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0B1" w:rsidRDefault="003370B1" w:rsidP="003370B1">
      <w:pPr>
        <w:pStyle w:val="Portada1"/>
      </w:pPr>
      <w:bookmarkStart w:id="0" w:name="_GoBack"/>
      <w:bookmarkEnd w:id="0"/>
      <w:r>
        <w:t>TRIBUNAL CONSTITUCIONAL</w:t>
      </w:r>
    </w:p>
    <w:p w:rsidR="00AC56D6" w:rsidRDefault="00AC56D6" w:rsidP="003370B1">
      <w:pPr>
        <w:pStyle w:val="Portada1"/>
      </w:pPr>
    </w:p>
    <w:p w:rsidR="003370B1" w:rsidRDefault="003370B1" w:rsidP="003370B1">
      <w:pPr>
        <w:pStyle w:val="Portada2"/>
      </w:pPr>
      <w:r>
        <w:t>SECRETARÍA GENERAL</w:t>
      </w:r>
    </w:p>
    <w:p w:rsidR="003370B1" w:rsidRDefault="003370B1" w:rsidP="003370B1">
      <w:pPr>
        <w:pStyle w:val="Portada2"/>
      </w:pPr>
    </w:p>
    <w:p w:rsidR="003370B1" w:rsidRDefault="003370B1" w:rsidP="003370B1">
      <w:pPr>
        <w:pStyle w:val="Portada2"/>
      </w:pPr>
    </w:p>
    <w:p w:rsidR="003370B1" w:rsidRDefault="003370B1" w:rsidP="003370B1">
      <w:pPr>
        <w:pStyle w:val="Portada2"/>
      </w:pPr>
    </w:p>
    <w:p w:rsidR="003370B1" w:rsidRDefault="003370B1" w:rsidP="003370B1">
      <w:pPr>
        <w:pStyle w:val="Portada2"/>
      </w:pPr>
    </w:p>
    <w:p w:rsidR="003370B1" w:rsidRDefault="003370B1" w:rsidP="003370B1">
      <w:pPr>
        <w:pStyle w:val="Portada2"/>
      </w:pPr>
    </w:p>
    <w:p w:rsidR="003370B1" w:rsidRDefault="003370B1" w:rsidP="003370B1">
      <w:pPr>
        <w:pStyle w:val="Portada2"/>
      </w:pPr>
    </w:p>
    <w:p w:rsidR="003370B1" w:rsidRDefault="003370B1" w:rsidP="003370B1">
      <w:pPr>
        <w:pStyle w:val="Portada2"/>
      </w:pPr>
    </w:p>
    <w:p w:rsidR="003370B1" w:rsidRDefault="003370B1" w:rsidP="003370B1">
      <w:pPr>
        <w:pStyle w:val="Portada2"/>
      </w:pPr>
    </w:p>
    <w:p w:rsidR="003370B1" w:rsidRDefault="003370B1" w:rsidP="003370B1">
      <w:pPr>
        <w:pStyle w:val="PortadaPrincipal"/>
      </w:pPr>
      <w:r>
        <w:t>JURISPRUDENCIA</w:t>
      </w:r>
    </w:p>
    <w:p w:rsidR="003370B1" w:rsidRDefault="003370B1" w:rsidP="003370B1">
      <w:pPr>
        <w:pStyle w:val="PortadaPrincipal"/>
      </w:pPr>
      <w:r>
        <w:t>CONSTITUCIONAL</w:t>
      </w:r>
    </w:p>
    <w:p w:rsidR="003370B1" w:rsidRDefault="003370B1" w:rsidP="003370B1">
      <w:pPr>
        <w:pStyle w:val="PortadaPrincipal"/>
      </w:pPr>
    </w:p>
    <w:p w:rsidR="003370B1" w:rsidRPr="003370B1" w:rsidRDefault="003370B1" w:rsidP="003370B1">
      <w:pPr>
        <w:pStyle w:val="Portada1"/>
        <w:rPr>
          <w:b/>
        </w:rPr>
      </w:pPr>
      <w:r w:rsidRPr="003370B1">
        <w:rPr>
          <w:b/>
        </w:rPr>
        <w:t>TOMO NONAGÉSIMO SÉPTIMO</w:t>
      </w:r>
    </w:p>
    <w:p w:rsidR="003370B1" w:rsidRPr="003370B1" w:rsidRDefault="003370B1" w:rsidP="003370B1">
      <w:pPr>
        <w:pStyle w:val="Portada1"/>
        <w:rPr>
          <w:b/>
        </w:rPr>
      </w:pPr>
      <w:r w:rsidRPr="003370B1">
        <w:rPr>
          <w:b/>
        </w:rPr>
        <w:t>(julio - diciembre 2015)</w:t>
      </w:r>
    </w:p>
    <w:p w:rsidR="003370B1" w:rsidRDefault="003370B1" w:rsidP="003370B1">
      <w:pPr>
        <w:pStyle w:val="Portada1"/>
      </w:pPr>
    </w:p>
    <w:p w:rsidR="003370B1" w:rsidRDefault="003370B1" w:rsidP="003370B1">
      <w:pPr>
        <w:pStyle w:val="Portada1"/>
      </w:pPr>
    </w:p>
    <w:p w:rsidR="003370B1" w:rsidRDefault="003370B1" w:rsidP="003370B1">
      <w:pPr>
        <w:pStyle w:val="Portada1"/>
      </w:pPr>
    </w:p>
    <w:p w:rsidR="003370B1" w:rsidRDefault="003370B1" w:rsidP="003370B1">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3370B1" w:rsidRDefault="003370B1" w:rsidP="003370B1">
      <w:pPr>
        <w:pStyle w:val="Portada1"/>
      </w:pPr>
    </w:p>
    <w:p w:rsidR="003370B1" w:rsidRDefault="003370B1" w:rsidP="003370B1">
      <w:pPr>
        <w:pStyle w:val="Portada1"/>
      </w:pPr>
    </w:p>
    <w:p w:rsidR="003370B1" w:rsidRDefault="003370B1" w:rsidP="003370B1">
      <w:pPr>
        <w:pStyle w:val="Portada1"/>
      </w:pPr>
    </w:p>
    <w:p w:rsidR="003370B1" w:rsidRDefault="003370B1" w:rsidP="003370B1">
      <w:pPr>
        <w:pStyle w:val="Portada1"/>
      </w:pPr>
    </w:p>
    <w:p w:rsidR="003370B1" w:rsidRDefault="003370B1" w:rsidP="003370B1">
      <w:pPr>
        <w:pStyle w:val="Portada1"/>
      </w:pPr>
    </w:p>
    <w:p w:rsidR="003370B1" w:rsidRDefault="003370B1" w:rsidP="003370B1">
      <w:pPr>
        <w:pStyle w:val="Portada2"/>
      </w:pPr>
      <w:r>
        <w:t>MADRID 2015</w:t>
      </w:r>
    </w:p>
    <w:p w:rsidR="000E270F" w:rsidRDefault="000E270F">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0E270F" w:rsidRDefault="000E270F" w:rsidP="000E270F">
      <w:pPr>
        <w:pStyle w:val="CabeceraApartadoDerecha"/>
      </w:pPr>
      <w:r>
        <w:t>CONTENIDO</w:t>
      </w:r>
    </w:p>
    <w:p w:rsidR="00AC56D6" w:rsidRDefault="00AC56D6" w:rsidP="000E270F">
      <w:pPr>
        <w:pStyle w:val="CabeceraApartadoDerecha"/>
      </w:pPr>
    </w:p>
    <w:p w:rsidR="000E270F" w:rsidRDefault="000E270F" w:rsidP="000E270F">
      <w:pPr>
        <w:pStyle w:val="EntradandiceSumario"/>
        <w:keepNext w:val="0"/>
      </w:pPr>
      <w:r>
        <w:t>1. SENTENCIAS: STC 148/2015 A STC 272/2015</w:t>
      </w:r>
      <w:r>
        <w:tab/>
      </w:r>
      <w:r>
        <w:tab/>
      </w:r>
      <w:r>
        <w:fldChar w:fldCharType="begin"/>
      </w:r>
      <w:r>
        <w:instrText xml:space="preserve"> PAGEREF SUMARIOSENTENCIAS \h </w:instrText>
      </w:r>
      <w:r>
        <w:fldChar w:fldCharType="separate"/>
      </w:r>
      <w:r w:rsidR="002F5064">
        <w:rPr>
          <w:noProof/>
        </w:rPr>
        <w:t>3</w:t>
      </w:r>
      <w:r>
        <w:fldChar w:fldCharType="end"/>
      </w:r>
    </w:p>
    <w:p w:rsidR="000E270F" w:rsidRDefault="000E270F" w:rsidP="000E270F">
      <w:pPr>
        <w:pStyle w:val="EntradandiceSumario"/>
        <w:keepNext w:val="0"/>
      </w:pPr>
    </w:p>
    <w:p w:rsidR="000E270F" w:rsidRDefault="000E270F" w:rsidP="000E270F">
      <w:pPr>
        <w:pStyle w:val="EntradandiceSumario"/>
        <w:keepNext w:val="0"/>
      </w:pPr>
      <w:bookmarkStart w:id="1" w:name="SUMARIOSINDICES"/>
      <w:r>
        <w:t>2. AUTOS: ATC 115/2015 A ATC 229/2015</w:t>
      </w:r>
      <w:r>
        <w:tab/>
      </w:r>
      <w:r>
        <w:tab/>
      </w:r>
      <w:r>
        <w:fldChar w:fldCharType="begin"/>
      </w:r>
      <w:r>
        <w:instrText xml:space="preserve"> PAGEREF SUMARIOSAUTOS \h </w:instrText>
      </w:r>
      <w:r>
        <w:fldChar w:fldCharType="separate"/>
      </w:r>
      <w:r w:rsidR="002F5064">
        <w:rPr>
          <w:noProof/>
        </w:rPr>
        <w:t>27</w:t>
      </w:r>
      <w:r>
        <w:fldChar w:fldCharType="end"/>
      </w:r>
    </w:p>
    <w:bookmarkEnd w:id="1"/>
    <w:p w:rsidR="000E270F" w:rsidRDefault="000E270F" w:rsidP="000E270F">
      <w:pPr>
        <w:pStyle w:val="EntradandiceSumario"/>
        <w:keepNext w:val="0"/>
      </w:pPr>
    </w:p>
    <w:p w:rsidR="000E270F" w:rsidRDefault="000E270F" w:rsidP="000E270F">
      <w:pPr>
        <w:pStyle w:val="EntradandiceSumario"/>
        <w:keepNext w:val="0"/>
      </w:pPr>
      <w:r>
        <w:t>3. ÍNDICE DE DISPOSICIONES CON FUERZA DE LEY IMPUGNADAS:</w:t>
      </w:r>
    </w:p>
    <w:p w:rsidR="000E270F" w:rsidRDefault="000E270F" w:rsidP="000E270F">
      <w:pPr>
        <w:pStyle w:val="EntradandiceSumario"/>
        <w:keepNext w:val="0"/>
      </w:pPr>
    </w:p>
    <w:p w:rsidR="000E270F" w:rsidRDefault="000E270F" w:rsidP="000E270F">
      <w:pPr>
        <w:pStyle w:val="EntradandiceSumarioNivel2"/>
        <w:keepNext w:val="0"/>
      </w:pPr>
      <w:r>
        <w:t>A) Disposiciones con fuerza de ley del Estado</w:t>
      </w:r>
      <w:r>
        <w:tab/>
      </w:r>
      <w:r>
        <w:tab/>
      </w:r>
      <w:r>
        <w:fldChar w:fldCharType="begin"/>
      </w:r>
      <w:r>
        <w:instrText xml:space="preserve"> PAGEREF INDICE22802 \h </w:instrText>
      </w:r>
      <w:r>
        <w:fldChar w:fldCharType="separate"/>
      </w:r>
      <w:r w:rsidR="002F5064">
        <w:rPr>
          <w:noProof/>
        </w:rPr>
        <w:t>2752</w:t>
      </w:r>
      <w:r>
        <w:fldChar w:fldCharType="end"/>
      </w:r>
    </w:p>
    <w:p w:rsidR="000E270F" w:rsidRDefault="000E270F" w:rsidP="000E270F">
      <w:pPr>
        <w:pStyle w:val="EntradandiceSumarioNivel2"/>
        <w:keepNext w:val="0"/>
      </w:pPr>
      <w:r>
        <w:t>B) Disposiciones con fuerza de ley de las Comunidades Autónomas</w:t>
      </w:r>
      <w:r>
        <w:tab/>
      </w:r>
      <w:r>
        <w:tab/>
      </w:r>
      <w:r>
        <w:fldChar w:fldCharType="begin"/>
      </w:r>
      <w:r>
        <w:instrText xml:space="preserve"> PAGEREF INDICE22806 \h </w:instrText>
      </w:r>
      <w:r>
        <w:fldChar w:fldCharType="separate"/>
      </w:r>
      <w:r w:rsidR="002F5064">
        <w:rPr>
          <w:noProof/>
        </w:rPr>
        <w:t>2757</w:t>
      </w:r>
      <w:r>
        <w:fldChar w:fldCharType="end"/>
      </w:r>
    </w:p>
    <w:p w:rsidR="000E270F" w:rsidRDefault="000E270F" w:rsidP="000E270F"/>
    <w:p w:rsidR="000E270F" w:rsidRDefault="000E270F" w:rsidP="000E270F">
      <w:pPr>
        <w:pStyle w:val="EntradandiceSumario"/>
        <w:keepNext w:val="0"/>
      </w:pPr>
      <w:r>
        <w:t>4. ÍNDICE DE DISPOSICIONES GENERALES IMPUGNADAS:</w:t>
      </w:r>
    </w:p>
    <w:p w:rsidR="000E270F" w:rsidRDefault="000E270F" w:rsidP="000E270F">
      <w:pPr>
        <w:pStyle w:val="EntradandiceSumario"/>
        <w:keepNext w:val="0"/>
      </w:pPr>
    </w:p>
    <w:p w:rsidR="000E270F" w:rsidRDefault="000E270F" w:rsidP="000E270F">
      <w:pPr>
        <w:pStyle w:val="EntradandiceSumarioNivel2"/>
        <w:keepNext w:val="0"/>
      </w:pPr>
      <w:r>
        <w:t>A) Disposiciones del Estado</w:t>
      </w:r>
      <w:r>
        <w:tab/>
      </w:r>
      <w:r>
        <w:tab/>
      </w:r>
      <w:r>
        <w:fldChar w:fldCharType="begin"/>
      </w:r>
      <w:r>
        <w:instrText xml:space="preserve"> PAGEREF INDICE22803 \h </w:instrText>
      </w:r>
      <w:r>
        <w:fldChar w:fldCharType="separate"/>
      </w:r>
      <w:r w:rsidR="002F5064">
        <w:rPr>
          <w:noProof/>
        </w:rPr>
        <w:t>2764</w:t>
      </w:r>
      <w:r>
        <w:fldChar w:fldCharType="end"/>
      </w:r>
    </w:p>
    <w:p w:rsidR="000E270F" w:rsidRDefault="000E270F" w:rsidP="000E270F">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2F5064">
        <w:rPr>
          <w:noProof/>
        </w:rPr>
        <w:t>2764</w:t>
      </w:r>
      <w:r>
        <w:fldChar w:fldCharType="end"/>
      </w:r>
    </w:p>
    <w:p w:rsidR="000E270F" w:rsidRDefault="000E270F" w:rsidP="000E270F"/>
    <w:p w:rsidR="000E270F" w:rsidRDefault="000E270F" w:rsidP="000E270F">
      <w:pPr>
        <w:pStyle w:val="EntradandiceSumario"/>
        <w:keepNext w:val="0"/>
      </w:pPr>
      <w:r>
        <w:t>5. ÍNDICE DE DISPOSICIONES CITADAS:</w:t>
      </w:r>
    </w:p>
    <w:p w:rsidR="000E270F" w:rsidRDefault="000E270F" w:rsidP="000E270F">
      <w:pPr>
        <w:pStyle w:val="EntradandiceSumario"/>
        <w:keepNext w:val="0"/>
      </w:pPr>
    </w:p>
    <w:p w:rsidR="000E270F" w:rsidRDefault="000E270F" w:rsidP="000E270F">
      <w:pPr>
        <w:pStyle w:val="EntradandiceSumarioNivel2"/>
        <w:keepNext w:val="0"/>
      </w:pPr>
      <w:r>
        <w:t>A) Constitución</w:t>
      </w:r>
      <w:r>
        <w:tab/>
      </w:r>
      <w:r>
        <w:tab/>
      </w:r>
      <w:r>
        <w:fldChar w:fldCharType="begin"/>
      </w:r>
      <w:r>
        <w:instrText xml:space="preserve"> PAGEREF INDICE22804 \h </w:instrText>
      </w:r>
      <w:r>
        <w:fldChar w:fldCharType="separate"/>
      </w:r>
      <w:r w:rsidR="002F5064">
        <w:rPr>
          <w:noProof/>
        </w:rPr>
        <w:t>2766</w:t>
      </w:r>
      <w:r>
        <w:fldChar w:fldCharType="end"/>
      </w:r>
    </w:p>
    <w:p w:rsidR="000E270F" w:rsidRDefault="000E270F" w:rsidP="000E270F">
      <w:pPr>
        <w:pStyle w:val="EntradandiceSumarioNivel2"/>
        <w:keepNext w:val="0"/>
      </w:pPr>
      <w:r>
        <w:t>B) Tribunal Constitucional</w:t>
      </w:r>
      <w:r>
        <w:tab/>
      </w:r>
      <w:r>
        <w:tab/>
      </w:r>
      <w:r>
        <w:fldChar w:fldCharType="begin"/>
      </w:r>
      <w:r>
        <w:instrText xml:space="preserve"> PAGEREF INDICE22843 \h </w:instrText>
      </w:r>
      <w:r>
        <w:fldChar w:fldCharType="separate"/>
      </w:r>
      <w:r w:rsidR="002F5064">
        <w:rPr>
          <w:noProof/>
        </w:rPr>
        <w:t>2774</w:t>
      </w:r>
      <w:r>
        <w:fldChar w:fldCharType="end"/>
      </w:r>
    </w:p>
    <w:p w:rsidR="000E270F" w:rsidRDefault="000E270F" w:rsidP="000E270F">
      <w:pPr>
        <w:pStyle w:val="EntradandiceSumarioNivel2"/>
        <w:keepNext w:val="0"/>
      </w:pPr>
      <w:r>
        <w:t>C) Cortes Generales</w:t>
      </w:r>
      <w:r>
        <w:tab/>
      </w:r>
      <w:r>
        <w:tab/>
      </w:r>
      <w:r>
        <w:fldChar w:fldCharType="begin"/>
      </w:r>
      <w:r>
        <w:instrText xml:space="preserve"> PAGEREF INDICE22844 \h </w:instrText>
      </w:r>
      <w:r>
        <w:fldChar w:fldCharType="separate"/>
      </w:r>
      <w:r w:rsidR="002F5064">
        <w:rPr>
          <w:noProof/>
        </w:rPr>
        <w:t>2779</w:t>
      </w:r>
      <w:r>
        <w:fldChar w:fldCharType="end"/>
      </w:r>
    </w:p>
    <w:p w:rsidR="000E270F" w:rsidRDefault="000E270F" w:rsidP="000E270F">
      <w:pPr>
        <w:pStyle w:val="EntradandiceSumarioNivel2"/>
        <w:keepNext w:val="0"/>
      </w:pPr>
      <w:r>
        <w:t>D) Leyes Orgánicas</w:t>
      </w:r>
      <w:r>
        <w:tab/>
      </w:r>
      <w:r>
        <w:tab/>
      </w:r>
      <w:r>
        <w:fldChar w:fldCharType="begin"/>
      </w:r>
      <w:r>
        <w:instrText xml:space="preserve"> PAGEREF INDICE22845 \h </w:instrText>
      </w:r>
      <w:r>
        <w:fldChar w:fldCharType="separate"/>
      </w:r>
      <w:r w:rsidR="002F5064">
        <w:rPr>
          <w:noProof/>
        </w:rPr>
        <w:t>2779</w:t>
      </w:r>
      <w:r>
        <w:fldChar w:fldCharType="end"/>
      </w:r>
    </w:p>
    <w:p w:rsidR="000E270F" w:rsidRDefault="000E270F" w:rsidP="000E270F">
      <w:pPr>
        <w:pStyle w:val="EntradandiceSumarioNivel2"/>
        <w:keepNext w:val="0"/>
      </w:pPr>
      <w:r>
        <w:t>E) Leyes de las Cortes Generales</w:t>
      </w:r>
      <w:r>
        <w:tab/>
      </w:r>
      <w:r>
        <w:tab/>
      </w:r>
      <w:r>
        <w:fldChar w:fldCharType="begin"/>
      </w:r>
      <w:r>
        <w:instrText xml:space="preserve"> PAGEREF INDICE22846 \h </w:instrText>
      </w:r>
      <w:r>
        <w:fldChar w:fldCharType="separate"/>
      </w:r>
      <w:r w:rsidR="002F5064">
        <w:rPr>
          <w:noProof/>
        </w:rPr>
        <w:t>2788</w:t>
      </w:r>
      <w:r>
        <w:fldChar w:fldCharType="end"/>
      </w:r>
    </w:p>
    <w:p w:rsidR="000E270F" w:rsidRDefault="000E270F" w:rsidP="000E270F">
      <w:pPr>
        <w:pStyle w:val="EntradandiceSumarioNivel2"/>
        <w:keepNext w:val="0"/>
      </w:pPr>
      <w:r>
        <w:t>F) Reales Decretos Legislativos</w:t>
      </w:r>
      <w:r>
        <w:tab/>
      </w:r>
      <w:r>
        <w:tab/>
      </w:r>
      <w:r>
        <w:fldChar w:fldCharType="begin"/>
      </w:r>
      <w:r>
        <w:instrText xml:space="preserve"> PAGEREF INDICE22847 \h </w:instrText>
      </w:r>
      <w:r>
        <w:fldChar w:fldCharType="separate"/>
      </w:r>
      <w:r w:rsidR="002F5064">
        <w:rPr>
          <w:noProof/>
        </w:rPr>
        <w:t>2804</w:t>
      </w:r>
      <w:r>
        <w:fldChar w:fldCharType="end"/>
      </w:r>
    </w:p>
    <w:p w:rsidR="000E270F" w:rsidRDefault="000E270F" w:rsidP="000E270F">
      <w:pPr>
        <w:pStyle w:val="EntradandiceSumarioNivel2"/>
        <w:keepNext w:val="0"/>
      </w:pPr>
      <w:r>
        <w:t>G) Reales Decretos-leyes</w:t>
      </w:r>
      <w:r>
        <w:tab/>
      </w:r>
      <w:r>
        <w:tab/>
      </w:r>
      <w:r>
        <w:fldChar w:fldCharType="begin"/>
      </w:r>
      <w:r>
        <w:instrText xml:space="preserve"> PAGEREF INDICE22848 \h </w:instrText>
      </w:r>
      <w:r>
        <w:fldChar w:fldCharType="separate"/>
      </w:r>
      <w:r w:rsidR="002F5064">
        <w:rPr>
          <w:noProof/>
        </w:rPr>
        <w:t>2808</w:t>
      </w:r>
      <w:r>
        <w:fldChar w:fldCharType="end"/>
      </w:r>
    </w:p>
    <w:p w:rsidR="000E270F" w:rsidRDefault="000E270F" w:rsidP="000E270F">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2F5064">
        <w:rPr>
          <w:noProof/>
        </w:rPr>
        <w:t>2814</w:t>
      </w:r>
      <w:r>
        <w:fldChar w:fldCharType="end"/>
      </w:r>
    </w:p>
    <w:p w:rsidR="000E270F" w:rsidRDefault="000E270F" w:rsidP="000E270F">
      <w:pPr>
        <w:pStyle w:val="EntradandiceSumarioNivel2"/>
        <w:keepNext w:val="0"/>
      </w:pPr>
      <w:r>
        <w:t>I) Legislación preconstitucional</w:t>
      </w:r>
      <w:r>
        <w:tab/>
      </w:r>
      <w:r>
        <w:tab/>
      </w:r>
      <w:r>
        <w:fldChar w:fldCharType="begin"/>
      </w:r>
      <w:r>
        <w:instrText xml:space="preserve"> PAGEREF INDICE22850 \h </w:instrText>
      </w:r>
      <w:r>
        <w:fldChar w:fldCharType="separate"/>
      </w:r>
      <w:r w:rsidR="002F5064">
        <w:rPr>
          <w:noProof/>
        </w:rPr>
        <w:t>2821</w:t>
      </w:r>
      <w:r>
        <w:fldChar w:fldCharType="end"/>
      </w:r>
    </w:p>
    <w:p w:rsidR="000E270F" w:rsidRDefault="000E270F" w:rsidP="000E270F">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2F5064">
        <w:rPr>
          <w:noProof/>
        </w:rPr>
        <w:t>2823</w:t>
      </w:r>
      <w:r>
        <w:fldChar w:fldCharType="end"/>
      </w:r>
    </w:p>
    <w:p w:rsidR="000E270F" w:rsidRDefault="000E270F" w:rsidP="000E270F">
      <w:pPr>
        <w:pStyle w:val="EntradandiceSumarioNivel2"/>
        <w:keepNext w:val="0"/>
      </w:pPr>
      <w:r>
        <w:t>K) Territorios históricos y corporaciones locales</w:t>
      </w:r>
      <w:r>
        <w:tab/>
      </w:r>
      <w:r>
        <w:tab/>
      </w:r>
      <w:r>
        <w:fldChar w:fldCharType="begin"/>
      </w:r>
      <w:r>
        <w:instrText xml:space="preserve"> PAGEREF INDICE22869 \h </w:instrText>
      </w:r>
      <w:r>
        <w:fldChar w:fldCharType="separate"/>
      </w:r>
      <w:r w:rsidR="002F5064">
        <w:rPr>
          <w:noProof/>
        </w:rPr>
        <w:t>2845</w:t>
      </w:r>
      <w:r>
        <w:fldChar w:fldCharType="end"/>
      </w:r>
    </w:p>
    <w:p w:rsidR="000E270F" w:rsidRDefault="000E270F" w:rsidP="000E270F">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2F5064">
        <w:rPr>
          <w:noProof/>
        </w:rPr>
        <w:t>2845</w:t>
      </w:r>
      <w:r>
        <w:fldChar w:fldCharType="end"/>
      </w:r>
    </w:p>
    <w:p w:rsidR="000E270F" w:rsidRDefault="000E270F" w:rsidP="000E270F">
      <w:pPr>
        <w:pStyle w:val="EntradandiceSumarioNivel2"/>
        <w:keepNext w:val="0"/>
      </w:pPr>
      <w:r>
        <w:t>M) Unión Europea</w:t>
      </w:r>
      <w:r>
        <w:tab/>
      </w:r>
      <w:r>
        <w:tab/>
      </w:r>
      <w:r>
        <w:fldChar w:fldCharType="begin"/>
      </w:r>
      <w:r>
        <w:instrText xml:space="preserve"> PAGEREF INDICE22871 \h </w:instrText>
      </w:r>
      <w:r>
        <w:fldChar w:fldCharType="separate"/>
      </w:r>
      <w:r w:rsidR="002F5064">
        <w:rPr>
          <w:noProof/>
        </w:rPr>
        <w:t>2846</w:t>
      </w:r>
      <w:r>
        <w:fldChar w:fldCharType="end"/>
      </w:r>
    </w:p>
    <w:p w:rsidR="000E270F" w:rsidRDefault="000E270F" w:rsidP="000E270F">
      <w:pPr>
        <w:pStyle w:val="EntradandiceSumarioNivel2"/>
        <w:keepNext w:val="0"/>
      </w:pPr>
      <w:r>
        <w:t>N) Consejo de Europa</w:t>
      </w:r>
      <w:r>
        <w:tab/>
      </w:r>
      <w:r>
        <w:tab/>
      </w:r>
      <w:r>
        <w:fldChar w:fldCharType="begin"/>
      </w:r>
      <w:r>
        <w:instrText xml:space="preserve"> PAGEREF INDICE27994 \h </w:instrText>
      </w:r>
      <w:r>
        <w:fldChar w:fldCharType="separate"/>
      </w:r>
      <w:r w:rsidR="002F5064">
        <w:rPr>
          <w:noProof/>
        </w:rPr>
        <w:t>2848</w:t>
      </w:r>
      <w:r>
        <w:fldChar w:fldCharType="end"/>
      </w:r>
    </w:p>
    <w:p w:rsidR="000E270F" w:rsidRDefault="000E270F" w:rsidP="000E270F"/>
    <w:p w:rsidR="000E270F" w:rsidRDefault="000E270F" w:rsidP="000E270F">
      <w:pPr>
        <w:pStyle w:val="EntradandiceSumario"/>
        <w:keepNext w:val="0"/>
      </w:pPr>
      <w:r>
        <w:t>6. ÍNDICE DE RESOLUCIONES JUDICIALES DE OTROS TRIBUNALES CITADAS:</w:t>
      </w:r>
    </w:p>
    <w:p w:rsidR="000E270F" w:rsidRDefault="000E270F" w:rsidP="000E270F">
      <w:pPr>
        <w:pStyle w:val="EntradandiceSumario"/>
        <w:keepNext w:val="0"/>
      </w:pPr>
    </w:p>
    <w:p w:rsidR="000E270F" w:rsidRDefault="000E270F" w:rsidP="000E270F">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2F5064">
        <w:rPr>
          <w:noProof/>
        </w:rPr>
        <w:t>2849</w:t>
      </w:r>
      <w:r>
        <w:fldChar w:fldCharType="end"/>
      </w:r>
    </w:p>
    <w:p w:rsidR="000E270F" w:rsidRDefault="000E270F" w:rsidP="000E270F">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2F5064">
        <w:rPr>
          <w:noProof/>
        </w:rPr>
        <w:t>2854</w:t>
      </w:r>
      <w:r>
        <w:fldChar w:fldCharType="end"/>
      </w:r>
    </w:p>
    <w:p w:rsidR="000E270F" w:rsidRDefault="000E270F" w:rsidP="000E270F">
      <w:pPr>
        <w:pStyle w:val="EntradandiceSumarioNivel2"/>
        <w:keepNext w:val="0"/>
      </w:pPr>
      <w:r>
        <w:t>C) Tribunal Supremo</w:t>
      </w:r>
      <w:r>
        <w:tab/>
      </w:r>
      <w:r>
        <w:tab/>
      </w:r>
      <w:r>
        <w:fldChar w:fldCharType="begin"/>
      </w:r>
      <w:r>
        <w:instrText xml:space="preserve"> PAGEREF INDICE22925 \h </w:instrText>
      </w:r>
      <w:r>
        <w:fldChar w:fldCharType="separate"/>
      </w:r>
      <w:r w:rsidR="002F5064">
        <w:rPr>
          <w:noProof/>
        </w:rPr>
        <w:t>2856</w:t>
      </w:r>
      <w:r>
        <w:fldChar w:fldCharType="end"/>
      </w:r>
    </w:p>
    <w:p w:rsidR="000E270F" w:rsidRDefault="000E270F" w:rsidP="000E270F">
      <w:pPr>
        <w:pStyle w:val="EntradandiceSumarioNivel2"/>
        <w:keepNext w:val="0"/>
      </w:pPr>
      <w:r>
        <w:t>D) Otros Tribunales</w:t>
      </w:r>
      <w:r>
        <w:tab/>
      </w:r>
      <w:r>
        <w:tab/>
      </w:r>
      <w:r>
        <w:fldChar w:fldCharType="begin"/>
      </w:r>
      <w:r>
        <w:instrText xml:space="preserve"> PAGEREF INDICE22926 \h </w:instrText>
      </w:r>
      <w:r>
        <w:fldChar w:fldCharType="separate"/>
      </w:r>
      <w:r w:rsidR="002F5064">
        <w:rPr>
          <w:noProof/>
        </w:rPr>
        <w:t>2856</w:t>
      </w:r>
      <w:r>
        <w:fldChar w:fldCharType="end"/>
      </w:r>
    </w:p>
    <w:p w:rsidR="000E270F" w:rsidRDefault="000E270F" w:rsidP="000E270F"/>
    <w:p w:rsidR="000E270F" w:rsidRDefault="000E270F" w:rsidP="000E270F">
      <w:pPr>
        <w:pStyle w:val="EntradandiceSumario"/>
        <w:keepNext w:val="0"/>
      </w:pPr>
      <w:r>
        <w:t>7. ÍNDICE ANALÍTICO</w:t>
      </w:r>
      <w:r>
        <w:tab/>
      </w:r>
      <w:r>
        <w:tab/>
      </w:r>
      <w:r>
        <w:fldChar w:fldCharType="begin"/>
      </w:r>
      <w:r>
        <w:instrText xml:space="preserve"> PAGEREF INDICE5ALFABETICO \h </w:instrText>
      </w:r>
      <w:r>
        <w:fldChar w:fldCharType="separate"/>
      </w:r>
      <w:r w:rsidR="002F5064">
        <w:rPr>
          <w:noProof/>
        </w:rPr>
        <w:t>2858</w:t>
      </w:r>
      <w:r>
        <w:fldChar w:fldCharType="end"/>
      </w:r>
    </w:p>
    <w:p w:rsidR="000E270F" w:rsidRDefault="000E270F" w:rsidP="000E270F"/>
    <w:p w:rsidR="000E270F" w:rsidRDefault="000E270F" w:rsidP="000E270F">
      <w:pPr>
        <w:pStyle w:val="EntradandiceSumario"/>
        <w:keepNext w:val="0"/>
      </w:pPr>
      <w:r>
        <w:t>8. ABREVIATURAS Y ACRÓNIMOS</w:t>
      </w:r>
      <w:r>
        <w:tab/>
      </w:r>
      <w:r>
        <w:tab/>
      </w:r>
      <w:r>
        <w:fldChar w:fldCharType="begin"/>
      </w:r>
      <w:r>
        <w:instrText xml:space="preserve"> PAGEREF ACRONIMOS \h </w:instrText>
      </w:r>
      <w:r>
        <w:fldChar w:fldCharType="separate"/>
      </w:r>
      <w:r w:rsidR="002F5064">
        <w:rPr>
          <w:noProof/>
        </w:rPr>
        <w:t>2879</w:t>
      </w:r>
      <w:r>
        <w:fldChar w:fldCharType="end"/>
      </w:r>
    </w:p>
    <w:p w:rsidR="000E270F" w:rsidRDefault="000E270F">
      <w:pPr>
        <w:spacing w:after="160" w:line="259" w:lineRule="auto"/>
        <w:rPr>
          <w:rFonts w:ascii="Times New Roman" w:eastAsia="Times New Roman" w:hAnsi="Times New Roman" w:cs="Times New Roman"/>
          <w:sz w:val="24"/>
          <w:szCs w:val="24"/>
          <w:lang w:eastAsia="es-ES"/>
        </w:rPr>
      </w:pPr>
      <w:r>
        <w:br w:type="page"/>
      </w:r>
    </w:p>
    <w:p w:rsidR="000E270F" w:rsidRDefault="000E270F" w:rsidP="000E270F">
      <w:pPr>
        <w:pStyle w:val="EntradandiceSumario"/>
        <w:keepNext w:val="0"/>
      </w:pPr>
    </w:p>
    <w:p w:rsidR="000E270F" w:rsidRDefault="000E270F" w:rsidP="000E270F"/>
    <w:p w:rsidR="000E270F" w:rsidRDefault="000E270F" w:rsidP="000E270F"/>
    <w:p w:rsidR="000E270F" w:rsidRDefault="000E270F" w:rsidP="000E270F">
      <w:pPr>
        <w:pStyle w:val="Ttulondice"/>
      </w:pPr>
      <w:bookmarkStart w:id="2" w:name="SUMARIOSENTENCIAS"/>
      <w:r>
        <w:t>1. SENTENCIAS: STC 148/2015 A STC 272/2015</w:t>
      </w:r>
    </w:p>
    <w:bookmarkEnd w:id="2"/>
    <w:p w:rsidR="000E270F" w:rsidRDefault="000E270F" w:rsidP="000E270F">
      <w:pPr>
        <w:pStyle w:val="Ttulondice"/>
      </w:pPr>
    </w:p>
    <w:p w:rsidR="000E270F" w:rsidRDefault="000E270F" w:rsidP="000E270F">
      <w:pPr>
        <w:pStyle w:val="Ttulondice"/>
      </w:pPr>
    </w:p>
    <w:p w:rsidR="000E270F" w:rsidRDefault="000E270F" w:rsidP="000E270F">
      <w:pPr>
        <w:pStyle w:val="Ttulondice"/>
      </w:pPr>
    </w:p>
    <w:p w:rsidR="000E270F" w:rsidRDefault="000E270F" w:rsidP="000E270F">
      <w:pPr>
        <w:pStyle w:val="Ttulondice"/>
      </w:pPr>
    </w:p>
    <w:p w:rsidR="000E270F" w:rsidRDefault="000E270F" w:rsidP="000E270F">
      <w:pPr>
        <w:pStyle w:val="Ttulondice"/>
      </w:pPr>
    </w:p>
    <w:p w:rsidR="000E270F" w:rsidRDefault="000E270F" w:rsidP="000E270F">
      <w:pPr>
        <w:pStyle w:val="Ttulondice"/>
      </w:pPr>
    </w:p>
    <w:p w:rsidR="000E270F" w:rsidRDefault="000E270F" w:rsidP="000E270F">
      <w:pPr>
        <w:pStyle w:val="EntradandiceSentencia"/>
      </w:pPr>
      <w:r>
        <w:t>Sala Primera. Sentencia 148/2015, de 6 de julio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5098-2012. </w:t>
      </w:r>
      <w:r w:rsidRPr="000E270F">
        <w:rPr>
          <w:rStyle w:val="TextoNormalCursivaCaracter"/>
        </w:rPr>
        <w:t xml:space="preserve"> Supuesta vulneración del derecho a la libertad sindical: fijación de complementos para un empleado que tiene concedido permiso para desarrollar labores sindicales que no vulnera la garantía de indemnidad retributiva. Voto particular.</w:t>
      </w:r>
      <w:r>
        <w:tab/>
      </w:r>
      <w:r>
        <w:tab/>
      </w:r>
      <w:r>
        <w:fldChar w:fldCharType="begin"/>
      </w:r>
      <w:r>
        <w:instrText xml:space="preserve"> PAGEREF SENTENCIA_2015_148 \h </w:instrText>
      </w:r>
      <w:r>
        <w:fldChar w:fldCharType="separate"/>
      </w:r>
      <w:r w:rsidR="002F5064">
        <w:rPr>
          <w:noProof/>
        </w:rPr>
        <w:t>43</w:t>
      </w:r>
      <w:r>
        <w:fldChar w:fldCharType="end"/>
      </w:r>
    </w:p>
    <w:p w:rsidR="00AC56D6" w:rsidRDefault="00AC56D6" w:rsidP="000E270F"/>
    <w:p w:rsidR="000E270F" w:rsidRDefault="000E270F" w:rsidP="000E270F">
      <w:pPr>
        <w:pStyle w:val="EntradandiceSentencia"/>
      </w:pPr>
      <w:r>
        <w:t>Sala Segunda. Sentencia 149/2015, de 6 de julio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3513-2013. </w:t>
      </w:r>
      <w:r w:rsidRPr="000E270F">
        <w:rPr>
          <w:rStyle w:val="TextoNormalCursivaCaracter"/>
        </w:rPr>
        <w:t xml:space="preserve"> Vulneración del derecho a la tutela judicial efectiva (acceso al recurso legal): inadmisión de un recurso de apelación sin tomar en consideración el abono de las tasas judiciales en un plazo de tiempo razonable posterior al requerimiento.</w:t>
      </w:r>
      <w:r>
        <w:tab/>
      </w:r>
      <w:r>
        <w:tab/>
      </w:r>
      <w:r>
        <w:fldChar w:fldCharType="begin"/>
      </w:r>
      <w:r>
        <w:instrText xml:space="preserve"> PAGEREF SENTENCIA_2015_149 \h </w:instrText>
      </w:r>
      <w:r>
        <w:fldChar w:fldCharType="separate"/>
      </w:r>
      <w:r w:rsidR="002F5064">
        <w:rPr>
          <w:noProof/>
        </w:rPr>
        <w:t>56</w:t>
      </w:r>
      <w:r>
        <w:fldChar w:fldCharType="end"/>
      </w:r>
    </w:p>
    <w:p w:rsidR="000E270F" w:rsidRDefault="000E270F" w:rsidP="000E270F"/>
    <w:p w:rsidR="000E270F" w:rsidRDefault="000E270F" w:rsidP="000E270F">
      <w:pPr>
        <w:pStyle w:val="EntradandiceSentencia"/>
      </w:pPr>
      <w:r>
        <w:t>Sala Primera. Sentencia 150/2015, de 6 de julio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3717-2013. </w:t>
      </w:r>
      <w:r w:rsidRPr="000E270F">
        <w:rPr>
          <w:rStyle w:val="TextoNormalCursivaCaracter"/>
        </w:rPr>
        <w:t xml:space="preserve"> Supuesta vulneración del derecho a la legalidad sancionadora: subsunción de la conducta consistente en la emisión de facturas carentes de sustento real en operación económica, en el tipo relativo al incumplimiento de las obligaciones de facturación (STC 146/2015). Voto particular.</w:t>
      </w:r>
      <w:r>
        <w:tab/>
      </w:r>
      <w:r>
        <w:tab/>
      </w:r>
      <w:r>
        <w:fldChar w:fldCharType="begin"/>
      </w:r>
      <w:r>
        <w:instrText xml:space="preserve"> PAGEREF SENTENCIA_2015_150 \h </w:instrText>
      </w:r>
      <w:r>
        <w:fldChar w:fldCharType="separate"/>
      </w:r>
      <w:r w:rsidR="002F5064">
        <w:rPr>
          <w:noProof/>
        </w:rPr>
        <w:t>70</w:t>
      </w:r>
      <w:r>
        <w:fldChar w:fldCharType="end"/>
      </w:r>
    </w:p>
    <w:p w:rsidR="000E270F" w:rsidRDefault="000E270F" w:rsidP="000E270F"/>
    <w:p w:rsidR="000E270F" w:rsidRDefault="000E270F" w:rsidP="000E270F">
      <w:pPr>
        <w:pStyle w:val="EntradandiceSentencia"/>
      </w:pPr>
      <w:r>
        <w:t>Sala Segunda. Sentencia 151/2015, de 6 de julio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6632-2013. </w:t>
      </w:r>
      <w:r w:rsidRPr="000E270F">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SENTENCIA_2015_151 \h </w:instrText>
      </w:r>
      <w:r>
        <w:fldChar w:fldCharType="separate"/>
      </w:r>
      <w:r w:rsidR="002F5064">
        <w:rPr>
          <w:noProof/>
        </w:rPr>
        <w:t>88</w:t>
      </w:r>
      <w:r>
        <w:fldChar w:fldCharType="end"/>
      </w:r>
    </w:p>
    <w:p w:rsidR="000E270F" w:rsidRDefault="000E270F" w:rsidP="000E270F"/>
    <w:p w:rsidR="000E270F" w:rsidRDefault="000E270F" w:rsidP="000E270F">
      <w:pPr>
        <w:pStyle w:val="EntradandiceSentencia"/>
      </w:pPr>
      <w:r>
        <w:t>Sala Segunda. Sentencia 152/2015, de 6 de julio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107-2014. </w:t>
      </w:r>
      <w:r w:rsidRPr="000E270F">
        <w:rPr>
          <w:rStyle w:val="TextoNormalCursivaCaracter"/>
        </w:rPr>
        <w:t xml:space="preserve"> Vulneración de los derechos a la tutela judicial efectiva (incongruencia) y al juez ordinario predeterminado por la ley: resoluciones judiciales que no dan respuesta a las reclamaciones sobre exceso de costes de urbanización y lucro cesante por pérdida de oportunidad; incidente de nulidad de actuaciones resuelto por el órgano judicial en composición parcialmente diferente de aquella que dictó la Sentencia controvertida.</w:t>
      </w:r>
      <w:r>
        <w:tab/>
      </w:r>
      <w:r>
        <w:tab/>
      </w:r>
      <w:r>
        <w:fldChar w:fldCharType="begin"/>
      </w:r>
      <w:r>
        <w:instrText xml:space="preserve"> PAGEREF SENTENCIA_2015_152 \h </w:instrText>
      </w:r>
      <w:r>
        <w:fldChar w:fldCharType="separate"/>
      </w:r>
      <w:r w:rsidR="002F5064">
        <w:rPr>
          <w:noProof/>
        </w:rPr>
        <w:t>99</w:t>
      </w:r>
      <w:r>
        <w:fldChar w:fldCharType="end"/>
      </w:r>
    </w:p>
    <w:p w:rsidR="000E270F" w:rsidRDefault="000E270F" w:rsidP="000E270F"/>
    <w:p w:rsidR="000E270F" w:rsidRDefault="000E270F" w:rsidP="000E270F">
      <w:pPr>
        <w:pStyle w:val="EntradandiceSentencia"/>
      </w:pPr>
      <w:r>
        <w:t>Sala Primera. Sentencia 153/2015, de 6 de julio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3164-2014. </w:t>
      </w:r>
      <w:r w:rsidRPr="000E270F">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SENTENCIA_2015_153 \h </w:instrText>
      </w:r>
      <w:r>
        <w:fldChar w:fldCharType="separate"/>
      </w:r>
      <w:r w:rsidR="002F5064">
        <w:rPr>
          <w:noProof/>
        </w:rPr>
        <w:t>123</w:t>
      </w:r>
      <w:r>
        <w:fldChar w:fldCharType="end"/>
      </w:r>
    </w:p>
    <w:p w:rsidR="000E270F" w:rsidRDefault="000E270F" w:rsidP="000E270F"/>
    <w:p w:rsidR="000E270F" w:rsidRDefault="000E270F" w:rsidP="000E270F">
      <w:pPr>
        <w:pStyle w:val="EntradandiceSentencia"/>
      </w:pPr>
      <w:r>
        <w:t>Pleno. Sentencia 154/2015, de 9 de julio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inconstitucionalidad 1832-2006. </w:t>
      </w:r>
      <w:r w:rsidRPr="000E270F">
        <w:rPr>
          <w:rStyle w:val="TextoNormalCursivaCaracter"/>
        </w:rPr>
        <w:t xml:space="preserve"> Interdicción de la arbitrariedad de los poderes públicos, derecho de propiedad, autonomía local y competencias en materia de urbanismo y vivienda: nulidad de los preceptos legales autonómicos que atribuyen a la Administración autonómica el ejercicio subsidiario de las potestades de planeamiento y de disciplina urbanística; interpretación conforme del precepto relativo a la intervención autonómica en las delimitaciones de reserva para patrimonio autonómico de suelo (STC 51/2004).</w:t>
      </w:r>
      <w:r>
        <w:tab/>
      </w:r>
      <w:r>
        <w:tab/>
      </w:r>
      <w:r>
        <w:fldChar w:fldCharType="begin"/>
      </w:r>
      <w:r>
        <w:instrText xml:space="preserve"> PAGEREF SENTENCIA_2015_154 \h </w:instrText>
      </w:r>
      <w:r>
        <w:fldChar w:fldCharType="separate"/>
      </w:r>
      <w:r w:rsidR="002F5064">
        <w:rPr>
          <w:noProof/>
        </w:rPr>
        <w:t>134</w:t>
      </w:r>
      <w:r>
        <w:fldChar w:fldCharType="end"/>
      </w:r>
    </w:p>
    <w:p w:rsidR="000E270F" w:rsidRDefault="000E270F" w:rsidP="000E270F"/>
    <w:p w:rsidR="000E270F" w:rsidRDefault="000E270F" w:rsidP="000E270F">
      <w:pPr>
        <w:pStyle w:val="EntradandiceSentencia"/>
      </w:pPr>
      <w:r>
        <w:t>Pleno. Sentencia 155/2015, de 9 de julio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inconstitucionalidad 2085-2010. </w:t>
      </w:r>
      <w:r w:rsidRPr="000E270F">
        <w:rPr>
          <w:rStyle w:val="TextoNormalCursivaCaracter"/>
        </w:rPr>
        <w:t xml:space="preserve"> Derecho a la educación: constitucionalidad del precepto legal que regula el acceso a la educación no obligatoria de los extranjeros mayores de edad (STC 236/2007). Votos particulares.</w:t>
      </w:r>
      <w:r>
        <w:tab/>
      </w:r>
      <w:r>
        <w:tab/>
      </w:r>
      <w:r>
        <w:fldChar w:fldCharType="begin"/>
      </w:r>
      <w:r>
        <w:instrText xml:space="preserve"> PAGEREF SENTENCIA_2015_155 \h </w:instrText>
      </w:r>
      <w:r>
        <w:fldChar w:fldCharType="separate"/>
      </w:r>
      <w:r w:rsidR="002F5064">
        <w:rPr>
          <w:noProof/>
        </w:rPr>
        <w:t>170</w:t>
      </w:r>
      <w:r>
        <w:fldChar w:fldCharType="end"/>
      </w:r>
    </w:p>
    <w:p w:rsidR="000E270F" w:rsidRDefault="000E270F" w:rsidP="000E270F"/>
    <w:p w:rsidR="000E270F" w:rsidRDefault="000E270F" w:rsidP="000E270F">
      <w:pPr>
        <w:pStyle w:val="EntradandiceSentencia"/>
      </w:pPr>
      <w:r>
        <w:t>Pleno. Sentencia 156/2015, de 9 de julio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inconstitucionalidad 5741-2012. </w:t>
      </w:r>
      <w:r w:rsidRPr="000E270F">
        <w:rPr>
          <w:rStyle w:val="TextoNormalCursivaCaracter"/>
        </w:rPr>
        <w:t xml:space="preserve"> Límites a los decretos leyes; competencias sobre ordenación general de la economía y función pública: constitucionalidad de los preceptos legales que modifican la regulación de los permisos y vacaciones de los funcionarios públicos, los horarios comerciales y el régimen de promoción de ventas. Voto particular.</w:t>
      </w:r>
      <w:r>
        <w:tab/>
      </w:r>
      <w:r>
        <w:tab/>
      </w:r>
      <w:r>
        <w:fldChar w:fldCharType="begin"/>
      </w:r>
      <w:r>
        <w:instrText xml:space="preserve"> PAGEREF SENTENCIA_2015_156 \h </w:instrText>
      </w:r>
      <w:r>
        <w:fldChar w:fldCharType="separate"/>
      </w:r>
      <w:r w:rsidR="002F5064">
        <w:rPr>
          <w:noProof/>
        </w:rPr>
        <w:t>188</w:t>
      </w:r>
      <w:r>
        <w:fldChar w:fldCharType="end"/>
      </w:r>
    </w:p>
    <w:p w:rsidR="000E270F" w:rsidRDefault="000E270F" w:rsidP="000E270F"/>
    <w:p w:rsidR="000E270F" w:rsidRDefault="000E270F" w:rsidP="000E270F">
      <w:pPr>
        <w:pStyle w:val="EntradandiceSentencia"/>
      </w:pPr>
      <w:r>
        <w:t>Pleno. Sentencia 157/2015, de 9 de julio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6096-2013. </w:t>
      </w:r>
      <w:r w:rsidRPr="000E270F">
        <w:rPr>
          <w:rStyle w:val="TextoNormalCursivaCaracter"/>
        </w:rPr>
        <w:t xml:space="preserve"> Derecho de acceso a las funciones públicas en condiciones de igualdad: inadmisión de la cuestión por inadecuada realización del trámite de audiencia a las partes y al Ministerio Fiscal en el proceso judicial.</w:t>
      </w:r>
      <w:r>
        <w:tab/>
      </w:r>
      <w:r>
        <w:tab/>
      </w:r>
      <w:r>
        <w:fldChar w:fldCharType="begin"/>
      </w:r>
      <w:r>
        <w:instrText xml:space="preserve"> PAGEREF SENTENCIA_2015_157 \h </w:instrText>
      </w:r>
      <w:r>
        <w:fldChar w:fldCharType="separate"/>
      </w:r>
      <w:r w:rsidR="002F5064">
        <w:rPr>
          <w:noProof/>
        </w:rPr>
        <w:t>231</w:t>
      </w:r>
      <w:r>
        <w:fldChar w:fldCharType="end"/>
      </w:r>
    </w:p>
    <w:p w:rsidR="000E270F" w:rsidRDefault="000E270F" w:rsidP="000E270F"/>
    <w:p w:rsidR="000E270F" w:rsidRDefault="000E270F" w:rsidP="000E270F">
      <w:pPr>
        <w:pStyle w:val="EntradandiceSentencia"/>
      </w:pPr>
      <w:r>
        <w:t>Sala Segunda. Sentencia 158/2015, de 14 de julio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electoral 3810-2015. </w:t>
      </w:r>
      <w:r w:rsidRPr="000E270F">
        <w:rPr>
          <w:rStyle w:val="TextoNormalCursivaCaracter"/>
        </w:rPr>
        <w:t xml:space="preserve"> Supuesta vulneración del derecho de acceso a los cargos públicos en condiciones de igualdad: resolución judicial que da por válidos dos votos emitidos en papeletas a las que se había recortado el espacio inferior en blanco.</w:t>
      </w:r>
      <w:r>
        <w:tab/>
      </w:r>
      <w:r>
        <w:tab/>
      </w:r>
      <w:r>
        <w:fldChar w:fldCharType="begin"/>
      </w:r>
      <w:r>
        <w:instrText xml:space="preserve"> PAGEREF SENTENCIA_2015_158 \h </w:instrText>
      </w:r>
      <w:r>
        <w:fldChar w:fldCharType="separate"/>
      </w:r>
      <w:r w:rsidR="002F5064">
        <w:rPr>
          <w:noProof/>
        </w:rPr>
        <w:t>248</w:t>
      </w:r>
      <w:r>
        <w:fldChar w:fldCharType="end"/>
      </w:r>
    </w:p>
    <w:p w:rsidR="000E270F" w:rsidRDefault="000E270F" w:rsidP="000E270F"/>
    <w:p w:rsidR="000E270F" w:rsidRDefault="000E270F" w:rsidP="000E270F">
      <w:pPr>
        <w:pStyle w:val="EntradandiceSentencia"/>
      </w:pPr>
      <w:r>
        <w:t>Sala Segunda. Sentencia 159/2015, de 14 de julio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electoral 3811-2015. </w:t>
      </w:r>
      <w:r w:rsidRPr="000E270F">
        <w:rPr>
          <w:rStyle w:val="TextoNormalCursivaCaracter"/>
        </w:rPr>
        <w:t xml:space="preserve"> Vulneración de los derechos a la tutela judicial efectiva (acceso a la jurisdicción) y de acceso a los cargos públicos en condiciones de igualdad: resoluciones que impiden la revisión de votos anulados.</w:t>
      </w:r>
      <w:r>
        <w:tab/>
      </w:r>
      <w:r>
        <w:tab/>
      </w:r>
      <w:r>
        <w:fldChar w:fldCharType="begin"/>
      </w:r>
      <w:r>
        <w:instrText xml:space="preserve"> PAGEREF SENTENCIA_2015_159 \h </w:instrText>
      </w:r>
      <w:r>
        <w:fldChar w:fldCharType="separate"/>
      </w:r>
      <w:r w:rsidR="002F5064">
        <w:rPr>
          <w:noProof/>
        </w:rPr>
        <w:t>261</w:t>
      </w:r>
      <w:r>
        <w:fldChar w:fldCharType="end"/>
      </w:r>
    </w:p>
    <w:p w:rsidR="000E270F" w:rsidRDefault="000E270F" w:rsidP="000E270F"/>
    <w:p w:rsidR="000E270F" w:rsidRDefault="000E270F" w:rsidP="000E270F">
      <w:pPr>
        <w:pStyle w:val="EntradandiceSentencia"/>
      </w:pPr>
      <w:r>
        <w:t>Sala Segunda. Sentencia 160/2015, de 14 de julio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electoral 3826-2015. </w:t>
      </w:r>
      <w:r w:rsidRPr="000E270F">
        <w:rPr>
          <w:rStyle w:val="TextoNormalCursivaCaracter"/>
        </w:rPr>
        <w:t xml:space="preserve"> Alegada vulneración de los derechos a la igualdad, a la tutela judicial efectiva y de acceso a los cargos públicos en condiciones de igualdad: inadmisión del recurso de amparo electoral que no contiene justificación de su especial trascendencia constitucional.</w:t>
      </w:r>
      <w:r>
        <w:tab/>
      </w:r>
      <w:r>
        <w:tab/>
      </w:r>
      <w:r>
        <w:fldChar w:fldCharType="begin"/>
      </w:r>
      <w:r>
        <w:instrText xml:space="preserve"> PAGEREF SENTENCIA_2015_160 \h </w:instrText>
      </w:r>
      <w:r>
        <w:fldChar w:fldCharType="separate"/>
      </w:r>
      <w:r w:rsidR="002F5064">
        <w:rPr>
          <w:noProof/>
        </w:rPr>
        <w:t>283</w:t>
      </w:r>
      <w:r>
        <w:fldChar w:fldCharType="end"/>
      </w:r>
    </w:p>
    <w:p w:rsidR="000E270F" w:rsidRDefault="000E270F" w:rsidP="000E270F"/>
    <w:p w:rsidR="000E270F" w:rsidRDefault="000E270F" w:rsidP="000E270F">
      <w:pPr>
        <w:pStyle w:val="EntradandiceSentencia"/>
      </w:pPr>
      <w:r>
        <w:t>Sala Segunda. Sentencia 161/2015, de 20 de julio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4558-2013. </w:t>
      </w:r>
      <w:r w:rsidRPr="000E270F">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SENTENCIA_2015_161 \h </w:instrText>
      </w:r>
      <w:r>
        <w:fldChar w:fldCharType="separate"/>
      </w:r>
      <w:r w:rsidR="002F5064">
        <w:rPr>
          <w:noProof/>
        </w:rPr>
        <w:t>294</w:t>
      </w:r>
      <w:r>
        <w:fldChar w:fldCharType="end"/>
      </w:r>
    </w:p>
    <w:p w:rsidR="000E270F" w:rsidRDefault="000E270F" w:rsidP="000E270F"/>
    <w:p w:rsidR="000E270F" w:rsidRDefault="000E270F" w:rsidP="000E270F">
      <w:pPr>
        <w:pStyle w:val="EntradandiceSentencia"/>
      </w:pPr>
      <w:r>
        <w:t>Sala Segunda. Sentencia 162/2015, de 20 de julio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5371-2013. </w:t>
      </w:r>
      <w:r w:rsidRPr="000E270F">
        <w:rPr>
          <w:rStyle w:val="TextoNormalCursivaCaracter"/>
        </w:rPr>
        <w:t xml:space="preserve"> Principio de irretroactividad de las normas restrictivas de derechos individuales y expropiación de derechos económicos: extinción, por pérdida de objeto, de la cuestión de inconstitucionalidad (STC 83/2015).</w:t>
      </w:r>
      <w:r>
        <w:tab/>
      </w:r>
      <w:r>
        <w:tab/>
      </w:r>
      <w:r>
        <w:fldChar w:fldCharType="begin"/>
      </w:r>
      <w:r>
        <w:instrText xml:space="preserve"> PAGEREF SENTENCIA_2015_162 \h </w:instrText>
      </w:r>
      <w:r>
        <w:fldChar w:fldCharType="separate"/>
      </w:r>
      <w:r w:rsidR="002F5064">
        <w:rPr>
          <w:noProof/>
        </w:rPr>
        <w:t>306</w:t>
      </w:r>
      <w:r>
        <w:fldChar w:fldCharType="end"/>
      </w:r>
    </w:p>
    <w:p w:rsidR="000E270F" w:rsidRDefault="000E270F" w:rsidP="000E270F"/>
    <w:p w:rsidR="000E270F" w:rsidRDefault="000E270F" w:rsidP="000E270F">
      <w:pPr>
        <w:pStyle w:val="EntradandiceSentencia"/>
      </w:pPr>
      <w:r>
        <w:t>Sala Segunda. Sentencia 163/2015, de 20 de julio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5372-2013. </w:t>
      </w:r>
      <w:r w:rsidRPr="000E270F">
        <w:rPr>
          <w:rStyle w:val="TextoNormalCursivaCaracter"/>
        </w:rPr>
        <w:t xml:space="preserve"> Principio de irretroactividad de las normas restrictivas de derechos individuales y expropiación de derechos económicos: extinción, por pérdida de objeto, de la cuestión de inconstitucionalidad (STC 83/2015).</w:t>
      </w:r>
      <w:r>
        <w:tab/>
      </w:r>
      <w:r>
        <w:tab/>
      </w:r>
      <w:r>
        <w:fldChar w:fldCharType="begin"/>
      </w:r>
      <w:r>
        <w:instrText xml:space="preserve"> PAGEREF SENTENCIA_2015_163 \h </w:instrText>
      </w:r>
      <w:r>
        <w:fldChar w:fldCharType="separate"/>
      </w:r>
      <w:r w:rsidR="002F5064">
        <w:rPr>
          <w:noProof/>
        </w:rPr>
        <w:t>316</w:t>
      </w:r>
      <w:r>
        <w:fldChar w:fldCharType="end"/>
      </w:r>
    </w:p>
    <w:p w:rsidR="000E270F" w:rsidRDefault="000E270F" w:rsidP="000E270F"/>
    <w:p w:rsidR="000E270F" w:rsidRDefault="000E270F" w:rsidP="000E270F">
      <w:pPr>
        <w:pStyle w:val="EntradandiceSentencia"/>
      </w:pPr>
      <w:r>
        <w:t>Sala Segunda. Sentencia 164/2015, de 20 de julio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5373-2013. </w:t>
      </w:r>
      <w:r w:rsidRPr="000E270F">
        <w:rPr>
          <w:rStyle w:val="TextoNormalCursivaCaracter"/>
        </w:rPr>
        <w:t xml:space="preserve"> Principio de irretroactividad de las normas restrictivas de derechos individuales y expropiación de derechos económicos: extinción, por pérdida de objeto, de la cuestión de inconstitucionalidad (STC 83/2015).</w:t>
      </w:r>
      <w:r>
        <w:tab/>
      </w:r>
      <w:r>
        <w:tab/>
      </w:r>
      <w:r>
        <w:fldChar w:fldCharType="begin"/>
      </w:r>
      <w:r>
        <w:instrText xml:space="preserve"> PAGEREF SENTENCIA_2015_164 \h </w:instrText>
      </w:r>
      <w:r>
        <w:fldChar w:fldCharType="separate"/>
      </w:r>
      <w:r w:rsidR="002F5064">
        <w:rPr>
          <w:noProof/>
        </w:rPr>
        <w:t>327</w:t>
      </w:r>
      <w:r>
        <w:fldChar w:fldCharType="end"/>
      </w:r>
    </w:p>
    <w:p w:rsidR="000E270F" w:rsidRDefault="000E270F" w:rsidP="000E270F"/>
    <w:p w:rsidR="000E270F" w:rsidRDefault="000E270F" w:rsidP="000E270F">
      <w:pPr>
        <w:pStyle w:val="EntradandiceSentencia"/>
      </w:pPr>
      <w:r>
        <w:t>Sala Segunda. Sentencia 165/2015, de 20 de julio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5374-2013. </w:t>
      </w:r>
      <w:r w:rsidRPr="000E270F">
        <w:rPr>
          <w:rStyle w:val="TextoNormalCursivaCaracter"/>
        </w:rPr>
        <w:t xml:space="preserve"> Principio de irretroactividad de las normas restrictivas de derechos individuales y expropiación de derechos económicos: extinción, por pérdida de objeto, de la cuestión de inconstitucionalidad (STC 83/2015).</w:t>
      </w:r>
      <w:r>
        <w:tab/>
      </w:r>
      <w:r>
        <w:tab/>
      </w:r>
      <w:r>
        <w:fldChar w:fldCharType="begin"/>
      </w:r>
      <w:r>
        <w:instrText xml:space="preserve"> PAGEREF SENTENCIA_2015_165 \h </w:instrText>
      </w:r>
      <w:r>
        <w:fldChar w:fldCharType="separate"/>
      </w:r>
      <w:r w:rsidR="002F5064">
        <w:rPr>
          <w:noProof/>
        </w:rPr>
        <w:t>337</w:t>
      </w:r>
      <w:r>
        <w:fldChar w:fldCharType="end"/>
      </w:r>
    </w:p>
    <w:p w:rsidR="000E270F" w:rsidRDefault="000E270F" w:rsidP="000E270F"/>
    <w:p w:rsidR="000E270F" w:rsidRDefault="000E270F" w:rsidP="000E270F">
      <w:pPr>
        <w:pStyle w:val="EntradandiceSentencia"/>
      </w:pPr>
      <w:r>
        <w:t>Sala Primera. Sentencia 166/2015, de 20 de julio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5375-2013. </w:t>
      </w:r>
      <w:r w:rsidRPr="000E270F">
        <w:rPr>
          <w:rStyle w:val="TextoNormalCursivaCaracter"/>
        </w:rPr>
        <w:t xml:space="preserve"> Principio de irretroactividad de las normas restrictivas de derechos individuales y expropiación de derechos económicos: extinción, por pérdida de objeto, de la cuestión de inconstitucionalidad (STC 83/2015).</w:t>
      </w:r>
      <w:r>
        <w:tab/>
      </w:r>
      <w:r>
        <w:tab/>
      </w:r>
      <w:r>
        <w:fldChar w:fldCharType="begin"/>
      </w:r>
      <w:r>
        <w:instrText xml:space="preserve"> PAGEREF SENTENCIA_2015_166 \h </w:instrText>
      </w:r>
      <w:r>
        <w:fldChar w:fldCharType="separate"/>
      </w:r>
      <w:r w:rsidR="002F5064">
        <w:rPr>
          <w:noProof/>
        </w:rPr>
        <w:t>348</w:t>
      </w:r>
      <w:r>
        <w:fldChar w:fldCharType="end"/>
      </w:r>
    </w:p>
    <w:p w:rsidR="000E270F" w:rsidRDefault="000E270F" w:rsidP="000E270F"/>
    <w:p w:rsidR="000E270F" w:rsidRDefault="000E270F" w:rsidP="000E270F">
      <w:pPr>
        <w:pStyle w:val="EntradandiceSentencia"/>
      </w:pPr>
      <w:r>
        <w:t>Sala Segunda. Sentencia 167/2015, de 20 de julio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6203-2013. </w:t>
      </w:r>
      <w:r w:rsidRPr="000E270F">
        <w:rPr>
          <w:rStyle w:val="TextoNormalCursivaCaracter"/>
        </w:rPr>
        <w:t xml:space="preserve"> Vulneración del derecho a la tutela judicial sin indefensión: resolución judicial que no realiza una especial ponderación de la situación de violencia de género que estaba padeciendo la ejecutada no emplazada al proceso hipotecario.</w:t>
      </w:r>
      <w:r>
        <w:tab/>
      </w:r>
      <w:r>
        <w:tab/>
      </w:r>
      <w:r>
        <w:fldChar w:fldCharType="begin"/>
      </w:r>
      <w:r>
        <w:instrText xml:space="preserve"> PAGEREF SENTENCIA_2015_167 \h </w:instrText>
      </w:r>
      <w:r>
        <w:fldChar w:fldCharType="separate"/>
      </w:r>
      <w:r w:rsidR="002F5064">
        <w:rPr>
          <w:noProof/>
        </w:rPr>
        <w:t>358</w:t>
      </w:r>
      <w:r>
        <w:fldChar w:fldCharType="end"/>
      </w:r>
    </w:p>
    <w:p w:rsidR="000E270F" w:rsidRDefault="000E270F" w:rsidP="000E270F"/>
    <w:p w:rsidR="000E270F" w:rsidRDefault="000E270F" w:rsidP="000E270F">
      <w:pPr>
        <w:pStyle w:val="EntradandiceSentencia"/>
      </w:pPr>
      <w:r>
        <w:t>Sala Primera. Sentencia 168/2015, de 20 de julio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7166-2013. </w:t>
      </w:r>
      <w:r w:rsidRPr="000E270F">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SENTENCIA_2015_168 \h </w:instrText>
      </w:r>
      <w:r>
        <w:fldChar w:fldCharType="separate"/>
      </w:r>
      <w:r w:rsidR="002F5064">
        <w:rPr>
          <w:noProof/>
        </w:rPr>
        <w:t>368</w:t>
      </w:r>
      <w:r>
        <w:fldChar w:fldCharType="end"/>
      </w:r>
    </w:p>
    <w:p w:rsidR="000E270F" w:rsidRDefault="000E270F" w:rsidP="000E270F"/>
    <w:p w:rsidR="000E270F" w:rsidRDefault="000E270F" w:rsidP="000E270F">
      <w:pPr>
        <w:pStyle w:val="EntradandiceSentencia"/>
      </w:pPr>
      <w:r>
        <w:t>Sala Segunda. Sentencia 169/2015, de 20 de julio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7452-2013. </w:t>
      </w:r>
      <w:r w:rsidRPr="000E270F">
        <w:rPr>
          <w:rStyle w:val="TextoNormalCursivaCaracter"/>
        </w:rPr>
        <w:t xml:space="preserve"> Vulneración del derecho a la tutela judicial (resolución fundada en Derecho): desestimación del recurso contencioso-administrativo fundada en una alteración de la naturaleza jurídica del acto impugnado, al que no se atribuye carácter sancionador sino reparador.</w:t>
      </w:r>
      <w:r>
        <w:tab/>
      </w:r>
      <w:r>
        <w:tab/>
      </w:r>
      <w:r>
        <w:fldChar w:fldCharType="begin"/>
      </w:r>
      <w:r>
        <w:instrText xml:space="preserve"> PAGEREF SENTENCIA_2015_169 \h </w:instrText>
      </w:r>
      <w:r>
        <w:fldChar w:fldCharType="separate"/>
      </w:r>
      <w:r w:rsidR="002F5064">
        <w:rPr>
          <w:noProof/>
        </w:rPr>
        <w:t>379</w:t>
      </w:r>
      <w:r>
        <w:fldChar w:fldCharType="end"/>
      </w:r>
    </w:p>
    <w:p w:rsidR="000E270F" w:rsidRDefault="000E270F" w:rsidP="000E270F"/>
    <w:p w:rsidR="000E270F" w:rsidRDefault="000E270F" w:rsidP="000E270F">
      <w:pPr>
        <w:pStyle w:val="EntradandiceSentencia"/>
      </w:pPr>
      <w:r>
        <w:t>Sala Primera. Sentencia 170/2015, de 20 de julio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743-2014. </w:t>
      </w:r>
      <w:r w:rsidRPr="000E270F">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SENTENCIA_2015_170 \h </w:instrText>
      </w:r>
      <w:r>
        <w:fldChar w:fldCharType="separate"/>
      </w:r>
      <w:r w:rsidR="002F5064">
        <w:rPr>
          <w:noProof/>
        </w:rPr>
        <w:t>395</w:t>
      </w:r>
      <w:r>
        <w:fldChar w:fldCharType="end"/>
      </w:r>
    </w:p>
    <w:p w:rsidR="000E270F" w:rsidRDefault="000E270F" w:rsidP="000E270F"/>
    <w:p w:rsidR="000E270F" w:rsidRDefault="000E270F" w:rsidP="000E270F">
      <w:pPr>
        <w:pStyle w:val="EntradandiceSentencia"/>
      </w:pPr>
      <w:r>
        <w:t>Sala Segunda. Sentencia 171/2015, de 20 de julio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890-2014. </w:t>
      </w:r>
      <w:r w:rsidRPr="000E270F">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SENTENCIA_2015_171 \h </w:instrText>
      </w:r>
      <w:r>
        <w:fldChar w:fldCharType="separate"/>
      </w:r>
      <w:r w:rsidR="002F5064">
        <w:rPr>
          <w:noProof/>
        </w:rPr>
        <w:t>407</w:t>
      </w:r>
      <w:r>
        <w:fldChar w:fldCharType="end"/>
      </w:r>
    </w:p>
    <w:p w:rsidR="000E270F" w:rsidRDefault="000E270F" w:rsidP="000E270F"/>
    <w:p w:rsidR="000E270F" w:rsidRDefault="000E270F" w:rsidP="000E270F">
      <w:pPr>
        <w:pStyle w:val="EntradandiceSentencia"/>
      </w:pPr>
      <w:r>
        <w:t>Sala Primera. Sentencia 172/2015, de 20 de julio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3311-2014. </w:t>
      </w:r>
      <w:r w:rsidRPr="000E270F">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SENTENCIA_2015_172 \h </w:instrText>
      </w:r>
      <w:r>
        <w:fldChar w:fldCharType="separate"/>
      </w:r>
      <w:r w:rsidR="002F5064">
        <w:rPr>
          <w:noProof/>
        </w:rPr>
        <w:t>418</w:t>
      </w:r>
      <w:r>
        <w:fldChar w:fldCharType="end"/>
      </w:r>
    </w:p>
    <w:p w:rsidR="000E270F" w:rsidRDefault="000E270F" w:rsidP="000E270F"/>
    <w:p w:rsidR="000E270F" w:rsidRDefault="000E270F" w:rsidP="000E270F">
      <w:pPr>
        <w:pStyle w:val="EntradandiceSentencia"/>
      </w:pPr>
      <w:r>
        <w:t>Sala Segunda. Sentencia 173/2015, de 20 de julio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4552-2014. </w:t>
      </w:r>
      <w:r w:rsidRPr="000E270F">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SENTENCIA_2015_173 \h </w:instrText>
      </w:r>
      <w:r>
        <w:fldChar w:fldCharType="separate"/>
      </w:r>
      <w:r w:rsidR="002F5064">
        <w:rPr>
          <w:noProof/>
        </w:rPr>
        <w:t>429</w:t>
      </w:r>
      <w:r>
        <w:fldChar w:fldCharType="end"/>
      </w:r>
    </w:p>
    <w:p w:rsidR="000E270F" w:rsidRDefault="000E270F" w:rsidP="000E270F"/>
    <w:p w:rsidR="000E270F" w:rsidRDefault="000E270F" w:rsidP="000E270F">
      <w:pPr>
        <w:pStyle w:val="EntradandiceSentencia"/>
      </w:pPr>
      <w:r>
        <w:t>Sala Segunda. Sentencia 174/2015, de 20 de julio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5186-2014. </w:t>
      </w:r>
      <w:r w:rsidRPr="000E270F">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SENTENCIA_2015_174 \h </w:instrText>
      </w:r>
      <w:r>
        <w:fldChar w:fldCharType="separate"/>
      </w:r>
      <w:r w:rsidR="002F5064">
        <w:rPr>
          <w:noProof/>
        </w:rPr>
        <w:t>441</w:t>
      </w:r>
      <w:r>
        <w:fldChar w:fldCharType="end"/>
      </w:r>
    </w:p>
    <w:p w:rsidR="000E270F" w:rsidRDefault="000E270F" w:rsidP="000E270F"/>
    <w:p w:rsidR="000E270F" w:rsidRDefault="000E270F" w:rsidP="000E270F">
      <w:pPr>
        <w:pStyle w:val="EntradandiceSentencia"/>
      </w:pPr>
      <w:r>
        <w:t>Sala Primera. Sentencia 175/2015, de 20 de julio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5344-2014. </w:t>
      </w:r>
      <w:r w:rsidRPr="000E270F">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SENTENCIA_2015_175 \h </w:instrText>
      </w:r>
      <w:r>
        <w:fldChar w:fldCharType="separate"/>
      </w:r>
      <w:r w:rsidR="002F5064">
        <w:rPr>
          <w:noProof/>
        </w:rPr>
        <w:t>453</w:t>
      </w:r>
      <w:r>
        <w:fldChar w:fldCharType="end"/>
      </w:r>
    </w:p>
    <w:p w:rsidR="000E270F" w:rsidRDefault="000E270F" w:rsidP="000E270F"/>
    <w:p w:rsidR="000E270F" w:rsidRDefault="000E270F" w:rsidP="000E270F">
      <w:pPr>
        <w:pStyle w:val="EntradandiceSentencia"/>
      </w:pPr>
      <w:r>
        <w:t>Pleno. Sentencia 176/2015, de 22 de julio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inconstitucionalidad 6084-2007. </w:t>
      </w:r>
      <w:r w:rsidRPr="000E270F">
        <w:rPr>
          <w:rStyle w:val="TextoNormalCursivaCaracter"/>
        </w:rPr>
        <w:t xml:space="preserve"> Principio de igualdad, libertad de creación de centros docentes, derecho de acceso en condiciones de igualdad a las funciones públicas, reserva de ley orgánica y competencias sobre universidades: constitucionalidad de los preceptos relativos a los órganos de gobierno y representación de las universidades privadas; la Conferencia general de política universitaria; el régimen de títulos y estructura de las enseñanzas oficiales, y régimen jurídico y concursos de acceso a los cuerpos docentes universitarios. Voto particular.</w:t>
      </w:r>
      <w:r>
        <w:tab/>
      </w:r>
      <w:r>
        <w:tab/>
      </w:r>
      <w:r>
        <w:fldChar w:fldCharType="begin"/>
      </w:r>
      <w:r>
        <w:instrText xml:space="preserve"> PAGEREF SENTENCIA_2015_176 \h </w:instrText>
      </w:r>
      <w:r>
        <w:fldChar w:fldCharType="separate"/>
      </w:r>
      <w:r w:rsidR="002F5064">
        <w:rPr>
          <w:noProof/>
        </w:rPr>
        <w:t>464</w:t>
      </w:r>
      <w:r>
        <w:fldChar w:fldCharType="end"/>
      </w:r>
    </w:p>
    <w:p w:rsidR="000E270F" w:rsidRDefault="000E270F" w:rsidP="000E270F"/>
    <w:p w:rsidR="000E270F" w:rsidRDefault="000E270F" w:rsidP="000E270F">
      <w:pPr>
        <w:pStyle w:val="EntradandiceSentencia"/>
      </w:pPr>
      <w:r>
        <w:t>Pleno. Sentencia 177/2015, de 22 de julio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956-2009. </w:t>
      </w:r>
      <w:r w:rsidRPr="000E270F">
        <w:rPr>
          <w:rStyle w:val="TextoNormalCursivaCaracter"/>
        </w:rPr>
        <w:t xml:space="preserve"> Supuesta vulneración de los derechos a la libertad ideológica y de expresión: quema pública del retrato de los Reyes constitutiva de una incitación al odio. Votos particulares.</w:t>
      </w:r>
      <w:r>
        <w:tab/>
      </w:r>
      <w:r>
        <w:tab/>
      </w:r>
      <w:r>
        <w:fldChar w:fldCharType="begin"/>
      </w:r>
      <w:r>
        <w:instrText xml:space="preserve"> PAGEREF SENTENCIA_2015_177 \h </w:instrText>
      </w:r>
      <w:r>
        <w:fldChar w:fldCharType="separate"/>
      </w:r>
      <w:r w:rsidR="002F5064">
        <w:rPr>
          <w:noProof/>
        </w:rPr>
        <w:t>509</w:t>
      </w:r>
      <w:r>
        <w:fldChar w:fldCharType="end"/>
      </w:r>
    </w:p>
    <w:p w:rsidR="000E270F" w:rsidRDefault="000E270F" w:rsidP="000E270F"/>
    <w:p w:rsidR="000E270F" w:rsidRDefault="000E270F" w:rsidP="000E270F">
      <w:pPr>
        <w:pStyle w:val="EntradandiceSentencia"/>
      </w:pPr>
      <w:r>
        <w:t>Sala Segunda. Sentencia 178/2015, de 7 de septiembre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Conflicto positivo de competencia 974-2010. </w:t>
      </w:r>
      <w:r w:rsidRPr="000E270F">
        <w:rPr>
          <w:rStyle w:val="TextoNormalCursivaCaracter"/>
        </w:rPr>
        <w:t xml:space="preserve"> Competencias en materia laboral y de seguridad social: atribución de competencias de gestión de subvenciones al Servicio Público de Empleo Estatal que vulnera las competencias autonómicas (STC 88/2014). Votos particulares.</w:t>
      </w:r>
      <w:r>
        <w:tab/>
      </w:r>
      <w:r>
        <w:tab/>
      </w:r>
      <w:r>
        <w:fldChar w:fldCharType="begin"/>
      </w:r>
      <w:r>
        <w:instrText xml:space="preserve"> PAGEREF SENTENCIA_2015_178 \h </w:instrText>
      </w:r>
      <w:r>
        <w:fldChar w:fldCharType="separate"/>
      </w:r>
      <w:r w:rsidR="002F5064">
        <w:rPr>
          <w:noProof/>
        </w:rPr>
        <w:t>545</w:t>
      </w:r>
      <w:r>
        <w:fldChar w:fldCharType="end"/>
      </w:r>
    </w:p>
    <w:p w:rsidR="000E270F" w:rsidRDefault="000E270F" w:rsidP="000E270F"/>
    <w:p w:rsidR="000E270F" w:rsidRDefault="000E270F" w:rsidP="000E270F">
      <w:pPr>
        <w:pStyle w:val="EntradandiceSentencia"/>
      </w:pPr>
      <w:r>
        <w:t>Sala Segunda. Sentencia 179/2015, de 7 de septiembre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2649-2013. </w:t>
      </w:r>
      <w:r w:rsidRPr="000E270F">
        <w:rPr>
          <w:rStyle w:val="TextoNormalCursivaCaracter"/>
        </w:rPr>
        <w:t xml:space="preserve"> Supuesta vulneración de los derechos a la tutela judicial efectiva (acceso al recurso) y a la igualdad ante la ley: inadmisión de un recurso de casación basada en la omisión, en el escrito de preparación, de la cita de las normas y jurisprudencia que el recurrente consideraba infringidas (STC 7/2015).</w:t>
      </w:r>
      <w:r>
        <w:tab/>
      </w:r>
      <w:r>
        <w:tab/>
      </w:r>
      <w:r>
        <w:fldChar w:fldCharType="begin"/>
      </w:r>
      <w:r>
        <w:instrText xml:space="preserve"> PAGEREF SENTENCIA_2015_179 \h </w:instrText>
      </w:r>
      <w:r>
        <w:fldChar w:fldCharType="separate"/>
      </w:r>
      <w:r w:rsidR="002F5064">
        <w:rPr>
          <w:noProof/>
        </w:rPr>
        <w:t>566</w:t>
      </w:r>
      <w:r>
        <w:fldChar w:fldCharType="end"/>
      </w:r>
    </w:p>
    <w:p w:rsidR="000E270F" w:rsidRDefault="000E270F" w:rsidP="000E270F"/>
    <w:p w:rsidR="000E270F" w:rsidRDefault="000E270F" w:rsidP="000E270F">
      <w:pPr>
        <w:pStyle w:val="EntradandiceSentencia"/>
      </w:pPr>
      <w:r>
        <w:t>Sala Segunda. Sentencia 180/2015, de 7 de septiembre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3372-2013. </w:t>
      </w:r>
      <w:r w:rsidRPr="000E270F">
        <w:rPr>
          <w:rStyle w:val="TextoNormalCursivaCaracter"/>
        </w:rPr>
        <w:t xml:space="preserve"> Vulneración del derecho a la tutela judicial efectiva (acceso al recurso): inadmisión sin motivación de un incidente de nulidad de actuaciones (STC 142/2015).</w:t>
      </w:r>
      <w:r>
        <w:tab/>
      </w:r>
      <w:r>
        <w:tab/>
      </w:r>
      <w:r>
        <w:fldChar w:fldCharType="begin"/>
      </w:r>
      <w:r>
        <w:instrText xml:space="preserve"> PAGEREF SENTENCIA_2015_180 \h </w:instrText>
      </w:r>
      <w:r>
        <w:fldChar w:fldCharType="separate"/>
      </w:r>
      <w:r w:rsidR="002F5064">
        <w:rPr>
          <w:noProof/>
        </w:rPr>
        <w:t>575</w:t>
      </w:r>
      <w:r>
        <w:fldChar w:fldCharType="end"/>
      </w:r>
    </w:p>
    <w:p w:rsidR="000E270F" w:rsidRDefault="000E270F" w:rsidP="000E270F"/>
    <w:p w:rsidR="000E270F" w:rsidRDefault="000E270F" w:rsidP="000E270F">
      <w:pPr>
        <w:pStyle w:val="EntradandiceSentencia"/>
      </w:pPr>
      <w:r>
        <w:t>Sala Segunda. Sentencia 181/2015, de 7 de septiembre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4572-2013. </w:t>
      </w:r>
      <w:r w:rsidRPr="000E270F">
        <w:rPr>
          <w:rStyle w:val="TextoNormalCursivaCaracter"/>
        </w:rPr>
        <w:t xml:space="preserve"> Vulneración del derecho a la tutela judicial sin indefensión: emplazamiento mediante edictos del demandado, cuyo domicilio y correo electrónico figuraban en la documentación obrante en autos (STC 30/2014).</w:t>
      </w:r>
      <w:r>
        <w:tab/>
      </w:r>
      <w:r>
        <w:tab/>
      </w:r>
      <w:r>
        <w:fldChar w:fldCharType="begin"/>
      </w:r>
      <w:r>
        <w:instrText xml:space="preserve"> PAGEREF SENTENCIA_2015_181 \h </w:instrText>
      </w:r>
      <w:r>
        <w:fldChar w:fldCharType="separate"/>
      </w:r>
      <w:r w:rsidR="002F5064">
        <w:rPr>
          <w:noProof/>
        </w:rPr>
        <w:t>585</w:t>
      </w:r>
      <w:r>
        <w:fldChar w:fldCharType="end"/>
      </w:r>
    </w:p>
    <w:p w:rsidR="000E270F" w:rsidRDefault="000E270F" w:rsidP="000E270F"/>
    <w:p w:rsidR="000E270F" w:rsidRDefault="000E270F" w:rsidP="000E270F">
      <w:pPr>
        <w:pStyle w:val="EntradandiceSentencia"/>
      </w:pPr>
      <w:r>
        <w:t>Sala Segunda. Sentencia 182/2015, de 7 de septiembre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5924-2014. </w:t>
      </w:r>
      <w:r w:rsidRPr="000E270F">
        <w:rPr>
          <w:rStyle w:val="TextoNormalCursivaCaracter"/>
        </w:rPr>
        <w:t xml:space="preserve"> Vulneración del derecho a la libertad personal: resolución judicial tardía y fundada en una interpretación de los plazos de ratificación de la medida de internamiento involuntario contraria a la efectividad del derecho fundamental afectado.</w:t>
      </w:r>
      <w:r>
        <w:tab/>
      </w:r>
      <w:r>
        <w:tab/>
      </w:r>
      <w:r>
        <w:fldChar w:fldCharType="begin"/>
      </w:r>
      <w:r>
        <w:instrText xml:space="preserve"> PAGEREF SENTENCIA_2015_182 \h </w:instrText>
      </w:r>
      <w:r>
        <w:fldChar w:fldCharType="separate"/>
      </w:r>
      <w:r w:rsidR="002F5064">
        <w:rPr>
          <w:noProof/>
        </w:rPr>
        <w:t>599</w:t>
      </w:r>
      <w:r>
        <w:fldChar w:fldCharType="end"/>
      </w:r>
    </w:p>
    <w:p w:rsidR="000E270F" w:rsidRDefault="000E270F" w:rsidP="000E270F"/>
    <w:p w:rsidR="000E270F" w:rsidRDefault="000E270F" w:rsidP="000E270F">
      <w:pPr>
        <w:pStyle w:val="EntradandiceSentencia"/>
      </w:pPr>
      <w:r>
        <w:t>Pleno. Sentencia 183/2015, de 10 de septiembre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155-2013. </w:t>
      </w:r>
      <w:r w:rsidRPr="000E270F">
        <w:rPr>
          <w:rStyle w:val="TextoNormalCursivaCaracter"/>
        </w:rPr>
        <w:t xml:space="preserve"> Supuesta vulneración del derecho a la tutela judicial efectiva (garantía de indemnidad): extinción contractual comunicada resulta ajena a todo móvil de represalia por el ejercicio del derecho a la tutela judicial (STC 125/2008). Voto particular.</w:t>
      </w:r>
      <w:r>
        <w:tab/>
      </w:r>
      <w:r>
        <w:tab/>
      </w:r>
      <w:r>
        <w:fldChar w:fldCharType="begin"/>
      </w:r>
      <w:r>
        <w:instrText xml:space="preserve"> PAGEREF SENTENCIA_2015_183 \h </w:instrText>
      </w:r>
      <w:r>
        <w:fldChar w:fldCharType="separate"/>
      </w:r>
      <w:r w:rsidR="002F5064">
        <w:rPr>
          <w:noProof/>
        </w:rPr>
        <w:t>612</w:t>
      </w:r>
      <w:r>
        <w:fldChar w:fldCharType="end"/>
      </w:r>
    </w:p>
    <w:p w:rsidR="000E270F" w:rsidRDefault="000E270F" w:rsidP="000E270F"/>
    <w:p w:rsidR="000E270F" w:rsidRDefault="000E270F" w:rsidP="000E270F">
      <w:pPr>
        <w:pStyle w:val="EntradandiceSentencia"/>
      </w:pPr>
      <w:r>
        <w:t>Pleno. Sentencia 184/2015, de 10 de septiembre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3623-2013. </w:t>
      </w:r>
      <w:r w:rsidRPr="000E270F">
        <w:rPr>
          <w:rStyle w:val="TextoNormalCursivaCaracter"/>
        </w:rPr>
        <w:t xml:space="preserve"> Principio de irretroactividad de las normas restrictivas de derechos individuales y expropiación de derechos económicos: extinción, por pérdida de objeto, de la cuestión de inconstitucionalidad (STC 83/2015).</w:t>
      </w:r>
      <w:r>
        <w:tab/>
      </w:r>
      <w:r>
        <w:tab/>
      </w:r>
      <w:r>
        <w:fldChar w:fldCharType="begin"/>
      </w:r>
      <w:r>
        <w:instrText xml:space="preserve"> PAGEREF SENTENCIA_2015_184 \h </w:instrText>
      </w:r>
      <w:r>
        <w:fldChar w:fldCharType="separate"/>
      </w:r>
      <w:r w:rsidR="002F5064">
        <w:rPr>
          <w:noProof/>
        </w:rPr>
        <w:t>628</w:t>
      </w:r>
      <w:r>
        <w:fldChar w:fldCharType="end"/>
      </w:r>
    </w:p>
    <w:p w:rsidR="000E270F" w:rsidRDefault="000E270F" w:rsidP="000E270F"/>
    <w:p w:rsidR="000E270F" w:rsidRDefault="000E270F" w:rsidP="000E270F">
      <w:pPr>
        <w:pStyle w:val="EntradandiceSentencia"/>
      </w:pPr>
      <w:r>
        <w:t>Sala Segunda. Sentencia 185/2015, de 21 de septiembre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Conflicto positivo de competencia 4602-2010. </w:t>
      </w:r>
      <w:r w:rsidRPr="000E270F">
        <w:rPr>
          <w:rStyle w:val="TextoNormalCursivaCaracter"/>
        </w:rPr>
        <w:t xml:space="preserve"> Competencias en materia laboral y de seguridad social: adecuado ejercicio de las competencias estatales (STC 88/2014). Voto particular.</w:t>
      </w:r>
      <w:r>
        <w:tab/>
      </w:r>
      <w:r>
        <w:tab/>
      </w:r>
      <w:r>
        <w:fldChar w:fldCharType="begin"/>
      </w:r>
      <w:r>
        <w:instrText xml:space="preserve"> PAGEREF SENTENCIA_2015_185 \h </w:instrText>
      </w:r>
      <w:r>
        <w:fldChar w:fldCharType="separate"/>
      </w:r>
      <w:r w:rsidR="002F5064">
        <w:rPr>
          <w:noProof/>
        </w:rPr>
        <w:t>642</w:t>
      </w:r>
      <w:r>
        <w:fldChar w:fldCharType="end"/>
      </w:r>
    </w:p>
    <w:p w:rsidR="000E270F" w:rsidRDefault="000E270F" w:rsidP="000E270F"/>
    <w:p w:rsidR="000E270F" w:rsidRDefault="000E270F" w:rsidP="000E270F">
      <w:pPr>
        <w:pStyle w:val="EntradandiceSentencia"/>
      </w:pPr>
      <w:r>
        <w:t>Sala Segunda. Sentencia 186/2015, de 21 de septiembre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5987-2012. </w:t>
      </w:r>
      <w:r w:rsidRPr="000E270F">
        <w:rPr>
          <w:rStyle w:val="TextoNormalCursivaCaracter"/>
        </w:rPr>
        <w:t xml:space="preserve"> Vulneración del derecho a la tutela judicial efectiva (acceso al recurso): resolución judicial que inadmite un recurso contencioso-administrativo por incumplimiento de la carga de aportar los documentos acreditativos de la satisfacción de los requisitos exigidos para entablar acciones las personas jurídicas, incurriendo en error patente (STC 167/2014).</w:t>
      </w:r>
      <w:r>
        <w:tab/>
      </w:r>
      <w:r>
        <w:tab/>
      </w:r>
      <w:r>
        <w:fldChar w:fldCharType="begin"/>
      </w:r>
      <w:r>
        <w:instrText xml:space="preserve"> PAGEREF SENTENCIA_2015_186 \h </w:instrText>
      </w:r>
      <w:r>
        <w:fldChar w:fldCharType="separate"/>
      </w:r>
      <w:r w:rsidR="002F5064">
        <w:rPr>
          <w:noProof/>
        </w:rPr>
        <w:t>664</w:t>
      </w:r>
      <w:r>
        <w:fldChar w:fldCharType="end"/>
      </w:r>
    </w:p>
    <w:p w:rsidR="000E270F" w:rsidRDefault="000E270F" w:rsidP="000E270F"/>
    <w:p w:rsidR="000E270F" w:rsidRDefault="000E270F" w:rsidP="000E270F">
      <w:pPr>
        <w:pStyle w:val="EntradandiceSentencia"/>
      </w:pPr>
      <w:r>
        <w:t>Sala Primera. Sentencia 187/2015, de 21 de septiembre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1388-2013. </w:t>
      </w:r>
      <w:r w:rsidRPr="000E270F">
        <w:rPr>
          <w:rStyle w:val="TextoNormalCursivaCaracter"/>
        </w:rPr>
        <w:t xml:space="preserve"> Vulneración del derecho a la libertad de expresión en conexión con el derecho a la defensa: funcionario público sancionado por las afirmaciones vertidas en su denuncia de acoso en el trabajo.</w:t>
      </w:r>
      <w:r>
        <w:tab/>
      </w:r>
      <w:r>
        <w:tab/>
      </w:r>
      <w:r>
        <w:fldChar w:fldCharType="begin"/>
      </w:r>
      <w:r>
        <w:instrText xml:space="preserve"> PAGEREF SENTENCIA_2015_187 \h </w:instrText>
      </w:r>
      <w:r>
        <w:fldChar w:fldCharType="separate"/>
      </w:r>
      <w:r w:rsidR="002F5064">
        <w:rPr>
          <w:noProof/>
        </w:rPr>
        <w:t>685</w:t>
      </w:r>
      <w:r>
        <w:fldChar w:fldCharType="end"/>
      </w:r>
    </w:p>
    <w:p w:rsidR="000E270F" w:rsidRDefault="000E270F" w:rsidP="000E270F"/>
    <w:p w:rsidR="000E270F" w:rsidRDefault="000E270F" w:rsidP="000E270F">
      <w:pPr>
        <w:pStyle w:val="EntradandiceSentencia"/>
      </w:pPr>
      <w:r>
        <w:t>Sala Primera. Sentencia 188/2015, de 21 de septiembre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5370-2013. </w:t>
      </w:r>
      <w:r w:rsidRPr="000E270F">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SENTENCIA_2015_188 \h </w:instrText>
      </w:r>
      <w:r>
        <w:fldChar w:fldCharType="separate"/>
      </w:r>
      <w:r w:rsidR="002F5064">
        <w:rPr>
          <w:noProof/>
        </w:rPr>
        <w:t>701</w:t>
      </w:r>
      <w:r>
        <w:fldChar w:fldCharType="end"/>
      </w:r>
    </w:p>
    <w:p w:rsidR="000E270F" w:rsidRDefault="000E270F" w:rsidP="000E270F"/>
    <w:p w:rsidR="000E270F" w:rsidRDefault="000E270F" w:rsidP="000E270F">
      <w:pPr>
        <w:pStyle w:val="EntradandiceSentencia"/>
      </w:pPr>
      <w:r>
        <w:t>Sala Primera. Sentencia 189/2015, de 21 de septiembre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6038-2013. </w:t>
      </w:r>
      <w:r w:rsidRPr="000E270F">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SENTENCIA_2015_189 \h </w:instrText>
      </w:r>
      <w:r>
        <w:fldChar w:fldCharType="separate"/>
      </w:r>
      <w:r w:rsidR="002F5064">
        <w:rPr>
          <w:noProof/>
        </w:rPr>
        <w:t>712</w:t>
      </w:r>
      <w:r>
        <w:fldChar w:fldCharType="end"/>
      </w:r>
    </w:p>
    <w:p w:rsidR="000E270F" w:rsidRDefault="000E270F" w:rsidP="000E270F"/>
    <w:p w:rsidR="000E270F" w:rsidRDefault="000E270F" w:rsidP="000E270F">
      <w:pPr>
        <w:pStyle w:val="EntradandiceSentencia"/>
      </w:pPr>
      <w:r>
        <w:t>Sala Segunda. Sentencia 190/2015, de 21 de septiembre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7491-2013. </w:t>
      </w:r>
      <w:r w:rsidRPr="000E270F">
        <w:rPr>
          <w:rStyle w:val="TextoNormalCursivaCaracter"/>
        </w:rPr>
        <w:t xml:space="preserve"> Principio de irretroactividad de las normas restrictivas de derechos individuales y expropiación de derechos económicos: extinción, por pérdida de objeto, de la cuestión de inconstitucionalidad (STC 83/2015).</w:t>
      </w:r>
      <w:r>
        <w:tab/>
      </w:r>
      <w:r>
        <w:tab/>
      </w:r>
      <w:r>
        <w:fldChar w:fldCharType="begin"/>
      </w:r>
      <w:r>
        <w:instrText xml:space="preserve"> PAGEREF SENTENCIA_2015_190 \h </w:instrText>
      </w:r>
      <w:r>
        <w:fldChar w:fldCharType="separate"/>
      </w:r>
      <w:r w:rsidR="002F5064">
        <w:rPr>
          <w:noProof/>
        </w:rPr>
        <w:t>728</w:t>
      </w:r>
      <w:r>
        <w:fldChar w:fldCharType="end"/>
      </w:r>
    </w:p>
    <w:p w:rsidR="000E270F" w:rsidRDefault="000E270F" w:rsidP="000E270F"/>
    <w:p w:rsidR="000E270F" w:rsidRDefault="000E270F" w:rsidP="000E270F">
      <w:pPr>
        <w:pStyle w:val="EntradandiceSentencia"/>
      </w:pPr>
      <w:r>
        <w:t>Sala Segunda. Sentencia 191/2015, de 21 de septiembre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7492-2013. </w:t>
      </w:r>
      <w:r w:rsidRPr="000E270F">
        <w:rPr>
          <w:rStyle w:val="TextoNormalCursivaCaracter"/>
        </w:rPr>
        <w:t xml:space="preserve"> Principio de irretroactividad de las normas restrictivas de derechos individuales y expropiación de derechos económicos: extinción, por pérdida de objeto, de la cuestión de inconstitucionalidad (STC 83/2015).</w:t>
      </w:r>
      <w:r>
        <w:tab/>
      </w:r>
      <w:r>
        <w:tab/>
      </w:r>
      <w:r>
        <w:fldChar w:fldCharType="begin"/>
      </w:r>
      <w:r>
        <w:instrText xml:space="preserve"> PAGEREF SENTENCIA_2015_191 \h </w:instrText>
      </w:r>
      <w:r>
        <w:fldChar w:fldCharType="separate"/>
      </w:r>
      <w:r w:rsidR="002F5064">
        <w:rPr>
          <w:noProof/>
        </w:rPr>
        <w:t>739</w:t>
      </w:r>
      <w:r>
        <w:fldChar w:fldCharType="end"/>
      </w:r>
    </w:p>
    <w:p w:rsidR="000E270F" w:rsidRDefault="000E270F" w:rsidP="000E270F"/>
    <w:p w:rsidR="000E270F" w:rsidRDefault="000E270F" w:rsidP="000E270F">
      <w:pPr>
        <w:pStyle w:val="EntradandiceSentencia"/>
      </w:pPr>
      <w:r>
        <w:t>Sala Primera. Sentencia 192/2015, de 21 de septiembre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7493-2013. </w:t>
      </w:r>
      <w:r w:rsidRPr="000E270F">
        <w:rPr>
          <w:rStyle w:val="TextoNormalCursivaCaracter"/>
        </w:rPr>
        <w:t xml:space="preserve"> Principio de irretroactividad de las normas restrictivas de derechos individuales y expropiación de derechos económicos: extinción, por pérdida de objeto, de la cuestión de inconstitucionalidad (STC 83/2015).</w:t>
      </w:r>
      <w:r>
        <w:tab/>
      </w:r>
      <w:r>
        <w:tab/>
      </w:r>
      <w:r>
        <w:fldChar w:fldCharType="begin"/>
      </w:r>
      <w:r>
        <w:instrText xml:space="preserve"> PAGEREF SENTENCIA_2015_192 \h </w:instrText>
      </w:r>
      <w:r>
        <w:fldChar w:fldCharType="separate"/>
      </w:r>
      <w:r w:rsidR="002F5064">
        <w:rPr>
          <w:noProof/>
        </w:rPr>
        <w:t>750</w:t>
      </w:r>
      <w:r>
        <w:fldChar w:fldCharType="end"/>
      </w:r>
    </w:p>
    <w:p w:rsidR="000E270F" w:rsidRDefault="000E270F" w:rsidP="000E270F"/>
    <w:p w:rsidR="000E270F" w:rsidRDefault="000E270F" w:rsidP="000E270F">
      <w:pPr>
        <w:pStyle w:val="EntradandiceSentencia"/>
      </w:pPr>
      <w:r>
        <w:t>Sala Primera. Sentencia 193/2015, de 21 de septiembre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4108-2014. </w:t>
      </w:r>
      <w:r w:rsidRPr="000E270F">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SENTENCIA_2015_193 \h </w:instrText>
      </w:r>
      <w:r>
        <w:fldChar w:fldCharType="separate"/>
      </w:r>
      <w:r w:rsidR="002F5064">
        <w:rPr>
          <w:noProof/>
        </w:rPr>
        <w:t>761</w:t>
      </w:r>
      <w:r>
        <w:fldChar w:fldCharType="end"/>
      </w:r>
    </w:p>
    <w:p w:rsidR="000E270F" w:rsidRDefault="000E270F" w:rsidP="000E270F"/>
    <w:p w:rsidR="000E270F" w:rsidRDefault="000E270F" w:rsidP="000E270F">
      <w:pPr>
        <w:pStyle w:val="EntradandiceSentencia"/>
      </w:pPr>
      <w:r>
        <w:t>Sala Segunda. Sentencia 194/2015, de 21 de septiembre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4229-2014. </w:t>
      </w:r>
      <w:r w:rsidRPr="000E270F">
        <w:rPr>
          <w:rStyle w:val="TextoNormalCursivaCaracter"/>
        </w:rPr>
        <w:t xml:space="preserve"> Vulneración del derecho a la tutela judicial efectiva (doble instancia penal): archivo del recurso de apelación basado en el desistimiento tácito que el órgano judicial infirió de la ausencia de los profesionales designados por el apelante en la vista del recurso.</w:t>
      </w:r>
      <w:r>
        <w:tab/>
      </w:r>
      <w:r>
        <w:tab/>
      </w:r>
      <w:r>
        <w:fldChar w:fldCharType="begin"/>
      </w:r>
      <w:r>
        <w:instrText xml:space="preserve"> PAGEREF SENTENCIA_2015_194 \h </w:instrText>
      </w:r>
      <w:r>
        <w:fldChar w:fldCharType="separate"/>
      </w:r>
      <w:r w:rsidR="002F5064">
        <w:rPr>
          <w:noProof/>
        </w:rPr>
        <w:t>772</w:t>
      </w:r>
      <w:r>
        <w:fldChar w:fldCharType="end"/>
      </w:r>
    </w:p>
    <w:p w:rsidR="000E270F" w:rsidRDefault="000E270F" w:rsidP="000E270F"/>
    <w:p w:rsidR="000E270F" w:rsidRDefault="000E270F" w:rsidP="000E270F">
      <w:pPr>
        <w:pStyle w:val="EntradandiceSentencia"/>
      </w:pPr>
      <w:r>
        <w:t>Sala Primera. Sentencia 195/2015, de 21 de septiembre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6011-2014. </w:t>
      </w:r>
      <w:r w:rsidRPr="000E270F">
        <w:rPr>
          <w:rStyle w:val="TextoNormalCursivaCaracter"/>
        </w:rPr>
        <w:t xml:space="preserve"> Vulneración de los derechos a la tutela judicial efectiva y a un proceso con todas las garantías: sentencia no fundada en Derecho porque inaplica una ley autonómica vigente sin plantear cuestión de inconstitucionalidad (STC 173/2002). Voto particular.</w:t>
      </w:r>
      <w:r>
        <w:tab/>
      </w:r>
      <w:r>
        <w:tab/>
      </w:r>
      <w:r>
        <w:fldChar w:fldCharType="begin"/>
      </w:r>
      <w:r>
        <w:instrText xml:space="preserve"> PAGEREF SENTENCIA_2015_195 \h </w:instrText>
      </w:r>
      <w:r>
        <w:fldChar w:fldCharType="separate"/>
      </w:r>
      <w:r w:rsidR="002F5064">
        <w:rPr>
          <w:noProof/>
        </w:rPr>
        <w:t>795</w:t>
      </w:r>
      <w:r>
        <w:fldChar w:fldCharType="end"/>
      </w:r>
    </w:p>
    <w:p w:rsidR="000E270F" w:rsidRDefault="000E270F" w:rsidP="000E270F"/>
    <w:p w:rsidR="000E270F" w:rsidRDefault="000E270F" w:rsidP="000E270F">
      <w:pPr>
        <w:pStyle w:val="EntradandiceSentencia"/>
      </w:pPr>
      <w:r>
        <w:t>Pleno. Sentencia 196/2015, de 24 de septiembre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inconstitucionalidad 6363-2011. </w:t>
      </w:r>
      <w:r w:rsidRPr="000E270F">
        <w:rPr>
          <w:rStyle w:val="TextoNormalCursivaCaracter"/>
        </w:rPr>
        <w:t xml:space="preserve"> Competencias en materia de aguas y límites a los decretos-leyes: falta de acreditación del presupuesto habilitante para aprobar con carácter urgente el precepto legal relativo a las competencias autonómicas en materia de policía de dominio público hidráulico (STC 30/2011). Voto particular.</w:t>
      </w:r>
      <w:r>
        <w:tab/>
      </w:r>
      <w:r>
        <w:tab/>
      </w:r>
      <w:r>
        <w:fldChar w:fldCharType="begin"/>
      </w:r>
      <w:r>
        <w:instrText xml:space="preserve"> PAGEREF SENTENCIA_2015_196 \h </w:instrText>
      </w:r>
      <w:r>
        <w:fldChar w:fldCharType="separate"/>
      </w:r>
      <w:r w:rsidR="002F5064">
        <w:rPr>
          <w:noProof/>
        </w:rPr>
        <w:t>811</w:t>
      </w:r>
      <w:r>
        <w:fldChar w:fldCharType="end"/>
      </w:r>
    </w:p>
    <w:p w:rsidR="000E270F" w:rsidRDefault="000E270F" w:rsidP="000E270F"/>
    <w:p w:rsidR="000E270F" w:rsidRDefault="000E270F" w:rsidP="000E270F">
      <w:pPr>
        <w:pStyle w:val="EntradandiceSentencia"/>
      </w:pPr>
      <w:r>
        <w:t>Pleno. Sentencia 197/2015, de 24 de septiembre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inconstitucionalidad 6866-2013. </w:t>
      </w:r>
      <w:r w:rsidRPr="000E270F">
        <w:rPr>
          <w:rStyle w:val="TextoNormalCursivaCaracter"/>
        </w:rPr>
        <w:t xml:space="preserve"> Principio de interdicción de la arbitrariedad de los poderes públicos, límites a los decretos-leyes y competencias en materia de ferrocarriles: inadmisión parcial del recurso de inconstitucionalidad; justificación de la concurrencia del presupuesto habilitante para dictar las normas legales de urgencia controvertidas. Votos particulares.</w:t>
      </w:r>
      <w:r>
        <w:tab/>
      </w:r>
      <w:r>
        <w:tab/>
      </w:r>
      <w:r>
        <w:fldChar w:fldCharType="begin"/>
      </w:r>
      <w:r>
        <w:instrText xml:space="preserve"> PAGEREF SENTENCIA_2015_197 \h </w:instrText>
      </w:r>
      <w:r>
        <w:fldChar w:fldCharType="separate"/>
      </w:r>
      <w:r w:rsidR="002F5064">
        <w:rPr>
          <w:noProof/>
        </w:rPr>
        <w:t>832</w:t>
      </w:r>
      <w:r>
        <w:fldChar w:fldCharType="end"/>
      </w:r>
    </w:p>
    <w:p w:rsidR="000E270F" w:rsidRDefault="000E270F" w:rsidP="000E270F"/>
    <w:p w:rsidR="000E270F" w:rsidRDefault="000E270F" w:rsidP="000E270F">
      <w:pPr>
        <w:pStyle w:val="EntradandiceSentencia"/>
      </w:pPr>
      <w:r>
        <w:t>Pleno. Sentencia 198/2015, de 24 de septiembre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inconstitucionalidad 7473-2013. </w:t>
      </w:r>
      <w:r w:rsidRPr="000E270F">
        <w:rPr>
          <w:rStyle w:val="TextoNormalCursivaCaracter"/>
        </w:rPr>
        <w:t xml:space="preserve"> Competencias en materia de prevención de riesgos laborales: regulación del asesoramiento técnico a empresas de hasta veinticinco trabajadores que no vulnera las competencias ejecutivas autonómicas. Votos particulares.</w:t>
      </w:r>
      <w:r>
        <w:tab/>
      </w:r>
      <w:r>
        <w:tab/>
      </w:r>
      <w:r>
        <w:fldChar w:fldCharType="begin"/>
      </w:r>
      <w:r>
        <w:instrText xml:space="preserve"> PAGEREF SENTENCIA_2015_198 \h </w:instrText>
      </w:r>
      <w:r>
        <w:fldChar w:fldCharType="separate"/>
      </w:r>
      <w:r w:rsidR="002F5064">
        <w:rPr>
          <w:noProof/>
        </w:rPr>
        <w:t>861</w:t>
      </w:r>
      <w:r>
        <w:fldChar w:fldCharType="end"/>
      </w:r>
    </w:p>
    <w:p w:rsidR="000E270F" w:rsidRDefault="000E270F" w:rsidP="000E270F"/>
    <w:p w:rsidR="000E270F" w:rsidRDefault="000E270F" w:rsidP="000E270F">
      <w:pPr>
        <w:pStyle w:val="EntradandiceSentencia"/>
      </w:pPr>
      <w:r>
        <w:t>Pleno. Sentencia 199/2015, de 24 de septiembre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inconstitucionalidad 5099-2014. </w:t>
      </w:r>
      <w:r w:rsidRPr="000E270F">
        <w:rPr>
          <w:rStyle w:val="TextoNormalCursivaCaracter"/>
        </w:rPr>
        <w:t xml:space="preserve"> Límites a los decretos-leyes: falta de acreditación del presupuesto habilitante para aprobar con carácter urgente los preceptos legales relativos a las empresas de trabajo temporal y agencias de colocación, y a la llevanza del Registro Civil por los Registradores de la Propiedad y Mercantiles. Voto particular.</w:t>
      </w:r>
      <w:r>
        <w:tab/>
      </w:r>
      <w:r>
        <w:tab/>
      </w:r>
      <w:r>
        <w:fldChar w:fldCharType="begin"/>
      </w:r>
      <w:r>
        <w:instrText xml:space="preserve"> PAGEREF SENTENCIA_2015_199 \h </w:instrText>
      </w:r>
      <w:r>
        <w:fldChar w:fldCharType="separate"/>
      </w:r>
      <w:r w:rsidR="002F5064">
        <w:rPr>
          <w:noProof/>
        </w:rPr>
        <w:t>880</w:t>
      </w:r>
      <w:r>
        <w:fldChar w:fldCharType="end"/>
      </w:r>
    </w:p>
    <w:p w:rsidR="000E270F" w:rsidRDefault="000E270F" w:rsidP="000E270F"/>
    <w:p w:rsidR="000E270F" w:rsidRDefault="000E270F" w:rsidP="000E270F">
      <w:pPr>
        <w:pStyle w:val="EntradandiceSentencia"/>
      </w:pPr>
      <w:r>
        <w:t>Pleno. Sentencia 200/2015, de 24 de septiembre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1795-2015. </w:t>
      </w:r>
      <w:r w:rsidRPr="000E270F">
        <w:rPr>
          <w:rStyle w:val="TextoNormalCursivaCaracter"/>
        </w:rPr>
        <w:t xml:space="preserve"> Principio de autonomía local y competencias en materia de función pública y seguridad pública: nulidad del precepto legal autonómico sobre integración de los auxiliares de policía local (STC 175/2011).</w:t>
      </w:r>
      <w:r>
        <w:tab/>
      </w:r>
      <w:r>
        <w:tab/>
      </w:r>
      <w:r>
        <w:fldChar w:fldCharType="begin"/>
      </w:r>
      <w:r>
        <w:instrText xml:space="preserve"> PAGEREF SENTENCIA_2015_200 \h </w:instrText>
      </w:r>
      <w:r>
        <w:fldChar w:fldCharType="separate"/>
      </w:r>
      <w:r w:rsidR="002F5064">
        <w:rPr>
          <w:noProof/>
        </w:rPr>
        <w:t>925</w:t>
      </w:r>
      <w:r>
        <w:fldChar w:fldCharType="end"/>
      </w:r>
    </w:p>
    <w:p w:rsidR="000E270F" w:rsidRDefault="000E270F" w:rsidP="000E270F"/>
    <w:p w:rsidR="000E270F" w:rsidRDefault="000E270F" w:rsidP="000E270F">
      <w:pPr>
        <w:pStyle w:val="EntradandiceSentencia"/>
      </w:pPr>
      <w:r>
        <w:t>Pleno. Sentencia 201/2015, de 24 de septiembre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1796-2015. </w:t>
      </w:r>
      <w:r w:rsidRPr="000E270F">
        <w:rPr>
          <w:rStyle w:val="TextoNormalCursivaCaracter"/>
        </w:rPr>
        <w:t xml:space="preserve"> Competencias sobre ordenación general de la economía: inadmisión de la cuestión de inconstitucionalidad por inadecuada formulación del juicio de aplicabilidad y relevancia (ATC 136/2015).</w:t>
      </w:r>
      <w:r>
        <w:tab/>
      </w:r>
      <w:r>
        <w:tab/>
      </w:r>
      <w:r>
        <w:fldChar w:fldCharType="begin"/>
      </w:r>
      <w:r>
        <w:instrText xml:space="preserve"> PAGEREF SENTENCIA_2015_201 \h </w:instrText>
      </w:r>
      <w:r>
        <w:fldChar w:fldCharType="separate"/>
      </w:r>
      <w:r w:rsidR="002F5064">
        <w:rPr>
          <w:noProof/>
        </w:rPr>
        <w:t>938</w:t>
      </w:r>
      <w:r>
        <w:fldChar w:fldCharType="end"/>
      </w:r>
    </w:p>
    <w:p w:rsidR="000E270F" w:rsidRDefault="000E270F" w:rsidP="000E270F"/>
    <w:p w:rsidR="000E270F" w:rsidRDefault="000E270F" w:rsidP="000E270F">
      <w:pPr>
        <w:pStyle w:val="EntradandiceSentencia"/>
      </w:pPr>
      <w:r>
        <w:t>Pleno. Sentencia 202/2015, de 24 de septiembre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inconstitucionalidad 2464-2015. </w:t>
      </w:r>
      <w:r w:rsidRPr="000E270F">
        <w:rPr>
          <w:rStyle w:val="TextoNormalCursivaCaracter"/>
        </w:rPr>
        <w:t xml:space="preserve"> Límites de las potestades tributarias de las Comunidades Autónomas: nulidad de los preceptos legales autonómicos que regulan el impuesto sobre los depósitos en las entidades de crédito (STC 108/2015).</w:t>
      </w:r>
      <w:r>
        <w:tab/>
      </w:r>
      <w:r>
        <w:tab/>
      </w:r>
      <w:r>
        <w:fldChar w:fldCharType="begin"/>
      </w:r>
      <w:r>
        <w:instrText xml:space="preserve"> PAGEREF SENTENCIA_2015_202 \h </w:instrText>
      </w:r>
      <w:r>
        <w:fldChar w:fldCharType="separate"/>
      </w:r>
      <w:r w:rsidR="002F5064">
        <w:rPr>
          <w:noProof/>
        </w:rPr>
        <w:t>945</w:t>
      </w:r>
      <w:r>
        <w:fldChar w:fldCharType="end"/>
      </w:r>
    </w:p>
    <w:p w:rsidR="000E270F" w:rsidRDefault="000E270F" w:rsidP="000E270F"/>
    <w:p w:rsidR="000E270F" w:rsidRDefault="000E270F" w:rsidP="000E270F">
      <w:pPr>
        <w:pStyle w:val="EntradandiceSentencia"/>
      </w:pPr>
      <w:r>
        <w:t>Sala Segunda. Sentencia 203/2015, de 5 de octubre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4337-2013. </w:t>
      </w:r>
      <w:r w:rsidRPr="000E270F">
        <w:rPr>
          <w:rStyle w:val="TextoNormalCursivaCaracter"/>
        </w:rPr>
        <w:t xml:space="preserve"> Supuesta vulneración de la libertad sindical en conexión con los derechos a la igualdad y a la tutela judicial efectiva (garantía de indemnidad) y con las libertades de expresión e información: despido disciplinario del autor de un escrito que incluía apelativos vejatorios para otra empleada de la misma empresa.</w:t>
      </w:r>
      <w:r>
        <w:tab/>
      </w:r>
      <w:r>
        <w:tab/>
      </w:r>
      <w:r>
        <w:fldChar w:fldCharType="begin"/>
      </w:r>
      <w:r>
        <w:instrText xml:space="preserve"> PAGEREF SENTENCIA_2015_203 \h </w:instrText>
      </w:r>
      <w:r>
        <w:fldChar w:fldCharType="separate"/>
      </w:r>
      <w:r w:rsidR="002F5064">
        <w:rPr>
          <w:noProof/>
        </w:rPr>
        <w:t>951</w:t>
      </w:r>
      <w:r>
        <w:fldChar w:fldCharType="end"/>
      </w:r>
    </w:p>
    <w:p w:rsidR="000E270F" w:rsidRDefault="000E270F" w:rsidP="000E270F"/>
    <w:p w:rsidR="000E270F" w:rsidRDefault="000E270F" w:rsidP="000E270F">
      <w:pPr>
        <w:pStyle w:val="EntradandiceSentencia"/>
      </w:pPr>
      <w:r>
        <w:t>Sala Primera. Sentencia 204/2015, de 5 de octubre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4887-2013. </w:t>
      </w:r>
      <w:r w:rsidRPr="000E270F">
        <w:rPr>
          <w:rStyle w:val="TextoNormalCursivaCaracter"/>
        </w:rPr>
        <w:t xml:space="preserve"> Vulneración del derecho a la libertad personal: inadmisión de una petición de habeas corpus por razones de fondo (STC 195/2014).</w:t>
      </w:r>
      <w:r>
        <w:tab/>
      </w:r>
      <w:r>
        <w:tab/>
      </w:r>
      <w:r>
        <w:fldChar w:fldCharType="begin"/>
      </w:r>
      <w:r>
        <w:instrText xml:space="preserve"> PAGEREF SENTENCIA_2015_204 \h </w:instrText>
      </w:r>
      <w:r>
        <w:fldChar w:fldCharType="separate"/>
      </w:r>
      <w:r w:rsidR="002F5064">
        <w:rPr>
          <w:noProof/>
        </w:rPr>
        <w:t>974</w:t>
      </w:r>
      <w:r>
        <w:fldChar w:fldCharType="end"/>
      </w:r>
    </w:p>
    <w:p w:rsidR="000E270F" w:rsidRDefault="000E270F" w:rsidP="000E270F"/>
    <w:p w:rsidR="000E270F" w:rsidRDefault="000E270F" w:rsidP="000E270F">
      <w:pPr>
        <w:pStyle w:val="EntradandiceSentencia"/>
      </w:pPr>
      <w:r>
        <w:t>Sala Primera. Sentencia 205/2015, de 5 de octubre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6633-2013. </w:t>
      </w:r>
      <w:r w:rsidRPr="000E270F">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SENTENCIA_2015_205 \h </w:instrText>
      </w:r>
      <w:r>
        <w:fldChar w:fldCharType="separate"/>
      </w:r>
      <w:r w:rsidR="002F5064">
        <w:rPr>
          <w:noProof/>
        </w:rPr>
        <w:t>984</w:t>
      </w:r>
      <w:r>
        <w:fldChar w:fldCharType="end"/>
      </w:r>
    </w:p>
    <w:p w:rsidR="000E270F" w:rsidRDefault="000E270F" w:rsidP="000E270F"/>
    <w:p w:rsidR="000E270F" w:rsidRDefault="000E270F" w:rsidP="000E270F">
      <w:pPr>
        <w:pStyle w:val="EntradandiceSentencia"/>
      </w:pPr>
      <w:r>
        <w:t>Sala Primera. Sentencia 206/2015, de 5 de octubre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6907-2013. </w:t>
      </w:r>
      <w:r w:rsidRPr="000E270F">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SENTENCIA_2015_206 \h </w:instrText>
      </w:r>
      <w:r>
        <w:fldChar w:fldCharType="separate"/>
      </w:r>
      <w:r w:rsidR="002F5064">
        <w:rPr>
          <w:noProof/>
        </w:rPr>
        <w:t>998</w:t>
      </w:r>
      <w:r>
        <w:fldChar w:fldCharType="end"/>
      </w:r>
    </w:p>
    <w:p w:rsidR="000E270F" w:rsidRDefault="000E270F" w:rsidP="000E270F"/>
    <w:p w:rsidR="000E270F" w:rsidRDefault="000E270F" w:rsidP="000E270F">
      <w:pPr>
        <w:pStyle w:val="EntradandiceSentencia"/>
      </w:pPr>
      <w:r>
        <w:t>Sala Segunda. Sentencia 207/2015, de 5 de octubre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1250-2014. </w:t>
      </w:r>
      <w:r w:rsidRPr="000E270F">
        <w:rPr>
          <w:rStyle w:val="TextoNormalCursivaCaracter"/>
        </w:rPr>
        <w:t xml:space="preserve"> Vulneración del derecho a la tutela judicial efectiva (acceso a la justicia): inadmisión de recurso contencioso-administrativo por falta de apoderamiento del procurador que había sido designado de oficio.</w:t>
      </w:r>
      <w:r>
        <w:tab/>
      </w:r>
      <w:r>
        <w:tab/>
      </w:r>
      <w:r>
        <w:fldChar w:fldCharType="begin"/>
      </w:r>
      <w:r>
        <w:instrText xml:space="preserve"> PAGEREF SENTENCIA_2015_207 \h </w:instrText>
      </w:r>
      <w:r>
        <w:fldChar w:fldCharType="separate"/>
      </w:r>
      <w:r w:rsidR="002F5064">
        <w:rPr>
          <w:noProof/>
        </w:rPr>
        <w:t>1008</w:t>
      </w:r>
      <w:r>
        <w:fldChar w:fldCharType="end"/>
      </w:r>
    </w:p>
    <w:p w:rsidR="000E270F" w:rsidRDefault="000E270F" w:rsidP="000E270F"/>
    <w:p w:rsidR="000E270F" w:rsidRDefault="000E270F" w:rsidP="000E270F">
      <w:pPr>
        <w:pStyle w:val="EntradandiceSentencia"/>
      </w:pPr>
      <w:r>
        <w:t>Sala Segunda. Sentencia 208/2015, de 5 de octubre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6076-2014. </w:t>
      </w:r>
      <w:r w:rsidRPr="000E270F">
        <w:rPr>
          <w:rStyle w:val="TextoNormalCursivaCaracter"/>
        </w:rPr>
        <w:t xml:space="preserve"> Vulneración del derecho a la tutela judicial sin indefensión: diligencia de ordenación que impide la personación en el procedimiento de ejecución hipotecaria sin que el órgano judicial hubiera podido resolver lo procedente respecto del incidente de nulidad de actuaciones interesado (STC 115/1999).</w:t>
      </w:r>
      <w:r>
        <w:tab/>
      </w:r>
      <w:r>
        <w:tab/>
      </w:r>
      <w:r>
        <w:fldChar w:fldCharType="begin"/>
      </w:r>
      <w:r>
        <w:instrText xml:space="preserve"> PAGEREF SENTENCIA_2015_208 \h </w:instrText>
      </w:r>
      <w:r>
        <w:fldChar w:fldCharType="separate"/>
      </w:r>
      <w:r w:rsidR="002F5064">
        <w:rPr>
          <w:noProof/>
        </w:rPr>
        <w:t>1017</w:t>
      </w:r>
      <w:r>
        <w:fldChar w:fldCharType="end"/>
      </w:r>
    </w:p>
    <w:p w:rsidR="000E270F" w:rsidRDefault="000E270F" w:rsidP="000E270F"/>
    <w:p w:rsidR="000E270F" w:rsidRDefault="000E270F" w:rsidP="000E270F">
      <w:pPr>
        <w:pStyle w:val="EntradandiceSentencia"/>
      </w:pPr>
      <w:r>
        <w:t>Pleno. Sentencia 209/2015, de 8 de octubre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inconstitucionalidad 1133-2014. </w:t>
      </w:r>
      <w:r w:rsidRPr="000E270F">
        <w:rPr>
          <w:rStyle w:val="TextoNormalCursivaCaracter"/>
        </w:rPr>
        <w:t xml:space="preserve"> Competencias sobre ordenación general de la economía, ordenación del territorio y del litoral, turismo, urbanismo y vivienda: nulidad de los preceptos legales autonómicos relativos al régimen de autorizaciones administrativas previas para plazas de alojamiento turístico en Lanzarote, Fuerteventura, Gran Canaria y Tenerife.</w:t>
      </w:r>
      <w:r>
        <w:tab/>
      </w:r>
      <w:r>
        <w:tab/>
      </w:r>
      <w:r>
        <w:fldChar w:fldCharType="begin"/>
      </w:r>
      <w:r>
        <w:instrText xml:space="preserve"> PAGEREF SENTENCIA_2015_209 \h </w:instrText>
      </w:r>
      <w:r>
        <w:fldChar w:fldCharType="separate"/>
      </w:r>
      <w:r w:rsidR="002F5064">
        <w:rPr>
          <w:noProof/>
        </w:rPr>
        <w:t>1033</w:t>
      </w:r>
      <w:r>
        <w:fldChar w:fldCharType="end"/>
      </w:r>
    </w:p>
    <w:p w:rsidR="000E270F" w:rsidRDefault="000E270F" w:rsidP="000E270F"/>
    <w:p w:rsidR="000E270F" w:rsidRDefault="000E270F" w:rsidP="000E270F">
      <w:pPr>
        <w:pStyle w:val="EntradandiceSentencia"/>
      </w:pPr>
      <w:r>
        <w:t>Pleno. Sentencia 210/2015, de 8 de octubre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3123-2014. </w:t>
      </w:r>
      <w:r w:rsidRPr="000E270F">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SENTENCIA_2015_210 \h </w:instrText>
      </w:r>
      <w:r>
        <w:fldChar w:fldCharType="separate"/>
      </w:r>
      <w:r w:rsidR="002F5064">
        <w:rPr>
          <w:noProof/>
        </w:rPr>
        <w:t>1048</w:t>
      </w:r>
      <w:r>
        <w:fldChar w:fldCharType="end"/>
      </w:r>
    </w:p>
    <w:p w:rsidR="000E270F" w:rsidRDefault="000E270F" w:rsidP="000E270F"/>
    <w:p w:rsidR="000E270F" w:rsidRDefault="000E270F" w:rsidP="000E270F">
      <w:pPr>
        <w:pStyle w:val="EntradandiceSentencia"/>
      </w:pPr>
      <w:r>
        <w:t>Pleno. Sentencia 211/2015, de 8 de octubre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inconstitucionalidad 5970-2014. </w:t>
      </w:r>
      <w:r w:rsidRPr="000E270F">
        <w:rPr>
          <w:rStyle w:val="TextoNormalCursivaCaracter"/>
        </w:rPr>
        <w:t xml:space="preserve"> Límites a los decretos-leyes: falta de acreditación del presupuesto habilitante para aprobar con carácter urgente una reforma de la regulación del impuesto estatal sobre depósitos en las entidades de crédito. Voto particular.</w:t>
      </w:r>
      <w:r>
        <w:tab/>
      </w:r>
      <w:r>
        <w:tab/>
      </w:r>
      <w:r>
        <w:fldChar w:fldCharType="begin"/>
      </w:r>
      <w:r>
        <w:instrText xml:space="preserve"> PAGEREF SENTENCIA_2015_211 \h </w:instrText>
      </w:r>
      <w:r>
        <w:fldChar w:fldCharType="separate"/>
      </w:r>
      <w:r w:rsidR="002F5064">
        <w:rPr>
          <w:noProof/>
        </w:rPr>
        <w:t>1060</w:t>
      </w:r>
      <w:r>
        <w:fldChar w:fldCharType="end"/>
      </w:r>
    </w:p>
    <w:p w:rsidR="000E270F" w:rsidRDefault="000E270F" w:rsidP="000E270F"/>
    <w:p w:rsidR="000E270F" w:rsidRDefault="000E270F" w:rsidP="000E270F">
      <w:pPr>
        <w:pStyle w:val="EntradandiceSentencia"/>
      </w:pPr>
      <w:r>
        <w:t>Pleno. Sentencia 212/2015, de 8 de octubre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1996-2015. </w:t>
      </w:r>
      <w:r w:rsidRPr="000E270F">
        <w:rPr>
          <w:rStyle w:val="TextoNormalCursivaCaracter"/>
        </w:rPr>
        <w:t xml:space="preserve"> Competencias sobre ordenación general de la economía: inadmisión de la cuestión de inconstitucionalidad por inadecuada formulación de los juicios de aplicabilidad y relevancia (STC 201/2015).</w:t>
      </w:r>
      <w:r>
        <w:tab/>
      </w:r>
      <w:r>
        <w:tab/>
      </w:r>
      <w:r>
        <w:fldChar w:fldCharType="begin"/>
      </w:r>
      <w:r>
        <w:instrText xml:space="preserve"> PAGEREF SENTENCIA_2015_212 \h </w:instrText>
      </w:r>
      <w:r>
        <w:fldChar w:fldCharType="separate"/>
      </w:r>
      <w:r w:rsidR="002F5064">
        <w:rPr>
          <w:noProof/>
        </w:rPr>
        <w:t>1076</w:t>
      </w:r>
      <w:r>
        <w:fldChar w:fldCharType="end"/>
      </w:r>
    </w:p>
    <w:p w:rsidR="000E270F" w:rsidRDefault="000E270F" w:rsidP="000E270F"/>
    <w:p w:rsidR="000E270F" w:rsidRDefault="000E270F" w:rsidP="000E270F">
      <w:pPr>
        <w:pStyle w:val="EntradandiceSentencia"/>
      </w:pPr>
      <w:r>
        <w:t>Pleno. Sentencia 213/2015, de 8 de octubre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1997-2015. </w:t>
      </w:r>
      <w:r w:rsidRPr="000E270F">
        <w:rPr>
          <w:rStyle w:val="TextoNormalCursivaCaracter"/>
        </w:rPr>
        <w:t xml:space="preserve"> Competencias sobre ordenación general de la economía: inadmisión de la cuestión de inconstitucionalidad por inadecuada formulación de los juicios de aplicabilidad y relevancia (STC 201/2015).</w:t>
      </w:r>
      <w:r>
        <w:tab/>
      </w:r>
      <w:r>
        <w:tab/>
      </w:r>
      <w:r>
        <w:fldChar w:fldCharType="begin"/>
      </w:r>
      <w:r>
        <w:instrText xml:space="preserve"> PAGEREF SENTENCIA_2015_213 \h </w:instrText>
      </w:r>
      <w:r>
        <w:fldChar w:fldCharType="separate"/>
      </w:r>
      <w:r w:rsidR="002F5064">
        <w:rPr>
          <w:noProof/>
        </w:rPr>
        <w:t>1083</w:t>
      </w:r>
      <w:r>
        <w:fldChar w:fldCharType="end"/>
      </w:r>
    </w:p>
    <w:p w:rsidR="000E270F" w:rsidRDefault="000E270F" w:rsidP="000E270F"/>
    <w:p w:rsidR="000E270F" w:rsidRDefault="000E270F" w:rsidP="000E270F">
      <w:pPr>
        <w:pStyle w:val="EntradandiceSentencia"/>
      </w:pPr>
      <w:r>
        <w:t>Pleno. Sentencia 214/2015, de 22 de octubre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inconstitucionalidad 8405-2007. </w:t>
      </w:r>
      <w:r w:rsidRPr="000E270F">
        <w:rPr>
          <w:rStyle w:val="TextoNormalCursivaCaracter"/>
        </w:rPr>
        <w:t xml:space="preserve"> Competencias sobre medio ambiente, montes y Administración de justicia: nulidad del precepto legal autonómico que requiere autorización judicial para que los agentes forestales accedan a montes de titularidad privada.</w:t>
      </w:r>
      <w:r>
        <w:tab/>
      </w:r>
      <w:r>
        <w:tab/>
      </w:r>
      <w:r>
        <w:fldChar w:fldCharType="begin"/>
      </w:r>
      <w:r>
        <w:instrText xml:space="preserve"> PAGEREF SENTENCIA_2015_214 \h </w:instrText>
      </w:r>
      <w:r>
        <w:fldChar w:fldCharType="separate"/>
      </w:r>
      <w:r w:rsidR="002F5064">
        <w:rPr>
          <w:noProof/>
        </w:rPr>
        <w:t>1090</w:t>
      </w:r>
      <w:r>
        <w:fldChar w:fldCharType="end"/>
      </w:r>
    </w:p>
    <w:p w:rsidR="000E270F" w:rsidRDefault="000E270F" w:rsidP="000E270F"/>
    <w:p w:rsidR="000E270F" w:rsidRDefault="000E270F" w:rsidP="000E270F">
      <w:pPr>
        <w:pStyle w:val="EntradandiceSentencia"/>
      </w:pPr>
      <w:r>
        <w:t>Pleno. Sentencia 215/2015, de 22 de octubre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inconstitucionalidad 5423-2012. </w:t>
      </w:r>
      <w:r w:rsidRPr="000E270F">
        <w:rPr>
          <w:rStyle w:val="TextoNormalCursivaCaracter"/>
        </w:rPr>
        <w:t xml:space="preserve"> Límites a los decretos leyes, competencias sobre función pública y ordenación general de la economía; autonomía financiera: constitucionalidad del precepto estatal que impide temporalmente a los entes integrantes del sector público realizar aportaciones a planes de pensiones de empleo o contratos de seguro colectivos que incluyan la cobertura de la contingencia de jubilación.</w:t>
      </w:r>
      <w:r>
        <w:tab/>
      </w:r>
      <w:r>
        <w:tab/>
      </w:r>
      <w:r>
        <w:fldChar w:fldCharType="begin"/>
      </w:r>
      <w:r>
        <w:instrText xml:space="preserve"> PAGEREF SENTENCIA_2015_215 \h </w:instrText>
      </w:r>
      <w:r>
        <w:fldChar w:fldCharType="separate"/>
      </w:r>
      <w:r w:rsidR="002F5064">
        <w:rPr>
          <w:noProof/>
        </w:rPr>
        <w:t>1107</w:t>
      </w:r>
      <w:r>
        <w:fldChar w:fldCharType="end"/>
      </w:r>
    </w:p>
    <w:p w:rsidR="000E270F" w:rsidRDefault="000E270F" w:rsidP="000E270F"/>
    <w:p w:rsidR="000E270F" w:rsidRDefault="000E270F" w:rsidP="000E270F">
      <w:pPr>
        <w:pStyle w:val="EntradandiceSentencia"/>
      </w:pPr>
      <w:r>
        <w:t>Pleno. Sentencia 216/2015, de 22 de octubre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inconstitucionalidad 5108-2013. </w:t>
      </w:r>
      <w:r w:rsidRPr="000E270F">
        <w:rPr>
          <w:rStyle w:val="TextoNormalCursivaCaracter"/>
        </w:rPr>
        <w:t xml:space="preserve"> Principio de irretroactividad de las normas restrictivas de derechos individuales, garantías del procedimiento expropiatorio y facultades de enmienda del Senado: constitucionalidad del precepto legal que regula la supresión y mantenimiento de ayudas relacionadas con la adquisición o promoción de viviendas y el fomento del alquiler. Voto particular.</w:t>
      </w:r>
      <w:r>
        <w:tab/>
      </w:r>
      <w:r>
        <w:tab/>
      </w:r>
      <w:r>
        <w:fldChar w:fldCharType="begin"/>
      </w:r>
      <w:r>
        <w:instrText xml:space="preserve"> PAGEREF SENTENCIA_2015_216 \h </w:instrText>
      </w:r>
      <w:r>
        <w:fldChar w:fldCharType="separate"/>
      </w:r>
      <w:r w:rsidR="002F5064">
        <w:rPr>
          <w:noProof/>
        </w:rPr>
        <w:t>1129</w:t>
      </w:r>
      <w:r>
        <w:fldChar w:fldCharType="end"/>
      </w:r>
    </w:p>
    <w:p w:rsidR="000E270F" w:rsidRDefault="000E270F" w:rsidP="000E270F"/>
    <w:p w:rsidR="000E270F" w:rsidRDefault="000E270F" w:rsidP="000E270F">
      <w:pPr>
        <w:pStyle w:val="EntradandiceSentencia"/>
      </w:pPr>
      <w:r>
        <w:t>Pleno. Sentencia 217/2015, de 22 de octubre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5843-2014. </w:t>
      </w:r>
      <w:r w:rsidRPr="000E270F">
        <w:rPr>
          <w:rStyle w:val="TextoNormalCursivaCaracter"/>
        </w:rPr>
        <w:t xml:space="preserve"> Vulneración del derecho a la libertad personal: prórroga de la medida cautelar de prisión provisional carente de cobertura legal.</w:t>
      </w:r>
      <w:r>
        <w:tab/>
      </w:r>
      <w:r>
        <w:tab/>
      </w:r>
      <w:r>
        <w:fldChar w:fldCharType="begin"/>
      </w:r>
      <w:r>
        <w:instrText xml:space="preserve"> PAGEREF SENTENCIA_2015_217 \h </w:instrText>
      </w:r>
      <w:r>
        <w:fldChar w:fldCharType="separate"/>
      </w:r>
      <w:r w:rsidR="002F5064">
        <w:rPr>
          <w:noProof/>
        </w:rPr>
        <w:t>1152</w:t>
      </w:r>
      <w:r>
        <w:fldChar w:fldCharType="end"/>
      </w:r>
    </w:p>
    <w:p w:rsidR="000E270F" w:rsidRDefault="000E270F" w:rsidP="000E270F"/>
    <w:p w:rsidR="000E270F" w:rsidRDefault="000E270F" w:rsidP="000E270F">
      <w:pPr>
        <w:pStyle w:val="EntradandiceSentencia"/>
      </w:pPr>
      <w:r>
        <w:t>Pleno. Sentencia 218/2015, de 22 de octubre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6059-2014. </w:t>
      </w:r>
      <w:r w:rsidRPr="000E270F">
        <w:rPr>
          <w:rStyle w:val="TextoNormalCursivaCaracter"/>
        </w:rPr>
        <w:t xml:space="preserve"> Principio de igualdad y garantías expropiatorias: nulidad del precepto legal que regula la compensación por privación de la facultad de participar en la actuación de primera urbanización sin que los propietarios hayan incumplido sus deberes (STC 141/2014). Votos particulares.</w:t>
      </w:r>
      <w:r>
        <w:tab/>
      </w:r>
      <w:r>
        <w:tab/>
      </w:r>
      <w:r>
        <w:fldChar w:fldCharType="begin"/>
      </w:r>
      <w:r>
        <w:instrText xml:space="preserve"> PAGEREF SENTENCIA_2015_218 \h </w:instrText>
      </w:r>
      <w:r>
        <w:fldChar w:fldCharType="separate"/>
      </w:r>
      <w:r w:rsidR="002F5064">
        <w:rPr>
          <w:noProof/>
        </w:rPr>
        <w:t>1164</w:t>
      </w:r>
      <w:r>
        <w:fldChar w:fldCharType="end"/>
      </w:r>
    </w:p>
    <w:p w:rsidR="000E270F" w:rsidRDefault="000E270F" w:rsidP="000E270F"/>
    <w:p w:rsidR="000E270F" w:rsidRDefault="000E270F" w:rsidP="000E270F">
      <w:pPr>
        <w:pStyle w:val="EntradandiceSentencia"/>
      </w:pPr>
      <w:r>
        <w:t>Pleno. Sentencia 219/2015, de 22 de octubre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2208-2015. </w:t>
      </w:r>
      <w:r w:rsidRPr="000E270F">
        <w:rPr>
          <w:rStyle w:val="TextoNormalCursivaCaracter"/>
        </w:rPr>
        <w:t xml:space="preserve"> Competencias sobre ordenación general de la economía: inadmisión de la cuestión por inadecuada formulación del juicio de aplicabilidad y relevancia (STC 201/2015).</w:t>
      </w:r>
      <w:r>
        <w:tab/>
      </w:r>
      <w:r>
        <w:tab/>
      </w:r>
      <w:r>
        <w:fldChar w:fldCharType="begin"/>
      </w:r>
      <w:r>
        <w:instrText xml:space="preserve"> PAGEREF SENTENCIA_2015_219 \h </w:instrText>
      </w:r>
      <w:r>
        <w:fldChar w:fldCharType="separate"/>
      </w:r>
      <w:r w:rsidR="002F5064">
        <w:rPr>
          <w:noProof/>
        </w:rPr>
        <w:t>1197</w:t>
      </w:r>
      <w:r>
        <w:fldChar w:fldCharType="end"/>
      </w:r>
    </w:p>
    <w:p w:rsidR="000E270F" w:rsidRDefault="000E270F" w:rsidP="000E270F"/>
    <w:p w:rsidR="000E270F" w:rsidRDefault="000E270F" w:rsidP="000E270F">
      <w:pPr>
        <w:pStyle w:val="EntradandiceSentencia"/>
      </w:pPr>
      <w:r>
        <w:t>Pleno. Sentencia 220/2015, de 22 de octubre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3449-2015. </w:t>
      </w:r>
      <w:r w:rsidRPr="000E270F">
        <w:rPr>
          <w:rStyle w:val="TextoNormalCursivaCaracter"/>
        </w:rPr>
        <w:t xml:space="preserve"> Competencias sobre ordenación general de la economía: inadmisión de la cuestión por inadecuada formulación del juicio de aplicabilidad y relevancia (STC 201/2015).</w:t>
      </w:r>
      <w:r>
        <w:tab/>
      </w:r>
      <w:r>
        <w:tab/>
      </w:r>
      <w:r>
        <w:fldChar w:fldCharType="begin"/>
      </w:r>
      <w:r>
        <w:instrText xml:space="preserve"> PAGEREF SENTENCIA_2015_220 \h </w:instrText>
      </w:r>
      <w:r>
        <w:fldChar w:fldCharType="separate"/>
      </w:r>
      <w:r w:rsidR="002F5064">
        <w:rPr>
          <w:noProof/>
        </w:rPr>
        <w:t>1204</w:t>
      </w:r>
      <w:r>
        <w:fldChar w:fldCharType="end"/>
      </w:r>
    </w:p>
    <w:p w:rsidR="000E270F" w:rsidRDefault="000E270F" w:rsidP="000E270F"/>
    <w:p w:rsidR="000E270F" w:rsidRDefault="000E270F" w:rsidP="000E270F">
      <w:pPr>
        <w:pStyle w:val="EntradandiceSentencia"/>
      </w:pPr>
      <w:r>
        <w:t>Pleno. Sentencia 221/2015, de 22 de octubre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3669-2015. </w:t>
      </w:r>
      <w:r w:rsidRPr="000E270F">
        <w:rPr>
          <w:rStyle w:val="TextoNormalCursivaCaracter"/>
        </w:rPr>
        <w:t xml:space="preserve"> Competencias sobre ordenación general de la economía: inadmisión de la cuestión por inadecuada formulación del juicio de aplicabilidad y relevancia (STC 201/2015).</w:t>
      </w:r>
      <w:r>
        <w:tab/>
      </w:r>
      <w:r>
        <w:tab/>
      </w:r>
      <w:r>
        <w:fldChar w:fldCharType="begin"/>
      </w:r>
      <w:r>
        <w:instrText xml:space="preserve"> PAGEREF SENTENCIA_2015_221 \h </w:instrText>
      </w:r>
      <w:r>
        <w:fldChar w:fldCharType="separate"/>
      </w:r>
      <w:r w:rsidR="002F5064">
        <w:rPr>
          <w:noProof/>
        </w:rPr>
        <w:t>1210</w:t>
      </w:r>
      <w:r>
        <w:fldChar w:fldCharType="end"/>
      </w:r>
    </w:p>
    <w:p w:rsidR="000E270F" w:rsidRDefault="000E270F" w:rsidP="000E270F"/>
    <w:p w:rsidR="000E270F" w:rsidRDefault="000E270F" w:rsidP="000E270F">
      <w:pPr>
        <w:pStyle w:val="EntradandiceSentencia"/>
      </w:pPr>
      <w:r>
        <w:t>Sala Primera. Sentencia 222/2015, de 2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7238-2012. </w:t>
      </w:r>
      <w:r w:rsidRPr="000E270F">
        <w:rPr>
          <w:rStyle w:val="TextoNormalCursivaCaracter"/>
        </w:rPr>
        <w:t xml:space="preserve"> Vulneración del derecho a la tutela judicial efectiva (resolución fundada en Derecho): Sentencia que no entra a conocer de los vicios de inconstitucionalidad imputados a una norma foral, ni plantea cuestión prejudicial de validez ante el Tribunal Constitucional, fundándose en la falta de jurisdicción del órgano sentenciador para examinar la validez de las normas forales fiscales.</w:t>
      </w:r>
      <w:r>
        <w:tab/>
      </w:r>
      <w:r>
        <w:tab/>
      </w:r>
      <w:r>
        <w:fldChar w:fldCharType="begin"/>
      </w:r>
      <w:r>
        <w:instrText xml:space="preserve"> PAGEREF SENTENCIA_2015_222 \h </w:instrText>
      </w:r>
      <w:r>
        <w:fldChar w:fldCharType="separate"/>
      </w:r>
      <w:r w:rsidR="002F5064">
        <w:rPr>
          <w:noProof/>
        </w:rPr>
        <w:t>1216</w:t>
      </w:r>
      <w:r>
        <w:fldChar w:fldCharType="end"/>
      </w:r>
    </w:p>
    <w:p w:rsidR="000E270F" w:rsidRDefault="000E270F" w:rsidP="000E270F"/>
    <w:p w:rsidR="000E270F" w:rsidRDefault="000E270F" w:rsidP="000E270F">
      <w:pPr>
        <w:pStyle w:val="EntradandiceSentencia"/>
      </w:pPr>
      <w:r>
        <w:t>Sala Segunda. Sentencia 223/2015, de 2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1167-2013. </w:t>
      </w:r>
      <w:r w:rsidRPr="000E270F">
        <w:rPr>
          <w:rStyle w:val="TextoNormalCursivaCaracter"/>
        </w:rPr>
        <w:t xml:space="preserve"> Vulneración del derecho a la tutela judicial efectiva (reforma peyorativa): Sentencia que, estimando parcialmente el recurso de apelación interpuesto exclusivamente por el acusado, agrava la pena impuesta.</w:t>
      </w:r>
      <w:r>
        <w:tab/>
      </w:r>
      <w:r>
        <w:tab/>
      </w:r>
      <w:r>
        <w:fldChar w:fldCharType="begin"/>
      </w:r>
      <w:r>
        <w:instrText xml:space="preserve"> PAGEREF SENTENCIA_2015_223 \h </w:instrText>
      </w:r>
      <w:r>
        <w:fldChar w:fldCharType="separate"/>
      </w:r>
      <w:r w:rsidR="002F5064">
        <w:rPr>
          <w:noProof/>
        </w:rPr>
        <w:t>1228</w:t>
      </w:r>
      <w:r>
        <w:fldChar w:fldCharType="end"/>
      </w:r>
    </w:p>
    <w:p w:rsidR="000E270F" w:rsidRDefault="000E270F" w:rsidP="000E270F"/>
    <w:p w:rsidR="000E270F" w:rsidRDefault="000E270F" w:rsidP="000E270F">
      <w:pPr>
        <w:pStyle w:val="EntradandiceSentencia"/>
      </w:pPr>
      <w:r>
        <w:t>Sala Segunda. Sentencia 224/2015, de 2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7124-2013. </w:t>
      </w:r>
      <w:r w:rsidRPr="000E270F">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SENTENCIA_2015_224 \h </w:instrText>
      </w:r>
      <w:r>
        <w:fldChar w:fldCharType="separate"/>
      </w:r>
      <w:r w:rsidR="002F5064">
        <w:rPr>
          <w:noProof/>
        </w:rPr>
        <w:t>1240</w:t>
      </w:r>
      <w:r>
        <w:fldChar w:fldCharType="end"/>
      </w:r>
    </w:p>
    <w:p w:rsidR="000E270F" w:rsidRDefault="000E270F" w:rsidP="000E270F"/>
    <w:p w:rsidR="000E270F" w:rsidRDefault="000E270F" w:rsidP="000E270F">
      <w:pPr>
        <w:pStyle w:val="EntradandiceSentencia"/>
      </w:pPr>
      <w:r>
        <w:t>Sala Primera. Sentencia 225/2015, de 2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584-2014. </w:t>
      </w:r>
      <w:r w:rsidRPr="000E270F">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SENTENCIA_2015_225 \h </w:instrText>
      </w:r>
      <w:r>
        <w:fldChar w:fldCharType="separate"/>
      </w:r>
      <w:r w:rsidR="002F5064">
        <w:rPr>
          <w:noProof/>
        </w:rPr>
        <w:t>1254</w:t>
      </w:r>
      <w:r>
        <w:fldChar w:fldCharType="end"/>
      </w:r>
    </w:p>
    <w:p w:rsidR="000E270F" w:rsidRDefault="000E270F" w:rsidP="000E270F"/>
    <w:p w:rsidR="000E270F" w:rsidRDefault="000E270F" w:rsidP="000E270F">
      <w:pPr>
        <w:pStyle w:val="EntradandiceSentencia"/>
      </w:pPr>
      <w:r>
        <w:t>Sala Segunda. Sentencia 226/2015, de 2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1324-2014. </w:t>
      </w:r>
      <w:r w:rsidRPr="000E270F">
        <w:rPr>
          <w:rStyle w:val="TextoNormalCursivaCaracter"/>
        </w:rPr>
        <w:t xml:space="preserve"> Supuesta vulneración de los derechos a la libertad personal y a la tutela judicial efectiva (motivación): resoluciones judiciales que satisfacen el deber reforzado de motivación (STC 163/2002).</w:t>
      </w:r>
      <w:r>
        <w:tab/>
      </w:r>
      <w:r>
        <w:tab/>
      </w:r>
      <w:r>
        <w:fldChar w:fldCharType="begin"/>
      </w:r>
      <w:r>
        <w:instrText xml:space="preserve"> PAGEREF SENTENCIA_2015_226 \h </w:instrText>
      </w:r>
      <w:r>
        <w:fldChar w:fldCharType="separate"/>
      </w:r>
      <w:r w:rsidR="002F5064">
        <w:rPr>
          <w:noProof/>
        </w:rPr>
        <w:t>1266</w:t>
      </w:r>
      <w:r>
        <w:fldChar w:fldCharType="end"/>
      </w:r>
    </w:p>
    <w:p w:rsidR="000E270F" w:rsidRDefault="000E270F" w:rsidP="000E270F"/>
    <w:p w:rsidR="000E270F" w:rsidRDefault="000E270F" w:rsidP="000E270F">
      <w:pPr>
        <w:pStyle w:val="EntradandiceSentencia"/>
      </w:pPr>
      <w:r>
        <w:t>Sala Segunda. Sentencia 227/2015, de 2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3664-2014. </w:t>
      </w:r>
      <w:r w:rsidRPr="000E270F">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SENTENCIA_2015_227 \h </w:instrText>
      </w:r>
      <w:r>
        <w:fldChar w:fldCharType="separate"/>
      </w:r>
      <w:r w:rsidR="002F5064">
        <w:rPr>
          <w:noProof/>
        </w:rPr>
        <w:t>1280</w:t>
      </w:r>
      <w:r>
        <w:fldChar w:fldCharType="end"/>
      </w:r>
    </w:p>
    <w:p w:rsidR="000E270F" w:rsidRDefault="000E270F" w:rsidP="000E270F"/>
    <w:p w:rsidR="000E270F" w:rsidRDefault="000E270F" w:rsidP="000E270F">
      <w:pPr>
        <w:pStyle w:val="EntradandiceSentencia"/>
      </w:pPr>
      <w:r>
        <w:t>Sala Segunda. Sentencia 228/2015, de 2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7623-2014. </w:t>
      </w:r>
      <w:r w:rsidRPr="000E270F">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SENTENCIA_2015_228 \h </w:instrText>
      </w:r>
      <w:r>
        <w:fldChar w:fldCharType="separate"/>
      </w:r>
      <w:r w:rsidR="002F5064">
        <w:rPr>
          <w:noProof/>
        </w:rPr>
        <w:t>1291</w:t>
      </w:r>
      <w:r>
        <w:fldChar w:fldCharType="end"/>
      </w:r>
    </w:p>
    <w:p w:rsidR="000E270F" w:rsidRDefault="000E270F" w:rsidP="000E270F"/>
    <w:p w:rsidR="000E270F" w:rsidRDefault="000E270F" w:rsidP="000E270F">
      <w:pPr>
        <w:pStyle w:val="EntradandiceSentencia"/>
      </w:pPr>
      <w:r>
        <w:t>Sala Segunda. Sentencia 229/2015, de 2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3215-2015. </w:t>
      </w:r>
      <w:r w:rsidRPr="000E270F">
        <w:rPr>
          <w:rStyle w:val="TextoNormalCursivaCaracter"/>
        </w:rPr>
        <w:t xml:space="preserve"> Competencias sobre colegios profesionales: nulidad del precepto legal autonómico relativo a las obligaciones de colegiación de los empleados públicos (STC 3/2013).</w:t>
      </w:r>
      <w:r>
        <w:tab/>
      </w:r>
      <w:r>
        <w:tab/>
      </w:r>
      <w:r>
        <w:fldChar w:fldCharType="begin"/>
      </w:r>
      <w:r>
        <w:instrText xml:space="preserve"> PAGEREF SENTENCIA_2015_229 \h </w:instrText>
      </w:r>
      <w:r>
        <w:fldChar w:fldCharType="separate"/>
      </w:r>
      <w:r w:rsidR="002F5064">
        <w:rPr>
          <w:noProof/>
        </w:rPr>
        <w:t>1304</w:t>
      </w:r>
      <w:r>
        <w:fldChar w:fldCharType="end"/>
      </w:r>
    </w:p>
    <w:p w:rsidR="000E270F" w:rsidRDefault="000E270F" w:rsidP="000E270F"/>
    <w:p w:rsidR="000E270F" w:rsidRDefault="000E270F" w:rsidP="000E270F">
      <w:pPr>
        <w:pStyle w:val="EntradandiceSentencia"/>
      </w:pPr>
      <w:r>
        <w:t>Pleno. Sentencia 230/2015, de 5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inconstitucionalidad 7686-2010. </w:t>
      </w:r>
      <w:r w:rsidRPr="000E270F">
        <w:rPr>
          <w:rStyle w:val="TextoNormalCursivaCaracter"/>
        </w:rPr>
        <w:t xml:space="preserve"> Límites a los decretos-leyes, igualdad en el acceso a las funciones públicas y competencias sobre función pública: nulidad de los preceptos legales autonómicos que establecen el régimen jurídico y ejercicio de potestades administrativas, la sujeción a Derecho laboral del personal al servicio de las fundaciones del sector público andaluz y el régimen de nombramiento del personal no directivo.</w:t>
      </w:r>
      <w:r>
        <w:tab/>
      </w:r>
      <w:r>
        <w:tab/>
      </w:r>
      <w:r>
        <w:fldChar w:fldCharType="begin"/>
      </w:r>
      <w:r>
        <w:instrText xml:space="preserve"> PAGEREF SENTENCIA_2015_230 \h </w:instrText>
      </w:r>
      <w:r>
        <w:fldChar w:fldCharType="separate"/>
      </w:r>
      <w:r w:rsidR="002F5064">
        <w:rPr>
          <w:noProof/>
        </w:rPr>
        <w:t>1314</w:t>
      </w:r>
      <w:r>
        <w:fldChar w:fldCharType="end"/>
      </w:r>
    </w:p>
    <w:p w:rsidR="000E270F" w:rsidRDefault="000E270F" w:rsidP="000E270F"/>
    <w:p w:rsidR="000E270F" w:rsidRDefault="000E270F" w:rsidP="000E270F">
      <w:pPr>
        <w:pStyle w:val="EntradandiceSentencia"/>
      </w:pPr>
      <w:r>
        <w:t>Pleno. Sentencia 231/2015, de 5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1066-2012. </w:t>
      </w:r>
      <w:r w:rsidRPr="000E270F">
        <w:rPr>
          <w:rStyle w:val="TextoNormalCursivaCaracter"/>
        </w:rPr>
        <w:t xml:space="preserve"> Principio de interdicción de la arbitrariedad de los poderes públicos, derecho a la tutela judicial efectiva (ejecución) y garantías del procedimiento expropiatorio: constitucionalidad del precepto legal que convalida obras de ordenación de recursos hídricos derivadas de la ejecución de un reglamento anulado por Sentencia del Tribunal Supremo. Voto particular.</w:t>
      </w:r>
      <w:r>
        <w:tab/>
      </w:r>
      <w:r>
        <w:tab/>
      </w:r>
      <w:r>
        <w:fldChar w:fldCharType="begin"/>
      </w:r>
      <w:r>
        <w:instrText xml:space="preserve"> PAGEREF SENTENCIA_2015_231 \h </w:instrText>
      </w:r>
      <w:r>
        <w:fldChar w:fldCharType="separate"/>
      </w:r>
      <w:r w:rsidR="002F5064">
        <w:rPr>
          <w:noProof/>
        </w:rPr>
        <w:t>1345</w:t>
      </w:r>
      <w:r>
        <w:fldChar w:fldCharType="end"/>
      </w:r>
    </w:p>
    <w:p w:rsidR="000E270F" w:rsidRDefault="000E270F" w:rsidP="000E270F"/>
    <w:p w:rsidR="000E270F" w:rsidRDefault="000E270F" w:rsidP="000E270F">
      <w:pPr>
        <w:pStyle w:val="EntradandiceSentencia"/>
      </w:pPr>
      <w:r>
        <w:t>Pleno. Sentencia 232/2015, de 5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1709-2013. </w:t>
      </w:r>
      <w:r w:rsidRPr="000E270F">
        <w:rPr>
          <w:rStyle w:val="TextoNormalCursivaCaracter"/>
        </w:rPr>
        <w:t xml:space="preserve"> Vulneración del derecho a la tutela judicial efectiva: infracción del principio de primacía del Derecho de la Unión Europea al inaplicar una Directiva sin motivar la oportunidad o conveniencia de plantear una nueva cuestión prejudicial en un supuesto idéntico al resuelto por el Tribunal de Justicia de la Unión Europea en el asunto Lorenzo Martínez (STC 145/2012).</w:t>
      </w:r>
      <w:r>
        <w:tab/>
      </w:r>
      <w:r>
        <w:tab/>
      </w:r>
      <w:r>
        <w:fldChar w:fldCharType="begin"/>
      </w:r>
      <w:r>
        <w:instrText xml:space="preserve"> PAGEREF SENTENCIA_2015_232 \h </w:instrText>
      </w:r>
      <w:r>
        <w:fldChar w:fldCharType="separate"/>
      </w:r>
      <w:r w:rsidR="002F5064">
        <w:rPr>
          <w:noProof/>
        </w:rPr>
        <w:t>1395</w:t>
      </w:r>
      <w:r>
        <w:fldChar w:fldCharType="end"/>
      </w:r>
    </w:p>
    <w:p w:rsidR="000E270F" w:rsidRDefault="000E270F" w:rsidP="000E270F"/>
    <w:p w:rsidR="000E270F" w:rsidRDefault="000E270F" w:rsidP="000E270F">
      <w:pPr>
        <w:pStyle w:val="EntradandiceSentencia"/>
      </w:pPr>
      <w:r>
        <w:t>Pleno. Sentencia 233/2015, de 5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inconstitucionalidad 5012-2013. </w:t>
      </w:r>
      <w:r w:rsidRPr="000E270F">
        <w:rPr>
          <w:rStyle w:val="TextoNormalCursivaCaracter"/>
        </w:rPr>
        <w:t xml:space="preserve"> Principios de irretroactividad, seguridad jurídica, interdicción de la arbitrariedad y protección ambiental; régimen de los bienes demaniales: nulidad de los preceptos legales que excluyen del dominio público marítimo-terrestre los terrenos inundados artificial y controladamente, establecen un régimen específico de deslinde para la isla de Formentera e introducen una garantía del funcionamiento de determinadas instalaciones de depuración; interpretación conforme con la Constitución de la disposición que excluye determinados núcleos de población del dominio público marítimo-terrestre (STC 149/1991).</w:t>
      </w:r>
      <w:r>
        <w:tab/>
      </w:r>
      <w:r>
        <w:tab/>
      </w:r>
      <w:r>
        <w:fldChar w:fldCharType="begin"/>
      </w:r>
      <w:r>
        <w:instrText xml:space="preserve"> PAGEREF SENTENCIA_2015_233 \h </w:instrText>
      </w:r>
      <w:r>
        <w:fldChar w:fldCharType="separate"/>
      </w:r>
      <w:r w:rsidR="002F5064">
        <w:rPr>
          <w:noProof/>
        </w:rPr>
        <w:t>1415</w:t>
      </w:r>
      <w:r>
        <w:fldChar w:fldCharType="end"/>
      </w:r>
    </w:p>
    <w:p w:rsidR="000E270F" w:rsidRDefault="000E270F" w:rsidP="000E270F"/>
    <w:p w:rsidR="000E270F" w:rsidRDefault="000E270F" w:rsidP="000E270F">
      <w:pPr>
        <w:pStyle w:val="EntradandiceSentencia"/>
      </w:pPr>
      <w:r>
        <w:t>Pleno. Sentencia 234/2015, de 5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6518-2014. </w:t>
      </w:r>
      <w:r w:rsidRPr="000E270F">
        <w:rPr>
          <w:rStyle w:val="TextoNormalCursivaCaracter"/>
        </w:rPr>
        <w:t xml:space="preserve"> Límites materiales de las leyes de presupuestos, reserva de ley orgánica: inadmisión de la cuestión de inconstitucionalidad por inadecuada formulación del juicio de relevancia.</w:t>
      </w:r>
      <w:r>
        <w:tab/>
      </w:r>
      <w:r>
        <w:tab/>
      </w:r>
      <w:r>
        <w:fldChar w:fldCharType="begin"/>
      </w:r>
      <w:r>
        <w:instrText xml:space="preserve"> PAGEREF SENTENCIA_2015_234 \h </w:instrText>
      </w:r>
      <w:r>
        <w:fldChar w:fldCharType="separate"/>
      </w:r>
      <w:r w:rsidR="002F5064">
        <w:rPr>
          <w:noProof/>
        </w:rPr>
        <w:t>1478</w:t>
      </w:r>
      <w:r>
        <w:fldChar w:fldCharType="end"/>
      </w:r>
    </w:p>
    <w:p w:rsidR="000E270F" w:rsidRDefault="000E270F" w:rsidP="000E270F"/>
    <w:p w:rsidR="000E270F" w:rsidRDefault="000E270F" w:rsidP="000E270F">
      <w:pPr>
        <w:pStyle w:val="EntradandiceSentencia"/>
      </w:pPr>
      <w:r>
        <w:t>Pleno. Sentencia 235/2015, de 5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2194-2015. </w:t>
      </w:r>
      <w:r w:rsidRPr="000E270F">
        <w:rPr>
          <w:rStyle w:val="TextoNormalCursivaCaracter"/>
        </w:rPr>
        <w:t xml:space="preserve"> Competencias sobre medio ambiente y minas: nulidad del precepto legal autonómico que declara todo el territorio de las Illes Balears zona no registrable a los efectos de concesión de exploración, investigación y explotación de yacimientos minerales y recursos geológicos incluidos en la sección c) de la Ley de minas.</w:t>
      </w:r>
      <w:r>
        <w:tab/>
      </w:r>
      <w:r>
        <w:tab/>
      </w:r>
      <w:r>
        <w:fldChar w:fldCharType="begin"/>
      </w:r>
      <w:r>
        <w:instrText xml:space="preserve"> PAGEREF SENTENCIA_2015_235 \h </w:instrText>
      </w:r>
      <w:r>
        <w:fldChar w:fldCharType="separate"/>
      </w:r>
      <w:r w:rsidR="002F5064">
        <w:rPr>
          <w:noProof/>
        </w:rPr>
        <w:t>1488</w:t>
      </w:r>
      <w:r>
        <w:fldChar w:fldCharType="end"/>
      </w:r>
    </w:p>
    <w:p w:rsidR="000E270F" w:rsidRDefault="000E270F" w:rsidP="000E270F"/>
    <w:p w:rsidR="000E270F" w:rsidRDefault="000E270F" w:rsidP="000E270F">
      <w:pPr>
        <w:pStyle w:val="EntradandiceSentencia"/>
      </w:pPr>
      <w:r>
        <w:t>Pleno. Sentencia 236/2015, de 19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inconstitucionalidad 2733-2011. </w:t>
      </w:r>
      <w:r w:rsidRPr="000E270F">
        <w:rPr>
          <w:rStyle w:val="TextoNormalCursivaCaracter"/>
        </w:rPr>
        <w:t xml:space="preserve"> Principios de seguridad jurídica y de legalidad de la Administración, derecho a la igualdad en el acceso a las funciones públicas; competencias sobre función pública: constitucionalidad de los preceptos legales que establecen el régimen de actuación de la Administración de la Junta de Andalucía. Voto particular.</w:t>
      </w:r>
      <w:r>
        <w:tab/>
      </w:r>
      <w:r>
        <w:tab/>
      </w:r>
      <w:r>
        <w:fldChar w:fldCharType="begin"/>
      </w:r>
      <w:r>
        <w:instrText xml:space="preserve"> PAGEREF SENTENCIA_2015_236 \h </w:instrText>
      </w:r>
      <w:r>
        <w:fldChar w:fldCharType="separate"/>
      </w:r>
      <w:r w:rsidR="002F5064">
        <w:rPr>
          <w:noProof/>
        </w:rPr>
        <w:t>1507</w:t>
      </w:r>
      <w:r>
        <w:fldChar w:fldCharType="end"/>
      </w:r>
    </w:p>
    <w:p w:rsidR="000E270F" w:rsidRDefault="000E270F" w:rsidP="000E270F"/>
    <w:p w:rsidR="000E270F" w:rsidRDefault="000E270F" w:rsidP="000E270F">
      <w:pPr>
        <w:pStyle w:val="EntradandiceSentencia"/>
      </w:pPr>
      <w:r>
        <w:t>Pleno. Sentencia 237/2015, de 19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inconstitucionalidad 6720-2011. </w:t>
      </w:r>
      <w:r w:rsidRPr="000E270F">
        <w:rPr>
          <w:rStyle w:val="TextoNormalCursivaCaracter"/>
        </w:rPr>
        <w:t xml:space="preserve"> Competencias sobre contratos administrativos: nulidad de los preceptos legales autonómicos relativos a la documentación, publicación del anuncio licitación y plazo de presentación de ofertas en los procedimientos simplificados.</w:t>
      </w:r>
      <w:r>
        <w:tab/>
      </w:r>
      <w:r>
        <w:tab/>
      </w:r>
      <w:r>
        <w:fldChar w:fldCharType="begin"/>
      </w:r>
      <w:r>
        <w:instrText xml:space="preserve"> PAGEREF SENTENCIA_2015_237 \h </w:instrText>
      </w:r>
      <w:r>
        <w:fldChar w:fldCharType="separate"/>
      </w:r>
      <w:r w:rsidR="002F5064">
        <w:rPr>
          <w:noProof/>
        </w:rPr>
        <w:t>1551</w:t>
      </w:r>
      <w:r>
        <w:fldChar w:fldCharType="end"/>
      </w:r>
    </w:p>
    <w:p w:rsidR="000E270F" w:rsidRDefault="000E270F" w:rsidP="000E270F"/>
    <w:p w:rsidR="000E270F" w:rsidRDefault="000E270F" w:rsidP="000E270F">
      <w:pPr>
        <w:pStyle w:val="EntradandiceSentencia"/>
      </w:pPr>
      <w:r>
        <w:t>Pleno. Sentencia 238/2015, de 19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inconstitucionalidad 4681-2015. </w:t>
      </w:r>
      <w:r w:rsidRPr="000E270F">
        <w:rPr>
          <w:rStyle w:val="TextoNormalCursivaCaracter"/>
        </w:rPr>
        <w:t xml:space="preserve"> Derecho a la igualdad en el acceso a las funciones públicas, competencias sobre función pública: nulidad del precepto legal autonómico que regula la integración voluntaria de funcionarios públicos en los cuerpos superior de inspectores tributarios y técnico de gestores tributarios de la Generalitat de Cataluña.</w:t>
      </w:r>
      <w:r>
        <w:tab/>
      </w:r>
      <w:r>
        <w:tab/>
      </w:r>
      <w:r>
        <w:fldChar w:fldCharType="begin"/>
      </w:r>
      <w:r>
        <w:instrText xml:space="preserve"> PAGEREF SENTENCIA_2015_238 \h </w:instrText>
      </w:r>
      <w:r>
        <w:fldChar w:fldCharType="separate"/>
      </w:r>
      <w:r w:rsidR="002F5064">
        <w:rPr>
          <w:noProof/>
        </w:rPr>
        <w:t>1577</w:t>
      </w:r>
      <w:r>
        <w:fldChar w:fldCharType="end"/>
      </w:r>
    </w:p>
    <w:p w:rsidR="000E270F" w:rsidRDefault="000E270F" w:rsidP="000E270F"/>
    <w:p w:rsidR="000E270F" w:rsidRDefault="000E270F" w:rsidP="000E270F">
      <w:pPr>
        <w:pStyle w:val="EntradandiceSentencia"/>
      </w:pPr>
      <w:r>
        <w:t>Sala Segunda. Sentencia 239/2015, de 30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274-2013. </w:t>
      </w:r>
      <w:r w:rsidRPr="000E270F">
        <w:rPr>
          <w:rStyle w:val="TextoNormalCursivaCaracter"/>
        </w:rPr>
        <w:t xml:space="preserve"> Vulneración del derecho a la tutela judicial efectiva (resolución fundada en Derecho): Sentencia que no entra a conocer de los vicios de inconstitucionalidad imputados a una norma foral, ni plantea cuestión prejudicial de validez ante el Tribunal Constitucional, fundándose en la falta de jurisdicción del órgano sentenciador para examinar la validez de las normas forales fiscales.</w:t>
      </w:r>
      <w:r>
        <w:tab/>
      </w:r>
      <w:r>
        <w:tab/>
      </w:r>
      <w:r>
        <w:fldChar w:fldCharType="begin"/>
      </w:r>
      <w:r>
        <w:instrText xml:space="preserve"> PAGEREF SENTENCIA_2015_239 \h </w:instrText>
      </w:r>
      <w:r>
        <w:fldChar w:fldCharType="separate"/>
      </w:r>
      <w:r w:rsidR="002F5064">
        <w:rPr>
          <w:noProof/>
        </w:rPr>
        <w:t>1593</w:t>
      </w:r>
      <w:r>
        <w:fldChar w:fldCharType="end"/>
      </w:r>
    </w:p>
    <w:p w:rsidR="000E270F" w:rsidRDefault="000E270F" w:rsidP="000E270F"/>
    <w:p w:rsidR="000E270F" w:rsidRDefault="000E270F" w:rsidP="000E270F">
      <w:pPr>
        <w:pStyle w:val="EntradandiceSentencia"/>
      </w:pPr>
      <w:r>
        <w:t>Sala Segunda. Sentencia 240/2015, de 30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1614-2013. </w:t>
      </w:r>
      <w:r w:rsidRPr="000E270F">
        <w:rPr>
          <w:rStyle w:val="TextoNormalCursivaCaracter"/>
        </w:rPr>
        <w:t xml:space="preserve"> Vulneración del derecho a la tutela judicial efectiva (resolución fundada en Derecho): Sentencia que no entra a conocer de los vicios de inconstitucionalidad imputados a una norma foral, ni plantea cuestión prejudicial de validez ante el Tribunal Constitucional, fundándose en la falta de jurisdicción del órgano sentenciador para examinar la validez de las normas forales fiscales.</w:t>
      </w:r>
      <w:r>
        <w:tab/>
      </w:r>
      <w:r>
        <w:tab/>
      </w:r>
      <w:r>
        <w:fldChar w:fldCharType="begin"/>
      </w:r>
      <w:r>
        <w:instrText xml:space="preserve"> PAGEREF SENTENCIA_2015_240 \h </w:instrText>
      </w:r>
      <w:r>
        <w:fldChar w:fldCharType="separate"/>
      </w:r>
      <w:r w:rsidR="002F5064">
        <w:rPr>
          <w:noProof/>
        </w:rPr>
        <w:t>1607</w:t>
      </w:r>
      <w:r>
        <w:fldChar w:fldCharType="end"/>
      </w:r>
    </w:p>
    <w:p w:rsidR="000E270F" w:rsidRDefault="000E270F" w:rsidP="000E270F"/>
    <w:p w:rsidR="000E270F" w:rsidRDefault="000E270F" w:rsidP="000E270F">
      <w:pPr>
        <w:pStyle w:val="EntradandiceSentencia"/>
      </w:pPr>
      <w:r>
        <w:t>Sala Primera. Sentencia 241/2015, de 30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5081-2013. </w:t>
      </w:r>
      <w:r w:rsidRPr="000E270F">
        <w:rPr>
          <w:rStyle w:val="TextoNormalCursivaCaracter"/>
        </w:rPr>
        <w:t xml:space="preserve"> Principio de irretroactividad: inadmisión de la cuestión de inconstitucionalidad por inadecuada formulación del juicio de relevancia.</w:t>
      </w:r>
      <w:r>
        <w:tab/>
      </w:r>
      <w:r>
        <w:tab/>
      </w:r>
      <w:r>
        <w:fldChar w:fldCharType="begin"/>
      </w:r>
      <w:r>
        <w:instrText xml:space="preserve"> PAGEREF SENTENCIA_2015_241 \h </w:instrText>
      </w:r>
      <w:r>
        <w:fldChar w:fldCharType="separate"/>
      </w:r>
      <w:r w:rsidR="002F5064">
        <w:rPr>
          <w:noProof/>
        </w:rPr>
        <w:t>1621</w:t>
      </w:r>
      <w:r>
        <w:fldChar w:fldCharType="end"/>
      </w:r>
    </w:p>
    <w:p w:rsidR="000E270F" w:rsidRDefault="000E270F" w:rsidP="000E270F"/>
    <w:p w:rsidR="000E270F" w:rsidRDefault="000E270F" w:rsidP="000E270F">
      <w:pPr>
        <w:pStyle w:val="EntradandiceSentencia"/>
      </w:pPr>
      <w:r>
        <w:t>Sala Segunda. Sentencia 242/2015, de 30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6469-2013. </w:t>
      </w:r>
      <w:r w:rsidRPr="000E270F">
        <w:rPr>
          <w:rStyle w:val="TextoNormalCursivaCaracter"/>
        </w:rPr>
        <w:t xml:space="preserve"> Alegada vulneración del derecho a no padecer discriminación por razón de sexo: inadmisión del recurso de amparo por falta de invocación tempestiva del derecho fundamental.</w:t>
      </w:r>
      <w:r>
        <w:tab/>
      </w:r>
      <w:r>
        <w:tab/>
      </w:r>
      <w:r>
        <w:fldChar w:fldCharType="begin"/>
      </w:r>
      <w:r>
        <w:instrText xml:space="preserve"> PAGEREF SENTENCIA_2015_242 \h </w:instrText>
      </w:r>
      <w:r>
        <w:fldChar w:fldCharType="separate"/>
      </w:r>
      <w:r w:rsidR="002F5064">
        <w:rPr>
          <w:noProof/>
        </w:rPr>
        <w:t>1636</w:t>
      </w:r>
      <w:r>
        <w:fldChar w:fldCharType="end"/>
      </w:r>
    </w:p>
    <w:p w:rsidR="000E270F" w:rsidRDefault="000E270F" w:rsidP="000E270F"/>
    <w:p w:rsidR="000E270F" w:rsidRDefault="000E270F" w:rsidP="000E270F">
      <w:pPr>
        <w:pStyle w:val="EntradandiceSentencia"/>
      </w:pPr>
      <w:r>
        <w:t>Sala Primera. Sentencia 243/2015, de 30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6522-2013. </w:t>
      </w:r>
      <w:r w:rsidRPr="000E270F">
        <w:rPr>
          <w:rStyle w:val="TextoNormalCursivaCaracter"/>
        </w:rPr>
        <w:t xml:space="preserve"> Límites a los decretos-leyes, competencias en materia de ordenación general de la economía y función pública y principio de seguridad jurídica: acreditación de la concurrencia del presupuesto habilitante y de la conexión de sentido en la supresión de la paga extraordinaria y de la paga adicional de complemento específico, correspondientes al mes de diciembre de 2012; observancia de los límites materiales de los decretos-leyes; pérdida parcial de objeto de la cuestión de inconstitucionalidad (SSTC 81/2015 y 83/2015).</w:t>
      </w:r>
      <w:r>
        <w:tab/>
      </w:r>
      <w:r>
        <w:tab/>
      </w:r>
      <w:r>
        <w:fldChar w:fldCharType="begin"/>
      </w:r>
      <w:r>
        <w:instrText xml:space="preserve"> PAGEREF SENTENCIA_2015_243 \h </w:instrText>
      </w:r>
      <w:r>
        <w:fldChar w:fldCharType="separate"/>
      </w:r>
      <w:r w:rsidR="002F5064">
        <w:rPr>
          <w:noProof/>
        </w:rPr>
        <w:t>1649</w:t>
      </w:r>
      <w:r>
        <w:fldChar w:fldCharType="end"/>
      </w:r>
    </w:p>
    <w:p w:rsidR="000E270F" w:rsidRDefault="000E270F" w:rsidP="000E270F"/>
    <w:p w:rsidR="000E270F" w:rsidRDefault="000E270F" w:rsidP="000E270F">
      <w:pPr>
        <w:pStyle w:val="EntradandiceSentencia"/>
      </w:pPr>
      <w:r>
        <w:t>Sala Segunda. Sentencia 244/2015, de 30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6190-2014. </w:t>
      </w:r>
      <w:r w:rsidRPr="000E270F">
        <w:rPr>
          <w:rStyle w:val="TextoNormalCursivaCaracter"/>
        </w:rPr>
        <w:t xml:space="preserve"> Principio de igualdad y garantías expropiatorias: STC 218/2015 (pérdida parcial de objeto de la cuestión de inconstitucionalidad; constitucionalidad del método de capitalización de rentas para la valoración del suelo rural).</w:t>
      </w:r>
      <w:r>
        <w:tab/>
      </w:r>
      <w:r>
        <w:tab/>
      </w:r>
      <w:r>
        <w:fldChar w:fldCharType="begin"/>
      </w:r>
      <w:r>
        <w:instrText xml:space="preserve"> PAGEREF SENTENCIA_2015_244 \h </w:instrText>
      </w:r>
      <w:r>
        <w:fldChar w:fldCharType="separate"/>
      </w:r>
      <w:r w:rsidR="002F5064">
        <w:rPr>
          <w:noProof/>
        </w:rPr>
        <w:t>1669</w:t>
      </w:r>
      <w:r>
        <w:fldChar w:fldCharType="end"/>
      </w:r>
    </w:p>
    <w:p w:rsidR="000E270F" w:rsidRDefault="000E270F" w:rsidP="000E270F"/>
    <w:p w:rsidR="000E270F" w:rsidRDefault="000E270F" w:rsidP="000E270F">
      <w:pPr>
        <w:pStyle w:val="EntradandiceSentencia"/>
      </w:pPr>
      <w:r>
        <w:t>Sala Segunda. Sentencia 245/2015, de 30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6547-2014. </w:t>
      </w:r>
      <w:r w:rsidRPr="000E270F">
        <w:rPr>
          <w:rStyle w:val="TextoNormalCursivaCaracter"/>
        </w:rPr>
        <w:t xml:space="preserve"> Principio de irretroactividad de las normas restrictivas de derechos individuales: inadmisión parcial de la cuestión de inconstitucionalidad por inadecuada formulación del juicio de aplicabilidad y relevancia; extinción parcial, por pérdida de objeto (STC 83/2015).</w:t>
      </w:r>
      <w:r>
        <w:tab/>
      </w:r>
      <w:r>
        <w:tab/>
      </w:r>
      <w:r>
        <w:fldChar w:fldCharType="begin"/>
      </w:r>
      <w:r>
        <w:instrText xml:space="preserve"> PAGEREF SENTENCIA_2015_245 \h </w:instrText>
      </w:r>
      <w:r>
        <w:fldChar w:fldCharType="separate"/>
      </w:r>
      <w:r w:rsidR="002F5064">
        <w:rPr>
          <w:noProof/>
        </w:rPr>
        <w:t>1684</w:t>
      </w:r>
      <w:r>
        <w:fldChar w:fldCharType="end"/>
      </w:r>
    </w:p>
    <w:p w:rsidR="000E270F" w:rsidRDefault="000E270F" w:rsidP="000E270F"/>
    <w:p w:rsidR="000E270F" w:rsidRDefault="000E270F" w:rsidP="000E270F">
      <w:pPr>
        <w:pStyle w:val="EntradandiceSentencia"/>
      </w:pPr>
      <w:r>
        <w:t>Sala Primera. Sentencia 246/2015, de 30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6582-2014. </w:t>
      </w:r>
      <w:r w:rsidRPr="000E270F">
        <w:rPr>
          <w:rStyle w:val="TextoNormalCursivaCaracter"/>
        </w:rPr>
        <w:t xml:space="preserve"> Límites materiales de las leyes de presupuestos, reserva de ley orgánica: STC 234/2015 (inadmisión de la cuestión de inconstitucionalidad por inadecuada formulación del juicio de relevancia).</w:t>
      </w:r>
      <w:r>
        <w:tab/>
      </w:r>
      <w:r>
        <w:tab/>
      </w:r>
      <w:r>
        <w:fldChar w:fldCharType="begin"/>
      </w:r>
      <w:r>
        <w:instrText xml:space="preserve"> PAGEREF SENTENCIA_2015_246 \h </w:instrText>
      </w:r>
      <w:r>
        <w:fldChar w:fldCharType="separate"/>
      </w:r>
      <w:r w:rsidR="002F5064">
        <w:rPr>
          <w:noProof/>
        </w:rPr>
        <w:t>1696</w:t>
      </w:r>
      <w:r>
        <w:fldChar w:fldCharType="end"/>
      </w:r>
    </w:p>
    <w:p w:rsidR="000E270F" w:rsidRDefault="000E270F" w:rsidP="000E270F"/>
    <w:p w:rsidR="000E270F" w:rsidRDefault="000E270F" w:rsidP="000E270F">
      <w:pPr>
        <w:pStyle w:val="EntradandiceSentencia"/>
      </w:pPr>
      <w:r>
        <w:t>Sala Primera. Sentencia 247/2015, de 30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6583-2014. </w:t>
      </w:r>
      <w:r w:rsidRPr="000E270F">
        <w:rPr>
          <w:rStyle w:val="TextoNormalCursivaCaracter"/>
        </w:rPr>
        <w:t xml:space="preserve"> Límites materiales de las leyes de presupuestos, reserva de ley orgánica: STC 234/2015 (inadmisión de la cuestión de inconstitucionalidad por inadecuada formulación del juicio de relevancia).</w:t>
      </w:r>
      <w:r>
        <w:tab/>
      </w:r>
      <w:r>
        <w:tab/>
      </w:r>
      <w:r>
        <w:fldChar w:fldCharType="begin"/>
      </w:r>
      <w:r>
        <w:instrText xml:space="preserve"> PAGEREF SENTENCIA_2015_247 \h </w:instrText>
      </w:r>
      <w:r>
        <w:fldChar w:fldCharType="separate"/>
      </w:r>
      <w:r w:rsidR="002F5064">
        <w:rPr>
          <w:noProof/>
        </w:rPr>
        <w:t>1704</w:t>
      </w:r>
      <w:r>
        <w:fldChar w:fldCharType="end"/>
      </w:r>
    </w:p>
    <w:p w:rsidR="000E270F" w:rsidRDefault="000E270F" w:rsidP="000E270F"/>
    <w:p w:rsidR="000E270F" w:rsidRDefault="000E270F" w:rsidP="000E270F">
      <w:pPr>
        <w:pStyle w:val="EntradandiceSentencia"/>
      </w:pPr>
      <w:r>
        <w:t>Sala Segunda. Sentencia 248/2015, de 30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6626-2014. </w:t>
      </w:r>
      <w:r w:rsidRPr="000E270F">
        <w:rPr>
          <w:rStyle w:val="TextoNormalCursivaCaracter"/>
        </w:rPr>
        <w:t xml:space="preserve"> Límites materiales de las leyes de presupuestos, reserva de ley orgánica: STC 234/2015 (inadmisión de la cuestión de inconstitucionalidad por inadecuada formulación del juicio de relevancia).</w:t>
      </w:r>
      <w:r>
        <w:tab/>
      </w:r>
      <w:r>
        <w:tab/>
      </w:r>
      <w:r>
        <w:fldChar w:fldCharType="begin"/>
      </w:r>
      <w:r>
        <w:instrText xml:space="preserve"> PAGEREF SENTENCIA_2015_248 \h </w:instrText>
      </w:r>
      <w:r>
        <w:fldChar w:fldCharType="separate"/>
      </w:r>
      <w:r w:rsidR="002F5064">
        <w:rPr>
          <w:noProof/>
        </w:rPr>
        <w:t>1712</w:t>
      </w:r>
      <w:r>
        <w:fldChar w:fldCharType="end"/>
      </w:r>
    </w:p>
    <w:p w:rsidR="000E270F" w:rsidRDefault="000E270F" w:rsidP="000E270F"/>
    <w:p w:rsidR="000E270F" w:rsidRDefault="000E270F" w:rsidP="000E270F">
      <w:pPr>
        <w:pStyle w:val="EntradandiceSentencia"/>
      </w:pPr>
      <w:r>
        <w:t>Sala Primera. Sentencia 249/2015, de 30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6809-2014. </w:t>
      </w:r>
      <w:r w:rsidRPr="000E270F">
        <w:rPr>
          <w:rStyle w:val="TextoNormalCursivaCaracter"/>
        </w:rPr>
        <w:t xml:space="preserve"> Límites materiales de las leyes de presupuestos, reserva de ley orgánica: STC 234/2015 (inadmisión de la cuestión de inconstitucionalidad por inadecuada formulación del juicio de relevancia).</w:t>
      </w:r>
      <w:r>
        <w:tab/>
      </w:r>
      <w:r>
        <w:tab/>
      </w:r>
      <w:r>
        <w:fldChar w:fldCharType="begin"/>
      </w:r>
      <w:r>
        <w:instrText xml:space="preserve"> PAGEREF SENTENCIA_2015_249 \h </w:instrText>
      </w:r>
      <w:r>
        <w:fldChar w:fldCharType="separate"/>
      </w:r>
      <w:r w:rsidR="002F5064">
        <w:rPr>
          <w:noProof/>
        </w:rPr>
        <w:t>1722</w:t>
      </w:r>
      <w:r>
        <w:fldChar w:fldCharType="end"/>
      </w:r>
    </w:p>
    <w:p w:rsidR="000E270F" w:rsidRDefault="000E270F" w:rsidP="000E270F"/>
    <w:p w:rsidR="000E270F" w:rsidRDefault="000E270F" w:rsidP="000E270F">
      <w:pPr>
        <w:pStyle w:val="EntradandiceSentencia"/>
      </w:pPr>
      <w:r>
        <w:t>Sala Segunda. Sentencia 250/2015, de 30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6810-2014. </w:t>
      </w:r>
      <w:r w:rsidRPr="000E270F">
        <w:rPr>
          <w:rStyle w:val="TextoNormalCursivaCaracter"/>
        </w:rPr>
        <w:t xml:space="preserve"> Límites materiales de las leyes de presupuestos, reserva de ley orgánica: STC 234/2015 (inadmisión de la cuestión de inconstitucionalidad por inadecuada formulación del juicio de relevancia).</w:t>
      </w:r>
      <w:r>
        <w:tab/>
      </w:r>
      <w:r>
        <w:tab/>
      </w:r>
      <w:r>
        <w:fldChar w:fldCharType="begin"/>
      </w:r>
      <w:r>
        <w:instrText xml:space="preserve"> PAGEREF SENTENCIA_2015_250 \h </w:instrText>
      </w:r>
      <w:r>
        <w:fldChar w:fldCharType="separate"/>
      </w:r>
      <w:r w:rsidR="002F5064">
        <w:rPr>
          <w:noProof/>
        </w:rPr>
        <w:t>1730</w:t>
      </w:r>
      <w:r>
        <w:fldChar w:fldCharType="end"/>
      </w:r>
    </w:p>
    <w:p w:rsidR="000E270F" w:rsidRDefault="000E270F" w:rsidP="000E270F"/>
    <w:p w:rsidR="000E270F" w:rsidRDefault="000E270F" w:rsidP="000E270F">
      <w:pPr>
        <w:pStyle w:val="EntradandiceSentencia"/>
      </w:pPr>
      <w:r>
        <w:t>Sala Segunda. Sentencia 251/2015, de 30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6811-2014. </w:t>
      </w:r>
      <w:r w:rsidRPr="000E270F">
        <w:rPr>
          <w:rStyle w:val="TextoNormalCursivaCaracter"/>
        </w:rPr>
        <w:t xml:space="preserve"> Límites materiales de las leyes de presupuestos, reserva de ley orgánica: STC 234/2015 (inadmisión de la cuestión de inconstitucionalidad por inadecuada formulación del juicio de relevancia).</w:t>
      </w:r>
      <w:r>
        <w:tab/>
      </w:r>
      <w:r>
        <w:tab/>
      </w:r>
      <w:r>
        <w:fldChar w:fldCharType="begin"/>
      </w:r>
      <w:r>
        <w:instrText xml:space="preserve"> PAGEREF SENTENCIA_2015_251 \h </w:instrText>
      </w:r>
      <w:r>
        <w:fldChar w:fldCharType="separate"/>
      </w:r>
      <w:r w:rsidR="002F5064">
        <w:rPr>
          <w:noProof/>
        </w:rPr>
        <w:t>1738</w:t>
      </w:r>
      <w:r>
        <w:fldChar w:fldCharType="end"/>
      </w:r>
    </w:p>
    <w:p w:rsidR="000E270F" w:rsidRDefault="000E270F" w:rsidP="000E270F"/>
    <w:p w:rsidR="000E270F" w:rsidRDefault="000E270F" w:rsidP="000E270F">
      <w:pPr>
        <w:pStyle w:val="EntradandiceSentencia"/>
      </w:pPr>
      <w:r>
        <w:t>Sala Segunda. Sentencia 252/2015, de 30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6812-2014. </w:t>
      </w:r>
      <w:r w:rsidRPr="000E270F">
        <w:rPr>
          <w:rStyle w:val="TextoNormalCursivaCaracter"/>
        </w:rPr>
        <w:t xml:space="preserve"> Límites materiales de las leyes de presupuestos, reserva de ley orgánica: STC 234/2015 (inadmisión de la cuestión de inconstitucionalidad por inadecuada formulación del juicio de relevancia).</w:t>
      </w:r>
      <w:r>
        <w:tab/>
      </w:r>
      <w:r>
        <w:tab/>
      </w:r>
      <w:r>
        <w:fldChar w:fldCharType="begin"/>
      </w:r>
      <w:r>
        <w:instrText xml:space="preserve"> PAGEREF SENTENCIA_2015_252 \h </w:instrText>
      </w:r>
      <w:r>
        <w:fldChar w:fldCharType="separate"/>
      </w:r>
      <w:r w:rsidR="002F5064">
        <w:rPr>
          <w:noProof/>
        </w:rPr>
        <w:t>1746</w:t>
      </w:r>
      <w:r>
        <w:fldChar w:fldCharType="end"/>
      </w:r>
    </w:p>
    <w:p w:rsidR="000E270F" w:rsidRDefault="000E270F" w:rsidP="000E270F"/>
    <w:p w:rsidR="000E270F" w:rsidRDefault="000E270F" w:rsidP="000E270F">
      <w:pPr>
        <w:pStyle w:val="EntradandiceSentencia"/>
      </w:pPr>
      <w:r>
        <w:t>Sala Segunda. Sentencia 253/2015, de 30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6813-2014. </w:t>
      </w:r>
      <w:r w:rsidRPr="000E270F">
        <w:rPr>
          <w:rStyle w:val="TextoNormalCursivaCaracter"/>
        </w:rPr>
        <w:t xml:space="preserve"> Límites materiales de las leyes de presupuestos, reserva de ley orgánica: STC 234/2015 (inadmisión de la cuestión de inconstitucionalidad por inadecuada formulación del juicio de relevancia).</w:t>
      </w:r>
      <w:r>
        <w:tab/>
      </w:r>
      <w:r>
        <w:tab/>
      </w:r>
      <w:r>
        <w:fldChar w:fldCharType="begin"/>
      </w:r>
      <w:r>
        <w:instrText xml:space="preserve"> PAGEREF SENTENCIA_2015_253 \h </w:instrText>
      </w:r>
      <w:r>
        <w:fldChar w:fldCharType="separate"/>
      </w:r>
      <w:r w:rsidR="002F5064">
        <w:rPr>
          <w:noProof/>
        </w:rPr>
        <w:t>1754</w:t>
      </w:r>
      <w:r>
        <w:fldChar w:fldCharType="end"/>
      </w:r>
    </w:p>
    <w:p w:rsidR="000E270F" w:rsidRDefault="000E270F" w:rsidP="000E270F"/>
    <w:p w:rsidR="000E270F" w:rsidRDefault="000E270F" w:rsidP="000E270F">
      <w:pPr>
        <w:pStyle w:val="EntradandiceSentencia"/>
      </w:pPr>
      <w:r>
        <w:t>Sala Primera. Sentencia 254/2015, de 30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6860-2014. </w:t>
      </w:r>
      <w:r w:rsidRPr="000E270F">
        <w:rPr>
          <w:rStyle w:val="TextoNormalCursivaCaracter"/>
        </w:rPr>
        <w:t xml:space="preserve"> Derecho a la tutela judicial efectiva, reserva de jurisdicción y competencias en materia de administración de justicia: nulidad del precepto legal autonómico que introduce una causa de suspensión de ejecución de las sentencias que impliquen la demolición de edificaciones (STC 92/2013).</w:t>
      </w:r>
      <w:r>
        <w:tab/>
      </w:r>
      <w:r>
        <w:tab/>
      </w:r>
      <w:r>
        <w:fldChar w:fldCharType="begin"/>
      </w:r>
      <w:r>
        <w:instrText xml:space="preserve"> PAGEREF SENTENCIA_2015_254 \h </w:instrText>
      </w:r>
      <w:r>
        <w:fldChar w:fldCharType="separate"/>
      </w:r>
      <w:r w:rsidR="002F5064">
        <w:rPr>
          <w:noProof/>
        </w:rPr>
        <w:t>1762</w:t>
      </w:r>
      <w:r>
        <w:fldChar w:fldCharType="end"/>
      </w:r>
    </w:p>
    <w:p w:rsidR="000E270F" w:rsidRDefault="000E270F" w:rsidP="000E270F"/>
    <w:p w:rsidR="000E270F" w:rsidRDefault="000E270F" w:rsidP="000E270F">
      <w:pPr>
        <w:pStyle w:val="EntradandiceSentencia"/>
      </w:pPr>
      <w:r>
        <w:t>Sala Segunda. Sentencia 255/2015, de 30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7045-2014. </w:t>
      </w:r>
      <w:r w:rsidRPr="000E270F">
        <w:rPr>
          <w:rStyle w:val="TextoNormalCursivaCaracter"/>
        </w:rPr>
        <w:t xml:space="preserve"> Límites materiales de las leyes de presupuestos, reserva de ley orgánica: inadmisión de la cuestión de inconstitucionalidad por inadecuada formulación del juicio de relevancia (STC 234/2015).</w:t>
      </w:r>
      <w:r>
        <w:tab/>
      </w:r>
      <w:r>
        <w:tab/>
      </w:r>
      <w:r>
        <w:fldChar w:fldCharType="begin"/>
      </w:r>
      <w:r>
        <w:instrText xml:space="preserve"> PAGEREF SENTENCIA_2015_255 \h </w:instrText>
      </w:r>
      <w:r>
        <w:fldChar w:fldCharType="separate"/>
      </w:r>
      <w:r w:rsidR="002F5064">
        <w:rPr>
          <w:noProof/>
        </w:rPr>
        <w:t>1782</w:t>
      </w:r>
      <w:r>
        <w:fldChar w:fldCharType="end"/>
      </w:r>
    </w:p>
    <w:p w:rsidR="000E270F" w:rsidRDefault="000E270F" w:rsidP="000E270F"/>
    <w:p w:rsidR="000E270F" w:rsidRDefault="000E270F" w:rsidP="000E270F">
      <w:pPr>
        <w:pStyle w:val="EntradandiceSentencia"/>
      </w:pPr>
      <w:r>
        <w:t>Sala Segunda. Sentencia 256/2015, de 30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7302-2014. </w:t>
      </w:r>
      <w:r w:rsidRPr="000E270F">
        <w:rPr>
          <w:rStyle w:val="TextoNormalCursivaCaracter"/>
        </w:rPr>
        <w:t xml:space="preserve"> Límites materiales de las leyes de presupuestos, reserva de ley orgánica: STC 234/2015 (inadmisión de la cuestión de inconstitucionalidad por inadecuada formulación del juicio de relevancia).</w:t>
      </w:r>
      <w:r>
        <w:tab/>
      </w:r>
      <w:r>
        <w:tab/>
      </w:r>
      <w:r>
        <w:fldChar w:fldCharType="begin"/>
      </w:r>
      <w:r>
        <w:instrText xml:space="preserve"> PAGEREF SENTENCIA_2015_256 \h </w:instrText>
      </w:r>
      <w:r>
        <w:fldChar w:fldCharType="separate"/>
      </w:r>
      <w:r w:rsidR="002F5064">
        <w:rPr>
          <w:noProof/>
        </w:rPr>
        <w:t>1792</w:t>
      </w:r>
      <w:r>
        <w:fldChar w:fldCharType="end"/>
      </w:r>
    </w:p>
    <w:p w:rsidR="000E270F" w:rsidRDefault="000E270F" w:rsidP="000E270F"/>
    <w:p w:rsidR="000E270F" w:rsidRDefault="000E270F" w:rsidP="000E270F">
      <w:pPr>
        <w:pStyle w:val="EntradandiceSentencia"/>
      </w:pPr>
      <w:r>
        <w:t>Sala Segunda. Sentencia 257/2015, de 30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7403-2014. </w:t>
      </w:r>
      <w:r w:rsidRPr="000E270F">
        <w:rPr>
          <w:rStyle w:val="TextoNormalCursivaCaracter"/>
        </w:rPr>
        <w:t xml:space="preserve"> Límites materiales de las leyes de presupuestos, reserva de ley orgánica: STC 234/2015 (inadmisión de la cuestión de inconstitucionalidad por inadecuada formulación del juicio de relevancia).</w:t>
      </w:r>
      <w:r>
        <w:tab/>
      </w:r>
      <w:r>
        <w:tab/>
      </w:r>
      <w:r>
        <w:fldChar w:fldCharType="begin"/>
      </w:r>
      <w:r>
        <w:instrText xml:space="preserve"> PAGEREF SENTENCIA_2015_257 \h </w:instrText>
      </w:r>
      <w:r>
        <w:fldChar w:fldCharType="separate"/>
      </w:r>
      <w:r w:rsidR="002F5064">
        <w:rPr>
          <w:noProof/>
        </w:rPr>
        <w:t>1800</w:t>
      </w:r>
      <w:r>
        <w:fldChar w:fldCharType="end"/>
      </w:r>
    </w:p>
    <w:p w:rsidR="000E270F" w:rsidRDefault="000E270F" w:rsidP="000E270F"/>
    <w:p w:rsidR="000E270F" w:rsidRDefault="000E270F" w:rsidP="000E270F">
      <w:pPr>
        <w:pStyle w:val="EntradandiceSentencia"/>
      </w:pPr>
      <w:r>
        <w:t>Sala Primera. Sentencia 258/2015, de 30 de noviembre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7562-2014. </w:t>
      </w:r>
      <w:r w:rsidRPr="000E270F">
        <w:rPr>
          <w:rStyle w:val="TextoNormalCursivaCaracter"/>
        </w:rPr>
        <w:t xml:space="preserve"> Límites materiales de las leyes de presupuestos, reserva de ley orgánica: STC 234/2015 (inadmisión de la cuestión de inconstitucionalidad por inadecuada formulación del juicio de relevancia).</w:t>
      </w:r>
      <w:r>
        <w:tab/>
      </w:r>
      <w:r>
        <w:tab/>
      </w:r>
      <w:r>
        <w:fldChar w:fldCharType="begin"/>
      </w:r>
      <w:r>
        <w:instrText xml:space="preserve"> PAGEREF SENTENCIA_2015_258 \h </w:instrText>
      </w:r>
      <w:r>
        <w:fldChar w:fldCharType="separate"/>
      </w:r>
      <w:r w:rsidR="002F5064">
        <w:rPr>
          <w:noProof/>
        </w:rPr>
        <w:t>1808</w:t>
      </w:r>
      <w:r>
        <w:fldChar w:fldCharType="end"/>
      </w:r>
    </w:p>
    <w:p w:rsidR="000E270F" w:rsidRDefault="000E270F" w:rsidP="000E270F"/>
    <w:p w:rsidR="000E270F" w:rsidRDefault="000E270F" w:rsidP="000E270F">
      <w:pPr>
        <w:pStyle w:val="EntradandiceSentencia"/>
      </w:pPr>
      <w:r>
        <w:t>Pleno. Sentencia 259/2015, de 2 de diciembre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Impugnación de disposiciones autonómicas 6330-2015. </w:t>
      </w:r>
      <w:r w:rsidRPr="000E270F">
        <w:rPr>
          <w:rStyle w:val="TextoNormalCursivaCaracter"/>
        </w:rPr>
        <w:t xml:space="preserve"> Soberanía y unidad de la nación; principio democrático y primacía incondicional de la Constitución, lealtad constitucional y fidelidad a la Constitución; procedimiento de reforma constitucional: nulidad de la resolución parlamentaria que declara solemnemente el inicio del proceso de creación de un estado catalán independiente en forma de república.</w:t>
      </w:r>
      <w:r>
        <w:tab/>
      </w:r>
      <w:r>
        <w:tab/>
      </w:r>
      <w:r>
        <w:fldChar w:fldCharType="begin"/>
      </w:r>
      <w:r>
        <w:instrText xml:space="preserve"> PAGEREF SENTENCIA_2015_259 \h </w:instrText>
      </w:r>
      <w:r>
        <w:fldChar w:fldCharType="separate"/>
      </w:r>
      <w:r w:rsidR="002F5064">
        <w:rPr>
          <w:noProof/>
        </w:rPr>
        <w:t>1816</w:t>
      </w:r>
      <w:r>
        <w:fldChar w:fldCharType="end"/>
      </w:r>
    </w:p>
    <w:p w:rsidR="000E270F" w:rsidRDefault="000E270F" w:rsidP="000E270F"/>
    <w:p w:rsidR="000E270F" w:rsidRDefault="000E270F" w:rsidP="000E270F">
      <w:pPr>
        <w:pStyle w:val="EntradandiceSentencia"/>
      </w:pPr>
      <w:r>
        <w:t>Pleno. Sentencia 260/2015, de 3 de diciembre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inconstitucionalidad 4051-2015. </w:t>
      </w:r>
      <w:r w:rsidRPr="000E270F">
        <w:rPr>
          <w:rStyle w:val="TextoNormalCursivaCaracter"/>
        </w:rPr>
        <w:t xml:space="preserve"> Competencias sobre ordenación general de la economía, medio ambiente y minas: nulidad de los preceptos legales autonómicos relativos a la excepcionalidad del registro de terrenos para los recursos incluidos en la sección c) de la Ley de minas (STC 235/2015).</w:t>
      </w:r>
      <w:r>
        <w:tab/>
      </w:r>
      <w:r>
        <w:tab/>
      </w:r>
      <w:r>
        <w:fldChar w:fldCharType="begin"/>
      </w:r>
      <w:r>
        <w:instrText xml:space="preserve"> PAGEREF SENTENCIA_2015_260 \h </w:instrText>
      </w:r>
      <w:r>
        <w:fldChar w:fldCharType="separate"/>
      </w:r>
      <w:r w:rsidR="002F5064">
        <w:rPr>
          <w:noProof/>
        </w:rPr>
        <w:t>1843</w:t>
      </w:r>
      <w:r>
        <w:fldChar w:fldCharType="end"/>
      </w:r>
    </w:p>
    <w:p w:rsidR="000E270F" w:rsidRDefault="000E270F" w:rsidP="000E270F"/>
    <w:p w:rsidR="000E270F" w:rsidRDefault="000E270F" w:rsidP="000E270F">
      <w:pPr>
        <w:pStyle w:val="EntradandiceSentencia"/>
      </w:pPr>
      <w:r>
        <w:t>Sala Segunda. Sentencia 261/2015, de 14 de diciembre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1786-2013. </w:t>
      </w:r>
      <w:r w:rsidRPr="000E270F">
        <w:rPr>
          <w:rStyle w:val="TextoNormalCursivaCaracter"/>
        </w:rPr>
        <w:t xml:space="preserve"> Vulneración del derecho a la libertad personal: resoluciones judiciales que no ponderaron adecuadamente el tiempo servido en prisión con antelación a la reforma del régimen de abono de la prisión preventiva.</w:t>
      </w:r>
      <w:r>
        <w:tab/>
      </w:r>
      <w:r>
        <w:tab/>
      </w:r>
      <w:r>
        <w:fldChar w:fldCharType="begin"/>
      </w:r>
      <w:r>
        <w:instrText xml:space="preserve"> PAGEREF SENTENCIA_2015_261 \h </w:instrText>
      </w:r>
      <w:r>
        <w:fldChar w:fldCharType="separate"/>
      </w:r>
      <w:r w:rsidR="002F5064">
        <w:rPr>
          <w:noProof/>
        </w:rPr>
        <w:t>1853</w:t>
      </w:r>
      <w:r>
        <w:fldChar w:fldCharType="end"/>
      </w:r>
    </w:p>
    <w:p w:rsidR="000E270F" w:rsidRDefault="000E270F" w:rsidP="000E270F"/>
    <w:p w:rsidR="000E270F" w:rsidRDefault="000E270F" w:rsidP="000E270F">
      <w:pPr>
        <w:pStyle w:val="EntradandiceSentencia"/>
      </w:pPr>
      <w:r>
        <w:t>Sala Primera. Sentencia 262/2015, de 14 de diciembre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1889-2013. </w:t>
      </w:r>
      <w:r w:rsidRPr="000E270F">
        <w:rPr>
          <w:rStyle w:val="TextoNormalCursivaCaracter"/>
        </w:rPr>
        <w:t xml:space="preserve"> Vulneración del derecho a la tutela judicial efectiva (resolución fundada en Derecho): Sentencia que no entra a conocer de los vicios de inconstitucionalidad imputados a una norma foral, ni plantea cuestión prejudicial de validez ante el Tribunal Constitucional, fundándose en la falta de jurisdicción del órgano sentenciador para examinar la validez de las normas forales fiscales (STC 222/2015).</w:t>
      </w:r>
      <w:r>
        <w:tab/>
      </w:r>
      <w:r>
        <w:tab/>
      </w:r>
      <w:r>
        <w:fldChar w:fldCharType="begin"/>
      </w:r>
      <w:r>
        <w:instrText xml:space="preserve"> PAGEREF SENTENCIA_2015_262 \h </w:instrText>
      </w:r>
      <w:r>
        <w:fldChar w:fldCharType="separate"/>
      </w:r>
      <w:r w:rsidR="002F5064">
        <w:rPr>
          <w:noProof/>
        </w:rPr>
        <w:t>1873</w:t>
      </w:r>
      <w:r>
        <w:fldChar w:fldCharType="end"/>
      </w:r>
    </w:p>
    <w:p w:rsidR="000E270F" w:rsidRDefault="000E270F" w:rsidP="000E270F"/>
    <w:p w:rsidR="000E270F" w:rsidRDefault="000E270F" w:rsidP="000E270F">
      <w:pPr>
        <w:pStyle w:val="EntradandiceSentencia"/>
      </w:pPr>
      <w:r>
        <w:t>Sala Primera. Sentencia 263/2015, de 14 de diciembre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4093-2013. </w:t>
      </w:r>
      <w:r w:rsidRPr="000E270F">
        <w:rPr>
          <w:rStyle w:val="TextoNormalCursivaCaracter"/>
        </w:rPr>
        <w:t xml:space="preserve"> Vulneración del derecho a la tutela judicial efectiva (resolución fundada en Derecho): Sentencia que no entra a conocer de los vicios de inconstitucionalidad imputados a una norma foral, ni plantea cuestión prejudicial de validez ante el Tribunal Constitucional, fundándose en la falta de jurisdicción del órgano sentenciador para examinar la validez de las normas forales fiscales (STC 222/2015).</w:t>
      </w:r>
      <w:r>
        <w:tab/>
      </w:r>
      <w:r>
        <w:tab/>
      </w:r>
      <w:r>
        <w:fldChar w:fldCharType="begin"/>
      </w:r>
      <w:r>
        <w:instrText xml:space="preserve"> PAGEREF SENTENCIA_2015_263 \h </w:instrText>
      </w:r>
      <w:r>
        <w:fldChar w:fldCharType="separate"/>
      </w:r>
      <w:r w:rsidR="002F5064">
        <w:rPr>
          <w:noProof/>
        </w:rPr>
        <w:t>1885</w:t>
      </w:r>
      <w:r>
        <w:fldChar w:fldCharType="end"/>
      </w:r>
    </w:p>
    <w:p w:rsidR="000E270F" w:rsidRDefault="000E270F" w:rsidP="000E270F"/>
    <w:p w:rsidR="000E270F" w:rsidRDefault="000E270F" w:rsidP="000E270F">
      <w:pPr>
        <w:pStyle w:val="EntradandiceSentencia"/>
      </w:pPr>
      <w:r>
        <w:t>Sala Primera. Sentencia 264/2015, de 14 de diciembre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4253-2013. </w:t>
      </w:r>
      <w:r w:rsidRPr="000E270F">
        <w:rPr>
          <w:rStyle w:val="TextoNormalCursivaCaracter"/>
        </w:rPr>
        <w:t xml:space="preserve"> Principio de irretroactividad de las normas restrictivas de derechos individuales y expropiación de derechos económicos: extinción, por pérdida de objeto, de la cuestión de inconstitucionalidad (STC 83/2015).</w:t>
      </w:r>
      <w:r>
        <w:tab/>
      </w:r>
      <w:r>
        <w:tab/>
      </w:r>
      <w:r>
        <w:fldChar w:fldCharType="begin"/>
      </w:r>
      <w:r>
        <w:instrText xml:space="preserve"> PAGEREF SENTENCIA_2015_264 \h </w:instrText>
      </w:r>
      <w:r>
        <w:fldChar w:fldCharType="separate"/>
      </w:r>
      <w:r w:rsidR="002F5064">
        <w:rPr>
          <w:noProof/>
        </w:rPr>
        <w:t>1897</w:t>
      </w:r>
      <w:r>
        <w:fldChar w:fldCharType="end"/>
      </w:r>
    </w:p>
    <w:p w:rsidR="000E270F" w:rsidRDefault="000E270F" w:rsidP="000E270F"/>
    <w:p w:rsidR="000E270F" w:rsidRDefault="000E270F" w:rsidP="000E270F">
      <w:pPr>
        <w:pStyle w:val="EntradandiceSentencia"/>
      </w:pPr>
      <w:r>
        <w:t>Sala Segunda. Sentencia 265/2015, de 14 de diciembre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3335-2014. </w:t>
      </w:r>
      <w:r w:rsidRPr="000E270F">
        <w:rPr>
          <w:rStyle w:val="TextoNormalCursivaCaracter"/>
        </w:rPr>
        <w:t xml:space="preserve"> Vulneración del derecho a un proceso con todas las garantías: privación a la actora de la posibilidad de alegar sobre un hecho nuevo introducido en la contestación a la demanda.</w:t>
      </w:r>
      <w:r>
        <w:tab/>
      </w:r>
      <w:r>
        <w:tab/>
      </w:r>
      <w:r>
        <w:fldChar w:fldCharType="begin"/>
      </w:r>
      <w:r>
        <w:instrText xml:space="preserve"> PAGEREF SENTENCIA_2015_265 \h </w:instrText>
      </w:r>
      <w:r>
        <w:fldChar w:fldCharType="separate"/>
      </w:r>
      <w:r w:rsidR="002F5064">
        <w:rPr>
          <w:noProof/>
        </w:rPr>
        <w:t>1908</w:t>
      </w:r>
      <w:r>
        <w:fldChar w:fldCharType="end"/>
      </w:r>
    </w:p>
    <w:p w:rsidR="000E270F" w:rsidRDefault="000E270F" w:rsidP="000E270F"/>
    <w:p w:rsidR="000E270F" w:rsidRDefault="000E270F" w:rsidP="000E270F">
      <w:pPr>
        <w:pStyle w:val="EntradandiceSentencia"/>
      </w:pPr>
      <w:r>
        <w:t>Sala Segunda. Sentencia 266/2015, de 14 de diciembre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amparo 5290-2014. </w:t>
      </w:r>
      <w:r w:rsidRPr="000E270F">
        <w:rPr>
          <w:rStyle w:val="TextoNormalCursivaCaracter"/>
        </w:rPr>
        <w:t xml:space="preserve"> Vulneración de los derechos a la tutela judicial sin indefensión y a un proceso con todas las garantías: sentencia que acuerda la anulación de determinas escrituras, inscripciones registrales, cargas y gravámenes que pesaban sobre una finca sin emplazar a la entidad que figuraba en el Registro de la Propiedad como su titular dominical.</w:t>
      </w:r>
      <w:r>
        <w:tab/>
      </w:r>
      <w:r>
        <w:tab/>
      </w:r>
      <w:r>
        <w:fldChar w:fldCharType="begin"/>
      </w:r>
      <w:r>
        <w:instrText xml:space="preserve"> PAGEREF SENTENCIA_2015_266 \h </w:instrText>
      </w:r>
      <w:r>
        <w:fldChar w:fldCharType="separate"/>
      </w:r>
      <w:r w:rsidR="002F5064">
        <w:rPr>
          <w:noProof/>
        </w:rPr>
        <w:t>1918</w:t>
      </w:r>
      <w:r>
        <w:fldChar w:fldCharType="end"/>
      </w:r>
    </w:p>
    <w:p w:rsidR="000E270F" w:rsidRDefault="000E270F" w:rsidP="000E270F"/>
    <w:p w:rsidR="000E270F" w:rsidRDefault="000E270F" w:rsidP="000E270F">
      <w:pPr>
        <w:pStyle w:val="EntradandiceSentencia"/>
      </w:pPr>
      <w:r>
        <w:t>Sala Primera. Sentencia 267/2015, de 14 de diciembre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4485-2015. </w:t>
      </w:r>
      <w:r w:rsidRPr="000E270F">
        <w:rPr>
          <w:rStyle w:val="TextoNormalCursivaCaracter"/>
        </w:rPr>
        <w:t xml:space="preserve"> Principio de irretroactividad de las normas restrictivas de derechos individuales, y garantías del procedimiento expropiatorio: STC 216/2015 (constitucionalidad del precepto legal que regula la supresión y mantenimiento de ayudas relacionadas con la adquisición o promoción de viviendas y el fomento del alquiler). Voto particular.</w:t>
      </w:r>
      <w:r>
        <w:tab/>
      </w:r>
      <w:r>
        <w:tab/>
      </w:r>
      <w:r>
        <w:fldChar w:fldCharType="begin"/>
      </w:r>
      <w:r>
        <w:instrText xml:space="preserve"> PAGEREF SENTENCIA_2015_267 \h </w:instrText>
      </w:r>
      <w:r>
        <w:fldChar w:fldCharType="separate"/>
      </w:r>
      <w:r w:rsidR="002F5064">
        <w:rPr>
          <w:noProof/>
        </w:rPr>
        <w:t>1935</w:t>
      </w:r>
      <w:r>
        <w:fldChar w:fldCharType="end"/>
      </w:r>
    </w:p>
    <w:p w:rsidR="000E270F" w:rsidRDefault="000E270F" w:rsidP="000E270F"/>
    <w:p w:rsidR="000E270F" w:rsidRDefault="000E270F" w:rsidP="000E270F">
      <w:pPr>
        <w:pStyle w:val="EntradandiceSentencia"/>
      </w:pPr>
      <w:r>
        <w:t>Sala Segunda. Sentencia 268/2015, de 14 de diciembre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4486-2015. </w:t>
      </w:r>
      <w:r w:rsidRPr="000E270F">
        <w:rPr>
          <w:rStyle w:val="TextoNormalCursivaCaracter"/>
        </w:rPr>
        <w:t xml:space="preserve"> Principio de irretroactividad de las normas restrictivas de derechos individuales, y garantías del procedimiento expropiatorio: STC 216/2015 (constitucionalidad del precepto legal que regula la supresión y mantenimiento de ayudas relacionadas con la adquisición o promoción de viviendas y el fomento del alquiler).</w:t>
      </w:r>
      <w:r>
        <w:tab/>
      </w:r>
      <w:r>
        <w:tab/>
      </w:r>
      <w:r>
        <w:fldChar w:fldCharType="begin"/>
      </w:r>
      <w:r>
        <w:instrText xml:space="preserve"> PAGEREF SENTENCIA_2015_268 \h </w:instrText>
      </w:r>
      <w:r>
        <w:fldChar w:fldCharType="separate"/>
      </w:r>
      <w:r w:rsidR="002F5064">
        <w:rPr>
          <w:noProof/>
        </w:rPr>
        <w:t>1949</w:t>
      </w:r>
      <w:r>
        <w:fldChar w:fldCharType="end"/>
      </w:r>
    </w:p>
    <w:p w:rsidR="000E270F" w:rsidRDefault="000E270F" w:rsidP="000E270F"/>
    <w:p w:rsidR="000E270F" w:rsidRDefault="000E270F" w:rsidP="000E270F">
      <w:pPr>
        <w:pStyle w:val="EntradandiceSentencia"/>
      </w:pPr>
      <w:r>
        <w:t>Pleno. Sentencia 269/2015, de 17 de diciembre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2869-2012. </w:t>
      </w:r>
      <w:r w:rsidRPr="000E270F">
        <w:rPr>
          <w:rStyle w:val="TextoNormalCursivaCaracter"/>
        </w:rPr>
        <w:t xml:space="preserve"> Principio de interdicción de la arbitrariedad de los poderes públicos, derecho a la tutela judicial efectiva (ejecución) y competencias en materia ambiental: inadmisión de la cuestión de inconstitucionalidad que no respeta su carácter prejudicial.</w:t>
      </w:r>
      <w:r>
        <w:tab/>
      </w:r>
      <w:r>
        <w:tab/>
      </w:r>
      <w:r>
        <w:fldChar w:fldCharType="begin"/>
      </w:r>
      <w:r>
        <w:instrText xml:space="preserve"> PAGEREF SENTENCIA_2015_269 \h </w:instrText>
      </w:r>
      <w:r>
        <w:fldChar w:fldCharType="separate"/>
      </w:r>
      <w:r w:rsidR="002F5064">
        <w:rPr>
          <w:noProof/>
        </w:rPr>
        <w:t>1963</w:t>
      </w:r>
      <w:r>
        <w:fldChar w:fldCharType="end"/>
      </w:r>
    </w:p>
    <w:p w:rsidR="000E270F" w:rsidRDefault="000E270F" w:rsidP="000E270F"/>
    <w:p w:rsidR="000E270F" w:rsidRDefault="000E270F" w:rsidP="000E270F">
      <w:pPr>
        <w:pStyle w:val="EntradandiceSentencia"/>
      </w:pPr>
      <w:r>
        <w:t>Pleno. Sentencia 270/2015, de 17 de diciembre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inconstitucionalidad 5347-2013. </w:t>
      </w:r>
      <w:r w:rsidRPr="000E270F">
        <w:rPr>
          <w:rStyle w:val="TextoNormalCursivaCaracter"/>
        </w:rPr>
        <w:t xml:space="preserve"> Límites a los decretos-leyes, principios de jerarquía normativa, seguridad jurídica y de irretroactividad de las normas restrictivas de derechos individuales: acreditación de la concurrencia del presupuesto habilitante; constitucionalidad de los preceptos legales que establecen un nuevo régimen retributivo para los titulares de las instalaciones de producción de energía eléctrica en régimen primado. Voto particular.</w:t>
      </w:r>
      <w:r>
        <w:tab/>
      </w:r>
      <w:r>
        <w:tab/>
      </w:r>
      <w:r>
        <w:fldChar w:fldCharType="begin"/>
      </w:r>
      <w:r>
        <w:instrText xml:space="preserve"> PAGEREF SENTENCIA_2015_270 \h </w:instrText>
      </w:r>
      <w:r>
        <w:fldChar w:fldCharType="separate"/>
      </w:r>
      <w:r w:rsidR="002F5064">
        <w:rPr>
          <w:noProof/>
        </w:rPr>
        <w:t>1982</w:t>
      </w:r>
      <w:r>
        <w:fldChar w:fldCharType="end"/>
      </w:r>
    </w:p>
    <w:p w:rsidR="000E270F" w:rsidRDefault="000E270F" w:rsidP="000E270F"/>
    <w:p w:rsidR="000E270F" w:rsidRDefault="000E270F" w:rsidP="000E270F">
      <w:pPr>
        <w:pStyle w:val="EntradandiceSentencia"/>
      </w:pPr>
      <w:r>
        <w:t>Pleno. Sentencia 271/2015, de 17 de diciembre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Cuestión de inconstitucionalidad 6424-2014. </w:t>
      </w:r>
      <w:r w:rsidRPr="000E270F">
        <w:rPr>
          <w:rStyle w:val="TextoNormalCursivaCaracter"/>
        </w:rPr>
        <w:t xml:space="preserve"> Competencias sobre educación: constitucionalidad del precepto legal autonómico que computa al nasciturus como miembro de la unidad familiar en las solicitudes de plaza en los procesos de admisión de centros docentes no universitarios mantenidos con fondos públicos.</w:t>
      </w:r>
      <w:r>
        <w:tab/>
      </w:r>
      <w:r>
        <w:tab/>
      </w:r>
      <w:r>
        <w:fldChar w:fldCharType="begin"/>
      </w:r>
      <w:r>
        <w:instrText xml:space="preserve"> PAGEREF SENTENCIA_2015_271 \h </w:instrText>
      </w:r>
      <w:r>
        <w:fldChar w:fldCharType="separate"/>
      </w:r>
      <w:r w:rsidR="002F5064">
        <w:rPr>
          <w:noProof/>
        </w:rPr>
        <w:t>2019</w:t>
      </w:r>
      <w:r>
        <w:fldChar w:fldCharType="end"/>
      </w:r>
    </w:p>
    <w:p w:rsidR="000E270F" w:rsidRDefault="000E270F" w:rsidP="000E270F"/>
    <w:p w:rsidR="000E270F" w:rsidRDefault="000E270F" w:rsidP="000E270F">
      <w:pPr>
        <w:pStyle w:val="EntradandiceSentencia"/>
      </w:pPr>
      <w:r>
        <w:t>Pleno. Sentencia 272/2015, de 17 de diciembre de 2015</w:t>
      </w:r>
    </w:p>
    <w:p w:rsidR="000E270F" w:rsidRDefault="000E270F" w:rsidP="000E270F">
      <w:pPr>
        <w:pStyle w:val="EntradandiceSentencia"/>
      </w:pPr>
    </w:p>
    <w:p w:rsidR="000E270F" w:rsidRDefault="000E270F" w:rsidP="000E270F">
      <w:pPr>
        <w:pStyle w:val="EntradaSumario"/>
      </w:pPr>
      <w:r w:rsidRPr="000E270F">
        <w:rPr>
          <w:rStyle w:val="TextoNormalCaracter"/>
        </w:rPr>
        <w:t xml:space="preserve">Recurso de inconstitucionalidad 7134-2014. </w:t>
      </w:r>
      <w:r w:rsidRPr="000E270F">
        <w:rPr>
          <w:rStyle w:val="TextoNormalCursivaCaracter"/>
        </w:rPr>
        <w:t xml:space="preserve"> Competencias en materia laboral: nulidad del precepto legal que atribuye la titularidad de la potestad para sancionar determinadas infracciones al Servicio Público de Empleo Estatal o, en su caso, el Instituto Social de la Marina.</w:t>
      </w:r>
      <w:r>
        <w:tab/>
      </w:r>
      <w:r>
        <w:tab/>
      </w:r>
      <w:r>
        <w:fldChar w:fldCharType="begin"/>
      </w:r>
      <w:r>
        <w:instrText xml:space="preserve"> PAGEREF SENTENCIA_2015_272 \h </w:instrText>
      </w:r>
      <w:r>
        <w:fldChar w:fldCharType="separate"/>
      </w:r>
      <w:r w:rsidR="002F5064">
        <w:rPr>
          <w:noProof/>
        </w:rPr>
        <w:t>2039</w:t>
      </w:r>
      <w:r>
        <w:fldChar w:fldCharType="end"/>
      </w:r>
    </w:p>
    <w:p w:rsidR="000E270F" w:rsidRDefault="000E270F">
      <w:pPr>
        <w:spacing w:after="160" w:line="259" w:lineRule="auto"/>
      </w:pPr>
      <w:r>
        <w:br w:type="page"/>
      </w:r>
    </w:p>
    <w:p w:rsidR="000E270F" w:rsidRDefault="000E270F" w:rsidP="000E270F"/>
    <w:p w:rsidR="000E270F" w:rsidRDefault="000E270F" w:rsidP="000E270F"/>
    <w:p w:rsidR="000E270F" w:rsidRDefault="000E270F" w:rsidP="000E270F"/>
    <w:p w:rsidR="000E270F" w:rsidRDefault="000E270F" w:rsidP="000E270F">
      <w:pPr>
        <w:pStyle w:val="Ttulondice"/>
      </w:pPr>
      <w:bookmarkStart w:id="3" w:name="SUMARIOSAUTOS"/>
      <w:r>
        <w:t>2. AUTOS: ATC 115/2015 A ATC 229/2015</w:t>
      </w:r>
    </w:p>
    <w:bookmarkEnd w:id="3"/>
    <w:p w:rsidR="000E270F" w:rsidRDefault="000E270F" w:rsidP="000E270F">
      <w:pPr>
        <w:pStyle w:val="Ttulondice"/>
      </w:pPr>
    </w:p>
    <w:p w:rsidR="000E270F" w:rsidRDefault="000E270F" w:rsidP="000E270F">
      <w:pPr>
        <w:pStyle w:val="Ttulondice"/>
      </w:pPr>
    </w:p>
    <w:p w:rsidR="000E270F" w:rsidRDefault="000E270F" w:rsidP="000E270F">
      <w:pPr>
        <w:pStyle w:val="Ttulondice"/>
      </w:pPr>
    </w:p>
    <w:p w:rsidR="000E270F" w:rsidRDefault="000E270F" w:rsidP="000E270F">
      <w:pPr>
        <w:pStyle w:val="Ttulondice"/>
      </w:pPr>
    </w:p>
    <w:p w:rsidR="000E270F" w:rsidRDefault="000E270F" w:rsidP="000E270F">
      <w:pPr>
        <w:pStyle w:val="Ttulondice"/>
      </w:pPr>
    </w:p>
    <w:p w:rsidR="000E270F" w:rsidRDefault="000E270F" w:rsidP="000E270F">
      <w:pPr>
        <w:pStyle w:val="Ttulondice"/>
      </w:pPr>
    </w:p>
    <w:p w:rsidR="000E270F" w:rsidRDefault="000E270F" w:rsidP="000E270F">
      <w:pPr>
        <w:pStyle w:val="Ttulondice"/>
      </w:pPr>
    </w:p>
    <w:p w:rsidR="000E270F" w:rsidRDefault="000E270F" w:rsidP="000E270F">
      <w:pPr>
        <w:pStyle w:val="EntradandiceAuto"/>
      </w:pPr>
      <w:r>
        <w:t>Sala Primera. Auto 115/2015, de 6 de julio de 2015. Desestima el recurso de súplica de la representación procesal sobre inadmisión del recurso de amparo 956-2008, promovido por don Eduardo Martín-Duarte Rosa en causa penal.</w:t>
      </w:r>
      <w:r>
        <w:tab/>
      </w:r>
      <w:r>
        <w:tab/>
      </w:r>
      <w:r>
        <w:fldChar w:fldCharType="begin"/>
      </w:r>
      <w:r>
        <w:instrText xml:space="preserve"> PAGEREF AUTO_2015_115 \h </w:instrText>
      </w:r>
      <w:r>
        <w:fldChar w:fldCharType="separate"/>
      </w:r>
      <w:r w:rsidR="002F5064">
        <w:rPr>
          <w:noProof/>
        </w:rPr>
        <w:t>2057</w:t>
      </w:r>
      <w:r>
        <w:fldChar w:fldCharType="end"/>
      </w:r>
    </w:p>
    <w:p w:rsidR="00AC56D6" w:rsidRDefault="00AC56D6" w:rsidP="000E270F"/>
    <w:p w:rsidR="000E270F" w:rsidRDefault="000E270F" w:rsidP="000E270F">
      <w:pPr>
        <w:pStyle w:val="EntradandiceAuto"/>
      </w:pPr>
      <w:r>
        <w:t>Sala Segunda. Auto 116/2015, de 6 de julio de 2015. Deniega la suspensión en el recurso de amparo 2569-2014, promovido por don Félix Ojer Pueyo y doña María Carmen Romero Martínez en causa penal.</w:t>
      </w:r>
      <w:r>
        <w:tab/>
      </w:r>
      <w:r>
        <w:tab/>
      </w:r>
      <w:r>
        <w:fldChar w:fldCharType="begin"/>
      </w:r>
      <w:r>
        <w:instrText xml:space="preserve"> PAGEREF AUTO_2015_116 \h </w:instrText>
      </w:r>
      <w:r>
        <w:fldChar w:fldCharType="separate"/>
      </w:r>
      <w:r w:rsidR="002F5064">
        <w:rPr>
          <w:noProof/>
        </w:rPr>
        <w:t>2062</w:t>
      </w:r>
      <w:r>
        <w:fldChar w:fldCharType="end"/>
      </w:r>
    </w:p>
    <w:p w:rsidR="000E270F" w:rsidRDefault="000E270F" w:rsidP="000E270F"/>
    <w:p w:rsidR="000E270F" w:rsidRDefault="000E270F" w:rsidP="000E270F">
      <w:pPr>
        <w:pStyle w:val="EntradandiceAuto"/>
      </w:pPr>
      <w:r>
        <w:t>Sala Primera. Auto 117/2015, de 6 de julio de 2015. Deniega la suspensión en el recurso de amparo 6011-2014, promovido por el Ayuntamiento de Toledo en proceso contencioso-administrativo.</w:t>
      </w:r>
      <w:r>
        <w:tab/>
      </w:r>
      <w:r>
        <w:tab/>
      </w:r>
      <w:r>
        <w:fldChar w:fldCharType="begin"/>
      </w:r>
      <w:r>
        <w:instrText xml:space="preserve"> PAGEREF AUTO_2015_117 \h </w:instrText>
      </w:r>
      <w:r>
        <w:fldChar w:fldCharType="separate"/>
      </w:r>
      <w:r w:rsidR="002F5064">
        <w:rPr>
          <w:noProof/>
        </w:rPr>
        <w:t>2065</w:t>
      </w:r>
      <w:r>
        <w:fldChar w:fldCharType="end"/>
      </w:r>
    </w:p>
    <w:p w:rsidR="000E270F" w:rsidRDefault="000E270F" w:rsidP="000E270F"/>
    <w:p w:rsidR="000E270F" w:rsidRDefault="000E270F" w:rsidP="000E270F">
      <w:pPr>
        <w:pStyle w:val="EntradandiceAuto"/>
      </w:pPr>
      <w:r>
        <w:t>Sala Primera. Auto 118/2015, de 6 de julio de 2015. Acepta una abstención en el recurso de amparo 7835-2014, promovido por don José Luis Mazón Costa en pleito civil.</w:t>
      </w:r>
      <w:r>
        <w:tab/>
      </w:r>
      <w:r>
        <w:tab/>
      </w:r>
      <w:r>
        <w:fldChar w:fldCharType="begin"/>
      </w:r>
      <w:r>
        <w:instrText xml:space="preserve"> PAGEREF AUTO_2015_118 \h </w:instrText>
      </w:r>
      <w:r>
        <w:fldChar w:fldCharType="separate"/>
      </w:r>
      <w:r w:rsidR="002F5064">
        <w:rPr>
          <w:noProof/>
        </w:rPr>
        <w:t>2070</w:t>
      </w:r>
      <w:r>
        <w:fldChar w:fldCharType="end"/>
      </w:r>
    </w:p>
    <w:p w:rsidR="000E270F" w:rsidRDefault="000E270F" w:rsidP="000E270F"/>
    <w:p w:rsidR="000E270F" w:rsidRDefault="000E270F" w:rsidP="000E270F">
      <w:pPr>
        <w:pStyle w:val="EntradandiceAuto"/>
      </w:pPr>
      <w:r>
        <w:t>Sala Segunda. Auto 119/2015, de 6 de julio de 2015. Mantiene la suspensión acordada por providencia en el recurso de amparo 2937-2015, promovido por doña Desiré Vicente Díaz en causa penal.</w:t>
      </w:r>
      <w:r>
        <w:tab/>
      </w:r>
      <w:r>
        <w:tab/>
      </w:r>
      <w:r>
        <w:fldChar w:fldCharType="begin"/>
      </w:r>
      <w:r>
        <w:instrText xml:space="preserve"> PAGEREF AUTO_2015_119 \h </w:instrText>
      </w:r>
      <w:r>
        <w:fldChar w:fldCharType="separate"/>
      </w:r>
      <w:r w:rsidR="002F5064">
        <w:rPr>
          <w:noProof/>
        </w:rPr>
        <w:t>2072</w:t>
      </w:r>
      <w:r>
        <w:fldChar w:fldCharType="end"/>
      </w:r>
    </w:p>
    <w:p w:rsidR="000E270F" w:rsidRDefault="000E270F" w:rsidP="000E270F"/>
    <w:p w:rsidR="000E270F" w:rsidRDefault="000E270F" w:rsidP="000E270F">
      <w:pPr>
        <w:pStyle w:val="EntradandiceAuto"/>
      </w:pPr>
      <w:r>
        <w:t>Pleno. Auto 120/2015, de 7 de julio de 2015. Acuerda no haber lugar al incidente de ejecución promovido por la Abogacía del Estado en relación con la STC 150/2012, de 5 de julio de 2012, dictada en el recurso de inconstitucionalidad 5985-2010.</w:t>
      </w:r>
      <w:r>
        <w:tab/>
      </w:r>
      <w:r>
        <w:tab/>
      </w:r>
      <w:r>
        <w:fldChar w:fldCharType="begin"/>
      </w:r>
      <w:r>
        <w:instrText xml:space="preserve"> PAGEREF AUTO_2015_120 \h </w:instrText>
      </w:r>
      <w:r>
        <w:fldChar w:fldCharType="separate"/>
      </w:r>
      <w:r w:rsidR="002F5064">
        <w:rPr>
          <w:noProof/>
        </w:rPr>
        <w:t>2075</w:t>
      </w:r>
      <w:r>
        <w:fldChar w:fldCharType="end"/>
      </w:r>
    </w:p>
    <w:p w:rsidR="000E270F" w:rsidRDefault="000E270F" w:rsidP="000E270F"/>
    <w:p w:rsidR="000E270F" w:rsidRDefault="000E270F" w:rsidP="000E270F">
      <w:pPr>
        <w:pStyle w:val="EntradandiceAuto"/>
      </w:pPr>
      <w:r>
        <w:t>Pleno. Auto 121/2015, de 7 de julio de 2015. Inadmite a trámite la cuestión de inconstitucionalidad 7490-2013, planteada por el Juzgado de lo Contencioso-Administrativo número 1 de Tarragona respecto del artículo 26.3 de la Ley 1/2012, de 22 de febrero, de presupuestos de la Generalitat de Cataluña para 2012.</w:t>
      </w:r>
      <w:r>
        <w:tab/>
      </w:r>
      <w:r>
        <w:tab/>
      </w:r>
      <w:r>
        <w:fldChar w:fldCharType="begin"/>
      </w:r>
      <w:r>
        <w:instrText xml:space="preserve"> PAGEREF AUTO_2015_121 \h </w:instrText>
      </w:r>
      <w:r>
        <w:fldChar w:fldCharType="separate"/>
      </w:r>
      <w:r w:rsidR="002F5064">
        <w:rPr>
          <w:noProof/>
        </w:rPr>
        <w:t>2085</w:t>
      </w:r>
      <w:r>
        <w:fldChar w:fldCharType="end"/>
      </w:r>
    </w:p>
    <w:p w:rsidR="000E270F" w:rsidRDefault="000E270F" w:rsidP="000E270F"/>
    <w:p w:rsidR="000E270F" w:rsidRDefault="000E270F" w:rsidP="000E270F">
      <w:pPr>
        <w:pStyle w:val="EntradandiceAuto"/>
      </w:pPr>
      <w:r>
        <w:t>Pleno. Auto 122/2015, de 7 de julio de 2015. Acuerda la suspensión parcial en el recurso de inconstitucionalidad 1442-2015, interpuesto por el Presidente del Gobierno en relación con los artículos 1 a 9, 26 y 29 a 38 de la Ley del Parlamento de Cataluña 16/2014, de 4 de diciembre, de acción exterior y de relaciones con la Unión Europea.</w:t>
      </w:r>
      <w:r>
        <w:tab/>
      </w:r>
      <w:r>
        <w:tab/>
      </w:r>
      <w:r>
        <w:fldChar w:fldCharType="begin"/>
      </w:r>
      <w:r>
        <w:instrText xml:space="preserve"> PAGEREF AUTO_2015_122 \h </w:instrText>
      </w:r>
      <w:r>
        <w:fldChar w:fldCharType="separate"/>
      </w:r>
      <w:r w:rsidR="002F5064">
        <w:rPr>
          <w:noProof/>
        </w:rPr>
        <w:t>2094</w:t>
      </w:r>
      <w:r>
        <w:fldChar w:fldCharType="end"/>
      </w:r>
    </w:p>
    <w:p w:rsidR="000E270F" w:rsidRDefault="000E270F" w:rsidP="000E270F"/>
    <w:p w:rsidR="000E270F" w:rsidRDefault="000E270F" w:rsidP="000E270F">
      <w:pPr>
        <w:pStyle w:val="EntradandiceAuto"/>
      </w:pPr>
      <w:r>
        <w:t>Sección Primera. Auto 123/2015, de 8 de julio de 2015. Acuerda el desistimiento en el recurso de amparo 1267-2015, promovido en proceso contencioso-administrativo.</w:t>
      </w:r>
      <w:r>
        <w:tab/>
      </w:r>
      <w:r>
        <w:tab/>
      </w:r>
      <w:r>
        <w:fldChar w:fldCharType="begin"/>
      </w:r>
      <w:r>
        <w:instrText xml:space="preserve"> PAGEREF AUTO_2015_123 \h </w:instrText>
      </w:r>
      <w:r>
        <w:fldChar w:fldCharType="separate"/>
      </w:r>
      <w:r w:rsidR="002F5064">
        <w:rPr>
          <w:noProof/>
        </w:rPr>
        <w:t>2116</w:t>
      </w:r>
      <w:r>
        <w:fldChar w:fldCharType="end"/>
      </w:r>
    </w:p>
    <w:p w:rsidR="000E270F" w:rsidRDefault="000E270F" w:rsidP="000E270F"/>
    <w:p w:rsidR="000E270F" w:rsidRDefault="000E270F" w:rsidP="000E270F">
      <w:pPr>
        <w:pStyle w:val="EntradandiceAuto"/>
      </w:pPr>
      <w:r>
        <w:t>Sección Tercera. Auto 124/2015, de 9 de julio de 2015. Acuerda la extinción, por pérdida de objeto, del recurso de amparo 933-2015, promovido por don Santiago Francisco Rodríguez Muñoz en causa penal.</w:t>
      </w:r>
      <w:r>
        <w:tab/>
      </w:r>
      <w:r>
        <w:tab/>
      </w:r>
      <w:r>
        <w:fldChar w:fldCharType="begin"/>
      </w:r>
      <w:r>
        <w:instrText xml:space="preserve"> PAGEREF AUTO_2015_124 \h </w:instrText>
      </w:r>
      <w:r>
        <w:fldChar w:fldCharType="separate"/>
      </w:r>
      <w:r w:rsidR="002F5064">
        <w:rPr>
          <w:noProof/>
        </w:rPr>
        <w:t>2117</w:t>
      </w:r>
      <w:r>
        <w:fldChar w:fldCharType="end"/>
      </w:r>
    </w:p>
    <w:p w:rsidR="000E270F" w:rsidRDefault="000E270F" w:rsidP="000E270F"/>
    <w:p w:rsidR="000E270F" w:rsidRDefault="000E270F" w:rsidP="000E270F">
      <w:pPr>
        <w:pStyle w:val="EntradandiceAuto"/>
      </w:pPr>
      <w:r>
        <w:t>Sección Tercera. Auto 125/2015, de 10 de julio de 2015. Acuerda el desistimiento en el recurso de amparo 3047-2015, promovido en proceso contencioso-administrativo.</w:t>
      </w:r>
      <w:r>
        <w:tab/>
      </w:r>
      <w:r>
        <w:tab/>
      </w:r>
      <w:r>
        <w:fldChar w:fldCharType="begin"/>
      </w:r>
      <w:r>
        <w:instrText xml:space="preserve"> PAGEREF AUTO_2015_125 \h </w:instrText>
      </w:r>
      <w:r>
        <w:fldChar w:fldCharType="separate"/>
      </w:r>
      <w:r w:rsidR="002F5064">
        <w:rPr>
          <w:noProof/>
        </w:rPr>
        <w:t>2120</w:t>
      </w:r>
      <w:r>
        <w:fldChar w:fldCharType="end"/>
      </w:r>
    </w:p>
    <w:p w:rsidR="000E270F" w:rsidRDefault="000E270F" w:rsidP="000E270F"/>
    <w:p w:rsidR="000E270F" w:rsidRDefault="000E270F" w:rsidP="000E270F">
      <w:pPr>
        <w:pStyle w:val="EntradandiceAuto"/>
      </w:pPr>
      <w:r>
        <w:t>Sección Cuarta. Auto 126/2015, de 20 de julio de 2015. Acepta una abstención en el recurso de amparo 287-2014, promovido por la Generalitat de Cataluña en proceso contencioso-administrativo.</w:t>
      </w:r>
      <w:r>
        <w:tab/>
      </w:r>
      <w:r>
        <w:tab/>
      </w:r>
      <w:r>
        <w:fldChar w:fldCharType="begin"/>
      </w:r>
      <w:r>
        <w:instrText xml:space="preserve"> PAGEREF AUTO_2015_126 \h </w:instrText>
      </w:r>
      <w:r>
        <w:fldChar w:fldCharType="separate"/>
      </w:r>
      <w:r w:rsidR="002F5064">
        <w:rPr>
          <w:noProof/>
        </w:rPr>
        <w:t>2121</w:t>
      </w:r>
      <w:r>
        <w:fldChar w:fldCharType="end"/>
      </w:r>
    </w:p>
    <w:p w:rsidR="000E270F" w:rsidRDefault="000E270F" w:rsidP="000E270F"/>
    <w:p w:rsidR="000E270F" w:rsidRDefault="000E270F" w:rsidP="000E270F">
      <w:pPr>
        <w:pStyle w:val="EntradandiceAuto"/>
      </w:pPr>
      <w:r>
        <w:t>Sala Primera. Auto 127/2015, de 20 de julio de 2015. Deniega la suspensión de la medida de internamiento no voluntario en el recurso de amparo 6167-2014, promovido por doña Moreen Sondra Silver en pleito civil.</w:t>
      </w:r>
      <w:r>
        <w:tab/>
      </w:r>
      <w:r>
        <w:tab/>
      </w:r>
      <w:r>
        <w:fldChar w:fldCharType="begin"/>
      </w:r>
      <w:r>
        <w:instrText xml:space="preserve"> PAGEREF AUTO_2015_127 \h </w:instrText>
      </w:r>
      <w:r>
        <w:fldChar w:fldCharType="separate"/>
      </w:r>
      <w:r w:rsidR="002F5064">
        <w:rPr>
          <w:noProof/>
        </w:rPr>
        <w:t>2123</w:t>
      </w:r>
      <w:r>
        <w:fldChar w:fldCharType="end"/>
      </w:r>
    </w:p>
    <w:p w:rsidR="000E270F" w:rsidRDefault="000E270F" w:rsidP="000E270F"/>
    <w:p w:rsidR="000E270F" w:rsidRDefault="000E270F" w:rsidP="000E270F">
      <w:pPr>
        <w:pStyle w:val="EntradandiceAuto"/>
      </w:pPr>
      <w:r>
        <w:t>Sección Segunda. Auto 128/2015, de 20 de julio de 2015. Desestima el recurso de súplica del Ministerio Fiscal sobre inadmisión del recurso de amparo 246-2015, promovido por don Vicente Tormo Rodríguez y otra persona en pleito civil.</w:t>
      </w:r>
      <w:r>
        <w:tab/>
      </w:r>
      <w:r>
        <w:tab/>
      </w:r>
      <w:r>
        <w:fldChar w:fldCharType="begin"/>
      </w:r>
      <w:r>
        <w:instrText xml:space="preserve"> PAGEREF AUTO_2015_128 \h </w:instrText>
      </w:r>
      <w:r>
        <w:fldChar w:fldCharType="separate"/>
      </w:r>
      <w:r w:rsidR="002F5064">
        <w:rPr>
          <w:noProof/>
        </w:rPr>
        <w:t>2129</w:t>
      </w:r>
      <w:r>
        <w:fldChar w:fldCharType="end"/>
      </w:r>
    </w:p>
    <w:p w:rsidR="000E270F" w:rsidRDefault="000E270F" w:rsidP="000E270F"/>
    <w:p w:rsidR="000E270F" w:rsidRDefault="000E270F" w:rsidP="000E270F">
      <w:pPr>
        <w:pStyle w:val="EntradandiceAuto"/>
      </w:pPr>
      <w:r>
        <w:t>Pleno. Auto 129/2015, de 21 de julio de 2015. Inadmite a trámite la cuestión de inconstitucionalidad 6723-2014, planteada por el Tribunal Superior de Justicia de Castilla y León en relación con el artículo 2.1 del Real Decreto-ley 28/2012, de 30 de noviembre, de medidas de consolidación y garantía del sistema de la Seguridad Social. Voto particular.</w:t>
      </w:r>
      <w:r>
        <w:tab/>
      </w:r>
      <w:r>
        <w:tab/>
      </w:r>
      <w:r>
        <w:fldChar w:fldCharType="begin"/>
      </w:r>
      <w:r>
        <w:instrText xml:space="preserve"> PAGEREF AUTO_2015_129 \h </w:instrText>
      </w:r>
      <w:r>
        <w:fldChar w:fldCharType="separate"/>
      </w:r>
      <w:r w:rsidR="002F5064">
        <w:rPr>
          <w:noProof/>
        </w:rPr>
        <w:t>2132</w:t>
      </w:r>
      <w:r>
        <w:fldChar w:fldCharType="end"/>
      </w:r>
    </w:p>
    <w:p w:rsidR="000E270F" w:rsidRDefault="000E270F" w:rsidP="000E270F"/>
    <w:p w:rsidR="000E270F" w:rsidRDefault="000E270F" w:rsidP="000E270F">
      <w:pPr>
        <w:pStyle w:val="EntradandiceAuto"/>
      </w:pPr>
      <w:r>
        <w:t>Pleno. Auto 130/2015, de 21 de julio de 2015. Inadmite a trámite la cuestión de inconstitucionalidad 7163-2014, planteada por el Tribunal Superior de Justicia de Castilla y León en relación con el artículo 2.1 del Real Decreto-ley 28/2012, de 30 de noviembre, de medidas de consolidación y garantía del sistema de la Seguridad Social. Voto particular.</w:t>
      </w:r>
      <w:r>
        <w:tab/>
      </w:r>
      <w:r>
        <w:tab/>
      </w:r>
      <w:r>
        <w:fldChar w:fldCharType="begin"/>
      </w:r>
      <w:r>
        <w:instrText xml:space="preserve"> PAGEREF AUTO_2015_130 \h </w:instrText>
      </w:r>
      <w:r>
        <w:fldChar w:fldCharType="separate"/>
      </w:r>
      <w:r w:rsidR="002F5064">
        <w:rPr>
          <w:noProof/>
        </w:rPr>
        <w:t>2138</w:t>
      </w:r>
      <w:r>
        <w:fldChar w:fldCharType="end"/>
      </w:r>
    </w:p>
    <w:p w:rsidR="000E270F" w:rsidRDefault="000E270F" w:rsidP="000E270F"/>
    <w:p w:rsidR="000E270F" w:rsidRDefault="000E270F" w:rsidP="000E270F">
      <w:pPr>
        <w:pStyle w:val="EntradandiceAuto"/>
      </w:pPr>
      <w:r>
        <w:t>Sección Primera. Auto 131/2015, de 21 de julio de 2015. Acuerda que no procede hacer ningún pronunciamiento respecto de la solicitud formulada por la Comisión central de asistencia jurídica gratuita en el recurso de amparo 7599-2014, promovido por don Luis López-Oria Pérez en causa penal.</w:t>
      </w:r>
      <w:r>
        <w:tab/>
      </w:r>
      <w:r>
        <w:tab/>
      </w:r>
      <w:r>
        <w:fldChar w:fldCharType="begin"/>
      </w:r>
      <w:r>
        <w:instrText xml:space="preserve"> PAGEREF AUTO_2015_131 \h </w:instrText>
      </w:r>
      <w:r>
        <w:fldChar w:fldCharType="separate"/>
      </w:r>
      <w:r w:rsidR="002F5064">
        <w:rPr>
          <w:noProof/>
        </w:rPr>
        <w:t>2144</w:t>
      </w:r>
      <w:r>
        <w:fldChar w:fldCharType="end"/>
      </w:r>
    </w:p>
    <w:p w:rsidR="000E270F" w:rsidRDefault="000E270F" w:rsidP="000E270F"/>
    <w:p w:rsidR="000E270F" w:rsidRDefault="000E270F" w:rsidP="000E270F">
      <w:pPr>
        <w:pStyle w:val="EntradandiceAuto"/>
      </w:pPr>
      <w:r>
        <w:t>Pleno. Auto 132/2015, de 21 de julio de 2015. Inadmite a trámite la cuestión de inconstitucionalidad 449-2015, planteada por el Tribunal Superior de Justicia de Castilla y León en relación con el artículo 2.1 del Real Decreto-ley 28/2012, de 30 de noviembre, de medidas de consolidación y garantía del sistema de la Seguridad Social. Voto particular.</w:t>
      </w:r>
      <w:r>
        <w:tab/>
      </w:r>
      <w:r>
        <w:tab/>
      </w:r>
      <w:r>
        <w:fldChar w:fldCharType="begin"/>
      </w:r>
      <w:r>
        <w:instrText xml:space="preserve"> PAGEREF AUTO_2015_132 \h </w:instrText>
      </w:r>
      <w:r>
        <w:fldChar w:fldCharType="separate"/>
      </w:r>
      <w:r w:rsidR="002F5064">
        <w:rPr>
          <w:noProof/>
        </w:rPr>
        <w:t>2147</w:t>
      </w:r>
      <w:r>
        <w:fldChar w:fldCharType="end"/>
      </w:r>
    </w:p>
    <w:p w:rsidR="000E270F" w:rsidRDefault="000E270F" w:rsidP="000E270F"/>
    <w:p w:rsidR="000E270F" w:rsidRDefault="000E270F" w:rsidP="000E270F">
      <w:pPr>
        <w:pStyle w:val="EntradandiceAuto"/>
      </w:pPr>
      <w:r>
        <w:t>Pleno. Auto 133/2015, de 21 de julio de 2015. Inadmite a trámite la cuestión de inconstitucionalidad 478-2015, planteada por el Tribunal Superior de Justicia de Cataluña en relación con el artículo 2.1 del Real Decreto-ley 28/2012, de 30 de noviembre, de medidas de consolidación y garantía del sistema de la Seguridad Social. Voto particular.</w:t>
      </w:r>
      <w:r>
        <w:tab/>
      </w:r>
      <w:r>
        <w:tab/>
      </w:r>
      <w:r>
        <w:fldChar w:fldCharType="begin"/>
      </w:r>
      <w:r>
        <w:instrText xml:space="preserve"> PAGEREF AUTO_2015_133 \h </w:instrText>
      </w:r>
      <w:r>
        <w:fldChar w:fldCharType="separate"/>
      </w:r>
      <w:r w:rsidR="002F5064">
        <w:rPr>
          <w:noProof/>
        </w:rPr>
        <w:t>2154</w:t>
      </w:r>
      <w:r>
        <w:fldChar w:fldCharType="end"/>
      </w:r>
    </w:p>
    <w:p w:rsidR="000E270F" w:rsidRDefault="000E270F" w:rsidP="000E270F"/>
    <w:p w:rsidR="000E270F" w:rsidRDefault="000E270F" w:rsidP="000E270F">
      <w:pPr>
        <w:pStyle w:val="EntradandiceAuto"/>
      </w:pPr>
      <w:r>
        <w:t>Pleno. Auto 134/2015, de 21 de julio de 2015. Inadmite a trámite la cuestión de inconstitucionalidad 1690-2015, planteada por el Tribunal Superior de Justicia de Castilla y León en relación con el artículo 2.1 del Real Decreto-ley 28/2012, de 30 de noviembre, de medidas de consolidación y garantía del sistema de la Seguridad Social. Voto particular.</w:t>
      </w:r>
      <w:r>
        <w:tab/>
      </w:r>
      <w:r>
        <w:tab/>
      </w:r>
      <w:r>
        <w:fldChar w:fldCharType="begin"/>
      </w:r>
      <w:r>
        <w:instrText xml:space="preserve"> PAGEREF AUTO_2015_134 \h </w:instrText>
      </w:r>
      <w:r>
        <w:fldChar w:fldCharType="separate"/>
      </w:r>
      <w:r w:rsidR="002F5064">
        <w:rPr>
          <w:noProof/>
        </w:rPr>
        <w:t>2160</w:t>
      </w:r>
      <w:r>
        <w:fldChar w:fldCharType="end"/>
      </w:r>
    </w:p>
    <w:p w:rsidR="000E270F" w:rsidRDefault="000E270F" w:rsidP="000E270F"/>
    <w:p w:rsidR="000E270F" w:rsidRDefault="000E270F" w:rsidP="000E270F">
      <w:pPr>
        <w:pStyle w:val="EntradandiceAuto"/>
      </w:pPr>
      <w:r>
        <w:t>Pleno. Auto 135/2015, de 21 de julio de 2015. Mantiene la suspensión acordada en el recurso de inconstitucionalidad 1824-2015, interpuesto por el Presidente del Gobierno en relación con diversos apartados del artículo 1 y disposiciones adicionales segunda y cuarta de la Ley 2/2014, de 20 de junio, de modificación de la Ley 2/2003, de 30 de enero, de vivienda en Canarias y de medidas para garantizar el derecho a la vivienda. Voto particular.</w:t>
      </w:r>
      <w:r>
        <w:tab/>
      </w:r>
      <w:r>
        <w:tab/>
      </w:r>
      <w:r>
        <w:fldChar w:fldCharType="begin"/>
      </w:r>
      <w:r>
        <w:instrText xml:space="preserve"> PAGEREF AUTO_2015_135 \h </w:instrText>
      </w:r>
      <w:r>
        <w:fldChar w:fldCharType="separate"/>
      </w:r>
      <w:r w:rsidR="002F5064">
        <w:rPr>
          <w:noProof/>
        </w:rPr>
        <w:t>2166</w:t>
      </w:r>
      <w:r>
        <w:fldChar w:fldCharType="end"/>
      </w:r>
    </w:p>
    <w:p w:rsidR="000E270F" w:rsidRDefault="000E270F" w:rsidP="000E270F"/>
    <w:p w:rsidR="000E270F" w:rsidRDefault="000E270F" w:rsidP="000E270F">
      <w:pPr>
        <w:pStyle w:val="EntradandiceAuto"/>
      </w:pPr>
      <w:r>
        <w:t>Pleno. Auto 136/2015, de 21 de julio de 2015. Inadmite a trámite la cuestión de inconstitucionalidad 2210-2015, planteada por el Tribunal Superior de Justicia de Madrid en relación con los artículos 8 y 10 del Real Decreto-ley 9/2008, de 28 de noviembre, por el que se crea el Fondo estatal de inversión local.</w:t>
      </w:r>
      <w:r>
        <w:tab/>
      </w:r>
      <w:r>
        <w:tab/>
      </w:r>
      <w:r>
        <w:fldChar w:fldCharType="begin"/>
      </w:r>
      <w:r>
        <w:instrText xml:space="preserve"> PAGEREF AUTO_2015_136 \h </w:instrText>
      </w:r>
      <w:r>
        <w:fldChar w:fldCharType="separate"/>
      </w:r>
      <w:r w:rsidR="002F5064">
        <w:rPr>
          <w:noProof/>
        </w:rPr>
        <w:t>2176</w:t>
      </w:r>
      <w:r>
        <w:fldChar w:fldCharType="end"/>
      </w:r>
    </w:p>
    <w:p w:rsidR="000E270F" w:rsidRDefault="000E270F" w:rsidP="000E270F"/>
    <w:p w:rsidR="000E270F" w:rsidRDefault="000E270F" w:rsidP="000E270F">
      <w:pPr>
        <w:pStyle w:val="EntradandiceAuto"/>
      </w:pPr>
      <w:r>
        <w:t>Pleno. Auto 137/2015, de 21 de julio de 2015. Inadmite la cuestión de inconstitucionalidad 2639-2015, planteada por la Sección Cuarta de la Audiencia Provincial de Tarragona en relación con la disposición final octava de la Ley Orgánica 1/2015, de 30 de marzo, de reforma del código penal.</w:t>
      </w:r>
      <w:r>
        <w:tab/>
      </w:r>
      <w:r>
        <w:tab/>
      </w:r>
      <w:r>
        <w:fldChar w:fldCharType="begin"/>
      </w:r>
      <w:r>
        <w:instrText xml:space="preserve"> PAGEREF AUTO_2015_137 \h </w:instrText>
      </w:r>
      <w:r>
        <w:fldChar w:fldCharType="separate"/>
      </w:r>
      <w:r w:rsidR="002F5064">
        <w:rPr>
          <w:noProof/>
        </w:rPr>
        <w:t>2183</w:t>
      </w:r>
      <w:r>
        <w:fldChar w:fldCharType="end"/>
      </w:r>
    </w:p>
    <w:p w:rsidR="000E270F" w:rsidRDefault="000E270F" w:rsidP="000E270F"/>
    <w:p w:rsidR="000E270F" w:rsidRDefault="000E270F" w:rsidP="000E270F">
      <w:pPr>
        <w:pStyle w:val="EntradandiceAuto"/>
      </w:pPr>
      <w:r>
        <w:t>Pleno. Auto 138/2015, de 21 de julio de 2015. Inadmite a trámite la cuestión de inconstitucionalidad 2640-2015, planteada por la Audiencia Provincial de Tarragona en relación con la disposición final octava de la Ley Orgánica 1/2015, de 30 de marzo, de reforma del Código penal.</w:t>
      </w:r>
      <w:r>
        <w:tab/>
      </w:r>
      <w:r>
        <w:tab/>
      </w:r>
      <w:r>
        <w:fldChar w:fldCharType="begin"/>
      </w:r>
      <w:r>
        <w:instrText xml:space="preserve"> PAGEREF AUTO_2015_138 \h </w:instrText>
      </w:r>
      <w:r>
        <w:fldChar w:fldCharType="separate"/>
      </w:r>
      <w:r w:rsidR="002F5064">
        <w:rPr>
          <w:noProof/>
        </w:rPr>
        <w:t>2191</w:t>
      </w:r>
      <w:r>
        <w:fldChar w:fldCharType="end"/>
      </w:r>
    </w:p>
    <w:p w:rsidR="000E270F" w:rsidRDefault="000E270F" w:rsidP="000E270F"/>
    <w:p w:rsidR="000E270F" w:rsidRDefault="000E270F" w:rsidP="000E270F">
      <w:pPr>
        <w:pStyle w:val="EntradandiceAuto"/>
      </w:pPr>
      <w:r>
        <w:t>Pleno. Auto 139/2015, de 21 de julio de 2015. Inadmite a trámite el recurso de inconstitucionalidad 3575-2015, planteado por el Consejo de Gobierno de la Junta de Andalucía en relación con diversos preceptos de la Ley 15/2014, de 16 de septiembre, de racionalización del sector público y otras medidas de reforma administrativa.</w:t>
      </w:r>
      <w:r>
        <w:tab/>
      </w:r>
      <w:r>
        <w:tab/>
      </w:r>
      <w:r>
        <w:fldChar w:fldCharType="begin"/>
      </w:r>
      <w:r>
        <w:instrText xml:space="preserve"> PAGEREF AUTO_2015_139 \h </w:instrText>
      </w:r>
      <w:r>
        <w:fldChar w:fldCharType="separate"/>
      </w:r>
      <w:r w:rsidR="002F5064">
        <w:rPr>
          <w:noProof/>
        </w:rPr>
        <w:t>2199</w:t>
      </w:r>
      <w:r>
        <w:fldChar w:fldCharType="end"/>
      </w:r>
    </w:p>
    <w:p w:rsidR="000E270F" w:rsidRDefault="000E270F" w:rsidP="000E270F"/>
    <w:p w:rsidR="000E270F" w:rsidRDefault="000E270F" w:rsidP="000E270F">
      <w:pPr>
        <w:pStyle w:val="EntradandiceAuto"/>
      </w:pPr>
      <w:r>
        <w:t>Sección Cuarta. Auto 140/2015, de 23 de julio de 2015. Estima el recurso de súplica del Ministerio Fiscal sobre inadmisión del recurso de amparo 350-2011, promovido por don José Luis Salazar Salazar en proceso contencioso-administrativo.</w:t>
      </w:r>
      <w:r>
        <w:tab/>
      </w:r>
      <w:r>
        <w:tab/>
      </w:r>
      <w:r>
        <w:fldChar w:fldCharType="begin"/>
      </w:r>
      <w:r>
        <w:instrText xml:space="preserve"> PAGEREF AUTO_2015_140 \h </w:instrText>
      </w:r>
      <w:r>
        <w:fldChar w:fldCharType="separate"/>
      </w:r>
      <w:r w:rsidR="002F5064">
        <w:rPr>
          <w:noProof/>
        </w:rPr>
        <w:t>2201</w:t>
      </w:r>
      <w:r>
        <w:fldChar w:fldCharType="end"/>
      </w:r>
    </w:p>
    <w:p w:rsidR="000E270F" w:rsidRDefault="000E270F" w:rsidP="000E270F"/>
    <w:p w:rsidR="000E270F" w:rsidRDefault="000E270F" w:rsidP="000E270F">
      <w:pPr>
        <w:pStyle w:val="EntradandiceAuto"/>
      </w:pPr>
      <w:r>
        <w:t>Sección Tercera. Auto 141/2015, de 23 de julio de 2015. Acuerda la extinción, por pérdida de objeto, del recurso de amparo 7590-2014, promovido por don Javier Martín-Artajo Rueda en proceso contencioso-administrativo.</w:t>
      </w:r>
      <w:r>
        <w:tab/>
      </w:r>
      <w:r>
        <w:tab/>
      </w:r>
      <w:r>
        <w:fldChar w:fldCharType="begin"/>
      </w:r>
      <w:r>
        <w:instrText xml:space="preserve"> PAGEREF AUTO_2015_141 \h </w:instrText>
      </w:r>
      <w:r>
        <w:fldChar w:fldCharType="separate"/>
      </w:r>
      <w:r w:rsidR="002F5064">
        <w:rPr>
          <w:noProof/>
        </w:rPr>
        <w:t>2203</w:t>
      </w:r>
      <w:r>
        <w:fldChar w:fldCharType="end"/>
      </w:r>
    </w:p>
    <w:p w:rsidR="000E270F" w:rsidRDefault="000E270F" w:rsidP="000E270F"/>
    <w:p w:rsidR="000E270F" w:rsidRDefault="000E270F" w:rsidP="000E270F">
      <w:pPr>
        <w:pStyle w:val="EntradandiceAuto"/>
      </w:pPr>
      <w:r>
        <w:t>Sección Primera. Auto 142/2015, de 24 de julio de 2015. Desestima el recurso de súplica del Ministerio Fiscal sobre inadmisión del recurso de amparo 200-2014, promovido por Proconsfire Garraf, S.L., en pleito civil.</w:t>
      </w:r>
      <w:r>
        <w:tab/>
      </w:r>
      <w:r>
        <w:tab/>
      </w:r>
      <w:r>
        <w:fldChar w:fldCharType="begin"/>
      </w:r>
      <w:r>
        <w:instrText xml:space="preserve"> PAGEREF AUTO_2015_142 \h </w:instrText>
      </w:r>
      <w:r>
        <w:fldChar w:fldCharType="separate"/>
      </w:r>
      <w:r w:rsidR="002F5064">
        <w:rPr>
          <w:noProof/>
        </w:rPr>
        <w:t>2206</w:t>
      </w:r>
      <w:r>
        <w:fldChar w:fldCharType="end"/>
      </w:r>
    </w:p>
    <w:p w:rsidR="000E270F" w:rsidRDefault="000E270F" w:rsidP="000E270F"/>
    <w:p w:rsidR="000E270F" w:rsidRDefault="000E270F" w:rsidP="000E270F">
      <w:pPr>
        <w:pStyle w:val="EntradandiceAuto"/>
      </w:pPr>
      <w:r>
        <w:t>Sección Tercera. Auto 143/2015, de 24 de julio de 2015. Desestima el recurso de súplica de la representación procesal del demandante sobre inadmisión del recurso de amparo 5310-2014, promovido por don B. M. M. en causa penal.</w:t>
      </w:r>
      <w:r>
        <w:tab/>
      </w:r>
      <w:r>
        <w:tab/>
      </w:r>
      <w:r>
        <w:fldChar w:fldCharType="begin"/>
      </w:r>
      <w:r>
        <w:instrText xml:space="preserve"> PAGEREF AUTO_2015_143 \h </w:instrText>
      </w:r>
      <w:r>
        <w:fldChar w:fldCharType="separate"/>
      </w:r>
      <w:r w:rsidR="002F5064">
        <w:rPr>
          <w:noProof/>
        </w:rPr>
        <w:t>2210</w:t>
      </w:r>
      <w:r>
        <w:fldChar w:fldCharType="end"/>
      </w:r>
    </w:p>
    <w:p w:rsidR="000E270F" w:rsidRDefault="000E270F" w:rsidP="000E270F"/>
    <w:p w:rsidR="000E270F" w:rsidRDefault="000E270F" w:rsidP="000E270F">
      <w:pPr>
        <w:pStyle w:val="EntradandiceAuto"/>
      </w:pPr>
      <w:r>
        <w:t>Sección Tercera. Auto 144/2015, de 2 de septiembre de 2015. Acuerda la extinción, por pérdida de objeto, del recurso de amparo 1343-2015, promovido por don José Chacartegui Pérez Castrillón en pleito civil.</w:t>
      </w:r>
      <w:r>
        <w:tab/>
      </w:r>
      <w:r>
        <w:tab/>
      </w:r>
      <w:r>
        <w:fldChar w:fldCharType="begin"/>
      </w:r>
      <w:r>
        <w:instrText xml:space="preserve"> PAGEREF AUTO_2015_144 \h </w:instrText>
      </w:r>
      <w:r>
        <w:fldChar w:fldCharType="separate"/>
      </w:r>
      <w:r w:rsidR="002F5064">
        <w:rPr>
          <w:noProof/>
        </w:rPr>
        <w:t>2212</w:t>
      </w:r>
      <w:r>
        <w:fldChar w:fldCharType="end"/>
      </w:r>
    </w:p>
    <w:p w:rsidR="000E270F" w:rsidRDefault="000E270F" w:rsidP="000E270F"/>
    <w:p w:rsidR="000E270F" w:rsidRDefault="000E270F" w:rsidP="000E270F">
      <w:pPr>
        <w:pStyle w:val="EntradandiceAuto"/>
      </w:pPr>
      <w:r>
        <w:t>Pleno. Auto 145/2015, de 10 de septiembre de 2015. Inadmite a trámite la cuestión de inconstitucionalidad 3449-2014, planteada por la Sala de lo Contencioso-Administrativo del Tribunal Superior de Justicia de Castilla-La Mancha en relación con el artículo 195.2 de la Ley 58/2003, de 17 de diciembre, general tributaria.</w:t>
      </w:r>
      <w:r>
        <w:tab/>
      </w:r>
      <w:r>
        <w:tab/>
      </w:r>
      <w:r>
        <w:fldChar w:fldCharType="begin"/>
      </w:r>
      <w:r>
        <w:instrText xml:space="preserve"> PAGEREF AUTO_2015_145 \h </w:instrText>
      </w:r>
      <w:r>
        <w:fldChar w:fldCharType="separate"/>
      </w:r>
      <w:r w:rsidR="002F5064">
        <w:rPr>
          <w:noProof/>
        </w:rPr>
        <w:t>2215</w:t>
      </w:r>
      <w:r>
        <w:fldChar w:fldCharType="end"/>
      </w:r>
    </w:p>
    <w:p w:rsidR="000E270F" w:rsidRDefault="000E270F" w:rsidP="000E270F"/>
    <w:p w:rsidR="000E270F" w:rsidRDefault="000E270F" w:rsidP="000E270F">
      <w:pPr>
        <w:pStyle w:val="EntradandiceAuto"/>
      </w:pPr>
      <w:r>
        <w:t>Pleno. Auto 146/2015, de 10 de septiembre de 2015. Dispone estar a lo acordado en el ATC 112/2015, de 23 de junio, por el que se resuelve la cuestión de inconstitucionalidad 374-2015, planteada por el Juzgado de lo Social núm. 33 de Barcelona en relación con el epígrafe e) de la disposición adicional tercera de la Ley 40/2007, de 4 de diciembre, de medidas en materia de Seguridad Social.</w:t>
      </w:r>
      <w:r>
        <w:tab/>
      </w:r>
      <w:r>
        <w:tab/>
      </w:r>
      <w:r>
        <w:fldChar w:fldCharType="begin"/>
      </w:r>
      <w:r>
        <w:instrText xml:space="preserve"> PAGEREF AUTO_2015_146 \h </w:instrText>
      </w:r>
      <w:r>
        <w:fldChar w:fldCharType="separate"/>
      </w:r>
      <w:r w:rsidR="002F5064">
        <w:rPr>
          <w:noProof/>
        </w:rPr>
        <w:t>2225</w:t>
      </w:r>
      <w:r>
        <w:fldChar w:fldCharType="end"/>
      </w:r>
    </w:p>
    <w:p w:rsidR="000E270F" w:rsidRDefault="000E270F" w:rsidP="000E270F"/>
    <w:p w:rsidR="000E270F" w:rsidRDefault="000E270F" w:rsidP="000E270F">
      <w:pPr>
        <w:pStyle w:val="EntradandiceAuto"/>
      </w:pPr>
      <w:r>
        <w:t>Sección Primera. Auto 147/2015, de 10 de septiembre de 2015. Acuerda el desistimiento en el recurso de amparo 1675-2015, promovido en proceso contencioso-administrativo.</w:t>
      </w:r>
      <w:r>
        <w:tab/>
      </w:r>
      <w:r>
        <w:tab/>
      </w:r>
      <w:r>
        <w:fldChar w:fldCharType="begin"/>
      </w:r>
      <w:r>
        <w:instrText xml:space="preserve"> PAGEREF AUTO_2015_147 \h </w:instrText>
      </w:r>
      <w:r>
        <w:fldChar w:fldCharType="separate"/>
      </w:r>
      <w:r w:rsidR="002F5064">
        <w:rPr>
          <w:noProof/>
        </w:rPr>
        <w:t>2227</w:t>
      </w:r>
      <w:r>
        <w:fldChar w:fldCharType="end"/>
      </w:r>
    </w:p>
    <w:p w:rsidR="000E270F" w:rsidRDefault="000E270F" w:rsidP="000E270F"/>
    <w:p w:rsidR="000E270F" w:rsidRDefault="000E270F" w:rsidP="000E270F">
      <w:pPr>
        <w:pStyle w:val="EntradandiceAuto"/>
      </w:pPr>
      <w:r>
        <w:t>Pleno. Auto 148/2015, de 10 de septiembre de 2015. Desestima el recurso de súplica interpuesto por el Consejo de Gobierno de la Junta de Andalucía en relación con el ATC 139/2015, de 21 de julio, por el que se inadmite el recurso de inconstitucionalidad 3575-2015, planteado en relación con diversos preceptos de la Ley 15/2014, de 16 de septiembre, de racionalización del sector público y otras medidas de reforma administrativa.</w:t>
      </w:r>
      <w:r>
        <w:tab/>
      </w:r>
      <w:r>
        <w:tab/>
      </w:r>
      <w:r>
        <w:fldChar w:fldCharType="begin"/>
      </w:r>
      <w:r>
        <w:instrText xml:space="preserve"> PAGEREF AUTO_2015_148 \h </w:instrText>
      </w:r>
      <w:r>
        <w:fldChar w:fldCharType="separate"/>
      </w:r>
      <w:r w:rsidR="002F5064">
        <w:rPr>
          <w:noProof/>
        </w:rPr>
        <w:t>2228</w:t>
      </w:r>
      <w:r>
        <w:fldChar w:fldCharType="end"/>
      </w:r>
    </w:p>
    <w:p w:rsidR="000E270F" w:rsidRDefault="000E270F" w:rsidP="000E270F"/>
    <w:p w:rsidR="000E270F" w:rsidRDefault="000E270F" w:rsidP="000E270F">
      <w:pPr>
        <w:pStyle w:val="EntradandiceAuto"/>
      </w:pPr>
      <w:r>
        <w:t>Pleno. Auto 149/2015, de 10 de septiembre de 2015. Inadmite a trámite el conflicto en defensa de la autonomía local 3974-2015, planteado por el Consejo Insular de Formentera en relación con diversos preceptos de la Ley del Parlamento de las Illes Balears 12/2014, de 16 de diciembre, agraria de las Illes Balears.</w:t>
      </w:r>
      <w:r>
        <w:tab/>
      </w:r>
      <w:r>
        <w:tab/>
      </w:r>
      <w:r>
        <w:fldChar w:fldCharType="begin"/>
      </w:r>
      <w:r>
        <w:instrText xml:space="preserve"> PAGEREF AUTO_2015_149 \h </w:instrText>
      </w:r>
      <w:r>
        <w:fldChar w:fldCharType="separate"/>
      </w:r>
      <w:r w:rsidR="002F5064">
        <w:rPr>
          <w:noProof/>
        </w:rPr>
        <w:t>2232</w:t>
      </w:r>
      <w:r>
        <w:fldChar w:fldCharType="end"/>
      </w:r>
    </w:p>
    <w:p w:rsidR="000E270F" w:rsidRDefault="000E270F" w:rsidP="000E270F"/>
    <w:p w:rsidR="000E270F" w:rsidRDefault="000E270F" w:rsidP="000E270F">
      <w:pPr>
        <w:pStyle w:val="EntradandiceAuto"/>
      </w:pPr>
      <w:r>
        <w:t>Sección Primera. Auto 150/2015, de 17 de septiembre de 2015. Acuerda el desistimiento en el recurso de amparo 1094-2014, promovido en pleito civil.</w:t>
      </w:r>
      <w:r>
        <w:tab/>
      </w:r>
      <w:r>
        <w:tab/>
      </w:r>
      <w:r>
        <w:fldChar w:fldCharType="begin"/>
      </w:r>
      <w:r>
        <w:instrText xml:space="preserve"> PAGEREF AUTO_2015_150 \h </w:instrText>
      </w:r>
      <w:r>
        <w:fldChar w:fldCharType="separate"/>
      </w:r>
      <w:r w:rsidR="002F5064">
        <w:rPr>
          <w:noProof/>
        </w:rPr>
        <w:t>2238</w:t>
      </w:r>
      <w:r>
        <w:fldChar w:fldCharType="end"/>
      </w:r>
    </w:p>
    <w:p w:rsidR="000E270F" w:rsidRDefault="000E270F" w:rsidP="000E270F"/>
    <w:p w:rsidR="000E270F" w:rsidRDefault="000E270F" w:rsidP="000E270F">
      <w:pPr>
        <w:pStyle w:val="EntradandiceAuto"/>
      </w:pPr>
      <w:r>
        <w:t>Sala Primera. Auto 151/2015, de 21 de septiembre de 2015. Acuerda el desistimiento en el recurso de amparo 423-2014, promovido en proceso contencioso-administrativo .</w:t>
      </w:r>
      <w:r>
        <w:tab/>
      </w:r>
      <w:r>
        <w:tab/>
      </w:r>
      <w:r>
        <w:fldChar w:fldCharType="begin"/>
      </w:r>
      <w:r>
        <w:instrText xml:space="preserve"> PAGEREF AUTO_2015_151 \h </w:instrText>
      </w:r>
      <w:r>
        <w:fldChar w:fldCharType="separate"/>
      </w:r>
      <w:r w:rsidR="002F5064">
        <w:rPr>
          <w:noProof/>
        </w:rPr>
        <w:t>2239</w:t>
      </w:r>
      <w:r>
        <w:fldChar w:fldCharType="end"/>
      </w:r>
    </w:p>
    <w:p w:rsidR="000E270F" w:rsidRDefault="000E270F" w:rsidP="000E270F"/>
    <w:p w:rsidR="000E270F" w:rsidRDefault="000E270F" w:rsidP="000E270F">
      <w:pPr>
        <w:pStyle w:val="EntradandiceAuto"/>
      </w:pPr>
      <w:r>
        <w:t>Sala Primera. Auto 152/2015, de 21 de septiembre de 2015. Acuerda el desistimiento en el recurso de amparo 5449-2014, promovido en litigio social.</w:t>
      </w:r>
      <w:r>
        <w:tab/>
      </w:r>
      <w:r>
        <w:tab/>
      </w:r>
      <w:r>
        <w:fldChar w:fldCharType="begin"/>
      </w:r>
      <w:r>
        <w:instrText xml:space="preserve"> PAGEREF AUTO_2015_152 \h </w:instrText>
      </w:r>
      <w:r>
        <w:fldChar w:fldCharType="separate"/>
      </w:r>
      <w:r w:rsidR="002F5064">
        <w:rPr>
          <w:noProof/>
        </w:rPr>
        <w:t>2240</w:t>
      </w:r>
      <w:r>
        <w:fldChar w:fldCharType="end"/>
      </w:r>
    </w:p>
    <w:p w:rsidR="000E270F" w:rsidRDefault="000E270F" w:rsidP="000E270F"/>
    <w:p w:rsidR="000E270F" w:rsidRDefault="000E270F" w:rsidP="000E270F">
      <w:pPr>
        <w:pStyle w:val="EntradandiceAuto"/>
      </w:pPr>
      <w:r>
        <w:t>Sección Primera. Auto 153/2015, de 21 de septiembre de 2015. Acuerda el desistimiento en el recurso de amparo 1481-2015, promovido en pleito civil.</w:t>
      </w:r>
      <w:r>
        <w:tab/>
      </w:r>
      <w:r>
        <w:tab/>
      </w:r>
      <w:r>
        <w:fldChar w:fldCharType="begin"/>
      </w:r>
      <w:r>
        <w:instrText xml:space="preserve"> PAGEREF AUTO_2015_153 \h </w:instrText>
      </w:r>
      <w:r>
        <w:fldChar w:fldCharType="separate"/>
      </w:r>
      <w:r w:rsidR="002F5064">
        <w:rPr>
          <w:noProof/>
        </w:rPr>
        <w:t>2241</w:t>
      </w:r>
      <w:r>
        <w:fldChar w:fldCharType="end"/>
      </w:r>
    </w:p>
    <w:p w:rsidR="000E270F" w:rsidRDefault="000E270F" w:rsidP="000E270F"/>
    <w:p w:rsidR="000E270F" w:rsidRDefault="000E270F" w:rsidP="000E270F">
      <w:pPr>
        <w:pStyle w:val="EntradandiceAuto"/>
      </w:pPr>
      <w:r>
        <w:t>Pleno. Auto 154/2015, de 22 de septiembre de 2015. Inadmite a trámite la cuestión de inconstitucionalidad 1339-2015, planteada por el Tribunal Superior de Justicia de Murcia en relación con el artículo 2 del Real Decreto-ley 20/2012, de 13 de julio, de medidas para garantizar la estabilidad presupuestaria y de fomento de la competitividad y el artículo 2.1 de la Ley de la Asamblea Regional de Murcia 9/2012, de 8 de noviembre, de adaptación de la normativa regional en materia de función pública.</w:t>
      </w:r>
      <w:r>
        <w:tab/>
      </w:r>
      <w:r>
        <w:tab/>
      </w:r>
      <w:r>
        <w:fldChar w:fldCharType="begin"/>
      </w:r>
      <w:r>
        <w:instrText xml:space="preserve"> PAGEREF AUTO_2015_154 \h </w:instrText>
      </w:r>
      <w:r>
        <w:fldChar w:fldCharType="separate"/>
      </w:r>
      <w:r w:rsidR="002F5064">
        <w:rPr>
          <w:noProof/>
        </w:rPr>
        <w:t>2242</w:t>
      </w:r>
      <w:r>
        <w:fldChar w:fldCharType="end"/>
      </w:r>
    </w:p>
    <w:p w:rsidR="000E270F" w:rsidRDefault="000E270F" w:rsidP="000E270F"/>
    <w:p w:rsidR="000E270F" w:rsidRDefault="000E270F" w:rsidP="000E270F">
      <w:pPr>
        <w:pStyle w:val="EntradandiceAuto"/>
      </w:pPr>
      <w:r>
        <w:t>Pleno. Auto 155/2015, de 22 de septiembre de 2015. Inadmite a trámite la cuestión de inconstitucionalidad 2688-2015, planteada por el Juzgado de Primera Instancia e Instrucción núm. 7 de San Javier en relación con el artículo 1.1 de la Ley 1/2013, de 14 de mayo, de medidas para reforzar la protección a los deudores hipotecarios, reestructuración de deuda y alquiler social.</w:t>
      </w:r>
      <w:r>
        <w:tab/>
      </w:r>
      <w:r>
        <w:tab/>
      </w:r>
      <w:r>
        <w:fldChar w:fldCharType="begin"/>
      </w:r>
      <w:r>
        <w:instrText xml:space="preserve"> PAGEREF AUTO_2015_155 \h </w:instrText>
      </w:r>
      <w:r>
        <w:fldChar w:fldCharType="separate"/>
      </w:r>
      <w:r w:rsidR="002F5064">
        <w:rPr>
          <w:noProof/>
        </w:rPr>
        <w:t>2249</w:t>
      </w:r>
      <w:r>
        <w:fldChar w:fldCharType="end"/>
      </w:r>
    </w:p>
    <w:p w:rsidR="000E270F" w:rsidRDefault="000E270F" w:rsidP="000E270F"/>
    <w:p w:rsidR="000E270F" w:rsidRDefault="000E270F" w:rsidP="000E270F">
      <w:pPr>
        <w:pStyle w:val="EntradandiceAuto"/>
      </w:pPr>
      <w:r>
        <w:t>Sección Primera. Auto 156/2015, de 23 de septiembre de 2015. Acuerda el desistimiento en el recurso de amparo 2813-2015, promovido en proceso contencioso-administrativo.</w:t>
      </w:r>
      <w:r>
        <w:tab/>
      </w:r>
      <w:r>
        <w:tab/>
      </w:r>
      <w:r>
        <w:fldChar w:fldCharType="begin"/>
      </w:r>
      <w:r>
        <w:instrText xml:space="preserve"> PAGEREF AUTO_2015_156 \h </w:instrText>
      </w:r>
      <w:r>
        <w:fldChar w:fldCharType="separate"/>
      </w:r>
      <w:r w:rsidR="002F5064">
        <w:rPr>
          <w:noProof/>
        </w:rPr>
        <w:t>2257</w:t>
      </w:r>
      <w:r>
        <w:fldChar w:fldCharType="end"/>
      </w:r>
    </w:p>
    <w:p w:rsidR="000E270F" w:rsidRDefault="000E270F" w:rsidP="000E270F"/>
    <w:p w:rsidR="000E270F" w:rsidRDefault="000E270F" w:rsidP="000E270F">
      <w:pPr>
        <w:pStyle w:val="EntradandiceAuto"/>
      </w:pPr>
      <w:r>
        <w:t>Sección Cuarta. Auto 157/2015, de 25 de septiembre de 2015. Acuerda el desistimiento en el recurso de amparo 1061-2015, promovido en causa penal.</w:t>
      </w:r>
      <w:r>
        <w:tab/>
      </w:r>
      <w:r>
        <w:tab/>
      </w:r>
      <w:r>
        <w:fldChar w:fldCharType="begin"/>
      </w:r>
      <w:r>
        <w:instrText xml:space="preserve"> PAGEREF AUTO_2015_157 \h </w:instrText>
      </w:r>
      <w:r>
        <w:fldChar w:fldCharType="separate"/>
      </w:r>
      <w:r w:rsidR="002F5064">
        <w:rPr>
          <w:noProof/>
        </w:rPr>
        <w:t>2258</w:t>
      </w:r>
      <w:r>
        <w:fldChar w:fldCharType="end"/>
      </w:r>
    </w:p>
    <w:p w:rsidR="000E270F" w:rsidRDefault="000E270F" w:rsidP="000E270F"/>
    <w:p w:rsidR="000E270F" w:rsidRDefault="000E270F" w:rsidP="000E270F">
      <w:pPr>
        <w:pStyle w:val="EntradandiceAuto"/>
      </w:pPr>
      <w:r>
        <w:t>Sección Tercera. Auto 158/2015, de 25 de septiembre de 2015. Acuerda el desistimiento en el recurso de amparo 1304-2015, promovido en litigio social.</w:t>
      </w:r>
      <w:r>
        <w:tab/>
      </w:r>
      <w:r>
        <w:tab/>
      </w:r>
      <w:r>
        <w:fldChar w:fldCharType="begin"/>
      </w:r>
      <w:r>
        <w:instrText xml:space="preserve"> PAGEREF AUTO_2015_158 \h </w:instrText>
      </w:r>
      <w:r>
        <w:fldChar w:fldCharType="separate"/>
      </w:r>
      <w:r w:rsidR="002F5064">
        <w:rPr>
          <w:noProof/>
        </w:rPr>
        <w:t>2259</w:t>
      </w:r>
      <w:r>
        <w:fldChar w:fldCharType="end"/>
      </w:r>
    </w:p>
    <w:p w:rsidR="000E270F" w:rsidRDefault="000E270F" w:rsidP="000E270F"/>
    <w:p w:rsidR="000E270F" w:rsidRDefault="000E270F" w:rsidP="000E270F">
      <w:pPr>
        <w:pStyle w:val="EntradandiceAuto"/>
      </w:pPr>
      <w:r>
        <w:t>Sección Cuarta. Auto 159/2015, de 1 de octubre de 2015. Estima el recurso de súplica del Ministerio Fiscal sobre inadmisión del recurso de amparo 115-2015, promovido por el Ayuntamiento de Toledo en proceso contencioso-administrativo.</w:t>
      </w:r>
      <w:r>
        <w:tab/>
      </w:r>
      <w:r>
        <w:tab/>
      </w:r>
      <w:r>
        <w:fldChar w:fldCharType="begin"/>
      </w:r>
      <w:r>
        <w:instrText xml:space="preserve"> PAGEREF AUTO_2015_159 \h </w:instrText>
      </w:r>
      <w:r>
        <w:fldChar w:fldCharType="separate"/>
      </w:r>
      <w:r w:rsidR="002F5064">
        <w:rPr>
          <w:noProof/>
        </w:rPr>
        <w:t>2260</w:t>
      </w:r>
      <w:r>
        <w:fldChar w:fldCharType="end"/>
      </w:r>
    </w:p>
    <w:p w:rsidR="000E270F" w:rsidRDefault="000E270F" w:rsidP="000E270F"/>
    <w:p w:rsidR="000E270F" w:rsidRDefault="000E270F" w:rsidP="000E270F">
      <w:pPr>
        <w:pStyle w:val="EntradandiceAuto"/>
      </w:pPr>
      <w:r>
        <w:t>Sección Cuarta. Auto 160/2015, de 1 de octubre de 2015. Estima el recurso de súplica del Ministerio Fiscal sobre inadmisión del recurso de amparo 145-2015, promovido por el Ayuntamiento de Toledo en proceso contencioso-administrativo.</w:t>
      </w:r>
      <w:r>
        <w:tab/>
      </w:r>
      <w:r>
        <w:tab/>
      </w:r>
      <w:r>
        <w:fldChar w:fldCharType="begin"/>
      </w:r>
      <w:r>
        <w:instrText xml:space="preserve"> PAGEREF AUTO_2015_160 \h </w:instrText>
      </w:r>
      <w:r>
        <w:fldChar w:fldCharType="separate"/>
      </w:r>
      <w:r w:rsidR="002F5064">
        <w:rPr>
          <w:noProof/>
        </w:rPr>
        <w:t>2262</w:t>
      </w:r>
      <w:r>
        <w:fldChar w:fldCharType="end"/>
      </w:r>
    </w:p>
    <w:p w:rsidR="000E270F" w:rsidRDefault="000E270F" w:rsidP="000E270F"/>
    <w:p w:rsidR="000E270F" w:rsidRDefault="000E270F" w:rsidP="000E270F">
      <w:pPr>
        <w:pStyle w:val="EntradandiceAuto"/>
      </w:pPr>
      <w:r>
        <w:t>Sección Segunda. Auto 161/2015, de 5 de octubre de 2015. Acuerda el desistimiento en el recurso de amparo 6857-2012, promovido en proceso contencioso-administrativo.</w:t>
      </w:r>
      <w:r>
        <w:tab/>
      </w:r>
      <w:r>
        <w:tab/>
      </w:r>
      <w:r>
        <w:fldChar w:fldCharType="begin"/>
      </w:r>
      <w:r>
        <w:instrText xml:space="preserve"> PAGEREF AUTO_2015_161 \h </w:instrText>
      </w:r>
      <w:r>
        <w:fldChar w:fldCharType="separate"/>
      </w:r>
      <w:r w:rsidR="002F5064">
        <w:rPr>
          <w:noProof/>
        </w:rPr>
        <w:t>2265</w:t>
      </w:r>
      <w:r>
        <w:fldChar w:fldCharType="end"/>
      </w:r>
    </w:p>
    <w:p w:rsidR="000E270F" w:rsidRDefault="000E270F" w:rsidP="000E270F"/>
    <w:p w:rsidR="000E270F" w:rsidRDefault="000E270F" w:rsidP="000E270F">
      <w:pPr>
        <w:pStyle w:val="EntradandiceAuto"/>
      </w:pPr>
      <w:r>
        <w:t>Sección Segunda. Auto 162/2015, de 5 de octubre de 2015. Acuerda el desistimiento en el recurso de amparo 1547-2013, promovido en proceso contencioso-administrativo.</w:t>
      </w:r>
      <w:r>
        <w:tab/>
      </w:r>
      <w:r>
        <w:tab/>
      </w:r>
      <w:r>
        <w:fldChar w:fldCharType="begin"/>
      </w:r>
      <w:r>
        <w:instrText xml:space="preserve"> PAGEREF AUTO_2015_162 \h </w:instrText>
      </w:r>
      <w:r>
        <w:fldChar w:fldCharType="separate"/>
      </w:r>
      <w:r w:rsidR="002F5064">
        <w:rPr>
          <w:noProof/>
        </w:rPr>
        <w:t>2266</w:t>
      </w:r>
      <w:r>
        <w:fldChar w:fldCharType="end"/>
      </w:r>
    </w:p>
    <w:p w:rsidR="000E270F" w:rsidRDefault="000E270F" w:rsidP="000E270F"/>
    <w:p w:rsidR="000E270F" w:rsidRDefault="000E270F" w:rsidP="000E270F">
      <w:pPr>
        <w:pStyle w:val="EntradandiceAuto"/>
      </w:pPr>
      <w:r>
        <w:t>Sección Segunda. Auto 163/2015, de 5 de octubre de 2015. Acuerda el desistimiento en el recurso de amparo 5719, promovido en proceso contencioso-administrativo.</w:t>
      </w:r>
      <w:r>
        <w:tab/>
      </w:r>
      <w:r>
        <w:tab/>
      </w:r>
      <w:r>
        <w:fldChar w:fldCharType="begin"/>
      </w:r>
      <w:r>
        <w:instrText xml:space="preserve"> PAGEREF AUTO_2015_163 \h </w:instrText>
      </w:r>
      <w:r>
        <w:fldChar w:fldCharType="separate"/>
      </w:r>
      <w:r w:rsidR="002F5064">
        <w:rPr>
          <w:noProof/>
        </w:rPr>
        <w:t>2267</w:t>
      </w:r>
      <w:r>
        <w:fldChar w:fldCharType="end"/>
      </w:r>
    </w:p>
    <w:p w:rsidR="000E270F" w:rsidRDefault="000E270F" w:rsidP="000E270F"/>
    <w:p w:rsidR="000E270F" w:rsidRDefault="000E270F" w:rsidP="000E270F">
      <w:pPr>
        <w:pStyle w:val="EntradandiceAuto"/>
      </w:pPr>
      <w:r>
        <w:t>Sección Segunda. Auto 164/2015, de 5 de octubre de 2015. Se declara incompetente para el enjuiciamiento de la impugnación de la resolución de la Comisión Central de Asistencia Jurídica Gratuita solicitada en el recurso de amparo 221-2015, promovido por don Juan Francisco Romero Sánchez.</w:t>
      </w:r>
      <w:r>
        <w:tab/>
      </w:r>
      <w:r>
        <w:tab/>
      </w:r>
      <w:r>
        <w:fldChar w:fldCharType="begin"/>
      </w:r>
      <w:r>
        <w:instrText xml:space="preserve"> PAGEREF AUTO_2015_164 \h </w:instrText>
      </w:r>
      <w:r>
        <w:fldChar w:fldCharType="separate"/>
      </w:r>
      <w:r w:rsidR="002F5064">
        <w:rPr>
          <w:noProof/>
        </w:rPr>
        <w:t>2268</w:t>
      </w:r>
      <w:r>
        <w:fldChar w:fldCharType="end"/>
      </w:r>
    </w:p>
    <w:p w:rsidR="000E270F" w:rsidRDefault="000E270F" w:rsidP="000E270F"/>
    <w:p w:rsidR="000E270F" w:rsidRDefault="000E270F" w:rsidP="000E270F">
      <w:pPr>
        <w:pStyle w:val="EntradandiceAuto"/>
      </w:pPr>
      <w:r>
        <w:t>Pleno. Auto 165/2015, de 6 de octubre de 2015. Acuerda la extinción, por pérdida de objeto, del recurso de inconstitucionalidad 6478-2011, interpuesto por el Consejo de Gobierno de la Comunidad Autónoma de la Región de Murcia en relación con la disposición adicional primera del Real Decreto-ley 12/2011, de 26 de agosto, por el que se modifica la Ley de enjuiciamiento civil.</w:t>
      </w:r>
      <w:r>
        <w:tab/>
      </w:r>
      <w:r>
        <w:tab/>
      </w:r>
      <w:r>
        <w:fldChar w:fldCharType="begin"/>
      </w:r>
      <w:r>
        <w:instrText xml:space="preserve"> PAGEREF AUTO_2015_165 \h </w:instrText>
      </w:r>
      <w:r>
        <w:fldChar w:fldCharType="separate"/>
      </w:r>
      <w:r w:rsidR="002F5064">
        <w:rPr>
          <w:noProof/>
        </w:rPr>
        <w:t>2272</w:t>
      </w:r>
      <w:r>
        <w:fldChar w:fldCharType="end"/>
      </w:r>
    </w:p>
    <w:p w:rsidR="000E270F" w:rsidRDefault="000E270F" w:rsidP="000E270F"/>
    <w:p w:rsidR="000E270F" w:rsidRDefault="000E270F" w:rsidP="000E270F">
      <w:pPr>
        <w:pStyle w:val="EntradandiceAuto"/>
      </w:pPr>
      <w:r>
        <w:t>Pleno. Auto 166/2015, de 6 de octubre de 2015. Acuerda la extinción, por pérdida de objeto, del recurso de inconstitucionalidad 6523-2011, interpuesto por las Cortes Valencianas en relación con la disposición final primera del Real Decreto-ley 12/2011, de 26 de agosto, por el que se modifica la Ley de enjuiciamiento civil.</w:t>
      </w:r>
      <w:r>
        <w:tab/>
      </w:r>
      <w:r>
        <w:tab/>
      </w:r>
      <w:r>
        <w:fldChar w:fldCharType="begin"/>
      </w:r>
      <w:r>
        <w:instrText xml:space="preserve"> PAGEREF AUTO_2015_166 \h </w:instrText>
      </w:r>
      <w:r>
        <w:fldChar w:fldCharType="separate"/>
      </w:r>
      <w:r w:rsidR="002F5064">
        <w:rPr>
          <w:noProof/>
        </w:rPr>
        <w:t>2279</w:t>
      </w:r>
      <w:r>
        <w:fldChar w:fldCharType="end"/>
      </w:r>
    </w:p>
    <w:p w:rsidR="000E270F" w:rsidRDefault="000E270F" w:rsidP="000E270F"/>
    <w:p w:rsidR="000E270F" w:rsidRDefault="000E270F" w:rsidP="000E270F">
      <w:pPr>
        <w:pStyle w:val="EntradandiceAuto"/>
      </w:pPr>
      <w:r>
        <w:t>Pleno. Auto 167/2015, de 6 de octubre de 2015. Inadmite a trámite la cuestión de inconstitucionalidad 823-2015, planteada por el Tribunal Superior de Justicia de Murcia en relación con el artículo 2 del Real Decreto-ley 20/2012, de 13 de julio, de medidas para garantizar la estabilidad presupuestaria y de fomento de la competitividad.</w:t>
      </w:r>
      <w:r>
        <w:tab/>
      </w:r>
      <w:r>
        <w:tab/>
      </w:r>
      <w:r>
        <w:fldChar w:fldCharType="begin"/>
      </w:r>
      <w:r>
        <w:instrText xml:space="preserve"> PAGEREF AUTO_2015_167 \h </w:instrText>
      </w:r>
      <w:r>
        <w:fldChar w:fldCharType="separate"/>
      </w:r>
      <w:r w:rsidR="002F5064">
        <w:rPr>
          <w:noProof/>
        </w:rPr>
        <w:t>2286</w:t>
      </w:r>
      <w:r>
        <w:fldChar w:fldCharType="end"/>
      </w:r>
    </w:p>
    <w:p w:rsidR="000E270F" w:rsidRDefault="000E270F" w:rsidP="000E270F"/>
    <w:p w:rsidR="000E270F" w:rsidRDefault="000E270F" w:rsidP="000E270F">
      <w:pPr>
        <w:pStyle w:val="EntradandiceAuto"/>
      </w:pPr>
      <w:r>
        <w:t>Pleno. Auto 168/2015, de 6 de octubre de 2015. Desestima el recurso de súplica de la representación procesal sobre inadmisión del conflicto en defensa de la autonomía local 3974-2015, planteado por el Consejo Insular de Formentera respecto de diversos preceptos de la Ley del Parlamento de las Illes Balears 12/2014, de 16 de diciembre, agraria.</w:t>
      </w:r>
      <w:r>
        <w:tab/>
      </w:r>
      <w:r>
        <w:tab/>
      </w:r>
      <w:r>
        <w:fldChar w:fldCharType="begin"/>
      </w:r>
      <w:r>
        <w:instrText xml:space="preserve"> PAGEREF AUTO_2015_168 \h </w:instrText>
      </w:r>
      <w:r>
        <w:fldChar w:fldCharType="separate"/>
      </w:r>
      <w:r w:rsidR="002F5064">
        <w:rPr>
          <w:noProof/>
        </w:rPr>
        <w:t>2293</w:t>
      </w:r>
      <w:r>
        <w:fldChar w:fldCharType="end"/>
      </w:r>
    </w:p>
    <w:p w:rsidR="000E270F" w:rsidRDefault="000E270F" w:rsidP="000E270F"/>
    <w:p w:rsidR="000E270F" w:rsidRDefault="000E270F" w:rsidP="000E270F">
      <w:pPr>
        <w:pStyle w:val="EntradandiceAuto"/>
      </w:pPr>
      <w:r>
        <w:t>Pleno. Auto 169/2015, de 6 de octubre de 2015. Acuerda el desistimiento en el recurso de inconstitucionalidad 4315-2015, planteado por el Presidente del Gobierno en relación con diversos preceptos de la Ley de comercio de las Illes Balears 11/2014, de 15 de octubre.</w:t>
      </w:r>
      <w:r>
        <w:tab/>
      </w:r>
      <w:r>
        <w:tab/>
      </w:r>
      <w:r>
        <w:fldChar w:fldCharType="begin"/>
      </w:r>
      <w:r>
        <w:instrText xml:space="preserve"> PAGEREF AUTO_2015_169 \h </w:instrText>
      </w:r>
      <w:r>
        <w:fldChar w:fldCharType="separate"/>
      </w:r>
      <w:r w:rsidR="002F5064">
        <w:rPr>
          <w:noProof/>
        </w:rPr>
        <w:t>2297</w:t>
      </w:r>
      <w:r>
        <w:fldChar w:fldCharType="end"/>
      </w:r>
    </w:p>
    <w:p w:rsidR="000E270F" w:rsidRDefault="000E270F" w:rsidP="000E270F"/>
    <w:p w:rsidR="000E270F" w:rsidRDefault="000E270F" w:rsidP="000E270F">
      <w:pPr>
        <w:pStyle w:val="EntradandiceAuto"/>
      </w:pPr>
      <w:r>
        <w:t>Pleno. Auto 170/2015, de 7 de octubre de 2015. Mantiene la suspensión acordada en el recurso de inconstitucionalidad 1534-2015, interpuesto por el Presidente del Gobierno en relación con la totalidad de la Ley Foral 24/2014, de 2 de diciembre, reguladora de los colectivos de usuarios de cannabis en Navarra.</w:t>
      </w:r>
      <w:r>
        <w:tab/>
      </w:r>
      <w:r>
        <w:tab/>
      </w:r>
      <w:r>
        <w:fldChar w:fldCharType="begin"/>
      </w:r>
      <w:r>
        <w:instrText xml:space="preserve"> PAGEREF AUTO_2015_170 \h </w:instrText>
      </w:r>
      <w:r>
        <w:fldChar w:fldCharType="separate"/>
      </w:r>
      <w:r w:rsidR="002F5064">
        <w:rPr>
          <w:noProof/>
        </w:rPr>
        <w:t>2299</w:t>
      </w:r>
      <w:r>
        <w:fldChar w:fldCharType="end"/>
      </w:r>
    </w:p>
    <w:p w:rsidR="000E270F" w:rsidRDefault="000E270F" w:rsidP="000E270F"/>
    <w:p w:rsidR="000E270F" w:rsidRDefault="000E270F" w:rsidP="000E270F">
      <w:pPr>
        <w:pStyle w:val="EntradandiceAuto"/>
      </w:pPr>
      <w:r>
        <w:t>Pleno. Auto 171/2015, de 20 de octubre de 2015. Acuerda la extinción, por pérdida de objeto, del recurso de inconstitucionalidad 5952-2014, interpuesto por el Consejo de Gobierno del Principado de Asturias en relación con el artículo 124 del Real Decreto-ley 8/2014, de 4 de julio, de aprobación de medidas urgentes para el crecimiento, la competitividad y la eficacia.</w:t>
      </w:r>
      <w:r>
        <w:tab/>
      </w:r>
      <w:r>
        <w:tab/>
      </w:r>
      <w:r>
        <w:fldChar w:fldCharType="begin"/>
      </w:r>
      <w:r>
        <w:instrText xml:space="preserve"> PAGEREF AUTO_2015_171 \h </w:instrText>
      </w:r>
      <w:r>
        <w:fldChar w:fldCharType="separate"/>
      </w:r>
      <w:r w:rsidR="002F5064">
        <w:rPr>
          <w:noProof/>
        </w:rPr>
        <w:t>2310</w:t>
      </w:r>
      <w:r>
        <w:fldChar w:fldCharType="end"/>
      </w:r>
    </w:p>
    <w:p w:rsidR="000E270F" w:rsidRDefault="000E270F" w:rsidP="000E270F"/>
    <w:p w:rsidR="000E270F" w:rsidRDefault="000E270F" w:rsidP="000E270F">
      <w:pPr>
        <w:pStyle w:val="EntradandiceAuto"/>
      </w:pPr>
      <w:r>
        <w:t>Pleno. Auto 172/2015, de 20 de octubre de 2015. Inadmite a trámite la cuestión de inconstitucionalidad 217-2015, planteada por la Sala de lo Contencioso-Administrativo del Tribunal Supremo en relación con varios preceptos de la Ley Orgánica 6/1985, de 1 de julio, del Poder Judicial y del Real Decreto-ley 20/2012, de 13 de julio, de medidas para garantizar la estabilidad presupuestaria y de fomento de la competitividad.</w:t>
      </w:r>
      <w:r>
        <w:tab/>
      </w:r>
      <w:r>
        <w:tab/>
      </w:r>
      <w:r>
        <w:fldChar w:fldCharType="begin"/>
      </w:r>
      <w:r>
        <w:instrText xml:space="preserve"> PAGEREF AUTO_2015_172 \h </w:instrText>
      </w:r>
      <w:r>
        <w:fldChar w:fldCharType="separate"/>
      </w:r>
      <w:r w:rsidR="002F5064">
        <w:rPr>
          <w:noProof/>
        </w:rPr>
        <w:t>2318</w:t>
      </w:r>
      <w:r>
        <w:fldChar w:fldCharType="end"/>
      </w:r>
    </w:p>
    <w:p w:rsidR="000E270F" w:rsidRDefault="000E270F" w:rsidP="000E270F"/>
    <w:p w:rsidR="000E270F" w:rsidRDefault="000E270F" w:rsidP="000E270F">
      <w:pPr>
        <w:pStyle w:val="EntradandiceAuto"/>
      </w:pPr>
      <w:r>
        <w:t>Pleno. Auto 173/2015, de 20 de octubre de 2015. Inadmite a trámite la cuestión de inconstitucionalidad 1340-2015, planteada por la Sala de lo Social del Tribunal Superior de Justicia de Murcia en relación con el artículo 2 del Real Decreto-ley 20/2012, de 13 de julio, de medidas para garantizar la estabilidad presupuestaria y de fomento de la competitividad.</w:t>
      </w:r>
      <w:r>
        <w:tab/>
      </w:r>
      <w:r>
        <w:tab/>
      </w:r>
      <w:r>
        <w:fldChar w:fldCharType="begin"/>
      </w:r>
      <w:r>
        <w:instrText xml:space="preserve"> PAGEREF AUTO_2015_173 \h </w:instrText>
      </w:r>
      <w:r>
        <w:fldChar w:fldCharType="separate"/>
      </w:r>
      <w:r w:rsidR="002F5064">
        <w:rPr>
          <w:noProof/>
        </w:rPr>
        <w:t>2327</w:t>
      </w:r>
      <w:r>
        <w:fldChar w:fldCharType="end"/>
      </w:r>
    </w:p>
    <w:p w:rsidR="000E270F" w:rsidRDefault="000E270F" w:rsidP="000E270F"/>
    <w:p w:rsidR="000E270F" w:rsidRDefault="000E270F" w:rsidP="000E270F">
      <w:pPr>
        <w:pStyle w:val="EntradandiceAuto"/>
      </w:pPr>
      <w:r>
        <w:t>Sección Tercera. Auto 174/2015, de 20 de octubre de 2015. Acuerda el desistimiento en el recurso de amparo 2596-2015, promovido en litigio social.</w:t>
      </w:r>
      <w:r>
        <w:tab/>
      </w:r>
      <w:r>
        <w:tab/>
      </w:r>
      <w:r>
        <w:fldChar w:fldCharType="begin"/>
      </w:r>
      <w:r>
        <w:instrText xml:space="preserve"> PAGEREF AUTO_2015_174 \h </w:instrText>
      </w:r>
      <w:r>
        <w:fldChar w:fldCharType="separate"/>
      </w:r>
      <w:r w:rsidR="002F5064">
        <w:rPr>
          <w:noProof/>
        </w:rPr>
        <w:t>2335</w:t>
      </w:r>
      <w:r>
        <w:fldChar w:fldCharType="end"/>
      </w:r>
    </w:p>
    <w:p w:rsidR="000E270F" w:rsidRDefault="000E270F" w:rsidP="000E270F"/>
    <w:p w:rsidR="000E270F" w:rsidRDefault="000E270F" w:rsidP="000E270F">
      <w:pPr>
        <w:pStyle w:val="EntradandiceAuto"/>
      </w:pPr>
      <w:r>
        <w:t>Sección Primera. Auto 175/2015, de 21 de octubre de 2015. Se declara incompetente para enjuiciar la impugnación solicitada en el recurso de amparo 7375-2014 contra la resolución de la Comisión central de asistencia gratuita promovida por don Manuel Tena Gallench en causa penal.</w:t>
      </w:r>
      <w:r>
        <w:tab/>
      </w:r>
      <w:r>
        <w:tab/>
      </w:r>
      <w:r>
        <w:fldChar w:fldCharType="begin"/>
      </w:r>
      <w:r>
        <w:instrText xml:space="preserve"> PAGEREF AUTO_2015_175 \h </w:instrText>
      </w:r>
      <w:r>
        <w:fldChar w:fldCharType="separate"/>
      </w:r>
      <w:r w:rsidR="002F5064">
        <w:rPr>
          <w:noProof/>
        </w:rPr>
        <w:t>2336</w:t>
      </w:r>
      <w:r>
        <w:fldChar w:fldCharType="end"/>
      </w:r>
    </w:p>
    <w:p w:rsidR="000E270F" w:rsidRDefault="000E270F" w:rsidP="000E270F"/>
    <w:p w:rsidR="000E270F" w:rsidRDefault="000E270F" w:rsidP="000E270F">
      <w:pPr>
        <w:pStyle w:val="EntradandiceAuto"/>
      </w:pPr>
      <w:r>
        <w:t>Sección Tercera. Auto 176/2015, de 30 de octubre de 2015. Estima el recurso de súplica del Ministerio Fiscal sobre inadmisión del recurso de amparo 4692-2014, promovido por don Francisco de Paula Martorell de la Capilla en causa penal.</w:t>
      </w:r>
      <w:r>
        <w:tab/>
      </w:r>
      <w:r>
        <w:tab/>
      </w:r>
      <w:r>
        <w:fldChar w:fldCharType="begin"/>
      </w:r>
      <w:r>
        <w:instrText xml:space="preserve"> PAGEREF AUTO_2015_176 \h </w:instrText>
      </w:r>
      <w:r>
        <w:fldChar w:fldCharType="separate"/>
      </w:r>
      <w:r w:rsidR="002F5064">
        <w:rPr>
          <w:noProof/>
        </w:rPr>
        <w:t>2339</w:t>
      </w:r>
      <w:r>
        <w:fldChar w:fldCharType="end"/>
      </w:r>
    </w:p>
    <w:p w:rsidR="000E270F" w:rsidRDefault="000E270F" w:rsidP="000E270F"/>
    <w:p w:rsidR="000E270F" w:rsidRDefault="000E270F" w:rsidP="000E270F">
      <w:pPr>
        <w:pStyle w:val="EntradandiceAuto"/>
      </w:pPr>
      <w:r>
        <w:t>Sala Segunda. Auto 177/2015, de 2 de noviembre de 2015. Rectifica un error material de la Sentencia 181/2015, de 7 de septiembre, en el recurso de amparo 4572-2013, promovido por Girabelmar, S.L., y otras dos personas en pleito civil.</w:t>
      </w:r>
      <w:r>
        <w:tab/>
      </w:r>
      <w:r>
        <w:tab/>
      </w:r>
      <w:r>
        <w:fldChar w:fldCharType="begin"/>
      </w:r>
      <w:r>
        <w:instrText xml:space="preserve"> PAGEREF AUTO_2015_177 \h </w:instrText>
      </w:r>
      <w:r>
        <w:fldChar w:fldCharType="separate"/>
      </w:r>
      <w:r w:rsidR="002F5064">
        <w:rPr>
          <w:noProof/>
        </w:rPr>
        <w:t>2344</w:t>
      </w:r>
      <w:r>
        <w:fldChar w:fldCharType="end"/>
      </w:r>
    </w:p>
    <w:p w:rsidR="000E270F" w:rsidRDefault="000E270F" w:rsidP="000E270F"/>
    <w:p w:rsidR="000E270F" w:rsidRDefault="000E270F" w:rsidP="000E270F">
      <w:pPr>
        <w:pStyle w:val="EntradandiceAuto"/>
      </w:pPr>
      <w:r>
        <w:t>Sala Segunda. Auto 178/2015, de 2 de noviembre de 2015. Acuerda la suspensión en el recurso de amparo 878-2014, promovido por don José Luis Calvo Picallo en pleito civil.</w:t>
      </w:r>
      <w:r>
        <w:tab/>
      </w:r>
      <w:r>
        <w:tab/>
      </w:r>
      <w:r>
        <w:fldChar w:fldCharType="begin"/>
      </w:r>
      <w:r>
        <w:instrText xml:space="preserve"> PAGEREF AUTO_2015_178 \h </w:instrText>
      </w:r>
      <w:r>
        <w:fldChar w:fldCharType="separate"/>
      </w:r>
      <w:r w:rsidR="002F5064">
        <w:rPr>
          <w:noProof/>
        </w:rPr>
        <w:t>2347</w:t>
      </w:r>
      <w:r>
        <w:fldChar w:fldCharType="end"/>
      </w:r>
    </w:p>
    <w:p w:rsidR="000E270F" w:rsidRDefault="000E270F" w:rsidP="000E270F"/>
    <w:p w:rsidR="000E270F" w:rsidRDefault="000E270F" w:rsidP="000E270F">
      <w:pPr>
        <w:pStyle w:val="EntradandiceAuto"/>
      </w:pPr>
      <w:r>
        <w:t>Sala Primera. Auto 179/2015, de 2 de noviembre de 2015. Acuerda la suspensión en el recurso de amparo 6312-2014, promovido por doña R. C. M. Segura en pleito civil.</w:t>
      </w:r>
      <w:r>
        <w:tab/>
      </w:r>
      <w:r>
        <w:tab/>
      </w:r>
      <w:r>
        <w:fldChar w:fldCharType="begin"/>
      </w:r>
      <w:r>
        <w:instrText xml:space="preserve"> PAGEREF AUTO_2015_179 \h </w:instrText>
      </w:r>
      <w:r>
        <w:fldChar w:fldCharType="separate"/>
      </w:r>
      <w:r w:rsidR="002F5064">
        <w:rPr>
          <w:noProof/>
        </w:rPr>
        <w:t>2352</w:t>
      </w:r>
      <w:r>
        <w:fldChar w:fldCharType="end"/>
      </w:r>
    </w:p>
    <w:p w:rsidR="000E270F" w:rsidRDefault="000E270F" w:rsidP="000E270F"/>
    <w:p w:rsidR="000E270F" w:rsidRDefault="000E270F" w:rsidP="000E270F">
      <w:pPr>
        <w:pStyle w:val="EntradandiceAuto"/>
      </w:pPr>
      <w:r>
        <w:t>Pleno. Auto 180/2015, de 3 de noviembre de 2015. Inadmite a trámite la cuestión de inconstitucionalidad 7231-2014, planteada por la Sección Cuarta de la Audiencia Provincial de Tarragona en relación con el artículo 89.1 del Código penal.</w:t>
      </w:r>
      <w:r>
        <w:tab/>
      </w:r>
      <w:r>
        <w:tab/>
      </w:r>
      <w:r>
        <w:fldChar w:fldCharType="begin"/>
      </w:r>
      <w:r>
        <w:instrText xml:space="preserve"> PAGEREF AUTO_2015_180 \h </w:instrText>
      </w:r>
      <w:r>
        <w:fldChar w:fldCharType="separate"/>
      </w:r>
      <w:r w:rsidR="002F5064">
        <w:rPr>
          <w:noProof/>
        </w:rPr>
        <w:t>2360</w:t>
      </w:r>
      <w:r>
        <w:fldChar w:fldCharType="end"/>
      </w:r>
    </w:p>
    <w:p w:rsidR="000E270F" w:rsidRDefault="000E270F" w:rsidP="000E270F"/>
    <w:p w:rsidR="000E270F" w:rsidRDefault="000E270F" w:rsidP="000E270F">
      <w:pPr>
        <w:pStyle w:val="EntradandiceAuto"/>
      </w:pPr>
      <w:r>
        <w:t>Pleno. Auto 181/2015, de 3 de noviembre de 2015. Mantiene la suspensión acordada en el recurso de inconstitucionalidad 3492-2015, interpuesto por el Presidente del Gobierno en relación con el último inciso del artículo 34 de la Ley 2/2015, de 11 de marzo, de presupuestos de la Generalitat de Cataluña para 2015.</w:t>
      </w:r>
      <w:r>
        <w:tab/>
      </w:r>
      <w:r>
        <w:tab/>
      </w:r>
      <w:r>
        <w:fldChar w:fldCharType="begin"/>
      </w:r>
      <w:r>
        <w:instrText xml:space="preserve"> PAGEREF AUTO_2015_181 \h </w:instrText>
      </w:r>
      <w:r>
        <w:fldChar w:fldCharType="separate"/>
      </w:r>
      <w:r w:rsidR="002F5064">
        <w:rPr>
          <w:noProof/>
        </w:rPr>
        <w:t>2368</w:t>
      </w:r>
      <w:r>
        <w:fldChar w:fldCharType="end"/>
      </w:r>
    </w:p>
    <w:p w:rsidR="000E270F" w:rsidRDefault="000E270F" w:rsidP="000E270F"/>
    <w:p w:rsidR="000E270F" w:rsidRDefault="000E270F" w:rsidP="000E270F">
      <w:pPr>
        <w:pStyle w:val="EntradandiceAuto"/>
      </w:pPr>
      <w:r>
        <w:t>Pleno. Auto 182/2015, de 3 de noviembre de 2015. Mantiene la suspensión acordada en el recurso de inconstitucionalidad 3493-2015, interpuesto por el Presidente del Gobierno en relación con diversos preceptos de la Ley del Parlamento de Cataluña 3/2015, de 11 de marzo, de medidas fiscales, financieras y administrativas.</w:t>
      </w:r>
      <w:r>
        <w:tab/>
      </w:r>
      <w:r>
        <w:tab/>
      </w:r>
      <w:r>
        <w:fldChar w:fldCharType="begin"/>
      </w:r>
      <w:r>
        <w:instrText xml:space="preserve"> PAGEREF AUTO_2015_182 \h </w:instrText>
      </w:r>
      <w:r>
        <w:fldChar w:fldCharType="separate"/>
      </w:r>
      <w:r w:rsidR="002F5064">
        <w:rPr>
          <w:noProof/>
        </w:rPr>
        <w:t>2377</w:t>
      </w:r>
      <w:r>
        <w:fldChar w:fldCharType="end"/>
      </w:r>
    </w:p>
    <w:p w:rsidR="000E270F" w:rsidRDefault="000E270F" w:rsidP="000E270F"/>
    <w:p w:rsidR="000E270F" w:rsidRDefault="000E270F" w:rsidP="000E270F">
      <w:pPr>
        <w:pStyle w:val="EntradandiceAuto"/>
      </w:pPr>
      <w:r>
        <w:t>Pleno. Auto 183/2015, de 3 de noviembre de 2015. Inadmite a trámite la cuestión de inconstitucionalidad 3502-2015, planteada por la Sala de lo Social del Tribunal Superior de Justicia de Murcia en relación con los artículos 2 del Real Decreto-ley 20/2012, de 13 de julio, de medidas para garantizar la estabilidad presupuesta y de fomento de la competitividad y 2.1 de la Ley de la Asamblea Regional de Murcia 9/2012, de 8 de noviembre.</w:t>
      </w:r>
      <w:r>
        <w:tab/>
      </w:r>
      <w:r>
        <w:tab/>
      </w:r>
      <w:r>
        <w:fldChar w:fldCharType="begin"/>
      </w:r>
      <w:r>
        <w:instrText xml:space="preserve"> PAGEREF AUTO_2015_183 \h </w:instrText>
      </w:r>
      <w:r>
        <w:fldChar w:fldCharType="separate"/>
      </w:r>
      <w:r w:rsidR="002F5064">
        <w:rPr>
          <w:noProof/>
        </w:rPr>
        <w:t>2394</w:t>
      </w:r>
      <w:r>
        <w:fldChar w:fldCharType="end"/>
      </w:r>
    </w:p>
    <w:p w:rsidR="000E270F" w:rsidRDefault="000E270F" w:rsidP="000E270F"/>
    <w:p w:rsidR="000E270F" w:rsidRDefault="000E270F" w:rsidP="000E270F">
      <w:pPr>
        <w:pStyle w:val="EntradandiceAuto"/>
      </w:pPr>
      <w:r>
        <w:t>Pleno. Auto 184/2015, de 3 de noviembre de 2015. Inadmite a trámite la cuestión de inconstitucionalidad 3634-2015, planteada por la Sala de lo Contencioso-Administrativo del Tribunal Superior de Justicia de Canarias en relación con los apartados 1, 3 y 4 del artículo 15 de la Ley del Parlamento de Canarias 6/2009, de 6 de mayo, de medidas urgentes en materia de ordenación territorial para la dinamización sectorial y la ordenación del turismo.</w:t>
      </w:r>
      <w:r>
        <w:tab/>
      </w:r>
      <w:r>
        <w:tab/>
      </w:r>
      <w:r>
        <w:fldChar w:fldCharType="begin"/>
      </w:r>
      <w:r>
        <w:instrText xml:space="preserve"> PAGEREF AUTO_2015_184 \h </w:instrText>
      </w:r>
      <w:r>
        <w:fldChar w:fldCharType="separate"/>
      </w:r>
      <w:r w:rsidR="002F5064">
        <w:rPr>
          <w:noProof/>
        </w:rPr>
        <w:t>2402</w:t>
      </w:r>
      <w:r>
        <w:fldChar w:fldCharType="end"/>
      </w:r>
    </w:p>
    <w:p w:rsidR="000E270F" w:rsidRDefault="000E270F" w:rsidP="000E270F"/>
    <w:p w:rsidR="000E270F" w:rsidRDefault="000E270F" w:rsidP="000E270F">
      <w:pPr>
        <w:pStyle w:val="EntradandiceAuto"/>
      </w:pPr>
      <w:r>
        <w:t>Pleno. Auto 185/2015, de 3 de noviembre de 2015. Mantiene parcialmente la suspensión acordada en el conflicto positivo de competencia 3647-2015, planteado por el Gobierno de la Nación en relación con la disposición final cuarta del Decreto de la Generalitat de Cataluña 69 /2015, de 5 de mayo, por el que se modifica la demarcación de los registros de la propiedad, mercantiles y de bienes muebles de Cataluña.</w:t>
      </w:r>
      <w:r>
        <w:tab/>
      </w:r>
      <w:r>
        <w:tab/>
      </w:r>
      <w:r>
        <w:fldChar w:fldCharType="begin"/>
      </w:r>
      <w:r>
        <w:instrText xml:space="preserve"> PAGEREF AUTO_2015_185 \h </w:instrText>
      </w:r>
      <w:r>
        <w:fldChar w:fldCharType="separate"/>
      </w:r>
      <w:r w:rsidR="002F5064">
        <w:rPr>
          <w:noProof/>
        </w:rPr>
        <w:t>2418</w:t>
      </w:r>
      <w:r>
        <w:fldChar w:fldCharType="end"/>
      </w:r>
    </w:p>
    <w:p w:rsidR="000E270F" w:rsidRDefault="000E270F" w:rsidP="000E270F"/>
    <w:p w:rsidR="000E270F" w:rsidRDefault="000E270F" w:rsidP="000E270F">
      <w:pPr>
        <w:pStyle w:val="EntradandiceAuto"/>
      </w:pPr>
      <w:r>
        <w:t>Pleno. Auto 186/2015, de 3 de noviembre de 2015. Mantiene la suspensión acordada en el conflicto positivo de competencia 3808-2015, interpuesto por el Abogado del Estado en relación con el Decreto de la Generalitat de Cataluña 16/2015, de 24 de febrero, por el que se crea el Comisionado para la Transición Nacional.</w:t>
      </w:r>
      <w:r>
        <w:tab/>
      </w:r>
      <w:r>
        <w:tab/>
      </w:r>
      <w:r>
        <w:fldChar w:fldCharType="begin"/>
      </w:r>
      <w:r>
        <w:instrText xml:space="preserve"> PAGEREF AUTO_2015_186 \h </w:instrText>
      </w:r>
      <w:r>
        <w:fldChar w:fldCharType="separate"/>
      </w:r>
      <w:r w:rsidR="002F5064">
        <w:rPr>
          <w:noProof/>
        </w:rPr>
        <w:t>2428</w:t>
      </w:r>
      <w:r>
        <w:fldChar w:fldCharType="end"/>
      </w:r>
    </w:p>
    <w:p w:rsidR="000E270F" w:rsidRDefault="000E270F" w:rsidP="000E270F"/>
    <w:p w:rsidR="000E270F" w:rsidRDefault="000E270F" w:rsidP="000E270F">
      <w:pPr>
        <w:pStyle w:val="EntradandiceAuto"/>
      </w:pPr>
      <w:r>
        <w:t>Sección Primera. Auto 187/2015, de 4 de noviembre de 2015. Acuerda el desistimiento en el recurso de amparo 3177-2015, promovido en causa penal.</w:t>
      </w:r>
      <w:r>
        <w:tab/>
      </w:r>
      <w:r>
        <w:tab/>
      </w:r>
      <w:r>
        <w:fldChar w:fldCharType="begin"/>
      </w:r>
      <w:r>
        <w:instrText xml:space="preserve"> PAGEREF AUTO_2015_187 \h </w:instrText>
      </w:r>
      <w:r>
        <w:fldChar w:fldCharType="separate"/>
      </w:r>
      <w:r w:rsidR="002F5064">
        <w:rPr>
          <w:noProof/>
        </w:rPr>
        <w:t>2442</w:t>
      </w:r>
      <w:r>
        <w:fldChar w:fldCharType="end"/>
      </w:r>
    </w:p>
    <w:p w:rsidR="000E270F" w:rsidRDefault="000E270F" w:rsidP="000E270F"/>
    <w:p w:rsidR="000E270F" w:rsidRDefault="000E270F" w:rsidP="000E270F">
      <w:pPr>
        <w:pStyle w:val="EntradandiceAuto"/>
      </w:pPr>
      <w:r>
        <w:t>Pleno. Auto 188/2015, de 5 de noviembre de 2015. Inadmite a trámite la cuestión de inconstitucionalidad 3749-2015, planteada por el Juzgado de lo Contencioso-Administrativo núm. 1 de Barcelona en relación con los artículos 62 del texto articulado de la Ley de funcionarios civiles del Estado, aprobado por Decreto 315/1964, de 7 de febrero, y 78.3 de la Ley 7/2007, de 12 de abril, del estatuto básico del empleado público.</w:t>
      </w:r>
      <w:r>
        <w:tab/>
      </w:r>
      <w:r>
        <w:tab/>
      </w:r>
      <w:r>
        <w:fldChar w:fldCharType="begin"/>
      </w:r>
      <w:r>
        <w:instrText xml:space="preserve"> PAGEREF AUTO_2015_188 \h </w:instrText>
      </w:r>
      <w:r>
        <w:fldChar w:fldCharType="separate"/>
      </w:r>
      <w:r w:rsidR="002F5064">
        <w:rPr>
          <w:noProof/>
        </w:rPr>
        <w:t>2443</w:t>
      </w:r>
      <w:r>
        <w:fldChar w:fldCharType="end"/>
      </w:r>
    </w:p>
    <w:p w:rsidR="000E270F" w:rsidRDefault="000E270F" w:rsidP="000E270F"/>
    <w:p w:rsidR="000E270F" w:rsidRDefault="000E270F" w:rsidP="000E270F">
      <w:pPr>
        <w:pStyle w:val="EntradandiceAuto"/>
      </w:pPr>
      <w:r>
        <w:t>Pleno. Auto 189/2015, de 5 de noviembre de 2015. Deniega la suspensión en el recurso de amparo 6205-2015, promovido por los Diputados del Grupo Parlamentario de Ciudadanos en el Parlamento de Cataluña respecto de los acuerdos de la Mesa de la Cámara que admitieron a trámite la “propuesta de resolución sobre el inicio del proceso político en Cataluña como consecuencia de los resultados electorales”.</w:t>
      </w:r>
      <w:r>
        <w:tab/>
      </w:r>
      <w:r>
        <w:tab/>
      </w:r>
      <w:r>
        <w:fldChar w:fldCharType="begin"/>
      </w:r>
      <w:r>
        <w:instrText xml:space="preserve"> PAGEREF AUTO_2015_189 \h </w:instrText>
      </w:r>
      <w:r>
        <w:fldChar w:fldCharType="separate"/>
      </w:r>
      <w:r w:rsidR="002F5064">
        <w:rPr>
          <w:noProof/>
        </w:rPr>
        <w:t>2452</w:t>
      </w:r>
      <w:r>
        <w:fldChar w:fldCharType="end"/>
      </w:r>
    </w:p>
    <w:p w:rsidR="000E270F" w:rsidRDefault="000E270F" w:rsidP="000E270F"/>
    <w:p w:rsidR="000E270F" w:rsidRDefault="000E270F" w:rsidP="000E270F">
      <w:pPr>
        <w:pStyle w:val="EntradandiceAuto"/>
      </w:pPr>
      <w:r>
        <w:t>Pleno. Auto 190/2015, de 5 de noviembre de 2015. Deniega la suspensión en el recurso de amparo 6207-2015, promovido por los Diputados del Parlamento de Cataluña elegidos por las listas del Partido Popular respecto de los acuerdos de la Mesa de la Cámara que admitieron a trámite la “propuesta de resolución sobre el inicio del proceso político en Cataluña como consecuencia de los resultados electorales”.</w:t>
      </w:r>
      <w:r>
        <w:tab/>
      </w:r>
      <w:r>
        <w:tab/>
      </w:r>
      <w:r>
        <w:fldChar w:fldCharType="begin"/>
      </w:r>
      <w:r>
        <w:instrText xml:space="preserve"> PAGEREF AUTO_2015_190 \h </w:instrText>
      </w:r>
      <w:r>
        <w:fldChar w:fldCharType="separate"/>
      </w:r>
      <w:r w:rsidR="002F5064">
        <w:rPr>
          <w:noProof/>
        </w:rPr>
        <w:t>2457</w:t>
      </w:r>
      <w:r>
        <w:fldChar w:fldCharType="end"/>
      </w:r>
    </w:p>
    <w:p w:rsidR="000E270F" w:rsidRDefault="000E270F" w:rsidP="000E270F"/>
    <w:p w:rsidR="000E270F" w:rsidRDefault="000E270F" w:rsidP="000E270F">
      <w:pPr>
        <w:pStyle w:val="EntradandiceAuto"/>
      </w:pPr>
      <w:r>
        <w:t>Sección Tercera. Auto 191/2015, de 17 de noviembre de 2015. Acuerda el desistimiento en el recurso de amparo 6970-2014, promovido en proceso contencioso-administrativo.</w:t>
      </w:r>
      <w:r>
        <w:tab/>
      </w:r>
      <w:r>
        <w:tab/>
      </w:r>
      <w:r>
        <w:fldChar w:fldCharType="begin"/>
      </w:r>
      <w:r>
        <w:instrText xml:space="preserve"> PAGEREF AUTO_2015_191 \h </w:instrText>
      </w:r>
      <w:r>
        <w:fldChar w:fldCharType="separate"/>
      </w:r>
      <w:r w:rsidR="002F5064">
        <w:rPr>
          <w:noProof/>
        </w:rPr>
        <w:t>2461</w:t>
      </w:r>
      <w:r>
        <w:fldChar w:fldCharType="end"/>
      </w:r>
    </w:p>
    <w:p w:rsidR="000E270F" w:rsidRDefault="000E270F" w:rsidP="000E270F"/>
    <w:p w:rsidR="000E270F" w:rsidRDefault="000E270F" w:rsidP="000E270F">
      <w:pPr>
        <w:pStyle w:val="EntradandiceAuto"/>
      </w:pPr>
      <w:r>
        <w:t>Sección Tercera. Auto 192/2015, de 17 de noviembre de 2015. Acuerda el desistimiento en el recurso de amparo 1788-2015, promovido en litigio social.</w:t>
      </w:r>
      <w:r>
        <w:tab/>
      </w:r>
      <w:r>
        <w:tab/>
      </w:r>
      <w:r>
        <w:fldChar w:fldCharType="begin"/>
      </w:r>
      <w:r>
        <w:instrText xml:space="preserve"> PAGEREF AUTO_2015_192 \h </w:instrText>
      </w:r>
      <w:r>
        <w:fldChar w:fldCharType="separate"/>
      </w:r>
      <w:r w:rsidR="002F5064">
        <w:rPr>
          <w:noProof/>
        </w:rPr>
        <w:t>2462</w:t>
      </w:r>
      <w:r>
        <w:fldChar w:fldCharType="end"/>
      </w:r>
    </w:p>
    <w:p w:rsidR="000E270F" w:rsidRDefault="000E270F" w:rsidP="000E270F"/>
    <w:p w:rsidR="000E270F" w:rsidRDefault="000E270F" w:rsidP="000E270F">
      <w:pPr>
        <w:pStyle w:val="EntradandiceAuto"/>
      </w:pPr>
      <w:r>
        <w:t>Pleno. Auto 193/2015, de 18 de noviembre de 2015. Inadmite a trámite la cuestión de inconstitucionalidad 3668-2015, planteada por la Sala de lo Contencioso-Administrativo del tribunal Superior de Justicia de Canarias en relación con los apartados 1, 3 y 4 del artículo 15 de la Ley del Parlamento de Canarias 6/2009, de 6 de mayo, de medidas urgentes en materia de ordenación territorial para la dinamización sectorial y la ordenación del turismo.</w:t>
      </w:r>
      <w:r>
        <w:tab/>
      </w:r>
      <w:r>
        <w:tab/>
      </w:r>
      <w:r>
        <w:fldChar w:fldCharType="begin"/>
      </w:r>
      <w:r>
        <w:instrText xml:space="preserve"> PAGEREF AUTO_2015_193 \h </w:instrText>
      </w:r>
      <w:r>
        <w:fldChar w:fldCharType="separate"/>
      </w:r>
      <w:r w:rsidR="002F5064">
        <w:rPr>
          <w:noProof/>
        </w:rPr>
        <w:t>2464</w:t>
      </w:r>
      <w:r>
        <w:fldChar w:fldCharType="end"/>
      </w:r>
    </w:p>
    <w:p w:rsidR="000E270F" w:rsidRDefault="000E270F" w:rsidP="000E270F"/>
    <w:p w:rsidR="000E270F" w:rsidRDefault="000E270F" w:rsidP="000E270F">
      <w:pPr>
        <w:pStyle w:val="EntradandiceAuto"/>
      </w:pPr>
      <w:r>
        <w:t>Pleno. Auto 194/2015, de 18 de noviembre de 2015. Inadmite a trámite la cuestión de inconstitucionalidad 4242-2015, planteada por la Sala de lo Contencioso-Administrativo del Tribunal Superior de Justicia de Canarias en relación con los apartados 1, 3 y 4 del artículo 15 de la Ley del Parlamento de Canarias 6/2009, de 6 de mayo, de medidas urgentes en materia de ordenación territorial para la dinamización sectorial y la ordenación del turismo.</w:t>
      </w:r>
      <w:r>
        <w:tab/>
      </w:r>
      <w:r>
        <w:tab/>
      </w:r>
      <w:r>
        <w:fldChar w:fldCharType="begin"/>
      </w:r>
      <w:r>
        <w:instrText xml:space="preserve"> PAGEREF AUTO_2015_194 \h </w:instrText>
      </w:r>
      <w:r>
        <w:fldChar w:fldCharType="separate"/>
      </w:r>
      <w:r w:rsidR="002F5064">
        <w:rPr>
          <w:noProof/>
        </w:rPr>
        <w:t>2480</w:t>
      </w:r>
      <w:r>
        <w:fldChar w:fldCharType="end"/>
      </w:r>
    </w:p>
    <w:p w:rsidR="000E270F" w:rsidRDefault="000E270F" w:rsidP="000E270F"/>
    <w:p w:rsidR="000E270F" w:rsidRDefault="000E270F" w:rsidP="000E270F">
      <w:pPr>
        <w:pStyle w:val="EntradandiceAuto"/>
      </w:pPr>
      <w:r>
        <w:t>Pleno. Auto 195/2015, de 18 de noviembre de 2015. Inadmite a trámite la cuestión de inconstitucionalidad 4243-2015, planteada por el Juzgado de Primera Instancia e Instrucción número 2 de Zamora, en relación con diversos preceptos de la Ley 10/2012, de 20 de noviembre, por la que se regulan determinadas tasas en el ámbito de la Administración de Justicia y del Instituto Nacional de Toxicología y Ciencias Forenses, en la redacción dada por el Real Decreto-ley 3/2013, de 22 de febrero.</w:t>
      </w:r>
      <w:r>
        <w:tab/>
      </w:r>
      <w:r>
        <w:tab/>
      </w:r>
      <w:r>
        <w:fldChar w:fldCharType="begin"/>
      </w:r>
      <w:r>
        <w:instrText xml:space="preserve"> PAGEREF AUTO_2015_195 \h </w:instrText>
      </w:r>
      <w:r>
        <w:fldChar w:fldCharType="separate"/>
      </w:r>
      <w:r w:rsidR="002F5064">
        <w:rPr>
          <w:noProof/>
        </w:rPr>
        <w:t>2496</w:t>
      </w:r>
      <w:r>
        <w:fldChar w:fldCharType="end"/>
      </w:r>
    </w:p>
    <w:p w:rsidR="000E270F" w:rsidRDefault="000E270F" w:rsidP="000E270F"/>
    <w:p w:rsidR="000E270F" w:rsidRDefault="000E270F" w:rsidP="000E270F">
      <w:pPr>
        <w:pStyle w:val="EntradandiceAuto"/>
      </w:pPr>
      <w:r>
        <w:t>Pleno. Auto 196/2015, de 18 de noviembre de 2015. Levanta la suspensión en el recurso de inconstitucionalidad 4567-2015, interpuesto por el Presidente del Gobierno en relación con el capítulo I de la Ley del Parlamento de Cataluña 15/2014, de 4 de diciembre, del impuesto sobre la provisión de contenidos por parte de los prestadores de servicios de comunicaciones electrónicas y de fomento del sector y de la difusión de la cultura digital.</w:t>
      </w:r>
      <w:r>
        <w:tab/>
      </w:r>
      <w:r>
        <w:tab/>
      </w:r>
      <w:r>
        <w:fldChar w:fldCharType="begin"/>
      </w:r>
      <w:r>
        <w:instrText xml:space="preserve"> PAGEREF AUTO_2015_196 \h </w:instrText>
      </w:r>
      <w:r>
        <w:fldChar w:fldCharType="separate"/>
      </w:r>
      <w:r w:rsidR="002F5064">
        <w:rPr>
          <w:noProof/>
        </w:rPr>
        <w:t>2504</w:t>
      </w:r>
      <w:r>
        <w:fldChar w:fldCharType="end"/>
      </w:r>
    </w:p>
    <w:p w:rsidR="000E270F" w:rsidRDefault="000E270F" w:rsidP="000E270F"/>
    <w:p w:rsidR="000E270F" w:rsidRDefault="000E270F" w:rsidP="000E270F">
      <w:pPr>
        <w:pStyle w:val="EntradandiceAuto"/>
      </w:pPr>
      <w:r>
        <w:t>Sala Segunda. Auto 197/2015, de 30 de noviembre de 2015. Inadmite el incidente de ejecución de la STC 138/2014, de 8 de septiembre, dictada en el recurso de amparo 5167-2013, promovido por don P.R.R. en pleito civil.</w:t>
      </w:r>
      <w:r>
        <w:tab/>
      </w:r>
      <w:r>
        <w:tab/>
      </w:r>
      <w:r>
        <w:fldChar w:fldCharType="begin"/>
      </w:r>
      <w:r>
        <w:instrText xml:space="preserve"> PAGEREF AUTO_2015_197 \h </w:instrText>
      </w:r>
      <w:r>
        <w:fldChar w:fldCharType="separate"/>
      </w:r>
      <w:r w:rsidR="002F5064">
        <w:rPr>
          <w:noProof/>
        </w:rPr>
        <w:t>2512</w:t>
      </w:r>
      <w:r>
        <w:fldChar w:fldCharType="end"/>
      </w:r>
    </w:p>
    <w:p w:rsidR="000E270F" w:rsidRDefault="000E270F" w:rsidP="000E270F"/>
    <w:p w:rsidR="000E270F" w:rsidRDefault="000E270F" w:rsidP="000E270F">
      <w:pPr>
        <w:pStyle w:val="EntradandiceAuto"/>
      </w:pPr>
      <w:r>
        <w:t>Sala Primera. Auto 198/2015, de 30 de noviembre de 2015. Rectifica el error material en cuanto al número de autos 1153-2013 solicitado en el recurso de amparo 6312-2014, promovido por doña R. C. M. Segura en pleito civil.</w:t>
      </w:r>
      <w:r>
        <w:tab/>
      </w:r>
      <w:r>
        <w:tab/>
      </w:r>
      <w:r>
        <w:fldChar w:fldCharType="begin"/>
      </w:r>
      <w:r>
        <w:instrText xml:space="preserve"> PAGEREF AUTO_2015_198 \h </w:instrText>
      </w:r>
      <w:r>
        <w:fldChar w:fldCharType="separate"/>
      </w:r>
      <w:r w:rsidR="002F5064">
        <w:rPr>
          <w:noProof/>
        </w:rPr>
        <w:t>2515</w:t>
      </w:r>
      <w:r>
        <w:fldChar w:fldCharType="end"/>
      </w:r>
    </w:p>
    <w:p w:rsidR="000E270F" w:rsidRDefault="000E270F" w:rsidP="000E270F"/>
    <w:p w:rsidR="000E270F" w:rsidRDefault="000E270F" w:rsidP="000E270F">
      <w:pPr>
        <w:pStyle w:val="EntradandiceAuto"/>
      </w:pPr>
      <w:r>
        <w:t>Sección Segunda. Auto 199/2015, de 30 de noviembre de 2015. Acuerda el desistimiento en el recurso de amparo 2059-2015, promovido en causa penal.</w:t>
      </w:r>
      <w:r>
        <w:tab/>
      </w:r>
      <w:r>
        <w:tab/>
      </w:r>
      <w:r>
        <w:fldChar w:fldCharType="begin"/>
      </w:r>
      <w:r>
        <w:instrText xml:space="preserve"> PAGEREF AUTO_2015_199 \h </w:instrText>
      </w:r>
      <w:r>
        <w:fldChar w:fldCharType="separate"/>
      </w:r>
      <w:r w:rsidR="002F5064">
        <w:rPr>
          <w:noProof/>
        </w:rPr>
        <w:t>2517</w:t>
      </w:r>
      <w:r>
        <w:fldChar w:fldCharType="end"/>
      </w:r>
    </w:p>
    <w:p w:rsidR="000E270F" w:rsidRDefault="000E270F" w:rsidP="000E270F"/>
    <w:p w:rsidR="000E270F" w:rsidRDefault="000E270F" w:rsidP="000E270F">
      <w:pPr>
        <w:pStyle w:val="EntradandiceAuto"/>
      </w:pPr>
      <w:r>
        <w:t>Sección Segunda. Auto 200/2015, de 30 de noviembre de 2015. Acuerda el desistimiento en el recurso de amparo 4246-2015, promovido en proceso contencioso-administrativo.</w:t>
      </w:r>
      <w:r>
        <w:tab/>
      </w:r>
      <w:r>
        <w:tab/>
      </w:r>
      <w:r>
        <w:fldChar w:fldCharType="begin"/>
      </w:r>
      <w:r>
        <w:instrText xml:space="preserve"> PAGEREF AUTO_2015_200 \h </w:instrText>
      </w:r>
      <w:r>
        <w:fldChar w:fldCharType="separate"/>
      </w:r>
      <w:r w:rsidR="002F5064">
        <w:rPr>
          <w:noProof/>
        </w:rPr>
        <w:t>2518</w:t>
      </w:r>
      <w:r>
        <w:fldChar w:fldCharType="end"/>
      </w:r>
    </w:p>
    <w:p w:rsidR="000E270F" w:rsidRDefault="000E270F" w:rsidP="000E270F"/>
    <w:p w:rsidR="000E270F" w:rsidRDefault="000E270F" w:rsidP="000E270F">
      <w:pPr>
        <w:pStyle w:val="EntradandiceAuto"/>
      </w:pPr>
      <w:r>
        <w:t>Pleno. Auto 201/2015, de 1 de diciembre de 2015. Inadmite a trámite la cuestión de inconstitucionalidad 7765-2014, planteada por la Sala de lo Contencioso-Administrativo del Tribunal Superior de Justicia de Castilla-La Mancha en relación con los artículos 22 de la Ley 8/2007, de 28 de mayo, de suelo, y 23 del Real Decreto Legislativo 2/2008, de 20 de junio, texto refundido de la Ley de suelo.</w:t>
      </w:r>
      <w:r>
        <w:tab/>
      </w:r>
      <w:r>
        <w:tab/>
      </w:r>
      <w:r>
        <w:fldChar w:fldCharType="begin"/>
      </w:r>
      <w:r>
        <w:instrText xml:space="preserve"> PAGEREF AUTO_2015_201 \h </w:instrText>
      </w:r>
      <w:r>
        <w:fldChar w:fldCharType="separate"/>
      </w:r>
      <w:r w:rsidR="002F5064">
        <w:rPr>
          <w:noProof/>
        </w:rPr>
        <w:t>2519</w:t>
      </w:r>
      <w:r>
        <w:fldChar w:fldCharType="end"/>
      </w:r>
    </w:p>
    <w:p w:rsidR="000E270F" w:rsidRDefault="000E270F" w:rsidP="000E270F"/>
    <w:p w:rsidR="000E270F" w:rsidRDefault="000E270F" w:rsidP="000E270F">
      <w:pPr>
        <w:pStyle w:val="EntradandiceAuto"/>
      </w:pPr>
      <w:r>
        <w:t>Pleno. Auto 202/2015, de 1 de diciembre de 2015. Levanta la suspensión en el recurso de inconstitucionalidad 4292-2015, interpuesto por el Presidente del Gobierno en relación con diversos preceptos de la Ley del Parlamento de Cataluña 12/2014, de 10 de octubre, del impuesto sobre la emisión de óxidos de nitrógeno a la atmósfera producida por la aviación comercial, del impuesto sobre la emisión de gases y partículas a la atmósfera producida por la industria y del impuesto sobre la producción de energía eléctrica de origen nuclear.</w:t>
      </w:r>
      <w:r>
        <w:tab/>
      </w:r>
      <w:r>
        <w:tab/>
      </w:r>
      <w:r>
        <w:fldChar w:fldCharType="begin"/>
      </w:r>
      <w:r>
        <w:instrText xml:space="preserve"> PAGEREF AUTO_2015_202 \h </w:instrText>
      </w:r>
      <w:r>
        <w:fldChar w:fldCharType="separate"/>
      </w:r>
      <w:r w:rsidR="002F5064">
        <w:rPr>
          <w:noProof/>
        </w:rPr>
        <w:t>2527</w:t>
      </w:r>
      <w:r>
        <w:fldChar w:fldCharType="end"/>
      </w:r>
    </w:p>
    <w:p w:rsidR="000E270F" w:rsidRDefault="000E270F" w:rsidP="000E270F"/>
    <w:p w:rsidR="000E270F" w:rsidRDefault="000E270F" w:rsidP="000E270F">
      <w:pPr>
        <w:pStyle w:val="EntradandiceAuto"/>
      </w:pPr>
      <w:r>
        <w:t>Sección Primera. Auto 203/2015, de 2 de diciembre de 2015. Acuerda el desistimiento en el recurso de amparo 631-2015, promovido en pleito civil.</w:t>
      </w:r>
      <w:r>
        <w:tab/>
      </w:r>
      <w:r>
        <w:tab/>
      </w:r>
      <w:r>
        <w:fldChar w:fldCharType="begin"/>
      </w:r>
      <w:r>
        <w:instrText xml:space="preserve"> PAGEREF AUTO_2015_203 \h </w:instrText>
      </w:r>
      <w:r>
        <w:fldChar w:fldCharType="separate"/>
      </w:r>
      <w:r w:rsidR="002F5064">
        <w:rPr>
          <w:noProof/>
        </w:rPr>
        <w:t>2535</w:t>
      </w:r>
      <w:r>
        <w:fldChar w:fldCharType="end"/>
      </w:r>
    </w:p>
    <w:p w:rsidR="000E270F" w:rsidRDefault="000E270F" w:rsidP="000E270F"/>
    <w:p w:rsidR="000E270F" w:rsidRDefault="000E270F" w:rsidP="000E270F">
      <w:pPr>
        <w:pStyle w:val="EntradandiceAuto"/>
      </w:pPr>
      <w:r>
        <w:t>Sección Primera. Auto 204/2015, de 2 de diciembre de 2015. Acuerda el desistimiento en el recurso de amparo 3008-2015, promovido en causa penal.</w:t>
      </w:r>
      <w:r>
        <w:tab/>
      </w:r>
      <w:r>
        <w:tab/>
      </w:r>
      <w:r>
        <w:fldChar w:fldCharType="begin"/>
      </w:r>
      <w:r>
        <w:instrText xml:space="preserve"> PAGEREF AUTO_2015_204 \h </w:instrText>
      </w:r>
      <w:r>
        <w:fldChar w:fldCharType="separate"/>
      </w:r>
      <w:r w:rsidR="002F5064">
        <w:rPr>
          <w:noProof/>
        </w:rPr>
        <w:t>2536</w:t>
      </w:r>
      <w:r>
        <w:fldChar w:fldCharType="end"/>
      </w:r>
    </w:p>
    <w:p w:rsidR="000E270F" w:rsidRDefault="000E270F" w:rsidP="000E270F"/>
    <w:p w:rsidR="000E270F" w:rsidRDefault="000E270F" w:rsidP="000E270F">
      <w:pPr>
        <w:pStyle w:val="EntradandiceAuto"/>
      </w:pPr>
      <w:r>
        <w:t>Sección Segunda. Auto 205/2015, de 4 de diciembre de 2015. Desestima el recurso de súplica del Ministerio Fiscal sobre inadmisión del recurso de amparo 2677-2015, promovido por don José Antonio Otero Arias en pleito civil.</w:t>
      </w:r>
      <w:r>
        <w:tab/>
      </w:r>
      <w:r>
        <w:tab/>
      </w:r>
      <w:r>
        <w:fldChar w:fldCharType="begin"/>
      </w:r>
      <w:r>
        <w:instrText xml:space="preserve"> PAGEREF AUTO_2015_205 \h </w:instrText>
      </w:r>
      <w:r>
        <w:fldChar w:fldCharType="separate"/>
      </w:r>
      <w:r w:rsidR="002F5064">
        <w:rPr>
          <w:noProof/>
        </w:rPr>
        <w:t>2537</w:t>
      </w:r>
      <w:r>
        <w:fldChar w:fldCharType="end"/>
      </w:r>
    </w:p>
    <w:p w:rsidR="000E270F" w:rsidRDefault="000E270F" w:rsidP="000E270F"/>
    <w:p w:rsidR="000E270F" w:rsidRDefault="000E270F" w:rsidP="000E270F">
      <w:pPr>
        <w:pStyle w:val="EntradandiceAuto"/>
      </w:pPr>
      <w:r>
        <w:t>Sección Primera. Auto 206/2015, de 9 de diciembre de 2015. Acuerda el desistimiento en el recurso de amparo 5194-2015, promovido causa penal.</w:t>
      </w:r>
      <w:r>
        <w:tab/>
      </w:r>
      <w:r>
        <w:tab/>
      </w:r>
      <w:r>
        <w:fldChar w:fldCharType="begin"/>
      </w:r>
      <w:r>
        <w:instrText xml:space="preserve"> PAGEREF AUTO_2015_206 \h </w:instrText>
      </w:r>
      <w:r>
        <w:fldChar w:fldCharType="separate"/>
      </w:r>
      <w:r w:rsidR="002F5064">
        <w:rPr>
          <w:noProof/>
        </w:rPr>
        <w:t>2541</w:t>
      </w:r>
      <w:r>
        <w:fldChar w:fldCharType="end"/>
      </w:r>
    </w:p>
    <w:p w:rsidR="000E270F" w:rsidRDefault="000E270F" w:rsidP="000E270F"/>
    <w:p w:rsidR="000E270F" w:rsidRDefault="000E270F" w:rsidP="000E270F">
      <w:pPr>
        <w:pStyle w:val="EntradandiceAuto"/>
      </w:pPr>
      <w:r>
        <w:t>Sala Primera. Auto 207/2015, de 14 de diciembre de 2015. Deniega la suspensión en el recurso de amparo 114-2015, promovido por el Ayuntamiento de Toledo en proceso contencioso-administrativo.</w:t>
      </w:r>
      <w:r>
        <w:tab/>
      </w:r>
      <w:r>
        <w:tab/>
      </w:r>
      <w:r>
        <w:fldChar w:fldCharType="begin"/>
      </w:r>
      <w:r>
        <w:instrText xml:space="preserve"> PAGEREF AUTO_2015_207 \h </w:instrText>
      </w:r>
      <w:r>
        <w:fldChar w:fldCharType="separate"/>
      </w:r>
      <w:r w:rsidR="002F5064">
        <w:rPr>
          <w:noProof/>
        </w:rPr>
        <w:t>2542</w:t>
      </w:r>
      <w:r>
        <w:fldChar w:fldCharType="end"/>
      </w:r>
    </w:p>
    <w:p w:rsidR="000E270F" w:rsidRDefault="000E270F" w:rsidP="000E270F"/>
    <w:p w:rsidR="000E270F" w:rsidRDefault="000E270F" w:rsidP="000E270F">
      <w:pPr>
        <w:pStyle w:val="EntradandiceAuto"/>
      </w:pPr>
      <w:r>
        <w:t>Sala Segunda. Auto 208/2015, de 14 de diciembre de 2015. Deniega la suspensión en el recurso de amparo 115-2015, promovido por el Ayuntamiento de Toledo en proceso contencioso-administrativo.</w:t>
      </w:r>
      <w:r>
        <w:tab/>
      </w:r>
      <w:r>
        <w:tab/>
      </w:r>
      <w:r>
        <w:fldChar w:fldCharType="begin"/>
      </w:r>
      <w:r>
        <w:instrText xml:space="preserve"> PAGEREF AUTO_2015_208 \h </w:instrText>
      </w:r>
      <w:r>
        <w:fldChar w:fldCharType="separate"/>
      </w:r>
      <w:r w:rsidR="002F5064">
        <w:rPr>
          <w:noProof/>
        </w:rPr>
        <w:t>2553</w:t>
      </w:r>
      <w:r>
        <w:fldChar w:fldCharType="end"/>
      </w:r>
    </w:p>
    <w:p w:rsidR="000E270F" w:rsidRDefault="000E270F" w:rsidP="000E270F"/>
    <w:p w:rsidR="000E270F" w:rsidRDefault="000E270F" w:rsidP="000E270F">
      <w:pPr>
        <w:pStyle w:val="EntradandiceAuto"/>
      </w:pPr>
      <w:r>
        <w:t>Sala Segunda. Auto 209/2015, de 14 de diciembre de 2015. Deniega la suspensión en el recurso de amparo 145-2015, promovido por el Ayuntamiento de Toledo en proceso contencioso-administrativo.</w:t>
      </w:r>
      <w:r>
        <w:tab/>
      </w:r>
      <w:r>
        <w:tab/>
      </w:r>
      <w:r>
        <w:fldChar w:fldCharType="begin"/>
      </w:r>
      <w:r>
        <w:instrText xml:space="preserve"> PAGEREF AUTO_2015_209 \h </w:instrText>
      </w:r>
      <w:r>
        <w:fldChar w:fldCharType="separate"/>
      </w:r>
      <w:r w:rsidR="002F5064">
        <w:rPr>
          <w:noProof/>
        </w:rPr>
        <w:t>2564</w:t>
      </w:r>
      <w:r>
        <w:fldChar w:fldCharType="end"/>
      </w:r>
    </w:p>
    <w:p w:rsidR="000E270F" w:rsidRDefault="000E270F" w:rsidP="000E270F"/>
    <w:p w:rsidR="000E270F" w:rsidRDefault="000E270F" w:rsidP="000E270F">
      <w:pPr>
        <w:pStyle w:val="EntradandiceAuto"/>
      </w:pPr>
      <w:r>
        <w:t>Sala Primera. Auto 210/2015, de 14 de diciembre de 2015. Deniega la suspensión en el recurso de amparo 146-2015, promovido por el Ayuntamiento de Toledo en proceso contencioso-administrativo.</w:t>
      </w:r>
      <w:r>
        <w:tab/>
      </w:r>
      <w:r>
        <w:tab/>
      </w:r>
      <w:r>
        <w:fldChar w:fldCharType="begin"/>
      </w:r>
      <w:r>
        <w:instrText xml:space="preserve"> PAGEREF AUTO_2015_210 \h </w:instrText>
      </w:r>
      <w:r>
        <w:fldChar w:fldCharType="separate"/>
      </w:r>
      <w:r w:rsidR="002F5064">
        <w:rPr>
          <w:noProof/>
        </w:rPr>
        <w:t>2573</w:t>
      </w:r>
      <w:r>
        <w:fldChar w:fldCharType="end"/>
      </w:r>
    </w:p>
    <w:p w:rsidR="000E270F" w:rsidRDefault="000E270F" w:rsidP="000E270F"/>
    <w:p w:rsidR="000E270F" w:rsidRDefault="000E270F" w:rsidP="000E270F">
      <w:pPr>
        <w:pStyle w:val="EntradandiceAuto"/>
      </w:pPr>
      <w:r>
        <w:t>Sala Primera. Auto 211/2015, de 14 de diciembre de 2015. Acuerda la extinción, por desaparición sobrevenida de objeto, de la cuestión de inconstitucionalidad 504-2015, planteada por la Sala de lo Contencioso-Administrativo del Tribunal Superior de Justicia de Cantabria en relación con el artículo 65 bis.1 de la Ley 2/2001, de 25 de junio, de ordenación territorial y del régimen urbanístico del suelo de Cantabria.</w:t>
      </w:r>
      <w:r>
        <w:tab/>
      </w:r>
      <w:r>
        <w:tab/>
      </w:r>
      <w:r>
        <w:fldChar w:fldCharType="begin"/>
      </w:r>
      <w:r>
        <w:instrText xml:space="preserve"> PAGEREF AUTO_2015_211 \h </w:instrText>
      </w:r>
      <w:r>
        <w:fldChar w:fldCharType="separate"/>
      </w:r>
      <w:r w:rsidR="002F5064">
        <w:rPr>
          <w:noProof/>
        </w:rPr>
        <w:t>2584</w:t>
      </w:r>
      <w:r>
        <w:fldChar w:fldCharType="end"/>
      </w:r>
    </w:p>
    <w:p w:rsidR="000E270F" w:rsidRDefault="000E270F" w:rsidP="000E270F"/>
    <w:p w:rsidR="000E270F" w:rsidRDefault="000E270F" w:rsidP="000E270F">
      <w:pPr>
        <w:pStyle w:val="EntradandiceAuto"/>
      </w:pPr>
      <w:r>
        <w:t>Sala Segunda. Auto 212/2015, de 14 de diciembre de 2015. Deniega la suspensión en el recurso de amparo 582-2015, promovido por el Ayuntamiento de Toledo en proceso contencioso-administrativo.</w:t>
      </w:r>
      <w:r>
        <w:tab/>
      </w:r>
      <w:r>
        <w:tab/>
      </w:r>
      <w:r>
        <w:fldChar w:fldCharType="begin"/>
      </w:r>
      <w:r>
        <w:instrText xml:space="preserve"> PAGEREF AUTO_2015_212 \h </w:instrText>
      </w:r>
      <w:r>
        <w:fldChar w:fldCharType="separate"/>
      </w:r>
      <w:r w:rsidR="002F5064">
        <w:rPr>
          <w:noProof/>
        </w:rPr>
        <w:t>2592</w:t>
      </w:r>
      <w:r>
        <w:fldChar w:fldCharType="end"/>
      </w:r>
    </w:p>
    <w:p w:rsidR="000E270F" w:rsidRDefault="000E270F" w:rsidP="000E270F"/>
    <w:p w:rsidR="000E270F" w:rsidRDefault="000E270F" w:rsidP="000E270F">
      <w:pPr>
        <w:pStyle w:val="EntradandiceAuto"/>
      </w:pPr>
      <w:r>
        <w:t>Sala Primera. Auto 213/2015, de 14 de diciembre de 2015. Deniega la suspensión en el recurso de amparo 583-2015, promovido por el Ayuntamiento de Toledo en proceso contencioso-administrativo.</w:t>
      </w:r>
      <w:r>
        <w:tab/>
      </w:r>
      <w:r>
        <w:tab/>
      </w:r>
      <w:r>
        <w:fldChar w:fldCharType="begin"/>
      </w:r>
      <w:r>
        <w:instrText xml:space="preserve"> PAGEREF AUTO_2015_213 \h </w:instrText>
      </w:r>
      <w:r>
        <w:fldChar w:fldCharType="separate"/>
      </w:r>
      <w:r w:rsidR="002F5064">
        <w:rPr>
          <w:noProof/>
        </w:rPr>
        <w:t>2602</w:t>
      </w:r>
      <w:r>
        <w:fldChar w:fldCharType="end"/>
      </w:r>
    </w:p>
    <w:p w:rsidR="000E270F" w:rsidRDefault="000E270F" w:rsidP="000E270F"/>
    <w:p w:rsidR="000E270F" w:rsidRDefault="000E270F" w:rsidP="000E270F">
      <w:pPr>
        <w:pStyle w:val="EntradandiceAuto"/>
      </w:pPr>
      <w:r>
        <w:t>Sala Segunda. Auto 214/2015, de 14 de diciembre de 2015. Acuerda la extinción, por desaparición sobrevenida de objeto, de la cuestión de inconstitucionalidad 1044-2015, planteada por la Sala de lo Contencioso-Administrativo del Tribunal Superior de Justicia de Cantabria en relación con el artículo 65 bis.1 de la Ley 2/2001, de 25 de junio, de ordenación territorial y del régimen urbanístico del suelo de Cantabria.</w:t>
      </w:r>
      <w:r>
        <w:tab/>
      </w:r>
      <w:r>
        <w:tab/>
      </w:r>
      <w:r>
        <w:fldChar w:fldCharType="begin"/>
      </w:r>
      <w:r>
        <w:instrText xml:space="preserve"> PAGEREF AUTO_2015_214 \h </w:instrText>
      </w:r>
      <w:r>
        <w:fldChar w:fldCharType="separate"/>
      </w:r>
      <w:r w:rsidR="002F5064">
        <w:rPr>
          <w:noProof/>
        </w:rPr>
        <w:t>2613</w:t>
      </w:r>
      <w:r>
        <w:fldChar w:fldCharType="end"/>
      </w:r>
    </w:p>
    <w:p w:rsidR="000E270F" w:rsidRDefault="000E270F" w:rsidP="000E270F"/>
    <w:p w:rsidR="000E270F" w:rsidRDefault="000E270F" w:rsidP="000E270F">
      <w:pPr>
        <w:pStyle w:val="EntradandiceAuto"/>
      </w:pPr>
      <w:r>
        <w:t>Sala Primera. Auto 215/2015, de 14 de diciembre de 2015. Acuerda la extinción, por desaparición sobrevenida de objeto, de la cuestión de inconstitucionalidad 2209-2015, planteada por el Juzgado de lo Contencioso-Administrativo núm. 1 de Santander en relación con el artículo 65 bis.1 de la Ley 2/2001, de 25 de junio, de ordenación territorial y del régimen urbanístico del suelo de Cantabria.</w:t>
      </w:r>
      <w:r>
        <w:tab/>
      </w:r>
      <w:r>
        <w:tab/>
      </w:r>
      <w:r>
        <w:fldChar w:fldCharType="begin"/>
      </w:r>
      <w:r>
        <w:instrText xml:space="preserve"> PAGEREF AUTO_2015_215 \h </w:instrText>
      </w:r>
      <w:r>
        <w:fldChar w:fldCharType="separate"/>
      </w:r>
      <w:r w:rsidR="002F5064">
        <w:rPr>
          <w:noProof/>
        </w:rPr>
        <w:t>2621</w:t>
      </w:r>
      <w:r>
        <w:fldChar w:fldCharType="end"/>
      </w:r>
    </w:p>
    <w:p w:rsidR="000E270F" w:rsidRDefault="000E270F" w:rsidP="000E270F"/>
    <w:p w:rsidR="000E270F" w:rsidRDefault="000E270F" w:rsidP="000E270F">
      <w:pPr>
        <w:pStyle w:val="EntradandiceAuto"/>
      </w:pPr>
      <w:r>
        <w:t>Sala Primera. Auto 216/2015, de 14 de diciembre de 2015. Acuerda la extinción, por desaparición sobrevenida de objeto, de la cuestión de inconstitucionalidad 3214-2015, planteada por el Juzgado de lo Contencioso-Administrativo núm. 3 de Santander en relación con el artículo 65 bis.1 de la Ley 2/2001, de 25 de junio, de ordenación territorial y del régimen urbanístico del suelo de Cantabria.</w:t>
      </w:r>
      <w:r>
        <w:tab/>
      </w:r>
      <w:r>
        <w:tab/>
      </w:r>
      <w:r>
        <w:fldChar w:fldCharType="begin"/>
      </w:r>
      <w:r>
        <w:instrText xml:space="preserve"> PAGEREF AUTO_2015_216 \h </w:instrText>
      </w:r>
      <w:r>
        <w:fldChar w:fldCharType="separate"/>
      </w:r>
      <w:r w:rsidR="002F5064">
        <w:rPr>
          <w:noProof/>
        </w:rPr>
        <w:t>2630</w:t>
      </w:r>
      <w:r>
        <w:fldChar w:fldCharType="end"/>
      </w:r>
    </w:p>
    <w:p w:rsidR="000E270F" w:rsidRDefault="000E270F" w:rsidP="000E270F"/>
    <w:p w:rsidR="000E270F" w:rsidRDefault="000E270F" w:rsidP="000E270F">
      <w:pPr>
        <w:pStyle w:val="EntradandiceAuto"/>
      </w:pPr>
      <w:r>
        <w:t>Sala Primera. Auto 217/2015, de 14 de diciembre de 2015. Acuerda la extinción, por desaparición sobrevenida de objeto, de la cuestión de inconstitucionalidad 4651-2015, planteada por el Juzgado de lo Contencioso-Administrativo núm. 1 de Santander en relación con el artículo 65 bis.1 de la Ley 2/2001, de 25 de junio, de ordenación territorial y del régimen urbanístico del suelo de Cantabria.</w:t>
      </w:r>
      <w:r>
        <w:tab/>
      </w:r>
      <w:r>
        <w:tab/>
      </w:r>
      <w:r>
        <w:fldChar w:fldCharType="begin"/>
      </w:r>
      <w:r>
        <w:instrText xml:space="preserve"> PAGEREF AUTO_2015_217 \h </w:instrText>
      </w:r>
      <w:r>
        <w:fldChar w:fldCharType="separate"/>
      </w:r>
      <w:r w:rsidR="002F5064">
        <w:rPr>
          <w:noProof/>
        </w:rPr>
        <w:t>2639</w:t>
      </w:r>
      <w:r>
        <w:fldChar w:fldCharType="end"/>
      </w:r>
    </w:p>
    <w:p w:rsidR="000E270F" w:rsidRDefault="000E270F" w:rsidP="000E270F"/>
    <w:p w:rsidR="000E270F" w:rsidRDefault="000E270F" w:rsidP="000E270F">
      <w:pPr>
        <w:pStyle w:val="EntradandiceAuto"/>
      </w:pPr>
      <w:r>
        <w:t>Sala Primera. Auto 218/2015, de 14 de diciembre de 2015. Acuerda la extinción, por desaparición sobrevenida de objeto, de la cuestión de inconstitucionalidad 4696-2015, planteada por la Sala de lo Contencioso-Administrativo del Tribunal Superior de Justicia de Cantabria en relación con el artículo 65 bis.1 de la Ley 2/2001, de 25 de junio, de ordenación territorial y del régimen urbanístico del suelo de Cantabria.</w:t>
      </w:r>
      <w:r>
        <w:tab/>
      </w:r>
      <w:r>
        <w:tab/>
      </w:r>
      <w:r>
        <w:fldChar w:fldCharType="begin"/>
      </w:r>
      <w:r>
        <w:instrText xml:space="preserve"> PAGEREF AUTO_2015_218 \h </w:instrText>
      </w:r>
      <w:r>
        <w:fldChar w:fldCharType="separate"/>
      </w:r>
      <w:r w:rsidR="002F5064">
        <w:rPr>
          <w:noProof/>
        </w:rPr>
        <w:t>2648</w:t>
      </w:r>
      <w:r>
        <w:fldChar w:fldCharType="end"/>
      </w:r>
    </w:p>
    <w:p w:rsidR="000E270F" w:rsidRDefault="000E270F" w:rsidP="000E270F"/>
    <w:p w:rsidR="000E270F" w:rsidRDefault="000E270F" w:rsidP="000E270F">
      <w:pPr>
        <w:pStyle w:val="EntradandiceAuto"/>
      </w:pPr>
      <w:r>
        <w:t>Sala Primera. Auto 219/2015, de 14 de diciembre de 2015. Acuerda la extinción, por desaparición sobrevenida de objeto, de la cuestión de inconstitucionalidad 4697-2015, planteada por la Sala de lo Contencioso-Administrativo del Tribunal Superior de Justicia de Cantabria en relación con el artículo 65 bis.1 de la Ley 2/2001, de 25 de junio, de ordenación territorial y del régimen urbanístico del suelo de Cantabria.</w:t>
      </w:r>
      <w:r>
        <w:tab/>
      </w:r>
      <w:r>
        <w:tab/>
      </w:r>
      <w:r>
        <w:fldChar w:fldCharType="begin"/>
      </w:r>
      <w:r>
        <w:instrText xml:space="preserve"> PAGEREF AUTO_2015_219 \h </w:instrText>
      </w:r>
      <w:r>
        <w:fldChar w:fldCharType="separate"/>
      </w:r>
      <w:r w:rsidR="002F5064">
        <w:rPr>
          <w:noProof/>
        </w:rPr>
        <w:t>2656</w:t>
      </w:r>
      <w:r>
        <w:fldChar w:fldCharType="end"/>
      </w:r>
    </w:p>
    <w:p w:rsidR="000E270F" w:rsidRDefault="000E270F" w:rsidP="000E270F"/>
    <w:p w:rsidR="000E270F" w:rsidRDefault="000E270F" w:rsidP="000E270F">
      <w:pPr>
        <w:pStyle w:val="EntradandiceAuto"/>
      </w:pPr>
      <w:r>
        <w:t>Sala Segunda. Auto 220/2015, de 14 de diciembre de 2015. Acuerda la extinción, por desaparición sobrevenida de objeto, de la cuestión de inconstitucionalidad 4698-2015, planteada por la Sala de lo Contencioso-Administrativo del Tribunal Superior de Justicia de Cantabria en relación con el artículo 65 bis.1 de la Ley 2/2001, de 25 de junio, de ordenación territorial y del régimen urbanístico del suelo de Cantabria.</w:t>
      </w:r>
      <w:r>
        <w:tab/>
      </w:r>
      <w:r>
        <w:tab/>
      </w:r>
      <w:r>
        <w:fldChar w:fldCharType="begin"/>
      </w:r>
      <w:r>
        <w:instrText xml:space="preserve"> PAGEREF AUTO_2015_220 \h </w:instrText>
      </w:r>
      <w:r>
        <w:fldChar w:fldCharType="separate"/>
      </w:r>
      <w:r w:rsidR="002F5064">
        <w:rPr>
          <w:noProof/>
        </w:rPr>
        <w:t>2665</w:t>
      </w:r>
      <w:r>
        <w:fldChar w:fldCharType="end"/>
      </w:r>
    </w:p>
    <w:p w:rsidR="000E270F" w:rsidRDefault="000E270F" w:rsidP="000E270F"/>
    <w:p w:rsidR="000E270F" w:rsidRDefault="000E270F" w:rsidP="000E270F">
      <w:pPr>
        <w:pStyle w:val="EntradandiceAuto"/>
      </w:pPr>
      <w:r>
        <w:t>Sala Primera. Auto 221/2015, de 14 de diciembre de 2015. Acuerda la extinción, por desaparición sobrevenida de objeto, de la cuestión de inconstitucionalidad 4773-2015, planteada por la Sala de lo Contencioso-Administrativo del Tribunal Superior de Justicia de Cantabria en relación con el artículo 65 bis.1 de la Ley 2/2001, de 25 de junio, de ordenación territorial y del régimen urbanístico del suelo de Cantabria.</w:t>
      </w:r>
      <w:r>
        <w:tab/>
      </w:r>
      <w:r>
        <w:tab/>
      </w:r>
      <w:r>
        <w:fldChar w:fldCharType="begin"/>
      </w:r>
      <w:r>
        <w:instrText xml:space="preserve"> PAGEREF AUTO_2015_221 \h </w:instrText>
      </w:r>
      <w:r>
        <w:fldChar w:fldCharType="separate"/>
      </w:r>
      <w:r w:rsidR="002F5064">
        <w:rPr>
          <w:noProof/>
        </w:rPr>
        <w:t>2673</w:t>
      </w:r>
      <w:r>
        <w:fldChar w:fldCharType="end"/>
      </w:r>
    </w:p>
    <w:p w:rsidR="000E270F" w:rsidRDefault="000E270F" w:rsidP="000E270F"/>
    <w:p w:rsidR="000E270F" w:rsidRDefault="000E270F" w:rsidP="000E270F">
      <w:pPr>
        <w:pStyle w:val="EntradandiceAuto"/>
      </w:pPr>
      <w:r>
        <w:t>Sala Primera. Auto 222/2015, de 14 de diciembre de 2015. Acuerda la extinción, por desaparición sobrevenida de objeto, de la cuestión de inconstitucionalidad 4774-2015, planteada por la Sala de lo Contencioso-Administrativo del Tribunal Superior de Justicia de Cantabria en relación con el artículo 65 bis.1 de la Ley 2/2001, de 25 de junio, de ordenación territorial y del régimen urbanístico del suelo de Cantabria.</w:t>
      </w:r>
      <w:r>
        <w:tab/>
      </w:r>
      <w:r>
        <w:tab/>
      </w:r>
      <w:r>
        <w:fldChar w:fldCharType="begin"/>
      </w:r>
      <w:r>
        <w:instrText xml:space="preserve"> PAGEREF AUTO_2015_222 \h </w:instrText>
      </w:r>
      <w:r>
        <w:fldChar w:fldCharType="separate"/>
      </w:r>
      <w:r w:rsidR="002F5064">
        <w:rPr>
          <w:noProof/>
        </w:rPr>
        <w:t>2682</w:t>
      </w:r>
      <w:r>
        <w:fldChar w:fldCharType="end"/>
      </w:r>
    </w:p>
    <w:p w:rsidR="000E270F" w:rsidRDefault="000E270F" w:rsidP="000E270F"/>
    <w:p w:rsidR="000E270F" w:rsidRDefault="000E270F" w:rsidP="000E270F">
      <w:pPr>
        <w:pStyle w:val="EntradandiceAuto"/>
      </w:pPr>
      <w:r>
        <w:t>Pleno. Auto 223/2015, de 15 de diciembre de 2015. Acuerda el desistimiento en el recurso de inconstitucionalidad 4308-2011, planteado por el Presidente del Gobierno en relación con varios apartados del artículo único de la Ley 9/2010, de 18 de octubre, de modificación de la Ley 15/2001, de 14 de diciembre, de suelo y ordenación territorial de Extremadura.</w:t>
      </w:r>
      <w:r>
        <w:tab/>
      </w:r>
      <w:r>
        <w:tab/>
      </w:r>
      <w:r>
        <w:fldChar w:fldCharType="begin"/>
      </w:r>
      <w:r>
        <w:instrText xml:space="preserve"> PAGEREF AUTO_2015_223 \h </w:instrText>
      </w:r>
      <w:r>
        <w:fldChar w:fldCharType="separate"/>
      </w:r>
      <w:r w:rsidR="002F5064">
        <w:rPr>
          <w:noProof/>
        </w:rPr>
        <w:t>2690</w:t>
      </w:r>
      <w:r>
        <w:fldChar w:fldCharType="end"/>
      </w:r>
    </w:p>
    <w:p w:rsidR="000E270F" w:rsidRDefault="000E270F" w:rsidP="000E270F"/>
    <w:p w:rsidR="000E270F" w:rsidRDefault="000E270F" w:rsidP="000E270F">
      <w:pPr>
        <w:pStyle w:val="EntradandiceAuto"/>
      </w:pPr>
      <w:r>
        <w:t>Pleno. Auto 224/2015, de 15 de diciembre de 2015. Inadmite a trámite la cuestión de inconstitucionalidad 2888-2015, planteada por la Sala de lo Contencioso-Administrativo del Tribunal Superior de Justicia de Cataluña en relación con el artículo 31.1 de la Ley 39/2010, de 22 de diciembre, de presupuestos generales del Estado para 2011.</w:t>
      </w:r>
      <w:r>
        <w:tab/>
      </w:r>
      <w:r>
        <w:tab/>
      </w:r>
      <w:r>
        <w:fldChar w:fldCharType="begin"/>
      </w:r>
      <w:r>
        <w:instrText xml:space="preserve"> PAGEREF AUTO_2015_224 \h </w:instrText>
      </w:r>
      <w:r>
        <w:fldChar w:fldCharType="separate"/>
      </w:r>
      <w:r w:rsidR="002F5064">
        <w:rPr>
          <w:noProof/>
        </w:rPr>
        <w:t>2692</w:t>
      </w:r>
      <w:r>
        <w:fldChar w:fldCharType="end"/>
      </w:r>
    </w:p>
    <w:p w:rsidR="000E270F" w:rsidRDefault="000E270F" w:rsidP="000E270F"/>
    <w:p w:rsidR="000E270F" w:rsidRDefault="000E270F" w:rsidP="000E270F">
      <w:pPr>
        <w:pStyle w:val="EntradandiceAuto"/>
      </w:pPr>
      <w:r>
        <w:t>Pleno. Auto 225/2015, de 15 de diciembre de 2015. Inadmite a trámite la cuestión de inconstitucionalidad 4017-2015, planteada por la Sala de lo Social del Tribunal Superior de Justicia de Murcia en relación con el artículo 2 de Real Decreto-ley 20/20112, de 13 de julio, de medidas para garantizar la estabilidad presupuestaria y de fomento de la competitividad, y el art. 2.1 de la Ley de la Asamblea Regional de Murcia 9/2012, de 8 de noviembre, de adaptación de la normativa regional en materia de función pública al Real Decreto-ley 20/2012.</w:t>
      </w:r>
      <w:r>
        <w:tab/>
      </w:r>
      <w:r>
        <w:tab/>
      </w:r>
      <w:r>
        <w:fldChar w:fldCharType="begin"/>
      </w:r>
      <w:r>
        <w:instrText xml:space="preserve"> PAGEREF AUTO_2015_225 \h </w:instrText>
      </w:r>
      <w:r>
        <w:fldChar w:fldCharType="separate"/>
      </w:r>
      <w:r w:rsidR="002F5064">
        <w:rPr>
          <w:noProof/>
        </w:rPr>
        <w:t>2703</w:t>
      </w:r>
      <w:r>
        <w:fldChar w:fldCharType="end"/>
      </w:r>
    </w:p>
    <w:p w:rsidR="000E270F" w:rsidRDefault="000E270F" w:rsidP="000E270F"/>
    <w:p w:rsidR="000E270F" w:rsidRDefault="000E270F" w:rsidP="000E270F">
      <w:pPr>
        <w:pStyle w:val="EntradandiceAuto"/>
      </w:pPr>
      <w:r>
        <w:t>Pleno. Auto 226/2015, de 15 de diciembre de 2015. Acuerda la suspensión parcial en el recurso de inconstitucionalidad 4682-2015, interpuesto por el Presidente del Gobierno en relación con varios artículos de la Ley 10/2014, de 27 de noviembre, de aguas y ríos de Aragón.</w:t>
      </w:r>
      <w:r>
        <w:tab/>
      </w:r>
      <w:r>
        <w:tab/>
      </w:r>
      <w:r>
        <w:fldChar w:fldCharType="begin"/>
      </w:r>
      <w:r>
        <w:instrText xml:space="preserve"> PAGEREF AUTO_2015_226 \h </w:instrText>
      </w:r>
      <w:r>
        <w:fldChar w:fldCharType="separate"/>
      </w:r>
      <w:r w:rsidR="002F5064">
        <w:rPr>
          <w:noProof/>
        </w:rPr>
        <w:t>2709</w:t>
      </w:r>
      <w:r>
        <w:fldChar w:fldCharType="end"/>
      </w:r>
    </w:p>
    <w:p w:rsidR="000E270F" w:rsidRDefault="000E270F" w:rsidP="000E270F"/>
    <w:p w:rsidR="000E270F" w:rsidRDefault="000E270F" w:rsidP="000E270F">
      <w:pPr>
        <w:pStyle w:val="EntradandiceAuto"/>
      </w:pPr>
      <w:r>
        <w:t>Pleno. Auto 227/2015, de 15 de diciembre de 2015. Inadmite a trámite la cuestión de inconstitucionalidad 4735-2015, planteada por el Juzgado de lo Contencioso-Administrativo núm. 2 de Castellón de la Plana en relación con la disposición adicional segunda de la Ley 4/2013, de 4 de junio, de medidas para la flexibilización y fomento del mercado del alquiler de viviendas. Voto particular.</w:t>
      </w:r>
      <w:r>
        <w:tab/>
      </w:r>
      <w:r>
        <w:tab/>
      </w:r>
      <w:r>
        <w:fldChar w:fldCharType="begin"/>
      </w:r>
      <w:r>
        <w:instrText xml:space="preserve"> PAGEREF AUTO_2015_227 \h </w:instrText>
      </w:r>
      <w:r>
        <w:fldChar w:fldCharType="separate"/>
      </w:r>
      <w:r w:rsidR="002F5064">
        <w:rPr>
          <w:noProof/>
        </w:rPr>
        <w:t>2726</w:t>
      </w:r>
      <w:r>
        <w:fldChar w:fldCharType="end"/>
      </w:r>
    </w:p>
    <w:p w:rsidR="000E270F" w:rsidRDefault="000E270F" w:rsidP="000E270F"/>
    <w:p w:rsidR="000E270F" w:rsidRDefault="000E270F" w:rsidP="000E270F">
      <w:pPr>
        <w:pStyle w:val="EntradandiceAuto"/>
      </w:pPr>
      <w:r>
        <w:t>Pleno. Auto 228/2015, de 15 de diciembre de 2015. Inadmite a trámite la cuestión de inconstitucionalidad 5104-2015, planteada por la Sala de lo Social del Tribunal Superior de Justicia de Canarias en relación con la disposición adicional vigésima octava de la Ley 11/2010, de 30 de diciembre, de presupuestos generales de la Comunidad Autónoma de Canarias.</w:t>
      </w:r>
      <w:r>
        <w:tab/>
      </w:r>
      <w:r>
        <w:tab/>
      </w:r>
      <w:r>
        <w:fldChar w:fldCharType="begin"/>
      </w:r>
      <w:r>
        <w:instrText xml:space="preserve"> PAGEREF AUTO_2015_228 \h </w:instrText>
      </w:r>
      <w:r>
        <w:fldChar w:fldCharType="separate"/>
      </w:r>
      <w:r w:rsidR="002F5064">
        <w:rPr>
          <w:noProof/>
        </w:rPr>
        <w:t>2736</w:t>
      </w:r>
      <w:r>
        <w:fldChar w:fldCharType="end"/>
      </w:r>
    </w:p>
    <w:p w:rsidR="000E270F" w:rsidRDefault="000E270F" w:rsidP="000E270F"/>
    <w:p w:rsidR="000E270F" w:rsidRDefault="000E270F" w:rsidP="000E270F">
      <w:pPr>
        <w:pStyle w:val="EntradandiceAuto"/>
      </w:pPr>
      <w:r>
        <w:t>Pleno. Auto 229/2015, de 15 de diciembre de 2015. Inadmite a trámite la cuestión de inconstitucionalidad 5105-2015, planteada por la Sala de lo Social del Tribunal Superior de Justicia de Canarias en relación con la disposición vigésima octava de la Ley 11/2010, de 30 de diciembre, de presupuestos generales de la Comunidad Autónoma de Canarias.</w:t>
      </w:r>
      <w:r>
        <w:tab/>
      </w:r>
      <w:r>
        <w:tab/>
      </w:r>
      <w:r>
        <w:fldChar w:fldCharType="begin"/>
      </w:r>
      <w:r>
        <w:instrText xml:space="preserve"> PAGEREF AUTO_2015_229 \h </w:instrText>
      </w:r>
      <w:r>
        <w:fldChar w:fldCharType="separate"/>
      </w:r>
      <w:r w:rsidR="002F5064">
        <w:rPr>
          <w:noProof/>
        </w:rPr>
        <w:t>2744</w:t>
      </w:r>
      <w:r>
        <w:fldChar w:fldCharType="end"/>
      </w:r>
    </w:p>
    <w:p w:rsidR="000E270F" w:rsidRDefault="000E270F">
      <w:pPr>
        <w:spacing w:after="160" w:line="259" w:lineRule="auto"/>
      </w:pPr>
      <w:r>
        <w:br w:type="page"/>
      </w:r>
    </w:p>
    <w:p w:rsidR="000E270F" w:rsidRDefault="000E270F" w:rsidP="00AC56D6"/>
    <w:p w:rsidR="000E270F" w:rsidRDefault="000E270F" w:rsidP="00AC56D6"/>
    <w:p w:rsidR="00AC56D6" w:rsidRDefault="00AC56D6" w:rsidP="00AC56D6"/>
    <w:p w:rsidR="00AC56D6" w:rsidRDefault="00AC56D6" w:rsidP="00AC56D6"/>
    <w:p w:rsidR="00AC56D6" w:rsidRDefault="00AC56D6" w:rsidP="00AC56D6"/>
    <w:p w:rsidR="00AC56D6" w:rsidRDefault="00AC56D6" w:rsidP="00AC56D6"/>
    <w:p w:rsidR="00AC56D6" w:rsidRDefault="00AC56D6" w:rsidP="00AC56D6"/>
    <w:p w:rsidR="00AC56D6" w:rsidRDefault="00AC56D6" w:rsidP="00AC56D6"/>
    <w:p w:rsidR="00AC56D6" w:rsidRDefault="00AC56D6" w:rsidP="00AC56D6">
      <w:pPr>
        <w:pStyle w:val="CabeceraApartado"/>
      </w:pPr>
      <w:r>
        <w:t>SENTENCIAS</w:t>
      </w:r>
    </w:p>
    <w:p w:rsidR="00AC56D6" w:rsidRDefault="00AC56D6">
      <w:pPr>
        <w:spacing w:after="160" w:line="259" w:lineRule="auto"/>
        <w:rPr>
          <w:rFonts w:ascii="Times New Roman" w:eastAsia="Times New Roman" w:hAnsi="Times New Roman" w:cs="Times New Roman"/>
          <w:sz w:val="48"/>
          <w:szCs w:val="24"/>
          <w:lang w:eastAsia="es-ES"/>
        </w:rPr>
      </w:pPr>
      <w:r>
        <w:br w:type="page"/>
      </w:r>
    </w:p>
    <w:p w:rsidR="00AC56D6" w:rsidRDefault="00AC56D6" w:rsidP="00AC56D6">
      <w:pPr>
        <w:pStyle w:val="TtuloResolucin"/>
      </w:pPr>
      <w:bookmarkStart w:id="4" w:name="SENTENCIA_2015_148"/>
      <w:r>
        <w:lastRenderedPageBreak/>
        <w:t>SENTENCIA 148/2015, de 6 de julio de 2015</w:t>
      </w:r>
    </w:p>
    <w:bookmarkEnd w:id="4"/>
    <w:p w:rsidR="00AC56D6" w:rsidRDefault="00AC56D6" w:rsidP="00AC56D6">
      <w:pPr>
        <w:pStyle w:val="TtuloResolucin"/>
      </w:pPr>
      <w:r>
        <w:t>Sala Primera</w:t>
      </w:r>
    </w:p>
    <w:p w:rsidR="00AC56D6" w:rsidRDefault="00AC56D6" w:rsidP="00AC56D6">
      <w:pPr>
        <w:pStyle w:val="TtuloBOE"/>
      </w:pPr>
      <w:r>
        <w:t>(BOE núm. 194, de 14 de agosto de 2015)</w:t>
      </w:r>
    </w:p>
    <w:p w:rsidR="00AC56D6" w:rsidRDefault="00AC56D6" w:rsidP="00AC56D6">
      <w:pPr>
        <w:pStyle w:val="TextoNormalCentrado"/>
      </w:pPr>
      <w:r>
        <w:t>ECLI:ES:TC:2015:148</w:t>
      </w:r>
    </w:p>
    <w:p w:rsidR="00AC56D6" w:rsidRDefault="00AC56D6" w:rsidP="00AC56D6">
      <w:pPr>
        <w:pStyle w:val="TextoNormalCentrado"/>
      </w:pPr>
    </w:p>
    <w:p w:rsidR="00AC56D6" w:rsidRDefault="00AC56D6" w:rsidP="00AC56D6">
      <w:pPr>
        <w:pStyle w:val="SntesisDescriptiva"/>
      </w:pPr>
      <w:r>
        <w:t>Recurso de amparo 5098-2012. Promovido por don Julián Muñoz Lázaro en relación con las resoluciones de la Subdelegación del Gobierno en Ciudad Real sobre cuantificación de productividad y la desestimación de su impugnación por Sentencia del Juzgado de lo Contencioso-Administrativo número 1 de esa ciudad.</w:t>
      </w:r>
    </w:p>
    <w:p w:rsidR="00AC56D6" w:rsidRDefault="00AC56D6" w:rsidP="00AC56D6">
      <w:pPr>
        <w:pStyle w:val="SntesisDescriptiva"/>
      </w:pPr>
    </w:p>
    <w:p w:rsidR="00AC56D6" w:rsidRDefault="00AC56D6" w:rsidP="00AC56D6">
      <w:pPr>
        <w:pStyle w:val="SntesisAnaltica"/>
      </w:pPr>
      <w:r>
        <w:t>Supuesta vulneración del derecho a la libertad sindical: fijación de complementos para un empleado que tiene concedido permiso para desarrollar labores sindicales que no vulnera la garantía de indemnidad retributiva. Voto particular.</w:t>
      </w:r>
    </w:p>
    <w:p w:rsidR="00AC56D6" w:rsidRDefault="00AC56D6" w:rsidP="00AC56D6">
      <w:pPr>
        <w:pStyle w:val="SntesisAnaltica"/>
      </w:pPr>
    </w:p>
    <w:p w:rsidR="00AC56D6" w:rsidRDefault="00AC56D6" w:rsidP="00AC56D6">
      <w:pPr>
        <w:pStyle w:val="Extracto"/>
      </w:pPr>
      <w:r>
        <w:t>1.</w:t>
      </w:r>
      <w:r>
        <w:tab/>
        <w:t>No se ha vulnerado el derecho del demandante de amparo a la libertad sindical (art. 28.1 CE), desde la perspectiva de la garantía de indemnidad retributiva [FJ 4].</w:t>
      </w:r>
    </w:p>
    <w:p w:rsidR="00AC56D6" w:rsidRDefault="00AC56D6" w:rsidP="00AC56D6">
      <w:pPr>
        <w:pStyle w:val="Extracto"/>
      </w:pPr>
    </w:p>
    <w:p w:rsidR="00AC56D6" w:rsidRDefault="00AC56D6" w:rsidP="00AC56D6">
      <w:pPr>
        <w:pStyle w:val="Extracto"/>
      </w:pPr>
      <w:r>
        <w:t>2.</w:t>
      </w:r>
      <w:r>
        <w:tab/>
        <w:t>El derecho de libertad sindical (art. 28.1 CE) comprende la garantía de indemnidad retributiva, que implica el derecho del trabajador a no sufrir, por razón de su afiliación o actividad sindical, menoscabo alguno en su situación profesional o económica en la empresa, vedando cualquier diferencia de trato por razón de la afiliación sindical o actividad sindical de los trabajadores y sus representantes, en relación con el resto de los trabajadores (STC 100/2014) [FJ 3].</w:t>
      </w:r>
    </w:p>
    <w:p w:rsidR="00AC56D6" w:rsidRDefault="00AC56D6" w:rsidP="00AC56D6">
      <w:pPr>
        <w:pStyle w:val="Extracto"/>
      </w:pPr>
    </w:p>
    <w:p w:rsidR="00AC56D6" w:rsidRDefault="00AC56D6" w:rsidP="00AC56D6">
      <w:pPr>
        <w:pStyle w:val="Extracto"/>
      </w:pPr>
      <w:r>
        <w:t>3.</w:t>
      </w:r>
      <w:r>
        <w:tab/>
        <w:t>Vulnera el derecho a la libertad sindical la denegación de complementos retributivos salariales con exclusivo fundamento en la condición de liberado sindical, al suponer un menoscabo económico que constituye obstáculo objetivamente constatable para la efectividad del derecho de libertad sindical, por su potencial efecto disuasorio para la decisión de realizar funciones sindicales; lo que repercute en el representante sindical que soporta dicho menoscabo, se proyecta sobre la organización sindical correspondiente y afecta a las tareas de defensa y promoción de los intereses de los trabajadores que el art. 7 CE encomienda a los sindicatos (STC 100/2014) [FJ 3].</w:t>
      </w:r>
    </w:p>
    <w:p w:rsidR="00AC56D6" w:rsidRDefault="00AC56D6" w:rsidP="00AC56D6">
      <w:pPr>
        <w:pStyle w:val="Extracto"/>
      </w:pPr>
    </w:p>
    <w:p w:rsidR="00AC56D6" w:rsidRDefault="00AC56D6" w:rsidP="00AC56D6">
      <w:pPr>
        <w:pStyle w:val="Extracto"/>
      </w:pPr>
      <w:r>
        <w:t>4.</w:t>
      </w:r>
      <w:r>
        <w:tab/>
        <w:t>La imposibilidad de percibir el complemento litigioso como consecuencia de la condición de liberado sindical vulnera la garantía de indemnidad retributiva contenida en el derecho del art. 28.1 CE, dado que su retribución ha de ponerse en conexión con la que percibe el resto de los trabajadores que prestan servicios efectivos en las mismas dependencias; de suerte que la negación del cobro del complemento en cuestión implica un peor trato retributivo en perjuicio del demandante de amparo en relación con sus compañeros de trabajo (STC 151/2006) [FJ 3].</w:t>
      </w:r>
    </w:p>
    <w:p w:rsidR="00AC56D6" w:rsidRDefault="00AC56D6" w:rsidP="00AC56D6">
      <w:pPr>
        <w:pStyle w:val="Extracto"/>
      </w:pPr>
    </w:p>
    <w:p w:rsidR="00AC56D6" w:rsidRDefault="00AC56D6" w:rsidP="00AC56D6">
      <w:pPr>
        <w:pStyle w:val="Extracto"/>
      </w:pPr>
      <w:r>
        <w:t>5.</w:t>
      </w:r>
      <w:r>
        <w:tab/>
        <w:t xml:space="preserve">El control por parte de este Tribunal no puede limitarse a verificar el carácter motivado, razonable y no arbitrario de las resoluciones judiciales, sino que debe analizarse la cuestión a la luz del derecho fundamental de libertad sindical para determinar si el hecho de abonar al trabajador el complemento en una cuantía </w:t>
      </w:r>
      <w:r>
        <w:lastRenderedPageBreak/>
        <w:t>inferior a la del resto de trabajadores que prestan servicios en las mismas dependencias constituye o no una lesión de su derecho (SSTC 94/1995, 191/1998) [FJ 3].</w:t>
      </w:r>
    </w:p>
    <w:p w:rsidR="00AC56D6" w:rsidRDefault="00AC56D6" w:rsidP="00AC56D6">
      <w:pPr>
        <w:pStyle w:val="Extracto"/>
      </w:pPr>
    </w:p>
    <w:p w:rsidR="00AC56D6" w:rsidRDefault="00AC56D6" w:rsidP="00AC56D6">
      <w:pPr>
        <w:pStyle w:val="Extracto"/>
      </w:pPr>
      <w:r>
        <w:t>6.</w:t>
      </w:r>
      <w:r>
        <w:tab/>
        <w:t>La decisión administrativa de equiparar la cuantía de los complementos de productividad extraordinaria y remanentes a la de los jefes de sección del mismo nivel del recurrente  se apoya en un dato objetivo y razonable, ya que se establece la equiparación con el único puesto de trabajo comparable (o al menos, el más homogéneo), por lo que, en tales circunstancias, el criterio seguido por la Administración respecto al pago y cuantía de los elementos controvertidos debe entenderse que no es arbitrario ni contrario al derecho de libertad sindical, lo que debe conducir a la denegación del amparo [FJ 4].</w:t>
      </w:r>
    </w:p>
    <w:p w:rsidR="00AC56D6" w:rsidRDefault="00AC56D6" w:rsidP="00AC56D6">
      <w:pPr>
        <w:pStyle w:val="Extracto"/>
      </w:pPr>
    </w:p>
    <w:p w:rsidR="00AC56D6" w:rsidRDefault="00AC56D6" w:rsidP="00AC56D6">
      <w:pPr>
        <w:pStyle w:val="Extracto"/>
      </w:pPr>
      <w:r>
        <w:t>7.</w:t>
      </w:r>
      <w:r>
        <w:tab/>
        <w:t>Entre el elenco de supuestos en que un recurso de amparo tiene especial trascendencia constitucional están aquellos en que se “plantee un problema o una faceta de un derecho fundamental susceptible de amparo sobre el que no haya doctrina del Tribunal Constitucional” (STC 155/2009) [FJ 2].</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amparo núm. 5098-2012, promovido por don Julián Muñoz Lázaro, representado por la Procuradora de los Tribunales doña Beatriz Martínez Martínez, bajo la dirección del Letrado don Julián Heredia de Castro, contra la Sentencia del Juzgado de lo Contencioso-administrativo núm. 1 de Ciudad Real de 31 de julio de 2012, dictada en el procedimiento abreviado núm. 790-2010, por la que se desestima el recurso interpuesto contra la desestimación por silencio administrativo del recurso de alzada interpuesto contra la resolución del Subdelegado del Gobierno en Ciudad Real de 10 de junio de 2010 sobre cuantificación de productividad. Ha comparecido el Abogado del Estado. Ha intervenido el Ministerio Fiscal. Ha sido Ponente el Magistrado don Juan Antonio Xiol Ríos, quien expresa el parecer de la Sala.</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La Procuradora de los Tribunales doña Beatriz Martínez Martínez, en nombre y representación de don Julián Muñoz Lázaro, y bajo la dirección del Letrado don Julián Heredia de Castro, interpuso demanda de amparo contra la resoluciones judicial y administrativa </w:t>
      </w:r>
      <w:r>
        <w:lastRenderedPageBreak/>
        <w:t>que se mencionan en el encabezamiento de esta Sentencia, mediante escrito registrado en este Tribunal el 11 de septiembre de 2012.</w:t>
      </w:r>
    </w:p>
    <w:p w:rsidR="00AC56D6" w:rsidRDefault="00AC56D6" w:rsidP="00AC56D6">
      <w:pPr>
        <w:pStyle w:val="TextoNormal"/>
      </w:pPr>
    </w:p>
    <w:p w:rsidR="00AC56D6" w:rsidRDefault="00AC56D6" w:rsidP="00AC56D6">
      <w:pPr>
        <w:pStyle w:val="TextoNormal"/>
      </w:pPr>
      <w:r w:rsidRPr="00AC56D6">
        <w:rPr>
          <w:rStyle w:val="NumeroAFNegritaCaracter"/>
        </w:rPr>
        <w:t>2</w:t>
      </w:r>
      <w:r>
        <w:t>. El recurso tiene su origen en los siguientes antecedentes:</w:t>
      </w:r>
    </w:p>
    <w:p w:rsidR="00AC56D6" w:rsidRDefault="00AC56D6" w:rsidP="00AC56D6">
      <w:pPr>
        <w:pStyle w:val="TextoNormal"/>
      </w:pPr>
    </w:p>
    <w:p w:rsidR="00AC56D6" w:rsidRDefault="00AC56D6" w:rsidP="00AC56D6">
      <w:pPr>
        <w:pStyle w:val="TextoNormal"/>
      </w:pPr>
      <w:r>
        <w:t>a) El demandante de amparo tiene concedido un permiso para ejercer funciones sindicales en el ámbito de la Administración pública a propuesta de la Confederación de Sindicatos Independientes y Sindical de Funcionarios (CSIF).</w:t>
      </w:r>
    </w:p>
    <w:p w:rsidR="00AC56D6" w:rsidRDefault="00AC56D6" w:rsidP="00AC56D6">
      <w:pPr>
        <w:pStyle w:val="TextoNormal"/>
      </w:pPr>
    </w:p>
    <w:p w:rsidR="00AC56D6" w:rsidRDefault="00AC56D6" w:rsidP="00AC56D6">
      <w:pPr>
        <w:pStyle w:val="TextoNormal"/>
      </w:pPr>
      <w:r>
        <w:t>b) El demandante de amparo, por escrito de 27 de agosto de 2009 dirigido a la Subdelegación del Gobierno de Ciudad Real, puso de manifiesto que por Sentencia de la Sala de lo Contencioso-Administrativo del Tribunal Superior de Justicia de Castilla-La Mancha de 14 de mayo de 2007 se le había reconocido el derecho a percibir el complemento de productividad durante el permiso para el ejercicio de funciones sindicales y por Sentencia del Juzgado de lo Contencioso-Administrativo núm. 1 de Ciudad Real de 15 de septiembre de 2008 se le había reconocido el derecho a que el abono del complemento de productividad lo fuera en igual cuantía que los demás jefes de sección de la unidad administrativa a la que estaba asignado en el periodo entre abril de 2006 y junio de 2007. En virtud de ello solicitaba que se le abonara la diferencia del complemento de productividad hasta alcanzar la cuantía percibida por los demás jefes de sección de la Subdelegación del Gobierno en Ciudad Real del periodo comprendido entre julio de 2007 y diciembre de 2008.</w:t>
      </w:r>
    </w:p>
    <w:p w:rsidR="00AC56D6" w:rsidRDefault="00AC56D6" w:rsidP="00AC56D6">
      <w:pPr>
        <w:pStyle w:val="TextoNormal"/>
      </w:pPr>
    </w:p>
    <w:p w:rsidR="00AC56D6" w:rsidRDefault="00AC56D6" w:rsidP="00AC56D6">
      <w:pPr>
        <w:pStyle w:val="TextoNormal"/>
      </w:pPr>
      <w:r>
        <w:t>El demandante de amparo, por escrito de 30 de noviembre de 2009 dirigido a la Delegación del Gobierno en Castilla-La Mancha, interpuso recurso de alzada contra la resolución presunta por silencio administrativo de la Subdelegación del Gobierno de Ciudad Real en relación con el abono de los complementos de productividad desde julio de 2007.</w:t>
      </w:r>
    </w:p>
    <w:p w:rsidR="00AC56D6" w:rsidRDefault="00AC56D6" w:rsidP="00AC56D6">
      <w:pPr>
        <w:pStyle w:val="TextoNormal"/>
      </w:pPr>
    </w:p>
    <w:p w:rsidR="00AC56D6" w:rsidRDefault="00AC56D6" w:rsidP="00AC56D6">
      <w:pPr>
        <w:pStyle w:val="TextoNormal"/>
      </w:pPr>
      <w:r>
        <w:t>El recurso de alzada fue estimado por resolución de 18 de enero de 2010, acordando que “el recurrente tiene derecho al abono del complemento de productividad en la misma cuantía que el resto de jefes de Sección de la Subdelegación del Gobierno de Ciudad Real, por lo que si durante el periodo comprendido entre julio de 2007 y diciembre de 2008, percibió un complemento de productividad inferior, se le debe abonar la diferencia hasta completar la misma cuantía que el resto de Jefes de Sección”.</w:t>
      </w:r>
    </w:p>
    <w:p w:rsidR="00AC56D6" w:rsidRDefault="00AC56D6" w:rsidP="00AC56D6">
      <w:pPr>
        <w:pStyle w:val="TextoNormal"/>
      </w:pPr>
    </w:p>
    <w:p w:rsidR="00AC56D6" w:rsidRDefault="00AC56D6" w:rsidP="00AC56D6">
      <w:pPr>
        <w:pStyle w:val="TextoNormal"/>
      </w:pPr>
      <w:r>
        <w:t>c) El demandante de amparo, por escrito de 15 de abril de 2010 dirigido a la Subdelegación del Gobierno de Ciudad Real, solicitó que se ejecutara lo decidido en la resolución de 18 de enero de 2010 y que se le abonara la diferencia del complemento de productividad desde julio de 2007 que ascendía a la cantidad de 1.866 € más los intereses legales correspondientes. A esos efectos, se señala que en los meses desde julio de 2007 a diciembre de 2008 la diferencia entre lo cobrado por los jefes de sección y el demandante por complemento de productividad ordinaria era de 72 € mensuales. Igualmente se puso de manifiesto que en el mes de diciembre de 2008 se abonó como media a los jefes de servicio en concepto de productividad extraordinaria y productividad remanente la cantidad de 281 y 169 €, respectivamente, mientras al demandante se le abonó la cantidad de 94 y 56 €, respectivamente. Además, se exponía el impago de la totalidad del complemento de productividad extraordinaria de 2009 abonado en diciembre de ese año y que ascendía a 270 €.</w:t>
      </w:r>
    </w:p>
    <w:p w:rsidR="00AC56D6" w:rsidRDefault="00AC56D6" w:rsidP="00AC56D6">
      <w:pPr>
        <w:pStyle w:val="TextoNormal"/>
      </w:pPr>
    </w:p>
    <w:p w:rsidR="00AC56D6" w:rsidRDefault="00AC56D6" w:rsidP="00AC56D6">
      <w:pPr>
        <w:pStyle w:val="TextoNormal"/>
      </w:pPr>
      <w:r>
        <w:lastRenderedPageBreak/>
        <w:t>Por resolución de la Subdelegación del Gobierno de Ciudad Real de 10 de junio de 2010 se acuerda abonar la cantidad de 1.296 € correspondiente al complemento de productividad ordinario, argumentando que no procede el abono de las cantidades de productividad extraordinaria que al final del ejercicio han percibido algunos funcionarios por las realización de trabajos extraordinarios, un mayor trabajo, esfuerzo y dedicación.</w:t>
      </w:r>
    </w:p>
    <w:p w:rsidR="00AC56D6" w:rsidRDefault="00AC56D6" w:rsidP="00AC56D6">
      <w:pPr>
        <w:pStyle w:val="TextoNormal"/>
      </w:pPr>
    </w:p>
    <w:p w:rsidR="00AC56D6" w:rsidRDefault="00AC56D6" w:rsidP="00AC56D6">
      <w:pPr>
        <w:pStyle w:val="TextoNormal"/>
      </w:pPr>
      <w:r>
        <w:t>El demandante de amparo, por escrito de 25 de junio de 2010 dirigido a la Delegación del Gobierno en Castilla-La Mancha, interpuso recurso de alzada contra la anterior resolución insistiendo en la improcedencia de diferenciar entre complementos de productividad ordinario, extraordinario y remanente y que “se proceda al reconocimiento del derecho a percibir el complemento de productividad en igual cuantía o, en su defecto, la media de las cantidades percibidas por los demás Jefes de Sección de la Subdelegación del Gobierno en Ciudad Real y con abono de las diferencias producidas desde julio de 2007 a diciembre de 2009 cuya cuantía asciende a 1.866 euros más los intereses legales”.</w:t>
      </w:r>
    </w:p>
    <w:p w:rsidR="00AC56D6" w:rsidRDefault="00AC56D6" w:rsidP="00AC56D6">
      <w:pPr>
        <w:pStyle w:val="TextoNormal"/>
      </w:pPr>
    </w:p>
    <w:p w:rsidR="00AC56D6" w:rsidRDefault="00AC56D6" w:rsidP="00AC56D6">
      <w:pPr>
        <w:pStyle w:val="TextoNormal"/>
      </w:pPr>
      <w:r>
        <w:t>d) El demandante de amparo, por escrito de 5 de octubre de 2010, interpuso demanda contencioso-administrativa contra la desestimación presunta por silencio administrativo de su recurso de alzada, dando lugar al procedimiento abreviado núm. 790-2010, tramitado por el Juzgado de lo Contencioso-administrativo núm. 1 de Ciudad Real. En dicho recurso se alegó la vulneración del derecho a la libertad sindical y se solicitó que “se venga a reconocer el derecho a percibir el complemento de productividad en igual cuantía o, en su defecto, la media de las cantidades percibidas por los demás Jefes de Sección de la Subdelegación del Gobierno en Ciudad Real y con abono de las diferencias producidas desde julio de 2007 incrementado con los intereses correspondientes desde la fecha en que los mismos debieron ser abonados…”.</w:t>
      </w:r>
    </w:p>
    <w:p w:rsidR="00AC56D6" w:rsidRDefault="00AC56D6" w:rsidP="00AC56D6">
      <w:pPr>
        <w:pStyle w:val="TextoNormal"/>
      </w:pPr>
    </w:p>
    <w:p w:rsidR="00AC56D6" w:rsidRDefault="00AC56D6" w:rsidP="00AC56D6">
      <w:pPr>
        <w:pStyle w:val="TextoNormal"/>
      </w:pPr>
      <w:r>
        <w:t>El recurso fue íntegramente desestimado por Sentencia de 31 de julio de 2012. En la resolución se establece que el único objeto de pronunciamiento ha de ser el referido al abono del complemento de productividad del periodo comprendido de julio de 2007 a diciembre de 2008, con exclusión del correspondiente a diciembre de 2009, y, en relación con ello, argumenta que ninguna vulneración de la libertad sindical se genera por el hecho de que no se le retribuya un complemento de productividad que no está directamente aparejado al puesto de trabajo asignado sino a la forma de desempeño del mismo.</w:t>
      </w:r>
    </w:p>
    <w:p w:rsidR="00AC56D6" w:rsidRDefault="00AC56D6" w:rsidP="00AC56D6">
      <w:pPr>
        <w:pStyle w:val="TextoNormal"/>
      </w:pPr>
    </w:p>
    <w:p w:rsidR="00AC56D6" w:rsidRDefault="00AC56D6" w:rsidP="00AC56D6">
      <w:pPr>
        <w:pStyle w:val="TextoNormal"/>
      </w:pPr>
      <w:r>
        <w:t>En concreto, por lo que se refiere a la delimitación del objeto de impugnación, el órgano judicial afirma en el fundamento de derecho segundo de la resolución impugnada:</w:t>
      </w:r>
    </w:p>
    <w:p w:rsidR="00AC56D6" w:rsidRDefault="00AC56D6" w:rsidP="00AC56D6">
      <w:pPr>
        <w:pStyle w:val="TextoNormal"/>
      </w:pPr>
    </w:p>
    <w:p w:rsidR="00AC56D6" w:rsidRDefault="00AC56D6" w:rsidP="00AC56D6">
      <w:pPr>
        <w:pStyle w:val="TextoNormal"/>
      </w:pPr>
      <w:r>
        <w:t xml:space="preserve">“La resolución referida, de 18 de enero de 2010, resuelve en alzada una solicitud inicial del recurrente referida al abono del complemento de productividad ‘del periodo comprendido de julio de 2007 a diciembre de 2008’ (Doc 3 del Expediente), y hace referencia a un informe que se refiere a dicho periodo (Doc 5 del Expediente), informe que en su Anexo contiene unos cálculos económicos comparativos y unas cantidades. Ni este Anexo ni el informe consta que se hayan notificado al recurrente, y la resolución de 18 de enero, aunque se refiere a él, no indica cantidad concreta alguna. Por ello es en la resolución de 10 de junio de 2010 donde se da al recurrente la respuesta concreta a la solicitud formulada y cuando el mismo, tras el recurso de alzada, puede ejercitar la acción en vía judicial, por lo que han de desestimarse las excepciones formuladas por la Administración, anteriormente indicadas. Y conforme se ha precisado, ha de limitarse la pretensión de declaración genérica de derechos </w:t>
      </w:r>
      <w:r>
        <w:lastRenderedPageBreak/>
        <w:t>que se formula en el suplico de la demanda y aún excluir las cantidades referidas al año 2009 que se añaden por el recurrente en su escrito de solicitud de ejecución de la resolución de 18 de enero de 2010 (Doc 8 del Expediente), en escritos posteriores y en la propia demanda, concluyendo que el objeto del presente proceso, en cuanto jurisdicción revisora, es el determinado por el recurrente en el escrito que inició el Expediente administrativo: el abono del complemento de productividad "del periodo comprendido de julio de 2007 a diciembre de 2008", único objeto al que se refiere la resolución de 18 de enero de 2010, y único al que puede referirse la resolución de 10 de junio de 2010, dictada en ejecución de la anterior conforme solicita expresamente el propio recurrente.”</w:t>
      </w:r>
    </w:p>
    <w:p w:rsidR="00AC56D6" w:rsidRDefault="00AC56D6" w:rsidP="00AC56D6">
      <w:pPr>
        <w:pStyle w:val="TextoNormal"/>
      </w:pPr>
    </w:p>
    <w:p w:rsidR="00AC56D6" w:rsidRDefault="00AC56D6" w:rsidP="00AC56D6">
      <w:pPr>
        <w:pStyle w:val="TextoNormal"/>
      </w:pPr>
      <w:r>
        <w:t>Por lo que se refiere al fondo de la cuestión planteada, el órgano judicial afirma en el fundamento de derecho tercero de la resolución impugnada:</w:t>
      </w:r>
    </w:p>
    <w:p w:rsidR="00AC56D6" w:rsidRDefault="00AC56D6" w:rsidP="00AC56D6">
      <w:pPr>
        <w:pStyle w:val="TextoNormal"/>
      </w:pPr>
    </w:p>
    <w:p w:rsidR="00AC56D6" w:rsidRDefault="00AC56D6" w:rsidP="00AC56D6">
      <w:pPr>
        <w:pStyle w:val="TextoNormal"/>
      </w:pPr>
      <w:r>
        <w:t>“El recurrente pretende que se le abone el complemento, incluyendo criterios objetivos y subjetivos, en la cuantía media de lo que perciben los demás Jefes de Sección de la Subdelegación del Gobierno en Ciudad Real, y la Administración le ha abonado como complemento la suma de la media de las cantidades correspondientes a los criterios objetivos y la cantidad inferior de la cobrada por los Jefes de Sección en relación con los criterios subjetivos, según resulta precisado en el informe que figura unido al expediente y admitido como prueba documental en juicio.</w:t>
      </w:r>
    </w:p>
    <w:p w:rsidR="00AC56D6" w:rsidRDefault="00AC56D6" w:rsidP="00AC56D6">
      <w:pPr>
        <w:pStyle w:val="TextoNormal"/>
      </w:pPr>
    </w:p>
    <w:p w:rsidR="00AC56D6" w:rsidRDefault="00AC56D6" w:rsidP="00AC56D6">
      <w:pPr>
        <w:pStyle w:val="TextoNormal"/>
      </w:pPr>
      <w:r>
        <w:t xml:space="preserve">En las sentencias de los Tribunales Superiores de Justicia se distingue ambos conceptos, como en la del de Andalucía, sede Sevilla, de 11 de marzo de 2011; en la de Galicia de 28 de septiembre de 2011, que dice ‘No existe consecuentemente razón objetiva alguna que pueda esgrimir el recurrente a favor de su reclamación y menos aún el derecho a la libertad sindical, cuando como se ve no se trata de un complemento directamente aparejado al puesto de trabajo que se tenga asignado, sino a la forma de desempeño del mismo, y siempre y cuando se cumplan determinadas exigencias, que nunca ha cumplido el recurrente, por lo que procede la íntegra desestimación del recurso interpuesto’; la de Cataluña, de 28 de septiembre de 2011, que dice ‘Asimismo el funcionario tiene derecho a no ser discriminado en su promoción económica profesional por razón del desempeño de su representación (artículo 40.2 EBEP). Derecho este que algunas sentencias han interpretado como una garantía de indemnidad a favor de liberados sindicales, (SSTC 70/2000, de 13 marzo; 173/2001, de 26 julio; 92/2005, de 18 abril; 241/2005, de 10 octubre; 151/2006, de 22 mayo; 90/2008, de 2 de julio; 137/2008, de 26 octubre; 179/2008, de 22 diciembre) pero que tal garantía no ha de suponer reconocer a estos representantes a efectos de concursos, ascensos o productividad, méritos profesionales que no han contraído, en virtud de su libre decisión de ejercer unas funciones de representación que comportan también otras ventajas. La garantía de indemnidad no puede extenderse sin límite hasta convertirse en un privilegio injustificado a los liberados sindicales por el mero hecho de serlo.’; y la de Valencia, de 7 de marzo de 2012, que indica, en un supuesto prácticamente idéntico al contemplado en este proceso, que ‘El complemento retributivo de productividad no es un complemento de puesto, ya que retribuye cómo se desempeña el mismo por parte del funcionario que lo ocupa y no el puesto en sí mismo", lo que hace que no estemos ni ante la hipótesis antes referida ni ante lo que alegaba el recurrente. De todo lo cual, de la corrección de la actuación administrativa, es también prueba el desglose de las cantidades pagadas en concepto de productividad (acto de fecha asimismo 19 de febrero de 2009) en donde lucen cantidades a personas y no a puestos genéricos. Indicativo de esta correcta adecuación a derecho del acto recurrido, en </w:t>
      </w:r>
      <w:r>
        <w:lastRenderedPageBreak/>
        <w:t>suma, es que el mismo demandante en sus conclusiones se desdiga de lo expuesto en la demanda al decir ahora, sin duda a la vista de lo alegado por la Administración, que ‘en cualquier caso, exista o no parte fija y/o variable asignada a cada puesto de trabajo, el resultado final deberá ser el mismo...’. Para llegar a una interpretación absolutamente descabellada para exigir el pago del complemento de productividad mediante una configuración del mismo totalmente espuria, pues dice que "se le deberá retribuir en todo caso, por este concepto, con el promedio de lo percibido por aquellos funcionarios de su grupo y categoría…’.”</w:t>
      </w:r>
    </w:p>
    <w:p w:rsidR="00AC56D6" w:rsidRDefault="00AC56D6" w:rsidP="00AC56D6">
      <w:pPr>
        <w:pStyle w:val="TextoNormal"/>
      </w:pPr>
    </w:p>
    <w:p w:rsidR="00AC56D6" w:rsidRDefault="00AC56D6" w:rsidP="00AC56D6">
      <w:pPr>
        <w:pStyle w:val="TextoNormal"/>
      </w:pPr>
      <w:r>
        <w:t>Por lo que, aplicando la doctrina expuesta, procede desestimar la demanda, de conformidad con lo dispuesto en el artículo 70.1 de la Ley reguladora de la jurisdicción contencioso-administrativa (LJCA), pues la resolución recurrida no infringe el derecho a la libertad sindical del recurrente ni los demás preceptos legales que se indican por el mismo en su demanda, referidos al mismo derecho.</w:t>
      </w:r>
    </w:p>
    <w:p w:rsidR="00AC56D6" w:rsidRDefault="00AC56D6" w:rsidP="00AC56D6">
      <w:pPr>
        <w:pStyle w:val="TextoNormal"/>
      </w:pPr>
    </w:p>
    <w:p w:rsidR="00AC56D6" w:rsidRDefault="00AC56D6" w:rsidP="00AC56D6">
      <w:pPr>
        <w:pStyle w:val="TextoNormal"/>
      </w:pPr>
      <w:r w:rsidRPr="00AC56D6">
        <w:rPr>
          <w:rStyle w:val="NumeroAFNegritaCaracter"/>
        </w:rPr>
        <w:t>3</w:t>
      </w:r>
      <w:r>
        <w:t>. El recurrente alega que la resolución administrativa impugnada ha vulnerado su derecho a la libertad sindical (art. 28.1 CE), desde la perspectiva de la garantía de indemnidad retributiva de los liberados sindicales, ya que su condición de liberado sindical le ha supuesto percibir un complemento de productividad extraordinaria en el mes de diciembre de 2008 de una cuantía inferior que el resto de compañeros y en el mes de 2009 no percibió ninguna. A esos efectos, pone de manifiesto que en el mes de diciembre de 2008 percibió por el concepto de “productividad extraordinaria” 94 y 56 € en concepto de remanente de productividad cuando la cantidad media percibida por los funcionarios de su unidad administrativa fue de 281 y 169 €, respectivamente, mientras que en el mes de diciembre de 2009 no ha percibido ninguna cantidad por el concepto de productividad extraordinaria y la medida de sus compañeros fue de 270 €.</w:t>
      </w:r>
    </w:p>
    <w:p w:rsidR="00AC56D6" w:rsidRDefault="00AC56D6" w:rsidP="00AC56D6">
      <w:pPr>
        <w:pStyle w:val="TextoNormal"/>
      </w:pPr>
    </w:p>
    <w:p w:rsidR="00AC56D6" w:rsidRDefault="00AC56D6" w:rsidP="00AC56D6">
      <w:pPr>
        <w:pStyle w:val="TextoNormal"/>
      </w:pPr>
      <w:r>
        <w:t>El recurrente justifica que resulta necesario que se fije una doctrina constitucional respecto de la garantía de indemnidad retributiva contenida en el derecho a la libertad sindical en los supuestos en que existan complementos retributivos de cuantía variable vinculados a la cantidad y calidad del trabajo desarrollado.</w:t>
      </w:r>
    </w:p>
    <w:p w:rsidR="00AC56D6" w:rsidRDefault="00AC56D6" w:rsidP="00AC56D6">
      <w:pPr>
        <w:pStyle w:val="TextoNormal"/>
      </w:pPr>
    </w:p>
    <w:p w:rsidR="00AC56D6" w:rsidRDefault="00AC56D6" w:rsidP="00AC56D6">
      <w:pPr>
        <w:pStyle w:val="TextoNormal"/>
      </w:pPr>
      <w:r w:rsidRPr="00AC56D6">
        <w:rPr>
          <w:rStyle w:val="NumeroAFNegritaCaracter"/>
        </w:rPr>
        <w:t>4</w:t>
      </w:r>
      <w:r>
        <w:t>. La Sala Primera de este Tribunal, por providencia de 22 de mayo de 2014, acordó admitir a trámite la demanda de amparo y, en aplicación de lo dispuesto en el art. 51 de la Ley Orgánica del Tribunal Constitucional (LOTC), requerir a los órganos judiciales la remisión del testimonio de las actuaciones y el emplazamiento de quienes hubieran sido parte en el procedimiento, a excepción del recurrente, para que pudiesen comparecer en el plazo de diez días en el proceso de amparo. También se acordó notificar la resolución al Abogado del Estado para que pudiera comparecer en ese mismo plazo.</w:t>
      </w:r>
    </w:p>
    <w:p w:rsidR="00AC56D6" w:rsidRDefault="00AC56D6" w:rsidP="00AC56D6">
      <w:pPr>
        <w:pStyle w:val="TextoNormal"/>
      </w:pPr>
    </w:p>
    <w:p w:rsidR="00AC56D6" w:rsidRDefault="00AC56D6" w:rsidP="00AC56D6">
      <w:pPr>
        <w:pStyle w:val="TextoNormal"/>
      </w:pPr>
      <w:r w:rsidRPr="00AC56D6">
        <w:rPr>
          <w:rStyle w:val="NumeroAFNegritaCaracter"/>
        </w:rPr>
        <w:t>5</w:t>
      </w:r>
      <w:r>
        <w:t>. La Secretaría de Justicia de la Sala Primera de este Tribunal, por diligencia de ordenación de 29 de julio de 2014, acordó tener por recibido el testimonio de las actuaciones, por personado al Abogado del Estado, y dar vista de las actuaciones al Ministerio Fiscal y a las partes personadas por plazo común de veinte días para presentar las alegaciones que estimasen pertinentes, de conformidad con el art. 52 LOTC.</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6</w:t>
      </w:r>
      <w:r>
        <w:t>. El Abogado del Estado, mediante escrito registrado el 25 de septiembre de 2014, formuló sus alegaciones, solicitando la inadmisión del recurso de amparo y, subsidiariamente, su denegación.</w:t>
      </w:r>
    </w:p>
    <w:p w:rsidR="00AC56D6" w:rsidRDefault="00AC56D6" w:rsidP="00AC56D6">
      <w:pPr>
        <w:pStyle w:val="TextoNormal"/>
      </w:pPr>
    </w:p>
    <w:p w:rsidR="00AC56D6" w:rsidRDefault="00AC56D6" w:rsidP="00AC56D6">
      <w:pPr>
        <w:pStyle w:val="TextoNormal"/>
      </w:pPr>
      <w:r>
        <w:t>El Abogado del estado aduce, en primer lugar, que concurre la causa de inadmisión de falta de especial trascendencia constitucional al existir ya jurisprudencia constitucional en la materia en las SSTC 151/2006, 140/2013 y 100/2014.</w:t>
      </w:r>
    </w:p>
    <w:p w:rsidR="00AC56D6" w:rsidRDefault="00AC56D6" w:rsidP="00AC56D6">
      <w:pPr>
        <w:pStyle w:val="TextoNormal"/>
      </w:pPr>
    </w:p>
    <w:p w:rsidR="00AC56D6" w:rsidRDefault="00AC56D6" w:rsidP="00AC56D6">
      <w:pPr>
        <w:pStyle w:val="TextoNormal"/>
      </w:pPr>
      <w:r>
        <w:t>Con carácter subsidiario, el Abogado del Estado afirma que no concurre la aducida vulneración del art. 28.1 CE, ya que, por un lado, tiene reconocida la percepción de la productividad ordinaria media de los funcionarios de su nivel y, respecto de la productividad extraordinaria, por su propia naturaleza, no existe expectativa de percibirla por lo que no puede actuar como elemento disuasorio “ya que el funcionario que opta por el ejercicio de funciones sindicales no tiene la expectativa de percibirla ni la tiene en cuenta”.</w:t>
      </w:r>
    </w:p>
    <w:p w:rsidR="00AC56D6" w:rsidRDefault="00AC56D6" w:rsidP="00AC56D6">
      <w:pPr>
        <w:pStyle w:val="TextoNormal"/>
      </w:pPr>
    </w:p>
    <w:p w:rsidR="00AC56D6" w:rsidRDefault="00AC56D6" w:rsidP="00AC56D6">
      <w:pPr>
        <w:pStyle w:val="TextoNormal"/>
      </w:pPr>
      <w:r w:rsidRPr="00AC56D6">
        <w:rPr>
          <w:rStyle w:val="NumeroAFNegritaCaracter"/>
        </w:rPr>
        <w:t>7</w:t>
      </w:r>
      <w:r>
        <w:t>. El Ministerio Fiscal, en escrito registrado el 6 de octubre de 2014, interesa que se otorgue el amparo por la vulneración del derecho a la libertad sindical (art. 28.1 CE) y que se anule las resolución judicial impugnada con retroacción de actuaciones para que se dicte una nueva sentencia respetuosa con el derecho fundamental reconocido.</w:t>
      </w:r>
    </w:p>
    <w:p w:rsidR="00AC56D6" w:rsidRDefault="00AC56D6" w:rsidP="00AC56D6">
      <w:pPr>
        <w:pStyle w:val="TextoNormal"/>
      </w:pPr>
    </w:p>
    <w:p w:rsidR="00AC56D6" w:rsidRDefault="00AC56D6" w:rsidP="00AC56D6">
      <w:pPr>
        <w:pStyle w:val="TextoNormal"/>
      </w:pPr>
      <w:r>
        <w:t>El Ministerio Fiscal, a los efectos de concretar el objeto del recurso de amparo, expone que se dirige contra la Sentencia judicial en la medida en que la cuantía del complemento de productividad extraordinario percibido por el recurrente no es el mismo o no es la media que perciben el resto de los jefes de sección de su unidad administrativa y que, por tanto, no hay controversia en cuanto al derecho a percibir ese complemento sino sobre su cuantificación. Igualmente, argumenta que del pronunciamiento debe quedar excluido lo referente a 2009 al no haber sido objeto de pronunciamiento en vía judicial.</w:t>
      </w:r>
    </w:p>
    <w:p w:rsidR="00AC56D6" w:rsidRDefault="00AC56D6" w:rsidP="00AC56D6">
      <w:pPr>
        <w:pStyle w:val="TextoNormal"/>
      </w:pPr>
    </w:p>
    <w:p w:rsidR="00AC56D6" w:rsidRDefault="00AC56D6" w:rsidP="00AC56D6">
      <w:pPr>
        <w:pStyle w:val="TextoNormal"/>
      </w:pPr>
      <w:r>
        <w:t>El Ministerio Fiscal, tras exponer la argumentación de la resolución judicial impugnada para confirmar la cuantificación que de la productividad extraordinaria hizo la autoridad administrativa y la jurisprudencia constitucional al respecto, concluye que tanto la resolución administrativa como la judicial han vulnerado el art. 28.1 CE, ya que si bien existió una condena en que se estableció la obligación de abonar el complemento de productividad en igual cuantía que los demás jefes de sección para anteriores periodos temporales; sin embargo en el periodo controvertido fue denegada la percepción de la productividad extraordinaria en la media que el resto de jefes de servicio como único motivo de su condición de liberado sindical, que no le permite desarrollar esas concretas labores de especial dedicación, lo que supone una merma retributiva y patrimonial con un efectos disuasorio para el ejercicio de estas funciones sindicales. Igualmente, el Ministerio Fiscal, en atención a las reiteradas ocasiones en el que el recurrente ha tenido que acudir a la vía judicial en protección de su indemnidad retributiva y de conformidad con lo expuesto en la STC 100/2014, de 23 de junio, FJ 6, concluye que “esta conducta reiterada de la Administración … se traduce en un supuesto de discriminación antisindical y obstruccionista”.</w:t>
      </w:r>
    </w:p>
    <w:p w:rsidR="00AC56D6" w:rsidRDefault="00AC56D6" w:rsidP="00AC56D6">
      <w:pPr>
        <w:pStyle w:val="TextoNormal"/>
      </w:pPr>
    </w:p>
    <w:p w:rsidR="00AC56D6" w:rsidRDefault="00AC56D6" w:rsidP="00AC56D6">
      <w:pPr>
        <w:pStyle w:val="TextoNormal"/>
      </w:pPr>
      <w:r w:rsidRPr="00AC56D6">
        <w:rPr>
          <w:rStyle w:val="NumeroAFNegritaCaracter"/>
        </w:rPr>
        <w:t>8</w:t>
      </w:r>
      <w:r>
        <w:t>. El recurrente, en escrito registrado el 31 de julio de 2014, presentó sus alegaciones, ratificándose en su escrito de demanda.</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9</w:t>
      </w:r>
      <w:r>
        <w:t>. Por providencia de 18 de junio de 2015 se señaló para la deliberación y votación de la presente Sentencia el día 22 del mismo mes y año en que comenzó, habiendo terminado en el día de hoy.</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objeto de este recurso de amparo es determinar si la decisión administrativa, confirmada judicialmente, en torno a la fijación de la cuantía de los llamados complementos de productividad extraordinarios y remanentes vinculados a la forma de desempeño del puesto de trabajo a un empleado público que tiene concedido un permiso para desarrollar labores sindicales vulnera el derecho a la libertad sindical (art. 28.1 CE) desde la perspectiva de la garantía de indemnidad retributiva.</w:t>
      </w:r>
    </w:p>
    <w:p w:rsidR="00AC56D6" w:rsidRDefault="00AC56D6" w:rsidP="00AC56D6">
      <w:pPr>
        <w:pStyle w:val="TextoNormal"/>
      </w:pPr>
    </w:p>
    <w:p w:rsidR="00AC56D6" w:rsidRDefault="00AC56D6" w:rsidP="00AC56D6">
      <w:pPr>
        <w:pStyle w:val="TextoNormal"/>
      </w:pPr>
      <w:r>
        <w:t>La presente demanda de amparo debe entenderse interpuesta por la vía del art. 43 de la Ley Orgánica del Tribunal Constitucional (LOTC), ya que la cuantificación del abono del complemento de productividad que el recurrente considera lesivo de su derecho a la libertad sindical corresponde a la Administración pública y, por tanto, la resolución judicial impugnada se habría limitado, en su caso, a no restablecer dicha vulneración.</w:t>
      </w:r>
    </w:p>
    <w:p w:rsidR="00AC56D6" w:rsidRDefault="00AC56D6" w:rsidP="00AC56D6">
      <w:pPr>
        <w:pStyle w:val="TextoNormal"/>
      </w:pPr>
    </w:p>
    <w:p w:rsidR="00AC56D6" w:rsidRDefault="00AC56D6" w:rsidP="00AC56D6">
      <w:pPr>
        <w:pStyle w:val="TextoNormal"/>
      </w:pPr>
      <w:r>
        <w:t>Por otra parte, la resolución judicial impugnada ha establecido como limitación del objeto de su pronunciamiento la cuantificación del abono del complemento de productividad reclamado por el recurrente entre julio de 2007 y diciembre de 2008 con exclusión de las cantidades eventualmente adeudas por las liquidaciones de ese complemento en diciembre de 2009. El hecho de que el demandante no haya realizado ninguna objeción en su demanda de amparo a esa limitación del objeto impone que, por razón de la subsidiariedad de esta jurisdicción de amparo, también este pronunciamiento deba quedar limitado a ese periodo temporal.</w:t>
      </w:r>
    </w:p>
    <w:p w:rsidR="00AC56D6" w:rsidRDefault="00AC56D6" w:rsidP="00AC56D6">
      <w:pPr>
        <w:pStyle w:val="TextoNormal"/>
      </w:pPr>
    </w:p>
    <w:p w:rsidR="00AC56D6" w:rsidRDefault="00AC56D6" w:rsidP="00AC56D6">
      <w:pPr>
        <w:pStyle w:val="TextoNormal"/>
      </w:pPr>
      <w:r w:rsidRPr="00AC56D6">
        <w:rPr>
          <w:rStyle w:val="NumeroAFNegritaCaracter"/>
        </w:rPr>
        <w:t>2</w:t>
      </w:r>
      <w:r>
        <w:t>. La causa de inadmisión alegada por el Abogado del Estado de que el presente recurso de amparo carecería de especial transcendencia constitucional, por existir ya una jurisprudencia constitucional sobre el particular, debe ser rechazada.</w:t>
      </w:r>
    </w:p>
    <w:p w:rsidR="00AC56D6" w:rsidRDefault="00AC56D6" w:rsidP="00AC56D6">
      <w:pPr>
        <w:pStyle w:val="TextoNormal"/>
      </w:pPr>
    </w:p>
    <w:p w:rsidR="00AC56D6" w:rsidRDefault="00AC56D6" w:rsidP="00AC56D6">
      <w:pPr>
        <w:pStyle w:val="TextoNormal"/>
      </w:pPr>
      <w:r>
        <w:t>Al ser un requisito material de admisibilidad, el momento procesal idóneo para el análisis de su cumplimiento es el trámite de admisión de la demanda de amparo (STC 191/2013, de 18 de noviembre, FJ 2). En cualquier caso, este Tribunal afirmó en la STC 155/2009, de 25 de junio, que entre el elenco de supuestos en que un recurso de amparo tiene especial trascendencia constitucional están aquellos en que se “plantee un problema o una faceta de un derecho fundamental susceptible de amparo sobre el que no haya doctrina del Tribunal Constitucional” (FJ 2). Esta es la circunstancia que concurría cuando se admitió a trámite el presente recurso de amparo en relación con la eventual incidencia que sobre el derecho a la libertad sindical (art. 28.1 CE), desde la perspectiva de la indemnidad retributiva, planteaba la cuantificación de complementos de productividad vinculados a la calidad y cantidad del trabajo concretamente desarrollado, y que solo ha sido resuelta con posterioridad a aquella decisión de admisión por la STC 100/2014, de 23 de junio, en un recurso de amparo presentado de manera casi simultánea con el presente.</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3</w:t>
      </w:r>
      <w:r>
        <w:t>. Este Tribunal ha establecido una consolidada jurisprudencia constitucional sobre la cuestión relativa al cobro del complemento de productividad de los trabajadores que tienen concedido un permiso para desarrollar labores sindicales, recientemente resumida en la STC 100/2014, de 23 de junio, FJ 3, y que se concreta en lo siguiente:</w:t>
      </w:r>
    </w:p>
    <w:p w:rsidR="00AC56D6" w:rsidRDefault="00AC56D6" w:rsidP="00AC56D6">
      <w:pPr>
        <w:pStyle w:val="TextoNormal"/>
      </w:pPr>
    </w:p>
    <w:p w:rsidR="00AC56D6" w:rsidRDefault="00AC56D6" w:rsidP="00AC56D6">
      <w:pPr>
        <w:pStyle w:val="TextoNormal"/>
      </w:pPr>
      <w:r>
        <w:t>(i) El derecho de libertad sindical (art. 28.1 CE) comprende la garantía de indemnidad retributiva, que implica el derecho del trabajador a no sufrir, por razón de su afiliación o actividad sindical, menoscabo alguno en su situación profesional o económica en la empresa, vedando cualquier diferencia de trato por razón de la afiliación sindical o actividad sindical de los trabajadores y sus representantes, en relación con el resto de los trabajadores.</w:t>
      </w:r>
    </w:p>
    <w:p w:rsidR="00AC56D6" w:rsidRDefault="00AC56D6" w:rsidP="00AC56D6">
      <w:pPr>
        <w:pStyle w:val="TextoNormal"/>
      </w:pPr>
    </w:p>
    <w:p w:rsidR="00AC56D6" w:rsidRDefault="00AC56D6" w:rsidP="00AC56D6">
      <w:pPr>
        <w:pStyle w:val="TextoNormal"/>
      </w:pPr>
      <w:r>
        <w:t>(ii) Vulnera el derecho a la libertad sindical la denegación de complementos retributivos salariales con exclusivo fundamento en la condición de liberado sindical, ya que ello supone un menoscabo económico que constituye un obstáculo objetivamente constatable para la efectividad del derecho de libertad sindical, por su potencial efecto disuasorio para la decisión de realizar funciones sindicales, lo que repercute no solo en el representante sindical que soporta dicho menoscabo, sino que se proyecta asimismo sobre la organización sindical correspondiente y afecta, en su caso, a las tareas de defensa y promoción de los intereses de los trabajadores que la Constitución encomienda a los sindicatos en el art. 7 CE.</w:t>
      </w:r>
    </w:p>
    <w:p w:rsidR="00AC56D6" w:rsidRDefault="00AC56D6" w:rsidP="00AC56D6">
      <w:pPr>
        <w:pStyle w:val="TextoNormal"/>
      </w:pPr>
    </w:p>
    <w:p w:rsidR="00AC56D6" w:rsidRDefault="00AC56D6" w:rsidP="00AC56D6">
      <w:pPr>
        <w:pStyle w:val="TextoNormal"/>
      </w:pPr>
      <w:r>
        <w:t>(iii) La absoluta imposibilidad de percibir el complemento de productividad como liberado sindical no es compatible con la garantía constitucional de indemnidad que prohíbe el perjuicio económico del funcionario que se dedica íntegramente a la actividad sindical en relación con la retribución del funcionario que desempeña efectivamente su puesto de trabajo. Esta imposibilidad, en efecto, puede provocar un efecto disuasorio de la dedicación al desarrollo de tareas sindicales, dado que esta actuación determinará la imposibilidad de cumplir los requisitos a los que las normas reguladoras del complemento de productividad vinculan la obtención de este concepto retributivo. El funcionario que en el ámbito de sus decisiones vitales y profesionales otorgara un valor determinante a la percepción de ese complemento como medio de obtener una remuneración suficiente para satisfacer sus necesidades y, en su caso, las de su familia, optaría por no dedicarse a la actividad sindical como liberado. Así pues, aquella imposibilidad de percibir el complemento litigioso como consecuencia de la condición de liberado sindical del demandante integra una vulneración de la garantía de indemnidad contenida en el derecho del art. 28.1 CE, dado que su retribución ha de ponerse en conexión con la que percibe el resto de los trabajadores que prestan servicios efectivos en las mismas dependencias, de suerte que la negación del cobro del complemento en cuestión implica un peor trato retributivo en perjuicio del demandante de amparo en relación con sus compañeros de trabajo.</w:t>
      </w:r>
    </w:p>
    <w:p w:rsidR="00AC56D6" w:rsidRDefault="00AC56D6" w:rsidP="00AC56D6">
      <w:pPr>
        <w:pStyle w:val="TextoNormal"/>
      </w:pPr>
    </w:p>
    <w:p w:rsidR="00AC56D6" w:rsidRDefault="00AC56D6" w:rsidP="00AC56D6">
      <w:pPr>
        <w:pStyle w:val="TextoNormal"/>
      </w:pPr>
      <w:r>
        <w:t xml:space="preserve">Por lo que se refiere a la concreta cuantificación del complemento de productividad cuando resulta variable de unos trabajadores a otros por tratarse de un complemento vinculado a la calidad y cantidad del trabajo desarrollado, la STC 100/2014, de 23 de junio, ha establecido que si bien no corresponde a esta jurisdicción de amparo revisar la concreta cuantía del complemento de productividad reclamada ante los órganos judiciales, ya que esta es una cuestión de legalidad ordinaria que compete exclusivamente a los Jueces y Tribunales (art. 117.3 CE), sí le corresponde valorar, desde la perspectiva constitucional que le es propia y a la vista del invocado derecho de libertad sindical (art. 28.1 CE), la razón o el argumento en virtud del cual las resoluciones administrativas y judiciales impugnadas </w:t>
      </w:r>
      <w:r>
        <w:lastRenderedPageBreak/>
        <w:t>niegan al solicitante de amparo el derecho a percibir el complemento en la cuantía reclamada y si el hecho de abonar al trabajador el complemento en una cuantía inferior a la del resto de trabajadores que prestan servicios en las mismas dependencias constituye o no una lesión de su derecho (FJ 5).</w:t>
      </w:r>
    </w:p>
    <w:p w:rsidR="00AC56D6" w:rsidRDefault="00AC56D6" w:rsidP="00AC56D6">
      <w:pPr>
        <w:pStyle w:val="TextoNormal"/>
      </w:pPr>
    </w:p>
    <w:p w:rsidR="00AC56D6" w:rsidRDefault="00AC56D6" w:rsidP="00AC56D6">
      <w:pPr>
        <w:pStyle w:val="TextoNormal"/>
      </w:pPr>
      <w:r w:rsidRPr="00AC56D6">
        <w:rPr>
          <w:rStyle w:val="NumeroAFNegritaCaracter"/>
        </w:rPr>
        <w:t>4</w:t>
      </w:r>
      <w:r>
        <w:t>. En atención a la jurisprudencia constitucional expuesta hay que concluir que, en este caso, no se ha vulnerado el derecho del demandante de amparo a la libertad sindical (art. 28.1 CE), desde la perspectiva de la garantía de indemnidad retributiva.</w:t>
      </w:r>
    </w:p>
    <w:p w:rsidR="00AC56D6" w:rsidRDefault="00AC56D6" w:rsidP="00AC56D6">
      <w:pPr>
        <w:pStyle w:val="TextoNormal"/>
      </w:pPr>
    </w:p>
    <w:p w:rsidR="00AC56D6" w:rsidRDefault="00AC56D6" w:rsidP="00AC56D6">
      <w:pPr>
        <w:pStyle w:val="TextoNormal"/>
      </w:pPr>
      <w:r>
        <w:t>El devenir de la reclamación del recurrente respecto del pago del complemento de productividad pone de manifiesto, como ha sido más ampliamente expuesto en las actuaciones, que se parte de una Sentencia del Juzgado de lo Contencioso-Administrativo de 15 de septiembre de 2008 en que se reconoció al recurrente que debía percibir lo mismo que los demás jefes de sección. La lectura de esta Sentencia, incluida en las actuaciones aportadas a este Tribunal, pone de relieve que en ella se alude genéricamente al complemento de productividad, sin mención a si, en ese período enjuiciado —abril de 2006 a junio de 2007—, la Administración implicada diferenciaba entre productividad ordinaria, extraordinaria y remanente, con cuantías variables para cada jefe de sección.</w:t>
      </w:r>
    </w:p>
    <w:p w:rsidR="00AC56D6" w:rsidRDefault="00AC56D6" w:rsidP="00AC56D6">
      <w:pPr>
        <w:pStyle w:val="TextoNormal"/>
      </w:pPr>
    </w:p>
    <w:p w:rsidR="00AC56D6" w:rsidRDefault="00AC56D6" w:rsidP="00AC56D6">
      <w:pPr>
        <w:pStyle w:val="TextoNormal"/>
      </w:pPr>
      <w:r>
        <w:t>La respuesta de la Administración que corresponde a la reclamación aquí enjuiciada aborda una realidad en que sí se evidencia que para el periodo controvertido en las resoluciones que dan lugar al presente recurso de amparo, una vez aprobada la Ley 7/2007, de 12 de abril, del estatuto básico del empleado público, la retribución de la productividad se realiza por la Subdelegación del Gobierno en Ciudad Real incluyendo diversos componentes: de un lado, la productividad ordinaria; y de otro, la productividad extraordinaria y el remanente, haciendo expreso que las cuantías correspondientes a estas dos últimas no son iguales para todos los jefes de sección, sino que varían en función de los trabajos especiales o extraordinarios que hayan realizado.</w:t>
      </w:r>
    </w:p>
    <w:p w:rsidR="00AC56D6" w:rsidRDefault="00AC56D6" w:rsidP="00AC56D6">
      <w:pPr>
        <w:pStyle w:val="TextoNormal"/>
      </w:pPr>
    </w:p>
    <w:p w:rsidR="00AC56D6" w:rsidRDefault="00AC56D6" w:rsidP="00AC56D6">
      <w:pPr>
        <w:pStyle w:val="TextoNormal"/>
      </w:pPr>
      <w:r>
        <w:t>En relación con lo anterior, la Sentencia recurrida indica que la Administración abonó al recurrente, como complemento, la suma de la media de las cantidades correspondientes a los criterios objetivos “y la cantidad inferior de la cobrada por los Jefes de Sección en relación con los criterios subjetivos”, según resulta precisado en informe unido al expediente y admitido como prueba documental. Al respecto, en las actuaciones que en virtud del art. 51 LOTC forman parte del presente proceso de amparo, figura un informe de la Subdelegación del Gobierno de Ciudad Real, en el que se hace constar que el recurrente dentro del período cuestionado ha percibido retribuciones por estos tres conceptos de modo tal que por productividad ordinaria ha recibido las mismas cantidades que el resto de jefes de sección; por productividad extraordinaria se le abonaron 94 €, cuya cuantía, siendo cierto que es inferior a la percibida por otros jefes de sección, corresponde a la suma que por este concepto recibe otro jefe de sección que tiene un nivel idéntico al demandante —nivel 20—; y por productividad por el remanente ha percibido 56 €, cuya cuantía, nuevamente, aun siendo inferior a la devengada por otros jefes de sección por este concepto, corresponde exactamente al funcionario que tiene un nivel idéntico al reclamante. En todos los casos referidos tanto a productividad extraordinaria como a remanente los jefes de sección que han recibido una cantidad más alta tienen niveles superiores.</w:t>
      </w:r>
    </w:p>
    <w:p w:rsidR="00AC56D6" w:rsidRDefault="00AC56D6" w:rsidP="00AC56D6">
      <w:pPr>
        <w:pStyle w:val="TextoNormal"/>
      </w:pPr>
    </w:p>
    <w:p w:rsidR="00AC56D6" w:rsidRDefault="00AC56D6" w:rsidP="00AC56D6">
      <w:pPr>
        <w:pStyle w:val="TextoNormal"/>
      </w:pPr>
      <w:r>
        <w:lastRenderedPageBreak/>
        <w:t>De ese modo, la cuestión controvertida en la vía judicial previa no era una eventual negativa de la Administración a cumplir una resolución judicial en cuanto al abono de la productividad al recurrente. Lo debatido era cuál era la cuantía que, en el nuevo período cuestionado, debía reconocerse al recurrente en cuanto a los distintos componentes controvertidos para obtener una igualdad plena en el reconocimiento del complemento de productividad dada la vigente configuración del complemento en ese período.</w:t>
      </w:r>
    </w:p>
    <w:p w:rsidR="00AC56D6" w:rsidRDefault="00AC56D6" w:rsidP="00AC56D6">
      <w:pPr>
        <w:pStyle w:val="TextoNormal"/>
      </w:pPr>
    </w:p>
    <w:p w:rsidR="00AC56D6" w:rsidRDefault="00AC56D6" w:rsidP="00AC56D6">
      <w:pPr>
        <w:pStyle w:val="TextoNormal"/>
      </w:pPr>
      <w:r>
        <w:t>Pues bien, cabe concluir que, dado el carácter eventual de los componentes reclamados —“productividad extraordinaria” y “productividad por remanente”—, entrar a valorar que si el actor hubiera estado en su servicio activo habitual hubiera percibido por esos componentes una determinada cuantía superior a la abonada es mera especulación, ya que, aun no teniendo la condición de liberado sindical, la percepción de esos componentes controvertidos constituiría un hecho posible, pero incierto, tanto respecto a su abono como en su cuantía. Imponer como criterio que se pague la media de lo percibido por todos los jefes de sección —con independencia de su nivel—, que es lo concretamente pretendido por el recurrente, constituye un criterio que tanto podría perjudicarle, como beneficiarle. Por tanto, la decisión administrativa de equiparar la cuantía a la de los jefes de sección de su mismo nivel se apoya en un dato objetivo y razonable, ya que se establece la equiparación con el único puesto de trabajo comparable (o al menos, el más homogéneo).</w:t>
      </w:r>
    </w:p>
    <w:p w:rsidR="00AC56D6" w:rsidRDefault="00AC56D6" w:rsidP="00AC56D6">
      <w:pPr>
        <w:pStyle w:val="TextoNormal"/>
      </w:pPr>
    </w:p>
    <w:p w:rsidR="00AC56D6" w:rsidRDefault="00AC56D6" w:rsidP="00AC56D6">
      <w:pPr>
        <w:pStyle w:val="TextoNormal"/>
      </w:pPr>
      <w:r>
        <w:t>En tales circunstancias, el criterio seguido por la Administración respecto al pago y cuantía de los elementos controvertidos debe entenderse que no es arbitrario ni contrario al derecho de libertad sindical, lo que debe conducir a la denegación del amparo.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Desestimar el recurso de amparo interpuesto por don Julián Muñoz Lázaro.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seis de julio de dos mil quince.</w:t>
      </w:r>
    </w:p>
    <w:p w:rsidR="00AC56D6" w:rsidRDefault="00AC56D6" w:rsidP="00AC56D6">
      <w:pPr>
        <w:pStyle w:val="ParrafoNormal"/>
      </w:pPr>
    </w:p>
    <w:p w:rsidR="00AC56D6" w:rsidRDefault="00AC56D6" w:rsidP="00AC56D6">
      <w:pPr>
        <w:pStyle w:val="TextoNormalNegritaCentrado"/>
        <w:keepNext/>
      </w:pPr>
      <w:r>
        <w:t>Voto particular que formula el Magistrado don Juan Antonio Xiol Ríos a la Sentencia dictada en el recurso de amparo núm. 5098-2012.</w:t>
      </w:r>
    </w:p>
    <w:p w:rsidR="00AC56D6" w:rsidRDefault="00AC56D6" w:rsidP="00AC56D6">
      <w:pPr>
        <w:pStyle w:val="TextoNormalNegritaCentrado"/>
        <w:keepNext/>
      </w:pPr>
    </w:p>
    <w:p w:rsidR="00AC56D6" w:rsidRDefault="00AC56D6" w:rsidP="00AC56D6">
      <w:pPr>
        <w:pStyle w:val="TextoNormal"/>
      </w:pPr>
      <w:r>
        <w:t>Con el máximo respeto a la opinión mayoritaria de mis compañeros de la Sala en la que se sustenta la sentencia, manifiesto mi discrepancia con la fundamentación jurídica y con el fallo de esta. Considero que hubiera debido ser estimatoria por vulneración del derecho a la libertad sindical, en su dimensión de indemnidad retributiva (art. 28.1 CE).</w:t>
      </w:r>
    </w:p>
    <w:p w:rsidR="00AC56D6" w:rsidRDefault="00AC56D6" w:rsidP="00AC56D6">
      <w:pPr>
        <w:pStyle w:val="TextoNormal"/>
      </w:pPr>
    </w:p>
    <w:p w:rsidR="00AC56D6" w:rsidRDefault="00AC56D6" w:rsidP="00AC56D6">
      <w:pPr>
        <w:pStyle w:val="TextoNormal"/>
      </w:pPr>
      <w:r>
        <w:t xml:space="preserve">1. La jurisprudencia constitucional, desde el reconocimiento de la libertad sindical como un derecho fundamental en el art. 28.1 CE, ha ido construyendo una elaborada doctrina con </w:t>
      </w:r>
      <w:r>
        <w:lastRenderedPageBreak/>
        <w:t>apoyo en el amplio desarrollo internacional de este derecho ante el erial que sobre este particular se había producido en España durante la época preconstitucional y la tardanza en su desarrollo legislativo.</w:t>
      </w:r>
    </w:p>
    <w:p w:rsidR="00AC56D6" w:rsidRDefault="00AC56D6" w:rsidP="00AC56D6">
      <w:pPr>
        <w:pStyle w:val="TextoNormal"/>
      </w:pPr>
    </w:p>
    <w:p w:rsidR="00AC56D6" w:rsidRDefault="00AC56D6" w:rsidP="00AC56D6">
      <w:pPr>
        <w:pStyle w:val="TextoNormal"/>
      </w:pPr>
      <w:r>
        <w:t>Las facultades de acción sindical han encontrado respaldo en la jurisprudencia constitucional, entre otros aspectos, mediante el reconocimiento del derecho a no padecer perjuicios económicos o de otra índole por el ejercicio de labores de defensa y protección de los trabajadores. En torno a la llamada indemnidad retributiva el Tribunal Constitucional ha fijado jurisprudencia sobre la necesidad de evitar el efecto disuasorio que pueden tener, para la dedicación a las tereas sindicales por parte de los liberados sindicales, las decisiones denegatorias de complementos salariales y especialmente aquellos (como los de productividad, turnos, jornadas partidas, penosidad…) que están vinculados a la efectiva prestación del servicio (entre otras muchas, SSTC 19/1998, de 29 de septiembre; 43/2001, de 12 de febrero; 58/2001, de 26 de febrero; 151/2006, de 22 de mayo; 200/2007, de 24 de septiembre, y STC 100/2014, de 23 de junio).</w:t>
      </w:r>
    </w:p>
    <w:p w:rsidR="00AC56D6" w:rsidRDefault="00AC56D6" w:rsidP="00AC56D6">
      <w:pPr>
        <w:pStyle w:val="TextoNormal"/>
      </w:pPr>
    </w:p>
    <w:p w:rsidR="00AC56D6" w:rsidRDefault="00AC56D6" w:rsidP="00AC56D6">
      <w:pPr>
        <w:pStyle w:val="TextoNormal"/>
      </w:pPr>
      <w:r>
        <w:t>El criterio determinante para establecer una adecuada ponderación del derecho a la libertad sindical que se halla en juego en este tipo de decisiones debe ser, como declara la STC 151/2006, de 22 de mayo, FJ 4, el de evitar el perjuicio patrimonial del liberado sindical, puesto en comparación con lo percibido por el resto de trabajadores que prestan su servicio en las mismas dependencias, y el efecto disuasorio que ese perjuicio retributivo podría provocar en el ejercicio de la libertad sindical.</w:t>
      </w:r>
    </w:p>
    <w:p w:rsidR="00AC56D6" w:rsidRDefault="00AC56D6" w:rsidP="00AC56D6">
      <w:pPr>
        <w:pStyle w:val="TextoNormal"/>
      </w:pPr>
    </w:p>
    <w:p w:rsidR="00AC56D6" w:rsidRDefault="00AC56D6" w:rsidP="00AC56D6">
      <w:pPr>
        <w:pStyle w:val="TextoNormal"/>
      </w:pPr>
      <w:r>
        <w:t>La negativa a cuantificar dentro del complemento de productividad determinados aspectos vinculados al efectivo desarrollo de actividades que el liberado sindical no puede realizar acarrea un efecto disuasorio contrario al derecho de libertad sindical, ya que puede hacer necesaria una renuncia a las labores sindicales si el trabajador aspira al cobro de un complemento en una cuantía que nunca podría alcanzarse manteniendo la situación de permiso para ejercer funciones sindicales.</w:t>
      </w:r>
    </w:p>
    <w:p w:rsidR="00AC56D6" w:rsidRDefault="00AC56D6" w:rsidP="00AC56D6">
      <w:pPr>
        <w:pStyle w:val="TextoNormal"/>
      </w:pPr>
    </w:p>
    <w:p w:rsidR="00AC56D6" w:rsidRDefault="00AC56D6" w:rsidP="00AC56D6">
      <w:pPr>
        <w:pStyle w:val="TextoNormal"/>
      </w:pPr>
      <w:r>
        <w:t>2. La opinión mayoritaria de la que discrepo entiendo que no se ajusta a esa jurisprudencia. Bajo la apariencia formal de una aplicación de la misma, se desestima el recurso acudiendo a lo que considero una reconstrucción de los hechos basada en el expediente administrativo, que comporta una alteración de aquellos de los que parte la resolución judicial impugnada. Este método (criticado también en el Voto particular a la STC 140/2014, de 11 de septiembre, al que me adherí), está vedado al Tribunal Constitucional por mandato del art. 44.1 b) de la Ley Orgánica del Tribunal Constitucional (LOTC). El Tribunal Constitucional debe limitarse a analizar la razón o el argumento en virtud del cual las resoluciones administrativas y judiciales impugnadas niegan al solicitante de amparo el derecho a percibir el complemento o a obtenerlo en la cuantía reclamada, pero no debe pronunciarse, como cuestión de legalidad ordinaria, sobre la procedencia o no de percibir un determinado complemento o su cuantificación (STC 100/2014, ya citada).</w:t>
      </w:r>
    </w:p>
    <w:p w:rsidR="00AC56D6" w:rsidRDefault="00AC56D6" w:rsidP="00AC56D6">
      <w:pPr>
        <w:pStyle w:val="TextoNormal"/>
      </w:pPr>
    </w:p>
    <w:p w:rsidR="00AC56D6" w:rsidRDefault="00AC56D6" w:rsidP="00AC56D6">
      <w:pPr>
        <w:pStyle w:val="TextoNormal"/>
      </w:pPr>
      <w:r>
        <w:t xml:space="preserve">Pues bien, en este caso, la opinión mayoritaria concluye que no se ha producido lesión alguna de la libertad sindical fundándose en que se ha reconocido al recurrente la productividad extraordinaria y por remanentes cuantificada de la misma manera que a los jefes de sección de su mismo nivel, aunque otros devenguen una cuantía superior (en realidad, el jefe de sección que percibió una cuantía idéntica a la asignada al recurrente solo fue uno, </w:t>
      </w:r>
      <w:r>
        <w:lastRenderedPageBreak/>
        <w:t xml:space="preserve">mientras que todos los restantes percibieron una cuantía superior). Sin embargo, en la argumentación de la resolución judicial impugnada la denegación al recurrente del abono de esas concretas partidas de productividad en la cuantía media percibida por el resto de jefes de sección se fundó en una única razón totalmente ajena a los hechos que construye la opinión de la que discrepo: que dichas partidas, por ser personales, no están directamente vinculadas al puesto de trabajo que se tiene asignado, sino a la forma de desempeño del mismo sometida a determinadas exigencias. Esto es, la </w:t>
      </w:r>
      <w:r w:rsidRPr="00AC56D6">
        <w:rPr>
          <w:i/>
        </w:rPr>
        <w:t>ratio decidendi</w:t>
      </w:r>
      <w:r>
        <w:t xml:space="preserve"> [razón de decidir] fue la exclusión, por su carácter personal, de las partidas retributivas controvertidas, en clara oposición a la jurisprudencia que antes he resumido.</w:t>
      </w:r>
    </w:p>
    <w:p w:rsidR="00AC56D6" w:rsidRDefault="00AC56D6" w:rsidP="00AC56D6">
      <w:pPr>
        <w:pStyle w:val="TextoNormal"/>
      </w:pPr>
    </w:p>
    <w:p w:rsidR="00AC56D6" w:rsidRDefault="00AC56D6" w:rsidP="00AC56D6">
      <w:pPr>
        <w:pStyle w:val="TextoNormal"/>
      </w:pPr>
      <w:r>
        <w:t>3. A mi entender, el análisis en este recurso de amparo solo pudo y debió proyectarse sobre este argumento consistente en la negativa a abonar las partidas personales, como razón operativa de la sentencia, pues solo en él se funda la decisión judicial. Siendo evidente su oposición a la jurisprudencia constitucional, la conclusión debió ser, como ha defendido el Ministerio Fiscal, que se trata de una decisión contraria al contenido esencial del art. 28.1 CE, desde la perspectiva de la garantía de indemnidad retributiva, y que debió otorgarse al amparo, anular la sentencia impugnada y declarar la procedencia de dictar otra en que se incluya la parte correspondiente a las partidas de productividad de carácter personal en la cuantía media correspondiente a los puestos de trabajo idénticos al que ocupa el recurrente.</w:t>
      </w:r>
    </w:p>
    <w:p w:rsidR="00AC56D6" w:rsidRDefault="00AC56D6" w:rsidP="00AC56D6">
      <w:pPr>
        <w:pStyle w:val="TextoNormal"/>
      </w:pPr>
    </w:p>
    <w:p w:rsidR="00AC56D6" w:rsidRDefault="00AC56D6" w:rsidP="00AC56D6">
      <w:pPr>
        <w:pStyle w:val="TextoNormal"/>
      </w:pPr>
      <w:r>
        <w:t>Madrid, a seis de julio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5" w:name="SENTENCIA_2015_149"/>
      <w:r>
        <w:lastRenderedPageBreak/>
        <w:t>SENTENCIA 149/2015, de 6 de julio de 2015</w:t>
      </w:r>
    </w:p>
    <w:bookmarkEnd w:id="5"/>
    <w:p w:rsidR="00AC56D6" w:rsidRDefault="00AC56D6" w:rsidP="00AC56D6">
      <w:pPr>
        <w:pStyle w:val="TtuloResolucin"/>
      </w:pPr>
      <w:r>
        <w:t>Sala Segunda</w:t>
      </w:r>
    </w:p>
    <w:p w:rsidR="00AC56D6" w:rsidRDefault="00AC56D6" w:rsidP="00AC56D6">
      <w:pPr>
        <w:pStyle w:val="TtuloBOE"/>
      </w:pPr>
      <w:r>
        <w:t>(BOE núm. 194, de 14 de agosto de 2015)</w:t>
      </w:r>
    </w:p>
    <w:p w:rsidR="00AC56D6" w:rsidRDefault="00AC56D6" w:rsidP="00AC56D6">
      <w:pPr>
        <w:pStyle w:val="TextoNormalCentrado"/>
      </w:pPr>
      <w:r>
        <w:t>ECLI:ES:TC:2015:149</w:t>
      </w:r>
    </w:p>
    <w:p w:rsidR="00AC56D6" w:rsidRDefault="00AC56D6" w:rsidP="00AC56D6">
      <w:pPr>
        <w:pStyle w:val="TextoNormalCentrado"/>
      </w:pPr>
    </w:p>
    <w:p w:rsidR="00AC56D6" w:rsidRDefault="00AC56D6" w:rsidP="00AC56D6">
      <w:pPr>
        <w:pStyle w:val="SntesisDescriptiva"/>
      </w:pPr>
      <w:r>
        <w:t>Recurso de amparo 3513-2013. Promovido por Construcciones Ferymer, S.A., respecto del Auto de la Audiencia Provincial de Madrid que declaró no haber lugar al recurso de apelación interpuesto frente a una Sentencia dictada en juicio ordinario de reclamación de cantidad.</w:t>
      </w:r>
    </w:p>
    <w:p w:rsidR="00AC56D6" w:rsidRDefault="00AC56D6" w:rsidP="00AC56D6">
      <w:pPr>
        <w:pStyle w:val="SntesisDescriptiva"/>
      </w:pPr>
    </w:p>
    <w:p w:rsidR="00AC56D6" w:rsidRDefault="00AC56D6" w:rsidP="00AC56D6">
      <w:pPr>
        <w:pStyle w:val="SntesisAnaltica"/>
      </w:pPr>
      <w:r>
        <w:t>Vulneración del derecho a la tutela judicial efectiva (acceso al recurso legal): inadmisión de un recurso de apelación sin tomar en consideración el abono de las tasas judiciales en un plazo de tiempo razonable posterior al requerimiento.</w:t>
      </w:r>
    </w:p>
    <w:p w:rsidR="00AC56D6" w:rsidRDefault="00AC56D6" w:rsidP="00AC56D6">
      <w:pPr>
        <w:pStyle w:val="SntesisAnaltica"/>
      </w:pPr>
    </w:p>
    <w:p w:rsidR="00AC56D6" w:rsidRDefault="00AC56D6" w:rsidP="00AC56D6">
      <w:pPr>
        <w:pStyle w:val="Extracto"/>
      </w:pPr>
      <w:r>
        <w:t>1.</w:t>
      </w:r>
      <w:r>
        <w:tab/>
        <w:t>La aplicación que, del precepto sobre plazos de interposición del recurso de apelación, realizó en el proceso el órgano judicial resulta manifiestamente irrazonable, y no compatible, por consiguiente, con las exigencias del derecho a la tutela judicial efectiva, porque realiza una interpretación que no permite compatibilizar dicho precepto con la norma que determina el plazo de interposición (art. 458 LEC), haciendo ilusoria, finalmente la posibilidad de subsanación que se ofrece al justiciable (STC 83/2015) [FJ 4].</w:t>
      </w:r>
    </w:p>
    <w:p w:rsidR="00AC56D6" w:rsidRDefault="00AC56D6" w:rsidP="00AC56D6">
      <w:pPr>
        <w:pStyle w:val="Extracto"/>
      </w:pPr>
    </w:p>
    <w:p w:rsidR="00AC56D6" w:rsidRDefault="00AC56D6" w:rsidP="00AC56D6">
      <w:pPr>
        <w:pStyle w:val="Extracto"/>
      </w:pPr>
      <w:r>
        <w:t>2.</w:t>
      </w:r>
      <w:r>
        <w:tab/>
        <w:t>No puede encontrarse en la Constitución ninguna norma o principio que imponga la necesidad de una doble instancia o de unos determinados recursos, siendo posible en abstracto su inexistencia o condicionar su admisibilidad al cumplimiento de ciertos requisitos; su establecimiento y regulación pertenece al ámbito de libertad del legislador  (STC 37/1995) [FJ 3].</w:t>
      </w:r>
    </w:p>
    <w:p w:rsidR="00AC56D6" w:rsidRDefault="00AC56D6" w:rsidP="00AC56D6">
      <w:pPr>
        <w:pStyle w:val="Extracto"/>
      </w:pPr>
    </w:p>
    <w:p w:rsidR="00AC56D6" w:rsidRDefault="00AC56D6" w:rsidP="00AC56D6">
      <w:pPr>
        <w:pStyle w:val="Extracto"/>
      </w:pPr>
      <w:r>
        <w:t>3.</w:t>
      </w:r>
      <w:r>
        <w:tab/>
        <w:t>Mientras que “el derecho de acceder a la justicia” no viene otorgado por la ley, sino por la Constitución misma, el eventual “derecho al recurso” no es sólo un derecho de configuración legal; es, sobre todo, un derecho de creación legal, de donde puede concluirse que uno y otro derecho son, por consiguiente, cualitativa y cuantitativamente distintos (SSTC 58/1995, 181/2001) [FJ 3].</w:t>
      </w:r>
    </w:p>
    <w:p w:rsidR="00AC56D6" w:rsidRDefault="00AC56D6" w:rsidP="00AC56D6">
      <w:pPr>
        <w:pStyle w:val="Extracto"/>
      </w:pPr>
    </w:p>
    <w:p w:rsidR="00AC56D6" w:rsidRDefault="00AC56D6" w:rsidP="00AC56D6">
      <w:pPr>
        <w:pStyle w:val="Extracto"/>
      </w:pPr>
      <w:r>
        <w:t>4.</w:t>
      </w:r>
      <w:r>
        <w:tab/>
        <w:t>No resulta razonable, desde el plano del derecho a la tutela judicial efectiva, que un órgano judicial, en las condiciones que concurren en el caso, requiera a la parte para que subsane el defecto, tal y como le exigía la ley, para, una vez atendido por la parte dicho requerimiento y aportado el justificante de la autoliquidación de la tasa judicial, acordar que esa subsanación se realizó fuera del plazo de interposición del recurso [FJ 4].</w:t>
      </w:r>
    </w:p>
    <w:p w:rsidR="00AC56D6" w:rsidRDefault="00AC56D6" w:rsidP="00AC56D6">
      <w:pPr>
        <w:pStyle w:val="Extracto"/>
      </w:pPr>
    </w:p>
    <w:p w:rsidR="00AC56D6" w:rsidRDefault="00AC56D6" w:rsidP="00AC56D6">
      <w:pPr>
        <w:pStyle w:val="Extracto"/>
      </w:pPr>
      <w:r>
        <w:t>5.</w:t>
      </w:r>
      <w:r>
        <w:tab/>
        <w:t>Al no tener por debidamente cumplido el requisito y por admitido el recurso de apelación una vez subsanado el defecto apreciado, y manifestada, por tanto, la voluntad favorable al cumplimiento por parte del sujeto pasivo, la decisión judicial de inadmitir la apelación no cumplió con el canon constitucional de razonabilidad exigible en la interpretación de la norma, de acuerdo con las exigencias que derivan del art. 24.1 CE [FJ 4].</w:t>
      </w:r>
    </w:p>
    <w:p w:rsidR="00AC56D6" w:rsidRDefault="00AC56D6" w:rsidP="00AC56D6">
      <w:pPr>
        <w:pStyle w:val="Extracto"/>
      </w:pPr>
    </w:p>
    <w:p w:rsidR="00AC56D6" w:rsidRDefault="00AC56D6" w:rsidP="00AC56D6">
      <w:pPr>
        <w:pStyle w:val="Extracto"/>
      </w:pPr>
      <w:r>
        <w:lastRenderedPageBreak/>
        <w:t>6.</w:t>
      </w:r>
      <w:r>
        <w:tab/>
        <w:t>En el ámbito de los recursos civiles, es doctrina de este Tribunal que siempre que el requisito incumplido o defectuosamente formalizado no se configure por ley como un presupuesto procesal ‘de indeclinable cumplimiento en tiempo y forma’, deberá permitirse a la parte subsanar el defecto, favoreciendo el principio de conservación de los actos procesales —art. 243 LOPJ—, y garantizando la realización del derecho a la tutela judicial efectiva (SSTC 46/2004, 129/2012) [FJ 4].</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amparo núm. 3513-2013, promovido por la entidad Construcciones Ferymer, S.A., representada por el Procurador de los Tribunales don Jorge Laguna Alonso y defendida por el Abogado don Alexis Godoy Garda, contra el Auto de la Sección décima octava de la Audiencia Provincial de Madrid, de 10 de abril de 2013, que desestimó el recurso de queja núm. 144-2013, formulado contra el Auto dictado el 7 de febrero del mismo año por el Juzgado de Primera Instancia núm. 9 de Madrid, que declaró no haber lugar al recurso de apelación interpuesto por la citada compañía contra la Sentencia pronunciada por dicho Juzgado en el juicio ordinario núm. 924-2009. Ha intervenido el Ministerio Fiscal. Ha sido Ponente la Magistrada doña Adela Asua Batarrita,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7 de junio de 2013, el Procurador de los Tribunales don Jorge Laguna Alonso, en representación de la entidad Construcciones Ferymer, S.A., presentó recurso de amparo contra las resoluciones que se mencionan en el encabezamiento de esta Sentencia.</w:t>
      </w:r>
    </w:p>
    <w:p w:rsidR="00AC56D6" w:rsidRDefault="00AC56D6" w:rsidP="00AC56D6">
      <w:pPr>
        <w:pStyle w:val="TextoNormal"/>
      </w:pPr>
    </w:p>
    <w:p w:rsidR="00AC56D6" w:rsidRDefault="00AC56D6" w:rsidP="00AC56D6">
      <w:pPr>
        <w:pStyle w:val="TextoNormal"/>
      </w:pPr>
      <w:r w:rsidRPr="00AC56D6">
        <w:rPr>
          <w:rStyle w:val="NumeroAFNegritaCaracter"/>
        </w:rPr>
        <w:t>2</w:t>
      </w:r>
      <w:r>
        <w:t>. El recurso de amparo trae causa, en síntesis, de los siguientes hechos:</w:t>
      </w:r>
    </w:p>
    <w:p w:rsidR="00AC56D6" w:rsidRDefault="00AC56D6" w:rsidP="00AC56D6">
      <w:pPr>
        <w:pStyle w:val="TextoNormal"/>
      </w:pPr>
    </w:p>
    <w:p w:rsidR="00AC56D6" w:rsidRDefault="00AC56D6" w:rsidP="00AC56D6">
      <w:pPr>
        <w:pStyle w:val="TextoNormal"/>
      </w:pPr>
      <w:r>
        <w:t>a) En Sentencia de 7 de noviembre de 2012, el Juzgado de Primera Instancia núm. 9 de Madrid desestimó la demanda de Indegesu, S.L., contra Construcciones Ferymer, S.A., y estimó en parte la reconvención formulada por ésta, condenando a la primera a pagarle la suma de 174.859,08 €, más sus intereses. Mediante Auto de 28 de noviembre de 2012 se completó la referida Sentencia con la desestimación expresa de uno de los pedimentos de la reconvención de Construcciones Ferymer, S.A., sobre el que no se había pronunciado aquélla. El Auto fue notificado a Construcciones Ferymer, S.A., el 3 de diciembre de 2012.</w:t>
      </w:r>
    </w:p>
    <w:p w:rsidR="00AC56D6" w:rsidRDefault="00AC56D6" w:rsidP="00AC56D6">
      <w:pPr>
        <w:pStyle w:val="TextoNormal"/>
      </w:pPr>
    </w:p>
    <w:p w:rsidR="00AC56D6" w:rsidRDefault="00AC56D6" w:rsidP="00AC56D6">
      <w:pPr>
        <w:pStyle w:val="TextoNormal"/>
      </w:pPr>
      <w:r>
        <w:t>b) El 11 de diciembre de 2012 Indegesu, S.L., interpuso recurso de apelación contra la Sentencia. Mediante diligencia de ordenación de 12 de diciembre de 2012, se acordó dar trámite a la apelación sin exigir la presentación del justificante de la autoliquidación de la tasa judicial regulada en la Ley 10/2012, de 20 de noviembre, por la que se regulan determinadas tasas en el ámbito de la Administración de Justicia y del Instituto Nacional de Toxicología y Ciencias Forenses y ello a la vista de la instrucción núm. 5-2012, de 21 de noviembre, que el Secretario General de la Administración de Justicia había dirigido a los secretarios judiciales, así como dar traslado del recurso a las demás partes para que pudieran oponerse al mismo o impugnar la resolución apelada en lo que les resultara desfavorable. El 4 de enero de 2013 Construcciones Ferymer, S.A., se opuso a la apelación de Indegesu, S.L., e interesó de la Audiencia Provincial de Madrid que declarara ajustada a Derecho la Sentencia apelada en los extremos impugnados en ese recurso.</w:t>
      </w:r>
    </w:p>
    <w:p w:rsidR="00AC56D6" w:rsidRDefault="00AC56D6" w:rsidP="00AC56D6">
      <w:pPr>
        <w:pStyle w:val="TextoNormal"/>
      </w:pPr>
    </w:p>
    <w:p w:rsidR="00AC56D6" w:rsidRDefault="00AC56D6" w:rsidP="00AC56D6">
      <w:pPr>
        <w:pStyle w:val="TextoNormal"/>
      </w:pPr>
      <w:r>
        <w:t>c) Por su parte, Construcciones Ferymer, S.A., interpuso el 9 de enero de 2013 recurso de apelación contra la Sentencia del Juzgado de Primera Instancia núm. 9 de Madrid. Mediante diligencia de ordenación de 10 de enero de 2013, que fue notificada a la hoy demandante el día 15 siguiente, el Secretario del Juzgado acordó la unión del recurso a las actuaciones y añadió:</w:t>
      </w:r>
    </w:p>
    <w:p w:rsidR="00AC56D6" w:rsidRDefault="00AC56D6" w:rsidP="00AC56D6">
      <w:pPr>
        <w:pStyle w:val="TextoNormal"/>
      </w:pPr>
    </w:p>
    <w:p w:rsidR="00AC56D6" w:rsidRDefault="00AC56D6" w:rsidP="00AC56D6">
      <w:pPr>
        <w:pStyle w:val="TextoNormal"/>
      </w:pPr>
      <w:r>
        <w:t>“De conformidad con lo dispuesto en el art. 8.2 de la Ley 10/2012 de 20 de noviembre por la que se regulan determinadas tasas en la Administración de Justicia, y no habiéndose acompañado justificante de pago de la tasa con arreglo al modelo oficial, debidamente validado, que se ha de presentar junto a todo escrito procesal mediante el que se realice el hecho imponible del tributo, como es el supuesto presente, se requiere a la parte presentante para que aporte el modelo 696 debidamente relleno y validado, conforme a lo establecido en la Orden 26 HAP/2662/2012 de 13 de diciembre (BOE 15 de diciembre de 2012) bajo apercibimiento de no dar curso al recurso de apelación, a que se refiere esta resolución.</w:t>
      </w:r>
    </w:p>
    <w:p w:rsidR="00AC56D6" w:rsidRDefault="00AC56D6" w:rsidP="00AC56D6">
      <w:pPr>
        <w:pStyle w:val="TextoNormal"/>
      </w:pPr>
    </w:p>
    <w:p w:rsidR="00AC56D6" w:rsidRDefault="00AC56D6" w:rsidP="00AC56D6">
      <w:pPr>
        <w:pStyle w:val="TextoNormal"/>
      </w:pPr>
      <w:r>
        <w:t>Conforme a lo dispuesto en el párrafo segundo del citado apartado 2 del art. 8 se apercibe a la parte que la falta de presentación del indicado justificante de autoliquidación no impedirá la aplicación de los plazos establecidos en la legislación procesal de manera que la ausencia de subsanación de la deficiencia, tras este requerimiento, podrá dar lugar a la preclusión del plazo procesal y a la consiguiente continuación o finalización del procedimiento, según proceda.</w:t>
      </w:r>
    </w:p>
    <w:p w:rsidR="00AC56D6" w:rsidRDefault="00AC56D6" w:rsidP="00AC56D6">
      <w:pPr>
        <w:pStyle w:val="TextoNormal"/>
      </w:pPr>
    </w:p>
    <w:p w:rsidR="00AC56D6" w:rsidRDefault="00AC56D6" w:rsidP="00AC56D6">
      <w:pPr>
        <w:pStyle w:val="TextoNormal"/>
      </w:pPr>
      <w:r>
        <w:t>Y queden los autos pendientes de cumplimiento de lo acordado en la presente resolución, y verificado se acordará.”</w:t>
      </w:r>
    </w:p>
    <w:p w:rsidR="00AC56D6" w:rsidRDefault="00AC56D6" w:rsidP="00AC56D6">
      <w:pPr>
        <w:pStyle w:val="TextoNormal"/>
      </w:pPr>
    </w:p>
    <w:p w:rsidR="00AC56D6" w:rsidRDefault="00AC56D6" w:rsidP="00AC56D6">
      <w:pPr>
        <w:pStyle w:val="TextoNormal"/>
      </w:pPr>
      <w:r>
        <w:t>En la diligencia se hacía constar que la misma era susceptible de recurso de reposición en el plazo de cinco días, con arreglo a los arts. 451 y 452 de la Ley 1/2000, de 7 de enero, de enjuiciamiento civil (LEC, en lo sucesivo), recurso que no interpuso ninguna de las partes.</w:t>
      </w:r>
    </w:p>
    <w:p w:rsidR="00AC56D6" w:rsidRDefault="00AC56D6" w:rsidP="00AC56D6">
      <w:pPr>
        <w:pStyle w:val="TextoNormal"/>
      </w:pPr>
    </w:p>
    <w:p w:rsidR="00AC56D6" w:rsidRDefault="00AC56D6" w:rsidP="00AC56D6">
      <w:pPr>
        <w:pStyle w:val="TextoNormal"/>
      </w:pPr>
      <w:r>
        <w:t xml:space="preserve">d) El 21 de enero de 2013 la representación procesal de la entidad Construcciones Ferymer, S.A., presentó en el Decanato de los Juzgados de Primera Instancia de Madrid un escrito dirigido al Juzgado núm. 9, al que adjuntaba ejemplar cumplimentado del impreso </w:t>
      </w:r>
      <w:r>
        <w:lastRenderedPageBreak/>
        <w:t>oficial de autoliquidación de la tasa judicial por importe de 1.403 €, en solicitud de que se tuviera por cumplido lo requerido por el Secretario judicial.</w:t>
      </w:r>
    </w:p>
    <w:p w:rsidR="00AC56D6" w:rsidRDefault="00AC56D6" w:rsidP="00AC56D6">
      <w:pPr>
        <w:pStyle w:val="TextoNormal"/>
      </w:pPr>
    </w:p>
    <w:p w:rsidR="00AC56D6" w:rsidRDefault="00AC56D6" w:rsidP="00AC56D6">
      <w:pPr>
        <w:pStyle w:val="TextoNormal"/>
      </w:pPr>
      <w:r>
        <w:t>e) Mediante Auto de 7 de febrero de 2013 el Juzgado declaró no haber lugar a tener por interpuesto el recurso de apelación de Construcciones Ferymer, S.A. Razonó que el escrito de dicha compañía se había presentado cuando habían transcurrido tres días desde la práctica del requerimiento, que, sumados a los días transcurridos desde la notificación de la Sentencia hasta la formalización del recurso hacían un total de veinticuatro días, “incluyendo el denominado día de gracia”. El art. 8.2 de la Ley 10/2012 exigía que el justificante de pago de la tasa judicial con arreglo al modelo oficial debidamente validado debía acompañar a todo escrito procesal mediante el que se realice el hecho imponible del tributo y que en caso de que no se hiciera el Secretario judicial requeriría al sujeto pasivo para que lo aportara, sin dar curso al escrito hasta que tal omisión fuese subsanada, si bien la falta de presentación del justificante no impediría la aplicación de los plazos establecidos en la legislación procesal, de manera que la ausencia de subsanación de la deficiencia, tras el requerimiento, podría dar lugar a la preclusión del plazo procesal y a la consiguiente continuación o finalización del procedimiento, según proceda. En virtud de dicho precepto y del art. 458.1 LEC procedía denegar la interposición de la apelación.</w:t>
      </w:r>
    </w:p>
    <w:p w:rsidR="00AC56D6" w:rsidRDefault="00AC56D6" w:rsidP="00AC56D6">
      <w:pPr>
        <w:pStyle w:val="TextoNormal"/>
      </w:pPr>
    </w:p>
    <w:p w:rsidR="00AC56D6" w:rsidRDefault="00AC56D6" w:rsidP="00AC56D6">
      <w:pPr>
        <w:pStyle w:val="TextoNormal"/>
      </w:pPr>
      <w:r>
        <w:t>f) La entidad Construcciones Ferymer, S.A., interpuso recurso de queja. Alegó que había cumplido el requerimiento de subsanación en el plazo de cuatro días hábiles y que con arreglo al art. 8.2 de la Ley 10/2012, sólo la ausencia de subsanación de la deficiencia, tras el requerimiento del secretario judicial, podrá dar lugar a la preclusión del acto procesal, de modo que el Auto suponía la vulneración de su derecho a la tutela judicial efectiva, pues, según la jurisprudencia constitucional, las dudas interpretativas han de resolverse a favor de la mayor efectividad de los principios constitucionales. Denunció igualmente que su contraparte Indegesu, S.L., había interpuesto recurso de apelación contra la misma Sentencia sin haberse visto obligada al pago de la tasa judicial, lo que suponía un agravio comparativo. El 27 de febrero de 2013 la hoy demandante presentó un nuevo escrito dirigido a la Audiencia Provincial de Madrid en el que, como ampliación del recurso de queja, hizo referencia a la reforma que el Real Decreto-ley 3/2013, de 22 de febrero, había introducido en el art. 8.2 de la Ley 10/2012, fijando en diez días el plazo que se debe conceder para subsanar la falta de aportación del justificante del pago de la tasa.</w:t>
      </w:r>
    </w:p>
    <w:p w:rsidR="00AC56D6" w:rsidRDefault="00AC56D6" w:rsidP="00AC56D6">
      <w:pPr>
        <w:pStyle w:val="TextoNormal"/>
      </w:pPr>
    </w:p>
    <w:p w:rsidR="00AC56D6" w:rsidRDefault="00AC56D6" w:rsidP="00AC56D6">
      <w:pPr>
        <w:pStyle w:val="TextoNormal"/>
      </w:pPr>
      <w:r>
        <w:t>g) En Auto de 10 de abril de 2013 la Sección Decimoctava de la Audiencia Provincial de Madrid desestimó el recurso de queja. Razonó la Audiencia que la hoy demandante fue apercibida de que la falta de presentación del justificante de autoliquidación de la tasa no impediría la aplicación de los plazos establecidos en la legislación procesal, de manera que no se trataba de que se le concediera o no un plazo para la subsanación, sino de que se le advirtió que el plazo para interponer el recurso de apelación continuaba corriendo. Es evidente, dice el Auto de la Audiencia, que cuando se interpone el recurso de apelación es cuando se ha producido la subsanación del defecto y en ese momento ya había transcurrido el plazo fijado para su interposición.</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El recurso de amparo se dirige contra el Auto de la Audiencia Provincial de Madrid por considerar que vulnera el derecho de la recurrente a la tutela judicial efectiva en su vertiente de derecho de acceso al sistema de recursos. La demanda, tras exponer los hechos en que se funda, argumenta, en primer lugar, que con arreglo al art. 8.2 de la Ley 10/2012, </w:t>
      </w:r>
      <w:r>
        <w:lastRenderedPageBreak/>
        <w:t>en el caso de que se presente un escrito procesal mediante el que se realice el hecho imponible de la tasa sin justificar el pago de la misma, el Secretario judicial requerirá al sujeto pasivo para que aporte el justificante y que sólo la falta de subsanación de tal deficiencia tras el requerimiento puede dar lugar a la preclusión del trámite. Puesto que la demandante cumplió el requerimiento al cuarto día hábil, debió continuar la tramitación de la apelación. Al no haberse apreciado así se vulneró su derecho a la tutela judicial efectiva.</w:t>
      </w:r>
    </w:p>
    <w:p w:rsidR="00AC56D6" w:rsidRDefault="00AC56D6" w:rsidP="00AC56D6">
      <w:pPr>
        <w:pStyle w:val="TextoNormal"/>
      </w:pPr>
    </w:p>
    <w:p w:rsidR="00AC56D6" w:rsidRDefault="00AC56D6" w:rsidP="00AC56D6">
      <w:pPr>
        <w:pStyle w:val="TextoNormal"/>
      </w:pPr>
      <w:r>
        <w:t>Se alega, en segundo lugar, que el art. 403.1 LEC dispone que solo se pueden inadmitir las demandas por las causas previstas en dicho cuerpo legal, de modo que la previsión del art. 8.2 de la Ley 10/2012, en el sentido de que no se dará curso al escrito procesal que realice el hecho imponible de la tasa que no vaya acompañado del justificante del pago de la misma no puede conllevar la inadmisión a trámite; acordarla en virtud de una causa que no se encuentra específicamente prevista en la ley procesal resulta contrario al art. 24 CE. Según reiterada jurisprudencia constitucional las dudas interpretativas han de resolverse en favor de la mayor efectividad de los principios constitucionales. Invoca, en concreto, la STC 141/1998, de 12 de julio, que declaró que el incumplimiento de una obligación tributaria no puede erigirse en obstáculo insalvable para el ejercicio del derecho fundamental de acceso al proceso, ya que ello supone, sin duda, una falta de proporcionalidad entre el objetivo que se persigue (la recaudación del impuesto o tasa) y el modo en que se opera. En este sentido, las decisiones judiciales, evitando interpretaciones desproporcionadas sobre el alcance del incumplimiento, deben siempre estar orientadas por el criterio más favorable a la efectividad del derecho fundamental de acceso al recurso, como exige su fuerza vinculante.</w:t>
      </w:r>
    </w:p>
    <w:p w:rsidR="00AC56D6" w:rsidRDefault="00AC56D6" w:rsidP="00AC56D6">
      <w:pPr>
        <w:pStyle w:val="TextoNormal"/>
      </w:pPr>
    </w:p>
    <w:p w:rsidR="00AC56D6" w:rsidRDefault="00AC56D6" w:rsidP="00AC56D6">
      <w:pPr>
        <w:pStyle w:val="TextoNormal"/>
      </w:pPr>
      <w:r>
        <w:t>Se alega también que el Juzgado y la Audiencia Provincial incurrieron en una evidente contradicción al requerir la subsanación sin indicar el plazo disponible para ella y, una vez cumplido lo requerido a los cuatro días hábiles, inadmitir el recurso de apelación por no haberlo hecho dentro de plazo. Tras referirse a la práctica de otros órganos jurisdiccionales en esta materia, expone la demandante que, puesto que el art. 8.2 de la Ley 10/2012 no fija ningún plazo de subsanación, la inadmisión del recurso de apelación resulta rigorista y desproporcionada, pues se cumplió lo requerido en el plazo, a todas luces prudente, de cuatro días, inferior al de diez días que fijaba a tal efecto el art. 35 de la Ley 53/2002, de 30 de diciembre, de medidas fiscales, administrativas y de orden social (que contenía la regulación de la tasa por el ejercicio de la potestad jurisdiccional en los órdenes civil y contencioso-administrativo hasta su derogación por la Ley 10/2012).</w:t>
      </w:r>
    </w:p>
    <w:p w:rsidR="00AC56D6" w:rsidRDefault="00AC56D6" w:rsidP="00AC56D6">
      <w:pPr>
        <w:pStyle w:val="TextoNormal"/>
      </w:pPr>
    </w:p>
    <w:p w:rsidR="00AC56D6" w:rsidRDefault="00AC56D6" w:rsidP="00AC56D6">
      <w:pPr>
        <w:pStyle w:val="TextoNormal"/>
      </w:pPr>
      <w:r>
        <w:t>Denuncia finalmente la demandante que para la admisión y tramitación del recurso de apelación interpuesto por quien había iniciado el juicio ordinario en primera instancia no se exigió el pago de la tasa judicial, a pesar de que ya se encontraba en vigor la Ley 10/2012, lo que supone, según aquélla, un agravio comparativo; el derecho a la tutela judicial efectiva debe ser exactamente el mismo para ambas partes procesales.</w:t>
      </w:r>
    </w:p>
    <w:p w:rsidR="00AC56D6" w:rsidRDefault="00AC56D6" w:rsidP="00AC56D6">
      <w:pPr>
        <w:pStyle w:val="TextoNormal"/>
      </w:pPr>
    </w:p>
    <w:p w:rsidR="00AC56D6" w:rsidRDefault="00AC56D6" w:rsidP="00AC56D6">
      <w:pPr>
        <w:pStyle w:val="TextoNormal"/>
      </w:pPr>
      <w:r>
        <w:t>Según la demandante, los notorios problemas operativos y logísticos derivados de la entrada en vigor de la citada Ley 10/2012 (que se produjo sin que se hubieran aprobado los instrumentos necesarios para proceder al pago de la tasa judicial en ella regulada), el rechazo generalizado que suscitó su aplicación por su presunta inconstitucionalidad, y las dudas que se plantean en su interpretación y sobre su constitucionalidad están generando una ingente casuística. La defectuosa regulación del procedimiento a seguir para el pago de la tasa judi</w:t>
      </w:r>
      <w:r>
        <w:lastRenderedPageBreak/>
        <w:t>cial, las dudas interpretativas y las lagunas normativas no pueden derivar en que en la práctica las partes se vean privadas del ejercicio al derecho fundamental a la tutela judicial efectiva. Después de que el art. 1.9 del Real Decreto-ley 3/2013, de 22 de febrero, por el que se modifica el régimen de las tasas en el ámbito de la Administración de Justicia y el sistema de asistencia jurídica gratuita, ha fijado en diez días el plazo para subsanar la falta de aportación del justificante del pago de la tasa, dando nueva redacción al art. 8.2 de la Ley 10/2012 y colmando la laguna de la que adolecía, resulta evidente la vulneración del derecho a la tutela judicial efectiva en que incurrieron el Juzgado de Primera Instancia y la Audiencia Provincial.</w:t>
      </w:r>
    </w:p>
    <w:p w:rsidR="00AC56D6" w:rsidRDefault="00AC56D6" w:rsidP="00AC56D6">
      <w:pPr>
        <w:pStyle w:val="TextoNormal"/>
      </w:pPr>
    </w:p>
    <w:p w:rsidR="00AC56D6" w:rsidRDefault="00AC56D6" w:rsidP="00AC56D6">
      <w:pPr>
        <w:pStyle w:val="TextoNormal"/>
      </w:pPr>
      <w:r>
        <w:t>La demandante nos pide que declaremos la nulidad del Auto del Juzgado de Primera Instancia núm. 9 de Madrid de 7 de febrero de 2013 y de todo lo actuado con posterioridad en el recurso de apelación por ella promovido, a fin de que se dicte nueva resolución en la que se tenga por interpuesto dicho recurso contra la Sentencia dictada en el juicio ordinario 924-2009, prosiguiendo su tramitación.</w:t>
      </w:r>
    </w:p>
    <w:p w:rsidR="00AC56D6" w:rsidRDefault="00AC56D6" w:rsidP="00AC56D6">
      <w:pPr>
        <w:pStyle w:val="TextoNormal"/>
      </w:pPr>
    </w:p>
    <w:p w:rsidR="00AC56D6" w:rsidRDefault="00AC56D6" w:rsidP="00AC56D6">
      <w:pPr>
        <w:pStyle w:val="TextoNormal"/>
      </w:pPr>
      <w:r w:rsidRPr="00AC56D6">
        <w:rPr>
          <w:rStyle w:val="NumeroAFNegritaCaracter"/>
        </w:rPr>
        <w:t>4</w:t>
      </w:r>
      <w:r>
        <w:t>. En providencia de 29 de mayo de 2014, la Sección Tercera admitió el recurso de amparo y ordenó que se comunicara la admisión a la Sección Decimoctava de la Audiencia Provincial de Madrid y al Juzgado de Primera Instancia núm. 9 de esta capital, para que remitieran certificación o fotocopia de las actuaciones del recurso de queja núm. 144-2013 y del juicio ordinario núm. 924-2009, respectivamente, y para que el Juzgado, además, emplazara a las partes, excepto a la recurrente en amparo.</w:t>
      </w:r>
    </w:p>
    <w:p w:rsidR="00AC56D6" w:rsidRDefault="00AC56D6" w:rsidP="00AC56D6">
      <w:pPr>
        <w:pStyle w:val="TextoNormal"/>
      </w:pPr>
    </w:p>
    <w:p w:rsidR="00AC56D6" w:rsidRDefault="00AC56D6" w:rsidP="00AC56D6">
      <w:pPr>
        <w:pStyle w:val="TextoNormal"/>
      </w:pPr>
      <w:r w:rsidRPr="00AC56D6">
        <w:rPr>
          <w:rStyle w:val="NumeroAFNegritaCaracter"/>
        </w:rPr>
        <w:t>5</w:t>
      </w:r>
      <w:r>
        <w:t>. Recibidas las fotocopias de las actuaciones y sin que se hubiera personado en este recurso de amparo la única parte emplazada, Indegesu, S.L., mediante diligencia de ordenación del Secretario de la Sección Tercera de 9 de julio de 2014, se dio vista de las mismas a la entidad demandante de amparo y al Ministerio Fiscal durante veinte días, dentro de los cuales podrían presentar alegaciones, de acuerdo con el art. 52.1 LOTC.</w:t>
      </w:r>
    </w:p>
    <w:p w:rsidR="00AC56D6" w:rsidRDefault="00AC56D6" w:rsidP="00AC56D6">
      <w:pPr>
        <w:pStyle w:val="TextoNormal"/>
      </w:pPr>
    </w:p>
    <w:p w:rsidR="00AC56D6" w:rsidRDefault="00AC56D6" w:rsidP="00AC56D6">
      <w:pPr>
        <w:pStyle w:val="TextoNormal"/>
      </w:pPr>
      <w:r w:rsidRPr="00AC56D6">
        <w:rPr>
          <w:rStyle w:val="NumeroAFNegritaCaracter"/>
        </w:rPr>
        <w:t>6</w:t>
      </w:r>
      <w:r>
        <w:t>. El Procurador don Jorge Laguna Alonso, en escrito que presentó en nombre de la entidad demandante el 24 de julio de 2014, se remitió a lo expuesto en la demanda.</w:t>
      </w:r>
    </w:p>
    <w:p w:rsidR="00AC56D6" w:rsidRDefault="00AC56D6" w:rsidP="00AC56D6">
      <w:pPr>
        <w:pStyle w:val="TextoNormal"/>
      </w:pPr>
    </w:p>
    <w:p w:rsidR="00AC56D6" w:rsidRDefault="00AC56D6" w:rsidP="00AC56D6">
      <w:pPr>
        <w:pStyle w:val="TextoNormal"/>
      </w:pPr>
      <w:r w:rsidRPr="00AC56D6">
        <w:rPr>
          <w:rStyle w:val="NumeroAFNegritaCaracter"/>
        </w:rPr>
        <w:t>7</w:t>
      </w:r>
      <w:r>
        <w:t>. El 12 de septiembre de 2014 el Fiscal presentó sus alegaciones. Tras exponer los antecedentes del caso y referirse a la doctrina sobre el derecho de acceso a los recursos, sobre la subsanación de los defectos procesales en la interposición de recursos en el orden civil y sobre la constitucionalidad (declarada en la STC 20/2012, de 16 de febrero) de la previsión de que no se ejerza la potestad jurisdiccional en beneficio del sujeto pasivo de la tasa judicial que no satisface el tributo, aborda su escrito la cuestión del ajuste de la interpretación sostenida por los órganos judiciales en las resoluciones impugnadas con el tenor del art. 8.2 de la Ley 10/2012. A diferencia del art. 35.7.2 de la anterior Ley 53/2002, de 30 de diciembre, el art. 8.2 de la Ley 10/2012, sin excluir la posibilidad de subsanación, no previó un concreto plazo para efectuarla. Este silencio del legislador debe, según el Fiscal, llevar a aplicar los plazos generales de subsanación previstos en las leyes procesales, opción acogida en el art. 12.2 de la Orden del Ministerio de Hacienda y Administraciones públicas HAP/2662/2012, de 13 de diciembre, dictada en uso de la habilitación contenida en los arts. 8.1 y 9.2 de la Ley 10/2012 y vigente en el momento de efectuarse el requerimiento a la sociedad recu</w:t>
      </w:r>
      <w:r>
        <w:lastRenderedPageBreak/>
        <w:t xml:space="preserve">rrente, que establece que si el sujeto pasivo de la tasa no hubiese adjuntado la autoliquidación al escrito procesal que supusiera la realización del hecho imponible el Secretario “dictará la correspondiente resolución acordando requerir al interesado para que subsane la omisión en los plazos previstos en las leyes procesales, apercibiéndole de no dar curso al escrito hasta que tal omisión fuese subsanada”. La previsión del art. 8.2 de la Ley 10/2012, de que la falta de presentación del justificante del pago de la tasa “no impedirá la aplicación de los plazos establecidos en la legislación procesal”, tenía como propósito neutralizar la tesis que, en relación con la anterior regulación legal, venía sosteniendo la suspensión del proceso hasta que se produjera el pago, sin que su omisión provocara efectos procesales, esto es, en el caso de recursos, su inadmisión; como declararon las SSTC 116/2012, 164/2012 y 218/2012, tal interpretación dañaba la integridad del proceso, generando que hubiera actuaciones judiciales suspendidas </w:t>
      </w:r>
      <w:r w:rsidRPr="00AC56D6">
        <w:rPr>
          <w:i/>
        </w:rPr>
        <w:t>sine die</w:t>
      </w:r>
      <w:r>
        <w:t xml:space="preserve"> por factores del todo ajenos a la mejor administración de justicia, con grave riesgo para el derecho a un proceso sin dilaciones indebidas y sin beneficio aparente para ningún derecho o interés legítimo. Según el Fiscal, de la doctrina establecida en esas Sentencias resulta que la sanción procesal prevista en el art. 8.2 de la Ley 10/2012, consistente en la preclusión, con el efecto inherente de inadmisión de la demanda o del recurso, exige dos presupuestos: primero, el requerimiento de subsanación; y, segundo, que transcurra el plazo de subsanación concedido sin haberse pagado la tasa judicial y aportado la autoliquidación.</w:t>
      </w:r>
    </w:p>
    <w:p w:rsidR="00AC56D6" w:rsidRDefault="00AC56D6" w:rsidP="00AC56D6">
      <w:pPr>
        <w:pStyle w:val="TextoNormal"/>
      </w:pPr>
    </w:p>
    <w:p w:rsidR="00AC56D6" w:rsidRDefault="00AC56D6" w:rsidP="00AC56D6">
      <w:pPr>
        <w:pStyle w:val="TextoNormal"/>
      </w:pPr>
      <w:r>
        <w:t>El Fiscal considera que la interpretación sostenida en las resoluciones impugnadas hace ilusoria la posibilidad de subsanación prevista legalmente, abocando inevitablemente al cierre del recurso en los casos en que se interpusiera, como se interpuso el de la demandante de amparo, el último día del plazo legal. E incluso en los que se presentaran antes, si, en este supuesto, el requerimiento del Secretario judicial tuviera lugar una vez expirado aquél, de modo que la posibilidad de subsanación sería inexistente en la práctica. Entiende que esta interpretación no es admisible, por vulnerar el derecho a la tutela judicial efectiva (art. 24.1 CE), en su manifestación de derecho de acceso a los recursos: no se infiere del tenor literal del art. 8.2 de la Ley 10/2012 y, además, es contraria al principio general de subsanabilidad plasmado en las leyes procesales, configurado por la doctrina constitucional como una garantía del derecho a la tutela judicial efectiva. La interpretación sostenida en las resoluciones impugnadas, que aboca a la invalidez radical del escrito de interposición del recurso de apelación, convirtiendo el pago de la tasa en un requisito de indeclinable cumplimiento, es contraria a la doctrina de la STC 79/2012, de 17 de abril.</w:t>
      </w:r>
    </w:p>
    <w:p w:rsidR="00AC56D6" w:rsidRDefault="00AC56D6" w:rsidP="00AC56D6">
      <w:pPr>
        <w:pStyle w:val="TextoNormal"/>
      </w:pPr>
    </w:p>
    <w:p w:rsidR="00AC56D6" w:rsidRDefault="00AC56D6" w:rsidP="00AC56D6">
      <w:pPr>
        <w:pStyle w:val="TextoNormal"/>
      </w:pPr>
      <w:r>
        <w:t xml:space="preserve">Destaca el Fiscal que la entidad apelante atendió el requerimiento en un tiempo, que califica de prudencial y razonable, de cuatro días hábiles; período de tiempo inferior al plazo general de diez días previsto para otros supuestos en la LEC (por ejemplo, en los arts. 254.4 II, 418.1, 465.4 II y 484.1) y que ha sido incorporado al propio art. 8.2 de la Ley 10/2012, en la modificación llevada a cabo por el art. 1.9 del Real Decreto-ley 3/2013, de 22 de febrero. Por tanto, cumplido el requerimiento por la sociedad apelante y efectuado el pago de la tasa judicial, la inadmisión del recurso de apelación, basada en una interpretación rigorista y desproporcionada con el fin de la norma (el cumplimiento de la obligación tributaria por el sujeto pasivo), lesionó su derecho a la tutela judicial efectiva (art. 24.1 CE), en su modalidad de derecho de acceso a los recursos. Ha de aplicarse, sostiene el Fiscal, la doctrina de la citada STC 79/2012, de 17 de abril, que declaró que la financiación del ejercicio de la potestad jurisdiccional queda asegurada desde el momento en que no se da curso </w:t>
      </w:r>
      <w:r>
        <w:lastRenderedPageBreak/>
        <w:t>al escrito procesal hasta que no se haya acreditado el pago, sin que el abono de la tasa después de presentado el escrito lesione bienes o derechos constitucionales ni grave injustificadamente la posición de la parte contraria o la integridad objetiva del procedimiento. La conclusión de la STC 129/2012, de 18 de junio, al censurar por irrazonable y vulneradora del derecho al recurso la decisión del órgano judicial de negar validez a la subsanación, en un supuesto de falta de constitución inicial del depósito para recurrir previsto en la disposición adicional decimoquinta de la Ley Orgánica 6/1985, de 1 de julio, del Poder judicial (LOPJ), resulta plenamente aplicable en este caso. Si la STC 218/2012, de 26 de noviembre, censuró que no se concediera al apelante la posibilidad de subsanar el defecto procesal, consistente en la falta de pago de la tasa, encontrándose ya las actuaciones en el tribunal de apelación y pendientes de decisión sobre el fondo, con mayor razón debe censurarse la inadmisión del recurso cuando el apelante atendió el requerimiento y pagó la tasa judicial.</w:t>
      </w:r>
    </w:p>
    <w:p w:rsidR="00AC56D6" w:rsidRDefault="00AC56D6" w:rsidP="00AC56D6">
      <w:pPr>
        <w:pStyle w:val="TextoNormal"/>
      </w:pPr>
    </w:p>
    <w:p w:rsidR="00AC56D6" w:rsidRDefault="00AC56D6" w:rsidP="00AC56D6">
      <w:pPr>
        <w:pStyle w:val="TextoNormal"/>
      </w:pPr>
      <w:r>
        <w:t>Concluye el Fiscal que la inadmisión del recurso de apelación lesionó el derecho a la tutela judicial efectiva de la parte recurrente (art. 24.1 CE), en su modalidad de acceso a los recursos, e interesa que otorguemos el amparo declarando tal vulneración y la nulidad de los Autos de 10 de abril de 2013, de la Sección Decimoctava de la Audiencia Provincial de Madrid, y de 7 de febrero de 2013, del Juzgado de Primera Instancia núm. 9 de Madrid, con retroacción de las actuaciones judiciales al momento inmediatamente anterior al pronunciamiento de la última resolución citada, a fin de que se proceda a dictar una nueva, respetuosa con el derecho fundamental reconocido.</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2 de julio de 2015 se acordó para deliberación y votación de la presente Sentencia el día 6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demandante impugna en amparo la decisión de no admitir a trámite el recurso de apelación interpuesto contra la Sentencia dictada en un juicio ordinario en el que fue demandada la actora (autos núm. 924-2009, seguidos ante el Juzgado de Primera Instancia núm. 9 de Madrid), por entenderla contraria al derecho a la tutela judicial efectiva en su vertiente de derecho de acceso a los recursos legalmente establecidos. Aunque la actora afirme dirigir su queja concretamente contra el Auto de la Sección Decimoctava de la Audiencia Provincial de Madrid de 10 de abril de 2013, que desestimó el recurso de queja (núm. 144-2013) interpuesto contra el dictado el 7 de febrero del mismo año por el Juzgado de Primera Instancia núm. 9 de Madrid, que acordó no haber lugar a tener por interpuesto el recurso de apelación, el objeto del amparo debe entenderse extendido también a esta segunda resolución. En efecto, como es doctrina reiterada de este Tribunal, “cuando se impugna en el recurso de amparo una resolución judicial confirmatoria de otras que han sido lógica y cronológicamente presupuesto de aquélla, han de entenderse también recurridas esas precedentes resoluciones judiciales confirmadas” (SSTC 97/1999, de 31 de mayo, FJ 2; 178/2003, de 13 de octubre, FJ 2; 139/2007, de 4 de junio, FJ 1; 58/2008, de 28 de abril, FJ 1, y 40/2009, de 9 de febrero, FJ 2). En todo caso, en el cuerpo de su demanda, la actora interesa también la declaración de nulidad del Auto del Juzgado de Primera Instancia núm. 9 de Madrid de 7 de febrero de 2013.</w:t>
      </w:r>
    </w:p>
    <w:p w:rsidR="00AC56D6" w:rsidRDefault="00AC56D6" w:rsidP="00AC56D6">
      <w:pPr>
        <w:pStyle w:val="TextoNormal"/>
      </w:pPr>
    </w:p>
    <w:p w:rsidR="00AC56D6" w:rsidRDefault="00AC56D6" w:rsidP="00AC56D6">
      <w:pPr>
        <w:pStyle w:val="TextoNormal"/>
      </w:pPr>
      <w:r>
        <w:lastRenderedPageBreak/>
        <w:t>Sostiene la actora que la no admisión a trámite del recurso de apelación, por la falta de presentación del impreso justificante del abono de la tasa judicial dentro del plazo de interposición del recurso de apelación, se hizo en virtud de una interpretación rigorista y formalista del art. 8.2 de la Ley 10/2012, de 20 de noviembre, por la que se regulan determinadas tasas en el ámbito de la Administración de Justicia y del Instituto Nacional de Toxicología y Ciencias Forenses, que le generó indefensión, pues se le impidió el acceso a la segunda instancia por no haber cumplido con el requisito legal, cuando el defecto había sido subsanado por la parte a requerimiento del propio órgano judicial. Se afirma en la demanda que otros órganos judiciales, contemporáneamente y en supuestos similares, habrían decidido a favor de la admisión a trámite. Asimismo, la demanda pone de relieve el trato diferente recibido por la contraparte en el proceso, a la que no se exigió la liquidación de la tasa judicial cuando interpuso su recurso de apelación (aunque ello se debió a que en ese momento no había entrado aún en vigor la Ley 10/2012, pues no se había publicado aún la Orden del Ministerio de Hacienda y Administraciones públicas aprobatoria de los procedimientos y modelos de autoliquidación del tributo, prevista en el art. 9.2 de aquella Ley): estas dos desigualdades de trato apuntadas en la demanda se afirman no como motivo autónomo de amparo, sino como argumento para reforzar la queja de vulneración del derecho a la tutela judicial efectiva.</w:t>
      </w:r>
    </w:p>
    <w:p w:rsidR="00AC56D6" w:rsidRDefault="00AC56D6" w:rsidP="00AC56D6">
      <w:pPr>
        <w:pStyle w:val="TextoNormal"/>
      </w:pPr>
    </w:p>
    <w:p w:rsidR="00AC56D6" w:rsidRDefault="00AC56D6" w:rsidP="00AC56D6">
      <w:pPr>
        <w:pStyle w:val="TextoNormal"/>
      </w:pPr>
      <w:r>
        <w:t>En el trámite de alegaciones, el Ministerio Fiscal ha interesado la estimación del recurso, con otorgamiento del amparo solicitado, al entender que la resolución que se impugna vulnera el derecho fundamental.</w:t>
      </w:r>
    </w:p>
    <w:p w:rsidR="00AC56D6" w:rsidRDefault="00AC56D6" w:rsidP="00AC56D6">
      <w:pPr>
        <w:pStyle w:val="TextoNormal"/>
      </w:pPr>
    </w:p>
    <w:p w:rsidR="00AC56D6" w:rsidRDefault="00AC56D6" w:rsidP="00AC56D6">
      <w:pPr>
        <w:pStyle w:val="TextoNormal"/>
      </w:pPr>
      <w:r w:rsidRPr="00AC56D6">
        <w:rPr>
          <w:rStyle w:val="NumeroAFNegritaCaracter"/>
        </w:rPr>
        <w:t>2</w:t>
      </w:r>
      <w:r>
        <w:t xml:space="preserve">. Haciendo un breve recordatorio de los antecedentes del caso, se ha de reseñar que la sociedad demandante interpuso recurso de apelación contra la sentencia de primera instancia, en aplicación de lo establecido por el art. 458 de la Ley de enjuiciamiento civil (LEC). La resolución apelada fue notificada el 3 de diciembre de 2012, por lo cual el plazo legal de veinte días para la interposición del recurso vencía el día 8 de enero de 2013. Acogiéndose a la norma establecida por el art. 135.1 LEC, la actora presentó el escrito de apelación al día siguiente del </w:t>
      </w:r>
      <w:r w:rsidRPr="00AC56D6">
        <w:rPr>
          <w:i/>
        </w:rPr>
        <w:t>dies ad quem</w:t>
      </w:r>
      <w:r>
        <w:t>, es decir, el día 9 de enero de 2013, antes de las 15:00 horas. Al advertirse por el órgano judicial que no se había presentado la hoja de autoliquidación de la tasa judicial, como exigía el art. 8.2 de la Ley 10/2012 (que devino plenamente aplicable a lo largo del plazo de interposición del recurso), se le requirió por diligencia de ordenación de 10 de enero de 2013, notificada el día 15 de enero, para que subsanara el defecto, lo que hizo la demandante de amparo el día 21 de ese mes, esto es, dentro del cuarto día hábil posterior a ser requerido.</w:t>
      </w:r>
    </w:p>
    <w:p w:rsidR="00AC56D6" w:rsidRDefault="00AC56D6" w:rsidP="00AC56D6">
      <w:pPr>
        <w:pStyle w:val="TextoNormal"/>
      </w:pPr>
    </w:p>
    <w:p w:rsidR="00AC56D6" w:rsidRDefault="00AC56D6" w:rsidP="00AC56D6">
      <w:pPr>
        <w:pStyle w:val="TextoNormal"/>
      </w:pPr>
      <w:r>
        <w:t>A raíz de esos hechos, el Juzgado de Primera Instancia entendió que la subsanación del defecto procesal se produjo con posterioridad al vencimiento del plazo de veinte días establecido por el art. 458.1 LEC, lo que determinaba la falta de cumplimiento en tiempo y, consecuentemente, la no procedencia de la admisión a trámite del recurso. Se basaba la decisión en el párrafo dos del art. 8.2 de la Ley 10/2012, en la redacción entonces vigente, de cuya aplicación se entendió por el órgano judicial que la apertura de un trámite de subsanación no interrumpía el plazo de veinte días para apelar, de modo que, habiéndose subsanado el defecto una vez vencido dicho plazo (que finalizó el 9 de enero y se subsanó el 21 de ese mes), no podía admitirse a trámite el recurso. Esta interpretación sería confirmada por la Audiencia Provincial en el Auto que resolvió el recurso de queja.</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3</w:t>
      </w:r>
      <w:r>
        <w:t xml:space="preserve">. El objeto del presente recurso se ciñe, en consecuencia, a determinar si la decisión del Juzgado de no admitir el recurso de apelación, confirmada en queja por la Audiencia Provincial, es conforme con el derecho de acceso a los recursos legalmente establecidos o si, por el contrario, ha vulnerado el derecho a la tutela judicial efectiva (art. 24.1 CE). No nos corresponde enjuiciar aquí, sin embargo, la constitucionalidad de la norma aplicada (cuestión que, en términos generales, excede los límites del recurso de amparo y que no ha sido planteada por la recurrente en su escrito inicial); tampoco forma parte del </w:t>
      </w:r>
      <w:r w:rsidRPr="00AC56D6">
        <w:rPr>
          <w:i/>
        </w:rPr>
        <w:t>thema decidendum</w:t>
      </w:r>
      <w:r>
        <w:t xml:space="preserve"> cómo cohonestar el art. 8.2, párrafo segundo, de la Ley 10/2012, en su redacción original —que fue la aplicada en las resoluciones impugnadas—, con las normas sobre admisión del recurso de apelación, en concreto con la que determina el plazo (art. 458 LEC). A este respecto se debe recordar que, de acuerdo con nuestra doctrina, ya desde la STC 37/1995, de 7 de febrero, “la interpretación de los requisitos procesales y supuestos en que, conforme a la ley, proceden los recursos corresponde a los Tribunales ordinarios, no debiendo este Tribunal Constitucional revisar sus decisiones en la vía de amparo más que cuando se haya producido una denegación de la admisión a trámite del mismo arbitraria, irrazonable, </w:t>
      </w:r>
      <w:r w:rsidRPr="00AC56D6">
        <w:rPr>
          <w:i/>
        </w:rPr>
        <w:t>intuitu personae</w:t>
      </w:r>
      <w:r>
        <w:t>, o incurriendo en error patente” (SSTC 128/1998, de 16 de junio, FJ 4; 65/2002, de 11 de marzo, FJ 3, o 167/2003, de 29 de septiembre, entre otras). No se trata, por tanto, de interpretar las normas procesales en juego, sino de ver si la interpretación dada en el caso es compatible con el derecho fundamental. Precisamente, la especial trascendencia constitucional de este recurso obedece a la problemática surgida desde la perspectiva del derecho a la tutela judicial efectiva en relación con la interpretación de la cuestión referida a la subsanación contemplada en el art. 8.2 de la Ley 10/2012, Ley que acababa de entrar en vigor pocos días antes de su aplicación a la actora, y que precisó, tres meses después de su publicación, de una modificación introducida por el Real Decreto-ley 3/2013, de 22 de febrero (por el que se modifica el régimen de las tasas en el ámbito de la Administración de Justicia y el sistema de asistencia jurídica gratuita), que estableció el plazo específico de subsanación para la aportación del justificante del abono de la tasa, plazo no previsto en la Ley 10/2012, lo que demuestra que el propio legislador ha sido consciente de los problemas que ha suscitado la aplicación del art. 8.2 de la Ley 10/2012, y que otorga a los mismos un alcance general del que no puede abstraerse este Tribunal.</w:t>
      </w:r>
    </w:p>
    <w:p w:rsidR="00AC56D6" w:rsidRDefault="00AC56D6" w:rsidP="00AC56D6">
      <w:pPr>
        <w:pStyle w:val="TextoNormal"/>
      </w:pPr>
    </w:p>
    <w:p w:rsidR="00AC56D6" w:rsidRDefault="00AC56D6" w:rsidP="00AC56D6">
      <w:pPr>
        <w:pStyle w:val="TextoNormal"/>
      </w:pPr>
      <w:r>
        <w:t>Debe asimismo recordarse que, con excepción del derecho a la revisión de la sentencia penal de condena por un tribunal superior, que deriva directamente del art. 24.1 CE, el derecho a los recursos es de configuración legal: “es competencia del legislador la configuración del sistema de recursos contra las diversas resoluciones judiciales, arbitrando los medios impugnatorios que estime convenientes con arreglo a los criterios de ordenación que juzgue más oportunos, siendo imaginable, posible y real la eventualidad de que incluso no existan” (STC 120/2009, de 18 de mayo, FJ 2). Lo cual significa que, de acuerdo con la STC 37/1995, de 7 de febrero, “[n]o puede encontrarse en la Constitución ninguna norma o principio que imponga la necesidad de una doble instancia o de unos determinados recursos, siendo posible en abstracto su inexistencia o condicionar su admisibilidad al cumplimiento de ciertos requisitos. El establecimiento y regulación en esta materia, pertenece al ámbito de libertad del legislador” (FJ 5).</w:t>
      </w:r>
    </w:p>
    <w:p w:rsidR="00AC56D6" w:rsidRDefault="00AC56D6" w:rsidP="00AC56D6">
      <w:pPr>
        <w:pStyle w:val="TextoNormal"/>
      </w:pPr>
    </w:p>
    <w:p w:rsidR="00AC56D6" w:rsidRDefault="00AC56D6" w:rsidP="00AC56D6">
      <w:pPr>
        <w:pStyle w:val="TextoNormal"/>
      </w:pPr>
      <w:r>
        <w:t xml:space="preserve">Ello permite diferenciar el derecho de acceso al recurso, del derecho de acceso a la jurisdicción. Mientras que “el derecho de acceder a la justicia no viene otorgado por la ley, sino por la Constitución misma” (STC 58/1995, de 10 de marzo, FJ 2), el eventual derecho al recurso no es sólo un derecho de configuración legal; es, sobre todo, un derecho de creación </w:t>
      </w:r>
      <w:r>
        <w:lastRenderedPageBreak/>
        <w:t>legal (STC 181/2001, de 17 de septiembre, FJ 3). Uno y otro derecho son, por consiguiente, “cualitativa y cuantitativamente distintos”, según terminante afirmación del Pleno en la citada STC 37/1995, de 7 de febrero, FJ 5, con especial incidencia en el canon de motivación constitucionalmente exigible. Así, el hecho de que una resolución judicial niegue la admisión de un recurso contra una resolución previa no la hace sólo por ello constitucionalmente sospechosa, pues la inadmisión, por sí misma, no supone la negación del ejercicio de ningún derecho constitucional. Se trataría de una resolución que —al igual que la que admitiera el recurso pese a la oposición de la parte recurrida— aplicaría la legislación ordinaria y que, como tal, no podría ser revisada por este Tribunal, cuya jurisdicción en el recurso de amparo sólo le permite conocer de violaciones de los derechos fundamentales y libertades públicas reconocidas en la Sección Primera del capítulo segundo del título primero y en el art. 14 de la Constitución [arts. 161.1 b) y 53.2]. El ejercicio de la potestad jurisdiccional, en cambio, corresponde exclusivamente a los Juzgados y Tribunales (art. 117.3 CE), ante quienes se agotan los juicios sobre los demás derechos que reconoce el ordenamiento.</w:t>
      </w:r>
    </w:p>
    <w:p w:rsidR="00AC56D6" w:rsidRDefault="00AC56D6" w:rsidP="00AC56D6">
      <w:pPr>
        <w:pStyle w:val="TextoNormal"/>
      </w:pPr>
    </w:p>
    <w:p w:rsidR="00AC56D6" w:rsidRDefault="00AC56D6" w:rsidP="00AC56D6">
      <w:pPr>
        <w:pStyle w:val="TextoNormal"/>
      </w:pPr>
      <w:r>
        <w:t xml:space="preserve">Lo anterior no quiere decir que el derecho de acceso a los recursos legalmente establecidos </w:t>
      </w:r>
      <w:r w:rsidRPr="00AC56D6">
        <w:rPr>
          <w:i/>
        </w:rPr>
        <w:t>ex</w:t>
      </w:r>
      <w:r>
        <w:t xml:space="preserve"> art. 24.1 CE no proteja a los ciudadanos frente a decisiones que rechacen la admisión de los mismos; pero lo hace cuando esas decisiones son arbitrarias en la aplicación del Derecho, irrazonables o incurren en errores fácticos patentes (ATC 271/2008, de 15 de septiembre, FJ 2); una protección que, en los mismos términos, se da también frente a pronunciamientos judiciales de esas características que admitan indebidamente un recurso. Según hemos dicho en alguna ocasión, del mismo modo que “la inadmisión irrazonable o arbitraria de un recurso legalmente previsto … lesiona el derecho a la tutela judicial efectiva … también la admisión de un recurso que legalmente no procede puede infringir el art. 24.1 de la Constitución” (STC 187/1989, de 13 de noviembre, FJ 2).</w:t>
      </w:r>
    </w:p>
    <w:p w:rsidR="00AC56D6" w:rsidRDefault="00AC56D6" w:rsidP="00AC56D6">
      <w:pPr>
        <w:pStyle w:val="TextoNormal"/>
      </w:pPr>
    </w:p>
    <w:p w:rsidR="00AC56D6" w:rsidRDefault="00AC56D6" w:rsidP="00AC56D6">
      <w:pPr>
        <w:pStyle w:val="TextoNormal"/>
      </w:pPr>
      <w:r w:rsidRPr="00AC56D6">
        <w:rPr>
          <w:rStyle w:val="NumeroAFNegritaCaracter"/>
        </w:rPr>
        <w:t>4</w:t>
      </w:r>
      <w:r>
        <w:t>. La cuestión que se nos plantea exige atender, no tanto al sentido del pronunciamiento judicial impugnado —la inadmisión de una apelación civil, que resulta constitucionalmente indiferente—, sino al razonamiento seguido para alcanzarlo. Y ello, además, no con vistas a imponer a los órganos que dictaron las resoluciones impugnadas el criterio interpretativo que resulte más favorecedor del acceso al recurso que reclama la demandante, sino únicamente para verificar si la interpretación legal en que se basa aquel pronunciamiento es arbitraria o irrazonable, “único motivo por el cual … en el ámbito del acceso a los recursos cabría estimar la violación del art. 24.1 CE”, según palabras del Pleno en el fundamento jurídico 4 de la STC 119/1998, de 4 de junio.</w:t>
      </w:r>
    </w:p>
    <w:p w:rsidR="00AC56D6" w:rsidRDefault="00AC56D6" w:rsidP="00AC56D6">
      <w:pPr>
        <w:pStyle w:val="TextoNormal"/>
      </w:pPr>
    </w:p>
    <w:p w:rsidR="00AC56D6" w:rsidRDefault="00AC56D6" w:rsidP="00AC56D6">
      <w:pPr>
        <w:pStyle w:val="TextoNormal"/>
      </w:pPr>
      <w:r>
        <w:t>Es precisamente en este contexto, el de la motivación de la decisión de inadmisión, atendidas las circunstancias del caso, donde encuentra acomodo la tesis favorable al otorgamiento del amparo. Tal y como se ha relatado, el órgano judicial, en cumplimiento de lo establecido por el art. 8.2 de la Ley 10/2012 en su redacción original, requirió a la apelante y ahora demandante de amparo para que procediera a subsanar la falta de aportación del justificante de abono de la tasa judicial, advirtiendo de que “la falta de presentación del indicado justificante de autoliquidación no impedirá la aplicación de los plazos establecidos en la legislación procesal”, lo que podría conducir, en caso de ausencia de subsanación de la deficiencia, tras el requerimiento, a la preclusión del plazo procesal, como así ocurrió finalmente en la resolución impugnada.</w:t>
      </w:r>
    </w:p>
    <w:p w:rsidR="00AC56D6" w:rsidRDefault="00AC56D6" w:rsidP="00AC56D6">
      <w:pPr>
        <w:pStyle w:val="TextoNormal"/>
      </w:pPr>
    </w:p>
    <w:p w:rsidR="00AC56D6" w:rsidRDefault="00AC56D6" w:rsidP="00AC56D6">
      <w:pPr>
        <w:pStyle w:val="TextoNormal"/>
      </w:pPr>
      <w:r>
        <w:lastRenderedPageBreak/>
        <w:t>Partiendo de la premisa de que el art. 8.2, párrafo segundo, de la Ley 10/2012 contempla la posibilidad de subsanar la falta de aportación del justificante de pago de la tasa, la aplicación que de dicho precepto realizó en el proceso el órgano judicial resulta manifiestamente irrazonable, y no compatible, por consiguiente, con las exigencias del derecho fundamental invocado. Y ello es así porque realiza una interpretación que no permite compatibilizar dicho precepto con las normas procesales sobre admisión del recurso de apelación, y, más en concreto, con la que determina el plazo de interposición (art. 458 LEC), haciendo ilusoria, finalmente la posibilidad de subsanación que ofrece al justiciable el art. 8.2 de la Ley 10/2012. Que unas y otras normas sean compatibles y resulten de efectiva aplicación obliga a realizar una interpretación sistemática que no produzca la consecuencia de privar de efectividad a la norma que permite la subsanación. Y éste ha sido, precisamente, el resultado al que ha conducido la interpretación del órgano judicial al realizar una lectura del precepto que, a la postre, y habida cuenta de la fecha de presentación del recurso, ha impedido cualquier hipótesis de subsanación. En efecto, la recurrente interpuso su recurso de apelación defectuosamente, pero en tiempo, en el último día posible dentro del plazo, en aplicación del art. 135.1 LEC. El Secretario judicial requirió por diligencia de ordenación a la apelante para que procediera a subsanar la omisión, sin indicar un plazo de subsanación, que tampoco establecía el art. 8.2 de la Ley 10/2012. Ahora bien, a partir del entendimiento que de este precepto realizó el órgano judicial, dicho requerimiento resultó de imposible cumplimiento para la parte, habida cuenta que la diligencia de ordenación se dictó y notificó fuera del plazo de veinte días de interposición del recurso de apelación, por más que la apelante subsanó, en efecto, la omisión, dentro de los cuatro días hábiles siguientes. Lo relevante en el caso del presente recurso de amparo es que no resulta razonable, desde el plano del derecho a la tutela judicial efectiva, que un órgano judicial, en las condiciones que concurren en el caso, requiera a la parte para que subsane el defecto, tal y como le exigía la ley, para, una vez atendido por la parte dicho requerimiento y aportado el justificante de la autoliquidación de la tasa judicial, acordar que esa subsanación se realizó fuera del plazo de interposición del recurso. La concesión de aquel trámite implicó el reconocimiento de la naturaleza subsanable del defecto y confirmó al apelante la posibilidad de tal subsanación. Posibilidad que, sin embargo, quedó totalmente frustrada como consecuencia de la irrazonable y asistemática interpretación que el órgano judicial realizó de la previsión legal en conjunción con el art. 458 LEC, privando de todo sentido a la oportunidad que otorga el art. 8.2 de la Ley 10/2012. Al no tener por debidamente cumplido el requisito y por admitido el recurso de apelación una vez subsanado el defecto apreciado, y manifestada, por tanto, la voluntad favorable al cumplimiento por parte del sujeto pasivo, la decisión judicial de inadmitir la apelación no cumplió con el canon constitucional de razonabilidad exigible en la interpretación de la norma, de acuerdo con las exigencias que derivan del art. 24.1 CE.</w:t>
      </w:r>
    </w:p>
    <w:p w:rsidR="00AC56D6" w:rsidRDefault="00AC56D6" w:rsidP="00AC56D6">
      <w:pPr>
        <w:pStyle w:val="TextoNormal"/>
      </w:pPr>
    </w:p>
    <w:p w:rsidR="00AC56D6" w:rsidRDefault="00AC56D6" w:rsidP="00AC56D6">
      <w:pPr>
        <w:pStyle w:val="TextoNormal"/>
      </w:pPr>
      <w:r>
        <w:t xml:space="preserve">No contradice este argumento el hecho de que el recurrente no subsanase el defecto hasta pasados cuatro días hábiles desde que lo recibió. Como recuerda el Fiscal en su escrito de alegaciones, el plazo de cuatro días para subsanar un defecto procesal es razonable, considerando que es un período inferior al plazo general de diez días previsto para otros supuestos en la Ley de enjuiciamiento civil (por ejemplo, en los arts. 254.4 II, 418.1, 465.4 II y 484.1). Más aún, aunque la recurrente hubiera subsanado el defecto procesal el mismo día en que fue notificada la diligencia de ordenación de 10 de enero de 2013, lo habría hecho fuera de plazo, a la luz de la interpretación efectuada por el órgano judicial. A mayor abundamiento, cabe señalar que en la modificación llevada a cabo en el art. 8.2 de la Ley 10/2012 por el Real Decreto-ley 3/2013, de 22 de febrero, se incorporó al precepto un plazo de subsanación </w:t>
      </w:r>
      <w:r>
        <w:lastRenderedPageBreak/>
        <w:t>de diez días, norma no aplicable retroactivamente al caso, pero que puede operar como criterio orientativo del sentido del precepto en su redacción original</w:t>
      </w:r>
    </w:p>
    <w:p w:rsidR="00AC56D6" w:rsidRDefault="00AC56D6" w:rsidP="00AC56D6">
      <w:pPr>
        <w:pStyle w:val="TextoNormal"/>
      </w:pPr>
    </w:p>
    <w:p w:rsidR="00AC56D6" w:rsidRDefault="00AC56D6" w:rsidP="00AC56D6">
      <w:pPr>
        <w:pStyle w:val="TextoNormal"/>
      </w:pPr>
      <w:r>
        <w:t>Como sostiene el Fiscal, la interpretación sostenida en las resoluciones impugnadas hace ilusoria la posibilidad de subsanación prevista legalmente, abocando inevitablemente al cierre del recurso en los casos como el enjuiciado, y el derecho a subsanar un defecto procesal cuando el órgano judicial concede la posibilidad de subsanación.</w:t>
      </w:r>
    </w:p>
    <w:p w:rsidR="00AC56D6" w:rsidRDefault="00AC56D6" w:rsidP="00AC56D6">
      <w:pPr>
        <w:pStyle w:val="TextoNormal"/>
      </w:pPr>
    </w:p>
    <w:p w:rsidR="00AC56D6" w:rsidRDefault="00AC56D6" w:rsidP="00AC56D6">
      <w:pPr>
        <w:pStyle w:val="TextoNormal"/>
      </w:pPr>
      <w:r>
        <w:t xml:space="preserve">En un caso que </w:t>
      </w:r>
      <w:r w:rsidRPr="00AC56D6">
        <w:rPr>
          <w:i/>
        </w:rPr>
        <w:t>mutatis mutandis</w:t>
      </w:r>
      <w:r>
        <w:t xml:space="preserve"> presenta analogías con el presente —pues se refiere no a la tasa judicial sino al depósito para recurrir que regula la disposición adicional decimoquinta de la Ley Orgánica del Poder Judicial (LOPJ) y no al auto de inadmisión, sino a la sentencia desestimatoria— este Tribunal ha entendido no conforme con el derecho fundamental la decisión en sentencia de una Audiencia Provincial, de desestimar un recurso de apelación por extemporáneo, al no haberse consignado dicho depósito dentro del plazo para recurrir. En ese caso (STC 129/2012, de 18 de junio: “[e]n el ámbito de los recursos civiles, es doctrina de este Tribunal que siempre que el requisito incumplido o defectuosamente formalizado no se configure por ley como un presupuesto procesal ‘de indeclinable cumplimiento en tiempo y forma’ (STC 46/2004, de 23 de marzo, FJ 5), deberá permitirse a la parte subsanar el defecto, favoreciendo el principio de conservación de los actos procesales —art. 243 LOPJ—, y garantizando la realización del derecho a la tutela judicial efectiva (así, SSTC 107/2005, de 9 de mayo, F 4; 79/2006, de 13 de marzo, FFJJ 2 y 3; 23/2009, de 26 de enero, FFJJ 2 y 4; 25/2009, de 26 de enero, FFJJ 3 y 5; y, últimamente, SSTC 79/2012, de 17 de abril, FJ 8, y 85/2012, de 18 de abril, FJ 3)”. Asimismo, se establece, en relación con el depósito para recurrir en el orden civil, que “la inadmisión de un recurso por la falta de constitución de ese depósito, se considerará una decisión irrazonable y contraria al art. 24.1 CE, si la norma aplicable prevé la posibilidad de un trámite de subsanación del que no quede excluido, precisamente, el supuesto de la falta de constitución, y siempre que la parte recurrente cumpla el requisito dentro del plazo otorgado por el órgano judicial” (con cita de las SSTC 217/2002, de 25 de noviembre, FJ 4, y 197/2005, de 18 de julio, FJ 3).</w:t>
      </w:r>
    </w:p>
    <w:p w:rsidR="00AC56D6" w:rsidRDefault="00AC56D6" w:rsidP="00AC56D6">
      <w:pPr>
        <w:pStyle w:val="TextoNormal"/>
      </w:pPr>
    </w:p>
    <w:p w:rsidR="00AC56D6" w:rsidRDefault="00AC56D6" w:rsidP="00AC56D6">
      <w:pPr>
        <w:pStyle w:val="TextoNormal"/>
      </w:pPr>
      <w:r w:rsidRPr="00AC56D6">
        <w:rPr>
          <w:rStyle w:val="NumeroAFNegritaCaracter"/>
        </w:rPr>
        <w:t>5</w:t>
      </w:r>
      <w:r>
        <w:t>. En el presente caso, el órgano judicial no concedió un plazo de subsanación, pero sí la posibilidad de subsanar —en las condiciones señaladas— por lo que la decisión judicial debió ser consecuente con la expectativa creada en la apelante, y debió ser favorable a la admisión del recurso devolutivo, al haber sido atendida en tiempo razonable por la parte. No haberlo entendido así ha conducido a una interpretación no razonable de las normas sobre admisión del recurso de apelación en relación con las que regulan la tasa judicial, no compatible con el derecho fundamental a la tutela judicial efectiva, en su vertiente de derecho de acceso a los recursos legalmente establecidos, lo que conlleva el otorgamiento del amparo solicitado, con la consiguiente nulidad de las resoluciones impugnadas para que se dicte una nueva que resulte respetuosa con el derecho fundamental vulnerado.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lastRenderedPageBreak/>
        <w:t>Ha decidido</w:t>
      </w:r>
    </w:p>
    <w:p w:rsidR="00AC56D6" w:rsidRDefault="00AC56D6" w:rsidP="00AC56D6">
      <w:pPr>
        <w:pStyle w:val="TextoNormalCentrado"/>
        <w:keepNext/>
      </w:pPr>
    </w:p>
    <w:p w:rsidR="00AC56D6" w:rsidRDefault="00AC56D6" w:rsidP="00AC56D6">
      <w:pPr>
        <w:pStyle w:val="TextoNormal"/>
      </w:pPr>
      <w:r>
        <w:t>Estimar el recurso de amparo interpuesto por Construcciones Ferymer, S.A., y, en consecuencia:</w:t>
      </w:r>
    </w:p>
    <w:p w:rsidR="00AC56D6" w:rsidRDefault="00AC56D6" w:rsidP="00AC56D6">
      <w:pPr>
        <w:pStyle w:val="TextoNormal"/>
      </w:pPr>
    </w:p>
    <w:p w:rsidR="00AC56D6" w:rsidRDefault="00AC56D6" w:rsidP="00AC56D6">
      <w:pPr>
        <w:pStyle w:val="TextoNormal"/>
      </w:pPr>
      <w:r>
        <w:t>1° Reconocer el derecho de la entidad demandante de amparo a la tutela judicial efectiva (art. 24.1 CE).</w:t>
      </w:r>
    </w:p>
    <w:p w:rsidR="00AC56D6" w:rsidRDefault="00AC56D6" w:rsidP="00AC56D6">
      <w:pPr>
        <w:pStyle w:val="TextoNormal"/>
      </w:pPr>
    </w:p>
    <w:p w:rsidR="00AC56D6" w:rsidRDefault="00AC56D6" w:rsidP="00AC56D6">
      <w:pPr>
        <w:pStyle w:val="TextoNormal"/>
      </w:pPr>
      <w:r>
        <w:t>2º Restablecerla en el citado derecho y, a tal fin, declarar la nulidad de los Autos de 7 de febrero de 2013, del Juzgado de Primera Instancia núm. 9 de Madrid, y de 10 de abril de 2013, de la Sección Decimoctava de la Audiencia Provincial de Madrid.</w:t>
      </w:r>
    </w:p>
    <w:p w:rsidR="00AC56D6" w:rsidRDefault="00AC56D6" w:rsidP="00AC56D6">
      <w:pPr>
        <w:pStyle w:val="TextoNormal"/>
      </w:pPr>
    </w:p>
    <w:p w:rsidR="00AC56D6" w:rsidRDefault="00AC56D6" w:rsidP="00AC56D6">
      <w:pPr>
        <w:pStyle w:val="TextoNormal"/>
      </w:pPr>
      <w:r>
        <w:t>3º Retrotraer las actuaciones al momento procesal anterior al dictado del primero de los referidos Autos, para que, en su lugar, se dicte la resolución que sea procedente, con respeto del derecho fundamental vulnerado.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seis de julio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6" w:name="SENTENCIA_2015_150"/>
      <w:r>
        <w:lastRenderedPageBreak/>
        <w:t>SENTENCIA 150/2015, de 6 de julio de 2015</w:t>
      </w:r>
    </w:p>
    <w:bookmarkEnd w:id="6"/>
    <w:p w:rsidR="00AC56D6" w:rsidRDefault="00AC56D6" w:rsidP="00AC56D6">
      <w:pPr>
        <w:pStyle w:val="TtuloResolucin"/>
      </w:pPr>
      <w:r>
        <w:t>Sala Primera</w:t>
      </w:r>
    </w:p>
    <w:p w:rsidR="00AC56D6" w:rsidRDefault="00AC56D6" w:rsidP="00AC56D6">
      <w:pPr>
        <w:pStyle w:val="TtuloBOE"/>
      </w:pPr>
      <w:r>
        <w:t>(BOE núm. 194, de 14 de agosto de 2015)</w:t>
      </w:r>
    </w:p>
    <w:p w:rsidR="00AC56D6" w:rsidRDefault="00AC56D6" w:rsidP="00AC56D6">
      <w:pPr>
        <w:pStyle w:val="TextoNormalCentrado"/>
      </w:pPr>
      <w:r>
        <w:t>ECLI:ES:TC:2015:150</w:t>
      </w:r>
    </w:p>
    <w:p w:rsidR="00AC56D6" w:rsidRDefault="00AC56D6" w:rsidP="00AC56D6">
      <w:pPr>
        <w:pStyle w:val="TextoNormalCentrado"/>
      </w:pPr>
    </w:p>
    <w:p w:rsidR="00AC56D6" w:rsidRDefault="00AC56D6" w:rsidP="00AC56D6">
      <w:pPr>
        <w:pStyle w:val="SntesisDescriptiva"/>
      </w:pPr>
      <w:r>
        <w:t>Recurso de amparo 3717-2013. Promovido por don Juan Rito Cubas en relación con la resolución sancionadora adoptada por la dependencia regional de inspección de la Delegación Especial de Canarias, y las Sentencias de las Salas de lo Contencioso-Administrativo del Tribunal Supremo y del Tribunal Superior de Justicia de Canarias.</w:t>
      </w:r>
    </w:p>
    <w:p w:rsidR="00AC56D6" w:rsidRDefault="00AC56D6" w:rsidP="00AC56D6">
      <w:pPr>
        <w:pStyle w:val="SntesisDescriptiva"/>
      </w:pPr>
    </w:p>
    <w:p w:rsidR="00AC56D6" w:rsidRDefault="00AC56D6" w:rsidP="00AC56D6">
      <w:pPr>
        <w:pStyle w:val="SntesisAnaltica"/>
      </w:pPr>
      <w:r>
        <w:t>Supuesta vulneración del derecho a la legalidad sancionadora: subsunción de la conducta consistente en la emisión de facturas carentes de sustento real en operación económica, en el tipo relativo al incumplimiento de las obligaciones de facturación (STC 146/2015). Voto particular.</w:t>
      </w:r>
    </w:p>
    <w:p w:rsidR="00AC56D6" w:rsidRDefault="00AC56D6" w:rsidP="00AC56D6">
      <w:pPr>
        <w:pStyle w:val="SntesisAnaltica"/>
      </w:pPr>
    </w:p>
    <w:p w:rsidR="00AC56D6" w:rsidRDefault="00AC56D6" w:rsidP="00AC56D6">
      <w:pPr>
        <w:pStyle w:val="Extracto"/>
      </w:pPr>
      <w:r>
        <w:t>1.</w:t>
      </w:r>
      <w:r>
        <w:tab/>
        <w:t>Se rechaza, que la subsunción de los hechos hayan vulnerado el derecho del recurrente a la legalidad penal y sancionadora, como también se rechaza que haya problema alguno de constitucionalidad, en la medida en que la inclusión dentro del tipo agravado de la conducta consistente en la emisión de facturas falsas respeta las pautas metodológicas y axiológicas de interpretación del precepto [FJ 4].</w:t>
      </w:r>
    </w:p>
    <w:p w:rsidR="00AC56D6" w:rsidRDefault="00AC56D6" w:rsidP="00AC56D6">
      <w:pPr>
        <w:pStyle w:val="Extracto"/>
      </w:pPr>
    </w:p>
    <w:p w:rsidR="00AC56D6" w:rsidRDefault="00AC56D6" w:rsidP="00AC56D6">
      <w:pPr>
        <w:pStyle w:val="Extracto"/>
      </w:pPr>
      <w:r>
        <w:t>2.</w:t>
      </w:r>
      <w:r>
        <w:tab/>
        <w:t>Asunto sustancialmente idéntico al que dio lugar a la STC 146/2015, por el cual, la subsunción de la conducta consistente en expedir facturas falsas dentro de la modalidad agravada de la infracción controvertida, relativa a la expedición de facturas con datos falsos o falseados, no puede considerarse que violente los términos del precepto aplicado, ni desde la perspectiva literal, ni desde el punto metodológico, ni, en fin, desde el prisma axiológico, pues, como señalan uno y otro, una factura falsa, por no responder a realidad alguna, no es sino una factura con todos sus datos falsos [FFJJ 2, 4].</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 xml:space="preserve">En el recurso de amparo núm. 3717-2013, promovido por don Juan Rito Cubas, representado por el Procurador de los Tribunales don Gabriel Casado Rodríguez, bajo la dirección del Letrado don Gabriel Casado Ollero, contra la Sentencia de la Sección Séptima de la Sala Tercera del Tribunal Supremo de fecha 22 de marzo de 2013, por la que se desestima </w:t>
      </w:r>
      <w:r>
        <w:lastRenderedPageBreak/>
        <w:t>el recurso de casación núm. 3785-2011 interpuesto contra la Sentencia de la Sección Segunda de la Sala de lo Contencioso-Administrativo del Tribunal Superior de Justicia de Canarias (Las Palmas de Gran Canaria) de fecha 24 de enero de 2011, desestimatoria, a su vez, del recurso contencioso-administrativo núm. 119-2010 promovido contra el acuerdo núm. A23-70337741 de fecha 2 de marzo de 2010 de la Dependencia Regional de Inspección de la Delegación Especial de Canarias, por el que se le impone dos sanciones tributarias por importe total de 808.564,22 € por la comisión de la infracción prevista en el art. 201 de la Ley 58/2003, de 17 de diciembre, general tributaria. Han intervenido el Abogado del Estado, en la representación que ostenta, y el Ministerio Fiscal. Ha sido Ponente el Magistrado don Santiago Martínez-Vares García,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Por escrito registrado en este Tribunal el día 14 de junio de 2013, don Gabriel Casado Rodríguez, Procurador de los Tribunales, en nombre y representación de don Juan Rito Cubas, interpuso recurso de amparo contra las resoluciones judiciales y la administrativa que se indican en el encabezamiento de esta Sentencia. Los hechos de los que trae causa la demanda de amparo son, en síntesis, los siguientes:</w:t>
      </w:r>
    </w:p>
    <w:p w:rsidR="00AC56D6" w:rsidRDefault="00AC56D6" w:rsidP="00AC56D6">
      <w:pPr>
        <w:pStyle w:val="TextoNormal"/>
      </w:pPr>
    </w:p>
    <w:p w:rsidR="00AC56D6" w:rsidRDefault="00AC56D6" w:rsidP="00AC56D6">
      <w:pPr>
        <w:pStyle w:val="TextoNormal"/>
      </w:pPr>
      <w:r>
        <w:t>a) El actor, empresario individual, constaba dado de alta en el impuesto sobre actividades económicas durante los ejercicios 2005 y 2006 en los epígrafes del impuesto sobre actividades económicas (en adelante, IAE) 501.3 (“Albañilería y pequeños trabajos de construcción”), 505.1 (“Revestimientos, solados y pavimentación”) y 505.7 (“Trabajo en yeso y escayola”), estando acogido el régimen de estimación objetiva por módulos en el impuesto sobre la renta de las personas físicas (en adelante, IRPF) y en el impuesto general indirecto canario (en lo sucesivo, IGIC). Durante esos ejercicios prestó servicios de albañilería a la empresa Félix Santiago Melián, S.L., facturándole, respectivamente, unos importes de 213.472,21 € y 436.967,63 €. En sus autoliquidaciones del IRPF declaró unos rendimientos netos de actividades económicas en régimen de estimación objetiva por módulos por importe de 19.632,57 € (2005) y 36.746,55 € (2006), con una cuota tributaria a ingresar de 5.425,83 € (2005) y 6.882,17 € (2006).</w:t>
      </w:r>
    </w:p>
    <w:p w:rsidR="00AC56D6" w:rsidRDefault="00AC56D6" w:rsidP="00AC56D6">
      <w:pPr>
        <w:pStyle w:val="TextoNormal"/>
      </w:pPr>
    </w:p>
    <w:p w:rsidR="00AC56D6" w:rsidRDefault="00AC56D6" w:rsidP="00AC56D6">
      <w:pPr>
        <w:pStyle w:val="TextoNormal"/>
      </w:pPr>
      <w:r>
        <w:t>b) Con fecha de 15 de octubre de 2008 se iniciaron actuaciones de inspección por la Dependencia Regional de Inspección de la Delegación Especial de Canarias, con un alcance parcial, para la comprobación de los resultados de la actividad económica y la procedencia del régimen de estimación objetiva en relación con el IRPF de los ejercicios 2005 y 2006. Fruto de estas actuaciones se dictó con fecha de 2 de marzo de 2010 un acuerdo de liquidación (A23-71632645), en el que se consideraba que el obligado tributario carecía de la estructura empresarial propia de una empresa, sin oficina, local o cualquier otro centro desde el cual llevar la gestión de su actividad, sin vehículos afectos ni lugar donde guardar los útiles y herramientas de la empresa, facturando a un único cliente (la entidad Félix Santiago Melián, S.L.), razón por la cual, se concluye que “no ejerce ninguna actividad económica como empresario individual, habiéndose construido una apariencia externa y formal de tal actividad, dándose de alta como empresario, emitiendo facturas falsas y proporcionando documentos sin soporte material a trabajadores de la empresa” (página 10).</w:t>
      </w:r>
    </w:p>
    <w:p w:rsidR="00AC56D6" w:rsidRDefault="00AC56D6" w:rsidP="00AC56D6">
      <w:pPr>
        <w:pStyle w:val="TextoNormal"/>
      </w:pPr>
    </w:p>
    <w:p w:rsidR="00AC56D6" w:rsidRDefault="00AC56D6" w:rsidP="00AC56D6">
      <w:pPr>
        <w:pStyle w:val="TextoNormal"/>
      </w:pPr>
      <w:r>
        <w:lastRenderedPageBreak/>
        <w:t>Resalta el citado acuerdo que nos encontramos: ante un obligado tributario que es empleado de la entidad Félix Santiago Melián, S.L., y, al mismo tiempo, pretende prestarle servicios de albañilería, revestimientos, solados, pavimentación y trabajos en yeso y escayola, por los que se encuentra dado de alta en el régimen de estimación objetiva (página 20); que es familiar directo de unos de los administradores de la entidad Félix Santiago Melián, S.L.; 3) que emite facturas cuyo único destinatario es la misma entidad Félix Santiago Melián S.L., siendo las cantidades facturadas muy elevadas, sirviendo a la mencionada entidad como justificantes de gastos que reducen el importe del beneficio obtenido; que no es el único “modulero” ficticio que ha sido detectado en relación con la misma entidad receptora de facturas (página 21); y que aunque existen los contratos de trabajadores, los pagos de cotizaciones a la Seguridad Social, el alta en el IAE, la inclusión en el régimen de estimación objetiva a efectos del IRPF y la presentación de declaraciones por dicho impuesto, ello no impide apreciar “que forman parte del conjunto de la simulación, de realización de una actividad económica, conjunto necesario para dar la apariencia material y formal requerida” (página 21).</w:t>
      </w:r>
    </w:p>
    <w:p w:rsidR="00AC56D6" w:rsidRDefault="00AC56D6" w:rsidP="00AC56D6">
      <w:pPr>
        <w:pStyle w:val="TextoNormal"/>
      </w:pPr>
    </w:p>
    <w:p w:rsidR="00AC56D6" w:rsidRDefault="00AC56D6" w:rsidP="00AC56D6">
      <w:pPr>
        <w:pStyle w:val="TextoNormal"/>
      </w:pPr>
      <w:r>
        <w:t>En suma, concluye el acuerdo de liquidación, “la actividad económica del obligado tributario declarada en estimación objetiva, actuando como lo que se conoce por ‘modulero’, es ficticia y orientada a la defraudación en la deuda tributaria del destinatario de las facturas, la entidad Félix Santiago Melián S.L., que computa toda esta facturación entre sus gastos” (página 28), razón por la cual, procede a excluir de la parte general de su base imponible del año 2005 los 19.632,57 € declarados como rendimientos de actividades económicas, dando lugar a una cuota negativa de 8.053,14 €, que se incrementa unos intereses de 1.221,67 €; y de la base imponible del año 2006 los 36.746,55 € declarados como rendimientos de actividades económicas, dando lugar a una cuota negativa de 16.308,70 €, que se incrementa en unos intereses de 1.139,00 €. Todo ello da lugar a una cantidad total a devolver de 26.722,51 €.</w:t>
      </w:r>
    </w:p>
    <w:p w:rsidR="00AC56D6" w:rsidRDefault="00AC56D6" w:rsidP="00AC56D6">
      <w:pPr>
        <w:pStyle w:val="TextoNormal"/>
      </w:pPr>
    </w:p>
    <w:p w:rsidR="00AC56D6" w:rsidRDefault="00AC56D6" w:rsidP="00AC56D6">
      <w:pPr>
        <w:pStyle w:val="TextoNormal"/>
      </w:pPr>
      <w:r>
        <w:t>c) Junto con el anterior acuerdo de liquidación (A23-71632645), la Dependencia Regional de Inspección de la Delegación Especial de Canarias dictó el mismo día 2 de marzo de 2010 un acuerdo sancionador (A23-70337741) por la comisión de dos infracciones muy graves (una por cada ejercicio) del art. 201 de la Ley 58/2003, de 17 de diciembre, general tributaria (en adelante, LGT), relativa al “incumplimiento de las obligaciones de facturación”. Tomando como base de la sanción la facturación realizada a la empresa Félix Santiago Melián, S.L. (que descontando las facturas prescritas asciende a 102.075,17 € en el ejercicio 2005 y a 436.967,63 € en el ejercicio 2006), se le aplica una sanción del 75 por 100 (76.556,28 € y 327.725,73 €, respectivamente), que incrementada en un 100 por 100 (por incumplimiento sustancial de las obligaciones de facturación), ofrece como resultado unas sanciones por importes de 153.112,76 € (ejercicio 2005) y 655.451,46 € (ejercicio 2006). La sanción total a ingresar asciende, en suma, a 808.564,22 €.</w:t>
      </w:r>
    </w:p>
    <w:p w:rsidR="00AC56D6" w:rsidRDefault="00AC56D6" w:rsidP="00AC56D6">
      <w:pPr>
        <w:pStyle w:val="TextoNormal"/>
      </w:pPr>
    </w:p>
    <w:p w:rsidR="00AC56D6" w:rsidRDefault="00AC56D6" w:rsidP="00AC56D6">
      <w:pPr>
        <w:pStyle w:val="TextoNormal"/>
      </w:pPr>
      <w:r>
        <w:t xml:space="preserve">La culpabilidad del recurrente se fundamenta en que se trata de un empleado asalariado de la empresa Félix Santiago Melián, S.L., que factura cantidades cuya única destinataria es precisamente esa misma empresa (página 6). Se trata de lo que se denomina comúnmente como un “modulero”, que le factura a la misma empresa para la que presta servicios como asalariado, habiendo una evidente desproporción en cuanto al margen de beneficios que se deriva de la facturación presuntamente realizada (página 7). “La operatoria resulta obvia: las elevadas facturaciones de los moduleros no repercutían en sus declaraciones tributarias, </w:t>
      </w:r>
      <w:r>
        <w:lastRenderedPageBreak/>
        <w:t>por el régimen de estimación objetiva de rendimientos que les es aplicable, pero significan elevados gastos deducibles para las empresas destinatarias de las facturas” (página 8). Los hechos puestos de manifiesto “apuntan a la inexistencia de actividad real por parte de los moduleros y que las facturas emitidas carecen de contraprestación real”, habiéndose simulado “una actividad económica para girar facturas falsas a la entidad Félix Santiago Melián, S.L., que ésta se computaba entre sus gastos deducibles” (página 8).</w:t>
      </w:r>
    </w:p>
    <w:p w:rsidR="00AC56D6" w:rsidRDefault="00AC56D6" w:rsidP="00AC56D6">
      <w:pPr>
        <w:pStyle w:val="TextoNormal"/>
      </w:pPr>
    </w:p>
    <w:p w:rsidR="00AC56D6" w:rsidRDefault="00AC56D6" w:rsidP="00AC56D6">
      <w:pPr>
        <w:pStyle w:val="TextoNormal"/>
      </w:pPr>
      <w:r>
        <w:t>Conforme a lo anterior “se consideran probados los hechos que aquí constituyen el ilícito administrativo sancionable —la emisión de facturas sin contraprestación real, es decir, falsas, simulando la realización de una actividad inexistente—- y siendo la participación del sujeto infractor incuestionable, resulta ajustado a Derecho proceder a la imposición de la sanción correspondiente a los hechos descritos” (página 8). Los hechos “son constitutivos de la infracción recogida en el art. 201”, conforme al cual “constituye infracción tributaria el incumplimiento de las obligaciones de facturación, entre otras, la de expedición, remisión, rectificación y conservación de facturas, justificantes o documentos sustitutivos” (páginas 11 y 12). Se aplica la sanción prevista, incrementada en un 100 por 100 (art. 201.5 LGT), por haberse producido un incumplimiento sustancial de la obligación de facturación de conformidad con lo previsto en el art. 187.1 c) LGT, que prevé producida la circunstancia del incumplimiento sustancial “cuando dicho incumplimiento afecte a más del 20 por ciento del importe de las operaciones sujetas al deber de facturación en relación con el tributo y obligación tributaria objeto de comprobación o investigación”, “falseamiento de los datos” que ese produce “en la totalidad de las facturas emitidas por el obligado tributario” (página 13).</w:t>
      </w:r>
    </w:p>
    <w:p w:rsidR="00AC56D6" w:rsidRDefault="00AC56D6" w:rsidP="00AC56D6">
      <w:pPr>
        <w:pStyle w:val="TextoNormal"/>
      </w:pPr>
    </w:p>
    <w:p w:rsidR="00AC56D6" w:rsidRDefault="00AC56D6" w:rsidP="00AC56D6">
      <w:pPr>
        <w:pStyle w:val="TextoNormal"/>
      </w:pPr>
      <w:r>
        <w:t>d) Contra el anterior acuerdo se presentó un recurso contencioso-administrativo (núm. 119/2010) ante la Sala de lo Contencioso-Administrativo del Tribunal Superior de Justicia de Canarias (Las Palmas de Gran Canaria), por la vía del procedimiento especial para la protección de los derechos fundamentales. Por Sentencia 3/2011, de 24 de enero, de la Sección Segunda, se acordó desestimar el recurso. Según esta resolución judicial “con independencia de que los hechos imputados estén o no suficientemente probados, extremo que ahora no se discute, es claro que lo que se describe en la infracción objeto de recurso, la falsedad de las facturas por inexistencia de contraprestación real, puede, sin que ello suponga una interpretación analógica, encuadrarse en el tipo descrito de la norma." A ello se añade que como afirma el Abogado del Estado, el art. 25 CE no comprende la garantía de que la elección del tipo infractor sea acertada, como el derecho que consagra el art. 24 CE a la tutela judicial, no garantiza el acierto de las resoluciones judiciales (fundamento de Derecho tercero).</w:t>
      </w:r>
    </w:p>
    <w:p w:rsidR="00AC56D6" w:rsidRDefault="00AC56D6" w:rsidP="00AC56D6">
      <w:pPr>
        <w:pStyle w:val="TextoNormal"/>
      </w:pPr>
    </w:p>
    <w:p w:rsidR="00AC56D6" w:rsidRDefault="00AC56D6" w:rsidP="00AC56D6">
      <w:pPr>
        <w:pStyle w:val="TextoNormal"/>
      </w:pPr>
      <w:r>
        <w:t xml:space="preserve">e) Interpuesto un recurso de casación ante la Sala Tercera del Tribunal Supremo (núm. 3785-2011), por Sentencia de su Sección Séptima con fecha de 22 de marzo de 2013 se desestimó. Para el Tribunal Supremo el recurrente es sancionado por el denominado “fraude de moduleros”, en el que una persona física con vínculos con una sociedad mercantil se da de alta en una actividad económica que tributa bajo el régimen de estimación objetiva por módulos y de esta manera emite una facturación elevada. A su juicio, “los hechos son subsumibles en el tipo infractor del artículo 201.1 y 3. Ciertamente, si como afirma erróneamente la resolución, el recurrente no fuera empresario no estaría obligado a emitir facturas. Sin embargo, el recurrente es empresario porque voluntariamente se dio de alta como tal en el impuesto de actividades económicas, y sólo desde esta condición le es posible la emisión de facturas, contribuyendo así, caso de ser ciertos los hechos (cuestión en la que dados los </w:t>
      </w:r>
      <w:r>
        <w:lastRenderedPageBreak/>
        <w:t>límites de este proceso no podemos entrar), a emitir facturas que el receptor empresario podrá desgravar como gasto. … Si el tipo sancionador castiga a quien siendo empresario emite parcialmente facturas falsas, cubre igualmente la conducta de quien emite todas las facturas falsas. Es evidente que el recurrente, aun cuando todas las facturas emitidas al empresario receptor para el que al parecer trabajaba, fueran falsas, habría podido ejercer la actividad para la que estaba dado de alta fiscalmente con el mismo u otros empresarios, por lo que, pese a la confusión en que pueda incurrir el término ‘falso empresario’, lo único que se desprende de la resolución es que la condición de empresario se adquirió por el recurrente dirigida exclusivamente para emitir facturas falsas contra otro empresario para el que trabajaba exclusivamente” (fundamento de Derecho séptimo).</w:t>
      </w:r>
    </w:p>
    <w:p w:rsidR="00AC56D6" w:rsidRDefault="00AC56D6" w:rsidP="00AC56D6">
      <w:pPr>
        <w:pStyle w:val="TextoNormal"/>
      </w:pPr>
    </w:p>
    <w:p w:rsidR="00AC56D6" w:rsidRDefault="00AC56D6" w:rsidP="00AC56D6">
      <w:pPr>
        <w:pStyle w:val="TextoNormal"/>
      </w:pPr>
      <w:r w:rsidRPr="00AC56D6">
        <w:rPr>
          <w:rStyle w:val="NumeroAFNegritaCaracter"/>
        </w:rPr>
        <w:t>2</w:t>
      </w:r>
      <w:r>
        <w:t>. Se alega en la demanda de amparo la vulneración del derecho a la legalidad penal y sancionadora (art. 25.1 CE), en relación con el art. 201.1, 3 y 5 LGT y con los arts. 392 y 390.1 y 2 del Código penal (CP). Tras precisar los antecedentes de hecho de los que trae causa la demanda de amparo, arranca el recurrente en sus argumentos subrayando que la conducta consistente en expedir “facturas falsas” por quien no es empresario y no ha desarrollado una actividad empresarial sólo puede ser castigada en vía penal, subsumiéndola en el tipo delictivo del art. 390.1.2 CP, pero nunca en vía administrativa (en el tipo agravado del art. 201.3 LGT). Sin embargo, la inspección de los tributos, tras considerar que el ahora actor es un “falso empresario”, siendo consciente de la prescripción de la eventual responsabilidad penal por su propia falta de diligencia, omite pasar el tanto de culpa a la jurisdicción penal por realización del tipo penal previsto en el art. 390.1.2 CP (realización de facturas falsas) y procede a imponer una sanción por comisión de la infracción tributaria agravada del art. 201.3 LGT (falseamiento de facturas). Y lo hace castigando una conducta distinta (expedición de facturas con datos falsos o falseados) de la que le atribuye (expedición de facturas falsas), y, además, por una condición (la de empresario), que previamente le ha negado tener, y con un fundamento en la propia conducta del sujeto (que ha emitido facturas aunque sean falsas).</w:t>
      </w:r>
    </w:p>
    <w:p w:rsidR="00AC56D6" w:rsidRDefault="00AC56D6" w:rsidP="00AC56D6">
      <w:pPr>
        <w:pStyle w:val="TextoNormal"/>
      </w:pPr>
    </w:p>
    <w:p w:rsidR="00AC56D6" w:rsidRDefault="00AC56D6" w:rsidP="00AC56D6">
      <w:pPr>
        <w:pStyle w:val="TextoNormal"/>
      </w:pPr>
      <w:r>
        <w:t>Señala a continuación el recurrente que, tanto la Sección Cuarta de la Sala de lo Contencioso-Administrativo del Tribunal Superior de Justicia de Canarias como la Sección Séptima de la Sala Tercera del Tribunal Supremo, no sólo no han corregido la errónea actuación de la Administración sancionadora en la calificación y tipificación de la conducta infractora, sino que la asumen como propia, tolerando que la inspección de los tributos sancione administrativamente una conducta (la de la emisión de facturas falsas) que sólo estaría tipificada por el legislador penal.</w:t>
      </w:r>
    </w:p>
    <w:p w:rsidR="00AC56D6" w:rsidRDefault="00AC56D6" w:rsidP="00AC56D6">
      <w:pPr>
        <w:pStyle w:val="TextoNormal"/>
      </w:pPr>
    </w:p>
    <w:p w:rsidR="00AC56D6" w:rsidRDefault="00AC56D6" w:rsidP="00AC56D6">
      <w:pPr>
        <w:pStyle w:val="TextoNormal"/>
      </w:pPr>
      <w:r>
        <w:t xml:space="preserve">A juicio del recurrente en amparo, resulta lógica y jurídicamente imposible que un “falso” empresario que realiza una inexistente, por simulada, actividad económica, pueda incumplir una obligación de facturación (art. 201.1 LGT), y además efectuar un “incumplimiento sustancial” de la misma (art. 201.3 LGT), con el agravante de que dicho incumplimiento sustancial afecta a la totalidad de “las operaciones sujetas al deber de facturación” (art. 201.5 LGT). Y resulta jurídicamente imposible, en primer lugar, porque un “falso” empresario no puede incumplir una obligación que sólo resulta legalmente exigible a los empresarios y a los profesionales, al igual que el falso Inspector de Hacienda no puede incumplir las obligaciones legalmente impuestas a los Inspectores de Hacienda, ni el falso médico puede incumplir los deberes deontológicos que resultan exigibles a los profesionales de la medicina. En segundo lugar, porque la Administración sancionadora ha justificado la </w:t>
      </w:r>
      <w:r>
        <w:lastRenderedPageBreak/>
        <w:t xml:space="preserve">imposición de una sanción administrativa acudiendo para ello a la figura de los “actos propios”, encajando en el tipo un comportamiento que no reúne los requisitos típicos indispensables (STC 57/2010, de 4 de octubre, FJ 6), en un claro ejemplo de analogía </w:t>
      </w:r>
      <w:r w:rsidRPr="00AC56D6">
        <w:rPr>
          <w:i/>
        </w:rPr>
        <w:t>in malam partem</w:t>
      </w:r>
      <w:r>
        <w:t>. En tercer lugar, porque no puede admitirse que algo es y no es (STC 24/1984, de 23 de febrero, FJ 3), no siendo posible que la inspección que considera inexistente, simulada y ficticia una actividad empresarial, deje de considerarla como tal a los únicos efectos de sancionar “el incumplimiento sustancial” de las obligaciones de facturación que hubieran existido, de ser real y efectiva la actividad empresarial “simulada”. Con ello, la inspección de los tributos afirma una cosa cuando le conviene (a efectos liquidatorios) y su contraria cuando le vuelve a convenir (a efectos sancionadores).</w:t>
      </w:r>
    </w:p>
    <w:p w:rsidR="00AC56D6" w:rsidRDefault="00AC56D6" w:rsidP="00AC56D6">
      <w:pPr>
        <w:pStyle w:val="TextoNormal"/>
      </w:pPr>
    </w:p>
    <w:p w:rsidR="00AC56D6" w:rsidRDefault="00AC56D6" w:rsidP="00AC56D6">
      <w:pPr>
        <w:pStyle w:val="TextoNormal"/>
      </w:pPr>
      <w:r>
        <w:t>De conformidad con lo que antecede considera el recurrente que ni la inspección de los tributos, ni la Sentencia de la Sección Cuarta de la Sala de lo Contencioso-Administrativo del Tribunal Superior de Justicia de Canarias, ni, en fin, la Sentencia de la Sección Séptima de la Sala Tercera del Tribunal Supremo, pueden prescindir de las exigencias (constitucionales y legales) de la legalidad sancionadora, manejando discrecionalmente los tipos infractores tributarios para incluir la supuesta conducta punible (emisión de facturas falsas) en el tipo del art. 201.3 LGT 2003 que sanciona como infracción muy grave “la expedición de facturas [no falsas] con datos falsos o falseados”, incurriendo con ello en una subsunción totalmente irrazonable de la conducta enjuiciada en el tipo aplicado (STC 57/2010, de 4 de octubre, FJ 6).</w:t>
      </w:r>
    </w:p>
    <w:p w:rsidR="00AC56D6" w:rsidRDefault="00AC56D6" w:rsidP="00AC56D6">
      <w:pPr>
        <w:pStyle w:val="TextoNormal"/>
      </w:pPr>
    </w:p>
    <w:p w:rsidR="00AC56D6" w:rsidRDefault="00AC56D6" w:rsidP="00AC56D6">
      <w:pPr>
        <w:pStyle w:val="TextoNormal"/>
      </w:pPr>
      <w:r>
        <w:t>Precisa a continuación el recurrente que el art. 392.1 CP tipifica como delito la falsedad en documento mercantil por particulares y, concretamente, la simulación de un documento en todo o en parte a la que hace referencia el art. 390.1.2 CP, respecto de la cual el documento debe ser falso (pretendiendo acreditar documentalmente algo totalmente inexistente). En efecto, basta asomarse a la doctrina legal establecida por la Sala Segunda del Tribunal Supremo para comprobar cómo dicho tipo exige incurrir en una simulación “radical y absoluta” (SSTS 1649/2000, de 28 de octubre, y 514/2002, de 29 de mayo), al confeccionarse “deliberadamente con la finalidad de acreditar en el tráfico jurídico una relación jurídica absolutamente inexistente” (SSTS 1647/1998, de 28 de enero de 1999, y 1649/2000, de 28 de octubre), de manera que el documento debe tener un contenido “enteramente mendaz” (STS 495/2011, de 1 de junio), por no responder a realidad alguna (STS de 29 de enero de 2003), intentando “acreditar en el tráfico una relación jurídica irreal” (SSTS 828/1998, de 18 de noviembre; y 1647/1998, de 28 de enero de 1999), “como ocurre con una factura confeccionada, simulando que se trataba de un auténtico documento acreditativo de trabajos que ni se habían realizado en el montante o concepto consignado, ni se habían realizado por importe o concepto alguno, no existiendo en absoluto la relación u operación jurídica que se pretendía acreditar simulando un documento que la reflejase” (STS 815/2007, de 5 de octubre; y en el mismo sentido, SSTS número 1647/1998, de 28 de enero de 1999; y 1649/2000, de 28 de octubre. En igual dirección, SSTS 1302/2002, de 11 de julio; 1536/2002, de 26 de septiembre; 2028/2002, de 2 de diciembre; 325/2004, de 11 de marzo; 145/2005, de 7 de febrero; 37/2006, de 25 de enero; 900/2006, de 22 de septiembre; 63/2007, de 30 de enero; 641/2008, de 10 de octubre, y 35/2010, de 4 de febrero).</w:t>
      </w:r>
    </w:p>
    <w:p w:rsidR="00AC56D6" w:rsidRDefault="00AC56D6" w:rsidP="00AC56D6">
      <w:pPr>
        <w:pStyle w:val="TextoNormal"/>
      </w:pPr>
    </w:p>
    <w:p w:rsidR="00AC56D6" w:rsidRDefault="00AC56D6" w:rsidP="00AC56D6">
      <w:pPr>
        <w:pStyle w:val="TextoNormal"/>
      </w:pPr>
      <w:r>
        <w:t xml:space="preserve">Para el recurrente, la anterior doctrina legal de la Sala Segunda del Tribunal Supremo, ha sido correctamente incorporada al informe A/2/67/05, de 28 de octubre de 2005, de la </w:t>
      </w:r>
      <w:r>
        <w:lastRenderedPageBreak/>
        <w:t>Subdirección General de ordenación legal y asistencia jurídica de la agencia tributaria, relativo a la “Regularización tributaria de facturas falsas cuando no se aprecien indicios de delito contra la Hacienda Pública”. De acuerdo con este informe, “[e]n el caso de que las facturas reflejen operaciones totalmente inexistentes o simuladas, y de que la falsedad impregne totalmente al propio documento, … nos encontraremos ante un supuesto de falsedad documental subsumible en el apartado 2 del artículo 390.1 del CP, y por tanto ante un delito tipificado en la Ley Penal” (página 4). “Cuando las irregularidades detectadas por la Inspección en las facturas sí constituyan indicios de la existencia de un delito de falsedad (recordemos que esto ocurrirá cuando la factura refleje operaciones simuladas inexistentes o ficticias) ésta deberá poner los hechos en conocimiento de la jurisdicción penal, a tenor de lo dispuesto en los artículos 262 de la Ley de Enjuiciamiento Criminal, 95.3 de la LGT y 7 del RGI, a través de la correspondiente denuncia” (página 6). “A este respecto debe tenerse en cuenta que al tratarse de un delito menos grave [artículos 13.2 y 33.3 a) CP] prescribirá, tal y como dispone el artículo 131.1 del mismo cuerpo legal, a los tres años, por lo que podrá darse el caso de que cuando la Inspección detecte la posible falsedad, ésta haya prescrito” (página 6).</w:t>
      </w:r>
    </w:p>
    <w:p w:rsidR="00AC56D6" w:rsidRDefault="00AC56D6" w:rsidP="00AC56D6">
      <w:pPr>
        <w:pStyle w:val="TextoNormal"/>
      </w:pPr>
    </w:p>
    <w:p w:rsidR="00AC56D6" w:rsidRDefault="00AC56D6" w:rsidP="00AC56D6">
      <w:pPr>
        <w:pStyle w:val="TextoNormal"/>
      </w:pPr>
      <w:r>
        <w:t>Conforme a lo que antecede, subraya el recurrente, el Código penal sólo tipifica para los particulares como conducta de falsedad en documento mercantil, la emisión de facturas falsas (falsedad absoluta), mientras que el art. 201 LGT tipifica como infracción tributaria el incumplimiento de las obligaciones “de facturación o documentación” y, concretamente, “el incumplimiento de las obligaciones de facturación, entre otras, la de expedición, remisión, rectificación y conservación de factura, justificantes o documentos sustitutivos” (apartado 1), que califica de “grave” cuando se incumplan “los requisitos exigidos por la normativa reguladora de la obligación de facturación” [apartado 2 a)] o cuando el incumplimiento “consista en la falta de expedición o en la falta de conservación de facturas, justificantes o documentos sustitutivos” [apartado. 2 b)], y de “muy grave” cuando el incumplimiento consista “en la expedición de facturas o documentos sustitutivos con datos falsos o falseados” [apartado 3]. De este modo, el art. 201.3 LGT no acoge como infracción —no podría— la emisión de una factura falsa, pues esa conducta está tipificada penalmente y, ante tal eventualidad, la Administración debe ejercer “la acción penal por el delito de falsedad en documento mercantil” (Sentencia de la Audiencia Nacional de 9 de febrero de 2011), pues “cuando la factura refleje operaciones simuladas inexistentes o ficticias, ésta [la Inspección] deberá poner los hechos en conocimiento de la jurisdicción penal a tenor de lo dispuesto en los artículos 262 de la Ley de Enjuiciamiento Criminal, 95.3 de la LGT y 7 del RGI, a través de la correspondiente denuncia” (informe de la Subdirección General de ordenación legal y asistencia jurídica de 25 de octubre de 2005).</w:t>
      </w:r>
    </w:p>
    <w:p w:rsidR="00AC56D6" w:rsidRDefault="00AC56D6" w:rsidP="00AC56D6">
      <w:pPr>
        <w:pStyle w:val="TextoNormal"/>
      </w:pPr>
    </w:p>
    <w:p w:rsidR="00AC56D6" w:rsidRDefault="00AC56D6" w:rsidP="00AC56D6">
      <w:pPr>
        <w:pStyle w:val="TextoNormal"/>
      </w:pPr>
      <w:r>
        <w:t xml:space="preserve">Pero no sólo eso, llama la atención el recurrente sobre el hecho de que ni siquiera el art. 201.3 LGT acoge como tipo infractor la expedición de facturas “con datos falsos o falseados” pues “dicha conducta no se contempla expresamente a efectos de su tipificación como infracción, pues se entiende contenida en el tipo infractor del apartado 1 al que expresamente se remite, sino a efectos de su calificación como infracción muy grave” (resolución del Tribunal Económico-Administrativo Central de 25 de enero de 2011), de manera que la infracción consiste en incumplir el deber de expedir facturas, incumplimiento que se considera muy grave cuando la factura expedida responde a una relación jurídica real y existente, pero incorpora algún o algunos datos falsos o falseados. Por consiguiente, lo que acoge el art. 201.3 LGT es una circunstancia de agravación de la responsabilidad administrativa para </w:t>
      </w:r>
      <w:r>
        <w:lastRenderedPageBreak/>
        <w:t>aquellos empresarios o profesionales que, en el desarrollo de su actividad empresarial o profesional, emiten facturas falseadas.</w:t>
      </w:r>
    </w:p>
    <w:p w:rsidR="00AC56D6" w:rsidRDefault="00AC56D6" w:rsidP="00AC56D6">
      <w:pPr>
        <w:pStyle w:val="TextoNormal"/>
      </w:pPr>
    </w:p>
    <w:p w:rsidR="00AC56D6" w:rsidRDefault="00AC56D6" w:rsidP="00AC56D6">
      <w:pPr>
        <w:pStyle w:val="TextoNormal"/>
      </w:pPr>
      <w:r>
        <w:t xml:space="preserve">En consecuencia, de conformidad con el mandato de taxatividad la diferencia entre la conducta a la que se anuda un reproche administrativo y aquella a la que se anuda el penal se encuentra, conforme a la literalidad de los preceptos y a la jurisprudencia del Tribunal Supremo, en la naturaleza de la conducta: manipulación documental de una realidad existente (sanción administrativa por factura falseada) o justificación documental de una realidad inexistente (sanción penal por factura falsa). Resulta patente, entonces, que la interpretación del art. 201 LGT que efectúa la inspección para sancionar administrativamente la emisión de facturas falsas por simulación de documento, que está prevista y penada en el art. 390.1.2 CP, vulnera las exigencias de la tipicidad y legalidad sancionadora (art. 25.1 CE), pues, de un lado, la Administración se ha apartado del tenor literal del art. 201 LGT, llevando a cabo una interpretación analógica </w:t>
      </w:r>
      <w:r w:rsidRPr="00AC56D6">
        <w:rPr>
          <w:i/>
        </w:rPr>
        <w:t>in malam partem</w:t>
      </w:r>
      <w:r>
        <w:t xml:space="preserve"> al subsumir de un modo irrazonable la conducta de “emisión de facturas falsas” en el tipo administrativo del art. 201.3 LG que sanciona la expedición de facturas “con datos falsos o falseados”, y, de otro lado, el órgano judicial se ha limitado “a condenar a quien, como «dueño» del negocio, ha dejado de ingresar un tributo, no sólo soslayando la errónea actuación de la Administración en la calificación tributaria de la situación, sino asumiéndola como propia ante una eventual prescripción de la acción del Estado para regularizar los impuestos” (STC 57/2010, de 4 de octubre, FJ 3). El Ordenamiento jurídico no habilita a la Administración tributaria a elegir entre lo que considera más conveniente para el interés público subyacente, optando entre imponer una sanción administrativa o recurrir al ámbito penal, según su exclusivo arbitrio (STC 57/2010, de 4 de octubre, FJ 4), menos aun cuando se trata del ejercicio del </w:t>
      </w:r>
      <w:r w:rsidRPr="00AC56D6">
        <w:rPr>
          <w:i/>
        </w:rPr>
        <w:t>ius puniendi</w:t>
      </w:r>
      <w:r>
        <w:t xml:space="preserve"> del Estado en materia sancionadora (SSTC 113/2002, de 9 de mayo, FJ 7; 25/2002, de 11 de febrero, FJ 6, y 260/2007, de 20 de diciembre, FJ 4), pues el principio de legalidad penal veda “todo margen de arbitrio o de discrecionalidad” (STC 57/2010, de 4 de octubre, FJ 4).</w:t>
      </w:r>
    </w:p>
    <w:p w:rsidR="00AC56D6" w:rsidRDefault="00AC56D6" w:rsidP="00AC56D6">
      <w:pPr>
        <w:pStyle w:val="TextoNormal"/>
      </w:pPr>
    </w:p>
    <w:p w:rsidR="00AC56D6" w:rsidRDefault="00AC56D6" w:rsidP="00AC56D6">
      <w:pPr>
        <w:pStyle w:val="TextoNormal"/>
      </w:pPr>
      <w:r>
        <w:t xml:space="preserve">En suma, la sanción por expedir facturas falsas, en lugar de por el tipo penal del art. 390.1.2 (falsedad en documento mercantil), por el tipo infractor agravado del art. 201.3 LGT (falseamiento de facturas), supone una decisión irrazonable fundamentada en una exégesis y aplicación de las normas que queda fuera de los supuestos y de los límites que ellas mismas determinan, es decir, que se sustenta en una subsunción de los hechos ajena al significado posible de los términos de la norma aplicada. Con ello, se incurre en una interpretación analógica y extensiva </w:t>
      </w:r>
      <w:r w:rsidRPr="00AC56D6">
        <w:rPr>
          <w:i/>
        </w:rPr>
        <w:t>in malam partem</w:t>
      </w:r>
      <w:r>
        <w:t xml:space="preserve"> contraria al art. 25.1 CE, al subsumir erróneamente la conducta del ciudadano en un tipo administrativo que no es el previsto para el supuesto de hecho.</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Por providencia con fecha de 21 de julio de 2014, la Sala Primera de este Tribunal acordó la admisión a trámite del recurso de amparo. Asimismo, y en aplicación de lo previsto en el art. 51 de la Ley Orgánica de este Tribunal, se acordó dirigir comunicación tanto a la Sección Séptima de la Sala de lo Contencioso-Administrativo del Tribunal Supremo como a la Sala de lo Contencioso-Administrativo del Tribunal Superior de Justicia de Canarias, a fin de que en el plazo de diez días remitiesen, respectivamente, certificación o fotocopia adverada de las actuaciones correspondientes a los recursos núms. 3785-2011 y 119-2010, interesándose al mismo tiempo que se emplazara a quienes hubiesen sido parte </w:t>
      </w:r>
      <w:r>
        <w:lastRenderedPageBreak/>
        <w:t>en el procedimiento, excepto a la parte recurrente en amparo, para que en el plazo de diez días pudieran comparecer ante este Tribunal si así lo deseasen.</w:t>
      </w:r>
    </w:p>
    <w:p w:rsidR="00AC56D6" w:rsidRDefault="00AC56D6" w:rsidP="00AC56D6">
      <w:pPr>
        <w:pStyle w:val="TextoNormal"/>
      </w:pPr>
    </w:p>
    <w:p w:rsidR="00AC56D6" w:rsidRDefault="00AC56D6" w:rsidP="00AC56D6">
      <w:pPr>
        <w:pStyle w:val="TextoNormal"/>
      </w:pPr>
      <w:r w:rsidRPr="00AC56D6">
        <w:rPr>
          <w:rStyle w:val="NumeroAFNegritaCaracter"/>
        </w:rPr>
        <w:t>4</w:t>
      </w:r>
      <w:r>
        <w:t>. Por escrito presentado en el Registro General de este Tribunal el día 28 de julio de 2014 el Abogado del Estado suplicó se le tuviera por personado en el procedimiento.</w:t>
      </w:r>
    </w:p>
    <w:p w:rsidR="00AC56D6" w:rsidRDefault="00AC56D6" w:rsidP="00AC56D6">
      <w:pPr>
        <w:pStyle w:val="TextoNormal"/>
      </w:pPr>
    </w:p>
    <w:p w:rsidR="00AC56D6" w:rsidRDefault="00AC56D6" w:rsidP="00AC56D6">
      <w:pPr>
        <w:pStyle w:val="TextoNormal"/>
      </w:pPr>
      <w:r w:rsidRPr="00AC56D6">
        <w:rPr>
          <w:rStyle w:val="NumeroAFNegritaCaracter"/>
        </w:rPr>
        <w:t>5</w:t>
      </w:r>
      <w:r>
        <w:t>. Mediante diligencia de ordenación de fecha 18 de diciembre de 2014, la Sala Primera acordó tener por personado y parte al Abogado del Estado en la representación que ostenta, así como dar vista de las actuaciones recibidas a las partes personadas y al Ministerio Fiscal, por plazo común de veinte días, para que, conforme determina el art. 52.1 de la Ley Orgánica de este Tribunal, presentasen las alegaciones que estimaran pertinentes.</w:t>
      </w:r>
    </w:p>
    <w:p w:rsidR="00AC56D6" w:rsidRDefault="00AC56D6" w:rsidP="00AC56D6">
      <w:pPr>
        <w:pStyle w:val="TextoNormal"/>
      </w:pPr>
    </w:p>
    <w:p w:rsidR="00AC56D6" w:rsidRDefault="00AC56D6" w:rsidP="00AC56D6">
      <w:pPr>
        <w:pStyle w:val="TextoNormal"/>
      </w:pPr>
      <w:r w:rsidRPr="00AC56D6">
        <w:rPr>
          <w:rStyle w:val="NumeroAFNegritaCaracter"/>
        </w:rPr>
        <w:t>6</w:t>
      </w:r>
      <w:r>
        <w:t>. Mediante escrito registrado en este Tribunal el día 30 de diciembre de 2014, don Juan Rito Cubas, representado por el Procurador don Gabriel Casado Rodríguez y defendido por el Letrado don Gabriel Casado Ollero, evacuó el trámite de alegaciones conferido suplicando se dictase Sentencia conforme a lo interesado en el escrito de demanda de amparo.</w:t>
      </w:r>
    </w:p>
    <w:p w:rsidR="00AC56D6" w:rsidRDefault="00AC56D6" w:rsidP="00AC56D6">
      <w:pPr>
        <w:pStyle w:val="TextoNormal"/>
      </w:pPr>
    </w:p>
    <w:p w:rsidR="00AC56D6" w:rsidRDefault="00AC56D6" w:rsidP="00AC56D6">
      <w:pPr>
        <w:pStyle w:val="TextoNormal"/>
      </w:pPr>
      <w:r w:rsidRPr="00AC56D6">
        <w:rPr>
          <w:rStyle w:val="NumeroAFNegritaCaracter"/>
        </w:rPr>
        <w:t>7</w:t>
      </w:r>
      <w:r>
        <w:t>. El Abogado del Estado evacuó el trámite de alegaciones conferido mediante escrito registrado en este Tribunal el día 23 de enero de 2015, en el que instaba la desestimación del amparo pretendido. En su escrito, tras señalar los antecedentes y concretar el objeto del amparo pretendido, precisa antes que nada que el recurrente es denominado “falso empresario” no porque no sea un empresario individual sino porque todas las facturas que ha emitido en el período objeto de comprobación no se corresponden con trabajos reales porque no realizó actividad real aunque la facturara como tal.</w:t>
      </w:r>
    </w:p>
    <w:p w:rsidR="00AC56D6" w:rsidRDefault="00AC56D6" w:rsidP="00AC56D6">
      <w:pPr>
        <w:pStyle w:val="TextoNormal"/>
      </w:pPr>
    </w:p>
    <w:p w:rsidR="00AC56D6" w:rsidRDefault="00AC56D6" w:rsidP="00AC56D6">
      <w:pPr>
        <w:pStyle w:val="TextoNormal"/>
      </w:pPr>
      <w:r>
        <w:t>Una vez hecha la anterior precisión considera el Abogado del Estado que no se ha producido la lesión del art. 25.1 CE, porque el art. 201 LGT (infracción por incumplir las obligaciones de facturación o documentación), claramente tipifica como infracción el incumplimiento de la obligación de facturar consistente en la expedición de facturas con datos falsos. Por su parte, según el Real Decreto 1496/2003, relativo a las obligaciones de facturación, quienes tienen que cumplir las obligaciones de facturación son los empresarios, profesionales y contribuyentes sujetos al régimen de estimación directa (art. 26), estando el recurrente obligado a facturar por su doble condición de empresario individual y contribuyente del IRPF por actividades. A su juicio, el recurrente, como contribuyente, tiene la obligación de facturar y al facturar operaciones irreales ha incumplido esta obligación cumpliendo con el tipo de la infracción prevista en el art. 201.3 LGT: emitir facturas con datos falsos. En suma, el demandante de amparo es un empresario que tiene la obligación de facturar, y al emitir facturas falsas, ni pierde su condición de empresario ni se sustrae a la obligación de facturar.</w:t>
      </w:r>
    </w:p>
    <w:p w:rsidR="00AC56D6" w:rsidRDefault="00AC56D6" w:rsidP="00AC56D6">
      <w:pPr>
        <w:pStyle w:val="TextoNormal"/>
      </w:pPr>
    </w:p>
    <w:p w:rsidR="00AC56D6" w:rsidRDefault="00AC56D6" w:rsidP="00AC56D6">
      <w:pPr>
        <w:pStyle w:val="TextoNormal"/>
      </w:pPr>
      <w:r w:rsidRPr="00AC56D6">
        <w:rPr>
          <w:rStyle w:val="NumeroAFNegritaCaracter"/>
        </w:rPr>
        <w:t>8</w:t>
      </w:r>
      <w:r>
        <w:t xml:space="preserve">. El día 9 de febrero de 2015 presentó su escrito de alegaciones el Ministerio Fiscal solicitando la desestimación del recurso al considerar que la lesión del derecho fundamental a la legalidad sancionadora (art. 25.1 CE) carece de fundamento. Tras precisar los hechos que han dado lugar a la presente demanda de amparo pasa el Fiscal a concretar la posición del recurrente, tras lo cual, para apreciar o no la concurrencia de la vulneración constitucional denunciada, parte de la doctrina constitucional relativa a las exigencias derivadas del principio de legalidad penal (art. 25.1 CE), concluyendo que no solo vulneran el principio </w:t>
      </w:r>
      <w:r>
        <w:lastRenderedPageBreak/>
        <w:t>de legalidad penal las resoluciones sancionadoras que se sustenten en una subsunción de los hechos ajena al significado posible de los términos de la norma aplicada, sino también aquellas aplicaciones que por su soporte metodológico —con una argumentación ilógica o extravagante— o axiológico —con una base valorativa ajena a los criterios que informan nuestro ordenamiento constitucional— conduzcan a situaciones esencialmente opuestas a la orientación material de la norma y, por ello, imprevisibles para sus destinatarios. De esta manera, para valorar la validez constitucional de la subsunción en un tipo sancionador efectuada por una resolución sancionadora deben analizarse tres aspectos: la semántica de los términos utilizados por la proposición normativa; las reglas compartidas de la interpretación jurídica aceptadas por la comunidad jurídica (operadores jurídicos y estudiosos del Derecho) y la axiología constitucional (los valores y principios constitucionales).</w:t>
      </w:r>
    </w:p>
    <w:p w:rsidR="00AC56D6" w:rsidRDefault="00AC56D6" w:rsidP="00AC56D6">
      <w:pPr>
        <w:pStyle w:val="TextoNormal"/>
      </w:pPr>
    </w:p>
    <w:p w:rsidR="00AC56D6" w:rsidRDefault="00AC56D6" w:rsidP="00AC56D6">
      <w:pPr>
        <w:pStyle w:val="TextoNormal"/>
      </w:pPr>
      <w:r>
        <w:t>Pues bien, según el Fiscal el análisis de estos aspectos revelan que no ha habido vulneración del derecho a la legalidad sancionadora (art. 25.1 CE) en su vertiente de garantía material, en las interpretaciones que han subsumido la conducta del demandante de amparo en el tipo sancionador aplicado por las siguientes razones.</w:t>
      </w:r>
    </w:p>
    <w:p w:rsidR="00AC56D6" w:rsidRDefault="00AC56D6" w:rsidP="00AC56D6">
      <w:pPr>
        <w:pStyle w:val="TextoNormal"/>
      </w:pPr>
    </w:p>
    <w:p w:rsidR="00AC56D6" w:rsidRDefault="00AC56D6" w:rsidP="00AC56D6">
      <w:pPr>
        <w:pStyle w:val="TextoNormal"/>
      </w:pPr>
      <w:r>
        <w:t xml:space="preserve">En primer lugar, porque el comportamiento sancionado mediante la aplicación del art. 201 LGT, según la resolución administrativa, es “la emisión de facturas falsas”, infracción que se entiende cometida “cuando se emite cada factura falsa”. A su juicio, no se habría producido un apartamiento del significado de los términos del precepto, en la medida que interpretar que dentro de las previsiones legales del incumplimiento de las obligaciones de facturar cabe incluir la expedición de facturas con contenidos totalmente falsos o, en suma, la emisión de facturas falsas, no violenta en absoluto aquellos términos. Considerar que en la conducta contemplada en la norma (expedición de facturas con datos falsos o falseados) se incluyen las facturas falsas en su totalidad (las que no se corresponden con operaciones reales) no supone una extravagancia desde la perspectiva literal, ni desde el punto de vista jurídico, ni desde un prisma lógico, pues una factura que no responde a la realidad no es sino una factura con todos sus datos falsos. No hay pues una interpretación extensiva ni analógica </w:t>
      </w:r>
      <w:r w:rsidRPr="00AC56D6">
        <w:rPr>
          <w:i/>
        </w:rPr>
        <w:t>in malam partem</w:t>
      </w:r>
      <w:r>
        <w:t>. En segundo lugar, porque la interpretación realizada ha sido compartida por otros órganos judiciales distintos (concretamente, por la Sentencia de la Sección Cuarta de la Sala de lo Contencioso-Administrativo de la Audiencia Nacional con fecha de 26 de septiembre de 2012 y otras resoluciones judiciales procedentes de otros órganos judiciales), lo que resulta sintomático y revelador de su admisibilidad constitucional desde la perspectiva de los parámetros y métodos comúnmente aceptados en la comunidad jurídica por otros operadores jurídicos. En fin, en tercer lugar, porque el proceder interpretativo resulta intachable desde la perspectiva axiológica, al no chocar con valores y principios constitucionales, sin que conduzca a resultados contrarios a los mismos.</w:t>
      </w:r>
    </w:p>
    <w:p w:rsidR="00AC56D6" w:rsidRDefault="00AC56D6" w:rsidP="00AC56D6">
      <w:pPr>
        <w:pStyle w:val="TextoNormal"/>
      </w:pPr>
    </w:p>
    <w:p w:rsidR="00AC56D6" w:rsidRDefault="00AC56D6" w:rsidP="00AC56D6">
      <w:pPr>
        <w:pStyle w:val="TextoNormal"/>
      </w:pPr>
      <w:r>
        <w:t>En suma, producido el triple respeto a las exigencias reseñadas, queda asimismo asegurado el acatamiento a la condición de previsibilidad exigible de cara a los ciudadanos que perfectamente pueden programar sus comportamientos a partir de la dicción legal de la norma sancionadora, sin serle sorpresivo que si emiten facturas falsas no correspondientes con una contraprestación real incurren en la esfera de lo ilícito administrativo al margen de su condición real o no de empresarios.</w:t>
      </w:r>
    </w:p>
    <w:p w:rsidR="00AC56D6" w:rsidRDefault="00AC56D6" w:rsidP="00AC56D6">
      <w:pPr>
        <w:pStyle w:val="TextoNormal"/>
      </w:pPr>
    </w:p>
    <w:p w:rsidR="00AC56D6" w:rsidRDefault="00AC56D6" w:rsidP="00AC56D6">
      <w:pPr>
        <w:pStyle w:val="TextoNormal"/>
      </w:pPr>
      <w:r>
        <w:t xml:space="preserve">A continuación, precisa el Ministerio Fiscal las razones por las que tanto la Sentencia de 24 de enero de 2011 de la Sección Cuarta de la Sala de lo Contencioso-Administrativo del </w:t>
      </w:r>
      <w:r>
        <w:lastRenderedPageBreak/>
        <w:t>Tribunal Superior de Justicia de Canarias, como la Sentencia de 22 de marzo de 2013 de la Sección Séptima de la Sala Tercera del Tribunal Supremo, confirman la subsunción realizada por la Administración sancionadora, para alcanzar las siguientes conclusiones: Primera) El entendimiento realizado por la resolución administrativa ha sido acorde con las exigencias derivadas del art. 25.1 CE, pues nunca se tuvo al recurrente como no empresario y como empresario a la vez. Segunda) La resolución administrativa no ha vulnerado ni el art. 25.1 CE ni ningún otro derecho fundamental, siquiera la tutela judicial efectiva del art. 24.1 CE. Tercera) Las resoluciones judiciales convalidaron la resolución administrativa desde la perspectiva del art. 25.1 CE, por estimar correcta la subsunción de los hechos en el art. 201.1 y 3 LGT, puesto que formalmente el recurrente adquirió la condición de empresario al darse de alta fiscal en dicho concepto. Cuarta) Las sentencias no han reconstruido el tipo ni la sanción buscando argumentos al margen de la esencia fáctica y jurídica de la resolución administrativa sancionadora. Quinta) Todas las resoluciones coinciden en que la conducta de quien se da de alta en el IAE como empresario, constituyéndose en tal a efectos fiscales de modo completamente o parcialmente falsario, y se acoge al régimen de estimación objetiva en su tributación y emita facturas falsas, es encuadrable en los tipos sancionadores de las disposiciones contenidas en el art. 201.1 y 3 LGT.</w:t>
      </w:r>
    </w:p>
    <w:p w:rsidR="00AC56D6" w:rsidRDefault="00AC56D6" w:rsidP="00AC56D6">
      <w:pPr>
        <w:pStyle w:val="TextoNormal"/>
      </w:pPr>
    </w:p>
    <w:p w:rsidR="00AC56D6" w:rsidRDefault="00AC56D6" w:rsidP="00AC56D6">
      <w:pPr>
        <w:pStyle w:val="TextoNormal"/>
      </w:pPr>
      <w:r w:rsidRPr="00AC56D6">
        <w:rPr>
          <w:rStyle w:val="NumeroAFNegritaCaracter"/>
        </w:rPr>
        <w:t>9</w:t>
      </w:r>
      <w:r>
        <w:t>. Por providencia de 2 de julio de 2015, se señaló para deliberación y votación de la presente Sentencia el día 6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presente recurso de amparo se dirige la contra la Sentencia de la Sección Séptima de la Sala Tercera del Tribunal Supremo de fecha 22 de marzo de 2013, por la que se desestima el recurso de casación núm. 3785-2011 interpuesto contra la Sentencia de la Sección Segunda de la Sala de lo Contencioso-Administrativo del Tribunal Superior de Justicia de Canarias (Las Palmas de Gran Canaria) de 24 de enero de 2011, desestimatoria, a su vez, del recurso contencioso-administrativo núm. 119-2010 promovido contra el acuerdo núm. A23-70337741 de fecha 2 de marzo de 2010 de la Dependencia Regional de Inspección de la Delegación Especial de Canarias, por el que se imponen dos sanciones tributarias por un importe total de 808.564,22 €, por la comisión de la infracción prevista en el art. 201 de la Ley 58/2003, de 17 de diciembre, general tributaria (en adelante, LGT), relativa al “incumplimiento de las obligaciones de facturación” (apartado 1), en su modalidad agravada consistente en la expedición de facturas “con datos falsos o falseados” (apartado 3), incumplimiento que, además, se califica como “sustancial” (apartado 5).</w:t>
      </w:r>
    </w:p>
    <w:p w:rsidR="00AC56D6" w:rsidRDefault="00AC56D6" w:rsidP="00AC56D6">
      <w:pPr>
        <w:pStyle w:val="TextoNormal"/>
      </w:pPr>
    </w:p>
    <w:p w:rsidR="00AC56D6" w:rsidRDefault="00AC56D6" w:rsidP="00AC56D6">
      <w:pPr>
        <w:pStyle w:val="TextoNormal"/>
      </w:pPr>
      <w:r>
        <w:t>Como ha quedado expuesto con mayor detalle en los antecedentes, la Dependencia Regional de Inspección de la Delegación Especial de Canarias concluyó mediante acuerdo de fecha 2 de marzo de 2010 que el actor carecía, respecto de la actividad objeto de comprobación (pequeños trabajos de albañilería y construcción), de la estructura propia de una empresa, considerando que no había ejercido una actividad económica como empresario individual sino que había creado una situación aparente y simulada con el único propósito de defraudar mediante la emisión de facturas falsas por servicios inexistentes. Por esta razón, se le excluyen de la base imponible del impuesto sobre la renta de las personas físicas los rendimientos declarados por la actividad económica aparentemente desarrollada, con devo</w:t>
      </w:r>
      <w:r>
        <w:lastRenderedPageBreak/>
        <w:t>lución del exceso ingresado, para imponerle acto seguido la sanción controvertida. A continuación, la Sentencia de la Sección Segunda de la Sala de lo Contencioso-Administrativo del Tribunal Superior de Justicia de Canarias de 24 de enero de 2011 confirmó la sanción impuesta al considerar que, con independencia de que los hechos imputados estuviesen o no suficientemente probados, la falsedad de las facturas por inexistencia de contraprestación real, puede, sin que ello suponga una interpretación analógica, encuadrarse en el tipo descrito por el art. 201.1 y 3 LGT, sin que el art. 25 CE comprenda la garantía de que la elección del tipo infractor sea acertado. Por último, para la Sentencia de la Sección Séptima de la Sala Tercera del Tribunal Supremo de fecha 22 de marzo de 2013, los hechos son subsumibles en el tipo infractor del artículo 201.1 y 3 LGT, porque si el tipo sancionador castiga a quien siendo empresario emite parcialmente facturas falsas, también cubre la conducta de quien emite todas las facturas falsas, tanto más cuando la emisión de facturas falsas sólo era posible si previamente el recurrente se daba de alta fiscalmente como empresario.</w:t>
      </w:r>
    </w:p>
    <w:p w:rsidR="00AC56D6" w:rsidRDefault="00AC56D6" w:rsidP="00AC56D6">
      <w:pPr>
        <w:pStyle w:val="TextoNormal"/>
      </w:pPr>
    </w:p>
    <w:p w:rsidR="00AC56D6" w:rsidRDefault="00AC56D6" w:rsidP="00AC56D6">
      <w:pPr>
        <w:pStyle w:val="TextoNormal"/>
      </w:pPr>
      <w:r>
        <w:t>Conforme a lo que antecede, considera el demandante de amparo que se ha vulnerado el derecho a la legalidad penal y sancionadora (art. 25.1 CE), en relación con los arts. 201.1, 3 y 5, todo ello de la LGT, y 392 y 390.1 y 2, ambos del Código penal, pues tras calificársele como un “falso empresario”, se le impone una sanción por el tipo infractor previsto en el art. 201 LGT (incumplir obligaciones de facturación o documentación), en su modalidad agravada (expedición de facturas con datos falsos o falseados), en lugar de hacerlo por el tipo penal del art. 390.1.2 (falsedad en documento mercantil), por la sola razón de estar prescrita la acción penal, mediante una subsunción de los hechos ajena al significado posible de los términos de la norma aplicada. Por su parte, tanto el Abogado del Estado como el Ministerio Fiscal interesan la desestimación del recurso de amparo al considerar ambos que no concurre la vulneración denunciada. Para el primero, porque el recurrente como contribuyente tiene la obligación de facturar y al facturar operaciones irreales ha incumplido esa obligación incidiendo su conducta en el tipo de la infracción prevista en el art. 201.3 LGT. Para el segundo, porque el hecho de haberse interpretado que dentro de las previsiones legales del incumplimiento de las obligaciones de facturar cabe incluir la emisión de facturas falsas no violenta en absoluto los términos del precepto aplicado, en la medida que una factura que no responde a la realidad no es sino una factura con todos sus datos falsos.</w:t>
      </w:r>
    </w:p>
    <w:p w:rsidR="00AC56D6" w:rsidRDefault="00AC56D6" w:rsidP="00AC56D6">
      <w:pPr>
        <w:pStyle w:val="TextoNormal"/>
      </w:pPr>
    </w:p>
    <w:p w:rsidR="00AC56D6" w:rsidRDefault="00AC56D6" w:rsidP="00AC56D6">
      <w:pPr>
        <w:pStyle w:val="TextoNormal"/>
      </w:pPr>
      <w:r w:rsidRPr="00AC56D6">
        <w:rPr>
          <w:rStyle w:val="NumeroAFNegritaCaracter"/>
        </w:rPr>
        <w:t>2</w:t>
      </w:r>
      <w:r>
        <w:t>. La única cuestión que se somete a nuestra consideración es la posible vulneración del derecho a la legalidad penal y sancionadora (art. 25.1 CE) que derivaría, según el demandante de amparo, de la aplicación del art. 201 LGT para dar cobertura sancionadora a una conducta que no puede subsumirse en el tenor legal de aquel precepto ni en su modalidad básica, ni en la agravada. Esta cuestión ha sido recientemente resuelta por este Tribunal en la STC 146/2015, de 25 de junio, en un recurso de amparo (núm. 6280-2012) en el que la problemática planteada era idéntica a la que ahora nos ocupa, y en el que analizamos, si la emisión de falsas facturas carentes de sustento real en operación económica alguna podía entenderse como un “incumplimiento de las obligaciones de facturación”, y si tal entendimiento suponía una extralimitación del ámbito típico de aquel precepto con la consecuente violación del principio de tipicidad sancionadora.</w:t>
      </w:r>
    </w:p>
    <w:p w:rsidR="00AC56D6" w:rsidRDefault="00AC56D6" w:rsidP="00AC56D6">
      <w:pPr>
        <w:pStyle w:val="TextoNormal"/>
      </w:pPr>
    </w:p>
    <w:p w:rsidR="00AC56D6" w:rsidRDefault="00AC56D6" w:rsidP="00AC56D6">
      <w:pPr>
        <w:pStyle w:val="TextoNormal"/>
      </w:pPr>
      <w:r>
        <w:t>Para dar respuesta a la cuestión planteada señalábamos en la citada STC 146/2015, FJ 2, que la interpretación del contenido de los tipos sancionadores y el control del proceso de subsunción de los hechos probados en los preceptos aplicados es una cuestión ajena al con</w:t>
      </w:r>
      <w:r>
        <w:lastRenderedPageBreak/>
        <w:t>tenido propio de nuestra jurisdicción al ser esta una función que, de acuerdo con lo establecido en el art. 117.3 CE, corresponde en exclusiva a los Jueces y Tribunales ordinarios (por todas, STC 199/2013, de 5 de diciembre, FJ 13). La función que compete a este Tribunal, entonces, es la de verificar que la subsunción de los hechos en el correspondiente tipo, administrativo o penal, (o lo que es lo mismo, que la concreta aplicación de la norma sancionadora), respeta las exigencias del derecho a la legalidad penal. De acuerdo con la doctrina de este Tribunal relativa al art. 25.1 CE, la constitucionalidad de la aplicación de las normas sancionadoras depende tanto del respeto al tenor literal del enunciado normativo, como de su previsibilidad, que debe ser analizada desde las pautas axiológicas que informan nuestro texto constitucional y conforme a modelos de argumentación aceptados por la propia comunidad jurídica. Por ello, no solo vulneran el derecho fundamental a la legalidad sancionadora aquellas aplicaciones de la norma sancionadora que se sustenten en una subsunción de los hechos ajena al significado posible de los términos de la norma aplicada, sino que son constitucionalmente rechazables aquellas que conduzcan a soluciones esencialmente opuestas a la orientación material de la norma y, por ello, imprevisibles para sus destinatarios (por todas, SSTC 54/2008, de 14 de abril, FJ 4; 199/2013, de 5 de diciembre, FJ 13; 29/2014, de 24 de febrero, FJ 3, y 185/2014, de 6 de noviembre, FJ 5).</w:t>
      </w:r>
    </w:p>
    <w:p w:rsidR="00AC56D6" w:rsidRDefault="00AC56D6" w:rsidP="00AC56D6">
      <w:pPr>
        <w:pStyle w:val="TextoNormal"/>
      </w:pPr>
    </w:p>
    <w:p w:rsidR="00AC56D6" w:rsidRDefault="00AC56D6" w:rsidP="00AC56D6">
      <w:pPr>
        <w:pStyle w:val="TextoNormal"/>
      </w:pPr>
      <w:r>
        <w:t>No debe olvidarse que el derecho a la legalidad penal y sancionadora supone que nadie puede ser condenado o sancionado por acciones u omisiones que no constituyan delito, falta o infracción administrativa, según la legislación vigente, en el momento de la comisión del hecho, quebrándose este derecho cuando la conducta enjuiciada, la ya delimitada como probada, es subsumida de un modo irrazonable en el tipo que resulta aplicado (por todas, SSTC 57/2010, de 4 de octubre, FJ 3; 153/2011, de 17 de octubre, FJ 8, y 196/2013, de 2 de diciembre, FJ 5).</w:t>
      </w:r>
    </w:p>
    <w:p w:rsidR="00AC56D6" w:rsidRDefault="00AC56D6" w:rsidP="00AC56D6">
      <w:pPr>
        <w:pStyle w:val="TextoNormal"/>
      </w:pPr>
    </w:p>
    <w:p w:rsidR="00AC56D6" w:rsidRDefault="00AC56D6" w:rsidP="00AC56D6">
      <w:pPr>
        <w:pStyle w:val="TextoNormal"/>
      </w:pPr>
      <w:r>
        <w:t xml:space="preserve">El principio de legalidad penal, en su vertiente material, refleja la especial trascendencia del principio de seguridad jurídica (art. 9.3 CE) y comporta el mandato de taxatividad o de certeza que se traduce en la exigencia de predeterminación normativa de las conductas y de sus correspondientes sanciones </w:t>
      </w:r>
      <w:r w:rsidRPr="00AC56D6">
        <w:rPr>
          <w:i/>
        </w:rPr>
        <w:t>lex certa</w:t>
      </w:r>
      <w:r>
        <w:t>, en virtud del cual el legislador debe promulgar normas concretas, precisas, claras e inteligibles, para que los ciudadanos puedan conocer de antemano el ámbito de lo proscrito y prever, así, las consecuencias de sus acciones (STC 185/2014, de 6 de noviembre, FJ 8). De esta manera, ese principio, no sólo fija el límite interpretativo de los preceptos en la subsunción irrazonable en el tipo que resulta aplicado, bien por la interpretación que se realiza de la norma, bien por la operación de subsunción en sí, de manera, que de sobrepasarse tal límite, la sanción impuesta resultaría sorpresiva para su destinatario (SSTC 137/1997, de 21 de julio, FJ 6; y 185/2014, de 6 de noviembre, FJ 5), sino que “impone, por razones de seguridad jurídica y de legitimidad democrática de la intervención punitiva, no sólo la sujeción de la jurisdicción sancionadora a los dictados de las leyes que describen ilícitos e imponen sanciones, sino la sujeción estricta, impidiendo la sanción de comportamientos no previstos en la norma correspondiente pero similares a los que sí contempla” (STC 137/1997, de 21 de julio, FJ 6).</w:t>
      </w:r>
    </w:p>
    <w:p w:rsidR="00AC56D6" w:rsidRDefault="00AC56D6" w:rsidP="00AC56D6">
      <w:pPr>
        <w:pStyle w:val="TextoNormal"/>
      </w:pPr>
    </w:p>
    <w:p w:rsidR="00AC56D6" w:rsidRDefault="00AC56D6" w:rsidP="00AC56D6">
      <w:pPr>
        <w:pStyle w:val="TextoNormal"/>
      </w:pPr>
      <w:r>
        <w:t xml:space="preserve">En el examen de la razonabilidad de la subsunción de los hechos probados en la norma penal o sancionadora el primero de los criterios a utilizar es la compatibilidad de dicha subsunción con el tenor literal de la norma y con la consiguiente prohibición de la analogía </w:t>
      </w:r>
      <w:r w:rsidRPr="00AC56D6">
        <w:rPr>
          <w:i/>
        </w:rPr>
        <w:t>in malam partem</w:t>
      </w:r>
      <w:r>
        <w:t xml:space="preserve">. A dicho criterio inicial se añade un doble parámetro de razonabilidad: metodológico, dirigido a comprobar que la exégesis de la norma y subsunción en ella de las </w:t>
      </w:r>
      <w:r>
        <w:lastRenderedPageBreak/>
        <w:t>conductas contempladas no incurre en quiebras lógicas y resultan acordes con modelos de argumentación aceptados por la comunidad jurídica; y axiológico, consistente en verificar la correspondencia de la aplicación del precepto con las pautas valorativas que informan el ordenamiento constitucional (SSTC 57/2010, de 4 de octubre, FJ 3; 153/2011, de 17 de octubre, FJ 8; 45/2013, de 25 de febrero, FJ 2; 193/2013, de 2 de diciembre, FJ 5; 185/2014, de 6 de noviembre, FJ 5, y 2/2015, de 19 de enero, FJ 8).</w:t>
      </w:r>
    </w:p>
    <w:p w:rsidR="00AC56D6" w:rsidRDefault="00AC56D6" w:rsidP="00AC56D6">
      <w:pPr>
        <w:pStyle w:val="TextoNormal"/>
      </w:pPr>
    </w:p>
    <w:p w:rsidR="00AC56D6" w:rsidRDefault="00AC56D6" w:rsidP="00AC56D6">
      <w:pPr>
        <w:pStyle w:val="TextoNormal"/>
      </w:pPr>
      <w:r w:rsidRPr="00AC56D6">
        <w:rPr>
          <w:rStyle w:val="NumeroAFNegritaCaracter"/>
        </w:rPr>
        <w:t>3</w:t>
      </w:r>
      <w:r>
        <w:t>. En la proyección de los criterios expuestos al caso que nos ocupa, atendiendo a la literalidad del precepto, el art. 201 LGT dispone, bajo el título de “Infracción tributaria por incumplir obligaciones de facturación o documentación”, que “[c]onstituye infracción tributaria el incumplimiento de las obligaciones de facturación, entre otras, la de expedición, remisión, rectificación y conservación de facturas, justificantes o documentos sustitutivos” (apartado 1), esto es, por incumplir las obligaciones de facturación contempladas en el entonces vigente Real Decreto 1496/2003, de 28 de noviembre, por el que se aprobaba el Reglamento por el que se regulaban las obligaciones de facturación, concretamente, por incumplir la obligación de documentación, bien de las operaciones económicas realizadas en el desarrollo de una actividad empresarial o profesional (arts. 1 y 26 del Reglamento de obligaciones de facturación), bien de operaciones económicas concretas respecto de las que naciese aquella obligación de facturar (arts. 2 y 3 del citado Reglamento).</w:t>
      </w:r>
    </w:p>
    <w:p w:rsidR="00AC56D6" w:rsidRDefault="00AC56D6" w:rsidP="00AC56D6">
      <w:pPr>
        <w:pStyle w:val="TextoNormal"/>
      </w:pPr>
    </w:p>
    <w:p w:rsidR="00AC56D6" w:rsidRDefault="00AC56D6" w:rsidP="00AC56D6">
      <w:pPr>
        <w:pStyle w:val="TextoNormal"/>
      </w:pPr>
      <w:r>
        <w:t>Atendiendo al tenor legal, considerábamos en la citada STC 146/2015, FJ 3, que la conducta típica básica del precepto aplicado se configura como el “incumplimiento de las obligaciones de facturación” que surge debido a la realización efectiva de concretas transacciones económicas sujetas a tal deber de documentación. El problema reside en determinar si constituye una extralimitación interpretativa incluir dentro del tipo infractor relativo al incumplimiento de las obligaciones de facturación, no sólo la conducta consistente en la no expedición de facturas (o incluso la emisión de facturas con datos falsos o falseados) por quien realiza efectivamente una transacción económica, sino también la conducta de elaboración de falsas facturas simulando la realización de transacciones inexistentes. De considerarse infringido el tenor legal por forzar los límites plausibles de la dicción legal en relación a la infracción básica —incumplimiento de la obligación referida— la tacha se extendería a la aplicación de los subtipos agravados del apartado 3 y del apartado 4 del propio art. 201 LGT, que condujeron a la imposición de la concreta sanción.</w:t>
      </w:r>
    </w:p>
    <w:p w:rsidR="00AC56D6" w:rsidRDefault="00AC56D6" w:rsidP="00AC56D6">
      <w:pPr>
        <w:pStyle w:val="TextoNormal"/>
      </w:pPr>
    </w:p>
    <w:p w:rsidR="00AC56D6" w:rsidRDefault="00AC56D6" w:rsidP="00AC56D6">
      <w:pPr>
        <w:pStyle w:val="TextoNormal"/>
      </w:pPr>
      <w:r>
        <w:t xml:space="preserve">Como se refleja en los antecedentes, el acuerdo sancionador aquí recurrido fue precedido, aunque fechado el mismo día 2 de marzo de 2010, del acuerdo de liquidación en el que se afirma que el recurrente “no ejerce ninguna actividad económica como empresario individual habiéndose construido una apariencia externa y formal de tal actividad, dándose de alta como empresario emitiendo facturas falsas y proporcionando documentos sin soporte material a trabajadores de la empresa”. Se constataba así por la propia inspección, que dicta tanto el acuerdo de liquidación y el acuerdo sancionador, la ausencia del presupuesto fáctico necesario para el nacimiento de la obligación jurídico-tributaria de facturación. La simulación de una actividad mediante la confección de facturas falsas ciertamente constituye una conducta ilícita con fines fraudulentos cuyo encaje sancionador puede residir en determinados preceptos del Código penal como señala el propio recurrente, pero tal análisis en absoluto nos compete en la resolución del presente recurso de amparo. Nuestro enjuiciamiento debe ceñirse al precepto que sirvió de fundamento a la sanción recurrida, y únicamente al </w:t>
      </w:r>
      <w:r>
        <w:lastRenderedPageBreak/>
        <w:t>efecto de determinar la compatibilidad de la subsunción efectuada con la dicción y sentido de aquél en el marco de las exigencias del principio de legalidad sancionadora.</w:t>
      </w:r>
    </w:p>
    <w:p w:rsidR="00AC56D6" w:rsidRDefault="00AC56D6" w:rsidP="00AC56D6">
      <w:pPr>
        <w:pStyle w:val="TextoNormal"/>
      </w:pPr>
    </w:p>
    <w:p w:rsidR="00AC56D6" w:rsidRDefault="00AC56D6" w:rsidP="00AC56D6">
      <w:pPr>
        <w:pStyle w:val="TextoNormal"/>
      </w:pPr>
      <w:r>
        <w:t>Desde esta premisa, y aplicando el parámetro que nos es propio, el de la razonabilidad, debe ya señalarse que no puede calificarse de irrazonable la subsunción de la conducta realizada (simulación de una actividad económica mediante la emisión de unas facturas que se califican como falsas) en el tipo infractor del art. 201.1 LGT. Y ello porque el empresario o profesional a efectos del IRPF o del IVA-IGIC no es el único posible sujeto infractor del art. 201.1 LGT, en la medida que el “incumplimiento de la obligación de facturación” mediante la emisión de facturas con datos falsos o falseados se puede materializar tanto por quien ejerce una actividad empresarial o profesional como por quien no la ejerce, pues ambas actuaciones vulneran deberes de facturación que aquella norma impone a los sujetos pasivos, sean o no empresarios o profesionales.</w:t>
      </w:r>
    </w:p>
    <w:p w:rsidR="00AC56D6" w:rsidRDefault="00AC56D6" w:rsidP="00AC56D6">
      <w:pPr>
        <w:pStyle w:val="TextoNormal"/>
      </w:pPr>
    </w:p>
    <w:p w:rsidR="00AC56D6" w:rsidRDefault="00AC56D6" w:rsidP="00AC56D6">
      <w:pPr>
        <w:pStyle w:val="TextoNormal"/>
      </w:pPr>
      <w:r>
        <w:t>En este sentido, cabe afirmar que es cierto que los arts. 1 y 26 del Reglamento de obligaciones de facturación únicamente recogen expresamente los supuestos en los que es preceptiva la expedición de factura; y lo es en el caso de los empresarios y profesionales que ejercen su actividad económica de forma habitual, personal y directa (art. 1 del Reglamento), y de las personas que realizan determinadas operaciones económicas por cuenta propia de forma no habitual (arts. 2 y 3 del citado Reglamento). Así las cosas, ateniéndonos a la previsión sancionadora específica “incumplimiento de las obligaciones de facturación”, y al hecho de que éstas se refieren a la expedición, remisión, rectificación y conservación de las facturas pertinentes por transacciones comerciales, el ámbito típico sancionador del art. 201.1 LGT sería el del empresario o profesional infractor.</w:t>
      </w:r>
    </w:p>
    <w:p w:rsidR="00AC56D6" w:rsidRDefault="00AC56D6" w:rsidP="00AC56D6">
      <w:pPr>
        <w:pStyle w:val="TextoNormal"/>
      </w:pPr>
    </w:p>
    <w:p w:rsidR="00AC56D6" w:rsidRDefault="00AC56D6" w:rsidP="00AC56D6">
      <w:pPr>
        <w:pStyle w:val="TextoNormal"/>
      </w:pPr>
      <w:r>
        <w:t>No obstante, aquellas personas que no estén expresamente obligadas a expedir facturas, y aun así las expidan, como lo son aquellos contribuyentes del IRPF que no obtienen rendimientos de actividades económicas de ninguna clase (y mucho menos determinados en régimen de estimación objetiva, como en el caso enjuiciado), estarían violando los arts. 1.1 y 26 del Reglamento de obligaciones de facturación; esto es, estarían incumpliendo el deber de expedir facturas. De este modo, los incumplimientos de las obligaciones de facturación a que se refiere el art. 201.1 LGT podrían llevarse a cabo, por un lado, por omisión por parte de las personas expresamente obligadas a ello (empresarios y profesionales); y, por otro, por comisión por parte de las personas implícitamente no autorizadas normativamente.</w:t>
      </w:r>
    </w:p>
    <w:p w:rsidR="00AC56D6" w:rsidRDefault="00AC56D6" w:rsidP="00AC56D6">
      <w:pPr>
        <w:pStyle w:val="TextoNormal"/>
      </w:pPr>
    </w:p>
    <w:p w:rsidR="00AC56D6" w:rsidRDefault="00AC56D6" w:rsidP="00AC56D6">
      <w:pPr>
        <w:pStyle w:val="TextoNormal"/>
      </w:pPr>
      <w:r>
        <w:t>Resulta, pues, evidente que, si de conformidad con la resolución sancionadora el recurrente no ha realizado actividad económica alguna siendo todas las operaciones que se decían realizadas irreales, éste no tenía autorización normativa para expedir facturas y, en consecuencia, su conducta puede razonablemente subsumirse en el tipo infractor relativo al “incumplimiento de las obligaciones de facturación” (art. 201.1 LGT). Y parece razonable porque, si no ha habido una efectiva prestación de servicios, no podía facturar, ni desde un punto de vista subjetivo ni desde una óptica objetiva, de tal modo que los trabajos cuya existencia se niega son los que pueden servir luego como fundamento de una prohibición cuyo incumplimiento lleva aparejado la comisión de la infracción controvertida. Una vez que la Administración tributaria consideró inexistente la actividad pretendidamente realizada, actuó de forma correcta, como es, el imponer una sanción por el incumplimiento de las obligaciones de facturación.</w:t>
      </w:r>
    </w:p>
    <w:p w:rsidR="00AC56D6" w:rsidRDefault="00AC56D6" w:rsidP="00AC56D6">
      <w:pPr>
        <w:pStyle w:val="TextoNormal"/>
      </w:pPr>
    </w:p>
    <w:p w:rsidR="00AC56D6" w:rsidRDefault="00AC56D6" w:rsidP="00AC56D6">
      <w:pPr>
        <w:pStyle w:val="TextoNormal"/>
      </w:pPr>
      <w:r>
        <w:lastRenderedPageBreak/>
        <w:t>Esta aplicación concreta del precepto controvertido (art. 201.1 LGT) no sólo respeta el tenor literal del enunciado normativo, sino también, desde el punto de vista metodológico, resulta conforme a modelos de argumentación aceptados por la propia comunidad jurídica. Y ello porque tal resultado (imposición de la sanción en el caso enjuiciado) se desprende, como hemos visto, tanto de una interpretación literal como de una interpretación sistemática entre las normas tributarias (art. 201.1 LGT, y arts. 1 y 26 del Reglamento de obligaciones de facturación).</w:t>
      </w:r>
    </w:p>
    <w:p w:rsidR="00AC56D6" w:rsidRDefault="00AC56D6" w:rsidP="00AC56D6">
      <w:pPr>
        <w:pStyle w:val="TextoNormal"/>
      </w:pPr>
    </w:p>
    <w:p w:rsidR="00AC56D6" w:rsidRDefault="00AC56D6" w:rsidP="00AC56D6">
      <w:pPr>
        <w:pStyle w:val="TextoNormal"/>
      </w:pPr>
      <w:r>
        <w:t>Adicionalmente, atendiendo a una interpretación teleológica de la disposición sancionadora aplicada, si la norma persigue favorecer el correcto cumplimiento de la obligación de facturar para garantizar a la Administración tributaria una adecuada información que le permita una correcta gestión de los distintos tributos, “especialmente en lo referente a las transacciones económicas derivadas del desarrollo de actividades empresariales o profesionales” (como señala el párrafo primero del preámbulo del citado Real Decreto 1496/2003), no es irrazonable asumir como fundamento de la infracción controvertida no sólo el falseamiento de los datos de una factura que responde a una transacción económica sino también el falseamiento de la propia factura por no responder a ninguna operación real. En efecto, incumple la obligación de facturación tanto quien estando obligado a facturar no expide la correspondiente factura o la expide con datos falsos o falseados, como quien no estando obligado a facturar por no haber realizado operaciones respecto de las cuales surgiría esta obligación, expide un documento falso pretendiendo acreditar una realidad inexistente en el tráfico mercantil.</w:t>
      </w:r>
    </w:p>
    <w:p w:rsidR="00AC56D6" w:rsidRDefault="00AC56D6" w:rsidP="00AC56D6">
      <w:pPr>
        <w:pStyle w:val="TextoNormal"/>
      </w:pPr>
    </w:p>
    <w:p w:rsidR="00AC56D6" w:rsidRDefault="00AC56D6" w:rsidP="00AC56D6">
      <w:pPr>
        <w:pStyle w:val="TextoNormal"/>
      </w:pPr>
      <w:r>
        <w:t>Desde un punto de vista metodológico, el hecho de atribuir el incumplimiento de la obligación de facturar, a los efectos de subsumir esa conducta en el tipo infractor del art. 201 LGT, a quien se le niega con carácter previo la realidad de las operaciones facturadas, no incurre en quiebra lógica. Resulta lógico entender que el bien jurídico protegido que subyace al tipo infractor citado reside en la correcta información de la realidad de las transacciones económicas a través de la documentación fidedigna que se dirige a la Administración tributaria. Información necesaria para que la Administración referida pueda cumplir adecuadamente su función de gestión de los diferentes tributos. Por ello, si las obligaciones de veracidad en la emisión de las facturas, en cuanto a los datos económicos relevantes, requieren que la información refleje fielmente la realidad de lo que se documenta, no puede considerarse incoherente concluir que quien emite una factura falsa por falta de correspondencia total con la realidad, incumple asimismo aquella obligación de fidelidad a la verdad de los datos contenidos en aquella factura. La subsunción en el tipo infractor del art. 201.1 de la conducta consistente en simular haber llevado a cabo concretas operaciones económicas, totalmente ficticias, afecta de lleno a ese legítimo interés de la Administración pública que tutela el citado precepto, cifrado en el deber de los obligados tributarios de suministrarle información veraz a efectos de la correcta gestión de los tributos correspondientes.</w:t>
      </w:r>
    </w:p>
    <w:p w:rsidR="00AC56D6" w:rsidRDefault="00AC56D6" w:rsidP="00AC56D6">
      <w:pPr>
        <w:pStyle w:val="TextoNormal"/>
      </w:pPr>
    </w:p>
    <w:p w:rsidR="00AC56D6" w:rsidRDefault="00AC56D6" w:rsidP="00AC56D6">
      <w:pPr>
        <w:pStyle w:val="TextoNormal"/>
      </w:pPr>
      <w:r>
        <w:t xml:space="preserve">En fin, tampoco desde un punto de vista axiológico puede afirmarse que la aplicación del precepto contradiga las pautas valorativas que informan el ordenamiento constitucional en cuanto al fundamento de la garantía del principio de legalidad sancionadora (art. 25.1 CE) ya que no puede negarse la previsibilidad del carácter ilícito de la conducta en cuestión y de las correspondientes consecuencias punitivas en el orden tributario. La subsunción en el tipo infractor del art. 201 LGT de la conducta consistente en aparentar, mediante la expedición de facturas falsas, de unas transacciones económicas irreales, no puede considerarse que </w:t>
      </w:r>
      <w:r>
        <w:lastRenderedPageBreak/>
        <w:t>quede fuera del campo semántico del precepto aplicado. La interpretación realizada por la Administración tributaria no es, pues, incoherente con la finalidad perseguida por la infracción prevista y con la defensa del bien jurídico protegido.</w:t>
      </w:r>
    </w:p>
    <w:p w:rsidR="00AC56D6" w:rsidRDefault="00AC56D6" w:rsidP="00AC56D6">
      <w:pPr>
        <w:pStyle w:val="TextoNormal"/>
      </w:pPr>
    </w:p>
    <w:p w:rsidR="00AC56D6" w:rsidRDefault="00AC56D6" w:rsidP="00AC56D6">
      <w:pPr>
        <w:pStyle w:val="TextoNormal"/>
      </w:pPr>
      <w:r>
        <w:t>En suma, debe rechazarse que la subsunción en el art. 201.1 LGT de los hechos descritos haya vulnerado el derecho del recurrente a la legalidad penal y sancionadora (art. 25.1 CE).</w:t>
      </w:r>
    </w:p>
    <w:p w:rsidR="00AC56D6" w:rsidRDefault="00AC56D6" w:rsidP="00AC56D6">
      <w:pPr>
        <w:pStyle w:val="TextoNormal"/>
      </w:pPr>
    </w:p>
    <w:p w:rsidR="00AC56D6" w:rsidRDefault="00AC56D6" w:rsidP="00AC56D6">
      <w:pPr>
        <w:pStyle w:val="TextoNormal"/>
      </w:pPr>
      <w:r w:rsidRPr="00AC56D6">
        <w:rPr>
          <w:rStyle w:val="NumeroAFNegritaCaracter"/>
        </w:rPr>
        <w:t>4</w:t>
      </w:r>
      <w:r>
        <w:t>. Una vez que hemos descartado que pueda considerase como irrazonable la subsunción en el tipo infractor del art. 201.1 LGT (incumplimiento de las obligaciones de facturación) de la conducta consistente en expedir facturas falsas, resta por concretar, en segundo lugar, si, como defiende el recurrente en amparo, la aplicación de la modalidad agravada del art. 201.3 LGT (expedición de facturas “con datos falsos o falseados”) a la conducta consistente en la emisión de “facturas falsas”, contradice el principio de legalidad penal y sancionadora del art. 25.1 LGT.</w:t>
      </w:r>
    </w:p>
    <w:p w:rsidR="00AC56D6" w:rsidRDefault="00AC56D6" w:rsidP="00AC56D6">
      <w:pPr>
        <w:pStyle w:val="TextoNormal"/>
      </w:pPr>
    </w:p>
    <w:p w:rsidR="00AC56D6" w:rsidRDefault="00AC56D6" w:rsidP="00AC56D6">
      <w:pPr>
        <w:pStyle w:val="TextoNormal"/>
      </w:pPr>
      <w:r>
        <w:t>Debemos recordar que el art. 201.3 LGT califica de “muy grave” la conducta tipificada en el art. 201.1 LGT (el incumplimiento de las obligaciones de facturación) cuando el incumplimiento consista en la expedición de facturas “con datos falsos o falseados”. Y, efectivamente, según el acuerdo sancionador de fecha 2 de marzo de 2010, la conducta imputada al recurrente es la de emitir facturas sin contraprestación real; es decir, facturas falsas, que se subsume directamente en la agravante del art. 201.3 LGT. En sentido parecido, la Sentencia de la Sala de lo Contencioso-Administrativo del Tribunal Superior de Justicia de Canarias (Las Palmas de Gran Canaria) de 24 de enero de 2011, considera que la falsedad de las facturas por inexistencia de contraprestación real, puede, sin que ello suponga una interpretación analógica, encuadrarse en el tipo descrito de la norma. En fin, la misma interpretación mantiene la Sentencia de la Sección Séptima de la Sala Tercera del Tribunal Supremo de 22 de marzo de 2013, al afirmar que si el tipo sancionador castiga a quien siendo empresario emite parcialmente facturas falsas, cubre igualmente la conducta de quien emite todas las facturas falsas.</w:t>
      </w:r>
    </w:p>
    <w:p w:rsidR="00AC56D6" w:rsidRDefault="00AC56D6" w:rsidP="00AC56D6">
      <w:pPr>
        <w:pStyle w:val="TextoNormal"/>
      </w:pPr>
    </w:p>
    <w:p w:rsidR="00AC56D6" w:rsidRDefault="00AC56D6" w:rsidP="00AC56D6">
      <w:pPr>
        <w:pStyle w:val="TextoNormal"/>
      </w:pPr>
      <w:r>
        <w:t>Pues bien, sobre este particular entendimos en la STC 146/2015, FJ 4, que dentro de las posibles interpretaciones del precepto y desde la limitada perspectiva de nuestro control, como señalan tanto el Ministerio Fiscal como el Abogado del Estado, la subsunción de la conducta consistente en expedir facturas falsas dentro de la modalidad agravada de la infracción controvertida relativa a la expedición de facturas con datos falsos o falseados, no puede considerarse que violente los términos del precepto aplicado, ni desde la perspectiva literal, ni desde el punto metodológico, ni, en fin, desde el prisma axiológico, pues, como señalan uno y otro, una factura falsa, por no responder a realidad alguna, no es sino una factura con todos sus datos falsos.</w:t>
      </w:r>
    </w:p>
    <w:p w:rsidR="00AC56D6" w:rsidRDefault="00AC56D6" w:rsidP="00AC56D6">
      <w:pPr>
        <w:pStyle w:val="TextoNormal"/>
      </w:pPr>
    </w:p>
    <w:p w:rsidR="00AC56D6" w:rsidRDefault="00AC56D6" w:rsidP="00AC56D6">
      <w:pPr>
        <w:pStyle w:val="TextoNormal"/>
      </w:pPr>
      <w:r>
        <w:t>Debe rechazarse, en consecuencia, que la subsunción en el art. 201.3 LGT de los hechos descritos haya vulnerado el derecho del recurrente a la legalidad penal y sancionadora (art. 25.1 CE), como también debe rechazarse que el art. 201.3 LGT plantee problema alguno de constitucionalidad en la medida que, como hemos visto, la inclusión dentro del tipo agravado de la conducta consistente en la emisión de facturas falsas respeta las pautas metodológicas y axiológicas de interpretación del precepto.</w:t>
      </w:r>
    </w:p>
    <w:p w:rsidR="00AC56D6" w:rsidRDefault="00AC56D6" w:rsidP="00AC56D6">
      <w:pPr>
        <w:pStyle w:val="TextoNormal"/>
      </w:pPr>
    </w:p>
    <w:p w:rsidR="00AC56D6" w:rsidRDefault="00AC56D6" w:rsidP="00AC56D6">
      <w:pPr>
        <w:pStyle w:val="TextoNormalCentrado"/>
        <w:keepNext/>
      </w:pPr>
      <w:r>
        <w:lastRenderedPageBreak/>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Desestimar la demanda de amparo promovida por don Juan Rito Cubas Benítez.</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seis de julio de dos mil quince.</w:t>
      </w:r>
    </w:p>
    <w:p w:rsidR="00AC56D6" w:rsidRDefault="00AC56D6" w:rsidP="00AC56D6">
      <w:pPr>
        <w:pStyle w:val="ParrafoNormal"/>
      </w:pPr>
    </w:p>
    <w:p w:rsidR="00AC56D6" w:rsidRDefault="00AC56D6" w:rsidP="00AC56D6">
      <w:pPr>
        <w:pStyle w:val="TextoNormalNegritaCentrado"/>
        <w:keepNext/>
      </w:pPr>
      <w:r>
        <w:t>Voto particular que formula el Magistrado don Andrés Ollero Tassara, respecto a la Sentencia de la Sala Primera 150/2015, de 6 de julio, dictada en el recurso de amparo núm. 3717-2013.</w:t>
      </w:r>
    </w:p>
    <w:p w:rsidR="00AC56D6" w:rsidRDefault="00AC56D6" w:rsidP="00AC56D6">
      <w:pPr>
        <w:pStyle w:val="TextoNormalNegritaCentrado"/>
        <w:keepNext/>
      </w:pPr>
    </w:p>
    <w:p w:rsidR="00AC56D6" w:rsidRDefault="00AC56D6" w:rsidP="00AC56D6">
      <w:pPr>
        <w:pStyle w:val="TextoNormal"/>
      </w:pPr>
      <w:r>
        <w:t>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formuló la Magistrada doña Adela Asua Batarrita a la STC 146/2012, de 25 de junio, al que me adherí.</w:t>
      </w:r>
    </w:p>
    <w:p w:rsidR="00AC56D6" w:rsidRDefault="00AC56D6" w:rsidP="00AC56D6">
      <w:pPr>
        <w:pStyle w:val="TextoNormal"/>
      </w:pPr>
    </w:p>
    <w:p w:rsidR="00AC56D6" w:rsidRDefault="00AC56D6" w:rsidP="00AC56D6">
      <w:pPr>
        <w:pStyle w:val="TextoNormal"/>
      </w:pPr>
      <w:r>
        <w:t>Madrid, a seis de julio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7" w:name="SENTENCIA_2015_151"/>
      <w:r>
        <w:lastRenderedPageBreak/>
        <w:t>SENTENCIA 151/2015, de 6 de julio de 2015</w:t>
      </w:r>
    </w:p>
    <w:bookmarkEnd w:id="7"/>
    <w:p w:rsidR="00AC56D6" w:rsidRDefault="00AC56D6" w:rsidP="00AC56D6">
      <w:pPr>
        <w:pStyle w:val="TtuloResolucin"/>
      </w:pPr>
      <w:r>
        <w:t>Sala Segunda</w:t>
      </w:r>
    </w:p>
    <w:p w:rsidR="00AC56D6" w:rsidRDefault="00AC56D6" w:rsidP="00AC56D6">
      <w:pPr>
        <w:pStyle w:val="TtuloBOE"/>
      </w:pPr>
      <w:r>
        <w:t>(BOE núm. 194, de 14 de agosto de 2015)</w:t>
      </w:r>
    </w:p>
    <w:p w:rsidR="00AC56D6" w:rsidRDefault="00AC56D6" w:rsidP="00AC56D6">
      <w:pPr>
        <w:pStyle w:val="TextoNormalCentrado"/>
      </w:pPr>
      <w:r>
        <w:t>ECLI:ES:TC:2015:151</w:t>
      </w:r>
    </w:p>
    <w:p w:rsidR="00AC56D6" w:rsidRDefault="00AC56D6" w:rsidP="00AC56D6">
      <w:pPr>
        <w:pStyle w:val="TextoNormalCentrado"/>
      </w:pPr>
    </w:p>
    <w:p w:rsidR="00AC56D6" w:rsidRDefault="00AC56D6" w:rsidP="00AC56D6">
      <w:pPr>
        <w:pStyle w:val="SntesisDescriptiva"/>
      </w:pPr>
      <w:r>
        <w:t>Cuestión de inconstitucionalidad 6632-2013. Planteada por el Juzgado Central de lo Contencioso-Administrativo número 7, en relación con el artículo 2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extinción, por pérdida de objeto, de la cuestión de inconstitucionalidad (STC 83/2015).</w:t>
      </w:r>
    </w:p>
    <w:p w:rsidR="00AC56D6" w:rsidRDefault="00AC56D6" w:rsidP="00AC56D6">
      <w:pPr>
        <w:pStyle w:val="SntesisAnaltica"/>
      </w:pPr>
    </w:p>
    <w:p w:rsidR="00AC56D6" w:rsidRDefault="00AC56D6" w:rsidP="00AC56D6">
      <w:pPr>
        <w:pStyle w:val="Extracto"/>
      </w:pPr>
      <w:r>
        <w:t>1.</w:t>
      </w:r>
      <w:r>
        <w:tab/>
        <w:t>La satisfacción extraprocesal de la pretensión deducida en el proceso laboral sobre la que se articula la cuestión de inconstitucionalidad le hace perder su objeto al ser dicha satisfacción uno de los posibles supuestos de extinción de la cuestión de inconstitucionalidad (STC 83/2015) [FJ 3].</w:t>
      </w:r>
    </w:p>
    <w:p w:rsidR="00AC56D6" w:rsidRDefault="00AC56D6" w:rsidP="00AC56D6">
      <w:pPr>
        <w:pStyle w:val="Extracto"/>
      </w:pPr>
    </w:p>
    <w:p w:rsidR="00AC56D6" w:rsidRDefault="00AC56D6" w:rsidP="00AC56D6">
      <w:pPr>
        <w:pStyle w:val="Extracto"/>
      </w:pPr>
      <w:r>
        <w:t>2.</w:t>
      </w:r>
      <w:r>
        <w:tab/>
        <w:t>Doctrina sobre las posibles causas de terminación extraordinaria de las cuestiones de inconstitucionalidad por pérdida sobrevenida de objeto (STC 83/2015) [FJ 3].</w:t>
      </w:r>
    </w:p>
    <w:p w:rsidR="00AC56D6" w:rsidRDefault="00AC56D6" w:rsidP="00AC56D6">
      <w:pPr>
        <w:pStyle w:val="Extracto"/>
      </w:pPr>
    </w:p>
    <w:p w:rsidR="00AC56D6" w:rsidRDefault="00AC56D6" w:rsidP="00AC56D6">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6632-2013, promovida por el Juzgado Central de lo Contencioso-Administrativo núm. 7, en relación con el art. 2 del Real Decreto-ley 20/2012, de 13 de julio, de medidas para garantizar la estabilidad presupuestaria y de fomento de la competitividad. Ha comparecido y formulado alegaciones el Abogado del Estado. Ha intervenido el Fiscal General del Estado. Ha sido Ponente el Magistrado don Fernando Valdés Dal-Ré, quien expresa el parecer del Tribunal.</w:t>
      </w:r>
    </w:p>
    <w:p w:rsidR="00AC56D6" w:rsidRDefault="00AC56D6" w:rsidP="00AC56D6">
      <w:pPr>
        <w:pStyle w:val="TextoNormal"/>
      </w:pPr>
    </w:p>
    <w:p w:rsidR="00AC56D6" w:rsidRDefault="00AC56D6" w:rsidP="00AC56D6">
      <w:pPr>
        <w:pStyle w:val="TextoNormalNegritaCentrado"/>
        <w:keepNext/>
      </w:pPr>
      <w:r>
        <w:lastRenderedPageBreak/>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Con fecha 14 de noviembre de 2013 tuvo entrada en el Registro General del Tribunal Constitucional un oficio del Juzgado Central de lo Contencioso-Administrativo núm. 7, de 7 de noviembre de 2013, al que se acompañaba, junto al testimonio del procedimiento abreviado núm. 194/2013, el Auto de 25 de octubre de 2013 por el que se acuerda plantear cuestión de inconstitucionalidad en relación con el art. 2 del Real Decreto-ley 20/2012, de 13 de julio, de medidas para garantizar la estabilidad presupuestaria y de fomento de la competitividad, por posible vulneración del principio de irretroactividad del art. 9.3 CE, en su aplicación a los funcionarios públicos.</w:t>
      </w:r>
    </w:p>
    <w:p w:rsidR="00AC56D6" w:rsidRDefault="00AC56D6" w:rsidP="00AC56D6">
      <w:pPr>
        <w:pStyle w:val="TextoNormal"/>
      </w:pPr>
    </w:p>
    <w:p w:rsidR="00AC56D6" w:rsidRDefault="00AC56D6" w:rsidP="00AC56D6">
      <w:pPr>
        <w:pStyle w:val="TextoNormal"/>
      </w:pPr>
      <w:r w:rsidRPr="00AC56D6">
        <w:rPr>
          <w:rStyle w:val="NumeroAFNegritaCaracter"/>
        </w:rPr>
        <w:t>2</w:t>
      </w:r>
      <w:r>
        <w:t>. Resumidamente, los antecedentes del planteamiento de la presente cuestión de inconstitucionalidad son los siguientes:</w:t>
      </w:r>
    </w:p>
    <w:p w:rsidR="00AC56D6" w:rsidRDefault="00AC56D6" w:rsidP="00AC56D6">
      <w:pPr>
        <w:pStyle w:val="TextoNormal"/>
      </w:pPr>
    </w:p>
    <w:p w:rsidR="00AC56D6" w:rsidRDefault="00AC56D6" w:rsidP="00AC56D6">
      <w:pPr>
        <w:pStyle w:val="TextoNormal"/>
      </w:pPr>
      <w:r>
        <w:t>a) Don J.A.F.G., funcionario de policía, interpuso recurso contencioso-administrativo contra la resolución del Director General de la Policía de 12 de diciembre de 2013, dictada por delegación del Secretario de Estado de Seguridad, por la que se denegó su petición de abono de la paga extraordinaria de Navidad 2012, y especialmente la parte correspondiente al mes de junio y catorce días del mes de julio de dicho año.</w:t>
      </w:r>
    </w:p>
    <w:p w:rsidR="00AC56D6" w:rsidRDefault="00AC56D6" w:rsidP="00AC56D6">
      <w:pPr>
        <w:pStyle w:val="TextoNormal"/>
      </w:pPr>
    </w:p>
    <w:p w:rsidR="00AC56D6" w:rsidRDefault="00AC56D6" w:rsidP="00AC56D6">
      <w:pPr>
        <w:pStyle w:val="TextoNormal"/>
      </w:pPr>
      <w:r>
        <w:t>b) Concluso el procedimiento y dentro del plazo para dictar Sentencia, por providencia de 20 de septiembre de 2013 el órgano judicial acordó oír a las partes y al Ministerio Fiscal para que alegasen sobre la pertinencia de plantear cuestión de inconstitucionalidad en relación con el art. 2 del citado Real Decreto-ley 20/2012, por posible vulneración del principio de irretroactividad de las disposiciones restrictivas de derechos individuales (art. 9.3 CE), en la medida en que suprime el derecho de los funcionarios a percibir cuantías de la paga extraordinaria del mes de diciembre de 2012 ya devengadas a la fecha de entrada en vigor de dicho Real Decreto-ley.</w:t>
      </w:r>
    </w:p>
    <w:p w:rsidR="00AC56D6" w:rsidRDefault="00AC56D6" w:rsidP="00AC56D6">
      <w:pPr>
        <w:pStyle w:val="TextoNormal"/>
      </w:pPr>
    </w:p>
    <w:p w:rsidR="00AC56D6" w:rsidRDefault="00AC56D6" w:rsidP="00AC56D6">
      <w:pPr>
        <w:pStyle w:val="TextoNormal"/>
      </w:pPr>
      <w:r>
        <w:t>c) Evacuado dicho trámite, por Auto de 25 de octubre de 2013 el Juzgado Central de lo Contencioso-Administrativo núm. 7 acordó la elevación de la presente cuestión de inconstitucionalidad.</w:t>
      </w:r>
    </w:p>
    <w:p w:rsidR="00AC56D6" w:rsidRDefault="00AC56D6" w:rsidP="00AC56D6">
      <w:pPr>
        <w:pStyle w:val="TextoNormal"/>
      </w:pPr>
    </w:p>
    <w:p w:rsidR="00AC56D6" w:rsidRDefault="00AC56D6" w:rsidP="00AC56D6">
      <w:pPr>
        <w:pStyle w:val="TextoNormal"/>
      </w:pPr>
      <w:r w:rsidRPr="00AC56D6">
        <w:rPr>
          <w:rStyle w:val="NumeroAFNegritaCaracter"/>
        </w:rPr>
        <w:t>3</w:t>
      </w:r>
      <w:r>
        <w:t>. La duda de constitucionalidad, basada en la vulneración del principio de irretroactividad de las disposiciones sancionadoras no favorables o restrictivas de derechos individuales que garantiza el art. 9.3 CE, se fundamenta en el Auto de planteamiento en los razonamientos que a continuación se resumen:</w:t>
      </w:r>
    </w:p>
    <w:p w:rsidR="00AC56D6" w:rsidRDefault="00AC56D6" w:rsidP="00AC56D6">
      <w:pPr>
        <w:pStyle w:val="TextoNormal"/>
      </w:pPr>
    </w:p>
    <w:p w:rsidR="00AC56D6" w:rsidRDefault="00AC56D6" w:rsidP="00AC56D6">
      <w:pPr>
        <w:pStyle w:val="TextoNormal"/>
      </w:pPr>
      <w:r>
        <w:t>a) La redacción del art. 2 del Real Decreto-ley 20/2012 suprime la percepción de la paga extraordinaria del mes de diciembre del año 2012 para el personal funcionario en su total cuantía, sin excepción alguna respecto a posibles derechos ya devengados en el momento de su entrada en vigor, que tuvo lugar el 15 de julio de 2012.</w:t>
      </w:r>
    </w:p>
    <w:p w:rsidR="00AC56D6" w:rsidRDefault="00AC56D6" w:rsidP="00AC56D6">
      <w:pPr>
        <w:pStyle w:val="TextoNormal"/>
      </w:pPr>
    </w:p>
    <w:p w:rsidR="00AC56D6" w:rsidRDefault="00AC56D6" w:rsidP="00AC56D6">
      <w:pPr>
        <w:pStyle w:val="TextoNormal"/>
      </w:pPr>
      <w:r>
        <w:t xml:space="preserve">Atendiendo a la consolidada jurisprudencia según la cual las pagas extraordinarias son salario diferido que se devenga día a día, ello podría confrontar la norma cuestionada con el art 9.3 CE, que garantiza la irretroactividad de las disposiciones restrictivas de derechos </w:t>
      </w:r>
      <w:r>
        <w:lastRenderedPageBreak/>
        <w:t>individuales y la seguridad jurídica, puesto que se estaría suprimiendo el derecho ya generado a percibir la parte proporcional de la paga extraordinaria devengada antes de la entrada en vigor del Real Decreto-ley 20/2012.</w:t>
      </w:r>
    </w:p>
    <w:p w:rsidR="00AC56D6" w:rsidRDefault="00AC56D6" w:rsidP="00AC56D6">
      <w:pPr>
        <w:pStyle w:val="TextoNormal"/>
      </w:pPr>
    </w:p>
    <w:p w:rsidR="00AC56D6" w:rsidRDefault="00AC56D6" w:rsidP="00AC56D6">
      <w:pPr>
        <w:pStyle w:val="TextoNormal"/>
      </w:pPr>
      <w:r>
        <w:t>b) Partiendo de lo razonado en el Auto de la Sala de lo Social de la Audiencia Nacional de 1 de marzo de 2013, y conforme a la doctrina constitucional relativa al principio de irretroactividad recogido en el art. 9.3 CE (por todas, STC 112/2006, de 5 de abril), los derechos retributivos del personal del sector público pertenecen a la esfera general de protección de la persona consagrados en el art. 35.1 CE, que reconoce el derecho a la remuneración suficiente (lo que, en principio, se correspondería sólo con el salario mínimo interprofesional) y también el derecho al trabajo (una de cuyas notas esenciales es su carácter remunerado). El mandato del art. 103.3 CE ha tenido lugar mediante la promulgación de la Ley 7/2007, de 12 de abril, del estatuto básico del empleado público, que en los arts. 21 y 22, al regular los derechos retributivos de los funcionarios, determina que las pagas extraordinarias serán dos al año, cada una por el importe de una mensualidad de las retribuciones básicas y de la totalidad de las retribuciones complementarias. Las retribuciones de los funcionarios deben pues conceptuarse como derecho que pertenece a la esfera general de protección de la persona, y el Tribunal Constitucional ha venido admitiendo con naturalidad su encaje en el supuesto de hecho del art. 9.3 CE, incluso ante normas que, como la cuestionada, se inspiran en la finalidad de contención del gasto público mediante la reducción retributiva (STC 330/2005, de 15 de diciembre, y ATC 162/2012, de 13 de septiembre).</w:t>
      </w:r>
    </w:p>
    <w:p w:rsidR="00AC56D6" w:rsidRDefault="00AC56D6" w:rsidP="00AC56D6">
      <w:pPr>
        <w:pStyle w:val="TextoNormal"/>
      </w:pPr>
    </w:p>
    <w:p w:rsidR="00AC56D6" w:rsidRDefault="00AC56D6" w:rsidP="00AC56D6">
      <w:pPr>
        <w:pStyle w:val="TextoNormal"/>
      </w:pPr>
      <w:r>
        <w:t>c) Para determinar si el derecho a la paga extraordinaria de diciembre estaba ya consolidado, asumido e integrado en el patrimonio de los trabajadores cuando entró en vigor el Real Decreto-ley 20/2012 o si, por el contrario, se trataba de una expectativa de derecho, o de un derecho futuro o condicionado, para el caso de los funcionarios de carrera existe una previsión legal expresa, el art. 33 de la Ley 33/1987, de 23 de diciembre, de presupuestos generales del Estado para 1988, cuyo primer párrafo determina que las pagas extraordinarias se devengan el primer día de los meses de junio y diciembre, si bien del resto del precepto se desprende que se conceptúa la paga como salario diferido que se devenga día a día o, si se prefiere, como un salario que se percibirá en cuantía proporcional al tiempo de servicios efectivamente prestados.</w:t>
      </w:r>
    </w:p>
    <w:p w:rsidR="00AC56D6" w:rsidRDefault="00AC56D6" w:rsidP="00AC56D6">
      <w:pPr>
        <w:pStyle w:val="TextoNormal"/>
      </w:pPr>
    </w:p>
    <w:p w:rsidR="00AC56D6" w:rsidRDefault="00AC56D6" w:rsidP="00AC56D6">
      <w:pPr>
        <w:pStyle w:val="TextoNormal"/>
      </w:pPr>
      <w:r>
        <w:t>Por ello, no cabe admitir en este punto que la naturaleza de las pagas extraordinarias de los funcionarios públicos difiera sustancialmente de la de los demás trabajadores, por lo que, a falta de jurisprudencia específica de la Sala Tercera del Tribunal Supremo, debe considerarse plenamente aplicable la doctrina sentada por la Sala Cuarta sobre el devengo diario de las pagas extraordinarias, que “se alza con valor normativo complementario, salvaguardando la pureza de la ley, de modo que forma una unidad con la misma como parámetro de inconstitucionalidad del art. 2 del Real Decreto-ley 20/2012”.</w:t>
      </w:r>
    </w:p>
    <w:p w:rsidR="00AC56D6" w:rsidRDefault="00AC56D6" w:rsidP="00AC56D6">
      <w:pPr>
        <w:pStyle w:val="TextoNormal"/>
      </w:pPr>
    </w:p>
    <w:p w:rsidR="00AC56D6" w:rsidRDefault="00AC56D6" w:rsidP="00AC56D6">
      <w:pPr>
        <w:pStyle w:val="TextoNormal"/>
      </w:pPr>
      <w:r>
        <w:t>Estamos ante un derecho que se genera día a día, incorporándose como tal al acervo patrimonial de los funcionarios. En el caso examinado, atendiendo a la regulación legal señalada, al ser la paga extra de diciembre de 2012 de devengo semestral a partir del 1 de junio de 2012, a la fecha de entrada en vigor del Real Decreto-ley 20/2012 ya se había devengado y generado el derecho a la parte proporcional a un mes y catorce días de trabajo que, sin embargo, se suprime, operando una retroactividad auténtica o de grado máximo.</w:t>
      </w:r>
    </w:p>
    <w:p w:rsidR="00AC56D6" w:rsidRDefault="00AC56D6" w:rsidP="00AC56D6">
      <w:pPr>
        <w:pStyle w:val="TextoNormal"/>
      </w:pPr>
    </w:p>
    <w:p w:rsidR="00AC56D6" w:rsidRDefault="00AC56D6" w:rsidP="00AC56D6">
      <w:pPr>
        <w:pStyle w:val="TextoNormal"/>
      </w:pPr>
      <w:r>
        <w:lastRenderedPageBreak/>
        <w:t>d) Retomando nuevamente los argumentos de la Sala de lo Social de la Audiencia Nacional, y con referencia a la STC 197/1992, de 19 de noviembre, la crisis económica podría acaso justificar determinadas medidas restrictivas de derechos individuales como la cuestionada, pero no puede abrir la puerta, sin más, a que esas restricciones operen de modo retroactivo. La excepción a la irretroactividad recogida en la doctrina constitucional debe interpretarse de forma restrictiva, sin que pueda extenderse a toda medida de interés general. La reducción del déficit público puede justificar muchas medidas, pero no reúne la nota de cualificación absolutamente excepcional que sería necesaria para sacrificar el principio constitucional de seguridad jurídica que sustenta la irretroactividad, en aras del bien común. Es el interés general lo que se ataca cuando se niega a quienes han prestado sus servicios al sector público el derecho a percibir el salario correspondiente. Se hace referencia también en el Auto de planteamiento a algunos pronunciamientos del Tribunal Europeo de Derechos Humanos que, a su juicio, mantienen una concepción cualificada del interés general y descartan que la pretensión de reducir el gasto público, por muy urgente y necesaria que sea, constituya, sin más, un bien común que permita exceptuar los básicos principios constitucionales de irretroactividad y seguridad jurídica, principios constitucionales que sí cabría identificar, en cambio, con el interés general de los ciudadanos. Dado que los salarios y las pagas extraordinarias se han seguido abonando tras el mes de diciembre de 2012, queda en entredicho que el interés general sustentado en la crítica situación económica requiriera una supresión de derechos de carácter retroactivo, violentando el principio constitucional del art. 9.3. CE.</w:t>
      </w:r>
    </w:p>
    <w:p w:rsidR="00AC56D6" w:rsidRDefault="00AC56D6" w:rsidP="00AC56D6">
      <w:pPr>
        <w:pStyle w:val="TextoNormal"/>
      </w:pPr>
    </w:p>
    <w:p w:rsidR="00AC56D6" w:rsidRDefault="00AC56D6" w:rsidP="00AC56D6">
      <w:pPr>
        <w:pStyle w:val="TextoNormal"/>
      </w:pPr>
      <w:r w:rsidRPr="00AC56D6">
        <w:rPr>
          <w:rStyle w:val="NumeroAFNegritaCaracter"/>
        </w:rPr>
        <w:t>4</w:t>
      </w:r>
      <w:r>
        <w:t>. Por providencia de 3 de diciembre de 2013, el Pleno, a propuesta de la Sección Cuarta, acordó admitir a trámite la cuestión de inconstitucionalidad; deferir su conocimiento a la Sala Segunda, a la que por turno objetivo le ha correspondido, conforme al art. 10.1 c) de la Ley Orgánica del Tribunal Constitucional (LOTC); dar traslado de la demanda y documentos presentados al Congreso de los Diputados, al Senado, al Gobierno y al Fiscal General del Estado, para que en el plazo de quince días pudieran personarse en el procedimiento y formular las alegaciones que estimasen convenientes, de acuerdo con lo establecido por el art. 37.3 LOTC; comunicar esa resolución al Juzgado Central de lo Contencioso-Administrativo núm. 7 a fin de que, de conformidad con el art. 35.3 LOTC, permaneciese suspendido el proceso hasta la resolución de la presente cuestión; y publicar su incoación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Mediante sendos escritos registrados los días 12 y 17 de diciembre de 2013, los Presidentes del Congreso de los Diputados y del Senado comunicaron los respectivos acuerdos de las Mesas de ambas Cámaras de personarse en el presente proceso constitucional, ofreciendo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6</w:t>
      </w:r>
      <w:r>
        <w:t>. Por escrito registrado en este Tribunal el 18 de diciembre de 2013, el Abogado del Estado se personó en el presente proceso constitucional, instando la desestimación de la cuestión en atención a las alegaciones que a continuación se sintetizan.</w:t>
      </w:r>
    </w:p>
    <w:p w:rsidR="00AC56D6" w:rsidRDefault="00AC56D6" w:rsidP="00AC56D6">
      <w:pPr>
        <w:pStyle w:val="TextoNormal"/>
      </w:pPr>
    </w:p>
    <w:p w:rsidR="00AC56D6" w:rsidRDefault="00AC56D6" w:rsidP="00AC56D6">
      <w:pPr>
        <w:pStyle w:val="TextoNormal"/>
      </w:pPr>
      <w:r>
        <w:t xml:space="preserve">a) Aunque el Auto de planteamiento cuestiona la totalidad del art. 2 del Real Decreto-ley 20/2012, se refiere solo a su apartado 2.2, es decir, a la aplicación de la supresión de la paga extraordinaria de diciembre al personal de las Administraciones públicas. Además, no se </w:t>
      </w:r>
      <w:r>
        <w:lastRenderedPageBreak/>
        <w:t>cuestiona genéricamente la referida supresión de la paga extraordinaria al personal funcionario, sino que tan solo se reprocha al legislador que no haya incluido una disposición transitoria por la cual se hubiera exceptuado de la mencionada supresión la parte proporcional que se entiende devengada desde el 1 de junio al 15 de julio, fecha de entrada en vigor de la norma. Por tanto, el órgano judicial plantea en realidad una inconstitucionalidad por omisión, posibilidad admitida por el Tribunal solo en contadas ocasiones (STC 120/2010, de 24 de noviembre, FJ 6). La consecuencia que, como máximo, podría derivarse de esta cuestión no sería la declaración de inconstitucionalidad del precepto cuestionado, sino simplemente la de imponer al legislador, con respeto a su libertad de configuración, el establecimiento de una expresa excepción correspondiente al periodo transcurrido entre el 1 de junio y el 15 de julio de 2012.</w:t>
      </w:r>
    </w:p>
    <w:p w:rsidR="00AC56D6" w:rsidRDefault="00AC56D6" w:rsidP="00AC56D6">
      <w:pPr>
        <w:pStyle w:val="TextoNormal"/>
      </w:pPr>
    </w:p>
    <w:p w:rsidR="00AC56D6" w:rsidRDefault="00AC56D6" w:rsidP="00AC56D6">
      <w:pPr>
        <w:pStyle w:val="TextoNormal"/>
      </w:pPr>
      <w:r>
        <w:t>b) El precepto cuestionado no constituye una “disposición sancionadora no favorable o restrictiva de derechos individuales” en el sentido del art. 9.3 CE, según la interpretación del Tribunal (SSTC 90/2009, de 20 de abril, FJ 4, y 100/2012, de 8 de mayo, FJ 10, y las allí citadas). Una norma que aspira a la contención del gasto de personal (como principal componente del gasto público) no es sancionadora ni restrictiva de derechos en el sentido constitucional de la expresión. Tampoco el art. 35.1 CE (derecho a una remuneración suficiente) comprendería el derecho al mantenimiento de una determinada retribución, ni permitiría afirmar que una reducción salarial es una norma constitucionalmente restrictiva de derechos en el sentido del art. 9.3 CE (STC 31/1984, de 7 de marzo, FJ 9). Toda vez que el art. 35.1 CE no garantiza el mantenimiento de un determinado nivel salarial inmutable, con independencia de la coyuntura económica, las reducciones salariales impuestas por el legislador no constituyen normas restrictivas del derecho reconocido en dicho precepto constitucional, en los términos del art. 9.3 CE.</w:t>
      </w:r>
    </w:p>
    <w:p w:rsidR="00AC56D6" w:rsidRDefault="00AC56D6" w:rsidP="00AC56D6">
      <w:pPr>
        <w:pStyle w:val="TextoNormal"/>
      </w:pPr>
    </w:p>
    <w:p w:rsidR="00AC56D6" w:rsidRDefault="00AC56D6" w:rsidP="00AC56D6">
      <w:pPr>
        <w:pStyle w:val="TextoNormal"/>
      </w:pPr>
      <w:r>
        <w:t>c) Subsidiariamente, para el caso de que este Tribunal apreciase que sí nos encontramos ante una disposición restrictiva de derechos individuales, la norma cuestionada no establece una retroactividad proscrita por el art. 9.3 CE. De acuerdo con reiterada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que puede tener relevancia constitucional desde la perspectiva de la protección de la seguridad jurídica (SSTC 227/1988, de 29 de noviembre, FJ 7, y 112/2006, de 5 de abril, FJ 17, entre otras).</w:t>
      </w:r>
    </w:p>
    <w:p w:rsidR="00AC56D6" w:rsidRDefault="00AC56D6" w:rsidP="00AC56D6">
      <w:pPr>
        <w:pStyle w:val="TextoNormal"/>
      </w:pPr>
    </w:p>
    <w:p w:rsidR="00AC56D6" w:rsidRDefault="00AC56D6" w:rsidP="00AC56D6">
      <w:pPr>
        <w:pStyle w:val="TextoNormal"/>
      </w:pPr>
      <w:r>
        <w:t xml:space="preserve">Respecto del personal laboral, el propio Auto de planteamiento reconoce que la regulación legal de las pagas extraordinarias no proporciona la solución, habiendo sido el Tribunal Supremo el que ha configurado la paga extra como de devengo diario y cobro aplazado.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El precepto cuestionado ha entendido, precisamente, que las gratificaciones extraordinarias se devengan en el momento del pago; concepción esta, por otro lado, perfectamente conforme con los arts. 26 y 31 de la Ley del estatuto de los trabajadores, así como con la doctrina de este Tribunal relativa a los tributos de hecho imponible duradero </w:t>
      </w:r>
      <w:r>
        <w:lastRenderedPageBreak/>
        <w:t>(STC 176/2011, de 8 de noviembre, FJ 5).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No habría por tanto eficacia retroactiva en sentido propio, dado que el Real Decreto-ley 20/2012 incide sobre una paga extraordinaria que todavía no se ha percibido.</w:t>
      </w:r>
    </w:p>
    <w:p w:rsidR="00AC56D6" w:rsidRDefault="00AC56D6" w:rsidP="00AC56D6">
      <w:pPr>
        <w:pStyle w:val="TextoNormal"/>
      </w:pPr>
    </w:p>
    <w:p w:rsidR="00AC56D6" w:rsidRDefault="00AC56D6" w:rsidP="00AC56D6">
      <w:pPr>
        <w:pStyle w:val="TextoNormal"/>
      </w:pPr>
      <w:r>
        <w:t>En el caso del personal funcionario, sí está fijado legalmente el momento en que nace el derecho, ya que las pagas extraordinarias se devengan por ley el 1 de junio y el 1 de diciembre: en desarrollo del art. 21 de la Ley del estatuto básico del empleado público, la Ley 2/2012, de 29 de junio, de presupuestos generales del Estado para 2012, dispuso en su art. 26 el periodo de devengo de las pagas por remisión a lo establecido por el art. 33 de la Ley 33/1987, de 23 de diciembre, de presupuestos generales del Estado para 1988, es decir, el primer día hábil de los meses de junio y diciembre. Conforme a los artículos citados, como regla general y salvo las excepciones previstas en los mismos, el derecho de los funcionarios públicos a la paga extraordinaria del mes de diciembre de 2012 nacería el primer día hábil de dicho mes y año. Así, durante los meses de junio y julio de 2012 este derecho no había nacido, no existía. Las previsiones de las leyes de presupuestos no tuvieron efecto alguno antes de la entrada en vigor del Real Decreto-ley 20/2012.</w:t>
      </w:r>
    </w:p>
    <w:p w:rsidR="00AC56D6" w:rsidRDefault="00AC56D6" w:rsidP="00AC56D6">
      <w:pPr>
        <w:pStyle w:val="TextoNormal"/>
      </w:pPr>
    </w:p>
    <w:p w:rsidR="00AC56D6" w:rsidRDefault="00AC56D6" w:rsidP="00AC56D6">
      <w:pPr>
        <w:pStyle w:val="TextoNormal"/>
      </w:pPr>
      <w:r>
        <w:t>d) Aún en el caso de que se considerase que la norma establece una retroactividad de grado máximo, se justifica por la concurrencia de exigencias de interés público, conectadas con la situación de auténtica excepción fiscal que vivía España en el momento de aprobación del Real Decreto-ley 20/2012. De conformidad con la jurisprudencia constitucional [SSTC 182/1997, de 28 de octubre, FJ 13 a), y 176/2011, de 8 de noviembre, FJ 5], que a su vez cita la del Tribunal de Justicia de la Unión Europa (Sentencia de 26 de abril de 2005, C-376/02), pueden reputarse conforme a la Constitución las modificaciones con cualquier grado de retroactividad cuando existan claras exigencias de interés general. Aplicando tal doctrina al presente caso, la medida cuestionada encontraría su justificación en un interés público relevante, como es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t>Así se señala en el preámbulo del Real Decreto-ley 20/2012 y en el debate de convalidación de la norma, y así se desprende de los datos ofrecidos en los sucesivos informes anuales del Banco de España de 2008, 2009, 2010 y 2011. En la senda de consolidación fiscal pactada con los órganos de la Unión Europea, España se ha visto obligada a una fuerte reducción del déficit (del 8,9 por 100 del PIB en 2011 al 6,3 por 100 del PIB en 2012), lo que ha exigido adoptar importantes medidas de reducción del gasto público, sin olvidar que la estabilidad presupuestaria es actualmente un principio constitucional que vincula a todos los poderes públicos.</w:t>
      </w:r>
    </w:p>
    <w:p w:rsidR="00AC56D6" w:rsidRDefault="00AC56D6" w:rsidP="00AC56D6">
      <w:pPr>
        <w:pStyle w:val="TextoNormal"/>
      </w:pPr>
    </w:p>
    <w:p w:rsidR="00AC56D6" w:rsidRDefault="00AC56D6" w:rsidP="00AC56D6">
      <w:pPr>
        <w:pStyle w:val="TextoNormal"/>
      </w:pPr>
      <w:r>
        <w:t xml:space="preserve">El Tribunal no se ha mostrado ajeno a la gravedad de la crisis económica que atraviesa la zona euro, habiéndose hecho eco de la profunda crisis presupuestaria en los AATC </w:t>
      </w:r>
      <w:r>
        <w:lastRenderedPageBreak/>
        <w:t>95/2011, de 21 de junio, FJ 5; 96/2011, de 21 de junio, FJ 5; 160/2011, de 22 de noviembre, FJ 3, y 147/2012, de 16 de julio, FJ 6).</w:t>
      </w:r>
    </w:p>
    <w:p w:rsidR="00AC56D6" w:rsidRDefault="00AC56D6" w:rsidP="00AC56D6">
      <w:pPr>
        <w:pStyle w:val="TextoNormal"/>
      </w:pPr>
    </w:p>
    <w:p w:rsidR="00AC56D6" w:rsidRDefault="00AC56D6" w:rsidP="00AC56D6">
      <w:pPr>
        <w:pStyle w:val="TextoNormal"/>
      </w:pPr>
      <w:r w:rsidRPr="00AC56D6">
        <w:rPr>
          <w:rStyle w:val="NumeroAFNegritaCaracter"/>
        </w:rPr>
        <w:t>7</w:t>
      </w:r>
      <w:r>
        <w:t>. Por escrito registrado en este Tribunal el 20 de diciembre de 2013, el Fiscal General del Estado evacuó el trámite de alegaciones, solicitando la declaración de inconstitucionalidad parcial del precepto cuestionado en atención a los razonamientos que seguidamente se resumen.</w:t>
      </w:r>
    </w:p>
    <w:p w:rsidR="00AC56D6" w:rsidRDefault="00AC56D6" w:rsidP="00AC56D6">
      <w:pPr>
        <w:pStyle w:val="TextoNormal"/>
      </w:pPr>
    </w:p>
    <w:p w:rsidR="00AC56D6" w:rsidRDefault="00AC56D6" w:rsidP="00AC56D6">
      <w:pPr>
        <w:pStyle w:val="TextoNormal"/>
      </w:pPr>
      <w:r>
        <w:t>a) De acuerdo con la doctrina constitucional (SSTC 234/2001, de 13 de diciembre; 90/2009, de 20 de abril, y 100/2012, de 8 de mayo), el análisis de retroactividad de la norma debe tener una doble proyección, que sirva no solo para determinar su grado de incidencia en los efectos de relaciones jurídicas anteriores, sino también como elemento indicativo de lo que deban ser los derechos individuales. En el presente caso, la supresión de un derecho previamente reconocido y cuyos efectos se habrían ya agotado vendría a comprometer la esfera general de protección de la persona, al afectar, al menos, al art. 33.3 CE, que prohíbe la privación de derechos si no es por causa de utilidad pública o interés social, y siempre que aquélla pueda ser compensada mediante la correspondiente indemnización. La condición para ello es que los derechos se hayan integrado plenamente en el patrimonio del ciudadano.</w:t>
      </w:r>
    </w:p>
    <w:p w:rsidR="00AC56D6" w:rsidRDefault="00AC56D6" w:rsidP="00AC56D6">
      <w:pPr>
        <w:pStyle w:val="TextoNormal"/>
      </w:pPr>
    </w:p>
    <w:p w:rsidR="00AC56D6" w:rsidRDefault="00AC56D6" w:rsidP="00AC56D6">
      <w:pPr>
        <w:pStyle w:val="TextoNormal"/>
      </w:pPr>
      <w:r>
        <w:t>Resulta absolutamente relevante poner el acento en la naturaleza jurídica de los derechos retributivos de los trabajadores, calificándolos como integrantes de la esfera general de protección de la persona, como límite de la eficacia de la norma retroactiva. En concreto, se enmarcarían dentro del derecho al trabajo y a la remuneración suficiente que prevé el art. 35.1 CE. Si bien no llegan a comprometerse en este caso derechos fundamentales o libertades públicas, sí que se ven concernidos derechos individuales, tanto porque pudieren haberse incorporado definitivamente al patrimonio del trabajador, como porque constituyen derechos de carácter retributivo que, por hallarse especialmente protegidos por la Constitución, son expresión directa de la esfera general de protección de la persona a la que alude la jurisprudencia constitucional.</w:t>
      </w:r>
    </w:p>
    <w:p w:rsidR="00AC56D6" w:rsidRDefault="00AC56D6" w:rsidP="00AC56D6">
      <w:pPr>
        <w:pStyle w:val="TextoNormal"/>
      </w:pPr>
    </w:p>
    <w:p w:rsidR="00AC56D6" w:rsidRDefault="00AC56D6" w:rsidP="00AC56D6">
      <w:pPr>
        <w:pStyle w:val="TextoNormal"/>
      </w:pPr>
      <w:r>
        <w:t>b) A la luz de la doctrina constitucional (SSTC 6/1983, de 4 de febrero; 42/1986, de 10 de abril; 99/1987, de 11 de junio; 112/2006, de 5 de abril; 116/2009, de 18 de mayo, y 161/2009, de 29 de junio), resulta obvia la supresión por la norma cuestionada de un efecto jurídico ya agotado, en tanto derecho incorporado definitivamente al patrimonio de los trabajadores, a quienes la aplicación retroactiva de la norma obligaría a la devolución de parte de los salarios ya percibidos. Aunque referida al personal laboral, resulta inexcusable la cita de la jurisprudencia del Tribunal Supremo, según la cual las gratificaciones extraordinarias constituyen una manifestación del salario diferido, y se devengan día a día, aunque su vencimiento tiene lugar en determinados meses del año. A la vista de la interpretación de la legalidad ordinaria por el máximo órgano jurisdiccional a quien compete dicha función, resulta evidente que lo que la norma interpretada afirma es que las pagas extraordinarias se devengan desde la fecha de inicio del cómputo de cada periodo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la privación de la cantidad correspondiente a dicho período supondría la restricción injustificada de un derecho individual que, como tal, prohíbe el art. 9.3 CE.</w:t>
      </w:r>
    </w:p>
    <w:p w:rsidR="00AC56D6" w:rsidRDefault="00AC56D6" w:rsidP="00AC56D6">
      <w:pPr>
        <w:pStyle w:val="TextoNormal"/>
      </w:pPr>
    </w:p>
    <w:p w:rsidR="00AC56D6" w:rsidRDefault="00AC56D6" w:rsidP="00AC56D6">
      <w:pPr>
        <w:pStyle w:val="TextoNormal"/>
      </w:pPr>
      <w:r>
        <w:t xml:space="preserve">El criterio del Auto de planteamiento tendría el respaldo de la Sentencia del Tribunal Europeo de Derecho Humanos de 14 de mayo de 2013 (caso </w:t>
      </w:r>
      <w:r w:rsidRPr="00AC56D6">
        <w:rPr>
          <w:i/>
        </w:rPr>
        <w:t>N.K.M. v.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ésta se realizará. Y entiende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t>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En nuestro ordenamiento jurídico, el art. 33 CE impide la expropiación de bienes o derechos por causa de utilidad pública o interés social si no se acompaña de un justiprecio. Los compromisos meramente posibilistas contemplados en la exposición de motivos del Real Decreto-ley 20/2012,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t>c) En el Auto de planteamiento no se cuestiona todo el art. 2 del Real Decreto-ley 20/2012 sino sólo sus apartados 2.1 y 2.2.1, ya que son los que resultan aplicables para resolver el pleito sometido al conocimiento del Juzgado Central de lo Contencioso-Administrativo núm. 7, y relevantes en cuanto el recurso del proceso subyacente se refiere exclusivamente al personal funcionario o estatutario.</w:t>
      </w:r>
    </w:p>
    <w:p w:rsidR="00AC56D6" w:rsidRDefault="00AC56D6" w:rsidP="00AC56D6">
      <w:pPr>
        <w:pStyle w:val="TextoNormal"/>
      </w:pPr>
    </w:p>
    <w:p w:rsidR="00AC56D6" w:rsidRDefault="00AC56D6" w:rsidP="00AC56D6">
      <w:pPr>
        <w:pStyle w:val="TextoNormal"/>
      </w:pPr>
      <w:r>
        <w:t>En cuanto a los efectos de la hipotética estimación, tratándose de un supuesto de retroactividad máxima en relación con derechos ya integrados en el patrimonio de sus titulares, el efecto de la declaración de inconstitucionalidad habría de limitarse al período comprendido entre las fechas del 1 de junio y el 15 de julio de 2012, ya que el art. 26.1 b) de la citada Ley 2/2012, por remisión al art. 33 de la Ley 33/1987, establece como fecha de devengo de las pagas extraordinarias los días 1 de junio y diciembre.</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2 de julio de 2015 se señaló para deliberación y votación de la presente Sentencia el día 6 del mismo mes y año.</w:t>
      </w:r>
    </w:p>
    <w:p w:rsidR="00AC56D6" w:rsidRDefault="00AC56D6" w:rsidP="00AC56D6">
      <w:pPr>
        <w:pStyle w:val="TextoNormal"/>
      </w:pPr>
    </w:p>
    <w:p w:rsidR="00AC56D6" w:rsidRDefault="00AC56D6" w:rsidP="00AC56D6">
      <w:pPr>
        <w:pStyle w:val="TextoNormalNegritaCentrado"/>
        <w:keepNext/>
      </w:pPr>
      <w:r>
        <w:lastRenderedPageBreak/>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Juzgado Central de lo Contencioso-Administrativo núm. 7 plantea cuestión de inconstitucionalidad respecto del art. 2 del Real Decreto-ley 20/2012, de 13 de julio, de medidas para garantizar la estabilidad presupuestaria y de fomento de la competitividad, precepto que, en lo que aquí importa, dispone para el personal del sector público definido en el art. 22.1 de la Ley 2/2012, de 29 de junio, de presupuestos generales del Estado para 2012, la supresión de la paga extraordinaria (o equivalente) del mes de diciembre de 2012. En síntesis, el órgano judicial entiende que el precepto cuestionado, en su aplicación al personal funcionario, puede vulnerar el principio constitucional de interdicción de la retroactividad de las disposiciones sancionadoras no favorables o restrictivas de derechos individuales (art. 9.3 CE), al no contemplar excepción alguna respecto de las cuantías ya devengadas al momento de su entrada en vigor.</w:t>
      </w:r>
    </w:p>
    <w:p w:rsidR="00AC56D6" w:rsidRDefault="00AC56D6" w:rsidP="00AC56D6">
      <w:pPr>
        <w:pStyle w:val="TextoNormal"/>
      </w:pPr>
    </w:p>
    <w:p w:rsidR="00AC56D6" w:rsidRDefault="00AC56D6" w:rsidP="00AC56D6">
      <w:pPr>
        <w:pStyle w:val="TextoNormal"/>
      </w:pPr>
      <w:r>
        <w:t>En los términos en que han sido recogidos en los antecedentes de esta Sentencia, el Fiscal General del Estado coincide con el juicio de inconstitucionalidad formulado por el Auto de planteamiento de la cuestión, si bien ceñido a los apartados 2.1 y 2.2.1, por lo que interesa la estimación parcial de la misma, mientras que el Abogado del Estado solicita su desestimación.</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al análisis de la cuestión planteada conviene realizar una serie de precisiones para acotar debidamente el objeto de la misma y el alcance de nuestro enjuiciamiento.</w:t>
      </w:r>
    </w:p>
    <w:p w:rsidR="00AC56D6" w:rsidRDefault="00AC56D6" w:rsidP="00AC56D6">
      <w:pPr>
        <w:pStyle w:val="TextoNormal"/>
      </w:pPr>
    </w:p>
    <w:p w:rsidR="00AC56D6" w:rsidRDefault="00AC56D6" w:rsidP="00AC56D6">
      <w:pPr>
        <w:pStyle w:val="TextoNormal"/>
      </w:pPr>
      <w:r>
        <w:t>a) Así, en primer lugar, resulta obligado advertir, en consonancia con lo manifestado en sus alegaciones respectivas por el Fiscal General del Estado y el Abogado del Estado, que si bien el Juzgado Central de lo Contencioso-Administrativo núm. 7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 los funcionarios públicos” (como se precisa expresamente en la parte dispositiva del Auto). Ello se conecta lógicamente con el juicio de relevancia, correctamente expresado por el órgano judicial, pues la cuestión de inconstitucionalidad trae causa de un recurso contencioso-administrativo promovido por un funcionario del Estado con motivo de la supresión, por aplicación de las previsiones contenidas en el Real Decreto-ley 20/2012, de la paga o gratificación extraordinaria de diciembre de 2012, proceso en el que lo pretendido por el demandante con carácter subsidiario a la pretensión principal (referida a que no se le aplique la medida de supresión de la paga extra de diciembre de 2012) es justamente que se declare su derecho a percibir la parte proporcional de la paga extra de diciembre de 2012 que considera ya devengada al momento de la entrada en vigor del Real Decreto-ley 20/2012.</w:t>
      </w:r>
    </w:p>
    <w:p w:rsidR="00AC56D6" w:rsidRDefault="00AC56D6" w:rsidP="00AC56D6">
      <w:pPr>
        <w:pStyle w:val="TextoNormal"/>
      </w:pPr>
    </w:p>
    <w:p w:rsidR="00AC56D6" w:rsidRDefault="00AC56D6" w:rsidP="00AC56D6">
      <w:pPr>
        <w:pStyle w:val="TextoNormal"/>
      </w:pPr>
      <w:r>
        <w:t xml:space="preserve">De este modo, en los términos en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w:t>
      </w:r>
      <w:r>
        <w:lastRenderedPageBreak/>
        <w:t>de 2012, y al apartado 2.1 del art. 2 del Real Decreto-ley 20/2012, que se refiere específicamente a la supresión de la paga o gratificación extraordinaria de diciembre de 2012 o equivalente al personal funcionario del sector público.</w:t>
      </w:r>
    </w:p>
    <w:p w:rsidR="00AC56D6" w:rsidRDefault="00AC56D6" w:rsidP="00AC56D6">
      <w:pPr>
        <w:pStyle w:val="TextoNormal"/>
      </w:pPr>
    </w:p>
    <w:p w:rsidR="00AC56D6" w:rsidRDefault="00AC56D6" w:rsidP="00AC56D6">
      <w:pPr>
        <w:pStyle w:val="TextoNormal"/>
      </w:pPr>
      <w:r>
        <w:t xml:space="preserve">b) Por otra parte debe tenerse en cuenta que no se cuestiona por el órgano judicial la medida de supresión de la paga extraordinaria de diciembre de 2012 en sí misma considerada (que es la pretensión principal que se deduce por el demandante en el proceso </w:t>
      </w:r>
      <w:r w:rsidRPr="00AC56D6">
        <w:rPr>
          <w:i/>
        </w:rPr>
        <w:t>a quo</w:t>
      </w:r>
      <w:r>
        <w:t xml:space="preserve">, como se ha dicho), sino sólo en cuanto su aplicación haya podido suponer la infracción del principio de irretroactividad establecido en el 9.3 CE, al no contemplar excepción alguna respecto de las cuantías que se entienden ya devengadas de dicha paga extra (en concreto, un mes y catorce días) a la fecha de entrada en vigor del Real Decreto-ley 20/2012 (que tuvo lugar el 15 de julio de 2012, conforme a su disposición final decimoquinta). A esta concreta duda de constitucionalidad (planteada a partir de la pretensión subsidiaria en el proceso </w:t>
      </w:r>
      <w:r w:rsidRPr="00AC56D6">
        <w:rPr>
          <w:i/>
        </w:rPr>
        <w:t>a quo</w:t>
      </w:r>
      <w:r>
        <w:t>) deberá, pues, ceñirse nuestro enjuiciamiento.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Delimitado el alcance de nuestra decisión, debemos remitirnos a lo dicho recientemente en nuestra STC 83/2015, de 30 de abril, sobre la posible pérdida de objeto de la cuestión de inconstitucionalidad, como consecuencia de lo establecido en la disposición adicional duodécima de la Ley 36/2014, de 26 de diciembre, de presupuestos generales del Estado para 2015, que bajo el epígrafe “Recuperación de la paga extraordinaria y adicional del mes de diciembre de 2012”, establece, en su apartado 1.I,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cuarenta y cuatro días de la paga extraordinaria suprimida; según establece en su apartado 1.2; y en su apartado 2 dispone las reglas para el abono de dichas cantidades al personal del sector público estatal, previsiones cuya aplicación efectiva se ha llevado a cabo en el ámbito del sector público estatal conforme a las instrucciones contenidas en la resolución conjunta de las Secretarías de Estado de Presupuestos y Gastos y de Administraciones Públicas de 29 de diciembre de 2014 (publicada en el “Boletín Oficial del Estado” de 2 de enero de 2015), en la que se precisa que “el reconocimiento del derecho a recuperar las cantidades dejadas de percibir se produce por imperativo de la propia Ley de Presupuestos Generales del Estado para 2015 y produce sus efectos a partir de este último año, por lo que todas las cantidades que se reconozcan en virtud de lo dispuesto en la disposición adicional constituyen percepciones correspondientes al ejercicio de 2015”.</w:t>
      </w:r>
    </w:p>
    <w:p w:rsidR="00AC56D6" w:rsidRDefault="00AC56D6" w:rsidP="00AC56D6">
      <w:pPr>
        <w:pStyle w:val="TextoNormal"/>
      </w:pPr>
    </w:p>
    <w:p w:rsidR="00AC56D6" w:rsidRDefault="00AC56D6" w:rsidP="00AC56D6">
      <w:pPr>
        <w:pStyle w:val="TextoNormal"/>
      </w:pPr>
      <w:r>
        <w:t>En el presente caso, ha de estarse a lo dispuesto en el apartado II de la referida Instrucción, que contiene las reglas aplicables, entre otros, al personal funcionario del Estado, condición que reúne el demandante en el proceso del que trae causa la presente cuestión de inconstitucionalidad.</w:t>
      </w:r>
    </w:p>
    <w:p w:rsidR="00AC56D6" w:rsidRDefault="00AC56D6" w:rsidP="00AC56D6">
      <w:pPr>
        <w:pStyle w:val="TextoNormal"/>
      </w:pPr>
    </w:p>
    <w:p w:rsidR="00AC56D6" w:rsidRDefault="00AC56D6" w:rsidP="00AC56D6">
      <w:pPr>
        <w:pStyle w:val="TextoNormal"/>
      </w:pPr>
      <w:r>
        <w:t xml:space="preserve">En el fundamento jurídico 3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era innegable la incidencia que tenía la medida contenida en la disposición adicional duodécima de la Ley 36/2014, de presupuestos generales del Estado para 2015 sobre la pretensión deducida en el pleito </w:t>
      </w:r>
      <w:r w:rsidRPr="00AC56D6">
        <w:rPr>
          <w:i/>
        </w:rPr>
        <w:t>a quo</w:t>
      </w:r>
      <w:r>
        <w:t xml:space="preserve">, “que afecta de </w:t>
      </w:r>
      <w:r>
        <w:lastRenderedPageBreak/>
        <w:t>modo determinante a la subsistencia del presente proceso constitucional, dada la estrecha vinculación existente entre toda cuestión de inconstitucionalidad y el procedimiento judicial de que dimana.”</w:t>
      </w:r>
    </w:p>
    <w:p w:rsidR="00AC56D6" w:rsidRDefault="00AC56D6" w:rsidP="00AC56D6">
      <w:pPr>
        <w:pStyle w:val="TextoNormal"/>
      </w:pPr>
    </w:p>
    <w:p w:rsidR="00AC56D6" w:rsidRDefault="00AC56D6" w:rsidP="00AC56D6">
      <w:pPr>
        <w:pStyle w:val="TextoNormal"/>
      </w:pPr>
      <w:r>
        <w:t>En la presente cuestión de inconstitucionalidad se plantea si la supresión del derecho de un funcionario del Estado a percibir la parte proporcional (en concreto, un mes y catorce días) de la paga extra de diciembre de 2012, por entenderse ya devengada al momento de la entrada en vigor del Real Decreto-ley 20/2012, contraviene el art. 9.3 CE. Planteada la cuestión en esos términos, es obligado concluir como hicimos en la STC 83/2015 que la recuperación “de la parte proporcional correspondiente a los primeros 44 días de la paga extra de diciembre de 2012, en virtud de lo establecido en la citada disposición adicional duodécima de la Ley 36/2014, de Presupuestos Generales del Estado para 2015, supone la satisfacción extraprocesal de la pretensión deducida en el proceso contencioso-administrativo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00AC56D6" w:rsidRDefault="00AC56D6" w:rsidP="00AC56D6">
      <w:pPr>
        <w:pStyle w:val="TextoNormal"/>
      </w:pPr>
    </w:p>
    <w:p w:rsidR="00AC56D6" w:rsidRDefault="00AC56D6" w:rsidP="00AC56D6">
      <w:pPr>
        <w:pStyle w:val="TextoNormal"/>
      </w:pPr>
      <w:r>
        <w:t>Conforme a lo expuesto, la regulación contenida en la citada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Declarar la extinción de la presente cuestión de inconstitucionalidad por desaparición sobrevenida de su objeto.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seis de julio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8" w:name="SENTENCIA_2015_152"/>
      <w:r>
        <w:lastRenderedPageBreak/>
        <w:t>SENTENCIA 152/2015, de 6 de julio de 2015</w:t>
      </w:r>
    </w:p>
    <w:bookmarkEnd w:id="8"/>
    <w:p w:rsidR="00AC56D6" w:rsidRDefault="00AC56D6" w:rsidP="00AC56D6">
      <w:pPr>
        <w:pStyle w:val="TtuloResolucin"/>
      </w:pPr>
      <w:r>
        <w:t>Sala Segunda</w:t>
      </w:r>
    </w:p>
    <w:p w:rsidR="00AC56D6" w:rsidRDefault="00AC56D6" w:rsidP="00AC56D6">
      <w:pPr>
        <w:pStyle w:val="TtuloBOE"/>
      </w:pPr>
      <w:r>
        <w:t>(BOE núm. 194, de 14 de agosto de 2015)</w:t>
      </w:r>
    </w:p>
    <w:p w:rsidR="00AC56D6" w:rsidRDefault="00AC56D6" w:rsidP="00AC56D6">
      <w:pPr>
        <w:pStyle w:val="TextoNormalCentrado"/>
      </w:pPr>
      <w:r>
        <w:t>ECLI:ES:TC:2015:152</w:t>
      </w:r>
    </w:p>
    <w:p w:rsidR="00AC56D6" w:rsidRDefault="00AC56D6" w:rsidP="00AC56D6">
      <w:pPr>
        <w:pStyle w:val="TextoNormalCentrado"/>
      </w:pPr>
    </w:p>
    <w:p w:rsidR="00AC56D6" w:rsidRDefault="00AC56D6" w:rsidP="00AC56D6">
      <w:pPr>
        <w:pStyle w:val="SntesisDescriptiva"/>
      </w:pPr>
      <w:r>
        <w:t>Recurso de amparo 107-2014. Promovido por don Joaquín Moreno Grau respecto de las resoluciones dictadas por la Sala de lo Contencioso-Administrativo del Tribunal Superior de Justicia de la Comunidad Valenciana en recurso de apelación sobre impugnación de proyecto de urbanización aprobado por el Ayuntamiento de Alcoy.</w:t>
      </w:r>
    </w:p>
    <w:p w:rsidR="00AC56D6" w:rsidRDefault="00AC56D6" w:rsidP="00AC56D6">
      <w:pPr>
        <w:pStyle w:val="SntesisDescriptiva"/>
      </w:pPr>
    </w:p>
    <w:p w:rsidR="00AC56D6" w:rsidRDefault="00AC56D6" w:rsidP="00AC56D6">
      <w:pPr>
        <w:pStyle w:val="SntesisAnaltica"/>
      </w:pPr>
      <w:r>
        <w:t>Vulneración de los derechos a la tutela judicial efectiva (incongruencia) y al juez ordinario predeterminado por la ley: resoluciones judiciales que no dan respuesta a las reclamaciones sobre exceso de costes de urbanización y lucro cesante por pérdida de oportunidad; incidente de nulidad de actuaciones resuelto por el órgano judicial en composición parcialmente diferente de aquella que dictó la Sentencia controvertida.</w:t>
      </w:r>
    </w:p>
    <w:p w:rsidR="00AC56D6" w:rsidRDefault="00AC56D6" w:rsidP="00AC56D6">
      <w:pPr>
        <w:pStyle w:val="SntesisAnaltica"/>
      </w:pPr>
    </w:p>
    <w:p w:rsidR="00AC56D6" w:rsidRDefault="00AC56D6" w:rsidP="00AC56D6">
      <w:pPr>
        <w:pStyle w:val="Extracto"/>
      </w:pPr>
      <w:r>
        <w:t>1.</w:t>
      </w:r>
      <w:r>
        <w:tab/>
        <w:t xml:space="preserve">El derecho a la tutela judicial efectiva obliga a los órganos jurisdiccionales a resolver las pretensiones de las partes de manera congruente con lo pedido, evitando desajustes o desviaciones entre el fallo judicial y los términos en que las partes formularon sus pretensiones; de manera que el juicio de congruencia de la resolución judicial requiere ineludiblemente la confrontación entre su parte dispositiva y el objeto del proceso, delimitado en atención a sus elementos subjetivos, las partes, y objetivos, la </w:t>
      </w:r>
      <w:r w:rsidRPr="00AC56D6">
        <w:rPr>
          <w:i/>
        </w:rPr>
        <w:t xml:space="preserve">causa petendi </w:t>
      </w:r>
      <w:r>
        <w:t xml:space="preserve">y el </w:t>
      </w:r>
      <w:r w:rsidRPr="00AC56D6">
        <w:rPr>
          <w:i/>
        </w:rPr>
        <w:t>petitum</w:t>
      </w:r>
      <w:r>
        <w:t xml:space="preserve"> (SSTC 222/1994, 174/2004, 194/2005, 36/2006, y 25/2012) [FJ 6].</w:t>
      </w:r>
    </w:p>
    <w:p w:rsidR="00AC56D6" w:rsidRDefault="00AC56D6" w:rsidP="00AC56D6">
      <w:pPr>
        <w:pStyle w:val="Extracto"/>
      </w:pPr>
    </w:p>
    <w:p w:rsidR="00AC56D6" w:rsidRDefault="00AC56D6" w:rsidP="00AC56D6">
      <w:pPr>
        <w:pStyle w:val="Extracto"/>
      </w:pPr>
      <w:r>
        <w:t>2.</w:t>
      </w:r>
      <w:r>
        <w:tab/>
        <w:t xml:space="preserve">Existe incongruencia denominada omisiva o </w:t>
      </w:r>
      <w:r w:rsidRPr="00AC56D6">
        <w:rPr>
          <w:i/>
        </w:rPr>
        <w:t xml:space="preserve">ex silentio </w:t>
      </w:r>
      <w:r>
        <w:t>cuando el órgano judicial deja sin respuesta lo pretendido; incongruencia que se verifica necesariamente, si la discrepancia del litigante con la resolución dictada se refiere a la respuesta judicial otorgada y no a la motivación de la misma, ya que el vicio de incongruencia requiere, en todo caso, un defecto del fallo o de la parte dispositiva, no de los fundamentos que la nutren para dar respuesta a las alegaciones de las partes (STC 36/2006) [FJ 6].</w:t>
      </w:r>
    </w:p>
    <w:p w:rsidR="00AC56D6" w:rsidRDefault="00AC56D6" w:rsidP="00AC56D6">
      <w:pPr>
        <w:pStyle w:val="Extracto"/>
      </w:pPr>
    </w:p>
    <w:p w:rsidR="00AC56D6" w:rsidRDefault="00AC56D6" w:rsidP="00AC56D6">
      <w:pPr>
        <w:pStyle w:val="Extracto"/>
      </w:pPr>
      <w:r>
        <w:t>3.</w:t>
      </w:r>
      <w:r>
        <w:tab/>
        <w:t>Los diversos conceptos que conforman una petición indemnizatoria, siempre que se asigne a cada uno de ellos un montante determinado de la indemnización total reclamada, constituyen verdaderas pretensiones que afectan al deber de congruencia del órgano judicial (STC 174/2004) [FJ 7].</w:t>
      </w:r>
    </w:p>
    <w:p w:rsidR="00AC56D6" w:rsidRDefault="00AC56D6" w:rsidP="00AC56D6">
      <w:pPr>
        <w:pStyle w:val="Extracto"/>
      </w:pPr>
    </w:p>
    <w:p w:rsidR="00AC56D6" w:rsidRDefault="00AC56D6" w:rsidP="00AC56D6">
      <w:pPr>
        <w:pStyle w:val="Extracto"/>
      </w:pPr>
      <w:r>
        <w:t>4.</w:t>
      </w:r>
      <w:r>
        <w:tab/>
        <w:t>El derecho fundamental al Juez ordinario exige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excepcional. (SSTC 32/2004, 60/2008, 177/2014) [FJ 9].</w:t>
      </w:r>
    </w:p>
    <w:p w:rsidR="00AC56D6" w:rsidRDefault="00AC56D6" w:rsidP="00AC56D6">
      <w:pPr>
        <w:pStyle w:val="Extracto"/>
      </w:pPr>
    </w:p>
    <w:p w:rsidR="00AC56D6" w:rsidRDefault="00AC56D6" w:rsidP="00AC56D6">
      <w:pPr>
        <w:pStyle w:val="Extracto"/>
      </w:pPr>
      <w:r>
        <w:t>5.</w:t>
      </w:r>
      <w:r>
        <w:tab/>
        <w:t xml:space="preserve">Entre las normas que conducen a la determinación del juez se encuentran no sólo las que establecen los límites de la jurisdicción y la competencia de los órganos jurisdiccionales, sino también las relativas a la concreta idoneidad de un determinado Juez en relación con un concreto asunto; una eventual irregularidad en la </w:t>
      </w:r>
      <w:r>
        <w:lastRenderedPageBreak/>
        <w:t>designación del Juez que ha de entender de un proceso puede constituir una infracción del derecho del justiciable al Juez ordinario predeterminado por la Ley (SSTC 47/1982, 31/1983, 101/1984) [FJ 9].</w:t>
      </w:r>
    </w:p>
    <w:p w:rsidR="00AC56D6" w:rsidRDefault="00AC56D6" w:rsidP="00AC56D6">
      <w:pPr>
        <w:pStyle w:val="Extracto"/>
      </w:pPr>
    </w:p>
    <w:p w:rsidR="00AC56D6" w:rsidRDefault="00AC56D6" w:rsidP="00AC56D6">
      <w:pPr>
        <w:pStyle w:val="Extracto"/>
      </w:pPr>
      <w:r>
        <w:t>6.</w:t>
      </w:r>
      <w:r>
        <w:tab/>
        <w:t>El derecho al Juez ordinario exige también que la composición del órgano judicial venga determinada por Ley y que en cada caso concreto se siga el procedimiento legalmente establecido para la designación de los miembros que han de constituir el órgano correspondiente; de esta forma se garantiza la independencia e imparcialidad que el derecho en cuestión comporta, garantía que quedaría burlada si bastase con mantener el órgano y pudiera alterarse arbitrariamente sus componentes (SSTC 47/1983, 44/1985, 238/1998, 162/2000) [FJ 9].</w:t>
      </w:r>
    </w:p>
    <w:p w:rsidR="00AC56D6" w:rsidRDefault="00AC56D6" w:rsidP="00AC56D6">
      <w:pPr>
        <w:pStyle w:val="Extracto"/>
      </w:pPr>
    </w:p>
    <w:p w:rsidR="00AC56D6" w:rsidRDefault="00AC56D6" w:rsidP="00AC56D6">
      <w:pPr>
        <w:pStyle w:val="Extracto"/>
      </w:pPr>
      <w:r>
        <w:t>7.</w:t>
      </w:r>
      <w:r>
        <w:tab/>
        <w:t>Una posible irregularidad procesal en la determinación de los miembros de un tribunal sólo constituye una violación del derecho fundamental al Juez ordinario predeterminado por la ley si supone una alteración arbitraria de la composición del órgano judicial susceptible de afectar a su imagen de imparcialidad e independencia [FJ 9].</w:t>
      </w:r>
    </w:p>
    <w:p w:rsidR="00AC56D6" w:rsidRDefault="00AC56D6" w:rsidP="00AC56D6">
      <w:pPr>
        <w:pStyle w:val="Extracto"/>
      </w:pPr>
    </w:p>
    <w:p w:rsidR="00AC56D6" w:rsidRDefault="00AC56D6" w:rsidP="00AC56D6">
      <w:pPr>
        <w:pStyle w:val="Extracto"/>
      </w:pPr>
      <w:r>
        <w:t>8.</w:t>
      </w:r>
      <w:r>
        <w:tab/>
        <w:t>El incidente de nulidad es una modalidad extraordinaria de impugnación de una resolución judicial firme que atribuye al órgano judicial competente el poder excepcional de quebrar el efecto de cosa juzgada, de modo que, salvo necesidades de servicio debidamente justificadas, no pueden decidir el incidente y revocar el efecto de cosa juzgada de su propia resolución tan sólo algunos de los Magistrados que la dictaron; la legalidad procesal no autoriza a rebajar el quorum de Magistrados que dictó la Sentencia firme objeto del incidente, de modo que sólo algunos de ellos decidan sobre la compatibilidad de su decisión con el ordenamiento constitucional [FJ 9 i].</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 xml:space="preserve">En el recurso de amparo núm. 107-2014, promovido por don Joaquín Moreno Grau, representado por el Procurador de los Tribunales don Daniel Otones Puentes y asistido por el Abogado don Roberto García Llorens, contra el Auto de 22 de noviembre de 2013, dictado por la Sala de lo Contencioso-Administrativo (Sección Primera) del Tribunal Superior de Justicia de Valencia, desestimatorio de la solicitud de nulidad de actuaciones promovida contra la Sentencia de 20 de marzo de 2013, dictada por el mismo órgano judicial en el rollo </w:t>
      </w:r>
      <w:r>
        <w:lastRenderedPageBreak/>
        <w:t>de apelación núm. 2154-2011, desestimatoria, a su vez, del recurso de apelación interpuesto contra el Auto de 21 de septiembre de 2011 del Juzgado de lo Contencioso-Administrativo núm. 3 de Alicante, recaído en el procedimiento ordinario núm. 565-2006. Ha comparecido el Ayuntamiento de Alcoy y ha intervenido el Ministerio Fiscal. Ha sido Ponente el Magistrado don Antonio Narváez Rodríguez,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Por escrito registrado en este Tribunal el día 8 de enero de 2014, el Procurador de los Tribunales don Daniel Otones Puentes, en nombre y representación de don Joaquín Moreno Grau, interpuso recurso de amparo contra las resoluciones judiciales que se citan en el encabezamiento.</w:t>
      </w:r>
    </w:p>
    <w:p w:rsidR="00AC56D6" w:rsidRDefault="00AC56D6" w:rsidP="00AC56D6">
      <w:pPr>
        <w:pStyle w:val="TextoNormal"/>
      </w:pPr>
    </w:p>
    <w:p w:rsidR="00AC56D6" w:rsidRDefault="00AC56D6" w:rsidP="00AC56D6">
      <w:pPr>
        <w:pStyle w:val="TextoNormal"/>
      </w:pPr>
      <w:r w:rsidRPr="00AC56D6">
        <w:rPr>
          <w:rStyle w:val="NumeroAFNegritaCaracter"/>
        </w:rPr>
        <w:t>2</w:t>
      </w:r>
      <w:r>
        <w:t>. Los hechos en los que trae causa la demanda de amparo son, en síntesis, los siguientes:</w:t>
      </w:r>
    </w:p>
    <w:p w:rsidR="00AC56D6" w:rsidRDefault="00AC56D6" w:rsidP="00AC56D6">
      <w:pPr>
        <w:pStyle w:val="TextoNormal"/>
      </w:pPr>
    </w:p>
    <w:p w:rsidR="00AC56D6" w:rsidRDefault="00AC56D6" w:rsidP="00AC56D6">
      <w:pPr>
        <w:pStyle w:val="TextoNormal"/>
      </w:pPr>
      <w:r>
        <w:t>a) Mediante Sentencia de 22 de noviembre de 2007, recaída en el procedimiento ordinario núm. 565-2006, el Juzgado de lo Contencioso-Administrativo núm. 3 de Alicante estimó el recurso contencioso-administrativo interpuesto por el demandante de amparo contra diversas resoluciones adoptadas por el Ayuntamiento de Alcoy relativas a la aprobación definitiva del proyecto de urbanización de la “UE 2, Sector I —Vila i Raval Vell— del Casco Histórico de Alcoy”, del proyecto de reparcelación forzosa de la misma unidad de ejecución y del programa para el desarrollo de la actuación integrada. En la referida Sentencia, que ganó firmeza el 1 de abril de 2010 al ser íntegramente desestimado el recurso de apelación interpuesto contra la misma, se decretó la nulidad de los citados instrumentos urbanísticos, los cuales, sin embargo, ya habían sido ejecutados sobre el espacio físico afectado.</w:t>
      </w:r>
    </w:p>
    <w:p w:rsidR="00AC56D6" w:rsidRDefault="00AC56D6" w:rsidP="00AC56D6">
      <w:pPr>
        <w:pStyle w:val="TextoNormal"/>
      </w:pPr>
    </w:p>
    <w:p w:rsidR="00AC56D6" w:rsidRDefault="00AC56D6" w:rsidP="00AC56D6">
      <w:pPr>
        <w:pStyle w:val="TextoNormal"/>
      </w:pPr>
      <w:r>
        <w:t>b) En escrito registrado en el Juzgado el 17 de noviembre de 2010, el demandante de amparo instó que se adoptaran las medidas necesarias para la ejecución de la Sentencia, interesando, en particular, la cancelación de la inscripción del proyecto de reparcelación en el Registro de la Propiedad. De dicha solicitud se dio traslado a la administración condenada, que, en escrito registrado en el Juzgado el 21 de diciembre de 2010, solicitó que se declarase la imposibilidad material y legal de ejecutar la Sentencia.</w:t>
      </w:r>
    </w:p>
    <w:p w:rsidR="00AC56D6" w:rsidRDefault="00AC56D6" w:rsidP="00AC56D6">
      <w:pPr>
        <w:pStyle w:val="TextoNormal"/>
      </w:pPr>
    </w:p>
    <w:p w:rsidR="00AC56D6" w:rsidRDefault="00AC56D6" w:rsidP="00AC56D6">
      <w:pPr>
        <w:pStyle w:val="TextoNormal"/>
      </w:pPr>
      <w:r>
        <w:t>c) Celebrada vista el 9 de marzo de 2011, en la que el Ayuntamiento ratificó su petición de declaración de imposibilidad de ejecución y el actor manifestó que no se oponía a la misma, el órgano judicial dictó Auto de la misma fecha en el que estimó el “incidente de imposibilidad de ejecución de sentencia” y concedió un plazo de quince días a la parte ejecutante —el ahora recurrente— para que formulara alegaciones “sobre la pertinencia de fijar indemnización sustitutoria y su cuantificación”.</w:t>
      </w:r>
    </w:p>
    <w:p w:rsidR="00AC56D6" w:rsidRDefault="00AC56D6" w:rsidP="00AC56D6">
      <w:pPr>
        <w:pStyle w:val="TextoNormal"/>
      </w:pPr>
    </w:p>
    <w:p w:rsidR="00AC56D6" w:rsidRDefault="00AC56D6" w:rsidP="00AC56D6">
      <w:pPr>
        <w:pStyle w:val="TextoNormal"/>
      </w:pPr>
      <w:r>
        <w:t xml:space="preserve">d) El demandante de amparo presentó sus alegaciones el 31 de marzo de 2011. A efectos de proceder a la acreditación del daño resarcible, el ahora recurrente acompañó a su escrito diversa documentación que ya había sido incorporada al proceso en la fase declarativa y “un nuevo documento de naturaleza pericial” referido “al exceso de costes de urbanización imputables directamente al Ayuntamiento de Alcoy”. En su petición indemnizatoria, el actor distinguía la responsabilidad patrimonial que debía cuantificarse en concepto de “daño emergente”, en el que incluía “el exceso de coste de urbanización acreditado que resulta </w:t>
      </w:r>
      <w:r>
        <w:lastRenderedPageBreak/>
        <w:t>imputable al Ayuntamiento de Alcoy”, y la que debía concederse como “lucro cesante”, concepto que derivaba, a su juicio, de la propia imposibilidad de ejecución, que había impedido la “confección de un nuevo proyecto de reparcelación” en el que hubieran podido reducirse “los costes de urbanización imputados por el urbanizador”.</w:t>
      </w:r>
    </w:p>
    <w:p w:rsidR="00AC56D6" w:rsidRDefault="00AC56D6" w:rsidP="00AC56D6">
      <w:pPr>
        <w:pStyle w:val="TextoNormal"/>
      </w:pPr>
    </w:p>
    <w:p w:rsidR="00AC56D6" w:rsidRDefault="00AC56D6" w:rsidP="00AC56D6">
      <w:pPr>
        <w:pStyle w:val="TextoNormal"/>
      </w:pPr>
      <w:r>
        <w:t>En el suplico de su escrito el recurrente reclamaba, como total de la indemnización sustitutoria, un importe de 667.283,12 €, señalando mediante otrosí que “únicamente para el caso” de que se considerasen necesarias “aclaraciones sobre alguno de los extremos del presente escrito, en relación con la valoración del derecho de mi mandante, se solicita el recibimiento del pleito a prueba”.</w:t>
      </w:r>
    </w:p>
    <w:p w:rsidR="00AC56D6" w:rsidRDefault="00AC56D6" w:rsidP="00AC56D6">
      <w:pPr>
        <w:pStyle w:val="TextoNormal"/>
      </w:pPr>
    </w:p>
    <w:p w:rsidR="00AC56D6" w:rsidRDefault="00AC56D6" w:rsidP="00AC56D6">
      <w:pPr>
        <w:pStyle w:val="TextoNormal"/>
      </w:pPr>
      <w:r>
        <w:t>e) En providencia de 4 de mayo de 2011, el Juzgado ordenó el traslado a la administración ejecutada de las alegaciones y documentos presentados por el demandante de amparo, emplazando a aquélla por quince días para que presentara sus propias alegaciones, trámite que fue cumplimentado por el ente local el 1 de junio de 2011. El Ayuntamiento acompañaba a su escrito un informe del arquitecto técnico municipal que cuantificaba el total de la indemnización abonable en la suma de 7.390,43 euros.</w:t>
      </w:r>
    </w:p>
    <w:p w:rsidR="00AC56D6" w:rsidRDefault="00AC56D6" w:rsidP="00AC56D6">
      <w:pPr>
        <w:pStyle w:val="TextoNormal"/>
      </w:pPr>
    </w:p>
    <w:p w:rsidR="00AC56D6" w:rsidRDefault="00AC56D6" w:rsidP="00AC56D6">
      <w:pPr>
        <w:pStyle w:val="TextoNormal"/>
      </w:pPr>
      <w:r>
        <w:t>f) En fecha 9 de junio de 2011 se dictó providencia en la que se tuvo por presentado el escrito de alegaciones del Ayuntamiento, se ordenó su unión a las actuaciones y se dispuso que quedaran “los autos sobre la mesa de SSª para dictar la resolución oportuna (art. 105 LJCA y 714 LEC)”. La providencia contenía “pie de recurso” en el que se señalaba la posibilidad de interponer frente a ella recurso de súplica. Dicha resolución fue notificada al demandante de amparo en fecha 13 de junio de 2011 sin que éste interpusiera recurso alguno contra la misma.</w:t>
      </w:r>
    </w:p>
    <w:p w:rsidR="00AC56D6" w:rsidRDefault="00AC56D6" w:rsidP="00AC56D6">
      <w:pPr>
        <w:pStyle w:val="TextoNormal"/>
      </w:pPr>
    </w:p>
    <w:p w:rsidR="00AC56D6" w:rsidRDefault="00AC56D6" w:rsidP="00AC56D6">
      <w:pPr>
        <w:pStyle w:val="TextoNormal"/>
      </w:pPr>
      <w:r>
        <w:t>g) Mediante Auto de 21 de septiembre de 2011, el Juzgado resolvió el incidente fijando la indemnización sustitutoria en la cantidad propuesta por el Ayuntamiento (7.390,43 €). La resolución rechazaba diversos conceptos indemnizatorios propuestos por el demandante de amparo, dando por buenos los argumentos expuestos de contrario por la entidad municipal. En particular, justificaba la desestimación de la indemnización por lucro cesante por haber partido el ejecutante de una premisa errónea, “cual es la inexistencia de inquilinos o arrendatarios de los inmuebles”.</w:t>
      </w:r>
    </w:p>
    <w:p w:rsidR="00AC56D6" w:rsidRDefault="00AC56D6" w:rsidP="00AC56D6">
      <w:pPr>
        <w:pStyle w:val="TextoNormal"/>
      </w:pPr>
    </w:p>
    <w:p w:rsidR="00AC56D6" w:rsidRDefault="00AC56D6" w:rsidP="00AC56D6">
      <w:pPr>
        <w:pStyle w:val="TextoNormal"/>
      </w:pPr>
      <w:r>
        <w:t>Asimismo, la resolución consideraba que los documentos presentados por la entidad ejecutada acreditaban que “los hechos en los que se funda la pretensión económica esgrimida por la parte ejecutante, o bien no son ciertos (1 y 3) o bien son completamente inexactos (2)”. El documento 3 a que hacía alusión este fragmento de la resolución dictada se refería, según señalaba el propio Auto expresamente, a la “pretensión relativa al lucro cesante” y consistía en una certificación según la cual no constaba empadronamiento alguno en el inmueble entre el 1 de enero de 2004 y el 31 de enero de 2005. El Auto no hacía referencia alguna a los costes de urbanización reclamados por el recurrente y, en cuanto a la fijación del importe indemnizatorio, concluía que el informe del técnico municipal “debía prevalecer frente al informe aportado por la parte ejecutante”.</w:t>
      </w:r>
    </w:p>
    <w:p w:rsidR="00AC56D6" w:rsidRDefault="00AC56D6" w:rsidP="00AC56D6">
      <w:pPr>
        <w:pStyle w:val="TextoNormal"/>
      </w:pPr>
    </w:p>
    <w:p w:rsidR="00AC56D6" w:rsidRDefault="00AC56D6" w:rsidP="00AC56D6">
      <w:pPr>
        <w:pStyle w:val="TextoNormal"/>
      </w:pPr>
      <w:r>
        <w:t xml:space="preserve">h) En fecha 14 de octubre de 2011 el demandante de amparo presentó recurso de apelación contra el Auto dictado. En lo estrictamente relativo al presente proceso constitucional, el escrito del recurrente denunciaba: (i) que se le había generado indefensión, ya que no se </w:t>
      </w:r>
      <w:r>
        <w:lastRenderedPageBreak/>
        <w:t>le había dado traslado de las alegaciones y del informe técnico pericial del Ayuntamiento, elementos de convicción que habían resultado decisivos en la resolución del incidente indemnizatorio; (ii) que no se había hecho pronunciamiento alguno en la instancia sobre lo reclamado en calidad de “costes de urbanización”; (iii) que tampoco se había dado respuesta a lo interesado en concepto de lucro cesante, ya que dicha ganancia frustrada se reclamaba por “la pérdida de oportunidad de obtener una reducción de costes de urbanización imputados por el urbanizador” y nada tenía que ver con la existencia de inquilinos o arrendatarios en el inmueble. El actor solicitaba, finalmente, que se recibiera el pleito a prueba en fase de apelación, conforme a lo previsto en el art. 85.3 de la Ley reguladora de la jurisdicción contencioso-administrativa (LJCA), interesando la ratificación y “práctica conjunta”, conforme al art. 347 de la Ley de enjuiciamiento civil (LEC), de las pruebas periciales presentadas en la instancia a efectos de que el órgano judicial pudiese decidir sobre la indemnización “mediante la observación directa del debate entre los peritos”.</w:t>
      </w:r>
    </w:p>
    <w:p w:rsidR="00AC56D6" w:rsidRDefault="00AC56D6" w:rsidP="00AC56D6">
      <w:pPr>
        <w:pStyle w:val="TextoNormal"/>
      </w:pPr>
    </w:p>
    <w:p w:rsidR="00AC56D6" w:rsidRDefault="00AC56D6" w:rsidP="00AC56D6">
      <w:pPr>
        <w:pStyle w:val="TextoNormal"/>
      </w:pPr>
      <w:r>
        <w:t>i) Mediante Auto de 12 de marzo de 2012, la Sala de lo Contencioso-Administrativo (Sección Primera) del Tribunal Superior de Justicia de la Comunidad Valenciana denegó el recibimiento a prueba al entender que la petición efectuada no era “de indudable trascendencia o importancia” sino “superflua e innecesaria” a efectos de formar la convicción del órgano judicial. Dicho Auto fue recurrido en reposición por el demandante de amparo, que alegó que la decisión adoptada le privaba de un medio de prueba imprescindible para solventar la indefensión padecida en la primera instancia. La Sala desestimó esta impugnación en un segundo Auto, de 7 de mayo de 2012, señalando que la petición realizada era “inútil” ya que “en definitiva, lo que cuestiona es la valoración … de las pruebas periciales propuestas”.</w:t>
      </w:r>
    </w:p>
    <w:p w:rsidR="00AC56D6" w:rsidRDefault="00AC56D6" w:rsidP="00AC56D6">
      <w:pPr>
        <w:pStyle w:val="TextoNormal"/>
      </w:pPr>
    </w:p>
    <w:p w:rsidR="00AC56D6" w:rsidRDefault="00AC56D6" w:rsidP="00AC56D6">
      <w:pPr>
        <w:pStyle w:val="TextoNormal"/>
      </w:pPr>
      <w:r>
        <w:t>j) En Sentencia de 20 de marzo de 2013, la Sala, formada por cinco Magistrados, desestimó el recurso de apelación interpuesto, considerando que la cuestión a dilucidar quedaba “reducida a determinar a cuál de los informes aportados por las partes … debe darse prevalencia sobre la cuestión”, señalando a continuación que “por los motivos que expresa el Auto apelado” debía “acogerse lo alegado en base al informe emitido por el Arquitecto Técnico Municipal”, declaración general a la añadía únicamente dos especificaciones relativas al cálculo general del valor del suelo de la parcela y a la inexistencia de una rehabilitación integral del edificio.</w:t>
      </w:r>
    </w:p>
    <w:p w:rsidR="00AC56D6" w:rsidRDefault="00AC56D6" w:rsidP="00AC56D6">
      <w:pPr>
        <w:pStyle w:val="TextoNormal"/>
      </w:pPr>
    </w:p>
    <w:p w:rsidR="00AC56D6" w:rsidRDefault="00AC56D6" w:rsidP="00AC56D6">
      <w:pPr>
        <w:pStyle w:val="TextoNormal"/>
      </w:pPr>
      <w:r>
        <w:t xml:space="preserve">La Sentencia venía acompañada de un Voto particular discrepante, suscrito por dos de los Magistrados de la Sala, en el que, en lo que afecta a este recurso de amparo, se señalaba: (i) que no se compartía la decisión de la mayoría en lo relativo a la prevalencia dada al informe del técnico municipal ya que “ni siquiera se ha llevado a cabo una adecuada contrastación del contenido de ambos informes técnicos –métodos valorativos, normativa de valoración aplicada, fechas a que vienen referidas las tasaciones, valores y costes empleados, etc.”; (ii) que, en cualquier caso, la resolución adoptada por la mayoría ignoraba el hecho de que dicho informe no había sido sometido a contradicción, pues “no se facilitó copia al ejecutante ni se le dio traslado para alegaciones, no obstante lo cual el Juzgado se fundó después en su contenido para fijar la cuantía indemnizatoria”, circunstancia determinante de una indefensión material contraria al art. 24.1 CE; (iii) que la propia Sala de apelación “no debió dictar sentencia desestimatoria de la indemnización del valor del suelo y la edificación fundándose en ese informe técnico aportado por el Ayuntamiento sin haber </w:t>
      </w:r>
      <w:r>
        <w:lastRenderedPageBreak/>
        <w:t>admitido y practicado antes la aludida prueba propuesta por el apelante”, ya que la posibilidad de formular preguntas a los peritos era pertinente para dilucidar la corrección de los diversos valores asignados a los conceptos indemnizatorios; (iv) que ni la Sentencia mayoritaria ni la del Juzgado habían llegado a pronunciarse sobre dos de los conceptos indemnizatorios que fundaban la pretensión del recurrente: el exceso de costes de urbanización indebidamente imputado a los propietarios de la unidad de ejecución, a la que ninguna de las resoluciones dictadas había hecho la más mínima referencia, y el lucro cesante derivado “de la pérdida de oportunidad de promover y obtener el apelante una reducción de costes de urbanización imputados por el urbanizador”.</w:t>
      </w:r>
    </w:p>
    <w:p w:rsidR="00AC56D6" w:rsidRDefault="00AC56D6" w:rsidP="00AC56D6">
      <w:pPr>
        <w:pStyle w:val="TextoNormal"/>
      </w:pPr>
    </w:p>
    <w:p w:rsidR="00AC56D6" w:rsidRDefault="00AC56D6" w:rsidP="00AC56D6">
      <w:pPr>
        <w:pStyle w:val="TextoNormal"/>
      </w:pPr>
      <w:r>
        <w:t>k) Promovido por el demandante de amparo incidente de nulidad de actuaciones, éste fue desestimado en Auto de 22 de noviembre de 2013. En dicha resolución, la Sala, formada exclusivamente por los tres Magistrados que habían impuesto su criterio mayoritario en la Sentencia, rechazó los motivos de nulidad planteados entendiendo que la petición de nulidad se sustentaba “en el voto particular formulado frente a la Sentencia mayoritaria”.</w:t>
      </w:r>
    </w:p>
    <w:p w:rsidR="00AC56D6" w:rsidRDefault="00AC56D6" w:rsidP="00AC56D6">
      <w:pPr>
        <w:pStyle w:val="TextoNormal"/>
      </w:pPr>
    </w:p>
    <w:p w:rsidR="00AC56D6" w:rsidRDefault="00AC56D6" w:rsidP="00AC56D6">
      <w:pPr>
        <w:pStyle w:val="TextoNormal"/>
      </w:pPr>
      <w:r w:rsidRPr="00AC56D6">
        <w:rPr>
          <w:rStyle w:val="NumeroAFNegritaCaracter"/>
        </w:rPr>
        <w:t>3</w:t>
      </w:r>
      <w:r>
        <w:t>. En su escrito de demanda, el recurrente agrupa las vulneraciones de derechos fundamentales atribuidas a las resoluciones impugnadas en tres grandes epígrafes generales (“contradicción e igualdad de armas procesales”, “motivación de las resoluciones judiciales, racionalidad y congruencia” y “derecho al juez ordinario predeterminado por la ley”). Dichos epígrafes contienen, en realidad, varios motivos de impugnación heterogéneos, no reconducibles a categorías comunes. Conviene, por ello, exponer analíticamente los motivos concretos en los que se funda el recurso de amparo, prescindiendo de la confusa sistemática propuesta.</w:t>
      </w:r>
    </w:p>
    <w:p w:rsidR="00AC56D6" w:rsidRDefault="00AC56D6" w:rsidP="00AC56D6">
      <w:pPr>
        <w:pStyle w:val="TextoNormal"/>
      </w:pPr>
    </w:p>
    <w:p w:rsidR="00AC56D6" w:rsidRDefault="00AC56D6" w:rsidP="00AC56D6">
      <w:pPr>
        <w:pStyle w:val="TextoNormal"/>
      </w:pPr>
      <w:r>
        <w:t>(i) El demandante estima, en primer lugar, que el Juzgado de lo Contencioso-Administrativo no le dio la oportunidad de contrarrestar las alegaciones y las pruebas que resultaron decisivas en la fijación de la indemnización sustitutoria. En particular, el informe técnico municipal valorado por el órgano judicial no formaba parte del expediente administrativo y, como prueba pericial de nuevo cuño, debió incorporarse al acervo probatorio salvaguardando la imprescindible contradicción entre las partes. El órgano judicial procedió, sin embargo, a la valoración directa del referido informe, sin dar previo traslado del mismo al recurrente. Al fundar su convicción en esta prueba pericial, que nunca fue objeto de discusión, el órgano judicial vulneró el derecho del recurrente a la tutela judicial efectiva (art. 24.1 CE), ya que le generó una situación de completa indefensión.</w:t>
      </w:r>
    </w:p>
    <w:p w:rsidR="00AC56D6" w:rsidRDefault="00AC56D6" w:rsidP="00AC56D6">
      <w:pPr>
        <w:pStyle w:val="TextoNormal"/>
      </w:pPr>
    </w:p>
    <w:p w:rsidR="00AC56D6" w:rsidRDefault="00AC56D6" w:rsidP="00AC56D6">
      <w:pPr>
        <w:pStyle w:val="TextoNormal"/>
      </w:pPr>
      <w:r>
        <w:t>(ii) Considera el actor que también se vulneró su derecho de utilizar los medios de prueba pertinentes para su defensa (art. 24.2 CE), pues el Juzgado de lo Contencioso-Administrativo no acordó el recibimiento a prueba que el actor le había solicitado. Asimismo, entiende que el Tribunal Superior de Justicia tampoco le permitió articular prueba en apelación a efectos de contrarrestar el informe en el que se fundaba la decisión judicial impugnada. El demandante de amparo había solicitado en su recurso el recibimiento a prueba del incidente de ejecución a efectos de que se practicara una pericial imprescindible para desvirtuar el informe técnico municipal. Dicha petición fue rechazada, lo que condujo a que la prueba indebidamente valorada en la instancia se convirtiera “por remisión” en “fundamento de la [decisión] de apelación”. La indefensión padecida ante el Juzgado se vio, pues, consolidada ante el Tribunal Superior de Justicia.</w:t>
      </w:r>
    </w:p>
    <w:p w:rsidR="00AC56D6" w:rsidRDefault="00AC56D6" w:rsidP="00AC56D6">
      <w:pPr>
        <w:pStyle w:val="TextoNormal"/>
      </w:pPr>
    </w:p>
    <w:p w:rsidR="00AC56D6" w:rsidRDefault="00AC56D6" w:rsidP="00AC56D6">
      <w:pPr>
        <w:pStyle w:val="TextoNormal"/>
      </w:pPr>
      <w:r>
        <w:lastRenderedPageBreak/>
        <w:t>(iii) El actor también considera vulnerado el derecho a la tutela judicial efectiva en su dimensión de derecho a obtener una resolución motivada (art. 24.1 CE). El Auto de instancia, al limitarse a reproducir literalmente las alegaciones del Ayuntamiento y a dar por bueno el contenido del informe técnico pericial presentado por éste, asumió afirmaciones relativas al valor del suelo adjudicado y a la estimación del lucro cesante que eran manifiestamente erróneas. Se habría incurrido, de ese modo, en un doble error patente. De un lado, el Auto acogió la alegación de la administración según la cual el valor del suelo adjudicado en la reparcelación era de 172.540,09 €. Sin embargo, “en la reparcelación aprobada en firme por el propio Ayuntamiento el valor de suelo adjudicado fue de 81.765,59 euros”. De otra parte, el Auto habría descartado el lucro cesante acogiendo la alegación del Ayuntamiento relativa a la inexistencia de alquileres “cuando en ningún momento se hizo alusión a tal concepto en [el] escrito de solicitud de fijación de indemnización sustitutoria”. El lucro cesante solicitado se basaba, en realidad, en que se había privado al recurrente de la posibilidad de discutir los costes de urbanización incluidos por el agente urbanizador en el proyecto de urbanización.</w:t>
      </w:r>
    </w:p>
    <w:p w:rsidR="00AC56D6" w:rsidRDefault="00AC56D6" w:rsidP="00AC56D6">
      <w:pPr>
        <w:pStyle w:val="TextoNormal"/>
      </w:pPr>
    </w:p>
    <w:p w:rsidR="00AC56D6" w:rsidRDefault="00AC56D6" w:rsidP="00AC56D6">
      <w:pPr>
        <w:pStyle w:val="TextoNormal"/>
      </w:pPr>
      <w:r>
        <w:t>(iv) El recurrente también denuncia la violación del derecho a la tutela judicial efectiva (art. 24.1 CE), esta vez en su dimensión de deber de congruencia. A su juicio, el Auto del Juzgado no se pronunció sobre dos de los conceptos indemnizatorios invocados, pues nada dijo, en primer lugar, sobre los costes de urbanización que eran imputables al Ayuntamiento de Alcoy y tampoco se pronunció sobre la solicitud verdaderamente efectuada en relación con la indemnización del lucro cesante, que era la relativa a la “pérdida de oportunidad de someter a revisión los costes de urbanización cargados por el agente urbanizador” y que nada tenía que ver con la eventual existencia de inquilinos.</w:t>
      </w:r>
    </w:p>
    <w:p w:rsidR="00AC56D6" w:rsidRDefault="00AC56D6" w:rsidP="00AC56D6">
      <w:pPr>
        <w:pStyle w:val="TextoNormal"/>
      </w:pPr>
    </w:p>
    <w:p w:rsidR="00AC56D6" w:rsidRDefault="00AC56D6" w:rsidP="00AC56D6">
      <w:pPr>
        <w:pStyle w:val="TextoNormal"/>
      </w:pPr>
      <w:r>
        <w:t>(v) Finalmente, el recurrente considera vulnerado su derecho al Juez ordinario predeterminado por la ley. Al respecto, destaca el hecho de que la Sentencia de apelación fuera dictada por una Sala formada por cinco Magistrados, dos de los cuales formularon Voto particular, mientras que el Auto desestimatorio del incidente de nulidad de actuaciones fue dictado exclusivamente por tres Magistrados, dándose la circunstancia de que eran los mismos que habían impuesto su criterio mayoritario en la Sentencia. Esto supuso, en opinión del actor, que “el Presidente de la Sala, a quien corresponde legalmente el señalamiento para deliberación, votación y fallo (art. 253 LOPJ) dejó fuera de la deliberación a los dos magistrados que exteriorizaron su parecer discrepante con el criterio mayoritario”. Considera el demandante de amparo que, con ello, “no sólo se ha alterado la composición natural del órgano sino que se ha desarrollado una actuación consciente para eliminar cualquier debate y parecer discrepante en la sustanciación y decisión del incidente”. Recuerda el recurrente que la existencia de esa discrepancia de criterio es, de hecho, reconocida en el Auto resolutorio del incidente de nulidad, en el que se afirma expresamente que “la solicitud de nulidad se sustenta en el voto particular formulado frente a la sentencia mayoritaria”.</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Por providencia de 18 de febrero de 2015, la Sala Segunda acordó admitir a trámite la demanda, y, en aplicación de lo dispuesto en el art. 51 de la Ley Orgánica del Tribunal Constitucional (LOTC), dirigir atenta comunicación a la Sección Primera de la Sala de lo Contencioso-Administrativo del Tribunal Superior de Justicia de Valencia y al Juzgado de lo Contencioso-Administrativo núm. 3 de Alicante, a fin de que, en plazo que no excediera de diez días, remitieran, respectivamente, certificación o fotocopia adverada de las actuaciones correspondientes al rollo de apelación núm. 2154-2011 y del procedimiento ordinario </w:t>
      </w:r>
      <w:r>
        <w:lastRenderedPageBreak/>
        <w:t>núm. 565-2006, interesándose al propio tiempo del Juzgado que emplazara a quienes hubieran sido parte en el procedimiento, excepto a la parte recurrente en amparo, para que pudieran comparecer en el plazo de diez días.</w:t>
      </w:r>
    </w:p>
    <w:p w:rsidR="00AC56D6" w:rsidRDefault="00AC56D6" w:rsidP="00AC56D6">
      <w:pPr>
        <w:pStyle w:val="TextoNormal"/>
      </w:pPr>
    </w:p>
    <w:p w:rsidR="00AC56D6" w:rsidRDefault="00AC56D6" w:rsidP="00AC56D6">
      <w:pPr>
        <w:pStyle w:val="TextoNormal"/>
      </w:pPr>
      <w:r>
        <w:t>En la citada providencia se hizo constar que el recurso de amparo “ofrece especial trascendencia constitucional (art. 50.1 LOTC)” ya que “plantea un problema o afecta a una faceta de un derecho fundamental sobre el que no hay doctrina de este Tribunal [STC 155/2009, FJ 2 a)]”.</w:t>
      </w:r>
    </w:p>
    <w:p w:rsidR="00AC56D6" w:rsidRDefault="00AC56D6" w:rsidP="00AC56D6">
      <w:pPr>
        <w:pStyle w:val="TextoNormal"/>
      </w:pPr>
    </w:p>
    <w:p w:rsidR="00AC56D6" w:rsidRDefault="00AC56D6" w:rsidP="00AC56D6">
      <w:pPr>
        <w:pStyle w:val="TextoNormal"/>
      </w:pPr>
      <w:r w:rsidRPr="00AC56D6">
        <w:rPr>
          <w:rStyle w:val="NumeroAFNegritaCaracter"/>
        </w:rPr>
        <w:t>5</w:t>
      </w:r>
      <w:r>
        <w:t>. Por diligencia de ordenación de 17 de marzo de 2015, se tuvo por personado ante este Tribunal al Ayuntamiento de Alcoy, que así lo había solicitado en escrito registrado el día 2 de marzo anterior. En la misma resolución, se ordenó dar vista de las actuaciones recibidas a las partes personadas y al Ministerio Fiscal para que pudieran formular alegaciones en plazo común de veinte días.</w:t>
      </w:r>
    </w:p>
    <w:p w:rsidR="00AC56D6" w:rsidRDefault="00AC56D6" w:rsidP="00AC56D6">
      <w:pPr>
        <w:pStyle w:val="TextoNormal"/>
      </w:pPr>
    </w:p>
    <w:p w:rsidR="00AC56D6" w:rsidRDefault="00AC56D6" w:rsidP="00AC56D6">
      <w:pPr>
        <w:pStyle w:val="TextoNormal"/>
      </w:pPr>
      <w:r w:rsidRPr="00AC56D6">
        <w:rPr>
          <w:rStyle w:val="NumeroAFNegritaCaracter"/>
        </w:rPr>
        <w:t>6</w:t>
      </w:r>
      <w:r>
        <w:t>. La representación del recurrente de amparo presentó sus alegaciones en escrito registrado el día 20 de abril de 2015.</w:t>
      </w:r>
    </w:p>
    <w:p w:rsidR="00AC56D6" w:rsidRDefault="00AC56D6" w:rsidP="00AC56D6">
      <w:pPr>
        <w:pStyle w:val="TextoNormal"/>
      </w:pPr>
    </w:p>
    <w:p w:rsidR="00AC56D6" w:rsidRDefault="00AC56D6" w:rsidP="00AC56D6">
      <w:pPr>
        <w:pStyle w:val="TextoNormal"/>
      </w:pPr>
      <w:r>
        <w:t>Señala el actor en dicho escrito, en primer lugar, que le han sido denegadas por el Tribunal Superior de Justicia diversas certificaciones que pretendía presentar ante este Tribunal. No habiendo obtenido del órgano judicial los documentos solicitados, el recurrente acompaña a sus alegaciones el encabezamiento de las resoluciones impugnadas, según constan publicadas en el Centro de Documentación Judicial, a efectos de despejar toda posible duda acerca de la diversa composición de la Sala en el momento de dictarse Sentencia de apelación y en el trámite de resolución del incidente de nulidad.</w:t>
      </w:r>
    </w:p>
    <w:p w:rsidR="00AC56D6" w:rsidRDefault="00AC56D6" w:rsidP="00AC56D6">
      <w:pPr>
        <w:pStyle w:val="TextoNormal"/>
      </w:pPr>
    </w:p>
    <w:p w:rsidR="00AC56D6" w:rsidRDefault="00AC56D6" w:rsidP="00AC56D6">
      <w:pPr>
        <w:pStyle w:val="TextoNormal"/>
      </w:pPr>
      <w:r>
        <w:t>Aporta, de otro lado, diversas resoluciones de la Sección Primera de la Sala de lo Contencioso-Administrativo del Tribunal Superior de Justicia de Valencia, recaídas en recursos de aclaración, en las que la composición inicial del órgano habría sido mantenida en todo momento, razón por la cual considera que la alteración de la composición del tribunal producida en el supuesto que ahora nos ocupa fue completamente anómala, ya que no se correspondió ni siquiera con el proceder habitual del órgano judicial actuante.</w:t>
      </w:r>
    </w:p>
    <w:p w:rsidR="00AC56D6" w:rsidRDefault="00AC56D6" w:rsidP="00AC56D6">
      <w:pPr>
        <w:pStyle w:val="TextoNormal"/>
      </w:pPr>
    </w:p>
    <w:p w:rsidR="00AC56D6" w:rsidRDefault="00AC56D6" w:rsidP="00AC56D6">
      <w:pPr>
        <w:pStyle w:val="TextoNormal"/>
      </w:pPr>
      <w:r>
        <w:t>Finalmente, el actor reitera, de forma más escueta, lo ya dicho en la demanda sobre las lesiones de derechos fundamentales que imputa a las resoluciones impugnadas en amparo.</w:t>
      </w:r>
    </w:p>
    <w:p w:rsidR="00AC56D6" w:rsidRDefault="00AC56D6" w:rsidP="00AC56D6">
      <w:pPr>
        <w:pStyle w:val="TextoNormal"/>
      </w:pPr>
    </w:p>
    <w:p w:rsidR="00AC56D6" w:rsidRDefault="00AC56D6" w:rsidP="00AC56D6">
      <w:pPr>
        <w:pStyle w:val="TextoNormal"/>
      </w:pPr>
      <w:r w:rsidRPr="00AC56D6">
        <w:rPr>
          <w:rStyle w:val="NumeroAFNegritaCaracter"/>
        </w:rPr>
        <w:t>7</w:t>
      </w:r>
      <w:r>
        <w:t>. El día 22 de abril de 2015 tuvieron entrada en el Registro General de este Tribunal las alegaciones del Ayuntamiento de Alcoy. El escrito presentado por la administración municipal contiene alegaciones de distinto orden, unas relativas a la supuesta inexactitud de los datos fácticos en los que se funda la demanda de amparo y otras concernientes a las valoraciones jurídicas realizadas por el actor, que el Ayuntamiento de Alcoy considera igualmente erróneas.</w:t>
      </w:r>
    </w:p>
    <w:p w:rsidR="00AC56D6" w:rsidRDefault="00AC56D6" w:rsidP="00AC56D6">
      <w:pPr>
        <w:pStyle w:val="TextoNormal"/>
      </w:pPr>
    </w:p>
    <w:p w:rsidR="00AC56D6" w:rsidRDefault="00AC56D6" w:rsidP="00AC56D6">
      <w:pPr>
        <w:pStyle w:val="TextoNormal"/>
      </w:pPr>
      <w:r>
        <w:t>a) En el plano puramente fáctico, afirma el Ayuntamiento que el recurrente ha omitido en su demanda datos del procedimiento que son esenciales para comprender las circunstancias del caso, en particular los siguientes:</w:t>
      </w:r>
    </w:p>
    <w:p w:rsidR="00AC56D6" w:rsidRDefault="00AC56D6" w:rsidP="00AC56D6">
      <w:pPr>
        <w:pStyle w:val="TextoNormal"/>
      </w:pPr>
    </w:p>
    <w:p w:rsidR="00AC56D6" w:rsidRDefault="00AC56D6" w:rsidP="00AC56D6">
      <w:pPr>
        <w:pStyle w:val="TextoNormal"/>
      </w:pPr>
      <w:r>
        <w:lastRenderedPageBreak/>
        <w:t>(i) A juicio de la representación del ente local, la demanda de amparo silencia que en fecha 9 de marzo de 2011 se celebró una vista en la que el Magistrado titular del Juzgado de lo Contencioso-Administrativo, tras estimar la solicitud sobre la imposibilidad de ejecución, estableció, con aquiescencia de las partes, el procedimiento a seguir para determinar la indemnización sustitutoria. Se dispuso entonces que ese trámite consistiría en unas alegaciones sucesivas, con aportación de documentos y sin posibilidad de recibimiento a prueba. Aceptada esa vía procedimental en la vista celebrada, se dictó de inmediato el Auto de 9 de marzo de 2011, en el que se abrió el referido trámite de determinación de la indemnización.</w:t>
      </w:r>
    </w:p>
    <w:p w:rsidR="00AC56D6" w:rsidRDefault="00AC56D6" w:rsidP="00AC56D6">
      <w:pPr>
        <w:pStyle w:val="TextoNormal"/>
      </w:pPr>
    </w:p>
    <w:p w:rsidR="00AC56D6" w:rsidRDefault="00AC56D6" w:rsidP="00AC56D6">
      <w:pPr>
        <w:pStyle w:val="TextoNormal"/>
      </w:pPr>
      <w:r>
        <w:t>(ii) El recurrente también omite que, en sus alegaciones de 31 de marzo de 2011, incluyó un “otrosí digo II” en el que consideraba que el recibimiento del pleito a prueba sólo era necesario para realizar, en su caso, las aclaraciones que se estimaran pertinentes en relación con el contenido de su propio escrito.</w:t>
      </w:r>
    </w:p>
    <w:p w:rsidR="00AC56D6" w:rsidRDefault="00AC56D6" w:rsidP="00AC56D6">
      <w:pPr>
        <w:pStyle w:val="TextoNormal"/>
      </w:pPr>
    </w:p>
    <w:p w:rsidR="00AC56D6" w:rsidRDefault="00AC56D6" w:rsidP="00AC56D6">
      <w:pPr>
        <w:pStyle w:val="TextoNormal"/>
      </w:pPr>
      <w:r>
        <w:t>(iii) Duda, finalmente, la administración local, de que no se diera traslado al actor del informe técnico pericial, ya que el Ayuntamiento presentó su escrito de alegaciones, con dicho informe adjunto, el 1 de junio de 2011, acompañando las pertinentes copias para que fueran remitidas al demandante.</w:t>
      </w:r>
    </w:p>
    <w:p w:rsidR="00AC56D6" w:rsidRDefault="00AC56D6" w:rsidP="00AC56D6">
      <w:pPr>
        <w:pStyle w:val="TextoNormal"/>
      </w:pPr>
    </w:p>
    <w:p w:rsidR="00AC56D6" w:rsidRDefault="00AC56D6" w:rsidP="00AC56D6">
      <w:pPr>
        <w:pStyle w:val="TextoNormal"/>
      </w:pPr>
      <w:r>
        <w:t>b) En cuanto a las razones de oposición de fondo, el Ayuntamiento rechaza los argumentos del recurrente del siguiente modo:</w:t>
      </w:r>
    </w:p>
    <w:p w:rsidR="00AC56D6" w:rsidRDefault="00AC56D6" w:rsidP="00AC56D6">
      <w:pPr>
        <w:pStyle w:val="TextoNormal"/>
      </w:pPr>
    </w:p>
    <w:p w:rsidR="00AC56D6" w:rsidRDefault="00AC56D6" w:rsidP="00AC56D6">
      <w:pPr>
        <w:pStyle w:val="TextoNormal"/>
      </w:pPr>
      <w:r>
        <w:t>(i) En cuanto a la alegada indefensión, destaca que la preterición del informe pericial del demandante y la aceptación del presentado de contrario por la administración municipal se debió a las inexactitudes y errores que fueron detectados en el primero. Fue, pues, “la endeblez del sustrato material u objetivo utilizado en los informes técnicos de la parte recurrente” la que llevó a que ni siquiera fueran citados en el cuerpo de la resolución dictada. No estaríamos, por ello, ante un problema procedimental relativo al trámite que debió darse a las alegaciones y pruebas de las partes sino ante un problema “de valoración judicial de la documentación aportada” por éstas.</w:t>
      </w:r>
    </w:p>
    <w:p w:rsidR="00AC56D6" w:rsidRDefault="00AC56D6" w:rsidP="00AC56D6">
      <w:pPr>
        <w:pStyle w:val="TextoNormal"/>
      </w:pPr>
    </w:p>
    <w:p w:rsidR="00AC56D6" w:rsidRDefault="00AC56D6" w:rsidP="00AC56D6">
      <w:pPr>
        <w:pStyle w:val="TextoNormal"/>
      </w:pPr>
      <w:r>
        <w:t>Añade la representación del Ayuntamiento que, en cualquier caso, no se produjo ningún tipo de indefensión en la valoración de la prueba ya que el órgano judicial, de acuerdo con la tramitación que había sido aceptada por las partes en la vista de 9 de marzo de 2011, dio a la actora las mismas oportunidades de alegar y probar que concedió al ente local, pues ambos “aportaron la documentación en que fundaban sus respetivas posiciones, en los términos previamente establecidos por el Juzgado, sin oposición de las partes”, ninguna de las cuales llegó a solicitar el recibimiento a prueba del incidente indemnizatorio.</w:t>
      </w:r>
    </w:p>
    <w:p w:rsidR="00AC56D6" w:rsidRDefault="00AC56D6" w:rsidP="00AC56D6">
      <w:pPr>
        <w:pStyle w:val="TextoNormal"/>
      </w:pPr>
    </w:p>
    <w:p w:rsidR="00AC56D6" w:rsidRDefault="00AC56D6" w:rsidP="00AC56D6">
      <w:pPr>
        <w:pStyle w:val="TextoNormal"/>
      </w:pPr>
      <w:r>
        <w:t>(ii) La negativa judicial al recibimiento a prueba una vez presentado el recurso de apelación tampoco merece, a juicio del representante de la administración municipal, reproche constitucional alguno. De un lado, las pruebas admisibles en apelación son las que no han podido practicarse en la instancia por causas no imputables a quien debió proponerlas (art. 85.3 LJCA). En el caso planteado, el actor debió pedir —y no lo hizo— la práctica de prueba en el seno de la propia instancia. De otra parte, sólo son admisibles las pruebas útiles, es</w:t>
      </w:r>
      <w:r>
        <w:lastRenderedPageBreak/>
        <w:t>tando sometido este concepto, según el art. 60.3 LJCA, a un amplio margen de discrecionalidad judicial. El Auto de 7 de mayo de 2012 “pudo ser más extenso, pero no más claro” al afirmar la inutilidad de la prueba pericial propuesta.</w:t>
      </w:r>
    </w:p>
    <w:p w:rsidR="00AC56D6" w:rsidRDefault="00AC56D6" w:rsidP="00AC56D6">
      <w:pPr>
        <w:pStyle w:val="TextoNormal"/>
      </w:pPr>
    </w:p>
    <w:p w:rsidR="00AC56D6" w:rsidRDefault="00AC56D6" w:rsidP="00AC56D6">
      <w:pPr>
        <w:pStyle w:val="TextoNormal"/>
      </w:pPr>
      <w:r>
        <w:t>(iii) En cuanto al error achacado a las resoluciones impugnadas, supuestamente derivado de los datos erróneos a su vez consignados en las alegaciones y en el informe técnico presentado por el Ayuntamiento, estima el ente local que el art. 24.1 CE no otorga al justiciable un derecho al acierto, sino que proscribe únicamente las motivaciones que sean irrazonadas o irrazonables, no siendo ese el caso de los pronunciamientos recaídos en el proces</w:t>
      </w:r>
      <w:r w:rsidRPr="00AC56D6">
        <w:rPr>
          <w:i/>
        </w:rPr>
        <w:t>o a q</w:t>
      </w:r>
      <w:r>
        <w:t>uo.</w:t>
      </w:r>
    </w:p>
    <w:p w:rsidR="00AC56D6" w:rsidRDefault="00AC56D6" w:rsidP="00AC56D6">
      <w:pPr>
        <w:pStyle w:val="TextoNormal"/>
      </w:pPr>
    </w:p>
    <w:p w:rsidR="00AC56D6" w:rsidRDefault="00AC56D6" w:rsidP="00AC56D6">
      <w:pPr>
        <w:pStyle w:val="TextoNormal"/>
      </w:pPr>
      <w:r>
        <w:t>(iv) En lo relativo a la supuesta incongruencia, considera la administración local que el recurrente confunde las pretensiones formuladas con las alegaciones en que dichas pretensiones se fundan. El deber de congruencia sólo afecta a las primeras, no así a las segundas, pues la falta de respuesta pormenorizada a todos y cada uno de los argumentos formulados no produce un “desajuste entre el fallo y las pretensiones de las partes”. La falta de referencia singularizada a concretos aspectos indemnizatorios (como los costes de urbanización) no impide, en su opinión, apreciar la existencia de una respuesta tácita o implícita a las alegaciones relativas a la existencia de dichos costes, respuesta deducible, en su opinión, del conjunto de los razonamientos consignados en la resolución judicial. Este tipo de contestación tácita a ciertas alegaciones del recurrente sería perfectamente comprensible en el seno de un mero incidente de ejecución.</w:t>
      </w:r>
    </w:p>
    <w:p w:rsidR="00AC56D6" w:rsidRDefault="00AC56D6" w:rsidP="00AC56D6">
      <w:pPr>
        <w:pStyle w:val="TextoNormal"/>
      </w:pPr>
    </w:p>
    <w:p w:rsidR="00AC56D6" w:rsidRDefault="00AC56D6" w:rsidP="00AC56D6">
      <w:pPr>
        <w:pStyle w:val="TextoNormal"/>
      </w:pPr>
      <w:r>
        <w:t>(v) Finalmente, rechaza la corporación las alegaciones relativas a la vulneración del derecho al Juez ordinario entendiendo que, si bien es cierto que la composición de la Sala fue alterada en la resolución de la nulidad de actuaciones, la preterición de los dos Magistrados discrepantes sólo puede ser considerada una vulneración de dicho derecho fundamental desde una perspectiva puramente subjetiva, casi equivalente a un juicio de intenciones.</w:t>
      </w:r>
    </w:p>
    <w:p w:rsidR="00AC56D6" w:rsidRDefault="00AC56D6" w:rsidP="00AC56D6">
      <w:pPr>
        <w:pStyle w:val="TextoNormal"/>
      </w:pPr>
    </w:p>
    <w:p w:rsidR="00AC56D6" w:rsidRDefault="00AC56D6" w:rsidP="00AC56D6">
      <w:pPr>
        <w:pStyle w:val="TextoNormal"/>
      </w:pPr>
      <w:r w:rsidRPr="00AC56D6">
        <w:rPr>
          <w:rStyle w:val="NumeroAFNegritaCaracter"/>
        </w:rPr>
        <w:t>8</w:t>
      </w:r>
      <w:r>
        <w:t>. El Ministerio Fiscal presentó sus alegaciones mediante escrito de fecha 28 de abril de 2015, en el que interesa que se otorgue el amparo solicitado por el recurrente por vulneración del derecho al Juez ordinario predeterminado por la ley (art. 24.2 CE).</w:t>
      </w:r>
    </w:p>
    <w:p w:rsidR="00AC56D6" w:rsidRDefault="00AC56D6" w:rsidP="00AC56D6">
      <w:pPr>
        <w:pStyle w:val="TextoNormal"/>
      </w:pPr>
    </w:p>
    <w:p w:rsidR="00AC56D6" w:rsidRDefault="00AC56D6" w:rsidP="00AC56D6">
      <w:pPr>
        <w:pStyle w:val="TextoNormal"/>
      </w:pPr>
      <w:r>
        <w:t>(i) A juicio del Fiscal, en la queja relativa a la violación del derecho a la tutela judicial efectiva sin padecimiento de indefensión (art. 24.1 CE) concurre un óbice que debe conducir a la inadmisión de la misma. Pone de manifiesto el representante del Ministerio Fiscal que, una vez presentadas las alegaciones del Ayuntamiento, el Juzgado de lo Contencioso-Administrativo dictó una providencia, de fecha 9 de junio de 2011, en la que acordó que los autos quedaran “sobre la mesa de su señoría para dictar la resolución oportuna (arts. 105 LJCA y 714 LEC)”. Esta providencia, que suponía la ablación del trámite contradictorio reclamado por el recurrente, no fue, sin embargo, recurrida por éste, a pesar de que contenía “pie de recurso” que aclaraba la posibilidad de combatirla en súplica. A juicio del Fiscal, el demandante de amparo “debió recurrir y reclamar del órgano judicial el traslado que le permitiera contradecir y contrastar la prueba aportada por la parte ejecutada”. En lugar de ello “consintió la situación” supuestamente generadora de indefensión, tolerando “que se produjera la falta que ahora denuncia”.</w:t>
      </w:r>
    </w:p>
    <w:p w:rsidR="00AC56D6" w:rsidRDefault="00AC56D6" w:rsidP="00AC56D6">
      <w:pPr>
        <w:pStyle w:val="TextoNormal"/>
      </w:pPr>
    </w:p>
    <w:p w:rsidR="00AC56D6" w:rsidRDefault="00AC56D6" w:rsidP="00AC56D6">
      <w:pPr>
        <w:pStyle w:val="TextoNormal"/>
      </w:pPr>
      <w:r>
        <w:t xml:space="preserve">Subsidiariamente, el Fiscal interesa que la queja formulada sea desestimada. A su juicio, el hecho de que el recurrente pudiera hacer valer en el recurso de apelación sus objeciones </w:t>
      </w:r>
      <w:r>
        <w:lastRenderedPageBreak/>
        <w:t xml:space="preserve">frente a las alegaciones y las pruebas previamente presentadas ante el Juzgado acredita que la irregularidad procesal consumada no generó una verdadera situación de indefensión material, pues el demandante de amparo sí tuvo la oportunidad de poner de manifiesto al órgano de segunda instancia los motivos de su discrepancia con la prueba valorada por el órgano </w:t>
      </w:r>
      <w:r w:rsidRPr="00AC56D6">
        <w:rPr>
          <w:i/>
        </w:rPr>
        <w:t>a quo</w:t>
      </w:r>
      <w:r>
        <w:t>.</w:t>
      </w:r>
    </w:p>
    <w:p w:rsidR="00AC56D6" w:rsidRDefault="00AC56D6" w:rsidP="00AC56D6">
      <w:pPr>
        <w:pStyle w:val="TextoNormal"/>
      </w:pPr>
    </w:p>
    <w:p w:rsidR="00AC56D6" w:rsidRDefault="00AC56D6" w:rsidP="00AC56D6">
      <w:pPr>
        <w:pStyle w:val="TextoNormal"/>
      </w:pPr>
      <w:r>
        <w:t>(ii) También descarta el Fiscal que la decisión del órgano de apelación de rechazar el recibimiento del pleito a prueba haya vulnerado el derecho del recurrente a utilizar los medios de prueba pertinentes para su defensa (art. 24.2 CE). Entiende, en este punto, el Ministerio Fiscal que, en realidad, la Sala de lo Contencioso-Administrativo del Tribunal Superior de Justicia no inadmitió ninguna prueba, ya que resolvió teniendo en cuenta tanto el informe presentado por el recurrente de amparo como el elaborado por el Arquitecto Técnico Municipal. El órgano judicial rechazó, en realidad, que se procediera al interrogatorio conjunto de los peritos, decisión que, a juicio del Fiscal, no vulneró el derecho fundamental invocado. Señala, en este sentido, que la proposición de la prueba incurrió en un grave defecto de forma, ya que el recurrente se limitó a pedir la mera ratificación de la pericia, sin proponer en concreto que la intervención oral de los peritos tuviera alguno de los contenidos que admite el art. 347 LEC. Ante esta falta de precisión, no resulta extraño, según opina el Fiscal, que el órgano judicial considerara que la intervención oral de los peritos nada podía añadir a lo que ya podía inferirse de los informes presentados por escrito. De otra parte, el recurrente tampoco llega a justificar qué indefensión material se derivó de la imposibilidad de practicar el interrogatorio solicitado. Faltarían, pues, dos elementos esenciales para que pueda entenderse vulnerado el derecho a la prueba del art. 24.2 CE: la proposición en forma de la prueba preterida y la justificación de su relevancia en la resolución del pleito.</w:t>
      </w:r>
    </w:p>
    <w:p w:rsidR="00AC56D6" w:rsidRDefault="00AC56D6" w:rsidP="00AC56D6">
      <w:pPr>
        <w:pStyle w:val="TextoNormal"/>
      </w:pPr>
    </w:p>
    <w:p w:rsidR="00AC56D6" w:rsidRDefault="00AC56D6" w:rsidP="00AC56D6">
      <w:pPr>
        <w:pStyle w:val="TextoNormal"/>
      </w:pPr>
      <w:r>
        <w:t>(iii) En opinión del Fiscal, el derecho a obtener una resolución motivada deducible del art. 24.1 CE tampoco habría sido conculcado. Aunque el recurrente afirma que las resoluciones dictadas en instancia y apelación supusieron la asunción acrítica de datos fácticos manifiestamente erróneos —una petición de lucro cesante vinculada a la existencia de alquileres y unos valores firmes de suelo adjudicado distintos a los consignados en el expediente administrativo—, la realidad es, al decir del Fiscal, que las resoluciones impugnadas señalan con claridad las razones en las que apoyan sus conclusiones indemnizatorias, sin que al Tribunal Constitucional le corresponda realizar una revisión de la valoración probatoria propiamente dicha, que es, en definitiva, lo que, según entiende el Ministerio Fiscal, reclama el recurrente.</w:t>
      </w:r>
    </w:p>
    <w:p w:rsidR="00AC56D6" w:rsidRDefault="00AC56D6" w:rsidP="00AC56D6">
      <w:pPr>
        <w:pStyle w:val="TextoNormal"/>
      </w:pPr>
    </w:p>
    <w:p w:rsidR="00AC56D6" w:rsidRDefault="00AC56D6" w:rsidP="00AC56D6">
      <w:pPr>
        <w:pStyle w:val="TextoNormal"/>
      </w:pPr>
      <w:r>
        <w:t>(iv) Tampoco concurriría, a juicio del Fiscal ante el Tribunal Constitucional, la alegada incongruencia omisiva por falta de pronunciamiento sobre la indemnización de los costes de urbanización que, siendo innecesarios para la transformación de los terrenos en solares, fueron indebidamente repercutidos a los propietarios. El Ministerio Fiscal reconoce, en este punto, que ni la resolución de instancia ni la de apelación se refieren de forma expresa a dichos costes. Ahora bien, recuerda que el Auto de 21 de septiembre de 2011 dio una respuesta global a las alegaciones del recurrente sobre diversos conceptos indemnizatorios, considerando que “los hechos en que se funda la pretensión económica esgrimida por la parte ejecutante, o bien no son ciertos, o bien son inexactos”, de donde se deduce que la petición de indemnización por costes de urbanización fue desestimada por un defecto general del sustrato fáctico.</w:t>
      </w:r>
    </w:p>
    <w:p w:rsidR="00AC56D6" w:rsidRDefault="00AC56D6" w:rsidP="00AC56D6">
      <w:pPr>
        <w:pStyle w:val="TextoNormal"/>
      </w:pPr>
    </w:p>
    <w:p w:rsidR="00AC56D6" w:rsidRDefault="00AC56D6" w:rsidP="00AC56D6">
      <w:pPr>
        <w:pStyle w:val="TextoNormal"/>
      </w:pPr>
      <w:r>
        <w:lastRenderedPageBreak/>
        <w:t>(v) Interesa, en cambio, el Ministerio Fiscal que se otorgue amparo al recurrente por la violación de su derecho al Juez ordinario predeterminado por la ley (art. 24.2 CE).</w:t>
      </w:r>
    </w:p>
    <w:p w:rsidR="00AC56D6" w:rsidRDefault="00AC56D6" w:rsidP="00AC56D6">
      <w:pPr>
        <w:pStyle w:val="TextoNormal"/>
      </w:pPr>
    </w:p>
    <w:p w:rsidR="00AC56D6" w:rsidRDefault="00AC56D6" w:rsidP="00AC56D6">
      <w:pPr>
        <w:pStyle w:val="TextoNormal"/>
      </w:pPr>
      <w:r>
        <w:t>Aclara, en primer lugar, el Fiscal que la vulneración denunciada no se refiere a la competencia de la Sala sino que se circunscribe “a determinar si dicha Sala ha sido defectuosamente constituida por la ausencia de los Magistrados que fueron autores de un voto particular opuesto a la sentencia de apelación”. A continuación, fija el Ministerio Fiscal los elementos fácticos que entiende relevantes para la evaluar la existencia de la vulneración denunciada, debiendo tenerse en cuenta, en su opinión, los siguientes: (i) la Sentencia de apelación fue dictada por cinco Magistrados mientras que el incidente de nulidad promovido frente a la misma fue resuelto por tres Magistrados; (ii) el recurrente podía albergar una expectativa razonable de que el incidente fuera resuelto por los mismos Magistrados que habían formado la Sala de apelación, incluidos los dos que habían formulado voto particular asumiendo las tesis que el actor quería hacer valer a través del incidente y (iii) la nueva composición de la Sala no fue puesta de manifiesto al demandante de amparo, quien, por tanto, “no pudo reaccionar con carácter previo frente a dicha composición”.</w:t>
      </w:r>
    </w:p>
    <w:p w:rsidR="00AC56D6" w:rsidRDefault="00AC56D6" w:rsidP="00AC56D6">
      <w:pPr>
        <w:pStyle w:val="TextoNormal"/>
      </w:pPr>
    </w:p>
    <w:p w:rsidR="00AC56D6" w:rsidRDefault="00AC56D6" w:rsidP="00AC56D6">
      <w:pPr>
        <w:pStyle w:val="TextoNormal"/>
      </w:pPr>
      <w:r>
        <w:t>Una vez acotado el objeto de la vulneración denunciada y sus presupuestos fácticos, el Fiscal advierte de que el derecho al Juez ordinario, cuando se refiere, no a la previa determinación legal del órgano sino a la correcta selección de sus componentes, se orienta, de acuerdo con la doctrina de este Tribunal, a la protección instrumental de la independencia e imparcialidad del órgano judicial actuante, “evitando que se mantenga el tribunal pero se alteren arbitrariamente sus componentes”, tal y como ya señaló, entre otras, la STC 162/2000 (FJ 2).</w:t>
      </w:r>
    </w:p>
    <w:p w:rsidR="00AC56D6" w:rsidRDefault="00AC56D6" w:rsidP="00AC56D6">
      <w:pPr>
        <w:pStyle w:val="TextoNormal"/>
      </w:pPr>
    </w:p>
    <w:p w:rsidR="00AC56D6" w:rsidRDefault="00AC56D6" w:rsidP="00AC56D6">
      <w:pPr>
        <w:pStyle w:val="TextoNormal"/>
      </w:pPr>
      <w:r>
        <w:t>Aplicando este canon de constitucionalidad al caso concreto, el Fiscal considera que “es evidente que la composición del órgano judicial que deba resolver sobre el incidente de nulidad puede verse afectada por circunstancias externas tales como sustituciones por razón de servicio u otras como traslados, fallecimiento, bajas, por citar algunos de los supuestos que señala la LOPJ”. Constata, sin embargo, el Fiscal que no fue ninguna de estas circunstancias legales la que condujo a la exclusión de los dos Magistrados discrepantes. No constando en el procedimiento causa justificada alguna, esa exclusión sólo pudo ser el fruto de una decisión de ordenación procesal del Presidente de la Sala.</w:t>
      </w:r>
    </w:p>
    <w:p w:rsidR="00AC56D6" w:rsidRDefault="00AC56D6" w:rsidP="00AC56D6">
      <w:pPr>
        <w:pStyle w:val="TextoNormal"/>
      </w:pPr>
    </w:p>
    <w:p w:rsidR="00AC56D6" w:rsidRDefault="00AC56D6" w:rsidP="00AC56D6">
      <w:pPr>
        <w:pStyle w:val="TextoNormal"/>
      </w:pPr>
      <w:r>
        <w:t xml:space="preserve">Entiende el Fiscal que esa decisión debió ponerse en conocimiento previo del demandante de amparo, a efectos de que pudiera interesar la participación en la deliberación y resolución del incidente de los dos Magistrados que se habían mostrado afines a sus tesis. Esa falta de notificación previa fue una irregularidad procesal que tuvo una evidente trascendencia, pues “la ausencia de los dos magistrados que emitieron el voto particular eliminó a priori de la deliberación y votación del auto resolutorio cualquier inicial disidencia con el fallo de la sentencia y aunque no cabe afirmar que se haya constituido un tribunal </w:t>
      </w:r>
      <w:r w:rsidRPr="00AC56D6">
        <w:rPr>
          <w:i/>
        </w:rPr>
        <w:t>ad casum</w:t>
      </w:r>
      <w:r>
        <w:t xml:space="preserve"> para resolver el incidente” sí que puede decirse, en opinión del Fiscal, que la composición dada a la Sala generaba “una duda razonable sobre la imparcialidad del tribunal” con una clara incidencia negativa en los intereses del actor.</w:t>
      </w:r>
    </w:p>
    <w:p w:rsidR="00AC56D6" w:rsidRDefault="00AC56D6" w:rsidP="00AC56D6">
      <w:pPr>
        <w:pStyle w:val="TextoNormal"/>
      </w:pPr>
    </w:p>
    <w:p w:rsidR="00AC56D6" w:rsidRDefault="00AC56D6" w:rsidP="00AC56D6">
      <w:pPr>
        <w:pStyle w:val="TextoNormal"/>
      </w:pPr>
      <w:r>
        <w:t xml:space="preserve">Por todo ello, el Ministerio Fiscal interesa que se declare vulnerado el derecho al Juez ordinario predeterminado por la ley y que se declare la nulidad del Auto de 22 de noviembre de 2013, retrotrayendo las actuaciones al momento inmediatamente anterior a la resolución </w:t>
      </w:r>
      <w:r>
        <w:lastRenderedPageBreak/>
        <w:t>del incidente de nulidad, a efectos de que se pronuncie sobre el mismo una Sala cuya composición sea acorde con las exigencias que derivan del art. 24.2 CE.</w:t>
      </w:r>
    </w:p>
    <w:p w:rsidR="00AC56D6" w:rsidRDefault="00AC56D6" w:rsidP="00AC56D6">
      <w:pPr>
        <w:pStyle w:val="TextoNormal"/>
      </w:pPr>
    </w:p>
    <w:p w:rsidR="00AC56D6" w:rsidRDefault="00AC56D6" w:rsidP="00AC56D6">
      <w:pPr>
        <w:pStyle w:val="TextoNormal"/>
      </w:pPr>
      <w:r w:rsidRPr="00AC56D6">
        <w:rPr>
          <w:rStyle w:val="NumeroAFNegritaCaracter"/>
        </w:rPr>
        <w:t>9</w:t>
      </w:r>
      <w:r>
        <w:t>. Por providencia de 2 de julio de 2015, se señaló para deliberación y votación de la presente Sentencia el día 6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Como ha quedado expuesto en los antecedentes, el recurrente de amparo impugna el Auto de 21 de septiembre de 2011, dictado por el Juzgado de lo Contencioso Administrativo núm. 3 de Alicante en el procedimiento ordinario núm. 565-2006, resolución en la que se fijó la indemnización sustitutoria por imposibilidad de ejecución de conformidad con lo dispuesto en el art. 105.2 de la de la Ley reguladora de la jurisdicción contencioso-administrativa (LJCA). También impugna la Sentencia de 20 de marzo de 2013, dictada por la Sala de lo Contencioso-Administrativo (Sección Primera) del Tribunal Superior de Justicia de Valencia en el rollo de apelación 2154-2011, confirmatoria de la decisión indemnizatoria adoptada en la instancia, así como el Auto del mismo órgano judicial de fecha 22 de noviembre de 2013 por el que se desestimó el incidente de nulidad de actuaciones promovido por el actor.</w:t>
      </w:r>
    </w:p>
    <w:p w:rsidR="00AC56D6" w:rsidRDefault="00AC56D6" w:rsidP="00AC56D6">
      <w:pPr>
        <w:pStyle w:val="TextoNormal"/>
      </w:pPr>
    </w:p>
    <w:p w:rsidR="00AC56D6" w:rsidRDefault="00AC56D6" w:rsidP="00AC56D6">
      <w:pPr>
        <w:pStyle w:val="TextoNormal"/>
      </w:pPr>
      <w:r>
        <w:t>El demandante de amparo denuncia las siguientes vulneraciones de derechos fundamentales: (i) del derecho a la tutela judicial efectiva en su dimensión de proscripción de indefensión (art. 24.1 CE), violación que achaca a que no se le dio traslado de las alegaciones y las pruebas que resultaron decisivas para la fijación de la indemnización sustitutoria; (ii) del derecho a utilizar los medios de prueba necesarios para la defensa (art. 24.2 CE), lesión derivada de la negativa del órgano de instancia, primero, y de la Sala de apelación, después, a acordar la ratificación de las pruebas periciales y el consiguiente interrogatorio conjunto de los peritos; (iii) del derecho a obtener una resolución motivada (art. 24.1 CE), vulneración asociada a un doble error patente cometido tanto en instancia como en apelación en la valoración de la indemnización; (iv) del derecho a la tutela judicial efectiva en su dimensión de deber de congruencia (art. 24.1 CE), al haber quedado imprejuzgadas dos peticiones indemnizatorias, una relativa a los costes de urbanización indebidamente imputados a los propietarios de la unidad de ejecución y otra atinente al lucro cesante derivado de la pérdida de oportunidad de obtener una reducción de dichos costes en la tramitación de un segundo proyecto de reparcelación; y (v) del derecho al Juez ordinario predeterminado por la ley, violación que se habría verificado en la resolución de incidente de nulidad de actuaciones al haberse alterado arbitrariamente, con ocasión de la resolución del mismo, la composición que había tenido la Sala de apelación que dictó la sentencia cuya nulidad se había promovido.</w:t>
      </w:r>
    </w:p>
    <w:p w:rsidR="00AC56D6" w:rsidRDefault="00AC56D6" w:rsidP="00AC56D6">
      <w:pPr>
        <w:pStyle w:val="TextoNormal"/>
      </w:pPr>
    </w:p>
    <w:p w:rsidR="00AC56D6" w:rsidRDefault="00AC56D6" w:rsidP="00AC56D6">
      <w:pPr>
        <w:pStyle w:val="TextoNormal"/>
      </w:pPr>
      <w:r>
        <w:t xml:space="preserve">Por su parte, el Ayuntamiento de Alcoy, entidad ejecutada en el proceso </w:t>
      </w:r>
      <w:r w:rsidRPr="00AC56D6">
        <w:rPr>
          <w:i/>
        </w:rPr>
        <w:t>a quo</w:t>
      </w:r>
      <w:r>
        <w:t>, solicita la desestimación del recurso de amparo considerando que las resoluciones impugnadas no incurren en violación constitucional alguna. El Ministerio Fiscal interesa, por su parte, la estimación del amparo exclusivamente en lo atinente a la violación del derecho al Juez ordinario predeterminado por la ley (art. 24.2 CE), por las razones que han quedado consignadas en los antecedentes.</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2</w:t>
      </w:r>
      <w:r>
        <w:t>. Antes de iniciar el análisis de las quejas formuladas por el recurrente de amparo, hemos de determinar si resulta admisible la primera de ellas, relativa a la violación del derecho a la tutela judicial efectiva en su dimensión de proscripción de indefensión, lesión que, según se ha expuesto, derivaría de la falta del traslado al actor de las alegaciones y los documentos presentados por el Ayuntamiento de Alcoy en el trámite del art. 105.2 LJCA. Opone el Ministerio Fiscal a este motivo de amparo el óbice de admisibilidad contemplado en el art. 44.1 a) de la Ley Orgánica del Tribunal Constitucional (LOTC), precepto que exige que “se hayan agotado todos los medios de impugnación previstos por las normas procesales para el caso concreto dentro de la vía judicial”.</w:t>
      </w:r>
    </w:p>
    <w:p w:rsidR="00AC56D6" w:rsidRDefault="00AC56D6" w:rsidP="00AC56D6">
      <w:pPr>
        <w:pStyle w:val="TextoNormal"/>
      </w:pPr>
    </w:p>
    <w:p w:rsidR="00AC56D6" w:rsidRDefault="00AC56D6" w:rsidP="00AC56D6">
      <w:pPr>
        <w:pStyle w:val="TextoNormal"/>
      </w:pPr>
      <w:r>
        <w:t>Conforme a una reiterada doctrina de este Tribunal, “el requisito de agotar todos los recursos utilizables en la vía judicial ordinaria que establece el art. 44.1 a) LOTC deriva de la necesidad de respetar la subsidiariedad del recurso de amparo, dado que, en virtud de lo dispuesto en el art. 53.2 CE, la tutela general de los derechos y libertades corresponde, en primer lugar, a los órganos del Poder Judicial. Consecuencia de lo anterior es que, cuando existe un recurso susceptible de ser utilizado y adecuado por su carácter y naturaleza para tutelar la libertad o derecho que se entiende vulnerado, tal recurso ha de interponerse antes de acudir a este Tribunal” (entre muchas otras, STC 186/2014, de 27 de noviembre, FJ 2).</w:t>
      </w:r>
    </w:p>
    <w:p w:rsidR="00AC56D6" w:rsidRDefault="00AC56D6" w:rsidP="00AC56D6">
      <w:pPr>
        <w:pStyle w:val="TextoNormal"/>
      </w:pPr>
    </w:p>
    <w:p w:rsidR="00AC56D6" w:rsidRDefault="00AC56D6" w:rsidP="00AC56D6">
      <w:pPr>
        <w:pStyle w:val="TextoNormal"/>
      </w:pPr>
      <w:r>
        <w:t>Tal y como señala el Ministerio Fiscal en sus alegaciones, antes de que recayera el Auto resolutorio del incidente de ejecución, ya había sido notificada a la representación del actor la providencia del 9 de junio de 2011, resolución que tenía un doble contenido. De un lado, dejaba constancia de la recepción de las alegaciones y los documentos presentados por la administración ejecutada y, de otro, disponía que, sin trámite adicional alguno, quedaran las actuaciones “en la mesa de su señoría” a efectos de que se dictase la resolución de fondo pertinente sobre la petición indemnizatoria formulada. Esta providencia, que privaba al demandante de amparo de la posibilidad de contrarrestar las alegaciones efectuadas por el ente local ejecutado, contenía “pie de recurso” en el que se advertía a las partes de la posibilidad de impugnar en súplica lo resuelto en la misma, lo que, en efecto, era procedente de acuerdo con lo dispuesto en el art. 79.1 LJCA. Sin embargo, el ahora demandante de amparo no interpuso el indicado recurso. Sólo cuando, con posterioridad, la resolución de fondo le resultó desfavorable puso el actor de manifiesto al órgano judicial su disconformidad con el procedimiento utilizado, alegando que se le había generado indefensión.</w:t>
      </w:r>
    </w:p>
    <w:p w:rsidR="00AC56D6" w:rsidRDefault="00AC56D6" w:rsidP="00AC56D6">
      <w:pPr>
        <w:pStyle w:val="TextoNormal"/>
      </w:pPr>
    </w:p>
    <w:p w:rsidR="00AC56D6" w:rsidRDefault="00AC56D6" w:rsidP="00AC56D6">
      <w:pPr>
        <w:pStyle w:val="TextoNormal"/>
      </w:pPr>
      <w:r>
        <w:t>Es cierto, pues, que el recurrente de amparo no utilizó los medios de impugnación que estaban legalmente a su alcance para combatir la irregularidad procesal padecida en la primera instancia. Concurre, por ello, el óbice de falta de agotamiento “de los medios de impugnación previstos en las normas procesales para el caso concreto dentro de la vía judicial” [art. 44.1 a) LOTC], debiendo inadmitirse, por tanto, el primer motivo de amparo.</w:t>
      </w:r>
    </w:p>
    <w:p w:rsidR="00AC56D6" w:rsidRDefault="00AC56D6" w:rsidP="00AC56D6">
      <w:pPr>
        <w:pStyle w:val="TextoNormal"/>
      </w:pPr>
    </w:p>
    <w:p w:rsidR="00AC56D6" w:rsidRDefault="00AC56D6" w:rsidP="00AC56D6">
      <w:pPr>
        <w:pStyle w:val="TextoNormal"/>
      </w:pPr>
      <w:r w:rsidRPr="00AC56D6">
        <w:rPr>
          <w:rStyle w:val="NumeroAFNegritaCaracter"/>
        </w:rPr>
        <w:t>3</w:t>
      </w:r>
      <w:r>
        <w:t>. Para resolver las vulneraciones de derechos fundamentales que han sido correctamente planteadas por el recurrente, hemos de adoptar un criterio sistemático que concilie las exigencias de tutela subjetiva de la posición jurídica del actor con la función objetiva que, tras la reforma operada por la Ley Orgánica 6/2007, de 24 de mayo, cumple el proceso constitucional de amparo.</w:t>
      </w:r>
    </w:p>
    <w:p w:rsidR="00AC56D6" w:rsidRDefault="00AC56D6" w:rsidP="00AC56D6">
      <w:pPr>
        <w:pStyle w:val="TextoNormal"/>
      </w:pPr>
    </w:p>
    <w:p w:rsidR="00AC56D6" w:rsidRDefault="00AC56D6" w:rsidP="00AC56D6">
      <w:pPr>
        <w:pStyle w:val="TextoNormal"/>
      </w:pPr>
      <w:r>
        <w:t xml:space="preserve">Seguiremos, por ello, nuestro criterio habitual de la mayor retroacción, asegurando la más amplia tutela de los derechos fundamentales del recurrente. No obstante, analizaremos </w:t>
      </w:r>
      <w:r>
        <w:lastRenderedPageBreak/>
        <w:t>en todo caso la lesión que otorga especial trascendencia constitucional al presente recurso de amparo, que es la relativa al Juez ordinario predeterminado por la ley.</w:t>
      </w:r>
    </w:p>
    <w:p w:rsidR="00AC56D6" w:rsidRDefault="00AC56D6" w:rsidP="00AC56D6">
      <w:pPr>
        <w:pStyle w:val="TextoNormal"/>
      </w:pPr>
    </w:p>
    <w:p w:rsidR="00AC56D6" w:rsidRDefault="00AC56D6" w:rsidP="00AC56D6">
      <w:pPr>
        <w:pStyle w:val="TextoNormal"/>
      </w:pPr>
      <w:r w:rsidRPr="00AC56D6">
        <w:rPr>
          <w:rStyle w:val="NumeroAFNegritaCaracter"/>
        </w:rPr>
        <w:t>4</w:t>
      </w:r>
      <w:r>
        <w:t>. La lógica de la “mayor retroacción” impone comenzar nuestro análisis por la queja relativa al derecho a utilizar los medios de prueba pertinentes para la defensa, ya que su estimación obligaría a retrotraer las actuaciones para la práctica de la prueba indebidamente inadmitida.</w:t>
      </w:r>
    </w:p>
    <w:p w:rsidR="00AC56D6" w:rsidRDefault="00AC56D6" w:rsidP="00AC56D6">
      <w:pPr>
        <w:pStyle w:val="TextoNormal"/>
      </w:pPr>
    </w:p>
    <w:p w:rsidR="00AC56D6" w:rsidRDefault="00AC56D6" w:rsidP="00AC56D6">
      <w:pPr>
        <w:pStyle w:val="TextoNormal"/>
      </w:pPr>
      <w:r>
        <w:t>Para dar respuesta a este primer motivo de amparo, debemos partir de dos presupuestos de hecho de suma importancia:</w:t>
      </w:r>
    </w:p>
    <w:p w:rsidR="00AC56D6" w:rsidRDefault="00AC56D6" w:rsidP="00AC56D6">
      <w:pPr>
        <w:pStyle w:val="TextoNormal"/>
      </w:pPr>
    </w:p>
    <w:p w:rsidR="00AC56D6" w:rsidRDefault="00AC56D6" w:rsidP="00AC56D6">
      <w:pPr>
        <w:pStyle w:val="TextoNormal"/>
      </w:pPr>
      <w:r>
        <w:t xml:space="preserve">(i) En primer lugar, debe advertirse que las actuaciones del proceso </w:t>
      </w:r>
      <w:r w:rsidRPr="00AC56D6">
        <w:rPr>
          <w:i/>
        </w:rPr>
        <w:t>a quo</w:t>
      </w:r>
      <w:r>
        <w:t xml:space="preserve"> ponen de manifiesto que el actor nunca solicitó del Juzgado de lo Contencioso-Administrativo la práctica de una verdadera prueba pericial. Se limitó a hacer un ofrecimiento genérico al Juzgado para realizar cuantas aclaraciones pudieran considerarse pertinentes en relación con su propio escrito. No hubo, pues, denegación de prueba alguna en la primera instancia. Sólo en el recurso de apelación se solicitó la práctica de un medio probatorio determinado, que, en efecto, resultó denegado.</w:t>
      </w:r>
    </w:p>
    <w:p w:rsidR="00AC56D6" w:rsidRDefault="00AC56D6" w:rsidP="00AC56D6">
      <w:pPr>
        <w:pStyle w:val="TextoNormal"/>
      </w:pPr>
    </w:p>
    <w:p w:rsidR="00AC56D6" w:rsidRDefault="00AC56D6" w:rsidP="00AC56D6">
      <w:pPr>
        <w:pStyle w:val="TextoNormal"/>
      </w:pPr>
      <w:r>
        <w:t>(ii) De otro lado, debe también aclararse que la petición de prueba realizada por el actor en el trámite de apelación no iba referida a la admisión del informe técnico pericial en el que apoyaba sus tesis indemnizatorias, pues éste ya había sido presentado y admitido en la primera instancia, sino a la ratificación oral del mismo, con intervención paralela del perito de la parte contraria (arquitecto técnico municipal del Ayuntamiento de Alcoy). Fue, por tanto, esa concreta petición la rechazada por la Sala de lo Contencioso-Administrativo (Sección Primera) del Tribunal Superior de Justicia de Valencia.</w:t>
      </w:r>
    </w:p>
    <w:p w:rsidR="00AC56D6" w:rsidRDefault="00AC56D6" w:rsidP="00AC56D6">
      <w:pPr>
        <w:pStyle w:val="TextoNormal"/>
      </w:pPr>
    </w:p>
    <w:p w:rsidR="00AC56D6" w:rsidRDefault="00AC56D6" w:rsidP="00AC56D6">
      <w:pPr>
        <w:pStyle w:val="TextoNormal"/>
      </w:pPr>
      <w:r>
        <w:t>Debemos, pues, contraer nuestro análisis a la denegación de esa concreta solicitud del recurrente, recordando, para ello, que este Tribunal ha reiterado que la vulneración del derecho a utilizar los medios de prueba pertinentes para la defensa (art. 24.2 CE) exige (i) que el recurrente haya instado a los órganos judiciales la práctica de una actividad probatoria, respetando las previsiones legales al respecto; (ii) que los órganos judiciales hayan rechazado su práctica sin motivación, con una motivación incongruente, arbitraria o irrazonable, de una manera tardía o que habiendo admitido la prueba, finalmente no haya podido practicarse por causas imputables al propio órgano judicial; (iii) que la actividad probatoria que no fue admitida o practicada hubiera podido tener una influencia decisiva en la resolución del pleito, generando indefensión al actor; y (iv) que en la demanda de amparo se aleguen y fundamenten los anteriores extremos (STC 133/2014, de 22 de julio, FJ 6, por todas).</w:t>
      </w:r>
    </w:p>
    <w:p w:rsidR="00AC56D6" w:rsidRDefault="00AC56D6" w:rsidP="00AC56D6">
      <w:pPr>
        <w:pStyle w:val="TextoNormal"/>
      </w:pPr>
    </w:p>
    <w:p w:rsidR="00AC56D6" w:rsidRDefault="00AC56D6" w:rsidP="00AC56D6">
      <w:pPr>
        <w:pStyle w:val="TextoNormal"/>
      </w:pPr>
      <w:r>
        <w:t>En relación con el primero de los requisitos aludidos (propuesta del medio de prueba acompañada de cumplimiento de las previsiones legales), considera el Ministerio Fiscal que la solicitud del actor no fue completamente acorde con las normas procesales aplicables, pues no explicitó ninguna razón justificativa concreta que hiciera útil y pertinente la intervención oral de los peritos.</w:t>
      </w:r>
    </w:p>
    <w:p w:rsidR="00AC56D6" w:rsidRDefault="00AC56D6" w:rsidP="00AC56D6">
      <w:pPr>
        <w:pStyle w:val="TextoNormal"/>
      </w:pPr>
    </w:p>
    <w:p w:rsidR="00AC56D6" w:rsidRDefault="00AC56D6" w:rsidP="00AC56D6">
      <w:pPr>
        <w:pStyle w:val="TextoNormal"/>
      </w:pPr>
      <w:r>
        <w:t xml:space="preserve">No podemos acoger esta objeción del Ministerio Fiscal, pues, si bien la petición formulada por el recurrente de amparo no ha destacado por su rigor formal, del conjunto de las </w:t>
      </w:r>
      <w:r>
        <w:lastRenderedPageBreak/>
        <w:t>alegaciones contenidas en el recurso de apelación se desprende sin dificultad que la representación del actor solicitaba que se sometiera a examen oral pericial el dictamen presentado por la parte contraria. Estamos, pues, ante un supuesto de intervención oral expresamente comprendido en el art. 347 de la Ley de enjuiciamiento civil (LEC). No puede decirse, en suma, que la parte ahora demandante no hubiera cumplido con la normativa procesal aplicable.</w:t>
      </w:r>
    </w:p>
    <w:p w:rsidR="00AC56D6" w:rsidRDefault="00AC56D6" w:rsidP="00AC56D6">
      <w:pPr>
        <w:pStyle w:val="TextoNormal"/>
      </w:pPr>
    </w:p>
    <w:p w:rsidR="00AC56D6" w:rsidRDefault="00AC56D6" w:rsidP="00AC56D6">
      <w:pPr>
        <w:pStyle w:val="TextoNormal"/>
      </w:pPr>
      <w:r>
        <w:t>Ahora bien, la exigüidad de la petición de prueba formulada por el recurrente permite concluir que ésta no fue rechazada en términos contrarios al art. 24.2 CE, pues la Sala de apelación fundamentó expresamente la denegación de la misma en la inutilidad del examen oral de los peritos a efectos de formar su convicción, entendiendo que el actor ponía de manifiesto una pura discrepancia valorativa general, carente de concreción, que bien podía ser resuelta a la sola vista de los informes presentados. Esta respuesta no puede considerarse irrazonable en términos generales y menos aún en un supuesto como el que ahora se plantea, en el que el objeto principal de la discusión entablada entre las partes no era tanto la concreta valoración técnica efectuada por los peritos como la corrección de hecho y de derecho de los diversos conceptos indemnizatorios utilizados.</w:t>
      </w:r>
    </w:p>
    <w:p w:rsidR="00AC56D6" w:rsidRDefault="00AC56D6" w:rsidP="00AC56D6">
      <w:pPr>
        <w:pStyle w:val="TextoNormal"/>
      </w:pPr>
    </w:p>
    <w:p w:rsidR="00AC56D6" w:rsidRDefault="00AC56D6" w:rsidP="00AC56D6">
      <w:pPr>
        <w:pStyle w:val="TextoNormal"/>
      </w:pPr>
      <w:r>
        <w:t>A lo expuesto, ha de añadirse que el recurrente no ha cumplido la carga alegatoria que sobre él pesaba en relación con el requisito de indefensión material, pues no ha justificado en su demanda de amparo la incidencia que la denegación del medio probatorio solicitado ha tenido en la concreta decisión adoptada por la Sala de apelación. Lo más que hace el actor en su demanda es considerar que la decisión del órgano de segunda instancia vino a perpetuar la indefensión supuestamente padecida ante el Juzgado, afirmación apodíctica que no puede compartirse, pues, en el momento de interponer el recurso de apelación el demandante ya tenía conocimiento de todo el material probatorio presentado de contrario y, en consecuencia, disponía de plena oportunidad para alegar lo que considerase oportuno a fin de contrarrestar las tesis de su adversario, sirviéndose para ello y, en su caso, de los medios probatorios que considerara útiles y pertinentes al efecto.</w:t>
      </w:r>
    </w:p>
    <w:p w:rsidR="00AC56D6" w:rsidRDefault="00AC56D6" w:rsidP="00AC56D6">
      <w:pPr>
        <w:pStyle w:val="TextoNormal"/>
      </w:pPr>
    </w:p>
    <w:p w:rsidR="00AC56D6" w:rsidRDefault="00AC56D6" w:rsidP="00AC56D6">
      <w:pPr>
        <w:pStyle w:val="TextoNormal"/>
      </w:pPr>
      <w:r>
        <w:t>El motivo de amparo debe, pues, desestimarse.</w:t>
      </w:r>
    </w:p>
    <w:p w:rsidR="00AC56D6" w:rsidRDefault="00AC56D6" w:rsidP="00AC56D6">
      <w:pPr>
        <w:pStyle w:val="TextoNormal"/>
      </w:pPr>
    </w:p>
    <w:p w:rsidR="00AC56D6" w:rsidRDefault="00AC56D6" w:rsidP="00AC56D6">
      <w:pPr>
        <w:pStyle w:val="TextoNormal"/>
      </w:pPr>
      <w:r w:rsidRPr="00AC56D6">
        <w:rPr>
          <w:rStyle w:val="NumeroAFNegritaCaracter"/>
        </w:rPr>
        <w:t>5</w:t>
      </w:r>
      <w:r>
        <w:t xml:space="preserve">. Considera, en segundo lugar, el demandante de amparo que, tanto el Auto de 21 de septiembre de 2011, dictado por el Juzgado de lo Contencioso-Administrativo, como la Sentencia de 20 de marzo de 2013, dictada en apelación por la Sala, incurrieron en un doble error patente pues: (i) no se atuvieron al valor del suelo adjudicado que figuraba en el expediente administrativo —aceptando, en su lugar, la valoración </w:t>
      </w:r>
      <w:r w:rsidRPr="00AC56D6">
        <w:rPr>
          <w:i/>
        </w:rPr>
        <w:t>ex novo</w:t>
      </w:r>
      <w:r>
        <w:t xml:space="preserve"> contenida en el informe técnico pericial presentado por el Ayuntamiento de Alcoy—, y (ii) resolvieron sobre la petición de indemnización por lucro cesante atendiendo a unos datos de hecho —inexistencia de inquilinos o arrendatarios— que eran ajenos a la petición verdaderamente realizada en dicho concepto, que versaba, en realidad, sobre la pérdida de la oportunidad de reducir los costes de urbanización en la tramitación de un segundo proyecto de reparcelación para esa unidad de ejecución.</w:t>
      </w:r>
    </w:p>
    <w:p w:rsidR="00AC56D6" w:rsidRDefault="00AC56D6" w:rsidP="00AC56D6">
      <w:pPr>
        <w:pStyle w:val="TextoNormal"/>
      </w:pPr>
    </w:p>
    <w:p w:rsidR="00AC56D6" w:rsidRDefault="00AC56D6" w:rsidP="00AC56D6">
      <w:pPr>
        <w:pStyle w:val="TextoNormal"/>
      </w:pPr>
      <w:r>
        <w:t xml:space="preserve">Hemos sintetizado recientemente en la STC 167/2014, de 22 de octubre, FJ 6, nuestra doctrina previa sobre el derecho a la tutela judicial efectiva en su dimensión del derecho a obtener una resolución motivada que no esté incursa en error patente, con la afirmación de que procede otorgar el amparo por este motivo “cuando la resolución judicial sea el producto </w:t>
      </w:r>
      <w:r>
        <w:lastRenderedPageBreak/>
        <w:t>de un razonamiento equivocado que no se corresponde con la realidad, por haber incurrido el órgano judicial en un error patente en la determinación y selección del material de hecho o del presupuesto sobre el que se asienta su decisión, produciendo efectos negativos en la esfera jurídica del ciudadano, siempre que se trate de un error que sea inmediatamente verificable de forma incontrovertible a partir de las actuaciones judiciales, y que sea determinante de la decisión adoptada, constituyendo el soporte único o básico (</w:t>
      </w:r>
      <w:r w:rsidRPr="00AC56D6">
        <w:rPr>
          <w:i/>
        </w:rPr>
        <w:t>ratio decidendi</w:t>
      </w:r>
      <w:r>
        <w:t>) de la resolución, de forma que no pueda saberse cuál hubiera sido el criterio del órgano judicial de no haber incurrido en dicho error”.</w:t>
      </w:r>
    </w:p>
    <w:p w:rsidR="00AC56D6" w:rsidRDefault="00AC56D6" w:rsidP="00AC56D6">
      <w:pPr>
        <w:pStyle w:val="TextoNormal"/>
      </w:pPr>
    </w:p>
    <w:p w:rsidR="00AC56D6" w:rsidRDefault="00AC56D6" w:rsidP="00AC56D6">
      <w:pPr>
        <w:pStyle w:val="TextoNormal"/>
      </w:pPr>
      <w:r>
        <w:t>Aplicando esta doctrina general al caso que nos plantea, puede observarse que:</w:t>
      </w:r>
    </w:p>
    <w:p w:rsidR="00AC56D6" w:rsidRDefault="00AC56D6" w:rsidP="00AC56D6">
      <w:pPr>
        <w:pStyle w:val="TextoNormal"/>
      </w:pPr>
    </w:p>
    <w:p w:rsidR="00AC56D6" w:rsidRDefault="00AC56D6" w:rsidP="00AC56D6">
      <w:pPr>
        <w:pStyle w:val="TextoNormal"/>
      </w:pPr>
      <w:r>
        <w:t xml:space="preserve">(i) En lo que se refiere al error en la determinación del valor del suelo adjudicado, hay que tener presente que, tanto el Auto de primera instancia como la Sentencia de apelación, establecieron como premisa general que la fijación de la indemnización sustitutoria había de desligarse por completo del proyecto de reparcelación anulado. La Sentencia recaída en la fase declarativa del proceso, que era el título que debía ejecutarse, únicamente reconocía al recurrente el derecho a exigir la tramitación de las actuaciones urbanísticas necesarias para subsanar los defectos de motivación detectados en la delimitación de la unidad de ejecución, lo que, en su caso, podía llevar a la aprobación de un segundo proyecto de reparcelación. Tanto el Juzgado como la Sala dedujeron de ello que el objeto del resarcimiento propio del incidente del art. 105.2 LJCA debía ceñirse estrictamente a la imposibilidad sobrevenida de tramitar esas actuaciones urbanísticas, razón por la cual debían realizarse </w:t>
      </w:r>
      <w:r w:rsidRPr="00AC56D6">
        <w:rPr>
          <w:i/>
        </w:rPr>
        <w:t>ex novo</w:t>
      </w:r>
      <w:r>
        <w:t>, dentro del propio incidente, todas las operaciones valorativas necesarias para reemplazar en la esfera patrimonial del ejecutante la expectativa de esa segunda equidistribución.</w:t>
      </w:r>
    </w:p>
    <w:p w:rsidR="00AC56D6" w:rsidRDefault="00AC56D6" w:rsidP="00AC56D6">
      <w:pPr>
        <w:pStyle w:val="TextoNormal"/>
      </w:pPr>
    </w:p>
    <w:p w:rsidR="00AC56D6" w:rsidRDefault="00AC56D6" w:rsidP="00AC56D6">
      <w:pPr>
        <w:pStyle w:val="TextoNormal"/>
      </w:pPr>
      <w:r>
        <w:t xml:space="preserve">Sea o no correcto este razonamiento desde el punto de vista de la legalidad ordinaria, cuestión en la que este Tribunal no debe entrar, hemos de deducir del mismo que los órganos del Poder Judicial en ningún momento consideraron que sus cálculos debieran partir del valor del suelo adjudicado que figuraba en el expediente administrativo, sino que asumieron, más bien, que había de efectuarse una valoración </w:t>
      </w:r>
      <w:r w:rsidRPr="00AC56D6">
        <w:rPr>
          <w:i/>
        </w:rPr>
        <w:t>ex novo</w:t>
      </w:r>
      <w:r>
        <w:t xml:space="preserve"> dentro del trámite del art. 105.2 LJCA. De ahí que la falta de correspondencia de la cifra estimada en tal concepto con la que figuraba en el expediente no pueda ser catalogada como fruto de un error patente, pues las resoluciones judiciales no exteriorizaron en ningún momento la necesidad de partir de aquel dato de hecho, que obraba en el expediente.</w:t>
      </w:r>
    </w:p>
    <w:p w:rsidR="00AC56D6" w:rsidRDefault="00AC56D6" w:rsidP="00AC56D6">
      <w:pPr>
        <w:pStyle w:val="TextoNormal"/>
      </w:pPr>
    </w:p>
    <w:p w:rsidR="00AC56D6" w:rsidRDefault="00AC56D6" w:rsidP="00AC56D6">
      <w:pPr>
        <w:pStyle w:val="TextoNormal"/>
      </w:pPr>
      <w:r>
        <w:t xml:space="preserve">(ii) En cuanto al error relativo a la valoración del lucro cesante, en este caso sí que estamos ante un error manifiesto y evidente cuya existencia es inmediatamente verificable de forma clara e incontrovertible a partir de las actuaciones judiciales. Basta leer el escrito de alegaciones del recurrente de fecha 31 de marzo de 2011 para advertir que la petición indemnizatoria efectuada por éste nada tenía que ver con la inexistencia de inquilinos o arrendatarios. Sin embargo, de tal apreciado error no se deriva, sin más, la vulneración del art. 24.1 CE, pues, como hemos anticipado, el “error patente con relevancia constitucional … ha de ser … determinante de la decisión adoptada, de forma que constituya el soporte único o fundamental de la resolución, su </w:t>
      </w:r>
      <w:r w:rsidRPr="00AC56D6">
        <w:rPr>
          <w:i/>
        </w:rPr>
        <w:t>ratio decidendi</w:t>
      </w:r>
      <w:r>
        <w:t>, de tal suerte que, comprobada su existencia, la fundamentación jurídica pierde el sentido y alcance que la justificaba y no puede conocerse cuál hubiese sido el sentido de la resolución de no haberse incurrido en el error” (por todas, SSTC 145/2009, de 15 de junio, FJ 5; 112/2008, de 29 de septiembre, FJ 3; y 167/2008, de 15 de diciembre, FJ 2).</w:t>
      </w:r>
    </w:p>
    <w:p w:rsidR="00AC56D6" w:rsidRDefault="00AC56D6" w:rsidP="00AC56D6">
      <w:pPr>
        <w:pStyle w:val="TextoNormal"/>
      </w:pPr>
    </w:p>
    <w:p w:rsidR="00AC56D6" w:rsidRDefault="00AC56D6" w:rsidP="00AC56D6">
      <w:pPr>
        <w:pStyle w:val="TextoNormal"/>
      </w:pPr>
      <w:r>
        <w:t>Para dilucidar, pues, si el error cometido por el órgano judicial ha tenido relevancia constitucional debemos examinar si ha sido determinante de la desestimación de la indemnización por lucro cesante. Ahora bien, versando el error sobre la propia pretensión indemnizatoria formulada, la aplicación de este canon de constitucionalidad nos ha de llevar a examinar si la resolución dictada contiene, en cualquier caso, una respuesta válida para la auténtica petición del actor. Se pone, así, de manifiesto que estamos, en realidad, ante lo que este Tribunal ha denominado “incongruencia mixta o por error”, categoría referida a los casos en los que “por error de cualquier género sufrido por el órgano judicial, no se resuelve sobre la pretensión o equivocadamente se razona sobre otra pretensión absolutamente ajena al debate procesal planteado, dejando al mismo tiempo aquélla sin respuesta” (SSTC 95/2005, de 18 de abril, FJ 2; 194/2005, de 18 de julio, FJ 2; 44/2008, de 10 de marzo, FJ 2; y 25/2012, de 27 de febrero, FJ 3).</w:t>
      </w:r>
    </w:p>
    <w:p w:rsidR="00AC56D6" w:rsidRDefault="00AC56D6" w:rsidP="00AC56D6">
      <w:pPr>
        <w:pStyle w:val="TextoNormal"/>
      </w:pPr>
    </w:p>
    <w:p w:rsidR="00AC56D6" w:rsidRDefault="00AC56D6" w:rsidP="00AC56D6">
      <w:pPr>
        <w:pStyle w:val="TextoNormal"/>
      </w:pPr>
      <w:r>
        <w:t>Debe, pues, subsumirse esta segunda hipótesis de error patente en el examen del vicio de incongruencia paralelamente planteado por el actor, pues una u otra queja suscitan el mismo problema de fondo: si el órgano judicial llegó a pronunciarse sobre la petición indemnizatoria verdaderamente formulada. Si la respuesta a este interrogante es positiva, habremos de concluir que no hubo vicio de incongruencia y que tampoco hubo error de relevancia constitucional, ya que la incorrecta identificación de la pretensión no habría sido determinante de la decisión desestimatoria adoptada.</w:t>
      </w:r>
    </w:p>
    <w:p w:rsidR="00AC56D6" w:rsidRDefault="00AC56D6" w:rsidP="00AC56D6">
      <w:pPr>
        <w:pStyle w:val="TextoNormal"/>
      </w:pPr>
    </w:p>
    <w:p w:rsidR="00AC56D6" w:rsidRDefault="00AC56D6" w:rsidP="00AC56D6">
      <w:pPr>
        <w:pStyle w:val="TextoNormal"/>
      </w:pPr>
      <w:r w:rsidRPr="00AC56D6">
        <w:rPr>
          <w:rStyle w:val="NumeroAFNegritaCaracter"/>
        </w:rPr>
        <w:t>6</w:t>
      </w:r>
      <w:r>
        <w:t>. Entrando ya en el vicio de incongruencia denunciado, considera el recurrente que, ni el Auto de 21 de septiembre de 2011, ni tampoco la Sentencia de apelación de 20 de marzo de 2013, han respondido a las peticiones relativas a dos conceptos indemnizatorios: (i) los costes de urbanización indebidamente imputados a los propietarios (que el Ayuntamiento habría debido asumir) y (ii) el lucro cesante por la pérdida de oportunidad de obtener una reducción de dichos costes. En este segundo supuesto, la falta de respuesta judicial habría obedecido, como acaba de exponerse, a un error manifiesto del órgano judicial en la identificación de la pretensión realmente formulada por el actor.</w:t>
      </w:r>
    </w:p>
    <w:p w:rsidR="00AC56D6" w:rsidRDefault="00AC56D6" w:rsidP="00AC56D6">
      <w:pPr>
        <w:pStyle w:val="TextoNormal"/>
      </w:pPr>
    </w:p>
    <w:p w:rsidR="00AC56D6" w:rsidRDefault="00AC56D6" w:rsidP="00AC56D6">
      <w:pPr>
        <w:pStyle w:val="TextoNormal"/>
      </w:pPr>
      <w:r>
        <w:t xml:space="preserve">Hemos señalado en repetidas ocasiones que “el derecho a la tutela judicial efectiva obliga a los órganos jurisdiccionales a resolver la pretensiones de las partes de manera congruente con lo pedido, evitando desajustes o desviaciones entre el fallo judicial y los términos en que las partes formularon sus pretensiones”. De esta manera, “el juicio de congruencia de la resolución judicial requiere ineludiblemente la confrontación entre su parte dispositiva y el objeto del proceso, delimitado en atención a sus elementos subjetivos, las partes, y objetivos, la </w:t>
      </w:r>
      <w:r w:rsidRPr="00AC56D6">
        <w:rPr>
          <w:i/>
        </w:rPr>
        <w:t>causa petendi</w:t>
      </w:r>
      <w:r>
        <w:t xml:space="preserve"> y el </w:t>
      </w:r>
      <w:r w:rsidRPr="00AC56D6">
        <w:rPr>
          <w:i/>
        </w:rPr>
        <w:t>petitum</w:t>
      </w:r>
      <w:r>
        <w:t>” (STC 222/1994, de 18 de julio, FJ 2; 174/2004, 18 de octubre, FJ 3; 194/2005, de 18 de julio, FJ 2; 36/2006, de 13 de febrero, FJ 1; y 25/2012, de 27 de febrero, FJ 3).</w:t>
      </w:r>
    </w:p>
    <w:p w:rsidR="00AC56D6" w:rsidRDefault="00AC56D6" w:rsidP="00AC56D6">
      <w:pPr>
        <w:pStyle w:val="TextoNormal"/>
      </w:pPr>
    </w:p>
    <w:p w:rsidR="00AC56D6" w:rsidRDefault="00AC56D6" w:rsidP="00AC56D6">
      <w:pPr>
        <w:pStyle w:val="TextoNormal"/>
      </w:pPr>
      <w:r>
        <w:t xml:space="preserve">El aludido desajuste entre las pretensiones formuladas por las partes y el fallo emitido en su respuesta puede dar lugar a una incongruencia denominada omisiva o </w:t>
      </w:r>
      <w:r w:rsidRPr="00AC56D6">
        <w:rPr>
          <w:i/>
        </w:rPr>
        <w:t>ex silentio</w:t>
      </w:r>
      <w:r>
        <w:t xml:space="preserve"> cuando “el órgano judicial deja sin respuesta lo pretendido”. Ahora bien, para que este tipo de incongruencia se verifique es necesario, según hemos señalado, que la discrepancia del litigante con la resolución dictada se refiera en verdad a la respuesta judicial otorgada y no a la motivación de la misma, ya que el vicio de incongruencia requiere, en todo caso, un de</w:t>
      </w:r>
      <w:r>
        <w:lastRenderedPageBreak/>
        <w:t>fecto del fallo o de la parte dispositiva, no de “los fundamentos que la nutren para dar respuesta a las alegaciones de las partes” (STC 36/2006, de 13 de febrero, FJ 1). Es esencial, en este punto, la distinción efectuada en nuestra doctrina entre las meras alegaciones de los litigantes, que sólo pueden afectar a la motivación de la resolución, y las auténticas pretensiones formuladas, que son las únicas que pueden determinar un desajuste del fallo con aquellas —y, por ende, un vicio de incongruencia omisiva— (SSTC 174/2004, de 18 de octubre, FJ 3; 36/2006, de 13 de febrero, FJ 3, y 25/2012, de 27 de febrero, FJ 3).</w:t>
      </w:r>
    </w:p>
    <w:p w:rsidR="00AC56D6" w:rsidRDefault="00AC56D6" w:rsidP="00AC56D6">
      <w:pPr>
        <w:pStyle w:val="TextoNormal"/>
      </w:pPr>
    </w:p>
    <w:p w:rsidR="00AC56D6" w:rsidRDefault="00AC56D6" w:rsidP="00AC56D6">
      <w:pPr>
        <w:pStyle w:val="TextoNormal"/>
      </w:pPr>
      <w:r>
        <w:t>Conforme a esta doctrina, nuestra tarea consiste ahora en comprobar, en primer lugar, si estamos ante verdaderas pretensiones (y no ante meras alegaciones), para dilucidar después, sólo si la respuesta al primer interrogante es afirmativa, si el silencio judicial puede interpretarse como un supuesto de desestimación tácita (STC 8/2004, de 9 de febrero, FJ 4).</w:t>
      </w:r>
    </w:p>
    <w:p w:rsidR="00AC56D6" w:rsidRDefault="00AC56D6" w:rsidP="00AC56D6">
      <w:pPr>
        <w:pStyle w:val="TextoNormal"/>
      </w:pPr>
    </w:p>
    <w:p w:rsidR="00AC56D6" w:rsidRDefault="00AC56D6" w:rsidP="00AC56D6">
      <w:pPr>
        <w:pStyle w:val="TextoNormal"/>
      </w:pPr>
      <w:r w:rsidRPr="00AC56D6">
        <w:rPr>
          <w:rStyle w:val="NumeroAFNegritaCaracter"/>
        </w:rPr>
        <w:t>7</w:t>
      </w:r>
      <w:r>
        <w:t>. La primera cuestión a dilucidar es si los dos extremos que el recurrente considera que no han recibido respuesta judicial (exceso de costes de urbanización y lucro cesante por pérdida de oportunidad), constituían verdaderas pretensiones y afectaban por ello al deber de congruencia.</w:t>
      </w:r>
    </w:p>
    <w:p w:rsidR="00AC56D6" w:rsidRDefault="00AC56D6" w:rsidP="00AC56D6">
      <w:pPr>
        <w:pStyle w:val="TextoNormal"/>
      </w:pPr>
    </w:p>
    <w:p w:rsidR="00AC56D6" w:rsidRDefault="00AC56D6" w:rsidP="00AC56D6">
      <w:pPr>
        <w:pStyle w:val="TextoNormal"/>
      </w:pPr>
      <w:r>
        <w:t>Debemos recordar, en este punto, que ya en nuestra STC 174/2004, de 18 de octubre, FJ 3, tuvimos ocasión de aclarar que los diversos conceptos que conforman una petición indemnizatoria, siempre que se asigne a cada uno de ellos un montante determinado de la indemnización total reclamada, constituyen verdaderas pretensiones que afectan al deber de congruencia del órgano judicial.</w:t>
      </w:r>
    </w:p>
    <w:p w:rsidR="00AC56D6" w:rsidRDefault="00AC56D6" w:rsidP="00AC56D6">
      <w:pPr>
        <w:pStyle w:val="TextoNormal"/>
      </w:pPr>
    </w:p>
    <w:p w:rsidR="00AC56D6" w:rsidRDefault="00AC56D6" w:rsidP="00AC56D6">
      <w:pPr>
        <w:pStyle w:val="TextoNormal"/>
      </w:pPr>
      <w:r>
        <w:t>Pues bien, utilizando el indicado parámetro, podemos concluir que también en el caso que ahora nos ocupa estamos ante verdaderas pretensiones indemnizatorias. El recurrente reclamaba importes dinerarios determinados por cada uno de los conceptos resarcitorios desglosados en sus alegaciones, incluidos los dos que no obtuvieron respuesta judicial expresa —exceso de costes de urbanización y lucro cesante por pérdida de oportunidad—. Las circunstancias del caso apuntan, asimismo, en esa dirección, pues la misión del incidente del art. 105.2 LJCA era precisamente fijar una indemnización sustitutiva de la tutela judicial que había sido reconocida en Sentencia, lo que requería determinar qué concretos daños y perjuicios se derivaban para el ejecutante de la imposibilidad sobrevenida de cumplir con el título de ejecución. Cada reclamación dineraria específicamente ligada a un concreto daño o perjuicio constituía, de este modo, una pretensión necesitada de respuesta judicial correlativa.</w:t>
      </w:r>
    </w:p>
    <w:p w:rsidR="00AC56D6" w:rsidRDefault="00AC56D6" w:rsidP="00AC56D6">
      <w:pPr>
        <w:pStyle w:val="TextoNormal"/>
      </w:pPr>
    </w:p>
    <w:p w:rsidR="00AC56D6" w:rsidRDefault="00AC56D6" w:rsidP="00AC56D6">
      <w:pPr>
        <w:pStyle w:val="TextoNormal"/>
      </w:pPr>
      <w:r w:rsidRPr="00AC56D6">
        <w:rPr>
          <w:rStyle w:val="NumeroAFNegritaCaracter"/>
        </w:rPr>
        <w:t>8</w:t>
      </w:r>
      <w:r>
        <w:t>. Sentado que estamos ante verdaderas pretensiones del recurrente, debemos determinar, a continuación, si, a la vista del conjunto de los argumentos contenidos en la resolución dictada, puede entenderse que lo pedido fue desestimado por el órgano judicial, siquiera de forma táctica. A estos efectos, son relevantes los siguientes extremos:</w:t>
      </w:r>
    </w:p>
    <w:p w:rsidR="00AC56D6" w:rsidRDefault="00AC56D6" w:rsidP="00AC56D6">
      <w:pPr>
        <w:pStyle w:val="TextoNormal"/>
      </w:pPr>
    </w:p>
    <w:p w:rsidR="00AC56D6" w:rsidRDefault="00AC56D6" w:rsidP="00AC56D6">
      <w:pPr>
        <w:pStyle w:val="TextoNormal"/>
      </w:pPr>
      <w:r>
        <w:t>(i) En primer lugar, es un dato de hecho no controvertido que el Juzgado de lo Contencioso-Administrativo nunca llegó a pronunciarse expresamente sobre los costes de urbanización —solicitados en calidad de daño emergente— ni sobre la pérdida de oportunidad —conceptuada por el recurrente de amparo como lucro cesante derivado de la imposibilidad de tramitar un nuevo proyecto de reparcelación—.</w:t>
      </w:r>
    </w:p>
    <w:p w:rsidR="00AC56D6" w:rsidRDefault="00AC56D6" w:rsidP="00AC56D6">
      <w:pPr>
        <w:pStyle w:val="TextoNormal"/>
      </w:pPr>
    </w:p>
    <w:p w:rsidR="00AC56D6" w:rsidRDefault="00AC56D6" w:rsidP="00AC56D6">
      <w:pPr>
        <w:pStyle w:val="TextoNormal"/>
      </w:pPr>
      <w:r>
        <w:lastRenderedPageBreak/>
        <w:t>El Ministerio Fiscal considera, no obstante, que el órgano judicial sí dio una respuesta de conjunto a todas las pretensiones del actor cuando afirmó, en términos generales, que los hechos en los que se fundaba la reclamación indemnizatoria, o bien no eran ciertos, o bien eran completamente inexactos. Este pasaje de la resolución de primera instancia habría puesto de manifiesto, a juicio del Fiscal, la existencia de un defecto general en el sustrato fáctico de las alegaciones del recurrente de amparo capaz de sustentar la desestimación de todas las reclamaciones dinerarias formuladas por éste.</w:t>
      </w:r>
    </w:p>
    <w:p w:rsidR="00AC56D6" w:rsidRDefault="00AC56D6" w:rsidP="00AC56D6">
      <w:pPr>
        <w:pStyle w:val="TextoNormal"/>
      </w:pPr>
    </w:p>
    <w:p w:rsidR="00AC56D6" w:rsidRDefault="00AC56D6" w:rsidP="00AC56D6">
      <w:pPr>
        <w:pStyle w:val="TextoNormal"/>
      </w:pPr>
      <w:r>
        <w:t>Esta tesis no puede, sin embargo, prosperar, pues la lectura del Auto de 21 de septiembre de 2011 revela que el fragmento destacado por el Fiscal no contenía una respuesta general a las pretensiones del recurrente. Dicho pasaje señala, en realidad, lo siguiente: “los hechos en que se funda la pretensión económica esgrimida por la parte ejecutante, o bien no son ciertos (1 y 3) o bien son completamente inexactos (2)”. Las referencias numéricas que, en el pasaje transcrito, acompañaban a las categóricas afirmaciones del órgano judicial, se referían a tres concretos elementos de hecho —rehabilitación del inmueble (1), número de compraventas de inmuebles en la unidad de ejecución (2) y existencia de inquilinos (3)—. Los dos primeros elementos fácticos descartados por el órgano judicial servían de base a la reclamación efectuada por el demandante de amparo en concepto de valor de la edificación. El tercero se refería a una reclamación por lucro cesante que, como se ha visto, nunca fue efectuada por el actor, pues la petición formulada por éste nada tenía que ver con la existencia de inquilinos. El extracto aludido no guarda, pues, relación con lo reclamado en calidad de costes de urbanización y de lucro cesante por pérdida de oportunidad.</w:t>
      </w:r>
    </w:p>
    <w:p w:rsidR="00AC56D6" w:rsidRDefault="00AC56D6" w:rsidP="00AC56D6">
      <w:pPr>
        <w:pStyle w:val="TextoNormal"/>
      </w:pPr>
    </w:p>
    <w:p w:rsidR="00AC56D6" w:rsidRDefault="00AC56D6" w:rsidP="00AC56D6">
      <w:pPr>
        <w:pStyle w:val="TextoNormal"/>
      </w:pPr>
      <w:r>
        <w:t>En suma, el pasaje de la resolución del que extrae el Fiscal la conclusión de desestimación tácita de todas las pretensiones constituye, en realidad, una respuesta singularizada a conceptos indemnizatorios determinados. No tiene, pues, esa vocación de generalidad que el Ministerio Fiscal le pretende atribuir.</w:t>
      </w:r>
    </w:p>
    <w:p w:rsidR="00AC56D6" w:rsidRDefault="00AC56D6" w:rsidP="00AC56D6">
      <w:pPr>
        <w:pStyle w:val="TextoNormal"/>
      </w:pPr>
    </w:p>
    <w:p w:rsidR="00AC56D6" w:rsidRDefault="00AC56D6" w:rsidP="00AC56D6">
      <w:pPr>
        <w:pStyle w:val="TextoNormal"/>
      </w:pPr>
      <w:r>
        <w:t>(ii) Tampoco estamos, por otra parte, ante un supuesto de aceptación judicial de un informe pericial que lleve consigo la desestimación tácita de otros conceptos indemnizatorios incompatibles. Este Tribunal ha reconocido que hay conceptos indemnizatorios que pueden quedar delimitados por el contenido de las propias pericias técnicas. Así ocurre, por ejemplo, cuando son necesarios conocimientos médicos para determinar el verdadero alcance de las lesiones sufridas por una persona (STC 36/2006, de 13 de febrero). En este tipo de casos, si el órgano judicial acepta una pericia determinada, puede inferirse razonablemente que se ha desestimado tácitamente el alcance dado a los daños por la pericia de contenido contradictorio al de aquella.</w:t>
      </w:r>
    </w:p>
    <w:p w:rsidR="00AC56D6" w:rsidRDefault="00AC56D6" w:rsidP="00AC56D6">
      <w:pPr>
        <w:pStyle w:val="TextoNormal"/>
      </w:pPr>
    </w:p>
    <w:p w:rsidR="00AC56D6" w:rsidRDefault="00AC56D6" w:rsidP="00AC56D6">
      <w:pPr>
        <w:pStyle w:val="TextoNormal"/>
      </w:pPr>
      <w:r>
        <w:t>Ahora bien, en el supuesto que ahora se plantea, las periciales de las partes contenían las operaciones de cálculo de los diversos conceptos indemnizatorios que cada litigante había considerado jurídicamente pertinentes. En otras palabras, conceptos resarcitorios como los costes de urbanización o la pérdida de oportunidad bien podían ser sumados a los valores que se incluían en el informe del arquitecto técnico municipal siempre que se considerasen jurídicamente viables. De ahí que no pueda inferirse en modo alguno que la aceptación de las operaciones valorativas de dicha pericia hubiera de llevar implícito el rechazo de unos conceptos indemnizatorios que dependían, en realidad, de una previa delimitación jurídica.</w:t>
      </w:r>
    </w:p>
    <w:p w:rsidR="00AC56D6" w:rsidRDefault="00AC56D6" w:rsidP="00AC56D6">
      <w:pPr>
        <w:pStyle w:val="TextoNormal"/>
      </w:pPr>
    </w:p>
    <w:p w:rsidR="00AC56D6" w:rsidRDefault="00AC56D6" w:rsidP="00AC56D6">
      <w:pPr>
        <w:pStyle w:val="TextoNormal"/>
      </w:pPr>
      <w:r>
        <w:lastRenderedPageBreak/>
        <w:t>Puede observarse, en suma, que, ni el Auto de 21 de septiembre de 2011, ni la Sentencia de 20 de marzo de 2013 —que se limitó, en este punto, a aceptar los fundamentos de la resolución de instancia— contienen argumento alguno del que pueda inferirse razonablemente una respuesta tácita a las reclamaciones efectuadas por el demandante de amparo en concepto de exceso de costes de urbanización y de lucro cesante por pérdida de oportunidad. Se vulneró, así, el derecho del recurrente a la tutela judicial efectiva (art. 24. 1 CE), pues las resoluciones aludidas no fueron congruentes con las pretensiones formuladas, dejando imprejuzgadas dos de ellas.</w:t>
      </w:r>
    </w:p>
    <w:p w:rsidR="00AC56D6" w:rsidRDefault="00AC56D6" w:rsidP="00AC56D6">
      <w:pPr>
        <w:pStyle w:val="TextoNormal"/>
      </w:pPr>
    </w:p>
    <w:p w:rsidR="00AC56D6" w:rsidRDefault="00AC56D6" w:rsidP="00AC56D6">
      <w:pPr>
        <w:pStyle w:val="TextoNormal"/>
      </w:pPr>
      <w:r>
        <w:t>La apreciada incongruencia de las resoluciones impugnadas aboca necesariamente a la estimación de este motivo de amparo y a que proceda, en consecuencia, retrotraer las actuaciones al momento inmediatamente anterior al de dictarse el Auto de 21 de septiembre de 2011, para que el Juzgado de lo Contencioso-Administrativo núm. 3 de Alicante adopte, en su lugar, una resolución respetuosa con el derecho fundamental a la tutela judicial efectiva del demandante de amparo.</w:t>
      </w:r>
    </w:p>
    <w:p w:rsidR="00AC56D6" w:rsidRDefault="00AC56D6" w:rsidP="00AC56D6">
      <w:pPr>
        <w:pStyle w:val="TextoNormal"/>
      </w:pPr>
    </w:p>
    <w:p w:rsidR="00AC56D6" w:rsidRDefault="00AC56D6" w:rsidP="00AC56D6">
      <w:pPr>
        <w:pStyle w:val="TextoNormal"/>
      </w:pPr>
      <w:r w:rsidRPr="00AC56D6">
        <w:rPr>
          <w:rStyle w:val="NumeroAFNegritaCaracter"/>
        </w:rPr>
        <w:t>9</w:t>
      </w:r>
      <w:r>
        <w:t>. Resta únicamente por examinar la queja en la que hemos localizado la especial trascendencia constitucional de este recurso de amparo, relativa a la posible violación, con ocasión de la tramitación del incidente de nulidad de actuaciones, del derecho al Juez ordinario predeterminado por la ley.</w:t>
      </w:r>
    </w:p>
    <w:p w:rsidR="00AC56D6" w:rsidRDefault="00AC56D6" w:rsidP="00AC56D6">
      <w:pPr>
        <w:pStyle w:val="TextoNormal"/>
      </w:pPr>
    </w:p>
    <w:p w:rsidR="00AC56D6" w:rsidRDefault="00AC56D6" w:rsidP="00AC56D6">
      <w:pPr>
        <w:pStyle w:val="TextoNormal"/>
      </w:pPr>
      <w:r>
        <w:t>Aunque las cuestiones relativas a la constitución, jurisdicción y competencia del órgano judicial constituyen el núcleo más básico del derecho fundamental al Juez ordinario predeterminado por la ley, pues el derecho fundamental de referencia “exige, en primer término,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excepcional” (por todas, SSTC 32/2004, de 8 de marzo, FJ 4; 60/2008, de 26 de mayo, FJ 2; y 177/2014, de 3 de noviembre, FJ 2) este Tribunal ha señalado, también, de modo repetido que la eficacia de dicho derecho fundamental no se agota en este tipo de cuestiones, que podemos calificar de orgánicas en sentido estricto.</w:t>
      </w:r>
    </w:p>
    <w:p w:rsidR="00AC56D6" w:rsidRDefault="00AC56D6" w:rsidP="00AC56D6">
      <w:pPr>
        <w:pStyle w:val="TextoNormal"/>
      </w:pPr>
    </w:p>
    <w:p w:rsidR="00AC56D6" w:rsidRDefault="00AC56D6" w:rsidP="00AC56D6">
      <w:pPr>
        <w:pStyle w:val="TextoNormal"/>
      </w:pPr>
      <w:r>
        <w:t>Antes bien, como tempranamente establecimos en la STC 47/1982, de 12 de julio, FJ 3, entre “las normas que conducen a la determinación del juez … se encuentran no sólo las que establecen los límites de la jurisdicción y la competencia de los órganos jurisdiccionales. Están también las relativas a la concreta idoneidad de un determinado Juez en relación con un concreto asunto”. De ahí que en las SSTC 31/1983, de 27 de abril, FJ 3; y 101/1984, de 8 de noviembre, FJ 3, hayamos afirmado categóricamente que “una eventual irregularidad en la designación del Juez que ha de entender de un proceso puede constituir una infracción del derecho del justiciable al ‘Juez ordinario predeterminado por la Ley’ del art. 24.2 de la CE”.</w:t>
      </w:r>
    </w:p>
    <w:p w:rsidR="00AC56D6" w:rsidRDefault="00AC56D6" w:rsidP="00AC56D6">
      <w:pPr>
        <w:pStyle w:val="TextoNormal"/>
      </w:pPr>
    </w:p>
    <w:p w:rsidR="00AC56D6" w:rsidRDefault="00AC56D6" w:rsidP="00AC56D6">
      <w:pPr>
        <w:pStyle w:val="TextoNormal"/>
      </w:pPr>
      <w:r>
        <w:t xml:space="preserve">En relación con la problemática que caracteriza al presente recurso de amparo, este Tribunal ha tenido la oportunidad de precisar los elementos que pueden conducir a que una irregular determinación de los componentes de una Sala de justicia constituya una lesión del derecho al Juez ordinario. En este punto, hemos señalado que el derecho del art. 24.2 CE “exige también que la composición del órgano judicial venga determinada por Ley y </w:t>
      </w:r>
      <w:r>
        <w:lastRenderedPageBreak/>
        <w:t>que en cada caso concreto se siga el procedimiento legalmente establecido para la designación de los miembros que han de constituir el órgano correspondiente. De esta forma se trata de garantizar la independencia e imparcialidad que el derecho en cuestión comporta —y que se recoge expresamente en el art. 14.1 del Pacto internacional de derechos civiles y políticos y en el art. 6.1 del Convenio para la protección de los derechos humanos y de las libertades fundamentales—, garantía que quedaría burlada si bastase con mantener el órgano y pudiera alterarse arbitrariamente sus componentes, que son quienes, en definitiva, van a ejercitar sus facultades intelectuales y volitivas en las decisiones que hayan de adoptarse”(SSTC 47/1983, de 31 de mayo, FJ 2; 44/1985, de 22 de marzo, FJ 4; 238/1998, de 15 de diciembre, FJ 5, y 162/2000, de 12 de junio, FJ 2).</w:t>
      </w:r>
    </w:p>
    <w:p w:rsidR="00AC56D6" w:rsidRDefault="00AC56D6" w:rsidP="00AC56D6">
      <w:pPr>
        <w:pStyle w:val="TextoNormal"/>
      </w:pPr>
    </w:p>
    <w:p w:rsidR="00AC56D6" w:rsidRDefault="00AC56D6" w:rsidP="00AC56D6">
      <w:pPr>
        <w:pStyle w:val="TextoNormal"/>
      </w:pPr>
      <w:r>
        <w:t>En esta misma línea, también hemos afirmado en las citadas sentencias que “es cierto que no cabe exigir el mismo grado de fijeza y predeterminación al órgano que a sus titulares, dadas las diversas contingencias que pueden afectar a éstos en su situación personal y la exigencia, dimanante del interés público —las llamadas ‘necesidades del servicio’—, de que los distintos miembros del poder judicial colaboren dentro de la Administración de Justicia en los lugares en que su labor pueda ser más eficaz, supliendo, en la medida de lo posible, las disfuncionalidades del sistema. Pero, en todo caso, los procedimientos fijados para la designación de los titulares han de garantizar la independencia e imparcialidad de éstos, que constituye el interés directo protegido por el derecho al Juez ordinario predeterminado”.</w:t>
      </w:r>
    </w:p>
    <w:p w:rsidR="00AC56D6" w:rsidRDefault="00AC56D6" w:rsidP="00AC56D6">
      <w:pPr>
        <w:pStyle w:val="TextoNormal"/>
      </w:pPr>
    </w:p>
    <w:p w:rsidR="00AC56D6" w:rsidRDefault="00AC56D6" w:rsidP="00AC56D6">
      <w:pPr>
        <w:pStyle w:val="TextoNormal"/>
      </w:pPr>
      <w:r>
        <w:t>De acuerdo con esta doctrina, una posible irregularidad procesal en la determinación de los miembros de un tribunal sólo constituye una violación del derecho fundamental al Juez ordinario predeterminado por la ley si supone una alteración arbitraria de la composición del órgano judicial susceptible de afectar a su imagen de imparcialidad e independencia, pues, como señalamos en las SSTC 238/1998, de 15 de diciembre, FJ 5, y 162/2000, de 12 de junio, FJ 2, “es preciso no olvidar que esta garantía respecto de las personas físicas que encarnan el Tribunal llamado a juzgar la causa o litigio, no vela por la pureza de los procedimientos gubernativos seguidos en la designación. Su finalidad es más modesta, y más importante: asegurar la independencia y la imparcialidad de los jueces que forman la Sala de justicia, evitando que se mantenga el Tribunal, pero se alteren arbitrariamente sus componentes”.</w:t>
      </w:r>
    </w:p>
    <w:p w:rsidR="00AC56D6" w:rsidRDefault="00AC56D6" w:rsidP="00AC56D6">
      <w:pPr>
        <w:pStyle w:val="TextoNormal"/>
      </w:pPr>
    </w:p>
    <w:p w:rsidR="00AC56D6" w:rsidRDefault="00AC56D6" w:rsidP="00AC56D6">
      <w:pPr>
        <w:pStyle w:val="TextoNormal"/>
      </w:pPr>
      <w:r>
        <w:t>Debemos, pues, determinar, en primer lugar, si, en el caso que se nos plantea, ha existido una irregularidad procesal que haya generado una alteración arbitraria de la composición de la Sala. En este punto, de una primera lectura de los arts. 196 y 241 de la Ley Orgánica del Poder Judicial (LOPJ) podría deducirse que el incidente de nulidad de actuaciones fue resuelto por el mismo órgano judicial que dictó la Sentencia que había adquirido firmeza (la Sección Primera de la Sala de lo Contencioso-Administrativo del Tribunal Superior de Justicia de la Comunidad Valenciana), constituido a estos efectos por tres miembros. Sin embargo, un análisis más detenido del contenido del art. 241.1.2 LOPJ, no conduce a la misma conclusión por las siguientes razones:</w:t>
      </w:r>
    </w:p>
    <w:p w:rsidR="00AC56D6" w:rsidRDefault="00AC56D6" w:rsidP="00AC56D6">
      <w:pPr>
        <w:pStyle w:val="TextoNormal"/>
      </w:pPr>
    </w:p>
    <w:p w:rsidR="00AC56D6" w:rsidRDefault="00AC56D6" w:rsidP="00AC56D6">
      <w:pPr>
        <w:pStyle w:val="TextoNormal"/>
      </w:pPr>
      <w:r>
        <w:t xml:space="preserve">(i) Debe tenerse en cuenta, en primer lugar, que el incidente de nulidad es una modalidad extraordinaria de impugnación de una resolución judicial firme que atribuye al órgano judicial competente el poder excepcional de quebrar el efecto de cosa juzgada. Ese poder excepcional de revocación de la cosa juzgada impone, sin mayor dificultad, una interpretación </w:t>
      </w:r>
      <w:r>
        <w:lastRenderedPageBreak/>
        <w:t xml:space="preserve">lógica del referido precepto orgánico, según la cual, salvo necesidades de servicio debidamente justificadas, no pueden decidir el incidente y revocar el efecto de cosa juzgada de su propia resolución tan sólo algunos de los Magistrados que la dictaron. En otras palabras y ciñéndonos al caso de autos, dictada una Sentencia firme por cinco Magistrados, tres de ellos no pueden arrogarse el poder unilateral de revocarla. Es obvio, pues, que la legalidad procesal no autoriza a rebajar el </w:t>
      </w:r>
      <w:r w:rsidRPr="00AC56D6">
        <w:rPr>
          <w:i/>
        </w:rPr>
        <w:t>quorum</w:t>
      </w:r>
      <w:r>
        <w:t xml:space="preserve"> de Magistrados que dictó la Sentencia firme objeto del incidente, de modo que sólo algunos de ellos decidan sobre la compatibilidad de su decisión con el ordenamiento constitucional.</w:t>
      </w:r>
    </w:p>
    <w:p w:rsidR="00AC56D6" w:rsidRDefault="00AC56D6" w:rsidP="00AC56D6">
      <w:pPr>
        <w:pStyle w:val="TextoNormal"/>
      </w:pPr>
    </w:p>
    <w:p w:rsidR="00AC56D6" w:rsidRDefault="00AC56D6" w:rsidP="00AC56D6">
      <w:pPr>
        <w:pStyle w:val="TextoNormal"/>
      </w:pPr>
      <w:r>
        <w:t>(ii) En segundo término, llegado el trámite del incidente de nulidad, la Sala adquirió, sin causa justificativa, una composición novedosa, pasando a estar integrada únicamente por los tres Magistrados que habían mantenido el criterio mayoritario en la Sentencia, configuración subjetiva que ni se correspondía con la Sala de cinco miembros que había deliberado la Sentencia, ni tampoco con la Sala de tres miembros que había realizado las actuaciones precedentes a la misma. Hubo, pues, una alteración de la composición del órgano judicial arbitraria en cuanto carente de toda justificación objetiva y razonable.</w:t>
      </w:r>
    </w:p>
    <w:p w:rsidR="00AC56D6" w:rsidRDefault="00AC56D6" w:rsidP="00AC56D6">
      <w:pPr>
        <w:pStyle w:val="TextoNormal"/>
      </w:pPr>
    </w:p>
    <w:p w:rsidR="00AC56D6" w:rsidRDefault="00AC56D6" w:rsidP="00AC56D6">
      <w:pPr>
        <w:pStyle w:val="TextoNormal"/>
      </w:pPr>
      <w:r>
        <w:t>En tales circunstancias, sentado que la configuración del tribunal fue alterada en su número y composición sin una justificación razonable, dicha irregularidad tuvo, en el presente caso, como bien señala el Ministerio Fiscal, una clara incidencia negativa en la imagen de imparcialidad y ecuanimidad que debía proyectar el órgano judicial, pues se excluyó de su resolución, sin ninguna argumentación de contrario, justamente a los dos Magistrados que habían emitido un voto particular parcialmente estimatorio de las pretensiones del demandante de amparo.</w:t>
      </w:r>
    </w:p>
    <w:p w:rsidR="00AC56D6" w:rsidRDefault="00AC56D6" w:rsidP="00AC56D6">
      <w:pPr>
        <w:pStyle w:val="TextoNormal"/>
      </w:pPr>
    </w:p>
    <w:p w:rsidR="00AC56D6" w:rsidRDefault="00AC56D6" w:rsidP="00AC56D6">
      <w:pPr>
        <w:pStyle w:val="TextoNormal"/>
      </w:pPr>
      <w:r>
        <w:t>Esta última circunstancia es decisiva, ya que convierte la mera irregularidad procesal en verdadera lesión del derecho fundamental al Juez ordinario, pues pone de relieve que el debate procesal previo y la propia resolución del incidente de nulidad, se vieron mediatizados, como se deduce de la afirmación que el propio Auto resolutorio del incidente de nulidad hace, a modo de corolario, al final del fundamento jurídico 2, cuando afirma que “en definitiva, la solicitud de nulidad se sustenta en el Voto particular formulado”, desestimando la Sala a continuación dicha solicitud.</w:t>
      </w:r>
    </w:p>
    <w:p w:rsidR="00AC56D6" w:rsidRDefault="00AC56D6" w:rsidP="00AC56D6">
      <w:pPr>
        <w:pStyle w:val="TextoNormal"/>
      </w:pPr>
    </w:p>
    <w:p w:rsidR="00AC56D6" w:rsidRDefault="00AC56D6" w:rsidP="00AC56D6">
      <w:pPr>
        <w:pStyle w:val="TextoNormal"/>
      </w:pPr>
      <w:r>
        <w:t>Las circunstancias expuestas son suficientes para diferenciar el supuesto que ahora se nos presenta del que fue resuelto en la STC 162/2000, de 12 de junio, en la que también se planteó la incidencia que podía tener en el derecho al Juez ordinario predeterminado por la ley la ausencia en la resolución de un recurso de súplica de una Magistrada que previamente había formulado Voto particular frente a la decisión impugnada. Hay que advertir que, en dicho supuesto previo, la exclusión de la magistrada discrepante no supuso que los otros miembros de la Sección actuante se atribuyeran la facultad exclusiva de revisar su decisión previa, ya que en el caso afrontado en la citada STC 162/2000 fue el Pleno de la Sala Penal de la Audiencia Nacional el que avocó para sí la resolución de la impugnación formulada frente a la decisión de la Sección Primera. El caso que ahora se plantea al Tribunal es distinto y novedoso, pues, más allá de las irregularidades procesales antes descritas, resulta determinante en el mismo el sesgo indebido que, con la exclusión arbitraria de los dos Magistrados discrepantes, se dio al debate sobre la vulneración de los derechos fundamentales que constituía el objeto específico del incidente de nulidad de actuaciones.</w:t>
      </w:r>
    </w:p>
    <w:p w:rsidR="00AC56D6" w:rsidRDefault="00AC56D6" w:rsidP="00AC56D6">
      <w:pPr>
        <w:pStyle w:val="TextoNormal"/>
      </w:pPr>
    </w:p>
    <w:p w:rsidR="00AC56D6" w:rsidRDefault="00AC56D6" w:rsidP="00AC56D6">
      <w:pPr>
        <w:pStyle w:val="TextoNormal"/>
      </w:pPr>
      <w:r>
        <w:lastRenderedPageBreak/>
        <w:t>Debemos, por todo ello, considerar vulnerado el derecho del actor al Juez ordinario predeterminado por la ley y, en consecuencia, proceder a la estimación de este motivo de amparo.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Otorgar el amparo solicitado a don Joaquín Moreno Grau y, en su virtud:</w:t>
      </w:r>
    </w:p>
    <w:p w:rsidR="00AC56D6" w:rsidRDefault="00AC56D6" w:rsidP="00AC56D6">
      <w:pPr>
        <w:pStyle w:val="TextoNormal"/>
      </w:pPr>
    </w:p>
    <w:p w:rsidR="00AC56D6" w:rsidRDefault="00AC56D6" w:rsidP="00AC56D6">
      <w:pPr>
        <w:pStyle w:val="TextoNormal"/>
      </w:pPr>
      <w:r>
        <w:t>1º Declarar que han sido vulnerados sus derechos fundamentales a la tutela judicial efectiva (art. 24.1 CE) y al Juez ordinario predeterminado por la ley (art. 24.2 CE).</w:t>
      </w:r>
    </w:p>
    <w:p w:rsidR="00AC56D6" w:rsidRDefault="00AC56D6" w:rsidP="00AC56D6">
      <w:pPr>
        <w:pStyle w:val="TextoNormal"/>
      </w:pPr>
    </w:p>
    <w:p w:rsidR="00AC56D6" w:rsidRDefault="00AC56D6" w:rsidP="00AC56D6">
      <w:pPr>
        <w:pStyle w:val="TextoNormal"/>
      </w:pPr>
      <w:r>
        <w:t>2º Restablecerle en su derecho y, a tal fin, declarar la nulidad del Auto de 22 de noviembre 2013 y de la Sentencia de 20 de marzo de 2013, dictados por la Sala de lo Contencioso-Administrativo (Sección Primera) del Tribunal Superior de Justicia de la Comunidad Valenciana en el rollo de apelación núm. 2154-2011, así como del precedente Auto de 21 de septiembre de 2011, dictado por el Juzgado de lo Contencioso-Administrativo núm. 3 de Alicante en el procedimiento ordinario núm. 565-2006.</w:t>
      </w:r>
    </w:p>
    <w:p w:rsidR="00AC56D6" w:rsidRDefault="00AC56D6" w:rsidP="00AC56D6">
      <w:pPr>
        <w:pStyle w:val="TextoNormal"/>
      </w:pPr>
    </w:p>
    <w:p w:rsidR="00AC56D6" w:rsidRDefault="00AC56D6" w:rsidP="00AC56D6">
      <w:pPr>
        <w:pStyle w:val="TextoNormal"/>
      </w:pPr>
      <w:r>
        <w:t>3º Retrotraer las actuaciones al momento inmediatamente anterior al de dictarse el Auto de 21 de septiembre de 2011, para que el Juzgado de lo Contencioso-Administrativo núm. 3 de Alicante dicte una nueva resolución respetuosa con el derecho fundamental a la tutela judicial efectiva.</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seis de julio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9" w:name="SENTENCIA_2015_153"/>
      <w:r>
        <w:lastRenderedPageBreak/>
        <w:t>SENTENCIA 153/2015, de 6 de julio de 2015</w:t>
      </w:r>
    </w:p>
    <w:bookmarkEnd w:id="9"/>
    <w:p w:rsidR="00AC56D6" w:rsidRDefault="00AC56D6" w:rsidP="00AC56D6">
      <w:pPr>
        <w:pStyle w:val="TtuloResolucin"/>
      </w:pPr>
      <w:r>
        <w:t>Sala Primera</w:t>
      </w:r>
    </w:p>
    <w:p w:rsidR="00AC56D6" w:rsidRDefault="00AC56D6" w:rsidP="00AC56D6">
      <w:pPr>
        <w:pStyle w:val="TtuloBOE"/>
      </w:pPr>
      <w:r>
        <w:t>(BOE núm. 194, de 14 de agosto de 2015)</w:t>
      </w:r>
    </w:p>
    <w:p w:rsidR="00AC56D6" w:rsidRDefault="00AC56D6" w:rsidP="00AC56D6">
      <w:pPr>
        <w:pStyle w:val="TextoNormalCentrado"/>
      </w:pPr>
      <w:r>
        <w:t>ECLI:ES:TC:2015:153</w:t>
      </w:r>
    </w:p>
    <w:p w:rsidR="00AC56D6" w:rsidRDefault="00AC56D6" w:rsidP="00AC56D6">
      <w:pPr>
        <w:pStyle w:val="TextoNormalCentrado"/>
      </w:pPr>
    </w:p>
    <w:p w:rsidR="00AC56D6" w:rsidRDefault="00AC56D6" w:rsidP="00AC56D6">
      <w:pPr>
        <w:pStyle w:val="SntesisDescriptiva"/>
      </w:pPr>
      <w:r>
        <w:t>Cuestión de inconstitucionalidad 3164-2014. Planteada por el Juzgado Central de lo Contencioso-Administrativo número 7 de Madrid respecto de los artículos 2 y 3.3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extinción, por pérdida de objeto, de la cuestión de inconstitucionalidad (STC 83/2015).</w:t>
      </w:r>
    </w:p>
    <w:p w:rsidR="00AC56D6" w:rsidRDefault="00AC56D6" w:rsidP="00AC56D6">
      <w:pPr>
        <w:pStyle w:val="SntesisAnaltica"/>
      </w:pPr>
    </w:p>
    <w:p w:rsidR="00AC56D6" w:rsidRDefault="00AC56D6" w:rsidP="00AC56D6">
      <w:pPr>
        <w:pStyle w:val="Extracto"/>
      </w:pPr>
      <w:r>
        <w:t>1.</w:t>
      </w:r>
      <w:r>
        <w:tab/>
        <w:t>La satisfacción extraprocesal de la pretensión deducida en el proceso laboral sobre la que se articula la cuestión de inconstitucionalidad le hace perder su objeto al ser dicha satisfacción uno de los posibles supuestos de extinción de la cuestión de inconstitucionalidad (STC 83/2015) [FJ 3].</w:t>
      </w:r>
    </w:p>
    <w:p w:rsidR="00AC56D6" w:rsidRDefault="00AC56D6" w:rsidP="00AC56D6">
      <w:pPr>
        <w:pStyle w:val="Extracto"/>
      </w:pPr>
    </w:p>
    <w:p w:rsidR="00AC56D6" w:rsidRDefault="00AC56D6" w:rsidP="00AC56D6">
      <w:pPr>
        <w:pStyle w:val="Extracto"/>
      </w:pPr>
      <w:r>
        <w:t>2.</w:t>
      </w:r>
      <w:r>
        <w:tab/>
        <w:t>Doctrina sobre las posibles causas de terminación extraordinaria de las cuestiones de inconstitucionalidad por pérdida sobrevenida de objeto (STC 83/2015) [FJ 3].</w:t>
      </w:r>
    </w:p>
    <w:p w:rsidR="00AC56D6" w:rsidRDefault="00AC56D6" w:rsidP="00AC56D6">
      <w:pPr>
        <w:pStyle w:val="Extracto"/>
      </w:pPr>
    </w:p>
    <w:p w:rsidR="00AC56D6" w:rsidRDefault="00AC56D6" w:rsidP="00AC56D6">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3164-2014, promovida por el Juzgado Central de lo Contencioso-Administrativo núm. 7 de Madrid contra los arts. 2 y 3.3 del Real Decreto-ley 20/2012, de 13 de julio, de medidas para garantizar la estabilidad presupuestaria y de fomento de la competitividad, por posible vulneración del art. 9.3 CE. Han formulado alegaciones el Fiscal General del Estado y el Abogado del Estado. Ha sido Ponente la Magistrada doña Encarna Roca Trías, quien expresa el parecer del Tribunal.</w:t>
      </w:r>
    </w:p>
    <w:p w:rsidR="00AC56D6" w:rsidRDefault="00AC56D6" w:rsidP="00AC56D6">
      <w:pPr>
        <w:pStyle w:val="TextoNormal"/>
      </w:pPr>
    </w:p>
    <w:p w:rsidR="00AC56D6" w:rsidRDefault="00AC56D6" w:rsidP="00AC56D6">
      <w:pPr>
        <w:pStyle w:val="TextoNormalNegritaCentrado"/>
        <w:keepNext/>
      </w:pPr>
      <w:r>
        <w:lastRenderedPageBreak/>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21 de junio de 2014 tuvo entrada en el Registro General de este Tribunal un oficio del Juzgado Central de lo Contencioso-Administrativo núm. 7 de Madrid al que se acompaña, junto con el testimonio del procedimiento núm. 668-2013, el Auto de 21 de abril de 2014, por el que se acuerda plantear cuestión de inconstitucionalidad en relación con los arts. 2 y 3.3 del Real Decreto-ley 20/2012, de 13 de julio, de medidas para garantizar la estabilidad presupuestaria y de fomento de la competitividad, en su aplicación a los funcionarios públicos, por posible lesión del art. 9.3 CE, sobre el principio de irretroactividad de disposiciones restrictivas de derechos individuales.</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procesales de la cuestión de inconstitucionalidad planteada son, sucintamente expuestos, los siguientes:</w:t>
      </w:r>
    </w:p>
    <w:p w:rsidR="00AC56D6" w:rsidRDefault="00AC56D6" w:rsidP="00AC56D6">
      <w:pPr>
        <w:pStyle w:val="TextoNormal"/>
      </w:pPr>
    </w:p>
    <w:p w:rsidR="00AC56D6" w:rsidRDefault="00AC56D6" w:rsidP="00AC56D6">
      <w:pPr>
        <w:pStyle w:val="TextoNormal"/>
      </w:pPr>
      <w:r>
        <w:t>a) Un Magistrado de la Sala de lo Social del Tribunal Superior de Justicia del País Vasco interpuso recurso contencioso-administrativo contra la desestimación del recurso de reposición promovido contra la minoración de su nómina del mes de diciembre.</w:t>
      </w:r>
    </w:p>
    <w:p w:rsidR="00AC56D6" w:rsidRDefault="00AC56D6" w:rsidP="00AC56D6">
      <w:pPr>
        <w:pStyle w:val="TextoNormal"/>
      </w:pPr>
    </w:p>
    <w:p w:rsidR="00AC56D6" w:rsidRDefault="00AC56D6" w:rsidP="00AC56D6">
      <w:pPr>
        <w:pStyle w:val="TextoNormal"/>
      </w:pPr>
      <w:r>
        <w:t>b) Concluso el pleito, se dictó providencia de 5 de marzo de 2014, por la que, con suspensión del plazo para dictar Sentencia se otorgó a las partes plazo común para alegar sobre la pertinencia de plantear la cuestión de inconstitucionalidad. La providencia se refería al art. 2 del Real Decreto-ley antes citado, concretándose la duda de constitucionalidad en que la reducción de retribuciones para el sector público como consecuencia de la supresión de la paga extraordinaria podría vulnerar el 9.3 CE, que garantiza la irretroactividad de las disposiciones restrictivas de derechos en cuanto suprime el derecho a percibir cuantías ya devengadas.</w:t>
      </w:r>
    </w:p>
    <w:p w:rsidR="00AC56D6" w:rsidRDefault="00AC56D6" w:rsidP="00AC56D6">
      <w:pPr>
        <w:pStyle w:val="TextoNormal"/>
      </w:pPr>
    </w:p>
    <w:p w:rsidR="00AC56D6" w:rsidRDefault="00AC56D6" w:rsidP="00AC56D6">
      <w:pPr>
        <w:pStyle w:val="TextoNormal"/>
      </w:pPr>
      <w:r>
        <w:t>c) Evacuado traslado, el recurrente solicitó el planteamiento de la cuestión, mientras que ni el Fiscal ni el Abogado del Estado se opusieron a ello, aunque este último sostuvo la plena adecuación del precepto citado al art. 9.3 CE.</w:t>
      </w:r>
    </w:p>
    <w:p w:rsidR="00AC56D6" w:rsidRDefault="00AC56D6" w:rsidP="00AC56D6">
      <w:pPr>
        <w:pStyle w:val="TextoNormal"/>
      </w:pPr>
    </w:p>
    <w:p w:rsidR="00AC56D6" w:rsidRDefault="00AC56D6" w:rsidP="00AC56D6">
      <w:pPr>
        <w:pStyle w:val="TextoNormal"/>
      </w:pPr>
      <w:r w:rsidRPr="00AC56D6">
        <w:rPr>
          <w:rStyle w:val="NumeroAFNegritaCaracter"/>
        </w:rPr>
        <w:t>3</w:t>
      </w:r>
      <w:r>
        <w:t>. Por Auto de 21 de abril de 2014, el Juzgado Central de lo Contencioso-Administrativo núm. 7 de Madrid acordó plantear la presente cuestión de inconstitucionalidad y del análisis de su contenido interesa destacar los siguientes puntos:</w:t>
      </w:r>
    </w:p>
    <w:p w:rsidR="00AC56D6" w:rsidRDefault="00AC56D6" w:rsidP="00AC56D6">
      <w:pPr>
        <w:pStyle w:val="TextoNormal"/>
      </w:pPr>
    </w:p>
    <w:p w:rsidR="00AC56D6" w:rsidRDefault="00AC56D6" w:rsidP="00AC56D6">
      <w:pPr>
        <w:pStyle w:val="TextoNormal"/>
      </w:pPr>
      <w:r>
        <w:t>a) Tras reproducir el tenor literal del art. 2 del Real Decreto-ley 20/2012, señala que para este concreto supuesto es aplicable también el art. 3.1 de la misma norma legal en relación con los miembros de las carreras judicial y fiscal, que aunque fue modificado por la Ley 10/2012 de 20 de noviembre, se mantiene sin variación en lo sustancial y no deja resquicio de duda alguna sobre su sentido, resultando que suprime la percepción de la paga extraordinaria del mes de diciembre del 2012 para el personal funcionario y los miembros de las carreras judicial y fiscal en su total cuantía, sin respeto a posibles derechos ya devengados en el momento de su entrada en vigor, el día 15 de julio de 2012. Atendiendo a la jurisprudencia, señala que las pagas extraordinarias constituyen un salario diferido, lo que podría confrontar con el art. 9.3 CE.</w:t>
      </w:r>
    </w:p>
    <w:p w:rsidR="00AC56D6" w:rsidRDefault="00AC56D6" w:rsidP="00AC56D6">
      <w:pPr>
        <w:pStyle w:val="TextoNormal"/>
      </w:pPr>
    </w:p>
    <w:p w:rsidR="00AC56D6" w:rsidRDefault="00AC56D6" w:rsidP="00AC56D6">
      <w:pPr>
        <w:pStyle w:val="TextoNormal"/>
      </w:pPr>
      <w:r>
        <w:lastRenderedPageBreak/>
        <w:t>b) Expone a continuación, siguiendo el Auto de lo Social de la Audiencia Nacional de 1 de marzo de 2013, la doctrina del Tribunal Constitucional sobre el art. 9.3 CE, impregnada de un espíritu restrictivo. En este marco considera que estamos ante un derecho individual y que los derechos retributivos pertenecen a la esfera general de protección del art. 35 CE, que no sólo reconoce el derecho a la remuneración suficiente, sino también el derecho al trabajo, siendo una de sus notas esenciales su carácter remunerado.</w:t>
      </w:r>
    </w:p>
    <w:p w:rsidR="00AC56D6" w:rsidRDefault="00AC56D6" w:rsidP="00AC56D6">
      <w:pPr>
        <w:pStyle w:val="TextoNormal"/>
      </w:pPr>
    </w:p>
    <w:p w:rsidR="00AC56D6" w:rsidRDefault="00AC56D6" w:rsidP="00AC56D6">
      <w:pPr>
        <w:pStyle w:val="TextoNormal"/>
      </w:pPr>
      <w:r>
        <w:t>Pero, además, añade, la Constitución establece que la ley regulará el estatuto de los funcionarios públicos que ha sido desarrollado por el Ley del estatuto básico del empleado público, cuyo art. 14 contempla las retribuciones e indemnizaciones por razón del servicio como un derecho individual, derecho que debe reflejarse para ejercicio presupuestario en la correspondiente ley de presupuestos. De ello cabe concluir que las retribuciones de los funcionarios deben conceptuarse también como derecho que pertenece a la esfera general de protección de la persona más allá de la estricta cuantía mínima interprofesional, tal y como se pone de manifiesto en la doctrina constitucional que ha venido admitiendo su encaje en el supuesto de hecho del art. 9.3 CE. Es decir, que si la reducción afectara a derechos ya devengados podría desplegar efectos sobre ella la interdicción de retroactividad.</w:t>
      </w:r>
    </w:p>
    <w:p w:rsidR="00AC56D6" w:rsidRDefault="00AC56D6" w:rsidP="00AC56D6">
      <w:pPr>
        <w:pStyle w:val="TextoNormal"/>
      </w:pPr>
    </w:p>
    <w:p w:rsidR="00AC56D6" w:rsidRDefault="00AC56D6" w:rsidP="00AC56D6">
      <w:pPr>
        <w:pStyle w:val="TextoNormal"/>
      </w:pPr>
      <w:r>
        <w:t>c) Procede seguidamente analizar si el art. 2 opera la retroactividad prohibida por el art. 9.3 CE, para lo que trata de determinar, en primer término, si el derecho a la paga de diciembre estaba consolidado cuando entró en vigor la norma cuestionada o, por el contrario, se trata de una simple expectativa. Señala que para el caso de los funcionarios de carrera existe una previsión en el art. 33 de la Ley 33/1987, de presupuestos generales del Estado, de cuyo tenor literal no cabe concluir que la naturaleza de las pagas extraordinarias de los funcionarios sea distinta a la del resto de los trabajadores, siendo el criterio del Tribunal Supremo sobre el devengo diario de estas pagas un complemento del ordenamiento jurídico, de manera que estamos ante un derecho que se genera día a día. En el caso examinado, al devengarse la paga en los seis meses inmediatos anteriores al mes de diciembre, ya se había devengado y generado el derecho a la parte proporcional a un mes y catorce días de trabajo, por lo que el precepto cuestionado opera una retroactividad directa o de grado máximo.</w:t>
      </w:r>
    </w:p>
    <w:p w:rsidR="00AC56D6" w:rsidRDefault="00AC56D6" w:rsidP="00AC56D6">
      <w:pPr>
        <w:pStyle w:val="TextoNormal"/>
      </w:pPr>
    </w:p>
    <w:p w:rsidR="00AC56D6" w:rsidRDefault="00AC56D6" w:rsidP="00AC56D6">
      <w:pPr>
        <w:pStyle w:val="TextoNormal"/>
      </w:pPr>
      <w:r>
        <w:t xml:space="preserve">d) Identificada la retroactividad viene a analizar el Auto si, aun siendo de grado máximo, tiene justificación habilitante, esto es, si responde a necesidades cualificadas del bien común que podrían imponerse a este principio (STS 19 de noviembre de 1992). Recurre para ello al Auto de la Sala de lo Social de la Audiencia Nacional que, tras admitir la situación excepcional que justificaría medidas restrictivas de derechos, considera que no abre la puerta sin más a medidas retroactivas, que en todo caso, por ser una excepción al art. 9.3 CE, debe ser interpretada de forma restrictiva. No cualquier medida que favorezca al interés común permite esta excepción sino solo aquella que responda a exigencias cualificadas, y para ello debe analizarse con especial rigor la medida desde el punto de vista de la seguridad jurídica. La reducción del déficit púbico puede justificar muchas cosas pero no reúne la nota de cualificación que sería necesaria para justificar el sacrificio de la seguridad jurídica. En este sentido afirma que el Tribunal Constitucional ha negado que la necesidad de evitar el enriquecimiento injusto justifique el sacrificio de este principio. El Parlamento europeo, en su resolución de 5 de julio de 2011, sobre el futuro de los servicios sociales de interés general, alude a los servicios prestados como contribución a los derechos fundamentales. El Tribunal Europeo de Derechos Humanos apunta a un interés cualificado cuando niega que el riesgo financiero denunciado por el Gobierno pueda permitir que el legislador sustituya a las partes </w:t>
      </w:r>
      <w:r>
        <w:lastRenderedPageBreak/>
        <w:t>del convenio colectivo y a los jueces, o cuando ante una medida retroactiva, entiende que en cualquier medida de privación del propiedad debe existir una proporción razonable entre los medios empleados y el fin perseguido, con cita de la STEDH de 6 de octubre de 2005.</w:t>
      </w:r>
    </w:p>
    <w:p w:rsidR="00AC56D6" w:rsidRDefault="00AC56D6" w:rsidP="00AC56D6">
      <w:pPr>
        <w:pStyle w:val="TextoNormal"/>
      </w:pPr>
    </w:p>
    <w:p w:rsidR="00AC56D6" w:rsidRDefault="00AC56D6" w:rsidP="00AC56D6">
      <w:pPr>
        <w:pStyle w:val="TextoNormal"/>
      </w:pPr>
      <w:r>
        <w:t>Concluye por ello que el art. 2 del citado Real Decreto ha podido vulnerar el art. 9.3 CE por lo que resulta obligado el planteamiento de la cuestión.</w:t>
      </w:r>
    </w:p>
    <w:p w:rsidR="00AC56D6" w:rsidRDefault="00AC56D6" w:rsidP="00AC56D6">
      <w:pPr>
        <w:pStyle w:val="TextoNormal"/>
      </w:pPr>
    </w:p>
    <w:p w:rsidR="00AC56D6" w:rsidRDefault="00AC56D6" w:rsidP="00AC56D6">
      <w:pPr>
        <w:pStyle w:val="TextoNormal"/>
      </w:pPr>
      <w:r w:rsidRPr="00AC56D6">
        <w:rPr>
          <w:rStyle w:val="NumeroAFNegritaCaracter"/>
        </w:rPr>
        <w:t>4</w:t>
      </w:r>
      <w:r>
        <w:t>. El Pleno de este Tribunal, a propuesta de la Sección Primera, acordó admitir a trámite la cuestión, mediante providencia de 3 de febrero de 2015; deferir a la Sala Primera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Central de lo Contencioso-Administrativo núm. 7 de Madrid,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Por escrito registrado el 11 de febrero de 2015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AC56D6" w:rsidRDefault="00AC56D6" w:rsidP="00AC56D6">
      <w:pPr>
        <w:pStyle w:val="TextoNormal"/>
      </w:pPr>
    </w:p>
    <w:p w:rsidR="00AC56D6" w:rsidRDefault="00AC56D6" w:rsidP="00AC56D6">
      <w:pPr>
        <w:pStyle w:val="TextoNormal"/>
      </w:pPr>
      <w:r>
        <w:t>Mediante escrito registrado el 17 de febrero de 2015, el Presidente del Senado comunicó a este Tribunal el acuerdo de la Mesa para que se diera por personada a la Cámara y por ofrecida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6</w:t>
      </w:r>
      <w:r>
        <w:t>. El Abogado del Estado, mediante escrito de alegaciones registrado el 17 de febrero de 2015, se personó interesando la desestimación de la cuestión de inconstitucionalidad por las razones que, resumidamente, se exponen a continuación.</w:t>
      </w:r>
    </w:p>
    <w:p w:rsidR="00AC56D6" w:rsidRDefault="00AC56D6" w:rsidP="00AC56D6">
      <w:pPr>
        <w:pStyle w:val="TextoNormal"/>
      </w:pPr>
    </w:p>
    <w:p w:rsidR="00AC56D6" w:rsidRDefault="00AC56D6" w:rsidP="00AC56D6">
      <w:pPr>
        <w:pStyle w:val="TextoNormal"/>
      </w:pPr>
      <w:r>
        <w:t>Comienza señalando que aunque el Auto de planteamiento cuestiona la totalidad del extenso art. 2 del Real Decreto-ley 20/2012, sin embargo se refiere en realidad solo al apartado 2.2 del art. 2, es decir, a la aplicación de la supresión de la paga extraordinaria de diciembre al personal de las Administraciones públicas.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00AC56D6" w:rsidRDefault="00AC56D6" w:rsidP="00AC56D6">
      <w:pPr>
        <w:pStyle w:val="TextoNormal"/>
      </w:pPr>
    </w:p>
    <w:p w:rsidR="00AC56D6" w:rsidRDefault="00AC56D6" w:rsidP="00AC56D6">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AC56D6" w:rsidRDefault="00AC56D6" w:rsidP="00AC56D6">
      <w:pPr>
        <w:pStyle w:val="TextoNormal"/>
      </w:pPr>
    </w:p>
    <w:p w:rsidR="00AC56D6" w:rsidRDefault="00AC56D6" w:rsidP="00AC56D6">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00AC56D6" w:rsidRDefault="00AC56D6" w:rsidP="00AC56D6">
      <w:pPr>
        <w:pStyle w:val="TextoNormal"/>
      </w:pPr>
    </w:p>
    <w:p w:rsidR="00AC56D6" w:rsidRDefault="00AC56D6" w:rsidP="00AC56D6">
      <w:pPr>
        <w:pStyle w:val="TextoNormal"/>
      </w:pPr>
      <w: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del texto refundido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w:t>
      </w:r>
      <w:r>
        <w:lastRenderedPageBreak/>
        <w:t>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00AC56D6" w:rsidRDefault="00AC56D6" w:rsidP="00AC56D6">
      <w:pPr>
        <w:pStyle w:val="TextoNormal"/>
      </w:pPr>
    </w:p>
    <w:p w:rsidR="00AC56D6" w:rsidRDefault="00AC56D6" w:rsidP="00AC56D6">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AC56D6" w:rsidRDefault="00AC56D6" w:rsidP="00AC56D6">
      <w:pPr>
        <w:pStyle w:val="TextoNormal"/>
      </w:pPr>
    </w:p>
    <w:p w:rsidR="00AC56D6" w:rsidRDefault="00AC56D6" w:rsidP="00AC56D6">
      <w:pPr>
        <w:pStyle w:val="TextoNormal"/>
      </w:pPr>
      <w:r>
        <w:t>Por todo ello, se interesa la desestimación de la cuestión.</w:t>
      </w:r>
    </w:p>
    <w:p w:rsidR="00AC56D6" w:rsidRDefault="00AC56D6" w:rsidP="00AC56D6">
      <w:pPr>
        <w:pStyle w:val="TextoNormal"/>
      </w:pPr>
    </w:p>
    <w:p w:rsidR="00AC56D6" w:rsidRDefault="00AC56D6" w:rsidP="00AC56D6">
      <w:pPr>
        <w:pStyle w:val="TextoNormal"/>
      </w:pPr>
      <w:r w:rsidRPr="00AC56D6">
        <w:rPr>
          <w:rStyle w:val="NumeroAFNegritaCaracter"/>
        </w:rPr>
        <w:t>7</w:t>
      </w:r>
      <w:r>
        <w:t>. El Fiscal General del Estado presentó escrito de alegaciones ante este Tribunal el 3 de marzo de 2015, interesando la estimación de la presente cuestión de inconstitucionalidad.</w:t>
      </w:r>
    </w:p>
    <w:p w:rsidR="00AC56D6" w:rsidRDefault="00AC56D6" w:rsidP="00AC56D6">
      <w:pPr>
        <w:pStyle w:val="TextoNormal"/>
      </w:pPr>
    </w:p>
    <w:p w:rsidR="00AC56D6" w:rsidRDefault="00AC56D6" w:rsidP="00AC56D6">
      <w:pPr>
        <w:pStyle w:val="TextoNormal"/>
      </w:pPr>
      <w: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w:t>
      </w:r>
      <w:r>
        <w:lastRenderedPageBreak/>
        <w:t>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AC56D6" w:rsidRDefault="00AC56D6" w:rsidP="00AC56D6">
      <w:pPr>
        <w:pStyle w:val="TextoNormal"/>
      </w:pPr>
    </w:p>
    <w:p w:rsidR="00AC56D6" w:rsidRDefault="00AC56D6" w:rsidP="00AC56D6">
      <w:pPr>
        <w:pStyle w:val="TextoNormal"/>
      </w:pPr>
      <w:r>
        <w:t xml:space="preserve">Llegados a este punto, pasa a analizar si la norma cuestionada contiene un grado de retroactividad permitido por el art. 9.3 CE, a la luz de la doctrina constitucional que se sintetiza. Y llega a la conclusión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w:t>
      </w:r>
      <w:r w:rsidRPr="00AC56D6">
        <w:rPr>
          <w:i/>
        </w:rPr>
        <w:t>N.K.M. v.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lastRenderedPageBreak/>
        <w:t>El Fiscal General del Estado concluye sus alegaciones precisando que en el Auto de planteamiento no se cuestiona todo el art. 2 del Real Decreto-ley 20/2012, sino en concreto, sus apartados 2.1 y 2.2.1, ya que éstos son los que resultan aplicables para resolver el pleito sometido a su conocimiento, en cuánto el recurso del proceso subyacente se refiere exclusivamente al personal funcionario o estatutario. Asimismo, en cuanto a los efectos de la hipotética declaración de inconstitucionalidad, se indica que tratándose de un supuesto de retroactividad máxima en relación con derechos ya integrados en el patrimonio de sus titulares, en caso de una declaración de inconstitucionalidad el efecto habría de limitarse al período ya mencionado, comprendido entre las fechas del 1 de junio y el 15 de julio de 2012, en tanto, con respecto a los funcionarios, la paga extraordinaria correspondiente al mes de diciembre se comienza a devengar en la fecha de 1 de junio de tal período.</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2 de julio de 2015, se señaló para deliberación y votación de la presente Sentencia el día 6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Juzgado Central de lo Contencioso-Administrativo núm. 7 de Madrid plantea cuestión de inconstitucionalidad respecto de los arts. 2 y 3.3 del Real Decreto-ley 20/2012, de 13 de julio, de medidas para garantizar la estabilidad presupuestaria y de fomento de la competitividad. El art. 2, en lo que aquí importa, dispone para el personal funcionario, la supresión de la paga extraordinaria y de la paga adicional de complemento específico o pagas adicionales equivalentes del mes de diciembre de 2012 y el art. 3.3 en concreto prevé que los miembros de las Carreras Judicial y Fiscal, de los del Cuerpo de Secretarios Judiciales y del personal al servicio de la Administración de Justicia no percibirá, en el mes de diciembre de 2012, ninguna cuantía en concepto de paga extraordinaria . En síntesis, el Juzgado entiende que los citados preceptos, en su aplicación al personal funcionario, pueden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1de junio al 14 de julio de 2012).</w:t>
      </w:r>
    </w:p>
    <w:p w:rsidR="00AC56D6" w:rsidRDefault="00AC56D6" w:rsidP="00AC56D6">
      <w:pPr>
        <w:pStyle w:val="TextoNormal"/>
      </w:pPr>
    </w:p>
    <w:p w:rsidR="00AC56D6" w:rsidRDefault="00AC56D6" w:rsidP="00AC56D6">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al análisis de la cuestión planteada, conviene realizar una serie de precisiones para acotar debidamente el objeto de la misma y el alcance de nuestro enjuiciamiento.</w:t>
      </w:r>
    </w:p>
    <w:p w:rsidR="00AC56D6" w:rsidRDefault="00AC56D6" w:rsidP="00AC56D6">
      <w:pPr>
        <w:pStyle w:val="TextoNormal"/>
      </w:pPr>
    </w:p>
    <w:p w:rsidR="00AC56D6" w:rsidRDefault="00AC56D6" w:rsidP="00AC56D6">
      <w:pPr>
        <w:pStyle w:val="TextoNormal"/>
      </w:pPr>
      <w:r>
        <w:t xml:space="preserve">a) En primer lugar, resulta obligado advertir, en consonancia con lo manifestado en sus alegaciones respectivas por el Fiscal General del Estado y el Abogado del Estado, que si bien el Juzgado Central de lo Contencioso-Administrativo núm. 7 de Madrid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 </w:t>
      </w:r>
      <w:r>
        <w:lastRenderedPageBreak/>
        <w:t>los funcionarios públicos” (como se precisa expresamente en la parte dispositiva del Auto). Ello se conecta lógicamente con el juicio de relevancia, correctamente expresado por el órgano judicial, pues la cuestión de inconstitucionalidad trae causa de un proceso promovido por un magistrado de la Sala de lo Social del Tribunal Superior de Justicia del País Vasco en situación de activo, con motivo de la supresión, por aplicación de las previsiones contenidas en el Real Decreto-ley 20/2012, de la paga o gratificación extraordinaria de diciembre de 2012 a los miembros de la carrera judicial. Lo pretendido por el demandante en este proceso es justamente que se declare su derecho a percibir la parte proporcional de la paga extra de diciembre de 2012, que considera ya devengada al momento de la entrada en vigor del Real Decreto-ley 20/2012, porque, de acuerdo con el art. 9.3 CE, no cabe que la supresión de esa paga extra por el Real Decreto-ley 20/2012 tenga efectos retroactivos.</w:t>
      </w:r>
    </w:p>
    <w:p w:rsidR="00AC56D6" w:rsidRDefault="00AC56D6" w:rsidP="00AC56D6">
      <w:pPr>
        <w:pStyle w:val="TextoNormal"/>
      </w:pPr>
    </w:p>
    <w:p w:rsidR="00AC56D6" w:rsidRDefault="00AC56D6" w:rsidP="00AC56D6">
      <w:pPr>
        <w:pStyle w:val="TextoNormal"/>
      </w:pPr>
      <w:r>
        <w:t>De acuerdo con los términos en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3 del art. 3 del Real Decreto-ley 20/2012, que se refiere específicamente a la supresión de la paga o gratificación extraordinaria de diciembre de 2012 o equivalente a los miembros de la carrera judicial.</w:t>
      </w:r>
    </w:p>
    <w:p w:rsidR="00AC56D6" w:rsidRDefault="00AC56D6" w:rsidP="00AC56D6">
      <w:pPr>
        <w:pStyle w:val="TextoNormal"/>
      </w:pPr>
    </w:p>
    <w:p w:rsidR="00AC56D6" w:rsidRDefault="00AC56D6" w:rsidP="00AC56D6">
      <w:pPr>
        <w:pStyle w:val="TextoNormal"/>
      </w:pPr>
      <w:r>
        <w:t xml:space="preserve">b) Por otra parte, debe tenerse en cuenta que no se cuestiona por el Juzgado Central de lo Contencioso-Administrativo núm. 7 de Madrid la medida de supresión de la paga extraordinaria de diciembre de 2012 en sí misma considerada, sino sólo en cuanto su aplicación haya podido suponer la infracción del principio de irretroactividad establecido en el 9.3 CE, al no contemplar excepción alguna respecto de las cuantías de dicha paga extra que se entienden ya devengadas (en concreto, cuarenta y cuatro días correspondientes a los servicios prestados entre el 1 de junio de 2012 y el 14 de julio de 2012) a la fecha de entrada en vigor del Real Decreto-ley 20/2012 (que tuvo lugar el 15 de julio de 2012, conforme a su disposición final decimoquinta), ni fijar indemnización alguna por la supresión de un derecho patrimonial. A esta concreta duda de constitucionalidad (planteada a partir de la pretensión subsidiaria en el proceso </w:t>
      </w:r>
      <w:r w:rsidRPr="00AC56D6">
        <w:rPr>
          <w:i/>
        </w:rPr>
        <w:t>a quo</w:t>
      </w:r>
      <w:r>
        <w:t>) deberá, pues, ceñirse nuestro enjuiciamiento.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Delimitado el alcance de nuestra decisión, debemos remitirnos a lo dicho recientemente en nuestra STC 83/2015, de 30 de abril sobre la posible pérdida de objeto de la cuestión de inconstitucionalidad, como consecuencia de lo establecido en la disposición adicional duodécima de la Ley 36/2014, de 26 de diciembre, de presupuestos generales del Estado para 2015, que bajo el epígrafe “Recuperación de la paga extraordinaria y adicional del mes de diciembre de 2012”, establece, en su apartado 1.I,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cuarenta y cuatro días de la paga extraordinaria suprimida, según establece en su apartado 1.2. En su apartado segundo dispone las reglas para el abono de dichas cantidades al personal del sector público estatal, previsiones cuya aplicación efectiva se ha llevado a cabo en el ámbito del sector público estatal conforme a las instrucciones contenidas en la resolución conjunta de las Secretarías de Estado de Presupuestos y Gastos y de Administraciones Públicas de 29 </w:t>
      </w:r>
      <w:r>
        <w:lastRenderedPageBreak/>
        <w:t>de diciembre de 2014 (publicada en el “Boletín Oficial del Estado” de 2 de enero de 2015), en la que se precisa que “el reconocimiento del derecho a recuperar las cantidades dejadas de percibir se produce por imperativo de la propia Ley de Presupuestos Generales del Estado para 2015 y produce sus efectos a partir de este último año, por lo que todas las cantidades que se reconozcan en virtud de lo dispuesto en la disposición adicional constituyen percepciones correspondientes al ejercicio de 2015”.</w:t>
      </w:r>
    </w:p>
    <w:p w:rsidR="00AC56D6" w:rsidRDefault="00AC56D6" w:rsidP="00AC56D6">
      <w:pPr>
        <w:pStyle w:val="TextoNormal"/>
      </w:pPr>
    </w:p>
    <w:p w:rsidR="00AC56D6" w:rsidRDefault="00AC56D6" w:rsidP="00AC56D6">
      <w:pPr>
        <w:pStyle w:val="TextoNormal"/>
      </w:pPr>
      <w:r>
        <w:t>En el presente caso, ha de estarse a lo dispuesto en el apartado IV de la referida instrucción, que contiene las reglas aplicables a “Altos Cargos y a otro personal incluido en el ámbito de aplicación de la disposición adicional décima segunda”, y que en concreto se refiere, entre otros, al personal incluido en el apartado 3 del art. 3 del Real Decreto-ley 20/2012 (los miembros de las Carreras Judicial y Fiscal, de los del Cuerpo de Secretarios Judiciales y del personal al servicio de la Administración de Justicia).</w:t>
      </w:r>
    </w:p>
    <w:p w:rsidR="00AC56D6" w:rsidRDefault="00AC56D6" w:rsidP="00AC56D6">
      <w:pPr>
        <w:pStyle w:val="TextoNormal"/>
      </w:pPr>
    </w:p>
    <w:p w:rsidR="00AC56D6" w:rsidRDefault="00AC56D6" w:rsidP="00AC56D6">
      <w:pPr>
        <w:pStyle w:val="TextoNormal"/>
      </w:pPr>
      <w:r>
        <w:t xml:space="preserve">En el fundamento jurídico 3 de la STC 83/2015, tras recordar la reiterada doctrina constitucional sobre los efectos extintivos del objeto del proceso constitucional en las cuestiones de inconstitucionalidad, como consecuencia de la derogación o modificación de la norma legal cuestionada, este Tribunal puso de manifiesto que era innegable la incidencia que tenía la medida contenida en la disposición adicional duodécima de la Ley 36/2014, de presupuestos generales del Estado para 2015 sobre la pretensión deducida en el pleito </w:t>
      </w:r>
      <w:r w:rsidRPr="00AC56D6">
        <w:rPr>
          <w:i/>
        </w:rPr>
        <w:t>a quo</w:t>
      </w:r>
      <w:r>
        <w:t>, “que afecta de modo determinante a la subsistencia del presente proceso constitucional, dada la estrecha vinculación existente entre toda cuestión de inconstitucionalidad y el procedimiento judicial de que dimana.”</w:t>
      </w:r>
    </w:p>
    <w:p w:rsidR="00AC56D6" w:rsidRDefault="00AC56D6" w:rsidP="00AC56D6">
      <w:pPr>
        <w:pStyle w:val="TextoNormal"/>
      </w:pPr>
    </w:p>
    <w:p w:rsidR="00AC56D6" w:rsidRDefault="00AC56D6" w:rsidP="00AC56D6">
      <w:pPr>
        <w:pStyle w:val="TextoNormal"/>
      </w:pPr>
      <w:r>
        <w:t>En la presente cuestión de inconstitucionalidad se plantea si la supresión del derecho de los miembros de la carrera judicial a percibir la parte proporcional (en concreto, cuarenta y cuatro días) de la paga extra de diciembre de 2012, contraviene el art. 9.3 CE por entenderse ya devengada al momento de la entrada en vigor del Real Decreto-ley 20/2012. En esos términos planteada la cuestión, es obligado concluir, como hicimos en la STC 83/2015, que “la recuperación por esos trabajadores de la parte proporcional correspondiente a los primeros 44 días de la paga extra de diciembre de 2012, en virtud de lo establecido en la citada disposición adicional duodécima de la Ley 36/2014, de Presupuestos Generales del Estado para 2015,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00AC56D6" w:rsidRDefault="00AC56D6" w:rsidP="00AC56D6">
      <w:pPr>
        <w:pStyle w:val="TextoNormal"/>
      </w:pPr>
    </w:p>
    <w:p w:rsidR="00AC56D6" w:rsidRDefault="00AC56D6" w:rsidP="00AC56D6">
      <w:pPr>
        <w:pStyle w:val="TextoNormal"/>
      </w:pPr>
      <w:r>
        <w:t>Conforme a lo expuesto, la regulación contenida en la citada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00AC56D6" w:rsidRDefault="00AC56D6" w:rsidP="00AC56D6">
      <w:pPr>
        <w:pStyle w:val="TextoNormal"/>
      </w:pPr>
    </w:p>
    <w:p w:rsidR="00AC56D6" w:rsidRDefault="00AC56D6" w:rsidP="00AC56D6">
      <w:pPr>
        <w:pStyle w:val="TextoNormalCentrado"/>
        <w:keepNext/>
      </w:pPr>
      <w:r>
        <w:lastRenderedPageBreak/>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Declarar la extinción de la presente cuestión de inconstitucionalidad por desaparición sobrevenida de su objeto.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seis de julio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0" w:name="SENTENCIA_2015_154"/>
      <w:r>
        <w:lastRenderedPageBreak/>
        <w:t>SENTENCIA 154/2015, de 9 de julio de 2015</w:t>
      </w:r>
    </w:p>
    <w:bookmarkEnd w:id="10"/>
    <w:p w:rsidR="00AC56D6" w:rsidRDefault="00AC56D6" w:rsidP="00AC56D6">
      <w:pPr>
        <w:pStyle w:val="TtuloResolucin"/>
      </w:pPr>
      <w:r>
        <w:t>Pleno</w:t>
      </w:r>
    </w:p>
    <w:p w:rsidR="00AC56D6" w:rsidRDefault="00AC56D6" w:rsidP="00AC56D6">
      <w:pPr>
        <w:pStyle w:val="TtuloBOE"/>
      </w:pPr>
      <w:r>
        <w:t>(BOE núm. 194, de 14 de agosto de 2015)</w:t>
      </w:r>
    </w:p>
    <w:p w:rsidR="00AC56D6" w:rsidRDefault="00AC56D6" w:rsidP="00AC56D6">
      <w:pPr>
        <w:pStyle w:val="TextoNormalCentrado"/>
      </w:pPr>
      <w:r>
        <w:t>ECLI:ES:TC:2015:154</w:t>
      </w:r>
    </w:p>
    <w:p w:rsidR="00AC56D6" w:rsidRDefault="00AC56D6" w:rsidP="00AC56D6">
      <w:pPr>
        <w:pStyle w:val="TextoNormalCentrado"/>
      </w:pPr>
    </w:p>
    <w:p w:rsidR="00AC56D6" w:rsidRDefault="00AC56D6" w:rsidP="00AC56D6">
      <w:pPr>
        <w:pStyle w:val="SntesisDescriptiva"/>
      </w:pPr>
      <w:r>
        <w:t>Recurso de inconstitucionalidad 1832-2006. Interpuesto por más de cincuenta Diputados del Grupo Parlamentario Popular del Congreso en relación con diversos preceptos de la Ley del Parlamento de Andalucía 13/2005, de 11 de noviembre, de medidas para la vivienda protegida y suelo.</w:t>
      </w:r>
    </w:p>
    <w:p w:rsidR="00AC56D6" w:rsidRDefault="00AC56D6" w:rsidP="00AC56D6">
      <w:pPr>
        <w:pStyle w:val="SntesisDescriptiva"/>
      </w:pPr>
    </w:p>
    <w:p w:rsidR="00AC56D6" w:rsidRDefault="00AC56D6" w:rsidP="00AC56D6">
      <w:pPr>
        <w:pStyle w:val="SntesisAnaltica"/>
      </w:pPr>
      <w:r>
        <w:t>Interdicción de la arbitrariedad de los poderes públicos, derecho de propiedad, autonomía local y competencias en materia de urbanismo y vivienda: nulidad de los preceptos legales autonómicos que atribuyen a la Administración autonómica el ejercicio subsidiario de las potestades de planeamiento y de disciplina urbanística; interpretación conforme del precepto relativo a la intervención autonómica en las delimitaciones de reserva para patrimonio autonómico de suelo (STC 51/2004).</w:t>
      </w:r>
    </w:p>
    <w:p w:rsidR="00AC56D6" w:rsidRDefault="00AC56D6" w:rsidP="00AC56D6">
      <w:pPr>
        <w:pStyle w:val="SntesisAnaltica"/>
      </w:pPr>
    </w:p>
    <w:p w:rsidR="00AC56D6" w:rsidRDefault="00AC56D6" w:rsidP="00AC56D6">
      <w:pPr>
        <w:pStyle w:val="Extracto"/>
      </w:pPr>
      <w:r>
        <w:t>1.</w:t>
      </w:r>
      <w:r>
        <w:tab/>
        <w:t>La sujeción del titular de viviendas protegidas al ejercicio de derechos de tanteo y retracto por parte de una Administración autonómica se ajusta al régimen constitucional del derecho de propiedad [FJ 4].</w:t>
      </w:r>
    </w:p>
    <w:p w:rsidR="00AC56D6" w:rsidRDefault="00AC56D6" w:rsidP="00AC56D6">
      <w:pPr>
        <w:pStyle w:val="Extracto"/>
      </w:pPr>
    </w:p>
    <w:p w:rsidR="00AC56D6" w:rsidRDefault="00AC56D6" w:rsidP="00AC56D6">
      <w:pPr>
        <w:pStyle w:val="Extracto"/>
      </w:pPr>
      <w:r>
        <w:t>2.</w:t>
      </w:r>
      <w:r>
        <w:tab/>
        <w:t>El sometimiento del titular de viviendas protegidas a derechos de adquisición preferente responde claramente a una finalidad de interés general: el acceso a una vivienda digna por parte de personas necesitadas, así como la evitación del fraude en las transacciones [FJ 4].</w:t>
      </w:r>
    </w:p>
    <w:p w:rsidR="00AC56D6" w:rsidRDefault="00AC56D6" w:rsidP="00AC56D6">
      <w:pPr>
        <w:pStyle w:val="Extracto"/>
      </w:pPr>
    </w:p>
    <w:p w:rsidR="00AC56D6" w:rsidRDefault="00AC56D6" w:rsidP="00AC56D6">
      <w:pPr>
        <w:pStyle w:val="Extracto"/>
      </w:pPr>
      <w:r>
        <w:t>3.</w:t>
      </w:r>
      <w:r>
        <w:tab/>
        <w:t>La garantía constitucional del derecho de propiedad cubre también los derechos reconocidos a través de acciones de protección social [FJ 4].</w:t>
      </w:r>
    </w:p>
    <w:p w:rsidR="00AC56D6" w:rsidRDefault="00AC56D6" w:rsidP="00AC56D6">
      <w:pPr>
        <w:pStyle w:val="Extracto"/>
      </w:pPr>
    </w:p>
    <w:p w:rsidR="00AC56D6" w:rsidRDefault="00AC56D6" w:rsidP="00AC56D6">
      <w:pPr>
        <w:pStyle w:val="Extracto"/>
      </w:pPr>
      <w:r>
        <w:t>4.</w:t>
      </w:r>
      <w:r>
        <w:tab/>
        <w:t>En el marco del Estado social, el legislador está autorizado a negar pura y simplemente el derecho de propiedad por razones de utilidad pública e interés general o, sin llegar hasta este extremo, a restringirlo para ajustar su contenido a los más variados objetivos colectivos, con la consiguiente generación de diferentes tipos de propiedad dotadas de estatutos jurídicos diversos (SSTC 37/1987; 204/2004) [FJ 4].</w:t>
      </w:r>
    </w:p>
    <w:p w:rsidR="00AC56D6" w:rsidRDefault="00AC56D6" w:rsidP="00AC56D6">
      <w:pPr>
        <w:pStyle w:val="Extracto"/>
      </w:pPr>
    </w:p>
    <w:p w:rsidR="00AC56D6" w:rsidRDefault="00AC56D6" w:rsidP="00AC56D6">
      <w:pPr>
        <w:pStyle w:val="Extracto"/>
      </w:pPr>
      <w:r>
        <w:t>5.</w:t>
      </w:r>
      <w:r>
        <w:tab/>
        <w:t>Al establecer plazos menores a los previstos en la legislación básica estatal para que la Consejería competente en materia de urbanismo actúe en sustitución frente a infracciones urbanísticas, los preceptos impugnados alteran el nivel de autonomía local que la legislación básica asegura y, con ello, invaden la competencia estatal en materia de bases del régimen local (STC 159/2001) [FJ 7].</w:t>
      </w:r>
    </w:p>
    <w:p w:rsidR="00AC56D6" w:rsidRDefault="00AC56D6" w:rsidP="00AC56D6">
      <w:pPr>
        <w:pStyle w:val="Extracto"/>
      </w:pPr>
    </w:p>
    <w:p w:rsidR="00AC56D6" w:rsidRDefault="00AC56D6" w:rsidP="00AC56D6">
      <w:pPr>
        <w:pStyle w:val="Extracto"/>
      </w:pPr>
      <w:r>
        <w:t>6.</w:t>
      </w:r>
      <w:r>
        <w:tab/>
        <w:t>Las Comunidades Autónomas pueden aplicar directamente el régimen de controles que ha establecido la legislación básica estatal y, si regulan el ejercicio autonómico por sustitución de competencias locales, pueden sólo concretar el previsto en esa legislación básica ajustándose fielmente a sus elementos relevantes [FJ 7].</w:t>
      </w:r>
    </w:p>
    <w:p w:rsidR="00AC56D6" w:rsidRDefault="00AC56D6" w:rsidP="00AC56D6">
      <w:pPr>
        <w:pStyle w:val="Extracto"/>
      </w:pPr>
    </w:p>
    <w:p w:rsidR="00AC56D6" w:rsidRDefault="00AC56D6" w:rsidP="00AC56D6">
      <w:pPr>
        <w:pStyle w:val="Extracto"/>
      </w:pPr>
      <w:r>
        <w:lastRenderedPageBreak/>
        <w:t>7.</w:t>
      </w:r>
      <w:r>
        <w:tab/>
        <w:t>No es constitucionalmente aceptable que la Administración autonómica ocupe ámbitos competenciales que el legislador ha atribuido ordinariamente al municipio para la tutela de los intereses de su comunidad territorial, si antes no se le da la oportunidad de cumplir sus obligaciones en un plazo razonable y, por tanto, de corregir por sí las disfunciones verificadas (STC 51/2004) [FJ 7].</w:t>
      </w:r>
    </w:p>
    <w:p w:rsidR="00AC56D6" w:rsidRDefault="00AC56D6" w:rsidP="00AC56D6">
      <w:pPr>
        <w:pStyle w:val="Extracto"/>
      </w:pPr>
    </w:p>
    <w:p w:rsidR="00AC56D6" w:rsidRDefault="00AC56D6" w:rsidP="00AC56D6">
      <w:pPr>
        <w:pStyle w:val="Extracto"/>
      </w:pPr>
      <w:r>
        <w:t>8.</w:t>
      </w:r>
      <w:r>
        <w:tab/>
        <w:t>La ordenación urbanística del territorio municipal es tarea que fundamentalmente corresponde al municipio y la intervención de otras Administraciones se justifica sólo en la medida en que concurran intereses de carácter supramunicipal (STC 51/2004) [FJ 7].</w:t>
      </w:r>
    </w:p>
    <w:p w:rsidR="00AC56D6" w:rsidRDefault="00AC56D6" w:rsidP="00AC56D6">
      <w:pPr>
        <w:pStyle w:val="Extracto"/>
      </w:pPr>
    </w:p>
    <w:p w:rsidR="00AC56D6" w:rsidRDefault="00AC56D6" w:rsidP="00AC56D6">
      <w:pPr>
        <w:pStyle w:val="Extracto"/>
      </w:pPr>
      <w:r>
        <w:t>9.</w:t>
      </w:r>
      <w:r>
        <w:tab/>
        <w:t>La gestión gravemente dañosa de los intereses de la entidad local no es suficiente para que el legislador pueda autorizar a la Administración General del Estado para que se sustituya a la corporación en el ejercicio de sus competencias; sí, en cambio, la afectación grave de los intereses generales, si la sustitución tiene una eficacia limitada temporalmente, de acuerdo con un criterio razonable (STC 4/1981) [FJ 7].</w:t>
      </w:r>
    </w:p>
    <w:p w:rsidR="00AC56D6" w:rsidRDefault="00AC56D6" w:rsidP="00AC56D6">
      <w:pPr>
        <w:pStyle w:val="Extracto"/>
      </w:pPr>
    </w:p>
    <w:p w:rsidR="00AC56D6" w:rsidRDefault="00AC56D6" w:rsidP="00AC56D6">
      <w:pPr>
        <w:pStyle w:val="Extracto"/>
      </w:pPr>
      <w:r>
        <w:t>10.</w:t>
      </w:r>
      <w:r>
        <w:tab/>
        <w:t>No vulnera la garantía constitucional de la autonomía municipal la determinación de los plazos de inicio y terminación de las viviendas protegidas que afecta a intereses que exceden del ámbito estrictamente local, pues de su cumplimiento depende en parte la realización práctica de las políticas propias que adopta la Comunidad Autónoma [FJ 6].</w:t>
      </w:r>
    </w:p>
    <w:p w:rsidR="00AC56D6" w:rsidRDefault="00AC56D6" w:rsidP="00AC56D6">
      <w:pPr>
        <w:pStyle w:val="Extracto"/>
      </w:pPr>
    </w:p>
    <w:p w:rsidR="00AC56D6" w:rsidRDefault="00AC56D6" w:rsidP="00AC56D6">
      <w:pPr>
        <w:pStyle w:val="Extracto"/>
      </w:pPr>
      <w:r>
        <w:t>11.</w:t>
      </w:r>
      <w:r>
        <w:tab/>
        <w:t>La intervención de la Administración autonómica en el planeamiento urbanístico prevista en la norma impugnada no es contraria a la garantía constitucional de la autonomía municipal [FJ 6].</w:t>
      </w:r>
    </w:p>
    <w:p w:rsidR="00AC56D6" w:rsidRDefault="00AC56D6" w:rsidP="00AC56D6">
      <w:pPr>
        <w:pStyle w:val="Extracto"/>
      </w:pPr>
    </w:p>
    <w:p w:rsidR="00AC56D6" w:rsidRDefault="00AC56D6" w:rsidP="00AC56D6">
      <w:pPr>
        <w:pStyle w:val="Extracto"/>
      </w:pPr>
      <w:r>
        <w:t>12.</w:t>
      </w:r>
      <w:r>
        <w:tab/>
        <w:t>La jurisdicción contencioso-administrativa podrá controlar las eventuales extralimitaciones en que incurra la Administración autonómica al ejercer las competencias urbanísticas atribuidas y, en particular, la concurrencia de intereses supralocales legitimantes, la efectiva apertura de canales de participación local durante todas las fases del planeamiento así como la asignación a la intervención local del peso correspondiente a los intereses municipales afectados (STC 51/2004) [FJ 6].</w:t>
      </w:r>
    </w:p>
    <w:p w:rsidR="00AC56D6" w:rsidRDefault="00AC56D6" w:rsidP="00AC56D6">
      <w:pPr>
        <w:pStyle w:val="Extracto"/>
      </w:pPr>
    </w:p>
    <w:p w:rsidR="00AC56D6" w:rsidRDefault="00AC56D6" w:rsidP="00AC56D6">
      <w:pPr>
        <w:pStyle w:val="Extracto"/>
      </w:pPr>
      <w:r>
        <w:t>13.</w:t>
      </w:r>
      <w:r>
        <w:tab/>
        <w:t>En ámbitos de competencia autonómica, corresponde a las Comunidades Autónomas especificar las atribuciones de los entes locales, ajustándose a los criterios generales fijados en la legislación básica estatal y ponderando en todo caso el alcance o intensidad de los intereses locales y supralocales implicados (SSTC 51/2004; 57/2015; 92/2015) [FJ 6].</w:t>
      </w:r>
    </w:p>
    <w:p w:rsidR="00AC56D6" w:rsidRDefault="00AC56D6" w:rsidP="00AC56D6">
      <w:pPr>
        <w:pStyle w:val="Extracto"/>
      </w:pPr>
    </w:p>
    <w:p w:rsidR="00AC56D6" w:rsidRDefault="00AC56D6" w:rsidP="00AC56D6">
      <w:pPr>
        <w:pStyle w:val="Extracto"/>
      </w:pPr>
      <w:r>
        <w:t>14.</w:t>
      </w:r>
      <w:r>
        <w:tab/>
        <w:t>Los controles administrativos sobre la actividad local deben estar previstos en normas legales, deben ser concretos y precisos, no genéricos e indeterminados y tener por objeto actos en los que incidan intereses supralocales (STC 4/1981) [FJ 6].</w:t>
      </w:r>
    </w:p>
    <w:p w:rsidR="00AC56D6" w:rsidRDefault="00AC56D6" w:rsidP="00AC56D6">
      <w:pPr>
        <w:pStyle w:val="Extracto"/>
      </w:pPr>
    </w:p>
    <w:p w:rsidR="00AC56D6" w:rsidRDefault="00AC56D6" w:rsidP="00AC56D6">
      <w:pPr>
        <w:pStyle w:val="Extracto"/>
      </w:pPr>
      <w:r>
        <w:lastRenderedPageBreak/>
        <w:t>15.</w:t>
      </w:r>
      <w:r>
        <w:tab/>
        <w:t>La suspensión de actos locales como método de control administrativo es constitucionalmente admisible respecto de los que vulneren competencias de otra Administración; no cabe si responde a la defensa genérica de la legalidad en el ámbito estricto de las competencias locales (STC 14/1981) [FJ 6].</w:t>
      </w:r>
    </w:p>
    <w:p w:rsidR="00AC56D6" w:rsidRDefault="00AC56D6" w:rsidP="00AC56D6">
      <w:pPr>
        <w:pStyle w:val="Extracto"/>
      </w:pPr>
    </w:p>
    <w:p w:rsidR="00AC56D6" w:rsidRDefault="00AC56D6" w:rsidP="00AC56D6">
      <w:pPr>
        <w:pStyle w:val="Extracto"/>
      </w:pPr>
      <w:r>
        <w:t>16.</w:t>
      </w:r>
      <w:r>
        <w:tab/>
        <w:t>La suspensión de actos locales sólo es potestad de los Tribunales, de modo que queda suprimida toda potestad de suspender de las autoridades administrativas y gubernativas, salvo la que se confiere legalmente al Delegado del Gobierno (SSTC 213/1988, 259/1988) [FJ 6].</w:t>
      </w:r>
    </w:p>
    <w:p w:rsidR="00AC56D6" w:rsidRDefault="00AC56D6" w:rsidP="00AC56D6">
      <w:pPr>
        <w:pStyle w:val="Extracto"/>
      </w:pPr>
    </w:p>
    <w:p w:rsidR="00AC56D6" w:rsidRDefault="00AC56D6" w:rsidP="00AC56D6">
      <w:pPr>
        <w:pStyle w:val="Extracto"/>
      </w:pPr>
      <w:r>
        <w:t>17.</w:t>
      </w:r>
      <w:r>
        <w:tab/>
        <w:t>En cuanto a los controles por sustitución, el legislador autonómico puede regularlos respetando los elementos relevantes del régimen establecido en el art. 60 LBRL en cuanto reflejo de las exigencias del canon de constitucionalidad, de modo tal que no cabe un mayor o más intenso control por parte de la Administración autonómica y una correlativa merma de la autonomía local (STC 159/2001) [FJ 6].</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inconstitucionalidad núm. 1832-2006 interpuesto por don Ignacio Astarloa Huarte-Mendicoa, comisionado al efecto por otros sesenta y ocho Diputados del Grupo Parlamentario Popular del Congreso, contra los arts. 12, 13, 23.4, 24.11, 28.1, 28.9, 28.11 y 28.13 de la Ley 13/2005, de 11 de noviembre, de la Comunidad Autónoma de Andalucía, de medidas para la vivienda protegida y suelo, publicada en el Boletín Oficial de la Junta de Andalucía de 21 de diciembre de 2005, por violación de los artículos 9.3, 33, 137, 140, 141 y 149.1.18ª de la Constitución española. Han intervenido las Letradas de la Junta y del Parlamento de Andalucía, en la representación que ostentan. Ha sido ponente el Magistrado don Andrés Ollero Tassara,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Mediante escrito registrado en este Tribunal el 21 de febrero de 2006, don Ignacio Astarloa Huarte-Mendicoa, comisionado por otros sesenta y ocho Diputados del Grupo Partido Popular del Congreso, interpuso recurso de inconstitucionalidad contra varios preceptos </w:t>
      </w:r>
      <w:r>
        <w:lastRenderedPageBreak/>
        <w:t>de la Ley del Parlamento de Andalucía 13/2005, de 11 de noviembre, de medidas para la vivienda protegida y suelo.</w:t>
      </w:r>
    </w:p>
    <w:p w:rsidR="00AC56D6" w:rsidRDefault="00AC56D6" w:rsidP="00AC56D6">
      <w:pPr>
        <w:pStyle w:val="TextoNormal"/>
      </w:pPr>
    </w:p>
    <w:p w:rsidR="00AC56D6" w:rsidRDefault="00AC56D6" w:rsidP="00AC56D6">
      <w:pPr>
        <w:pStyle w:val="TextoNormal"/>
      </w:pPr>
      <w:r w:rsidRPr="00AC56D6">
        <w:rPr>
          <w:rStyle w:val="NumeroAFNegritaCaracter"/>
        </w:rPr>
        <w:t>2</w:t>
      </w:r>
      <w:r>
        <w:t>. El recurso de inconstitucionalidad razona dos tipos de impugnaciones. La primera se dirige al régimen de derechos de tanteo y retracto sobre viviendas de protección pública de los arts. 12 y 13 de la Ley 13/2005. Se reputa contrario al derecho de propiedad (art. 33 CE) y a la prohibición constitucional de aplicación retroactiva de medidas restrictivas de derechos individuales (art. 9.3 CE). Las demás impugnaciones se dirigen a otros preceptos de esa Ley (arts. 23.4, 24.11, 28.1, 28.9, 28.11 y 28.13) que limitarían la capacidad de actuación de los entes locales en materia de urbanismo en contra de la garantía constitucional de la autonomía local (arts. 137, 140 y 141 CE) y de preceptos de la Ley 7/1985, de 2 abril, reguladora de las bases de régimen local (en adelante, LBRL) con vulneración consecuente del sistema constitucional de distribución competencial (art. 149.1.18 CE).</w:t>
      </w:r>
    </w:p>
    <w:p w:rsidR="00AC56D6" w:rsidRDefault="00AC56D6" w:rsidP="00AC56D6">
      <w:pPr>
        <w:pStyle w:val="TextoNormal"/>
      </w:pPr>
    </w:p>
    <w:p w:rsidR="00AC56D6" w:rsidRDefault="00AC56D6" w:rsidP="00AC56D6">
      <w:pPr>
        <w:pStyle w:val="TextoNormal"/>
      </w:pPr>
      <w:r>
        <w:t xml:space="preserve">Respecto de la primera impugnación, el recurso expone el contenido de los arts. 12 y 13 de la Ley 13/2005, relativos al régimen jurídico de la trasmisión </w:t>
      </w:r>
      <w:r w:rsidRPr="00AC56D6">
        <w:rPr>
          <w:i/>
        </w:rPr>
        <w:t>inter vivos</w:t>
      </w:r>
      <w:r>
        <w:t xml:space="preserve"> de viviendas protegidas, que atribuye derechos de tanteo y retracto a la Junta de Andalucía. Los diputados recurrentes no discuten que el legislador andaluz pueda legítimamente combatir la especulación en relación con las viviendas protegidas a través del establecimiento de límites a la trasmisión y, en particular, mediante la atribución a la Administración de derechos de tanteo y retracto. Discuten que pueda constreñir las facultades de libre disposición de los titulares de viviendas protegidas más de lo que lo hacía la legislación precedente en contra del derecho de propiedad (art. 33 CE) y la prohibición constitucional de retroactividad de las disposiciones restrictivas de derechos individuales (art. 9.3 CE). Razonan que el legislador debió prever que el nuevo régimen se aplicase sólo a las viviendas calificadas como protegidas a partir de la entrada en vigor de la Ley 13/2005 y a las que se encontrasen ya afectadas por las mismas restricciones con anterioridad. Sin embargo, dice la demanda, el nuevo régimen se aplica desde la entrada en vigor de la Ley 13/2005 a todas las viviendas protegidas, incluidas las adquiridas con anterioridad bajo un régimen normativo distinto que, en muchos casos, era más favorable. Afirman en este sentido que muchos planes no reconocían derechos de tanteo y retracto en relación con las viviendas protegidas de promoción privada. A su vez, señalan que el precio máximo de venta por metro cuadrado útil en segundas o posteriores trasmisiones era, conforme a la normativa estatal, el establecido en el año de la trasmisión para las viviendas de protección oficial calificadas provisionalmente. Por otra parte, las comunicaciones eran sólo preceptivas en los casos en que se exigía autorización administrativa para proceder a la trasmisión. De ahí que, con cita de la STC 27/1981, de 20 de julio, FJ 10, la demanda entienda que el nuevo régimen de tanteo y retracto constituya una medida restrictiva del derecho a la propiedad privada (art. 33 CE) que, al aplicarse retroactivamente, vulnera el art. 9.3 CE. La instrucción de 29 de diciembre de 2006 y la Orden de 20 de enero de 2006 de la Consejería de Obras Públicas y Transportes de la Comunidad Autónoma de Andalucía, al tratar de “reconducir lo desacertado de la nueva regulación” “ante el escándalo social creado”, serían “prueba palpable” de la retroactividad de las citadas medidas.</w:t>
      </w:r>
    </w:p>
    <w:p w:rsidR="00AC56D6" w:rsidRDefault="00AC56D6" w:rsidP="00AC56D6">
      <w:pPr>
        <w:pStyle w:val="TextoNormal"/>
      </w:pPr>
    </w:p>
    <w:p w:rsidR="00AC56D6" w:rsidRDefault="00AC56D6" w:rsidP="00AC56D6">
      <w:pPr>
        <w:pStyle w:val="TextoNormal"/>
      </w:pPr>
      <w:r>
        <w:t xml:space="preserve">La demanda se refiere a las demás impugnaciones después de una larga narración sobre la Ley 7/1985, de 2 de abril, reguladora de las bases del régimen local, el Libro Blanco para la reforma del gobierno local (publicado por el Ministerio de Administraciones Públicas en 2005) y la jurisprudencia constitucional relativa a la distribución competencial en materia </w:t>
      </w:r>
      <w:r>
        <w:lastRenderedPageBreak/>
        <w:t>de régimen local (STC 214/1989 y 159/2001, autonomía local (STC 32/1981) y a los controles de la actividad local (SSTC 213/1988, 259/1988, 148/1991, 36/1994, 11/1999 y 159/2001). Por razones de claridad expositiva, presentaremos las impugnaciones formuladas por los Diputados recurrentes conforme al orden con el que las resolveremos después en los fundamentos jurídicos de esta Sentencia. Incurrirían en inconstitucionalidad:</w:t>
      </w:r>
    </w:p>
    <w:p w:rsidR="00AC56D6" w:rsidRDefault="00AC56D6" w:rsidP="00AC56D6">
      <w:pPr>
        <w:pStyle w:val="TextoNormal"/>
      </w:pPr>
    </w:p>
    <w:p w:rsidR="00AC56D6" w:rsidRDefault="00AC56D6" w:rsidP="00AC56D6">
      <w:pPr>
        <w:pStyle w:val="TextoNormal"/>
      </w:pPr>
      <w:r>
        <w:t>a) La previsión de que la Consejería, trascurridos inútilmente diez días desde el requerimiento al Alcalde, adopte medidas cautelares de suspensión ante actuaciones llevadas a cabo sin licencia u orden de ejecución en determinados casos (art. 28.11, que modifica el art. 188.1 de la Ley 7/202, de 17 de diciembre, de ordenación urbanística de Andalucía. También la atribución a la Consejería correspondiente de la competencia para iniciar y resolver procedimientos sancionadores cuando el mismo órgano hubiera adoptado previamente la medida cautelar de suspensión, cuando la infracción se realizase al amparo de licencia u orden de ejecución anulada a instancia de la Administración autonómica y, en otro caso, cuando trascurran inútilmente quince días desde el requerimiento al Alcalde para que inicie el correspondiente procedimiento sancionador (art. 28.13, que modifica el art. 195.1 de la Ley de ordenación urbanística de Andalucía). La demanda discute estos preceptos sólo en lo relativo a los plazos previstos de respuesta al requerimiento formulado por la Comunidad al ente local, de diez y quince días, respectivamente. Considera que, conforme al art. 60 LBRL, ese plazo nunca puede ser inferior a un mes. De este modo, “se está dificultando enormemente, y casi impidiendo, las posibilidades de intervención del municipio, y facilitando que se llegue a la subrogación de la Comunidad Autónoma en la legítima posición municipal”.</w:t>
      </w:r>
    </w:p>
    <w:p w:rsidR="00AC56D6" w:rsidRDefault="00AC56D6" w:rsidP="00AC56D6">
      <w:pPr>
        <w:pStyle w:val="TextoNormal"/>
      </w:pPr>
    </w:p>
    <w:p w:rsidR="00AC56D6" w:rsidRDefault="00AC56D6" w:rsidP="00AC56D6">
      <w:pPr>
        <w:pStyle w:val="TextoNormal"/>
      </w:pPr>
      <w:r>
        <w:t>b) La previsión de que la Consejería con competencias en materia de urbanismo pueda en su caso, sin perjuicio de la medida de suspensión acordada y previa audiencia del interesado, disponer en el plazo máximo de un mes la inmediata demolición de las actuaciones de urbanización o edificación que sean manifiestamente incompatibles con la ordenación urbanística (art. 28.9, que añade un nuevo apartado 5 al art. 183 de la Ley de ordenación urbanística de Andalucía). La demanda razona con cita de la STC 11/1999 que este precepto instituye un nuevo control de legalidad contrario a la garantía constitucional de la autonomía local, por permitir que la Comunidad Autónoma suplante a la entidad local en supuestos de mero interés local y sin necesidad de requerimiento previo.</w:t>
      </w:r>
    </w:p>
    <w:p w:rsidR="00AC56D6" w:rsidRDefault="00AC56D6" w:rsidP="00AC56D6">
      <w:pPr>
        <w:pStyle w:val="TextoNormal"/>
      </w:pPr>
    </w:p>
    <w:p w:rsidR="00AC56D6" w:rsidRDefault="00AC56D6" w:rsidP="00AC56D6">
      <w:pPr>
        <w:pStyle w:val="TextoNormal"/>
      </w:pPr>
      <w:r>
        <w:t xml:space="preserve">c) La previsión de que el Consejo de Gobierno, con audiencia del municipio afectado, dictamen del Consejo Consultivo de Andalucía e informe favorable del Parlamento de Andalucía, pueda atribuir a la Consejería correspondiente la potestad de planeamiento que corresponde a los municipios durante un plazo no superior a cinco años, cuando estos incurran en grave incumplimiento en el ejercicio de sus competencias urbanísticas con manifiesta afectación de la ordenación del territorio y urbanismo competencia de la Comunidad Autónoma; el Acuerdo del Consejo de Gobierno delimitará el ejercicio de esta potestad, las condiciones para llevarla a cabo, las formas de participación municipal, el plazo de atribución, que en ningún caso será superior a cinco años y se pronunciará sobre la suspensión de la facultad municipal de firmar convenios de planeamiento (art. 28.1, que añade un apartado 4 al art. 31 de la Ley de ordenación urbanística de Andalucía). La demanda reputa inconstitucional este precepto por contradecir el art. 60 LBRL, que permite, no una sustitución general en materia de planteamiento urbanístico, sino una subrogación meramente funcional </w:t>
      </w:r>
      <w:r>
        <w:lastRenderedPageBreak/>
        <w:t>y limitada. A su vez, el art. 60 LBRL condicionaría la potestad de sustitución al incumplimiento de obligaciones legalmente impuestas, mientras que el precepto autonómico partiría de “una subjetiva apreciación sobre el ejercicio de las competencias urbanísticas para comprobar y considerar si se está afectando negativamente a los valores que debe proteger la ordenación del territorio y el urbanismo tal y como lo entiende la Comunidad Autónoma”. Se subraya también que, a diferencia del art. 60 LBRL, el precepto impugnado no contempla plazo alguno de requerimiento al municipio y se califica de deslegalización inaceptable la parte del precepto que remite al Acuerdo del Consejo de Gobierno en lo relativo a las condiciones de ejercicio de la potestad señalada. Se trata, según el recurso, de “mecanismos de control y tutela que no están previstos en el bloque de la constitucionalidad”.</w:t>
      </w:r>
    </w:p>
    <w:p w:rsidR="00AC56D6" w:rsidRDefault="00AC56D6" w:rsidP="00AC56D6">
      <w:pPr>
        <w:pStyle w:val="TextoNormal"/>
      </w:pPr>
    </w:p>
    <w:p w:rsidR="00AC56D6" w:rsidRDefault="00AC56D6" w:rsidP="00AC56D6">
      <w:pPr>
        <w:pStyle w:val="TextoNormal"/>
      </w:pPr>
      <w:r>
        <w:t>d) La exigencia del informe favorable de la Consejería competente en materia de vivienda en relación con la fijación de los plazos para la iniciación y terminación de viviendas de protección oficial dentro del plan general de ordenación urbanística o, en su defecto, del instrumento de planeamiento que contenga la ordenación detallada [art. 23.4, que añade una nueva letra c) al art. 18.3 de la Ley de ordenación urbanística de Andalucía]. Esta exigencia debilitaría excesivamente la autonomía local en un ámbito de clara vocación localista, convirtiendo en accesoria la intervención municipal sin que el Ayuntamiento sea recognoscible como instancia autónoma e individualizada de toma de decisiones, como exige la STC 159/2001. El legislador autonómico habría desconocido normas estatales básicas, como los arts. 25.2 d) y 62 LBRL, que conciben el urbanismo como competencia propia municipal y aseguran la participación local en ámbitos en que resulta difícil o inconveniente la asignación diferenciada de facultades; habría convertido la participación local en una intervención sólo aparente, al carecer de la mínima capacidad decisoria y habría asegurado a la Comunidad un “control de oportunidad” sin que existan intereses supramunicipales necesariamente ni “necesidades coordinadoras” justificativas.</w:t>
      </w:r>
    </w:p>
    <w:p w:rsidR="00AC56D6" w:rsidRDefault="00AC56D6" w:rsidP="00AC56D6">
      <w:pPr>
        <w:pStyle w:val="TextoNormal"/>
      </w:pPr>
    </w:p>
    <w:p w:rsidR="00AC56D6" w:rsidRDefault="00AC56D6" w:rsidP="00AC56D6">
      <w:pPr>
        <w:pStyle w:val="TextoNormal"/>
      </w:pPr>
      <w:r>
        <w:t>e) La previsión de que la Consejería competente en materia de urbanismo podrá establecerse como Administración actuante para la formulación, tramitación, aprobación y ejecución de los instrumentos de planeamiento en relación con las delimitaciones de reserva de terrenos para el patrimonio autonómico de suelo sobre suelo urbanizable sectorizado o no urbanizable establecido con la finalidad de contribuir a la protección o preservación de las características del suelo no urbanizable o de cumplir determinadas funciones estratégicas de ordenación o vertebración territorial (art. 24.11, en la parte que modifica el art. 74.2 de la Ley de ordenación urbanística de Andalucía). Se estaría ante una sustitución o subrogación orgánica general incompatible con la autonomía local y con las únicas fórmulas admisibles de intervención de este género, que son las previstas en la Ley de bases de régimen local. De este modo, se vulneraría “el principio de que la ordenación urbanística del territorio municipal es tarea que fundamentalmente corresponde al municipio, y que la intervención de otras Administraciones se justifica sólo en la medida en que concurran intereses de carácter supramunicipal o controles de legalidad, que, de conformidad con el bloque de la constitucionalidad, se atribuyen a las Administraciones supraordenadas sobre las inferiores”.</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Mediante providencia de 14 de marzo de 2006 la Sección Cuarta del Tribunal Constitucional acuerda admitir a trámite el presente recurso, dar traslado de la demanda y documentos presentados al Congreso de los Diputados, al Senado y al Gobierno, así como al Gobierno y al Parlamento de Andalucía, al objeto de que puedan personarse en el proceso </w:t>
      </w:r>
      <w:r>
        <w:lastRenderedPageBreak/>
        <w:t>y formular las alegaciones que estimaren convenientes; y ordenar la publicación de la incoación del recurso en el “Boletín Oficial del Estado” y en el “Boletín Oficial de la Junta de Andalucía”; publicación que se produce, respectivamente, en los de 30 de marzo de 2006 y 7 de abril del mismo año.</w:t>
      </w:r>
    </w:p>
    <w:p w:rsidR="00AC56D6" w:rsidRDefault="00AC56D6" w:rsidP="00AC56D6">
      <w:pPr>
        <w:pStyle w:val="TextoNormal"/>
      </w:pPr>
    </w:p>
    <w:p w:rsidR="00AC56D6" w:rsidRDefault="00AC56D6" w:rsidP="00AC56D6">
      <w:pPr>
        <w:pStyle w:val="TextoNormal"/>
      </w:pPr>
      <w:r w:rsidRPr="00AC56D6">
        <w:rPr>
          <w:rStyle w:val="NumeroAFNegritaCaracter"/>
        </w:rPr>
        <w:t>4</w:t>
      </w:r>
      <w:r>
        <w:t>. Por escrito de 24 de marzo de 2006 el Abogado del Estado se persona en el proceso, manifestando su intención de no formular alegaciones, pero rogando que se le notifique la Sentencia que ponga fin al presente proceso constitucional.</w:t>
      </w:r>
    </w:p>
    <w:p w:rsidR="00AC56D6" w:rsidRDefault="00AC56D6" w:rsidP="00AC56D6">
      <w:pPr>
        <w:pStyle w:val="TextoNormal"/>
      </w:pPr>
    </w:p>
    <w:p w:rsidR="00AC56D6" w:rsidRDefault="00AC56D6" w:rsidP="00AC56D6">
      <w:pPr>
        <w:pStyle w:val="TextoNormal"/>
      </w:pPr>
      <w:r w:rsidRPr="00AC56D6">
        <w:rPr>
          <w:rStyle w:val="NumeroAFNegritaCaracter"/>
        </w:rPr>
        <w:t>5</w:t>
      </w:r>
      <w:r>
        <w:t>. Por escrito presentado en el Registro General del Tribunal Constitucional el 30 de marzo de 2006 el Presidente del Senado comunica el Acuerdo de la Mesa de la Cámara de personarse en el proceso ofreciendo su colaboración a los efectos del art. 88.1 de la Ley Orgánica del Tribunal Constitucional (LOTC).</w:t>
      </w:r>
    </w:p>
    <w:p w:rsidR="00AC56D6" w:rsidRDefault="00AC56D6" w:rsidP="00AC56D6">
      <w:pPr>
        <w:pStyle w:val="TextoNormal"/>
      </w:pPr>
    </w:p>
    <w:p w:rsidR="00AC56D6" w:rsidRDefault="00AC56D6" w:rsidP="00AC56D6">
      <w:pPr>
        <w:pStyle w:val="TextoNormal"/>
      </w:pPr>
      <w:r w:rsidRPr="00AC56D6">
        <w:rPr>
          <w:rStyle w:val="NumeroAFNegritaCaracter"/>
        </w:rPr>
        <w:t>6</w:t>
      </w:r>
      <w:r>
        <w:t>. Por escrito registrado en este Tribunal el 31 de marzo de 2006, la Letrada del Parlamento de Andalucía, en la representación que legalmente ostenta, comparece en el proceso y solicita la ampliación en ocho días del plazo de quince establecido para formular alegaciones habida cuenta de la complejidad del objeto del presente recurso de inconstitucionalidad.</w:t>
      </w:r>
    </w:p>
    <w:p w:rsidR="00AC56D6" w:rsidRDefault="00AC56D6" w:rsidP="00AC56D6">
      <w:pPr>
        <w:pStyle w:val="TextoNormal"/>
      </w:pPr>
    </w:p>
    <w:p w:rsidR="00AC56D6" w:rsidRDefault="00AC56D6" w:rsidP="00AC56D6">
      <w:pPr>
        <w:pStyle w:val="TextoNormal"/>
      </w:pPr>
      <w:r w:rsidRPr="00AC56D6">
        <w:rPr>
          <w:rStyle w:val="NumeroAFNegritaCaracter"/>
        </w:rPr>
        <w:t>7</w:t>
      </w:r>
      <w:r>
        <w:t>. Por escrito registrado en este Tribunal el 3 de abril de 2006, la Letrada de la Junta de Andalucía, en la representación que legalmente ostenta, comparece en el proceso y solicita la ampliación en ocho días del plazo concedido para formular alegaciones ante la importante acumulación de trabajo que sufre este centro directivo.</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4 de marzo de 2006 la Sección Cuarta del Tribunal Constitucional acuerda tener por personadas a las Letradas de la Junta y del Parlamento de Andalucía en nombre del Consejo de Gobierno y del Parlamento de esa Comunidad Autónoma, respectivamente; y prorrogarles en ocho días el plazo concedido por providencia de 14 de marzo de 2006.</w:t>
      </w:r>
    </w:p>
    <w:p w:rsidR="00AC56D6" w:rsidRDefault="00AC56D6" w:rsidP="00AC56D6">
      <w:pPr>
        <w:pStyle w:val="TextoNormal"/>
      </w:pPr>
    </w:p>
    <w:p w:rsidR="00AC56D6" w:rsidRDefault="00AC56D6" w:rsidP="00AC56D6">
      <w:pPr>
        <w:pStyle w:val="TextoNormal"/>
      </w:pPr>
      <w:r w:rsidRPr="00AC56D6">
        <w:rPr>
          <w:rStyle w:val="NumeroAFNegritaCaracter"/>
        </w:rPr>
        <w:t>9</w:t>
      </w:r>
      <w:r>
        <w:t>. Por escrito presentado en el Registro General del Tribunal Constitucional el 31 de marzo de 2006, la Mesa del Congreso de los Diputados comunica que esta Cámara no se personará en el proceso ni formulará alegaciones.</w:t>
      </w:r>
    </w:p>
    <w:p w:rsidR="00AC56D6" w:rsidRDefault="00AC56D6" w:rsidP="00AC56D6">
      <w:pPr>
        <w:pStyle w:val="TextoNormal"/>
      </w:pPr>
    </w:p>
    <w:p w:rsidR="00AC56D6" w:rsidRDefault="00AC56D6" w:rsidP="00AC56D6">
      <w:pPr>
        <w:pStyle w:val="TextoNormal"/>
      </w:pPr>
      <w:r w:rsidRPr="00AC56D6">
        <w:rPr>
          <w:rStyle w:val="NumeroAFNegritaCaracter"/>
        </w:rPr>
        <w:t>10</w:t>
      </w:r>
      <w:r>
        <w:t>. La Letrada de la Junta de Andalucía, en la representación que legalmente ostenta, presenta el 19 de abril de 2006 en el Registro General del Tribunal Constitucional su escrito de alegaciones.</w:t>
      </w:r>
    </w:p>
    <w:p w:rsidR="00AC56D6" w:rsidRDefault="00AC56D6" w:rsidP="00AC56D6">
      <w:pPr>
        <w:pStyle w:val="TextoNormal"/>
      </w:pPr>
    </w:p>
    <w:p w:rsidR="00AC56D6" w:rsidRDefault="00AC56D6" w:rsidP="00AC56D6">
      <w:pPr>
        <w:pStyle w:val="TextoNormal"/>
      </w:pPr>
      <w:r>
        <w:t xml:space="preserve">Respecto de la primera impugnación, tras exponer doctrina constitucional sobre el principio de irretroactividad de las disposiciones restrictivas de derechos, la Letrada autonómica considera que los recurrentes tendrían que haber descendido al análisis del contenido propio del derecho de propiedad y explicar cómo los arts. 12 y 13 de la Ley inciden sobre él. Nada habrían explicado sobre el régimen estatutario del derecho de propiedad de las viviendas protegidas ni sobre la conformación de tal derecho a la especial función social que ese régimen de protección y subvención pública impone. No habrían recogido las razones por las </w:t>
      </w:r>
      <w:r>
        <w:lastRenderedPageBreak/>
        <w:t xml:space="preserve">que vulneraría el principio de irretroactividad de las disposiciones restrictivas de derechos la nueva obligación de comunicación y el sistema de precios máximos de venta; sistema que efectivamente altera el régimen precedente, pero que en modo alguno afecta a tanteos, retractos o transmisiones ya realizados. Menos explicable resultaría que el recurso incluya como manifestación de irretroactividad el propio ámbito de aplicación de las viviendas de protegidas, pese a que el art. 2 de la Ley no es objeto de impugnación. Por lo demás, la Letrada autonómica considera, con cita de la STC 108/1996, que la Ley no incide sobre “relaciones consagradas” o “situaciones agotadas”; estaría simplemente condicionando </w:t>
      </w:r>
      <w:r w:rsidRPr="00AC56D6">
        <w:rPr>
          <w:i/>
        </w:rPr>
        <w:t>pro futuro</w:t>
      </w:r>
      <w:r>
        <w:t xml:space="preserve"> posibles despliegues de facultades de disposición del dominio de bienes estatutariamente conformados por la función social de la que nacen.</w:t>
      </w:r>
    </w:p>
    <w:p w:rsidR="00AC56D6" w:rsidRDefault="00AC56D6" w:rsidP="00AC56D6">
      <w:pPr>
        <w:pStyle w:val="TextoNormal"/>
      </w:pPr>
    </w:p>
    <w:p w:rsidR="00AC56D6" w:rsidRDefault="00AC56D6" w:rsidP="00AC56D6">
      <w:pPr>
        <w:pStyle w:val="TextoNormal"/>
      </w:pPr>
      <w:r>
        <w:t>En cuanto a las demás impugnaciones, la Letrada autonómica expone los títulos competenciales que soportarían la Ley controvertida (art. 13.8 del Estatuto de Autonomía de Andalucía: competencia exclusiva en materia de política territorial), la doctrina constitucional sobre el principio de autonomía local y la normativa básica de referencia (LBRL). Después desciende al análisis de las concretas impugnaciones:</w:t>
      </w:r>
    </w:p>
    <w:p w:rsidR="00AC56D6" w:rsidRDefault="00AC56D6" w:rsidP="00AC56D6">
      <w:pPr>
        <w:pStyle w:val="TextoNormal"/>
      </w:pPr>
    </w:p>
    <w:p w:rsidR="00AC56D6" w:rsidRDefault="00AC56D6" w:rsidP="00AC56D6">
      <w:pPr>
        <w:pStyle w:val="TextoNormal"/>
      </w:pPr>
      <w:r>
        <w:t>a) Los apartados 11 y 13 del art. 28 no incurrirían en inconstitucionalidad mediata. La Letrada de la Junta de Andalucía parte de que, conforme a la STC 159/2001, a la hora de enjuiciar la norma autonómica, hay que identificar previamente los “elementes relevantes” del art. 60 LBRL; sólo a ellos debería ajustarse la legislación autonómica. La previsión de un plazo mensual a contar desde el requerimiento no constituiría un “elemento relevante” del art. 60 LBRL porque prefiguraría, no un mayor control sobre el ente local, sino una mayor eficacia en la gestión de las funciones públicas encomendadas. La fijación de plazos más breves no afectaría a la esencia de la actuación sustitutoria ni del cumplimiento de los deberes propios de los entes locales. La Letrada autonómica insiste en que no puede olvidarse que la eficiencia administrativa es un principio constitucional (art. 103 CE) que debe inspirar la actuación de la Administración, máxime ante medidas cautelares cuya propia virtualidad depende precisamente de su inmediatez.</w:t>
      </w:r>
    </w:p>
    <w:p w:rsidR="00AC56D6" w:rsidRDefault="00AC56D6" w:rsidP="00AC56D6">
      <w:pPr>
        <w:pStyle w:val="TextoNormal"/>
      </w:pPr>
    </w:p>
    <w:p w:rsidR="00AC56D6" w:rsidRDefault="00AC56D6" w:rsidP="00AC56D6">
      <w:pPr>
        <w:pStyle w:val="TextoNormal"/>
      </w:pPr>
      <w:r>
        <w:t>b) El art. 28.9 sería compatible con el art. 60 LBRL. La Letrada autonómica razona que los Diputados recurrentes parten de un presupuesto erróneo al interpretar que el precepto impugnado autoriza un control de legalidad sin exigir la inactividad municipal previa y sin imponer requerimiento alguno. A través de la expresión “en su caso” el precepto llamaría a una intervención autonómica subsidiaria de la municipal en consonancia con el art. 60 LBRL. El precepto autonómico no estaría obligado a remitirse expresamente a esa disposición, por lo que la impugnación realizada carecería de toda razón.</w:t>
      </w:r>
    </w:p>
    <w:p w:rsidR="00AC56D6" w:rsidRDefault="00AC56D6" w:rsidP="00AC56D6">
      <w:pPr>
        <w:pStyle w:val="TextoNormal"/>
      </w:pPr>
    </w:p>
    <w:p w:rsidR="00AC56D6" w:rsidRDefault="00AC56D6" w:rsidP="00AC56D6">
      <w:pPr>
        <w:pStyle w:val="TextoNormal"/>
      </w:pPr>
      <w:r>
        <w:t xml:space="preserve">c) El art. 28.1 tampoco vulneraría la garantía constitucional de autonomía local ni las bases estatales en materia de régimen local. El control autonómico previsto no sería subjetivo ni difuso; sería concreto, de mera legalidad y limitado al ejercicio de las competencias urbanísticas. La discrecionalidad atribuida a la Administración autonómica a través de los conceptos de incumplimiento grave y afectación manifiesta no convertiría el control en genérico ni difuso. Las críticas que el recurso dirige al precepto podrían, en su caso, plantearse contra los actos de aplicación no ajustados a los parámetros de la norma; parámetros que serían constitucionales por cuanto que respetarían el nivel mínimo de autonomía constitucionalmente garantizado. Se estaría ante un precepto distinto del declarado inconstitucional por la STC 11/1999; el art. 28.1 no permitiría a la Administración autonómica declarar la </w:t>
      </w:r>
      <w:r>
        <w:lastRenderedPageBreak/>
        <w:t>nulidad de actos administrativos municipales ni realizar valoraciones jurídicas sobre su legalidad; le habilitaría simplemente para verificar su propia realidad competencial. El legislador autonómico habría partido del principio de autonomía local en materia urbanística en consonancia con el art. 25.2 LBRL para introducir una excepción frente a patologías más cercanas a las previstas por el art. 61 LBRL que a las reguladas en el precepto estatal invocado por el recurrente (art. 60 LBRL). El legislador sectorial competente habría operado una redistribución competencial municipal acotada (afectaría sólo al planeamiento) sin incidir sobre el mínimo competencial identificable en ejecución o gestión urbanística (STC 51/2004). Ciertamente, el Tribunal Constitucional tomó en consideración el art. 60 LBRL para enjuiciar el art. 15 del Decreto Legislativo 1/1990, de la Generalitat de Cataluña (STC 159/2001). Sin embargo, para la Letrada autonómica ello no puede significar que sólo los preceptos autonómicos que lo repitan literalmente se ajusten al canon de constitucionalidad; ello sería tanto como negar cualquier posibilidad de desarrollo autonómico en la regulación de los controles de legalidad.</w:t>
      </w:r>
    </w:p>
    <w:p w:rsidR="00AC56D6" w:rsidRDefault="00AC56D6" w:rsidP="00AC56D6">
      <w:pPr>
        <w:pStyle w:val="TextoNormal"/>
      </w:pPr>
    </w:p>
    <w:p w:rsidR="00AC56D6" w:rsidRDefault="00AC56D6" w:rsidP="00AC56D6">
      <w:pPr>
        <w:pStyle w:val="TextoNormal"/>
      </w:pPr>
      <w:r>
        <w:t>Desde la perspectiva de su supuesto de hecho, consecuencia jurídica y finalidad, el precepto autonómico se situaría en una posición intermedia entre el art. 60 LBRL (control mínimo de legalidad de los actos locales) y el art. 61 LBRL (control de constitucionalidad de los entes locales). Si el supuesto de hecho del art. 60 LBRL es genérico, el del precepto impugnado sería específico; expresaría una adaptación del primero a la sola materia urbanística. Si el primero exige un incumplimiento puntual no cualificado, el segundo requeriría un incumplimiento grave no reducido a deberes puntuales, sino referido a infracciones de envergadura cercana al caos y similares a las contempladas en el art. 61 LBRL. Además, la Letrada autonómica insiste en que tal incumplimiento debe afectar gravemente las competencias autonómicas, lo que introduciría un plus de rigurosidad que alejaría el precepto impugnado del art. 60 LBRL (que no califica de grave aquella afectación habilitante). La consecuencia jurídica no es la disolución del Ayuntamiento (art. 61 LBRL), pero tampoco la mera sustitución puntual del ente local en el cumplimiento de la obligación incumplida (art. 60 LBRL): la Comunidad Autónoma asume las funciones de impulso de los planes generales o, en su caso, de aprobación de los de desarrollo, desviando la necesaria intervención municipal a otras fórmulas igualmente garantizadoras de la autonomía local. En cualquier caso, esta previsión consistiría en una “particularización” autonómica del art. 60 LBRL, que habilita la adopción de las “medidas necesarias”. La finalidad del precepto impugnado sería de este modo encauzar la normativa básica para posibilitar el ejercicio de las competencias autonómicas y solventar situaciones de anormalidad partiendo de un principio de proporcionalidad. Además, el art. 28.1 redoblaría las garantías de autonomía local establecidas en el art. 60 LBRL al exigir el pronunciamiento favorable del Parlamento y del Consejo Consultivo de Andalucía. A su vez, la necesaria adaptación del supuesto de hecho del art. 60 LBRL a la realidad urbanística de Andalucía y, en particular, la configuración del incumplimiento relevante como sistemático y expresivo de una situación excepcional de desaparición virtual de la función pública del urbanismo, justificaría que el precepto autonómico haya dejado de prever los requerimientos a que hace referencia aquella norma estatal; la tramitación de un complejo procedimiento administrativo con audiencia del municipio en cuestión se mostraría como una garantía procedimental más completa, teniendo en cuenta que en el procedimiento de reasignación competencial operan las garantías de la Ley 30/1992. A su vez, afirma la Letrada autonómica, el precepto autonómico prevé expresamente la intervención municipal en el procedimiento administrativo que encauza el ejercicio de la competencia reasignada.</w:t>
      </w:r>
    </w:p>
    <w:p w:rsidR="00AC56D6" w:rsidRDefault="00AC56D6" w:rsidP="00AC56D6">
      <w:pPr>
        <w:pStyle w:val="TextoNormal"/>
      </w:pPr>
    </w:p>
    <w:p w:rsidR="00AC56D6" w:rsidRDefault="00AC56D6" w:rsidP="00AC56D6">
      <w:pPr>
        <w:pStyle w:val="TextoNormal"/>
      </w:pPr>
      <w:r>
        <w:t>d) El art. 23.4 de la Ley no vulneraría el principio de autonomía local. La Letrada de la Junta de Andalucía admite que este precepto condiciona la decisión municipal sobre los plazos de inicio y terminación de viviendas de protección oficial para asegurar su efectiva materialización; la regulación de esos plazos en el plan debe contar con el informe favorable de la Consejería competente en materia de vivienda. Sin embargo, el alcance de este condicionamiento sería limitado: ese informe no sería una instrucción vinculante u orden concreta que pueda sustituir la decisión municipal, prefijando nuevos plazos; sería obvio que el plan general o el planeamiento de desarrollo que corresponda pueden fijar los plazos de inicio y terminación. A su vez, tal condicionamiento estaría justificado por la necesidad de compatibilizar la acción de los distintos entes territoriales (en este caso, señaladamente, la Junta de Andalucía) sobre un mismo espacio físico. Otra solución que no implicase fórmulas de cooperación interadministrativas lesionaría el principio de autonomía de esta Comunidad; al estarse en un ámbito en que el interés no es exclusivamente local, el ente local no podría erigirse en la única instancia decisoria.</w:t>
      </w:r>
    </w:p>
    <w:p w:rsidR="00AC56D6" w:rsidRDefault="00AC56D6" w:rsidP="00AC56D6">
      <w:pPr>
        <w:pStyle w:val="TextoNormal"/>
      </w:pPr>
    </w:p>
    <w:p w:rsidR="00AC56D6" w:rsidRDefault="00AC56D6" w:rsidP="00AC56D6">
      <w:pPr>
        <w:pStyle w:val="TextoNormal"/>
      </w:pPr>
      <w:r>
        <w:t>e) El art. 24.11 de la Ley, en la parte que modifica el art. 74.2 de la Ley de ordenación urbanística de Andalucía, no vulneraría el principio de autonomía local y se ajustaría a la legislación básica estatal. Esta previsión permitiría que la Consejería competente en materia de urbanismo se erigiese en Administración actuante para la formulación, tramitación, aprobación y ejecución de instrumentos de planeamiento únicamente en casos en que es clara la afectación de competencias supramunicipales, por encontrarse implicados intereses que trascienden al municipio, tales como el medio ambiente o la articulación territorial de la Comunidad. De ahí que, según la Letrada autonómica, la Ley haya calificado de “estratégicas” las finalidades de ordenación o vertebración territorial que pueden motivar la intervención autonómica. En todo caso, el riesgo de que la actuación autonómica no se atenga a dichos fines de interés supramunicipal sería una razón para impugnar las normas o actos resultantes ante la jurisdicción contencioso-administrativa, no para contestar la constitucionalidad de la previsión.</w:t>
      </w:r>
    </w:p>
    <w:p w:rsidR="00AC56D6" w:rsidRDefault="00AC56D6" w:rsidP="00AC56D6">
      <w:pPr>
        <w:pStyle w:val="TextoNormal"/>
      </w:pPr>
    </w:p>
    <w:p w:rsidR="00AC56D6" w:rsidRDefault="00AC56D6" w:rsidP="00AC56D6">
      <w:pPr>
        <w:pStyle w:val="TextoNormal"/>
      </w:pPr>
      <w:r w:rsidRPr="00AC56D6">
        <w:rPr>
          <w:rStyle w:val="NumeroAFNegritaCaracter"/>
        </w:rPr>
        <w:t>11</w:t>
      </w:r>
      <w:r>
        <w:t>. La Letrada del Parlamento de Andalucía, en la representación que legalmente ostenta, presenta el 27 de abril de 2006 en el Registro General del Tribunal Constitucional su escrito de alegaciones.</w:t>
      </w:r>
    </w:p>
    <w:p w:rsidR="00AC56D6" w:rsidRDefault="00AC56D6" w:rsidP="00AC56D6">
      <w:pPr>
        <w:pStyle w:val="TextoNormal"/>
      </w:pPr>
    </w:p>
    <w:p w:rsidR="00AC56D6" w:rsidRDefault="00AC56D6" w:rsidP="00AC56D6">
      <w:pPr>
        <w:pStyle w:val="TextoNormal"/>
      </w:pPr>
      <w:r>
        <w:t xml:space="preserve">Respecto de la primera impugnación, la Letrada autonómica admite que el nuevo régimen legal elimina derechos que la legislación anterior reconocía. No obstante, el art. 9.3 CE no impediría que el legislador varíe en sentido restrictivo y con eficacia </w:t>
      </w:r>
      <w:r w:rsidRPr="00AC56D6">
        <w:rPr>
          <w:i/>
        </w:rPr>
        <w:t>ex nunc</w:t>
      </w:r>
      <w:r>
        <w:t xml:space="preserve"> el régimen jurídico precedente: “al establecer con carácter general una nueva configuración legal de los derechos patrimoniales, el legislador no sólo puede, sino que debe tener en cuenta las exigencias del interés general” (STC 227/1988). La previsión </w:t>
      </w:r>
      <w:r w:rsidRPr="00AC56D6">
        <w:rPr>
          <w:i/>
        </w:rPr>
        <w:t>ex novo</w:t>
      </w:r>
      <w:r>
        <w:t xml:space="preserve"> de un derecho de adquisición preferente aplicable a trasmisiones de viviendas adquiridas bajo un régimen en que tal derecho no estaba previsto no afectaría en modo alguno al contenido esencial del derecho de propiedad y se justificaría plenamente a partir de su función social (art. 33.2 CE). Lo que el legislador pretendería es que las viviendas cumplan la finalidad del art. 47 CE a lo largo de todo el tiempo de vigencia del régimen de protección y combatir el fenómeno de la especulación del suelo (STC 207/1999).</w:t>
      </w:r>
    </w:p>
    <w:p w:rsidR="00AC56D6" w:rsidRDefault="00AC56D6" w:rsidP="00AC56D6">
      <w:pPr>
        <w:pStyle w:val="TextoNormal"/>
      </w:pPr>
    </w:p>
    <w:p w:rsidR="00AC56D6" w:rsidRDefault="00AC56D6" w:rsidP="00AC56D6">
      <w:pPr>
        <w:pStyle w:val="TextoNormal"/>
      </w:pPr>
      <w:r>
        <w:lastRenderedPageBreak/>
        <w:t xml:space="preserve">La Letrada del Parlamento de Andalucía alega con cita de la STC 227/1988 que no hay retroactividad cuando una ley regula de manera diferente </w:t>
      </w:r>
      <w:r w:rsidRPr="00AC56D6">
        <w:rPr>
          <w:i/>
        </w:rPr>
        <w:t>pro futuro</w:t>
      </w:r>
      <w:r>
        <w:t xml:space="preserve"> situaciones creadas con anterioridad a su entrada en vigor y cuyos efectos no se han consumado. A los efectos del art. 9.3 CE, una ley es retroactiva sólo si incide sobre situaciones consagradas o agotadas. Por eso no podría calificarse de retroactiva la Ley 13/2005 sólo porque a partir de su entrada en vigor atribuya a la Administración un derecho de adquisición preferente de las viviendas de protección oficial. Habría que entender que, a falta de una previsión expresa y conforme al art. 2.3 del Código civil, los derechos de adquisición preferente afectan sólo a las trasmisiones posteriores a la entrada en vigor de la ley, por más que las viviendas trasmitidas fueran adquiridas con anterioridad. Lo que no podría aceptarse es la tesis de los recurrentes según la que el art. 9.3 CE obliga a que tal limitación afecte únicamente a las viviendas calificadas como protegidas después de la entrada en vigor de la Ley; ello supondría aceptar la teoría de los derechos adquiridos, ni más ni menos, con la consiguiente petrificación del ordenamiento jurídico.</w:t>
      </w:r>
    </w:p>
    <w:p w:rsidR="00AC56D6" w:rsidRDefault="00AC56D6" w:rsidP="00AC56D6">
      <w:pPr>
        <w:pStyle w:val="TextoNormal"/>
      </w:pPr>
    </w:p>
    <w:p w:rsidR="00AC56D6" w:rsidRDefault="00AC56D6" w:rsidP="00AC56D6">
      <w:pPr>
        <w:pStyle w:val="TextoNormal"/>
      </w:pPr>
      <w:r>
        <w:t>La Letrada autonómica extiende estas consideraciones al régimen de comunicaciones de las trasmisiones establecidos en los arts. 12 y 13 y a la previsión del precio máximo por el que pueden ejercerse los derechos de tanteo y retracto (art. 12.6). En relación con esta última, tras advertir que resulta absolutamente indiferente la ejecución reglamentaria de esta previsión en un proceso constitucional de control abstracto de normas con rango de ley (STC 11/1981), advierte que los concretos precios máximos fijados por el art. 5.3 de la Orden de la Consejería de Obras Públicas y Transportes de 20 de enero de 2006 no son consecuencia directa del art. 12.6 de la Ley 13/2005, sino de los arts. 6 y 94 del Decreto 149/2003, de 10 de junio, por el que se aprueba el plan andaluz de vivienda y suelo para los años 2003-2007. Lo relevante en cualquier caso sería que la disposición legal impugnada no instaura un nuevo régimen de fijación de los precios de las viviendas de protección oficial de promoción privada. El art. 12.6 interpretado conforme a su tenor literal y en conexión con el art. 6.1 de la misma Ley no haría más que reproducir para estos supuestos concretos de ejercicio de los derechos de tanteo y retracto la previsión general relativa al límite del precio de venta de viviendas de protección oficial. Por lo demás, tanto el art. 12.6 como el Real Decreto 727/1993 tomarían como punto de referencia para la determinación del precio la fecha de la enajenación, por lo que ambos regímenes serían coincidentes.</w:t>
      </w:r>
    </w:p>
    <w:p w:rsidR="00AC56D6" w:rsidRDefault="00AC56D6" w:rsidP="00AC56D6">
      <w:pPr>
        <w:pStyle w:val="TextoNormal"/>
      </w:pPr>
    </w:p>
    <w:p w:rsidR="00AC56D6" w:rsidRDefault="00AC56D6" w:rsidP="00AC56D6">
      <w:pPr>
        <w:pStyle w:val="TextoNormal"/>
      </w:pPr>
      <w:r>
        <w:t>La Letrada del Parlamento andaluz solicita la desestimación de las demás impugnaciones con base en las siguientes razones:</w:t>
      </w:r>
    </w:p>
    <w:p w:rsidR="00AC56D6" w:rsidRDefault="00AC56D6" w:rsidP="00AC56D6">
      <w:pPr>
        <w:pStyle w:val="TextoNormal"/>
      </w:pPr>
    </w:p>
    <w:p w:rsidR="00AC56D6" w:rsidRDefault="00AC56D6" w:rsidP="00AC56D6">
      <w:pPr>
        <w:pStyle w:val="TextoNormal"/>
      </w:pPr>
      <w:r>
        <w:t xml:space="preserve">a) Los apartados 11 y 13 del art. 28 no incurrirían en inconstitucionalidad mediata ni lesionarían la garantía constitucional de la autonomía local. Según la Letrada autonómica, estas previsiones no regulan la subrogación de la Administración de la Junta de Andalucía en las competencias urbanísticas de los municipios en casos de incumplimiento; delimitan las potestades de una y otros en materia sancionadora y para la adopción de medidas cautelares de suspensión de obras ilegales, según resulta de su ubicación sistemática. Como consecuencia de esta delimitación, la Administración autonómica sería la competente para sancionar, suspender cautelarmente o paralizar obras ilegales en casos graves con incidencia en intereses supralocales por su afectación a la ordenación urbanística, los contemplados en los arts. 188.1 y 195.1 de la Ley de ordenación urbanística de Andalucía. Esta delimitación no podría valorarse a la luz del art. 60 LBRL. Esta norma básica presupondría que las competencias ejercidas por la Administración autonómica hayan sido previamente atribuidas a los </w:t>
      </w:r>
      <w:r>
        <w:lastRenderedPageBreak/>
        <w:t>entes locales como competencias propias. Consecuentemente, el único parámetro de control utilizable sería el haz de facultades que la garantía constitucional de la autonomía local preserva a los municipios; pero los Diputados recurrentes no han planteado esta cuestión. En cualquier caso, las competencias atribuidas a la Comunidad Autónoma no lesionarían la autonomía local constitucionalmente garantizada ni harían irreconocible la imagen que de ella tiene la conciencia social; al contrario, nuestro Derecho urbanístico tradicional distribuiría las competencias sancionadoras entre autoridades locales y autonómicas en función de la importancia de la infracción (p. ej., Ley del suelo de la Comunidad de Madrid). Para el caso de que el Tribunal Constitucional entendiera que el art. 60 LBRL funciona aquí como parámetro de constitucionalidad, la Letrada autonómica niega el carácter básico del plazo mensual establecido; tal plazo no podría ser universal ni aplicable a todos los incumplimientos posibles en los distintos sectores del ordenamiento jurídico. De modo que el legislador autonómico se habría limitado en este caso a adaptar el señalado plazo a la finalidad perseguida, que es la inmediata paralización de actos urbanísticos manifiestamente ilegales.</w:t>
      </w:r>
    </w:p>
    <w:p w:rsidR="00AC56D6" w:rsidRDefault="00AC56D6" w:rsidP="00AC56D6">
      <w:pPr>
        <w:pStyle w:val="TextoNormal"/>
      </w:pPr>
    </w:p>
    <w:p w:rsidR="00AC56D6" w:rsidRDefault="00AC56D6" w:rsidP="00AC56D6">
      <w:pPr>
        <w:pStyle w:val="TextoNormal"/>
      </w:pPr>
      <w:r>
        <w:t>b) El art. 28.9 sería compatible con el art. 60 LBRL. El precepto impugnado, interpretado en conexión con el art. 188.3 de la Ley de ordenación urbanística de Andalucía, desmiente la tesis de que el legislador andaluz ha querido autorizar un control autonómico de legalidad sin exigir una inactividad municipal previa y sin imponer requerimiento alguno. Al contrario, habría previsto la intervención por subrogación tras el trascurso infructuoso de un mes desde el requerimiento al Alcalde para que adopte el pertinente acuerdo municipal. En cualquier caso, el control establecido no sería de legalidad; se estaría ante un mecanismo similar al contemplado en el fundamento jurídico 5 de la STC 11/1999, ya que la sustitución se produce cuando los actos de edificación o uso del suelo se hayan realizado sin licencia u orden de ejecución. Además, la intervención autonómica se limitaría a casos de infracciones urbanísticas de especial gravedad con clara incidencia en la ordenación urbanística y en los intereses supramunicipales.</w:t>
      </w:r>
    </w:p>
    <w:p w:rsidR="00AC56D6" w:rsidRDefault="00AC56D6" w:rsidP="00AC56D6">
      <w:pPr>
        <w:pStyle w:val="TextoNormal"/>
      </w:pPr>
    </w:p>
    <w:p w:rsidR="00AC56D6" w:rsidRDefault="00AC56D6" w:rsidP="00AC56D6">
      <w:pPr>
        <w:pStyle w:val="TextoNormal"/>
      </w:pPr>
      <w:r>
        <w:t>c) El art. 28.1 no vulneraría la garantía constitucional de autonomía local ni las bases estatales en materia de régimen local. La Constitución no veda a la Comunidad Autónoma los controles de legalidad de los actos locales (SSTC 27/1987; 159/2001); tampoco lo harían los arts. 65 y 66 LBRL. La Letrada autonómica se apoya en la doctrina constitucional (SSTC 27/1987 y 46/1992) para subrayar que el objetivo de tales preceptos es que sólo los tribunales puedan anular o suspender la eficacia de los actos locales. El precepto impugnado no regularía nada incompatible con tal exigencia; se referiría a un supuesto radicalmente distinto, la limitación de las competencias urbanísticas municipales en caso de grave incumplimiento que afecte manifiestamente a la ordenación del territorio y al urbanismo competencia de la Comunidad con la finalidad de restablecer y garantizar las competencias afectadas.</w:t>
      </w:r>
    </w:p>
    <w:p w:rsidR="00AC56D6" w:rsidRDefault="00AC56D6" w:rsidP="00AC56D6">
      <w:pPr>
        <w:pStyle w:val="TextoNormal"/>
      </w:pPr>
    </w:p>
    <w:p w:rsidR="00AC56D6" w:rsidRDefault="00AC56D6" w:rsidP="00AC56D6">
      <w:pPr>
        <w:pStyle w:val="TextoNormal"/>
      </w:pPr>
      <w:r>
        <w:t xml:space="preserve">Comoquiera que las bases estatales no pueden agotar la regulación de una materia (STC 32/1981, 27/1987 y 98/2004), habría que interpretar que los mecanismos de control de la Ley de bases de régimen local no agotan las posibilidades de control autonómico de las entidades locales. La Ley de bases de régimen local, del mismo modo que establece mínimos competenciales comunes que debe completar el legislador sectorial competente (STC 159/2001), prevé mecanismos generales de control que ese legislador podría modular y ampliar, respetando en todo caso la garantía constitucional de la autonomía local. Este criterio podría derivarse de la STC 159/2001. Resultaría impensable que el legislador básico estatal </w:t>
      </w:r>
      <w:r>
        <w:lastRenderedPageBreak/>
        <w:t>haya pretendido establecer una enumeración y regulación exhaustivas de los mecanismos de control de los entes locales y, en particular, impedir que el legislador sectorial competente (en este caso, el andaluz por virtud del art. 13.8 del Estatuto de Autonomía) diseñe fórmulas para situaciones intermedias de incumplimientos generalizados para las que no son adecuadas las previstas en los arts. 60, 65 y 66 LBRL. La impugnación judicial y la eventual suspensión de los instrumentos de planeamiento y convenios urbanísticos serían mecanismos de control insuficientes para un ámbito decisivo en la articulación y vertebración del territorio de la Comunidad; supondrían una paralización y bloqueo de la actividad urbanística imposibles desde la perspectiva de los intereses públicos aquí implicados. Además, a diferencia de la regulación enjuiciada en la STC 11/1999, la aquí examinada no habilitaría una mera comprobación autonómica de la conformidad a derecho de la actividad urbanística; permitiría la subrogación como garantía de que el ejercicio de las competencias locales no vaya contra las competencias autonómicas ni en perjuicio de los intereses supralocales cuya protección corresponde a la Comunidad, por lo que cumpliría los límites constitucionales a las tutelas administrativas (SSTC 27/1987 y 159/2001).</w:t>
      </w:r>
    </w:p>
    <w:p w:rsidR="00AC56D6" w:rsidRDefault="00AC56D6" w:rsidP="00AC56D6">
      <w:pPr>
        <w:pStyle w:val="TextoNormal"/>
      </w:pPr>
    </w:p>
    <w:p w:rsidR="00AC56D6" w:rsidRDefault="00AC56D6" w:rsidP="00AC56D6">
      <w:pPr>
        <w:pStyle w:val="TextoNormal"/>
      </w:pPr>
      <w:r>
        <w:t>Por lo demás, el legislador autonómico habría configurado la subrogación discutida como solución de excepción que asume como punto de partida, justamente, el reconocimiento de la autonomía local. Sus presupuestos habilitantes serían más exigentes y cualificados que los del control previsto en el art. 60 LBRL; la subrogación habilitada no sería general, sino limitada al ejercicio de la potestad de planteamiento necesario para “restablecer y garantizar las competencias afectadas”; tal mecanismo estaría rodeado de garantías de autonomía local: el informe favorable del Parlamento andaluz; el dictamen del Consejo Consultivo de Andalucía con carácter previo al acuerdo del Consejo de Gobierno; la limitación del plazo en que cabe la sustitución; y la intervención municipal en los procedimientos autonómicos que articulan tal subrogación. La letrada autonómica destaca que la puesta en marcha del señalado mecanismo requiere de la audiencia previa del municipio y que tal audiencia constituye una mera adaptación del requisito del requerimiento previo.</w:t>
      </w:r>
    </w:p>
    <w:p w:rsidR="00AC56D6" w:rsidRDefault="00AC56D6" w:rsidP="00AC56D6">
      <w:pPr>
        <w:pStyle w:val="TextoNormal"/>
      </w:pPr>
    </w:p>
    <w:p w:rsidR="00AC56D6" w:rsidRDefault="00AC56D6" w:rsidP="00AC56D6">
      <w:pPr>
        <w:pStyle w:val="TextoNormal"/>
      </w:pPr>
      <w:r>
        <w:t>d) El art. 23.4 de la Ley no vulneraría el principio de autonomía local. La Letrada autonómica razona que el urbanismo es una competencia compartida entre la Comunidad de Andalucía y los municipios, correspondiendo a la primera graduar la intensidad de la necesaria participación de los segundos que reclama la Constitución en función de la relación entre los intereses supralocales y locales implicados (STC 170/1989) y que las políticas propias de vivienda protegida corresponden a la Comunidad Autónoma (STC 152/1988) por responder precisamente a intereses supralocales; sirven a una relevante finalidad constitucional (art. 47 CE) y guardan estrecha relación con la economía general, por la importancia de la construcción como factor de desarrollo y generador de empleo (STC 152/1988) y por su repercusión sobre el precio de la vivienda y el suelo. Ese carácter supralocal de los intereses implicados permitiría a la Comunidad modular el ejercicio de las competencias municipales de gestión y ejecución urbanísticas (SSTC 56/1986, 170/1989, 149/1991, 61/1997 y 40/1998). El informe vinculante sería una de las técnicas utilizables para la articulación de los diversos intereses en juego tal como habría reconocido la STC 40/1998, en relación con las competencias concurrentes del Estado y las Comunidades Autónomas.</w:t>
      </w:r>
    </w:p>
    <w:p w:rsidR="00AC56D6" w:rsidRDefault="00AC56D6" w:rsidP="00AC56D6">
      <w:pPr>
        <w:pStyle w:val="TextoNormal"/>
      </w:pPr>
    </w:p>
    <w:p w:rsidR="00AC56D6" w:rsidRDefault="00AC56D6" w:rsidP="00AC56D6">
      <w:pPr>
        <w:pStyle w:val="TextoNormal"/>
      </w:pPr>
      <w:r>
        <w:t xml:space="preserve">El precepto impugnado habría acudido razonablemente a la técnica del informe vinculante. La determinación de los plazos afectaría a intereses que exceden del ámbito estrictamente local; de ella dependería en gran medida la efectiva consecución de los objetivos de </w:t>
      </w:r>
      <w:r>
        <w:lastRenderedPageBreak/>
        <w:t>las políticas estatales y autonómicas de vivienda aprobadas al amparo de los arts. 149.1.11 y 13 CE y 13.8 del Estatuto de Andalucía. Las reservas de vivienda carecerían de toda eficacia si los planes no se ejecutasen y las viviendas no se construyesen en plazos adecuados en función de las necesidades marcadas en cada momento por el mercado de vivienda y suelo. Consecuentemente, el informe favorable de la Consejería competente en materia de vivienda perseguiría, no sustituir al municipio en la determinación de los ritmos de ejecución del planeamiento orientado a necesidades estrictamente locales; sino la articulación de las competencias urbanísticas municipales con las políticas autonómicas de vivienda protegida.</w:t>
      </w:r>
    </w:p>
    <w:p w:rsidR="00AC56D6" w:rsidRDefault="00AC56D6" w:rsidP="00AC56D6">
      <w:pPr>
        <w:pStyle w:val="TextoNormal"/>
      </w:pPr>
    </w:p>
    <w:p w:rsidR="00AC56D6" w:rsidRDefault="00AC56D6" w:rsidP="00AC56D6">
      <w:pPr>
        <w:pStyle w:val="TextoNormal"/>
      </w:pPr>
      <w:r>
        <w:t xml:space="preserve">e) El art. 24.11 de la Ley, en la parte que modifica el art. 74.2 de la Ley de ordenación urbanística de Andalucía, no vulneraría el principio de autonomía local y se ajustaría a la legislación básica estatal. La Letrada autonómica admite que el principio de autonomía local se proyecta sobre el urbanismo y que el art. 25.2 d) LBRL atribuye a los municipios competencias en materia de ordenación, ejecución, gestión y disciplina urbanística. No obstante, dichas normas no permitirían determinar </w:t>
      </w:r>
      <w:r w:rsidRPr="00AC56D6">
        <w:rPr>
          <w:i/>
        </w:rPr>
        <w:t>a priori</w:t>
      </w:r>
      <w:r>
        <w:t xml:space="preserve"> las concretas atribuciones que deben ejercer necesariamente los municipios. Tal determinación correspondería, precisamente, al legislador sectorial, en este caso andaluz. La competencia autonómica en materia de urbanismo sería de regulación, pero podría alcanzar también a la ejecución, siempre con garantía de una participación local más o menos intensa en función de la relación de los intereses locales y supralocales implicados (SSTC 32/1981, 170/1989, 149/1991, 40/1998 y 159/2001). Consecuentemente, el precepto impugnado no podría reputarse inconstitucional por el solo hecho de que atribuya a la Administración autonómica competencias de ejecución en materia de urbanismo, lo que ha reafirmado la doctrina constitucional en relación con atribuciones de ejecución del Estado (SSTC 56/1986; 40/1998) y de las Comunidades Autónomas (STC 159/2001).</w:t>
      </w:r>
    </w:p>
    <w:p w:rsidR="00AC56D6" w:rsidRDefault="00AC56D6" w:rsidP="00AC56D6">
      <w:pPr>
        <w:pStyle w:val="TextoNormal"/>
      </w:pPr>
    </w:p>
    <w:p w:rsidR="00AC56D6" w:rsidRDefault="00AC56D6" w:rsidP="00AC56D6">
      <w:pPr>
        <w:pStyle w:val="TextoNormal"/>
      </w:pPr>
      <w:r>
        <w:t>En el presente caso, el precepto impugnado efectuaría una delimitación o distribución de competencias urbanísticas entre los municipios y la Comunidad Autónoma. Llevaría a cabo una reserva de competencias ejecutivas plenamente justificada; las actuaciones urbanísticas contempladas excederían de los intereses exclusivamente locales, incluso cuando tal actuación abarca un solo término municipal. La finalidad del precepto, en lo tocante al sector urbanizable, sería facilitar la ejecución del planeamiento como garantía de que el patrimonio autonómico del suelo pueda intervenir en su precio (aumentando la oferta para abaratarlo e incrementando las viviendas disponibles para las clases sociales más desfavorecidas) y, de esto modo, superar la inoperatividad tradicional de las reservas de suelo. En igual sentido, el precepto perseguiría intereses supralocales en lo relativo al no urbanizable; se trataría de actuaciones destinadas a asegurar funciones estratégicas en la organización y cohesión del territorio autonómico. La Letrada autonómica afirma que la Ley de ordenación urbanística de Andalucía se caracteriza frente al sistema tradicional y al de otras Comunidades Autónomas por el absoluto protagonismo municipal en la aprobación y ejecución del planeamiento para concluir que resulta difícilmente aceptable que la intervención de la Consejería como Administración actuante en la aprobación definitiva, dirección y control de la ejecución del planeamiento de desarrollo en supuestos concretos suponga una vulneración del principio de autonomía local o convierta al municipio en una instancia no reconocible por el ciudadano como centro autónomo e individualizado de decisión en materia urbanística. Habría que tener en cuenta, además, que la atribución de aquellas competencias a la Admi</w:t>
      </w:r>
      <w:r>
        <w:lastRenderedPageBreak/>
        <w:t>nistración andaluza no ha eliminado la participación municipal. En un caso, la Junta se limitaría a aplicar y desarrollar los criterios y directrices para la ordenación detallada de los sectores en que se divide el suelo urbanizable sectorizado que ha fijado previamente el municipio en la elaboración, aprobación inicial y aprobación provisional del plan general (art. 10.2 de la Ley de ordenación urbanística de Andalucía); municipio que deberá ser oído también en la tramitación del plan parcial correspondiente (art. 32.1 de la Ley de ordenación urbanística de Andalucía). Lo mismo ocurriría respecto del suelo no urbanizable cuyos elementos fundamentales ya han sido fijados igualmente en el plan general (arts. 46, 47 y 52 de la Ley de ordenación urbanística de Andalucía) con la correspondiente participación del municipio.</w:t>
      </w:r>
    </w:p>
    <w:p w:rsidR="00AC56D6" w:rsidRDefault="00AC56D6" w:rsidP="00AC56D6">
      <w:pPr>
        <w:pStyle w:val="TextoNormal"/>
      </w:pPr>
    </w:p>
    <w:p w:rsidR="00AC56D6" w:rsidRDefault="00AC56D6" w:rsidP="00AC56D6">
      <w:pPr>
        <w:pStyle w:val="TextoNormal"/>
      </w:pPr>
      <w:r w:rsidRPr="00AC56D6">
        <w:rPr>
          <w:rStyle w:val="NumeroAFNegritaCaracter"/>
        </w:rPr>
        <w:t>12</w:t>
      </w:r>
      <w:r>
        <w:t>. Mediante providencia de 7 de julio de 2015 se señaló para deliberación y votación de la presente Sentencia el día 9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Los Diputados recurrentes impugnan en el presente proceso constitucional los arts. 12 y 13 de la Ley del Parlamento de Andalucía 13/2005, de 11 de noviembre, de medidas para la vivienda protegida y suelo, por entender que establecen derechos de tanteo y retracto sobre viviendas de protección pública en contra del derecho de propiedad (art. 33 CE) y de la prohibición constitucional de aplicación retroactiva de medidas restrictivas de derechos individuales (art. 9.3 CE). Impugnan asimismo otros preceptos de esa Ley (arts. 23.4, 24.11, 28.1, 28.9, 28.11 y 28.13) por considerar que limitan la capacidad de actuación de los entes locales en materia de urbanismo en contra de la garantía constitucional de la autonomía local (arts. 137, 140 y 141 CE) y de varios preceptos de la Ley 7/1985, de 2 abril, reguladora de las bases del régimen local (LBRL) con vulneración consecuente del sistema constitucional de distribución competencial (art. 149.1.18 CE).</w:t>
      </w:r>
    </w:p>
    <w:p w:rsidR="00AC56D6" w:rsidRDefault="00AC56D6" w:rsidP="00AC56D6">
      <w:pPr>
        <w:pStyle w:val="TextoNormal"/>
      </w:pPr>
    </w:p>
    <w:p w:rsidR="00AC56D6" w:rsidRDefault="00AC56D6" w:rsidP="00AC56D6">
      <w:pPr>
        <w:pStyle w:val="TextoNormal"/>
      </w:pPr>
      <w:r>
        <w:t>Las Letradas de la Junta y del Parlamento de Andalucía, en la representación que legalmente ostentan, solicitan la desestimación íntegra del recurso de inconstitucionalidad por las razones recogidas ampliamente en los antecedentes.</w:t>
      </w:r>
    </w:p>
    <w:p w:rsidR="00AC56D6" w:rsidRDefault="00AC56D6" w:rsidP="00AC56D6">
      <w:pPr>
        <w:pStyle w:val="TextoNormal"/>
      </w:pPr>
    </w:p>
    <w:p w:rsidR="00AC56D6" w:rsidRDefault="00AC56D6" w:rsidP="00AC56D6">
      <w:pPr>
        <w:pStyle w:val="TextoNormal"/>
      </w:pPr>
      <w:r w:rsidRPr="00AC56D6">
        <w:rPr>
          <w:rStyle w:val="NumeroAFNegritaCaracter"/>
        </w:rPr>
        <w:t>2</w:t>
      </w:r>
      <w:r>
        <w:t>. Antes de abordar las impugnaciones formuladas debemos pronunciarnos sobre el modo en que las reformas legislativas posteriores al planteamiento del recurso de inconstitucionalidad afectan al objeto de este proceso y a las normas que han de erigirse en parámetro de control de los preceptos autonómicos cuestionados. Dos son las reformas a tener en cuenta respecto del objeto de este proceso constitucional:</w:t>
      </w:r>
    </w:p>
    <w:p w:rsidR="00AC56D6" w:rsidRDefault="00AC56D6" w:rsidP="00AC56D6">
      <w:pPr>
        <w:pStyle w:val="TextoNormal"/>
      </w:pPr>
    </w:p>
    <w:p w:rsidR="00AC56D6" w:rsidRDefault="00AC56D6" w:rsidP="00AC56D6">
      <w:pPr>
        <w:pStyle w:val="TextoNormal"/>
      </w:pPr>
      <w:r>
        <w:t xml:space="preserve">a) La disposición adicional tercera de la Ley andaluza 13/2007, de 26 de noviembre, de medidas de prevención y protección integral contra la violencia de género, que ha introducido un último inciso en el párrafo segundo del art. 12.1 de la Ley 13/2005: “y salvo la posibilidad de permuta en casos de violencia de género, tal y como prevé la Ley de protección integral contra la violencia de género de Andalucía”. Permanecen inalterados el párrafo primero y el resto de apartados del artículo, que son los que los Diputados recurrentes reputan contrarios a los arts. 33 y 9.3 CE por regular derechos de tanteo y retracto en las trasmisiones </w:t>
      </w:r>
      <w:r w:rsidRPr="00AC56D6">
        <w:rPr>
          <w:i/>
        </w:rPr>
        <w:t>inter vivos</w:t>
      </w:r>
      <w:r>
        <w:t xml:space="preserve"> de viviendas protegidas a favor de la Administración. Consecuentemente, la indicada reforma no ha afectado al objeto del presente proceso constitucional.</w:t>
      </w:r>
    </w:p>
    <w:p w:rsidR="00AC56D6" w:rsidRDefault="00AC56D6" w:rsidP="00AC56D6">
      <w:pPr>
        <w:pStyle w:val="TextoNormal"/>
      </w:pPr>
    </w:p>
    <w:p w:rsidR="00AC56D6" w:rsidRDefault="00AC56D6" w:rsidP="00AC56D6">
      <w:pPr>
        <w:pStyle w:val="TextoNormal"/>
      </w:pPr>
      <w:r>
        <w:t>b) La disposición final quinta del Decreto-ley 5/2012, de 27 noviembre, de medidas urgentes en materia urbanística y para la protección del litoral de Andalucía, que ha dado nueva redacción a la letra c) del art. 18.3 de la Ley 7/2002, de 17 de diciembre, de ordenación urbanística de Andalucía; letra cuya redacción originaria provenía de una disposición impugnada en este presente proceso constitucional (art. 23.4 de la Ley 13/2005). El indicado Decreto-ley sustituye la redacción de aquella letra por otra nueva, pero la única novedad que introduce es la ampliación de uno a tres meses del plazo concedido a la Consejería competente en materia de vivienda para emitir informe sobre los plazos para el inicio y terminación de viviendas protegidas previstos en el plan general de ordenación urbana o en el instrumento que contenga la ordenación detallada. Los Diputados recurrentes han impugnado el art. 18.3 c) de la Ley de ordenación urbanística de Andalucía por entender que la sola exigencia de un informe favorable de aquella Consejería vulnera la protección constitucional de la autonomía local así como los arts. 25.2 d) y 62 LBRL. Consecuentemente, la nueva redacción no ha alterado los términos en que el recurso ha planteado la controversia. Comoquiera que esta controversia sigue viva y que su contenido es sustancialmente competencial, corresponde apreciar la no desaparición del objeto del proceso en este punto, tal como impone la ya consolidada doctrina constitucional (SSTC 102/2013, de 23 de abril, FJ 2, y 138/2013, de 6 de junio, FJ 2, remitiéndose ambas a la STC 133/2012, de 19 de junio, FJ 2), ello sin perjuicio de que una eventual declaración de inconstitucionalidad y nulidad habría de referirse a la redacción originaria del precepto impugnado.</w:t>
      </w:r>
    </w:p>
    <w:p w:rsidR="00AC56D6" w:rsidRDefault="00AC56D6" w:rsidP="00AC56D6">
      <w:pPr>
        <w:pStyle w:val="TextoNormal"/>
      </w:pPr>
    </w:p>
    <w:p w:rsidR="00AC56D6" w:rsidRDefault="00AC56D6" w:rsidP="00AC56D6">
      <w:pPr>
        <w:pStyle w:val="TextoNormal"/>
      </w:pPr>
      <w:r>
        <w:t xml:space="preserve">Por otra parte, una sola modificación ha afectado a las normas utilizables como parámetro de control en el presente proceso constitucional: la Ley Orgánica 2/2007, de 19 de marzo, que ha reformado la Ley Orgánica 6/1981, de 30 de diciembre, de Estatuto de Autonomía para Andalucía (en adelante, EAAnd). La señalada reforma ha reafirmado las competencias autonómicas en materia de urbanismo, vivienda y régimen local (arts. 56 y 60) e incluye ahora la garantía de “un núcleo competencial propio” de los municipios “que será ejercido con plena autonomía con sujeción sólo a los controles de constitucionalidad y legalidad” (art. 92.1) y la previsión de que “los Ayuntamientos tienen competencias propias” sobre “ordenación, gestión, ejecución y disciplina urbanística” [art. 92.2 a)] y “planificación, programación y gestión de viviendas y participación en la planificación de la vivienda de protección oficial” [art. 92.2 b)]. De acuerdo con nuestra doctrina sobre el </w:t>
      </w:r>
      <w:r w:rsidRPr="00AC56D6">
        <w:rPr>
          <w:i/>
        </w:rPr>
        <w:t>ius superveniens</w:t>
      </w:r>
      <w:r>
        <w:t xml:space="preserve"> [por todas, STC 34/2014, de 27 de febrero, FJ 2 c)], en el presente proceso constitucional corresponde tomar en consideración la versión actualmente vigente del Estatuto de Autonomía de Andalucía.</w:t>
      </w:r>
    </w:p>
    <w:p w:rsidR="00AC56D6" w:rsidRDefault="00AC56D6" w:rsidP="00AC56D6">
      <w:pPr>
        <w:pStyle w:val="TextoNormal"/>
      </w:pPr>
    </w:p>
    <w:p w:rsidR="00AC56D6" w:rsidRDefault="00AC56D6" w:rsidP="00AC56D6">
      <w:pPr>
        <w:pStyle w:val="TextoNormal"/>
      </w:pPr>
      <w:r w:rsidRPr="00AC56D6">
        <w:rPr>
          <w:rStyle w:val="NumeroAFNegritaCaracter"/>
        </w:rPr>
        <w:t>3</w:t>
      </w:r>
      <w:r>
        <w:t>. La Ley 13/2005, de 11 de noviembre, establece (por vez primera en texto con rango legal en la Comunidad Autónoma de Andalucía) un régimen jurídico “con la finalidad de facilitar el acceso” a una “vivienda digna y adecuada, de acuerdo con el artículo 47 de la Constitución” (art. 1), a “familias con recursos económicos limitados” y atender de “manera especial” las “necesidades habitacionales” de “grupos sociales con especiales dificultades”, como “jóvenes, mayores, personas con discapacidad, víctimas del terrorismo, familias monoparentales, los procedentes de situaciones de rupturas de unidades familiares, víctimas de la violencia de género y emigrantes retornados” (art. 3).</w:t>
      </w:r>
    </w:p>
    <w:p w:rsidR="00AC56D6" w:rsidRDefault="00AC56D6" w:rsidP="00AC56D6">
      <w:pPr>
        <w:pStyle w:val="TextoNormal"/>
      </w:pPr>
    </w:p>
    <w:p w:rsidR="00AC56D6" w:rsidRDefault="00AC56D6" w:rsidP="00AC56D6">
      <w:pPr>
        <w:pStyle w:val="TextoNormal"/>
      </w:pPr>
      <w:r>
        <w:lastRenderedPageBreak/>
        <w:t>La Ley regula lo que puede calificarse de estatuto especial de derechos y obligaciones del titular o usuario de vivienda protegida. Conforme a este estatuto, “las viviendas protegidas se destinarán a residencia habitual y permanente” (art. 4.1); los “compradores de viviendas protegidas no podrán transmitirlas ‘inter vivos’ ni ceder su uso por ningún título, durante el plazo mínimo de diez años desde la fecha de formalización de la adquisición”, salvo en supuestos excepcionales (art. 12.1, segundo párrafo); a lo largo del periodo de vigencia del llamado “régimen legal de protección” (art. 5.1), los actos de disposición quedan en todo caso sujetos al precio o renta máximos fijados para cada ámbito territorial por el correspondiente plan de vivienda y suelo (art. 6.1), prohibiéndose la “percepción de cualquier sobreprecio, prima o cantidad distinta a la que corresponda satisfacer”, “sin que pueda justificarse” “por mejoras u obras complementarias al proyecto aprobado” (art. 6.2). El indicado estatuto incluye la sujeción a un régimen sancionador específico (arts. 17 a 22) así como de expropiación por incumplimiento de la función social de la propiedad de las viviendas protegidas (art. 14) y de desahucio administrativo (arts. 15 a 16).</w:t>
      </w:r>
    </w:p>
    <w:p w:rsidR="00AC56D6" w:rsidRDefault="00AC56D6" w:rsidP="00AC56D6">
      <w:pPr>
        <w:pStyle w:val="TextoNormal"/>
      </w:pPr>
    </w:p>
    <w:p w:rsidR="00AC56D6" w:rsidRDefault="00AC56D6" w:rsidP="00AC56D6">
      <w:pPr>
        <w:pStyle w:val="TextoNormal"/>
      </w:pPr>
      <w:r>
        <w:t>Dentro de ese estatuto especial se halla el sometimiento al ejercicio por parte de la Administración de la Junta de Andalucía (o “del Ayuntamiento o entidad pública que sean designados por aquélla”) de derechos de tanteo y retracto sobre las “segundas o posteriores transmisiones inter vivos de la titularidad del derecho de propiedad o de cualquier otro derecho real de uso y disfrute sobre las viviendas protegidas” (art. 12.1, párrafo primero). Los derechos de tanteo y retracto son limitaciones a la trasmisión de viviendas protegidas. Permiten que la Administración adquiera la vivienda al precio fijado con preferencia frente a otros (tanteo) así como adquirir la ya trasmitida a un tercero con incumplimiento de las condiciones establecidas para el ejercicio del derecho de tanteo (retracto). Los Diputados recurrentes impugnan la previsión de estos derechos, por entender que vulnera los arts. 33 y 9.3 CE. Tal previsión se halla en los arts. 12 y 13 de la Ley, que disponen lo siguiente:</w:t>
      </w:r>
    </w:p>
    <w:p w:rsidR="00AC56D6" w:rsidRDefault="00AC56D6" w:rsidP="00AC56D6">
      <w:pPr>
        <w:pStyle w:val="TextoNormal"/>
      </w:pPr>
    </w:p>
    <w:p w:rsidR="00AC56D6" w:rsidRDefault="00AC56D6" w:rsidP="00AC56D6">
      <w:pPr>
        <w:pStyle w:val="TextoNormal"/>
      </w:pPr>
      <w:r>
        <w:t>“Artículo 12 Derechos de tanteo y retracto</w:t>
      </w:r>
    </w:p>
    <w:p w:rsidR="00AC56D6" w:rsidRDefault="00AC56D6" w:rsidP="00AC56D6">
      <w:pPr>
        <w:pStyle w:val="TextoNormal"/>
      </w:pPr>
    </w:p>
    <w:p w:rsidR="00AC56D6" w:rsidRDefault="00AC56D6" w:rsidP="00AC56D6">
      <w:pPr>
        <w:pStyle w:val="TextoNormal"/>
      </w:pPr>
      <w:r>
        <w:t>1. Las segundas o posteriores transmisiones inter vivos de la titularidad del derecho de propiedad o de cualquier otro derecho real de uso y disfrute sobre las viviendas protegidas estarán sujetas a los derechos de tanteo y retracto legal en favor de la Administración de la Junta de Andalucía, o del Ayuntamiento o entidad pública que sean designados por aquélla.</w:t>
      </w:r>
    </w:p>
    <w:p w:rsidR="00AC56D6" w:rsidRDefault="00AC56D6" w:rsidP="00AC56D6">
      <w:pPr>
        <w:pStyle w:val="TextoNormal"/>
      </w:pPr>
    </w:p>
    <w:p w:rsidR="00AC56D6" w:rsidRDefault="00AC56D6" w:rsidP="00AC56D6">
      <w:pPr>
        <w:pStyle w:val="TextoNormal"/>
      </w:pPr>
      <w:r>
        <w:t>Los compradores de viviendas protegidas no podrán transmitirlas "inter vivos" ni ceder su uso por ningún título, durante el plazo mínimo de diez años desde la fecha de formalización de la adquisición, con las excepciones que reglamentariamente se establezcan.</w:t>
      </w:r>
    </w:p>
    <w:p w:rsidR="00AC56D6" w:rsidRDefault="00AC56D6" w:rsidP="00AC56D6">
      <w:pPr>
        <w:pStyle w:val="TextoNormal"/>
      </w:pPr>
    </w:p>
    <w:p w:rsidR="00AC56D6" w:rsidRDefault="00AC56D6" w:rsidP="00AC56D6">
      <w:pPr>
        <w:pStyle w:val="TextoNormal"/>
      </w:pPr>
      <w:r>
        <w:t>2. Sin perjuicio de la autorización que requiera la transmisión del derecho sobre la vivienda protegida, los/las titulares de viviendas protegidas comunicarán al órgano competente previsto en el apartado anterior la decisión de trasmitir, e indicarán el precio, la forma de pago y las demás condiciones de la transmisión.</w:t>
      </w:r>
    </w:p>
    <w:p w:rsidR="00AC56D6" w:rsidRDefault="00AC56D6" w:rsidP="00AC56D6">
      <w:pPr>
        <w:pStyle w:val="TextoNormal"/>
      </w:pPr>
    </w:p>
    <w:p w:rsidR="00AC56D6" w:rsidRDefault="00AC56D6" w:rsidP="00AC56D6">
      <w:pPr>
        <w:pStyle w:val="TextoNormal"/>
      </w:pPr>
      <w:r>
        <w:t>Al mismo tiempo, la persona interesada en la adquisición deberá comunicar al citado órgano competente sus datos e ingresos económicos anuales, así como los del resto de los miembros integrantes de su unidad familiar.</w:t>
      </w:r>
    </w:p>
    <w:p w:rsidR="00AC56D6" w:rsidRDefault="00AC56D6" w:rsidP="00AC56D6">
      <w:pPr>
        <w:pStyle w:val="TextoNormal"/>
      </w:pPr>
    </w:p>
    <w:p w:rsidR="00AC56D6" w:rsidRDefault="00AC56D6" w:rsidP="00AC56D6">
      <w:pPr>
        <w:pStyle w:val="TextoNormal"/>
      </w:pPr>
      <w:r>
        <w:lastRenderedPageBreak/>
        <w:t>El derecho de tanteo habrá de ejercitarse en el plazo de sesenta días naturales a partir del siguiente a aquél en que se haya producido la última de las comunicaciones anteriores; si transcurrido ese plazo no se hubiera ejercitado el tanteo, podrá llevarse a efecto la transmisión comunicada en sus mismos términos.</w:t>
      </w:r>
    </w:p>
    <w:p w:rsidR="00AC56D6" w:rsidRDefault="00AC56D6" w:rsidP="00AC56D6">
      <w:pPr>
        <w:pStyle w:val="TextoNormal"/>
      </w:pPr>
    </w:p>
    <w:p w:rsidR="00AC56D6" w:rsidRDefault="00AC56D6" w:rsidP="00AC56D6">
      <w:pPr>
        <w:pStyle w:val="TextoNormal"/>
      </w:pPr>
      <w:r>
        <w:t>3. La persona adquirente deberá comunicar a dicho órgano competente, en el plazo de los treinta días naturales siguientes a la transmisión, las condiciones en las que se ha producido la venta, así como una copia de la escritura o documento donde la venta se haya formalizado.</w:t>
      </w:r>
    </w:p>
    <w:p w:rsidR="00AC56D6" w:rsidRDefault="00AC56D6" w:rsidP="00AC56D6">
      <w:pPr>
        <w:pStyle w:val="TextoNormal"/>
      </w:pPr>
    </w:p>
    <w:p w:rsidR="00AC56D6" w:rsidRDefault="00AC56D6" w:rsidP="00AC56D6">
      <w:pPr>
        <w:pStyle w:val="TextoNormal"/>
      </w:pPr>
      <w:r>
        <w:t>4. En el caso de que quienes transmitan o adquieran no hubieran realizado las comunicaciones a las que se refiere el apartado 2, de que las comunicaciones fueran incompletas o defectuosas, o de que la transmisión se haya producido antes del transcurso del plazo señalado para el ejercicio del derecho de tanteo, o en condiciones distintas a las anunciadas, el órgano competente podrá ejercer el derecho de retracto en el plazo de sesenta días naturales a contar desde el siguiente a la comunicación de la transmisión, o de que ésta hubiere llegado a su conocimiento, fehacientemente, por cualquier otro medio.</w:t>
      </w:r>
    </w:p>
    <w:p w:rsidR="00AC56D6" w:rsidRDefault="00AC56D6" w:rsidP="00AC56D6">
      <w:pPr>
        <w:pStyle w:val="TextoNormal"/>
      </w:pPr>
    </w:p>
    <w:p w:rsidR="00AC56D6" w:rsidRDefault="00AC56D6" w:rsidP="00AC56D6">
      <w:pPr>
        <w:pStyle w:val="TextoNormal"/>
      </w:pPr>
      <w:r>
        <w:t>5. Los derechos de tanteo y retracto, así como el régimen de comunicaciones a los que se refiere el presente artículo, deberán constar expresamente en la correspondiente escritura pública y tendrán su reflejo en la respectiva inscripción registral.</w:t>
      </w:r>
    </w:p>
    <w:p w:rsidR="00AC56D6" w:rsidRDefault="00AC56D6" w:rsidP="00AC56D6">
      <w:pPr>
        <w:pStyle w:val="TextoNormal"/>
      </w:pPr>
    </w:p>
    <w:p w:rsidR="00AC56D6" w:rsidRDefault="00AC56D6" w:rsidP="00AC56D6">
      <w:pPr>
        <w:pStyle w:val="TextoNormal"/>
      </w:pPr>
      <w:r>
        <w:t>6. El derecho de tanteo se ejercerá hasta por un precio máximo igual al vigente para las viviendas protegidas de la tipología de que se trate en el correspondiente ámbito territorial en la fecha en que se pretenda la enajenación.</w:t>
      </w:r>
    </w:p>
    <w:p w:rsidR="00AC56D6" w:rsidRDefault="00AC56D6" w:rsidP="00AC56D6">
      <w:pPr>
        <w:pStyle w:val="TextoNormal"/>
      </w:pPr>
    </w:p>
    <w:p w:rsidR="00AC56D6" w:rsidRDefault="00AC56D6" w:rsidP="00AC56D6">
      <w:pPr>
        <w:pStyle w:val="TextoNormal"/>
      </w:pPr>
      <w:r>
        <w:t>El derecho de retracto se ejercerá por el precio de transmisión, que no podrá superar el máximo vigente para las viviendas protegidas a que se refiere el párrafo anterior.</w:t>
      </w:r>
    </w:p>
    <w:p w:rsidR="00AC56D6" w:rsidRDefault="00AC56D6" w:rsidP="00AC56D6">
      <w:pPr>
        <w:pStyle w:val="TextoNormal"/>
      </w:pPr>
    </w:p>
    <w:p w:rsidR="00AC56D6" w:rsidRDefault="00AC56D6" w:rsidP="00AC56D6">
      <w:pPr>
        <w:pStyle w:val="TextoNormal"/>
      </w:pPr>
      <w:r>
        <w:t>7. La fijación de tanteos y retractos convencionales en las promociones de viviendas protegidas deberá respetar el ejercicio de los derechos de tanteo y retracto legal a los que se refiere este artículo.</w:t>
      </w:r>
    </w:p>
    <w:p w:rsidR="00AC56D6" w:rsidRDefault="00AC56D6" w:rsidP="00AC56D6">
      <w:pPr>
        <w:pStyle w:val="TextoNormal"/>
      </w:pPr>
    </w:p>
    <w:p w:rsidR="00AC56D6" w:rsidRDefault="00AC56D6" w:rsidP="00AC56D6">
      <w:pPr>
        <w:pStyle w:val="TextoNormal"/>
      </w:pPr>
      <w:r>
        <w:t>8. En el ejercicio de los derechos de tanteo y retracto, sus titulares podrán designar a quién se adjudica la vivienda protegida, que se subrogará en la posición de aquellos.</w:t>
      </w:r>
    </w:p>
    <w:p w:rsidR="00AC56D6" w:rsidRDefault="00AC56D6" w:rsidP="00AC56D6">
      <w:pPr>
        <w:pStyle w:val="TextoNormal"/>
      </w:pPr>
    </w:p>
    <w:p w:rsidR="00AC56D6" w:rsidRDefault="00AC56D6" w:rsidP="00AC56D6">
      <w:pPr>
        <w:pStyle w:val="TextoNormal"/>
      </w:pPr>
      <w:r>
        <w:t>La selección de dicha persona adjudicataria se realizará en la forma prevista en el artículo 3.”</w:t>
      </w:r>
    </w:p>
    <w:p w:rsidR="00AC56D6" w:rsidRDefault="00AC56D6" w:rsidP="00AC56D6">
      <w:pPr>
        <w:pStyle w:val="TextoNormal"/>
      </w:pPr>
    </w:p>
    <w:p w:rsidR="00AC56D6" w:rsidRDefault="00AC56D6" w:rsidP="00AC56D6">
      <w:pPr>
        <w:pStyle w:val="TextoNormal"/>
      </w:pPr>
      <w:r>
        <w:t>“Artículo 13 Elevación a escritura pública, inscripción en el Registro de la Propiedad y otras garantías</w:t>
      </w:r>
    </w:p>
    <w:p w:rsidR="00AC56D6" w:rsidRDefault="00AC56D6" w:rsidP="00AC56D6">
      <w:pPr>
        <w:pStyle w:val="TextoNormal"/>
      </w:pPr>
    </w:p>
    <w:p w:rsidR="00AC56D6" w:rsidRDefault="00AC56D6" w:rsidP="00AC56D6">
      <w:pPr>
        <w:pStyle w:val="TextoNormal"/>
      </w:pPr>
      <w:r>
        <w:t xml:space="preserve">1. Las Notarias y los Notarios, para elevar a escritura pública la transmisión de la titularidad o, en su caso, de los derechos reales de uso y disfrute vitalicio de viviendas protegidas sujetas a los derechos de tanteo y retracto, exigirán que se acrediten por las respectivas personas transmitentes y adquirentes las comunicaciones al órgano competente respecto de la oferta de venta con los requisitos señalados en el apartado 2 del artículo 12, así como el </w:t>
      </w:r>
      <w:r>
        <w:lastRenderedPageBreak/>
        <w:t>vencimiento del plazo establecido para el ejercicio del derecho de tanteo, circunstancias que deberán testimoniarse en las correspondientes escrituras.</w:t>
      </w:r>
    </w:p>
    <w:p w:rsidR="00AC56D6" w:rsidRDefault="00AC56D6" w:rsidP="00AC56D6">
      <w:pPr>
        <w:pStyle w:val="TextoNormal"/>
      </w:pPr>
    </w:p>
    <w:p w:rsidR="00AC56D6" w:rsidRDefault="00AC56D6" w:rsidP="00AC56D6">
      <w:pPr>
        <w:pStyle w:val="TextoNormal"/>
      </w:pPr>
      <w:r>
        <w:t>2. Igualmente deberán comunicar a la Consejería competente en materia de vivienda la transmisión, mediante remisión por el procedimiento que se determine de copia simple de la escritura pública en la que se hubiera instrumentado la venta de una vivienda protegida.</w:t>
      </w:r>
    </w:p>
    <w:p w:rsidR="00AC56D6" w:rsidRDefault="00AC56D6" w:rsidP="00AC56D6">
      <w:pPr>
        <w:pStyle w:val="TextoNormal"/>
      </w:pPr>
    </w:p>
    <w:p w:rsidR="00AC56D6" w:rsidRDefault="00AC56D6" w:rsidP="00AC56D6">
      <w:pPr>
        <w:pStyle w:val="TextoNormal"/>
      </w:pPr>
      <w:r>
        <w:t>3. Para inscribir en el Registro de la Propiedad las transmisiones efectuadas sobre las viviendas protegidas, deberá acreditarse el cumplimiento de las obligaciones contempladas en el artículo 12 y en el apartado 2 del presente artículo, con los requisitos exigidos en los mismos.</w:t>
      </w:r>
    </w:p>
    <w:p w:rsidR="00AC56D6" w:rsidRDefault="00AC56D6" w:rsidP="00AC56D6">
      <w:pPr>
        <w:pStyle w:val="TextoNormal"/>
      </w:pPr>
    </w:p>
    <w:p w:rsidR="00AC56D6" w:rsidRDefault="00AC56D6" w:rsidP="00AC56D6">
      <w:pPr>
        <w:pStyle w:val="TextoNormal"/>
      </w:pPr>
      <w:r>
        <w:t>4. Serán nulas de pleno derecho las transmisiones en las que las partes no hayan efectuado, en la forma y plazos previstos, las comunicaciones previstas en el artículo 12 en relación con los derechos de tanteo y retracto.”</w:t>
      </w:r>
    </w:p>
    <w:p w:rsidR="00AC56D6" w:rsidRDefault="00AC56D6" w:rsidP="00AC56D6">
      <w:pPr>
        <w:pStyle w:val="TextoNormal"/>
      </w:pPr>
    </w:p>
    <w:p w:rsidR="00AC56D6" w:rsidRDefault="00AC56D6" w:rsidP="00AC56D6">
      <w:pPr>
        <w:pStyle w:val="TextoNormal"/>
      </w:pPr>
      <w:r>
        <w:t>El nuevo régimen legal de derechos de tanteo y retracto no resulta aplicable a las trasmisiones anteriores a la entrada en vigor de la Ley. No obstante, alcanza a las posteriores, aunque se refieran a viviendas calificadas como tales antes de la entrada en vigor de la Ley y aunque su régimen de protección no incluyese derechos de tanteo y retracto a favor de la Administración, según resulta también del Reglamento de viviendas protegidas de la Comunidad Autónoma de Andalucía y de desarrollo de determinadas disposiciones de la Ley 13/2005 (aprobado por Decreto 149/2006, de 25 de julio), la Orden de 20 de enero de 2006 de la Consejería de Obras Públicas y la instrucción de 29 de diciembre de 2005 de este mismo órgano (publicados en el “Boletín Oficial de la Junta de Andalucía” núms. 153, 16 y 5 de 8 de agosto, 25 de enero y 10 de enero de 2006, respectivamente). Ello no es objeto de controversia en el presente proceso constitucional: los Diputados recurrentes y las Letradas autonómicas están de acuerdo en que las previsiones controvertidas permiten que la Administración pueda ejercer sus derechos de tanteo y retracto en las trasmisiones posteriores a la entrada en vigor de la Ley, aunque se refieran a viviendas calificadas como protegidas con anterioridad y bajo un régimen jurídico que no preveía tales derechos.</w:t>
      </w:r>
    </w:p>
    <w:p w:rsidR="00AC56D6" w:rsidRDefault="00AC56D6" w:rsidP="00AC56D6">
      <w:pPr>
        <w:pStyle w:val="TextoNormal"/>
      </w:pPr>
    </w:p>
    <w:p w:rsidR="00AC56D6" w:rsidRDefault="00AC56D6" w:rsidP="00AC56D6">
      <w:pPr>
        <w:pStyle w:val="TextoNormal"/>
      </w:pPr>
      <w:r>
        <w:t>La impugnación queda así acotada a la determinación de si los arts. 12 y 13 de la Ley 13/2005, al proyectarse sobre viviendas que fueron adquiridas bajo la vigencia de regímenes de protección que no atribuían a la Administración derechos de tanteo y retracto, vulneran el derecho de propiedad (art. 33 CE) y el principio constitucional de irretroactividad de las disposiciones restrictivas de derechos individuales (art. 9.3 CE).</w:t>
      </w:r>
    </w:p>
    <w:p w:rsidR="00AC56D6" w:rsidRDefault="00AC56D6" w:rsidP="00AC56D6">
      <w:pPr>
        <w:pStyle w:val="TextoNormal"/>
      </w:pPr>
    </w:p>
    <w:p w:rsidR="00AC56D6" w:rsidRDefault="00AC56D6" w:rsidP="00AC56D6">
      <w:pPr>
        <w:pStyle w:val="TextoNormal"/>
      </w:pPr>
      <w:r w:rsidRPr="00AC56D6">
        <w:rPr>
          <w:rStyle w:val="NumeroAFNegritaCaracter"/>
        </w:rPr>
        <w:t>4</w:t>
      </w:r>
      <w:r>
        <w:t>. Para resolver la impugnación, empezaremos por constatar lo evidente: los preceptos señalados limitan derechos, que en Andalucía atribuía el ordenamiento jurídico a los titulares de vivienda protegida para trasmitir estas sin que la Administración pudiera adquirirlas forzosamente con preferencia sobre otros. La nueva regulación ha delimitado de este modo, restringiéndola, la libertad con que contaban estos titulares de viviendas protegidas para elegir comprador o adquirente, gravándoles, además, con nuevas obligaciones de comunicación destinadas a asegurar que la Junta de Andalucía pueda ejercer sus derechos de adquisición preferente. Dicho de otro modo, el legislador andaluz ha cambiado la posición jurídica de una serie de titulares de vivienda protegida al variar el contenido estatutario de su derecho de propiedad.</w:t>
      </w:r>
    </w:p>
    <w:p w:rsidR="00AC56D6" w:rsidRDefault="00AC56D6" w:rsidP="00AC56D6">
      <w:pPr>
        <w:pStyle w:val="TextoNormal"/>
      </w:pPr>
    </w:p>
    <w:p w:rsidR="00AC56D6" w:rsidRDefault="00AC56D6" w:rsidP="00AC56D6">
      <w:pPr>
        <w:pStyle w:val="TextoNormal"/>
      </w:pPr>
      <w:r>
        <w:t>El derecho restringido en este caso es el que había previamente atribuido la propia Administración en el marco de una política social que aseguró a su titular un régimen privilegiado de acceso a una vivienda. No por ello este derecho queda desprovisto de las garantías reconocidas en el art. 33 CE, sin perjuicio de lo que después se dirá. Conforme a las SSTC 6/1983, de 4 de febrero, FJ 2, y 65/1987, de 21 de febrero, FFJJ 12 y 15, la garantía constitucional del derecho de propiedad cubre también los derechos reconocidos a través de acciones de protección social. La primera Sentencia analizó la nueva configuración de los derechos atribuidos frente a una mutualidad de previsión social a la luz de los arts. 33 y 9.3 CE, concluyendo que se ajustaba a estos imperativos constitucionales. La segunda concluyó del mismo modo que una reducción del régimen de beneficios fiscales del propietario de vivienda protegida no vulneraba los arts. 33 y 9.3 CE, no porque estas previsiones constitucionales no fueran aplicables, sino porque la regulación cuestionada se ajustaba a ellas.</w:t>
      </w:r>
    </w:p>
    <w:p w:rsidR="00AC56D6" w:rsidRDefault="00AC56D6" w:rsidP="00AC56D6">
      <w:pPr>
        <w:pStyle w:val="TextoNormal"/>
      </w:pPr>
    </w:p>
    <w:p w:rsidR="00AC56D6" w:rsidRDefault="00AC56D6" w:rsidP="00AC56D6">
      <w:pPr>
        <w:pStyle w:val="TextoNormal"/>
      </w:pPr>
      <w:r>
        <w:t>Sentado lo anterior, es también claro que en el marco del Estado social (art. 1.1 CE), el legislador está autorizado a negar pura y simplemente el derecho de propiedad por razones de utilidad pública e interés general —con los límites que impone el art. 33.3 CE— o, sin llegar hasta este extremo, a restringirlo para ajustar su contenido a los más variados objetivos colectivos (arts. 33.2 y 128.1 CE) con la consiguiente generación de “diferentes tipos de propiedades dotadas de estatutos jurídicos diversos” (SSTC 37/1987, de 26 de marzo, FJ 2, y 204/2004, de 18 de noviembre, FJ 5); la Constitución reconoce el derecho a la propiedad como un “haz de facultades individuales”, pero también como “un conjunto de derechos y obligaciones establecidos, de acuerdo con las leyes, en atención a valores o intereses de la comunidad” (STC 204/2004, de 18 de noviembre, FJ 5). El legislador puede de este modo articular la función social de la propiedad imponiendo cargas o extrayendo facultades del haz que él mismo ha asegurado previamente a través, por ejemplo, de prohibiciones de construir edificaciones destinadas a residencia o de instalar carteles de publicidad en la zona de la servidumbre de protección de la ribera del mar [art. 25 de la Ley de costas; STC 149/1991, de 4 de julio, FFJ 2 y 8], extinguir el contrato de arrendamiento de un inmueble destinado a vivienda llegado el día del vencimiento pactado (STC 89/1994, de 17 de abril, FJ 5) o destinar una finca a cualquier aprovechamiento incompatible con una rigurosa protección medioambiental (STC 170/1989, de 19 de octubre, FJ 8).</w:t>
      </w:r>
    </w:p>
    <w:p w:rsidR="00AC56D6" w:rsidRDefault="00AC56D6" w:rsidP="00AC56D6">
      <w:pPr>
        <w:pStyle w:val="TextoNormal"/>
      </w:pPr>
    </w:p>
    <w:p w:rsidR="00AC56D6" w:rsidRDefault="00AC56D6" w:rsidP="00AC56D6">
      <w:pPr>
        <w:pStyle w:val="TextoNormal"/>
      </w:pPr>
      <w:r>
        <w:t>En este caso, el sometimiento del titular de viviendas protegidas a derechos de adquisición preferente responde claramente a una finalidad de interés general: el acceso a una vivienda digna por parte de personas necesitadas. La limitación coadyuva a este objetivo porque sirve a la evitación del fraude en las transacciones (el cobro de sobreprecios en “negro”) y a la generación de bolsas de vivienda protegida de titularidad pública. La limitación señalada se ampara de este modo en razones que, por lo demás, son particularmente poderosas al entroncar con un pilar constitucional: el compromiso de los poderes públicos por la promoción de las condiciones que aseguren la efectividad de la integración en la vida social (art. 9.2 CE), en general, y el acceso a una vivienda digna (art. 47 CE), en particular. Conecta igualmente con el mandato constitucional de protección social y económica de la familia (art. 39.1 CE), la juventud (art. 48 CE), la tercera edad (art. 50 CE), las personas con discapacidad (art. 49 CE) y los emigrantes retornados (art. 42 CE).</w:t>
      </w:r>
    </w:p>
    <w:p w:rsidR="00AC56D6" w:rsidRDefault="00AC56D6" w:rsidP="00AC56D6">
      <w:pPr>
        <w:pStyle w:val="TextoNormal"/>
      </w:pPr>
    </w:p>
    <w:p w:rsidR="00AC56D6" w:rsidRDefault="00AC56D6" w:rsidP="00AC56D6">
      <w:pPr>
        <w:pStyle w:val="TextoNormal"/>
      </w:pPr>
      <w:r>
        <w:t xml:space="preserve">La restricción indicada tiene un limitado alcance. El sometimiento al ejercicio del derecho de tanteo y retracto no afecta a la facultad en sí de trasmitir; incide sólo sobre la de </w:t>
      </w:r>
      <w:r>
        <w:lastRenderedPageBreak/>
        <w:t xml:space="preserve">elegir adquirente. A su vez, tal limitación afecta sólo a las trasmisiones </w:t>
      </w:r>
      <w:r w:rsidRPr="00AC56D6">
        <w:rPr>
          <w:i/>
        </w:rPr>
        <w:t>inter vivos</w:t>
      </w:r>
      <w:r>
        <w:t xml:space="preserve">, no a las </w:t>
      </w:r>
      <w:r w:rsidRPr="00AC56D6">
        <w:rPr>
          <w:i/>
        </w:rPr>
        <w:t>mortis causa</w:t>
      </w:r>
      <w:r>
        <w:t xml:space="preserve">. Además, las trasmisiones </w:t>
      </w:r>
      <w:r w:rsidRPr="00AC56D6">
        <w:rPr>
          <w:i/>
        </w:rPr>
        <w:t>inter vivos</w:t>
      </w:r>
      <w:r>
        <w:t xml:space="preserve"> a las que se refiere son las segundas y sucesivas y únicamente durante el periodo de vigencia del régimen legal de protección. Por otra parte, estos derechos de adquisición preferente, cuando se ejercen para evitar conductas fraudulentas, funcionan como mecanismo de control de la regularidad de las trasmisiones por lo que el titular incumplidor está obligado a soportar los perjuicios consecuentes; perjuicios que en modo alguno pueden reputarse sacrificios a los efectos de la indemnización prevista en el art. 33.3 CE. En tal caso, la limitación funciona como instrumental de otras que ya estaban previstas y, en particular, de la consubstancial a todo régimen de trasmisión de vivienda con precio administrativo: la prohibición de cobrar cantidades adicionales a los precios o rentas fijados como máximos por la Administración.</w:t>
      </w:r>
    </w:p>
    <w:p w:rsidR="00AC56D6" w:rsidRDefault="00AC56D6" w:rsidP="00AC56D6">
      <w:pPr>
        <w:pStyle w:val="TextoNormal"/>
      </w:pPr>
    </w:p>
    <w:p w:rsidR="00AC56D6" w:rsidRDefault="00AC56D6" w:rsidP="00AC56D6">
      <w:pPr>
        <w:pStyle w:val="TextoNormal"/>
      </w:pPr>
      <w:r>
        <w:t>En todo caso, el ejercicio de estos derechos, aunque responda a fines distintos, no asociados a comportamientos antijurídicos de los beneficiarios de viviendas protegidas, no produce en abstracto perjuicios de relevancia desde la perspectiva del control constitucional de las exigencias derivadas del art. 33 CE: es habitual que al vendedor le sea indiferente quien sea el comprador. En consecuencia, únicamente podría resultar perjudicado el propietario que tenga interés en que el adquirente sea una persona determinada y sólo si la Administración opta por ejercer efectivamente sus derechos de tanteo y retracto. Ahora bien, incluso en este caso, al menos desde la perspectiva de control abstracto que aquí corresponde, ese perjuicio carece de significación porque no puede reputarse sorpresivo ni inesperado en el marco de un sector del ordenamiento necesariamente expuesto a una fuerte intervención pública y a cambios normativos; ese sector es el que permitió en su momento al transmisor acceder a una vivienda en condiciones privilegiadas (mejores de las que ofrece el mercado) a cambio de un régimen de uso y disposición (más restringido que el ordinario del Derecho privado) que ya entonces era especial y estaba fuertemente intervenido.</w:t>
      </w:r>
    </w:p>
    <w:p w:rsidR="00AC56D6" w:rsidRDefault="00AC56D6" w:rsidP="00AC56D6">
      <w:pPr>
        <w:pStyle w:val="TextoNormal"/>
      </w:pPr>
    </w:p>
    <w:p w:rsidR="00AC56D6" w:rsidRDefault="00AC56D6" w:rsidP="00AC56D6">
      <w:pPr>
        <w:pStyle w:val="TextoNormal"/>
      </w:pPr>
      <w:r>
        <w:t>Consecuentemente, la sujeción del titular de viviendas protegidas al ejercicio de derechos de tanteo y retracto por parte de la Administración de la Junta de Andalucía se ajusta al régimen constitucional del derecho de propiedad (art. 33 CE).</w:t>
      </w:r>
    </w:p>
    <w:p w:rsidR="00AC56D6" w:rsidRDefault="00AC56D6" w:rsidP="00AC56D6">
      <w:pPr>
        <w:pStyle w:val="TextoNormal"/>
      </w:pPr>
    </w:p>
    <w:p w:rsidR="00AC56D6" w:rsidRDefault="00AC56D6" w:rsidP="00AC56D6">
      <w:pPr>
        <w:pStyle w:val="TextoNormal"/>
      </w:pPr>
      <w:r w:rsidRPr="00AC56D6">
        <w:rPr>
          <w:rStyle w:val="NumeroAFNegritaCaracter"/>
        </w:rPr>
        <w:t>5</w:t>
      </w:r>
      <w:r>
        <w:t>. Descartada la lesión del derecho de propiedad (art. 33 CE), debemos abordar seguidamente la cuestión relativa a la infracción del principio constitucional de irretroactividad de las disposiciones restrictivas de derechos individuales (art. 9.3 CE), que los Diputados recurrentes achacan también a los arts. 12 y 13 de la Ley 13/2005, pues entienden que el nuevo régimen de tanteo y retracto que establecen dichos preceptos constituye una medida restrictiva del derecho a la propiedad privada, al aplicarse a viviendas protegidas que fueron adquiridas bajo la vigencia de regímenes jurídicos que no atribuían a la Administración derechos de adquisición preferente.</w:t>
      </w:r>
    </w:p>
    <w:p w:rsidR="00AC56D6" w:rsidRDefault="00AC56D6" w:rsidP="00AC56D6">
      <w:pPr>
        <w:pStyle w:val="TextoNormal"/>
      </w:pPr>
    </w:p>
    <w:p w:rsidR="00AC56D6" w:rsidRDefault="00AC56D6" w:rsidP="00AC56D6">
      <w:pPr>
        <w:pStyle w:val="TextoNormal"/>
      </w:pPr>
      <w:r>
        <w:t xml:space="preserve">Sin necesidad de entrar a examinar la noción “derechos individuales” que emplea el art. 9.3 CE, no puede aceptarse tampoco que los artículos impugnados vulneren la interdicción de retroactividad contenida en el art. 9.3 CE. Como ya señalábamos desde nuestros primeros pronunciamientos (SSTC 42/1986, de 10 de abril, FJ 3, y 65/1987, de 21 de mayo, FJ 19), lo que se prohíbe en ese artículo es la retroactividad entendida como incidencia de la nueva ley en los efectos jurídicos ya producidos de situaciones anteriores, de suerte que la incidencia en los derechos, en cuanto a su proyección hacia el futuro, no pertenece al campo estricto de la irretroactividad, sino al de la protección que tales derechos, en el supuesto de </w:t>
      </w:r>
      <w:r>
        <w:lastRenderedPageBreak/>
        <w:t xml:space="preserve">que experimenten alguna vulneración, hayan de recibir. En consonancia con ello, procede excluir la presencia de efectos retroactivos constitucionalmente prohibidos en el presente caso. Primeramente porque la eficacia de la norma se proyecta hacia situaciones futuras, sin pretender establecer efectos derivados de una incompatibilidad </w:t>
      </w:r>
      <w:r w:rsidRPr="00AC56D6">
        <w:rPr>
          <w:i/>
        </w:rPr>
        <w:t>pro praeterito</w:t>
      </w:r>
      <w:r>
        <w:t xml:space="preserve">, a partir de una fecha fijada con anterioridad a la Ley. Y, correspondientemente, porque no se ven afectadas las trasmisiones </w:t>
      </w:r>
      <w:r w:rsidRPr="00AC56D6">
        <w:rPr>
          <w:i/>
        </w:rPr>
        <w:t>inter vivos</w:t>
      </w:r>
      <w:r>
        <w:t xml:space="preserve"> celebradas con anterioridad a la entrada en vigor de la Ley. En consecuencia, el régimen de los derechos de adquisición preferente regulado en los arts. 12 y 13 no es inconstitucional.</w:t>
      </w:r>
    </w:p>
    <w:p w:rsidR="00AC56D6" w:rsidRDefault="00AC56D6" w:rsidP="00AC56D6">
      <w:pPr>
        <w:pStyle w:val="TextoNormal"/>
      </w:pPr>
    </w:p>
    <w:p w:rsidR="00AC56D6" w:rsidRDefault="00AC56D6" w:rsidP="00AC56D6">
      <w:pPr>
        <w:pStyle w:val="TextoNormal"/>
      </w:pPr>
      <w:r w:rsidRPr="00AC56D6">
        <w:rPr>
          <w:rStyle w:val="NumeroAFNegritaCaracter"/>
        </w:rPr>
        <w:t>6</w:t>
      </w:r>
      <w:r>
        <w:t>. Las impugnaciones restantes se dirigen contra preceptos de la Ley 13/2005 que modifican la Ley de ordenación urbanística de Andalucía para atribuir mayores competencias urbanísticas a la Junta de Andalucía y regular técnicas de control autonómico de la actividad local. Corresponde, en consecuencia, tomar en consideración la doctrina constitucional relativa a las competencias locales, por un lado, y al control autonómico de su ejercicio, por otro; doctrina que pasamos a exponer a continuación.</w:t>
      </w:r>
    </w:p>
    <w:p w:rsidR="00AC56D6" w:rsidRDefault="00AC56D6" w:rsidP="00AC56D6">
      <w:pPr>
        <w:pStyle w:val="TextoNormal"/>
      </w:pPr>
    </w:p>
    <w:p w:rsidR="00AC56D6" w:rsidRDefault="00AC56D6" w:rsidP="00AC56D6">
      <w:pPr>
        <w:pStyle w:val="TextoNormal"/>
      </w:pPr>
      <w:r>
        <w:t>a) En cuanto a las competencias, la Constitución no precisa las que corresponden a los entes locales (STC 32/1981, de 28 de julio, FJ 3). No obstante, el art. 137 CE delimita en alguna medida el ámbito de los diversos “poderes autónomos” al circunscribirlo a la “gestión de sus respectivos intereses”, lo que “exige que se dote a cada ente de todas las competencias propias y exclusivas que sean necesarias para satisfacer el interés respectivo” (STC 4/1981, de 2 de febrero, FJ 3). El legislador básico estatal ha establecido criterios generales (arts. 2.1, 25.2, 26 y 36 LBRL) sin descender a la fijación detallada de las competencias locales (STC 214/1989, de 21 de diciembre, FJ 3). Consecuentemente, en ámbitos de competencia autonómica, corresponde a las Comunidades Autónomas especificar las atribuciones de los entes locales ajustándose a esos criterios y ponderando en todo caso el alcance o intensidad de los intereses locales y supralocales implicados [SSTC 61/1997, de 20 de marzo, FJ 25 b); 40/1998, de 19 de febrero, FJ 39; 159/2001, de 5 de julio, FJ 12, y 51/2004, de 13 de abril, FJ 9]. Ello implica que, en relación con los asuntos de competencia autonómica que atañen a los entes locales, la Comunidad Autónoma puede ejercer en uno u otro sentido su libertad de configuración a la hora de distribuir funciones, pero debe asegurar en todo caso el “derecho de la comunidad local a participar a través de órganos propios en el gobierno y administración” (STC 32/1981, FJ 4). Se trata de que el legislador gradúe el alcance o intensidad de la intervención local “en función de la relación existente entre los intereses locales y supralocales dentro de tales asuntos o materias” (SSTC 32/1981, FJ 4; 170/1989, 19 de octubre, FJ 9, y 51/2004, FJ 9, entre muchas; en el mismo sentido, últimamente, SSTC 95/2014, de 12 de junio, FJ 5; 57/2015, de 18 de marzo, FJ 6, y 92/2015, de 14 de mayo, FJ 4).</w:t>
      </w:r>
    </w:p>
    <w:p w:rsidR="00AC56D6" w:rsidRDefault="00AC56D6" w:rsidP="00AC56D6">
      <w:pPr>
        <w:pStyle w:val="TextoNormal"/>
      </w:pPr>
    </w:p>
    <w:p w:rsidR="00AC56D6" w:rsidRDefault="00AC56D6" w:rsidP="00AC56D6">
      <w:pPr>
        <w:pStyle w:val="TextoNormal"/>
      </w:pPr>
      <w:r>
        <w:t xml:space="preserve">Esta doctrina, “muy similar a la que luego fue acogida por la Carta Europea de la Autonomía Local de 1985” (SSTC 159/2001, FJ 4, y 240/2006, FJ 8), se ha proyectado específicamente sobre el urbanismo. El legislador autonómico está legitimado “para regular de diversas maneras la actividad urbanística, y para otorgar en ella a los entes locales, y singularmente a los Municipios, una mayor o menor presencia y participación en los distintos ámbitos en los cuales tradicionalmente se divide el urbanismo (planeamiento, gestión de los planes y disciplina)” (STC 159/2001, de 5 de julio, FJ 4). Ahora bien, las Comunidades Autónomas no pueden perder de vista que el urbanismo es un ámbito de interés municipal preferente, tal como refleja el art. 25.2 LBRL; “no es necesario argumentar particularmente </w:t>
      </w:r>
      <w:r>
        <w:lastRenderedPageBreak/>
        <w:t>que, entre los asuntos de interés de los Municipios y a los que por tanto se extienden sus competencias, está el urbanismo” (SSTC 40/1998, de 19 de febrero, FJ 39; 159/2001, de 5 de julio, FJ 4; 204/2002, de 31 de octubre, FJ 13, y 104/2013, de 25 de abril, FJ 6). De modo que, por imperativo de la garantía constitucional de la autonomía local (arts. 137, 140 y 141.2 CE), las Comunidades Autónomas, a la hora de configurar las competencias locales, deben graduar “la intensidad de la participación del municipio” “en función de la relación entre intereses locales y supralocales”. Así lo indicó la STC 51/2004, FJ 12, para declarar la inconstitucionalidad de una previsión autonómica que atribuía la competencia de iniciativa de la modificación del planeamiento de forma concurrente al municipio y a la Comisión de Urbanismo de Barcelona en el supuesto de que “la modificación del Plan afect[e] a elementos con una incidencia territorial limitada a un término municipal”: “Si la graduación de la intensidad de la participación del municipio ha de llevarse a cabo en función de la relación entre intereses locales y supralocales, es claro que, cuando únicamente aparecen aquéllos y no éstos, es necesario concluir que la competencia atribuida en el segundo inciso del precepto cuestionado a la Comisión de Urbanismo de Barcelona vulnera la autonomía municipal garantizada por los arts. 137 y 140 CE”. Del mismo modo, la STC 57/2015, FJ 17 a), ha declarado la inconstitucionalidad de una previsión autonómica que negaba “todo margen de opción al municipio” al establecer que el planeamiento “dirigirá los crecimientos urbanísticos hacia las zonas con pendientes más suaves”; “no cabe vislumbrar en éste precepto presencia alguna de intereses supramunicipales que justifiquen una determinación urbanística que se impone al ayuntamiento por encima de cualquier consideración sobre las características físicas del terreno objeto de su actuación”.</w:t>
      </w:r>
    </w:p>
    <w:p w:rsidR="00AC56D6" w:rsidRDefault="00AC56D6" w:rsidP="00AC56D6">
      <w:pPr>
        <w:pStyle w:val="TextoNormal"/>
      </w:pPr>
    </w:p>
    <w:p w:rsidR="00AC56D6" w:rsidRDefault="00AC56D6" w:rsidP="00AC56D6">
      <w:pPr>
        <w:pStyle w:val="TextoNormal"/>
      </w:pPr>
      <w:r>
        <w:t>b) En cuanto a los controles sobre la actividad local, hay que distinguir los límites directamente derivados de la Constitución de los añadidos por el legislador básico del régimen local al amparo del art. 149.1.18 CE.</w:t>
      </w:r>
    </w:p>
    <w:p w:rsidR="00AC56D6" w:rsidRDefault="00AC56D6" w:rsidP="00AC56D6">
      <w:pPr>
        <w:pStyle w:val="TextoNormal"/>
      </w:pPr>
    </w:p>
    <w:p w:rsidR="00AC56D6" w:rsidRDefault="00AC56D6" w:rsidP="00AC56D6">
      <w:pPr>
        <w:pStyle w:val="TextoNormal"/>
      </w:pPr>
      <w:r>
        <w:t>La STC 4/1981 se ha referido a los primeros al perfilar el significado de la garantía constitucional de la autonomía local (arts. 137, 140 y 141.2 CE) con relación a los controles que incluían varias leyes estatales, especialmente el texto articulado y refundido de las Leyes de bases de régimen local, aprobado por Decreto de 24 de junio de 1955. Según razona su fundamento jurídico 3, los controles administrativos sobre la actividad local deben estar previstos en normas legales; ser concretos y precisos, no “genéricos e indeterminados que sitúen a las Entidades locales en una posición de subordinación o dependencia cuasi jerárquica de la Administración del Estado u otras Entidades territoriales”; y tener por objeto actos en los que incidan intereses supralocales, velando por la legalidad de la actuación local; el control de oportunidad de las decisiones correspondientes a la gestión de los intereses locales es incompatible con la autonomía local, salvo que concurra una justificación constitucional, de otro modo la toma de decisión vendría a compartirse con una Administración no directamente relacionada con los intereses locales involucrados. En esta línea, la posterior STC 14/1981, de 29 de abril, FJ 6, aclaró que la suspensión de actos locales como método de control administrativo es constitucionalmente admisible respecto de los que vulneren competencias de otra Administración; no cabe si responde a la defensa genérica de la legalidad en el ámbito estricto de las competencias locales.</w:t>
      </w:r>
    </w:p>
    <w:p w:rsidR="00AC56D6" w:rsidRDefault="00AC56D6" w:rsidP="00AC56D6">
      <w:pPr>
        <w:pStyle w:val="TextoNormal"/>
      </w:pPr>
    </w:p>
    <w:p w:rsidR="00AC56D6" w:rsidRDefault="00AC56D6" w:rsidP="00AC56D6">
      <w:pPr>
        <w:pStyle w:val="TextoNormal"/>
      </w:pPr>
      <w:r>
        <w:t xml:space="preserve">Respecto de los límites del segundo tipo, hay que tomar en consideración las bases del régimen local. Conforme a ellas, las Administraciones estatal o autonómicas pueden exigir </w:t>
      </w:r>
      <w:r>
        <w:lastRenderedPageBreak/>
        <w:t>judicialmente la suspensión y la anulación del acto local que vulnere el ordenamiento jurídico (art. 65 LBRL), menoscabe sus competencias, interfiera en su ejercicio o exceda de la competencia de dicho ente (art. 66 LBRL). Hay también controles propiamente administrativos: la suspensión acordada por el Delegado del Gobierno, previo requerimiento infructuoso al ente local, de actos que atenten gravemente contra el interés general de España, seguida de su impugnación ante la jurisdicción contencioso-administrativa (art. 67 LBRL); la sustitución del ente local por parte de la Administración estatal o autonómica por incumplimiento que afecte gravemente a las competencias estatales o autonómicas de las obligaciones legalmente impuestas que cuenten con cobertura económica garantizada (art. 60 LBRL); y la disolución de los órganos de la corporación local, acordada por el Consejo de Ministros a iniciativa propia y con conocimiento del Consejo de Gobierno de la Comunidad Autónoma correspondiente o a solicitud de éste y, en todo caso, previo acuerdo favorable del Senado, en el supuesto de que la gestión de dichos órganos sea gravemente dañosa para los intereses generales y suponga un incumplimiento de sus obligaciones constitucionales (art. 61 LBRL).</w:t>
      </w:r>
    </w:p>
    <w:p w:rsidR="00AC56D6" w:rsidRDefault="00AC56D6" w:rsidP="00AC56D6">
      <w:pPr>
        <w:pStyle w:val="TextoNormal"/>
      </w:pPr>
    </w:p>
    <w:p w:rsidR="00AC56D6" w:rsidRDefault="00AC56D6" w:rsidP="00AC56D6">
      <w:pPr>
        <w:pStyle w:val="TextoNormal"/>
      </w:pPr>
      <w:r>
        <w:t>El legislador autonómico debe respetar la Ley reguladora de las bases de régimen local y, por tanto, el modelo de control de la actividad local que esta ha establecido en cuanto expresión de autonomía local legalmente garantizada. Como consecuencia de ello, este Tribunal ha declarado la inconstitucionalidad de previsiones autonómicas en materia de urbanismo que permitían que la Administración de la Comunidad Autónoma suspendiese acuerdos locales o ejerciese competencias municipales por sustitución sin ajustarse a aquellas previsiones básicas.</w:t>
      </w:r>
    </w:p>
    <w:p w:rsidR="00AC56D6" w:rsidRDefault="00AC56D6" w:rsidP="00AC56D6">
      <w:pPr>
        <w:pStyle w:val="TextoNormal"/>
      </w:pPr>
    </w:p>
    <w:p w:rsidR="00AC56D6" w:rsidRDefault="00AC56D6" w:rsidP="00AC56D6">
      <w:pPr>
        <w:pStyle w:val="TextoNormal"/>
      </w:pPr>
      <w:r>
        <w:t>Respecto de la suspensión, el Tribunal ha entendido que, conforme a los arts. 65 y 66 LBRL, “sólo es potestad de los Tribunales” de modo que ha quedado “suprimida toda potestad de suspender de las autoridades administrativas y gubernativas (salvo la que se confiere al Delegado de Gobierno en el art. 67)” (SSTC 213/1988, de 11 de noviembre, FFJJ 2 y 3, y 259/1988, de 22 de diciembre, FJ 2). Ciertamente, si el legislador autonómico atribuye a la Administración de la Comunidad Autónoma el poder de suspender licencias manifiestamente ilegales libradas por Ayuntamientos, está con ello tratando de proteger un indudable interés general ante “el hecho, de común experiencia, de que quienes se ven amenazados en el disfrute de una licencia ilegal aceleran las obras y redoblan el ritmo de sus trabajos, intentando convertir las infracciones en hechos consumados”. Sin embargo, debe entenderse que tal previsión autonómica es inconstitucional porque las normas de la LBRL “deben servir como punto de referencia para enjuiciar la constitucionalidad de la Ley” sin que corresponda “pronunciarnos sobre si la suspensión administrativa que establece el precepto cuestionado protege los intereses públicos a los que sirve la ordenación urbanística con un grado mayor de efectividad que el régimen establecido por la L.B.R.L” (STC 46/1992, de 2 de abril, FFJJ 2 y 3).</w:t>
      </w:r>
    </w:p>
    <w:p w:rsidR="00AC56D6" w:rsidRDefault="00AC56D6" w:rsidP="00AC56D6">
      <w:pPr>
        <w:pStyle w:val="TextoNormal"/>
      </w:pPr>
    </w:p>
    <w:p w:rsidR="00AC56D6" w:rsidRDefault="00AC56D6" w:rsidP="00AC56D6">
      <w:pPr>
        <w:pStyle w:val="TextoNormal"/>
      </w:pPr>
      <w:r>
        <w:t xml:space="preserve">En cuanto a los controles por sustitución, el legislador autonómico puede regularlos respetando los “elementos relevantes” del régimen establecido en el art. 60 LBRL en cuanto reflejo de “las exigencias del canon de constitucionalidad” de modo tal que no cabe “un mayor o más intenso control por parte de la Administración autonómica y una correlativa merma de la autonomía local”. Así lo afirmó la STC 159/2001, de 5 de julio, al enjuiciar un precepto autonómico que autorizaba a un gerente de la Comunidad Autónoma de Cataluña o a una comisión especial de la comisión de urbanismo a ejercer las necesarias atribuciones </w:t>
      </w:r>
      <w:r>
        <w:lastRenderedPageBreak/>
        <w:t>de la Corporación municipal ante el incumplimiento grave de las obligaciones derivadas de la ley o del planeamiento urbanístico o actuaciones con notoria negligencia en general. Consideró que correspondía contrastar cada uno de los extremos de la norma autonómica sectorial impugnada con el art. 60 LBRL. Concluyó que “el precepto cuestionado resulta más limitativo de la capacidad decisoria de los entes locales, toda vez que no exige expresamente que el incumplimiento afecte a competencias de otras Administraciones, que omite el requerimiento previo y que prevé un supuesto de hecho (la negligencia) distinto y adicional”. Por tal razón, la “norma altera así el sistema establecido en el canon de constitucionalidad aplicable” (FJ 7).</w:t>
      </w:r>
    </w:p>
    <w:p w:rsidR="00AC56D6" w:rsidRDefault="00AC56D6" w:rsidP="00AC56D6">
      <w:pPr>
        <w:pStyle w:val="TextoNormal"/>
      </w:pPr>
    </w:p>
    <w:p w:rsidR="00AC56D6" w:rsidRDefault="00AC56D6" w:rsidP="00AC56D6">
      <w:pPr>
        <w:pStyle w:val="TextoNormal"/>
      </w:pPr>
      <w:r>
        <w:t>Este Tribunal ha tenido oportunidad de precisar que la señalada inconstitucionalidad mediata no se produce en dos circunstancias: cuando la regulación autonómica controvertida prevé un control sin contradecir verdaderamente los arts. 60, 61, 65 y 66 LBRL o cuando no establece propiamente un control administrativo de la actividad local. La STC 11/1999, de 11 de febrero, ha desarrollado el primer criterio al enjuiciar la previsión que habilitaba a una Consejería autonómica para, previo requerimiento al Alcalde de la Corporación, ordenar la paralización de actos de edificación y uso del suelo realizados sin licencia o incursos en nulidad de pleno derecho, así como para ejercer las competencias municipales sobre tal actuación. La Sentencia consideró que la paralización y ejecución sustitutoria de actos locales incursos en nulidad de pleno derecho contradecía los arts. 65 y 66 LBRL; conforme a estos preceptos la apreciación de la ilegalidad de aquellos actos locales sólo puede corresponder a los Tribunales (FJ 4). Sin embargo, declaró la no inconstitucionalidad de la previsión de “sustitución cuando los actos de edificación y uso del suelo se realicen sin licencia”; se ajusta al art. 60 LBRL. Según se afirma, la sustitución indicada resulta constitucionalmente viable, pues “no se está en presencia de un juicio o control de legalidad, sino de un acto de mera comprobación” (FJ 5). El art. 60 LBRL permite al Estado o la Comunidad Autónoma sustituir al ente local a partir, no de “un elemento de valoración jurídica”, sino de “datos susceptibles de mera comprobación”, en particular, el incumplimiento de obligaciones impuestas a los entes locales con cobertura económica garantizada. Consecuentemente, la norma básica daba cobertura en este caso a la señalada previsión autonómica de un control administrativo de sustitución.</w:t>
      </w:r>
    </w:p>
    <w:p w:rsidR="00AC56D6" w:rsidRDefault="00AC56D6" w:rsidP="00AC56D6">
      <w:pPr>
        <w:pStyle w:val="TextoNormal"/>
      </w:pPr>
    </w:p>
    <w:p w:rsidR="00AC56D6" w:rsidRDefault="00AC56D6" w:rsidP="00AC56D6">
      <w:pPr>
        <w:pStyle w:val="TextoNormal"/>
      </w:pPr>
      <w:r>
        <w:t xml:space="preserve">En cuanto al segundo criterio, este Tribunal ha declarado la no inconstitucionalidad de la previsión que autoriza a un Gobierno autonómico para, decidida la iniciación de la formación de un plan especial de naturaleza ambiental, decretar la suspensión cautelar de los actos de uso del suelo y de la edificación, aun cuando estuvieran amparados por licencia o autorización. La suspensión cautelar prevista no debe sujetarse al régimen básico de controles de la actividad local por no tratarse de una verdadera técnica de control administrativo de la legalidad de los acuerdos locales. Su fundamento “no es la defensa de la legalidad”, sino “evitar el riesgo de que las obras y aprovechamiento que se lleven a cabo durante el tiempo empleado en tramitar y aprobar definitivamente la disposición protectora generen o consoliden situaciones que, aunque conformes con la ordenación aún vigente, sean contradictorias con las disposiciones y las limitaciones que se vayan a aprobar para proteger el espacio natural” (STC 148/1991, FFJJ 5 y 6; en el mismo sentido, STC 36/1994, de 10 de febrero, FJ 7). Del mismo modo, la STC 159/2001, de 5 de julio, FJ 12, ha declarado la no inconstitucionalidad de la atribución a la Administración autonómica, en lugar de a los Ayuntamientos, de la competencia de aprobación definitiva del planeamiento derivado (planes parciales y planes especiales de desarrollo del plan general de ordenación urbana). La </w:t>
      </w:r>
      <w:r>
        <w:lastRenderedPageBreak/>
        <w:t>Sentencia parte de que tal aprobación no constituye estrictamente un control administrativo, por lo que debe examinarse sólo a la luz de la garantía constitucional de la autonomía local.</w:t>
      </w:r>
    </w:p>
    <w:p w:rsidR="00AC56D6" w:rsidRDefault="00AC56D6" w:rsidP="00AC56D6">
      <w:pPr>
        <w:pStyle w:val="TextoNormal"/>
      </w:pPr>
    </w:p>
    <w:p w:rsidR="00AC56D6" w:rsidRDefault="00AC56D6" w:rsidP="00AC56D6">
      <w:pPr>
        <w:pStyle w:val="TextoNormal"/>
      </w:pPr>
      <w:r w:rsidRPr="00AC56D6">
        <w:rPr>
          <w:rStyle w:val="NumeroAFNegritaCaracter"/>
        </w:rPr>
        <w:t>7</w:t>
      </w:r>
      <w:r>
        <w:t>. Descrita la doctrina constitucional sobre las competencias de los entes locales y el control autonómico de su ejercicio, corresponde proyectarla sobre las impugnaciones realizadas por los Diputados recurrentes. A tal efecto no seguiremos el orden con el que las formula la demanda, sino el que aconseja la claridad expositiva.</w:t>
      </w:r>
    </w:p>
    <w:p w:rsidR="00AC56D6" w:rsidRDefault="00AC56D6" w:rsidP="00AC56D6">
      <w:pPr>
        <w:pStyle w:val="TextoNormal"/>
      </w:pPr>
    </w:p>
    <w:p w:rsidR="00AC56D6" w:rsidRDefault="00AC56D6" w:rsidP="00AC56D6">
      <w:pPr>
        <w:pStyle w:val="TextoNormal"/>
      </w:pPr>
      <w:r>
        <w:t>a) Se impugnan conjuntamente los apartados 11 y 13 del art. 28 de la Ley andaluza 13/2005, que modifican los arts. 188.1 y 195.1, respectivamente, de la Ley de ordenación urbanística de Andalucía. El art. 188 de la Ley de ordenación urbanística de Andalucía, sobre “competencias de la Comunidad Autónoma de Andalucía en materia de protección de la ordenación urbanística”, establece en su apartado primero:</w:t>
      </w:r>
    </w:p>
    <w:p w:rsidR="00AC56D6" w:rsidRDefault="00AC56D6" w:rsidP="00AC56D6">
      <w:pPr>
        <w:pStyle w:val="TextoNormal"/>
      </w:pPr>
    </w:p>
    <w:p w:rsidR="00AC56D6" w:rsidRDefault="00AC56D6" w:rsidP="00AC56D6">
      <w:pPr>
        <w:pStyle w:val="TextoNormal"/>
      </w:pPr>
      <w:r>
        <w:t>“En las actuaciones llevadas a cabo sin licencia u orden de ejecución, la Consejería con competencias en materia de urbanismo, transcurridos diez días desde la formulación del requerimiento al Alcalde para que adopte el pertinente acuerdo municipal sin que se haya procedido a la efectiva suspensión de dichas actuaciones, podrá adoptar las medidas cautelares de suspensión previstas en el artículo 181.1 cuando los actos o los usos correspondientes:</w:t>
      </w:r>
    </w:p>
    <w:p w:rsidR="00AC56D6" w:rsidRDefault="00AC56D6" w:rsidP="00AC56D6">
      <w:pPr>
        <w:pStyle w:val="TextoNormal"/>
      </w:pPr>
    </w:p>
    <w:p w:rsidR="00AC56D6" w:rsidRDefault="00AC56D6" w:rsidP="00AC56D6">
      <w:pPr>
        <w:pStyle w:val="TextoNormal"/>
      </w:pPr>
      <w:r>
        <w:t>a) Supongan una actividad de ejecución realizada sin el instrumento de planeamiento preciso para su legitimación.</w:t>
      </w:r>
    </w:p>
    <w:p w:rsidR="00AC56D6" w:rsidRDefault="00AC56D6" w:rsidP="00AC56D6">
      <w:pPr>
        <w:pStyle w:val="TextoNormal"/>
      </w:pPr>
    </w:p>
    <w:p w:rsidR="00AC56D6" w:rsidRDefault="00AC56D6" w:rsidP="00AC56D6">
      <w:pPr>
        <w:pStyle w:val="TextoNormal"/>
      </w:pPr>
      <w:r>
        <w:t>b) Tengan por objeto una parcelación urbanística en terrenos que tengan el régimen del suelo no urbanizable.</w:t>
      </w:r>
    </w:p>
    <w:p w:rsidR="00AC56D6" w:rsidRDefault="00AC56D6" w:rsidP="00AC56D6">
      <w:pPr>
        <w:pStyle w:val="TextoNormal"/>
      </w:pPr>
    </w:p>
    <w:p w:rsidR="00AC56D6" w:rsidRDefault="00AC56D6" w:rsidP="00AC56D6">
      <w:pPr>
        <w:pStyle w:val="TextoNormal"/>
      </w:pPr>
      <w:r>
        <w:t>c) Comporten de manera manifiesta y grave una de las afecciones previstas en el artículo 185.2.B) de esta Ley.”</w:t>
      </w:r>
    </w:p>
    <w:p w:rsidR="00AC56D6" w:rsidRDefault="00AC56D6" w:rsidP="00AC56D6">
      <w:pPr>
        <w:pStyle w:val="TextoNormal"/>
      </w:pPr>
    </w:p>
    <w:p w:rsidR="00AC56D6" w:rsidRDefault="00AC56D6" w:rsidP="00AC56D6">
      <w:pPr>
        <w:pStyle w:val="TextoNormal"/>
      </w:pPr>
      <w:r>
        <w:t>El art. 195 Ley de ordenación urbanística de Andalucía, sobre “competencia para iniciar, instruir y resolver” los procedimientos sancionadores por las infracciones urbanísticas reguladas en la Ley, dispone en su apartado primero:</w:t>
      </w:r>
    </w:p>
    <w:p w:rsidR="00AC56D6" w:rsidRDefault="00AC56D6" w:rsidP="00AC56D6">
      <w:pPr>
        <w:pStyle w:val="TextoNormal"/>
      </w:pPr>
    </w:p>
    <w:p w:rsidR="00AC56D6" w:rsidRDefault="00AC56D6" w:rsidP="00AC56D6">
      <w:pPr>
        <w:pStyle w:val="TextoNormal"/>
      </w:pPr>
      <w:r>
        <w:t>“La competencia para iniciar y resolver los procedimientos sancionadores corresponde:</w:t>
      </w:r>
    </w:p>
    <w:p w:rsidR="00AC56D6" w:rsidRDefault="00AC56D6" w:rsidP="00AC56D6">
      <w:pPr>
        <w:pStyle w:val="TextoNormal"/>
      </w:pPr>
    </w:p>
    <w:p w:rsidR="00AC56D6" w:rsidRDefault="00AC56D6" w:rsidP="00AC56D6">
      <w:pPr>
        <w:pStyle w:val="TextoNormal"/>
      </w:pPr>
      <w:r>
        <w:t>a) Al Alcalde del correspondiente municipio o al concejal en quien delegue.</w:t>
      </w:r>
    </w:p>
    <w:p w:rsidR="00AC56D6" w:rsidRDefault="00AC56D6" w:rsidP="00AC56D6">
      <w:pPr>
        <w:pStyle w:val="TextoNormal"/>
      </w:pPr>
    </w:p>
    <w:p w:rsidR="00AC56D6" w:rsidRDefault="00AC56D6" w:rsidP="00AC56D6">
      <w:pPr>
        <w:pStyle w:val="TextoNormal"/>
      </w:pPr>
      <w:r>
        <w:t>b) A la Consejería competente en materia de urbanismo cuando el acto o uso origen del expediente sea de los contemplados en los párrafos a), b) o c) del artículo 188.1 de esta Ley, previo requerimiento al Alcalde para que en el plazo máximo de quince días inicie el correspondiente procedimiento sancionador, sin que dicho requerimiento hubiera sido atendido, o, directamente, cuando la citada Consejería hubiese adoptado la medida cautelar de suspensión de conformidad con lo previsto en el artículo 188 de esta Ley.</w:t>
      </w:r>
    </w:p>
    <w:p w:rsidR="00AC56D6" w:rsidRDefault="00AC56D6" w:rsidP="00AC56D6">
      <w:pPr>
        <w:pStyle w:val="TextoNormal"/>
      </w:pPr>
    </w:p>
    <w:p w:rsidR="00AC56D6" w:rsidRDefault="00AC56D6" w:rsidP="00AC56D6">
      <w:pPr>
        <w:pStyle w:val="TextoNormal"/>
      </w:pPr>
      <w:r>
        <w:t>El transcurso del citado plazo de quince días, sin ser atendido, dará lugar, además, a cuantas responsabilidades civiles, administrativas y penales se deriven legalmente.</w:t>
      </w:r>
    </w:p>
    <w:p w:rsidR="00AC56D6" w:rsidRDefault="00AC56D6" w:rsidP="00AC56D6">
      <w:pPr>
        <w:pStyle w:val="TextoNormal"/>
      </w:pPr>
    </w:p>
    <w:p w:rsidR="00AC56D6" w:rsidRDefault="00AC56D6" w:rsidP="00AC56D6">
      <w:pPr>
        <w:pStyle w:val="TextoNormal"/>
      </w:pPr>
      <w:r>
        <w:lastRenderedPageBreak/>
        <w:t>Asimismo, le corresponderá la competencia cuando los actos constitutivos de la infracción se realicen al amparo de licencia o, en su caso, en virtud de orden de ejecución, que hayan sido anuladas a instancia de la Administración Autonómica.”</w:t>
      </w:r>
    </w:p>
    <w:p w:rsidR="00AC56D6" w:rsidRDefault="00AC56D6" w:rsidP="00AC56D6">
      <w:pPr>
        <w:pStyle w:val="TextoNormal"/>
      </w:pPr>
    </w:p>
    <w:p w:rsidR="00AC56D6" w:rsidRDefault="00AC56D6" w:rsidP="00AC56D6">
      <w:pPr>
        <w:pStyle w:val="TextoNormal"/>
      </w:pPr>
      <w:r>
        <w:t>La impugnación no alcanza al art. 195.1 a), que atribuye al Alcalde la competencia para iniciar y resolver los procedimientos sancionadores. Tampoco al último párrafo del art. 195.1 b), que configura como competencia propia de la Administración autonómica la iniciación y resolución de determinados procedimientos sancionadores. La demanda discute sólo el art. 188.1 y los dos primeros párrafos del art. 195.1 b) por permitir que la Administración autonómica ejerza competencias municipales en sustitución del Ayuntamiento sin ajustarse al art. 60 LBRL. Considera que conforme a este artículo el tiempo del que debe disponer el ente local para responder al requerimiento formulado por la Comunidad Autónoma nunca puede ser inferior a un mes. Al establecer plazos de diez y quince días, respectivamente, los preceptos impugnados estarían “dificultando enormemente, y casi impidiendo, las posibilidades de intervención del municipio, y facilitando que se llegue a la subrogación de la Comunidad Autónoma en la legítima posición municipal”.</w:t>
      </w:r>
    </w:p>
    <w:p w:rsidR="00AC56D6" w:rsidRDefault="00AC56D6" w:rsidP="00AC56D6">
      <w:pPr>
        <w:pStyle w:val="TextoNormal"/>
      </w:pPr>
    </w:p>
    <w:p w:rsidR="00AC56D6" w:rsidRDefault="00AC56D6" w:rsidP="00AC56D6">
      <w:pPr>
        <w:pStyle w:val="TextoNormal"/>
      </w:pPr>
      <w:r>
        <w:t>Los preceptos controvertidos, en la medida en que regulan un control por sustitución, deben, en efecto, contrastarse con el art. 60 LBRL. Este artículo asegura al ente local un plazo mensual a partir del requerimiento para ejercer autónomamente sus competencias. El indicado plazo constituye un “elemento relevante” por reflejar una exigencia de autonomía local que el legislador autonómico no está autorizado a rebajar (STC 159/2001, de 5 de julio, FJ 7); la regulación autonómica que lo redujera estaría con ello rebajando el margen de que disponen los entes locales para ejercer sus competencias con limitación consecuente del estándar de autonomía local que ha querido garantizar el legislador básico estatal. En el presente caso, los preceptos impugnados, al establecer plazos menores, alteran el nivel de autonomía local que asegura el art. 60 LBRL y, con ello, invaden la competencia estatal en materia de bases del régimen local (art. 149.1.18 CE).</w:t>
      </w:r>
    </w:p>
    <w:p w:rsidR="00AC56D6" w:rsidRDefault="00AC56D6" w:rsidP="00AC56D6">
      <w:pPr>
        <w:pStyle w:val="TextoNormal"/>
      </w:pPr>
    </w:p>
    <w:p w:rsidR="00AC56D6" w:rsidRDefault="00AC56D6" w:rsidP="00AC56D6">
      <w:pPr>
        <w:pStyle w:val="TextoNormal"/>
      </w:pPr>
      <w:r>
        <w:t>No cabe duda de que a través de estos breves plazos el legislador andaluz ha pretendido impulsar una intervención administrativa pronta y eficaz que evite los hechos consumados, lo que es relevante en el terreno de la legalidad urbanística, tal como ha razonado la Letrada de la Junta de Andalucía. Sin embargo, este Tribunal ya ha tenido la oportunidad de aclarar que no le corresponde pronunciarse sobre si regulaciones de este tipo protegen los intereses públicos con más efectividad que el régimen de controles de la Ley reguladora de las bases de régimen local (STC 46/1992, de 2 de abril, FFJJ 2 y 3). Le corresponde sólo contrastar tales regulaciones con los elementos relevantes de la Ley reguladora de las bases de régimen local declarando la inconstitucionalidad de las primeras si hay efectiva contradicción con los segundos, como ocurre en el presente caso.</w:t>
      </w:r>
    </w:p>
    <w:p w:rsidR="00AC56D6" w:rsidRDefault="00AC56D6" w:rsidP="00AC56D6">
      <w:pPr>
        <w:pStyle w:val="TextoNormal"/>
      </w:pPr>
    </w:p>
    <w:p w:rsidR="00AC56D6" w:rsidRDefault="00AC56D6" w:rsidP="00AC56D6">
      <w:pPr>
        <w:pStyle w:val="TextoNormal"/>
      </w:pPr>
      <w:r>
        <w:t>Conviene, en fin, realizar otra precisión, que será relevante al afrontar la impugnación siguiente. Conforme al art. 60 LBRL, el incumplimiento que autoriza a la Administración autonómica a ejercer tareas encomendadas a los entes locales debe afectar “al ejercicio de competencias” “de la Comunidad Autónoma”. El art. 188.1 de la Ley de ordenación urbanística de Andalucía no se ajusta enteramente a esta exigencia al vincular el ejercicio sustitutivo de las competencias locales a otros criterios [letras a), b) y c)], que atienden al nivel de gravedad de la infracción urbanística. No puede afirmarse que el criterio de la gravedad se ajuste al de la afectación competencial, que es el que impone la legislación básica.</w:t>
      </w:r>
    </w:p>
    <w:p w:rsidR="00AC56D6" w:rsidRDefault="00AC56D6" w:rsidP="00AC56D6">
      <w:pPr>
        <w:pStyle w:val="TextoNormal"/>
      </w:pPr>
    </w:p>
    <w:p w:rsidR="00AC56D6" w:rsidRDefault="00AC56D6" w:rsidP="00AC56D6">
      <w:pPr>
        <w:pStyle w:val="TextoNormal"/>
      </w:pPr>
      <w:r>
        <w:t xml:space="preserve">A este respecto, corresponde insistir en que las Comunidades Autónomas pueden aplicar directamente el régimen de controles que ha establecido agotadoramente la legislación básica estatal y, si regulan el ejercicio autonómico por sustitución de competencias locales, pueden sólo concretar el previsto en esa legislación básica, pero ajustándose fielmente a sus “elementos relevantes”. Ciertamente, no puede excluirse en abstracto que las competencias autonómicas puedan llegar a resultar afectadas en supuestos tipificados por la Ley controvertida ni, en consecuencia, que la Administración de la Junta de Andalucía pueda llegar a estar habilitada para tutelar intereses supramunicipales ejerciendo el control regulado en el art. 60 LBRL. Ahora bien, el legislador andaluz se ha separado de un elemento relevante de esta determinación básica al delimitar los presupuestos habilitantes de la intervención autonómica sustitutiva a partir de un criterio diferente al de la afectación competencial, por más que en casos concretos pudiera llegar a aceptarse el ejercicio autonómico de la potestad de control </w:t>
      </w:r>
      <w:r w:rsidRPr="00AC56D6">
        <w:rPr>
          <w:i/>
        </w:rPr>
        <w:t>ex</w:t>
      </w:r>
      <w:r>
        <w:t xml:space="preserve"> art. 60 LBRL. De modo que también por esta razón el art. 188.1 de la Ley de ordenación urbanística de Andalucía incurre en inconstitucionalidad; declaración que también ha de extenderse al art. 195.1 b) de la misma Ley en la medida en que dicho precepto, en conexión con el anterior, atribuye a la Consejería competente en materia de urbanismo la iniciación y resolución de los expedientes sancionadores cuando el acto o uso del expediente sea alguno de los contemplados en los tres párrafos del art. 188.1, que hemos declarado inconstitucional.</w:t>
      </w:r>
    </w:p>
    <w:p w:rsidR="00AC56D6" w:rsidRDefault="00AC56D6" w:rsidP="00AC56D6">
      <w:pPr>
        <w:pStyle w:val="TextoNormal"/>
      </w:pPr>
    </w:p>
    <w:p w:rsidR="00AC56D6" w:rsidRDefault="00AC56D6" w:rsidP="00AC56D6">
      <w:pPr>
        <w:pStyle w:val="TextoNormal"/>
      </w:pPr>
      <w:r>
        <w:t>Consecuentemente, procede declarar la inconstitucionalidad y nulidad de los arts. 188.1 y 195.1 b), párrafos primero y segundo, de la Ley de ordenación urbanística de Andalucía en la redacción dada por los apartados 11 y 13, respectivamente, del art. 28 de la Ley andaluza 13/2005.</w:t>
      </w:r>
    </w:p>
    <w:p w:rsidR="00AC56D6" w:rsidRDefault="00AC56D6" w:rsidP="00AC56D6">
      <w:pPr>
        <w:pStyle w:val="TextoNormal"/>
      </w:pPr>
    </w:p>
    <w:p w:rsidR="00AC56D6" w:rsidRDefault="00AC56D6" w:rsidP="00AC56D6">
      <w:pPr>
        <w:pStyle w:val="TextoNormal"/>
      </w:pPr>
      <w:r>
        <w:t>b) Se impugna el art. 28.9 de la Ley andaluza 13/2005, que añade un nuevo apartado 5 al art. 183 de la Ley de ordenación urbanística de Andalucía, que dispone:</w:t>
      </w:r>
    </w:p>
    <w:p w:rsidR="00AC56D6" w:rsidRDefault="00AC56D6" w:rsidP="00AC56D6">
      <w:pPr>
        <w:pStyle w:val="TextoNormal"/>
      </w:pPr>
    </w:p>
    <w:p w:rsidR="00AC56D6" w:rsidRDefault="00AC56D6" w:rsidP="00AC56D6">
      <w:pPr>
        <w:pStyle w:val="TextoNormal"/>
      </w:pPr>
      <w:r>
        <w:t>“El Ayuntamiento o la Consejería con competencias en materia de urbanismo, en su caso, sin perjuicio de la correspondiente medida de suspensión acordada, dispondrá la inmediata demolición de las actuaciones de urbanización o edificación que sean manifiestamente incompatibles con la ordenación urbanística, previa audiencia del interesado, en el plazo máximo de un mes.”</w:t>
      </w:r>
    </w:p>
    <w:p w:rsidR="00AC56D6" w:rsidRDefault="00AC56D6" w:rsidP="00AC56D6">
      <w:pPr>
        <w:pStyle w:val="TextoNormal"/>
      </w:pPr>
    </w:p>
    <w:p w:rsidR="00AC56D6" w:rsidRDefault="00AC56D6" w:rsidP="00AC56D6">
      <w:pPr>
        <w:pStyle w:val="TextoNormal"/>
      </w:pPr>
      <w:r>
        <w:t>La demanda razona que el apartado transcrito instituye un nuevo control de legalidad contrario a la garantía constitucional de la autonomía local por permitir, sin necesidad de requerimiento previo, que la Comunidad Autónoma suplante a la entidad local en supuestos de mero interés local.</w:t>
      </w:r>
    </w:p>
    <w:p w:rsidR="00AC56D6" w:rsidRDefault="00AC56D6" w:rsidP="00AC56D6">
      <w:pPr>
        <w:pStyle w:val="TextoNormal"/>
      </w:pPr>
    </w:p>
    <w:p w:rsidR="00AC56D6" w:rsidRDefault="00AC56D6" w:rsidP="00AC56D6">
      <w:pPr>
        <w:pStyle w:val="TextoNormal"/>
      </w:pPr>
      <w:r>
        <w:t xml:space="preserve">El precepto se refiere a una concreta facultad de restablecimiento del orden jurídico perturbado (demolición de construcciones manifiestamente ilegales) que corresponde tanto a los Ayuntamientos como a la Administración autonómica. Las facultades autonómicas de restauración de la legalidad urbanística están reguladas más ampliamente en el art. 188 de la Ley de ordenación urbanística de Andalucía, relativo, precisamente, a las “competencias de la Comunidad Autónoma de Andalucía en materia de protección urbanística”. Tal precepto establece el procedimiento a seguir por aquella Consejería para reaccionar ante construcciones realizadas sin licencia u orden de ejecución en los supuestos descritos en las letras </w:t>
      </w:r>
      <w:r>
        <w:lastRenderedPageBreak/>
        <w:t>a), b) y c) del art. 188.1. Las intervenciones de la indicada Consejería consisten en la adopción, por un lado, de “medidas cautelares de suspensión” (art. 188.1 de la Ley de ordenación urbanística de Andalucía) y, por otro, de “medidas necesarias para la reparación de la realidad física alterada” (art. 188.3 de la Ley de ordenación urbanística de Andalucía). Las medidas cautelares son las que la Consejería puede establecer “transcurridos diez días desde la formulación del requerimiento al Alcalde para que adopte el pertinente acuerdo municipal sin que se haya procedido a la efectiva suspensión de dichas actuaciones”. Se trata de la previsión que hemos declarado inconstitucional y nula en la letra A) de este fundamento jurídico. El art. 188.3 de la Ley de ordenación urbanística de Andalucía regula las otras medidas del modo siguiente:</w:t>
      </w:r>
    </w:p>
    <w:p w:rsidR="00AC56D6" w:rsidRDefault="00AC56D6" w:rsidP="00AC56D6">
      <w:pPr>
        <w:pStyle w:val="TextoNormal"/>
      </w:pPr>
    </w:p>
    <w:p w:rsidR="00AC56D6" w:rsidRDefault="00AC56D6" w:rsidP="00AC56D6">
      <w:pPr>
        <w:pStyle w:val="TextoNormal"/>
      </w:pPr>
      <w:r>
        <w:t>“Cuando se lleve a cabo alguno de los actos o usos previstos en el apartado 1, la Consejería con competencias en materia de urbanismo, transcurrido sin efecto un mes desde la formulación de requerimiento al Alcalde para la adopción del pertinente acuerdo municipal, podrá adoptar las medidas necesarias para la reparación de la realidad física alterada. Todo ello sin perjuicio de la competencia municipal para la legalización, mediante licencia, de los actos y usos, cuando proceda.”</w:t>
      </w:r>
    </w:p>
    <w:p w:rsidR="00AC56D6" w:rsidRDefault="00AC56D6" w:rsidP="00AC56D6">
      <w:pPr>
        <w:pStyle w:val="TextoNormal"/>
      </w:pPr>
    </w:p>
    <w:p w:rsidR="00AC56D6" w:rsidRDefault="00AC56D6" w:rsidP="00AC56D6">
      <w:pPr>
        <w:pStyle w:val="TextoNormal"/>
      </w:pPr>
      <w:r>
        <w:t>Conforme a este precepto, la Consejería puede acordar “las medidas necesarias para la reparación de la realidad física alterada” “transcurrido sin efecto un mes desde la formulación de requerimiento al Alcalde para la adopción del pertinente acuerdo municipal”. Como destaca la Letrada del Parlamento de Andalucía, fluye con naturalidad la interpretación de que una de estas medidas es la descrita en la disposición impugnada: la “inmediata demolición de las actuaciones de urbanización o edificación manifiestamente incompatibles con la ordenación urbanística” que “en su caso” corresponde a la Consejería conforme al precepto recurrido (art. 183.5 de la Ley de ordenación urbanística de Andalucía) constituye así una de las medidas que este órgano autonómico puede acordar ajustándose al procedimiento regulado en el art. 188.3 de la Ley de ordenación urbanística de Andalucía.</w:t>
      </w:r>
    </w:p>
    <w:p w:rsidR="00AC56D6" w:rsidRDefault="00AC56D6" w:rsidP="00AC56D6">
      <w:pPr>
        <w:pStyle w:val="TextoNormal"/>
      </w:pPr>
    </w:p>
    <w:p w:rsidR="00AC56D6" w:rsidRDefault="00AC56D6" w:rsidP="00AC56D6">
      <w:pPr>
        <w:pStyle w:val="TextoNormal"/>
      </w:pPr>
      <w:r>
        <w:t>Consecuentemente, el art. 183.5, leído en conexión con el art. 188.3, establece un control administrativo de la actividad local que permite a la Consejería acordar por sí la demolición en los supuestos de las letras a), b) y c) del art. 188.1 si en el plazo de un mes el Alcalde no atiende el requerimiento previo “para la adopción del pertinente acuerdo municipal” (art. 188.3 de la Ley de ordenación urbanística de Andalucía). Corresponde, pues, contrastar este control administrativo con el art. 60 LBRL y verificar si el primero se ajusta a los elementos relevantes que regula el segundo.</w:t>
      </w:r>
    </w:p>
    <w:p w:rsidR="00AC56D6" w:rsidRDefault="00AC56D6" w:rsidP="00AC56D6">
      <w:pPr>
        <w:pStyle w:val="TextoNormal"/>
      </w:pPr>
    </w:p>
    <w:p w:rsidR="00AC56D6" w:rsidRDefault="00AC56D6" w:rsidP="00AC56D6">
      <w:pPr>
        <w:pStyle w:val="TextoNormal"/>
      </w:pPr>
      <w:r>
        <w:t xml:space="preserve">En la letra a) del este fundamento jurídico hemos declarado la inconstitucionalidad y nulidad del art. 188.1 de la Ley de ordenación urbanística de Andalucía razonando que no asegura que la adopción por parte de la Administración autonómica de medidas cautelares de suspensión en sustitución del Ayuntamiento se produzca ante la afectación de las competencias autonómicas, que es lo que exige la el art. 60 LBRL; el criterio de la gravedad que traslucen sus letras a), b) y c) no se corresponde con el de la afectación de las competencias autonómicas que recoge el art. 60 LBRL. Ello es relevante ahora porque la previsión que estamos examinando (art. 183.5 de la Ley de ordenación urbanística de Andalucía), leída en conexión con el art. 188.3 de la misma Ley, se apoya en el art. 188.1 para delimitar los supuestos en que la Administración autonómica puede ordenar por sí la demolición previo requerimiento infructuoso al Alcalde. De modo que la Ley de ordenación urbanística de </w:t>
      </w:r>
      <w:r>
        <w:lastRenderedPageBreak/>
        <w:t>Andalucía se ha separado del criterio de la afectación de las competencias autonómicas que impone el art. 60 LBRL también cuando regula la adopción por sustitución de las “medidas necesarias para la reparación de la realidad física alterada” (art. 188.3 de la Ley de ordenación urbanística de Andalucía), en general, y la “demolición de las actuaciones de urbanización o edificación que sean manifiestamente incompatibles con la ordenación urbanística” (art. 183.5 de la Ley de ordenación urbanística de Andalucía), en particular.</w:t>
      </w:r>
    </w:p>
    <w:p w:rsidR="00AC56D6" w:rsidRDefault="00AC56D6" w:rsidP="00AC56D6">
      <w:pPr>
        <w:pStyle w:val="TextoNormal"/>
      </w:pPr>
    </w:p>
    <w:p w:rsidR="00AC56D6" w:rsidRDefault="00AC56D6" w:rsidP="00AC56D6">
      <w:pPr>
        <w:pStyle w:val="TextoNormal"/>
      </w:pPr>
      <w:r>
        <w:t>Consecuentemente, corresponde declarar que el inciso “o la Consejería con competencias en materia de urbanismo, en su caso” del art. 183.5 de la Ley de ordenación urbanística de Andalucía, en la redacción dada por el art. 28.9 de la Ley andaluza 13/2005, es inconstitucional y nulo. Tal declaración debe extenderse por conexión o consecuencia [art. 39.1 de la Ley Orgánica del Tribunal Constitucional (LOTC)] al art. 188.3 de la Ley de ordenación urbanística de Andalucía; esta es la norma que regula las condiciones en que la Consejería puede acordar la demolición prevista en el art. 183.5 de la citada Ley y, por tanto, la que determina su inconstitucionalidad al permitir las medidas sustitutivas de reparación de la realidad física alterada sin ajustarse al art. 60 LBRL.</w:t>
      </w:r>
    </w:p>
    <w:p w:rsidR="00AC56D6" w:rsidRDefault="00AC56D6" w:rsidP="00AC56D6">
      <w:pPr>
        <w:pStyle w:val="TextoNormal"/>
      </w:pPr>
    </w:p>
    <w:p w:rsidR="00AC56D6" w:rsidRDefault="00AC56D6" w:rsidP="00AC56D6">
      <w:pPr>
        <w:pStyle w:val="TextoNormal"/>
      </w:pPr>
      <w:r>
        <w:t>Declarada la inconstitucionalidad de los apartados 1 y 3 del art. 188 de la Ley de ordenación urbanística de Andalucía, corresponde examinar si procede hacer extensible esta declaración a los apartados restantes. El apartado 2 dispone: “La Administración que haya adoptado la medida cautelar prevista en el apartado anterior lo pondrá inmediatamente en conocimiento de la otra Administración, que deberá abstenerse de ejercer dicha competencia”. El apartado 4 establece: “El transcurso de los plazos citados en los apartados 1 y 3, sin que sea atendido el correspondiente requerimiento, dará lugar, además, a cuantas responsabilidades civiles, administrativas y penales se deriven legalmente”. Ambas previsiones complementan la regulación establecida en los apartados 1 y 3, que hemos declarado inconstitucionales y nulos, por lo que a ellas debe extenderse también esta declaración.</w:t>
      </w:r>
    </w:p>
    <w:p w:rsidR="00AC56D6" w:rsidRDefault="00AC56D6" w:rsidP="00AC56D6">
      <w:pPr>
        <w:pStyle w:val="TextoNormal"/>
      </w:pPr>
    </w:p>
    <w:p w:rsidR="00AC56D6" w:rsidRDefault="00AC56D6" w:rsidP="00AC56D6">
      <w:pPr>
        <w:pStyle w:val="TextoNormal"/>
      </w:pPr>
      <w:r>
        <w:t>c) Se impugna el art. 28.1 de la Ley andaluza 13/2005, que añade un apartado 4 al art. 31 de la Ley de ordenación urbanística de Andalucía, que dispone:</w:t>
      </w:r>
    </w:p>
    <w:p w:rsidR="00AC56D6" w:rsidRDefault="00AC56D6" w:rsidP="00AC56D6">
      <w:pPr>
        <w:pStyle w:val="TextoNormal"/>
      </w:pPr>
    </w:p>
    <w:p w:rsidR="00AC56D6" w:rsidRDefault="00AC56D6" w:rsidP="00AC56D6">
      <w:pPr>
        <w:pStyle w:val="TextoNormal"/>
      </w:pPr>
      <w:r>
        <w:t>“En los casos de grave incumplimiento por los municipios en el ejercicio de competencias urbanísticas que impliquen una manifiesta afectación a la ordenación del territorio y urbanismo competencia de la Comunidad Autónoma de Andalucía, el Consejo de Gobierno, con audiencia al municipio afectado, dictamen del Consejo Consultivo de Andalucía y previo informe favorable del Parlamento de Andalucía, podrá atribuir a la Consejería competente en estas materias el ejercicio de la potestad de planeamiento que corresponde a los municipios conforme al apartado 1 de este artículo.</w:t>
      </w:r>
    </w:p>
    <w:p w:rsidR="00AC56D6" w:rsidRDefault="00AC56D6" w:rsidP="00AC56D6">
      <w:pPr>
        <w:pStyle w:val="TextoNormal"/>
      </w:pPr>
    </w:p>
    <w:p w:rsidR="00AC56D6" w:rsidRDefault="00AC56D6" w:rsidP="00AC56D6">
      <w:pPr>
        <w:pStyle w:val="TextoNormal"/>
      </w:pPr>
      <w:r>
        <w:t>El Acuerdo del Consejo de Gobierno delimitará el ejercicio de dicha potestad necesario para restablecer y garantizar las competencias afectadas, las condiciones para llevarlo a cabo, con la intervención del municipio en los procedimientos que se tramiten en la forma que se prevea en el mismo Acuerdo, y el plazo de atribución, que en ningún caso será superior a cinco años desde su adopción. Dicho Acuerdo se pronunciará sobre la suspensión de la facultad de los municipios de firmar convenios de planeamiento a los que se refiere el artículo 30 de la presente Ley, atribuyendo la misma a la Consejería competente en materia de ordenación del territorio y urbanismo.”</w:t>
      </w:r>
    </w:p>
    <w:p w:rsidR="00AC56D6" w:rsidRDefault="00AC56D6" w:rsidP="00AC56D6">
      <w:pPr>
        <w:pStyle w:val="TextoNormal"/>
      </w:pPr>
    </w:p>
    <w:p w:rsidR="00AC56D6" w:rsidRDefault="00AC56D6" w:rsidP="00AC56D6">
      <w:pPr>
        <w:pStyle w:val="TextoNormal"/>
      </w:pPr>
      <w:r>
        <w:lastRenderedPageBreak/>
        <w:t>Según la demanda, el precepto contradice el art. 60 LBRL, que no permite una sustitución general en materia de planteamiento urbanístico. A su vez, el art. 60 LBRL condicionaría la potestad de sustitución al incumplimiento de obligaciones legalmente impuestas, mientras que el precepto autonómico partiría de “una subjetiva apreciación sobre el ejercicio de las competencias urbanísticas para comprobar y considerar si se está afectando negativamente a los valores que debe proteger la ordenación del territorio y el urbanismo tal y como lo entiende la Comunidad Autónoma”. Se subraya también que, a diferencia del art. 60 LBRL, el precepto impugnado no contempla plazo alguno de requerimiento al municipio y se califica de deslegalización no aceptable la parte del precepto que remite al acuerdo del Consejo de Gobierno en lo relativo a las condiciones de ejercicio de la potestad señalada. Se trata, según el recurso, de “mecanismos de control y tutela que no están previstos en el bloque de la constitucionalidad”.</w:t>
      </w:r>
    </w:p>
    <w:p w:rsidR="00AC56D6" w:rsidRDefault="00AC56D6" w:rsidP="00AC56D6">
      <w:pPr>
        <w:pStyle w:val="TextoNormal"/>
      </w:pPr>
    </w:p>
    <w:p w:rsidR="00AC56D6" w:rsidRDefault="00AC56D6" w:rsidP="00AC56D6">
      <w:pPr>
        <w:pStyle w:val="TextoNormal"/>
      </w:pPr>
      <w:r>
        <w:t>El legislador andaluz ha ponderado los intereses locales al autorizar la sustitución sólo en presencia de exigentes presupuestos de carácter tanto sustantivo (gravedad del incumplimiento y manifiesta afectación de la ordenación del territorio y urbanismo de la Comunidad de Andalucía) como formal (informe favorable del Parlamento andaluz, dictamen del Consejo Consultivo de Andalucía, acuerdo del Consejo de Gobierno), entre ellos, la “audiencia al municipio afectado”. La cuestión es si los ha ponderado suficientemente o, más precisamente, si para proteger intereses supramunicipales ha articulado una intervención autonómica excesiva o manifiestamente desproporcionada.</w:t>
      </w:r>
    </w:p>
    <w:p w:rsidR="00AC56D6" w:rsidRDefault="00AC56D6" w:rsidP="00AC56D6">
      <w:pPr>
        <w:pStyle w:val="TextoNormal"/>
      </w:pPr>
    </w:p>
    <w:p w:rsidR="00AC56D6" w:rsidRDefault="00AC56D6" w:rsidP="00AC56D6">
      <w:pPr>
        <w:pStyle w:val="TextoNormal"/>
      </w:pPr>
      <w:r>
        <w:t>El precepto no exige el previo requerimiento al municipio incumplidor, sin que pueda entenderse implícito en la “audiencia al municipio afectado”, como pretende la Letrada del Parlamento andaluz. Tal audiencia permitirá al municipio alegar sobre la legalidad, conveniencia y términos de la sustitución, pero el modo en que está regulada no asegura que sirva para poner en manos del Ayuntamiento la evitación de la intervención mediante el cumplimiento autónomo de las obligaciones asociadas a sus competencias urbanísticas. Hay que notar que el requerimiento es un presupuesto necesario de todo control administrativo por sustitución que arraiga directamente en la garantía constitucional de la autonomía local. No es constitucionalmente aceptable que la Administración autonómica ocupe ámbitos competenciales que el legislador ha atribuido ordinariamente al municipio para la tutela de los intereses de su comunidad territorial, si antes no le da la oportunidad de cumplir sus obligaciones en un plazo razonable y, por tanto, de corregir por sí las disfunciones verificadas. Dicho de otro modo: la ley debe definir suficientemente los presupuestos materiales y procedimentales del control y, en particular, las garantías que permitan al ente local evitar la subrogación mediante el cumplimiento autónomo de sus competencias.</w:t>
      </w:r>
    </w:p>
    <w:p w:rsidR="00AC56D6" w:rsidRDefault="00AC56D6" w:rsidP="00AC56D6">
      <w:pPr>
        <w:pStyle w:val="TextoNormal"/>
      </w:pPr>
    </w:p>
    <w:p w:rsidR="00AC56D6" w:rsidRDefault="00AC56D6" w:rsidP="00AC56D6">
      <w:pPr>
        <w:pStyle w:val="TextoNormal"/>
      </w:pPr>
      <w:r>
        <w:t xml:space="preserve">A su vez, el precepto asocia el defectuoso ejercicio de cualesquiera “competencias urbanísticas” municipales con la posibilidad de que la Comunidad Autónoma ejecute una muy específica y relevante competencia urbanística municipal, el planeamiento urbanístico. De modo que la literalidad de la norma da a entender que la competencia local ejercitable por sustitución puede ser distinta de la que desplegó el municipio con incumplimiento grave. A su vez, la previsión impugnada entrega a la Comunidad Autónoma todo el planeamiento urbanístico, esto es, una competencia de interés local preferente y en cuyo ejercicio ordinario por parte de los Ayuntamientos ya están presentes los intereses supralocales a través de otras técnicas, singularmente trámites de informe preceptivo de la Comunidad o de aprobación autonómica definitiva (art. 33 de la Ley de ordenación urbanística de Andalucía). Lo </w:t>
      </w:r>
      <w:r>
        <w:lastRenderedPageBreak/>
        <w:t>hace, ciertamente, ante las circunstancias especiales antedichas en el marco de un procedimiento rodeado de cautelas y con previsión de una participación local, pero por un tiempo que puede llegar a los cinco años. Ello implica que, conforme a la disposición recurrida, la afectación de los intereses supramunicipales puede llegar a justificar el ejercicio sistemático y durante largo tiempo de una potestad fuertemente discrecional que encierra infinidad de decisiones que atañen al municipio exclusiva o prevalentemente. No puede perderse de vista que la potestad relativa a “la configuración del asentamiento urbano municipal” como “marco regulador del espacio físico de la convivencia de los vecinos” es una “tarea comprendida prioritariamente en el ámbito de los intereses del municipio” sobre la que “se proyectan” de “forma especialmente intensa las exigencias de la autonomía municipal”. Por eso “la ordenación urbanística del territorio municipal es tarea que fundamentalmente corresponde al municipio” y “la intervención de otras Administraciones se justifica sólo en la medida en que concurran intereses de carácter supramunicipal” (STC 51/2004, FJ 12).</w:t>
      </w:r>
    </w:p>
    <w:p w:rsidR="00AC56D6" w:rsidRDefault="00AC56D6" w:rsidP="00AC56D6">
      <w:pPr>
        <w:pStyle w:val="TextoNormal"/>
      </w:pPr>
    </w:p>
    <w:p w:rsidR="00AC56D6" w:rsidRDefault="00AC56D6" w:rsidP="00AC56D6">
      <w:pPr>
        <w:pStyle w:val="TextoNormal"/>
      </w:pPr>
      <w:r>
        <w:t>Consecuentemente, el legislador andaluz ha previsto un control autonómico con tintes sancionadores que no ha ponderado suficientemente los intereses locales implicados en lo que hace tanto a la definición de los incumplimientos habilitantes y del procedimiento para acordar la sustitución como a la intensidad y alcance de las competencias ejercitables por parte de la Comunidad Autónoma. Téngase en cuenta que, conforme a la doctrina constitucional, la gestión gravemente dañosa de los intereses de la propia entidad local no es suficiente para que el legislador pueda autorizar a la Administración General del Estado la sustitución de la corporación en el ejercicio de sus competencias; sí, en cambio, la afectación grave de los intereses generales, si la sustitución “tiene una eficacia limitada temporalmente, de acuerdo con un criterio razonable” [STC 4/1981, FJ 10 d)].</w:t>
      </w:r>
    </w:p>
    <w:p w:rsidR="00AC56D6" w:rsidRDefault="00AC56D6" w:rsidP="00AC56D6">
      <w:pPr>
        <w:pStyle w:val="TextoNormal"/>
      </w:pPr>
    </w:p>
    <w:p w:rsidR="00AC56D6" w:rsidRDefault="00AC56D6" w:rsidP="00AC56D6">
      <w:pPr>
        <w:pStyle w:val="TextoNormal"/>
      </w:pPr>
      <w:r>
        <w:t>Cumple, por tanto, apreciar que el art. 31.4 de la Ley de ordenación urbanística de Andalucía es contrario a la garantía constitucional de la autonomía municipal (arts. 137 y 140 CE). No se ajusta tampoco, como no podía ser de otro modo, al art. 60 LBRL por lo que invade también la competencia estatal en materia de bases de régimen local (art. 149.1.18 CE): la previsión impugnada, al igual que la enjuiciada en la STC 159/2001, de 5 de julio, FJ 7, limita más que la señalada previsión básica la capacidad decisoria de los entes locales.</w:t>
      </w:r>
    </w:p>
    <w:p w:rsidR="00AC56D6" w:rsidRDefault="00AC56D6" w:rsidP="00AC56D6">
      <w:pPr>
        <w:pStyle w:val="TextoNormal"/>
      </w:pPr>
    </w:p>
    <w:p w:rsidR="00AC56D6" w:rsidRDefault="00AC56D6" w:rsidP="00AC56D6">
      <w:pPr>
        <w:pStyle w:val="TextoNormal"/>
      </w:pPr>
      <w:r>
        <w:t>Corresponde, pues, declarar que el art. 31.4 de la Ley de ordenación urbanística de Andalucía, en la redacción dada por el art. 28.1 de la Ley 13/2005, del Parlamento de Andalucía, es inconstitucional y nulo.</w:t>
      </w:r>
    </w:p>
    <w:p w:rsidR="00AC56D6" w:rsidRDefault="00AC56D6" w:rsidP="00AC56D6">
      <w:pPr>
        <w:pStyle w:val="TextoNormal"/>
      </w:pPr>
    </w:p>
    <w:p w:rsidR="00AC56D6" w:rsidRDefault="00AC56D6" w:rsidP="00AC56D6">
      <w:pPr>
        <w:pStyle w:val="TextoNormal"/>
      </w:pPr>
      <w:r>
        <w:t>d) Los Diputados recurrentes impugnan el art. 23.4 de la Ley andaluza 13/2005, que añade una nueva letra c) al art. 18.3 de la Ley de ordenación urbanística de Andalucía:</w:t>
      </w:r>
    </w:p>
    <w:p w:rsidR="00AC56D6" w:rsidRDefault="00AC56D6" w:rsidP="00AC56D6">
      <w:pPr>
        <w:pStyle w:val="TextoNormal"/>
      </w:pPr>
    </w:p>
    <w:p w:rsidR="00AC56D6" w:rsidRDefault="00AC56D6" w:rsidP="00AC56D6">
      <w:pPr>
        <w:pStyle w:val="TextoNormal"/>
      </w:pPr>
      <w:r>
        <w:t>“En las áreas o sectores que contengan reservas de terrenos para viviendas de protección oficial u otros regímenes de protección pública, el Plan General de Ordenación Urbanística o, en su defecto, el instrumento de planeamiento que contenga la ordenación detallada especificará los plazos para el inicio y terminación de estas viviendas, plazos que deberán contar con informe favorable de la Consejería competente en materia de vivienda, que lo ha de emitir en un mes, transcurrido el cual se entenderá aprobado el plazo que contenga el instrumento de planeamiento.”</w:t>
      </w:r>
    </w:p>
    <w:p w:rsidR="00AC56D6" w:rsidRDefault="00AC56D6" w:rsidP="00AC56D6">
      <w:pPr>
        <w:pStyle w:val="TextoNormal"/>
      </w:pPr>
    </w:p>
    <w:p w:rsidR="00AC56D6" w:rsidRDefault="00AC56D6" w:rsidP="00AC56D6">
      <w:pPr>
        <w:pStyle w:val="TextoNormal"/>
      </w:pPr>
      <w:r>
        <w:lastRenderedPageBreak/>
        <w:t>La impugnación se contrae a la exigencia del informe favorable de la Consejería competente en materia de vivienda en relación con la fijación de los plazos para la iniciación y terminación de viviendas de protección oficial dentro del plan general o el instrumento que contenga la ordenación detallada. Ello debilitaría excesivamente la autonomía local en un ámbito de clara vocación localista, convirtiendo en accesoria la intervención municipal sin que el Ayuntamiento sea reconocible como instancia autónoma e individualizada de toma de decisiones. El legislador autonómico habría desconocido normas estatales básicas, como los arts. 25.2 d) y 62 LBRL, que conciben el urbanismo como competencia propia municipal y aseguran la participación local en ámbitos en que resulta difícil o inconveniente la asignación diferenciada de facultades.</w:t>
      </w:r>
    </w:p>
    <w:p w:rsidR="00AC56D6" w:rsidRDefault="00AC56D6" w:rsidP="00AC56D6">
      <w:pPr>
        <w:pStyle w:val="TextoNormal"/>
      </w:pPr>
    </w:p>
    <w:p w:rsidR="00AC56D6" w:rsidRDefault="00AC56D6" w:rsidP="00AC56D6">
      <w:pPr>
        <w:pStyle w:val="TextoNormal"/>
      </w:pPr>
      <w:r>
        <w:t>Corresponde apreciar en primer término que el informe vinculante previsto en el precepto impugnado no es una técnica de control sometida al régimen establecido en los arts. 60, 61, 65 y 66 LBRL. Se está ante un mecanismo destinado a lograr la “acomodación o integración entre dos competencias concurrentes” [SSTC 103/1989, de 8 de junio, FJ 7 a); 40/1998, de 19 de febrero, FJ 38], en este caso, la tutela de los intereses supralocales en materia de vivienda y urbanismo, que corresponde a la Comunidad Autónoma (art. 56 EAAnd), y la gestión de los intereses estrictamente municipales, que corresponde, en principio, a los Ayuntamientos [arts. 137 y 140 CE; art. 25.2 d) LBRL; art. 92.2 b) EAAnd]. Por tanto, la previsión impugnada debe examinarse a la luz de la garantía constitucional de la autonomía municipal (arts. 137 y 140 CE) de modo tal que deberá comprobarse si la intensidad de la intervención autonómica resulta desproporcionada a la luz de la intensidad de los intereses locales y supralocales implicados (STC 51/2004, FJ 12). Así lo hemos declarado recientemente en la STC 57/2015, FJ 16 b), en relación con un informe vinculante de la Comisión Regional de Ordenación del Territorio y Urbanismo de la Comunidad Autónoma de Cantabria en el procedimiento de autorización de construcciones en suelo no urbanizable. Concluimos que la previsión indicada no es inconstitucional en la medida en que atiende a aspectos que trascienden “la esfera de lo municipal” y “deja incólumes las potestades municipales” para el otorgamiento o denegación de la licencia o autorización “en función de criterios estrictamente urbanísticos” [en el mismo sentido, STC 92/2015, FJ 7 b)].</w:t>
      </w:r>
    </w:p>
    <w:p w:rsidR="00AC56D6" w:rsidRDefault="00AC56D6" w:rsidP="00AC56D6">
      <w:pPr>
        <w:pStyle w:val="TextoNormal"/>
      </w:pPr>
    </w:p>
    <w:p w:rsidR="00AC56D6" w:rsidRDefault="00AC56D6" w:rsidP="00AC56D6">
      <w:pPr>
        <w:pStyle w:val="TextoNormal"/>
      </w:pPr>
      <w:r>
        <w:t xml:space="preserve">No puede dudarse de que concurren fuertes intereses supramunicipales en materia de vivienda. Justamente para atenderlos el art. 56.1 a) EAAnd atribuye competencias a la Comunidad Autónoma de Andalucía en ese ámbito de modo que pueda definir “y llevar a cabo una política de vivienda propia” [SSTC 152/1988, de 20 de julio, FJ 4; 59/1995, de 17 de mayo, FJ 3; 139/2013, de 8 de julio, FJ 3; 141/2014, FJ 8 b)]. Las políticas de vivienda tratan de facilitar el acceso a una vivienda digna a personas necesitadas, que es un objetivo constitucional primordial (arts. 9.2 y 47 CE) que guarda relación con la protección social y económica de la familia (art. 39.1 CE), la juventud (art. 48 CE), la tercera edad (art. 50 CE), las personas con discapacidad (art. 49 CE) y los emigrantes retornados (art. 42 CE) así como con la construcción como factor de desarrollo económico y generador de empleo (art. 40.1 CE). Tan es así, que la doctrina constitucional ha entendido amparadas en el art. 149.1.13 CE (“bases y coordinación de la planificación general de la actividad económica”) determinadas intervenciones estatales en este ámbito (SSTC 152/1988, FJ 4; 112/2013, de 9 de mayo, FJ 3, y 139/2013, FJ 3). En relación con el planeamiento, al examinar una previsión autonómica que obliga a destinar a uso residencial de vivienda sujeta a algún régimen de protección especial un determinado porcentaje de suelo urbanizable, la STC 57/2015, FJ 17 </w:t>
      </w:r>
      <w:r>
        <w:lastRenderedPageBreak/>
        <w:t>b) ha declarado específicamente que “es evidente la imbricación de los intereses municipales —concretados en la potestad de planeamiento urbanístico del territorio— y supramunicipales —aquí, los relativos a la política de vivienda—, que justifica y aun exige la instrumentación de técnicas que aseguren la satisfacción de las necesidades de vivienda de los sectores sociales más desfavorecidos”.</w:t>
      </w:r>
    </w:p>
    <w:p w:rsidR="00AC56D6" w:rsidRDefault="00AC56D6" w:rsidP="00AC56D6">
      <w:pPr>
        <w:pStyle w:val="TextoNormal"/>
      </w:pPr>
    </w:p>
    <w:p w:rsidR="00AC56D6" w:rsidRDefault="00AC56D6" w:rsidP="00AC56D6">
      <w:pPr>
        <w:pStyle w:val="TextoNormal"/>
      </w:pPr>
      <w:r>
        <w:t>La determinación de los plazos de inicio y terminación de las viviendas protegidas, en especial, afecta a intereses que exceden del ámbito estrictamente local; de su cumplimiento depende en parte la realización práctica de las políticas propias que adopta la Comunidad Autónoma. A su vez, la previsión impugnada incide limitadamente sobre las competencias urbanísticas municipales; afecta a un aspecto muy concreto con el fin de proteger intereses supramunicipales. No hay, por tanto, vulneración de la garantía constitucional de la autonomía municipal (arts. 137 y 140 CE).</w:t>
      </w:r>
    </w:p>
    <w:p w:rsidR="00AC56D6" w:rsidRDefault="00AC56D6" w:rsidP="00AC56D6">
      <w:pPr>
        <w:pStyle w:val="TextoNormal"/>
      </w:pPr>
    </w:p>
    <w:p w:rsidR="00AC56D6" w:rsidRDefault="00AC56D6" w:rsidP="00AC56D6">
      <w:pPr>
        <w:pStyle w:val="TextoNormal"/>
      </w:pPr>
      <w:r>
        <w:t>Consecuentemente, procede desestimar la impugnación del art. 18.3 c) de la Ley de ordenación urbanística de Andalucía en la redacción dada por el art. 23.4 de la Ley andaluza 13/2005.</w:t>
      </w:r>
    </w:p>
    <w:p w:rsidR="00AC56D6" w:rsidRDefault="00AC56D6" w:rsidP="00AC56D6">
      <w:pPr>
        <w:pStyle w:val="TextoNormal"/>
      </w:pPr>
    </w:p>
    <w:p w:rsidR="00AC56D6" w:rsidRDefault="00AC56D6" w:rsidP="00AC56D6">
      <w:pPr>
        <w:pStyle w:val="TextoNormal"/>
      </w:pPr>
      <w:r>
        <w:t>e) Se impugna el art. 24.11 de la Ley andaluza 13/2005, en la parte que modifica el art. 74.2 de la Ley de ordenación urbanística de Andalucía, que establece:</w:t>
      </w:r>
    </w:p>
    <w:p w:rsidR="00AC56D6" w:rsidRDefault="00AC56D6" w:rsidP="00AC56D6">
      <w:pPr>
        <w:pStyle w:val="TextoNormal"/>
      </w:pPr>
    </w:p>
    <w:p w:rsidR="00AC56D6" w:rsidRDefault="00AC56D6" w:rsidP="00AC56D6">
      <w:pPr>
        <w:pStyle w:val="TextoNormal"/>
      </w:pPr>
      <w:r>
        <w:t>“En las delimitaciones de reserva de terrenos para el Patrimonio Autonómico de Suelo sobre suelo urbanizable sectorizado, o en suelo no urbanizable cuando se haya establecido con la finalidad expresada en el párrafo segundo del apartado anterior, la Consejería competente en materia de urbanismo, podrá establecerse como Administración actuante para la formulación, tramitación y aprobación de los instrumentos de planeamiento, así como para la ejecución de los mismos.”</w:t>
      </w:r>
    </w:p>
    <w:p w:rsidR="00AC56D6" w:rsidRDefault="00AC56D6" w:rsidP="00AC56D6">
      <w:pPr>
        <w:pStyle w:val="TextoNormal"/>
      </w:pPr>
    </w:p>
    <w:p w:rsidR="00AC56D6" w:rsidRDefault="00AC56D6" w:rsidP="00AC56D6">
      <w:pPr>
        <w:pStyle w:val="TextoNormal"/>
      </w:pPr>
      <w:r>
        <w:t>Según los Diputados recurrentes, esta previsión autoriza una sustitución o subrogación orgánica general incompatible con la autonomía local y con las únicas fórmulas admisibles de intervención de esta especie, que serían sólo las previstas en la Ley reguladora de las bases de régimen local. Desconocería que la ordenación urbanística del territorio municipal corresponde fundamentalmente al municipio y que sólo la concurrencia de intereses de carácter supramunicipal puede justificar la intervención de otras Administraciones públicas.</w:t>
      </w:r>
    </w:p>
    <w:p w:rsidR="00AC56D6" w:rsidRDefault="00AC56D6" w:rsidP="00AC56D6">
      <w:pPr>
        <w:pStyle w:val="TextoNormal"/>
      </w:pPr>
    </w:p>
    <w:p w:rsidR="00AC56D6" w:rsidRDefault="00AC56D6" w:rsidP="00AC56D6">
      <w:pPr>
        <w:pStyle w:val="TextoNormal"/>
      </w:pPr>
      <w:r>
        <w:t>El precepto impugnado en modo alguno puede contrastarse con el control administrativo previsto en el art. 60 LBRL, como pretenden los Diputados recurrentes. La protección del interés supralocal se ha realizado en este caso, no mediante la atribución de las indicadas potestades urbanísticas al ente local con previsión de un control autonómico, sino elevando esa competencia al nivel autonómico con reducción correlativa de la intensidad de la intervención municipal. Nuestro canon de enjuiciamiento ha de ser entonces de nuevo la garantía constitucional de la autonomía local, exclusivamente.</w:t>
      </w:r>
    </w:p>
    <w:p w:rsidR="00AC56D6" w:rsidRDefault="00AC56D6" w:rsidP="00AC56D6">
      <w:pPr>
        <w:pStyle w:val="TextoNormal"/>
      </w:pPr>
    </w:p>
    <w:p w:rsidR="00AC56D6" w:rsidRDefault="00AC56D6" w:rsidP="00AC56D6">
      <w:pPr>
        <w:pStyle w:val="TextoNormal"/>
      </w:pPr>
      <w:r>
        <w:t xml:space="preserve">Tratándose de un ámbito que atañe claramente intereses municipales, contrasta la amplitud de la intervención autonómica prevista con la indefinición relativa de las finalidades de interés supralocal que pueden justificarla. Ahora bien, hay que notar que, conforme a la Ley controvertida, son más las finalidades que facultan a la Comunidad Autónoma para constituir el patrimonio autonómico del suelo, que incluye la creación de reservas de suelo para </w:t>
      </w:r>
      <w:r>
        <w:lastRenderedPageBreak/>
        <w:t>cualesquiera “actuaciones públicas” (art. 69.1), que las que la habilitan para formular, tramitar, aprobar y ejecutar los indicados instrumentos del planeamiento, que se refieren sólo a la reserva de terrenos establecida con el “expreso” objetivo de “contribuir a la protección o preservación de las características del suelo no urbanizable o de cumplir determinadas funciones estratégicas de ordenación o vertebración territorial” (art. 74.1). De modo que los intereses generales que justifican la constitución y gestión del patrimonio autonómico del suelo no autorizan por sí a la Comunidad Autónoma a erigirse en Administración actuante. Tal como señala la Letrada de la Junta de Andalucía, puede interpretarse que la Administración autonómica sólo podrá ejercer aquellas competencias urbanísticas para preservar intereses supramunicipales y, en particular, para garantizar que el patrimonio autonómico del suelo intervenga en el mercado del suelo y la vivienda y preserve las características del suelo no urbanizable, señaladamente las medioambientales.</w:t>
      </w:r>
    </w:p>
    <w:p w:rsidR="00AC56D6" w:rsidRDefault="00AC56D6" w:rsidP="00AC56D6">
      <w:pPr>
        <w:pStyle w:val="TextoNormal"/>
      </w:pPr>
    </w:p>
    <w:p w:rsidR="00AC56D6" w:rsidRDefault="00AC56D6" w:rsidP="00AC56D6">
      <w:pPr>
        <w:pStyle w:val="TextoNormal"/>
      </w:pPr>
      <w:r>
        <w:t>Ahora bien, tratándose de un ámbito de inequívoco interés local, resulta inexcusable la apertura de canales de participación municipal y que ésta tenga una intensidad tendencialmente correlativa al grado de afectación de aquel interés local, tanto en la formulación, tramitación y aprobación de los instrumentos de planteamiento como en su ejecución. A este respecto, hay que destacar, tal como pone de relieve la letrada del Parlamento de Andalucía, que la Administración autonómica está sometida al Plan General y, con ello, a las directrices y elementos que ha fijado previamente el municipio. Además, la Ley ha tomado en consideración los intereses locales al asegurar la participación municipal mediante la “audiencia a los municipios afectados” (art. 32.1 de la Ley de ordenación urbanística de Andalucía) en la elaboración de los instrumentos de planeamiento. Consecuentemente, la Ley de ordenación urbanística de Andalucía ha previsto mecanismos reveladores de una ponderación de intereses locales. La cuestión es si tal ponderación es suficiente o, más precisamente, si para proteger los indicados intereses supralocales ha articulado una intervención excesiva o manifiestamente desproporcionada.</w:t>
      </w:r>
    </w:p>
    <w:p w:rsidR="00AC56D6" w:rsidRDefault="00AC56D6" w:rsidP="00AC56D6">
      <w:pPr>
        <w:pStyle w:val="TextoNormal"/>
      </w:pPr>
    </w:p>
    <w:p w:rsidR="00AC56D6" w:rsidRDefault="00AC56D6" w:rsidP="00AC56D6">
      <w:pPr>
        <w:pStyle w:val="TextoNormal"/>
      </w:pPr>
      <w:r>
        <w:t>A este respecto, cabe resolver en consonancia con la STC 51/2004, FJ 10 que “es evidente que la relevancia de esa participación dependerá en la práctica” de que la Comunidad Autónoma, al realizar “el juicio de ponderación en que esencialmente consiste la decisión sobre el planeamiento”, atribuya “a los intereses hechos valer” por las entidades locales, el peso y la importancia que han de corresponder a dichos intereses”. El “control judicial de esa efectividad y relevancia de la intervención de las entidades locales no puede realizarse, como es lógico, en este juicio abstracto de constitucionalidad de la norma cuestionada”, pero sí “por la vía de la concreta impugnación ante los órganos judiciales competentes de la decisión sobre el planeamiento urbanístico que se adopte”.</w:t>
      </w:r>
    </w:p>
    <w:p w:rsidR="00AC56D6" w:rsidRDefault="00AC56D6" w:rsidP="00AC56D6">
      <w:pPr>
        <w:pStyle w:val="TextoNormal"/>
      </w:pPr>
    </w:p>
    <w:p w:rsidR="00AC56D6" w:rsidRDefault="00AC56D6" w:rsidP="00AC56D6">
      <w:pPr>
        <w:pStyle w:val="TextoNormal"/>
      </w:pPr>
      <w:r>
        <w:t>Consecuentemente, el precepto impugnado no es contrario a la garantía constitucional de la autonomía municipal (arts. 137 y 140 CE), sin perjuicio de que la jurisdicción contencioso-administrativa podrá controlar las eventuales extralimitaciones en que incurra la Administración autonómica al ejercer las competencias urbanísticas atribuidas y, en particular, la concurrencia de intereses supralocales legitimantes, la efectiva apertura de canales de participación local durante todas las fases del planeamiento así como la asignación a la intervención local del peso correspondiente a los intereses municipales afectados. Esta interpretación de conformidad se llevará al fallo.</w:t>
      </w:r>
    </w:p>
    <w:p w:rsidR="00AC56D6" w:rsidRDefault="00AC56D6" w:rsidP="00AC56D6">
      <w:pPr>
        <w:pStyle w:val="TextoNormal"/>
      </w:pPr>
    </w:p>
    <w:p w:rsidR="00AC56D6" w:rsidRDefault="00AC56D6" w:rsidP="00AC56D6">
      <w:pPr>
        <w:pStyle w:val="TextoNormalCentrado"/>
        <w:keepNext/>
      </w:pPr>
      <w:r>
        <w:lastRenderedPageBreak/>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1º Declarar inconstitucionales y nulos los arts. 31.4, 188 y 195.1 b), párrafos primero y segundo, así como el inciso “o la Consejería con competencias en materia de urbanismo, en su caso” del art. 183.5, todos de la Ley 7/2002, de 17 de diciembre, de ordenación urbanística de Andalucía, en la redacción dada por el art. 28 de la Ley 13/2005, de 17 de noviembre, de la Comunidad Autónoma de Andalucía, de medidas para la vivienda protegida y suelo.</w:t>
      </w:r>
    </w:p>
    <w:p w:rsidR="00AC56D6" w:rsidRDefault="00AC56D6" w:rsidP="00AC56D6">
      <w:pPr>
        <w:pStyle w:val="TextoNormal"/>
      </w:pPr>
    </w:p>
    <w:p w:rsidR="00AC56D6" w:rsidRDefault="00AC56D6" w:rsidP="00AC56D6">
      <w:pPr>
        <w:pStyle w:val="TextoNormal"/>
      </w:pPr>
      <w:r>
        <w:t>2º Declarar que el 74.2 de la Ley 7/2002, en la redacción dada por el art. 24.11 de la Ley 13/2005, no es inconstitucional interpretado en los términos del fundamento jurídico 7 e).</w:t>
      </w:r>
    </w:p>
    <w:p w:rsidR="00AC56D6" w:rsidRDefault="00AC56D6" w:rsidP="00AC56D6">
      <w:pPr>
        <w:pStyle w:val="TextoNormal"/>
      </w:pPr>
    </w:p>
    <w:p w:rsidR="00AC56D6" w:rsidRDefault="00AC56D6" w:rsidP="00AC56D6">
      <w:pPr>
        <w:pStyle w:val="TextoNormal"/>
      </w:pPr>
      <w:r>
        <w:t>3º Desestimar el recurso de inconstitucionalidad en todo lo demás.</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nueve de julio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1" w:name="SENTENCIA_2015_155"/>
      <w:r>
        <w:lastRenderedPageBreak/>
        <w:t>SENTENCIA 155/2015, de 9 de julio de 2015</w:t>
      </w:r>
    </w:p>
    <w:bookmarkEnd w:id="11"/>
    <w:p w:rsidR="00AC56D6" w:rsidRDefault="00AC56D6" w:rsidP="00AC56D6">
      <w:pPr>
        <w:pStyle w:val="TtuloResolucin"/>
      </w:pPr>
      <w:r>
        <w:t>Pleno</w:t>
      </w:r>
    </w:p>
    <w:p w:rsidR="00AC56D6" w:rsidRDefault="00AC56D6" w:rsidP="00AC56D6">
      <w:pPr>
        <w:pStyle w:val="TtuloBOE"/>
      </w:pPr>
      <w:r>
        <w:t>(BOE núm. 194, de 14 de agosto de 2015)</w:t>
      </w:r>
    </w:p>
    <w:p w:rsidR="00AC56D6" w:rsidRDefault="00AC56D6" w:rsidP="00AC56D6">
      <w:pPr>
        <w:pStyle w:val="TextoNormalCentrado"/>
      </w:pPr>
      <w:r>
        <w:t>ECLI:ES:TC:2015:155</w:t>
      </w:r>
    </w:p>
    <w:p w:rsidR="00AC56D6" w:rsidRDefault="00AC56D6" w:rsidP="00AC56D6">
      <w:pPr>
        <w:pStyle w:val="TextoNormalCentrado"/>
      </w:pPr>
    </w:p>
    <w:p w:rsidR="00AC56D6" w:rsidRDefault="00AC56D6" w:rsidP="00AC56D6">
      <w:pPr>
        <w:pStyle w:val="SntesisDescriptiva"/>
      </w:pPr>
      <w:r>
        <w:t>Recurso de inconstitucionalidad 2085-2010. Interpuesto por el Parlamento de Navarra, en relación con el artículo 9.2 de la Ley Orgánica 4/2000, de 11 de enero, sobre derechos y libertades de los extranjeros en España y su integración social, en la redacción dada por la Ley Orgánica 2/2009, de 11 de diciembre.</w:t>
      </w:r>
    </w:p>
    <w:p w:rsidR="00AC56D6" w:rsidRDefault="00AC56D6" w:rsidP="00AC56D6">
      <w:pPr>
        <w:pStyle w:val="SntesisDescriptiva"/>
      </w:pPr>
    </w:p>
    <w:p w:rsidR="00AC56D6" w:rsidRDefault="00AC56D6" w:rsidP="00AC56D6">
      <w:pPr>
        <w:pStyle w:val="SntesisAnaltica"/>
      </w:pPr>
      <w:r>
        <w:t>Derecho a la educación: constitucionalidad del precepto legal que regula el acceso a la educación no obligatoria de los extranjeros mayores de edad (STC 236/2007). Votos particulares.</w:t>
      </w:r>
    </w:p>
    <w:p w:rsidR="00AC56D6" w:rsidRDefault="00AC56D6" w:rsidP="00AC56D6">
      <w:pPr>
        <w:pStyle w:val="SntesisAnaltica"/>
      </w:pPr>
    </w:p>
    <w:p w:rsidR="00AC56D6" w:rsidRDefault="00AC56D6" w:rsidP="00AC56D6">
      <w:pPr>
        <w:pStyle w:val="Extracto"/>
      </w:pPr>
      <w:r>
        <w:t>1.</w:t>
      </w:r>
      <w:r>
        <w:tab/>
        <w:t>Los extranjeros que, por disposición de una ley o de un tratado, o por autorización concedida por una autoridad competente, tienen derecho a residir en España gozan de la protección que brinda el art. 19 CE, aun cuando no sea necesariamente en idénticos términos que los españoles, sino en los que determinen las leyes y tratados a los que se remite el art. 13.1 CE (SSTC 94/1993  y 24/2000) [FJ 2].</w:t>
      </w:r>
    </w:p>
    <w:p w:rsidR="00AC56D6" w:rsidRDefault="00AC56D6" w:rsidP="00AC56D6">
      <w:pPr>
        <w:pStyle w:val="Extracto"/>
      </w:pPr>
    </w:p>
    <w:p w:rsidR="00AC56D6" w:rsidRDefault="00AC56D6" w:rsidP="00AC56D6">
      <w:pPr>
        <w:pStyle w:val="Extracto"/>
      </w:pPr>
      <w:r>
        <w:t>2.</w:t>
      </w:r>
      <w:r>
        <w:tab/>
        <w:t>El derecho a la educación de un extranjero es en principio independiente del derecho que pueda tener a permanecer en el territorio del país en que se encuentra (Auto del Tribunal Europeo de Derechos Humanos de 25 de marzo de 2004, asunto Vikulov c. Letonia, § 11) [FJ 2].</w:t>
      </w:r>
    </w:p>
    <w:p w:rsidR="00AC56D6" w:rsidRDefault="00AC56D6" w:rsidP="00AC56D6">
      <w:pPr>
        <w:pStyle w:val="Extracto"/>
      </w:pPr>
    </w:p>
    <w:p w:rsidR="00AC56D6" w:rsidRDefault="00AC56D6" w:rsidP="00AC56D6">
      <w:pPr>
        <w:pStyle w:val="Extracto"/>
      </w:pPr>
      <w:r>
        <w:t>3.</w:t>
      </w:r>
      <w:r>
        <w:tab/>
        <w:t>Las medidas relativas a la autorización de residencia o la expulsión de extranjeros son distintas a las que atañen al acceso a los distintos niveles y grados de la enseñanza, siendo estas últimas las únicas relevantes desde la óptica del derecho a la educación (STC 236/2007) [FJ 2].</w:t>
      </w:r>
    </w:p>
    <w:p w:rsidR="00AC56D6" w:rsidRDefault="00AC56D6" w:rsidP="00AC56D6">
      <w:pPr>
        <w:pStyle w:val="Extracto"/>
      </w:pPr>
    </w:p>
    <w:p w:rsidR="00AC56D6" w:rsidRDefault="00AC56D6" w:rsidP="00AC56D6">
      <w:pPr>
        <w:pStyle w:val="Extracto"/>
      </w:pPr>
      <w:r>
        <w:t>4.</w:t>
      </w:r>
      <w:r>
        <w:tab/>
        <w:t>La extensión a los extranjeros en situación de residencia irregular del derecho a la educación no entraña discriminación en perjuicio de los extranjeros con residencia regular, puesto que aquellos que carezcan de autorización para residir pueden ser expulsados siguiendo los procedimientos legalmente establecidos, pero mientras se encuentren en territorio español no pueden ser privados de este derecho por el legislador (STC 236/2007) [FJ 2].</w:t>
      </w:r>
    </w:p>
    <w:p w:rsidR="00AC56D6" w:rsidRDefault="00AC56D6" w:rsidP="00AC56D6">
      <w:pPr>
        <w:pStyle w:val="Extracto"/>
      </w:pPr>
    </w:p>
    <w:p w:rsidR="00AC56D6" w:rsidRDefault="00AC56D6" w:rsidP="00AC56D6">
      <w:pPr>
        <w:pStyle w:val="Extracto"/>
      </w:pPr>
      <w:r>
        <w:t>5.</w:t>
      </w:r>
      <w:r>
        <w:tab/>
        <w:t>El derecho a la educación básica deberá hacerse efectivo por los poderes públicos garantizando el derecho de todos a la educación mediante una programación general de la enseñanza, de modo tal que el contenido constitucionalmente garantizado de ese derecho, en su dimensión prestacional, no se limita a la enseñanza básica, sino que se extiende también a los niveles superiores, aunque en ellos no se imponga constitucionalmente la obligatoriedad y la gratuidad [FJ 5].</w:t>
      </w:r>
    </w:p>
    <w:p w:rsidR="00AC56D6" w:rsidRDefault="00AC56D6" w:rsidP="00AC56D6">
      <w:pPr>
        <w:pStyle w:val="Extracto"/>
      </w:pPr>
    </w:p>
    <w:p w:rsidR="00AC56D6" w:rsidRDefault="00AC56D6" w:rsidP="00AC56D6">
      <w:pPr>
        <w:pStyle w:val="Extracto"/>
      </w:pPr>
      <w:r>
        <w:t>6.</w:t>
      </w:r>
      <w:r>
        <w:tab/>
        <w:t>La educación es una actividad prestacional cuya organización es compleja y conlleva cuantiosos gastos, mientras que los recursos de los poderes públicos son finitos, por lo que los Estados disponen de un amplio margen de apreciación al regu</w:t>
      </w:r>
      <w:r>
        <w:lastRenderedPageBreak/>
        <w:t>larla; y siendo que el derecho a la educación ofrece una protección particularmente intensa en todo lo que concierne a la educación básica, pero su intensidad va disminuyendo gradualmente hasta alcanzar los estudios universitarios, en éste ámbito los poderes públicos disponen del mayor margen de actuación (STEDH de 21 de junio de 2011, asunto Ponomaryovi c. Bulgaria, §§ 55 y 56) [FJ 5].</w:t>
      </w:r>
    </w:p>
    <w:p w:rsidR="00AC56D6" w:rsidRDefault="00AC56D6" w:rsidP="00AC56D6">
      <w:pPr>
        <w:pStyle w:val="Extracto"/>
      </w:pPr>
    </w:p>
    <w:p w:rsidR="00AC56D6" w:rsidRDefault="00AC56D6" w:rsidP="00AC56D6">
      <w:pPr>
        <w:pStyle w:val="Extracto"/>
      </w:pPr>
      <w:r>
        <w:t>7.</w:t>
      </w:r>
      <w:r>
        <w:tab/>
        <w:t>Si bien las garantías del derecho a la educación son de aplicación a las instituciones de educación superior, en esta etapa educativa este derecho no resulta absoluto y puede estar sujeto a limitaciones, siempre que sean legítimas por no privar de su propia esencia o efectividad al derecho a la educación: que sean previsibles para los afectados, que persigan un objetivo legítimo y que exista una relación razonable de proporcionalidad entre los medios empleados y el objetivo perseguido (STEDH de 2 de abril de 2013, asunto Tarantino y otros c. Italia, §§ 44 y 45) [FJ 5].</w:t>
      </w:r>
    </w:p>
    <w:p w:rsidR="00AC56D6" w:rsidRDefault="00AC56D6" w:rsidP="00AC56D6">
      <w:pPr>
        <w:pStyle w:val="Extracto"/>
      </w:pPr>
    </w:p>
    <w:p w:rsidR="00AC56D6" w:rsidRDefault="00AC56D6" w:rsidP="00AC56D6">
      <w:pPr>
        <w:pStyle w:val="Extracto"/>
      </w:pPr>
      <w:r>
        <w:t>8.</w:t>
      </w:r>
      <w:r>
        <w:tab/>
        <w:t>Las limitaciones al derecho a la educación, en principio, pueden estar fundadas en la situación irregular de los emigrantes, siempre que se tenga en cuenta la especial protección del derecho a la educación, su papel esencial en una sociedad democrática y su carácter instrumental para la protección de los derechos humanos y para la integración de las minorías, lo que obliga a ponderar cuidadosamente, entre otras, las circunstancias a que puede obedecer la falta de permiso de residencia (STEDH Ponomaryovi c. Bulgaria, § 60) [FJ 5].</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inconstitucionalidad núm. 2085-2010, promovido por el Parlamento de Navarra, representado y asistido por la Letrada doña Nekane Iriarte Amigot, respecto al artículo 9.2 de la Ley Orgánica 4/2000, de 11 de enero, sobre derechos y libertades de los extranjeros en España y su integración social, en la nueva redacción dada por la Ley Orgánica 2/2009, de 11 de diciembre, apartado 11 de su artículo único. Ha comparecido el Abogado del Estado. Ha sido Ponente el Magistrado don Juan Antonio Xiol Ríos, quien expresa el parecer del Tribunal.</w:t>
      </w:r>
    </w:p>
    <w:p w:rsidR="00AC56D6" w:rsidRDefault="00AC56D6" w:rsidP="00AC56D6">
      <w:pPr>
        <w:pStyle w:val="TextoNormal"/>
      </w:pPr>
    </w:p>
    <w:p w:rsidR="00AC56D6" w:rsidRDefault="00AC56D6" w:rsidP="00AC56D6">
      <w:pPr>
        <w:pStyle w:val="TextoNormalNegritaCentrado"/>
        <w:keepNext/>
      </w:pPr>
      <w:r>
        <w:lastRenderedPageBreak/>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de 12 de marzo de 2010, presentado ese mismo día en el Registro General de este Tribunal, la Letrada del Parlamento de Navarra, en la representación que legalmente ostenta, interpuso recurso de inconstitucionalidad contra el art. 9.2 de la Ley Orgánica 4/2000, de 11 de enero, sobre derechos y libertades de los extranjeros en España y su integración social, en la redacción introducida por el apartado 11 del artículo único de la Ley Orgánica 2/2009, de 11 de diciembre (“Boletín Oficial del Estado” núm. 299, de 12 de diciembre de 2009). Se adjunta a la demanda la certificación del acuerdo del Pleno del Parlamento de Navarra, de 11 de marzo de 2010, decidiendo la interposición del recurso, así como el acuerdo de la Mesa encomendando la representación y defensa del Parlamento a su Letrada.</w:t>
      </w:r>
    </w:p>
    <w:p w:rsidR="00AC56D6" w:rsidRDefault="00AC56D6" w:rsidP="00AC56D6">
      <w:pPr>
        <w:pStyle w:val="TextoNormal"/>
      </w:pPr>
    </w:p>
    <w:p w:rsidR="00AC56D6" w:rsidRDefault="00AC56D6" w:rsidP="00AC56D6">
      <w:pPr>
        <w:pStyle w:val="TextoNormal"/>
      </w:pPr>
      <w:r>
        <w:t>La demanda suplica al Tribunal que declare la inconstitucionalidad del precepto citado en cuanto exige la autorización de residencia (ser “residentes”) a los extranjeros en España para poder acceder a la educación posobligatoria.</w:t>
      </w:r>
    </w:p>
    <w:p w:rsidR="00AC56D6" w:rsidRDefault="00AC56D6" w:rsidP="00AC56D6">
      <w:pPr>
        <w:pStyle w:val="TextoNormal"/>
      </w:pPr>
    </w:p>
    <w:p w:rsidR="00AC56D6" w:rsidRDefault="00AC56D6" w:rsidP="00AC56D6">
      <w:pPr>
        <w:pStyle w:val="TextoNormal"/>
      </w:pPr>
      <w:r w:rsidRPr="00AC56D6">
        <w:rPr>
          <w:rStyle w:val="NumeroAFNegritaCaracter"/>
        </w:rPr>
        <w:t>2</w:t>
      </w:r>
      <w:r>
        <w:t>. La demanda justifica la legitimación del Parlamento en los arts. 162.1 a) CE, 32 de la Ley Orgánica del Tribunal Constitucional (LOTC) y 212 del Reglamento del Parlamento de Navarra, y recuerda que ha sido reconocida en la STC 236/2007, de 7 de noviembre (FJ 1). La Comunidad Foral de Navarra ostenta competencia plena sobre la educación, según el art. 47 de la Ley Orgánica de reintegración y amejoramiento del régimen foral de Navarra (LORAFNA), por lo que el precepto impugnado afecta a su ámbito de autonomía (STC 199/1987). También afirma el cumplimiento de los restantes requisitos procesales de plazo y representación procesal.</w:t>
      </w:r>
    </w:p>
    <w:p w:rsidR="00AC56D6" w:rsidRDefault="00AC56D6" w:rsidP="00AC56D6">
      <w:pPr>
        <w:pStyle w:val="TextoNormal"/>
      </w:pPr>
    </w:p>
    <w:p w:rsidR="00AC56D6" w:rsidRDefault="00AC56D6" w:rsidP="00AC56D6">
      <w:pPr>
        <w:pStyle w:val="TextoNormal"/>
      </w:pPr>
      <w:r>
        <w:t>En el plano sustantivo, la demanda sostiene la inconstitucionalidad del apartado impugnado porque solo garantiza a los extranjeros mayores de 18 años el derecho a la educación posobligatoria si tienen autorización de residencia en España, ya sea temporal o de larga duración (art. 30 bis). Lo cual, a juicio del Parlamento de Navarra, vulnera lo dispuesto en el art. 27 CE según la interpretación que de dicho precepto constitucional, en relación con el art. 13 CE, ha realizado este Tribunal en la STC 236/2007, de 7 de noviembre (en especial, fundamento jurídico 8). En tal sentido, señala que la referida Sentencia declaró inconstitucional y nulo el inciso “residentes” del precepto relativo al derecho a la educación de naturaleza no obligatoria (art. 9.3 de la Ley Orgánica 4/2000, redactado por la Ley Orgánica 8/2000, de 22 de diciembre) por entender que la Constitución había reconocido el derecho a la educación por igual a todos los extranjeros, con independencia de su situación administrativa; por lo que no sería constitucionalmente legítimo excluir de la educación no obligatoria a quienes no ostentan la condición de residentes en España.</w:t>
      </w:r>
    </w:p>
    <w:p w:rsidR="00AC56D6" w:rsidRDefault="00AC56D6" w:rsidP="00AC56D6">
      <w:pPr>
        <w:pStyle w:val="TextoNormal"/>
      </w:pPr>
    </w:p>
    <w:p w:rsidR="00AC56D6" w:rsidRDefault="00AC56D6" w:rsidP="00AC56D6">
      <w:pPr>
        <w:pStyle w:val="TextoNormal"/>
      </w:pPr>
      <w:r>
        <w:t xml:space="preserve">Con arreglo a dicho criterio, la Letrada del Parlamento Foral entiende que este Tribunal Constitucional ha establecido que el derecho a la educación del art. 27 CE [a la luz del art. 26 de la Declaración universal de derechos humanos, el Protocolo adicional al Convenio europeo de derechos humanos (CEDH)y el art. 13 del Pacto internacional de derechos económicos, sociales y culturales] corresponde a todos, independientemente de la condición de nacional o extranjero o de la situación legal en España y sin que puedan hacerse distinciones entre mayores o menores de edad. El disfrute del derecho debe garantizarse a toda persona </w:t>
      </w:r>
      <w:r>
        <w:lastRenderedPageBreak/>
        <w:t>dependiente de la jurisdicción de un Estado contratante (art. 1 CEDH), expresión que incluye a las personas no nacionales que se encuentran en situación irregular. El derecho comprende el acceso a los estudios, la obtención de las titulaciones correspondientes y lo relativo al acceso a las becas y ayudas públicas, que son un elemento esencial del ejercicio del derecho (SSTC 188/2001, 212/2005 y 236/2007). La vigente Ley Orgánica 2/2006, de 3 de mayo, reguladora del derecho a la educación configura las becas y ayudas al estudio como medio para garantizar la igualdad de todas las personas en el acceso a la educación, pudiendo tenerse en cuenta el rendimiento escolar en la enseñanza posobligatoria (art. 83.1).</w:t>
      </w:r>
    </w:p>
    <w:p w:rsidR="00AC56D6" w:rsidRDefault="00AC56D6" w:rsidP="00AC56D6">
      <w:pPr>
        <w:pStyle w:val="TextoNormal"/>
      </w:pPr>
    </w:p>
    <w:p w:rsidR="00AC56D6" w:rsidRDefault="00AC56D6" w:rsidP="00AC56D6">
      <w:pPr>
        <w:pStyle w:val="TextoNormal"/>
      </w:pPr>
      <w:r>
        <w:t>El precepto impugnado no prohíbe expresamente ese derecho, pero tampoco lo garantiza: su tenor literal impide el ejercicio del derecho a quienes, siendo mayores de edad, se encuentren en situación administrativa irregular, lo que supone una sutil pero eficaz prohibición. De ese modo se estaría estableciendo una limitación contraria a la doctrina constitucional que ha establecido que el derecho de acceso de los extranjeros a la enseñanza no obligatoria, también cuando se trate de mayores de edad, forma parte del contenido esencial del derecho a la educación; sin que este derecho de acceso a la enseñanza posobligatoria pueda quedar circunscrito a los extranjeros menores de 18 años sino que ha de reconocerse a todos los residentes de hecho con independencia de su edad, pues se trata de un derecho vinculado con la garantía de la dignidad humana cuya prestación ha de hacerse efectiva por los poderes públicos. Los extranjeros podrán ser expulsados siguiendo los procedimientos legalmente establecidos pero, mientras se encuentren en territorio español, el legislador no puede privarles del derecho a la educación que les otorga la Constitución española y los tratados internacionales. En los tiempos que corren constituye una finalidad esencial de toda sociedad lograr que todos reciban una educación y una formación de calidad, sin que ningún país se pueda permitir desperdiciar la reserva de talento que tienen todas y cada una de las personas que viven en él, teniendo en cuenta que la educación en un proceso permanente que se desarrolla durante toda la vida. La doctrina de la STC 236/2007 llevó al Consejo de Estado, en su dictamen de 25 de junio de 2009, a sugerir la supresión de la exigencia de residencia en la redacción del anteproyecto de ley.</w:t>
      </w:r>
    </w:p>
    <w:p w:rsidR="00AC56D6" w:rsidRDefault="00AC56D6" w:rsidP="00AC56D6">
      <w:pPr>
        <w:pStyle w:val="TextoNormal"/>
      </w:pPr>
    </w:p>
    <w:p w:rsidR="00AC56D6" w:rsidRDefault="00AC56D6" w:rsidP="00AC56D6">
      <w:pPr>
        <w:pStyle w:val="TextoNormal"/>
      </w:pPr>
      <w:r>
        <w:t>El precepto objetado resulta ser, salvo en el aspecto referido al derecho a la educación posobligatoria de los extranjeros menores de edad, sustancialmente igual al declarado inconstitucional en la STC 236/2007, pues impide el acceso a este nivel educativo a los extranjeros mayores de 18 años que no tengan autorización de residencia. Limitación que no queda salvada por la remisión que contiene a la legislación educativa, dado que dicha legislación se remite, a su vez, a las disposiciones en materia de extranjería (disposición adicional decimonovena de la Ley Orgánica 2/2006). Tampoco encuentra la Letrada del Parlamento de Navarra razón alguna con fundamento constitucional que permitiera al legislador llevar a cabo la exclusión denunciada cuando se trata de un derecho que ha sido considerado imprescindible para la dignidad humana (arts. 10.1 y 13 CE) y no existen otros bienes o intereses constitucionalmente protegibles que justifiquen la existencia de dicha limitación. Los problemas de gestión de las becas y ayudas (reguladas por el Real Decreto 1721/2007, de 21 de diciembre), si se extendieran a quienes carecen de residencia regular, a los que aludía el dictamen del Consejo de Estado mencionado antes, no son convincentes: así lo muestra la experiencia de los periodos en que las becas y ayudas al estudio han sido reconocidas con la mayor generosidad (años 2000-2001 y 2007-2009), y la misma existencia de prestaciones para extranjeros menores de 18 años.</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3</w:t>
      </w:r>
      <w:r>
        <w:t>. El Pleno del Tribunal, por providencia de 14 de abril de 2010, acordó admitir a trámite el recurso de inconstitucionalidad; y dar traslado de la demanda al Congreso de los Diputados, al Senado y al Gobierno, conforme establece el art. 34 LOTC. El correspondiente edicto fue publicado en el “BOE” núm. 103, de 29 de abril de 2010.</w:t>
      </w:r>
    </w:p>
    <w:p w:rsidR="00AC56D6" w:rsidRDefault="00AC56D6" w:rsidP="00AC56D6">
      <w:pPr>
        <w:pStyle w:val="TextoNormal"/>
      </w:pPr>
    </w:p>
    <w:p w:rsidR="00AC56D6" w:rsidRDefault="00AC56D6" w:rsidP="00AC56D6">
      <w:pPr>
        <w:pStyle w:val="TextoNormal"/>
      </w:pPr>
      <w:r w:rsidRPr="00AC56D6">
        <w:rPr>
          <w:rStyle w:val="NumeroAFNegritaCaracter"/>
        </w:rPr>
        <w:t>4</w:t>
      </w:r>
      <w:r>
        <w:t>. Por escrito registrado el 28 de septiembre de 2010, el Presidente del Senado comunicó el acuerdo adoptado por la Mesa en el sentido de que se tuviera a dicha Cámara por personada en el procedimiento, y por ofrecida su colaboración a los efectos del art. 88.1 LOTC. Por escrito enviado por correo el mismo día, y registrado el 29 de septiembre, el Presidente del Congreso de los Diputados comunicó que dicha Cámara no se personaría en el procedimiento ni formularía alegaciones, poniendo a disposición del Tribunal las actuaciones que pudiera precisar, con remisión a la Dirección de estudios, análisis y publicaciones y a la asesoría jurídica de la Secretaría General.</w:t>
      </w:r>
    </w:p>
    <w:p w:rsidR="00AC56D6" w:rsidRDefault="00AC56D6" w:rsidP="00AC56D6">
      <w:pPr>
        <w:pStyle w:val="TextoNormal"/>
      </w:pPr>
    </w:p>
    <w:p w:rsidR="00AC56D6" w:rsidRDefault="00AC56D6" w:rsidP="00AC56D6">
      <w:pPr>
        <w:pStyle w:val="TextoNormal"/>
      </w:pPr>
      <w:r w:rsidRPr="00AC56D6">
        <w:rPr>
          <w:rStyle w:val="NumeroAFNegritaCaracter"/>
        </w:rPr>
        <w:t>5</w:t>
      </w:r>
      <w:r>
        <w:t>. El Abogado del Estado formuló sus alegaciones mediante escrito presentado en el Registro General de este Tribunal el día 11 de mayo de 2010, solicitando la desestimación del recurso de inconstitucionalidad:</w:t>
      </w:r>
    </w:p>
    <w:p w:rsidR="00AC56D6" w:rsidRDefault="00AC56D6" w:rsidP="00AC56D6">
      <w:pPr>
        <w:pStyle w:val="TextoNormal"/>
      </w:pPr>
    </w:p>
    <w:p w:rsidR="00AC56D6" w:rsidRDefault="00AC56D6" w:rsidP="00AC56D6">
      <w:pPr>
        <w:pStyle w:val="TextoNormal"/>
      </w:pPr>
      <w:r>
        <w:t>No puede compartir las objeciones formuladas por el recurso al precepto impugnado, cuya fundamentación se reduce prácticamente a la cita de la STC 236/2007: la nueva regulación de la ley de extranjería de 2009 se ha dictado, precisamente, para acomodar la redacción de diversos preceptos, en parte anulados, a la jurisprudencia de este Tribunal. Al mismo tiempo, la reforma de 2009 ha procurado adaptar diversas directivas comunitarias de especial proyección al derecho a la educación de los ciudadanos extracomunitarios en el espacio europeo.</w:t>
      </w:r>
    </w:p>
    <w:p w:rsidR="00AC56D6" w:rsidRDefault="00AC56D6" w:rsidP="00AC56D6">
      <w:pPr>
        <w:pStyle w:val="TextoNormal"/>
      </w:pPr>
    </w:p>
    <w:p w:rsidR="00AC56D6" w:rsidRDefault="00AC56D6" w:rsidP="00AC56D6">
      <w:pPr>
        <w:pStyle w:val="TextoNormal"/>
      </w:pPr>
      <w:r>
        <w:t>El preámbulo de la Ley Orgánica 2/2009, de 11 de diciembre, expresa que incorpora a la Ley de extranjería varias Directivas comunitarias, entre ellas la 2004/114/CE, de 13 de diciembre, entre cuyos objetivos se incluye promover la acción de la Comunidad Europea en su conjunto como centro mundial de excelencia de la enseñanza y la formación profesional, favoreciendo la movilidad de los nacionales de terceros países hacia Europa para seguir estudios; estrategia de la que forma parte la aproximación de las legislaciones de los Estados miembros en cuanto a condiciones de entrada y residencia (considerandos 6 y 8). Las condiciones de admisión de los estudiantes extranjeros vienen reguladas en los arts. 5 y ss. de la Directiva, que han sido incorporados en lo esencial por el art. 33 de la Ley española de extranjería. En estos preceptos se exige una autorización de estancia, no con una finalidad de control de los flujos inmigratorios, sino respondiendo a exigencias coherentes con la actividad prestacional educativa. No basta con ser extranjero sin más para acceder a determinadas enseñanzas, como tampoco lo es poseer la nacionalidad española: quien se proponga realizar estudios en España que no sean obligatorios debe justificar una serie de requisitos adecuados a la finalidad discente perseguida, como sus estudios previos, y también las condiciones que aseguren su subsistencia como es el documento de viaje, un seguro de enfermedad, conocimiento de la lengua y otros requisitos enumerados por el art. 5 y ss. de la Directiva.</w:t>
      </w:r>
    </w:p>
    <w:p w:rsidR="00AC56D6" w:rsidRDefault="00AC56D6" w:rsidP="00AC56D6">
      <w:pPr>
        <w:pStyle w:val="TextoNormal"/>
      </w:pPr>
    </w:p>
    <w:p w:rsidR="00AC56D6" w:rsidRDefault="00AC56D6" w:rsidP="00AC56D6">
      <w:pPr>
        <w:pStyle w:val="TextoNormal"/>
      </w:pPr>
      <w:r>
        <w:t xml:space="preserve">La finalidad de la Directiva no es poner obstáculos a la incorporación de estudiantes extranjeros, sino comprobar la aptitud de los aspirantes a recibir enseñanzas adecuadas a su </w:t>
      </w:r>
      <w:r>
        <w:lastRenderedPageBreak/>
        <w:t>situación y asegurar la igualdad con los nacionales del propio Estado receptor. Tampoco se pueden minusvalorar los aspectos relacionados con los medios materiales y económicos de que disponen, que deben ser ponderados por las Administraciones y las demás instituciones del sistema educativo para atender a una demanda adicional a la estimada en principio para sus nacionales. El sistema educativo no puede ser diseñado en función de posibilidades ilimitadas: los Estados no tienen obligación de crear un sistema de enseñanza, sino solo garantizar a las personas bajo su jurisdicción “el derecho a utilizar, en principio, los medios de instrucción que existan en un momento determinado” (STEDH de 23 de julio de 1968). Se persigue también conseguir un mínimo de orden en este campo, articulando unos “instrumentos de planificación y programación” (STC 236/2007, FJ 8). La Directiva 2004/114 solo deja fuera de su regulación a los nacionales de terceros países que residan en un Estado miembro como solicitantes de asilo o bajo regímenes de protección temporal o con residencia de larga duración (art. 3.2). Ambas excepciones son coherentes con la exigencia general de que el aspirante se sujete a un trámite de admisión que verifique sus aptitudes escolares para acceder a la enseñanza pretendida.</w:t>
      </w:r>
    </w:p>
    <w:p w:rsidR="00AC56D6" w:rsidRDefault="00AC56D6" w:rsidP="00AC56D6">
      <w:pPr>
        <w:pStyle w:val="TextoNormal"/>
      </w:pPr>
    </w:p>
    <w:p w:rsidR="00AC56D6" w:rsidRDefault="00AC56D6" w:rsidP="00AC56D6">
      <w:pPr>
        <w:pStyle w:val="TextoNormal"/>
      </w:pPr>
      <w:r>
        <w:t>La Ley Orgánica 2/2009 regula la autorización de extranjeros para fines escolares en España en términos que transponen la Directiva europea (art. 33 de la Ley). La autorización permite estar en España a efectos de estudios, intercambio de alumnos, prácticas no laborales o servicios de voluntariado, durante el tiempo que dure el curso o las prácticas correspondientes. Asimismo, permite el ejercicio de actividades retribuidas secundarias o en familia, para compensar gastos de manutención o aprendizaje. Este artículo 33 no ha sido impugnado, a pesar de que es el precepto rector de la materia controvertida. El reproche de que la regulación legal no garantiza el derecho de acceso a la enseñanza de quienes no han sido autorizados a residir decae desde el momento en que el derecho se reconoce con la misma universalidad que puede exigirse a una norma que se limita a transponer una Directiva comunitaria europea, igualando a los ciudadanos de dentro y fuera de la Comunidad. La mera presencia física en territorio español no confiere un derecho absoluto e incondicionado a cursar cualquier tipo de enseñanza en España o en cualquier otro país europeo. Tampoco tiene ese derecho quien resida en España legalmente o incluso tenga la nacionalidad de otro país de la Unión Europea.</w:t>
      </w:r>
    </w:p>
    <w:p w:rsidR="00AC56D6" w:rsidRDefault="00AC56D6" w:rsidP="00AC56D6">
      <w:pPr>
        <w:pStyle w:val="TextoNormal"/>
      </w:pPr>
    </w:p>
    <w:p w:rsidR="00AC56D6" w:rsidRDefault="00AC56D6" w:rsidP="00AC56D6">
      <w:pPr>
        <w:pStyle w:val="TextoNormal"/>
      </w:pPr>
      <w:r>
        <w:t>Lo mismo puede decirse de otros capítulos del contenido del derecho reconocido en el precepto cuestionado como es el acceso a las becas. Difícilmente podrían valorarse las condiciones de atribución de ese derecho a quienes no son residentes, si atendemos a la minuciosa regulación en la materia (Reales Decretos 1721/2007 y 922/2009), donde juega un papel determinante los umbrales de renta y patrimonio familiar en tributos personales que, como regla, solo pesan sobre los residentes. La ley ha buscado que los extranjeros que se propongan acceder a estudios no obligatorios ni básicos se ajusten a las mismas condiciones que rigen para los españoles, sin obviar los límites impuestos.</w:t>
      </w:r>
    </w:p>
    <w:p w:rsidR="00AC56D6" w:rsidRDefault="00AC56D6" w:rsidP="00AC56D6">
      <w:pPr>
        <w:pStyle w:val="TextoNormal"/>
      </w:pPr>
    </w:p>
    <w:p w:rsidR="00AC56D6" w:rsidRDefault="00AC56D6" w:rsidP="00AC56D6">
      <w:pPr>
        <w:pStyle w:val="TextoNormal"/>
      </w:pPr>
      <w:r>
        <w:t>El derecho está sujeto, por todo ello, a una autorización previa cuya disciplina se ordena, precisa y únicamente, al objetivo de ajustarse a las circunstancias y finalidades manifestadas por el solicitante. Esta residencia en España no se exige previamente a la solicitud, sino que es su consecuencia: se pide para estudiar en España y se concede para ese fin. No hay nada en ello que contravenga la dignidad humana ni que pueda estimarse irrazonable o desmesurado.</w:t>
      </w:r>
    </w:p>
    <w:p w:rsidR="00AC56D6" w:rsidRDefault="00AC56D6" w:rsidP="00AC56D6">
      <w:pPr>
        <w:pStyle w:val="TextoNormal"/>
      </w:pPr>
    </w:p>
    <w:p w:rsidR="00AC56D6" w:rsidRDefault="00AC56D6" w:rsidP="00AC56D6">
      <w:pPr>
        <w:pStyle w:val="TextoNormal"/>
      </w:pPr>
      <w:r>
        <w:lastRenderedPageBreak/>
        <w:t>El art. 9.2 de la Ley de extranjería es realmente una síntesis anunciadora del contenido que con mayor desarrollo se establece en el art. 33. Los extranjeros menores de edad están sujetos a la enseñanza básica obligatoria que discurre hasta los 16 años con prórroga hasta los 18 (art. 4 de la Ley Orgánica 2/2006). A ellos se refería la STC 236/2007 (FJ 8). Distinto es el caso de los mayores de edad que realicen estudios voluntariamente. El precepto cuestionado se refiere a las etapas posobligatorias (es decir, a cursos lectivos en régimen de matrícula), a las titulaciones y a las becas, porque el resto de las actividades educativas a que pueden acogerse los españoles se reconocen también a los extranjeros, con independencia de la legalidad de su situación en España. Para matricularse en un curso lectivo, obtener títulos académicos o ser perceptores de ayudas económicas hace falta que los estudiantes extranjeros soliciten una autorización que verifique las condiciones de aptitud y capacidad del solicitante. A esa aptitud se refería la STC 236/2007 cuando aludía a “los méritos respectivos” (art. 26 de la Declaración universal de los derechos humanos) o “la capacidad de cada uno” (Pacto internacional de los derechos económicos, sociales y culturales). La autorización prevista en el art. 9.2 lleva consigo el reconocimiento de la condición de “residente”, que debe entenderse en conexión con el art. 33 de la Ley, es decir como “admitido” a recibir enseñanza en las etapas posobligatorias, a optar por las titulaciones y beneficiarse de las becas que procedan. La ley unifica en un solo acto la autorización de la residencia en España y la admisión a los estudios, previa comprobación de que el solicitante reúne los requisitos docentes exigidos. La admisión para realizar estudios permite obtener la autorización para residir en España.</w:t>
      </w:r>
    </w:p>
    <w:p w:rsidR="00AC56D6" w:rsidRDefault="00AC56D6" w:rsidP="00AC56D6">
      <w:pPr>
        <w:pStyle w:val="TextoNormal"/>
      </w:pPr>
    </w:p>
    <w:p w:rsidR="00AC56D6" w:rsidRDefault="00AC56D6" w:rsidP="00AC56D6">
      <w:pPr>
        <w:pStyle w:val="TextoNormal"/>
      </w:pPr>
      <w:r w:rsidRPr="00AC56D6">
        <w:rPr>
          <w:rStyle w:val="NumeroAFNegritaCaracter"/>
        </w:rPr>
        <w:t>6</w:t>
      </w:r>
      <w:r>
        <w:t>. Por providencia de 7 de julio de 2015 se señaló, para deliberación y votación de la presente Sentencia, el día 9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objeto del presente recurso es analizar la constitucionalidad del artículo 9, apartado 2, de la Ley Orgánica 4/2000, de 11 de enero, sobre derechos y libertades de los extranjeros en España y su integración social (LOEx), en la redacción dada por el apartado 11 del artículo único de la Ley Orgánica 2/2009, de 11 de diciembre. El precepto del que forma parte la disposición impugnada por el Parlamento de Navarra ofrece el siguiente tenor:</w:t>
      </w:r>
    </w:p>
    <w:p w:rsidR="00AC56D6" w:rsidRDefault="00AC56D6" w:rsidP="00AC56D6">
      <w:pPr>
        <w:pStyle w:val="TextoNormal"/>
      </w:pPr>
    </w:p>
    <w:p w:rsidR="00AC56D6" w:rsidRDefault="00AC56D6" w:rsidP="00AC56D6">
      <w:pPr>
        <w:pStyle w:val="TextoNormal"/>
      </w:pPr>
      <w:r>
        <w:t>“Artículo 9. Derecho a la educación.</w:t>
      </w:r>
    </w:p>
    <w:p w:rsidR="00AC56D6" w:rsidRDefault="00AC56D6" w:rsidP="00AC56D6">
      <w:pPr>
        <w:pStyle w:val="TextoNormal"/>
      </w:pPr>
    </w:p>
    <w:p w:rsidR="00AC56D6" w:rsidRDefault="00AC56D6" w:rsidP="00AC56D6">
      <w:pPr>
        <w:pStyle w:val="TextoNormal"/>
      </w:pPr>
      <w:r>
        <w:t>1. Los extranjeros menores de dieciséis años tienen el derecho y el deber a la educación, que incluye el acceso a una enseñanza básica, gratuita y obligatoria. Los extranjeros menores de dieciocho años también tienen derecho a la enseñanza posobligatoria.</w:t>
      </w:r>
    </w:p>
    <w:p w:rsidR="00AC56D6" w:rsidRDefault="00AC56D6" w:rsidP="00AC56D6">
      <w:pPr>
        <w:pStyle w:val="TextoNormal"/>
      </w:pPr>
    </w:p>
    <w:p w:rsidR="00AC56D6" w:rsidRDefault="00AC56D6" w:rsidP="00AC56D6">
      <w:pPr>
        <w:pStyle w:val="TextoNormal"/>
      </w:pPr>
      <w:r>
        <w:t>Este derecho incluye la obtención de la titulación académica correspondiente y el acceso al sistema público de becas y ayudas en las mismas condiciones que los españoles.</w:t>
      </w:r>
    </w:p>
    <w:p w:rsidR="00AC56D6" w:rsidRDefault="00AC56D6" w:rsidP="00AC56D6">
      <w:pPr>
        <w:pStyle w:val="TextoNormal"/>
      </w:pPr>
    </w:p>
    <w:p w:rsidR="00AC56D6" w:rsidRDefault="00AC56D6" w:rsidP="00AC56D6">
      <w:pPr>
        <w:pStyle w:val="TextoNormal"/>
      </w:pPr>
      <w:r>
        <w:t>En caso de alcanzar la edad de dieciocho años en el transcurso del curso escolar, conservarán ese derecho hasta su finalización.</w:t>
      </w:r>
    </w:p>
    <w:p w:rsidR="00AC56D6" w:rsidRDefault="00AC56D6" w:rsidP="00AC56D6">
      <w:pPr>
        <w:pStyle w:val="TextoNormal"/>
      </w:pPr>
    </w:p>
    <w:p w:rsidR="00AC56D6" w:rsidRDefault="00AC56D6" w:rsidP="00AC56D6">
      <w:pPr>
        <w:pStyle w:val="TextoNormal"/>
      </w:pPr>
      <w:r>
        <w:t xml:space="preserve">2. Los extranjeros mayores de dieciocho años que se hallen en España tienen derecho a la educación de acuerdo con lo establecido en la legislación educativa. En todo caso, los </w:t>
      </w:r>
      <w:r>
        <w:lastRenderedPageBreak/>
        <w:t>extranjeros residentes mayores de dieciocho años tienen el derecho a acceder a las demás etapas educativas posobligatorias, a la obtención de las titulaciones correspondientes, y al sistema público de becas en las mismas condiciones que los españoles.</w:t>
      </w:r>
    </w:p>
    <w:p w:rsidR="00AC56D6" w:rsidRDefault="00AC56D6" w:rsidP="00AC56D6">
      <w:pPr>
        <w:pStyle w:val="TextoNormal"/>
      </w:pPr>
    </w:p>
    <w:p w:rsidR="00AC56D6" w:rsidRDefault="00AC56D6" w:rsidP="00AC56D6">
      <w:pPr>
        <w:pStyle w:val="TextoNormal"/>
      </w:pPr>
      <w:r>
        <w:t>3. Los poderes públicos promoverán que los extranjeros puedan recibir enseñanzas para su mejor integración social.</w:t>
      </w:r>
    </w:p>
    <w:p w:rsidR="00AC56D6" w:rsidRDefault="00AC56D6" w:rsidP="00AC56D6">
      <w:pPr>
        <w:pStyle w:val="TextoNormal"/>
      </w:pPr>
    </w:p>
    <w:p w:rsidR="00AC56D6" w:rsidRDefault="00AC56D6" w:rsidP="00AC56D6">
      <w:pPr>
        <w:pStyle w:val="TextoNormal"/>
      </w:pPr>
      <w:r>
        <w:t>4. Los extranjeros residentes que tengan en España menores a su cargo en edad de escolarización obligatoria, deberán acreditar dicha escolarización, mediante informe emitido por las autoridades autonómicas competentes, en las solicitudes de renovación de su autorización o en su solicitud de residencia de larga duración.”</w:t>
      </w:r>
    </w:p>
    <w:p w:rsidR="00AC56D6" w:rsidRDefault="00AC56D6" w:rsidP="00AC56D6">
      <w:pPr>
        <w:pStyle w:val="TextoNormal"/>
      </w:pPr>
    </w:p>
    <w:p w:rsidR="00AC56D6" w:rsidRDefault="00AC56D6" w:rsidP="00AC56D6">
      <w:pPr>
        <w:pStyle w:val="TextoNormal"/>
      </w:pPr>
      <w:r>
        <w:t>El Parlamento de Navarra sostiene que este precepto, al limitar la igualdad de trato con los españoles a los extranjeros “residentes”, referido al acceso a las etapas educativas posobligatorias, a la obtención de las titulaciones correspondientes y al sistema público de becas como al sistema público, es inconstitucional por vulnerar el derecho a la educación (art. 27 CE), en los términos en que ha sido interpretado por la STC 236/2007, de 7 de noviembre. Por el contrario, el Abogado del Estado afirma que este precepto fue aprobado, precisamente, para cumplir con ese pronunciamiento constitucional y es plenamente respetuoso con el derecho a la educación.</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es preciso deslindar el ámbito de dos derechos fundamentales que en algún momento se han entremezclado en el debate procesal. El único derecho determinante en la resolución del presente recurso es el derecho fundamental a la educación, reconocido por el art. 27 CE. No son relevantes, por el contrario, los distintos derechos que contiene la libertad de circulación (art. 19 CE), tales como los relativos a entrar o salir del territorio nacional y a circular o residir dentro de él. La jurisprudencia constitucional ha establecido que solo los españoles tienen derecho a entrar en España (SSTC 72/2005, de 4 de abril, FFJJ 5 a 8, y 236/2007, de 7 de noviembre, FJ 12), sin perjuicio de que los extranjeros que, por disposición de una ley o de un tratado, o por autorización concedida por una autoridad competente, tienen derecho a residir en España, gocen de la protección que brinda el art. 19 CE, “aun cuando no sea necesariamente en idénticos términos que los españoles, sino en los que determinen las leyes y tratados a los que se remite el art. 13.1 CE” (SSTC 94/1993, de 22 de marzo, FJ 3, y 24/2000, de 31 de enero, FJ 4).</w:t>
      </w:r>
    </w:p>
    <w:p w:rsidR="00AC56D6" w:rsidRDefault="00AC56D6" w:rsidP="00AC56D6">
      <w:pPr>
        <w:pStyle w:val="TextoNormal"/>
      </w:pPr>
    </w:p>
    <w:p w:rsidR="00AC56D6" w:rsidRDefault="00AC56D6" w:rsidP="00AC56D6">
      <w:pPr>
        <w:pStyle w:val="TextoNormal"/>
      </w:pPr>
      <w:r>
        <w:t xml:space="preserve">Estos derechos de residencia y circulación que poseen los extranjeros en virtud de la Constitución Española los protegen de las medidas que son propias de las políticas públicas de inmigración y de control y vigilancia de las fronteras, tales como el otorgamiento o la denegación de visados y de permisos de entrada o residencia, la adopción de medidas de expulsión o devolución u otras similares. Estas medidas, sin embargo, no guardan relación directa con las decisiones sobre admisión de alumnos a los centros escolares, el reconocimiento de los estudios realizados u otras medidas relativas a la educación de las personas, que son las que contempla el artículo 9 LOEx. Como ha afirmado el Tribunal Europeo de Derechos Humanos, el derecho a la educación de un extranjero es en principio independiente del derecho que pueda tener a permanecer en el territorio del país en que se encuentra (Auto del Tribunal Europeo de Derechos Humanos de 25 de marzo de 2004, asunto </w:t>
      </w:r>
      <w:r w:rsidRPr="00AC56D6">
        <w:rPr>
          <w:i/>
        </w:rPr>
        <w:t>Vikulov c. Letonia</w:t>
      </w:r>
      <w:r>
        <w:t>, § 11).</w:t>
      </w:r>
    </w:p>
    <w:p w:rsidR="00AC56D6" w:rsidRDefault="00AC56D6" w:rsidP="00AC56D6">
      <w:pPr>
        <w:pStyle w:val="TextoNormal"/>
      </w:pPr>
    </w:p>
    <w:p w:rsidR="00AC56D6" w:rsidRDefault="00AC56D6" w:rsidP="00AC56D6">
      <w:pPr>
        <w:pStyle w:val="TextoNormal"/>
      </w:pPr>
      <w:r>
        <w:lastRenderedPageBreak/>
        <w:t>Así ha sido puesto también de manifiesto por la STC 236/2007, de 7 de noviembre, en que se distinguió entre las medidas relativas a la autorización de residencia o la expulsión de extranjeros, por un lado, y las que atañen al acceso a los distintos niveles y grados de la enseñanza, afirmando que estas últimas son las únicas relevantes desde la óptica del derecho a la educación (art. 27 CE). Esta distinción llevó al Tribunal Constitucional a declarar que la extensión a los extranjeros en situación de residencia irregular del derecho a la educación no entrañaba una discriminación en perjuicio de los extranjeros con residencia regular, “puesto que aquellos que carezcan de autorización para residir pueden ser expulsados siguiendo los procedimientos legalmente establecidos, pero mientras se encuentren en territorio español no pueden ser privados de este derecho por el legislador” (STC 236/2007, de 7 de noviembre, FJ 8).</w:t>
      </w:r>
    </w:p>
    <w:p w:rsidR="00AC56D6" w:rsidRDefault="00AC56D6" w:rsidP="00AC56D6">
      <w:pPr>
        <w:pStyle w:val="TextoNormal"/>
      </w:pPr>
    </w:p>
    <w:p w:rsidR="00AC56D6" w:rsidRDefault="00AC56D6" w:rsidP="00AC56D6">
      <w:pPr>
        <w:pStyle w:val="TextoNormal"/>
      </w:pPr>
      <w:r>
        <w:t>Esta distinción entre el derecho a la circulación y el derecho a la educación permiten rechazar las alegaciones del Abogado del Estado apoyadas en la Directiva 2004/114/CE, de 13 de diciembre, relativa a los requisitos de admisión de los nacionales de terceros países a efectos de estudios, y en el artículo 33 LOEx, cuya redacción por la Ley Orgánica 2/2009 traspuso las previsiones de esta Directiva en el Derecho español. Como se desprende del texto, de los objetivos y de la sistemática de la Directiva 2004/114/CE, esta norma se limita a regular los requisitos y los procedimientos de admisión de los nacionales de terceros países “en el territorio de los Estados miembros” (art. 1), no en sus centros de enseñanza. Congruentemente, por tanto, la normativa de la Unión Europea versa exclusivamente sobre los aspectos relacionados con la circulación de los extranjeros de terceros países que quieren venir a Europa a estudiar, como son los atinentes a sus documentos de viaje, los seguros médicos de que deben disponer, la exigencia de que no sean considerados una amenaza para la seguridad o la salud pública, o el requisito de contar durante su estancia con recursos suficientes para cubrir sus gastos de subsistencia, estudios y regreso (arts. 6 y 7). La Directiva distingue entre el acceso al territorio, que es su objeto de regulación, y el acceso a los centros de enseñanza, ajeno a sus normas, cuando establece que la autorización de entrada puede quedar condicionada a la previa matriculación en un centro de enseñanza con objeto de cursar un programa de estudios [art. 7.1 a)]. En el momento actual de su evolución el Derecho de la Unión Europea solo regula la entrada de estudiantes en el territorio de los Estados miembros para cursar estudios en la educación superior. Los estudios de educación secundaria, por su parte, solo son regidos por la normativa europea cuando se llevan a cabo en el marco de programas de intercambio de alumnos [arts. 2, letras b) y c), 7 y 9 de la Directiva 2004/114, de 7 de noviembre], lo que resulta de todo punto irrelevante para el presente proceso.</w:t>
      </w:r>
    </w:p>
    <w:p w:rsidR="00AC56D6" w:rsidRDefault="00AC56D6" w:rsidP="00AC56D6">
      <w:pPr>
        <w:pStyle w:val="TextoNormal"/>
      </w:pPr>
    </w:p>
    <w:p w:rsidR="00AC56D6" w:rsidRDefault="00AC56D6" w:rsidP="00AC56D6">
      <w:pPr>
        <w:pStyle w:val="TextoNormal"/>
      </w:pPr>
      <w:r>
        <w:t xml:space="preserve">Consecuentemente, el artículo 33 LOEx, que no es objeto directo ni indirecto del presente recurso de inconstitucionalidad, bajo la rúbrica “Régimen de admisión a efectos de estudios”, no regula el acceso a los centros educativos de aquellas personas de nacionalidad extranjera que se desplazan desde un Estado tercero al territorio español, dentro de la Unión Europea, para cursar o ampliar estudios. El art. 33 LOEx regula una cuestión diferente, como es la autorización de estancia necesaria para poder entrar en territorio español, aunque sea con la finalidad de cursar estudios, entre otros supuestos. El art. 33 LOEx rige, por tanto, la admisión al territorio español de ciudadanos extranjeros, en términos independientes de la admisión en un centro o nivel de estudios. Este último es el ámbito al que se ciñe el art. 9 LOEx, que es el precepto enjuiciado en este proceso constitucional. Este precepto, consiguientemente, debe ser enjuiciado, sin referencias al art. 33 LOEx ni a la Directiva </w:t>
      </w:r>
      <w:r>
        <w:lastRenderedPageBreak/>
        <w:t>2004/114/CE, exclusivamente a la luz del derecho fundamental a la educación (art. 27 CE), sin conexión alguna con los derechos de circulación del art. 19 CE.</w:t>
      </w:r>
    </w:p>
    <w:p w:rsidR="00AC56D6" w:rsidRDefault="00AC56D6" w:rsidP="00AC56D6">
      <w:pPr>
        <w:pStyle w:val="TextoNormal"/>
      </w:pPr>
    </w:p>
    <w:p w:rsidR="00AC56D6" w:rsidRDefault="00AC56D6" w:rsidP="00AC56D6">
      <w:pPr>
        <w:pStyle w:val="TextoNormal"/>
      </w:pPr>
      <w:r w:rsidRPr="00AC56D6">
        <w:rPr>
          <w:rStyle w:val="NumeroAFNegritaCaracter"/>
        </w:rPr>
        <w:t>3</w:t>
      </w:r>
      <w:r>
        <w:t>. El presente recurso de inconstitucionalidad se funda, en esencia, en la afirmación de que la redacción del art. 9.2 LOEx llevada a cabo por la Ley Orgánica 2/2009, de 11 de diciembre, limita a los extranjeros que sean “residentes” el derecho de acceso a la enseñanza posobligatoria, a la obtención de las titulaciones correspondientes y al sistema público de becas en las mismas condiciones que los españoles y que, en consecuencia, vulnera el art. 27 CE, conforme a la jurisprudencia establecida por la STC 236/2007, de 7 de noviembre, que declaró inconstitucional y nula la inclusión del término “residentes” en el art. 9.3 LOEx, en la redacción dada por la Ley Orgánica 8/2000, de 22 de diciembre.</w:t>
      </w:r>
    </w:p>
    <w:p w:rsidR="00AC56D6" w:rsidRDefault="00AC56D6" w:rsidP="00AC56D6">
      <w:pPr>
        <w:pStyle w:val="TextoNormal"/>
      </w:pPr>
    </w:p>
    <w:p w:rsidR="00AC56D6" w:rsidRDefault="00AC56D6" w:rsidP="00AC56D6">
      <w:pPr>
        <w:pStyle w:val="TextoNormal"/>
      </w:pPr>
      <w:r>
        <w:t>Una adecuada comprensión del problema constitucional que suscrita este recurso hace preciso, en primer lugar, que se tengan presentes las sucesivas redacciones del artículo impugnado. Desde su redacción inicial en la Ley Orgánica 4/2000, de 11 de enero, el art. 9 LOEx ha distinguido a efectos de la regulación del derecho a la educación entre aquellos extranjeros en España que son menores y aquellos que son mayores de edad. La redacción original diferenciaba entre el acceso a la enseñanza básica —obligatoria— y la educación no obligatoria —educación infantil y enseñanzas superiores a la básica—, en el primer caso para reconocer que “todos los extranjeros menores de dieciocho años tienen derecho a la educación en las mismas condiciones que los españoles (…)” y en el segundo para reconocer que “los extranjeros tendrán derecho a la educación de naturaleza no obligatoria en las mismas condiciones que los españoles” (apartados 1 y 2 del art. 9 LOEx, versión 4/2000). La Ley Orgánica 8/2000, por su parte, disoció la educación infantil del resto de la educación no obligatoria (apartados 2 y 3 del art. 9 LOEx, versión 8/2000), añadiendo una nueva modalidad de educación, dirigida a promover la mejor integración social de aquellos extranjeros que la necesitasen (art. 9.4); y limitó a los extranjeros “residentes” el derecho a la educación de naturaleza no obligatoria en las mismas condiciones que los españoles (art. 9.3). La STC 236/2007 anuló la expresión “residentes” de dicho precepto por considerar que vulneraba el art. 27.1 CE.</w:t>
      </w:r>
    </w:p>
    <w:p w:rsidR="00AC56D6" w:rsidRDefault="00AC56D6" w:rsidP="00AC56D6">
      <w:pPr>
        <w:pStyle w:val="TextoNormal"/>
      </w:pPr>
    </w:p>
    <w:p w:rsidR="00AC56D6" w:rsidRDefault="00AC56D6" w:rsidP="00AC56D6">
      <w:pPr>
        <w:pStyle w:val="TextoNormal"/>
      </w:pPr>
      <w:r>
        <w:t>Finalmente, la redacción vigente, introducida por la Ley Orgánica 2/2009, objeto de este proceso, eliminó la referencia a la educación infantil, que quedó subsumida en la regla general sobre el derecho a la educación de los menores de 16 años de edad y dispuso que el derecho a la educación se extendía a todos los extranjeros menores de 18 años (art. 9.1 LOEx 2009, no impugnado en este recurso). Respecto a los extranjeros en España mayores de edad, se remitió a lo establecido en la legislación educativa, con carácter general, estableciendo una regla mínima (“en todo caso”), conforme a la cual, los extranjeros en España mayores de 18 años tienen derecho a acceder en la mismas condiciones que los españoles a las demás etapas educativas posobligatorias, la obtención de sus titulaciones y el sistema público de ayudas siempre que tengan la condición de “residentes” (art. 9.3 LOEx 2009). Por último, la Ley 2/2009 amplió a todos los extranjeros en España, residentes o no, la posibilidad de recibir “enseñanzas para su mejor integración social” (art. 9.3, que no ha sido impugnado).</w:t>
      </w:r>
    </w:p>
    <w:p w:rsidR="00AC56D6" w:rsidRDefault="00AC56D6" w:rsidP="00AC56D6">
      <w:pPr>
        <w:pStyle w:val="TextoNormal"/>
      </w:pPr>
    </w:p>
    <w:p w:rsidR="00AC56D6" w:rsidRDefault="00AC56D6" w:rsidP="00AC56D6">
      <w:pPr>
        <w:pStyle w:val="TextoNormal"/>
      </w:pPr>
      <w:r>
        <w:t xml:space="preserve">Por tanto, como se aprecia al comparar las redacciones del art. 9 en las Leyes Orgánicas 8/2000 y 2/2009, esta última amplía el derecho a la educación de todos los extranjeros en España, se encuentren o no en situación de residencia autorizada. La Ley Orgánica 8/2000 </w:t>
      </w:r>
      <w:r>
        <w:lastRenderedPageBreak/>
        <w:t>circunscribía la equiparación de ese derecho entre españoles y extranjeros a la enseñanza básica, que normalmente termina a los 16 años de edad (a tenor de la legislación educativa vigente) pero que podía prolongarse hasta los 18 años, en caso de repetición de curso (art. 4 de la Ley Orgánica 2/2006, de 3 de mayo). La Ley Orgánica 2/2009, por el contrario, permite a todos los extranjeros, con independencia de su situación de regularidad migratoria, que accedan a la enseñanza básica, como antes; y añade la posibilidad de que accedan luego a la enseñanza posobligatoria. Los estudios de un nivel superior a la enseñanza básica deben ser culminados en un plazo máximo de dos años, antes de alcanzar la mayoría de edad. A partir de ese momento, el art. 9.2, primer inciso, LOEx, hace una remisión general a las leyes que regulan la educación para concretar los derechos de los extranjeros mayores de dieciocho años sin hacer ninguna distinción respecto de la situación de regularidad migratoria. Y en el segundo inciso del art. 9.2 LOEx se establece el mandato de que esa regulación debe respetar la igualdad de trato entre los extranjeros residentes mayores de dieciocho años y los españoles a los efectos del derecho a acceder a las etapas educativas posobligatorias, a la obtención de las titulaciones correspondientes, y al sistema público de becas.</w:t>
      </w:r>
    </w:p>
    <w:p w:rsidR="00AC56D6" w:rsidRDefault="00AC56D6" w:rsidP="00AC56D6">
      <w:pPr>
        <w:pStyle w:val="TextoNormal"/>
      </w:pPr>
    </w:p>
    <w:p w:rsidR="00AC56D6" w:rsidRDefault="00AC56D6" w:rsidP="00AC56D6">
      <w:pPr>
        <w:pStyle w:val="TextoNormal"/>
      </w:pPr>
      <w:r>
        <w:t>Por su parte, y aunque no sea objeto de impugnación este recurso, la vigente Ley Orgánica 2/2006, de 3 de mayo, de educación, dispone que lo “establecido en esta Ley en relación con la escolarización, obtención de títulos y acceso al sistema general de becas y ayudas al estudio será aplicable al alumnado extranjero en los términos establecidos en la Ley Orgánica 4/2000, de 11 de enero, sobre derechos y libertades de los extranjeros en España y su integración social, modificada por la Ley Orgánica 8/2000, de 22 de diciembre, y en la normativa que las desarrolla” (disposición adicional decimonovena).</w:t>
      </w:r>
    </w:p>
    <w:p w:rsidR="00AC56D6" w:rsidRDefault="00AC56D6" w:rsidP="00AC56D6">
      <w:pPr>
        <w:pStyle w:val="TextoNormal"/>
      </w:pPr>
    </w:p>
    <w:p w:rsidR="00AC56D6" w:rsidRDefault="00AC56D6" w:rsidP="00AC56D6">
      <w:pPr>
        <w:pStyle w:val="TextoNormal"/>
      </w:pPr>
      <w:r w:rsidRPr="00AC56D6">
        <w:rPr>
          <w:rStyle w:val="NumeroAFNegritaCaracter"/>
        </w:rPr>
        <w:t>4</w:t>
      </w:r>
      <w:r>
        <w:t>. La reiterada referencia que han hecho las partes a la jurisprudencia establecida por la STC 236/2007, de 7 de noviembre, impone que, para determinar su real alcance y aplicabilidad al actual recurso, se haga una referencia al contexto en que fue pronunciada y a su contenido.</w:t>
      </w:r>
    </w:p>
    <w:p w:rsidR="00AC56D6" w:rsidRDefault="00AC56D6" w:rsidP="00AC56D6">
      <w:pPr>
        <w:pStyle w:val="TextoNormal"/>
      </w:pPr>
    </w:p>
    <w:p w:rsidR="00AC56D6" w:rsidRDefault="00AC56D6" w:rsidP="00AC56D6">
      <w:pPr>
        <w:pStyle w:val="TextoNormal"/>
      </w:pPr>
      <w:r>
        <w:t>La STC 236/2007, como ya ha sido expuesto, tuvo por objeto la resolución del recurso de inconstitucionalidad núm. 707-2001, interpuesto por el Parlamento de Navarra, contra diversos preceptos de la Ley Orgánica 8/2000, de 22 de diciembre, de reforma de la Ley Orgánica 4/2000, de 11 de enero, sobre derechos y libertades de los extranjeros en España y su integración social, entre ellos el referido al derecho a la educación de los extranjeros. Más en concreto, como se expone en el antecedente primero, letra c), de la citada STC 236/2007, la cuestión suscitada era si la redacción entonces dada al art. 9.3 LOEx vulneraría “el art. 27.1 CE en relación con el art. 39.4 CE, el art. 28 de la Convención de las Naciones Unidas sobre derechos del niño, y el art. 26 de la Declaración universal de los derechos humanos al impedir de facto el acceso a la enseñanza no básica a los extranjeros menores de dieciocho años que no tengan residencia legal en España”.</w:t>
      </w:r>
    </w:p>
    <w:p w:rsidR="00AC56D6" w:rsidRDefault="00AC56D6" w:rsidP="00AC56D6">
      <w:pPr>
        <w:pStyle w:val="TextoNormal"/>
      </w:pPr>
    </w:p>
    <w:p w:rsidR="00AC56D6" w:rsidRDefault="00AC56D6" w:rsidP="00AC56D6">
      <w:pPr>
        <w:pStyle w:val="TextoNormal"/>
      </w:pPr>
      <w:r>
        <w:t xml:space="preserve">La STC 236/2007 concluye que “el precepto impugnado impide a los extranjeros menores de dieciocho años sin autorización de estancia o residencia acceder a la enseñanza secundaria postobligatoria, a la que sin embargo pueden acceder, según la legislación educativa vigente, aquéllos que hayan obtenido el título de graduado en educación secundaria obligatoria, normalmente a la edad de dieciséis años. Ese derecho de acceso a la educación no obligatoria de los extranjeros menores de edad forma parte del contenido del derecho a la educación, y su ejercicio puede someterse a los requisitos de mérito y capacidad, pero no </w:t>
      </w:r>
      <w:r>
        <w:lastRenderedPageBreak/>
        <w:t>a otra circunstancia como la situación administrativa del menor. Por ello, debemos declarar la inconstitucionalidad del inciso ‘residentes’ del art. 9.3 de la Ley Orgánica 4/2000, de 11 de enero, en la redacción dada por el art. 1, punto 7, de la Ley Orgánica 8/2000, de 22 de diciembre” (FJ 8).</w:t>
      </w:r>
    </w:p>
    <w:p w:rsidR="00AC56D6" w:rsidRDefault="00AC56D6" w:rsidP="00AC56D6">
      <w:pPr>
        <w:pStyle w:val="TextoNormal"/>
      </w:pPr>
    </w:p>
    <w:p w:rsidR="00AC56D6" w:rsidRDefault="00AC56D6" w:rsidP="00AC56D6">
      <w:pPr>
        <w:pStyle w:val="TextoNormal"/>
      </w:pPr>
      <w:r>
        <w:t>Por tanto, se pone de manifiesto que, al ser la cuestión suscitada en el recurso que fue objeto de resolución en la citada STC 236/2007 el derecho a la educación de los extranjeros menores de dieciocho años no residentes, la jurisprudencia establecida en aquella resolución no puede ser de aplicación directa en este caso, en que el objeto de impugnación es el derecho a la educación de los extranjeros mayores de dieciocho años no residentes.</w:t>
      </w:r>
    </w:p>
    <w:p w:rsidR="00AC56D6" w:rsidRDefault="00AC56D6" w:rsidP="00AC56D6">
      <w:pPr>
        <w:pStyle w:val="TextoNormal"/>
      </w:pPr>
    </w:p>
    <w:p w:rsidR="00AC56D6" w:rsidRDefault="00AC56D6" w:rsidP="00AC56D6">
      <w:pPr>
        <w:pStyle w:val="TextoNormal"/>
      </w:pPr>
      <w:r w:rsidRPr="00AC56D6">
        <w:rPr>
          <w:rStyle w:val="NumeroAFNegritaCaracter"/>
        </w:rPr>
        <w:t>5</w:t>
      </w:r>
      <w:r>
        <w:t>. Este Tribunal ha desarrollado en las SSTC 86/1985, de 10 de julio; 212/2005, de 21 de julio, y la ya citada STC 236/2007, de 7 de noviembre, una jurisprudencia sobre el art. 27 CE, que se concreta en que no cabe limitar la dimensión prestacional del derecho consagrado en el art. 27.1 CE a la educación básica, sino que los poderes públicos deberán hacerla efectiva, garantizando “el derecho de todos a la educación mediante una programación general de la enseñanza” (art. 27.5 CE), de modo tal que el contenido constitucionalmente garantizado de ese derecho, en su dimensión prestacional, no se limita a la enseñanza básica, sino que se extiende también a los niveles superiores, aunque en ellos no se imponga constitucionalmente la obligatoriedad y la gratuidad.</w:t>
      </w:r>
    </w:p>
    <w:p w:rsidR="00AC56D6" w:rsidRDefault="00AC56D6" w:rsidP="00AC56D6">
      <w:pPr>
        <w:pStyle w:val="TextoNormal"/>
      </w:pPr>
    </w:p>
    <w:p w:rsidR="00AC56D6" w:rsidRDefault="00AC56D6" w:rsidP="00AC56D6">
      <w:pPr>
        <w:pStyle w:val="TextoNormal"/>
      </w:pPr>
      <w:r>
        <w:t xml:space="preserve">Esta jurisprudencia debe complementarse con la del Tribunal Europeo de Derechos Humanos sobre el derecho a la educación (art. 2 del Protocolo adicional al CEDH), en la que se reconoce (i) que la educación es una actividad prestacional cuya organización es compleja y conlleva cuantiosos gastos, mientras que los recursos de que disponen los poderes públicos son finitos, por lo que los Estados disponen de un amplio margen de apreciación al organizarla y regularla; y (ii) que el derecho a la educación, al abarcar distintos grados y etapas de la enseñanza, ofrece una protección particularmente intensa en todo lo que concierne a la educación básica, pero su intensidad va disminuyendo gradualmente según va aumentando el nivel educativo, hasta alcanzar los estudios universitarios, en cuyo ámbito los poderes públicos disponen del mayor margen de actuación (STEDH de 21 de junio de 2011, asunto </w:t>
      </w:r>
      <w:r w:rsidRPr="00AC56D6">
        <w:rPr>
          <w:i/>
        </w:rPr>
        <w:t>Ponomaryovi c. Bulgaria</w:t>
      </w:r>
      <w:r>
        <w:t xml:space="preserve">, §§ 55 y 56). De ese modo se ha establecido que si bien las garantías del derecho a la educación son de aplicación a las instituciones de educación superior, en esta etapa educativa este derecho no resulta absoluto y puede estar sujeto a limitaciones, siempre que sean legítimas por no privar de su propia esencia o efectividad al derecho a la educación; que sean previsibles para los afectados; que persigan un objetivo legítimo; y que exista una relación razonable de proporcionalidad entre los medios empleados y el objetivo perseguido (STEDH de 2 de abril de 2013, asunto </w:t>
      </w:r>
      <w:r w:rsidRPr="00AC56D6">
        <w:rPr>
          <w:i/>
        </w:rPr>
        <w:t>Tarantino y otros c. Italia</w:t>
      </w:r>
      <w:r>
        <w:t xml:space="preserve">, §§ 44 y 45) y que estas limitaciones en principio pueden estar fundadas en la situación irregular de los emigrantes, siempre que se tenga en cuenta la especial protección del derecho a la educación, su papel esencial en una sociedad democrática, y su carácter instrumental para la protección de los derechos humanos y para la integración de las minorías, cosa que obliga a ponderar cuidadosamente, entre otras, las circunstancias a que puede obedecer la falta de permiso de residencia (STEDH </w:t>
      </w:r>
      <w:r w:rsidRPr="00AC56D6">
        <w:rPr>
          <w:i/>
        </w:rPr>
        <w:t>Ponomaryovi c. Bulgaria</w:t>
      </w:r>
      <w:r>
        <w:t>, § 60).</w:t>
      </w:r>
    </w:p>
    <w:p w:rsidR="00AC56D6" w:rsidRDefault="00AC56D6" w:rsidP="00AC56D6">
      <w:pPr>
        <w:pStyle w:val="TextoNormal"/>
      </w:pPr>
    </w:p>
    <w:p w:rsidR="00AC56D6" w:rsidRDefault="00AC56D6" w:rsidP="00AC56D6">
      <w:pPr>
        <w:pStyle w:val="TextoNormal"/>
      </w:pPr>
      <w:r w:rsidRPr="00AC56D6">
        <w:rPr>
          <w:rStyle w:val="NumeroAFNegritaCaracter"/>
        </w:rPr>
        <w:t>6</w:t>
      </w:r>
      <w:r>
        <w:t xml:space="preserve">. En el presente caso no es necesario aplicar el canon de enjuiciamiento que acabamos de recordar por la siguiente razón. El recurso de inconstitucionalidad parte de la premisa de </w:t>
      </w:r>
      <w:r>
        <w:lastRenderedPageBreak/>
        <w:t>que la redacción del art. 9.2 LOEx introducida por la Ley Orgánica 2/2009, de 11 de diciembre, limita a los extranjeros que sean “residentes” el derecho de acceso a la enseñanza posobligatoria, a la obtención de las titulaciones correspondientes y al sistema público de becas en las mismas condiciones que los españoles y que, por esa razón, vulnera el art. 27 CE. Sin embargo, esa no es la más adecuada intelección del precepto legal impugnado. En efecto, del tenor literal no se desprende una exclusión directa del derecho de acceso a la educación posobligatoria de los extranjeros mayores de edad “no residentes”. De hecho, los propios recurrentes afirman, tal y como se refleja en los antecedentes, que “el precepto impugnado no prohíbe expresamente ese derecho, pero tampoco lo garantiza”. Así pues, el objeto de enjuiciamiento no es una norma legal que prohíbe, sino una norma legal que, a juicio de la entidad recurrente, no garantizaría suficientemente el ejercicio del derecho a la educación por una parte de los extranjeros mayores de edad.</w:t>
      </w:r>
    </w:p>
    <w:p w:rsidR="00AC56D6" w:rsidRDefault="00AC56D6" w:rsidP="00AC56D6">
      <w:pPr>
        <w:pStyle w:val="TextoNormal"/>
      </w:pPr>
    </w:p>
    <w:p w:rsidR="00AC56D6" w:rsidRDefault="00AC56D6" w:rsidP="00AC56D6">
      <w:pPr>
        <w:pStyle w:val="TextoNormal"/>
      </w:pPr>
      <w:r>
        <w:t>En realidad, el primer inciso del art. 9.2 contiene, por un lado, un reconocimiento general de la titularidad del derecho a la educación de todos los extranjeros mayores de dieciocho años, sin referirse a la situación administrativa de los inmigrantes, y, por otro, una mera remisión a la legislación educativa. Recordemos que el precepto dice estrictamente lo siguiente: “Los extranjeros mayores de dieciocho años que se hallen en España tienen derecho a la educación de acuerdo con lo establecido en la legislación educativa”. Y en el segundo inciso se añade que “en todo caso” (esto es, con independencia de lo regulado en las leyes educativas), “los extranjeros residentes mayores de dieciocho años tienen el derecho a acceder a las demás etapas educativas posobligatorias, a la obtención de las titulaciones correspondientes, y al sistema público de becas en las mismas condiciones que los españoles”. El legislador orgánico consagra de forma nítida una equiparación plena entre españoles y extranjeros “residentes” en punto al derecho a la educación, pero no la excluye en forma alguna con respecto al resto de extranjeros. No hay propiamente una exclusión del derecho de acceso a la educación postobligatoria de los extranjeros “no residentes”, pues ello vaciaría de contenido la remisión al legislador que se lleva a cabo en el primer inciso. El precepto se limita a prever que las leyes educativas podrían establecer condiciones diferentes entre los extranjeros “no residentes” mayores de edad y los españoles y los extranjeros residentes en el acceso a la educación posobligatoria.</w:t>
      </w:r>
    </w:p>
    <w:p w:rsidR="00AC56D6" w:rsidRDefault="00AC56D6" w:rsidP="00AC56D6">
      <w:pPr>
        <w:pStyle w:val="TextoNormal"/>
      </w:pPr>
    </w:p>
    <w:p w:rsidR="00AC56D6" w:rsidRDefault="00AC56D6" w:rsidP="00AC56D6">
      <w:pPr>
        <w:pStyle w:val="TextoNormal"/>
      </w:pPr>
      <w:r>
        <w:t>La expresión “en todo caso” que se utiliza en la disposición impugnada resulta muy significativa, pues si el legislador buscara conscientemente la exclusión o la negación del derecho a la educación de los “no residentes” habría tenido que utilizar otras expresiones (“solo”, “únicamente”, etc.).</w:t>
      </w:r>
    </w:p>
    <w:p w:rsidR="00AC56D6" w:rsidRDefault="00AC56D6" w:rsidP="00AC56D6">
      <w:pPr>
        <w:pStyle w:val="TextoNormal"/>
      </w:pPr>
    </w:p>
    <w:p w:rsidR="00AC56D6" w:rsidRDefault="00AC56D6" w:rsidP="00AC56D6">
      <w:pPr>
        <w:pStyle w:val="TextoNormal"/>
      </w:pPr>
      <w:r>
        <w:t xml:space="preserve">Esta interpretación es coherente con la dicción de otros apartados del mismo precepto. El entendimiento de que se excluye de tal derecho a quienes “no sean residentes” no solo sería contraria al art. 27 CE por negar de manera incondicionada el ejercicio de un derecho fundamental, sino que, además, se contradiría con otros preceptos de la misma Ley Orgánica pues, como es sabido, los extranjeros pueden estar legalmente en España en situación de “residencia” o en situación de “estancia” (art. 29 LOEx), y los extranjeros que están en España por razón de estudios habitualmente lo que tienen es un permiso de “estancia” (art. 33 LOEx), y no son “residentes” en el sentido que indica el artículo impugnado, que se está refiriendo a la figura de la residencia del art. 30 </w:t>
      </w:r>
      <w:r w:rsidRPr="00AC56D6">
        <w:rPr>
          <w:i/>
        </w:rPr>
        <w:t>bis</w:t>
      </w:r>
      <w:r>
        <w:t xml:space="preserve"> LOEx.</w:t>
      </w:r>
    </w:p>
    <w:p w:rsidR="00AC56D6" w:rsidRDefault="00AC56D6" w:rsidP="00AC56D6">
      <w:pPr>
        <w:pStyle w:val="TextoNormal"/>
      </w:pPr>
    </w:p>
    <w:p w:rsidR="00AC56D6" w:rsidRDefault="00AC56D6" w:rsidP="00AC56D6">
      <w:pPr>
        <w:pStyle w:val="TextoNormal"/>
      </w:pPr>
      <w:r>
        <w:lastRenderedPageBreak/>
        <w:t>Por tanto, si se toma en consideración que el único contenido normativo posible del precepto impugnado es el señalado, no puede concluirse, como se alega en el recurso, que no quede suficientemente garantizado el derecho a la educación de los extranjeros mayores de edad no residentes en la enseñanza posobligatoria. Para cualquier extranjero mayor de edad “no residente”, la titularidad de ese derecho queda garantizada, con carácter general, en el primer inciso del art. 9.2 LOEx, pues corresponde a la legislación educativa en su conjunto establecer la normativa específica que regule el ejercicio del derecho a la educación posobligatoria de los extranjeros mayores de edad que no ostenten la condición de “residentes”, sin que por esta razón deba este Tribunal emitir ahora pronunciamiento alguno sobre este particular, en la medida en que dicha problemática constitucional no ha sido cuestionada en el presente recurso. El inciso segundo, por su parte, se limita a no excluir la posibilidad de que se pudieran establecer en la legislación educativa condiciones diferenciadas para los extranjeros mayores de edad no residentes respecto del ejercicio de este derecho en las enseñanzas posobligatorias. Este último inciso del apartado segundo se limita a reiterar determinados aspectos relevantes del ejercicio del indicado derecho a la educación, que se reconoce por el legislador de extranjería en régimen de equiparación entre españoles y extranjeros mayores de edad “residentes”, pero sin que, como se ha anticipado, deje de garantizarse por ello el derecho a la educación de los extranjeros mayores de edad no residentes, eso sí, en la forma y con las condiciones que pueda establecer la legislación educativa en su conjunto, lo que no es objeto de nuestro enjuiciamiento en este momento. En ese sentido, tomando en cuenta (i) que es a través de un desarrollo normativo expreso como pueden establecerse limitaciones en el derecho a la educación de los extranjeros mayores de edad “no residentes” y (ii) que es en la legislación educativa en la que, en su caso, se deben establecer esas condiciones diferenciadas, este Tribunal no puede hacer ahora un análisis preventivo ni en abstracto sobre esa eventual regulación. De ese modo, en el caso en que se desarrollen normativamente esas condiciones diferenciadas de trato, es cuando podrán ser traídas al conocimiento de este Tribunal para determinar si son conformes o no con el orden constitucional.</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Desestimar el recurso de inconstitucionalidad núm. 2085-2010, interpuesto por el Parlamento de Navarra contra la Ley Orgánica 2/2009, de 11 de diciembre, de reforma de la Ley Orgánica 4/2000, de 11 de enero, sobre derechos y libertades de los extranjeros en España y su integración social.</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nueve de julio de dos mil quince.</w:t>
      </w:r>
    </w:p>
    <w:p w:rsidR="00AC56D6" w:rsidRDefault="00AC56D6" w:rsidP="00AC56D6">
      <w:pPr>
        <w:pStyle w:val="ParrafoNormal"/>
      </w:pPr>
    </w:p>
    <w:p w:rsidR="00AC56D6" w:rsidRDefault="00AC56D6" w:rsidP="00AC56D6">
      <w:pPr>
        <w:pStyle w:val="TextoNormalNegritaCentrado"/>
        <w:keepNext/>
      </w:pPr>
      <w:r>
        <w:lastRenderedPageBreak/>
        <w:t>Voto particular concurrente que formula el Magistrado don Andrés Ollero Tassara en relación con la Sentencia del Pleno de 9 de julio de 2015 dictada en el recurso de inconstitucionalidad núm. 2085-2010.</w:t>
      </w:r>
    </w:p>
    <w:p w:rsidR="00AC56D6" w:rsidRDefault="00AC56D6" w:rsidP="00AC56D6">
      <w:pPr>
        <w:pStyle w:val="TextoNormalNegritaCentrado"/>
        <w:keepNext/>
      </w:pPr>
    </w:p>
    <w:p w:rsidR="00AC56D6" w:rsidRDefault="00AC56D6" w:rsidP="00AC56D6">
      <w:pPr>
        <w:pStyle w:val="TextoNormal"/>
      </w:pPr>
      <w:r>
        <w:t>Con el máximo respeto a la posición de los restantes Magistrados, y en ejercicio de la facultad conferida por el art. 90.2 de la Ley Orgánica del Tribunal Constitucional, formulo Voto concurrente respecto de la Sentencia citada en el encabezamiento.</w:t>
      </w:r>
    </w:p>
    <w:p w:rsidR="00AC56D6" w:rsidRDefault="00AC56D6" w:rsidP="00AC56D6">
      <w:pPr>
        <w:pStyle w:val="TextoNormal"/>
      </w:pPr>
    </w:p>
    <w:p w:rsidR="00AC56D6" w:rsidRDefault="00AC56D6" w:rsidP="00AC56D6">
      <w:pPr>
        <w:pStyle w:val="TextoNormal"/>
      </w:pPr>
      <w:r>
        <w:t>1. A lo largo de una laboriosa deliberación como la que esta Sentencia ha merecido pueden surgir discrepancias respecto al fallo, otras relativas a sus fundamentos jurídicos o, incluso, unas terceras sobre la apoyatura doctrinal que a estos sirven de base. Cuando la procedencia de algunos Magistrados —como es mi caso— sea el mundo académico, es lógica toda precaución para evitar convertir en un simposio lo que ha de reflejar en realidad un debate jurisdiccional.</w:t>
      </w:r>
    </w:p>
    <w:p w:rsidR="00AC56D6" w:rsidRDefault="00AC56D6" w:rsidP="00AC56D6">
      <w:pPr>
        <w:pStyle w:val="TextoNormal"/>
      </w:pPr>
    </w:p>
    <w:p w:rsidR="00AC56D6" w:rsidRDefault="00AC56D6" w:rsidP="00AC56D6">
      <w:pPr>
        <w:pStyle w:val="TextoNormal"/>
      </w:pPr>
      <w:r>
        <w:t>2. Consciente de ello, me parece sin embargo obligado hacer constar discrepancias del tercer tipo de las enunciadas, convencido de que —dada su notable relevancia sobre la fundamentación del fallo— podría prestarse a interpretaciones de la Sentencia que en ningún momento he compartido.</w:t>
      </w:r>
    </w:p>
    <w:p w:rsidR="00AC56D6" w:rsidRDefault="00AC56D6" w:rsidP="00AC56D6">
      <w:pPr>
        <w:pStyle w:val="TextoNormal"/>
      </w:pPr>
    </w:p>
    <w:p w:rsidR="00AC56D6" w:rsidRDefault="00AC56D6" w:rsidP="00AC56D6">
      <w:pPr>
        <w:pStyle w:val="TextoNormal"/>
      </w:pPr>
      <w:r>
        <w:t xml:space="preserve">A mi modo de ver, una de las argumentaciones en juego adolecía de una notable sobrecarga normativista, muy en línea con lo que ha sido caracterizado por la doctrina como aplicación </w:t>
      </w:r>
      <w:r w:rsidRPr="00AC56D6">
        <w:rPr>
          <w:i/>
        </w:rPr>
        <w:t>o todo o nada</w:t>
      </w:r>
      <w:r>
        <w:t>; esto lleva a entender como defecto de desarrollo normativo lo que no es sino legítimo posicionamiento del legislador en el margen de apreciación propio de sus competencias.</w:t>
      </w:r>
    </w:p>
    <w:p w:rsidR="00AC56D6" w:rsidRDefault="00AC56D6" w:rsidP="00AC56D6">
      <w:pPr>
        <w:pStyle w:val="TextoNormal"/>
      </w:pPr>
    </w:p>
    <w:p w:rsidR="00AC56D6" w:rsidRDefault="00AC56D6" w:rsidP="00AC56D6">
      <w:pPr>
        <w:pStyle w:val="TextoNormal"/>
      </w:pPr>
      <w:r>
        <w:t xml:space="preserve">Ese mismo enfoque tiende fácilmente a ignorar el papel de los principios en la interpretación constitucional, particularmente notable cuando el fallo es consecuencia de la obligada ponderación entre los que han entrado en juego; lo que desde la perspectiva normativista daría lugar a una antinomia bloqueadora, se convierte en realidad en un obligado ajustamiento vinculado al caso. No en vano la doctrina ha resaltado la dimensión </w:t>
      </w:r>
      <w:r w:rsidRPr="00AC56D6">
        <w:rPr>
          <w:i/>
        </w:rPr>
        <w:t>optimizadora</w:t>
      </w:r>
      <w:r>
        <w:t xml:space="preserve"> de los principios, característica de la dinámica prestacional de los derechos económicos, sociales y culturales. Desde una óptica normativista, esto llevaría a malentender como </w:t>
      </w:r>
      <w:r w:rsidRPr="00AC56D6">
        <w:rPr>
          <w:i/>
        </w:rPr>
        <w:t>límites</w:t>
      </w:r>
      <w:r>
        <w:t xml:space="preserve"> restrictivos de un derecho, cercenador de parte de su contenido, lo que no es sino </w:t>
      </w:r>
      <w:r w:rsidRPr="00AC56D6">
        <w:rPr>
          <w:i/>
        </w:rPr>
        <w:t>delimitación</w:t>
      </w:r>
      <w:r>
        <w:t xml:space="preserve"> de sus perfiles dentro de la línea optimizadora de la que el legislador es responsable.</w:t>
      </w:r>
    </w:p>
    <w:p w:rsidR="00AC56D6" w:rsidRDefault="00AC56D6" w:rsidP="00AC56D6">
      <w:pPr>
        <w:pStyle w:val="TextoNormal"/>
      </w:pPr>
    </w:p>
    <w:p w:rsidR="00AC56D6" w:rsidRDefault="00AC56D6" w:rsidP="00AC56D6">
      <w:pPr>
        <w:pStyle w:val="TextoNormal"/>
      </w:pPr>
      <w:r>
        <w:t>3. Todo esto podría valorarse como un excurso académico, que no encontraría en un Voto su adecuado escenario; deja, a mi parecer, de serlo cuando la propia deliberación ha puesto de relieve que en ciertas argumentaciones parecía partirse de un derecho identificado con una norma cuyo contenido le reconocía una plena titularidad universal, en vez de entender su dimensión prestacional como fruto del consiguiente esfuerzo optimizador. Desde esa perspectiva, el alcance no universal de cualquier actitud del legislador pasaría a considerarse (quien calla otorga…) como el reconocimiento tácito de dicha universalidad, ajena —siquiera coyunturalmente— a su voluntad.</w:t>
      </w:r>
    </w:p>
    <w:p w:rsidR="00AC56D6" w:rsidRDefault="00AC56D6" w:rsidP="00AC56D6">
      <w:pPr>
        <w:pStyle w:val="TextoNormal"/>
      </w:pPr>
    </w:p>
    <w:p w:rsidR="00AC56D6" w:rsidRDefault="00AC56D6" w:rsidP="00AC56D6">
      <w:pPr>
        <w:pStyle w:val="TextoNormal"/>
      </w:pPr>
      <w:r>
        <w:t xml:space="preserve">La </w:t>
      </w:r>
      <w:r w:rsidRPr="00AC56D6">
        <w:rPr>
          <w:i/>
        </w:rPr>
        <w:t>legislación negativa</w:t>
      </w:r>
      <w:r>
        <w:t xml:space="preserve">, característica del control concentrado de constitucionalidad, se convertiría así aportación tácita del contenido </w:t>
      </w:r>
      <w:r w:rsidRPr="00AC56D6">
        <w:rPr>
          <w:i/>
        </w:rPr>
        <w:t>positivo</w:t>
      </w:r>
      <w:r>
        <w:t xml:space="preserve"> de un derecho, cuando el legislador </w:t>
      </w:r>
      <w:r>
        <w:lastRenderedPageBreak/>
        <w:t>no haya expresado lo contrario; con la muy probable consecuencia, en caso contrario, de un drástico dictamen de inconstitucionalidad más allá de todo consenso.</w:t>
      </w:r>
    </w:p>
    <w:p w:rsidR="00AC56D6" w:rsidRDefault="00AC56D6" w:rsidP="00AC56D6">
      <w:pPr>
        <w:pStyle w:val="TextoNormal"/>
      </w:pPr>
    </w:p>
    <w:p w:rsidR="00AC56D6" w:rsidRDefault="00AC56D6" w:rsidP="00AC56D6">
      <w:pPr>
        <w:pStyle w:val="TextoNormal"/>
      </w:pPr>
      <w:r>
        <w:t>Mi despego ante esa posible interpretación, me lleva a firmar este Voto particular concurrente.</w:t>
      </w:r>
    </w:p>
    <w:p w:rsidR="00AC56D6" w:rsidRDefault="00AC56D6" w:rsidP="00AC56D6">
      <w:pPr>
        <w:pStyle w:val="TextoNormal"/>
      </w:pPr>
    </w:p>
    <w:p w:rsidR="00AC56D6" w:rsidRDefault="00AC56D6" w:rsidP="00AC56D6">
      <w:pPr>
        <w:pStyle w:val="TextoNormal"/>
      </w:pPr>
      <w:r>
        <w:t>Madrid, a nueve de julio de dos mil quince.</w:t>
      </w:r>
    </w:p>
    <w:p w:rsidR="00AC56D6" w:rsidRDefault="00AC56D6" w:rsidP="00AC56D6">
      <w:pPr>
        <w:pStyle w:val="TextoNormal"/>
      </w:pPr>
    </w:p>
    <w:p w:rsidR="00AC56D6" w:rsidRDefault="00AC56D6" w:rsidP="00AC56D6">
      <w:pPr>
        <w:pStyle w:val="TextoNormalNegritaCentrado"/>
        <w:keepNext/>
      </w:pPr>
      <w:r>
        <w:t>Voto particular concurrente que formula el Magistrado don Juan Antonio Xiol Ríos a la Sentencia dictada en el recurso de inconstitucionalidad núm. 2085-2010, al que se adhiere la Magistrada doña Adela Asua Batarrita y el Magistrado don Fernando Valdés Dal-Ré.</w:t>
      </w:r>
    </w:p>
    <w:p w:rsidR="00AC56D6" w:rsidRDefault="00AC56D6" w:rsidP="00AC56D6">
      <w:pPr>
        <w:pStyle w:val="TextoNormalNegritaCentrado"/>
        <w:keepNext/>
      </w:pPr>
    </w:p>
    <w:p w:rsidR="00AC56D6" w:rsidRDefault="00AC56D6" w:rsidP="00AC56D6">
      <w:pPr>
        <w:pStyle w:val="TextoNormal"/>
      </w:pPr>
      <w:r>
        <w:t xml:space="preserve">1. El consenso es un acuerdo de voluntades sobre un mínimo esencial en que las partes en debate sacrifican aspectos menos relevantes de sus posiciones de partida en aras de un progreso común. Es un instrumento adecuado en una democracia deliberativa para propiciar el encuentro sobre elementos fundamentadores de la convivencia y su presencia en las deliberaciones de un tribunal colegiado se corresponde con el designio constitucional de que sus decisiones se ajusten a derecho por procedimientos de formación de mayorías respetuosos con el principio democrático. Aun siendo muy laborioso en ocasiones, como lo ha sido en esta, el consenso lleva consigo el beneficio de una mayor legitimación y </w:t>
      </w:r>
      <w:r w:rsidRPr="00AC56D6">
        <w:rPr>
          <w:i/>
        </w:rPr>
        <w:t>auctoritas</w:t>
      </w:r>
      <w:r>
        <w:t xml:space="preserve"> de la decisión, nacida de la voluntad de equilibrio que la propia idea de consenso entre una mayoría y una minoría lleva consigo. Pero esto no obsta a que, en una perspectiva subjetiva, una de las partes pueda sentirse inclinada a aceptar una posición de consenso porque se le representa como un mal menor frente a la alternativa del no-consenso. Esta última es la razón que me ha llevado a votar favorablemente una ponencia en que se refleja una opinión basada en unos principios que, en buena parte, no son los que sustento y los que he defendido en la deliberación.</w:t>
      </w:r>
    </w:p>
    <w:p w:rsidR="00AC56D6" w:rsidRDefault="00AC56D6" w:rsidP="00AC56D6">
      <w:pPr>
        <w:pStyle w:val="TextoNormal"/>
      </w:pPr>
    </w:p>
    <w:p w:rsidR="00AC56D6" w:rsidRDefault="00AC56D6" w:rsidP="00AC56D6">
      <w:pPr>
        <w:pStyle w:val="TextoNormal"/>
      </w:pPr>
      <w:r>
        <w:t>Logrado el consenso, no tendría sentido explicar cuáles son los principios, los fundamentos y la conclusión que entiendo más correctos para resolver la cuestión del derecho de acceso de los extranjeros mayores de dieciocho años no residentes a la educación posobligatoria desde una perspectiva conjunta de los artículos 27 y 14 CE, leídos a la luz del derecho regional e internacional de los derechos humanos, como impone el art. 10.2 CE. Pero sí creo necesario exponer las razones pragmáticas por las que finalmente he decidido votar favorablemente una sentencia que, aun teniendo un fallo formalmente desestimatorio, considero que salvaguarda en sus aspectos esenciales el derecho a la educación posobligatoria de los extranjeros mayores de edad no residentes.</w:t>
      </w:r>
    </w:p>
    <w:p w:rsidR="00AC56D6" w:rsidRDefault="00AC56D6" w:rsidP="00AC56D6">
      <w:pPr>
        <w:pStyle w:val="TextoNormal"/>
      </w:pPr>
    </w:p>
    <w:p w:rsidR="00AC56D6" w:rsidRDefault="00AC56D6" w:rsidP="00AC56D6">
      <w:pPr>
        <w:pStyle w:val="TextoNormal"/>
      </w:pPr>
      <w:r>
        <w:t xml:space="preserve">2. La opinión en que se fundamenta la sentencia parte de una doble premisa. (i) El art. 9.2, inciso segundo, LOEx no prohíbe el acceso a la educación posobligatoria de los extranjeros mayores de edad no residentes, ya que, sin lesión constitucional alguna, se limita a no imponer que tengan un tratamiento equiparado al de los nacionales y extranjeros residentes. Por tanto, </w:t>
      </w:r>
      <w:r w:rsidRPr="00AC56D6">
        <w:rPr>
          <w:i/>
        </w:rPr>
        <w:t>sensu contrario</w:t>
      </w:r>
      <w:r>
        <w:t xml:space="preserve">, su interpretación es que permite que se establezcan condiciones diferenciadas de acceso a la educación posobligatoria para este grupo de extranjeros. (ii) La redacción del art. 9.2, inciso primero, LOEx remite la regulación del ejercicio del derecho a la educación de cualquier extranjero mayor de edad, con independencia de su situación de </w:t>
      </w:r>
      <w:r>
        <w:lastRenderedPageBreak/>
        <w:t>regularidad migratoria, a la legislación educativa. No cabe en la Sentencia hacer ningún pronunciamiento en relación con la posible constitucionalidad o inconstitucionalidad de un eventual trato diferenciado.</w:t>
      </w:r>
    </w:p>
    <w:p w:rsidR="00AC56D6" w:rsidRDefault="00AC56D6" w:rsidP="00AC56D6">
      <w:pPr>
        <w:pStyle w:val="TextoNormal"/>
      </w:pPr>
    </w:p>
    <w:p w:rsidR="00AC56D6" w:rsidRDefault="00AC56D6" w:rsidP="00AC56D6">
      <w:pPr>
        <w:pStyle w:val="TextoNormal"/>
      </w:pPr>
      <w:r>
        <w:t>3. Lo que me ha inclinado a dar mi Voto favorable a la Sentencia son las razones que expongo a continuación:</w:t>
      </w:r>
    </w:p>
    <w:p w:rsidR="00AC56D6" w:rsidRDefault="00AC56D6" w:rsidP="00AC56D6">
      <w:pPr>
        <w:pStyle w:val="TextoNormal"/>
      </w:pPr>
    </w:p>
    <w:p w:rsidR="00AC56D6" w:rsidRDefault="00AC56D6" w:rsidP="00AC56D6">
      <w:pPr>
        <w:pStyle w:val="TextoNormal"/>
      </w:pPr>
      <w:r>
        <w:t>La Sentencia creo que (i) claramente rechaza la hipótesis de que la vigente legislación educativa haya desarrollado ya una regulación diferenciada respecto del derecho a la educación de los extranjeros residentes mayores de edad, fundada, bien en la reviviscencia de la legislación derogada por la LOEx, bien en una supuesta aptitud de normas o instrucciones de rango inferior a la ley para establecer tal regulación; y (ii) se reconoce implícitamente que en la actualidad no existe previsión legal alguna con rango normativo suficiente en la legislación sectorial educativa que establezca unas condiciones diferenciadas de trato para los extranjeros mayores de edad no residentes en el ejercicio del derecho a acceder a la educación posobligatoria, a la obtención de las titulaciones correspondientes y al sistema público de becas.</w:t>
      </w:r>
    </w:p>
    <w:p w:rsidR="00AC56D6" w:rsidRDefault="00AC56D6" w:rsidP="00AC56D6">
      <w:pPr>
        <w:pStyle w:val="TextoNormal"/>
      </w:pPr>
    </w:p>
    <w:p w:rsidR="00AC56D6" w:rsidRDefault="00AC56D6" w:rsidP="00AC56D6">
      <w:pPr>
        <w:pStyle w:val="TextoNormal"/>
      </w:pPr>
      <w:r>
        <w:t>En efecto, la sentencia no solo no hace referencia alguna a normativa concreta, sino que su fundamentación contiene algunas afirmaciones que considero que permiten concluir que, a día de hoy, como así es, no existe en la legislación educativa ninguna regulación no derogada que establezca unas condiciones diferenciadas del ejercicio de este derecho para los no residentes. En efecto, en la última frase de la sentencia se afirma que “De ese modo, en el caso en que se desarrollen normativamente esas condiciones diferenciadas de trato, es cuando podrán ser traídas al conocimiento de este Tribunal para determinar si son conformes o no con el orden constitucional”. La referencia a “en el caso en que se desarrollen” pone de manifiesto que (i) normativamente no están desarrolladas y, eso, (ii) puesto en relación con el reconocimiento de que solo la ley puede establecer limitaciones a ese derecho, permite concluir que (iii) actualmente hay un defecto de desarrollo normativo y, por tanto, que legalmente no existen esas limitaciones.</w:t>
      </w:r>
    </w:p>
    <w:p w:rsidR="00AC56D6" w:rsidRDefault="00AC56D6" w:rsidP="00AC56D6">
      <w:pPr>
        <w:pStyle w:val="TextoNormal"/>
      </w:pPr>
    </w:p>
    <w:p w:rsidR="00AC56D6" w:rsidRDefault="00AC56D6" w:rsidP="00AC56D6">
      <w:pPr>
        <w:pStyle w:val="TextoNormal"/>
      </w:pPr>
      <w:r>
        <w:t>Consecuentemente, (i) si solo la normativa educativa -y de manera expresa- puede establecer condiciones diferenciadas de acceso a la educación posobligatoria para los extranjeros mayores de edad no residentes; y (ii) en ningún caso cabe la alternativa de excluirlos del ejercicio de ese derecho; la única conclusión constitucionalmente viable es (iii) entender que, por aplicación directa de los arts. 27 y 14 CE, en ausencia de una norma con rango legal suficiente, el trato que debe dispensarse a los extranjeros no residentes debe ser el mismo que a los españoles y extranjeros residentes. Por tanto, las administraciones públicas con competencia en materia educativa no pueden prohibir en ausencia de esa regulación que el acceso de los extranjeros mayores de edad “no residentes” a las enseñanzas obligatorias, sus titulaciones y becas lo sea en las mismas condiciones que los españoles y los extranjeros residentes. Tampoco a través de la exigencia de exhibición o entrega de documentos que, como la tarjeta de identidad de extranjero o las autorizaciones de residencia o estancia, son inherentes a la condición de residentes e imposibilitarían, por esa vía, el ejercicio de este derecho para los no residentes.</w:t>
      </w:r>
    </w:p>
    <w:p w:rsidR="00AC56D6" w:rsidRDefault="00AC56D6" w:rsidP="00AC56D6">
      <w:pPr>
        <w:pStyle w:val="TextoNormal"/>
      </w:pPr>
    </w:p>
    <w:p w:rsidR="00AC56D6" w:rsidRDefault="00AC56D6" w:rsidP="00AC56D6">
      <w:pPr>
        <w:pStyle w:val="TextoNormal"/>
      </w:pPr>
      <w:r>
        <w:t xml:space="preserve">No puede existir duda sobre esta interpretación desde el momento en que en la Sentencia se proclama de una manera explícita —clara y tajante— que es contrario al art. 27 CE el </w:t>
      </w:r>
      <w:r>
        <w:lastRenderedPageBreak/>
        <w:t>negar el acceso a la educación posobligatoria de los extranjeros mayores de edad por el hecho de que no tengan la residencia legal, como se hace en la siguiente proposición: “el entendimiento de que se excluye de tal derecho a quienes “no sean residentes” no solo sería contraria al art. 27 CE por negar de manera incondicionada el ejercicio de un derecho fundamental sino que, además, se contradiría con otros preceptos de la misma Ley Orgánica” (FJ 6, cuarto párrafo).</w:t>
      </w:r>
    </w:p>
    <w:p w:rsidR="00AC56D6" w:rsidRDefault="00AC56D6" w:rsidP="00AC56D6">
      <w:pPr>
        <w:pStyle w:val="TextoNormal"/>
      </w:pPr>
    </w:p>
    <w:p w:rsidR="00AC56D6" w:rsidRDefault="00AC56D6" w:rsidP="00AC56D6">
      <w:pPr>
        <w:pStyle w:val="TextoNormal"/>
      </w:pPr>
      <w:r>
        <w:t>No hace falta decir que esta proclamación era, por mi parte, el mínimo irrenunciable para alcanzar un consenso.</w:t>
      </w:r>
    </w:p>
    <w:p w:rsidR="00AC56D6" w:rsidRDefault="00AC56D6" w:rsidP="00AC56D6">
      <w:pPr>
        <w:pStyle w:val="TextoNormal"/>
      </w:pPr>
    </w:p>
    <w:p w:rsidR="00AC56D6" w:rsidRDefault="00AC56D6" w:rsidP="00AC56D6">
      <w:pPr>
        <w:pStyle w:val="TextoNormal"/>
      </w:pPr>
      <w:r>
        <w:t>Madrid, a nueve de julio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2" w:name="SENTENCIA_2015_156"/>
      <w:r>
        <w:lastRenderedPageBreak/>
        <w:t>SENTENCIA 156/2015, de 9 de julio de 2015</w:t>
      </w:r>
    </w:p>
    <w:bookmarkEnd w:id="12"/>
    <w:p w:rsidR="00AC56D6" w:rsidRDefault="00AC56D6" w:rsidP="00AC56D6">
      <w:pPr>
        <w:pStyle w:val="TtuloResolucin"/>
      </w:pPr>
      <w:r>
        <w:t>Pleno</w:t>
      </w:r>
    </w:p>
    <w:p w:rsidR="00AC56D6" w:rsidRDefault="00AC56D6" w:rsidP="00AC56D6">
      <w:pPr>
        <w:pStyle w:val="TtuloBOE"/>
      </w:pPr>
      <w:r>
        <w:t>(BOE núm. 194, de 14 de agosto de 2015)</w:t>
      </w:r>
    </w:p>
    <w:p w:rsidR="00AC56D6" w:rsidRDefault="00AC56D6" w:rsidP="00AC56D6">
      <w:pPr>
        <w:pStyle w:val="TextoNormalCentrado"/>
      </w:pPr>
      <w:r>
        <w:t>ECLI:ES:TC:2015:156</w:t>
      </w:r>
    </w:p>
    <w:p w:rsidR="00AC56D6" w:rsidRDefault="00AC56D6" w:rsidP="00AC56D6">
      <w:pPr>
        <w:pStyle w:val="TextoNormalCentrado"/>
      </w:pPr>
    </w:p>
    <w:p w:rsidR="00AC56D6" w:rsidRDefault="00AC56D6" w:rsidP="00AC56D6">
      <w:pPr>
        <w:pStyle w:val="SntesisDescriptiva"/>
      </w:pPr>
      <w:r>
        <w:t>Recurso de inconstitucionalidad 5741-2012. Interpuesto por el Consejo de Gobierno de la Junta de Andalucía en relación con diversos preceptos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Límites a los decretos leyes; competencias sobre ordenación general de la economía y función pública: constitucionalidad de los preceptos legales que modifican la regulación de los permisos y vacaciones de los funcionarios públicos, los horarios comerciales y el régimen de promoción de ventas. Voto particular.</w:t>
      </w:r>
    </w:p>
    <w:p w:rsidR="00AC56D6" w:rsidRDefault="00AC56D6" w:rsidP="00AC56D6">
      <w:pPr>
        <w:pStyle w:val="SntesisAnaltica"/>
      </w:pPr>
    </w:p>
    <w:p w:rsidR="00AC56D6" w:rsidRDefault="00AC56D6" w:rsidP="00AC56D6">
      <w:pPr>
        <w:pStyle w:val="Extracto"/>
      </w:pPr>
      <w:r>
        <w:t>1.</w:t>
      </w:r>
      <w:r>
        <w:tab/>
        <w:t>El Tribunal Constitucional vela por el recto ejercicio de la potestad de dictar decretos-leyes dentro del marco constitucional, decidiendo la validez o invalidez de las normas impugnadas, sin atender a su vigencia o derogación en el momento en que se pronuncia el fallo (STC 182/2013) [FJ 2].</w:t>
      </w:r>
    </w:p>
    <w:p w:rsidR="00AC56D6" w:rsidRDefault="00AC56D6" w:rsidP="00AC56D6">
      <w:pPr>
        <w:pStyle w:val="Extracto"/>
      </w:pPr>
    </w:p>
    <w:p w:rsidR="00AC56D6" w:rsidRDefault="00AC56D6" w:rsidP="00AC56D6">
      <w:pPr>
        <w:pStyle w:val="Extracto"/>
      </w:pPr>
      <w:r>
        <w:t>2.</w:t>
      </w:r>
      <w:r>
        <w:tab/>
        <w:t>En los procesos promovidos por causa de vulneración del orden constitucional de distribución de competencias, como excepción a la regla general sobre la carencia de sentido que tiene para el Tribunal pronunciarse en un recurso de inconstitucionalidad sobre normas que el legislador ha expulsado del ordenamiento mediante su derogación, la función de preservar los ámbitos respectivos de competencias no puede quedar enervada por la sola derogación o modificación de las disposiciones cuya adopción dio lugar al litigio (SSTC 182/1988 y 134/2011) [FJ 2].</w:t>
      </w:r>
    </w:p>
    <w:p w:rsidR="00AC56D6" w:rsidRDefault="00AC56D6" w:rsidP="00AC56D6">
      <w:pPr>
        <w:pStyle w:val="Extracto"/>
      </w:pPr>
    </w:p>
    <w:p w:rsidR="00AC56D6" w:rsidRDefault="00AC56D6" w:rsidP="00AC56D6">
      <w:pPr>
        <w:pStyle w:val="Extracto"/>
      </w:pPr>
      <w:r>
        <w:t>3.</w:t>
      </w:r>
      <w:r>
        <w:tab/>
        <w:t>Si la normativa en relación con la cual se traba un conflicto no es simplemente derogada, sino parcialmente sustituida por otra que viene a plantear en esencia los mismos problemas competenciales, no desaparece el objeto del conflicto (SSTC 87/1993 y 134/2011) [FJ 2].</w:t>
      </w:r>
    </w:p>
    <w:p w:rsidR="00AC56D6" w:rsidRDefault="00AC56D6" w:rsidP="00AC56D6">
      <w:pPr>
        <w:pStyle w:val="Extracto"/>
      </w:pPr>
    </w:p>
    <w:p w:rsidR="00AC56D6" w:rsidRDefault="00AC56D6" w:rsidP="00AC56D6">
      <w:pPr>
        <w:pStyle w:val="Extracto"/>
      </w:pPr>
      <w:r>
        <w:t>4.</w:t>
      </w:r>
      <w:r>
        <w:tab/>
        <w:t>La eventual declaración de inconstitucionalidad de los preceptos impugnados si hubiesen sido sustituidos y ya no se encontrarse en vigor, no podría llevar aparejada en ningún caso un pronunciamiento de nulidad de los mismos (STC 161/2012) [FJ 2].</w:t>
      </w:r>
    </w:p>
    <w:p w:rsidR="00AC56D6" w:rsidRDefault="00AC56D6" w:rsidP="00AC56D6">
      <w:pPr>
        <w:pStyle w:val="Extracto"/>
      </w:pPr>
    </w:p>
    <w:p w:rsidR="00AC56D6" w:rsidRDefault="00AC56D6" w:rsidP="00AC56D6">
      <w:pPr>
        <w:pStyle w:val="Extracto"/>
      </w:pPr>
      <w:r>
        <w:t>5.</w:t>
      </w:r>
      <w:r>
        <w:tab/>
        <w:t>El concepto de extraordinaria y urgente necesidad que se contiene en la Constitución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razón por la cual, este Tribunal puede, en supuestos de uso abusivo o arbitrario, rechazar la definición que los órganos políticos hagan de una situación determinada (SSTC 100/2012 y 183/2014) [FJ 3].</w:t>
      </w:r>
    </w:p>
    <w:p w:rsidR="00AC56D6" w:rsidRDefault="00AC56D6" w:rsidP="00AC56D6">
      <w:pPr>
        <w:pStyle w:val="Extracto"/>
      </w:pPr>
    </w:p>
    <w:p w:rsidR="00AC56D6" w:rsidRDefault="00AC56D6" w:rsidP="00AC56D6">
      <w:pPr>
        <w:pStyle w:val="Extracto"/>
      </w:pPr>
      <w:r>
        <w:lastRenderedPageBreak/>
        <w:t>6.</w:t>
      </w:r>
      <w:r>
        <w:tab/>
        <w:t>Se admite el uso del decreto-ley en situaciones que hemos denominado como coyunturas económicas problemáticas, para cuyo tratamiento es instrumento constitucionalmente lícito, en tanto que pertinente y adecuado para la consecución del fin que justifica la legislación de urgencia, que no es otro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31/2011 y 100/2012) [FJ 3].</w:t>
      </w:r>
    </w:p>
    <w:p w:rsidR="00AC56D6" w:rsidRDefault="00AC56D6" w:rsidP="00AC56D6">
      <w:pPr>
        <w:pStyle w:val="Extracto"/>
      </w:pPr>
    </w:p>
    <w:p w:rsidR="00AC56D6" w:rsidRDefault="00AC56D6" w:rsidP="00AC56D6">
      <w:pPr>
        <w:pStyle w:val="Extracto"/>
      </w:pPr>
      <w:r>
        <w:t>7.</w:t>
      </w:r>
      <w:r>
        <w:tab/>
        <w:t>El ejercicio de la potestad de control que compete a este Tribunal implica que la definición por los órganos políticos de una situación de ‘extraordinaria y urgente necesidad’ sea explícita y razonada, y que exista una conexión de sentido o relación de adecuación entre la situación definida que constituye el presupuesto habilitante y las medidas que en el Decreto-ley se adoptan, de manera que estas últimas guarden una relación directa o de congruencia con la situación que se trata de afrontar (SSTC 29/1982; 182/1997) [FJ 3].</w:t>
      </w:r>
    </w:p>
    <w:p w:rsidR="00AC56D6" w:rsidRDefault="00AC56D6" w:rsidP="00AC56D6">
      <w:pPr>
        <w:pStyle w:val="Extracto"/>
      </w:pPr>
    </w:p>
    <w:p w:rsidR="00AC56D6" w:rsidRDefault="00AC56D6" w:rsidP="00AC56D6">
      <w:pPr>
        <w:pStyle w:val="Extracto"/>
      </w:pPr>
      <w:r>
        <w:t>8.</w:t>
      </w:r>
      <w:r>
        <w:tab/>
        <w:t>Para valorar la concurrencia del presupuesto habilitante, debe realizarse una valoración conjunta de todos aquellos factores que determinan al Gobierno a dictar la disposición legal excepcional y que son, básicamente, los que quedan reflejados en la exposición de motivos de la norma, a lo largo del debate parlamentario de convalidación, y en el propio expediente de elaboración de la misma; debiendo siempre tenerse presentes las situaciones concretas y los objetivos gubernamentales que han dado lugar a la aprobación de cada uno de los decretos-leyes enjuiciados (SSTC 1/2012 y 100/2012) [FJ 3].</w:t>
      </w:r>
    </w:p>
    <w:p w:rsidR="00AC56D6" w:rsidRDefault="00AC56D6" w:rsidP="00AC56D6">
      <w:pPr>
        <w:pStyle w:val="Extracto"/>
      </w:pPr>
    </w:p>
    <w:p w:rsidR="00AC56D6" w:rsidRDefault="00AC56D6" w:rsidP="00AC56D6">
      <w:pPr>
        <w:pStyle w:val="Extracto"/>
      </w:pPr>
      <w:r>
        <w:t>9.</w:t>
      </w:r>
      <w:r>
        <w:tab/>
        <w:t>Para controlar la concurrencia del presupuesto habilitante del decreto-ley -la ‘extraordinaria y urgente necesidad’- es preciso analizar dos elementos: los motivos que habiendo sido tenidos en cuenta por el Gobierno en su aprobación hayan sido explicitados de una forma razonada y la existencia de una necesaria conexión entre la situación de urgencia definida y la medida concreta adoptada para subvenir a la misma (SSTC 31/2011 y 100/2012) [FJ 3].</w:t>
      </w:r>
    </w:p>
    <w:p w:rsidR="00AC56D6" w:rsidRDefault="00AC56D6" w:rsidP="00AC56D6">
      <w:pPr>
        <w:pStyle w:val="Extracto"/>
      </w:pPr>
    </w:p>
    <w:p w:rsidR="00AC56D6" w:rsidRDefault="00AC56D6" w:rsidP="00AC56D6">
      <w:pPr>
        <w:pStyle w:val="Extracto"/>
      </w:pPr>
      <w:r>
        <w:t>10.</w:t>
      </w:r>
      <w:r>
        <w:tab/>
        <w:t>En relación con los decretos-leyes, el control que corresponde al Tribunal Constitucional es un control externo, debiendo verificar, pero no sustituir, el juicio político o de oportunidad que corresponde al Gobierno (STC 182/1997) [FJ 3].</w:t>
      </w:r>
    </w:p>
    <w:p w:rsidR="00AC56D6" w:rsidRDefault="00AC56D6" w:rsidP="00AC56D6">
      <w:pPr>
        <w:pStyle w:val="Extracto"/>
      </w:pPr>
    </w:p>
    <w:p w:rsidR="00AC56D6" w:rsidRDefault="00AC56D6" w:rsidP="00AC56D6">
      <w:pPr>
        <w:pStyle w:val="Extracto"/>
      </w:pPr>
      <w:r>
        <w:t>11.</w:t>
      </w:r>
      <w:r>
        <w:tab/>
        <w:t xml:space="preserve">Cuando se denuncia la vulneración del presupuesto de hecho habilitante respecto, no del correspondiente decreto-ley en su conjunto, sino únicamente en relación con uno o alguno de sus preceptos, la necesaria justificación </w:t>
      </w:r>
      <w:r w:rsidRPr="00AC56D6">
        <w:rPr>
          <w:i/>
        </w:rPr>
        <w:t xml:space="preserve">ad casum </w:t>
      </w:r>
      <w:r>
        <w:t>de la ‘extraordinaria y urgente necesidad’ ha de ser apreciada en relación precisamente con los preceptos en concreto impugnados (STC 29/2015) [FJ 4].</w:t>
      </w:r>
    </w:p>
    <w:p w:rsidR="00AC56D6" w:rsidRDefault="00AC56D6" w:rsidP="00AC56D6">
      <w:pPr>
        <w:pStyle w:val="Extracto"/>
      </w:pPr>
    </w:p>
    <w:p w:rsidR="00AC56D6" w:rsidRDefault="00AC56D6" w:rsidP="00AC56D6">
      <w:pPr>
        <w:pStyle w:val="Extracto"/>
      </w:pPr>
      <w:r>
        <w:t>12.</w:t>
      </w:r>
      <w:r>
        <w:tab/>
        <w:t xml:space="preserve">Aun cuando apreciar si una determinada situación reviste las notas de extraordinaria y urgente necesidad corresponde, en principio, al Gobierno y para la cual ha de gozar de un razonable margen de discrecionalidad en la apreciación de dicha urgencia, lo que pudiera conducir a considerar que las medidas que avanzan en la optimización de recursos, en la mejora en la gestión y en la transparencia de la </w:t>
      </w:r>
      <w:r>
        <w:lastRenderedPageBreak/>
        <w:t>Administración así como en el incremento de la productividad de los empleados públicos podría justificar el uso del decreto-ley, pero dicho margen no le autoriza a incluir cualquier género de disposiciones en el mencionado tipo de norma con rango de ley [FJ 5].</w:t>
      </w:r>
    </w:p>
    <w:p w:rsidR="00AC56D6" w:rsidRDefault="00AC56D6" w:rsidP="00AC56D6">
      <w:pPr>
        <w:pStyle w:val="Extracto"/>
      </w:pPr>
    </w:p>
    <w:p w:rsidR="00AC56D6" w:rsidRDefault="00AC56D6" w:rsidP="00AC56D6">
      <w:pPr>
        <w:pStyle w:val="Extracto"/>
      </w:pPr>
      <w:r>
        <w:t>13.</w:t>
      </w:r>
      <w:r>
        <w:tab/>
        <w:t>La valoración de la extraordinaria y urgente necesidad de una medida puede ser independiente de su imprevisibilidad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como el hecho de que tales circunstancias efectivamente concurran (STC 11/2002) [FJ 6].</w:t>
      </w:r>
    </w:p>
    <w:p w:rsidR="00AC56D6" w:rsidRDefault="00AC56D6" w:rsidP="00AC56D6">
      <w:pPr>
        <w:pStyle w:val="Extracto"/>
      </w:pPr>
    </w:p>
    <w:p w:rsidR="00AC56D6" w:rsidRDefault="00AC56D6" w:rsidP="00AC56D6">
      <w:pPr>
        <w:pStyle w:val="Extracto"/>
      </w:pPr>
      <w:r>
        <w:t>14.</w:t>
      </w:r>
      <w:r>
        <w:tab/>
        <w:t>Lo verdaderamente importante, desde el punto de vista constitucional, es que el decreto-ley produzca una innovación normativa efectiva, y no que el régimen jurídico introducido a través del mismo sea completo o definitivo (STC 332/2005) [FJ 6].</w:t>
      </w:r>
    </w:p>
    <w:p w:rsidR="00AC56D6" w:rsidRDefault="00AC56D6" w:rsidP="00AC56D6">
      <w:pPr>
        <w:pStyle w:val="Extracto"/>
      </w:pPr>
    </w:p>
    <w:p w:rsidR="00AC56D6" w:rsidRDefault="00AC56D6" w:rsidP="00AC56D6">
      <w:pPr>
        <w:pStyle w:val="Extracto"/>
      </w:pPr>
      <w:r>
        <w:t>15.</w:t>
      </w:r>
      <w:r>
        <w:tab/>
        <w:t>La cuantificación y la limitación de las retribuciones del personal al servicio de las Administraciones públicas no se integran, desde un punto de vista material, en el régimen estatutario de los funcionarios públicos porque dichas retribuciones, no sólo alcanzan a los funcionarios públicos, sino también a todo el personal al servicio del sector público y porque su carácter coyuntural y su eficacia limitada en el tiempo impiden integrarlas en la relación de servicio que delimita dicho régimen estatutario; razones que no concurren en materia de régimen de permisos y vacaciones regulados en el precepto impugnado con una vocación de permanencia y no coyuntural (STC 63/1986) [FJ 8].</w:t>
      </w:r>
    </w:p>
    <w:p w:rsidR="00AC56D6" w:rsidRDefault="00AC56D6" w:rsidP="00AC56D6">
      <w:pPr>
        <w:pStyle w:val="Extracto"/>
      </w:pPr>
    </w:p>
    <w:p w:rsidR="00AC56D6" w:rsidRDefault="00AC56D6" w:rsidP="00AC56D6">
      <w:pPr>
        <w:pStyle w:val="Extracto"/>
      </w:pPr>
      <w:r>
        <w:t>16.</w:t>
      </w:r>
      <w:r>
        <w:tab/>
        <w:t>En materia de función pública al Estado le corresponde, en virtud de lo establecido en el art. 149.1.18 CE, la competencia exclusiva para establecer las bases del régimen estatutario de los funcionarios públicos, expresión que ha de entenderse referida, a los funcionarios de todas las Administraciones públicas, incluyéndose en dicho título competencial a los funcionarios de la Administración del Estado, de las Administraciones de las Comunidades Autónomas y de las corporaciones locales (SSTC 57/1982 y 37/2002) [FJ 8].</w:t>
      </w:r>
    </w:p>
    <w:p w:rsidR="00AC56D6" w:rsidRDefault="00AC56D6" w:rsidP="00AC56D6">
      <w:pPr>
        <w:pStyle w:val="Extracto"/>
      </w:pPr>
    </w:p>
    <w:p w:rsidR="00AC56D6" w:rsidRDefault="00AC56D6" w:rsidP="00AC56D6">
      <w:pPr>
        <w:pStyle w:val="Extracto"/>
      </w:pPr>
      <w:r>
        <w:t>17.</w:t>
      </w:r>
      <w:r>
        <w:tab/>
        <w:t>La expresión “régimen estatutario de los funcionarios públicos”, empleada por los arts. 103.3 y 149.1.18 CE,  debe comprender la normativa relativa a la adquisición y pérdida de la condición de funcionario, a las condiciones de promoción de la carrera administrativa y a las situaciones que en ésta puedan darse, a los derechos y deberes y responsabilidad de los funcionarios y a su régimen disciplinario, así como a la creación e integración, en su caso, de cuerpos y escalas funcionariales y al modo de provisión de puestos de trabajo al servicio de las Administración públicas” (STC 99/1987) [FJ 8].</w:t>
      </w:r>
    </w:p>
    <w:p w:rsidR="00AC56D6" w:rsidRDefault="00AC56D6" w:rsidP="00AC56D6">
      <w:pPr>
        <w:pStyle w:val="Extracto"/>
      </w:pPr>
    </w:p>
    <w:p w:rsidR="00AC56D6" w:rsidRDefault="00AC56D6" w:rsidP="00AC56D6">
      <w:pPr>
        <w:pStyle w:val="Extracto"/>
      </w:pPr>
      <w:r>
        <w:t>18.</w:t>
      </w:r>
      <w:r>
        <w:tab/>
        <w:t xml:space="preserve">En la competencia para regular las bases del régimen estatutario de los funcionarios públicos conferida al Estado por al art. 149.1.18 CE cabe incluir, por ejemplo, previsiones relativas a las retribuciones de los funcionarios, comunes a todas las </w:t>
      </w:r>
      <w:r>
        <w:lastRenderedPageBreak/>
        <w:t>Administraciones públicas, pues ello hallaría su fundamento en los principios constitucionales de igualdad y solidaridad (SSTC 96/1990 y 148/2006) [FJ 8].</w:t>
      </w:r>
    </w:p>
    <w:p w:rsidR="00AC56D6" w:rsidRDefault="00AC56D6" w:rsidP="00AC56D6">
      <w:pPr>
        <w:pStyle w:val="Extracto"/>
      </w:pPr>
    </w:p>
    <w:p w:rsidR="00AC56D6" w:rsidRDefault="00AC56D6" w:rsidP="00AC56D6">
      <w:pPr>
        <w:pStyle w:val="Extracto"/>
      </w:pPr>
      <w:r>
        <w:t>19.</w:t>
      </w:r>
      <w:r>
        <w:tab/>
        <w:t>Quedan encuadradas en el título competencial del art. 149.1.18 CE las previsiones relativas a los permisos y vacaciones de los funcionarios comunes a todas las Administraciones públicas, con fundamento en los principios constitucionales de igualdad y solidaridad, correspondiendo al Estado fijar los concretos supuestos en los que cabe reconocer permisos, licencias o vacaciones a los funcionarios públicos (por fallecimiento, por accidente o enfermedad de familiares, por traslados de domicilio, para concurrir a exámenes etc…) estableciendo un régimen común de los diferentes conceptos de ausencia temporal justificada al puesto de trabajo [FJ 8].</w:t>
      </w:r>
    </w:p>
    <w:p w:rsidR="00AC56D6" w:rsidRDefault="00AC56D6" w:rsidP="00AC56D6">
      <w:pPr>
        <w:pStyle w:val="Extracto"/>
      </w:pPr>
    </w:p>
    <w:p w:rsidR="00AC56D6" w:rsidRDefault="00AC56D6" w:rsidP="00AC56D6">
      <w:pPr>
        <w:pStyle w:val="Extracto"/>
      </w:pPr>
      <w:r>
        <w:t>20.</w:t>
      </w:r>
      <w:r>
        <w:tab/>
        <w:t>El título competencial del art. 149.1.18 CE no puede amparar una regulación que agote el contenido de los permisos, licencias o vacaciones hasta el punto de no permitir a las Comunidades Autónomas el ejercicio de sus competencias de desarrollo legislativo y de ejecución en esta materia [FJ 8].</w:t>
      </w:r>
    </w:p>
    <w:p w:rsidR="00AC56D6" w:rsidRDefault="00AC56D6" w:rsidP="00AC56D6">
      <w:pPr>
        <w:pStyle w:val="Extracto"/>
      </w:pPr>
    </w:p>
    <w:p w:rsidR="00AC56D6" w:rsidRDefault="00AC56D6" w:rsidP="00AC56D6">
      <w:pPr>
        <w:pStyle w:val="Extracto"/>
      </w:pPr>
      <w:r>
        <w:t>21.</w:t>
      </w:r>
      <w:r>
        <w:tab/>
        <w:t>Una norma merece el calificativo de básica cuando garantiza en todo el Estado un común denominador normativo dirigido a asegurar, de manera unitaria y en condiciones de igualdad, los intereses generales; regulación normativa uniforme que, no obstante, debe permitir que cada Comunidad Autónoma introduzca, en persecución de sus propios intereses, las peculiaridades que estime pertinentes dentro del marco competencial que en la materia dibuje el bloque de la constitucionalidad (SSTC 1/1982 y 103/1997) [FJ 8].</w:t>
      </w:r>
    </w:p>
    <w:p w:rsidR="00AC56D6" w:rsidRDefault="00AC56D6" w:rsidP="00AC56D6">
      <w:pPr>
        <w:pStyle w:val="Extracto"/>
      </w:pPr>
    </w:p>
    <w:p w:rsidR="00AC56D6" w:rsidRDefault="00AC56D6" w:rsidP="00AC56D6">
      <w:pPr>
        <w:pStyle w:val="Extracto"/>
      </w:pPr>
      <w:r>
        <w:t>22.</w:t>
      </w:r>
      <w:r>
        <w:tab/>
        <w:t>La determinación de lo que deba reputarse como básico para delimitar el ámbito correspondiente del título competencial del Estado aplicable a una materia no puede hacerse en términos de relación, por cuanto el perfil de lo básico ha de construirse sobre los principios de igualdad y solidaridad al tiempo que ha de tenerse en cuenta la vocación armonizadora de generalidad que debe reunir esta normativa básica [FJ 8].</w:t>
      </w:r>
    </w:p>
    <w:p w:rsidR="00AC56D6" w:rsidRDefault="00AC56D6" w:rsidP="00AC56D6">
      <w:pPr>
        <w:pStyle w:val="Extracto"/>
      </w:pPr>
    </w:p>
    <w:p w:rsidR="00AC56D6" w:rsidRDefault="00AC56D6" w:rsidP="00AC56D6">
      <w:pPr>
        <w:pStyle w:val="Extracto"/>
      </w:pPr>
      <w:r>
        <w:t>23.</w:t>
      </w:r>
      <w:r>
        <w:tab/>
        <w:t>El ámbito de lo básico, desde la perspectiva material, incluye las determinaciones que aseguran un mínimo común normativo en el sector material de que se trate y, con ello, una orientación unitaria y dotada de cierta estabilidad en todo aquello que el legislador considera en cada momento aspectos esenciales de dicho sector material (STC 14/2004) [FJ 9].</w:t>
      </w:r>
    </w:p>
    <w:p w:rsidR="00AC56D6" w:rsidRDefault="00AC56D6" w:rsidP="00AC56D6">
      <w:pPr>
        <w:pStyle w:val="Extracto"/>
      </w:pPr>
    </w:p>
    <w:p w:rsidR="00AC56D6" w:rsidRDefault="00AC56D6" w:rsidP="00AC56D6">
      <w:pPr>
        <w:pStyle w:val="Extracto"/>
      </w:pPr>
      <w:r>
        <w:t>24.</w:t>
      </w:r>
      <w:r>
        <w:tab/>
        <w:t>Sobre el comercio interior pueden incidir las competencias básicas del Estado previstas en el art. 149.1.13 CE, si bien cada Comunidad Autónoma, dentro de su ámbito territorial, podrá ejercer las competencias de desarrollo normativo y/o ejecución, según lo establecido en el respectivo Estatuto en materia de comercio interior (SSTC 225/1993 y 88/2010) [FJ 9].</w:t>
      </w:r>
    </w:p>
    <w:p w:rsidR="00AC56D6" w:rsidRDefault="00AC56D6" w:rsidP="00AC56D6">
      <w:pPr>
        <w:pStyle w:val="Extracto"/>
      </w:pPr>
    </w:p>
    <w:p w:rsidR="00AC56D6" w:rsidRDefault="00AC56D6" w:rsidP="00AC56D6">
      <w:pPr>
        <w:pStyle w:val="Extracto"/>
      </w:pPr>
      <w:r>
        <w:t>25.</w:t>
      </w:r>
      <w:r>
        <w:tab/>
        <w:t xml:space="preserve">El art. 149.1.13 CE, en lo que respecta a los horarios comerciales, permite sostener que la regulación de criterios para la determinación de los domingos y festivos de apertura en función del atractivo comercial para los consumidores y para la determinación de las zonas de gran afluencia turística, supone el establecimiento de </w:t>
      </w:r>
      <w:r>
        <w:lastRenderedPageBreak/>
        <w:t>directrices globales que cumplen los parámetros constitucionales que debe cumplir la norma básica, que encierra una serie de objetivos de política económica aplicables a un sector de gran trascendencia en nuestra economía como es el de la distribución comercial (STC 225/1993) [FJ 9].</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inconstitucionalidad núm. 5741-2012 interpuesto por el Consejo de Gobierno de la Junta de Andalucía contra los arts. 8, 27 y 28 del Real Decreto-ley 20/2012, de 13 de julio, de medidas para garantizar la estabilidad presupuestaria y de fomento de la competitividad. Ha formulado alegaciones el Abogado del Estado. Ha sido Ponente el Magistrado don Antonio Narváez Rodríguez,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presentado en el Registro General de este Tribunal el día 11 de octubre de 2012 la Letrada de la Junta de Andalucía, en la representación que legalmente ostenta, promovió recurso de inconstitucionalidad contra los arts. 8, 27 y 28 del Real Decreto-ley 20/2012, de 13 de julio, de medidas para garantizar la estabilidad presupuestaria y de fomento de la competitividad.</w:t>
      </w:r>
    </w:p>
    <w:p w:rsidR="00AC56D6" w:rsidRDefault="00AC56D6" w:rsidP="00AC56D6">
      <w:pPr>
        <w:pStyle w:val="TextoNormal"/>
      </w:pPr>
    </w:p>
    <w:p w:rsidR="00AC56D6" w:rsidRDefault="00AC56D6" w:rsidP="00AC56D6">
      <w:pPr>
        <w:pStyle w:val="TextoNormal"/>
      </w:pPr>
      <w:r>
        <w:t>La impugnación se ha fundamentado en los motivos que, resumidamente, se exponen a continuación:</w:t>
      </w:r>
    </w:p>
    <w:p w:rsidR="00AC56D6" w:rsidRDefault="00AC56D6" w:rsidP="00AC56D6">
      <w:pPr>
        <w:pStyle w:val="TextoNormal"/>
      </w:pPr>
    </w:p>
    <w:p w:rsidR="00AC56D6" w:rsidRDefault="00AC56D6" w:rsidP="00AC56D6">
      <w:pPr>
        <w:pStyle w:val="TextoNormal"/>
      </w:pPr>
      <w:r>
        <w:t>a) En primer lugar, se alega la infracción del art. 86.1 CE por entender que la adopción del Real Decreto-ley 20/2012, de 13 de julio, de medidas para garantizar la estabilidad presupuestaria y de fomento de la competitividad no responde a una situación de extraordinaria y urgente necesidad. Después de recordar la doctrina de este Tribunal, señala la Letrada de la Junta de Andalucía que la exposición de motivos de la norma impugnada justifica la “necesidad” de las medidas adoptadas, pero en modo alguno el carácter extraordinario y urgente de la mismas.</w:t>
      </w:r>
    </w:p>
    <w:p w:rsidR="00AC56D6" w:rsidRDefault="00AC56D6" w:rsidP="00AC56D6">
      <w:pPr>
        <w:pStyle w:val="TextoNormal"/>
      </w:pPr>
    </w:p>
    <w:p w:rsidR="00AC56D6" w:rsidRDefault="00AC56D6" w:rsidP="00AC56D6">
      <w:pPr>
        <w:pStyle w:val="TextoNormal"/>
      </w:pPr>
      <w:r>
        <w:lastRenderedPageBreak/>
        <w:t>Según la recurrente, a la norma objeto del control constitucional ha de exigírsele la necesidad de explicitar y razonar la “conexión” de sentido, relación de adecuación o congruencia entre la situación definida que constituye el presupuesto habilitante y las medidas que en el decreto-ley se adopten, “de manera que estas últimas guarden una relación directa o de congruencia con la situación que se trata de afrontar”. (STC 182/1997, de 28 de octubre; FJ 3). Para la Letrada de la Junta no concurre la extraordinaria y urgente necesidad que la exposición de motivos del Real Decreto-ley en cuestión conecta con la idea de que las medidas adoptadas son de extraordinaria y urgente necesidad para reforzar, tanto la garantía de cumplimiento de los compromisos adquiridos por España en materia de gasto público y déficit, como la mejora de la eficiencia, productividad y competitividad de nuestra actividad económica.</w:t>
      </w:r>
    </w:p>
    <w:p w:rsidR="00AC56D6" w:rsidRDefault="00AC56D6" w:rsidP="00AC56D6">
      <w:pPr>
        <w:pStyle w:val="TextoNormal"/>
      </w:pPr>
    </w:p>
    <w:p w:rsidR="00AC56D6" w:rsidRDefault="00AC56D6" w:rsidP="00AC56D6">
      <w:pPr>
        <w:pStyle w:val="TextoNormal"/>
      </w:pPr>
      <w:r>
        <w:t>Así, señala la Letrada de la Junta que, si bien el Real Decreto-ley valora la situación como urgente y establece cuáles son las medidas a adoptar para atender las necesidades extraordinarias, sin embargo no explicita si dicha situación extraordinaria únicamente puede atenderse mediante la utilización de esta figura normativa, por lo que ha de concluirse que el Real Decreto-ley no es constitucionalmente legítimo, pues, para ello, debe acreditarse que la situación que se trata de afrontar no permita la utilización del procedimiento legislativo ordinario o de urgencia. Más aún, se destaca que no debe perderse de vista que la situación a la que trata de dar respuesta el Real Decreto-ley mediante el conjunto de reformas que prevé carece, según la recurrente, de la nota de imprevisibilidad, pues se trata de una situación mantenida en el tiempo.</w:t>
      </w:r>
    </w:p>
    <w:p w:rsidR="00AC56D6" w:rsidRDefault="00AC56D6" w:rsidP="00AC56D6">
      <w:pPr>
        <w:pStyle w:val="TextoNormal"/>
      </w:pPr>
    </w:p>
    <w:p w:rsidR="00AC56D6" w:rsidRDefault="00AC56D6" w:rsidP="00AC56D6">
      <w:pPr>
        <w:pStyle w:val="TextoNormal"/>
      </w:pPr>
      <w:r>
        <w:t>Según se expone en la demanda, mal puede fundamentarse la urgencia justificadora de este extraordinario instrumento cuando las medidas adoptadas carecen de inmediatez de respuesta a la situación, ya que en ningún caso se expone tal urgencia justificadora; máxime cuando algunas de las medidas, para su efectividad y aplicación, o bien requieren de actos posteriores de intervención autonómica o el correspondiente complemento reglamentario, o bien tienen propias previsiones temporales, por lo que no existe adecuación de la norma a su presupuesto habilitante, en cuanto se trata de medidas que “no modifican de manera instantánea la situación jurídica existente” (STC 29/1982, FJ 3), situación que analizará la recurrente al referirse a cada precepto de la norma que se impugna.</w:t>
      </w:r>
    </w:p>
    <w:p w:rsidR="00AC56D6" w:rsidRDefault="00AC56D6" w:rsidP="00AC56D6">
      <w:pPr>
        <w:pStyle w:val="TextoNormal"/>
      </w:pPr>
    </w:p>
    <w:p w:rsidR="00AC56D6" w:rsidRDefault="00AC56D6" w:rsidP="00AC56D6">
      <w:pPr>
        <w:pStyle w:val="TextoNormal"/>
      </w:pPr>
      <w:r>
        <w:t>b) Procede, a continuación, la Letrada de la Junta de Andalucía a realizar alegaciones en relación con los preceptos concretos impugnados, comenzando por las que se refieren al art. 8 del Real Decreto-ley 20/2012.</w:t>
      </w:r>
    </w:p>
    <w:p w:rsidR="00AC56D6" w:rsidRDefault="00AC56D6" w:rsidP="00AC56D6">
      <w:pPr>
        <w:pStyle w:val="TextoNormal"/>
      </w:pPr>
    </w:p>
    <w:p w:rsidR="00AC56D6" w:rsidRDefault="00AC56D6" w:rsidP="00AC56D6">
      <w:pPr>
        <w:pStyle w:val="TextoNormal"/>
      </w:pPr>
      <w:r>
        <w:t xml:space="preserve">Tras recordar el contenido del precepto, señala que su eventual inconstitucionalidad proviene, en primer lugar, de tratarse de una medida que no tiene una eficacia directa a la entrada en vigor del Real Decreto-ley, afectando a la inmediatez de la respuesta y, en consecuencia, a la situación de extraordinaria y urgente necesidad, por lo que se infringiría el art. 86 CE, al carecer del presupuesto habilitante que es propio de los decretos-leyes. Dicha carencia del presupuesto habilitante se pone de relieve en la disposición transitoria primera del propio Real Decreto-ley, que establece que “lo dispuesto en este Real Decreto-ley sobre vacaciones y días de asuntos particulares, días adicionales a los días de libre disposición o de similar naturaleza, no impedirá que el personal funcionario, estatutario y laboral disfrute los días correspondientes al año 2012, conforme a la normativa vigente hasta la entrada en vigor de este Real Decreto-ley”; según la recurrente, el texto de esta disposición transitoria </w:t>
      </w:r>
      <w:r>
        <w:lastRenderedPageBreak/>
        <w:t>evidencia ya su falta de urgencia al demorar el comienzo de su aplicación al día 1 de enero de 2013, lo que evidencia que podría haberse utilizado el procedimiento legislativo ordinario o el de urgencia.</w:t>
      </w:r>
    </w:p>
    <w:p w:rsidR="00AC56D6" w:rsidRDefault="00AC56D6" w:rsidP="00AC56D6">
      <w:pPr>
        <w:pStyle w:val="TextoNormal"/>
      </w:pPr>
    </w:p>
    <w:p w:rsidR="00AC56D6" w:rsidRDefault="00AC56D6" w:rsidP="00AC56D6">
      <w:pPr>
        <w:pStyle w:val="TextoNormal"/>
      </w:pPr>
      <w:r>
        <w:t>Por otro lado, para la Letrada de la Junta, el mencionado art. 8 resulta igualmente inconstitucional por vulnerar las competencias autonómicas en materia de función pública contenidas en los arts. 47.2.1 y 76.1 del Estatuto de Autonomía para Andalucía (EAAnd), y excederse del título competencia estatal consignado en el art. 149.1.18 CE.</w:t>
      </w:r>
    </w:p>
    <w:p w:rsidR="00AC56D6" w:rsidRDefault="00AC56D6" w:rsidP="00AC56D6">
      <w:pPr>
        <w:pStyle w:val="TextoNormal"/>
      </w:pPr>
    </w:p>
    <w:p w:rsidR="00AC56D6" w:rsidRDefault="00AC56D6" w:rsidP="00AC56D6">
      <w:pPr>
        <w:pStyle w:val="TextoNormal"/>
      </w:pPr>
      <w:r>
        <w:t>Después de recordar la doctrina del Tribunal Constitucional sobre función pública, considera que se deriva de la misma que el Estado, mediante la legislación básica, puede establecer los principios y aspectos esenciales sobre el régimen estatutario de los funcionarios públicos, pero no puede fijar en dicha legislación básica un modelo uniforme para todas las Comunidades Autónomas, ya que ello supondría dejar vacía de contenido la competencia de desarrollo legislativo, estatutariamente reconocida a las mismas, que les faculta para aprobar, dentro del respeto a las bases fijadas por el Estado, una regulación propia y diferenciada, que responda a sus propias peculiaridades e intereses.</w:t>
      </w:r>
    </w:p>
    <w:p w:rsidR="00AC56D6" w:rsidRDefault="00AC56D6" w:rsidP="00AC56D6">
      <w:pPr>
        <w:pStyle w:val="TextoNormal"/>
      </w:pPr>
    </w:p>
    <w:p w:rsidR="00AC56D6" w:rsidRDefault="00AC56D6" w:rsidP="00AC56D6">
      <w:pPr>
        <w:pStyle w:val="TextoNormal"/>
      </w:pPr>
      <w:r>
        <w:t>En efecto, para la Letrada de la Junta la nueva redacción que el art. 8 del Real Decreto-ley impugnado confiere a los arts. 48 y 50 de la Ley del estatuto básico del empleado público (LEEP), no se limita a establecer unos principios y criterios básicos en materia de permisos y vacaciones de los funcionarios públicos que sirvan de denominador común normativo para un posterior desarrollo autonómico, sino que establece un modelo cerrado y uniforme, que no deja margen alguno para que las Comunidades Autónomas puedan aprobar su propia legislación de desarrollo sobre la materia, impidiendo así el ejercicio de las competencias de desarrollo legislativo que, respecto de su propio personal funcionario y estatutario, le reconocen a esta Comunidad Autónoma los arts. 47.2.1 a) y 76.1 EAAnd.</w:t>
      </w:r>
    </w:p>
    <w:p w:rsidR="00AC56D6" w:rsidRDefault="00AC56D6" w:rsidP="00AC56D6">
      <w:pPr>
        <w:pStyle w:val="TextoNormal"/>
      </w:pPr>
    </w:p>
    <w:p w:rsidR="00AC56D6" w:rsidRDefault="00AC56D6" w:rsidP="00AC56D6">
      <w:pPr>
        <w:pStyle w:val="TextoNormal"/>
      </w:pPr>
      <w:r>
        <w:t>En cualquier caso y, aún en el supuesto de que se considerase que la redacción del art. 8 del Real Decreto-ley 20/2012 forme parte de la competencia del Estado para dictar las normas básicas, el precepto es inconstitucional en atención a la imprevisibilidad de su cambio, al llevarse a cabo mediante Decreto-ley, de manera que sería contraria a la doctrina de este Tribunal que ha declarado que la normativa básica debe crear un marco normativo unitario, dotado de estabilidad y dirigido a asegurar los intereses generales, debido a que las bases han de atender a aspectos más estructurales que coyunturales.</w:t>
      </w:r>
    </w:p>
    <w:p w:rsidR="00AC56D6" w:rsidRDefault="00AC56D6" w:rsidP="00AC56D6">
      <w:pPr>
        <w:pStyle w:val="TextoNormal"/>
      </w:pPr>
    </w:p>
    <w:p w:rsidR="00AC56D6" w:rsidRDefault="00AC56D6" w:rsidP="00AC56D6">
      <w:pPr>
        <w:pStyle w:val="TextoNormal"/>
      </w:pPr>
      <w:r>
        <w:t>c) Prosigue el escrito de la Letrada de la Junta realizando alegaciones sobre los arts. 27 y 28 del Real Decreto-ley 20/2012.</w:t>
      </w:r>
    </w:p>
    <w:p w:rsidR="00AC56D6" w:rsidRDefault="00AC56D6" w:rsidP="00AC56D6">
      <w:pPr>
        <w:pStyle w:val="TextoNormal"/>
      </w:pPr>
    </w:p>
    <w:p w:rsidR="00AC56D6" w:rsidRDefault="00AC56D6" w:rsidP="00AC56D6">
      <w:pPr>
        <w:pStyle w:val="TextoNormal"/>
      </w:pPr>
      <w:r>
        <w:t>En primer lugar, se refiere a la inconstitucionalidad de los arts. 27 y 28 del Real Decreto-ley impugnado por no justificar las razones de extraordinaria y urgente necesidad que exigen la utilización por parte del Gobierno del Estado de la figura del decreto-ley para la introducción de medidas de liberalización en el sector de la distribución minorista, consistentes, de una parte, en una serie de modificaciones en los arts. 3, 4 y 5, así como en las disposiciones adicionales primera y segunda de la Ley 1/2004, de 21 de diciembre, de horarios comerciales, y, de otro lado, en los arts. 18, 20, 25, 27, 28 y 31 de la Ley 7/1996, de 15 de enero, de ordenación del comercio minorista.</w:t>
      </w:r>
    </w:p>
    <w:p w:rsidR="00AC56D6" w:rsidRDefault="00AC56D6" w:rsidP="00AC56D6">
      <w:pPr>
        <w:pStyle w:val="TextoNormal"/>
      </w:pPr>
    </w:p>
    <w:p w:rsidR="00AC56D6" w:rsidRDefault="00AC56D6" w:rsidP="00AC56D6">
      <w:pPr>
        <w:pStyle w:val="TextoNormal"/>
      </w:pPr>
      <w:r>
        <w:lastRenderedPageBreak/>
        <w:t>Así, considera la Letrada de la Junta que la coyuntura económica problemática a la que se alude en la exposición de motivos de la norma, carece por completo de la nota de imprevisibilidad, pues responde a una situación de crisis económica internacional que se ha venido prolongando desde hace años. Asimismo, subraya que no se concretan de forma suficiente y razonada, ni en la exposición de motivos del Real Decreto-ley, ni tampoco en el debate parlamentario de convalidación del mismo, las circunstancias que llevaron al Gobierno de la Nación a “considerar urgente” la introducción de medidas de liberalización en el sector de la distribución minorista, así como a la aprobación de dichas medidas mediante un decreto-ley.</w:t>
      </w:r>
    </w:p>
    <w:p w:rsidR="00AC56D6" w:rsidRDefault="00AC56D6" w:rsidP="00AC56D6">
      <w:pPr>
        <w:pStyle w:val="TextoNormal"/>
      </w:pPr>
    </w:p>
    <w:p w:rsidR="00AC56D6" w:rsidRDefault="00AC56D6" w:rsidP="00AC56D6">
      <w:pPr>
        <w:pStyle w:val="TextoNormal"/>
      </w:pPr>
      <w:r>
        <w:t>Igualmente, argumenta que la inexistencia de un auténtico presupuesto habilitante que justifique la inmediata aprobación de estas medidas por decreto-ley viene corroborada por el hecho de que la disposición transitoria decimocuarta del Real Decreto-ley, en conexión con la disposición final tercera del mismo, difiere la aplicación del nuevo régimen de apertura de los establecimientos comerciales en domingos y festivos, introducido por el art. 27, al 1 de enero de 2013, lo que evidencia la inexistencia de conexión entre la situación de urgencia que se invoca y las medidas que se aprueban para dar respuesta a la misma; según refiere, se trata, en palabras del Tribunal Constitucional, de “medidas que no modifican de manera instantánea la situación jurídica existente” (STC 29/1982, FJ 3).</w:t>
      </w:r>
    </w:p>
    <w:p w:rsidR="00AC56D6" w:rsidRDefault="00AC56D6" w:rsidP="00AC56D6">
      <w:pPr>
        <w:pStyle w:val="TextoNormal"/>
      </w:pPr>
    </w:p>
    <w:p w:rsidR="00AC56D6" w:rsidRDefault="00AC56D6" w:rsidP="00AC56D6">
      <w:pPr>
        <w:pStyle w:val="TextoNormal"/>
      </w:pPr>
      <w:r>
        <w:t>Recuerda la Letrada de la Junta la doctrina del Tribunal contenida en la STC 31/2011, referida a horarios comerciales y, conforme a la cual “el juicio de la concurrencia del presupuesto habilitador de la norma ha de formularse no sólo ... en relación con la totalidad del Real Decreto-ley 6/2000, sino con el específico contenido material del art. 43 pues el mismo tiene entidad propia que la hace merecedora en aquel contexto de un tratamiento sistemático diferenciado tanto en la exposición de motivos como en el articulado del Real Decreto-ley 6/2000 dado que no guarda una relación de absoluta homogeneidad, sistematicidad o necesaria conexión con el resto de las medidas contenidas en la norma”.</w:t>
      </w:r>
    </w:p>
    <w:p w:rsidR="00AC56D6" w:rsidRDefault="00AC56D6" w:rsidP="00AC56D6">
      <w:pPr>
        <w:pStyle w:val="TextoNormal"/>
      </w:pPr>
    </w:p>
    <w:p w:rsidR="00AC56D6" w:rsidRDefault="00AC56D6" w:rsidP="00AC56D6">
      <w:pPr>
        <w:pStyle w:val="TextoNormal"/>
      </w:pPr>
      <w:r>
        <w:t>La Letrada de la Junta concluye con la afirmación de que los arts. 27 y 28 del Real Decreto-ley 20/2012, de 13 de julio, se encuentran viciados de inconstitucionalidad por no concurrir, en relación con los mismos, el presupuesto habilitante exigido por el art. 86 CE.</w:t>
      </w:r>
    </w:p>
    <w:p w:rsidR="00AC56D6" w:rsidRDefault="00AC56D6" w:rsidP="00AC56D6">
      <w:pPr>
        <w:pStyle w:val="TextoNormal"/>
      </w:pPr>
    </w:p>
    <w:p w:rsidR="00AC56D6" w:rsidRDefault="00AC56D6" w:rsidP="00AC56D6">
      <w:pPr>
        <w:pStyle w:val="TextoNormal"/>
      </w:pPr>
      <w:r>
        <w:t>En segundo término, destaca la recurrente que el art. 27 del Real Decreto-ley incurre, igualmente, en inconstitucionalidad por vulnerar las competencias autonómicas en materia de comercio contenidas en el art. 58.1.1 EAAnd, excediéndose del título competencial estatal consignado en el art. 149.1.13 CE.</w:t>
      </w:r>
    </w:p>
    <w:p w:rsidR="00AC56D6" w:rsidRDefault="00AC56D6" w:rsidP="00AC56D6">
      <w:pPr>
        <w:pStyle w:val="TextoNormal"/>
      </w:pPr>
    </w:p>
    <w:p w:rsidR="00AC56D6" w:rsidRDefault="00AC56D6" w:rsidP="00AC56D6">
      <w:pPr>
        <w:pStyle w:val="TextoNormal"/>
      </w:pPr>
      <w:r>
        <w:t xml:space="preserve">Tras recordar el alcance que la doctrina constitucional ha dado a la competencia estatal recogida en el art. 149.1.13 CE, en el ámbito de la ordenación del comercio interior, subraya la Letrada de la Junta que, aun cuando las competencias autonómicas en materia de comercio interior resulten limitadas por las competencias constitucionalmente reconocidas al Estado que inciden sobre la actividad comercial, tanto en lo relativo a los calendarios y horarios comerciales como en materia de modalidades de venta y formas de prestación de la actividad comercial, al tratarse de una competencia transversal que puede afectar a una multiplicidad de materias, el título genérico contenido en el art. 149.1.13. CE no puede, sin embargo, ser utilizado por el Estado en un sentido expansivo que impida esa diversidad porque “el presupuesto de un único orden económico y de un mercado nacional no excluye </w:t>
      </w:r>
      <w:r>
        <w:lastRenderedPageBreak/>
        <w:t>la existencia de la diversidad jurídica que resulta del ejercicio por los órganos autonómicos de competencias normativas sobre un sector económico, cuando éstas han sido asumidas en el Estatuto de una Comunidad Autónoma”.</w:t>
      </w:r>
    </w:p>
    <w:p w:rsidR="00AC56D6" w:rsidRDefault="00AC56D6" w:rsidP="00AC56D6">
      <w:pPr>
        <w:pStyle w:val="TextoNormal"/>
      </w:pPr>
    </w:p>
    <w:p w:rsidR="00AC56D6" w:rsidRDefault="00AC56D6" w:rsidP="00AC56D6">
      <w:pPr>
        <w:pStyle w:val="TextoNormal"/>
      </w:pPr>
      <w:r>
        <w:t>Con fundamento en la doctrina constitucional previa del Tribunal, considera la Letrada de la Junta que las modificaciones introducidas por el art. 27 del Real Decreto-ley en los arts. 4.5, 5.4 y 5.5 de la Ley 1/2004, de 21 de diciembre, de horarios comerciales, son inconstitucionales por desbordar el concepto de “normativa básica” e invadir las competencias de desarrollo legislativo y ejecución que estatutariamente corresponden a la precitada Comunidad Autónoma.</w:t>
      </w:r>
    </w:p>
    <w:p w:rsidR="00AC56D6" w:rsidRDefault="00AC56D6" w:rsidP="00AC56D6">
      <w:pPr>
        <w:pStyle w:val="TextoNormal"/>
      </w:pPr>
    </w:p>
    <w:p w:rsidR="00AC56D6" w:rsidRDefault="00AC56D6" w:rsidP="00AC56D6">
      <w:pPr>
        <w:pStyle w:val="TextoNormal"/>
      </w:pPr>
      <w:r>
        <w:t>Así, en relación con la nueva redacción del art. 4.5 de la Ley 1/2004, de 21 de diciembre, de horarios comerciales, sostiene la recurrente que, frente al tenor anterior de este precepto, que se limitaba a prever que las Comunidades Autónomas, al determinar los domingos y festivos de apertura en sus respectivos territorios, debían atender de forma prioritaria al atractivo comercial que las indicadas fechas pudieran tener para los consumidores, la nueva redacción explicita los criterios que deben seguirse en orden a apreciar dicho atractivo comercial, con lo que constriñe las posibilidades autonómicas, de forma que no puede hablarse propiamente de desarrollo legislativo al respecto.</w:t>
      </w:r>
    </w:p>
    <w:p w:rsidR="00AC56D6" w:rsidRDefault="00AC56D6" w:rsidP="00AC56D6">
      <w:pPr>
        <w:pStyle w:val="TextoNormal"/>
      </w:pPr>
    </w:p>
    <w:p w:rsidR="00AC56D6" w:rsidRDefault="00AC56D6" w:rsidP="00AC56D6">
      <w:pPr>
        <w:pStyle w:val="TextoNormal"/>
      </w:pPr>
      <w:r>
        <w:t>Por su parte, la nueva redacción de los apartados 4 y 5 del art. 5 de la Ley 1/2004, de 21 de diciembre, de horarios comerciales, supone —frente a la redacción anterior, que atribuía a cada Comunidad Autónoma libertad para determinar, en su respectivo ámbito territorial, las zonas de gran afluencia turística—, la configuración de un nuevo régimen en el que se detallan una serie de circunstancias, de tal manera que la concurrencia de cualquiera de aquellas impone la obligación de que la Comunidad Autónoma en cuestión deba declarar un municipio, o parte del mismo como zona de gran afluencia turística. Para la Letrada de la Junta la norma estatal agota prácticamente la regulación de la materia y no deja, pues, un ámbito de indeterminación en el que las Comunidades Autónomas puedan aprobar su propia normativa de desarrollo, atendiendo a sus particulares intereses y opciones políticas. Así, en aplicación de la normativa estatal, en Andalucía, dado que prácticamente en el 100 por 100 de los municipios andaluces se localiza al menos un bien inmueble de interés cultural integrado en el patrimonio histórico, todos serían “zonas de gran afluencia turística”.</w:t>
      </w:r>
    </w:p>
    <w:p w:rsidR="00AC56D6" w:rsidRDefault="00AC56D6" w:rsidP="00AC56D6">
      <w:pPr>
        <w:pStyle w:val="TextoNormal"/>
      </w:pPr>
    </w:p>
    <w:p w:rsidR="00AC56D6" w:rsidRDefault="00AC56D6" w:rsidP="00AC56D6">
      <w:pPr>
        <w:pStyle w:val="TextoNormal"/>
      </w:pPr>
      <w:r>
        <w:t>En definitiva, para la recurrente, la regulación que el art. 27 del Real Decreto-ley 20/2012, realiza de los arts. 4.5, 5.4 y 5.5 de la Ley 1/2004, de 21 de diciembre, excede el concepto de bases constitucionalmente definido, invadiendo las competencias estatutariamente reconocidas a la Comunidad Autónoma de Andalucía en materia de horarios comerciales y, por tanto, resulta inconstitucional.</w:t>
      </w:r>
    </w:p>
    <w:p w:rsidR="00AC56D6" w:rsidRDefault="00AC56D6" w:rsidP="00AC56D6">
      <w:pPr>
        <w:pStyle w:val="TextoNormal"/>
      </w:pPr>
    </w:p>
    <w:p w:rsidR="00AC56D6" w:rsidRDefault="00AC56D6" w:rsidP="00AC56D6">
      <w:pPr>
        <w:pStyle w:val="TextoNormal"/>
      </w:pPr>
      <w:r w:rsidRPr="00AC56D6">
        <w:rPr>
          <w:rStyle w:val="NumeroAFNegritaCaracter"/>
        </w:rPr>
        <w:t>2</w:t>
      </w:r>
      <w:r>
        <w:t>. El Pleno, a propuesta de la Sección Cuarta, por providencia de 30 de octubre de 2012 acordó admitir a trámite el recurso, dar traslado de la demanda al Congreso de los Diputados y al Senado, a través de sus respectivos Presidentes, y al Gobierno, a través del Ministerio de Justicia, para que en el plazo de quince días pudieran personarse en el proceso y formular alegaciones, así como publicar la incoación del recurso en el “Boletín Oficial del Estado” (“BOE” núm. 270, de 9 de noviembre de 2012).</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3</w:t>
      </w:r>
      <w:r>
        <w:t>. Por escrito registrado el día 7 de noviembre de 2012 el Abogado del Estado se personó en nombre del Gobierno solicitando una prórroga del plazo inicial para la formulación de alegaciones, prórroga que le fue concedida por providencia del Pleno de 12 de noviembre de 2012.</w:t>
      </w:r>
    </w:p>
    <w:p w:rsidR="00AC56D6" w:rsidRDefault="00AC56D6" w:rsidP="00AC56D6">
      <w:pPr>
        <w:pStyle w:val="TextoNormal"/>
      </w:pPr>
    </w:p>
    <w:p w:rsidR="00AC56D6" w:rsidRDefault="00AC56D6" w:rsidP="00AC56D6">
      <w:pPr>
        <w:pStyle w:val="TextoNormal"/>
      </w:pPr>
      <w:r w:rsidRPr="00AC56D6">
        <w:rPr>
          <w:rStyle w:val="NumeroAFNegritaCaracter"/>
        </w:rPr>
        <w:t>4</w:t>
      </w:r>
      <w:r>
        <w:t>. El día 12 de noviembre de 2012 se registró en el Tribunal Constitucional un escrito del Presidente del Congreso de los Diputados en el que comunicaba el acuerdo de la Mesa de la Cámara de personarse en el procedimiento y ofrecer su colaboración a los efectos del art. 88.1 de la Ley Orgánica del Tribunal Constitucional. Lo mismo hizo el Presidente del Senado por escrito que tuvo entrada en este Tribunal el día 14 de noviembre de 2012.</w:t>
      </w:r>
    </w:p>
    <w:p w:rsidR="00AC56D6" w:rsidRDefault="00AC56D6" w:rsidP="00AC56D6">
      <w:pPr>
        <w:pStyle w:val="TextoNormal"/>
      </w:pPr>
    </w:p>
    <w:p w:rsidR="00AC56D6" w:rsidRDefault="00AC56D6" w:rsidP="00AC56D6">
      <w:pPr>
        <w:pStyle w:val="TextoNormal"/>
      </w:pPr>
      <w:r w:rsidRPr="00AC56D6">
        <w:rPr>
          <w:rStyle w:val="NumeroAFNegritaCaracter"/>
        </w:rPr>
        <w:t>5</w:t>
      </w:r>
      <w:r>
        <w:t>. El Abogado del Estado, en la representación que legalmente ostenta, presentó su escrito de alegaciones el día 10 de diciembre de 2012 instando la inadmisión del recurso respecto del art. 28 del Real Decreto-ley 20/2012, de 13 de julio, y la desestimación del recurso en todo lo demás o, subsidiariamente, la desestimación del recurso en su integridad, todo ello conforme a los siguientes argumentos:</w:t>
      </w:r>
    </w:p>
    <w:p w:rsidR="00AC56D6" w:rsidRDefault="00AC56D6" w:rsidP="00AC56D6">
      <w:pPr>
        <w:pStyle w:val="TextoNormal"/>
      </w:pPr>
    </w:p>
    <w:p w:rsidR="00AC56D6" w:rsidRDefault="00AC56D6" w:rsidP="00AC56D6">
      <w:pPr>
        <w:pStyle w:val="TextoNormal"/>
      </w:pPr>
      <w:r>
        <w:t>a) El representante del Gobierno señala que el recurso de inconstitucionalidad se dirige contra los arts. 8, 27 y 28 del Real Decreto-ley 20/2012, de 13 de julio, de medidas para garantizar la estabilidad presupuestaria y de fomento de la competitividad. Respecto de los arts. 8 y 27 del Real Decreto-ley, destaca que la demanda hace dos alegaciones: (i) no concurre el presupuesto habilitante que permite acudir a la legislación de urgencia y, por tanto, se ha infringido el art. 86.1 CE; y (ii) la regulación de los preceptos excede de las competencias básicas ejercitadas por el Estado e invade las competencias autonómicas de desarrollo normativo.</w:t>
      </w:r>
    </w:p>
    <w:p w:rsidR="00AC56D6" w:rsidRDefault="00AC56D6" w:rsidP="00AC56D6">
      <w:pPr>
        <w:pStyle w:val="TextoNormal"/>
      </w:pPr>
    </w:p>
    <w:p w:rsidR="00AC56D6" w:rsidRDefault="00AC56D6" w:rsidP="00AC56D6">
      <w:pPr>
        <w:pStyle w:val="TextoNormal"/>
      </w:pPr>
      <w:r>
        <w:t>Sin embargo, para el representante del Gobierno, en relación con el art. 28 del Real Decreto-ley 20/2012 sólo se lee en la demanda la genérica afirmación de que no se justificarían “las razones de extraordinaria y urgente necesidad que exigen la utilización por parte del Gobierno de la Nación de la figura del decreto-ley para la introducción de medidas de liberalización en el sector de la distribución minorista consistente en ... una serie de modificaciones ... en los arts. 18, 20, 25, 27. 28 y 31 de la Ley 7/1996, de 15 de enero, de ordenación del comercio minorista”. Para el Abogado del Estado este simple aserto, carente de toda argumentación adicional, hace inadmisible el recurso en relación con el art. 28 en cuanto que la demanda no ha levantado la carga que incumbe a la parte recurrente de fundamentar su impugnación.</w:t>
      </w:r>
    </w:p>
    <w:p w:rsidR="00AC56D6" w:rsidRDefault="00AC56D6" w:rsidP="00AC56D6">
      <w:pPr>
        <w:pStyle w:val="TextoNormal"/>
      </w:pPr>
    </w:p>
    <w:p w:rsidR="00AC56D6" w:rsidRDefault="00AC56D6" w:rsidP="00AC56D6">
      <w:pPr>
        <w:pStyle w:val="TextoNormal"/>
      </w:pPr>
      <w:r>
        <w:t xml:space="preserve">b) Procede, a continuación, el Abogado del Estado a argumentar la inexistencia de infracción del art. 86.1 CE. Tras recordar la doctrina constitucional sobre el presupuesto habilitante, entra a examinar las razones de urgencia exteriorizadas por los órganos políticos para legitimar la utilización del decreto-ley en este concreto caso. Así, con reproducción del contenido de la exposición de motivos y de la intervención del Ministro de Hacienda en el debate de convalidación, destaca el Abogado del Estado que el Real Decreto-ley de referencia se adopta en el marco de una crisis económica sin precedentes que exige fuertes ajustes presupuestarios y que, como señala su exposición de motivos, supone la adopción de una estrategia político económica “sobre dos ejes: la consolidación fiscal y el impulso de nuevas reformas estructurales. Las medidas de ajuste fiscal son imprescindibles … para garantizar </w:t>
      </w:r>
      <w:r>
        <w:lastRenderedPageBreak/>
        <w:t>que España cumple rigurosamente sus compromisos fiscales dentro del marco del déficit excesivo establecido por la Unión Europea. Además, resultan necesarias para recuperar la confianza y el crédito de las Administraciones Públicas”. “Las nuevas reformas estructurales son también claves, no sólo para garantizar que nuestro país flexibiliza su estructura productiva y se prepara de modo óptimo para la siguiente fase expansiva del ciclo, sino también para generar crecimiento adicional y compensar parcialmente de esta forma el impacto restrictivo de la política fiscal a corto plazo”.</w:t>
      </w:r>
    </w:p>
    <w:p w:rsidR="00AC56D6" w:rsidRDefault="00AC56D6" w:rsidP="00AC56D6">
      <w:pPr>
        <w:pStyle w:val="TextoNormal"/>
      </w:pPr>
    </w:p>
    <w:p w:rsidR="00AC56D6" w:rsidRDefault="00AC56D6" w:rsidP="00AC56D6">
      <w:pPr>
        <w:pStyle w:val="TextoNormal"/>
      </w:pPr>
      <w:r>
        <w:t>Para fundamentar la gravedad del contexto de crisis en el que se adopta el Real Decreto-ley impugnado, se refiere el escrito del Abogado del Estado a una serie de informes del Banco de España (2008, 2009, 2010 y 2011).</w:t>
      </w:r>
    </w:p>
    <w:p w:rsidR="00AC56D6" w:rsidRDefault="00AC56D6" w:rsidP="00AC56D6">
      <w:pPr>
        <w:pStyle w:val="TextoNormal"/>
      </w:pPr>
    </w:p>
    <w:p w:rsidR="00AC56D6" w:rsidRDefault="00AC56D6" w:rsidP="00AC56D6">
      <w:pPr>
        <w:pStyle w:val="TextoNormal"/>
      </w:pPr>
      <w:r>
        <w:t>Después de recordar la senda de corrección del déficit público a la que se ha comprometido nuestro país con la Unión Europea, concluye afirmando que los órganos políticos han exteriorizado las circunstancias de extraordinaria y urgente necesidad que obligan al dictado de la norma con rango de ley impugnada.</w:t>
      </w:r>
    </w:p>
    <w:p w:rsidR="00AC56D6" w:rsidRDefault="00AC56D6" w:rsidP="00AC56D6">
      <w:pPr>
        <w:pStyle w:val="TextoNormal"/>
      </w:pPr>
    </w:p>
    <w:p w:rsidR="00AC56D6" w:rsidRDefault="00AC56D6" w:rsidP="00AC56D6">
      <w:pPr>
        <w:pStyle w:val="TextoNormal"/>
      </w:pPr>
      <w:r>
        <w:t>c) Procede, a continuación, el escrito del Abogado del Estado a realizar alegaciones sobre la constitucionalidad del art. 8 del Real Decreto-ley 20/2012, comenzando por el examen de la conexión de la medida con la circunstancia de urgencia a la que obedece la norma del Estado.</w:t>
      </w:r>
    </w:p>
    <w:p w:rsidR="00AC56D6" w:rsidRDefault="00AC56D6" w:rsidP="00AC56D6">
      <w:pPr>
        <w:pStyle w:val="TextoNormal"/>
      </w:pPr>
    </w:p>
    <w:p w:rsidR="00AC56D6" w:rsidRDefault="00AC56D6" w:rsidP="00AC56D6">
      <w:pPr>
        <w:pStyle w:val="TextoNormal"/>
      </w:pPr>
      <w:r>
        <w:t>De acuerdo con la exposición de motivos de la norma “el proceso de consolidación fiscal y de sostenibilidad de las cuentas públicas exige de las Administraciones Públicas continuar adaptando una serie de medidas extraordinarias y cuya adopción debe ser urgente, dirigidas a racionalizar y reducir el gasto de personal de las Administraciones Públicas y a incrementar la eficiencia de su gestión”, debiéndose “adoptar medidas que ahorren gastos de personal e incrementen la calidad y productividad del empleo público”. Subraya el Abogado del Estado que se trata de medidas que se deben adoptar de manera conjunta para ofrecer un cambio estructural y coherente que permita, contemplado en su totalidad, la satisfacción de los mencionados objetivos de austeridad y eficiencia en las Administraciones públicas. Por ello y de acuerdo con la exposición de motivos de la norma adoptada “se reducen los días de libre disposición. Además, se suprimen los días adicionales por antigüedad tanto en el caso de las vacaciones como en el de los días por asuntos particulares y se suspenden los pactos y acuerdos que contradigan estas disposiciones. Se homogeniza, asimismo, el régimen de permisos para todas las Administraciones Públicas. Con la misma finalidad de racionalizar el gasto de personal, se limita el número de días de asuntos particulares y de días adicionales a los de libre disposición que puedan haber establecido las Administraciones Públicas y se adoptan medidas con la misma finalidad en relación con el personal laboral, así como respecto de las vacaciones. Igualmente, en materia de tiempo retribuido para realizar funciones sindicales y de representación, nombramiento de delegados sindicales, dispensas de asistencia al trabajo y demás derechos sindicales, se limitan los actualmente existentes a los estrictamente previstos por la normativa laboral, favoreciendo el incremento de los tiempos de trabajo destinados directamente al servicio público”.</w:t>
      </w:r>
    </w:p>
    <w:p w:rsidR="00AC56D6" w:rsidRDefault="00AC56D6" w:rsidP="00AC56D6">
      <w:pPr>
        <w:pStyle w:val="TextoNormal"/>
      </w:pPr>
    </w:p>
    <w:p w:rsidR="00AC56D6" w:rsidRDefault="00AC56D6" w:rsidP="00AC56D6">
      <w:pPr>
        <w:pStyle w:val="TextoNormal"/>
      </w:pPr>
      <w:r>
        <w:t xml:space="preserve">Tal conexión de sentido, según refiere, se extrae igualmente del debate de convalidación del Real Decreto-ley, donde el Ministro de Hacienda afirma que “de una crisis como esta </w:t>
      </w:r>
      <w:r>
        <w:lastRenderedPageBreak/>
        <w:t>salimos trabajando más, todos, todos tenemos que trabajar más… Tenemos que pedir también esfuerzos, compromisos a los que hoy tienen trabajo, como ocurre con la Función pública”.</w:t>
      </w:r>
    </w:p>
    <w:p w:rsidR="00AC56D6" w:rsidRDefault="00AC56D6" w:rsidP="00AC56D6">
      <w:pPr>
        <w:pStyle w:val="TextoNormal"/>
      </w:pPr>
    </w:p>
    <w:p w:rsidR="00AC56D6" w:rsidRDefault="00AC56D6" w:rsidP="00AC56D6">
      <w:pPr>
        <w:pStyle w:val="TextoNormal"/>
      </w:pPr>
      <w:r>
        <w:t>De acuerdo con el escrito del Abogado del Estado, respecto de la evaluación del impacto económico de las medidas adoptadas en el art. 8 impugnado, la Dirección General de la Función Pública señala que “una simple estimación respecto de un personal con 20 años de antigüedad, alcanzaría un total de 7 días hábiles suprimidos. Esta cifra aplicada a los 2.7 millones de empleados públicos de las Administraciones Públicas, sin contar con otros entes instrumentales que conforman el sector público en general, suponen un ahorro de casi 19 millones de jornadas anuales de trabajo, que a estos efectos estimativos suponen un ahorro de nuevas incorporaciones o sustituciones de más de miles de empleados públicos, especialmente en los ámbitos docente y sanitario”. Así, para el Abogado del Estado, no puede existir duda sobre la relación de causalidad entre las circunstancias de urgencia apreciadas y las concretas medidas adoptadas en el art. 8 del Real Decreto-ley 20/2012 impugnado.</w:t>
      </w:r>
    </w:p>
    <w:p w:rsidR="00AC56D6" w:rsidRDefault="00AC56D6" w:rsidP="00AC56D6">
      <w:pPr>
        <w:pStyle w:val="TextoNormal"/>
      </w:pPr>
    </w:p>
    <w:p w:rsidR="00AC56D6" w:rsidRDefault="00AC56D6" w:rsidP="00AC56D6">
      <w:pPr>
        <w:pStyle w:val="TextoNormal"/>
      </w:pPr>
      <w:r>
        <w:t>Frente a la alegación de la recurrente de que no existiría urgencia dado que la disposición transitoria primera del Real Decreto-ley 20/2012 difiere la entrada en vigor de las previsiones del precitado art. 8 al 1 de enero de 2013, el escrito del Abogado del Estado sostiene que la tramitación parlamentaria de una ley de la complejidad de la aquí impugnada difícilmente hubiera podido garantizar su plena vigencia a la indicada fecha del 1 de enero de 2013.</w:t>
      </w:r>
    </w:p>
    <w:p w:rsidR="00AC56D6" w:rsidRDefault="00AC56D6" w:rsidP="00AC56D6">
      <w:pPr>
        <w:pStyle w:val="TextoNormal"/>
      </w:pPr>
    </w:p>
    <w:p w:rsidR="00AC56D6" w:rsidRDefault="00AC56D6" w:rsidP="00AC56D6">
      <w:pPr>
        <w:pStyle w:val="TextoNormal"/>
      </w:pPr>
      <w:r>
        <w:t>Procede, a continuación, el escrito del Abogado del Estado a realizar alegaciones relativas al carácter básico del art. 8 del Real Decreto-ley 20/2012, señalando que la demanda únicamente impugna el siguiente inciso de la redacción dada al art. 48 LEEP: ‘'Los funcionarios públicos tendrán los siguientes permisos: ... k) Por asuntos particulares, tres días”. Igualmente impugnaría del nuevo art. 50 LEEP, el primer párrafo, en el que se lee “los funcionarios públicos tendrán derecho a disfrutar, durante cada año natural, de unas vacaciones retribuidas de veintidós días hábiles, o de los días que correspondan proporcionalmente si el tiempo de servicio durante el año fue menor”. Por último, también se discute el apartado 3 del art. 8: “Desde la entrada en vigor de este Real Decreto-ley, quedan suspendidos y sin efecto los Acuerdos, Pactos y Convenios para el personal funcionario y laboral, suscritos por las Administraciones Públicas y sus Organismos y Entidades, vinculados o dependientes de las mismas, en lo relativo al permiso por asuntos particulares, vacaciones y días adicionales a los de libre disposición o de similar naturaleza”.</w:t>
      </w:r>
    </w:p>
    <w:p w:rsidR="00AC56D6" w:rsidRDefault="00AC56D6" w:rsidP="00AC56D6">
      <w:pPr>
        <w:pStyle w:val="TextoNormal"/>
      </w:pPr>
    </w:p>
    <w:p w:rsidR="00AC56D6" w:rsidRDefault="00AC56D6" w:rsidP="00AC56D6">
      <w:pPr>
        <w:pStyle w:val="TextoNormal"/>
      </w:pPr>
      <w:r>
        <w:t>Tras recordar la doctrina del Tribunal Constitucional referida a la extensión del título competencial previsto en el art. 149.1.18 CE, respecto del régimen estatutario de los funcionarios públicos y la doctrina del Tribunal Constitucional referida al título competencial previsto en el art. 149.1.13 CE, en relación con la reducción de gasto público en materia de personal, sostiene el Abogado del Estado la competencia estatal para fijar el régimen común de derechos de los empleados públicos para todo el territorio nacional, pues notoriamente los días de vacaciones y de permiso por asuntos particulares se integran en el núcleo de derechos que al Estado corresponde fijar con carácter básico.</w:t>
      </w:r>
    </w:p>
    <w:p w:rsidR="00AC56D6" w:rsidRDefault="00AC56D6" w:rsidP="00AC56D6">
      <w:pPr>
        <w:pStyle w:val="TextoNormal"/>
      </w:pPr>
    </w:p>
    <w:p w:rsidR="00AC56D6" w:rsidRDefault="00AC56D6" w:rsidP="00AC56D6">
      <w:pPr>
        <w:pStyle w:val="TextoNormal"/>
      </w:pPr>
      <w:r>
        <w:t xml:space="preserve">Para el Abogado del Estado el legislador básico puede establecer, para todas las Administraciones públicas, un límite máximo en el número de días que los empleados públicos </w:t>
      </w:r>
      <w:r>
        <w:lastRenderedPageBreak/>
        <w:t>pueden disponer de vacaciones o de permisos por asuntos particulares. Así, se señala que, desde la perspectiva del control del déficit y de la garantía de la estabilidad presupuestaria, está justificada la normativa recogida en el art. 8 del Real Decreto-ley 20/2012, por cuanto el gasto de personal es uno de los componentes más importantes del gasto público total. Para el Abogado del Estado el legislador estatal respeta el esquema típicamente básico de fijar un máximo de días de vacaciones y de permiso para asuntos particulares, pudiendo las Comunidades Autónomas fijar límites máximos aún más estrictos, que contribuyan a incrementar su productividad interna y a reducir sus déficits. Asimismo, las Comunidades Autónomas pueden optar por fijar la forma en que se disfruten las vacaciones (por días sueltos o estableciendo un mínimo de días consecutivos), la posibilidad de unir los días de vacaciones a los de los distintos permisos, la de disfrutar permisos y vacaciones de un año en el mes de enero del siguiente, etc.</w:t>
      </w:r>
    </w:p>
    <w:p w:rsidR="00AC56D6" w:rsidRDefault="00AC56D6" w:rsidP="00AC56D6">
      <w:pPr>
        <w:pStyle w:val="TextoNormal"/>
      </w:pPr>
    </w:p>
    <w:p w:rsidR="00AC56D6" w:rsidRDefault="00AC56D6" w:rsidP="00AC56D6">
      <w:pPr>
        <w:pStyle w:val="TextoNormal"/>
      </w:pPr>
      <w:r>
        <w:t>Considera el Abogado del Estado que la comparación de la nueva regulación introducida por el art. 8 impugnado, que establece límites máximos que los órganos regionales pueden reducir, con la anterior, que fijaba límites mínimos que las Comunidades Autónomas podían mejorar, no determina que la nueva regulación no sea básica pues el concepto de lo básico es dinámico y puede variar en función de las circunstancias.</w:t>
      </w:r>
    </w:p>
    <w:p w:rsidR="00AC56D6" w:rsidRDefault="00AC56D6" w:rsidP="00AC56D6">
      <w:pPr>
        <w:pStyle w:val="TextoNormal"/>
      </w:pPr>
    </w:p>
    <w:p w:rsidR="00AC56D6" w:rsidRDefault="00AC56D6" w:rsidP="00AC56D6">
      <w:pPr>
        <w:pStyle w:val="TextoNormal"/>
      </w:pPr>
      <w:r>
        <w:t>d) Sostiene, a continuación, el escrito del Abogado del Estado la constitucionalidad de los arts. 27 y 28 del Real Decreto-ley 20/2012, comenzando por la conexión de las medidas adoptadas con la situación de extraordinaria y urgente necesidad alegada.</w:t>
      </w:r>
    </w:p>
    <w:p w:rsidR="00AC56D6" w:rsidRDefault="00AC56D6" w:rsidP="00AC56D6">
      <w:pPr>
        <w:pStyle w:val="TextoNormal"/>
      </w:pPr>
    </w:p>
    <w:p w:rsidR="00AC56D6" w:rsidRDefault="00AC56D6" w:rsidP="00AC56D6">
      <w:pPr>
        <w:pStyle w:val="TextoNormal"/>
      </w:pPr>
      <w:r>
        <w:t>Así, señala que, de acuerdo con la exposición de motivos de la norma, en la misma se “recoge, en su Título V, un conjunto de medidas urgentes de carácter liberalizador en el ámbito de la distribución comercial y de fomento de la actividad en el sector exterior… La ampliación de la libertad de horarios tendrá efectos positivos sobre la productividad y la eficiencia en la distribución comercial minorista y los precios y proporcionará a las empresas una nueva variable que permitirá incrementar la competencia efectiva entre los comercios. Asimismo, se incrementan las posibilidades de compra del consumidor y, en consecuencia, sus oportunidades de conciliación de la vida familiar y laboral… Además se introducen medidas urgentes en relación con las promociones de ventas, mediante una modificación del Título II de la Ley 7/1996, de 15 de enero, de ordenación del comercio minorista. Las medidas propuestas son de carácter general, para todo tipo de actividades de promoción de ventas, es decir, rebajas, saldos, liquidaciones o cualquier otra oferta promocional destinada al incremento de las ventas. Con ello se pretende liberalizar el ejercicio de la actividad comercial, dando la posibilidad de realizar a un mismo tiempo y en un mismo establecimiento comercial cualquier tipo de actividad de promoción de ventas, de tal forma que las rebajas puedan convivir con los saldos u otras ofertas comerciales”.</w:t>
      </w:r>
    </w:p>
    <w:p w:rsidR="00AC56D6" w:rsidRDefault="00AC56D6" w:rsidP="00AC56D6">
      <w:pPr>
        <w:pStyle w:val="TextoNormal"/>
      </w:pPr>
    </w:p>
    <w:p w:rsidR="00AC56D6" w:rsidRDefault="00AC56D6" w:rsidP="00AC56D6">
      <w:pPr>
        <w:pStyle w:val="TextoNormal"/>
      </w:pPr>
      <w:r>
        <w:t>El Ministro de Hacienda añadió en el debate de convalidación que “el decreto-ley incorpora igualmente actuaciones de reformas estructurales, como es la liberalización de horarios comerciales y de rebajas para favorecer nuestro comercio exterior...”.</w:t>
      </w:r>
    </w:p>
    <w:p w:rsidR="00AC56D6" w:rsidRDefault="00AC56D6" w:rsidP="00AC56D6">
      <w:pPr>
        <w:pStyle w:val="TextoNormal"/>
      </w:pPr>
    </w:p>
    <w:p w:rsidR="00AC56D6" w:rsidRDefault="00AC56D6" w:rsidP="00AC56D6">
      <w:pPr>
        <w:pStyle w:val="TextoNormal"/>
      </w:pPr>
      <w:r>
        <w:t>Tras reproducir ampliamente la memoria del análisis del impacto normativo del Real Decreto-ley 20/2012, considera el Abogado del Estado que se justifica sobradamente la concurrencia del presupuesto de hecho habilitante.</w:t>
      </w:r>
    </w:p>
    <w:p w:rsidR="00AC56D6" w:rsidRDefault="00AC56D6" w:rsidP="00AC56D6">
      <w:pPr>
        <w:pStyle w:val="TextoNormal"/>
      </w:pPr>
    </w:p>
    <w:p w:rsidR="00AC56D6" w:rsidRDefault="00AC56D6" w:rsidP="00AC56D6">
      <w:pPr>
        <w:pStyle w:val="TextoNormal"/>
      </w:pPr>
      <w:r>
        <w:lastRenderedPageBreak/>
        <w:t xml:space="preserve">Sobre la alegación de la recurrente de que no existiría urgencia dado que la disposición final tercera en conexión con la transitoria decimocuarta, difieren la aplicación de los nuevos calendarios de domingos y festivos, en que puedan abrir los comercios, al 1º de enero de 2013, señala el Abogado del Estado que este argumento se referiría exclusivamente al art. 27 y no al 28 del Real Decreto-ley 20/2012. Para el Abogado del Estado, en cualquier caso, incluso respecto a la aplicación de los nuevos calendarios de domingos y festivos, la norma impugnada fija una </w:t>
      </w:r>
      <w:r w:rsidRPr="00AC56D6">
        <w:rPr>
          <w:i/>
        </w:rPr>
        <w:t>vacatio</w:t>
      </w:r>
      <w:r>
        <w:t xml:space="preserve"> de escasos cinco meses para permitir a las Comunidades Autónomas y a los operadores económicos adaptarse a la nueva regulación. Si el mismo se hubiera tramitado como ley igualmente hubiera debido incorporar ese período con la misma finalidad que tiene en el Real Decreto-ley 20/2012, con lo que hubiera sido imposible que la nueva normativa hubiera estado vigente a principios de 2013, teniendo ya en ese año la incidencia en el crecimiento del producto interior bruto y del empleo prevista.</w:t>
      </w:r>
    </w:p>
    <w:p w:rsidR="00AC56D6" w:rsidRDefault="00AC56D6" w:rsidP="00AC56D6">
      <w:pPr>
        <w:pStyle w:val="TextoNormal"/>
      </w:pPr>
    </w:p>
    <w:p w:rsidR="00AC56D6" w:rsidRDefault="00AC56D6" w:rsidP="00AC56D6">
      <w:pPr>
        <w:pStyle w:val="TextoNormal"/>
      </w:pPr>
      <w:r>
        <w:t>A continuación, entra a examinar el Abogado del Estado el carácter básico del art. 27 del Real Decreto-ley 20/2012. Luego de recordar la doctrina del Tribunal Constitucional referida al régimen de horarios comerciales, considera que el precepto impugnado otorga a las Comunidades Autónomas multitud de posibilidades de desarrollo, no sólo en los restantes subsectores que integran la materia “comercio interior”, sino también sobre la propia submateria “horarios comerciales”. Para el Abogado del Estado, el art. 27 del Real Decreto-ley 20/2012 únicamente pretende establecer un régimen mínimo de libertad de horarios, dentro del cual el legislador autonómico podrá optar por grados superiores de liberalización.</w:t>
      </w:r>
    </w:p>
    <w:p w:rsidR="00AC56D6" w:rsidRDefault="00AC56D6" w:rsidP="00AC56D6">
      <w:pPr>
        <w:pStyle w:val="TextoNormal"/>
      </w:pPr>
    </w:p>
    <w:p w:rsidR="00AC56D6" w:rsidRDefault="00AC56D6" w:rsidP="00AC56D6">
      <w:pPr>
        <w:pStyle w:val="TextoNormal"/>
      </w:pPr>
      <w:r>
        <w:t>Así, señala el Abogado del Estado que la recurrente ha concretado su argumentación en relación con la nueva redacción que el art. 27 del Real Decreto-ley 20/2012, da a los arts. 4 y 5 de la Ley 1/2004, de 21 de diciembre, de horarios comerciales, pero, según refiere aquél, la demanda no dirige ningún reproche contra los 4 primeros apartados del art. 4 y únicamente discute el nuevo apartado 5, que establece los criterios mínimos dentro de los cuales las Comunidades Autónomas deberán decidir, en ejercicio de su autonomía, qué concretos domingos y festivos permiten a los comercios abrir en sus territorios. Al dejar un ámbito al desarrollo autonómico el precepto sería materialmente básico.</w:t>
      </w:r>
    </w:p>
    <w:p w:rsidR="00AC56D6" w:rsidRDefault="00AC56D6" w:rsidP="00AC56D6">
      <w:pPr>
        <w:pStyle w:val="TextoNormal"/>
      </w:pPr>
    </w:p>
    <w:p w:rsidR="00AC56D6" w:rsidRDefault="00AC56D6" w:rsidP="00AC56D6">
      <w:pPr>
        <w:pStyle w:val="TextoNormal"/>
      </w:pPr>
      <w:r>
        <w:t>Por su parte, en lo que se refiere a la impugnación de la nueva redacción del art. 5 de la Ley 1/2004, de 21 de diciembre, de horarios comerciales, introducida por el art. 27 del Real Decreto-ley 20/2012, sostiene el Abogado del Estado que la novedad introducida consiste en que el legislador estatal ha precisado los criterios mínimos que deben seguir las Comunidades Autónomas para determinar las zonas de gran afluencia turística. Para el Abogado del Estado el nuevo precepto fija criterios mínimos susceptibles de ser ampliados por las Comunidades Autónomas, criterios que, por otro lado, permiten un grado de apreciación autonómico para su adaptación a las circunstancias de cada región.</w:t>
      </w:r>
    </w:p>
    <w:p w:rsidR="00AC56D6" w:rsidRDefault="00AC56D6" w:rsidP="00AC56D6">
      <w:pPr>
        <w:pStyle w:val="TextoNormal"/>
      </w:pPr>
    </w:p>
    <w:p w:rsidR="00AC56D6" w:rsidRDefault="00AC56D6" w:rsidP="00AC56D6">
      <w:pPr>
        <w:pStyle w:val="TextoNormal"/>
      </w:pPr>
      <w:r>
        <w:t>En conclusión, para el Abogado del Estado, no puede imputarse un vaciamiento competencial a una normativa desreguladora, que sólo incide parcialmente en un subsector de un título competencial autonómico más amplio. Pero es que, además, las bases impugnadas no son ni mucho menos agotadoras, permitiendo que, dentro de ellas, las Comunidades Autónomas puedan optar por establecer grados superiores de libertad de horarios comerciales.</w:t>
      </w:r>
    </w:p>
    <w:p w:rsidR="00AC56D6" w:rsidRDefault="00AC56D6" w:rsidP="00AC56D6">
      <w:pPr>
        <w:pStyle w:val="TextoNormal"/>
      </w:pPr>
    </w:p>
    <w:p w:rsidR="00AC56D6" w:rsidRDefault="00AC56D6" w:rsidP="00AC56D6">
      <w:pPr>
        <w:pStyle w:val="TextoNormal"/>
      </w:pPr>
      <w:r w:rsidRPr="00AC56D6">
        <w:rPr>
          <w:rStyle w:val="NumeroAFNegritaCaracter"/>
        </w:rPr>
        <w:t>6</w:t>
      </w:r>
      <w:r>
        <w:t>. Por providencia de 7 de julio de 2015, se señaló para deliberación y votación de la presente Sentencia el día 9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presente recurso de inconstitucionalidad, interpuesto por el Consejo de Gobierno de la Junta de Andalucía, tiene por objeto la impugnación de los arts. 8, 27 y 28 del Real Decreto-ley 20/2012, de 13 de julio, de medidas para garantizar la estabilidad presupuestaria y de fomento de la competitividad.</w:t>
      </w:r>
    </w:p>
    <w:p w:rsidR="00AC56D6" w:rsidRDefault="00AC56D6" w:rsidP="00AC56D6">
      <w:pPr>
        <w:pStyle w:val="TextoNormal"/>
      </w:pPr>
    </w:p>
    <w:p w:rsidR="00AC56D6" w:rsidRDefault="00AC56D6" w:rsidP="00AC56D6">
      <w:pPr>
        <w:pStyle w:val="TextoNormal"/>
      </w:pPr>
      <w:r>
        <w:t>El art. 8 del Real Decreto-ley 20/2012, de 13 de julio, modifica los artículos de la Ley 7/2007, de 12 de abril, del estatuto básico del empleado público (LEEP), relativos a los permisos (art. 48) y vacaciones (art. 50) de los funcionarios públicos.</w:t>
      </w:r>
    </w:p>
    <w:p w:rsidR="00AC56D6" w:rsidRDefault="00AC56D6" w:rsidP="00AC56D6">
      <w:pPr>
        <w:pStyle w:val="TextoNormal"/>
      </w:pPr>
    </w:p>
    <w:p w:rsidR="00AC56D6" w:rsidRDefault="00AC56D6" w:rsidP="00AC56D6">
      <w:pPr>
        <w:pStyle w:val="TextoNormal"/>
      </w:pPr>
      <w:r>
        <w:t>El art. 27 del Real Decreto-ley 20/2012, de 13 de julio, da nueva redacción a los preceptos de la Ley 1/2004, de 21 de diciembre, de horarios comerciales, referidos al horario global semanal (art. 3 y disposición adicional primera), al número de domingos y días festivos en que los comercios podrán abrir al público (art. 4) y a los establecimientos comerciales a los que se reconoce un régimen especial de libertad horaria (art. 5).</w:t>
      </w:r>
    </w:p>
    <w:p w:rsidR="00AC56D6" w:rsidRDefault="00AC56D6" w:rsidP="00AC56D6">
      <w:pPr>
        <w:pStyle w:val="TextoNormal"/>
      </w:pPr>
    </w:p>
    <w:p w:rsidR="00AC56D6" w:rsidRDefault="00AC56D6" w:rsidP="00AC56D6">
      <w:pPr>
        <w:pStyle w:val="TextoNormal"/>
      </w:pPr>
      <w:r>
        <w:t>Finalmente, el art. 28 del Real Decreto-ley 20/2012, de 13 de julio, introduce nuevo texto en aquellos preceptos de la Ley 7/1996, de 15 de enero, de ordenación del comercio minorista referidos al régimen de promoción de ventas (rebajas, ventas de saldo, ventas de liquidación etc. regulados en los arts. 18, 20, 25, 26, 27, 28 y 31).</w:t>
      </w:r>
    </w:p>
    <w:p w:rsidR="00AC56D6" w:rsidRDefault="00AC56D6" w:rsidP="00AC56D6">
      <w:pPr>
        <w:pStyle w:val="TextoNormal"/>
      </w:pPr>
    </w:p>
    <w:p w:rsidR="00AC56D6" w:rsidRDefault="00AC56D6" w:rsidP="00AC56D6">
      <w:pPr>
        <w:pStyle w:val="TextoNormal"/>
      </w:pPr>
      <w:r>
        <w:t>En el recurso planteado, el Consejo de Gobierno de la Junta de Andalucía sostiene, como se ha desarrollado con detalle en los antecedentes, la inconstitucionalidad de los preceptos impugnados por no concurrir el presupuesto habilitante de la “extraordinaria y urgente necesidad” exigido por el art. 86.1 CE, así como, en el caso de los arts. 8 y 27 del Real Decreto-ley 20/2012, por considerar que la regulación allí contenida excede de las competencias estatales, dado que, en los respectivos casos, los apartados 18 y 13 del art. 149.1 CE le proporcionarían la debida cobertura competencial.</w:t>
      </w:r>
    </w:p>
    <w:p w:rsidR="00AC56D6" w:rsidRDefault="00AC56D6" w:rsidP="00AC56D6">
      <w:pPr>
        <w:pStyle w:val="TextoNormal"/>
      </w:pPr>
    </w:p>
    <w:p w:rsidR="00AC56D6" w:rsidRDefault="00AC56D6" w:rsidP="00AC56D6">
      <w:pPr>
        <w:pStyle w:val="TextoNormal"/>
      </w:pPr>
      <w:r>
        <w:t>El Abogado del Estado niega que la norma no responda a una situación de extraordinaria y urgente necesidad. Por otra parte, afirma que los preceptos impugnados han de entenderse dictados al amparo de lo que disponen los mencionados apartados 18 y 13 del art. 149.1 CE.</w:t>
      </w:r>
    </w:p>
    <w:p w:rsidR="00AC56D6" w:rsidRDefault="00AC56D6" w:rsidP="00AC56D6">
      <w:pPr>
        <w:pStyle w:val="TextoNormal"/>
      </w:pPr>
    </w:p>
    <w:p w:rsidR="00AC56D6" w:rsidRDefault="00AC56D6" w:rsidP="00AC56D6">
      <w:pPr>
        <w:pStyle w:val="TextoNormal"/>
      </w:pPr>
      <w:r>
        <w:t>Dos son, pues, los vicios de inconstitucionalidad que se atribuyen a los preceptos impugnados: De una parte, la vulneración del art. 86.1 CE, por no concurrir el presupuesto habilitante de la extraordinaria y urgente necesidad; y, de otro lado, la extralimitación competencial del Estado y la consiguiente invasión de las competencias autonómicas en materia de régimen estatutario de sus funcionarios [recogida en los arts. 47.2.1 y 76.1 del Estatuto de Autonomía para Andalucía (EAAnd)] y en materia de ordenación administrativa de la actividad comercial (recogida en el art. 58.1.1 EAAnd).</w:t>
      </w:r>
    </w:p>
    <w:p w:rsidR="00AC56D6" w:rsidRDefault="00AC56D6" w:rsidP="00AC56D6">
      <w:pPr>
        <w:pStyle w:val="TextoNormal"/>
      </w:pPr>
    </w:p>
    <w:p w:rsidR="00AC56D6" w:rsidRDefault="00AC56D6" w:rsidP="00AC56D6">
      <w:pPr>
        <w:pStyle w:val="TextoNormal"/>
      </w:pPr>
      <w:r w:rsidRPr="00AC56D6">
        <w:rPr>
          <w:rStyle w:val="NumeroAFNegritaCaracter"/>
        </w:rPr>
        <w:t>2</w:t>
      </w:r>
      <w:r>
        <w:t xml:space="preserve">. Antes de entrar en el enjuiciamiento de los motivos del recurso planteado por el Consejo de Gobierno de la Junta de Andalucía, procede realizar algunas observaciones sobre el objeto del mismo, para analizar en qué medida podría afectar a su pervivencia la aprobación </w:t>
      </w:r>
      <w:r>
        <w:lastRenderedPageBreak/>
        <w:t>de distintas disposiciones normativas que, tras la entrada en vigor del Real Decreto-ley 20/2012, de 13 de julio, han modificado parcialmente la materia regulada por éste.</w:t>
      </w:r>
    </w:p>
    <w:p w:rsidR="00AC56D6" w:rsidRDefault="00AC56D6" w:rsidP="00AC56D6">
      <w:pPr>
        <w:pStyle w:val="TextoNormal"/>
      </w:pPr>
    </w:p>
    <w:p w:rsidR="00AC56D6" w:rsidRDefault="00AC56D6" w:rsidP="00AC56D6">
      <w:pPr>
        <w:pStyle w:val="TextoNormal"/>
      </w:pPr>
      <w:r>
        <w:t>Así, la letra k) del art. 48 LEEP, que, precisamente fue modificada por el art. 8 del Real Decreto-ley 20/2012, de 13 de julio, aquí impugnado, ha sido posteriormente modificada, primero, por la disposición adicional cuarta, primero de la Ley Orgánica 9/2013, de 20 de diciembre, de control de la deuda comercial en el sector público (“BOE” núm. 305, de 21 de diciembre), que amplió a cuatro el número de días por asuntos particulares de los funcionarios públicos; y, finalmente, por el art. 28.3 y por la disposición adicional duodécima de la Ley 15/2014, de 16 de septiembre, de racionalización del sector público y otras medidas de reforma administrativa (“BOE” núm. 226, de 17 de septiembre), que, nuevamente, volvió a ampliarse hasta cinco el número de días de los funcionarios públicos por asuntos particulares.</w:t>
      </w:r>
    </w:p>
    <w:p w:rsidR="00AC56D6" w:rsidRDefault="00AC56D6" w:rsidP="00AC56D6">
      <w:pPr>
        <w:pStyle w:val="TextoNormal"/>
      </w:pPr>
    </w:p>
    <w:p w:rsidR="00AC56D6" w:rsidRDefault="00AC56D6" w:rsidP="00AC56D6">
      <w:pPr>
        <w:pStyle w:val="TextoNormal"/>
      </w:pPr>
      <w:r>
        <w:t>Por su parte, los apartados 4 y 5 del art. 5 de la Ley 1/2004, de 21 de diciembre, de horarios comerciales, que fueron modificados por el art. 27 del Real Decreto-ley 20/2012, de 13 de julio, aquí impugnado, han sido posteriormente modificados, primero, por el art. 7.1 y .2, del Real Decreto-ley 8/2014, de 4 de julio, de aprobación de medidas urgentes para el crecimiento, la competitividad y la eficiencia (“BOE” núm. 163, de 5 de julio) y, finalmente, por el art. 7.1 y 2 de la Ley 18/2014, de 15 de octubre, de la misma denominación que el anterior Real Decreto-ley (“BOE” núm. 252, de 17 de octubre), que, respectivamente, añadió el primero de aquellos dos nuevos párrafos al apartado 4 del art. 5 de la Ley 1/2004, de 21 de diciembre, de horarios comerciales; y el segundo, modificó el texto del apartado 5 del art. 5 de la misma Ley 1/2004.</w:t>
      </w:r>
    </w:p>
    <w:p w:rsidR="00AC56D6" w:rsidRDefault="00AC56D6" w:rsidP="00AC56D6">
      <w:pPr>
        <w:pStyle w:val="TextoNormal"/>
      </w:pPr>
    </w:p>
    <w:p w:rsidR="00AC56D6" w:rsidRDefault="00AC56D6" w:rsidP="00AC56D6">
      <w:pPr>
        <w:pStyle w:val="TextoNormal"/>
      </w:pPr>
      <w:r>
        <w:t>Las anteriores modificaciones no afectan, sin embargo, al objeto del presente proceso constitucional.</w:t>
      </w:r>
    </w:p>
    <w:p w:rsidR="00AC56D6" w:rsidRDefault="00AC56D6" w:rsidP="00AC56D6">
      <w:pPr>
        <w:pStyle w:val="TextoNormal"/>
      </w:pPr>
    </w:p>
    <w:p w:rsidR="00AC56D6" w:rsidRDefault="00AC56D6" w:rsidP="00AC56D6">
      <w:pPr>
        <w:pStyle w:val="TextoNormal"/>
      </w:pPr>
      <w:r>
        <w:t>En efecto, no tienen incidencia alguna en el motivo relativo a la inexistencia del presupuesto habilitante de la norma del Gobierno, pues las modificaciones referidas no impiden a este Tribunal controlar si el ejercicio de la potestad reconocida al Gobierno por el art. 86.1 CE se realizó siguiendo los requisitos establecidos en dicho precepto constitucional, en la medida en que, al hacerlo, se trata de velar por el recto ejercicio de la potestad de dictar decretos-leyes dentro del marco constitucional, decidiendo la validez o invalidez de las normas impugnadas sin atender a su vigencia o derogación en el momento en que se pronuncia el fallo [por todas, STC 182/2013, de 23 de octubre, FJ 2 b)].</w:t>
      </w:r>
    </w:p>
    <w:p w:rsidR="00AC56D6" w:rsidRDefault="00AC56D6" w:rsidP="00AC56D6">
      <w:pPr>
        <w:pStyle w:val="TextoNormal"/>
      </w:pPr>
    </w:p>
    <w:p w:rsidR="00AC56D6" w:rsidRDefault="00AC56D6" w:rsidP="00AC56D6">
      <w:pPr>
        <w:pStyle w:val="TextoNormal"/>
      </w:pPr>
      <w:r>
        <w:t xml:space="preserve">Algo similar sucede con los motivos relacionados con la infracción del orden competencial por cuanto las normas posteriores vienen a plantear, en esencia, los mismos problemas competenciales que la norma impugnada. Resulta entonces de aplicación nuestra doctrina respecto a los procesos promovidos por causa de vulneración del orden constitucional de distribución de competencias en la que hemos insistido, como excepción a la regla general sobre la carencia de sentido que tiene para el Tribunal pronunciarse en un recurso de inconstitucionalidad sobre normas que el legislador ha expulsado del ordenamiento mediante su derogación, en que “‘la función de preservar los ámbitos respectivos de competencias no puede quedar enervada por la sola derogación o modificación de las disposiciones cuya adopción dio lugar al litigio (SSTC 182/1988, FJ 1; 248/1988, FJ 2; 167/1993, FJ 2; 196/1993, FJ 2; 329/1993, FJ 1; y 165/1994, FJ 2;’ (STC 109/2003, de 5 de junio, FJ 2)’ </w:t>
      </w:r>
      <w:r>
        <w:lastRenderedPageBreak/>
        <w:t>[STC 134/2011, de 20 de julio, FJ 2 b)]. Por ello,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(SSTC 87/1993, 329/1993 y 155/1996) (STC 147/1998, fundamento jurídico 5)’ (STC 128/1999, de 1 de julio, FJ 4)” [STC 134/2011, de 20 de julio, FJ 2 b)].</w:t>
      </w:r>
    </w:p>
    <w:p w:rsidR="00AC56D6" w:rsidRDefault="00AC56D6" w:rsidP="00AC56D6">
      <w:pPr>
        <w:pStyle w:val="TextoNormal"/>
      </w:pPr>
    </w:p>
    <w:p w:rsidR="00AC56D6" w:rsidRDefault="00AC56D6" w:rsidP="00AC56D6">
      <w:pPr>
        <w:pStyle w:val="TextoNormal"/>
      </w:pPr>
      <w:r>
        <w:t>Por tanto, en la medida en que el recurso se fundamenta, de un lado, en el posible desconocimiento del presupuesto de hecho habilitante del decreto-ley y, de otro, en la eventual extralimitación competencial del Estado en el ejercicio de sus competencias, no cabe sino apreciar que subsiste el interés constitucional, tanto de velar por el recto ejercicio de la potestad de dictar decretos-leyes, como por determinar el alcance de las competencias controvertidas.</w:t>
      </w:r>
    </w:p>
    <w:p w:rsidR="00AC56D6" w:rsidRDefault="00AC56D6" w:rsidP="00AC56D6">
      <w:pPr>
        <w:pStyle w:val="TextoNormal"/>
      </w:pPr>
    </w:p>
    <w:p w:rsidR="00AC56D6" w:rsidRDefault="00AC56D6" w:rsidP="00AC56D6">
      <w:pPr>
        <w:pStyle w:val="TextoNormal"/>
      </w:pPr>
      <w:r>
        <w:t>No obstante lo anterior, conviene advertir que la eventual declaración de inconstitucionalidad de los concretos preceptos impugnados no podría llevar aparejada en ningún caso un pronunciamiento de nulidad de los mismos si tales preceptos hubiesen sido sustituidos y ya no se encontrasen en vigor [en un sentido similar, STC 161/2012, de 20 de septiembre, FJ 2 b)].</w:t>
      </w:r>
    </w:p>
    <w:p w:rsidR="00AC56D6" w:rsidRDefault="00AC56D6" w:rsidP="00AC56D6">
      <w:pPr>
        <w:pStyle w:val="TextoNormal"/>
      </w:pPr>
    </w:p>
    <w:p w:rsidR="00AC56D6" w:rsidRDefault="00AC56D6" w:rsidP="00AC56D6">
      <w:pPr>
        <w:pStyle w:val="TextoNormal"/>
      </w:pPr>
      <w:r w:rsidRPr="00AC56D6">
        <w:rPr>
          <w:rStyle w:val="NumeroAFNegritaCaracter"/>
        </w:rPr>
        <w:t>3</w:t>
      </w:r>
      <w:r>
        <w:t>. Una vez hemos precisado el objeto del recurso planteado, a la hora de dar respuesta a los aludidos motivos de inconstitucionalidad, debemos comenzar con la pretensión impugnatoria vinculada a la vulneración de lo dispuesto en el art. 86.1 CE, pues, conforme a nuestra reiterada doctrina (por todas STC 11/2002, de 17 de enero, FJ 2), su examen ha de ser prioritario en el orden de nuestro enjuiciamiento, toda vez que ese alegato incide directamente sobre la validez del precepto, cuestionando la legitimidad constitucional de su inclusión en una norma de urgencia como es el Real Decreto-ley 20/2012, de modo que, en el caso de ser estimado, resultaría innecesario el examen de las restantes alegaciones (en tal sentido, STC 31/2011, de 17 de marzo, FJ 2).</w:t>
      </w:r>
    </w:p>
    <w:p w:rsidR="00AC56D6" w:rsidRDefault="00AC56D6" w:rsidP="00AC56D6">
      <w:pPr>
        <w:pStyle w:val="TextoNormal"/>
      </w:pPr>
    </w:p>
    <w:p w:rsidR="00AC56D6" w:rsidRDefault="00AC56D6" w:rsidP="00AC56D6">
      <w:pPr>
        <w:pStyle w:val="TextoNormal"/>
      </w:pPr>
      <w:r>
        <w:t xml:space="preserve">La respuesta al debate procesal trabado entre las partes respecto a la concurrencia del presupuesto habilitante requerido por el art. 86.1 CE debe partir de la jurisprudencia constitucional recaída hasta la fecha en relación con este requisito. Dicha doctrina ha sido recogida recientemente en la STC 183/2014, de 6 de noviembre, FJ 4, en los términos siguientes: “el concepto de extraordinaria y urgente necesidad que se contiene en la Constitución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razón por la cual, este Tribunal puede, ‘en supuestos de uso abusivo o arbitrario, rechazar la definición que los órganos políticos hagan de una situación determinada’ (SSTC 100/2012, de 8 de mayo, FJ 8; 237/2012, de 13 de diciembre, FJ 4, y 39/2013, de 14 de febrero, FJ 5). Generalmente, hemos venido admitiendo el uso del decreto-ley en situaciones que hemos denominado como ‘coyunturas económicas problemáticas’, para cuyo tratamiento representa un instrumento constitucionalmente lícito, en tanto que pertinente y adecuado para la consecución del fin que justifica la legislación de urgencia, que no es otro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w:t>
      </w:r>
      <w:r>
        <w:lastRenderedPageBreak/>
        <w:t>las leyes.’ (SSTC 31/2011, de 17 de marzo, FJ 4; 137/2011, de 14 de septiembre, FJ 6, y 100/2012, de 8 de mayo, FJ 8).</w:t>
      </w:r>
    </w:p>
    <w:p w:rsidR="00AC56D6" w:rsidRDefault="00AC56D6" w:rsidP="00AC56D6">
      <w:pPr>
        <w:pStyle w:val="TextoNormal"/>
      </w:pPr>
    </w:p>
    <w:p w:rsidR="00AC56D6" w:rsidRDefault="00AC56D6" w:rsidP="00AC56D6">
      <w:pPr>
        <w:pStyle w:val="TextoNormal"/>
      </w:pPr>
      <w:r>
        <w:t>Ahora bien, como también hemos afirmado, es claro que el ejercicio de la potestad de control que compete a este Tribunal implica ‘que la definición por los órganos políticos de una situación de ‘extraordinaria y urgente necesidad’ sea explícita y razonada, y que exista una conexión de sentido o relación de adecuación entre la situación definida que constituye el presupuesto habilitante y las medidas que en el Decreto-ley se adoptan (STC 29/1982, FJ 3), de manera que estas últimas guarden una relación directa o de congruencia con la situación que se trata de afrontar’ (STC 182/1997, de 28 de octubre, FJ 3). A tal fin, esto es, para valorar la concurrencia del citado presupuesto habilitante, debe realizarse una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debiendo siempre tenerse presentes ‘las situaciones concretas y los objetivos gubernamentales que han dado lugar a la aprobación de cada uno de los decretos-leyes enjuiciados’ (SSTC 1/2012, de 13 de enero, FJ 6; y 100/2012, de 8 de mayo, FJ 8). Es decir, para controlar la concurrencia del presupuesto habilitante del decreto-ley (la ‘extraordinaria y urgente necesidad’), es preciso analizar dos elementos: los motivos que habiendo sido tenidos en cuenta por el Gobierno en su aprobación hayan sido explicitados de una forma razonada y la existencia de una necesaria conexión entre la situación de urgencia definida y la medida concreta adoptada para subvenir a la misma (SSTC 31/2011, de 17 de marzo, FJ 3; y 100/2012, de 8 de mayo, FJ 8).”</w:t>
      </w:r>
    </w:p>
    <w:p w:rsidR="00AC56D6" w:rsidRDefault="00AC56D6" w:rsidP="00AC56D6">
      <w:pPr>
        <w:pStyle w:val="TextoNormal"/>
      </w:pPr>
    </w:p>
    <w:p w:rsidR="00AC56D6" w:rsidRDefault="00AC56D6" w:rsidP="00AC56D6">
      <w:pPr>
        <w:pStyle w:val="TextoNormal"/>
      </w:pPr>
      <w:r>
        <w:t>Igualmente, cabe recordar que, en cuanto a la configuración de nuestro cometido en relación con los decretos-leyes, hemos afirmado “que el control que corresponde al Tribunal Constitucional en este punto es un control externo, en el sentido de que debe verificar, pero no sustituir, el juicio político o de oportunidad que corresponde al Gobierno” (STC 182/1997, de 28 de octubre, FJ 3).</w:t>
      </w:r>
    </w:p>
    <w:p w:rsidR="00AC56D6" w:rsidRDefault="00AC56D6" w:rsidP="00AC56D6">
      <w:pPr>
        <w:pStyle w:val="TextoNormal"/>
      </w:pPr>
    </w:p>
    <w:p w:rsidR="00AC56D6" w:rsidRDefault="00AC56D6" w:rsidP="00AC56D6">
      <w:pPr>
        <w:pStyle w:val="TextoNormal"/>
      </w:pPr>
      <w:r w:rsidRPr="00AC56D6">
        <w:rPr>
          <w:rStyle w:val="NumeroAFNegritaCaracter"/>
        </w:rPr>
        <w:t>4</w:t>
      </w:r>
      <w:r>
        <w:t>. Expuesta la doctrina constitucional, procede analizar ahora sí, con arreglo a ella, y en función de las concretas circunstancias que rodearon la adopción de las medidas impugnadas contenidas en el Real Decreto-ley 20/2012, concurre, en el doble sentido señalado, el presupuesto habilitante de la “extraordinaria y urgente necesidad”, exigida por el art. 86.1 CE.</w:t>
      </w:r>
    </w:p>
    <w:p w:rsidR="00AC56D6" w:rsidRDefault="00AC56D6" w:rsidP="00AC56D6">
      <w:pPr>
        <w:pStyle w:val="TextoNormal"/>
      </w:pPr>
    </w:p>
    <w:p w:rsidR="00AC56D6" w:rsidRDefault="00AC56D6" w:rsidP="00AC56D6">
      <w:pPr>
        <w:pStyle w:val="TextoNormal"/>
      </w:pPr>
      <w:r>
        <w:t xml:space="preserve">Para ello, deberemos tener presente que una de las peculiaridades de este recurso radica en que la vulneración del presupuesto de hecho habilitante se atribuye, no al Real Decreto-ley 20/2012 en su totalidad, sino, solamente, a la regulación realizada por los preceptos impugnados que en el mismo se recogen. Ello determina que, de acuerdo con la doctrina de este Tribunal, cuando “se denuncia la vulneración del presupuesto de hecho habilitante respecto, no del correspondiente decreto-ley en su conjunto, sino únicamente en relación con uno o alguno de sus preceptos, la necesaria justificación </w:t>
      </w:r>
      <w:r w:rsidRPr="00AC56D6">
        <w:rPr>
          <w:i/>
        </w:rPr>
        <w:t>ad casum</w:t>
      </w:r>
      <w:r>
        <w:t xml:space="preserve"> de la ‘extraordinaria y urgente necesidad’ ha de ser apreciada en relación precisamente con los preceptos en concreto impugnados” (STC 29/2015, de 19 de febrero, FJ 3). Nuestro análisis se debe ceñir, por tanto, a examinar la concurrencia del presupuesto hecho habilitante en relación con los arts. 8, 27 y 28 del Real Decreto-ley 20/2012, y no con el amplio y heterogéneo conjunto de restantes medidas que se contienen en la citada norma.</w:t>
      </w:r>
    </w:p>
    <w:p w:rsidR="00AC56D6" w:rsidRDefault="00AC56D6" w:rsidP="00AC56D6">
      <w:pPr>
        <w:pStyle w:val="TextoNormal"/>
      </w:pPr>
    </w:p>
    <w:p w:rsidR="00AC56D6" w:rsidRDefault="00AC56D6" w:rsidP="00AC56D6">
      <w:pPr>
        <w:pStyle w:val="TextoNormal"/>
      </w:pPr>
      <w:r>
        <w:t>En consecuencia, debemos analizar si, respecto de los preceptos cuestionados del Real Decreto-ley 20/2012, concurre el presupuesto habilitante de la “extraordinaria y urgente necesidad” exigido por el art. 86.1 CE, a efectos de determinar la validez constitucional de su regulación.</w:t>
      </w:r>
    </w:p>
    <w:p w:rsidR="00AC56D6" w:rsidRDefault="00AC56D6" w:rsidP="00AC56D6">
      <w:pPr>
        <w:pStyle w:val="TextoNormal"/>
      </w:pPr>
    </w:p>
    <w:p w:rsidR="00AC56D6" w:rsidRDefault="00AC56D6" w:rsidP="00AC56D6">
      <w:pPr>
        <w:pStyle w:val="TextoNormal"/>
      </w:pPr>
      <w:r>
        <w:t>En relación con el primer elemento que hemos de examinar, esto es, los motivos que, a propósito de la concurrencia del presupuesto habilitante del decreto-ley, debe poner de manifiesto el Gobierno, nuestro análisis ha de referirse a la valoración en su conjunto, tanto de la exposición de motivos del Real Decreto-ley 20/2012, como del debate parlamentario de convalidación que siguió a la aprobación de esta norma. [Cortes Generales, “Diario de Sesiones del Congreso de los Diputados. Pleno y Diputación Permanente”, X Legislatura, Año 2012, núm. 51, sesión plenaria núm. 49 (extraordinaria), celebrada el jueves 19 de julio de 2012].</w:t>
      </w:r>
    </w:p>
    <w:p w:rsidR="00AC56D6" w:rsidRDefault="00AC56D6" w:rsidP="00AC56D6">
      <w:pPr>
        <w:pStyle w:val="TextoNormal"/>
      </w:pPr>
    </w:p>
    <w:p w:rsidR="00AC56D6" w:rsidRDefault="00AC56D6" w:rsidP="00AC56D6">
      <w:pPr>
        <w:pStyle w:val="TextoNormal"/>
      </w:pPr>
      <w:r>
        <w:t>De ambos elementos podemos deducir que, desde un punto de vista global, el Real Decreto-ley 20/2012 se presentó por el Gobierno como integrante de una estrategia de política económica para hacer frente a la recaída de la economía española que se puso de manifiesto a lo largo de 2011, cuando, tras varios trimestres de leve recuperación, aquella se mostró intensamente vulnerable al deterioro de la zona euro y volvió a sumergirse en un período recesivo. Para ello, señala la exposición de motivos, se diseña una estrategia de política económica que contiene determinados elementos encaminados a, de una parte, dar respuesta al contexto referido, y, de otro lado, adicionalmente, a permitir su articulación a medio plazo para, de un modo verosímil, poder tener capacidad para concitar la credibilidad de los mercados financieros. Según la exposición de motivos, la mencionada estrategia pivota principalmente sobre dos ejes: la consolidación fiscal y el impulso de nuevas reformas estructurales.</w:t>
      </w:r>
    </w:p>
    <w:p w:rsidR="00AC56D6" w:rsidRDefault="00AC56D6" w:rsidP="00AC56D6">
      <w:pPr>
        <w:pStyle w:val="TextoNormal"/>
      </w:pPr>
    </w:p>
    <w:p w:rsidR="00AC56D6" w:rsidRDefault="00AC56D6" w:rsidP="00AC56D6">
      <w:pPr>
        <w:pStyle w:val="TextoNormal"/>
      </w:pPr>
      <w:r>
        <w:t>En relación con las medidas de ajuste fiscal, la exposición de motivos señala que son imprescindibles para garantizar que España cumple rigurosamente sus compromisos fiscales dentro del marco de déficit excesivo establecido por la Unión Europea. Además, dichas medidas de ajuste fiscal resultan necesarias para recuperar la confianza y el crédito de las Administraciones públicas.</w:t>
      </w:r>
    </w:p>
    <w:p w:rsidR="00AC56D6" w:rsidRDefault="00AC56D6" w:rsidP="00AC56D6">
      <w:pPr>
        <w:pStyle w:val="TextoNormal"/>
      </w:pPr>
    </w:p>
    <w:p w:rsidR="00AC56D6" w:rsidRDefault="00AC56D6" w:rsidP="00AC56D6">
      <w:pPr>
        <w:pStyle w:val="TextoNormal"/>
      </w:pPr>
      <w:r>
        <w:t>Respecto de las reformas estructurales, la exposición de motivos destaca que son también claves, no sólo para garantizar que nuestro país flexibiliza su estructura productiva y se prepara de modo óptimo para la siguiente fase expansiva del ciclo, sino también para generar crecimiento adicional y compensar parcialmente de esta forma el impacto restrictivo de la política fiscal a corto plazo.</w:t>
      </w:r>
    </w:p>
    <w:p w:rsidR="00AC56D6" w:rsidRDefault="00AC56D6" w:rsidP="00AC56D6">
      <w:pPr>
        <w:pStyle w:val="TextoNormal"/>
      </w:pPr>
    </w:p>
    <w:p w:rsidR="00AC56D6" w:rsidRDefault="00AC56D6" w:rsidP="00AC56D6">
      <w:pPr>
        <w:pStyle w:val="TextoNormal"/>
      </w:pPr>
      <w:r>
        <w:t>Señalada la justificación global de este Real Decreto-ley, en la que se contiene la situación de necesidad a la que pretende darse respuesta, debemos examinar, como hemos señalado ya, los concretos motivos proporcionados por el Gobierno para justificar la adopción de las concretas medidas cuestionadas que se recogen en los arts. 8, 27 y 28 del Real Decreto-ley 20/2012. Para ello, debemos diferenciar entre los motivos dados para justificar las medidas recogidas en el art. 8 y los que han sido ofrecidos para adoptar las que se contienen en los arts. 27 y 28, por ser aquellos comunes en el caso de estos dos últimos preceptos.</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5</w:t>
      </w:r>
      <w:r>
        <w:t>. El art. 8 del Real Decreto-ley 20/2012 se inserta en el título I, que tiene por objeto el establecimiento de medidas de reordenación y racionalización de las Administraciones públicas. El apartado 1 del art. 8 modifica el art. 48 sobre permisos de los funcionarios públicos de la Ley 7/2007, de 12 de abril, de estatuto básico del empleado público y el apartado 2 del mencionado art. 8 modifica el art. 50 LEEP, sobre vacaciones de los funcionarios públicos.</w:t>
      </w:r>
    </w:p>
    <w:p w:rsidR="00AC56D6" w:rsidRDefault="00AC56D6" w:rsidP="00AC56D6">
      <w:pPr>
        <w:pStyle w:val="TextoNormal"/>
      </w:pPr>
    </w:p>
    <w:p w:rsidR="00AC56D6" w:rsidRDefault="00AC56D6" w:rsidP="00AC56D6">
      <w:pPr>
        <w:pStyle w:val="TextoNormal"/>
      </w:pPr>
      <w:r>
        <w:t>De acuerdo con la exposición de motivos del Real Decreto-ley 20/2012, el proceso de consolidación fiscal y de sostenibilidad de las cuentas públicas exige de las Administraciones públicas continuar adaptando una serie de medidas extraordinarias y dicha adopción debe ser urgente, estando dirigidas a racionalizar y reducir el gasto de personal de las Administraciones públicas y a incrementar la eficiencia de su gestión. Para la exposición de motivos, la actual coyuntura económica y la necesidad de reducir el déficit público sin menoscabar la prestación de los servicios públicos esenciales, hace necesario mejorar la eficiencia de las Administraciones públicas en el uso de los recursos públicos, con objeto de contribuir a la consecución del inexcusable objetivo de estabilidad presupuestaria, derivado del marco constitucional y de la Unión Europea. De acuerdo con la exposición de motivos, para hacer frente a la necesidad de reducir el déficit público sin menoscabar la prestación de los servicios públicos esenciales, se deben adoptar medidas que ahorren gastos de personal e incrementen la calidad y productividad del empleo público. Por ello, se introducen diversas medidas que avanzan en la optimización de recursos, la mejora en la gestión y en la transparencia de la Administración y el incremento de la productividad de los empleados públicos. Se trata, según la exposición de motivos, de medidas que han de tomarse de manera conjunta para ofrecer un cambio estructural y coherente que permita, contemplado en su totalidad, la satisfacción de los mencionados objetivos de austeridad y eficiencia en las Administraciones públicas. Con la finalidad señalada, subraya la exposición de motivos que se reducen, en el impugnado art. 8, los días de libre disposición. Además, se suprimen los días adicionales por antigüedad, tanto en el caso de las vacaciones como en el de los días por asuntos particulares y se suspenden los pactos y acuerdos que contradigan estas disposiciones. Se homogeniza, asimismo, el régimen de permisos para todas las Administraciones públicas. Con la misma finalidad de racionalizar el gasto de personal, se limita el número de días de asuntos particulares y de días adicionales a los de libre disposición que puedan haber establecido las Administraciones públicas y se adoptan medidas con la misma finalidad en relación con el personal laboral, así como respecto de las vacaciones.</w:t>
      </w:r>
    </w:p>
    <w:p w:rsidR="00AC56D6" w:rsidRDefault="00AC56D6" w:rsidP="00AC56D6">
      <w:pPr>
        <w:pStyle w:val="TextoNormal"/>
      </w:pPr>
    </w:p>
    <w:p w:rsidR="00AC56D6" w:rsidRDefault="00AC56D6" w:rsidP="00AC56D6">
      <w:pPr>
        <w:pStyle w:val="TextoNormal"/>
      </w:pPr>
      <w:r>
        <w:t xml:space="preserve">La justificación de la urgencia en la adopción las concretas medidas adoptadas la realiza el Ministro de Hacienda y Administraciones públicas en el debate de convalidación, haciéndolo en los siguientes términos: “Hay que reducir gastos públicos, servicios públicos, porque nos conviene para crecer, porque sin hacer eso no vamos a crecer ni vamos a crear empleo, porque en España se ha gastado demasiado en relación con la capacidad de recaudar impuestos, de financiar esos servicios públicos… Tenemos que pedir también esfuerzos, compromisos a los que hoy tienen trabajo, como ocurre con la Función pública, compromisos como desarrollar más ese trabajo, esa función, a través de la asimilación de su régimen laboral con el régimen privado”. Para el Ministro, se debe insistir “en el argumento de la reducción del déficit público, insisto en el argumento del sentido de las medidas que presentamos a la Cámara, comprometidas con la reducción del déficit público, no sólo en la Administración General del Estado, sino en su traslación a comunidades autónomas y a corporaciones locales, puesto que estas medidas se trasladan a través de nuestro sistema de financiación autonómico y local, se trasladan a través de la regulación básica que incorpora </w:t>
      </w:r>
      <w:r>
        <w:lastRenderedPageBreak/>
        <w:t>también el funcionamiento del conjunto de nuestras administraciones públicas y pretenden, por tanto, el ahorro en esos planos, en ese funcionamiento que debe ser comprometido en la corrección y en la consecución sobre todo del objetivo de déficit público para este año 2012, haciéndolo posible en todos los ámbitos de la Administración pública y, al mismo tiempo, gestionando mucho mejor, ordenando mucho mejor los elementos de ese servicio público. Por eso, el Decreto-ley entra en los ámbitos de la Función pública inspirando este principio, aplicar lo que significa la regulación del funcionamiento de la vida pública, asimilar el trabajo del funcionario al régimen laboral que tiene en la empresa privada”.</w:t>
      </w:r>
    </w:p>
    <w:p w:rsidR="00AC56D6" w:rsidRDefault="00AC56D6" w:rsidP="00AC56D6">
      <w:pPr>
        <w:pStyle w:val="TextoNormal"/>
      </w:pPr>
    </w:p>
    <w:p w:rsidR="00AC56D6" w:rsidRDefault="00AC56D6" w:rsidP="00AC56D6">
      <w:pPr>
        <w:pStyle w:val="TextoNormal"/>
      </w:pPr>
      <w:r>
        <w:t>A la vista de lo transcrito, la definición de la extraordinaria y urgente necesidad, que justifica la adopción del art. 8 del Real Decreto-ley impugnado, es explícita y razonada. Cabe afirmar pues que no estamos ante una descripción mediante fórmulas rituales o genéricas, aplicables a todo tipo de realidades de un modo intercambiable, sino ante una referencia a una concreta coyuntura económica y a la necesidad de reducir el déficit público sin menoscabar la prestación de los servicios públicos esenciales. Para ello y según se ha reflejado, se indica que es necesario mejorar la eficiencia de las Administraciones públicas en el uso de los recursos públicos, con objeto de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t>No obstante lo anterior, este Tribunal ha recordado que, aun cuando apreciar si una determinada situación reviste las notas de extraordinaria y urgente necesidad que justifica el establecimiento de una norma por decreto-ley es una tarea que corresponde, en principio, al Gobierno y para la cual ha de gozar de un razonable margen de discrecionalidad en la apreciación de dicha urgencia, lo que pudiera conducir a considerar que las medidas que avanzan en la optimización de recursos, la mejora en la gestión y en la transparencia de la Administración así como el incremento de la productividad de los empleados públicos, pudiera justificar el uso del decreto-ley, lo cierto es que dicho margen no le autoriza, sin embargo, para incluir cualquier género de disposiciones en el mencionado tipo de norma con rango de ley.</w:t>
      </w:r>
    </w:p>
    <w:p w:rsidR="00AC56D6" w:rsidRDefault="00AC56D6" w:rsidP="00AC56D6">
      <w:pPr>
        <w:pStyle w:val="TextoNormal"/>
      </w:pPr>
    </w:p>
    <w:p w:rsidR="00AC56D6" w:rsidRDefault="00AC56D6" w:rsidP="00AC56D6">
      <w:pPr>
        <w:pStyle w:val="TextoNormal"/>
      </w:pPr>
      <w:r>
        <w:t>Así, debemos subrayar que el fundamento sobre el que se asienta el recurso no es la negación de la existencia de esa situación de necesidad, sino la discrepancia respecto a la conexión de sentido entre la situación de necesidad definida y las concretas medidas que se adopten en el Real Decreto-ley. De acuerdo con el escrito de la recurrente las medidas adoptadas no tienen eficacia inmediata, pues la disposición transitoria primera del propio Real Decreto-ley establece que “lo dispuesto en este Real Decreto-ley sobre vacaciones y días de asuntos particulares, días adicionales a los días de libre disposición o de similar naturaleza, no impedirá que el personal funcionario, estatutario y laboral disfrute los días correspondientes al año 2012, conforme a la normativa vigente hasta la entrada en vigor de este Real Decreto-ley”.</w:t>
      </w:r>
    </w:p>
    <w:p w:rsidR="00AC56D6" w:rsidRDefault="00AC56D6" w:rsidP="00AC56D6">
      <w:pPr>
        <w:pStyle w:val="TextoNormal"/>
      </w:pPr>
    </w:p>
    <w:p w:rsidR="00AC56D6" w:rsidRDefault="00AC56D6" w:rsidP="00AC56D6">
      <w:pPr>
        <w:pStyle w:val="TextoNormal"/>
      </w:pPr>
      <w:r>
        <w:t>En consecuencia, hemos de comprobar ahora la existencia del segundo elemento referido, esto es, la necesaria conexión de sentido entre la medida concretamente impugnada y la situación de urgencia explicitada por el Gobierno a la que se pretendía responder con su aprobación, lo que nos lleva a examinar la alegación de la recurrente relativa a que la medida no tiene una eficacia inmediata.</w:t>
      </w:r>
    </w:p>
    <w:p w:rsidR="00AC56D6" w:rsidRDefault="00AC56D6" w:rsidP="00AC56D6">
      <w:pPr>
        <w:pStyle w:val="TextoNormal"/>
      </w:pPr>
    </w:p>
    <w:p w:rsidR="00AC56D6" w:rsidRDefault="00AC56D6" w:rsidP="00AC56D6">
      <w:pPr>
        <w:pStyle w:val="TextoNormal"/>
      </w:pPr>
      <w:r>
        <w:lastRenderedPageBreak/>
        <w:t>Según la parte recurrente, la disposición transitoria primera del propio Real Decreto-ley 20/2012 defiere la entrada en vigor de las previsiones del art. 8 al 1 de enero de 2013.</w:t>
      </w:r>
    </w:p>
    <w:p w:rsidR="00AC56D6" w:rsidRDefault="00AC56D6" w:rsidP="00AC56D6">
      <w:pPr>
        <w:pStyle w:val="TextoNormal"/>
      </w:pPr>
    </w:p>
    <w:p w:rsidR="00AC56D6" w:rsidRDefault="00AC56D6" w:rsidP="00AC56D6">
      <w:pPr>
        <w:pStyle w:val="TextoNormal"/>
      </w:pPr>
      <w:r>
        <w:t>De la lectura de la disposición transitoria referida se desprende que únicamente ha retrasado la entrada en vigor de aquellas concretas previsiones que se refieren a los días de asuntos particulares,—los popularmente conocidos como “moscosos”—, que se regulan en la letra k) del art. 48 LEEP, a los días adicionales a los días de libre disposición o de similar naturaleza —que se reconocían en el art. 48.2 LEEP, antes de la modificación operada por el Real Decreto-ley 20/2012 que los suprime, y que establecía que “además de los días de libre disposición establecidos por cada Administración Pública, los funcionarios tendrán derecho al disfrute de dos días adicionales al cumplir el sexto trienio, incrementándose en un día adicional por cada trienio cumplido a partir del octavo”— y a las vacaciones, que se regulan en el art. 50 LEEP.</w:t>
      </w:r>
    </w:p>
    <w:p w:rsidR="00AC56D6" w:rsidRDefault="00AC56D6" w:rsidP="00AC56D6">
      <w:pPr>
        <w:pStyle w:val="TextoNormal"/>
      </w:pPr>
    </w:p>
    <w:p w:rsidR="00AC56D6" w:rsidRDefault="00AC56D6" w:rsidP="00AC56D6">
      <w:pPr>
        <w:pStyle w:val="TextoNormal"/>
      </w:pPr>
      <w:r>
        <w:t>La normativa sobre el resto de permisos a los que se refiere el art. 8 del Real Decreto-ley 20/2012 [días por fallecimiento, por accidente o enfermedad de familiares, por traslados de domicilio, para concurrir a exámenes etc.. y que se recogen en las letras a) a j) y l) del art. 48] cobra vigencia en el mismo momento en el que entra en vigor el Real Decreto-ley 20/2012, es decir al día siguiente de su publicación en el “BOE”, que fue el 14 de julio de 2012.</w:t>
      </w:r>
    </w:p>
    <w:p w:rsidR="00AC56D6" w:rsidRDefault="00AC56D6" w:rsidP="00AC56D6">
      <w:pPr>
        <w:pStyle w:val="TextoNormal"/>
      </w:pPr>
    </w:p>
    <w:p w:rsidR="00AC56D6" w:rsidRDefault="00AC56D6" w:rsidP="00AC56D6">
      <w:pPr>
        <w:pStyle w:val="TextoNormal"/>
      </w:pPr>
      <w:r>
        <w:t>Así, frente a la regulación de los permisos anterior a la modificación producida por el art. 8 del Real Decreto-ley 20/2012, que permitía que fuese la respectiva Administración la que determinase los supuestos de concesión de permisos a los funcionarios públicos y sus requisitos, efectos y duración, disponiendo únicamente que, en defecto de legislación aplicable, los permisos y su duración serían, al menos, los que la propia  Ley del estatuto básico del empleado público estableciera, la nueva regulación aquí impugnada regula por sí misma los supuestos de concesión de permisos a los funcionarios públicos y sus requisitos, efectos y duración, así como la duración de las vacaciones y es únicamente en relación con los días de asuntos particulares, los días adicionales a los días de libre disposición y los días de vacaciones, a los que se determina que la entrada en vigor de su aplicación quede aplazada al 1 de enero de 2013.</w:t>
      </w:r>
    </w:p>
    <w:p w:rsidR="00AC56D6" w:rsidRDefault="00AC56D6" w:rsidP="00AC56D6">
      <w:pPr>
        <w:pStyle w:val="TextoNormal"/>
      </w:pPr>
    </w:p>
    <w:p w:rsidR="00AC56D6" w:rsidRDefault="00AC56D6" w:rsidP="00AC56D6">
      <w:pPr>
        <w:pStyle w:val="TextoNormal"/>
      </w:pPr>
      <w:r>
        <w:t xml:space="preserve">Señalado lo anterior debemos subrayar, ahora, en trance de comprobar la existencia de la necesaria conexión de sentido entre las concretas medidas impugnadas y la situación de urgencia explicitada por el Gobierno, que no es posible obviar que el art. 8 del Real Decreto-ley 20/2012 ha realizado una nueva regulación de todo el régimen de permisos y vacaciones de los funcionarios públicos y de que, dentro de esta normativa que se refiere a todas aquellas situaciones en las que se posibilita la no asistencia temporal del funcionario público a su puesto de trabajo, hay determinadas modalidades, como son los permisos de días que puedan concederse por asuntos particulares, días adicionales a los días de libre disposición y los de vacaciones que han quedado aplazados al 1 de enero de 2013, lo que no implica que en tales casos específicos exista desconexión entre las concretas modificaciones operadas y la situación de urgencia invocada, tal y como denuncia la recurrente, porque ha de tomarse en consideración que su aplicación a mitad de año hubiera podido incidir de modo notable en los intereses de las Administraciones públicas destinatarias del nuevo régimen, que necesariamente han de precisar de un cierto margen de tiempo entre la aprobación de la norma legal y su entrada en vigor para organizar sus estructuras y servicios y adaptarlos al nuevo </w:t>
      </w:r>
      <w:r>
        <w:lastRenderedPageBreak/>
        <w:t>sistema de permisos y vacaciones, teniendo en cuenta, también, los intereses de los funcionarios públicos dependientes de aquellas.</w:t>
      </w:r>
    </w:p>
    <w:p w:rsidR="00AC56D6" w:rsidRDefault="00AC56D6" w:rsidP="00AC56D6">
      <w:pPr>
        <w:pStyle w:val="TextoNormal"/>
      </w:pPr>
    </w:p>
    <w:p w:rsidR="00AC56D6" w:rsidRDefault="00AC56D6" w:rsidP="00AC56D6">
      <w:pPr>
        <w:pStyle w:val="TextoNormal"/>
      </w:pPr>
      <w:r>
        <w:t>Por tanto, el hecho de que la entrada en vigor de una parte de la nueva y completa regulación de los permisos y vacaciones de los funcionarios haya quedado aplazada a un momento posterior, cuando, precisamente, la mayor parte de la nueva regulación es de inmediata entrada en vigor, no priva de la necesaria conexión de sentido a las concretas medidas aplazadas e impugnadas en relación con la situación de urgencia explicitada por el Gobierno. Está, por tanto y en estos términos, justificado que el Real Decreto-ley impugnado realice una regulación conjunta de la materia, sin poderse exigir que la misma se fragmente entre una norma del Gobierno y una posterior norma parlamentaria cuando, en ambos, casos, habrían respondido a semejante finalidad.</w:t>
      </w:r>
    </w:p>
    <w:p w:rsidR="00AC56D6" w:rsidRDefault="00AC56D6" w:rsidP="00AC56D6">
      <w:pPr>
        <w:pStyle w:val="TextoNormal"/>
      </w:pPr>
    </w:p>
    <w:p w:rsidR="00AC56D6" w:rsidRDefault="00AC56D6" w:rsidP="00AC56D6">
      <w:pPr>
        <w:pStyle w:val="TextoNormal"/>
      </w:pPr>
      <w:r w:rsidRPr="00AC56D6">
        <w:rPr>
          <w:rStyle w:val="NumeroAFNegritaCaracter"/>
        </w:rPr>
        <w:t>6</w:t>
      </w:r>
      <w:r>
        <w:t>. Rechazada la vulneración del art. 86.1 CE respecto a la concurrencia del presupuesto de hecho habilitante en el caso de las normas relativas a los permisos y vacaciones de los funcionarios públicos regulados en el art. 8 del Real Decreto-ley 20/2012, procede analizar, ahora, la concurrencia de aquel supuesto en el caso de los arts. 27 y 28 de este mismo Real Decreto-ley 20/2012.</w:t>
      </w:r>
    </w:p>
    <w:p w:rsidR="00AC56D6" w:rsidRDefault="00AC56D6" w:rsidP="00AC56D6">
      <w:pPr>
        <w:pStyle w:val="TextoNormal"/>
      </w:pPr>
    </w:p>
    <w:p w:rsidR="00AC56D6" w:rsidRDefault="00AC56D6" w:rsidP="00AC56D6">
      <w:pPr>
        <w:pStyle w:val="TextoNormal"/>
      </w:pPr>
      <w:r>
        <w:t>En este sentido, el art. 27 tiene por objeto modificar el régimen vigente hasta ese momento introduciendo una mayor liberalización de horarios y de apertura comercial en domingos y festivos. Para ello modifica los preceptos de la Ley 1/2004, de 21 de diciembre, de horarios comerciales referidos al horario global semanal (art. 3 y disposición adicional primera), al número de domingos y días festivos en que los comercios podrán abrir al público (art. 4) y a los establecimientos comerciales a los que se reconoce un régimen especial de libertad horaria (art. 5).</w:t>
      </w:r>
    </w:p>
    <w:p w:rsidR="00AC56D6" w:rsidRDefault="00AC56D6" w:rsidP="00AC56D6">
      <w:pPr>
        <w:pStyle w:val="TextoNormal"/>
      </w:pPr>
    </w:p>
    <w:p w:rsidR="00AC56D6" w:rsidRDefault="00AC56D6" w:rsidP="00AC56D6">
      <w:pPr>
        <w:pStyle w:val="TextoNormal"/>
      </w:pPr>
      <w:r>
        <w:t>Por su parte, el art. 28 modifica la anterior normativa reguladora de todo tipo de actividades de promoción de ventas, es decir, rebajas, saldos, liquidaciones o cualquier otra oferta promocional destinada al incremento de las ventas. Para ello introduce importantes reformas en aquellos preceptos del título II de la Ley 7/1996, de 15 de enero, de ordenación del comercio minorista, que se refieren al régimen de promoción de ventas (arts. 18, 20, 25, 26, 27, 28 y 31).</w:t>
      </w:r>
    </w:p>
    <w:p w:rsidR="00AC56D6" w:rsidRDefault="00AC56D6" w:rsidP="00AC56D6">
      <w:pPr>
        <w:pStyle w:val="TextoNormal"/>
      </w:pPr>
    </w:p>
    <w:p w:rsidR="00AC56D6" w:rsidRDefault="00AC56D6" w:rsidP="00AC56D6">
      <w:pPr>
        <w:pStyle w:val="TextoNormal"/>
      </w:pPr>
      <w:r>
        <w:t xml:space="preserve">De acuerdo con la exposición de motivos del Real Decreto-ley 20/2012 “las medidas estructurales que acompañan a este paquete fiscal no son de menor trascendencia. Todas ellas tienen por fin último abrir nuevos mercados al sector privado y fomentar el desarrollo de la innovación y de nuevos servicios en sectores críticos para el crecimiento de la productividad y la reducción de costes empresariales”. Así, según la exposición de motivos, “el Gobierno ha considerado urgente adoptar también otras medidas que refuercen los elementos de competencia en el sector de la distribución minorista, que incrementen la competitividad del sector exterior español y que faciliten el acceso a la financiación de las empresas españolas”. Para ello, recuerda la exposición de motivos, el Real Decreto-ley recoge, en su título V, “un conjunto de medidas urgentes de carácter liberalizador en el ámbito de la distribución comercial y de fomento de la actividad en el sector exterior… La reducción de restricciones en este ámbito ha sido una recomendación reiterada de organismos internacionales como el Fondo Monetario Internacional y la Organización para la Cooperación y el Desarrollo Económicos. La ampliación de la libertad de horarios tendrá efectos positivos </w:t>
      </w:r>
      <w:r>
        <w:lastRenderedPageBreak/>
        <w:t>sobre la productividad y la eficiencia en la distribución comercial minorista y los precios y proporcionará a las empresas una nueva variable que permitirá incrementar la competencia efectiva entre los comercios. Asimismo, se incrementan las posibilidades de compra del consumidor y, en consecuencia, sus oportunidades de conciliación de la vida familiar y laboral”. Para la exposición de motivos, las medidas relativas a las actividades de promoción de ventas, es decir, rebajas, saldos, liquidaciones o cualquier otra oferta promocional destinada al incremento de las ventas pretenden “liberalizar el ejercicio de la actividad comercial, dando la posibilidad de realizar a un mismo tiempo y en un mismo establecimiento comercial cualquier tipo de actividad de promoción de ventas, de tal forma que las rebajas puedan convivir con los saldos u otras ofertas comerciales”.</w:t>
      </w:r>
    </w:p>
    <w:p w:rsidR="00AC56D6" w:rsidRDefault="00AC56D6" w:rsidP="00AC56D6">
      <w:pPr>
        <w:pStyle w:val="TextoNormal"/>
      </w:pPr>
    </w:p>
    <w:p w:rsidR="00AC56D6" w:rsidRDefault="00AC56D6" w:rsidP="00AC56D6">
      <w:pPr>
        <w:pStyle w:val="TextoNormal"/>
      </w:pPr>
      <w:r>
        <w:t>Por su parte, la justificación de la urgencia en la adopción las concretas medidas adoptadas, la realiza el Ministro de Hacienda y Administraciones públicas en el debate de convalidación, haciéndolo en los siguientes términos: “[e]l decreto-ley incorpora igualmente actuaciones de reformas estructurales, como es la liberalización de horarios comerciales y de rebajas para favorecer nuestro comercio exterior, para hacer más ágiles los instrumentos de financiación de nuestras exportaciones y nuestras inversiones en el exterior”.</w:t>
      </w:r>
    </w:p>
    <w:p w:rsidR="00AC56D6" w:rsidRDefault="00AC56D6" w:rsidP="00AC56D6">
      <w:pPr>
        <w:pStyle w:val="TextoNormal"/>
      </w:pPr>
    </w:p>
    <w:p w:rsidR="00AC56D6" w:rsidRDefault="00AC56D6" w:rsidP="00AC56D6">
      <w:pPr>
        <w:pStyle w:val="TextoNormal"/>
      </w:pPr>
      <w:r>
        <w:t>A la alegación de la recurrente de que la coyuntura económica problemática carece de la nota de imprevisibilidad, pues responde a una situación de crisis económica internacional que se prolonga desde hace años, se hace necesario contraponer la doctrina de este Tribunal que considera que “la valoración de la extraordinaria y urgente necesidad de una medida puede ser independiente de su imprevisibilidad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 (STC 11/2002, de 17 de enero, FJ 6).</w:t>
      </w:r>
    </w:p>
    <w:p w:rsidR="00AC56D6" w:rsidRDefault="00AC56D6" w:rsidP="00AC56D6">
      <w:pPr>
        <w:pStyle w:val="TextoNormal"/>
      </w:pPr>
    </w:p>
    <w:p w:rsidR="00AC56D6" w:rsidRDefault="00AC56D6" w:rsidP="00AC56D6">
      <w:pPr>
        <w:pStyle w:val="TextoNormal"/>
      </w:pPr>
      <w:r>
        <w:t>A la vista de las razones señaladas, tanto en la exposición de motivos de la norma cuestionada como en el debate parlamentario de convalidación, con relación al primero de los requisitos citados para la utilización del vehículo normativo en que consiste el decreto-ley, a saber, que se explicite y razone de forma suficiente la existencia de una situación de “extraordinaria y urgente necesidad”, debemos concluir, sin necesidad de efectuar un juicio político que este Tribunal tiene vedado —pues no debemos olvidar que “el control que compete al Tribunal Constitucional en este punto es un control externo, en el sentido de que debe verificar, pero no sustituir, el juicio político o de oportunidad que corresponde al Gobierno y al Congreso de los Diputados en el ejercicio de la función de control parlamentario (art. 86.2 CE)” (STC 182/1997, de 28 de octubre, FJ 3)—, que, en relación con los arts. 27 y 28 del Real Decreto-ley impugnados se ha cumplido con el mismo, en tanto que dicha urgencia ha sido claramente explicitada por referencia a la concreta coyuntura económica y a la necesidad de propiciar el crecimiento de la productividad y la competencia.</w:t>
      </w:r>
    </w:p>
    <w:p w:rsidR="00AC56D6" w:rsidRDefault="00AC56D6" w:rsidP="00AC56D6">
      <w:pPr>
        <w:pStyle w:val="TextoNormal"/>
      </w:pPr>
    </w:p>
    <w:p w:rsidR="00AC56D6" w:rsidRDefault="00AC56D6" w:rsidP="00AC56D6">
      <w:pPr>
        <w:pStyle w:val="TextoNormal"/>
      </w:pPr>
      <w:r>
        <w:t xml:space="preserve">Constatado lo anterior, debemos subrayar que el recurso planteado niega igualmente la conexión de sentido entre la situación de necesidad definida en la norma del Gobierno y las medidas que en el Real Decreto-ley se adoptan. De acuerdo con el escrito de la recurrente, las medidas adoptadas no tienen eficacia inmediata, pues la disposición transitoria decimocuarta del Real Decreto-ley, en conexión con la disposición final tercera del mismo, difiere </w:t>
      </w:r>
      <w:r>
        <w:lastRenderedPageBreak/>
        <w:t>la aplicación del nuevo régimen de apertura de los establecimientos comerciales en domingos y festivos, introducido por el art. 27, al 1 de enero de 2013, lo que, según la recurrente, evidencia la inexistencia de conexión entre la situación de urgencia que se invoca y las medidas que se aprueban para dar respuesta a la misma, pues, según refiere, se trata de medidas que no modifican de manera instantánea la situación jurídica existente, por lo que habrían podido ser introducidas mediante el procedimiento legislativo correspondiente tramitado en las Cortes Generales.</w:t>
      </w:r>
    </w:p>
    <w:p w:rsidR="00AC56D6" w:rsidRDefault="00AC56D6" w:rsidP="00AC56D6">
      <w:pPr>
        <w:pStyle w:val="TextoNormal"/>
      </w:pPr>
    </w:p>
    <w:p w:rsidR="00AC56D6" w:rsidRDefault="00AC56D6" w:rsidP="00AC56D6">
      <w:pPr>
        <w:pStyle w:val="TextoNormal"/>
      </w:pPr>
      <w:r>
        <w:t>Frente a lo alegado en el recurso, no cabe sino constatar la conexión de sentido de las medidas adoptadas con la situación de urgencia apreciada por el Gobierno en lo que se refiere a la nueva regulación establecida por el art. 27, apartados 1 y 3, del Real Decreto-ley 20/2012, tanto en lo relativo a la materia del horario global semanal (art. 3 y disposición adicional primera de la Ley 1/2004, de 21 de diciembre) como de los establecimientos comerciales a los que se reconoce un régimen especial de libertad horaria (art. 5 de la Ley 1/2004, de 21 de diciembre), pues su entrada en vigor no ha quedado aplazada y cabe considerar que, de acuerdo al control externo que compete a este Tribunal Constitucional, las medidas buscan propiciar el crecimiento de la productividad y la competencia.</w:t>
      </w:r>
    </w:p>
    <w:p w:rsidR="00AC56D6" w:rsidRDefault="00AC56D6" w:rsidP="00AC56D6">
      <w:pPr>
        <w:pStyle w:val="TextoNormal"/>
      </w:pPr>
    </w:p>
    <w:p w:rsidR="00AC56D6" w:rsidRDefault="00AC56D6" w:rsidP="00AC56D6">
      <w:pPr>
        <w:pStyle w:val="TextoNormal"/>
      </w:pPr>
      <w:r>
        <w:t>Igualmente, debemos apreciar la conexión de sentido con la situación de urgencia referida de la regulación contenida en el art. 27.2 del Real Decreto-ley 20/2012, relativa al número de domingos y días festivos en que los comercios podrán abrir al público (art. 4 de la Ley 1/2004, de 21 de diciembre) cuya entrada en vigor, ciertamente, ha quedado deferida al 1 de enero de 2013, al establecer la disposición transitoria decimocuarta del Real Decreto-ley que “continuarán vigentes, hasta el 31 de diciembre de 2012, los calendarios de domingos y festivos, ya aprobados, en que los comercios podrán permanecer abiertos al público” e indicar la disposición final tercera del Real Decreto-ley que “desde la entrada en vigor de este real decreto-ley, las Comunidades Autónomas pondrán en marcha los procedimientos necesarios para adaptar los calendarios de domingos y festivos en que los comercios podrán permanecer abiertos al público, a partir de 2013”.</w:t>
      </w:r>
    </w:p>
    <w:p w:rsidR="00AC56D6" w:rsidRDefault="00AC56D6" w:rsidP="00AC56D6">
      <w:pPr>
        <w:pStyle w:val="TextoNormal"/>
      </w:pPr>
    </w:p>
    <w:p w:rsidR="00AC56D6" w:rsidRDefault="00AC56D6" w:rsidP="00AC56D6">
      <w:pPr>
        <w:pStyle w:val="TextoNormal"/>
      </w:pPr>
      <w:r>
        <w:t>En efecto, el régimen de entrada en vigor aplazado, responde a la necesidad de que las Comunidades Autónomas dispongan de un margen temporal cierto para poner en marcha los procedimientos necesarios para adaptar los calendarios de domingos y festivos del año 2013, pues precisamente el precepto impugnado otorga a aquellas un margen de desarrollo normativo cuando, tras establecer en la nueva redacción del apartado 1 del art. 4 de la Ley 1/2004, que “el número mínimo de domingos y días festivos en los que los comercios podrán permanecer abiertos al público será de dieciséis” habilita en el modificado texto del apartado 2 del art. 4 de la citada Ley 1/2004 a las Comunidades Autónomas a “modificar dicho número en atención a sus necesidades comerciales, incrementándolo o reduciéndolo, sin que en ningún caso se pueda limitar por debajo de diez el número mínimo de domingos y festivos de apertura autorizada”; y, en todo caso, en la nueva redacción del apartado 4 del art. 4 de la Ley 1/2004, atribuye a las Comunidades Autónomas “la determinación de los domingos o días festivos en los que podrán permanecer abiertos al público los comercios, con el mínimo anual antes señalado”.</w:t>
      </w:r>
    </w:p>
    <w:p w:rsidR="00AC56D6" w:rsidRDefault="00AC56D6" w:rsidP="00AC56D6">
      <w:pPr>
        <w:pStyle w:val="TextoNormal"/>
      </w:pPr>
    </w:p>
    <w:p w:rsidR="00AC56D6" w:rsidRDefault="00AC56D6" w:rsidP="00AC56D6">
      <w:pPr>
        <w:pStyle w:val="TextoNormal"/>
      </w:pPr>
      <w:r>
        <w:t xml:space="preserve">Así, este Tribunal ha considerado que “lo verdaderamente importante, desde el punto de vista constitucional, es que el Decreto-ley produzca una innovación normativa efectiva, y no que el régimen jurídico introducido a través del mismo sea completo o definitivo (STC </w:t>
      </w:r>
      <w:r>
        <w:lastRenderedPageBreak/>
        <w:t>332/2005, de 15 de diciembre, FJ 7)”. Pues bien, aplicando esta doctrina al presente caso, resulta evidente que la remisión que se realiza en el Real Decreto-ley 20/2012 al desarrollo por parte de las Comunidades Autónomas de la materia, constituye un claro ejemplo de complemento normativo indispensable de las bases del Estado por las normas autonómicas de desarrollo. También hay que tener en cuenta que la propia habilitación a las Comunidades Autónomas está temporalmente limitada, pues, de acuerdo con la disposición final tercera del Real Decreto-ley 20/2012 “desde la entrada en vigor de este real decreto-ley, las Comunidades Autónomas pondrán en marcha los procedimientos necesarios para adaptar los calendarios de domingos y festivos en que los comercios podrán permanecer abiertos al público, a partir de 2013”.</w:t>
      </w:r>
    </w:p>
    <w:p w:rsidR="00AC56D6" w:rsidRDefault="00AC56D6" w:rsidP="00AC56D6">
      <w:pPr>
        <w:pStyle w:val="TextoNormal"/>
      </w:pPr>
    </w:p>
    <w:p w:rsidR="00AC56D6" w:rsidRDefault="00AC56D6" w:rsidP="00AC56D6">
      <w:pPr>
        <w:pStyle w:val="TextoNormal"/>
      </w:pPr>
      <w:r>
        <w:t>Hemos de concluir que, en el caso de la regulación del número de domingos y días festivos en que los comercios podrán abrir al público (art. 4 de la Ley 1/2004, de 21 de diciembre), la necesidad de dar un plazo a las Comunidades Autónomas para que adopten medidas tendentes al desarrollo y aplicación de la medida adoptada permite apreciar la existencia de la situación habilitante requerida por el art. 86.1 CE, pues hay una conexión de sentido entre la situación de urgencia, en los términos en los que dicha urgencia fue entendida por el Gobierno, y la medida adoptada para afrontarla, esto es, la necesaria adecuación entre las medidas impugnadas y la situación de urgencia a la que se desea hacer frente con las mismas, lo que, en conclusión, determina es que la utilización de la figura del decreto-ley para normar la regulación del número de domingos y días festivos en que los comercios podrán abrir al público no constituye un supuesto de uso abusivo y arbitrario de esa figura.</w:t>
      </w:r>
    </w:p>
    <w:p w:rsidR="00AC56D6" w:rsidRDefault="00AC56D6" w:rsidP="00AC56D6">
      <w:pPr>
        <w:pStyle w:val="TextoNormal"/>
      </w:pPr>
    </w:p>
    <w:p w:rsidR="00AC56D6" w:rsidRDefault="00AC56D6" w:rsidP="00AC56D6">
      <w:pPr>
        <w:pStyle w:val="TextoNormal"/>
      </w:pPr>
      <w:r>
        <w:t>Finalmente, se produce, asimismo, tal conexión de sentido en relación con las medidas recogidas en el art. 28, apartados 1 a 7, del Real Decreto-ley 20/2012, en cuanto modifican el régimen vigente para todo tipo de actividades de promoción de ventas, es decir, rebajas, saldos, liquidaciones o cualquier otra oferta promocional destinada al incremento de las ventas (arts. 18, 20, 25, 26, 27, 28 y 31 de la Ley 7/1996, de 15 de enero), pues su entrada en vigor es inmediata y las medidas buscan propiciar el crecimiento de la productividad y la competencia.</w:t>
      </w:r>
    </w:p>
    <w:p w:rsidR="00AC56D6" w:rsidRDefault="00AC56D6" w:rsidP="00AC56D6">
      <w:pPr>
        <w:pStyle w:val="TextoNormal"/>
      </w:pPr>
    </w:p>
    <w:p w:rsidR="00AC56D6" w:rsidRDefault="00AC56D6" w:rsidP="00AC56D6">
      <w:pPr>
        <w:pStyle w:val="TextoNormal"/>
      </w:pPr>
      <w:r>
        <w:t>En suma, a la vista de las circunstancias y las razones expuestas, debemos concluir que, en relación con los arts. 27 y 28 del Real Decreto-ley 20/2012, el Gobierno ha aportado una justificación bastante que permite apreciar la concurrencia del presupuesto habilitante requerido, por lo que no cabe, tampoco, considerar vulnerado el citado precepto (art. 86.1 CE).</w:t>
      </w:r>
    </w:p>
    <w:p w:rsidR="00AC56D6" w:rsidRDefault="00AC56D6" w:rsidP="00AC56D6">
      <w:pPr>
        <w:pStyle w:val="TextoNormal"/>
      </w:pPr>
    </w:p>
    <w:p w:rsidR="00AC56D6" w:rsidRDefault="00AC56D6" w:rsidP="00AC56D6">
      <w:pPr>
        <w:pStyle w:val="TextoNormal"/>
      </w:pPr>
      <w:r w:rsidRPr="00AC56D6">
        <w:rPr>
          <w:rStyle w:val="NumeroAFNegritaCaracter"/>
        </w:rPr>
        <w:t>7</w:t>
      </w:r>
      <w:r>
        <w:t>. Una vez hemos descartado que los preceptos impugnados hayan vulnerado el art. 86.1 CE, debemos examinar la controversia competencial planteada en relación con los arts. 8 y 27 del Real Decreto-ley 20/2012. Para ello, debemos ahora examinar por separado las diferentes materias reguladas por los preceptos impugnados.</w:t>
      </w:r>
    </w:p>
    <w:p w:rsidR="00AC56D6" w:rsidRDefault="00AC56D6" w:rsidP="00AC56D6">
      <w:pPr>
        <w:pStyle w:val="TextoNormal"/>
      </w:pPr>
    </w:p>
    <w:p w:rsidR="00AC56D6" w:rsidRDefault="00AC56D6" w:rsidP="00AC56D6">
      <w:pPr>
        <w:pStyle w:val="TextoNormal"/>
      </w:pPr>
      <w:r>
        <w:t>El recurso del Consejo de Gobierno de la Junta de Andalucía considera, en primer lugar, que el art. 8 del Real Decreto-ley 20/2012 es inconstitucional por vulnerar las competencias autonómicas en materia de función pública contenidas en los arts. 47.2.1 y 76.1 EAAnd, y excederse del título competencial estatal consignado en el art. 149.1.18 CE.</w:t>
      </w:r>
    </w:p>
    <w:p w:rsidR="00AC56D6" w:rsidRDefault="00AC56D6" w:rsidP="00AC56D6">
      <w:pPr>
        <w:pStyle w:val="TextoNormal"/>
      </w:pPr>
    </w:p>
    <w:p w:rsidR="00AC56D6" w:rsidRDefault="00AC56D6" w:rsidP="00AC56D6">
      <w:pPr>
        <w:pStyle w:val="TextoNormal"/>
      </w:pPr>
      <w:r>
        <w:lastRenderedPageBreak/>
        <w:t>Para el representante del Gobierno de la Nación, el Estado es competente para fijar el régimen común de derechos de los empleados públicos para todo el territorio nacional (art. 149.1.18 CE), máxime si ello afecta a la perspectiva del control del déficit y de la garantía de la estabilidad presupuestaria (art. 149.1.13 CE).</w:t>
      </w:r>
    </w:p>
    <w:p w:rsidR="00AC56D6" w:rsidRDefault="00AC56D6" w:rsidP="00AC56D6">
      <w:pPr>
        <w:pStyle w:val="TextoNormal"/>
      </w:pPr>
    </w:p>
    <w:p w:rsidR="00AC56D6" w:rsidRDefault="00AC56D6" w:rsidP="00AC56D6">
      <w:pPr>
        <w:pStyle w:val="TextoNormal"/>
      </w:pPr>
      <w:r>
        <w:t>El recurso del Consejo de Gobierno andaluz destaca, en segundo término, que el art. 27 del Real Decreto-ley 20/2012 es inconstitucional por vulnerar las competencias autonómicas en materia de comercio contenidas en el art. 58.1.1 EAAnd, excediéndose del título competencial estatal consignado en el art. 149.1.13 CE.</w:t>
      </w:r>
    </w:p>
    <w:p w:rsidR="00AC56D6" w:rsidRDefault="00AC56D6" w:rsidP="00AC56D6">
      <w:pPr>
        <w:pStyle w:val="TextoNormal"/>
      </w:pPr>
    </w:p>
    <w:p w:rsidR="00AC56D6" w:rsidRDefault="00AC56D6" w:rsidP="00AC56D6">
      <w:pPr>
        <w:pStyle w:val="TextoNormal"/>
      </w:pPr>
      <w:r>
        <w:t>En cambio, para el Abogado del Estado el art. 27 del Real Decreto-ley impugnado se justifica en el título estatal recogido en el art. 149.1.13 CE, sin que la concreta regulación haya agotado la materia, permitiendo así que, dentro de las bases establecidas, las Comunidades Autónomas puedan optar por establecer grados superiores de libertad de horarios comerciales.</w:t>
      </w:r>
    </w:p>
    <w:p w:rsidR="00AC56D6" w:rsidRDefault="00AC56D6" w:rsidP="00AC56D6">
      <w:pPr>
        <w:pStyle w:val="TextoNormal"/>
      </w:pPr>
    </w:p>
    <w:p w:rsidR="00AC56D6" w:rsidRDefault="00AC56D6" w:rsidP="00AC56D6">
      <w:pPr>
        <w:pStyle w:val="TextoNormal"/>
      </w:pPr>
      <w:r w:rsidRPr="00AC56D6">
        <w:rPr>
          <w:rStyle w:val="NumeroAFNegritaCaracter"/>
        </w:rPr>
        <w:t>8</w:t>
      </w:r>
      <w:r>
        <w:t>. Un vez delimitadas las posiciones de ambas partes, procede, en primer lugar, enjuiciar la controversia competencial que se plantea en relación al art. 8 del Real Decreto-ley 20/2012, que, recordemos, tiene por objeto la regulación de los permisos y vacaciones de los funcionarios públicos.</w:t>
      </w:r>
    </w:p>
    <w:p w:rsidR="00AC56D6" w:rsidRDefault="00AC56D6" w:rsidP="00AC56D6">
      <w:pPr>
        <w:pStyle w:val="TextoNormal"/>
      </w:pPr>
    </w:p>
    <w:p w:rsidR="00AC56D6" w:rsidRDefault="00AC56D6" w:rsidP="00AC56D6">
      <w:pPr>
        <w:pStyle w:val="TextoNormal"/>
      </w:pPr>
      <w:r>
        <w:t>A tal fin, hemos de partir del texto del precepto impugnado. El art. 8 del Real Decreto-ley 20/2012 da una nueva redacción a los arts. 48 y 50 de la Ley 7/2007, de 12 de abril, del estatuto básico del empleado público:</w:t>
      </w:r>
    </w:p>
    <w:p w:rsidR="00AC56D6" w:rsidRDefault="00AC56D6" w:rsidP="00AC56D6">
      <w:pPr>
        <w:pStyle w:val="TextoNormal"/>
      </w:pPr>
    </w:p>
    <w:p w:rsidR="00AC56D6" w:rsidRDefault="00AC56D6" w:rsidP="00AC56D6">
      <w:pPr>
        <w:pStyle w:val="TextoNormal"/>
      </w:pPr>
      <w:r>
        <w:t>“Uno. Se modifica el art. 48 de la Ley 7/2007, de 12 de abril, del Estatuto Básico del Empleado Público en los siguientes términos:</w:t>
      </w:r>
    </w:p>
    <w:p w:rsidR="00AC56D6" w:rsidRDefault="00AC56D6" w:rsidP="00AC56D6">
      <w:pPr>
        <w:pStyle w:val="TextoNormal"/>
      </w:pPr>
    </w:p>
    <w:p w:rsidR="00AC56D6" w:rsidRDefault="00AC56D6" w:rsidP="00AC56D6">
      <w:pPr>
        <w:pStyle w:val="TextoNormal"/>
      </w:pPr>
      <w:r>
        <w:t>‘Artículo. 48. Permisos de los funcionarios públicos.</w:t>
      </w:r>
    </w:p>
    <w:p w:rsidR="00AC56D6" w:rsidRDefault="00AC56D6" w:rsidP="00AC56D6">
      <w:pPr>
        <w:pStyle w:val="TextoNormal"/>
      </w:pPr>
    </w:p>
    <w:p w:rsidR="00AC56D6" w:rsidRDefault="00AC56D6" w:rsidP="00AC56D6">
      <w:pPr>
        <w:pStyle w:val="TextoNormal"/>
      </w:pPr>
      <w:r>
        <w:t>Los funcionarios públicos tendrán los siguientes permisos:</w:t>
      </w:r>
    </w:p>
    <w:p w:rsidR="00AC56D6" w:rsidRDefault="00AC56D6" w:rsidP="00AC56D6">
      <w:pPr>
        <w:pStyle w:val="TextoNormal"/>
      </w:pPr>
    </w:p>
    <w:p w:rsidR="00AC56D6" w:rsidRDefault="00AC56D6" w:rsidP="00AC56D6">
      <w:pPr>
        <w:pStyle w:val="TextoNormal"/>
      </w:pPr>
      <w:r>
        <w:t>a) Por fallecimiento, accidente o enfermedad grave de un familiar dentro del primer grado de consanguinidad o afinidad, tres días hábiles cuando el suceso se produzca en la misma localidad, y cinco días hábiles cuando sea en distinta localidad.</w:t>
      </w:r>
    </w:p>
    <w:p w:rsidR="00AC56D6" w:rsidRDefault="00AC56D6" w:rsidP="00AC56D6">
      <w:pPr>
        <w:pStyle w:val="TextoNormal"/>
      </w:pPr>
    </w:p>
    <w:p w:rsidR="00AC56D6" w:rsidRDefault="00AC56D6" w:rsidP="00AC56D6">
      <w:pPr>
        <w:pStyle w:val="TextoNormal"/>
      </w:pPr>
      <w:r>
        <w:t>Cuando se trate del fallecimiento, accidente o enfermedad grave de un familiar dentro del segundo grado de consanguinidad o afinidad, el permiso será de dos días hábiles cuando se produzca en la misma localidad y de cuatro días hábiles cuando sea en distinta localidad.</w:t>
      </w:r>
    </w:p>
    <w:p w:rsidR="00AC56D6" w:rsidRDefault="00AC56D6" w:rsidP="00AC56D6">
      <w:pPr>
        <w:pStyle w:val="TextoNormal"/>
      </w:pPr>
    </w:p>
    <w:p w:rsidR="00AC56D6" w:rsidRDefault="00AC56D6" w:rsidP="00AC56D6">
      <w:pPr>
        <w:pStyle w:val="TextoNormal"/>
      </w:pPr>
      <w:r>
        <w:t>b) Por traslado de domicilio sin cambio de residencia, un día.</w:t>
      </w:r>
    </w:p>
    <w:p w:rsidR="00AC56D6" w:rsidRDefault="00AC56D6" w:rsidP="00AC56D6">
      <w:pPr>
        <w:pStyle w:val="TextoNormal"/>
      </w:pPr>
    </w:p>
    <w:p w:rsidR="00AC56D6" w:rsidRDefault="00AC56D6" w:rsidP="00AC56D6">
      <w:pPr>
        <w:pStyle w:val="TextoNormal"/>
      </w:pPr>
      <w:r>
        <w:t>c) Para realizar funciones sindicales o de representación del personal, en los términos que se determine.</w:t>
      </w:r>
    </w:p>
    <w:p w:rsidR="00AC56D6" w:rsidRDefault="00AC56D6" w:rsidP="00AC56D6">
      <w:pPr>
        <w:pStyle w:val="TextoNormal"/>
      </w:pPr>
    </w:p>
    <w:p w:rsidR="00AC56D6" w:rsidRDefault="00AC56D6" w:rsidP="00AC56D6">
      <w:pPr>
        <w:pStyle w:val="TextoNormal"/>
      </w:pPr>
      <w:r>
        <w:t>d) Para concurrir a exámenes finales y demás pruebas definitivas de aptitud, durante los días de su celebración.</w:t>
      </w:r>
    </w:p>
    <w:p w:rsidR="00AC56D6" w:rsidRDefault="00AC56D6" w:rsidP="00AC56D6">
      <w:pPr>
        <w:pStyle w:val="TextoNormal"/>
      </w:pPr>
    </w:p>
    <w:p w:rsidR="00AC56D6" w:rsidRDefault="00AC56D6" w:rsidP="00AC56D6">
      <w:pPr>
        <w:pStyle w:val="TextoNormal"/>
      </w:pPr>
      <w:r>
        <w:lastRenderedPageBreak/>
        <w:t>e) Para la realización de exámenes prenatales y técnicas de preparación al parto por las funcionarias embarazadas.</w:t>
      </w:r>
    </w:p>
    <w:p w:rsidR="00AC56D6" w:rsidRDefault="00AC56D6" w:rsidP="00AC56D6">
      <w:pPr>
        <w:pStyle w:val="TextoNormal"/>
      </w:pPr>
    </w:p>
    <w:p w:rsidR="00AC56D6" w:rsidRDefault="00AC56D6" w:rsidP="00AC56D6">
      <w:pPr>
        <w:pStyle w:val="TextoNormal"/>
      </w:pPr>
      <w:r>
        <w:t>f) Por lactancia de un hijo menor de doce meses tendrá derecho a una hora de ausencia del trabajo que podrá dividir en dos fracciones. Este derecho podrá sustituirse por una reducción de la jornada normal en media hora al inicio y al final de la jornada o, en una hora al inicio o al final de la jornada, con la misma finalidad. Este derecho podrá ser ejercido indistintamente por uno u otro de los progenitores, en el caso de que ambos trabajen.</w:t>
      </w:r>
    </w:p>
    <w:p w:rsidR="00AC56D6" w:rsidRDefault="00AC56D6" w:rsidP="00AC56D6">
      <w:pPr>
        <w:pStyle w:val="TextoNormal"/>
      </w:pPr>
    </w:p>
    <w:p w:rsidR="00AC56D6" w:rsidRDefault="00AC56D6" w:rsidP="00AC56D6">
      <w:pPr>
        <w:pStyle w:val="TextoNormal"/>
      </w:pPr>
      <w:r>
        <w:t>Igualmente la funcionaria podrá solicitar la sustitución del tiempo de lactancia por un permiso retribuido que acumule en jornadas completas el tiempo correspondiente.</w:t>
      </w:r>
    </w:p>
    <w:p w:rsidR="00AC56D6" w:rsidRDefault="00AC56D6" w:rsidP="00AC56D6">
      <w:pPr>
        <w:pStyle w:val="TextoNormal"/>
      </w:pPr>
    </w:p>
    <w:p w:rsidR="00AC56D6" w:rsidRDefault="00AC56D6" w:rsidP="00AC56D6">
      <w:pPr>
        <w:pStyle w:val="TextoNormal"/>
      </w:pPr>
      <w:r>
        <w:t>Este permiso se incrementará proporcionalmente en los casos de parto múltiple.</w:t>
      </w:r>
    </w:p>
    <w:p w:rsidR="00AC56D6" w:rsidRDefault="00AC56D6" w:rsidP="00AC56D6">
      <w:pPr>
        <w:pStyle w:val="TextoNormal"/>
      </w:pPr>
    </w:p>
    <w:p w:rsidR="00AC56D6" w:rsidRDefault="00AC56D6" w:rsidP="00AC56D6">
      <w:pPr>
        <w:pStyle w:val="TextoNormal"/>
      </w:pPr>
      <w:r>
        <w:t>g) Por nacimiento de hijos prematuros o que por cualquier otra causa deban permanecer hospitalizados a continuación del parto, la funcionaria o el funcionario tendrá derecho a ausentarse del trabajo durante un máximo de dos horas diarias percibiendo las retribuciones íntegras.</w:t>
      </w:r>
    </w:p>
    <w:p w:rsidR="00AC56D6" w:rsidRDefault="00AC56D6" w:rsidP="00AC56D6">
      <w:pPr>
        <w:pStyle w:val="TextoNormal"/>
      </w:pPr>
    </w:p>
    <w:p w:rsidR="00AC56D6" w:rsidRDefault="00AC56D6" w:rsidP="00AC56D6">
      <w:pPr>
        <w:pStyle w:val="TextoNormal"/>
      </w:pPr>
      <w:r>
        <w:t>Asimismo, tendrán derecho a reducir su jornada de trabajo hasta un máximo de dos horas, con la disminución proporcional de sus retribuciones.</w:t>
      </w:r>
    </w:p>
    <w:p w:rsidR="00AC56D6" w:rsidRDefault="00AC56D6" w:rsidP="00AC56D6">
      <w:pPr>
        <w:pStyle w:val="TextoNormal"/>
      </w:pPr>
    </w:p>
    <w:p w:rsidR="00AC56D6" w:rsidRDefault="00AC56D6" w:rsidP="00AC56D6">
      <w:pPr>
        <w:pStyle w:val="TextoNormal"/>
      </w:pPr>
      <w:r>
        <w:t>h) Por razones de guarda legal, cuando el funcionario tenga el cuidado directo de algún menor de doce años, de persona mayor que requiera especial dedicación, o de una persona con discapacidad que no desempeñe actividad retribuida, tendrá derecho a la reducción de su jornada de trabajo, con la disminución de sus retribuciones que corresponda.</w:t>
      </w:r>
    </w:p>
    <w:p w:rsidR="00AC56D6" w:rsidRDefault="00AC56D6" w:rsidP="00AC56D6">
      <w:pPr>
        <w:pStyle w:val="TextoNormal"/>
      </w:pPr>
    </w:p>
    <w:p w:rsidR="00AC56D6" w:rsidRDefault="00AC56D6" w:rsidP="00AC56D6">
      <w:pPr>
        <w:pStyle w:val="TextoNormal"/>
      </w:pPr>
      <w:r>
        <w:t>Tendrá el mismo derecho el funcionario que precise encargarse del cuidado directo de un familiar, hasta el segundo grado de consanguinidad o afinidad, que por razones de edad, accidente o enfermedad no pueda valerse por sí mismo y que no desempeñe actividad retribuida.</w:t>
      </w:r>
    </w:p>
    <w:p w:rsidR="00AC56D6" w:rsidRDefault="00AC56D6" w:rsidP="00AC56D6">
      <w:pPr>
        <w:pStyle w:val="TextoNormal"/>
      </w:pPr>
    </w:p>
    <w:p w:rsidR="00AC56D6" w:rsidRDefault="00AC56D6" w:rsidP="00AC56D6">
      <w:pPr>
        <w:pStyle w:val="TextoNormal"/>
      </w:pPr>
      <w:r>
        <w:t>i) Por ser preciso atender el cuidado de un familiar de primer grado, el funcionario tendrá derecho a solicitar una reducción de hasta el cincuenta por ciento de la jornada laboral, con carácter retribuido, por razones de enfermedad muy grave y por el plazo máximo de un mes.</w:t>
      </w:r>
    </w:p>
    <w:p w:rsidR="00AC56D6" w:rsidRDefault="00AC56D6" w:rsidP="00AC56D6">
      <w:pPr>
        <w:pStyle w:val="TextoNormal"/>
      </w:pPr>
    </w:p>
    <w:p w:rsidR="00AC56D6" w:rsidRDefault="00AC56D6" w:rsidP="00AC56D6">
      <w:pPr>
        <w:pStyle w:val="TextoNormal"/>
      </w:pPr>
      <w:r>
        <w:t>Si hubiera más de un titular de este derecho por el mismo hecho causante, el tiempo de disfrute de esta reducción se podrá prorratear entre los mismos, respetando en todo caso, el plazo máximo de un mes.</w:t>
      </w:r>
    </w:p>
    <w:p w:rsidR="00AC56D6" w:rsidRDefault="00AC56D6" w:rsidP="00AC56D6">
      <w:pPr>
        <w:pStyle w:val="TextoNormal"/>
      </w:pPr>
    </w:p>
    <w:p w:rsidR="00AC56D6" w:rsidRDefault="00AC56D6" w:rsidP="00AC56D6">
      <w:pPr>
        <w:pStyle w:val="TextoNormal"/>
      </w:pPr>
      <w:r>
        <w:t>j) Por tiempo indispensable para el cumplimiento de un deber inexcusable de carácter público o personal y por deberes relacionados con la conciliación de la vida familiar y laboral.</w:t>
      </w:r>
    </w:p>
    <w:p w:rsidR="00AC56D6" w:rsidRDefault="00AC56D6" w:rsidP="00AC56D6">
      <w:pPr>
        <w:pStyle w:val="TextoNormal"/>
      </w:pPr>
    </w:p>
    <w:p w:rsidR="00AC56D6" w:rsidRDefault="00AC56D6" w:rsidP="00AC56D6">
      <w:pPr>
        <w:pStyle w:val="TextoNormal"/>
      </w:pPr>
      <w:r>
        <w:t>k) Por asuntos particulares, tres días.</w:t>
      </w:r>
    </w:p>
    <w:p w:rsidR="00AC56D6" w:rsidRDefault="00AC56D6" w:rsidP="00AC56D6">
      <w:pPr>
        <w:pStyle w:val="TextoNormal"/>
      </w:pPr>
    </w:p>
    <w:p w:rsidR="00AC56D6" w:rsidRDefault="00AC56D6" w:rsidP="00AC56D6">
      <w:pPr>
        <w:pStyle w:val="TextoNormal"/>
      </w:pPr>
      <w:r>
        <w:t>l) Por matrimonio, quince días.’</w:t>
      </w:r>
    </w:p>
    <w:p w:rsidR="00AC56D6" w:rsidRDefault="00AC56D6" w:rsidP="00AC56D6">
      <w:pPr>
        <w:pStyle w:val="TextoNormal"/>
      </w:pPr>
    </w:p>
    <w:p w:rsidR="00AC56D6" w:rsidRDefault="00AC56D6" w:rsidP="00AC56D6">
      <w:pPr>
        <w:pStyle w:val="TextoNormal"/>
      </w:pPr>
      <w:r>
        <w:lastRenderedPageBreak/>
        <w:t>Dos. Se modifica el artículo 50 de la Ley 7/2007, de 12 de abril, del Estatuto Básico del Empleado Público que queda redactado de la siguiente manera:</w:t>
      </w:r>
    </w:p>
    <w:p w:rsidR="00AC56D6" w:rsidRDefault="00AC56D6" w:rsidP="00AC56D6">
      <w:pPr>
        <w:pStyle w:val="TextoNormal"/>
      </w:pPr>
    </w:p>
    <w:p w:rsidR="00AC56D6" w:rsidRDefault="00AC56D6" w:rsidP="00AC56D6">
      <w:pPr>
        <w:pStyle w:val="TextoNormal"/>
      </w:pPr>
      <w:r>
        <w:t>‘Artículo 50. Vacaciones de los funcionarios públicos.</w:t>
      </w:r>
    </w:p>
    <w:p w:rsidR="00AC56D6" w:rsidRDefault="00AC56D6" w:rsidP="00AC56D6">
      <w:pPr>
        <w:pStyle w:val="TextoNormal"/>
      </w:pPr>
    </w:p>
    <w:p w:rsidR="00AC56D6" w:rsidRDefault="00AC56D6" w:rsidP="00AC56D6">
      <w:pPr>
        <w:pStyle w:val="TextoNormal"/>
      </w:pPr>
      <w:r>
        <w:t>Los funcionarios públicos tendrán derecho a disfrutar, durante cada año natural, de unas vacaciones retribuidas de veintidós días hábiles, o de los días que correspondan proporcionalmente si el tiempo de servicio durante el año fue menor.</w:t>
      </w:r>
    </w:p>
    <w:p w:rsidR="00AC56D6" w:rsidRDefault="00AC56D6" w:rsidP="00AC56D6">
      <w:pPr>
        <w:pStyle w:val="TextoNormal"/>
      </w:pPr>
    </w:p>
    <w:p w:rsidR="00AC56D6" w:rsidRDefault="00AC56D6" w:rsidP="00AC56D6">
      <w:pPr>
        <w:pStyle w:val="TextoNormal"/>
      </w:pPr>
      <w:r>
        <w:t>A los efectos de lo previsto en el presente artículo, no se considerarán como días hábiles los sábados, sin perjuicio de las adaptaciones que se establezcan para los horarios especiales.’</w:t>
      </w:r>
    </w:p>
    <w:p w:rsidR="00AC56D6" w:rsidRDefault="00AC56D6" w:rsidP="00AC56D6">
      <w:pPr>
        <w:pStyle w:val="TextoNormal"/>
      </w:pPr>
    </w:p>
    <w:p w:rsidR="00AC56D6" w:rsidRDefault="00AC56D6" w:rsidP="00AC56D6">
      <w:pPr>
        <w:pStyle w:val="TextoNormal"/>
      </w:pPr>
      <w:r>
        <w:t>Tres. Desde la entrada en vigor de este Real Decreto-ley, quedan suspendidos y sin efecto los Acuerdos, Pactos y Convenios para el personal funcionario y laboral, suscritos por las Administraciones Públicas y sus Organismos y Entidades, vinculados o dependientes de las mismas, en lo relativo al permiso por asuntos particulares, vacaciones y días adicionales a los de libre disposición o de similar naturaleza.”</w:t>
      </w:r>
    </w:p>
    <w:p w:rsidR="00AC56D6" w:rsidRDefault="00AC56D6" w:rsidP="00AC56D6">
      <w:pPr>
        <w:pStyle w:val="TextoNormal"/>
      </w:pPr>
    </w:p>
    <w:p w:rsidR="00AC56D6" w:rsidRDefault="00AC56D6" w:rsidP="00AC56D6">
      <w:pPr>
        <w:pStyle w:val="TextoNormal"/>
      </w:pPr>
      <w:r>
        <w:t>Debemos proceder, en primer lugar, a realizar el encuadramiento competencial de la materia que nos ocupa. De acuerdo con la disposición final cuarta del Real Decreto-ley 20/2012, el título I de la propia norma, en el que se insertan los preceptos a examinar y en lo que se refiere a los mencionados preceptos, tiene carácter básico en virtud de los arts. 149.1.13, 149.1.18 y 156.1 de la Constitución Española, que atribuyen al Estado la competencia para dictar las bases y coordinación de la planificación general de la actividad económica, así como de las bases del régimen jurídico de las Administraciones públicas.</w:t>
      </w:r>
    </w:p>
    <w:p w:rsidR="00AC56D6" w:rsidRDefault="00AC56D6" w:rsidP="00AC56D6">
      <w:pPr>
        <w:pStyle w:val="TextoNormal"/>
      </w:pPr>
    </w:p>
    <w:p w:rsidR="00AC56D6" w:rsidRDefault="00AC56D6" w:rsidP="00AC56D6">
      <w:pPr>
        <w:pStyle w:val="TextoNormal"/>
      </w:pPr>
      <w:r>
        <w:t>De la lectura de los concretos preceptos impugnados constatamos que, de los dos títulos competenciales enunciados, la materia regulada habremos de encuadrarla en la referida al régimen jurídico de los funcionarios públicos (art. 149.1.18 CE), puesto que los preceptos relativos a las vacaciones, licencias y permisos se configuran como derechos de los funcionarios públicos (así lo afirmamos en relación con los funcionarios de la Administración de Justicia en la STC 224/2012, de 29 de noviembre de 2012, FJ 11); cierto es que el precepto de referencia se enmarca en una norma de amplio contenido que, como se menciona en la exposición de motivos del Real Decreto-ley 20/2012, responde a la necesidad de hacer frente a las circunstancias económicas de crisis que padece nuestro país, adoptando medidas que tiendan a la racionalización del gasto de personal de las Administraciones públicas y a un mejor aprovechamiento de los recursos humanos y de personal de que disponen, pero tal justificación de alcance general no llega hasta el extremo de que el concreto precepto de referencia que ahora enjuiciamos pueda encontrar amparo en la competencia del Estado sobre bases y coordinación de la planificación general de la actividad económica (art. 149.1.13 CE), título en el que cabría fundamentar alguna de las disposiciones contenidas en el Real Decreto-ley 20/2012, pero no en la específica cuestión que ahora examinamos, pues, como veremos a continuación, aquel introduce una reforma que tiene vocación de permanencia en el régimen de permisos y vacaciones de los funcionarios públicos.</w:t>
      </w:r>
    </w:p>
    <w:p w:rsidR="00AC56D6" w:rsidRDefault="00AC56D6" w:rsidP="00AC56D6">
      <w:pPr>
        <w:pStyle w:val="TextoNormal"/>
      </w:pPr>
    </w:p>
    <w:p w:rsidR="00AC56D6" w:rsidRDefault="00AC56D6" w:rsidP="00AC56D6">
      <w:pPr>
        <w:pStyle w:val="TextoNormal"/>
      </w:pPr>
      <w:r>
        <w:t xml:space="preserve">En efecto, en el caso de la regulación sobre los permisos y vacaciones de los funcionarios públicos no se dan las razones que justifiquen el encuadre competencial de determinadas </w:t>
      </w:r>
      <w:r>
        <w:lastRenderedPageBreak/>
        <w:t>medidas de contención de gastos de personal vinculadas específicamente a la cuantificación y a la limitación de las retribuciones del personal al servicio de las Administraciones públicas en el título recogido en el art. 149.1.13 CE (motivos recogidos en la temprana STC 63/1986, de 21 de mayo, FJ 11, y reiterados luego en múltiples ocasiones). Así, si bien este Tribunal ha afirmado que “la cuantificación y la limitación de las retribuciones del personal al servicio de las Administraciones públicas no se integran, desde un punto de vista material, en el régimen estatutario de los funcionarios públicos … en primer lugar, porque dichas retribuciones, no sólo alcanzan a los funcionarios públicos, sino también a todo el personal al servicio del sector público; y, en segundo término, porque su carácter coyuntural y su eficacia limitada en el tiempo impiden integrarlas en la relación de servicio que delimita dicho régimen estatutario”, hay que tener en cuenta que ninguna de estas razones concurren en el presente supuesto, donde el régimen de permisos y vacaciones de los funcionarios públicos se ha regulado en el precepto impugnado con una vocación de permanencia y no meramente coyuntural, como era la que examinó la STC 63/1986 anteriormente citada, en la que se analizaba la medida transitoria de establecer un límite porcentual al incremento anual de las retribuciones de los funcionarios públicos de las distintas Administraciones fijado en la Ley de presupuestos generales del Estado para un año determinado.</w:t>
      </w:r>
    </w:p>
    <w:p w:rsidR="00AC56D6" w:rsidRDefault="00AC56D6" w:rsidP="00AC56D6">
      <w:pPr>
        <w:pStyle w:val="TextoNormal"/>
      </w:pPr>
    </w:p>
    <w:p w:rsidR="00AC56D6" w:rsidRDefault="00AC56D6" w:rsidP="00AC56D6">
      <w:pPr>
        <w:pStyle w:val="TextoNormal"/>
      </w:pPr>
      <w:r>
        <w:t>En el caso de autos, las medidas que se adoptan en materia de permisos y de vacaciones tienen un carácter estructural y permanente y no tratan de dar solución a una problemática transitoria, por lo que, con claridad, la nueva regulación de referencia responde al título competencial del Estado recogido en el art. 149.1.18 CE.</w:t>
      </w:r>
    </w:p>
    <w:p w:rsidR="00AC56D6" w:rsidRDefault="00AC56D6" w:rsidP="00AC56D6">
      <w:pPr>
        <w:pStyle w:val="TextoNormal"/>
      </w:pPr>
    </w:p>
    <w:p w:rsidR="00AC56D6" w:rsidRDefault="00AC56D6" w:rsidP="00AC56D6">
      <w:pPr>
        <w:pStyle w:val="TextoNormal"/>
      </w:pPr>
      <w:r>
        <w:t>Encuadrada, pues, la cuestión controvertida en la materia sobre el régimen estatutario de los funcionarios públicos, apreciamos que el sistema de distribución competencial que se deriva de las previsiones de la Constitución y del Estatuto de Autonomía de Andalucía sobre aquella se traduce en que en materia de función pública al Estado le corresponde, en virtud de lo establecido en el art. 149.1.18 CE, la competencia exclusiva para establecer las bases del régimen estatutario de los funcionarios públicos, expresión que ha de entenderse referida, como ha tenido ocasión de declarar el Tribunal Constitucional, a los funcionarios de todas las Administraciones públicas, debiendo, por consiguiente, entenderse incluidos en dicho título competencial tanto los funcionarios de la Administración del Estado como los de las Administraciones de las Comunidades Autónomas y los de las corporaciones locales (SSTC 57/1982, de 27 de julio, FJ 12; 25/1983, de 7 de abril, FJ 4; 76/1983, de 5 de agosto, FJ 44; 85/1985, de 10 de julio, FJ 1; 235/1991, de 12 de diciembre, FJ 2; 385/1993, de 23 de diciembre, FJ 8)” [STC 37/2002, de 14 de febrero, FJ 8].</w:t>
      </w:r>
    </w:p>
    <w:p w:rsidR="00AC56D6" w:rsidRDefault="00AC56D6" w:rsidP="00AC56D6">
      <w:pPr>
        <w:pStyle w:val="TextoNormal"/>
      </w:pPr>
    </w:p>
    <w:p w:rsidR="00AC56D6" w:rsidRDefault="00AC56D6" w:rsidP="00AC56D6">
      <w:pPr>
        <w:pStyle w:val="TextoNormal"/>
      </w:pPr>
      <w:r>
        <w:t>Por su parte, la Comunidad Autónoma de Andalucía ha asumido, en el art. 47.2.1 EAAnd, como competencia compartida, “el régimen estatutario de su personal funcionario y estatutario, así como de su personal laboral, sin perjuicio de lo dispuesto en el art. 76 de este Estatuto” que establece que “en materia de función pública corresponde a la Comunidad Autónoma el desarrollo legislativo y la ejecución en los términos del art. 149.1.18 de la Constitución”, afirmándose, a continuación, que “corresponde a la Junta de Andalucía, en materia de función pública y personal al servicio de la Administración, respetando el principio de autonomía local: … b) La competencia compartida sobre el régimen estatutario del personal al servicio de las Administraciones andaluzas”.</w:t>
      </w:r>
    </w:p>
    <w:p w:rsidR="00AC56D6" w:rsidRDefault="00AC56D6" w:rsidP="00AC56D6">
      <w:pPr>
        <w:pStyle w:val="TextoNormal"/>
      </w:pPr>
    </w:p>
    <w:p w:rsidR="00AC56D6" w:rsidRDefault="00AC56D6" w:rsidP="00AC56D6">
      <w:pPr>
        <w:pStyle w:val="TextoNormal"/>
      </w:pPr>
      <w:r>
        <w:lastRenderedPageBreak/>
        <w:t>De una interpretación conjunta de los preceptos recogidos en la Constitución y en los Estatutos de Autonomía, este Tribunal ha interpretado que “al Estado le corresponde el establecimiento de las bases del régimen estatutario de los funcionarios de las Administraciones públicas y a la Comunidad Autónoma…el desarrollo legislativo y la ejecución de las bases de dicho régimen estatutario en lo que se refiere a los funcionarios al servicio de la Comunidad Autónoma y al servicio de las corporaciones locales radicadas en su ámbito territorial” (STC 37/2002, de 14 de febrero, FJ 8).</w:t>
      </w:r>
    </w:p>
    <w:p w:rsidR="00AC56D6" w:rsidRDefault="00AC56D6" w:rsidP="00AC56D6">
      <w:pPr>
        <w:pStyle w:val="TextoNormal"/>
      </w:pPr>
    </w:p>
    <w:p w:rsidR="00AC56D6" w:rsidRDefault="00AC56D6" w:rsidP="00AC56D6">
      <w:pPr>
        <w:pStyle w:val="TextoNormal"/>
      </w:pPr>
      <w:r>
        <w:t xml:space="preserve">Establecido lo anterior, este Tribunal ha afirmado, igualmente, que “en relación con el contenido de la expresión “régimen estatutario de los funcionarios públicos”, empleada por los arts. 103.3 y 149.1.18 CE, hemos tenido ocasión de declarar, poniendo en conexión ambos preceptos constitucionales, “que sus contornos no pueden definirse en abstracto y </w:t>
      </w:r>
      <w:r w:rsidRPr="00AC56D6">
        <w:rPr>
          <w:i/>
        </w:rPr>
        <w:t>a priori</w:t>
      </w:r>
      <w:r>
        <w:t>”, debiendo entenderse comprendida en su ámbito, “en principio, la normación relativa a la adquisición y pérdida de la condición de funcionario, a las condiciones de promoción de la carrera administrativa y a las situaciones que en ésta puedan darse, a los derechos y deberes y responsabilidad de los funcionarios y a su régimen disciplinario, así como a la creación e integración, en su caso, de cuerpos y escalas funcionariales y al modo de provisión de puestos de trabajo al servicio de las Administración públicas” [STC 99/1987, de 11 de junio, FJ 3 c)].</w:t>
      </w:r>
    </w:p>
    <w:p w:rsidR="00AC56D6" w:rsidRDefault="00AC56D6" w:rsidP="00AC56D6">
      <w:pPr>
        <w:pStyle w:val="TextoNormal"/>
      </w:pPr>
    </w:p>
    <w:p w:rsidR="00AC56D6" w:rsidRDefault="00AC56D6" w:rsidP="00AC56D6">
      <w:pPr>
        <w:pStyle w:val="TextoNormal"/>
      </w:pPr>
      <w:r>
        <w:t>De modo que, a tenor de la distribución de competencias entre el Estado y la Comunidad Autónoma de Andalucía en materia de función pública, corresponde al Estado establecer las bases del régimen de derechos y deberes de los funcionarios públicos y a la Comunidad Autónoma la competencia de desarrollo legislativo y ejecución, de acuerdo con aquella legislación básica, en relación con la función pública autonómica y local.</w:t>
      </w:r>
    </w:p>
    <w:p w:rsidR="00AC56D6" w:rsidRDefault="00AC56D6" w:rsidP="00AC56D6">
      <w:pPr>
        <w:pStyle w:val="TextoNormal"/>
      </w:pPr>
    </w:p>
    <w:p w:rsidR="00AC56D6" w:rsidRDefault="00AC56D6" w:rsidP="00AC56D6">
      <w:pPr>
        <w:pStyle w:val="TextoNormal"/>
      </w:pPr>
      <w:r>
        <w:t>Igualmente, hemos señalado que, en la competencia para regular las bases del régimen estatutario de los funcionarios públicos conferida al Estado por al art. 149.1.18 CE, cabe incluir, por ejemplo, previsiones relativas a las retribuciones de los funcionarios, comunes a todas las Administraciones públicas, pues ello hallaría su fundamento en los principios constitucionales de igualdad y solidaridad (SSTC 96/1990, de 24 de mayo, FJ 3; 237/1992, de 15 de diciembre, FJ 4; 103/1997, de 22 de mayo, FJ 2, y 148/2006, de 11 de mayo, FJ 6, entre otras).</w:t>
      </w:r>
    </w:p>
    <w:p w:rsidR="00AC56D6" w:rsidRDefault="00AC56D6" w:rsidP="00AC56D6">
      <w:pPr>
        <w:pStyle w:val="TextoNormal"/>
      </w:pPr>
    </w:p>
    <w:p w:rsidR="00AC56D6" w:rsidRDefault="00AC56D6" w:rsidP="00AC56D6">
      <w:pPr>
        <w:pStyle w:val="TextoNormal"/>
      </w:pPr>
      <w:r>
        <w:t>Del mismo modo, debemos afirmar, ahora, que también quedan encuadradas en el título competencial del mencionado art. 149.1.18 CE las previsiones relativas a los permisos y vacaciones de los funcionarios comunes a todas las Administraciones públicas, pues ello hallaría, igualmente, su fundamento en los principios constitucionales de igualdad y solidaridad.</w:t>
      </w:r>
    </w:p>
    <w:p w:rsidR="00AC56D6" w:rsidRDefault="00AC56D6" w:rsidP="00AC56D6">
      <w:pPr>
        <w:pStyle w:val="TextoNormal"/>
      </w:pPr>
    </w:p>
    <w:p w:rsidR="00AC56D6" w:rsidRDefault="00AC56D6" w:rsidP="00AC56D6">
      <w:pPr>
        <w:pStyle w:val="TextoNormal"/>
      </w:pPr>
      <w:r>
        <w:t xml:space="preserve">Asimismo, debemos señalar que también quedan encuadradas en el título competencial del mencionado art. 149.1.18 CE las previsiones relativas a los permisos y vacaciones de los funcionarios comunes a todas las Administraciones públicas, pues ello hallaría, igualmente, su fundamento en los principios constitucionales de igualdad y solidaridad. Así, corresponde al Estado fijar los concretos supuestos en los que cabe reconocer permisos, licencias o vacaciones a los funcionarios públicos (por fallecimiento, por accidente o enfermedad de familiares, por traslados de domicilio, para concurrir a exámenes etc…) estableciendo un régimen común de los diferentes conceptos de ausencia temporal justificada al puesto de </w:t>
      </w:r>
      <w:r>
        <w:lastRenderedPageBreak/>
        <w:t>trabajo. Por tanto, en esta materia corresponde al Estado, en el ejercicio de su competencia para establecer las bases del régimen estatutario de los funcionarios públicos (art. 149.1.18 CE), la determinación de los diferentes supuestos por los que pueden ser concedidos permisos o licencias a dicho personal del sector público, cualquiera que sea la Administración a la que pertenezcan. En consecuencia, entra dentro de lo básico y del título competencial invocado la fijación por el Estado de los diferentes permisos, licencias y vacaciones que contiene la nueva redacción de los arts. 48 y 50 LEEP.</w:t>
      </w:r>
    </w:p>
    <w:p w:rsidR="00AC56D6" w:rsidRDefault="00AC56D6" w:rsidP="00AC56D6">
      <w:pPr>
        <w:pStyle w:val="TextoNormal"/>
      </w:pPr>
    </w:p>
    <w:p w:rsidR="00AC56D6" w:rsidRDefault="00AC56D6" w:rsidP="00AC56D6">
      <w:pPr>
        <w:pStyle w:val="TextoNormal"/>
      </w:pPr>
      <w:r>
        <w:t>Ahora bien, el título competencial del art. 149.1.18 CE no puede amparar una regulación que agote el contenido de los referidos permisos, licencias o vacaciones hasta el punto de no permitir a las Comunidades Autónomas el ejercicio de sus competencias de desarrollo legislativo y de ejecución en esta materia. Las Comunidades Autónomas y, particularmente en lo que atañe a este recurso, la de Andalucía, ha asumido competencias de desarrollo legislativo y ejecución en materia de función pública (arts. 47.2.1 y 76 EAAnd), por lo que, habrá de disponer también ésta de un ámbito competencial propio que le permita desarrollar y aplicar el régimen estatutario de los funcionarios públicos al desenvolvimiento de sus actuaciones públicas y al ejercicio de sus competencias.</w:t>
      </w:r>
    </w:p>
    <w:p w:rsidR="00AC56D6" w:rsidRDefault="00AC56D6" w:rsidP="00AC56D6">
      <w:pPr>
        <w:pStyle w:val="TextoNormal"/>
      </w:pPr>
    </w:p>
    <w:p w:rsidR="00AC56D6" w:rsidRDefault="00AC56D6" w:rsidP="00AC56D6">
      <w:pPr>
        <w:pStyle w:val="TextoNormal"/>
      </w:pPr>
      <w:r>
        <w:t>Ello no supone otra cosa que la aplicación al caso de la doctrina de este Tribunal que afirma que “una norma merece el calificativo de básica cuando garantiza en todo el Estado un común denominador normativo dirigido a asegurar, de manera unitaria y en condiciones de igualdad, los intereses generales; regulación normativa uniforme que, no obstante, debe permitir que cada Comunidad Autónoma introduzca, en persecución de sus propios intereses, las peculiaridades que estime pertinentes dentro del marco competencial que en la materia dibuje el bloque de la constitucionalidad (entre otras muchas, SSTC 1/1982, FJ 1; y STC 103/1997, de 22 de mayo, FJ 2)”.</w:t>
      </w:r>
    </w:p>
    <w:p w:rsidR="00AC56D6" w:rsidRDefault="00AC56D6" w:rsidP="00AC56D6">
      <w:pPr>
        <w:pStyle w:val="TextoNormal"/>
      </w:pPr>
    </w:p>
    <w:p w:rsidR="00AC56D6" w:rsidRDefault="00AC56D6" w:rsidP="00AC56D6">
      <w:pPr>
        <w:pStyle w:val="TextoNormal"/>
      </w:pPr>
      <w:r>
        <w:t xml:space="preserve">Así, como ya hemos dicho, si bien corresponde al Estado </w:t>
      </w:r>
      <w:r w:rsidRPr="00AC56D6">
        <w:rPr>
          <w:i/>
        </w:rPr>
        <w:t>ex</w:t>
      </w:r>
      <w:r>
        <w:t xml:space="preserve"> art. 149.1.18 CE determinar los concretos y precisos supuestos que permiten a un funcionario público ser beneficiario de la concesión de un permiso, licencia o vacación, en cuanto que con esta iniciativa legislativa no se persigue otro objetivo que lograr una mínima y fundamental homogeneidad en un aspecto sustancial del régimen funcionarial, cual es el atinente a los derechos, la controversia competencial puede suscitarse en aquellos supuestos en que la normativa estatal pueda agotar el régimen jurídico sobre este aspecto sustancial del régimen funcionarial impidiendo toda posibilidad de desarrollo y ejecución por parte de la Comunidad Autónoma correspondiente para los cuerpos de funcionarios públicos dependientes de su Administración o de la Administración Local de su territorio. Tal es la denuncia que formula el Consejo de Gobierno de la Junta de Andalucía ahora recurrente.</w:t>
      </w:r>
    </w:p>
    <w:p w:rsidR="00AC56D6" w:rsidRDefault="00AC56D6" w:rsidP="00AC56D6">
      <w:pPr>
        <w:pStyle w:val="TextoNormal"/>
      </w:pPr>
    </w:p>
    <w:p w:rsidR="00AC56D6" w:rsidRDefault="00AC56D6" w:rsidP="00AC56D6">
      <w:pPr>
        <w:pStyle w:val="TextoNormal"/>
      </w:pPr>
      <w:r>
        <w:t>Se trata, por tanto y a la vista del texto introducido en los arts. 48 y 50 LEEP por el precitado art. 8 del Real Decreto-ley 20/2012, de determinar si el nuevo sistema de permisos y licencias que modifica el anterior régimen sobrepasa o no los límites de lo básico afectando al ámbito competencial propio de la Comunidad Autónoma recurrente.</w:t>
      </w:r>
    </w:p>
    <w:p w:rsidR="00AC56D6" w:rsidRDefault="00AC56D6" w:rsidP="00AC56D6">
      <w:pPr>
        <w:pStyle w:val="TextoNormal"/>
      </w:pPr>
    </w:p>
    <w:p w:rsidR="00AC56D6" w:rsidRDefault="00AC56D6" w:rsidP="00AC56D6">
      <w:pPr>
        <w:pStyle w:val="TextoNormal"/>
      </w:pPr>
      <w:r>
        <w:t xml:space="preserve">En este sentido y en una inicial aproximación al texto de ambos preceptos se advierte que un primer grupo de apartados del modificado art. 48 LEEP se limitan a establecer el concepto y la finalidad por la que pueden ser concedidos los permisos a los funcionarios públicos, sin agregar ninguna otra precisión o límite. Se trata de los apartados encabezados </w:t>
      </w:r>
      <w:r>
        <w:lastRenderedPageBreak/>
        <w:t>con las letras c), d), e), h) y j) del art. 48 LEEP, que ciñen su texto a la mera descripción del concepto y finalidad por la que se puede conceder un permiso al funcionario público. En los citados apartados la determinación del supuesto lleva implícita la duración del permiso y, por tanto, se apoya en la existencia de un planteamiento de homogeneización común a todas las administraciones públicas, que no rebasa los límites de lo básico, siendo respetuoso con el título competencial del art. 149.1.18 CE.</w:t>
      </w:r>
    </w:p>
    <w:p w:rsidR="00AC56D6" w:rsidRDefault="00AC56D6" w:rsidP="00AC56D6">
      <w:pPr>
        <w:pStyle w:val="TextoNormal"/>
      </w:pPr>
    </w:p>
    <w:p w:rsidR="00AC56D6" w:rsidRDefault="00AC56D6" w:rsidP="00AC56D6">
      <w:pPr>
        <w:pStyle w:val="TextoNormal"/>
      </w:pPr>
      <w:r>
        <w:t>Mayor atención requiere el análisis del resto de apartados del art. 48 y del art. 50, ambos de la Ley del estatuto básico del empleado público, pues el argumento que aporta la recurrente para sostener la invasión de la norma estatal en el ámbito de las competencias propias de desarrollo y ejecución es que el régimen de los permisos contenidos en los mencionados preceptos es tan prolijo en detalles, particularmente en lo que respecta a su duración y condiciones de ejercicio, que impide toda posibilidad de desarrollo normativo y ejecución, invadiendo, por tanto, el ámbito de sus competencias.</w:t>
      </w:r>
    </w:p>
    <w:p w:rsidR="00AC56D6" w:rsidRDefault="00AC56D6" w:rsidP="00AC56D6">
      <w:pPr>
        <w:pStyle w:val="TextoNormal"/>
      </w:pPr>
    </w:p>
    <w:p w:rsidR="00AC56D6" w:rsidRDefault="00AC56D6" w:rsidP="00AC56D6">
      <w:pPr>
        <w:pStyle w:val="TextoNormal"/>
      </w:pPr>
      <w:r>
        <w:t>Ciertamente, el nuevo régimen jurídico de los permisos, licencias y vacaciones de los funcionarios públicos difiere notablemente del anterior en el que, de una parte, la precedente redacción del art. 48.1, que se corresponde con el actual art. 48 apartado único, le proporcionaba a la materia un tratamiento de normativa supletoria “en defecto de legislación aplicable” (art. 48.1 LEEP) y, de otro lado, el anterior art. 50, regulador de los permisos de vacaciones, concedía a las Administraciones públicas un amplio margen de libertad para la fijación del número de días hábiles de vacaciones a partir de un mínimo fijado en el precepto.</w:t>
      </w:r>
    </w:p>
    <w:p w:rsidR="00AC56D6" w:rsidRDefault="00AC56D6" w:rsidP="00AC56D6">
      <w:pPr>
        <w:pStyle w:val="TextoNormal"/>
      </w:pPr>
    </w:p>
    <w:p w:rsidR="00AC56D6" w:rsidRDefault="00AC56D6" w:rsidP="00AC56D6">
      <w:pPr>
        <w:pStyle w:val="TextoNormal"/>
      </w:pPr>
      <w:r>
        <w:t>Ahora bien, la determinación de lo que deba reputarse como básico para delimitar el ámbito correspondiente del título competencial del Estado aplicable a una materia no puede hacerse en términos de relación, por cuanto el perfil de lo básico ha de construirse sobre los principios de igualdad y solidaridad al tiempo que ha de tenerse en cuenta la vocación armonizadora de generalidad que debe reunir esta normativa básica.</w:t>
      </w:r>
    </w:p>
    <w:p w:rsidR="00AC56D6" w:rsidRDefault="00AC56D6" w:rsidP="00AC56D6">
      <w:pPr>
        <w:pStyle w:val="TextoNormal"/>
      </w:pPr>
    </w:p>
    <w:p w:rsidR="00AC56D6" w:rsidRDefault="00AC56D6" w:rsidP="00AC56D6">
      <w:pPr>
        <w:pStyle w:val="TextoNormal"/>
      </w:pPr>
      <w:r>
        <w:t>Pues bien, a la luz de estos planteamientos la recurrente plantea que la normativa estatal ha agotado toda posibilidad de desarrollo normativo localizando su impugnación en que los dos preceptos de la Ley del estatuto básico del empleado público introducidos por el art. 8 del Real Decreto-ley 20/2012 establecen una duración determinada sin posibilidad de modificación alguna del número de días que se prevén para cada tipo de permiso o licencia.</w:t>
      </w:r>
    </w:p>
    <w:p w:rsidR="00AC56D6" w:rsidRDefault="00AC56D6" w:rsidP="00AC56D6">
      <w:pPr>
        <w:pStyle w:val="TextoNormal"/>
      </w:pPr>
    </w:p>
    <w:p w:rsidR="00AC56D6" w:rsidRDefault="00AC56D6" w:rsidP="00AC56D6">
      <w:pPr>
        <w:pStyle w:val="TextoNormal"/>
      </w:pPr>
      <w:r>
        <w:t xml:space="preserve">Sin embargo, la duración de tales permisos o licencias de los funcionarios públicos entra dentro de lo básico, correspondiendo al Estado su fijación, en la medida en que, a través de las bases, se establece un régimen común, tanto de los diferentes conceptos de ausencia temporal justificada al puesto de trabajo, como de la duración de aquellos. Con tal planteamiento no se persigue otro objetivo que lograr una mínima y fundamental homogeneidad en este aspecto sustancial del régimen funcionarial que es el de los permisos y vacaciones, sin que tal delimitación impida a las Comunidades Autónomas el margen de actuación necesario para el desarrollo y ejecución de dichas bases, pues permite a aquellas optar por fijar la forma y manera de su utilización estableciendo, por ejemplo, si los permisos del art. 48 o los turnos de vacaciones del art. 50 LEEP pueden, los primeros, disfrutarse dentro o fuera de determinadas fechas del calendario anual o sin unirlos a los de vacaciones; y los segundos, en determinados períodos de tiempo, por días sueltos o estableciendo un mínimo de </w:t>
      </w:r>
      <w:r>
        <w:lastRenderedPageBreak/>
        <w:t>días consecutivos etc. Es decir, la norma estatal, aun fijando la duración de los diferentes tipos de permisos, no cierra toda posibilidad de desarrollo y aplicación a las Comunidades Autónomas de la normativa básica sobre esta materia.</w:t>
      </w:r>
    </w:p>
    <w:p w:rsidR="00AC56D6" w:rsidRDefault="00AC56D6" w:rsidP="00AC56D6">
      <w:pPr>
        <w:pStyle w:val="TextoNormal"/>
      </w:pPr>
    </w:p>
    <w:p w:rsidR="00AC56D6" w:rsidRDefault="00AC56D6" w:rsidP="00AC56D6">
      <w:pPr>
        <w:pStyle w:val="TextoNormal"/>
      </w:pPr>
      <w:r>
        <w:t>En definitiva, la nueva regulación halla su fundamento en la competencia del Estado sobre las bases del régimen de derechos y deberes de los funcionarios públicos (art. 149.1.18 CE) y posibilita un margen de desarrollo a las Comunidades Autónomas, por lo que la impugnación en este punto debe ser desestimada.</w:t>
      </w:r>
    </w:p>
    <w:p w:rsidR="00AC56D6" w:rsidRDefault="00AC56D6" w:rsidP="00AC56D6">
      <w:pPr>
        <w:pStyle w:val="TextoNormal"/>
      </w:pPr>
    </w:p>
    <w:p w:rsidR="00AC56D6" w:rsidRDefault="00AC56D6" w:rsidP="00AC56D6">
      <w:pPr>
        <w:pStyle w:val="TextoNormal"/>
      </w:pPr>
      <w:r w:rsidRPr="00AC56D6">
        <w:rPr>
          <w:rStyle w:val="NumeroAFNegritaCaracter"/>
        </w:rPr>
        <w:t>9</w:t>
      </w:r>
      <w:r>
        <w:t>. Examinada la controversia competencial planteada en relación con el art. 8 del Real Decreto-ley 20/2012, procede, a continuación, examinar el conflicto de la misma naturaleza que se plantea en relación con el art. 27 del Real Decreto-ley 20/2012, cuestión ésta que se ha centrado por parte de la Junta de Andalucía en, por un lado, la inconstitucionalidad del apartado 5 del art. 4 de la Ley 1/2004, de 21 de diciembre, de horarios comerciales, en la redacción introducida por el art. 27.2 del Real Decreto-ley 20/2012, que tiene por objeto el establecimiento de criterios para la determinación de los domingos y festivos de apertura por parte de las Comunidades Autónomas. Y por otro, en la inconstitucionalidad de los apartados 4 y 5 del art. 5 de la Ley 1/2004, de 21 de diciembre, de horarios comerciales, en la redacción otorgada por el art. 27.3, del Real Decreto-ley 20/2012, referido al establecimiento de criterios para la determinación de las zonas de gran afluencia turística por parte de las Comunidades Autónomas, respecto de determinados tipos de establecimientos comerciales que se citan en el apartado 1 del precitado art. 5 de la Ley 1/2004.</w:t>
      </w:r>
    </w:p>
    <w:p w:rsidR="00AC56D6" w:rsidRDefault="00AC56D6" w:rsidP="00AC56D6">
      <w:pPr>
        <w:pStyle w:val="TextoNormal"/>
      </w:pPr>
    </w:p>
    <w:p w:rsidR="00AC56D6" w:rsidRDefault="00AC56D6" w:rsidP="00AC56D6">
      <w:pPr>
        <w:pStyle w:val="TextoNormal"/>
      </w:pPr>
      <w:r>
        <w:t>De acuerdo con la disposición final cuarta del Real Decreto-ley 20/2012, el título V de la propia norma, en el que se inserta el art. 27, “se dicta al amparo del art. 149.1.13 de la Constitución que atribuyen al Estado la competencia sobre las bases y coordinación de la planificación general de la actividad económica”.</w:t>
      </w:r>
    </w:p>
    <w:p w:rsidR="00AC56D6" w:rsidRDefault="00AC56D6" w:rsidP="00AC56D6">
      <w:pPr>
        <w:pStyle w:val="TextoNormal"/>
      </w:pPr>
    </w:p>
    <w:p w:rsidR="00AC56D6" w:rsidRDefault="00AC56D6" w:rsidP="00AC56D6">
      <w:pPr>
        <w:pStyle w:val="TextoNormal"/>
      </w:pPr>
      <w:r>
        <w:t>Tratándose de una disputa de naturaleza competencial debemos, en primer lugar, encuadrar la cuestión discutida en la materia competencial que le sea propia que, en el presente supuesto, no es otra que la del comercio interior en la que, conforme a nuestra doctrina, se integran los horarios comerciales (por todas, STC 88/2010, de 15 de noviembre, FJ 2).</w:t>
      </w:r>
    </w:p>
    <w:p w:rsidR="00AC56D6" w:rsidRDefault="00AC56D6" w:rsidP="00AC56D6">
      <w:pPr>
        <w:pStyle w:val="TextoNormal"/>
      </w:pPr>
    </w:p>
    <w:p w:rsidR="00AC56D6" w:rsidRDefault="00AC56D6" w:rsidP="00AC56D6">
      <w:pPr>
        <w:pStyle w:val="TextoNormal"/>
      </w:pPr>
      <w:r>
        <w:t>Por lo que hace a la determinación de las competencias autonómicas en esta materia hemos de tener en cuenta lo dispuesto en el art. 58.1.1 EAAnd, que atribuye a la Comunidad Autónoma de Andalucía la competencia exclusiva en “la ordenación administrativa de la actividad comercial, incluidos… la regulación de los calendarios y horarios comerciales, respetando en su ejercicio el principio constitucional de unidad de mercado y la ordenación general de la economía”.</w:t>
      </w:r>
    </w:p>
    <w:p w:rsidR="00AC56D6" w:rsidRDefault="00AC56D6" w:rsidP="00AC56D6">
      <w:pPr>
        <w:pStyle w:val="TextoNormal"/>
      </w:pPr>
    </w:p>
    <w:p w:rsidR="00AC56D6" w:rsidRDefault="00AC56D6" w:rsidP="00AC56D6">
      <w:pPr>
        <w:pStyle w:val="TextoNormal"/>
      </w:pPr>
      <w:r>
        <w:t xml:space="preserve">Con respecto al alcance de una previsión estatutaria similar nos hemos pronunciado ya en la STC 31/2010, de 28 de junio, señalando (FJ 68) que “en cuanto al apartado 1 c) del art. 121 EAC, que atribuye a la Generalitat “la regulación de los horarios comerciales respetando en su ejercicio el principio constitucional de unidad de mercado”, la demanda considera que el precepto resultaría inobjetable si en su enunciado se entendiera salvaguardada la competencia estatal del art. 149.1.13 CE. La regulación de los horarios comerciales se encuadra en la materia de comercio interior, debiendo la competencia autonómica cohonestarse con la competencia que al Estado atribuye el art. 149.1.13 CE (STC 254/2004, de 22 </w:t>
      </w:r>
      <w:r>
        <w:lastRenderedPageBreak/>
        <w:t>de diciembre, FJ 7 y las allí citadas). Toda vez que, según venimos insistiendo, no es preciso que los preceptos estatutarios salvaguarden las competencias del Estado que el art. 149.1 CE proclama, el art. 121.1 c) EAC no impide ni menoscaba el ejercicio de la competencia estatal del art. 149.1.13 CE, por lo que la impugnación debe ser desestimada”.</w:t>
      </w:r>
    </w:p>
    <w:p w:rsidR="00AC56D6" w:rsidRDefault="00AC56D6" w:rsidP="00AC56D6">
      <w:pPr>
        <w:pStyle w:val="TextoNormal"/>
      </w:pPr>
    </w:p>
    <w:p w:rsidR="00AC56D6" w:rsidRDefault="00AC56D6" w:rsidP="00AC56D6">
      <w:pPr>
        <w:pStyle w:val="TextoNormal"/>
      </w:pPr>
      <w:r>
        <w:t>Por tanto, este Tribunal Constitucional ha afirmado que es posible que, en relación con el comercio interior, incidan competencias estatales y en tal sentido hemos recordado en la STC 88/2010, de 15 de noviembre (FJ 2), con cita de decisiones anteriores, que: “a partir de este encuadramiento material hemos dicho en la STC 284/1993, de 30 de septiembre, que sobre el comercio interior pueden incidir las competencias básicas del Estado previstas en el art. 149.1.13 CE, si bien cada Comunidad Autónoma, dentro de su ámbito territorial, podrá ejercer las competencias de desarrollo normativo y/o ejecución, según lo establecido en el respectivo Estatuto en materia de comercio interior [STC 284/1993, de 30 de septiembre, FJ 4 a), con remisión a la STC 225/1993, de 8 de julio].”</w:t>
      </w:r>
    </w:p>
    <w:p w:rsidR="00AC56D6" w:rsidRDefault="00AC56D6" w:rsidP="00AC56D6">
      <w:pPr>
        <w:pStyle w:val="TextoNormal"/>
      </w:pPr>
    </w:p>
    <w:p w:rsidR="00AC56D6" w:rsidRDefault="00AC56D6" w:rsidP="00AC56D6">
      <w:pPr>
        <w:pStyle w:val="TextoNormal"/>
      </w:pPr>
      <w:r w:rsidRPr="00AC56D6">
        <w:rPr>
          <w:rStyle w:val="NumeroAFNegritaCaracter"/>
        </w:rPr>
        <w:t>10</w:t>
      </w:r>
      <w:r>
        <w:t>. Así pues, una vez centrado el debate en tales términos, debemos pronunciarnos acerca de si el Estado, al dictar las reglas impugnadas contenidas en el art. 27 del Real Decreto-ley 20/2012, con el carácter de norma básica ex art. 149.1.13 CE que le atribuye la disposición final cuarta, se ha atenido a un ejercicio adecuado de sus competencias o, por el contrario, ha incurrido en un exceso competencial vulnerador de las competencias autonómicas en materia de comercio interior.</w:t>
      </w:r>
    </w:p>
    <w:p w:rsidR="00AC56D6" w:rsidRDefault="00AC56D6" w:rsidP="00AC56D6">
      <w:pPr>
        <w:pStyle w:val="TextoNormal"/>
      </w:pPr>
    </w:p>
    <w:p w:rsidR="00AC56D6" w:rsidRDefault="00AC56D6" w:rsidP="00AC56D6">
      <w:pPr>
        <w:pStyle w:val="TextoNormal"/>
      </w:pPr>
      <w:r>
        <w:t>Siendo evidente que el art. 27 es un precepto formalmente básico, pues con tal carácter se proclama en la disposición final cuarta del Real Decreto-ley 20/2012, lo que hemos ahora de dilucidar es si aquel puede ser considerado, también, como materialmente básico. Para ello atenderemos a nuestra doctrina según la cual “el ámbito de lo básico, desde la perspectiva material, incluye las determinaciones que aseguran un mínimo común normativo en el sector material de que se trate y, con ello, una orientación unitaria y dotada de cierta estabilidad en todo aquello que el legislador considera en cada momento aspectos esenciales de dicho sector material” (STC 14/2004, de 13 de febrero, FJ 11, con cita de otras).</w:t>
      </w:r>
    </w:p>
    <w:p w:rsidR="00AC56D6" w:rsidRDefault="00AC56D6" w:rsidP="00AC56D6">
      <w:pPr>
        <w:pStyle w:val="TextoNormal"/>
      </w:pPr>
    </w:p>
    <w:p w:rsidR="00AC56D6" w:rsidRDefault="00AC56D6" w:rsidP="00AC56D6">
      <w:pPr>
        <w:pStyle w:val="TextoNormal"/>
      </w:pPr>
      <w:r>
        <w:t>A tal fin, examinaremos, en primer lugar, lo establecido en los concretos apartados impugnados.</w:t>
      </w:r>
    </w:p>
    <w:p w:rsidR="00AC56D6" w:rsidRDefault="00AC56D6" w:rsidP="00AC56D6">
      <w:pPr>
        <w:pStyle w:val="TextoNormal"/>
      </w:pPr>
    </w:p>
    <w:p w:rsidR="00AC56D6" w:rsidRDefault="00AC56D6" w:rsidP="00AC56D6">
      <w:pPr>
        <w:pStyle w:val="TextoNormal"/>
      </w:pPr>
      <w:r>
        <w:t>Así el apartado 2 del art. 27 modifica el art. 4 de la Ley 1/2004, de 21 de diciembre, de horarios comerciales, que queda redactado del siguiente modo:</w:t>
      </w:r>
    </w:p>
    <w:p w:rsidR="00AC56D6" w:rsidRDefault="00AC56D6" w:rsidP="00AC56D6">
      <w:pPr>
        <w:pStyle w:val="TextoNormal"/>
      </w:pPr>
    </w:p>
    <w:p w:rsidR="00AC56D6" w:rsidRDefault="00AC56D6" w:rsidP="00AC56D6">
      <w:pPr>
        <w:pStyle w:val="TextoNormal"/>
      </w:pPr>
      <w:r>
        <w:t>“Artículo 4. Domingos y festivos.</w:t>
      </w:r>
    </w:p>
    <w:p w:rsidR="00AC56D6" w:rsidRDefault="00AC56D6" w:rsidP="00AC56D6">
      <w:pPr>
        <w:pStyle w:val="TextoNormal"/>
      </w:pPr>
    </w:p>
    <w:p w:rsidR="00AC56D6" w:rsidRDefault="00AC56D6" w:rsidP="00AC56D6">
      <w:pPr>
        <w:pStyle w:val="TextoNormal"/>
      </w:pPr>
      <w:r>
        <w:t>1. El número mínimo de domingos y días festivos en los que los comercios podrán permanecer abiertos al público será de dieciséis.</w:t>
      </w:r>
    </w:p>
    <w:p w:rsidR="00AC56D6" w:rsidRDefault="00AC56D6" w:rsidP="00AC56D6">
      <w:pPr>
        <w:pStyle w:val="TextoNormal"/>
      </w:pPr>
    </w:p>
    <w:p w:rsidR="00AC56D6" w:rsidRDefault="00AC56D6" w:rsidP="00AC56D6">
      <w:pPr>
        <w:pStyle w:val="TextoNormal"/>
      </w:pPr>
      <w:r>
        <w:t>2. Las Comunidades Autónomas podrán modificar dicho número en atención a sus necesidades comerciales, incrementándolo o reduciéndolo, sin que en ningún caso se pueda limitar por debajo de diez el número mínimo de domingos y festivos de apertura autorizada.</w:t>
      </w:r>
    </w:p>
    <w:p w:rsidR="00AC56D6" w:rsidRDefault="00AC56D6" w:rsidP="00AC56D6">
      <w:pPr>
        <w:pStyle w:val="TextoNormal"/>
      </w:pPr>
    </w:p>
    <w:p w:rsidR="00AC56D6" w:rsidRDefault="00AC56D6" w:rsidP="00AC56D6">
      <w:pPr>
        <w:pStyle w:val="TextoNormal"/>
      </w:pPr>
      <w:r>
        <w:t>3. Cada comerciante determinará libremente el horario correspondiente a cada domingo o día festivo en que ejerza su actividad.</w:t>
      </w:r>
    </w:p>
    <w:p w:rsidR="00AC56D6" w:rsidRDefault="00AC56D6" w:rsidP="00AC56D6">
      <w:pPr>
        <w:pStyle w:val="TextoNormal"/>
      </w:pPr>
    </w:p>
    <w:p w:rsidR="00AC56D6" w:rsidRDefault="00AC56D6" w:rsidP="00AC56D6">
      <w:pPr>
        <w:pStyle w:val="TextoNormal"/>
      </w:pPr>
      <w:r>
        <w:t>4. La determinación de los domingos o días festivos en los que podrán permanecer abiertos al público los comercios, con el mínimo anual antes señalado, corresponderá a cada Comunidad Autónoma para su respectivo ámbito territorial.</w:t>
      </w:r>
    </w:p>
    <w:p w:rsidR="00AC56D6" w:rsidRDefault="00AC56D6" w:rsidP="00AC56D6">
      <w:pPr>
        <w:pStyle w:val="TextoNormal"/>
      </w:pPr>
    </w:p>
    <w:p w:rsidR="00AC56D6" w:rsidRDefault="00AC56D6" w:rsidP="00AC56D6">
      <w:pPr>
        <w:pStyle w:val="TextoNormal"/>
      </w:pPr>
      <w:r>
        <w:t>5. Para la determinación de los domingos y festivos de apertura a los que se refieren los apartados 1 y 2, las Comunidades Autónomas deberán atender de forma prioritaria al atractivo comercial de los días para los consumidores, de acuerdo con los siguientes criterios:</w:t>
      </w:r>
    </w:p>
    <w:p w:rsidR="00AC56D6" w:rsidRDefault="00AC56D6" w:rsidP="00AC56D6">
      <w:pPr>
        <w:pStyle w:val="TextoNormal"/>
      </w:pPr>
    </w:p>
    <w:p w:rsidR="00AC56D6" w:rsidRDefault="00AC56D6" w:rsidP="00AC56D6">
      <w:pPr>
        <w:pStyle w:val="TextoNormal"/>
      </w:pPr>
      <w:r>
        <w:t>a) La apertura en al menos un día festivo cuando se produzca la coincidencia de dos o más días festivos continuados.</w:t>
      </w:r>
    </w:p>
    <w:p w:rsidR="00AC56D6" w:rsidRDefault="00AC56D6" w:rsidP="00AC56D6">
      <w:pPr>
        <w:pStyle w:val="TextoNormal"/>
      </w:pPr>
    </w:p>
    <w:p w:rsidR="00AC56D6" w:rsidRDefault="00AC56D6" w:rsidP="00AC56D6">
      <w:pPr>
        <w:pStyle w:val="TextoNormal"/>
      </w:pPr>
      <w:r>
        <w:t>b) La apertura en los domingos y festivos correspondientes a los períodos de rebajas.</w:t>
      </w:r>
    </w:p>
    <w:p w:rsidR="00AC56D6" w:rsidRDefault="00AC56D6" w:rsidP="00AC56D6">
      <w:pPr>
        <w:pStyle w:val="TextoNormal"/>
      </w:pPr>
    </w:p>
    <w:p w:rsidR="00AC56D6" w:rsidRDefault="00AC56D6" w:rsidP="00AC56D6">
      <w:pPr>
        <w:pStyle w:val="TextoNormal"/>
      </w:pPr>
      <w:r>
        <w:t>c) La apertura en los domingos y festivos de mayor afluencia turística en la Comunidad Autónoma.</w:t>
      </w:r>
    </w:p>
    <w:p w:rsidR="00AC56D6" w:rsidRDefault="00AC56D6" w:rsidP="00AC56D6">
      <w:pPr>
        <w:pStyle w:val="TextoNormal"/>
      </w:pPr>
    </w:p>
    <w:p w:rsidR="00AC56D6" w:rsidRDefault="00AC56D6" w:rsidP="00AC56D6">
      <w:pPr>
        <w:pStyle w:val="TextoNormal"/>
      </w:pPr>
      <w:r>
        <w:t>d) La apertura en los domingos o festivos de la campaña de Navidad.”</w:t>
      </w:r>
    </w:p>
    <w:p w:rsidR="00AC56D6" w:rsidRDefault="00AC56D6" w:rsidP="00AC56D6">
      <w:pPr>
        <w:pStyle w:val="TextoNormal"/>
      </w:pPr>
    </w:p>
    <w:p w:rsidR="00AC56D6" w:rsidRDefault="00AC56D6" w:rsidP="00AC56D6">
      <w:pPr>
        <w:pStyle w:val="TextoNormal"/>
      </w:pPr>
      <w:r>
        <w:t>El Consejo de Gobierno de la Junta de Andalucía únicamente impugna la constitucionalidad del apartado 5 del artículo trascrito, por entender que la norma estatal excede del concepto de bases e invade las competencias estatutariamente reconocidas a la Comunidad autónoma de Andalucía.</w:t>
      </w:r>
    </w:p>
    <w:p w:rsidR="00AC56D6" w:rsidRDefault="00AC56D6" w:rsidP="00AC56D6">
      <w:pPr>
        <w:pStyle w:val="TextoNormal"/>
      </w:pPr>
    </w:p>
    <w:p w:rsidR="00AC56D6" w:rsidRDefault="00AC56D6" w:rsidP="00AC56D6">
      <w:pPr>
        <w:pStyle w:val="TextoNormal"/>
      </w:pPr>
      <w:r>
        <w:t>Por su parte, el apartado 3 del art. 27 modifica el artículo 5 de la Ley 1/2004, de 21 de diciembre, de horarios comerciales, que queda redactado del siguiente modo:</w:t>
      </w:r>
    </w:p>
    <w:p w:rsidR="00AC56D6" w:rsidRDefault="00AC56D6" w:rsidP="00AC56D6">
      <w:pPr>
        <w:pStyle w:val="TextoNormal"/>
      </w:pPr>
    </w:p>
    <w:p w:rsidR="00AC56D6" w:rsidRDefault="00AC56D6" w:rsidP="00AC56D6">
      <w:pPr>
        <w:pStyle w:val="TextoNormal"/>
      </w:pPr>
      <w:r>
        <w:t>“Artículo 5. Establecimientos con régimen especial de horarios</w:t>
      </w:r>
    </w:p>
    <w:p w:rsidR="00AC56D6" w:rsidRDefault="00AC56D6" w:rsidP="00AC56D6">
      <w:pPr>
        <w:pStyle w:val="TextoNormal"/>
      </w:pPr>
    </w:p>
    <w:p w:rsidR="00AC56D6" w:rsidRDefault="00AC56D6" w:rsidP="00AC56D6">
      <w:pPr>
        <w:pStyle w:val="TextoNormal"/>
      </w:pPr>
      <w:r>
        <w:t>1. Los establecimientos dedicados principalmente a la venta de pastelería y repostería, pan, platos preparados, prensa, combustibles y carburantes, floristerías y plantas y las denominadas tiendas de conveniencia, así como las instaladas en puntos fronterizos, en estaciones y medios de transporte terrestre, marítimo y aéreo y en zonas de gran afluencia turística, tendrán plena libertad para determinar los días y horas en que permanecerán abiertos al público en todo el territorio nacional.</w:t>
      </w:r>
    </w:p>
    <w:p w:rsidR="00AC56D6" w:rsidRDefault="00AC56D6" w:rsidP="00AC56D6">
      <w:pPr>
        <w:pStyle w:val="TextoNormal"/>
      </w:pPr>
    </w:p>
    <w:p w:rsidR="00AC56D6" w:rsidRDefault="00AC56D6" w:rsidP="00AC56D6">
      <w:pPr>
        <w:pStyle w:val="TextoNormal"/>
      </w:pPr>
      <w:r>
        <w:t>2. También tendrán plena libertad para determinar los días y horas en que permanecerán abiertos al público en todo el territorio nacional los establecimientos de venta de reducida dimensión distintos de los anteriores, que dispongan de una superficie útil para la exposición y venta al público inferior a 300 metros cuadrados, excluidos los pertenecientes a empresas o grupos de distribución que no tengan la consideración de pequeña y mediana empresa según la legislación vigente.</w:t>
      </w:r>
    </w:p>
    <w:p w:rsidR="00AC56D6" w:rsidRDefault="00AC56D6" w:rsidP="00AC56D6">
      <w:pPr>
        <w:pStyle w:val="TextoNormal"/>
      </w:pPr>
    </w:p>
    <w:p w:rsidR="00AC56D6" w:rsidRDefault="00AC56D6" w:rsidP="00AC56D6">
      <w:pPr>
        <w:pStyle w:val="TextoNormal"/>
      </w:pPr>
      <w:r>
        <w:t>3. Se entenderá por tiendas de conveniencia aquellas que, con una superficie útil para la exposición y venta al público no superior a 500 metros cuadrados, permanezcan abiertas al público al menos dieciocho horas al día y distribuyan su oferta, en forma similar, entre libros, periódicos y revistas, artículos de alimentación, discos, vídeos, juguetes, regalos y artículos varios.</w:t>
      </w:r>
    </w:p>
    <w:p w:rsidR="00AC56D6" w:rsidRDefault="00AC56D6" w:rsidP="00AC56D6">
      <w:pPr>
        <w:pStyle w:val="TextoNormal"/>
      </w:pPr>
    </w:p>
    <w:p w:rsidR="00AC56D6" w:rsidRDefault="00AC56D6" w:rsidP="00AC56D6">
      <w:pPr>
        <w:pStyle w:val="TextoNormal"/>
      </w:pPr>
      <w:r>
        <w:t>4. A los efectos de lo establecido en el apartado 1, las Comunidades Autónomas, a propuesta de los Ayuntamientos correspondientes, determinarán las zonas de gran afluencia turística para su respectivo ámbito territorial. Se considerarán zonas de gran afluencia turística, aquellas áreas coincidentes con la totalidad del municipio o parte del mismo en las que concurra alguna de las siguientes circunstancias:</w:t>
      </w:r>
    </w:p>
    <w:p w:rsidR="00AC56D6" w:rsidRDefault="00AC56D6" w:rsidP="00AC56D6">
      <w:pPr>
        <w:pStyle w:val="TextoNormal"/>
      </w:pPr>
    </w:p>
    <w:p w:rsidR="00AC56D6" w:rsidRDefault="00AC56D6" w:rsidP="00AC56D6">
      <w:pPr>
        <w:pStyle w:val="TextoNormal"/>
      </w:pPr>
      <w:r>
        <w:t>a) Existencia de una concentración suficiente, cuantitativa o cualitativamente, de plazas en alojamientos y establecimientos turísticos o bien en el número de segundas residencias respecto a las que constituyen residencia habitual.</w:t>
      </w:r>
    </w:p>
    <w:p w:rsidR="00AC56D6" w:rsidRDefault="00AC56D6" w:rsidP="00AC56D6">
      <w:pPr>
        <w:pStyle w:val="TextoNormal"/>
      </w:pPr>
    </w:p>
    <w:p w:rsidR="00AC56D6" w:rsidRDefault="00AC56D6" w:rsidP="00AC56D6">
      <w:pPr>
        <w:pStyle w:val="TextoNormal"/>
      </w:pPr>
      <w:r>
        <w:t>b) Que haya sido declarado Patrimonio de la Humanidad o en el que se localice un bien inmueble de interés cultural integrado en el patrimonio histórico artístico.</w:t>
      </w:r>
    </w:p>
    <w:p w:rsidR="00AC56D6" w:rsidRDefault="00AC56D6" w:rsidP="00AC56D6">
      <w:pPr>
        <w:pStyle w:val="TextoNormal"/>
      </w:pPr>
    </w:p>
    <w:p w:rsidR="00AC56D6" w:rsidRDefault="00AC56D6" w:rsidP="00AC56D6">
      <w:pPr>
        <w:pStyle w:val="TextoNormal"/>
      </w:pPr>
      <w:r>
        <w:t>c) Que limiten o constituyan áreas de influencia de zonas fronterizas.</w:t>
      </w:r>
    </w:p>
    <w:p w:rsidR="00AC56D6" w:rsidRDefault="00AC56D6" w:rsidP="00AC56D6">
      <w:pPr>
        <w:pStyle w:val="TextoNormal"/>
      </w:pPr>
    </w:p>
    <w:p w:rsidR="00AC56D6" w:rsidRDefault="00AC56D6" w:rsidP="00AC56D6">
      <w:pPr>
        <w:pStyle w:val="TextoNormal"/>
      </w:pPr>
      <w:r>
        <w:t>d) Celebración de grandes eventos deportivos o culturales de carácter nacional o internacional.</w:t>
      </w:r>
    </w:p>
    <w:p w:rsidR="00AC56D6" w:rsidRDefault="00AC56D6" w:rsidP="00AC56D6">
      <w:pPr>
        <w:pStyle w:val="TextoNormal"/>
      </w:pPr>
    </w:p>
    <w:p w:rsidR="00AC56D6" w:rsidRDefault="00AC56D6" w:rsidP="00AC56D6">
      <w:pPr>
        <w:pStyle w:val="TextoNormal"/>
      </w:pPr>
      <w:r>
        <w:t>e) Proximidad a áreas portuarias en las que operen cruceros turísticos y registren una afluencia significativa de visitantes.</w:t>
      </w:r>
    </w:p>
    <w:p w:rsidR="00AC56D6" w:rsidRDefault="00AC56D6" w:rsidP="00AC56D6">
      <w:pPr>
        <w:pStyle w:val="TextoNormal"/>
      </w:pPr>
    </w:p>
    <w:p w:rsidR="00AC56D6" w:rsidRDefault="00AC56D6" w:rsidP="00AC56D6">
      <w:pPr>
        <w:pStyle w:val="TextoNormal"/>
      </w:pPr>
      <w:r>
        <w:t>f) Que constituyan áreas cuyo principal atractivo sea el turismo de compras.</w:t>
      </w:r>
    </w:p>
    <w:p w:rsidR="00AC56D6" w:rsidRDefault="00AC56D6" w:rsidP="00AC56D6">
      <w:pPr>
        <w:pStyle w:val="TextoNormal"/>
      </w:pPr>
    </w:p>
    <w:p w:rsidR="00AC56D6" w:rsidRDefault="00AC56D6" w:rsidP="00AC56D6">
      <w:pPr>
        <w:pStyle w:val="TextoNormal"/>
      </w:pPr>
      <w:r>
        <w:t>g) Cuando concurran circunstancias especiales que así lo justifiquen.</w:t>
      </w:r>
    </w:p>
    <w:p w:rsidR="00AC56D6" w:rsidRDefault="00AC56D6" w:rsidP="00AC56D6">
      <w:pPr>
        <w:pStyle w:val="TextoNormal"/>
      </w:pPr>
    </w:p>
    <w:p w:rsidR="00AC56D6" w:rsidRDefault="00AC56D6" w:rsidP="00AC56D6">
      <w:pPr>
        <w:pStyle w:val="TextoNormal"/>
      </w:pPr>
      <w:r>
        <w:t>5. En todo caso, en los municipios con más de 200.000 habitantes que hayan registrado más de 1.000.000 de pernoctaciones en el año inmediatamente anterior o que cuenten con puertos en los que operen cruceros turísticos que hayan recibido en el año inmediato anterior más de 400.000 pasajeros, se declarará, al menos, una zona de gran afluencia turística aplicando los criterios previstos en el apartado anterior.</w:t>
      </w:r>
    </w:p>
    <w:p w:rsidR="00AC56D6" w:rsidRDefault="00AC56D6" w:rsidP="00AC56D6">
      <w:pPr>
        <w:pStyle w:val="TextoNormal"/>
      </w:pPr>
    </w:p>
    <w:p w:rsidR="00AC56D6" w:rsidRDefault="00AC56D6" w:rsidP="00AC56D6">
      <w:pPr>
        <w:pStyle w:val="TextoNormal"/>
      </w:pPr>
      <w:r>
        <w:t>6. Las oficinas de farmacia, así como los estancos, se regirán por su normativa específica, aplicándose en su defecto las disposiciones de esta Ley.</w:t>
      </w:r>
    </w:p>
    <w:p w:rsidR="00AC56D6" w:rsidRDefault="00AC56D6" w:rsidP="00AC56D6">
      <w:pPr>
        <w:pStyle w:val="TextoNormal"/>
      </w:pPr>
    </w:p>
    <w:p w:rsidR="00AC56D6" w:rsidRDefault="00AC56D6" w:rsidP="00AC56D6">
      <w:pPr>
        <w:pStyle w:val="TextoNormal"/>
      </w:pPr>
      <w:r>
        <w:t>7. Dentro de los límites marcados por la presente Ley, las Comunidades Autónomas podrán regular específicamente los horarios comerciales de los establecimientos dedicados exclusivamente a la venta de productos culturales, así como los que presten servicios de esta naturaleza.”</w:t>
      </w:r>
    </w:p>
    <w:p w:rsidR="00AC56D6" w:rsidRDefault="00AC56D6" w:rsidP="00AC56D6">
      <w:pPr>
        <w:pStyle w:val="TextoNormal"/>
      </w:pPr>
    </w:p>
    <w:p w:rsidR="00AC56D6" w:rsidRDefault="00AC56D6" w:rsidP="00AC56D6">
      <w:pPr>
        <w:pStyle w:val="TextoNormal"/>
      </w:pPr>
      <w:r>
        <w:t>Respecto de este precepto, el Consejo de Gobierno de la Junta de Andalucía únicamente defiende la eventual inconstitucionalidad de los apartados 4 y 5 del artículo transcrito, por considerar que se exceden del concepto de bases e invaden las competencias estatutariamente reconocidas a la Comunidad autónoma de Andalucía.</w:t>
      </w:r>
    </w:p>
    <w:p w:rsidR="00AC56D6" w:rsidRDefault="00AC56D6" w:rsidP="00AC56D6">
      <w:pPr>
        <w:pStyle w:val="TextoNormal"/>
      </w:pPr>
    </w:p>
    <w:p w:rsidR="00AC56D6" w:rsidRDefault="00AC56D6" w:rsidP="00AC56D6">
      <w:pPr>
        <w:pStyle w:val="TextoNormal"/>
      </w:pPr>
      <w:r>
        <w:t xml:space="preserve">El punto de partida del régimen establecido en el art. 27.2 del Real Decreto-ley 20/2012, es el del reconocimiento de las competencias autonómicas para determinar los domingos o días festivos en los que podrán permanecer abiertos al público los comercios (apartado 4), </w:t>
      </w:r>
      <w:r>
        <w:lastRenderedPageBreak/>
        <w:t>respectando el mínimo anual (señalado en los apartados 1 y 2); igualmente, para delimitar el concepto de “atractivo comercial”, que ha de servir de pauta al establecimiento de un calendario de apertura de comercios en domingos o festivos, el apartado 5 ahora cuestionado establece cuatro criterios que “las Comunidades Autónomas deberán atender de forma prioritaria”.</w:t>
      </w:r>
    </w:p>
    <w:p w:rsidR="00AC56D6" w:rsidRDefault="00AC56D6" w:rsidP="00AC56D6">
      <w:pPr>
        <w:pStyle w:val="TextoNormal"/>
      </w:pPr>
    </w:p>
    <w:p w:rsidR="00AC56D6" w:rsidRDefault="00AC56D6" w:rsidP="00AC56D6">
      <w:pPr>
        <w:pStyle w:val="TextoNormal"/>
      </w:pPr>
      <w:r>
        <w:t>Por su parte, el apartado 3 del mismo art. 27 del Real Decreto-ley 20/2012, que modifica el art. 5 de la Ley 1/2004, dedicado a la regulación de los “establecimientos con régimen especial de horarios” introduce como novedad, que es objeto de impugnación por la recurrente, la delimitación de las circunstancias por las que determinados lugares (municipios o partes de los mismos) deben ser considerados como “zonas de gran afluencia turística”, estableciendo la exigencia de que concurra alguna de las siete circunstancias que se enuncian en el apartado 4, o bien, considerando como tales, en todo caso, las de los municipios con más de 200.000 habitantes que cumplan cualesquiera de las condiciones que prevé el apartado 5, en combinación con el apartado anterior.</w:t>
      </w:r>
    </w:p>
    <w:p w:rsidR="00AC56D6" w:rsidRDefault="00AC56D6" w:rsidP="00AC56D6">
      <w:pPr>
        <w:pStyle w:val="TextoNormal"/>
      </w:pPr>
    </w:p>
    <w:p w:rsidR="00AC56D6" w:rsidRDefault="00AC56D6" w:rsidP="00AC56D6">
      <w:pPr>
        <w:pStyle w:val="TextoNormal"/>
      </w:pPr>
      <w:r>
        <w:t>En relación a su carácter materialmente básico, hemos de apreciar que, en lo que se refiere a la nueva redacción del apartado 5 del art. 4 de la Ley 1/2004, la misma ha de ser integrada en la regulación del régimen de apertura de domingos y festivos que realizan los diversos apartados del artículo 4. Regulación que deja un margen de desarrollo a las Comunidades Autónomas, pues les permite —una vez respetado el mínimo establecido por el precepto estatal en su apartado 2— la determinación del número de días de apertura y, asimismo les faculta —teniendo en cuenta los criterios establecidos por el precepto estatal en su apartado 5— para que sean aquellas las que establezcan los concretos domingos y festivos de apertura. Y en lo que se refiere a la nueva redacción de los apartados 4 y 5 del art. 5 de la Ley 1/2004, hay que señalar que la ley estatal establece, también, un régimen mínimo de regulación en materia de determinación de zonas de gran afluencia turística, pues, con sujeción al mismo las Comunidades Autónomas pueden, también, añadir otras zonas con dicha calificación, haciendo uso de la circunstancia contenida en la letra g) del apartado 4. En efecto, hay que señalar que el precepto permite a las Comunidades Autónomas, no sólo determinar las que deban considerarse como tales, teniendo en cuenta las circunstancias enumeradas en las letras a) a f) del apartado 4, pero, a las anteriores, podrán añadir, también, otras zonas de gran afluencia turística cuando, como establece la letra g), la respectiva Comunidad autónoma aprecie que concurren circunstancias especiales que así lo justifiquen.</w:t>
      </w:r>
    </w:p>
    <w:p w:rsidR="00AC56D6" w:rsidRDefault="00AC56D6" w:rsidP="00AC56D6">
      <w:pPr>
        <w:pStyle w:val="TextoNormal"/>
      </w:pPr>
    </w:p>
    <w:p w:rsidR="00AC56D6" w:rsidRDefault="00AC56D6" w:rsidP="00AC56D6">
      <w:pPr>
        <w:pStyle w:val="TextoNormal"/>
      </w:pPr>
      <w:r>
        <w:t>Esta última circunstancia que cierra el apartado, a diferencia de lo que sostiene la recurrente, permite precisamente que la relación de los presupuestos que delimitan el concepto de “zonas de gran afluencia turística” no constituyan un catálogo taxativo y cerrado, sino un conjunto de mínimos a los que la Comunidad Autónoma pueda añadir otras circunstancias adicionales de carácter especial que justifiquen tal determinación.</w:t>
      </w:r>
    </w:p>
    <w:p w:rsidR="00AC56D6" w:rsidRDefault="00AC56D6" w:rsidP="00AC56D6">
      <w:pPr>
        <w:pStyle w:val="TextoNormal"/>
      </w:pPr>
    </w:p>
    <w:p w:rsidR="00AC56D6" w:rsidRDefault="00AC56D6" w:rsidP="00AC56D6">
      <w:pPr>
        <w:pStyle w:val="TextoNormal"/>
      </w:pPr>
      <w:r>
        <w:t xml:space="preserve">Igualmente, en el caso del apartado 5 del art. 5, se establece que, cuando concurran las circunstancias que el propio apartado prevé (tratarse de municipios con más de 200.000 habitantes que hayan registrado más de 1.000.000 de pernoctaciones en el año inmediatamente anterior o que cuenten con puertos en los que operen cruceros turísticos que hayan recibido en el año inmediato anterior más de 400.000 pasajeros), se declarará al menos una zona de gran afluencia turística, permitiendo, así que las Comunidades Autónomas puedan </w:t>
      </w:r>
      <w:r>
        <w:lastRenderedPageBreak/>
        <w:t>establecer zonas adicionales aplicando los criterios previstos en el apartado 4 del propio precepto.</w:t>
      </w:r>
    </w:p>
    <w:p w:rsidR="00AC56D6" w:rsidRDefault="00AC56D6" w:rsidP="00AC56D6">
      <w:pPr>
        <w:pStyle w:val="TextoNormal"/>
      </w:pPr>
    </w:p>
    <w:p w:rsidR="00AC56D6" w:rsidRDefault="00AC56D6" w:rsidP="00AC56D6">
      <w:pPr>
        <w:pStyle w:val="TextoNormal"/>
      </w:pPr>
      <w:r>
        <w:t>Así, los preceptos impugnados tienen por finalidad la fijación de las bases de la regulación en las dos materias señaladas, determinación de apertura de los domingos y festivos y determinación de las zonas de gran afluencia turística, aspectos éstos particularmente relevantes en la ordenación de la actividad comercial minorista, rama o sector de la economía nacional respecto a la cual el Estado puede, conforme a nuestra doctrina, establecer medidas básicas en cuanto lo requiera la adecuada ordenación de la actividad económica.</w:t>
      </w:r>
    </w:p>
    <w:p w:rsidR="00AC56D6" w:rsidRDefault="00AC56D6" w:rsidP="00AC56D6">
      <w:pPr>
        <w:pStyle w:val="TextoNormal"/>
      </w:pPr>
    </w:p>
    <w:p w:rsidR="00AC56D6" w:rsidRDefault="00AC56D6" w:rsidP="00AC56D6">
      <w:pPr>
        <w:pStyle w:val="TextoNormal"/>
      </w:pPr>
      <w:r>
        <w:t xml:space="preserve">A la luz de lo expuesto, debe considerarse efectivamente como formal y materialmente básica la regulación de los horarios comerciales contenida en los arts. 4.5, 5.4 y 5.5 de la Ley estatal 1/2004, descartando el argumento de la representación de la Comunidad Autónoma de Andalucía que cuestiona el carácter básico de los preceptos estatales de referencia. La aplicación de nuestra doctrina en relación con el art. 149.1.13 CE en lo que específicamente respecta a los horarios comerciales [al respecto, STC 225/1993, de 8 de julio, FJ 4 b) </w:t>
      </w:r>
      <w:r w:rsidRPr="00AC56D6">
        <w:rPr>
          <w:i/>
        </w:rPr>
        <w:t>in fine</w:t>
      </w:r>
      <w:r>
        <w:t>] permite sostener que la regulación de criterios para la determinación de los domingos y festivos de apertura en función del atractivo comercial para los consumidores y para la determinación de las zonas de gran afluencia turística, no supone sino el establecimiento de unas directrices o criterios globales que cumplen, dado su carácter de condiciones mínimas y comunes, los parámetros constitucionales para su consideración material de norma básica, en tanto que la misma encierra una serie de objetivos de política económica aplicables a un sector de gran trascendencia en nuestra economía como es el de la distribución comercial.</w:t>
      </w:r>
    </w:p>
    <w:p w:rsidR="00AC56D6" w:rsidRDefault="00AC56D6" w:rsidP="00AC56D6">
      <w:pPr>
        <w:pStyle w:val="TextoNormal"/>
      </w:pPr>
    </w:p>
    <w:p w:rsidR="00AC56D6" w:rsidRDefault="00AC56D6" w:rsidP="00AC56D6">
      <w:pPr>
        <w:pStyle w:val="TextoNormal"/>
      </w:pPr>
      <w:r>
        <w:t xml:space="preserve">Así, para la consecución de los objetivos básicos que persigue, la norma estatal únicamente pretende establecer un régimen dentro del cual cabe legítimamente la opción de la regulación autonómica en esta materia. En efecto, los indicados criterios respetan las competencias autonómicas en materia de comercio interior, pues las normas contenidas en los preceptos referidos de la Ley 1/2004 no son tan minuciosas o exhaustivas que agoten la regulación de la materia, sino que establecen un </w:t>
      </w:r>
      <w:r w:rsidRPr="00AC56D6">
        <w:rPr>
          <w:i/>
        </w:rPr>
        <w:t>minimum</w:t>
      </w:r>
      <w:r>
        <w:t xml:space="preserve"> sobre el que la Comunidad Autónoma pueda establecer una normativa adicional en el ejercicio de sus competencias. De esta manera no se agotan las posibilidades de que el legislador autonómico con competencia para ello pueda llevar a cabo desarrollos normativos que, sin detrimento de la eficacia de la norma estatal básica, permitan que cada Comunidad Autónoma pueda establecer sistemas singularizados en materia de apertura de comercios en domingos y festivos y en materia de determinación de las zonas de gran afluencia turística.</w:t>
      </w:r>
    </w:p>
    <w:p w:rsidR="00AC56D6" w:rsidRDefault="00AC56D6" w:rsidP="00AC56D6">
      <w:pPr>
        <w:pStyle w:val="TextoNormal"/>
      </w:pPr>
    </w:p>
    <w:p w:rsidR="00AC56D6" w:rsidRDefault="00AC56D6" w:rsidP="00AC56D6">
      <w:pPr>
        <w:pStyle w:val="TextoNormal"/>
      </w:pPr>
      <w:r>
        <w:t>Por las razones expuestas, la impugnación de los arts. 4.5, 5.4 y 5.5 de la Ley 1/2004, de 21 de diciembre, en la redacción dada por el art. 27 del Real Decreto-ley 20/2012, de 13 de julio, ha de ser desestimada.</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lastRenderedPageBreak/>
        <w:t>Ha decidido</w:t>
      </w:r>
    </w:p>
    <w:p w:rsidR="00AC56D6" w:rsidRDefault="00AC56D6" w:rsidP="00AC56D6">
      <w:pPr>
        <w:pStyle w:val="TextoNormalCentrado"/>
        <w:keepNext/>
      </w:pPr>
    </w:p>
    <w:p w:rsidR="00AC56D6" w:rsidRDefault="00AC56D6" w:rsidP="00AC56D6">
      <w:pPr>
        <w:pStyle w:val="TextoNormal"/>
      </w:pPr>
      <w:r>
        <w:t>Desestimar el presente recurso de inconstitucionalidad núm. 5741-2012.</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nueve de julio de dos mil quince.</w:t>
      </w:r>
    </w:p>
    <w:p w:rsidR="00AC56D6" w:rsidRDefault="00AC56D6" w:rsidP="00AC56D6">
      <w:pPr>
        <w:pStyle w:val="ParrafoNormal"/>
      </w:pPr>
    </w:p>
    <w:p w:rsidR="00AC56D6" w:rsidRDefault="00AC56D6" w:rsidP="00AC56D6">
      <w:pPr>
        <w:pStyle w:val="TextoNormalNegritaCentrado"/>
        <w:keepNext/>
      </w:pPr>
      <w:r>
        <w:t>Voto particular que formula el Magistrado don Antonio Narváez Rodríguez en relación con la Sentencia dictada en el recurso de inconstitucionalidad núm. 5741-2012, y al que se adhieren las Magistradas doña Adela Asua Batarrita y doña Encarnación Roca Trías, y los Magistrados don Fernando Valdés Dal-Ré y don Juan Antonio Xiol Ríos.</w:t>
      </w:r>
    </w:p>
    <w:p w:rsidR="00AC56D6" w:rsidRDefault="00AC56D6" w:rsidP="00AC56D6">
      <w:pPr>
        <w:pStyle w:val="TextoNormalNegritaCentrado"/>
        <w:keepNext/>
      </w:pPr>
    </w:p>
    <w:p w:rsidR="00AC56D6" w:rsidRDefault="00AC56D6" w:rsidP="00AC56D6">
      <w:pPr>
        <w:pStyle w:val="TextoNormal"/>
      </w:pPr>
      <w:r>
        <w:t>Aun cuando como Ponente de esta Sentencia me ha correspondido su redacción de conformidad con el parecer de la mayoría del Pleno de este Tribunal, mi posición es parcialmente contraria a aquél y así lo expuse en la deliberación previa, por lo que, en el momento presente, formulo Voto discrepante respecto de aquella, partiendo, como no puede ser menos, de la consideración y respeto que merece la decisión adoptada por los Sres. Magistrados de la mayoría.</w:t>
      </w:r>
    </w:p>
    <w:p w:rsidR="00AC56D6" w:rsidRDefault="00AC56D6" w:rsidP="00AC56D6">
      <w:pPr>
        <w:pStyle w:val="TextoNormal"/>
      </w:pPr>
    </w:p>
    <w:p w:rsidR="00AC56D6" w:rsidRDefault="00AC56D6" w:rsidP="00AC56D6">
      <w:pPr>
        <w:pStyle w:val="TextoNormal"/>
      </w:pPr>
      <w:r>
        <w:t>Mi discrepancia se localiza en el enjuiciamiento de constitucionalidad del art. 8 del Real Decreto-ley 20/2012, de 13 de julio, de medidas para garantizar la estabilidad presupuestaria y de fomento de la competitividad, que se hace en el fundamento jurídico 8 de la Sentencia, en razón a las siguientes consideraciones:</w:t>
      </w:r>
    </w:p>
    <w:p w:rsidR="00AC56D6" w:rsidRDefault="00AC56D6" w:rsidP="00AC56D6">
      <w:pPr>
        <w:pStyle w:val="TextoNormal"/>
      </w:pPr>
    </w:p>
    <w:p w:rsidR="00AC56D6" w:rsidRDefault="00AC56D6" w:rsidP="00AC56D6">
      <w:pPr>
        <w:pStyle w:val="TextoNormal"/>
      </w:pPr>
      <w:r>
        <w:t>1. Como punto de partida, comparto con la mayoría del Pleno la tesis de que la materia regulada en el art. 8 del Real Decreto-ley 20/2012 se encuadra en el título competencial del Estado referido al régimen jurídico de los funcionarios públicos (art. 149.1.18 CE), puesto que el citado precepto ha introducido sustanciales modificaciones en los arts. 48 y 50 de la Ley 7/2007, de 12 de abril, del estatuto básico del empleado público (en lo sucesivo, LEEP), dedicados a la regulación de los permisos y vacaciones de los funcionarios públicos, que afecta a aspectos medulares de su régimen estatutario.</w:t>
      </w:r>
    </w:p>
    <w:p w:rsidR="00AC56D6" w:rsidRDefault="00AC56D6" w:rsidP="00AC56D6">
      <w:pPr>
        <w:pStyle w:val="TextoNormal"/>
      </w:pPr>
    </w:p>
    <w:p w:rsidR="00AC56D6" w:rsidRDefault="00AC56D6" w:rsidP="00AC56D6">
      <w:pPr>
        <w:pStyle w:val="TextoNormal"/>
      </w:pPr>
      <w:r>
        <w:t xml:space="preserve">Igualmente, estoy de acuerdo con el análisis de la doctrina general que, al comienzo del fundamento jurídico 8, hace la Sentencia del sistema de distribución competencial que se deriva de la Constitución y del Estatuto de Autonomía de Andalucía sobre el indicado régimen estatutario de los funcionarios públicos y que se sintetiza en que, de conformidad con el art. 149.1.18 CE, corresponde al Estado la competencia exclusiva para establecer las bases de dicho régimen estatutario, expresión que ha de entenderse referida a los funcionarios de todas las administraciones públicas, incluidas, por tanto, los de las administraciones autonómicas como también los de las corporaciones locales. Del mismo modo, respecto del caso particular de Andalucía ahora enjuiciado, corresponde a la citada Comunidad Autónoma, como competencia compartida, la normativa de desarrollo legislativo y ejecución de aquel régimen, eso sí de conformidad con el título competencial básico del art. 149.1.18 CE [arts. 47.2.1 y 76 del Estatuto de Autonomía de Andalucía (en adelante, EAAnd)], respecto </w:t>
      </w:r>
      <w:r>
        <w:lastRenderedPageBreak/>
        <w:t>de los diferentes cuerpos de funcionarios públicos al servicio de dicha Comunidad Autónoma como de los que, también, pertenezcan a las corporaciones locales radicadas en su ámbito territorial.</w:t>
      </w:r>
    </w:p>
    <w:p w:rsidR="00AC56D6" w:rsidRDefault="00AC56D6" w:rsidP="00AC56D6">
      <w:pPr>
        <w:pStyle w:val="TextoNormal"/>
      </w:pPr>
    </w:p>
    <w:p w:rsidR="00AC56D6" w:rsidRDefault="00AC56D6" w:rsidP="00AC56D6">
      <w:pPr>
        <w:pStyle w:val="TextoNormal"/>
      </w:pPr>
      <w:r>
        <w:t>2. Pues bien, en relación con el indicado marco de distribución de competencias que se describe con detalle en este fundamento jurídico 8 de la Sentencia, al que no me voy a referir porque comparto las consideraciones generales que se recogen en el mismo, sí me interesa poner de manifiesto que mi discrepancia tiene que ver con el criterio de aplicación de aquél a los preceptos cuestionados y, lógicamente también, con el fallo que recoge la Sentencia.</w:t>
      </w:r>
    </w:p>
    <w:p w:rsidR="00AC56D6" w:rsidRDefault="00AC56D6" w:rsidP="00AC56D6">
      <w:pPr>
        <w:pStyle w:val="TextoNormal"/>
      </w:pPr>
    </w:p>
    <w:p w:rsidR="00AC56D6" w:rsidRDefault="00AC56D6" w:rsidP="00AC56D6">
      <w:pPr>
        <w:pStyle w:val="TextoNormal"/>
      </w:pPr>
      <w:r>
        <w:t>A mi modo de ver la Sentencia no ha hecho una correcta aplicación del sistema de distribución competencial que, de modo general, se ha descrito en los párrafos que preceden al estudio de los arts. 48 y 50 LEEP, modificados por el art. 8 del Real Decreto-ley 20/2012. Después de comenzar el análisis aludiendo a determinados apartados del art. 48 LEEP, [los apartados c), d), e), h) y j)], respecto de los que no advierto ninguna contravención con el sistema de reparto competencial, pues el contenido de todos ellos limitan su texto a la mera descripción del concepto y finalidad por la que se puede conceder el permiso al funcionario público y su duración viene implícitamente delimitada por el propio objeto de cada modalidad del permiso, en donde comienza mi discrepancia es en el enjuiciamiento del resto de apartados del art. 48 [apartados a), b), f) k) y l)] y del art. 50 LEEP, dedicados, respectivamente, a la regulación de otros supuestos de permisos y a la del régimen de vacaciones anuales de los funcionarios públicos.</w:t>
      </w:r>
    </w:p>
    <w:p w:rsidR="00AC56D6" w:rsidRDefault="00AC56D6" w:rsidP="00AC56D6">
      <w:pPr>
        <w:pStyle w:val="TextoNormal"/>
      </w:pPr>
    </w:p>
    <w:p w:rsidR="00AC56D6" w:rsidRDefault="00AC56D6" w:rsidP="00AC56D6">
      <w:pPr>
        <w:pStyle w:val="TextoNormal"/>
      </w:pPr>
      <w:r>
        <w:t>Siguiendo la misma línea argumental que en los anteriormente citados apartados del art. 48 LEEP, estoy de acuerdo con la tesis de la mayoría de que, respecto de los últimamente citados, resulta conforme a la normativa básica que el Estado pueda establecer diferentes tipos de permisos y que disponga también la regulación de una normativa básica sobre vacaciones, de tal manera que serían conformes al régimen de bases del Estado los diferentes conceptos y finalidades para los que se han diseñado los permisos que aparecen recogidos en los apartados de referencia así como la determinación de un régimen general de vacaciones para todos los funcionarios públicos, cualquiera que sea la administración pública de la que dependan.</w:t>
      </w:r>
    </w:p>
    <w:p w:rsidR="00AC56D6" w:rsidRDefault="00AC56D6" w:rsidP="00AC56D6">
      <w:pPr>
        <w:pStyle w:val="TextoNormal"/>
      </w:pPr>
    </w:p>
    <w:p w:rsidR="00AC56D6" w:rsidRDefault="00AC56D6" w:rsidP="00AC56D6">
      <w:pPr>
        <w:pStyle w:val="TextoNormal"/>
      </w:pPr>
      <w:r>
        <w:t>En lo que no estoy de acuerdo y, por ello, me he apartado del criterio de la mayoría, es en el punto concreto de que también forme parte de la normativa básica la fijación de la duración concreta, tanto de los días u horas hábiles dedicados a cada una de las modalidades de permiso, como de los que puedan disfrutar los funcionarios públicos por el concepto de vacaciones anuales, pues en tales casos, como sostiene el Gobierno de la Junta de Andalucía recurrente, la norma estatal agota toda posibilidad de desarrollo normativo y de ejecución.</w:t>
      </w:r>
    </w:p>
    <w:p w:rsidR="00AC56D6" w:rsidRDefault="00AC56D6" w:rsidP="00AC56D6">
      <w:pPr>
        <w:pStyle w:val="TextoNormal"/>
      </w:pPr>
    </w:p>
    <w:p w:rsidR="00AC56D6" w:rsidRDefault="00AC56D6" w:rsidP="00AC56D6">
      <w:pPr>
        <w:pStyle w:val="TextoNormal"/>
      </w:pPr>
      <w:r>
        <w:t>A mi juicio, el texto de los indicados preceptos imposibilita cualquier margen de autonomía a la Comunidad Autónoma andaluza para poder establecer normas de desarrollo de los diferentes tipos de permisos o vacaciones contenidos en la norma estatal y de poder hacerlos efectivos en el ejercicio de las competencias en materia funcionarial que estatutariamente le corresponden (arts. 47.2.1 y 76 EAAnd). Los términos que aluden al número de los días u horas hábiles que se citan de modo expreso en los apartados mencionados son, por ello, contrarios a los términos que delimita el título competencial del art. 149.1.18 CE y, por ende, inconstitucionales con el límite que luego determinaremos.</w:t>
      </w:r>
    </w:p>
    <w:p w:rsidR="00AC56D6" w:rsidRDefault="00AC56D6" w:rsidP="00AC56D6">
      <w:pPr>
        <w:pStyle w:val="TextoNormal"/>
      </w:pPr>
    </w:p>
    <w:p w:rsidR="00AC56D6" w:rsidRDefault="00AC56D6" w:rsidP="00AC56D6">
      <w:pPr>
        <w:pStyle w:val="TextoNormal"/>
      </w:pPr>
      <w:r>
        <w:t>3. No estoy de acuerdo con la argumentación que se expone en la Sentencia de la mayoría para justificar que, aún en estos casos, restará un margen a las comunidades autónomas para establecer normas de desarrollo y ejecución de la reputada como básica, pues, según se afirma en el texto, la comunidad autónoma correspondiente puede “optar por fijar la forma y manera” de la utilización de los permisos, pudiendo “disfrutarse dentro o fuera de determinadas fechas del calendario anual o sin unirlos a los de las vacaciones” y los de las vacaciones, delimitando su aplicación a “determinados períodos de tiempo, por días sueltos o estableciendo un mínimo de días consecutivos etc...”. La argumentación que así se expone pudiera satisfacer, no en todos los casos —hay supuestos de permisos como, por ejemplo, el consignado en el apartado a) del art. 48, que permite su concesión por causa de fallecimiento o enfermedad grave de un familiar muy cercano en parentesco, que, por razones obvias, solo pueden utilizarse en las fechas más próximas a los eventos para los que han sido previstos—, la competencia de ejecución de la comunidad autónoma sobre esta materia, pues se trataría de la simple operación de llevar a efecto la aplicación práctica y singularizada a cada funcionario público del sistema de permisos o de vacaciones regulado en su integridad por los arts. 48 y 50 LEEP; según mi parecer, en ningún caso la norma estatal permite margen alguno para el ejercicio de la otra competencia complementaria, la de la normativa de desarrollo legislativo, que, en este caso, el Estatuto de Autonomía de Andalucía asigna al Ejecutivo autonómico andaluz.</w:t>
      </w:r>
    </w:p>
    <w:p w:rsidR="00AC56D6" w:rsidRDefault="00AC56D6" w:rsidP="00AC56D6">
      <w:pPr>
        <w:pStyle w:val="TextoNormal"/>
      </w:pPr>
    </w:p>
    <w:p w:rsidR="00AC56D6" w:rsidRDefault="00AC56D6" w:rsidP="00AC56D6">
      <w:pPr>
        <w:pStyle w:val="TextoNormal"/>
      </w:pPr>
      <w:r>
        <w:t>Esta modalidad de atribución competencial, a mi juicio, habría sido respetada por la norma estatal básica si los preceptos impugnados hubieran incluido un texto en el que la duración de los diferentes permisos y del régimen de vacaciones anuales viniera establecido conforme a un mínimo mejorable o a un máximo reducible o, incluso, a una combinación de ambos, de tal manera que la comunidad autónoma competente hubiera podido establecer una normativa legislativa de desarrollo que le hubiera permitido concretar en días o en horas hábiles el disfrute de los diferentes tipos de permisos para los funcionarios públicos dependientes de aquélla. Tal es, por ejemplo, el enunciado de los apartados contenidos en las letras g) e i) del art. 48 LEEP. En ambos, si bien se hace una referencia expresa a una duración, ya sea de horas o de un mes de ausencia justificada al puesto de trabajo para cumplimiento de los fines que se expresan en los mismos, los indicados apartados no agotan el régimen de la duración de estos permisos, como hemos visto que sucede en los anteriores, por cuanto se dispone que la mencionada duración será como “máximo” del tiempo o plazo que se indica en aquéllos, de tal manera que la referencia expresa a la fijación de un límite máximo permite en ambos casos a las Comunidades Autónomas, particularmente a la andaluza recurrente, que puedan establecer una normativa de desarrollo y ejecución que fije el tiempo o plazo que considere apropiado a la satisfacción de las necesidades para las que están previstos, haciéndolo coincidir o reducir con los máximos de duración que los dos apartados de la norma estatal prevé.</w:t>
      </w:r>
    </w:p>
    <w:p w:rsidR="00AC56D6" w:rsidRDefault="00AC56D6" w:rsidP="00AC56D6">
      <w:pPr>
        <w:pStyle w:val="TextoNormal"/>
      </w:pPr>
    </w:p>
    <w:p w:rsidR="00AC56D6" w:rsidRDefault="00AC56D6" w:rsidP="00AC56D6">
      <w:pPr>
        <w:pStyle w:val="TextoNormal"/>
      </w:pPr>
      <w:r>
        <w:t xml:space="preserve">4. Por todo ello, entiendo que, una vez analizados de modo detallado los diferentes apartados de los preceptos impugnados, la conclusión a la que debería haber llegado la sentencia tendría que haber sido que la nueva regulación, si bien halla su fundamento en la competencia del Estado sobre las bases del régimen de derechos y deberes de los funcionarios públicos (art. 149.1.18 CE) en lo que se refiere a los distintos conceptos y finalidades por las que pueden ser concedidos permisos o vacaciones, no se ajusta, en cambio, al régimen de lo básico en los singulares apartados que dispongan una duración concreta para su disfrute, </w:t>
      </w:r>
      <w:r>
        <w:lastRenderedPageBreak/>
        <w:t>por haber invadido la competencia compartida —desarrollo legislativo y ejecución— que le ha sido reconocida estatutariamente a la Comunidad Autónoma de Andalucía en esta materia. Este pronunciamiento de inconstitucionalidad no habría alcanzado, sin embargo, la nulidad de los apartados y preceptos citados, porque son conformes a la Constitución en lo que se refiere al ámbito de la Administración general del Estado, siendo su regulación aplicable a los funcionarios públicos dependientes de dicha Administración pero no así a los pertenecientes a las comunidades autónomas y corporaciones locales.</w:t>
      </w:r>
    </w:p>
    <w:p w:rsidR="00AC56D6" w:rsidRDefault="00AC56D6" w:rsidP="00AC56D6">
      <w:pPr>
        <w:pStyle w:val="TextoNormal"/>
      </w:pPr>
    </w:p>
    <w:p w:rsidR="00AC56D6" w:rsidRDefault="00AC56D6" w:rsidP="00AC56D6">
      <w:pPr>
        <w:pStyle w:val="TextoNormal"/>
      </w:pPr>
      <w:r>
        <w:t>5. A mi parecer y en lo que se refiere al particular de mi discrepancia, el fallo de la sentencia debería haber sido estimatorio parcial del recurso, con declaración de que el art. 8, apartados Uno y Dos del Real Decreto-ley 20/2012, que ha dado nueva redacción a los arts. 48, letras a), b), f), k) y l) y art. 50, párrafo primero de la Ley del estatuto básico del empleado público es inconstitucional en lo que se refiere a la específica duración de los permisos y vacaciones de los funcionarios de las Administraciones, de las Comunidades Autónomas y de las Corporaciones Locales, sin que deba ser declarado nulo en los que atañe a los funcionarios de la Administración General del Estado.</w:t>
      </w:r>
    </w:p>
    <w:p w:rsidR="00AC56D6" w:rsidRDefault="00AC56D6" w:rsidP="00AC56D6">
      <w:pPr>
        <w:pStyle w:val="TextoNormal"/>
      </w:pPr>
    </w:p>
    <w:p w:rsidR="00AC56D6" w:rsidRDefault="00AC56D6" w:rsidP="00AC56D6">
      <w:pPr>
        <w:pStyle w:val="TextoNormal"/>
      </w:pPr>
      <w:r>
        <w:t>Por todo ello, emito mi Voto particular discrepante.</w:t>
      </w:r>
    </w:p>
    <w:p w:rsidR="00AC56D6" w:rsidRDefault="00AC56D6" w:rsidP="00AC56D6">
      <w:pPr>
        <w:pStyle w:val="TextoNormal"/>
      </w:pPr>
    </w:p>
    <w:p w:rsidR="00AC56D6" w:rsidRDefault="00AC56D6" w:rsidP="00AC56D6">
      <w:pPr>
        <w:pStyle w:val="TextoNormal"/>
      </w:pPr>
      <w:r>
        <w:t>Madrid, a nueve de julio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3" w:name="SENTENCIA_2015_157"/>
      <w:r>
        <w:lastRenderedPageBreak/>
        <w:t>SENTENCIA 157/2015, de 9 de julio de 2015</w:t>
      </w:r>
    </w:p>
    <w:bookmarkEnd w:id="13"/>
    <w:p w:rsidR="00AC56D6" w:rsidRDefault="00AC56D6" w:rsidP="00AC56D6">
      <w:pPr>
        <w:pStyle w:val="TtuloResolucin"/>
      </w:pPr>
      <w:r>
        <w:t>Pleno</w:t>
      </w:r>
    </w:p>
    <w:p w:rsidR="00AC56D6" w:rsidRDefault="00AC56D6" w:rsidP="00AC56D6">
      <w:pPr>
        <w:pStyle w:val="TtuloBOE"/>
      </w:pPr>
      <w:r>
        <w:t>(BOE núm. 194, de 14 de agosto de 2015)</w:t>
      </w:r>
    </w:p>
    <w:p w:rsidR="00AC56D6" w:rsidRDefault="00AC56D6" w:rsidP="00AC56D6">
      <w:pPr>
        <w:pStyle w:val="TextoNormalCentrado"/>
      </w:pPr>
      <w:r>
        <w:t>ECLI:ES:TC:2015:157</w:t>
      </w:r>
    </w:p>
    <w:p w:rsidR="00AC56D6" w:rsidRDefault="00AC56D6" w:rsidP="00AC56D6">
      <w:pPr>
        <w:pStyle w:val="TextoNormalCentrado"/>
      </w:pPr>
    </w:p>
    <w:p w:rsidR="00AC56D6" w:rsidRDefault="00AC56D6" w:rsidP="00AC56D6">
      <w:pPr>
        <w:pStyle w:val="SntesisDescriptiva"/>
      </w:pPr>
      <w:r>
        <w:t>Cuestión de inconstitucionalidad 6096-2013. Planteada por la Sala de lo Contencioso-Administrativo del Tribunal Superior de Justicia de Galicia, respecto del artículo 30 del Decreto Legislativo 1/2008, de 13 de marzo, de la Xunta de Galicia, por el que se aprueba el texto refundido de la Ley de función pública de Galicia, en la redacción dada al mismo por la Ley 15/2010, de 28 de diciembre.</w:t>
      </w:r>
    </w:p>
    <w:p w:rsidR="00AC56D6" w:rsidRDefault="00AC56D6" w:rsidP="00AC56D6">
      <w:pPr>
        <w:pStyle w:val="SntesisDescriptiva"/>
      </w:pPr>
    </w:p>
    <w:p w:rsidR="00AC56D6" w:rsidRDefault="00AC56D6" w:rsidP="00AC56D6">
      <w:pPr>
        <w:pStyle w:val="SntesisAnaltica"/>
      </w:pPr>
      <w:r>
        <w:t>Derecho de acceso a las funciones públicas en condiciones de igualdad: inadmisión de la cuestión por inadecuada realización del trámite de audiencia a las partes y al Ministerio Fiscal en el proceso judicial.</w:t>
      </w:r>
    </w:p>
    <w:p w:rsidR="00AC56D6" w:rsidRDefault="00AC56D6" w:rsidP="00AC56D6">
      <w:pPr>
        <w:pStyle w:val="SntesisAnaltica"/>
      </w:pPr>
    </w:p>
    <w:p w:rsidR="00AC56D6" w:rsidRDefault="00AC56D6" w:rsidP="00AC56D6">
      <w:pPr>
        <w:pStyle w:val="Extracto"/>
      </w:pPr>
      <w:r>
        <w:t>1.</w:t>
      </w:r>
      <w:r>
        <w:tab/>
        <w:t xml:space="preserve">Siendo cierto que la representación de la Xunta alegó sobre dicho extremo en el proceso </w:t>
      </w:r>
      <w:r w:rsidRPr="00AC56D6">
        <w:rPr>
          <w:i/>
        </w:rPr>
        <w:t>a quo</w:t>
      </w:r>
      <w:r>
        <w:t>, no lo es menos que lo hizo en unos términos que no negaban, de manera radical y absoluta, la legitimación del entonces demandante, sino que se referían, más bien, a su falta de legitimación para la impugnación de determinados puestos de los incluidos en la relación de puestos de trabajo controvertida y ello en atención a que el actor no habría acreditado contar con las condiciones para poder optar a todas y cada una de las jefaturas de servicio entonces en polémica [FJ 3.a)].</w:t>
      </w:r>
    </w:p>
    <w:p w:rsidR="00AC56D6" w:rsidRDefault="00AC56D6" w:rsidP="00AC56D6">
      <w:pPr>
        <w:pStyle w:val="Extracto"/>
      </w:pPr>
    </w:p>
    <w:p w:rsidR="00AC56D6" w:rsidRDefault="00AC56D6" w:rsidP="00AC56D6">
      <w:pPr>
        <w:pStyle w:val="Extracto"/>
      </w:pPr>
      <w:r>
        <w:t>2.</w:t>
      </w:r>
      <w:r>
        <w:tab/>
        <w:t>Sin haber sido oída la parte demandada, que oportunamente alegó, la cuestión misma no puede seguir su curso ante este Tribunal, cuya jurisdicción para controlar la ley, descansa siempre en la concurrencia de los presupuestos procesales en cada caso exigidos por la LOTC, presupuestos cuyo incumplimiento no puede ser pasado por alto sin devaluar el sentido del trámite omitido o defectuosamente realizado [FJ 3.b)].</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lastRenderedPageBreak/>
        <w:t>SENTENCIA</w:t>
      </w:r>
    </w:p>
    <w:p w:rsidR="00AC56D6" w:rsidRDefault="00AC56D6" w:rsidP="00AC56D6">
      <w:pPr>
        <w:pStyle w:val="TextoNormalCentrado"/>
        <w:keepNext/>
      </w:pPr>
    </w:p>
    <w:p w:rsidR="00AC56D6" w:rsidRDefault="00AC56D6" w:rsidP="00AC56D6">
      <w:pPr>
        <w:pStyle w:val="TextoNormal"/>
      </w:pPr>
      <w:r>
        <w:t>En la cuestión de inconstitucionalidad núm. 6096-2013, promovida por la Sección Primera de la Sala de lo Contencioso-Administrativo del Tribunal Superior de Justicia de Galicia, respecto del art. 30 del Decreto Legislativo 1/2008, de 13 de marzo, de la Xunta de Galicia, por el que se aprueba el texto refundido de la Ley de función pública de Galicia, en la redacción dada al mismo por el art. 21 de la Ley 15/2010, de 28 de diciembre. Han comparecido el Letrado de la Xunta de Galicia, el Letrado del Parlamento de Galicia, el Abogado del Estado, en la representación que ostenta, y el Fiscal General del Estado. Ha sido Ponente la Magistrada doña Encarnación Roca Trías,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Con fecha 17 de octubre de 2013 tuvo entrada en el Registro General del Tribunal Constitucional oficio de la Secretaría judicial de la Sección Primera de la Sala de lo Contencioso-Administrativo del Tribunal Superior de Justicia de Galicia, del día 10 del mismo mes, al que se adjuntó Auto de 6 de junio de 2013 por el que la Sección referida resolvió elevar cuestión de inconstitucionalidad sobre el artículo 30 del Decreto Legislativo 1/2008, de 13 de marzo, por el que se aprobó el texto refundido de la Ley de función pública de Galicia, en la redacción dada al mismo por el artículo 21 de la Ley 15/2010, de 28 de diciembre, de medidas fiscales y administrativas. Se adjuntó al mismo oficio testimonio del expediente administrativo, de las actuaciones y de los escritos presentados por las partes en dicho procedimiento.</w:t>
      </w:r>
    </w:p>
    <w:p w:rsidR="00AC56D6" w:rsidRDefault="00AC56D6" w:rsidP="00AC56D6">
      <w:pPr>
        <w:pStyle w:val="TextoNormal"/>
      </w:pPr>
    </w:p>
    <w:p w:rsidR="00AC56D6" w:rsidRDefault="00AC56D6" w:rsidP="00AC56D6">
      <w:pPr>
        <w:pStyle w:val="TextoNormal"/>
      </w:pPr>
      <w:r>
        <w:t>Lo expuesto y argumentado en el Auto por el que se plantea la cuestión de inconstitucionalidad puede resumirse como sigue:</w:t>
      </w:r>
    </w:p>
    <w:p w:rsidR="00AC56D6" w:rsidRDefault="00AC56D6" w:rsidP="00AC56D6">
      <w:pPr>
        <w:pStyle w:val="TextoNormal"/>
      </w:pPr>
    </w:p>
    <w:p w:rsidR="00AC56D6" w:rsidRDefault="00AC56D6" w:rsidP="00AC56D6">
      <w:pPr>
        <w:pStyle w:val="TextoNormal"/>
      </w:pPr>
      <w:r>
        <w:t>a) Ante la Sección que promueve la cuestión se interpuso recurso contencioso-administrativo por funcionario del cuerpo facultativo de grado medio de la Xunta de Galicia (escala ejecutiva del servicio de guardacostas) contra resolución de 11 de abril de 2011, por la que se ordenó la publicación de la modificación de la relación de puestos de trabajo de la Consejería del Mar llevada a cabo por acuerdo del Consejo de la Xunta de Galicia de 10 de marzo de 2011, en relación exclusivamente con el sistema de provisión por libre designación de 43 puestos de trabajo. Pretendía el demandante se declarase la nulidad de dicho sistema de provisión respecto de los mentados puestos de trabajo, entre los que figuran 25 plazas de jefatura de servicio de la Consejería del Mar, al entender que no aparecen motivadas en el expediente y que se contravienen las previsiones tanto del artículo 20 de la Ley 30/1984, de 2 de agosto, de medidas para la reforma de la función pública, como del artículo 30 del Decreto Legislativo 1/2008, de 13 de marzo, que aprobó el texto refundido de la Ley de función pública de Galicia.</w:t>
      </w:r>
    </w:p>
    <w:p w:rsidR="00AC56D6" w:rsidRDefault="00AC56D6" w:rsidP="00AC56D6">
      <w:pPr>
        <w:pStyle w:val="TextoNormal"/>
      </w:pPr>
    </w:p>
    <w:p w:rsidR="00AC56D6" w:rsidRDefault="00AC56D6" w:rsidP="00AC56D6">
      <w:pPr>
        <w:pStyle w:val="TextoNormal"/>
      </w:pPr>
      <w:r>
        <w:t xml:space="preserve">b) Realizado el señalamiento para votación y fallo del recurso, la Sección acordó, por providencia de 16 de abril de 2013, dar traslado a las partes y al Ministerio Fiscal, por plazo común de diez días, para que alegasen acerca de la necesidad de plantear cuestión de inconstitucionalidad sobre el artículo 30 del Decreto Legislativo 1/2008, en la redacción dada por el artículo 21 de la Ley 15/2010, por la posible vulneración del derecho fundamental de acceso a los cargos y funciones públicas (art. 23.2 CE), derecho cuya configuración legal </w:t>
      </w:r>
      <w:r>
        <w:lastRenderedPageBreak/>
        <w:t>vendría dada, en primer lugar, por la legislación básica estatal (art. 149.1.18 CE), legislación constituida por la Ley 7/2007, del estatuto básico del empleado público (LEEP), y por la Ley 30/1984, de medidas para la reforma de la función pública.</w:t>
      </w:r>
    </w:p>
    <w:p w:rsidR="00AC56D6" w:rsidRDefault="00AC56D6" w:rsidP="00AC56D6">
      <w:pPr>
        <w:pStyle w:val="TextoNormal"/>
      </w:pPr>
    </w:p>
    <w:p w:rsidR="00AC56D6" w:rsidRDefault="00AC56D6" w:rsidP="00AC56D6">
      <w:pPr>
        <w:pStyle w:val="TextoNormal"/>
      </w:pPr>
      <w:r>
        <w:t>c) Se dice en el Auto de planteamiento que tan sólo el Ministerio Fiscal presentó su informe en el trámite al que se refiere el apartado anterior, informe que concluyó en la procedencia de plantear cuestión de inconstitucionalidad.</w:t>
      </w:r>
    </w:p>
    <w:p w:rsidR="00AC56D6" w:rsidRDefault="00AC56D6" w:rsidP="00AC56D6">
      <w:pPr>
        <w:pStyle w:val="TextoNormal"/>
      </w:pPr>
    </w:p>
    <w:p w:rsidR="00AC56D6" w:rsidRDefault="00AC56D6" w:rsidP="00AC56D6">
      <w:pPr>
        <w:pStyle w:val="TextoNormal"/>
      </w:pPr>
      <w:r>
        <w:t>d) Tras referirse a la procedencia y requisitos de la cuestión planteada, el Auto señala que la disposición legal cuestionada es el artículo 30 del Decreto Legislativo 1/2008, por el que se aprobó el texto refundido de la Ley de función pública de Galicia, en la redacción dada por el artículo 21 de la Ley 15/2010, de 28 de diciembre, de medidas fiscales y administrativa. De acuerdo con el precepto “(s)e proveerán por el sistema de libre designación, con convocatoria pública entre personal funcionario de carrera, los puestos de trabajo de carácter directivo o de especial responsabilidad y aquellos que requieran una confianza personal para ejercer sus funciones. En todo caso, mediante este procedimiento, se proveerán las subdirecciones generales o equivalentes, jefaturas de servicio o equivalentes, las secretarías de altos cargos, así como excepcionalmente, otros de nivel inferior que, como tales, se determinen en las relaciones de puestos de trabajo, según los criterios que se establezcan, en este último caso, previa negociación con las organizaciones sindicales. Los puestos clasificados como de libre designación estarán sometidos a disponibilidad horaria en los términos que se establezcan reglamentariamente”.</w:t>
      </w:r>
    </w:p>
    <w:p w:rsidR="00AC56D6" w:rsidRDefault="00AC56D6" w:rsidP="00AC56D6">
      <w:pPr>
        <w:pStyle w:val="TextoNormal"/>
      </w:pPr>
    </w:p>
    <w:p w:rsidR="00AC56D6" w:rsidRDefault="00AC56D6" w:rsidP="00AC56D6">
      <w:pPr>
        <w:pStyle w:val="TextoNormal"/>
      </w:pPr>
      <w:r>
        <w:t xml:space="preserve">Entiende el Tribunal </w:t>
      </w:r>
      <w:r w:rsidRPr="00AC56D6">
        <w:rPr>
          <w:i/>
        </w:rPr>
        <w:t>a quo</w:t>
      </w:r>
      <w:r>
        <w:t xml:space="preserve"> que el precepto cuestionado podría conculcar el derecho fundamental de acceso a las funciones y cargos públicos en condiciones de igualdad (art. 23.2 CE), derecho que opera no sólo en el momento del acceso, sino también, conforme a la jurisprudencia constitucional que cita, durante la vigencia de la relación funcionarial y que resulta aplicable al sistema de provisión de puestos de trabajo. Añade que aquel derecho fundamental es de configuración legal, de modo tal que corresponde al legislador establecer las condiciones de acceso a la función pública con arreglo a los principios de igualdad, mérito y capacidad (art. 103.3 CE), lo que entraña una garantía de orden material que se traduce en la exigencia de predeterminar cuáles hayan de ser las condiciones para acceder a la función pública de conformidad con aquellos principios y que, a efectos de dicha configuración legal, la primera normativa llamada a determinar tales extremos es la legislación básica estatal, constituida aquí por el artículo 20.1 b) de la Ley 30/1984, que permanece en vigor en virtud de lo dispuesto por la disposición derogatoria única, letra b), LEEP, que reserva el sistema de libre designación para los puestos de carácter directivo o de especial responsabilidad que así se determinen en las relaciones de puestos de trabajo, así como por lo dispuesto en el artículo 80.2 LEEP, conforme al cual “(l)as leyes de Función Pública que se dicten en desarrollo del presente Estatuto establecerán los criterios para determinar los puestos de trabajo que por su especial responsabilidad y confianza puedan cubrirse por el procedimiento de libre designación con convocatoria pública”. Señala la Sección que no cabe dudar del carácter básico de esta previsión normativa, en atención a lo establecido en la disposición final primera del mismo estatuto del empleado público y cita al respecto el artículo 149.1.18 CE.</w:t>
      </w:r>
    </w:p>
    <w:p w:rsidR="00AC56D6" w:rsidRDefault="00AC56D6" w:rsidP="00AC56D6">
      <w:pPr>
        <w:pStyle w:val="TextoNormal"/>
      </w:pPr>
    </w:p>
    <w:p w:rsidR="00AC56D6" w:rsidRDefault="00AC56D6" w:rsidP="00AC56D6">
      <w:pPr>
        <w:pStyle w:val="TextoNormal"/>
      </w:pPr>
      <w:r>
        <w:t xml:space="preserve">e) Se refiere a continuación el Auto a la relevancia para la resolución del recurso pendiente de la conformidad o no a la Constitución del precepto legal cuestionado, señalando </w:t>
      </w:r>
      <w:r>
        <w:lastRenderedPageBreak/>
        <w:t>al efecto que el mismo establece el sistema de provisión por libre designación de cuarenta y tres plazas de la Consejería del Mar, entre las que se encuentran veinticinco puestos de jefatura de servicio, que la resolución judicial relaciona. Observa, a continuación, que el recurrente fundamenta su impugnación en que por la Administración no se indican las funciones de dirección que determinen la opción de su provisión por el sistema de libre designación, en tanto que la Xunta de Galicia se opone, tan sólo, invocando que dicha determinación viene impuesta por el precepto cuestionado, lo que muestra la relevancia de su constitucionalidad en orden a la respuesta jurisdiccional que proceda dar al recurso contencioso-administrativo. Por otro lado, la expresión “en todo caso” que figura en el precepto cuestionado no deja margen para una interpretación conforme con la legislación básica. Sería, pues, insoslayable plantear la inconstitucionalidad mediata o indirecta de un precepto autonómico por posible vulneración de la normativa estatal de carácter básico.</w:t>
      </w:r>
    </w:p>
    <w:p w:rsidR="00AC56D6" w:rsidRDefault="00AC56D6" w:rsidP="00AC56D6">
      <w:pPr>
        <w:pStyle w:val="TextoNormal"/>
      </w:pPr>
    </w:p>
    <w:p w:rsidR="00AC56D6" w:rsidRDefault="00AC56D6" w:rsidP="00AC56D6">
      <w:pPr>
        <w:pStyle w:val="TextoNormal"/>
      </w:pPr>
      <w:r w:rsidRPr="00AC56D6">
        <w:rPr>
          <w:rStyle w:val="NumeroAFNegritaCaracter"/>
        </w:rPr>
        <w:t>2</w:t>
      </w:r>
      <w:r>
        <w:t>. Por providencia de 3 de diciembre de 2013, la Sección Primera del Pleno del Tribunal Constitucional acordó, a los efectos que determina el artículo 37.1 de la Ley Orgánica del Tribunal Constitucional (LOTC), oír al Fiscal General del Estado para que, en el plazo de diez días, alegara lo que considerase conveniente acerca de la admisibilidad de la cuestión de inconstitucionalidad, por si fuese notoriamente infundada.</w:t>
      </w:r>
    </w:p>
    <w:p w:rsidR="00AC56D6" w:rsidRDefault="00AC56D6" w:rsidP="00AC56D6">
      <w:pPr>
        <w:pStyle w:val="TextoNormal"/>
      </w:pPr>
    </w:p>
    <w:p w:rsidR="00AC56D6" w:rsidRDefault="00AC56D6" w:rsidP="00AC56D6">
      <w:pPr>
        <w:pStyle w:val="TextoNormal"/>
      </w:pPr>
      <w:r w:rsidRPr="00AC56D6">
        <w:rPr>
          <w:rStyle w:val="NumeroAFNegritaCaracter"/>
        </w:rPr>
        <w:t>3</w:t>
      </w:r>
      <w:r>
        <w:t>. Por escrito de 13 de enero de 2014, registrado en el Tribunal el día 15 siguiente, presentó sus alegaciones el Fiscal General del Estado. Tras referirse a los antecedentes de hecho de la cuestión planteada y a lo fundamentado en el Auto de planteamiento, observa lo siguiente sobre posibles óbices procesales:</w:t>
      </w:r>
    </w:p>
    <w:p w:rsidR="00AC56D6" w:rsidRDefault="00AC56D6" w:rsidP="00AC56D6">
      <w:pPr>
        <w:pStyle w:val="TextoNormal"/>
      </w:pPr>
    </w:p>
    <w:p w:rsidR="00AC56D6" w:rsidRDefault="00AC56D6" w:rsidP="00AC56D6">
      <w:pPr>
        <w:pStyle w:val="TextoNormal"/>
      </w:pPr>
      <w:r>
        <w:t xml:space="preserve">a) No discute el Fiscal General del Estado la relevancia de la constitucionalidad o inconstitucionalidad del precepto legal objeto de la cuestión para la resolución del proceso </w:t>
      </w:r>
      <w:r w:rsidRPr="00AC56D6">
        <w:rPr>
          <w:i/>
        </w:rPr>
        <w:t>a quo</w:t>
      </w:r>
      <w:r>
        <w:t>.</w:t>
      </w:r>
    </w:p>
    <w:p w:rsidR="00AC56D6" w:rsidRDefault="00AC56D6" w:rsidP="00AC56D6">
      <w:pPr>
        <w:pStyle w:val="TextoNormal"/>
      </w:pPr>
    </w:p>
    <w:p w:rsidR="00AC56D6" w:rsidRDefault="00AC56D6" w:rsidP="00AC56D6">
      <w:pPr>
        <w:pStyle w:val="TextoNormal"/>
      </w:pPr>
      <w:r>
        <w:t>b) Estima que ha sido satisfactoriamente cumplida la exigencia de audiencia previa, conforme al artículo 35.2 LOTC.</w:t>
      </w:r>
    </w:p>
    <w:p w:rsidR="00AC56D6" w:rsidRDefault="00AC56D6" w:rsidP="00AC56D6">
      <w:pPr>
        <w:pStyle w:val="TextoNormal"/>
      </w:pPr>
    </w:p>
    <w:p w:rsidR="00AC56D6" w:rsidRDefault="00AC56D6" w:rsidP="00AC56D6">
      <w:pPr>
        <w:pStyle w:val="TextoNormal"/>
      </w:pPr>
      <w:r>
        <w:t xml:space="preserve">c) Sin embargo, la cuestión estaría notoriamente infundada. Señala el Fiscal General del Estado, en primer lugar, que la jurisprudencia constitucional habría venido validando la constitucionalidad del sistema de libre designación y cita al respecto diferentes pronunciamientos de este Tribunal. Dicho sistema de provisión de puestos de trabajo no es, en abstracto, contrario al artículo 103.3 CE, pero además, en el caso actual, no cabe compartir ni el planteamiento general del Auto por el que la cuestión se ha promovido ni que el precepto cuestionado se oponga frontalmente al art. 80.2 LEEP o al artículo 20.1 b) de la Ley 30/1984. El primero de estos preceptos legales incluye una remisión que deja espacio a una previsión como la cuestionada y en cuanto al segundo, de su contenido parece desprenderse que, siempre que esté previsto en las relaciones de puestos de trabajo y se considere como puesto que entraña una especial responsabilidad (aun de ser aplicable en toda su extensión y consecuencias a las administraciones autonómicas), habría margen para el desarrollo legal de una normativa autonómica, sin que existan razones, en abstracto, para descartar que entre dichos puestos figuren las jefaturas de servicio. El precepto cuestionado no vulnera los arts. 23.2 y 103.3 CE ni implica una infracción patente de la normativa básica del Estado. El caso actual podría estimarse similar al enjuiciado en la Sentencia de la Sección Tercera de la Sala Tercera del Tribunal Supremo de 9 de julio de 2012, en relación con el sistema de provisión </w:t>
      </w:r>
      <w:r>
        <w:lastRenderedPageBreak/>
        <w:t xml:space="preserve">de determinados puestos directivos y cargos intermedios del Servicio Andaluz de Salud, sistema que en la resolución citada no fue considerado contrario a Derecho por el Tribunal Supremo. En suma, no es posible apreciar </w:t>
      </w:r>
      <w:r w:rsidRPr="00AC56D6">
        <w:rPr>
          <w:i/>
        </w:rPr>
        <w:t>a priori</w:t>
      </w:r>
      <w:r>
        <w:t xml:space="preserve"> la presencia de arbitrariedad ni la inexistencia de un fundamento objetivo y razonable en la previsión legal que se cuestiona y tampoco en este caso cabe sostener que la libre designación dé al órgano de decisión un poder omnímodo para decidir como tenga por conveniente, con olvido de que el servicio del interés público es la esencia y fundamento de toda potestad administrativa, sujeta siempre al control judicial (art. 106.1 CE). Añade el Fiscal General del Estado que la doctrina constitucional ha reconocido un cierto margen de autoorganización de las diferentes Administraciones que, cabe entender, incluye la posibilidad de determinar por disposición de ley el campo del sistema de libre designación en la función pública de cada Comunidad Autónoma.</w:t>
      </w:r>
    </w:p>
    <w:p w:rsidR="00AC56D6" w:rsidRDefault="00AC56D6" w:rsidP="00AC56D6">
      <w:pPr>
        <w:pStyle w:val="TextoNormal"/>
      </w:pPr>
    </w:p>
    <w:p w:rsidR="00AC56D6" w:rsidRDefault="00AC56D6" w:rsidP="00AC56D6">
      <w:pPr>
        <w:pStyle w:val="TextoNormal"/>
      </w:pPr>
      <w:r>
        <w:t>Por lo anterior, interesó el fiscal General del Estado se dictara auto por el que se inadmitiera, al estar notoriamente infundada, la presente cuestión de inconstitucionalidad.</w:t>
      </w:r>
    </w:p>
    <w:p w:rsidR="00AC56D6" w:rsidRDefault="00AC56D6" w:rsidP="00AC56D6">
      <w:pPr>
        <w:pStyle w:val="TextoNormal"/>
      </w:pPr>
    </w:p>
    <w:p w:rsidR="00AC56D6" w:rsidRDefault="00AC56D6" w:rsidP="00AC56D6">
      <w:pPr>
        <w:pStyle w:val="TextoNormal"/>
      </w:pPr>
      <w:r w:rsidRPr="00AC56D6">
        <w:rPr>
          <w:rStyle w:val="NumeroAFNegritaCaracter"/>
        </w:rPr>
        <w:t>4</w:t>
      </w:r>
      <w:r>
        <w:t>. Por providencia de 10 de marzo de 2014, el Pleno del Tribunal, a propuesta de la Sección Primera, acordó tener por formuladas por el Fiscal General del Estado las anteriores alegaciones y admitir a trámite la cuestión planteada por la Sección Primera de la Sala de lo Contencioso-Administrativo del Tribunal Superior de Justicia de Galicia, en relación con el artículo 30 del Decreto Legislativo 1/2008, de 13 de marzo, por el que se aprueba el texto refundido de la Ley de la función pública de Galicia, en la redacción dada al mismo por el artículo 21 de la Ley 15/2010, de 28 de diciembre, de medidas fiscales y administrativas, por posible vulneración del artículo 23.2 CE. El Pleno acordó también, conforme al artículo 10.1 c) LOTC, reservar para sí el conocimiento de la cuestión, así como dar traslado de las actuaciones recibidas (art. 37.3 LOTC) al Congreso de los Diputados y al Senado, al Gobierno y al Fiscal General del Estado y a la Xunta y al Parlamento de Galicia, al objeto de que, en el improrrogable plazo de quince días, pudieran personarse en el proceso y formular las alegaciones que estimasen convenientes. Se acordó, asimismo, comunicar esta resolución al órgano judicial promotor de la cuestión, a fin de que el procedimiento del que la misma emana permaneciera suspendido hasta que este Tribunal resolviera definitivamente (art. 35.3 LOTC). Se ordenó, por último, la publicación de la incoación de la cuestión en el “Boletín Oficial del Estado” y en el “Diario Oficial de Galicia”.</w:t>
      </w:r>
    </w:p>
    <w:p w:rsidR="00AC56D6" w:rsidRDefault="00AC56D6" w:rsidP="00AC56D6">
      <w:pPr>
        <w:pStyle w:val="TextoNormal"/>
      </w:pPr>
    </w:p>
    <w:p w:rsidR="00AC56D6" w:rsidRDefault="00AC56D6" w:rsidP="00AC56D6">
      <w:pPr>
        <w:pStyle w:val="TextoNormal"/>
      </w:pPr>
      <w:r w:rsidRPr="00AC56D6">
        <w:rPr>
          <w:rStyle w:val="NumeroAFNegritaCaracter"/>
        </w:rPr>
        <w:t>5</w:t>
      </w:r>
      <w:r>
        <w:t>. Mediante escrito de 25 de marzo de 2014, registrado en el Tribunal el siguiente día 26, el Presidente del Senado comunicó al Tribunal el acuerdo de la Mesa de la Cámara, de igual fecha, en orden a que se tuviera por personado al Senado en el procedimiento y por ofrecida su colaboración a los efectos del artículo 88.1 LOTC.</w:t>
      </w:r>
    </w:p>
    <w:p w:rsidR="00AC56D6" w:rsidRDefault="00AC56D6" w:rsidP="00AC56D6">
      <w:pPr>
        <w:pStyle w:val="TextoNormal"/>
      </w:pPr>
    </w:p>
    <w:p w:rsidR="00AC56D6" w:rsidRDefault="00AC56D6" w:rsidP="00AC56D6">
      <w:pPr>
        <w:pStyle w:val="TextoNormal"/>
      </w:pPr>
      <w:r w:rsidRPr="00AC56D6">
        <w:rPr>
          <w:rStyle w:val="NumeroAFNegritaCaracter"/>
        </w:rPr>
        <w:t>6</w:t>
      </w:r>
      <w:r>
        <w:t>. Mediante escrito de 25 de marzo de 2014, registrado en el Tribunal el día 28 siguiente, el Presidente del Congreso de los Diputados comunicó al Tribunal el acuerdo de la Mesa de la Cámara, de igual fecha, en orden a que se tuviera por personado al Congreso de los Diputados en el procedimiento y por ofrecida su colaboración a los efectos del artículo 88.1 LOTC, así como remitir a la Dirección de estudios, análisis y publicaciones y a la asesoría jurídica de la Secretaría General.</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7</w:t>
      </w:r>
      <w:r>
        <w:t xml:space="preserve">. El 2 de abril de 2014 tuvo entrada en el Registro General del Tribunal Constitucional oficio del Secretario judicial de la Sección Primera de la Sala de lo Contencioso-Administrativo del Tribunal Superior de Justicia de Galicia, de 28 de marzo anterior, al que se adjunta testimonio de Auto de 27 del mismo mes, del mismo órgano jurisdiccional. En el antecedente de hecho tercero de esta resolución se lee que, revisado el expediente del incidente previo a la promoción de la cuestión de inconstitucionalidad a petición de los Letrados de la Xunta de Galicia, resulta que, por escrito con fecha de entrada 9 de mayo de 2013, el Letrado de la Xunta cumplimentó el traslado conferido por la providencia de 16 de abril de 2013 y que por escrito presentado a través del sistema informático “lexnet” el mismo Letrado presentó un recurso de reposición y subsidiario de nulidad de actuaciones en relación con el Auto de planteamiento de la cuestión de inconstitucionalidad, indicando que, contrariamente a lo afirmado en dicho Auto, se habían presentado alegaciones en vía telemática y a través de la oficina de Registro del Tribunal, por lo que se interesaba su revocación para que se lean y valoren tales alegaciones presentadas antes de adoptar la resolución que corresponda. En la fundamentación jurídica de este Auto, de 27 de marzo de 20014, se observa, en primer lugar, que el planteamiento de la cuestión de inconstitucionalidad no es susceptible de recurso alguno (art. 35.2 LOTC), lo que conduce a la inadmisión del recurso de reposición interpuesto. Se examina, a continuación, si en la tramitación del incidente se ocasionó indefensión a la Xunta de Galicia, admitiéndose, ante todo, que la Sala no examinó el escrito de alegaciones oportunamente presentado en su nombre, pese a que lo hizo por dos vías alternativas e igualmente válidas, ignorándose la razón de por qué dicho escrito no llegó a la mesa del ponente. Pese a que lo anterior entraña una irregularidad imputable a la Sala, no cabe —se añade— acoger el incidente de nulidad de actuaciones porque, en primer lugar, el asunto está ya residenciado ante el Tribunal Constitucional, de modo que no es posible que la Sala resuelva lo que, con mejor y superior criterio, le corresponde al propio Tribunal Constitucional; porque, en cualquier caso, las alegaciones que la propia Sala no consideró pueden ser reproducidas ante el Tribunal para interesar la desestimación de la cuestión, por lo que no se le ha generado indefensión efectiva alguna, y porque, por último, en este momento procesal, suspendido el curso de las actuaciones y el plazo para dictar Sentencia y admitida la cuestión por el Tribunal Constitucional, no cabe sino esperar a que por éste se dicte la Sentencia que proceda para resolver las cuestiones dependientes del fallo, por lo que no cabe estimar un incidente de nulidad de actuaciones que, en definitiva, supondría </w:t>
      </w:r>
      <w:r w:rsidRPr="00AC56D6">
        <w:rPr>
          <w:i/>
        </w:rPr>
        <w:t>de facto</w:t>
      </w:r>
      <w:r>
        <w:t xml:space="preserve"> la reposición de la providencia de admisión de la cuestión de inconstitucionalidad por el Tribunal Constitucional. Se acordó, por todo ello, inadmitir el recurso de reposición y desestimar el incidente de nulidad de actuaciones interpuestos por el Letrado de la Xunta de Galicia en relación con el Auto de la Sala de 6 de junio de 2013.</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3 de abril de 2014 acordó el Pleno unir a las actuaciones la anterior comunicación y testimonio de Auto y hacer entrega de copia de todo ello a las partes emplazadas en el presente procedimiento.</w:t>
      </w:r>
    </w:p>
    <w:p w:rsidR="00AC56D6" w:rsidRDefault="00AC56D6" w:rsidP="00AC56D6">
      <w:pPr>
        <w:pStyle w:val="TextoNormal"/>
      </w:pPr>
    </w:p>
    <w:p w:rsidR="00AC56D6" w:rsidRDefault="00AC56D6" w:rsidP="00AC56D6">
      <w:pPr>
        <w:pStyle w:val="TextoNormal"/>
      </w:pPr>
      <w:r w:rsidRPr="00AC56D6">
        <w:rPr>
          <w:rStyle w:val="NumeroAFNegritaCaracter"/>
        </w:rPr>
        <w:t>9</w:t>
      </w:r>
      <w:r>
        <w:t>. Mediante escrito de 3 de abril de 2014, registrado en el Tribunal el día 7 siguiente, el Letrado de la Xunta de Galicia presentó, en nombre y representación de la propia Xunta, sus alegaciones. Pueden resumirse como sigue:</w:t>
      </w:r>
    </w:p>
    <w:p w:rsidR="00AC56D6" w:rsidRDefault="00AC56D6" w:rsidP="00AC56D6">
      <w:pPr>
        <w:pStyle w:val="TextoNormal"/>
      </w:pPr>
    </w:p>
    <w:p w:rsidR="00AC56D6" w:rsidRDefault="00AC56D6" w:rsidP="00AC56D6">
      <w:pPr>
        <w:pStyle w:val="TextoNormal"/>
      </w:pPr>
      <w:r>
        <w:t xml:space="preserve">a) Se afirma, en primer lugar, como causa de inadmisibilidad de la cuestión, que no hubo audiencia real previa para el Letrado de la Xunta de Galicia. El Auto de 6 de junio de 2013 </w:t>
      </w:r>
      <w:r>
        <w:lastRenderedPageBreak/>
        <w:t xml:space="preserve">se dictó partiendo de que este Letrado no había presentado alegaciones en la audiencia abierta, cuando lo cierto es que se presentaron por escrito de 7 de mayo de 2013, por “lexnet” y también por el Registro del Tribunal Superior de Justicia. Por lo tanto, la cuestión de inconstitucionalidad se elevó sin que hubiera una audiencia real al Letrado de la Xunta de Galicia. Se añade que, advertido esto, se presentó un recurso de reposición (pues el Auto de promoción de la cuestión abría esta vía) y subsidiariamente incidente de nulidad, a fin de que se revocara el Auto de promoción de la cuestión y se leyeran y valoraran los alegatos de esta representación. Tampoco este escrito fue resuelto, procediéndose a elevar la cuestión al Tribunal Constitucional, de modo que, sólo tras la providencia del Tribunal Constitucional, se dictó Auto de 27 de marzo de 2014, que reconoce la presentación en tiempo y forma de las alegaciones de esta parte y que el Auto de 6 de junio de 2013 fue dictado sin atender ni leer tales alegaciones. El Tribunal </w:t>
      </w:r>
      <w:r w:rsidRPr="00AC56D6">
        <w:rPr>
          <w:i/>
        </w:rPr>
        <w:t>a quo</w:t>
      </w:r>
      <w:r>
        <w:t xml:space="preserve"> resuelve en dicho Auto que no procede la reposición ni la estimación del incidente de nulidad, observando ahora el Letrado de la Xunta que es evidente que ni en su momento, ni en esta ulterior ocasión, valoró el órgano judicial sus alegaciones, con la consecuencia de que para esta representación procesal es como si nunca se hubiera abierto la audiencia previa a la elevación de la cuestión de inconstitucionalidad, razón por la que procedería la inadmisión de ésta.</w:t>
      </w:r>
    </w:p>
    <w:p w:rsidR="00AC56D6" w:rsidRDefault="00AC56D6" w:rsidP="00AC56D6">
      <w:pPr>
        <w:pStyle w:val="TextoNormal"/>
      </w:pPr>
    </w:p>
    <w:p w:rsidR="00AC56D6" w:rsidRDefault="00AC56D6" w:rsidP="00AC56D6">
      <w:pPr>
        <w:pStyle w:val="TextoNormal"/>
      </w:pPr>
      <w:r>
        <w:t xml:space="preserve">b) Señala a continuación el Letrado de la Xunta que también conduciría a la inadmisibilidad de la cuestión la circunstancia de que se promovió sin resolver antes debates previos al de la aplicabilidad al caso de la norma cuestionada. En efecto, no existiendo en Derecho administrativo una acción en defensa de la legalidad, tampoco caben acciones preventivas referidas a una hipótesis de futuro, por lo que es carga del demandante mostrar que existe un interés legítimo y actual respecto de cada uno de los puestos para los que se prevé su provisión mediante libre designación. En la contestación a la demanda, la Xunta de Galicia rechazó, por ello, la legitimación </w:t>
      </w:r>
      <w:r w:rsidRPr="00AC56D6">
        <w:rPr>
          <w:i/>
        </w:rPr>
        <w:t>ad causam</w:t>
      </w:r>
      <w:r>
        <w:t xml:space="preserve"> del actor respecto a puestos que no están abiertos a sus características como funcionario de una escala especial (grupo A2) que no expresa que posea determinada formación específica. En definitiva, no cabe dar por cumplimentado el requisito de mostrar la legitimación del recurrente para cada uno de los puestos impugnados, de modo que si su falta de legitimación, aducida por la Administración demandada, fuera aceptada, no habría que entrar en el fondo.</w:t>
      </w:r>
    </w:p>
    <w:p w:rsidR="00AC56D6" w:rsidRDefault="00AC56D6" w:rsidP="00AC56D6">
      <w:pPr>
        <w:pStyle w:val="TextoNormal"/>
      </w:pPr>
    </w:p>
    <w:p w:rsidR="00AC56D6" w:rsidRDefault="00AC56D6" w:rsidP="00AC56D6">
      <w:pPr>
        <w:pStyle w:val="TextoNormal"/>
      </w:pPr>
      <w:r>
        <w:t>c) Todavía como causa de inadmisiblidad, se señala que el Auto no define la cuestión que plantea con los parámetros exigibles. Tras citar doctrina constitucional en punto a la necesidad de concretar el precepto que genera dudas y el precepto constitucional que habría sido vulnerado, se señala que el Auto se mueve en la inconcreción, al igual que la resolución que abrió la audiencia previa. Muestra patente de ello es que la cuestión se eleva contra el artículo 30 en su conjunto y no se sabe si es todo el párrafo primero de dicho artículo o una frase o un apartado lo que resultaría inconstitucional. Tampoco está nada claro si el problema, para la Sala, viene del hecho de que se haga una predeterminación automática de tipos de puestos de trabajo como de libre designación. De otro lado, el Auto tampoco es expreso y claro en cuanto al precepto constitucional infringido, que se presume es el artículo 23.2 CE.</w:t>
      </w:r>
    </w:p>
    <w:p w:rsidR="00AC56D6" w:rsidRDefault="00AC56D6" w:rsidP="00AC56D6">
      <w:pPr>
        <w:pStyle w:val="TextoNormal"/>
      </w:pPr>
    </w:p>
    <w:p w:rsidR="00AC56D6" w:rsidRDefault="00AC56D6" w:rsidP="00AC56D6">
      <w:pPr>
        <w:pStyle w:val="TextoNormal"/>
      </w:pPr>
      <w:r>
        <w:t xml:space="preserve">d) El Tribunal Superior de Justicia elevó la cuestión de inconstitucionalidad sin haber leído las alegaciones de esta parte y, de haberlo hecho, no la habría quizá promovido. Nos hallamos ante una cuestión de inconstitucionalidad para la que ya la Fiscalía General del </w:t>
      </w:r>
      <w:r>
        <w:lastRenderedPageBreak/>
        <w:t>Estado ha pedido, en el trámite del artículo 37.1 LOTC, la inadmisión por su notoria falta de fundamento.</w:t>
      </w:r>
    </w:p>
    <w:p w:rsidR="00AC56D6" w:rsidRDefault="00AC56D6" w:rsidP="00AC56D6">
      <w:pPr>
        <w:pStyle w:val="TextoNormal"/>
      </w:pPr>
    </w:p>
    <w:p w:rsidR="00AC56D6" w:rsidRDefault="00AC56D6" w:rsidP="00AC56D6">
      <w:pPr>
        <w:pStyle w:val="TextoNormal"/>
      </w:pPr>
      <w:r>
        <w:t xml:space="preserve">Si las dudas de constitucionalidad derivan de que la norma autonómica recoja una predeterminación de determinados niveles o tipos de puestos a proveer por libre designación, se ha de tener en cuenta que tal predeterminación estaba ya en la versión original del artículo 30 y en todas las versiones de la anterior Ley de función pública de Galicia, lo que nunca fue cuestionado en su constitucionalidad, incluso por la propia Sala que hoy lo hace, que en Sentencia de 29 de octubre de 2008 descartó la presentación de una cuestión de inconstitucionalidad al respecto. Se añade que son muchas las leyes autonómicas con previsiones </w:t>
      </w:r>
      <w:r w:rsidRPr="00AC56D6">
        <w:rPr>
          <w:i/>
        </w:rPr>
        <w:t>ope legis</w:t>
      </w:r>
      <w:r>
        <w:t xml:space="preserve"> como la cuestionada. Existe, además, otro dato definitivo, pues la Ley del estatuto básico del empleado público no derogó toda la Ley 30/1984 y uno de los apartados no derogados es el párrafo segundo del artículo 20.1 b), conforme al cual, sólo podrán cubrirse por libre designación los puestos de Subdirector general, Delegados y Directores regionales o provinciales, secretarías de altos cargos, así como aquellos otros de carácter directivo o de especial responsabilidad para los que así se determine en la relación de puestos de trabajo, pero este precepto, evidentemente, es aplicable al Estado, no a las Comunidades Autónomas. Sin perjuicio de ello, si esa norma también se abre a predeterminar </w:t>
      </w:r>
      <w:r w:rsidRPr="00AC56D6">
        <w:rPr>
          <w:i/>
        </w:rPr>
        <w:t>ope legis</w:t>
      </w:r>
      <w:r>
        <w:t xml:space="preserve"> ciertos puestos de trabajo que ya desde la ley son conceptuados como de provisión por libre designación, está claro que no se puede tildar de inconstitucional que la Ley gallega haga esa misma predeterminación. Dado que el Auto parece que entiende vulnerado el artículo 23.2 CE, sería también inconstitucional, en su tesis, cualquier ley estatal o autonómica que recoja una predeterminación de puestos o tipos de puestos a proveer por libre designación, lo que para esta representación es notoriamente infundado.</w:t>
      </w:r>
    </w:p>
    <w:p w:rsidR="00AC56D6" w:rsidRDefault="00AC56D6" w:rsidP="00AC56D6">
      <w:pPr>
        <w:pStyle w:val="TextoNormal"/>
      </w:pPr>
    </w:p>
    <w:p w:rsidR="00AC56D6" w:rsidRDefault="00AC56D6" w:rsidP="00AC56D6">
      <w:pPr>
        <w:pStyle w:val="TextoNormal"/>
      </w:pPr>
      <w:r>
        <w:t>e) Tanto la providencia que abrió la audiencia como el Auto de promoción de la cuestión parecen afirmar la vulneración del artículo 23.2 CE. Pero ya la STC 235/2000 descartó que el sistema de libre designación infringiera la Constitución, citando también el Letrado de la Xunta de Galicia otras resoluciones del Tribunal Constitucional, así como del Tribunal Supremo, observándose ahora, tras tales menciones, que las jefaturas de servicio, como su nombre indica, tienen responsabilidades sobre todo un servicio público y que deben tener la confianza de los subdirectores y cargos superiores para tal cometido, por lo que no es arbitraria tal determinación del legislador en el presente supuesto.</w:t>
      </w:r>
    </w:p>
    <w:p w:rsidR="00AC56D6" w:rsidRDefault="00AC56D6" w:rsidP="00AC56D6">
      <w:pPr>
        <w:pStyle w:val="TextoNormal"/>
      </w:pPr>
    </w:p>
    <w:p w:rsidR="00AC56D6" w:rsidRDefault="00AC56D6" w:rsidP="00AC56D6">
      <w:pPr>
        <w:pStyle w:val="TextoNormal"/>
      </w:pPr>
      <w:r>
        <w:t xml:space="preserve">f) El Auto no expresa claramente que tenga dudas derivadas de una infracción del artículo 149.1.18 CE, al respecto de lo cual se observa que la normativa básica del Estado ha de dejar un espacio para el desarrollo normativo autonómico, de modo que la regulación estatal, también en punto a la provisión por libre designación, no puede ser agotadora y debe permitir a las Comunidades Autónomas, en su normativa de desarrollo, tener políticas propias, como es determinar </w:t>
      </w:r>
      <w:r w:rsidRPr="00AC56D6">
        <w:rPr>
          <w:i/>
        </w:rPr>
        <w:t>ope legis</w:t>
      </w:r>
      <w:r>
        <w:t xml:space="preserve"> los niveles o puestos a los que anuda la especial responsabilidad y confianza, todo ello conforme a la jurisprudencia constitucional que cita.</w:t>
      </w:r>
    </w:p>
    <w:p w:rsidR="00AC56D6" w:rsidRDefault="00AC56D6" w:rsidP="00AC56D6">
      <w:pPr>
        <w:pStyle w:val="TextoNormal"/>
      </w:pPr>
    </w:p>
    <w:p w:rsidR="00AC56D6" w:rsidRDefault="00AC56D6" w:rsidP="00AC56D6">
      <w:pPr>
        <w:pStyle w:val="TextoNormal"/>
      </w:pPr>
      <w:r>
        <w:t xml:space="preserve">g) No cabe pasar por alto, en fin, que el artículo 80 LEEP muestra que el legislador estatal quiso dejar margen a la Administración y a los normadores para que tomaran sus propias decisiones sobre la provisión por libre designación y así, el apartado segundo del citado artículo se remite a las leyes de función pública, incluidas las autonómicas, para que concreten tal forma de provisión. Si no se entendiera así el citado artículo 80, el mismo sería </w:t>
      </w:r>
      <w:r>
        <w:lastRenderedPageBreak/>
        <w:t xml:space="preserve">contrario a la Constitución. El Auto de promoción de la cuestión cita también como infringido el artículo 20.1 b) de la Ley 30/1984, lo que sorprende, pues dicho precepto sólo se refiere al Estado y tiene, como se dijo, la misma dinámica, criticada por el Auto para la Ley gallega, de fijar </w:t>
      </w:r>
      <w:r w:rsidRPr="00AC56D6">
        <w:rPr>
          <w:i/>
        </w:rPr>
        <w:t>ope legis</w:t>
      </w:r>
      <w:r>
        <w:t xml:space="preserve"> determinados puestos a proveer por libre designación. No cabe argumentar que el legislador gallego no puede añadir a la lista del artículo 20.1 b) las jefaturas de servicio, pues la literalidad de este precepto es la de que el mismo constituye regla sólo para el Estado, y que, si se entendiera como lista cerrada para las Comunidades Autónomas, no podría ser básica, por superar los límites del art. 149.1.18 CE y porque ni es arbitrario ni contrario al 23.2 CE la provisión por libre designación para quien tiene la responsabilidad y dirección de todo un servicio público.</w:t>
      </w:r>
    </w:p>
    <w:p w:rsidR="00AC56D6" w:rsidRDefault="00AC56D6" w:rsidP="00AC56D6">
      <w:pPr>
        <w:pStyle w:val="TextoNormal"/>
      </w:pPr>
    </w:p>
    <w:p w:rsidR="00AC56D6" w:rsidRDefault="00AC56D6" w:rsidP="00AC56D6">
      <w:pPr>
        <w:pStyle w:val="TextoNormal"/>
      </w:pPr>
      <w:r>
        <w:t>Se concluyó con la súplica de que se inadmitiera o, en su caso, desestimara la cuestión de inconstitucionalidad.</w:t>
      </w:r>
    </w:p>
    <w:p w:rsidR="00AC56D6" w:rsidRDefault="00AC56D6" w:rsidP="00AC56D6">
      <w:pPr>
        <w:pStyle w:val="TextoNormal"/>
      </w:pPr>
    </w:p>
    <w:p w:rsidR="00AC56D6" w:rsidRDefault="00AC56D6" w:rsidP="00AC56D6">
      <w:pPr>
        <w:pStyle w:val="TextoNormal"/>
      </w:pPr>
      <w:r w:rsidRPr="00AC56D6">
        <w:rPr>
          <w:rStyle w:val="NumeroAFNegritaCaracter"/>
        </w:rPr>
        <w:t>10</w:t>
      </w:r>
      <w:r>
        <w:t>. Por escrito de 8 de abril de 2014, con entrada en el Tribunal en igual fecha, presentó sus alegaciones el Abogado del Estado en nombre del Gobierno. Pueden resumirse como sigue:</w:t>
      </w:r>
    </w:p>
    <w:p w:rsidR="00AC56D6" w:rsidRDefault="00AC56D6" w:rsidP="00AC56D6">
      <w:pPr>
        <w:pStyle w:val="TextoNormal"/>
      </w:pPr>
    </w:p>
    <w:p w:rsidR="00AC56D6" w:rsidRDefault="00AC56D6" w:rsidP="00AC56D6">
      <w:pPr>
        <w:pStyle w:val="TextoNormal"/>
      </w:pPr>
      <w:r>
        <w:t>a) Se señala, en primer lugar, que la cuestión es parcialmente inadmisible en cuanto a su objeto, pues el Auto no cumple la exigencia de razonar la relevancia (art. 35.1 LOTC) de la constitucionalidad del artículo 30, cuestionado en su conjunto, cuando se deduce de los antecedentes que dicha relevancia solo se extiende al caso planteado, esto es, a la impugnación de la resolución de 11 de abril de 2011, por la que se ordenó la publicación de la modificación de la relación de puestos de trabajo de la Consejería del Mar. Por ello, el objeto de la cuestión de inconstitucionalidad debe reducirse a la mención que realiza el artículo 30 a las jefaturas de servicio, ya que sólo a estos puestos de trabajo se extiende el objeto del recurso contencioso-administrativo.</w:t>
      </w:r>
    </w:p>
    <w:p w:rsidR="00AC56D6" w:rsidRDefault="00AC56D6" w:rsidP="00AC56D6">
      <w:pPr>
        <w:pStyle w:val="TextoNormal"/>
      </w:pPr>
    </w:p>
    <w:p w:rsidR="00AC56D6" w:rsidRDefault="00AC56D6" w:rsidP="00AC56D6">
      <w:pPr>
        <w:pStyle w:val="TextoNormal"/>
      </w:pPr>
      <w:r>
        <w:t xml:space="preserve">b) La cuestión, en segundo lugar, debe considerarse infundada, asumiendo y haciendo suyas el Gobierno las alegaciones de Fiscal General del Estado, especialmente en relación con el artículo 23 CE. Desde la perspectiva del respeto a la legislación básica estatal en la materia, entiende el Gobierno que la regulación cuestionada forma parte de las competencias autoorganizativas de la Comunidad Autónoma y no vulnera la referida legislación básica. Se llega a esta conclusión tanto desde la perspectiva de la Ley 30/1984, como a partir de la Ley del estatuto básico del empleado público. Sigue en vigor el artículo 20 de aquella Ley 30/1984, cuyo apartado 1 b) determina que podrán cubrirse por libre designación los puestos que se determinen en la relación de puestos de trabajo, en atención a la naturaleza de sus funciones, para continuar en el siguiente párrafo, ya sin carácter básico, con la regulación específica para el Estado, sin aplicación para las Comunidades Autónomas, señalando que en ese ámbito estatal sólo se pueden cubrir los puestos que reseña. Por ello, la acotación por la norma en vigor de los puestos reservados a este sistema de provisión no opera para el ámbito autonómico, que queda libre de cualquier otro límite que el contemplado legal y básicamente, esto es, que dichos puestos aparezcan reseñados en las relaciones de puestos de trabajo. En este supuesto, la provisión de puestos de trabajo de jefe de servicio por el sistema de libre designación no está previsto en una relación de puestos de trabajo, sino en una norma con rango de ley y no resulta contrario a la Constitución este uso que el legislador autonómico ha hecho del margen de desarrollo de la normativa básica estatal. </w:t>
      </w:r>
      <w:r>
        <w:lastRenderedPageBreak/>
        <w:t>Como argumenta el Fiscal General del Estado la determinación por ley no resulta desproporcionada, dada la especial responsabilidad que en la estructura administrativa, ocupan las jefaturas de servicio, prueba de lo cual sería lo dispuesto en el artículo 30 de la Ley 15/2010. Tampoco existiría infracción del art. 80 LEEP. Tras citar un pasaje de la exposición de motivos de la misma Ley 15/2010, señala el Abogado del Estado que la descripción de las jefaturas de servicio como puestos de libre designación se encuentra prevista en la legislación gallega en una norma con rango formal de ley y que la consideración de dichas jefaturas, en abstracto, como puestos de especial responsabilidad o confianza, no parece desproporcionada o arbitraria. Otra cosa podría ser la aplicación administrativa de la ley, lo que queda fuera de la órbita del control de su constitucionalidad.</w:t>
      </w:r>
    </w:p>
    <w:p w:rsidR="00AC56D6" w:rsidRDefault="00AC56D6" w:rsidP="00AC56D6">
      <w:pPr>
        <w:pStyle w:val="TextoNormal"/>
      </w:pPr>
    </w:p>
    <w:p w:rsidR="00AC56D6" w:rsidRDefault="00AC56D6" w:rsidP="00AC56D6">
      <w:pPr>
        <w:pStyle w:val="TextoNormal"/>
      </w:pPr>
      <w:r>
        <w:t>Se concluyó con la súplica de que se dictara sentencia inadmitiendo la cuestión de inconstitucionalidad sobre el artículo 30 del Decreto Legislativo 1/2008 en aquello que exceda de la mención a las jefaturas de servicio y por notoriamente infundada respecto a tal inciso.</w:t>
      </w:r>
    </w:p>
    <w:p w:rsidR="00AC56D6" w:rsidRDefault="00AC56D6" w:rsidP="00AC56D6">
      <w:pPr>
        <w:pStyle w:val="TextoNormal"/>
      </w:pPr>
    </w:p>
    <w:p w:rsidR="00AC56D6" w:rsidRDefault="00AC56D6" w:rsidP="00AC56D6">
      <w:pPr>
        <w:pStyle w:val="TextoNormal"/>
      </w:pPr>
      <w:r w:rsidRPr="00AC56D6">
        <w:rPr>
          <w:rStyle w:val="NumeroAFNegritaCaracter"/>
        </w:rPr>
        <w:t>11</w:t>
      </w:r>
      <w:r>
        <w:t>. Por escrito de 3 de abril de 2014, que tuvo entrada en el Tribunal Constitucional el día 9 del mismo mes, presentó sus alegaciones el Parlamento de Galicia. Pueden resumirse como sigue:</w:t>
      </w:r>
    </w:p>
    <w:p w:rsidR="00AC56D6" w:rsidRDefault="00AC56D6" w:rsidP="00AC56D6">
      <w:pPr>
        <w:pStyle w:val="TextoNormal"/>
      </w:pPr>
    </w:p>
    <w:p w:rsidR="00AC56D6" w:rsidRDefault="00AC56D6" w:rsidP="00AC56D6">
      <w:pPr>
        <w:pStyle w:val="TextoNormal"/>
      </w:pPr>
      <w:r>
        <w:t>a) Como consideraciones previas se dice no compartir el carácter insoslayable de la presentación de esta cuestión de inconstitucionalidad, que carece de fundamento alguno y que en ningún caso puede la cuestión de inconstitucionalidad concebirse como un mecanismo de consulta para aclarar las dudas interpretativas del juzgador. Se afirma la aplicabilidad al caso de la norma cuestionada, pero que se ignoran las razones por las cuales el Tribunal duda y se reprocha, por tanto, la falta absoluta de exteriorización de tal motivación.</w:t>
      </w:r>
    </w:p>
    <w:p w:rsidR="00AC56D6" w:rsidRDefault="00AC56D6" w:rsidP="00AC56D6">
      <w:pPr>
        <w:pStyle w:val="TextoNormal"/>
      </w:pPr>
    </w:p>
    <w:p w:rsidR="00AC56D6" w:rsidRDefault="00AC56D6" w:rsidP="00AC56D6">
      <w:pPr>
        <w:pStyle w:val="TextoNormal"/>
      </w:pPr>
      <w:r>
        <w:t>b) La cuestión dice vulnerado el artículo 23.2 CE, pero conforme a la jurisprudencia constitucional que se cita hay que sostener la constitucionalidad del sistema de libre designación, que no atribuye al órgano de decisión un poder omnímodo para decidir como tenga por conveniente. Desde una perspectiva general, tanto el concurso como la libre designación son sistemas y modos de provisión de puestos de trabajo entre quienes ya ostentan la condición de funcionarios, porque la finalidad es siempre la misma, atribuir determinado puesto de trabajo al funcionario en quien concurra, la cualificación e idoneidad precisas para el mejor cumplimiento y desempeño de la función atribuida a cada puesto con arreglo a los principios de mérito y capacidad. El sistema de libre designación para puestos de especial responsabilidad y confianza es, en abstracto, respetuoso del art. 103.3 CE.</w:t>
      </w:r>
    </w:p>
    <w:p w:rsidR="00AC56D6" w:rsidRDefault="00AC56D6" w:rsidP="00AC56D6">
      <w:pPr>
        <w:pStyle w:val="TextoNormal"/>
      </w:pPr>
    </w:p>
    <w:p w:rsidR="00AC56D6" w:rsidRDefault="00AC56D6" w:rsidP="00AC56D6">
      <w:pPr>
        <w:pStyle w:val="TextoNormal"/>
      </w:pPr>
      <w:r>
        <w:t xml:space="preserve">c) Se añade que no está ahora en cuestión la constitucionalidad de la libre designación, ni la delimitación jurisprudencial de los conceptos de especial responsabilidad y confianza, ni que las jefaturas de servicio puedan proveerse por libre designación, ni que las relaciones de puestos de trabajo deban adecuarse a la normativa que les sea de aplicación, ni, en fin, la competencia de la Comunidad Autónoma de Galicia, conforme al artículo 28.1 de su Estatuto de Autonomía, en orden al desarrollo legislativo y ejecución de la legislación del Estado, en los términos que la misma establezca, del “(r)égimen jurídico de la Administración Pública de Galicia y régimen estatutario de sus funcionarios”. La cuestión planteada tiene por objeto determinar si es conforme al orden constitucional de competencias la regulación de la norma gallega en cuanto a la libre designación para cubrir determinados puestos de trabajo. Tras citar los arts. 103.3 y 149.1.18 CE, así como los arts. 78, 79 y 80 LEEP y luego </w:t>
      </w:r>
      <w:r>
        <w:lastRenderedPageBreak/>
        <w:t xml:space="preserve">de hacer mención, asimismo, del artículo 28.1 del Estatuto de Autonomía de Galicia y del artículo 30 del Decreto Legislativo 1/2008, se afirma que este último precepto está en plena sintonía con lo previsto por el legislador estatal, siendo responsabilidad y confianza notas que deben concurrir en los puestos de trabajo para que se provean por libre designación. Es cierto que el artículo 30 enumera, al igual que el artículo 20.1 b) de la Ley 30/1984, puestos concretos que deben ser provistos por libre designación, pero dicha enumeración en ningún caso debe entenderse aislada o separada de los requisitos legalmente establecidos, así que en ningún caso, como parece dar a entender el Tribunal </w:t>
      </w:r>
      <w:r w:rsidRPr="00AC56D6">
        <w:rPr>
          <w:i/>
        </w:rPr>
        <w:t>a quo</w:t>
      </w:r>
      <w:r>
        <w:t>, la norma en cuestión establece una doble previsión, una que determinaría que se proveerán por libre designación los puestos de trabajo de carácter directivo o de especial responsabilidad y los que requieran una confianza personal y otra, independiente de la anterior, que contemplaría la provisión por dicho sistema de las subdirecciones generales o equivalentes, jefaturas de servicio o equivalentes, secretarías de altos cargos, así como excepcionalmente otros de nivel inferior que se determinen en las relaciones de puestos de trabajo. Se rechaza, pues, que la norma cuestionada contravenga lo dispuesto en el artículo 149.1.18 CE, siendo como es respetuosa con la legislación básica, legislación que no impuso un modelo concreto, sino que admite y reconoce un amplio protagonismo a los legisladores autonómicos en la configuración del modelo de provisión.</w:t>
      </w:r>
    </w:p>
    <w:p w:rsidR="00AC56D6" w:rsidRDefault="00AC56D6" w:rsidP="00AC56D6">
      <w:pPr>
        <w:pStyle w:val="TextoNormal"/>
      </w:pPr>
    </w:p>
    <w:p w:rsidR="00AC56D6" w:rsidRDefault="00AC56D6" w:rsidP="00AC56D6">
      <w:pPr>
        <w:pStyle w:val="TextoNormal"/>
      </w:pPr>
      <w:r>
        <w:t>Se concluyó con la súplica de que se dictara sentencia por la que se desestimara la cuestión de inconstitucionalidad planteada.</w:t>
      </w:r>
    </w:p>
    <w:p w:rsidR="00AC56D6" w:rsidRDefault="00AC56D6" w:rsidP="00AC56D6">
      <w:pPr>
        <w:pStyle w:val="TextoNormal"/>
      </w:pPr>
    </w:p>
    <w:p w:rsidR="00AC56D6" w:rsidRDefault="00AC56D6" w:rsidP="00AC56D6">
      <w:pPr>
        <w:pStyle w:val="TextoNormal"/>
      </w:pPr>
      <w:r w:rsidRPr="00AC56D6">
        <w:rPr>
          <w:rStyle w:val="NumeroAFNegritaCaracter"/>
        </w:rPr>
        <w:t>12</w:t>
      </w:r>
      <w:r>
        <w:t>. Mediante escrito de 30 de abril de 2014, registrado en el Tribunal el día 6 del siguiente mes de mayo, presentó sus alegaciones el Fiscal General del Estado. Sus fundamentos de Derecho se pueden resumir así:</w:t>
      </w:r>
    </w:p>
    <w:p w:rsidR="00AC56D6" w:rsidRDefault="00AC56D6" w:rsidP="00AC56D6">
      <w:pPr>
        <w:pStyle w:val="TextoNormal"/>
      </w:pPr>
    </w:p>
    <w:p w:rsidR="00AC56D6" w:rsidRDefault="00AC56D6" w:rsidP="00AC56D6">
      <w:pPr>
        <w:pStyle w:val="TextoNormal"/>
      </w:pPr>
      <w:r>
        <w:t>a) En cuanto a la concurrencia de posibles óbices procesales, resulta evidente que el artículo cuestionado es el invocado por la Administración demandada para sustentar su resolución. No cabe discutir ni su aplicabilidad ni su relevancia.</w:t>
      </w:r>
    </w:p>
    <w:p w:rsidR="00AC56D6" w:rsidRDefault="00AC56D6" w:rsidP="00AC56D6">
      <w:pPr>
        <w:pStyle w:val="TextoNormal"/>
      </w:pPr>
    </w:p>
    <w:p w:rsidR="00AC56D6" w:rsidRDefault="00AC56D6" w:rsidP="00AC56D6">
      <w:pPr>
        <w:pStyle w:val="TextoNormal"/>
      </w:pPr>
      <w:r>
        <w:t>El trámite de audiencia de artículo 35.2 LOTC puede entenderse satisfactoriamente cumplido.</w:t>
      </w:r>
    </w:p>
    <w:p w:rsidR="00AC56D6" w:rsidRDefault="00AC56D6" w:rsidP="00AC56D6">
      <w:pPr>
        <w:pStyle w:val="TextoNormal"/>
      </w:pPr>
    </w:p>
    <w:p w:rsidR="00AC56D6" w:rsidRDefault="00AC56D6" w:rsidP="00AC56D6">
      <w:pPr>
        <w:pStyle w:val="TextoNormal"/>
      </w:pPr>
      <w:r>
        <w:t xml:space="preserve">b) Ya en cuanto al fondo, se cita jurisprudencia constitucional relativa al artículo 23.2 CE y al sistema de libre designación, con especial mención de la STC 235/2000, de 5 de octubre, concluyéndose en que dicho sistema no es, en abstracto, contrario al artículo 103.3 CE cuando se emplea para la cobertura de puestos de indudable relevancia por su carácter directivo y especial responsabilidad. En el caso concreto, no cabe compartir ni el planteamiento general ni que el precepto cuestionado se oponga frontalmente al artículo 80 LEEP, precepto que incorpora una remisión que deja espacio a una previsión como la cuestionada. Otro tanto cabría afirmar respecto del artículo 20.1.b) de la Ley 30/1984, del que parece desprenderse que siempre que esté previsto en las relaciones de puestos de trabajo y se considere como puesto de especial responsabilidad, de ser aplicable la norma en toda su extensión y consecuencia a las administraciones autonómicas, habría margen para el desarrollo legal de una normativa autonómica y no existen razones en abstracto para descartar que entre dichos puestos se consideren como tales las jefaturas de servicio, ni siquiera </w:t>
      </w:r>
      <w:r w:rsidRPr="00AC56D6">
        <w:rPr>
          <w:i/>
        </w:rPr>
        <w:t>ope legis</w:t>
      </w:r>
      <w:r>
        <w:t xml:space="preserve"> . El precepto cuestionado no infringe los artículos 23.2 y 103.3 CE ni la normativa básica del Estado. El caso podría considerarse similar al enjuiciado en la Sentencia de la Sección </w:t>
      </w:r>
      <w:r>
        <w:lastRenderedPageBreak/>
        <w:t xml:space="preserve">Tercera de la Sala Tercera del Tribunal Supremo de 9 de julio de 2012, que consideró ajustado a Derecho el sistema de provisión de determinados puestos de trabajo del Servicio Andaluz de Salud. También en el supuesto actual, para determinadas jefaturas de servicio, la libre designación no significa sino la mera puesta a disposición del órgano decisor de un cierto margen de valoración a la hora de apreciar, sin perder de vista su historial funcionarial, las aptitudes de los candidatos para desempeñar un determinado puesto de trabajo de singular importancia. No cabe concluir </w:t>
      </w:r>
      <w:r w:rsidRPr="00AC56D6">
        <w:rPr>
          <w:i/>
        </w:rPr>
        <w:t>a priori</w:t>
      </w:r>
      <w:r>
        <w:t xml:space="preserve"> en la arbitrariedad ni en la inexistencia de fundamento objetivo y razonable para esta concreta previsión legislativa. Antes bien, aparece como infundado el planteamiento de la cuestión, dados los parámetros de la doctrina constitucional, especialmente a la vista de que tampoco en este caso cabe sostener que la facultad de libre designación dote al órgano de decisión de una suerte de poder omnímodo a fin de decidir como tenga por conveniente, ello sin perjuicio del oportuno control judicial previsto sobre la base de lo establecido en el artículo 106.1 CE.</w:t>
      </w:r>
    </w:p>
    <w:p w:rsidR="00AC56D6" w:rsidRDefault="00AC56D6" w:rsidP="00AC56D6">
      <w:pPr>
        <w:pStyle w:val="TextoNormal"/>
      </w:pPr>
    </w:p>
    <w:p w:rsidR="00AC56D6" w:rsidRDefault="00AC56D6" w:rsidP="00AC56D6">
      <w:pPr>
        <w:pStyle w:val="TextoNormal"/>
      </w:pPr>
      <w:r>
        <w:t>Además, la doctrina constitucional ha reconocido un cierto margen de autoorganización de las diferentes administraciones, que puede entenderse incluye la posibilidad de determinar por disposición de ley el campo de alcance del sistema de libre designación en la función pública de cada Comunidad Autónoma.</w:t>
      </w:r>
    </w:p>
    <w:p w:rsidR="00AC56D6" w:rsidRDefault="00AC56D6" w:rsidP="00AC56D6">
      <w:pPr>
        <w:pStyle w:val="TextoNormal"/>
      </w:pPr>
    </w:p>
    <w:p w:rsidR="00AC56D6" w:rsidRDefault="00AC56D6" w:rsidP="00AC56D6">
      <w:pPr>
        <w:pStyle w:val="TextoNormal"/>
      </w:pPr>
      <w:r>
        <w:t>Se concluyó interesando que, de acuerdo con lo dispuesto en los artículos 80 y 86.1 LOTC, se dictara Sentencia de desestimación de la presente cuestión de inconstitucionalidad, careciendo de todo fondo las dudas suscitadas por el órgano judicial que la ha promovido.</w:t>
      </w:r>
    </w:p>
    <w:p w:rsidR="00AC56D6" w:rsidRDefault="00AC56D6" w:rsidP="00AC56D6">
      <w:pPr>
        <w:pStyle w:val="TextoNormal"/>
      </w:pPr>
    </w:p>
    <w:p w:rsidR="00AC56D6" w:rsidRDefault="00AC56D6" w:rsidP="00AC56D6">
      <w:pPr>
        <w:pStyle w:val="TextoNormal"/>
      </w:pPr>
      <w:r w:rsidRPr="00AC56D6">
        <w:rPr>
          <w:rStyle w:val="NumeroAFNegritaCaracter"/>
        </w:rPr>
        <w:t>13</w:t>
      </w:r>
      <w:r>
        <w:t>. Por providencia de 7 de julio de 2015, se señaló para deliberación y votación de la presente Sentencia el día 9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Está en el origen de esta cuestión de inconstitucionalidad, como en los antecedentes se ha expuesto, un recurso contencioso-administrativo interpuesto por un funcionario de la Xunta de Galicia contra la resolución de 11 de abril de 2011, de la Consejera de Hacienda de la propia Xunta, por la que se ordenó la publicación de la modificación de la relación de puestos de trabajo de la Consejería del Mar. En el recurso contencioso, del que conoce la Sección Primera de la Sala de ese orden jurisdiccional del Tribunal Superior de Justicia de Galicia, el demandante pretende la declaración de nulidad del sistema de provisión por libre designación, de cuarenta y tres puestos de trabajo de aquella relación. Toda vez que en la contestación a la demanda se hizo ver por el Letrado de la Xunta de Galicia que la determinación, con relación a dichas plazas funcionariales, del sistema de libre designación provenía de lo dispuesto en el artículo 30 del Decreto Legislativo 1/2008, de 13 de marzo, por el que se aprobó el texto refundido de la Ley de función pública de Galicia (en la redacción dada a tal precepto por el artículo 21 de la Ley 15/2010, de 28 de diciembre, de medidas fiscales y administrativas), el órgano judicial </w:t>
      </w:r>
      <w:r w:rsidRPr="00AC56D6">
        <w:rPr>
          <w:i/>
        </w:rPr>
        <w:t>a quo</w:t>
      </w:r>
      <w:r>
        <w:t xml:space="preserve">, una vez señalado ya el recurso para votación y fallo, decidió oír a las partes en orden a la posible promoción de la presente cuestión y ha dictado después el Auto en el que suscita su duda de constitucionalidad sobre el mentado artículo 30, en la redacción proveniente de la citada Ley 15/2010, por posible infracción de lo dispuesto en el artículo 23.2 CE, en relación con el artículo 103.3 de la </w:t>
      </w:r>
      <w:r>
        <w:lastRenderedPageBreak/>
        <w:t>misma norma fundamental y con lo dispuesto en la normativa básica estatal sobre función pública (a cuyo efecto cita la Ley 30/1984, de 2 de agosto, de reforma de la función pública, así como la Ley 7/2007, de 12 de abril, por la que se aprueba el estatuto básico del empleado público). El precepto legal que así viene a someterse a nuestro enjuiciamiento trae su nueva redacción, según se ha dicho, del artículo 21 de aquella Ley 15/2010 y dispone lo siguiente:</w:t>
      </w:r>
    </w:p>
    <w:p w:rsidR="00AC56D6" w:rsidRDefault="00AC56D6" w:rsidP="00AC56D6">
      <w:pPr>
        <w:pStyle w:val="TextoNormal"/>
      </w:pPr>
    </w:p>
    <w:p w:rsidR="00AC56D6" w:rsidRDefault="00AC56D6" w:rsidP="00AC56D6">
      <w:pPr>
        <w:pStyle w:val="TextoNormal"/>
      </w:pPr>
      <w:r>
        <w:t>“Se proveerán por el sistema de libre designación, con convocatoria pública entre personal funcionario de carrera, los puestos de trabajo de carácter directivo o de especial responsabilidad y aquellos que requieran una confianza personal para ejercer sus funciones. En todo caso, mediante este procedimiento, se proveerán las subdirecciones generales o equivalentes, jefaturas de servicio o equivalentes, las secretarías de altos cargos, así como, excepcionalmente, otros de nivel inferior que, como tales, se determinen en las relaciones de puestos de trabajo, según los criterios que se establezcan, en este último caso, previa negociación con las organizaciones sindicales.</w:t>
      </w:r>
    </w:p>
    <w:p w:rsidR="00AC56D6" w:rsidRDefault="00AC56D6" w:rsidP="00AC56D6">
      <w:pPr>
        <w:pStyle w:val="TextoNormal"/>
      </w:pPr>
    </w:p>
    <w:p w:rsidR="00AC56D6" w:rsidRDefault="00AC56D6" w:rsidP="00AC56D6">
      <w:pPr>
        <w:pStyle w:val="TextoNormal"/>
      </w:pPr>
      <w:r>
        <w:t>Los puestos clasificados como de libre designación estarán sometidos a disponibilidad horaria en los términos que se establezcan reglamentariamente.”</w:t>
      </w:r>
    </w:p>
    <w:p w:rsidR="00AC56D6" w:rsidRDefault="00AC56D6" w:rsidP="00AC56D6">
      <w:pPr>
        <w:pStyle w:val="TextoNormal"/>
      </w:pPr>
    </w:p>
    <w:p w:rsidR="00AC56D6" w:rsidRDefault="00AC56D6" w:rsidP="00AC56D6">
      <w:pPr>
        <w:pStyle w:val="TextoNormal"/>
      </w:pPr>
      <w:r>
        <w:t>No cabría abordar el enjuiciamiento constitucional que así se nos pide sin examinar antes las consideraciones que ante este Tribunal se han expuesto en orden a la posible inadmisibilidad de esta cuestión, argüida tanto por el Abogado del Estado como por el Letrado de la Xunta de Galicia y que, conforme a jurisprudencia constitucional constante, podría ser apreciada en sentencia (por todas, STC 4/2015, de 19 de enero, FJ 2). Ello en el bien entendido de que no procede ahora, a efectos de tal examen inicial, considerar como hipotética causa de inadmisión —sino en su momento, y llegado el caso, de desestimación— la condición de “notoriamente infundada” que el Abogado del Estado atribuye a esta cuestión de inconstitucionalidad para solicitar, en la súplica de sus alegaciones, la inadmisión de la misma por Sentencia. Es cierto que, según acabamos de recordar, las causas de inadmisión de una cuestión de inconstitucionalidad pueden también ser apreciadas en la resolución final del proceso. Pero cuando, ya en esta fase del procedimiento, se aduzca que la cuestión está “notoriamente infundada” [art. 37.1 de la Ley Orgánica del Tribunal Constitucional (LOTC)], ello habría de conducir, salvo en casos de fundamentación del todo inexistente (</w:t>
      </w:r>
      <w:r w:rsidRPr="00AC56D6">
        <w:rPr>
          <w:i/>
        </w:rPr>
        <w:t>v.gr</w:t>
      </w:r>
      <w:r>
        <w:t>. STC 245/2004, de 16 de diciembre, FJ 3), a un examen sustantivo o de fondo que no podríamos emprender sin despejar antes los óbices procesales que a continuación consideramos.</w:t>
      </w:r>
    </w:p>
    <w:p w:rsidR="00AC56D6" w:rsidRDefault="00AC56D6" w:rsidP="00AC56D6">
      <w:pPr>
        <w:pStyle w:val="TextoNormal"/>
      </w:pPr>
    </w:p>
    <w:p w:rsidR="00AC56D6" w:rsidRDefault="00AC56D6" w:rsidP="00AC56D6">
      <w:pPr>
        <w:pStyle w:val="TextoNormal"/>
      </w:pPr>
      <w:r w:rsidRPr="00AC56D6">
        <w:rPr>
          <w:rStyle w:val="NumeroAFNegritaCaracter"/>
        </w:rPr>
        <w:t>2</w:t>
      </w:r>
      <w:r>
        <w:t xml:space="preserve">. Sostiene el Abogado del Estado, en primer lugar, que la cuestión es “parcialmente inadmisible en cuanto a su objeto”, lo que se corresponde en la propia súplica de su escrito con la solicitud de que se inadmita respecto del precepto cuestionado, “en aquello que exceda de la mención a las jefaturas de servicio”. Bien se ve, por lo tanto, que lo que esta representación plantea en tales términos no es, en rigor, una causa de rechazo </w:t>
      </w:r>
      <w:r w:rsidRPr="00AC56D6">
        <w:rPr>
          <w:i/>
        </w:rPr>
        <w:t>a limine</w:t>
      </w:r>
      <w:r>
        <w:t xml:space="preserve"> que, de acogerse, debiera conducir a excluir todo enjuiciamiento de fondo por este Tribunal, sino, más bien, el necesario acotamiento de dicho juicio, cuyo objeto habría de ser, en criterio de la Abogacía del Estado, no el artículo 30 en su integridad, sino determinado enunciado o fragmento de ese precepto. Siendo esto así, tal posible inadmisión parcial debería considerarse en el momento de abordar, si procediere, el enjuiciamiento constitucional de fondo (por todas, STC 133/2004, de 22 de julio, FJ 2).</w:t>
      </w:r>
    </w:p>
    <w:p w:rsidR="00AC56D6" w:rsidRDefault="00AC56D6" w:rsidP="00AC56D6">
      <w:pPr>
        <w:pStyle w:val="TextoNormal"/>
      </w:pPr>
    </w:p>
    <w:p w:rsidR="00AC56D6" w:rsidRDefault="00AC56D6" w:rsidP="00AC56D6">
      <w:pPr>
        <w:pStyle w:val="TextoNormal"/>
      </w:pPr>
      <w:r>
        <w:lastRenderedPageBreak/>
        <w:t xml:space="preserve">La representación de la Xunta de Galicia, en términos no muy distintos a los anteriores, ha aducido también, como una de las causas de inadmisibilidad que invoca, que el Auto por el que la cuestión se suscita no ha definido la misma con lo que llama “parámetros exigibles”, observación ésta que se formula tanto por referencia al precepto legal cuestionado como en cuanto a la causa o razón de su posible invalidez. Por lo que al primer aspecto se refiere, el Letrado de la Xunta señala la “inconcreción” que supone cuestionar, sin mayor precisión, el artículo 30, si bien esta misma representación orienta luego sus alegaciones de fondo a argumentar, entre otras consideraciones sobre la referencia de aquel precepto a las jefaturas de servicio, mostrando así que el cuestionamiento del artículo 30, aparentemente en su integridad, no podría, en su criterio, sino entenderse referido, visto el objeto del proceso </w:t>
      </w:r>
      <w:r w:rsidRPr="00AC56D6">
        <w:rPr>
          <w:i/>
        </w:rPr>
        <w:t>a quo</w:t>
      </w:r>
      <w:r>
        <w:t xml:space="preserve">, a la determinación de la cobertura de tales puestos de trabajo mediante el procedimiento de libre designación. Sin duda que hubiera sido procedente una mayor precisión, por el Auto de planteamiento de la cuestión. Sin embargo, su inconcreción inicial no ha impedido a quienes han alegado ante nosotros identificar la norma cuestionada con arreglo a lo controvertido en el proceso que está en el origen de la cuestión. Tampoco, por lo demás, cabría reprochar al Auto que la promueve, frente a lo que también aduce la misma representación de la Xunta, haber dejado en lo indeterminado la normación constitucional que habría sido, contrariada, pues, sin perjuicio ahora de cualesquiera posibles consideraciones de fondo, el órgano judicial </w:t>
      </w:r>
      <w:r w:rsidRPr="00AC56D6">
        <w:rPr>
          <w:i/>
        </w:rPr>
        <w:t>a quo</w:t>
      </w:r>
      <w:r>
        <w:t xml:space="preserve"> cita en su Auto, a tal efecto, los arts. 23.2, 103.3 y 149.1.18 CE, así como la legislación estatal que estima básica en materia de función pública. Basta con constatarlo así para concluir en que, a este respecto, la cuestión no dejaría de ser admisible a trámite.</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Las anteriores no son, sin embargo, las únicas causas de inadmisión invocadas por la representación de la Xunta de Galicia. Con argumentos que, si fueran de compartir, habrían de llevar al rechazo </w:t>
      </w:r>
      <w:r w:rsidRPr="00AC56D6">
        <w:rPr>
          <w:i/>
        </w:rPr>
        <w:t>a limine</w:t>
      </w:r>
      <w:r>
        <w:t xml:space="preserve"> de esta cuestión de inconstitucionalidad, afirma esa representación que es procedente tal rechazo preliminar porque la cuestión se habría tramitado y planteado defectuosamente y ello en atención a dos consideraciones. La primera, que esta representación no fue efectivamente oída, en el trámite previo a la promoción en cuestión en contra de lo que requiere el artículo 35.2 LOTC. La segunda causa de inadmisión tendría que ver, ya en un plano distinto, con el hecho de que el Auto de planteamiento no habría justificado suficientemente la relevancia, para la resolución del proceso en curso, de la validez o invalidez del precepto legal cuestionado, justificación que exige el precepto de nuestra Ley Orgánica recién citado. Examinaremos a continuación uno y otro de estos alegatos preliminares:</w:t>
      </w:r>
    </w:p>
    <w:p w:rsidR="00AC56D6" w:rsidRDefault="00AC56D6" w:rsidP="00AC56D6">
      <w:pPr>
        <w:pStyle w:val="TextoNormal"/>
      </w:pPr>
    </w:p>
    <w:p w:rsidR="00AC56D6" w:rsidRDefault="00AC56D6" w:rsidP="00AC56D6">
      <w:pPr>
        <w:pStyle w:val="TextoNormal"/>
      </w:pPr>
      <w:r>
        <w:t xml:space="preserve">a) Arguye la representación de la Xunta de Galicia, según se ha hecho constar en los antecedentes, que el órgano judicial </w:t>
      </w:r>
      <w:r w:rsidRPr="00AC56D6">
        <w:rPr>
          <w:i/>
        </w:rPr>
        <w:t>a quo</w:t>
      </w:r>
      <w:r>
        <w:t xml:space="preserve"> no ha argumentado como debiera la relevancia, para la resolución del proceso sobre, la constitucionalidad o inconstitucionalidad del precepto legal cuestionado, toda vez que —señala— en dicho proceso esta misma representación hizo valer, de modo preliminar, la falta de legitimación del actor para solicitar la declaración de nulidad del sistema de provisión por libre designación de todos los cuarenta y tres puestos de trabajo, a los que se refirió en su demanda, de modo tal que, al promoverse la cuestión de inconstitucionalidad sin resolver tales “debates previos”, cabría dudar de la repetida relevancia como presupuesto necesario para la viabilidad de la cuestión misma.</w:t>
      </w:r>
    </w:p>
    <w:p w:rsidR="00AC56D6" w:rsidRDefault="00AC56D6" w:rsidP="00AC56D6">
      <w:pPr>
        <w:pStyle w:val="TextoNormal"/>
      </w:pPr>
    </w:p>
    <w:p w:rsidR="00AC56D6" w:rsidRDefault="00AC56D6" w:rsidP="00AC56D6">
      <w:pPr>
        <w:pStyle w:val="TextoNormal"/>
      </w:pPr>
      <w:r>
        <w:t xml:space="preserve">Importa recordar que una constante jurisprudencia constitucional tiene establecido que los órganos judiciales que plantean las cuestiones de inconstitucionalidad deben comprobar </w:t>
      </w:r>
      <w:r>
        <w:lastRenderedPageBreak/>
        <w:t xml:space="preserve">y exteriorizar </w:t>
      </w:r>
      <w:r w:rsidRPr="00AC56D6">
        <w:rPr>
          <w:i/>
        </w:rPr>
        <w:t>prima facie</w:t>
      </w:r>
      <w:r>
        <w:t xml:space="preserve"> el juicio de relevancia para ello, sin que le corresponda a este Tribunal sustituir o rectificar su criterio, salvo en los casos en que de manera notoria, sin necesidad de examinar el fondo debatido y en aplicación de principios jurídicos básicos, se advierta que la argumentación judicial en relación con dicho juicio de relevancia carece de consistencia (por todas, STC 60/2013, de 13 de marzo, FJ 1, y jurisprudencia allí citada). También hemos dicho, que cuando en el proceso del que la cuestión proviene se hayan suscitado excepciones procesales de necesario examen previo es preciso que el auto de planteamiento incluya un pronunciamiento del órgano judicial que, aunque provisional, garantice que, una vez valorados otros parámetros legales —como aquí podría ser la excepción de falta de legitimación— la resolución del proceso judicial depende real y efectivamente de la constitucionalidad de la norma cuestionada (ATC 164/2014, de 10 de junio, FJ 3, y resoluciones allí citadas). Si así no hiciera el auto —en particular, cuando tales cuestiones previas se hayan reiterado en la audiencia </w:t>
      </w:r>
      <w:r w:rsidRPr="00AC56D6">
        <w:rPr>
          <w:i/>
        </w:rPr>
        <w:t>ex</w:t>
      </w:r>
      <w:r>
        <w:t xml:space="preserve"> artículo 35.2 LOTC—, se correría el riesgo de que el juicio a la ley se desarrollara ante este Tribunal sin necesidad ni pertinencia algunas, pues, realizado nuestro enjuiciamiento y pronunciado el fallo que correspondiere, el proceso </w:t>
      </w:r>
      <w:r w:rsidRPr="00AC56D6">
        <w:rPr>
          <w:i/>
        </w:rPr>
        <w:t>a quo</w:t>
      </w:r>
      <w:r>
        <w:t xml:space="preserve"> podría concluir, al cabo, sin aplicación del precepto cuestionado y en atención a razones jurídicas ajenas, a su conformidad o no a la Constitución.</w:t>
      </w:r>
    </w:p>
    <w:p w:rsidR="00AC56D6" w:rsidRDefault="00AC56D6" w:rsidP="00AC56D6">
      <w:pPr>
        <w:pStyle w:val="TextoNormal"/>
      </w:pPr>
    </w:p>
    <w:p w:rsidR="00AC56D6" w:rsidRDefault="00AC56D6" w:rsidP="00AC56D6">
      <w:pPr>
        <w:pStyle w:val="TextoNormal"/>
      </w:pPr>
      <w:r>
        <w:t xml:space="preserve">No cabe compartir, sin embargo, que concurra aquí tal causa de inadmisión. En primer lugar porque, siendo cierto que la representación de la Xunta alegó sobre dicho extremo en el proceso </w:t>
      </w:r>
      <w:r w:rsidRPr="00AC56D6">
        <w:rPr>
          <w:i/>
        </w:rPr>
        <w:t>a quo</w:t>
      </w:r>
      <w:r>
        <w:t xml:space="preserve">, no lo es menos que lo hizo en unos términos que no negaban, de manera radical y absoluta, la legitimación del entonces demandante, sino que se referían, más bien, a su falta de legitimación “para la impugnación de determinados puestos” de los incluidos en la relación de puestos de trabajo controvertida y ello en atención a que el actor no habría acreditado contar con las condiciones para poder optar a todas y cada una de las jefaturas de servicio entonces en polémica. Siendo esto así, no cabría exigir del órgano judicial, en lo que a la viabilidad de la cuestión importa, que se hubiera pronunciado, siquiera provisoriamente, sobre una falta de legitimación que, de constatarse en su momento, parece afectaría, según la misma representación que ahora la invoca, no a todos los puestos a cubrir mediante libre designación, sino a algunos de ellos, y que, por lo mismo, no impediría el examen de la pretensión deducida en el recurso contencioso-administrativo, por más que tal pretensión, acaso, debiera ser objeto de reducción o limitación por el propio órgano judicial. A la misma conclusión de rechazo de esta causa de inadmisión se ha de llegar, en atención a otra consideración, pues este Tribunal ya ha señalado que no le es exigible al órgano judicial pronunciarse de modo provisional, en el auto de planteamiento, sobre tales cuestiones previas de legalidad, cuando las mismas no hubieran sido puestas de manifiesto en el trámite de audiencia </w:t>
      </w:r>
      <w:r w:rsidRPr="00AC56D6">
        <w:rPr>
          <w:i/>
        </w:rPr>
        <w:t>ex</w:t>
      </w:r>
      <w:r>
        <w:t xml:space="preserve"> artículo 35.2 LOTC (STC 41/2015, de 2 de marzo, FJ 3). Por ello, importa señalar que en las alegaciones deducidas antes de la promoción de la actual cuestión, no hicieron ninguna mención ni el Ministerio Fiscal ni la representación de la Xunta de Galicia, a la falta de legitimación del actor que, sí se opuso por la Xunta en la contestación a la demanda. Es muy cierto —y las consecuencias de ello las consideraremos de inmediato— que las alegaciones de la Xunta en la audiencia del artículo 35.2 LOTC no fueron objeto de consideración por el Tribunal </w:t>
      </w:r>
      <w:r w:rsidRPr="00AC56D6">
        <w:rPr>
          <w:i/>
        </w:rPr>
        <w:t>a quo</w:t>
      </w:r>
      <w:r>
        <w:t xml:space="preserve">, pero de haberlo sido el órgano judicial no habría visto expuesta en ellas objeción procesal alguna, aunque sí sustantiva, para la promoción de la actual cuestión ni le hubiera sido exigible, por lo mismo, anticipar en el Auto de planteamiento un juicio preliminar sobre la legitimación del demandante en el proceso </w:t>
      </w:r>
      <w:r w:rsidRPr="00AC56D6">
        <w:rPr>
          <w:i/>
        </w:rPr>
        <w:t>a quo</w:t>
      </w:r>
      <w:r>
        <w:t>.</w:t>
      </w:r>
    </w:p>
    <w:p w:rsidR="00AC56D6" w:rsidRDefault="00AC56D6" w:rsidP="00AC56D6">
      <w:pPr>
        <w:pStyle w:val="TextoNormal"/>
      </w:pPr>
    </w:p>
    <w:p w:rsidR="00AC56D6" w:rsidRDefault="00AC56D6" w:rsidP="00AC56D6">
      <w:pPr>
        <w:pStyle w:val="TextoNormal"/>
      </w:pPr>
      <w:r>
        <w:lastRenderedPageBreak/>
        <w:t>b) Distinta respuesta se ha de dar a la primera de las causas de inadmisión a trámite de esta cuestión que suscita la representación de la Xunta de Galicia con la observación —de capital importancia a nuestros efectos— de que, si bien el trámite de audiencia del artículo 35.2 LOTC se abrió también para esta representación, que alegó oportunamente al respecto, tales alegaciones no fueron objeto de consideración por el Tribunal, que ha promovido la cuestión; por tanto, sin haber oído, como es imperativo, a todas las partes personadas en el procedimiento que hicieron uso de la ocasión de alegar. Es indubitado, desde luego, que se incurrió en falta de audiencia efectiva. Si bien en el Auto de planteamiento de la cuestión se dice que en el trámite que aquí importa únicamente alegó el Ministerio Fiscal, con posterioridad —como ha quedado reseñado en los antecedentes de esta Sentencia— el propio órgano judicial dictó Auto de 27 de marzo de 2014, en cuya parte dispositiva inadmitió el recurso de reposición y desestimó el incidente de nulidad de actuaciones interpuestos entonces por la representación de la Xunta de Galicia ante tal falta de audiencia efectiva. En el fundamento jurídico 2 puede leerse que “ha de admitirse que esta Sala no examinó el escrito de alegaciones oportunamente presentado por la Xunta de Galicia, pese que (</w:t>
      </w:r>
      <w:r w:rsidRPr="00AC56D6">
        <w:rPr>
          <w:i/>
        </w:rPr>
        <w:t>sic</w:t>
      </w:r>
      <w:r>
        <w:t>) lo hizo por dos vías alternativas e igualmente válidas (Registro del Tribunal el día 9/5/2013 y “lexnet” dos días antes) ignorando la razón por las que no llegó el referido a la mesa del ponente”. Se añadió en esta resolución, entre otras consideraciones, que ello “entraña una irregularidad imputable a esta Sala”.</w:t>
      </w:r>
    </w:p>
    <w:p w:rsidR="00AC56D6" w:rsidRDefault="00AC56D6" w:rsidP="00AC56D6">
      <w:pPr>
        <w:pStyle w:val="TextoNormal"/>
      </w:pPr>
    </w:p>
    <w:p w:rsidR="00AC56D6" w:rsidRDefault="00AC56D6" w:rsidP="00AC56D6">
      <w:pPr>
        <w:pStyle w:val="TextoNormal"/>
      </w:pPr>
      <w:r>
        <w:t xml:space="preserve">Es del todo obvio que oír a las partes y al Ministerio Fiscal, como exige el artículo 35.2 LOTC, supone no sólo abrir el trámite correspondiente y dar lugar a que se alegue, sino tomar conocimiento de las alegaciones que en tal trámite se hubieran presentado en tiempo y forma sobre la pertinencia de plantear la cuestión de inconstitucionalidad o sobre el fondo de ésta. Esto último es lo que, por la causa que fuere, no se realizó en el caso actual respecto de las alegaciones de la Xunta, deducidas y presentadas sin tacha procesal, según reconoce el Tribunal </w:t>
      </w:r>
      <w:r w:rsidRPr="00AC56D6">
        <w:rPr>
          <w:i/>
        </w:rPr>
        <w:t>a quo</w:t>
      </w:r>
      <w:r>
        <w:t xml:space="preserve">, pero no examinadas o tomadas en consideración antes de decidir si era o no procedente promover la presente cuestión. Planteada, pues, sin haber sido oída la parte demandada, que oportunamente alegó, la cuestión misma no puede seguir su curso ante este Tribunal, cuya jurisdicción para controlar la ley, descansa siempre en la concurrencia de los presupuestos procesales en cada caso exigidos por la LOTC, presupuestos cuyo incumplimiento no puede ser pasado por alto sin devaluar el sentido del trámite omitido o defectuosamente realizado. La audiencia a las partes que prescribe el artículo 35.2 LOTC no constituye, como desde el principio hemos dicho, una secuencia del proceso </w:t>
      </w:r>
      <w:r w:rsidRPr="00AC56D6">
        <w:rPr>
          <w:i/>
        </w:rPr>
        <w:t>a quo</w:t>
      </w:r>
      <w:r>
        <w:t xml:space="preserve"> , sino una pieza preliminar del posterior y eventual proceso constitucional (ATC 108/1993, de 30 de marzo, FJ 2; en términos análogos, ATC 220/2012, de 27 de noviembre, FJ 4) y su sentido es, también conforme a jurisprudencia constante, no sólo asegurar la intervención de las partes y del Ministerio Fiscal con carácter previo a la posible adopción de una decisión judicial de tanta entidad como es la apertura de un proceso constitucional, sino también poner a disposición del órgano judicial un medio que le permita conocer, con rigor, la opinión de los sujetos interesados con el fin de facilitar su reflexión sobre la conveniencia o no de promover dicho proceso (por todas las resoluciones en este sentido, ATC 39/2012, de 28 de febrero, FJ 2).</w:t>
      </w:r>
    </w:p>
    <w:p w:rsidR="00AC56D6" w:rsidRDefault="00AC56D6" w:rsidP="00AC56D6">
      <w:pPr>
        <w:pStyle w:val="TextoNormal"/>
      </w:pPr>
    </w:p>
    <w:p w:rsidR="00AC56D6" w:rsidRDefault="00AC56D6" w:rsidP="00AC56D6">
      <w:pPr>
        <w:pStyle w:val="TextoNormal"/>
      </w:pPr>
      <w:r>
        <w:t xml:space="preserve">El planteamiento de una cuestión de inconstitucionalidad sin tomar en consideración las alegaciones oportunamente deducidas sobre su viabilidad y pertinencia supone desvirtuar por entero el trámite de previa audiencia que nuestra Ley Orgánica requiere (al respecto, STC 204/2004, de 18 de noviembre, FJ 2). Así ocurrió aquí para lo alegado por la Xunta de </w:t>
      </w:r>
      <w:r>
        <w:lastRenderedPageBreak/>
        <w:t>Galicia y ello impone la inadmisión a trámite de la presente cuestión de inconstitucionalidad.</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Inadmitir la cuestión de inconstitucionalidad núm. 6096-2013, planteada por la Sección Primera de la Sala de lo Contencioso-Administrativo del Tribunal Superior de Justicia de Galicia.</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nueve de julio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4" w:name="SENTENCIA_2015_158"/>
      <w:r>
        <w:lastRenderedPageBreak/>
        <w:t>SENTENCIA 158/2015, de 14 de julio de 2015</w:t>
      </w:r>
    </w:p>
    <w:bookmarkEnd w:id="14"/>
    <w:p w:rsidR="00AC56D6" w:rsidRDefault="00AC56D6" w:rsidP="00AC56D6">
      <w:pPr>
        <w:pStyle w:val="TtuloResolucin"/>
      </w:pPr>
      <w:r>
        <w:t>Sala Segunda</w:t>
      </w:r>
    </w:p>
    <w:p w:rsidR="00AC56D6" w:rsidRDefault="00AC56D6" w:rsidP="00AC56D6">
      <w:pPr>
        <w:pStyle w:val="TtuloBOE"/>
      </w:pPr>
      <w:r>
        <w:t>(BOE núm. 194, de 14 de agosto de 2015)</w:t>
      </w:r>
    </w:p>
    <w:p w:rsidR="00AC56D6" w:rsidRDefault="00AC56D6" w:rsidP="00AC56D6">
      <w:pPr>
        <w:pStyle w:val="TextoNormalCentrado"/>
      </w:pPr>
      <w:r>
        <w:t>ECLI:ES:TC:2015:158</w:t>
      </w:r>
    </w:p>
    <w:p w:rsidR="00AC56D6" w:rsidRDefault="00AC56D6" w:rsidP="00AC56D6">
      <w:pPr>
        <w:pStyle w:val="TextoNormalCentrado"/>
      </w:pPr>
    </w:p>
    <w:p w:rsidR="00AC56D6" w:rsidRDefault="00AC56D6" w:rsidP="00AC56D6">
      <w:pPr>
        <w:pStyle w:val="SntesisDescriptiva"/>
      </w:pPr>
      <w:r>
        <w:t>Recurso de amparo electoral 3810-2015. Promovido por el Partido Popular de Caldas de Reis en relación con la Sentencia de la Sala de lo Contencioso-Administrativo del Tribunal Superior de Justicia de Galicia que estimó el recurso contencioso-electoral interpuesto por el Partido Socialista Obrero Español en relación con las elecciones al concejo de Caldas de Reis.</w:t>
      </w:r>
    </w:p>
    <w:p w:rsidR="00AC56D6" w:rsidRDefault="00AC56D6" w:rsidP="00AC56D6">
      <w:pPr>
        <w:pStyle w:val="SntesisDescriptiva"/>
      </w:pPr>
    </w:p>
    <w:p w:rsidR="00AC56D6" w:rsidRDefault="00AC56D6" w:rsidP="00AC56D6">
      <w:pPr>
        <w:pStyle w:val="SntesisAnaltica"/>
      </w:pPr>
      <w:r>
        <w:t>Supuesta vulneración del derecho de acceso a los cargos públicos en condiciones de igualdad: resolución judicial que da por válidos dos votos emitidos en papeletas a las que se había recortado el espacio inferior en blanco.</w:t>
      </w:r>
    </w:p>
    <w:p w:rsidR="00AC56D6" w:rsidRDefault="00AC56D6" w:rsidP="00AC56D6">
      <w:pPr>
        <w:pStyle w:val="SntesisAnaltica"/>
      </w:pPr>
    </w:p>
    <w:p w:rsidR="00AC56D6" w:rsidRDefault="00AC56D6" w:rsidP="00AC56D6">
      <w:pPr>
        <w:pStyle w:val="Extracto"/>
      </w:pPr>
      <w:r>
        <w:t>1.</w:t>
      </w:r>
      <w:r>
        <w:tab/>
        <w:t>La interpretación efectuada por el órgano de la justicia ordinaria, según la cual el defecto detectado en la papeleta queda fuera del ámbito estricto de aplicación del principio de inalterabilidad de la lista, no sólo no es irrazonable sino que es plenamente respetuosa con los contenidos, requisitos y límites que pueden extraerse del art. 96.2 LOREG [FJ 4].</w:t>
      </w:r>
    </w:p>
    <w:p w:rsidR="00AC56D6" w:rsidRDefault="00AC56D6" w:rsidP="00AC56D6">
      <w:pPr>
        <w:pStyle w:val="Extracto"/>
      </w:pPr>
    </w:p>
    <w:p w:rsidR="00AC56D6" w:rsidRDefault="00AC56D6" w:rsidP="00AC56D6">
      <w:pPr>
        <w:pStyle w:val="Extracto"/>
      </w:pPr>
      <w:r>
        <w:t>2.</w:t>
      </w:r>
      <w:r>
        <w:tab/>
        <w:t>Se descarta la vulneración del derecho a la tutela judicial efectiva y el principio de seguridad jurídica (art. 9.3 CE) dado que la sentencia impugnada responde a una fundamentación interpretativa de las causas de nulidad recogidas en el art. 96.2 LOREG que no es arbitraria, manifiestamente irracional o incursa en error patente, pues se apoya en una interpretación de los términos del precepto que es plenamente conforme con el principio de preservación de la voluntad del elector [FJ 5].</w:t>
      </w:r>
    </w:p>
    <w:p w:rsidR="00AC56D6" w:rsidRDefault="00AC56D6" w:rsidP="00AC56D6">
      <w:pPr>
        <w:pStyle w:val="Extracto"/>
      </w:pPr>
    </w:p>
    <w:p w:rsidR="00AC56D6" w:rsidRDefault="00AC56D6" w:rsidP="00AC56D6">
      <w:pPr>
        <w:pStyle w:val="Extracto"/>
      </w:pPr>
      <w:r>
        <w:t>3.</w:t>
      </w:r>
      <w:r>
        <w:tab/>
        <w:t>Se descarta la vulneración del principio de igualdad en la aplicación de la ley, pues únicamente puede verse conculcado cuando la solución dispar dada al supuesto de hecho considerado igual procede de un mismo órgano del Poder Judicial y no ha aportado éste una justificación razonable del apartamiento del criterio precedente [FJ 5].</w:t>
      </w:r>
    </w:p>
    <w:p w:rsidR="00AC56D6" w:rsidRDefault="00AC56D6" w:rsidP="00AC56D6">
      <w:pPr>
        <w:pStyle w:val="Extracto"/>
      </w:pPr>
    </w:p>
    <w:p w:rsidR="00AC56D6" w:rsidRDefault="00AC56D6" w:rsidP="00AC56D6">
      <w:pPr>
        <w:pStyle w:val="Extracto"/>
      </w:pPr>
      <w:r>
        <w:t>4.</w:t>
      </w:r>
      <w:r>
        <w:tab/>
        <w:t>El principio de inalterabilidad de las listas no pretende preservar hasta sus últimas consecuencias la apariencia externa de la papeleta, sino evitar toda actuación del elector sobre el contenido de la misma; por ello, la supresión del amplio espacio en blanco que existe en la parte inferior de la papeleta no puede considerarse una alteración de la misma en los términos de la cláusula de cierre del art. 96.2 LOREG, pues no supone la adición de elementos nuevos ni tampoco la modificación o supresión de los preexistentes [FJ 4].</w:t>
      </w:r>
    </w:p>
    <w:p w:rsidR="00AC56D6" w:rsidRDefault="00AC56D6" w:rsidP="00AC56D6">
      <w:pPr>
        <w:pStyle w:val="Extracto"/>
      </w:pPr>
    </w:p>
    <w:p w:rsidR="00AC56D6" w:rsidRDefault="00AC56D6" w:rsidP="00AC56D6">
      <w:pPr>
        <w:pStyle w:val="Extracto"/>
      </w:pPr>
      <w:r>
        <w:t>5.</w:t>
      </w:r>
      <w:r>
        <w:tab/>
        <w:t xml:space="preserve">La enumeración de supuestos de nulidad del art. 96.2 LOREG no es </w:t>
      </w:r>
      <w:r w:rsidRPr="00AC56D6">
        <w:rPr>
          <w:i/>
        </w:rPr>
        <w:t>ad exemplum</w:t>
      </w:r>
      <w:r>
        <w:t>, sino tasada (SSTC 168/2007, 170/2007) [FJ 4].</w:t>
      </w:r>
    </w:p>
    <w:p w:rsidR="00AC56D6" w:rsidRDefault="00AC56D6" w:rsidP="00AC56D6">
      <w:pPr>
        <w:pStyle w:val="Extracto"/>
      </w:pPr>
    </w:p>
    <w:p w:rsidR="00AC56D6" w:rsidRDefault="00AC56D6" w:rsidP="00AC56D6">
      <w:pPr>
        <w:pStyle w:val="Extracto"/>
      </w:pPr>
      <w:r>
        <w:lastRenderedPageBreak/>
        <w:t>6.</w:t>
      </w:r>
      <w:r>
        <w:tab/>
        <w:t>No puede entenderse que la referencia del art. 96.2 LOREG a cualquier otra alteración de carácter voluntario  constituya una cláusula general de invalidez, susceptible de aplicación automática, pues ese inciso actúa como cláusula de cierre del sistema cumpliendo la función normativa de extender la sanción de nulidad a aquellos supuestos de hecho que, no estando expresamente previstos, supongan un quebrantamiento del principio de inalterabilidad de la lista análogo al que se aprecia en los supuestos taxativamente fijados (STC 153/2003) [FJ 4].</w:t>
      </w:r>
    </w:p>
    <w:p w:rsidR="00AC56D6" w:rsidRDefault="00AC56D6" w:rsidP="00AC56D6">
      <w:pPr>
        <w:pStyle w:val="Extracto"/>
      </w:pPr>
    </w:p>
    <w:p w:rsidR="00AC56D6" w:rsidRDefault="00AC56D6" w:rsidP="00AC56D6">
      <w:pPr>
        <w:pStyle w:val="Extracto"/>
      </w:pPr>
      <w:r>
        <w:t>7.</w:t>
      </w:r>
      <w:r>
        <w:tab/>
        <w:t>Doctrina sobre el principio de inalterabilidad de las listas o candidaturas y su ponderación con los principios de interpretación más favorable a la efectividad de los derechos fundamentales, de conocimiento de la verdad material manifestada en las urnas por los electores y de conservación de los actos electorales (STC 124/2011) [FJ 3].</w:t>
      </w:r>
    </w:p>
    <w:p w:rsidR="00AC56D6" w:rsidRDefault="00AC56D6" w:rsidP="00AC56D6">
      <w:pPr>
        <w:pStyle w:val="Extracto"/>
      </w:pPr>
    </w:p>
    <w:p w:rsidR="00AC56D6" w:rsidRDefault="00AC56D6" w:rsidP="00AC56D6">
      <w:pPr>
        <w:pStyle w:val="Extracto"/>
      </w:pPr>
      <w:r>
        <w:t>8.</w:t>
      </w:r>
      <w:r>
        <w:tab/>
        <w:t>El recurso de amparo presentado tiene especial trascendencia constitucional, pues permite al Tribunal perfilar y aclarar la doctrina que, sobre el principio de inalterabilidad de la lista o candidatura, fue establecida por la STC 124/2011, de 14 de julio (STC 155/2009) [FJ 2].</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amparo núm. 3810-2015, promovido por el Partido Popular de Caldas de Reis, representado por la Procuradora de los Tribunales doña Sara García Perrote-Latorre y asistido por la Abogada doña Susana Alfonso Freijeiro, contra la Sentencia de 23 de junio de 2015, dictada por la Sala de lo Contencioso-Administrativo (Sección Primera) del Tribunal Superior de Justicia de Galicia, recaída en el Recurso Contencioso-Electoral núm. 189-2015. Ha comparecido el Partido Socialista Obrero Español (PSOE) y ha intervenido el Ministerio Fiscal. Ha sido Ponente el Magistrado don Antonio Narváez Rodríguez,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Por escrito registrado en este Tribunal el día 26 de junio de 2015, la Procuradora de los Tribunales doña Sara García Perrote-Latorre, en nombre y representación del Partido Popular (PP) de Caldas de Reis, interpuso recurso de amparo contra la resolución citada en el encabezamiento.</w:t>
      </w:r>
    </w:p>
    <w:p w:rsidR="00AC56D6" w:rsidRDefault="00AC56D6" w:rsidP="00AC56D6">
      <w:pPr>
        <w:pStyle w:val="TextoNormal"/>
      </w:pPr>
    </w:p>
    <w:p w:rsidR="00AC56D6" w:rsidRDefault="00AC56D6" w:rsidP="00AC56D6">
      <w:pPr>
        <w:pStyle w:val="TextoNormal"/>
      </w:pPr>
      <w:r w:rsidRPr="00AC56D6">
        <w:rPr>
          <w:rStyle w:val="NumeroAFNegritaCaracter"/>
        </w:rPr>
        <w:t>2</w:t>
      </w:r>
      <w:r>
        <w:t>. Los hechos en los que trae causa la demanda de amparo son, en síntesis, los siguientes:</w:t>
      </w:r>
    </w:p>
    <w:p w:rsidR="00AC56D6" w:rsidRDefault="00AC56D6" w:rsidP="00AC56D6">
      <w:pPr>
        <w:pStyle w:val="TextoNormal"/>
      </w:pPr>
    </w:p>
    <w:p w:rsidR="00AC56D6" w:rsidRDefault="00AC56D6" w:rsidP="00AC56D6">
      <w:pPr>
        <w:pStyle w:val="TextoNormal"/>
      </w:pPr>
      <w:r>
        <w:t>a) El día 24 de mayo de 2015, en el escrutinio realizado en la mesa electoral 2-2-U del Concello de Caldas de Reis (Pontevedra) se declararon nulos, de acuerdo con el art. 96.2 de la Ley Orgánica del Régimen electoral general (LOREG), dos votos que contenían la misma irregularidad: la papeleta correspondiente a la candidatura del Partido Socialista de Galicia de Galicia-PSOE (PSG) presentaba un corte horizontal justo debajo del nombre del último candidato suplente (núm. 5), corte que suprimía el espacio inferior de la papeleta que está completamente en blanco. Los dos votos fueron declarados nulos por la mesa electoral en la que fueron depositados, formulando protesta el interventor del PSG. Días después, concretamente el 27 de mayo de 2015 se celebró el escrutinio general previsto en el art. 103 LOREG, en el que se tuvieron por nulos los citados votos.</w:t>
      </w:r>
    </w:p>
    <w:p w:rsidR="00AC56D6" w:rsidRDefault="00AC56D6" w:rsidP="00AC56D6">
      <w:pPr>
        <w:pStyle w:val="TextoNormal"/>
      </w:pPr>
    </w:p>
    <w:p w:rsidR="00AC56D6" w:rsidRDefault="00AC56D6" w:rsidP="00AC56D6">
      <w:pPr>
        <w:pStyle w:val="TextoNormal"/>
      </w:pPr>
      <w:r>
        <w:t>b) El 28 de mayo de 2015, el PSG, al amparo de lo dispuesto en el art. 103 LOREG, impugnó ante la Junta Electoral de Zona de Pontevedra la exclusión de los dos votos anulados entendiendo que, de acuerdo con la STC 124/2011, de 14 de julio, el defecto formal detectado en las papeletas no tenía incidencia alguna en la voluntad de voto manifestada por el elector, que, a su parecer, se había decantado inequívocamente por la candidatura presentada por la formación impugnante. Por su parte, el Partido Popular (PP), ahora demandante de amparo, presentó alegaciones de contrario oponiéndose a lo solicitado.</w:t>
      </w:r>
    </w:p>
    <w:p w:rsidR="00AC56D6" w:rsidRDefault="00AC56D6" w:rsidP="00AC56D6">
      <w:pPr>
        <w:pStyle w:val="TextoNormal"/>
      </w:pPr>
    </w:p>
    <w:p w:rsidR="00AC56D6" w:rsidRDefault="00AC56D6" w:rsidP="00AC56D6">
      <w:pPr>
        <w:pStyle w:val="TextoNormal"/>
      </w:pPr>
      <w:r>
        <w:t>c) El día 29 de mayo de 2015, la Junta Electoral de Zona resolvió que, en aplicación de los principios de prevalecimiento de la voluntad del votante y de conservación de los actos electorales, los dos votos debían ser considerados válidos, estimando, así, la impugnación formulada.</w:t>
      </w:r>
    </w:p>
    <w:p w:rsidR="00AC56D6" w:rsidRDefault="00AC56D6" w:rsidP="00AC56D6">
      <w:pPr>
        <w:pStyle w:val="TextoNormal"/>
      </w:pPr>
    </w:p>
    <w:p w:rsidR="00AC56D6" w:rsidRDefault="00AC56D6" w:rsidP="00AC56D6">
      <w:pPr>
        <w:pStyle w:val="TextoNormal"/>
      </w:pPr>
      <w:r>
        <w:t>d) De acuerdo con lo dispuesto en el art. 108 LOREG, el ahora demandante de amparo presentó, en fecha 30 de mayo de 2015, recurso ante la Junta Electoral Central , que dictó acuerdo de 5 de junio de 2015 por el que emitió los siguientes pronunciamientos: (i) reconoció que la infracción denunciada afectaba al resultado electoral final, ya que “si las dos papeletas no hubiesen sido declaradas nulas, el PSdeG-PSOE habría obtenido un puesto más de concejal y la mayoría absoluta, en detrimento del Partido Popular”; (ii) revocó la declaración de validez de la Junta Electoral de Zona de Pontevedra respecto de los dos votos cuestionados y, en consecuencia, acordó la nulidad de los mismos, al entender que se había producido una alteración voluntaria de las papeletas y que, por ello, era de aplicación lo dispuesto en el art. 96.2 LOREG, (iii) instó, en consecuencia, a la Junta Electoral de Zona de Pontevedra a realizar la proclamación de electos en Caldas de Reis, de acuerdo con el resultado consignado en el acta de escrutinio de la Mesa 2-2-U.</w:t>
      </w:r>
    </w:p>
    <w:p w:rsidR="00AC56D6" w:rsidRDefault="00AC56D6" w:rsidP="00AC56D6">
      <w:pPr>
        <w:pStyle w:val="TextoNormal"/>
      </w:pPr>
    </w:p>
    <w:p w:rsidR="00AC56D6" w:rsidRDefault="00AC56D6" w:rsidP="00AC56D6">
      <w:pPr>
        <w:pStyle w:val="TextoNormal"/>
      </w:pPr>
      <w:r>
        <w:t>e) Presentado por el PSG el correspondiente recurso contencioso-electoral contra el acuerdo de la Junta Electoral Central, la Sala de lo Contencioso-Administrativo (Sección Primera) del Tribunal Superior de Justicia de Galicia dictó la Sentencia núm. 424-2015, de 23 de junio, en la que estimó el recurso interpuesto, anuló el acuerdo impugnado y el escrutinio de la mesa electoral y declaró la validez de las dos papeletas indebidamente anuladas ordenando que se realizase “la proclamación que proceda de acuerdo con el resultado electoral producido tras la declaración de validez de los dos votos indicados”.</w:t>
      </w:r>
    </w:p>
    <w:p w:rsidR="00AC56D6" w:rsidRDefault="00AC56D6" w:rsidP="00AC56D6">
      <w:pPr>
        <w:pStyle w:val="TextoNormal"/>
      </w:pPr>
    </w:p>
    <w:p w:rsidR="00AC56D6" w:rsidRDefault="00AC56D6" w:rsidP="00AC56D6">
      <w:pPr>
        <w:pStyle w:val="TextoNormal"/>
      </w:pPr>
      <w:r>
        <w:lastRenderedPageBreak/>
        <w:t>La resolución dictada centraba el “núcleo litigioso” del proceso en “el alcance interpretativo que había de darse al principio de inalterabilidad de la papeleta tras la reforma del art. 96.2 LOREG operada por la Ley Orgánica 2/2011, de 28 de enero”. La Sala, tras examinar la doctrina elaborada por el Tribunal Constitucional en relación con el referido principio, consideró en la citada resolución:</w:t>
      </w:r>
    </w:p>
    <w:p w:rsidR="00AC56D6" w:rsidRDefault="00AC56D6" w:rsidP="00AC56D6">
      <w:pPr>
        <w:pStyle w:val="TextoNormal"/>
      </w:pPr>
    </w:p>
    <w:p w:rsidR="00AC56D6" w:rsidRDefault="00AC56D6" w:rsidP="00AC56D6">
      <w:pPr>
        <w:pStyle w:val="TextoNormal"/>
      </w:pPr>
      <w:r>
        <w:t>(i) Que, antes de la entrada en vigor de la Ley Orgánica 2/2011, el Tribunal Constitucional había entendido que el art. 96.2 LOREG se caracterizaba por un rigor que conllevaba la aplicación preferente del principio de inalterabilidad sobre otros principios propios de los procesos electorales como el de conservación de actos válidamente celebrados, el de interpretación más favorable a la plenitud del derecho de sufragio y el de conocimiento de la verdad material manifestada en las urnas por los electores.</w:t>
      </w:r>
    </w:p>
    <w:p w:rsidR="00AC56D6" w:rsidRDefault="00AC56D6" w:rsidP="00AC56D6">
      <w:pPr>
        <w:pStyle w:val="TextoNormal"/>
      </w:pPr>
    </w:p>
    <w:p w:rsidR="00AC56D6" w:rsidRDefault="00AC56D6" w:rsidP="00AC56D6">
      <w:pPr>
        <w:pStyle w:val="TextoNormal"/>
      </w:pPr>
      <w:r>
        <w:t>(ii) Que el cambio normativo operado por la Ley Orgánica 2/2011 obligó, sin embargo, al Tribunal Constitucional a revisar su doctrina, siendo trascendental en este punto la STC 124/2011, de 14 de julio, y en particular su fundamento jurídico quinto, que, en opinión de la Sala, pasó a dar prevalencia al “sentido o intencionalidad del voto, por lo que, en la tensión de principios descrita previamente por el Tribunal Constitucional, ha de prevalecer sobre el principio de inalterabilidad de la papeleta, los principios de verdad material y de interpretación favorable al ejercicio fundamental [sic] del derecho de sufragio pasivo”.</w:t>
      </w:r>
    </w:p>
    <w:p w:rsidR="00AC56D6" w:rsidRDefault="00AC56D6" w:rsidP="00AC56D6">
      <w:pPr>
        <w:pStyle w:val="TextoNormal"/>
      </w:pPr>
    </w:p>
    <w:p w:rsidR="00AC56D6" w:rsidRDefault="00AC56D6" w:rsidP="00AC56D6">
      <w:pPr>
        <w:pStyle w:val="TextoNormal"/>
      </w:pPr>
      <w:r>
        <w:t>(iii) Que, de acuerdo con esta segunda pauta exegética, era irrelevante, en el caso planteado, que las papeletas presentaran un defecto debido a un error de imprenta (en el uso de la guillotina) o introducido voluntariamente por el elector, ya que el cambio realizado “no afectó a ningún nombre de la lista que incorporaban y sí solo al espacio en blanco existente detrás del nombre del último suplente”. Se trataba, pues, “de una manipulación intrascendente y nimia, siempre desde la ponderación de los principios antes citados, porque no introduce duda sobre la intención del elector de conferir su voto a la formación recurrente, ya que la parte cortada era el espacio en blanco”.</w:t>
      </w:r>
    </w:p>
    <w:p w:rsidR="00AC56D6" w:rsidRDefault="00AC56D6" w:rsidP="00AC56D6">
      <w:pPr>
        <w:pStyle w:val="TextoNormal"/>
      </w:pPr>
    </w:p>
    <w:p w:rsidR="00AC56D6" w:rsidRDefault="00AC56D6" w:rsidP="00AC56D6">
      <w:pPr>
        <w:pStyle w:val="TextoNormal"/>
      </w:pPr>
      <w:r>
        <w:t>f) La resolución adoptada por el órgano judicial no era susceptible de recurso alguno y suponía que el concejal inicialmente atribuido a la candidatura del PP pasara al PSG, formación que alcanzaba, así, la mayoría absoluta de concejales en el Concello de Caldas de Reis.</w:t>
      </w:r>
    </w:p>
    <w:p w:rsidR="00AC56D6" w:rsidRDefault="00AC56D6" w:rsidP="00AC56D6">
      <w:pPr>
        <w:pStyle w:val="TextoNormal"/>
      </w:pPr>
    </w:p>
    <w:p w:rsidR="00AC56D6" w:rsidRDefault="00AC56D6" w:rsidP="00AC56D6">
      <w:pPr>
        <w:pStyle w:val="TextoNormal"/>
      </w:pPr>
      <w:r w:rsidRPr="00AC56D6">
        <w:rPr>
          <w:rStyle w:val="NumeroAFNegritaCaracter"/>
        </w:rPr>
        <w:t>3</w:t>
      </w:r>
      <w:r>
        <w:t>. Agotada la vía judicial, la representación del PP de Caldas de Reis ha presentado recurso de amparo electoral contra la Sentencia de 23 de junio de 2015, dictada por la Sala de lo Contencioso-Administrativo (Sección Primera) del Tribunal Superior de Galicia, y, en su escrito de demanda, la formación política recurrente estima que la Sentencia impugnada ha incurrido en las siguientes vulneraciones de derechos fundamentales:</w:t>
      </w:r>
    </w:p>
    <w:p w:rsidR="00AC56D6" w:rsidRDefault="00AC56D6" w:rsidP="00AC56D6">
      <w:pPr>
        <w:pStyle w:val="TextoNormal"/>
      </w:pPr>
    </w:p>
    <w:p w:rsidR="00AC56D6" w:rsidRDefault="00AC56D6" w:rsidP="00AC56D6">
      <w:pPr>
        <w:pStyle w:val="TextoNormal"/>
      </w:pPr>
      <w:r>
        <w:t>(i) Del derecho a acceder en condiciones de igualdad a las funciones y cargos públicos (art. 23.2 CE) en relación con el derecho de los ciudadanos a participar en los asuntos públicos a través de sus representantes (art. 23.1 CE).</w:t>
      </w:r>
    </w:p>
    <w:p w:rsidR="00AC56D6" w:rsidRDefault="00AC56D6" w:rsidP="00AC56D6">
      <w:pPr>
        <w:pStyle w:val="TextoNormal"/>
      </w:pPr>
    </w:p>
    <w:p w:rsidR="00AC56D6" w:rsidRDefault="00AC56D6" w:rsidP="00AC56D6">
      <w:pPr>
        <w:pStyle w:val="TextoNormal"/>
      </w:pPr>
      <w:r>
        <w:t xml:space="preserve">En relación con esta vulneración, el recurrente destaca, en primer lugar, la realidad de la lesión del derecho fundamental invocado, dada la incidencia de la vulneración denunciada en el resultado electoral. Según señala “dar validez a los dos votos cuyas papeletas están </w:t>
      </w:r>
      <w:r>
        <w:lastRenderedPageBreak/>
        <w:t>cortadas prácticamente por la mitad supone dar un concejal más y con ello la mayoría absoluta” a la candidatura rival. La vulneración denunciada sería, así, impugnable en amparo “por afectar al resultado final de la elección, requisito necesario para poder apreciar la lesión real y efectiva del derecho de sufragio pasivo”. La invalidez de una sola de las dos papeletas cuestionadas privaría al PSOE de un concejal y, con ello, de la mayoría absoluta en el concello.</w:t>
      </w:r>
    </w:p>
    <w:p w:rsidR="00AC56D6" w:rsidRDefault="00AC56D6" w:rsidP="00AC56D6">
      <w:pPr>
        <w:pStyle w:val="TextoNormal"/>
      </w:pPr>
    </w:p>
    <w:p w:rsidR="00AC56D6" w:rsidRDefault="00AC56D6" w:rsidP="00AC56D6">
      <w:pPr>
        <w:pStyle w:val="TextoNormal"/>
      </w:pPr>
      <w:r>
        <w:t>Aclarada la realidad de la lesión, el actor sintetiza la doctrina de este Tribunal en materia de acceso a cargos públicos representativos (art. 23.2 CE), entendiendo, de acuerdo con la misma, que la resolución impugnada utiliza sesgadamente la doctrina fijada en la STC 124/2011, de 14 de julio, ya que toma como pauta interpretativa decisiva el principio de preservación de la voluntad del elector, obviando que la doctrina sentada en esa misma resolución sólo desplazaba la prevalencia del principio de inalterabilidad de la papeleta en un supuesto muy determinado, que no es el que se plantea en el caso actual.</w:t>
      </w:r>
    </w:p>
    <w:p w:rsidR="00AC56D6" w:rsidRDefault="00AC56D6" w:rsidP="00AC56D6">
      <w:pPr>
        <w:pStyle w:val="TextoNormal"/>
      </w:pPr>
    </w:p>
    <w:p w:rsidR="00AC56D6" w:rsidRDefault="00AC56D6" w:rsidP="00AC56D6">
      <w:pPr>
        <w:pStyle w:val="TextoNormal"/>
      </w:pPr>
      <w:r>
        <w:t>Recuerda el actor que, en el supuesto resuelto por la citada STC 124/2011, se habían declarado válidos unos votos en los que “se había puesto una cruz o aspa al lado de nombre de algunos candidatos”. La clave interpretativa de la decisión entonces alcanzada por el Tribunal estaba, a su juicio, en el fundamento jurídico 5 de la citada resolución, que trataba de conciliar el principio de inalterabilidad de la papeleta con el de interpretación más favorable a la efectividad del derecho fundamental. La reforma realizada en la LOREG por la Ley Orgánica 2/2011 habría perfilado el juego de ambos principios, optando por la primacía “de la verdad material” —y, por tanto, la conservación del voto— cuando el señalamiento de nombres no suscita duda alguna acerca del sentido del voto. Según señalaba la resolución “el principio de inalterabilidad de la papeleta queda atenuado en la medida en que el señalamiento de nombres que no genere dudas acerca del sentido del voto no provoca su nulidad”.</w:t>
      </w:r>
    </w:p>
    <w:p w:rsidR="00AC56D6" w:rsidRDefault="00AC56D6" w:rsidP="00AC56D6">
      <w:pPr>
        <w:pStyle w:val="TextoNormal"/>
      </w:pPr>
    </w:p>
    <w:p w:rsidR="00AC56D6" w:rsidRDefault="00AC56D6" w:rsidP="00AC56D6">
      <w:pPr>
        <w:pStyle w:val="TextoNormal"/>
      </w:pPr>
      <w:r>
        <w:t>Ahora bien, el recurrente sigue afirmando que el Tribunal Constitucional ha declarado, acto seguido, lo siguiente: “[i]nnecesario es añadir que subsiste el principio de inalterabilidad que se aplica en todo su rigor en los supuestos a los que la ley atribuye expresamente la sanción de nulidad, lo que sucede cuando se modifican, añaden o tachan los nombres de los candidatos comprendidos en las papeletas, cuando se altera su orden de colocación, cuando se introduce cualquier leyenda o expresión en la papeleta electoral o cuando se produce cualquier otra alteración que no sea la mencionada en el párrafo anterior y que es justamente la causa de nulidad excluida por la clarificación llevada a cabo por la Ley Orgánica 2/2011”.</w:t>
      </w:r>
    </w:p>
    <w:p w:rsidR="00AC56D6" w:rsidRDefault="00AC56D6" w:rsidP="00AC56D6">
      <w:pPr>
        <w:pStyle w:val="TextoNormal"/>
      </w:pPr>
    </w:p>
    <w:p w:rsidR="00AC56D6" w:rsidRDefault="00AC56D6" w:rsidP="00AC56D6">
      <w:pPr>
        <w:pStyle w:val="TextoNormal"/>
      </w:pPr>
      <w:r>
        <w:t>El partido político recurrente entiende que, no siendo el supuesto ahora planteado el expresamente salvado de la sanción de nulidad por la Ley Orgánica 2/2011, debe prevalecer, de acuerdo con lo señalado por el Tribunal Constitucional en la citada STC 124/2011, el principio de inalterabilidad de la papeleta, ya que, tal y como se ha reconocido tanto en sede administrativa como judicial, el corte horizontal que suprime la parte inferior en blanco es una modificación voluntaria (y no accidental) de aquélla. El recurrente entiende, pues, que la decisión de dar por válidos estos votos fue irregular y privó a su candidatura de un concejal —decisivo, además, para la formación de gobierno en el municipio—, vulnerándose, así, su derecho a acceder al cargo público en condiciones de igualdad.</w:t>
      </w:r>
    </w:p>
    <w:p w:rsidR="00AC56D6" w:rsidRDefault="00AC56D6" w:rsidP="00AC56D6">
      <w:pPr>
        <w:pStyle w:val="TextoNormal"/>
      </w:pPr>
    </w:p>
    <w:p w:rsidR="00AC56D6" w:rsidRDefault="00AC56D6" w:rsidP="00AC56D6">
      <w:pPr>
        <w:pStyle w:val="TextoNormal"/>
      </w:pPr>
      <w:r>
        <w:lastRenderedPageBreak/>
        <w:t>(ii) Del derecho a la tutela judicial efectiva (art. 24.1 CE), por “vulneración del principio de seguridad jurídica (art. 9.3 CE)” causante de indefensión.</w:t>
      </w:r>
    </w:p>
    <w:p w:rsidR="00AC56D6" w:rsidRDefault="00AC56D6" w:rsidP="00AC56D6">
      <w:pPr>
        <w:pStyle w:val="TextoNormal"/>
      </w:pPr>
    </w:p>
    <w:p w:rsidR="00AC56D6" w:rsidRDefault="00AC56D6" w:rsidP="00AC56D6">
      <w:pPr>
        <w:pStyle w:val="TextoNormal"/>
      </w:pPr>
      <w:r>
        <w:t>En relación con este motivo, el recurrente entiende que, tanto la resolución de 29 de mayo de la Junta Electoral de Zona como la de 5 de junio de la Junta Electoral Central comparten un presupuesto común: la alteración o manipulación de la papeleta fue voluntaria. En particular, el acuerdo de la Junta Electoral Central señala que “se trata de dos papeletas que aparecen rasgadas en su parte inferior justo por debajo del último suplente, de modo que fue cortada la parte inferior en blanco, careciendo de un trozo considerable de papel”. El recurrente estima que, frente a lo sugerido por el representante del PSG, resulta prácticamente imposible que ese corte fuera realizado con guillotina porque es totalmente recto, pareciendo, más bien, un corte realizado con tijeras.</w:t>
      </w:r>
    </w:p>
    <w:p w:rsidR="00AC56D6" w:rsidRDefault="00AC56D6" w:rsidP="00AC56D6">
      <w:pPr>
        <w:pStyle w:val="TextoNormal"/>
      </w:pPr>
    </w:p>
    <w:p w:rsidR="00AC56D6" w:rsidRDefault="00AC56D6" w:rsidP="00AC56D6">
      <w:pPr>
        <w:pStyle w:val="TextoNormal"/>
      </w:pPr>
      <w:r>
        <w:t>Aclarada esta cuestión de hecho, el demandante vuelve a reproducir el mismo extracto de la STC 124/2011, FJ 5, consignando después el tenor literal del art. 96.2 LOREG, que declara nulos “los votos emitidos en papeletas en las que se hubieren modificado, añadido o tachado nombres de candidatos comprendidos en ellas o alterado su orden de colocación, así como aquéllas en las que se hubiera introducido cualquier leyenda o expresión, o producido cualquier otra alteración de carácter voluntario o intencionado”.</w:t>
      </w:r>
    </w:p>
    <w:p w:rsidR="00AC56D6" w:rsidRDefault="00AC56D6" w:rsidP="00AC56D6">
      <w:pPr>
        <w:pStyle w:val="TextoNormal"/>
      </w:pPr>
    </w:p>
    <w:p w:rsidR="00AC56D6" w:rsidRDefault="00AC56D6" w:rsidP="00AC56D6">
      <w:pPr>
        <w:pStyle w:val="TextoNormal"/>
      </w:pPr>
      <w:r>
        <w:t>Habiéndose partido en todo momento del presupuesto fáctico de que la papeleta fue voluntariamente alterada por el propio elector —que le cortó un trozo considerable de papel justo por debajo del suplente núm. 5— estaríamos ante el último supuesto de nulidad del art. 96.2 LOREG. Así se desprendería igualmente de la instrucción 1/2012, de 15 de marzo, de la Junta Electoral Central, por la que, a raíz de la reforma introducida en la LOREG por la Ley Orgánica 2/2011, de 29 de enero, se modificó la previa instrucción 12/2007. Según la parte dispositiva de la referida instrucción de 2012 “de acuerdo con la STC 123/2011, de 14 de julio”, el art. 96.2 LOREG ha de interpretarse “en el sentido de que ha de considerarse como voto nulo el emitido en papeleta que presente cualquier tipo de alteración que no sea accidental, bien porque se haya modificado, añadido o tachado el nombre de un candidato o la denominación, siglas o símbolo de la candidatura, o alterado el orden de la candidatura, bien porque se incluyan expresiones o lemas, en el anverso o en el reverso de la papeleta, o porque la papeleta está rota o rasgada. En estos supuestos las Mesas o las Juntas Electorales competentes se limitarán a computar el voto como nulo”.</w:t>
      </w:r>
    </w:p>
    <w:p w:rsidR="00AC56D6" w:rsidRDefault="00AC56D6" w:rsidP="00AC56D6">
      <w:pPr>
        <w:pStyle w:val="TextoNormal"/>
      </w:pPr>
    </w:p>
    <w:p w:rsidR="00AC56D6" w:rsidRDefault="00AC56D6" w:rsidP="00AC56D6">
      <w:pPr>
        <w:pStyle w:val="TextoNormal"/>
      </w:pPr>
      <w:r>
        <w:t>De acuerdo con la citada Instrucción, la propia Junta Electoral Central habría interpretado que sólo las añadiduras de aspas o cruces en los nombres de los candidatos constituyen una alteración de la papeleta no afectada por la sanción de nulidad del art. 96.2 LOREG.</w:t>
      </w:r>
    </w:p>
    <w:p w:rsidR="00AC56D6" w:rsidRDefault="00AC56D6" w:rsidP="00AC56D6">
      <w:pPr>
        <w:pStyle w:val="TextoNormal"/>
      </w:pPr>
    </w:p>
    <w:p w:rsidR="00AC56D6" w:rsidRDefault="00AC56D6" w:rsidP="00AC56D6">
      <w:pPr>
        <w:pStyle w:val="TextoNormal"/>
      </w:pPr>
      <w:r>
        <w:t>En esa misma línea se manifestó, según señala el recurrente, la Sala de lo Contencioso-Administrativo del Tribunal Superior de Justicia de Castilla-La Mancha en Sentencia 387-2011, de 22 de junio, resolución que consideró que, de conformidad con la doctrina de la STC 124/2011, una papeleta con ese mismo defecto debía considerarse nula, pues el corte de “la parte inferior que se corresponde con el espacio en blanco bajo los nombres de los candidatos” debía entenderse como “una alteración voluntariamente materializada de la papeleta, objetivamente dada”.</w:t>
      </w:r>
    </w:p>
    <w:p w:rsidR="00AC56D6" w:rsidRDefault="00AC56D6" w:rsidP="00AC56D6">
      <w:pPr>
        <w:pStyle w:val="TextoNormal"/>
      </w:pPr>
    </w:p>
    <w:p w:rsidR="00AC56D6" w:rsidRDefault="00AC56D6" w:rsidP="00AC56D6">
      <w:pPr>
        <w:pStyle w:val="TextoNormal"/>
      </w:pPr>
      <w:r>
        <w:lastRenderedPageBreak/>
        <w:t>De acuerdo con esta interpretación de la doctrina constitucional, sostenida tanto por la Junta Electoral Central como por la aludida Sentencia del Tribunal Superior de Justicia de Castilla-La Mancha, sólo habría que realizar una interpretación material del sentido del voto del elector cuando el defecto detectado en la papeleta se correspondiera con el expresamente salvado de la sanción de nulidad por la reforma legal. Señala el recurrente que, en el caso ahora planteado, otro órgano distinto de la justicia ordinaria ha llegado, sin embargo, a la conclusión contraria y ha ponderado el sentido material del voto en un supuesto al que el art. 96.2 LOREG asocia directamente la sanción de nulidad. Esta situación de discordancia interpretativa genera, a su juicio, una grave inseguridad jurídica, pues “dar respuestas desiguales a un mismo conflicto restaría seguridad a nuestro ordenamiento, siendo así que el ciudadano no sabría cuál puede ser la respuesta del Derecho en cada momento”. De la existencia de supuestos miméticos resueltos de forma dispar deduce, finalmente, el recurrente que ha sufrido una situación material de indefensión.</w:t>
      </w:r>
    </w:p>
    <w:p w:rsidR="00AC56D6" w:rsidRDefault="00AC56D6" w:rsidP="00AC56D6">
      <w:pPr>
        <w:pStyle w:val="TextoNormal"/>
      </w:pPr>
    </w:p>
    <w:p w:rsidR="00AC56D6" w:rsidRDefault="00AC56D6" w:rsidP="00AC56D6">
      <w:pPr>
        <w:pStyle w:val="TextoNormal"/>
      </w:pPr>
      <w:r>
        <w:t>(iii) Del derecho a la igualdad en la aplicación de la ley (art. 14 CE) por la resolución judicial dispar de supuestos iguales.</w:t>
      </w:r>
    </w:p>
    <w:p w:rsidR="00AC56D6" w:rsidRDefault="00AC56D6" w:rsidP="00AC56D6">
      <w:pPr>
        <w:pStyle w:val="TextoNormal"/>
      </w:pPr>
    </w:p>
    <w:p w:rsidR="00AC56D6" w:rsidRDefault="00AC56D6" w:rsidP="00AC56D6">
      <w:pPr>
        <w:pStyle w:val="TextoNormal"/>
      </w:pPr>
      <w:r>
        <w:t>Al hilo de lo razonado en el motivo anterior, el recurrente señala que la Junta Electoral Central y la Sentencia 387/2011 del Tribunal Superior de Justicia de Castilla-La Mancha han realizado una interpretación determinada del art. 96.2 LOREG mientras que la Junta Electoral de Zona de Pontevedra y el Tribunal Superior de Justicia de Galicia han sostenido la interpretación contraria. El actor considera que “el obtener pronunciamientos absolutamente inconciliables cuando partimos de las mismas premisas fácticas y aplicamos la misma legislación, no sólo causa indefensión en mis representados y una absoluta falta de seguridad jurídica” sino también la vulneración del art. 14 CE.</w:t>
      </w:r>
    </w:p>
    <w:p w:rsidR="00AC56D6" w:rsidRDefault="00AC56D6" w:rsidP="00AC56D6">
      <w:pPr>
        <w:pStyle w:val="TextoNormal"/>
      </w:pPr>
    </w:p>
    <w:p w:rsidR="00AC56D6" w:rsidRDefault="00AC56D6" w:rsidP="00AC56D6">
      <w:pPr>
        <w:pStyle w:val="TextoNormal"/>
      </w:pPr>
      <w:r w:rsidRPr="00AC56D6">
        <w:rPr>
          <w:rStyle w:val="NumeroAFNegritaCaracter"/>
        </w:rPr>
        <w:t>4</w:t>
      </w:r>
      <w:r>
        <w:t>. Por providencia de 30 de junio de 2015, la Sala Segunda acordó admitir a trámite la demanda y dirigir atenta comunicación a la Sala de lo Contencioso-Administrativo (Sección Primera) del Tribunal Superior de Justicia de Galicia a fin de que remitiera con carácter urgente certificación o fotocopia adverada de las actuaciones correspondientes al recurso Contencioso-Electoral núm. 189-2015, interesándose al propio tiempo de la Sala que emplazara a quienes hubieran sido parte en el procedimiento, excepto a la parte recurrente en amparo, para que pudieran comparecer en el plazo de tres días, formulando las alegaciones pertinentes. En la misma resolución también se acordó dar vista de la demanda al Ministerio Fiscal, a efectos de que pudiera formular alegaciones en el plazo de cinco días.</w:t>
      </w:r>
    </w:p>
    <w:p w:rsidR="00AC56D6" w:rsidRDefault="00AC56D6" w:rsidP="00AC56D6">
      <w:pPr>
        <w:pStyle w:val="TextoNormal"/>
      </w:pPr>
    </w:p>
    <w:p w:rsidR="00AC56D6" w:rsidRDefault="00AC56D6" w:rsidP="00AC56D6">
      <w:pPr>
        <w:pStyle w:val="TextoNormal"/>
      </w:pPr>
      <w:r>
        <w:t>La citada providencia señalaba, asimismo, que el recurso de amparo planteado presenta “una especial trascendencia constitucional (art. 50.1 LOTC)” pues, de un lado, “puede dar ocasión al Tribunal para aclarar o cambiar su doctrina, como consecuencia de un proceso de reflexión interna [STC 155/2009, FJ 2 b)]” y puede tener, de otra parte, “consecuencias políticas generales [STC 155/2009, FJ 2 g)]”.</w:t>
      </w:r>
    </w:p>
    <w:p w:rsidR="00AC56D6" w:rsidRDefault="00AC56D6" w:rsidP="00AC56D6">
      <w:pPr>
        <w:pStyle w:val="TextoNormal"/>
      </w:pPr>
    </w:p>
    <w:p w:rsidR="00AC56D6" w:rsidRDefault="00AC56D6" w:rsidP="00AC56D6">
      <w:pPr>
        <w:pStyle w:val="TextoNormal"/>
      </w:pPr>
      <w:r w:rsidRPr="00AC56D6">
        <w:rPr>
          <w:rStyle w:val="NumeroAFNegritaCaracter"/>
        </w:rPr>
        <w:t>5</w:t>
      </w:r>
      <w:r>
        <w:t>. El día 6 de julio de 2015, el Partido Socialista Obrero Español (PSOE) compareció ante este Tribunal presentando sus alegaciones, en las que solicita la desestimación del recurso de amparo electoral.</w:t>
      </w:r>
    </w:p>
    <w:p w:rsidR="00AC56D6" w:rsidRDefault="00AC56D6" w:rsidP="00AC56D6">
      <w:pPr>
        <w:pStyle w:val="TextoNormal"/>
      </w:pPr>
    </w:p>
    <w:p w:rsidR="00AC56D6" w:rsidRDefault="00AC56D6" w:rsidP="00AC56D6">
      <w:pPr>
        <w:pStyle w:val="TextoNormal"/>
      </w:pPr>
      <w:r>
        <w:t xml:space="preserve">La aludida formación política considera que no se ha producido lesión alguna del art. 23.2 CE. A su parecer, las dos papeletas consideradas válidas “reflejan la voluntad de los </w:t>
      </w:r>
      <w:r>
        <w:lastRenderedPageBreak/>
        <w:t>electores y no ofrecen duda de que querían votar al PSdeG-PSOE”. Señala, en este sentido, que “las papeletas no están rasgadas ni rotas, no está afectada la candidatura en ninguna de ellas, lo único que falta es un trozo de papel blanco al final de la papeleta que no compromete el sentido del voto”. Entiende, en consecuencia, que la deficiencia aducida “no tiene relevancia suficiente para invalidar los votos”, tal y como concluyó la Sala de lo Contencioso-Administrativo (Sección Primera) del Tribunal Superior de Justicia de Galicia utilizando los parámetros interpretativos derivados de la STC 124/2011, de 14 de julio.</w:t>
      </w:r>
    </w:p>
    <w:p w:rsidR="00AC56D6" w:rsidRDefault="00AC56D6" w:rsidP="00AC56D6">
      <w:pPr>
        <w:pStyle w:val="TextoNormal"/>
      </w:pPr>
    </w:p>
    <w:p w:rsidR="00AC56D6" w:rsidRDefault="00AC56D6" w:rsidP="00AC56D6">
      <w:pPr>
        <w:pStyle w:val="TextoNormal"/>
      </w:pPr>
      <w:r>
        <w:t>Rechaza igualmente el partido alegante que se haya vulnerado el derecho a la tutela judicial efectiva de la formación política recurrente, ya que el órgano judicial ha utilizado para resolver el litigio un criterio no formalista, acorde con la mayor efectividad de los derechos fundamentales en juego. Tampoco habría concurrido, a su parecer, la alegada vulneración del derecho fundamental a la igualdad en la aplicación de la ley, pues dicho derecho no puede verse conculcado cuando las resoluciones judiciales dispares proceden de órganos distintos.</w:t>
      </w:r>
    </w:p>
    <w:p w:rsidR="00AC56D6" w:rsidRDefault="00AC56D6" w:rsidP="00AC56D6">
      <w:pPr>
        <w:pStyle w:val="TextoNormal"/>
      </w:pPr>
    </w:p>
    <w:p w:rsidR="00AC56D6" w:rsidRDefault="00AC56D6" w:rsidP="00AC56D6">
      <w:pPr>
        <w:pStyle w:val="TextoNormal"/>
      </w:pPr>
      <w:r w:rsidRPr="00AC56D6">
        <w:rPr>
          <w:rStyle w:val="NumeroAFNegritaCaracter"/>
        </w:rPr>
        <w:t>6</w:t>
      </w:r>
      <w:r>
        <w:t>. El Ministerio Fiscal presentó sus alegaciones mediante escrito de fecha 6 de julio de 2015, en el que interesa que se desestime en su integridad el recurso de amparo.</w:t>
      </w:r>
    </w:p>
    <w:p w:rsidR="00AC56D6" w:rsidRDefault="00AC56D6" w:rsidP="00AC56D6">
      <w:pPr>
        <w:pStyle w:val="TextoNormal"/>
      </w:pPr>
    </w:p>
    <w:p w:rsidR="00AC56D6" w:rsidRDefault="00AC56D6" w:rsidP="00AC56D6">
      <w:pPr>
        <w:pStyle w:val="TextoNormal"/>
      </w:pPr>
      <w:r>
        <w:t>Tras realizar unas consideraciones generales sobre la doctrina de este Tribunal relativa al derecho de acceso al cargo público representativo en condiciones de igualdad y con arreglo a la ley (art. 23.2 CE), la Fiscal ante el Tribunal Constitucional descarta que se haya vulnerado este derecho fundamental. A su juicio, deben hacerse dos consideraciones:</w:t>
      </w:r>
    </w:p>
    <w:p w:rsidR="00AC56D6" w:rsidRDefault="00AC56D6" w:rsidP="00AC56D6">
      <w:pPr>
        <w:pStyle w:val="TextoNormal"/>
      </w:pPr>
    </w:p>
    <w:p w:rsidR="00AC56D6" w:rsidRDefault="00AC56D6" w:rsidP="00AC56D6">
      <w:pPr>
        <w:pStyle w:val="TextoNormal"/>
      </w:pPr>
      <w:r>
        <w:t>(i) De un lado, deben distinguirse los supuestos expresamente previstos como causas de nulidad en el art. 96.2 LOREG de la “cláusula de cierre” que pone fin a dicho precepto extendiendo la referida sanción a “cualquier otra alteración de carácter voluntario o intencional”. Mientras que las primeras, por su propia taxatividad, pueden ser aplicadas de forma rigurosa, la cláusula de cierre, dados sus términos genéricos, no excluye en modo alguno la ponderación de principios generales del proceso electoral, como son los de mayor efectividad de los derechos fundamentales, verdad material y conservación del acto.</w:t>
      </w:r>
    </w:p>
    <w:p w:rsidR="00AC56D6" w:rsidRDefault="00AC56D6" w:rsidP="00AC56D6">
      <w:pPr>
        <w:pStyle w:val="TextoNormal"/>
      </w:pPr>
    </w:p>
    <w:p w:rsidR="00AC56D6" w:rsidRDefault="00AC56D6" w:rsidP="00AC56D6">
      <w:pPr>
        <w:pStyle w:val="TextoNormal"/>
      </w:pPr>
      <w:r>
        <w:t>(ii) De otra parte, la “alteración” expresamente prevista como causa de nulidad en el referido precepto debe ponerse en relación con los supuestos tasados que la preceden, lo que lleva a la Fiscal a concluir que la alteración sancionada con nulidad es la que afecta al contenido de la papeleta, y no a ésta como mero soporte material.</w:t>
      </w:r>
    </w:p>
    <w:p w:rsidR="00AC56D6" w:rsidRDefault="00AC56D6" w:rsidP="00AC56D6">
      <w:pPr>
        <w:pStyle w:val="TextoNormal"/>
      </w:pPr>
    </w:p>
    <w:p w:rsidR="00AC56D6" w:rsidRDefault="00AC56D6" w:rsidP="00AC56D6">
      <w:pPr>
        <w:pStyle w:val="TextoNormal"/>
      </w:pPr>
      <w:r>
        <w:t>De acuerdo con ambos parámetros, el Ministerio Fiscal concluye que el corte de la parte inferior en blanco de la papeleta no ha afectado a la validez del voto. La ponderación realizada por el órgano judicial no ha traspasado, en su opinión, los límites fijados en el art. 96.2 LOREG.</w:t>
      </w:r>
    </w:p>
    <w:p w:rsidR="00AC56D6" w:rsidRDefault="00AC56D6" w:rsidP="00AC56D6">
      <w:pPr>
        <w:pStyle w:val="TextoNormal"/>
      </w:pPr>
    </w:p>
    <w:p w:rsidR="00AC56D6" w:rsidRDefault="00AC56D6" w:rsidP="00AC56D6">
      <w:pPr>
        <w:pStyle w:val="TextoNormal"/>
      </w:pPr>
      <w:r>
        <w:t xml:space="preserve">Descarta, finalmente, la Fiscal que se hayan vulnerado los derechos a la tutela judicial efectiva (art. 24.1 CE) y a la igualdad en la aplicación de la ley (art. 14 CE). Considera que ambos motivos son reconducibles a una misma vulneración de base: la discrepancia de lo resuelto en la decisión judicial impugnada con la instrucción 1/2012 de la Junta Electoral Central y con una Sentencia dictada por otro Tribunal Superior de Justicia. Descarta la Fiscal que esa sola circunstancia determine indefensión alguna o suponga una desigualdad en </w:t>
      </w:r>
      <w:r>
        <w:lastRenderedPageBreak/>
        <w:t>la aplicación judicial del Derecho con relevancia constitucional, ya que el trato desigual no se imputa al mismo tribunal.</w:t>
      </w:r>
    </w:p>
    <w:p w:rsidR="00AC56D6" w:rsidRDefault="00AC56D6" w:rsidP="00AC56D6">
      <w:pPr>
        <w:pStyle w:val="TextoNormal"/>
      </w:pPr>
    </w:p>
    <w:p w:rsidR="00AC56D6" w:rsidRDefault="00AC56D6" w:rsidP="00AC56D6">
      <w:pPr>
        <w:pStyle w:val="TextoNormal"/>
      </w:pPr>
      <w:r w:rsidRPr="00AC56D6">
        <w:rPr>
          <w:rStyle w:val="NumeroAFNegritaCaracter"/>
        </w:rPr>
        <w:t>7</w:t>
      </w:r>
      <w:r>
        <w:t>. La parte demandante dejó transcurrir el plazo conferido sin formular alegaciones.</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Como ha quedado expuesto en los antecedentes, el recurrente de amparo considera que la Sentencia de 23 de junio de 2015, dictada por la Sala de lo Contencioso-Administrativo (Sección Primera) del Tribunal Superior de Justicia de Galicia ha vulnerado su derecho de acceso en condiciones de igualdad y, conforme a lo dispuesto en las leyes, al cargo público representativo (art. 23.2 CE). Según se señala en la demanda de amparo, la decisión adoptada por el órgano judicial, al dar por válidos los dos votos emitidos en papeletas a las que se les había cortado el espacio inferior en blanco, infringió lo dispuesto en el art. 96.2 LOREG, privando a la formación política recurrente de un concejal en el concello de Caldas de Reis, dándose la circunstancia de que dicho concejal era decisivo para la formación de gobierno. El actor también estima que el criterio seguido por la resolución impugnada contrasta con el mantenido, con carácter general, por la Junta Electoral Central y con el adoptado por otro órgano judicial para ese mismo supuesto de hecho, disparidad que, a su juicio, genera una grave inseguridad jurídica y determina la vulneración de su derecho a la tutela judicial efectiva en su dimensión de proscripción de indefensión (art. 24.1 CE) y de su derecho a la igualdad en la aplicación de la ley (art. 14 CE).</w:t>
      </w:r>
    </w:p>
    <w:p w:rsidR="00AC56D6" w:rsidRDefault="00AC56D6" w:rsidP="00AC56D6">
      <w:pPr>
        <w:pStyle w:val="TextoNormal"/>
      </w:pPr>
    </w:p>
    <w:p w:rsidR="00AC56D6" w:rsidRDefault="00AC56D6" w:rsidP="00AC56D6">
      <w:pPr>
        <w:pStyle w:val="TextoNormal"/>
      </w:pPr>
      <w:r>
        <w:t>Tanto el Partido Socialista Obrero Español (PSOE) como el Ministerio Fiscal interesan la desestimación del recurso de amparo por las razones que han sido consignadas en los antecedentes.</w:t>
      </w:r>
    </w:p>
    <w:p w:rsidR="00AC56D6" w:rsidRDefault="00AC56D6" w:rsidP="00AC56D6">
      <w:pPr>
        <w:pStyle w:val="TextoNormal"/>
      </w:pPr>
    </w:p>
    <w:p w:rsidR="00AC56D6" w:rsidRDefault="00AC56D6" w:rsidP="00AC56D6">
      <w:pPr>
        <w:pStyle w:val="TextoNormal"/>
      </w:pPr>
      <w:r w:rsidRPr="00AC56D6">
        <w:rPr>
          <w:rStyle w:val="NumeroAFNegritaCaracter"/>
        </w:rPr>
        <w:t>2</w:t>
      </w:r>
      <w:r>
        <w:t>. Debe ponerse de manifiesto, en primer lugar, que la infracción electoral denunciada afecta al resultado final de la elección, requisito necesario para poder apreciar una lesión real y efectiva del derecho de sufragio pasivo (por todas, STC 124/2011, de 14 de julio, FJ 2), pues si las referidas papeletas fueran nulas, como sostiene el partido recurrente, esta formación política obtendría un puesto más de concejal en detrimento de la candidatura del PSG, que pasaría a tener un concejal menos. Se da, además, la circunstancia de que la pérdida de este concejal privaría a esta última formación de la mayoría absoluta en el concello.</w:t>
      </w:r>
    </w:p>
    <w:p w:rsidR="00AC56D6" w:rsidRDefault="00AC56D6" w:rsidP="00AC56D6">
      <w:pPr>
        <w:pStyle w:val="TextoNormal"/>
      </w:pPr>
    </w:p>
    <w:p w:rsidR="00AC56D6" w:rsidRDefault="00AC56D6" w:rsidP="00AC56D6">
      <w:pPr>
        <w:pStyle w:val="TextoNormal"/>
      </w:pPr>
      <w:r>
        <w:t>Debe añadirse, de otro lado, que el presente recurso de amparo tiene especial trascendencia constitucional [art. 50.1 b) de la Ley Orgánica del Tribunal Constitucional], pues permite al Tribunal perfilar y aclarar la doctrina que, sobre el principio de inalterabilidad de la lista o candidatura, fue establecida por la STC 124/2011, de 14 de julio [STC 155/2009, FJ 2, letra b)]. La resolución del supuesto de hecho planteado puede tener, además, consecuencias políticas generales [STC 155/2009, FJ 2, letra g)], pues la instrucción 1/2012 de la Junta Electoral Central estableció, en relación con el mismo, una pauta general de actuación distinta de la que deriva de la decisión judicial ahora impugnada.</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De acuerdo con nuestra doctrina, la aplicación del art. 96.2 LOREG “se configura normalmente y en principio como un juicio de estricta legalidad electoral, que puede ser </w:t>
      </w:r>
      <w:r>
        <w:lastRenderedPageBreak/>
        <w:t>revisado por este Tribunal si la interpretación seguida por el órgano judicial ordinario es arbitraria, irrazonada o irrazonable” (SSTC 165/1991, de 19 de julio, FJ 3; 115/1995, de 10 de julio, FJ 5; 168/2007, de 18 de julio, FJ 2, y 169/2007, de 18 de julio, FJ 4). No obstante, cuando está en juego el “derecho fundamental de carácter sustantivo a acceder en condiciones de igualdad y conforme a lo dispuesto en las leyes a determinado cargo público (art. 23.2 CE)” el Tribunal ha de realizar “una indagación de carácter sustantivo, que no se cumple … con el simple reconocimiento de la razonable interpretación que puedan exhibir las resoluciones administrativas y judiciales impugnadas”. En ese caso, este Tribunal debe cerciorarse de que la interpretación del art. 96.2 LOREG se ha efectuado “de modo que los contenidos, requisitos y límites que establece la Ley Orgánica del régimen electoral general no se vean enervados o alterados … pues si así fuera quedaría en manos del intérprete y no del legislador la fijación de los contornos del derecho de acceso a los cargos públicos en condiciones de igualdad” (SSTC 168/2007, FJ 2; 169/2007, FJ 6, y 170/2007, FJ 6).</w:t>
      </w:r>
    </w:p>
    <w:p w:rsidR="00AC56D6" w:rsidRDefault="00AC56D6" w:rsidP="00AC56D6">
      <w:pPr>
        <w:pStyle w:val="TextoNormal"/>
      </w:pPr>
    </w:p>
    <w:p w:rsidR="00AC56D6" w:rsidRDefault="00AC56D6" w:rsidP="00AC56D6">
      <w:pPr>
        <w:pStyle w:val="TextoNormal"/>
      </w:pPr>
      <w:r>
        <w:t>Este canon de “indagación sustantiva” en los “contenidos, requisitos y límites” establecidos por la LOREG nos ha llevado, en particular, a considerar contraria al art. 23 CE “la interpretación judicial que conduce a que se deban computar como votos válidos los emitidos en papeletas que, por incurrir en algunas de las incorrecciones recogidas en el art. 96.2 LOREG, deberían haber dado lugar a la declaración de nulidad”, siempre y cuando esa interpretación tenga como consecuencia que “se altere el resultado final de la elección” (SSTC 168/2007, FJ 2; 169/2007, FJ 4, y 170/2007, FJ 6), lo que el recurrente estima que se ha producido en el supuesto de hecho que ahora enjuiciamos.</w:t>
      </w:r>
    </w:p>
    <w:p w:rsidR="00AC56D6" w:rsidRDefault="00AC56D6" w:rsidP="00AC56D6">
      <w:pPr>
        <w:pStyle w:val="TextoNormal"/>
      </w:pPr>
    </w:p>
    <w:p w:rsidR="00AC56D6" w:rsidRDefault="00AC56D6" w:rsidP="00AC56D6">
      <w:pPr>
        <w:pStyle w:val="TextoNormal"/>
      </w:pPr>
      <w:r>
        <w:t>En este concreto punto, hemos destacado que el art. 96.2 LOREG exige la aplicación armónica de principios de distinto orden (STC 124/2011, de 14 de julio, FJ 5). De un lado, se encuentra el llamado principio de “inalterabilidad de las listas” o de “las candidaturas”, que es específico de esta fase del proceso electoral y que impone la aplicación estricta y rigurosa de las causas de nulidad expresamente establecidas en el art. 96.2 LOREG. De otro lado, hay que señalar el reconocimiento de los principios de interpretación más favorable a la efectividad de los derechos fundamentales, de conocimiento de la verdad material manifestada en las urnas por los electores y de conservación de los actos electorales, que son principios generales de todo el proceso electoral de los que se deriva que, fuera de los supuestos específicos de nulidad expresamente reseñados por el legislador, deban ponderarse las circunstancias de cada caso, interpretadas en el sentido más favorable a la efectividad de los referidos principios generales (STC 153/2003, de 17 de julio, FJ 7), de modo que el voto emitido debe reputarse válido si, a pesar del defecto detectado, no se suscitan dudas sobre la intención del votante de dar su apoyo a la candidatura correspondiente.</w:t>
      </w:r>
    </w:p>
    <w:p w:rsidR="00AC56D6" w:rsidRDefault="00AC56D6" w:rsidP="00AC56D6">
      <w:pPr>
        <w:pStyle w:val="TextoNormal"/>
      </w:pPr>
    </w:p>
    <w:p w:rsidR="00AC56D6" w:rsidRDefault="00AC56D6" w:rsidP="00AC56D6">
      <w:pPr>
        <w:pStyle w:val="TextoNormal"/>
      </w:pPr>
      <w:r>
        <w:t xml:space="preserve">Esta fue precisamente la conciliación sistemática que, a raíz de la reforma operada en la LOREG por la Ley Orgánica 2/2011, realizamos en la STC 124/2011, de 14 de julio, en la que afirmamos (fundamento jurídico 5) que la eliminación de la referencia legal al supuesto de nulidad consistente en señalar con un aspa o una cruz el nombre de determinados candidatos suponía la supresión de esta concreta causa de invalidez, circunstancia que determinaba que ese defecto de la papeleta debiera ser observado desde la perspectiva general de los principios de mayor efectividad del derecho fundamental, verdad material y conservación del acto. Añadimos, sin embargo, que esa circunstancia no impedía seguir aplicando “en todo su rigor” el resto de las causas de nulidad que sí seguían estando expresamente </w:t>
      </w:r>
      <w:r>
        <w:lastRenderedPageBreak/>
        <w:t>contempladas en el art. 96.2 LOREG, entre ellas la de “alteración voluntaria” por el elector de la lista o candidatura consignada en la papeleta.</w:t>
      </w:r>
    </w:p>
    <w:p w:rsidR="00AC56D6" w:rsidRDefault="00AC56D6" w:rsidP="00AC56D6">
      <w:pPr>
        <w:pStyle w:val="TextoNormal"/>
      </w:pPr>
    </w:p>
    <w:p w:rsidR="00AC56D6" w:rsidRDefault="00AC56D6" w:rsidP="00AC56D6">
      <w:pPr>
        <w:pStyle w:val="TextoNormal"/>
      </w:pPr>
      <w:r w:rsidRPr="00AC56D6">
        <w:rPr>
          <w:rStyle w:val="NumeroAFNegritaCaracter"/>
        </w:rPr>
        <w:t>4</w:t>
      </w:r>
      <w:r>
        <w:t>. De acuerdo con la doctrina expuesta, es cierto, como señala el demandante de amparo, que los supuestos de nulidad expresamente previstos en el art. 96.2 LOREG han de seguir aplicándose de forma rigurosa tras la conciliación sistemática efectuada en la STC 124/2011, de 14 de julio. Ahora bien, debemos aclarar que esto no implica necesariamente que el caso de autos que ahora nos ocupa (corte horizontal que suprime el espacio inferior en blanco de la papeleta) haya de subsumirse automáticamente en una de las causas de nulidad expresamente fijadas en el art. 96.2 LOREG, tal y como parece sugerir el recurrente.</w:t>
      </w:r>
    </w:p>
    <w:p w:rsidR="00AC56D6" w:rsidRDefault="00AC56D6" w:rsidP="00AC56D6">
      <w:pPr>
        <w:pStyle w:val="TextoNormal"/>
      </w:pPr>
    </w:p>
    <w:p w:rsidR="00AC56D6" w:rsidRDefault="00AC56D6" w:rsidP="00AC56D6">
      <w:pPr>
        <w:pStyle w:val="TextoNormal"/>
      </w:pPr>
      <w:r>
        <w:t xml:space="preserve">Este Tribunal ha señalado que “la enumeración de supuestos de nulidad del art. 96.2 LOREG no es </w:t>
      </w:r>
      <w:r w:rsidRPr="00AC56D6">
        <w:rPr>
          <w:i/>
        </w:rPr>
        <w:t>ad exemplum</w:t>
      </w:r>
      <w:r>
        <w:t>, sino tasada” (SSTC 168/2007, de 18 de julio, FJ 3; 169/2007, de 18 de julio, FJ 5, y 170/2007, de 18 de julio, FJ 6), no debiendo el intérprete “caer en el automatismo” a la hora de integrar su contenido (SSTC 153/2003, de 17 de julio, FJ 9; 168/2007, FJ 3; 169/2007, FJ 5, y 170/2007, FJ 6). Cada causa de nulidad expresamente prevista por el legislador tiene un alcance específico que debe de ser racionalmente acotado; no puede partirse, sin más, del presupuesto interpretativo de que toda modificación detectada en una papeleta electoral, por nimia que sea, haya de quedar subsumida mecánicamente en una hipótesis legal de nulidad. En particular, no puede entenderse que la referencia del art. 96.2 LOREG a “cualquier otra alteración de carácter voluntario o intencional” constituya una cláusula general de invalidez, susceptible de aplicación automática, pues ya hemos señalado que ese inciso final actúa como “cláusula de cierre” del sistema (STC 153/2003, de 17 de julio, FJ 7), cumpliendo, así, una función normativa determinada, como es la de extender la sanción de nulidad a aquellos supuestos de hecho que, no estando expresamente previstos, supongan un quebrantamiento del principio de “inalterabilidad de la lista” análogo al que se aprecia en los supuestos taxativamente fijados.</w:t>
      </w:r>
    </w:p>
    <w:p w:rsidR="00AC56D6" w:rsidRDefault="00AC56D6" w:rsidP="00AC56D6">
      <w:pPr>
        <w:pStyle w:val="TextoNormal"/>
      </w:pPr>
    </w:p>
    <w:p w:rsidR="00AC56D6" w:rsidRDefault="00AC56D6" w:rsidP="00AC56D6">
      <w:pPr>
        <w:pStyle w:val="TextoNormal"/>
      </w:pPr>
      <w:r>
        <w:t>Debemos recordar, en este punto, que el aludido principio de inalterabilidad se refiere a “la lista electoral” (STC 165/1991, FJ 3; 115/1995, de 10 de julio, FJ 5; 153/2003, de 17 de julio, FJ 7; 168/2007, FJ 4; 169/2007, FJ 5, y 170/2007, FJ 6) o a “la candidatura” (STC 168/2007, FJ 4; 169/2007, FJ 5; y 170/2007, FJ 6), y no la papeleta como mero soporte material, pues responde, según hemos repetido insistentemente, a la previsión legislativa de un sistema de listas bloqueadas en el que el elector se limita a optar por una candidatura predeterminada. En ese sistema, la papeleta proporcionada por la Administración Electoral es siempre suficiente en su literalidad para expresar la voluntad del votante (STC 168/2007, FJ 3; 169/2007, FJ 5, y 170/2007, FJ 6). No es necesario, por tanto, añadir, modificar o suprimir nada para que pueda surtir efecto. De ahí que toda “alteración” de su contenido —esto es, todo añadido, supresión o modificación de los elementos que ya son suficientes para expresar la voluntad del elector— pueda ser indicativa de una reserva hacia la concreta configuración de la candidatura.</w:t>
      </w:r>
    </w:p>
    <w:p w:rsidR="00AC56D6" w:rsidRDefault="00AC56D6" w:rsidP="00AC56D6">
      <w:pPr>
        <w:pStyle w:val="TextoNormal"/>
      </w:pPr>
    </w:p>
    <w:p w:rsidR="00AC56D6" w:rsidRDefault="00AC56D6" w:rsidP="00AC56D6">
      <w:pPr>
        <w:pStyle w:val="TextoNormal"/>
      </w:pPr>
      <w:r>
        <w:t xml:space="preserve">Ésa y no otra es la razón normativa por la que hemos aceptado un mayor rigor legal en las causas de nulidad previstas para las elecciones con listas bloqueadas (art. 96.2 LOREG) frente a la flexibilidad que caracteriza a la regulación de las elecciones al Senado (art. 96.3 LOREG). Al referirse el art. 96.2 LOREG a “papeletas que incorporan listas bloqueadas y cerradas en las que no es menester realizar indicación alguna al emitir el sufragio” (STC 165/1991, FJ 3; 168/2007, de 18 de julio, FJ 3; 169/2007, de 14 de julio, FJ 5; y 170/2007, </w:t>
      </w:r>
      <w:r>
        <w:lastRenderedPageBreak/>
        <w:t>de 18 de julio, FJ 6), toda actuación que suponga modificar, añadir o tachar nombres de candidatos, variar el orden de colocación de estos o introducir cualquier leyenda o expresión (supuestos taxativamente previstos en la ley) o que implique añadir, suprimir o modificar de cualquier otra forma el contenido prefijado en ella (cláusula de cierre relativa a “cualquier otra alteración de carácter voluntario o intencional”) puede ser rigurosamente sancionada con la nulidad del voto, sin necesidad de mayor ponderación.</w:t>
      </w:r>
    </w:p>
    <w:p w:rsidR="00AC56D6" w:rsidRDefault="00AC56D6" w:rsidP="00AC56D6">
      <w:pPr>
        <w:pStyle w:val="TextoNormal"/>
      </w:pPr>
    </w:p>
    <w:p w:rsidR="00AC56D6" w:rsidRDefault="00AC56D6" w:rsidP="00AC56D6">
      <w:pPr>
        <w:pStyle w:val="TextoNormal"/>
      </w:pPr>
      <w:r>
        <w:t>Se observa, pues, sin dificultad que la razón normativa del principio de “inalterabilidad de las listas” no es preservar hasta sus últimas consecuencias la apariencia externa de la papeleta, sino evitar toda actuación del elector sobre el contenido de la misma, prohibiéndose taxativamente al votante que añada nuevos elementos o que complemente o suprima los que ya son suficientes para prestar apoyo a la candidatura escogida. De acuerdo con esta idea, la supresión del amplio espacio en blanco que existe en la parte inferior de la papeleta no puede considerarse una “alteración” de la misma en los términos de la cláusula de cierre prevista en el art. 96.2 LOREG, pues no supone la adición de elementos nuevos ni tampoco la modificación o supresión de los preexistentes. Otra conclusión llevaría a dar una amplitud irrazonable al término “alteración”, amplitud que conduciría a considerar nulas las papeletas con defectos nimios, como la supresión de una pequeña esquina o la presencia de manchas que en nada afectan a su contenido.</w:t>
      </w:r>
    </w:p>
    <w:p w:rsidR="00AC56D6" w:rsidRDefault="00AC56D6" w:rsidP="00AC56D6">
      <w:pPr>
        <w:pStyle w:val="TextoNormal"/>
      </w:pPr>
    </w:p>
    <w:p w:rsidR="00AC56D6" w:rsidRDefault="00AC56D6" w:rsidP="00AC56D6">
      <w:pPr>
        <w:pStyle w:val="TextoNormal"/>
      </w:pPr>
      <w:r>
        <w:t>Cabe señalar, finalmente, que un defecto como el ahora examinado es difícilmente compatible con la exigencia legal de “voluntariedad” en la alteración. Frente a lo que afirma el recurrente de amparo en la demanda, la realidad es que el órgano judicial nunca asumió como presupuesto fáctico de su decisión que el corte que presentaba la papeleta lo hubiera realizado el propio votante. En esa situación de incertidumbre fáctica, el defecto de la papeleta no puede imputarse por presunción a una manipulación voluntaria realizada por el elector. Máxime cuando dicho defecto podía pasarle perfectamente desapercibido. En esas circunstancias, privar de validez al voto sería imputar al votante, sin base fáctica alguna, un defecto de la papeleta que pudo ser previo y pudo pasarle inadvertido.</w:t>
      </w:r>
    </w:p>
    <w:p w:rsidR="00AC56D6" w:rsidRDefault="00AC56D6" w:rsidP="00AC56D6">
      <w:pPr>
        <w:pStyle w:val="TextoNormal"/>
      </w:pPr>
    </w:p>
    <w:p w:rsidR="00AC56D6" w:rsidRDefault="00AC56D6" w:rsidP="00AC56D6">
      <w:pPr>
        <w:pStyle w:val="TextoNormal"/>
      </w:pPr>
      <w:r>
        <w:t>Puede observarse, en suma, que la interpretación efectuada por el órgano de la justicia ordinaria, según la cual el defecto detectado en la papeleta queda fuera del ámbito estricto de aplicación del principio de “inalterabilidad de la lista”, no sólo no es irrazonable sino que es plenamente respetuosa con los “contenidos, requisitos y límites” que pueden extraerse del art. 96.2 LOREG.</w:t>
      </w:r>
    </w:p>
    <w:p w:rsidR="00AC56D6" w:rsidRDefault="00AC56D6" w:rsidP="00AC56D6">
      <w:pPr>
        <w:pStyle w:val="TextoNormal"/>
      </w:pPr>
    </w:p>
    <w:p w:rsidR="00AC56D6" w:rsidRDefault="00AC56D6" w:rsidP="00AC56D6">
      <w:pPr>
        <w:pStyle w:val="TextoNormal"/>
      </w:pPr>
      <w:r>
        <w:t>El motivo debe, pues, desestimarse.</w:t>
      </w:r>
    </w:p>
    <w:p w:rsidR="00AC56D6" w:rsidRDefault="00AC56D6" w:rsidP="00AC56D6">
      <w:pPr>
        <w:pStyle w:val="TextoNormal"/>
      </w:pPr>
    </w:p>
    <w:p w:rsidR="00AC56D6" w:rsidRDefault="00AC56D6" w:rsidP="00AC56D6">
      <w:pPr>
        <w:pStyle w:val="TextoNormal"/>
      </w:pPr>
      <w:r w:rsidRPr="00AC56D6">
        <w:rPr>
          <w:rStyle w:val="NumeroAFNegritaCaracter"/>
        </w:rPr>
        <w:t>5</w:t>
      </w:r>
      <w:r>
        <w:t>. En cuanto a los otros dos motivos de amparo planteados por el recurrente, es manifiesto que carecen de fundamento, por lo que deben ser igualmente desestimados.</w:t>
      </w:r>
    </w:p>
    <w:p w:rsidR="00AC56D6" w:rsidRDefault="00AC56D6" w:rsidP="00AC56D6">
      <w:pPr>
        <w:pStyle w:val="TextoNormal"/>
      </w:pPr>
    </w:p>
    <w:p w:rsidR="00AC56D6" w:rsidRDefault="00AC56D6" w:rsidP="00AC56D6">
      <w:pPr>
        <w:pStyle w:val="TextoNormal"/>
      </w:pPr>
      <w:r>
        <w:t>En efecto, en lo que se refiere a la alegada vulneración del derecho a la tutela judicial efectiva, que el demandante de amparo asocia al principio de seguridad jurídica (art. 9.3 CE) porque entiende que la respuesta judicial proporcionada por la Sala gallega a la problemática planteada es contraria a la que haya dado otro Tribunal del mismo orden jurisdiccional y tal decisión pueda generar un factor de desconfianza en el orden jurídico, hay que señalar que la queja así formulada, apoyada en la eventual vulneración del principio de se</w:t>
      </w:r>
      <w:r>
        <w:lastRenderedPageBreak/>
        <w:t>guridad jurídica como eje central del planteamiento de la lesión del derecho a la tutela judicial efectiva, queda extramuros del ámbito propio del derecho fundamental invocado y, en todo caso, desde la estricta perspectiva de este derecho, la sentencia impugnada responde a una fundamentación interpretativa de las causas de nulidad recogidas en el art. 96.2 LOREG que no es arbitraria, manifiestamente irracional o incursa en error patente, pues se apoya en una interpretación de los términos del precepto que es plenamente conforme con el principio de preservación de la voluntad del elector. Además, la existencia de otras opciones interpretativas —asumidas por la propia administración electoral o por tribunales determinados— diferentes de la seguida por el órgano judicial en el caso que nos ocupa carece de todo contenido constitucional, dado que la indefensión proscrita en el art. 24.1 CE exige la privación de facultades de alegar o probar dentro del propio proceso, circunstancia que manifiestamente no se ha dado en el presente caso.</w:t>
      </w:r>
    </w:p>
    <w:p w:rsidR="00AC56D6" w:rsidRDefault="00AC56D6" w:rsidP="00AC56D6">
      <w:pPr>
        <w:pStyle w:val="TextoNormal"/>
      </w:pPr>
    </w:p>
    <w:p w:rsidR="00AC56D6" w:rsidRDefault="00AC56D6" w:rsidP="00AC56D6">
      <w:pPr>
        <w:pStyle w:val="TextoNormal"/>
      </w:pPr>
      <w:r>
        <w:t>Por otro lado, en lo que atañe a la alegada vulneración del principio de igualdad en la aplicación de la ley, baste decir, sin más largo discurso argumentativo, que dicho principio únicamente puede verse conculcado cuando la solución dispar dada al supuesto de hecho considerado igual procede de un mismo órgano del Poder Judicial y no ha aportado éste una justificación razonable del apartamiento del criterio precedente.</w:t>
      </w:r>
    </w:p>
    <w:p w:rsidR="00AC56D6" w:rsidRDefault="00AC56D6" w:rsidP="00AC56D6">
      <w:pPr>
        <w:pStyle w:val="TextoNormal"/>
      </w:pPr>
    </w:p>
    <w:p w:rsidR="00AC56D6" w:rsidRDefault="00AC56D6" w:rsidP="00AC56D6">
      <w:pPr>
        <w:pStyle w:val="TextoNormal"/>
      </w:pPr>
      <w:r w:rsidRPr="00AC56D6">
        <w:rPr>
          <w:rStyle w:val="NumeroAFNegritaCaracter"/>
        </w:rPr>
        <w:t>6</w:t>
      </w:r>
      <w:r>
        <w:t>. Lo expuesto determina la desestimación del recurso de amparo.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Desestimar el presente recurso de amparo núm. 3810-2015.</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catorce de julio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5" w:name="SENTENCIA_2015_159"/>
      <w:r>
        <w:lastRenderedPageBreak/>
        <w:t>SENTENCIA 159/2015, de 14 de julio de 2015</w:t>
      </w:r>
    </w:p>
    <w:bookmarkEnd w:id="15"/>
    <w:p w:rsidR="00AC56D6" w:rsidRDefault="00AC56D6" w:rsidP="00AC56D6">
      <w:pPr>
        <w:pStyle w:val="TtuloResolucin"/>
      </w:pPr>
      <w:r>
        <w:t>Sala Segunda</w:t>
      </w:r>
    </w:p>
    <w:p w:rsidR="00AC56D6" w:rsidRDefault="00AC56D6" w:rsidP="00AC56D6">
      <w:pPr>
        <w:pStyle w:val="TtuloBOE"/>
      </w:pPr>
      <w:r>
        <w:t>(BOE núm. 194, de 14 de agosto de 2015)</w:t>
      </w:r>
    </w:p>
    <w:p w:rsidR="00AC56D6" w:rsidRDefault="00AC56D6" w:rsidP="00AC56D6">
      <w:pPr>
        <w:pStyle w:val="TextoNormalCentrado"/>
      </w:pPr>
      <w:r>
        <w:t>ECLI:ES:TC:2015:159</w:t>
      </w:r>
    </w:p>
    <w:p w:rsidR="00AC56D6" w:rsidRDefault="00AC56D6" w:rsidP="00AC56D6">
      <w:pPr>
        <w:pStyle w:val="TextoNormalCentrado"/>
      </w:pPr>
    </w:p>
    <w:p w:rsidR="00AC56D6" w:rsidRDefault="00AC56D6" w:rsidP="00AC56D6">
      <w:pPr>
        <w:pStyle w:val="SntesisDescriptiva"/>
      </w:pPr>
      <w:r>
        <w:t>Recurso de amparo electoral 3811-2015. Promovido por la coalición electoral Ganemos-Izquierda Unida-Los Verdes en relación con la Sentencia dictada por la Sala de lo Contencioso-Administrativo del Tribunal Superior de Justicia de Extremadura que inadmitió su recurso contencioso-electoral, frente a sendos acuerdos de las juntas electorales de Badajoz y Extremadura sobre proclamación de electos.</w:t>
      </w:r>
    </w:p>
    <w:p w:rsidR="00AC56D6" w:rsidRDefault="00AC56D6" w:rsidP="00AC56D6">
      <w:pPr>
        <w:pStyle w:val="SntesisDescriptiva"/>
      </w:pPr>
    </w:p>
    <w:p w:rsidR="00AC56D6" w:rsidRDefault="00AC56D6" w:rsidP="00AC56D6">
      <w:pPr>
        <w:pStyle w:val="SntesisAnaltica"/>
      </w:pPr>
      <w:r>
        <w:t>Vulneración de los derechos a la tutela judicial efectiva (acceso a la jurisdicción) y de acceso a los cargos públicos en condiciones de igualdad: resoluciones que impiden la revisión de votos anulados.</w:t>
      </w:r>
    </w:p>
    <w:p w:rsidR="00AC56D6" w:rsidRDefault="00AC56D6" w:rsidP="00AC56D6">
      <w:pPr>
        <w:pStyle w:val="SntesisAnaltica"/>
      </w:pPr>
    </w:p>
    <w:p w:rsidR="00AC56D6" w:rsidRDefault="00AC56D6" w:rsidP="00AC56D6">
      <w:pPr>
        <w:pStyle w:val="Extracto"/>
      </w:pPr>
      <w:r>
        <w:t>1.</w:t>
      </w:r>
      <w:r>
        <w:tab/>
        <w:t>En los recurso de amparo electoral no es exigible la interposición de incidente de nulidad de actuaciones (SSTC 25/1990, 27/1990) [FJ 2].</w:t>
      </w:r>
    </w:p>
    <w:p w:rsidR="00AC56D6" w:rsidRDefault="00AC56D6" w:rsidP="00AC56D6">
      <w:pPr>
        <w:pStyle w:val="Extracto"/>
      </w:pPr>
    </w:p>
    <w:p w:rsidR="00AC56D6" w:rsidRDefault="00AC56D6" w:rsidP="00AC56D6">
      <w:pPr>
        <w:pStyle w:val="Extracto"/>
      </w:pPr>
      <w:r>
        <w:t>2.</w:t>
      </w:r>
      <w:r>
        <w:tab/>
        <w:t>En el amparo electoral no es necesaria la cita expresa, por su nombre o por el número del precepto, del derecho fundamental luego invocado, ya que lo esencial no es el empleo de una fórmula rituaria en los recursos jurisdiccionales previos a este amparo, sino el hecho de que se mantenga la identidad de la queja suscitada ante los órganos jurisdiccionales y ante este Tribunal Constitucional, de modo que se haya dado así a los primeros la oportunidad de reparar esa supuesta lesión preservando, en todo caso, el carácter subsidiario del amparo (STC 71/1995) [FJ 2].</w:t>
      </w:r>
    </w:p>
    <w:p w:rsidR="00AC56D6" w:rsidRDefault="00AC56D6" w:rsidP="00AC56D6">
      <w:pPr>
        <w:pStyle w:val="Extracto"/>
      </w:pPr>
    </w:p>
    <w:p w:rsidR="00AC56D6" w:rsidRDefault="00AC56D6" w:rsidP="00AC56D6">
      <w:pPr>
        <w:pStyle w:val="Extracto"/>
      </w:pPr>
      <w:r>
        <w:t>3.</w:t>
      </w:r>
      <w:r>
        <w:tab/>
        <w:t>Las quejas que pudieron efectuarse en aquel trámite inicial, pero que sin embargo se hicieron posteriormente en el acto de escrutinio general al amparo electoral, deben ser igualmente examinadas, negando así la imposición de un “rígido principio de preclusividad” al primer trámite señalado (SSTC 157/1991, 115/1995, 169/2007) [FJ 3].</w:t>
      </w:r>
    </w:p>
    <w:p w:rsidR="00AC56D6" w:rsidRDefault="00AC56D6" w:rsidP="00AC56D6">
      <w:pPr>
        <w:pStyle w:val="Extracto"/>
      </w:pPr>
    </w:p>
    <w:p w:rsidR="00AC56D6" w:rsidRDefault="00AC56D6" w:rsidP="00AC56D6">
      <w:pPr>
        <w:pStyle w:val="Extracto"/>
      </w:pPr>
      <w:r>
        <w:t>4.</w:t>
      </w:r>
      <w:r>
        <w:tab/>
        <w:t>Una revisión general de los votos nulos de la circunscripción con base en simples sospechas o hipótesis, como la que esgrime la coalición interesada en la revisión que de votos nulos, no está permitida por la jurisprudencia constitucional (STC 24/1990) [FJ 4].</w:t>
      </w:r>
    </w:p>
    <w:p w:rsidR="00AC56D6" w:rsidRDefault="00AC56D6" w:rsidP="00AC56D6">
      <w:pPr>
        <w:pStyle w:val="Extracto"/>
      </w:pPr>
    </w:p>
    <w:p w:rsidR="00AC56D6" w:rsidRDefault="00AC56D6" w:rsidP="00AC56D6">
      <w:pPr>
        <w:pStyle w:val="Extracto"/>
      </w:pPr>
      <w:r>
        <w:t>5.</w:t>
      </w:r>
      <w:r>
        <w:tab/>
        <w:t>La configuración del derecho de acceder a los cargos públicos representativos con los requisitos que señalen las leyes como derecho de configuración legal, significa que corresponde al legislador configurar el sistema de acceso y la permanencia en tales cargos públicos; el  legislador puede establecer libremente las condiciones que estime más adecuadas, si bien con las limitaciones generales que imponen el principio de igualdad y los derechos fundamentales que la Constitución garantiza y, cuando se trata de cargos públicos de carácter representativo, la necesidad de salvaguardar su naturaleza. (SSTC 135/2004, 114/2014) [FJ 5].</w:t>
      </w:r>
    </w:p>
    <w:p w:rsidR="00AC56D6" w:rsidRDefault="00AC56D6" w:rsidP="00AC56D6">
      <w:pPr>
        <w:pStyle w:val="Extracto"/>
      </w:pPr>
    </w:p>
    <w:p w:rsidR="00AC56D6" w:rsidRDefault="00AC56D6" w:rsidP="00AC56D6">
      <w:pPr>
        <w:pStyle w:val="Extracto"/>
      </w:pPr>
      <w:r>
        <w:lastRenderedPageBreak/>
        <w:t>6.</w:t>
      </w:r>
      <w:r>
        <w:tab/>
        <w:t>El derecho de sufragio pasivo tiene como contenido esencial asegurar que accedan al cargo público aquellos candidatos que los electores hayan elegido como sus representantes, satisfaciéndose dicho derecho siempre que se mantenga la debida correlación entre la voluntad del cuerpo electoral y la proclamación de candidatos; forma parte del contenido esencial del derecho de sufragio pasivo el derecho a acceder al cargo electo siempre que se cuente con los votos necesarios para ello, de acuerdo con el sistema electoral diseñado por el legislador (STC 105/2012) [FJ 5].</w:t>
      </w:r>
    </w:p>
    <w:p w:rsidR="00AC56D6" w:rsidRDefault="00AC56D6" w:rsidP="00AC56D6">
      <w:pPr>
        <w:pStyle w:val="Extracto"/>
      </w:pPr>
    </w:p>
    <w:p w:rsidR="00AC56D6" w:rsidRDefault="00AC56D6" w:rsidP="00AC56D6">
      <w:pPr>
        <w:pStyle w:val="Extracto"/>
      </w:pPr>
      <w:r>
        <w:t>7.</w:t>
      </w:r>
      <w:r>
        <w:tab/>
        <w:t>Se declara el derecho de los actores implicados en el proceso electoral de poner en marcha los mecanismos legales de revisión de votos, instrumentos de control de la real voluntad del cuerpo electoral, resultando efectivamente protegidos los intereses jurídicamente protegibles que dan vida y justifican el derecho fundamental de sufragio pasivo, que es una de las vías señaladas en la STC 11/1981, para aproximarse al concepto de contenido esencial de los derechos fundamentales del art. 53.1 CE [FJ 5].</w:t>
      </w:r>
    </w:p>
    <w:p w:rsidR="00AC56D6" w:rsidRDefault="00AC56D6" w:rsidP="00AC56D6">
      <w:pPr>
        <w:pStyle w:val="Extracto"/>
      </w:pPr>
    </w:p>
    <w:p w:rsidR="00AC56D6" w:rsidRDefault="00AC56D6" w:rsidP="00AC56D6">
      <w:pPr>
        <w:pStyle w:val="Extracto"/>
      </w:pPr>
      <w:r>
        <w:t>8.</w:t>
      </w:r>
      <w:r>
        <w:tab/>
        <w:t>Cualquier limitación en el ejercicio del derecho de sufragio pasivo no amparada por un precepto legal expreso debe ser rechazada, del mismo modo que lo son, por ejemplo, las causas de inadmisión o las de privación de libertad  que no estén previstas expresamente por las leyes procesales (STC 210/2013, STC 11/1981) [FJ 5].</w:t>
      </w:r>
    </w:p>
    <w:p w:rsidR="00AC56D6" w:rsidRDefault="00AC56D6" w:rsidP="00AC56D6">
      <w:pPr>
        <w:pStyle w:val="Extracto"/>
      </w:pPr>
    </w:p>
    <w:p w:rsidR="00AC56D6" w:rsidRDefault="00AC56D6" w:rsidP="00AC56D6">
      <w:pPr>
        <w:pStyle w:val="Extracto"/>
      </w:pPr>
      <w:r>
        <w:t>9.</w:t>
      </w:r>
      <w:r>
        <w:tab/>
        <w:t>Si la ley ordena conservar todos los votos a los que se hubiera negado validez, y no sólo aquellos que hubieran sido objeto de alguna reclamación, ello ha de ser para permitir en algún momento posterior la revisión y examen de esos votos; el mantenimiento de la voluntad popular expresada en votos válidos debe constituir criterio preferente a la hora de interpretar y aplicar las normas electorales y cualquier interpretación que pueda menoscabar el derecho de acceder a los cargos públicos, si no está amparada en un precepto legal expreso, debe ser rechazada [FJ 5].</w:t>
      </w:r>
    </w:p>
    <w:p w:rsidR="00AC56D6" w:rsidRDefault="00AC56D6" w:rsidP="00AC56D6">
      <w:pPr>
        <w:pStyle w:val="Extracto"/>
      </w:pPr>
    </w:p>
    <w:p w:rsidR="00AC56D6" w:rsidRDefault="00AC56D6" w:rsidP="00AC56D6">
      <w:pPr>
        <w:pStyle w:val="Extracto"/>
      </w:pPr>
      <w:r>
        <w:t>10.</w:t>
      </w:r>
      <w:r>
        <w:tab/>
        <w:t>En el ámbito de los amparos electorales, la diligencia exigible a los protagonistas naturales de las elecciones (fuerzas políticas en general y candidatos) ha de comenzar, y ha de ser aún más extrema, por la propia Administración encargada de garantizar el correcto transcurso del proceso electoral (STC 80/2002) [FJ 6].</w:t>
      </w:r>
    </w:p>
    <w:p w:rsidR="00AC56D6" w:rsidRDefault="00AC56D6" w:rsidP="00AC56D6">
      <w:pPr>
        <w:pStyle w:val="Extracto"/>
      </w:pPr>
    </w:p>
    <w:p w:rsidR="00AC56D6" w:rsidRDefault="00AC56D6" w:rsidP="00AC56D6">
      <w:pPr>
        <w:pStyle w:val="Extracto"/>
      </w:pPr>
      <w:r>
        <w:t>11.</w:t>
      </w:r>
      <w:r>
        <w:tab/>
        <w:t>La carga de la prueba de quien afirma la utilización fraudulenta o abusiva de un derecho o recurso reconocido en la ley electoral ha de corresponder, en buena lógica, a quien afirma ese fraude, y no puede presumirse (STC 44/2009) [FJ 6].</w:t>
      </w:r>
    </w:p>
    <w:p w:rsidR="00AC56D6" w:rsidRDefault="00AC56D6" w:rsidP="00AC56D6">
      <w:pPr>
        <w:pStyle w:val="Extracto"/>
      </w:pPr>
    </w:p>
    <w:p w:rsidR="00AC56D6" w:rsidRDefault="00AC56D6" w:rsidP="00AC56D6">
      <w:pPr>
        <w:pStyle w:val="Extracto"/>
      </w:pPr>
      <w:r>
        <w:t>12.</w:t>
      </w:r>
      <w:r>
        <w:tab/>
        <w:t>La Sala que en cada caso resuelva el correspondiente contencioso-electoral deberá realizar el juicio de relevancia de los vicios o irregularidades invalidantes en el resultado final, sin perjuicio de la ulterior revisión del mismo, en su caso, por el Tribunal Constitucional; y, en su motivación, la Sala deberá expresar el proceso lógico que le lleva a apreciar la alteración del resultado como consecuencia de los vicios o irregularidades apreciados. (STC 105/2012) [FJ 7].</w:t>
      </w:r>
    </w:p>
    <w:p w:rsidR="00AC56D6" w:rsidRDefault="00AC56D6" w:rsidP="00AC56D6">
      <w:pPr>
        <w:pStyle w:val="Extracto"/>
      </w:pPr>
    </w:p>
    <w:p w:rsidR="00AC56D6" w:rsidRDefault="00AC56D6" w:rsidP="00AC56D6">
      <w:pPr>
        <w:pStyle w:val="Extracto"/>
      </w:pPr>
      <w:r>
        <w:lastRenderedPageBreak/>
        <w:t>13.</w:t>
      </w:r>
      <w:r>
        <w:tab/>
        <w:t>El Tribunal Constitucional puede asumir la tarea de apreciar la alteración del resultado electoral como consecuencia de los vicios o irregularidades apreciados, en aras de preservar el principio de conservación de los actos electorales válidamente celebrados, el principio de proporcionalidad entre unos actos y sus consecuencias cuando éstas afectan a derechos fundamentales y la máxima efectividad del derecho de sufragio (STC 24/1990) [FJ 7].</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amparo electoral núm. 3811-2015, promovido por la coalición electoral Ganemos-Izquierda Unida-Los Verdes, representada por el Procurador de los Tribunales don José Antonio Sandín Fernández y asistida por la Letrada doña Teresa Fernández Pérez, contra la Sentencia dictada por la Sala de lo Contencioso-Administrativo del Tribunal Superior de Justicia de Extremadura en fecha 24 de junio de 2015, por la que se inadmite el recurso contencioso electoral núm. 5/2015, y contra los siguientes actos objeto del citado recurso contencioso electoral: acuerdos de la Junta Electoral Provincial de Badajoz de 27 de mayo de 2015 (acta de escrutinio general) y de 29 de mayo de 2015 (desestimación de reclamaciones y protestas) y de la Junta Electoral de Extremadura de 3 de junio de 2015 (confirmatorio del anterior), así como contra el acta de proclamación de electos aprobada por la Junta Electoral Provincial de Badajoz el 5 de junio de 2015. Ha intervenido el Ministerio Fiscal. Ha comparecido el Partido Socialista Obrero Español, representado por la Procuradora de los Tribunales doña Virginia Aragón Segura y asistido por el Letrado don Rafael Gil Nieto. Ha sido Ponente el Magistrado don Ricardo Enríquez Sancho,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Por escrito presentado en el Registro General de este Tribunal el día 26 de junio de 2015, la representación de Ganemos-Izquierda Unida-Los Verdes interpuso recurso de amparo electoral contra las resoluciones judicial y administrativas que se citan en el encabezamiento.</w:t>
      </w:r>
    </w:p>
    <w:p w:rsidR="00AC56D6" w:rsidRDefault="00AC56D6" w:rsidP="00AC56D6">
      <w:pPr>
        <w:pStyle w:val="TextoNormal"/>
      </w:pPr>
    </w:p>
    <w:p w:rsidR="00AC56D6" w:rsidRDefault="00AC56D6" w:rsidP="00AC56D6">
      <w:pPr>
        <w:pStyle w:val="TextoNormal"/>
      </w:pPr>
      <w:r w:rsidRPr="00AC56D6">
        <w:rPr>
          <w:rStyle w:val="NumeroAFNegritaCaracter"/>
        </w:rPr>
        <w:t>2</w:t>
      </w:r>
      <w:r>
        <w:t>. La demanda trae causa de los siguientes antecedentes:</w:t>
      </w:r>
    </w:p>
    <w:p w:rsidR="00AC56D6" w:rsidRDefault="00AC56D6" w:rsidP="00AC56D6">
      <w:pPr>
        <w:pStyle w:val="TextoNormal"/>
      </w:pPr>
    </w:p>
    <w:p w:rsidR="00AC56D6" w:rsidRDefault="00AC56D6" w:rsidP="00AC56D6">
      <w:pPr>
        <w:pStyle w:val="TextoNormal"/>
      </w:pPr>
      <w:r>
        <w:t>a) La coalición electoral recurrente concurrió a las elecciones al Parlamento de Extremadura celebradas el pasado día 24 de mayo de 2015.</w:t>
      </w:r>
    </w:p>
    <w:p w:rsidR="00AC56D6" w:rsidRDefault="00AC56D6" w:rsidP="00AC56D6">
      <w:pPr>
        <w:pStyle w:val="TextoNormal"/>
      </w:pPr>
    </w:p>
    <w:p w:rsidR="00AC56D6" w:rsidRDefault="00AC56D6" w:rsidP="00AC56D6">
      <w:pPr>
        <w:pStyle w:val="TextoNormal"/>
      </w:pPr>
      <w:r>
        <w:t>b) En el transcurso de la jornada electoral, los representantes de la coalición pusieron de manifiesto ante la Junta Electoral de Extremadura y ante la Junta Electoral Provincial de Badajoz que había recibido “advertencias verbales” por parte de la Junta Electoral de Zona de Llerena acerca de la “no validez” de unos sobres electorales que había repartido dicha coalición al no coincidir exactamente el color de la tinta del sobre, de color azulado, con el que aparece en los sobres puestos a disposición de los electores por la Administración, que eran de color negro.</w:t>
      </w:r>
    </w:p>
    <w:p w:rsidR="00AC56D6" w:rsidRDefault="00AC56D6" w:rsidP="00AC56D6">
      <w:pPr>
        <w:pStyle w:val="TextoNormal"/>
      </w:pPr>
    </w:p>
    <w:p w:rsidR="00AC56D6" w:rsidRDefault="00AC56D6" w:rsidP="00AC56D6">
      <w:pPr>
        <w:pStyle w:val="TextoNormal"/>
      </w:pPr>
      <w:r>
        <w:t>En respuesta a esa comunicación, las citadas Juntas Electorales de Extremadura y Provincial de Badajoz dictaron sendas resoluciones el mismo día de las elecciones afirmando la validez de esos sobres. En concreto, el acuerdo de la Junta Electoral de Extremadura, dirigido a la Junta Electoral de Zona de Llerena, finaliza diciendo que “[e]ste acuerdo será comunicado a los Presidentes de las Mesas Electorales de su Zona a los efectos oportunos”.</w:t>
      </w:r>
    </w:p>
    <w:p w:rsidR="00AC56D6" w:rsidRDefault="00AC56D6" w:rsidP="00AC56D6">
      <w:pPr>
        <w:pStyle w:val="TextoNormal"/>
      </w:pPr>
    </w:p>
    <w:p w:rsidR="00AC56D6" w:rsidRDefault="00AC56D6" w:rsidP="00AC56D6">
      <w:pPr>
        <w:pStyle w:val="TextoNormal"/>
      </w:pPr>
      <w:r>
        <w:t>c) Efectuado el escrutinio en las mesas y llegado el acto del escrutinio general, que se celebró el día 27 de mayo de 2015 conforme determina el art. 103.1 de la Ley Orgánica 5/1985, de 19 de junio, de régimen electoral general (LOREG, en adelante), el representante de la candidatura de Ganemos-Izquierda Unida-Los Verdes presentó en ese acto, a las 12:00 horas, ante la Junta Electoral de Badajoz, un escrito en el que exponía:</w:t>
      </w:r>
    </w:p>
    <w:p w:rsidR="00AC56D6" w:rsidRDefault="00AC56D6" w:rsidP="00AC56D6">
      <w:pPr>
        <w:pStyle w:val="TextoNormal"/>
      </w:pPr>
    </w:p>
    <w:p w:rsidR="00AC56D6" w:rsidRDefault="00AC56D6" w:rsidP="00AC56D6">
      <w:pPr>
        <w:pStyle w:val="TextoNormal"/>
      </w:pPr>
      <w:r>
        <w:t>“Que sabiendo que hay mesas electorales donde se ha decretado la nulidad de los votos emitidos a favor de esta candidatura por tener tintada distinta de la que tenían los sobres y papeletas distribuidas por la administración, es intención de esta formación política revisar todos y cada uno de los votos nulos introducidos en el sobre núm. 1 de cada mesa para conocer la causa de nulidad e impugnar su invalidez en el caso de que sean votos a esta candidatura y tal causa obedezca a la tintada del sobre o de las papeletas o a cualquier otra causa no legal.”</w:t>
      </w:r>
    </w:p>
    <w:p w:rsidR="00AC56D6" w:rsidRDefault="00AC56D6" w:rsidP="00AC56D6">
      <w:pPr>
        <w:pStyle w:val="TextoNormal"/>
      </w:pPr>
    </w:p>
    <w:p w:rsidR="00AC56D6" w:rsidRDefault="00AC56D6" w:rsidP="00AC56D6">
      <w:pPr>
        <w:pStyle w:val="TextoNormal"/>
      </w:pPr>
      <w:r>
        <w:t>A las 12:45 la misma representación presentó un escrito ampliatorio con la relación de las mesas en las que se pretendía impugnar votos nulos, siendo esas mesas todas las de la circunscripción de Badajoz.</w:t>
      </w:r>
    </w:p>
    <w:p w:rsidR="00AC56D6" w:rsidRDefault="00AC56D6" w:rsidP="00AC56D6">
      <w:pPr>
        <w:pStyle w:val="TextoNormal"/>
      </w:pPr>
    </w:p>
    <w:p w:rsidR="00AC56D6" w:rsidRDefault="00AC56D6" w:rsidP="00AC56D6">
      <w:pPr>
        <w:pStyle w:val="TextoNormal"/>
      </w:pPr>
      <w:r>
        <w:t>c) La Junta Electoral Provincial de Badajoz resolvió en el acto desestimar esa solicitud con los argumentos expresados en un escrito anexo al acta de escrutinio general, que contiene la siguiente motivación:</w:t>
      </w:r>
    </w:p>
    <w:p w:rsidR="00AC56D6" w:rsidRDefault="00AC56D6" w:rsidP="00AC56D6">
      <w:pPr>
        <w:pStyle w:val="TextoNormal"/>
      </w:pPr>
    </w:p>
    <w:p w:rsidR="00AC56D6" w:rsidRDefault="00AC56D6" w:rsidP="00AC56D6">
      <w:pPr>
        <w:pStyle w:val="TextoNormal"/>
      </w:pPr>
      <w:r>
        <w:t xml:space="preserve">“Con reiteración se ha pronunciado tanto la Junta Electoral Central como la jurisprudencia que lo decisivo es salvaguardar la voluntad del elector y la firmeza del escrutinio, debiendo huirse de nulidad[es] que no se fundamenten en el falseamiento de la voluntad popular; a la hora de determinar la validez de las papeletas se ha de distinguir, conforme a una reiterada jurisprudencia electoral, entre las modificaciones irrelevantes y aquellas otras que permitan dudar de la efectiva voluntad del elector, cuya indudable buena fe se ha de proteger. Estos principios básicos son de protección prioritaria que corresponde a esta Junta Electoral Provincial, entre cuyas competencias se halla la de validar votos indebidamente declarados nulos (acuerdo del 15 marzo 1995); sin embargo el derecho a impugnar tiene limitaciones propias que no puede el recurrente soslayar; quizás la principal deriva del deber que le es imputable de identificar el objeto de la impugnación y la razón que la justifica; no </w:t>
      </w:r>
      <w:r>
        <w:lastRenderedPageBreak/>
        <w:t>corresponde a la Junta escrutadora adivinar cuál de los votos que genéricamente se impugna es el afectado ni atender la súplica del recurrente y en el sentido que previo a la identificación de los mismos se le entregue cada uno de los sobres núm. 1 para conocer la documentación; esto excede de cualquier petición lógica y aún menos cuanto se efectúa en pleno acto de escrutinio; algún deber le incumbe en orden a no ganar preponderancia respecto a los restantes actores electorales; también conseguiría la imposibilidad de llevar materialmente a cabo el escrutinio en el plazo legal y convertiría en la práctica a la Junta Electoral Provincial en una mesa electoral de segundo grado. Pero quizás lo anterior sea irrelevante por cuanto existe una reiterada jurisprudencia que se apoyan la teoría de los actos propios; esto es, el silencio y la falta de protesta en el momento procesal oportuno expresa aceptación y acomodo a lo resuelto, de manera que no puede posteriormente invocarse en un futuro recurso contencioso electoral (ver SS de 21 de julio de 1977, 18 de abril de 1979, 20 de abril de 1979 o 10 de diciembre de 1987).</w:t>
      </w:r>
    </w:p>
    <w:p w:rsidR="00AC56D6" w:rsidRDefault="00AC56D6" w:rsidP="00AC56D6">
      <w:pPr>
        <w:pStyle w:val="TextoNormal"/>
      </w:pPr>
    </w:p>
    <w:p w:rsidR="00AC56D6" w:rsidRDefault="00AC56D6" w:rsidP="00AC56D6">
      <w:pPr>
        <w:pStyle w:val="TextoNormal"/>
      </w:pPr>
      <w:r>
        <w:t>En esta forma esta Junta Electoral Provincial resuelve que la impugnación formulada, con el carácter generalista con que se efectúa, no puede paralizar el escrutinio; ni pueden darse a un partido político concreto la documentación electoral para su examen y en orden a la justificación de una posible impugnación que no concreta y por cuanto tampoco consta que hubiera hecho valer su derecho ante la Mesa en que se declaran la nulidad de los votos que ahora nuevamente se reclama. En realidad, y en la forma en que se efectúa, esta Junta entiende que no existe impugnación alguna por cuanto la existencia objetiva de la misma sólo devendría de un examen previo por el impugnantes de la documentación electoral.</w:t>
      </w:r>
    </w:p>
    <w:p w:rsidR="00AC56D6" w:rsidRDefault="00AC56D6" w:rsidP="00AC56D6">
      <w:pPr>
        <w:pStyle w:val="TextoNormal"/>
      </w:pPr>
    </w:p>
    <w:p w:rsidR="00AC56D6" w:rsidRDefault="00AC56D6" w:rsidP="00AC56D6">
      <w:pPr>
        <w:pStyle w:val="TextoNormal"/>
      </w:pPr>
      <w:r>
        <w:t>Tampoco cabe asumir la impugnación respecto a todas las Mesas y por causas que no han sido reseñadas.</w:t>
      </w:r>
    </w:p>
    <w:p w:rsidR="00AC56D6" w:rsidRDefault="00AC56D6" w:rsidP="00AC56D6">
      <w:pPr>
        <w:pStyle w:val="TextoNormal"/>
      </w:pPr>
    </w:p>
    <w:p w:rsidR="00AC56D6" w:rsidRDefault="00AC56D6" w:rsidP="00AC56D6">
      <w:pPr>
        <w:pStyle w:val="TextoNormal"/>
      </w:pPr>
      <w:r>
        <w:t>En cualquier caso y por la razón trascendente de que se afirma que la impugnación pudiera afectar al resultado electoral, se acuerda la emisión de una consulta a la junta superior de Extremadura para que se pronuncie al respecto. Una vez conocido aquel criterio podrá decidirse definitivamente y por cuanto lo que ahora se resuelve es tan sólo paralizar el escrutinio por no haber razones que lo justifiquen.</w:t>
      </w:r>
    </w:p>
    <w:p w:rsidR="00AC56D6" w:rsidRDefault="00AC56D6" w:rsidP="00AC56D6">
      <w:pPr>
        <w:pStyle w:val="TextoNormal"/>
      </w:pPr>
    </w:p>
    <w:p w:rsidR="00AC56D6" w:rsidRDefault="00AC56D6" w:rsidP="00AC56D6">
      <w:pPr>
        <w:pStyle w:val="TextoNormal"/>
      </w:pPr>
      <w:r>
        <w:t>Se acuerda se una al acta de sesión por anexo.”</w:t>
      </w:r>
    </w:p>
    <w:p w:rsidR="00AC56D6" w:rsidRDefault="00AC56D6" w:rsidP="00AC56D6">
      <w:pPr>
        <w:pStyle w:val="TextoNormal"/>
      </w:pPr>
    </w:p>
    <w:p w:rsidR="00AC56D6" w:rsidRDefault="00AC56D6" w:rsidP="00AC56D6">
      <w:pPr>
        <w:pStyle w:val="TextoNormal"/>
      </w:pPr>
      <w:r>
        <w:t>d) La Junta Electoral de Extremadura resolvió la citada consulta por resolución de 27 de mayo de 2015, en la que se acuerda:</w:t>
      </w:r>
    </w:p>
    <w:p w:rsidR="00AC56D6" w:rsidRDefault="00AC56D6" w:rsidP="00AC56D6">
      <w:pPr>
        <w:pStyle w:val="TextoNormal"/>
      </w:pPr>
    </w:p>
    <w:p w:rsidR="00AC56D6" w:rsidRDefault="00AC56D6" w:rsidP="00AC56D6">
      <w:pPr>
        <w:pStyle w:val="TextoNormal"/>
      </w:pPr>
      <w:r>
        <w:t>“No entrar a conocer del fondo del asunto por considerar que la Junta Electoral de Extremadura no es competente para resolver la consulta planteada. Dicho acuerdo se adopta en base a la doctrina de la Junta Electoral Central que indica que las Juntas Electorales Provinciales son las únicas competentes para la realización del escrutinio general y [para] la resolución de las reclamaciones y protestas que se formulen, ateniéndose en todo caso a lo dispuesto en los artículos 105 y 106 de la LOREG y a lo resuelto en interpretación de la citada Ley por la Junta Electoral Central (acuerdo de 6 noviembre 1999). Asimismo, se indica que no cabe que por la Junta Electoral Central, lo que es extrapolable para las elecciones autonómicas a la Junta Electoral de Extremadura, resuelva consultas durante el escrutinio general cuya realización es de la exclusiva competencia de las juntas electorales provinciales (acuerdo del 21 junio 1995).”</w:t>
      </w:r>
    </w:p>
    <w:p w:rsidR="00AC56D6" w:rsidRDefault="00AC56D6" w:rsidP="00AC56D6">
      <w:pPr>
        <w:pStyle w:val="TextoNormal"/>
      </w:pPr>
    </w:p>
    <w:p w:rsidR="00AC56D6" w:rsidRDefault="00AC56D6" w:rsidP="00AC56D6">
      <w:pPr>
        <w:pStyle w:val="TextoNormal"/>
      </w:pPr>
      <w:r>
        <w:t>e) Por escrito que tuvo entrada en la Junta Electoral Provincial de Badajoz el día 28 de mayo de 2015, el representante provincial de la candidatura Ganemos-Izquierda Unida-Los Verdes formuló reclamación contra el escrutinio general de 27 de mayo basado en los motivos que, sucintamente, se exponen a continuación:</w:t>
      </w:r>
    </w:p>
    <w:p w:rsidR="00AC56D6" w:rsidRDefault="00AC56D6" w:rsidP="00AC56D6">
      <w:pPr>
        <w:pStyle w:val="TextoNormal"/>
      </w:pPr>
    </w:p>
    <w:p w:rsidR="00AC56D6" w:rsidRDefault="00AC56D6" w:rsidP="00AC56D6">
      <w:pPr>
        <w:pStyle w:val="TextoNormal"/>
      </w:pPr>
      <w:r>
        <w:t>(i) En mesas electorales de Mérida, Castuera, Badajoz, etc., se intentó por representantes de otras candidaturas declarar la nulidad de votos de la candidatura reclamante por el defecto de tinta ya señalado, intentos que solo pudieron evitarse gracias a la intervención de los apoderados e interventores de Ganemos-Izquierda Unida-Los Verdes a quienes ya se habían remitido los acuerdos de las Juntas Electorales de Extremadura y Provincial de Badajoz sobre la plena validez de los mismos.</w:t>
      </w:r>
    </w:p>
    <w:p w:rsidR="00AC56D6" w:rsidRDefault="00AC56D6" w:rsidP="00AC56D6">
      <w:pPr>
        <w:pStyle w:val="TextoNormal"/>
      </w:pPr>
    </w:p>
    <w:p w:rsidR="00AC56D6" w:rsidRDefault="00AC56D6" w:rsidP="00AC56D6">
      <w:pPr>
        <w:pStyle w:val="TextoNormal"/>
      </w:pPr>
      <w:r>
        <w:t>(ii) Los votos nulos de toda la provincia han aumentado en relación con procesos electorales anteriores, sobre todo en aquellas zonas donde la formación recurrente no tenía apoderados ni interventores (pone como ejemplo Jerez de los Caballeros, con 213 votos nulos sobre un censo electoral de 7.815 personas).</w:t>
      </w:r>
    </w:p>
    <w:p w:rsidR="00AC56D6" w:rsidRDefault="00AC56D6" w:rsidP="00AC56D6">
      <w:pPr>
        <w:pStyle w:val="TextoNormal"/>
      </w:pPr>
    </w:p>
    <w:p w:rsidR="00AC56D6" w:rsidRDefault="00AC56D6" w:rsidP="00AC56D6">
      <w:pPr>
        <w:pStyle w:val="TextoNormal"/>
      </w:pPr>
      <w:r>
        <w:t>(iii) Ello le hace suponer que el defecto de tintada en los sobres ha podido ser la causa de muchas de esas nulidades.</w:t>
      </w:r>
    </w:p>
    <w:p w:rsidR="00AC56D6" w:rsidRDefault="00AC56D6" w:rsidP="00AC56D6">
      <w:pPr>
        <w:pStyle w:val="TextoNormal"/>
      </w:pPr>
    </w:p>
    <w:p w:rsidR="00AC56D6" w:rsidRDefault="00AC56D6" w:rsidP="00AC56D6">
      <w:pPr>
        <w:pStyle w:val="TextoNormal"/>
      </w:pPr>
      <w:r>
        <w:t>(iv) La formación reclamante se quedó a “unos 900” votos de obtener dos escaños en la Asamblea de Extremadura, lo que podría conseguir a través de la revisión de esos votos declarados nulos y que pudieran ser válidos.</w:t>
      </w:r>
    </w:p>
    <w:p w:rsidR="00AC56D6" w:rsidRDefault="00AC56D6" w:rsidP="00AC56D6">
      <w:pPr>
        <w:pStyle w:val="TextoNormal"/>
      </w:pPr>
    </w:p>
    <w:p w:rsidR="00AC56D6" w:rsidRDefault="00AC56D6" w:rsidP="00AC56D6">
      <w:pPr>
        <w:pStyle w:val="TextoNormal"/>
      </w:pPr>
      <w:r>
        <w:t>(v) Para poder formular adecuadamente su reclamación o recurso sobre la validez de esos votos necesita tener acceso antes a los votos declarados nulos, y de hecho la Junta Electoral Provincial de Cáceres no tuvo inconveniente en hacerlo, y sin embargo sí lo tuvo la de Badajoz, en el acuerdo recurrido.</w:t>
      </w:r>
    </w:p>
    <w:p w:rsidR="00AC56D6" w:rsidRDefault="00AC56D6" w:rsidP="00AC56D6">
      <w:pPr>
        <w:pStyle w:val="TextoNormal"/>
      </w:pPr>
    </w:p>
    <w:p w:rsidR="00AC56D6" w:rsidRDefault="00AC56D6" w:rsidP="00AC56D6">
      <w:pPr>
        <w:pStyle w:val="TextoNormal"/>
      </w:pPr>
      <w:r>
        <w:t>(vi) La lógica apoya además esta posibilidad, pues de lo contrario no se entiende por qué la Ley Orgánica de régimen electoral general ordena la conservación de esos votos.</w:t>
      </w:r>
    </w:p>
    <w:p w:rsidR="00AC56D6" w:rsidRDefault="00AC56D6" w:rsidP="00AC56D6">
      <w:pPr>
        <w:pStyle w:val="TextoNormal"/>
      </w:pPr>
    </w:p>
    <w:p w:rsidR="00AC56D6" w:rsidRDefault="00AC56D6" w:rsidP="00AC56D6">
      <w:pPr>
        <w:pStyle w:val="TextoNormal"/>
      </w:pPr>
      <w:r>
        <w:t>(vii) La fundamentación del acuerdo recurrido, que es evitar el retraso en la proclamación de electos dado que tendrían que revisarse todas las mesas de la provincia, es absolutamente contraria al principio de transparencia que debe regir un proceso electoral, y provoca además una grave indefensión a la parte que no va a poder examinar esos votos. Por otra parte, el hecho de que no se hayan formulado quejas en las mesas en relación con posibles nulidades de esos votos no puede impedir su revisión (cita el acuerdo de la Junta Electoral Central de 16 de junio de 2011). Acompaña a todo ello una relación de las mesas en las que solicita revisión y el número de votos declarados nulos en cada una de ellas y termina solicitando que se efectúe la revisión en esa fase de reclamación.</w:t>
      </w:r>
    </w:p>
    <w:p w:rsidR="00AC56D6" w:rsidRDefault="00AC56D6" w:rsidP="00AC56D6">
      <w:pPr>
        <w:pStyle w:val="TextoNormal"/>
      </w:pPr>
    </w:p>
    <w:p w:rsidR="00AC56D6" w:rsidRDefault="00AC56D6" w:rsidP="00AC56D6">
      <w:pPr>
        <w:pStyle w:val="TextoNormal"/>
      </w:pPr>
      <w:r>
        <w:t>f) Por acuerdo de 29 de mayo de 2015, la Junta Electoral Provincial de Badajoz desestimó la citada reclamación. En síntesis, el referido acuerdo desestimatorio se basa en tres órdenes de consideraciones:</w:t>
      </w:r>
    </w:p>
    <w:p w:rsidR="00AC56D6" w:rsidRDefault="00AC56D6" w:rsidP="00AC56D6">
      <w:pPr>
        <w:pStyle w:val="TextoNormal"/>
      </w:pPr>
    </w:p>
    <w:p w:rsidR="00AC56D6" w:rsidRDefault="00AC56D6" w:rsidP="00AC56D6">
      <w:pPr>
        <w:pStyle w:val="TextoNormal"/>
      </w:pPr>
      <w:r>
        <w:lastRenderedPageBreak/>
        <w:t>(i) En primer lugar, en que los hechos denunciados “no generan propiamente una incidencia en el escrutinio” general de las previstas en el art. 106.1 LOREG y que son competencia de la Junta Electoral, pues no se refiere a un voto concreto que haya que validar o anular, sino que pretende un examen y revisión de todo el escrutinio efectuado por las mesas, esto es, una impugnación “genérica o masiva” que no regula la Ley Orgánica de régimen electoral general. O dicho de otro modo, “la admisión a trámite de la reclamación implicaría… una asunción por esta Junta electoral de competencias que, manifiestamente, no le corresponden”.</w:t>
      </w:r>
    </w:p>
    <w:p w:rsidR="00AC56D6" w:rsidRDefault="00AC56D6" w:rsidP="00AC56D6">
      <w:pPr>
        <w:pStyle w:val="TextoNormal"/>
      </w:pPr>
    </w:p>
    <w:p w:rsidR="00AC56D6" w:rsidRDefault="00AC56D6" w:rsidP="00AC56D6">
      <w:pPr>
        <w:pStyle w:val="TextoNormal"/>
      </w:pPr>
      <w:r>
        <w:t>(ii) En segundo lugar, en el carácter “exorbitante” y “desmesurado” del “privilegio” o derecho pretendido en la reclamación. Entiende la Junta que la admisión de esa reclamación “generaría en la práctica la imposibilidad material de una ejecución ordenada del escrutinio o un importante entorpecimiento de su desarrollo natural”, “obligaría… a aperturar tal mecanismo a las restantes candidaturas que así podrían efectuar nuevas reclamaciones de igual o parecido carácter”, “generaría asimismo y en la práctica, y de forma inevitable, la suspensión sucesiva y reiterada del escrutinio, lo que es objeto de rigurosa prohibición por la LOREG”, y provocaría, en fin, “que todas las candidaturas se reservaran el derecho a impugnar la totalidad de los votos declarados nulos de todas las Mesas electorales”. El derecho a formular reclamaciones, como todos los demás derechos que reconoce el ordenamiento jurídico, “no tienen carácter absoluto sino que están supeditados procesalmente a las normas que regulan su ejercicio y materialmente por los derechos de los restantes actores electorales”.</w:t>
      </w:r>
    </w:p>
    <w:p w:rsidR="00AC56D6" w:rsidRDefault="00AC56D6" w:rsidP="00AC56D6">
      <w:pPr>
        <w:pStyle w:val="TextoNormal"/>
      </w:pPr>
    </w:p>
    <w:p w:rsidR="00AC56D6" w:rsidRDefault="00AC56D6" w:rsidP="00AC56D6">
      <w:pPr>
        <w:pStyle w:val="TextoNormal"/>
      </w:pPr>
      <w:r>
        <w:t>(iii) Y en tercer lugar, en la doctrina de los “actos propios” citada en el acuerdo de proclamación de electos, pues si la candidatura tenía interventores y apoderados en, al menos, algunas mesas, debió formular en ellas las oportunas protestas, pues allí tenía a su disposición la documentación que ahora reclama.</w:t>
      </w:r>
    </w:p>
    <w:p w:rsidR="00AC56D6" w:rsidRDefault="00AC56D6" w:rsidP="00AC56D6">
      <w:pPr>
        <w:pStyle w:val="TextoNormal"/>
      </w:pPr>
    </w:p>
    <w:p w:rsidR="00AC56D6" w:rsidRDefault="00AC56D6" w:rsidP="00AC56D6">
      <w:pPr>
        <w:pStyle w:val="TextoNormal"/>
      </w:pPr>
      <w:r>
        <w:t>g) Contra el citado acuerdo la candidatura interesada formuló recurso ante la Junta Electoral de Extremadura, insistiendo en los mismos argumentos, a saber: que la Junta Electoral Central sí otorga a las juntas electorales las funciones revisoras en el escrutinio general que el acuerdo de la Junta Electoral Provincial de Badajoz rechaza (cita y reproduce el acuerdo de la Junta Electoral Central de 15 de marzo de 1995), lo cual es coherente con la búsqueda de la verdad material que debe presidir la actuación de la Administración electoral (cita el acuerdo de 23 de junio de 1999); en segundo lugar, que si la Ley Orgánica de régimen electoral general ordena guardar los votos nulos en el sobre núm. 1 bajo las firmas de los miembros de la mesa no es “por simple capricho, sino para que pueda ser revisada su validez… por la junta escrutadora”; y que de hecho tan “exorbitante derecho”, como lo califica la Junta Electoral de Badajoz, fue igualmente ejercido ante la Junta Electoral de Cáceres, que no tuvo inconveniente en admitir su ejercicio, se dividió al efecto en Secciones, como autoriza a hacer el art. 105.6 LOREG, y terminó su tarea mucho antes que la Junta Electoral de Badajoz; y, por fin, que conforme a la doctrina de la Junta Electoral Central (acuerdos de 29 de junio de 1994 y 22 de junio de 1999) y del Tribunal Constitucional (STC 24/1990) la Junta escrutadora debe entrar en el fondo de las reclamaciones y examinar las papeletas que fueron declaradas nulas.</w:t>
      </w:r>
    </w:p>
    <w:p w:rsidR="00AC56D6" w:rsidRDefault="00AC56D6" w:rsidP="00AC56D6">
      <w:pPr>
        <w:pStyle w:val="TextoNormal"/>
      </w:pPr>
    </w:p>
    <w:p w:rsidR="00AC56D6" w:rsidRDefault="00AC56D6" w:rsidP="00AC56D6">
      <w:pPr>
        <w:pStyle w:val="TextoNormal"/>
      </w:pPr>
      <w:r>
        <w:t xml:space="preserve">h) La Junta Electoral de Extremadura acordó desestimar el citado recurso mediante nuevo acuerdo de 3 de junio de 2015. En ese acuerdo insiste en la inviabilidad de “impugnaciones </w:t>
      </w:r>
      <w:r>
        <w:lastRenderedPageBreak/>
        <w:t>generales”. Reitera que conforme a la doctrina de la Junta Electoral Central (acuerdos de 3 de junio de 2003 y 6 de junio de 2007) las reclamaciones al escrutinio han de referirse a incidencias concretas acaecidas en mesas determinadas por el recurrente o en el escrutinio general, y no es posible atender reclamaciones genéricas en las que se pida un nuevo escrutinio. De acuerdo con ello, la coalición podría tener derecho —reconoce el acuerdo—, a conocer los votos nulos de mesas concretas, pero nunca a la totalidad de los votos, puesto que si hubo mesas en las que contó con interventores y firmaron el acta de escrutinio de la mesa electoral, se presume que la consintieron y que por tanto ese supuesto vicio solo sería achacable a la falta de diligencia del reclamante, una diligencia que exige la jurisprudencia constitucional a las formaciones políticas concurrentes a las elecciones (cita la STC 80/2002). La Junta Electoral Provincial ha cumplido así, concluye la Junta Electoral de Extremadura, de manera escrupulosa lo que le ordena el art. 106 LOREG.</w:t>
      </w:r>
    </w:p>
    <w:p w:rsidR="00AC56D6" w:rsidRDefault="00AC56D6" w:rsidP="00AC56D6">
      <w:pPr>
        <w:pStyle w:val="TextoNormal"/>
      </w:pPr>
    </w:p>
    <w:p w:rsidR="00AC56D6" w:rsidRDefault="00AC56D6" w:rsidP="00AC56D6">
      <w:pPr>
        <w:pStyle w:val="TextoNormal"/>
      </w:pPr>
      <w:r>
        <w:t>i) Una vez desestimada la referida reclamación por la Junta Electoral de Extremadura, y de conformidad con lo preceptuado en el art. 108, apartados 4 y 6, LOREG, la Junta Electoral Provincial de Badajoz procedió el 5 de junio de 2015 a aprobar la proclamación de electos y la Junta Electoral de Extremadura a dar publicidad a través del “Diario Oficial de Extremadura” a los resultados generales, mediante resolución de 8 de junio, en los siguientes términos (“Diario Oficial de Extremadura” núm. 110, de 10 de junio de 2015, págs. 22658 a 22660):</w:t>
      </w:r>
    </w:p>
    <w:p w:rsidR="00AC56D6" w:rsidRDefault="00AC56D6" w:rsidP="00AC56D6">
      <w:pPr>
        <w:pStyle w:val="TextoNormal"/>
      </w:pPr>
    </w:p>
    <w:p w:rsidR="00AC56D6" w:rsidRDefault="00AC56D6" w:rsidP="00AC56D6">
      <w:pPr>
        <w:pStyle w:val="TextoNormal"/>
      </w:pPr>
      <w:r>
        <w:t>“Circunscripción electoral de Badajoz:</w:t>
      </w:r>
    </w:p>
    <w:p w:rsidR="00AC56D6" w:rsidRDefault="00AC56D6" w:rsidP="00AC56D6">
      <w:pPr>
        <w:pStyle w:val="TextoNormal"/>
      </w:pPr>
    </w:p>
    <w:p w:rsidR="00AC56D6" w:rsidRDefault="00AC56D6" w:rsidP="00AC56D6">
      <w:pPr>
        <w:pStyle w:val="TextoNormal"/>
      </w:pPr>
      <w:r>
        <w:t>- núm. de electores: 559.762</w:t>
      </w:r>
    </w:p>
    <w:p w:rsidR="00AC56D6" w:rsidRDefault="00AC56D6" w:rsidP="00AC56D6">
      <w:pPr>
        <w:pStyle w:val="TextoNormal"/>
      </w:pPr>
    </w:p>
    <w:p w:rsidR="00AC56D6" w:rsidRDefault="00AC56D6" w:rsidP="00AC56D6">
      <w:pPr>
        <w:pStyle w:val="TextoNormal"/>
      </w:pPr>
      <w:r>
        <w:t>- núm. de votos a candidaturas: 386.515</w:t>
      </w:r>
    </w:p>
    <w:p w:rsidR="00AC56D6" w:rsidRDefault="00AC56D6" w:rsidP="00AC56D6">
      <w:pPr>
        <w:pStyle w:val="TextoNormal"/>
      </w:pPr>
    </w:p>
    <w:p w:rsidR="00AC56D6" w:rsidRDefault="00AC56D6" w:rsidP="00AC56D6">
      <w:pPr>
        <w:pStyle w:val="TextoNormal"/>
      </w:pPr>
      <w:r>
        <w:t>- núm. de votos válidos: 391.961</w:t>
      </w:r>
    </w:p>
    <w:p w:rsidR="00AC56D6" w:rsidRDefault="00AC56D6" w:rsidP="00AC56D6">
      <w:pPr>
        <w:pStyle w:val="TextoNormal"/>
      </w:pPr>
    </w:p>
    <w:p w:rsidR="00AC56D6" w:rsidRDefault="00AC56D6" w:rsidP="00AC56D6">
      <w:pPr>
        <w:pStyle w:val="TextoNormal"/>
      </w:pPr>
      <w:r>
        <w:t>- núm. de votos nulos: 7.118</w:t>
      </w:r>
    </w:p>
    <w:p w:rsidR="00AC56D6" w:rsidRDefault="00AC56D6" w:rsidP="00AC56D6">
      <w:pPr>
        <w:pStyle w:val="TextoNormal"/>
      </w:pPr>
    </w:p>
    <w:p w:rsidR="00AC56D6" w:rsidRDefault="00AC56D6" w:rsidP="00AC56D6">
      <w:pPr>
        <w:pStyle w:val="TextoNormal"/>
      </w:pPr>
      <w:r>
        <w:t>- núm. de votos en blanco: 5.446</w:t>
      </w:r>
    </w:p>
    <w:p w:rsidR="00AC56D6" w:rsidRDefault="00AC56D6" w:rsidP="00AC56D6">
      <w:pPr>
        <w:pStyle w:val="TextoNormal"/>
      </w:pPr>
    </w:p>
    <w:p w:rsidR="00AC56D6" w:rsidRDefault="00AC56D6" w:rsidP="00AC56D6">
      <w:pPr>
        <w:pStyle w:val="TextoNormal"/>
      </w:pPr>
      <w:r>
        <w:t>La distribución de votos por candidaturas ha sido la siguiente:</w:t>
      </w:r>
    </w:p>
    <w:p w:rsidR="00AC56D6" w:rsidRDefault="00AC56D6" w:rsidP="00AC56D6">
      <w:pPr>
        <w:pStyle w:val="TextoNormal"/>
      </w:pPr>
    </w:p>
    <w:p w:rsidR="00AC56D6" w:rsidRDefault="00AC56D6" w:rsidP="00AC56D6">
      <w:pPr>
        <w:pStyle w:val="TextoNormal"/>
      </w:pPr>
      <w:r>
        <w:t>Candidaturas: votos obtenidos</w:t>
      </w:r>
    </w:p>
    <w:p w:rsidR="00AC56D6" w:rsidRDefault="00AC56D6" w:rsidP="00AC56D6">
      <w:pPr>
        <w:pStyle w:val="TextoNormal"/>
      </w:pPr>
    </w:p>
    <w:p w:rsidR="00AC56D6" w:rsidRDefault="00AC56D6" w:rsidP="00AC56D6">
      <w:pPr>
        <w:pStyle w:val="TextoNormal"/>
      </w:pPr>
      <w:r>
        <w:t>- Partido Popular (PP): 142.147</w:t>
      </w:r>
    </w:p>
    <w:p w:rsidR="00AC56D6" w:rsidRDefault="00AC56D6" w:rsidP="00AC56D6">
      <w:pPr>
        <w:pStyle w:val="TextoNormal"/>
      </w:pPr>
    </w:p>
    <w:p w:rsidR="00AC56D6" w:rsidRDefault="00AC56D6" w:rsidP="00AC56D6">
      <w:pPr>
        <w:pStyle w:val="TextoNormal"/>
      </w:pPr>
      <w:r>
        <w:t>- Partido Socialista Obrero Español-SIEX (PSOE-SIEX): 171.203</w:t>
      </w:r>
    </w:p>
    <w:p w:rsidR="00AC56D6" w:rsidRDefault="00AC56D6" w:rsidP="00AC56D6">
      <w:pPr>
        <w:pStyle w:val="TextoNormal"/>
      </w:pPr>
    </w:p>
    <w:p w:rsidR="00AC56D6" w:rsidRDefault="00AC56D6" w:rsidP="00AC56D6">
      <w:pPr>
        <w:pStyle w:val="TextoNormal"/>
      </w:pPr>
      <w:r>
        <w:t>- Badajoz Adelante: 1.245</w:t>
      </w:r>
    </w:p>
    <w:p w:rsidR="00AC56D6" w:rsidRDefault="00AC56D6" w:rsidP="00AC56D6">
      <w:pPr>
        <w:pStyle w:val="TextoNormal"/>
      </w:pPr>
    </w:p>
    <w:p w:rsidR="00AC56D6" w:rsidRDefault="00AC56D6" w:rsidP="00AC56D6">
      <w:pPr>
        <w:pStyle w:val="TextoNormal"/>
      </w:pPr>
      <w:r>
        <w:t>- Podemos (Podemos): 28.565</w:t>
      </w:r>
    </w:p>
    <w:p w:rsidR="00AC56D6" w:rsidRDefault="00AC56D6" w:rsidP="00AC56D6">
      <w:pPr>
        <w:pStyle w:val="TextoNormal"/>
      </w:pPr>
    </w:p>
    <w:p w:rsidR="00AC56D6" w:rsidRDefault="00AC56D6" w:rsidP="00AC56D6">
      <w:pPr>
        <w:pStyle w:val="TextoNormal"/>
      </w:pPr>
      <w:r>
        <w:t>- Vox (Vox): 1.139</w:t>
      </w:r>
    </w:p>
    <w:p w:rsidR="00AC56D6" w:rsidRDefault="00AC56D6" w:rsidP="00AC56D6">
      <w:pPr>
        <w:pStyle w:val="TextoNormal"/>
      </w:pPr>
    </w:p>
    <w:p w:rsidR="00AC56D6" w:rsidRDefault="00AC56D6" w:rsidP="00AC56D6">
      <w:pPr>
        <w:pStyle w:val="TextoNormal"/>
      </w:pPr>
      <w:r>
        <w:t>- Extremeños “estremeñus” (eX): 3.745</w:t>
      </w:r>
    </w:p>
    <w:p w:rsidR="00AC56D6" w:rsidRDefault="00AC56D6" w:rsidP="00AC56D6">
      <w:pPr>
        <w:pStyle w:val="TextoNormal"/>
      </w:pPr>
    </w:p>
    <w:p w:rsidR="00AC56D6" w:rsidRDefault="00AC56D6" w:rsidP="00AC56D6">
      <w:pPr>
        <w:pStyle w:val="TextoNormal"/>
      </w:pPr>
      <w:r>
        <w:t>- Unión Progreso y Democracia (UPyD): 2.455</w:t>
      </w:r>
    </w:p>
    <w:p w:rsidR="00AC56D6" w:rsidRDefault="00AC56D6" w:rsidP="00AC56D6">
      <w:pPr>
        <w:pStyle w:val="TextoNormal"/>
      </w:pPr>
    </w:p>
    <w:p w:rsidR="00AC56D6" w:rsidRDefault="00AC56D6" w:rsidP="00AC56D6">
      <w:pPr>
        <w:pStyle w:val="TextoNormal"/>
      </w:pPr>
      <w:r>
        <w:t>- Extremadura Unida (Extremadura Unida): 1.063</w:t>
      </w:r>
    </w:p>
    <w:p w:rsidR="00AC56D6" w:rsidRDefault="00AC56D6" w:rsidP="00AC56D6">
      <w:pPr>
        <w:pStyle w:val="TextoNormal"/>
      </w:pPr>
    </w:p>
    <w:p w:rsidR="00AC56D6" w:rsidRDefault="00AC56D6" w:rsidP="00AC56D6">
      <w:pPr>
        <w:pStyle w:val="TextoNormal"/>
      </w:pPr>
      <w:r>
        <w:t>- Ganemos Extremadura-Izquierda Unida-Los Verdes (Ganemos-IU-LV): 18.708</w:t>
      </w:r>
    </w:p>
    <w:p w:rsidR="00AC56D6" w:rsidRDefault="00AC56D6" w:rsidP="00AC56D6">
      <w:pPr>
        <w:pStyle w:val="TextoNormal"/>
      </w:pPr>
    </w:p>
    <w:p w:rsidR="00AC56D6" w:rsidRDefault="00AC56D6" w:rsidP="00AC56D6">
      <w:pPr>
        <w:pStyle w:val="TextoNormal"/>
      </w:pPr>
      <w:r>
        <w:t>- Ciudadanos Partido para la ciudadanía (C’s): 15.447</w:t>
      </w:r>
    </w:p>
    <w:p w:rsidR="00AC56D6" w:rsidRDefault="00AC56D6" w:rsidP="00AC56D6">
      <w:pPr>
        <w:pStyle w:val="TextoNormal"/>
      </w:pPr>
    </w:p>
    <w:p w:rsidR="00AC56D6" w:rsidRDefault="00AC56D6" w:rsidP="00AC56D6">
      <w:pPr>
        <w:pStyle w:val="TextoNormal"/>
      </w:pPr>
      <w:r>
        <w:t>- Adelante Extremadura (A.EX): 798</w:t>
      </w:r>
    </w:p>
    <w:p w:rsidR="00AC56D6" w:rsidRDefault="00AC56D6" w:rsidP="00AC56D6">
      <w:pPr>
        <w:pStyle w:val="TextoNormal"/>
      </w:pPr>
    </w:p>
    <w:p w:rsidR="00AC56D6" w:rsidRDefault="00AC56D6" w:rsidP="00AC56D6">
      <w:pPr>
        <w:pStyle w:val="TextoNormal"/>
      </w:pPr>
      <w:r>
        <w:t>La distribución de los treinta y seis escaños que le corresponden a la circunscripción electoral de Badajoz, es la siguiente:</w:t>
      </w:r>
    </w:p>
    <w:p w:rsidR="00AC56D6" w:rsidRDefault="00AC56D6" w:rsidP="00AC56D6">
      <w:pPr>
        <w:pStyle w:val="TextoNormal"/>
      </w:pPr>
    </w:p>
    <w:p w:rsidR="00AC56D6" w:rsidRDefault="00AC56D6" w:rsidP="00AC56D6">
      <w:pPr>
        <w:pStyle w:val="TextoNormal"/>
      </w:pPr>
      <w:r>
        <w:t>- Partido Popular (PP): 15</w:t>
      </w:r>
    </w:p>
    <w:p w:rsidR="00AC56D6" w:rsidRDefault="00AC56D6" w:rsidP="00AC56D6">
      <w:pPr>
        <w:pStyle w:val="TextoNormal"/>
      </w:pPr>
    </w:p>
    <w:p w:rsidR="00AC56D6" w:rsidRDefault="00AC56D6" w:rsidP="00AC56D6">
      <w:pPr>
        <w:pStyle w:val="TextoNormal"/>
      </w:pPr>
      <w:r>
        <w:t>- Partido Socialista Obrero Español- SIEX (PSOE-SIEX): 18</w:t>
      </w:r>
    </w:p>
    <w:p w:rsidR="00AC56D6" w:rsidRDefault="00AC56D6" w:rsidP="00AC56D6">
      <w:pPr>
        <w:pStyle w:val="TextoNormal"/>
      </w:pPr>
    </w:p>
    <w:p w:rsidR="00AC56D6" w:rsidRDefault="00AC56D6" w:rsidP="00AC56D6">
      <w:pPr>
        <w:pStyle w:val="TextoNormal"/>
      </w:pPr>
      <w:r>
        <w:t>- Podemos (Podemos): 3”</w:t>
      </w:r>
    </w:p>
    <w:p w:rsidR="00AC56D6" w:rsidRDefault="00AC56D6" w:rsidP="00AC56D6">
      <w:pPr>
        <w:pStyle w:val="TextoNormal"/>
      </w:pPr>
    </w:p>
    <w:p w:rsidR="00AC56D6" w:rsidRDefault="00AC56D6" w:rsidP="00AC56D6">
      <w:pPr>
        <w:pStyle w:val="TextoNormal"/>
      </w:pPr>
      <w:r>
        <w:t>j) Contra los citados acuerdos de la Junta Electoral Provincial de Badajoz y de la Junta Electoral de Extremadura desestimando su reclamación contra el acta de escrutinio general la coalición perjudicada interpuso al amparo de los arts. 109 y ss. LOREG recurso contencioso-electoral ante la Sala de lo Contencioso-Administrativo del Tribunal Superior de Justicia de Extremadura, la cual decidió inadmitirlo por Sentencia de 23 de junio de 2015.</w:t>
      </w:r>
    </w:p>
    <w:p w:rsidR="00AC56D6" w:rsidRDefault="00AC56D6" w:rsidP="00AC56D6">
      <w:pPr>
        <w:pStyle w:val="TextoNormal"/>
      </w:pPr>
    </w:p>
    <w:p w:rsidR="00AC56D6" w:rsidRDefault="00AC56D6" w:rsidP="00AC56D6">
      <w:pPr>
        <w:pStyle w:val="TextoNormal"/>
      </w:pPr>
      <w:r>
        <w:t>La razón de decidir de la citada Sentencia se localiza en sus fundamentos jurídicos tercero y cuarto, que dicen:</w:t>
      </w:r>
    </w:p>
    <w:p w:rsidR="00AC56D6" w:rsidRDefault="00AC56D6" w:rsidP="00AC56D6">
      <w:pPr>
        <w:pStyle w:val="TextoNormal"/>
      </w:pPr>
    </w:p>
    <w:p w:rsidR="00AC56D6" w:rsidRDefault="00AC56D6" w:rsidP="00AC56D6">
      <w:pPr>
        <w:pStyle w:val="TextoNormal"/>
      </w:pPr>
      <w:r>
        <w:t>“Tercero.- El hecho de que la cuestión se haya presentado como por problemática en una Junta Electoral de Zona no es suficiente indicio para considerar que se haya planteado en todas, y prueba de ello es que al plantearse en aquella se resolvió inmediatamente, lo que implica un estándar de comportamiento que sería la pauta de plantearse en todas, y teniendo en cuenta que la recurrente si bien podría que no tuviese representantes en determinadas mesas no se dice y es notorio que no debe ser así en ninguna determinada zona electoral.</w:t>
      </w:r>
    </w:p>
    <w:p w:rsidR="00AC56D6" w:rsidRDefault="00AC56D6" w:rsidP="00AC56D6">
      <w:pPr>
        <w:pStyle w:val="TextoNormal"/>
      </w:pPr>
    </w:p>
    <w:p w:rsidR="00AC56D6" w:rsidRDefault="00AC56D6" w:rsidP="00AC56D6">
      <w:pPr>
        <w:pStyle w:val="TextoNormal"/>
      </w:pPr>
      <w:r>
        <w:t>La reclamación que presenta la recurrente sí que es genérica en el sentido de que no excluye la Junta Electoral de Zona de Llerena, ni tampoco aquellas Mesas en que sí disponía de representantes, extendiendo la presunción, entonces menos justificada de la causa en la tinta de los sobres, supuesto sobre el que no se presenta pruebas de que haya resultado problemática en Mesas que sí tenían representantes apoderados.</w:t>
      </w:r>
    </w:p>
    <w:p w:rsidR="00AC56D6" w:rsidRDefault="00AC56D6" w:rsidP="00AC56D6">
      <w:pPr>
        <w:pStyle w:val="TextoNormal"/>
      </w:pPr>
    </w:p>
    <w:p w:rsidR="00AC56D6" w:rsidRDefault="00AC56D6" w:rsidP="00AC56D6">
      <w:pPr>
        <w:pStyle w:val="TextoNormal"/>
      </w:pPr>
      <w:r>
        <w:t xml:space="preserve">Cuarto.- El proceso electoral es un procedimiento administrativo en el que participan una pluralidad diversa de personas, del que igualmente extraditable la presunción de legalidad, que no puede destruirse sobre la base de presunciones inconcretas y genéricas, bajo la premisa de que podían haber acontecido, pero ningún hecho concreto, específico y real se presenta de ello, ya que el recurso se basa en hipótesis, sin olvidar que, igualmente, existen en nuestro ordenamiento jurídico principios en que se asienta nuestra convivencia como el de </w:t>
      </w:r>
      <w:r>
        <w:lastRenderedPageBreak/>
        <w:t>seguridad jurídica, que sin duda inspira el contenido de los artículos 97 y sgts. de la LOREG, debiendo destacarse el contenido del art. 106 de esta norma y las limitaciones que contiene, correctamente observadas por la Junta Electoral Provincial de Badajoz, de forma que la reclamación que ahora se presenta no es admisible según se desprende del art. 108.2 de tal norma, ya que plantea cuestiones que exceden de las reclamaciones admisibles en tal trámite o en cualquier caso no se encuentran debidamente fundadas, ni siquiera indiciaria mente, todo lo cual nos conduce a la inadmisión del recurso interpuesto.”</w:t>
      </w:r>
    </w:p>
    <w:p w:rsidR="00AC56D6" w:rsidRDefault="00AC56D6" w:rsidP="00AC56D6">
      <w:pPr>
        <w:pStyle w:val="TextoNormal"/>
      </w:pPr>
    </w:p>
    <w:p w:rsidR="00AC56D6" w:rsidRDefault="00AC56D6" w:rsidP="00AC56D6">
      <w:pPr>
        <w:pStyle w:val="TextoNormal"/>
      </w:pPr>
      <w:r w:rsidRPr="00AC56D6">
        <w:rPr>
          <w:rStyle w:val="NumeroAFNegritaCaracter"/>
        </w:rPr>
        <w:t>3</w:t>
      </w:r>
      <w:r>
        <w:t>. En la demanda de amparo se imputa a las resoluciones recurridas la vulneración de su derecho a la tutela judicial efectiva (art. 24.1 CE), puesto en relación con el derecho a acceder en condiciones de igualdad a las funciones y cargos públicos con los requisitos que señalen las leyes (art. 23.2 CE).</w:t>
      </w:r>
    </w:p>
    <w:p w:rsidR="00AC56D6" w:rsidRDefault="00AC56D6" w:rsidP="00AC56D6">
      <w:pPr>
        <w:pStyle w:val="TextoNormal"/>
      </w:pPr>
    </w:p>
    <w:p w:rsidR="00AC56D6" w:rsidRDefault="00AC56D6" w:rsidP="00AC56D6">
      <w:pPr>
        <w:pStyle w:val="TextoNormal"/>
      </w:pPr>
      <w:r>
        <w:t>De la relación entre ambos derechos se deduce, en opinión de la parte, que no puede entenderse el recurso contencioso-electoral como un recurso de cognición limitada, como ha hecho la Sala de Extremadura al no acceder a examinar el fondo del asunto con el argumento de que no se habían presentado las oportunas quejas en las mesas electorales. Frente a ello, el art. 108.2 LOREG dispone que “[l]os representantes y apoderados de las candidaturas disponen de un plazo de un día para presentar las reclamaciones y protestas, que sólo podrán referirse a incidencias recogidas en las actas de sesión de las Mesas electorales o en el acta de la sesión de escrutinio de la Junta Electoral”. Por lo tanto, y según la propia Ley, las incidencias acontecidas y recogidas “en el acta de la sesión del escrutinio de la Junta Electoral” también pueden fundamentar un recurso contencioso-electoral. Al no entenderlo así, la Administración electoral y el órgano jurisdiccional implicado vulneraron los referidos derechos fundamentales a acceder a la jurisdicción (art. 24.1 CE) y a acceder a los cargos públicos (art. 23.2 CE).</w:t>
      </w:r>
    </w:p>
    <w:p w:rsidR="00AC56D6" w:rsidRDefault="00AC56D6" w:rsidP="00AC56D6">
      <w:pPr>
        <w:pStyle w:val="TextoNormal"/>
      </w:pPr>
    </w:p>
    <w:p w:rsidR="00AC56D6" w:rsidRDefault="00AC56D6" w:rsidP="00AC56D6">
      <w:pPr>
        <w:pStyle w:val="TextoNormal"/>
      </w:pPr>
      <w:r>
        <w:t>En la demanda se recuerda además que la posición de los órganos jurisdiccionales en esta clase de recursos es distinta a la de la Administración electoral, pues aquéllos actúan con “plena jurisdicción” y no están limitados por lo dispuesto en el art. 106.1 LOREG, como tuvo ocasión de recordar la STC 26/1990. En consecuencia, la interpretación efectuada por la Sala de Extremadura ha impedido averiguar la real voluntad de los electores, contraviniendo así ese fundamental principio consagrado por la jurisprudencia de este Tribunal Constitucional (cita, en este sentido, las SSTC 24/1990, 25/1990, 26/1990 y 131/1990).</w:t>
      </w:r>
    </w:p>
    <w:p w:rsidR="00AC56D6" w:rsidRDefault="00AC56D6" w:rsidP="00AC56D6">
      <w:pPr>
        <w:pStyle w:val="TextoNormal"/>
      </w:pPr>
    </w:p>
    <w:p w:rsidR="00AC56D6" w:rsidRDefault="00AC56D6" w:rsidP="00AC56D6">
      <w:pPr>
        <w:pStyle w:val="TextoNormal"/>
      </w:pPr>
      <w:r>
        <w:t xml:space="preserve">La coalición recurrente critica asimismo la motivación ofrecida por la Administración electoral. El argumento de la necesidad de evitar un retraso en el escrutinio general es, para ella, inexplicable, pues ni se compadece con el tenor del precepto antes citado, ni tampoco con la prescripción de la Ley Orgánica de régimen electoral general que obliga a conservar todos los votos nulos (art. 97), y no solo aquellos respecto de los cuales se han formulado reclamaciones. Esta norma solo puede obedecer al deseo del legislador de que todos esos votos puedan ser revisados con posterioridad al escrutinio de las mesas, conforme al principio de búsqueda de la verdad material en todo proceso electoral. De ahí que la falta de reclamaciones en las mesas solo pueda ser considerada como un indicio de la conformidad con el escrutinio en la mesa, pero que en ningún caso puede comportar la inadmisión de reclamaciones y recursos fundados en argumentos y pruebas que ponen de manifiesto la existencia de una irregularidad, como aquí ha ocurrido. La interpretación contraria supondría exigir a las formaciones políticas contar con interventores y apoderados en todas las </w:t>
      </w:r>
      <w:r>
        <w:lastRenderedPageBreak/>
        <w:t>mesas de cada circunscripción, so pena de impedirles luego plantear queja o reclamación alguna en el acto de escrutinio general.</w:t>
      </w:r>
    </w:p>
    <w:p w:rsidR="00AC56D6" w:rsidRDefault="00AC56D6" w:rsidP="00AC56D6">
      <w:pPr>
        <w:pStyle w:val="TextoNormal"/>
      </w:pPr>
    </w:p>
    <w:p w:rsidR="00AC56D6" w:rsidRDefault="00AC56D6" w:rsidP="00AC56D6">
      <w:pPr>
        <w:pStyle w:val="TextoNormal"/>
      </w:pPr>
      <w:r>
        <w:t>La demanda de amparo termina solicitando a este Tribunal que declare la nulidad de la Sentencia recurrida y resuelva la impugnación imprejuzgada por aquélla respecto a la revisión y validez de los votos nulos objeto de la misma.</w:t>
      </w:r>
    </w:p>
    <w:p w:rsidR="00AC56D6" w:rsidRDefault="00AC56D6" w:rsidP="00AC56D6">
      <w:pPr>
        <w:pStyle w:val="TextoNormal"/>
      </w:pPr>
    </w:p>
    <w:p w:rsidR="00AC56D6" w:rsidRDefault="00AC56D6" w:rsidP="00AC56D6">
      <w:pPr>
        <w:pStyle w:val="TextoNormal"/>
      </w:pPr>
      <w:r w:rsidRPr="00AC56D6">
        <w:rPr>
          <w:rStyle w:val="NumeroAFNegritaCaracter"/>
        </w:rPr>
        <w:t>4</w:t>
      </w:r>
      <w:r>
        <w:t>. Mediante providencia de 1 de julio de 2015 la Sección Cuarta de este Tribunal acordó admitir a trámite el recurso presentado, señalando como causa de especial trascendencia constitucional (art. 50.1 LOTC) la posibilidad de que el caso concreto pudiera tener unas consecuencias políticas generales [STC 155/2009, FJ 2 g)], y acordó, de conformidad con el art. 3 del acuerdo de 20 de enero de 2000 del Pleno del Tribunal Constitucional por el que se aprueban normas sobre tramitación de los recursos de amparo a que se refiere la Ley Orgánica 5/1985, de 19 de junio, del régimen electoral general, recabar de la Sala de lo Contencioso-Administrativo del Tribunal Superior de Justicia de Extremadura el envío urgente de las actuaciones, incluido el expediente electoral, así como el emplazamiento a las partes por parte del referido órgano jurisdiccional, excepto al recurrente en amparo, para que en el pazo de tres días pudieran comparecer ante este Tribunal y formular alegaciones, así como dar vista al Ministerio Fiscal de la demanda presentada para que en el plazo de cinco pudiera formular alegaciones.</w:t>
      </w:r>
    </w:p>
    <w:p w:rsidR="00AC56D6" w:rsidRDefault="00AC56D6" w:rsidP="00AC56D6">
      <w:pPr>
        <w:pStyle w:val="TextoNormal"/>
      </w:pPr>
    </w:p>
    <w:p w:rsidR="00AC56D6" w:rsidRDefault="00AC56D6" w:rsidP="00AC56D6">
      <w:pPr>
        <w:pStyle w:val="TextoNormal"/>
      </w:pPr>
      <w:r w:rsidRPr="00AC56D6">
        <w:rPr>
          <w:rStyle w:val="NumeroAFNegritaCaracter"/>
        </w:rPr>
        <w:t>5</w:t>
      </w:r>
      <w:r>
        <w:t>. El Partido Socialista Obrero Español (PSOE), que había comparecido como parte codemandada en el previo proceso contencioso-electoral, compareció ante este Tribunal y presentó sus alegaciones por escrito registrado el 6 de julio de 2015.</w:t>
      </w:r>
    </w:p>
    <w:p w:rsidR="00AC56D6" w:rsidRDefault="00AC56D6" w:rsidP="00AC56D6">
      <w:pPr>
        <w:pStyle w:val="TextoNormal"/>
      </w:pPr>
    </w:p>
    <w:p w:rsidR="00AC56D6" w:rsidRDefault="00AC56D6" w:rsidP="00AC56D6">
      <w:pPr>
        <w:pStyle w:val="TextoNormal"/>
      </w:pPr>
      <w:r>
        <w:t>a) En ellas, comienza solicitando la inadmisión del amparo por no haber cumplido el recurrente la carga exigida por el art. 44.1 c) LOTC, al no invocar en la vía judicial previa los arts. 24.1 y 23.2 que ahora dice vulnerados.</w:t>
      </w:r>
    </w:p>
    <w:p w:rsidR="00AC56D6" w:rsidRDefault="00AC56D6" w:rsidP="00AC56D6">
      <w:pPr>
        <w:pStyle w:val="TextoNormal"/>
      </w:pPr>
    </w:p>
    <w:p w:rsidR="00AC56D6" w:rsidRDefault="00AC56D6" w:rsidP="00AC56D6">
      <w:pPr>
        <w:pStyle w:val="TextoNormal"/>
      </w:pPr>
      <w:r>
        <w:t>b) Subsidiariamente, para el caso de que este Tribunal desestime dicha causa de inadmisión, solicita la desestimación del amparo por las siguientes razones. En primer lugar, porque estamos ante una pretensión sin hecho que la sustente, basada en una sospecha, una especulación, unas reflexiones o juicios de valor dimanantes de una estadística, y un proceso electoral no puede invalidarse sobre la base de presunciones tan genéricas. Y en segundo lugar, porque nadie puede beneficiarse de su propia torpeza, y todo este proceso principia, dice, por un error del recurrente, que confundió el color de la tinta en los sobres que confeccionó y remitió a los ciudadanos censados.</w:t>
      </w:r>
    </w:p>
    <w:p w:rsidR="00AC56D6" w:rsidRDefault="00AC56D6" w:rsidP="00AC56D6">
      <w:pPr>
        <w:pStyle w:val="TextoNormal"/>
      </w:pPr>
    </w:p>
    <w:p w:rsidR="00AC56D6" w:rsidRDefault="00AC56D6" w:rsidP="00AC56D6">
      <w:pPr>
        <w:pStyle w:val="TextoNormal"/>
      </w:pPr>
      <w:r>
        <w:t xml:space="preserve">Sobre estas dos premisas giran todos los demás argumentos de su escrito de alegaciones. Se remite, para apoyarlos, a los razonamientos empleados por las Juntas electorales implicadas y por la Sala de lo Contencioso-Administrativo del Tribunal Superior de Justicia de Extremadura en las resoluciones recurridas, y destaca: (i) que la polémica surge en la Junta Electoral de Zona de Llerena, y no en ninguna otra; (ii) que el hecho de que la cuestión se haya presentado como problemática en una junta de zona no es suficiente para extenderlo a todas; (iii) además, no existe ninguna referencia a que haya existido un solo voto anulado por esta circunstancia; (iv) por lo que respecta a las mesas, aun aceptando que la coalición recurrente no tuviera apoderados en todas las mesas, tampoco acredita en cuáles no disponía de representantes, para centrar en ellas la cuestión litigiosa; (v) de todas formas, tampoco </w:t>
      </w:r>
      <w:r>
        <w:lastRenderedPageBreak/>
        <w:t>es problema de la Administración electoral ni del resto de candidaturas concurrentes que la aquí recurrente no tuviera representantes en todas las mesas: la responsabilidad es exclusivamente de la candidatura recurrente. Además (vi) la pretensión, en sí, contiene un exceso, examinar todos los votos nulos de todas las mesas, que por tal motivo no puede ser acogida, no siendo en cualquier caso admisible conforme al art. 108.2 LOREG, sino que (vii) de acuerdo con lo dispuesto en esta ley, la mencionada comprobación debió hacerse en el momento procesal oportuno, esto es, en el escrutinio de las mesas, y sin embargo en ninguna de las actas de la totalidad de las mesas de la circunscripción, dice el escrito de alegaciones, aparece protesta o reclamación alguna por algún interventor o apoderado de la formación por este motivo. Y por último (viii) la admisión de esa reclamación generaría una vulneración del principio de igualdad de trato respecto al resto de formaciones que participaron en el citado proceso electoral.</w:t>
      </w:r>
    </w:p>
    <w:p w:rsidR="00AC56D6" w:rsidRDefault="00AC56D6" w:rsidP="00AC56D6">
      <w:pPr>
        <w:pStyle w:val="TextoNormal"/>
      </w:pPr>
    </w:p>
    <w:p w:rsidR="00AC56D6" w:rsidRDefault="00AC56D6" w:rsidP="00AC56D6">
      <w:pPr>
        <w:pStyle w:val="TextoNormal"/>
      </w:pPr>
      <w:r>
        <w:t>Por todo ello, termina solicitando a este Tribunal que inadmita o, subsidiariamente, desestime el presente recurso de amparo electoral interpuesto por Ganemos-Izquierda Unida-Los Verdes.</w:t>
      </w:r>
    </w:p>
    <w:p w:rsidR="00AC56D6" w:rsidRDefault="00AC56D6" w:rsidP="00AC56D6">
      <w:pPr>
        <w:pStyle w:val="TextoNormal"/>
      </w:pPr>
    </w:p>
    <w:p w:rsidR="00AC56D6" w:rsidRDefault="00AC56D6" w:rsidP="00AC56D6">
      <w:pPr>
        <w:pStyle w:val="TextoNormal"/>
      </w:pPr>
      <w:r w:rsidRPr="00AC56D6">
        <w:rPr>
          <w:rStyle w:val="NumeroAFNegritaCaracter"/>
        </w:rPr>
        <w:t>6</w:t>
      </w:r>
      <w:r>
        <w:t>. El Fiscal presentó sus alegaciones por escrito registrado el 7 de julio de 2015 ante este Tribunal. En ellas, tras hacer un resumen de los hechos que han motivado el presente amparo electoral, hace especial énfasis en que la coalición recurrente obtuvo en las elecciones al Parlamento de Extremadura un porcentaje de votos del 4,24 por 100, y que, según ella, de haber obtenido 900 votos más hubiera alcanzado el 5 por 100 que le habría permitido entrar en el reparto de escaños y contar con representación en el citado Parlamento autonómico. La toma en consideración de esos dos datos es lo que conduce al Fiscal a solicitar la desestimación del amparo, como luego se verá. Pero antes examina la denuncia de vulneración del derecho a la tutela judicial efectiva, en su vertiente de acceso a la jurisdicción, que la coalición recurrente en amparo imputa a la Sentencia de la Sala de lo Contencioso-Administrativo del Tribunal Superior de Justicia de Extremadura, concluyendo que ha existido vulneración.</w:t>
      </w:r>
    </w:p>
    <w:p w:rsidR="00AC56D6" w:rsidRDefault="00AC56D6" w:rsidP="00AC56D6">
      <w:pPr>
        <w:pStyle w:val="TextoNormal"/>
      </w:pPr>
    </w:p>
    <w:p w:rsidR="00AC56D6" w:rsidRDefault="00AC56D6" w:rsidP="00AC56D6">
      <w:pPr>
        <w:pStyle w:val="TextoNormal"/>
      </w:pPr>
      <w:r>
        <w:t>Recuerda que el derecho a la tutela judicial efectiva del art. 24.1 CE se respeta también con una resolución de inadmisión en aplicación de una causa prevista legalmente y debidamente aplicada por el órgano jurisdiccional. No obstante, tratándose de salvaguardar el acceso al proceso, compete a este Tribunal Constitucional controlar no solo que esa decisión no es arbitraria, irrazonable o incurre en error patente, sino también que no se trata de una decisión desproporcionada que incurre en un rigorismo o formalismo excesivo. Para ello deben ponderarse, por una parte, los fines que ha de preservar la resolución cuestionada y, por otra, los intereses que con ella se sacrifican. Cita en este sentido, como exponentes de esa doctrina general, las SSTC 6/2008, 110/2008 y 5/2009. Pero en este caso, al tratarse de un proceso contencioso-electoral resulta aplicable, además, la doctrina conforme a la cual la interpretación de la ley electoral ha de efectuarse de la manera más favorable a la plena eficacia de los derechos fundamentales implicados, contenida en las SSTC 169/1987, 79/1989 y 24/1990, que cita.</w:t>
      </w:r>
    </w:p>
    <w:p w:rsidR="00AC56D6" w:rsidRDefault="00AC56D6" w:rsidP="00AC56D6">
      <w:pPr>
        <w:pStyle w:val="TextoNormal"/>
      </w:pPr>
    </w:p>
    <w:p w:rsidR="00AC56D6" w:rsidRDefault="00AC56D6" w:rsidP="00AC56D6">
      <w:pPr>
        <w:pStyle w:val="TextoNormal"/>
      </w:pPr>
      <w:r>
        <w:t xml:space="preserve">Pasando ahora a considerar si la decisión de inadmisión del órgano jurisdiccional respetó o no ese derecho de acceso a la jurisdicción, en los términos que han quedado señalados, concluye que no ha sido así y que por consiguiente se ha producido la vulneración del citado art. 24.1 CE. Para llegar a esta conclusión trae a colación lo razonado y resuelto en la STC </w:t>
      </w:r>
      <w:r>
        <w:lastRenderedPageBreak/>
        <w:t>159/1991, de 15 de julio. Considera que la coalición recurrente sí actuó con toda la diligencia que le era exigible (criterio valorado por la citada STC 159/1991), pues el mismo día de las elecciones denunció las irregularidades ocurridas en la Junta Electoral de Zona de Llerena y consiguió que las Juntas Electorales de Badajoz y Extremadura validaran los sobres con tinta azul en lugar de negra. En el acto del escrutinio general denunció igualmente la posible anulación de votos válidos por este motivo, aportando además prueba tendente a acreditar, al menos indiciariamente, la posibilidad de haberse producido anulaciones por esta razón; y lo hizo circunscribiendo y delimitando perfectamente su petición, especificando su objeto (consulta de los sobres número 1), las mesas implicadas (incluidas en un listado) y el motivo de esa reclamación (la posible nulidad ya indicada). Teniendo en cuenta la doctrina de la antes citada STC 159/1991, el art. 108.2 LOREG no pudo ni debió limitar las facultades de revisión del órgano jurisdiccional. Además, considera igualmente injustificado el razonamiento subsidiario de la Sentencia, según el cual la petición se había presentado basada en simples sospechas y huérfana de toda prueba, pues considera que la coalición recurrente —como ya ha quedado señalado— sí había aportado indicios de haberse producido la discutida anulación; además, propuso prueba al efecto en el proceso contencioso-electoral, que no fue admitida sin embargo por la Sala. Y por último, resalta que la operación de control solicitada no era dificultosa, como demuestra el hecho de que se hiciera por la Junta Electoral Provincial de Cáceres sin problema alguno y sin provocar ninguna clase de reclamación.</w:t>
      </w:r>
    </w:p>
    <w:p w:rsidR="00AC56D6" w:rsidRDefault="00AC56D6" w:rsidP="00AC56D6">
      <w:pPr>
        <w:pStyle w:val="TextoNormal"/>
      </w:pPr>
    </w:p>
    <w:p w:rsidR="00AC56D6" w:rsidRDefault="00AC56D6" w:rsidP="00AC56D6">
      <w:pPr>
        <w:pStyle w:val="TextoNormal"/>
      </w:pPr>
      <w:r>
        <w:t>Por todo ello concluye que la resolución de inadmisión del recurso contencioso-electoral adoptada por el órgano jurisdiccional sacrificó de modo indebido el interés de la coalición Ganemos-Izquierda Unida-Los Verdes no solo en lo relativo a obtener una resolución de fondo sobre la pretensión ejercitada sino también en lo relativo a una eventual estimación de sus legítimas aspiraciones a conocer la verdad material del proceso electoral que se acababa de desarrollar, sin que frente a ello pudiera prevalecer la presunción de legalidad del proceso electoral que parece hallarse en el núcleo último del razonamiento de la Sentencia. Le parece, en definitiva, que el órgano jurisdiccional ha realizado una interpretación del art. 108.2 LOREG en exceso formalista y no respetuosa con el derecho fundamental a la tutela judicial efectiva.</w:t>
      </w:r>
    </w:p>
    <w:p w:rsidR="00AC56D6" w:rsidRDefault="00AC56D6" w:rsidP="00AC56D6">
      <w:pPr>
        <w:pStyle w:val="TextoNormal"/>
      </w:pPr>
    </w:p>
    <w:p w:rsidR="00AC56D6" w:rsidRDefault="00AC56D6" w:rsidP="00AC56D6">
      <w:pPr>
        <w:pStyle w:val="TextoNormal"/>
      </w:pPr>
      <w:r>
        <w:t>Sin embargo, puntualiza el Fiscal, esta vulneración no debe llevar automáticamente a estimar el recurso y otorgar el amparo solicitado, con retroacción de actuaciones para que el órgano jurisdiccional dicte otra resolución respetuosa con el derecho fundamental vulnerado. Por el contrario: la perentoriedad y las peculiaridades del proceso electoral justifican una solución diferente. Para ello, hay que partir de los principios de conservación de los actos electorales válidamente celebrados y de proporcionalidad, consagrados por la jurisprudencia de este Tribunal (cita la STC 105/2012, de 11 de mayo, FJ 7). Por ello, hay que resolver si una eventual estimación de la pretensión deducida en esta vía de amparo con fundamento en el verdadero derecho sustantivo alegado, el del art. 23.2 CE, tendría algún efecto sobre el resultado electoral.</w:t>
      </w:r>
    </w:p>
    <w:p w:rsidR="00AC56D6" w:rsidRDefault="00AC56D6" w:rsidP="00AC56D6">
      <w:pPr>
        <w:pStyle w:val="TextoNormal"/>
      </w:pPr>
    </w:p>
    <w:p w:rsidR="00AC56D6" w:rsidRDefault="00AC56D6" w:rsidP="00AC56D6">
      <w:pPr>
        <w:pStyle w:val="TextoNormal"/>
      </w:pPr>
      <w:r>
        <w:t xml:space="preserve">Es aquí donde el Fiscal recuerda los dos datos antes citados. Y los utiliza para examinar, desde una perspectiva de probabilidad estadística, si una eventual estimación de este amparo electoral podría tener algún efecto sobre el resultado electoral. Y concluye que no, razonando del siguiente modo: si en la provincia de Badajoz fueron emitidos un total de 391.961 votos válidos, de los cuales 18.708 correspondieron a la coalición ahora recurrente, ello </w:t>
      </w:r>
      <w:r>
        <w:lastRenderedPageBreak/>
        <w:t>significa que obtuvo un porcentaje de voto válido de un 4,77 por 100. Razones de lógica llevan a pensar que esa coalición debería tener sobre la totalidad del voto nulo computado en la misma provincia (7.118 votos) un porcentaje similar, esto es, un 4,77 por 100. Pues bien, la aplicación de ese porcentaje sobre el total de votos nulos arroja un resultado de unos 340 votos, pero como dicha coalición reconoce que le faltaron unos 900 votos para alcanzar el umbral del 5 por 100 a partir del cual las candidaturas son tomadas en consideración para el reparto de escaños, le parece concluyente que en ningún caso la estimación de la pretensión podría alterar el resultado electoral.</w:t>
      </w:r>
    </w:p>
    <w:p w:rsidR="00AC56D6" w:rsidRDefault="00AC56D6" w:rsidP="00AC56D6">
      <w:pPr>
        <w:pStyle w:val="TextoNormal"/>
      </w:pPr>
    </w:p>
    <w:p w:rsidR="00AC56D6" w:rsidRDefault="00AC56D6" w:rsidP="00AC56D6">
      <w:pPr>
        <w:pStyle w:val="TextoNormal"/>
      </w:pPr>
      <w:r>
        <w:t>En definitiva, sin necesidad de entrar en otras consideraciones, solicita la desestimación del presente amparo por aplicación de los principios de conservación de los actos electorales válidamente celebrados y de proporcionalidad.</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Constituye el objeto del presente amparo resolver si la decisión de los poderes públicos de no atender la solicitud planteada por la coalición electoral recurrente ante la Junta Electoral Provincial de Badajoz en el acto de escrutinio general, interesando que se le permitiera examinar y revisar la totalidad de los votos nulos de la circunscripción electoral incluidos en los primeros sobres remitidos por cada mesa, para comprobar así si alguno de ellos había sido anulado por un defecto de tintada en los sobres que había sido advertido por la Junta Electoral de Zona de Llerena el mismo día de las elecciones al Parlamento de Extremadura, decisión tomada inicialmente por la propia Junta Electoral Provincial, confirmada luego por la Junta Electoral de Extremadura [art. 108.3 de la Ley Orgánica de régimen electoral general (LOREG)], y finalmente no anulada, en cuanto que inadmitió el recurso contencioso-electoral deducido contra aquélla, por la Sala de lo Contencioso-Administrativo del Tribunal Superior de Justicia de Extremadura, es o no respetuosa con el derecho fundamental a acceder a los cargos públicos con los requisitos que señalen las leyes reconocido en el art. 23.2 CE.</w:t>
      </w:r>
    </w:p>
    <w:p w:rsidR="00AC56D6" w:rsidRDefault="00AC56D6" w:rsidP="00AC56D6">
      <w:pPr>
        <w:pStyle w:val="TextoNormal"/>
      </w:pPr>
    </w:p>
    <w:p w:rsidR="00AC56D6" w:rsidRDefault="00AC56D6" w:rsidP="00AC56D6">
      <w:pPr>
        <w:pStyle w:val="TextoNormal"/>
      </w:pPr>
      <w:r>
        <w:t>Igualmente conforma el objeto de este amparo electoral revisar la resolución jurisdiccional de inadmisión del recurso contencioso-electoral desde la perspectiva del derecho a la tutela judicial efectiva del art. 24.1 CE, en su vertiente de acceso a la jurisdicción, cuya vulneración denuncia asimismo la recurrente en su demanda de amparo.</w:t>
      </w:r>
    </w:p>
    <w:p w:rsidR="00AC56D6" w:rsidRDefault="00AC56D6" w:rsidP="00AC56D6">
      <w:pPr>
        <w:pStyle w:val="TextoNormal"/>
      </w:pPr>
    </w:p>
    <w:p w:rsidR="00AC56D6" w:rsidRDefault="00AC56D6" w:rsidP="00AC56D6">
      <w:pPr>
        <w:pStyle w:val="TextoNormal"/>
      </w:pPr>
      <w:r w:rsidRPr="00AC56D6">
        <w:rPr>
          <w:rStyle w:val="NumeroAFNegritaCaracter"/>
        </w:rPr>
        <w:t>2</w:t>
      </w:r>
      <w:r>
        <w:t>. Antes de adentrarnos en examen de este tema de fondo del recurso, procede examinar si concurren todos los presupuestos procesales que permiten acceder a él.</w:t>
      </w:r>
    </w:p>
    <w:p w:rsidR="00AC56D6" w:rsidRDefault="00AC56D6" w:rsidP="00AC56D6">
      <w:pPr>
        <w:pStyle w:val="TextoNormal"/>
      </w:pPr>
    </w:p>
    <w:p w:rsidR="00AC56D6" w:rsidRDefault="00AC56D6" w:rsidP="00AC56D6">
      <w:pPr>
        <w:pStyle w:val="TextoNormal"/>
      </w:pPr>
      <w:r>
        <w:t>a) Tal y como ya se anunció en la providencia de admisión, la circunstancia que justifica la especial trascendencia constitucional de este recurso como presupuesto para su admisión [art. 50.1 b) de la Ley Orgánica del Tribunal Constitucional (LOTC)] es la trascendencia del caso concreto por las “consecuencias políticas generales” que puede tener la reclamación efectuada por la actora [STC 155/2009, de 25 de junio, FJ 2] ante la posibilidad, nunca descartada en los actos objeto de este amparo, de que la misma comporte una alteración en la composición del Parlamento extremeño.</w:t>
      </w:r>
    </w:p>
    <w:p w:rsidR="00AC56D6" w:rsidRDefault="00AC56D6" w:rsidP="00AC56D6">
      <w:pPr>
        <w:pStyle w:val="TextoNormal"/>
      </w:pPr>
    </w:p>
    <w:p w:rsidR="00AC56D6" w:rsidRDefault="00AC56D6" w:rsidP="00AC56D6">
      <w:pPr>
        <w:pStyle w:val="TextoNormal"/>
      </w:pPr>
      <w:r>
        <w:lastRenderedPageBreak/>
        <w:t>b) Una de las partes intervinientes — el Partido Socialista Obrero Español (PSOE)— ha cuestionado además, expresamente, la admisibilidad del presente recurso de amparo electoral por haber incumplido el recurrente el requisito de la temprana invocación de los derechos que se consideran lesionados establecido en el art. 44.1 c) LOTC, al no haber invocado la candidatura recurrente en sus reclamaciones y recursos anteriores los derechos fundamentales que ahora, en este amparo, reputa vulnerados.</w:t>
      </w:r>
    </w:p>
    <w:p w:rsidR="00AC56D6" w:rsidRDefault="00AC56D6" w:rsidP="00AC56D6">
      <w:pPr>
        <w:pStyle w:val="TextoNormal"/>
      </w:pPr>
    </w:p>
    <w:p w:rsidR="00AC56D6" w:rsidRDefault="00AC56D6" w:rsidP="00AC56D6">
      <w:pPr>
        <w:pStyle w:val="TextoNormal"/>
      </w:pPr>
      <w:r>
        <w:t>Dos circunstancias impiden estimar esta excepción.</w:t>
      </w:r>
    </w:p>
    <w:p w:rsidR="00AC56D6" w:rsidRDefault="00AC56D6" w:rsidP="00AC56D6">
      <w:pPr>
        <w:pStyle w:val="TextoNormal"/>
      </w:pPr>
    </w:p>
    <w:p w:rsidR="00AC56D6" w:rsidRDefault="00AC56D6" w:rsidP="00AC56D6">
      <w:pPr>
        <w:pStyle w:val="TextoNormal"/>
      </w:pPr>
      <w:r>
        <w:t>En primer lugar, por lo que respecta a la queja de vulneración del art. 24.1 CE (derecho a la tutela judicial efectiva, en su vertiente de acceso a la jurisdicción), es una queja que la actora imputa, lógicamente, solo a la sentencia dictada por la Sala de lo Contencioso-Administrativo del Tribunal Superior de Justicia de Extremadura que inadmitió el recurso contencioso-electoral, y no a las previas resoluciones de la Administración electoral, pues únicamente aquella resolución judicial pudo ocasionar esa lesión. Precisamente por ello, es incuestionable que esta queja la hizo la parte de manera tempestiva, tan pronto como se produjo, esto es, en el recurso de amparo interpuesto contra la referida Sentencia del orden jurisdiccional contencioso-administrativo. Si tenemos cuenta además que en los amparos electorales no es exigible la interposición de incidente de nulidad de actuaciones, como recuerda, por todas, la STC 106/2007, de 10 de mayo, FJ 3, de todo ello resulta que la invocación intempestiva denunciada por la parte codemandada debe ser, como antes avanzamos, rechazada (en el mismo sentido, véanse las STC 25/1990, de 19 de febrero, FJ 2, y 27/1990, de 22 de febrero, FJ 1).</w:t>
      </w:r>
    </w:p>
    <w:p w:rsidR="00AC56D6" w:rsidRDefault="00AC56D6" w:rsidP="00AC56D6">
      <w:pPr>
        <w:pStyle w:val="TextoNormal"/>
      </w:pPr>
    </w:p>
    <w:p w:rsidR="00AC56D6" w:rsidRDefault="00AC56D6" w:rsidP="00AC56D6">
      <w:pPr>
        <w:pStyle w:val="TextoNormal"/>
      </w:pPr>
      <w:r>
        <w:t xml:space="preserve">En segundo lugar, en cuanto a la posible vulneración del art. 23.2 CE originada ya por los acuerdos de las Juntas Electorales objeto de ese recurso contencioso-electoral posteriormente inadmitido, y que resulta necesario agotar para acceder al amparo constitucional conforme a los arts. 43.2 LOTC y 114.2 LOREG, la causa de inadmisibilidad alegada debe ser igualmente rechazada en atención a la conocida doctrina de este Tribunal según la cual no es necesaria la cita expresa, por su nombre o por el número del precepto, del derecho fundamental luego invocado en amparo, ya que lo esencial no es el empleo de una fórmula rituaria en los recursos jurisdiccionales previos a este amparo, sino el hecho de que se mantenga la identidad de la queja suscitada ante los órganos jurisdiccionales y ante este Tribunal Constitucional de modo que se haya dado así a los primeros la oportunidad de reparar esa supuesta lesión preservando, en todo caso, el carácter subsidiario del amparo, que es el objeto y fin del art. 44.1 c) de nuestra Ley orgánica reguladora (entre las más recientes, STC 117/2014, de 8 de julio, FJ 3, y las que allí se citan; y específicamente en un amparo electoral, por todas, véase la STC 71/1995, de 11 de mayo, FJ 1). Pues bien, en este caso, como puede fácilmente comprobarse, esa identidad en la queja se mantiene en la medida en que la queja de la coalición electoral Ganemos-Izquierda Unida-Los Verdes, en su sustrato, es siempre la misma: que no se le ha permitido examinar los votos nulos de la circunscripción para comprobar las causas de su anulación, buscando una concreta (el defecto de tintada antes señalado), derecho éste que en esta vía constitucional la parte pretende derivar directamente del art. 23.2 CE, y no solo de la legalidad ordinaria [pues de otro modo no tendría sentido la interposición del presente recurso de amparo, que solo procede por la vulneración de los derechos fundamentales: arts. 53.2 y 161.1 b) CE]. En consecuencia, teniendo en cuenta además que según ha dicho ya este Tribunal “el sentido institucional del recurso contencioso-electoral hace que los Tribunales ordinarios tengan presente usualmente, pese </w:t>
      </w:r>
      <w:r>
        <w:lastRenderedPageBreak/>
        <w:t>a las imprecisiones de los recurrentes, la posible relevancia constitucional de las quejas que se formulan” (SSTC 160/1989, de 10 de octubre, FJ 1, y 107/1991, de 13 de mayo, FJ 1), la causa de inadmisibilidad opuesta por la representación del PSOE debe ser igualmente desestimada en cuanto a este segundo motivo.</w:t>
      </w:r>
    </w:p>
    <w:p w:rsidR="00AC56D6" w:rsidRDefault="00AC56D6" w:rsidP="00AC56D6">
      <w:pPr>
        <w:pStyle w:val="TextoNormal"/>
      </w:pPr>
    </w:p>
    <w:p w:rsidR="00AC56D6" w:rsidRDefault="00AC56D6" w:rsidP="00AC56D6">
      <w:pPr>
        <w:pStyle w:val="TextoNormal"/>
      </w:pPr>
      <w:r>
        <w:t>Queda expedito, pues, el examen del fondo del recurso.</w:t>
      </w:r>
    </w:p>
    <w:p w:rsidR="00AC56D6" w:rsidRDefault="00AC56D6" w:rsidP="00AC56D6">
      <w:pPr>
        <w:pStyle w:val="TextoNormal"/>
      </w:pPr>
    </w:p>
    <w:p w:rsidR="00AC56D6" w:rsidRDefault="00AC56D6" w:rsidP="00AC56D6">
      <w:pPr>
        <w:pStyle w:val="TextoNormal"/>
      </w:pPr>
      <w:r w:rsidRPr="00AC56D6">
        <w:rPr>
          <w:rStyle w:val="NumeroAFNegritaCaracter"/>
        </w:rPr>
        <w:t>3</w:t>
      </w:r>
      <w:r>
        <w:t>. En esta tarea, resulta prioritario analizar la denuncia de vulneración del derecho a la tutela judicial efectiva (art. 24.1 CE) en su vertiente de derecho de acceso a la jurisdicción que se imputa a la Sentencia de la Sala de lo Contencioso-Administrativo del Tribunal Superior de Justicia de Extremadura, por si la desestimación de este primer motivo, al confirmar la decisión de inadmitir el recurso contencioso-electoral deducido contra los actos administrativos objeto de ese proceso, pudiera hacer innecesario el examen del segundo motivo de amparo, sobre la supuesta vulneración del art. 23.2 CE.</w:t>
      </w:r>
    </w:p>
    <w:p w:rsidR="00AC56D6" w:rsidRDefault="00AC56D6" w:rsidP="00AC56D6">
      <w:pPr>
        <w:pStyle w:val="TextoNormal"/>
      </w:pPr>
    </w:p>
    <w:p w:rsidR="00AC56D6" w:rsidRDefault="00AC56D6" w:rsidP="00AC56D6">
      <w:pPr>
        <w:pStyle w:val="TextoNormal"/>
      </w:pPr>
      <w:r>
        <w:t>De la fundamentación de la citada Sentencia, transcrita en el antecedente 2 j) de esta resolución, se deduce que la causa de inadmisibilidad del recurso contencioso-electoral aplicada por la Sala fue la de acto firme y consentido resultante de los arts. 69 c) y 25.1 de la Ley 29/1998, de 13 de julio, reguladora de la jurisdicción contencioso-administrativa, a la que remiten los arts. 113.2 a) y 116.2 LOREG, por no haber agotado la candidatura recurrente la vía administrativa previa al no haber efectuado reclamación o protesta alguna en el acto de escrutinio ante las mesas, como prevé el art. 97.2 LOREG. A su juicio, el trámite posterior del escrutinio general no permitía hacer esa clase de reclamación, de conformidad con los arts. 106 y 108.2 LOREG, citados ambos en el fundamento jurídico cuarto de la Sentencia recurrida.</w:t>
      </w:r>
    </w:p>
    <w:p w:rsidR="00AC56D6" w:rsidRDefault="00AC56D6" w:rsidP="00AC56D6">
      <w:pPr>
        <w:pStyle w:val="TextoNormal"/>
      </w:pPr>
    </w:p>
    <w:p w:rsidR="00AC56D6" w:rsidRDefault="00AC56D6" w:rsidP="00AC56D6">
      <w:pPr>
        <w:pStyle w:val="TextoNormal"/>
      </w:pPr>
      <w:r>
        <w:t>El motivo debe ser estimado, pues esta interpretación ha sido considerada contraria a los arts. 24.1 y 23.2 CE por la doctrina de este Tribunal.</w:t>
      </w:r>
    </w:p>
    <w:p w:rsidR="00AC56D6" w:rsidRDefault="00AC56D6" w:rsidP="00AC56D6">
      <w:pPr>
        <w:pStyle w:val="TextoNormal"/>
      </w:pPr>
    </w:p>
    <w:p w:rsidR="00AC56D6" w:rsidRDefault="00AC56D6" w:rsidP="00AC56D6">
      <w:pPr>
        <w:pStyle w:val="TextoNormal"/>
      </w:pPr>
      <w:r>
        <w:t>En efecto, este Tribunal ya ha admitido que las quejas que pudieron efectuarse en aquel trámite inicial, pero que sin embargo se hicieron posteriormente en el acto de escrutinio general al amparo del art. 108.2 LOREG, deben ser igualmente examinadas, negando así la imposición de un “rígido principio de preclusividad” al primer trámite señalado. Así lo hemos dicho, expresamente, en los casos de las SSTC 157/1991, de 15 de julio (FJ 4); 115/1995, de 10 de julio (FJ 4), y 169/2007, de 18 de julio (FJ 2), haciendo una interpretación del art. 108.2 LOREG “más favorable a la eficacia, tanto del derecho a obtener la tutela judicial efectiva como del derecho material cuya protección se instaba; el derecho a acceder en condiciones de igualdad a las funciones y cargos públicos” (STC 157/1991, FJ 4), y recordando además que no existe obligación legal alguna de presencia de representantes de las candidaturas en las mesas (misma Sentencia y fundamento).</w:t>
      </w:r>
    </w:p>
    <w:p w:rsidR="00AC56D6" w:rsidRDefault="00AC56D6" w:rsidP="00AC56D6">
      <w:pPr>
        <w:pStyle w:val="TextoNormal"/>
      </w:pPr>
    </w:p>
    <w:p w:rsidR="00AC56D6" w:rsidRDefault="00AC56D6" w:rsidP="00AC56D6">
      <w:pPr>
        <w:pStyle w:val="TextoNormal"/>
      </w:pPr>
      <w:r>
        <w:t>Siendo lesiva del art. 24.1 CE, por lo dicho, la decisión del Tribunal Superior de Justicia de Extremadura de inadmitir el recurso contencioso-electoral, resulta igualmente obligado examinar el segundo motivo del recurso en la medida en que también se nos pide la tutela del art. 23.2 CE frente a la decisión de las Juntas Electorales de Badajoz y Extremadura (así, entre otras, SSTC 167/2007, de 18 de julio, FJ 4, y 155/2003, de 21 de julio, FJ 6).</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4</w:t>
      </w:r>
      <w:r>
        <w:t>. De lo dicho hasta aquí resulta entonces que el núcleo de la controversia radica en resolver si asistía o no a la candidatura recurrente —o lo que es lo mismo: si existe— el derecho a revisar y examinar en el acto de escrutinio general los votos nulos unidos al acta original de sesión de cada mesa electoral (art. 97.3 LOREG); unos votos que se incluyen en el primer sobre de los tres que componen la documentación electoral (cfr. art. 100 LOREG) y que se remite tras ese escrutinio de la mesa a la junta electoral provincial para el acto de escrutinio general, conforme determinan los arts. 100.2 y 101.1 LOREG.</w:t>
      </w:r>
    </w:p>
    <w:p w:rsidR="00AC56D6" w:rsidRDefault="00AC56D6" w:rsidP="00AC56D6">
      <w:pPr>
        <w:pStyle w:val="TextoNormal"/>
      </w:pPr>
    </w:p>
    <w:p w:rsidR="00AC56D6" w:rsidRDefault="00AC56D6" w:rsidP="00AC56D6">
      <w:pPr>
        <w:pStyle w:val="TextoNormal"/>
      </w:pPr>
      <w:r>
        <w:t>La candidatura recurrente entiende que sí, que tenía —y tiene— ese derecho a acceder y revisar esos votos nulos, todos los de la circunscripción, para comprobar así si alguno de ellos había sido anulado por las mesas como consecuencia del defecto de tinta antes señalado, y que a su juicio no puede determinar la nulidad del voto conforme al art. 96 LOREG, pues solo de este modo podría luego impugnar la validez de esos votos anulados, en caso de existir.</w:t>
      </w:r>
    </w:p>
    <w:p w:rsidR="00AC56D6" w:rsidRDefault="00AC56D6" w:rsidP="00AC56D6">
      <w:pPr>
        <w:pStyle w:val="TextoNormal"/>
      </w:pPr>
    </w:p>
    <w:p w:rsidR="00AC56D6" w:rsidRDefault="00AC56D6" w:rsidP="00AC56D6">
      <w:pPr>
        <w:pStyle w:val="TextoNormal"/>
      </w:pPr>
      <w:r>
        <w:t>Las resoluciones recurridas consideraron, por el contrario, que la candidatura no tenía ese derecho, empleando para ello diferentes argumentos que, en realidad, pueden reconducirse a dos grandes puntos de apoyo: en primer lugar, la falta de competencia de la junta electoral provincial para resolver una reclamación como esa, o la extemporaneidad en su planteamiento, derivada de los arts. 97.2, 106 y 108.2 LOREG; y en segundo lugar, el principio de conservación de los actos electorales válidamente celebrados, reiteradamente establecido por la jurisprudencia de este Tribunal (por todas, STC 24/1990, FJ 6), que no permite acometer una revisión general de los votos nulos de la circunscripción con base en simples sospechas o hipótesis como la que esgrime la coalición interesada en la revisión (que “quizá” se hayan anulado votos por este motivo). En este segundo bloque argumental se integra la tesis que late en todas las resoluciones impugnadas, que es el carácter genérico o abusivo de la reclamación efectuada por la candidatura recurrente, sobre la que también nos pronunciaremos en esta Sentencia.</w:t>
      </w:r>
    </w:p>
    <w:p w:rsidR="00AC56D6" w:rsidRDefault="00AC56D6" w:rsidP="00AC56D6">
      <w:pPr>
        <w:pStyle w:val="TextoNormal"/>
      </w:pPr>
    </w:p>
    <w:p w:rsidR="00AC56D6" w:rsidRDefault="00AC56D6" w:rsidP="00AC56D6">
      <w:pPr>
        <w:pStyle w:val="TextoNormal"/>
      </w:pPr>
      <w:r>
        <w:t>Una resolución ordenada de este debate exige diferenciar esos dos tipos de argumentos, por operar en dos planos distintos (el de la existencia y el del correcto ejercicio del derecho) y escalonar así la resolución del objeto de debate antes anunciado en el examen de las dos siguientes cuestiones sucesivas: en primer lugar, si el derecho citado existe y deriva del art. 23.2 CE, y en segundo lugar si, presupuesto que exista, ese derecho se ejercitó correctamente por la coalición interesada.</w:t>
      </w:r>
    </w:p>
    <w:p w:rsidR="00AC56D6" w:rsidRDefault="00AC56D6" w:rsidP="00AC56D6">
      <w:pPr>
        <w:pStyle w:val="TextoNormal"/>
      </w:pPr>
    </w:p>
    <w:p w:rsidR="00AC56D6" w:rsidRDefault="00AC56D6" w:rsidP="00AC56D6">
      <w:pPr>
        <w:pStyle w:val="TextoNormal"/>
      </w:pPr>
      <w:r w:rsidRPr="00AC56D6">
        <w:rPr>
          <w:rStyle w:val="NumeroAFNegritaCaracter"/>
        </w:rPr>
        <w:t>5</w:t>
      </w:r>
      <w:r>
        <w:t xml:space="preserve">. Para resolver la primera de las cuestiones apuntadas resulta conveniente partir de la configuración del derecho de acceder a los cargos públicos representativos “con los requisitos que señalen las leyes” como un “derecho de configuración legal”, de acuerdo con esa última expresión del art. 23.2 CE. Ello significa que corresponde al legislador “regular el ejercicio de tal derecho, esto es… configurar el sistema mediante el que se produce en la práctica el acceso y la permanencia en tales cargos públicos. Resulta, en efecto, del art. 23.2 CE que el derecho a ser elegido se adquiere con los requisitos que señalen las leyes, de manera que… [e]l legislador puede establecer libremente las condiciones que estime más adecuadas, si bien su libertad tiene limitaciones que son, de una parte, las generales que imponen el principio de igualdad y los derechos fundamentales que la Constitución garantiza, y, de otra, cuando se trata de cargos públicos de carácter representativo, la necesidad </w:t>
      </w:r>
      <w:r>
        <w:lastRenderedPageBreak/>
        <w:t>de salvaguardar su naturaleza” (SSTC 135/2004, de 5 de agosto, FJ 4, y 114/2014, de 7 de julio, FJ 4).</w:t>
      </w:r>
    </w:p>
    <w:p w:rsidR="00AC56D6" w:rsidRDefault="00AC56D6" w:rsidP="00AC56D6">
      <w:pPr>
        <w:pStyle w:val="TextoNormal"/>
      </w:pPr>
    </w:p>
    <w:p w:rsidR="00AC56D6" w:rsidRDefault="00AC56D6" w:rsidP="00AC56D6">
      <w:pPr>
        <w:pStyle w:val="TextoNormal"/>
      </w:pPr>
      <w:r>
        <w:t>En relación con esta necesidad de salvaguardar el carácter representativo del cargo, también ha dicho este Tribunal que el derecho de sufragio pasivo que consagra el art. 23.2 CE, en relación con el apartado 1 del mismo precepto, “tiene como contenido esencial asegurar que accedan al cargo público aquellos candidatos que los electores hayan elegido como sus representantes, satisfaciéndose, por tanto, dicho derecho siempre que se mantenga la debida correlación entre la voluntad del cuerpo electoral y la proclamación de candidatos” (STC 105/2012, de 11 de mayo, FJ 6, con cita de otras). Es decir, como fácilmente se comprende, en un Estado democrático como el nuestro forma parte del contenido esencial del derecho de sufragio pasivo (cfr. art. 53.1 CE) el derecho a acceder al cargo electo siempre que se cuente con los votos necesarios para ello, de acuerdo con el sistema electoral diseñado por el legislador. De lo que a su vez se sigue la necesaria existencia del derecho o facultad de los actores implicados en el proceso electoral de poner en marcha los mecanismos de revisión o recuento de votos que haya regulado ese mismo legislador, pues solo de este modo existirán instrumentos de control y comprobación de la real voluntad del cuerpo electoral y de la regularidad de la adjudicación del cargo, y resultarán real, concreta y efectivamente protegidos los intereses jurídicamente protegibles que dan vida y justifican el derecho fundamental de sufragio pasivo, que es una de las vías señaladas en la STC 11/1981, de 8 de abril, FJ 8, para aproximarse al concepto de contenido esencial de los derechos fundamentales del citado art. 53.1 CE.</w:t>
      </w:r>
    </w:p>
    <w:p w:rsidR="00AC56D6" w:rsidRDefault="00AC56D6" w:rsidP="00AC56D6">
      <w:pPr>
        <w:pStyle w:val="TextoNormal"/>
      </w:pPr>
    </w:p>
    <w:p w:rsidR="00AC56D6" w:rsidRDefault="00AC56D6" w:rsidP="00AC56D6">
      <w:pPr>
        <w:pStyle w:val="TextoNormal"/>
      </w:pPr>
      <w:r>
        <w:t>Debe recordarse, además, que como consecuencia de su naturaleza de derecho fundamental “solo por Ley… podrá limitarse el ejercicio” de este derecho, conforme al art. 53.1 CE. Y precisamente por ello, cualquier limitación en el ejercicio del derecho de sufragio pasivo, que incluye el acceso a los mecanismos de revisión establecidos por el legislador, de acuerdo con lo antes razonado, no amparada por un precepto legal expreso debe ser rechazada. Del mismo modo que lo son, por ejemplo, las causas de inadmisión que no están previstas expresamente por las leyes procesales (entre las más recientes, STC 115/2015, de 8 de junio, FJ 3) o las de privación de libertad que tampoco están expresamente reguladas por una Ley, como impone el art. 17.1 CE (entre muchas otras, STC 210/2013, de 16 de diciembre, FJ 2).</w:t>
      </w:r>
    </w:p>
    <w:p w:rsidR="00AC56D6" w:rsidRDefault="00AC56D6" w:rsidP="00AC56D6">
      <w:pPr>
        <w:pStyle w:val="TextoNormal"/>
      </w:pPr>
    </w:p>
    <w:p w:rsidR="00AC56D6" w:rsidRDefault="00AC56D6" w:rsidP="00AC56D6">
      <w:pPr>
        <w:pStyle w:val="TextoNormal"/>
      </w:pPr>
      <w:r>
        <w:t xml:space="preserve">Desde estas premisas, la existencia del derecho reclamado por la actora aparece diáfana en la medida en que no hay en la LOREG ningún precepto que prohíba expresamente reclamar la revisión de los votos nulos que, de hecho, están en poder de la junta electoral en el acto de escrutinio general como parte del sobre número uno remitido por cada mesa electoral. Y como argumenta la coalición recurrente, si la ley ordena conservar esos votos (todos los votos a los que se hubiera negado validez, y no solo aquellos que hubieran sido objeto de alguna reclamación: véase el art. 97.3 LOREG) ello ha de ser, por fuerza, para permitir en algún momento posterior la revisión y examen de esos votos; de todos, aunque no hubieran sido impugnados ante las mesas. Es, además, un fin no solo irreprochable, sino necesario por lo ya dicho en un Estado democrático que no reconoce más fuente de poder que la derivada de la voluntad de sus ciudadanos (arts. 1.2, 66.1, 68.1, 69.2, 99 y 117.1 CE), en cuanto está dirigida a conocer de la manera más perfecta la voluntad del cuerpo electoral. Y según la misma STC 105/2012, FJ 6, antes citada, “el mantenimiento… de esa voluntad </w:t>
      </w:r>
      <w:r>
        <w:lastRenderedPageBreak/>
        <w:t>expresada en votos válidos debe constituir criterio preferente a la hora de interpretar y aplicar las normas electorales”.</w:t>
      </w:r>
    </w:p>
    <w:p w:rsidR="00AC56D6" w:rsidRDefault="00AC56D6" w:rsidP="00AC56D6">
      <w:pPr>
        <w:pStyle w:val="TextoNormal"/>
      </w:pPr>
    </w:p>
    <w:p w:rsidR="00AC56D6" w:rsidRDefault="00AC56D6" w:rsidP="00AC56D6">
      <w:pPr>
        <w:pStyle w:val="TextoNormal"/>
      </w:pPr>
      <w:r>
        <w:t>De modo que cualquier interpretación que pueda menoscabar este fin, o dicho en otros términos, este derecho de acceder a los cargos públicos, si no está amparada en un precepto legal expreso (“con los requisitos que señalen las leyes”: art. 23.2 CE), debe ser rechazada.</w:t>
      </w:r>
    </w:p>
    <w:p w:rsidR="00AC56D6" w:rsidRDefault="00AC56D6" w:rsidP="00AC56D6">
      <w:pPr>
        <w:pStyle w:val="TextoNormal"/>
      </w:pPr>
    </w:p>
    <w:p w:rsidR="00AC56D6" w:rsidRDefault="00AC56D6" w:rsidP="00AC56D6">
      <w:pPr>
        <w:pStyle w:val="TextoNormal"/>
      </w:pPr>
      <w:r w:rsidRPr="00AC56D6">
        <w:rPr>
          <w:rStyle w:val="NumeroAFNegritaCaracter"/>
        </w:rPr>
        <w:t>6</w:t>
      </w:r>
      <w:r>
        <w:t>. Establecida así la existencia del derecho infructuosamente reclamado por la actora, y su anclaje constitucional, y entrando a valorar ahora la posible negligencia en su ejercicio, circunstancia que, indudablemente, puede lastrar su efectividad, debemos examinar, si a diferencia de los casos resueltos en las antes citadas SSTC 157/1991, 115/1995 y 169/2007, el hecho de haber reclamado la candidatura recurrente la revisión de todos los votos anulados en la circunscripción, y no solo de uno o varios votos concretos, pudiera conducir a declarar indebidamente ejercitado ese derecho.</w:t>
      </w:r>
    </w:p>
    <w:p w:rsidR="00AC56D6" w:rsidRDefault="00AC56D6" w:rsidP="00AC56D6">
      <w:pPr>
        <w:pStyle w:val="TextoNormal"/>
      </w:pPr>
    </w:p>
    <w:p w:rsidR="00AC56D6" w:rsidRDefault="00AC56D6" w:rsidP="00AC56D6">
      <w:pPr>
        <w:pStyle w:val="TextoNormal"/>
      </w:pPr>
      <w:r>
        <w:t>El Tribunal considera que la tesis del posible abuso o ejercicio fraudulento del derecho a efectuar esa clase de reclamaciones, que acabamos de reconocer en el fundamento jurídico anterior, y que aprecian las resoluciones recurridas y la representación del PSOE, debe ser sin embargo rechazado, siguiendo en este punto la tesis del Fiscal.</w:t>
      </w:r>
    </w:p>
    <w:p w:rsidR="00AC56D6" w:rsidRDefault="00AC56D6" w:rsidP="00AC56D6">
      <w:pPr>
        <w:pStyle w:val="TextoNormal"/>
      </w:pPr>
    </w:p>
    <w:p w:rsidR="00AC56D6" w:rsidRDefault="00AC56D6" w:rsidP="00AC56D6">
      <w:pPr>
        <w:pStyle w:val="TextoNormal"/>
      </w:pPr>
      <w:r>
        <w:t>(i) Para empezar, y a propósito de la siempre exigible diligencia en el ejercicio de los propios derechos, este Tribunal ha recordado, precisamente en el ámbito de los amparos electorales, “que la diligencia exigible a los protagonistas naturales de las elecciones (fuerzas políticas en general y candidatos) ha de comenzar, y ha ser aún más extrema, por la propia Administración encargada de garantizar el correcto transcurso del proceso electoral (STC 80/2002, de 8 de abril, FJ 7)” (STC 135/2004, de 5 de agosto, FJ 6), de modo que resulta especialmente reprobable que, siendo consolidada nuestra doctrina acerca de la posibilidad de efectuar reclamaciones directamente en el acto de escrutinio general aunque no se hubieran anticipado en el acto de escrutinio ante las mesas (SSTC 157/1991, 115/1995 y 169/2007, antes citadas), las Juntas Electorales y el órgano jurisdiccional persistieran sin embargo en la interpretación contraria del art. 108.2 LOREG para impedir así el ejercicio de ese derecho.</w:t>
      </w:r>
    </w:p>
    <w:p w:rsidR="00AC56D6" w:rsidRDefault="00AC56D6" w:rsidP="00AC56D6">
      <w:pPr>
        <w:pStyle w:val="TextoNormal"/>
      </w:pPr>
    </w:p>
    <w:p w:rsidR="00AC56D6" w:rsidRDefault="00AC56D6" w:rsidP="00AC56D6">
      <w:pPr>
        <w:pStyle w:val="TextoNormal"/>
      </w:pPr>
      <w:r>
        <w:t>Que una actuación más diligente y más proclive a la comprobación de la voluntad real de los electores era posible lo muestra la conducta de la Junta Electoral Provincial de Cáceres, que según afirma la actora, y nadie niega, en el mismo acto (escrutinio general) y proceso electoral (elecciones a la Asamblea de Extremadura de 2015), ante la misma petición efectuada por la misma candidatura y ante un número similar de votos nulos (5.016), accedió a esa petición y pudo concluir su tarea sin incidencias ni recursos.</w:t>
      </w:r>
    </w:p>
    <w:p w:rsidR="00AC56D6" w:rsidRDefault="00AC56D6" w:rsidP="00AC56D6">
      <w:pPr>
        <w:pStyle w:val="TextoNormal"/>
      </w:pPr>
    </w:p>
    <w:p w:rsidR="00AC56D6" w:rsidRDefault="00AC56D6" w:rsidP="00AC56D6">
      <w:pPr>
        <w:pStyle w:val="TextoNormal"/>
      </w:pPr>
      <w:r>
        <w:t>(ii) Además, la carga de la prueba de quien afirma la utilización fraudulenta o abusiva de un derecho o recurso reconocido en la ley electoral ha de corresponder, en buena lógica, a quien afirma ese fraude, y no puede presumirse (STC 44/2009, de 12 de febrero, FJ 14).</w:t>
      </w:r>
    </w:p>
    <w:p w:rsidR="00AC56D6" w:rsidRDefault="00AC56D6" w:rsidP="00AC56D6">
      <w:pPr>
        <w:pStyle w:val="TextoNormal"/>
      </w:pPr>
    </w:p>
    <w:p w:rsidR="00AC56D6" w:rsidRDefault="00AC56D6" w:rsidP="00AC56D6">
      <w:pPr>
        <w:pStyle w:val="TextoNormal"/>
      </w:pPr>
      <w:r>
        <w:t xml:space="preserve">(iii) Y en última instancia, frente a ese alegado ejercicio abusivo del derecho no puede dejar de señalarse que, como apunta el Fiscal, en este caso la reclamación aparecía circunscrita a un motivo muy concreto (el defecto de tintada en los sobres y papeletas confeccionados por la propia candidatura y remitida a los electores) y que además esa petición de </w:t>
      </w:r>
      <w:r>
        <w:lastRenderedPageBreak/>
        <w:t>revisión venía apoyada por una prueba, al menos indiciaria, de la existencia de esa irregularidad no invalidante, pero que sin embargo podía haber suscitado alguna duda en algunas mesas de la circunscripción y provocado anulaciones. Consta así, pues han sido aportados a los autos los escritos y resoluciones correspondientes, que el mismo día de las elecciones (24 de mayo de 2015) la candidatura puso de manifiesto ante las Junta Electorales de Badajoz y Extremadura la existencia de una “orden” a las mesas o “advertencia” a la propia candidatura por parte de la Junta Electoral de Zona de Llerena acerca de la nulidad de esos sobres y votos por ese motivo. Y consta también que se adjuntó a la comunicación inicial presentada por la candidatura una foto del modelo de sobre confeccionado por la candidatura y previamente validado por la Junta Electoral. Ante todo ello, ninguna de esas dos Juntas puso en duda esos hechos ni tuvo inconveniente alguno en dictar sendas comunicaciones ese mismo día afirmando la plena validez de los votos así emitidos. Nadie ha negado, además, la existencia de esa diferencia de color entre la tinta de los sobres confeccionados por la propia candidatura y enviados con la propaganda electoral a los domicilios de los electores y los elaborados por la propia Administración. Por último, en el recurso contencioso-electoral el Fiscal pidió el recibimiento a prueba para que “la Secretaría de la citada Junta [se refiere a la Junta Electoral Provincial de Badajoz] certifique si el acuerdo de la misma de 24 de mayo de 2015, adoptado ante el escrito presentado por” el representante de la candidatura “sobre incidencias en la Junta Electoral de Llerena sobre los modelos de los sobres para las elecciones a la Asamblea de Extremadura 2015 fue comunicado a todas las Juntas Electorales de Zona de Badajoz”, prueba que fue sin embargo inadmitida por la Sala de lo Contencioso-Administrativo del Tribunal Superior de Justicia de Extremadura mediante Auto de 18 de junio de 2015.</w:t>
      </w:r>
    </w:p>
    <w:p w:rsidR="00AC56D6" w:rsidRDefault="00AC56D6" w:rsidP="00AC56D6">
      <w:pPr>
        <w:pStyle w:val="TextoNormal"/>
      </w:pPr>
    </w:p>
    <w:p w:rsidR="00AC56D6" w:rsidRDefault="00AC56D6" w:rsidP="00AC56D6">
      <w:pPr>
        <w:pStyle w:val="TextoNormal"/>
      </w:pPr>
      <w:r>
        <w:t>En estas condiciones, y teniendo en cuenta la actuación de los concretos poderes públicos aquí implicados, no resulta equitativo reprochar a la candidatura recurrente negligencia en el ejercicio y defensa de los propios derechos como causa para inadmitir esa solicitud.</w:t>
      </w:r>
    </w:p>
    <w:p w:rsidR="00AC56D6" w:rsidRDefault="00AC56D6" w:rsidP="00AC56D6">
      <w:pPr>
        <w:pStyle w:val="TextoNormal"/>
      </w:pPr>
    </w:p>
    <w:p w:rsidR="00AC56D6" w:rsidRDefault="00AC56D6" w:rsidP="00AC56D6">
      <w:pPr>
        <w:pStyle w:val="TextoNormal"/>
      </w:pPr>
      <w:r w:rsidRPr="00AC56D6">
        <w:rPr>
          <w:rStyle w:val="NumeroAFNegritaCaracter"/>
        </w:rPr>
        <w:t>7</w:t>
      </w:r>
      <w:r>
        <w:t>. Apreciada entonces la existencia de una irregularidad consistente en la indebida limitación del derecho de sufragio, por carecer de apoyo legal, resta aun por examinar una última circunstancia que pudiera conducir a la desestimación de este amparo. Es la apuntada por el Fiscal acerca de la escasa probabilidad de que el cómputo de los votos nulos pudiera incidir en el resultado.</w:t>
      </w:r>
    </w:p>
    <w:p w:rsidR="00AC56D6" w:rsidRDefault="00AC56D6" w:rsidP="00AC56D6">
      <w:pPr>
        <w:pStyle w:val="TextoNormal"/>
      </w:pPr>
    </w:p>
    <w:p w:rsidR="00AC56D6" w:rsidRDefault="00AC56D6" w:rsidP="00AC56D6">
      <w:pPr>
        <w:pStyle w:val="TextoNormal"/>
      </w:pPr>
      <w:r>
        <w:t>Efectivamente, este Tribunal ha declarado que “la Sala que en cada caso resuelva el correspondiente contencioso-electoral deberá, llegado el momento, realizar el juicio de relevancia de los vicios o irregularidades invalidantes en el resultado final, sin perjuicio de la ulterior revisión del mismo, en su caso, por este Tribunal. En su motivación, y según el supuesto de hecho que en cada recurso hay que resolver, la Sala deberá expresar el proceso lógico que le lleva a apreciar la alteración del resultado como consecuencia de los vicios o irregularidades apreciados” (STC 105/2012, de 11 de mayo, FJ 16, con cita de otras). Y claro está, si no lo hace el órgano de la jurisdicción ordinaria, habrá el propio Tribunal Constitucional el que asuma esta tarea. Todo ello en aras de preservar el principio de conservación de los actos electorales válidamente celebrado, el principio de proporcionalidad entre unos actos y sus consecuencias cuando éstas afectan a derechos fundamentales y la máxima efectividad del derecho de sufragio (por todas, STC 24/1990, FJ 6).</w:t>
      </w:r>
    </w:p>
    <w:p w:rsidR="00AC56D6" w:rsidRDefault="00AC56D6" w:rsidP="00AC56D6">
      <w:pPr>
        <w:pStyle w:val="TextoNormal"/>
      </w:pPr>
    </w:p>
    <w:p w:rsidR="00AC56D6" w:rsidRDefault="00AC56D6" w:rsidP="00AC56D6">
      <w:pPr>
        <w:pStyle w:val="TextoNormal"/>
      </w:pPr>
      <w:r>
        <w:lastRenderedPageBreak/>
        <w:t>Con invocación de esta doctrina, argumenta el Fiscal que si se aplica el porcentaje de voto válido obtenido por la candidatura (4,77 por 100) al voto nulo total de la circunscripción (7.118 votos nulos), el resultado es de 340 unidades, cantidad muy inferior a los 900 votos que según confiesa la propia candidatura le harían falta para superar el umbral del 5 por 100 y entrar en el reparto de escaños de la circunscripción.</w:t>
      </w:r>
    </w:p>
    <w:p w:rsidR="00AC56D6" w:rsidRDefault="00AC56D6" w:rsidP="00AC56D6">
      <w:pPr>
        <w:pStyle w:val="TextoNormal"/>
      </w:pPr>
    </w:p>
    <w:p w:rsidR="00AC56D6" w:rsidRDefault="00AC56D6" w:rsidP="00AC56D6">
      <w:pPr>
        <w:pStyle w:val="TextoNormal"/>
      </w:pPr>
      <w:r>
        <w:t>Siendo ello cierto, no podemos sin embargo compartir esta argumentación. En primer lugar, porque no se trata aquí de resolver si procede o no una nueva convocatoria de las elecciones en aquellas mesas que resulten afectadas por irregularidades invalidantes según la previsible incidencia de sus resultados (hipotéticos) en el resultado electoral general, en aplicación del art. 113.2 d) LOREG, pronosticando o anticipando el comportamiento futuro e incierto de los electores en esa nueva convocatoria electoral, que es el ámbito en el que este Tribunal ha exigido el mencionado juicio, siempre hipotético, de incidencia o relevancia de la irregularidad apreciada; aquí se trata de decidir si procede comprobar o no el contenido real de los votos nulos conservados para conocer así la verdadera voluntad de los electores manifestada en el proceso electoral, que es el criterio que debe presidir siempre la interpretación de la normativa electoral (por todas, STC 105/2012, de 11 de mayo, FJ 7). Y sobre todo, en segundo lugar, porque el cálculo efectuado por el Fiscal no tiene en cuenta que precisamente la coalición recurrente alega la existencia de una circunstancia específica en su candidatura, y no concurrente en las demás, que habría determinado la anulación solamente de votos destinados a ella, y no a las restantes. Ello, en buena lógica, obliga a incrementar el porcentaje de voto válido obtenido por esa candidatura respecto al de las demás, que es el parámetro empleado sin embargo por el Fiscal sin modulación de ningún tipo. Como la incidencia de esa circunstancia en el número total de votos nulos es desconocida y no puede valorarse ni medirse en modo alguno, y sin embargo los votos necesarios para alterar la composición del Parlamento (“unos 900”, según la actora, respecto 7.118 votos nulos totales en la circunscripción) no representan tampoco un porcentaje excesivo (12,6 por 100) que permita afirmar con “un razonable margen de seguridad” (STC 168/1991, de 19 de julio, FJ 2) que en ningún caso se alcanzará, todo ello obliga a efectuar la revisión del voto nulo reclamada por la actora ante la Junta Electoral Provincial de Badajoz. En el bien entendido de que, de conformidad con lo solicitado por la parte desde un inicio, únicamente cabrá revisar, computar y en su caso impugnar los votos eventualmente anulados en la circunscripción de Badajoz por el concreto motivo alegado por la candidatura, esto es, por la existencia de una diferencia de color entre los sobres y papeletas de su candidatura y los oficiales, pero no por ningún otro motivo que pueda aparecer en esa tarea de revisión.</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Estimar el recurso de amparo interpuesto por la candidatura Ganemos-Izquierda Unida-Los Verdes y, en su virtud:</w:t>
      </w:r>
    </w:p>
    <w:p w:rsidR="00AC56D6" w:rsidRDefault="00AC56D6" w:rsidP="00AC56D6">
      <w:pPr>
        <w:pStyle w:val="TextoNormal"/>
      </w:pPr>
    </w:p>
    <w:p w:rsidR="00AC56D6" w:rsidRDefault="00AC56D6" w:rsidP="00AC56D6">
      <w:pPr>
        <w:pStyle w:val="TextoNormal"/>
      </w:pPr>
      <w:r>
        <w:lastRenderedPageBreak/>
        <w:t>1º Declarar que han sido vulnerados los derechos de la coalición electoral recurrente a la tutela judicial efectiva (art. 24.1 CE) y a acceder a los cargos públicos con los requisitos que señalen las leyes (art. 23.2 CE).</w:t>
      </w:r>
    </w:p>
    <w:p w:rsidR="00AC56D6" w:rsidRDefault="00AC56D6" w:rsidP="00AC56D6">
      <w:pPr>
        <w:pStyle w:val="TextoNormal"/>
      </w:pPr>
    </w:p>
    <w:p w:rsidR="00AC56D6" w:rsidRDefault="00AC56D6" w:rsidP="00AC56D6">
      <w:pPr>
        <w:pStyle w:val="TextoNormal"/>
      </w:pPr>
      <w:r>
        <w:t>2º Restablecer a la coalición recurrente en ese derecho y, en consecuencia, declarar la nulidad de la Sentencia de 24 de junio de 2015 dictada por la Sala de lo Contencioso-Administrativo del Tribunal Superior de Justicia de Extremadura por la que se inadmite el recurso electoral núm. 5-2015, así como los acuerdos de la Junta Electoral Provincial de Badajoz de 27 de mayo de 2015 (acta de escrutinio general) y 29 de mayo de 2015 (desestimatoria de la reclamación deducida contra el acta anterior), del acuerdo de la Junta Electoral de Extremadura de 3 de junio de 2015 (confirmatorio de la desestimación anterior), y del acuerdo de proclamación de electos aprobada por la Junta Electoral Provincial de Badajoz el 5 de junio de 2015, únicamente en cuanto no han permitido a la coalición recurrente revisar los votos anulados en la citada circunscripción por el motivo esgrimido en el escrito presentado a las 12:00 horas ante la Junta Electoral Provincial en el acto de escrutinio general, y al que hace referencia el antecedente 2 c) de esta Sentencia.</w:t>
      </w:r>
    </w:p>
    <w:p w:rsidR="00AC56D6" w:rsidRDefault="00AC56D6" w:rsidP="00AC56D6">
      <w:pPr>
        <w:pStyle w:val="TextoNormal"/>
      </w:pPr>
    </w:p>
    <w:p w:rsidR="00AC56D6" w:rsidRDefault="00AC56D6" w:rsidP="00AC56D6">
      <w:pPr>
        <w:pStyle w:val="TextoNormal"/>
      </w:pPr>
      <w:r>
        <w:t>3º Reconocer su derecho a que por la Junta Electoral Provincial de Badajoz, en el acto de escrutinio general, se revisen los votos anulados para comprobar si existe alguno que lo fue por un defecto de tintada en la confección de los sobres o papeletas electorales.</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catorce de julio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6" w:name="SENTENCIA_2015_160"/>
      <w:r>
        <w:lastRenderedPageBreak/>
        <w:t>SENTENCIA 160/2015, de 14 de julio de 2015</w:t>
      </w:r>
    </w:p>
    <w:bookmarkEnd w:id="16"/>
    <w:p w:rsidR="00AC56D6" w:rsidRDefault="00AC56D6" w:rsidP="00AC56D6">
      <w:pPr>
        <w:pStyle w:val="TtuloResolucin"/>
      </w:pPr>
      <w:r>
        <w:t>Sala Segunda</w:t>
      </w:r>
    </w:p>
    <w:p w:rsidR="00AC56D6" w:rsidRDefault="00AC56D6" w:rsidP="00AC56D6">
      <w:pPr>
        <w:pStyle w:val="TtuloBOE"/>
      </w:pPr>
      <w:r>
        <w:t>(BOE núm. 194, de 14 de agosto de 2015)</w:t>
      </w:r>
    </w:p>
    <w:p w:rsidR="00AC56D6" w:rsidRDefault="00AC56D6" w:rsidP="00AC56D6">
      <w:pPr>
        <w:pStyle w:val="TextoNormalCentrado"/>
      </w:pPr>
      <w:r>
        <w:t>ECLI:ES:TC:2015:160</w:t>
      </w:r>
    </w:p>
    <w:p w:rsidR="00AC56D6" w:rsidRDefault="00AC56D6" w:rsidP="00AC56D6">
      <w:pPr>
        <w:pStyle w:val="TextoNormalCentrado"/>
      </w:pPr>
    </w:p>
    <w:p w:rsidR="00AC56D6" w:rsidRDefault="00AC56D6" w:rsidP="00AC56D6">
      <w:pPr>
        <w:pStyle w:val="SntesisDescriptiva"/>
      </w:pPr>
      <w:r>
        <w:t>Recurso de amparo electoral 3826-2015. Promovido por el Partido Socialista Obrero Español en relación con la Sentencia de la Sala de lo Contencioso-Administrativo del Tribunal Superior de Justicia de Murcia que desestimó su recurso contencioso-electoral sobre elecciones al Ayuntamiento de Lorca.</w:t>
      </w:r>
    </w:p>
    <w:p w:rsidR="00AC56D6" w:rsidRDefault="00AC56D6" w:rsidP="00AC56D6">
      <w:pPr>
        <w:pStyle w:val="SntesisDescriptiva"/>
      </w:pPr>
    </w:p>
    <w:p w:rsidR="00AC56D6" w:rsidRDefault="00AC56D6" w:rsidP="00AC56D6">
      <w:pPr>
        <w:pStyle w:val="SntesisAnaltica"/>
      </w:pPr>
      <w:r>
        <w:t>Alegada vulneración de los derechos a la igualdad, a la tutela judicial efectiva y de acceso a los cargos públicos en condiciones de igualdad: inadmisión del recurso de amparo electoral que no contiene justificación de su especial trascendencia constitucional.</w:t>
      </w:r>
    </w:p>
    <w:p w:rsidR="00AC56D6" w:rsidRDefault="00AC56D6" w:rsidP="00AC56D6">
      <w:pPr>
        <w:pStyle w:val="SntesisAnaltica"/>
      </w:pPr>
    </w:p>
    <w:p w:rsidR="00AC56D6" w:rsidRDefault="00AC56D6" w:rsidP="00AC56D6">
      <w:pPr>
        <w:pStyle w:val="Extracto"/>
      </w:pPr>
      <w:r>
        <w:t>1.</w:t>
      </w:r>
      <w:r>
        <w:tab/>
        <w:t>En ausencia de justificación alguna relativa al requisito de la especial trascendencia constitucional, el recurrente sitúa implícitamente el cumplimiento de su carga justificativa en la argumentación con la que sostiene la lesión de los derechos fundamentales alegados, confundiendo la vulneración del derecho con la especial trascendencia constitucional del recurso, o, alternativamente, el recurrente incumple de modo radical un deber que ha de satisfacer necesariamente (STC 143/2011) [FJ 3].</w:t>
      </w:r>
    </w:p>
    <w:p w:rsidR="00AC56D6" w:rsidRDefault="00AC56D6" w:rsidP="00AC56D6">
      <w:pPr>
        <w:pStyle w:val="Extracto"/>
      </w:pPr>
    </w:p>
    <w:p w:rsidR="00AC56D6" w:rsidRDefault="00AC56D6" w:rsidP="00AC56D6">
      <w:pPr>
        <w:pStyle w:val="Extracto"/>
      </w:pPr>
      <w:r>
        <w:t>2.</w:t>
      </w:r>
      <w:r>
        <w:tab/>
        <w:t>El recurrente ha de satisfacer necesariamente, de acuerdo con lo dispuesto en el art. 49.1 in fine LOTC, la carga de justificar en la demanda la especial trascendencia constitucional del recurso y su ausencia es insubsanable, toda vez que la interposición del recurso de amparo está sujeta a plazos de caducidad preclusivos, que no pueden ser reabiertos para dar cumplimiento a un requisito que afecta directamente a la determinación misma de la pretensión deducida en el recurso de amparo (STC 155/2009 y ATC 188/2008) [FJ 2].</w:t>
      </w:r>
    </w:p>
    <w:p w:rsidR="00AC56D6" w:rsidRDefault="00AC56D6" w:rsidP="00AC56D6">
      <w:pPr>
        <w:pStyle w:val="Extracto"/>
      </w:pPr>
    </w:p>
    <w:p w:rsidR="00AC56D6" w:rsidRDefault="00AC56D6" w:rsidP="00AC56D6">
      <w:pPr>
        <w:pStyle w:val="Extracto"/>
      </w:pPr>
      <w:r>
        <w:t>3.</w:t>
      </w:r>
      <w:r>
        <w:tab/>
        <w:t>La carga de justificar esta especial trascendencia consiste en un esfuerzo argumental que ponga en conexión las vulneraciones constitucionales alegadas con los criterios del art. 50.1 b) LOTC, explicitando la proyección objetiva del amparo solicitado y traduciendo en el plano formal (art. 49.1 LOTC) la exigencia material de la especial trascendencia constitucional del asunto (AATC 264/2009, 154/2010) [FJ 2].</w:t>
      </w:r>
    </w:p>
    <w:p w:rsidR="00AC56D6" w:rsidRDefault="00AC56D6" w:rsidP="00AC56D6">
      <w:pPr>
        <w:pStyle w:val="Extracto"/>
      </w:pPr>
    </w:p>
    <w:p w:rsidR="00AC56D6" w:rsidRDefault="00AC56D6" w:rsidP="00AC56D6">
      <w:pPr>
        <w:pStyle w:val="Extracto"/>
      </w:pPr>
      <w:r>
        <w:t>4.</w:t>
      </w:r>
      <w:r>
        <w:tab/>
        <w:t>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[FJ 2].</w:t>
      </w:r>
    </w:p>
    <w:p w:rsidR="00AC56D6" w:rsidRDefault="00AC56D6" w:rsidP="00AC56D6">
      <w:pPr>
        <w:pStyle w:val="Extracto"/>
      </w:pPr>
    </w:p>
    <w:p w:rsidR="00AC56D6" w:rsidRDefault="00AC56D6" w:rsidP="00AC56D6">
      <w:pPr>
        <w:pStyle w:val="Extracto"/>
      </w:pPr>
      <w:r>
        <w:t>5.</w:t>
      </w:r>
      <w:r>
        <w:tab/>
        <w:t>Los presupuestos para la viabilidad del recurso pueden reconsiderarse en la Sentencia, de oficio o a instancia de parte, dando lugar, en su caso, a un pronunciamiento de inadmisión (SSTC 323/2006) [FJ 2].</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lastRenderedPageBreak/>
        <w:t>La Sala Segunda del Tribunal Constitucional, compuesta por doña Adela Asua Batarrita, Presidenta, don Fernando Valdés Dal-Ré, don Juan José González Rivas,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amparo núm. 3826-2015, promovido por el Partido Socialista Obrero Español, representado por la Procuradora de los Tribunales doña Virginia Aragón Segura Álvarez y asistido por el Letrado don Julio Antonio Pérez Soubier, contra la Sentencia de Sección Segunda de la Sala de lo Contencioso-administrativo del Tribunal Superior de Justicia de Murcia, dictada en el proceso contencioso electoral 1/2015, en fecha 26 de junio de 2015. Ha comparecido el Partido Popular mediante la representación del Procurador de los Tribunales don Manuel Sánchez-Puelles y González-Carvajal. Ha intervenido el Ministerio Fiscal. Ha sido Ponente el Magistrado don Fernando Valdés Dal-Ré,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registrado el día 29 de junio de 2015, el Partido Socialista Obrero Español (PSOE) interpuso recurso de amparo frente a la resolución a la que se ha hecho mención en el encabezamiento.</w:t>
      </w:r>
    </w:p>
    <w:p w:rsidR="00AC56D6" w:rsidRDefault="00AC56D6" w:rsidP="00AC56D6">
      <w:pPr>
        <w:pStyle w:val="TextoNormal"/>
      </w:pPr>
    </w:p>
    <w:p w:rsidR="00AC56D6" w:rsidRDefault="00AC56D6" w:rsidP="00AC56D6">
      <w:pPr>
        <w:pStyle w:val="TextoNormal"/>
      </w:pPr>
      <w:r w:rsidRPr="00AC56D6">
        <w:rPr>
          <w:rStyle w:val="NumeroAFNegritaCaracter"/>
        </w:rPr>
        <w:t>2</w:t>
      </w:r>
      <w:r>
        <w:t>. La demanda de amparo tiene su origen en los siguientes antecedentes:</w:t>
      </w:r>
    </w:p>
    <w:p w:rsidR="00AC56D6" w:rsidRDefault="00AC56D6" w:rsidP="00AC56D6">
      <w:pPr>
        <w:pStyle w:val="TextoNormal"/>
      </w:pPr>
    </w:p>
    <w:p w:rsidR="00AC56D6" w:rsidRDefault="00AC56D6" w:rsidP="00AC56D6">
      <w:pPr>
        <w:pStyle w:val="TextoNormal"/>
      </w:pPr>
      <w:r>
        <w:t>La candidatura del Partido Socialista Obrero Español (PSOE) se presentó a las elecciones municipales del día 24 de mayo de 2015, a celebrar en el Ayuntamiento de Lorca. El número de concejales en dicha corporación es veinticinco, por lo que la mayoría absoluta se consigue con trece concejales. Según se relata en la demanda, en el acta de escrutinio de la Junta Electoral de Zona de Lorca se constatan como datos provisionales que el Partido Popular (PP) había obtenido 16.150 sufragios y el PSOE 11.186 sufragios válidos. Con dichos resultados provisionales, el PSOE obtenía el concejal número nueve en detrimento del PP, que perdía el número trece por el escaso margen de un voto, conforme a la fórmula de cocientes del sistema electoral proporcional español.</w:t>
      </w:r>
    </w:p>
    <w:p w:rsidR="00AC56D6" w:rsidRDefault="00AC56D6" w:rsidP="00AC56D6">
      <w:pPr>
        <w:pStyle w:val="TextoNormal"/>
      </w:pPr>
    </w:p>
    <w:p w:rsidR="00AC56D6" w:rsidRDefault="00AC56D6" w:rsidP="00AC56D6">
      <w:pPr>
        <w:pStyle w:val="TextoNormal"/>
      </w:pPr>
      <w:r>
        <w:t xml:space="preserve">Frente al escrutinio general, se presentaron sendas reclamaciones por parte del PP y del PSOE, dentro de plazo, que fueron desestimadas por la Junta Electoral de Zona. Por lo que importa para el presente recurso de amparo, las alegaciones del PP consistían en solicitar la validez de ocho votos declarados nulos en las Mesas electorales y en el escrutinio general. La declaración de nulidad se había debido a que los sobres de esos ocho votos contenían dos papeletas, una para la candidatura del PP a las elecciones locales y otra de la candidatura del PP a las elecciones autonómicas, excepto en una Mesa que, en un mismo sobre para las </w:t>
      </w:r>
      <w:r>
        <w:lastRenderedPageBreak/>
        <w:t>elecciones locales, existía una papeleta para las elecciones locales y dos papeletas para las elecciones autonómicas.</w:t>
      </w:r>
    </w:p>
    <w:p w:rsidR="00AC56D6" w:rsidRDefault="00AC56D6" w:rsidP="00AC56D6">
      <w:pPr>
        <w:pStyle w:val="TextoNormal"/>
      </w:pPr>
    </w:p>
    <w:p w:rsidR="00AC56D6" w:rsidRDefault="00AC56D6" w:rsidP="00AC56D6">
      <w:pPr>
        <w:pStyle w:val="TextoNormal"/>
      </w:pPr>
      <w:r>
        <w:t>Destaca el Partido recurrente que, ni en las Mesas (por parte de los interventores del PP) ni en el acta de escrutinio de fecha 27 de mayo de 2015 (por parte de su representante en la Junta), el PP opuso objeción alguna, consintiendo y aceptando el resultado de dichas Mesas, considerándolos nulos. No obstante, con posterioridad, el PP planteó recurso ante la Junta Electoral Central. La Junta Electoral Central (acuerdo de 5 de junio de 2015) corrigió a la Junta Electoral de zona respecto a los ocho votos nulos del PP y consideró que son válidos, “ya que no implica dudas sobre la voluntad clara e inequívoca del elector”.</w:t>
      </w:r>
    </w:p>
    <w:p w:rsidR="00AC56D6" w:rsidRDefault="00AC56D6" w:rsidP="00AC56D6">
      <w:pPr>
        <w:pStyle w:val="TextoNormal"/>
      </w:pPr>
    </w:p>
    <w:p w:rsidR="00AC56D6" w:rsidRDefault="00AC56D6" w:rsidP="00AC56D6">
      <w:pPr>
        <w:pStyle w:val="TextoNormal"/>
      </w:pPr>
      <w:r>
        <w:t>Manifiesta el partido recurrente en amparo —para mostrar la disparidad de criterio de la Junta Electoral Central— que él también planteó un recurso puesto que en una Mesa constaba debidamente reclamado y protestado por el apoderado del PSOE, cuatro votos, con el siguiente tenor: “se solicita la validez de cuatro votos municipales que contienen la papeleta sepia, habiéndose hallado posteriormente otros cuatro votos en las elecciones autonómicas que incluían una papeleta municipal. Solicita la validez de esos votos”. Sin embargo, en este caso la Junta Electoral Central desestimó la alegación del PSOE con el siguiente argumento: es doctrina reiterada de la Junta Electoral Central que es nulo el voto emitido en papeleta de proceso electoral distinto, aun cuando se refiera a la misma formación política pues se trata de una candidatura diferente a la proclamada para las elecciones municipales.</w:t>
      </w:r>
    </w:p>
    <w:p w:rsidR="00AC56D6" w:rsidRDefault="00AC56D6" w:rsidP="00AC56D6">
      <w:pPr>
        <w:pStyle w:val="TextoNormal"/>
      </w:pPr>
    </w:p>
    <w:p w:rsidR="00AC56D6" w:rsidRDefault="00AC56D6" w:rsidP="00AC56D6">
      <w:pPr>
        <w:pStyle w:val="TextoNormal"/>
      </w:pPr>
      <w:r>
        <w:t>En consecuencia, la Junta Electoral de Zona en el acta de proclamación de electos de fecha 8 de junio de 2015 tuvo que incluir esos ocho votos nulos como válidos, por lo que el PP consiguió el concejal número 13 y con ello la mayoría absoluta.</w:t>
      </w:r>
    </w:p>
    <w:p w:rsidR="00AC56D6" w:rsidRDefault="00AC56D6" w:rsidP="00AC56D6">
      <w:pPr>
        <w:pStyle w:val="TextoNormal"/>
      </w:pPr>
    </w:p>
    <w:p w:rsidR="00AC56D6" w:rsidRDefault="00AC56D6" w:rsidP="00AC56D6">
      <w:pPr>
        <w:pStyle w:val="TextoNormal"/>
      </w:pPr>
      <w:r>
        <w:t>La parte ahora demandante de amparo interpuso recurso contencioso-electoral ante la Sala de lo Contencioso-Administrativo del Tribunal Superior de Justicia de Murcia, que desestimó el recurso. Los motivos de impugnación planteados fueron infracción de los artículos 95 y 97 de la Ley Orgánica del régimen electoral general (LOREG), inexistencia de reclamación de los 8 votos en la mesa electoral, de los artículos 106 y 108.2 LOREG (función exclusivamente revisora de la Administración electoral) y del artículo 96.1 LOREG (nulidad de sobres con más de una papeleta de distinta candidatura).</w:t>
      </w:r>
    </w:p>
    <w:p w:rsidR="00AC56D6" w:rsidRDefault="00AC56D6" w:rsidP="00AC56D6">
      <w:pPr>
        <w:pStyle w:val="TextoNormal"/>
      </w:pPr>
    </w:p>
    <w:p w:rsidR="00AC56D6" w:rsidRDefault="00AC56D6" w:rsidP="00AC56D6">
      <w:pPr>
        <w:pStyle w:val="TextoNormal"/>
      </w:pPr>
      <w:r>
        <w:t xml:space="preserve">Frente a la alegación relativa a la falta de queja de los interventores del PP, la Sentencia ahora impugnada, recordando el tenor del artículo 108.2 LOREG, estimaba que “literalmente considerado este artículo podría interpretarse en el sentido preconizado por la actora y entenderse que la falta de constancia en las actas de las incidencias en que se base la reclamación provoca la pérdida de la ocasión de su alegación. Sin embargo, la solución de la cuestión exige que analicemos la jurisprudencia constitucional al respecto. Sobre este problema se pronunció la STC 157/1991. El sustrato fáctico sobre el que se pronunció aquella sentencia venía referido a que la sentencia recurrida en amparo entendió que no cabía resolver la cuestión de fondo suscitada ya que la formación política recurrente no había satisfecho el requisito establecido por el art. 108.2 de la LOREG de haber hecho constar la incidencia denunciada, bien en el acta de escrutinio de la Mesa electoral en cuyo seno se produjo el supuesto error material bien en el acta de escrutinio general de la circunscripción. El objeto de la sentencia del Tribunal Constitucional fue determinar si la interpretación y aplicación realizada del citado art. 108.2 de la LOREG era o no la más favorable a la plena </w:t>
      </w:r>
      <w:r>
        <w:lastRenderedPageBreak/>
        <w:t>eficacia de los derechos fundamentales de la actora, derechos que se concretaban no sólo en el derecho a la tutela judicial efectiva sino también al derecho de acceso a los cargos y funciones públicas consagrado en el art. 23.2 CE”.</w:t>
      </w:r>
    </w:p>
    <w:p w:rsidR="00AC56D6" w:rsidRDefault="00AC56D6" w:rsidP="00AC56D6">
      <w:pPr>
        <w:pStyle w:val="TextoNormal"/>
      </w:pPr>
    </w:p>
    <w:p w:rsidR="00AC56D6" w:rsidRDefault="00AC56D6" w:rsidP="00AC56D6">
      <w:pPr>
        <w:pStyle w:val="TextoNormal"/>
      </w:pPr>
      <w:r>
        <w:t>Tras recordar la doctrina sentada en la citada Sentencia de este Tribunal, consideró el órgano judicial que, “en el caso por nosotros enjuiciado, no se hace incidencia en la demanda en la falta de diligencia de la candidatura del PP, pero lo más importante es que nos encontramos ante una situación en la que se agotó correctamente la vía administrativa y la Administración Electoral no encontró obstáculo alguno para hacer pronunciamiento de fondo. Lo que se pretende en la demanda es que, a pesar de existir un pronunciamiento de fondo en vía administrativa, la Sala deje sin efecto la resolución administrativa por la concurrencia de un defecto formal que no fue apreciado por la Administración Electoral”.</w:t>
      </w:r>
    </w:p>
    <w:p w:rsidR="00AC56D6" w:rsidRDefault="00AC56D6" w:rsidP="00AC56D6">
      <w:pPr>
        <w:pStyle w:val="TextoNormal"/>
      </w:pPr>
    </w:p>
    <w:p w:rsidR="00AC56D6" w:rsidRDefault="00AC56D6" w:rsidP="00AC56D6">
      <w:pPr>
        <w:pStyle w:val="TextoNormal"/>
      </w:pPr>
      <w:r>
        <w:t>En cuanto al fondo del problema señala que, abordando la cuestión de fondo planteada, la discusión se centra en la interpretación que quepa dar al apartado 1 del artículo 96 LOREG cuando dispone que “es nulo el voto emitido en sobre o papeleta diferente del modelo oficial, así como el emitido en papeleta sin sobre o en sobre que contenga más de una papeleta de distinta candidatura. En el supuesto de contener más de una papeleta de la misma candidatura, se computará como un solo voto válido”. Considera el órgano judicial que “los problemas se plantean porque las papeletas introducidas en el mismo sobre pertenecían una a las elecciones municipales y la otra a las autonómicas, por lo que no se daría el supuesto previsto en el artículo 96.1 LOREG de que pertenezcan a la misma candidatura. Es este un problema que ha sido resuelto con frecuencia por la Junta Electoral Central pudiendo afirmarse que su doctrina administrativa es favorable a dar validez al voto en los supuestos en que se introducen papeletas correspondientes a procesos electorales que se celebran simultáneamente”. Se citan en la Sentencia impugnada diversos acuerdos de la Junta Electoral Central que consideran válidos los votos en los supuestos en que se introducen papeletas correspondientes a procesos electorales que se celebran simultáneamente. Descarta el órgano judicial que la STC 165/1991, alegada por el partido recurrente, sea aplicable al supuesto discutido.</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El recurso de amparo se fundamenta, en primer lugar, en la alegación de vulneración del derecho a la tutela judicial efectiva, </w:t>
      </w:r>
      <w:r w:rsidRPr="00AC56D6">
        <w:rPr>
          <w:i/>
        </w:rPr>
        <w:t>ex</w:t>
      </w:r>
      <w:r>
        <w:t xml:space="preserve"> art. 24 CE; argumenta este motivo en el hecho de que los interventores del PP no reclamaron ni en el recuento de las mesas ni en el escrutinio lo que luego impugnarían; además se aduce que la Junta electoral de Zona de Lorca rechazó la pretensión del PP y, sin embargo, la Junta Electoral Central, en sesión de 5 de junio de 2015, con infracción de sus propios acuerdos y de la función exclusivamente revisora de sus competencias, la admitió a pesar de la dicción literal del artículo 108.2 LOREG, que expresamente prevé que la reclamaciones solo pueden referirse a incidencias recogidas en el acta de la sesión de las mesas o de escrutinio de las juntas electorales. Además, considera que se lesiona el art. 14 CE puesto que la Junta Electoral Central ha mantenido criterios diferentes en otras ocasiones. Cita determinadas Sentencias del Tribunal Constitucional para fundamentar esta queja.</w:t>
      </w:r>
    </w:p>
    <w:p w:rsidR="00AC56D6" w:rsidRDefault="00AC56D6" w:rsidP="00AC56D6">
      <w:pPr>
        <w:pStyle w:val="TextoNormal"/>
      </w:pPr>
    </w:p>
    <w:p w:rsidR="00AC56D6" w:rsidRDefault="00AC56D6" w:rsidP="00AC56D6">
      <w:pPr>
        <w:pStyle w:val="TextoNormal"/>
      </w:pPr>
      <w:r>
        <w:t xml:space="preserve">Asimismo, entiende vulnerado el 23.2 CE. Parte el recurrente del art. 96.1 LOREG según el cual “Es nulo el voto emitido en sobre o papeleta diferente del modelo oficial, así como el emitido en papeleta sin sobre o en sobre que contenga más de una papeleta de distinta candidatura. En el supuesto de contener más de una papeleta de la misma candidatura, se </w:t>
      </w:r>
      <w:r>
        <w:lastRenderedPageBreak/>
        <w:t>computará como un sólo voto válido”. Por tanto, los ocho votos que se declararon nulos por la mesa y por la junta electoral de zona lo fueron por infracción del art. 96 LOREG. Reitera que de los ocho votos nulos validados al PP por la Junta Electoral Central, en los que en el sobre de las elecciones locales existe una papeleta con la candidatura del PP a las elecciones locales y otra de la candidatura del mismo partido a las elecciones autonómicas, existe en una mesa, en un mismo sobre para las elecciones locales, una papeleta para las elecciones locales y dos papeletas para las elecciones autonómicas, y este matiz es importante, a su juicio, porque no es un error introducir dos papeletas de un proceso electoral distinto a candidaturas distintas. Reprocha que la Sentencia impugnada no resuelva este problema, sino que se limitó a citar determinados acuerdos de la Junta Electoral Central que se recogían en las alegaciones del PP. Considera que los ocho votos son nulos por las siguientes razones: no consta protesta o reclamación en ninguna de las ocho mesas electorales ni en el acta de escrutinio por los representantes del PP; no hay dos papeletas de la misma candidatura, sino del mismo partido político, que es una cuestión muy distinta; hay una papeleta para un proceso electoral concreto (elecciones municipales) y otra para un proceso electoral distinto (elecciones autonómicas), aunque sea del mismo partido político; son procesos electorales distintos, y los votos son nulos, tal como viene declarando la Junta Electoral Central en acuerdos de 22, 23 y 24 de junio de 2009 y acuerdo de 6 de junio de 2011. La Junta Electoral Central se arroga la facultad de decidir cuál ha sido la “voluntad clara e inequívoca del elector”, cuando no es clara, sobre todo en el caso en el que se introducen tres papeletas en un solo sobre.</w:t>
      </w:r>
    </w:p>
    <w:p w:rsidR="00AC56D6" w:rsidRDefault="00AC56D6" w:rsidP="00AC56D6">
      <w:pPr>
        <w:pStyle w:val="TextoNormal"/>
      </w:pPr>
    </w:p>
    <w:p w:rsidR="00AC56D6" w:rsidRDefault="00AC56D6" w:rsidP="00AC56D6">
      <w:pPr>
        <w:pStyle w:val="TextoNormal"/>
      </w:pPr>
      <w:r>
        <w:t>Por último, alega la vulneración del art. 14 CE, que se habría producido en dos momentos distintos. La primera vez cuando la Junta Electoral Central (acuerdo de 5 junio de 2015), incumpliendo el articu1o 108.2 LOREG, entra a conocer de un recurso sobre la nulidad de ocho votos cuando en ningún momento se había realizado ninguna protesta u observación ni en la mesa ni en el escrutinio general. La segunda vez cuando la Junta Electoral Central (acuerdo de 5 de junio de 2015), entrando a valorar en el fondo sobre unos votos declarados nulos por la junta electoral de zona que los representantes del PP en las mesas aceptaron como nulos, les da validez atendiendo a la voluntad inequívoca del elector y, sin embargo, declara nulos cuatro votos del PSOE, que fueron declarados nulos en la mesa, sin perjuicio de la reclamación y protesta del apoderado del PSOE en la mesa. Por tanto, existe una desigualdad de trato cuando se abre un debate y la resolución favorable a las pretensiones del PP por parte de la Junta Electoral Central en relación a los ocho votos nulos supone un agravio comparativo hacia el resto de las formaciones políticas, que no impugnaron ante la Junta Electoral Central los resultados electorales basándose en el cómputo de los votos suyos declarados como nulos y precisamente no lo hicieron por no haberlo hecho en el momento procesal oportuno ante la mesa electoral ni en el escrutinio general ante la junta electoral de zona. De este modo se revisan arbitraria e ilegítimamente unos votos declarados nulos con “declaración firme”, por indiscutida en las mesas electorales y en la Junta Electoral de Zona de Lorca, pudiendo existir entre los declarados nulos en otras mesas y también indiscutidos, votos de las mismas características de otras formaciones políticas, incluido el PSOE.</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Por providencia de 1 de julio de 2015, la Sección Cuarta de este Tribunal acordó admitir a trámite la demanda y, a tenor de lo dispuesto en el art. 51 de la Ley Orgánica del Tribunal Constitucional (LOTC), interesar a la Sección Segunda de la Sala de lo Contencioso-Administrativo del Tribunal Superior de Justicia de Murcia para que emplazaran a </w:t>
      </w:r>
      <w:r>
        <w:lastRenderedPageBreak/>
        <w:t>quienes hubieran sido partes en el procedimiento, para que en el plazo de tres días se personaran ante el Tribunal Constitucional y formularan alegaciones pertinentes conforme a lo previsto en el art. 3 del acuerdo del Pleno de 20 de enero de 2000, por el que se aprueban las normas sobre tramitación de los recursos de amparo a los que se refiere la Ley Orgánica 5/1985, de 19 de junio, del régimen electoral general. Asimismo, se acordó dar vista de las actuaciones al Ministerio Fiscal por plazo de cinco días para que formulara las alegaciones oportunas.</w:t>
      </w:r>
    </w:p>
    <w:p w:rsidR="00AC56D6" w:rsidRDefault="00AC56D6" w:rsidP="00AC56D6">
      <w:pPr>
        <w:pStyle w:val="TextoNormal"/>
      </w:pPr>
    </w:p>
    <w:p w:rsidR="00AC56D6" w:rsidRDefault="00AC56D6" w:rsidP="00AC56D6">
      <w:pPr>
        <w:pStyle w:val="TextoNormal"/>
      </w:pPr>
      <w:r w:rsidRPr="00AC56D6">
        <w:rPr>
          <w:rStyle w:val="NumeroAFNegritaCaracter"/>
        </w:rPr>
        <w:t>5</w:t>
      </w:r>
      <w:r>
        <w:t>. Mediante escrito de 3 de julio de 2015 se personó y formuló alegaciones el PP, mediante la representación del Procurador de los Tribunales don Manuel Sánchez-Puelles y González de Carvajal.</w:t>
      </w:r>
    </w:p>
    <w:p w:rsidR="00AC56D6" w:rsidRDefault="00AC56D6" w:rsidP="00AC56D6">
      <w:pPr>
        <w:pStyle w:val="TextoNormal"/>
      </w:pPr>
    </w:p>
    <w:p w:rsidR="00AC56D6" w:rsidRDefault="00AC56D6" w:rsidP="00AC56D6">
      <w:pPr>
        <w:pStyle w:val="TextoNormal"/>
      </w:pPr>
      <w:r>
        <w:t>Comienza sus alegaciones planteando diversas causas de inadmisión del recurso. En primer término considera que no existe una correspondencia entre lo alegado en la vía contenciosa-administrativa y en el recurso de amparo, en el que no se defiende la vulneración real de preceptos constitucionales; esto vendría corroborado por el hecho de que en el suplico de la demanda de amparo no se pide la declaración de vulneración de principios constitucionales. Asimismo, se queja de que en el recurso de amparo se hace una especial mención a un voto en el que en un mismo sobre para las elecciones locales existía una papeleta para las elecciones municipales y dos papeletas para las elecciones autonómicas, proponiendo la invalidez de dicho voto, planteando así, a su juicio, una nueva cuestión de fondo a resolver por el Tribunal Constitucional, incurriendo la formación recurrente en causa de inadmisión del recurso interpuesto. Después de recordar el carácter subsidiario del recurso de amparo, explica que en el presente caso, el recurso se dirige contra el acuerdo de la Junta Electoral Central que fue confirmado por Sentencia del Tribunal Superior de Justicia de Murcia, de fecha 26 de Junio de 2015. Sin embargo, no se planteó ante las juntas electorales de zona y central ni en el proceso contencioso previo, cuestión alguna relativa a la infracción de los derechos constitucionales que ahora entienden vulnerados los recurrentes. Por ello no puede entenderse correctamente agotada la vía judicial previa a este recurso de amparo, respecto de esta nueva cuestión de fondo planteada, lo que constituye igualmente causa de inadmisibilidad del recurso, por aplicación del art. 50.1 b) LOTC en conexión con el 43.1, ambos de dicha Ley Orgánica. Considera que la invocación del art. 24 CE que se realiza en la demanda de amparo no se corresponde con una lesión de tal artículo, ya que desde ningún aspecto dentro del marco de garantías que constitucionaliza el art. 24 CE puede oponerse vulneración alguna en la declaración de validez de los ocho votos correspondientes al PP. Por ello, considera que existe una carencia de contenido de la demanda, en lo que respecta al amparo constitucional, así como una falta de argumentación y debida motivación respecto de las vulneraciones de principios constitucionales que supone una causa de inadmisión del recurso de amparo interpuesto. Por último, recordando el requisito de la especial trascendencia constitucional recogido en el art. 50.1 LOTC, considera que, en el presente caso, el recurso interpuesto carece absolutamente de contenido constitucional, y, además, del recurso no se desprende en ningún momento justificación alguna en razón de una especial trascendencia constitucional de la decisión del Tribunal sobre el fondo del recurso, que no es otra que solapadamente aprovechar este cauce procesal para volver a intentar la declaración de nulidad de los ocho votos declarados válidos al PP. Por tanto, aduce, existe causa insubsanable de inadmisión del recurso fundada en el art. 50.1 LOTC.</w:t>
      </w:r>
    </w:p>
    <w:p w:rsidR="00AC56D6" w:rsidRDefault="00AC56D6" w:rsidP="00AC56D6">
      <w:pPr>
        <w:pStyle w:val="TextoNormal"/>
      </w:pPr>
    </w:p>
    <w:p w:rsidR="00AC56D6" w:rsidRDefault="00AC56D6" w:rsidP="00AC56D6">
      <w:pPr>
        <w:pStyle w:val="TextoNormal"/>
      </w:pPr>
      <w:r>
        <w:lastRenderedPageBreak/>
        <w:t>En cuanto al fondo, considera que ninguna irregularidad supone la vía impugnatoria que realizó el PP reclamando ante la Junta Electoral Central la validez de los ocho votos inicialmente considerados nulos. En primer lugar, afirma que el PP realizó la correspondiente reclamación un día después del escrutinio general (28 de mayo de 2015), dicha reclamación fue atendida por la Junta Electoral de Zona que entró a conocer del fondo del asunto (al igual que posteriormente hace la Junta Electoral Central). En ningún momento la junta electoral de zona hace referencia, en su resolución, a la no realización de queja o protesta en momento anterior. Considera que el propio PSOE, ahora recurrente, reconoce que así fue al afirmar en la demanda de amparo que, frente al escrutinio general, se presentaron reclamaciones por parte del PP. Por tanto, ninguna irregularidad en cuanto a la oportuna reclamación se puede oponer al PP.</w:t>
      </w:r>
    </w:p>
    <w:p w:rsidR="00AC56D6" w:rsidRDefault="00AC56D6" w:rsidP="00AC56D6">
      <w:pPr>
        <w:pStyle w:val="TextoNormal"/>
      </w:pPr>
    </w:p>
    <w:p w:rsidR="00AC56D6" w:rsidRDefault="00AC56D6" w:rsidP="00AC56D6">
      <w:pPr>
        <w:pStyle w:val="TextoNormal"/>
      </w:pPr>
      <w:r>
        <w:t>Pone especial énfasis en denunciar que el hecho del sobre con tres papeletas (una correspondiente a la Alcaldía y dos relativas al proceso de la Comunidad Autónoma) no fue nunca puesto de manifiesto en la vía previa al presente recurso de amparo, por lo que es cuestión ajena a esta jurisdicción. A lo largo de las alegaciones, argumenta el PP que el verdadero núcleo del problema planteado es la validez o no de los ocho votos en los que se introdujeron en el sobre dos papeletas correspondientes al mismo partido político pero relativas a los dos procesos electorales (autonómico y local) que se celebraban en el mismo día. A este respecto, recuerda que es doctrina pacífica de la Junta Electoral Central considerar este tipo de votos como válidos puesto que es clara cuál es la voluntad de los electores. En este sentido, señala que la Junta Electoral Central dictó acuerdo en fecha 5 de junio de 2003, en relación al recurso presentado solicitando la declaración de nulidad de un voto dado por válido a favor del PSOE. En el fundamento de Derecho primero del citado acuerdo de la Junta Electoral Central, se dice: “Por lo que se refiere al recurso de la Agrupación Progresista de Beneixida el voto a favor del PSOE cuya nulidad se pretende es un voto emitido por un elector que incluyó en el sobre dos papeletas a favor del PSOE, una para las elecciones municipales de Beneixida y otras para las elecciones a Cortes Valencianas, error al que no cabe reconocer efecto invalidante puesto que no impide tener por clara e inequívoca la voluntad del elector, de votar al PSOE.”</w:t>
      </w:r>
    </w:p>
    <w:p w:rsidR="00AC56D6" w:rsidRDefault="00AC56D6" w:rsidP="00AC56D6">
      <w:pPr>
        <w:pStyle w:val="TextoNormal"/>
      </w:pPr>
    </w:p>
    <w:p w:rsidR="00AC56D6" w:rsidRDefault="00AC56D6" w:rsidP="00AC56D6">
      <w:pPr>
        <w:pStyle w:val="TextoNormal"/>
      </w:pPr>
      <w:r>
        <w:t>En definitiva, solicita el PP la inadmisión del recurso o, subsidiariamente, su desestimación.</w:t>
      </w:r>
    </w:p>
    <w:p w:rsidR="00AC56D6" w:rsidRDefault="00AC56D6" w:rsidP="00AC56D6">
      <w:pPr>
        <w:pStyle w:val="TextoNormal"/>
      </w:pPr>
    </w:p>
    <w:p w:rsidR="00AC56D6" w:rsidRDefault="00AC56D6" w:rsidP="00AC56D6">
      <w:pPr>
        <w:pStyle w:val="TextoNormal"/>
      </w:pPr>
      <w:r w:rsidRPr="00AC56D6">
        <w:rPr>
          <w:rStyle w:val="NumeroAFNegritaCaracter"/>
        </w:rPr>
        <w:t>6</w:t>
      </w:r>
      <w:r>
        <w:t>. El Ministerio Fiscal formuló sus alegaciones el 7 de julio de 2015, solicitando la desestimación del recurso de amparo.</w:t>
      </w:r>
    </w:p>
    <w:p w:rsidR="00AC56D6" w:rsidRDefault="00AC56D6" w:rsidP="00AC56D6">
      <w:pPr>
        <w:pStyle w:val="TextoNormal"/>
      </w:pPr>
    </w:p>
    <w:p w:rsidR="00AC56D6" w:rsidRDefault="00AC56D6" w:rsidP="00AC56D6">
      <w:pPr>
        <w:pStyle w:val="TextoNormal"/>
      </w:pPr>
      <w:r>
        <w:t>En primer lugar, en cuanto a la queja consistente en que el PP no habría cumplido con el requisito procedimental del agotamiento de la vía administrativa electoral, presupuesto necesario para poder acudir a la vía judicial contenciosa-electoral, considera que, sin perjuicio de que dicha formación política no objetara en la mesa electoral sobre la validez de los ochos votos que luego reclamaría, de las actuaciones aparece que se interpusieron las correspondientes reclamaciones ante las Juntas electorales correspondientes que dieron lugar al acuerdo de 29 de mayo de 2015 de la Junta Electoral de Zona de Lorca, que mantuvo la nulidad de los votos cuestionados, y al acuerdo de 5 junio de 2015 de la Junta Electoral Central que declaró la validez de los referidos votos emitidos a favor del PP, sin que a ello obste que no se hiciera la correspondiente protesta en el acta de la sesión de las mesas elec</w:t>
      </w:r>
      <w:r>
        <w:lastRenderedPageBreak/>
        <w:t xml:space="preserve">torales, pues en todo caso se ha dado ocasión de conocer la queja a los órganos de la administración electoral a quienes corresponde, inicialmente, pronunciarse y revisar la validez o nulidad de los votos emitidos declarada por las mesas electorales, agotándose así la vía previa administrativa a la fase judicial, por lo que la ausencia de aquella falta de protesta en el acta de la sesión de las mesas electorales, debe entenderse como una mera irregularidad que no vicia el procedimiento administrativo electoral. Además, no se trata aquí de un supuesto en que </w:t>
      </w:r>
      <w:r w:rsidRPr="00AC56D6">
        <w:rPr>
          <w:i/>
        </w:rPr>
        <w:t>per saltum</w:t>
      </w:r>
      <w:r>
        <w:t xml:space="preserve"> se acuda a la vía contenciosa-electoral obviando el procedimiento administrativo electoral, sino que se ha agotado el mismo con las reclamaciones ante las respectivas Juntas electorales. En consecuencia, debe descartarse la vulneración del derecho del art. 24 CE por la Sentencia de la Sala de lo Contencioso-Administrativo del Tribunal Superior de Justicia de Murcia, pues descartó motivadamente la falta de agotamiento de la vía administrativa electoral y entró a conocer sobre el fondo de la queja planteada.</w:t>
      </w:r>
    </w:p>
    <w:p w:rsidR="00AC56D6" w:rsidRDefault="00AC56D6" w:rsidP="00AC56D6">
      <w:pPr>
        <w:pStyle w:val="TextoNormal"/>
      </w:pPr>
    </w:p>
    <w:p w:rsidR="00AC56D6" w:rsidRDefault="00AC56D6" w:rsidP="00AC56D6">
      <w:pPr>
        <w:pStyle w:val="TextoNormal"/>
      </w:pPr>
      <w:r>
        <w:t xml:space="preserve">La queja relativa al art. 14 CE, que el partido recurrente argumenta al entender que la Junta Electoral Central, en su acuerdo de 5 de junio de 2015, se contradice, pues alcanza soluciones diferentes en supuestos que el mismo considera iguales, es rechazada también por el Ministerio Fiscal. Explica que el supuesto de hecho del que parte la reclamación del PP se refiere a que en los sobres de votación a las elecciones municipales aparecía, además de la papeleta de la candidatura al referido municipio, otra papeleta de la misma formación política relativa a las elecciones a la Asamblea Regional. En este caso la Junta Electoral Central estimó la validez de los votos por entender que, aun pertenecientes a candidaturas de procesos electorales diferentes, al ser idéntica la formación política la voluntad del elector era clara e inequívoca. Sin embargo, el elemento de comparación que trae a colación el demandante de amparo se concreta en que “cuatro votos municipales que contienen la papeleta sepia, habiéndose hallado posteriormente otros cuatro votos en las elecciones autonómicas que incluía una papeleta municipal”. En este caso, la Junta Electoral Central, en el mismo acuerdo de 5 de junio de 2015, declaró “nulo el voto emitido en papeleta de proceso electoral distinto, aun cuando se refiere a la misma formación política, pues se trata de una candidatura diferente a la proclamada para las elecciones municipales”. Recuerda el Ministerio Fiscal que un primer elemento que debe concurrir para poder considerar la vulneración del principio de igualdad es que el </w:t>
      </w:r>
      <w:r w:rsidRPr="00AC56D6">
        <w:rPr>
          <w:i/>
        </w:rPr>
        <w:t>tertium comparationis</w:t>
      </w:r>
      <w:r>
        <w:t xml:space="preserve"> sea el mismo, lo que no se da en el presente caso, pues mientras en el primer supuesto se trata de dos o más papeletas referidas a candidaturas a las elecciones municipales junto a candidaturas a las Asambleas legislativas, pero de la misma formación política, en el segundo se trata de papeletas correspondientes a las elecciones autonómicas que se depositaron como votos a las elecciones municipales. En consecuencia, ninguna quiebra del principio de igualdad de trato en el acceso a los cargos públicos se habría ocasionado por la Junta Electoral Central ni por la Sentencia de la Sala de lo Contencioso-Administrativo impugnada.</w:t>
      </w:r>
    </w:p>
    <w:p w:rsidR="00AC56D6" w:rsidRDefault="00AC56D6" w:rsidP="00AC56D6">
      <w:pPr>
        <w:pStyle w:val="TextoNormal"/>
      </w:pPr>
    </w:p>
    <w:p w:rsidR="00AC56D6" w:rsidRDefault="00AC56D6" w:rsidP="00AC56D6">
      <w:pPr>
        <w:pStyle w:val="TextoNormal"/>
      </w:pPr>
      <w:r>
        <w:t>Por lo que se refiere a la queja nuclear sobre el art. 23 CE, que imputan a la interpretación que la Sala de lo contencioso-Administrativo ha hecho del art. 96.1 LOREG, al hacer suya la doctrina de la Junta Electoral Central por la cual, aunque en un mismo sobre de votación figuren más de una papeleta de diferentes procesos electorales que se celebren simultáneamente, si las mismas son de idéntica formación política debe entenderse válido el voto, el Ministerio Fiscal considera que tal queja carece también de contenido.</w:t>
      </w:r>
    </w:p>
    <w:p w:rsidR="00AC56D6" w:rsidRDefault="00AC56D6" w:rsidP="00AC56D6">
      <w:pPr>
        <w:pStyle w:val="TextoNormal"/>
      </w:pPr>
    </w:p>
    <w:p w:rsidR="00AC56D6" w:rsidRDefault="00AC56D6" w:rsidP="00AC56D6">
      <w:pPr>
        <w:pStyle w:val="TextoNormal"/>
      </w:pPr>
      <w:r>
        <w:lastRenderedPageBreak/>
        <w:t>Si bien entiende que una interpretación literal de la Ley Orgánica del régimen electoral general, no admitiría la posibilidad de papeletas que no se correspondan con idéntica candidatura del mismo proceso electoral —no con otros diferentes, aunque sean de la misma formación política—, considera que es cierto que tanto la Junta Electoral como la Sala de lo Contencioso-Administrativo llevaron a cabo un juicio de intenciones del sentir del voto del elector, estableciendo una presunción de su voluntad a partir de la coincidencia de la formación política en las papeletas que figuran en el mismo sobre electoral. El principio de búsqueda de la verdad material, así como de conservación del voto, debe conducir a tener por válidos los ocho votos controvertidos, pues no puede descartarse de una manera razonable y probable el error material sufrido por el elector a la hora de introducir cada papeleta en su sobre correspondiente, por lo que la interpretación que hace la Junta Electoral Central y asume el órgano judicial debe considerarse razonable y conforme a la Ley Orgánica del régimen electoral general, pues en todo caso cada uno de los sobres contenían la papeleta de la candidatura municipal del PP y, en consecuencia, reflejaban la elección por parte del elector de las personas que figuraban en la candidatura municipal. Por todo ello, no se habría vulnerado el derecho del demandante de amparo del artículo 23.2 CE, derecho a acceder en condiciones de igualdad a los cargos públicos con los requisitos señalados por las leyes y, en consecuencia, procede desestimar el presente recurso de amparo.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Es objeto del presente recurso de amparo electoral promovido por el PSOE la Sentencia de 26 de junio de 2015 de la Sala de lo Contencioso-Administrativo, Sección Segunda, del Tribunal Superior de Justicia de Murcia por la que desestimó el recurso contencioso electoral contra el acuerdo de la Junta Electoral de Zona de Lorca de 8 de junio de 2015, por el que se aprobó el acta de proclamación de electos en las elecciones municipales celebradas el 24 de mayo de 2015, en cumplimiento del acuerdo de 5 de junio de 2015 de la Junta Electoral Central, por el que estimaba parcialmente el recurso del representante y declaraba la validez de ocho votos emitidos en determinadas mesas electorales.</w:t>
      </w:r>
    </w:p>
    <w:p w:rsidR="00AC56D6" w:rsidRDefault="00AC56D6" w:rsidP="00AC56D6">
      <w:pPr>
        <w:pStyle w:val="TextoNormal"/>
      </w:pPr>
    </w:p>
    <w:p w:rsidR="00AC56D6" w:rsidRDefault="00AC56D6" w:rsidP="00AC56D6">
      <w:pPr>
        <w:pStyle w:val="TextoNormal"/>
      </w:pPr>
      <w:r w:rsidRPr="00AC56D6">
        <w:rPr>
          <w:rStyle w:val="NumeroAFNegritaCaracter"/>
        </w:rPr>
        <w:t>2</w:t>
      </w:r>
      <w:r>
        <w:t>. Como ha quedado expuesto con más detalle en los antecedentes, el PSOE considera que las resoluciones impugnadas han vulnerado los arts. 14, 23.2 y 24 CE, en los términos expuestos en los antecedentes. El PP, al formular las oportunas alegaciones, solicitó la inadmisión del recurso de amparo al estar incurso, a su juicio, en diversos óbices procesales —especialmente la falta de justificación de la especial trascendencia constitucional— y, subsidiariamente, pide su desestimación; por su parte, el Ministerio Fiscal considera que el recurso debe ser desestimado ya que no aprecia lesión de derecho fundamental alguno del partido recurrente.</w:t>
      </w:r>
    </w:p>
    <w:p w:rsidR="00AC56D6" w:rsidRDefault="00AC56D6" w:rsidP="00AC56D6">
      <w:pPr>
        <w:pStyle w:val="TextoNormal"/>
      </w:pPr>
    </w:p>
    <w:p w:rsidR="00AC56D6" w:rsidRDefault="00AC56D6" w:rsidP="00AC56D6">
      <w:pPr>
        <w:pStyle w:val="TextoNormal"/>
      </w:pPr>
      <w:r>
        <w:t>Con carácter previo al examen de fondo de las quejas formuladas, debemos comprobar si, como plantea el PP en sus alegaciones, procede la inadmisión del recurso de amparo a tenor de lo dispuesto en el art. 50.1 a), en relación con el art. 49.1, ambos de la Ley Orgánica del Tribunal Constitucional (LOTC), por no haber satisfecho la recurrente la carga que le incumbía de justificar la especial trascendencia constitucional del recurso.</w:t>
      </w:r>
    </w:p>
    <w:p w:rsidR="00AC56D6" w:rsidRDefault="00AC56D6" w:rsidP="00AC56D6">
      <w:pPr>
        <w:pStyle w:val="TextoNormal"/>
      </w:pPr>
    </w:p>
    <w:p w:rsidR="00AC56D6" w:rsidRDefault="00AC56D6" w:rsidP="00AC56D6">
      <w:pPr>
        <w:pStyle w:val="TextoNormal"/>
      </w:pPr>
      <w:r>
        <w:t xml:space="preserve">Este análisis no resulta impedido por el momento procesal en el que nos encontramos. Según doctrina reiterada de este Tribunal, los defectos de los que pudiera estar afectado el </w:t>
      </w:r>
      <w:r>
        <w:lastRenderedPageBreak/>
        <w:t>recurso de amparo no resultan sanados porque la demanda haya sido inicialmente admitida a trámite. Por consiguiente, los presupuestos para la viabilidad del recurso pueden reconsiderarse en la Sentencia, de oficio o a instancia de parte, dando lugar, en su caso, a un pronunciamiento de inadmisión (por todas, SSTC 323/2006, de 20 de noviembre, FJ 1; 191/2009, de 28 de septiembre, FJ 2; 53/2010, de 4 de octubre, FJ 2; 12/2011, de 28 de febrero, FJ 2, y 44/2011, de 11 de abril, FJ 2). Este criterio rige también, naturalmente, cuando, como en el presente caso, se trata de verificar si el demandante ha cumplido con la carga de justificar la especial trascendencia constitucional (SSTC 69/2011, de 16 de mayo, FJ 2; 143/2011, de 26 de septiembre, FJ 2, y 107/2012, de 21 de mayo).</w:t>
      </w:r>
    </w:p>
    <w:p w:rsidR="00AC56D6" w:rsidRDefault="00AC56D6" w:rsidP="00AC56D6">
      <w:pPr>
        <w:pStyle w:val="TextoNormal"/>
      </w:pPr>
    </w:p>
    <w:p w:rsidR="00AC56D6" w:rsidRDefault="00AC56D6" w:rsidP="00AC56D6">
      <w:pPr>
        <w:pStyle w:val="TextoNormal"/>
      </w:pPr>
      <w:r>
        <w:t xml:space="preserve">Como ya dijimos en la STC 176/2012, de 15 de octubre, el examen de esta causa de inadmisión debe partir de que “el recurrente ha de satisfacer necesariamente, de acuerdo con lo dispuesto en el art. 49.1 </w:t>
      </w:r>
      <w:r w:rsidRPr="00AC56D6">
        <w:rPr>
          <w:i/>
        </w:rPr>
        <w:t>in fine</w:t>
      </w:r>
      <w:r>
        <w:t xml:space="preserve"> LOTC, la carga de justificar en la demanda la especial trascendencia constitucional del recurso” (STC 155/2009, de 25 de junio, FJ 2, citando los AATC 188/2008, de 21 de julio; 289/2008 y 290/2008, de 22 de septiembre). Este requisito se configura no sólo como una carga procesal de la parte, sino también como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(STC 69/2011, de 16 de mayo, FJ 3). Su ausencia es insubsanable, toda vez que “la interposición del recurso de amparo está sujeta a plazos de caducidad preclusivos, que no pueden ser reabiertos para dar cumplimiento a un requisito que afecta directamente a la determinación misma de la pretensión deducida en el recurso de amparo” (ATC 188/2008, de 21 de julio, FJ 3).</w:t>
      </w:r>
    </w:p>
    <w:p w:rsidR="00AC56D6" w:rsidRDefault="00AC56D6" w:rsidP="00AC56D6">
      <w:pPr>
        <w:pStyle w:val="TextoNormal"/>
      </w:pPr>
    </w:p>
    <w:p w:rsidR="00AC56D6" w:rsidRDefault="00AC56D6" w:rsidP="00AC56D6">
      <w:pPr>
        <w:pStyle w:val="TextoNormal"/>
      </w:pPr>
      <w:r>
        <w:t xml:space="preserve">Para satisfacer esta exigencia, la demanda de amparo no tiene que ajustarse a un modelo rígido, pero sí responder a los “cánones propios de este tipo de escritos procesales” (STC 17/2011, de 28 de febrero, FJ 2) y “tener en cuenta las precisiones que, con relación a esa específica carga, ha ido efectuando este Tribunal a través de diversas resoluciones que despejan las posibles dudas sobre el modo en el que se tiene que hacer efectiva” (STC 69/2011, de 16 de mayo, FJ 3). En particular, la STC 155/2009, de 25 de junio, FJ 2, avanzó en la interpretación del art. 50.1 b) LOTC identificando una serie no exhaustiva de casos en que “cabe apreciar que el contenido del recurso de amparo justifica una decisión sobre el fondo en razón de su especial trascendencia constitucional”. Hemos precisado también que la carga de justificar esta especial trascendencia consiste en un “esfuerzo argumental” (ATC 154/2010, de 15 de noviembre, FJ 4) que ponga en conexión las vulneraciones constitucionales alegadas con los criterios del art. 50.1 b) LOTC, explicitando la “proyección objetiva del amparo solicitado” y traduciendo en el plano formal (art. 49.1 LOTC) la exigencia material de la especial trascendencia constitucional del asunto (ATC 264/2009, de 16 de noviembre, FJ único). Por esta razón, no basta razonar la existencia de la vulneración de un derecho fundamental (SSTC 17/2011, de 28 de febrero, FJ 2; 69/2011, de 16 de mayo, FJ 3; 143/2011, de 26 de septiembre, FJ 2; 191/2011, de 12 de diciembre, FJ 3; también AATC 188/2008, de 21 de julio, FJ 2; 289/2008, de 22 de septiembre, FJ 2; 290/2008, de 22 de septiembre, FJ 2; 80/2009, de 9 de marzo, FJ 2; y 186/2010, de 29 de noviembre, FJ único); es preciso que “en la demanda se disocie adecuadamente la argumentación tendente a evidenciar la existencia de la lesión de un derecho fundamental —que sigue siendo, obviamente, un presupuesto inexcusable en cualquier demanda de amparo— y los razonamientos </w:t>
      </w:r>
      <w:r>
        <w:lastRenderedPageBreak/>
        <w:t>específicamente dirigidos a justificar que el recurso presenta especial trascendencia constitucional” (STC 17/2011, de 28 de febrero, FJ 2). Consecuentemente, “la exposición sobre la verosimilitud de la lesión del derecho fundamental no puede suplir la omisión de una argumentación expresa sobre la trascendencia constitucional del recurso de amparo” (ATC 252/2009, de 19 de octubre, FJ 1). Por lo mismo, tampoco satisface este requisito la demanda que pretende cumplimentar la carga justificativa con una “simple o abstracta mención” de la especial trascendencia constitucional, “huérfana de la más mínima argumentación”, que no permita advertir “por qué el contenido del recurso de amparo justifica una decisión sobre el fondo en atención a su importancia para la interpretación, aplicación o general eficacia de la Constitución o para la determinación del contenido y alcance de los derechos fundamentales” que se aleguen en la demanda (STC 69/2011, de 16 de mayo, FJ 3, citando el ATC 187/2010, de 29 de noviembre, FJ único).</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Aplicando la doctrina expuesta al caso de autos, hemos de coincidir con el parecer del PP en que la demanda de amparo no contiene justificación de su especial trascendencia constitucional conforme al art. 49.1 LOTC. La demanda no es ya que carezca de un apartado sobre su especial trascendencia constitucional, es que no menciona siquiera este requisito. Es más, no se halla esfuerzo argumental alguno destinado a vincular la vulneración constitucional alegada con los criterios del art. 50.1 b) LOTC. La demanda olvida que, tras la entrada en vigor de la Ley Orgánica 6/2007, de 24 de mayo, pesa sobre el recurrente la carga de argumentar explícitamente que el amparo solicitado tiene una proyección objetiva. En ausencia de justificación alguna relativa a este requisito, “el recurrente sitúa implícitamente el cumplimiento de su carga justificativa en la argumentación con la que sostiene la lesión de los derechos fundamentales alegados, confundiendo la vulneración del derecho con la especial trascendencia constitucional del recurso, o, alternativamente, el recurrente incumple de modo radical un deber que ha de satisfacer necesariamente” (STC 143/2011, de 26 de septiembre, FJ 2). Consecuentemente, el presente recurso debe inadmitirse por incumplimiento del art. 49.1 </w:t>
      </w:r>
      <w:r w:rsidRPr="00AC56D6">
        <w:rPr>
          <w:i/>
        </w:rPr>
        <w:t>in fine</w:t>
      </w:r>
      <w:r>
        <w:t xml:space="preserve"> LOTC.</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Inadmitir el recurso de amparo planteado por el Partido Socialista Obrero Español.</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catorce de julio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7" w:name="SENTENCIA_2015_161"/>
      <w:r>
        <w:lastRenderedPageBreak/>
        <w:t>SENTENCIA 161/2015, de 20 de julio de 2015</w:t>
      </w:r>
    </w:p>
    <w:bookmarkEnd w:id="17"/>
    <w:p w:rsidR="00AC56D6" w:rsidRDefault="00AC56D6" w:rsidP="00AC56D6">
      <w:pPr>
        <w:pStyle w:val="TtuloResolucin"/>
      </w:pPr>
      <w:r>
        <w:t>Sala Segunda</w:t>
      </w:r>
    </w:p>
    <w:p w:rsidR="00AC56D6" w:rsidRDefault="00AC56D6" w:rsidP="00AC56D6">
      <w:pPr>
        <w:pStyle w:val="TtuloBOE"/>
      </w:pPr>
      <w:r>
        <w:t>(BOE núm. 200, de 21 de agosto de 2015)</w:t>
      </w:r>
    </w:p>
    <w:p w:rsidR="00AC56D6" w:rsidRDefault="00AC56D6" w:rsidP="00AC56D6">
      <w:pPr>
        <w:pStyle w:val="TextoNormalCentrado"/>
      </w:pPr>
      <w:r>
        <w:t>ECLI:ES:TC:2015:161</w:t>
      </w:r>
    </w:p>
    <w:p w:rsidR="00AC56D6" w:rsidRDefault="00AC56D6" w:rsidP="00AC56D6">
      <w:pPr>
        <w:pStyle w:val="TextoNormalCentrado"/>
      </w:pPr>
    </w:p>
    <w:p w:rsidR="00AC56D6" w:rsidRDefault="00AC56D6" w:rsidP="00AC56D6">
      <w:pPr>
        <w:pStyle w:val="SntesisDescriptiva"/>
      </w:pPr>
      <w:r>
        <w:t>Cuestión de inconstitucionalidad 4558-2013. Planteada por el Juzgado de lo Contencioso-Administrativo número 17 de Madrid respecto del artículo 2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extinción, por pérdida de objeto, de la cuestión de inconstitucionalidad (STC 83/2015).</w:t>
      </w:r>
    </w:p>
    <w:p w:rsidR="00AC56D6" w:rsidRDefault="00AC56D6" w:rsidP="00AC56D6">
      <w:pPr>
        <w:pStyle w:val="SntesisAnaltica"/>
      </w:pPr>
    </w:p>
    <w:p w:rsidR="00AC56D6" w:rsidRDefault="00AC56D6" w:rsidP="00AC56D6">
      <w:pPr>
        <w:pStyle w:val="Extracto"/>
      </w:pPr>
      <w:r>
        <w:t>1.</w:t>
      </w:r>
      <w:r>
        <w:tab/>
        <w:t>La satisfacción extraprocesal de la pretensión deducida en el proceso laboral sobre la que se articula la cuestión de inconstitucionalidad le hace perder su objeto al ser dicha satisfacción uno de los posibles supuestos de extinción de la cuestión de inconstitucionalidad (STC 83/2015) [FJ 3].</w:t>
      </w:r>
    </w:p>
    <w:p w:rsidR="00AC56D6" w:rsidRDefault="00AC56D6" w:rsidP="00AC56D6">
      <w:pPr>
        <w:pStyle w:val="Extracto"/>
      </w:pPr>
    </w:p>
    <w:p w:rsidR="00AC56D6" w:rsidRDefault="00AC56D6" w:rsidP="00AC56D6">
      <w:pPr>
        <w:pStyle w:val="Extracto"/>
      </w:pPr>
      <w:r>
        <w:t>2.</w:t>
      </w:r>
      <w:r>
        <w:tab/>
        <w:t>Doctrina sobre las posibles causas de terminación extraordinaria de las cuestiones de inconstitucionalidad por pérdida sobrevenida de objeto (STC 83/2015) [FJ 3].</w:t>
      </w:r>
    </w:p>
    <w:p w:rsidR="00AC56D6" w:rsidRDefault="00AC56D6" w:rsidP="00AC56D6">
      <w:pPr>
        <w:pStyle w:val="Extracto"/>
      </w:pPr>
    </w:p>
    <w:p w:rsidR="00AC56D6" w:rsidRDefault="00AC56D6" w:rsidP="00AC56D6">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4558-2013, promovida por el Juzgado de lo Contencioso-Administrativo núm. 17 de Madrid contra el art. 2 del Real Decreto-ley 20/2012, de 13 de julio, de medidas para garantizar la estabilidad presupuestaria y de fomento de la competitividad, por posible vulneración del art. 9.3 CE. Han formulado alegaciones el Fiscal General del Estado y el Abogado del Estado. Ha sido Ponente el Magistrado don Antonio Narváez Rodríguez, quien expresa el parecer del Tribunal.</w:t>
      </w:r>
    </w:p>
    <w:p w:rsidR="00AC56D6" w:rsidRDefault="00AC56D6" w:rsidP="00AC56D6">
      <w:pPr>
        <w:pStyle w:val="TextoNormal"/>
      </w:pPr>
    </w:p>
    <w:p w:rsidR="00AC56D6" w:rsidRDefault="00AC56D6" w:rsidP="00AC56D6">
      <w:pPr>
        <w:pStyle w:val="TextoNormalNegritaCentrado"/>
        <w:keepNext/>
      </w:pPr>
      <w:r>
        <w:lastRenderedPageBreak/>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22 de julio de 2013 tuvo entrada en el Registro General de este Tribunal un oficio del Juzgado de lo Contencioso-Administrativo núm. 17 de Madrid al que se acompaña, junto con el testimonio del procedimiento abreviado núm. 125-2013, el Auto de 17 de julio de 2013, por el que se acuerda plantear cuestión de inconstitucionalidad en relación con el art. 2 del Real Decreto-ley 20/2012, de 13 de julio, de medidas para garantizar la estabilidad presupuestaria y de fomento de la competitividad, en su aplicación a los funcionarios públicos, por posible lesión del art. 9.3 CE, sobre el principio de irretroactividad de disposiciones restrictivas de derechos individuales.</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procesales de la cuestión de inconstitucionalidad planteada son, sucintamente expuestos, los siguientes:</w:t>
      </w:r>
    </w:p>
    <w:p w:rsidR="00AC56D6" w:rsidRDefault="00AC56D6" w:rsidP="00AC56D6">
      <w:pPr>
        <w:pStyle w:val="TextoNormal"/>
      </w:pPr>
    </w:p>
    <w:p w:rsidR="00AC56D6" w:rsidRDefault="00AC56D6" w:rsidP="00AC56D6">
      <w:pPr>
        <w:pStyle w:val="TextoNormal"/>
      </w:pPr>
      <w:r>
        <w:t>a) Un profesor numerario de la Universidad Politécnica de Madrid interpuso recurso contencioso-administrativo contra la desestimación presunta, por silencio administrativo, por dicha Universidad, de su reclamación de abono de la parte ya devengada correspondiente a la paga extraordinaria del mes de diciembre de 2012.</w:t>
      </w:r>
    </w:p>
    <w:p w:rsidR="00AC56D6" w:rsidRDefault="00AC56D6" w:rsidP="00AC56D6">
      <w:pPr>
        <w:pStyle w:val="TextoNormal"/>
      </w:pPr>
    </w:p>
    <w:p w:rsidR="00AC56D6" w:rsidRDefault="00AC56D6" w:rsidP="00AC56D6">
      <w:pPr>
        <w:pStyle w:val="TextoNormal"/>
      </w:pPr>
      <w:r>
        <w:t>b) Concluso el procedimiento y dentro del plazo para dictar Sentencia, el órgano judicial dictó providencia de 31 de mayo de 2013 por la que acordó oír a las partes y al Ministerio Fiscal para que alegasen sobre la pertinencia de plantear cuestión de inconstitucionalidad en relación con el art. 2 del Real Decreto-ley 20/2012, por posible vulneración del art. 9.3 CE. Según señalaba el Juzgado en la providencia, la duda de constitucionalidad se concretaba en que el citado precepto establece la reducción de las retribuciones en las cuantías que correspondiera percibir en el mes de diciembre de 2012 como consecuencia de la supresión de la paga o gratificación extraordinaria, sin establecer excepción alguna en cuanto a la parte que ya se hubiera devengado a la fecha de su entrada en vigor, el 15 de julio de 2012, lo que, partiendo del devengo por días de dicho concepto retributivo, podría vulnerar el art. 9.3 CE, que garantiza la irretroactividad de las disposiciones restrictivas de derechos individuales. En la providencia se planteaba también a las partes, como segunda cuestión, si consideraban preceptivo el planteamiento de la cuestión de inconstitucionalidad, o entendían que resultaba posible acomodar por vía interpretativa la norma al ordenamiento constitucional.</w:t>
      </w:r>
    </w:p>
    <w:p w:rsidR="00AC56D6" w:rsidRDefault="00AC56D6" w:rsidP="00AC56D6">
      <w:pPr>
        <w:pStyle w:val="TextoNormal"/>
      </w:pPr>
    </w:p>
    <w:p w:rsidR="00AC56D6" w:rsidRDefault="00AC56D6" w:rsidP="00AC56D6">
      <w:pPr>
        <w:pStyle w:val="TextoNormal"/>
      </w:pPr>
      <w:r>
        <w:t>c) Por escrito de 19 de junio de 2013, la parte recurrente consideró, en síntesis, que no resultaba necesario plantear la cuestión, al ser posible acomodar la norma al ordenamiento constitucional por vía interpretativa, tal y como había sido resuelto en diversas Sentencias de la Sala de lo Social del Tribunal Superior de Justicia de Madrid, sobre la misma cuestión. La Universidad demandada, por su parte, cumplimentó el trámite de audiencia mediante escrito de 18 de junio, manifestando su criterio favorable al planteamiento de la cuestión de inconstitucionalidad. En el mismo sentido se manifestó el Ministerio Fiscal en escrito de 12 de julio, en el que apreció la concurrencia de los presupuestos procesales para su planteamiento, sin pronunciarse sobre el fondo del asunto.</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3</w:t>
      </w:r>
      <w:r>
        <w:t>. Por Auto de 17 de julio de 2013, el Juzgado de lo Contencioso-Administrativo núm. 17 de Madrid acordó plantear la presente cuestión de inconstitucionalidad y del análisis de su contenido interesa destacar los siguientes puntos:</w:t>
      </w:r>
    </w:p>
    <w:p w:rsidR="00AC56D6" w:rsidRDefault="00AC56D6" w:rsidP="00AC56D6">
      <w:pPr>
        <w:pStyle w:val="TextoNormal"/>
      </w:pPr>
    </w:p>
    <w:p w:rsidR="00AC56D6" w:rsidRDefault="00AC56D6" w:rsidP="00AC56D6">
      <w:pPr>
        <w:pStyle w:val="TextoNormal"/>
      </w:pPr>
      <w:r>
        <w:t>a) Tras precisar los antecedentes de hecho en el planteamiento de la cuestión y transcribir el art. 2 del Real Decreto-ley 20/2012, de 13 de julio, de medidas para garantizar la estabilidad presupuestaria y de fomento de la competitividad, señala el órgano judicial que está claro que tal disposición suprime la percepción de la paga extraordinaria del mes de diciembre del año 2012 para el personal del sector público, y que lo hace a partir de su entrada en vigor (día 15 de julio de 2012), sin precisar el legislador excepciones por derechos ya devengados. Coincide en ello el órgano judicial con los razonamientos contenidos en un Auto de la Sala de lo Social de la Audiencia Nacional de 1 de marzo de 2013 en el que, resolviendo idéntica cuestión, se afirmaba por la Sala compartir el criterio del Abogado del Estado en el sentido de que el legislador era plenamente consciente de la posibilidad de que hubiera comenzado a devengarse la paga extraordinaria cuya percepción se suprimía, en tanto que indicaba que la medida afectaba a las cuantías “que corresponda percibir”, en tiempo verbal no condicional, admitiendo que el derecho ya se ha generado, no obstante lo cual cierra la puerta a su abono. Desde esa perspectiva, entendía la Sala que no era posible interpretar el art. 2 del Real Decreto-ley 20/2012 considerando que cabía abonar aquella parte de la paga extraordinaria de diciembre que ya se hubiera devengado a la fecha de la entrada en vigor de la citada norma, por oponerse a ello el tenor literal de la misma, conclusión que afirma compartir el órgano judicial proponente.</w:t>
      </w:r>
    </w:p>
    <w:p w:rsidR="00AC56D6" w:rsidRDefault="00AC56D6" w:rsidP="00AC56D6">
      <w:pPr>
        <w:pStyle w:val="TextoNormal"/>
      </w:pPr>
    </w:p>
    <w:p w:rsidR="00AC56D6" w:rsidRDefault="00AC56D6" w:rsidP="00AC56D6">
      <w:pPr>
        <w:pStyle w:val="TextoNormal"/>
      </w:pPr>
      <w:r>
        <w:t>b) Señala el órgano judicial, en relación con el alcance del derecho afectado por la disposición cuestionada, que de conformidad con la Ley del estatuto básico del empleado público —arts. 14 d) y 22.4—, el derecho a percibir las retribuciones constituye un derecho individual de los empleados públicos, formando parte de las mismas dos pagas extraordinarias al año, pagas que, de conformidad con el art. 22 de la Ley 33/1987, al que se remiten posteriores leyes de presupuestos, se devengan el primer día hábil de los meses de junio y diciembre. Se infiere de todo ello que el derecho nace por días, si bien se agrupa en dos períodos diferenciados a efectos de determinar su cuantía y proceder a su liquidación, habiéndose configurado por la jurisprudencia de la Sala de lo Social del Tribunal Supremo las pagas extras como conceptos retributivos.</w:t>
      </w:r>
    </w:p>
    <w:p w:rsidR="00AC56D6" w:rsidRDefault="00AC56D6" w:rsidP="00AC56D6">
      <w:pPr>
        <w:pStyle w:val="TextoNormal"/>
      </w:pPr>
    </w:p>
    <w:p w:rsidR="00AC56D6" w:rsidRDefault="00AC56D6" w:rsidP="00AC56D6">
      <w:pPr>
        <w:pStyle w:val="TextoNormal"/>
      </w:pPr>
      <w:r>
        <w:t>c) Señalado lo anterior, sintetiza seguidamente el Auto la doctrina constitucional sobre la prohibición de retroactividad de las disposiciones sancionadoras no favorables o restrictivas de derechos individuales prevista en el art. 9.3 CE, e indica que, conforme a ella, cabe estimar que la norma cuestionada constituye un caso de retroactividad auténtica, teniendo el derecho afectado la naturaleza de “derecho individual” merecedor de la protección del art. 9.3 CE. También en este punto afirma compartir los razonamientos del Auto de la Sala de lo Social de la Audiencia Nacional de 1 de marzo de 2013, en el sentido de que los derechos retributivos, consagrados en el art. 35 CE, pertenecen a esa esfera general de protección de la persona.</w:t>
      </w:r>
    </w:p>
    <w:p w:rsidR="00AC56D6" w:rsidRDefault="00AC56D6" w:rsidP="00AC56D6">
      <w:pPr>
        <w:pStyle w:val="TextoNormal"/>
      </w:pPr>
    </w:p>
    <w:p w:rsidR="00AC56D6" w:rsidRDefault="00AC56D6" w:rsidP="00AC56D6">
      <w:pPr>
        <w:pStyle w:val="TextoNormal"/>
      </w:pPr>
      <w:r>
        <w:t xml:space="preserve">d) Finalmente, considera el órgano judicial que no concurren circunstancias excepcionales que, de conformidad con la doctrina constitucional, pudieran justificar la retroactividad, circunstancias que deben ser interpretadas restrictivamente y sobre las que nada se indica </w:t>
      </w:r>
      <w:r>
        <w:lastRenderedPageBreak/>
        <w:t>en la exposición de motivos del Real Decreto-ley. Señala, en todo caso, que la medida cuestionada resulta meramente coyuntural, pues consiste en la supresión de una única paga extra, y que el mismo objetivo de reducción del gasto podría haberse conseguido mediante otras múltiples opciones no vulneradoras de la prohibición de retroactividad del art. 9.3 CE.</w:t>
      </w:r>
    </w:p>
    <w:p w:rsidR="00AC56D6" w:rsidRDefault="00AC56D6" w:rsidP="00AC56D6">
      <w:pPr>
        <w:pStyle w:val="TextoNormal"/>
      </w:pPr>
    </w:p>
    <w:p w:rsidR="00AC56D6" w:rsidRDefault="00AC56D6" w:rsidP="00AC56D6">
      <w:pPr>
        <w:pStyle w:val="TextoNormal"/>
      </w:pPr>
      <w:r>
        <w:t>e) Por todo lo expuesto, el Juzgado concluye que el art. 2 del Real Decreto-ley 20/2012, en la medida en que elimina la parte ya consolidada de la paga extraordinaria del mes de diciembre de los funcionarios públicos, implica retroactividad restrictiva de derechos individuales prohibida por el art. 9.3 CE, sin que sea posible acomodar por vía interpretativa la norma al ordenamiento constitucional y dependiendo el fallo del proceso de la validez de la norma, por lo que procede el planteamiento de la cuestión de inconstitucionalidad.</w:t>
      </w:r>
    </w:p>
    <w:p w:rsidR="00AC56D6" w:rsidRDefault="00AC56D6" w:rsidP="00AC56D6">
      <w:pPr>
        <w:pStyle w:val="TextoNormal"/>
      </w:pPr>
    </w:p>
    <w:p w:rsidR="00AC56D6" w:rsidRDefault="00AC56D6" w:rsidP="00AC56D6">
      <w:pPr>
        <w:pStyle w:val="TextoNormal"/>
      </w:pPr>
      <w:r w:rsidRPr="00AC56D6">
        <w:rPr>
          <w:rStyle w:val="NumeroAFNegritaCaracter"/>
        </w:rPr>
        <w:t>4</w:t>
      </w:r>
      <w:r>
        <w:t>. El Pleno de este Tribunal, a propuesta de la Sección Cuarta, acordó admitir a trámite la cuestión mediante providencia de 24 de septiembre de 2013;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de lo Contencioso-Administrativo núm. 17 de Madrid,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Por escrito registrado el 2 de octubre de 2013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AC56D6" w:rsidRDefault="00AC56D6" w:rsidP="00AC56D6">
      <w:pPr>
        <w:pStyle w:val="TextoNormal"/>
      </w:pPr>
    </w:p>
    <w:p w:rsidR="00AC56D6" w:rsidRDefault="00AC56D6" w:rsidP="00AC56D6">
      <w:pPr>
        <w:pStyle w:val="TextoNormal"/>
      </w:pPr>
      <w:r>
        <w:t>Mediante escrito registrado el 8 de octubre de 2013, el Presidente del Senado comunicó a este Tribunal el acuerdo de la Mesa para que se diera por personada a la Cámara y por ofrecida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6</w:t>
      </w:r>
      <w:r>
        <w:t>. El Abogado del Estado, mediante escrito de alegaciones registrado el 11 de octubre de 2013, se personó interesando la desestimación de la cuestión de inconstitucionalidad por las razones que, resumidamente, se exponen a continuación.</w:t>
      </w:r>
    </w:p>
    <w:p w:rsidR="00AC56D6" w:rsidRDefault="00AC56D6" w:rsidP="00AC56D6">
      <w:pPr>
        <w:pStyle w:val="TextoNormal"/>
      </w:pPr>
    </w:p>
    <w:p w:rsidR="00AC56D6" w:rsidRDefault="00AC56D6" w:rsidP="00AC56D6">
      <w:pPr>
        <w:pStyle w:val="TextoNormal"/>
      </w:pPr>
      <w:r>
        <w:t xml:space="preserve">Comienza señalando que el Juzgado no se cuestiona genéricamente la supresión de la paga extra al personal funcionario, sino que tan solo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w:t>
      </w:r>
      <w:r>
        <w:lastRenderedPageBreak/>
        <w:t>de la paga extraordinaria de Navidad (la correspondiente a la parte proporcional de los días 1 de junio a 15 de julio de 2012).</w:t>
      </w:r>
    </w:p>
    <w:p w:rsidR="00AC56D6" w:rsidRDefault="00AC56D6" w:rsidP="00AC56D6">
      <w:pPr>
        <w:pStyle w:val="TextoNormal"/>
      </w:pPr>
    </w:p>
    <w:p w:rsidR="00AC56D6" w:rsidRDefault="00AC56D6" w:rsidP="00AC56D6">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AC56D6" w:rsidRDefault="00AC56D6" w:rsidP="00AC56D6">
      <w:pPr>
        <w:pStyle w:val="TextoNormal"/>
      </w:pPr>
    </w:p>
    <w:p w:rsidR="00AC56D6" w:rsidRDefault="00AC56D6" w:rsidP="00AC56D6">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00AC56D6" w:rsidRDefault="00AC56D6" w:rsidP="00AC56D6">
      <w:pPr>
        <w:pStyle w:val="TextoNormal"/>
      </w:pPr>
    </w:p>
    <w:p w:rsidR="00AC56D6" w:rsidRDefault="00AC56D6" w:rsidP="00AC56D6">
      <w:pPr>
        <w:pStyle w:val="TextoNormal"/>
      </w:pPr>
      <w: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w:t>
      </w:r>
      <w:r>
        <w:lastRenderedPageBreak/>
        <w:t>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00AC56D6" w:rsidRDefault="00AC56D6" w:rsidP="00AC56D6">
      <w:pPr>
        <w:pStyle w:val="TextoNormal"/>
      </w:pPr>
    </w:p>
    <w:p w:rsidR="00AC56D6" w:rsidRDefault="00AC56D6" w:rsidP="00AC56D6">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Europea (STJUE de 26 de abril de 2005), pueden reputarse conformes a la Constitución modificaciones con cualquier grado de retroactividad cuando existan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AC56D6" w:rsidRDefault="00AC56D6" w:rsidP="00AC56D6">
      <w:pPr>
        <w:pStyle w:val="TextoNormal"/>
      </w:pPr>
    </w:p>
    <w:p w:rsidR="00AC56D6" w:rsidRDefault="00AC56D6" w:rsidP="00AC56D6">
      <w:pPr>
        <w:pStyle w:val="TextoNormal"/>
      </w:pPr>
      <w:r>
        <w:t>Por todo ello, se interesa la desestimación de la cuestión.</w:t>
      </w:r>
    </w:p>
    <w:p w:rsidR="00AC56D6" w:rsidRDefault="00AC56D6" w:rsidP="00AC56D6">
      <w:pPr>
        <w:pStyle w:val="TextoNormal"/>
      </w:pPr>
    </w:p>
    <w:p w:rsidR="00AC56D6" w:rsidRDefault="00AC56D6" w:rsidP="00AC56D6">
      <w:pPr>
        <w:pStyle w:val="TextoNormal"/>
      </w:pPr>
      <w:r w:rsidRPr="00AC56D6">
        <w:rPr>
          <w:rStyle w:val="NumeroAFNegritaCaracter"/>
        </w:rPr>
        <w:t>7</w:t>
      </w:r>
      <w:r>
        <w:t>. El Fiscal General del Estado presentó escrito de alegaciones ante este Tribunal el 5 de noviembre de 2013 interesando la estimación de la presente cuestión de inconstitucionalidad.</w:t>
      </w:r>
    </w:p>
    <w:p w:rsidR="00AC56D6" w:rsidRDefault="00AC56D6" w:rsidP="00AC56D6">
      <w:pPr>
        <w:pStyle w:val="TextoNormal"/>
      </w:pPr>
    </w:p>
    <w:p w:rsidR="00AC56D6" w:rsidRDefault="00AC56D6" w:rsidP="00AC56D6">
      <w:pPr>
        <w:pStyle w:val="TextoNormal"/>
      </w:pPr>
      <w:r>
        <w:t xml:space="preserve">Coincidiendo con lo expuesto en el Auto de planteamiento de la cuestión, considera el Fiscal que los derechos retributivos de los trabajadores están integrados en la “esfera general </w:t>
      </w:r>
      <w:r>
        <w:lastRenderedPageBreak/>
        <w:t>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AC56D6" w:rsidRDefault="00AC56D6" w:rsidP="00AC56D6">
      <w:pPr>
        <w:pStyle w:val="TextoNormal"/>
      </w:pPr>
    </w:p>
    <w:p w:rsidR="00AC56D6" w:rsidRDefault="00AC56D6" w:rsidP="00AC56D6">
      <w:pPr>
        <w:pStyle w:val="TextoNormal"/>
      </w:pPr>
      <w: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w:t>
      </w:r>
      <w:r w:rsidRPr="00AC56D6">
        <w:rPr>
          <w:i/>
        </w:rPr>
        <w:t>N.K.M. c.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w:t>
      </w:r>
      <w:r>
        <w:lastRenderedPageBreak/>
        <w:t>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t>El Fiscal General del Estado concluye sus alegaciones precisando que en el Auto de planteamiento no se cuestiona todo el art. 2 del Real Decreto-ley 20/2012 sino en concreto, sus apartados 2.1 y 2.2.1 ya que éstos son los que resultan aplicables para resolver el pleito sometido a su conocimiento y relevante en cuanto que el recurso del proceso subyacente se refiere exclusivamente al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 en tanto que, respecto a los funcionarios, la paga extraordinaria correspondiente al mes de diciembre se comienza a devengar en la fecha del 1 de junio de tal período.</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8 de junio de 2015 la Sala Segunda acordó, de conformidad con lo dispuesto en el art. 88 LOTC, dirigir atenta comunicación a la Universidad Politécnica de Madrid, a fin de que indique a este Tribunal si, en atención a lo previsto en la disposición adicional segunda de la Ley 36/2014, de presupuestos generales del Estado para el año 2015, o por cualquier otra circunstancia, ha satisfecho al profesor numerario de dicha Universidad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AC56D6" w:rsidRDefault="00AC56D6" w:rsidP="00AC56D6">
      <w:pPr>
        <w:pStyle w:val="TextoNormal"/>
      </w:pPr>
    </w:p>
    <w:p w:rsidR="00AC56D6" w:rsidRDefault="00AC56D6" w:rsidP="00AC56D6">
      <w:pPr>
        <w:pStyle w:val="TextoNormal"/>
      </w:pPr>
      <w:r w:rsidRPr="00AC56D6">
        <w:rPr>
          <w:rStyle w:val="NumeroAFNegritaCaracter"/>
        </w:rPr>
        <w:t>9</w:t>
      </w:r>
      <w:r>
        <w:t>. En contestación a dicha providencia la Jefa del Servicio de Asesoría Jurídica de la Universidad Politécnica de Madrid remitió a este Tribunal, con fecha de entrada 26 de junio de 2015, escrito del Jefe de Servicio de Retribuciones y Pagos en el que se hace constar que “en aplicación del art. 19 de la Orden de 20/1/2015 de la Consejería de Economía y Hacienda de la Comunidad de Madrid y la Resolución de 29 de diciembre de 2014 del Ministerio de Hacienda y Administraciones Públicas (‘BOE’ de 2 de enero de 2015)”, al citado profesor numerario “se le ha abonado la parte proporcional de paga extra del año 2012 en la nómina de febrero de 2015”.</w:t>
      </w:r>
    </w:p>
    <w:p w:rsidR="00AC56D6" w:rsidRDefault="00AC56D6" w:rsidP="00AC56D6">
      <w:pPr>
        <w:pStyle w:val="TextoNormal"/>
      </w:pPr>
    </w:p>
    <w:p w:rsidR="00AC56D6" w:rsidRDefault="00AC56D6" w:rsidP="00AC56D6">
      <w:pPr>
        <w:pStyle w:val="TextoNormal"/>
      </w:pPr>
      <w:r w:rsidRPr="00AC56D6">
        <w:rPr>
          <w:rStyle w:val="NumeroAFNegritaCaracter"/>
        </w:rPr>
        <w:t>10</w:t>
      </w:r>
      <w:r>
        <w:t>. Por providencia de 16 de julio de 2015, se señaló para deliberación y votación de la presente Sentencia el día 20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El Juzgado de lo Contencioso-Administrativo núm. 17 de Madrid plantea cuestión de inconstitucionalidad respecto del art. 2 del Real Decreto-ley 20/2012, de 13 de julio, de medidas para garantizar la estabilidad presupuestaria y de fomento de la competitividad, precepto que, en lo que aquí importa, dispone para el personal funcionario, la supresión de la paga extraordinaria y de la paga adicional de complemento específico o pagas adicionales </w:t>
      </w:r>
      <w:r>
        <w:lastRenderedPageBreak/>
        <w:t>equivalentes del mes de diciembre de 2012. En síntesis, el Juzgado entiende que el art. 2 del Real Decreto-ley 20/2012, en su aplicación al personal funcionario,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1de junio al 14 de julio de 2012).</w:t>
      </w:r>
    </w:p>
    <w:p w:rsidR="00AC56D6" w:rsidRDefault="00AC56D6" w:rsidP="00AC56D6">
      <w:pPr>
        <w:pStyle w:val="TextoNormal"/>
      </w:pPr>
    </w:p>
    <w:p w:rsidR="00AC56D6" w:rsidRDefault="00AC56D6" w:rsidP="00AC56D6">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al análisis de la cuestión planteada conviene realizar una serie de precisiones para acotar debidamente el objeto de la misma y el alcance de nuestro enjuiciamiento.</w:t>
      </w:r>
    </w:p>
    <w:p w:rsidR="00AC56D6" w:rsidRDefault="00AC56D6" w:rsidP="00AC56D6">
      <w:pPr>
        <w:pStyle w:val="TextoNormal"/>
      </w:pPr>
    </w:p>
    <w:p w:rsidR="00AC56D6" w:rsidRDefault="00AC56D6" w:rsidP="00AC56D6">
      <w:pPr>
        <w:pStyle w:val="TextoNormal"/>
      </w:pPr>
      <w:r>
        <w:t>a) Así, en primer lugar, resulta obligado advertir, en consonancia con lo manifestado en sus alegaciones respectivas por el Fiscal General del Estado y el Abogado del Estado, que si bien el Juzgado de lo Contencioso-Administrativo núm. 17 de Madrid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 los funcionarios públicos”. Ello se conecta lógicamente con el juicio de relevancia, correctamente expresado por el órgano judicial, pues la cuestión de inconstitucionalidad trae causa de un proceso promovido por un profesor numerario de la Universidad Politécnica de Madrid con motivo de la supresión, por aplicación de las previsiones contenidas en el Real Decreto-ley 20/2012, de la paga o gratificación extraordinaria de diciembre de 2012 al personal de esa Universidad, proceso en el que lo pretendido por el demandante es que se declare su derecho a percibir la parte proporcional de la paga extra de diciembre de 2012 que considera ya devengada al momento de la entrada en vigor del Real Decreto-ley 20/2012, en concreto cuarenta y cuatro días, porque, de acuerdo con el art. 9.3 CE, no cabe que la supresión de esa paga extra tenga efectos retroactivos.</w:t>
      </w:r>
    </w:p>
    <w:p w:rsidR="00AC56D6" w:rsidRDefault="00AC56D6" w:rsidP="00AC56D6">
      <w:pPr>
        <w:pStyle w:val="TextoNormal"/>
      </w:pPr>
    </w:p>
    <w:p w:rsidR="00AC56D6" w:rsidRDefault="00AC56D6" w:rsidP="00AC56D6">
      <w:pPr>
        <w:pStyle w:val="TextoNormal"/>
      </w:pPr>
      <w:r>
        <w:t>De este modo, en los términos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2.1 del art. 2 del Real Decreto-ley 20/2012, que se refiere específicamente a la supresión de la paga o gratificación extraordinaria de diciembre de 2012 o equivalente al personal funcionario.</w:t>
      </w:r>
    </w:p>
    <w:p w:rsidR="00AC56D6" w:rsidRDefault="00AC56D6" w:rsidP="00AC56D6">
      <w:pPr>
        <w:pStyle w:val="TextoNormal"/>
      </w:pPr>
    </w:p>
    <w:p w:rsidR="00AC56D6" w:rsidRDefault="00AC56D6" w:rsidP="00AC56D6">
      <w:pPr>
        <w:pStyle w:val="TextoNormal"/>
      </w:pPr>
      <w:r>
        <w:t xml:space="preserve">b) Por otra parte debe tenerse en cuenta que no se cuestiona por el Juzgado de lo Contencioso-Administrativo núm. 17 de Madrid la medida de supresión de la paga extraordinaria de diciembre de 2012 en sí misma considerada, sino sólo en cuanto que su aplicación haya podido suponer la infracción del principio de irretroactividad establecido en el 9.3 CE, al no contemplar excepción alguna respecto de las cuantías que se entienden ya devengadas de dicha paga extra (en concreto, cuarenta y cuatro días correspondientes a los servicios </w:t>
      </w:r>
      <w:r>
        <w:lastRenderedPageBreak/>
        <w:t>prestados entre el 1 de junio de 2012 y el 14 de julio de 2012) a la fecha de entrada en vigor del Real Decreto-ley 20/2012 (que tuvo lugar el 15 de julio de 2012, conforme a su disposición final decimoquinta). A esta concreta duda de constitucionalidad deberá, pues, ceñirse nuestro enjuiciamiento.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La disposición adicional duodécima de la Ley 36/2014, de 26 de diciembre, de presupuestos generales del Estado para 2015, bajo el epígrafe “Recuperación de la paga extraordinaria y adicional del mes de diciembre de 2012”, establece,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00AC56D6" w:rsidRDefault="00AC56D6" w:rsidP="00AC56D6">
      <w:pPr>
        <w:pStyle w:val="TextoNormal"/>
      </w:pPr>
    </w:p>
    <w:p w:rsidR="00AC56D6" w:rsidRDefault="00AC56D6" w:rsidP="00AC56D6">
      <w:pPr>
        <w:pStyle w:val="TextoNormal"/>
      </w:pPr>
      <w:r>
        <w:t>En virtud de esta habilitación, la Ley 3/2014, de 22 de diciembre, de presupuestos generales de la Comunidad de Madrid para el año 2015, ha previsto en su disposición adicional decimosexta, bajo el epígrafe “Recuperación de la paga extraordinaria y adicional del mes de diciembre de 2012 del personal al servicio del sector público de la Comunidad de Madrid” que “durante el año 2015, el personal del sector público de la Comunidad de Madrid definido en el artículo 19.1 de la Ley de Presupuestos Generales de la Comunidad de Madrid para el año 2012 percibirá las cantidades en concepto de recuperación de los importes efectivamente dejados de percibir como consecuencia de la supresión de la paga extraordinaria, así como de la paga adicional de complemento específico o pagas adicionales equivalentes, correspondientes al mes de diciembre de 2012, por aplicación del Real Decreto-ley 20/2012, de 13 de julio, de medidas para garantizar la estabilidad presupuestaria y de fomento a la competitividad, con el alcance y límites establecidos en la presente disposición”. Las cantidades que se abonarán por este concepto, sobre el importe dejado de percibir por cada empleado en aplicación del artículo 2 del Real Decreto-ley 20/2012, de 13 de julio, serán las equivalentes a la parte proporcional correspondiente a 44 días de la paga extraordinaria, paga adicional de complemento específico y pagas adicionales del mes de diciembre. No obstante, en relación con el personal que presta servicios en las universidades públicas y centros universitarios de la Comunidad de Madrid, el apartado 3 de la disposición adicional decimosexta de la citada Ley establece lo siguiente:</w:t>
      </w:r>
    </w:p>
    <w:p w:rsidR="00AC56D6" w:rsidRDefault="00AC56D6" w:rsidP="00AC56D6">
      <w:pPr>
        <w:pStyle w:val="TextoNormal"/>
      </w:pPr>
    </w:p>
    <w:p w:rsidR="00AC56D6" w:rsidRDefault="00AC56D6" w:rsidP="00AC56D6">
      <w:pPr>
        <w:pStyle w:val="TextoNormal"/>
      </w:pPr>
      <w:r>
        <w:t>“Las Universidades Públicas y centros universitarios de la Comunidad de Madrid, en el marco de la autonomía de que disponen de acuerdo con la Ley Orgánica 6/2001, de Universidades, se podrán acoger a las medidas previstas en esta disposición, condicionado al cumplimiento de los criterios y procedimientos establecidos en la Ley Orgánica 2/2012, de 27 de abril, de Estabilidad Presupuestaria y Estabilidad Financiera, en los términos establecidos por la normativa dictada por el Estado con carácter básico.</w:t>
      </w:r>
    </w:p>
    <w:p w:rsidR="00AC56D6" w:rsidRDefault="00AC56D6" w:rsidP="00AC56D6">
      <w:pPr>
        <w:pStyle w:val="TextoNormal"/>
      </w:pPr>
    </w:p>
    <w:p w:rsidR="00AC56D6" w:rsidRDefault="00AC56D6" w:rsidP="00AC56D6">
      <w:pPr>
        <w:pStyle w:val="TextoNormal"/>
      </w:pPr>
      <w:r>
        <w:t>En el supuesto de que las Universidades no se acogieran a las medidas previstas en esta disposición, la parte de las transferencias corrientes de carácter nominativo consignadas a favor de las Universidades Públicas cuya finalidad sea la recuperación de los conceptos señalados en los apartados anteriores se destinarán íntegramente a reducir su nivel de deuda.”</w:t>
      </w:r>
    </w:p>
    <w:p w:rsidR="00AC56D6" w:rsidRDefault="00AC56D6" w:rsidP="00AC56D6">
      <w:pPr>
        <w:pStyle w:val="TextoNormal"/>
      </w:pPr>
    </w:p>
    <w:p w:rsidR="00AC56D6" w:rsidRDefault="00AC56D6" w:rsidP="00AC56D6">
      <w:pPr>
        <w:pStyle w:val="TextoNormal"/>
      </w:pPr>
      <w:r>
        <w:lastRenderedPageBreak/>
        <w:t>Como consta en los antecedentes de esta resolución, de conformidad con lo dispuesto en el art. 88.1 de la Ley Orgánica del Tribunal Constitucional, la Sala Segunda de este Tribunal dirigió comunicación a la Universidad Politécnica de Madrid a fin de que indicara a este Tribunal si, en atención a lo dispuesto en la disposición adicional duodécima de la Ley 36/2014, de presupuestos generales del Estado para el año 2015, o por cualquier otra circunstancia, ha satisfecho al profesor numerario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 En contestación a dicha comunicación la Jefa del Servicio de Asesoría Jurídica informó a este Tribunal que “en aplicación del art. 19 de la Orden de 20/1/2015 de la Consejería de Economía y Hacienda de la Comunidad de Madrid y la Resolución de 29 de diciembre de 2014 del Ministerio de Hacienda y Administraciones Públicas”, al profesor numerario señalado, “se le ha abonado la parte proporcional de la paga extra del año 2012 en la nómina de febrero de 2015”. De este modo, al citado profesor se le ha abonado la parte proporcional correspondiente a 44 días de la paga extraordinaria del mes de diciembre de 2012.</w:t>
      </w:r>
    </w:p>
    <w:p w:rsidR="00AC56D6" w:rsidRDefault="00AC56D6" w:rsidP="00AC56D6">
      <w:pPr>
        <w:pStyle w:val="TextoNormal"/>
      </w:pPr>
    </w:p>
    <w:p w:rsidR="00AC56D6" w:rsidRDefault="00AC56D6" w:rsidP="00AC56D6">
      <w:pPr>
        <w:pStyle w:val="TextoNormal"/>
      </w:pPr>
      <w:r>
        <w:t>Como consecuencia del abono de la parte proporcional de la paga extraordinaria del mes de diciembre de 2012, debemos remitirnos a lo dicho recientemente en nuestra STC 83/2015, de 30 de abril, sobre la posible pérdida de objeto de la cuestión de inconstitucionalidad.</w:t>
      </w:r>
    </w:p>
    <w:p w:rsidR="00AC56D6" w:rsidRDefault="00AC56D6" w:rsidP="00AC56D6">
      <w:pPr>
        <w:pStyle w:val="TextoNormal"/>
      </w:pPr>
    </w:p>
    <w:p w:rsidR="00AC56D6" w:rsidRDefault="00AC56D6" w:rsidP="00AC56D6">
      <w:pPr>
        <w:pStyle w:val="TextoNormal"/>
      </w:pPr>
      <w:r>
        <w:t xml:space="preserve">En el fundamento jurídico 3,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presente—, ni se había producido la extinción del procedimiento laboral a quo, ni tampoco nos encontrábamos ante un supuesto de pérdida de vigencia del precepto legal cuestionado, ello no obstante, era innegable la incidencia que tenía la medida contenida en la disposición adicional duodécima de la Ley 36/2014, de presupuestos generales del Estado para 2015 sobre la pretensión deducida en el pleito </w:t>
      </w:r>
      <w:r w:rsidRPr="00AC56D6">
        <w:rPr>
          <w:i/>
        </w:rPr>
        <w:t>a quo</w:t>
      </w:r>
      <w:r>
        <w:t>, “que afecta de modo determinante a la subsistencia del presente proceso constitucional, dada la estrecha vinculación existente entre toda cuestión de inconstitucionalidad y el procedimiento judicial de que dimana.”</w:t>
      </w:r>
    </w:p>
    <w:p w:rsidR="00AC56D6" w:rsidRDefault="00AC56D6" w:rsidP="00AC56D6">
      <w:pPr>
        <w:pStyle w:val="TextoNormal"/>
      </w:pPr>
    </w:p>
    <w:p w:rsidR="00AC56D6" w:rsidRDefault="00AC56D6" w:rsidP="00AC56D6">
      <w:pPr>
        <w:pStyle w:val="TextoNormal"/>
      </w:pPr>
      <w:r>
        <w:t>En la presente cuestión de inconstitucionalidad se plantea si la supresión del derecho de un profesor numerario de la Universidad Politécnica de Madrid a percibir la parte proporcional (en concreto, 44 días) de la paga extra de diciembre de 2012, por entenderse ya devengada al momento de la entrada en vigor del Real Decreto-ley 20/2012, contraviene el art. 9.3 CE. En esos términos planteada la cuestión es obligado concluir, como hicimos en la STC 83/2015,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00AC56D6" w:rsidRDefault="00AC56D6" w:rsidP="00AC56D6">
      <w:pPr>
        <w:pStyle w:val="TextoNormal"/>
      </w:pPr>
    </w:p>
    <w:p w:rsidR="00AC56D6" w:rsidRDefault="00AC56D6" w:rsidP="00AC56D6">
      <w:pPr>
        <w:pStyle w:val="TextoNormal"/>
      </w:pPr>
      <w:r>
        <w:t>Conforme a lo expuesto, el abono al profesor numerario de la Universidad Politécnica de Madrid cuya demanda ha dado lugar al planteamiento de la presente cuestión de inconstitucionalidad de la parte correspondiente a 44 días de la paga extraordinaria de diciembre de 2012,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Declarar la extinción de la presente cuestión de inconstitucionalidad núm. 4558-2013 por desaparición sobrevenida de su objeto.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veinte de julio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8" w:name="SENTENCIA_2015_162"/>
      <w:r>
        <w:lastRenderedPageBreak/>
        <w:t>SENTENCIA 162/2015, de 20 de julio de 2015</w:t>
      </w:r>
    </w:p>
    <w:bookmarkEnd w:id="18"/>
    <w:p w:rsidR="00AC56D6" w:rsidRDefault="00AC56D6" w:rsidP="00AC56D6">
      <w:pPr>
        <w:pStyle w:val="TtuloResolucin"/>
      </w:pPr>
      <w:r>
        <w:t>Sala Segunda</w:t>
      </w:r>
    </w:p>
    <w:p w:rsidR="00AC56D6" w:rsidRDefault="00AC56D6" w:rsidP="00AC56D6">
      <w:pPr>
        <w:pStyle w:val="TtuloBOE"/>
      </w:pPr>
      <w:r>
        <w:t>(BOE núm. 200, de 21 de agosto de 2015)</w:t>
      </w:r>
    </w:p>
    <w:p w:rsidR="00AC56D6" w:rsidRDefault="00AC56D6" w:rsidP="00AC56D6">
      <w:pPr>
        <w:pStyle w:val="TextoNormalCentrado"/>
      </w:pPr>
      <w:r>
        <w:t>ECLI:ES:TC:2015:162</w:t>
      </w:r>
    </w:p>
    <w:p w:rsidR="00AC56D6" w:rsidRDefault="00AC56D6" w:rsidP="00AC56D6">
      <w:pPr>
        <w:pStyle w:val="TextoNormalCentrado"/>
      </w:pPr>
    </w:p>
    <w:p w:rsidR="00AC56D6" w:rsidRDefault="00AC56D6" w:rsidP="00AC56D6">
      <w:pPr>
        <w:pStyle w:val="SntesisDescriptiva"/>
      </w:pPr>
      <w:r>
        <w:t>Cuestión de inconstitucionalidad 5371-2013. Planteada por el Juzgado de lo Contencioso-Administrativo número 1 de Mérida en relación con los artículos 2.1 y 2.2.2.1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y expropiación de derechos económicos: extinción, por pérdida de objeto, de la cuestión de inconstitucionalidad (STC 83/2015).</w:t>
      </w:r>
    </w:p>
    <w:p w:rsidR="00AC56D6" w:rsidRDefault="00AC56D6" w:rsidP="00AC56D6">
      <w:pPr>
        <w:pStyle w:val="SntesisAnaltica"/>
      </w:pPr>
    </w:p>
    <w:p w:rsidR="00AC56D6" w:rsidRDefault="00AC56D6" w:rsidP="00AC56D6">
      <w:pPr>
        <w:pStyle w:val="Extracto"/>
      </w:pPr>
      <w:r>
        <w:t>1.</w:t>
      </w:r>
      <w:r>
        <w:tab/>
        <w:t>La satisfacción extraprocesal de la pretensión deducida en el proceso laboral sobre la que se articula la cuestión de inconstitucionalidad le hace perder su objeto al ser dicha satisfacción uno de los posibles supuestos de extinción de la cuestión de inconstitucionalidad (STC 83/2015) [FJ 3].</w:t>
      </w:r>
    </w:p>
    <w:p w:rsidR="00AC56D6" w:rsidRDefault="00AC56D6" w:rsidP="00AC56D6">
      <w:pPr>
        <w:pStyle w:val="Extracto"/>
      </w:pPr>
    </w:p>
    <w:p w:rsidR="00AC56D6" w:rsidRDefault="00AC56D6" w:rsidP="00AC56D6">
      <w:pPr>
        <w:pStyle w:val="Extracto"/>
      </w:pPr>
      <w:r>
        <w:t>2.</w:t>
      </w:r>
      <w:r>
        <w:tab/>
        <w:t>Doctrina sobre las posibles causas de terminación extraordinaria de las cuestiones de inconstitucionalidad por pérdida sobrevenida de objeto (STC 83/2015) [FJ 3].</w:t>
      </w:r>
    </w:p>
    <w:p w:rsidR="00AC56D6" w:rsidRDefault="00AC56D6" w:rsidP="00AC56D6">
      <w:pPr>
        <w:pStyle w:val="Extracto"/>
      </w:pPr>
    </w:p>
    <w:p w:rsidR="00AC56D6" w:rsidRDefault="00AC56D6" w:rsidP="00AC56D6">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5371-2013, promovida por el Juzgado de lo Contencioso-Administrativo núm. 1 de Mérida contra los arts. 2.1 y 2.2.2.1 del Real Decreto-ley 20/2012, de 13 de julio, de medidas para garantizar la estabilidad presupuestaria y de fomento de la competitividad, por posible vulneración de los arts. 9.3 y 33.3 CE. Han formulado alegaciones el Fiscal General del Estado y el Abogado del Estado. Ha sido Ponente el Magistrado don Ricardo Enríquez Sancho,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23 de septiembre de 2013 tuvo entrada en el Registro General de este Tribunal un oficio del Juzgado de lo Contencioso-Administrativo núm. 1 de Mérida al que se acompaña, junto con el testimonio del procedimiento abreviado núm. 261-2013, el Auto de 10 de septiembre de 2013, por el que se acuerda plantear cuestión de inconstitucionalidad en relación con los arts. 2.1 y 2.2.2.1 del Real Decreto-ley 20/2012, de 13 de julio, de medidas para garantizar la estabilidad presupuestaria y de fomento de la competitividad, en su aplicación a los funcionarios públicos, por posible lesión del art. 9.3 CE, sobre el principio de irretroactividad de disposiciones restrictivas de derechos individuales en relación con el art. 33.3 CE, por supresión de un derecho patrimonial sin compensación adecuada.</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procesales de la cuestión de inconstitucionalidad planteada son, sucintamente expuestos, los siguientes:</w:t>
      </w:r>
    </w:p>
    <w:p w:rsidR="00AC56D6" w:rsidRDefault="00AC56D6" w:rsidP="00AC56D6">
      <w:pPr>
        <w:pStyle w:val="TextoNormal"/>
      </w:pPr>
    </w:p>
    <w:p w:rsidR="00AC56D6" w:rsidRDefault="00AC56D6" w:rsidP="00AC56D6">
      <w:pPr>
        <w:pStyle w:val="TextoNormal"/>
      </w:pPr>
      <w:r>
        <w:t>a) Una funcionaria de carrera del cuerpo de maestros interpuso recurso contencioso-administrativo contra la resolución de la Dirección General de Personal Docente de la Consejería de Educación de la Junta de Extremadura por la que se desestima el recurso de reposición interpuesto contra la denegación de la solicitud de la recurrente en relación al abono de la paga extraordinaria correspondiente al mes de diciembre de 2012.</w:t>
      </w:r>
    </w:p>
    <w:p w:rsidR="00AC56D6" w:rsidRDefault="00AC56D6" w:rsidP="00AC56D6">
      <w:pPr>
        <w:pStyle w:val="TextoNormal"/>
      </w:pPr>
    </w:p>
    <w:p w:rsidR="00AC56D6" w:rsidRDefault="00AC56D6" w:rsidP="00AC56D6">
      <w:pPr>
        <w:pStyle w:val="TextoNormal"/>
      </w:pPr>
      <w:r>
        <w:t>b) Concluso el procedimiento y dentro del plazo para dictar Sentencia, el órgano judicial dictó providencia de 15 de julio de 2013 por la que acordó oír a las partes y al Ministerio Fiscal para que alegasen sobre la pertinencia de plantear cuestión de inconstitucionalidad en relación con los arts. 2.1 y 2.2.2.1 del Real Decreto-ley 20/2012, de 13 de julio, de medidas para garantizar la estabilidad presupuestaria y de fomento de la competitividad, por posible vulneración de los arts. 9.3 y 33.3 CE, por entender que los mismos producen la expropiación de una parte de la paga extraordinaria que se pudiera haber devengado entre los días 1 de junio de 2012 y 14 de julio de 2012, fecha anterior a la entrada en vigor del Real Decreto-ley 20/2012, “mediante una aplicación retroactiva de la norma restrictiva de derechos y con vulneración del principio de seguridad jurídica”.</w:t>
      </w:r>
    </w:p>
    <w:p w:rsidR="00AC56D6" w:rsidRDefault="00AC56D6" w:rsidP="00AC56D6">
      <w:pPr>
        <w:pStyle w:val="TextoNormal"/>
      </w:pPr>
    </w:p>
    <w:p w:rsidR="00AC56D6" w:rsidRDefault="00AC56D6" w:rsidP="00AC56D6">
      <w:pPr>
        <w:pStyle w:val="TextoNormal"/>
      </w:pPr>
      <w:r>
        <w:t>El Ministerio Fiscal y la parte actora consideraron procedente el planteamiento de la cuestión. El Letrado de la Junta de Extremadura se manifestó en contra del planteamiento de la cuestión.</w:t>
      </w:r>
    </w:p>
    <w:p w:rsidR="00AC56D6" w:rsidRDefault="00AC56D6" w:rsidP="00AC56D6">
      <w:pPr>
        <w:pStyle w:val="TextoNormal"/>
      </w:pPr>
    </w:p>
    <w:p w:rsidR="00AC56D6" w:rsidRDefault="00AC56D6" w:rsidP="00AC56D6">
      <w:pPr>
        <w:pStyle w:val="TextoNormal"/>
      </w:pPr>
      <w:r w:rsidRPr="00AC56D6">
        <w:rPr>
          <w:rStyle w:val="NumeroAFNegritaCaracter"/>
        </w:rPr>
        <w:t>3</w:t>
      </w:r>
      <w:r>
        <w:t>. Por Auto de 10 de septiembre de 2013, el Juzgado de lo Contencioso-Administrativo núm. 1 de Mérida acordó plantear la presente cuestión de inconstitucionalidad y del análisis de su contenido interesa destacar los siguientes puntos:</w:t>
      </w:r>
    </w:p>
    <w:p w:rsidR="00AC56D6" w:rsidRDefault="00AC56D6" w:rsidP="00AC56D6">
      <w:pPr>
        <w:pStyle w:val="TextoNormal"/>
      </w:pPr>
    </w:p>
    <w:p w:rsidR="00AC56D6" w:rsidRDefault="00AC56D6" w:rsidP="00AC56D6">
      <w:pPr>
        <w:pStyle w:val="TextoNormal"/>
      </w:pPr>
      <w:r>
        <w:t xml:space="preserve">a) Tras exponer los antecedentes de hecho de la presente cuestión y el cumplimiento del trámite de audiencia previsto en el art. 35 de la Ley Orgánica del Tribunal Constitucional (LOTC), el órgano judicial transcribe las normas de cuya constitucionalidad duda, señalando que los mismos, al entrar en vigor el día 15 de julio de 2012 y suprimir la parte de la paga extraordinaria que va del 1 de junio de 2012 al 14 de julio de 2012 podría suponer una aplicación retroactiva de una norma restrictiva de los derechos retributivos del funcionario </w:t>
      </w:r>
      <w:r>
        <w:lastRenderedPageBreak/>
        <w:t xml:space="preserve">recurrente, lo que estaría prohibido por el art. 9.3 CE, suponiendo, de hecho, una expropiación del salario en concreto de dicha parte de paga extraordinaria, lo que vendría a suponer una vulneración del derecho </w:t>
      </w:r>
      <w:r w:rsidRPr="00AC56D6">
        <w:rPr>
          <w:i/>
        </w:rPr>
        <w:t>ex</w:t>
      </w:r>
      <w:r>
        <w:t xml:space="preserve"> art. 33.3 CE.</w:t>
      </w:r>
    </w:p>
    <w:p w:rsidR="00AC56D6" w:rsidRDefault="00AC56D6" w:rsidP="00AC56D6">
      <w:pPr>
        <w:pStyle w:val="TextoNormal"/>
      </w:pPr>
    </w:p>
    <w:p w:rsidR="00AC56D6" w:rsidRDefault="00AC56D6" w:rsidP="00AC56D6">
      <w:pPr>
        <w:pStyle w:val="TextoNormal"/>
      </w:pPr>
      <w:r>
        <w:t>b) Señala al respecto que la paga se hubiera abonado, de no haberse suprimido, el día 1 de diciembre de 2012, por referencia al trabajo de los seis meses anteriores (art. 17 de la Ley 1/2012, de 24 de enero, de presupuestos generales de la Comunidad Autónoma de Extremadura). Con cita de la doctrina del ATC 180/2011, de 13 de diciembre, el órgano judicial considera que la supresión de la parte proporcional de la paga extra podría suponer la indebida aplicación retroactiva de las normas del Real Decreto-ley citadas, restringiendo derechos del funcionario recurrente que se vería expropiado de la parte proporcional del salario devengado, en concreto, el que sea consecuencia del trabajo realizado entre el 1 de junio y el 14 de julio de 2012. Por tanto, según el órgano judicial, al haberse suprimido la paga extra en cuestión se podría estar consagrando una expropiación de los derechos económicos del funcionario vulneradora del art. 33.3 CE y todo ello como consecuencia de una aplicación retroactiva de una norma restrictiva de derechos salariales, algo prohibido por el art. 9.3 CE.</w:t>
      </w:r>
    </w:p>
    <w:p w:rsidR="00AC56D6" w:rsidRDefault="00AC56D6" w:rsidP="00AC56D6">
      <w:pPr>
        <w:pStyle w:val="TextoNormal"/>
      </w:pPr>
    </w:p>
    <w:p w:rsidR="00AC56D6" w:rsidRDefault="00AC56D6" w:rsidP="00AC56D6">
      <w:pPr>
        <w:pStyle w:val="TextoNormal"/>
      </w:pPr>
      <w:r>
        <w:t>c) Finalmente, el Auto exterioriza los debidos juicios de aplicabilidad y relevancia indicando que los preceptos cuestionados son directamente aplicables al caso, pues sirven de base para suprimir la totalidad de la paga extraordinaria, especialmente la parte generada en el período 1 de junio al 14 de julio de 2013.</w:t>
      </w:r>
    </w:p>
    <w:p w:rsidR="00AC56D6" w:rsidRDefault="00AC56D6" w:rsidP="00AC56D6">
      <w:pPr>
        <w:pStyle w:val="TextoNormal"/>
      </w:pPr>
    </w:p>
    <w:p w:rsidR="00AC56D6" w:rsidRDefault="00AC56D6" w:rsidP="00AC56D6">
      <w:pPr>
        <w:pStyle w:val="TextoNormal"/>
      </w:pPr>
      <w:r w:rsidRPr="00AC56D6">
        <w:rPr>
          <w:rStyle w:val="NumeroAFNegritaCaracter"/>
        </w:rPr>
        <w:t>4</w:t>
      </w:r>
      <w:r>
        <w:t>. El Pleno de este Tribunal, a propuesta de la Sección Cuarta, acordó admitir a trámite la cuestión mediante providencia de 22 de octubre de 2013;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de lo Contencioso-Administrativo núm. 1 de Mérida, a fin de que, de conformidad con lo dispuesto en el art. 35 LOTC, permaneciese suspendido el proceso hasta que este Tribunal resolviese efectivamente la cuestión; y publicar la incoación de la cuestión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Por escrito registrado el 30 de octubre de 2013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AC56D6" w:rsidRDefault="00AC56D6" w:rsidP="00AC56D6">
      <w:pPr>
        <w:pStyle w:val="TextoNormal"/>
      </w:pPr>
    </w:p>
    <w:p w:rsidR="00AC56D6" w:rsidRDefault="00AC56D6" w:rsidP="00AC56D6">
      <w:pPr>
        <w:pStyle w:val="TextoNormal"/>
      </w:pPr>
      <w:r>
        <w:t>Mediante escrito registrado el 5 de noviembre de 2013, el Presidente del Senado comunicó a este Tribunal el acuerdo de la Mesa para que se diera por personada a la Cámara y por ofrecida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6</w:t>
      </w:r>
      <w:r>
        <w:t>. El Abogado del Estado, mediante escrito de alegaciones registrado el 14 de noviembre de 2013, se personó interesando la desestimación de la cuestión de inconstitucionalidad por las razones que, resumidamente, se exponen a continuación.</w:t>
      </w:r>
    </w:p>
    <w:p w:rsidR="00AC56D6" w:rsidRDefault="00AC56D6" w:rsidP="00AC56D6">
      <w:pPr>
        <w:pStyle w:val="TextoNormal"/>
      </w:pPr>
    </w:p>
    <w:p w:rsidR="00AC56D6" w:rsidRDefault="00AC56D6" w:rsidP="00AC56D6">
      <w:pPr>
        <w:pStyle w:val="TextoNormal"/>
      </w:pPr>
      <w:r>
        <w:t>Comienza señalando que el Juzgado no se cuestiona genéricamente la supresión de la paga extra al personal funcionario, sino que tan solo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00AC56D6" w:rsidRDefault="00AC56D6" w:rsidP="00AC56D6">
      <w:pPr>
        <w:pStyle w:val="TextoNormal"/>
      </w:pPr>
    </w:p>
    <w:p w:rsidR="00AC56D6" w:rsidRDefault="00AC56D6" w:rsidP="00AC56D6">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AC56D6" w:rsidRDefault="00AC56D6" w:rsidP="00AC56D6">
      <w:pPr>
        <w:pStyle w:val="TextoNormal"/>
      </w:pPr>
    </w:p>
    <w:p w:rsidR="00AC56D6" w:rsidRDefault="00AC56D6" w:rsidP="00AC56D6">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00AC56D6" w:rsidRDefault="00AC56D6" w:rsidP="00AC56D6">
      <w:pPr>
        <w:pStyle w:val="TextoNormal"/>
      </w:pPr>
    </w:p>
    <w:p w:rsidR="00AC56D6" w:rsidRDefault="00AC56D6" w:rsidP="00AC56D6">
      <w:pPr>
        <w:pStyle w:val="TextoNormal"/>
      </w:pPr>
      <w: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w:t>
      </w:r>
      <w:r>
        <w:lastRenderedPageBreak/>
        <w:t>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00AC56D6" w:rsidRDefault="00AC56D6" w:rsidP="00AC56D6">
      <w:pPr>
        <w:pStyle w:val="TextoNormal"/>
      </w:pPr>
    </w:p>
    <w:p w:rsidR="00AC56D6" w:rsidRDefault="00AC56D6" w:rsidP="00AC56D6">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(STJUE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AC56D6" w:rsidRDefault="00AC56D6" w:rsidP="00AC56D6">
      <w:pPr>
        <w:pStyle w:val="TextoNormal"/>
      </w:pPr>
    </w:p>
    <w:p w:rsidR="00AC56D6" w:rsidRDefault="00AC56D6" w:rsidP="00AC56D6">
      <w:pPr>
        <w:pStyle w:val="TextoNormal"/>
      </w:pPr>
      <w:r>
        <w:t>Por todo ello, se interesa la desestimación de la cuestión.</w:t>
      </w:r>
    </w:p>
    <w:p w:rsidR="00AC56D6" w:rsidRDefault="00AC56D6" w:rsidP="00AC56D6">
      <w:pPr>
        <w:pStyle w:val="TextoNormal"/>
      </w:pPr>
    </w:p>
    <w:p w:rsidR="00AC56D6" w:rsidRDefault="00AC56D6" w:rsidP="00AC56D6">
      <w:pPr>
        <w:pStyle w:val="TextoNormal"/>
      </w:pPr>
      <w:r w:rsidRPr="00AC56D6">
        <w:rPr>
          <w:rStyle w:val="NumeroAFNegritaCaracter"/>
        </w:rPr>
        <w:t>7</w:t>
      </w:r>
      <w:r>
        <w:t>. El Fiscal General del Estado presentó escrito de alegaciones ante este Tribunal el 22 de noviembre de 2013 interesando la estimación de la presente cuestión de inconstitucionalidad.</w:t>
      </w:r>
    </w:p>
    <w:p w:rsidR="00AC56D6" w:rsidRDefault="00AC56D6" w:rsidP="00AC56D6">
      <w:pPr>
        <w:pStyle w:val="TextoNormal"/>
      </w:pPr>
    </w:p>
    <w:p w:rsidR="00AC56D6" w:rsidRDefault="00AC56D6" w:rsidP="00AC56D6">
      <w:pPr>
        <w:pStyle w:val="TextoNormal"/>
      </w:pPr>
      <w:r>
        <w:t>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AC56D6" w:rsidRDefault="00AC56D6" w:rsidP="00AC56D6">
      <w:pPr>
        <w:pStyle w:val="TextoNormal"/>
      </w:pPr>
    </w:p>
    <w:p w:rsidR="00AC56D6" w:rsidRDefault="00AC56D6" w:rsidP="00AC56D6">
      <w:pPr>
        <w:pStyle w:val="TextoNormal"/>
      </w:pPr>
      <w: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w:t>
      </w:r>
      <w:r w:rsidRPr="00AC56D6">
        <w:rPr>
          <w:i/>
        </w:rPr>
        <w:t>N.K.M. c.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w:t>
      </w:r>
      <w:r>
        <w:lastRenderedPageBreak/>
        <w:t>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t>El Fiscal General del Estado concluye sus alegaciones precisando que en el Auto de planteamiento no se cuestiona todo el art. 2 Real Decreto-ley 20/2012 sino en concreto, sus apartados 2.1 y 2.2.1 ya que éstos son los que resultan aplicables para resolver el pleito sometido a su conocimiento y relevante en cuánto el recurso del proceso subyacente se refiere exclusivamente al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 en tanto, con respecto a los funcionarios la paga extraordinaria correspondiente al mes de diciembre se comienza a devengar en la fecha de 1 de junio de tal período.</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5 de junio de 2015 la Sala Segunda acordó, de conformidad con lo dispuesto en el art. 88 LOTC, dirigir atenta comunicación a la Consejería de Educación y Cultura de la Junta de Extremadura, a fin de que indique a este Tribunal si, en atención a lo previsto en la disposición adicional segunda de la Ley 36/2014, de presupuestos generales del Estado para el año 2015, o por cualquier otra circunstancia, ha satisfecho a la funcionaria de carrera del cuerpo de maestros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AC56D6" w:rsidRDefault="00AC56D6" w:rsidP="00AC56D6">
      <w:pPr>
        <w:pStyle w:val="TextoNormal"/>
      </w:pPr>
    </w:p>
    <w:p w:rsidR="00AC56D6" w:rsidRDefault="00AC56D6" w:rsidP="00AC56D6">
      <w:pPr>
        <w:pStyle w:val="TextoNormal"/>
      </w:pPr>
      <w:r w:rsidRPr="00AC56D6">
        <w:rPr>
          <w:rStyle w:val="NumeroAFNegritaCaracter"/>
        </w:rPr>
        <w:t>9</w:t>
      </w:r>
      <w:r>
        <w:t>. En contestación a dicha providencia el Secretario General de la Consejería de Educación y Cultura remitió a este Tribunal, con fecha 29 de junio de 2015, certificado del servicio de nóminas de personal docente de la Consejería de Educación y Cultura en el que se hace constar que la citada funcionaria del cuerpo de Maestros, “sí ha percibido la prorrata retributiva de los 44 días devengados de la paga extraordinaria correspondiente al mes de diciembre de 2012, así como de la paga adicional del complemento específico o pagas adicionales equivalentes que fueron suprimidas por imposición directa del Real Decreto-ley 20/2012, de medidas para garantizar la estabilidad presupuestaria y de fomento de la competitividad”.</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10</w:t>
      </w:r>
      <w:r>
        <w:t>. Por providencia de 16 de julio de 2015, se señaló para deliberación y votación de la presente Sentencia el día 20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Juzgado de lo Contencioso-Administrativo núm. 1 de Mérida plantea cuestión de inconstitucionalidad respecto de los arts. 2.1 y 2.2.2.1 del Real Decreto-ley 20/2012, de 13 de julio, de medidas para garantizar la estabilidad presupuestaria y de fomento de la competitividad, preceptos que, en lo que aquí importa, disponen para el personal funcionario, la supresión de la paga extraordinaria y de la paga adicional de complemento específico o pagas adicionales equivalentes del mes de diciembre de 2012. En síntesis, el Juzgado entiende que los citados artículos, en su aplicación al personal funcionario, podrían estar consagrando una expropiación de los derecho económicos de la funcionaria recurrente vulneradora del art. 33.3 CE y pueden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1de junio al 14 de julio de 2012).</w:t>
      </w:r>
    </w:p>
    <w:p w:rsidR="00AC56D6" w:rsidRDefault="00AC56D6" w:rsidP="00AC56D6">
      <w:pPr>
        <w:pStyle w:val="TextoNormal"/>
      </w:pPr>
    </w:p>
    <w:p w:rsidR="00AC56D6" w:rsidRDefault="00AC56D6" w:rsidP="00AC56D6">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al análisis de la cuestión planteada conviene realizar una serie de precisiones para acotar debidamente el objeto de la misma y el alcance de nuestro enjuiciamiento.</w:t>
      </w:r>
    </w:p>
    <w:p w:rsidR="00AC56D6" w:rsidRDefault="00AC56D6" w:rsidP="00AC56D6">
      <w:pPr>
        <w:pStyle w:val="TextoNormal"/>
      </w:pPr>
    </w:p>
    <w:p w:rsidR="00AC56D6" w:rsidRDefault="00AC56D6" w:rsidP="00AC56D6">
      <w:pPr>
        <w:pStyle w:val="TextoNormal"/>
      </w:pPr>
      <w:r>
        <w:t>a) Así, en primer lugar, resulta obligado advertir, que el Juzgado de lo Contencioso-Administrativo núm. 1 de Mérida cuestiona los preceptos señalados en su aplicación a los funcionarios públicos. Ello se conecta lógicamente con el juicio de relevancia, correctamente expresado por el órgano judicial, pues la cuestión de inconstitucionalidad trae causa de un proceso promovido por una funcionaria de carrera del cuerpo de maestros con motivo de la supresión por el Gobierno de Extremadura, por aplicación de las previsiones contenidas en el Real Decreto-ley 20/2012, de la paga o gratificación extraordinaria de diciembre de 2012 a dicha funcionaria, proceso en el que lo pretendido por la demandante con carácter subsidiario a la pretensión principal (referida a que se deje sin efecto la medida de supresión de la paga extra de diciembre de 2012) es justamente que se declare su derecho a percibir la parte proporcional de la paga extra de diciembre de 2012 que considera ya devengada al momento de la entrada en vigor del Real Decreto-ley 20/2012 (del 1 de junio al 15 de julio), porque, de acuerdo con el art. 9.3 CE en relación con el art. 33.3 CE, no cabe que la supresión de esa paga extra por el Real Decreto-ley 20/2012 tenga efectos retroactivos.</w:t>
      </w:r>
    </w:p>
    <w:p w:rsidR="00AC56D6" w:rsidRDefault="00AC56D6" w:rsidP="00AC56D6">
      <w:pPr>
        <w:pStyle w:val="TextoNormal"/>
      </w:pPr>
    </w:p>
    <w:p w:rsidR="00AC56D6" w:rsidRDefault="00AC56D6" w:rsidP="00AC56D6">
      <w:pPr>
        <w:pStyle w:val="TextoNormal"/>
      </w:pPr>
      <w:r>
        <w:t xml:space="preserve">b) Por otra parte debe tenerse en cuenta que no se cuestiona por el Juzgado de lo Contencioso-Administrativo núm. 1 de Mérida la medida de supresión de la paga extraordinaria de diciembre de 2012 en sí misma considerada (que es la pretensión principal que se deduce por la demandante en el proceso </w:t>
      </w:r>
      <w:r w:rsidRPr="00AC56D6">
        <w:rPr>
          <w:i/>
        </w:rPr>
        <w:t>a quo</w:t>
      </w:r>
      <w:r>
        <w:t xml:space="preserve">, como se ha dicho), sino sólo en cuanto su aplicación </w:t>
      </w:r>
      <w:r>
        <w:lastRenderedPageBreak/>
        <w:t xml:space="preserve">haya podido suponer la infracción del principio de irretroactividad establecido en el 9.3 CE, al no contemplar excepción alguna respecto de las cuantías que se entienden ya devengadas de dicha paga extra (en concreto, 44 días correspondientes a los servicios prestados entre el 1 de junio de 2012 y el 14 de julio de 2012) a la fecha de entrada en vigor del Real Decreto-ley 20/2012 (que tuvo lugar el 15 de julio de 2012, conforme a su disposición final decimoquinta), ni fijar indemnización alguna por la supresión de un derecho patrimonial. A esta concreta duda de constitucionalidad (planteada a partir de la pretensión subsidiaria en el proceso </w:t>
      </w:r>
      <w:r w:rsidRPr="00AC56D6">
        <w:rPr>
          <w:i/>
        </w:rPr>
        <w:t>a quo</w:t>
      </w:r>
      <w:r>
        <w:t>) deberá, pues, ceñirse nuestro enjuiciamiento.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La disposición adicional duodécima de la Ley 36/2014, de 26 de diciembre, de presupuestos generales del Estado para 2015, bajo el epígrafe “Recuperación de la paga extraordinaria y adicional del mes de diciembre de 2012”, establece, en su apartado primero,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00AC56D6" w:rsidRDefault="00AC56D6" w:rsidP="00AC56D6">
      <w:pPr>
        <w:pStyle w:val="TextoNormal"/>
      </w:pPr>
    </w:p>
    <w:p w:rsidR="00AC56D6" w:rsidRDefault="00AC56D6" w:rsidP="00AC56D6">
      <w:pPr>
        <w:pStyle w:val="TextoNormal"/>
      </w:pPr>
      <w:r>
        <w:t>Como consta en los antecedentes de esta resolución, de conformidad con lo dispuesto en el art. 88.1 LOTC, la Sala Segunda de este Tribunal dirigió comunicación a la Consejería de Educación y Cultura de la Junta de Extremadura a fin de que indicara a este Tribunal si, en atención a lo dispuesto en la disposición adicional duodécima de la Ley 36/2014, de presupuestos generales del Estado para el año 2015, o por cualquier otra circunstancia, ha satisfecho a la funcionaria de carrera del cuerpo de maestros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 En contestación a dicha comunicación la Consejería de Educación y Cultura de la Junta de Extremadura ha informado a este Tribunal que la funcionaria de carrera señalada ha percibido en la nómina del mes de enero de 2015 la prorrata retributiva de los 44 días devengados de la paga extraordinaria correspondiente al mes de diciembre de 2012, así como la paga adicional del complemento específico o pagas adicionales equivalentes, que fueron suprimidas por imposición directa del Real Decreto-ley 20/2012, de 13 de julio, de medidas para garantizar la estabilidad presupuestaria y de fomento de la competitividad.</w:t>
      </w:r>
    </w:p>
    <w:p w:rsidR="00AC56D6" w:rsidRDefault="00AC56D6" w:rsidP="00AC56D6">
      <w:pPr>
        <w:pStyle w:val="TextoNormal"/>
      </w:pPr>
    </w:p>
    <w:p w:rsidR="00AC56D6" w:rsidRDefault="00AC56D6" w:rsidP="00AC56D6">
      <w:pPr>
        <w:pStyle w:val="TextoNormal"/>
      </w:pPr>
      <w:r>
        <w:t>Como consecuencia del abono de los 44 días devengados de la paga extraordinaria correspondiente al mes de diciembre de 2012, debemos remitirnos a lo dicho recientemente en nuestra STC 83/2015, de 30 de abril, sobre la posible pérdida de objeto de la cuestión de inconstitucionalidad.</w:t>
      </w:r>
    </w:p>
    <w:p w:rsidR="00AC56D6" w:rsidRDefault="00AC56D6" w:rsidP="00AC56D6">
      <w:pPr>
        <w:pStyle w:val="TextoNormal"/>
      </w:pPr>
    </w:p>
    <w:p w:rsidR="00AC56D6" w:rsidRDefault="00AC56D6" w:rsidP="00AC56D6">
      <w:pPr>
        <w:pStyle w:val="TextoNormal"/>
      </w:pPr>
      <w:r>
        <w:t xml:space="preserve">En el fundamento jurídico 3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presente—, ni se había producido la extinción del procedimiento laboral a quo, ni tampoco nos encontrábamos ante un supuesto de pérdida de vigencia del precepto legal cuestionado, </w:t>
      </w:r>
      <w:r>
        <w:lastRenderedPageBreak/>
        <w:t>ello no obstante,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00AC56D6" w:rsidRDefault="00AC56D6" w:rsidP="00AC56D6">
      <w:pPr>
        <w:pStyle w:val="TextoNormal"/>
      </w:pPr>
    </w:p>
    <w:p w:rsidR="00AC56D6" w:rsidRDefault="00AC56D6" w:rsidP="00AC56D6">
      <w:pPr>
        <w:pStyle w:val="TextoNormal"/>
      </w:pPr>
      <w:r>
        <w:t>En la presente cuestión de inconstitucionalidad se plantea si la supresión del derecho de una funcionaria de carrera del cuerpo de maestros a percibir la parte proporcional (en concreto, 44 días) de la paga extra de diciembre de 2012, por entenderse ya devengada al momento de la entrada en vigor del Real Decreto-ley 20/2012, contraviene el art. 9.3 CE. En esos términos planteada la cuestión es obligado concluir como hicimos en la STC 83/2015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00AC56D6" w:rsidRDefault="00AC56D6" w:rsidP="00AC56D6">
      <w:pPr>
        <w:pStyle w:val="TextoNormal"/>
      </w:pPr>
    </w:p>
    <w:p w:rsidR="00AC56D6" w:rsidRDefault="00AC56D6" w:rsidP="00AC56D6">
      <w:pPr>
        <w:pStyle w:val="TextoNormal"/>
      </w:pPr>
      <w:r>
        <w:t>Conforme a lo expuesto, el abono a la funcionaria de carrera del cuerpo de maestros cuya demanda ha dado lugar al planteamiento de la presente cuestión de inconstitucionalidad de la parte correspondiente a 44 días de la paga extraordinaria de diciembre de 2012,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Declarar la extinción de la presente cuestión de inconstitucionalidad por desaparición sobrevenida de su objeto.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veinte de julio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9" w:name="SENTENCIA_2015_163"/>
      <w:r>
        <w:lastRenderedPageBreak/>
        <w:t>SENTENCIA 163/2015, de 20 de julio de 2015</w:t>
      </w:r>
    </w:p>
    <w:bookmarkEnd w:id="19"/>
    <w:p w:rsidR="00AC56D6" w:rsidRDefault="00AC56D6" w:rsidP="00AC56D6">
      <w:pPr>
        <w:pStyle w:val="TtuloResolucin"/>
      </w:pPr>
      <w:r>
        <w:t>Sala Segunda</w:t>
      </w:r>
    </w:p>
    <w:p w:rsidR="00AC56D6" w:rsidRDefault="00AC56D6" w:rsidP="00AC56D6">
      <w:pPr>
        <w:pStyle w:val="TtuloBOE"/>
      </w:pPr>
      <w:r>
        <w:t>(BOE núm. 200, de 21 de agosto de 2015)</w:t>
      </w:r>
    </w:p>
    <w:p w:rsidR="00AC56D6" w:rsidRDefault="00AC56D6" w:rsidP="00AC56D6">
      <w:pPr>
        <w:pStyle w:val="TextoNormalCentrado"/>
      </w:pPr>
      <w:r>
        <w:t>ECLI:ES:TC:2015:163</w:t>
      </w:r>
    </w:p>
    <w:p w:rsidR="00AC56D6" w:rsidRDefault="00AC56D6" w:rsidP="00AC56D6">
      <w:pPr>
        <w:pStyle w:val="TextoNormalCentrado"/>
      </w:pPr>
    </w:p>
    <w:p w:rsidR="00AC56D6" w:rsidRDefault="00AC56D6" w:rsidP="00AC56D6">
      <w:pPr>
        <w:pStyle w:val="SntesisDescriptiva"/>
      </w:pPr>
      <w:r>
        <w:t>Cuestión de inconstitucionalidad 5372-2013. Planteada por el Juzgado de lo Contencioso-Administrativo número 1 de Mérida en relación con los artículos 2.1 y 2.2.2.1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y expropiación de derechos económicos: extinción, por pérdida de objeto, de la cuestión de inconstitucionalidad (STC 83/2015).</w:t>
      </w:r>
    </w:p>
    <w:p w:rsidR="00AC56D6" w:rsidRDefault="00AC56D6" w:rsidP="00AC56D6">
      <w:pPr>
        <w:pStyle w:val="SntesisAnaltica"/>
      </w:pPr>
    </w:p>
    <w:p w:rsidR="00AC56D6" w:rsidRDefault="00AC56D6" w:rsidP="00AC56D6">
      <w:pPr>
        <w:pStyle w:val="Extracto"/>
      </w:pPr>
      <w:r>
        <w:t>1.</w:t>
      </w:r>
      <w:r>
        <w:tab/>
        <w:t>La satisfacción extraprocesal de la pretensión deducida en el proceso laboral sobre la que se articula la cuestión de inconstitucionalidad le hace perder su objeto al ser dicha satisfacción uno de los posibles supuestos de extinción de la cuestión de inconstitucionalidad (STC 83/2015) [FJ 3].</w:t>
      </w:r>
    </w:p>
    <w:p w:rsidR="00AC56D6" w:rsidRDefault="00AC56D6" w:rsidP="00AC56D6">
      <w:pPr>
        <w:pStyle w:val="Extracto"/>
      </w:pPr>
    </w:p>
    <w:p w:rsidR="00AC56D6" w:rsidRDefault="00AC56D6" w:rsidP="00AC56D6">
      <w:pPr>
        <w:pStyle w:val="Extracto"/>
      </w:pPr>
      <w:r>
        <w:t>2.</w:t>
      </w:r>
      <w:r>
        <w:tab/>
        <w:t>Doctrina sobre las posibles causas de terminación extraordinaria de las cuestiones de inconstitucionalidad por pérdida sobrevenida de objeto (STC 83/2015) [FJ 3].</w:t>
      </w:r>
    </w:p>
    <w:p w:rsidR="00AC56D6" w:rsidRDefault="00AC56D6" w:rsidP="00AC56D6">
      <w:pPr>
        <w:pStyle w:val="Extracto"/>
      </w:pPr>
    </w:p>
    <w:p w:rsidR="00AC56D6" w:rsidRDefault="00AC56D6" w:rsidP="00AC56D6">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5372-2013, promovida por el Juzgado de lo Contencioso-Administrativo núm. 1 de Mérida contra los arts. 2.1 y 2.2.2.1 del Real Decreto-ley 20/2012, de 13 de julio, de medidas para garantizar la estabilidad presupuestaria y de fomento de la competitividad, por posible vulneración de los arts. 9.3 y 33.3 CE. Han formulado alegaciones el Fiscal General del Estado y el Abogado del Estado. Ha sido Ponente la Magistrada doña Adela Asua Batarrita,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23 de septiembre de 2013 tuvo entrada en el Registro General de este Tribunal un oficio del Juzgado de lo Contencioso-Administrativo núm. 1 de Mérida al que se acompaña, junto con el testimonio del procedimiento abreviado núm. 262-2013, el Auto de 10 de septiembre de 2013, por el que se acuerda plantear cuestión de inconstitucionalidad en relación con los arts. 2.1 y 2.2.2.1 del Real Decreto-ley 20/2012, de 13 de julio, de medidas para garantizar la estabilidad presupuestaria y de fomento de la competitividad, en su aplicación a los funcionarios públicos, por posible lesión del art. 9.3 CE, sobre el principio de irretroactividad de disposiciones restrictivas de derechos individuales en relación con el art. 33.3 CE, por supresión de un derecho patrimonial sin compensación adecuada.</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procesales de la cuestión de inconstitucionalidad planteada son, sucintamente expuestos, los siguientes:</w:t>
      </w:r>
    </w:p>
    <w:p w:rsidR="00AC56D6" w:rsidRDefault="00AC56D6" w:rsidP="00AC56D6">
      <w:pPr>
        <w:pStyle w:val="TextoNormal"/>
      </w:pPr>
    </w:p>
    <w:p w:rsidR="00AC56D6" w:rsidRDefault="00AC56D6" w:rsidP="00AC56D6">
      <w:pPr>
        <w:pStyle w:val="TextoNormal"/>
      </w:pPr>
      <w:r>
        <w:t>a) Un funcionario de carrera del cuerpo de maestros interpuso recurso contencioso-administrativo contra la resolución de la Dirección General de Personal Docente de la Consejería de Educación de la Junta de Extremadura por la que se desestima el recurso de reposición interpuesto contra la denegación de la solicitud del recurrente en relación al abono de la paga extraordinaria correspondiente al mes de diciembre de 2012.</w:t>
      </w:r>
    </w:p>
    <w:p w:rsidR="00AC56D6" w:rsidRDefault="00AC56D6" w:rsidP="00AC56D6">
      <w:pPr>
        <w:pStyle w:val="TextoNormal"/>
      </w:pPr>
    </w:p>
    <w:p w:rsidR="00AC56D6" w:rsidRDefault="00AC56D6" w:rsidP="00AC56D6">
      <w:pPr>
        <w:pStyle w:val="TextoNormal"/>
      </w:pPr>
      <w:r>
        <w:t>b) Concluso el procedimiento y dentro del plazo para dictar Sentencia, el órgano judicial dictó providencia de 15 de julio de 2013 por la que acordó oír a las partes y al Ministerio Fiscal para que alegasen sobre la pertinencia de plantear cuestión de inconstitucionalidad en relación con los arts. 2.1 y 2.2.2.1 del Real Decreto-ley 20/2012, de 13 de julio, de medidas para garantizar la estabilidad presupuestaria y de fomento de la competitividad, por posible vulneración de los arts. 9.3 y 33.3 CE, por entender que los mismos producen la expropiación de una parte de la paga extraordinaria que se pudiera haber devengado entre los días 1 de junio de 2012 y 14 de julio de 2012, fecha anterior a la entrada en vigor del Real Decreto-ley 20/2012, “mediante una aplicación retroactiva de la norma restrictiva de derechos y con vulneración del principio de seguridad jurídica”.</w:t>
      </w:r>
    </w:p>
    <w:p w:rsidR="00AC56D6" w:rsidRDefault="00AC56D6" w:rsidP="00AC56D6">
      <w:pPr>
        <w:pStyle w:val="TextoNormal"/>
      </w:pPr>
    </w:p>
    <w:p w:rsidR="00AC56D6" w:rsidRDefault="00AC56D6" w:rsidP="00AC56D6">
      <w:pPr>
        <w:pStyle w:val="TextoNormal"/>
      </w:pPr>
      <w:r>
        <w:t>El Ministerio Fiscal y la parte actora consideraron procedente el planteamiento de la cuestión. El Letrado de la Junta de Extremadura se manifestó en contra del planteamiento de la cuestión.</w:t>
      </w:r>
    </w:p>
    <w:p w:rsidR="00AC56D6" w:rsidRDefault="00AC56D6" w:rsidP="00AC56D6">
      <w:pPr>
        <w:pStyle w:val="TextoNormal"/>
      </w:pPr>
    </w:p>
    <w:p w:rsidR="00AC56D6" w:rsidRDefault="00AC56D6" w:rsidP="00AC56D6">
      <w:pPr>
        <w:pStyle w:val="TextoNormal"/>
      </w:pPr>
      <w:r w:rsidRPr="00AC56D6">
        <w:rPr>
          <w:rStyle w:val="NumeroAFNegritaCaracter"/>
        </w:rPr>
        <w:t>3</w:t>
      </w:r>
      <w:r>
        <w:t>. Por Auto de 10 de septiembre de 2013, el Juzgado de lo Contencioso-Administrativo núm. 1 de Mérida acordó plantear la presente cuestión de inconstitucionalidad y del análisis de su contenido interesa destacar los siguientes puntos:</w:t>
      </w:r>
    </w:p>
    <w:p w:rsidR="00AC56D6" w:rsidRDefault="00AC56D6" w:rsidP="00AC56D6">
      <w:pPr>
        <w:pStyle w:val="TextoNormal"/>
      </w:pPr>
    </w:p>
    <w:p w:rsidR="00AC56D6" w:rsidRDefault="00AC56D6" w:rsidP="00AC56D6">
      <w:pPr>
        <w:pStyle w:val="TextoNormal"/>
      </w:pPr>
      <w:r>
        <w:t xml:space="preserve">a) Tras exponer los antecedentes de hecho de la presente cuestión y el cumplimiento del trámite de audiencia previsto en el art. 35 de la Ley Orgánica del Tribunal Constitucional (LOTC), el órgano judicial transcribe las normas de cuya constitucionalidad duda, señalando que los mismos, al entrar en vigor el día 15 de julio de 2012 y suprimir la parte de la paga extraordinaria que va del 1 de junio de 2012 al 14 de julio de 2012 podría suponer una aplicación retroactiva de una norma restrictiva de los derechos retributivos del funcionario </w:t>
      </w:r>
      <w:r>
        <w:lastRenderedPageBreak/>
        <w:t xml:space="preserve">recurrente, lo que estaría prohibido por el art. 9.3 CE, suponiendo, de hecho, una expropiación del salario en concreto de dicha parte de paga extraordinaria, lo que vendría a suponer una vulneración del derecho </w:t>
      </w:r>
      <w:r w:rsidRPr="00AC56D6">
        <w:rPr>
          <w:i/>
        </w:rPr>
        <w:t>ex</w:t>
      </w:r>
      <w:r>
        <w:t xml:space="preserve"> art. 33.3 CE.</w:t>
      </w:r>
    </w:p>
    <w:p w:rsidR="00AC56D6" w:rsidRDefault="00AC56D6" w:rsidP="00AC56D6">
      <w:pPr>
        <w:pStyle w:val="TextoNormal"/>
      </w:pPr>
    </w:p>
    <w:p w:rsidR="00AC56D6" w:rsidRDefault="00AC56D6" w:rsidP="00AC56D6">
      <w:pPr>
        <w:pStyle w:val="TextoNormal"/>
      </w:pPr>
      <w:r>
        <w:t>b) Señala al respecto que la paga se hubiera abonado, de no haberse suprimido, el día 1 de diciembre de 2012, por referencia al trabajo de los seis meses anteriores (art. 17 de la Ley 1/2012, de 24 de enero, de presupuestos generales de la Comunidad Autónoma de Extremadura). Con cita de la doctrina del ATC 180/2011, de 13 de diciembre, el órgano judicial considera que la supresión de la parte proporcional de la paga extra podría suponer la indebida aplicación retroactiva de las normas del Real Decreto-ley citadas, restringiendo derechos del funcionario recurrente que se vería expropiado de la parte proporcional del salario devengado, en concreto, el que sea consecuencia del trabajo realizado entre el 1 de junio y el 14 de julio de 2012. Por tanto, según el órgano judicial, al haberse suprimido la paga extra en cuestión se podría estar consagrando una expropiación de los derechos económicos del funcionario vulneradora del art. 33.3 CE y todo ello como consecuencia de una aplicación retroactiva de una norma restrictiva de derechos salariales, algo prohibido por el art. 9.3 CE.</w:t>
      </w:r>
    </w:p>
    <w:p w:rsidR="00AC56D6" w:rsidRDefault="00AC56D6" w:rsidP="00AC56D6">
      <w:pPr>
        <w:pStyle w:val="TextoNormal"/>
      </w:pPr>
    </w:p>
    <w:p w:rsidR="00AC56D6" w:rsidRDefault="00AC56D6" w:rsidP="00AC56D6">
      <w:pPr>
        <w:pStyle w:val="TextoNormal"/>
      </w:pPr>
      <w:r>
        <w:t>c) Finalmente, el Auto exterioriza los debidos juicios de aplicabilidad y relevancia indicando que los preceptos cuestionados son directamente aplicables al caso, pues sirven de base para suprimir la totalidad de la paga extra, especialmente la parte generada en el período 1 de junio al 14 de julio de 2012.</w:t>
      </w:r>
    </w:p>
    <w:p w:rsidR="00AC56D6" w:rsidRDefault="00AC56D6" w:rsidP="00AC56D6">
      <w:pPr>
        <w:pStyle w:val="TextoNormal"/>
      </w:pPr>
    </w:p>
    <w:p w:rsidR="00AC56D6" w:rsidRDefault="00AC56D6" w:rsidP="00AC56D6">
      <w:pPr>
        <w:pStyle w:val="TextoNormal"/>
      </w:pPr>
      <w:r w:rsidRPr="00AC56D6">
        <w:rPr>
          <w:rStyle w:val="NumeroAFNegritaCaracter"/>
        </w:rPr>
        <w:t>4</w:t>
      </w:r>
      <w:r>
        <w:t>. El Pleno de este Tribunal, a propuesta de la Sección Tercera, acordó admitir a trámite la cuestión mediante providencia de 22 de octubre de 2013;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de lo Contencioso-Administrativo núm. 1 de Mérida, a fin de que, de conformidad con lo dispuesto en el art. 35 LOTC, permaneciese suspendido el proceso hasta que este Tribunal resolviese efectivamente la cuestión; y publicar la incoación de la cuestión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Por escrito registrado el 31 de octubre de 2013,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AC56D6" w:rsidRDefault="00AC56D6" w:rsidP="00AC56D6">
      <w:pPr>
        <w:pStyle w:val="TextoNormal"/>
      </w:pPr>
    </w:p>
    <w:p w:rsidR="00AC56D6" w:rsidRDefault="00AC56D6" w:rsidP="00AC56D6">
      <w:pPr>
        <w:pStyle w:val="TextoNormal"/>
      </w:pPr>
      <w:r>
        <w:t>Mediante escrito registrado el 6 de noviembre de 2013, el Presidente del Senado comunicó a este Tribunal el acuerdo de la Mesa para que se diera por personada a la Cámara y por ofrecida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6</w:t>
      </w:r>
      <w:r>
        <w:t xml:space="preserve">. El Abogado del Estado, en la representación que ostenta, mediante escrito registrado en este Tribunal el 14 de noviembre de 2013, se personó y formuló alegaciones interesando </w:t>
      </w:r>
      <w:r>
        <w:lastRenderedPageBreak/>
        <w:t>la desestimación de la presente cuestión de inconstitucionalidad por las razones que, resumidamente, se exponen a continuación.</w:t>
      </w:r>
    </w:p>
    <w:p w:rsidR="00AC56D6" w:rsidRDefault="00AC56D6" w:rsidP="00AC56D6">
      <w:pPr>
        <w:pStyle w:val="TextoNormal"/>
      </w:pPr>
    </w:p>
    <w:p w:rsidR="00AC56D6" w:rsidRDefault="00AC56D6" w:rsidP="00AC56D6">
      <w:pPr>
        <w:pStyle w:val="TextoNormal"/>
      </w:pPr>
      <w:r>
        <w:t>Comienza señalando que el Juzgado no se cuestiona genéricamente la supresión de la paga extra al personal funcionario, sino que tan solo reprocha al legislador el que no haya incluido una disposición transitoria por la cual se hubiera exceptuado de la mencionada supresión la parte proporcional de la paga extraordinaria que se entiende devengada del 1 de junio al 15 de julio de 2012,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00AC56D6" w:rsidRDefault="00AC56D6" w:rsidP="00AC56D6">
      <w:pPr>
        <w:pStyle w:val="TextoNormal"/>
      </w:pPr>
    </w:p>
    <w:p w:rsidR="00AC56D6" w:rsidRDefault="00AC56D6" w:rsidP="00AC56D6">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AC56D6" w:rsidRDefault="00AC56D6" w:rsidP="00AC56D6">
      <w:pPr>
        <w:pStyle w:val="TextoNormal"/>
      </w:pPr>
    </w:p>
    <w:p w:rsidR="00AC56D6" w:rsidRDefault="00AC56D6" w:rsidP="00AC56D6">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de 2012, “estaba ya consolidado, asumido e integrado en el patrimonio de los trabajadores cuando entró en vigor” el Real Decreto-ley 20/2012, o si, por el contrario, se trataba de una expectativa de derecho o de un derecho futuro o condicionado.</w:t>
      </w:r>
    </w:p>
    <w:p w:rsidR="00AC56D6" w:rsidRDefault="00AC56D6" w:rsidP="00AC56D6">
      <w:pPr>
        <w:pStyle w:val="TextoNormal"/>
      </w:pPr>
    </w:p>
    <w:p w:rsidR="00AC56D6" w:rsidRDefault="00AC56D6" w:rsidP="00AC56D6">
      <w:pPr>
        <w:pStyle w:val="TextoNormal"/>
      </w:pPr>
      <w:r>
        <w:t>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w:t>
      </w:r>
      <w:r>
        <w:lastRenderedPageBreak/>
        <w:t>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00AC56D6" w:rsidRDefault="00AC56D6" w:rsidP="00AC56D6">
      <w:pPr>
        <w:pStyle w:val="TextoNormal"/>
      </w:pPr>
    </w:p>
    <w:p w:rsidR="00AC56D6" w:rsidRDefault="00AC56D6" w:rsidP="00AC56D6">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(STJUE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w:t>
      </w:r>
      <w:r>
        <w:lastRenderedPageBreak/>
        <w:t>Se recuerda, asimismo, que la estabilidad presupuestaria es un principio constitucional que vincula a todos los poderes públicos y, en fin, que el análisis de la norma cuestionada ha de partir del contexto recesivo descrito.</w:t>
      </w:r>
    </w:p>
    <w:p w:rsidR="00AC56D6" w:rsidRDefault="00AC56D6" w:rsidP="00AC56D6">
      <w:pPr>
        <w:pStyle w:val="TextoNormal"/>
      </w:pPr>
    </w:p>
    <w:p w:rsidR="00AC56D6" w:rsidRDefault="00AC56D6" w:rsidP="00AC56D6">
      <w:pPr>
        <w:pStyle w:val="TextoNormal"/>
      </w:pPr>
      <w:r>
        <w:t>Por todo ello, se interesa la desestimación de la cuestión.</w:t>
      </w:r>
    </w:p>
    <w:p w:rsidR="00AC56D6" w:rsidRDefault="00AC56D6" w:rsidP="00AC56D6">
      <w:pPr>
        <w:pStyle w:val="TextoNormal"/>
      </w:pPr>
    </w:p>
    <w:p w:rsidR="00AC56D6" w:rsidRDefault="00AC56D6" w:rsidP="00AC56D6">
      <w:pPr>
        <w:pStyle w:val="TextoNormal"/>
      </w:pPr>
      <w:r w:rsidRPr="00AC56D6">
        <w:rPr>
          <w:rStyle w:val="NumeroAFNegritaCaracter"/>
        </w:rPr>
        <w:t>7</w:t>
      </w:r>
      <w:r>
        <w:t>. El Fiscal General del Estado presentó escrito de alegaciones ante este Tribunal el 25 de noviembre de 2013 interesando la estimación de la presente cuestión de inconstitucionalidad.</w:t>
      </w:r>
    </w:p>
    <w:p w:rsidR="00AC56D6" w:rsidRDefault="00AC56D6" w:rsidP="00AC56D6">
      <w:pPr>
        <w:pStyle w:val="TextoNormal"/>
      </w:pPr>
    </w:p>
    <w:p w:rsidR="00AC56D6" w:rsidRDefault="00AC56D6" w:rsidP="00AC56D6">
      <w:pPr>
        <w:pStyle w:val="TextoNormal"/>
      </w:pPr>
      <w:r>
        <w:t>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AC56D6" w:rsidRDefault="00AC56D6" w:rsidP="00AC56D6">
      <w:pPr>
        <w:pStyle w:val="TextoNormal"/>
      </w:pPr>
    </w:p>
    <w:p w:rsidR="00AC56D6" w:rsidRDefault="00AC56D6" w:rsidP="00AC56D6">
      <w:pPr>
        <w:pStyle w:val="TextoNormal"/>
      </w:pPr>
      <w: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w:t>
      </w:r>
      <w:r w:rsidRPr="00AC56D6">
        <w:rPr>
          <w:i/>
        </w:rPr>
        <w:t>N.K.M. c.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t xml:space="preserve">Prosigue diciendo que, al igual que el Tribunal Europeo de Derechos Humanos, el Tribunal Constitucional no rechaza la posibilidad de una actuación extraordinaria por parte de </w:t>
      </w:r>
      <w:r>
        <w:lastRenderedPageBreak/>
        <w:t>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t>El Fiscal General del Estado concluye sus alegaciones precisando que en el Auto de planteamiento no se cuestiona todo el art. 2 del Real Decreto-ley 20/2012 sino en concreto, sus apartados 2.1 y 2.2.1 ya que éstos son los que resultan aplicables para resolver el pleito sometido a su conocimiento y relevante en cuanto el recurso del proceso subyacente se refiere exclusivamente al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 en tanto, con respecto a los funcionarios la paga extraordinaria correspondiente al mes de diciembre se comienza a devengar en la fecha de 1 de junio de tal período.</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3 de junio de 2015, la Sala Segunda de este Tribunal acordó, de conformidad con lo dispuesto en el art. 88.1 LOTC, dirigir atenta comunicación a la Consejería de Educación y Cultura de la Junta de Extremadura, a fin de que indique a este Tribunal si, en atención a lo previsto en la disposición adicional segunda de la Ley 36/2014, de presupuestos generales del Estado para el año 2015, o por cualquier otra circunstancia, ha satisfecho al funcionario de carrera del cuerpo de maestros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AC56D6" w:rsidRDefault="00AC56D6" w:rsidP="00AC56D6">
      <w:pPr>
        <w:pStyle w:val="TextoNormal"/>
      </w:pPr>
    </w:p>
    <w:p w:rsidR="00AC56D6" w:rsidRDefault="00AC56D6" w:rsidP="00AC56D6">
      <w:pPr>
        <w:pStyle w:val="TextoNormal"/>
      </w:pPr>
      <w:r w:rsidRPr="00AC56D6">
        <w:rPr>
          <w:rStyle w:val="NumeroAFNegritaCaracter"/>
        </w:rPr>
        <w:t>9</w:t>
      </w:r>
      <w:r>
        <w:t xml:space="preserve">. En contestación a dicha providencia el Secretario General de la Consejería de Educación y Cultura remitió a este Tribunal, con fecha de entrada 29 de junio de 2015, certificado de la jefa del servicio de nóminas de personal docente de la Consejería de Educación y Cultura en el que se hace constar que el citado funcionario, “sí ha percibido la prorrata retributiva de los 42 días devengados (descontados 2 días por ejercitar el derecho de huelga en el período comprendido entre el 1 de junio y el 14 de julio de 2012) de la paga extraordinaria correspondiente al mes de diciembre de 2012, así como de la paga adicional del </w:t>
      </w:r>
      <w:r>
        <w:lastRenderedPageBreak/>
        <w:t>complemento específico o pagas adicionales equivalentes que fueron suprimidas por imposición directa del Real Decreto-ley 20/2012, de medidas para garantizar la estabilidad presupuestaria y de fomento de la competitividad”.</w:t>
      </w:r>
    </w:p>
    <w:p w:rsidR="00AC56D6" w:rsidRDefault="00AC56D6" w:rsidP="00AC56D6">
      <w:pPr>
        <w:pStyle w:val="TextoNormal"/>
      </w:pPr>
    </w:p>
    <w:p w:rsidR="00AC56D6" w:rsidRDefault="00AC56D6" w:rsidP="00AC56D6">
      <w:pPr>
        <w:pStyle w:val="TextoNormal"/>
      </w:pPr>
      <w:r w:rsidRPr="00AC56D6">
        <w:rPr>
          <w:rStyle w:val="NumeroAFNegritaCaracter"/>
        </w:rPr>
        <w:t>10</w:t>
      </w:r>
      <w:r>
        <w:t>. Por providencia de 16 de julio de 2015 se señaló para deliberación y votación de la presente Sentencia el día 20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Juzgado de lo Contencioso-Administrativo núm. 1 de Mérida plantea cuestión de inconstitucionalidad respecto de los arts. 2.1 y 2.2.2.1 del Real Decreto-ley 20/2012, de 13 de julio, de medidas para garantizar la estabilidad presupuestaria y de fomento de la competitividad, preceptos que, en lo que aquí importa, disponen para el personal funcionario, la supresión de la paga extraordinaria y de la paga adicional de complemento específico o pagas adicionales equivalentes del mes de diciembre de 2012. En síntesis, el Juzgado entiende que los citados artículos, en su aplicación al personal funcionario, podrían estar consagrando una expropiación de los derecho económicos de la funcionaria recurrente vulneradora del art. 33.3 CE y pueden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1de junio al 14 de julio de 2012).</w:t>
      </w:r>
    </w:p>
    <w:p w:rsidR="00AC56D6" w:rsidRDefault="00AC56D6" w:rsidP="00AC56D6">
      <w:pPr>
        <w:pStyle w:val="TextoNormal"/>
      </w:pPr>
    </w:p>
    <w:p w:rsidR="00AC56D6" w:rsidRDefault="00AC56D6" w:rsidP="00AC56D6">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al análisis de la cuestión planteada conviene realizar una serie de precisiones para acotar debidamente el objeto de la misma y el alcance de nuestro enjuiciamiento.</w:t>
      </w:r>
    </w:p>
    <w:p w:rsidR="00AC56D6" w:rsidRDefault="00AC56D6" w:rsidP="00AC56D6">
      <w:pPr>
        <w:pStyle w:val="TextoNormal"/>
      </w:pPr>
    </w:p>
    <w:p w:rsidR="00AC56D6" w:rsidRDefault="00AC56D6" w:rsidP="00AC56D6">
      <w:pPr>
        <w:pStyle w:val="TextoNormal"/>
      </w:pPr>
      <w:r>
        <w:t>a) Así, en primer lugar, resulta obligado advertir, que el Juzgado de lo Contencioso-Administrativo núm. 1 de Mérida cuestiona los preceptos señalados en su aplicación a los funcionarios públicos. Ello se conecta lógicamente con el juicio de relevancia, correctamente expresado por el órgano judicial, pues la cuestión de inconstitucionalidad trae causa de un proceso promovido por un funcionario de carrera del cuerpo de maestros con motivo de la supresión por el Gobierno de Extremadura, por aplicación de las previsiones contenidas en el Real Decreto-ley 20/2012, de la paga o gratificación extraordinaria de diciembre de 2012 a dicha funcionaria, proceso en el que lo pretendido por la demandante con carácter subsidiario a la pretensión principal (referida a que se deje sin efecto la medida de supresión de la paga extra de diciembre de 2012) es justamente que se declare su derecho a percibir la parte proporcional de la paga extra de diciembre de 2012 que considera ya devengada al momento de la entrada en vigor del Real Decreto-ley 20/2012 (del 1 de junio al 15 de julio), porque, de acuerdo con el art. 9.3 CE en relación con el art. 33.3 CE, no cabe que la supresión de esa paga extra por el Real Decreto-ley 20/2012 tenga efectos retroactivos.</w:t>
      </w:r>
    </w:p>
    <w:p w:rsidR="00AC56D6" w:rsidRDefault="00AC56D6" w:rsidP="00AC56D6">
      <w:pPr>
        <w:pStyle w:val="TextoNormal"/>
      </w:pPr>
    </w:p>
    <w:p w:rsidR="00AC56D6" w:rsidRDefault="00AC56D6" w:rsidP="00AC56D6">
      <w:pPr>
        <w:pStyle w:val="TextoNormal"/>
      </w:pPr>
      <w:r>
        <w:lastRenderedPageBreak/>
        <w:t xml:space="preserve">b) Por otra parte debe tenerse en cuenta que no se cuestiona por el Juzgado de lo Contencioso-Administrativo núm. 1 de Mérida la medida de supresión de la paga extraordinaria de diciembre de 2012 en sí misma considerada (que es la pretensión principal que se deduce por la demandante en el proceso </w:t>
      </w:r>
      <w:r w:rsidRPr="00AC56D6">
        <w:rPr>
          <w:i/>
        </w:rPr>
        <w:t>a quo</w:t>
      </w:r>
      <w:r>
        <w:t xml:space="preserve">, como se ha dicho), sino sólo en cuanto su aplicación haya podido suponer la infracción del principio de irretroactividad establecido en el 9.3 CE, al no contemplar excepción alguna respecto de las cuantías que se entienden ya devengadas de dicha paga extra (en concreto, 44 correspondientes a los servicios prestados entre el 1 de junio de 2012 y el 14 de julio de 2012) a la fecha de entrada en vigor del Real Decreto-ley 20/2012 (que tuvo lugar el 15 de julio de 2012, conforme a su disposición final decimoquinta), ni fijar indemnización alguna por la supresión de un derecho patrimonial. A esta concreta duda de constitucionalidad (planteada a partir de la pretensión subsidiaria en el proceso </w:t>
      </w:r>
      <w:r w:rsidRPr="00AC56D6">
        <w:rPr>
          <w:i/>
        </w:rPr>
        <w:t>a quo</w:t>
      </w:r>
      <w:r>
        <w:t>) deberá, pues, ceñirse nuestro enjuiciamiento.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La disposición adicional duodécima de la Ley 36/2014, de 26 de diciembre, de presupuestos generales del Estado para 2015, bajo el epígrafe “Recuperación de la paga extraordinaria y adicional del mes de diciembre de 2012”, establece,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00AC56D6" w:rsidRDefault="00AC56D6" w:rsidP="00AC56D6">
      <w:pPr>
        <w:pStyle w:val="TextoNormal"/>
      </w:pPr>
    </w:p>
    <w:p w:rsidR="00AC56D6" w:rsidRDefault="00AC56D6" w:rsidP="00AC56D6">
      <w:pPr>
        <w:pStyle w:val="TextoNormal"/>
      </w:pPr>
      <w:r>
        <w:t>Como consta en los antecedentes de esta resolución, de conformidad con lo dispuesto en el art. 88.1 LOTC, la Sala Segunda de este Tribunal dirigió comunicación a la Consejería de Educación y Cultura de la Junta de Extremadura a fin de que indicara a este Tribunal si, en atención a lo dispuesto en la disposición adicional duodécima de la Ley 36/2014, de presupuestos generales del Estado para el año 2015, o por cualquier otra circunstancia, ha satisfecho al funcionario de carrera del cuerpo de Maestros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 En contestación a dicha comunicación la Consejería de Educación y Cultura de la Junta de Extremadura ha informado a este Tribunal que el funcionario señalado ha percibido en la nómina del mes de enero de 2015 la prorrata retributiva de los 42 días devengados (descontados dos días por ejercitar el derecho de huelga en el período comprendido entre el 1 de junio y el 14 de julio de 2012) de la paga extraordinaria correspondiente al mes de diciembre de 2012, así como la paga adicional del complemento específico o pagas adicionales equivalentes, que fueron suprimidas por imposición directa del Real Decreto-ley 20/2012, de 13 de julio, de medidas para garantizar la estabilidad presupuestaria y de fomento de la competitividad.</w:t>
      </w:r>
    </w:p>
    <w:p w:rsidR="00AC56D6" w:rsidRDefault="00AC56D6" w:rsidP="00AC56D6">
      <w:pPr>
        <w:pStyle w:val="TextoNormal"/>
      </w:pPr>
    </w:p>
    <w:p w:rsidR="00AC56D6" w:rsidRDefault="00AC56D6" w:rsidP="00AC56D6">
      <w:pPr>
        <w:pStyle w:val="TextoNormal"/>
      </w:pPr>
      <w:r>
        <w:t>Como consecuencia del abono de los días señalados correspondientes a la paga extraordinaria del mes de diciembre de 2012, debemos remitirnos a lo dicho recientemente en nuestra STC 83/2015, de 30 de abril, sobre la posible pérdida de objeto de la cuestión de inconstitucionalidad.</w:t>
      </w:r>
    </w:p>
    <w:p w:rsidR="00AC56D6" w:rsidRDefault="00AC56D6" w:rsidP="00AC56D6">
      <w:pPr>
        <w:pStyle w:val="TextoNormal"/>
      </w:pPr>
    </w:p>
    <w:p w:rsidR="00AC56D6" w:rsidRDefault="00AC56D6" w:rsidP="00AC56D6">
      <w:pPr>
        <w:pStyle w:val="TextoNormal"/>
      </w:pPr>
      <w:r>
        <w:lastRenderedPageBreak/>
        <w:t>En el fundamento jurídico 3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presente—, no se había producido la extinción del procedimiento laboral a quo, ni tampoco nos encontrábamos ante un supuesto de pérdida de vigencia del precepto legal cuestionado, no obstante lo cual,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00AC56D6" w:rsidRDefault="00AC56D6" w:rsidP="00AC56D6">
      <w:pPr>
        <w:pStyle w:val="TextoNormal"/>
      </w:pPr>
    </w:p>
    <w:p w:rsidR="00AC56D6" w:rsidRDefault="00AC56D6" w:rsidP="00AC56D6">
      <w:pPr>
        <w:pStyle w:val="TextoNormal"/>
      </w:pPr>
      <w:r>
        <w:t>En la presente cuestión de inconstitucionalidad se plantea si la supresión del derecho de un funcionario de carrera del cuerpo de maestros a percibir la parte proporcional (en concreto, 44 días) de la paga extra de diciembre de 2012, por entenderse ya devengada al momento de la entrada en vigor del Real Decreto-ley 20/2012, contraviene el art. 9.3 CE. Planteada la cuestión en esos términos, es obligado concluir como hicimos en la STC 83/2015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00AC56D6" w:rsidRDefault="00AC56D6" w:rsidP="00AC56D6">
      <w:pPr>
        <w:pStyle w:val="TextoNormal"/>
      </w:pPr>
    </w:p>
    <w:p w:rsidR="00AC56D6" w:rsidRDefault="00AC56D6" w:rsidP="00AC56D6">
      <w:pPr>
        <w:pStyle w:val="TextoNormal"/>
      </w:pPr>
      <w:r>
        <w:t>Conforme a lo expuesto, el abono al funcionario de carrera del cuerpo de maestros cuya demanda ha dado lugar al planteamiento de la presente cuestión de inconstitucionalidad de la parte correspondiente a 42 días de la paga extraordinaria de diciembre de 2012 (descontados dos días por haber ejercido el derecho de huelga en el período comprendido entre el 1 de junio y el 14 de julio de 2012, período al que se limita la duda de constitucionalidad planteada),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Declarar la extinción de la presente cuestión de inconstitucionalidad por desaparición sobrevenida de su objeto.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veinte de julio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20" w:name="SENTENCIA_2015_164"/>
      <w:r>
        <w:lastRenderedPageBreak/>
        <w:t>SENTENCIA 164/2015, de 20 de julio de 2015</w:t>
      </w:r>
    </w:p>
    <w:bookmarkEnd w:id="20"/>
    <w:p w:rsidR="00AC56D6" w:rsidRDefault="00AC56D6" w:rsidP="00AC56D6">
      <w:pPr>
        <w:pStyle w:val="TtuloResolucin"/>
      </w:pPr>
      <w:r>
        <w:t>Sala Segunda</w:t>
      </w:r>
    </w:p>
    <w:p w:rsidR="00AC56D6" w:rsidRDefault="00AC56D6" w:rsidP="00AC56D6">
      <w:pPr>
        <w:pStyle w:val="TtuloBOE"/>
      </w:pPr>
      <w:r>
        <w:t>(BOE núm. 200, de 21 de agosto de 2015)</w:t>
      </w:r>
    </w:p>
    <w:p w:rsidR="00AC56D6" w:rsidRDefault="00AC56D6" w:rsidP="00AC56D6">
      <w:pPr>
        <w:pStyle w:val="TextoNormalCentrado"/>
      </w:pPr>
      <w:r>
        <w:t>ECLI:ES:TC:2015:164</w:t>
      </w:r>
    </w:p>
    <w:p w:rsidR="00AC56D6" w:rsidRDefault="00AC56D6" w:rsidP="00AC56D6">
      <w:pPr>
        <w:pStyle w:val="TextoNormalCentrado"/>
      </w:pPr>
    </w:p>
    <w:p w:rsidR="00AC56D6" w:rsidRDefault="00AC56D6" w:rsidP="00AC56D6">
      <w:pPr>
        <w:pStyle w:val="SntesisDescriptiva"/>
      </w:pPr>
      <w:r>
        <w:t>Cuestión de inconstitucionalidad 5373-2013. Planteada por el Juzgado de lo Contencioso-Administrativo número 1 de Mérida en relación con los artículos 2.1 y 2.2.2.1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y expropiación de derechos económicos: extinción, por pérdida de objeto, de la cuestión de inconstitucionalidad (STC 83/2015).</w:t>
      </w:r>
    </w:p>
    <w:p w:rsidR="00AC56D6" w:rsidRDefault="00AC56D6" w:rsidP="00AC56D6">
      <w:pPr>
        <w:pStyle w:val="SntesisAnaltica"/>
      </w:pPr>
    </w:p>
    <w:p w:rsidR="00AC56D6" w:rsidRDefault="00AC56D6" w:rsidP="00AC56D6">
      <w:pPr>
        <w:pStyle w:val="Extracto"/>
      </w:pPr>
      <w:r>
        <w:t>1.</w:t>
      </w:r>
      <w:r>
        <w:tab/>
        <w:t>La satisfacción extraprocesal de la pretensión deducida en el proceso laboral sobre la que se articula la cuestión de inconstitucionalidad le hace perder su objeto al ser dicha satisfacción uno de los posibles supuestos de extinción de la cuestión de inconstitucionalidad (STC 83/2015) [FJ 3].</w:t>
      </w:r>
    </w:p>
    <w:p w:rsidR="00AC56D6" w:rsidRDefault="00AC56D6" w:rsidP="00AC56D6">
      <w:pPr>
        <w:pStyle w:val="Extracto"/>
      </w:pPr>
    </w:p>
    <w:p w:rsidR="00AC56D6" w:rsidRDefault="00AC56D6" w:rsidP="00AC56D6">
      <w:pPr>
        <w:pStyle w:val="Extracto"/>
      </w:pPr>
      <w:r>
        <w:t>2.</w:t>
      </w:r>
      <w:r>
        <w:tab/>
        <w:t>Doctrina sobre las posibles causas de terminación extraordinaria de las cuestiones de inconstitucionalidad por pérdida sobrevenida de objeto (STC 83/2015) [FJ 3].</w:t>
      </w:r>
    </w:p>
    <w:p w:rsidR="00AC56D6" w:rsidRDefault="00AC56D6" w:rsidP="00AC56D6">
      <w:pPr>
        <w:pStyle w:val="Extracto"/>
      </w:pPr>
    </w:p>
    <w:p w:rsidR="00AC56D6" w:rsidRDefault="00AC56D6" w:rsidP="00AC56D6">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5373-2013, promovida por el Juzgado de lo Contencioso-Administrativo núm. 1 de Mérida contra los arts. 2.1 y 2.2.2.1 del Real Decreto-ley 20/2012, de 13 de julio, de medidas para garantizar la estabilidad presupuestaria y de fomento de la competitividad, por posible vulneración de los arts. 9.3 y 33.3 CE. Han formulado alegaciones el Fiscal General del Estado y el Abogado del Estado. Ha sido Ponente el Magistrado don Antonio Narváez Rodríguez,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23 de septiembre de 2013 tuvo entrada en el Registro General de este Tribunal un oficio del Juzgado de lo Contencioso-Administrativo núm. 1 de Mérida al que se acompaña, junto con el testimonio del procedimiento abreviado núm. 271-2013, el Auto de 10 de septiembre de 2013, por el que se acuerda plantear cuestión de inconstitucionalidad en relación con los arts. 2.1 y 2.2.2.1 del Real Decreto-ley 20/2012, de 13 de julio, de medidas para garantizar la estabilidad presupuestaria y de fomento de la competitividad, en su aplicación a los funcionarios públicos, por posible lesión del art. 9.3 CE, sobre el principio de irretroactividad de disposiciones restrictivas de derechos individuales en relación con el art. 33.3 CE, por supresión de un derecho patrimonial sin compensación adecuada.</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procesales de la cuestión de inconstitucionalidad planteada son, sucintamente expuestos, los siguientes:</w:t>
      </w:r>
    </w:p>
    <w:p w:rsidR="00AC56D6" w:rsidRDefault="00AC56D6" w:rsidP="00AC56D6">
      <w:pPr>
        <w:pStyle w:val="TextoNormal"/>
      </w:pPr>
    </w:p>
    <w:p w:rsidR="00AC56D6" w:rsidRDefault="00AC56D6" w:rsidP="00AC56D6">
      <w:pPr>
        <w:pStyle w:val="TextoNormal"/>
      </w:pPr>
      <w:r>
        <w:t>a) Un funcionario de carrera del cuerpo de maestros interpuso recurso contencioso-administrativo contra la Resolución de la Dirección General de Personal Docente de la Consejería de Educación de la Junta de Extremadura por la que se desestima el recurso de reposición interpuesto contra la denegación de la solicitud del recurrente en relación al abono de la paga extraordinaria correspondiente al mes de diciembre de 2012.</w:t>
      </w:r>
    </w:p>
    <w:p w:rsidR="00AC56D6" w:rsidRDefault="00AC56D6" w:rsidP="00AC56D6">
      <w:pPr>
        <w:pStyle w:val="TextoNormal"/>
      </w:pPr>
    </w:p>
    <w:p w:rsidR="00AC56D6" w:rsidRDefault="00AC56D6" w:rsidP="00AC56D6">
      <w:pPr>
        <w:pStyle w:val="TextoNormal"/>
      </w:pPr>
      <w:r>
        <w:t>b) Concluso el procedimiento y dentro del plazo para dictar Sentencia, el órgano judicial dictó providencia de 15 de julio de 2013 por la que acordó oír a las partes y al Ministerio Fiscal para que alegasen sobre la pertinencia de plantear cuestión de inconstitucionalidad en relación con los arts. 2.1 y 2.2.2.1 del Real Decreto-ley 20/2012, de 13 de julio, de medidas para garantizar la estabilidad presupuestaria y de fomento de la competitividad, por posible vulneración de los arts. 9.3 y 33.3 CE, por entender que aquellos producen la expropiación de una parte de la paga extraordinaria que se pudiera haber devengado entre los días 1 de junio de 2012 y 14 de julio de 2012, fecha anterior a la entrada en vigor del Real Decreto-Ley 20/2012, “mediante una aplicación retroactiva de la norma restrictiva de derechos y con vulneración del principio de seguridad jurídica”.</w:t>
      </w:r>
    </w:p>
    <w:p w:rsidR="00AC56D6" w:rsidRDefault="00AC56D6" w:rsidP="00AC56D6">
      <w:pPr>
        <w:pStyle w:val="TextoNormal"/>
      </w:pPr>
    </w:p>
    <w:p w:rsidR="00AC56D6" w:rsidRDefault="00AC56D6" w:rsidP="00AC56D6">
      <w:pPr>
        <w:pStyle w:val="TextoNormal"/>
      </w:pPr>
      <w:r>
        <w:t>El Ministerio Fiscal y la parte actora consideraron procedente el planteamiento de la cuestión. El Letrado de la Junta de Extremadura se manifestó en contra.</w:t>
      </w:r>
    </w:p>
    <w:p w:rsidR="00AC56D6" w:rsidRDefault="00AC56D6" w:rsidP="00AC56D6">
      <w:pPr>
        <w:pStyle w:val="TextoNormal"/>
      </w:pPr>
    </w:p>
    <w:p w:rsidR="00AC56D6" w:rsidRDefault="00AC56D6" w:rsidP="00AC56D6">
      <w:pPr>
        <w:pStyle w:val="TextoNormal"/>
      </w:pPr>
      <w:r w:rsidRPr="00AC56D6">
        <w:rPr>
          <w:rStyle w:val="NumeroAFNegritaCaracter"/>
        </w:rPr>
        <w:t>3</w:t>
      </w:r>
      <w:r>
        <w:t>. Por Auto de 10 de septiembre de 2013, el Juzgado de lo Contencioso-Administrativo núm. 1 de Mérida acordó plantear la presente cuestión de inconstitucionalidad y del análisis de su contenido interesa destacar los siguientes puntos:</w:t>
      </w:r>
    </w:p>
    <w:p w:rsidR="00AC56D6" w:rsidRDefault="00AC56D6" w:rsidP="00AC56D6">
      <w:pPr>
        <w:pStyle w:val="TextoNormal"/>
      </w:pPr>
    </w:p>
    <w:p w:rsidR="00AC56D6" w:rsidRDefault="00AC56D6" w:rsidP="00AC56D6">
      <w:pPr>
        <w:pStyle w:val="TextoNormal"/>
      </w:pPr>
      <w:r>
        <w:t xml:space="preserve">a) Tras exponer los antecedentes de hecho de la presente cuestión y el cumplimiento del trámite de audiencia previsto en el art. 35 LOTC, el órgano judicial transcribe las normas de cuya constitucionalidad duda, señalando que los mismos, al entrar en vigor el día 15 de julio de 2012 y suprimir la parte de la paga extraordinaria que va del 1 de junio de 2012 al 14 de julio de 2012 podría suponer una aplicación retroactiva de una norma restrictiva de los derechos retributivos del funcionario recurrente, lo que estaría prohibido por el art. 9.3 </w:t>
      </w:r>
      <w:r>
        <w:lastRenderedPageBreak/>
        <w:t>CE, suponiendo, de hecho, una expropiación del salario en concreto de dicha parte de paga extraordinaria, lo que vendría a suponer una vulneración del derecho ex art. 33.3 CE.</w:t>
      </w:r>
    </w:p>
    <w:p w:rsidR="00AC56D6" w:rsidRDefault="00AC56D6" w:rsidP="00AC56D6">
      <w:pPr>
        <w:pStyle w:val="TextoNormal"/>
      </w:pPr>
    </w:p>
    <w:p w:rsidR="00AC56D6" w:rsidRDefault="00AC56D6" w:rsidP="00AC56D6">
      <w:pPr>
        <w:pStyle w:val="TextoNormal"/>
      </w:pPr>
      <w:r>
        <w:t>b) Señala al respecto que la paga se hubiera abonado, de no haberse suprimido, el día 1 de diciembre de 2012, por referencia al trabajo de los seis meses anteriores (art. 17 de la Ley 1/2012, de 24 de enero, de presupuestos generales de la Comunidad Autónoma de Extremadura. Con cita de la doctrina del ATC 180/2011, de 13 de diciembre, el órgano judicial considera que la supresión de la parte proporcional de la paga extra podría suponer la indebida aplicación retroactiva de las normas del Real Decreto-ley citadas, restringiendo derechos del funcionario recurrente que se vería expropiado de la parte proporcional del salario devengado, en concreto, el que sea consecuencia del trabajo realizado entre el 1 de junio y el 14 de julio de 2012. Por tanto, según el órgano judicial, al haberse suprimido la paga extra en cuestión se podría estar consagrando una expropiación de los derechos económicos del funcionario vulneradora del art. 33. 3 CE y todo ello como consecuencia de una aplicación retroactiva de una norma restrictiva de derechos salariales, algo prohibido por el art. 9.3 CE.</w:t>
      </w:r>
    </w:p>
    <w:p w:rsidR="00AC56D6" w:rsidRDefault="00AC56D6" w:rsidP="00AC56D6">
      <w:pPr>
        <w:pStyle w:val="TextoNormal"/>
      </w:pPr>
    </w:p>
    <w:p w:rsidR="00AC56D6" w:rsidRDefault="00AC56D6" w:rsidP="00AC56D6">
      <w:pPr>
        <w:pStyle w:val="TextoNormal"/>
      </w:pPr>
      <w:r>
        <w:t>c) Finalmente, el Auto exterioriza los debidos juicios de aplicabilidad y relevancia indicando que los preceptos cuestionados son directamente aplicables al caso, pues sirven de base para suprimir la totalidad de la paga extra, especialmente la parte generada en el período 1 de junio al 14 de julio de 2012.</w:t>
      </w:r>
    </w:p>
    <w:p w:rsidR="00AC56D6" w:rsidRDefault="00AC56D6" w:rsidP="00AC56D6">
      <w:pPr>
        <w:pStyle w:val="TextoNormal"/>
      </w:pPr>
    </w:p>
    <w:p w:rsidR="00AC56D6" w:rsidRDefault="00AC56D6" w:rsidP="00AC56D6">
      <w:pPr>
        <w:pStyle w:val="TextoNormal"/>
      </w:pPr>
      <w:r w:rsidRPr="00AC56D6">
        <w:rPr>
          <w:rStyle w:val="NumeroAFNegritaCaracter"/>
        </w:rPr>
        <w:t>4</w:t>
      </w:r>
      <w:r>
        <w:t>. El Pleno de este Tribunal, a propuesta de la Sección Cuarta, acordó admitir a trámite la cuestión mediante providencia de 22 de octubre de 2013;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de lo Contencioso-Administrativo núm. 1 de Mérida,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Por escrito registrado el 30 de octubre de 2013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AC56D6" w:rsidRDefault="00AC56D6" w:rsidP="00AC56D6">
      <w:pPr>
        <w:pStyle w:val="TextoNormal"/>
      </w:pPr>
    </w:p>
    <w:p w:rsidR="00AC56D6" w:rsidRDefault="00AC56D6" w:rsidP="00AC56D6">
      <w:pPr>
        <w:pStyle w:val="TextoNormal"/>
      </w:pPr>
      <w:r>
        <w:t>Mediante escrito registrado el 5 de noviembre de 2013, el Presidente del Senado comunicó a este Tribunal el acuerdo de la Mesa para que se diera por personada a la Cámara y por ofrecida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6</w:t>
      </w:r>
      <w:r>
        <w:t>. El Abogado del Estado, mediante escrito de alegaciones registrado el 14 de noviembre de 2013, se personó interesando la desestimación de la cuestión de inconstitucionalidad por las razones que, resumidamente, se exponen a continuación.</w:t>
      </w:r>
    </w:p>
    <w:p w:rsidR="00AC56D6" w:rsidRDefault="00AC56D6" w:rsidP="00AC56D6">
      <w:pPr>
        <w:pStyle w:val="TextoNormal"/>
      </w:pPr>
    </w:p>
    <w:p w:rsidR="00AC56D6" w:rsidRDefault="00AC56D6" w:rsidP="00AC56D6">
      <w:pPr>
        <w:pStyle w:val="TextoNormal"/>
      </w:pPr>
      <w:r>
        <w:lastRenderedPageBreak/>
        <w:t>Comienza señalando que el Juzgado no se cuestiona genéricamente la supresión de la paga extra al personal funcionario, sino que tan solo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00AC56D6" w:rsidRDefault="00AC56D6" w:rsidP="00AC56D6">
      <w:pPr>
        <w:pStyle w:val="TextoNormal"/>
      </w:pPr>
    </w:p>
    <w:p w:rsidR="00AC56D6" w:rsidRDefault="00AC56D6" w:rsidP="00AC56D6">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AC56D6" w:rsidRDefault="00AC56D6" w:rsidP="00AC56D6">
      <w:pPr>
        <w:pStyle w:val="TextoNormal"/>
      </w:pPr>
    </w:p>
    <w:p w:rsidR="00AC56D6" w:rsidRDefault="00AC56D6" w:rsidP="00AC56D6">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00AC56D6" w:rsidRDefault="00AC56D6" w:rsidP="00AC56D6">
      <w:pPr>
        <w:pStyle w:val="TextoNormal"/>
      </w:pPr>
    </w:p>
    <w:p w:rsidR="00AC56D6" w:rsidRDefault="00AC56D6" w:rsidP="00AC56D6">
      <w:pPr>
        <w:pStyle w:val="TextoNormal"/>
      </w:pPr>
      <w: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w:t>
      </w:r>
      <w:r>
        <w:lastRenderedPageBreak/>
        <w:t>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00AC56D6" w:rsidRDefault="00AC56D6" w:rsidP="00AC56D6">
      <w:pPr>
        <w:pStyle w:val="TextoNormal"/>
      </w:pPr>
    </w:p>
    <w:p w:rsidR="00AC56D6" w:rsidRDefault="00AC56D6" w:rsidP="00AC56D6">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Europea (STJUE de 26 de abril de 2005), pueden reputarse conformes a la Constitución modificaciones con cualquier grado de retroactividad cuando existan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AC56D6" w:rsidRDefault="00AC56D6" w:rsidP="00AC56D6">
      <w:pPr>
        <w:pStyle w:val="TextoNormal"/>
      </w:pPr>
    </w:p>
    <w:p w:rsidR="00AC56D6" w:rsidRDefault="00AC56D6" w:rsidP="00AC56D6">
      <w:pPr>
        <w:pStyle w:val="TextoNormal"/>
      </w:pPr>
      <w:r>
        <w:lastRenderedPageBreak/>
        <w:t>Por todo ello, se interesa la desestimación de la cuestión.</w:t>
      </w:r>
    </w:p>
    <w:p w:rsidR="00AC56D6" w:rsidRDefault="00AC56D6" w:rsidP="00AC56D6">
      <w:pPr>
        <w:pStyle w:val="TextoNormal"/>
      </w:pPr>
    </w:p>
    <w:p w:rsidR="00AC56D6" w:rsidRDefault="00AC56D6" w:rsidP="00AC56D6">
      <w:pPr>
        <w:pStyle w:val="TextoNormal"/>
      </w:pPr>
      <w:r w:rsidRPr="00AC56D6">
        <w:rPr>
          <w:rStyle w:val="NumeroAFNegritaCaracter"/>
        </w:rPr>
        <w:t>7</w:t>
      </w:r>
      <w:r>
        <w:t>. El Fiscal General del Estado presentó escrito de alegaciones ante este Tribunal el 25 de noviembre de 2013 interesando la estimación de la presente cuestión de inconstitucionalidad.</w:t>
      </w:r>
    </w:p>
    <w:p w:rsidR="00AC56D6" w:rsidRDefault="00AC56D6" w:rsidP="00AC56D6">
      <w:pPr>
        <w:pStyle w:val="TextoNormal"/>
      </w:pPr>
    </w:p>
    <w:p w:rsidR="00AC56D6" w:rsidRDefault="00AC56D6" w:rsidP="00AC56D6">
      <w:pPr>
        <w:pStyle w:val="TextoNormal"/>
      </w:pPr>
      <w:r>
        <w:t>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AC56D6" w:rsidRDefault="00AC56D6" w:rsidP="00AC56D6">
      <w:pPr>
        <w:pStyle w:val="TextoNormal"/>
      </w:pPr>
    </w:p>
    <w:p w:rsidR="00AC56D6" w:rsidRDefault="00AC56D6" w:rsidP="00AC56D6">
      <w:pPr>
        <w:pStyle w:val="TextoNormal"/>
      </w:pPr>
      <w: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w:t>
      </w:r>
      <w:r w:rsidRPr="00AC56D6">
        <w:rPr>
          <w:i/>
        </w:rPr>
        <w:t>N.K.M. c.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w:t>
      </w:r>
      <w:r>
        <w:lastRenderedPageBreak/>
        <w:t>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t>El Fiscal General del Estado concluye sus alegaciones precisando que en el Auto de planteamiento no se cuestiona todo el art. 2 del Real Decreto-ley 20/2012 sino en concreto, sus apartados 2.1 y 2.2.2.1 ya que éstos son los que resultan aplicables para resolver el pleito sometido a su conocimiento y relevante en cuanto que el recurso del proceso subyacente se refiere exclusivamente al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 en tanto que, respecto a los funcionarios, la paga extraordinaria correspondiente al mes de diciembre se comienza a devengar en la fecha del 1 de junio de tal período.</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5 de junio de 2015 la Sala Segunda acordó, de conformidad con lo dispuesto en el art. 88 LOTC, dirigir atenta comunicación a la Consejería de Educación y Cultura de la Junta de Extremadura, a fin de que indique a este Tribunal si, en atención a lo previsto en la disposición adicional segunda de la Ley 36/2014, de presupuestos generales del Estado para el año 2015, o por cualquier otra circunstancia, ha satisfecho al funcionario de carrera del Cuerpo de Maestros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AC56D6" w:rsidRDefault="00AC56D6" w:rsidP="00AC56D6">
      <w:pPr>
        <w:pStyle w:val="TextoNormal"/>
      </w:pPr>
    </w:p>
    <w:p w:rsidR="00AC56D6" w:rsidRDefault="00AC56D6" w:rsidP="00AC56D6">
      <w:pPr>
        <w:pStyle w:val="TextoNormal"/>
      </w:pPr>
      <w:r w:rsidRPr="00AC56D6">
        <w:rPr>
          <w:rStyle w:val="NumeroAFNegritaCaracter"/>
        </w:rPr>
        <w:t>9</w:t>
      </w:r>
      <w:r>
        <w:t>. En contestación a dicha providencia el Secretario General de la Consejería de Educación y Cultura remitió a este Tribunal, con fecha de entrada 29 de junio de 2015, certificado del servicio de nóminas de personal docente de la Consejería de Educación y Cultura en el que se hace constar que el citado funcionario del cuerpo de maestros, “sí ha percibido la prorrata retributiva de los 42 días devengados (descontados 2 días por ejercitar el derecho de huelga en el período comprendido entre el 1 de junio y el 14 de julio de 2012) de la paga extraordinaria correspondiente al mes de diciembre de 2012, así como de la paga adicional del complemento específico o pagas adicionales equivalentes que fueron suprimidas por imposición directa del Real Decreto-ley 20/2012, de medidas para garantizar la estabilidad presupuestaria y de fomento de la competitividad”.</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10</w:t>
      </w:r>
      <w:r>
        <w:t>. Por providencia de 16 de julio de 2015, se señaló para deliberación y votación de la presente Sentencia el día 20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Juzgado de lo Contencioso-Administrativo núm. 1 de Mérida plantea cuestión de inconstitucionalidad respecto de los arts. 2.1 y 2.2.2.1 del Real Decreto-ley 20/2012, de 13 de julio, de medidas para garantizar la estabilidad presupuestaria y de fomento de la competitividad, preceptos que, en lo que aquí importa, disponen para el personal funcionario, la supresión de la paga extraordinaria y de la paga adicional de complemento específico o pagas adicionales equivalentes del mes de diciembre de 2012. En síntesis, el Juzgado entiende que los citados artículos, en su aplicación al personal funcionario, podrían estar consagrando una expropiación de los derechos económicos del funcionario recurrente vulneradora del art. 33.3 CE y pueden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1de junio al 14 de julio de 2012).</w:t>
      </w:r>
    </w:p>
    <w:p w:rsidR="00AC56D6" w:rsidRDefault="00AC56D6" w:rsidP="00AC56D6">
      <w:pPr>
        <w:pStyle w:val="TextoNormal"/>
      </w:pPr>
    </w:p>
    <w:p w:rsidR="00AC56D6" w:rsidRDefault="00AC56D6" w:rsidP="00AC56D6">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al análisis de la cuestión planteada conviene realizar una serie de precisiones para acotar debidamente el objeto de la misma y el alcance de nuestro enjuiciamiento.</w:t>
      </w:r>
    </w:p>
    <w:p w:rsidR="00AC56D6" w:rsidRDefault="00AC56D6" w:rsidP="00AC56D6">
      <w:pPr>
        <w:pStyle w:val="TextoNormal"/>
      </w:pPr>
    </w:p>
    <w:p w:rsidR="00AC56D6" w:rsidRDefault="00AC56D6" w:rsidP="00AC56D6">
      <w:pPr>
        <w:pStyle w:val="TextoNormal"/>
      </w:pPr>
      <w:r>
        <w:t>a) Así, en primer lugar, resulta obligado advertir, que el Juzgado de lo Contencioso-Administrativo núm. 1 de Mérida cuestiona los preceptos señalados en su aplicación a los funcionarios públicos. Ello se conecta lógicamente con el juicio de relevancia, correctamente expresado por el órgano judicial, pues la cuestión de inconstitucionalidad trae causa de un proceso promovido por un funcionario de carrera del Cuerpo de Maestros con motivo de la supresión por el Gobierno de Extremadura, por aplicación de las previsiones contenidas en el Real Decreto-ley 20/2012, de la paga o gratificación extraordinaria de diciembre de 2012 a dicho funcionario, proceso en el que lo pretendido por el demandante con carácter subsidiario a la pretensión principal (referida a que se deje sin efecto la medida de supresión de la paga extra de diciembre de 2012) es justamente que se declare su derecho a percibir la parte proporcional de la paga extra de diciembre de 2012 que considera ya devengada al momento de la entrada en vigor del Real Decreto-ley 20/2012 (del 1 de junio al 15 de julio), porque, de acuerdo con el art. 9.3 CE en relación con el art. 33.3 CE, no cabe que la supresión de esa paga extra por el Real Decreto-ley 20/2012 tenga efectos retroactivos.</w:t>
      </w:r>
    </w:p>
    <w:p w:rsidR="00AC56D6" w:rsidRDefault="00AC56D6" w:rsidP="00AC56D6">
      <w:pPr>
        <w:pStyle w:val="TextoNormal"/>
      </w:pPr>
    </w:p>
    <w:p w:rsidR="00AC56D6" w:rsidRDefault="00AC56D6" w:rsidP="00AC56D6">
      <w:pPr>
        <w:pStyle w:val="TextoNormal"/>
      </w:pPr>
      <w:r>
        <w:t xml:space="preserve">b) Por otra parte debe tenerse en cuenta que no se cuestiona por el Juzgado de lo Contencioso-Administrativo núm. 1 de Mérida la medida de supresión de la paga extraordinaria de diciembre de 2012 en sí misma considerada (que es la pretensión principal que se deduce por el demandante en el proceso </w:t>
      </w:r>
      <w:r w:rsidRPr="00AC56D6">
        <w:rPr>
          <w:i/>
        </w:rPr>
        <w:t>a quo</w:t>
      </w:r>
      <w:r>
        <w:t xml:space="preserve">, como se ha dicho), sino sólo en cuanto su aplicación </w:t>
      </w:r>
      <w:r>
        <w:lastRenderedPageBreak/>
        <w:t xml:space="preserve">haya podido suponer la infracción del principio de irretroactividad establecido en el 9.3 CE, al no contemplar excepción alguna respecto de las cuantías que se entienden ya devengadas de dicha paga extra (en concreto, 44 días correspondientes a los servicios prestados entre el 1 de junio de 2012 y el 14 de julio de 2012) a la fecha de entrada en vigor del Real Decreto-Ley 20/2012 (que tuvo lugar el 15 de julio de 2012, conforme a su disposición final decimoquinta), ni fijar indemnización alguna por la supresión de un derecho patrimonial. A esta concreta duda de constitucionalidad (planteada a partir de la pretensión subsidiaria en el proceso </w:t>
      </w:r>
      <w:r w:rsidRPr="00AC56D6">
        <w:rPr>
          <w:i/>
        </w:rPr>
        <w:t>a quo</w:t>
      </w:r>
      <w:r>
        <w:t>) deberá, pues, ceñirse nuestro enjuiciamiento.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La disposición adicional duodécima de la Ley 36/2014, de 26 de diciembre, de presupuestos generales del Estado para 2015, bajo el epígrafe “Recuperación de la paga extraordinaria y adicional del mes de diciembre de 2012”, establece,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00AC56D6" w:rsidRDefault="00AC56D6" w:rsidP="00AC56D6">
      <w:pPr>
        <w:pStyle w:val="TextoNormal"/>
      </w:pPr>
    </w:p>
    <w:p w:rsidR="00AC56D6" w:rsidRDefault="00AC56D6" w:rsidP="00AC56D6">
      <w:pPr>
        <w:pStyle w:val="TextoNormal"/>
      </w:pPr>
      <w:r>
        <w:t>Como consta en los antecedentes de esta resolución, de conformidad con lo dispuesto en el art. 88.1 de la Ley Orgánica del Tribunal Constitucional, la Sala Segunda de este Tribunal dirigió comunicación a la Consejería de Educación y Cultura de la Junta de Extremadura a fin de que indicara a este Tribunal si, en atención a lo dispuesto en la disposición adicional duodécima de la Ley 36/2014, de presupuestos generales del Estado para el año 2015, o por cualquier otra circunstancia, ha satisfecho al funcionario de carrera del cuerpo de maestros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 En contestación a dicha comunicación la Consejería de Educación y Cultura de la Junta de Extremadura ha informado a este Tribunal que el funcionario de carrera señalado ha percibido en la nómina del mes de enero de 2015 la prorrata retributiva de los 42 días devengados (descontados dos días por ejercitar el derecho de huelga en el período comprendido entre el 1 de junio y el 14 de julio de 2012) de la paga extraordinaria correspondiente al mes de diciembre de 2012, así como la paga adicional del complemento específico o pagas adicionales equivalentes, que fueron suprimidas por imposición directa del Real Decreto-ley 20/2012, de 13 de julio, de medidas para garantizar la estabilidad presupuestaria y de fomento de la competitividad.</w:t>
      </w:r>
    </w:p>
    <w:p w:rsidR="00AC56D6" w:rsidRDefault="00AC56D6" w:rsidP="00AC56D6">
      <w:pPr>
        <w:pStyle w:val="TextoNormal"/>
      </w:pPr>
    </w:p>
    <w:p w:rsidR="00AC56D6" w:rsidRDefault="00AC56D6" w:rsidP="00AC56D6">
      <w:pPr>
        <w:pStyle w:val="TextoNormal"/>
      </w:pPr>
      <w:r>
        <w:t>Como consecuencia del abono de los días señalados correspondientes a la paga extraordinaria del mes de diciembre de 2012, debemos remitirnos a lo dicho recientemente en nuestra STC 83/2015, de 30 de abril, sobre la posible pérdida de objeto de la cuestión de inconstitucionalidad.</w:t>
      </w:r>
    </w:p>
    <w:p w:rsidR="00AC56D6" w:rsidRDefault="00AC56D6" w:rsidP="00AC56D6">
      <w:pPr>
        <w:pStyle w:val="TextoNormal"/>
      </w:pPr>
    </w:p>
    <w:p w:rsidR="00AC56D6" w:rsidRDefault="00AC56D6" w:rsidP="00AC56D6">
      <w:pPr>
        <w:pStyle w:val="TextoNormal"/>
      </w:pPr>
      <w:r>
        <w:t xml:space="preserve">En el fundamento jurídico 3,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w:t>
      </w:r>
      <w:r>
        <w:lastRenderedPageBreak/>
        <w:t xml:space="preserve">presente—, ni se había producido la extinción del procedimiento laboral </w:t>
      </w:r>
      <w:r w:rsidRPr="00AC56D6">
        <w:rPr>
          <w:i/>
        </w:rPr>
        <w:t>a quo</w:t>
      </w:r>
      <w:r>
        <w:t xml:space="preserve">, ni tampoco nos encontrábamos ante un supuesto de pérdida de vigencia del precepto legal cuestionado, ello no obstante, era innegable la incidencia que tenía la medida contenida en la disposición adicional duodécima de la Ley 36/2014, de presupuestos generales del Estado para 2015 sobre la pretensión deducida en el pleito </w:t>
      </w:r>
      <w:r w:rsidRPr="00AC56D6">
        <w:rPr>
          <w:i/>
        </w:rPr>
        <w:t>a quo</w:t>
      </w:r>
      <w:r>
        <w:t>, “que afecta de modo determinante a la subsistencia del presente proceso constitucional, dada la estrecha vinculación existente entre toda cuestión de inconstitucionalidad y el procedimiento judicial de que dimana.”</w:t>
      </w:r>
    </w:p>
    <w:p w:rsidR="00AC56D6" w:rsidRDefault="00AC56D6" w:rsidP="00AC56D6">
      <w:pPr>
        <w:pStyle w:val="TextoNormal"/>
      </w:pPr>
    </w:p>
    <w:p w:rsidR="00AC56D6" w:rsidRDefault="00AC56D6" w:rsidP="00AC56D6">
      <w:pPr>
        <w:pStyle w:val="TextoNormal"/>
      </w:pPr>
      <w:r>
        <w:t>En la presente cuestión de inconstitucionalidad se plantea si la supresión del derecho de un funcionario de carrera del cuerpo de maestros a percibir la parte proporcional (en concreto, 44 días) de la paga extra de diciembre de 2012, por entenderse ya devengada al momento de la entrada en vigor del Real Decreto-ley 20/2012, contraviene el art. 9.3 CE. En esos términos planteada la cuestión es obligado concluir, como hicimos en la STC 83/2015,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00AC56D6" w:rsidRDefault="00AC56D6" w:rsidP="00AC56D6">
      <w:pPr>
        <w:pStyle w:val="TextoNormal"/>
      </w:pPr>
    </w:p>
    <w:p w:rsidR="00AC56D6" w:rsidRDefault="00AC56D6" w:rsidP="00AC56D6">
      <w:pPr>
        <w:pStyle w:val="TextoNormal"/>
      </w:pPr>
      <w:r>
        <w:t>Conforme a lo expuesto, el abono al funcionario de carrera del cuerpo de maestros cuya demanda ha dado lugar al planteamiento de la presente cuestión de inconstitucionalidad de la parte correspondiente a 42 días de la paga extraordinaria de diciembre de 2012 (descontados dos días por haber ejercido el derecho de huelga en el período comprendido entre el 1 de junio y el 14 de julio de 2012, período al que se limita la duda de constitucionalidad planteada),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Declarar la extinción de la presente cuestión de inconstitucionalidad núm. 5373-2013 por desaparición sobrevenida de su objeto.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veinte de julio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21" w:name="SENTENCIA_2015_165"/>
      <w:r>
        <w:lastRenderedPageBreak/>
        <w:t>SENTENCIA 165/2015, de 20 de julio de 2015</w:t>
      </w:r>
    </w:p>
    <w:bookmarkEnd w:id="21"/>
    <w:p w:rsidR="00AC56D6" w:rsidRDefault="00AC56D6" w:rsidP="00AC56D6">
      <w:pPr>
        <w:pStyle w:val="TtuloResolucin"/>
      </w:pPr>
      <w:r>
        <w:t>Sala Segunda</w:t>
      </w:r>
    </w:p>
    <w:p w:rsidR="00AC56D6" w:rsidRDefault="00AC56D6" w:rsidP="00AC56D6">
      <w:pPr>
        <w:pStyle w:val="TtuloBOE"/>
      </w:pPr>
      <w:r>
        <w:t>(BOE núm. 200, de 21 de agosto de 2015)</w:t>
      </w:r>
    </w:p>
    <w:p w:rsidR="00AC56D6" w:rsidRDefault="00AC56D6" w:rsidP="00AC56D6">
      <w:pPr>
        <w:pStyle w:val="TextoNormalCentrado"/>
      </w:pPr>
      <w:r>
        <w:t>ECLI:ES:TC:2015:165</w:t>
      </w:r>
    </w:p>
    <w:p w:rsidR="00AC56D6" w:rsidRDefault="00AC56D6" w:rsidP="00AC56D6">
      <w:pPr>
        <w:pStyle w:val="TextoNormalCentrado"/>
      </w:pPr>
    </w:p>
    <w:p w:rsidR="00AC56D6" w:rsidRDefault="00AC56D6" w:rsidP="00AC56D6">
      <w:pPr>
        <w:pStyle w:val="SntesisDescriptiva"/>
      </w:pPr>
      <w:r>
        <w:t>Cuestión de inconstitucionalidad 5374-2013. Planteada por el Juzgado de lo Contencioso-Administrativo número 1 de Mérida en relación con los artículos 2.1 y 2.2.2.1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y expropiación de derechos económicos: extinción, por pérdida de objeto, de la cuestión de inconstitucionalidad (STC 83/2015).</w:t>
      </w:r>
    </w:p>
    <w:p w:rsidR="00AC56D6" w:rsidRDefault="00AC56D6" w:rsidP="00AC56D6">
      <w:pPr>
        <w:pStyle w:val="SntesisAnaltica"/>
      </w:pPr>
    </w:p>
    <w:p w:rsidR="00AC56D6" w:rsidRDefault="00AC56D6" w:rsidP="00AC56D6">
      <w:pPr>
        <w:pStyle w:val="Extracto"/>
      </w:pPr>
      <w:r>
        <w:t>1.</w:t>
      </w:r>
      <w:r>
        <w:tab/>
        <w:t>La satisfacción extraprocesal de la pretensión deducida en el proceso laboral sobre la que se articula la cuestión de inconstitucionalidad le hace perder su objeto al ser dicha satisfacción uno de los posibles supuestos de extinción de la cuestión de inconstitucionalidad (STC 83/2015) [FJ 3].</w:t>
      </w:r>
    </w:p>
    <w:p w:rsidR="00AC56D6" w:rsidRDefault="00AC56D6" w:rsidP="00AC56D6">
      <w:pPr>
        <w:pStyle w:val="Extracto"/>
      </w:pPr>
    </w:p>
    <w:p w:rsidR="00AC56D6" w:rsidRDefault="00AC56D6" w:rsidP="00AC56D6">
      <w:pPr>
        <w:pStyle w:val="Extracto"/>
      </w:pPr>
      <w:r>
        <w:t>2.</w:t>
      </w:r>
      <w:r>
        <w:tab/>
        <w:t>Doctrina sobre las posibles causas de terminación extraordinaria de las cuestiones de inconstitucionalidad por pérdida sobrevenida de objeto (STC 83/2015) [FJ 3].</w:t>
      </w:r>
    </w:p>
    <w:p w:rsidR="00AC56D6" w:rsidRDefault="00AC56D6" w:rsidP="00AC56D6">
      <w:pPr>
        <w:pStyle w:val="Extracto"/>
      </w:pPr>
    </w:p>
    <w:p w:rsidR="00AC56D6" w:rsidRDefault="00AC56D6" w:rsidP="00AC56D6">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 xml:space="preserve">En la cuestión de inconstitucionalidad núm. 5374-2013, promovida por el Juzgado de lo Contencioso-Administrativo núm. 1 de Mérida contra los arts. 2.1 y 2.2.2.1 del Real Decreto-ley 20/2012, de 13 de julio, de medidas para garantizar la estabilidad presupuestaria y de fomento de la competitividad, por posible vulneración de los arts. 9.3 y 33.3 CE. Han </w:t>
      </w:r>
      <w:r>
        <w:lastRenderedPageBreak/>
        <w:t>formulado alegaciones el Fiscal General del Estado y el Abogado del Estado. Ha sido Ponente el Magistrado don Pedro José González-Trevijano Sánchez, quién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23 de septiembre de 2013 tuvo entrada en el Registro General de este Tribunal un oficio del Juzgado de lo Contencioso-Administrativo núm. 1 de Mérida al que se acompaña, junto con el testimonio del procedimiento abreviado núm. 271-2013, el Auto de 10 de septiembre de 2013, por el que se acuerda plantear cuestión de inconstitucionalidad en relación con los arts. 2.1 y 2.2.2.1 del Real Decreto-ley 20/2012, de 13 de julio, de medidas para garantizar la estabilidad presupuestaria y de fomento de la competitividad, en su aplicación a los funcionarios públicos, por posible lesión del art. 9.3 CE, sobre el principio de irretroactividad de disposiciones restrictivas de derechos individuales en relación con el art. 33.3 CE, por supresión de un derecho patrimonial sin compensación adecuada.</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procesales de la cuestión de inconstitucionalidad planteada son, sucintamente expuestos, los siguientes:</w:t>
      </w:r>
    </w:p>
    <w:p w:rsidR="00AC56D6" w:rsidRDefault="00AC56D6" w:rsidP="00AC56D6">
      <w:pPr>
        <w:pStyle w:val="TextoNormal"/>
      </w:pPr>
    </w:p>
    <w:p w:rsidR="00AC56D6" w:rsidRDefault="00AC56D6" w:rsidP="00AC56D6">
      <w:pPr>
        <w:pStyle w:val="TextoNormal"/>
      </w:pPr>
      <w:r>
        <w:t>a) Una funcionaria interina del cuerpo de profesores de enseñanza secundaria interpuso recurso contencioso-administrativo contra la resolución de la Dirección General de Personal Docente de la Consejería de Educación de la Junta de Extremadura por la que se desestima el recurso de reposición interpuesto contra la denegación de la solicitud del recurrente en relación al abono de la paga extraordinaria correspondiente al mes de diciembre de 2012.</w:t>
      </w:r>
    </w:p>
    <w:p w:rsidR="00AC56D6" w:rsidRDefault="00AC56D6" w:rsidP="00AC56D6">
      <w:pPr>
        <w:pStyle w:val="TextoNormal"/>
      </w:pPr>
    </w:p>
    <w:p w:rsidR="00AC56D6" w:rsidRDefault="00AC56D6" w:rsidP="00AC56D6">
      <w:pPr>
        <w:pStyle w:val="TextoNormal"/>
      </w:pPr>
      <w:r>
        <w:t>b) Concluso el procedimiento, y dentro del plazo para dictar Sentencia, el órgano judicial dictó providencia de 15 de julio de 2013, por la que acordó oír a las partes y al Ministerio Fiscal para que alegasen sobre la pertinencia de plantear cuestión de inconstitucionalidad en relación con los arts. 2.1 y 2.2.2.1 del Real Decreto-ley 20/2012, de 13 de julio, de medidas para garantizar la estabilidad presupuestaria y de fomento de la competitividad, por posible vulneración de los arts. 9.3 y 33.3 CE, por entender que los mismos producen la expropiación de una parte de la paga extraordinaria que se pudiera haber devengado entre los días 1 de junio de 2012 y 14 de julio de 2012, fecha anterior a la entrada en vigor del Real Decreto-ley 20/2012, “mediante una aplicación retroactiva de la norma restrictiva de derechos y con vulneración del principio de seguridad jurídica”.</w:t>
      </w:r>
    </w:p>
    <w:p w:rsidR="00AC56D6" w:rsidRDefault="00AC56D6" w:rsidP="00AC56D6">
      <w:pPr>
        <w:pStyle w:val="TextoNormal"/>
      </w:pPr>
    </w:p>
    <w:p w:rsidR="00AC56D6" w:rsidRDefault="00AC56D6" w:rsidP="00AC56D6">
      <w:pPr>
        <w:pStyle w:val="TextoNormal"/>
      </w:pPr>
      <w:r>
        <w:t>El Ministerio Fiscal y la parte actora consideraron procedente el planteamiento de la cuestión. El Letrado de la Junta de Extremadura se manifestó, en cambio, en contra de la presentación de la cuestión.</w:t>
      </w:r>
    </w:p>
    <w:p w:rsidR="00AC56D6" w:rsidRDefault="00AC56D6" w:rsidP="00AC56D6">
      <w:pPr>
        <w:pStyle w:val="TextoNormal"/>
      </w:pPr>
    </w:p>
    <w:p w:rsidR="00AC56D6" w:rsidRDefault="00AC56D6" w:rsidP="00AC56D6">
      <w:pPr>
        <w:pStyle w:val="TextoNormal"/>
      </w:pPr>
      <w:r w:rsidRPr="00AC56D6">
        <w:rPr>
          <w:rStyle w:val="NumeroAFNegritaCaracter"/>
        </w:rPr>
        <w:t>3</w:t>
      </w:r>
      <w:r>
        <w:t>. Por Auto de 10 de septiembre de 2013, el Juzgado de lo Contencioso-Administrativo núm. 1 de Mérida acordó plantear la presente cuestión de inconstitucionalidad y del análisis de su contenido interesa destacar los siguientes puntos:</w:t>
      </w:r>
    </w:p>
    <w:p w:rsidR="00AC56D6" w:rsidRDefault="00AC56D6" w:rsidP="00AC56D6">
      <w:pPr>
        <w:pStyle w:val="TextoNormal"/>
      </w:pPr>
    </w:p>
    <w:p w:rsidR="00AC56D6" w:rsidRDefault="00AC56D6" w:rsidP="00AC56D6">
      <w:pPr>
        <w:pStyle w:val="TextoNormal"/>
      </w:pPr>
      <w:r>
        <w:t xml:space="preserve">a) Tras exponer los antecedentes de hecho de la presente cuestión y el cumplimiento del trámite de audiencia previsto en el art. 35 LOTC, el órgano judicial transcribe las normas de cuya constitucionalidad duda, señalando que las mismas, al entrar en vigor el día 15 de </w:t>
      </w:r>
      <w:r>
        <w:lastRenderedPageBreak/>
        <w:t>julio de 2012 y suprimir la parte de la paga extraordinaria que va del 1 de junio de 2012 al 14 de julio de 2012, podría suponer una aplicación retroactiva de una norma restrictiva de los derechos retributivos del funcionario recurrente, lo que estaría prohibido por el art. 9.3 CE, suponiendo, de hecho, una expropiación del salario, en concreto, de dicha parte de paga extraordinaria, lo que vendría a suponer una vulneración del derecho reconocido en el art. 33.3 CE.</w:t>
      </w:r>
    </w:p>
    <w:p w:rsidR="00AC56D6" w:rsidRDefault="00AC56D6" w:rsidP="00AC56D6">
      <w:pPr>
        <w:pStyle w:val="TextoNormal"/>
      </w:pPr>
    </w:p>
    <w:p w:rsidR="00AC56D6" w:rsidRDefault="00AC56D6" w:rsidP="00AC56D6">
      <w:pPr>
        <w:pStyle w:val="TextoNormal"/>
      </w:pPr>
      <w:r>
        <w:t>b) Señala al respecto que la paga se hubiera abonado, de no haberse suprimido, el día 1 de diciembre de 2012, por referencia al trabajo de los seis meses anteriores (art. 17 de la Ley 1/2012, de 24 de enero, de presupuestos generales de la Comunidad Autónoma de Extremadura). Con cita de la doctrina del ATC 180/2011, de 13 de diciembre, el órgano judicial considera que la supresión de la parte proporcional de la paga extra podría suponer la indebida aplicación retroactiva de las normas del Real Decreto-ley citadas, restringiendo derechos del funcionario recurrente que se vería expropiado de la parte proporcional del salario devengado, en concreto, el que sea consecuencia del trabajo realizado entre el 1 de junio y el 14 de julio de 2012. Por tanto, según el órgano judicial, al haberse suprimido la paga extra en cuestión se podría estar consagrando una expropiación de los derechos económicos del funcionario vulneradora del art. 33. 3 CE, y todo ello como consecuencia de una aplicación retroactiva de una norma restrictiva de derechos salariales, algo prohibido por el art. 9.3 CE.</w:t>
      </w:r>
    </w:p>
    <w:p w:rsidR="00AC56D6" w:rsidRDefault="00AC56D6" w:rsidP="00AC56D6">
      <w:pPr>
        <w:pStyle w:val="TextoNormal"/>
      </w:pPr>
    </w:p>
    <w:p w:rsidR="00AC56D6" w:rsidRDefault="00AC56D6" w:rsidP="00AC56D6">
      <w:pPr>
        <w:pStyle w:val="TextoNormal"/>
      </w:pPr>
      <w:r>
        <w:t>c) Finalmente, el Auto exterioriza los debidos juicios de aplicabilidad y relevancia, indicando que los preceptos cuestionados son directamente aplicables al caso, pues sirven de base para suprimir la totalidad de la paga extra, especialmente la parte generada en el periodo 1 de junio al 14 de julio de 2012.</w:t>
      </w:r>
    </w:p>
    <w:p w:rsidR="00AC56D6" w:rsidRDefault="00AC56D6" w:rsidP="00AC56D6">
      <w:pPr>
        <w:pStyle w:val="TextoNormal"/>
      </w:pPr>
    </w:p>
    <w:p w:rsidR="00AC56D6" w:rsidRDefault="00AC56D6" w:rsidP="00AC56D6">
      <w:pPr>
        <w:pStyle w:val="TextoNormal"/>
      </w:pPr>
      <w:r w:rsidRPr="00AC56D6">
        <w:rPr>
          <w:rStyle w:val="NumeroAFNegritaCaracter"/>
        </w:rPr>
        <w:t>4</w:t>
      </w:r>
      <w:r>
        <w:t>. El Pleno de este Tribunal, a propuesta de la Sección Tercera, acordó admitir a trámite la cuestión mediante providencia de 22 de octubre de 2013;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de lo Contencioso-Administrativo núm. 1 de Mérida,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Por escrito registrado el 30 de octubre de 2013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AC56D6" w:rsidRDefault="00AC56D6" w:rsidP="00AC56D6">
      <w:pPr>
        <w:pStyle w:val="TextoNormal"/>
      </w:pPr>
    </w:p>
    <w:p w:rsidR="00AC56D6" w:rsidRDefault="00AC56D6" w:rsidP="00AC56D6">
      <w:pPr>
        <w:pStyle w:val="TextoNormal"/>
      </w:pPr>
      <w:r>
        <w:t>Mediante escrito registrado el 6 de noviembre de 2013, el Presidente del Senado comunicó a este Tribunal el acuerdo de la Mesa para que se diera por personada a la Cámara y por ofrecida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6</w:t>
      </w:r>
      <w:r>
        <w:t>. El Abogado del Estado, en la representación que ostenta, mediante escrito de alegaciones registrado en este Tribunal el 14 de noviembre de 2013, se personó interesando la desestimación de la cuestión de inconstitucionalidad por las razones que, resumidamente, se exponen a continuación.</w:t>
      </w:r>
    </w:p>
    <w:p w:rsidR="00AC56D6" w:rsidRDefault="00AC56D6" w:rsidP="00AC56D6">
      <w:pPr>
        <w:pStyle w:val="TextoNormal"/>
      </w:pPr>
    </w:p>
    <w:p w:rsidR="00AC56D6" w:rsidRDefault="00AC56D6" w:rsidP="00AC56D6">
      <w:pPr>
        <w:pStyle w:val="TextoNormal"/>
      </w:pPr>
      <w:r>
        <w:t>Comienza señalando que el Juzgado no se cuestiona genéricamente la supresión de la paga extra al personal funcionario, sino que tan solo reprocha al legislador el que no haya incluido una disposición transitoria por la cual se hubiera exceptuado de la mencionada supresión la parte proporcional de la paga extraordinaria que se entiende devengada del 1 de junio al 15 de julio de 2012,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00AC56D6" w:rsidRDefault="00AC56D6" w:rsidP="00AC56D6">
      <w:pPr>
        <w:pStyle w:val="TextoNormal"/>
      </w:pPr>
    </w:p>
    <w:p w:rsidR="00AC56D6" w:rsidRDefault="00AC56D6" w:rsidP="00AC56D6">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AC56D6" w:rsidRDefault="00AC56D6" w:rsidP="00AC56D6">
      <w:pPr>
        <w:pStyle w:val="TextoNormal"/>
      </w:pPr>
    </w:p>
    <w:p w:rsidR="00AC56D6" w:rsidRDefault="00AC56D6" w:rsidP="00AC56D6">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de 2012, “estaba ya consolidado, asumido e integrado en el patrimonio de los trabajadores cuando entró en vigor” el Real Decreto-ley 20/2012, o si, por el contrario, se trataba de una expectativa de derecho o de un derecho futuro o condicionado.</w:t>
      </w:r>
    </w:p>
    <w:p w:rsidR="00AC56D6" w:rsidRDefault="00AC56D6" w:rsidP="00AC56D6">
      <w:pPr>
        <w:pStyle w:val="TextoNormal"/>
      </w:pPr>
    </w:p>
    <w:p w:rsidR="00AC56D6" w:rsidRDefault="00AC56D6" w:rsidP="00AC56D6">
      <w:pPr>
        <w:pStyle w:val="TextoNormal"/>
      </w:pPr>
      <w: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w:t>
      </w:r>
      <w:r>
        <w:lastRenderedPageBreak/>
        <w:t>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00AC56D6" w:rsidRDefault="00AC56D6" w:rsidP="00AC56D6">
      <w:pPr>
        <w:pStyle w:val="TextoNormal"/>
      </w:pPr>
    </w:p>
    <w:p w:rsidR="00AC56D6" w:rsidRDefault="00AC56D6" w:rsidP="00AC56D6">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STJUE de 26 de abril de 2005, pueden reputarse conformes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t xml:space="preserve">En tal sentido, se hace referencia a lo indicado al respecto en el preámbulo y la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w:t>
      </w:r>
      <w:r>
        <w:lastRenderedPageBreak/>
        <w:t>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AC56D6" w:rsidRDefault="00AC56D6" w:rsidP="00AC56D6">
      <w:pPr>
        <w:pStyle w:val="TextoNormal"/>
      </w:pPr>
    </w:p>
    <w:p w:rsidR="00AC56D6" w:rsidRDefault="00AC56D6" w:rsidP="00AC56D6">
      <w:pPr>
        <w:pStyle w:val="TextoNormal"/>
      </w:pPr>
      <w:r>
        <w:t>Por todo ello, se interesa la desestimación de la cuestión.</w:t>
      </w:r>
    </w:p>
    <w:p w:rsidR="00AC56D6" w:rsidRDefault="00AC56D6" w:rsidP="00AC56D6">
      <w:pPr>
        <w:pStyle w:val="TextoNormal"/>
      </w:pPr>
    </w:p>
    <w:p w:rsidR="00AC56D6" w:rsidRDefault="00AC56D6" w:rsidP="00AC56D6">
      <w:pPr>
        <w:pStyle w:val="TextoNormal"/>
      </w:pPr>
      <w:r w:rsidRPr="00AC56D6">
        <w:rPr>
          <w:rStyle w:val="NumeroAFNegritaCaracter"/>
        </w:rPr>
        <w:t>7</w:t>
      </w:r>
      <w:r>
        <w:t>. El Fiscal General del Estado presentó escrito de alegaciones ante este Tribunal el 25 de noviembre de 2013 interesando la estimación de la presente cuestión de inconstitucionalidad.</w:t>
      </w:r>
    </w:p>
    <w:p w:rsidR="00AC56D6" w:rsidRDefault="00AC56D6" w:rsidP="00AC56D6">
      <w:pPr>
        <w:pStyle w:val="TextoNormal"/>
      </w:pPr>
    </w:p>
    <w:p w:rsidR="00AC56D6" w:rsidRDefault="00AC56D6" w:rsidP="00AC56D6">
      <w:pPr>
        <w:pStyle w:val="TextoNormal"/>
      </w:pPr>
      <w:r>
        <w:t>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AC56D6" w:rsidRDefault="00AC56D6" w:rsidP="00AC56D6">
      <w:pPr>
        <w:pStyle w:val="TextoNormal"/>
      </w:pPr>
    </w:p>
    <w:p w:rsidR="00AC56D6" w:rsidRDefault="00AC56D6" w:rsidP="00AC56D6">
      <w:pPr>
        <w:pStyle w:val="TextoNormal"/>
      </w:pPr>
      <w: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que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w:t>
      </w:r>
      <w:r w:rsidRPr="00AC56D6">
        <w:rPr>
          <w:i/>
        </w:rPr>
        <w:t>N.K.M. c.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estima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lastRenderedPageBreak/>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apartarse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t>El Fiscal General del Estado concluye sus alegaciones precisando que en el Auto de planteamiento no se cuestiona todo el art. 2 del Real Decreto-ley 20/2012, sino, en concreto, sus apartados 2.1 y 2.2.1 ya que éstos son los que resultan aplicables para resolver el pleito sometido a su conocimiento, y relevante en cuánto el recurso del proceso subyacente se refiere exclusivamente al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 en tanto que, con respecto a los funcionarios, la paga extraordinaria correspondiente al mes de diciembre se comienza a devengar en la fecha de 1 de junio de tal período.</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8 de junio de 2015, la Sala Segunda de este Tribunal acordó, de conformidad con lo dispuesto en el art. 88 LOTC, dirigir atenta comunicación a la Consejería de Educación y Cultura de la Junta de Extremadura, a fin de que indique a este Tribunal si, en atención a lo previsto en la disposición adicional segunda de la Ley 36/2014, de presupuestos generales del Estado para el año 2015, o por cualquier otra circunstancia, si ha satisfecho a la funcionaria interina del cuerpo docente de secundaria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AC56D6" w:rsidRDefault="00AC56D6" w:rsidP="00AC56D6">
      <w:pPr>
        <w:pStyle w:val="TextoNormal"/>
      </w:pPr>
    </w:p>
    <w:p w:rsidR="00AC56D6" w:rsidRDefault="00AC56D6" w:rsidP="00AC56D6">
      <w:pPr>
        <w:pStyle w:val="TextoNormal"/>
      </w:pPr>
      <w:r w:rsidRPr="00AC56D6">
        <w:rPr>
          <w:rStyle w:val="NumeroAFNegritaCaracter"/>
        </w:rPr>
        <w:t>9</w:t>
      </w:r>
      <w:r>
        <w:t xml:space="preserve">. En contestación a dicha providencia el Secretario General de la Consejería de Educación y Cultura remitió a este Tribunal, con fecha de entrada 29 de junio de 2015, certificado del servicio de nóminas de personal docente de la Consejería de Educación y Cultura en el que se hace constar que la citada funcionaria del cuerpo docente de secundaria, “sí ha percibido la prorrata retributiva de los 43 días devengados (descontado 1 día por ejercitar el derecho de huelga en el período comprendido entre el 1 de junio y el 14 de julio de 2012) </w:t>
      </w:r>
      <w:r>
        <w:lastRenderedPageBreak/>
        <w:t>de la paga extraordinaria correspondiente al mes de diciembre de 2012, así como de la paga adicional del complemento específico o pagas adicionales equivalentes que fueron suprimidas por imposición directa del Real Decreto-ley 20/2012, de medidas para garantizar la estabilidad presupuestaria y de fomento de la competitividad”.</w:t>
      </w:r>
    </w:p>
    <w:p w:rsidR="00AC56D6" w:rsidRDefault="00AC56D6" w:rsidP="00AC56D6">
      <w:pPr>
        <w:pStyle w:val="TextoNormal"/>
      </w:pPr>
    </w:p>
    <w:p w:rsidR="00AC56D6" w:rsidRDefault="00AC56D6" w:rsidP="00AC56D6">
      <w:pPr>
        <w:pStyle w:val="TextoNormal"/>
      </w:pPr>
      <w:r w:rsidRPr="00AC56D6">
        <w:rPr>
          <w:rStyle w:val="NumeroAFNegritaCaracter"/>
        </w:rPr>
        <w:t>10</w:t>
      </w:r>
      <w:r>
        <w:t>. Por providencia de 16 de julio de 2015 se señaló para deliberación y votación de la presente Sentencia el día 20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Juzgado de lo Contencioso-Administrativo núm. 1 de Mérida plantea cuestión de inconstitucionalidad respecto de los arts. 2.1 y 2.2.2.1 del Real Decreto-ley 20/2012, de 13 de julio, de medidas para garantizar la estabilidad presupuestaria y de fomento de la competitividad, preceptos que, en lo que aquí importa, disponen para el personal funcionario, la supresión de la paga extraordinaria y de la paga adicional de complemento específico o pagas adicionales equivalentes del mes de diciembre de 2012. En síntesis, el Juzgado entiende que los citados artículos, en su aplicación al personal funcionario, podrían estar consagrando una expropiación de los derechos económicos de la funcionaria recurrente vulneradora del art. 33.3 CE y pueden vulnerar el principio constitucional de interdicción de retroactividad de las disposiciones sancionadoras no favorables o restrictivas de derechos individuales (art. 9.3 CE), al no contemplar excepción alguna respecto de las cuantías ya devengadas al momento de la entrada en vigor del Real Decreto-ley 20/2012 (esto es, desde el 1de junio al 14 de julio de 2012).</w:t>
      </w:r>
    </w:p>
    <w:p w:rsidR="00AC56D6" w:rsidRDefault="00AC56D6" w:rsidP="00AC56D6">
      <w:pPr>
        <w:pStyle w:val="TextoNormal"/>
      </w:pPr>
    </w:p>
    <w:p w:rsidR="00AC56D6" w:rsidRDefault="00AC56D6" w:rsidP="00AC56D6">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al análisis de la cuestión planteada conviene realizar una serie de precisiones para acotar debidamente el objeto de la misma y el alcance de nuestro enjuiciamiento.</w:t>
      </w:r>
    </w:p>
    <w:p w:rsidR="00AC56D6" w:rsidRDefault="00AC56D6" w:rsidP="00AC56D6">
      <w:pPr>
        <w:pStyle w:val="TextoNormal"/>
      </w:pPr>
    </w:p>
    <w:p w:rsidR="00AC56D6" w:rsidRDefault="00AC56D6" w:rsidP="00AC56D6">
      <w:pPr>
        <w:pStyle w:val="TextoNormal"/>
      </w:pPr>
      <w:r>
        <w:t xml:space="preserve">a) En primer lugar, resulta obligado advertir, que el Juzgado de lo Contencioso-Administrativo núm. 1 de Mérida cuestiona los preceptos señalados en su aplicación a los funcionarios públicos. Ello se conecta lógicamente con el juicio de relevancia, correctamente expresado por el órgano judicial, pues la cuestión de inconstitucionalidad trae causa de un proceso promovido por una funcionaria interina del cuerpo de profesores de enseñanza secundaria con motivo de la supresión por el Gobierno de Extremadura, por aplicación de las previsiones contenidas en el Real Decreto-ley 20/2012, de la paga o gratificación extraordinaria de diciembre de 2012 a dicha funcionaria, proceso en el que lo pretendido por la demandante con carácter subsidiario a la pretensión principal (referida a que se deje sin efecto la medida de supresión de la paga extra de diciembre de 2012) es justamente que se declare su derecho a percibir la parte proporcional de la paga extra de diciembre de 2012 que considera ya devengada al momento de la entrada en vigor del Real Decreto-ley 20/2012 (del 1 de junio al 15 de julio), porque, de acuerdo con el art. 9.3 CE en relación con el art. 33.3 </w:t>
      </w:r>
      <w:r>
        <w:lastRenderedPageBreak/>
        <w:t>CE, no cabe que la supresión de esa paga extra por el Real Decreto-ley 20/2012 tenga efectos retroactivos.</w:t>
      </w:r>
    </w:p>
    <w:p w:rsidR="00AC56D6" w:rsidRDefault="00AC56D6" w:rsidP="00AC56D6">
      <w:pPr>
        <w:pStyle w:val="TextoNormal"/>
      </w:pPr>
    </w:p>
    <w:p w:rsidR="00AC56D6" w:rsidRDefault="00AC56D6" w:rsidP="00AC56D6">
      <w:pPr>
        <w:pStyle w:val="TextoNormal"/>
      </w:pPr>
      <w:r>
        <w:t xml:space="preserve">b) Por otra parte debe tenerse en cuenta que no se cuestiona por el Juzgado de lo Contencioso-Administrativo núm. 1 de Mérida la medida de supresión de la paga extraordinaria de diciembre de 2012 en sí misma considerada (que es la pretensión principal que se deduce por la demandante en el proceso </w:t>
      </w:r>
      <w:r w:rsidRPr="00AC56D6">
        <w:rPr>
          <w:i/>
        </w:rPr>
        <w:t>a quo</w:t>
      </w:r>
      <w:r>
        <w:t xml:space="preserve">, como se ha dicho), sino sólo en cuanto su aplicación haya podido suponer la infracción del principio de irretroactividad establecido en el 9.3 CE, al no contemplar excepción alguna respecto de las cuantías que se entienden ya devengadas de dicha paga extra (en concreto, 44 días correspondientes a los servicios prestados entre el 1 de junio de 2012 y el 14 de julio de 2012) a la fecha de entrada en vigor del Real Decreto-ley 20/2012 (que tuvo lugar el 15 de julio de 2012, conforme a su disposición final decimoquinta), ni fijar indemnización alguna por la supresión de un derecho patrimonial. A esta concreta duda de constitucionalidad (planteada a partir de la pretensión subsidiaria en el proceso </w:t>
      </w:r>
      <w:r w:rsidRPr="00AC56D6">
        <w:rPr>
          <w:i/>
        </w:rPr>
        <w:t>a quo</w:t>
      </w:r>
      <w:r>
        <w:t>) deberá, pues, ceñirse nuestro enjuiciamiento.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La disposición adicional duodécima de la Ley 36/2014, de 26 de diciembre, de presupuestos generales del Estado para 2015, bajo el epígrafe “Recuperación de la paga extraordinaria y adicional del mes de diciembre de 2012”, establece,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00AC56D6" w:rsidRDefault="00AC56D6" w:rsidP="00AC56D6">
      <w:pPr>
        <w:pStyle w:val="TextoNormal"/>
      </w:pPr>
    </w:p>
    <w:p w:rsidR="00AC56D6" w:rsidRDefault="00AC56D6" w:rsidP="00AC56D6">
      <w:pPr>
        <w:pStyle w:val="TextoNormal"/>
      </w:pPr>
      <w:r>
        <w:t>Como consta en los antecedentes de esta resolución, de conformidad con lo dispuesto en el art. 88.1 LOTC, la Sala Segunda de este Tribunal dirigió comunicación a la Consejería de Educación y Cultura de la Junta de Extremadura a fin de que indicara a este Tribunal si, en atención a lo dispuesto en la disposición adicional duodécima de la Ley 36/2014, de presupuestos generales del Estado para el año 2015, o por cualquier otra circunstancia, ha satisfecho a la funcionaria interina del cuerpo de profesores de enseñanza secundaria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 En contestación a dicha comunicación la Consejería de Educación y Cultura de la Junta de Extremadura ha informado a este Tribunal que la funcionaria interina señalada ha percibido en la nómina del mes de enero de 2015 la prorrata retributiva de los 43 días devengados (descontado 1 día por ejercitar el derecho de huelga en el período comprendido entre el 1 de junio y el 14 de julio de 2012) de la paga extraordinaria correspondiente al mes de diciembre de 2012, así como la paga adicional del complemento específico o pagas adicionales equivalentes, que fueron suprimidas por imposición directa del Real Decreto-ley 20/2012, de 13 de julio, de medidas para garantizar la estabilidad presupuestaria y de fomento de la competitividad.</w:t>
      </w:r>
    </w:p>
    <w:p w:rsidR="00AC56D6" w:rsidRDefault="00AC56D6" w:rsidP="00AC56D6">
      <w:pPr>
        <w:pStyle w:val="TextoNormal"/>
      </w:pPr>
    </w:p>
    <w:p w:rsidR="00AC56D6" w:rsidRDefault="00AC56D6" w:rsidP="00AC56D6">
      <w:pPr>
        <w:pStyle w:val="TextoNormal"/>
      </w:pPr>
      <w:r>
        <w:lastRenderedPageBreak/>
        <w:t>Como consecuencia del abono de los días señalados correspondientes a la paga extraordinaria del mes de diciembre de 2012, debemos remitirnos a lo dicho recientemente en nuestra STC 83/2015, de 30 de abril, sobre la posible pérdida de objeto de la cuestión de inconstitucionalidad.</w:t>
      </w:r>
    </w:p>
    <w:p w:rsidR="00AC56D6" w:rsidRDefault="00AC56D6" w:rsidP="00AC56D6">
      <w:pPr>
        <w:pStyle w:val="TextoNormal"/>
      </w:pPr>
    </w:p>
    <w:p w:rsidR="00AC56D6" w:rsidRDefault="00AC56D6" w:rsidP="00AC56D6">
      <w:pPr>
        <w:pStyle w:val="TextoNormal"/>
      </w:pPr>
      <w:r>
        <w:t xml:space="preserve">Así, el fundamento jurídico 3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presente—, no se había producido la extinción del procedimiento laboral </w:t>
      </w:r>
      <w:r w:rsidRPr="00AC56D6">
        <w:rPr>
          <w:i/>
        </w:rPr>
        <w:t>a quo</w:t>
      </w:r>
      <w:r>
        <w:t xml:space="preserve">, ni tampoco nos encontrábamos ante un supuesto de pérdida de vigencia del precepto legal cuestionado; no obstante lo cual, era innegable la incidencia que tenía la medida contenida en la disposición adicional duodécima de la Ley 36/2014, de presupuestos generales del Estado para 2015 sobre la pretensión deducida en el pleito </w:t>
      </w:r>
      <w:r w:rsidRPr="00AC56D6">
        <w:rPr>
          <w:i/>
        </w:rPr>
        <w:t>a quo</w:t>
      </w:r>
      <w:r>
        <w:t>, que afecta de modo determinante a la subsistencia del presente proceso constitucional, dada la estrecha vinculación existente entre toda cuestión de inconstitucionalidad y el procedimiento judicial de que dimana.</w:t>
      </w:r>
    </w:p>
    <w:p w:rsidR="00AC56D6" w:rsidRDefault="00AC56D6" w:rsidP="00AC56D6">
      <w:pPr>
        <w:pStyle w:val="TextoNormal"/>
      </w:pPr>
    </w:p>
    <w:p w:rsidR="00AC56D6" w:rsidRDefault="00AC56D6" w:rsidP="00AC56D6">
      <w:pPr>
        <w:pStyle w:val="TextoNormal"/>
      </w:pPr>
      <w:r>
        <w:t>En la presente cuestión de inconstitucionalidad se plantea si la supresión del derecho de una funcionaria interina del cuerpo de profesores de enseñanza secundaria a percibir la parte proporcional (en concreto, 44 días) de la paga extra de diciembre de 2012, por entenderse ya devengada al momento de la entrada en vigor del Real Decreto-ley 20/2012, contraviene el art. 9.3 CE. Planteada en esos términos la cuestión, es obligado concluir, como hicimos en la STC 83/2015,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00AC56D6" w:rsidRDefault="00AC56D6" w:rsidP="00AC56D6">
      <w:pPr>
        <w:pStyle w:val="TextoNormal"/>
      </w:pPr>
    </w:p>
    <w:p w:rsidR="00AC56D6" w:rsidRDefault="00AC56D6" w:rsidP="00AC56D6">
      <w:pPr>
        <w:pStyle w:val="TextoNormal"/>
      </w:pPr>
      <w:r>
        <w:t>Conforme a lo expuesto, el abono a la funcionaria interina del cuerpo de profesores de enseñanza secundaria, cuya demanda ha dado lugar al planteamiento de la presente cuestión de inconstitucionalidad, de la parte correspondiente a 43 días de la paga extraordinaria de diciembre de 2012 (descontado un día por haber ejercido el derecho de huelga en el período comprendido entre el 1 de junio y el 14 de julio de 2012, período al que se limita la duda de constitucionalidad planteada),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lastRenderedPageBreak/>
        <w:t>Ha decidido</w:t>
      </w:r>
    </w:p>
    <w:p w:rsidR="00AC56D6" w:rsidRDefault="00AC56D6" w:rsidP="00AC56D6">
      <w:pPr>
        <w:pStyle w:val="TextoNormalCentrado"/>
        <w:keepNext/>
      </w:pPr>
    </w:p>
    <w:p w:rsidR="00AC56D6" w:rsidRDefault="00AC56D6" w:rsidP="00AC56D6">
      <w:pPr>
        <w:pStyle w:val="TextoNormal"/>
      </w:pPr>
      <w:r>
        <w:t>Declarar la extinción de la presente cuestión de inconstitucionalidad por desaparición sobrevenida de su objeto.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veinte de julio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22" w:name="SENTENCIA_2015_166"/>
      <w:r>
        <w:lastRenderedPageBreak/>
        <w:t>SENTENCIA 166/2015, de 20 de julio de 2015</w:t>
      </w:r>
    </w:p>
    <w:bookmarkEnd w:id="22"/>
    <w:p w:rsidR="00AC56D6" w:rsidRDefault="00AC56D6" w:rsidP="00AC56D6">
      <w:pPr>
        <w:pStyle w:val="TtuloResolucin"/>
      </w:pPr>
      <w:r>
        <w:t>Sala Primera</w:t>
      </w:r>
    </w:p>
    <w:p w:rsidR="00AC56D6" w:rsidRDefault="00AC56D6" w:rsidP="00AC56D6">
      <w:pPr>
        <w:pStyle w:val="TtuloBOE"/>
      </w:pPr>
      <w:r>
        <w:t>(BOE núm. 200, de 21 de agosto de 2015)</w:t>
      </w:r>
    </w:p>
    <w:p w:rsidR="00AC56D6" w:rsidRDefault="00AC56D6" w:rsidP="00AC56D6">
      <w:pPr>
        <w:pStyle w:val="TextoNormalCentrado"/>
      </w:pPr>
      <w:r>
        <w:t>ECLI:ES:TC:2015:166</w:t>
      </w:r>
    </w:p>
    <w:p w:rsidR="00AC56D6" w:rsidRDefault="00AC56D6" w:rsidP="00AC56D6">
      <w:pPr>
        <w:pStyle w:val="TextoNormalCentrado"/>
      </w:pPr>
    </w:p>
    <w:p w:rsidR="00AC56D6" w:rsidRDefault="00AC56D6" w:rsidP="00AC56D6">
      <w:pPr>
        <w:pStyle w:val="SntesisDescriptiva"/>
      </w:pPr>
      <w:r>
        <w:t>Cuestión de inconstitucionalidad 5375-2013. Planteada por el Juzgado de lo Contencioso-Administrativo número 1 de Mérida en relación con los artículos 2.1 y 2.2.2.1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y expropiación de derechos económicos: extinción, por pérdida de objeto, de la cuestión de inconstitucionalidad (STC 83/2015).</w:t>
      </w:r>
    </w:p>
    <w:p w:rsidR="00AC56D6" w:rsidRDefault="00AC56D6" w:rsidP="00AC56D6">
      <w:pPr>
        <w:pStyle w:val="SntesisAnaltica"/>
      </w:pPr>
    </w:p>
    <w:p w:rsidR="00AC56D6" w:rsidRDefault="00AC56D6" w:rsidP="00AC56D6">
      <w:pPr>
        <w:pStyle w:val="Extracto"/>
      </w:pPr>
      <w:r>
        <w:t>1.</w:t>
      </w:r>
      <w:r>
        <w:tab/>
        <w:t>La satisfacción extraprocesal de la pretensión deducida en el proceso laboral sobre la que se articula la cuestión de inconstitucionalidad le hace perder su objeto al ser dicha satisfacción uno de los posibles supuestos de extinción de la cuestión de inconstitucionalidad (STC 83/2015) [FJ 3].</w:t>
      </w:r>
    </w:p>
    <w:p w:rsidR="00AC56D6" w:rsidRDefault="00AC56D6" w:rsidP="00AC56D6">
      <w:pPr>
        <w:pStyle w:val="Extracto"/>
      </w:pPr>
    </w:p>
    <w:p w:rsidR="00AC56D6" w:rsidRDefault="00AC56D6" w:rsidP="00AC56D6">
      <w:pPr>
        <w:pStyle w:val="Extracto"/>
      </w:pPr>
      <w:r>
        <w:t>2.</w:t>
      </w:r>
      <w:r>
        <w:tab/>
        <w:t>Doctrina sobre las posibles causas de terminación extraordinaria de las cuestiones de inconstitucionalidad por pérdida sobrevenida de objeto (STC 83/2015) [FJ 3].</w:t>
      </w:r>
    </w:p>
    <w:p w:rsidR="00AC56D6" w:rsidRDefault="00AC56D6" w:rsidP="00AC56D6">
      <w:pPr>
        <w:pStyle w:val="Extracto"/>
      </w:pPr>
    </w:p>
    <w:p w:rsidR="00AC56D6" w:rsidRDefault="00AC56D6" w:rsidP="00AC56D6">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5375-2013, promovida por el Juzgado de lo Contencioso-Administrativo núm. 1 de Mérida contra los arts. 2.1 y 2.2.2.1 del Real Decreto-ley 20/2012, de 13 de julio, de medidas para garantizar la estabilidad presupuestaria y de fomento de la competitividad, por posible vulneración de los arts. 9.3 y 33.3 CE. Han formulado alegaciones el Fiscal General del Estado y el Abogado del Estado. Ha sido Ponente el Magistrado don Juan Antonio Xiol Ríos,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23 de septiembre de 2013 tuvo entrada en el Registro General de este Tribunal un oficio del Juzgado de lo Contencioso-Administrativo núm. 1 de Mérida al que se acompaña, junto con el testimonio del procedimiento núm. 272-2013, el Auto de 10 de septiembre de 2013, por el que se acuerda plantear cuestión de inconstitucionalidad en relación con los arts. 2.1 y 2.2.2.1 del Real Decreto-ley 20/2012, de 13 de julio, de medidas para garantizar la estabilidad presupuestaria y de fomento de la competitividad, en su aplicación a los funcionarios públicos, por posible lesión del art. 9.3 CE, sobre el principio de irretroactividad de disposiciones restrictivas de derechos individuales en relación con el art. 33.3 CE, por supresión de un derecho patrimonial sin compensación adecuada.</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procesales de la cuestión de inconstitucionalidad planteada son, sucintamente expuestos, los siguientes:</w:t>
      </w:r>
    </w:p>
    <w:p w:rsidR="00AC56D6" w:rsidRDefault="00AC56D6" w:rsidP="00AC56D6">
      <w:pPr>
        <w:pStyle w:val="TextoNormal"/>
      </w:pPr>
    </w:p>
    <w:p w:rsidR="00AC56D6" w:rsidRDefault="00AC56D6" w:rsidP="00AC56D6">
      <w:pPr>
        <w:pStyle w:val="TextoNormal"/>
      </w:pPr>
      <w:r>
        <w:t>a) Una funcionaria de carrera del cuerpo de maestros interpuso recurso contencioso-administrativo contra la resolución de la Dirección General de Personal Docente de la Consejería de Educación de la Junta de Extremadura por la que se desestima el recurso de reposición interpuesto contra la denegación de la solicitud del recurrente en relación al abono de la paga extraordinaria correspondiente al mes de diciembre de 2012.</w:t>
      </w:r>
    </w:p>
    <w:p w:rsidR="00AC56D6" w:rsidRDefault="00AC56D6" w:rsidP="00AC56D6">
      <w:pPr>
        <w:pStyle w:val="TextoNormal"/>
      </w:pPr>
    </w:p>
    <w:p w:rsidR="00AC56D6" w:rsidRDefault="00AC56D6" w:rsidP="00AC56D6">
      <w:pPr>
        <w:pStyle w:val="TextoNormal"/>
      </w:pPr>
      <w:r>
        <w:t>b) Concluso el procedimiento y dentro del plazo para dictar Sentencia, el órgano judicial dictó providencia de 15 de julio de 2013 por la que acordó oír a las partes y al Ministerio Fiscal para que alegasen sobre la pertinencia de plantear cuestión de inconstitucionalidad en relación con los arts. 2.1 y 2.2.2.1 del Real Decreto-ley 20/2012, de 13 de julio, de medidas para garantizar la estabilidad presupuestaria y de fomento de la competitividad, por posible vulneración de los arts. 9.3 y 33.3 CE, por entender que los mismos producen la expropiación de una parte de la paga extraordinaria que se pudiera haber devengado entre los días 1 de junio de 2012 y 14 de julio de 2012, fecha anterior a la entrada en vigor del Real Decreto-ley 20/2012, “mediante una aplicación retroactiva de la norma restrictiva de derechos y con vulneración del principio de seguridad jurídica”.</w:t>
      </w:r>
    </w:p>
    <w:p w:rsidR="00AC56D6" w:rsidRDefault="00AC56D6" w:rsidP="00AC56D6">
      <w:pPr>
        <w:pStyle w:val="TextoNormal"/>
      </w:pPr>
    </w:p>
    <w:p w:rsidR="00AC56D6" w:rsidRDefault="00AC56D6" w:rsidP="00AC56D6">
      <w:pPr>
        <w:pStyle w:val="TextoNormal"/>
      </w:pPr>
      <w:r>
        <w:t>El Ministerio Fiscal y la parte actora consideraron procedente el planteamiento de la cuestión. El Letrado de la Junta de Extremadura se manifestó en contra del planteamiento de la cuestión.</w:t>
      </w:r>
    </w:p>
    <w:p w:rsidR="00AC56D6" w:rsidRDefault="00AC56D6" w:rsidP="00AC56D6">
      <w:pPr>
        <w:pStyle w:val="TextoNormal"/>
      </w:pPr>
    </w:p>
    <w:p w:rsidR="00AC56D6" w:rsidRDefault="00AC56D6" w:rsidP="00AC56D6">
      <w:pPr>
        <w:pStyle w:val="TextoNormal"/>
      </w:pPr>
      <w:r w:rsidRPr="00AC56D6">
        <w:rPr>
          <w:rStyle w:val="NumeroAFNegritaCaracter"/>
        </w:rPr>
        <w:t>3</w:t>
      </w:r>
      <w:r>
        <w:t>. Por Auto de 10 de septiembre de 2013, el Juzgado de lo Contencioso-Administrativo núm. 1 de Mérida acordó plantear la presente cuestión de inconstitucionalidad y del análisis de su contenido interesa destacar los siguientes puntos:</w:t>
      </w:r>
    </w:p>
    <w:p w:rsidR="00AC56D6" w:rsidRDefault="00AC56D6" w:rsidP="00AC56D6">
      <w:pPr>
        <w:pStyle w:val="TextoNormal"/>
      </w:pPr>
    </w:p>
    <w:p w:rsidR="00AC56D6" w:rsidRDefault="00AC56D6" w:rsidP="00AC56D6">
      <w:pPr>
        <w:pStyle w:val="TextoNormal"/>
      </w:pPr>
      <w:r>
        <w:t xml:space="preserve">a) Tras exponer los antecedentes de hecho de la presente cuestión y el cumplimiento del trámite de audiencia previsto en el art. 35 de la Ley Orgánica del Tribunal Constitucional (LOTC), el órgano judicial transcribe las normas de cuya constitucionalidad duda, señalando que los mismos, al entrar en vigor el día 15 de julio de 2012 y suprimir la parte de la paga extraordinaria que va del 1 de junio de 2012 al14 de julio de 2012 podría suponer una aplicación retroactiva de una norma restrictiva de los derechos retributivos del funcionario </w:t>
      </w:r>
      <w:r>
        <w:lastRenderedPageBreak/>
        <w:t xml:space="preserve">recurrente, lo que estaría prohibido por el art. 9.3 CE, suponiendo, de hecho, una expropiación del salario en concreto de dicha parte de paga extraordinaria, lo que vendría a suponer una vulneración del derecho </w:t>
      </w:r>
      <w:r w:rsidRPr="00AC56D6">
        <w:rPr>
          <w:i/>
        </w:rPr>
        <w:t>ex</w:t>
      </w:r>
      <w:r>
        <w:t xml:space="preserve"> art. 33.3 CE.</w:t>
      </w:r>
    </w:p>
    <w:p w:rsidR="00AC56D6" w:rsidRDefault="00AC56D6" w:rsidP="00AC56D6">
      <w:pPr>
        <w:pStyle w:val="TextoNormal"/>
      </w:pPr>
    </w:p>
    <w:p w:rsidR="00AC56D6" w:rsidRDefault="00AC56D6" w:rsidP="00AC56D6">
      <w:pPr>
        <w:pStyle w:val="TextoNormal"/>
      </w:pPr>
      <w:r>
        <w:t>b) Señala al respecto que la paga se hubiera abonado, de no haberse suprimido, el día 1 de diciembre de 2012, por referencia al trabajo de los seis meses anteriores (art. 17 de la Ley 1/2012, de 24 de enero, de presupuestos generales de la Comunidad Autónoma de Extremadura). Con cita de la doctrina del ATC 180/2011, de 13 de diciembre, el órgano judicial considera que la supresión de la parte proporcional de la paga extra podría suponer la indebida aplicación retroactiva de las normas del Real Decreto-ley citadas, restringiendo derechos del funcionario recurrente que se vería expropiado de la parte proporcional del salario devengado, en concreto, el que sea consecuencia del trabajo realizado entre el 1 de junio y el 14 de julio de 2012. Por tanto, según el órgano judicial, al haberse suprimido la paga extra en cuestión se podría estar consagrando una expropiación de los derechos económicos del funcionario vulneradora del art. 33. 3 CE y todo ello como consecuencia de una aplicación retroactiva de una norma restrictiva de derechos salariales, algo prohibido por el art. 9.3 CE.</w:t>
      </w:r>
    </w:p>
    <w:p w:rsidR="00AC56D6" w:rsidRDefault="00AC56D6" w:rsidP="00AC56D6">
      <w:pPr>
        <w:pStyle w:val="TextoNormal"/>
      </w:pPr>
    </w:p>
    <w:p w:rsidR="00AC56D6" w:rsidRDefault="00AC56D6" w:rsidP="00AC56D6">
      <w:pPr>
        <w:pStyle w:val="TextoNormal"/>
      </w:pPr>
      <w:r>
        <w:t>c) Finalmente, el Auto exterioriza los debidos juicios de aplicabilidad y relevancia indicando que los preceptos cuestionados son directamente aplicables al caso, pues sirven de base para suprimir la totalidad de la paga extra, especialmente la parte generada en el período 1 de junio al 14 de julio de 2013.</w:t>
      </w:r>
    </w:p>
    <w:p w:rsidR="00AC56D6" w:rsidRDefault="00AC56D6" w:rsidP="00AC56D6">
      <w:pPr>
        <w:pStyle w:val="TextoNormal"/>
      </w:pPr>
    </w:p>
    <w:p w:rsidR="00AC56D6" w:rsidRDefault="00AC56D6" w:rsidP="00AC56D6">
      <w:pPr>
        <w:pStyle w:val="TextoNormal"/>
      </w:pPr>
      <w:r w:rsidRPr="00AC56D6">
        <w:rPr>
          <w:rStyle w:val="NumeroAFNegritaCaracter"/>
        </w:rPr>
        <w:t>4</w:t>
      </w:r>
      <w:r>
        <w:t>. El Pleno de este Tribunal, a propuesta de la Sección Primera, acordó admitir a trámite la cuestión mediante providencia de 22 de octubre de 2013; deferir a la Sala Primera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de lo Contencioso-Administrativo núm. 1 de Mérida, a fin de que, de conformidad con lo dispuesto en el art. 35 LOTC, permaneciese suspendido el proceso hasta que este Tribunal resolviese efectivamente la cuestión; y publicar la incoación de la cuestión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Mediante escrito registrado el 6 de noviembre de 2013, el Presidente del Senado comunicó a este Tribunal el acuerdo de la Mesa para que se diera por personada a la Cámara y por ofrecida su colaboración a los efectos del art. 88.1 LOTC.</w:t>
      </w:r>
    </w:p>
    <w:p w:rsidR="00AC56D6" w:rsidRDefault="00AC56D6" w:rsidP="00AC56D6">
      <w:pPr>
        <w:pStyle w:val="TextoNormal"/>
      </w:pPr>
    </w:p>
    <w:p w:rsidR="00AC56D6" w:rsidRDefault="00AC56D6" w:rsidP="00AC56D6">
      <w:pPr>
        <w:pStyle w:val="TextoNormal"/>
      </w:pPr>
      <w:r>
        <w:t>Por escrito registrado el 11 de noviembre de 2013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AC56D6" w:rsidRDefault="00AC56D6" w:rsidP="00AC56D6">
      <w:pPr>
        <w:pStyle w:val="TextoNormal"/>
      </w:pPr>
    </w:p>
    <w:p w:rsidR="00AC56D6" w:rsidRDefault="00AC56D6" w:rsidP="00AC56D6">
      <w:pPr>
        <w:pStyle w:val="TextoNormal"/>
      </w:pPr>
      <w:r w:rsidRPr="00AC56D6">
        <w:rPr>
          <w:rStyle w:val="NumeroAFNegritaCaracter"/>
        </w:rPr>
        <w:t>6</w:t>
      </w:r>
      <w:r>
        <w:t>. El Abogado del Estado, mediante escrito de alegaciones registrado el 14 de noviembre de 2013, se personó interesando la desestimación de la cuestión de inconstitucionalidad por las razones que, resumidamente, se exponen a continuación.</w:t>
      </w:r>
    </w:p>
    <w:p w:rsidR="00AC56D6" w:rsidRDefault="00AC56D6" w:rsidP="00AC56D6">
      <w:pPr>
        <w:pStyle w:val="TextoNormal"/>
      </w:pPr>
    </w:p>
    <w:p w:rsidR="00AC56D6" w:rsidRDefault="00AC56D6" w:rsidP="00AC56D6">
      <w:pPr>
        <w:pStyle w:val="TextoNormal"/>
      </w:pPr>
      <w:r>
        <w:t>Comienza señalando que el Juzgado no se cuestiona genéricamente la supresión de la paga extra al personal funcionario, sino que tan solo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00AC56D6" w:rsidRDefault="00AC56D6" w:rsidP="00AC56D6">
      <w:pPr>
        <w:pStyle w:val="TextoNormal"/>
      </w:pPr>
    </w:p>
    <w:p w:rsidR="00AC56D6" w:rsidRDefault="00AC56D6" w:rsidP="00AC56D6">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AC56D6" w:rsidRDefault="00AC56D6" w:rsidP="00AC56D6">
      <w:pPr>
        <w:pStyle w:val="TextoNormal"/>
      </w:pPr>
    </w:p>
    <w:p w:rsidR="00AC56D6" w:rsidRDefault="00AC56D6" w:rsidP="00AC56D6">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00AC56D6" w:rsidRDefault="00AC56D6" w:rsidP="00AC56D6">
      <w:pPr>
        <w:pStyle w:val="TextoNormal"/>
      </w:pPr>
    </w:p>
    <w:p w:rsidR="00AC56D6" w:rsidRDefault="00AC56D6" w:rsidP="00AC56D6">
      <w:pPr>
        <w:pStyle w:val="TextoNormal"/>
      </w:pPr>
      <w: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w:t>
      </w:r>
      <w:r>
        <w:lastRenderedPageBreak/>
        <w:t>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00AC56D6" w:rsidRDefault="00AC56D6" w:rsidP="00AC56D6">
      <w:pPr>
        <w:pStyle w:val="TextoNormal"/>
      </w:pPr>
    </w:p>
    <w:p w:rsidR="00AC56D6" w:rsidRDefault="00AC56D6" w:rsidP="00AC56D6">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AC56D6" w:rsidRDefault="00AC56D6" w:rsidP="00AC56D6">
      <w:pPr>
        <w:pStyle w:val="TextoNormal"/>
      </w:pPr>
    </w:p>
    <w:p w:rsidR="00AC56D6" w:rsidRDefault="00AC56D6" w:rsidP="00AC56D6">
      <w:pPr>
        <w:pStyle w:val="TextoNormal"/>
      </w:pPr>
      <w:r>
        <w:t>Por todo ello, se interesa la desestimación de la cuestión.</w:t>
      </w:r>
    </w:p>
    <w:p w:rsidR="00AC56D6" w:rsidRDefault="00AC56D6" w:rsidP="00AC56D6">
      <w:pPr>
        <w:pStyle w:val="TextoNormal"/>
      </w:pPr>
    </w:p>
    <w:p w:rsidR="00AC56D6" w:rsidRDefault="00AC56D6" w:rsidP="00AC56D6">
      <w:pPr>
        <w:pStyle w:val="TextoNormal"/>
      </w:pPr>
      <w:r w:rsidRPr="00AC56D6">
        <w:rPr>
          <w:rStyle w:val="NumeroAFNegritaCaracter"/>
        </w:rPr>
        <w:t>7</w:t>
      </w:r>
      <w:r>
        <w:t>. El Fiscal General del Estado presentó escrito de alegaciones ante este Tribunal el 29 de noviembre de 2013 interesando la estimación de la presente cuestión de inconstitucionalidad.</w:t>
      </w:r>
    </w:p>
    <w:p w:rsidR="00AC56D6" w:rsidRDefault="00AC56D6" w:rsidP="00AC56D6">
      <w:pPr>
        <w:pStyle w:val="TextoNormal"/>
      </w:pPr>
    </w:p>
    <w:p w:rsidR="00AC56D6" w:rsidRDefault="00AC56D6" w:rsidP="00AC56D6">
      <w:pPr>
        <w:pStyle w:val="TextoNormal"/>
      </w:pPr>
      <w:r>
        <w:t>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AC56D6" w:rsidRDefault="00AC56D6" w:rsidP="00AC56D6">
      <w:pPr>
        <w:pStyle w:val="TextoNormal"/>
      </w:pPr>
    </w:p>
    <w:p w:rsidR="00AC56D6" w:rsidRDefault="00AC56D6" w:rsidP="00AC56D6">
      <w:pPr>
        <w:pStyle w:val="TextoNormal"/>
      </w:pPr>
      <w: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w:t>
      </w:r>
      <w:r w:rsidRPr="00AC56D6">
        <w:rPr>
          <w:i/>
        </w:rPr>
        <w:t>N.K.M. c.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w:t>
      </w:r>
      <w:r>
        <w:lastRenderedPageBreak/>
        <w:t>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t>El Fiscal General del Estado concluye sus alegaciones precisando que en el Auto de planteamiento no se cuestiona todo el art. 2 del Real Decreto-ley 20/2012 sino en concreto, sus apartados 2.1 y 2.2.1 ya que éstos son los que resultan aplicables para resolver el pleito sometido a su conocimiento y relevante en cuánto el recurso del proceso subyacente se refiere exclusivamente al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 en tanto, con respecto a los funcionarios la paga extraordinaria correspondiente al mes de diciembre se comienza a devengar en la fecha de 1 de junio de tal período.</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3 de junio de 2015 la Sala Primera acordó, de conformidad con lo dispuesto en el art. 88.1 LOTC, dirigir atenta comunicación a la Consejería de Educación y Cultura de la Junta de Extremadura, a fin de que indique a este Tribunal si, en atención a lo previsto en la disposición adicional segunda de la Ley 36/2014, de presupuestos generales del Estado para el año 2015, o por cualquier otra circunstancia, ha satisfecho a la funcionaria de carrera del cuerpo de maestros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AC56D6" w:rsidRDefault="00AC56D6" w:rsidP="00AC56D6">
      <w:pPr>
        <w:pStyle w:val="TextoNormal"/>
      </w:pPr>
    </w:p>
    <w:p w:rsidR="00AC56D6" w:rsidRDefault="00AC56D6" w:rsidP="00AC56D6">
      <w:pPr>
        <w:pStyle w:val="TextoNormal"/>
      </w:pPr>
      <w:r w:rsidRPr="00AC56D6">
        <w:rPr>
          <w:rStyle w:val="NumeroAFNegritaCaracter"/>
        </w:rPr>
        <w:t>9</w:t>
      </w:r>
      <w:r>
        <w:t>. En contestación a dicha providencia el Secretario General de la Consejería de Educación y Cultura remitió a este Tribunal, con fecha 29 de junio de 2015, certificado de la jefa del servicio de nóminas de personal docente de la Consejería de Educación y Cultura en el que se hace constar que la citada funcionaria del cuerpo de maestros, “sí ha percibido la prorrata retributiva de los 44 días devengados de la paga extraordinaria correspondiente al mes de diciembre de 2012, así como de la paga adicional del complemento específico o pagas adicionales equivalentes que fueron suprimidas por imposición directa del Real Decreto-ley 20/2012, de medidas para garantizar la estabilidad presupuestaria y de fomento de la competitividad”.</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10</w:t>
      </w:r>
      <w:r>
        <w:t>. Por providencia de 16 de julio de 2015 se señaló para deliberación y votación de la presente Sentencia el día 20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Juzgado de lo Contencioso-Administrativo núm. 1 de Mérida plantea cuestión de inconstitucionalidad respecto de los arts. 2.1 y 2.2.2.1 del Real Decreto-ley 20/2012, de 13 de julio, de medidas para garantizar la estabilidad presupuestaria y de fomento de la competitividad, preceptos que, en lo que aquí importa, disponen para el personal funcionario, la supresión de la paga extraordinaria y de la paga adicional de complemento específico o pagas adicionales equivalentes del mes de diciembre de 2012. En síntesis, el Juzgado entiende que los citados artículos, en su aplicación al personal funcionario, podrían estar consagrando una expropiación de los derecho económicos de la funcionaria recurrente vulneradora del art. 33.3 CE y pueden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1de junio al 14 de julio de 2012).</w:t>
      </w:r>
    </w:p>
    <w:p w:rsidR="00AC56D6" w:rsidRDefault="00AC56D6" w:rsidP="00AC56D6">
      <w:pPr>
        <w:pStyle w:val="TextoNormal"/>
      </w:pPr>
    </w:p>
    <w:p w:rsidR="00AC56D6" w:rsidRDefault="00AC56D6" w:rsidP="00AC56D6">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al análisis de la cuestión planteada conviene realizar una serie de precisiones para acotar debidamente el objeto de la misma y el alcance de nuestro enjuiciamiento.</w:t>
      </w:r>
    </w:p>
    <w:p w:rsidR="00AC56D6" w:rsidRDefault="00AC56D6" w:rsidP="00AC56D6">
      <w:pPr>
        <w:pStyle w:val="TextoNormal"/>
      </w:pPr>
    </w:p>
    <w:p w:rsidR="00AC56D6" w:rsidRDefault="00AC56D6" w:rsidP="00AC56D6">
      <w:pPr>
        <w:pStyle w:val="TextoNormal"/>
      </w:pPr>
      <w:r>
        <w:t>a) Así, en primer lugar, resulta obligado advertir, que el Juzgado de lo Contencioso-Administrativo núm. 1 de Mérida cuestiona los preceptos señalados en su aplicación a los funcionarios públicos. Ello se conecta lógicamente con el juicio de relevancia, correctamente expresado por el órgano judicial, pues la cuestión de inconstitucionalidad trae causa de un proceso promovido por una funcionaria de carrera del cuerpo de maestros con motivo de la supresión por el Gobierno de Extremadura, por aplicación de las previsiones contenidas en el Real Decreto-ley 20/2012, de la paga o gratificación extraordinaria de diciembre de 2012 a dicha funcionaria, proceso en el que lo pretendido por la demandante con carácter subsidiario a la pretensión principal (referida a que se deje sin efecto la medida de supresión de la paga extra de diciembre de 2012) es justamente que se declare su derecho a percibir la parte proporcional de la paga extra de diciembre de 2012 que considera ya devengada al momento de la entrada en vigor del Real Decreto-ley 20/2012 (del 1 de junio al 15 de julio), porque, de acuerdo con el art. 9.3 CE en relación con el art. 33.3 CE, no cabe que la supresión de esa paga extra por el Real Decreto-ley 20/2012 tenga efectos retroactivos.</w:t>
      </w:r>
    </w:p>
    <w:p w:rsidR="00AC56D6" w:rsidRDefault="00AC56D6" w:rsidP="00AC56D6">
      <w:pPr>
        <w:pStyle w:val="TextoNormal"/>
      </w:pPr>
    </w:p>
    <w:p w:rsidR="00AC56D6" w:rsidRDefault="00AC56D6" w:rsidP="00AC56D6">
      <w:pPr>
        <w:pStyle w:val="TextoNormal"/>
      </w:pPr>
      <w:r>
        <w:t xml:space="preserve">b) Por otra parte debe tenerse en cuenta que no se cuestiona por el Juzgado de lo Contencioso-Administrativo núm. 1 de Mérida la medida de supresión de la paga extraordinaria de diciembre de 2012 en sí misma considerada (que es la pretensión principal que se deduce por la demandante en el proceso </w:t>
      </w:r>
      <w:r w:rsidRPr="00AC56D6">
        <w:rPr>
          <w:i/>
        </w:rPr>
        <w:t>a quo</w:t>
      </w:r>
      <w:r>
        <w:t xml:space="preserve">, como se ha dicho), sino sólo en cuanto su aplicación </w:t>
      </w:r>
      <w:r>
        <w:lastRenderedPageBreak/>
        <w:t xml:space="preserve">haya podido suponer la infracción del principio de irretroactividad establecido en el 9.3 CE, al no contemplar excepción alguna respecto de las cuantías que se entienden ya devengadas de dicha paga extra (en concreto, cuarenta y cuatro días correspondientes a los servicios prestados entre el 1 de junio de 2012 y el 14 de julio de 2012) a la fecha de entrada en vigor del Real Decreto-ley 20/2012 (que tuvo lugar el 15 de julio de 2012, conforme a su disposición final decimoquinta), ni fijar indemnización alguna por la supresión de un derecho patrimonial. A esta concreta duda de constitucionalidad (planteada a partir de la pretensión subsidiaria en el proceso </w:t>
      </w:r>
      <w:r w:rsidRPr="00AC56D6">
        <w:rPr>
          <w:i/>
        </w:rPr>
        <w:t>a quo</w:t>
      </w:r>
      <w:r>
        <w:t>) deberá, pues, ceñirse nuestro enjuiciamiento.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La disposición adicional duodécima de la Ley 36/2014, de 26 de diciembre, de presupuestos generales del Estado para 2015, bajo el epígrafe “Recuperación de la paga extraordinaria y adicional del mes de diciembre de 2012”, establece,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00AC56D6" w:rsidRDefault="00AC56D6" w:rsidP="00AC56D6">
      <w:pPr>
        <w:pStyle w:val="TextoNormal"/>
      </w:pPr>
    </w:p>
    <w:p w:rsidR="00AC56D6" w:rsidRDefault="00AC56D6" w:rsidP="00AC56D6">
      <w:pPr>
        <w:pStyle w:val="TextoNormal"/>
      </w:pPr>
      <w:r>
        <w:t>Como consta en los antecedentes de esta resolución, de conformidad con lo dispuesto en el art. 88.1 de la Ley Orgánica del Tribunal Constitucional, la Sala Primera de este Tribunal dirigió comunicación a la Consejería de Educación y Cultura de la Junta de Extremadura a fin de que indicara a este Tribunal si, en atención a lo dispuesto en la disposición adicional duodécima de la Ley 36/2014, de presupuestos generales del Estado para el año 2015, o por cualquier otra circunstancia, ha satisfecho a la funcionaria de carrera del cuerpo de maestros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 En contestación a dicha comunicación la Consejería de Educación y Cultura de la Junta de Extremadura ha informado a este Tribunal que la funcionaria de carrera señalada ha percibido en la nómina del mes de enero de 2015 la prorrata retributiva de los 44 días devengados de la paga extraordinaria correspondiente al mes de diciembre de 2012, así como la paga adicional del complemento específico o pagas adicionales equivalentes, que fueron suprimidas por imposición directa del Real Decreto-ley 20/2012, de 13 de julio, de medidas para garantizar la estabilidad presupuestaria y de fomento de la competitividad.</w:t>
      </w:r>
    </w:p>
    <w:p w:rsidR="00AC56D6" w:rsidRDefault="00AC56D6" w:rsidP="00AC56D6">
      <w:pPr>
        <w:pStyle w:val="TextoNormal"/>
      </w:pPr>
    </w:p>
    <w:p w:rsidR="00AC56D6" w:rsidRDefault="00AC56D6" w:rsidP="00AC56D6">
      <w:pPr>
        <w:pStyle w:val="TextoNormal"/>
      </w:pPr>
      <w:r>
        <w:t>Como consecuencia del abono de los 44 días devengados de la paga extraordinaria correspondiente al mes de diciembre de 2012, debemos remitirnos a lo dicho recientemente en nuestra STC 83/2015, de 30 de abril, sobre la posible pérdida de objeto de la cuestión de inconstitucionalidad.</w:t>
      </w:r>
    </w:p>
    <w:p w:rsidR="00AC56D6" w:rsidRDefault="00AC56D6" w:rsidP="00AC56D6">
      <w:pPr>
        <w:pStyle w:val="TextoNormal"/>
      </w:pPr>
    </w:p>
    <w:p w:rsidR="00AC56D6" w:rsidRDefault="00AC56D6" w:rsidP="00AC56D6">
      <w:pPr>
        <w:pStyle w:val="TextoNormal"/>
      </w:pPr>
      <w:r>
        <w:t xml:space="preserve">En el fundamento jurídico 3,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presente—, ni se había producido la extinción del procedimiento laboral a quo, ni tampoco nos encontrábamos ante un supuesto de pérdida de vigencia del precepto legal cuestionado, </w:t>
      </w:r>
      <w:r>
        <w:lastRenderedPageBreak/>
        <w:t xml:space="preserve">ello no obstante, era innegable la incidencia que tenía la medida contenida en la disposición adicional duodécima de la Ley 36/2014, de presupuestos generales del Estado para 2015 sobre la pretensión deducida en el pleito </w:t>
      </w:r>
      <w:r w:rsidRPr="00AC56D6">
        <w:rPr>
          <w:i/>
        </w:rPr>
        <w:t>a quo</w:t>
      </w:r>
      <w:r>
        <w:t>, “que afecta de modo determinante a la subsistencia del presente proceso constitucional, dada la estrecha vinculación existente entre toda cuestión de inconstitucionalidad y el procedimiento judicial de que dimana.”</w:t>
      </w:r>
    </w:p>
    <w:p w:rsidR="00AC56D6" w:rsidRDefault="00AC56D6" w:rsidP="00AC56D6">
      <w:pPr>
        <w:pStyle w:val="TextoNormal"/>
      </w:pPr>
    </w:p>
    <w:p w:rsidR="00AC56D6" w:rsidRDefault="00AC56D6" w:rsidP="00AC56D6">
      <w:pPr>
        <w:pStyle w:val="TextoNormal"/>
      </w:pPr>
      <w:r>
        <w:t>En la presente cuestión de inconstitucionalidad se plantea si la supresión del derecho de una funcionaria de carrera del cuerpo de maestros a percibir la parte proporcional (en concreto, 44 días) de la paga extra de diciembre de 2012, por entenderse ya devengada al momento de la entrada en vigor del Real Decreto-ley 20/2012, contraviene el art. 9.3 CE. En esos términos planteada la cuestión es obligado concluir como hicimos en la STC 83/2015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00AC56D6" w:rsidRDefault="00AC56D6" w:rsidP="00AC56D6">
      <w:pPr>
        <w:pStyle w:val="TextoNormal"/>
      </w:pPr>
    </w:p>
    <w:p w:rsidR="00AC56D6" w:rsidRDefault="00AC56D6" w:rsidP="00AC56D6">
      <w:pPr>
        <w:pStyle w:val="TextoNormal"/>
      </w:pPr>
      <w:r>
        <w:t>Conforme a lo expuesto, el abono a la funcionaria de carrera del cuerpo de maestros cuya demanda ha dado lugar al planteamiento de la presente cuestión de inconstitucionalidad de la parte correspondiente a 44 días de la paga extraordinaria de diciembre de 2012,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Declarar la extinción de la presente cuestión de inconstitucionalidad por desaparición sobrevenida de su objeto.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veinte de julio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23" w:name="SENTENCIA_2015_167"/>
      <w:r>
        <w:lastRenderedPageBreak/>
        <w:t>SENTENCIA 167/2015, de 20 de julio de 2015</w:t>
      </w:r>
    </w:p>
    <w:bookmarkEnd w:id="23"/>
    <w:p w:rsidR="00AC56D6" w:rsidRDefault="00AC56D6" w:rsidP="00AC56D6">
      <w:pPr>
        <w:pStyle w:val="TtuloResolucin"/>
      </w:pPr>
      <w:r>
        <w:t>Sala Segunda</w:t>
      </w:r>
    </w:p>
    <w:p w:rsidR="00AC56D6" w:rsidRDefault="00AC56D6" w:rsidP="00AC56D6">
      <w:pPr>
        <w:pStyle w:val="TtuloBOE"/>
      </w:pPr>
      <w:r>
        <w:t>(BOE núm. 200, de 21 de agosto de 2015)</w:t>
      </w:r>
    </w:p>
    <w:p w:rsidR="00AC56D6" w:rsidRDefault="00AC56D6" w:rsidP="00AC56D6">
      <w:pPr>
        <w:pStyle w:val="TextoNormalCentrado"/>
      </w:pPr>
      <w:r>
        <w:t>ECLI:ES:TC:2015:167</w:t>
      </w:r>
    </w:p>
    <w:p w:rsidR="00AC56D6" w:rsidRDefault="00AC56D6" w:rsidP="00AC56D6">
      <w:pPr>
        <w:pStyle w:val="TextoNormalCentrado"/>
      </w:pPr>
    </w:p>
    <w:p w:rsidR="00AC56D6" w:rsidRDefault="00AC56D6" w:rsidP="00AC56D6">
      <w:pPr>
        <w:pStyle w:val="SntesisDescriptiva"/>
      </w:pPr>
      <w:r>
        <w:t>Recurso de amparo 6203-2013. Promovido por doña María del Carmen Mateos Pérez respecto del Auto dictado por un Juzgado de Primera Instancia e Instrucción de Jerez de la Frontera que impidió su personación en un procedimiento de ejecución hipotecaria.</w:t>
      </w:r>
    </w:p>
    <w:p w:rsidR="00AC56D6" w:rsidRDefault="00AC56D6" w:rsidP="00AC56D6">
      <w:pPr>
        <w:pStyle w:val="SntesisDescriptiva"/>
      </w:pPr>
    </w:p>
    <w:p w:rsidR="00AC56D6" w:rsidRDefault="00AC56D6" w:rsidP="00AC56D6">
      <w:pPr>
        <w:pStyle w:val="SntesisAnaltica"/>
      </w:pPr>
      <w:r>
        <w:t>Vulneración del derecho a la tutela judicial sin indefensión: resolución judicial que no realiza una especial ponderación de la situación de violencia de género que estaba padeciendo la ejecutada no emplazada al proceso hipotecario.</w:t>
      </w:r>
    </w:p>
    <w:p w:rsidR="00AC56D6" w:rsidRDefault="00AC56D6" w:rsidP="00AC56D6">
      <w:pPr>
        <w:pStyle w:val="SntesisAnaltica"/>
      </w:pPr>
    </w:p>
    <w:p w:rsidR="00AC56D6" w:rsidRDefault="00AC56D6" w:rsidP="00AC56D6">
      <w:pPr>
        <w:pStyle w:val="Extracto"/>
      </w:pPr>
      <w:r>
        <w:t>1.</w:t>
      </w:r>
      <w:r>
        <w:tab/>
        <w:t>Se estima la vulneración del derecho a la tutela judicial efectiva sin indefensión (art. 24.1 CE), pues no se protegió eficazmente a la ejecutada, víctima de malos tratos, ya que, si bien cabe argüir que el Juzgado no conoció la situación de violencia en el momento del emplazamiento, tal situación fue manifestada en el incidente de nulidad de actuaciones sin que fuera debidamente ponderada por el órgano jurisdiccional, lo que resulta incompatible con la doctrina de este Tribunal sobre la subsidiariedad de la comunicación edictal en el contexto en que se produce el intento de emplazamiento [FJ 4].</w:t>
      </w:r>
    </w:p>
    <w:p w:rsidR="00AC56D6" w:rsidRDefault="00AC56D6" w:rsidP="00AC56D6">
      <w:pPr>
        <w:pStyle w:val="Extracto"/>
      </w:pPr>
    </w:p>
    <w:p w:rsidR="00AC56D6" w:rsidRDefault="00AC56D6" w:rsidP="00AC56D6">
      <w:pPr>
        <w:pStyle w:val="Extracto"/>
      </w:pPr>
      <w:r>
        <w:t>2.</w:t>
      </w:r>
      <w:r>
        <w:tab/>
        <w:t>Este Tribunal considera que el recurso de amparo plantea una faceta nueva en materia de emplazamiento, puesto que sobre la norma procesal se produce una interferencia derivada de la existencia de una conducta de violencia de género, problema de innegable repercusión social, debiéndose adecuar nuestra doctrina a los casos en que el desconocimiento del domicilio de la ejecutada responde a la necesidad de eludir una situación de violencia de género [FFJJ 2, 4].</w:t>
      </w:r>
    </w:p>
    <w:p w:rsidR="00AC56D6" w:rsidRDefault="00AC56D6" w:rsidP="00AC56D6">
      <w:pPr>
        <w:pStyle w:val="Extracto"/>
      </w:pPr>
    </w:p>
    <w:p w:rsidR="00AC56D6" w:rsidRDefault="00AC56D6" w:rsidP="00AC56D6">
      <w:pPr>
        <w:pStyle w:val="Extracto"/>
      </w:pPr>
      <w:r>
        <w:t>3.</w:t>
      </w:r>
      <w:r>
        <w:tab/>
        <w:t>Doctrina sobre la especial trascendencia constitucional (SSTC 155/2009, 127/2013) [FJ 2].</w:t>
      </w:r>
    </w:p>
    <w:p w:rsidR="00AC56D6" w:rsidRDefault="00AC56D6" w:rsidP="00AC56D6">
      <w:pPr>
        <w:pStyle w:val="Extracto"/>
      </w:pPr>
    </w:p>
    <w:p w:rsidR="00AC56D6" w:rsidRDefault="00AC56D6" w:rsidP="00AC56D6">
      <w:pPr>
        <w:pStyle w:val="Extracto"/>
      </w:pPr>
      <w:r>
        <w:t>4.</w:t>
      </w:r>
      <w:r>
        <w:tab/>
        <w:t>Doctrina sobre la importancia de los actos de comunicación para la efectividad del derecho a la tutela judicial efectiva sin indefensión (SSTC 122/2013, 136/2014)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lastRenderedPageBreak/>
        <w:t>SENTENCIA</w:t>
      </w:r>
    </w:p>
    <w:p w:rsidR="00AC56D6" w:rsidRDefault="00AC56D6" w:rsidP="00AC56D6">
      <w:pPr>
        <w:pStyle w:val="TextoNormalCentrado"/>
        <w:keepNext/>
      </w:pPr>
    </w:p>
    <w:p w:rsidR="00AC56D6" w:rsidRDefault="00AC56D6" w:rsidP="00AC56D6">
      <w:pPr>
        <w:pStyle w:val="TextoNormal"/>
      </w:pPr>
      <w:r>
        <w:t>En el recurso de amparo núm. 6203-2013, promovido por doña María del Carmen Mateos Pérez, representada por el Procurador de los Tribunales don Andrés Peralta de la Torre y asistida por el Abogado don Miguel Pérez de Yrigoyen e Yrigoyen, contra el Auto de 20 de septiembre de 2013 del Juzgado de Primera Instancia e Instrucción núm. 5 de Jerez de la Frontera, dictado en procedimiento de ejecución hipotecaria núm. 2135/2009. Ha intervenido el Ministerio Fiscal. Ha comparecido el Banco Popular Español, S.A., representado por la Procuradora de los Tribunales doña María José Bueno Ramírez y asistido por el Abogado don Miguel Sanmartín Fenollera. Ha sido Ponente el Magistrado don Juan José González Rivas,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que tuvo entrada en el Registro General de este Tribunal el día 23 de octubre de 2013, el Procurador de los Tribunales don Andrés Peralta de la Torre, en nombre y representación de doña María del Carmen Mateos Pérez, interpuso recurso de amparo contra la resolución judicial que se cita en el encabezamiento.</w:t>
      </w:r>
    </w:p>
    <w:p w:rsidR="00AC56D6" w:rsidRDefault="00AC56D6" w:rsidP="00AC56D6">
      <w:pPr>
        <w:pStyle w:val="TextoNormal"/>
      </w:pPr>
    </w:p>
    <w:p w:rsidR="00AC56D6" w:rsidRDefault="00AC56D6" w:rsidP="00AC56D6">
      <w:pPr>
        <w:pStyle w:val="TextoNormal"/>
      </w:pPr>
      <w:r w:rsidRPr="00AC56D6">
        <w:rPr>
          <w:rStyle w:val="NumeroAFNegritaCaracter"/>
        </w:rPr>
        <w:t>2</w:t>
      </w:r>
      <w:r>
        <w:t>. Los hechos de los que trae causa la demanda, relevantes para la resolución del recurso, son, en síntesis, los siguientes:</w:t>
      </w:r>
    </w:p>
    <w:p w:rsidR="00AC56D6" w:rsidRDefault="00AC56D6" w:rsidP="00AC56D6">
      <w:pPr>
        <w:pStyle w:val="TextoNormal"/>
      </w:pPr>
    </w:p>
    <w:p w:rsidR="00AC56D6" w:rsidRDefault="00AC56D6" w:rsidP="00AC56D6">
      <w:pPr>
        <w:pStyle w:val="TextoNormal"/>
      </w:pPr>
      <w:r>
        <w:t>a) A instancias de la entidad Banco Popular, el Juzgado de Primera Instancia e Instrucción núm. 5 de Jerez de la Frontera inició procedimiento de ejecución hipotecaria núm. 2135-2009 por Auto de fecha 7 de octubre de 2009, contra los ejecutados Juan Luis Hurtado Zarzana y la ahora demandante de amparo María del Carmen Mateos Pérez.</w:t>
      </w:r>
    </w:p>
    <w:p w:rsidR="00AC56D6" w:rsidRDefault="00AC56D6" w:rsidP="00AC56D6">
      <w:pPr>
        <w:pStyle w:val="TextoNormal"/>
      </w:pPr>
    </w:p>
    <w:p w:rsidR="00AC56D6" w:rsidRDefault="00AC56D6" w:rsidP="00AC56D6">
      <w:pPr>
        <w:pStyle w:val="TextoNormal"/>
      </w:pPr>
      <w:r>
        <w:t>La ejecución se interesó como consecuencia del incumplimiento del contrato firmado por ambos demandados, que se encontraban en régimen económico-matrimonial de gananciales, para garantizar la adquisición de la vivienda sita en la calle Oloroso, 18, bajo C, de la barriada de Icovesa de Jerez de la Frontera (Cádiz), que se había otorgado notarialmente el 3 de junio de 2005.</w:t>
      </w:r>
    </w:p>
    <w:p w:rsidR="00AC56D6" w:rsidRDefault="00AC56D6" w:rsidP="00AC56D6">
      <w:pPr>
        <w:pStyle w:val="TextoNormal"/>
      </w:pPr>
    </w:p>
    <w:p w:rsidR="00AC56D6" w:rsidRDefault="00AC56D6" w:rsidP="00AC56D6">
      <w:pPr>
        <w:pStyle w:val="TextoNormal"/>
      </w:pPr>
      <w:r>
        <w:t>En el citado documento notarial se citaba como domicilio a efectos de notificaciones el anteriormente mencionado de la calle Oloroso.</w:t>
      </w:r>
    </w:p>
    <w:p w:rsidR="00AC56D6" w:rsidRDefault="00AC56D6" w:rsidP="00AC56D6">
      <w:pPr>
        <w:pStyle w:val="TextoNormal"/>
      </w:pPr>
    </w:p>
    <w:p w:rsidR="00AC56D6" w:rsidRDefault="00AC56D6" w:rsidP="00AC56D6">
      <w:pPr>
        <w:pStyle w:val="TextoNormal"/>
      </w:pPr>
      <w:r>
        <w:t>b) En fecha 16 de octubre de 2009, el Servicio común de notificaciones dejó en el buzón del citado domicilio de la calle Oloroso nota de citación para que los ejecutados comparecieran en el Juzgado el 20 de octubre de 2009.</w:t>
      </w:r>
    </w:p>
    <w:p w:rsidR="00AC56D6" w:rsidRDefault="00AC56D6" w:rsidP="00AC56D6">
      <w:pPr>
        <w:pStyle w:val="TextoNormal"/>
      </w:pPr>
    </w:p>
    <w:p w:rsidR="00AC56D6" w:rsidRDefault="00AC56D6" w:rsidP="00AC56D6">
      <w:pPr>
        <w:pStyle w:val="TextoNormal"/>
      </w:pPr>
      <w:r>
        <w:t>El 19 de octubre de 2009 se produjo la notificación personal al entonces marido, Juan Luis Hurtado, del requerimiento de pago y del Auto de despacho de ejecución, con diligencia negativa de notificación a la recurrente en la que se hizo constar textualmente que el marido “confirma que la persona por la que me intereso, arriba referenciada, abandonó el domicilio conyugal en el mes de agosto del presente año. No conociéndose, asimismo, su nueva dirección particular”.</w:t>
      </w:r>
    </w:p>
    <w:p w:rsidR="00AC56D6" w:rsidRDefault="00AC56D6" w:rsidP="00AC56D6">
      <w:pPr>
        <w:pStyle w:val="TextoNormal"/>
      </w:pPr>
    </w:p>
    <w:p w:rsidR="00AC56D6" w:rsidRDefault="00AC56D6" w:rsidP="00AC56D6">
      <w:pPr>
        <w:pStyle w:val="TextoNormal"/>
      </w:pPr>
      <w:r>
        <w:lastRenderedPageBreak/>
        <w:t>c) A solicitud de la parte ejecutante, el Juzgado recabó información domiciliaria de la recurrente en la Tesorería General de la Seguridad Social y en el Instituto Nacional de Estadística, donde figuraba como su domicilio la finca hipotecada.</w:t>
      </w:r>
    </w:p>
    <w:p w:rsidR="00AC56D6" w:rsidRDefault="00AC56D6" w:rsidP="00AC56D6">
      <w:pPr>
        <w:pStyle w:val="TextoNormal"/>
      </w:pPr>
    </w:p>
    <w:p w:rsidR="00AC56D6" w:rsidRDefault="00AC56D6" w:rsidP="00AC56D6">
      <w:pPr>
        <w:pStyle w:val="TextoNormal"/>
      </w:pPr>
      <w:r>
        <w:t>Por diligencia de ordenación de fecha 10 de marzo de 2010, el Juzgado requirió a la parte ejecutante para que instara lo que a su derecho correspondiera al no haberse agotado los medios de averiguación del domicilio de la codemandada.</w:t>
      </w:r>
    </w:p>
    <w:p w:rsidR="00AC56D6" w:rsidRDefault="00AC56D6" w:rsidP="00AC56D6">
      <w:pPr>
        <w:pStyle w:val="TextoNormal"/>
      </w:pPr>
    </w:p>
    <w:p w:rsidR="00AC56D6" w:rsidRDefault="00AC56D6" w:rsidP="00AC56D6">
      <w:pPr>
        <w:pStyle w:val="TextoNormal"/>
      </w:pPr>
      <w:r>
        <w:t>En fecha 16 de marzo de 2010, la parte ejecutante solicitó que se librara oficio a la policía local para la localización de la Srª. Mateos, sin que el Juzgado resolviera sobre dicha petición.</w:t>
      </w:r>
    </w:p>
    <w:p w:rsidR="00AC56D6" w:rsidRDefault="00AC56D6" w:rsidP="00AC56D6">
      <w:pPr>
        <w:pStyle w:val="TextoNormal"/>
      </w:pPr>
    </w:p>
    <w:p w:rsidR="00AC56D6" w:rsidRDefault="00AC56D6" w:rsidP="00AC56D6">
      <w:pPr>
        <w:pStyle w:val="TextoNormal"/>
      </w:pPr>
      <w:r>
        <w:t>d) Por diligencia de ordenación del Secretario de fecha 29 de junio de 2010 se requirió a la parte ejecutante para que instara lo que a su derecho correspondiera, a la vista de lo establecido en el art. 686 de la Ley de enjuiciamiento civil, quien solicitó la notificación por edictos.</w:t>
      </w:r>
    </w:p>
    <w:p w:rsidR="00AC56D6" w:rsidRDefault="00AC56D6" w:rsidP="00AC56D6">
      <w:pPr>
        <w:pStyle w:val="TextoNormal"/>
      </w:pPr>
    </w:p>
    <w:p w:rsidR="00AC56D6" w:rsidRDefault="00AC56D6" w:rsidP="00AC56D6">
      <w:pPr>
        <w:pStyle w:val="TextoNormal"/>
      </w:pPr>
      <w:r>
        <w:t>Por diligencia de ordenación de 8 de noviembre de 2010, se acordó la notificación por edictos a la ejecutada, del Auto de despacho de ejecución y de los requerimientos de pago.</w:t>
      </w:r>
    </w:p>
    <w:p w:rsidR="00AC56D6" w:rsidRDefault="00AC56D6" w:rsidP="00AC56D6">
      <w:pPr>
        <w:pStyle w:val="TextoNormal"/>
      </w:pPr>
    </w:p>
    <w:p w:rsidR="00AC56D6" w:rsidRDefault="00AC56D6" w:rsidP="00AC56D6">
      <w:pPr>
        <w:pStyle w:val="TextoNormal"/>
      </w:pPr>
      <w:r>
        <w:t>e) Por diligencia de ordenación de 15 de febrero de 2011 se acordó la subasta del inmueble hipotecado, fijándola para las 10:30 horas del 6 de abril de 2011, que se intentó notificar a Juan Luis Hurtado Zarzana en la calle Oloroso, constando ausente en horas de reparto, y de nuevo se intenta el 21 de marzo de 2011, resultando asimismo infructuosa, informando al notificante la vecina del piso 2 izquierda que el interesado se había marchado de su vivienda hacía un año. La notificación de la subasta a la recurrente se practicó por edictos.</w:t>
      </w:r>
    </w:p>
    <w:p w:rsidR="00AC56D6" w:rsidRDefault="00AC56D6" w:rsidP="00AC56D6">
      <w:pPr>
        <w:pStyle w:val="TextoNormal"/>
      </w:pPr>
    </w:p>
    <w:p w:rsidR="00AC56D6" w:rsidRDefault="00AC56D6" w:rsidP="00AC56D6">
      <w:pPr>
        <w:pStyle w:val="TextoNormal"/>
      </w:pPr>
      <w:r>
        <w:t>f) La subasta del inmueble se llevó a efecto en la fecha señalada del 6 de abril de 2011, no compareciendo ningún postor, por lo que el Banco Popular por escrito de 9 de mayo interesó que se le adjudicara en pago esa vivienda.</w:t>
      </w:r>
    </w:p>
    <w:p w:rsidR="00AC56D6" w:rsidRDefault="00AC56D6" w:rsidP="00AC56D6">
      <w:pPr>
        <w:pStyle w:val="TextoNormal"/>
      </w:pPr>
    </w:p>
    <w:p w:rsidR="00AC56D6" w:rsidRDefault="00AC56D6" w:rsidP="00AC56D6">
      <w:pPr>
        <w:pStyle w:val="TextoNormal"/>
      </w:pPr>
      <w:r>
        <w:t>Efectuada la tasación de costas el 24 de noviembre de 2011, fue aprobada por decreto del Sr. Secretario judicial de fecha 9 de enero de 2012 y por otro de 3 de abril de 2012 se le adjudicó la vivienda de la calle Oloroso al Banco Popular.</w:t>
      </w:r>
    </w:p>
    <w:p w:rsidR="00AC56D6" w:rsidRDefault="00AC56D6" w:rsidP="00AC56D6">
      <w:pPr>
        <w:pStyle w:val="TextoNormal"/>
      </w:pPr>
    </w:p>
    <w:p w:rsidR="00AC56D6" w:rsidRDefault="00AC56D6" w:rsidP="00AC56D6">
      <w:pPr>
        <w:pStyle w:val="TextoNormal"/>
      </w:pPr>
      <w:r>
        <w:t>Se intentó la notificación personal del decreto de adjudicación de 3 de abril de 2012 al ejecutado, en rebeldía, pero no a la demandante de amparo, a la que se notificó directamente por edictos.</w:t>
      </w:r>
    </w:p>
    <w:p w:rsidR="00AC56D6" w:rsidRDefault="00AC56D6" w:rsidP="00AC56D6">
      <w:pPr>
        <w:pStyle w:val="TextoNormal"/>
      </w:pPr>
    </w:p>
    <w:p w:rsidR="00AC56D6" w:rsidRDefault="00AC56D6" w:rsidP="00AC56D6">
      <w:pPr>
        <w:pStyle w:val="TextoNormal"/>
      </w:pPr>
      <w:r>
        <w:t>g) En fecha 26 de junio de 2013, al practicarse el lanzamiento, la comisión judicial encontró en la vivienda de la calle Oloroso núm. 18, bajo C, de la barriada de Icovesa, en Jerez de la Frontera, a la Sra. Mateos Pérez, quien afirmó que residía en la vivienda con sus hijos y con su madre minusválida e interesaba que se le concediera un plazo para desalojar la vivienda, ante lo cual el Juzgado suspendió la diligencia de lanzamiento, acordando posteriormente concederle un mes de prórroga y fijando como nueva fecha para el lanzamiento el 30 de julio de 2013 a las 10:30 horas.</w:t>
      </w:r>
    </w:p>
    <w:p w:rsidR="00AC56D6" w:rsidRDefault="00AC56D6" w:rsidP="00AC56D6">
      <w:pPr>
        <w:pStyle w:val="TextoNormal"/>
      </w:pPr>
    </w:p>
    <w:p w:rsidR="00AC56D6" w:rsidRDefault="00AC56D6" w:rsidP="00AC56D6">
      <w:pPr>
        <w:pStyle w:val="TextoNormal"/>
      </w:pPr>
      <w:r>
        <w:lastRenderedPageBreak/>
        <w:t>h) Por escrito presentado en fecha 19 de julio de 2013, la representación procesal de la demandante de amparo, formuló incidente de nulidad de actuaciones por no haber tenido conocimiento del procedimiento de ejecución hipotecaria, pues en la fecha del emplazamiento existía Sentencia firme de condena del marido por malos tratos, orden de protección y alejamiento, por lo que no tenía su domicilio en el de la finca hipotecada y no tuvo en ningún momento oportunidad de defenderse. Asimismo, aportó certificado de empadronamiento en otro domicilio de Jerez acreditativo de haber residido con sus hijos desde el día 22 de enero de 2010 hasta el día 13 de noviembre de 2012.</w:t>
      </w:r>
    </w:p>
    <w:p w:rsidR="00AC56D6" w:rsidRDefault="00AC56D6" w:rsidP="00AC56D6">
      <w:pPr>
        <w:pStyle w:val="TextoNormal"/>
      </w:pPr>
    </w:p>
    <w:p w:rsidR="00AC56D6" w:rsidRDefault="00AC56D6" w:rsidP="00AC56D6">
      <w:pPr>
        <w:pStyle w:val="TextoNormal"/>
      </w:pPr>
      <w:r>
        <w:t>i) Tras admitirse a trámite el incidente, fue desestimado por Auto de fecha 20 de septiembre de 2013 por no apreciarse defecto procesal alguno en la tramitación del procedimiento. El Juzgado suspendió el lanzamiento por aplicación de la Ley 1/2013.</w:t>
      </w:r>
    </w:p>
    <w:p w:rsidR="00AC56D6" w:rsidRDefault="00AC56D6" w:rsidP="00AC56D6">
      <w:pPr>
        <w:pStyle w:val="TextoNormal"/>
      </w:pPr>
    </w:p>
    <w:p w:rsidR="00AC56D6" w:rsidRDefault="00AC56D6" w:rsidP="00AC56D6">
      <w:pPr>
        <w:pStyle w:val="TextoNormal"/>
      </w:pPr>
      <w:r w:rsidRPr="00AC56D6">
        <w:rPr>
          <w:rStyle w:val="NumeroAFNegritaCaracter"/>
        </w:rPr>
        <w:t>3</w:t>
      </w:r>
      <w:r>
        <w:t>. En su demanda, la parte recurrente aduce que se ha vulnerado el derecho fundamental a la tutela judicial efectiva sin indefensión (art. 24.1 CE) y del derecho a un proceso con todas las garantías y derecho de defensa (art. 24.2 CE), al no haber sido emplazada ni requerida de pago la demandante en su domicilio, alegándose que en las fechas en que se inició el procedimiento de ejecución hipotecaria la demandante había tenido que abandonar el citado domicilio familiar de la calle Oloroso por malos tratos de su ex marido, que fue el único que tuvo conocimiento del procedimiento sin comunicárselo a la recurrente, por lo que solicita que se dicte Sentencia declarando la vulneración de los derechos fundamentales contenidos en los arts. 24.1 y 24.2 CE y, en consecuencia, se anule el Auto de 20 de septiembre de 2013 recurrido, con retroacción de actuaciones al momento del emplazamiento y requerimiento.</w:t>
      </w:r>
    </w:p>
    <w:p w:rsidR="00AC56D6" w:rsidRDefault="00AC56D6" w:rsidP="00AC56D6">
      <w:pPr>
        <w:pStyle w:val="TextoNormal"/>
      </w:pPr>
    </w:p>
    <w:p w:rsidR="00AC56D6" w:rsidRDefault="00AC56D6" w:rsidP="00AC56D6">
      <w:pPr>
        <w:pStyle w:val="TextoNormal"/>
      </w:pPr>
      <w:r>
        <w:t>Mediante otrosí en la propia demanda de amparo se solicitó que se dejara en suspenso la ejecución del procedimiento hipotecario.</w:t>
      </w:r>
    </w:p>
    <w:p w:rsidR="00AC56D6" w:rsidRDefault="00AC56D6" w:rsidP="00AC56D6">
      <w:pPr>
        <w:pStyle w:val="TextoNormal"/>
      </w:pPr>
    </w:p>
    <w:p w:rsidR="00AC56D6" w:rsidRDefault="00AC56D6" w:rsidP="00AC56D6">
      <w:pPr>
        <w:pStyle w:val="TextoNormal"/>
      </w:pPr>
      <w:r w:rsidRPr="00AC56D6">
        <w:rPr>
          <w:rStyle w:val="NumeroAFNegritaCaracter"/>
        </w:rPr>
        <w:t>4</w:t>
      </w:r>
      <w:r>
        <w:t>. Por providencia de 20 de enero de 2015 la Sección Tercera de la Sala Segunda acordó admitir a trámite la demanda de amparo y, a tenor de lo dispuesto en el art. 51 de la Ley Orgánica del Tribunal Constitucional (LOTC), requerir al Juzgado de Primera Instancia e Instrucción núm. 5 de Jerez para que el plazo de diez días remitiera testimonio del procedimiento hipotecario 2135-2009, interesándose al tiempo que se emplazara a quienes fueron parte en el procedimiento, a excepción de la recurrente en amparo, para que en el plazo de diez días pudieran comparecer en este proceso constitucional.</w:t>
      </w:r>
    </w:p>
    <w:p w:rsidR="00AC56D6" w:rsidRDefault="00AC56D6" w:rsidP="00AC56D6">
      <w:pPr>
        <w:pStyle w:val="TextoNormal"/>
      </w:pPr>
    </w:p>
    <w:p w:rsidR="00AC56D6" w:rsidRDefault="00AC56D6" w:rsidP="00AC56D6">
      <w:pPr>
        <w:pStyle w:val="TextoNormal"/>
      </w:pPr>
      <w:r w:rsidRPr="00AC56D6">
        <w:rPr>
          <w:rStyle w:val="NumeroAFNegritaCaracter"/>
        </w:rPr>
        <w:t>5</w:t>
      </w:r>
      <w:r>
        <w:t>. En la misma providencia de 20 de enero de 2015 se acordó la apertura de la correspondiente pieza separada para la tramitación del incidente de suspensión, concediéndose un plazo común de tres días a la recurrente y al Ministerio Fiscal para que formularan alegaciones sobre el particular, conforme a lo previsto en el art. 56 LOTC. Evacuado dicho trámite, mediante Auto de 2 de marzo de 2015, la Sala Segunda acordó denegar la suspensión solicitada, por estar ya suspendido el lanzamiento en aplicación de la Ley 1/2013, y ordenar la anotación preventiva de la demanda de amparo en el Registro de la Propiedad.</w:t>
      </w:r>
    </w:p>
    <w:p w:rsidR="00AC56D6" w:rsidRDefault="00AC56D6" w:rsidP="00AC56D6">
      <w:pPr>
        <w:pStyle w:val="TextoNormal"/>
      </w:pPr>
    </w:p>
    <w:p w:rsidR="00AC56D6" w:rsidRDefault="00AC56D6" w:rsidP="00AC56D6">
      <w:pPr>
        <w:pStyle w:val="TextoNormal"/>
      </w:pPr>
      <w:r w:rsidRPr="00AC56D6">
        <w:rPr>
          <w:rStyle w:val="NumeroAFNegritaCaracter"/>
        </w:rPr>
        <w:t>6</w:t>
      </w:r>
      <w:r>
        <w:t xml:space="preserve">. Por diligencia de ordenación de 4 de marzo de 2015 del Secretario de Justicia de la Sala Segunda se tuvo por personada y parte a la Procuradora doña María José Bueno Martínez, en nombre y representación del Banco Popular Español, S.A., y se acordó, a tenor de </w:t>
      </w:r>
      <w:r>
        <w:lastRenderedPageBreak/>
        <w:t>lo dispuesto en el art. 52 LOTC, dar vista de todas las actuaciones del presente recurso de amparo en la Secretaría de la Sala, por un plazo común de veinte días, al Ministerio Fiscal y a las partes personadas, para que dentro de dicho término pudieran presentar las alegaciones que a su derecho convinieran.</w:t>
      </w:r>
    </w:p>
    <w:p w:rsidR="00AC56D6" w:rsidRDefault="00AC56D6" w:rsidP="00AC56D6">
      <w:pPr>
        <w:pStyle w:val="TextoNormal"/>
      </w:pPr>
    </w:p>
    <w:p w:rsidR="00AC56D6" w:rsidRDefault="00AC56D6" w:rsidP="00AC56D6">
      <w:pPr>
        <w:pStyle w:val="TextoNormal"/>
      </w:pPr>
      <w:r w:rsidRPr="00AC56D6">
        <w:rPr>
          <w:rStyle w:val="NumeroAFNegritaCaracter"/>
        </w:rPr>
        <w:t>7</w:t>
      </w:r>
      <w:r>
        <w:t>. La representación procesal de la recurrente presentó alegaciones reproduciendo sustancialmente las de la demanda de amparo.</w:t>
      </w:r>
    </w:p>
    <w:p w:rsidR="00AC56D6" w:rsidRDefault="00AC56D6" w:rsidP="00AC56D6">
      <w:pPr>
        <w:pStyle w:val="TextoNormal"/>
      </w:pPr>
    </w:p>
    <w:p w:rsidR="00AC56D6" w:rsidRDefault="00AC56D6" w:rsidP="00AC56D6">
      <w:pPr>
        <w:pStyle w:val="TextoNormal"/>
      </w:pPr>
      <w:r w:rsidRPr="00AC56D6">
        <w:rPr>
          <w:rStyle w:val="NumeroAFNegritaCaracter"/>
        </w:rPr>
        <w:t>8</w:t>
      </w:r>
      <w:r>
        <w:t>. La representación procesal de Banco Popular Español, S.A., presentó su escrito de alegaciones, en el que solicitó que se inadmita o, subsidiariamente, se deniegue el amparo.</w:t>
      </w:r>
    </w:p>
    <w:p w:rsidR="00AC56D6" w:rsidRDefault="00AC56D6" w:rsidP="00AC56D6">
      <w:pPr>
        <w:pStyle w:val="TextoNormal"/>
      </w:pPr>
    </w:p>
    <w:p w:rsidR="00AC56D6" w:rsidRDefault="00AC56D6" w:rsidP="00AC56D6">
      <w:pPr>
        <w:pStyle w:val="TextoNormal"/>
      </w:pPr>
      <w:r>
        <w:t>Como causas de inadmisibilidad, opone que en la demanda de amparo la recurrente no absuelve correctamente la carga de justificar la especial trascendencia constitucional del recurso y que, en todo caso, el recurso carece de trascendencia constitucional.</w:t>
      </w:r>
    </w:p>
    <w:p w:rsidR="00AC56D6" w:rsidRDefault="00AC56D6" w:rsidP="00AC56D6">
      <w:pPr>
        <w:pStyle w:val="TextoNormal"/>
      </w:pPr>
    </w:p>
    <w:p w:rsidR="00AC56D6" w:rsidRDefault="00AC56D6" w:rsidP="00AC56D6">
      <w:pPr>
        <w:pStyle w:val="TextoNormal"/>
      </w:pPr>
      <w:r>
        <w:t>En cuanto al fondo, alega que no hubo indefensión porque la parte recurrente tuvo pleno conocimiento del proceso, o bien pudo conocer con facilidad, tanto el estado de su préstamo impagado reiteradamente, como el inicio de la ejecución judicial, y que había recibido aviso de su marido sobre este extremo. Asimismo aduce que no notificó cambio de domicilio y que la actuación del Juzgado fue correcta.</w:t>
      </w:r>
    </w:p>
    <w:p w:rsidR="00AC56D6" w:rsidRDefault="00AC56D6" w:rsidP="00AC56D6">
      <w:pPr>
        <w:pStyle w:val="TextoNormal"/>
      </w:pPr>
    </w:p>
    <w:p w:rsidR="00AC56D6" w:rsidRDefault="00AC56D6" w:rsidP="00AC56D6">
      <w:pPr>
        <w:pStyle w:val="TextoNormal"/>
      </w:pPr>
      <w:r w:rsidRPr="00AC56D6">
        <w:rPr>
          <w:rStyle w:val="NumeroAFNegritaCaracter"/>
        </w:rPr>
        <w:t>9</w:t>
      </w:r>
      <w:r>
        <w:t>. El Fiscal ante el Tribunal Constitucional presentó sus alegaciones interesando el otorgamiento del amparo, con declaración de nulidad del Auto impugnado de fecha 20 de septiembre de 2013, y retroacción de actuaciones al momento inmediatamente anterior al requerimiento de pago a la demandante de amparo, con el fin de que se le comunique el despacho de ejecución en legal forma.</w:t>
      </w:r>
    </w:p>
    <w:p w:rsidR="00AC56D6" w:rsidRDefault="00AC56D6" w:rsidP="00AC56D6">
      <w:pPr>
        <w:pStyle w:val="TextoNormal"/>
      </w:pPr>
    </w:p>
    <w:p w:rsidR="00AC56D6" w:rsidRDefault="00AC56D6" w:rsidP="00AC56D6">
      <w:pPr>
        <w:pStyle w:val="TextoNormal"/>
      </w:pPr>
      <w:r>
        <w:t>El Fiscal alega que el Juzgado conocía por manifestaciones del propio ex esposo de la Srª. Mateos Pérez con el que había convivido en el domicilio de la calle Oloroso, 18, que ella había abandonado esa vivienda desde el mes de agosto de 2009, lo que se ratificaba en la documentación aportada por la demandante como anexo al escrito planteando el incidente de nulidad de actuaciones. Además, el Juzgado conoció la causa, y grave, por la que la demandante abandonó ese domicilio, que no era otra sino una continuada situación de malos tratos por parte de su ex cónyuge lo que se evidenció en sentencias condenatorias y órdenes de alejamiento. Finalmente, y si bien la demandante recibió una nota manuscrita de su ex marido, ello se produjo en medio de una situación de maltrato e incumpliendo su ex esposo la orden de alejamiento sin más constancia oficial, por lo que no puede considerarse como enervante de la falta de diligencia exigible al órgano judicial acerca de inquirir otros posibles domicilios de la demandante de amparo, citando la STC 136/2014, de 8 de septiembre.</w:t>
      </w:r>
    </w:p>
    <w:p w:rsidR="00AC56D6" w:rsidRDefault="00AC56D6" w:rsidP="00AC56D6">
      <w:pPr>
        <w:pStyle w:val="TextoNormal"/>
      </w:pPr>
    </w:p>
    <w:p w:rsidR="00AC56D6" w:rsidRDefault="00AC56D6" w:rsidP="00AC56D6">
      <w:pPr>
        <w:pStyle w:val="TextoNormal"/>
      </w:pPr>
      <w:r>
        <w:t>Concluye el Fiscal solicitando la estimación de la demanda de amparo por lesión del derecho a la demandante a la tutela judicial efectiva sin indefensión (art. 24.1 CE).</w:t>
      </w:r>
    </w:p>
    <w:p w:rsidR="00AC56D6" w:rsidRDefault="00AC56D6" w:rsidP="00AC56D6">
      <w:pPr>
        <w:pStyle w:val="TextoNormal"/>
      </w:pPr>
    </w:p>
    <w:p w:rsidR="00AC56D6" w:rsidRDefault="00AC56D6" w:rsidP="00AC56D6">
      <w:pPr>
        <w:pStyle w:val="TextoNormal"/>
      </w:pPr>
      <w:r w:rsidRPr="00AC56D6">
        <w:rPr>
          <w:rStyle w:val="NumeroAFNegritaCaracter"/>
        </w:rPr>
        <w:t>10</w:t>
      </w:r>
      <w:r>
        <w:t>. Por providencia de 16 de julio de 2015 se señaló para la deliberación y votación de la presente Sentencia el día 20 del mismo mes y año.</w:t>
      </w:r>
    </w:p>
    <w:p w:rsidR="00AC56D6" w:rsidRDefault="00AC56D6" w:rsidP="00AC56D6">
      <w:pPr>
        <w:pStyle w:val="TextoNormal"/>
      </w:pPr>
    </w:p>
    <w:p w:rsidR="00AC56D6" w:rsidRDefault="00AC56D6" w:rsidP="00AC56D6">
      <w:pPr>
        <w:pStyle w:val="TextoNormalNegritaCentrado"/>
        <w:keepNext/>
      </w:pPr>
      <w:r>
        <w:lastRenderedPageBreak/>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presente recurso de amparo se dirige contra el Auto dictado en fecha de 20 de septiembre de 2013 por el Juzgado de Primera Instancia e Instrucción núm. 5 de Jerez de la Frontera, en procedimiento de ejecución hipotecaria que, de una parte, acuerda la suspensión del lanzamiento de la vivienda de la calle Oloroso núm. 18 y, de otra, deniega el incidente de nulidad de actuaciones.</w:t>
      </w:r>
    </w:p>
    <w:p w:rsidR="00AC56D6" w:rsidRDefault="00AC56D6" w:rsidP="00AC56D6">
      <w:pPr>
        <w:pStyle w:val="TextoNormal"/>
      </w:pPr>
    </w:p>
    <w:p w:rsidR="00AC56D6" w:rsidRDefault="00AC56D6" w:rsidP="00AC56D6">
      <w:pPr>
        <w:pStyle w:val="TextoNormal"/>
      </w:pPr>
      <w:r>
        <w:t>En la demanda de amparo se imputa a la resolución recurrida la vulneración del derecho fundamental a la tutela judicial efectiva sin indefensión (art. 24.1 CE) y el del derecho a un proceso con todas las garantías (art. 24.2 CE), al haberse practicado el emplazamiento edictal sin haber agotado las posibilidades de comunicación, alegando que la parte demandante estaba ausente del domicilio designado para notificaciones como consecuencia de los malos tratos que padecía por su ex marido, del que se divorció por Sentencia de 16 de febrero de 2010, dictada por el Juzgado de Violencia sobre la mujer núm. 1 de Jerez de la Frontera y quien nunca le comunicó nada sobre el procedimiento de ejecución hipotecaria.</w:t>
      </w:r>
    </w:p>
    <w:p w:rsidR="00AC56D6" w:rsidRDefault="00AC56D6" w:rsidP="00AC56D6">
      <w:pPr>
        <w:pStyle w:val="TextoNormal"/>
      </w:pPr>
    </w:p>
    <w:p w:rsidR="00AC56D6" w:rsidRDefault="00AC56D6" w:rsidP="00AC56D6">
      <w:pPr>
        <w:pStyle w:val="TextoNormal"/>
      </w:pPr>
      <w:r>
        <w:t>El Ministerio Fiscal interesa la estimación del recurso por entender que concurre la vulneración denunciada, en tanto que la representación del Banco Popular se opone al recurso, alegando, con carácter previo, la inadmisibilidad por falta de justificación y por inexistencia de la especial trascendencia constitucional [arts. 49.1 y 50 de la Ley Orgánica del Tribunal Constitucional(LOTC)].</w:t>
      </w:r>
    </w:p>
    <w:p w:rsidR="00AC56D6" w:rsidRDefault="00AC56D6" w:rsidP="00AC56D6">
      <w:pPr>
        <w:pStyle w:val="TextoNormal"/>
      </w:pPr>
    </w:p>
    <w:p w:rsidR="00AC56D6" w:rsidRDefault="00AC56D6" w:rsidP="00AC56D6">
      <w:pPr>
        <w:pStyle w:val="TextoNormal"/>
      </w:pPr>
      <w:r w:rsidRPr="00AC56D6">
        <w:rPr>
          <w:rStyle w:val="NumeroAFNegritaCaracter"/>
        </w:rPr>
        <w:t>2</w:t>
      </w:r>
      <w:r>
        <w:t>. Debemos analizar en primer lugar los óbices procesales aducidos por la representación procesal del Banco Popular relativos a la falta de justificación e inexistencia de especial trascendencia constitucional del recurso.</w:t>
      </w:r>
    </w:p>
    <w:p w:rsidR="00AC56D6" w:rsidRDefault="00AC56D6" w:rsidP="00AC56D6">
      <w:pPr>
        <w:pStyle w:val="TextoNormal"/>
      </w:pPr>
    </w:p>
    <w:p w:rsidR="00AC56D6" w:rsidRDefault="00AC56D6" w:rsidP="00AC56D6">
      <w:pPr>
        <w:pStyle w:val="TextoNormal"/>
      </w:pPr>
      <w:r>
        <w:t>Este Tribunal ha venido distinguiendo entre la justificación de la especial trascendencia constitucional, y la existencia misma de la especial trascendencia constitucional, que es una apreciación que corresponde al Tribunal.</w:t>
      </w:r>
    </w:p>
    <w:p w:rsidR="00AC56D6" w:rsidRDefault="00AC56D6" w:rsidP="00AC56D6">
      <w:pPr>
        <w:pStyle w:val="TextoNormal"/>
      </w:pPr>
    </w:p>
    <w:p w:rsidR="00AC56D6" w:rsidRDefault="00AC56D6" w:rsidP="00AC56D6">
      <w:pPr>
        <w:pStyle w:val="TextoNormal"/>
      </w:pPr>
      <w:r>
        <w:t>a) Respecto del primero de los requisitos procesales, hemos indicado que el art. 50.1 a) LOTC establece que la admisión del recurso de amparo exige el cumplimiento de los trámites fijados en los arts. 41 a 46 y 49 LOTC, estableciendo este último precepto en su apartado primero in fine, de forma inequívoca —“[e]n todo caso”—, que la demanda ha de justificar la especial trascendencia constitucional del recurso. Para satisfacer esta exigencia,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w:t>
      </w:r>
    </w:p>
    <w:p w:rsidR="00AC56D6" w:rsidRDefault="00AC56D6" w:rsidP="00AC56D6">
      <w:pPr>
        <w:pStyle w:val="TextoNormal"/>
      </w:pPr>
    </w:p>
    <w:p w:rsidR="00AC56D6" w:rsidRDefault="00AC56D6" w:rsidP="00AC56D6">
      <w:pPr>
        <w:pStyle w:val="TextoNormal"/>
      </w:pPr>
      <w:r>
        <w:t>En el presente caso, la demanda razona específicamente sobre la especial trascendencia constitucional del recurso, con cita expresa de la STC 155/2009, de 25 de junio, concretándola en el apartado f), al entender que se produjo una negativa del Juzgado a acatar la doctrina constitucional en materia de emplazamiento edictal.</w:t>
      </w:r>
    </w:p>
    <w:p w:rsidR="00AC56D6" w:rsidRDefault="00AC56D6" w:rsidP="00AC56D6">
      <w:pPr>
        <w:pStyle w:val="TextoNormal"/>
      </w:pPr>
    </w:p>
    <w:p w:rsidR="00AC56D6" w:rsidRDefault="00AC56D6" w:rsidP="00AC56D6">
      <w:pPr>
        <w:pStyle w:val="TextoNormal"/>
      </w:pPr>
      <w:r>
        <w:lastRenderedPageBreak/>
        <w:t>Por tanto, y con independencia del acierto que las alegaciones recogidas en la demanda puedan merecer, cabe apreciar un esfuerzo argumental de la parte recurrente destinado a cumplimentar la carga impuesta en el art. 49.1 LOTC, al haberse disociado suficientemente en la demanda de amparo los argumentos destinados a probar la existencia de las lesiones de los derechos fundamentales, de aquellos otros encaminados a justificar la especial trascendencia constitucional del recurso en términos que coinciden con los criterios que tenemos asentados en nuestra doctrina antes citada.</w:t>
      </w:r>
    </w:p>
    <w:p w:rsidR="00AC56D6" w:rsidRDefault="00AC56D6" w:rsidP="00AC56D6">
      <w:pPr>
        <w:pStyle w:val="TextoNormal"/>
      </w:pPr>
    </w:p>
    <w:p w:rsidR="00AC56D6" w:rsidRDefault="00AC56D6" w:rsidP="00AC56D6">
      <w:pPr>
        <w:pStyle w:val="TextoNormal"/>
      </w:pPr>
      <w:r>
        <w:t>b) En relación a la especial trascendencia constitucional de esta demanda de amparo, hemos declarado, entre otras muchas, en la STC 127/2013, de 3 de junio, FJ 2, que “corresponde únicamente a este Tribunal Constitucional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(entre otras, STC 95/2010, de 15 de noviembre, FJ 4)”.</w:t>
      </w:r>
    </w:p>
    <w:p w:rsidR="00AC56D6" w:rsidRDefault="00AC56D6" w:rsidP="00AC56D6">
      <w:pPr>
        <w:pStyle w:val="TextoNormal"/>
      </w:pPr>
    </w:p>
    <w:p w:rsidR="00AC56D6" w:rsidRDefault="00AC56D6" w:rsidP="00AC56D6">
      <w:pPr>
        <w:pStyle w:val="TextoNormal"/>
      </w:pPr>
      <w:r>
        <w:t>En el presente caso, este Tribunal considera que el presente recurso de amparo plantea una faceta nueva en materia de emplazamiento, puesto que sobre la norma procesal se produce una interferencia derivada de la existencia de una conducta de violencia de género, problema éste de innegable repercusión social, lo cual justifica la admisión del recurso al encajar en el apartado b) del fundamento jurídico 2 de la STC 155/2009, de 25 de junio, por lo que los óbices opuestos deben ser desestimados.</w:t>
      </w:r>
    </w:p>
    <w:p w:rsidR="00AC56D6" w:rsidRDefault="00AC56D6" w:rsidP="00AC56D6">
      <w:pPr>
        <w:pStyle w:val="TextoNormal"/>
      </w:pPr>
    </w:p>
    <w:p w:rsidR="00AC56D6" w:rsidRDefault="00AC56D6" w:rsidP="00AC56D6">
      <w:pPr>
        <w:pStyle w:val="TextoNormal"/>
      </w:pPr>
      <w:r w:rsidRPr="00AC56D6">
        <w:rPr>
          <w:rStyle w:val="NumeroAFNegritaCaracter"/>
        </w:rPr>
        <w:t>3</w:t>
      </w:r>
      <w:r>
        <w:t>. Este Tribunal ha declarado que 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y en este sentido es reiterada la doctrina constitucional sobre la importancia de los actos de comunicación para la efectividad del derecho a la tutela judicial efectiva sin indefensión (art. 24.1 CE).</w:t>
      </w:r>
    </w:p>
    <w:p w:rsidR="00AC56D6" w:rsidRDefault="00AC56D6" w:rsidP="00AC56D6">
      <w:pPr>
        <w:pStyle w:val="TextoNormal"/>
      </w:pPr>
    </w:p>
    <w:p w:rsidR="00AC56D6" w:rsidRDefault="00AC56D6" w:rsidP="00AC56D6">
      <w:pPr>
        <w:pStyle w:val="TextoNormal"/>
      </w:pPr>
      <w:r>
        <w:t xml:space="preserve">La doctrina constitucional se resume en la STC 122/2013, de 18 de junio, FJ 3, al afirmarse que “[e]l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Un instrumento capital de esa correcta constitución de la relación jurídico procesal, cuya quiebra puede constituir una lesión del derecho a la tutela judicial efectiva (art. 24.1 CE) es, indudablemente, el régimen procesal de emplazamientos, citaciones y notificaciones a las partes de los distintos actos procesales que tienen lugar en el seno de un procedimiento judicial, pues sólo así cabe garantizar los indisponibles principios de contradicción e igualdad de armas entre las partes del litigio. De tal manera que la falta o deficiente realización del emplazamiento a quien ha de ser o puede ser parte en el proceso coloca al interesado en una situación de indefensión, lo que vulnera el referido derecho fundamental (SSTC 219/1999, de 29 de noviembre, FJ 2, y 128/2000, de 16 de mayo, FJ 5). Ello implica que el órgano judicial tiene no sólo el deber de velar por la correcta ejecución de los actos de comunicación procesal, sino también el de asegurarse de que dichos actos sirven a su propósito de garantizar que la parte sea oída en </w:t>
      </w:r>
      <w:r>
        <w:lastRenderedPageBreak/>
        <w:t>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w:t>
      </w:r>
    </w:p>
    <w:p w:rsidR="00AC56D6" w:rsidRDefault="00AC56D6" w:rsidP="00AC56D6">
      <w:pPr>
        <w:pStyle w:val="TextoNormal"/>
      </w:pPr>
    </w:p>
    <w:p w:rsidR="00AC56D6" w:rsidRDefault="00AC56D6" w:rsidP="00AC56D6">
      <w:pPr>
        <w:pStyle w:val="TextoNormal"/>
      </w:pPr>
      <w:r>
        <w:t>En consonancia con ello, hemos afirmado en la STC 136/2014, de 8 de septiembre, FJ 2, que “cuatro son los presupuestos que venimos analizando para acreditar la vulneración de este derecho fundamental por falta de emplazamiento personal: 1) La titularidad por el demandante de amparo, al tiempo de la iniciación del proceso, de un derecho e interés legítimo y propio, susceptible de afectación por la causa enjuiciada, en las resoluciones judiciales recurridas. La situación de interés legítimo resulta identificable con cualquier ventaja o utilidad jurídica derivada de la reparación pretendida; 2) La posibilidad de identificación del interesado por el órgano jurisdiccional; 3) El cumplimiento por el órgano judicial de su obligación constitucional de velar para que los actos de comunicación procesal alcanzasen eficazmente su fin, lo que significa, entre otras cosas, concebir los emplazamientos edictales como modalidades de comunicación de carácter supletorio y excepcional (STC 126/1999, de 28 de junio) o no presumir sin más que las notificaciones realizadas a través de terceras personas hayan llegado a conocimiento de la parte interesada cuando la misma cuestiona con datos objetivos que así haya sido (STC 113/2001, de 7 de mayo); y 4) Por último, que el recurrente en amparo haya sufrido como consecuencia de la omisión del emplazamiento una situación de indefensión real y efectiva, lo que no se da cuando el interesado tiene conocimiento extraprocesal del asunto y, por su propia falta de diligencia, no se persona en la causa. El conocimiento extraprocesal del litigio ha de verificarse mediante una prueba suficiente, que no excluye las reglas del criterio humano que rigen la prueba de presunciones (por todas, SSTC, 102/2003, de 2 de junio, FJ 2; 102/2004, de 2 de junio, FJ 3; 207/2005, de 18 de junio, FJ 2; 246/2005, de 10 de octubre, FJ 3, y 124/2006, de 24 de abril, FJ 2)”.</w:t>
      </w:r>
    </w:p>
    <w:p w:rsidR="00AC56D6" w:rsidRDefault="00AC56D6" w:rsidP="00AC56D6">
      <w:pPr>
        <w:pStyle w:val="TextoNormal"/>
      </w:pPr>
    </w:p>
    <w:p w:rsidR="00AC56D6" w:rsidRDefault="00AC56D6" w:rsidP="00AC56D6">
      <w:pPr>
        <w:pStyle w:val="TextoNormal"/>
      </w:pPr>
      <w:r w:rsidRPr="00AC56D6">
        <w:rPr>
          <w:rStyle w:val="NumeroAFNegritaCaracter"/>
        </w:rPr>
        <w:t>4</w:t>
      </w:r>
      <w:r>
        <w:t>. La aplicación de la doctrina constitucional expuesta al caso enjuiciado ha de conducir a apreciar la existencia de la vulneración del derecho a la tutela judicial efectiva (art. 24.1 CE) denunciada.</w:t>
      </w:r>
    </w:p>
    <w:p w:rsidR="00AC56D6" w:rsidRDefault="00AC56D6" w:rsidP="00AC56D6">
      <w:pPr>
        <w:pStyle w:val="TextoNormal"/>
      </w:pPr>
    </w:p>
    <w:p w:rsidR="00AC56D6" w:rsidRDefault="00AC56D6" w:rsidP="00AC56D6">
      <w:pPr>
        <w:pStyle w:val="TextoNormal"/>
      </w:pPr>
      <w:r>
        <w:t>Tal como se ha expresado en los antecedentes, el Juzgado conocía por manifestaciones realizadas por el propio ex esposo de la Srª. Mateos Pérez, al ser emplazado, que la demandante había abandonado esa vivienda desde el mes de agosto de 2009, esto es antes de que se dedujera por el Banco Popular, el día 2 de octubre de 2009, la demanda de ejecución hipotecaria contra ambos esposos.</w:t>
      </w:r>
    </w:p>
    <w:p w:rsidR="00AC56D6" w:rsidRDefault="00AC56D6" w:rsidP="00AC56D6">
      <w:pPr>
        <w:pStyle w:val="TextoNormal"/>
      </w:pPr>
    </w:p>
    <w:p w:rsidR="00AC56D6" w:rsidRDefault="00AC56D6" w:rsidP="00AC56D6">
      <w:pPr>
        <w:pStyle w:val="TextoNormal"/>
      </w:pPr>
      <w:r>
        <w:t xml:space="preserve">Aunque en un principio el Juzgado recabó información, lo cierto es que, ante el resultado infructuoso de los oficios librados a la Tesorería General de la Seguridad Social y al Instituto Nacional de Estadística, el mismo órgano judicial estimó que no se habían agotado los medios de averiguación, por lo que requirió a la parte ejecutante a que instara lo que a su derecho correspondiera, por diligencia de ordenación de fecha 10 de marzo de 2010. En </w:t>
      </w:r>
      <w:r>
        <w:lastRenderedPageBreak/>
        <w:t>respuesta a este requerimiento, la parte ejecutante solicitó que se oficiara a la Policía Local para la localización del domicilio, petición que no fue resuelta por el Juzgado.</w:t>
      </w:r>
    </w:p>
    <w:p w:rsidR="00AC56D6" w:rsidRDefault="00AC56D6" w:rsidP="00AC56D6">
      <w:pPr>
        <w:pStyle w:val="TextoNormal"/>
      </w:pPr>
    </w:p>
    <w:p w:rsidR="00AC56D6" w:rsidRDefault="00AC56D6" w:rsidP="00AC56D6">
      <w:pPr>
        <w:pStyle w:val="TextoNormal"/>
      </w:pPr>
      <w:r>
        <w:t>Posteriormente y sin practicar ninguna otra averiguación, por diligencia de 8 de noviembre de 2010 se acordó la comunicación edictal y no se intentó ninguna otra comunicación personal a la ejecutada en el curso del procedimiento de ejecución.</w:t>
      </w:r>
    </w:p>
    <w:p w:rsidR="00AC56D6" w:rsidRDefault="00AC56D6" w:rsidP="00AC56D6">
      <w:pPr>
        <w:pStyle w:val="TextoNormal"/>
      </w:pPr>
    </w:p>
    <w:p w:rsidR="00AC56D6" w:rsidRDefault="00AC56D6" w:rsidP="00AC56D6">
      <w:pPr>
        <w:pStyle w:val="TextoNormal"/>
      </w:pPr>
      <w:r>
        <w:t>Finalmente, al plantearse el incidente de nulidad y por la documentación aportada por la recurrente, el Juzgado conoció la causa, y grave, por la que la Sra. Mateos Pérez abandonó ese domicilio, que no era otra sino una continuada situación de malos tratos por parte de su ex cónyuge Sr. Hurtado Zarzana lo que se evidenció en sentencias condenatorias y órdenes de alejamiento.</w:t>
      </w:r>
    </w:p>
    <w:p w:rsidR="00AC56D6" w:rsidRDefault="00AC56D6" w:rsidP="00AC56D6">
      <w:pPr>
        <w:pStyle w:val="TextoNormal"/>
      </w:pPr>
    </w:p>
    <w:p w:rsidR="00AC56D6" w:rsidRDefault="00AC56D6" w:rsidP="00AC56D6">
      <w:pPr>
        <w:pStyle w:val="TextoNormal"/>
      </w:pPr>
      <w:r>
        <w:t>Asimismo, la ejecutada acreditó que estaba residiendo en otro domicilio de la localidad de Jerez con sus dos hijos, estando empadronada desde enero de 2010, por lo que cabe pensar que se le hubiera podido localizar fácilmente de haberse empleado una mínima diligencia a la hora de realizar la averiguación del domicilio.</w:t>
      </w:r>
    </w:p>
    <w:p w:rsidR="00AC56D6" w:rsidRDefault="00AC56D6" w:rsidP="00AC56D6">
      <w:pPr>
        <w:pStyle w:val="TextoNormal"/>
      </w:pPr>
    </w:p>
    <w:p w:rsidR="00AC56D6" w:rsidRDefault="00AC56D6" w:rsidP="00AC56D6">
      <w:pPr>
        <w:pStyle w:val="TextoNormal"/>
      </w:pPr>
      <w:r>
        <w:t>Por tanto, la falta de comunicación del proceso a la ejecutada trae causa, en primer lugar, de una falta de diligencia del órgano judicial a la hora de realizar las averiguaciones sobre el domicilio de la demandante, puesto que no agotó los medios de localización, pese a que la parte ejecutante había solicitado expresamente que se oficiara a la Policía local, petición que quedó sin resolver.</w:t>
      </w:r>
    </w:p>
    <w:p w:rsidR="00AC56D6" w:rsidRDefault="00AC56D6" w:rsidP="00AC56D6">
      <w:pPr>
        <w:pStyle w:val="TextoNormal"/>
      </w:pPr>
    </w:p>
    <w:p w:rsidR="00AC56D6" w:rsidRDefault="00AC56D6" w:rsidP="00AC56D6">
      <w:pPr>
        <w:pStyle w:val="TextoNormal"/>
      </w:pPr>
      <w:r>
        <w:t>Lo antes expuesto determinaría la estimación del presente recurso de amparo sin más que aplicar nuestra doctrina repetidamente establecida en materia de notificaciones.</w:t>
      </w:r>
    </w:p>
    <w:p w:rsidR="00AC56D6" w:rsidRDefault="00AC56D6" w:rsidP="00AC56D6">
      <w:pPr>
        <w:pStyle w:val="TextoNormal"/>
      </w:pPr>
    </w:p>
    <w:p w:rsidR="00AC56D6" w:rsidRDefault="00AC56D6" w:rsidP="00AC56D6">
      <w:pPr>
        <w:pStyle w:val="TextoNormal"/>
      </w:pPr>
      <w:r>
        <w:t>Sin embargo, lo que justificó la admisión del presente recurso de amparo por su especial trascendencia constitucional era la conveniencia de adecuar nuestra doctrina a los casos en que el desconocimiento del domicilio de la ejecutada responde a la necesidad de eludir una situación de violencia de género.</w:t>
      </w:r>
    </w:p>
    <w:p w:rsidR="00AC56D6" w:rsidRDefault="00AC56D6" w:rsidP="00AC56D6">
      <w:pPr>
        <w:pStyle w:val="TextoNormal"/>
      </w:pPr>
    </w:p>
    <w:p w:rsidR="00AC56D6" w:rsidRDefault="00AC56D6" w:rsidP="00AC56D6">
      <w:pPr>
        <w:pStyle w:val="TextoNormal"/>
      </w:pPr>
      <w:r>
        <w:t>Y a este respecto hemos de declarar que, con independencia de que el Juez haya agotado todas las posibilidades de investigación del domicilio de la ejecutada, cuando ésta comparezca en el procedimiento e interponga incidente de nulidad de actuaciones en el que ponga de manifiesto que el desconocimiento de un domicilio, a efecto de llevar a cabo en él las correspondientes notificaciones, se debió a la situación de violencia de género que estaba padeciendo, dicha circunstancia debe ser objeto de una especial ponderación por el juez, valorando, en cada caso, la necesidad de salvaguardar el deber de confidencialidad debido a la situación de la víctima.</w:t>
      </w:r>
    </w:p>
    <w:p w:rsidR="00AC56D6" w:rsidRDefault="00AC56D6" w:rsidP="00AC56D6">
      <w:pPr>
        <w:pStyle w:val="TextoNormal"/>
      </w:pPr>
    </w:p>
    <w:p w:rsidR="00AC56D6" w:rsidRDefault="00AC56D6" w:rsidP="00AC56D6">
      <w:pPr>
        <w:pStyle w:val="TextoNormal"/>
      </w:pPr>
      <w:r>
        <w:t xml:space="preserve">La aplicación de tales criterios a la cuestión examinada permite concluir reconociendo que, en este caso, no se protegió eficazmente a la ejecutada, víctima de malos tratos, pues si bien cabe argüir que el Juzgado no conoció la situación de violencia en el momento del emplazamiento, lo cierto es que tal situación fue puesta de manifiesto en el incidente de nulidad de actuaciones sin que fuera debidamente ponderada por el órgano jurisdiccional, lo que resulta a todas luces incompatible con la doctrina de este Tribunal en cuanto a la subsidiariedad de la comunicación edictal en el contexto en que se produce el intento de </w:t>
      </w:r>
      <w:r>
        <w:lastRenderedPageBreak/>
        <w:t>emplazamiento, por lo que se estima la procedencia del reconocimiento de la vulneración del art. 24.1 CE.</w:t>
      </w:r>
    </w:p>
    <w:p w:rsidR="00AC56D6" w:rsidRDefault="00AC56D6" w:rsidP="00AC56D6">
      <w:pPr>
        <w:pStyle w:val="TextoNormal"/>
      </w:pPr>
    </w:p>
    <w:p w:rsidR="00AC56D6" w:rsidRDefault="00AC56D6" w:rsidP="00AC56D6">
      <w:pPr>
        <w:pStyle w:val="TextoNormal"/>
      </w:pPr>
      <w:r w:rsidRPr="00AC56D6">
        <w:rPr>
          <w:rStyle w:val="NumeroAFNegritaCaracter"/>
        </w:rPr>
        <w:t>5</w:t>
      </w:r>
      <w:r>
        <w:t>. Las consideraciones precedentes permiten concluir que se ha producido la vulneración del derecho a la tutela judicial efectiva sin indefensión (art. 24.1 CE) que se denuncia en la demanda, por lo que, de conformidad con lo dispuesto en el art. 55.1 LOTC, procede otorgar el amparo que se solicita, declarando la nulidad del Auto impugnado y retrotrayendo las actuaciones al momento anterior al requerimiento de pago a la recurrente, para que se le comunique en legal forma el despacho de ejecución.</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Estimar el recurso de amparo interpuesto por doña María del Carmen Mateos Pérez, y, en su virtud:</w:t>
      </w:r>
    </w:p>
    <w:p w:rsidR="00AC56D6" w:rsidRDefault="00AC56D6" w:rsidP="00AC56D6">
      <w:pPr>
        <w:pStyle w:val="TextoNormal"/>
      </w:pPr>
    </w:p>
    <w:p w:rsidR="00AC56D6" w:rsidRDefault="00AC56D6" w:rsidP="00AC56D6">
      <w:pPr>
        <w:pStyle w:val="TextoNormal"/>
      </w:pPr>
      <w:r>
        <w:t>1º Declarar que ha sido vulnerado el derecho fundamental de la demandante de amparo a la tutela judicial efectiva sin indefensión (art. 24.1 CE).</w:t>
      </w:r>
    </w:p>
    <w:p w:rsidR="00AC56D6" w:rsidRDefault="00AC56D6" w:rsidP="00AC56D6">
      <w:pPr>
        <w:pStyle w:val="TextoNormal"/>
      </w:pPr>
    </w:p>
    <w:p w:rsidR="00AC56D6" w:rsidRDefault="00AC56D6" w:rsidP="00AC56D6">
      <w:pPr>
        <w:pStyle w:val="TextoNormal"/>
      </w:pPr>
      <w:r>
        <w:t>2º Restablecerle en su derecho y, en consecuencia, declarar la nulidad parcial del Auto de 20 de septiembre de 2013 dictado por el Juzgado de Primera Instancia e Instrucción núm. 5 de Jerez de la Frontera, en el pronunciamiento desestimatorio de la solicitud de nulidad de las actuaciones practicadas a partir del requerimiento de pago acordado por Auto de fecha 7 de octubre de 2009 en el procedimiento de ejecución hipotecaria núm. 2135-2009.</w:t>
      </w:r>
    </w:p>
    <w:p w:rsidR="00AC56D6" w:rsidRDefault="00AC56D6" w:rsidP="00AC56D6">
      <w:pPr>
        <w:pStyle w:val="TextoNormal"/>
      </w:pPr>
    </w:p>
    <w:p w:rsidR="00AC56D6" w:rsidRDefault="00AC56D6" w:rsidP="00AC56D6">
      <w:pPr>
        <w:pStyle w:val="TextoNormal"/>
      </w:pPr>
      <w:r>
        <w:t>3º Retrotraer las actuaciones al momento inmediatamente anterior al requerimiento de pago a la demandada para que se le comunique el despacho de ejecución en legal forma.</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veinte de julio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24" w:name="SENTENCIA_2015_168"/>
      <w:r>
        <w:lastRenderedPageBreak/>
        <w:t>SENTENCIA 168/2015, de 20 de julio de 2015</w:t>
      </w:r>
    </w:p>
    <w:bookmarkEnd w:id="24"/>
    <w:p w:rsidR="00AC56D6" w:rsidRDefault="00AC56D6" w:rsidP="00AC56D6">
      <w:pPr>
        <w:pStyle w:val="TtuloResolucin"/>
      </w:pPr>
      <w:r>
        <w:t>Sala Primera</w:t>
      </w:r>
    </w:p>
    <w:p w:rsidR="00AC56D6" w:rsidRDefault="00AC56D6" w:rsidP="00AC56D6">
      <w:pPr>
        <w:pStyle w:val="TtuloBOE"/>
      </w:pPr>
      <w:r>
        <w:t>(BOE núm. 200, de 21 de agosto de 2015)</w:t>
      </w:r>
    </w:p>
    <w:p w:rsidR="00AC56D6" w:rsidRDefault="00AC56D6" w:rsidP="00AC56D6">
      <w:pPr>
        <w:pStyle w:val="TextoNormalCentrado"/>
      </w:pPr>
      <w:r>
        <w:t>ECLI:ES:TC:2015:168</w:t>
      </w:r>
    </w:p>
    <w:p w:rsidR="00AC56D6" w:rsidRDefault="00AC56D6" w:rsidP="00AC56D6">
      <w:pPr>
        <w:pStyle w:val="TextoNormalCentrado"/>
      </w:pPr>
    </w:p>
    <w:p w:rsidR="00AC56D6" w:rsidRDefault="00AC56D6" w:rsidP="00AC56D6">
      <w:pPr>
        <w:pStyle w:val="SntesisDescriptiva"/>
      </w:pPr>
      <w:r>
        <w:t>Cuestión de inconstitucionalidad 7166-2013. Planteada por el Juzgado de lo Social número 5 de Santa Cruz de Tenerife en relación con el artículo 2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extinción, por pérdida de objeto, de la cuestión de inconstitucionalidad (STC 83/2015).</w:t>
      </w:r>
    </w:p>
    <w:p w:rsidR="00AC56D6" w:rsidRDefault="00AC56D6" w:rsidP="00AC56D6">
      <w:pPr>
        <w:pStyle w:val="SntesisAnaltica"/>
      </w:pPr>
    </w:p>
    <w:p w:rsidR="00AC56D6" w:rsidRDefault="00AC56D6" w:rsidP="00AC56D6">
      <w:pPr>
        <w:pStyle w:val="Extracto"/>
      </w:pPr>
      <w:r>
        <w:t>1.</w:t>
      </w:r>
      <w:r>
        <w:tab/>
        <w:t>La satisfacción extraprocesal de la pretensión deducida en el proceso laboral sobre la que se articula la cuestión de inconstitucionalidad le hace perder su objeto al ser dicha satisfacción uno de los posibles supuestos de extinción de la cuestión de inconstitucionalidad (STC 83/2015) [FJ 3].</w:t>
      </w:r>
    </w:p>
    <w:p w:rsidR="00AC56D6" w:rsidRDefault="00AC56D6" w:rsidP="00AC56D6">
      <w:pPr>
        <w:pStyle w:val="Extracto"/>
      </w:pPr>
    </w:p>
    <w:p w:rsidR="00AC56D6" w:rsidRDefault="00AC56D6" w:rsidP="00AC56D6">
      <w:pPr>
        <w:pStyle w:val="Extracto"/>
      </w:pPr>
      <w:r>
        <w:t>2.</w:t>
      </w:r>
      <w:r>
        <w:tab/>
        <w:t>Doctrina sobre las posibles causas de terminación extraordinaria de las cuestiones de inconstitucionalidad por pérdida sobrevenida de objeto (STC 83/2015) [FJ 3].</w:t>
      </w:r>
    </w:p>
    <w:p w:rsidR="00AC56D6" w:rsidRDefault="00AC56D6" w:rsidP="00AC56D6">
      <w:pPr>
        <w:pStyle w:val="Extracto"/>
      </w:pPr>
    </w:p>
    <w:p w:rsidR="00AC56D6" w:rsidRDefault="00AC56D6" w:rsidP="00AC56D6">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7166-2013 promovida por el Juzgado de lo Social núm. 5 de de Santa Cruz de Tenerife, en relación con el art. 2 del Real Decreto-ley 20/2012, de 13 de julio, de medidas para garantizar la estabilidad presupuestaria y de fomento de la competitividad. Ha comparecido y formulado alegaciones el Abogado del Estado. Ha intervenido el Fiscal General del Estado. Ha sido Ponente el Magistrado don Andrés Ollero Tassara, quien expresa el parecer del Tribunal.</w:t>
      </w:r>
    </w:p>
    <w:p w:rsidR="00AC56D6" w:rsidRDefault="00AC56D6" w:rsidP="00AC56D6">
      <w:pPr>
        <w:pStyle w:val="TextoNormal"/>
      </w:pPr>
    </w:p>
    <w:p w:rsidR="00AC56D6" w:rsidRDefault="00AC56D6" w:rsidP="00AC56D6">
      <w:pPr>
        <w:pStyle w:val="TextoNormalNegritaCentrado"/>
        <w:keepNext/>
      </w:pPr>
      <w:r>
        <w:lastRenderedPageBreak/>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El 10 de diciembre de 2013 se registró en este Tribunal oficio del Juzgado de lo Social núm. 5 de Santa Cruz de Tenerife al que se acompañaba, junto al testimonio del correspondiente procedimiento, el Auto de ese mismo órgano judicial de 2 de diciembre de 2013; en él se acordaba plantear cuestión de inconstitucionalidad en relación con el art. 2 del Real Decreto-ley 20/2012, de 13 de julio, de medidas para garantizar la estabilidad presupuestaria y de fomento de la competitividad (convalidado por el Congreso de los Diputados </w:t>
      </w:r>
      <w:r w:rsidRPr="00AC56D6">
        <w:rPr>
          <w:i/>
        </w:rPr>
        <w:t>ex</w:t>
      </w:r>
      <w:r>
        <w:t xml:space="preserve"> art. 86.2 CE en su sesión de 19 de julio de 2012), por posible vulneración de los arts. 9.3 y 33.3 CE.</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son los siguientes:</w:t>
      </w:r>
    </w:p>
    <w:p w:rsidR="00AC56D6" w:rsidRDefault="00AC56D6" w:rsidP="00AC56D6">
      <w:pPr>
        <w:pStyle w:val="TextoNormal"/>
      </w:pPr>
    </w:p>
    <w:p w:rsidR="00AC56D6" w:rsidRDefault="00AC56D6" w:rsidP="00AC56D6">
      <w:pPr>
        <w:pStyle w:val="TextoNormal"/>
      </w:pPr>
      <w:r>
        <w:t>a) Ante el Juzgado de lo Social núm. 5 de Santa Cruz de Tenerife se siguió el procedimiento ordinario núm. 694-2013 como consecuencia de las demandas de reclamación de cantidad formuladas por cinco trabajadores del Ayuntamiento de Arico contra dicha corporación local. Los demandantes pretendían que se reconociese el derecho a percibir en su integridad la paga extra del mes de diciembre de 2012, dejada de abonar como consecuencia de la aplicación de lo dispuesto en el art. 2 del Real Decreto-ley 20/2012; subsidiariamente solicitaban que se les abonase la parte proporcional de dicha paga extra correspondiente al periodo devengado a la fecha de la entrada en vigor del Real Decreto-ley 20/2012 (15 de julio de 2012), porque de acuerdo con el art. 9.3 CE no cabe que la supresión de la paga extra de diciembre de 2012 se aplique con eficacia retroactiva.</w:t>
      </w:r>
    </w:p>
    <w:p w:rsidR="00AC56D6" w:rsidRDefault="00AC56D6" w:rsidP="00AC56D6">
      <w:pPr>
        <w:pStyle w:val="TextoNormal"/>
      </w:pPr>
    </w:p>
    <w:p w:rsidR="00AC56D6" w:rsidRDefault="00AC56D6" w:rsidP="00AC56D6">
      <w:pPr>
        <w:pStyle w:val="TextoNormal"/>
      </w:pPr>
      <w:r>
        <w:t>b) Concluso el procedimiento y dentro del plazo para dictar sentencia, por providencia de 14 de octubre de 2013 el Juzgado acordó oír a las partes y al Ministerio Fiscal para que alegasen sobre la pertinencia de plantear cuestión de inconstitucionalidad en relación con el art. 2 del Real Decreto-ley 20/2012, por posible vulneración del principio de irretroactividad de las disposiciones restrictivas de derechos individuales (art. 9.3 CE) y de la interdicción de la expropiación de derechos patrimoniales sin la preceptiva indemnización (art. 33.3 CE).</w:t>
      </w:r>
    </w:p>
    <w:p w:rsidR="00AC56D6" w:rsidRDefault="00AC56D6" w:rsidP="00AC56D6">
      <w:pPr>
        <w:pStyle w:val="TextoNormal"/>
      </w:pPr>
    </w:p>
    <w:p w:rsidR="00AC56D6" w:rsidRDefault="00AC56D6" w:rsidP="00AC56D6">
      <w:pPr>
        <w:pStyle w:val="TextoNormal"/>
      </w:pPr>
      <w:r>
        <w:t>c) El Ministerio Fiscal presentó escrito de alegaciones afirmando que nada tenía que oponer desde el punto de vista procesal al planteamiento de la cuestión de inconstitucionalidad, por cumplirse los requisitos establecidos por el art. 35.2 LOTC. Las representaciones procesales de los trabajadores demandantes y del Ayuntamiento de Arico no formularon alegaciones.</w:t>
      </w:r>
    </w:p>
    <w:p w:rsidR="00AC56D6" w:rsidRDefault="00AC56D6" w:rsidP="00AC56D6">
      <w:pPr>
        <w:pStyle w:val="TextoNormal"/>
      </w:pPr>
    </w:p>
    <w:p w:rsidR="00AC56D6" w:rsidRDefault="00AC56D6" w:rsidP="00AC56D6">
      <w:pPr>
        <w:pStyle w:val="TextoNormal"/>
      </w:pPr>
      <w:r>
        <w:t>d) Por Auto de 2 de diciembre de 2013, el Juzgado de lo Social núm. 5 de Santa Cruz de Tenerife acordó plantear cuestión de inconstitucionalidad en relación con el art. 2 del Real Decreto-ley 20/2012.</w:t>
      </w:r>
    </w:p>
    <w:p w:rsidR="00AC56D6" w:rsidRDefault="00AC56D6" w:rsidP="00AC56D6">
      <w:pPr>
        <w:pStyle w:val="TextoNormal"/>
      </w:pPr>
    </w:p>
    <w:p w:rsidR="00AC56D6" w:rsidRDefault="00AC56D6" w:rsidP="00AC56D6">
      <w:pPr>
        <w:pStyle w:val="TextoNormal"/>
      </w:pPr>
      <w:r w:rsidRPr="00AC56D6">
        <w:rPr>
          <w:rStyle w:val="NumeroAFNegritaCaracter"/>
        </w:rPr>
        <w:t>3</w:t>
      </w:r>
      <w:r>
        <w:t>. En el Auto de 2 de diciembre de 2013 el Juzgado de lo Social núm. 5 de Santa Cruz de Tenerife considera que el art. 2 del Real Decreto-ley 20/2012 podría vulnerar el principio de irretroactividad de las disposiciones sancionadoras no favorables o restrictivas de dere</w:t>
      </w:r>
      <w:r>
        <w:lastRenderedPageBreak/>
        <w:t>chos individuales, que garantiza el art. 9.3 CE; en relación con la exigencia de indemnización en la expropiación de derechos patrimoniales (art. 33.3 CE), con fundamento en los razonamientos que a continuación se resumen.</w:t>
      </w:r>
    </w:p>
    <w:p w:rsidR="00AC56D6" w:rsidRDefault="00AC56D6" w:rsidP="00AC56D6">
      <w:pPr>
        <w:pStyle w:val="TextoNormal"/>
      </w:pPr>
    </w:p>
    <w:p w:rsidR="00AC56D6" w:rsidRDefault="00AC56D6" w:rsidP="00AC56D6">
      <w:pPr>
        <w:pStyle w:val="TextoNormal"/>
      </w:pPr>
      <w:r>
        <w:t>Tras una síntesis de los antecedentes de hecho, se señala que está claro que el art. 2 del Real Decreto-ley 20/2012 suprime la percepción de la paga extraordinaria del mes de diciembre del año 2012 para el personal laboral del sector público, incluido el que presta servicios en las corporaciones locales; lo hace a partir de su entrada en vigor (15 de julio de 2012), sin precisar excepciones por derechos ya devengados.</w:t>
      </w:r>
    </w:p>
    <w:p w:rsidR="00AC56D6" w:rsidRDefault="00AC56D6" w:rsidP="00AC56D6">
      <w:pPr>
        <w:pStyle w:val="TextoNormal"/>
      </w:pPr>
    </w:p>
    <w:p w:rsidR="00AC56D6" w:rsidRDefault="00AC56D6" w:rsidP="00AC56D6">
      <w:pPr>
        <w:pStyle w:val="TextoNormal"/>
      </w:pPr>
      <w:r>
        <w:t>Desde esa perspectiva, entiende el Juzgado que no es posible interpretar el art. 2 del Real Decreto-ley 20/2012 considerando que cabe abonar aquella parte proporcional de la paga extraordinaria de diciembre que ya se hubiera devengado a la fecha de la entrada en vigor del Real Decreto-ley 20/2012; la aplicación del citado precepto impide su abono, al suprimir la paga en su integridad. Atendiendo a la jurisprudencia de la Sala de lo Social del Tribunal Supremo que se cita, según la cual las pagas extraordinarias son salario diferido y se devengan día a día, entiende el Juzgado que el art. 2 del Real Decreto-ley 20/2012 podría considerarse contrario al art. 9.3 CE, que garantiza la irretroactividad de las disposiciones restrictivas de derechos individuales; igualmente contrario al art. 33.3 CE, puesto que se estaría suprimiendo el derecho ya generado a percibir la parte proporcional de la paga extra del mes de diciembre de 2012 devengada antes de la entrada en vigor del Real Decreto-ley 20/2012. La supresión de la paga extraordinaria de diciembre de 2012 afectaría retroactivamente a derechos ya devengados y que forman parte del patrimonio de los trabajadores afectados, derechos económicos que son suprimidos sin compensación alguna.</w:t>
      </w:r>
    </w:p>
    <w:p w:rsidR="00AC56D6" w:rsidRDefault="00AC56D6" w:rsidP="00AC56D6">
      <w:pPr>
        <w:pStyle w:val="TextoNormal"/>
      </w:pPr>
    </w:p>
    <w:p w:rsidR="00AC56D6" w:rsidRDefault="00AC56D6" w:rsidP="00AC56D6">
      <w:pPr>
        <w:pStyle w:val="TextoNormal"/>
      </w:pPr>
      <w:r>
        <w:t>No obstante lo anterior, el Juzgado considera que cabría plantear una interpretación del art. 2 del Real Decreto-ley 20/2012 “que posiblemente salvaría las anteriores dudas de constitucionalidad”. De acuerdo con esa interpretación, el precepto no estaría suprimiendo la paga extra del mes de diciembre de 2012 (incluida la parte proporcional ya devengada), sino estableciendo una reducción de las retribuciones anuales del personal del sector público para 2012, en importe igual al de una paga extraordinaria, pendientes de devengo con posterioridad a la entrada en vigor del Real Decreto-ley 20/2012. De suerte que el no abono de la paga extra del mes de diciembre de 2012 sería, simplemente, una forma de ejecutar esa reducción (alternativa a la reducción prorrateada de la misma cuantía en las nóminas de julio a diciembre de 2012). Interpretando de esta forma la reducción de las retribuciones de 2012, no estaría afectando a la parte proporcional ya devengada de la paga extra del mes de diciembre de 2012, sino a todas las mensualidades ordinarias y extraordinarias pendientes de devengo a partir de 14 de julio de 2012; es decir, a derechos económicos aún no devengados por corresponder a mensualidades en las que aún no se ha prestado el servicio y que en consecuencia no se encontraban incorporados al patrimonio de los trabajadores cuando entró en vigor la norma cuya constitucionalidad se pone en duda. Pese a ello, el Juzgado concluye que estima procedente el planteamiento de la cuestión de inconstitucionalidad respecto del art. 2 del Real Decreto-ley 20/2012, atendiendo a que la anterior interpretación no es inequívoca.</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Por providencia de 28 de enero de 2014, el Pleno de este Tribunal acordó admitir a trámite la cuestión de inconstitucionalidad, deferir a la Sala Primera el conocimiento de la misma conforme al art. 10.1 c) de la Ley Orgánica del Tribunal Constitucional (LOTC) y </w:t>
      </w:r>
      <w:r>
        <w:lastRenderedPageBreak/>
        <w:t>dar traslado de la demanda y documentos presentados al Congreso de los Diputados y al Senado, por conducto de sus Presidentes, al Gobierno, a través del Ministro de Justicia, y al Fiscal General del Estado, para que en el improrrogable plazo de quince días pudieran personarse en el procedimiento y formular las alegaciones que estimasen convenientes (art. 37.3 LOTC). Asimismo se ordenó, de un lado, comunicar esa resolución al Juzgado de lo Social núm. 5 de Santa Cruz de Tenerife a fin de que, de conformidad con el art. 35.3 LOTC, permaneciese suspendido el proceso hasta que este Tribunal resolviese definitivamente la presente cuestión; también publicar la incoación de la cuestión en el “Boletín Oficial del Estado”, lo que se llevó a efecto en el núm. 30, de 4 de febrero de 2014. Por diligencia de ordenación de la Secretaría de Justicia del Pleno de 28 de enero de 2014 se concedió un plazo de quince días a partir de la publicación del referido edicto para que, de conformidad con lo establecido en el art. 37.2 LOTC, quienes fuesen parte en el procedimiento ordinario núm. 694-2013 seguido ante el Juzgado de lo Social núm. 5 de Santa Cruz de Tenerife pudieran personarse ante este Tribunal.</w:t>
      </w:r>
    </w:p>
    <w:p w:rsidR="00AC56D6" w:rsidRDefault="00AC56D6" w:rsidP="00AC56D6">
      <w:pPr>
        <w:pStyle w:val="TextoNormal"/>
      </w:pPr>
    </w:p>
    <w:p w:rsidR="00AC56D6" w:rsidRDefault="00AC56D6" w:rsidP="00AC56D6">
      <w:pPr>
        <w:pStyle w:val="TextoNormal"/>
      </w:pPr>
      <w:r w:rsidRPr="00AC56D6">
        <w:rPr>
          <w:rStyle w:val="NumeroAFNegritaCaracter"/>
        </w:rPr>
        <w:t>5</w:t>
      </w:r>
      <w:r>
        <w:t>. Mediante escrito que tuvo entrada en el Registro General de este Tribunal el 6 de febrero de 2014, la Presidenta en funciones del Congreso de los Diputados comunicó el acuerdo de la Mesa de la Cámara de personarse en el presente proceso constitucional, ofreciendo su colaboración a los efectos del art. 88.1 LOTC. La misma comunicación efectuó el Presidente del Senado, mediante escrito registrado en este Tribunal el 12 de febrero de 2014.</w:t>
      </w:r>
    </w:p>
    <w:p w:rsidR="00AC56D6" w:rsidRDefault="00AC56D6" w:rsidP="00AC56D6">
      <w:pPr>
        <w:pStyle w:val="TextoNormal"/>
      </w:pPr>
    </w:p>
    <w:p w:rsidR="00AC56D6" w:rsidRDefault="00AC56D6" w:rsidP="00AC56D6">
      <w:pPr>
        <w:pStyle w:val="TextoNormal"/>
      </w:pPr>
      <w:r w:rsidRPr="00AC56D6">
        <w:rPr>
          <w:rStyle w:val="NumeroAFNegritaCaracter"/>
        </w:rPr>
        <w:t>6</w:t>
      </w:r>
      <w:r>
        <w:t>. Por escrito registrado en este Tribunal el 20 de febrero de 2014, el Abogado del Estado se personó en el presente proceso constitucional y formuló las alegaciones que a continuación se resumen.</w:t>
      </w:r>
    </w:p>
    <w:p w:rsidR="00AC56D6" w:rsidRDefault="00AC56D6" w:rsidP="00AC56D6">
      <w:pPr>
        <w:pStyle w:val="TextoNormal"/>
      </w:pPr>
    </w:p>
    <w:p w:rsidR="00AC56D6" w:rsidRDefault="00AC56D6" w:rsidP="00AC56D6">
      <w:pPr>
        <w:pStyle w:val="TextoNormal"/>
      </w:pPr>
      <w:r>
        <w:t>Comienza señalando que aunque el Auto de planteamiento cuestiona la totalidad del extenso art. 2 del Real Decreto-ley 20/2012, en realidad la cuestión se refiere solo al apartado 2.2 del art. 2; es decir, a la supresión de la paga extraordinaria de diciembre de 2012 al personal laboral del sector público. Además, el Juzgado de lo Social no cuestiona genéricamente la referida supresión, sino que tan solo le reprocha al legislador de urgencia que no haya incluido una disposición transitoria por la cual se hubiera exceptuado de la mencionada supresión la parte proporcional de la paga extraordinaria que se entiende devengada desde el 1 de julio al 15 del mismo mes,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respeto a su libertad de configuración, el establecimiento de una expresa excepción a la supresión de la paga extraordinaria de Navidad (la correspondiente a la parte proporcional de los días 1 al 14 de julio de 2012). Por otra parte señala que si bien el Auto de planteamiento considera la posible infracción no sólo del art. 9.3 CE (irretroactividad de las disposiciones sancionadoras no favorables o restrictivas de derechos individuales), sino también del art. 33.3 CE (exigencia de compensación en la expropiación de derechos patrimoniales), desde la perspectiva de este último precepto constitucional el Juzgado de lo Social no plantea ninguna cuestión nueva que no se deba decidir desde la perspectiva del art. 9.3 CE.</w:t>
      </w:r>
    </w:p>
    <w:p w:rsidR="00AC56D6" w:rsidRDefault="00AC56D6" w:rsidP="00AC56D6">
      <w:pPr>
        <w:pStyle w:val="TextoNormal"/>
      </w:pPr>
    </w:p>
    <w:p w:rsidR="00AC56D6" w:rsidRDefault="00AC56D6" w:rsidP="00AC56D6">
      <w:pPr>
        <w:pStyle w:val="TextoNormal"/>
      </w:pPr>
      <w:r>
        <w:lastRenderedPageBreak/>
        <w:t>Precisado lo anterior, pasa el Abogado del Estado a contestar los puntos argumentales del Auto de planteamiento. Comienza negando que nos encontremos ante “disposiciones sancionadoras no favorables o restrictivas de derechos individuales” en el sentido del art. 9.3 CE. Indica, en tal sentido, que una norma que aspira a la contención del gasto de personal (como principal componente del gasto público) no es ni sancionadora, ni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AC56D6" w:rsidRDefault="00AC56D6" w:rsidP="00AC56D6">
      <w:pPr>
        <w:pStyle w:val="TextoNormal"/>
      </w:pPr>
    </w:p>
    <w:p w:rsidR="00AC56D6" w:rsidRDefault="00AC56D6" w:rsidP="00AC56D6">
      <w:pPr>
        <w:pStyle w:val="TextoNormal"/>
      </w:pPr>
      <w:r>
        <w:t>Subsidiariamente, para el caso de que este Tribunal apreciase que sí nos encontramos ante una “disposición restrictiva de derechos individuales”, el Abogado del Estado niega que el art. 2 del Real Decreto-ley 20/2012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lo está, por el contrario, la retroactividad “impropia o de grado medio” (que incide en situaciones jurídicas actuales aún no concluidas), que sí podría tener relevancia constitucional desde la perspectiva de la protección de la seguridad jurídica.</w:t>
      </w:r>
    </w:p>
    <w:p w:rsidR="00AC56D6" w:rsidRDefault="00AC56D6" w:rsidP="00AC56D6">
      <w:pPr>
        <w:pStyle w:val="TextoNormal"/>
      </w:pPr>
    </w:p>
    <w:p w:rsidR="00AC56D6" w:rsidRDefault="00AC56D6" w:rsidP="00AC56D6">
      <w:pPr>
        <w:pStyle w:val="TextoNormal"/>
      </w:pPr>
      <w:r>
        <w:t>Según el Abogado del Estado, la cuestión radica en determinar si el derecho a la paga extraordinaria de diciembre de 2012, en cantidad proporcional a los días 1 al 14 de julio, estaba ya consolidado, asumido e integrado en el patrimonio de los trabajadores cuando entró en vigor el Real Decreto-ley 20/2012; o si se trataba, por el contrario, de una expectativa de derecho o de un derecho futuro o condicionado. Entiende que la regulación legal de las pagas extraordinarias no ofrece respuesta a esa pregunta, siendo el Tribunal Supremo el que ha hecho referencia a su devengo diario y cobro aplazado en su jurisprudencia. No obstante, a juicio del Abogado del Estado, resulta evidente que una determinada interpretación jurisprudencial de un precepto legal no puede erigirse en parámetro de constitucionalidad de otra norma de rango legal.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Esta concepción es, por otro lado, perfectamente conforme con los arts. 26 y 31 de la Ley del estatuto de los trabajadores, así como con la doctrina de este Tribunal Constitucional en relación con los tributos de hecho imponible duradero. Respecto a ellos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00AC56D6" w:rsidRDefault="00AC56D6" w:rsidP="00AC56D6">
      <w:pPr>
        <w:pStyle w:val="TextoNormal"/>
      </w:pPr>
    </w:p>
    <w:p w:rsidR="00AC56D6" w:rsidRDefault="00AC56D6" w:rsidP="00AC56D6">
      <w:pPr>
        <w:pStyle w:val="TextoNormal"/>
      </w:pPr>
      <w:r>
        <w:t>Seguidamente sostiene el Abogado del Estado que aún en el caso de que se considerase que el art. 2 del Real Decreto-ley 20/2012 establece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conformes a la Constitución modificaciones con cualquier grado de retroactividad cuando existieran claras exigencias de “interés general”. Aplicando tal doctrina al presente caso, considera que la medida cuestionada encontraría su justificación en un interés público relevante, como lo es la necesidad de realizar fuertes ajustes presupuestarios en el marco de una crisis económica sin precedentes, siendo la reducción de las retribuciones prevista en las normas cuestionadas una medida extraordinaria de “contención de gastos de personal” que tiene por finalidad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t>En tal sentido,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afirma que en la senda de consolidación fiscal pactada con los órganos de la Unión Europea, España se ha visto obligada a una fuerte reducción del déficit del 8,9 por 100 en 2011 al 6,3 por 100 del PIB en 2012, un 4,5 por 100 en 2013 y un 2,8 por 100 en 2014, lo que ha exigido adoptar importantes medidas de reducción del gasto público. Recuerda, asimismo, que la estabilidad presupuestaria es un principio constitucional que vincula a todos los poderes públicos; insiste en que el análisis de la norma cuestionada ha de partir del contexto recesivo descrito. Así las cosas, afirma el Abogado del Estado que no existe razón para negar la concurrencia de un “interés general”, dada la situación descrita de grave crisis económica, que justificaría en todo caso la aplicación retroactiva de la medida contemplada en el cuestionado art. 2 del Real Decreto-ley 20/2012.</w:t>
      </w:r>
    </w:p>
    <w:p w:rsidR="00AC56D6" w:rsidRDefault="00AC56D6" w:rsidP="00AC56D6">
      <w:pPr>
        <w:pStyle w:val="TextoNormal"/>
      </w:pPr>
    </w:p>
    <w:p w:rsidR="00AC56D6" w:rsidRDefault="00AC56D6" w:rsidP="00AC56D6">
      <w:pPr>
        <w:pStyle w:val="TextoNormal"/>
      </w:pPr>
      <w:r>
        <w:t>Alega finalmente el Abogado del Estado que el art. 2 del Real Decreto-ley 20/2012 tampoco vulnera la garantía expropiatoria del art. 33.3 CE. Tras recordar la doctrina constitucional al respecto, sintetizada en la STC 227/1988, de 29 de noviembre, FJ 11, concluye que la aplicación de esta doctrina caso excluye la pretendida vulneración del art. 33.3 CE; no existe privación singular de un derecho adquirido, sino de una regulación establecida con carácter general para todos los empleados del sector público que precisa la configuración legal de las pagas extraordinarias como de devengo puntual en el momento de su percepción. En el improbable caso de que se entendiera que sí existe una privación de derechos, el Auto de planteamiento olvida que el propio art. 2 del Real Decreto-ley 20/2012 establece en su apartado 4 una compensación por la supresión de la paga extra suprimida.</w:t>
      </w:r>
    </w:p>
    <w:p w:rsidR="00AC56D6" w:rsidRDefault="00AC56D6" w:rsidP="00AC56D6">
      <w:pPr>
        <w:pStyle w:val="TextoNormal"/>
      </w:pPr>
    </w:p>
    <w:p w:rsidR="00AC56D6" w:rsidRDefault="00AC56D6" w:rsidP="00AC56D6">
      <w:pPr>
        <w:pStyle w:val="TextoNormal"/>
      </w:pPr>
      <w:r>
        <w:t>Por todo ello el Abogado del Estado interesa la desestimación de la cuestión.</w:t>
      </w:r>
    </w:p>
    <w:p w:rsidR="00AC56D6" w:rsidRDefault="00AC56D6" w:rsidP="00AC56D6">
      <w:pPr>
        <w:pStyle w:val="TextoNormal"/>
      </w:pPr>
    </w:p>
    <w:p w:rsidR="00AC56D6" w:rsidRDefault="00AC56D6" w:rsidP="00AC56D6">
      <w:pPr>
        <w:pStyle w:val="TextoNormal"/>
      </w:pPr>
      <w:r w:rsidRPr="00AC56D6">
        <w:rPr>
          <w:rStyle w:val="NumeroAFNegritaCaracter"/>
        </w:rPr>
        <w:t>7</w:t>
      </w:r>
      <w:r>
        <w:t xml:space="preserve">. Por escrito registrado en este Tribunal el 28 de febrero de 2014, el Fiscal General del Estado evacuó el trámite de alegaciones, solicitando la declaración de inconstitucionalidad </w:t>
      </w:r>
      <w:r>
        <w:lastRenderedPageBreak/>
        <w:t>del apartado 2.2 del art. 2 del Real Decreto-ley 20/2012, por considerarlo contrario al principio de irretroactividad de las disposiciones restrictivas de derechos individuales (art. 9.3 CE).</w:t>
      </w:r>
    </w:p>
    <w:p w:rsidR="00AC56D6" w:rsidRDefault="00AC56D6" w:rsidP="00AC56D6">
      <w:pPr>
        <w:pStyle w:val="TextoNormal"/>
      </w:pPr>
    </w:p>
    <w:p w:rsidR="00AC56D6" w:rsidRDefault="00AC56D6" w:rsidP="00AC56D6">
      <w:pPr>
        <w:pStyle w:val="TextoNormal"/>
      </w:pPr>
      <w:r>
        <w:t>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si bien no llegan a comprometerse en este caso derechos fundamentales o libertades públicas, sí se ven concernidos derechos individuales que son expresión directa de la esfera general de protección de la persona. Además, afirma que la idea de sanción resultará robustecida en este caso, dado que se pretende extraer del patrimonio de los ciudadanos, sin indemnización, un bien o un derecho del que ya dispone.</w:t>
      </w:r>
    </w:p>
    <w:p w:rsidR="00AC56D6" w:rsidRDefault="00AC56D6" w:rsidP="00AC56D6">
      <w:pPr>
        <w:pStyle w:val="TextoNormal"/>
      </w:pPr>
    </w:p>
    <w:p w:rsidR="00AC56D6" w:rsidRDefault="00AC56D6" w:rsidP="00AC56D6">
      <w:pPr>
        <w:pStyle w:val="TextoNormal"/>
      </w:pPr>
      <w:r>
        <w:t xml:space="preserve">Llegados a este punto, pasa a analizar si la norma cuestionada contiene un grado de retroactividad permitido por el art. 9.3 CE, a la luz de la doctrina constitucional que sintetiza.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con independencia de que su efectiva percepción tenga lugar en el último mes del período (salario devengado pero de percepción diferida). De este modo, sostiene,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Derechos Humanos de 14 de mayo de 2013 (caso </w:t>
      </w:r>
      <w:r w:rsidRPr="00AC56D6">
        <w:rPr>
          <w:i/>
        </w:rPr>
        <w:t>N.K.M. c. Hungría</w:t>
      </w:r>
      <w:r>
        <w:t>); este declaró la vulneración del art. 1 del protocolo núm. 1 anexo al Convenio por un acto de privación de la cuantía de una indemnización (cantidad devengada pero no percibida) por cese a una funcionaria; señalaba que “los bienes” en el sentido del citado art. 1 son “bienes existentes” o activos, en los que el solicitante puede tener por lo menos una “expectativa legítima” de que esta se realizará. Entiende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Tal hipótesis no puede suponer, sin embargo, un aval genérico para que con esa excusa el poder público pueda apartarse de una expresa previsión legal. Añade que el art. 33 CE impide la expropiación de bienes o derechos por causa de utilidad pública o interés social si no se acompaña de un justiprecio. Entiende, en suma, que los compromisos meramente posibilistas contemplados en la norma relativos a genéricas </w:t>
      </w:r>
      <w:r>
        <w:lastRenderedPageBreak/>
        <w:t>aportaciones a futuros fondos carecen de la mínima concreción para que les alcance el calificativo de justo precio debido.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t>El Fiscal General del Estado concluye sus alegaciones precisando que en el Auto de planteamiento no se cuestiona todo el art. 2 del Real Decreto-ley 20/2012 sino sólo su apartado 2.2, ya que es el que resulta aplicable para resolver el pleito sometido al conocimiento de Juzgado de lo Social núm. 5 de Santa Cruz de Tenerife (referido en exclusiva a personal laboral y no a personal funcionario o estatutario). Asimismo, en cuanto a los efectos de la hipotética declaración de inconstitucionalidad,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28 de mayo de 2015 la Sala Primera acordó, de conformidad con lo dispuesto en el art. 88.1 LOTC, dirigir atenta comunicación al Ayuntamiento de Arico a fin de que indicase a este Tribunal si, en atención a lo previsto en la disposición adicional duodécima de la Ley 36/2014, de presupuestos generales del Estado para el año 2015, o por cualquier otra circunstancia, ha satisfecho al personal laboral de ese Ayuntamiento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las citadas pagas a los que corresponden las cuantías abonadas.</w:t>
      </w:r>
    </w:p>
    <w:p w:rsidR="00AC56D6" w:rsidRDefault="00AC56D6" w:rsidP="00AC56D6">
      <w:pPr>
        <w:pStyle w:val="TextoNormal"/>
      </w:pPr>
    </w:p>
    <w:p w:rsidR="00AC56D6" w:rsidRDefault="00AC56D6" w:rsidP="00AC56D6">
      <w:pPr>
        <w:pStyle w:val="TextoNormal"/>
      </w:pPr>
      <w:r w:rsidRPr="00AC56D6">
        <w:rPr>
          <w:rStyle w:val="NumeroAFNegritaCaracter"/>
        </w:rPr>
        <w:t>9</w:t>
      </w:r>
      <w:r>
        <w:t>. En contestación a la referida providencia el Ayuntamiento de Arico comunicó a este Tribunal, mediante escrito que tuvo entrada en el Registro General con fecha 3 de julio de 2015, que dicho Ayuntamiento, al amparo de lo previsto en la disposición adicional duodécima de la Ley 36/2014, de presupuestos generales del Estado para el año 2015, hizo efectiva a su personal laboral, en la nómina del mes de abril de 2015, la parte proporcional de la paga extraordinaria correspondiente al mes de diciembre de 2012, referida a 44 días (equivalente al 24,04 por 100).</w:t>
      </w:r>
    </w:p>
    <w:p w:rsidR="00AC56D6" w:rsidRDefault="00AC56D6" w:rsidP="00AC56D6">
      <w:pPr>
        <w:pStyle w:val="TextoNormal"/>
      </w:pPr>
    </w:p>
    <w:p w:rsidR="00AC56D6" w:rsidRDefault="00AC56D6" w:rsidP="00AC56D6">
      <w:pPr>
        <w:pStyle w:val="TextoNormal"/>
      </w:pPr>
      <w:r w:rsidRPr="00AC56D6">
        <w:rPr>
          <w:rStyle w:val="NumeroAFNegritaCaracter"/>
        </w:rPr>
        <w:t>10</w:t>
      </w:r>
      <w:r>
        <w:t>. Por providencia de 16 de julio de 2015 se señaló para deliberación y votación de la presente Sentencia el día 20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El Juzgado de lo Social núm. 5 de Santa Cruz de Tenerife plantea cuestión de inconstitucionalidad respecto del art. 2 del Real Decreto-ley 20/2012, de 13 de julio, de medidas para garantizar la estabilidad presupuestaria y de fomento de la competitividad (Real Decreto-ley 20/2012). Este precepto, en lo que aquí importa, dispone para el personal del sector </w:t>
      </w:r>
      <w:r>
        <w:lastRenderedPageBreak/>
        <w:t>público definido en el art. 22.1 de la Ley 2/2012, de 29 de junio, de presupuestos generales del Estado para 2012, la supresión de la paga extraordinaria (o equivalente) del mes de diciembre de 2012. En síntesis, el Juzgado entiende que el art. 2 del Real Decreto-ley 20/2012, en su aplicación al personal laboral del sector público, puede vulnerar el principio de interdicción de la retroactividad de las disposiciones sancionadoras no favorables o restrictivas de derechos individuales (art. 9.3 CE), al no contemplar excepción alguna respecto de las cuantías ya devengadas al momento de la entrada en vigor del Real Decreto-ley 20/2012 (15 de julio de 2012).</w:t>
      </w:r>
    </w:p>
    <w:p w:rsidR="00AC56D6" w:rsidRDefault="00AC56D6" w:rsidP="00AC56D6">
      <w:pPr>
        <w:pStyle w:val="TextoNormal"/>
      </w:pPr>
    </w:p>
    <w:p w:rsidR="00AC56D6" w:rsidRDefault="00AC56D6" w:rsidP="00AC56D6">
      <w:pPr>
        <w:pStyle w:val="TextoNormal"/>
      </w:pPr>
      <w:r>
        <w:t>En los términos en que han sido recogidos en los antecedentes de esta Sentencia, el Fiscal General del Estado coincide con el juicio de inconstitucionalidad formulado por el Auto de planteamiento de la cuestión e interesa la estimación de la misma, mientras que el Abogado del Estado solicita su desestimación.</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al análisis de la cuestión planteada conviene realizar una serie de precisiones para acotar debidamente el objeto de la misma y el alcance de nuestro enjuiciamiento.</w:t>
      </w:r>
    </w:p>
    <w:p w:rsidR="00AC56D6" w:rsidRDefault="00AC56D6" w:rsidP="00AC56D6">
      <w:pPr>
        <w:pStyle w:val="TextoNormal"/>
      </w:pPr>
    </w:p>
    <w:p w:rsidR="00AC56D6" w:rsidRDefault="00AC56D6" w:rsidP="00AC56D6">
      <w:pPr>
        <w:pStyle w:val="TextoNormal"/>
      </w:pPr>
      <w:r>
        <w:t>a) En primer lugar, resulta obligado advertir, en consonancia con lo manifestado en sus alegaciones respectivas por el Fiscal General del Estado y el Abogado del Estado, que, si bien el Juzgado de lo Social núm. 5 de Santa Cruz de Tenerife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al personal laboral del sector público” (como se precisa expresamente en la parte dispositiva del Auto). Ello se conecta lógicamente con el juicio de relevancia, correctamente expresado por el órgano judicial. La cuestión de inconstitucionalidad trae causa de un proceso promovido por varios trabajadores del Ayuntamiento de Arico con motivo de la supresión, por aplicación de las previsiones contenidas en el Real Decreto-ley 20/2012, de la paga extraordinaria de diciembre de 2012 al personal laboral de esa corporación local; proceso en el que lo pretendido por los demandantes es justamente que se declare su derecho a percibir la parte proporcional de la paga extra de diciembre de 2012 que consideran ya devengada al momento de la entrada en vigor del Real Decreto-ley 20/2012, porque, de acuerdo con el art. 9.3 CE, no cabe que la supresión de esa paga extra por dicho Real Decreto-ley tenga efectos retroactivos.</w:t>
      </w:r>
    </w:p>
    <w:p w:rsidR="00AC56D6" w:rsidRDefault="00AC56D6" w:rsidP="00AC56D6">
      <w:pPr>
        <w:pStyle w:val="TextoNormal"/>
      </w:pPr>
    </w:p>
    <w:p w:rsidR="00AC56D6" w:rsidRDefault="00AC56D6" w:rsidP="00AC56D6">
      <w:pPr>
        <w:pStyle w:val="TextoNormal"/>
      </w:pPr>
      <w:r>
        <w:t>De este modo, en los términos en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también al apartado 2.2 del art. 2 del Real Decreto-ley 20/2012, que se refiere específicamente a la supresión de la paga o gratificación extraordinaria de diciembre de 2012, o equivalente, al personal laboral del sector público, que incluye el personal de las corporaciones locales y de los organismos dependientes de estas.</w:t>
      </w:r>
    </w:p>
    <w:p w:rsidR="00AC56D6" w:rsidRDefault="00AC56D6" w:rsidP="00AC56D6">
      <w:pPr>
        <w:pStyle w:val="TextoNormal"/>
      </w:pPr>
    </w:p>
    <w:p w:rsidR="00AC56D6" w:rsidRDefault="00AC56D6" w:rsidP="00AC56D6">
      <w:pPr>
        <w:pStyle w:val="TextoNormal"/>
      </w:pPr>
      <w:r>
        <w:t xml:space="preserve">b) Por otra parte debe tenerse en cuenta que no se cuestiona por el Juzgado de lo Social núm. 5 de Santa Cruz de Tenerife la medida de supresión de la paga extraordinaria de diciembre de 2012 en sí misma considerada; se cuestiona solo en cuanto su aplicación haya </w:t>
      </w:r>
      <w:r>
        <w:lastRenderedPageBreak/>
        <w:t>podido suponer la infracción del principio de irretroactividad establecido en el 9.3 CE, en relación con el art. 33.3 CE (exigencia de compensación en la expropiación de derechos patrimoniales), al no contemplar excepción alguna respecto de las cuantías que se entienden ya devengadas de dicha paga extra a la fecha de entrada en vigor del Real Decreto-ley 20/2012 (que tuvo lugar el 15 de julio de 2012, conforme a su disposición final decimoquinta). A esta concreta duda deberá, pues, ceñirse nuestro enjuiciamiento.</w:t>
      </w:r>
    </w:p>
    <w:p w:rsidR="00AC56D6" w:rsidRDefault="00AC56D6" w:rsidP="00AC56D6">
      <w:pPr>
        <w:pStyle w:val="TextoNormal"/>
      </w:pPr>
    </w:p>
    <w:p w:rsidR="00AC56D6" w:rsidRDefault="00AC56D6" w:rsidP="00AC56D6">
      <w:pPr>
        <w:pStyle w:val="TextoNormal"/>
      </w:pPr>
      <w:r>
        <w:t>c) Conviene asimismo advertir que el Juzgado de lo Social núm. 5 de Santa Cruz de Tenerife no cuestiona el art. 6 del Real Decreto-ley 20/2012 que, en consonancia con lo establecido en el art. 2, suprime durante el año 2012 para el personal laboral del sector público “la percepción de la gratificación extraordinaria con ocasión de las fiestas de Navidad contenida en el art. 31 del Estatuto de los Trabajadores”. Por tanto, las previsiones del art. 6 del Real Decreto-ley 20/2012 quedan fuera de nuestro pronunciamiento.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Delimitado el alcance de nuestra decisión, debemos remitirnos a lo dicho recientemente en la STC 83/2015, de 30 de abril, FJ 3, sobre la posible pérdida de objeto de la cuestión de inconstitucionalidad, como consecuencia de lo establecido en la disposición adicional duodécima de la Ley 36/2014, de 26 de diciembre, de presupuestos generales del Estado para 2015. Bajo el epígrafe “Recuperación de la paga extraordinaria y adicional del mes de diciembre de 2012”, se establece, en su apartado 1.1,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según establece el apartado 1.2.</w:t>
      </w:r>
    </w:p>
    <w:p w:rsidR="00AC56D6" w:rsidRDefault="00AC56D6" w:rsidP="00AC56D6">
      <w:pPr>
        <w:pStyle w:val="TextoNormal"/>
      </w:pPr>
    </w:p>
    <w:p w:rsidR="00AC56D6" w:rsidRDefault="00AC56D6" w:rsidP="00AC56D6">
      <w:pPr>
        <w:pStyle w:val="TextoNormal"/>
      </w:pPr>
      <w:r>
        <w:t xml:space="preserve">En la STC 83/2015, FJ 3, se recuerda la reiterada doctrina constitucional sobre los efectos extintivos del objeto del proceso en las cuestiones de inconstitucionalidad, como consecuencia de la derogación o modificación de la norma legal cuestionada. Se puso de manifiesto que era innegable la incidencia que tenía la medida contenida en la disposición adicional duodécima de la Ley 36/2014, de presupuestos generales del Estado para 2015, sobre la pretensión deducida en el pleito </w:t>
      </w:r>
      <w:r w:rsidRPr="00AC56D6">
        <w:rPr>
          <w:i/>
        </w:rPr>
        <w:t>a quo</w:t>
      </w:r>
      <w:r>
        <w:t>, “que afecta de modo determinante a la subsistencia del presente proceso constitucional, dada la estrecha vinculación existente entre toda cuestión de inconstitucionalidad y el procedimiento judicial de que dimana.” Otro tanto acontece en el presente caso.</w:t>
      </w:r>
    </w:p>
    <w:p w:rsidR="00AC56D6" w:rsidRDefault="00AC56D6" w:rsidP="00AC56D6">
      <w:pPr>
        <w:pStyle w:val="TextoNormal"/>
      </w:pPr>
    </w:p>
    <w:p w:rsidR="00AC56D6" w:rsidRDefault="00AC56D6" w:rsidP="00AC56D6">
      <w:pPr>
        <w:pStyle w:val="TextoNormal"/>
      </w:pPr>
      <w:r>
        <w:t xml:space="preserve">En el conflicto colectivo del que trae causa la presente cuestión de inconstitucionalidad se discute el derecho de varios trabajadores de una entidad local (Ayuntamiento de Arico) a percibir la parte proporcional de la paga extra de diciembre de 2012 ya devengada al momento de la entrada en vigor del Real Decreto-ley 20/2012, que suprimió el derecho a su percepción. Ello por estimar los demandantes en el proceso </w:t>
      </w:r>
      <w:r w:rsidRPr="00AC56D6">
        <w:rPr>
          <w:i/>
        </w:rPr>
        <w:t>a quo</w:t>
      </w:r>
      <w:r>
        <w:t xml:space="preserve"> que la supresión de esa paga por la citada norma no puede tener efectos retroactivos por imperativo de lo dispuesto en el art. 9.3 CE. Al suscitarse sobre este extremo la duda de constitucionalidad que plantea el órgano judicial, es obligado constatar la recuperación por esos trabajadores de la parte proporcional correspondiente de la paga extraordinaria correspondiente al mes de diciembre de 2012 ya devengada a la entrada en vigor del Real Decreto-ley 20/2012 (por un total de 44 días), en virtud de lo establecido en la citada disposición adicional duodécima de la Ley 36/2014, de presupuestos generales del Estado para 2015. Esa recuperación se hizo efectiva </w:t>
      </w:r>
      <w:r>
        <w:lastRenderedPageBreak/>
        <w:t>en el caso del Ayuntamiento de Arico en la nómina del mes de abril de 2015, como se pone de manifiesto por dicha corporación local en su contestación al requerimiento formulado al efecto por este Tribunal, conforme quedó señalado en el relato de antecedentes. Todo ello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(STC 83/2015, FJ 3).</w:t>
      </w:r>
    </w:p>
    <w:p w:rsidR="00AC56D6" w:rsidRDefault="00AC56D6" w:rsidP="00AC56D6">
      <w:pPr>
        <w:pStyle w:val="TextoNormal"/>
      </w:pPr>
    </w:p>
    <w:p w:rsidR="00AC56D6" w:rsidRDefault="00AC56D6" w:rsidP="00AC56D6">
      <w:pPr>
        <w:pStyle w:val="TextoNormal"/>
      </w:pPr>
      <w:r>
        <w:t>En conclusión, “la regulación contenida en la citada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83/2015, FJ 3; y en el mismo sentido AATC 340/2003, de 21 de octubre, FJ único; y 75/2004, de 9 de marzo, FJ único)” (STC 83/2015, FJ 3).</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Declarar la extinción de la presente cuestión de inconstitucionalidad por desaparición sobrevenida de su objeto.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veinte de julio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25" w:name="SENTENCIA_2015_169"/>
      <w:r>
        <w:lastRenderedPageBreak/>
        <w:t>SENTENCIA 169/2015, de 20 de julio de 2015</w:t>
      </w:r>
    </w:p>
    <w:bookmarkEnd w:id="25"/>
    <w:p w:rsidR="00AC56D6" w:rsidRDefault="00AC56D6" w:rsidP="00AC56D6">
      <w:pPr>
        <w:pStyle w:val="TtuloResolucin"/>
      </w:pPr>
      <w:r>
        <w:t>Sala Segunda</w:t>
      </w:r>
    </w:p>
    <w:p w:rsidR="00AC56D6" w:rsidRDefault="00AC56D6" w:rsidP="00AC56D6">
      <w:pPr>
        <w:pStyle w:val="TtuloBOE"/>
      </w:pPr>
      <w:r>
        <w:t>(BOE núm. 200, de 21 de agosto de 2015)</w:t>
      </w:r>
    </w:p>
    <w:p w:rsidR="00AC56D6" w:rsidRDefault="00AC56D6" w:rsidP="00AC56D6">
      <w:pPr>
        <w:pStyle w:val="TextoNormalCentrado"/>
      </w:pPr>
      <w:r>
        <w:t>ECLI:ES:TC:2015:169</w:t>
      </w:r>
    </w:p>
    <w:p w:rsidR="00AC56D6" w:rsidRDefault="00AC56D6" w:rsidP="00AC56D6">
      <w:pPr>
        <w:pStyle w:val="TextoNormalCentrado"/>
      </w:pPr>
    </w:p>
    <w:p w:rsidR="00AC56D6" w:rsidRDefault="00AC56D6" w:rsidP="00AC56D6">
      <w:pPr>
        <w:pStyle w:val="SntesisDescriptiva"/>
      </w:pPr>
      <w:r>
        <w:t>Recurso de amparo 7452-2013. Promovido por don Faustino Albuín Silva en relación con la Sentencia dictada por el Juzgado de lo Contencioso-Administrativo número 2 de Lugo que desestimó su demanda frente a resolución sancionadora de la Diputación Provincial de Lugo en aplicación de la Ley de carreteras de Galicia.</w:t>
      </w:r>
    </w:p>
    <w:p w:rsidR="00AC56D6" w:rsidRDefault="00AC56D6" w:rsidP="00AC56D6">
      <w:pPr>
        <w:pStyle w:val="SntesisDescriptiva"/>
      </w:pPr>
    </w:p>
    <w:p w:rsidR="00AC56D6" w:rsidRDefault="00AC56D6" w:rsidP="00AC56D6">
      <w:pPr>
        <w:pStyle w:val="SntesisAnaltica"/>
      </w:pPr>
      <w:r>
        <w:t>Vulneración del derecho a la tutela judicial (resolución fundada en Derecho): desestimación del recurso contencioso-administrativo fundada en una alteración de la naturaleza jurídica del acto impugnado, al que no se atribuye carácter sancionador sino reparador.</w:t>
      </w:r>
    </w:p>
    <w:p w:rsidR="00AC56D6" w:rsidRDefault="00AC56D6" w:rsidP="00AC56D6">
      <w:pPr>
        <w:pStyle w:val="SntesisAnaltica"/>
      </w:pPr>
    </w:p>
    <w:p w:rsidR="00AC56D6" w:rsidRDefault="00AC56D6" w:rsidP="00AC56D6">
      <w:pPr>
        <w:pStyle w:val="Extracto"/>
      </w:pPr>
      <w:r>
        <w:t>1.</w:t>
      </w:r>
      <w:r>
        <w:tab/>
        <w:t>No se ha respetado el derecho a la tutela judicial efectiva sin indefensión, en su vertiente del derecho a obtener una resolución fundada, pues el órgano judicial soslayó la aplicación de su propio criterio acerca del encaje de la conducta del demandante en la infracción señalada por la Administración y, en vez de resolver conforme al presupuesto de la reconocida falta de tipicidad de los hechos, desestimó las pretensiones del demandante, al entender que la sanción no fue sino un mero resarcimiento de los perjuicios causados [FFJJ 6, 7].</w:t>
      </w:r>
    </w:p>
    <w:p w:rsidR="00AC56D6" w:rsidRDefault="00AC56D6" w:rsidP="00AC56D6">
      <w:pPr>
        <w:pStyle w:val="Extracto"/>
      </w:pPr>
    </w:p>
    <w:p w:rsidR="00AC56D6" w:rsidRDefault="00AC56D6" w:rsidP="00AC56D6">
      <w:pPr>
        <w:pStyle w:val="Extracto"/>
      </w:pPr>
      <w:r>
        <w:t>2.</w:t>
      </w:r>
      <w:r>
        <w:tab/>
        <w:t>Los motivos aducidos para desestimar el recurso contencioso-administrativo han originado indefensión al demandante, quien articula su impugnación de manera congruente con la naturaleza sancionadora de resolución administrativa y, por ello, en contraposición a lo afirmado por el órgano judicial, hemos de reconocer que la atribución de un carácter diferente a la referida resolución ha cercenado sensiblemente las posibilidades de defensa del demandante, quien desde el principio fundó su impugnación en la indebida imposición de lo que exteriorizaba ser una sanción [FJ 6].</w:t>
      </w:r>
    </w:p>
    <w:p w:rsidR="00AC56D6" w:rsidRDefault="00AC56D6" w:rsidP="00AC56D6">
      <w:pPr>
        <w:pStyle w:val="Extracto"/>
      </w:pPr>
    </w:p>
    <w:p w:rsidR="00AC56D6" w:rsidRDefault="00AC56D6" w:rsidP="00AC56D6">
      <w:pPr>
        <w:pStyle w:val="Extracto"/>
      </w:pPr>
      <w:r>
        <w:t>3.</w:t>
      </w:r>
      <w:r>
        <w:tab/>
        <w:t>Doctrina sobre el derecho a obtener una resolución motivada, fundada en Derecho y congruente con las pretensiones de las partes (SSTC 147/1999, 276/2006) [FJ 4].</w:t>
      </w:r>
    </w:p>
    <w:p w:rsidR="00AC56D6" w:rsidRDefault="00AC56D6" w:rsidP="00AC56D6">
      <w:pPr>
        <w:pStyle w:val="Extracto"/>
      </w:pPr>
    </w:p>
    <w:p w:rsidR="00AC56D6" w:rsidRDefault="00AC56D6" w:rsidP="00AC56D6">
      <w:pPr>
        <w:pStyle w:val="Extracto"/>
      </w:pPr>
      <w:r>
        <w:t>4.</w:t>
      </w:r>
      <w:r>
        <w:tab/>
        <w:t>La prueba que el demandante entiende que le fue indebidamente denegada en el expediente sancionador no era primordial en términos de defensa, pues esta circunstancia no habría alterado el sentido de la Sentencia y, además, el argumento plasmado en la Sentencia sobre ese particular no fue combatido por el recurrente en sede constitucional, lo que reafirma el carácter intrascendente, en términos de defensa, de la prueba cuya práctica se denegó en el expediente sancionador [FJ 3].</w:t>
      </w:r>
    </w:p>
    <w:p w:rsidR="00AC56D6" w:rsidRDefault="00AC56D6" w:rsidP="00AC56D6">
      <w:pPr>
        <w:pStyle w:val="Extracto"/>
      </w:pPr>
    </w:p>
    <w:p w:rsidR="00AC56D6" w:rsidRDefault="00AC56D6" w:rsidP="00AC56D6">
      <w:pPr>
        <w:pStyle w:val="Extracto"/>
      </w:pPr>
      <w:r>
        <w:t>5.</w:t>
      </w:r>
      <w:r>
        <w:tab/>
        <w:t>Doctrina sobre el derecho a utilizar los medios de prueba pertinentes para la defensa (STC 129/2005) [FJ 3].</w:t>
      </w:r>
    </w:p>
    <w:p w:rsidR="00AC56D6" w:rsidRDefault="00AC56D6" w:rsidP="00AC56D6">
      <w:pPr>
        <w:pStyle w:val="Extracto"/>
      </w:pPr>
    </w:p>
    <w:p w:rsidR="00AC56D6" w:rsidRDefault="00AC56D6" w:rsidP="00AC56D6">
      <w:pPr>
        <w:pStyle w:val="Extracto"/>
      </w:pPr>
      <w:r>
        <w:t>6.</w:t>
      </w:r>
      <w:r>
        <w:tab/>
        <w:t>Las especificidades propias del caso permiten a este Tribunal perfilar o aclarar su doctrina en relación con el alcance y contenido del control judicial, en sede contencioso-administrativa, respecto de las resoluciones sancionadoras adoptadas por la Administración (STC 155/2009) [FJ 1].</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han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amparo núm. 7452-2013, promovido por don Faustino Albuín Silva, representado por la Procuradora de los Tribunales doña Beatriz Martínez Martínez y asistido por el Abogado don Jesús Fouz Hernández, contra la Sentencia de fecha 18 de octubre de 2013, dictada por el Juzgado de lo Contencioso-Administrativo núm. 2 de Lugo en el Procedimiento Abreviado núm. 403-2012, en cuya virtud se desestimó la demanda interpuesta contra el Decreto de fecha 6 de julio de 2012, dictada por la Diputación Provincial de Lugo en el expediente sancionador núm. 1-2012, y contra la providencia de fecha 21 de noviembre de 2013, en cuya virtud se inadmitió el incidente de nulidad de actuaciones deducido contra la Sentencia indicada. Han intervenido el Ministerio Fiscal y la Diputación Provincial de Lugo, representada esta última por el Procurador de los Tribunales don Argimiro Vázquez Guillén y asistida por la Abogada doña María Luisa García-Bobadilla Prósper. Ha sido Ponente el Magistrado don Pedro José González-Trevijano Sánchez,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presentado en este Tribunal el día 23 de diciembre de 2013, doña Beatriz Martínez Martínez, Procuradora de los Tribunales, en nombre y representación de don Faustino Albuín Silva, interpuso recurso de amparo contra las resoluciones judiciales mencionadas en el encabezamiento.</w:t>
      </w:r>
    </w:p>
    <w:p w:rsidR="00AC56D6" w:rsidRDefault="00AC56D6" w:rsidP="00AC56D6">
      <w:pPr>
        <w:pStyle w:val="TextoNormal"/>
      </w:pPr>
    </w:p>
    <w:p w:rsidR="00AC56D6" w:rsidRDefault="00AC56D6" w:rsidP="00AC56D6">
      <w:pPr>
        <w:pStyle w:val="TextoNormal"/>
      </w:pPr>
      <w:r w:rsidRPr="00AC56D6">
        <w:rPr>
          <w:rStyle w:val="NumeroAFNegritaCaracter"/>
        </w:rPr>
        <w:t>2</w:t>
      </w:r>
      <w:r>
        <w:t>. Los hechos de los que trae causa la demanda de amparo son los siguientes:</w:t>
      </w:r>
    </w:p>
    <w:p w:rsidR="00AC56D6" w:rsidRDefault="00AC56D6" w:rsidP="00AC56D6">
      <w:pPr>
        <w:pStyle w:val="TextoNormal"/>
      </w:pPr>
    </w:p>
    <w:p w:rsidR="00AC56D6" w:rsidRDefault="00AC56D6" w:rsidP="00AC56D6">
      <w:pPr>
        <w:pStyle w:val="TextoNormal"/>
      </w:pPr>
      <w:r>
        <w:t xml:space="preserve">a) Por decreto de fecha 24 de febrero de 2012, la Diputación Provincial de Lugo acordó la incoación del expediente sancionador núm. 1-2012, seguido contra don Faustino Albuín Silva, agente forestal de la Xunta de Galicia, como presunto autor de una falta muy grave prevista en el art. 43.4 c) de la Ley 4/1994, de 14 de septiembre, de carreteras de Galicia, cuyo contenido es el siguiente: “Destruir, deteriorar, alterar o modificar cualquier obra o instalación de la carretera o de los elementos funcionales de la misma cuando las actuaciones afecten a la calzada o a los arcenes.” En síntesis, los hechos que motivaron la apertura del referido expediente fueron los siguientes: el día 12 de septiembre de 2007, el demandante de amparo conducía el vehículo matrícula 8990 DCR, propiedad de la empresa Mobus </w:t>
      </w:r>
      <w:r>
        <w:lastRenderedPageBreak/>
        <w:t>y alquilado por la Xunta de Galicia para uso de los agentes forestales, con seguro a cargo de la Mutua General de Seguros. El vehículo transitaba por la carretera LU-2925, vía cuya titularidad corresponde a la indicada Diputación, y debido a la falta de atención de su conductor, el referido vehículo se salió de la calzada y colisionó contra la barrera mixta de madera y metal, lo que originó desperfectos por importe de 1.901,24 €.</w:t>
      </w:r>
    </w:p>
    <w:p w:rsidR="00AC56D6" w:rsidRDefault="00AC56D6" w:rsidP="00AC56D6">
      <w:pPr>
        <w:pStyle w:val="TextoNormal"/>
      </w:pPr>
    </w:p>
    <w:p w:rsidR="00AC56D6" w:rsidRDefault="00AC56D6" w:rsidP="00AC56D6">
      <w:pPr>
        <w:pStyle w:val="TextoNormal"/>
      </w:pPr>
      <w:r>
        <w:t>b) El demandante de amparo interesó que se aportara informe sobre el número de accidentes acaecidos en los últimos diez años, en la referida vía pública, y de las reclamaciones efectuadas en idéntico sentido a los conductores de los vehículos. En el curso de la tramitación del expediente, dicha solicitud fue desestimada por resolución de fecha 18 de abril de 2012, al considerar que la prueba interesada no guarda relación con los hechos y carece de virtualidad para alterar el sentido de la resolución que finalmente se dicte.</w:t>
      </w:r>
    </w:p>
    <w:p w:rsidR="00AC56D6" w:rsidRDefault="00AC56D6" w:rsidP="00AC56D6">
      <w:pPr>
        <w:pStyle w:val="TextoNormal"/>
      </w:pPr>
    </w:p>
    <w:p w:rsidR="00AC56D6" w:rsidRDefault="00AC56D6" w:rsidP="00AC56D6">
      <w:pPr>
        <w:pStyle w:val="TextoNormal"/>
      </w:pPr>
      <w:r>
        <w:t>c) Por decreto de fecha 6 de julio de 2012, la Diputación Provincial de Lugo impuso al demandante una sanción de 1901,24 €, cantidad equivalente al coste de los desperfectos causados, al considerarle responsable de los hechos que dieron lugar a la incoación del expediente. Según figura en el texto de la resolución, tales hechos “responden a la infracción tipificada en los arts. 43.4 b) y c), 47.1 y 48.3 de la Ley 4/1994, de 14 de septiembre, de Carreteras de Galicia, artículos puestos de manifiesto a lo largo de este expediente”. Para justificar la cuantía de la sanción, en la referida resolución consta el siguiente argumento: “En el presente expediente se ha tenido en cuenta el principio de proporcionalidad, con lo que se pretende lograr la debida adecuación entre el hecho constitutivo de infracción y la sanción que se aplica; en todo caso deberá ser más grave para el infractor que las ventajas o beneficios que haya podido obtener a consecuencia de la infracción”.</w:t>
      </w:r>
    </w:p>
    <w:p w:rsidR="00AC56D6" w:rsidRDefault="00AC56D6" w:rsidP="00AC56D6">
      <w:pPr>
        <w:pStyle w:val="TextoNormal"/>
      </w:pPr>
    </w:p>
    <w:p w:rsidR="00AC56D6" w:rsidRDefault="00AC56D6" w:rsidP="00AC56D6">
      <w:pPr>
        <w:pStyle w:val="TextoNormal"/>
      </w:pPr>
      <w:r>
        <w:t>d) En fecha 5 de septiembre de 2012, el recurrente interpuso recurso de reposición. Resumidamente, el interesado alegó la denegación indebida de prueba, la vulneración del principio de igualdad, la falta de tipicidad de la conducta por la que fue sancionado y la improcedencia de imponer una sanción con la finalidad exclusiva de obtener la restitución del valor de los desperfectos sufridos en el vallado de la carretera. Dicho recurso no fue resuelto por la Administración.</w:t>
      </w:r>
    </w:p>
    <w:p w:rsidR="00AC56D6" w:rsidRDefault="00AC56D6" w:rsidP="00AC56D6">
      <w:pPr>
        <w:pStyle w:val="TextoNormal"/>
      </w:pPr>
    </w:p>
    <w:p w:rsidR="00AC56D6" w:rsidRDefault="00AC56D6" w:rsidP="00AC56D6">
      <w:pPr>
        <w:pStyle w:val="TextoNormal"/>
      </w:pPr>
      <w:r>
        <w:t>e) El día 11 de diciembre de 2012, el recurrente interpuso demanda contencioso-administrativa contra la resolución sancionadora antes indicada. En dicho escrito alegó la violación del derecho a la igualdad ante la ley (art. 14 CE); del derecho a la presunción de inocencia (art. 24.2 CE); la falta de tipicidad de los hechos sancionados (art 25.1 CE); y la desviación de poder por parte de la Administración. A fin de acreditar la discriminación y la indefensión sufrida en sede administrativa, por otrosí interesó la siguiente prueba documental anticipada: “[q]ue la Diputación Provincial de Lugo aporte certificación acerca de los expedientes sancionadores instruidos y finalizados con resolución sancionadora, con motivo de accidentes de circulación en la vía denominada ‘Rio Rato’, debiendo hacerse constar la tipificación, calificación y cuantía de la multa acordada en su caso”. La referida demanda fue admitida a trámite, por Auto de fecha 13 de diciembre de 2012, y dio lugar a la incoación del procedimiento abreviado núm. 403-2012, del Juzgado de lo Contencioso-Administrativo núm. 2 de Lugo. En la referida resolución se acordó solicitar el informe que el demandante interesó por medio de otrosí.</w:t>
      </w:r>
    </w:p>
    <w:p w:rsidR="00AC56D6" w:rsidRDefault="00AC56D6" w:rsidP="00AC56D6">
      <w:pPr>
        <w:pStyle w:val="TextoNormal"/>
      </w:pPr>
    </w:p>
    <w:p w:rsidR="00AC56D6" w:rsidRDefault="00AC56D6" w:rsidP="00AC56D6">
      <w:pPr>
        <w:pStyle w:val="TextoNormal"/>
      </w:pPr>
      <w:r>
        <w:lastRenderedPageBreak/>
        <w:t>f) En cumplimiento de lo acordado por el órgano judicial, la Diputación Provincial de Lugo aportó un informe, de fecha 25 de enero de 2013. En síntesis, en el informe se indica que, salvo el expediente sancionador incoado contra el demandante, no se ha finalizado ningún otro expediente con resolución sancionadora con ocasión de un accidente de circulación; que dicha entidad nunca ha incoado expedientes sancionadores por el motivo indicado, salvo que hubiera mediado denuncia de un cuerpo policial, que es lo que aconteció en el presente supuesto; que el demandante de amparo reconoció expresamente su falta de diligencia en la conducción; y que la compañía aseguradora del vehículo rehusó hacerse cargo de los desperfectos, razón por la cual considera que el demandante es el único responsable de los daños causados.</w:t>
      </w:r>
    </w:p>
    <w:p w:rsidR="00AC56D6" w:rsidRDefault="00AC56D6" w:rsidP="00AC56D6">
      <w:pPr>
        <w:pStyle w:val="TextoNormal"/>
      </w:pPr>
    </w:p>
    <w:p w:rsidR="00AC56D6" w:rsidRDefault="00AC56D6" w:rsidP="00AC56D6">
      <w:pPr>
        <w:pStyle w:val="TextoNormal"/>
      </w:pPr>
      <w:r>
        <w:t>g) En el acto de la vista, que tuvo lugar el día 10 de septiembre de 2013, comparecieron el demandante y la representación procesal de la Diputación Provincial de Lugo. Esta entidad se opuso verbalmente a la demanda y, a su vez, presentó escrito de alegaciones que fue incorporado al procedimiento judicial. Sucintamente, la entidad demandada alegó que, según figura en el atestado de la policía local, el accidente se produjo porque el conductor del vehículo no prestó la debida atención y, por ello, se salió de la calzada por el lado izquierdo; que el expediente sancionador se incoó por la comisión de una falta muy grave prevista en el art. 43.4 c) de la Ley de carreteras de Galicia; que el importe de los desperfectos asciende a 1.901,42 €; que desde el primer momento el demandante tuvo conocimiento de los hechos que se le imputaron y pudo ejercitar el derecho de defensa; y que no procede anular el acto impugnado por vicios de forma, al no haberse causado indefensión al demandante.</w:t>
      </w:r>
    </w:p>
    <w:p w:rsidR="00AC56D6" w:rsidRDefault="00AC56D6" w:rsidP="00AC56D6">
      <w:pPr>
        <w:pStyle w:val="TextoNormal"/>
      </w:pPr>
    </w:p>
    <w:p w:rsidR="00AC56D6" w:rsidRDefault="00AC56D6" w:rsidP="00AC56D6">
      <w:pPr>
        <w:pStyle w:val="TextoNormal"/>
      </w:pPr>
      <w:r>
        <w:t>h) Por Sentencia de fecha 18 de octubre de 2013, el órgano judicial desestimó el recurso contencioso-administrativo interpuesto por el demandante. En primer lugar, la referida resolución refutó la alegación de indefensión por indebida denegación de prueba en el expediente sancionador, al entender que la prueba entonces interesada se ha practicado en el seno del procedimiento judicial, mediante la incorporación del informe reflejado en el apartado f) de esta resolución. En segundo término, rechaza la existencia de discriminación respecto del demandante, habida cuenta de que no cabe exigir un tratamiento igualitario en situación de ilegalidad. Por último, en lo concerniente a la vulneración de los principios de tipicidad y culpabilidad, por una parte, y a la desviación de poder, por otro lado, en el apartado b) del fundamento jurídico 2 de la Sentencia figura el siguiente razonamiento:</w:t>
      </w:r>
    </w:p>
    <w:p w:rsidR="00AC56D6" w:rsidRDefault="00AC56D6" w:rsidP="00AC56D6">
      <w:pPr>
        <w:pStyle w:val="TextoNormal"/>
      </w:pPr>
    </w:p>
    <w:p w:rsidR="00AC56D6" w:rsidRDefault="00AC56D6" w:rsidP="00AC56D6">
      <w:pPr>
        <w:pStyle w:val="TextoNormal"/>
      </w:pPr>
      <w:r>
        <w:t>“Señala a este respecto el artículo 43.4.b), de la ley 4/1994, de Carreteras de Galicia (en adelante LCG) por el que fue sancionado el demandante al folio 46 del expediente, que son infracciones muy graves:</w:t>
      </w:r>
    </w:p>
    <w:p w:rsidR="00AC56D6" w:rsidRDefault="00AC56D6" w:rsidP="00AC56D6">
      <w:pPr>
        <w:pStyle w:val="TextoNormal"/>
      </w:pPr>
    </w:p>
    <w:p w:rsidR="00AC56D6" w:rsidRDefault="00AC56D6" w:rsidP="00AC56D6">
      <w:pPr>
        <w:pStyle w:val="TextoNormal"/>
      </w:pPr>
      <w:r>
        <w:t>b) Sustraer, añadir o modificar en cualquier forma un elemento o conjunto de elementos permanentes de la carretera, o eventualmente autorizados, relacionados con la ordenación o seguridad de la circulación, o alterarlos en cualquier forma que modifique el régimen de la circulación establecido con aquellos.</w:t>
      </w:r>
    </w:p>
    <w:p w:rsidR="00AC56D6" w:rsidRDefault="00AC56D6" w:rsidP="00AC56D6">
      <w:pPr>
        <w:pStyle w:val="TextoNormal"/>
      </w:pPr>
    </w:p>
    <w:p w:rsidR="00AC56D6" w:rsidRDefault="00AC56D6" w:rsidP="00AC56D6">
      <w:pPr>
        <w:pStyle w:val="TextoNormal"/>
      </w:pPr>
      <w:r>
        <w:t xml:space="preserve">Resulta evidente de la sola lectura del atestado que el demandante no ha realizado la infracción aquí descrita, por lo que sin duda está vulnerándose el principio de tipicidad, en el supuesto de que lo pretendido en el expediente sea una sanción que pretenda castigar la ilicitud del hecho. Ahora bien, del contenido de la resolución, parece deducirse que tal finalidad no es tan evidente. Efectivamente, en el cuerpo de la resolución (f.46 in fine y f.47 del </w:t>
      </w:r>
      <w:r>
        <w:lastRenderedPageBreak/>
        <w:t>expediente) se señala que se impone al demandante ‘la sanción de 1901,24 euros consistente en el coste que a esta Diputación supuso la reposición del medio físico original del daño causado por Abuín Silva’.</w:t>
      </w:r>
    </w:p>
    <w:p w:rsidR="00AC56D6" w:rsidRDefault="00AC56D6" w:rsidP="00AC56D6">
      <w:pPr>
        <w:pStyle w:val="TextoNormal"/>
      </w:pPr>
    </w:p>
    <w:p w:rsidR="00AC56D6" w:rsidRDefault="00AC56D6" w:rsidP="00AC56D6">
      <w:pPr>
        <w:pStyle w:val="TextoNormal"/>
      </w:pPr>
      <w:r>
        <w:t>El ente provincial está mezclando dos cosas diferentes, que se tramitaron conjuntamente y así lo prevé la ley, pero cuya disposición material tanto en la resolución como en el acto de incoación (folios 18 y 19 del expediente) ha dado lugar a equívocos en el ánimo del demandante. Así, el artículo 48.3 LCG señala que ‘El plazo de prescripción de las infracciones a que se refiere el artículo 43 será de cinco años para las muy graves, de tres años para las graves y de un año para las leves, a contar desde su total consumación. No obstante, se exigirá la restitución de las cosas y su reposición al estado anterior, cualquiera que sea el tiempo transcurrido’.</w:t>
      </w:r>
    </w:p>
    <w:p w:rsidR="00AC56D6" w:rsidRDefault="00AC56D6" w:rsidP="00AC56D6">
      <w:pPr>
        <w:pStyle w:val="TextoNormal"/>
      </w:pPr>
    </w:p>
    <w:p w:rsidR="00AC56D6" w:rsidRDefault="00AC56D6" w:rsidP="00AC56D6">
      <w:pPr>
        <w:pStyle w:val="TextoNormal"/>
      </w:pPr>
      <w:r>
        <w:t>La Administración ha procedido en el mismo expediente a tramitar la posible sanción y la obligación de restitución, que son cosas diferentes, pero que nada obsta que se pueda llevar adelante conjuntamente, siempre que se garantice, como en cualquier expediente, el principio de contradicción y defensa. En el caso de autos, la Administración pretendió hacer las dos cosas a la vez y calificando los hechos como muy graves, tal vez por el temor a que operara la prescripción en caso contrario. Dicha calificación, mantenida en la resolución, es una torpeza, porque la propia norma permite seguir en cualquier tiempo un expediente para conseguir la restitución del daño, y esto es independiente de la vigencia o no del expediente sancionador [responde al principio indemnizatorio del artículo 1902 del Código Civil (CC), y es por lo tanto una institución civil, no al sancionador], bastando la existencia de culpa o negligencia.</w:t>
      </w:r>
    </w:p>
    <w:p w:rsidR="00AC56D6" w:rsidRDefault="00AC56D6" w:rsidP="00AC56D6">
      <w:pPr>
        <w:pStyle w:val="TextoNormal"/>
      </w:pPr>
    </w:p>
    <w:p w:rsidR="00AC56D6" w:rsidRDefault="00AC56D6" w:rsidP="00AC56D6">
      <w:pPr>
        <w:pStyle w:val="TextoNormal"/>
      </w:pPr>
      <w:r>
        <w:t>Por lo tanto, a efectos de llevar adelante el expediente con fines restitutorios, es indiferente si los hechos, en el plano sancionador, están prescritos o no. Lo importante es que en el procedimiento, en tanto que procedimiento de exigencia de responsabilidad civil, se hayan garantizado los principios de contradicción y defensa, para lo cual es necesario: a) que el demandante haya tenido conocimiento material del procedimiento tendente a la exigencia de esta responsabilidad, y b) que haya podido acceder al procedimiento, alegar y defenderse.</w:t>
      </w:r>
    </w:p>
    <w:p w:rsidR="00AC56D6" w:rsidRDefault="00AC56D6" w:rsidP="00AC56D6">
      <w:pPr>
        <w:pStyle w:val="TextoNormal"/>
      </w:pPr>
    </w:p>
    <w:p w:rsidR="00AC56D6" w:rsidRDefault="00AC56D6" w:rsidP="00AC56D6">
      <w:pPr>
        <w:pStyle w:val="TextoNormal"/>
      </w:pPr>
      <w:r>
        <w:t>Pues bien, a la vista del contenido del expediente, debe concluirse que sí se han cumplido estas premisas. En primer lugar, porque en la propia propuesta de incoación se alude de forma expresa a esta intención de recuperar los daños causados (Considerando 1º y 3º —subrayado— del f. 18), con lo que desde el primer momento el demandante sabe que se le pretende exigir que restituya el daño causado. Teniendo en cuenta lo anterior, el demandante tuvo oportunidad de alegar, no sólo en relación con la propuesta de sanción, sino en relación con la restitución, y de desplegar prueba sobre, por ejemplo, que el daño era menor o que tenía un valor diferente, lo que no interesó a su derecho.</w:t>
      </w:r>
    </w:p>
    <w:p w:rsidR="00AC56D6" w:rsidRDefault="00AC56D6" w:rsidP="00AC56D6">
      <w:pPr>
        <w:pStyle w:val="TextoNormal"/>
      </w:pPr>
    </w:p>
    <w:p w:rsidR="00AC56D6" w:rsidRDefault="00AC56D6" w:rsidP="00AC56D6">
      <w:pPr>
        <w:pStyle w:val="TextoNormal"/>
      </w:pPr>
      <w:r>
        <w:t xml:space="preserve">Aunque la propuesta de resolución comete el error conceptual de señalar como principio de proporcionalidad imponer una sanción igual al daño, diciendo que es para evitar el beneficio de la acción para el demandante, realmente el título de obtención de esa cantidad es el principio indemnitario, y no la proporcionalidad en la sanción. Ahora bien, este error –de bulto para la Administración, sin duda, que no pasa en este caso por ejemplo de buena práctica administrativa- no invalida la resolución final porque el título de exacción al demandante, que es el indemnitario, existe y la cantidad se ajusta a él desde el primer momento, </w:t>
      </w:r>
      <w:r>
        <w:lastRenderedPageBreak/>
        <w:t>por lo que no hay indefensión material para el demandante, que ha sabido desde el primer momento que la Administración pretendía la restitución de la cantidad, como ha hecho notar en la incoación del procedimiento, y lo ha remarcado con cita expresa del artículo 48.3, reiterada en la resolución final. Por lo tanto, la cuantía impuesta en la resolución es acertada, no a título de sanción, sino a título de restitución, que ha sido señalada como pretensión en todo el procedimiento, por lo que no se ocasiona al demandante indefensión, en este sentido, como ya se ha argumentado.</w:t>
      </w:r>
    </w:p>
    <w:p w:rsidR="00AC56D6" w:rsidRDefault="00AC56D6" w:rsidP="00AC56D6">
      <w:pPr>
        <w:pStyle w:val="TextoNormal"/>
      </w:pPr>
    </w:p>
    <w:p w:rsidR="00AC56D6" w:rsidRDefault="00AC56D6" w:rsidP="00AC56D6">
      <w:pPr>
        <w:pStyle w:val="TextoNormal"/>
      </w:pPr>
      <w:r>
        <w:t>Por lo tanto, no hay infracción en el principio de tipicidad en el sentido de que desde el primer momento se ha declarado de forma expresa que el título de restitución de la cantidad se ejercitaba con base en el artículo 48.3 LCG. En igual sentido debe descartarse, con relación al deber de restituir, la infracción del principio de culpabilidad porque, para el deber de restituirlo, el artículo 1902 CC señala que basta la culpa o negligencia como título de imputación, que no ha sido cuestionada en el proceso, a la vista de la propia declaración del demandante que consta en el atestado. Por lo que la alegación debe ser rechazada.</w:t>
      </w:r>
    </w:p>
    <w:p w:rsidR="00AC56D6" w:rsidRDefault="00AC56D6" w:rsidP="00AC56D6">
      <w:pPr>
        <w:pStyle w:val="TextoNormal"/>
      </w:pPr>
    </w:p>
    <w:p w:rsidR="00AC56D6" w:rsidRDefault="00AC56D6" w:rsidP="00AC56D6">
      <w:pPr>
        <w:pStyle w:val="TextoNormal"/>
      </w:pPr>
      <w:r>
        <w:t>En cuanto a la desviación de poder alegada para señalar la tentativa de evitar la prescripción, no se puede considerar concurrente a la vista de la argumentación anterior, ya que el deber de restitución no está sometido a plazo en la LCG (art. 48.3) y es independiente de la prescripción, en su caso, de la sanción administrativa que pueda imponerse. En consecuencia, no se han empleado normas para casos no previstos en el ordenamiento jurídico que hayan resultado eficaces en el supuesto de autos, porque de todos modos la acción no habría prescrito, por lo que la utilización de la figura de la calificación de los hechos como muy graves para evitar que prescribieran los hechos desde los cuales deducir la responsabilidad fue irrelevante porque la ley ampara la restitución fuera de los plazos hábiles de sanción, por grave o leve que sea. En consecuencia, la alegación debe ser rechazada y con ella el recurso en su conjunto.”</w:t>
      </w:r>
    </w:p>
    <w:p w:rsidR="00AC56D6" w:rsidRDefault="00AC56D6" w:rsidP="00AC56D6">
      <w:pPr>
        <w:pStyle w:val="TextoNormal"/>
      </w:pPr>
    </w:p>
    <w:p w:rsidR="00AC56D6" w:rsidRDefault="00AC56D6" w:rsidP="00AC56D6">
      <w:pPr>
        <w:pStyle w:val="TextoNormal"/>
      </w:pPr>
      <w:r>
        <w:t>i) Mediante escrito de fecha 13 de noviembre de 2013, el demandante interpuso incidente de nulidad de actuaciones. En esencia, atribuyó a la Sentencia parcialmente transcrita la lesión del derecho a la tutela judicial efectiva sin indefensión (art. 24.1 CE). Sobre ese particular, el demandante adujo que la decisión judicial subsanó indebidamente la denegación de la prueba que fue interesada en el expediente sancionador, con contravención de lo establecido por la doctrina constitucional. También alegó que la Sentencia combatida conculca los principios del procedimiento sancionador y el carácter revisor del recurso contencioso-administrativo, hasta el extremo de considerar que la resolución administrativa no tiene naturaleza sancionadora, tesis esta que no fue sustentada, siquiera, por la propia Administración.</w:t>
      </w:r>
    </w:p>
    <w:p w:rsidR="00AC56D6" w:rsidRDefault="00AC56D6" w:rsidP="00AC56D6">
      <w:pPr>
        <w:pStyle w:val="TextoNormal"/>
      </w:pPr>
    </w:p>
    <w:p w:rsidR="00AC56D6" w:rsidRDefault="00AC56D6" w:rsidP="00AC56D6">
      <w:pPr>
        <w:pStyle w:val="TextoNormal"/>
      </w:pPr>
      <w:r>
        <w:t>j) Por providencia de fecha 21 de noviembre de 2013 se acordó la inadmisión del referido incidente de nulidad, al entender el órgano judicial que lo pretendido por el demandante es, en esencia, reabrir el debate sobre una cuestión objeto de valoración de prueba.</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En la demanda de amparo el recurrente alega que la Sentencia combatida ha lesionado su derecho a la tutela judicial efectiva sin indefensión (art. 24.1 CE) por dos motivos. En primer lugar, aduce que la Administración le denegó indebidamente el informe que solicitó durante la tramitación del expediente sancionador y, a su vez, sostiene que de conformidad </w:t>
      </w:r>
      <w:r>
        <w:lastRenderedPageBreak/>
        <w:t>con la doctrina constitucional (STC 35/2006, de 13 de febrero), el posterior proceso contencioso-administrativo no puede servir nunca para remediar las posibles lesiones de garantías constitucionales causadas por la Administración en el ejercicio de su potestad sancionadora. Por ello, el órgano judicial no debió entender subsanada la indebida denegación de prueba, que ya fue denunciada en el expediente sancionador, mediante la aportación al procedimiento judicial del informe relativo al número de expedientes sancionadores incoados por hechos similares al presente supuesto.</w:t>
      </w:r>
    </w:p>
    <w:p w:rsidR="00AC56D6" w:rsidRDefault="00AC56D6" w:rsidP="00AC56D6">
      <w:pPr>
        <w:pStyle w:val="TextoNormal"/>
      </w:pPr>
    </w:p>
    <w:p w:rsidR="00AC56D6" w:rsidRDefault="00AC56D6" w:rsidP="00AC56D6">
      <w:pPr>
        <w:pStyle w:val="TextoNormal"/>
      </w:pPr>
      <w:r>
        <w:t>En segundo término, alega que la lesión del art. 24.1 CE se anuda al hecho de que el órgano judicial considerara que, tanto el expediente tramitado por la Administración como la resolución que puso fin al mismo no tienen carácter sancionador, sino que están revestidos de una naturaleza restitutoria que es acorde con la finalidad de resarcir los desperfectos causados en el vallado de la calzada. A juicio del demandante, este entendimiento supone una alteración de la tesis sustentada por la propia Administración, lo que es contrario a la específica función revisora del orden contencioso-administrativo. Además, considera que la respuesta judicial le ha originado efectiva indefensión, pues el ejercicio del derecho de defensa fue congruente con la naturaleza sancionadora de la resolución impugnada, en concordancia con la actuación desplegada por la Administración. Por último, señala que si el expediente incoado hubiera tenido una finalidad resarcitoria, como apunta el órgano judicial, la legitimación no habría alcanzado sólo al recurrente, sino también a la titular del servicio prestado por este último (Xunta de Galicia) y a la compañía aseguradora del vehículo. En virtud de lo expuesto, interesa la estimación del recurso de amparo por vulneración del art. 24.1 CE, así como la declaración de nulidad de las resoluciones judiciales indicadas en el encabezamiento y de la resolución administrativa que puso fin al expediente sancionador.</w:t>
      </w:r>
    </w:p>
    <w:p w:rsidR="00AC56D6" w:rsidRDefault="00AC56D6" w:rsidP="00AC56D6">
      <w:pPr>
        <w:pStyle w:val="TextoNormal"/>
      </w:pPr>
    </w:p>
    <w:p w:rsidR="00AC56D6" w:rsidRDefault="00AC56D6" w:rsidP="00AC56D6">
      <w:pPr>
        <w:pStyle w:val="TextoNormal"/>
      </w:pPr>
      <w:r w:rsidRPr="00AC56D6">
        <w:rPr>
          <w:rStyle w:val="NumeroAFNegritaCaracter"/>
        </w:rPr>
        <w:t>4</w:t>
      </w:r>
      <w:r>
        <w:t>. Por providencia de fecha 9 de octubre, la Sala Segunda del Tribunal Constitucional dispuso la admisión a trámite de la demanda de amparo. En aplicación de lo previsto en el art. 51 de la Ley Orgánica del Tribunal Constitucional (LOTC), acordó dirigir atenta comunicación al Juzgado de lo Contencioso-Administrativo núm. 2 de Lugo para que, en plazo que no exceda de diez días, remita testimonio del procedimiento abreviado núm. 403-2012. Asimismo, acordó que el órgano judicial emplazara, por plazo máximo de diez días, a quienes fueron parte en el mencionado procedimiento, con excepción del recurrente en amparo, para que puedan comparecer en este procedimiento constitucional.</w:t>
      </w:r>
    </w:p>
    <w:p w:rsidR="00AC56D6" w:rsidRDefault="00AC56D6" w:rsidP="00AC56D6">
      <w:pPr>
        <w:pStyle w:val="TextoNormal"/>
      </w:pPr>
    </w:p>
    <w:p w:rsidR="00AC56D6" w:rsidRDefault="00AC56D6" w:rsidP="00AC56D6">
      <w:pPr>
        <w:pStyle w:val="TextoNormal"/>
      </w:pPr>
      <w:r w:rsidRPr="00AC56D6">
        <w:rPr>
          <w:rStyle w:val="NumeroAFNegritaCaracter"/>
        </w:rPr>
        <w:t>5</w:t>
      </w:r>
      <w:r>
        <w:t>. Mediante escrito de fecha 12 de noviembre de 2014, el Procurador de los Tribunales don Argimiro Vázquez Guillén interesó que se le tuviera por personado en representación de la Diputación Provincial de Lugo, con la asistencia de la Abogada doña María Luisa García-Bobadilla Prósper.</w:t>
      </w:r>
    </w:p>
    <w:p w:rsidR="00AC56D6" w:rsidRDefault="00AC56D6" w:rsidP="00AC56D6">
      <w:pPr>
        <w:pStyle w:val="TextoNormal"/>
      </w:pPr>
    </w:p>
    <w:p w:rsidR="00AC56D6" w:rsidRDefault="00AC56D6" w:rsidP="00AC56D6">
      <w:pPr>
        <w:pStyle w:val="TextoNormal"/>
      </w:pPr>
      <w:r w:rsidRPr="00AC56D6">
        <w:rPr>
          <w:rStyle w:val="NumeroAFNegritaCaracter"/>
        </w:rPr>
        <w:t>6</w:t>
      </w:r>
      <w:r>
        <w:t>. Por diligencia de ordenación de la Secretaría de la Sección Tercera de este Tribunal, de fecha 24 de noviembre de 2014, se tuvo por personada a la entidad antes referida. Asimismo, se acordó dar vista de las actuaciones a las partes personadas y al Ministerio Fiscal por el plazo común de veinte días, dentro del cual podrán presentar las alegaciones que estimen pertinentes, conforme a lo dispuesto en el art. 52.1 LOTC.</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7</w:t>
      </w:r>
      <w:r>
        <w:t>. Por escrito presentado en fecha 30 de diciembre del 2014, la Diputación Provincial de Lugo presentó sus alegaciones. En esencia, dicho ente considera que la Sentencia impugnada contiene una argumentación impecable y, a su vez, descarta la indefensión que alega el demandante. En primer lugar, afirma que se ha respetado el derecho del recurrente a ser informado de la acusación y que la respuesta judicial acerca de la denegación de la prueba interesada en el expediente sancionador fue motivada adecuadamente. Por otro lado, sostiene que el demandante pudo proponer en el procedimiento judicial la prueba que estimó pertinente, por lo cual no existió indefensión real y efectiva.</w:t>
      </w:r>
    </w:p>
    <w:p w:rsidR="00AC56D6" w:rsidRDefault="00AC56D6" w:rsidP="00AC56D6">
      <w:pPr>
        <w:pStyle w:val="TextoNormal"/>
      </w:pPr>
    </w:p>
    <w:p w:rsidR="00AC56D6" w:rsidRDefault="00AC56D6" w:rsidP="00AC56D6">
      <w:pPr>
        <w:pStyle w:val="TextoNormal"/>
      </w:pPr>
      <w:r w:rsidRPr="00AC56D6">
        <w:rPr>
          <w:rStyle w:val="NumeroAFNegritaCaracter"/>
        </w:rPr>
        <w:t>8</w:t>
      </w:r>
      <w:r>
        <w:t>. En fecha 5 de enero del 2015, el demandante presentó sus alegaciones. En síntesis, ratifica lo ya expuesto en el escrito de demanda.</w:t>
      </w:r>
    </w:p>
    <w:p w:rsidR="00AC56D6" w:rsidRDefault="00AC56D6" w:rsidP="00AC56D6">
      <w:pPr>
        <w:pStyle w:val="TextoNormal"/>
      </w:pPr>
    </w:p>
    <w:p w:rsidR="00AC56D6" w:rsidRDefault="00AC56D6" w:rsidP="00AC56D6">
      <w:pPr>
        <w:pStyle w:val="TextoNormal"/>
      </w:pPr>
      <w:r w:rsidRPr="00AC56D6">
        <w:rPr>
          <w:rStyle w:val="NumeroAFNegritaCaracter"/>
        </w:rPr>
        <w:t>9</w:t>
      </w:r>
      <w:r>
        <w:t>. El día 30 de enero de 2015 presentó sus alegaciones el Fiscal. En primer lugar, compendia los hechos sobre los que versa el presente recurso y detalla los aspectos más relevantes de la fundamentación jurídica de la Sentencia impugnada y de la demanda de amparo. En relación con el primer motivo enunciado por el demandante, el Fiscal resume la doctrina constitucional sobre el derecho a utilizar los medios de prueba pertinentes para la defensa y, tras ello, destaca que para apreciar la vulneración de ese derecho es necesario que la prueba no admitida sea decisiva en términos de defensa. Conforme al planteamiento del demandante, lo que a través de la prueba denegada en el expediente sancionador se pretendía acreditar era el trato peyorativo sufrido por aquél, con motivo de la incoación del expediente sancionador a causa del accidente de circulación. En base a esa premisa, el Fiscal descarta la lesión denunciada, pues aun cuando en otros supuestos similares al presente no se hubiera impuesto sanción, ninguna relevancia cabría a otorgar a ese dato, toda vez que, según reiterada doctrina constitucional (entre otras STC 181/2006, de 19 de junio, FJ 3), “el principio de igualdad ante la ley no da cobertura a un imposible derecho a la igualdad en la ilegalidad”. En suma, la no imposición de sanciones en casos semejantes no vulnera el mandato enunciado en el primer inciso del art. 14 CE, ya que lo único relevante es si la conducta enjuiciada es o no merecedora de sanción.</w:t>
      </w:r>
    </w:p>
    <w:p w:rsidR="00AC56D6" w:rsidRDefault="00AC56D6" w:rsidP="00AC56D6">
      <w:pPr>
        <w:pStyle w:val="TextoNormal"/>
      </w:pPr>
    </w:p>
    <w:p w:rsidR="00AC56D6" w:rsidRDefault="00AC56D6" w:rsidP="00AC56D6">
      <w:pPr>
        <w:pStyle w:val="TextoNormal"/>
      </w:pPr>
      <w:r>
        <w:t xml:space="preserve">En relación con el segundo motivo de la demanda, el Fiscal considera que el órgano judicial ha reconstruido la legitimidad de la actuación administrativa con argumentos que literalmente califica de “peregrinos, absolutamente irrazonables y extravagantes desde diversas perspectivas”, que no sólo dan lugar a la lesión del art. 24.1 CE, sino también reflejan el desconocimiento del principio de legalidad reconocido en el art. 25.1 CE y de la garantía material de tipicidad que lo integra. En apoyo de lo expuesto, señala que en el fundamento jurídico 2 de la Sentencia combatida se descarta la existencia de tipicidad en la conducta del demandante, conforme al siguiente aserto: “[r]esulta evidente que de la sola lectura del atestado el demandante no ha realizado la infracción descrita, por lo que sin duda está vulnerándose el principio de tipicidad en el supuesto de que lo pretendido en el expediente sea una sanción que pretenda castigar la ilicitud del hecho”. Sin embargo, en vez de llegar a la lógica conclusión de estimar vulnerado el principio de tipicidad, el órgano judicial se limita a decir que el proceder de la Administración fue erróneo, pues para obtener la reparación de los daños podría haberse acogido a la fórmula establecida en el art. 48.3 de la Ley de carreteras de Galicia, sin fijar sanción alguna. A juicio del Fiscal, este argumento no tiene en cuenta que la aplicación del precepto último citado requiere de la comisión de una infracción, pues su aplicación está prevista para aquellos casos en que tal infracción haya prescrito </w:t>
      </w:r>
      <w:r>
        <w:lastRenderedPageBreak/>
        <w:t>y no obstante lo cual se exigirá la restitución de las cosas y su reposición al estado anterior, cualquiera que sea el tiempo transcurrido. Por tanto, la sola pretensión de reparación de los desperfectos causados no puede encauzarse mediante un procedimiento sancionador, ni ser satisfecha a través de la imposición de una sanción.</w:t>
      </w:r>
    </w:p>
    <w:p w:rsidR="00AC56D6" w:rsidRDefault="00AC56D6" w:rsidP="00AC56D6">
      <w:pPr>
        <w:pStyle w:val="TextoNormal"/>
      </w:pPr>
    </w:p>
    <w:p w:rsidR="00AC56D6" w:rsidRDefault="00AC56D6" w:rsidP="00AC56D6">
      <w:pPr>
        <w:pStyle w:val="TextoNormal"/>
      </w:pPr>
      <w:r>
        <w:t>En segundo término, el Ministerio Fiscal aduce que el razonamiento judicial se ha construido al margen de lo sostenido por la Administración, hasta el extremo de verificar una reconstrucción de la sanción “equiparable a una búsqueda judicial autónoma a los términos del debate suscitado por las partes y separado de los mismos, paradójicamente sobre la base de una mutación o reconversión de la esencia del procedimiento sancionador, que ha conducido en la práctica a extender unas normas sancionadoras fuera de los supuestos y de los límites que ellas mismas determinan. Todo ello, constituye un dislate lógico y jurídico carente de respeto a las mínimas exigencias del derecho a obtener una respuesta fundada en Derecho (art. 24.1 CE)”.</w:t>
      </w:r>
    </w:p>
    <w:p w:rsidR="00AC56D6" w:rsidRDefault="00AC56D6" w:rsidP="00AC56D6">
      <w:pPr>
        <w:pStyle w:val="TextoNormal"/>
      </w:pPr>
    </w:p>
    <w:p w:rsidR="00AC56D6" w:rsidRDefault="00AC56D6" w:rsidP="00AC56D6">
      <w:pPr>
        <w:pStyle w:val="TextoNormal"/>
      </w:pPr>
      <w:r>
        <w:t>En tercer lugar, el Fiscal aborda la eventual conculcación del derecho a la legalidad en materia sancionadora reconocido en el art. 25.1 CE, pues aunque el recurrente no ha denunciado en la demanda de amparo la vulneración de ese derecho, sí la invocó en el expediente administrativo y en el procedimiento judicial. Tras sintetizar la doctrina constitucional relativa al principio de legalidad aludido, el Fiscal colige que se ha producido una vulneración del mandato establecido en el precepto citado, tanto por la resolución administrativa como por la Sentencia impugnada. Y ello obedece a que ambas resoluciones han prescindido del significado de la garantía que el art. 25.1 CE establece (Nadie puede ser condenado o sancionado por acciones u omisiones que en el momento de producirse no constituyan delito, falta o infracción administrativa, según la legislación vigente en aquél momento), pues la Administración aplicó una norma sancionadora con el objeto de salvar su reclamación de responsabilidad, mientras que el órgano judicial reconoció que al demandante no se le impuso una sanción porque su conducta se incardine dentro de un ilícito administrativo, sino porque, al margen de ello, era procedente reclamar la reposición de los elementos dañados por el mismo importe de la sanción y a través de ésta. Por ello, considera que la argumentación judicial es “un ejemplo paradigmático de aplicación, de un tipo sancionador y una sanción, ajena a los términos de la norma aplicada, a las pautas axiológicas, a los criterios mínimos que impone la lógica jurídica y los modelos de argumentación adoptados por la comunidad jurídica”.</w:t>
      </w:r>
    </w:p>
    <w:p w:rsidR="00AC56D6" w:rsidRDefault="00AC56D6" w:rsidP="00AC56D6">
      <w:pPr>
        <w:pStyle w:val="TextoNormal"/>
      </w:pPr>
    </w:p>
    <w:p w:rsidR="00AC56D6" w:rsidRDefault="00AC56D6" w:rsidP="00AC56D6">
      <w:pPr>
        <w:pStyle w:val="TextoNormal"/>
      </w:pPr>
      <w:r>
        <w:t>Por todo lo expuesto, el Fiscal interesa la estimación del amparo; el reconocimiento del derecho del recurrente a la legalidad en materia sancionadora (art. 25.1 CE) y a la tutela judicial efectiva sin indefensión (art. 24.1 CE); y la anulación de la resolución dictada por la Diputación Provincial de Lugo y de la Sentencia recaída en el procedimiento judicial.</w:t>
      </w:r>
    </w:p>
    <w:p w:rsidR="00AC56D6" w:rsidRDefault="00AC56D6" w:rsidP="00AC56D6">
      <w:pPr>
        <w:pStyle w:val="TextoNormal"/>
      </w:pPr>
    </w:p>
    <w:p w:rsidR="00AC56D6" w:rsidRDefault="00AC56D6" w:rsidP="00AC56D6">
      <w:pPr>
        <w:pStyle w:val="TextoNormal"/>
      </w:pPr>
      <w:r w:rsidRPr="00AC56D6">
        <w:rPr>
          <w:rStyle w:val="NumeroAFNegritaCaracter"/>
        </w:rPr>
        <w:t>10</w:t>
      </w:r>
      <w:r>
        <w:t>. Por diligencia de ordenación de fecha 18 de marzo de 2015, la Secretaría de la Sala Segunda de este Tribunal reclamó de la Diputación Provincial de Lugo la remisión de copia autenticada del expediente administrativo que, en su día, se remitió al Juzgado de lo Contencioso-Administrativo núm. 2 de Lugo, en relación con el procedimiento abreviado núm. 403-2012. En fecha 3 de julio de 2015 tuvo entrada en este Tribunal la documentación a que se ha hecho mención.</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11</w:t>
      </w:r>
      <w:r>
        <w:t>. Por providencia de fecha 16 de julio de 2015 se señaló para deliberación y votación de la presente Sentencia el día 20 del citado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presente recurso de amparo se dirige contra la Sentencia del Juzgado de lo Contencioso-Administrativo núm. 2 de Lugo, de fecha 18 de octubre de 2013, recaída en el procedimiento abreviado núm. 403-2012. También se dirige contra la providencia de fecha 21 de noviembre de 2013, en virtud de la cual se inadmite el incidente de nulidad interpuesto contra la referida Sentencia. Para el demandante, la Sentencia combatida vulnera su derecho a la tutela judicial efectiva sin indefensión (art. 24.1 CE), puesto que ha dado por subsanada la indebida denegación de la prueba interesada en el expediente sancionador, sin tener en cuenta que la doctrina constitucional no permite que en el procedimiento judicial se sanen los vicios cometidos por la Administración en detrimento de las garantías constitucionales. En segundo término se alega que el órgano judicial confirmó la validez de la resolución dictada por la Administración, al entender que dicha resolución tiene una finalidad restitutoria y no sancionadora, criterio este que no atiende a su verdadera naturaleza y no se corresponde con la tesis sustentada por la Diputación Provincial de Lugo. Por ello, afirma que el fallo dictado le ha originado indefensión, dado que ejerció su derecho de defensa de manera congruente con la naturaleza sancionadora de la resolución administrativa.</w:t>
      </w:r>
    </w:p>
    <w:p w:rsidR="00AC56D6" w:rsidRDefault="00AC56D6" w:rsidP="00AC56D6">
      <w:pPr>
        <w:pStyle w:val="TextoNormal"/>
      </w:pPr>
    </w:p>
    <w:p w:rsidR="00AC56D6" w:rsidRDefault="00AC56D6" w:rsidP="00AC56D6">
      <w:pPr>
        <w:pStyle w:val="TextoNormal"/>
      </w:pPr>
      <w:r>
        <w:t>Para la Diputación Provincial de Lugo la demanda debe ser desestimada, toda vez que el recurrente fue informado de la acusación que se dirigía contra él, la respuesta judicial sobre la denegación de prueba en el expediente administrativo ha sido motivada y, en suma, el demandante no ha sufrido indefensión real y efectiva.</w:t>
      </w:r>
    </w:p>
    <w:p w:rsidR="00AC56D6" w:rsidRDefault="00AC56D6" w:rsidP="00AC56D6">
      <w:pPr>
        <w:pStyle w:val="TextoNormal"/>
      </w:pPr>
    </w:p>
    <w:p w:rsidR="00AC56D6" w:rsidRDefault="00AC56D6" w:rsidP="00AC56D6">
      <w:pPr>
        <w:pStyle w:val="TextoNormal"/>
      </w:pPr>
      <w:r>
        <w:t>Para el Ministerio Fiscal, la argumentación ofrecida en la Sentencia respecto de la denegación de la prueba interesada en el expediente sancionador no contraviene el mandato enunciado en el art. 24.1 CE, ya que dicha prueba no puede ser considerada decisiva en términos de defensa. A ese respecto afirma que, aun cuando el demandante hubiera sido tratado peyorativamente respecto de otros implicados en accidentes de circulación, ese posible trato diferenciado no constituye vulneración del art. 14 CE, pues no es dable invocar, a ese efecto, desigualdad en situaciones de ilegalidad.</w:t>
      </w:r>
    </w:p>
    <w:p w:rsidR="00AC56D6" w:rsidRDefault="00AC56D6" w:rsidP="00AC56D6">
      <w:pPr>
        <w:pStyle w:val="TextoNormal"/>
      </w:pPr>
    </w:p>
    <w:p w:rsidR="00AC56D6" w:rsidRDefault="00AC56D6" w:rsidP="00AC56D6">
      <w:pPr>
        <w:pStyle w:val="TextoNormal"/>
      </w:pPr>
      <w:r>
        <w:t>Por el contrario, el Fiscal sí considera que la Sentencia dictada por el órgano judicial lesiona el derecho a obtener una resolución fundada en Derecho (art. 24.1 CE) y, asimismo, aprecia vulneración del derecho a la legalidad en materia sancionadora (art. 25.1 CE), lesión que atribuye tanto a la resolución administrativa como a la Sentencia. En esencia, el Fiscal estima que la fundamentación jurídica de la Sentencia incurre en manifiesta extravagancia e irracionalidad, al atribuir a la resolución dictada por la Diputación Provincial de Lugo una naturaleza resarcitoria que no ha sido sustentada por dicha entidad y que, además, ha sido ajena al debate entablado por las partes en el procedimiento judicial. Por otro lado, entiende que la Administración se ha servido de un procedimiento sancionador para obtener el resarcimiento de los perjuicios sufridos, mientras que el órgano judicial ha convalidado tal proceder, pese a entender que la conducta del demandante no es constitutiva de un ilícito administrativo.</w:t>
      </w:r>
    </w:p>
    <w:p w:rsidR="00AC56D6" w:rsidRDefault="00AC56D6" w:rsidP="00AC56D6">
      <w:pPr>
        <w:pStyle w:val="TextoNormal"/>
      </w:pPr>
    </w:p>
    <w:p w:rsidR="00AC56D6" w:rsidRDefault="00AC56D6" w:rsidP="00AC56D6">
      <w:pPr>
        <w:pStyle w:val="TextoNormal"/>
      </w:pPr>
      <w:r>
        <w:lastRenderedPageBreak/>
        <w:t xml:space="preserve">Aunque ninguna de las partes comparecidas ha puesto en duda la especial trascendencia constitucional de este recurso, que es requisito para su admisión de conformidad con los arts. 49.1 y 50.1 b) de nuestra Ley Orgánica, esta condición de requisito de admisión y por consiguiente de orden público procesal (entre otras, STC 113/2012, de 24 de mayo, FJ 2, y las allí citadas) así como exigencias de certeza y buena administración de justicia (STEDH de 20 de enero de 2015, caso </w:t>
      </w:r>
      <w:r w:rsidRPr="00AC56D6">
        <w:rPr>
          <w:i/>
        </w:rPr>
        <w:t>Arribas Antón contra España</w:t>
      </w:r>
      <w:r>
        <w:t>, apartado 46) obligan a explicitar el cumplimiento de ese requisito para hacer así reconocibles los criterios empleados al efecto por este Tribunal. En el presente recurso, las especificidades propias del caso permiten a este Tribunal perfilar o aclarar su doctrina en relación con el alcance y contenido del control judicial, en sede contencioso-administrativa, respecto de las resoluciones sancionadoras adoptadas por la Administración [STC 155/2009, FJ 2 b)].</w:t>
      </w:r>
    </w:p>
    <w:p w:rsidR="00AC56D6" w:rsidRDefault="00AC56D6" w:rsidP="00AC56D6">
      <w:pPr>
        <w:pStyle w:val="TextoNormal"/>
      </w:pPr>
    </w:p>
    <w:p w:rsidR="00AC56D6" w:rsidRDefault="00AC56D6" w:rsidP="00AC56D6">
      <w:pPr>
        <w:pStyle w:val="TextoNormal"/>
      </w:pPr>
      <w:r w:rsidRPr="00AC56D6">
        <w:rPr>
          <w:rStyle w:val="NumeroAFNegritaCaracter"/>
        </w:rPr>
        <w:t>2</w:t>
      </w:r>
      <w:r>
        <w:t>. Previamente a abordar las cuestiones que nos corresponde resolver, procede delimitar el alcance de nuestro enjuiciamiento. Como ha quedado expuesto el Fiscal atribuye, tanto a la resolución administrativa como a la Sentencia, la vulneración del derecho a la legalidad en materia sancionadora reconocido en el art. 25.1 CE, mientras que el recurrente limita su pretensión, reflejada en el escrito de demanda, al reconocimiento de la vulneración de su derecho a la tutela judicial efectiva sin indefensión (art. 24.1 CE), que aquél achaca a las resoluciones judiciales referenciadas en el encabezamiento de esta Sentencia. Siendo así, cumple decir, conforme a lo establecido por la doctrina constitucional (entre otras SSTC 74/1985, de 18 de junio, FJ 1; 131/1986, de 29 de octubre, FJ 1; 291/1993, de 18 de octubre, FJ 1, y 63/2000, de 13 de marzo, FJ 1), que el objeto del proceso de amparo queda definitivamente fijado en el escrito de demanda, sin que el trámite de alegaciones del art. 52.1 de la Ley Orgánica del Tribunal Constitucional consienta una alteración sustancial del mismo con nuevas pretensiones. Por ello, solamente nos corresponde conocer sobre la eventual vulneración del derecho fundamental recogido en el escrito que principia el presente recurso de amparo, es decir, la lesión del derecho a la tutela judicial efectiva sin indefensión (art. 24.1 CE).</w:t>
      </w:r>
    </w:p>
    <w:p w:rsidR="00AC56D6" w:rsidRDefault="00AC56D6" w:rsidP="00AC56D6">
      <w:pPr>
        <w:pStyle w:val="TextoNormal"/>
      </w:pPr>
    </w:p>
    <w:p w:rsidR="00AC56D6" w:rsidRDefault="00AC56D6" w:rsidP="00AC56D6">
      <w:pPr>
        <w:pStyle w:val="TextoNormal"/>
      </w:pPr>
      <w:r w:rsidRPr="00AC56D6">
        <w:rPr>
          <w:rStyle w:val="NumeroAFNegritaCaracter"/>
        </w:rPr>
        <w:t>3</w:t>
      </w:r>
      <w:r>
        <w:t>. Efectuada la anterior acotación, procede analizar el primer motivo esgrimido en la demanda de amparo. Sostiene el recurrente que el órgano judicial dio indebidamente por sanada la denegación de prueba cuya práctica instó en el expediente sancionador. Ciertamente, en el apartado a) del fundamento jurídico 1 de la Sentencia combatida se afirma que la denegación del informe interesado en la vía administrativa ha quedado salvado en sede contenciosa, al haberse admitido como prueba el informe elaborado por la Diputación Provincial de Lugo sobre los expedientes sancionadores incoados con motivo de accidentes de circulación. Por otro lado, también es cierto que este Tribunal ha proclamado, con carácter general, que el procedimiento contencioso-administrativo no es un instrumento apto para sanar las vulneraciones de las garantías constitucionales acaecidas en la vía administrativa (entre otras, STC 70/2008, de 23 de junio, FJ 7). Asimismo, debe destacarse que, tanto en sede administrativa como judicial, el demandante de amparo ha venido recabando la elaboración de un informe explicativo sobre los expedientes sancionadores incoados y las sanciones impuestas con ocasión de los daños causados en la carretera con ocasión de accidentes de circulación.</w:t>
      </w:r>
    </w:p>
    <w:p w:rsidR="00AC56D6" w:rsidRDefault="00AC56D6" w:rsidP="00AC56D6">
      <w:pPr>
        <w:pStyle w:val="TextoNormal"/>
      </w:pPr>
    </w:p>
    <w:p w:rsidR="00AC56D6" w:rsidRDefault="00AC56D6" w:rsidP="00AC56D6">
      <w:pPr>
        <w:pStyle w:val="TextoNormal"/>
      </w:pPr>
      <w:r>
        <w:t xml:space="preserve">Sin perjuicio de lo expuesto, para dar adecuada respuesta al primer motivo suscitado por el demandante resulta preciso tener en cuenta las siguientes consideraciones adicionales. Según se indica en la demanda de amparo, lo que el recurrente pretendía acreditar a través </w:t>
      </w:r>
      <w:r>
        <w:lastRenderedPageBreak/>
        <w:t>de la prueba documental interesada en el expediente administrativo era el tratamiento discriminatorio de que fue objeto, en relación con otros terceros involucrados en accidentes de circulación. Este alegato fue expresamente abordado en la sentencia impugnada y, al respecto, el juzgador consideró que, aun cuando el recurrente hubiera sido tratado de manera peyorativa, tal circunstancia no comportaría una vulneración del art. 14 CE, puesto que no cabe exigir un tratamiento igual en situaciones de ilegalidad.</w:t>
      </w:r>
    </w:p>
    <w:p w:rsidR="00AC56D6" w:rsidRDefault="00AC56D6" w:rsidP="00AC56D6">
      <w:pPr>
        <w:pStyle w:val="TextoNormal"/>
      </w:pPr>
    </w:p>
    <w:p w:rsidR="00AC56D6" w:rsidRDefault="00AC56D6" w:rsidP="00AC56D6">
      <w:pPr>
        <w:pStyle w:val="TextoNormal"/>
      </w:pPr>
      <w:r>
        <w:t xml:space="preserve">Según reiterada doctrina constitucional, para apreciar lesión del derecho a utilizar los medios de prueba pertinentes para la defensa (art. 24.2 CE) es necesario que la prueba interesada y no practicada resulte decisiva en términos de defensa. Así lo hemos afirmado, entre otras, en la STC 129/2005, de 23 de mayo, FJ 4: “Es necesario, por lo demás —como ya hemos recordado con anterioridad—, que la falta de actividad probatoria se haya traducido en una efectiva indefensión del recurrente, o lo que es lo mismo, que sea ‘decisiva en términos de defensa’, lo que exige que el recurrente haya alegado y fundamentado adecuadamente dicha indefensión material en la demanda, habida cuenta de que, como es notorio, la carga de la argumentación recae sobre los demandantes de amparo. La anterior exigencia se proyecta en un doble plano: de una parte, el demandante ha de razonar en esta vía de amparo la relación entre los hechos que se quisieron y no se pudieron probar y las pruebas inadmitidas; de otra, deberá, además, argumentar de modo convincente que la resolución final del proceso </w:t>
      </w:r>
      <w:r w:rsidRPr="00AC56D6">
        <w:rPr>
          <w:i/>
        </w:rPr>
        <w:t>a quo</w:t>
      </w:r>
      <w:r>
        <w:t xml:space="preserve"> podía haberle sido favorable de haberse aceptado y practicado la prueba objeto de controversia, ya que sólo en tal caso, comprobado que el fallo pudo, acaso, haber sido otro si la prueba se hubiera admitido y practicado, podrá apreciarse también el menoscabo efectivo del derecho de quien por este motivo solicita amparo”.</w:t>
      </w:r>
    </w:p>
    <w:p w:rsidR="00AC56D6" w:rsidRDefault="00AC56D6" w:rsidP="00AC56D6">
      <w:pPr>
        <w:pStyle w:val="TextoNormal"/>
      </w:pPr>
    </w:p>
    <w:p w:rsidR="00AC56D6" w:rsidRDefault="00AC56D6" w:rsidP="00AC56D6">
      <w:pPr>
        <w:pStyle w:val="TextoNormal"/>
      </w:pPr>
      <w:r>
        <w:t>A la vista de la doctrina expuesta, cumple decir que la prueba que el demandante entiende que le fue indebidamente denegada en el expediente sancionador no era primordial en términos de defensa. Como señala el Fiscal, aun cuando se hubiera acreditado la realidad del tratamiento desigual a que alude el demandante, esta circunstancia en nada habría alterado el sentido de la Sentencia, visto el razonamiento dado por el órgano judicial para descartar la lesión del art. 14 CE. Por otro lado, debe destacarse que el argumento plasmado en la Sentencia sobre ese particular no ha sido combatido por el recurrente en esta sede constitucional, lo cual reafirma el carácter intrascendente, en términos de defensa, de la prueba cuya práctica se denegó en el expediente sancionador. En suma, si bien el demandante ha instado reiteradamente la práctica de la referida prueba en el expediente sancionador y ha puesto de manifiesto cumplidamente lo que pretendía acreditar a su través, lo cierto es que el aquietamiento demostrado por aquél, respecto de la argumentación judicial que refuta la relevancia de la aludida prueba, constituye un fiel exponente del carácter no decisivo en términos de defensa del informe denegado en el seno del expediente sancionador. Por todo lo expuesto, hemos de proclamar que la decisión judicial relativa a la denegación de prueba acaecida en el expediente sancionador no vulnera el derecho a la tutela judicial efectiva sin indefensión del demandante (art. 24.1 CE).</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A continuación procede dar respuesta al segundo de los motivos indicados en el escrito de demanda, si bien, con carácter previo resulta oportuno delimitar el parámetro al que se ha de sujetar nuestro enjuiciamiento. Este Tribunal ha tenido ocasión de pronunciarse reiteradamente sobre una de las vertientes del derecho a la tutela judicial efectiva sin indefensión, concretamente el derecho a obtener una resolución motivada, fundada en Derecho y </w:t>
      </w:r>
      <w:r>
        <w:lastRenderedPageBreak/>
        <w:t xml:space="preserve">congruente con las pretensiones de las partes. Sobre ese particular hemos afirmado lo siguiente: “Como hemos recordado en la STC 64/2010 de 18 de octubre, FJ 3, ‘el derecho fundamental a la tutela judicial efectiva (art. 24.1 CE) no incluye un pretendido derecho al acierto judicial en la selección, interpretación y aplicación de las disposiciones legales, pero sí comprende, entre otras dimensiones, el derecho a obtener una resolución judicial motivada que, a su vez, según la doctrina constitucional, presenta varias manifestaciones. Supone, en primer lugar, que la resolución ha de estar suficientemente motivada, es decir, contener los elementos y razones de juicio que permitan conocer cuáles han sido los criterios jurídicos que fundamentan la decisión; y en segundo lugar, que la motivación debe contener una fundamentación en Derecho, lo que conlleva la garantía de que la decisión no sea consecuencia de una aplicación arbitraria de la legalidad, ni resulte manifiestamente irrazonable, incursa en un error patente o en una evidente contradicción entre los fundamentos jurídicos, o entre éstos y el fallo, ya que, en tal caso, la aplicación de la legalidad sería tan sólo una mera apariencia’ (SSTC 147/1999, de 4 de agosto, FJ 3; 25/2000, de 31 de enero; FJ 2; 87/2000, de 27 de marzo; FJ 3; 82/2001, de 26 de marzo; FJ 2; 221/2001, de 31 de octubre; FJ 6; 55/2003, de 24 de marzo, FJ 6; 223/2005, de 12 de septiembre; FJ 3; y 276/2006, de 25 de septiembre; FJ 2, entre otras muchas). Asimismo, hemos venido afirmando que son los órganos judiciales los únicos competentes, </w:t>
      </w:r>
      <w:r w:rsidRPr="00AC56D6">
        <w:rPr>
          <w:i/>
        </w:rPr>
        <w:t>ex</w:t>
      </w:r>
      <w:r>
        <w:t xml:space="preserve"> art. 117.3 CE, para resolver sobre las materias de estricta legalidad ordinaria, si bien también hemos advertido que sus decisiones pueden ser objeto de revisión en vía de amparo si resultan inmotivadas o manifiestamente irrazonables o arbitrarias, pues, en tal caso, vulnerarían el derecho fundamental a la tutela judicial efectiva del art. 24.1 CE” (STC 138/2014, de 7 de octubre, FJ 2).</w:t>
      </w:r>
    </w:p>
    <w:p w:rsidR="00AC56D6" w:rsidRDefault="00AC56D6" w:rsidP="00AC56D6">
      <w:pPr>
        <w:pStyle w:val="TextoNormal"/>
      </w:pPr>
    </w:p>
    <w:p w:rsidR="00AC56D6" w:rsidRDefault="00AC56D6" w:rsidP="00AC56D6">
      <w:pPr>
        <w:pStyle w:val="TextoNormal"/>
      </w:pPr>
      <w:r w:rsidRPr="00AC56D6">
        <w:rPr>
          <w:rStyle w:val="NumeroAFNegritaCaracter"/>
        </w:rPr>
        <w:t>5</w:t>
      </w:r>
      <w:r>
        <w:t>. Despejado, pues, cuál es el canon al que se debe sujetar nuestro pronunciamiento, a continuación procede dilucidar si el órgano judicial lesionó el derecho fundamental indicado en la demanda. A tal fin, en primer lugar resulta pertinente esclarecer si la resolución dictada por la Diputación Provincial de Lugo reviste o no naturaleza sancionadora, mediante el escrutinio de los aspectos más relevantes del procedimiento seguido contra el demandante en vía administrativa. A ese respecto, no cabe albergar dudas acerca del carácter sancionador del procedimiento seguido y de la medida que finalmente se impuso al demandante, pues concurren todos los signos externos que identifican la naturaleza punitiva de la actuación administrativa. De entrada, el Decreto de fecha 24 de febrero de 2012 contempla, como motivo de la incoación del expediente, la comisión de una falta muy grave prevista en el art. 43.4 c) de la Ley de carreteras de Galicia, de la que se considera presuntamente responsable al demandante, por ser el autor material de los daños y por conducir de manera negligente. Por su parte, la resolución que puso fin al proceso sancionador refleja con nitidez cuál es su naturaleza: indica con claridad el hecho del que se considera responsable al recurrente; fundamenta la fuente de culpabilidad de su comportamiento; subsume la conducta del autor en sendas infracciones de carácter muy grave [arts. 43.4 b) y c) de la Ley de carreteras de Galicia]; y, por último, fija la sanción dentro de los márgenes previstos para ese tipo de infracciones, acogiéndose al principio de proporcionalidad para fijar la cuantía de aquélla. A lo ya expuesto, cabe añadir que durante el procedimiento judicial e, incluso, en esta sede constitucional, la Diputación Provincial de Lugo ha sostenido sin ambages que al demandante de amparo le fue impuesta una sanción por la comisión de un ilícito administrativo.</w:t>
      </w:r>
    </w:p>
    <w:p w:rsidR="00AC56D6" w:rsidRDefault="00AC56D6" w:rsidP="00AC56D6">
      <w:pPr>
        <w:pStyle w:val="TextoNormal"/>
      </w:pPr>
    </w:p>
    <w:p w:rsidR="00AC56D6" w:rsidRDefault="00AC56D6" w:rsidP="00AC56D6">
      <w:pPr>
        <w:pStyle w:val="TextoNormal"/>
      </w:pPr>
      <w:r>
        <w:t xml:space="preserve">En segundo término cumple decir, vista la fundamentación jurídica de la Sentencia que ha sido parcialmente transcrita en el apartado h) del antecedente 2 de esta resolución, que el órgano judicial no considera que el demandante haya cometido la infracción que le atribuye </w:t>
      </w:r>
      <w:r>
        <w:lastRenderedPageBreak/>
        <w:t>la Administración. Tal conclusión se extrae sin dificultad, pues en diferentes pasajes de la indicada fundamentación jurídica se afirma que el demandante no ha cometido la infracción descrita en el art. 43.4 b) de la Ley de carreteras de Galicia —nada dice, sin embargo, respecto de la infracción prevista en el art. 43.4 c)—;que si lo pretendido por la Administración hubiera sido sancionar se habría entonces vulnerando el principio de tipicidad; que la calificación jurídica de los hechos efectuada por la Administración constituye una torpeza; y que la invocación del principio de proporcionalidad de la sanción, en vez del “principio indemnitario”, constituye un error de bulto y una mala práctica administrativa. En suma, mientras que el acto administrativo impone una sanción por la comisión de un ilícito de carácter muy grave, el órgano judicial considera que, si ésa hubiera sido naturaleza de la medida impuesta, entonces se habría vulnerado el principio de tipicidad.</w:t>
      </w:r>
    </w:p>
    <w:p w:rsidR="00AC56D6" w:rsidRDefault="00AC56D6" w:rsidP="00AC56D6">
      <w:pPr>
        <w:pStyle w:val="TextoNormal"/>
      </w:pPr>
    </w:p>
    <w:p w:rsidR="00AC56D6" w:rsidRDefault="00AC56D6" w:rsidP="00AC56D6">
      <w:pPr>
        <w:pStyle w:val="TextoNormal"/>
      </w:pPr>
      <w:r>
        <w:t>Ahora bien, lejos de estimar el recurso contencioso-administrativo entablado por el demandante de amparo, en congruencia con la argumentación sintetizada, el órgano judicial desestimó la impugnación formulada por aquél, al entender que la Administración actuó con una finalidad distinta de la de punir por la comisión de un ilícito administrativo, pues lo que nominalmente figura como sanción no es más que la fijación de la obligación de satisfacer el importe de los perjuicios ocasionados. De ahí que, como así se refleja en la fundamentación jurídica parcialmente transcrita de la Sentencia, el juzgador considerase que la resolución administrativa es conforme a derecho por las siguientes razones: que en realidad la Administración trató de preservar el “principio indemnitario”, es decir el efectivo resarcimiento de los perjuicios sufridos; que la reparación de los desperfectos ocasionados en el vallado de la calzada puede ser exigida al amparo de lo dispuesto en el art. 48.3 de la Ley de carreteras de Galicia, precepto este que habilita la reclamación de daños y perjuicios aunque la infracción haya prescrito; y que, pese a lo equívoco de la actuación administrativa, el demandante ha podido ejercitar adecuadamente su derecho de contradicción y defensa, pues no se le vedó la posibilidad de acreditar la menor entidad del daño o el inferior valor del coste de reparación.</w:t>
      </w:r>
    </w:p>
    <w:p w:rsidR="00AC56D6" w:rsidRDefault="00AC56D6" w:rsidP="00AC56D6">
      <w:pPr>
        <w:pStyle w:val="TextoNormal"/>
      </w:pPr>
    </w:p>
    <w:p w:rsidR="00AC56D6" w:rsidRDefault="00AC56D6" w:rsidP="00AC56D6">
      <w:pPr>
        <w:pStyle w:val="TextoNormal"/>
      </w:pPr>
      <w:r w:rsidRPr="00AC56D6">
        <w:rPr>
          <w:rStyle w:val="NumeroAFNegritaCaracter"/>
        </w:rPr>
        <w:t>6</w:t>
      </w:r>
      <w:r>
        <w:t xml:space="preserve">. Una vez solventados los anteriores prolegómenos, resta por elucidar si la Sentencia dictada por el Juzgado de lo Contencioso-Administrativo núm. 2 de Lugo se acompasa con la doctrina expuesta en el fundamento jurídico 4 de esta resolución. Y la respuesta que cumple dar ha de ser negativa, por las razones que a continuación detallan. El órgano judicial halla en el art. 48.3 de la Ley de carreteras de Galicia fundamento bastante para exigir al demandante el importe de los desperfectos causados. Dicho precepto es del siguiente tenor: “El plazo de prescripción de las infracciones a que se refiere el art. 43 será de cinco años para las muy graves, de tres años para las graves y de un año para las leves, a contar desde su total consumación. No obstante, se exigirá la restitución de las cosas y su reposición al estado anterior, cualquiera que sea el tiempo transcurrido”. Visto el contenido de la norma transcrita, hemos de afirmar, de consuno con lo informado por el Fiscal, que la toma en consideración del art. 48.3 de la Ley de carreteras de Galicia como título habilitante para reclamar el importe de los desperfectos requiere, inexorablemente, de la comisión de una infracción tipificada en la norma sancionadora, pues si la conducta del autor no es susceptible de ser incardinada en un ilícito administrativo, tampoco cabría invocar la prescripción de la infracción como título válido para exigir el coste de los perjuicios ocasionados. Por ello, al descartar el órgano judicial la comisión de una infracción administrativa, el intento de legitimar la actuación administrativa sobre la base de lo preceptuado en el art. 48.3 de la </w:t>
      </w:r>
      <w:r>
        <w:lastRenderedPageBreak/>
        <w:t>Ley de carreteras de Galicia resulta jurídicamente inasumible. Por otro lado, el órgano judicial soslayó la aplicación de su propio criterio acerca del encaje de la conducta del demandante en la infracción señalada por la Administración, pues en vez de resolver conforme al presupuesto de la reconocida falta de tipicidad de los hechos, decidió desestimar las pretensiones del demandante, en el entendimiento de que la sanción impuesta no fue tal sanción sino un mero resarcimiento de los perjuicios causados.</w:t>
      </w:r>
    </w:p>
    <w:p w:rsidR="00AC56D6" w:rsidRDefault="00AC56D6" w:rsidP="00AC56D6">
      <w:pPr>
        <w:pStyle w:val="TextoNormal"/>
      </w:pPr>
    </w:p>
    <w:p w:rsidR="00AC56D6" w:rsidRDefault="00AC56D6" w:rsidP="00AC56D6">
      <w:pPr>
        <w:pStyle w:val="TextoNormal"/>
      </w:pPr>
      <w:r>
        <w:t>En suma, la Sentencia combatida en esta sede no se acompasa, por los motivos expuestos, con el canon de razonabilidad establecido por la doctrina constitucional. Además, de acuerdo a lo manifestado en el escrito de demanda, también hemos de afirmar que los motivos aducidos para desestimar el recurso contencioso-administrativo han originado indefensión al demandante, toda vez que este último articula su impugnación de manera congruente con la naturaleza sancionadora de resolución administrativa, naturaleza que no ha sido controvertida por la Diputación Provincial de Lugo. Por ello, en contraposición a lo afirmado por el órgano judicial, hemos de reconocer que la atribución de un carácter diferente a la referida resolución ha cercenado sensiblemente las posibilidades de defensa del demandante, quien desde el principio fundó su impugnación en la indebida imposición de lo que exteriorizaba ser una sanción.</w:t>
      </w:r>
    </w:p>
    <w:p w:rsidR="00AC56D6" w:rsidRDefault="00AC56D6" w:rsidP="00AC56D6">
      <w:pPr>
        <w:pStyle w:val="TextoNormal"/>
      </w:pPr>
    </w:p>
    <w:p w:rsidR="00AC56D6" w:rsidRDefault="00AC56D6" w:rsidP="00AC56D6">
      <w:pPr>
        <w:pStyle w:val="TextoNormal"/>
      </w:pPr>
      <w:r w:rsidRPr="00AC56D6">
        <w:rPr>
          <w:rStyle w:val="NumeroAFNegritaCaracter"/>
        </w:rPr>
        <w:t>7</w:t>
      </w:r>
      <w:r>
        <w:t>. Por todo lo expuesto, hemos de proclamar que no se ha respetado el derecho del recurrente a la tutela judicial efectiva sin indefensión, en su vertiente del derecho a obtener una resolución fundada (art. 24. 1 CE). Por ello, la demanda de amparo debe estimarse y, en consecuencia, procede restablecer al recurrente en la integridad del derecho fundamental vulnerado, anular las resoluciones judiciales impugnadas y retrotraer las actuaciones al momento de dictar Sentencia, para que se dicte nueva resolución que sea respetuosa con el derecho fundamental lesionado, conforme a los argumentos expuestos en el fundamento jurídico 6 de esta nuestra Sentencia.</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Estimar el presente recurso de amparo núm. 7452-2013, promovido por don Faustino Albuín Silva y, en su virtud:</w:t>
      </w:r>
    </w:p>
    <w:p w:rsidR="00AC56D6" w:rsidRDefault="00AC56D6" w:rsidP="00AC56D6">
      <w:pPr>
        <w:pStyle w:val="TextoNormal"/>
      </w:pPr>
    </w:p>
    <w:p w:rsidR="00AC56D6" w:rsidRDefault="00AC56D6" w:rsidP="00AC56D6">
      <w:pPr>
        <w:pStyle w:val="TextoNormal"/>
      </w:pPr>
      <w:r>
        <w:t>1º Declarar vulnerado el derecho del recurrente a la tutela judicial efectiva sin indefensión (art. 24.1 CE).</w:t>
      </w:r>
    </w:p>
    <w:p w:rsidR="00AC56D6" w:rsidRDefault="00AC56D6" w:rsidP="00AC56D6">
      <w:pPr>
        <w:pStyle w:val="TextoNormal"/>
      </w:pPr>
    </w:p>
    <w:p w:rsidR="00AC56D6" w:rsidRDefault="00AC56D6" w:rsidP="00AC56D6">
      <w:pPr>
        <w:pStyle w:val="TextoNormal"/>
      </w:pPr>
      <w:r>
        <w:t>2º Restablecerle en su derecho y, a tal fin, declarar la nulidad de la Sentencia de 18 de octubre de 2013, dictada en el procedimiento abreviado núm. 403-2012 del Juzgado de lo Contencioso-Administrativo núm. 2 de Lugo, y de la providencia de fecha 21 de noviembre de 2013, en cuya virtud fue inadmitido el incidente de nulidad deducido contra la referida Sentencia.</w:t>
      </w:r>
    </w:p>
    <w:p w:rsidR="00AC56D6" w:rsidRDefault="00AC56D6" w:rsidP="00AC56D6">
      <w:pPr>
        <w:pStyle w:val="TextoNormal"/>
      </w:pPr>
    </w:p>
    <w:p w:rsidR="00AC56D6" w:rsidRDefault="00AC56D6" w:rsidP="00AC56D6">
      <w:pPr>
        <w:pStyle w:val="TextoNormal"/>
      </w:pPr>
      <w:r>
        <w:lastRenderedPageBreak/>
        <w:t>3º Retrotraer las actuaciones al momento inmediatamente anterior al dictado de la Sentencia anulada, para que se dicte nueva resolución que sea respetuosa con el derecho fundamental reconocido.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veinte de julio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26" w:name="SENTENCIA_2015_170"/>
      <w:r>
        <w:lastRenderedPageBreak/>
        <w:t>SENTENCIA 170/2015, de 20 de julio de 2015</w:t>
      </w:r>
    </w:p>
    <w:bookmarkEnd w:id="26"/>
    <w:p w:rsidR="00AC56D6" w:rsidRDefault="00AC56D6" w:rsidP="00AC56D6">
      <w:pPr>
        <w:pStyle w:val="TtuloResolucin"/>
      </w:pPr>
      <w:r>
        <w:t>Sala Primera</w:t>
      </w:r>
    </w:p>
    <w:p w:rsidR="00AC56D6" w:rsidRDefault="00AC56D6" w:rsidP="00AC56D6">
      <w:pPr>
        <w:pStyle w:val="TtuloBOE"/>
      </w:pPr>
      <w:r>
        <w:t>(BOE núm. 200, de 21 de agosto de 2015)</w:t>
      </w:r>
    </w:p>
    <w:p w:rsidR="00AC56D6" w:rsidRDefault="00AC56D6" w:rsidP="00AC56D6">
      <w:pPr>
        <w:pStyle w:val="TextoNormalCentrado"/>
      </w:pPr>
      <w:r>
        <w:t>ECLI:ES:TC:2015:170</w:t>
      </w:r>
    </w:p>
    <w:p w:rsidR="00AC56D6" w:rsidRDefault="00AC56D6" w:rsidP="00AC56D6">
      <w:pPr>
        <w:pStyle w:val="TextoNormalCentrado"/>
      </w:pPr>
    </w:p>
    <w:p w:rsidR="00AC56D6" w:rsidRDefault="00AC56D6" w:rsidP="00AC56D6">
      <w:pPr>
        <w:pStyle w:val="SntesisDescriptiva"/>
      </w:pPr>
      <w:r>
        <w:t>Cuestión de inconstitucionalidad 743-2014. Planteada por el Juzgado de lo Contencioso-Administrativo número 22 de Madrid contra el artículo 2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extinción, por pérdida de objeto, de la cuestión de inconstitucionalidad (STC 83/2015).</w:t>
      </w:r>
    </w:p>
    <w:p w:rsidR="00AC56D6" w:rsidRDefault="00AC56D6" w:rsidP="00AC56D6">
      <w:pPr>
        <w:pStyle w:val="SntesisAnaltica"/>
      </w:pPr>
    </w:p>
    <w:p w:rsidR="00AC56D6" w:rsidRDefault="00AC56D6" w:rsidP="00AC56D6">
      <w:pPr>
        <w:pStyle w:val="Extracto"/>
      </w:pPr>
      <w:r>
        <w:t>1.</w:t>
      </w:r>
      <w:r>
        <w:tab/>
        <w:t>La satisfacción extraprocesal de la pretensión deducida en el proceso laboral sobre la que se articula la cuestión de inconstitucionalidad le hace perder su objeto al ser dicha satisfacción uno de los posibles supuestos de extinción de la cuestión de inconstitucionalidad (STC 83/2015) [FJ 3].</w:t>
      </w:r>
    </w:p>
    <w:p w:rsidR="00AC56D6" w:rsidRDefault="00AC56D6" w:rsidP="00AC56D6">
      <w:pPr>
        <w:pStyle w:val="Extracto"/>
      </w:pPr>
    </w:p>
    <w:p w:rsidR="00AC56D6" w:rsidRDefault="00AC56D6" w:rsidP="00AC56D6">
      <w:pPr>
        <w:pStyle w:val="Extracto"/>
      </w:pPr>
      <w:r>
        <w:t>2.</w:t>
      </w:r>
      <w:r>
        <w:tab/>
        <w:t>Doctrina sobre las posibles causas de terminación extraordinaria de las cuestiones de inconstitucionalidad por pérdida sobrevenida de objeto (STC 83/2015) [FJ 3].</w:t>
      </w:r>
    </w:p>
    <w:p w:rsidR="00AC56D6" w:rsidRDefault="00AC56D6" w:rsidP="00AC56D6">
      <w:pPr>
        <w:pStyle w:val="Extracto"/>
      </w:pPr>
    </w:p>
    <w:p w:rsidR="00AC56D6" w:rsidRDefault="00AC56D6" w:rsidP="00AC56D6">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743-2014, promovida por el Juzgado de lo Contencioso-Administrativo núm. 22 de Madrid contra el art. 2 del Real Decreto-ley 20/2012, de 13 de julio, de medidas para garantizar la estabilidad presupuestaria y de fomento de la competitividad, por posible vulneración del art. 9.3 CE. Han formulado alegaciones el Fiscal General del Estado y el Abogado del Estado. Ha sido Ponente el Magistrado don Juan Antonio Xiol Ríos, quien expresa el parecer del Tribunal.</w:t>
      </w:r>
    </w:p>
    <w:p w:rsidR="00AC56D6" w:rsidRDefault="00AC56D6" w:rsidP="00AC56D6">
      <w:pPr>
        <w:pStyle w:val="TextoNormal"/>
      </w:pPr>
    </w:p>
    <w:p w:rsidR="00AC56D6" w:rsidRDefault="00AC56D6" w:rsidP="00AC56D6">
      <w:pPr>
        <w:pStyle w:val="TextoNormalNegritaCentrado"/>
        <w:keepNext/>
      </w:pPr>
      <w:r>
        <w:lastRenderedPageBreak/>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18 de diciembre de 2014 tuvo entrada en el Registro General de este Tribunal un oficio del Juzgado de lo Contencioso-Administrativo núm. 22 de Madrid al que se acompaña, junto con el testimonio del procedimiento núm. 263-2013, el Auto de 25 de noviembre de 2013, por el que se acuerda plantear cuestión de inconstitucionalidad en relación con el art. 2 del Real Decreto-ley 20/2012, de 13 de julio, de medidas para garantizar la estabilidad presupuestaria y de fomento de la competitividad, en su aplicación a los funcionarios públicos, por posible lesión del art. 9.3 CE, sobre el principio de irretroactividad de disposiciones restrictivas de derechos individuales.</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procesales de la cuestión de inconstitucionalidad planteada son, sucintamente expuestos, los siguientes:</w:t>
      </w:r>
    </w:p>
    <w:p w:rsidR="00AC56D6" w:rsidRDefault="00AC56D6" w:rsidP="00AC56D6">
      <w:pPr>
        <w:pStyle w:val="TextoNormal"/>
      </w:pPr>
    </w:p>
    <w:p w:rsidR="00AC56D6" w:rsidRDefault="00AC56D6" w:rsidP="00AC56D6">
      <w:pPr>
        <w:pStyle w:val="TextoNormal"/>
      </w:pPr>
      <w:r>
        <w:t>a) Una profesora interpuso recurso contencioso-administrativo contra la Consejería de Educación y Empleo de la Comunidad de Madrid contra la desestimación por resolución de la Viceconsejera de Educación, de su reclamación de abono de la parte ya devengada correspondiente a la paga extraordinaria del mes de diciembre de 2012 (del 1 de junio hasta el 15 de julio de 2012).</w:t>
      </w:r>
    </w:p>
    <w:p w:rsidR="00AC56D6" w:rsidRDefault="00AC56D6" w:rsidP="00AC56D6">
      <w:pPr>
        <w:pStyle w:val="TextoNormal"/>
      </w:pPr>
    </w:p>
    <w:p w:rsidR="00AC56D6" w:rsidRDefault="00AC56D6" w:rsidP="00AC56D6">
      <w:pPr>
        <w:pStyle w:val="TextoNormal"/>
      </w:pPr>
      <w:r>
        <w:t>b) Concluso el procedimiento y dentro del plazo para dictar Sentencia, el órgano judicial dictó providencia de 18 de septiembre de 2013 por la que acordó oír a las partes y al Ministerio Fiscal para que alegasen sobre la pertinencia de plantear cuestión de inconstitucionalidad en relación con el art. 2 del Real Decreto-ley 20/2012, por posible vulneración del art. 9.3 CE. Según señalaba la Sala en la providencia, la duda de constitucionalidad se concretaba en que el citado precepto establece la reducción de las retribuciones en las cuantías que correspondiera percibir en el mes de diciembre de 2012 como consecuencia de la supresión de la paga o gratificación extraordinaria, sin establecer excepción alguna en cuanto a la parte que ya se hubiera devengado a la fecha de su entrada en vigor, el 15 de julio de 2012, lo que, partiendo del devengo por días de dicho concepto retributivo, podría vulnerar el art. 9.3 CE, que garantiza la irretroactividad de las disposiciones restrictivas de derechos individuales. En la providencia se planteaba también a las partes, como segunda cuestión, si consideraban preceptivo el planteamiento de la cuestión de inconstitucionalidad, o entendían que resultaba posible acomodar por vía interpretativa la norma al ordenamiento constitucional.</w:t>
      </w:r>
    </w:p>
    <w:p w:rsidR="00AC56D6" w:rsidRDefault="00AC56D6" w:rsidP="00AC56D6">
      <w:pPr>
        <w:pStyle w:val="TextoNormal"/>
      </w:pPr>
    </w:p>
    <w:p w:rsidR="00AC56D6" w:rsidRDefault="00AC56D6" w:rsidP="00AC56D6">
      <w:pPr>
        <w:pStyle w:val="TextoNormal"/>
      </w:pPr>
      <w:r>
        <w:t>c) Por escrito de 2 de octubre de 2013, la parte recurrente consideró que resultaba necesario plantear la cuestión. La Comunidad de Madrid, por su parte, cumplimentó el trámite de audiencia mediante escrito de 18 de octubre, manifestando su criterio desfavorable al planteamiento de la cuestión de inconstitucionalidad por entender que el derecho al percibo de la paga extraordinaria no nace hasta el primer día hábil de diciembre y durante el período de devengo solo existe una mera expectativa de derecho. El Ministerio Fiscal, por su parte, en escrito de 17 de octubre entendió procedente el planteamiento de la cuestión de inconstitucionalidad.</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3</w:t>
      </w:r>
      <w:r>
        <w:t>. Por Auto de 25 de noviembre de 2013, el Juzgado de lo Contencioso-Administrativo núm. 22 de Madrid acordó plantear la presente cuestión de inconstitucionalidad y del análisis de su contenido interesa destacar los siguientes puntos:</w:t>
      </w:r>
    </w:p>
    <w:p w:rsidR="00AC56D6" w:rsidRDefault="00AC56D6" w:rsidP="00AC56D6">
      <w:pPr>
        <w:pStyle w:val="TextoNormal"/>
      </w:pPr>
    </w:p>
    <w:p w:rsidR="00AC56D6" w:rsidRDefault="00AC56D6" w:rsidP="00AC56D6">
      <w:pPr>
        <w:pStyle w:val="TextoNormal"/>
      </w:pPr>
      <w:r>
        <w:t>a) Tras precisar los antecedentes de hecho en el planteamiento de la cuestión y trascribir el art. 2 del Real Decreto-ley 20/2012, de 13 de julio, de medidas para garantizar la estabilidad presupuestaria y de fomento de la competitividad, señala el órgano judicial que está claro que tal disposición suprime la percepción de la paga extraordinaria del mes de diciembre del año 2012 para el personal del sector público, y que lo hace a partir de su entrada en vigor (día 15 de julio de 2013), sin precisar el legislador excepciones por derechos ya devengados. Coincide en ello el órgano judicial con los razonamientos contenidos en un Auto de la Sala de lo Social de la Audiencia Nacional de 1 de marzo de 2013 en el que, resolviendo idéntica cuestión, se afirmaba por la Sala compartir el criterio del Abogado del Estado en el sentido de que el legislador era plenamente consciente de la posibilidad de que hubiera comenzado a devengarse la paga extraordinaria cuya percepción se suprimía, en tanto que indicaba que la medida afectaba a las cuantías “que corresponda percibir”, en tiempo verbal no condicional, admitiendo que el derecho ya se ha generado, no obstante lo cual cierra la puerta a su abono. Desde esa perspectiva, entendía la Sala que no era posible interpretar el art. 2 del Real Decreto-ley 20/2012 considerando que cabía abonar aquella parte de la paga extraordinaria de diciembre que ya se hubiera devengado a la fecha de la entrada en vigor de la citada norma, por oponerse a ello el tenor literal de la misma, conclusión que afirma compartir el órgano judicial proponente.</w:t>
      </w:r>
    </w:p>
    <w:p w:rsidR="00AC56D6" w:rsidRDefault="00AC56D6" w:rsidP="00AC56D6">
      <w:pPr>
        <w:pStyle w:val="TextoNormal"/>
      </w:pPr>
    </w:p>
    <w:p w:rsidR="00AC56D6" w:rsidRDefault="00AC56D6" w:rsidP="00AC56D6">
      <w:pPr>
        <w:pStyle w:val="TextoNormal"/>
      </w:pPr>
      <w:r>
        <w:t>b) Señala el órgano judicial, en relación con el alcance del derecho afectado por la disposición cuestionada, que de conformidad con la Ley del estatuto básico del empleado público —arts. 14 d) y 22.4—, el derecho a percibir las retribuciones constituye un derecho individual de los empleados públicos, formando parte de las mismas dos pagas extraordinarias al año, pagas que, de conformidad con el art. 22 de la Ley 33/1987, al que se remiten posteriores leyes de presupuestos, se devengan el primer día hábil de los meses de junio y diciembre. Se infiere de todo ello que el derecho nace por días, si bien se agrupa en dos períodos diferenciados a efectos de determinar su cuantía y proceder a su liquidación, habiéndose configurado por la jurisprudencia de la Sala de lo Social del Tribunal Supremo las pagas extras como conceptos retributivos.</w:t>
      </w:r>
    </w:p>
    <w:p w:rsidR="00AC56D6" w:rsidRDefault="00AC56D6" w:rsidP="00AC56D6">
      <w:pPr>
        <w:pStyle w:val="TextoNormal"/>
      </w:pPr>
    </w:p>
    <w:p w:rsidR="00AC56D6" w:rsidRDefault="00AC56D6" w:rsidP="00AC56D6">
      <w:pPr>
        <w:pStyle w:val="TextoNormal"/>
      </w:pPr>
      <w:r>
        <w:t>c) Señalado lo anterior, sintetiza seguidamente el Auto la doctrina constitucional sobre la prohibición de retroactividad de las disposiciones sancionadoras no favorables o restrictivas de derechos individuales prevista en el art. 9.3 CE, e indica que, conforme a ella, cabe estimar que la norma cuestionada constituye un caso de retroactividad auténtica, teniendo el derecho afectado la naturaleza de “derecho individual” merecedor de la protección del art. 9.3 CE. También en este punto afirma compartir los razonamientos del Auto de la Sala de lo Social de la Audiencia Nacional de 1 de marzo de 2013, en el sentido de que los derechos retributivos, consagrados en el art. 35 CE, pertenecen a esa esfera general de protección de la persona.</w:t>
      </w:r>
    </w:p>
    <w:p w:rsidR="00AC56D6" w:rsidRDefault="00AC56D6" w:rsidP="00AC56D6">
      <w:pPr>
        <w:pStyle w:val="TextoNormal"/>
      </w:pPr>
    </w:p>
    <w:p w:rsidR="00AC56D6" w:rsidRDefault="00AC56D6" w:rsidP="00AC56D6">
      <w:pPr>
        <w:pStyle w:val="TextoNormal"/>
      </w:pPr>
      <w:r>
        <w:t xml:space="preserve">d) Finalmente, considera el órgano judicial que no concurren circunstancias excepcionales que, de conformidad con la doctrina constitucional, pudieran justificar la retroactividad, circunstancias que deben ser interpretadas restrictivamente y sobre las que nada se indica </w:t>
      </w:r>
      <w:r>
        <w:lastRenderedPageBreak/>
        <w:t>en la exposición de motivos del Real Decreto-ley. Señala, en todo caso, que la medida cuestionada resulta meramente coyuntural, pues consiste en la supresión de una única paga extra, y que el mismo objetivo de reducción del gasto podría haberse conseguido mediante otras múltiples opciones no vulneradoras de la prohibición de retroactividad del art. 9.3 CE.</w:t>
      </w:r>
    </w:p>
    <w:p w:rsidR="00AC56D6" w:rsidRDefault="00AC56D6" w:rsidP="00AC56D6">
      <w:pPr>
        <w:pStyle w:val="TextoNormal"/>
      </w:pPr>
    </w:p>
    <w:p w:rsidR="00AC56D6" w:rsidRDefault="00AC56D6" w:rsidP="00AC56D6">
      <w:pPr>
        <w:pStyle w:val="TextoNormal"/>
      </w:pPr>
      <w:r>
        <w:t>e) Por todo lo expuesto, el Juzgado concluye que el art. 2 del Real Decreto-ley 20/2012, en la medida en que elimina la parte ya consolidada de la paga extraordinaria del mes de diciembre de los funcionarios públicos, implica retroactividad restrictiva de derechos individuales prohibida por el art. 9.3 CE, sin que sea posible acomodar por vía interpretativa la norma al ordenamiento constitucional y dependiendo el fallo del proceso de la validez de la norma, por lo que procede el planteamiento de la cuestión de inconstitucionalidad.</w:t>
      </w:r>
    </w:p>
    <w:p w:rsidR="00AC56D6" w:rsidRDefault="00AC56D6" w:rsidP="00AC56D6">
      <w:pPr>
        <w:pStyle w:val="TextoNormal"/>
      </w:pPr>
    </w:p>
    <w:p w:rsidR="00AC56D6" w:rsidRDefault="00AC56D6" w:rsidP="00AC56D6">
      <w:pPr>
        <w:pStyle w:val="TextoNormal"/>
      </w:pPr>
      <w:r w:rsidRPr="00AC56D6">
        <w:rPr>
          <w:rStyle w:val="NumeroAFNegritaCaracter"/>
        </w:rPr>
        <w:t>4</w:t>
      </w:r>
      <w:r>
        <w:t>. El Pleno de este Tribunal, a propuesta de la Sección Primera, acordó admitir a trámite la cuestión mediante providencia de 25 de febrero de 2014; deferir a la Sala Primera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de lo Contencioso-Administrativo núm. 22 de Madrid,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Por escrito registrado el 7 de marzo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AC56D6" w:rsidRDefault="00AC56D6" w:rsidP="00AC56D6">
      <w:pPr>
        <w:pStyle w:val="TextoNormal"/>
      </w:pPr>
    </w:p>
    <w:p w:rsidR="00AC56D6" w:rsidRDefault="00AC56D6" w:rsidP="00AC56D6">
      <w:pPr>
        <w:pStyle w:val="TextoNormal"/>
      </w:pPr>
      <w:r>
        <w:t>Mediante escrito registrado el 12 de marzo de 2014, el Presidente del Senado comunicó a este Tribunal el acuerdo de la Mesa para que se diera por personada a la Cámara y por ofrecida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6</w:t>
      </w:r>
      <w:r>
        <w:t>. El Fiscal General del Estado presentó escrito de alegaciones ante este Tribunal el 13 de marzo de 2014 interesando la estimación de la presente cuestión de inconstitucionalidad.</w:t>
      </w:r>
    </w:p>
    <w:p w:rsidR="00AC56D6" w:rsidRDefault="00AC56D6" w:rsidP="00AC56D6">
      <w:pPr>
        <w:pStyle w:val="TextoNormal"/>
      </w:pPr>
    </w:p>
    <w:p w:rsidR="00AC56D6" w:rsidRDefault="00AC56D6" w:rsidP="00AC56D6">
      <w:pPr>
        <w:pStyle w:val="TextoNormal"/>
      </w:pPr>
      <w:r>
        <w:t>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AC56D6" w:rsidRDefault="00AC56D6" w:rsidP="00AC56D6">
      <w:pPr>
        <w:pStyle w:val="TextoNormal"/>
      </w:pPr>
    </w:p>
    <w:p w:rsidR="00AC56D6" w:rsidRDefault="00AC56D6" w:rsidP="00AC56D6">
      <w:pPr>
        <w:pStyle w:val="TextoNormal"/>
      </w:pPr>
      <w: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w:t>
      </w:r>
      <w:r w:rsidRPr="00AC56D6">
        <w:rPr>
          <w:i/>
        </w:rPr>
        <w:t>N.K.M. c.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t xml:space="preserve">El Fiscal General del Estado concluye sus alegaciones precisando que en el Auto de planteamiento no se cuestiona todo el art. 2 del Real Decreto-ley 20/2012 sino en concreto, su apartado 2.2 y el art. 3.1 ya que éstos son los que resultan aplicables para resolver el pleito sometido a su conocimiento y relevante en cuánto el recurso del proceso subyacente </w:t>
      </w:r>
      <w:r>
        <w:lastRenderedPageBreak/>
        <w:t>se refiere exclusivamente al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 en tanto, con respecto a los funcionarios la paga extraordinaria correspondiente al mes de diciembre se comienza a devengar en la fecha de 1 de junio de tal período.</w:t>
      </w:r>
    </w:p>
    <w:p w:rsidR="00AC56D6" w:rsidRDefault="00AC56D6" w:rsidP="00AC56D6">
      <w:pPr>
        <w:pStyle w:val="TextoNormal"/>
      </w:pPr>
    </w:p>
    <w:p w:rsidR="00AC56D6" w:rsidRDefault="00AC56D6" w:rsidP="00AC56D6">
      <w:pPr>
        <w:pStyle w:val="TextoNormal"/>
      </w:pPr>
      <w:r w:rsidRPr="00AC56D6">
        <w:rPr>
          <w:rStyle w:val="NumeroAFNegritaCaracter"/>
        </w:rPr>
        <w:t>7</w:t>
      </w:r>
      <w:r>
        <w:t>. El Abogado del Estado, mediante escrito de alegaciones registrado el 17 de marzo de 2014, se personó interesando la desestimación de la cuestión de inconstitucionalidad por las razones que, resumidamente, se exponen a continuación.</w:t>
      </w:r>
    </w:p>
    <w:p w:rsidR="00AC56D6" w:rsidRDefault="00AC56D6" w:rsidP="00AC56D6">
      <w:pPr>
        <w:pStyle w:val="TextoNormal"/>
      </w:pPr>
    </w:p>
    <w:p w:rsidR="00AC56D6" w:rsidRDefault="00AC56D6" w:rsidP="00AC56D6">
      <w:pPr>
        <w:pStyle w:val="TextoNormal"/>
      </w:pPr>
      <w:r>
        <w:t>Comienza señalando que el Juzgado no se cuestiona genéricamente la supresión de la paga extra al personal funcionario, sino que tan solo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00AC56D6" w:rsidRDefault="00AC56D6" w:rsidP="00AC56D6">
      <w:pPr>
        <w:pStyle w:val="TextoNormal"/>
      </w:pPr>
    </w:p>
    <w:p w:rsidR="00AC56D6" w:rsidRDefault="00AC56D6" w:rsidP="00AC56D6">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AC56D6" w:rsidRDefault="00AC56D6" w:rsidP="00AC56D6">
      <w:pPr>
        <w:pStyle w:val="TextoNormal"/>
      </w:pPr>
    </w:p>
    <w:p w:rsidR="00AC56D6" w:rsidRDefault="00AC56D6" w:rsidP="00AC56D6">
      <w:pPr>
        <w:pStyle w:val="TextoNormal"/>
      </w:pPr>
      <w: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w:t>
      </w:r>
      <w:r>
        <w:lastRenderedPageBreak/>
        <w:t>consolidado, asumido e integrado en el patrimonio de los trabajadores cuando entró en vigor” el Real Decreto-ley 20/2012, o si, por el contrario, se trataba de una expectativa de derecho o de un derecho futuro o condicionado.</w:t>
      </w:r>
    </w:p>
    <w:p w:rsidR="00AC56D6" w:rsidRDefault="00AC56D6" w:rsidP="00AC56D6">
      <w:pPr>
        <w:pStyle w:val="TextoNormal"/>
      </w:pPr>
    </w:p>
    <w:p w:rsidR="00AC56D6" w:rsidRDefault="00AC56D6" w:rsidP="00AC56D6">
      <w:pPr>
        <w:pStyle w:val="TextoNormal"/>
      </w:pPr>
      <w:r>
        <w:t>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00AC56D6" w:rsidRDefault="00AC56D6" w:rsidP="00AC56D6">
      <w:pPr>
        <w:pStyle w:val="TextoNormal"/>
      </w:pPr>
    </w:p>
    <w:p w:rsidR="00AC56D6" w:rsidRDefault="00AC56D6" w:rsidP="00AC56D6">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lastRenderedPageBreak/>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AC56D6" w:rsidRDefault="00AC56D6" w:rsidP="00AC56D6">
      <w:pPr>
        <w:pStyle w:val="TextoNormal"/>
      </w:pPr>
    </w:p>
    <w:p w:rsidR="00AC56D6" w:rsidRDefault="00AC56D6" w:rsidP="00AC56D6">
      <w:pPr>
        <w:pStyle w:val="TextoNormal"/>
      </w:pPr>
      <w:r>
        <w:t>Por todo ello, se interesa la desestimación de la cuestión.</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3 de junio de 2015 la Sala Primera acordó, de conformidad con lo dispuesto en el art. 88.1 LOTC, dirigir atenta comunicación a la Consejería de Educación y Empleo de la Comunidad de Madrid, a fin de que indique a este Tribunal si, en atención a lo previsto en la disposición adicional duodécima de la Ley 36/2014, de presupuestos generales del Estado para el año 2015, o por cualquier otra circunstancia, ha satisfecho a la funcionaria docente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AC56D6" w:rsidRDefault="00AC56D6" w:rsidP="00AC56D6">
      <w:pPr>
        <w:pStyle w:val="TextoNormal"/>
      </w:pPr>
    </w:p>
    <w:p w:rsidR="00AC56D6" w:rsidRDefault="00AC56D6" w:rsidP="00AC56D6">
      <w:pPr>
        <w:pStyle w:val="TextoNormal"/>
      </w:pPr>
      <w:r w:rsidRPr="00AC56D6">
        <w:rPr>
          <w:rStyle w:val="NumeroAFNegritaCaracter"/>
        </w:rPr>
        <w:t>9</w:t>
      </w:r>
      <w:r>
        <w:t>. En contestación a dicha providencia la Subdirectora General de Régimen Jurídico de la Consejería de Educación, Juventud y Deporte de la Comunidad de Madrid remitió a este Tribunal, con fecha de entrada 24 de junio de 2015, informe de la Dirección General de Recursos Humanos de dicha Consejería en el que se hace constar que a la funcionaria señalada se la ha abonado la parte correspondiente a 44 días de la paga extraordinaria de diciembre de 2012, abono que se ha realizado en la nómina de enero de 2015, cuya fecha de pago fue el 30 de enero.</w:t>
      </w:r>
    </w:p>
    <w:p w:rsidR="00AC56D6" w:rsidRDefault="00AC56D6" w:rsidP="00AC56D6">
      <w:pPr>
        <w:pStyle w:val="TextoNormal"/>
      </w:pPr>
    </w:p>
    <w:p w:rsidR="00AC56D6" w:rsidRDefault="00AC56D6" w:rsidP="00AC56D6">
      <w:pPr>
        <w:pStyle w:val="TextoNormal"/>
      </w:pPr>
      <w:r w:rsidRPr="00AC56D6">
        <w:rPr>
          <w:rStyle w:val="NumeroAFNegritaCaracter"/>
        </w:rPr>
        <w:t>10</w:t>
      </w:r>
      <w:r>
        <w:t>. Por providencia de 16 de julio de 2015 se señaló para deliberación y votación de la presente Sentencia el día 20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El Juzgado de lo Contencioso-Administrativo núm. 22 de Madrid plantea cuestión de inconstitucionalidad respecto del art. 2 del Real Decreto-ley 20/2012, de 13 de julio, de medidas para garantizar la estabilidad presupuestaria y de fomento de la competitividad, precepto que, en lo que aquí importa, dispone para el personal funcionario, la supresión de la paga extraordinaria y de la paga adicional de complemento específico o pagas adicionales </w:t>
      </w:r>
      <w:r>
        <w:lastRenderedPageBreak/>
        <w:t>equivalentes del mes de diciembre de 2012. En síntesis, el Juzgado entiende que el art. 2 del Real Decreto-ley 20/2012, en su aplicación al personal funcionario,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1de junio al 14 de julio de 2012).</w:t>
      </w:r>
    </w:p>
    <w:p w:rsidR="00AC56D6" w:rsidRDefault="00AC56D6" w:rsidP="00AC56D6">
      <w:pPr>
        <w:pStyle w:val="TextoNormal"/>
      </w:pPr>
    </w:p>
    <w:p w:rsidR="00AC56D6" w:rsidRDefault="00AC56D6" w:rsidP="00AC56D6">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al análisis de la cuestión planteada conviene realizar una serie de precisiones para acotar debidamente el objeto de la misma y el alcance de nuestro enjuiciamiento.</w:t>
      </w:r>
    </w:p>
    <w:p w:rsidR="00AC56D6" w:rsidRDefault="00AC56D6" w:rsidP="00AC56D6">
      <w:pPr>
        <w:pStyle w:val="TextoNormal"/>
      </w:pPr>
    </w:p>
    <w:p w:rsidR="00AC56D6" w:rsidRDefault="00AC56D6" w:rsidP="00AC56D6">
      <w:pPr>
        <w:pStyle w:val="TextoNormal"/>
      </w:pPr>
      <w:r>
        <w:t>a) Así, en primer lugar, resulta obligado advertir, en consonancia con lo manifestado en sus alegaciones respectivas por el Fiscal General del Estado y el Abogado del Estado, que si bien el Juzgado de lo Contencioso-Administrativo núm. 22 de Madrid plantea la cuestión de inconstitucionalidad respecto del art. 2 del Real Decreto-ley 20/2012 en su integridad, lo cierto es que de los razonamientos que se contienen en el Auto de planteamiento se infiere sin dificultad que no se cuestiona todo el precepto sino solo “en su aplicación a los funcionarios públicos”. Ello se conecta lógicamente con el juicio de relevancia, correctamente expresado por el órgano judicial, pues la cuestión de inconstitucionalidad trae causa de un proceso promovido por una funcionaria docente con motivo de la supresión, por aplicación de las previsiones contenidas en el Real Decreto-ley 20/2012, de la paga o gratificación extraordinaria de diciembre de 2012, proceso en el que lo pretendido por la demandante es que se declare su derecho a percibir la parte proporcional de la paga extra de diciembre de 2012 que considera ya devengada al momento de la entrada en vigor del Real Decreto-ley 20/2012, en concreto 44 días, porque, de acuerdo con el art. 9.3 CE, no cabe que la supresión de esa paga extra tenga efectos retroactivos.</w:t>
      </w:r>
    </w:p>
    <w:p w:rsidR="00AC56D6" w:rsidRDefault="00AC56D6" w:rsidP="00AC56D6">
      <w:pPr>
        <w:pStyle w:val="TextoNormal"/>
      </w:pPr>
    </w:p>
    <w:p w:rsidR="00AC56D6" w:rsidRDefault="00AC56D6" w:rsidP="00AC56D6">
      <w:pPr>
        <w:pStyle w:val="TextoNormal"/>
      </w:pPr>
      <w:r>
        <w:t>De este modo, en los términos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2.1 del art. 2 del Real Decreto-ley 20/2012, que se refiere específicamente a la supresión de la paga o gratificación extraordinaria de diciembre de 2012 o equivalente al personal funcionario.</w:t>
      </w:r>
    </w:p>
    <w:p w:rsidR="00AC56D6" w:rsidRDefault="00AC56D6" w:rsidP="00AC56D6">
      <w:pPr>
        <w:pStyle w:val="TextoNormal"/>
      </w:pPr>
    </w:p>
    <w:p w:rsidR="00AC56D6" w:rsidRDefault="00AC56D6" w:rsidP="00AC56D6">
      <w:pPr>
        <w:pStyle w:val="TextoNormal"/>
      </w:pPr>
      <w:r>
        <w:t>b) Por otra parte debe tenerse en cuenta que no se cuestiona por el Juzgado de lo Contencioso-Administrativo núm. 22 de Madrid la medida de supresión de la paga extraordinaria de diciembre de 2012 en sí misma considerada, sino sólo en cuanto su aplicación haya podido suponer la infracción del principio de irretroactividad establecido en el 9.3 CE, al no contemplar excepción alguna respecto de las cuantías que se entienden ya devengadas de dicha paga extra (en concreto, 44 días correspondientes a los servicios prestados entre el 1 de junio de 2012 y el 14 de julio de 2012) a la fecha de entrada en vigor del Real Decreto-</w:t>
      </w:r>
      <w:r>
        <w:lastRenderedPageBreak/>
        <w:t>ley 20/2012 (que tuvo lugar el 15 de julio de 2012, conforme a su disposición final decimoquinta). A esta concreta duda de constitucionalidad deberá, pues, ceñirse nuestro enjuiciamiento.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La disposición adicional duodécima de la Ley 36/2014, de 26 de diciembre, de presupuestos generales del Estado para 2015, bajo el epígrafe “Recuperación de la paga extraordinaria y adicional del mes de diciembre de 2012”, establece,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00AC56D6" w:rsidRDefault="00AC56D6" w:rsidP="00AC56D6">
      <w:pPr>
        <w:pStyle w:val="TextoNormal"/>
      </w:pPr>
    </w:p>
    <w:p w:rsidR="00AC56D6" w:rsidRDefault="00AC56D6" w:rsidP="00AC56D6">
      <w:pPr>
        <w:pStyle w:val="TextoNormal"/>
      </w:pPr>
      <w:r>
        <w:t>En virtud de esta habilitación, la Ley 3/2014, de 22 de diciembre, de presupuestos generales de la Comunidad de Madrid para el año 2015, ha previsto en su disposición adicional decimosexta, bajo el epígrafe “Recuperación de la paga extraordinaria y adicional del mes de diciembre de 2012 del personal al servicio del sector público de la Comunidad de Madrid” que “durante el año 2015, el personal del sector público de la Comunidad de Madrid definido en el artículo 19.1 de la Ley de Presupuestos Generales de la Comunidad de Madrid para el año 2012 percibirá las cantidades en concepto de recuperación de los importes efectivamente dejados de percibir como consecuencia de la supresión de la paga extraordinaria, así como de la paga adicional de complemento específico o pagas adicionales equivalentes, correspondientes al mes de diciembre de 2012, por aplicación del Real Decreto-ley 20/2012, de 13 de julio, de medidas para garantizar la estabilidad presupuestaria y de fomento a la competitividad, con el alcance y límites establecidos en la presente disposición”. Las cantidades que se abonarán por este concepto, sobre el importe dejado de percibir por cada empleado en aplicación del artículo 2 del Real Decreto-ley 20/2012, de 13 de julio, serán las equivalentes a la parte proporcional correspondiente a 44 días de la paga extraordinaria, paga adicional de complemento específico y pagas adicionales del mes de diciembre.</w:t>
      </w:r>
    </w:p>
    <w:p w:rsidR="00AC56D6" w:rsidRDefault="00AC56D6" w:rsidP="00AC56D6">
      <w:pPr>
        <w:pStyle w:val="TextoNormal"/>
      </w:pPr>
    </w:p>
    <w:p w:rsidR="00AC56D6" w:rsidRDefault="00AC56D6" w:rsidP="00AC56D6">
      <w:pPr>
        <w:pStyle w:val="TextoNormal"/>
      </w:pPr>
      <w:r>
        <w:t>Asimismo, como consta en los antecedentes de esta resolución, de conformidad con lo dispuesto en el art. 88.1 LOTC, la Sala Primera de este Tribunal dirigió comunicación a la Consejería de Educación y Empleo de la Comunidad de Madrid, a fin de que indicara a este Tribunal si, en atención a lo previsto en la disposición adicional duodécima de la Ley 36/2014, de presupuestos generales del Estado para el año 2015, o por cualquier otra circunstancia, ha satisfecho a la funcionaria docente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 En contestación a dicha comunicación la Subdirectora General de Régimen Jurídico de la Consejería de Educación, Juventud y Deporte de la Comunidad de Madrid remitió a este Tribunal, con fecha de entrada 24 de junio de 2015, informe de la Dirección General de Recursos Humanos de dicha Consejería en el que se hace constar que a la funcionaria señalada se la ha abonado la parte correspondiente a 44 días de la paga extraordinaria de diciembre de 2012, abono que se ha realizado en la nómina de enero de 2015.</w:t>
      </w:r>
    </w:p>
    <w:p w:rsidR="00AC56D6" w:rsidRDefault="00AC56D6" w:rsidP="00AC56D6">
      <w:pPr>
        <w:pStyle w:val="TextoNormal"/>
      </w:pPr>
    </w:p>
    <w:p w:rsidR="00AC56D6" w:rsidRDefault="00AC56D6" w:rsidP="00AC56D6">
      <w:pPr>
        <w:pStyle w:val="TextoNormal"/>
      </w:pPr>
      <w:r>
        <w:lastRenderedPageBreak/>
        <w:t>Como consecuencia del abono de la parte proporcional señalada de la paga extraordinaria del mes de diciembre de 2012, debemos remitirnos a lo dicho recientemente en nuestra STC 83/2015, de 30 de abril, sobre la posible pérdida de objeto de la cuestión de inconstitucionalidad.</w:t>
      </w:r>
    </w:p>
    <w:p w:rsidR="00AC56D6" w:rsidRDefault="00AC56D6" w:rsidP="00AC56D6">
      <w:pPr>
        <w:pStyle w:val="TextoNormal"/>
      </w:pPr>
    </w:p>
    <w:p w:rsidR="00AC56D6" w:rsidRDefault="00AC56D6" w:rsidP="00AC56D6">
      <w:pPr>
        <w:pStyle w:val="TextoNormal"/>
      </w:pPr>
      <w:r>
        <w:t xml:space="preserve">En el fundamento jurídico tercero,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presente—, ni se había producido la extinción del procedimiento laboral </w:t>
      </w:r>
      <w:r w:rsidRPr="00AC56D6">
        <w:rPr>
          <w:i/>
        </w:rPr>
        <w:t>a quo</w:t>
      </w:r>
      <w:r>
        <w:t xml:space="preserve">, ni tampoco nos encontrábamos ante un supuesto de pérdida de vigencia del precepto legal cuestionado, ello no obstante, era innegable la incidencia que tenía la medida contenida en la disposición adicional duodécima de la Ley 36/2014, de presupuestos generales del Estado para 2015 sobre la pretensión deducida en el pleito </w:t>
      </w:r>
      <w:r w:rsidRPr="00AC56D6">
        <w:rPr>
          <w:i/>
        </w:rPr>
        <w:t>a quo</w:t>
      </w:r>
      <w:r>
        <w:t>, “que afecta de modo determinante a la subsistencia del presente proceso constitucional, dada la estrecha vinculación existente entre toda cuestión de inconstitucionalidad y el procedimiento judicial de que dimana.”</w:t>
      </w:r>
    </w:p>
    <w:p w:rsidR="00AC56D6" w:rsidRDefault="00AC56D6" w:rsidP="00AC56D6">
      <w:pPr>
        <w:pStyle w:val="TextoNormal"/>
      </w:pPr>
    </w:p>
    <w:p w:rsidR="00AC56D6" w:rsidRDefault="00AC56D6" w:rsidP="00AC56D6">
      <w:pPr>
        <w:pStyle w:val="TextoNormal"/>
      </w:pPr>
      <w:r>
        <w:t>En la presente cuestión de inconstitucionalidad se plantea si la supresión del derecho de una funcionaria docente a percibir la parte proporcional (en concreto, 44 días) de la paga extra de diciembre de 2012, por entenderse ya devengada al momento de la entrada en vigor del Real Decreto-ley 20/2012, contraviene el art. 9.3 CE. En esos términos planteada la cuestión es obligado concluir como hicimos en la STC 83/2015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00AC56D6" w:rsidRDefault="00AC56D6" w:rsidP="00AC56D6">
      <w:pPr>
        <w:pStyle w:val="TextoNormal"/>
      </w:pPr>
    </w:p>
    <w:p w:rsidR="00AC56D6" w:rsidRDefault="00AC56D6" w:rsidP="00AC56D6">
      <w:pPr>
        <w:pStyle w:val="TextoNormal"/>
      </w:pPr>
      <w:r>
        <w:t>Conforme a lo expuesto, el abono a la funcionaria docente de la Comunidad Autónoma de Madrid cuya demanda ha dado lugar al planteamiento de la presente cuestión de inconstitucionalidad de la parte correspondiente a 44 días de la paga extraordinaria de diciembre de 2012,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lastRenderedPageBreak/>
        <w:t>Ha decidido</w:t>
      </w:r>
    </w:p>
    <w:p w:rsidR="00AC56D6" w:rsidRDefault="00AC56D6" w:rsidP="00AC56D6">
      <w:pPr>
        <w:pStyle w:val="TextoNormalCentrado"/>
        <w:keepNext/>
      </w:pPr>
    </w:p>
    <w:p w:rsidR="00AC56D6" w:rsidRDefault="00AC56D6" w:rsidP="00AC56D6">
      <w:pPr>
        <w:pStyle w:val="TextoNormal"/>
      </w:pPr>
      <w:r>
        <w:t>Declarar la extinción de la presente cuestión de inconstitucionalidad por desaparición sobrevenida de su objeto.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veinte de julio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27" w:name="SENTENCIA_2015_171"/>
      <w:r>
        <w:lastRenderedPageBreak/>
        <w:t>SENTENCIA 171/2015, de 20 de julio de 2015</w:t>
      </w:r>
    </w:p>
    <w:bookmarkEnd w:id="27"/>
    <w:p w:rsidR="00AC56D6" w:rsidRDefault="00AC56D6" w:rsidP="00AC56D6">
      <w:pPr>
        <w:pStyle w:val="TtuloResolucin"/>
      </w:pPr>
      <w:r>
        <w:t>Sala Segunda</w:t>
      </w:r>
    </w:p>
    <w:p w:rsidR="00AC56D6" w:rsidRDefault="00AC56D6" w:rsidP="00AC56D6">
      <w:pPr>
        <w:pStyle w:val="TtuloBOE"/>
      </w:pPr>
      <w:r>
        <w:t>(BOE núm. 200, de 21 de agosto de 2015)</w:t>
      </w:r>
    </w:p>
    <w:p w:rsidR="00AC56D6" w:rsidRDefault="00AC56D6" w:rsidP="00AC56D6">
      <w:pPr>
        <w:pStyle w:val="TextoNormalCentrado"/>
      </w:pPr>
      <w:r>
        <w:t>ECLI:ES:TC:2015:171</w:t>
      </w:r>
    </w:p>
    <w:p w:rsidR="00AC56D6" w:rsidRDefault="00AC56D6" w:rsidP="00AC56D6">
      <w:pPr>
        <w:pStyle w:val="TextoNormalCentrado"/>
      </w:pPr>
    </w:p>
    <w:p w:rsidR="00AC56D6" w:rsidRDefault="00AC56D6" w:rsidP="00AC56D6">
      <w:pPr>
        <w:pStyle w:val="SntesisDescriptiva"/>
      </w:pPr>
      <w:r>
        <w:t>Cuestión de inconstitucionalidad 890-2014. Planteada por el Juzgado Central de lo Contencioso-Administrativo número 7 en relación con el artículo 2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extinción, por pérdida de objeto, de la cuestión de inconstitucionalidad (STC 83/2015).</w:t>
      </w:r>
    </w:p>
    <w:p w:rsidR="00AC56D6" w:rsidRDefault="00AC56D6" w:rsidP="00AC56D6">
      <w:pPr>
        <w:pStyle w:val="SntesisAnaltica"/>
      </w:pPr>
    </w:p>
    <w:p w:rsidR="00AC56D6" w:rsidRDefault="00AC56D6" w:rsidP="00AC56D6">
      <w:pPr>
        <w:pStyle w:val="Extracto"/>
      </w:pPr>
      <w:r>
        <w:t>1.</w:t>
      </w:r>
      <w:r>
        <w:tab/>
        <w:t>La satisfacción extraprocesal de la pretensión deducida en el proceso laboral sobre la que se articula la cuestión de inconstitucionalidad le hace perder su objeto al ser dicha satisfacción uno de los posibles supuestos de extinción de la cuestión de inconstitucionalidad (STC 83/2015) [FJ 3].</w:t>
      </w:r>
    </w:p>
    <w:p w:rsidR="00AC56D6" w:rsidRDefault="00AC56D6" w:rsidP="00AC56D6">
      <w:pPr>
        <w:pStyle w:val="Extracto"/>
      </w:pPr>
    </w:p>
    <w:p w:rsidR="00AC56D6" w:rsidRDefault="00AC56D6" w:rsidP="00AC56D6">
      <w:pPr>
        <w:pStyle w:val="Extracto"/>
      </w:pPr>
      <w:r>
        <w:t>2.</w:t>
      </w:r>
      <w:r>
        <w:tab/>
        <w:t>Doctrina sobre las posibles causas de terminación extraordinaria de las cuestiones de inconstitucionalidad por pérdida sobrevenida de objeto (STC 83/2015) [FJ 3].</w:t>
      </w:r>
    </w:p>
    <w:p w:rsidR="00AC56D6" w:rsidRDefault="00AC56D6" w:rsidP="00AC56D6">
      <w:pPr>
        <w:pStyle w:val="Extracto"/>
      </w:pPr>
    </w:p>
    <w:p w:rsidR="00AC56D6" w:rsidRDefault="00AC56D6" w:rsidP="00AC56D6">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890-2014, promovida por el Juzgado Central de lo Contencioso-administrativo núm. 7, en relación con el art. 2 del Real Decreto-ley 20/2012, de 13 de julio, de medidas para garantizar la estabilidad presupuestaria y de fomento de la competitividad. Ha comparecido y formulado alegaciones el Abogado del Estado. Ha intervenido el Fiscal General del Estado. Ha sido Ponente el Magistrado don Fernando Valdés Dal-Ré, quien expresa el parecer del Tribunal.</w:t>
      </w:r>
    </w:p>
    <w:p w:rsidR="00AC56D6" w:rsidRDefault="00AC56D6" w:rsidP="00AC56D6">
      <w:pPr>
        <w:pStyle w:val="TextoNormal"/>
      </w:pPr>
    </w:p>
    <w:p w:rsidR="00AC56D6" w:rsidRDefault="00AC56D6" w:rsidP="00AC56D6">
      <w:pPr>
        <w:pStyle w:val="TextoNormalNegritaCentrado"/>
        <w:keepNext/>
      </w:pPr>
      <w:r>
        <w:lastRenderedPageBreak/>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Con fecha 14 de febrero de 2014 tuvo entrada en el Registro General del Tribunal Constitucional un oficio del Juzgado Central de lo Contencioso-Administrativo núm. 7, de 6 de febrero de 2014, al que se acompañaba, junto al testimonio del procedimiento abreviado núm. 588-2013, el Auto de 22 de enero de 2014 por el se acuerda plantear cuestión de inconstitucionalidad en relación con el art. 2 del Real Decreto-ley 20/2012, de 13 de julio, de medidas para garantizar la estabilidad presupuestaria y de fomento de la competitividad, por posible vulneración del principio de irretroactividad del art. 9.3 CE, en su aplicación a los funcionarios públicos.</w:t>
      </w:r>
    </w:p>
    <w:p w:rsidR="00AC56D6" w:rsidRDefault="00AC56D6" w:rsidP="00AC56D6">
      <w:pPr>
        <w:pStyle w:val="TextoNormal"/>
      </w:pPr>
    </w:p>
    <w:p w:rsidR="00AC56D6" w:rsidRDefault="00AC56D6" w:rsidP="00AC56D6">
      <w:pPr>
        <w:pStyle w:val="TextoNormal"/>
      </w:pPr>
      <w:r w:rsidRPr="00AC56D6">
        <w:rPr>
          <w:rStyle w:val="NumeroAFNegritaCaracter"/>
        </w:rPr>
        <w:t>2</w:t>
      </w:r>
      <w:r>
        <w:t>. Resumidamente, los antecedentes del planteamiento de la presente cuestión de inconstitucionalidad son los siguientes:</w:t>
      </w:r>
    </w:p>
    <w:p w:rsidR="00AC56D6" w:rsidRDefault="00AC56D6" w:rsidP="00AC56D6">
      <w:pPr>
        <w:pStyle w:val="TextoNormal"/>
      </w:pPr>
    </w:p>
    <w:p w:rsidR="00AC56D6" w:rsidRDefault="00AC56D6" w:rsidP="00AC56D6">
      <w:pPr>
        <w:pStyle w:val="TextoNormal"/>
      </w:pPr>
      <w:r>
        <w:t>a) Doña C.G.A., funcionaria del cuerpo de maestros, interpuso recurso contencioso-administrativo contra la desestimación por silencio administrativo de la solicitud de abono de la parte proporcional de la paga extraordinaria de diciembre de 2012, correspondiente al periodo comprendido entre el 1 de junio y el 15 de julio de 2012, anterior a la entrada en vigor del Real Decreto-ley 20/2012.</w:t>
      </w:r>
    </w:p>
    <w:p w:rsidR="00AC56D6" w:rsidRDefault="00AC56D6" w:rsidP="00AC56D6">
      <w:pPr>
        <w:pStyle w:val="TextoNormal"/>
      </w:pPr>
    </w:p>
    <w:p w:rsidR="00AC56D6" w:rsidRDefault="00AC56D6" w:rsidP="00AC56D6">
      <w:pPr>
        <w:pStyle w:val="TextoNormal"/>
      </w:pPr>
      <w:r>
        <w:t>b) Concluso el procedimiento y dentro del plazo para dictar sentencia, por providencia de 28 de noviembre de 2013 el órgano judicial acordó oír a las partes y al Ministerio Fiscal para que alegasen sobre la pertinencia de plantear cuestión de inconstitucionalidad en relación con el art. 2 del citado Real Decreto-ley 20/2012, por posible vulneración del principio de irretroactividad de las disposiciones restrictivas de derechos individuales (art. 9.3 CE), en la medida en que suprime el derecho de los funcionarios a percibir cuantías de la paga extraordinaria del mes de diciembre de 2012 ya devengadas a la fecha de entrada en vigor de dicho Real Decreto-ley.</w:t>
      </w:r>
    </w:p>
    <w:p w:rsidR="00AC56D6" w:rsidRDefault="00AC56D6" w:rsidP="00AC56D6">
      <w:pPr>
        <w:pStyle w:val="TextoNormal"/>
      </w:pPr>
    </w:p>
    <w:p w:rsidR="00AC56D6" w:rsidRDefault="00AC56D6" w:rsidP="00AC56D6">
      <w:pPr>
        <w:pStyle w:val="TextoNormal"/>
      </w:pPr>
      <w:r>
        <w:t>c) Evacuado dicho trámite, por Auto de 22 de enero de 2014 el Juzgado Central de lo Contencioso-Administrativo núm. 7 acordó la elevación de la presente cuestión de inconstitucionalidad.</w:t>
      </w:r>
    </w:p>
    <w:p w:rsidR="00AC56D6" w:rsidRDefault="00AC56D6" w:rsidP="00AC56D6">
      <w:pPr>
        <w:pStyle w:val="TextoNormal"/>
      </w:pPr>
    </w:p>
    <w:p w:rsidR="00AC56D6" w:rsidRDefault="00AC56D6" w:rsidP="00AC56D6">
      <w:pPr>
        <w:pStyle w:val="TextoNormal"/>
      </w:pPr>
      <w:r w:rsidRPr="00AC56D6">
        <w:rPr>
          <w:rStyle w:val="NumeroAFNegritaCaracter"/>
        </w:rPr>
        <w:t>3</w:t>
      </w:r>
      <w:r>
        <w:t>. La duda de constitucionalidad, basada en la vulneración del principio de irretroactividad de las disposiciones sancionadoras no favorables o restrictivas de derechos individuales que garantiza el art. 9.3 CE, se fundamenta en el Auto de planteamiento en los razonamientos que a continuación se resumen:</w:t>
      </w:r>
    </w:p>
    <w:p w:rsidR="00AC56D6" w:rsidRDefault="00AC56D6" w:rsidP="00AC56D6">
      <w:pPr>
        <w:pStyle w:val="TextoNormal"/>
      </w:pPr>
    </w:p>
    <w:p w:rsidR="00AC56D6" w:rsidRDefault="00AC56D6" w:rsidP="00AC56D6">
      <w:pPr>
        <w:pStyle w:val="TextoNormal"/>
      </w:pPr>
      <w:r>
        <w:t>a) La redacción del art. 2 del Real Decreto-ley 20/2012 suprime la percepción de la paga extraordinaria del mes de diciembre del año 2012 para el personal funcionario en su cuantía total, sin excepción alguna respecto a posibles derechos ya devengados en el momento de su entrada en vigor, que tuvo lugar el 15 de julio de 2012.</w:t>
      </w:r>
    </w:p>
    <w:p w:rsidR="00AC56D6" w:rsidRDefault="00AC56D6" w:rsidP="00AC56D6">
      <w:pPr>
        <w:pStyle w:val="TextoNormal"/>
      </w:pPr>
    </w:p>
    <w:p w:rsidR="00AC56D6" w:rsidRDefault="00AC56D6" w:rsidP="00AC56D6">
      <w:pPr>
        <w:pStyle w:val="TextoNormal"/>
      </w:pPr>
      <w:r>
        <w:t xml:space="preserve">Atendiendo a la consolidada jurisprudencia según la cual las pagas extraordinarias son salario diferido que se devenga día a día, ello podría confrontar la norma cuestionada con el art 9.3 CE, que garantiza la irretroactividad de las disposiciones restrictivas de derechos </w:t>
      </w:r>
      <w:r>
        <w:lastRenderedPageBreak/>
        <w:t>individuales y la seguridad jurídica, puesto que se estaría suprimiendo el derecho ya generado a percibir la parte proporcional de la paga extraordinaria devengada antes de la entrada en vigor del Real Decreto-ley 20/2012.</w:t>
      </w:r>
    </w:p>
    <w:p w:rsidR="00AC56D6" w:rsidRDefault="00AC56D6" w:rsidP="00AC56D6">
      <w:pPr>
        <w:pStyle w:val="TextoNormal"/>
      </w:pPr>
    </w:p>
    <w:p w:rsidR="00AC56D6" w:rsidRDefault="00AC56D6" w:rsidP="00AC56D6">
      <w:pPr>
        <w:pStyle w:val="TextoNormal"/>
      </w:pPr>
      <w:r>
        <w:t>b) Partiendo de lo razonado en el Auto de la Sala de lo Social de la Audiencia Nacional de 1 de marzo de 2013, y conforme a la doctrina constitucional relativa al principio de irretroactividad recogido en el art. 9.3 CE (por todas, STC 112/2006, de 5 de abril), los derechos retributivos del personal del sector público pertenecen a la esfera general de protección de la persona consagrados en el art. 35.1 CE, que reconoce el derecho a la remuneración suficiente (lo que, en principio, se correspondería sólo con el salario mínimo interprofesional) y también el derecho al trabajo (una de cuyas notas esenciales es su carácter remunerado). El mandato del art. 103.3 CE ha tenido lugar mediante la promulgación de la Ley 7/2007, de 12 de abril, del estatuto básico del empleado público, que en los arts. 21 y 22, al regular los derechos retributivos de los funcionarios, determina que las pagas extraordinarias serán dos al año, cada una por el importe de una mensualidad de las retribuciones básicas y de la totalidad de las retribuciones complementarias. Las retribuciones de los funcionarios deben pues conceptuarse como derecho que pertenece a la esfera general de protección de la persona, y el Tribunal Constitucional ha venido admitiendo con naturalidad su encaje en el supuesto de hecho del art. 9.3 CE, incluso ante normas que, como la cuestionada, se inspiran en la finalidad de contención del gasto público mediante la reducción retributiva (STC 330/2005, de 15 de diciembre, y ATC 162/2012, de 13 de septiembre).</w:t>
      </w:r>
    </w:p>
    <w:p w:rsidR="00AC56D6" w:rsidRDefault="00AC56D6" w:rsidP="00AC56D6">
      <w:pPr>
        <w:pStyle w:val="TextoNormal"/>
      </w:pPr>
    </w:p>
    <w:p w:rsidR="00AC56D6" w:rsidRDefault="00AC56D6" w:rsidP="00AC56D6">
      <w:pPr>
        <w:pStyle w:val="TextoNormal"/>
      </w:pPr>
      <w:r>
        <w:t>c) Para determinar si el derecho a la paga extraordinaria de diciembre estaba ya consolidado, asumido e integrado en el patrimonio de los trabajadores cuando entró en vigor el Real Decreto-ley 20/2012 o si, por el contrario, se trataba de una expectativa de derecho, o de un derecho futuro o condicionado, para el caso de los funcionarios de carrera existe una previsión legal expresa, el art. 33 de la Ley 33/1987, de 23 de diciembre, de presupuestos generales del Estado para 1988, cuyo párrafo primero determina que las pagas extraordinarias se devengan el primer día de los meses de junio y diciembre, si bien del resto del precepto se desprende que se conceptúa la paga como salario diferido que se devenga día a día o, si se prefiere, como un salario que se percibirá en cuantía proporcional al tiempo de servicios efectivamente prestados.</w:t>
      </w:r>
    </w:p>
    <w:p w:rsidR="00AC56D6" w:rsidRDefault="00AC56D6" w:rsidP="00AC56D6">
      <w:pPr>
        <w:pStyle w:val="TextoNormal"/>
      </w:pPr>
    </w:p>
    <w:p w:rsidR="00AC56D6" w:rsidRDefault="00AC56D6" w:rsidP="00AC56D6">
      <w:pPr>
        <w:pStyle w:val="TextoNormal"/>
      </w:pPr>
      <w:r>
        <w:t>Por ello, no cabe admitir en este punto que la naturaleza de las pagas extraordinarias de los funcionarios públicos difiera sustancialmente de la de los demás trabajadores, por lo que, a falta de jurisprudencia específica de la Sala Tercera del Tribunal Supremo, debe considerarse plenamente aplicable la doctrina sentada por la Sala Cuarta sobre el devengo diario de las pagas extraordinarias, que “se alza con valor normativo complementario, salvaguardando la pureza de la ley, de modo que forma una unidad con la misma como parámetro de inconstitucionalidad del art. 2 del Real Decreto-ley 20/2012”.</w:t>
      </w:r>
    </w:p>
    <w:p w:rsidR="00AC56D6" w:rsidRDefault="00AC56D6" w:rsidP="00AC56D6">
      <w:pPr>
        <w:pStyle w:val="TextoNormal"/>
      </w:pPr>
    </w:p>
    <w:p w:rsidR="00AC56D6" w:rsidRDefault="00AC56D6" w:rsidP="00AC56D6">
      <w:pPr>
        <w:pStyle w:val="TextoNormal"/>
      </w:pPr>
      <w:r>
        <w:t>Estamos ante un derecho que se genera día a día, incorporándose como tal al acervo patrimonial de los funcionarios. En el caso examinado, atendiendo a la regulación legal señalada, al ser la paga extra de diciembre de 2012 de devengo semestral a partir del 1 de junio de 2012, a la fecha de entrada en vigor del Real Decreto-ley 20/2012 ya se había devengado y generado el derecho a la parte proporcional a un mes y 14 días de trabajo que, sin embargo, se suprime, operando una retroactividad auténtica o de grado máximo.</w:t>
      </w:r>
    </w:p>
    <w:p w:rsidR="00AC56D6" w:rsidRDefault="00AC56D6" w:rsidP="00AC56D6">
      <w:pPr>
        <w:pStyle w:val="TextoNormal"/>
      </w:pPr>
    </w:p>
    <w:p w:rsidR="00AC56D6" w:rsidRDefault="00AC56D6" w:rsidP="00AC56D6">
      <w:pPr>
        <w:pStyle w:val="TextoNormal"/>
      </w:pPr>
      <w:r>
        <w:lastRenderedPageBreak/>
        <w:t>d) Retomando nuevamente los argumentos de la Sala de lo Social de la Audiencia Nacional, y con referencia a la STC 197/1992, de 19 de noviembre, la crisis económica podría acaso justificar determinadas medidas restrictivas de derechos individuales como la cuestionada, pero no puede abrir la puerta, sin más, a que esas restricciones operen de modo retroactivo. La excepción a la irretroactividad recogida en la doctrina constitucional debe interpretarse de forma restrictiva, sin que pueda extenderse a toda medida de interés general. La reducción del déficit público puede justificar muchas medidas, pero no reúne la nota de cualificación absolutamente excepcional que sería necesaria para sacrificar el principio constitucional de seguridad jurídica que sustenta la irretroactividad, en aras del bien común. Es el interés general lo que se ataca cuando se niega a quienes han prestado sus servicios al sector público el derecho a percibir el salario correspondiente. Se hace referencia también en el Auto de planteamiento a algunos pronunciamientos del Tribunal Europeo de Derechos Humanos que, a su juicio, mantienen una concepción cualificada del interés general y descartan que la pretensión de reducir el gasto público, por muy urgente y necesaria que sea, constituya, sin más, un bien común que permita exceptuar los básicos principios constitucionales de irretroactividad y seguridad jurídica, principios constitucionales que sí cabría identificar, en cambio, con el interés general de los ciudadanos. Dado que los salarios y las pagas extraordinarias se han seguido abonando tras el mes de diciembre de 2012, queda en entredicho que el interés general sustentado en la crítica situación económica requiriera una supresión de derechos de carácter retroactivo, violentando el principio constitucional del art. 9.3 CE.</w:t>
      </w:r>
    </w:p>
    <w:p w:rsidR="00AC56D6" w:rsidRDefault="00AC56D6" w:rsidP="00AC56D6">
      <w:pPr>
        <w:pStyle w:val="TextoNormal"/>
      </w:pPr>
    </w:p>
    <w:p w:rsidR="00AC56D6" w:rsidRDefault="00AC56D6" w:rsidP="00AC56D6">
      <w:pPr>
        <w:pStyle w:val="TextoNormal"/>
      </w:pPr>
      <w:r w:rsidRPr="00AC56D6">
        <w:rPr>
          <w:rStyle w:val="NumeroAFNegritaCaracter"/>
        </w:rPr>
        <w:t>4</w:t>
      </w:r>
      <w:r>
        <w:t>. Por providencia de 10 de marzo de 2014, el Pleno, a propuesta de la Sección Cuarta, acordó admitir a trámite la cuestión de inconstitucionalidad; deferir su conocimiento a la Sala Segunda, a la que por turno objetivo le ha correspondido, conforme al art. 10.1.c) de la Ley Orgánica del Tribunal Constitucional (LOTC); dar traslado de la demanda y documentos presentados al Congreso de los Diputados, al Senado, al Gobierno y al Fiscal General del Estado, para que en el plazo de 15 días pudieran personarse en el procedimiento y formular las alegaciones que estimasen convenientes, de acuerdo con lo establecido por el art. 37.3 LOTC; comunicar esa resolución al Juzgado Central de lo Contencioso-Administrativo núm. 7 a fin de que, de conformidad con el art. 35.3 LOTC, permaneciese suspendido el proceso hasta la resolución de la presente cuestión; y publicar su incoación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Mediante sendos escritos registrados los días 19 y 21 de marzo de 2014, los Presidentes del Senado y del Congreso de los Diputados comunicaron los respectivos acuerdos de las Mesas de ambas Cámaras de personarse en el presente proceso constitucional, ofreciendo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6</w:t>
      </w:r>
      <w:r>
        <w:t>. Por escrito registrado en este Tribunal el 2 de abril de 2014, el Abogado del Estado se personó en el presente proceso constitucional, instando la desestimación de la cuestión en atención a las alegaciones que a continuación se sintetizan.</w:t>
      </w:r>
    </w:p>
    <w:p w:rsidR="00AC56D6" w:rsidRDefault="00AC56D6" w:rsidP="00AC56D6">
      <w:pPr>
        <w:pStyle w:val="TextoNormal"/>
      </w:pPr>
    </w:p>
    <w:p w:rsidR="00AC56D6" w:rsidRDefault="00AC56D6" w:rsidP="00AC56D6">
      <w:pPr>
        <w:pStyle w:val="TextoNormal"/>
      </w:pPr>
      <w:r>
        <w:t xml:space="preserve">a) Aunque el Auto de planteamiento cuestiona la totalidad del art. 2 del Real Decreto-ley 20/2012, se refiere solo a su apartado 2.2, es decir, a la aplicación de la supresión de la paga extraordinaria de diciembre al personal de las Administraciones públicas. Además, no se </w:t>
      </w:r>
      <w:r>
        <w:lastRenderedPageBreak/>
        <w:t>cuestiona genéricamente la referida supresión de la paga extraordinaria al personal funcionario, sino que tan solo se reprocha al legislador que no haya incluido una disposición transitoria por la cual se hubiera exceptuado de la mencionada supresión la parte proporcional que se entiende devengada desde el 1 de junio al 15 de julio, fecha de entrada en vigor de la norma. Por tanto, el órgano judicial plantea en realidad una inconstitucionalidad por omisión, posibilidad admitida por el Tribunal solo en contadas ocasiones (STC 120/2010, de 24 de noviembre, FJ 6). La consecuencia que, como máximo, podría derivarse de esta cuestión no sería la declaración de inconstitucionalidad del precepto cuestionado, sino simplemente la de imponer al legislador, con respeto a su libertad de configuración, el establecimiento de una expresa excepción correspondiente al periodo transcurrido entre el 1 de junio y el 15 de julio de 2012.</w:t>
      </w:r>
    </w:p>
    <w:p w:rsidR="00AC56D6" w:rsidRDefault="00AC56D6" w:rsidP="00AC56D6">
      <w:pPr>
        <w:pStyle w:val="TextoNormal"/>
      </w:pPr>
    </w:p>
    <w:p w:rsidR="00AC56D6" w:rsidRDefault="00AC56D6" w:rsidP="00AC56D6">
      <w:pPr>
        <w:pStyle w:val="TextoNormal"/>
      </w:pPr>
      <w:r>
        <w:t>b) El precepto cuestionado no constituye una “disposición sancionadora no favorable o restrictiva de derechos individuales” en el sentido del art. 9.3 CE, según la interpretación del Tribunal (SSTC 90/2009, de 20 de abril, FJ 4, y 100/2012, de 8 de mayo, FJ 10, y las allí citadas). Una norma que aspira a la contención del gasto de personal (como principal componente del gasto público) no es sancionadora ni restrictiva de derechos en el sentido constitucional de la expresión. Tampoco el art. 35.1 CE (derecho a una remuneración suficiente) comprendería el derecho al mantenimiento de una determinada retribución, ni permitiría afirmar que una reducción salarial es una norma constitucionalmente restrictiva de derechos en el sentido del art. 9.3 CE (STC 31/1984, de 7 de marzo, FJ 9). Toda vez que el art. 35.1 CE no garantiza el mantenimiento de un determinado nivel salarial inmutable, con independencia de la coyuntura económica, las reducciones salariales impuestas por el legislador no constituyen normas restrictivas del derecho reconocido en dicho precepto constitucional, en los términos del art. 9.3 CE.</w:t>
      </w:r>
    </w:p>
    <w:p w:rsidR="00AC56D6" w:rsidRDefault="00AC56D6" w:rsidP="00AC56D6">
      <w:pPr>
        <w:pStyle w:val="TextoNormal"/>
      </w:pPr>
    </w:p>
    <w:p w:rsidR="00AC56D6" w:rsidRDefault="00AC56D6" w:rsidP="00AC56D6">
      <w:pPr>
        <w:pStyle w:val="TextoNormal"/>
      </w:pPr>
      <w:r>
        <w:t>c) Subsidiariamente, para el caso de que este Tribunal apreciase que sí nos encontramos ante una disposición restrictiva de derechos individuales, la norma cuestionada no establece una retroactividad proscrita por el art. 9.3 CE. De acuerdo con reiterada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que puede tener relevancia constitucional desde la perspectiva de la protección de la seguridad jurídica (SSTC 227/1988, de 29 de noviembre, FJ 7, y 112/2006, de 5 de abril, FJ 17, entre otras).</w:t>
      </w:r>
    </w:p>
    <w:p w:rsidR="00AC56D6" w:rsidRDefault="00AC56D6" w:rsidP="00AC56D6">
      <w:pPr>
        <w:pStyle w:val="TextoNormal"/>
      </w:pPr>
    </w:p>
    <w:p w:rsidR="00AC56D6" w:rsidRDefault="00AC56D6" w:rsidP="00AC56D6">
      <w:pPr>
        <w:pStyle w:val="TextoNormal"/>
      </w:pPr>
      <w:r>
        <w:t xml:space="preserve">Respecto del personal laboral, el propio Auto de planteamiento reconoce que la regulación legal de las pagas extraordinarias no proporciona la solución, habiendo sido el Tribunal Supremo el que ha configurado la paga extra como de devengo diario y cobro aplazado.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El precepto cuestionado ha entendido, precisamente, que las gratificaciones extraordinarias se devengan en el momento del pago; concepción esta, por otro lado, perfectamente conforme con los arts. 26 y 31 de la Ley del estatuto de los trabajadores, así como con la doctrina de este Tribunal relativa a los tributos de hecho imponible duradero </w:t>
      </w:r>
      <w:r>
        <w:lastRenderedPageBreak/>
        <w:t>(STC 176/2011, de 8 de noviembre, FJ 5).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No habría por tanto eficacia retroactiva en sentido propio, dado que el Real Decreto-ley 20/2012 incide sobre una paga extraordinaria que todavía no se ha percibido.</w:t>
      </w:r>
    </w:p>
    <w:p w:rsidR="00AC56D6" w:rsidRDefault="00AC56D6" w:rsidP="00AC56D6">
      <w:pPr>
        <w:pStyle w:val="TextoNormal"/>
      </w:pPr>
    </w:p>
    <w:p w:rsidR="00AC56D6" w:rsidRDefault="00AC56D6" w:rsidP="00AC56D6">
      <w:pPr>
        <w:pStyle w:val="TextoNormal"/>
      </w:pPr>
      <w:r>
        <w:t>En el caso del personal funcionario, sí está fijado legalmente el momento en que nace el derecho, ya que las pagas extraordinarias se devengan por ley el 1 de junio y el 1 de diciembre: en desarrollo del art. 21 estatuto básico del empleado público, la Ley 2/2012, de 29 de junio, de presupuestos generales del Estado para 2012, dispuso en su art. 26 el periodo de devengo de las pagas por remisión a lo establecido por el art. 33 de la Ley 33/1987, de 23 de diciembre, de presupuestos generales del Estado para 1988, es decir, el primer día hábil de los meses de junio y diciembre. Conforme a los artículos citados, como regla general y salvo las excepciones previstas en los mismos, el derecho de los funcionarios públicos a la paga extraordinaria del mes de diciembre de 2012 nacería el primer día hábil de dicho mes y año. Así, durante los meses de junio y julio de 2012 este derecho no había nacido, no existía. Las previsiones de las leyes de presupuestos no tuvieron efecto alguno antes de la entrada en vigor del Real Decreto-ley 20/2012.</w:t>
      </w:r>
    </w:p>
    <w:p w:rsidR="00AC56D6" w:rsidRDefault="00AC56D6" w:rsidP="00AC56D6">
      <w:pPr>
        <w:pStyle w:val="TextoNormal"/>
      </w:pPr>
    </w:p>
    <w:p w:rsidR="00AC56D6" w:rsidRDefault="00AC56D6" w:rsidP="00AC56D6">
      <w:pPr>
        <w:pStyle w:val="TextoNormal"/>
      </w:pPr>
      <w:r>
        <w:t>La interpretación que realiza el órgano judicial confunde el periodo de generación del importe correspondiente a la paga extraordinaria, anterior al 1 de diciembre, con el devengo o derecho a su cobro, según el diccionario de la Real Academia Española, que solo nace, por ley, el 1 de diciembre.</w:t>
      </w:r>
    </w:p>
    <w:p w:rsidR="00AC56D6" w:rsidRDefault="00AC56D6" w:rsidP="00AC56D6">
      <w:pPr>
        <w:pStyle w:val="TextoNormal"/>
      </w:pPr>
    </w:p>
    <w:p w:rsidR="00AC56D6" w:rsidRDefault="00AC56D6" w:rsidP="00AC56D6">
      <w:pPr>
        <w:pStyle w:val="TextoNormal"/>
      </w:pPr>
      <w:r>
        <w:t>d) Aún en el caso de que se considerase que la norma establece una retroactividad de grado máximo, se justifica por la concurrencia de exigencias de interés público, conectadas con la situación de auténtica excepción fiscal que vivía España en el momento de aprobación del Real Decreto-ley 20/2012. De conformidad con la jurisprudencia constitucional [SSTC 182/1997, de 28 de octubre, FJ 13 A), y 176/2011, de 8 de noviembre, FJ 5, que a su vez cita la Sentencia del Tribunal de Justicia de la Unión Europa (STJUE, 26 de abril de 2005, C-376/02)], pueden reputarse conforme a la Constitución las modificaciones con cualquier grado de retroactividad cuando existan claras exigencias de interés general. Aplicando tal doctrina al presente caso, la medida cuestionada encontraría su justificación en un interés público relevante, como es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t xml:space="preserve">Así se señala en el preámbulo del Real Decreto-ley 20/2012 y en el debate de convalidación de la norma, y así se desprende de los datos ofrecidos en los sucesivos informes anuales del Banco de España de 2008, 2009, 2010 y 2011. En la senda de consolidación fiscal pactada con los órganos de la Unión Europea, España se ha visto obligada a una fuerte reducción del déficit (del 8,9 por 100 del PIB en 2011 al 6,3 por 100 del PIB en 2012), lo que ha </w:t>
      </w:r>
      <w:r>
        <w:lastRenderedPageBreak/>
        <w:t>exigido adoptar importantes medidas de reducción del gasto público, sin olvidar que la estabilidad presupuestaria es actualmente un principio constitucional que vincula a todos los poderes públicos.</w:t>
      </w:r>
    </w:p>
    <w:p w:rsidR="00AC56D6" w:rsidRDefault="00AC56D6" w:rsidP="00AC56D6">
      <w:pPr>
        <w:pStyle w:val="TextoNormal"/>
      </w:pPr>
    </w:p>
    <w:p w:rsidR="00AC56D6" w:rsidRDefault="00AC56D6" w:rsidP="00AC56D6">
      <w:pPr>
        <w:pStyle w:val="TextoNormal"/>
      </w:pPr>
      <w:r>
        <w:t>El Tribunal no se ha mostrado ajeno a la gravedad de la crisis económica que atraviesa la zona euro, habiéndose hecho eco de la profunda crisis presupuestaria en los AATC 95/2011, de 21 de junio, FJ 5; 96/2011, de 21 de junio, FJ 5; 160/2011, de 22 de noviembre, FJ 3, y 147/2012, de 16 de julio, FJ 6).</w:t>
      </w:r>
    </w:p>
    <w:p w:rsidR="00AC56D6" w:rsidRDefault="00AC56D6" w:rsidP="00AC56D6">
      <w:pPr>
        <w:pStyle w:val="TextoNormal"/>
      </w:pPr>
    </w:p>
    <w:p w:rsidR="00AC56D6" w:rsidRDefault="00AC56D6" w:rsidP="00AC56D6">
      <w:pPr>
        <w:pStyle w:val="TextoNormal"/>
      </w:pPr>
      <w:r w:rsidRPr="00AC56D6">
        <w:rPr>
          <w:rStyle w:val="NumeroAFNegritaCaracter"/>
        </w:rPr>
        <w:t>7</w:t>
      </w:r>
      <w:r>
        <w:t>. Por escrito registrado en este Tribunal el 4 de abril de 2014, el Fiscal General del Estado evacuó el trámite de alegaciones, solicitando la declaración de inconstitucionalidad parcial del precepto cuestionado en atención a los razonamientos que seguidamente se resumen.</w:t>
      </w:r>
    </w:p>
    <w:p w:rsidR="00AC56D6" w:rsidRDefault="00AC56D6" w:rsidP="00AC56D6">
      <w:pPr>
        <w:pStyle w:val="TextoNormal"/>
      </w:pPr>
    </w:p>
    <w:p w:rsidR="00AC56D6" w:rsidRDefault="00AC56D6" w:rsidP="00AC56D6">
      <w:pPr>
        <w:pStyle w:val="TextoNormal"/>
      </w:pPr>
      <w:r>
        <w:t>a) De acuerdo con la doctrina constitucional (SSTC 234/2001, de 13 de diciembre; 90/2009, de 20 de abril, y 100/2012, de 8 de mayo), el análisis de retroactividad de la norma debe tener una doble proyección, que sirva no solo para determinar su grado de incidencia en los efectos de relaciones jurídicas anteriores, sino también como elemento indicativo de lo que deban ser los derechos individuales. En el presente caso, la supresión de un derecho previamente reconocido y cuyos efectos se habrían ya agotado vendría a comprometer la esfera general de protección de la persona, al afectar, al menos, al art. 33.3 CE, que prohíbe la privación de derechos si no es por causa de utilidad pública o interés social, y siempre que aquélla pueda ser compensada mediante la correspondiente indemnización. La condición para ello es que los derechos se hayan integrado plenamente en el patrimonio del ciudadano.</w:t>
      </w:r>
    </w:p>
    <w:p w:rsidR="00AC56D6" w:rsidRDefault="00AC56D6" w:rsidP="00AC56D6">
      <w:pPr>
        <w:pStyle w:val="TextoNormal"/>
      </w:pPr>
    </w:p>
    <w:p w:rsidR="00AC56D6" w:rsidRDefault="00AC56D6" w:rsidP="00AC56D6">
      <w:pPr>
        <w:pStyle w:val="TextoNormal"/>
      </w:pPr>
      <w:r>
        <w:t>Resulta absolutamente relevante poner el acento en la naturaleza jurídica de los derechos retributivos de los trabajadores, calificándolos como integrantes de la esfera general de protección de la persona, como límite de la eficacia de la norma retroactiva. En concreto, se enmarcarían dentro del derecho al trabajo y a la remuneración suficiente que prevé el art. 35.1 CE. Si bien no llegan a comprometerse en este caso derechos fundamentales o libertades públicas, sí que se ven concernidos derechos individuales, tanto porque pudieren haberse incorporado definitivamente al patrimonio del trabajador, como porque constituyen derechos de carácter retributivo que, por hallarse especialmente protegidos por la Constitución, son expresión directa de la esfera general de protección de la persona a la que alude la jurisprudencia constitucional.</w:t>
      </w:r>
    </w:p>
    <w:p w:rsidR="00AC56D6" w:rsidRDefault="00AC56D6" w:rsidP="00AC56D6">
      <w:pPr>
        <w:pStyle w:val="TextoNormal"/>
      </w:pPr>
    </w:p>
    <w:p w:rsidR="00AC56D6" w:rsidRDefault="00AC56D6" w:rsidP="00AC56D6">
      <w:pPr>
        <w:pStyle w:val="TextoNormal"/>
      </w:pPr>
      <w:r>
        <w:t xml:space="preserve">b) A la luz de la doctrina constitucional (SSTC 6/1983, de 4 de febrero; 42/1986, de 10 de abril; 99/1987, de 11 de junio; 112/2006, de 5 de abril; 116/2009, de 18 de mayo, y 161/2009, de 29 de junio), resulta obvia la supresión por la norma cuestionada de un efecto jurídico ya agotado, en tanto derecho incorporado definitivamente al patrimonio de los trabajadores, a quienes la aplicación retroactiva de la norma obligaría a la devolución de parte de los salarios ya percibidos. Aunque referida al personal laboral, resulta inexcusable la cita de la jurisprudencia del Tribunal Supremo, según la cual las gratificaciones extraordinarias constituyen una manifestación del salario diferido, y se devengan día a día, aunque su vencimiento tiene lugar en determinados meses del año. A la vista de la interpretación de la legalidad ordinaria por el máximo órgano jurisdiccional a quien compete dicha función, resulta evidente que lo que la norma interpretada afirma es que las pagas extraordinarias se </w:t>
      </w:r>
      <w:r>
        <w:lastRenderedPageBreak/>
        <w:t>devengan desde la fecha de inicio del cómputo de cada periodo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la privación de la cantidad correspondiente a dicho período supondría la restricción injustificada de un derecho individual que, como tal, prohíbe el art. 9.3 CE.</w:t>
      </w:r>
    </w:p>
    <w:p w:rsidR="00AC56D6" w:rsidRDefault="00AC56D6" w:rsidP="00AC56D6">
      <w:pPr>
        <w:pStyle w:val="TextoNormal"/>
      </w:pPr>
    </w:p>
    <w:p w:rsidR="00AC56D6" w:rsidRDefault="00AC56D6" w:rsidP="00AC56D6">
      <w:pPr>
        <w:pStyle w:val="TextoNormal"/>
      </w:pPr>
      <w:r>
        <w:t>El criterio del Auto de planteamiento tendría el respaldo de la Sentencia del Tribunal Europeo de Derecho Humanos de 14 de mayo de 2013 (</w:t>
      </w:r>
      <w:r w:rsidRPr="00AC56D6">
        <w:rPr>
          <w:i/>
        </w:rPr>
        <w:t>caso N.K.M. c.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ésta se realizará. Y entiende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t>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En nuestro ordenamiento jurídico, el art. 33 CE impide la expropiación de bienes o derechos por causa de utilidad pública o interés social si no se acompaña de un justiprecio. Los compromisos meramente posibilistas contemplados en la exposición de motivos del Real Decreto-ley 20/2012,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t>c) En el Auto de planteamiento no se cuestiona todo el art. 2 del Real Decreto-ley 20/2012 sino sólo sus apartados 2.1 y 2.2.1, ya que son los que resultan aplicables para resolver el pleito sometido al conocimiento del Juzgado Central de lo Contencioso-Administrativo núm. 7, y relevantes en cuanto el recurso del proceso subyacente se refiere exclusivamente al personal funcionario o estatutario.</w:t>
      </w:r>
    </w:p>
    <w:p w:rsidR="00AC56D6" w:rsidRDefault="00AC56D6" w:rsidP="00AC56D6">
      <w:pPr>
        <w:pStyle w:val="TextoNormal"/>
      </w:pPr>
    </w:p>
    <w:p w:rsidR="00AC56D6" w:rsidRDefault="00AC56D6" w:rsidP="00AC56D6">
      <w:pPr>
        <w:pStyle w:val="TextoNormal"/>
      </w:pPr>
      <w:r>
        <w:t>En cuanto a los efectos de la hipotética estimación, tratándose de un supuesto de retroactividad máxima en relación con derechos ya integrados en el patrimonio de sus titulares, el efecto de la declaración de inconstitucionalidad habría de limitarse al período comprendido entre las fechas del 1 de junio y el 15 de julio de 2012, ya que el art. 26.1.B de la citada Ley 2/2012, por remisión al art. 33 de la Ley 33/1987, establece como fecha de devengo de las pagas extraordinarias los días 1 de junio y diciembre.</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8</w:t>
      </w:r>
      <w:r>
        <w:t>. Por providencia de 16 de julio de 2015 se señaló para deliberación y votación de la presente Sentencia el día 20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Juzgado Central de lo Contencioso-Administrativo núm. 7 plantea cuestión de inconstitucionalidad respecto del art. 2 del Real Decreto-ley 20/2012, de 13 de julio, de medidas para garantizar la estabilidad presupuestaria y de fomento de la competitividad, precepto que, en lo que aquí importa, dispone para el personal del sector público definido en el art. 22.1 de la Ley 2/2012, de 29 de junio, de presupuestos generales del Estado para 2012, la supresión de la paga extraordinaria (o equivalente) del mes de diciembre de 2012. En síntesis, el órgano judicial entiende que el precepto cuestionado, en su aplicación al personal funcionario, puede vulnerar el principio constitucional de interdicción de la retroactividad de las disposiciones sancionadoras no favorables o restrictivas de derechos individuales (art. 9.3 CE), al no contemplar excepción alguna respecto de las cuantías ya devengadas al momento de su entrada en vigor.</w:t>
      </w:r>
    </w:p>
    <w:p w:rsidR="00AC56D6" w:rsidRDefault="00AC56D6" w:rsidP="00AC56D6">
      <w:pPr>
        <w:pStyle w:val="TextoNormal"/>
      </w:pPr>
    </w:p>
    <w:p w:rsidR="00AC56D6" w:rsidRDefault="00AC56D6" w:rsidP="00AC56D6">
      <w:pPr>
        <w:pStyle w:val="TextoNormal"/>
      </w:pPr>
      <w:r>
        <w:t>En los términos en que han sido recogidos en los antecedentes de esta Sentencia, el Fiscal General del Estado coincide con el juicio de inconstitucionalidad formulado por el Auto de planteamiento de la cuestión, si bien ceñido a los apartados 2.1 y 2.2.1, por lo que interesa la estimación parcial de la misma, mientras que el Abogado del Estado solicita su desestimación.</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al análisis de la cuestión planteada conviene realizar una serie de precisiones para acotar debidamente el objeto de la misma y el alcance de nuestro enjuiciamiento.</w:t>
      </w:r>
    </w:p>
    <w:p w:rsidR="00AC56D6" w:rsidRDefault="00AC56D6" w:rsidP="00AC56D6">
      <w:pPr>
        <w:pStyle w:val="TextoNormal"/>
      </w:pPr>
    </w:p>
    <w:p w:rsidR="00AC56D6" w:rsidRDefault="00AC56D6" w:rsidP="00AC56D6">
      <w:pPr>
        <w:pStyle w:val="TextoNormal"/>
      </w:pPr>
      <w:r>
        <w:t>a) Así, en primer lugar, resulta obligado advertir, en consonancia con lo manifestado en sus alegaciones respectivas por el Fiscal General del Estado y el Abogado del Estado, que si bien el Juzgado Central de lo Contencioso-Administrativo núm. 7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 los funcionarios públicos” (como se precisa expresamente en la parte dispositiva del Auto). Ello se conecta lógicamente con el juicio de relevancia, correctamente expresado por el órgano judicial, pues la cuestión de inconstitucionalidad trae causa de un recurso contencioso-administrativo promovido por una funcionaria del Estado con motivo de la supresión, por aplicación de las previsiones contenidas en el Real Decreto-ley 20/2012, de la paga o gratificación extraordinaria de diciembre de 2012, proceso en el que lo pretendido por la demandante es justamente que se declare su derecho a percibir la parte proporcional de la paga extra de diciembre de 2012 que considera ya devengada al momento de la entrada en vigor del Real Decreto-ley 20/2012 (es decir, la parte correspondiente al periodo comprendido entre el 1 de junio y el 15 de julio de 2012).</w:t>
      </w:r>
    </w:p>
    <w:p w:rsidR="00AC56D6" w:rsidRDefault="00AC56D6" w:rsidP="00AC56D6">
      <w:pPr>
        <w:pStyle w:val="TextoNormal"/>
      </w:pPr>
    </w:p>
    <w:p w:rsidR="00AC56D6" w:rsidRDefault="00AC56D6" w:rsidP="00AC56D6">
      <w:pPr>
        <w:pStyle w:val="TextoNormal"/>
      </w:pPr>
      <w:r>
        <w:t xml:space="preserve">De este modo, en los términos en que ha sido planteada, la presente cuestión de inconstitucionalidad debe entenderse referida al apartado 1 del art. 2 del Real Decreto-ley 20/2012, que establece la reducción de retribuciones en 2012 para todo el personal del sector público </w:t>
      </w:r>
      <w:r>
        <w:lastRenderedPageBreak/>
        <w:t>definido en el art. 22.1 de la Ley 2/2012, de presupuestos generales del Estado para 2012, como consecuencia de la supresión de la paga o gratificación extraordinaria de diciembre de 2012, y al apartado 2.1 del art. 2 del Real Decreto-ley 20/2012, que se refiere específicamente a la supresión de la paga o gratificación extraordinaria de diciembre de 2012 o equivalente al personal funcionario del sector público.</w:t>
      </w:r>
    </w:p>
    <w:p w:rsidR="00AC56D6" w:rsidRDefault="00AC56D6" w:rsidP="00AC56D6">
      <w:pPr>
        <w:pStyle w:val="TextoNormal"/>
      </w:pPr>
    </w:p>
    <w:p w:rsidR="00AC56D6" w:rsidRDefault="00AC56D6" w:rsidP="00AC56D6">
      <w:pPr>
        <w:pStyle w:val="TextoNormal"/>
      </w:pPr>
      <w:r>
        <w:t>b) Por otra parte debe tenerse en cuenta que el órgano judicial cuestiona la medida de supresión de la paga extraordinaria de diciembre de 2012 en cuanto su aplicación haya podido suponer la infracción del principio de irretroactividad establecido en el 9.3 CE, al no contemplar excepción alguna respecto de las cuantías que se entienden ya devengadas de dicha paga extra (en concreto, la parte correspondiente al periodo comprendido entre el 1 de junio y el 15 de julio de 2012) A esta concreta duda de constitucionalidad deberá, pues, ceñirse nuestro enjuiciamiento.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Delimitado el alcance de nuestra decisión, debemos remitirnos a lo dicho recientemente en nuestra STC 83/2015, de 30 de abril, sobre la posible pérdida de objeto de la cuestión de inconstitucionalidad, como consecuencia de lo establecido en la disposición adicional duodécima de la Ley 36/2014, de 26 de diciembre, de presupuestos generales del Estado para 2015, que bajo el epígrafe “Recuperación de la paga extraordinaria y adicional del mes de diciembre de 2012”, establece, en su apartado 1.I,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según establece en su apartado 1.2; y en su apartado 2 dispone las reglas para el abono de dichas cantidades al personal del sector público estatal, previsiones cuya aplicación efectiva se ha llevado a cabo en el ámbito del sector público estatal conforme a las instrucciones contenidas en la resolución conjunta de las Secretarías de Estado de Presupuestos y Gastos y de Administraciones Públicas de 29 de diciembre de 2014 (publicada en el “Boletín Oficial del Estado” de 2 de enero de 2015), en la que se precisa que “el reconocimiento del derecho a recuperar las cantidades dejadas de percibir se produce por imperativo de la propia Ley de presupuestos generales del Estado para 2015 y produce sus efectos a partir de este último año, por lo que todas las cantidades que se reconozcan en virtud de lo dispuesto en la disposición adicional constituyen percepciones correspondientes al ejercicio de 2015”.</w:t>
      </w:r>
    </w:p>
    <w:p w:rsidR="00AC56D6" w:rsidRDefault="00AC56D6" w:rsidP="00AC56D6">
      <w:pPr>
        <w:pStyle w:val="TextoNormal"/>
      </w:pPr>
    </w:p>
    <w:p w:rsidR="00AC56D6" w:rsidRDefault="00AC56D6" w:rsidP="00AC56D6">
      <w:pPr>
        <w:pStyle w:val="TextoNormal"/>
      </w:pPr>
      <w:r>
        <w:t>En el presente caso, ha de estarse a lo dispuesto en el apartado II de la referida instrucción, que contiene las reglas aplicables, entre otros, al personal funcionario del Estado, condición que reúne la demandante en el proceso del que trae causa la presente cuestión de inconstitucionalidad.</w:t>
      </w:r>
    </w:p>
    <w:p w:rsidR="00AC56D6" w:rsidRDefault="00AC56D6" w:rsidP="00AC56D6">
      <w:pPr>
        <w:pStyle w:val="TextoNormal"/>
      </w:pPr>
    </w:p>
    <w:p w:rsidR="00AC56D6" w:rsidRDefault="00AC56D6" w:rsidP="00AC56D6">
      <w:pPr>
        <w:pStyle w:val="TextoNormal"/>
      </w:pPr>
      <w:r>
        <w:t xml:space="preserve">En el fundamento jurídico 3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era innegable la incidencia que tenía la medida contenida en la disposición adicional duodécima de la Ley 36/2014, de presupuestos generales del Estado para 2015 sobre la pretensión deducida en el pleito </w:t>
      </w:r>
      <w:r w:rsidRPr="00AC56D6">
        <w:rPr>
          <w:i/>
        </w:rPr>
        <w:t>a quo</w:t>
      </w:r>
      <w:r>
        <w:t xml:space="preserve">, “que afecta de modo determinante a la subsistencia del presente proceso constitucional, dada la estrecha </w:t>
      </w:r>
      <w:r>
        <w:lastRenderedPageBreak/>
        <w:t>vinculación existente entre toda cuestión de inconstitucionalidad y el procedimiento judicial de que dimana.”</w:t>
      </w:r>
    </w:p>
    <w:p w:rsidR="00AC56D6" w:rsidRDefault="00AC56D6" w:rsidP="00AC56D6">
      <w:pPr>
        <w:pStyle w:val="TextoNormal"/>
      </w:pPr>
    </w:p>
    <w:p w:rsidR="00AC56D6" w:rsidRDefault="00AC56D6" w:rsidP="00AC56D6">
      <w:pPr>
        <w:pStyle w:val="TextoNormal"/>
      </w:pPr>
      <w:r>
        <w:t>En la presente cuestión de inconstitucionalidad se plantea si la supresión del derecho de una funcionaria del Estado a percibir la parte proporcional (en concreto, la comprendida entre los días 1 de junio y 15 de julio de 2012) de la paga extra de diciembre de 2012, por entenderse ya devengada al momento de la entrada en vigor del Real Decreto-ley 20/2012, contraviene el art. 9.3 CE. Planteada la cuestión en esos términos, es obligado concluir, como hicimos en la STC 83/2015, que la recuperación de la parte proporcional correspondiente a los primeros 44 días de la paga extra de diciembre de 2012, en virtud de lo establecido en la citada disposición adicional duodécima de la Ley 36/2014, de presupuestos generales del Estado para 2015, supone la satisfacción extraprocesal de la pretensión deducida en el proceso contencioso-administrativo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00AC56D6" w:rsidRDefault="00AC56D6" w:rsidP="00AC56D6">
      <w:pPr>
        <w:pStyle w:val="TextoNormal"/>
      </w:pPr>
    </w:p>
    <w:p w:rsidR="00AC56D6" w:rsidRDefault="00AC56D6" w:rsidP="00AC56D6">
      <w:pPr>
        <w:pStyle w:val="TextoNormal"/>
      </w:pPr>
      <w:r>
        <w:t>Conforme a lo expuesto, la regulación contenida en la citada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Declarar la extinción de la presente cuestión de inconstitucionalidad por desaparición sobrevenida de su objeto.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veinte de julio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28" w:name="SENTENCIA_2015_172"/>
      <w:r>
        <w:lastRenderedPageBreak/>
        <w:t>SENTENCIA 172/2015, de 20 de julio de 2015</w:t>
      </w:r>
    </w:p>
    <w:bookmarkEnd w:id="28"/>
    <w:p w:rsidR="00AC56D6" w:rsidRDefault="00AC56D6" w:rsidP="00AC56D6">
      <w:pPr>
        <w:pStyle w:val="TtuloResolucin"/>
      </w:pPr>
      <w:r>
        <w:t>Sala Primera</w:t>
      </w:r>
    </w:p>
    <w:p w:rsidR="00AC56D6" w:rsidRDefault="00AC56D6" w:rsidP="00AC56D6">
      <w:pPr>
        <w:pStyle w:val="TtuloBOE"/>
      </w:pPr>
      <w:r>
        <w:t>(BOE núm. 200, de 21 de agosto de 2015)</w:t>
      </w:r>
    </w:p>
    <w:p w:rsidR="00AC56D6" w:rsidRDefault="00AC56D6" w:rsidP="00AC56D6">
      <w:pPr>
        <w:pStyle w:val="TextoNormalCentrado"/>
      </w:pPr>
      <w:r>
        <w:t>ECLI:ES:TC:2015:172</w:t>
      </w:r>
    </w:p>
    <w:p w:rsidR="00AC56D6" w:rsidRDefault="00AC56D6" w:rsidP="00AC56D6">
      <w:pPr>
        <w:pStyle w:val="TextoNormalCentrado"/>
      </w:pPr>
    </w:p>
    <w:p w:rsidR="00AC56D6" w:rsidRDefault="00AC56D6" w:rsidP="00AC56D6">
      <w:pPr>
        <w:pStyle w:val="SntesisDescriptiva"/>
      </w:pPr>
      <w:r>
        <w:t>Cuestión de inconstitucionalidad 3311-2014. Planteada por la Sala de lo Contencioso-Administrativo del Tribunal Superior de Justicia de Navarra en relación con el artículo 2.1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extinción, por pérdida de objeto, de la cuestión de inconstitucionalidad (STC 83/2015).</w:t>
      </w:r>
    </w:p>
    <w:p w:rsidR="00AC56D6" w:rsidRDefault="00AC56D6" w:rsidP="00AC56D6">
      <w:pPr>
        <w:pStyle w:val="SntesisAnaltica"/>
      </w:pPr>
    </w:p>
    <w:p w:rsidR="00AC56D6" w:rsidRDefault="00AC56D6" w:rsidP="00AC56D6">
      <w:pPr>
        <w:pStyle w:val="Extracto"/>
      </w:pPr>
      <w:r>
        <w:t>1.</w:t>
      </w:r>
      <w:r>
        <w:tab/>
        <w:t>La satisfacción extraprocesal de la pretensión deducida en el proceso laboral sobre la que se articula la cuestión de inconstitucionalidad le hace perder su objeto al ser dicha satisfacción uno de los posibles supuestos de extinción de la cuestión de inconstitucionalidad (STC 83/2015) [FJ 3].</w:t>
      </w:r>
    </w:p>
    <w:p w:rsidR="00AC56D6" w:rsidRDefault="00AC56D6" w:rsidP="00AC56D6">
      <w:pPr>
        <w:pStyle w:val="Extracto"/>
      </w:pPr>
    </w:p>
    <w:p w:rsidR="00AC56D6" w:rsidRDefault="00AC56D6" w:rsidP="00AC56D6">
      <w:pPr>
        <w:pStyle w:val="Extracto"/>
      </w:pPr>
      <w:r>
        <w:t>2.</w:t>
      </w:r>
      <w:r>
        <w:tab/>
        <w:t>Doctrina sobre las posibles causas de terminación extraordinaria de las cuestiones de inconstitucionalidad por pérdida sobrevenida de objeto (STC 83/2015) [FJ 3].</w:t>
      </w:r>
    </w:p>
    <w:p w:rsidR="00AC56D6" w:rsidRDefault="00AC56D6" w:rsidP="00AC56D6">
      <w:pPr>
        <w:pStyle w:val="Extracto"/>
      </w:pPr>
    </w:p>
    <w:p w:rsidR="00AC56D6" w:rsidRDefault="00AC56D6" w:rsidP="00AC56D6">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Primera del Tribunal Constitucional, compuesta por don Francisco Pérez de los Cobos Orihuel, Presidente, doña Encarna Roca Trías, don Andrés Ollero Tassara, don Santiago Martínez-Vares García y don Juan Antonio Xiol Ríos,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3311-2014, promovida por la Sala de lo Contencioso-Administrativo del Tribunal Superior de Justicia de Navarra contra el art. 2.1 del Real Decreto-ley 20/2012, de 13 de julio, de medidas para garantizar la estabilidad presupuestaria y de fomento de la competitividad, por posible vulneración del art. 9.3 CE. Han formulado alegaciones el Fiscal General del Estado y el Abogado del Estado. Ha sido Ponente el Magistrado don Francisco Pérez de los Cobos Orihuel, quien expresa el parecer del Tribunal.</w:t>
      </w:r>
    </w:p>
    <w:p w:rsidR="00AC56D6" w:rsidRDefault="00AC56D6" w:rsidP="00AC56D6">
      <w:pPr>
        <w:pStyle w:val="TextoNormal"/>
      </w:pPr>
    </w:p>
    <w:p w:rsidR="00AC56D6" w:rsidRDefault="00AC56D6" w:rsidP="00AC56D6">
      <w:pPr>
        <w:pStyle w:val="TextoNormalNegritaCentrado"/>
        <w:keepNext/>
      </w:pPr>
      <w:r>
        <w:lastRenderedPageBreak/>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27 de mayo de 2014 tuvo entrada en el Registro General de este Tribunal un oficio de la Sala de lo Contencioso-Administrativo del Tribunal Superior de Justicia de Navarra al que se acompaña, junto con el testimonio del procedimiento núm. 26-2013, el Auto de 25 de abril de 2014, por el que se acuerda plantear cuestión de inconstitucionalidad en relación con el art. 2.1 del Real Decreto-ley 20/2012, de 13 de julio, de medidas para garantizar la estabilidad presupuestaria y de fomento de la competitividad, en su aplicación a los funcionarios públicos, por posible lesión del art. 9.3 CE, sobre el principio de irretroactividad de disposiciones restrictivas de derechos individuales.</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procesales de la cuestión de inconstitucionalidad planteada son, sucintamente expuestos, los siguientes:</w:t>
      </w:r>
    </w:p>
    <w:p w:rsidR="00AC56D6" w:rsidRDefault="00AC56D6" w:rsidP="00AC56D6">
      <w:pPr>
        <w:pStyle w:val="TextoNormal"/>
      </w:pPr>
    </w:p>
    <w:p w:rsidR="00AC56D6" w:rsidRDefault="00AC56D6" w:rsidP="00AC56D6">
      <w:pPr>
        <w:pStyle w:val="TextoNormal"/>
      </w:pPr>
      <w:r>
        <w:t>a) El presente procedimiento deriva del recurso contencioso-administrativo promovido por el sindicato LAB contra el acuerdo del Gobierno de Navarra, de 12 de diciembre de 2012, por el que se adoptan medidas en relación con el cumplimiento de la supresión de la paga extraordinaria del mes de diciembre de 2012 contenida en el Real Decreto-ley 20/2012, de 13 de julio, de medidas para garantizar la estabilidad presupuestaria y de fomento de la competitividad.</w:t>
      </w:r>
    </w:p>
    <w:p w:rsidR="00AC56D6" w:rsidRDefault="00AC56D6" w:rsidP="00AC56D6">
      <w:pPr>
        <w:pStyle w:val="TextoNormal"/>
      </w:pPr>
    </w:p>
    <w:p w:rsidR="00AC56D6" w:rsidRDefault="00AC56D6" w:rsidP="00AC56D6">
      <w:pPr>
        <w:pStyle w:val="TextoNormal"/>
      </w:pPr>
      <w:r>
        <w:t>b) Seguido el procedimiento por sus trámites, el órgano judicial, con suspensión del plazo para dictar sentencia y conforme a lo dispuesto en el art. 35 LOTC, dictó providencia de 26 de febrero de 2014 por la que acordó oír a las partes y al Ministerio Fiscal para que alegasen sobre la pertinencia de plantear cuestión de inconstitucionalidad sobre el art. 2.1 del Real Decreto-ley 20/2012, de 13 de julio, de medidas para garantizar la estabilidad presupuestaria y de fomento de la competitividad, por posible infracción de los arts. 9.3 y 33.3 CE.</w:t>
      </w:r>
    </w:p>
    <w:p w:rsidR="00AC56D6" w:rsidRDefault="00AC56D6" w:rsidP="00AC56D6">
      <w:pPr>
        <w:pStyle w:val="TextoNormal"/>
      </w:pPr>
    </w:p>
    <w:p w:rsidR="00AC56D6" w:rsidRDefault="00AC56D6" w:rsidP="00AC56D6">
      <w:pPr>
        <w:pStyle w:val="TextoNormal"/>
      </w:pPr>
      <w:r>
        <w:t>c) El Ministerio Fiscal no consideró necesario el planteamiento de la cuestión de inconstitucionalidad. El Gobierno de Navarra consideró que el precepto cuestionado no vulneraba los arts. 9.3 y 33.3 CE y se opuso al planteamiento de la cuestión. El sindicato recurrente no formuló alegaciones.</w:t>
      </w:r>
    </w:p>
    <w:p w:rsidR="00AC56D6" w:rsidRDefault="00AC56D6" w:rsidP="00AC56D6">
      <w:pPr>
        <w:pStyle w:val="TextoNormal"/>
      </w:pPr>
    </w:p>
    <w:p w:rsidR="00AC56D6" w:rsidRDefault="00AC56D6" w:rsidP="00AC56D6">
      <w:pPr>
        <w:pStyle w:val="TextoNormal"/>
      </w:pPr>
      <w:r w:rsidRPr="00AC56D6">
        <w:rPr>
          <w:rStyle w:val="NumeroAFNegritaCaracter"/>
        </w:rPr>
        <w:t>3</w:t>
      </w:r>
      <w:r>
        <w:t>. Por Auto de 25 de marzo de 2014, la Sala de lo Contencioso-Administrativo del Tribunal Superior de Justicia de Navarra acordó plantear la presente cuestión de inconstitucionalidad y del análisis de su contenido interesa destacar los siguientes puntos:</w:t>
      </w:r>
    </w:p>
    <w:p w:rsidR="00AC56D6" w:rsidRDefault="00AC56D6" w:rsidP="00AC56D6">
      <w:pPr>
        <w:pStyle w:val="TextoNormal"/>
      </w:pPr>
    </w:p>
    <w:p w:rsidR="00AC56D6" w:rsidRDefault="00AC56D6" w:rsidP="00AC56D6">
      <w:pPr>
        <w:pStyle w:val="TextoNormal"/>
      </w:pPr>
      <w:r>
        <w:t xml:space="preserve">a) Tras exponer los antecedentes de hecho y el resultado del trámite de audiencia a las partes y al Ministerio Fiscal, el órgano judicial justifica la necesidad de plantear la cuestión. En ese sentido indica que, en el recurso se solicita con carácter principal que se declare que el Real Decreto-ley 20/2012 no es aplicable en Navarra, en razón de las especiales competencias de la Comunidad Foral. Subsidiariamente se solicita que se anule parcialmente el acuerdo impugnado reconociéndose el derecho del personal al servicio de la Comunidad Foral al percibo de la parte de la paga extraordinaria correspondiente a los 14 días del mes de julio ya trabajados con anterioridad a la entrada en vigor del Real Decreto-ley 20/2012. Adelanta el órgano judicial que ya ha alcanzado una conclusión desestimatoria respecto de </w:t>
      </w:r>
      <w:r>
        <w:lastRenderedPageBreak/>
        <w:t>la pretensión principal de los recurrentes, con la consecuencia de que ahora debe responderse a la petición subsidiaria.</w:t>
      </w:r>
    </w:p>
    <w:p w:rsidR="00AC56D6" w:rsidRDefault="00AC56D6" w:rsidP="00AC56D6">
      <w:pPr>
        <w:pStyle w:val="TextoNormal"/>
      </w:pPr>
    </w:p>
    <w:p w:rsidR="00AC56D6" w:rsidRDefault="00AC56D6" w:rsidP="00AC56D6">
      <w:pPr>
        <w:pStyle w:val="TextoNormal"/>
      </w:pPr>
      <w:r>
        <w:t>b) Al respecto, la Sala estima que el art. 2.1 del Real Decreto-ley 20/2012 puede ser inconstitucional por vulneración del art. 9.3 CE, sin que haya interpretación posible que autorice su inaplicación al período de tiempo que la demanda propone. Destaca el órgano judicial que el acuerdo impugnado se dicta en aplicación de la norma cuestionada y explicita que el mismo comporta que no se liquidará cuantía alguna correspondiente a la paga extraordinaria de diciembre de 2012, sin que exista duda alguna de que esa es la interpretación de la norma.</w:t>
      </w:r>
    </w:p>
    <w:p w:rsidR="00AC56D6" w:rsidRDefault="00AC56D6" w:rsidP="00AC56D6">
      <w:pPr>
        <w:pStyle w:val="TextoNormal"/>
      </w:pPr>
    </w:p>
    <w:p w:rsidR="00AC56D6" w:rsidRDefault="00AC56D6" w:rsidP="00AC56D6">
      <w:pPr>
        <w:pStyle w:val="TextoNormal"/>
      </w:pPr>
      <w:r>
        <w:t>c) Sentado lo anterior indica que las pagas extras se han de relacionar con la prestación de servicios entre el 1 de junio y el 1 de diciembre, según dispone el art. 33 de la Ley 33/1987, de 23 de diciembre, de presupuestos generales del Estado para 1988. De este modo la supresión de correspondiente al mes de diciembre de 2012 afecta al período de tiempo anterior a la entrada en vigor de la norma, que tuvo lugar el 15 de julio de 2012. Ello plantea la cuestión de cuando se ha de entender producido el derecho al percibo de la paga, si progresiva, continuada y proporcionalmente a la prestación de los servicios o acumuladamente el día señalado en la ley como de devengo. Señala que sobre ello se ha pronunciado el Pleno de la Sala Tercera del Tribunal Supremo en su Auto de 2 de abril de 2014, en el que se plantea idéntica cuestión que aquí. Con remisión a lo allí argumentado la Sala estima que no cabe sino concluir que “a) desde el día 1 de junio de 2012 el personal al servicio de la Comunidad Foral de Navarra y sus organismos autónomos (y otros a que se refiere el acuerdo de 12 de diciembre de 2012) había adquirido el derecho a la parte proporcional de la paga extraordinaria por el período de servicios prestados entre el 1 de junio (en la demanda se habla de 1 de julio) y el 14 de julio; b) el día 15 de julio entró en vigor una norma con rango de Ley que privó de tal derecho, en su integridad, a dicho personal; c) en consecuencia incidió directa y retroactivamente sobre un derecho ya adquirido en dicha fecha y d) siendo esa incidencia negativa y privativa de derechos, puede la norma haber vulnerado el art. 9.3 CE que garantiza la irretroactividad de las disposiciones sancionadoras no favorables o restrictivas de derechos individuales”.</w:t>
      </w:r>
    </w:p>
    <w:p w:rsidR="00AC56D6" w:rsidRDefault="00AC56D6" w:rsidP="00AC56D6">
      <w:pPr>
        <w:pStyle w:val="TextoNormal"/>
      </w:pPr>
    </w:p>
    <w:p w:rsidR="00AC56D6" w:rsidRDefault="00AC56D6" w:rsidP="00AC56D6">
      <w:pPr>
        <w:pStyle w:val="TextoNormal"/>
      </w:pPr>
      <w:r w:rsidRPr="00AC56D6">
        <w:rPr>
          <w:rStyle w:val="NumeroAFNegritaCaracter"/>
        </w:rPr>
        <w:t>4</w:t>
      </w:r>
      <w:r>
        <w:t>. El Pleno de este Tribunal, a propuesta de la Sección Segunda, acordó admitir a trámite la cuestión mediante providencia de 24 de junio de 2014; deferir a la Sala Primera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Contencioso-Administrativo del Tribunal Superior de Justicia de Extremadura, a fin de que, de conformidad con lo dispuesto en el art. 35 LOTC, permaneciese suspendido el proceso hasta que este Tribunal resolviese efectivamente la cuestión; y publicar la incoación de la cuestión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Por escrito registrado el 2 de julio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AC56D6" w:rsidRDefault="00AC56D6" w:rsidP="00AC56D6">
      <w:pPr>
        <w:pStyle w:val="TextoNormal"/>
      </w:pPr>
    </w:p>
    <w:p w:rsidR="00AC56D6" w:rsidRDefault="00AC56D6" w:rsidP="00AC56D6">
      <w:pPr>
        <w:pStyle w:val="TextoNormal"/>
      </w:pPr>
      <w:r>
        <w:t>Mediante escrito registrado el 8 de julio de 2014, el Presidente del Senado comunicó a este Tribunal el acuerdo de la Mesa para que se diera por personada a la Cámara y por ofrecida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6</w:t>
      </w:r>
      <w:r>
        <w:t>. El Abogado del Estado, mediante escrito de alegaciones registrado el 2 de julio de 2014, se personó interesando la desestimación de la cuestión de inconstitucionalidad por las razones que, resumidamente, se exponen a continuación.</w:t>
      </w:r>
    </w:p>
    <w:p w:rsidR="00AC56D6" w:rsidRDefault="00AC56D6" w:rsidP="00AC56D6">
      <w:pPr>
        <w:pStyle w:val="TextoNormal"/>
      </w:pPr>
    </w:p>
    <w:p w:rsidR="00AC56D6" w:rsidRDefault="00AC56D6" w:rsidP="00AC56D6">
      <w:pPr>
        <w:pStyle w:val="TextoNormal"/>
      </w:pPr>
      <w:r>
        <w:t>Comienza señalando que el Auto de planteamiento no cuestiona la totalidad del extenso art. 2 del Real Decreto-ley 20/2012; únicamente se refiere, por posible vulneración de los derechos adquiridos, a la aplicación retroactiva del Real Decreto-ley a las cuantías que entiende ya devengadas correspondientes a la paga de diciembre de 2012, entre el 1 de junio de 2012 y el 15 de julio de 2012, fecha de publicación del Real Decreto-ley.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al 15 de julio de 2012).</w:t>
      </w:r>
    </w:p>
    <w:p w:rsidR="00AC56D6" w:rsidRDefault="00AC56D6" w:rsidP="00AC56D6">
      <w:pPr>
        <w:pStyle w:val="TextoNormal"/>
      </w:pPr>
    </w:p>
    <w:p w:rsidR="00AC56D6" w:rsidRDefault="00AC56D6" w:rsidP="00AC56D6">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AC56D6" w:rsidRDefault="00AC56D6" w:rsidP="00AC56D6">
      <w:pPr>
        <w:pStyle w:val="TextoNormal"/>
      </w:pPr>
    </w:p>
    <w:p w:rsidR="00AC56D6" w:rsidRDefault="00AC56D6" w:rsidP="00AC56D6">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al 15 de julio, “estaba ya consolidado, asumido e integrado en el patrimonio de los trabajadores cuando entró en vigor” el Real Decreto-ley 20/2012, o si, por el contrario, se trataba de una expectativa de derecho o de un derecho futuro o condicionado.</w:t>
      </w:r>
    </w:p>
    <w:p w:rsidR="00AC56D6" w:rsidRDefault="00AC56D6" w:rsidP="00AC56D6">
      <w:pPr>
        <w:pStyle w:val="TextoNormal"/>
      </w:pPr>
    </w:p>
    <w:p w:rsidR="00AC56D6" w:rsidRDefault="00AC56D6" w:rsidP="00AC56D6">
      <w:pPr>
        <w:pStyle w:val="TextoNormal"/>
      </w:pPr>
      <w:r>
        <w:lastRenderedPageBreak/>
        <w:t>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00AC56D6" w:rsidRDefault="00AC56D6" w:rsidP="00AC56D6">
      <w:pPr>
        <w:pStyle w:val="TextoNormal"/>
      </w:pPr>
    </w:p>
    <w:p w:rsidR="00AC56D6" w:rsidRDefault="00AC56D6" w:rsidP="00AC56D6">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AC56D6" w:rsidRDefault="00AC56D6" w:rsidP="00AC56D6">
      <w:pPr>
        <w:pStyle w:val="TextoNormal"/>
      </w:pPr>
    </w:p>
    <w:p w:rsidR="00AC56D6" w:rsidRDefault="00AC56D6" w:rsidP="00AC56D6">
      <w:pPr>
        <w:pStyle w:val="TextoNormal"/>
      </w:pPr>
      <w:r>
        <w:t>Por todo ello, se interesa la desestimación de la cuestión.</w:t>
      </w:r>
    </w:p>
    <w:p w:rsidR="00AC56D6" w:rsidRDefault="00AC56D6" w:rsidP="00AC56D6">
      <w:pPr>
        <w:pStyle w:val="TextoNormal"/>
      </w:pPr>
    </w:p>
    <w:p w:rsidR="00AC56D6" w:rsidRDefault="00AC56D6" w:rsidP="00AC56D6">
      <w:pPr>
        <w:pStyle w:val="TextoNormal"/>
      </w:pPr>
      <w:r w:rsidRPr="00AC56D6">
        <w:rPr>
          <w:rStyle w:val="NumeroAFNegritaCaracter"/>
        </w:rPr>
        <w:t>7</w:t>
      </w:r>
      <w:r>
        <w:t>. El Fiscal General del Estado presentó escrito de alegaciones ante este Tribunal el 11 de julio de 2014 interesando la estimación de la presente cuestión de inconstitucionalidad.</w:t>
      </w:r>
    </w:p>
    <w:p w:rsidR="00AC56D6" w:rsidRDefault="00AC56D6" w:rsidP="00AC56D6">
      <w:pPr>
        <w:pStyle w:val="TextoNormal"/>
      </w:pPr>
    </w:p>
    <w:p w:rsidR="00AC56D6" w:rsidRDefault="00AC56D6" w:rsidP="00AC56D6">
      <w:pPr>
        <w:pStyle w:val="TextoNormal"/>
      </w:pPr>
      <w:r>
        <w:t>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AC56D6" w:rsidRDefault="00AC56D6" w:rsidP="00AC56D6">
      <w:pPr>
        <w:pStyle w:val="TextoNormal"/>
      </w:pPr>
    </w:p>
    <w:p w:rsidR="00AC56D6" w:rsidRDefault="00AC56D6" w:rsidP="00AC56D6">
      <w:pPr>
        <w:pStyle w:val="TextoNormal"/>
      </w:pPr>
      <w: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w:t>
      </w:r>
      <w:r w:rsidRPr="00AC56D6">
        <w:rPr>
          <w:i/>
        </w:rPr>
        <w:t>N.K.M. c.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w:t>
      </w:r>
      <w:r>
        <w:lastRenderedPageBreak/>
        <w:t>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t>El Fiscal General del Estado concluye sus alegaciones precisando que en el Auto de planteamiento no se cuestiona todo el art. 2 del Real Decreto-ley 20/2012 sino sus apartados 2.1, 2.2.1 y 3.1 ya que éstos son los que resultan aplicables para resolver el pleito sometido a su conocimiento.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 en tanto, con respecto a los funcionarios la paga extraordinaria correspondiente al mes de diciembre se comienza a devengar el 1 de junio de tal período.</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8 de junio de 2015 la Sala Primera acordó, de conformidad con lo dispuesto en el art. 88.1 LOTC, dirigir atenta comunicación al Gobierno de Navarra, a fin de que indique si, en atención a lo previsto en la disposición adicional 12ª de la Ley 36/2014, de presupuestos generales del Estado para el año 2015, o por cualquier otra circunstancia, ha satisfecho al personal al que resulta aplicable el acuerdo del Gobierno de Navarra de 12 de diciembre de 2012 —por el que se adoptan medidas en relación con el cumplimiento de la supresión de la paga extraordinaria del mes de diciembre de 2012 contenida en el Real Decreto-ley 20/2012, de 13 de julio—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AC56D6" w:rsidRDefault="00AC56D6" w:rsidP="00AC56D6">
      <w:pPr>
        <w:pStyle w:val="TextoNormal"/>
      </w:pPr>
    </w:p>
    <w:p w:rsidR="00AC56D6" w:rsidRDefault="00AC56D6" w:rsidP="00AC56D6">
      <w:pPr>
        <w:pStyle w:val="TextoNormal"/>
      </w:pPr>
      <w:r w:rsidRPr="00AC56D6">
        <w:rPr>
          <w:rStyle w:val="NumeroAFNegritaCaracter"/>
        </w:rPr>
        <w:t>9</w:t>
      </w:r>
      <w:r>
        <w:t xml:space="preserve">. Por escrito presentado en el Registro General de este Tribunal el 30 de junio de 2015 la Asesora Jurídica-Letrada de la Comunidad Foral de Navarra, en representación de la Comunidad Foral de Navarra, indica que el Gobierno de Navarra, mediante acuerdo de 18 de marzo de 2015, aprobó el abono al personal de la Administración de la Comunidad Foral de Navarra y sus organismos autónomos de cantidades en concepto de recuperación de los importes efectivamente dejados de percibir como consecuencia de la supresión de la paga extraordinaria del mes de diciembre de 2012, en aplicación de lo dispuesto en la disposición adicional décima segunda de la Ley 36/2014, de 26 de diciembre, de presupuestos generales del Estado para el año 2015. Y añade que, en ejecución del referido acuerdo, en la nómina del pasado mes de marzo se ha abonado al referido personal la parte proporcional correspondiente a los primeros 44 días de la paga extraordinaria del mes de diciembre de 2012, equivalente a un 24,04 por 100 del importe dejado de percibir como consecuencia de la aplicación del acuerdo del Gobierno de Navarra de 12 de diciembre de 2012, por el que se </w:t>
      </w:r>
      <w:r>
        <w:lastRenderedPageBreak/>
        <w:t>adoptan medidas en relación con cumplimiento de la supresión de la paga extraordinaria del mes de diciembre de 2012 contenida en el Real Decreto-ley 20/2012, de 13 de julio, de medidas para garantizar la estabilidad presupuestaria y de fomento de la competitividad.</w:t>
      </w:r>
    </w:p>
    <w:p w:rsidR="00AC56D6" w:rsidRDefault="00AC56D6" w:rsidP="00AC56D6">
      <w:pPr>
        <w:pStyle w:val="TextoNormal"/>
      </w:pPr>
    </w:p>
    <w:p w:rsidR="00AC56D6" w:rsidRDefault="00AC56D6" w:rsidP="00AC56D6">
      <w:pPr>
        <w:pStyle w:val="TextoNormal"/>
      </w:pPr>
      <w:r w:rsidRPr="00AC56D6">
        <w:rPr>
          <w:rStyle w:val="NumeroAFNegritaCaracter"/>
        </w:rPr>
        <w:t>10</w:t>
      </w:r>
      <w:r>
        <w:t>. Por providencia de 16 de julio de 2.015 se señaló para deliberación y votación de la presente Sentencia el día 20 de dicho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Sala de lo Contencioso-Administrativo del Tribunal Superior de Justicia de Navarra plantea cuestión de inconstitucionalidad respecto del art. 2.1 del Real Decreto-ley 20/2012, de 13 de julio, de medidas para garantizar la estabilidad presupuestaria y de fomento de la competitividad, precepto que, en lo que aquí importa, dispone para el personal funcionario, la supresión de la paga extraordinaria y de la paga adicional de complemento específico o pagas adicionales equivalentes del mes de diciembre de 2012. En síntesis, la Sala entiende que el art. 2.1 del Real Decreto-ley 20/2012, en su aplicación al personal funcionario,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1de junio al 14 de julio de 2012).</w:t>
      </w:r>
    </w:p>
    <w:p w:rsidR="00AC56D6" w:rsidRDefault="00AC56D6" w:rsidP="00AC56D6">
      <w:pPr>
        <w:pStyle w:val="TextoNormal"/>
      </w:pPr>
    </w:p>
    <w:p w:rsidR="00AC56D6" w:rsidRDefault="00AC56D6" w:rsidP="00AC56D6">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al análisis de la cuestión planteada conviene realizar una serie de precisiones para acotar debidamente el objeto de la misma y el alcance de nuestro enjuiciamiento.</w:t>
      </w:r>
    </w:p>
    <w:p w:rsidR="00AC56D6" w:rsidRDefault="00AC56D6" w:rsidP="00AC56D6">
      <w:pPr>
        <w:pStyle w:val="TextoNormal"/>
      </w:pPr>
    </w:p>
    <w:p w:rsidR="00AC56D6" w:rsidRDefault="00AC56D6" w:rsidP="00AC56D6">
      <w:pPr>
        <w:pStyle w:val="TextoNormal"/>
      </w:pPr>
      <w:r>
        <w:t>a) Así, en primer lugar, resulta obligado advertir, en consonancia con lo manifestado en sus alegaciones respectivas por el Fiscal General del Estado y el Abogado del Estado, que el precepto cuestionado es el art. 2.1 del Real Decreto-ley 20/2012, relativo a la supresión de la paga extraordinaria a los funcionarios públicos. Aunque la cuestión de inconstitucionalidad trae causa de un proceso promovido por el sindicato LAB contra el acuerdo del Gobierno de Navarra de 12 de diciembre de 2012, por el que se adoptan medidas en relación con el cumplimiento de la supresión de la paga extraordinaria del mes de diciembre de 2012 contenida en el Real Decreto-ley 20/2012, de 13 de julio, de medidas para garantizar la estabilidad presupuestaria y el fomento de la competitividad, la Sala de lo Contencioso-Administrativo del Tribunal Superior de Justicia de Navarra ha centrado la cuestión de inconstitucionalidad exclusivamente en el personal funcionario.</w:t>
      </w:r>
    </w:p>
    <w:p w:rsidR="00AC56D6" w:rsidRDefault="00AC56D6" w:rsidP="00AC56D6">
      <w:pPr>
        <w:pStyle w:val="TextoNormal"/>
      </w:pPr>
    </w:p>
    <w:p w:rsidR="00AC56D6" w:rsidRDefault="00AC56D6" w:rsidP="00AC56D6">
      <w:pPr>
        <w:pStyle w:val="TextoNormal"/>
      </w:pPr>
      <w:r>
        <w:t xml:space="preserve">En el proceso del que trae causa esta cuestión de inconstitucionalidad lo pretendido por el sindicato demandante con carácter subsidiario a la pretensión principal (referida a que no se aplique en Navarra la medida de supresión de la paga extraordinaria de 2012 en razón de las especiales competencias que la Comunidad Foral tiene en la materia) es justamente que </w:t>
      </w:r>
      <w:r>
        <w:lastRenderedPageBreak/>
        <w:t>se declare el derecho del personal afectado al percibo de la paga extraordinaria correspondiente a los catorce días del mes de julio ya trabajados con anterioridad a la entrada en vigor del Real Decreto-ley 20/2012, porque de acuerdo con el art. 9.3 CE no cabe que la supresión de esa paga extra por el citado Real Decreto-ley tenga efectos retroactivos. Ahora bien, en los términos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2.1 del art. 2 del Real Decreto-ley 20/2012, que se refiere específicamente a la supresión de la paga o gratificación extraordinaria de diciembre de 2012 o equivalente al personal funcionario.</w:t>
      </w:r>
    </w:p>
    <w:p w:rsidR="00AC56D6" w:rsidRDefault="00AC56D6" w:rsidP="00AC56D6">
      <w:pPr>
        <w:pStyle w:val="TextoNormal"/>
      </w:pPr>
    </w:p>
    <w:p w:rsidR="00AC56D6" w:rsidRDefault="00AC56D6" w:rsidP="00AC56D6">
      <w:pPr>
        <w:pStyle w:val="TextoNormal"/>
      </w:pPr>
      <w:r>
        <w:t xml:space="preserve">b) Por otra parte debe tenerse en cuenta que no se cuestiona por la Sala de lo Contencioso-Administrativo del Tribunal Superior de Justicia de Navarra la medida de supresión de la paga extraordinaria de diciembre de 2012 en sí misma considerada, sino sólo en cuanto su aplicación haya podido suponer la infracción del principio de irretroactividad establecido en el 9.3 CE, al no contemplar excepción alguna respecto de las cuantías que se entienden ya devengadas de dicha paga extra (en concreto, cuarenta y cuatro días correspondientes a los servicios prestados entre el 1 de junio de 2012 y el 14 de julio de 2012) a la fecha de entrada en vigor del Real Decreto-ley 20/2012 (que tuvo lugar el 15 de julio de 2012, conforme a su disposición final decimoquinta). A esta concreta duda de constitucionalidad (planteada a partir de la pretensión subsidiaria en el proceso </w:t>
      </w:r>
      <w:r w:rsidRPr="00AC56D6">
        <w:rPr>
          <w:i/>
        </w:rPr>
        <w:t>a quo</w:t>
      </w:r>
      <w:r>
        <w:t>) deberá, pues, ceñirse nuestro enjuiciamiento.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La disposición adicional duodécima de la Ley 36/2014, de 26 de diciembre, de presupuestos generales del Estado para 2015, bajo el epígrafe “Recuperación de la paga extraordinaria y adicional del mes de diciembre de 2012”, establece, en su apartado primero,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00AC56D6" w:rsidRDefault="00AC56D6" w:rsidP="00AC56D6">
      <w:pPr>
        <w:pStyle w:val="TextoNormal"/>
      </w:pPr>
    </w:p>
    <w:p w:rsidR="00AC56D6" w:rsidRDefault="00AC56D6" w:rsidP="00AC56D6">
      <w:pPr>
        <w:pStyle w:val="TextoNormal"/>
      </w:pPr>
      <w:r>
        <w:t>En virtud de esta habilitación, por acuerdo del Gobierno de Navarra de 18 de marzo de 2015, se aprobó el abono al personal de la Administración de la Comunidad Foral de Navarra y sus organismos autónomos de cantidades en concepto de recuperación de los importes efectivamente dejados de percibir como consecuencia de la supresión de la paga extraordinaria del mes de diciembre de 2012. En concreto, según consta en el escrito de la Asesora Jurídica-Letrada de la Comunidad Foral de Navarra registrado en este Tribunal el 30 de junio de 2015, en ejecución del referido acuerdo se ha abonado en la nómina del mes de marzo de 2015 al referido personal la parte proporcional correspondiente a los primeros 44 días de la paga extraordinaria del mes de diciembre de 2012, equivalente a un 24,04 por 100 del importe dejado de percibir como consecuencia de la aplicación del acuerdo del Gobierno de Navarra de 12 de diciembre de 2012, por el que se adoptan medidas en relación con el cumplimiento de la supresión de la paga extraordinaria de 2012 contenida en el Real Decreto-ley, de 13 de julio, de medidas para garantizar la estabilidad presupuestaria y de fomento de la competitividad.</w:t>
      </w:r>
    </w:p>
    <w:p w:rsidR="00AC56D6" w:rsidRDefault="00AC56D6" w:rsidP="00AC56D6">
      <w:pPr>
        <w:pStyle w:val="TextoNormal"/>
      </w:pPr>
    </w:p>
    <w:p w:rsidR="00AC56D6" w:rsidRDefault="00AC56D6" w:rsidP="00AC56D6">
      <w:pPr>
        <w:pStyle w:val="TextoNormal"/>
      </w:pPr>
      <w:r>
        <w:t>Como consecuencia de lo previsto en el acuerdo citado, debemos remitirnos a lo dicho recientemente en nuestra STC 83/2015, de 30 de abril, sobre la posible pérdida de objeto de la cuestión de inconstitucionalidad.</w:t>
      </w:r>
    </w:p>
    <w:p w:rsidR="00AC56D6" w:rsidRDefault="00AC56D6" w:rsidP="00AC56D6">
      <w:pPr>
        <w:pStyle w:val="TextoNormal"/>
      </w:pPr>
    </w:p>
    <w:p w:rsidR="00AC56D6" w:rsidRDefault="00AC56D6" w:rsidP="00AC56D6">
      <w:pPr>
        <w:pStyle w:val="TextoNormal"/>
      </w:pPr>
      <w:r>
        <w:t xml:space="preserve">En el fundamento jurídico 3,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presente—, ni se había producido la extinción del procedimiento laboral a quo, ni tampoco nos encontrábamos ante un supuesto de pérdida de vigencia del precepto legal cuestionado, ello no obstante, era innegable la incidencia que tenía la medida contenida en la disposición adicional duodécima de la Ley 36/2014, de presupuestos generales del Estado para 2015 sobre la pretensión deducida en el pleito </w:t>
      </w:r>
      <w:r w:rsidRPr="00AC56D6">
        <w:rPr>
          <w:i/>
        </w:rPr>
        <w:t>a quo</w:t>
      </w:r>
      <w:r>
        <w:t>, “que afecta de modo determinante a la subsistencia del presente proceso constitucional, dada la estrecha vinculación existente entre toda cuestión de inconstitucionalidad y el procedimiento judicial de que dimana.”</w:t>
      </w:r>
    </w:p>
    <w:p w:rsidR="00AC56D6" w:rsidRDefault="00AC56D6" w:rsidP="00AC56D6">
      <w:pPr>
        <w:pStyle w:val="TextoNormal"/>
      </w:pPr>
    </w:p>
    <w:p w:rsidR="00AC56D6" w:rsidRDefault="00AC56D6" w:rsidP="00AC56D6">
      <w:pPr>
        <w:pStyle w:val="TextoNormal"/>
      </w:pPr>
      <w:r>
        <w:t>En la presente cuestión de inconstitucionalidad se plantea si la supresión del derecho de los funcionarios de la Comunidad Foral de Navarra a percibir la parte proporcional (en concreto, 44 días) de la paga extra de diciembre de 2012, por entenderse ya devengada al momento de la entrada en vigor del Real Decreto-ley 20/2012, contraviene el art. 9.3 CE. En esos términos planteada la cuestión es obligado concluir como hicimos en la STC 83/2015 que “la recuperación por esos trabajadores de la parte proporcional correspondiente a los primeros 44 días de la paga extra de diciembre de 2012”, en virtud de lo establecido en el citado acuerdo del Gobierno de Navarra de 18 de marzo de 2015,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00AC56D6" w:rsidRDefault="00AC56D6" w:rsidP="00AC56D6">
      <w:pPr>
        <w:pStyle w:val="TextoNormal"/>
      </w:pPr>
    </w:p>
    <w:p w:rsidR="00AC56D6" w:rsidRDefault="00AC56D6" w:rsidP="00AC56D6">
      <w:pPr>
        <w:pStyle w:val="TextoNormal"/>
      </w:pPr>
      <w:r>
        <w:t>Conforme a lo expuesto, la regulación contenida en el acuerdo del Gobierno de Navarra de 18 de marzo de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lastRenderedPageBreak/>
        <w:t>Ha decidido</w:t>
      </w:r>
    </w:p>
    <w:p w:rsidR="00AC56D6" w:rsidRDefault="00AC56D6" w:rsidP="00AC56D6">
      <w:pPr>
        <w:pStyle w:val="TextoNormalCentrado"/>
        <w:keepNext/>
      </w:pPr>
    </w:p>
    <w:p w:rsidR="00AC56D6" w:rsidRDefault="00AC56D6" w:rsidP="00AC56D6">
      <w:pPr>
        <w:pStyle w:val="TextoNormal"/>
      </w:pPr>
      <w:r>
        <w:t>Declarar la extinción de la presente cuestión de inconstitucionalidad por desaparición sobrevenida de su objeto.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veinte de julio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29" w:name="SENTENCIA_2015_173"/>
      <w:r>
        <w:lastRenderedPageBreak/>
        <w:t>SENTENCIA 173/2015, de 20 de julio de 2015</w:t>
      </w:r>
    </w:p>
    <w:bookmarkEnd w:id="29"/>
    <w:p w:rsidR="00AC56D6" w:rsidRDefault="00AC56D6" w:rsidP="00AC56D6">
      <w:pPr>
        <w:pStyle w:val="TtuloResolucin"/>
      </w:pPr>
      <w:r>
        <w:t>Sala Segunda</w:t>
      </w:r>
    </w:p>
    <w:p w:rsidR="00AC56D6" w:rsidRDefault="00AC56D6" w:rsidP="00AC56D6">
      <w:pPr>
        <w:pStyle w:val="TtuloBOE"/>
      </w:pPr>
      <w:r>
        <w:t>(BOE núm. 200, de 21 de agosto de 2015)</w:t>
      </w:r>
    </w:p>
    <w:p w:rsidR="00AC56D6" w:rsidRDefault="00AC56D6" w:rsidP="00AC56D6">
      <w:pPr>
        <w:pStyle w:val="TextoNormalCentrado"/>
      </w:pPr>
      <w:r>
        <w:t>ECLI:ES:TC:2015:173</w:t>
      </w:r>
    </w:p>
    <w:p w:rsidR="00AC56D6" w:rsidRDefault="00AC56D6" w:rsidP="00AC56D6">
      <w:pPr>
        <w:pStyle w:val="TextoNormalCentrado"/>
      </w:pPr>
    </w:p>
    <w:p w:rsidR="00AC56D6" w:rsidRDefault="00AC56D6" w:rsidP="00AC56D6">
      <w:pPr>
        <w:pStyle w:val="SntesisDescriptiva"/>
      </w:pPr>
      <w:r>
        <w:t>Cuestión de inconstitucionalidad 4552-2014. Planteada por la Sala de lo Social del Tribunal Superior de Justicia de Asturias en relación con el artículo 2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extinción, por pérdida de objeto, de la cuestión de inconstitucionalidad (STC 83/2015).</w:t>
      </w:r>
    </w:p>
    <w:p w:rsidR="00AC56D6" w:rsidRDefault="00AC56D6" w:rsidP="00AC56D6">
      <w:pPr>
        <w:pStyle w:val="SntesisAnaltica"/>
      </w:pPr>
    </w:p>
    <w:p w:rsidR="00AC56D6" w:rsidRDefault="00AC56D6" w:rsidP="00AC56D6">
      <w:pPr>
        <w:pStyle w:val="Extracto"/>
      </w:pPr>
      <w:r>
        <w:t>1.</w:t>
      </w:r>
      <w:r>
        <w:tab/>
        <w:t>La satisfacción extraprocesal de la pretensión deducida en el proceso laboral sobre la que se articula la cuestión de inconstitucionalidad le hace perder su objeto al ser dicha satisfacción uno de los posibles supuestos de extinción de la cuestión de inconstitucionalidad (STC 83/2015) [FJ 3].</w:t>
      </w:r>
    </w:p>
    <w:p w:rsidR="00AC56D6" w:rsidRDefault="00AC56D6" w:rsidP="00AC56D6">
      <w:pPr>
        <w:pStyle w:val="Extracto"/>
      </w:pPr>
    </w:p>
    <w:p w:rsidR="00AC56D6" w:rsidRDefault="00AC56D6" w:rsidP="00AC56D6">
      <w:pPr>
        <w:pStyle w:val="Extracto"/>
      </w:pPr>
      <w:r>
        <w:t>2.</w:t>
      </w:r>
      <w:r>
        <w:tab/>
        <w:t>Doctrina sobre las posibles causas de terminación extraordinaria de las cuestiones de inconstitucionalidad por pérdida sobrevenida de objeto (STC 83/2015) [FJ 3].</w:t>
      </w:r>
    </w:p>
    <w:p w:rsidR="00AC56D6" w:rsidRDefault="00AC56D6" w:rsidP="00AC56D6">
      <w:pPr>
        <w:pStyle w:val="Extracto"/>
      </w:pPr>
    </w:p>
    <w:p w:rsidR="00AC56D6" w:rsidRDefault="00AC56D6" w:rsidP="00AC56D6">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4552-2014, promovida por la Sala de lo Social del Tribunal Superior de Justicia de Asturias contra el art. 2 del Real Decreto-ley 20/2012, de 13 de julio, de medidas para garantizar la estabilidad presupuestaria y de fomento de la competitividad, por posible vulneración del art. 9.3 CE. Han formulado alegaciones el Fiscal General del Estado y el Abogado del Estado. Ha sido Ponente el Magistrado don Ricardo Enríquez Sancho, quien expresa el parecer del Tribunal.</w:t>
      </w:r>
    </w:p>
    <w:p w:rsidR="00AC56D6" w:rsidRDefault="00AC56D6" w:rsidP="00AC56D6">
      <w:pPr>
        <w:pStyle w:val="TextoNormal"/>
      </w:pPr>
    </w:p>
    <w:p w:rsidR="00AC56D6" w:rsidRDefault="00AC56D6" w:rsidP="00AC56D6">
      <w:pPr>
        <w:pStyle w:val="TextoNormalNegritaCentrado"/>
        <w:keepNext/>
      </w:pPr>
      <w:r>
        <w:lastRenderedPageBreak/>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10 de julio de 2014 tuvo entrada en el Registro General de este Tribunal un oficio de la Sala de lo Social del Tribunal Superior de Justicia de Asturias al que se acompaña, junto con el testimonio del procedimiento núm. 1128-2013, el Auto de 26 de junio de 2014, por el que se acuerda plantear cuestión de inconstitucionalidad en relación con el art. 2 del Real Decreto-ley 20/2012, de 13 de julio, de medidas para garantizar la estabilidad presupuestaria y de fomento de la competitividad, en su aplicación al personal laboral del sector público, por posible lesión del art. 9.3 CE, sobre el principio de irretroactividad de disposiciones restrictivas de derechos individuales.</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procesales de la cuestión de inconstitucionalidad planteada son, sucintamente expuestos, los siguientes:</w:t>
      </w:r>
    </w:p>
    <w:p w:rsidR="00AC56D6" w:rsidRDefault="00AC56D6" w:rsidP="00AC56D6">
      <w:pPr>
        <w:pStyle w:val="TextoNormal"/>
      </w:pPr>
    </w:p>
    <w:p w:rsidR="00AC56D6" w:rsidRDefault="00AC56D6" w:rsidP="00AC56D6">
      <w:pPr>
        <w:pStyle w:val="TextoNormal"/>
      </w:pPr>
      <w:r>
        <w:t>a) Comisiones Obreras de Asturias y la Unión General de Trabajadores-Unión Regional de Asturias interpusieron demanda de conflicto colectivo contra la decisión del Ayuntamiento de San Martín del Rey Aurelio de no abonar la paga extraordinaria de Navidad a su personal laboral, decisión adoptada en cumplimiento de lo dispuesto en el art. 2 del Real Decreto-ley 20/2012, de 13 de julio. En dicha demanda reclamaban se reconociera el derecho de dichos trabajadores a que únicamente se les dedujera de su paga de Navidad 2012 la proporción devengada correspondiente al período transcurrido desde la entrada en vigor de dicho Real Decreto-ley 20/2012 —esto es, el 15 de julio de 2012— al 31 de diciembre de dicho año, reintegrándoles el exceso indebidamente descontado —es decir, del 1 de enero de 2012 al 14 de julio de 2012, o subsidiariamente, desde el 1 al 14 de julio de 2012—.</w:t>
      </w:r>
    </w:p>
    <w:p w:rsidR="00AC56D6" w:rsidRDefault="00AC56D6" w:rsidP="00AC56D6">
      <w:pPr>
        <w:pStyle w:val="TextoNormal"/>
      </w:pPr>
    </w:p>
    <w:p w:rsidR="00AC56D6" w:rsidRDefault="00AC56D6" w:rsidP="00AC56D6">
      <w:pPr>
        <w:pStyle w:val="TextoNormal"/>
      </w:pPr>
      <w:r>
        <w:t>b) Por Sentencia de 22 de enero de 2014, el Juzgado de lo Social Único de Mieres estimó en parte la demanda y declaró el derecho de los trabajadores afectados al abono de la paga extraordinaria de diciembre de 2012, devengada en el período comprendido entre el 1 de julio al 14 de julio del propio año.</w:t>
      </w:r>
    </w:p>
    <w:p w:rsidR="00AC56D6" w:rsidRDefault="00AC56D6" w:rsidP="00AC56D6">
      <w:pPr>
        <w:pStyle w:val="TextoNormal"/>
      </w:pPr>
    </w:p>
    <w:p w:rsidR="00AC56D6" w:rsidRDefault="00AC56D6" w:rsidP="00AC56D6">
      <w:pPr>
        <w:pStyle w:val="TextoNormal"/>
      </w:pPr>
      <w:r>
        <w:t>c) Frente a dicha resolución el sindicato Unión General de Trabajadores-Unión Regional de Asturias interpuso recurso de suplicación ante el Tribunal Superior de Justicia de Asturias.</w:t>
      </w:r>
    </w:p>
    <w:p w:rsidR="00AC56D6" w:rsidRDefault="00AC56D6" w:rsidP="00AC56D6">
      <w:pPr>
        <w:pStyle w:val="TextoNormal"/>
      </w:pPr>
    </w:p>
    <w:p w:rsidR="00AC56D6" w:rsidRDefault="00AC56D6" w:rsidP="00AC56D6">
      <w:pPr>
        <w:pStyle w:val="TextoNormal"/>
      </w:pPr>
      <w:r>
        <w:t xml:space="preserve">d) El 16 de mayo de 2014, la Sala de lo Social del Tribunal Superior de Justicia de Asturias dictó providencia, por la que acuerda oír a las partes y al Ministerio Fiscal, en el plazo común e improrrogable de diez días, para que aleguen sobre la pertinencia de plantear cuestión de inconstitucionalidad o sobre el fondo de la misma, en relación con el art. 2 del Real Decreto-ley 20/2012, de 13 de julio, de medidas para garantizar la estabilidad presupuestaria y de fomento de la competitividad. La duda de constitucionalidad del órgano judicial se concreta en que el citado precepto “establece la reducción de retribuciones en las cuantías que correspondiera percibir en el mes de diciembre de 2012 como consecuencia de la supresión de la paga o gratificación extraordinaria”. Al respecto, la providencia indica que, según la jurisprudencia del Tribunal Supremo, las gratificaciones extraordinarias tienen la consideración de salario diferido y se devengan día a día, añadiendo que la disposición legal controvertida establece la indicada supresión “sin excepción alguna respecto de la parte que ya se hubiera podido devengar a la fecha de su entrada en vigor, el 15 de julio de 2012”, de </w:t>
      </w:r>
      <w:r>
        <w:lastRenderedPageBreak/>
        <w:t>ahí que la Sala se plantee la posibilidad de que la misma esté vulnerando lo dispuesto en el artículo 9.3 CE, que garantiza la irretroactividad de las disposiciones restrictivas de derecho individuales.</w:t>
      </w:r>
    </w:p>
    <w:p w:rsidR="00AC56D6" w:rsidRDefault="00AC56D6" w:rsidP="00AC56D6">
      <w:pPr>
        <w:pStyle w:val="TextoNormal"/>
      </w:pPr>
    </w:p>
    <w:p w:rsidR="00AC56D6" w:rsidRDefault="00AC56D6" w:rsidP="00AC56D6">
      <w:pPr>
        <w:pStyle w:val="TextoNormal"/>
      </w:pPr>
      <w:r>
        <w:t>e) Mediante escrito de 27 de mayo de 2014, el Fiscal presentó sus alegaciones, entendiendo pertinente el planteamiento de la cuestión de inconstitucionalidad.</w:t>
      </w:r>
    </w:p>
    <w:p w:rsidR="00AC56D6" w:rsidRDefault="00AC56D6" w:rsidP="00AC56D6">
      <w:pPr>
        <w:pStyle w:val="TextoNormal"/>
      </w:pPr>
    </w:p>
    <w:p w:rsidR="00AC56D6" w:rsidRDefault="00AC56D6" w:rsidP="00AC56D6">
      <w:pPr>
        <w:pStyle w:val="TextoNormal"/>
      </w:pPr>
      <w:r>
        <w:t>El Ayuntamiento de San Martín del Rey Aurelio presentó escrito de 3 de junio de 2014, en el que manifiesta su interés en el planteamiento de la cuestión de inconstitucionalidad.</w:t>
      </w:r>
    </w:p>
    <w:p w:rsidR="00AC56D6" w:rsidRDefault="00AC56D6" w:rsidP="00AC56D6">
      <w:pPr>
        <w:pStyle w:val="TextoNormal"/>
      </w:pPr>
    </w:p>
    <w:p w:rsidR="00AC56D6" w:rsidRDefault="00AC56D6" w:rsidP="00AC56D6">
      <w:pPr>
        <w:pStyle w:val="TextoNormal"/>
      </w:pPr>
      <w:r>
        <w:t>No se presentó escrito de alegaciones por los demandantes.</w:t>
      </w:r>
    </w:p>
    <w:p w:rsidR="00AC56D6" w:rsidRDefault="00AC56D6" w:rsidP="00AC56D6">
      <w:pPr>
        <w:pStyle w:val="TextoNormal"/>
      </w:pPr>
    </w:p>
    <w:p w:rsidR="00AC56D6" w:rsidRDefault="00AC56D6" w:rsidP="00AC56D6">
      <w:pPr>
        <w:pStyle w:val="TextoNormal"/>
      </w:pPr>
      <w:r w:rsidRPr="00AC56D6">
        <w:rPr>
          <w:rStyle w:val="NumeroAFNegritaCaracter"/>
        </w:rPr>
        <w:t>3</w:t>
      </w:r>
      <w:r>
        <w:t>. Por Auto de 26 de junio de 2014, la Sala de lo Social del Tribunal Superior de Justicia de Asturias acordó plantear la presente cuestión de inconstitucionalidad. En el citado Auto, el órgano judicial indica que hace suyos los razonamientos contenidos en el Auto 16/2013, de 1 de marzo, de la Sala de lo Social de la Audiencia Nacional, en el que se acuerda elevar cuestión de inconstitucionalidad respecto al mismo precepto legal, Auto cuyos razonamientos jurídicos transcribe, reproduciendo, en síntesis, los siguientes argumentos:</w:t>
      </w:r>
    </w:p>
    <w:p w:rsidR="00AC56D6" w:rsidRDefault="00AC56D6" w:rsidP="00AC56D6">
      <w:pPr>
        <w:pStyle w:val="TextoNormal"/>
      </w:pPr>
    </w:p>
    <w:p w:rsidR="00AC56D6" w:rsidRDefault="00AC56D6" w:rsidP="00AC56D6">
      <w:pPr>
        <w:pStyle w:val="TextoNormal"/>
      </w:pPr>
      <w:r>
        <w:t>a) Para la Sala está claro que el art. 2 del Real Decreto-ley 20/2012 suprime la percepción de la paga extraordinaria del mes de diciembre del año 2012 para el personal laboral del sector público, y que lo hace a partir de su entrada en vigor (día 15 de julio de 2012), sin precisar excepciones por derechos ya devengados. A su entender, el legislador es plenamente consciente de la posibilidad de que haya comenzado a devengarse la paga extraordinaria cuya percepción se suprime, en tanto que indica que la medida afecta a cuantías “que corresponda percibir”, en tiempo verbal no condicional, admitiendo así que el derecho ya se ha generado; no obstante lo cual cierra la puerta a su abono. Desde esa perspectiva, entiende la Sala que no es posible interpretar el art. 2 del Real Decreto-ley 20/2012 considerando que cabe abonar aquella parte de la paga extraordinaria de diciembre que ya se hubiera devengado a la fecha de entrada en vigor de la citada norma. En definitiva, por mucho que ya se hubiera devengado la paga extraordinaria correspondiente a catorce días (del 1 al 14 de julio), la aplicación del citado art. 2 no daría lugar a su abono. Pues bien, atendiendo a la consolidada jurisprudencia según la cual las pagas extraordinarias son salario diferido que se devenga día a día, aquella norma podría considerarse contraria al art. 9.3 CE, que garantiza la irretroactividad de las disposiciones restrictivas de derechos individuales y la seguridad jurídica, puesto que se estaría suprimiendo el derecho ya generado a percibir la parte proporcional de la paga extraordinaria devengada antes de la entrada en vigor de la norma.</w:t>
      </w:r>
    </w:p>
    <w:p w:rsidR="00AC56D6" w:rsidRDefault="00AC56D6" w:rsidP="00AC56D6">
      <w:pPr>
        <w:pStyle w:val="TextoNormal"/>
      </w:pPr>
    </w:p>
    <w:p w:rsidR="00AC56D6" w:rsidRDefault="00AC56D6" w:rsidP="00AC56D6">
      <w:pPr>
        <w:pStyle w:val="TextoNormal"/>
      </w:pPr>
      <w:r>
        <w:t xml:space="preserve">b) Tras recordar la doctrina constitucional sobre la prohibición de retroactividad de las disposiciones sancionadoras no favorables o restrictivas de derechos individuales prevista en el art. 9.3 CE (SSTC 112/2006 y 89/2009), y a efectos de proceder a su aplicación, el Auto 16/2013 sienta el presupuesto de que estamos ante un derecho individual en el sentido dado por el Tribunal Constitucional a esta expresión, y ello, porque los derechos retributivos pertenecen a la esfera general de protección de la persona y se consagran en el art. 35 CE, en que se reconoce el derecho a la remuneración suficiente (lo que en principio se correspondería con el salario mínimo interprofesional), pero también el derecho al trabajo, siendo una de las notas esenciales su carácter remunerado. De hecho, considera que esa concepción de la retribución como derecho que pertenece a la esfera general de protección de la persona </w:t>
      </w:r>
      <w:r>
        <w:lastRenderedPageBreak/>
        <w:t>más allá de su cuantía mínima interprofesional ha venido siendo admitida por el Tribunal Constitucional, al aceptar su encaje en el supuesto de hecho del art. 9.3 CE, haciendo referencia al respecto a la STC 330/2005 y al ATC 162/2012. Por lo dicho, concluye que en el caso se cumple el presupuesto del art. 9.3 CE de que nos encontremos ante derechos individuales amparables por el principio de interdicción de retroactividad.</w:t>
      </w:r>
    </w:p>
    <w:p w:rsidR="00AC56D6" w:rsidRDefault="00AC56D6" w:rsidP="00AC56D6">
      <w:pPr>
        <w:pStyle w:val="TextoNormal"/>
      </w:pPr>
    </w:p>
    <w:p w:rsidR="00AC56D6" w:rsidRDefault="00AC56D6" w:rsidP="00AC56D6">
      <w:pPr>
        <w:pStyle w:val="TextoNormal"/>
      </w:pPr>
      <w:r>
        <w:t>c) Seguidamente alcanza también la conclusión de que el art. 2 del Real Decreto-ley 20/2012, al suprimir la paga extraordinaria de diciembre de 2012 para el personal laboral del sector público, establece una retroactividad prohibida por el art. 9.3 CE, al incidir sobre los efectos jurídicos ya producidos al amparo de una norma anteriormente vigente. En tal sentido, y ante el silencio de la regulación legal de las pagas extraordinarias —que se limita a fijar el momento de su percepción—, la Sala toma en consideración la jurisprudencia dictada en unificación de doctrina por el Tribunal Supremo, que configura la paga extra como de devengo diario y cobro aplazado. Por ello, señala que estamos ante un derecho que se genera día a día, incorporándose como tal al acervo patrimonial de los trabajadores, de ahí que, en el caso examinado, al ser la paga extra de diciembre de 2012 de devengo semestral a partir del 1 de julio —por disponerlo así el convenio colectivo de aplicación—, a la fecha de entrada en vigor del Real Decreto-ley 20/2012 ya se había devengado y generado el derecho a la parte proporcional a catorce días de trabajo, que, sin embargo, el art. 2 de la norma suprime, operando una retroactividad auténtica o de grado máximo.</w:t>
      </w:r>
    </w:p>
    <w:p w:rsidR="00AC56D6" w:rsidRDefault="00AC56D6" w:rsidP="00AC56D6">
      <w:pPr>
        <w:pStyle w:val="TextoNormal"/>
      </w:pPr>
    </w:p>
    <w:p w:rsidR="00AC56D6" w:rsidRDefault="00AC56D6" w:rsidP="00AC56D6">
      <w:pPr>
        <w:pStyle w:val="TextoNormal"/>
      </w:pPr>
      <w:r>
        <w:t>d) Asimismo, el Auto 16/2013 considera que dicha retroactividad carece de justificación habilitante, no apreciando exigencias cualificadas del bien común que, según la doctrina constitucional, podrían imponerse excepcionalmente (STC 197/1992). Al respecto considera que esa excepción a la irretroactividad debe interpretarse de forma restrictiva y que no cabe extenderla a toda medida de interés general. En particular, entiende que la reducción del déficit público no reúne la nota de cualificación absolutamente excepcional que sería necesaria para sacrificar el principio constitucional de seguridad jurídica que sustenta la irretroactividad, en aras del bien común, y que es el interés general lo que se ataca cuando se niega, a quienes han prestado sus servicios, el derecho a percibir el salario correspondiente. Hace referencia, igualmente, a algunos pronunciamientos del Tribunal Constitucional (SSTC 247/2007 y 89/2009) y del Tribunal Europeo de Derechos Humanos, en los que considera que se mantiene una concepción realmente cualificada del "interés general”, y señala que la pretensión de reducir el gasto público, por muy urgente y necesaria que sea, no constituye sin más un "bien común" que abra la puerta a exceptuar los básicos principios constitucionales de irretroactividad y seguridad jurídica; principios constitucionales que sí cabe identificar, en cambio, con el interés general de los ciudadanos.</w:t>
      </w:r>
    </w:p>
    <w:p w:rsidR="00AC56D6" w:rsidRDefault="00AC56D6" w:rsidP="00AC56D6">
      <w:pPr>
        <w:pStyle w:val="TextoNormal"/>
      </w:pPr>
    </w:p>
    <w:p w:rsidR="00AC56D6" w:rsidRDefault="00AC56D6" w:rsidP="00AC56D6">
      <w:pPr>
        <w:pStyle w:val="TextoNormal"/>
      </w:pPr>
      <w:r>
        <w:t xml:space="preserve">e) Finalmente, la Sala se plantea la posibilidad de que estemos ante una expropiación legislativa de derechos, pero rechaza tal hipótesis en cuanto que la formulación condicionada en este caso de una hipotética compensación o devolución futura de cantidades en modo alguno resultaría asimilable al justo precio al que alude la Ley de expropiación forzosa: ni siquiera está garantizada y no es propiamente una devolución, puesto que las cuantías detraídas se transformarían en aportaciones a planes de pensiones o contratos de seguro en los términos que establezca el legislador, sujetas además al previo cumplimiento de los objetivos de estabilidad presupuestaria. A su parecer, el carácter meramente hipotético y condicionado de la devolución de las cantidades detraídas a raíz de la supresión de la paga </w:t>
      </w:r>
      <w:r>
        <w:lastRenderedPageBreak/>
        <w:t>extraordinaria de diciembre de 2012 diluye cualquier brizna de proporcionalidad de la compensación que pudiera alegarse para justificar la injerencia retroactiva y se aleja del concepto de expropiación legislativa de derechos.</w:t>
      </w:r>
    </w:p>
    <w:p w:rsidR="00AC56D6" w:rsidRDefault="00AC56D6" w:rsidP="00AC56D6">
      <w:pPr>
        <w:pStyle w:val="TextoNormal"/>
      </w:pPr>
    </w:p>
    <w:p w:rsidR="00AC56D6" w:rsidRDefault="00AC56D6" w:rsidP="00AC56D6">
      <w:pPr>
        <w:pStyle w:val="TextoNormal"/>
      </w:pPr>
      <w:r>
        <w:t>f) Por todo ello, la Sala acuerda elevar cuestión de inconstitucionalidad en los siguientes términos:</w:t>
      </w:r>
    </w:p>
    <w:p w:rsidR="00AC56D6" w:rsidRDefault="00AC56D6" w:rsidP="00AC56D6">
      <w:pPr>
        <w:pStyle w:val="TextoNormal"/>
      </w:pPr>
    </w:p>
    <w:p w:rsidR="00AC56D6" w:rsidRDefault="00AC56D6" w:rsidP="00AC56D6">
      <w:pPr>
        <w:pStyle w:val="TextoNormal"/>
      </w:pPr>
      <w:r>
        <w:t>“Si la redacción del art. 2 del Real Decreto-ley 20/2012, de 13 de julio, de medidas para garantizar la estabilidad presupuestaria y de fomento de la competitividad, en su aplicación al personal laboral del sector público, ha vulnerado o no el principio de irretroactividad de las disposiciones restrictivas de derechos individuales contemplado en el art. 9.3 de la Constitución, puesto que entendemos que dicho precepto es aplicable al caso y el fallo depende de su validez, no siendo posible acomodarlo al ordenamiento constitucional por otra vía interpretativa.”</w:t>
      </w:r>
    </w:p>
    <w:p w:rsidR="00AC56D6" w:rsidRDefault="00AC56D6" w:rsidP="00AC56D6">
      <w:pPr>
        <w:pStyle w:val="TextoNormal"/>
      </w:pPr>
    </w:p>
    <w:p w:rsidR="00AC56D6" w:rsidRDefault="00AC56D6" w:rsidP="00AC56D6">
      <w:pPr>
        <w:pStyle w:val="TextoNormal"/>
      </w:pPr>
      <w:r w:rsidRPr="00AC56D6">
        <w:rPr>
          <w:rStyle w:val="NumeroAFNegritaCaracter"/>
        </w:rPr>
        <w:t>4</w:t>
      </w:r>
      <w:r>
        <w:t>. El Pleno de este Tribunal, a propuesta de la Sección Cuarta, acordó admitir a trámite la cuestión mediante providencia de 22 de julio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Asturias,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Por escrito registrado el 4 de septiembre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AC56D6" w:rsidRDefault="00AC56D6" w:rsidP="00AC56D6">
      <w:pPr>
        <w:pStyle w:val="TextoNormal"/>
      </w:pPr>
    </w:p>
    <w:p w:rsidR="00AC56D6" w:rsidRDefault="00AC56D6" w:rsidP="00AC56D6">
      <w:pPr>
        <w:pStyle w:val="TextoNormal"/>
      </w:pPr>
      <w:r>
        <w:t>Mediante escrito registrado el 8 de septiembre de 2014, el Presidente del Senado comunicó a este Tribunal el acuerdo de la Mesa para que se diera por personada a la Cámara y por ofrecida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6</w:t>
      </w:r>
      <w:r>
        <w:t>. El Abogado del Estado, mediante escrito de alegaciones registrado el 9 de septiembre de 2014, se personó interesando la desestimación de la cuestión de inconstitucionalidad por las razones que, resumidamente, se exponen a continuación.</w:t>
      </w:r>
    </w:p>
    <w:p w:rsidR="00AC56D6" w:rsidRDefault="00AC56D6" w:rsidP="00AC56D6">
      <w:pPr>
        <w:pStyle w:val="TextoNormal"/>
      </w:pPr>
    </w:p>
    <w:p w:rsidR="00AC56D6" w:rsidRDefault="00AC56D6" w:rsidP="00AC56D6">
      <w:pPr>
        <w:pStyle w:val="TextoNormal"/>
      </w:pPr>
      <w:r>
        <w:t xml:space="preserve">Comienza señalando que aunque el Auto de planteamiento cuestiona la totalidad del extenso art. 2 del Real Decreto-ley 20/2012, sin embargo se refiere en realidad solo al apartado 2.2 del art. 2, es decir, a la aplicación de la supresión de la paga extraordinaria de diciembre al personal laboral del sector público. Además, precisa que no se cuestiona genéricamente la referida supresión, sino que tan solo se reprocha al legislador el que no haya incluido una disposición transitoria por la cual se hubiera exceptuado de la mencionada supresión la parte </w:t>
      </w:r>
      <w:r>
        <w:lastRenderedPageBreak/>
        <w:t>proporcional de la paga extraordinaria que se entiende devengada del 1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al 15 de julio de 2012).</w:t>
      </w:r>
    </w:p>
    <w:p w:rsidR="00AC56D6" w:rsidRDefault="00AC56D6" w:rsidP="00AC56D6">
      <w:pPr>
        <w:pStyle w:val="TextoNormal"/>
      </w:pPr>
    </w:p>
    <w:p w:rsidR="00AC56D6" w:rsidRDefault="00AC56D6" w:rsidP="00AC56D6">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AC56D6" w:rsidRDefault="00AC56D6" w:rsidP="00AC56D6">
      <w:pPr>
        <w:pStyle w:val="TextoNormal"/>
      </w:pPr>
    </w:p>
    <w:p w:rsidR="00AC56D6" w:rsidRDefault="00AC56D6" w:rsidP="00AC56D6">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al 15 de julio, “estaba ya consolidado, asumido e integrado en el patrimonio de los trabajadores cuando entró en vigor” el Real Decreto-ley 20/2012, o si, por el contrario, se trataba de una expectativa de derecho o de un derecho futuro o condicionado.</w:t>
      </w:r>
    </w:p>
    <w:p w:rsidR="00AC56D6" w:rsidRDefault="00AC56D6" w:rsidP="00AC56D6">
      <w:pPr>
        <w:pStyle w:val="TextoNormal"/>
      </w:pPr>
    </w:p>
    <w:p w:rsidR="00AC56D6" w:rsidRDefault="00AC56D6" w:rsidP="00AC56D6">
      <w:pPr>
        <w:pStyle w:val="TextoNormal"/>
      </w:pPr>
      <w: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w:t>
      </w:r>
      <w:r>
        <w:lastRenderedPageBreak/>
        <w:t>(STC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00AC56D6" w:rsidRDefault="00AC56D6" w:rsidP="00AC56D6">
      <w:pPr>
        <w:pStyle w:val="TextoNormal"/>
      </w:pPr>
    </w:p>
    <w:p w:rsidR="00AC56D6" w:rsidRDefault="00AC56D6" w:rsidP="00AC56D6">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(STJUE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AC56D6" w:rsidRDefault="00AC56D6" w:rsidP="00AC56D6">
      <w:pPr>
        <w:pStyle w:val="TextoNormal"/>
      </w:pPr>
    </w:p>
    <w:p w:rsidR="00AC56D6" w:rsidRDefault="00AC56D6" w:rsidP="00AC56D6">
      <w:pPr>
        <w:pStyle w:val="TextoNormal"/>
      </w:pPr>
      <w:r>
        <w:t>Por todo ello, se interesa la desestimación de la cuestión.</w:t>
      </w:r>
    </w:p>
    <w:p w:rsidR="00AC56D6" w:rsidRDefault="00AC56D6" w:rsidP="00AC56D6">
      <w:pPr>
        <w:pStyle w:val="TextoNormal"/>
      </w:pPr>
    </w:p>
    <w:p w:rsidR="00AC56D6" w:rsidRDefault="00AC56D6" w:rsidP="00AC56D6">
      <w:pPr>
        <w:pStyle w:val="TextoNormal"/>
      </w:pPr>
      <w:r w:rsidRPr="00AC56D6">
        <w:rPr>
          <w:rStyle w:val="NumeroAFNegritaCaracter"/>
        </w:rPr>
        <w:t>7</w:t>
      </w:r>
      <w:r>
        <w:t>. El Fiscal General del Estado presentó escrito de alegaciones ante este Tribunal el 18 de septiembre de 2014 interesando la estimación de la presente cuestión de inconstitucionalidad.</w:t>
      </w:r>
    </w:p>
    <w:p w:rsidR="00AC56D6" w:rsidRDefault="00AC56D6" w:rsidP="00AC56D6">
      <w:pPr>
        <w:pStyle w:val="TextoNormal"/>
      </w:pPr>
    </w:p>
    <w:p w:rsidR="00AC56D6" w:rsidRDefault="00AC56D6" w:rsidP="00AC56D6">
      <w:pPr>
        <w:pStyle w:val="TextoNormal"/>
      </w:pPr>
      <w: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w:t>
      </w:r>
      <w:r>
        <w:lastRenderedPageBreak/>
        <w:t>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AC56D6" w:rsidRDefault="00AC56D6" w:rsidP="00AC56D6">
      <w:pPr>
        <w:pStyle w:val="TextoNormal"/>
      </w:pPr>
    </w:p>
    <w:p w:rsidR="00AC56D6" w:rsidRDefault="00AC56D6" w:rsidP="00AC56D6">
      <w:pPr>
        <w:pStyle w:val="TextoNormal"/>
      </w:pPr>
      <w: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w:t>
      </w:r>
      <w:r w:rsidRPr="00AC56D6">
        <w:rPr>
          <w:i/>
        </w:rPr>
        <w:t>N.K.M. c.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lastRenderedPageBreak/>
        <w:t>El Fiscal General del Estado concluye sus alegaciones precisando que en el Auto de planteamiento no se cuestiona todo el art. 2 del Real Decreto-ley 20/2012 sino sólo su apartado 2.2, ya que es el que resulta aplicable para resolver el pleito sometido al conocimiento de la Sala de lo Social del Tribunal Superior de Justicia de Asturias (referido en exclusiva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28 de mayo de 2015 la Sala Segunda acordó, de conformidad con lo dispuesto en el art. 88.1 LOTC, dirigir atenta comunicación al Ayuntamiento de San Martín del Rey Aurelio, a fin de que indique a este Tribunal si, en atención a lo previsto en la disposición adicional duodécima de la Ley 36/2014, de presupuestos generales del Estado para 2015, o por cualquier otra circunstancia, ha satisfecho al personal laboral de este Ayuntamiento alguna cantidad en concepto de recuperación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AC56D6" w:rsidRDefault="00AC56D6" w:rsidP="00AC56D6">
      <w:pPr>
        <w:pStyle w:val="TextoNormal"/>
      </w:pPr>
    </w:p>
    <w:p w:rsidR="00AC56D6" w:rsidRDefault="00AC56D6" w:rsidP="00AC56D6">
      <w:pPr>
        <w:pStyle w:val="TextoNormal"/>
      </w:pPr>
      <w:r w:rsidRPr="00AC56D6">
        <w:rPr>
          <w:rStyle w:val="NumeroAFNegritaCaracter"/>
        </w:rPr>
        <w:t>9</w:t>
      </w:r>
      <w:r>
        <w:t>. En contestación a dicho requerimiento el Alcalde en funciones del Ayuntamiento de San Martín del Rey Aurelio remitió a este Tribunal informe de la Unidad de Personal de dicho Ayuntamiento, emitido el 15 de junio de 2015, en el que se informa que por resolución de Alcaldía de 13 de febrero de 2014, en cumplimiento de la Sentencia de 22 de enero de 2014, del Juzgado de lo Social Único de Mieres (autos 1128-2013) en la que se declara el derecho de los trabajadores a ser repuestos en el abono de la paga extraordinaria de diciembre de 2012, devengada hasta la entrada en vigor del Real Decreto-ley 20/2012, en el mes de febrero de 2014 se abonó al personal laboral de este Ayuntamiento la parte proporcional de la paga extraordinaria de diciembre de 2012. Así, a los empleados a los que se les suprimió la paga extraordinaria de diciembre de 2012 al completo, cuyo período de devengo es de junio a noviembre, se les abonó la parte correspondiente a 44 días (30 días de junio y 14 de julio) y a los empleados cuya paga extraordinaria estaba prorrateada y la percibieron hasta junio de 2012 inclusive, se les abonó la parte correspondiente a 14 días (14 días de julio).</w:t>
      </w:r>
    </w:p>
    <w:p w:rsidR="00AC56D6" w:rsidRDefault="00AC56D6" w:rsidP="00AC56D6">
      <w:pPr>
        <w:pStyle w:val="TextoNormal"/>
      </w:pPr>
    </w:p>
    <w:p w:rsidR="00AC56D6" w:rsidRDefault="00AC56D6" w:rsidP="00AC56D6">
      <w:pPr>
        <w:pStyle w:val="TextoNormal"/>
      </w:pPr>
      <w:r w:rsidRPr="00AC56D6">
        <w:rPr>
          <w:rStyle w:val="NumeroAFNegritaCaracter"/>
        </w:rPr>
        <w:t>10</w:t>
      </w:r>
      <w:r>
        <w:t>. Por providencia de 16 de julio de 2015 se señaló para deliberación y votación de la presente Sentencia el día 20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La Sala de lo Social del Tribunal Superior de Justicia de Asturias plantea cuestión de inconstitucionalidad respecto del art. 2 del Real Decreto-ley 20/2012, de 13 de julio, de medidas para garantizar la estabilidad presupuestaria y de fomento de la competitividad, precepto que, en lo que aquí importa, dispone para el personal del sector público definido en el art. 22.1 de la Ley 2/2012, de 29 de junio, de presupuestos generales del Estado para 2012, la supresión de la paga extraordinaria (o equivalente) del mes de diciembre de 2012. </w:t>
      </w:r>
      <w:r>
        <w:lastRenderedPageBreak/>
        <w:t>En síntesis, la Sala entiende que el art. 2 Real Decreto-ley 20/2012, en su aplicación al personal laboral del sector público,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 al 14 de julio de 2012).</w:t>
      </w:r>
    </w:p>
    <w:p w:rsidR="00AC56D6" w:rsidRDefault="00AC56D6" w:rsidP="00AC56D6">
      <w:pPr>
        <w:pStyle w:val="TextoNormal"/>
      </w:pPr>
    </w:p>
    <w:p w:rsidR="00AC56D6" w:rsidRDefault="00AC56D6" w:rsidP="00AC56D6">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al análisis de la cuestión planteada conviene realizar una serie de precisiones para acotar debidamente el objeto de la misma y el alcance de nuestro enjuiciamiento.</w:t>
      </w:r>
    </w:p>
    <w:p w:rsidR="00AC56D6" w:rsidRDefault="00AC56D6" w:rsidP="00AC56D6">
      <w:pPr>
        <w:pStyle w:val="TextoNormal"/>
      </w:pPr>
    </w:p>
    <w:p w:rsidR="00AC56D6" w:rsidRDefault="00AC56D6" w:rsidP="00AC56D6">
      <w:pPr>
        <w:pStyle w:val="TextoNormal"/>
      </w:pPr>
      <w:r>
        <w:t>a) Así, en primer lugar, resulta obligado advertir, en consonancia con lo manifestado en sus alegaciones respectivas por el Fiscal General del Estado y el Abogado del Estado, que si bien la Sala de lo Social del Tribunal Superior de Justicia de Asturias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al personal laboral del sector público” (como se precisa expresamente en la parte dispositiva del Auto). En este sentido, hay que tener en cuenta que la cuestión de inconstitucionalidad trae causa de un proceso de conflicto colectivo promovido por Unión General de Trabajadores-Unión General de Asturias y Comisiones Obreras de Asturias con motivo de la supresión, por aplicación de las previsiones contenidas en el Real Decreto-ley 20/2012, de la paga o gratificación extraordinaria de diciembre de 2012 al personal laboral del Ayuntamiento de San Martín del Rey Aurelio, proceso en el que lo pretendido por los demandantes con carácter subsidiario a la pretensión principal (referida a que se les reintegre el exceso indebidamente descontado entre el 1 de enero de 2012 al 14 de julio de 2012) es justamente que se declare el derecho de los trabajadores de esta empresa a percibir la parte proporcional de la paga extra de diciembre de 2012 correspondiente al período comprendido desde el 1 al 14 de julio de 2012 que consideran ya devengada al momento de la entrada en vigor del Real Decreto-ley 20/2012, porque, de acuerdo con el art. 9.3 CE en relación con el art. 33.3 CE, no cabe que la supresión de esa paga extra por el Real Decreto-ley 20/2012 tenga efectos retroactivos.</w:t>
      </w:r>
    </w:p>
    <w:p w:rsidR="00AC56D6" w:rsidRDefault="00AC56D6" w:rsidP="00AC56D6">
      <w:pPr>
        <w:pStyle w:val="TextoNormal"/>
      </w:pPr>
    </w:p>
    <w:p w:rsidR="00AC56D6" w:rsidRDefault="00AC56D6" w:rsidP="00AC56D6">
      <w:pPr>
        <w:pStyle w:val="TextoNormal"/>
      </w:pPr>
      <w:r>
        <w:t>De este modo, en los términos que ha sido planteada, la presente cuestión de inconstitucionalidad debe entenderse referida al apartado 1 del art. 2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2.2 del art. 2 del Real Decreto-ley 20/2012, que se refiere específicamente a la supresión de la paga o gratificación extraordinaria de diciembre de 2012 o equivalente al personal laboral del sector público.</w:t>
      </w:r>
    </w:p>
    <w:p w:rsidR="00AC56D6" w:rsidRDefault="00AC56D6" w:rsidP="00AC56D6">
      <w:pPr>
        <w:pStyle w:val="TextoNormal"/>
      </w:pPr>
    </w:p>
    <w:p w:rsidR="00AC56D6" w:rsidRDefault="00AC56D6" w:rsidP="00AC56D6">
      <w:pPr>
        <w:pStyle w:val="TextoNormal"/>
      </w:pPr>
      <w:r>
        <w:lastRenderedPageBreak/>
        <w:t>b) Por otra parte debe tenerse en cuenta que no se cuestiona por la Sala de lo Social del Tribunal Superior de Justicia de Asturias la medida de supresión de la paga extraordinaria de diciembre de 2012 en sí misma considerada, sino sólo en cuanto su aplicación haya podido suponer la infracción del principio de irretroactividad establecido en el 9.3 CE en relación con el art. 33.3 CE, al no contemplar excepción alguna respecto de las cuantías que se entienden ya devengadas de dicha paga extra (en concreto, la Sala considera devengado el derecho a la parte proporcional a 14 días de trabajo, desde 1 al 14 de julio de 2012) a la fecha de entrada en vigor del Real Decreto-ley 20/2012 (que tuvo lugar el 15 de julio de 2012, conforme a su disposición final decimoquinta), ni fijar indemnización alguna por la supresión de un derecho patrimonial. A esta concreta duda de constitucionalidad deberá, pues, ceñirse nuestro enjuiciamiento.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La disposición adicional duodécima de la Ley 36/2014, de 26 de diciembre, de presupuestos generales del Estado para 2015, bajo el epígrafe “Recuperación de la paga extraordinaria y adicional del mes de diciembre de 2012”, establece, en su apartado primero,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00AC56D6" w:rsidRDefault="00AC56D6" w:rsidP="00AC56D6">
      <w:pPr>
        <w:pStyle w:val="TextoNormal"/>
      </w:pPr>
    </w:p>
    <w:p w:rsidR="00AC56D6" w:rsidRDefault="00AC56D6" w:rsidP="00AC56D6">
      <w:pPr>
        <w:pStyle w:val="TextoNormal"/>
      </w:pPr>
      <w:r>
        <w:t>Como consta en los antecedentes de esta resolución, de conformidad con lo dispuesto en el art. 88.1 LOTC, la Sala Segunda de este Tribunal dirigió comunicación al Ayuntamiento de San Martín del Rey Aurelio para que indicara si, en atención a lo previsto en la disposición adicional duodécima de la Ley 36/2014, de presupuestos generales del Estado para 2015, o por cualquier otra circunstancia, se ha satisfecho al personal laboral de ese Ayuntamiento alguna cantidad en concepto de recuperación de la parte proporcional de la paga extraordinaria, de la paga adicional de complemento específico o de las pagas adicionales equivalentes, todas ellas correspondientes al mes de diciembre de 2012. En contestación a dicho escrito, el Alcalde en funciones del Ayuntamiento de San Martín del Rey Aurelio remitió a este Tribunal informe de la unidad de personal de dicho Ayuntamiento, emitido el 15 de junio de 2015, en el que se hace constar que por Resolución de Alcaldía de 13 de febrero de 2014, en cumplimiento de la Sentencia de 22 de enero de 2014 del Juzgado de lo Social Único de Mieres, se ha abonado al personal laboral de ese Ayuntamiento la parte proporcional de la paga extraordinaria de diciembre de 2012 devengada hasta la entrada en vigor del Real Decreto-ley 20/2012. En concreto, a los empleados a los que se les suprimió la paga extraordinaria de diciembre de 2012 al completo se les ha abonado la parte correspondiente a 44 días (30 días de junio y 14 de julio) y a los empleados cuya paga extraordinaria estaba prorroteada y la percibieron hasta junio de 2012 inclusive, se les ha abonado la parte correspondiente a 14 días (14 días de julio).</w:t>
      </w:r>
    </w:p>
    <w:p w:rsidR="00AC56D6" w:rsidRDefault="00AC56D6" w:rsidP="00AC56D6">
      <w:pPr>
        <w:pStyle w:val="TextoNormal"/>
      </w:pPr>
    </w:p>
    <w:p w:rsidR="00AC56D6" w:rsidRDefault="00AC56D6" w:rsidP="00AC56D6">
      <w:pPr>
        <w:pStyle w:val="TextoNormal"/>
      </w:pPr>
      <w:r>
        <w:t>Como consecuencia del abono de las cantidades señaladas al personal laboral del Ayuntamiento de San Martín del Rey Aurelio, debemos remitirnos a lo dicho recientemente en nuestra STC 83/2015, de 30 de abril, sobre la posible pérdida de objeto de la cuestión de inconstitucionalidad.</w:t>
      </w:r>
    </w:p>
    <w:p w:rsidR="00AC56D6" w:rsidRDefault="00AC56D6" w:rsidP="00AC56D6">
      <w:pPr>
        <w:pStyle w:val="TextoNormal"/>
      </w:pPr>
    </w:p>
    <w:p w:rsidR="00AC56D6" w:rsidRDefault="00AC56D6" w:rsidP="00AC56D6">
      <w:pPr>
        <w:pStyle w:val="TextoNormal"/>
      </w:pPr>
      <w:r>
        <w:t xml:space="preserve">En el fundamento jurídico 3 de la STC 83/2015, tras recordar la reiterada doctrina constitucional sobre los efectos extintivos del objeto del proceso constitucional en las cuestiones </w:t>
      </w:r>
      <w:r>
        <w:lastRenderedPageBreak/>
        <w:t xml:space="preserve">de inconstitucionalidad, como consecuencia de la derogación o modificación de la norma legal cuestionada, pusimos de manifiesto que en dicho proceso —y lo mismo sucede en el presente—, ni se había producido la extinción del procedimiento laboral a quo, ni tampoco nos encontrábamos ante un supuesto de pérdida de vigencia del precepto legal cuestionado, ello no obstante, era innegable la incidencia que tenía la medida contenida en la disposición adicional duodécima de la Ley 36/2014, de presupuestos generales del Estado para 2015 sobre la pretensión deducida el pleito </w:t>
      </w:r>
      <w:r w:rsidRPr="00AC56D6">
        <w:rPr>
          <w:i/>
        </w:rPr>
        <w:t>a quo</w:t>
      </w:r>
      <w:r>
        <w:t>, “que afecta de modo determinante a la subsistencia del presente proceso constitucional, dada la estrecha vinculación existente entre toda cuestión de inconstitucionalidad y el procedimiento judicial de que dimana.”</w:t>
      </w:r>
    </w:p>
    <w:p w:rsidR="00AC56D6" w:rsidRDefault="00AC56D6" w:rsidP="00AC56D6">
      <w:pPr>
        <w:pStyle w:val="TextoNormal"/>
      </w:pPr>
    </w:p>
    <w:p w:rsidR="00AC56D6" w:rsidRDefault="00AC56D6" w:rsidP="00AC56D6">
      <w:pPr>
        <w:pStyle w:val="TextoNormal"/>
      </w:pPr>
      <w:r>
        <w:t>En la presente cuestión de inconstitucionalidad se plantea si la supresión del derecho de los trabajadores del Ayuntamiento de San Martín del Rey Aurelio a percibir la parte proporcional (en concreto, 14 días) de la paga extra de diciembre de 2012, por entenderse ya devengada al momento de la entrada en vigor del Real Decreto-ley 20/2012, contraviene el art. 9.3 CE, en relación con el art. 33.3 CE. En esos términos planteada la cuestión es obligado concluir como hicimos en la STC 83/2015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00AC56D6" w:rsidRDefault="00AC56D6" w:rsidP="00AC56D6">
      <w:pPr>
        <w:pStyle w:val="TextoNormal"/>
      </w:pPr>
    </w:p>
    <w:p w:rsidR="00AC56D6" w:rsidRDefault="00AC56D6" w:rsidP="00AC56D6">
      <w:pPr>
        <w:pStyle w:val="TextoNormal"/>
      </w:pPr>
      <w:r>
        <w:t>Conforme a lo expuesto, el abono al personal laboral del Ayuntamiento de San Martín del Rey Aurelio, por Resolución de Alcaldía de 13 de febrero de 2014, de la parte correspondiente a 44 días de la paga extraordinaria de diciembre de 2012,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Declarar la extinción de la presente cuestión de inconstitucionalidad por desaparición sobrevenida de su objeto.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veinte de julio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30" w:name="SENTENCIA_2015_174"/>
      <w:r>
        <w:lastRenderedPageBreak/>
        <w:t>SENTENCIA 174/2015, de 20 de julio de 2015</w:t>
      </w:r>
    </w:p>
    <w:bookmarkEnd w:id="30"/>
    <w:p w:rsidR="00AC56D6" w:rsidRDefault="00AC56D6" w:rsidP="00AC56D6">
      <w:pPr>
        <w:pStyle w:val="TtuloResolucin"/>
      </w:pPr>
      <w:r>
        <w:t>Sala Segunda</w:t>
      </w:r>
    </w:p>
    <w:p w:rsidR="00AC56D6" w:rsidRDefault="00AC56D6" w:rsidP="00AC56D6">
      <w:pPr>
        <w:pStyle w:val="TtuloBOE"/>
      </w:pPr>
      <w:r>
        <w:t>(BOE núm. 200, de 21 de agosto de 2015)</w:t>
      </w:r>
    </w:p>
    <w:p w:rsidR="00AC56D6" w:rsidRDefault="00AC56D6" w:rsidP="00AC56D6">
      <w:pPr>
        <w:pStyle w:val="TextoNormalCentrado"/>
      </w:pPr>
      <w:r>
        <w:t>ECLI:ES:TC:2015:174</w:t>
      </w:r>
    </w:p>
    <w:p w:rsidR="00AC56D6" w:rsidRDefault="00AC56D6" w:rsidP="00AC56D6">
      <w:pPr>
        <w:pStyle w:val="TextoNormalCentrado"/>
      </w:pPr>
    </w:p>
    <w:p w:rsidR="00AC56D6" w:rsidRDefault="00AC56D6" w:rsidP="00AC56D6">
      <w:pPr>
        <w:pStyle w:val="SntesisDescriptiva"/>
      </w:pPr>
      <w:r>
        <w:t>Cuestión de inconstitucionalidad 5186-2014. Planteada por la Sala de lo Contencioso-Administrativo del Tribunal Superior de Justicia de Navarra respecto del artículo 2.1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extinción, por pérdida de objeto, de la cuestión de inconstitucionalidad (STC 83/2015).</w:t>
      </w:r>
    </w:p>
    <w:p w:rsidR="00AC56D6" w:rsidRDefault="00AC56D6" w:rsidP="00AC56D6">
      <w:pPr>
        <w:pStyle w:val="SntesisAnaltica"/>
      </w:pPr>
    </w:p>
    <w:p w:rsidR="00AC56D6" w:rsidRDefault="00AC56D6" w:rsidP="00AC56D6">
      <w:pPr>
        <w:pStyle w:val="Extracto"/>
      </w:pPr>
      <w:r>
        <w:t>1.</w:t>
      </w:r>
      <w:r>
        <w:tab/>
        <w:t>La satisfacción extraprocesal de la pretensión deducida en el proceso laboral sobre la que se articula la cuestión de inconstitucionalidad le hace perder su objeto al ser dicha satisfacción uno de los posibles supuestos de extinción de la cuestión de inconstitucionalidad (STC 83/2015) [FJ 3].</w:t>
      </w:r>
    </w:p>
    <w:p w:rsidR="00AC56D6" w:rsidRDefault="00AC56D6" w:rsidP="00AC56D6">
      <w:pPr>
        <w:pStyle w:val="Extracto"/>
      </w:pPr>
    </w:p>
    <w:p w:rsidR="00AC56D6" w:rsidRDefault="00AC56D6" w:rsidP="00AC56D6">
      <w:pPr>
        <w:pStyle w:val="Extracto"/>
      </w:pPr>
      <w:r>
        <w:t>2.</w:t>
      </w:r>
      <w:r>
        <w:tab/>
        <w:t>Doctrina sobre las posibles causas de terminación extraordinaria de las cuestiones de inconstitucionalidad por pérdida sobrevenida de objeto (STC 83/2015) [FJ 3].</w:t>
      </w:r>
    </w:p>
    <w:p w:rsidR="00AC56D6" w:rsidRDefault="00AC56D6" w:rsidP="00AC56D6">
      <w:pPr>
        <w:pStyle w:val="Extracto"/>
      </w:pPr>
    </w:p>
    <w:p w:rsidR="00AC56D6" w:rsidRDefault="00AC56D6" w:rsidP="00AC56D6">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5186-2014, promovida por la Sala de lo Contencioso-Administrativo del Tribunal Superior de Justicia de Navarra contra el art. 2.1 del Real Decreto-ley 20/2012, de 13 de julio, de medidas para garantizar la estabilidad presupuestaria y de fomento de la competitividad, por posible vulneración del art. 9.3 CE. Han formulado alegaciones el Fiscal General del Estado, el Abogado del Estado y la Asesora Jurídica-Letrada de la Comunidad Foral de Navarra. Ha sido Ponente el Magistrado don Juan José González Rivas,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13 de agosto de 2014 tuvo entrada en el Registro General de este Tribunal un oficio de la Sala de lo Contencioso-Administrativo del Tribunal Superior de Justicia de Navarra al que se acompaña, junto con el testimonio del procedimiento abreviado núm. 62-2013, el Auto de 8 de julio de 2014, por el que se acuerda plantear cuestión de inconstitucionalidad en relación con el art. 2.1 del Real Decreto-ley 20/2012, de 13 de julio, de medidas para garantizar la estabilidad presupuestaria y de fomento de la competitividad por posible lesión del art. 9.3 CE, sobre el principio de irretroactividad de disposiciones restrictivas de derechos individuales.</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procesales de la cuestión de inconstitucionalidad planteada son, sucintamente expuestos, los siguientes:</w:t>
      </w:r>
    </w:p>
    <w:p w:rsidR="00AC56D6" w:rsidRDefault="00AC56D6" w:rsidP="00AC56D6">
      <w:pPr>
        <w:pStyle w:val="TextoNormal"/>
      </w:pPr>
    </w:p>
    <w:p w:rsidR="00AC56D6" w:rsidRDefault="00AC56D6" w:rsidP="00AC56D6">
      <w:pPr>
        <w:pStyle w:val="TextoNormal"/>
      </w:pPr>
      <w:r>
        <w:t>a) El Sindicato CC OO interpuso recurso contencioso-administrativo frente a la minoración practicada en las hojas de salarios de los funcionarios de la Administración de justicia en el mes de diciembre de 2012 en aplicación del acuerdo del Gobierno de Navarra, de 12 de diciembre de 2012, por el que se adoptan medidas en relación con el cumplimiento de la supresión de la paga extraordinaria del mes de diciembre de 2012 contenida en el Real Decreto-ley 20/2012, de 13 de julio, para garantizar la estabilidad presupuestaria y de fomento de la competitividad. En el recurso se solicitaba con carácter principal que se declarase que el Real Decreto-ley 20/2012 no es aplicable en Navarra, en razón de las especiales competencias de la Comunidad Foral. Subsidiariamente se solicitaba la anulación parcial del acuerdo impugnado, reconociéndose el derecho del personal al servicio de la Comunidad Foral a percibir la paga extraordinaria en la parte proporcional del tiempo que media hasta que se transponga el Real Decreto-ley 20/2012 al ordenamiento navarro (lo que significaría toda ella porque ninguna norma foral ha realizado esta transposición), o en su caso hasta el dictado del acuerdo impugnado (12 de diciembre de 2012), o, último término, hasta la entrada en vigor del Real Decreto-ley 20/2012 (15 de julio de 2012).</w:t>
      </w:r>
    </w:p>
    <w:p w:rsidR="00AC56D6" w:rsidRDefault="00AC56D6" w:rsidP="00AC56D6">
      <w:pPr>
        <w:pStyle w:val="TextoNormal"/>
      </w:pPr>
    </w:p>
    <w:p w:rsidR="00AC56D6" w:rsidRDefault="00AC56D6" w:rsidP="00AC56D6">
      <w:pPr>
        <w:pStyle w:val="TextoNormal"/>
      </w:pPr>
      <w:r>
        <w:t>b) Seguido el procedimiento por sus trámites, el órgano judicial, con suspensión del plazo para dictar sentencia y conforme a lo dispuesto en el art. 35 de la Ley Orgánica del Tribunal Constitucional (LOTC), dictó providencia de 21 de mayo de 2014 por la que acordó oír a las partes y al Ministerio Fiscal para que alegasen sobre la pertinencia de plantear cuestión de inconstitucionalidad sobre el art. 2.1 del Real Decreto-ley 20/2012, de 13 de julio, de medidas para garantizar la estabilidad presupuestaria y de fomento de la competitividad, por posible infracción de los arts. 9.3 y 33.3 CE.</w:t>
      </w:r>
    </w:p>
    <w:p w:rsidR="00AC56D6" w:rsidRDefault="00AC56D6" w:rsidP="00AC56D6">
      <w:pPr>
        <w:pStyle w:val="TextoNormal"/>
      </w:pPr>
    </w:p>
    <w:p w:rsidR="00AC56D6" w:rsidRDefault="00AC56D6" w:rsidP="00AC56D6">
      <w:pPr>
        <w:pStyle w:val="TextoNormal"/>
      </w:pPr>
      <w:r>
        <w:t>c) El Ministerio Fiscal no se opuso al planteamiento de la cuestión de inconstitucionalidad. El Gobierno de Navarra consideró que el precepto cuestionado no vulneraba los arts. 9.3 y 33.3 CE y se opuso al planteamiento de la cuestión. El sindicato recurrente también se opuso al planteamiento, por entender que las razones que hizo valer en la demanda conllevaban la estimación tanto de la pretensión principal como de la subsidiaria sin necesidad del planteamiento. Y, subsidiariamente, argumentó que “en todo caso, el planteamiento debe ser en relación al derecho de los afectados a percibir la retribución litigiosa hasta el momento de la transposición del Real Decreto-ley 20/2012 al ordenamiento navarro”.</w:t>
      </w:r>
    </w:p>
    <w:p w:rsidR="00AC56D6" w:rsidRDefault="00AC56D6" w:rsidP="00AC56D6">
      <w:pPr>
        <w:pStyle w:val="TextoNormal"/>
      </w:pPr>
    </w:p>
    <w:p w:rsidR="00AC56D6" w:rsidRDefault="00AC56D6" w:rsidP="00AC56D6">
      <w:pPr>
        <w:pStyle w:val="TextoNormal"/>
      </w:pPr>
      <w:r w:rsidRPr="00AC56D6">
        <w:rPr>
          <w:rStyle w:val="NumeroAFNegritaCaracter"/>
        </w:rPr>
        <w:t>3</w:t>
      </w:r>
      <w:r>
        <w:t>. Por Auto de 8 de julio de 2014, la Sala de lo Contencioso-Administrativo del Tribunal Superior de Justicia de Navarra acordó plantear la presente cuestión de inconstitucionalidad y del análisis de su contenido interesa destacar los siguientes puntos:</w:t>
      </w:r>
    </w:p>
    <w:p w:rsidR="00AC56D6" w:rsidRDefault="00AC56D6" w:rsidP="00AC56D6">
      <w:pPr>
        <w:pStyle w:val="TextoNormal"/>
      </w:pPr>
    </w:p>
    <w:p w:rsidR="00AC56D6" w:rsidRDefault="00AC56D6" w:rsidP="00AC56D6">
      <w:pPr>
        <w:pStyle w:val="TextoNormal"/>
      </w:pPr>
      <w:r>
        <w:t>a) Tras exponer los antecedentes de hecho y el resultado del trámite de audiencia a las partes y al Ministerio Fiscal, el órgano judicial justifica la necesidad de plantear la cuestión. Indica que ya ha alcanzado una conclusión desestimatoria respecto de la pretensión principal de los recurrentes, con la consecuencia de que debe responderse a la petición subsidiaria.</w:t>
      </w:r>
    </w:p>
    <w:p w:rsidR="00AC56D6" w:rsidRDefault="00AC56D6" w:rsidP="00AC56D6">
      <w:pPr>
        <w:pStyle w:val="TextoNormal"/>
      </w:pPr>
    </w:p>
    <w:p w:rsidR="00AC56D6" w:rsidRDefault="00AC56D6" w:rsidP="00AC56D6">
      <w:pPr>
        <w:pStyle w:val="TextoNormal"/>
      </w:pPr>
      <w:r>
        <w:t>b) Al respecto, la Sala estima que el acuerdo impugnado se dicta en aplicación del art. 2.1 del Real Decreto-ley 20/2012 y explicita que el mismo comporta que no se liquidará cuantía alguna correspondiente a la paga extra de diciembre de 2012, sin que exista duda alguna de que esa es la interpretación de la norma.</w:t>
      </w:r>
    </w:p>
    <w:p w:rsidR="00AC56D6" w:rsidRDefault="00AC56D6" w:rsidP="00AC56D6">
      <w:pPr>
        <w:pStyle w:val="TextoNormal"/>
      </w:pPr>
    </w:p>
    <w:p w:rsidR="00AC56D6" w:rsidRDefault="00AC56D6" w:rsidP="00AC56D6">
      <w:pPr>
        <w:pStyle w:val="TextoNormal"/>
      </w:pPr>
      <w:r>
        <w:t>c) Siendo relevante en estos términos el art. 2.1 del Real Decreto-ley 20/2012, expone que puede ser inconstitucional por vulneración del art. 9.3 CE por las siguientes razones. Indica que la paga extra de Navidad se ha de relacionar con la prestación de servicios entre el 1 de junio y el 1 de diciembre, según dispone el art. 33 de la ley 33/1987, de 23 de diciembre, de presupuestos generales del Estado para 1988. De este modo la supresión completa de la paga correspondiente al mes de diciembre de 2012 afecta al período de tiempo anterior a la entrada en vigor de la norma, que tuvo lugar el 15 de julio de 2012. Ello plantea la cuestión de cuándo se ha de entender producido el derecho a percibir la paga, cuestión que ha de resolverse conforme a la doctrina establecida por el Auto de la Sala Tercera del Tribunal Supremo de 2 de febrero de 2014, según la cual “es doctrina reiterada que la paga extra es un salario que se devenga día a día aun cuando se pague de un modo diferido en el tiempo”.</w:t>
      </w:r>
    </w:p>
    <w:p w:rsidR="00AC56D6" w:rsidRDefault="00AC56D6" w:rsidP="00AC56D6">
      <w:pPr>
        <w:pStyle w:val="TextoNormal"/>
      </w:pPr>
    </w:p>
    <w:p w:rsidR="00AC56D6" w:rsidRDefault="00AC56D6" w:rsidP="00AC56D6">
      <w:pPr>
        <w:pStyle w:val="TextoNormal"/>
      </w:pPr>
      <w:r>
        <w:t>d) En coherencia con lo anterior, razona que “a) desde el día 1 de junio de 2012 el personal al servicio de la Comunidad Foral de Navarra y sus organismos autónomos (y otros a que se refiere el Acuerdo de 12 de diciembre de 2012) había adquirido el derecho a la parte proporcional de la paga extraordinaria por el período de servicios prestados entre el 1 de junio y el 14 de julio de 2012; b) el día 15 de julio entró en vigor una norma con rango de Ley que privó de tal derecho, en su integridad, a dicho personal; c) en consecuencia incidió directa y retroactivamente sobre un derecho ya adquirido en dicha fecha y d) siendo esa incidencia negativa y privativa de derechos, puede la norma haber vulnerado el art. 9.3 CE que garantiza la irretroactividad de las disposiciones sancionadoras no favorables o restrictivas de derechos individuales”.</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El Pleno de este Tribunal, a propuesta de la Sección Tercera, acordó admitir a trámite la cuestión mediante providencia de 2 de diciembre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Contencioso-Administrativo del Tribunal Superior de Justicia de Navarra, a fin de que, de conformidad con lo dispuesto en el art. 35 </w:t>
      </w:r>
      <w:r>
        <w:lastRenderedPageBreak/>
        <w:t>LOTC, permaneciese suspendido el proceso hasta que este Tribunal resolviese efectivamente la cuestión; y publicar la incoación de la cuestión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Por escrito registrado el 17 de diciembre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AC56D6" w:rsidRDefault="00AC56D6" w:rsidP="00AC56D6">
      <w:pPr>
        <w:pStyle w:val="TextoNormal"/>
      </w:pPr>
    </w:p>
    <w:p w:rsidR="00AC56D6" w:rsidRDefault="00AC56D6" w:rsidP="00AC56D6">
      <w:pPr>
        <w:pStyle w:val="TextoNormal"/>
      </w:pPr>
      <w:r>
        <w:t>Mediante escrito registrado el mismo día, el Presidente del Senado comunicó a este Tribunal el acuerdo de la Mesa para que se diera por personada a la Cámara y por ofrecida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6</w:t>
      </w:r>
      <w:r>
        <w:t>. La Asesora Jurídica-Letrada de la Comunidad Foral de Navarra, actuando en nombre y representación de ésta, por escrito registrado en este Tribunal el 19 de diciembre de 2014 solicitó que se tuviera como personada y parte en la presente cuestión de inconstitucionalidad a la Comunidad Foral de Navarra, en cuanto parte demandada en el procedimiento.</w:t>
      </w:r>
    </w:p>
    <w:p w:rsidR="00AC56D6" w:rsidRDefault="00AC56D6" w:rsidP="00AC56D6">
      <w:pPr>
        <w:pStyle w:val="TextoNormal"/>
      </w:pPr>
    </w:p>
    <w:p w:rsidR="00AC56D6" w:rsidRDefault="00AC56D6" w:rsidP="00AC56D6">
      <w:pPr>
        <w:pStyle w:val="TextoNormal"/>
      </w:pPr>
      <w:r w:rsidRPr="00AC56D6">
        <w:rPr>
          <w:rStyle w:val="NumeroAFNegritaCaracter"/>
        </w:rPr>
        <w:t>7</w:t>
      </w:r>
      <w:r>
        <w:t>. Por diligencia de ordenación de 22 de diciembre de 2014 se acordó unir a las presentes actuaciones el escrito presentado por la Asesora Jurídica-Letrada de la Comunidad Foral de Navarra, en nombre y representación de dicha Comunidad, y, tenerla por personada y parte en la presente cuestión de inconstitucionalidad, acordándose entender con ella las sucesivas actuaciones, y, conforme establece el art. 37.2 LOTC, concederle un plazo de quince días para que formule las alegaciones que estime convenientes.</w:t>
      </w:r>
    </w:p>
    <w:p w:rsidR="00AC56D6" w:rsidRDefault="00AC56D6" w:rsidP="00AC56D6">
      <w:pPr>
        <w:pStyle w:val="TextoNormal"/>
      </w:pPr>
    </w:p>
    <w:p w:rsidR="00AC56D6" w:rsidRDefault="00AC56D6" w:rsidP="00AC56D6">
      <w:pPr>
        <w:pStyle w:val="TextoNormal"/>
      </w:pPr>
      <w:r w:rsidRPr="00AC56D6">
        <w:rPr>
          <w:rStyle w:val="NumeroAFNegritaCaracter"/>
        </w:rPr>
        <w:t>8</w:t>
      </w:r>
      <w:r>
        <w:t>. El Abogado del Estado, mediante escrito de alegaciones registrado el 26 de diciembre de 2014, se personó interesando la desestimación de la cuestión de inconstitucionalidad por las razones que, resumidamente, se exponen a continuación.</w:t>
      </w:r>
    </w:p>
    <w:p w:rsidR="00AC56D6" w:rsidRDefault="00AC56D6" w:rsidP="00AC56D6">
      <w:pPr>
        <w:pStyle w:val="TextoNormal"/>
      </w:pPr>
    </w:p>
    <w:p w:rsidR="00AC56D6" w:rsidRDefault="00AC56D6" w:rsidP="00AC56D6">
      <w:pPr>
        <w:pStyle w:val="TextoNormal"/>
      </w:pPr>
      <w:r>
        <w:t>Comienza señalando que el Auto de planteamiento no cuestiona la totalidad del extenso art. 2 del Real Decreto-ley 20/2012; únicamente se refiere, por posible vulneración de los derechos adquiridos, a la aplicación retroactiva del Real Decreto-ley a las cuantías que entiende ya devengadas correspondientes a la paga de diciembre de 2012, entre el 1 de junio de 2012 y el 15 de julio de 2012, fecha de publicación del Real Decreto-ley. Con lo cual, señala, los preceptos cuestionados vendrían a vulnerar una consolidada jurisprudencia según la cual las pagas extraordinarias “constituyen una manifestación del salario diferido y se devengan día a día” que si bien se refiere al personal laboral el Tribunal Superior de Justicia de Navarra lo entiende también aplicable al personal funcionario; por lo que concluye que la supresión de la paga extra devengada entre los días 1 de junio y 15 de julio podría infringir el art. 9.3 CE. En definitiva, entiende que lo que se plantea es una inconstitucionalidad por omisión y que la consecuencia que podría derivarse, no sería la declaración de inconstitucionalidad del art. 2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00AC56D6" w:rsidRDefault="00AC56D6" w:rsidP="00AC56D6">
      <w:pPr>
        <w:pStyle w:val="TextoNormal"/>
      </w:pPr>
    </w:p>
    <w:p w:rsidR="00AC56D6" w:rsidRDefault="00AC56D6" w:rsidP="00AC56D6">
      <w:pPr>
        <w:pStyle w:val="TextoNormal"/>
      </w:pPr>
      <w:r>
        <w:lastRenderedPageBreak/>
        <w:t>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AC56D6" w:rsidRDefault="00AC56D6" w:rsidP="00AC56D6">
      <w:pPr>
        <w:pStyle w:val="TextoNormal"/>
      </w:pPr>
    </w:p>
    <w:p w:rsidR="00AC56D6" w:rsidRDefault="00AC56D6" w:rsidP="00AC56D6">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00AC56D6" w:rsidRDefault="00AC56D6" w:rsidP="00AC56D6">
      <w:pPr>
        <w:pStyle w:val="TextoNormal"/>
      </w:pPr>
    </w:p>
    <w:p w:rsidR="00AC56D6" w:rsidRDefault="00AC56D6" w:rsidP="00AC56D6">
      <w:pPr>
        <w:pStyle w:val="TextoNormal"/>
      </w:pPr>
      <w: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w:t>
      </w:r>
      <w:r>
        <w:lastRenderedPageBreak/>
        <w:t>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00AC56D6" w:rsidRDefault="00AC56D6" w:rsidP="00AC56D6">
      <w:pPr>
        <w:pStyle w:val="TextoNormal"/>
      </w:pPr>
    </w:p>
    <w:p w:rsidR="00AC56D6" w:rsidRDefault="00AC56D6" w:rsidP="00AC56D6">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(STJUE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AC56D6" w:rsidRDefault="00AC56D6" w:rsidP="00AC56D6">
      <w:pPr>
        <w:pStyle w:val="TextoNormal"/>
      </w:pPr>
    </w:p>
    <w:p w:rsidR="00AC56D6" w:rsidRDefault="00AC56D6" w:rsidP="00AC56D6">
      <w:pPr>
        <w:pStyle w:val="TextoNormal"/>
      </w:pPr>
      <w:r>
        <w:t>Por todo ello, se interesa la desestimación de la cuestión.</w:t>
      </w:r>
    </w:p>
    <w:p w:rsidR="00AC56D6" w:rsidRDefault="00AC56D6" w:rsidP="00AC56D6">
      <w:pPr>
        <w:pStyle w:val="TextoNormal"/>
      </w:pPr>
    </w:p>
    <w:p w:rsidR="00AC56D6" w:rsidRDefault="00AC56D6" w:rsidP="00AC56D6">
      <w:pPr>
        <w:pStyle w:val="TextoNormal"/>
      </w:pPr>
      <w:r w:rsidRPr="00AC56D6">
        <w:rPr>
          <w:rStyle w:val="NumeroAFNegritaCaracter"/>
        </w:rPr>
        <w:t>9</w:t>
      </w:r>
      <w:r>
        <w:t>. El Fiscal General del Estado presentó escrito de alegaciones ante este Tribunal el 7 de enero de 2015 interesando la estimación de la presente cuestión de inconstitucionalidad.</w:t>
      </w:r>
    </w:p>
    <w:p w:rsidR="00AC56D6" w:rsidRDefault="00AC56D6" w:rsidP="00AC56D6">
      <w:pPr>
        <w:pStyle w:val="TextoNormal"/>
      </w:pPr>
    </w:p>
    <w:p w:rsidR="00AC56D6" w:rsidRDefault="00AC56D6" w:rsidP="00AC56D6">
      <w:pPr>
        <w:pStyle w:val="TextoNormal"/>
      </w:pPr>
      <w: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w:t>
      </w:r>
      <w:r>
        <w:lastRenderedPageBreak/>
        <w:t>protección de la persona. Además, afirma que la idea de sanción resultará robustecida en este caso desde el momento en que se pretende extraer del patrimonio de los ciudadanos y sin indemnización, un bien o un derecho del que ya dispone.</w:t>
      </w:r>
    </w:p>
    <w:p w:rsidR="00AC56D6" w:rsidRDefault="00AC56D6" w:rsidP="00AC56D6">
      <w:pPr>
        <w:pStyle w:val="TextoNormal"/>
      </w:pPr>
    </w:p>
    <w:p w:rsidR="00AC56D6" w:rsidRDefault="00AC56D6" w:rsidP="00AC56D6">
      <w:pPr>
        <w:pStyle w:val="TextoNormal"/>
      </w:pPr>
      <w: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w:t>
      </w:r>
      <w:r w:rsidRPr="00AC56D6">
        <w:rPr>
          <w:i/>
        </w:rPr>
        <w:t>N.K.M. c.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artículo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lastRenderedPageBreak/>
        <w:t>El Fiscal General del Estado concluye sus alegaciones precisando que en el Auto de planteamiento no se cuestiona todo el art. 2 del Real Decreto-ley 20/2012 sino en concreto, su apartado 2.1 ya que éste es el que resulta aplicable para resolver el pleito sometido a su conocimiento y relevante en cuánto el recurso del proceso subyacente se refiere exclusivamente al personal funcionario al servicio de la Administración de justicia.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 en tanto, con respecto a los funcionarios la paga extraordinaria correspondiente al mes de diciembre se comienza a devengar en la fecha de 1 de junio de tal período.</w:t>
      </w:r>
    </w:p>
    <w:p w:rsidR="00AC56D6" w:rsidRDefault="00AC56D6" w:rsidP="00AC56D6">
      <w:pPr>
        <w:pStyle w:val="TextoNormal"/>
      </w:pPr>
    </w:p>
    <w:p w:rsidR="00AC56D6" w:rsidRDefault="00AC56D6" w:rsidP="00AC56D6">
      <w:pPr>
        <w:pStyle w:val="TextoNormal"/>
      </w:pPr>
      <w:r w:rsidRPr="00AC56D6">
        <w:rPr>
          <w:rStyle w:val="NumeroAFNegritaCaracter"/>
        </w:rPr>
        <w:t>10</w:t>
      </w:r>
      <w:r>
        <w:t>. La Asesora Jurídica-Letrada de la Comunidad Foral de Navarra presentó su escrito de alegaciones en el Registro General de este Tribunal el 20 de enero de 2015.</w:t>
      </w:r>
    </w:p>
    <w:p w:rsidR="00AC56D6" w:rsidRDefault="00AC56D6" w:rsidP="00AC56D6">
      <w:pPr>
        <w:pStyle w:val="TextoNormal"/>
      </w:pPr>
    </w:p>
    <w:p w:rsidR="00AC56D6" w:rsidRDefault="00AC56D6" w:rsidP="00AC56D6">
      <w:pPr>
        <w:pStyle w:val="TextoNormal"/>
      </w:pPr>
      <w:r>
        <w:t>Comienza su escrito señalando que el recurso contencioso-administrativo del que trae causa esta cuestión de inconstitucionalidad no se interpuso frente al acuerdo del Gobierno de Navarra de 12 de diciembre de 2012, por el que se adoptan medidas en relación con el cumplimiento de la supresión de la paga extraordinaria del mes de diciembre de 2012 contenida en el Real Decreto-ley 20/2012, sino contra la minoración practicada en las hojas de salario de los funcionarios de la Administración de Justicia en el mes de diciembre correspondiente a los meses de julio a diciembre. Señala la Letrada que al personal de la Administración de Justicia no le es de aplicación el acuerdo del Gobierno de Navarra de 12 de diciembre de 2012. El personal al servicio de la Administración de justicia se rige por lo establecido en la Ley Orgánica del Poder Judicial y, en cuanto a la supresión de la paga extra de diciembre de 2012, el precepto que específicamente se refiere a este personal es el art. 3 del Real Decreto-ley 20/2012.</w:t>
      </w:r>
    </w:p>
    <w:p w:rsidR="00AC56D6" w:rsidRDefault="00AC56D6" w:rsidP="00AC56D6">
      <w:pPr>
        <w:pStyle w:val="TextoNormal"/>
      </w:pPr>
    </w:p>
    <w:p w:rsidR="00AC56D6" w:rsidRDefault="00AC56D6" w:rsidP="00AC56D6">
      <w:pPr>
        <w:pStyle w:val="TextoNormal"/>
      </w:pPr>
      <w:r>
        <w:t>A continuación, expone las razones por las que, a su juicio, procede declarar la inadmisibilidad de esta cuestión de inconstitucionalidad. Así, indica que el art. 35.2 LOTC exige como requisito para que se pueda plantear la cuestión de inconstitucionalidad que la decisión del proceso dependa de la validez de la norma cuya constitucionalidad se cuestiona, y en este caso no se cumple este requisito por las consideraciones señaladas. Añade que también se incumple dicho precepto desde el momento que el Auto que plantea la cuestión de inconstitucionalidad lo hace en relación con el art. 2.1 del Real Decreto-ley 20/2012 y, sin embargo, el precepto aplicable al personal de Justicia, y que es el que ha aplicado esta Administración, es el art. 3 de dicho Real Decreto-ley.</w:t>
      </w:r>
    </w:p>
    <w:p w:rsidR="00AC56D6" w:rsidRDefault="00AC56D6" w:rsidP="00AC56D6">
      <w:pPr>
        <w:pStyle w:val="TextoNormal"/>
      </w:pPr>
    </w:p>
    <w:p w:rsidR="00AC56D6" w:rsidRDefault="00AC56D6" w:rsidP="00AC56D6">
      <w:pPr>
        <w:pStyle w:val="TextoNormal"/>
      </w:pPr>
      <w:r>
        <w:t>Para el caso de que no se acuerde la inadmisión de esta cuestión de inconstitucionalidad, expone los argumentos por los que, a su juicio, procede su desestimación.</w:t>
      </w:r>
    </w:p>
    <w:p w:rsidR="00AC56D6" w:rsidRDefault="00AC56D6" w:rsidP="00AC56D6">
      <w:pPr>
        <w:pStyle w:val="TextoNormal"/>
      </w:pPr>
    </w:p>
    <w:p w:rsidR="00AC56D6" w:rsidRDefault="00AC56D6" w:rsidP="00AC56D6">
      <w:pPr>
        <w:pStyle w:val="TextoNormal"/>
      </w:pPr>
      <w:r>
        <w:t xml:space="preserve">Señala, en primer lugar, que el art. 2.1 del Real Decreto-ley 20/2012 no es una disposición sancionadora no favorable o restrictiva de derecho individuales en el sentido del art. 9.3 CE, sino que únicamente pretende la contención del gasto de personal como uno de los principales componentes del gasto público. Estamos ante una norma de contención de gasto público, que carece de contenido sancionador, y ante una expectativa, pero en ningún caso </w:t>
      </w:r>
      <w:r>
        <w:lastRenderedPageBreak/>
        <w:t>ante un derecho en el sentido en el que el Tribunal Constitucional exige para la aplicación del art. 9.3 CE.</w:t>
      </w:r>
    </w:p>
    <w:p w:rsidR="00AC56D6" w:rsidRDefault="00AC56D6" w:rsidP="00AC56D6">
      <w:pPr>
        <w:pStyle w:val="TextoNormal"/>
      </w:pPr>
    </w:p>
    <w:p w:rsidR="00AC56D6" w:rsidRDefault="00AC56D6" w:rsidP="00AC56D6">
      <w:pPr>
        <w:pStyle w:val="TextoNormal"/>
      </w:pPr>
      <w:r>
        <w:t>Afirma que aunque se considerara que el mencionado precepto incorpora una disposición sancionadora no favorable o restrictiva de derechos individuales, el mismo carece de carácter retroactivo, por lo que tampoco vulneraría el art. 9.3 CE. Esta carencia de eficacia retroactiva, señala, resulta clara respecto a Navarra ya que, en esta Comunidad Foral, el derecho de los funcionarios a la paga extraordinaria de diciembre de 2012, nace durante este mes —momento en el que también se liquida—, y ello con la única excepción del personal respecto del que se extingue con anterioridad dicha relación de servicio, caso en el que se devenga en el momento de la extinción, procediéndose también en ese momento a su liquidación. Esto es, a su juicio, en Navarra la paga extraordinaria se devenga cuando se liquida.</w:t>
      </w:r>
    </w:p>
    <w:p w:rsidR="00AC56D6" w:rsidRDefault="00AC56D6" w:rsidP="00AC56D6">
      <w:pPr>
        <w:pStyle w:val="TextoNormal"/>
      </w:pPr>
    </w:p>
    <w:p w:rsidR="00AC56D6" w:rsidRDefault="00AC56D6" w:rsidP="00AC56D6">
      <w:pPr>
        <w:pStyle w:val="TextoNormal"/>
      </w:pPr>
      <w:r>
        <w:t>Finalmente señala que, en todo caso, concurren excepcionales circunstancias de interés público que justificarían la retroactividad. La reducción de retribuciones que fija el artículo 2.1, es una medida extraordinaria de contención de gastos de personal que tiene por finalidad contribuir a la consecución del inexcusable objetivo de estabilidad presupuestaria derivado del marco constitucional y de la Unión Europea. Por ello, aunque se estimara que la retroactividad que despliega el art. 2.1 del Real Decreto-ley 20/2012 es de grado máximo, la misma estaría justificada como medida ineludible exigida por el interés público para hacer frente a las excepcionales circunstancias económicas existentes en el momento de su entrada en vigor.</w:t>
      </w:r>
    </w:p>
    <w:p w:rsidR="00AC56D6" w:rsidRDefault="00AC56D6" w:rsidP="00AC56D6">
      <w:pPr>
        <w:pStyle w:val="TextoNormal"/>
      </w:pPr>
    </w:p>
    <w:p w:rsidR="00AC56D6" w:rsidRDefault="00AC56D6" w:rsidP="00AC56D6">
      <w:pPr>
        <w:pStyle w:val="TextoNormal"/>
      </w:pPr>
      <w:r w:rsidRPr="00AC56D6">
        <w:rPr>
          <w:rStyle w:val="NumeroAFNegritaCaracter"/>
        </w:rPr>
        <w:t>11</w:t>
      </w:r>
      <w:r>
        <w:t>. Por providencia de 28 de mayo de 2015 la Sala Segunda acordó, de conformidad con lo dispuesto en el art. 88.1 LOTC, dirigir atenta comunicación a la Consejería de Justicia e Interior del Gobierno de Navarra, a fin de que indique a este Tribunal si, en atención a lo previsto en la disposición adicional duodécima de la Ley 36/2014, de presupuestos generales del Estado para el año 2015, o por cualquier otra circunstancia, ha satisfecho a los funcionarios de la Administración de justicia de Navarra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AC56D6" w:rsidRDefault="00AC56D6" w:rsidP="00AC56D6">
      <w:pPr>
        <w:pStyle w:val="TextoNormal"/>
      </w:pPr>
    </w:p>
    <w:p w:rsidR="00AC56D6" w:rsidRDefault="00AC56D6" w:rsidP="00AC56D6">
      <w:pPr>
        <w:pStyle w:val="TextoNormal"/>
      </w:pPr>
      <w:r w:rsidRPr="00AC56D6">
        <w:rPr>
          <w:rStyle w:val="NumeroAFNegritaCaracter"/>
        </w:rPr>
        <w:t>12</w:t>
      </w:r>
      <w:r>
        <w:t>. En contestación a dicha providencia la Asesora Jurídica-Letrada de la Comunidad Foral de Navarra remitió a este Tribunal, con fecha de entrada 24 de junio de 2015, informe del Director General de Función Pública en el que se hace constar que “en la nómina del pasado mes de marzo se ha abonado al personal al servicio de la Administración de Justicia de Navarra la parte proporcional correspondiente a los primeros 44 días de la paga extraordinaria del mes de diciembre de 2012, equivalente a un 24,04 por ciento del importe dejado de percibir correspondiente a los conceptos retributivos que forman parte de la referida paga extraordinaria”.</w:t>
      </w:r>
    </w:p>
    <w:p w:rsidR="00AC56D6" w:rsidRDefault="00AC56D6" w:rsidP="00AC56D6">
      <w:pPr>
        <w:pStyle w:val="TextoNormal"/>
      </w:pPr>
    </w:p>
    <w:p w:rsidR="00AC56D6" w:rsidRDefault="00AC56D6" w:rsidP="00AC56D6">
      <w:pPr>
        <w:pStyle w:val="TextoNormal"/>
      </w:pPr>
      <w:r w:rsidRPr="00AC56D6">
        <w:rPr>
          <w:rStyle w:val="NumeroAFNegritaCaracter"/>
        </w:rPr>
        <w:t>13</w:t>
      </w:r>
      <w:r>
        <w:t>. Por providencia de 16 de julio de 2015, se señaló para deliberación y votación de la presente Sentencia el día 20 del mismo mes y año.</w:t>
      </w:r>
    </w:p>
    <w:p w:rsidR="00AC56D6" w:rsidRDefault="00AC56D6" w:rsidP="00AC56D6">
      <w:pPr>
        <w:pStyle w:val="TextoNormal"/>
      </w:pPr>
    </w:p>
    <w:p w:rsidR="00AC56D6" w:rsidRDefault="00AC56D6" w:rsidP="00AC56D6">
      <w:pPr>
        <w:pStyle w:val="TextoNormalNegritaCentrado"/>
        <w:keepNext/>
      </w:pPr>
      <w:r>
        <w:lastRenderedPageBreak/>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Sala de lo Contencioso-Administrativo del Tribunal Superior de Justicia de Navarra plantea cuestión de inconstitucionalidad respecto del art. 2.1 del Real Decreto-ley 20/2012, de 13 de julio, de medidas para garantizar la estabilidad presupuestaria y de fomento de la competitividad, precepto que, en lo que aquí importa, dispone para el personal funcionario, la supresión de la paga extraordinaria y de la paga adicional de complemento específico o pagas adicionales equivalentes del mes de diciembre de 2012. En síntesis, la Sala entiende que el citado artículo, en su aplicación al personal funcionario, pueden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 de junio al 14 de julio de 2012).</w:t>
      </w:r>
    </w:p>
    <w:p w:rsidR="00AC56D6" w:rsidRDefault="00AC56D6" w:rsidP="00AC56D6">
      <w:pPr>
        <w:pStyle w:val="TextoNormal"/>
      </w:pPr>
    </w:p>
    <w:p w:rsidR="00AC56D6" w:rsidRDefault="00AC56D6" w:rsidP="00AC56D6">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y la Asesora Jurídica-Letrada de la Comunidad Foral de Navarra solicitan su desestimación.</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al análisis de la cuestión planteada conviene realizar una serie de precisiones para acotar debidamente el objeto de la misma y el alcance de nuestro enjuiciamiento.</w:t>
      </w:r>
    </w:p>
    <w:p w:rsidR="00AC56D6" w:rsidRDefault="00AC56D6" w:rsidP="00AC56D6">
      <w:pPr>
        <w:pStyle w:val="TextoNormal"/>
      </w:pPr>
    </w:p>
    <w:p w:rsidR="00AC56D6" w:rsidRDefault="00AC56D6" w:rsidP="00AC56D6">
      <w:pPr>
        <w:pStyle w:val="TextoNormal"/>
      </w:pPr>
      <w:r>
        <w:t>a) Así, en primer lugar, resulta obligado advertir, que la Sala de lo Contencioso-Administrativo del Tribunal Superior de Justicia de Navarra cuestiona el precepto señalado en su aplicación a los funcionarios públicos. Ello se conecta lógicamente con el juicio de relevancia, correctamente expresado por el órgano judicial, pues la cuestión de inconstitucionalidad trae causa de un proceso promovido por el sindicato CC OO con motivo de la supresión por el Gobierno de Navarra, por aplicación de las previsiones contenidas en el Real Decreto-ley 20/2012, de la paga o gratificación extraordinaria de diciembre de 2012 al personal funcionario de la Administración de Justicia, proceso en el que lo pretendido por el sindicato demandante con carácter subsidiario a la pretensión principal (referida a que se declare que el Real Decreto-ley 20/2012 no es aplicable en Navarra, en razón de las especiales competencias de la Comunidad Foral) es justamente que se declare su derecho a percibir la parte proporcional de la paga extra de diciembre de 2012 que considera ya devengada al momento de la entrada en vigor del Real Decreto-ley 20/2012 (del 1 de junio al 15 de julio), porque, de acuerdo con el art. 9.3 CE, no cabe que la supresión de esa paga extra por el Real Decreto-ley 20/2012 tenga efectos retroactivos.</w:t>
      </w:r>
    </w:p>
    <w:p w:rsidR="00AC56D6" w:rsidRDefault="00AC56D6" w:rsidP="00AC56D6">
      <w:pPr>
        <w:pStyle w:val="TextoNormal"/>
      </w:pPr>
    </w:p>
    <w:p w:rsidR="00AC56D6" w:rsidRDefault="00AC56D6" w:rsidP="00AC56D6">
      <w:pPr>
        <w:pStyle w:val="TextoNormal"/>
      </w:pPr>
      <w:r>
        <w:t xml:space="preserve">b) Por otra parte debe tenerse en cuenta que no se cuestiona por la Sala de lo Contencioso-Administrativo del Tribunal Superior de Justicia de Navarra la medida de supresión de la paga extraordinaria de diciembre de 2012 en sí misma considerada, sino sólo en cuanto su aplicación haya podido suponer la infracción del principio de irretroactividad establecido en el 9.3 CE, al no contemplar excepción alguna respecto de las cuantías que se entienden ya devengadas de dicha paga extra (en concreto, cuarenta y cuatro días correspondientes a los servicios prestados entre el 1 de junio de 2012 y el 14 de julio de 2012) a la fecha de </w:t>
      </w:r>
      <w:r>
        <w:lastRenderedPageBreak/>
        <w:t xml:space="preserve">entrada en vigor del Real Decreto-ley 20/2012 (que tuvo lugar el 15 de julio de 2012, conforme a su disposición final decimoquinta). A esta concreta duda de constitucionalidad (planteada a partir de la pretensión subsidiaria en el proceso </w:t>
      </w:r>
      <w:r w:rsidRPr="00AC56D6">
        <w:rPr>
          <w:i/>
        </w:rPr>
        <w:t>a quo</w:t>
      </w:r>
      <w:r>
        <w:t>) deberá, pues, ceñirse nuestro enjuiciamiento.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La disposición adicional duodécima de la Ley 36/2014, de 26 de diciembre, de presupuestos generales del Estado para 2015, bajo el epígrafe “recuperación de la paga extraordinaria y adicional del mes de diciembre de 2012”, establece, en su apartado Uno,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00AC56D6" w:rsidRDefault="00AC56D6" w:rsidP="00AC56D6">
      <w:pPr>
        <w:pStyle w:val="TextoNormal"/>
      </w:pPr>
    </w:p>
    <w:p w:rsidR="00AC56D6" w:rsidRDefault="00AC56D6" w:rsidP="00AC56D6">
      <w:pPr>
        <w:pStyle w:val="TextoNormal"/>
      </w:pPr>
      <w:r>
        <w:t>Como consta en los antecedentes de esta resolución, de conformidad con lo dispuesto en el art. 88.1 de la Ley Orgánica del Tribunal Constitucional (LOTC), la Sala Segunda de este Tribunal dirigió comunicación a la Consejería de Justicia e Interior del Gobierno de Navarra, a fin de que indicara a este Tribunal si, en atención a lo previsto en la disposición adicional duodécima de la Ley 36/2014, de presupuestos generales del Estado para el año 2015, o por cualquier otra circunstancia, ha satisfecho a los funcionarios de la Administración de Justicia de Navarra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 En contestación a dicha comunicación la Asesora Jurídica-Letrada de la Comunidad Foral de Navarra ha remitido informe del Director General de Función Pública en el que consta que “en la nómina del pasado mes de marzo se ha abonado al personal al servicio de la Administración de Justicia de Navarra la parte proporcional correspondiente a los primeros 44 días de la paga extraordinaria del mes de diciembre de 2012, equivalente a un 24,04 por ciento del importe dejado de percibir correspondiente a los conceptos retributivos que forman parte de la referida paga extraordinaria”.</w:t>
      </w:r>
    </w:p>
    <w:p w:rsidR="00AC56D6" w:rsidRDefault="00AC56D6" w:rsidP="00AC56D6">
      <w:pPr>
        <w:pStyle w:val="TextoNormal"/>
      </w:pPr>
    </w:p>
    <w:p w:rsidR="00AC56D6" w:rsidRDefault="00AC56D6" w:rsidP="00AC56D6">
      <w:pPr>
        <w:pStyle w:val="TextoNormal"/>
      </w:pPr>
      <w:r>
        <w:t>Como consecuencia del abono de los días señalados correspondientes a la paga extraordinaria del mes de diciembre de 2012, debemos remitirnos a lo dicho recientemente en nuestra STC 83/2015, de 30 de abril, sobre la posible pérdida de objeto de la cuestión de inconstitucionalidad.</w:t>
      </w:r>
    </w:p>
    <w:p w:rsidR="00AC56D6" w:rsidRDefault="00AC56D6" w:rsidP="00AC56D6">
      <w:pPr>
        <w:pStyle w:val="TextoNormal"/>
      </w:pPr>
    </w:p>
    <w:p w:rsidR="00AC56D6" w:rsidRDefault="00AC56D6" w:rsidP="00AC56D6">
      <w:pPr>
        <w:pStyle w:val="TextoNormal"/>
      </w:pPr>
      <w:r>
        <w:t xml:space="preserve">En el fundamento jurídico tercero,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presente—, ni se había producido la extinción del procedimiento laboral a quo, ni tampoco nos encontrábamos ante un supuesto de pérdida de vigencia del precepto legal cuestionado, ello no obstante, era innegable la incidencia que tenía la medida contenida en la disposición adicional duodécima de la Ley 36/2014, de presupuestos generales del Estado para 2015 sobre la pretensión deducida en el pleito </w:t>
      </w:r>
      <w:r w:rsidRPr="00AC56D6">
        <w:rPr>
          <w:i/>
        </w:rPr>
        <w:t>a quo</w:t>
      </w:r>
      <w:r>
        <w:t>, “que afecta de modo determinante a la subsistencia del presente proceso constitucional, dada la estrecha vinculación existente entre toda cuestión de inconstitucionalidad y el procedimiento judicial de que dimana.”</w:t>
      </w:r>
    </w:p>
    <w:p w:rsidR="00AC56D6" w:rsidRDefault="00AC56D6" w:rsidP="00AC56D6">
      <w:pPr>
        <w:pStyle w:val="TextoNormal"/>
      </w:pPr>
    </w:p>
    <w:p w:rsidR="00AC56D6" w:rsidRDefault="00AC56D6" w:rsidP="00AC56D6">
      <w:pPr>
        <w:pStyle w:val="TextoNormal"/>
      </w:pPr>
      <w:r>
        <w:t>En la presente cuestión de inconstitucionalidad se plantea si la supresión del derecho del personal funcionario de la Administración de Justicia de Navarra a percibir la parte proporcional (en concreto, 44 días) de la paga extra de diciembre de 2012, por entenderse ya devengada al momento de la entrada en vigor del Real Decreto-ley 20/2012, contraviene el art. 9.3 CE. En esos términos planteada la cuestión es obligado concluir como hicimos en la STC 83/2015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00AC56D6" w:rsidRDefault="00AC56D6" w:rsidP="00AC56D6">
      <w:pPr>
        <w:pStyle w:val="TextoNormal"/>
      </w:pPr>
    </w:p>
    <w:p w:rsidR="00AC56D6" w:rsidRDefault="00AC56D6" w:rsidP="00AC56D6">
      <w:pPr>
        <w:pStyle w:val="TextoNormal"/>
      </w:pPr>
      <w:r>
        <w:t>Conforme a lo expuesto, el abono al personal al servicio de la Administración de justicia de Navarra de la parte proporcional correspondiente a cuarenta y cuatro días de la paga extraordinaria de diciembre de 2012,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Declarar la extinción de la presente cuestión de inconstitucionalidad por desaparición sobrevenida de su objeto.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veinte de julio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31" w:name="SENTENCIA_2015_175"/>
      <w:r>
        <w:lastRenderedPageBreak/>
        <w:t>SENTENCIA 175/2015, de 20 de julio de 2015</w:t>
      </w:r>
    </w:p>
    <w:bookmarkEnd w:id="31"/>
    <w:p w:rsidR="00AC56D6" w:rsidRDefault="00AC56D6" w:rsidP="00AC56D6">
      <w:pPr>
        <w:pStyle w:val="TtuloResolucin"/>
      </w:pPr>
      <w:r>
        <w:t>Sala Primera</w:t>
      </w:r>
    </w:p>
    <w:p w:rsidR="00AC56D6" w:rsidRDefault="00AC56D6" w:rsidP="00AC56D6">
      <w:pPr>
        <w:pStyle w:val="TtuloBOE"/>
      </w:pPr>
      <w:r>
        <w:t>(BOE núm. 200, de 21 de agosto de 2015)</w:t>
      </w:r>
    </w:p>
    <w:p w:rsidR="00AC56D6" w:rsidRDefault="00AC56D6" w:rsidP="00AC56D6">
      <w:pPr>
        <w:pStyle w:val="TextoNormalCentrado"/>
      </w:pPr>
      <w:r>
        <w:t>ECLI:ES:TC:2015:175</w:t>
      </w:r>
    </w:p>
    <w:p w:rsidR="00AC56D6" w:rsidRDefault="00AC56D6" w:rsidP="00AC56D6">
      <w:pPr>
        <w:pStyle w:val="TextoNormalCentrado"/>
      </w:pPr>
    </w:p>
    <w:p w:rsidR="00AC56D6" w:rsidRDefault="00AC56D6" w:rsidP="00AC56D6">
      <w:pPr>
        <w:pStyle w:val="SntesisDescriptiva"/>
      </w:pPr>
      <w:r>
        <w:t>Cuestión de inconstitucionalidad 5344-2014. Planteada por el Juzgado de lo Social número 2 de Guadalajara, en relación con los artículos 2.2 y 6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extinción, por pérdida de objeto, de la cuestión de inconstitucionalidad (STC 83/2015).</w:t>
      </w:r>
    </w:p>
    <w:p w:rsidR="00AC56D6" w:rsidRDefault="00AC56D6" w:rsidP="00AC56D6">
      <w:pPr>
        <w:pStyle w:val="SntesisAnaltica"/>
      </w:pPr>
    </w:p>
    <w:p w:rsidR="00AC56D6" w:rsidRDefault="00AC56D6" w:rsidP="00AC56D6">
      <w:pPr>
        <w:pStyle w:val="Extracto"/>
      </w:pPr>
      <w:r>
        <w:t>1.</w:t>
      </w:r>
      <w:r>
        <w:tab/>
        <w:t>La satisfacción extraprocesal de la pretensión deducida en el proceso laboral sobre la que se articula la cuestión de inconstitucionalidad le hace perder su objeto al ser dicha satisfacción uno de los posibles supuestos de extinción de la cuestión de inconstitucionalidad (STC 83/2015) [FJ 3].</w:t>
      </w:r>
    </w:p>
    <w:p w:rsidR="00AC56D6" w:rsidRDefault="00AC56D6" w:rsidP="00AC56D6">
      <w:pPr>
        <w:pStyle w:val="Extracto"/>
      </w:pPr>
    </w:p>
    <w:p w:rsidR="00AC56D6" w:rsidRDefault="00AC56D6" w:rsidP="00AC56D6">
      <w:pPr>
        <w:pStyle w:val="Extracto"/>
      </w:pPr>
      <w:r>
        <w:t>2.</w:t>
      </w:r>
      <w:r>
        <w:tab/>
        <w:t>Doctrina sobre las posibles causas de terminación extraordinaria de las cuestiones de inconstitucionalidad por pérdida sobrevenida de objeto (STC 83/2015) [FJ 3].</w:t>
      </w:r>
    </w:p>
    <w:p w:rsidR="00AC56D6" w:rsidRDefault="00AC56D6" w:rsidP="00AC56D6">
      <w:pPr>
        <w:pStyle w:val="Extracto"/>
      </w:pPr>
    </w:p>
    <w:p w:rsidR="00AC56D6" w:rsidRDefault="00AC56D6" w:rsidP="00AC56D6">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5344-2014 promovida por el Juzgado de lo Social núm. 2 de Guadalajara, en relación con los arts. 2.2 y 6 del Real Decreto-ley 20/2012, de 13 de julio, de medidas para garantizar la estabilidad presupuestaria y de fomento de la competitividad. Ha comparecido y formulado alegaciones el Abogado del Estado. Ha intervenido el Fiscal General del Estado. Ha sido Ponente el Magistrado don Andrés Ollero Tassara, quien expresa el parecer del Tribunal.</w:t>
      </w:r>
    </w:p>
    <w:p w:rsidR="00AC56D6" w:rsidRDefault="00AC56D6" w:rsidP="00AC56D6">
      <w:pPr>
        <w:pStyle w:val="TextoNormal"/>
      </w:pPr>
    </w:p>
    <w:p w:rsidR="00AC56D6" w:rsidRDefault="00AC56D6" w:rsidP="00AC56D6">
      <w:pPr>
        <w:pStyle w:val="TextoNormalNegritaCentrado"/>
        <w:keepNext/>
      </w:pPr>
      <w:r>
        <w:lastRenderedPageBreak/>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El 5 de septiembre de 2014 se registró en este Tribunal oficio del Juzgado de lo Social núm. 2 de Guadalajara al que se acompañaba, junto al testimonio del correspondiente procedimiento, el Auto de ese mismo órgano judicial de 22 de julio de 2014; en él se acordaba plantear cuestión de inconstitucionalidad en relación con los arts. 2.2 y 6 del Real Decreto-ley 20/2012, de 13 de julio, de medidas para garantizar la estabilidad presupuestaria y de fomento de la competitividad (convalidado por el Congreso de los Diputados </w:t>
      </w:r>
      <w:r w:rsidRPr="00AC56D6">
        <w:rPr>
          <w:i/>
        </w:rPr>
        <w:t>ex</w:t>
      </w:r>
      <w:r>
        <w:t xml:space="preserve"> art. 86.2 CE en su sesión de 19 de julio de 2012), por posible vulneración del art. 9.3 CE.</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son los siguientes:</w:t>
      </w:r>
    </w:p>
    <w:p w:rsidR="00AC56D6" w:rsidRDefault="00AC56D6" w:rsidP="00AC56D6">
      <w:pPr>
        <w:pStyle w:val="TextoNormal"/>
      </w:pPr>
    </w:p>
    <w:p w:rsidR="00AC56D6" w:rsidRDefault="00AC56D6" w:rsidP="00AC56D6">
      <w:pPr>
        <w:pStyle w:val="TextoNormal"/>
      </w:pPr>
      <w:r>
        <w:t>a) Ante el Juzgado de lo Social núm. 2 de Guadalajara se formuló por la federación de servicios a la ciudadanía de Comisiones Obreras de Castilla-La Mancha (FSC-CCOO), demanda de conflicto colectivo que dio lugar a los autos núm. 1126/2013. La citada organización sindical pretendía en su demanda que se declarase que no procedía aplicar al personal laboral del Ayuntamiento de Marchamalo (Guadalajara) lo dispuesto en el art. 2 del Real Decreto-ley 20/2012, de 13 de julio, de medidas para garantizar la estabilidad presupuestaria y de fomento de la competitividad), respecto de la supresión de la paga extraordinaria del mes de diciembre de 2012 al personal del sector público y que se reconociera a estos trabajadores el derecho a percibir la parte proporcional de la misma devengada a la fecha de la entrada en vigor del Real Decreto-ley 20/2012 (15 de julio de 2012), porque de acuerdo con el art. 9.3 CE no cabe que la supresión de la paga extra de diciembre de 2012 se aplique con eficacia retroactiva.</w:t>
      </w:r>
    </w:p>
    <w:p w:rsidR="00AC56D6" w:rsidRDefault="00AC56D6" w:rsidP="00AC56D6">
      <w:pPr>
        <w:pStyle w:val="TextoNormal"/>
      </w:pPr>
    </w:p>
    <w:p w:rsidR="00AC56D6" w:rsidRDefault="00AC56D6" w:rsidP="00AC56D6">
      <w:pPr>
        <w:pStyle w:val="TextoNormal"/>
      </w:pPr>
      <w:r>
        <w:t>b) Concluso el procedimiento y dentro del plazo para dictar sentencia, por providencia de 7 de julio de 2014 el Juzgado acordó oír a las partes y al Ministerio Fiscal para que alegasen sobre la pertinencia de plantear cuestión de inconstitucionalidad en relación con el art. 2.2 del Real Decreto-ley 20/2012, por posible vulneración del principio de irretroactividad de las disposiciones restrictivas de derechos individuales (art. 9.3 CE).</w:t>
      </w:r>
    </w:p>
    <w:p w:rsidR="00AC56D6" w:rsidRDefault="00AC56D6" w:rsidP="00AC56D6">
      <w:pPr>
        <w:pStyle w:val="TextoNormal"/>
      </w:pPr>
    </w:p>
    <w:p w:rsidR="00AC56D6" w:rsidRDefault="00AC56D6" w:rsidP="00AC56D6">
      <w:pPr>
        <w:pStyle w:val="TextoNormal"/>
      </w:pPr>
      <w:r>
        <w:t>c) El Ministerio Fiscal presentó escrito de alegaciones en el que afirmaba que nada tenía que oponer desde el punto de vista procedimental al planteamiento de la cuestión de inconstitucionalidad, por cumplirse los requisitos establecidos por el art. 35.2 LOTC. Por su parte, la representación procesal de la federación de servicios a la ciudadanía de Comisiones Obreras (FSC-CCOO) manifestó que no era necesario el planteamiento de la cuestión de inconstitucionalidad para resolver sobre el fondo del litigio planteado. La representación procesal del Ayuntamiento de Marchamalo no formuló alegaciones.</w:t>
      </w:r>
    </w:p>
    <w:p w:rsidR="00AC56D6" w:rsidRDefault="00AC56D6" w:rsidP="00AC56D6">
      <w:pPr>
        <w:pStyle w:val="TextoNormal"/>
      </w:pPr>
    </w:p>
    <w:p w:rsidR="00AC56D6" w:rsidRDefault="00AC56D6" w:rsidP="00AC56D6">
      <w:pPr>
        <w:pStyle w:val="TextoNormal"/>
      </w:pPr>
      <w:r>
        <w:t>d) Por Auto de 22 de julio de 2014, el Juzgado de lo Social núm. 2 de Guadalajara acordó plantear cuestión de inconstitucionalidad en relación con los arts. 2.2 y 6 del Real Decreto-ley 20/2012.</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En el Auto 22 de julio de 2014 el Juzgado de lo Social núm. 2 de Guadalajara considera que los arts. 2.2 y 6 del Real Decreto-ley 20/2012 podrían vulnerar el principio de irretroactividad de las disposiciones sancionadoras no favorables o restrictivas de derechos </w:t>
      </w:r>
      <w:r>
        <w:lastRenderedPageBreak/>
        <w:t>individuales, que garantiza el art. 9.3 CE, con fundamento en los razonamientos que a continuación se resumen.</w:t>
      </w:r>
    </w:p>
    <w:p w:rsidR="00AC56D6" w:rsidRDefault="00AC56D6" w:rsidP="00AC56D6">
      <w:pPr>
        <w:pStyle w:val="TextoNormal"/>
      </w:pPr>
    </w:p>
    <w:p w:rsidR="00AC56D6" w:rsidRDefault="00AC56D6" w:rsidP="00AC56D6">
      <w:pPr>
        <w:pStyle w:val="TextoNormal"/>
      </w:pPr>
      <w:r>
        <w:t>Tras una síntesis de los antecedentes de hecho se señala que está claro que el art. 2.2 del Real Decreto-ley 20/2012 suprime la percepción de la paga extraordinaria del mes de diciembre del año 2012 para el personal laboral del sector público, incluido el que presta servicios en las corporaciones locales; lo hace a partir de su entrada en vigor (15 de julio de 2012), sin precisar excepciones por derechos ya devengados. En consonancia con esa misma regla, el art. 6 del Real Decreto-ley 20/2012 establece que se suprime durante el año 2012 para el personal laboral del sector público “la percepción de la gratificación extraordinaria con ocasión de las fiestas de Navidad contenida en el art. 31 del estatuto de los trabajadores”.</w:t>
      </w:r>
    </w:p>
    <w:p w:rsidR="00AC56D6" w:rsidRDefault="00AC56D6" w:rsidP="00AC56D6">
      <w:pPr>
        <w:pStyle w:val="TextoNormal"/>
      </w:pPr>
    </w:p>
    <w:p w:rsidR="00AC56D6" w:rsidRDefault="00AC56D6" w:rsidP="00AC56D6">
      <w:pPr>
        <w:pStyle w:val="TextoNormal"/>
      </w:pPr>
      <w:r>
        <w:t>Desde esa perspectiva, entiende el Juzgado que no es posible interpretar los arts. 2.2 y 6 del Real Decreto-ley 20/2012 considerando que cabe abonar aquella parte proporcional de la paga extraordinaria de diciembre que ya se hubiera devengado a la fecha de la entrada en vigor del Real Decreto-ley 20/2012, pues la aplicación de los citados preceptos impide su abono, al suprimir la paga en su integridad. Atendiendo a la jurisprudencia de la Sala de lo Social del Tribunal Supremo que se cita, según la cual las pagas extraordinarias son salario diferido y se devengan día a día, entiende el Juzgado que los arts. 2.2 y 6 del Real Decreto-ley 20/2012 podrían considerarse contrarios al art. 9.3 CE, que garantiza la irretroactividad de las disposiciones restrictivas de derechos individuales, puesto que se estaría suprimiendo el derecho ya generado a percibir la parte proporcional de la paga extraordinaria del mes de diciembre de 2012 devengada antes de la entrada en vigor del Real Decreto-ley 20/2012.</w:t>
      </w:r>
    </w:p>
    <w:p w:rsidR="00AC56D6" w:rsidRDefault="00AC56D6" w:rsidP="00AC56D6">
      <w:pPr>
        <w:pStyle w:val="TextoNormal"/>
      </w:pPr>
    </w:p>
    <w:p w:rsidR="00AC56D6" w:rsidRDefault="00AC56D6" w:rsidP="00AC56D6">
      <w:pPr>
        <w:pStyle w:val="TextoNormal"/>
      </w:pPr>
      <w:r>
        <w:t>Señala el Juzgado que, conforme a la doctrina constitucional sobre la prohibición de retroactividad de las disposiciones sancionadoras no favorables o restrictivas de derechos individuales (SSTC 42/1986, de 10 de abril, FJ 3; 99/1987, de 11 de junio, FJ 6; y 97/1990, de 24 de mayo, FJ 5), una norma es retroactiva a los efectos del art. 9.3 CE cuando incide sobre “relaciones consagradas” y afecta a “situaciones agotadas”, no cuando se refiere a derechos pendientes, futuros, condicionados o expectativas. Para el Juzgado en el presente caso estaríamos ante un supuesto de retroactividad proscrita por el art. 9.3 CE según esa doctrina, pues los arts. 2.2 y 6 del Real Decreto-ley 20/2012 suprimen totalmente la paga extra de diciembre de 2012, lo que supone la aplicación retroactiva de la norma de urgencia a derechos ya consolidados, en lo que afecta a la parte proporcional de la paga extra de diciembre devengada a la fecha de entrada en vigor del Real Decreto-ley 20/2012 (15 de julio de 2012).</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Por providencia de 4 de noviembre de 2014, el Pleno de este Tribunal acordó admitir a trámite la cuestión de inconstitucionalidad, deferir a la Sala Primera el conocimiento de la misma conforme al art. 10.1 c) LOTC y dar traslado de la demanda y documentos presentados al Congreso de los Diputados y al Senado, por conducto de sus Presidentes, al Gobierno, a través del Ministro de Justicia, y al Fiscal General del Estado, para que en el improrrogable plazo de quince días pudieran personarse en el procedimiento y formular las alegaciones que estimasen convenientes (art. 37.3 LOTC). Asimismo se ordenó, de un lado, comunicar esa resolución al Juzgado de lo Social núm. 2 de Guadalajara a fin de que, de conformidad con el art. 35.3 LOTC, permaneciese suspendido el proceso hasta que este Tribunal resolviese definitivamente la presente cuestión; igualmente publicar la incoación de la cuestión en el “Boletín Oficial del Estado”, lo que se llevó a efecto en el núm. 270, de </w:t>
      </w:r>
      <w:r>
        <w:lastRenderedPageBreak/>
        <w:t>7 de noviembre de 2014. Por diligencia de ordenación de la Secretaría de Justicia del Pleno de 4 de noviembre de 2014 se concedió un plazo de quince días a partir de la publicación del referido edicto para que, de conformidad con lo establecido en el art. 37.2 LOTC, quienes fuesen parte en el procedimiento de conflicto colectivo núm. 1126-2013 seguido ante el Juzgado de lo Social núm. 2 de Guadalajara pudieran personarse ante este Tribunal.</w:t>
      </w:r>
    </w:p>
    <w:p w:rsidR="00AC56D6" w:rsidRDefault="00AC56D6" w:rsidP="00AC56D6">
      <w:pPr>
        <w:pStyle w:val="TextoNormal"/>
      </w:pPr>
    </w:p>
    <w:p w:rsidR="00AC56D6" w:rsidRDefault="00AC56D6" w:rsidP="00AC56D6">
      <w:pPr>
        <w:pStyle w:val="TextoNormal"/>
      </w:pPr>
      <w:r w:rsidRPr="00AC56D6">
        <w:rPr>
          <w:rStyle w:val="NumeroAFNegritaCaracter"/>
        </w:rPr>
        <w:t>5</w:t>
      </w:r>
      <w:r>
        <w:t>. Mediante escrito presentado en el registro general de este Tribunal el 12 de noviembre de 2014, el Presidente del Senado comunicó la decisión de la Mesa de esa Cámara de personarse en el presente proceso constitucional, ofreciendo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6</w:t>
      </w:r>
      <w:r>
        <w:t>. Mediante escrito presentado en el registro general de este Tribunal el 13 de noviembre de 2014, el Presidente del Congreso de los Diputados comunicó el acuerdo de la Mesa de la Cámara de personarse en el presente proceso constitucional, ofreciendo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7</w:t>
      </w:r>
      <w:r>
        <w:t>. Por escrito registrado en este Tribunal el 24 de noviembre de 2014, el Fiscal General del Estado evacuó el trámite de alegaciones, solicitando la declaración de inconstitucionalidad del art. 2.2 del Real Decreto-ley 20/2012, por considerarlo contrario al principio de irretroactividad de las disposiciones restrictivas de derechos individuales (art. 9.3 CE).</w:t>
      </w:r>
    </w:p>
    <w:p w:rsidR="00AC56D6" w:rsidRDefault="00AC56D6" w:rsidP="00AC56D6">
      <w:pPr>
        <w:pStyle w:val="TextoNormal"/>
      </w:pPr>
    </w:p>
    <w:p w:rsidR="00AC56D6" w:rsidRDefault="00AC56D6" w:rsidP="00AC56D6">
      <w:pPr>
        <w:pStyle w:val="TextoNormal"/>
      </w:pPr>
      <w:r>
        <w:t>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se ven concernidos derechos individuales que son expresión directa de la esfera general de protección de la persona. Además, afirma que la idea de sanción resultará robustecida en este caso, dado que se pretende extraer del patrimonio de los ciudadanos, sin indemnización, un bien o un derecho del que ya dispone.</w:t>
      </w:r>
    </w:p>
    <w:p w:rsidR="00AC56D6" w:rsidRDefault="00AC56D6" w:rsidP="00AC56D6">
      <w:pPr>
        <w:pStyle w:val="TextoNormal"/>
      </w:pPr>
    </w:p>
    <w:p w:rsidR="00AC56D6" w:rsidRDefault="00AC56D6" w:rsidP="00AC56D6">
      <w:pPr>
        <w:pStyle w:val="TextoNormal"/>
      </w:pPr>
      <w:r>
        <w:t xml:space="preserve">Llegados a este punto, pasa a analizar si la norma cuestionada contiene un grado de retroactividad permitido por el art. 9.3 CE, a la luz de la doctrina constitucional que sintetiza.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Derechos Humanos </w:t>
      </w:r>
      <w:r>
        <w:lastRenderedPageBreak/>
        <w:t xml:space="preserve">de 14 de mayo de 2013 (caso </w:t>
      </w:r>
      <w:r w:rsidRPr="00AC56D6">
        <w:rPr>
          <w:i/>
        </w:rPr>
        <w:t>N.K.M. c. Hungría</w:t>
      </w:r>
      <w:r>
        <w:t>); este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Entiende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Tal hipótesis no puede suponer, sin embargo, un aval genérico para que con esa excusa el poder público pueda conducirse apartándose de una expresa previsión legal. Se añade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t>El Fiscal General del Estado concluye sus alegaciones precisando que en el Auto de planteamiento no se cuestiona todo el art. 2 del Real Decreto-ley 20/2012 sino sólo su apartado 2.2, ya que es el que resulta aplicable para resolver el pleito sometido al conocimiento de Juzgado de lo Social núm. 2 de Guadalajara (referido en exclusiva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00AC56D6" w:rsidRDefault="00AC56D6" w:rsidP="00AC56D6">
      <w:pPr>
        <w:pStyle w:val="TextoNormal"/>
      </w:pPr>
    </w:p>
    <w:p w:rsidR="00AC56D6" w:rsidRDefault="00AC56D6" w:rsidP="00AC56D6">
      <w:pPr>
        <w:pStyle w:val="TextoNormal"/>
      </w:pPr>
      <w:r w:rsidRPr="00AC56D6">
        <w:rPr>
          <w:rStyle w:val="NumeroAFNegritaCaracter"/>
        </w:rPr>
        <w:t>8</w:t>
      </w:r>
      <w:r>
        <w:t>. Por escrito registrado en este Tribunal el 25 de noviembre de 2014, el Abogado del Estado se personó en el presente proceso constitucional y formuló las alegaciones que a continuación se resumen.</w:t>
      </w:r>
    </w:p>
    <w:p w:rsidR="00AC56D6" w:rsidRDefault="00AC56D6" w:rsidP="00AC56D6">
      <w:pPr>
        <w:pStyle w:val="TextoNormal"/>
      </w:pPr>
    </w:p>
    <w:p w:rsidR="00AC56D6" w:rsidRDefault="00AC56D6" w:rsidP="00AC56D6">
      <w:pPr>
        <w:pStyle w:val="TextoNormal"/>
      </w:pPr>
      <w:r>
        <w:t xml:space="preserve">Comienza señalando que el Juzgado de lo Social plantea cuestión de inconstitucionalidad respecto de los arts. 2.2 y 6 del Real Decreto-ley 20/2012, en cuanto a la supresión de la paga extraordinaria de diciembre de 2012 al personal laboral del sector público, pero no cuestiona genéricamente la referida supresión, sino que tan solo le reprocha al legislador de urgencia que no haya incluido una disposición transitoria por la cual se hubiera exceptuado de la mencionada supresión la parte proporcional de la paga extraordinaria que se entiende devengada desde el 1 de julio al 15 del mismo mes, fecha esta última de entrada en vigor </w:t>
      </w:r>
      <w:r>
        <w:lastRenderedPageBreak/>
        <w:t>del Real Decreto-ley 20/2012. En definitiva, entiende que lo que se plantea es una inconstitucionalidad por omisión y que la consecuencia que podría derivarse no sería la declaración de inconstitucionalidad de los arts. 2.2 y 6, sino simplemente imponer al legislador, con respeto a su libertad de configuración, el establecimiento de una expresa excepción a la supresión de la paga extraordinaria de Navidad (la correspondiente a la parte proporcional de los días 1 al 14 de julio de 2012).</w:t>
      </w:r>
    </w:p>
    <w:p w:rsidR="00AC56D6" w:rsidRDefault="00AC56D6" w:rsidP="00AC56D6">
      <w:pPr>
        <w:pStyle w:val="TextoNormal"/>
      </w:pPr>
    </w:p>
    <w:p w:rsidR="00AC56D6" w:rsidRDefault="00AC56D6" w:rsidP="00AC56D6">
      <w:pPr>
        <w:pStyle w:val="TextoNormal"/>
      </w:pPr>
      <w:r>
        <w:t>Precisado lo anterior, pasa a contestar los puntos argumentales del Auto de planteamiento. Comienza negando que nos encontremos ante “disposiciones sancionadoras no favorables o restrictivas de derechos individuales” en el sentido del art. 9.3 CE. Indica, en tal sentido, que una norma que aspira a la contención del gasto de personal (como principal componente del gasto público) no es ni sancionadora, ni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AC56D6" w:rsidRDefault="00AC56D6" w:rsidP="00AC56D6">
      <w:pPr>
        <w:pStyle w:val="TextoNormal"/>
      </w:pPr>
    </w:p>
    <w:p w:rsidR="00AC56D6" w:rsidRDefault="00AC56D6" w:rsidP="00AC56D6">
      <w:pPr>
        <w:pStyle w:val="TextoNormal"/>
      </w:pPr>
      <w:r>
        <w:t>Subsidiariamente, para el caso de que este Tribunal apreciase que sí nos encontramos ante una “disposición restrictiva de derechos individuales”, el Abogado del Estado niega que los arts. 2.2 y 6 del Real Decreto-ley 20/2012 establezcan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lo está, por el contrario, la retroactividad “impropia o de grado medio” (que incide en situaciones jurídicas actuales aún no concluidas), pero que puede tener relevancia constitucional desde la perspectiva de la protección de la seguridad jurídica.</w:t>
      </w:r>
    </w:p>
    <w:p w:rsidR="00AC56D6" w:rsidRDefault="00AC56D6" w:rsidP="00AC56D6">
      <w:pPr>
        <w:pStyle w:val="TextoNormal"/>
      </w:pPr>
    </w:p>
    <w:p w:rsidR="00AC56D6" w:rsidRDefault="00AC56D6" w:rsidP="00AC56D6">
      <w:pPr>
        <w:pStyle w:val="TextoNormal"/>
      </w:pPr>
      <w:r>
        <w:t xml:space="preserve">Según el Abogado del Estado, la cuestión radica en determinar si el derecho a la paga extraordinaria de diciembre de 2012, en cantidad proporcional a los días 1 al 14 de julio, estaba ya consolidado, asumido e integrado en el patrimonio de los trabajadores cuando entró en vigor el Real Decreto-ley 20/2012, o si se trataba, por el contrario, de una expectativa de derecho o de un derecho futuro o condicionado. Entiende que la regulación legal de las pagas extraordinarias no ofrece respuesta a esa pregunta, siendo el Tribunal Supremo el que ha hecho referencia a su devengo diario y cobro aplazado en su jurisprudencia. No obstante, a juicio del Abogado del Estado, resulta evidente que una determinada interpretación jurisprudencial de un precepto legal no puede erigirse en parámetro de constitucionalidad de otra norma de rango legal.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Esta concepción es, por otro lado, perfectamente conforme con los arts. 26 y 31 de la Ley del estatuto de los trabajadores, así como con la doctrina de este Tribunal Constitucional en relación con los tributos de hecho imponible duradero; respecto a ellos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w:t>
      </w:r>
      <w:r>
        <w:lastRenderedPageBreak/>
        <w:t>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00AC56D6" w:rsidRDefault="00AC56D6" w:rsidP="00AC56D6">
      <w:pPr>
        <w:pStyle w:val="TextoNormal"/>
      </w:pPr>
    </w:p>
    <w:p w:rsidR="00AC56D6" w:rsidRDefault="00AC56D6" w:rsidP="00AC56D6">
      <w:pPr>
        <w:pStyle w:val="TextoNormal"/>
      </w:pPr>
      <w:r>
        <w:t>Seguidamente sostiene el Abogado del Estado que aún en el caso de que se considerase que los arts. 2.2 y 6 Real Decreto-ley 20/2012 establecen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conformes a la Constitución modificaciones con cualquier grado de retroactividad cuando existieran claras exigencias de “interés general”. Aplicando tal doctrina al presente caso, considera que la medida cuestionada encontraría su justificación en un interés público relevante, como lo es la necesidad de realizar fuertes ajustes presupuestarios en el marco de una crisis económica sin precedentes, siendo la reducción de las retribuciones prevista en las normas cuestionadas una medida extraordinaria de “contención de gastos de personal” que tiene por finalidad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un 4,5 por 100 en 2013 y un 2,8 por 100 en 2014, lo que ha exigido adoptar importantes medidas de reducción del gasto público. Se recuerda, asimismo, que la estabilidad presupuestaria es un principio constitucional que vincula a todos los poderes públicos; se insiste en que el análisis de la norma cuestionada ha de partir del contexto recesivo descrito. Así las cosas, afirma el Abogado del Estado que no existe razón para negar la concurrencia de un “interés general”, dada la situación descrita de grave crisis económica, que justificaría en todo caso la aplicación retroactiva de la medida contemplada en los cuestionados arts. 2.2 y 6 del Real Decreto-ley 20/2012.</w:t>
      </w:r>
    </w:p>
    <w:p w:rsidR="00AC56D6" w:rsidRDefault="00AC56D6" w:rsidP="00AC56D6">
      <w:pPr>
        <w:pStyle w:val="TextoNormal"/>
      </w:pPr>
    </w:p>
    <w:p w:rsidR="00AC56D6" w:rsidRDefault="00AC56D6" w:rsidP="00AC56D6">
      <w:pPr>
        <w:pStyle w:val="TextoNormal"/>
      </w:pPr>
      <w:r>
        <w:t>Por todo ello el Abogado del Estado interesa la desestimación de la cuestión.</w:t>
      </w:r>
    </w:p>
    <w:p w:rsidR="00AC56D6" w:rsidRDefault="00AC56D6" w:rsidP="00AC56D6">
      <w:pPr>
        <w:pStyle w:val="TextoNormal"/>
      </w:pPr>
    </w:p>
    <w:p w:rsidR="00AC56D6" w:rsidRDefault="00AC56D6" w:rsidP="00AC56D6">
      <w:pPr>
        <w:pStyle w:val="TextoNormal"/>
      </w:pPr>
      <w:r w:rsidRPr="00AC56D6">
        <w:rPr>
          <w:rStyle w:val="NumeroAFNegritaCaracter"/>
        </w:rPr>
        <w:t>9</w:t>
      </w:r>
      <w:r>
        <w:t xml:space="preserve">. Por providencia de 28 de mayo de 2015 la Sala Primera acordó, de conformidad con lo dispuesto en el art. 88.1 LOTC, dirigir atenta comunicación al Ayuntamiento de Marchamalo, a fin de que indicase a este Tribunal si, en atención a lo previsto en la disposición adicional duodécima de la Ley 36/2014, de presupuestos generales del Estado para el año 2015, o por cualquier otra circunstancia, ha satisfecho al personal laboral de ese Ayuntamiento alguna cantidad en concepto de recuperación de la parte proporcional de la paga </w:t>
      </w:r>
      <w:r>
        <w:lastRenderedPageBreak/>
        <w:t>extraordinaria, de la paga adicional de complemento específico o de las pagas adicionales equivalentes, todas ellas correspondientes al mes de diciembre de 2012; especificando, en su caso, el número de días de las citadas pagas a los que corresponden las cuantías abonadas.</w:t>
      </w:r>
    </w:p>
    <w:p w:rsidR="00AC56D6" w:rsidRDefault="00AC56D6" w:rsidP="00AC56D6">
      <w:pPr>
        <w:pStyle w:val="TextoNormal"/>
      </w:pPr>
    </w:p>
    <w:p w:rsidR="00AC56D6" w:rsidRDefault="00AC56D6" w:rsidP="00AC56D6">
      <w:pPr>
        <w:pStyle w:val="TextoNormal"/>
      </w:pPr>
      <w:r w:rsidRPr="00AC56D6">
        <w:rPr>
          <w:rStyle w:val="NumeroAFNegritaCaracter"/>
        </w:rPr>
        <w:t>10</w:t>
      </w:r>
      <w:r>
        <w:t>. En contestación a la referida providencia el Ayuntamiento de Marchamalo comunicó a este Tribunal, mediante escrito que tuvo entrada en el registro general con fecha 25 de junio de 2015, que dicho Ayuntamiento, al amparo de lo previsto en la disposición adicional duodécima de la Ley 36/2014, de presupuestos generales del Estado para el año 2015, hizo efectiva a su personal laboral, en la nómina del mes de enero de 2015, la parte proporcional de la paga extraordinaria y de la paga adicional de complemento específico correspondiente al mes de diciembre de 2012, referida a 44 días de un total de 183 días, equivalente a un 24,04 por 100.</w:t>
      </w:r>
    </w:p>
    <w:p w:rsidR="00AC56D6" w:rsidRDefault="00AC56D6" w:rsidP="00AC56D6">
      <w:pPr>
        <w:pStyle w:val="TextoNormal"/>
      </w:pPr>
    </w:p>
    <w:p w:rsidR="00AC56D6" w:rsidRDefault="00AC56D6" w:rsidP="00AC56D6">
      <w:pPr>
        <w:pStyle w:val="TextoNormal"/>
      </w:pPr>
      <w:r w:rsidRPr="00AC56D6">
        <w:rPr>
          <w:rStyle w:val="NumeroAFNegritaCaracter"/>
        </w:rPr>
        <w:t>11</w:t>
      </w:r>
      <w:r>
        <w:t>. Por providencia de 16 de julio de 2015 se señaló para deliberación y votación de la presente Sentencia el día 20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Juzgado de lo Social núm. 2 de Guadalajara plantea cuestión de inconstitucionalidad respecto de los arts. 2.2 y 6 del Real Decreto-ley 20/2012, de 13 de julio, de medidas para garantizar la estabilidad presupuestaria y de fomento de la competitividad. El art. 2.2 del Real Decreto-ley 20/2012, en lo que aquí importa, dispone para el personal del sector público definido en el art. 22.1 de la Ley 2/2012, de 29 de junio, de presupuestos generales del Estado para 2012, la supresión de la paga extraordinaria (o equivalente) del mes de diciembre de 2012. En síntesis, el Juzgado entiende que el art. 2.2 del Real Decreto-ley 20/2012, en su aplicación al personal laboral del sector público,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(15 de julio de 2012). Otro tanto se predica del art. 6 del Real Decreto-ley 20/2012 también cuestionado, que establece, “sin perjuicio de lo dispuesto en el artículo 2, apartado 2.2, de este mismo Real Decreto-ley”, que “durante el año 2012 se suprime para el personal laboral del sector público la percepción de la gratificación extraordinaria con ocasión de las fiestas de Navidad contenida en el artículo 31 del estatuto de los trabajadores”.</w:t>
      </w:r>
    </w:p>
    <w:p w:rsidR="00AC56D6" w:rsidRDefault="00AC56D6" w:rsidP="00AC56D6">
      <w:pPr>
        <w:pStyle w:val="TextoNormal"/>
      </w:pPr>
    </w:p>
    <w:p w:rsidR="00AC56D6" w:rsidRDefault="00AC56D6" w:rsidP="00AC56D6">
      <w:pPr>
        <w:pStyle w:val="TextoNormal"/>
      </w:pPr>
      <w:r>
        <w:t>En los términos en que han sido recogidos en los antecedentes de esta Sentencia, el Fiscal General del Estado coincide con el juicio de inconstitucionalidad formulado por el Auto de planteamiento de la cuestión; interesa la estimación de la misma, mientras que el Abogado del Estado solicita su desestimación.</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al análisis de la cuestión planteada conviene realizar una serie de precisiones para acotar debidamente el objeto de la misma y el alcance de nuestro enjuiciamiento.</w:t>
      </w:r>
    </w:p>
    <w:p w:rsidR="00AC56D6" w:rsidRDefault="00AC56D6" w:rsidP="00AC56D6">
      <w:pPr>
        <w:pStyle w:val="TextoNormal"/>
      </w:pPr>
    </w:p>
    <w:p w:rsidR="00AC56D6" w:rsidRDefault="00AC56D6" w:rsidP="00AC56D6">
      <w:pPr>
        <w:pStyle w:val="TextoNormal"/>
      </w:pPr>
      <w:r>
        <w:lastRenderedPageBreak/>
        <w:t>a) En primer lugar, resulta obligado advertir, en consonancia con lo manifestado en sus alegaciones respectivas por el Fiscal General del Estado y el Abogado del Estado, que, si bien el Juzgado de lo Social núm. 2 de Guadalajara plantea la cuestión de inconstitucionalidad respecto del art. 2.2 del Real Decreto-ley 20/2012 en su integridad, lo cierto es que de los razonamientos que se contienen en el Auto de planteamiento se infiere sin dificultad que no se cuestiona todo el precepto sino sólo en su aplicación al personal laboral del sector público. Ello se conecta lógicamente con el juicio de relevancia, correctamente expresado por el órgano judicial. La cuestión de inconstitucionalidad trae causa de un proceso de conflicto colectivo promovido por un sindicato con motivo de la supresión, por aplicación de las previsiones contenidas en el Real Decreto-ley 20/2012, de la paga extraordinaria de diciembre de 2012 al personal laboral de una Corporación local (Ayuntamiento de Marchamalo); proceso en el que lo pretendido por el sindicato demandante es justamente que se declare el derecho de los trabajadores de esa entidad local a percibir la parte proporcional de la paga extra de diciembre de 2012 que considera ya devengada al momento de la entrada en vigor del Real Decreto-ley 20/2012, porque, de acuerdo con el art. 9.3 CE, no cabe que la supresión de esa paga extra por dicho Real Decreto-ley tenga efectos retroactivos.</w:t>
      </w:r>
    </w:p>
    <w:p w:rsidR="00AC56D6" w:rsidRDefault="00AC56D6" w:rsidP="00AC56D6">
      <w:pPr>
        <w:pStyle w:val="TextoNormal"/>
      </w:pPr>
    </w:p>
    <w:p w:rsidR="00AC56D6" w:rsidRDefault="00AC56D6" w:rsidP="00AC56D6">
      <w:pPr>
        <w:pStyle w:val="TextoNormal"/>
      </w:pPr>
      <w:r>
        <w:t>De este modo, en los términos en que ha sido planteada, la presente cuestión de inconstitucionalidad debe entenderse referida al apartado 2.2 del art. 2 Real Decreto-ley 20/2012, que contempla específicamente la supresión de la paga o gratificación extraordinaria de diciembre de 2012 o equivalente al personal laboral del sector público, que incluye el personal de las corporaciones locales y de los organismos dependientes de estas.</w:t>
      </w:r>
    </w:p>
    <w:p w:rsidR="00AC56D6" w:rsidRDefault="00AC56D6" w:rsidP="00AC56D6">
      <w:pPr>
        <w:pStyle w:val="TextoNormal"/>
      </w:pPr>
    </w:p>
    <w:p w:rsidR="00AC56D6" w:rsidRDefault="00AC56D6" w:rsidP="00AC56D6">
      <w:pPr>
        <w:pStyle w:val="TextoNormal"/>
      </w:pPr>
      <w:r>
        <w:t>b) Por otra parte, debe tenerse en cuenta que no se cuestiona por el Juzgado de lo Social núm. 2 de Guadalajara la medida de supresión de la paga extraordinaria de diciembre de 2012 en sí misma considerada; se cuestiona solo en cuanto su aplicación haya podido suponer la infracción del principio de irretroactividad establecido en el 9.3 CE, al no contemplar excepción alguna respecto de las cuantías que se entienden ya devengadas de dicha paga extra a la fecha de entrada en vigor del Real Decreto-ley 20/2012 (que tuvo lugar el 15 de julio de 2012, conforme a su disposición final decimoquinta). A esta concreta duda deberá, pues, ceñirse nuestro enjuiciamiento.</w:t>
      </w:r>
    </w:p>
    <w:p w:rsidR="00AC56D6" w:rsidRDefault="00AC56D6" w:rsidP="00AC56D6">
      <w:pPr>
        <w:pStyle w:val="TextoNormal"/>
      </w:pPr>
    </w:p>
    <w:p w:rsidR="00AC56D6" w:rsidRDefault="00AC56D6" w:rsidP="00AC56D6">
      <w:pPr>
        <w:pStyle w:val="TextoNormal"/>
      </w:pPr>
      <w:r>
        <w:t>c) Conviene asimismo advertir que el Juzgado de lo Social núm. 2 de Guadalajara cuestiona el art. 6 del Real Decreto-ley 20/2012, que, en consonancia con la misma regla, suprime durante el año 2012 para el personal laboral del sector público “la percepción de la gratificación extraordinaria con ocasión de las fiestas de Navidad contenida en el art. 31 del Estatuto de los Trabajadores”. Sin embargo, en la providencia de apertura del trámite de audiencia previsto por el art. 35.2 LOTC solo se hace referencia al art. 2.2 del Real Decreto-ley 20/2012 como presuntamente contrario al art. 9.3 CE. Por tanto, la previsión contenida en el art. 6 del Real Decreto-ley 20/2012 queda fuera de nuestro pronunciamiento.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Delimitado el alcance de nuestra decisión, debemos remitirnos a lo dicho recientemente en la STC 83/2015, de 30 de abril, FJ 3, sobre la posible pérdida de objeto de la cuestión de inconstitucionalidad, como consecuencia de lo establecido en la disposición adicional duodécima de la Ley 36/2014, de 26 de diciembre, de Presupuestos Generales del Estado para 2015. Bajo el epígrafe “Recuperación de la paga extraordinaria y adicional del mes de diciembre de 2012”, se establece, en su apartado 1.1, que cada Administración pública, en su ámbito, podrá aprobar el abono de cantidades en concepto de recuperación de </w:t>
      </w:r>
      <w:r>
        <w:lastRenderedPageBreak/>
        <w:t>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según establece el apartado 1.2.</w:t>
      </w:r>
    </w:p>
    <w:p w:rsidR="00AC56D6" w:rsidRDefault="00AC56D6" w:rsidP="00AC56D6">
      <w:pPr>
        <w:pStyle w:val="TextoNormal"/>
      </w:pPr>
    </w:p>
    <w:p w:rsidR="00AC56D6" w:rsidRDefault="00AC56D6" w:rsidP="00AC56D6">
      <w:pPr>
        <w:pStyle w:val="TextoNormal"/>
      </w:pPr>
      <w:r>
        <w:t xml:space="preserve">En la STC 83/2015, FJ 3, se recuerda la reiterada doctrina constitucional sobre los efectos extintivos del objeto del proceso en las cuestiones de inconstitucionalidad, como consecuencia de la derogación o modificación de la norma legal cuestionada. Se puso de manifiesto que era innegable la incidencia que tenía la medida contenida en la disposición adicional duodécima de la Ley 36/2014, de presupuestos generales del Estado para 2015, sobre la pretensión deducida en el pleito </w:t>
      </w:r>
      <w:r w:rsidRPr="00AC56D6">
        <w:rPr>
          <w:i/>
        </w:rPr>
        <w:t>a quo</w:t>
      </w:r>
      <w:r>
        <w:t>, “que afecta de modo determinante a la subsistencia del presente proceso constitucional, dada la estrecha vinculación existente entre toda cuestión de inconstitucionalidad y el procedimiento judicial de que dimana.” Otro tanto acontece en el presente caso.</w:t>
      </w:r>
    </w:p>
    <w:p w:rsidR="00AC56D6" w:rsidRDefault="00AC56D6" w:rsidP="00AC56D6">
      <w:pPr>
        <w:pStyle w:val="TextoNormal"/>
      </w:pPr>
    </w:p>
    <w:p w:rsidR="00AC56D6" w:rsidRDefault="00AC56D6" w:rsidP="00AC56D6">
      <w:pPr>
        <w:pStyle w:val="TextoNormal"/>
      </w:pPr>
      <w:r>
        <w:t xml:space="preserve">En el conflicto colectivo del que trae causa la presente cuestión de inconstitucionalidad se discute el derecho de los trabajadores de una entidad local (Ayuntamiento de Marchamalo) a percibir la parte proporcional de la paga extra de diciembre de 2012, ya devengada al momento de la entrada en vigor del Real Decreto-ley 20/2012, que suprimió el derecho a su percepción. Ello por estimar el sindicato demandante en el proceso </w:t>
      </w:r>
      <w:r w:rsidRPr="00AC56D6">
        <w:rPr>
          <w:i/>
        </w:rPr>
        <w:t>a quo</w:t>
      </w:r>
      <w:r>
        <w:t xml:space="preserve"> que la supresión de esa paga extra por la citada norma no puede tener efectos retroactivos por imperativo de lo dispuesto en el art. 9.3 CE. Al suscitarse sobre este extremo la duda de constitucionalidad que plantea el órgano judicial, es obligado constatar la recuperación por esos trabajadores de la parte proporcional correspondiente a los primeros 44 días de la de la paga extraordinaria y de la paga adicional de complemento específico correspondiente al mes de diciembre de 2012, en virtud de lo establecido en la citada disposición adicional duodécima de la Ley 36/2014, de presupuestos generales del Estado para 2015. Esa recuperación se hizo efectiva en el caso del Ayuntamiento de Marchamalo en la nómina del mes de enero de 2015, como se pone de manifiesto por dicha corporación local en su contestación al requerimiento formulado al efecto por este Tribunal, conforme quedó señalado en el relato de antecedentes. Todo ello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(STC 83/2015, FJ 3).</w:t>
      </w:r>
    </w:p>
    <w:p w:rsidR="00AC56D6" w:rsidRDefault="00AC56D6" w:rsidP="00AC56D6">
      <w:pPr>
        <w:pStyle w:val="TextoNormal"/>
      </w:pPr>
    </w:p>
    <w:p w:rsidR="00AC56D6" w:rsidRDefault="00AC56D6" w:rsidP="00AC56D6">
      <w:pPr>
        <w:pStyle w:val="TextoNormal"/>
      </w:pPr>
      <w:r>
        <w:t>En conclusión, “la regulación contenida en la citada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83/2015, FJ 3; y en el mismo sentido AATC 340/2003, de 21 de octubre, FJ único; y 75/2004, de 9 de marzo, FJ único)” (STC 83/2015, FJ 3).</w:t>
      </w:r>
    </w:p>
    <w:p w:rsidR="00AC56D6" w:rsidRDefault="00AC56D6" w:rsidP="00AC56D6">
      <w:pPr>
        <w:pStyle w:val="TextoNormal"/>
      </w:pPr>
    </w:p>
    <w:p w:rsidR="00AC56D6" w:rsidRDefault="00AC56D6" w:rsidP="00AC56D6">
      <w:pPr>
        <w:pStyle w:val="TextoNormalCentrado"/>
        <w:keepNext/>
      </w:pPr>
      <w:r>
        <w:lastRenderedPageBreak/>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Declarar la extinción de la presente cuestión de inconstitucionalidad por desaparición sobrevenida de su objeto.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veinte de julio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32" w:name="SENTENCIA_2015_176"/>
      <w:r>
        <w:lastRenderedPageBreak/>
        <w:t>SENTENCIA 176/2015, de 22 de julio de 2015</w:t>
      </w:r>
    </w:p>
    <w:bookmarkEnd w:id="32"/>
    <w:p w:rsidR="00AC56D6" w:rsidRDefault="00AC56D6" w:rsidP="00AC56D6">
      <w:pPr>
        <w:pStyle w:val="TtuloResolucin"/>
      </w:pPr>
      <w:r>
        <w:t>Pleno</w:t>
      </w:r>
    </w:p>
    <w:p w:rsidR="00AC56D6" w:rsidRDefault="00AC56D6" w:rsidP="00AC56D6">
      <w:pPr>
        <w:pStyle w:val="TtuloBOE"/>
      </w:pPr>
      <w:r>
        <w:t>(BOE núm. 200, de 21 de agosto de 2015)</w:t>
      </w:r>
    </w:p>
    <w:p w:rsidR="00AC56D6" w:rsidRDefault="00AC56D6" w:rsidP="00AC56D6">
      <w:pPr>
        <w:pStyle w:val="TextoNormalCentrado"/>
      </w:pPr>
      <w:r>
        <w:t>ECLI:ES:TC:2015:176</w:t>
      </w:r>
    </w:p>
    <w:p w:rsidR="00AC56D6" w:rsidRDefault="00AC56D6" w:rsidP="00AC56D6">
      <w:pPr>
        <w:pStyle w:val="TextoNormalCentrado"/>
      </w:pPr>
    </w:p>
    <w:p w:rsidR="00AC56D6" w:rsidRDefault="00AC56D6" w:rsidP="00AC56D6">
      <w:pPr>
        <w:pStyle w:val="SntesisDescriptiva"/>
      </w:pPr>
      <w:r>
        <w:t>Recurso de inconstitucionalidad 6084-2007. Interpuesto por más de cincuenta diputados del Grupo Parlamentario Popular en el Congreso de los Diputados en relación con diversos preceptos de la Ley Orgánica 6/2001, de 21 de diciembre, de universidades, en la redacción dada por la Ley Orgánica 4/2007, de 12 de abril.</w:t>
      </w:r>
    </w:p>
    <w:p w:rsidR="00AC56D6" w:rsidRDefault="00AC56D6" w:rsidP="00AC56D6">
      <w:pPr>
        <w:pStyle w:val="SntesisDescriptiva"/>
      </w:pPr>
    </w:p>
    <w:p w:rsidR="00AC56D6" w:rsidRDefault="00AC56D6" w:rsidP="00AC56D6">
      <w:pPr>
        <w:pStyle w:val="SntesisAnaltica"/>
      </w:pPr>
      <w:r>
        <w:t>Principio de igualdad, libertad de creación de centros docentes, derecho de acceso en condiciones de igualdad a las funciones públicas, reserva de ley orgánica y competencias sobre universidades: constitucionalidad de los preceptos relativos a los órganos de gobierno y representación de las universidades privadas; la Conferencia general de política universitaria; el régimen de títulos y estructura de las enseñanzas oficiales, y régimen jurídico y concursos de acceso a los cuerpos docentes universitarios. Voto particular.</w:t>
      </w:r>
    </w:p>
    <w:p w:rsidR="00AC56D6" w:rsidRDefault="00AC56D6" w:rsidP="00AC56D6">
      <w:pPr>
        <w:pStyle w:val="SntesisAnaltica"/>
      </w:pPr>
    </w:p>
    <w:p w:rsidR="00AC56D6" w:rsidRDefault="00AC56D6" w:rsidP="00AC56D6">
      <w:pPr>
        <w:pStyle w:val="Extracto"/>
      </w:pPr>
      <w:r>
        <w:t>1.</w:t>
      </w:r>
      <w:r>
        <w:tab/>
        <w:t>El derecho del titular de centro docente no tiene carácter absoluto y está sujeto a  posibles limitaciones, quedando siempre a salvo su contenido esencial, de acuerdo con el art. 53.1 de la CE; una de estas limitaciones es la que resulta de la intervención estatal, respaldada constitucionalmente por el art. 27.9 CE, para el caso de centros con respecto a los cuales los poderes públicos realizan una labor de ayuda, particularmente a través de la financiación total o parcial de la actividad, al disponer que los poderes públicos ayudarán a los Centros docentes que reúnan los requisitos que la Ley establezca (STC 77/1985) [FJ 2].</w:t>
      </w:r>
    </w:p>
    <w:p w:rsidR="00AC56D6" w:rsidRDefault="00AC56D6" w:rsidP="00AC56D6">
      <w:pPr>
        <w:pStyle w:val="Extracto"/>
      </w:pPr>
    </w:p>
    <w:p w:rsidR="00AC56D6" w:rsidRDefault="00AC56D6" w:rsidP="00AC56D6">
      <w:pPr>
        <w:pStyle w:val="Extracto"/>
      </w:pPr>
      <w:r>
        <w:t>2.</w:t>
      </w:r>
      <w:r>
        <w:tab/>
        <w:t>El derecho a la educación reconoce a las personas físicas y jurídicas la libertad de creación de centros docentes, dentro del respeto a los principios constitucionales; no distingue en función del nivel educativo y por tanto ampara la creación de universidades tanto públicas como privadas (SSTC 223/2012, 131/2013, 141/2013, 159/2013, 160/2013) [FJ 2].</w:t>
      </w:r>
    </w:p>
    <w:p w:rsidR="00AC56D6" w:rsidRDefault="00AC56D6" w:rsidP="00AC56D6">
      <w:pPr>
        <w:pStyle w:val="Extracto"/>
      </w:pPr>
    </w:p>
    <w:p w:rsidR="00AC56D6" w:rsidRDefault="00AC56D6" w:rsidP="00AC56D6">
      <w:pPr>
        <w:pStyle w:val="Extracto"/>
      </w:pPr>
      <w:r>
        <w:t>3.</w:t>
      </w:r>
      <w:r>
        <w:tab/>
        <w:t>El contenido esencial del derecho fundamental de creación de centros docentes constituye,  expresión del derecho a la libertad de enseñanza, implica el derecho a garantizar el respeto al carácter propio y de asumir en última instancia la responsabilidad de la gestión, especialmente mediante el ejercicio de facultades decisorias en relación con la propuesta de Estatutos y nombramiento y cese de los órganos de dirección administrativa y pedagógica y del profesorado; de otro lado, es exigible la ausencia de limitaciones absolutas o insalvables, o que lo despojen de la necesaria protección [FJ 2].</w:t>
      </w:r>
    </w:p>
    <w:p w:rsidR="00AC56D6" w:rsidRDefault="00AC56D6" w:rsidP="00AC56D6">
      <w:pPr>
        <w:pStyle w:val="Extracto"/>
      </w:pPr>
    </w:p>
    <w:p w:rsidR="00AC56D6" w:rsidRDefault="00AC56D6" w:rsidP="00AC56D6">
      <w:pPr>
        <w:pStyle w:val="Extracto"/>
      </w:pPr>
      <w:r>
        <w:t>4.</w:t>
      </w:r>
      <w:r>
        <w:tab/>
        <w:t>Los órganos de gobierno y representación de las universidades privadas no vulneran los derechos a la igualdad ni a la libertad de creación de centros docentes; y se justifica la exigencia de un equilibrio entre hombres y mujeres en tales órganos, con respeto al principio de capacidad y mérito, ya que esta medida se propone corregir la situación de desigualdad histórica de la mujer en la toma de decisiones en los órganos de gobierno e instituciones universitarias [FJ 2].</w:t>
      </w:r>
    </w:p>
    <w:p w:rsidR="00AC56D6" w:rsidRDefault="00AC56D6" w:rsidP="00AC56D6">
      <w:pPr>
        <w:pStyle w:val="Extracto"/>
      </w:pPr>
    </w:p>
    <w:p w:rsidR="00AC56D6" w:rsidRDefault="00AC56D6" w:rsidP="00AC56D6">
      <w:pPr>
        <w:pStyle w:val="Extracto"/>
      </w:pPr>
      <w:r>
        <w:lastRenderedPageBreak/>
        <w:t>5.</w:t>
      </w:r>
      <w:r>
        <w:tab/>
        <w:t>La Conferencia General de Política Universitaria realiza funciones de coordinación entre el Estado y las Comunidades Autónomas, en relación con las competencias que cada uno tiene en el ámbito de la enseñanza universitaria; coordinación que no puede incurrir en una sustracción o menoscabo de las competencias de las entidades sometidas a la misma, debiendo servir únicamente de órgano de encuentro para el examen de problemas comunes y para la discusión de las oportunas líneas de acción. (SSTC 27/1987, 194/2004) [FJ 3].</w:t>
      </w:r>
    </w:p>
    <w:p w:rsidR="00AC56D6" w:rsidRDefault="00AC56D6" w:rsidP="00AC56D6">
      <w:pPr>
        <w:pStyle w:val="Extracto"/>
      </w:pPr>
    </w:p>
    <w:p w:rsidR="00AC56D6" w:rsidRDefault="00AC56D6" w:rsidP="00AC56D6">
      <w:pPr>
        <w:pStyle w:val="Extracto"/>
      </w:pPr>
      <w:r>
        <w:t>6.</w:t>
      </w:r>
      <w:r>
        <w:tab/>
        <w:t>El derecho a la autonomía universitaria es un derecho de estricta configuración legal, que encuentra su razón de ser en la protección de la libertad académica, en su manifestación de libertad de enseñanza, estudio e investigación, frente a todo tipo de injerencias externas, de manera que la libertad de ciencia quede garantizada, tanto en su dimensión individual -constituida por la libertad de cátedra-, como institucional  -la correspondiente a cada Universidad en particular- (SSTC 26/1987, 55/1989, 106/1990, 187/1991, 156/1994, 47/2005) [FJ 4].</w:t>
      </w:r>
    </w:p>
    <w:p w:rsidR="00AC56D6" w:rsidRDefault="00AC56D6" w:rsidP="00AC56D6">
      <w:pPr>
        <w:pStyle w:val="Extracto"/>
      </w:pPr>
    </w:p>
    <w:p w:rsidR="00AC56D6" w:rsidRDefault="00AC56D6" w:rsidP="00AC56D6">
      <w:pPr>
        <w:pStyle w:val="Extracto"/>
      </w:pPr>
      <w:r>
        <w:t>7.</w:t>
      </w:r>
      <w:r>
        <w:tab/>
        <w:t>La autonomía universitaria —cubierta por la garantía institucional del derecho a la educación, de carácter instrumental respecto de derechos fundamentales de terceros (los titulares de las diversas vertientes de la libertad académica) — garantiza el ejercicio libre de injerencias externas de las funciones que se encomiendan a la Universidad; de forma negativa puede afirmarse que las medidas que de ninguna manera puedan afectar a los derechos fundamentales que se protegen por la autonomía universitaria, tampoco pueden afectar a ésta (STC 47/2005, de 3 de marzo, FJ 6) [FJ 4].</w:t>
      </w:r>
    </w:p>
    <w:p w:rsidR="00AC56D6" w:rsidRDefault="00AC56D6" w:rsidP="00AC56D6">
      <w:pPr>
        <w:pStyle w:val="Extracto"/>
      </w:pPr>
    </w:p>
    <w:p w:rsidR="00AC56D6" w:rsidRDefault="00AC56D6" w:rsidP="00AC56D6">
      <w:pPr>
        <w:pStyle w:val="Extracto"/>
      </w:pPr>
      <w:r>
        <w:t>8.</w:t>
      </w:r>
      <w:r>
        <w:tab/>
        <w:t>Las directrices generales para la elaboración y aprobación de planes de estudio e investigación y de enseñanzas específicas de formación dictadas por el Estado, sobre cuya base a su vez se elaboran los planes por cada universidad, no fijan el bagaje de conocimientos que debe contener cada título, sino la arquitectura de todos los títulos que los hace reconocibles, con independencia de sus concretos contenidos, como títulos oficiales válidos en toda España; basta con que las directrices gubernativas reconozcan un margen suficiente de opción o autorregulación a cada Universidad para excluir toda objeción de inconstitucionalidad a través del derecho a la educación (STC 103/2001) [FJ 4].</w:t>
      </w:r>
    </w:p>
    <w:p w:rsidR="00AC56D6" w:rsidRDefault="00AC56D6" w:rsidP="00AC56D6">
      <w:pPr>
        <w:pStyle w:val="Extracto"/>
      </w:pPr>
    </w:p>
    <w:p w:rsidR="00AC56D6" w:rsidRDefault="00AC56D6" w:rsidP="00AC56D6">
      <w:pPr>
        <w:pStyle w:val="Extracto"/>
      </w:pPr>
      <w:r>
        <w:t>9.</w:t>
      </w:r>
      <w:r>
        <w:tab/>
        <w:t>Se declaran adecuadas constitucionalmente las previsiones respecto a la participación del personal docente e investigador en las decisiones estrictamente académicas y en la elección del rector, al ser éstos quienes están en mejores condiciones para valorar estas decisiones, en relación además con el principio de libertad académica; así como la previsión de que los diferentes sectores de la comunidad universitaria participen en sus órganos, al igual que en las universidades de titularidad pública [FJ 5].</w:t>
      </w:r>
    </w:p>
    <w:p w:rsidR="00AC56D6" w:rsidRDefault="00AC56D6" w:rsidP="00AC56D6">
      <w:pPr>
        <w:pStyle w:val="Extracto"/>
      </w:pPr>
    </w:p>
    <w:p w:rsidR="00AC56D6" w:rsidRDefault="00AC56D6" w:rsidP="00AC56D6">
      <w:pPr>
        <w:pStyle w:val="Extracto"/>
      </w:pPr>
      <w:r>
        <w:t>10.</w:t>
      </w:r>
      <w:r>
        <w:tab/>
        <w:t xml:space="preserve">En los concursos establecidos en la Ley Orgánica 6/2001 pueden concurrir, según se ordena expresamente, quienes hayan sido acreditados (o en su día habilitados), además de los funcionarios y funcionarias de los Cuerpos de Profesores Titulares de Universidad y de Catedráticos de Universidad; y, al garantizarse en todo caso </w:t>
      </w:r>
      <w:r>
        <w:lastRenderedPageBreak/>
        <w:t>el derecho a participar a quienes todavía no forman parte del cuerpo al que pertenece la plaza vacante, dichos concursos han de calificarse por fuerza, como auténticos concursos de acceso [FJ 7].</w:t>
      </w:r>
    </w:p>
    <w:p w:rsidR="00AC56D6" w:rsidRDefault="00AC56D6" w:rsidP="00AC56D6">
      <w:pPr>
        <w:pStyle w:val="Extracto"/>
      </w:pPr>
    </w:p>
    <w:p w:rsidR="00AC56D6" w:rsidRDefault="00AC56D6" w:rsidP="00AC56D6">
      <w:pPr>
        <w:pStyle w:val="Extracto"/>
      </w:pPr>
      <w:r>
        <w:t>11.</w:t>
      </w:r>
      <w:r>
        <w:tab/>
        <w:t>El derecho a la autonomía universitaria no opera en los concursos de acceso a los cuerpos docentes universitarios, sino únicamente en aquellos concursos para la provisión de plazas entre quienes ya pertenezcan a dicho cuerpo; doctrina que ha de matizarse, permitiendo a las universidades ejercitar su libertad ex art. 27.10 CE, en orden a la determinación del número de miembros y el mecanismo de designación de las comisiones que han de juzgar los concursos previstos en el art. 62 LOU, al haberse cumplido el requisito de la uniformidad en la fase previa de evaluación de los candidatos, con pleno respeto al derecho fundamental del art. 23.2 CE [FJ 7].</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inconstitucionalidad núm. 6084-2007, promovido por setenta y un diputados del Grupo Parlamentario Popular en el Congreso de los Diputados, contra los arts. 27.1, 27 bis.1.a), 34, 35, 37, 56.2 y 62 apartados 3 y 4, todos de la Ley Orgánica 6/2001, de 21 de diciembre, de Universidades, en la redacción dada respectivamente por los apartados 26, 27, 30, 31, 33, 59 y 64 del artículo único de la Ley Orgánica 4/2007, de 12 de abril, por la que se modifica la Ley Orgánica 6/2001, de 21 de diciembre, de Universidades. Ha intervenido el Abogado del Estado y ha sido Ponente el Magistrado don Ricardo Enríquez Sancho,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Mediante escrito presentado en el Registro General de este Tribunal el 6 de julio de 2007, por don Ignacio Astarloa Huarte-Mendicoa, Diputado del Grupo Parlamentario Popular en el Congreso de los Diputados, comisionado por setenta y un diputados del referido grupo parlamentario y en su representación, se interpuso recurso de inconstitucionalidad contra los arts. 27.1, 27 </w:t>
      </w:r>
      <w:r w:rsidRPr="00AC56D6">
        <w:rPr>
          <w:i/>
        </w:rPr>
        <w:t>bis</w:t>
      </w:r>
      <w:r>
        <w:t xml:space="preserve">.1 a), 34, 35, 37, 56.2 y 62, apartados 3 y 4, de la Ley Orgánica 6/2001, de 21 de diciembre, de universidades, en la redacción dada respectivamente por los </w:t>
      </w:r>
      <w:r>
        <w:lastRenderedPageBreak/>
        <w:t>apartados 26, 27, 30, 31, 33, 59 y 64 del artículo único de la Ley Orgánica 4/2007, de 12 de abril, por la que se modifica la Ley Orgánica 6/2001, de 21 de diciembre, de universidades.</w:t>
      </w:r>
    </w:p>
    <w:p w:rsidR="00AC56D6" w:rsidRDefault="00AC56D6" w:rsidP="00AC56D6">
      <w:pPr>
        <w:pStyle w:val="TextoNormal"/>
      </w:pPr>
    </w:p>
    <w:p w:rsidR="00AC56D6" w:rsidRDefault="00AC56D6" w:rsidP="00AC56D6">
      <w:pPr>
        <w:pStyle w:val="TextoNormal"/>
      </w:pPr>
      <w:r>
        <w:t>El recurso se sustenta en cuatro bloques de impugnación, en los que se desarrollan los fundamentos jurídicos que a continuación se resumen:</w:t>
      </w:r>
    </w:p>
    <w:p w:rsidR="00AC56D6" w:rsidRDefault="00AC56D6" w:rsidP="00AC56D6">
      <w:pPr>
        <w:pStyle w:val="TextoNormal"/>
      </w:pPr>
    </w:p>
    <w:p w:rsidR="00AC56D6" w:rsidRDefault="00AC56D6" w:rsidP="00AC56D6">
      <w:pPr>
        <w:pStyle w:val="TextoNormal"/>
      </w:pPr>
      <w:r>
        <w:t>a) Impugnación del art. 27.1 de la Ley Orgánica 6/2001, de 21 de diciembre, de universidades, en la redacción dada por el apartado 26 del artículo único de la Ley Orgánica 4/2007, por infracción del art. 27.6 CE.</w:t>
      </w:r>
    </w:p>
    <w:p w:rsidR="00AC56D6" w:rsidRDefault="00AC56D6" w:rsidP="00AC56D6">
      <w:pPr>
        <w:pStyle w:val="TextoNormal"/>
      </w:pPr>
    </w:p>
    <w:p w:rsidR="00AC56D6" w:rsidRDefault="00AC56D6" w:rsidP="00AC56D6">
      <w:pPr>
        <w:pStyle w:val="TextoNormal"/>
      </w:pPr>
      <w:r>
        <w:t>El precepto, que regula distintos aspectos de los órganos de gobierno y representación de las universidades privadas, restringe a juicio de los recurrentes la libertad organizativa de las personas físicas y jurídicas que, en ejercicio de la libertad que garantiza el art. 27.6 CE, deciden crear universidades “denominadas, justamente por esto, privadas”, al amparo del art. 5 de la Ley Orgánica de universidades (LOU), las cuales se contraponen a las creadas por los poderes públicos. Tal restricción de la libertad organizativa, inherente a la libertad de creación, resulta contraria a la doctrina de este Tribunal que afirma, desde la STC 77/1985, FJ 20,—dictada en relación con la Ley Orgánica 8/1985, de 3 de julio, reguladora del derecho a la educación (LODE)—, que tales libertades derivan del art. 27.6 CE, admitiendo solamente ciertas restricciones en la libertad de dirección de aquellos centros privados sostenidos por fondos públicos. Sólo entonces el art. 27.7 CE justifica imponer alguna forma de intervención que se limita a los profesores, padres y alumnos, la cual ha de concretar la ley pero respetando el contenido esencial del derecho del titular del centro docente (STC 77/1985, FJ 21).</w:t>
      </w:r>
    </w:p>
    <w:p w:rsidR="00AC56D6" w:rsidRDefault="00AC56D6" w:rsidP="00AC56D6">
      <w:pPr>
        <w:pStyle w:val="TextoNormal"/>
      </w:pPr>
    </w:p>
    <w:p w:rsidR="00AC56D6" w:rsidRDefault="00AC56D6" w:rsidP="00AC56D6">
      <w:pPr>
        <w:pStyle w:val="TextoNormal"/>
      </w:pPr>
      <w:r>
        <w:t>A juicio de los recurrentes, fuera de esta excepción no es posible advertir una “razón proporcionada” que permita a la ley establecer exigencias limitativas de las libertades tuteladas por el art. 27.6 CE sea cual sea la naturaleza y nivel del centro docente, sin excluir a los superiores, por tanto también a las universidades.</w:t>
      </w:r>
    </w:p>
    <w:p w:rsidR="00AC56D6" w:rsidRDefault="00AC56D6" w:rsidP="00AC56D6">
      <w:pPr>
        <w:pStyle w:val="TextoNormal"/>
      </w:pPr>
    </w:p>
    <w:p w:rsidR="00AC56D6" w:rsidRDefault="00AC56D6" w:rsidP="00AC56D6">
      <w:pPr>
        <w:pStyle w:val="TextoNormal"/>
      </w:pPr>
      <w:r>
        <w:t xml:space="preserve">Se sostiene que la Ley Orgánica 4/2007 ha podido incurrir en el error de confundir la autonomía de las universidades, que el art. 27.10 CE reconoce sin distinción de su naturaleza; con la participación en la gestión y control que se otorga como derecho a los profesores y alumnos mayores de edad en los centros universitarios, </w:t>
      </w:r>
      <w:r w:rsidRPr="00AC56D6">
        <w:rPr>
          <w:i/>
        </w:rPr>
        <w:t>ex</w:t>
      </w:r>
      <w:r>
        <w:t xml:space="preserve"> art. 27.7 CE, cuando se trate de centros sostenidos con fondos públicos. Si esto no fuera un error, prosigue diciendo el recurso, habría que concluir que “las más prestigiosas y eficaces universidades del mundo, en la[s] que no existe una intervención de profesores y alumnos … en la gestión y control, ni en el gobierno … carecen de autonomía”, cuando resulta ser justo lo contrario.</w:t>
      </w:r>
    </w:p>
    <w:p w:rsidR="00AC56D6" w:rsidRDefault="00AC56D6" w:rsidP="00AC56D6">
      <w:pPr>
        <w:pStyle w:val="TextoNormal"/>
      </w:pPr>
    </w:p>
    <w:p w:rsidR="00AC56D6" w:rsidRDefault="00AC56D6" w:rsidP="00AC56D6">
      <w:pPr>
        <w:pStyle w:val="TextoNormal"/>
      </w:pPr>
      <w:r>
        <w:t>La autonomía de las universidades privadas no requiere por tanto de un modelo de organización cogestionario y “menos aún” autogestionario, sino de garantías frentes a las injerencias externas. Debe corresponder al titular de cada universidad, a quien ostente sobre ella el poder organizador, elegir el “modo organizativo y funcional más idóneo” para el centro, aunque dicho margen de opción pueda restringirse en las universidades que se sostienen con fondos públicos, a los cuales la ley obliga a cumplir con las prescripciones del art. 27.7 CE, como ha señalado la STC 212/1993, de 28 de junio, FJ 5.</w:t>
      </w:r>
    </w:p>
    <w:p w:rsidR="00AC56D6" w:rsidRDefault="00AC56D6" w:rsidP="00AC56D6">
      <w:pPr>
        <w:pStyle w:val="TextoNormal"/>
      </w:pPr>
    </w:p>
    <w:p w:rsidR="00AC56D6" w:rsidRDefault="00AC56D6" w:rsidP="00AC56D6">
      <w:pPr>
        <w:pStyle w:val="TextoNormal"/>
      </w:pPr>
      <w:r>
        <w:lastRenderedPageBreak/>
        <w:t>Las razones expuestas llevan a los recurrentes a postular la inconstitucionalidad del art. 27.1 LOU/2007 por entender que carece de justificación establecer para las universidades privadas: (i) la participación de los distintos sectores de la comunidad universitaria en sus órganos de gobierno, tal como se entiende en la propia Ley Orgánica de universidades y antes en la Ley de reforma universitaria de 1983 (LORU), para las universidades públicas; (ii) el garantizar que el personal docente e investigador sea oído en el nombramiento del correspondiente Rector; (iii) la exigencia de que “las decisiones de naturaleza académica se adopten por órganos en los que el personal docente e investigador tengan representación mayoritaria”, pues aunque resulte “difícilmente cuestionable” la conveniencia de una formación y experiencia académica e investigadora en quienes adoptan ese tipo de decisiones, de lo que aquí se trata es de imponer que estas últimas las tome el personal académico al servicio de cada universidad, en un ámbito “no siempre fácil de delimitar”; y (iv) el imponer que la representación de los distintos sectores de la comunidad universitaria en los órganos de gobierno, “propicie la presencia equilibrada de hombres y mujeres”, lo que, de ser entendido “como necesidad sistemática de presencia de unas y otros, independientemente de su mérito y capacidad”, atentaría contra el art. 14 CE que proscribe tratos desiguales.</w:t>
      </w:r>
    </w:p>
    <w:p w:rsidR="00AC56D6" w:rsidRDefault="00AC56D6" w:rsidP="00AC56D6">
      <w:pPr>
        <w:pStyle w:val="TextoNormal"/>
      </w:pPr>
    </w:p>
    <w:p w:rsidR="00AC56D6" w:rsidRDefault="00AC56D6" w:rsidP="00AC56D6">
      <w:pPr>
        <w:pStyle w:val="TextoNormal"/>
      </w:pPr>
      <w:r>
        <w:t xml:space="preserve">b) Impugnación del art. 27 </w:t>
      </w:r>
      <w:r w:rsidRPr="00AC56D6">
        <w:rPr>
          <w:i/>
        </w:rPr>
        <w:t>bis</w:t>
      </w:r>
      <w:r>
        <w:t>.1 a) LOU según la Ley Orgánica 4/2007, por vulneración de los arts. 66 y concordantes, 97, 149.1.3, 149.1.15, 149.1.18 y 149.1.30 CE, todo ello en cuanto asigna a la Conferencia General de Política Universitaria el establecimiento de las “líneas generales de política universitaria, su articulación en el espacio europeo de educación superior y su interrelación con las políticas de investigación científica y tecnológica”.</w:t>
      </w:r>
    </w:p>
    <w:p w:rsidR="00AC56D6" w:rsidRDefault="00AC56D6" w:rsidP="00AC56D6">
      <w:pPr>
        <w:pStyle w:val="TextoNormal"/>
      </w:pPr>
    </w:p>
    <w:p w:rsidR="00AC56D6" w:rsidRDefault="00AC56D6" w:rsidP="00AC56D6">
      <w:pPr>
        <w:pStyle w:val="TextoNormal"/>
      </w:pPr>
      <w:r>
        <w:t>En primer lugar, el nuevo precepto introducido por la Ley Orgánica 4/2007, al concretar las funciones de la Conferencia General de Política Universitaria, le encomienda establecer “las líneas generales de política universitaria”. Se trata de una competencia activa y resolutoria que excede de lo que es propio a un órgano consultivo o en su caso de mera coordinación voluntaria, lo que supone sustraer la competencia que tiene en este ámbito el Estado o incluso las Comunidades Autónomas. Para empezar, el precepto atentaría contra las competencias que la Constitución asigna a las Cortes Generales, a las que corresponde fijar las líneas generales de la política universitaria a través del ejercicio de la potestad legislativa y su función de control y dirección política, como se recoge en los arts. 66, 81 (en relación con el 27), 99 a 101 y 108 y ss. CE, “reafirmadas específicamente por el art. 149.1.30 CE, al reservar al Estado las normas básicas para el desarrollo del art. 27 de la Constitución y la regulación de los títulos académicos y profesionales”.</w:t>
      </w:r>
    </w:p>
    <w:p w:rsidR="00AC56D6" w:rsidRDefault="00AC56D6" w:rsidP="00AC56D6">
      <w:pPr>
        <w:pStyle w:val="TextoNormal"/>
      </w:pPr>
    </w:p>
    <w:p w:rsidR="00AC56D6" w:rsidRDefault="00AC56D6" w:rsidP="00AC56D6">
      <w:pPr>
        <w:pStyle w:val="TextoNormal"/>
      </w:pPr>
      <w:r>
        <w:t>De forma similar contraviene las competencias del Gobierno para dirigir la política del Estado y ejercer la función ejecutiva, incluyendo la potestad reglamentaria (art. 97 CE). Además, si dada la genérica redacción del precepto controvertido se entiende igualmente aplicable a las políticas universitarias de las Comunidades Autónomas, “representadas en la nueva Conferencia General de Política Universitaria”, se incurriría en inconstitucionalidad por incidir en el ámbito de las competencias que los correspondientes Estatutos de Autonomía reservan a las Comunidades en materia universitaria, las cuales no pueden ser modificadas unilateralmente por el Estado, como hace la Ley Orgánica 4/2007, “dado lo dispuesto en el art. 147.3 CE”.</w:t>
      </w:r>
    </w:p>
    <w:p w:rsidR="00AC56D6" w:rsidRDefault="00AC56D6" w:rsidP="00AC56D6">
      <w:pPr>
        <w:pStyle w:val="TextoNormal"/>
      </w:pPr>
    </w:p>
    <w:p w:rsidR="00AC56D6" w:rsidRDefault="00AC56D6" w:rsidP="00AC56D6">
      <w:pPr>
        <w:pStyle w:val="TextoNormal"/>
      </w:pPr>
      <w:r>
        <w:lastRenderedPageBreak/>
        <w:t xml:space="preserve">El art. 27 </w:t>
      </w:r>
      <w:r w:rsidRPr="00AC56D6">
        <w:rPr>
          <w:i/>
        </w:rPr>
        <w:t>bis</w:t>
      </w:r>
      <w:r>
        <w:t xml:space="preserve">.1 a) LOU según la Ley Orgánica 4/2007, además, establece que las facultades de la citada conferencia abarcan “su articulación de la política universitaria en el espacio europeo de educación superior y su interrelación con las políticas de investigación científica y tecnológica”. Si se entiende que dicha articulación comprende también las posiciones que el Estado debe sostener en sus relaciones internacionales con otros Estados que formen parte del espacio de educación superior, sean miembros o no de la Unión Europea, la consecuencia sería que se sustraería al Estado la competencia exclusiva que le corresponde </w:t>
      </w:r>
      <w:r w:rsidRPr="00AC56D6">
        <w:rPr>
          <w:i/>
        </w:rPr>
        <w:t>ex</w:t>
      </w:r>
      <w:r>
        <w:t xml:space="preserve"> art. 149.1.3 CE, la cual no cabe compartir con las Comunidades Autónomas. Por mucho que la citada Conferencia sea un órgano estatal no puede ejercer competencias que corresponden a los poderes legislativo y ejecutivo. Aceptar que el Estado pudiera ejercer unas competencias que devienen constitucionalmente intransferibles, por medio de un órgano que en la práctica suponga una subordinación “a lo que se acuerde con el conjunto o con la mayoría de las Comunidades Autónomas, equivaldría a un fraude radical del orden constitucional del Estado autonómico”.</w:t>
      </w:r>
    </w:p>
    <w:p w:rsidR="00AC56D6" w:rsidRDefault="00AC56D6" w:rsidP="00AC56D6">
      <w:pPr>
        <w:pStyle w:val="TextoNormal"/>
      </w:pPr>
    </w:p>
    <w:p w:rsidR="00AC56D6" w:rsidRDefault="00AC56D6" w:rsidP="00AC56D6">
      <w:pPr>
        <w:pStyle w:val="TextoNormal"/>
      </w:pPr>
      <w:r>
        <w:t xml:space="preserve">El recurso sostiene que las razones expuestas llevan a considerar que el art. 27 </w:t>
      </w:r>
      <w:r w:rsidRPr="00AC56D6">
        <w:rPr>
          <w:i/>
        </w:rPr>
        <w:t>bis</w:t>
      </w:r>
      <w:r>
        <w:t>, apartado primero, letra a), vulnera la reserva a favor del Estado establecida en el art. 149.1.15 CE de “fomento y coordinación general de la investigación científica y técnica”.</w:t>
      </w:r>
    </w:p>
    <w:p w:rsidR="00AC56D6" w:rsidRDefault="00AC56D6" w:rsidP="00AC56D6">
      <w:pPr>
        <w:pStyle w:val="TextoNormal"/>
      </w:pPr>
    </w:p>
    <w:p w:rsidR="00AC56D6" w:rsidRDefault="00AC56D6" w:rsidP="00AC56D6">
      <w:pPr>
        <w:pStyle w:val="TextoNormal"/>
      </w:pPr>
      <w:r>
        <w:t>c) El tercer bloque del recurso impugna los arts. 34, 35 y 37 LOU según la Ley Orgánica 4/2007, en cuanto suponen una deslegalización de la regulación de los títulos universitarios oficiales con validez en todo el territorio nacional, contraviniendo así, se afirma, los arts. 53.1 y 81.1 CE, en relación con los arts. 27.1, 27.6, 27.10 y 20.1 c) CE “para la regulación de la libertad de enseñanza, la autonomía universitaria y la libertad de cátedra, y a la reserva de ley sobre títulos profesionales, cuando tengan efectos condicionantes del ejercicio de actividades determinantes, que resulta de los arts. 53.1 y 35 y 36 del mismo texto constitucional”.</w:t>
      </w:r>
    </w:p>
    <w:p w:rsidR="00AC56D6" w:rsidRDefault="00AC56D6" w:rsidP="00AC56D6">
      <w:pPr>
        <w:pStyle w:val="TextoNormal"/>
      </w:pPr>
    </w:p>
    <w:p w:rsidR="00AC56D6" w:rsidRDefault="00AC56D6" w:rsidP="00AC56D6">
      <w:pPr>
        <w:pStyle w:val="TextoNormal"/>
      </w:pPr>
      <w:r>
        <w:t>Los recurrentes reprochan que las tres normas indicadas dejen en manos del Gobierno la fijación de las directrices y las condiciones para la obtención de los títulos oficiales con validez en todo el territorio nacional, sin indicar “absolutamente nada sobre las características de las enseñanzas o estudios necesarios, ni sobre el tiempo de su duración, ni sobre exigencias específicas de su profesorado dentro de la heterogénea cualificación exigida a la variedad de figuras que dentro de este concepto contempla la ley, ni criterios sobre la ordenación, tipificación y —ni siquiera— denominación de tales títulos ni, en fin, sobre los efectos o implicaciones de su oficialidad y validez en todo el territorio nacional”. El nuevo art. 37 se limita a disponer que “las enseñanzas universitarias se estructurarán en tres ciclos”, que corresponden sucesivamente a grado, máster y doctorado, pero sin determinar la denominación ni el carácter de los títulos oficiales que cabe obtener tras la superación de aquellos dos primeros niveles de enseñanza, lo que remite a su regulación por el Gobierno previo informe del Consejo de Universidades. Únicamente sigue siendo explícita la ley con los estudios de doctorado, pues el art. 38 marca algunas exigencias básicas.</w:t>
      </w:r>
    </w:p>
    <w:p w:rsidR="00AC56D6" w:rsidRDefault="00AC56D6" w:rsidP="00AC56D6">
      <w:pPr>
        <w:pStyle w:val="TextoNormal"/>
      </w:pPr>
    </w:p>
    <w:p w:rsidR="00AC56D6" w:rsidRDefault="00AC56D6" w:rsidP="00AC56D6">
      <w:pPr>
        <w:pStyle w:val="TextoNormal"/>
      </w:pPr>
      <w:r>
        <w:t>La falta de determinación de los estudios de grado y máster, más allá de algunas referencias de carácter procedimental (para establecer un título oficial e inscribirlo: art. 35.3; imponiendo la verificación de todo plan de estudios por el Consejo de Universidades: art. 35.2, y al exigir la autorización de la impartición de enseñanzas oficiales por la Comunidad Au</w:t>
      </w:r>
      <w:r>
        <w:lastRenderedPageBreak/>
        <w:t>tónoma respectiva: art. 35.2), no permite saber qué tipo de directrices se fijarán reglamentariamente por el Gobierno ni su nivel de uniformidad, lo que supone desconocer la necesaria reserva de ley en la materia.</w:t>
      </w:r>
    </w:p>
    <w:p w:rsidR="00AC56D6" w:rsidRDefault="00AC56D6" w:rsidP="00AC56D6">
      <w:pPr>
        <w:pStyle w:val="TextoNormal"/>
      </w:pPr>
    </w:p>
    <w:p w:rsidR="00AC56D6" w:rsidRDefault="00AC56D6" w:rsidP="00AC56D6">
      <w:pPr>
        <w:pStyle w:val="TextoNormal"/>
      </w:pPr>
      <w:r>
        <w:t>Esta situación resulta, dice el recurso, más llamativa si se contrasta con la regulación que se ha hecho de los títulos oficiales no universitarios en la Ley Orgánica 2/2006, de 3 de mayo, de educación, sin que existan razones para tal diferencia de régimen, habida cuenta la relevancia de la enseñanza superior como expresión de la autonomía universitaria constitucionalmente garantizada. A mayor abundamiento, la situación de deslegalización apuntada resulta más grave si cabe porque no opera a favor de la autonomía universitaria sino del Gobierno, más específicamente de su potestad reglamentaria.</w:t>
      </w:r>
    </w:p>
    <w:p w:rsidR="00AC56D6" w:rsidRDefault="00AC56D6" w:rsidP="00AC56D6">
      <w:pPr>
        <w:pStyle w:val="TextoNormal"/>
      </w:pPr>
    </w:p>
    <w:p w:rsidR="00AC56D6" w:rsidRDefault="00AC56D6" w:rsidP="00AC56D6">
      <w:pPr>
        <w:pStyle w:val="TextoNormal"/>
      </w:pPr>
      <w:r>
        <w:t xml:space="preserve">En cuanto al alcance de la reserva legal en la regulación de los títulos universitarios, ésta deriva de su incidencia en derechos fundamentales ya mencionados (art. 27.1 CE: acceso a la enseñanza; dirección de centros docentes: art. 27.6 CE; la autonomía universitaria: art. 27.10 CE), en concreto mediante ley orgánica conforme al art. 81.1 CE, aunque dicha reserva se limite a lo “básico” </w:t>
      </w:r>
      <w:r w:rsidRPr="00AC56D6">
        <w:rPr>
          <w:i/>
        </w:rPr>
        <w:t>ex</w:t>
      </w:r>
      <w:r>
        <w:t xml:space="preserve"> art. 149.1.30 CE, es decir, a las “pautas básicas que han de presidir las condiciones sustantivas de los estudios o enseñanzas que conduzcan a los títulos académicos y, en su caso, profesionales, que hayan de poder expedir las universidades”.</w:t>
      </w:r>
    </w:p>
    <w:p w:rsidR="00AC56D6" w:rsidRDefault="00AC56D6" w:rsidP="00AC56D6">
      <w:pPr>
        <w:pStyle w:val="TextoNormal"/>
      </w:pPr>
    </w:p>
    <w:p w:rsidR="00AC56D6" w:rsidRDefault="00AC56D6" w:rsidP="00AC56D6">
      <w:pPr>
        <w:pStyle w:val="TextoNormal"/>
      </w:pPr>
      <w:r>
        <w:t>Además de su implicación con aquellos derechos del art. 27 CE, la exigencia de ley orgánica en este caso se explica también por su conexión material con la libertad de cátedra [art. 20.1 c) CE] cuyo desarrollo se atribuye igualmente a este tipo de norma.</w:t>
      </w:r>
    </w:p>
    <w:p w:rsidR="00AC56D6" w:rsidRDefault="00AC56D6" w:rsidP="00AC56D6">
      <w:pPr>
        <w:pStyle w:val="TextoNormal"/>
      </w:pPr>
    </w:p>
    <w:p w:rsidR="00AC56D6" w:rsidRDefault="00AC56D6" w:rsidP="00AC56D6">
      <w:pPr>
        <w:pStyle w:val="TextoNormal"/>
      </w:pPr>
      <w:r>
        <w:t>Y ya en cuanto a una más genérica reserva del art. 53.1 CE, los preceptos impugnados desconocen las previsiones contenidas en los arts. 35 y 36 CE, en orden a que una ley ha de regular el ejercicio de las profesiones tituladas, entre las que se encuentran aquellas que exigen titulación universitaria. En todo caso, “sólo la regulación de los títulos profesionales que no comporten regulaciones en los derechos y libertades en el ámbito educativo podrá entenderse propia de ley ordinaria y no de ley orgánica”.</w:t>
      </w:r>
    </w:p>
    <w:p w:rsidR="00AC56D6" w:rsidRDefault="00AC56D6" w:rsidP="00AC56D6">
      <w:pPr>
        <w:pStyle w:val="TextoNormal"/>
      </w:pPr>
    </w:p>
    <w:p w:rsidR="00AC56D6" w:rsidRDefault="00AC56D6" w:rsidP="00AC56D6">
      <w:pPr>
        <w:pStyle w:val="TextoNormal"/>
      </w:pPr>
      <w:r>
        <w:t>Los recurrentes entienden que la inconstitucionalidad de los preceptos impugnados se desprende de distintas doctrinas ya fijadas por este Tribunal, citando a tal fin: la que exige que se preserve el contenido esencial de la autonomía universitaria, incluso frente al legislador [SSTC 26/1987, FJ 4 a); 55/1989, FJ 2, y 187/1991, FJ 3]; la relativa a que la elaboración de los planes de estudio forma parte de esa autonomía universitaria (STC 187/1991), aunque existan límites derivados del ejercicio de otros derechos fundamentales o de un sistema universitario con instancias coordinadoras (SSTC 26/1987 y 55/1989); reconociendo que, previa habilitación legislativa, el Estado en ejercicio de su potestad reglamentaria puede limitar aquella autonomía al establecer las directrices generales de los títulos de carácter oficial, como declara la STC 103/2001. Sin embargo, no entró el Tribunal en esta última Sentencia a examinar “si esas limitaciones a las facultades de cada universidad para aprobar sus planes de estudio y consiguientemente a la autonomía universitaria deberían establecerse, al menos, básicamente, en ley orgánica".</w:t>
      </w:r>
    </w:p>
    <w:p w:rsidR="00AC56D6" w:rsidRDefault="00AC56D6" w:rsidP="00AC56D6">
      <w:pPr>
        <w:pStyle w:val="TextoNormal"/>
      </w:pPr>
    </w:p>
    <w:p w:rsidR="00AC56D6" w:rsidRDefault="00AC56D6" w:rsidP="00AC56D6">
      <w:pPr>
        <w:pStyle w:val="TextoNormal"/>
      </w:pPr>
      <w:r>
        <w:t xml:space="preserve">Respecto del principio de reserva de ley, se alude a las exigencias efectuadas por este Tribunal en cuanto al alcance de las remisiones o habilitaciones legales a una regulación reglamentaria y la posibilidad de incurrirse en deslegalización (SSTC 83/1984, FJ 5, y </w:t>
      </w:r>
      <w:r>
        <w:lastRenderedPageBreak/>
        <w:t>77/1985, FJ 14). Por otro lado, la relación ley-reglamento no ha quedado desvirtuada por la introducción en nuestro ordenamiento de una nueva categoría normativa, la de la Ley Orgánica (SSTC 101/1991 y 77/1985, en ese orden) y se recuerda la naturaleza material de las normas básicas, cuyo instrumento para establecerlas ha de ser la ley (STC 77/1985, FJ 16).</w:t>
      </w:r>
    </w:p>
    <w:p w:rsidR="00AC56D6" w:rsidRDefault="00AC56D6" w:rsidP="00AC56D6">
      <w:pPr>
        <w:pStyle w:val="TextoNormal"/>
      </w:pPr>
    </w:p>
    <w:p w:rsidR="00AC56D6" w:rsidRDefault="00AC56D6" w:rsidP="00AC56D6">
      <w:pPr>
        <w:pStyle w:val="TextoNormal"/>
      </w:pPr>
      <w:r>
        <w:t>En conclusión, los recurrentes entienden que la deslegalización del régimen de los títulos oficiales que se contienen en los preceptos impugnados (arts. 34, 35 y 37 LOU según la Ley Orgánica 4/2007) es contraria a los arts. 27.10, 53.1 y 81.1 CE, en relación con los arts. 27.6, 20.1 c), 35 y 36 CE y deben ser declarados por ello inconstitucionales.</w:t>
      </w:r>
    </w:p>
    <w:p w:rsidR="00AC56D6" w:rsidRDefault="00AC56D6" w:rsidP="00AC56D6">
      <w:pPr>
        <w:pStyle w:val="TextoNormal"/>
      </w:pPr>
    </w:p>
    <w:p w:rsidR="00AC56D6" w:rsidRDefault="00AC56D6" w:rsidP="00AC56D6">
      <w:pPr>
        <w:pStyle w:val="TextoNormal"/>
      </w:pPr>
      <w:r>
        <w:t>d) Tras la exposición anterior, la demanda altera el orden de análisis de los artículos impugnados que había seguido hasta entonces, el estrictamente numérico, justificándolo en “razones de mayor claridad en la argumentación, pasando ahora a la impugnación del art. 62 y exponiendo a continuación la del art. 56.2, íntimamente conectada a aquélla”.</w:t>
      </w:r>
    </w:p>
    <w:p w:rsidR="00AC56D6" w:rsidRDefault="00AC56D6" w:rsidP="00AC56D6">
      <w:pPr>
        <w:pStyle w:val="TextoNormal"/>
      </w:pPr>
    </w:p>
    <w:p w:rsidR="00AC56D6" w:rsidRDefault="00AC56D6" w:rsidP="00AC56D6">
      <w:pPr>
        <w:pStyle w:val="TextoNormal"/>
      </w:pPr>
      <w:r>
        <w:t>Así, en cuanto al art. 62 LOU según la Ley Orgánica 4/2007, se considera contrario a la doctrina de este Tribunal por la que se establece la existencia de un régimen uniforme para el acceso y selección del profesorado universitario [con cita de las SSTC 26/1987, FJ 12.3 b); 146/1989, FJ 2; y 225/1991, FJ 2], cuyos miembros no pueden considerarse funcionarios de cada universidad, ni de la Comunidad Autónoma o Administración local (SSTC 146/1989, FJ 2, y 235/1991, FJ 3), por lo que corresponde al Estado su regulación sin distinguir entre bases y desarrollo legislativo (STC 235/1991, FJ 3). Son cuerpos nacionales, sin perjuicio de su relación de servicios con cada universidad y “a través de ella … en cierto modo también con la Comunidad Autónoma que sea titular de ésta”. Asimismo, se recuerda que este Tribunal impone que el acceso a los cuerpos docentes se regule en condiciones de igualdad, art. 23.2 CE, respetando los principios de mérito y capacidad del art. 103.3 CE [STC 26/1987, FJ 12.3 a)]. Entienden los recurrentes que tanto la Ley Orgánica de reforma universitaria de 1983 como la Ley Orgánica de universidades de 2001 —versión original— mantuvieron la uniformidad en el régimen de acceso, regulando los requisitos y procedimientos, el tipo de pruebas o ejercicios a superar por los candidatos y la composición de las comisiones de evaluación.</w:t>
      </w:r>
    </w:p>
    <w:p w:rsidR="00AC56D6" w:rsidRDefault="00AC56D6" w:rsidP="00AC56D6">
      <w:pPr>
        <w:pStyle w:val="TextoNormal"/>
      </w:pPr>
    </w:p>
    <w:p w:rsidR="00AC56D6" w:rsidRDefault="00AC56D6" w:rsidP="00AC56D6">
      <w:pPr>
        <w:pStyle w:val="TextoNormal"/>
      </w:pPr>
      <w:r>
        <w:t>Por el contrario, el apartado 3 del art. 62 remite la regulación de estas últimas —las comisiones— a los estatutos de cada universidad, sin otras exigencias legales que las de que “garantizarán, en todo caso, la necesaria aptitud científica y docente de sus componentes”; que “dicha composición deberá ajustarse a los principios de imparcialidad y profesionalidad de sus miembros, procurando una composición equilibrada entre hombres y mujeres, salvo que no sea posible por razones fundadas y objetivas debidamente motivadas” y que, “en cualquier caso, los miembros de las comisiones deberán reunir los requisitos indicados en el art. 57.2 y sus currículos deberán hacerse públicos”, exigencias que consideran insuficientes.</w:t>
      </w:r>
    </w:p>
    <w:p w:rsidR="00AC56D6" w:rsidRDefault="00AC56D6" w:rsidP="00AC56D6">
      <w:pPr>
        <w:pStyle w:val="TextoNormal"/>
      </w:pPr>
    </w:p>
    <w:p w:rsidR="00AC56D6" w:rsidRDefault="00AC56D6" w:rsidP="00AC56D6">
      <w:pPr>
        <w:pStyle w:val="TextoNormal"/>
      </w:pPr>
      <w:r>
        <w:t xml:space="preserve">Por otro lado, aunque se determina que los miembros de las comisiones han de ser “profesores de reconocido prestigio docente e investigador contrastado” dentro de cada cuerpo docente o en su caso “expertos de reconocido prestigio internacional o pertenecientes a centros públicos de investigación”, ninguna referencia se hace en la norma al “área de conocimiento, campo del saber u otro que permita acotar el ámbito de la aptitud científica y docente </w:t>
      </w:r>
      <w:r>
        <w:lastRenderedPageBreak/>
        <w:t>relevantes”, siendo aquellos términos “ampliamente indeterminados y susceptibles de comprensión y aplicación sensiblemente heterogéneos”.</w:t>
      </w:r>
    </w:p>
    <w:p w:rsidR="00AC56D6" w:rsidRDefault="00AC56D6" w:rsidP="00AC56D6">
      <w:pPr>
        <w:pStyle w:val="TextoNormal"/>
      </w:pPr>
    </w:p>
    <w:p w:rsidR="00AC56D6" w:rsidRDefault="00AC56D6" w:rsidP="00AC56D6">
      <w:pPr>
        <w:pStyle w:val="TextoNormal"/>
      </w:pPr>
      <w:r>
        <w:t>Se reprocha idéntica remisión a los estatutos de cada universidad para la regulación del procedimiento que ha de regir los concursos, limitándose a indicar, “con no menor indeterminación genérica”, que en ellos se deberá valorar el “historial académico, docente e investigador del candidato o candidata, su proyecto docente e investigador, así como contrastar sus capacidades para la exposición y debate de la correspondiente materia o especialidad en sesión pública”.</w:t>
      </w:r>
    </w:p>
    <w:p w:rsidR="00AC56D6" w:rsidRDefault="00AC56D6" w:rsidP="00AC56D6">
      <w:pPr>
        <w:pStyle w:val="TextoNormal"/>
      </w:pPr>
    </w:p>
    <w:p w:rsidR="00AC56D6" w:rsidRDefault="00AC56D6" w:rsidP="00AC56D6">
      <w:pPr>
        <w:pStyle w:val="TextoNormal"/>
      </w:pPr>
      <w:r>
        <w:t xml:space="preserve">En definitiva, la doble remisión efectuada (composición de las comisiones y procedimientos) conlleva un desconocimiento de la reserva de ley del art. 103.3 CE, que afecta a varios derechos fundamentales, como la igualdad en el acceso a la función pública (art. 23.2 CE), que ya por ello exige una regulación por ley orgánica </w:t>
      </w:r>
      <w:r w:rsidRPr="00AC56D6">
        <w:rPr>
          <w:i/>
        </w:rPr>
        <w:t>ex</w:t>
      </w:r>
      <w:r>
        <w:t xml:space="preserve"> art. 81.1 CE; la libertad de cátedra [art. 20.1 c) CE]; la libertad de enseñanza (art. 27.1 CE) “y los derechos que se derivan del apartado 7 del mismo art. 27”. En este contexto, el reglamento sólo tiene cabida con un carácter ejecutivo y de complemento de la regulación legal, “incluso orgánica”, que se dicte. Sin embargo, prosiguen diciendo, los apartados 3 y 4 de la norma impugnada permiten “que los diversos estatutos universitarios fijen distintos tipos de concursos (por ejemplo, con tres o más ejercicios orales, de variado contenido, o con ninguno, limitando eventualmente la apreciación y contraste de las capacidades de los candidatos para la exposición y debate en la correspondiente materia o especialidad en sesión pública, que es lo único que ha llegado a exigir la Ley a este respecto, a una sesión pública de entrevista o de interrogatorio dialogado sin tema prefijado que no requiera preparación específica alguna), que podrán ser además juzgados por comisiones que podrán asimismo componerse de la manera más heterogénea y ni siquiera específicamente en todos los casos en razón de una determinada especialización científica en áreas de conocimiento reconocidas”.</w:t>
      </w:r>
    </w:p>
    <w:p w:rsidR="00AC56D6" w:rsidRDefault="00AC56D6" w:rsidP="00AC56D6">
      <w:pPr>
        <w:pStyle w:val="TextoNormal"/>
      </w:pPr>
    </w:p>
    <w:p w:rsidR="00AC56D6" w:rsidRDefault="00AC56D6" w:rsidP="00AC56D6">
      <w:pPr>
        <w:pStyle w:val="TextoNormal"/>
      </w:pPr>
      <w:r>
        <w:t xml:space="preserve">Apelando a la competencia del Estado para fijar las bases del régimen estatutario de todos sus funcionarios, se alega que la Ley 7/2007, de 12 de abril, del estatuto básico del empleado público, prevé en su art. 61.6 que “los sistemas selectivos de funcionarios de carrera serán los de oposición y concurso-oposición que deberán incluir, en todo caso, una o varias pruebas para determinar la capacidad de los aspirantes y establecer el orden de prelación … sólo en virtud de ley podrá aplicarse, con carácter excepcional el sistema de concurso que consistirá únicamente en la valoración de méritos”. Norma que es aplicable al personal funcionario docente, </w:t>
      </w:r>
      <w:r w:rsidRPr="00AC56D6">
        <w:rPr>
          <w:i/>
        </w:rPr>
        <w:t>ex</w:t>
      </w:r>
      <w:r>
        <w:t xml:space="preserve"> art. 2.1 guion quinto de la Ley, aunque también se rija, art. 2.3, por la legislación específica del Estado y las Comunidades Autónomas en el ámbito de sus respectivas competencias; sin declarar inaplicable para dicho personal lo dispuesto en aquel art. 61. Por tanto la celebración de concurso de méritos es de carácter excepcional y para llevarse a cabo debe existir una justificación suficiente, la cual no hallan los recurrentes en este caso, preguntándose acaso si tendrá que entenderse entonces que tales concursos han de incluir elementos de una oposición, ya que la valoración de los méritos de los aspirantes no puede determinar por sí mismo el resultado del proceso selectivo. La propia expresión empleada por el art. 62 LOU/2007, “concurso”, resulta equívoca. La misma proviene, precisan, de la LORU de 1983, bien que ahora su determinación “es entregada por entero … a los diversos estatutos de las universidades públicas”.</w:t>
      </w:r>
    </w:p>
    <w:p w:rsidR="00AC56D6" w:rsidRDefault="00AC56D6" w:rsidP="00AC56D6">
      <w:pPr>
        <w:pStyle w:val="TextoNormal"/>
      </w:pPr>
    </w:p>
    <w:p w:rsidR="00AC56D6" w:rsidRDefault="00AC56D6" w:rsidP="00AC56D6">
      <w:pPr>
        <w:pStyle w:val="TextoNormal"/>
      </w:pPr>
      <w:r>
        <w:lastRenderedPageBreak/>
        <w:t>Luego de hacer una referencia a la STC 25/1983, de 7 de abril, en relación a los criterios uniformes de acceso al entonces cuerpo nacional de funcionarios de Administración local, la demanda formula una crítica a la mención incluida en el citado art. 62 LOU/2007, a que deberá procurarse la composición equilibrada de las comisiones entre mujeres y hombres. Si se entiende esta expresión como una exigencia de paridad, “puede ser claramente atentatoria al principio de igualdad del art. 14 de la Constitución y más en concreto al de igualdad en el acceso a funciones públicas del ya citado art. 23.2 y su ulterior concreción, a efectos precisamente del estatuto funcionarial, por el art. 103.3 con los principios de mérito y capacidad. También por esta razón, tiene traza el art. 62.3 de la LOU, en su nueva redacción, de incurrir en inconstitucionalidad”.</w:t>
      </w:r>
    </w:p>
    <w:p w:rsidR="00AC56D6" w:rsidRDefault="00AC56D6" w:rsidP="00AC56D6">
      <w:pPr>
        <w:pStyle w:val="TextoNormal"/>
      </w:pPr>
    </w:p>
    <w:p w:rsidR="00AC56D6" w:rsidRDefault="00AC56D6" w:rsidP="00AC56D6">
      <w:pPr>
        <w:pStyle w:val="TextoNormal"/>
      </w:pPr>
      <w:r>
        <w:t>Termina este apartado del recurso, solicitando se declaren inconstitucionales y nulos los apartados 3 y 4 del citado art. 62 LOU, en la redacción dada por el apartado 64 del artículo único de la Ley Orgánica 4/2007.</w:t>
      </w:r>
    </w:p>
    <w:p w:rsidR="00AC56D6" w:rsidRDefault="00AC56D6" w:rsidP="00AC56D6">
      <w:pPr>
        <w:pStyle w:val="TextoNormal"/>
      </w:pPr>
    </w:p>
    <w:p w:rsidR="00AC56D6" w:rsidRDefault="00AC56D6" w:rsidP="00AC56D6">
      <w:pPr>
        <w:pStyle w:val="TextoNormal"/>
      </w:pPr>
      <w:r>
        <w:t>Respecto del art. 56.2 LOU según la Ley Orgánica 4/2007, finalmente, “en cuanto reduce el régimen del profesorado universitario funcionario establecido por la ley estatal a sólo sus bases, remitiendo en general lo relativo a su desarrollo a la potestad normativa de las Comunidades Autónomas, [lo que] no es compatible con la igualdad exigible constitucionalmente dentro de una misma condición funcionarial y contradice, por lo mismo, la interpretación del Tribunal Constitucional sobre la competencia completa del Estado —bases y desarrollo— sobre unos funcionarios de Cuerpos de ámbito nacional, que no son de las Comunidades Autónomas ni sólo de sus respectivas Universidades”.</w:t>
      </w:r>
    </w:p>
    <w:p w:rsidR="00AC56D6" w:rsidRDefault="00AC56D6" w:rsidP="00AC56D6">
      <w:pPr>
        <w:pStyle w:val="TextoNormal"/>
      </w:pPr>
    </w:p>
    <w:p w:rsidR="00AC56D6" w:rsidRDefault="00AC56D6" w:rsidP="00AC56D6">
      <w:pPr>
        <w:pStyle w:val="TextoNormal"/>
      </w:pPr>
      <w:r>
        <w:t>Se consideran aplicables aquí las argumentaciones ofrecidas en el motivo de impugnación anterior, dado que el art. 56.2 remite a la potestad normativa de las Comunidades Autónomas el desarrollo de las bases del régimen del profesorado universitario. Se considera que esto resulta contrario al derecho a la igualdad de los arts. 14 y 103.3 CE, “amén del art. 23.2 en lo que afecte al acceso, en toda la amplitud con que esto es entendido por el Tribunal Constitucional (que lo extiende ‘también al desarrollo o promoción de la propia carrera administrativa’, como puede verse en SSTC 192/1991, 200/1991 y 212/1993, entre otras)”, pues siendo funcionarios a los que la ley en principio determina un mismo estatuto y régimen, incluso una misma denominación, se dispone “que esa igualdad se limita a lo básico, porque para ‘el desarrollo’ las Comunidades Autónomas podrán hacer uso de su potestad normativa, obviamente, para establecer las diferenciaciones que les parezcan oportunas”. Se recuerda que no son funcionarios de dichas Comunidades, de modo que “[m]ientras los Cuerpos docentes universitarios sigan siendo lo que, también tras la nueva regulación legal por la Ley Orgánica 4/2007, siguen siendo, conservando su carácter nacional o estatal, no tiene encaje constitucional esa potestad normativa autonómica”. En consecuencia, se pide que este Tribunal declare también inconstitucional y nulo este art. 56.2.</w:t>
      </w:r>
    </w:p>
    <w:p w:rsidR="00AC56D6" w:rsidRDefault="00AC56D6" w:rsidP="00AC56D6">
      <w:pPr>
        <w:pStyle w:val="TextoNormal"/>
      </w:pPr>
    </w:p>
    <w:p w:rsidR="00AC56D6" w:rsidRDefault="00AC56D6" w:rsidP="00AC56D6">
      <w:pPr>
        <w:pStyle w:val="TextoNormal"/>
      </w:pPr>
      <w:r w:rsidRPr="00AC56D6">
        <w:rPr>
          <w:rStyle w:val="NumeroAFNegritaCaracter"/>
        </w:rPr>
        <w:t>2</w:t>
      </w:r>
      <w:r>
        <w:t>. Mediante providencia de 24 de julio de 2007 el Pleno de este Tribunal, a propuesta de la Sección Cuarta, acordó los siguientes extremos: primero, admitir el presente recurso de inconstitucionalidad; segundo, dar traslado de la demanda y documentos presentados al Congreso de los Diputados y al Senado, por conducto de sus Presidentes, y al Gobierno, a través de Ministro de Justicia, al objeto de que, en el plazo de quince días, pudieran personarse en el proceso y formular las alegaciones que estimaran pertinentes; tercero, publicar la incoación del recurso en el “Boletín Oficial del Estado”.</w:t>
      </w:r>
    </w:p>
    <w:p w:rsidR="00AC56D6" w:rsidRDefault="00AC56D6" w:rsidP="00AC56D6">
      <w:pPr>
        <w:pStyle w:val="TextoNormal"/>
      </w:pPr>
    </w:p>
    <w:p w:rsidR="00AC56D6" w:rsidRDefault="00AC56D6" w:rsidP="00AC56D6">
      <w:pPr>
        <w:pStyle w:val="TextoNormal"/>
      </w:pPr>
      <w:r>
        <w:t>La providencia fue publicada en el “Boletín Oficial del Estado” núm. 187, de 6 de agosto de 2007.</w:t>
      </w:r>
    </w:p>
    <w:p w:rsidR="00AC56D6" w:rsidRDefault="00AC56D6" w:rsidP="00AC56D6">
      <w:pPr>
        <w:pStyle w:val="TextoNormal"/>
      </w:pPr>
    </w:p>
    <w:p w:rsidR="00AC56D6" w:rsidRDefault="00AC56D6" w:rsidP="00AC56D6">
      <w:pPr>
        <w:pStyle w:val="TextoNormal"/>
      </w:pPr>
      <w:r w:rsidRPr="00AC56D6">
        <w:rPr>
          <w:rStyle w:val="NumeroAFNegritaCaracter"/>
        </w:rPr>
        <w:t>3</w:t>
      </w:r>
      <w:r>
        <w:t>. El 30 de julio de 2007 se recibió en el Registro General de este Tribunal Constitucional, escrito del Abogado del Estado, en la representación que legalmente ostenta, por el que se personaba en nombre del Gobierno en el presente recurso y se solicitaba prórroga legal del pazo para presentar alegaciones por ocho días más.</w:t>
      </w:r>
    </w:p>
    <w:p w:rsidR="00AC56D6" w:rsidRDefault="00AC56D6" w:rsidP="00AC56D6">
      <w:pPr>
        <w:pStyle w:val="TextoNormal"/>
      </w:pPr>
    </w:p>
    <w:p w:rsidR="00AC56D6" w:rsidRDefault="00AC56D6" w:rsidP="00AC56D6">
      <w:pPr>
        <w:pStyle w:val="TextoNormal"/>
      </w:pPr>
      <w:r>
        <w:t>La prórroga fue concedida mediante providencia del Pleno del Tribunal, de 31 de julio de 2007, por la que se acordó además incorporar a las actuaciones el escrito del Abogado del Estado y tenerlo por personado en la representación que legalmente ostenta.</w:t>
      </w:r>
    </w:p>
    <w:p w:rsidR="00AC56D6" w:rsidRDefault="00AC56D6" w:rsidP="00AC56D6">
      <w:pPr>
        <w:pStyle w:val="TextoNormal"/>
      </w:pPr>
    </w:p>
    <w:p w:rsidR="00AC56D6" w:rsidRDefault="00AC56D6" w:rsidP="00AC56D6">
      <w:pPr>
        <w:pStyle w:val="TextoNormal"/>
      </w:pPr>
      <w:r w:rsidRPr="00AC56D6">
        <w:rPr>
          <w:rStyle w:val="NumeroAFNegritaCaracter"/>
        </w:rPr>
        <w:t>4</w:t>
      </w:r>
      <w:r>
        <w:t>. El 5 de septiembre de 2007 tuvo entrada en el Registro General de este Tribunal, escrito firmado por el Presidente del Senado, en el que se daba traslado del acuerdo adoptado por la Mesa de la Cámara el día 4 de septiembre de 2007 decidiendo la personación del Senado y dar por ofrecida su colaboración al Tribunal, a los efectos del art. 88.1 de la Ley Orgánica del Tribunal Constitucional (LOTC).</w:t>
      </w:r>
    </w:p>
    <w:p w:rsidR="00AC56D6" w:rsidRDefault="00AC56D6" w:rsidP="00AC56D6">
      <w:pPr>
        <w:pStyle w:val="TextoNormal"/>
      </w:pPr>
    </w:p>
    <w:p w:rsidR="00AC56D6" w:rsidRDefault="00AC56D6" w:rsidP="00AC56D6">
      <w:pPr>
        <w:pStyle w:val="TextoNormal"/>
      </w:pPr>
      <w:r>
        <w:t>Por su parte, el Presidente del Congreso de los Diputados remitió escrito, con fecha de registro en este Tribunal de 13 de septiembre de 2007, en el que igualmente se daba cuenta del acuerdo de la Mesa de la Cámara, de 4 de septiembre de 2007, disponiendo la personación de la misma y dar por ofrecida su colaboración al Tribunal,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5</w:t>
      </w:r>
      <w:r>
        <w:t>. Con fecha 1 de octubre de 2007 se registró en este Tribunal escrito del Abogado del Estado, en el que se contienen las alegaciones que a continuación se relacionan, por el que interesa se dicte sentencia que declare la “plena constitucionalidad” de los preceptos impugnados. Sin oponer óbices procesales ni formular consideraciones generales introductorias al fondo, el escrito pasa a referirse a los concretos motivos de impugnación, en el mismo orden que aparecen en la demanda del recurso:</w:t>
      </w:r>
    </w:p>
    <w:p w:rsidR="00AC56D6" w:rsidRDefault="00AC56D6" w:rsidP="00AC56D6">
      <w:pPr>
        <w:pStyle w:val="TextoNormal"/>
      </w:pPr>
    </w:p>
    <w:p w:rsidR="00AC56D6" w:rsidRDefault="00AC56D6" w:rsidP="00AC56D6">
      <w:pPr>
        <w:pStyle w:val="TextoNormal"/>
      </w:pPr>
      <w:r>
        <w:t>a) Así, en primer lugar, en cuanto al art. 27.1 LOU según la Ley Orgánica 4/2007, se afirma que la tesis de los recurrentes resulta contraria en realidad a la doctrina resultante de la STC 77/1985, en concreto de sus fundamentos jurídicos 20 y 22, pues el Tribunal sí admite el establecimiento por ley de limitaciones a la libertad de creación y dirección de centros docentes (art. 27.6 CE), siempre que respeten el contenido esencial del derecho, como en tal caso sucedía con las que imponía el proyecto de ley de la LODE (recurso previo de inconstitucionalidad) para la designación del director de un centro privado.</w:t>
      </w:r>
    </w:p>
    <w:p w:rsidR="00AC56D6" w:rsidRDefault="00AC56D6" w:rsidP="00AC56D6">
      <w:pPr>
        <w:pStyle w:val="TextoNormal"/>
      </w:pPr>
    </w:p>
    <w:p w:rsidR="00AC56D6" w:rsidRDefault="00AC56D6" w:rsidP="00AC56D6">
      <w:pPr>
        <w:pStyle w:val="TextoNormal"/>
      </w:pPr>
      <w:r>
        <w:t xml:space="preserve">En relación, a su vez, con la autonomía universitaria, el escrito de alegaciones hace cita y reproduce los fundamentos jurídicos 2 y 3 de la STC 75/1997, de 21 de abril, entendiendo que el art. 27.1 que se impugna, indica unos límites en la organización y funcionamiento de las universidades privadas que no afectan al contenido esencial de la libertad de creación de centros docentes. No lo hace en primer lugar, en cuanto a la exigencia de que se alcance una participación adecuada de los distintos sectores de la comunidad universitaria, pues no se concreta en qué grado ha de ser ésta, sino que se deja a la libertad de cada universidad, por </w:t>
      </w:r>
      <w:r>
        <w:lastRenderedPageBreak/>
        <w:t>lo que: “dentro de tales límites mínimos, conserva el titular del centro la libertad de dirección en cuanto propuesta de los estatutos y designación de los órganos de gestión administrativa y docente”, resultando justificado que se demande la presencia de los diferentes sectores. Que el art. 27.7 CE se refiera expresamente a la participación de profesores, padres y alumnos en el control y gestión de los centros sostenidos con fondos públicos, no significa que la Constitución prohíba extenderlo a los centros privados.</w:t>
      </w:r>
    </w:p>
    <w:p w:rsidR="00AC56D6" w:rsidRDefault="00AC56D6" w:rsidP="00AC56D6">
      <w:pPr>
        <w:pStyle w:val="TextoNormal"/>
      </w:pPr>
    </w:p>
    <w:p w:rsidR="00AC56D6" w:rsidRDefault="00AC56D6" w:rsidP="00AC56D6">
      <w:pPr>
        <w:pStyle w:val="TextoNormal"/>
      </w:pPr>
      <w:r>
        <w:t>No se vulnera tampoco la libertad de creación de centros docentes, al prever la presencia equilibrada entre mujeres y hombres, tal como ya se tuvo ocasión de defender en la cuestión de inconstitucionalidad núm. 4069-2007, planteada en relación con varios preceptos de la Ley Orgánica 3/2007, de 22 de marzo, para la igualdad efectiva entre hombres y mujeres. Entonces se hizo invocación a instrumentos internacionales y comunitarios que instan a la adopción de medidas que garanticen dicha igualdad efectiva, lo que constituye una exigencia directa del art. 9.2 CE en relación con su art. 14 CE. En este caso y en esa misma línea, se trata de que las normas de autogobierno de las universidades privadas contemplen un “equilibrio mínimo entre mujeres y hombres en los órganos de gobierno y representación … que no especifica el legislador y que queda dentro de la autonomía de cada universidad”.</w:t>
      </w:r>
    </w:p>
    <w:p w:rsidR="00AC56D6" w:rsidRDefault="00AC56D6" w:rsidP="00AC56D6">
      <w:pPr>
        <w:pStyle w:val="TextoNormal"/>
      </w:pPr>
    </w:p>
    <w:p w:rsidR="00AC56D6" w:rsidRDefault="00AC56D6" w:rsidP="00AC56D6">
      <w:pPr>
        <w:pStyle w:val="TextoNormal"/>
      </w:pPr>
      <w:r>
        <w:t>Asimismo, no cabe cuestionar que se garantice una representación mayoritaria de personal docente o investigador en los órganos que adoptan decisiones de naturaleza estrictamente académica, teniendo en cuenta, como explica el preámbulo de la Ley Orgánica 4/2007 y afirma la STC 75/1997, que la autonomía universitaria es “la dimensión institucional de la libertad académica para garantizar y completar su dimensión personal, constituida por la libertad de cátedra”, correspondiendo al legislador delimitar y desarrollar dicha autonomía y con la evidencia de que “el personal docente e investigador es el titular directo de la libertad de cátedra”. Ello no afecta al contenido esencial del art. 27.6 CE, porque el titular del centro conserva la facultad de proponer los estatutos y elegir a los miembros de los órganos directivos y docentes.</w:t>
      </w:r>
    </w:p>
    <w:p w:rsidR="00AC56D6" w:rsidRDefault="00AC56D6" w:rsidP="00AC56D6">
      <w:pPr>
        <w:pStyle w:val="TextoNormal"/>
      </w:pPr>
    </w:p>
    <w:p w:rsidR="00AC56D6" w:rsidRDefault="00AC56D6" w:rsidP="00AC56D6">
      <w:pPr>
        <w:pStyle w:val="TextoNormal"/>
      </w:pPr>
      <w:r>
        <w:t>Por último, que el personal docente e investigador “sea oído” en el nombramiento del Rector, nada impone en cuanto a la decisión final que se tome al respecto, sólo se contempla la audiencia previa.</w:t>
      </w:r>
    </w:p>
    <w:p w:rsidR="00AC56D6" w:rsidRDefault="00AC56D6" w:rsidP="00AC56D6">
      <w:pPr>
        <w:pStyle w:val="TextoNormal"/>
      </w:pPr>
    </w:p>
    <w:p w:rsidR="00AC56D6" w:rsidRDefault="00AC56D6" w:rsidP="00AC56D6">
      <w:pPr>
        <w:pStyle w:val="TextoNormal"/>
      </w:pPr>
      <w:r>
        <w:t xml:space="preserve">b) Se opone también el escrito de alegaciones del Abogado del Estado a la impugnación del art. 27 </w:t>
      </w:r>
      <w:r w:rsidRPr="00AC56D6">
        <w:rPr>
          <w:i/>
        </w:rPr>
        <w:t>bis</w:t>
      </w:r>
      <w:r>
        <w:t xml:space="preserve">.1 a) LOU según la Ley Orgánica 4/2007. Luego de reprochar a los recurrentes el no buscar una interpretación conforme con la Constitución de dicho precepto, se pone de relieve que las funciones atribuidas a la Conferencia general de política universitaria deberán ajustarse siempre al marco legal y reglamentario vigente, incluyendo el principio de jerarquía (arts. 9.3, 103.1, 106.1 CE, art. 51 de la Ley 30/1992), de modo que cualquier acto contrario al ordenamiento emanado de dicho órgano sería inválido por aplicación de los principios generales; en todo caso “el ejercicio excesivo de una potestad no afecta a la constitucionalidad de la norma atributiva de la competencia, sino al acto excesivo”. Por otro lado, ante la calificación dada a la Conferencia general por el art. 27 </w:t>
      </w:r>
      <w:r w:rsidRPr="00AC56D6">
        <w:rPr>
          <w:i/>
        </w:rPr>
        <w:t>bis</w:t>
      </w:r>
      <w:r>
        <w:t xml:space="preserve">, 1, como “órgano de concertación, coordinación y cooperación”, el escrito de alegaciones recuerda que este Tribunal tiene indicado que cualquiera de esas técnicas colaborativas presupone la competencia de las Comunidades Autónomas, las cuales el Estado a su vez debe respetar (STC </w:t>
      </w:r>
      <w:r>
        <w:lastRenderedPageBreak/>
        <w:t>194/2004, de 10 de noviembre, FFJJ 8 y 9), sin que resulte necesario hacer expresa salvaguarda de las competencias ajenas (en el caso de las Comunidades Autónomas, se citan las SSTC 95/1984, de 18 de octubre, FJ 2; y 191/1994, de 23 de junio, FJ 2).</w:t>
      </w:r>
    </w:p>
    <w:p w:rsidR="00AC56D6" w:rsidRDefault="00AC56D6" w:rsidP="00AC56D6">
      <w:pPr>
        <w:pStyle w:val="TextoNormal"/>
      </w:pPr>
    </w:p>
    <w:p w:rsidR="00AC56D6" w:rsidRDefault="00AC56D6" w:rsidP="00AC56D6">
      <w:pPr>
        <w:pStyle w:val="TextoNormal"/>
      </w:pPr>
      <w:r>
        <w:t>Respecto de las competencias de la Conferencia general en el espacio europeo de educación superior, considera el Abogado del Estado que resulta “evidente que la CGPU no puede articular las líneas generales de la política universitaria en el espacio europeo”, manteniendo en esto también su condición de órgano de concertación, coordinación y cooperación entre el Estado y las Comunidades Autónomas, estableciendo un debate y colaboración entre las Administraciones competentes para llegar a acuerdos sobre el modo de articular aquellas líneas generales, cada una de las cuales desarrollará en su caso los acuerdos adoptados.</w:t>
      </w:r>
    </w:p>
    <w:p w:rsidR="00AC56D6" w:rsidRDefault="00AC56D6" w:rsidP="00AC56D6">
      <w:pPr>
        <w:pStyle w:val="TextoNormal"/>
      </w:pPr>
    </w:p>
    <w:p w:rsidR="00AC56D6" w:rsidRDefault="00AC56D6" w:rsidP="00AC56D6">
      <w:pPr>
        <w:pStyle w:val="TextoNormal"/>
      </w:pPr>
      <w:r>
        <w:t>c) A continuación se refiere el escrito de alegaciones a los arts. 34, 35 y 37 LOU según la Ley Orgánica 4/2007. Ante todo y como observación de conjunto, se sostiene que los preceptos impugnados ofrecen una regulación “sustancialmente idéntica a la que se recogió en la redacción inicial de la LOU” en 2001, en sus arts. 34 a 38, y “en la Ley Orgánica 11/1983, de 25 de agosto, de Reforma Universitaria (LORU)”, en sus arts. 28 a 31. Así, se razona que “[a]l menos desde la LORU ha sido el Gobierno quien ha especificado los títulos oficiales y las directrices o condiciones generales de tales titulaciones (arts. 28 LORU, 34 y 35 LOU 2001, y 35 LOU), y las universidades quienes han elaborado sus planes de estudio debiendo ajustarse a aquellas directrices (arts. 29 LORU, 35 LOU 2001, y 35 LOU). Verificado por el Consejo de Universidades o por el Consejo de Coordinación Universitaria (en la redacción inicial de la LOU) la conformidad de los planes de estudio con las directrices generales, el Gobierno homologa los títulos que se inscriben en el registro correspondiente de titulaciones oficiales (arts. 28 y 29 LORU, 35 LOU 2011, y 35 LOU). A partir de ahí, las sucesivas leyes universitarias se han limitado a señalar que las enseñanzas oficiales se estructuran en tres ciclos, que han recibido diversos nombres (arts. 30 LORU, 37 LOU 2001, y 37 LOU); el procedimiento para homologar los títulos extranjeros (arts. 36 LOU 2001 y 36 LOU): y unas mínimas especificaciones sobre el doctorado (arts. 33 LORU, 38 LOU 2001 y 38 LOU)”.</w:t>
      </w:r>
    </w:p>
    <w:p w:rsidR="00AC56D6" w:rsidRDefault="00AC56D6" w:rsidP="00AC56D6">
      <w:pPr>
        <w:pStyle w:val="TextoNormal"/>
      </w:pPr>
    </w:p>
    <w:p w:rsidR="00AC56D6" w:rsidRDefault="00AC56D6" w:rsidP="00AC56D6">
      <w:pPr>
        <w:pStyle w:val="TextoNormal"/>
      </w:pPr>
      <w:r>
        <w:t>No es cierto por tanto, dice el Abogado del Estado, que la Ley Orgánica 4/2007 haya alterado sustancialmente el modelo. Ni siquiera en la LOU 2001 existía una relación de títulos oficiales, cuyo establecimiento correspondía, “como ahora, al Gobierno, previo informe del Consejo de Coordinación Universitaria (art. 34.1 LOU 2001). El antiguo art. 37 es muy similar al impugnado: aquél únicamente relacionaba las distintas denominaciones que recibían quienes superaban cada uno de los tres niveles en que se dividía la formación universitaria, dependiendo de la escuela de procedencia. El art. 37 LOU prevé la existencia de los mismos tres niveles y, se limita a simplificar sus denominaciones, distinguiendo exclusivamente entre grado, máster y doctor[ado], de acuerdo con la armonización que se pretende conseguir desde la Unión Europea, como señala la exposición de motivos de la Ley Orgánica 4/2007”.</w:t>
      </w:r>
    </w:p>
    <w:p w:rsidR="00AC56D6" w:rsidRDefault="00AC56D6" w:rsidP="00AC56D6">
      <w:pPr>
        <w:pStyle w:val="TextoNormal"/>
      </w:pPr>
    </w:p>
    <w:p w:rsidR="00AC56D6" w:rsidRDefault="00AC56D6" w:rsidP="00AC56D6">
      <w:pPr>
        <w:pStyle w:val="TextoNormal"/>
      </w:pPr>
      <w:r>
        <w:t>Entra a continuación el Abogado del Estado a analizar las distintas vulneraciones constitucionales que achaca el recurso a aquellos preceptos, dividiendo su exposición en cuatro apartados:</w:t>
      </w:r>
    </w:p>
    <w:p w:rsidR="00AC56D6" w:rsidRDefault="00AC56D6" w:rsidP="00AC56D6">
      <w:pPr>
        <w:pStyle w:val="TextoNormal"/>
      </w:pPr>
    </w:p>
    <w:p w:rsidR="00AC56D6" w:rsidRDefault="00AC56D6" w:rsidP="00AC56D6">
      <w:pPr>
        <w:pStyle w:val="TextoNormal"/>
      </w:pPr>
      <w:r>
        <w:lastRenderedPageBreak/>
        <w:t>(i) En primer lugar, acerca de la supuesta vulneración de la reserva de ley orgánica [arts. 81.1 y 53.1 CE, en relación con sus arts. 27 y 20.1 c)], considera que han de tomarse en cuenta, por un lado, las SSTC 51/1981, de 13 de febrero, 127/1984, de 5 de mayo, FJ 3; 11/1981, de 8 de abril, FJ 8; 5/1991, FJ 21 A); 173/1998, de 23 de julio, FJ 7, y 133/2006, de 27 de abril, FJ 2, que determinan el alcance de la citada reserva así como el significado estricto del término “desarrollo”; y de otro lado, que la autonomía universitaria comporta la dimensión institucional de la libertad académica, la cual forma parte de su contenido esencial también en cuanto a su autoorganización a través de los estatutos (STC 156/1994) y los planes de estudio e investigación (STC 187/1991).</w:t>
      </w:r>
    </w:p>
    <w:p w:rsidR="00AC56D6" w:rsidRDefault="00AC56D6" w:rsidP="00AC56D6">
      <w:pPr>
        <w:pStyle w:val="TextoNormal"/>
      </w:pPr>
    </w:p>
    <w:p w:rsidR="00AC56D6" w:rsidRDefault="00AC56D6" w:rsidP="00AC56D6">
      <w:pPr>
        <w:pStyle w:val="TextoNormal"/>
      </w:pPr>
      <w:r>
        <w:t xml:space="preserve">De todo ello se extrae que los preceptos son constitucionales desde esta primera perspectiva, porque la determinación de los concretos títulos oficiales y sus directrices generales, no constituye, “de ningún modo, materia incluida en la reserva de ley orgánica”, sino que “por su carácter técnico y mudable, se adentra en el territorio típico del reglamento”, mientras que los contenidos de las titulaciones “dependen de factores como la demanda social o la rápida evolución del conocimiento”, exigiendo un instrumento que responda con celeridad a los cambios, como lo han entendido “pacíficamente los sucesivos legisladores orgánicos”. Dentro de la autonomía universitaria se comprende la libertad de cada universidad para aprobar los planes de estudio de las disciplinas que imparten, lo que no empece a que la Constitución, con fines de mínima homogeneidad, reserve al Estado la regulación de las condiciones para la “obtención, expedición y homologación de títulos académicos y profesionales, </w:t>
      </w:r>
      <w:r w:rsidRPr="00AC56D6">
        <w:rPr>
          <w:i/>
        </w:rPr>
        <w:t>ex</w:t>
      </w:r>
      <w:r>
        <w:t xml:space="preserve"> art. 149.1.30 CE, y que la ejerza remitiendo al reglamento la especificación de cuestiones puramente técnicas”.</w:t>
      </w:r>
    </w:p>
    <w:p w:rsidR="00AC56D6" w:rsidRDefault="00AC56D6" w:rsidP="00AC56D6">
      <w:pPr>
        <w:pStyle w:val="TextoNormal"/>
      </w:pPr>
    </w:p>
    <w:p w:rsidR="00AC56D6" w:rsidRDefault="00AC56D6" w:rsidP="00AC56D6">
      <w:pPr>
        <w:pStyle w:val="TextoNormal"/>
      </w:pPr>
      <w:r>
        <w:t>(ii) Seguidamente se trata de la alegada vulneración de la reserva de ley ordinaria (art. 53.1 CE), en relación con los arts. 35 y 36 CE. Por lo que atañe al derecho al trabajo, se sostiene en el escrito de alegaciones que la parte recurrente no ha fundamentado su queja en este punto, incumpliendo con ello la carga procesal que le correspondía. Niega en todo caso, con cita de la STC 83/1984, de 24 de julio, FJ 4, que las normas cuestionadas hayan podido desconocer el contenido esencial del derecho consagrado en el art. 35 CE, pues aquéllas se limitan a regular el ejercicio de las profesiones y únicamente inciden en la formación oficial que imparten las universidades, sin afectar a la libertad de elección de cualquiera de esas profesiones.</w:t>
      </w:r>
    </w:p>
    <w:p w:rsidR="00AC56D6" w:rsidRDefault="00AC56D6" w:rsidP="00AC56D6">
      <w:pPr>
        <w:pStyle w:val="TextoNormal"/>
      </w:pPr>
    </w:p>
    <w:p w:rsidR="00AC56D6" w:rsidRDefault="00AC56D6" w:rsidP="00AC56D6">
      <w:pPr>
        <w:pStyle w:val="TextoNormal"/>
      </w:pPr>
      <w:r>
        <w:t>Por su parte, en cuanto al art. 36 CE, se recuerda con cita de la STC 122/1989, de 6 de julio, FJ 3, que este precepto reserva al legislador la decisión de establecer una profesión titulada para cuyo ejercicio se requieren estudios superiores, pero no tiene incidencia alguna en estos últimos, los cuales el legislador puede configurar a su vez como presupuesto de aquel ejercicio; así las cosas, “la determinación de los títulos oficiales y sus directrices no supone la existencia de una profesión titulada, sino que opera en un plano previo al ejercicio profesional”.</w:t>
      </w:r>
    </w:p>
    <w:p w:rsidR="00AC56D6" w:rsidRDefault="00AC56D6" w:rsidP="00AC56D6">
      <w:pPr>
        <w:pStyle w:val="TextoNormal"/>
      </w:pPr>
    </w:p>
    <w:p w:rsidR="00AC56D6" w:rsidRDefault="00AC56D6" w:rsidP="00AC56D6">
      <w:pPr>
        <w:pStyle w:val="TextoNormal"/>
      </w:pPr>
      <w:r>
        <w:t xml:space="preserve">(iii) Sobre la vulneración a la exigencia formal de la legislación básica del Estado, por mor de las habilitaciones reglamentarias que aparecen en los dispositivos impugnados, el escrito de alegaciones trae a colación la doctrina constitucional que permite excepcionalmente que puedan considerarse básicas regulaciones contenidas en normas de rango infralegal e incluso ciertos actos de ejecución, siempre que resulten “complemento necesario para garantizar la finalidad objetiva a que responde la competencia estatal sobre las bases” </w:t>
      </w:r>
      <w:r>
        <w:lastRenderedPageBreak/>
        <w:t>[STC 101/2005, de 20 de abril, FJ 5 b), también se cita la STC 131/1996, de 11 de julio, FJ 2].</w:t>
      </w:r>
    </w:p>
    <w:p w:rsidR="00AC56D6" w:rsidRDefault="00AC56D6" w:rsidP="00AC56D6">
      <w:pPr>
        <w:pStyle w:val="TextoNormal"/>
      </w:pPr>
    </w:p>
    <w:p w:rsidR="00AC56D6" w:rsidRDefault="00AC56D6" w:rsidP="00AC56D6">
      <w:pPr>
        <w:pStyle w:val="TextoNormal"/>
      </w:pPr>
      <w:r>
        <w:t>(iv) Finalmente, alude el Abogado del Estado al reproche de la demanda relativo a que la norma de la LOU debió realizar las mismas especificaciones que contiene la LODE de 2006 sobre los títulos académicos. Justifica esa diversa intensidad de regulación por vía de reglamento, en que la legislación sobre enseñanza escolar ha de ser más específica porque “se refiere al núcleo esencial del conocimiento, difícilmente mudable en su contenido o por la demanda social”, acaso que la enseñanza universitaria “pretende la especialización en determinados conocimientos y habilidades”, especialización que se muestra “más sensible a los factores como el rápido progreso de la investigación o la demanda social que requiere unas y otras especializaciones …, pueden hacer que surjan nuevas titulaciones o que se incluyan nuevos contenidos en las existentes, exigiendo una rápida intervención de la norma, incompatible con los trámites parlamentarios necesarios para la reforma de una ley orgánica”.</w:t>
      </w:r>
    </w:p>
    <w:p w:rsidR="00AC56D6" w:rsidRDefault="00AC56D6" w:rsidP="00AC56D6">
      <w:pPr>
        <w:pStyle w:val="TextoNormal"/>
      </w:pPr>
    </w:p>
    <w:p w:rsidR="00AC56D6" w:rsidRDefault="00AC56D6" w:rsidP="00AC56D6">
      <w:pPr>
        <w:pStyle w:val="TextoNormal"/>
      </w:pPr>
      <w:r>
        <w:t>d) El escrito de alegaciones, siguiendo en su contestación —como anticipó— el orden expositivo de la demanda, se centra ahora en la impugnación del art. 62, apartados 3 y 4 LOU según la Ley Orgánica 4/2007, antes que en la del art. 56.2. Rechaza en primer término el punto de partida de los recurrentes para cuestionar aquel primer precepto (el art. 62), el considerar que se rompe la uniformidad de acceso a los cuerpos docentes universitarios. Según entiende el Abogado del Estado, “la garantía de la existencia de cuerpos docentes universitarios de carácter nacional la encontramos en los arts. 56 a 60 LOU”, cuyo contenido resume, de modo que el art. 62 impugnado “se refiere al acceso a concretas plazas en las Universidades del personal funcionario que cuente con la habilitación necesaria. Parece lógico que, para la selección de su personal docente, se dé margen a los estatutos de la Universidad, como primera manifestación de la autonomía universitaria, vertiente institucional de la libertad de cátedra”, siempre respetando “unos principios mínimos que establece el legislador orgánico”, en concreto las finalidades que ha de garantizar la composición de las comisiones de selección y los requisitos que han de reunir sus miembros. Añade que también la LOU especifica “los méritos que se deben valorar en los concursos”, “garantizando una mínima uniformidad”, así “los estatutos deberán prever que se valore ‘en todo caso, el historial académico, docente e investigador del candidato o candidata, su proyecto docente e investigador, así como contrastar sus capacidades para la exposición y debate en la correspondiente materia o especialidad en sesión pública’.”</w:t>
      </w:r>
    </w:p>
    <w:p w:rsidR="00AC56D6" w:rsidRDefault="00AC56D6" w:rsidP="00AC56D6">
      <w:pPr>
        <w:pStyle w:val="TextoNormal"/>
      </w:pPr>
    </w:p>
    <w:p w:rsidR="00AC56D6" w:rsidRDefault="00AC56D6" w:rsidP="00AC56D6">
      <w:pPr>
        <w:pStyle w:val="TextoNormal"/>
      </w:pPr>
      <w:r>
        <w:t>Por si acaso, añade el Abogado del Estado que de aceptarse que se rompe la unidad del sistema de acceso a los cuerpos docentes universitarios, se ha de tener presente que esta nota —la de la unidad— no es el único modelo “constitucionalmente admisible”, por cuanto no existe “ningún precepto constitucional que imponga al legislador orgánico un sistema nacional de cuerpos docentes universitarios”, como da cuenta por ejemplo la STC 26/1987, de 27 de febrero, FJ 12.3 b) al decir que: “una vez establecido el sistema funcionarial de los Cuerpos docentes universitarios en el art. 33 de la LORU, expresamente admitido por la recurrente, es inherente a ese sistema la existencia de un régimen de acceso y selección en todas las Universidades”. Para el Abogado del Estado, esto significa que “partiendo de una opción normativa del legislador orgánico, el Tribunal se limita a proclamar su constitucionalidad, sin hacer valoración alguna sobre otras opciones igualmente constitucionales no cuestionadas ante ese Tribunal”.</w:t>
      </w:r>
    </w:p>
    <w:p w:rsidR="00AC56D6" w:rsidRDefault="00AC56D6" w:rsidP="00AC56D6">
      <w:pPr>
        <w:pStyle w:val="TextoNormal"/>
      </w:pPr>
    </w:p>
    <w:p w:rsidR="00AC56D6" w:rsidRDefault="00AC56D6" w:rsidP="00AC56D6">
      <w:pPr>
        <w:pStyle w:val="TextoNormal"/>
      </w:pPr>
      <w:r>
        <w:t>Prosigue oponiéndose al argumento de la demanda de confrontar la norma impugnada con ciertas disposiciones de la Ley 7/2007, de 12 de abril, del estatuto básico del empleado público precisando, ante todo, que la doctrina constitucional únicamente habla de inconstitucionalidad “mediata” para referirse a la invasión de competencias por normas autonómicas (cita las SSTC 163/1995, de 8 de noviembre, FJ 4, y 151/1992, de 19 de octubre, en ese orden), lo que no es el caso. Apuntado esto, no considera sin embargo el escrito de alegaciones que se vulnere el sistema establecido en aquella Ley: su art. 61.6 permite entre los sistemas selectivos de funcionarios de carrera, como “procedimiento normal de provisión”, el concurso, pero además “el acceso a los cuerpos docentes universitarios, es decir, al cuerpo de funcionarios de carrera se hace a través de una acreditación de carácter nacional de los arts. 57 y ss. LOU (artículos no impugnados en este recurso), con un procedimiento asimilable a un concurso-oposición … La obtención de una concreta plaza en una universidad, no es sino un sistema de provisión de puestos de trabajo entre funcionarios ya acreditados y, por tanto, en virtud del art. 79 de la Ley del estatuto básico del empleado público, el procedimiento general que ha de aplicarse es el concurso, como así se prevé en el art. 62, perfectamente compatible con aquél”. En consecuencia, prosigue razonando:</w:t>
      </w:r>
    </w:p>
    <w:p w:rsidR="00AC56D6" w:rsidRDefault="00AC56D6" w:rsidP="00AC56D6">
      <w:pPr>
        <w:pStyle w:val="TextoNormal"/>
      </w:pPr>
    </w:p>
    <w:p w:rsidR="00AC56D6" w:rsidRDefault="00AC56D6" w:rsidP="00AC56D6">
      <w:pPr>
        <w:pStyle w:val="TextoNormal"/>
      </w:pPr>
      <w:r>
        <w:t>“[E]l acceso al puesto en la concreta Universidad, sólo podría considerarse como una segunda fase de la adquisición de la condición de funcionario, con lo que el procedimiento conjunto de acceso a un cuerpo docente estaría integrado por dos fases —acreditación y acceso a un puesto—, fácilmente reconducibles a un concurso-oposición.”</w:t>
      </w:r>
    </w:p>
    <w:p w:rsidR="00AC56D6" w:rsidRDefault="00AC56D6" w:rsidP="00AC56D6">
      <w:pPr>
        <w:pStyle w:val="TextoNormal"/>
      </w:pPr>
    </w:p>
    <w:p w:rsidR="00AC56D6" w:rsidRDefault="00AC56D6" w:rsidP="00AC56D6">
      <w:pPr>
        <w:pStyle w:val="TextoNormal"/>
      </w:pPr>
      <w:r>
        <w:t>En cuanto a la posibilidad de vulneración de los arts. 14, 23.2 y 103.3 CE, en fin, en virtud de la exigencia del precepto impugnado de asegurar una composición equilibrada entre mujeres y hombres en las comisiones de selección salvo cuando no es posible por razones fundadas y objetivas, no considera el Abogado del Estado que se haya fundamentado esta queja, rechazando en todo caso que tal exigencia pueda afectar el acceso a cargos con respeto de los principios de mérito y capacidad, remitiéndose en cuanto a la lesión del art. 14 CE a lo defendido en el propio escrito a propósito del art. 27.1 LOU.</w:t>
      </w:r>
    </w:p>
    <w:p w:rsidR="00AC56D6" w:rsidRDefault="00AC56D6" w:rsidP="00AC56D6">
      <w:pPr>
        <w:pStyle w:val="TextoNormal"/>
      </w:pPr>
    </w:p>
    <w:p w:rsidR="00AC56D6" w:rsidRDefault="00AC56D6" w:rsidP="00AC56D6">
      <w:pPr>
        <w:pStyle w:val="TextoNormal"/>
      </w:pPr>
      <w:r>
        <w:t>Como último punto, el escrito de alegaciones considera no razonable la impugnación del art. 56 LOU según la Ley Orgánica 4/2007 pues “una cosa es que el Tribunal admita la constitucionalidad de un modelo en el que las bases estatales agoten en una materia todo el espacio normativo, por concurrir circunstancias de interés general, y otra cosa es que ese sea el único modelo constitucionalmente admisible. Tanto los apartados 18, como el 30, del art. 149.1 CE reservan al Estado competencias básicas, pudiendo asumir las Comunidades Autónomas competencias de desarrollo. Ésta es la realidad que reconoce, con plena constitucionalidad, el art. 56.2 LOU aquí impugnado”.</w:t>
      </w:r>
    </w:p>
    <w:p w:rsidR="00AC56D6" w:rsidRDefault="00AC56D6" w:rsidP="00AC56D6">
      <w:pPr>
        <w:pStyle w:val="TextoNormal"/>
      </w:pPr>
    </w:p>
    <w:p w:rsidR="00AC56D6" w:rsidRDefault="00AC56D6" w:rsidP="00AC56D6">
      <w:pPr>
        <w:pStyle w:val="TextoNormal"/>
      </w:pPr>
      <w:r w:rsidRPr="00AC56D6">
        <w:rPr>
          <w:rStyle w:val="NumeroAFNegritaCaracter"/>
        </w:rPr>
        <w:t>6</w:t>
      </w:r>
      <w:r>
        <w:t>. Por providencia de 21 de julio de 2015, se señaló para la deliberación y votación de la presente Sentencia el 22 del mismo mes y año.</w:t>
      </w:r>
    </w:p>
    <w:p w:rsidR="00AC56D6" w:rsidRDefault="00AC56D6" w:rsidP="00AC56D6">
      <w:pPr>
        <w:pStyle w:val="TextoNormal"/>
      </w:pPr>
    </w:p>
    <w:p w:rsidR="00AC56D6" w:rsidRDefault="00AC56D6" w:rsidP="00AC56D6">
      <w:pPr>
        <w:pStyle w:val="TextoNormalNegritaCentrado"/>
        <w:keepNext/>
      </w:pPr>
      <w:r>
        <w:lastRenderedPageBreak/>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Se interpone el presente recurso de inconstitucionalidad por setenta y un Diputados del Grupo Parlamentario Popular en el Congreso de los Diputados, contra diversos preceptos de la Ley Orgánica 6/2001, de 21 de diciembre, de universidades (en adelante, LOU), en la redacción dada a los mismos por el artículo único de la Ley Orgánica 4/2007, de 12 de abril, de modificación parcial de aquella.</w:t>
      </w:r>
    </w:p>
    <w:p w:rsidR="00AC56D6" w:rsidRDefault="00AC56D6" w:rsidP="00AC56D6">
      <w:pPr>
        <w:pStyle w:val="TextoNormal"/>
      </w:pPr>
    </w:p>
    <w:p w:rsidR="00AC56D6" w:rsidRDefault="00AC56D6" w:rsidP="00AC56D6">
      <w:pPr>
        <w:pStyle w:val="TextoNormal"/>
      </w:pPr>
      <w:r>
        <w:t xml:space="preserve">Los preceptos impugnados de la Ley Orgánica 4/2007 y el núcleo argumental de su impugnación son, en síntesis, los siguientes: a) el art. 27.1 LOU, por vulnerar el derecho a la libertad de creación de centros del art. 27.6 CE, así como el derecho a la igualdad del art. 14 CE; b) el art. 27 </w:t>
      </w:r>
      <w:r w:rsidRPr="00AC56D6">
        <w:rPr>
          <w:i/>
        </w:rPr>
        <w:t>bis</w:t>
      </w:r>
      <w:r>
        <w:t xml:space="preserve">.1 a) LOU, por no respetar las competencias del Estado en el ejercicio de su potestad legislativa (arts. 66 y 81 CE) y de gobierno (art. 97 CE), además de las que tiene conferidas de manera exclusiva por el art. 149.1.13, 15 y 30 CE, todo ello en detrimento de un órgano de coordinación universitaria que puede dar lugar, además, a una injerencia indebida de las Comunidades Autónomas; c) los arts. 34, 35 y 37 LOU, por conculcar la reserva de ley impuesta por los arts. 53.1 y 81.1 CE, en cuanto a la regulación de aspectos que conciernen a derechos fundamentales recogidos en el art. 27 CE, menoscabar el derecho al trabajo del art. 35 CE y la reserva de ley a favor del Estado atribuida </w:t>
      </w:r>
      <w:r w:rsidRPr="00AC56D6">
        <w:rPr>
          <w:i/>
        </w:rPr>
        <w:t>ex</w:t>
      </w:r>
      <w:r>
        <w:t xml:space="preserve"> art. 36 CE; y d) los arts. 56.2 y 62 apartados 3 y 4 LOU, por lesionar el derecho a la igualdad en el acceso a la función pública del art. 23.2 CE, así como desconocer los principios constitucionales del art. 103.3 CE referentes a dicho acceso.</w:t>
      </w:r>
    </w:p>
    <w:p w:rsidR="00AC56D6" w:rsidRDefault="00AC56D6" w:rsidP="00AC56D6">
      <w:pPr>
        <w:pStyle w:val="TextoNormal"/>
      </w:pPr>
    </w:p>
    <w:p w:rsidR="00AC56D6" w:rsidRDefault="00AC56D6" w:rsidP="00AC56D6">
      <w:pPr>
        <w:pStyle w:val="TextoNormal"/>
      </w:pPr>
      <w:r>
        <w:t>El Abogado del Estado, actuando en representación del Gobierno de la Nación, se ha personado en el proceso y ha formalizado escrito de alegaciones oponiéndose a la demanda presentada, defendiendo la validez de todos los preceptos impugnados.</w:t>
      </w:r>
    </w:p>
    <w:p w:rsidR="00AC56D6" w:rsidRDefault="00AC56D6" w:rsidP="00AC56D6">
      <w:pPr>
        <w:pStyle w:val="TextoNormal"/>
      </w:pPr>
    </w:p>
    <w:p w:rsidR="00AC56D6" w:rsidRDefault="00AC56D6" w:rsidP="00AC56D6">
      <w:pPr>
        <w:pStyle w:val="TextoNormal"/>
      </w:pPr>
      <w:r w:rsidRPr="00AC56D6">
        <w:rPr>
          <w:rStyle w:val="NumeroAFNegritaCaracter"/>
        </w:rPr>
        <w:t>2</w:t>
      </w:r>
      <w:r>
        <w:t>. El primero de los preceptos impugnados es el art. 27.1 LOU, en la redacción dada a éste por el art. único, apartado 26, de la Ley Orgánica 4/2007, de 12 de abril, y que es la siguiente:</w:t>
      </w:r>
    </w:p>
    <w:p w:rsidR="00AC56D6" w:rsidRDefault="00AC56D6" w:rsidP="00AC56D6">
      <w:pPr>
        <w:pStyle w:val="TextoNormal"/>
      </w:pPr>
    </w:p>
    <w:p w:rsidR="00AC56D6" w:rsidRDefault="00AC56D6" w:rsidP="00AC56D6">
      <w:pPr>
        <w:pStyle w:val="TextoNormal"/>
      </w:pPr>
      <w:r>
        <w:t>“1. Las normas de organización y funcionamiento de las universidades privadas establecerán sus órganos de gobierno y representación, así como los procedimientos para su designación y remoción, asegurando en dichos órganos, mediante una participación adecuada, la representación de los diferentes sectores de la comunidad universitaria de forma que propicie la presencia equilibrada entre mujeres y hombres. En todo caso, las normas de organización y funcionamiento de las universidades privadas deberán garantizar que las decisiones de naturaleza estrictamente académica se adopten por órganos en los que el personal docente o investigador tenga una representación mayoritaria. Igualmente, deberán garantizar que el personal docente o investigador sea oído en el nombramiento del Rector.”</w:t>
      </w:r>
    </w:p>
    <w:p w:rsidR="00AC56D6" w:rsidRDefault="00AC56D6" w:rsidP="00AC56D6">
      <w:pPr>
        <w:pStyle w:val="TextoNormal"/>
      </w:pPr>
    </w:p>
    <w:p w:rsidR="00AC56D6" w:rsidRDefault="00AC56D6" w:rsidP="00AC56D6">
      <w:pPr>
        <w:pStyle w:val="TextoNormal"/>
      </w:pPr>
      <w:r>
        <w:t xml:space="preserve">Los parlamentarios recurrentes consideran, en síntesis, que esta norma vulnera el derecho fundamental a la libertad de creación de centros docentes del art. 27.6 CE, en su manifestación o vertiente de libertad organizativa o de dirección, puesto que introduce restricciones en su funcionamiento que sólo resultan admisibles, conforme a la doctrina de este Tribunal, en relación con aquellos centros privados sostenidos con fondos públicos, por así exigirlo </w:t>
      </w:r>
      <w:r>
        <w:lastRenderedPageBreak/>
        <w:t>el art. 27.7 CE, supuesto que no resulta aplicable a este caso. Tampoco explica la intervención prevista en el precepto cuestionado el derecho a la autonomía universitaria (art. 27.10 CE), cuyo ejercicio no exige un modelo de organización gestionario o autogestionario, como vendría a ser éste. Y ya en concreto, se alega que la “imposición” de que se propicie la presencia equilibrada entre hombres y mujeres en los órganos de gobierno de las universidades privadas, puede resultar contraria al principio de mérito y capacidad y, con ello, al derecho a la igualdad del art. 14 CE.</w:t>
      </w:r>
    </w:p>
    <w:p w:rsidR="00AC56D6" w:rsidRDefault="00AC56D6" w:rsidP="00AC56D6">
      <w:pPr>
        <w:pStyle w:val="TextoNormal"/>
      </w:pPr>
    </w:p>
    <w:p w:rsidR="00AC56D6" w:rsidRDefault="00AC56D6" w:rsidP="00AC56D6">
      <w:pPr>
        <w:pStyle w:val="TextoNormal"/>
      </w:pPr>
      <w:r>
        <w:t>Por su parte, el Abogado del Estado considera que ha de desestimarse este motivo pues ninguna de las previsiones incluidas en el precepto afectan a la libertad del art. 27.6 CE, la cual en todo caso tampoco es absoluta sino que resulta susceptible de limitaciones por ley. La participación de los distintos sectores de la comunidad no se vincula a un porcentaje concreto, lo que preserva la libertad de dirección; si bien el art. 27.7 CE prevé expresamente restricciones para los centros sostenidos por fondos públicos, eso no impide al legislador extenderlas a los demás. Asimismo, la exigencia de igualdad efectiva entre hombres y mujeres deriva de los arts. 9.2 y 14 CE; una presencia mayoritaria de personal docente e investigador en los órganos de gobierno satisface la finalidad de la autonomía universitaria; y, por último, que ambos estamentos sean oídos en la elección de rector no se anuda a un efecto vinculante que pueda comprometer aquella libertad.</w:t>
      </w:r>
    </w:p>
    <w:p w:rsidR="00AC56D6" w:rsidRDefault="00AC56D6" w:rsidP="00AC56D6">
      <w:pPr>
        <w:pStyle w:val="TextoNormal"/>
      </w:pPr>
    </w:p>
    <w:p w:rsidR="00AC56D6" w:rsidRDefault="00AC56D6" w:rsidP="00AC56D6">
      <w:pPr>
        <w:pStyle w:val="TextoNormal"/>
      </w:pPr>
      <w:r>
        <w:t>Así expuesto el debate, ha de partirse de la determinación que este Tribunal ha hecho en cuanto a la naturaleza y contenido esencial del derecho a la libertad de creación de centros docentes del art. 27.6 CE, a cuyo tenor: “Se reconoce a las personas físicas y jurídicas la libertad de creación de centros docentes, dentro del respeto a los principios constitucionales”.</w:t>
      </w:r>
    </w:p>
    <w:p w:rsidR="00AC56D6" w:rsidRDefault="00AC56D6" w:rsidP="00AC56D6">
      <w:pPr>
        <w:pStyle w:val="TextoNormal"/>
      </w:pPr>
    </w:p>
    <w:p w:rsidR="00AC56D6" w:rsidRDefault="00AC56D6" w:rsidP="00AC56D6">
      <w:pPr>
        <w:pStyle w:val="TextoNormal"/>
      </w:pPr>
      <w:r>
        <w:t>En cuanto al primer aspecto (naturaleza), nuestra STC 77/1985, de 27 de junio, FJ 9 ha precisado que “el derecho del titular del Centro no tiene carácter absoluto y está sujeto a límites y a posibles limitaciones, quedando siempre a salvo, de acuerdo con el art. 53.1 de la CE, su contenido esencial”; también en el FJ 20: “[S]i bien caben, en su caso, limitaciones a tal derecho de dirección, habría de dejar a salvo el contenido esencial del mismo …. Una de estas limitaciones es la que resulta de la intervención estatal, respaldada constitucionalmente por el art. 27.9 CE, para el caso de Centros con respecto a los cuales los poderes públicos realizan una labor de ayuda, particularmente a través de la financiación total o parcial de la actividad, al disponer que ‘los poderes públicos ayudarán a los Centros docentes que reúnan los requisitos que la Ley establezca’ con lo que, a salvo, repetimos, lo arriba dicho sobre el contenido esencial del derecho en cuestión, supone la posibilidad de establecer condicionamientos y limitaciones legales del mismo respecto a dichos Centros”.</w:t>
      </w:r>
    </w:p>
    <w:p w:rsidR="00AC56D6" w:rsidRDefault="00AC56D6" w:rsidP="00AC56D6">
      <w:pPr>
        <w:pStyle w:val="TextoNormal"/>
      </w:pPr>
    </w:p>
    <w:p w:rsidR="00AC56D6" w:rsidRDefault="00AC56D6" w:rsidP="00AC56D6">
      <w:pPr>
        <w:pStyle w:val="TextoNormal"/>
      </w:pPr>
      <w:r>
        <w:t xml:space="preserve">En consecuencia, el derecho fundamental del art. 27.6 CE, que no distingue en función del nivel educativo y por tanto ampara también, como tenemos dicho, la creación de universidades tanto públicas como privadas [SSTC 223/2012, de 29 de noviembre, FFJJ 6 y 8; 131/2013, de 5 de junio, FJ 10; 141/2013, de 11 de julio, FJ 5; 159/2013, de 26 de septiembre, FJ 5, y 160/2013, de 26 de septiembre, FJ 5], no es un derecho absoluto sino que el legislador puede actuar regulando las condiciones de su ejercicio, siempre y cuando respete su contenido esencial. El propio art. 27 CE contiene dos de esas limitaciones, las de los apartados 7 (al que se refiere la demanda) y 9 (analizado en el pasaje transcrito de la STC </w:t>
      </w:r>
      <w:r>
        <w:lastRenderedPageBreak/>
        <w:t>77/1985), pero ambas no agotan, cabe insistir, las posibilidades de modulación en el funcionamiento del centro docente, público o privado. Sin olvidar además, que la libertad de creación referida ha de enmarcarse siempre, por mor del propio enunciado constitucional, “dentro del respeto a los principios constitucionales” (art. 27.6 CE).</w:t>
      </w:r>
    </w:p>
    <w:p w:rsidR="00AC56D6" w:rsidRDefault="00AC56D6" w:rsidP="00AC56D6">
      <w:pPr>
        <w:pStyle w:val="TextoNormal"/>
      </w:pPr>
    </w:p>
    <w:p w:rsidR="00AC56D6" w:rsidRDefault="00AC56D6" w:rsidP="00AC56D6">
      <w:pPr>
        <w:pStyle w:val="TextoNormal"/>
      </w:pPr>
      <w:r>
        <w:t>Debe tenerse en cuenta además, que todas las universidades sin distinción, también por tanto las de titularidad privada (art. 3.2 LOU), realizan un “servicio público de educación superior” a través de las funciones que les asigna la Ley Orgánica de universidades en su art. 1.2: la “creación, desarrollo, transmisión y crítica” de la ciencia, la técnica y la cultura, así como la preparación para el ejercicio de actividades profesionales; funciones todas que han de prestar siempre “al servicio de la sociedad”. Ello explica también que la ley de reconocimiento de las universidades privadas, exigida por el art. 4.1 LOU, venga precedida por la fijación por el Gobierno estatal de “los requisitos básicos necesarios para la creación y reconocimiento de las universidades públicas y privadas … siendo, en todo caso, necesaria para universidades públicas y privadas la preceptiva autorización que, para el comienzo de sus actividades, otorgan las Comunidades Autónomas una vez comprobado el cumplimiento de los requisitos normativamente establecidos (art. 4.4 LOU)” [STC 223/2012, de 29 de noviembre, FJ 10]. El control del Estado, sin embargo, no se agota únicamente en ese acto inicial de reconocimiento, sino que se proyecta también en su funcionamiento, como sucede con los preceptos de la LOU que ahora se enjuician.</w:t>
      </w:r>
    </w:p>
    <w:p w:rsidR="00AC56D6" w:rsidRDefault="00AC56D6" w:rsidP="00AC56D6">
      <w:pPr>
        <w:pStyle w:val="TextoNormal"/>
      </w:pPr>
    </w:p>
    <w:p w:rsidR="00AC56D6" w:rsidRDefault="00AC56D6" w:rsidP="00AC56D6">
      <w:pPr>
        <w:pStyle w:val="TextoNormal"/>
      </w:pPr>
      <w:r>
        <w:t>En segundo lugar, sobre el contenido esencial del derecho fundamental del art. 27.6 CE, señalamos en la misma STC 77/1985, FJ 20, que el mismo resulta predicable también “de los titulares de Centros docentes privados a la dirección de los mismos”; constituye expresión del “derecho a la libertad de enseñanza de los titulares de dichos Centros” (públicos o privados); y ofrece un carácter dinámico porque “el acto de creación o fundación de un Centro no se agota en sí mismo, sino que tiene evidentemente un contenido que se proyecta en el tiempo y que se traduce en una potestad de dirección del titular”.</w:t>
      </w:r>
    </w:p>
    <w:p w:rsidR="00AC56D6" w:rsidRDefault="00AC56D6" w:rsidP="00AC56D6">
      <w:pPr>
        <w:pStyle w:val="TextoNormal"/>
      </w:pPr>
    </w:p>
    <w:p w:rsidR="00AC56D6" w:rsidRDefault="00AC56D6" w:rsidP="00AC56D6">
      <w:pPr>
        <w:pStyle w:val="TextoNormal"/>
      </w:pPr>
      <w:r>
        <w:t>Dicho contenido esencial puede precisarse entonces, como sigue razonando esta Sentencia en el fundamento jurídico citado, “tanto desde el punto de vista positivo como desde una delimitación negativa. Desde la primera perspectiva, implica el derecho a garantizar el respeto al carácter propio y de asumir en última instancia la responsabilidad de la gestión, especialmente mediante el ejercicio de facultades decisorias en relación con la propuesta de Estatutos y nombramiento y cese de los órganos de dirección administrativa y pedagógica y del profesorado. Desde el punto de vista negativo, ese contenido exige la ausencia de limitaciones absolutas o insalvables, o que lo despojen de la necesaria protección. De ello se desprende que el titular no puede verse afectado por limitación alguna que, aun respetando aparentemente un suficiente contenido discrecional a sus facultades decisorias con respecto a las materias organizativas esenciales, conduzca en definitiva a una situación de imposibilidad o grave dificultad objetiva para actuar en sentido positivo ese contenido discrecional”.</w:t>
      </w:r>
    </w:p>
    <w:p w:rsidR="00AC56D6" w:rsidRDefault="00AC56D6" w:rsidP="00AC56D6">
      <w:pPr>
        <w:pStyle w:val="TextoNormal"/>
      </w:pPr>
    </w:p>
    <w:p w:rsidR="00AC56D6" w:rsidRDefault="00AC56D6" w:rsidP="00AC56D6">
      <w:pPr>
        <w:pStyle w:val="TextoNormal"/>
      </w:pPr>
      <w:r>
        <w:t>Partiendo de estas consideraciones, no cabe apreciar que las exigencias incorporadas por el art. 27.1 LOU/2007 entrañen conculcación del derecho a la libertad organizativa de los titulares de universidades privadas:</w:t>
      </w:r>
    </w:p>
    <w:p w:rsidR="00AC56D6" w:rsidRDefault="00AC56D6" w:rsidP="00AC56D6">
      <w:pPr>
        <w:pStyle w:val="TextoNormal"/>
      </w:pPr>
    </w:p>
    <w:p w:rsidR="00AC56D6" w:rsidRDefault="00AC56D6" w:rsidP="00AC56D6">
      <w:pPr>
        <w:pStyle w:val="TextoNormal"/>
      </w:pPr>
      <w:r>
        <w:lastRenderedPageBreak/>
        <w:t>a) La del primer inciso, al disponer que las normas de organización y funcionamiento de cada universidad preverán la representación de “los diferentes sectores de la comunidad universitaria” en sus órganos de gobierno y representación, aparece como una regla inclusiva que beneficia a todos sin distinción y que, precisamente por ello, tiene por finalidad evitar discriminaciones o en su caso la imposición de decisiones que puedan afectar a cualquiera de esos colectivos (profesores, alumnos, personal de administración y servicio, etc.), sin contar con su parecer ni permitir expresarse en el proceso de toma de decisiones dentro de tales órganos. Se adopta en este aspecto, sustancialmente, el mismo modelo que rige para las universidades públicas conforme al art. 13 de la misma LOU (en la redacción dada a este último por el art. único, 10, de la Ley Orgánica 4/2007), sin que quepa encontrar motivos que justifiquen su no aplicabilidad a centros de titularidad privada.</w:t>
      </w:r>
    </w:p>
    <w:p w:rsidR="00AC56D6" w:rsidRDefault="00AC56D6" w:rsidP="00AC56D6">
      <w:pPr>
        <w:pStyle w:val="TextoNormal"/>
      </w:pPr>
    </w:p>
    <w:p w:rsidR="00AC56D6" w:rsidRDefault="00AC56D6" w:rsidP="00AC56D6">
      <w:pPr>
        <w:pStyle w:val="TextoNormal"/>
      </w:pPr>
      <w:r>
        <w:t>b) Otro tanto cabe decir del segundo inciso, colofón del anterior, que refiere la necesidad de que dicha participación adecuada de todos los sectores, “propicie la presencia equilibrada entre mujeres y hombres”.</w:t>
      </w:r>
    </w:p>
    <w:p w:rsidR="00AC56D6" w:rsidRDefault="00AC56D6" w:rsidP="00AC56D6">
      <w:pPr>
        <w:pStyle w:val="TextoNormal"/>
      </w:pPr>
    </w:p>
    <w:p w:rsidR="00AC56D6" w:rsidRDefault="00AC56D6" w:rsidP="00AC56D6">
      <w:pPr>
        <w:pStyle w:val="TextoNormal"/>
      </w:pPr>
      <w:r>
        <w:t>Con esta medida, el legislador traslada a este ámbito de la educación universitaria, el principio que la Ley Orgánica 3/2007, de 22 de marzo para la igualdad efectiva de mujeres y hombres, incorporó como parámetro de actuación tanto en el sector público [arts. 16; 26.1 c); 27.3 e); 51 d); 52 a 54], incluyendo el educativo en todos sus niveles [art. 24.2 d)]; como en el sector privado [arts. 50.4; 75]. De acuerdo con su disposición adicional primera: “A los efectos de esta Ley, se entenderá por composición equilibrada la presencia de mujeres y hombres de forma que, en el conjunto a que se refiera, las personas de cada sexo no superen el sesenta por ciento ni sean menos del cuarenta por ciento”.</w:t>
      </w:r>
    </w:p>
    <w:p w:rsidR="00AC56D6" w:rsidRDefault="00AC56D6" w:rsidP="00AC56D6">
      <w:pPr>
        <w:pStyle w:val="TextoNormal"/>
      </w:pPr>
    </w:p>
    <w:p w:rsidR="00AC56D6" w:rsidRDefault="00AC56D6" w:rsidP="00AC56D6">
      <w:pPr>
        <w:pStyle w:val="TextoNormal"/>
      </w:pPr>
      <w:r>
        <w:t xml:space="preserve">En nuestra STC 12/2008, de 29 de enero, declaramos que este mandato no era contrario a la igualdad de los arts. 1.1, 9.2 y 14 CE, a propósito del art. 44 </w:t>
      </w:r>
      <w:r w:rsidRPr="00AC56D6">
        <w:rPr>
          <w:i/>
        </w:rPr>
        <w:t>bis</w:t>
      </w:r>
      <w:r>
        <w:t xml:space="preserve"> de la Ley Orgánica de régimen electoral general 5/1985, de 19 de junio (precepto introducido por la misma Ley Orgánica 3/2007), con palabras que resultan trasladables a este otro contexto material: “Estas previsiones no suponen un tratamiento peyorativo de ninguno de los sexos, ya que, en puridad, ni siquiera plasman un tratamiento diferenciado en razón del sexo de los candidatos, habida cuenta de que las proporciones se establecen por igual para los candidatos de uno y otro sexo. No se trata, pues, de una medida basada en los criterios de mayoría/minoría (como sucedería si se tomase en cuenta como elementos de diferenciación, por ejemplo, la raza o la edad), sino atendiendo a un criterio (el sexo) que de manera universal divide a toda sociedad en dos grupos porcentualmente equilibrados” [FJ 5; también en la posterior STC 13/2009, de 19 de enero, FJ 11].</w:t>
      </w:r>
    </w:p>
    <w:p w:rsidR="00AC56D6" w:rsidRDefault="00AC56D6" w:rsidP="00AC56D6">
      <w:pPr>
        <w:pStyle w:val="TextoNormal"/>
      </w:pPr>
    </w:p>
    <w:p w:rsidR="00AC56D6" w:rsidRDefault="00AC56D6" w:rsidP="00AC56D6">
      <w:pPr>
        <w:pStyle w:val="TextoNormal"/>
      </w:pPr>
      <w:r>
        <w:t>En el presente caso, lo que pretende el art. 27.1 LOU según la Ley Orgánica 4/2007 —y también el art. 13—, es corregir la situación de desigualdad histórica de la mujer en la toma de decisiones dentro de los órganos de gobierno y representación de las instituciones universitarias, sin que se justifique excluir de esta medida a las universidades privadas. El dispositivo indica que las normas de organización de éstas tienen que “propiciar” la composición equilibrada entre mujeres y hombres, lo que presupone lógicamente que dentro del correspondiente colectivo exista un número de mujeres y hombres suficiente como para permitir la efectividad de la medida.</w:t>
      </w:r>
    </w:p>
    <w:p w:rsidR="00AC56D6" w:rsidRDefault="00AC56D6" w:rsidP="00AC56D6">
      <w:pPr>
        <w:pStyle w:val="TextoNormal"/>
      </w:pPr>
    </w:p>
    <w:p w:rsidR="00AC56D6" w:rsidRDefault="00AC56D6" w:rsidP="00AC56D6">
      <w:pPr>
        <w:pStyle w:val="TextoNormal"/>
      </w:pPr>
      <w:r>
        <w:lastRenderedPageBreak/>
        <w:t>Cumplido este presupuesto queda a criterio de cada universidad, a falta de una indicación concreta en la LOU sobre el concreto porcentaje de equilibrio que debe alcanzarse, decidir si toman como referencia el que contiene la disposición adicional primera de la Ley Orgánica 3/2007 antes indicado (porcentaje que, ahí se señala, es vinculante “a los efectos de esta ley”) u otro más cercano a la paridad.</w:t>
      </w:r>
    </w:p>
    <w:p w:rsidR="00AC56D6" w:rsidRDefault="00AC56D6" w:rsidP="00AC56D6">
      <w:pPr>
        <w:pStyle w:val="TextoNormal"/>
      </w:pPr>
    </w:p>
    <w:p w:rsidR="00AC56D6" w:rsidRDefault="00AC56D6" w:rsidP="00AC56D6">
      <w:pPr>
        <w:pStyle w:val="TextoNormal"/>
      </w:pPr>
      <w:r>
        <w:t>El objetivo así trazado por la norma en examen, pues, no quiebra la igualdad. Tampoco los principios de mérito y capacidad que alega la demanda, pues dejando aparte que estos se recogen en el art. 103.3 CE para el acceso —y promoción— en la función pública (últimamente, SSTC 165/2013, de 26 de septiembre, FJ 8; 215/2013, de 19 de diciembre, FJ 6; 38/2014, de 11 de marzo, FJ 6; y 111/2014, de 26 de junio, FFJJ 1, 2; y 5), es lo cierto que el artículo cuestionado no hace desprecio de esas cualidades, que han de darse por cumplidas en quienes entran a formar parte de los órganos de gobierno y representación; es decir, “operando siempre desde el presupuesto de la capacidad y el mérito suficientes de unos y otras” (STC 13/2009, FJ 5).</w:t>
      </w:r>
    </w:p>
    <w:p w:rsidR="00AC56D6" w:rsidRDefault="00AC56D6" w:rsidP="00AC56D6">
      <w:pPr>
        <w:pStyle w:val="TextoNormal"/>
      </w:pPr>
    </w:p>
    <w:p w:rsidR="00AC56D6" w:rsidRDefault="00AC56D6" w:rsidP="00AC56D6">
      <w:pPr>
        <w:pStyle w:val="TextoNormal"/>
      </w:pPr>
      <w:r>
        <w:t>c) El tercer y cuarto incisos del art. 27.1 LOU según la Ley Orgánica 4/2007, garantizan que el personal docente e investigador tenga una participación efectiva en determinados aspectos del funcionamiento de las universidades privadas, de un lado porque las decisiones “de naturaleza estrictamente académica” han de adoptarse en órganos donde aquellos tengan una representación mayoritaria; y de otro lado porque, en todo caso, han de ser “oídos” en el nombramiento del Rector.</w:t>
      </w:r>
    </w:p>
    <w:p w:rsidR="00AC56D6" w:rsidRDefault="00AC56D6" w:rsidP="00AC56D6">
      <w:pPr>
        <w:pStyle w:val="TextoNormal"/>
      </w:pPr>
    </w:p>
    <w:p w:rsidR="00AC56D6" w:rsidRDefault="00AC56D6" w:rsidP="00AC56D6">
      <w:pPr>
        <w:pStyle w:val="TextoNormal"/>
      </w:pPr>
      <w:r>
        <w:t>Los recurrentes admiten que resulta “difícilmente cuestionable” la conveniencia de una formación y experiencia académica e investigadora en quienes adoptan ese tipo de decisiones, pero entienden que no debe concederse tal prerrogativa a un colectivo “no siempre fácil de delimitar”. Con esta línea de razonamiento, sin embargo, no percibimos la incidencia que tal previsión puede tener con el ejercicio de la libertad de creación y funcionamiento de centros docentes (art. 27.6 CE), bajo la que se ha articulado esta primera queja de inconstitucionalidad del recurso, dado que no se defiende siquiera que deba ser el titular del Centro quien adopte las decisiones “estrictamente académicas” o que elija a la máxima autoridad a espaldas de la comunidad universitaria.</w:t>
      </w:r>
    </w:p>
    <w:p w:rsidR="00AC56D6" w:rsidRDefault="00AC56D6" w:rsidP="00AC56D6">
      <w:pPr>
        <w:pStyle w:val="TextoNormal"/>
      </w:pPr>
    </w:p>
    <w:p w:rsidR="00AC56D6" w:rsidRDefault="00AC56D6" w:rsidP="00AC56D6">
      <w:pPr>
        <w:pStyle w:val="TextoNormal"/>
      </w:pPr>
      <w:r>
        <w:t>No ofrece duda que quienes están en mejor condición de ponderar las causas y las consecuencias que puede deparar cada una de las medidas que se tomen en el ámbito “estrictamente académico”, son quienes imparten clases en la universidad, así como el personal investigador, aunque no sea docente, por lo que su representación en los órganos de decisión se encuentra plenamente justificada. No puede compartirse la tesis de la demanda acerca de una eventual dificultad para identificar a los miembros de dicho personal, pues todos y cada uno de quienes lo componen han de estar unidos al centro mediante vínculo contractual de prestación de servicios o becas de investigación, de todo lo cual deben guardar cumplido registro, además de su conocimiento y control por las autoridades de los centros adscritos a la universidad.</w:t>
      </w:r>
    </w:p>
    <w:p w:rsidR="00AC56D6" w:rsidRDefault="00AC56D6" w:rsidP="00AC56D6">
      <w:pPr>
        <w:pStyle w:val="TextoNormal"/>
      </w:pPr>
    </w:p>
    <w:p w:rsidR="00AC56D6" w:rsidRDefault="00AC56D6" w:rsidP="00AC56D6">
      <w:pPr>
        <w:pStyle w:val="TextoNormal"/>
      </w:pPr>
      <w:r>
        <w:t>Esta exigencia, en fin, sirve al principio de libertad académica que la propia LOU garantiza para las universidades privadas, “manifestada en las libertades de cátedra, de investigación y de estudio” (art. 6.5); en orden a la mejor prestación del “servicio público de educación superior” al que antes nos referimos.</w:t>
      </w:r>
    </w:p>
    <w:p w:rsidR="00AC56D6" w:rsidRDefault="00AC56D6" w:rsidP="00AC56D6">
      <w:pPr>
        <w:pStyle w:val="TextoNormal"/>
      </w:pPr>
    </w:p>
    <w:p w:rsidR="00AC56D6" w:rsidRDefault="00AC56D6" w:rsidP="00AC56D6">
      <w:pPr>
        <w:pStyle w:val="TextoNormal"/>
      </w:pPr>
      <w:r>
        <w:t>Por último, en cuanto a la regla de que deba ser “oído” el personal docente e investigador en el nombramiento del Rector, solo cabe indicar que se trata de un precepto que en modo alguno condiciona dicho nombramiento al establecerse simplemente la necesidad de una previa audiencia cuyo resultado no tiene carácter vinculante.</w:t>
      </w:r>
    </w:p>
    <w:p w:rsidR="00AC56D6" w:rsidRDefault="00AC56D6" w:rsidP="00AC56D6">
      <w:pPr>
        <w:pStyle w:val="TextoNormal"/>
      </w:pPr>
    </w:p>
    <w:p w:rsidR="00AC56D6" w:rsidRDefault="00AC56D6" w:rsidP="00AC56D6">
      <w:pPr>
        <w:pStyle w:val="TextoNormal"/>
      </w:pPr>
      <w:r>
        <w:t>Con arreglo a lo expuesto, ha de concluirse que el art. 27.1 LOU, en la redacción dada por la Ley Orgánica 4/2007, no vulnera el derecho fundamental a la igualdad (art. 14 CE) como tampoco el derecho fundamental a la libertad de creación de centros docentes (art. 27.6 CE).</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El siguiente precepto impugnado es el art. 27 </w:t>
      </w:r>
      <w:r w:rsidRPr="00AC56D6">
        <w:rPr>
          <w:i/>
        </w:rPr>
        <w:t>bis</w:t>
      </w:r>
      <w:r>
        <w:t>.1 a), introducido por el art. único, apartado 27, de la Ley Orgánica 4/2007, que reformuló el título IV LOU referido a la “coordinación universitaria”. Su tenor es el siguiente:</w:t>
      </w:r>
    </w:p>
    <w:p w:rsidR="00AC56D6" w:rsidRDefault="00AC56D6" w:rsidP="00AC56D6">
      <w:pPr>
        <w:pStyle w:val="TextoNormal"/>
      </w:pPr>
    </w:p>
    <w:p w:rsidR="00AC56D6" w:rsidRDefault="00AC56D6" w:rsidP="00AC56D6">
      <w:pPr>
        <w:pStyle w:val="TextoNormal"/>
      </w:pPr>
      <w:r>
        <w:t xml:space="preserve">“Artículo 27 </w:t>
      </w:r>
      <w:r w:rsidRPr="00AC56D6">
        <w:rPr>
          <w:i/>
        </w:rPr>
        <w:t>bis</w:t>
      </w:r>
      <w:r>
        <w:t>. Conferencia General de Política Universitaria.</w:t>
      </w:r>
    </w:p>
    <w:p w:rsidR="00AC56D6" w:rsidRDefault="00AC56D6" w:rsidP="00AC56D6">
      <w:pPr>
        <w:pStyle w:val="TextoNormal"/>
      </w:pPr>
    </w:p>
    <w:p w:rsidR="00AC56D6" w:rsidRDefault="00AC56D6" w:rsidP="00AC56D6">
      <w:pPr>
        <w:pStyle w:val="TextoNormal"/>
      </w:pPr>
      <w:r>
        <w:t>1. La Conferencia General de Política Universitaria, sin perjuicio de las funciones atribuidas a los órganos de coordinación universitaria de las Comunidades Autónomas, es el órgano de concertación, coordinación y cooperación de la política general universitaria al que le corresponden las funciones de:</w:t>
      </w:r>
    </w:p>
    <w:p w:rsidR="00AC56D6" w:rsidRDefault="00AC56D6" w:rsidP="00AC56D6">
      <w:pPr>
        <w:pStyle w:val="TextoNormal"/>
      </w:pPr>
    </w:p>
    <w:p w:rsidR="00AC56D6" w:rsidRDefault="00AC56D6" w:rsidP="00AC56D6">
      <w:pPr>
        <w:pStyle w:val="TextoNormal"/>
      </w:pPr>
      <w:r>
        <w:t>a) Establecer y valorar las líneas generales de política universitaria, su articulación en el espacio europeo de educación superior y su interrelación con las políticas de investigación científica y tecnológica.”</w:t>
      </w:r>
    </w:p>
    <w:p w:rsidR="00AC56D6" w:rsidRDefault="00AC56D6" w:rsidP="00AC56D6">
      <w:pPr>
        <w:pStyle w:val="TextoNormal"/>
      </w:pPr>
    </w:p>
    <w:p w:rsidR="00AC56D6" w:rsidRDefault="00AC56D6" w:rsidP="00AC56D6">
      <w:pPr>
        <w:pStyle w:val="TextoNormal"/>
      </w:pPr>
      <w:r>
        <w:t>Los promotores del presente recurso de inconstitucionalidad sostienen, de manera nuclear, que la Conferencia General de Política Universitaria, creada por la Ley Orgánica 4/2007, asume competencias resolutorias que exceden de aquellas de naturaleza consultiva que le serían propias, sustrayendo competencias tanto al Estado como a las Comunidades Autónomas, en concreto al tener como función “establecer las líneas generales de política universitaria”.</w:t>
      </w:r>
    </w:p>
    <w:p w:rsidR="00AC56D6" w:rsidRDefault="00AC56D6" w:rsidP="00AC56D6">
      <w:pPr>
        <w:pStyle w:val="TextoNormal"/>
      </w:pPr>
    </w:p>
    <w:p w:rsidR="00AC56D6" w:rsidRDefault="00AC56D6" w:rsidP="00AC56D6">
      <w:pPr>
        <w:pStyle w:val="TextoNormal"/>
      </w:pPr>
      <w:r>
        <w:t xml:space="preserve">Al Estado, en primer lugar, tanto por lo que concierne al ejercicio por las Cortes Generales de la potestad legislativa en materia de política universitaria, y de “su función de control y dirección política” (se citan los arts. 66, 81 en relación con el 27, 99 a 101 y 108 y siguientes, y 149.1.18 CE); como por las del Gobierno en cuanto a su función ejecutiva, incluyendo el ejercicio de la potestad reglamentaria (art. 97 CE). La misma objeción se predica en cuanto a la competencia exclusiva del Estado </w:t>
      </w:r>
      <w:r w:rsidRPr="00AC56D6">
        <w:rPr>
          <w:i/>
        </w:rPr>
        <w:t>ex</w:t>
      </w:r>
      <w:r>
        <w:t xml:space="preserve"> art. 149.1.3 CE y la articulación de la política universitaria en el espacio europeo de educación superior y su interrelación con las políticas de investigación científica y tecnológica, incluidas en el mismo apartado.</w:t>
      </w:r>
    </w:p>
    <w:p w:rsidR="00AC56D6" w:rsidRDefault="00AC56D6" w:rsidP="00AC56D6">
      <w:pPr>
        <w:pStyle w:val="TextoNormal"/>
      </w:pPr>
    </w:p>
    <w:p w:rsidR="00AC56D6" w:rsidRDefault="00AC56D6" w:rsidP="00AC56D6">
      <w:pPr>
        <w:pStyle w:val="TextoNormal"/>
      </w:pPr>
      <w:r>
        <w:t>Y a las Comunidades Autónomas, en segundo lugar, porque si las decisiones que corresponden a éstas se toman en la Conferencia general, “se incurriría en inconstitucionalidad por incidir en el ámbito de las competencias que los correspondientes Estatutos de Autonomía reservan a las Comunidades en materia universitaria”, sin que estas últimas puedan ser unilateralmente modificadas por el Estado, al margen del procedimiento del art. 147.3 CE.</w:t>
      </w:r>
    </w:p>
    <w:p w:rsidR="00AC56D6" w:rsidRDefault="00AC56D6" w:rsidP="00AC56D6">
      <w:pPr>
        <w:pStyle w:val="TextoNormal"/>
      </w:pPr>
    </w:p>
    <w:p w:rsidR="00AC56D6" w:rsidRDefault="00AC56D6" w:rsidP="00AC56D6">
      <w:pPr>
        <w:pStyle w:val="TextoNormal"/>
      </w:pPr>
      <w:r>
        <w:lastRenderedPageBreak/>
        <w:t>El escrito de alegaciones del Abogado del Estado se opone a esta visión de las cosas, entendiendo que el nuevo órgano es solamente de concertación, coordinación y cooperación, que no tiene por finalidad invadir las competencias del Estado o de las Comunidades Autónomas, y que si se cometiera un exceso en tal sentido, el acto de aplicación sería inválido, pero ello no afectaría al precepto que ha conferido correctamente sus atribuciones.</w:t>
      </w:r>
    </w:p>
    <w:p w:rsidR="00AC56D6" w:rsidRDefault="00AC56D6" w:rsidP="00AC56D6">
      <w:pPr>
        <w:pStyle w:val="TextoNormal"/>
      </w:pPr>
    </w:p>
    <w:p w:rsidR="00AC56D6" w:rsidRDefault="00AC56D6" w:rsidP="00AC56D6">
      <w:pPr>
        <w:pStyle w:val="TextoNormal"/>
      </w:pPr>
      <w:r>
        <w:t>Para dar respuesta al motivo de impugnación planteado, conviene formular algunas consideraciones previas:</w:t>
      </w:r>
    </w:p>
    <w:p w:rsidR="00AC56D6" w:rsidRDefault="00AC56D6" w:rsidP="00AC56D6">
      <w:pPr>
        <w:pStyle w:val="TextoNormal"/>
      </w:pPr>
    </w:p>
    <w:p w:rsidR="00AC56D6" w:rsidRDefault="00AC56D6" w:rsidP="00AC56D6">
      <w:pPr>
        <w:pStyle w:val="TextoNormal"/>
      </w:pPr>
      <w:r>
        <w:t>a) La Conferencia General de Política Universitaria pertenece al género de las “conferencias sectoriales” (modalidad ésta de organización administrativa, prevista por vez primera en el art. 4 de la Ley 12/1983, de 14 de octubre, del proceso autonómico; y actualmente en el art. 5 de la Ley 30/1992), teniendo como precedentes al Consejo de Universidades regulado en el art. 24 de la Ley 11/1983, de 25 de agosto, de reforma universitaria (LORU) y al Consejo de Coordinación Universitaria cuyas atribuciones preveía el art. 28 de la Ley Orgánica 6/2001 en su dicción original.</w:t>
      </w:r>
    </w:p>
    <w:p w:rsidR="00AC56D6" w:rsidRDefault="00AC56D6" w:rsidP="00AC56D6">
      <w:pPr>
        <w:pStyle w:val="TextoNormal"/>
      </w:pPr>
    </w:p>
    <w:p w:rsidR="00AC56D6" w:rsidRDefault="00AC56D6" w:rsidP="00AC56D6">
      <w:pPr>
        <w:pStyle w:val="TextoNormal"/>
      </w:pPr>
      <w:r>
        <w:t>Como este Tribunal tuvo ocasión de señalar en su STC 223/2012, de 29 de noviembre, FJ 9, se trata de un órgano que realiza funciones de coordinación entre el Estado y las Comunidades Autónomas, en relación con las competencias que cada uno tiene en el ámbito de la enseñanza universitaria. Conforme con nuestra doctrina sobre la competencia estatal de coordinación, en el ejercicio de ésta la Conferencia general no puede incurrir en una “sustracción o menoscabo de las competencias de las entidades sometidas a la misma” [SSTC 27/1987, de 27 de febrero, FJ 2; y 194/2004, de 4 de noviembre, FJ 8]; debiendo servir únicamente de “órgano de encuentro para el examen de problemas comunes y para la discusión de las oportunas líneas de acción” [SSTC 76/1983, de 5 de agosto, FJ 13; y 137/2013, de 6 de junio, FJ 5].</w:t>
      </w:r>
    </w:p>
    <w:p w:rsidR="00AC56D6" w:rsidRDefault="00AC56D6" w:rsidP="00AC56D6">
      <w:pPr>
        <w:pStyle w:val="TextoNormal"/>
      </w:pPr>
    </w:p>
    <w:p w:rsidR="00AC56D6" w:rsidRDefault="00AC56D6" w:rsidP="00AC56D6">
      <w:pPr>
        <w:pStyle w:val="TextoNormal"/>
      </w:pPr>
      <w:r>
        <w:t xml:space="preserve">Con la misma limitación deben entenderse las funciones de cooperación que a aquélla le asigna el propio art. 27 </w:t>
      </w:r>
      <w:r w:rsidRPr="00AC56D6">
        <w:rPr>
          <w:i/>
        </w:rPr>
        <w:t>bis</w:t>
      </w:r>
      <w:r>
        <w:t>. 1, LOU/2007. Esto es, no resulta posible la invasión de competencias ajenas [STC 194/2004, FJ 9], siendo su fin exclusivo el de “optimizar el ejercicio de las competencias de las distintas Administraciones con el fin de evitar la dispersión de esfuerzos, pero garantizando los diferentes ámbitos competenciales”, [STC 194/2004, FJ 13].</w:t>
      </w:r>
    </w:p>
    <w:p w:rsidR="00AC56D6" w:rsidRDefault="00AC56D6" w:rsidP="00AC56D6">
      <w:pPr>
        <w:pStyle w:val="TextoNormal"/>
      </w:pPr>
    </w:p>
    <w:p w:rsidR="00AC56D6" w:rsidRDefault="00AC56D6" w:rsidP="00AC56D6">
      <w:pPr>
        <w:pStyle w:val="TextoNormal"/>
      </w:pPr>
      <w:r>
        <w:t xml:space="preserve">b) Ciertamente, una lectura literal del apartado a) del art. 27 </w:t>
      </w:r>
      <w:r w:rsidRPr="00AC56D6">
        <w:rPr>
          <w:i/>
        </w:rPr>
        <w:t>bis</w:t>
      </w:r>
      <w:r>
        <w:t>.1 (“establecer … las líneas generales de política universitaria”), no permite descartar de plano las objeciones planteadas por la demanda. En primer lugar, porque etimológicamente la facultad descrita revestiría un sentido decisorio (según DRAE, edición 22, la palabra “establecer” significa “ordenar, mandar, decretar”), a diferencia de las restantes funciones contenidas en el precepto. Y en segundo lugar, porque la génesis parlamentaria de la norma revela que con su introducción —no figuraba en el texto inicial—, se pretendía dotar a la conferencia general de una “capacidad de decisión política real” (“Cortes Generales. Diario de Sesiones del Congreso de los Diputados, Pleno y Diputación Permanente”. VIII Legislatura, núm. 222, Sesión Plenaria núm. 206, del 14 de diciembre de 2006, pág. 11248).</w:t>
      </w:r>
    </w:p>
    <w:p w:rsidR="00AC56D6" w:rsidRDefault="00AC56D6" w:rsidP="00AC56D6">
      <w:pPr>
        <w:pStyle w:val="TextoNormal"/>
      </w:pPr>
    </w:p>
    <w:p w:rsidR="00AC56D6" w:rsidRDefault="00AC56D6" w:rsidP="00AC56D6">
      <w:pPr>
        <w:pStyle w:val="TextoNormal"/>
      </w:pPr>
      <w:r>
        <w:t xml:space="preserve">Pese a ello, las dudas de constitucionalidad se disipan atendiendo a la naturaleza del órgano sobre el que se atribuye la función. De un lado, una interpretación sistemática del precepto cuestionado, en relación con los restantes apartados del art. 27 </w:t>
      </w:r>
      <w:r w:rsidRPr="00AC56D6">
        <w:rPr>
          <w:i/>
        </w:rPr>
        <w:t>bis</w:t>
      </w:r>
      <w:r>
        <w:t xml:space="preserve">.1, y los demás </w:t>
      </w:r>
      <w:r>
        <w:lastRenderedPageBreak/>
        <w:t>artículos de la LOU que otorgan funciones consultivas a dicho organismo, permite deducir que la citada Conferencia general de política universitaria puede establecer propuestas sobre las líneas generales de la política universitaria, además de “valorar” las que ya existen (competencia ésta no discutida), su articulación en el espacio europeo de educación superior y su interrelación con las políticas de investigación científica y tecnológica. Pero siempre la decisión en esas materias corre a cargo del titular de la competencia de que se trate, pues de otro modo no estaríamos entonces ante un órgano de coordinación y cooperación, tal y como está configurado en dicha Ley Orgánica.</w:t>
      </w:r>
    </w:p>
    <w:p w:rsidR="00AC56D6" w:rsidRDefault="00AC56D6" w:rsidP="00AC56D6">
      <w:pPr>
        <w:pStyle w:val="TextoNormal"/>
      </w:pPr>
    </w:p>
    <w:p w:rsidR="00AC56D6" w:rsidRDefault="00AC56D6" w:rsidP="00AC56D6">
      <w:pPr>
        <w:pStyle w:val="TextoNormal"/>
      </w:pPr>
      <w:r>
        <w:t xml:space="preserve">De otro lado, en relación con el Espacio Europeo de Educación Superior, el entendimiento de un poder decisorio de la Conferencia general pugnaría con la naturaleza de la regulación que la propia LOU lleva a cabo en el título XIII (“espacio europeo de enseñanza superior”), arts. 87 a 89 </w:t>
      </w:r>
      <w:r w:rsidRPr="00AC56D6">
        <w:rPr>
          <w:i/>
        </w:rPr>
        <w:t>bis</w:t>
      </w:r>
      <w:r>
        <w:t>, en los que se hace cumplida reserva de las competencias del Estado, Comunidades Autónomas y Universidades, y donde a la Conferencia General de Política Universitaria no se le atribuye específicamente función alguna, sin perjuicio de que pueda requerírsele la emisión de informes no vinculantes, conforme a lo previsto en el art. 2</w:t>
      </w:r>
      <w:r w:rsidRPr="00AC56D6">
        <w:rPr>
          <w:i/>
        </w:rPr>
        <w:t>7 b</w:t>
      </w:r>
      <w:r>
        <w:t>is.1 a).</w:t>
      </w:r>
    </w:p>
    <w:p w:rsidR="00AC56D6" w:rsidRDefault="00AC56D6" w:rsidP="00AC56D6">
      <w:pPr>
        <w:pStyle w:val="TextoNormal"/>
      </w:pPr>
    </w:p>
    <w:p w:rsidR="00AC56D6" w:rsidRDefault="00AC56D6" w:rsidP="00AC56D6">
      <w:pPr>
        <w:pStyle w:val="TextoNormal"/>
      </w:pPr>
      <w:r>
        <w:t xml:space="preserve">Ha de concluirse, por tanto, que el art. 27 </w:t>
      </w:r>
      <w:r w:rsidRPr="00AC56D6">
        <w:rPr>
          <w:i/>
        </w:rPr>
        <w:t>bis</w:t>
      </w:r>
      <w:r>
        <w:t>.1 a) LOU, introducido por la Ley Orgánica 4/2007, no es inconstitucional por vulneración del marco de competencias entre el Estado y las Comunidades Autónomas.</w:t>
      </w:r>
    </w:p>
    <w:p w:rsidR="00AC56D6" w:rsidRDefault="00AC56D6" w:rsidP="00AC56D6">
      <w:pPr>
        <w:pStyle w:val="TextoNormal"/>
      </w:pPr>
    </w:p>
    <w:p w:rsidR="00AC56D6" w:rsidRDefault="00AC56D6" w:rsidP="00AC56D6">
      <w:pPr>
        <w:pStyle w:val="TextoNormal"/>
      </w:pPr>
      <w:r w:rsidRPr="00AC56D6">
        <w:rPr>
          <w:rStyle w:val="NumeroAFNegritaCaracter"/>
        </w:rPr>
        <w:t>4</w:t>
      </w:r>
      <w:r>
        <w:t>. Por motivos que resultan similares, los recurrentes impugnan los arts. 34, 35 y 37 LOU, con el contenido que da a los mismos el art. único, apartados 30, 31 y 33, respectivamente, de la Ley Orgánica 4/2007, de 12 de abril, y cuyo texto es el siguiente:</w:t>
      </w:r>
    </w:p>
    <w:p w:rsidR="00AC56D6" w:rsidRDefault="00AC56D6" w:rsidP="00AC56D6">
      <w:pPr>
        <w:pStyle w:val="TextoNormal"/>
      </w:pPr>
    </w:p>
    <w:p w:rsidR="00AC56D6" w:rsidRDefault="00AC56D6" w:rsidP="00AC56D6">
      <w:pPr>
        <w:pStyle w:val="TextoNormal"/>
      </w:pPr>
      <w:r>
        <w:t>“Artículo 34. Títulos universitarios.</w:t>
      </w:r>
    </w:p>
    <w:p w:rsidR="00AC56D6" w:rsidRDefault="00AC56D6" w:rsidP="00AC56D6">
      <w:pPr>
        <w:pStyle w:val="TextoNormal"/>
      </w:pPr>
    </w:p>
    <w:p w:rsidR="00AC56D6" w:rsidRDefault="00AC56D6" w:rsidP="00AC56D6">
      <w:pPr>
        <w:pStyle w:val="TextoNormal"/>
      </w:pPr>
      <w:r>
        <w:t>1. Las universidades impartirán enseñanzas conducentes a la obtención de títulos oficiales y con validez en todo el territorio nacional y podrán impartir enseñanzas conducentes a la obtención de otros títulos.</w:t>
      </w:r>
    </w:p>
    <w:p w:rsidR="00AC56D6" w:rsidRDefault="00AC56D6" w:rsidP="00AC56D6">
      <w:pPr>
        <w:pStyle w:val="TextoNormal"/>
      </w:pPr>
    </w:p>
    <w:p w:rsidR="00AC56D6" w:rsidRDefault="00AC56D6" w:rsidP="00AC56D6">
      <w:pPr>
        <w:pStyle w:val="TextoNormal"/>
      </w:pPr>
      <w:r>
        <w:t>2. Los títulos universitarios de carácter oficial y con validez en todo el territorio nacional deberán inscribirse en el Registro de universidades, centros y títulos, previsto en la disposición adicional vigésima. Podrán inscribirse otros títulos a efectos informativos. El Gobierno regulará el procedimiento y las condiciones para su inscripción.”</w:t>
      </w:r>
    </w:p>
    <w:p w:rsidR="00AC56D6" w:rsidRDefault="00AC56D6" w:rsidP="00AC56D6">
      <w:pPr>
        <w:pStyle w:val="TextoNormal"/>
      </w:pPr>
    </w:p>
    <w:p w:rsidR="00AC56D6" w:rsidRDefault="00AC56D6" w:rsidP="00AC56D6">
      <w:pPr>
        <w:pStyle w:val="TextoNormal"/>
      </w:pPr>
      <w:r>
        <w:t>“Artículo 35. Títulos oficiales.</w:t>
      </w:r>
    </w:p>
    <w:p w:rsidR="00AC56D6" w:rsidRDefault="00AC56D6" w:rsidP="00AC56D6">
      <w:pPr>
        <w:pStyle w:val="TextoNormal"/>
      </w:pPr>
    </w:p>
    <w:p w:rsidR="00AC56D6" w:rsidRDefault="00AC56D6" w:rsidP="00AC56D6">
      <w:pPr>
        <w:pStyle w:val="TextoNormal"/>
      </w:pPr>
      <w:r>
        <w:t>1. El Gobierno establecerá las directrices y las condiciones para la obtención de los títulos universitarios de carácter oficial y con validez en todo el territorio nacional, que serán expedidos en nombre del Rey por el Rector de la universidad.</w:t>
      </w:r>
    </w:p>
    <w:p w:rsidR="00AC56D6" w:rsidRDefault="00AC56D6" w:rsidP="00AC56D6">
      <w:pPr>
        <w:pStyle w:val="TextoNormal"/>
      </w:pPr>
    </w:p>
    <w:p w:rsidR="00AC56D6" w:rsidRDefault="00AC56D6" w:rsidP="00AC56D6">
      <w:pPr>
        <w:pStyle w:val="TextoNormal"/>
      </w:pPr>
      <w:r>
        <w:t xml:space="preserve">2. Para impartir enseñanzas oficiales y expedir los correspondientes títulos oficiales, con validez en todo el territorio nacional, las universidades deberán poseer la autorización pertinente de la Comunidad Autónoma, según lo dispuesto en la legislación de la misma y lo previsto en el artículo 8 de esta Ley, y obtener la verificación del Consejo de Universidades de que el oportuno plan de estudios se ajusta a las directrices y condiciones establecidas por </w:t>
      </w:r>
      <w:r>
        <w:lastRenderedPageBreak/>
        <w:t>el Gobierno. El procedimiento deberá preservar la autonomía académica de las universidades.</w:t>
      </w:r>
    </w:p>
    <w:p w:rsidR="00AC56D6" w:rsidRDefault="00AC56D6" w:rsidP="00AC56D6">
      <w:pPr>
        <w:pStyle w:val="TextoNormal"/>
      </w:pPr>
    </w:p>
    <w:p w:rsidR="00AC56D6" w:rsidRDefault="00AC56D6" w:rsidP="00AC56D6">
      <w:pPr>
        <w:pStyle w:val="TextoNormal"/>
      </w:pPr>
      <w:r>
        <w:t>3. Tras la autorización de la Comunidad Autónoma y la verificación del plan de estudios que otorgue el Consejo de Universidades, el Gobierno establecerá el carácter oficial del título y ordenará su inscripción en el Registro de universidades, centros y títulos.</w:t>
      </w:r>
    </w:p>
    <w:p w:rsidR="00AC56D6" w:rsidRDefault="00AC56D6" w:rsidP="00AC56D6">
      <w:pPr>
        <w:pStyle w:val="TextoNormal"/>
      </w:pPr>
    </w:p>
    <w:p w:rsidR="00AC56D6" w:rsidRDefault="00AC56D6" w:rsidP="00AC56D6">
      <w:pPr>
        <w:pStyle w:val="TextoNormal"/>
      </w:pPr>
      <w:r>
        <w:t>4. Una vez que el Gobierno haya aprobado el carácter oficial de dicho título, el Rector ordenará publicar el plan de estudios en el ‘Boletín Oficial del Estado’ y en el diario oficial de la Comunidad Autónoma.”</w:t>
      </w:r>
    </w:p>
    <w:p w:rsidR="00AC56D6" w:rsidRDefault="00AC56D6" w:rsidP="00AC56D6">
      <w:pPr>
        <w:pStyle w:val="TextoNormal"/>
      </w:pPr>
    </w:p>
    <w:p w:rsidR="00AC56D6" w:rsidRDefault="00AC56D6" w:rsidP="00AC56D6">
      <w:pPr>
        <w:pStyle w:val="TextoNormal"/>
      </w:pPr>
      <w:r>
        <w:t>“Artículo 37. Estructura de las enseñanzas oficiales.</w:t>
      </w:r>
    </w:p>
    <w:p w:rsidR="00AC56D6" w:rsidRDefault="00AC56D6" w:rsidP="00AC56D6">
      <w:pPr>
        <w:pStyle w:val="TextoNormal"/>
      </w:pPr>
    </w:p>
    <w:p w:rsidR="00AC56D6" w:rsidRDefault="00AC56D6" w:rsidP="00AC56D6">
      <w:pPr>
        <w:pStyle w:val="TextoNormal"/>
      </w:pPr>
      <w:r>
        <w:t>Las enseñanzas universitarias se estructurarán en tres ciclos: Grado, Máster y Doctorado. La superación de tales enseñanzas dará derecho, en los términos que establezca el Gobierno, previo informe del Consejo de Universidades, a la obtención de los títulos oficiales correspondientes.”</w:t>
      </w:r>
    </w:p>
    <w:p w:rsidR="00AC56D6" w:rsidRDefault="00AC56D6" w:rsidP="00AC56D6">
      <w:pPr>
        <w:pStyle w:val="TextoNormal"/>
      </w:pPr>
    </w:p>
    <w:p w:rsidR="00AC56D6" w:rsidRDefault="00AC56D6" w:rsidP="00AC56D6">
      <w:pPr>
        <w:pStyle w:val="TextoNormal"/>
      </w:pPr>
      <w:r>
        <w:t>El recurso de inconstitucionalidad plantea, sintetizando ahora sus argumentos ya detallados en los antecedentes, que esos tres dispositivos infringen la reserva de ley orgánica (arts. 53.1 y 81.1 CE) en cuanto a los derechos fundamentales a la libertad de enseñanza (art. 27.1 CE), creación de centros docentes (art. 27.6 CE), autonomía universitaria (art. 27.10 CE) y la libertad de cátedra del art. 20.1 c) CE. También la reserva de ley ordinaria de los arts. 35 y 36 CE, igualmente relevantes en este ámbito. Tal vulneración se produce por confiar a normas reglamentarias las directrices y condiciones para la obtención de los títulos oficiales (arts. 34 y 35 LOU/2007), así como el contenido de las enseñanzas conducentes a esos títulos (art. 37 LOU/2007), pues en este último caso la ley se limita a prever la existencia de tres ciclos académicos, grado, máster y doctorado, sin ninguna otra especificación. La queja se centra, sin embargo, en la escueta mención en la ley a los dos primeros grados, pues la demanda reconoce que el art. 38 LOU, también reformado por la Ley Orgánica 4/2007, satisface el mínimo de regulación legal respecto del doctorado, por lo que queda fuera de su impugnación.</w:t>
      </w:r>
    </w:p>
    <w:p w:rsidR="00AC56D6" w:rsidRDefault="00AC56D6" w:rsidP="00AC56D6">
      <w:pPr>
        <w:pStyle w:val="TextoNormal"/>
      </w:pPr>
    </w:p>
    <w:p w:rsidR="00AC56D6" w:rsidRDefault="00AC56D6" w:rsidP="00AC56D6">
      <w:pPr>
        <w:pStyle w:val="TextoNormal"/>
      </w:pPr>
      <w:r>
        <w:t xml:space="preserve">Frente a esta tesis se alza por su parte el representante del Gobierno de la Nación, quien pone de manifiesto, ante todo, que la regulación puesta en entredicho no difiere sustancialmente de la que ya estuviera en vigor tanto con la LORU de 1983 como con la LOU original de 2001, las cuales dejaban al Gobierno el dictado de la normativa de desarrollo necesaria para dotar de especificidad a los títulos oficiales, regular sus condiciones de obtención, y las enseñanzas que han de superarse para ello. En concreto, señala que el art. 37 LOU según la Ley Orgánica 4/2007 mantiene la denominación anterior de cada uno de los tres ciclos. Defiende además que la determinación de títulos oficiales y directrices generales sobre éstos no están cubiertas por la reserva de ley orgánica, pues no afectan al derecho fundamental a la autonomía universitaria, mientras que el contenido de las enseñanzas es propio del reglamento, dado su carácter evolutivo. Niega igualmente un desconocimiento de la reserva de ley </w:t>
      </w:r>
      <w:r w:rsidRPr="00AC56D6">
        <w:rPr>
          <w:i/>
        </w:rPr>
        <w:t>ex</w:t>
      </w:r>
      <w:r>
        <w:t xml:space="preserve"> arts. 35 y 36 CE, referentes al ejercicio del derecho al trabajo y a las profesiones tituladas, con la consiguiente libertad que resulta inmanente a ellos.</w:t>
      </w:r>
    </w:p>
    <w:p w:rsidR="00AC56D6" w:rsidRDefault="00AC56D6" w:rsidP="00AC56D6">
      <w:pPr>
        <w:pStyle w:val="TextoNormal"/>
      </w:pPr>
    </w:p>
    <w:p w:rsidR="00AC56D6" w:rsidRDefault="00AC56D6" w:rsidP="00AC56D6">
      <w:pPr>
        <w:pStyle w:val="TextoNormal"/>
      </w:pPr>
      <w:r>
        <w:t>Así trabadas las pretensiones, resulta necesario tomar en consideración lo que sigue:</w:t>
      </w:r>
    </w:p>
    <w:p w:rsidR="00AC56D6" w:rsidRDefault="00AC56D6" w:rsidP="00AC56D6">
      <w:pPr>
        <w:pStyle w:val="TextoNormal"/>
      </w:pPr>
    </w:p>
    <w:p w:rsidR="00AC56D6" w:rsidRDefault="00AC56D6" w:rsidP="00AC56D6">
      <w:pPr>
        <w:pStyle w:val="TextoNormal"/>
      </w:pPr>
      <w:r>
        <w:t>a) La demanda, como se acaba de indicar, ataca una eventual deslegalización en las materias recogidas en los arts. 34, 35 y 37 LOU/2007 (títulos oficiales con validez en todo el territorio nacional, enseñanzas de los diversos grados), en la medida en que se considera que conciernen a vertientes del derecho fundamental a la libertad de educación del art. 27 CE, especialmente el derecho a la autonomía universitaria (art. 27.10 CE), puesto en relación con el derecho a la libertad de cátedra del art. 20.1 c) de la misma Constitución. Interesa por tanto, previamente a dilucidar si tal deslegalización indebida se ha producido, aclarar en qué medida aquellos derechos fundamentales adquieren relevancia a los efectos de los dispositivos cuestionados.</w:t>
      </w:r>
    </w:p>
    <w:p w:rsidR="00AC56D6" w:rsidRDefault="00AC56D6" w:rsidP="00AC56D6">
      <w:pPr>
        <w:pStyle w:val="TextoNormal"/>
      </w:pPr>
    </w:p>
    <w:p w:rsidR="00AC56D6" w:rsidRDefault="00AC56D6" w:rsidP="00AC56D6">
      <w:pPr>
        <w:pStyle w:val="TextoNormal"/>
      </w:pPr>
      <w:r>
        <w:t>Hemos de atender para ello a la definición que una constante doctrina de este Tribunal ha fijado en relación con el derecho a la autonomía universitaria y su interrelación con otros derechos subjetivos del art. 27 CE, desde la STC 26/1987, de 27 de febrero, FJ 4, y que condensa en tiempos recientes la STC 183/2011, de 21 de noviembre, FJ 6, afirmando al efecto que “la autonomía universitaria se reconoce ‘en los términos que la ley establezca’, lo que significa que es un derecho de estricta configuración legal, que encuentra su razón de ser en la protección de la libertad académica, en su manifestación de libertad de enseñanza, estudio e investigación, frente a todo tipo de injerencias externas, de manera que, en todo caso, la libertad de ciencia quede garantizada, tanto en su vertiente o dimensión individual —constituida por la libertad de cátedra— como institucional, entendida ésta, además, como la correspondiente a cada Universidad en particular, conforme este Tribunal —a quien corresponde la potestad revisora de la configuración legal de la autonomía universitaria— viene señalando en estos mismos o parecidos términos en reiterada doctrina (SSTC 26/1987, de 27 de febrero, FJ 4; 55/1989, de 14 de marzo, FJ 2; 106/1990, de 6 de junio, FJ 6; 187/1991, de 3 de octubre, FJ 3; 156/1994, de 23 de mayo, FJ 2; 75/1997, de 21 de abril, FJ 2; y 47/2005, de 3 de marzo, FJ 5, por todas). Dicho de otro modo, ‘la autonomía universitaria —cubierta por la garantía institucional establecida en el art. 27.10 CE, de carácter instrumental respecto de derechos fundamentales de terceros (los titulares de las diversas vertientes de la libertad académica)— garantiza, pues, el ejercicio libre de injerencias externas de las funciones que se encomiendan a la Universidad. Y esta concepción instrumental es importante para determinar el contenido de la autonomía universitaria. Al menos de forma negativa puede afirmarse que las medidas que de ninguna manera puedan afectar a los derechos fundamentales que se protegen por la autonomía universitaria, tampoco pueden afectar a ésta’ (STC 47/2005, de 3 de marzo, FJ 6)”.</w:t>
      </w:r>
    </w:p>
    <w:p w:rsidR="00AC56D6" w:rsidRDefault="00AC56D6" w:rsidP="00AC56D6">
      <w:pPr>
        <w:pStyle w:val="TextoNormal"/>
      </w:pPr>
    </w:p>
    <w:p w:rsidR="00AC56D6" w:rsidRDefault="00AC56D6" w:rsidP="00AC56D6">
      <w:pPr>
        <w:pStyle w:val="TextoNormal"/>
      </w:pPr>
      <w:r>
        <w:t>Complemento de este contenido esencial, lo configura a su vez el listado de facultades o ámbitos de actuación principales que la legislación básica reguladora de las enseñanzas universitarias ha conferido a las universidades, titulares cada una de ellas (STC 183/2011, FFJJ 6 y 7 y resoluciones que cita) del mencionado derecho fundamental. Esas facultades, que en su momento hemos precisado eran las recogidas en el art. 3.2 LORU, pasan a ser tras la entrada en vigor de la LOU 6/2001, las del art. 2.2 de esta última [STC 87/2014, de 29 de mayo, FJ 7].</w:t>
      </w:r>
    </w:p>
    <w:p w:rsidR="00AC56D6" w:rsidRDefault="00AC56D6" w:rsidP="00AC56D6">
      <w:pPr>
        <w:pStyle w:val="TextoNormal"/>
      </w:pPr>
    </w:p>
    <w:p w:rsidR="00AC56D6" w:rsidRDefault="00AC56D6" w:rsidP="00AC56D6">
      <w:pPr>
        <w:pStyle w:val="TextoNormal"/>
      </w:pPr>
      <w:r>
        <w:t xml:space="preserve">Partiendo de este elenco, la incidencia de las normas impugnadas en el ejercicio de la autonomía universitaria ofrece una consideración distinta: en primer lugar, sobre la facultad de “elaboración y aprobación de planes de estudio e investigación y de enseñanzas específicas de formación a lo largo de toda la vida” [art. 2.2 d) LOU], al tratarse, como aquí sucede, </w:t>
      </w:r>
      <w:r>
        <w:lastRenderedPageBreak/>
        <w:t xml:space="preserve">de la regulación de las directrices generales —comunes y en su caso, específicas— dictadas por el Estado, sobre cuya base a su vez se elaboran los planes por cada universidad, la afectación del derecho fundamental del art. 27.10 CE ofrece una “menor intensidad”, con palabras de nuestra STC 103/2001, de 23 de abril, FJ 5. Tales directrices, para entendernos, no fijan “el bagaje de conocimientos que debe contener cada título, sino la arquitectura o armazón de todos los títulos que los hace reconocibles, con independencia de sus concretos contenidos, como títulos oficiales válidos en toda España … directrices sobre aspectos de los planes de estudio no vinculados estrechamente a las libertades académicas ni, por tanto, al derecho a la autonomía universitaria. Por ello, basta con que las directrices gubernativas reconozcan un margen suficiente de opción o autorregulación a cada Universidad para excluir toda objeción de inconstitucionalidad </w:t>
      </w:r>
      <w:r w:rsidRPr="00AC56D6">
        <w:rPr>
          <w:i/>
        </w:rPr>
        <w:t>ex</w:t>
      </w:r>
      <w:r>
        <w:t xml:space="preserve"> art. 27.10 CE” [STC 103/2001, FJ 7].</w:t>
      </w:r>
    </w:p>
    <w:p w:rsidR="00AC56D6" w:rsidRDefault="00AC56D6" w:rsidP="00AC56D6">
      <w:pPr>
        <w:pStyle w:val="TextoNormal"/>
      </w:pPr>
    </w:p>
    <w:p w:rsidR="00AC56D6" w:rsidRDefault="00AC56D6" w:rsidP="00AC56D6">
      <w:pPr>
        <w:pStyle w:val="TextoNormal"/>
      </w:pPr>
      <w:r>
        <w:t>Una mayor incidencia de las normas impugnadas sí cabe apreciar, en cambio, en la potestad de las universidades para la “expedición de los títulos de carácter oficial y validez en todo el territorio nacional y de sus diplomas y títulos propios” [art. 2.2 g) LOU], especialmente si se considera el término “expedición” no de manera estricta (acto final que precede a la entrega de cada título), sino a todo el procedimiento previo para su aprobación. En ese sentido, la Ley Orgánica 4/2007 ha traído consigo una reforma importante del sistema al cambiar el procedimiento, según luego veremos.</w:t>
      </w:r>
    </w:p>
    <w:p w:rsidR="00AC56D6" w:rsidRDefault="00AC56D6" w:rsidP="00AC56D6">
      <w:pPr>
        <w:pStyle w:val="TextoNormal"/>
      </w:pPr>
    </w:p>
    <w:p w:rsidR="00AC56D6" w:rsidRDefault="00AC56D6" w:rsidP="00AC56D6">
      <w:pPr>
        <w:pStyle w:val="TextoNormal"/>
      </w:pPr>
      <w:r>
        <w:t>Por tanto, al existir un grado cierto —aunque desigual— de implicación de los preceptos impugnados con la autonomía universitaria y los demás derechos fundamentales que la doctrina antes citada anuda al ejercicio de ésta, resulta pertinente resolver si se ha producido la conculcación del principio de reserva de ley orgánica que sostienen los recurrentes.</w:t>
      </w:r>
    </w:p>
    <w:p w:rsidR="00AC56D6" w:rsidRDefault="00AC56D6" w:rsidP="00AC56D6">
      <w:pPr>
        <w:pStyle w:val="TextoNormal"/>
      </w:pPr>
    </w:p>
    <w:p w:rsidR="00AC56D6" w:rsidRDefault="00AC56D6" w:rsidP="00AC56D6">
      <w:pPr>
        <w:pStyle w:val="TextoNormal"/>
      </w:pPr>
      <w:r>
        <w:t xml:space="preserve">b) Este Tribunal ha fijado doctrina acerca de si el principio de reserva de ley orgánica para el desarrollo de los derechos fundamentales, impuesto por el art. 81.1 en relación con el art. 53.1 CE, puede cumplirse mediante remisiones de la ley orgánica al reglamento, en concreto por parte de la LOU 2001, contestando a ello de manera afirmativa: “la colaboración entre la ley orgánica y el reglamento no ha quedado descartada por este Tribunal siempre que la remisión que se haga por parte de la ley a favor de la norma de desarrollo no desvirtúe la finalidad que tiene reservar determinadas materias en tan cualificado tipo de leyes: ‘De un lado, la introducción en nuestro ordenamiento constitucional de la categoría de Ley Orgánica, a la cual se reserva la regulación de determinadas materias, no altera las relaciones tradicionalmente establecidas entre la Ley y el Reglamento. En palabras de la STC 77/1985, ‘las peculiaridades de la Ley Orgánica —en especial la delimitación positiva de su ámbito de normación— en modo alguno justifican el que, respecto a este tipo de fuente, se hayan de considerar alteradas las relaciones entre Ley y Reglamento ejecutivo’, siendo, por ello, constitucionalmente legítimo que el legislador orgánico remita al Reglamento para completar el desarrollo normativo de las materias reservadas al mismo, lo cual en muchos casos será obligado y necesario, ya que ‘no hay Ley en la que se pueda dar entrada a todos los problemas imaginables, muchos de los cuales podrán tener solución particular y derivada en normas reglamentarias’ … De otro lado … es preciso que la delegación se formule en condiciones que no contraríen materialmente la finalidad de la reserva, de la cual se derivan, según la STC 83/1984, ‘ciertas exigencias en cuanto al alcance de las remisiones o habilitaciones legales a la potestad reglamentaria, que pueden resumirse en el criterio de que las mismas sean tales que restrinjan efectivamente el ejercicio de esa potestad a un complemento de la regulación legal que sea indispensable por motivos técnicos o para </w:t>
      </w:r>
      <w:r>
        <w:lastRenderedPageBreak/>
        <w:t>optimizar el cumplimiento de las finalidades propuestas por la Constitución o por la propia Ley’… (STC 101/1991, de 13 de mayo, FJ 3; y más recientemente STC 17/2013, de 31 de enero, FJ 4)” [STC 131/2013, de 5 de junio, FJ 5; en el mismo sentido, STC 134/2013, de 6 de junio, FJ 4].</w:t>
      </w:r>
    </w:p>
    <w:p w:rsidR="00AC56D6" w:rsidRDefault="00AC56D6" w:rsidP="00AC56D6">
      <w:pPr>
        <w:pStyle w:val="TextoNormal"/>
      </w:pPr>
    </w:p>
    <w:p w:rsidR="00AC56D6" w:rsidRDefault="00AC56D6" w:rsidP="00AC56D6">
      <w:pPr>
        <w:pStyle w:val="TextoNormal"/>
      </w:pPr>
      <w:r>
        <w:t>En aplicación de esta doctrina, se adelanta que no cabe apreciar la deslegalización indebida que se predica, conforme de inmediato explicaremos. Siguiendo con el orden de los preceptos atacados, la primera referencia ha de hacerse a los arts. 34 y 35, relativos a los títulos universitarios oficiales con validez en todo el territorio nacional, no formulando objeción la demanda sobre los demás títulos que pueden aprobar y expedir las universidades pero que carecen de tal validez (los llamados títulos propios, a los que aludía el art. 34.3 LOU original y ahora el art. 34.2).</w:t>
      </w:r>
    </w:p>
    <w:p w:rsidR="00AC56D6" w:rsidRDefault="00AC56D6" w:rsidP="00AC56D6">
      <w:pPr>
        <w:pStyle w:val="TextoNormal"/>
      </w:pPr>
    </w:p>
    <w:p w:rsidR="00AC56D6" w:rsidRDefault="00AC56D6" w:rsidP="00AC56D6">
      <w:pPr>
        <w:pStyle w:val="TextoNormal"/>
      </w:pPr>
      <w:r>
        <w:t>La Ley Orgánica 4/2007 cambia el modelo de aprobación de los títulos oficiales, competencia que si bien sigue siendo exclusiva del Estado en virtud del art. 149.1.30 CE, se abre a la participación de otras entidades en las fases previas, al pasarse de un catálogo cerrado de enseñanzas y títulos, a otro abierto en el que existen tantos títulos —aprobados por el Gobierno— como planes de estudios impartidos por cada universidad y que han superado los controles previstos en los actuales arts. 34 y 35 LOU. La fase última de la expedición del título, no cuestionada en el recurso, corresponde desde la LOU 2001 al Rector de cada Universidad, actuando en nombre del Rey.</w:t>
      </w:r>
    </w:p>
    <w:p w:rsidR="00AC56D6" w:rsidRDefault="00AC56D6" w:rsidP="00AC56D6">
      <w:pPr>
        <w:pStyle w:val="TextoNormal"/>
      </w:pPr>
    </w:p>
    <w:p w:rsidR="00AC56D6" w:rsidRDefault="00AC56D6" w:rsidP="00AC56D6">
      <w:pPr>
        <w:pStyle w:val="TextoNormal"/>
      </w:pPr>
      <w:r>
        <w:t>Volviendo a la aprobación de los títulos oficiales con validez en el territorio nacional, el art. 35 LOU según la Ley Orgánica 4/2007 contempla las fases y órganos de intervención, que parten de la iniciativa de cada universidad al presentar el respectivo plan de estudio conducente a ese título; la autorización de la Comunidad Autónoma a la que pertenezca; verificación por el Consejo de Universidades de que el plan de estudios se adecúa a las directrices generales dictadas por el Gobierno y, de estar todo conforme, la aprobación del título en Consejo de Ministros, ordenando su inscripción en el Registro de universidades, centros y títulos, organismo dependiente del Ministerio de Educación, Cultura y Deporte, creado por la disposición adicional vigésima LOU y cuyo funcionamiento regula actualmente el Real Decreto 1509/2008, de 12 de septiembre.</w:t>
      </w:r>
    </w:p>
    <w:p w:rsidR="00AC56D6" w:rsidRDefault="00AC56D6" w:rsidP="00AC56D6">
      <w:pPr>
        <w:pStyle w:val="TextoNormal"/>
      </w:pPr>
    </w:p>
    <w:p w:rsidR="00AC56D6" w:rsidRDefault="00AC56D6" w:rsidP="00AC56D6">
      <w:pPr>
        <w:pStyle w:val="TextoNormal"/>
      </w:pPr>
      <w:r>
        <w:t>De acuerdo con este nuevo sistema, cuyo acierto y oportunidad desde la óptica de la política universitaria no nos corresponde aquí enjuiciar, las normas citadas no merecen reproche pues fijan los requisitos esenciales para el establecimiento de los títulos oficiales y con validez en el territorio nacional, dejando a los diversos entes implicados la competencia para ordenar los aspectos procedimentales de las respectivas fases de tramitación.</w:t>
      </w:r>
    </w:p>
    <w:p w:rsidR="00AC56D6" w:rsidRDefault="00AC56D6" w:rsidP="00AC56D6">
      <w:pPr>
        <w:pStyle w:val="TextoNormal"/>
      </w:pPr>
    </w:p>
    <w:p w:rsidR="00AC56D6" w:rsidRDefault="00AC56D6" w:rsidP="00AC56D6">
      <w:pPr>
        <w:pStyle w:val="TextoNormal"/>
      </w:pPr>
      <w:r>
        <w:t>Los elementos que la demanda reputa de necesaria previsión legal, o bien no conciernen en realidad al contenido de un título (“las características de las enseñanzas o estudios necesarios, ni sobre el tiempo de su duración, ni las exigencias específicas de su profesorado…”), o bien como ocurre con la “ordenación, tipificación … de tales títulos”, son aspectos meramente formales que no precisan de su detalle en la ley, bastando con su especificación por vía reglamentaria, como así se hace en el Real Decreto 1002/2010, de 5 de agosto, sobre expedición de títulos universitarios oficiales.</w:t>
      </w:r>
    </w:p>
    <w:p w:rsidR="00AC56D6" w:rsidRDefault="00AC56D6" w:rsidP="00AC56D6">
      <w:pPr>
        <w:pStyle w:val="TextoNormal"/>
      </w:pPr>
    </w:p>
    <w:p w:rsidR="00AC56D6" w:rsidRDefault="00AC56D6" w:rsidP="00AC56D6">
      <w:pPr>
        <w:pStyle w:val="TextoNormal"/>
      </w:pPr>
      <w:r>
        <w:lastRenderedPageBreak/>
        <w:t>Por lo que atañe a su denominación, es cierto que el art. 37 LOU mencionaba al menos las principales clases, en función de los estudios universitarios cursados (distinguía, así, entre diplomado universitario, arquitecto técnico, ingeniero técnico, licenciado, arquitecto, ingeniero y doctor); algo que no hacen ninguno de los tres preceptos aquí impugnados (arts. 34, 35 y 37 LOU/2007). Sin embargo, el art. 37 LOU según la Ley Orgánica 4/2007 prevé que la superación de los tres ciclos en que se estructuran ahora las enseñanzas universitarias, grado, máster y doctorado, permite obtener los títulos oficiales “correspondientes”.</w:t>
      </w:r>
    </w:p>
    <w:p w:rsidR="00AC56D6" w:rsidRDefault="00AC56D6" w:rsidP="00AC56D6">
      <w:pPr>
        <w:pStyle w:val="TextoNormal"/>
      </w:pPr>
    </w:p>
    <w:p w:rsidR="00AC56D6" w:rsidRDefault="00AC56D6" w:rsidP="00AC56D6">
      <w:pPr>
        <w:pStyle w:val="TextoNormal"/>
      </w:pPr>
      <w:r>
        <w:t>Con esta última precisión, el legislador vincula sin duda la denominación de cada título con la del grado universitario cuya superación se acredita, de manera similar a como se preveía antes, aunque no añada tales denominaciones. Con estricto apego a tal mandato, el art. 3.1 del citado Real Decreto 1002/2010, de 5 de agosto, preceptúa que “los títulos oficiales a los que hace referencia el artículo 1 son los de Graduado o Graduada, Máster Universitario y Doctor o Doctora, referidos respectivamente a la superación del primero, segundo y tercer ciclo de los estudios universitarios”. Ciertamente, cada tipo de título no se completa con la denominación de las enseñanzas que acredita, pero dado el catálogo abierto de éstas, como ya se aclaró, no es posible pretender encerrar en una norma, ni siquiera a modo de anexo, un listado de esos títulos que necesariamente tiene vocación de renovación periódica y ampliación constante. Entre otras razones, porque los planes de estudios conducentes a ellos han de someterse a una evaluación periódica (“renovación de la acreditación”), pasado un tiempo tras implantarse (art. 24 del Real Decreto 1393/2007, de 29 de octubre).</w:t>
      </w:r>
    </w:p>
    <w:p w:rsidR="00AC56D6" w:rsidRDefault="00AC56D6" w:rsidP="00AC56D6">
      <w:pPr>
        <w:pStyle w:val="TextoNormal"/>
      </w:pPr>
    </w:p>
    <w:p w:rsidR="00AC56D6" w:rsidRDefault="00AC56D6" w:rsidP="00AC56D6">
      <w:pPr>
        <w:pStyle w:val="TextoNormal"/>
      </w:pPr>
      <w:r>
        <w:t>c) En cuanto a la ordenación de las enseñanzas universitaria en el art. 37 LOU según la Ley Orgánica 4/2007, la demanda considera insuficientes las indicaciones que se contienen en el precepto, al establecer éste que se estructurarán “en tres ciclos: Grado, Máster y Doctorado”.</w:t>
      </w:r>
    </w:p>
    <w:p w:rsidR="00AC56D6" w:rsidRDefault="00AC56D6" w:rsidP="00AC56D6">
      <w:pPr>
        <w:pStyle w:val="TextoNormal"/>
      </w:pPr>
    </w:p>
    <w:p w:rsidR="00AC56D6" w:rsidRDefault="00AC56D6" w:rsidP="00AC56D6">
      <w:pPr>
        <w:pStyle w:val="TextoNormal"/>
      </w:pPr>
      <w:r>
        <w:t>Para analizar la queja, conviene tener en cuenta un dato que aunque no decisivo, tampoco se antoja irrelevante pues explica en buena medida el porqué de las cosas: como afirma el Abogado del Estado en sus alegaciones, la regulación de este punto en la LOU 2007 no difiere en sustancia de la recibida por los textos anteriores, los cuales (arts. 30 LORU y 37 LOU) se limitaron a señalar, aparte de lo relativo a los títulos —que ya se analizó antes—, el número de ciclos en que se estructuran dichas enseñanzas. En esos textos anteriores se regulaba en una norma aparte el doctorado (arts. 31 LORU y 38 LOU) y ahora igualmente (art. 38 LOU/2007), precisando su finalidad y estructura, disposición ésta que, ya se dijo, no se incluye en el recurso como impugnada.</w:t>
      </w:r>
    </w:p>
    <w:p w:rsidR="00AC56D6" w:rsidRDefault="00AC56D6" w:rsidP="00AC56D6">
      <w:pPr>
        <w:pStyle w:val="TextoNormal"/>
      </w:pPr>
    </w:p>
    <w:p w:rsidR="00AC56D6" w:rsidRDefault="00AC56D6" w:rsidP="00AC56D6">
      <w:pPr>
        <w:pStyle w:val="TextoNormal"/>
      </w:pPr>
      <w:r>
        <w:t>Pues bien, el art. 37 LOU según la Ley Orgánica 4/2007 presenta, en lo que ahora interesa destacar, la novedad de que incorpora la denominación de los ciclos, siguiendo en ese punto las directrices de la Declaración de Bolonia para la armonización de los estudios entre los países del Espacio Europeo de Educación Superior, correspondiendo a los de: grado, máster y doctorado. Nada más dice respecto de ellos la norma —como, repetimos, nada se decía en los preceptos precedentes sobre los ciclos anteriores al doctorado—. No cabe duda que nada impedía al legislador haber introducido alguna definición sobre el contenido del grado y el máster, al modo del artículo 38 para el doctorado.</w:t>
      </w:r>
    </w:p>
    <w:p w:rsidR="00AC56D6" w:rsidRDefault="00AC56D6" w:rsidP="00AC56D6">
      <w:pPr>
        <w:pStyle w:val="TextoNormal"/>
      </w:pPr>
    </w:p>
    <w:p w:rsidR="00AC56D6" w:rsidRDefault="00AC56D6" w:rsidP="00AC56D6">
      <w:pPr>
        <w:pStyle w:val="TextoNormal"/>
      </w:pPr>
      <w:r>
        <w:lastRenderedPageBreak/>
        <w:t xml:space="preserve">Aun así, es forzoso entender que esas definiciones adolecerían siempre de un alto nivel de abstracción y síntesis, porque se trata de categorizar, no de detallar, tales enseñanzas. Además, que se prevea que los tres ciclos son sucesivos (se “estructuran en…”) y que el último de ellos, el doctorado, es sede de la “formación investigadora dentro de un ámbito del conocimiento científico, técnico, humanístico o artístico” (art. 38), permite colegir que los dos anteriores tienen como propósito suministrar al alumno los conocimientos y aptitudes necesarios sobre de todo carácter general, con paulatina especialización en el segundo de ellos, tal como siempre se han conformado los grados y así sigue siendo. A tales efectos, el uso de la vía reglamentaria para ordenar </w:t>
      </w:r>
      <w:r w:rsidRPr="00AC56D6">
        <w:rPr>
          <w:i/>
        </w:rPr>
        <w:t>in extenso</w:t>
      </w:r>
      <w:r>
        <w:t xml:space="preserve"> las enseñanzas de cada ciclo, no puede concebirse sino como necesaria colaboración con la ley orgánica, en ámbitos que requieren de una regulación de detalle, en paralelo con su flexibilidad y adecuación continua.</w:t>
      </w:r>
    </w:p>
    <w:p w:rsidR="00AC56D6" w:rsidRDefault="00AC56D6" w:rsidP="00AC56D6">
      <w:pPr>
        <w:pStyle w:val="TextoNormal"/>
      </w:pPr>
    </w:p>
    <w:p w:rsidR="00AC56D6" w:rsidRDefault="00AC56D6" w:rsidP="00AC56D6">
      <w:pPr>
        <w:pStyle w:val="TextoNormal"/>
      </w:pPr>
      <w:r>
        <w:t>Este es el papel que cumple el Real Decreto 1393/2007, de 29 de octubre, por el que se establece la ordenación de las enseñanzas universitarias oficiales, al establecer aspectos tales como el sistema de medida de los estudios a través del llamado “crédito europeo ECTS” (</w:t>
      </w:r>
      <w:r w:rsidRPr="00AC56D6">
        <w:rPr>
          <w:i/>
        </w:rPr>
        <w:t>European Credit Transfer and Accumulation System</w:t>
      </w:r>
      <w:r>
        <w:t>, en inglés), introducido por el Real Decreto 1125/2003, de 5 de septiembre como elemento integrador del Espacio Europeo de Educación Superior y clave para la movilidad de estudiantes y profesionales dentro de dicho Espacio; el número de créditos para superar cada ciclo (punto éste modificado recientemente por el Real Decreto 43/2015, de 2 de febrero, al pasar de los 240 créditos ECTS para el grado, a un arco de 180-240 créditos, —y un mínimo de 300 créditos para acceder al doctorado—; arco a disposición de cada universidad, eso sí, siguiendo el procedimiento del art. 35 LOU vigente, ya expuesto antes); las directrices sobre las ramas de conocimiento dentro del grado; sistemas de evaluación, etc. (para el doctorado se ha dictado el Real Decreto 99/2011, de 28 de enero, por el que se regulan las enseñanzas oficiales de doctorado, también objeto de ajuste por el Real Decreto 43/2015).</w:t>
      </w:r>
    </w:p>
    <w:p w:rsidR="00AC56D6" w:rsidRDefault="00AC56D6" w:rsidP="00AC56D6">
      <w:pPr>
        <w:pStyle w:val="TextoNormal"/>
      </w:pPr>
    </w:p>
    <w:p w:rsidR="00AC56D6" w:rsidRDefault="00AC56D6" w:rsidP="00AC56D6">
      <w:pPr>
        <w:pStyle w:val="TextoNormal"/>
      </w:pPr>
      <w:r>
        <w:t>No existen razones suficientes, en definitiva, para poder sostener que se produce una auténtica deslegalización de la reserva de ley orgánica, conforme a nuestra doctrina. El intento de la demanda por comparar esta normativa con la contenida en la Ley Orgánica 2/2006, de 3 de mayo, de educación, carece de objeto aunque en esta última se contemplen también enseñanzas de educación superior (art. 3.5), pero que no son universitarias.</w:t>
      </w:r>
    </w:p>
    <w:p w:rsidR="00AC56D6" w:rsidRDefault="00AC56D6" w:rsidP="00AC56D6">
      <w:pPr>
        <w:pStyle w:val="TextoNormal"/>
      </w:pPr>
    </w:p>
    <w:p w:rsidR="00AC56D6" w:rsidRDefault="00AC56D6" w:rsidP="00AC56D6">
      <w:pPr>
        <w:pStyle w:val="TextoNormal"/>
      </w:pPr>
      <w:r>
        <w:t>d) Finalmente, tampoco cabe deducir que los tres preceptos impugnados (arts. 34, 35 y 37 según la Ley Orgánica 4/2007) vulneren el principio de reserva de ley predicable de los arts. 35 36 CE, este último para el ejercicio de profesiones tituladas, como también se afirma en la demanda.</w:t>
      </w:r>
    </w:p>
    <w:p w:rsidR="00AC56D6" w:rsidRDefault="00AC56D6" w:rsidP="00AC56D6">
      <w:pPr>
        <w:pStyle w:val="TextoNormal"/>
      </w:pPr>
    </w:p>
    <w:p w:rsidR="00AC56D6" w:rsidRDefault="00AC56D6" w:rsidP="00AC56D6">
      <w:pPr>
        <w:pStyle w:val="TextoNormal"/>
      </w:pPr>
      <w:r>
        <w:t>Respecto del primero de ellos, del que hemos precisado que “‘el derecho constitucionalmente garantizado en el art. 35.1 CE no es el derecho a desarrollar cualquier actividad, sino el de elegir libremente profesión y oficio’ (STC 83/1984, de 24 de julio, FJ 3)” [STC 109/2003, de 5 de junio, FJ 13], no se entiende desde qué perspectiva podría menoscabar el ejercicio de ese derecho de libertad, la regulación contenida en el artículo impugnado acerca de los grados que integran las enseñanzas universitarias y el procedimiento para la aprobación y expedición de los correspondientes títulos; ni en qué afecta al mandato constitucional de que una ley regule el “estatuto de los trabajadores” (art. 35.2).</w:t>
      </w:r>
    </w:p>
    <w:p w:rsidR="00AC56D6" w:rsidRDefault="00AC56D6" w:rsidP="00AC56D6">
      <w:pPr>
        <w:pStyle w:val="TextoNormal"/>
      </w:pPr>
    </w:p>
    <w:p w:rsidR="00AC56D6" w:rsidRDefault="00AC56D6" w:rsidP="00AC56D6">
      <w:pPr>
        <w:pStyle w:val="TextoNormal"/>
      </w:pPr>
      <w:r>
        <w:lastRenderedPageBreak/>
        <w:t>Otro tanto sucede con el art. 36 CE y la reserva de ley para regular el ejercicio de profesiones tituladas. Conviene traer a colación nuestra reciente STC 170/2014, de 23 de octubre, en la que declaramos que el concepto de profesión titulada del art. 36 CE, directamente conectada por cierto con la competencia exclusiva del Estado del art. 149.1.30 CE [FJ 4 b)], no necesariamente exige la acreditación para su ejercicio solamente de estudios universitarios, pudiendo ser necesaria “una formación complementaria que acredite la capacitación para ejercer la profesión para cuyo ejercicio habilita el título” [FJ 4 a)], de manera que tengan cabida “títulos profesionales no académicos” [FJ 5 b)].</w:t>
      </w:r>
    </w:p>
    <w:p w:rsidR="00AC56D6" w:rsidRDefault="00AC56D6" w:rsidP="00AC56D6">
      <w:pPr>
        <w:pStyle w:val="TextoNormal"/>
      </w:pPr>
    </w:p>
    <w:p w:rsidR="00AC56D6" w:rsidRDefault="00AC56D6" w:rsidP="00AC56D6">
      <w:pPr>
        <w:pStyle w:val="TextoNormal"/>
      </w:pPr>
      <w:r>
        <w:t>Los títulos regulados por la LOU, antes y después de la Ley Orgánica 4/2007, surten efectos académicos, pero sólo habilitan para el ejercicio de una profesión en los supuestos en que así lo establezca la ley reguladora de ésta (sin perjuicio de que ello exija, a su vez, la pertinente adecuación de los planes de estudio por las universidades que los ofertan: art. 12.9 del Real Decreto 1393/2007, de 29 de octubre, en la redacción dada al mismo por el art. 1.2, del Real Decreto 43/2015, de 2 de febrero).</w:t>
      </w:r>
    </w:p>
    <w:p w:rsidR="00AC56D6" w:rsidRDefault="00AC56D6" w:rsidP="00AC56D6">
      <w:pPr>
        <w:pStyle w:val="TextoNormal"/>
      </w:pPr>
    </w:p>
    <w:p w:rsidR="00AC56D6" w:rsidRDefault="00AC56D6" w:rsidP="00AC56D6">
      <w:pPr>
        <w:pStyle w:val="TextoNormal"/>
      </w:pPr>
      <w:r>
        <w:t>Pero además, hemos recordado en la misma STC 170/2014 el alcance de la reserva de ley enunciada en el mencionado art. 36 CE; reserva que ni siquiera obliga a una ordenación de todas las profesiones, sino que “lo único que está estableciendo, como declara la STC 194/1998, de 1 de octubre, FJ 5, es que es el legislador el que debe determinar ‘qué profesiones quedan fuera del principio general de libertad, valorando cuáles de esas profesiones requieren, por atender a los fines mencionados, la incorporación a un Colegio Profesional, así como, en su caso, la importancia que al respecto haya de otorgar a la exigencia de una previa titulación para el ejercicio profesional’ (FJ 5)” [FJ 4 d)].</w:t>
      </w:r>
    </w:p>
    <w:p w:rsidR="00AC56D6" w:rsidRDefault="00AC56D6" w:rsidP="00AC56D6">
      <w:pPr>
        <w:pStyle w:val="TextoNormal"/>
      </w:pPr>
    </w:p>
    <w:p w:rsidR="00AC56D6" w:rsidRDefault="00AC56D6" w:rsidP="00AC56D6">
      <w:pPr>
        <w:pStyle w:val="TextoNormal"/>
      </w:pPr>
      <w:r>
        <w:t>Parece claro entonces, que el objeto de las tres disposiciones cuestionadas no influye en la actividad del legislador en esta materia, ni interfiere o modula la posibilidad de desarrollo por normas reglamentarias, pues se sitúa en un estadio previo, el de la formación universitaria necesaria para acceder, en su caso, al ejercicio de la profesión así regulada.</w:t>
      </w:r>
    </w:p>
    <w:p w:rsidR="00AC56D6" w:rsidRDefault="00AC56D6" w:rsidP="00AC56D6">
      <w:pPr>
        <w:pStyle w:val="TextoNormal"/>
      </w:pPr>
    </w:p>
    <w:p w:rsidR="00AC56D6" w:rsidRDefault="00AC56D6" w:rsidP="00AC56D6">
      <w:pPr>
        <w:pStyle w:val="TextoNormal"/>
      </w:pPr>
      <w:r>
        <w:t>Como conclusión, se desestima este motivo del recurso y declaramos que los arts. 34, 35 y 37 LOU, en la redacción dada por la Ley Orgánica 4/2007, no son contrarios al principio de reserva de ley orgánica para regular el ejercicio de derechos fundamentales (arts. 53.1 y 81.1 CE), como tampoco contrarios al derecho a la libertad del trabajo del art. 35 CE, ni conculcan la reserva de ley de los arts. 35 y 36 CE.</w:t>
      </w:r>
    </w:p>
    <w:p w:rsidR="00AC56D6" w:rsidRDefault="00AC56D6" w:rsidP="00AC56D6">
      <w:pPr>
        <w:pStyle w:val="TextoNormal"/>
      </w:pPr>
    </w:p>
    <w:p w:rsidR="00AC56D6" w:rsidRDefault="00AC56D6" w:rsidP="00AC56D6">
      <w:pPr>
        <w:pStyle w:val="TextoNormal"/>
      </w:pPr>
      <w:r w:rsidRPr="00AC56D6">
        <w:rPr>
          <w:rStyle w:val="NumeroAFNegritaCaracter"/>
        </w:rPr>
        <w:t>5</w:t>
      </w:r>
      <w:r>
        <w:t>. El último bloque de impugnación comprende los arts. 56.2 y 62, este último en sus apartados 3 y 4, LOU, en la redacción dada a los mismos por el artículo único, apartados 59 y 64, respectivamente, de la Ley Orgánica 4/2007, de 12 de abril. Su dicción es la siguiente:</w:t>
      </w:r>
    </w:p>
    <w:p w:rsidR="00AC56D6" w:rsidRDefault="00AC56D6" w:rsidP="00AC56D6">
      <w:pPr>
        <w:pStyle w:val="TextoNormal"/>
      </w:pPr>
    </w:p>
    <w:p w:rsidR="00AC56D6" w:rsidRDefault="00AC56D6" w:rsidP="00AC56D6">
      <w:pPr>
        <w:pStyle w:val="TextoNormal"/>
      </w:pPr>
      <w:r>
        <w:t>“Art. 56. Cuerpos docentes universitarios.</w:t>
      </w:r>
    </w:p>
    <w:p w:rsidR="00AC56D6" w:rsidRDefault="00AC56D6" w:rsidP="00AC56D6">
      <w:pPr>
        <w:pStyle w:val="TextoNormal"/>
      </w:pPr>
    </w:p>
    <w:p w:rsidR="00AC56D6" w:rsidRDefault="00AC56D6" w:rsidP="00AC56D6">
      <w:pPr>
        <w:pStyle w:val="TextoNormal"/>
      </w:pPr>
      <w:r>
        <w:t>…</w:t>
      </w:r>
    </w:p>
    <w:p w:rsidR="00AC56D6" w:rsidRDefault="00AC56D6" w:rsidP="00AC56D6">
      <w:pPr>
        <w:pStyle w:val="TextoNormal"/>
      </w:pPr>
    </w:p>
    <w:p w:rsidR="00AC56D6" w:rsidRDefault="00AC56D6" w:rsidP="00AC56D6">
      <w:pPr>
        <w:pStyle w:val="TextoNormal"/>
      </w:pPr>
      <w:r>
        <w:t>2: El profesorado funcionario se regirá por las bases establecidas en esta Ley y en su desarrollo, por las disposiciones que, en virtud de sus competencias, dicten las Comunidades Autónomas, por la legislación general de funcionarios que les sea de aplicación y por los estatutos.”</w:t>
      </w:r>
    </w:p>
    <w:p w:rsidR="00AC56D6" w:rsidRDefault="00AC56D6" w:rsidP="00AC56D6">
      <w:pPr>
        <w:pStyle w:val="TextoNormal"/>
      </w:pPr>
    </w:p>
    <w:p w:rsidR="00AC56D6" w:rsidRDefault="00AC56D6" w:rsidP="00AC56D6">
      <w:pPr>
        <w:pStyle w:val="TextoNormal"/>
      </w:pPr>
      <w:r>
        <w:t xml:space="preserve">“Art. 62. Concursos para el acceso a plazas de los cuerpos docentes universitarios </w:t>
      </w:r>
    </w:p>
    <w:p w:rsidR="00AC56D6" w:rsidRDefault="00AC56D6" w:rsidP="00AC56D6">
      <w:pPr>
        <w:pStyle w:val="TextoNormal"/>
      </w:pPr>
    </w:p>
    <w:p w:rsidR="00AC56D6" w:rsidRDefault="00AC56D6" w:rsidP="00AC56D6">
      <w:pPr>
        <w:pStyle w:val="TextoNormal"/>
      </w:pPr>
      <w:r>
        <w:t>…</w:t>
      </w:r>
    </w:p>
    <w:p w:rsidR="00AC56D6" w:rsidRDefault="00AC56D6" w:rsidP="00AC56D6">
      <w:pPr>
        <w:pStyle w:val="TextoNormal"/>
      </w:pPr>
    </w:p>
    <w:p w:rsidR="00AC56D6" w:rsidRDefault="00AC56D6" w:rsidP="00AC56D6">
      <w:pPr>
        <w:pStyle w:val="TextoNormal"/>
      </w:pPr>
      <w:r>
        <w:t>3. Los estatutos de cada universidad regularán la composición de las comisiones de selección de las plazas convocadas y garantizarán, en todo caso, la necesaria aptitud científica y docente de sus componentes. Dicha composición deberá ajustarse a los principios de imparcialidad y profesionalidad de sus miembros, procurando una composición equilibrada entre mujeres y hombres, salvo que no sea posible por razones fundadas y objetivas debidamente motivadas. En cualquier caso, los miembros de las comisiones deberán reunir los requisitos indicados en el artículo 57.2 y sus currículos deberán hacerse públicos.</w:t>
      </w:r>
    </w:p>
    <w:p w:rsidR="00AC56D6" w:rsidRDefault="00AC56D6" w:rsidP="00AC56D6">
      <w:pPr>
        <w:pStyle w:val="TextoNormal"/>
      </w:pPr>
    </w:p>
    <w:p w:rsidR="00AC56D6" w:rsidRDefault="00AC56D6" w:rsidP="00AC56D6">
      <w:pPr>
        <w:pStyle w:val="TextoNormal"/>
      </w:pPr>
      <w:r>
        <w:t>4. Igualmente, los estatutos regularán el procedimiento que ha de regir en los concursos, que deberá valorar, en todo caso, el historial académico, docente e investigador del candidato o candidata, su proyecto docente e investigador, así como contrastar sus capacidades para la exposición y debate en la correspondiente materia o especialidad en sesión pública.”</w:t>
      </w:r>
    </w:p>
    <w:p w:rsidR="00AC56D6" w:rsidRDefault="00AC56D6" w:rsidP="00AC56D6">
      <w:pPr>
        <w:pStyle w:val="TextoNormal"/>
      </w:pPr>
    </w:p>
    <w:p w:rsidR="00AC56D6" w:rsidRDefault="00AC56D6" w:rsidP="00AC56D6">
      <w:pPr>
        <w:pStyle w:val="TextoNormal"/>
      </w:pPr>
      <w:r>
        <w:t>La demanda del recurso, como ya se explicó en los antecedentes, alega que los dos preceptos incurren en motivos similares de inconstitucionalidad, pero invierte su orden para su mejor análisis al entender que el segundo de ellos, el art. 62, reúne con mayor claridad los defectos que se objetan, y que el art. 56 es un ejemplo más de ellos. En resumen, del art. 62 LOU según la Ley Orgánica 4/2007 se afirma que desconoce la competencia del Estado para regular el acceso y selección del profesorado universitario, materia en la que, por tratarse de funcionarios del Estado, tiene atribuida no solamente la fijación de las bases sino también su desarrollo legislativo, tal como ha declarado este Tribunal. Se desconoce, en concreto, que la regulación de dicho acceso ha de producirse siempre en condiciones de igualdad (art. 23.2 CE) y con respeto a los principios constitucionales de mérito y capacidad (art. 103.3 CE).</w:t>
      </w:r>
    </w:p>
    <w:p w:rsidR="00AC56D6" w:rsidRDefault="00AC56D6" w:rsidP="00AC56D6">
      <w:pPr>
        <w:pStyle w:val="TextoNormal"/>
      </w:pPr>
    </w:p>
    <w:p w:rsidR="00AC56D6" w:rsidRDefault="00AC56D6" w:rsidP="00AC56D6">
      <w:pPr>
        <w:pStyle w:val="TextoNormal"/>
      </w:pPr>
      <w:r>
        <w:t>La uniformidad se quiebra, de esta guisa, porque el reformado art. 62 confía aspectos esenciales del proceso de acceso a las propias universidades, tanto en lo que se refiere a la composición de las comisiones que han de juzgar los correspondientes concursos, como por la naturaleza (concurso de méritos) y el contenido de las pruebas, de las que dicho precepto regula apenas elementos indeterminados. Como consecuencia también, se infringe la reserva de ley que imponen los arts. 53.1 y 81.1 CE, al afectar a derechos fundamentales [libertad de cátedra, art. 20.1 c) CE, y de enseñanza, art. 27.1 CE], así como el art. 103.3 CE respecto de los principios que consagra. Se añade que el mandato incluido en el art. 62.3 LOU según la Ley Orgánica 4/2007, para que en la integración de las comisiones de selección se procure una composición equilibrada entre mujeres y hombres, puede resultar contrario al derecho de igualdad en el acceso a la función pública, si se entiende esta expresión como exigencia de paridad.</w:t>
      </w:r>
    </w:p>
    <w:p w:rsidR="00AC56D6" w:rsidRDefault="00AC56D6" w:rsidP="00AC56D6">
      <w:pPr>
        <w:pStyle w:val="TextoNormal"/>
      </w:pPr>
    </w:p>
    <w:p w:rsidR="00AC56D6" w:rsidRDefault="00AC56D6" w:rsidP="00AC56D6">
      <w:pPr>
        <w:pStyle w:val="TextoNormal"/>
      </w:pPr>
      <w:r>
        <w:t xml:space="preserve">Por su lado, en lo que concierne al art. 56 que también se impugna, los recurrentes sostienen similar vaciamiento de las competencias legislativas del Estado, bien que no ya en favor de las universidades sino de las Comunidades Autónomas, “en cuanto reduce el régimen del profesorado universitario funcionario establecido por la ley estatal a sólo sus bases, remitiendo en general lo relativo a su desarrollo a las Comunidades Autónomas”, e invoca </w:t>
      </w:r>
      <w:r>
        <w:lastRenderedPageBreak/>
        <w:t>de nuevo la doctrina de este Tribunal sobre el alcance de la competencia estatal en esta materia. Todo ello, además, con vulneración del derecho a la igualdad de los arts. 14 y 23.2, en relación con los principios del art. 103.3 CE.</w:t>
      </w:r>
    </w:p>
    <w:p w:rsidR="00AC56D6" w:rsidRDefault="00AC56D6" w:rsidP="00AC56D6">
      <w:pPr>
        <w:pStyle w:val="TextoNormal"/>
      </w:pPr>
    </w:p>
    <w:p w:rsidR="00AC56D6" w:rsidRDefault="00AC56D6" w:rsidP="00AC56D6">
      <w:pPr>
        <w:pStyle w:val="TextoNormal"/>
      </w:pPr>
      <w:r>
        <w:t>El escrito de alegaciones del Abogado del Estado, siguiendo el orden que propone la demanda del recurso, se opone a los argumentos de ésta. En primer lugar, porque la existencia de cuerpos docentes universitarios de carácter nacional ya está garantizada en los preceptos que preceden a los impugnados (arts. 56 a 60), mientras que el art. 62 se limita a regular el acceso “a concretas plazas en las Universidades” de dicho personal funcionario, garantizando una mínima uniformidad en dicho acceso. Por otro lado, si bien el concurso de méritos es un “procedimiento normal de provisión” en el acceso a la función pública, en el caso de los funcionarios docentes en cada universidad el acceso se cumple en dos fases (acreditación y concurso), “fácilmente reconducibles a una concurso-oposición”. Finalmente, acerca de la exigencia de una composición equilibrada en las comisiones entre mujeres y hombres, se rechaza que pueda traer consigo una lesión del derecho a la igualdad, remitiéndose a los razonamientos dados a propósito del art. 27.1 LOU según la Ley Orgánica 4/2007, ya examinado antes.</w:t>
      </w:r>
    </w:p>
    <w:p w:rsidR="00AC56D6" w:rsidRDefault="00AC56D6" w:rsidP="00AC56D6">
      <w:pPr>
        <w:pStyle w:val="TextoNormal"/>
      </w:pPr>
    </w:p>
    <w:p w:rsidR="00AC56D6" w:rsidRDefault="00AC56D6" w:rsidP="00AC56D6">
      <w:pPr>
        <w:pStyle w:val="TextoNormal"/>
      </w:pPr>
      <w:r>
        <w:t>Así expuesto y para la mejor resolución de este bloque argumental del recurso, procede hacer una precisión previa de orden metodológico. A diferencia de lo que postula la demanda no se considera justificado invertir el orden de análisis de los preceptos, pues al margen de que sean similares algunos argumentos que sustentan la presunta inconstitucionalidad de los dos, el contenido de las normas resulta distinto y, sobre todo, lo es también la función que tiene encomendada cada uno de ellos: el apartado segundo del art. 56 LOU, antes y después de su reforma por la Ley Orgánica 4/2007, es una disposición general que tiene por fin delimitar el marco normativo en que se han de desenvolver las entidades competentes en la regulación del régimen del profesorado universitario funcionario.</w:t>
      </w:r>
    </w:p>
    <w:p w:rsidR="00AC56D6" w:rsidRDefault="00AC56D6" w:rsidP="00AC56D6">
      <w:pPr>
        <w:pStyle w:val="TextoNormal"/>
      </w:pPr>
    </w:p>
    <w:p w:rsidR="00AC56D6" w:rsidRDefault="00AC56D6" w:rsidP="00AC56D6">
      <w:pPr>
        <w:pStyle w:val="TextoNormal"/>
      </w:pPr>
      <w:r>
        <w:t>En cambio, partiendo justamente de ese marco general, el art. 62 se circunscribe a la regulación de la fase concreta de concurso en las respectivas universidades. No se aprecia, en esa medida, que para un mejor enjuiciamiento de aquel precepto general deba anteponerse el examen de este otro específico. Seguiremos por tanto en su estudio, el propio orden que marca la ley.</w:t>
      </w:r>
    </w:p>
    <w:p w:rsidR="00AC56D6" w:rsidRDefault="00AC56D6" w:rsidP="00AC56D6">
      <w:pPr>
        <w:pStyle w:val="TextoNormal"/>
      </w:pPr>
    </w:p>
    <w:p w:rsidR="00AC56D6" w:rsidRDefault="00AC56D6" w:rsidP="00AC56D6">
      <w:pPr>
        <w:pStyle w:val="TextoNormal"/>
      </w:pPr>
      <w:r>
        <w:t>En lo tocante entonces al art. 56.2 LOU, en la redacción dada al mismo por la Ley Orgánica 4/2007, han de considerarse acertadas las premisas de doctrina constitucional sobre las que el recurso levanta su impugnación. No lo son, sin embargo, las conclusiones que alcanza al interpretar la letra del precepto:</w:t>
      </w:r>
    </w:p>
    <w:p w:rsidR="00AC56D6" w:rsidRDefault="00AC56D6" w:rsidP="00AC56D6">
      <w:pPr>
        <w:pStyle w:val="TextoNormal"/>
      </w:pPr>
    </w:p>
    <w:p w:rsidR="00AC56D6" w:rsidRDefault="00AC56D6" w:rsidP="00AC56D6">
      <w:pPr>
        <w:pStyle w:val="TextoNormal"/>
      </w:pPr>
      <w:r>
        <w:t>a) Este Tribunal ha declarado en relación con el art. 149.1.18 CE, que es competencia exclusiva del Estado la fijación de las “bases” del régimen estatutario de los funcionarios de todas las Administraciones públicas, pudiendo asumir las Comunidades Autónomas competencia en el desarrollo legislativo y ejecución de dicho régimen (STC 235/1991, de 12 de diciembre, FJ 2).</w:t>
      </w:r>
    </w:p>
    <w:p w:rsidR="00AC56D6" w:rsidRDefault="00AC56D6" w:rsidP="00AC56D6">
      <w:pPr>
        <w:pStyle w:val="TextoNormal"/>
      </w:pPr>
    </w:p>
    <w:p w:rsidR="00AC56D6" w:rsidRDefault="00AC56D6" w:rsidP="00AC56D6">
      <w:pPr>
        <w:pStyle w:val="TextoNormal"/>
      </w:pPr>
      <w:r>
        <w:t xml:space="preserve">Hemos enunciado además un catálogo de aquellos ámbitos a los que, como mínimo, han de referirse tales bases: “a la adquisición y pérdida de la condición de funcionario, a las condiciones de promoción en la carrera administrativa y a las situaciones que en ésta puedan </w:t>
      </w:r>
      <w:r>
        <w:lastRenderedPageBreak/>
        <w:t>darse, a los derechos y deberes y responsabilidad de los funcionarios y a su régimen disciplinario, así como a la creación e integración, en su caso, de cuerpos y escalas funcionariales y al modo de provisión de puestos de trabajo al servicio de las Administraciones Públicas, pues habiendo optado la Constitución por un régimen estatutario, con carácter general, para los servidores públicos (arts. 103.3 y 149.1.18), habrá de ser también la Ley la que determine en qué casos y con qué condiciones pueden reconocerse otras posibles vías para el acceso al servicio de la Administración Pública. Las normas que disciplinen estos ámbitos serán, en el concepto constitucional, ordenadoras del Estatuto de los funcionarios públicos, pues todas ellas interesarán directamente a las relaciones entre éstos y las Administraciones a las que sirven, configurando así el régimen jurídico en el que pueda nacer y desenvolverse la condición de funcionario y ordenando su posición propia en el seno de la Administración” [SSTC 99/1987, de 11 de junio, FJ 3 c); y 235/2000, de 5 de octubre, FJ 5. En el mismo sentido, SSTC 294/2006, de 11 de octubre, FJ 4; 175/2011, de 8 de noviembre, FJ 5; 163/2012, de 20 de septiembre, FJ 3, y 224/2012, de 29 de noviembre, FJ 3].</w:t>
      </w:r>
    </w:p>
    <w:p w:rsidR="00AC56D6" w:rsidRDefault="00AC56D6" w:rsidP="00AC56D6">
      <w:pPr>
        <w:pStyle w:val="TextoNormal"/>
      </w:pPr>
    </w:p>
    <w:p w:rsidR="00AC56D6" w:rsidRDefault="00AC56D6" w:rsidP="00AC56D6">
      <w:pPr>
        <w:pStyle w:val="TextoNormal"/>
      </w:pPr>
      <w:r>
        <w:t>Junto a esta doctrina de carácter general hemos indicado que es al Estado al que compete agotar la regulación de su régimen jurídico, sin que entre en juego la distinción bases-desarrollo: “este Tribunal ha declarado que los funcionarios de los Cuerpos docentes universitarios ‘no son funcionarios [de la Comunidad Autónoma] o de su Administración Local …’ (SSTC 26/1987 y 146/1989), y ha añadido que ‘si bien inicialmente son funcionarios de la Universidad para la que son nombrados, ello no impide su traslado a otras Universidades mediante los concursos de méritos regulados por la Ley, y esta condición de funcionarios interuniversitarios o comunicables entre las diferentes Universidades justifica la aplicación al caso de las competencias exclusivas del Estado que se determinan en el art. 149.1.1, y especialmente en el art. 149.1.18 de la Constitución’ (SSTC 26/1987 y 146/1989). Así, pues, no es cierto, en contra de lo que sostienen las Comunidades Autónomas que han planteado el conflicto, que, en el régimen estatutario de funcionarios que no pertenecen a los Cuerpos de las Comunidades Autónomas, tengan éstas la competencia del desarrollo legislativo de las bases establecidas por el Estado, ya que en sus respectivos Estatutos de Autonomía han asumido tal competencia sólo para el régimen estatutario de sus propios funcionarios. Ello no significa, en modo alguno, que las Comunidades Autónomas no tengan competencias de desarrollo legislativo en la regulación de la actividad docente, pues pueden tenerla en virtud de otros títulos competenciales distintos al del régimen estatutario de los funcionarios públicos. Por tanto, para definir la titularidad de las competencias controvertidas habrá que estar, en cada caso, al contenido concreto de los preceptos …, de tal manera que, si dicho contenido pertenece al régimen estatutario de la función pública, el esquema bases-desarrollo no servirá para resolver el conflicto planteado, pues el Estado puede regular, sin distinción de bases y desarrollo, el estatuto de los funcionarios docentes universitarios, pertenecientes a los Cuerpos Nacionales, con el límite, claro está, de la autonomía universitaria (art. 27.10 de la C.E.)” (STC 235/1991, de 12 de diciembre, FJ 2; en el mismo sentido, STC 131/1996, de 11 de julio, FJ 7). En definitiva, la competencia de desarrollo de las bases, que el precepto reconoce a las Comunidades Autónomas, debe entenderse con exclusión de lo que se refiere al estatuto de los funcionarios de los cuerpos docentes universitarios de carácter nacional.</w:t>
      </w:r>
    </w:p>
    <w:p w:rsidR="00AC56D6" w:rsidRDefault="00AC56D6" w:rsidP="00AC56D6">
      <w:pPr>
        <w:pStyle w:val="TextoNormal"/>
      </w:pPr>
    </w:p>
    <w:p w:rsidR="00AC56D6" w:rsidRDefault="00AC56D6" w:rsidP="00AC56D6">
      <w:pPr>
        <w:pStyle w:val="TextoNormal"/>
      </w:pPr>
      <w:r>
        <w:t xml:space="preserve">b) La aplicación de la doctrina de referencia conduce a desestimar la queja de inconstitucionalidad. El fundamento de ésta, ya se ha dicho, es que los recurrentes consideran que el tenor actual del mencionado art. 56.2 determina que el Estado ha limitado impropiamente </w:t>
      </w:r>
      <w:r>
        <w:lastRenderedPageBreak/>
        <w:t>su capacidad normativa a la sola fijación de las bases, dejando a las Comunidades Autónomas su desarrollo, lo que contraría la jurisprudencia de este Tribunal.</w:t>
      </w:r>
    </w:p>
    <w:p w:rsidR="00AC56D6" w:rsidRDefault="00AC56D6" w:rsidP="00AC56D6">
      <w:pPr>
        <w:pStyle w:val="TextoNormal"/>
      </w:pPr>
    </w:p>
    <w:p w:rsidR="00AC56D6" w:rsidRDefault="00AC56D6" w:rsidP="00AC56D6">
      <w:pPr>
        <w:pStyle w:val="TextoNormal"/>
      </w:pPr>
      <w:r>
        <w:t>No puede compartirse esta exégesis del precepto cuestionado. El art. 56 LOU, que ya indicamos es una disposición general que preside la regulación dedicada a los cuerpos docentes universitarios (v. gr., funcionarios), tiene un apartado primero, no modificado por la Ley Orgánica 4/2007, donde se establecen dichos cuerpos: catedráticos de universidad y profesores titulares de universidad (dejan de incluirse los de catedráticos de escuela universitaria y profesores titulares de escuela universitaria, que antes preveía el art. 33 LORU, los cuales pasan a ser cuerpos a extinguir, sin perjuicio de la integración de sus miembros en los dos actuales, previa superación de las pruebas de acceso). Y un apartado segundo, el aquí controvertido, que informa cuál es el marco regulador del régimen funcionarial: uno de carácter básico, “las bases establecidas en esta Ley”; y otro de desarrollo, integrado por: “las disposiciones que, en virtud de sus competencias, dicten las Comunidades Autónomas … la legislación general de funcionarios que les sea de aplicación y por los estatutos” de las universidades.</w:t>
      </w:r>
    </w:p>
    <w:p w:rsidR="00AC56D6" w:rsidRDefault="00AC56D6" w:rsidP="00AC56D6">
      <w:pPr>
        <w:pStyle w:val="TextoNormal"/>
      </w:pPr>
    </w:p>
    <w:p w:rsidR="00AC56D6" w:rsidRDefault="00AC56D6" w:rsidP="00AC56D6">
      <w:pPr>
        <w:pStyle w:val="TextoNormal"/>
      </w:pPr>
      <w:r>
        <w:t>El art. 56.2 LOU original no hablaba de “bases” para referirse a dicha Ley Orgánica, y dentro de la legislación de desarrollo no incluía a las Comunidades Autónomas, si bien sí mencionaba a los estatutos de las universidades (“el profesorado universitario funcionario se regirá por la presente Ley y sus disposiciones de desarrollo, por la legislación general de funcionarios que le sea de aplicación y por los Estatutos”).</w:t>
      </w:r>
    </w:p>
    <w:p w:rsidR="00AC56D6" w:rsidRDefault="00AC56D6" w:rsidP="00AC56D6">
      <w:pPr>
        <w:pStyle w:val="TextoNormal"/>
      </w:pPr>
    </w:p>
    <w:p w:rsidR="00AC56D6" w:rsidRDefault="00AC56D6" w:rsidP="00AC56D6">
      <w:pPr>
        <w:pStyle w:val="TextoNormal"/>
      </w:pPr>
      <w:r>
        <w:t>Ahora bien, no consideramos que las modificaciones introducidas por la Ley Orgánica 4/2007 alteren el sistema competencial, tal como postula la demanda. En primer lugar, porque calificarse la propia LOU en este precepto como una legislación básica (“las bases establecidas en esta Ley”), no es incorrecto y expresa el ejercicio por el Estado del título competencial del art. 149.1.18 CE, como ya indicamos antes. De hecho, es uno de los tres títulos que habilita al legislador para el dictado de esta ley, conforme aclara la disposición final primera de la misma LOU (donde se citan también los del art. 149.1.15 y 30 CE).</w:t>
      </w:r>
    </w:p>
    <w:p w:rsidR="00AC56D6" w:rsidRDefault="00AC56D6" w:rsidP="00AC56D6">
      <w:pPr>
        <w:pStyle w:val="TextoNormal"/>
      </w:pPr>
    </w:p>
    <w:p w:rsidR="00AC56D6" w:rsidRDefault="00AC56D6" w:rsidP="00AC56D6">
      <w:pPr>
        <w:pStyle w:val="TextoNormal"/>
      </w:pPr>
      <w:r>
        <w:t>En segundo lugar, que el precepto silencie (pues en ningún momento niega) la competencia del propio Estado para dictar “disposiciones de desarrollo” de la LOU, aparte de mostrar una defectuosa técnica legislativa, no produce el efecto jurídico que los recurrentes denuncian, puesto que sigue rigiendo para todos los ámbitos regulados en la citada ley, lo establecido en su disposición final tercera, titulada: “habilitación para el desarrollo reglamentario”, donde se establece que: “corresponde al Gobierno y a las Comunidades Autónomas en el ámbito de sus respectivas competencias dictar las disposiciones necesarias para el desarrollo y aplicación de la presente ley”. En su cumplimiento el Estado ha dictado diversos reglamentos, entre los cuales se encuentran, en lo que aquí interesa, aquellos que se citan en la presente Sentencia relativas al profesorado universitario.</w:t>
      </w:r>
    </w:p>
    <w:p w:rsidR="00AC56D6" w:rsidRDefault="00AC56D6" w:rsidP="00AC56D6">
      <w:pPr>
        <w:pStyle w:val="TextoNormal"/>
      </w:pPr>
    </w:p>
    <w:p w:rsidR="00AC56D6" w:rsidRDefault="00AC56D6" w:rsidP="00AC56D6">
      <w:pPr>
        <w:pStyle w:val="TextoNormal"/>
      </w:pPr>
      <w:r>
        <w:t xml:space="preserve">Finalmente, la alusión en el artículo cuestionado a las normas de las Comunidades Autónomas y a los estatutos de las universidades se formula, según textualmente aparece en dicho apartado segundo, “en virtud de sus competencias”. Reserva ésta que descarta que se esté produciendo una renuncia de las que corresponden al Estado en favor de aquellas otras entidades, dejando a las normas específicas la fijación de las correspondientes atribuciones. </w:t>
      </w:r>
      <w:r>
        <w:lastRenderedPageBreak/>
        <w:t>Serán eventualmente estas últimas, por tanto, y no el art. 56.2 —que no menciona ninguna—, las que podrían adolecer de inconstitucionalidad por la causa que se alega.</w:t>
      </w:r>
    </w:p>
    <w:p w:rsidR="00AC56D6" w:rsidRDefault="00AC56D6" w:rsidP="00AC56D6">
      <w:pPr>
        <w:pStyle w:val="TextoNormal"/>
      </w:pPr>
    </w:p>
    <w:p w:rsidR="00AC56D6" w:rsidRDefault="00AC56D6" w:rsidP="00AC56D6">
      <w:pPr>
        <w:pStyle w:val="TextoNormal"/>
      </w:pPr>
      <w:r>
        <w:t>Con arreglo a las consideraciones que anteceden, declaramos que el art. 56.2 LOU, en la redacción dada por la Ley Orgánica 4/2007, no es inconstitucional por vulnerar el art. 149.1.18 CE, en cuanto a la competencia del Estado para regular el régimen del profesorado universitario funcionario.</w:t>
      </w:r>
    </w:p>
    <w:p w:rsidR="00AC56D6" w:rsidRDefault="00AC56D6" w:rsidP="00AC56D6">
      <w:pPr>
        <w:pStyle w:val="TextoNormal"/>
      </w:pPr>
    </w:p>
    <w:p w:rsidR="00AC56D6" w:rsidRDefault="00AC56D6" w:rsidP="00AC56D6">
      <w:pPr>
        <w:pStyle w:val="TextoNormal"/>
      </w:pPr>
      <w:r w:rsidRPr="00AC56D6">
        <w:rPr>
          <w:rStyle w:val="NumeroAFNegritaCaracter"/>
        </w:rPr>
        <w:t>6</w:t>
      </w:r>
      <w:r>
        <w:t xml:space="preserve">. Se aborda de inmediato la impugnación del art. 62, apartados 3 y 4 LOU según la Ley Orgánica 4/2007, relativos a la celebración de la fase de concurso en las universidades. Sostienen los recurrentes, como veíamos antes, que se han desconocido los mandatos constitucionales de uniformidad e igualdad en el acceso a la condición de funcionarios, art. 23.2 CE, y sujeción a los principios de mérito y capacidad </w:t>
      </w:r>
      <w:r w:rsidRPr="00AC56D6">
        <w:rPr>
          <w:i/>
        </w:rPr>
        <w:t>ex</w:t>
      </w:r>
      <w:r>
        <w:t xml:space="preserve"> art. 103.3 CE; vulnerándose asimismo la reserva legal orgánica del art. 81.1 CE y la del citado art. 103.3 CE. Las críticas se proyectan tanto respecto de la composición de las comisiones que han de juzgar dichos concursos, como en cuanto a las pruebas exigidas para su superación.</w:t>
      </w:r>
    </w:p>
    <w:p w:rsidR="00AC56D6" w:rsidRDefault="00AC56D6" w:rsidP="00AC56D6">
      <w:pPr>
        <w:pStyle w:val="TextoNormal"/>
      </w:pPr>
    </w:p>
    <w:p w:rsidR="00AC56D6" w:rsidRDefault="00AC56D6" w:rsidP="00AC56D6">
      <w:pPr>
        <w:pStyle w:val="TextoNormal"/>
      </w:pPr>
      <w:r>
        <w:t>Para dar respuesta satisfactoria a los temas que se nos someten, hemos de traer a colación ante todo la doctrina constitucional que aparece como relevante:</w:t>
      </w:r>
    </w:p>
    <w:p w:rsidR="00AC56D6" w:rsidRDefault="00AC56D6" w:rsidP="00AC56D6">
      <w:pPr>
        <w:pStyle w:val="TextoNormal"/>
      </w:pPr>
    </w:p>
    <w:p w:rsidR="00AC56D6" w:rsidRDefault="00AC56D6" w:rsidP="00AC56D6">
      <w:pPr>
        <w:pStyle w:val="TextoNormal"/>
      </w:pPr>
      <w:r>
        <w:t>a) A tales efectos procede recordar, ante todo, que una de las consecuencias que se derivan de la condición de funcionarios públicos de los cuerpos docentes universitarios, conforme tenemos dicho, es la exigencia de un régimen uniforme de acceso, sin incidencia en la autonomía universitaria por cuanto “una vez establecido el sistema funcionarial de los Cuerpos docentes universitarios … es inherente a ese sistema la existencia de un régimen uniforme de acceso y selección del profesorado en todas las Universidades. Porque, si bien inicialmente son funcionarios de la Universidad para la que son nombrados, ello no impide su traslado a otras Universidades mediante los concursos de méritos regulados por la ley, y esta condición de funcionarios ‘interuniversitarios’, o ‘comunicables’ entre las diferentes Universidades, justifica la aplicación al caso de las competencias exclusivas del Estado que se determinan en el art. 149.1.1.ª y, especialmente, en el 149.1.18 de la Constitución” [SSTC 26/1987, de 27 de febrero, FJ 12.3 b), y 146/1989, de 21 de septiembre, FJ 2; en el mismo sentido STC 235/1991, de 12 de diciembre, FJ 4 A)].</w:t>
      </w:r>
    </w:p>
    <w:p w:rsidR="00AC56D6" w:rsidRDefault="00AC56D6" w:rsidP="00AC56D6">
      <w:pPr>
        <w:pStyle w:val="TextoNormal"/>
      </w:pPr>
    </w:p>
    <w:p w:rsidR="00AC56D6" w:rsidRDefault="00AC56D6" w:rsidP="00AC56D6">
      <w:pPr>
        <w:pStyle w:val="TextoNormal"/>
      </w:pPr>
      <w:r>
        <w:t>El acceso a la función pública docente universitaria difiere, a su vez, de la selección del personal docente e investigador contratado, el cual sí queda comprendido dentro de la autonomía de las universidades [SSTC 26/1987, FJ 12.1); y 87/2014, de 29 de mayo, FJ 8 a)]. Esta última, sin embargo, pueda quedar sujeta a limitaciones tendentes a que el procedimiento de selección dentro de ellas garantice un mayor grado de objetividad e imparcialidad (STC 87/2014, de 29 de mayo, FFJJ 9 y 10).</w:t>
      </w:r>
    </w:p>
    <w:p w:rsidR="00AC56D6" w:rsidRDefault="00AC56D6" w:rsidP="00AC56D6">
      <w:pPr>
        <w:pStyle w:val="TextoNormal"/>
      </w:pPr>
    </w:p>
    <w:p w:rsidR="00AC56D6" w:rsidRDefault="00AC56D6" w:rsidP="00AC56D6">
      <w:pPr>
        <w:pStyle w:val="TextoNormal"/>
      </w:pPr>
      <w:r>
        <w:t>Sentado lo que antecede, el primer interrogante a desentrañar aquí atiende a la naturaleza de los concursos que regula el impugnado art. 62, en sus apartados 3 y 4 LOU según la Ley Orgánica 4/2007: si son realmente de acceso o por el contrario de mera provisión de plazas entre funcionarios del cuerpo. En función de ello, como hemos visto, será exigible o no que la norma básica del Estado, que es precisamente la que ahora se examina, contemple los aspectos esenciales de dichos concursos o éstos queden a su libre fijación por las universidades.</w:t>
      </w:r>
    </w:p>
    <w:p w:rsidR="00AC56D6" w:rsidRDefault="00AC56D6" w:rsidP="00AC56D6">
      <w:pPr>
        <w:pStyle w:val="TextoNormal"/>
      </w:pPr>
    </w:p>
    <w:p w:rsidR="00AC56D6" w:rsidRDefault="00AC56D6" w:rsidP="00AC56D6">
      <w:pPr>
        <w:pStyle w:val="TextoNormal"/>
      </w:pPr>
      <w:r>
        <w:t xml:space="preserve">b) Una de las principales innovaciones realizadas por la LOU en el sistema de acceso a los cuerpos docentes universitarios, respecto de como se preveía en la LORU de 1983 (arts. 35 a 43), consistió en introducir como requisito previo para optar a un concurso de provisión de plaza de funcionario, siempre que la persona no perteneciera aún a dicho cuerpo, la superación de un control de evaluación de su actividad docente, investigadora y de gestión. Para ello los interesados debían concurrir a pruebas llamadas de “habilitación” que se resolvían por comisiones especializadas previa convocatoria al efecto, con </w:t>
      </w:r>
      <w:r w:rsidRPr="00AC56D6">
        <w:rPr>
          <w:i/>
        </w:rPr>
        <w:t>numerus clausus</w:t>
      </w:r>
      <w:r>
        <w:t xml:space="preserve"> de habilitados en proporción al número de plazas vacantes (arts. 57 a 62 LOU y Real Decreto 774/2002, de 26 de julio, por el que se regula el sistema de habilitación nacional para el acceso a cuerpos de funcionarios docentes universitarios y el régimen de los concursos de acceso respectivos).</w:t>
      </w:r>
    </w:p>
    <w:p w:rsidR="00AC56D6" w:rsidRDefault="00AC56D6" w:rsidP="00AC56D6">
      <w:pPr>
        <w:pStyle w:val="TextoNormal"/>
      </w:pPr>
    </w:p>
    <w:p w:rsidR="00AC56D6" w:rsidRDefault="00AC56D6" w:rsidP="00AC56D6">
      <w:pPr>
        <w:pStyle w:val="TextoNormal"/>
      </w:pPr>
      <w:r>
        <w:t xml:space="preserve">La Ley Orgánica 4/2007 ha mantenido el mismo modelo, si bien suprimiendo las pruebas de habilitación, de modo que en sus arts. 57 a 60 ha venido a confiar esa fase previa de evaluación, que ahora se denomina de “acreditación”, a agencias externas. Agencias que ya actuaban —y siguen haciéndolo— en la evaluación previa para la selección del profesorado contratado, </w:t>
      </w:r>
      <w:r w:rsidRPr="00AC56D6">
        <w:rPr>
          <w:i/>
        </w:rPr>
        <w:t>ex</w:t>
      </w:r>
      <w:r>
        <w:t xml:space="preserve"> arts. 50 a 52 en relación con los arts. 31.3 y 32 LOU, habiendo tenido ocasión este Tribunal de declarar la constitucionalidad de esta concreta faceta de actividad de tales agencias [SSTC 131/2013, de 5 de junio, FJ 8 b); 134/2013, de 6 de junio, FJ 6; y 107/2014, de 26 de junio, FJ 3].</w:t>
      </w:r>
    </w:p>
    <w:p w:rsidR="00AC56D6" w:rsidRDefault="00AC56D6" w:rsidP="00AC56D6">
      <w:pPr>
        <w:pStyle w:val="TextoNormal"/>
      </w:pPr>
    </w:p>
    <w:p w:rsidR="00AC56D6" w:rsidRDefault="00AC56D6" w:rsidP="00AC56D6">
      <w:pPr>
        <w:pStyle w:val="TextoNormal"/>
      </w:pPr>
      <w:r>
        <w:t>La regulación actual de la “acreditación” sitúa a ésta, de modo inequívoco, como un trámite anterior al acceso a los cuerpos docentes, sin que pueda confundirse con dicho acceso si bien, al servir como condicionante directo de éste, obliga a considerar las consecuencias que de ello se derivan en los términos que luego se concretarán. Así, el art. 57.1 LOU —según la Ley Orgánica 4/2007— establece que: “El acceso a los cuerpos de funcionarios docentes universitarios mencionados en el artículo 56.1 exigirá la previa obtención de una acreditación nacional”; y el art. 2 del Real Decreto 1312/2007, de 5 de octubre, por el que se establece la acreditación nacional para el acceso a los cuerpos docentes universitarios, dice: “La finalidad del procedimiento es la obtención del correspondiente certificado de acreditación que constituye el requisito imprescindible para concurrir a los concursos de acceso a los cuerpos de profesorado funcionario docente a que se refiere el artículo 57.1 de la Ley Orgánica 6/2001, de 21 de diciembre”.</w:t>
      </w:r>
    </w:p>
    <w:p w:rsidR="00AC56D6" w:rsidRDefault="00AC56D6" w:rsidP="00AC56D6">
      <w:pPr>
        <w:pStyle w:val="TextoNormal"/>
      </w:pPr>
    </w:p>
    <w:p w:rsidR="00AC56D6" w:rsidRDefault="00AC56D6" w:rsidP="00AC56D6">
      <w:pPr>
        <w:pStyle w:val="TextoNormal"/>
      </w:pPr>
      <w:r>
        <w:t>Ni la LOU, ni el citado Real Decreto 1312/2007, contienen disposición alguna que reconozca al candidato que obtiene la habilitación/acreditación, por este único hecho, la condición de funcionario del cuerpo para el que ha presentado su solicitud. La normativa de desarrollo del régimen del profesorado universitario (el Real Decreto 898/1985, de 30 de abril; así como el Real Decreto 1086/1989, de 28 de agosto, sobre retribuciones, ambos reformados pero todavía vigentes), tampoco contempla para los evaluados positivamente la adquisición de los derechos y deberes que legalmente se anudan a la posesión de la correspondiente categoría funcionarial; por el contrario, aquéllos mantienen la situación profesional que tenían.</w:t>
      </w:r>
    </w:p>
    <w:p w:rsidR="00AC56D6" w:rsidRDefault="00AC56D6" w:rsidP="00AC56D6">
      <w:pPr>
        <w:pStyle w:val="TextoNormal"/>
      </w:pPr>
    </w:p>
    <w:p w:rsidR="00AC56D6" w:rsidRDefault="00AC56D6" w:rsidP="00AC56D6">
      <w:pPr>
        <w:pStyle w:val="TextoNormal"/>
      </w:pPr>
      <w:r>
        <w:t>Así las cosas, a los concursos del art. 62 LOU pueden concurrir, según se ordena expresamente, “quienes hayan sido acreditados” (o en su día habilitados), además de “los funcio</w:t>
      </w:r>
      <w:r>
        <w:lastRenderedPageBreak/>
        <w:t>narios y funcionarias de los Cuerpos de Profesores Titulares de Universidad y de Catedráticos de Universidad” (art. 62.2). Al garantizarse en todo caso el derecho a participar de los primeros, quienes de tal guisa todavía no forman parte del cuerpo al que pertenece la plaza vacante, dichos concursos han de calificarse por fuerza, según el rótulo de la propia ley indica respecto de ellos, como auténticos concursos “de acceso”.</w:t>
      </w:r>
    </w:p>
    <w:p w:rsidR="00AC56D6" w:rsidRDefault="00AC56D6" w:rsidP="00AC56D6">
      <w:pPr>
        <w:pStyle w:val="TextoNormal"/>
      </w:pPr>
    </w:p>
    <w:p w:rsidR="00AC56D6" w:rsidRDefault="00AC56D6" w:rsidP="00AC56D6">
      <w:pPr>
        <w:pStyle w:val="TextoNormal"/>
      </w:pPr>
      <w:r>
        <w:t>Con esta consideración, y atendiendo a la doctrina constitucional ya referenciada, resulta plenamente exigible que dichos concursos se regulen de manera uniforme por el Estado, tanto en lo que atañe a los requisitos esenciales de las comisiones de selección (art. 62.3 impugnado), como al contenido de las pruebas que han de celebrarse (art. 62.4 impugnado), sin que estos aspectos puedan quedar sometidos a la libertad de cada universidad pues no opera sobre ellos el derecho fundamental del art. 27.10 CE, según aclara la misma doctrina, como veíamos.</w:t>
      </w:r>
    </w:p>
    <w:p w:rsidR="00AC56D6" w:rsidRDefault="00AC56D6" w:rsidP="00AC56D6">
      <w:pPr>
        <w:pStyle w:val="TextoNormal"/>
      </w:pPr>
    </w:p>
    <w:p w:rsidR="00AC56D6" w:rsidRDefault="00AC56D6" w:rsidP="00AC56D6">
      <w:pPr>
        <w:pStyle w:val="TextoNormal"/>
      </w:pPr>
      <w:r>
        <w:t>c) Todavía con carácter previo a analizar los apartados del precepto cuestionado, conviene puntualizar el alcance del principio de reserva de ley que la demanda considera vulnerado, desde la doble perspectiva de la reserva de ley orgánica del art. 81.1 CE, al estar concernido el derecho de igualdad en el acceso a la función pública (art. 23.2 CE); y el de la reserva de ley del art. 103.3 CE, en cuanto a garantizarse que aquel acceso se produzca con respeto a los principios de mérito y capacidad de los candidatos.</w:t>
      </w:r>
    </w:p>
    <w:p w:rsidR="00AC56D6" w:rsidRDefault="00AC56D6" w:rsidP="00AC56D6">
      <w:pPr>
        <w:pStyle w:val="TextoNormal"/>
      </w:pPr>
    </w:p>
    <w:p w:rsidR="00AC56D6" w:rsidRDefault="00AC56D6" w:rsidP="00AC56D6">
      <w:pPr>
        <w:pStyle w:val="TextoNormal"/>
      </w:pPr>
      <w:r>
        <w:t>En el primer plano (art. 81.1 CE), damos por reproducida la cita de la doctrina constitucional pertinente, efectuada en el anterior FJ 5 b) de esta Sentencia, acerca de las relaciones entre la ley orgánica y el reglamento en la regulación de los derechos fundamentales, y la actuación, con límites, de esa colaboración reglamentaria.</w:t>
      </w:r>
    </w:p>
    <w:p w:rsidR="00AC56D6" w:rsidRDefault="00AC56D6" w:rsidP="00AC56D6">
      <w:pPr>
        <w:pStyle w:val="TextoNormal"/>
      </w:pPr>
    </w:p>
    <w:p w:rsidR="00AC56D6" w:rsidRDefault="00AC56D6" w:rsidP="00AC56D6">
      <w:pPr>
        <w:pStyle w:val="TextoNormal"/>
      </w:pPr>
      <w:r>
        <w:t xml:space="preserve">Y respecto de la reserva de ley </w:t>
      </w:r>
      <w:r w:rsidRPr="00AC56D6">
        <w:rPr>
          <w:i/>
        </w:rPr>
        <w:t>ex</w:t>
      </w:r>
      <w:r>
        <w:t xml:space="preserve"> art. 103.3 CE, vinculada a la igualdad del art. 23.2 CE, nuestra doctrina ha sido recientemente recordada en la STC 111/2014, de 26 de junio, FJ 2, con cita de la precedente STC 130/2009, de 1 de junio, FJ 3, en estos términos: “‘Con respecto al art. 23.2 CE existe una consolidada doctrina de este Tribunal Constitucional (entre otras, STC 38/2007, de 15 de febrero, FJ 9, y 30/2008, de 25 de febrero, FJ 6) según la cual lo que el citado precepto constitucional consagra es un derecho de configuración legal, de tal modo que compete establecer las condiciones de acceso a la función pública con arreglo a los principios de igualdad, mérito y capacidad (art. 103.3 CE) al legislador, correspondiendo a éste la decisión sobre los distintos requisitos y condiciones para el acceso a la función pública que han de reunir los candidatos. De esta forma la Constitución española reserva a la ley la regulación de las condiciones de ejercicio del derecho establecido en su art. 23.2, lo que entraña una garantía de orden material que se traduce en la imperativa exigencia de predeterminar cuáles hayan de ser las condiciones para acceder a la función pública de conformidad con los principios constitucionales de igualdad, mérito y capacidad, los cuales sólo pueden preservarse y establecerse mediante la intervención positiva del legislador. Además el art. 23.2, en relación con el 103.3 CE, instituye un derecho de acceso en condiciones de igualdad, al que se opone la integración automática de determinados grupos en la función pública (STC 302/1993, de 21 de octubre), así como, en principio y salvo excepciones, las llamadas “pruebas restringidas” para el acceso a la función pública (SSTC 27/1991, de 14 de febrero, 151/1992, de 19 de octubre, 4/1993, de 14 de enero, 60/1994, de 28 de febrero, 16/1998, de 26 de enero, o 12/1999, de 11 de febrero)’.”</w:t>
      </w:r>
    </w:p>
    <w:p w:rsidR="00AC56D6" w:rsidRDefault="00AC56D6" w:rsidP="00AC56D6">
      <w:pPr>
        <w:pStyle w:val="TextoNormal"/>
      </w:pPr>
    </w:p>
    <w:p w:rsidR="00AC56D6" w:rsidRDefault="00AC56D6" w:rsidP="00AC56D6">
      <w:pPr>
        <w:pStyle w:val="TextoNormal"/>
      </w:pPr>
      <w:r>
        <w:lastRenderedPageBreak/>
        <w:t>La colaboración del reglamento con la ley no está en modo alguno descartada en este ámbito (arts. 23.2 y 103.3 CE), como se explica en la misma STC 111/2014, FJ 4, cuidando eso sí que no se rebasen los límites hacia una prohibida deslegalización, lo que sucederá cuando “‘tales remisiones hagan posible una regulación independiente y no claramente subordinada a la Ley, lo que supondría una degradación de la reserva formulada por la Constitución a favor del legislador (STC 83/1984, de 23 de julio, FJ 4, confirmado, por todos, en el FJ 14 de la STC 292/2000, de 30 de noviembre). Las habilitaciones o remisiones legales a la potestad reglamentaria deben, según nuestra doctrina allí expresada, restringir el ejercicio de dicha potestad ‘a un complemento de la regulación legal que sea indispensable por motivos técnicos o para optimizar el cumplimiento de las finalidades propuestas por la Constitución o por la propia Ley’, criterio ‘contradicho con evidencia mediante cláusulas legales … en virtud de las que se produce una verdadera deslegalización de la materia reservada, esto es, una total abdicación por parte del legislador de su facultad para establecer reglas limitativas, transfiriendo esta facultad al titular de la potestad reglamentaria, sin fijar ni siquiera cuáles son los fines u objetivos que la reglamentación ha de perseguir’ (STC 112/2006, de 5 de abril, FJ 5)”.</w:t>
      </w:r>
    </w:p>
    <w:p w:rsidR="00AC56D6" w:rsidRDefault="00AC56D6" w:rsidP="00AC56D6">
      <w:pPr>
        <w:pStyle w:val="TextoNormal"/>
      </w:pPr>
    </w:p>
    <w:p w:rsidR="00AC56D6" w:rsidRDefault="00AC56D6" w:rsidP="00AC56D6">
      <w:pPr>
        <w:pStyle w:val="TextoNormal"/>
      </w:pPr>
      <w:r>
        <w:t>Enunciada la doctrina relevante, procede ya abordar el estudio de los apartados del artículo 62 que se han impugnado.</w:t>
      </w:r>
    </w:p>
    <w:p w:rsidR="00AC56D6" w:rsidRDefault="00AC56D6" w:rsidP="00AC56D6">
      <w:pPr>
        <w:pStyle w:val="TextoNormal"/>
      </w:pPr>
    </w:p>
    <w:p w:rsidR="00AC56D6" w:rsidRDefault="00AC56D6" w:rsidP="00AC56D6">
      <w:pPr>
        <w:pStyle w:val="TextoNormal"/>
      </w:pPr>
      <w:r w:rsidRPr="00AC56D6">
        <w:rPr>
          <w:rStyle w:val="NumeroAFNegritaCaracter"/>
        </w:rPr>
        <w:t>7</w:t>
      </w:r>
      <w:r>
        <w:t>. Se da comienzo por el núm. 3 del citado dispositivo, el cual tiene por fin regular la “composición” de las comisiones que han de juzgar los concursos:</w:t>
      </w:r>
    </w:p>
    <w:p w:rsidR="00AC56D6" w:rsidRDefault="00AC56D6" w:rsidP="00AC56D6">
      <w:pPr>
        <w:pStyle w:val="TextoNormal"/>
      </w:pPr>
    </w:p>
    <w:p w:rsidR="00AC56D6" w:rsidRDefault="00AC56D6" w:rsidP="00AC56D6">
      <w:pPr>
        <w:pStyle w:val="TextoNormal"/>
      </w:pPr>
      <w:r>
        <w:t>a) Se señala en dicho apartado que la universidad convocante garantizará “la necesaria aptitud científica y docente” de los componentes de cada comisión, así como “los principios de imparcialidad y profesionalidad”. Se exige también la pertenencia de todos ellos al cuerpo para el que se convoca la plaza, si la misma fuere de catedrático de universidad, o la presencia de catedráticos y titulares si la plaza es de este último cuerpo (remisión a lo dispuesto en el art. 57.2 LOU); y que sus currículos se hagan públicos de manera previa.</w:t>
      </w:r>
    </w:p>
    <w:p w:rsidR="00AC56D6" w:rsidRDefault="00AC56D6" w:rsidP="00AC56D6">
      <w:pPr>
        <w:pStyle w:val="TextoNormal"/>
      </w:pPr>
    </w:p>
    <w:p w:rsidR="00AC56D6" w:rsidRDefault="00AC56D6" w:rsidP="00AC56D6">
      <w:pPr>
        <w:pStyle w:val="TextoNormal"/>
      </w:pPr>
      <w:r>
        <w:t xml:space="preserve">Todas estas exigencias cumplen con la reserva de ley y se amoldan, sin duda, a la doctrina de este Tribunal en materia de comisiones de selección para el acceso a la función pública, en cuya virtud: “‘el derecho fundamental </w:t>
      </w:r>
      <w:r w:rsidRPr="00AC56D6">
        <w:rPr>
          <w:i/>
        </w:rPr>
        <w:t>ex</w:t>
      </w:r>
      <w:r>
        <w:t xml:space="preserve"> art. 23.2 CE, puesto en relación sistemática con el inciso segundo de su art. 103.3 ... impone la necesidad de que el acceso a las funciones y cargos públicos se haga de acuerdo con los principios de mérito y capacidad (SSTC 75/1983, 148/1986, 193/1987, 206/1988, 67/1989, 215/1991 y 353/1993)’, a cuyo efecto, y ‘en íntima conexión con esta configuración de tal derecho fundamental, hemos afirmado que el discernimiento de esa idoneidad de los aspirantes a una plaza en la función pública ha de corresponder exclusivamente a órganos calificadores compuestos por personas dotadas de la debida preparación científica y técnica en la materia propia de cada función o cargo’ (STC 174/1996, de 11 de noviembre, FJ 2). Es ésta una doctrina que se corresponde con la sentada, entre otras, en las SSTC 85/1983, FJ 8, y 215/1991, de 14 de noviembre, FFJJ 3, 4 y 5” [STC 235/2000, de 5 de octubre, FJ 5].</w:t>
      </w:r>
    </w:p>
    <w:p w:rsidR="00AC56D6" w:rsidRDefault="00AC56D6" w:rsidP="00AC56D6">
      <w:pPr>
        <w:pStyle w:val="TextoNormal"/>
      </w:pPr>
    </w:p>
    <w:p w:rsidR="00AC56D6" w:rsidRDefault="00AC56D6" w:rsidP="00AC56D6">
      <w:pPr>
        <w:pStyle w:val="TextoNormal"/>
      </w:pPr>
      <w:r>
        <w:t xml:space="preserve">Por otra parte, no puede producir rechazo, en contra de lo defendido por el recurso, que el precepto disponga que se procurará alcanzar en dichas comisiones “una composición equilibrada entre mujeres y hombres, salvo que no sea posible por razones fundadas y objetivas debidamente motivadas”. Basta con remitirnos a las consideraciones ya efectuadas </w:t>
      </w:r>
      <w:r>
        <w:lastRenderedPageBreak/>
        <w:t>en el anterior fundamento jurídico 3 b) de esta Sentencia, en relación con un mandato similar incluido en el impugnado art. 27.1 LOU, el cual declaramos conforme con la carta fundamental. Tan sólo añadir ahora, que no resulta desproporcionado exigir la explicación de las razones “fundadas y objetivas” que impiden en el caso concreto cumplir con aquel equilibrio, cuando tal eventualidad suceda.</w:t>
      </w:r>
    </w:p>
    <w:p w:rsidR="00AC56D6" w:rsidRDefault="00AC56D6" w:rsidP="00AC56D6">
      <w:pPr>
        <w:pStyle w:val="TextoNormal"/>
      </w:pPr>
    </w:p>
    <w:p w:rsidR="00AC56D6" w:rsidRDefault="00AC56D6" w:rsidP="00AC56D6">
      <w:pPr>
        <w:pStyle w:val="TextoNormal"/>
      </w:pPr>
      <w:r>
        <w:t>b) Respecto al número de miembros que han de componer las comisiones, así como el método a utilizar para su designación, la norma impugnada señala que serán los estatutos de cada universidad los encargados de regular ambos aspectos. Se trata de una opción ejercida por el legislador estatal en cuya oportunidad política no cabe injerirse, quedando limitado nuestro control a determinar si con esta medida se quiebra la exigencia constitucional de uniformidad en el régimen de acceso.</w:t>
      </w:r>
    </w:p>
    <w:p w:rsidR="00AC56D6" w:rsidRDefault="00AC56D6" w:rsidP="00AC56D6">
      <w:pPr>
        <w:pStyle w:val="TextoNormal"/>
      </w:pPr>
    </w:p>
    <w:p w:rsidR="00AC56D6" w:rsidRDefault="00AC56D6" w:rsidP="00AC56D6">
      <w:pPr>
        <w:pStyle w:val="TextoNormal"/>
      </w:pPr>
      <w:r>
        <w:t>La respuesta a este respecto, se adelanta, resulta negativa. Ha de atenderse al hecho antes mencionado de que a tales concursos sólo pueden concurrir, además de quienes ya son funcionarios del cuerpo correspondiente, aquellos que sin serlo han obtenido previamente la habilitación o en su caso la acreditación.</w:t>
      </w:r>
    </w:p>
    <w:p w:rsidR="00AC56D6" w:rsidRDefault="00AC56D6" w:rsidP="00AC56D6">
      <w:pPr>
        <w:pStyle w:val="TextoNormal"/>
      </w:pPr>
    </w:p>
    <w:p w:rsidR="00AC56D6" w:rsidRDefault="00AC56D6" w:rsidP="00AC56D6">
      <w:pPr>
        <w:pStyle w:val="TextoNormal"/>
      </w:pPr>
      <w:r>
        <w:t>A diferencia de lo que ocurre con los primeros, para los segundos, los habilitados y acreditados, el concurso sí es de acceso pero el requisito de la uniformidad ya ha quedado cumplido en la fase previa en la que se evaluó su actividad docente, investigadora y de gestión universitaria. En efecto, con el sistema de habilitaciones la tarea de evaluación recaía sobre comisiones especializadas únicas a nivel nacional, que se integraban por profesores de las áreas de conocimiento de las plazas objeto de provisión (art. 57.1 LOU 2001; art. 6.3 del Real Decreto 774/2002, de 26 de julio); designándose una comisión por área, en cada convocatoria.</w:t>
      </w:r>
    </w:p>
    <w:p w:rsidR="00AC56D6" w:rsidRDefault="00AC56D6" w:rsidP="00AC56D6">
      <w:pPr>
        <w:pStyle w:val="TextoNormal"/>
      </w:pPr>
    </w:p>
    <w:p w:rsidR="00AC56D6" w:rsidRDefault="00AC56D6" w:rsidP="00AC56D6">
      <w:pPr>
        <w:pStyle w:val="TextoNormal"/>
      </w:pPr>
      <w:r>
        <w:t>Por su parte, con el sistema de acreditados, la evaluación se efectúa por comisiones que actúan en el seno de la agencia de evaluación. Conforme con el art. 4.2 del Real Decreto 1312/2007, de 5 de octubre, en estos años ha venido funcionando una única comisión por cada una de las cinco “ramas de conocimiento”, dentro de las que se agrupan “materias básicas” afines que contienen, a su vez, a las distintas áreas de conocimiento. Una vez entren en vigor las modificaciones introducidas a este sistema por el Real Decreto 415/2015, de 29 de mayo, cada comisión seguirá siendo única y se articulará, según el nuevo artículo 4.2, “para cada ámbito académico y científico resultante de la agrupación de áreas de conocimiento afines, en los términos previstos en el anexo I”; atribuyéndose la revisión de lo resuelto por éstas, a las comisiones de aquellas ramas del conocimiento.</w:t>
      </w:r>
    </w:p>
    <w:p w:rsidR="00AC56D6" w:rsidRDefault="00AC56D6" w:rsidP="00AC56D6">
      <w:pPr>
        <w:pStyle w:val="TextoNormal"/>
      </w:pPr>
    </w:p>
    <w:p w:rsidR="00AC56D6" w:rsidRDefault="00AC56D6" w:rsidP="00AC56D6">
      <w:pPr>
        <w:pStyle w:val="TextoNormal"/>
      </w:pPr>
      <w:r>
        <w:t xml:space="preserve">Así las cosas, ha de recordarse que este Tribunal fijó doctrina en su STC 26/1987, de 27 de febrero, FJ 12.5 c), en el sentido de que el derecho a la autonomía universitaria no opera en los concursos de acceso a los cuerpos docentes universitarios, sino únicamente en aquellos concursos para la provisión de plazas entre quienes ya pertenezcan a dicho cuerpo. Tal doctrina examinaba las particularidades del régimen legal de acceso a los cuerpos docentes previsto en la Ley de reforma universitaria de 1983, donde no se preveía nada semejante a una fase previa de evaluación de méritos, como la que se ha descrito. Ha de matizarse por tanto ahora aquella doctrina, permitiendo a las universidades ejercitar su libertad </w:t>
      </w:r>
      <w:r w:rsidRPr="00AC56D6">
        <w:rPr>
          <w:i/>
        </w:rPr>
        <w:t>ex</w:t>
      </w:r>
      <w:r>
        <w:t xml:space="preserve"> art. 27.10 CE, en orden a la determinación del número de miembros y el mecanismo de designación de las comisiones que han de juzgar los concursos previstos en el art. 62 LOU, al </w:t>
      </w:r>
      <w:r>
        <w:lastRenderedPageBreak/>
        <w:t>haberse cumplido el requisito de la uniformidad en la fase previa de evaluación de los candidatos, con pleno respeto al derecho fundamental del art. 23.2 CE.</w:t>
      </w:r>
    </w:p>
    <w:p w:rsidR="00AC56D6" w:rsidRDefault="00AC56D6" w:rsidP="00AC56D6">
      <w:pPr>
        <w:pStyle w:val="TextoNormal"/>
      </w:pPr>
    </w:p>
    <w:p w:rsidR="00AC56D6" w:rsidRDefault="00AC56D6" w:rsidP="00AC56D6">
      <w:pPr>
        <w:pStyle w:val="TextoNormal"/>
      </w:pPr>
      <w:r>
        <w:t>Lo anterior no significa, como es lógico, que el ejercicio en este punto por las universidades de la facultad de configurar el procedimiento para la selección de los funcionarios que han de integrar sus cuerpos docentes, y el acuerdo mismo que pone fin al correspondiente procedimiento de selección, queden inmunes al control jurisdiccional. Han de someterse a los principios de igualdad, mérito y capacidad que para el acceso a la función pública impone el art. 103.2 CE, a través de una actuación que puede ser controlada por los Tribunales de la jurisdicción contencioso-administrativa, sin otros límites que los derivados del carácter técnico de esas comisiones de selección.</w:t>
      </w:r>
    </w:p>
    <w:p w:rsidR="00AC56D6" w:rsidRDefault="00AC56D6" w:rsidP="00AC56D6">
      <w:pPr>
        <w:pStyle w:val="TextoNormal"/>
      </w:pPr>
    </w:p>
    <w:p w:rsidR="00AC56D6" w:rsidRDefault="00AC56D6" w:rsidP="00AC56D6">
      <w:pPr>
        <w:pStyle w:val="TextoNormal"/>
      </w:pPr>
      <w:r>
        <w:t>Por último, en cuanto a la queja de los recurrentes relativa a que el apartado impugnado no asegura que los miembros de las comisiones pertenezcan al “área de conocimiento” de la plaza vacante; la objeción parece centrarse más en si el concepto mismo de “área de conocimiento” sigue utilizándose o no para configurar el perfil de las plazas a concurso y, con ello, a determinar la especialidad de los integrantes de las comisiones. La respuesta no la ofrece en realidad, con todo, el art. 62.3 sino el art. 71 LOU, el cual sigue reconociendo la existencia de las áreas de conocimiento y su incidencia en la denominación de las plazas a concurso. No encontramos fundamento, por tanto, para inferir que haya dejado de exigirse una correspondencia entre las plazas objeto de convocatoria y la especialización de las comisiones que han de designarse para juzgar a los candidatos.</w:t>
      </w:r>
    </w:p>
    <w:p w:rsidR="00AC56D6" w:rsidRDefault="00AC56D6" w:rsidP="00AC56D6">
      <w:pPr>
        <w:pStyle w:val="TextoNormal"/>
      </w:pPr>
    </w:p>
    <w:p w:rsidR="00AC56D6" w:rsidRDefault="00AC56D6" w:rsidP="00AC56D6">
      <w:pPr>
        <w:pStyle w:val="TextoNormal"/>
      </w:pPr>
      <w:r>
        <w:t>Lo expuesto trae consigo la desestimación de este motivo del recurso, al no resultar contrario el art. 62.3 LOU al derecho fundamental de acceso a la función pública, arts. 23.2 y 103.3 CE, ni a la reserva legal orgánica del art. 81.1 CE.</w:t>
      </w:r>
    </w:p>
    <w:p w:rsidR="00AC56D6" w:rsidRDefault="00AC56D6" w:rsidP="00AC56D6">
      <w:pPr>
        <w:pStyle w:val="TextoNormal"/>
      </w:pPr>
    </w:p>
    <w:p w:rsidR="00AC56D6" w:rsidRDefault="00AC56D6" w:rsidP="00AC56D6">
      <w:pPr>
        <w:pStyle w:val="TextoNormal"/>
      </w:pPr>
      <w:r w:rsidRPr="00AC56D6">
        <w:rPr>
          <w:rStyle w:val="NumeroAFNegritaCaracter"/>
        </w:rPr>
        <w:t>8</w:t>
      </w:r>
      <w:r>
        <w:t>. El art. 62.4 LOU según la Ley Orgánica 4/2007, se refiere al contenido de las pruebas que conforman el concurso de acceso. Tras indicar que los estatutos de cada universidad regularán “el procedimiento” que ha de seguirse para su celebración, el apartado determina que “en todo caso”, en dichos concursos se deberá valorar “el historial académico, docente e investigador del candidato o candidata, su proyecto docente e investigador, así como contrastar sus capacidades para la exposición y debate en la correspondiente materia o especialidad en sesión pública”.</w:t>
      </w:r>
    </w:p>
    <w:p w:rsidR="00AC56D6" w:rsidRDefault="00AC56D6" w:rsidP="00AC56D6">
      <w:pPr>
        <w:pStyle w:val="TextoNormal"/>
      </w:pPr>
    </w:p>
    <w:p w:rsidR="00AC56D6" w:rsidRDefault="00AC56D6" w:rsidP="00AC56D6">
      <w:pPr>
        <w:pStyle w:val="TextoNormal"/>
      </w:pPr>
      <w:r>
        <w:t>La literalidad del precepto no arroja dudas sobre tres aspectos fundamentales de esas pruebas, que resultan expresivos de la uniformidad en el acceso:</w:t>
      </w:r>
    </w:p>
    <w:p w:rsidR="00AC56D6" w:rsidRDefault="00AC56D6" w:rsidP="00AC56D6">
      <w:pPr>
        <w:pStyle w:val="TextoNormal"/>
      </w:pPr>
    </w:p>
    <w:p w:rsidR="00AC56D6" w:rsidRDefault="00AC56D6" w:rsidP="00AC56D6">
      <w:pPr>
        <w:pStyle w:val="TextoNormal"/>
      </w:pPr>
      <w:r>
        <w:t>(i) El primero, que los apartados objeto de valoración ha de serlo en todos los concursos que se realicen en cualesquier universidad pública, sin excepción.</w:t>
      </w:r>
    </w:p>
    <w:p w:rsidR="00AC56D6" w:rsidRDefault="00AC56D6" w:rsidP="00AC56D6">
      <w:pPr>
        <w:pStyle w:val="TextoNormal"/>
      </w:pPr>
    </w:p>
    <w:p w:rsidR="00AC56D6" w:rsidRDefault="00AC56D6" w:rsidP="00AC56D6">
      <w:pPr>
        <w:pStyle w:val="TextoNormal"/>
      </w:pPr>
      <w:r>
        <w:t>(ii) En segundo lugar, que en esas pruebas solamente se examinan los ámbitos especificados por la norma y no otros distintos.</w:t>
      </w:r>
    </w:p>
    <w:p w:rsidR="00AC56D6" w:rsidRDefault="00AC56D6" w:rsidP="00AC56D6">
      <w:pPr>
        <w:pStyle w:val="TextoNormal"/>
      </w:pPr>
    </w:p>
    <w:p w:rsidR="00AC56D6" w:rsidRDefault="00AC56D6" w:rsidP="00AC56D6">
      <w:pPr>
        <w:pStyle w:val="TextoNormal"/>
      </w:pPr>
      <w:r>
        <w:t>(iii) Y tercero, que en esas pruebas se evalúan los méritos acumulados en la carrera profesional por los candidatos, pero también sus conocimientos y aptitudes actuales, tanto en la elaboración del proyecto docente e investigador, como en la defensa de éste ante la co</w:t>
      </w:r>
      <w:r>
        <w:lastRenderedPageBreak/>
        <w:t>misión designada, la cual ha de llevarse a cabo “en sesión pública” (publicidad de las pruebas). En ese momento los miembros de la comisión pueden formular preguntas al candidato sobre cualquiera de los temas que integran la materia o especialidad científica de aquel proyecto, en consonancia con el perfil de la plaza vacante.</w:t>
      </w:r>
    </w:p>
    <w:p w:rsidR="00AC56D6" w:rsidRDefault="00AC56D6" w:rsidP="00AC56D6">
      <w:pPr>
        <w:pStyle w:val="TextoNormal"/>
      </w:pPr>
    </w:p>
    <w:p w:rsidR="00AC56D6" w:rsidRDefault="00AC56D6" w:rsidP="00AC56D6">
      <w:pPr>
        <w:pStyle w:val="TextoNormal"/>
      </w:pPr>
      <w:r>
        <w:t>Estamos por tanto, sin dificultad para su identificación jurídica, ante un concurso-oposición. De este modo, la norma impugnada muestra su fidelidad con el sistema general de acceso a la función pública, plasmado hoy en el art. 61.6 de la Ley 7/2007, de 12 de abril, del estatuto básico del empleado público (LEEP), precepto que junto con el art. 55 de la misma Ley (relativo a los principios rectores para el acceso al empleo público), hemos calificado de normas básicas a los efectos del art. 149.1.18 CE [SSTC 113/2010, de 24 de noviembre, FJ 3 y 111/2014, de 26 de junio, FJ 3]. El mencionado art. 61.6 dispone que “los sistemas selectivos de funcionarios de carrera serán los de oposición y concurso-oposición que deberán incluir, en todo caso, una o varias pruebas para determinar la capacidad de los aspirantes y establecer el orden de prelación”. Queda con ello el concurso de méritos como un sistema excepcional de acceso, aplicable según el propio art. 61.6 LEEP, “sólo en virtud de ley”.</w:t>
      </w:r>
    </w:p>
    <w:p w:rsidR="00AC56D6" w:rsidRDefault="00AC56D6" w:rsidP="00AC56D6">
      <w:pPr>
        <w:pStyle w:val="TextoNormal"/>
      </w:pPr>
    </w:p>
    <w:p w:rsidR="00AC56D6" w:rsidRDefault="00AC56D6" w:rsidP="00AC56D6">
      <w:pPr>
        <w:pStyle w:val="TextoNormal"/>
      </w:pPr>
      <w:r>
        <w:t>Ciertamente y como reflexionan los recurrentes, la libertad concedida a las universidades para regular el “procedimiento” para la celebración de las pruebas, puede traer consigo y así ocurre en la práctica, una diversidad de situaciones donde los estatutos y en su caso el reglamento interno de concursos que rige en cada universidad, optan por programarlas formalmente en uno o en más ejercicios separados, a materializarse en una sesión o en varias. Mas esa diversidad de fórmulas para la ordenación práctica de las exposiciones de los candidatos y de la comisión de turno, no trae consigo que se omita ni modifique un ápice el contenido de las pruebas, tal como éste ha quedado suficientemente delimitado por la norma legal orgánica que se cuestiona, y tal uniformidad e igualdad en las reglas de acceso a los cuerpos docentes universitarios, es la que queda cubierta por la reserva legal que aquí se preserva.</w:t>
      </w:r>
    </w:p>
    <w:p w:rsidR="00AC56D6" w:rsidRDefault="00AC56D6" w:rsidP="00AC56D6">
      <w:pPr>
        <w:pStyle w:val="TextoNormal"/>
      </w:pPr>
    </w:p>
    <w:p w:rsidR="00AC56D6" w:rsidRDefault="00AC56D6" w:rsidP="00AC56D6">
      <w:pPr>
        <w:pStyle w:val="TextoNormal"/>
      </w:pPr>
      <w:r>
        <w:t>Hemos de concluir, por tanto, que el art. 62.4 LOU, en la redacción dada por la Ley Orgánica 4/2007, de 12 de abril, tampoco vulnera los arts. 23.2, 81.1 y 103.3 CE, lo que determina la desestimación de este último motivo y, con él, la de todo el recurso interpuesto.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Desestimar el presente recurso de inconstitucionalidad interpuesto.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veintidós de julio de dos mil quince.</w:t>
      </w:r>
    </w:p>
    <w:p w:rsidR="00AC56D6" w:rsidRDefault="00AC56D6" w:rsidP="00AC56D6">
      <w:pPr>
        <w:pStyle w:val="ParrafoNormal"/>
      </w:pPr>
    </w:p>
    <w:p w:rsidR="00AC56D6" w:rsidRDefault="00AC56D6" w:rsidP="00AC56D6">
      <w:pPr>
        <w:pStyle w:val="TextoNormalNegritaCentrado"/>
        <w:keepNext/>
      </w:pPr>
      <w:r>
        <w:lastRenderedPageBreak/>
        <w:t>Voto particular que formula el Magistrado don Ricardo Enríquez Sancho a la Sentencia dictada en el recurso de inconstitucionalidad núm. 6084-2007.</w:t>
      </w:r>
    </w:p>
    <w:p w:rsidR="00AC56D6" w:rsidRDefault="00AC56D6" w:rsidP="00AC56D6">
      <w:pPr>
        <w:pStyle w:val="TextoNormalNegritaCentrado"/>
        <w:keepNext/>
      </w:pPr>
    </w:p>
    <w:p w:rsidR="00AC56D6" w:rsidRDefault="00AC56D6" w:rsidP="00AC56D6">
      <w:pPr>
        <w:pStyle w:val="TextoNormal"/>
      </w:pPr>
      <w:r>
        <w:t>He redactado como Ponente el fundamento jurídico 7 de la Sentencia de acuerdo con el resultado de la deliberación mantenida en el Pleno de este Tribunal, expresando en él el parecer mayoritario de mis colegas, pero discrepo del mismo en cuanto, en mi opinión, debió declararse la inconstitucionalidad del art. 62.3 de la Ley Orgánica de universidades (LOU), en la redacción dada al mismo por el artículo único, apartado sesenta y cuatro, de la Ley Orgánica 4/2007, de 12 de abril. Por ello, con el máximo respeto a dicho criterio mayoritario, y de acuerdo con lo previsto en el art. 90.2 de la Ley Orgánica 2/1979, de 3 de octubre, del Tribunal Constitucional, debo exponer en este voto particular mi opinión discrepante sobre dicho fundamento y sobre su reflejo en el fallo de la Sentencia.</w:t>
      </w:r>
    </w:p>
    <w:p w:rsidR="00AC56D6" w:rsidRDefault="00AC56D6" w:rsidP="00AC56D6">
      <w:pPr>
        <w:pStyle w:val="TextoNormal"/>
      </w:pPr>
    </w:p>
    <w:p w:rsidR="00AC56D6" w:rsidRDefault="00AC56D6" w:rsidP="00AC56D6">
      <w:pPr>
        <w:pStyle w:val="TextoNormal"/>
      </w:pPr>
      <w:r>
        <w:t>Existe una reiterada doctrina de este Tribunal sobre el contenido esencial del derecho a la autonomía universitaria (art. 27.10 CE) y sobre los límites que pueden imponérsele por el Estado en atención a otros derechos e intereses concurrentes, como son los del buen funcionamiento del servicio público universitario y los derivados de la necesidad de que la selección del personal funcionario docente por cada universidad se ajuste a unos criterios uniformes en todo el territorio nacional, toda vez que producida la selección los que superen la prueba adquieren la condición de funcionarios, que les permite acceder a plazas de otras universidades, integrándose así en un cuerpo de funcionarios que puede calificarse de interuniversitario.</w:t>
      </w:r>
    </w:p>
    <w:p w:rsidR="00AC56D6" w:rsidRDefault="00AC56D6" w:rsidP="00AC56D6">
      <w:pPr>
        <w:pStyle w:val="TextoNormal"/>
      </w:pPr>
    </w:p>
    <w:p w:rsidR="00AC56D6" w:rsidRDefault="00AC56D6" w:rsidP="00AC56D6">
      <w:pPr>
        <w:pStyle w:val="TextoNormal"/>
      </w:pPr>
      <w:r>
        <w:t>Tal como declara la STC 26/1987, de 27 de febrero, FJ 4 a), “esta conceptuación como derecho fundamental con que se configura la autonomía universitaria, no excluye las limitaciones que al mismo imponen otros derechos fundamentales (como es el de igualdad de acceso al estudio, a la docencia y a la investigación) o la existencia de un sistema universitario nacional que exige instancias coordinadoras; ni tampoco las limitaciones propias del servicio público que desempeña”. También esta misma Sentencia, a propósito de las reglas que para la formación de las comisiones a las que correspondía resolver los concursos para la provisión de plazas de profesores titulares y catedráticos en las escuelas universitarias y en las universidades, según la Ley Orgánica 11/1983, de 25 de agosto, de reforma universitaria, sienta una doctrina, recordada en las SSTC 146/1989, de 2 de septiembre y 235/1991, de 12 de diciembre, y perfectamente aplicable ahora, según la cual “una vez establecido el sistema funcionarial de los Cuerpos docentes universitarios … es inherente a ese sistema la existencia de un régimen uniforme de acceso y selección del profesorado de todas las Universidades. Porque, si bien inicialmente son funcionarios de la Universidad para la que son nombrados, ello no impide su traslado a otras Universidades mediante los concursos de méritos regulados por la ley, y esta condición de funcionarios interuniversitarios o ‘comunicables’ entre diferentes Universidades justifica la aplicación al caso de las competencias exclusivas del Estado que se determinan en el art. 149.1.1 y, especialmente, en el 149.1.18 de la Constitución”.</w:t>
      </w:r>
    </w:p>
    <w:p w:rsidR="00AC56D6" w:rsidRDefault="00AC56D6" w:rsidP="00AC56D6">
      <w:pPr>
        <w:pStyle w:val="TextoNormal"/>
      </w:pPr>
    </w:p>
    <w:p w:rsidR="00AC56D6" w:rsidRDefault="00AC56D6" w:rsidP="00AC56D6">
      <w:pPr>
        <w:pStyle w:val="TextoNormal"/>
      </w:pPr>
      <w:r>
        <w:t>Del juego de ambos títulos competenciales resulta, según la doctrina de este Tribunal que se cita en la Sentencia, que la ley estatal tiene que establecer no sólo las bases sino también la normativa de desarrollo para el acceso a la condición de catedrático o profesor titular universitario, debiendo garantizarse que los procesos de acceso a dichos cuerpos, no obstante desarrollarse por las distintas universidades, se acomoden a patrones comunes.</w:t>
      </w:r>
    </w:p>
    <w:p w:rsidR="00AC56D6" w:rsidRDefault="00AC56D6" w:rsidP="00AC56D6">
      <w:pPr>
        <w:pStyle w:val="TextoNormal"/>
      </w:pPr>
    </w:p>
    <w:p w:rsidR="00AC56D6" w:rsidRDefault="00AC56D6" w:rsidP="00AC56D6">
      <w:pPr>
        <w:pStyle w:val="TextoNormal"/>
      </w:pPr>
      <w:r>
        <w:t>La regulación del art. 62.4 LOU se ajusta a ese modelo, pero no así la de su art. 62.3, que hace una remisión prácticamente incondicionada a los estatutos de cada universidad para regular un aspecto tan importante en el desarrollo del concurso previsto en ese artículo 62 para el acceso a plazas de cuerpos docentes universitarios, como es el de la composición de las comisiones de selección.</w:t>
      </w:r>
    </w:p>
    <w:p w:rsidR="00AC56D6" w:rsidRDefault="00AC56D6" w:rsidP="00AC56D6">
      <w:pPr>
        <w:pStyle w:val="TextoNormal"/>
      </w:pPr>
    </w:p>
    <w:p w:rsidR="00AC56D6" w:rsidRDefault="00AC56D6" w:rsidP="00AC56D6">
      <w:pPr>
        <w:pStyle w:val="TextoNormal"/>
      </w:pPr>
      <w:r>
        <w:t>Aparte de que en la composición de estas comisiones debe procurarse una presencia equilibrada entre mujeres y hombres, las restantes proposiciones del precepto —que los componentes de estas comisiones posean la necesaria aptitud científica y docente y se ajusten a los principios de imparcialidad y profesionalidad— no pasan de ser advertencias tan elementales y generales que hasta podrían considerarse como superfluas.</w:t>
      </w:r>
    </w:p>
    <w:p w:rsidR="00AC56D6" w:rsidRDefault="00AC56D6" w:rsidP="00AC56D6">
      <w:pPr>
        <w:pStyle w:val="TextoNormal"/>
      </w:pPr>
    </w:p>
    <w:p w:rsidR="00AC56D6" w:rsidRDefault="00AC56D6" w:rsidP="00AC56D6">
      <w:pPr>
        <w:pStyle w:val="TextoNormal"/>
      </w:pPr>
      <w:r>
        <w:t>La postrera referencia a que dichos miembros deberán reunir los requisitos indicados en el artículo 57.2, esto es que se trate de profesores con aptitud para formar parte de las comisiones de acreditación nacional reguladas en ese precepto, no salva las deficiencias del precepto, puesto que, no añade nada a los requisitos ya exigidos en el artículo 62.3. Así, las exigencias de aptitud científica y docente de las comisiones para el acceso a las plazas de los cuerpos docentes en los concursos convocados por las universidades corresponden a los requisitos de prestigio docente e investigador a que se refiere el artículo 57.2 para los miembros de las comisiones encargadas de evaluar a los aspirantes que pretendan obtener el correspondiente documento de acreditación.</w:t>
      </w:r>
    </w:p>
    <w:p w:rsidR="00AC56D6" w:rsidRDefault="00AC56D6" w:rsidP="00AC56D6">
      <w:pPr>
        <w:pStyle w:val="TextoNormal"/>
      </w:pPr>
    </w:p>
    <w:p w:rsidR="00AC56D6" w:rsidRDefault="00AC56D6" w:rsidP="00AC56D6">
      <w:pPr>
        <w:pStyle w:val="TextoNormal"/>
      </w:pPr>
      <w:r>
        <w:t>No es convincente el argumento relativo a que las mínimas exigencias de uniformidad en los criterios de acceso a un cuerpo de funcionarios, ya se habrían cumplido por la necesidad de que todos los concursantes a las plazas de acceso a los cuerpos docentes universitarios convocadas por las universidades, si no son funcionarios del cuerpo, hayan obtenido la necesaria acreditación nacional tras superar una evaluación general, llevada a cabo por comisiones únicas, ajenas a cualquier centro universitario en particular.</w:t>
      </w:r>
    </w:p>
    <w:p w:rsidR="00AC56D6" w:rsidRDefault="00AC56D6" w:rsidP="00AC56D6">
      <w:pPr>
        <w:pStyle w:val="TextoNormal"/>
      </w:pPr>
    </w:p>
    <w:p w:rsidR="00AC56D6" w:rsidRDefault="00AC56D6" w:rsidP="00AC56D6">
      <w:pPr>
        <w:pStyle w:val="TextoNormal"/>
      </w:pPr>
      <w:r>
        <w:t>Esta argumentación es reflejo de la concepción del procedimiento de acreditación como la primera fase de un proceso de selección de los funcionarios de los cuerpos docentes universitarios, del que la superación de los concursos de acceso regulados en el artículo 62 sería la segunda y última, antes de la adquisición de la condición de funcionario, tras el nombramiento y la correspondiente toma de posesión.</w:t>
      </w:r>
    </w:p>
    <w:p w:rsidR="00AC56D6" w:rsidRDefault="00AC56D6" w:rsidP="00AC56D6">
      <w:pPr>
        <w:pStyle w:val="TextoNormal"/>
      </w:pPr>
    </w:p>
    <w:p w:rsidR="00AC56D6" w:rsidRDefault="00AC56D6" w:rsidP="00AC56D6">
      <w:pPr>
        <w:pStyle w:val="TextoNormal"/>
      </w:pPr>
      <w:r>
        <w:t>Sin embargo, aunque el art. 57.1 LOU diga que el acceso a los cuerpos docentes universitarios exigirá la previa obtención de una acreditación nacional que, valorando los méritos y competencias de los aspirantes, garantice la calidad en la selección del profesorado universitario, la regulación del procedimiento de acreditación nacional aparece absolutamente desconectada de cualquier proceso concreto de provisión de vacantes entre funcionarios. Su equivalencia con otros sistemas, como el ingreso en la escala de funcionarios de la Administración local con habilitación de carácter nacional no cabe, pues en esta última los candidatos, luego de superar las pruebas selectivas y un curso de formación, acceden a la condición de funcionarios de la respectiva subescala, quedando a la espera de nombramiento mediante los concursos para la provisión de plazas vacantes en las corporaciones locales.</w:t>
      </w:r>
    </w:p>
    <w:p w:rsidR="00AC56D6" w:rsidRDefault="00AC56D6" w:rsidP="00AC56D6">
      <w:pPr>
        <w:pStyle w:val="TextoNormal"/>
      </w:pPr>
    </w:p>
    <w:p w:rsidR="00AC56D6" w:rsidRDefault="00AC56D6" w:rsidP="00AC56D6">
      <w:pPr>
        <w:pStyle w:val="TextoNormal"/>
      </w:pPr>
      <w:r>
        <w:lastRenderedPageBreak/>
        <w:t>Pero el vigente sistema de acreditación se aparta de esos modelos, hasta el punto de que el número de acreditaciones concedidas no guarda relación alguna con la posible existencia de plazas vacantes actuales o futuras en un plazo calculado. Por el contrario, es un hecho notorio que el actual sistema de acreditación ha conducido a que obtenga el correspondiente certificado de acreditación un número tan elevado de aspirantes que desborda el del número de plazas que previsiblemente puedan quedar vacantes no solo a corto, sino a medio y largo plazo, de modo que la relación entre la obtención de la acreditación y los posteriores concursos para el acceso a plazas de los cuerpos docentes universitarios, no puede predicarse en términos de un único procedimiento de selección.</w:t>
      </w:r>
    </w:p>
    <w:p w:rsidR="00AC56D6" w:rsidRDefault="00AC56D6" w:rsidP="00AC56D6">
      <w:pPr>
        <w:pStyle w:val="TextoNormal"/>
      </w:pPr>
    </w:p>
    <w:p w:rsidR="00AC56D6" w:rsidRDefault="00AC56D6" w:rsidP="00AC56D6">
      <w:pPr>
        <w:pStyle w:val="TextoNormal"/>
      </w:pPr>
      <w:r>
        <w:t>Confirma la anterior apreciación el hecho de que el procedimiento de acreditación descarta cualquier aspecto de concurrencia competitiva que pueda frenar la obtención del correspondiente documento de acreditación en atención a un número de plazas previsiblemente vacantes en un plazo razonable. El objeto de la evaluación no equivale, en modo alguno, al examen propio de un acceso, ni aquella se realiza por una comisión de profesores del cuerpo. Se trata solamente de verificar que el aspirante cumple con un determinado nivel de investigación, docencia y gestión universitaria, conforme a los parámetros generales aprobados por el Real Decreto 1312/2007, de 5 de octubre (modificado por el Real Decreto 415/2015, de 29 de mayo) y desarrollados por las agencias de evaluación externa.</w:t>
      </w:r>
    </w:p>
    <w:p w:rsidR="00AC56D6" w:rsidRDefault="00AC56D6" w:rsidP="00AC56D6">
      <w:pPr>
        <w:pStyle w:val="TextoNormal"/>
      </w:pPr>
    </w:p>
    <w:p w:rsidR="00AC56D6" w:rsidRDefault="00AC56D6" w:rsidP="00AC56D6">
      <w:pPr>
        <w:pStyle w:val="TextoNormal"/>
      </w:pPr>
      <w:r>
        <w:t>En fin, no se trata de limitar la autonomía de las universidades en la determinación del perfil de la plaza que desean cubrir. Se trata de que cualquiera que sea ese perfil, las comisiones encargadas de su selección respondan a unos parámetros mínimos uniformes para todas las universidades existentes en el Estado. El art. 62.3 LOU permite que cada universidad contemple en sus estatutos un número distinto de miembros de las comisiones, no limita cuántos de ellos pueden pertenecer a la propia plantilla docente de la universidad convocante, y gozan de libertad también para decidir el mecanismo para su designación. En esas condiciones la uniformidad en el régimen de acceso desaparece, razón por la cual debió ser estimado el recurso de inconstitucionalidad en este punto, con aplicación de la reiterada doctrina de este Tribunal dictada no solamente en materia de cuerpos docentes, sino para toda la función pública (arts. 23.2 y 103.3 CE) .</w:t>
      </w:r>
    </w:p>
    <w:p w:rsidR="00AC56D6" w:rsidRDefault="00AC56D6" w:rsidP="00AC56D6">
      <w:pPr>
        <w:pStyle w:val="TextoNormal"/>
      </w:pPr>
    </w:p>
    <w:p w:rsidR="00AC56D6" w:rsidRDefault="00AC56D6" w:rsidP="00AC56D6">
      <w:pPr>
        <w:pStyle w:val="TextoNormal"/>
      </w:pPr>
      <w:r>
        <w:t>Por todo ello emito mi Voto particular.</w:t>
      </w:r>
    </w:p>
    <w:p w:rsidR="00AC56D6" w:rsidRDefault="00AC56D6" w:rsidP="00AC56D6">
      <w:pPr>
        <w:pStyle w:val="TextoNormal"/>
      </w:pPr>
    </w:p>
    <w:p w:rsidR="00AC56D6" w:rsidRDefault="00AC56D6" w:rsidP="00AC56D6">
      <w:pPr>
        <w:pStyle w:val="TextoNormal"/>
      </w:pPr>
      <w:r>
        <w:t>Madrid, a veintidós de julio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33" w:name="SENTENCIA_2015_177"/>
      <w:r>
        <w:lastRenderedPageBreak/>
        <w:t>SENTENCIA 177/2015, de 22 de julio de 2015</w:t>
      </w:r>
    </w:p>
    <w:bookmarkEnd w:id="33"/>
    <w:p w:rsidR="00AC56D6" w:rsidRDefault="00AC56D6" w:rsidP="00AC56D6">
      <w:pPr>
        <w:pStyle w:val="TtuloResolucin"/>
      </w:pPr>
      <w:r>
        <w:t>Pleno</w:t>
      </w:r>
    </w:p>
    <w:p w:rsidR="00AC56D6" w:rsidRDefault="00AC56D6" w:rsidP="00AC56D6">
      <w:pPr>
        <w:pStyle w:val="TtuloBOE"/>
      </w:pPr>
      <w:r>
        <w:t>(BOE núm. 200, de 21 de agosto de 2015)</w:t>
      </w:r>
    </w:p>
    <w:p w:rsidR="00AC56D6" w:rsidRDefault="00AC56D6" w:rsidP="00AC56D6">
      <w:pPr>
        <w:pStyle w:val="TextoNormalCentrado"/>
      </w:pPr>
      <w:r>
        <w:t>ECLI:ES:TC:2015:177</w:t>
      </w:r>
    </w:p>
    <w:p w:rsidR="00AC56D6" w:rsidRDefault="00AC56D6" w:rsidP="00AC56D6">
      <w:pPr>
        <w:pStyle w:val="TextoNormalCentrado"/>
      </w:pPr>
    </w:p>
    <w:p w:rsidR="00AC56D6" w:rsidRDefault="00AC56D6" w:rsidP="00AC56D6">
      <w:pPr>
        <w:pStyle w:val="SntesisDescriptiva"/>
      </w:pPr>
      <w:r>
        <w:t>Recurso de amparo 956-2009. Promovido por don Jaume Roura Capellera y don Enric Stern Taulats respecto de las Sentencias de la Sala de lo Penal de la Audiencia Nacional y el Juzgado Central Penal que les condenaron por un delito de injurias a la Corona.</w:t>
      </w:r>
    </w:p>
    <w:p w:rsidR="00AC56D6" w:rsidRDefault="00AC56D6" w:rsidP="00AC56D6">
      <w:pPr>
        <w:pStyle w:val="SntesisDescriptiva"/>
      </w:pPr>
    </w:p>
    <w:p w:rsidR="00AC56D6" w:rsidRDefault="00AC56D6" w:rsidP="00AC56D6">
      <w:pPr>
        <w:pStyle w:val="SntesisAnaltica"/>
      </w:pPr>
      <w:r>
        <w:t>Supuesta vulneración de los derechos a la libertad ideológica y de expresión: quema pública del retrato de los Reyes constitutiva de una incitación al odio. Votos particulares.</w:t>
      </w:r>
    </w:p>
    <w:p w:rsidR="00AC56D6" w:rsidRDefault="00AC56D6" w:rsidP="00AC56D6">
      <w:pPr>
        <w:pStyle w:val="SntesisAnaltica"/>
      </w:pPr>
    </w:p>
    <w:p w:rsidR="00AC56D6" w:rsidRDefault="00AC56D6" w:rsidP="00AC56D6">
      <w:pPr>
        <w:pStyle w:val="Extracto"/>
      </w:pPr>
      <w:r>
        <w:t>1.</w:t>
      </w:r>
      <w:r>
        <w:tab/>
        <w:t>Quemar en público la fotografía o la imagen de una persona, en las circunstancias descritas en la resolución, comporta una incitación a la violencia contra la persona y la institución que representa, fomenta sentimientos de agresividad contra la misma y expresa una amenaza; y, en definitiva, quemar públicamente el retrato de los Monarcas es un acto no sólo ofensivo sino también incitador al odio, en la medida en que la cremación de su imagen física expresa, de un modo difícilmente superable, que son merecedores de exclusión y odio [FJ 4].</w:t>
      </w:r>
    </w:p>
    <w:p w:rsidR="00AC56D6" w:rsidRDefault="00AC56D6" w:rsidP="00AC56D6">
      <w:pPr>
        <w:pStyle w:val="Extracto"/>
      </w:pPr>
    </w:p>
    <w:p w:rsidR="00AC56D6" w:rsidRDefault="00AC56D6" w:rsidP="00AC56D6">
      <w:pPr>
        <w:pStyle w:val="Extracto"/>
      </w:pPr>
      <w:r>
        <w:t>2.</w:t>
      </w:r>
      <w:r>
        <w:tab/>
        <w:t>Las penas impuestas a los demandantes no vulneran el derecho fundamental a la libertad ideológica (art. 16.1 CE), pues sin perjuicio del trasfondo antimonárquico de su comportamiento, el reproche penal que realizan las Sentencias impugnadas no se fundamenta en el posicionamiento ideológico de los recurrentes, sino en el contenido de un acto episódico de naturaleza simbólica [FJ 5].</w:t>
      </w:r>
    </w:p>
    <w:p w:rsidR="00AC56D6" w:rsidRDefault="00AC56D6" w:rsidP="00AC56D6">
      <w:pPr>
        <w:pStyle w:val="Extracto"/>
      </w:pPr>
    </w:p>
    <w:p w:rsidR="00AC56D6" w:rsidRDefault="00AC56D6" w:rsidP="00AC56D6">
      <w:pPr>
        <w:pStyle w:val="Extracto"/>
      </w:pPr>
      <w:r>
        <w:t>3.</w:t>
      </w:r>
      <w:r>
        <w:tab/>
        <w:t>Conviene subrayar la singular y reforzada protección jurídica que el legislador penal otorga a la Corona, al igual que hace con otras altas Instituciones del Estado [FJ 3].</w:t>
      </w:r>
    </w:p>
    <w:p w:rsidR="00AC56D6" w:rsidRDefault="00AC56D6" w:rsidP="00AC56D6">
      <w:pPr>
        <w:pStyle w:val="Extracto"/>
      </w:pPr>
    </w:p>
    <w:p w:rsidR="00AC56D6" w:rsidRDefault="00AC56D6" w:rsidP="00AC56D6">
      <w:pPr>
        <w:pStyle w:val="Extracto"/>
      </w:pPr>
      <w:r>
        <w:t>4.</w:t>
      </w:r>
      <w:r>
        <w:tab/>
        <w:t>El art. 490.3 del Código penal tipifica un delito de naturaleza pública, que protege el mantenimiento del propio orden político que sanciona la Constitución, en atención a lo que la figura del Rey representa; no obstante, el honor y la dignidad del monarca también forman parte del bien jurídico protegido por el precepto, siempre que la ofensa tenga que ver con el ejercicio de sus funciones o se produzca con ocasión de dicho ejercicio [FJ 3].</w:t>
      </w:r>
    </w:p>
    <w:p w:rsidR="00AC56D6" w:rsidRDefault="00AC56D6" w:rsidP="00AC56D6">
      <w:pPr>
        <w:pStyle w:val="Extracto"/>
      </w:pPr>
    </w:p>
    <w:p w:rsidR="00AC56D6" w:rsidRDefault="00AC56D6" w:rsidP="00AC56D6">
      <w:pPr>
        <w:pStyle w:val="Extracto"/>
      </w:pPr>
      <w:r>
        <w:t>5.</w:t>
      </w:r>
      <w:r>
        <w:tab/>
        <w:t>La protección penal que ofrece el art. 490.3 CP no implica que el Rey, como máximo representante del Estado y símbolo de su unidad, quede excluido de la crítica especialmente por parte de aquellos que rechazan legítimamente las estructuras constitucionales del Estado, incluido el régimen monárquico [FJ 3].</w:t>
      </w:r>
    </w:p>
    <w:p w:rsidR="00AC56D6" w:rsidRDefault="00AC56D6" w:rsidP="00AC56D6">
      <w:pPr>
        <w:pStyle w:val="Extracto"/>
      </w:pPr>
    </w:p>
    <w:p w:rsidR="00AC56D6" w:rsidRDefault="00AC56D6" w:rsidP="00AC56D6">
      <w:pPr>
        <w:pStyle w:val="Extracto"/>
      </w:pPr>
      <w:r>
        <w:t>6.</w:t>
      </w:r>
      <w:r>
        <w:tab/>
        <w:t>La destrucción de un retrato oficial posee un innegable y señalado componente simbólico y, aunque las más genuinas formas de expresión consisten en manifestaciones orales o escritas, las personas pueden igualmente comunicar o expresar sus ideas y opiniones mediante conductas, hechos o comportamientos no verbales que, en tal consideración, son también manifestaciones de la libertad de expresión [FJ 3].</w:t>
      </w:r>
    </w:p>
    <w:p w:rsidR="00AC56D6" w:rsidRDefault="00AC56D6" w:rsidP="00AC56D6">
      <w:pPr>
        <w:pStyle w:val="Extracto"/>
      </w:pPr>
    </w:p>
    <w:p w:rsidR="00AC56D6" w:rsidRDefault="00AC56D6" w:rsidP="00AC56D6">
      <w:pPr>
        <w:pStyle w:val="Extracto"/>
      </w:pPr>
      <w:r>
        <w:t>7.</w:t>
      </w:r>
      <w:r>
        <w:tab/>
        <w:t>Las personas también pueden manifestar sus ideas y opiniones mediante un lenguaje simbólico (</w:t>
      </w:r>
      <w:r w:rsidRPr="00AC56D6">
        <w:rPr>
          <w:i/>
        </w:rPr>
        <w:t>symbolic speech</w:t>
      </w:r>
      <w:r>
        <w:t>), o bien mediante otras conductas expresivas (expressive conduct), y el componente significativo o expresivamente inocuo de determinados símbolos, actitudes o conductas dependerá del contexto que integre las circunstancias del caso [FJ 3].</w:t>
      </w:r>
    </w:p>
    <w:p w:rsidR="00AC56D6" w:rsidRDefault="00AC56D6" w:rsidP="00AC56D6">
      <w:pPr>
        <w:pStyle w:val="Extracto"/>
      </w:pPr>
    </w:p>
    <w:p w:rsidR="00AC56D6" w:rsidRDefault="00AC56D6" w:rsidP="00AC56D6">
      <w:pPr>
        <w:pStyle w:val="Extracto"/>
      </w:pPr>
      <w:r>
        <w:t>8.</w:t>
      </w:r>
      <w:r>
        <w:tab/>
        <w:t>Desde la perspectiva del derecho a la libertad de expresión, la formulación de críticas hacia los representantes de una institución o titulares de un cargo público, son reflejo de la participación política de los ciudadanos y son inmunes a restricciones por parte del poder público; sin embargo, esa inmunidad no resulta predicable cuando lo expresado, aun de forma simbólica, solamente trasluce ultraje o vejación [FJ 3].</w:t>
      </w:r>
    </w:p>
    <w:p w:rsidR="00AC56D6" w:rsidRDefault="00AC56D6" w:rsidP="00AC56D6">
      <w:pPr>
        <w:pStyle w:val="Extracto"/>
      </w:pPr>
    </w:p>
    <w:p w:rsidR="00AC56D6" w:rsidRDefault="00AC56D6" w:rsidP="00AC56D6">
      <w:pPr>
        <w:pStyle w:val="Extracto"/>
      </w:pPr>
      <w:r>
        <w:t>9.</w:t>
      </w:r>
      <w:r>
        <w:tab/>
        <w:t>No cabe considerar ejercicio legítimo de las libertades de expresión e información a los mensajes que incorporen amenazas o intimidaciones a los ciudadanos o a los electores, ya que como es evidente con ellos ni se respeta la libertad de los demás, ni se contribuye a la formación de una opinión pública que merezca el calificativo de libre [FJ 4].</w:t>
      </w:r>
    </w:p>
    <w:p w:rsidR="00AC56D6" w:rsidRDefault="00AC56D6" w:rsidP="00AC56D6">
      <w:pPr>
        <w:pStyle w:val="Extracto"/>
      </w:pPr>
    </w:p>
    <w:p w:rsidR="00AC56D6" w:rsidRDefault="00AC56D6" w:rsidP="00AC56D6">
      <w:pPr>
        <w:pStyle w:val="Extracto"/>
      </w:pPr>
      <w:r>
        <w:t>10.</w:t>
      </w:r>
      <w:r>
        <w:tab/>
        <w:t>La utilización de símbolos, mensajes o elementos que representen o se identifiquen con la exclusión política, social o cultural, deja de ser una simple manifestación ideológica para convertirse en un acto cooperador con la intolerancia excluyente, por lo que no puede encontrar cobertura en la libertad de expresión, cuya finalidad es contribuir a la formación de una opinión pública libre [FJ 4].</w:t>
      </w:r>
    </w:p>
    <w:p w:rsidR="00AC56D6" w:rsidRDefault="00AC56D6" w:rsidP="00AC56D6">
      <w:pPr>
        <w:pStyle w:val="Extracto"/>
      </w:pPr>
    </w:p>
    <w:p w:rsidR="00AC56D6" w:rsidRDefault="00AC56D6" w:rsidP="00AC56D6">
      <w:pPr>
        <w:pStyle w:val="Extracto"/>
      </w:pPr>
      <w:r>
        <w:t>11.</w:t>
      </w:r>
      <w:r>
        <w:tab/>
        <w:t>Es obvio que las manifestaciones más toscas del denominado ‘discurso del odio’ son las que se proyectan sobre las condiciones étnicas, religiosas, culturales o sexuales de las personas; pero lo cierto es que el discurso fóbico ofrece también otras vertientes, siendo una de ellas, indudablemente, la que persigue fomentar el rechazo y la exclusión de la vida política, y aun la eliminación física, de quienes no compartan el ideario de los intolerantes [FJ 4].</w:t>
      </w:r>
    </w:p>
    <w:p w:rsidR="00AC56D6" w:rsidRDefault="00AC56D6" w:rsidP="00AC56D6">
      <w:pPr>
        <w:pStyle w:val="Extracto"/>
      </w:pPr>
    </w:p>
    <w:p w:rsidR="00AC56D6" w:rsidRDefault="00AC56D6" w:rsidP="00AC56D6">
      <w:pPr>
        <w:pStyle w:val="Extracto"/>
      </w:pPr>
      <w:r>
        <w:t>12.</w:t>
      </w:r>
      <w:r>
        <w:tab/>
        <w:t>En el ordenamiento español no existe ninguna prohibición o limitación para constituir partidos políticos que acojan idearios de naturaleza republicana o separatista, ni para su expresión pública, como evidencia la celebración de la manifestación que tuvo lugar inmediatamente antes de la comisión de los hechos sancionados [FJ 5].</w:t>
      </w:r>
    </w:p>
    <w:p w:rsidR="00AC56D6" w:rsidRDefault="00AC56D6" w:rsidP="00AC56D6">
      <w:pPr>
        <w:pStyle w:val="Extracto"/>
      </w:pPr>
    </w:p>
    <w:p w:rsidR="00AC56D6" w:rsidRDefault="00AC56D6" w:rsidP="00AC56D6">
      <w:pPr>
        <w:pStyle w:val="Extracto"/>
      </w:pPr>
      <w:r>
        <w:t>13.</w:t>
      </w:r>
      <w:r>
        <w:tab/>
        <w:t>La peculiar dimensión institucional de la libertad de expresión, en cuanto que garantía para la formación y existencia de una opinión pública libre, la convierte en uno de los pilares de una sociedad libre y democrática (STC 50/2010) [FJ 2].</w:t>
      </w:r>
    </w:p>
    <w:p w:rsidR="00AC56D6" w:rsidRDefault="00AC56D6" w:rsidP="00AC56D6">
      <w:pPr>
        <w:pStyle w:val="Extracto"/>
      </w:pPr>
    </w:p>
    <w:p w:rsidR="00AC56D6" w:rsidRDefault="00AC56D6" w:rsidP="00AC56D6">
      <w:pPr>
        <w:pStyle w:val="Extracto"/>
      </w:pPr>
      <w:r>
        <w:t>14.</w:t>
      </w:r>
      <w:r>
        <w:tab/>
        <w:t>La libertad de crítica debe ser respetada aun cuando la misma sea desabrida y pueda molestar, inquietar o disgustar a quien se dirige, pues así lo requieren el pluralismo, la tolerancia y el espíritu de apertura, sin los cuales no existe sociedad democrática (STC 174/2006) [FJ 2].</w:t>
      </w:r>
    </w:p>
    <w:p w:rsidR="00AC56D6" w:rsidRDefault="00AC56D6" w:rsidP="00AC56D6">
      <w:pPr>
        <w:pStyle w:val="Extracto"/>
      </w:pPr>
    </w:p>
    <w:p w:rsidR="00AC56D6" w:rsidRDefault="00AC56D6" w:rsidP="00AC56D6">
      <w:pPr>
        <w:pStyle w:val="Extracto"/>
      </w:pPr>
      <w:r>
        <w:lastRenderedPageBreak/>
        <w:t>15.</w:t>
      </w:r>
      <w:r>
        <w:tab/>
        <w:t>Tanto este Tribunal como el Tribunal Europeo de Derechos Humanos han insistido en el significado central del discurso político desde el ámbito de protección de los arts. 20 CE y 10 del Convenio europeo para la protección de los derechos humanos y de las libertades fundamentales (CEDH), particularmente amparable cuando se ejerce por un representante político [FJ 2].</w:t>
      </w:r>
    </w:p>
    <w:p w:rsidR="00AC56D6" w:rsidRDefault="00AC56D6" w:rsidP="00AC56D6">
      <w:pPr>
        <w:pStyle w:val="Extracto"/>
      </w:pPr>
    </w:p>
    <w:p w:rsidR="00AC56D6" w:rsidRDefault="00AC56D6" w:rsidP="00AC56D6">
      <w:pPr>
        <w:pStyle w:val="Extracto"/>
      </w:pPr>
      <w:r>
        <w:t>16.</w:t>
      </w:r>
      <w:r>
        <w:tab/>
        <w:t>La libertad de expresión no es un derecho fundamental absoluto e ilimitado, sino que tiene, como todos los demás, sus límites, de manera que cualquier expresión no merece, por el simple hecho de serlo, protección constitucional, toda vez que el art. 20.1 a) CE no reconoce un pretendido derecho al insulto (STC 29/2009) [FJ 2].</w:t>
      </w:r>
    </w:p>
    <w:p w:rsidR="00AC56D6" w:rsidRDefault="00AC56D6" w:rsidP="00AC56D6">
      <w:pPr>
        <w:pStyle w:val="Extracto"/>
      </w:pPr>
    </w:p>
    <w:p w:rsidR="00AC56D6" w:rsidRDefault="00AC56D6" w:rsidP="00AC56D6">
      <w:pPr>
        <w:pStyle w:val="Extracto"/>
      </w:pPr>
      <w:r>
        <w:t>17.</w:t>
      </w:r>
      <w:r>
        <w:tab/>
        <w:t xml:space="preserve">Las limitaciones siempre han de ser interpretadas de tal modo que el derecho fundamental del art. 20.1 a) CE no resulte desnaturalizado; lo que, obliga entre otras consecuencias, a modificar profundamente la forma de afrontar el enjuiciamiento de los delitos contra el honor en los que se halla implicado el ejercicio de la libertad de expresión, pues su posición preferente impone la necesidad de dejar un amplio espacio al disfrute de dicha libertad, y convierte en insuficiente el criterio subjetivo del </w:t>
      </w:r>
      <w:r w:rsidRPr="00AC56D6">
        <w:rPr>
          <w:i/>
        </w:rPr>
        <w:t>animus iniuriandi</w:t>
      </w:r>
      <w:r>
        <w:t>, tradicionalmente utilizado por la jurisprudencia penal para el enjuiciamiento de este tipo de delitos (STC 108/2008) [FJ 2].</w:t>
      </w:r>
    </w:p>
    <w:p w:rsidR="00AC56D6" w:rsidRDefault="00AC56D6" w:rsidP="00AC56D6">
      <w:pPr>
        <w:pStyle w:val="Extracto"/>
      </w:pPr>
    </w:p>
    <w:p w:rsidR="00AC56D6" w:rsidRDefault="00AC56D6" w:rsidP="00AC56D6">
      <w:pPr>
        <w:pStyle w:val="Extracto"/>
      </w:pPr>
      <w:r>
        <w:t>18.</w:t>
      </w:r>
      <w:r>
        <w:tab/>
        <w:t>El Juez penal ha de tener siempre presente su contenido constitucional para no correr el riesgo de hacer del Derecho penal un factor de disuasión del ejercicio de la libertad de expresión, lo que resulta indeseable en el Estado democrático (STC 253/2007) [FJ 2].</w:t>
      </w:r>
    </w:p>
    <w:p w:rsidR="00AC56D6" w:rsidRDefault="00AC56D6" w:rsidP="00AC56D6">
      <w:pPr>
        <w:pStyle w:val="Extracto"/>
      </w:pPr>
    </w:p>
    <w:p w:rsidR="00AC56D6" w:rsidRDefault="00AC56D6" w:rsidP="00AC56D6">
      <w:pPr>
        <w:pStyle w:val="Extracto"/>
      </w:pPr>
      <w:r>
        <w:t>19.</w:t>
      </w:r>
      <w:r>
        <w:tab/>
        <w:t>Sin la libertad ideológica consagrada en el art. 16.1 CE, no serían posibles los valores superiores de nuestro ordenamiento jurídico que se propugnan en el art. 1.1 de la misma para constituir el Estado social y democrático de derecho; para que la libertad, la justicia, la igualdad y el pluralismo político sean una realidad efectiva es preciso que a la hora de regular y enjuiciar las conductas se respeten aquellos valores superiores sin los cuales no se puede desarrollar el régimen democrático [FJ 5].</w:t>
      </w:r>
    </w:p>
    <w:p w:rsidR="00AC56D6" w:rsidRDefault="00AC56D6" w:rsidP="00AC56D6">
      <w:pPr>
        <w:pStyle w:val="Extracto"/>
      </w:pPr>
    </w:p>
    <w:p w:rsidR="00AC56D6" w:rsidRDefault="00AC56D6" w:rsidP="00AC56D6">
      <w:pPr>
        <w:pStyle w:val="Extracto"/>
      </w:pPr>
      <w:r>
        <w:t>20.</w:t>
      </w:r>
      <w:r>
        <w:tab/>
        <w:t xml:space="preserve">Ciertamente, la libertad ideológica no se agota en una dimensión interna del derecho a adoptar una determinada posición intelectual ante la vida y a  enjuiciar la realidad según personales convicciones; comprende, además, una dimensión externa de </w:t>
      </w:r>
      <w:r w:rsidRPr="00AC56D6">
        <w:rPr>
          <w:i/>
        </w:rPr>
        <w:t>agere licere</w:t>
      </w:r>
      <w:r>
        <w:t>, con arreglo a las propias ideas sin sufrir por ello sanción o demérito ni padecer la compulsión o la injerencia de los poderes públicos, de forma que el art. 16.1 CE garantiza la libertad ideológica sin más limitaciones en sus manifestaciones que las necesarias para el mantenimiento del orden público protegido por la ley (STC 20/1990) [FJ 5].</w:t>
      </w:r>
    </w:p>
    <w:p w:rsidR="00AC56D6" w:rsidRDefault="00AC56D6" w:rsidP="00AC56D6">
      <w:pPr>
        <w:pStyle w:val="Extracto"/>
      </w:pPr>
    </w:p>
    <w:p w:rsidR="00AC56D6" w:rsidRDefault="00AC56D6" w:rsidP="00AC56D6">
      <w:pPr>
        <w:pStyle w:val="Extracto"/>
      </w:pPr>
      <w:r>
        <w:t>21.</w:t>
      </w:r>
      <w:r>
        <w:tab/>
        <w:t xml:space="preserve">A la libertad ideológica que consagra el art. 16.1 CE le corresponde el correlativo derecho a expresarla que garantiza el art. 20.1 a), aun cuando ello no signifique que toda expresión de ideología quede desvinculada del ámbito de protección del art. 16.1 CE, pues el derecho que éste reconoce no puede entenderse ‘simplemente absorbido’ por las libertades del art. 20, o que toda expresión libremente emitida </w:t>
      </w:r>
      <w:r>
        <w:lastRenderedPageBreak/>
        <w:t>al amparo del art. 20 CE sea manifestación de la libertad ideológica del art. 16.1 (STC 20/1990) [FJ 5].</w:t>
      </w:r>
    </w:p>
    <w:p w:rsidR="00AC56D6" w:rsidRDefault="00AC56D6" w:rsidP="00AC56D6">
      <w:pPr>
        <w:pStyle w:val="Extracto"/>
      </w:pPr>
    </w:p>
    <w:p w:rsidR="00AC56D6" w:rsidRDefault="00AC56D6" w:rsidP="00AC56D6">
      <w:pPr>
        <w:pStyle w:val="Extracto"/>
      </w:pPr>
      <w:r>
        <w:t>22.</w:t>
      </w:r>
      <w:r>
        <w:tab/>
        <w:t>Para que los actos de los poderes públicos puedan ser anulados por violaciones de la libertad ideológica es preciso que aquéllos perturben o impidan de algún modo la adopción o el mantenimiento en libertad de una determinada ideología o pensamiento, y no simplemente que se incida en la expresión de determinados criterios; y se exige que entre el contenido y sostenimiento de éstos y lo dispuesto en los actos que se combatan quepa apreciar una relación de causalidad (STC 137/1990) [FJ 5].</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amparo núm. 956-2009, promovido por don Jaume Roura Capellera y don Enric Stern Taulats, representados por el Procurador de los Tribunales don Adolfo Morales Hernández-San Juan y asistidos por el Abogado don Banet Salellas Villar, contra la Sentencia de la Sala de lo Penal de la Audiencia Nacional, de 5 de diciembre de 2008, que desestimó el recurso de apelación interpuesto contra la Sentencia condenatoria dictada por el Juzgado Central Penal de la Audiencia Nacional, con fecha de 9 de julio de 2008, en el procedimiento abreviado núm. 52-2007. Ha intervenido el Ministerio Fiscal. Ha sido Ponente el Magistrado don Juan Antonio Xiol Ríos,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registrado en este Tribunal Constitucional el 30 de enero de 2009 el Procurador de los Tribunales don Adolfo Morales Hernández-San Juan, en nombre y representación de don Jaume Roura Capellera y don Enric Stern Taulats, interpuso recurso de amparo contra las Sentencias judiciales citadas en el encabezamiento.</w:t>
      </w:r>
    </w:p>
    <w:p w:rsidR="00AC56D6" w:rsidRDefault="00AC56D6" w:rsidP="00AC56D6">
      <w:pPr>
        <w:pStyle w:val="TextoNormal"/>
      </w:pPr>
    </w:p>
    <w:p w:rsidR="00AC56D6" w:rsidRDefault="00AC56D6" w:rsidP="00AC56D6">
      <w:pPr>
        <w:pStyle w:val="TextoNormal"/>
      </w:pPr>
      <w:r w:rsidRPr="00AC56D6">
        <w:rPr>
          <w:rStyle w:val="NumeroAFNegritaCaracter"/>
        </w:rPr>
        <w:t>2</w:t>
      </w:r>
      <w:r>
        <w:t>. Los hechos que fundamentan la demanda de amparo son resumidamente los siguientes:</w:t>
      </w:r>
    </w:p>
    <w:p w:rsidR="00AC56D6" w:rsidRDefault="00AC56D6" w:rsidP="00AC56D6">
      <w:pPr>
        <w:pStyle w:val="TextoNormal"/>
      </w:pPr>
    </w:p>
    <w:p w:rsidR="00AC56D6" w:rsidRDefault="00AC56D6" w:rsidP="00AC56D6">
      <w:pPr>
        <w:pStyle w:val="TextoNormal"/>
      </w:pPr>
      <w:r>
        <w:lastRenderedPageBreak/>
        <w:t>a) La Sentencia del Juzgado Central de la Audiencia Nacional declaró probado que “sobre las 20:00 horas del día 13 de septiembre de 2007, con motivo de la visita institucional de S.M. el Rey a la ciudad de Gerona, Jaume Roura Capellera y Enric Stern Taulats … quemaron previa colocación boca abajo de una fotografía de SS.MM. los Reyes de España en el curso de una concentración en la Plaza de Vino de esa capital. A dicha concentración le había precedido una manifestación encabezada por una pancarta que decía ‘300 años de Borbones, 300 años combatiendo la ocupación española’. Lo citados iban con el rostro tapado para no ser identificados y, tras colocar la citada fotografía de gran tamaño de SS.MM. los Reyes en la forma expuesta, en el centro de la plaza se procedió por Enric Stern a rociarla con un líquido inflamable y por Jaume Roura a prenderle fuego con una antorcha procediendo a su quema, mientras eran jaleados con diferentes gritos por las varias decenas de personas que se habían reunido en la citada plaza”.</w:t>
      </w:r>
    </w:p>
    <w:p w:rsidR="00AC56D6" w:rsidRDefault="00AC56D6" w:rsidP="00AC56D6">
      <w:pPr>
        <w:pStyle w:val="TextoNormal"/>
      </w:pPr>
    </w:p>
    <w:p w:rsidR="00AC56D6" w:rsidRDefault="00AC56D6" w:rsidP="00AC56D6">
      <w:pPr>
        <w:pStyle w:val="TextoNormal"/>
      </w:pPr>
      <w:r>
        <w:t>La citada Sentencia consideró que los hechos que acaban de recordarse eran constitutivos de un delito de injurias a la Corona del art. 490.3 del Código penal (CP) y por este motivo condenó a los hoy recurrentes en amparo a la pena de quince meses de prisión, que fue sustituida por multa de treinta meses con una cuota diaria de tres euros, lo que arroja un total de 2.700 €. En el criterio de la Sentencia y a la vista de la jurisprudencia del Tribunal Supremo dictada en asuntos semejantes (SSTS de 28 de noviembre y 6 de diciembre de 1985), la condena de los recurrentes se funda en la naturaleza injuriosa de los hechos que protagonizaron, toda vez que “colocan la fotografía de SS.MM. los Reyes boca abajo, para ser quemada, tras el desarrollo de una manifestación precedente a la que habían acudido portando líquido inflamable, disfrazados y, por tanto, con la intención evidente de menospreciar la figura de Sus Majestades”.</w:t>
      </w:r>
    </w:p>
    <w:p w:rsidR="00AC56D6" w:rsidRDefault="00AC56D6" w:rsidP="00AC56D6">
      <w:pPr>
        <w:pStyle w:val="TextoNormal"/>
      </w:pPr>
    </w:p>
    <w:p w:rsidR="00AC56D6" w:rsidRDefault="00AC56D6" w:rsidP="00AC56D6">
      <w:pPr>
        <w:pStyle w:val="TextoNormal"/>
      </w:pPr>
      <w:r>
        <w:t>La Sentencia repite este mismo razonamiento poco después, para seguidamente afirmar que “[e]s obvio que para manifestar el rechazo a la Monarquía no es necesario menospreciar y vilipendiar a SS.MM. los Reyes, quemando su fotografía, tras haberla colocado deliberadamente boca abajo”, y declarar que “[e]n un Estado democrático, en el que los derechos fundamentales de los ciudadanos se encuentran plenamente garantizados, nadie necesita cubrirse la cara para ejercer los derechos que considera legítimos”. Todo lo cual confirma el carácter ilegítimo del acto realizado que no puede encontrar amparo en el ejercicio de la libertad de expresión y el derecho de participación política de los ciudadanos.</w:t>
      </w:r>
    </w:p>
    <w:p w:rsidR="00AC56D6" w:rsidRDefault="00AC56D6" w:rsidP="00AC56D6">
      <w:pPr>
        <w:pStyle w:val="TextoNormal"/>
      </w:pPr>
    </w:p>
    <w:p w:rsidR="00AC56D6" w:rsidRDefault="00AC56D6" w:rsidP="00AC56D6">
      <w:pPr>
        <w:pStyle w:val="TextoNormal"/>
      </w:pPr>
      <w:r>
        <w:t>b) Contra esta Sentencia los recurrentes interpusieron recurso de apelación, denunciando, entre otros motivos de oposición y como ya defendieron en la instancia, la vulneración de la libertad de expresión [art. 20.1 a) CE], en relación con la libertad ideológica (art. 16.1 CE). Mediante Sentencia de 5 de diciembre de 2008 el Pleno de la Sala de lo Penal de la Audiencia Nacional acordó desestimar el recurso por considerar que los hechos enjuiciados exceden del ejercicio legítimo de la libertad de expresión. Una conclusión que el órgano judicial funda literalmente del siguiente modo:</w:t>
      </w:r>
    </w:p>
    <w:p w:rsidR="00AC56D6" w:rsidRDefault="00AC56D6" w:rsidP="00AC56D6">
      <w:pPr>
        <w:pStyle w:val="TextoNormal"/>
      </w:pPr>
    </w:p>
    <w:p w:rsidR="00AC56D6" w:rsidRDefault="00AC56D6" w:rsidP="00AC56D6">
      <w:pPr>
        <w:pStyle w:val="TextoNormal"/>
      </w:pPr>
      <w:r>
        <w:t>“En la ponderación de los derechos fundamentales a la libertad de expresión y al honor, en este caso, de la Institución [de la Corona], es doctrina constitucional constante desde la STC 107/1988 que, para decidir cuál prevalece en el caso concreto es determinante comprobar si en la manifestación de la idea u opinión, sea de palabra o por medio de la acción, se han añadido expresiones injuriosas por innecesarias para la expresión pública del pensamiento que se trata de manifestar o expresiones o acciones que son formalmente injuriosas.</w:t>
      </w:r>
    </w:p>
    <w:p w:rsidR="00AC56D6" w:rsidRDefault="00AC56D6" w:rsidP="00AC56D6">
      <w:pPr>
        <w:pStyle w:val="TextoNormal"/>
      </w:pPr>
    </w:p>
    <w:p w:rsidR="00AC56D6" w:rsidRDefault="00AC56D6" w:rsidP="00AC56D6">
      <w:pPr>
        <w:pStyle w:val="TextoNormal"/>
      </w:pPr>
      <w:r>
        <w:t>En el caso [considerado] el hecho inconcuso es que en el transcurso de una concentración nacionalista y anti borbónica con motivo de la visita de los Reyes a Gerona, hay desplegadas pancartas contra la visita con alusiones al rey como representante de una dinastía impuesta al pueblo catalán (‘300 años de Borbones, 300 años combatiendo la ocupación española’, rezaba una), al tiempo que los concentrados coreaban proclamas y eslóganes en la misma línea de pensamiento.</w:t>
      </w:r>
    </w:p>
    <w:p w:rsidR="00AC56D6" w:rsidRDefault="00AC56D6" w:rsidP="00AC56D6">
      <w:pPr>
        <w:pStyle w:val="TextoNormal"/>
      </w:pPr>
    </w:p>
    <w:p w:rsidR="00AC56D6" w:rsidRDefault="00AC56D6" w:rsidP="00AC56D6">
      <w:pPr>
        <w:pStyle w:val="TextoNormal"/>
      </w:pPr>
      <w:r>
        <w:t>Sin duda, esos actos y expresiones están plenamente amparados por la libertad de expresión, que no excluye la posibilidad de exteriorizar ningún punto de vista a través de medios necesarios e idóneos y, por lo tanto no lesivos para otros derechos y valores constitucionales.</w:t>
      </w:r>
    </w:p>
    <w:p w:rsidR="00AC56D6" w:rsidRDefault="00AC56D6" w:rsidP="00AC56D6">
      <w:pPr>
        <w:pStyle w:val="TextoNormal"/>
      </w:pPr>
    </w:p>
    <w:p w:rsidR="00AC56D6" w:rsidRDefault="00AC56D6" w:rsidP="00AC56D6">
      <w:pPr>
        <w:pStyle w:val="TextoNormal"/>
      </w:pPr>
      <w:r>
        <w:t>Sin embargo en el curso de la meritada concentración los dos condenados, con la cara tapada, se dirigen al centro de la reunión con una fotografía de [los Reyes] y, poniéndola bocabajo, le prenden fuego entre la algarabía general, para seguidamente, retirarse e intentar confundirse con el resto de los asistentes.</w:t>
      </w:r>
    </w:p>
    <w:p w:rsidR="00AC56D6" w:rsidRDefault="00AC56D6" w:rsidP="00AC56D6">
      <w:pPr>
        <w:pStyle w:val="TextoNormal"/>
      </w:pPr>
    </w:p>
    <w:p w:rsidR="00AC56D6" w:rsidRDefault="00AC56D6" w:rsidP="00AC56D6">
      <w:pPr>
        <w:pStyle w:val="TextoNormal"/>
      </w:pPr>
      <w:r>
        <w:t>Esta acción es innecesaria para defender la opinión de los concentrados y es formalmente injuriosa, sobrepasa los límites amparados por el derecho fundamental a la libertad de expresión y lesiona el derecho al honor de la Institución, la Corona, como institución constitucional democrática.”</w:t>
      </w:r>
    </w:p>
    <w:p w:rsidR="00AC56D6" w:rsidRDefault="00AC56D6" w:rsidP="00AC56D6">
      <w:pPr>
        <w:pStyle w:val="TextoNormal"/>
      </w:pPr>
    </w:p>
    <w:p w:rsidR="00AC56D6" w:rsidRDefault="00AC56D6" w:rsidP="00AC56D6">
      <w:pPr>
        <w:pStyle w:val="TextoNormal"/>
      </w:pPr>
      <w:r>
        <w:t>Una conclusión que el órgano judicial remacha seguidamente al afirmar que la acción de los acusados “es formalmente injuriosa por el contexto en que se produce: Los asistentes al acto de protesta estaban ejerciendo su derecho con total libertad, sus proclamas e ideas estaban siendo difundidas sin cortapisa alguna y, sin embargo, escenifican lo que gráficamente podemos como un ‘aquelarre’ o ‘juicio inquisitorial’ en el que colocando la representación gráfica del Jefe del Estado en posición claudicante, bocabajo, lo embadurnan con aceite u otra sustancia inflamable y le prenden fuego como expresión simbólica del desprecio y destrucción de la Institución, pues el fuego, en el contexto en que se usa, tiene una carga negativa evidente.</w:t>
      </w:r>
    </w:p>
    <w:p w:rsidR="00AC56D6" w:rsidRDefault="00AC56D6" w:rsidP="00AC56D6">
      <w:pPr>
        <w:pStyle w:val="TextoNormal"/>
      </w:pPr>
    </w:p>
    <w:p w:rsidR="00AC56D6" w:rsidRDefault="00AC56D6" w:rsidP="00AC56D6">
      <w:pPr>
        <w:pStyle w:val="TextoNormal"/>
      </w:pPr>
      <w:r>
        <w:t>Por último, que los propios apelantes tenían plena conciencia de lo que hacían y del exceso que ello representaba se extrae sin forzamiento alguno tanto del uso de la imagen fotográfica … cuanto de que ocultan su rostro para impedir ser identificados, lo que solo tiene sentido por la conciencia de la antijuricidad de la acción que tienen los propios sujetos activos del delito. De lo anterior ... se extrae la concurrencia del dolo exigido por el tipo penal.”</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En su recurso de amparo los demandantes denuncian, al igual que ya hicieran antes en la vía judicial previa, que las Sentencias impugnadas vulneraron sus derechos fundamentales a la libertad ideológica (art. 16.1 CE) y a la libertad de expresión [art. 20.1 a) CE]. Respecto del primero la demanda subraya, con cita de la STC 20/1990, de 15 de febrero, que la libertad ideológica que consagra el art. 16.1 CE, dado su carácter esencial para la efectividad de los valores superiores y especialmente del pluralismo político, no tiene más limitación que la necesaria para el mantenimiento del orden público protegido por la ley. De acuerdo con este planteamiento, y habida cuenta de la dimensión externa de la libertad ideológica y el correlativo derecho a expresarla libremente, los recurrentes afirman que las Sentencias recurridas, partiendo del carácter pretendidamente injurioso de su conducta, se </w:t>
      </w:r>
      <w:r>
        <w:lastRenderedPageBreak/>
        <w:t>han apartado de la doctrina constitucional para detenerse “más en los límites de los derechos y libertades que en el [contenido constitucionalmente protegido] de los mismos” y, en consecuencia, acabar sancionando su opción ideológica contraria a la Monarquía.</w:t>
      </w:r>
    </w:p>
    <w:p w:rsidR="00AC56D6" w:rsidRDefault="00AC56D6" w:rsidP="00AC56D6">
      <w:pPr>
        <w:pStyle w:val="TextoNormal"/>
      </w:pPr>
    </w:p>
    <w:p w:rsidR="00AC56D6" w:rsidRDefault="00AC56D6" w:rsidP="00AC56D6">
      <w:pPr>
        <w:pStyle w:val="TextoNormal"/>
      </w:pPr>
      <w:r>
        <w:t>En cuanto a la libertad de expresión [art. 20.1 a) CE] los recurrentes recuerdan, con cita igualmente de doctrina constitucional, que dicha libertad ocupa una posición preferente, como elemento esencial para la formación de una opinión pública libre, y que en tal condición es objeto de especial protección constitucional y tiene reconocido por ese motivo un amplio espacio exento de coacción, que solo excluye aquellas expresiones que sean intrínsecas y absolutamente vejatorias que resulten impertinentes e innecesarias para la exposición de la idea que se pretende expresar. Adjetivos que en modo alguno cuadran con la conducta considerada que, aunque pueda parecer, a los ojos de algunos, incorrecta o incluso de mal gusto si se quiere, no implica ningún menosprecio intrínsecamente vejatorio contra los Reyes, como así de hecho lo entendió el Voto particular formulado a la Sentencia de apelación. Menos aún si se tiene en cuenta el contexto de reivindicación o contestación política en contra de la Monarquía en el que se produjo y la condición político-pública de la institución monárquica que resulta, en consecuencia, más permeable a la crítica. Esta es, por otra parte, la solución que siguen otros Tribunales Constitucionales, como es el caso del Tribunal Supremo de los EE.UU., que en su Sentencia de 21 de marzo de 1989 (</w:t>
      </w:r>
      <w:r w:rsidRPr="00AC56D6">
        <w:rPr>
          <w:i/>
        </w:rPr>
        <w:t>Texas v. Johnson</w:t>
      </w:r>
      <w:r>
        <w:t>), anuló la condena penal impuesta a un manifestante que en el curso de una manifestación quemó la bandera americana, precisamente por considerar dicha conducta protegida por la libertad de expresión.</w:t>
      </w:r>
    </w:p>
    <w:p w:rsidR="00AC56D6" w:rsidRDefault="00AC56D6" w:rsidP="00AC56D6">
      <w:pPr>
        <w:pStyle w:val="TextoNormal"/>
      </w:pPr>
    </w:p>
    <w:p w:rsidR="00AC56D6" w:rsidRDefault="00AC56D6" w:rsidP="00AC56D6">
      <w:pPr>
        <w:pStyle w:val="TextoNormal"/>
      </w:pPr>
      <w:r w:rsidRPr="00AC56D6">
        <w:rPr>
          <w:rStyle w:val="NumeroAFNegritaCaracter"/>
        </w:rPr>
        <w:t>4</w:t>
      </w:r>
      <w:r>
        <w:t>. Por providencia de 26 de abril de 2010 la Sala Primera de este Tribunal acordó, de conformidad con lo previsto en el art. 50.1 de la Ley Orgánica del Tribunal Constitucional (LOTC), admitir a trámite el presente recurso de amparo. Asimismo, en aplicación de lo dispuesto en el art. 51 LOTC, acordó requerir atentamente a la Sala de lo Penal de la Audiencia Nacional y al Juzgado Central de lo Penal a fin de que respectivamente remitieran testimonio del rollo núm. 5-2008 y procedimiento abreviado núm. 52-2007, y se emplazase a quienes hubieran sido parte en ese procedimiento, con excepción de la parte recurrente en amparo, para que en el plazo de diez días pudieran comparecen en este proceso constitucional de amparo, con traslado a dichos efectos de copia de la demanda presentada.</w:t>
      </w:r>
    </w:p>
    <w:p w:rsidR="00AC56D6" w:rsidRDefault="00AC56D6" w:rsidP="00AC56D6">
      <w:pPr>
        <w:pStyle w:val="TextoNormal"/>
      </w:pPr>
    </w:p>
    <w:p w:rsidR="00AC56D6" w:rsidRDefault="00AC56D6" w:rsidP="00AC56D6">
      <w:pPr>
        <w:pStyle w:val="TextoNormal"/>
      </w:pPr>
      <w:r w:rsidRPr="00AC56D6">
        <w:rPr>
          <w:rStyle w:val="NumeroAFNegritaCaracter"/>
        </w:rPr>
        <w:t>5</w:t>
      </w:r>
      <w:r>
        <w:t>. Por diligencia de ordenación de 27 de mayo de 2010 se acordó tener por recibidos los testimonios de las actuaciones reclamados y, con arreglo a lo dispuesto en el art. 52.1 LOTC, conceder al Ministerio Fiscal y a las partes personadas plazo común por veinte días para que, con vista de las actuaciones recibidas, formulasen alegaciones.</w:t>
      </w:r>
    </w:p>
    <w:p w:rsidR="00AC56D6" w:rsidRDefault="00AC56D6" w:rsidP="00AC56D6">
      <w:pPr>
        <w:pStyle w:val="TextoNormal"/>
      </w:pPr>
    </w:p>
    <w:p w:rsidR="00AC56D6" w:rsidRDefault="00AC56D6" w:rsidP="00AC56D6">
      <w:pPr>
        <w:pStyle w:val="TextoNormal"/>
      </w:pPr>
      <w:r w:rsidRPr="00AC56D6">
        <w:rPr>
          <w:rStyle w:val="NumeroAFNegritaCaracter"/>
        </w:rPr>
        <w:t>6</w:t>
      </w:r>
      <w:r>
        <w:t>. Con fecha 23 de junio de 2010 la representación procesal de los recurrentes presentó su escrito de alegaciones ratificándose en las ya formuladas en su escrito de demanda de amparo constitucional.</w:t>
      </w:r>
    </w:p>
    <w:p w:rsidR="00AC56D6" w:rsidRDefault="00AC56D6" w:rsidP="00AC56D6">
      <w:pPr>
        <w:pStyle w:val="TextoNormal"/>
      </w:pPr>
    </w:p>
    <w:p w:rsidR="00AC56D6" w:rsidRDefault="00AC56D6" w:rsidP="00AC56D6">
      <w:pPr>
        <w:pStyle w:val="TextoNormal"/>
      </w:pPr>
      <w:r w:rsidRPr="00AC56D6">
        <w:rPr>
          <w:rStyle w:val="NumeroAFNegritaCaracter"/>
        </w:rPr>
        <w:t>7</w:t>
      </w:r>
      <w:r>
        <w:t xml:space="preserve">. El Ministerio Fiscal, mediante escrito registrado el 1 de julio de 2010, presentó sus alegaciones interesando la desestimación del amparo solicitado. Antes, sin embargo, razona sobre el posible incumplimiento del requisito del art. 49.1 LOTC, y que obliga a justificar </w:t>
      </w:r>
      <w:r>
        <w:lastRenderedPageBreak/>
        <w:t>en cada caso la especial trascendencia constitucional del recurso. Un requisito de cuyo efectivo cumplimiento el Ministerio Fiscal duda, pero que finalmente considera no obstante satisfecho a fin de no incurrir en “rigorismos innecesarios”.</w:t>
      </w:r>
    </w:p>
    <w:p w:rsidR="00AC56D6" w:rsidRDefault="00AC56D6" w:rsidP="00AC56D6">
      <w:pPr>
        <w:pStyle w:val="TextoNormal"/>
      </w:pPr>
    </w:p>
    <w:p w:rsidR="00AC56D6" w:rsidRDefault="00AC56D6" w:rsidP="00AC56D6">
      <w:pPr>
        <w:pStyle w:val="TextoNormal"/>
      </w:pPr>
      <w:r>
        <w:t>En cuanto al fondo del recurso el Fiscal, tras resumir lo principal de las alegaciones formuladas en la demanda y los antecedentes del caso, descarta que las Sentencias impugnadas hayan vulnerado la libertad ideológica que denuncia los recurrentes. Entre otras razones, pero principalmente, porque su condena penal no se funda en la ideología antimonárquica que confesadamente dicen defender, sino en el modo en el que la manifestaron externa y públicamente y, por tanto, por exceder de los límites del ejercicio de la libertad de expresión. Al respecto el Fiscal no comparte tampoco las alegaciones de los recurrentes y, con amplia cita de las SSTC 20/1990 y 107/1998 y del ATC 213/2006, considera que su comportamiento, por las circunstancias en las que se produjo, tuvo efectivamente un contenido o ánimo exclusivamente injurioso y vejatorio, conforme así lo entendieron las Sentencias impugnadas y sostendrían también la generalidad de los ciudadanos. De hecho, en su criterio, así lo prueba por otra parte el que los recurrentes no hayan discutido en ningún momento “el contenido vejatorio” de su conducta y el que su intención fuera efectivamente la de “expresar su total desprecio a los monarcas y su deseo de destrucción de la institución”.</w:t>
      </w:r>
    </w:p>
    <w:p w:rsidR="00AC56D6" w:rsidRDefault="00AC56D6" w:rsidP="00AC56D6">
      <w:pPr>
        <w:pStyle w:val="TextoNormal"/>
      </w:pPr>
    </w:p>
    <w:p w:rsidR="00AC56D6" w:rsidRDefault="00AC56D6" w:rsidP="00AC56D6">
      <w:pPr>
        <w:pStyle w:val="TextoNormal"/>
      </w:pPr>
      <w:r w:rsidRPr="00AC56D6">
        <w:rPr>
          <w:rStyle w:val="NumeroAFNegritaCaracter"/>
        </w:rPr>
        <w:t>8</w:t>
      </w:r>
      <w:r>
        <w:t>. Con fecha 28 de septiembre de 2011 el Pleno de este Tribunal Constitucional acordó, de conformidad con el art. 10.1 n) LOTC y a propuesta de la Sala Primera, recabar para sí el conocimiento del presente recurso de amparo.</w:t>
      </w:r>
    </w:p>
    <w:p w:rsidR="00AC56D6" w:rsidRDefault="00AC56D6" w:rsidP="00AC56D6">
      <w:pPr>
        <w:pStyle w:val="TextoNormal"/>
      </w:pPr>
    </w:p>
    <w:p w:rsidR="00AC56D6" w:rsidRDefault="00AC56D6" w:rsidP="00AC56D6">
      <w:pPr>
        <w:pStyle w:val="TextoNormal"/>
      </w:pPr>
      <w:r w:rsidRPr="00AC56D6">
        <w:rPr>
          <w:rStyle w:val="NumeroAFNegritaCaracter"/>
        </w:rPr>
        <w:t>9</w:t>
      </w:r>
      <w:r>
        <w:t>. Por providencia de 21 de julio de 2015 se señaló para deliberación y fallo de la presente Sentencia el 22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Los demandantes de amparo impugnan la Sentencia del Pleno de la Sala de lo Penal de la Audiencia Nacional de 5 de diciembre de 2008, que desestimó el recurso de apelación interpuesto contra la Sentencia del Juzgado Central de lo Penal de la Audiencia Nacional de 9 de julio de 2008, que les condenó como autores de un delito de injurias contra la Corona, con la circunstancia agravante de disfraz, a la pena de quince meses de prisión, que fue sustituida por multa de treinta meses, con una cuota diaria de 3 €.</w:t>
      </w:r>
    </w:p>
    <w:p w:rsidR="00AC56D6" w:rsidRDefault="00AC56D6" w:rsidP="00AC56D6">
      <w:pPr>
        <w:pStyle w:val="TextoNormal"/>
      </w:pPr>
    </w:p>
    <w:p w:rsidR="00AC56D6" w:rsidRDefault="00AC56D6" w:rsidP="00AC56D6">
      <w:pPr>
        <w:pStyle w:val="TextoNormal"/>
      </w:pPr>
      <w:r w:rsidRPr="00AC56D6">
        <w:rPr>
          <w:rStyle w:val="NumeroAFNegritaCaracter"/>
        </w:rPr>
        <w:t>2</w:t>
      </w:r>
      <w:r>
        <w:t>. Como ha quedado expuesto con más detalle en los antecedentes, los recurrentes denuncian formalmente y por separado la vulneración de sus libertades ideológica (art. 16.1 CE) y de expresión [art. 20.1 a) CE]. Por razones metodológicas se estima conveniente abordar en primer lugar la denuncia atinente a la lesión del segundo de los derechos enunciados. Sobre el contenido de la libertad de expresión y sus límites existe una consolidada doctrina constitucional que puede resumirse del siguiente modo:</w:t>
      </w:r>
    </w:p>
    <w:p w:rsidR="00AC56D6" w:rsidRDefault="00AC56D6" w:rsidP="00AC56D6">
      <w:pPr>
        <w:pStyle w:val="TextoNormal"/>
      </w:pPr>
    </w:p>
    <w:p w:rsidR="00AC56D6" w:rsidRDefault="00AC56D6" w:rsidP="00AC56D6">
      <w:pPr>
        <w:pStyle w:val="TextoNormal"/>
      </w:pPr>
      <w:r>
        <w:t xml:space="preserve">a) Conforme a una jurisprudencia unánime que arranca de las tempranas SSTC 6/1981, de 16 de marzo, y 12/1982, de 31 de marzo, y recuerdan, entre otras, las más recientes SSTC 41/2001, de 11 de abril, FJ 4, y 50/2010, de 4 de octubre, se ha subrayado repetidamente la “peculiar dimensión institucional de la libertad de expresión”, en cuanto que garantía para </w:t>
      </w:r>
      <w:r>
        <w:lastRenderedPageBreak/>
        <w:t>“la formación y existencia de una opinión pública libre”, que la convierte “en uno de los pilares de una sociedad libre y democrática”. De modo congruente, hemos insistido también en la necesidad de que dicha libertad “goce de un amplio cauce para el intercambio de ideas y opiniones”, que ha de ser “lo suficientemente generoso como para que pueda desenvolverse sin angostura; esto es, sin timidez y sin temor” (SSTC 9/2007, de 15 de enero, FJ 4, y 50/2010, FJ 7).</w:t>
      </w:r>
    </w:p>
    <w:p w:rsidR="00AC56D6" w:rsidRDefault="00AC56D6" w:rsidP="00AC56D6">
      <w:pPr>
        <w:pStyle w:val="TextoNormal"/>
      </w:pPr>
    </w:p>
    <w:p w:rsidR="00AC56D6" w:rsidRDefault="00AC56D6" w:rsidP="00AC56D6">
      <w:pPr>
        <w:pStyle w:val="TextoNormal"/>
      </w:pPr>
      <w:r>
        <w:t xml:space="preserve">b) También hemos sostenido que la libertad de expresión comprende la libertad de crítica “aun cuando la misma sea desabrida y pueda molestar, inquietar o disgustar a quien se dirige, pues así lo requieren el pluralismo, la tolerancia y el espíritu de apertura, sin los cuales no existe sociedad democrática” (SSTC 174/2006, de 5 de junio, FJ 4, y 77/2009, de 23 de marzo, FJ 4). De modo que, como subraya la STC 235/2007, de 7 de noviembre, FJ 4, la libertad de expresión vale no solo para la difusión de ideas u opiniones “acogidas con favor o consideradas inofensivas o indiferentes, sino también para aquellas que contrarían, chocan o inquietan al Estado o a una parte cualquiera de la población” (STEDH caso </w:t>
      </w:r>
      <w:r w:rsidRPr="00AC56D6">
        <w:rPr>
          <w:i/>
        </w:rPr>
        <w:t>De Haes y Gijsels c. Bélgica</w:t>
      </w:r>
      <w:r>
        <w:t>, de 24 de febrero de 1997, § 49). En fin, en esta última Sentencia hemos recordado también que en nuestro sistema “no tiene cabida un modelo de ‘democracia militante’, esto es, un modelo en el que se imponga, no ya el respeto, sino la adhesión positiva al ordenamiento y, en primer lugar, a la Constitución … El valor del pluralismo y la necesidad del libre intercambio de ideas como sustrato del sistema democrático representativo impiden cualquier actividad de los poderes públicos tendente a controlar, seleccionar, o determinar gravemente la mera circulación pública de ideas o doctrinas”.</w:t>
      </w:r>
    </w:p>
    <w:p w:rsidR="00AC56D6" w:rsidRDefault="00AC56D6" w:rsidP="00AC56D6">
      <w:pPr>
        <w:pStyle w:val="TextoNormal"/>
      </w:pPr>
    </w:p>
    <w:p w:rsidR="00AC56D6" w:rsidRDefault="00AC56D6" w:rsidP="00AC56D6">
      <w:pPr>
        <w:pStyle w:val="TextoNormal"/>
      </w:pPr>
      <w:r>
        <w:t xml:space="preserve">En ese contexto, tanto este Tribunal como el Tribunal Europeo de Derechos Humanos han insistido en el significado central del discurso político desde el ámbito de protección de los arts. 20 CE y 10 del Convenio europeo para la protección de los derechos humanos y de las libertades fundamentales (CEDH), particularmente amparable cuando se ejerce por un representante político. Al respecto, el Tribunal Europeo de Derechos Humanos entiende que la libertad de expresión adquiere unos márgenes especialmente valiosos cuando se ejerce por una persona elegida por el pueblo (STEDH de 15 de marzo de 2011, caso </w:t>
      </w:r>
      <w:r w:rsidRPr="00AC56D6">
        <w:rPr>
          <w:i/>
        </w:rPr>
        <w:t>Otegi c. España</w:t>
      </w:r>
      <w:r>
        <w:t xml:space="preserve">, §50), que representa a sus electores, señala sus preocupaciones y defiende sus intereses, estándole “permitido recurrir a una cierta dosis de exageración, o incluso de provocación, es decir, de ser un tanto inmoderado en sus observaciones” (caso </w:t>
      </w:r>
      <w:r w:rsidRPr="00AC56D6">
        <w:rPr>
          <w:i/>
        </w:rPr>
        <w:t>Otegi c. España</w:t>
      </w:r>
      <w:r>
        <w:t xml:space="preserve">, § 54), por lo que en ese contexto el control debe ser más estricto (STEDH de 23 de abril de 1992, caso </w:t>
      </w:r>
      <w:r w:rsidRPr="00AC56D6">
        <w:rPr>
          <w:i/>
        </w:rPr>
        <w:t>Castells c. España</w:t>
      </w:r>
      <w:r>
        <w:t>, § 42). Sin perjuicio de lo cual, el sujeto interviniente en el debate público de interés general debe tener en consideración ciertos límites y, singularmente, respetar la dignidad, la reputación y los derechos de terceros.</w:t>
      </w:r>
    </w:p>
    <w:p w:rsidR="00AC56D6" w:rsidRDefault="00AC56D6" w:rsidP="00AC56D6">
      <w:pPr>
        <w:pStyle w:val="TextoNormal"/>
      </w:pPr>
    </w:p>
    <w:p w:rsidR="00AC56D6" w:rsidRDefault="00AC56D6" w:rsidP="00AC56D6">
      <w:pPr>
        <w:pStyle w:val="TextoNormal"/>
      </w:pPr>
      <w:r>
        <w:t>c) La libertad de expresión no es, en suma, un derecho fundamental absoluto e ilimitado, sino que tiene lógicamente, como todos los demás, sus límites, de manera que cualquier expresión no merece, por el simple hecho de serlo, protección constitucional, toda vez que el art. 20.1 a) CE “no reconoce un pretendido derecho al insulto” (SSTC 29/2009, de 26 de enero; 77/2009, de 23 de marzo, y 50/2010, de 4 de octubre). En consecuencia, este Tribunal ha declarado repetidamente que quedan fuera de la protección constitucional del art. 20.1 a) CE “las expresiones indudablemente injuriosas o sin relación con las ideas u opiniones que se expongan y que resulten innecesarias para la exposición de las mismas”. Es decir, las que, “en las concretas circunstancias del caso sean ofensivas u oprobiosas”.</w:t>
      </w:r>
    </w:p>
    <w:p w:rsidR="00AC56D6" w:rsidRDefault="00AC56D6" w:rsidP="00AC56D6">
      <w:pPr>
        <w:pStyle w:val="TextoNormal"/>
      </w:pPr>
    </w:p>
    <w:p w:rsidR="00AC56D6" w:rsidRDefault="00AC56D6" w:rsidP="00AC56D6">
      <w:pPr>
        <w:pStyle w:val="TextoNormal"/>
      </w:pPr>
      <w:r>
        <w:lastRenderedPageBreak/>
        <w:t xml:space="preserve">Por su parte, la jurisprudencia del Tribunal Europeo de Derechos Humanos ha afirmado que “[l]a tolerancia y el respeto de la igual dignidad de todos los seres humanos constituyen el fundamento de una sociedad democrática y pluralista. De ello resulta que, en principio, se puede considerar necesario, en las sociedades democráticas, sancionar e incluso prevenir todas las formas de expresión que propaguen, inciten, promuevan o justifiquen el odio basado en la intolerancia” (STEDH de 16 de julio de 2009, caso </w:t>
      </w:r>
      <w:r w:rsidRPr="00AC56D6">
        <w:rPr>
          <w:i/>
        </w:rPr>
        <w:t>Féret c. Bélgica</w:t>
      </w:r>
      <w:r>
        <w:t>, § 64), del mismo modo que la libre exposición de las ideas no autoriza el uso de la violencia para imponer criterios propios.</w:t>
      </w:r>
    </w:p>
    <w:p w:rsidR="00AC56D6" w:rsidRDefault="00AC56D6" w:rsidP="00AC56D6">
      <w:pPr>
        <w:pStyle w:val="TextoNormal"/>
      </w:pPr>
    </w:p>
    <w:p w:rsidR="00AC56D6" w:rsidRDefault="00AC56D6" w:rsidP="00AC56D6">
      <w:pPr>
        <w:pStyle w:val="TextoNormal"/>
      </w:pPr>
      <w:r>
        <w:t xml:space="preserve">d) Estos límites deben ser, no obstante, ponderados siempre con exquisito rigor. Esta regla, que es de obligada atención con carácter general, habida cuenta de la posición preferente que ocupa la libertad de expresión, lo es todavía más cuando dicha libertad entra en conflicto con otros derechos fundamentales, en particular el derecho al honor (art. 18 CE), y señaladamente con otros intereses de significada importancia social y política respaldados por la legislación penal. Cuando esto último sucede, como es el presente caso, esas limitaciones siempre han de ser “interpretadas de tal modo que el derecho fundamental [del art. 20.1 a) CE] no resulte desnaturalizado” (STC 20/1990, de 15 de febrero; FJ 4). Lo que, obliga entre otras consecuencias, “a modificar profundamente la forma de afrontar el enjuiciamiento de los delitos contra el honor en los que se halla implicado el ejercicio de la libertad de expresión”, pues su posición preferente impone “la necesidad de dej[ar] un amplio espacio al disfrute de [dicha] libertad" (SSTC 39/2005, de 28 de febrero, FJ 4, y 278/2005, de 7 de noviembre; FJ 4), y “convierte en insuficiente el criterio subjetivo del </w:t>
      </w:r>
      <w:r w:rsidRPr="00AC56D6">
        <w:rPr>
          <w:i/>
        </w:rPr>
        <w:t>animus iniuriandi</w:t>
      </w:r>
      <w:r>
        <w:t xml:space="preserve">”, tradicionalmente utilizado por la jurisprudencia penal para el enjuiciamiento de este tipo de delitos (SSTC 108/2008, de 22 de septiembre, FJ 3, y 29/2009, de 26 de enero, FJ 3). En definitiva, el Juez penal ha de tener siempre presente su contenido constitucional para “no correr el riesgo de hacer del Derecho penal un factor de disuasión del ejercicio de la libertad de expresión, lo que, sin duda, resulta indeseable en el Estado democrático” (SSTC 105/1990, de 6 de junio, FFJJ 4 y 8; 287/2000, de 11 de diciembre, FJ 4; 127/2004, de 19 de julio, FJ 4, y 253/2007, de 7 de noviembre, FJ 6, y STEDH, caso </w:t>
      </w:r>
      <w:r w:rsidRPr="00AC56D6">
        <w:rPr>
          <w:i/>
        </w:rPr>
        <w:t>Castells</w:t>
      </w:r>
      <w:r>
        <w:t>, 23 de abril de 1992, § 46).</w:t>
      </w:r>
    </w:p>
    <w:p w:rsidR="00AC56D6" w:rsidRDefault="00AC56D6" w:rsidP="00AC56D6">
      <w:pPr>
        <w:pStyle w:val="TextoNormal"/>
      </w:pPr>
    </w:p>
    <w:p w:rsidR="00AC56D6" w:rsidRDefault="00AC56D6" w:rsidP="00AC56D6">
      <w:pPr>
        <w:pStyle w:val="TextoNormal"/>
      </w:pPr>
      <w:r>
        <w:t>e) Así las cosas, el órgano judicial debe valorar, como cuestión previa a la aplicación del tipo penal y atendiendo siempre a las circunstancias concurrentes en el caso concreto, si la conducta que enjuicia constituye un ejercicio lícito del derecho fundamental a la libertad de expresión y, en consecuencia, se justifica por el valor predominante de la libertad de expresión. Pues “es obvio que los hechos probados no pueden ser a un mismo tiempo valorados como actos de ejercicio de un derecho fundamental y como conductas constitutivas de un delito” (por todas, últimamente, STC 89/2010, de 15 de noviembre, FJ 3). Por ese motivo, como también hemos repetido en múltiples ocasiones, “la ausencia de ese examen previo al que está obligado el Juez penal o su realización sin incluir en él la conexión de los comportamientos enjuiciados con el contenido de los derechos fundamentales y de las libertades públicas no es constitucionalmente admisible” (STC 29/2009, de 26 enero, FJ 3), y, por lo mismo, “constituye en sí misma una vulneración de los derechos fundamentales no tomados en consideración” (SSTC 299/2006, de 23 de octubre, FJ 3, y 108/2008, de 22 de septiembre, FJ 3). En suma, en casos como el presente, “no estamos en el ámbito de los límites al ejercicio del derecho, sino en el previo de la delimitación de su contenido” (SSTC 137/1997, de 21 de julio, FJ 2, y 127/2004, de 19 de julio).</w:t>
      </w:r>
    </w:p>
    <w:p w:rsidR="00AC56D6" w:rsidRDefault="00AC56D6" w:rsidP="00AC56D6">
      <w:pPr>
        <w:pStyle w:val="TextoNormal"/>
      </w:pPr>
    </w:p>
    <w:p w:rsidR="00AC56D6" w:rsidRDefault="00AC56D6" w:rsidP="00AC56D6">
      <w:pPr>
        <w:pStyle w:val="TextoNormal"/>
      </w:pPr>
      <w:r>
        <w:lastRenderedPageBreak/>
        <w:t>f) Por lo demás, en supuestos como el actual la tarea que corresponde a este Tribunal no se “circunscribe a examinar la razonabilidad de la motivación de la resolución judicial, ya que no se trata aquí de comprobar si dicha resolución ha infringido o no el art. 24.1 CE, sino de resolver un eventual conflicto entre los derechos afectados, determinando si, efectivamente, aquéllos se han vulnerado atendiendo al contenido que constitucionalmente corresponda a cada uno de ellos, aunque para este fin sea preciso utilizar criterios distintos de los aplicados por los órganos judiciales, ya que sus razones no vinculan a este Tribunal ni reducen su jurisdicción a la simple revisión de la motivación de las resoluciones judiciales” (por todas, STC 158/2009, de 25 de junio).</w:t>
      </w:r>
    </w:p>
    <w:p w:rsidR="00AC56D6" w:rsidRDefault="00AC56D6" w:rsidP="00AC56D6">
      <w:pPr>
        <w:pStyle w:val="TextoNormal"/>
      </w:pPr>
    </w:p>
    <w:p w:rsidR="00AC56D6" w:rsidRDefault="00AC56D6" w:rsidP="00AC56D6">
      <w:pPr>
        <w:pStyle w:val="TextoNormal"/>
      </w:pPr>
      <w:r w:rsidRPr="00AC56D6">
        <w:rPr>
          <w:rStyle w:val="NumeroAFNegritaCaracter"/>
        </w:rPr>
        <w:t>3</w:t>
      </w:r>
      <w:r>
        <w:t>. Con arreglo a estos presupuestos nos corresponde dilucidar si, como defienden los demandantes de amparo, el hecho de quemar, en las circunstancias descritas, una fotografía de SS.MM. los Reyes es una conducta penalmente no reprochable por constituir un legítimo ejercicio de la libertad de expresión que garantiza la Constitución [art. 20.1 a) CE] o si, por el contrario, como declararon las Sentencias judiciales ahora recurridas y, a su vez, ha opinado también en el presente proceso constitucional el Ministerio Fiscal, dicha conducta tiene un contenido intrínsecamente injurioso y vejatorio que desborda los límites constitucionales de la libertad de expresión. Para ello será preciso analizar la concreta acción ejecutada por los recurrentes, atendiendo particularmente a los siguientes criterios:</w:t>
      </w:r>
    </w:p>
    <w:p w:rsidR="00AC56D6" w:rsidRDefault="00AC56D6" w:rsidP="00AC56D6">
      <w:pPr>
        <w:pStyle w:val="TextoNormal"/>
      </w:pPr>
    </w:p>
    <w:p w:rsidR="00AC56D6" w:rsidRDefault="00AC56D6" w:rsidP="00AC56D6">
      <w:pPr>
        <w:pStyle w:val="TextoNormal"/>
      </w:pPr>
      <w:r>
        <w:t xml:space="preserve">a) En primer lugar, conviene subrayar la singular y reforzada protección jurídica que el legislador penal otorga a la Corona, al igual que hace con otras altas Instituciones del Estado, para defender el propio Estado Constitucional, pues así lo corrobora el hecho de que el delito de injurias a la Corona no figure en el título XI del Código penal, relativo a los delitos contra el honor, sino en el título XXI, dedicado precisamente a los delitos contra la Constitución. Por consiguiente, en lo que ahora exclusivamente nos importa, el art. 490.3 del Código penal (CP) tipifica un delito de naturaleza pública, a cuyo través se protege el mantenimiento del propio orden político que sanciona la Constitución, en atención a lo que la figura del Rey representa. No obstante, el honor y la dignidad del monarca también forman parte del bien jurídico protegido por el precepto, siempre que la ofensa tenga que ver con el ejercicio de sus funciones o se produzca con ocasión de dicho ejercicio. Ahora bien, la protección penal que ofrece el art. 490.3 CP no implica que el Rey, como máximo representante del Estado y símbolo de su unidad, quede excluido de la crítica especialmente por parte de aquéllos que rechazan legítimamente las estructuras constitucionales del Estado, incluido el régimen monárquico. Y ello a pesar de la posición de neutralidad que el monarca ocupa en el debate político y del hecho de no estar sujeto a responsabilidad, pues tales circunstancias no pueden suponer un obstáculo al libre debate sobre su posible responsabilidad institucional o, incluso, simbólica, dentro de los límites del respeto a su reputación (caso </w:t>
      </w:r>
      <w:r w:rsidRPr="00AC56D6">
        <w:rPr>
          <w:i/>
        </w:rPr>
        <w:t>Otegui c. España</w:t>
      </w:r>
      <w:r>
        <w:t>, § 56).</w:t>
      </w:r>
    </w:p>
    <w:p w:rsidR="00AC56D6" w:rsidRDefault="00AC56D6" w:rsidP="00AC56D6">
      <w:pPr>
        <w:pStyle w:val="TextoNormal"/>
      </w:pPr>
    </w:p>
    <w:p w:rsidR="00AC56D6" w:rsidRDefault="00AC56D6" w:rsidP="00AC56D6">
      <w:pPr>
        <w:pStyle w:val="TextoNormal"/>
      </w:pPr>
      <w:r>
        <w:t xml:space="preserve">b) En segundo lugar, debe destacarse que la destrucción de un retrato oficial posee un innegable y señalado componente simbólico. Aunque las más genuinas formas de expresión consisten en manifestaciones orales o escritas, las personas pueden igualmente comunicar o expresar sus ideas y opiniones mediante conductas, hechos o comportamientos no verbales que, en tal consideración, son también manifestaciones de la libertad de expresión. En este sentido, la Constitución garantiza el derecho fundamental a expresar y difundir libremente los pensamientos, ideas u opiniones no sólo mediante la palabra o el escrito, sino también mediante “cualquier otro medio de reproducción” [art. 20.1 a) CE]. También el Tribunal </w:t>
      </w:r>
      <w:r>
        <w:lastRenderedPageBreak/>
        <w:t xml:space="preserve">Europeo de Derechos Humanos ha recordado que el art. 10 CEDH no protege sólo las ideas e información objeto de expresión, sino también la forma en que se plasman, por lo que su jurisprudencia en relación con tal precepto abarca las modalidades habituales de expresión (discurso oral y escrito), pero también otros medios menos obvios de expresión, como la exhibición de símbolos o la realización de conductas aptas para transmitir opiniones, ideas o información (por todas, STEDH de 21 de octubre de 2014, caso </w:t>
      </w:r>
      <w:r w:rsidRPr="00AC56D6">
        <w:rPr>
          <w:i/>
        </w:rPr>
        <w:t>Murat Vural c. Turquía</w:t>
      </w:r>
      <w:r>
        <w:t>, §§ 44-51).</w:t>
      </w:r>
    </w:p>
    <w:p w:rsidR="00AC56D6" w:rsidRDefault="00AC56D6" w:rsidP="00AC56D6">
      <w:pPr>
        <w:pStyle w:val="TextoNormal"/>
      </w:pPr>
    </w:p>
    <w:p w:rsidR="00AC56D6" w:rsidRDefault="00AC56D6" w:rsidP="00AC56D6">
      <w:pPr>
        <w:pStyle w:val="TextoNormal"/>
      </w:pPr>
      <w:r>
        <w:t>Por ello, las personas también pueden manifestar sus ideas y opiniones mediante un lenguaje simbólico (</w:t>
      </w:r>
      <w:r w:rsidRPr="00AC56D6">
        <w:rPr>
          <w:i/>
        </w:rPr>
        <w:t>symbolic speech</w:t>
      </w:r>
      <w:r>
        <w:t>), o bien mediante otras conductas expresivas (</w:t>
      </w:r>
      <w:r w:rsidRPr="00AC56D6">
        <w:rPr>
          <w:i/>
        </w:rPr>
        <w:t>expressive conduct</w:t>
      </w:r>
      <w:r>
        <w:t>). El componente significativo o expresivamente inocuo de determinados símbolos, actitudes o conductas dependerá, pues, del contexto que integre las circunstancias del caso.</w:t>
      </w:r>
    </w:p>
    <w:p w:rsidR="00AC56D6" w:rsidRDefault="00AC56D6" w:rsidP="00AC56D6">
      <w:pPr>
        <w:pStyle w:val="TextoNormal"/>
      </w:pPr>
    </w:p>
    <w:p w:rsidR="00AC56D6" w:rsidRDefault="00AC56D6" w:rsidP="00AC56D6">
      <w:pPr>
        <w:pStyle w:val="TextoNormal"/>
      </w:pPr>
      <w:r>
        <w:t>c) Por último interesa remarcar que, desde la perspectiva del derecho a la libertad de expresión, la formulación de críticas hacia los representantes de una institución o titulares de un cargo público, por desabridas, acres o inquietantes que puedan resultar no son más que reflejo de la participación política de los ciudadanos y son inmunes a restricciones por parte del poder público. Sin embargo, esa inmunidad no resulta predicable cuando lo expresado, aun de forma simbólica, solamente trasluce ultraje o vejación. De ahí, precisamente, la importancia de calibrar el significado de la conducta llevada a cabo por los demandantes, a fin de determinar si dicho comportamiento expresa un pensamiento crítico contra la Monarquía y los Reyes —si bien exteriorizado a través de una puesta en escena caracterizada por la aspereza y la acritud— que merece la protección constitucional que brinda el art. 20.1 a) CE o, por el contrario, se trata de un acto que incita a la violencia o al odio hacia la Corona y la persona del monarca, instrumentado mediante una liturgia truculenta.</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Teniendo en cuenta estos criterios y la doctrina constitucional que hemos expuesto más arriba debemos enjuiciar la constitucionalidad de la condena penal de los demandantes de amparo por un delito de injurias a la Corona del art. 490.3 CP, a la luz de los hechos declarados probados en la vía judicial. Tal y como hemos recordado en los antecedentes de esta resolución, las Sentencias recurridas declaran probado que los recurrentes irrumpieron con el rostro tapado —uno encapuchado y otro embozado— en la concentración que siguió a la manifestación precedente celebrada en protesta de la visita real y, previa deliberada colocación boca abajo de una fotografía de gran tamaño de los Reyes, procedieron a quemarla mientras eran jaleados por varios de los concentrados para, seguidamente, retirarse e intentar confundirse con el resto de los asistentes. De las circunstancias relatadas, los órganos judiciales coligieron el carácter delictivo de los hechos, dada la expresión simbólica de desprecio y destrucción que en el contexto en que se produjo comportó el uso del fuego, amén de la colocación del retrato de los Reyes en posición claudicante (boca abajo). Dichos órganos también escindieron nítidamente la transcendencia jurídica de la precedente manifestación antimonárquica, que consideraron amparada por el legítimo ejercicio del derecho a la libertad de expresión, del subsiguiente episodio sometido a enjuiciamiento, el cual, además de ser considerado formalmente injurioso, se reputó innecesario para exteriorizar una posición crítica hacia la Monarquía. Por tanto, en el ejercicio de las funciones que les son propias, los órganos judiciales fijaron los hechos probados, previa valoración de la prueba practicada en el plenario y, a su vez, concretaron la relevancia y significación jurídica del </w:t>
      </w:r>
      <w:r>
        <w:lastRenderedPageBreak/>
        <w:t xml:space="preserve">comportamiento de los demandantes, tanto para verificar la ineludible subsunción del </w:t>
      </w:r>
      <w:r w:rsidRPr="00AC56D6">
        <w:rPr>
          <w:i/>
        </w:rPr>
        <w:t>factum</w:t>
      </w:r>
      <w:r>
        <w:t xml:space="preserve"> en la norma penal, como para esclarecer si tales hechos estaban o no amparados por el derecho a la libertad de expresión.</w:t>
      </w:r>
    </w:p>
    <w:p w:rsidR="00AC56D6" w:rsidRDefault="00AC56D6" w:rsidP="00AC56D6">
      <w:pPr>
        <w:pStyle w:val="TextoNormal"/>
      </w:pPr>
    </w:p>
    <w:p w:rsidR="00AC56D6" w:rsidRDefault="00AC56D6" w:rsidP="00AC56D6">
      <w:pPr>
        <w:pStyle w:val="TextoNormal"/>
      </w:pPr>
      <w:r>
        <w:t>Desde la perspectiva que nos corresponde debemos dilucidar si los hechos acaecidos son expresión de una opción política legítima, que pudieran estimular el debate tendente a transformar el sistema político, o si, por el contrario, persiguen desencadenar un reflejo emocional de hostilidad, incitando y promoviendo el odio y la intolerancia incompatibles con el sistema de valores de la democracia.</w:t>
      </w:r>
    </w:p>
    <w:p w:rsidR="00AC56D6" w:rsidRDefault="00AC56D6" w:rsidP="00AC56D6">
      <w:pPr>
        <w:pStyle w:val="TextoNormal"/>
      </w:pPr>
    </w:p>
    <w:p w:rsidR="00AC56D6" w:rsidRDefault="00AC56D6" w:rsidP="00AC56D6">
      <w:pPr>
        <w:pStyle w:val="TextoNormal"/>
      </w:pPr>
      <w:r>
        <w:t>Cuando una idea u opinión se manifiesta, como en el caso enjuiciado, mediante la destrucción de elementos con un valor simbólico, la conducta ha de ser examinada con arreglo a un canon de enjuiciamiento particularmente atento a las concretas circunstancias del caso. Un acto de destrucción puede sugerir una acción violenta y, en consecuencia, ser susceptible de albergar mensajes que no merecen protección constitucional. Pues, como es obvio, no es jurídicamente indiferente manifestar la protesta o el sentimiento crítico utilizando medios o instrumentos inocuos para la seguridad y dignidad de las personas, que hacerlo incitando a la violencia o al menosprecio de las personas que integran la institución simbolizada o sirviéndose del lenguaje del odio.</w:t>
      </w:r>
    </w:p>
    <w:p w:rsidR="00AC56D6" w:rsidRDefault="00AC56D6" w:rsidP="00AC56D6">
      <w:pPr>
        <w:pStyle w:val="TextoNormal"/>
      </w:pPr>
    </w:p>
    <w:p w:rsidR="00AC56D6" w:rsidRDefault="00AC56D6" w:rsidP="00AC56D6">
      <w:pPr>
        <w:pStyle w:val="TextoNormal"/>
      </w:pPr>
      <w:r>
        <w:t>En la STC 136/1999, de 20 de julio, afirmamos que “no cabe considerar ejercicio legítimo de las libertades de expresión e información a los mensajes que incorporen amenazas o intimidaciones a los ciudadanos o a los electores, ya que como es evidente con ellos ni se respeta la libertad de los demás, ni se contribuye a la formación de una opinión pública que merezca el calificativo de libre” (FJ 15). Del mismo modo, la utilización de símbolos, mensajes o elementos que representen o se identifiquen con la exclusión política, social o cultural, deja de ser una simple manifestación ideológica para convertirse en un acto cooperador con la intolerancia excluyente, por lo que no puede encontrar cobertura en la libertad de expresión, cuya finalidad es contribuir a la formación de una opinión pública libre.</w:t>
      </w:r>
    </w:p>
    <w:p w:rsidR="00AC56D6" w:rsidRDefault="00AC56D6" w:rsidP="00AC56D6">
      <w:pPr>
        <w:pStyle w:val="TextoNormal"/>
      </w:pPr>
    </w:p>
    <w:p w:rsidR="00AC56D6" w:rsidRDefault="00AC56D6" w:rsidP="00AC56D6">
      <w:pPr>
        <w:pStyle w:val="TextoNormal"/>
      </w:pPr>
      <w:r>
        <w:t>Es obvio que las manifestaciones más toscas del denominado “discurso del odio” son las que se proyectan sobre las condiciones étnicas, religiosas, culturales o sexuales de las personas. Pero lo cierto es que el discurso fóbico ofrece también otras vertientes, siendo una de ellas, indudablemente, la que persigue fomentar el rechazo y la exclusión de la vida política, y aun la eliminación física, de quienes no compartan el ideario de los intolerantes.</w:t>
      </w:r>
    </w:p>
    <w:p w:rsidR="00AC56D6" w:rsidRDefault="00AC56D6" w:rsidP="00AC56D6">
      <w:pPr>
        <w:pStyle w:val="TextoNormal"/>
      </w:pPr>
    </w:p>
    <w:p w:rsidR="00AC56D6" w:rsidRDefault="00AC56D6" w:rsidP="00AC56D6">
      <w:pPr>
        <w:pStyle w:val="TextoNormal"/>
      </w:pPr>
      <w:r>
        <w:t>En estos términos deben valorarse los hechos ocurridos el 13 de septiembre de 2007 en la plaza mayor de la ciudad de Girona, donde, tras haber situado en la plaza mayor de la ciudad de Girona una estructura metálica en la que se sujeta una fotografía de las efigies en tamaño real de los Monarcas, puesta “boca abajo”, los oficiantes, encapuchado uno y embozado otro, le prenden fuego mediante una antorcha, al tiempo que otras personas aprueban la acción con gritos y aplausos.</w:t>
      </w:r>
    </w:p>
    <w:p w:rsidR="00AC56D6" w:rsidRDefault="00AC56D6" w:rsidP="00AC56D6">
      <w:pPr>
        <w:pStyle w:val="TextoNormal"/>
      </w:pPr>
    </w:p>
    <w:p w:rsidR="00AC56D6" w:rsidRDefault="00AC56D6" w:rsidP="00AC56D6">
      <w:pPr>
        <w:pStyle w:val="TextoNormal"/>
      </w:pPr>
      <w:r>
        <w:t>La escenificación de este acto simbólico traslada a quien visiona la grabación videográfica la idea de que los Monarcas merecen ser ajusticiados, sin que deba dejar de advertirse además que el lóbrego acto provoca un mayor impacto en una sociedad democrática, como la española, que de forma expresa excluye en su Constitución la pena de muerte (art. 15 CE).</w:t>
      </w:r>
    </w:p>
    <w:p w:rsidR="00AC56D6" w:rsidRDefault="00AC56D6" w:rsidP="00AC56D6">
      <w:pPr>
        <w:pStyle w:val="TextoNormal"/>
      </w:pPr>
    </w:p>
    <w:p w:rsidR="00AC56D6" w:rsidRDefault="00AC56D6" w:rsidP="00AC56D6">
      <w:pPr>
        <w:pStyle w:val="TextoNormal"/>
      </w:pPr>
      <w:r>
        <w:t>Quemar en público, en las circunstancias descritas, la fotografía o la imagen de una persona comporta una incitación a la violencia contra la persona y la institución que representa, fomenta sentimientos de agresividad contra la misma y expresa una amenaza.</w:t>
      </w:r>
    </w:p>
    <w:p w:rsidR="00AC56D6" w:rsidRDefault="00AC56D6" w:rsidP="00AC56D6">
      <w:pPr>
        <w:pStyle w:val="TextoNormal"/>
      </w:pPr>
    </w:p>
    <w:p w:rsidR="00AC56D6" w:rsidRDefault="00AC56D6" w:rsidP="00AC56D6">
      <w:pPr>
        <w:pStyle w:val="TextoNormal"/>
      </w:pPr>
      <w:r>
        <w:t>En definitiva, quemar públicamente el retrato de los Monarcas es un acto no sólo ofensivo sino también incitador al odio, en la medida en que la cremación de su imagen física expresa, de un modo difícilmente superable, que son merecedores de exclusión y odio.</w:t>
      </w:r>
    </w:p>
    <w:p w:rsidR="00AC56D6" w:rsidRDefault="00AC56D6" w:rsidP="00AC56D6">
      <w:pPr>
        <w:pStyle w:val="TextoNormal"/>
      </w:pPr>
    </w:p>
    <w:p w:rsidR="00AC56D6" w:rsidRDefault="00AC56D6" w:rsidP="00AC56D6">
      <w:pPr>
        <w:pStyle w:val="TextoNormal"/>
      </w:pPr>
      <w:r>
        <w:t>Hemos de reiterar que los recurrentes actuaron al término de la manifestación previa, cuya legitimidad no se cuestiona, y lo hicieron de manera premeditada. Ello denota que los demandantes aprovecharon la celebración de la previa reunión para, una vez concluida, realizar la actuación descrita. La ausencia de espontaneidad en el comportamiento de los demandantes es patente, puesto que la quema de la fotografía no surge de forma instantánea en el contexto de la manifestación y al hilo de la crítica sobre el modelo constitucional de Estado o como expresión de la ideología antimonárquica e independentista de los recurrentes. Dicho acto fue, por el contrario, fruto de una actividad diseñada de antemano y orientada a mostrar el mayor grado de hostilidad frente a la institución de la Corona.</w:t>
      </w:r>
    </w:p>
    <w:p w:rsidR="00AC56D6" w:rsidRDefault="00AC56D6" w:rsidP="00AC56D6">
      <w:pPr>
        <w:pStyle w:val="TextoNormal"/>
      </w:pPr>
    </w:p>
    <w:p w:rsidR="00AC56D6" w:rsidRDefault="00AC56D6" w:rsidP="00AC56D6">
      <w:pPr>
        <w:pStyle w:val="TextoNormal"/>
      </w:pPr>
      <w:r>
        <w:t>Los hechos así expuestos avalan categóricamente el significado netamente incitador al odio, pues en el relato histórico de la Sentencia recaída en la instancia, expresamente aceptado por el Tribunal de apelación, no figura dato alguno que sustente la tesis que los demandantes esgrimen en pro del legítimo ejercicio del derecho de crítica hacia la institución monárquica. Y ello porque, al margen de la quema de la fotografía, aquéllos no profirieron ninguna expresión, discurso, mensaje u opinión de la que quepa inferir una censura u oposición políticamente articulada contra la Monarquía o los Reyes; lisa y llanamente actuaron con el propósito de incitar a la exclusión sirviéndose de una escenificación lúgubre y con connotaciones violentas.</w:t>
      </w:r>
    </w:p>
    <w:p w:rsidR="00AC56D6" w:rsidRDefault="00AC56D6" w:rsidP="00AC56D6">
      <w:pPr>
        <w:pStyle w:val="TextoNormal"/>
      </w:pPr>
    </w:p>
    <w:p w:rsidR="00AC56D6" w:rsidRDefault="00AC56D6" w:rsidP="00AC56D6">
      <w:pPr>
        <w:pStyle w:val="TextoNormal"/>
      </w:pPr>
      <w:r>
        <w:t xml:space="preserve">Importa subrayar estas circunstancias porque las mismas cualifican el presente asunto, alejándolo significativamente del supuesto recientemente resuelto por la Sentencia del Tribunal Europeo de Derechos Humanos, de 15 de marzo de 2011 (caso </w:t>
      </w:r>
      <w:r w:rsidRPr="00AC56D6">
        <w:rPr>
          <w:i/>
        </w:rPr>
        <w:t>Otegui c. España</w:t>
      </w:r>
      <w:r>
        <w:t xml:space="preserve">), en el que el referido Tribunal consideró que la conducta del recurrente estaba amparada por el derecho a la libertad de expresión (art. 10 CEDH). Los ahora recurrentes no eran representantes electos, ni formaban parte de ningún grupo parlamentario. Tampoco concurren, en el presente caso, las singulares circunstancias especialmente valoradas en la Sentencia citada, acerca del contexto en que se produjeron las declaraciones del entonces demandante (sospecha de torturas con motivo del cierre del diario “Egunkaria”). Pero —y esto es lo más importante— en aquel supuesto el recurrente expresó su opinión sobre un asunto sujeto al debate político, y sus manifestaciones, en palabras del propio Tribunal Europeo de Derechos Humanos, venían referidas a una cuestión de interés público en el País Vasco aunque fueran expuestas de manera provocativa y exagerada. Sin embargo, en el presente caso no concurre ninguna de las circunstancias indicadas, ni ninguna otra de similar naturaleza que permita reconducir la quema de los retratos al contexto de crítica política que los demandantes invocan. Por tanto, la acción merecedora de reproche penal ha de ser valorada conforme a su naturaleza intrínseca, es decir, como una muestra de exclusión de quienes los recurrentes identifican con la Corona. En estas condiciones, debemos concluir que la vertiente expresiva </w:t>
      </w:r>
      <w:r>
        <w:lastRenderedPageBreak/>
        <w:t>de la acción queda extramuros del legítimo ejercicio del derecho consagrado en el art. 20.1 a) CE.</w:t>
      </w:r>
    </w:p>
    <w:p w:rsidR="00AC56D6" w:rsidRDefault="00AC56D6" w:rsidP="00AC56D6">
      <w:pPr>
        <w:pStyle w:val="TextoNormal"/>
      </w:pPr>
    </w:p>
    <w:p w:rsidR="00AC56D6" w:rsidRDefault="00AC56D6" w:rsidP="00AC56D6">
      <w:pPr>
        <w:pStyle w:val="TextoNormal"/>
      </w:pPr>
      <w:r w:rsidRPr="00AC56D6">
        <w:rPr>
          <w:rStyle w:val="NumeroAFNegritaCaracter"/>
        </w:rPr>
        <w:t>5</w:t>
      </w:r>
      <w:r>
        <w:t>. A continuación, pasamos a dar respuesta a la primera de las lesiones denunciadas en la demanda que, en síntesis, se funda en el siguiente alegato: la condena impuesta por los órganos judiciales constituye un castigo por la expresión pública de unas convicciones antimonárquicas, lo que vulnera el derecho a la libertad ideológica de los demandantes (arts. 16.1 CE). Este Tribunal ha tenido ocasión de destacar la importancia del derecho consagrado en el art. 16.1 CE. Como afirmamos en la STC 20/1990, de 20 de febrero, FJ 3: “hay que tener presente que sin la libertad ideológica consagrada en el art. 16.1 CE, no serían posibles los valores superiores de nuestro ordenamiento jurídico que se propugnan en el art. 1.1 de la misma para constituir el Estado social y democrático de derecho que en dicho precepto se instaura. Para que la libertad, la justicia, la igualdad y el pluralismo político sean una realidad efectiva y no la enunciación teórica de unos principios ideales, es preciso que a la hora de regular conductas y, por tanto, de enjuiciarlas, se respeten aquellos valores superiores sin los cuales no se puede desarrollar el régimen democrático que nos hemos dado en la Constitución de 1978. Interpretar las leyes según la Constitución conforme dispone el art. 5.1 LOPJ, exige el máximo respeto a los valores superiores que en ella se proclaman”.</w:t>
      </w:r>
    </w:p>
    <w:p w:rsidR="00AC56D6" w:rsidRDefault="00AC56D6" w:rsidP="00AC56D6">
      <w:pPr>
        <w:pStyle w:val="TextoNormal"/>
      </w:pPr>
    </w:p>
    <w:p w:rsidR="00AC56D6" w:rsidRDefault="00AC56D6" w:rsidP="00AC56D6">
      <w:pPr>
        <w:pStyle w:val="TextoNormal"/>
      </w:pPr>
      <w:r>
        <w:t xml:space="preserve">Asimismo, en la STC 120/1992, de 27 de junio, FJ 8, enmarcamos el alcance y contenido de la faceta externa de ese derecho en los siguientes términos: “[c]iertamente, la libertad ideológica, como así viene a latir en el planteamiento de los recurrentes, no se agota en una dimensión interna del derecho a adoptar una determinada posición intelectual ante la vida y cuanto le concierne y a representar o enjuiciar la realidad según personales convicciones. Comprende, además, una dimensión externa de </w:t>
      </w:r>
      <w:r w:rsidRPr="00AC56D6">
        <w:rPr>
          <w:i/>
        </w:rPr>
        <w:t>agere licere</w:t>
      </w:r>
      <w:r>
        <w:t>, con arreglo a las propias ideas sin sufrir por ello sanción o demérito ni padecer la compulsión o la injerencia de los poderes públicos. El art. 16.1 CE garantiza la libertad ideológica sin más limitaciones en sus manifestaciones que las necesarias para el mantenimiento del orden público protegido por la ley (STC 20/1990, fundamento jurídico 3). En este sentido no hay inconveniente en reconocer, para dar respuesta a la cita que en la demanda se hace de la libertad de expresión —ausente, sin embargo, de la relación de violaciones constitucionales que se pretende declare este Tribunal—, que entre tales manifestaciones, y muy principalmente, figura la de expresar libremente lo que se piense. A la libertad ideológica que consagra el art. 16.1 CE le corresponde ‘el correlativo derecho a expresarla que garantiza el art. 20.1 a)’ (STC 20/1990, fundamento jurídico 5), aun cuando ello no signifique que toda expresión de ideología quede desvinculada del ámbito de protección del art. 16.1, pues el derecho que éste reconoce no puede entenderse ‘simplemente absorbido’ por las libertades del art. 20 (STC 20/1990, fundamento jurídico 3), o que toda expresión libremente emitida al amparo del art. 20 sea manifestación de la libertad ideológica del art. 16.1”.</w:t>
      </w:r>
    </w:p>
    <w:p w:rsidR="00AC56D6" w:rsidRDefault="00AC56D6" w:rsidP="00AC56D6">
      <w:pPr>
        <w:pStyle w:val="TextoNormal"/>
      </w:pPr>
    </w:p>
    <w:p w:rsidR="00AC56D6" w:rsidRDefault="00AC56D6" w:rsidP="00AC56D6">
      <w:pPr>
        <w:pStyle w:val="TextoNormal"/>
      </w:pPr>
      <w:r>
        <w:t xml:space="preserve">Por último, este Tribunal ha tenido ocasión de delimitar bajo qué premisas la actuación de los poderes públicos atenta contra dicho derecho: “[a]hora bien, para que los actos de los poderes públicos puedan ser anulados por violaciones de la libertad ideológica es cuando menos preciso, de una parte, que aquéllos perturben o impidan de algún modo la adopción o el mantenimiento en libertad de una determinada ideología o pensamiento, y no simplemente que se incida en la expresión de determinados criterios. De otra, se exige que entre el </w:t>
      </w:r>
      <w:r>
        <w:lastRenderedPageBreak/>
        <w:t>contenido y sostenimiento de éstos y lo dispuesto en los actos que se combatan quepa apreciar una relación de causalidad” (STC 137/1990, de 19 de julio, FJ 8; y ATC 19/1992, de 27 de enero, FJ 2).</w:t>
      </w:r>
    </w:p>
    <w:p w:rsidR="00AC56D6" w:rsidRDefault="00AC56D6" w:rsidP="00AC56D6">
      <w:pPr>
        <w:pStyle w:val="TextoNormal"/>
      </w:pPr>
    </w:p>
    <w:p w:rsidR="00AC56D6" w:rsidRDefault="00AC56D6" w:rsidP="00AC56D6">
      <w:pPr>
        <w:pStyle w:val="TextoNormal"/>
      </w:pPr>
      <w:r>
        <w:t>Una vez sintetizada nuestra doctrina, hemos de afirmar que las penas impuestas a los demandantes no vulneran el derecho fundamental a la libertad ideológica (art. 16.1 CE), pues sin perjuicio del trasfondo antimonárquico de su comportamiento, de todo punto evidente, el reproche penal que realizan las Sentencias impugnadas no se fundamenta en el posicionamiento ideológico de los recurrentes, sino en el contenido de un acto episódico de naturaleza simbólica. En el ordenamiento español no existe ninguna prohibición o limitación para constituir partidos políticos que acojan idearios de naturaleza republicana o separatista, ni para su expresión pública, como evidencia la celebración de la manifestación que tuvo lugar inmediatamente antes de la comisión de los hechos sancionados. En suma, pues, la condena penal carece del proscrito efecto disuasorio respecto de la exteriorización de un determinado credo político en torno a la institución monárquica o, más concretamente, respecto de la figura del Rey, ya que tal condena se anuda, exclusivamente, al tratamiento de incitación al odio y a la exclusión de un sector de la población mediante el acto de que fueron objeto los retratos oficiales de los Reyes.</w:t>
      </w:r>
    </w:p>
    <w:p w:rsidR="00AC56D6" w:rsidRDefault="00AC56D6" w:rsidP="00AC56D6">
      <w:pPr>
        <w:pStyle w:val="TextoNormal"/>
      </w:pPr>
    </w:p>
    <w:p w:rsidR="00AC56D6" w:rsidRDefault="00AC56D6" w:rsidP="00AC56D6">
      <w:pPr>
        <w:pStyle w:val="TextoNormal"/>
      </w:pPr>
      <w:r>
        <w:t xml:space="preserve">Por último, resulta oportuno abordar otros dos aspectos cuya importancia no es baladí. En primer lugar debe advertirse sobre el riesgo evidente de que el público presente percibiera la conducta de los recurrentes como una incitación a la violencia y el odio hacia la Monarquía y hacia quienes la representan. Aunque no consta que se produjeran incidentes de orden público, la connotación destructiva que comporta la quema de la fotografía de los Reyes es innegable y, por ello, tal acción pudo suscitar entre los presentes reacciones violentas e “incompatibles con un clima social sereno y minar la confianza en las instituciones democráticas” (STEDH de 16 de julio de 2009, caso </w:t>
      </w:r>
      <w:r w:rsidRPr="00AC56D6">
        <w:rPr>
          <w:i/>
        </w:rPr>
        <w:t>Feret c. Bélgica</w:t>
      </w:r>
      <w:r>
        <w:t xml:space="preserve"> § 77), o, en fin, avivar el sentimiento de desprecio o incluso de odio hacia los Reyes y la institución que representan, exponiendo a SS.MM. “a un posible riesgo de violencia” (STEDH de 8 de julio de 1999, caso </w:t>
      </w:r>
      <w:r w:rsidRPr="00AC56D6">
        <w:rPr>
          <w:i/>
        </w:rPr>
        <w:t>Sürek c. Turquía</w:t>
      </w:r>
      <w:r>
        <w:t xml:space="preserve"> § 62), pues, como ha advertido el Tribunal Europeo de Derechos Humanos, “la incitación al odio no requiere necesariamente el llamamiento a tal o cual acto de violencia ni a otro acto delictivo” (STEDH de 16 de julio de 2009, caso </w:t>
      </w:r>
      <w:r w:rsidRPr="00AC56D6">
        <w:rPr>
          <w:i/>
        </w:rPr>
        <w:t>Feret c. Bélgica</w:t>
      </w:r>
      <w:r>
        <w:t xml:space="preserve"> § 73).</w:t>
      </w:r>
    </w:p>
    <w:p w:rsidR="00AC56D6" w:rsidRDefault="00AC56D6" w:rsidP="00AC56D6">
      <w:pPr>
        <w:pStyle w:val="TextoNormal"/>
      </w:pPr>
    </w:p>
    <w:p w:rsidR="00AC56D6" w:rsidRDefault="00AC56D6" w:rsidP="00AC56D6">
      <w:pPr>
        <w:pStyle w:val="TextoNormal"/>
      </w:pPr>
      <w:r>
        <w:t xml:space="preserve">Por otra parte, según doctrina del Tribunal Europeo de Derechos Humanos, la imposición de penas de prisión por infracciones cometidas en el ámbito del discurso político sólo es compatible con la libertad de expresión garantizada por el art. 10 del Convenio en circunstancias excepcionales, especialmente cuando se han lesionado gravemente otros derechos fundamentales, como en el supuesto de que se difunda un discurso de odio o de incitación a la violencia, como es el caso (STEDH de 15 de marzo de 2011, caso </w:t>
      </w:r>
      <w:r w:rsidRPr="00AC56D6">
        <w:rPr>
          <w:i/>
        </w:rPr>
        <w:t>Otegi c. España</w:t>
      </w:r>
      <w:r>
        <w:t xml:space="preserve">, §§ 58 a 60, por remisión a los casos </w:t>
      </w:r>
      <w:r w:rsidRPr="00AC56D6">
        <w:rPr>
          <w:i/>
        </w:rPr>
        <w:t>Bingöl c. Turquía</w:t>
      </w:r>
      <w:r>
        <w:t xml:space="preserve">, núm. 36141/2004, ap. 41, de 22 de junio de 2010, y, </w:t>
      </w:r>
      <w:r w:rsidRPr="00AC56D6">
        <w:rPr>
          <w:i/>
        </w:rPr>
        <w:t>mutatis mutandis, Cumpănă y Mazăre c. Rumanía</w:t>
      </w:r>
      <w:r>
        <w:t xml:space="preserve"> [GS], núm. 33348/1996, ap. 115, TEDH 2004-XI). En cualquier caso, en el presente supuesto la inicial pena de prisión fijada en aplicación de lo previsto en el art. 490.3 CP ha sido sustituida por multa de treinta meses a razón de una cuota diaria de 3 €, por lo que la cuantía final sería de 2700 €. Esta modalidad de sanción se estima proporcionada a la entidad del hecho y el propio Tribunal Europeo de Derechos Humanos no la ha considerado contraria al Convenio (STEDH en el caso </w:t>
      </w:r>
      <w:r w:rsidRPr="00AC56D6">
        <w:rPr>
          <w:i/>
        </w:rPr>
        <w:t>Otegi c. España</w:t>
      </w:r>
      <w:r>
        <w:t xml:space="preserve">, §§ 58 a 60), pues aunque la multa no elimina la inscripción de la </w:t>
      </w:r>
      <w:r>
        <w:lastRenderedPageBreak/>
        <w:t>condena penal en el Registro de antecedentes penales (</w:t>
      </w:r>
      <w:r w:rsidRPr="00AC56D6">
        <w:rPr>
          <w:i/>
        </w:rPr>
        <w:t>mutatis mutandis</w:t>
      </w:r>
      <w:r>
        <w:t xml:space="preserve">, SSTEDH de 26 de junio de 2007, caso </w:t>
      </w:r>
      <w:r w:rsidRPr="00AC56D6">
        <w:rPr>
          <w:i/>
        </w:rPr>
        <w:t>Artun y Guvener c. Turquía</w:t>
      </w:r>
      <w:r>
        <w:t xml:space="preserve">, § 33, y de 19 de febrero de 2009, caso </w:t>
      </w:r>
      <w:r w:rsidRPr="00AC56D6">
        <w:rPr>
          <w:i/>
        </w:rPr>
        <w:t>Martchenko c. Ucrania</w:t>
      </w:r>
      <w:r>
        <w:t>, § 52), sí mitiga notablemente sus efectos. Al margen de tal dato, no puede olvidarse que la cuantía de la pena resultante no deriva exclusivamente de la subsunción en el tipo penal de los hechos, sino también a la apreciación de la circunstancia agravante de ejecutar el hecho mediante disfraz (art. 22.2 CP), que obliga a imponer una pena superior por razones diversas a la calificación de la quema de la fotografía de los Reyes como un delito de injurias, en concreto, en tanto es una circunstancia que favorece la ejecución del delito y la impunidad de sus autores.</w:t>
      </w:r>
    </w:p>
    <w:p w:rsidR="00AC56D6" w:rsidRDefault="00AC56D6" w:rsidP="00AC56D6">
      <w:pPr>
        <w:pStyle w:val="TextoNormal"/>
      </w:pPr>
    </w:p>
    <w:p w:rsidR="00AC56D6" w:rsidRDefault="00AC56D6" w:rsidP="00AC56D6">
      <w:pPr>
        <w:pStyle w:val="TextoNormal"/>
      </w:pPr>
      <w:r>
        <w:t>En conclusión, por las razones ya expuestas debemos proclamar que la conducta que determinó la condena de los demandantes no está amparada constitucionalmente por los derechos invocados en la demanda a la libertad de expresión o de creencias, por lo que no merece la protección dimanante de los arts. 16.1 y 20.1 a) CE.</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Desestimar el recurso de amparo interpuesto por don Jaume Roura Capellera y don Enric Stern Taulats.</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veintidós de julio de dos mil quince.</w:t>
      </w:r>
    </w:p>
    <w:p w:rsidR="00AC56D6" w:rsidRDefault="00AC56D6" w:rsidP="00AC56D6">
      <w:pPr>
        <w:pStyle w:val="ParrafoNormal"/>
      </w:pPr>
    </w:p>
    <w:p w:rsidR="00AC56D6" w:rsidRDefault="00AC56D6" w:rsidP="00AC56D6">
      <w:pPr>
        <w:pStyle w:val="TextoNormalNegritaCentrado"/>
        <w:keepNext/>
      </w:pPr>
      <w:r>
        <w:t>Voto particular que formula la Magistrada doña Adela Asua Batarrita a la Sentencia dictada en el recurso de amparo avocado por el Pleno, núm. 956-2009, al que se adhiere el magistrado don Fernando Valdés Dal-Ré.</w:t>
      </w:r>
    </w:p>
    <w:p w:rsidR="00AC56D6" w:rsidRDefault="00AC56D6" w:rsidP="00AC56D6">
      <w:pPr>
        <w:pStyle w:val="TextoNormalNegritaCentrado"/>
        <w:keepNext/>
      </w:pPr>
    </w:p>
    <w:p w:rsidR="00AC56D6" w:rsidRDefault="00AC56D6" w:rsidP="00AC56D6">
      <w:pPr>
        <w:pStyle w:val="TextoNormal"/>
      </w:pPr>
      <w:r>
        <w:t>En ejercicio de la facultad contemplada en el art. 90.2 de la Ley Orgánica del Tribunal Constitucional, y con pleno respeto a los compañeros de Pleno cuya opinión mayoritaria ha conformado la argumentación que sustenta la Sentencia, manifiesto mi discrepancia con parte de su fundamentación jurídica y con el fallo. Considero que procedía la estimación del recurso otorgando el amparo solicitado por vulneración del derecho a la libertad ideológica y de expresión [arts. 16.1 y 20.1 a) CE] ya que la conducta de los recurrentes de prender fuego a una foto oficial de los Reyes, ante otras personas, al término de una manifestación antimonárquica pacífica, se inserta en el amplio campo de protección que la Constitución garantiza al ejercicio de aquellas libertades.</w:t>
      </w:r>
    </w:p>
    <w:p w:rsidR="00AC56D6" w:rsidRDefault="00AC56D6" w:rsidP="00AC56D6">
      <w:pPr>
        <w:pStyle w:val="TextoNormal"/>
      </w:pPr>
    </w:p>
    <w:p w:rsidR="00AC56D6" w:rsidRDefault="00AC56D6" w:rsidP="00AC56D6">
      <w:pPr>
        <w:pStyle w:val="TextoNormal"/>
      </w:pPr>
      <w:r>
        <w:t xml:space="preserve">1. Los derechos a la libertad de opinión, de expresión y de información conforman el sustrato básico de la sociedad abierta propia del moderno Estado constitucional, son inherentes al valor superior del pluralismo político que consagra el art. 1.1 de nuestra Constitución. El grado de firmeza y la amplitud en la tutela de estas libertades se convierten en fieles indicadores de la solidez del sistema democrático, en el que la crítica y la expresión de la </w:t>
      </w:r>
      <w:r>
        <w:lastRenderedPageBreak/>
        <w:t>disidencia garantizan la legitimidad política del sistema. Cuando se trata de manifestación de opiniones sobre aspectos políticos o institucionales, sobre la actuación de gobernantes o de quienes desempeñan poderes constitucionales, el ámbito de la libertad de expresión carece prácticamente de límites. Como tantas veces ha repetido este Tribunal, la crítica malsonante, la manifestación políticamente incorrecta, los gestos o actos desabridos, de mal gusto o de impactante exageración no quedan expulsados del campo legítimo de la libertad de expresión. Lo cual no significa, naturalmente, que no puedan ser objeto de rechazo, censura o de reprobación por sectores más o menos extensos de la opinión pública, en la dialéctica propia del necesario contraste de opiniones y convicciones. Claro es que también operan ciertos límites, como se advierte en los mismos arts. 16.1 y 20.4 CE, límites que remiten a las condiciones básicas de seguridad de la convivencia democrática y que marcan la frontera exterior donde cesa la tutela constitucional. Un primer límite es el de la ausencia de violencia, en sí misma incompatible con el significado del derecho. La violencia vehicula un mensaje, sin duda, que de inmediato queda descalificado como ejercicio del derecho fundamental, como también se descalifica un discurso acompañado de actos de violencia o de provocación de un riesgo inminente para la seguridad de personas o cosas, o de una amenaza verosímil. Otro límite generalmente aceptado remite al “discurso del odio”, presente en los mensajes que incitan a la discriminación y a la exclusión —cuando no a la agresión o la eliminación— de determinados colectivos por razón de sus características étnico-culturales, religiosas, origen nacional, sexo u orientación sexual, o factores análogos de vulnerabilidad. Así considerado, el llamado “discurso del odio”, es un exponente histórico del reverso de la democracia, o del peligro de su quiebra.</w:t>
      </w:r>
    </w:p>
    <w:p w:rsidR="00AC56D6" w:rsidRDefault="00AC56D6" w:rsidP="00AC56D6">
      <w:pPr>
        <w:pStyle w:val="TextoNormal"/>
      </w:pPr>
    </w:p>
    <w:p w:rsidR="00AC56D6" w:rsidRDefault="00AC56D6" w:rsidP="00AC56D6">
      <w:pPr>
        <w:pStyle w:val="TextoNormal"/>
      </w:pPr>
      <w:r>
        <w:t>La frontera de la violencia, pero también de la provocación a la misma, como límite externo de la libertad de expresión fue definida con precisión por el Juez Holmes en un célebre voto particular a una Sentencia del Tribunal Supremo norteamericano de principios del pasado siglo [</w:t>
      </w:r>
      <w:r w:rsidRPr="00AC56D6">
        <w:rPr>
          <w:i/>
        </w:rPr>
        <w:t>Abrams v. US</w:t>
      </w:r>
      <w:r>
        <w:t xml:space="preserve"> 250 US 616 (1919)]. En su opinión disidente, mantenía que “al igual que debe castigarse la provocación al asesinato, no puede oponerse reparo constitucional al castigo de aquel discurso que produzca, o que intente producir un riesgo claro e inminente de desencadenar un daño sustancial que el Estado constitucionalmente debe tratar de impedir”. En aquel caso, mantuvo en solitario la necesidad de verificar esos dos requisitos ineludibles —peligro evidente e inminente (</w:t>
      </w:r>
      <w:r w:rsidRPr="00AC56D6">
        <w:rPr>
          <w:i/>
        </w:rPr>
        <w:t>clear and present danger</w:t>
      </w:r>
      <w:r>
        <w:t>)— precisamente para argumentar su desacuerdo con la resolución del Tribunal que consideró conforme a la Primera Enmienda la condena a prisión por la preparación y difusión de panfletos críticos con medidas del gobierno relacionados con la guerra europea. Aunque la aceptación de la doble exigencia requirió varias décadas, hoy día ha quedado consolidado como estándar operativo para demarcar el campo del discurso protegido en el marco constitucional e internacional de los derechos humanos.</w:t>
      </w:r>
    </w:p>
    <w:p w:rsidR="00AC56D6" w:rsidRDefault="00AC56D6" w:rsidP="00AC56D6">
      <w:pPr>
        <w:pStyle w:val="TextoNormal"/>
      </w:pPr>
    </w:p>
    <w:p w:rsidR="00AC56D6" w:rsidRDefault="00AC56D6" w:rsidP="00AC56D6">
      <w:pPr>
        <w:pStyle w:val="TextoNormal"/>
      </w:pPr>
      <w:r>
        <w:t xml:space="preserve">En cuanto a la segunda limitación, que expulsa el “discurso del odio” del campo de protección de los derechos de libertad, si bien las primeras referencias remiten a la Convención Internacional sobre la eliminación de todas las formas de discriminación racial de 1965, su desarrollo se precisa en la Recomendación núm. R (97) 20 del Comité de Ministros del Consejo de Europa. Aquilatando los equilibrios entre la tutela de la libertad de expresión y la necesaria atención a la memoria de las víctimas del genocidio nazi y de los ulteriores crímenes contra la humanidad en suelo europeo al final del siglo, el repudio del discurso del odio pasa a ser admitido en la jurisprudencia europea como un inexcusable límite a la tutela del ejercicio de aquel derecho. La experiencia histórica con discursos y prácticas xenófobas </w:t>
      </w:r>
      <w:r>
        <w:lastRenderedPageBreak/>
        <w:t>de segregación como antesala de barbarie, han conducido a identificar el discurso del odio con cualquier forma de expresión que incite, promueva o propague el odio racial, la xenofobia, u otras formas de odio basadas en la intolerancia, mediante la creación de un clima de hostilidad y exclusión, generador de un efecto cierto de amenaza que perturba el ejercicio de la igualdad de derechos de los miembros de determinados colectivos socialmente vulnerables.</w:t>
      </w:r>
    </w:p>
    <w:p w:rsidR="00AC56D6" w:rsidRDefault="00AC56D6" w:rsidP="00AC56D6">
      <w:pPr>
        <w:pStyle w:val="TextoNormal"/>
      </w:pPr>
    </w:p>
    <w:p w:rsidR="00AC56D6" w:rsidRDefault="00AC56D6" w:rsidP="00AC56D6">
      <w:pPr>
        <w:pStyle w:val="TextoNormal"/>
      </w:pPr>
      <w:r>
        <w:t>Sobre estos límites a la libertad de expresión y su significado versaron buena parte de las intervenciones durante los debates mantenidos en el Pleno sobre el presente recurso de amparo, por ello he creído conveniente este previo recordatorio; pero también porque finalmente la Sentencia de la que discrepo fundamenta el sentido del fallo en el entendimiento de que la quema de la foto real fue expresión de un verdadero “discurso del odio”, y a la vez exteriorización de una amenaza y de provocación a la violencia. Interpretación que a mi juicio, no solo carece totalmente de sustento fáctico, sino que desfigura el concepto del “discurso del odio” y distorsiona peligrosamente su alcance. A ello me referiré a continuación con mayor detalle.</w:t>
      </w:r>
    </w:p>
    <w:p w:rsidR="00AC56D6" w:rsidRDefault="00AC56D6" w:rsidP="00AC56D6">
      <w:pPr>
        <w:pStyle w:val="TextoNormal"/>
      </w:pPr>
    </w:p>
    <w:p w:rsidR="00AC56D6" w:rsidRDefault="00AC56D6" w:rsidP="00AC56D6">
      <w:pPr>
        <w:pStyle w:val="TextoNormal"/>
      </w:pPr>
      <w:r>
        <w:t xml:space="preserve">2. Comparto evidentemente el contenido de los fundamentos jurídicos 2 y 3 de la Sentencia donde se reitera nuestra doctrina sobre la especial dimensión institucional de la libertad de expresión como garantía de la formación de una opinión pública libre y del pluralismo, y las referencias a la amplitud del derecho que acoge la crítica molesta y la exageración; así como los aspectos concernientes a los cargos públicos o representantes institucionales, incluido el Jefe de Estado, en cuanto al mayor nivel de crítica y de incomodidad o molestia que deben soportar, con expresa cita de nuestra doctrina y de la doctrina del Tribunal Europeo de Derechos Humanos. Y, por supuesto, comparto el criterio de que la violencia y el discurso del odio constituyen claros límites a la libertad de expresión, siendo especialmente adecuada a tal efecto la cita de la STEDH caso </w:t>
      </w:r>
      <w:r w:rsidRPr="00AC56D6">
        <w:rPr>
          <w:i/>
        </w:rPr>
        <w:t>Murat Vural c. Turquía</w:t>
      </w:r>
      <w:r>
        <w:t>, §§ 44-51 donde se recuerda que el art. 10 del Convenio europeo para la protección de los derechos humanos y de las libertades fundamentales protege no solo las ideas sino también la forma o el vehículo elegido para plasmarlas.</w:t>
      </w:r>
    </w:p>
    <w:p w:rsidR="00AC56D6" w:rsidRDefault="00AC56D6" w:rsidP="00AC56D6">
      <w:pPr>
        <w:pStyle w:val="TextoNormal"/>
      </w:pPr>
    </w:p>
    <w:p w:rsidR="00AC56D6" w:rsidRDefault="00AC56D6" w:rsidP="00AC56D6">
      <w:pPr>
        <w:pStyle w:val="TextoNormal"/>
      </w:pPr>
      <w:r>
        <w:t xml:space="preserve">Dicho esto, mi discrepancia se proyecta sobre los fundamentos jurídicos 4 y 5 de la Sentencia, momento en el que la aplicación del canon y de los criterios definidos en los fundamentos precedentes los somete a una reformulación que los convierte en irreconocibles, previa reinterpretación de los datos constatados en los hechos probados recogidos en las resoluciones judiciales objeto de impugnación. Concretamente, y pese al límite que nos impone sobre este extremo el art. 44.1 b) de la Ley Orgánica del Tribunal Constitucional, se reconstruyen los hechos probados para describir una versión que claramente se distancia del enfoque previo, ceñido al carácter injurioso o vejatorio atribuido al acto precisamente para condenar a los recurrentes por el delito del art. 490.3 del Código penal (CP). En cambio, en el fundamento jurídico 4 de nuestra Sentencia, inopinadamente, el parámetro de enjuiciamiento ha virado para “dilucidar si los hechos acaecidos son expresión de una opinión política legítima que pudiera estimular el debate tendente a transformar el sistema político, o si, por el contrario persiguen desencadenar un reflejo emocional de hostilidad, incitando y promoviendo al odio y la intolerancia incompatibles con el sistema de valores de la democracia”. Perspectiva no invocada ni aludida por ninguna de las partes, pero que va a conducir </w:t>
      </w:r>
      <w:r>
        <w:lastRenderedPageBreak/>
        <w:t>a afirmar que los hechos tuvieron un “significado netamente incitador al odio”. Un entendimiento del discurso del odio muy alejado de las definiciones contempladas en instrumentos internacionales ya avanzadas antes y sobre las que volveré posteriormente.</w:t>
      </w:r>
    </w:p>
    <w:p w:rsidR="00AC56D6" w:rsidRDefault="00AC56D6" w:rsidP="00AC56D6">
      <w:pPr>
        <w:pStyle w:val="TextoNormal"/>
      </w:pPr>
    </w:p>
    <w:p w:rsidR="00AC56D6" w:rsidRDefault="00AC56D6" w:rsidP="00AC56D6">
      <w:pPr>
        <w:pStyle w:val="TextoNormal"/>
      </w:pPr>
      <w:r>
        <w:t xml:space="preserve">La reconstrucción fáctica y jurídica incluye la atribución de intención o finalidad, como elementos subjetivos que, se afirma, subyacen a la provocación a la violencia y al odio, lo cual no solo resulta insólito, por convertir a este Tribunal en una especie de tercera instancia que revisa hechos y elementos subjetivos </w:t>
      </w:r>
      <w:r w:rsidRPr="00AC56D6">
        <w:rPr>
          <w:i/>
        </w:rPr>
        <w:t>inaudita parte</w:t>
      </w:r>
      <w:r>
        <w:t>, sino que aboca, ante todo, a una clara alteración de la calificación jurídica de los hechos, y, a continuación, a una incongruencia omisiva, porque deja sin responder al objeto del amparo: si la condena por delito de injurias al Rey, es decir el respeto al honor del Rey y/o el honor institucional de la monarquía, puede operar como límite a la libertad de expresión política. El desarrollo argumental de la Sentencia discurre por otros derroteros, por la exploración de la capacidad del discurso simbólico de convertirse en “discurso de odio” y de provocación a la violencia. La provocación a la violencia contra las personas sobrepasa, sin duda, los límites de la libertad de expresión, pero para afirmar la presencia de una provocación a la violencia es ineludible verificar seriamente el eventual riesgo de la escalada violenta, en cuanto a su claridad y a su conexión de inmediatez.</w:t>
      </w:r>
    </w:p>
    <w:p w:rsidR="00AC56D6" w:rsidRDefault="00AC56D6" w:rsidP="00AC56D6">
      <w:pPr>
        <w:pStyle w:val="TextoNormal"/>
      </w:pPr>
    </w:p>
    <w:p w:rsidR="00AC56D6" w:rsidRDefault="00AC56D6" w:rsidP="00AC56D6">
      <w:pPr>
        <w:pStyle w:val="TextoNormal"/>
      </w:pPr>
      <w:r>
        <w:t>3. Las dos resoluciones judiciales previas —la Sentencia del Juzgado Central de lo Penal de la Audiencia Nacional, y la Sentencia del Pleno de la Sala de lo Penal de la Audiencia Nacional— rechazaron que los hechos pudieran quedar amparados por la libertad de expresión del art. 20 CE, por tratarse de una extralimitación ya que “en abuso del ejercicio del derecho se pretende menoscabar y despreciar la dignidad de otro, en este caso la Institución de la Corona”. Abuso de derecho y vejación innecesaria son los argumentos de la precaria fundamentación de las resoluciones impugnadas. En la Sentencia desestimando la apelación constan votos particulares de varios Magistrados rechazando que se produjera menosprecio intrínsecamente vejatorio o afectación al núcleo de la dignidad personal de los Reyes, de su fama u honor.</w:t>
      </w:r>
    </w:p>
    <w:p w:rsidR="00AC56D6" w:rsidRDefault="00AC56D6" w:rsidP="00AC56D6">
      <w:pPr>
        <w:pStyle w:val="TextoNormal"/>
      </w:pPr>
    </w:p>
    <w:p w:rsidR="00AC56D6" w:rsidRDefault="00AC56D6" w:rsidP="00AC56D6">
      <w:pPr>
        <w:pStyle w:val="TextoNormal"/>
      </w:pPr>
      <w:r>
        <w:t>En la Sentencia aprobada por la mayoría de este Tribunal se considera que el castigo impuesto a los recurrentes por la comisión de un delito de injurias al Rey y a sus familiares no vulnera sus derechos a la libertad ideológica (art. 16 CE) y de expresión [art. 20.1 a) CE], pero no por razón de la vejación o deshonor alegados en las Sentencias impugnadas, sino porque “quemar públicamente el retrato de los Monarcas es un acto no sólo ofensivo sino también incitador al odio, en la medida en que la cremación de su imagen física expresa, de un modo difícilmente superable, que son merecedores de exclusión y de odio”.</w:t>
      </w:r>
    </w:p>
    <w:p w:rsidR="00AC56D6" w:rsidRDefault="00AC56D6" w:rsidP="00AC56D6">
      <w:pPr>
        <w:pStyle w:val="TextoNormal"/>
      </w:pPr>
    </w:p>
    <w:p w:rsidR="00AC56D6" w:rsidRDefault="00AC56D6" w:rsidP="00AC56D6">
      <w:pPr>
        <w:pStyle w:val="TextoNormal"/>
      </w:pPr>
      <w:r>
        <w:t xml:space="preserve">Implícitamente se rechaza, por tanto, que la </w:t>
      </w:r>
      <w:r w:rsidRPr="00AC56D6">
        <w:rPr>
          <w:i/>
        </w:rPr>
        <w:t>ofensa</w:t>
      </w:r>
      <w:r>
        <w:t xml:space="preserve"> al honor o al prestigio de los Reyes, o de la institución monárquica pueda operar como límite a la tutela de la libertad de expresión. El silencio al efecto es revelador, como lo es la búsqueda de otro asidero para poder afirmar que hubo “extralimitación” o, incluso más, que los recurrentes “lisa y llanamente actuaron con el propósito de incitar a la exclusión sirviéndose de una escenificación lúgubre y con connotaciones violentas”. Conclusión tan alejada de la realidad, según puede interpretarla quien se atenga a leer los hechos probados de la Sentencia de instancia, que tiene difícil explicación. La explicación que se ofrece es que “al margen de la quema de la fotografía aquéllos no profirieron ninguna expresión, discurso, mensaje u opinión de la que quepa inferir una censura u oposición políticamente articulada contra la Monarquía o los </w:t>
      </w:r>
      <w:r>
        <w:lastRenderedPageBreak/>
        <w:t xml:space="preserve">Reyes”. Poco más adelante, tras la referencia al caso </w:t>
      </w:r>
      <w:r w:rsidRPr="00AC56D6">
        <w:rPr>
          <w:i/>
        </w:rPr>
        <w:t>Otegui c. España</w:t>
      </w:r>
      <w:r>
        <w:t>, se marcan las diferencias reiterando que no concurren en este caso la atribución de conductas o una crítica respecto a hechos acontecidos previamente, “ni ninguna otra [circunstancia] de similar naturaleza que permita reconducir la quema de los retratos al contexto de crítica política que los demandantes invocan” . La quema del retrato no puede verse como mensaje de opinión política según la mayoría del Pleno, pese al carácter antimonárquico de la manifestación previa en la que consta que ambos demandantes de amparo participaron, dado que precisamente gracias a la grabación de la misma fueron identificados. Especialmente grave resulta la asertividad voluntarista de las afirmaciones.</w:t>
      </w:r>
    </w:p>
    <w:p w:rsidR="00AC56D6" w:rsidRDefault="00AC56D6" w:rsidP="00AC56D6">
      <w:pPr>
        <w:pStyle w:val="TextoNormal"/>
      </w:pPr>
    </w:p>
    <w:p w:rsidR="00AC56D6" w:rsidRDefault="00AC56D6" w:rsidP="00AC56D6">
      <w:pPr>
        <w:pStyle w:val="TextoNormal"/>
      </w:pPr>
      <w:r>
        <w:t>En el fundamento jurídico 5 se retorna a la línea diseñada de eludir la realidad o de, lo que es más grave, reelaborarla. Así, en relación a la vulneración de la libertad ideológica, rechazando que la sanción impuesta pudiera desplegar efecto inhibidor o de “desaliento” en el ejercicio del derecho, se niega esa posibilidad “ya que tal condena se anuda exclusivamente, al tratamiento de incitación del odio y a la exclusión de un sector de la población mediante el acto de que fueron objeto los retratos oficiales del Rey”. Basta leer las Sentencias de instancia y de apelación, o el extracto de ellas reproducido en los antecedentes de nuestra Sentencia para comprobar la ausencia de toda referencia a incitaciones al odio, o exclusión ¿de un sector de la población?; y las explícitas referencias al menosprecio de la dignidad, a la injuria o vejación innecesaria, calificaciones acordes con el sentido del fallo condenatorio.</w:t>
      </w:r>
    </w:p>
    <w:p w:rsidR="00AC56D6" w:rsidRDefault="00AC56D6" w:rsidP="00AC56D6">
      <w:pPr>
        <w:pStyle w:val="TextoNormal"/>
      </w:pPr>
    </w:p>
    <w:p w:rsidR="00AC56D6" w:rsidRDefault="00AC56D6" w:rsidP="00AC56D6">
      <w:pPr>
        <w:pStyle w:val="TextoNormal"/>
      </w:pPr>
      <w:r>
        <w:t>Resulta igualmente preocupante, desde el prisma de las garantías procesales y de la tutela judicial efectiva el descubrimiento que la Sentencia de la que disiento hace de elementos intencionales hasta entonces desconocidos, como los “propósitos de incitar a la exclusión”; al parecer de la exclusión “de quienes los recurrentes identifican con la Corona”.</w:t>
      </w:r>
    </w:p>
    <w:p w:rsidR="00AC56D6" w:rsidRDefault="00AC56D6" w:rsidP="00AC56D6">
      <w:pPr>
        <w:pStyle w:val="TextoNormal"/>
      </w:pPr>
    </w:p>
    <w:p w:rsidR="00AC56D6" w:rsidRDefault="00AC56D6" w:rsidP="00AC56D6">
      <w:pPr>
        <w:pStyle w:val="TextoNormal"/>
      </w:pPr>
      <w:r>
        <w:t>Asimismo, en cuanto al “riesgo evidente de que el público presente en la concentración percibiera la conducta de los recurrentes como una incitación a la violencia y el odio a la Monarquía y hacia quienes la representan” se encadenan hipótesis dudosas e inverificables como que: “pudo suscitar en los presentes reacciones violentas” o similares, una extrapolación de los hechos que no indican la presencia de un clima en el que tal hipótesis pudiera alcanzar visos de realidad. Lejos se sitúan tales hipótesis de la exigencia de constatación de que el peligro que se alegue debe reunir los caracteres de ser real, apoyado en datos fehacientes, y además acuciante, inminente. Difícilmente puede compartirse que los Reyes corrieran algún peligro cierto y próximo, consecutivo al acto de la quema del retrato; no hay atisbo de datos en los hechos probados que permitan asentar el temor en algún suelo más seguro que el de la mera suposición.</w:t>
      </w:r>
    </w:p>
    <w:p w:rsidR="00AC56D6" w:rsidRDefault="00AC56D6" w:rsidP="00AC56D6">
      <w:pPr>
        <w:pStyle w:val="TextoNormal"/>
      </w:pPr>
    </w:p>
    <w:p w:rsidR="00AC56D6" w:rsidRDefault="00AC56D6" w:rsidP="00AC56D6">
      <w:pPr>
        <w:pStyle w:val="TextoNormal"/>
      </w:pPr>
      <w:r>
        <w:t xml:space="preserve">4. En cuanto al discurso del odio, como es sabido, la jurisprudencia del Tribunal Europeo de Derechos Humanos reproduce la definición que ofrece la Recomendación núm. R (97) 20 del Consejo de Europa: “el término ‘discurso del odio’ abarca cualquier forma de expresión que propague, incite, promueva o justifique el odio racial, la xenofobia, el antisemitismo u otras formas de odio basadas en la intolerancia que se manifiestan a través del nacionalismo agresivo y el etnocentrismo, la discriminación y la hostilidad contra las minorías y los inmigrantes o personas de origen inmigrante” (STEDH caso </w:t>
      </w:r>
      <w:r w:rsidRPr="00AC56D6">
        <w:rPr>
          <w:i/>
        </w:rPr>
        <w:t>Feret c. Belgica</w:t>
      </w:r>
      <w:r>
        <w:t xml:space="preserve">, de 16 de julio de 2009, § 44). Por ello, calificar la quema del retrato real como una expresión del “discurso de odio”, como se hace en la actual Sentencia, no puede considerarse sino un </w:t>
      </w:r>
      <w:r>
        <w:lastRenderedPageBreak/>
        <w:t>ejercicio errático en la búsqueda de una cobertura jurídica que se antoja imposible, tratando de justificar de cualquier manera la desestimación del presente recurso de amparo. Equiparar bajo el mismo concepto el discurso antimonárquico —aquí y ahora— con el discurso dirigido a fomentar la discriminación y exclusión social de colectivos secularmente vulnerables, revela una lamentable utilización de conceptos acuñados sobre realidades dramáticas que en modo alguno admiten comparación con los insultos a una institución o a unas personas de tan alta relevancia pública.</w:t>
      </w:r>
    </w:p>
    <w:p w:rsidR="00AC56D6" w:rsidRDefault="00AC56D6" w:rsidP="00AC56D6">
      <w:pPr>
        <w:pStyle w:val="TextoNormal"/>
      </w:pPr>
    </w:p>
    <w:p w:rsidR="00AC56D6" w:rsidRDefault="00AC56D6" w:rsidP="00AC56D6">
      <w:pPr>
        <w:pStyle w:val="TextoNormal"/>
      </w:pPr>
      <w:r>
        <w:t>En definitiva, la posición defendida por la opinión mayoritaria parece asumir implícitamente que la tutela del honor o el prestigio de la Monarquía propiamente no puede prevalecer sobre la libertad de expresión, pues no otra conclusión puede obtenerse del enfoque argumental ceñido al discurso de odio y de la violencia que la quema de la foto real expresaría. Una conclusión coherente con esa argumentación debería haber conducido a estimar el amparo porque la condena penal por injurias impuesta a los recurrentes queda sin sustento para negar el legítimo ejercicio de la libertad de expresión. Conforme al argumento de la Sentencia, dado que la extralimitación proviene de la amenaza o provocación, la calificación penal pertinente compatible con tal forma de razonar debería haber sido la de un delito de amenazas, o la de un delito contra la integridad física en estadio de provocación. Si nos atenemos a la tesis del “discurso del odio”, la previsión penal del art. 510 CP, que castiga como delito la provocación al odio y a la violencia contra colectivos vulnerables a la discriminación, ciertamente quedaría fuera de consideración. Hipótesis que solo a efectos dialécticos pueden ser objeto de comentario, pues en ningún caso puede tomarse en serio su concurrencia, como he pretendido poner de relieve.</w:t>
      </w:r>
    </w:p>
    <w:p w:rsidR="00AC56D6" w:rsidRDefault="00AC56D6" w:rsidP="00AC56D6">
      <w:pPr>
        <w:pStyle w:val="TextoNormal"/>
      </w:pPr>
    </w:p>
    <w:p w:rsidR="00AC56D6" w:rsidRDefault="00AC56D6" w:rsidP="00AC56D6">
      <w:pPr>
        <w:pStyle w:val="TextoNormal"/>
      </w:pPr>
      <w:r>
        <w:t>Concluyo retomando mi primera reflexión: la maximización de la tutela del ejercicio de la libertad de expresión va asociada a la madurez de la democracia, pero asimismo es condición ineludible para que el sistema democrático alcance la madurez cuando todavía se está en el camino, como puede ser nuestro caso. Advertía en su día el Juez Holmes que “debemos estar siempre vigilantes contra los intentos de impedir las expresiones que aborrecemos”. Cometido distintivo de la democracia es garantizar por igual la opinión crítica y la reprobación tanto de los malos gobiernos como de los gobiernos ejemplares si tal calificación fuera posible; tanto respecto a las propuestas que agradan a la mayoría como respecto a las que solo una minoría aplaude. Esta premisa subyace a mi disentimiento de las resoluciones impugnadas en el presente recurso que no entraron a ponderar debidamente el significado de los derechos constitucionales en juego, carencia que correspondía sanar a este Tribunal estimando el amparo que se nos solicitaba.</w:t>
      </w:r>
    </w:p>
    <w:p w:rsidR="00AC56D6" w:rsidRDefault="00AC56D6" w:rsidP="00AC56D6">
      <w:pPr>
        <w:pStyle w:val="TextoNormal"/>
      </w:pPr>
    </w:p>
    <w:p w:rsidR="00AC56D6" w:rsidRDefault="00AC56D6" w:rsidP="00AC56D6">
      <w:pPr>
        <w:pStyle w:val="TextoNormal"/>
      </w:pPr>
      <w:r>
        <w:t>Madrid, a veintidós de julio de dos mil quince.</w:t>
      </w:r>
    </w:p>
    <w:p w:rsidR="00AC56D6" w:rsidRDefault="00AC56D6" w:rsidP="00AC56D6">
      <w:pPr>
        <w:pStyle w:val="TextoNormal"/>
      </w:pPr>
    </w:p>
    <w:p w:rsidR="00AC56D6" w:rsidRDefault="00AC56D6" w:rsidP="00AC56D6">
      <w:pPr>
        <w:pStyle w:val="TextoNormalNegritaCentrado"/>
        <w:keepNext/>
      </w:pPr>
      <w:r>
        <w:t>Voto particular discrepante que formula la Magistrada doña Encarnación Roca Trías a la Sentencia dictada en el recurso de amparo núm. 956-2009.</w:t>
      </w:r>
    </w:p>
    <w:p w:rsidR="00AC56D6" w:rsidRDefault="00AC56D6" w:rsidP="00AC56D6">
      <w:pPr>
        <w:pStyle w:val="TextoNormalNegritaCentrado"/>
        <w:keepNext/>
      </w:pPr>
    </w:p>
    <w:p w:rsidR="00AC56D6" w:rsidRDefault="00AC56D6" w:rsidP="00AC56D6">
      <w:pPr>
        <w:pStyle w:val="TextoNormal"/>
      </w:pPr>
      <w:r>
        <w:t>En el ejercicio de la facultad que me reconoce el art. 90.2 de la Ley Orgánica del Tribunal Constitucional, y con el mayor respeto a la opinión de la mayoría, debo manifestar que discrepo del enfoque ofrecido por la Sentencia para la resolución del presente caso y, por ende, de su fallo. Entiendo que el mismo debería haber tenido en cuenta, y no sólo como cuestión secundaria, sino principal y de partida, el derecho a la libertad ideológica garantizado por el art. 16.1 CE.</w:t>
      </w:r>
    </w:p>
    <w:p w:rsidR="00AC56D6" w:rsidRDefault="00AC56D6" w:rsidP="00AC56D6">
      <w:pPr>
        <w:pStyle w:val="TextoNormal"/>
      </w:pPr>
    </w:p>
    <w:p w:rsidR="00AC56D6" w:rsidRDefault="00AC56D6" w:rsidP="00AC56D6">
      <w:pPr>
        <w:pStyle w:val="TextoNormal"/>
      </w:pPr>
      <w:r>
        <w:t>A mi juicio, y como ya expuse en la deliberación, se hacía necesaria, como así se estimó en la STC 20/1990, de 15 de febrero, FJ 3, una “visión globalizada de ambos derechos”, sin quedar “absorbida” la libertad ideológica por la libertad de expresión. No es baladí tal consideración. De la utilización de uno u otro enfoque pueden derivar consecuencias diferentes. Se ha de tener presente que el art. 16.1 CE garantiza la libertad ideológica “sin más limitación, en sus manifestaciones, que la necesaria para el mantenimiento del orden público protegido por la ley”. Es decir, la libertad ideológica, al igual que la religiosa y de culto (STC 46/2001, de 15 de febrero, FJ 5), no se encuentra sometida a más restricciones que las que puedan derivarse de la citada cláusula, pues, según se afirmó en la STC 20/1990, en la que se enjuiciaba la posible extralimitación del derecho a la libertad ideológica y de expresión en relación con la comisión de un delito de injurias leves al Jefe del Estado por el demandante de amparo, “[l]a limitación, por la singularidad y necesidad con que se precisa en el propio precepto que la determina, no puede hacerse coincidente en términos absolutos … con los límites que a los derechos de libertad de expresión y de información reconocidos por el art. 20.1 a) y d) CE, impone el núm. 4 de esta norma. La equiparación entre una y otras limitaciones, requiere, en todo caso, que … cuando el hecho imputado a un ciudadano afecte principalmente a su derecho a la libertad ideológica, su enjuiciamiento ha de ponderar y analizar también principalmente de qué manera a través de su manifestación externa se ha vulnerado el ‘orden público protegido por la Ley’”. Recordemos que el art. 20.4 CE establece que dichas libertades “tienen su límite en el respeto a los derechos reconocidos en este Título, en los preceptos de las leyes que lo desarrollen y, especialmente, en el derecho al honor, a la intimidad, a la propia imagen y a la protección de la juventud y de la infancia”.</w:t>
      </w:r>
    </w:p>
    <w:p w:rsidR="00AC56D6" w:rsidRDefault="00AC56D6" w:rsidP="00AC56D6">
      <w:pPr>
        <w:pStyle w:val="TextoNormal"/>
      </w:pPr>
    </w:p>
    <w:p w:rsidR="00AC56D6" w:rsidRDefault="00AC56D6" w:rsidP="00AC56D6">
      <w:pPr>
        <w:pStyle w:val="TextoNormal"/>
      </w:pPr>
      <w:r>
        <w:t>En este sentido, el Tribunal Constitucional ha señalado también que “cuando el art. 16.1 CE garantiza las libertades ideológicas, religiosa y de culto ‘sin más limitación, en sus manifestaciones, que el orden público protegido por la ley’, está significando con su sola redacción, no sólo la trascendencia de aquellos derechos de libertad como pieza fundamental de todo orden de convivencia democrática (art. 1.1 CE), sino también el carácter excepcional del orden público como único límite al ejercicio de los mismos, lo que, jurídicamente, se traduce en la imposibilidad de ser aplicado por los poderes públicos como una cláusula abierta que pueda servir de asiento a meras sospechas sobre posibles comportamientos de futuro y sus hipotéticas consecuencias” (STC 46/2001, FJ 11).</w:t>
      </w:r>
    </w:p>
    <w:p w:rsidR="00AC56D6" w:rsidRDefault="00AC56D6" w:rsidP="00AC56D6">
      <w:pPr>
        <w:pStyle w:val="TextoNormal"/>
      </w:pPr>
    </w:p>
    <w:p w:rsidR="00AC56D6" w:rsidRDefault="00AC56D6" w:rsidP="00AC56D6">
      <w:pPr>
        <w:pStyle w:val="TextoNormal"/>
      </w:pPr>
      <w:r>
        <w:t>Con la misma finalidad, la cláusula del orden público se ha establecido como límite constitucional al ejercicio del derecho de reunión y manifestación (art. 21.2 CE); de manera tal, que el Tribunal ha señalado que la prohibición de reuniones en lugares de tránsito público y manifestaciones, sólo podrán ser prohibidas cuando existan razones fundadas de su alteración, con peligro para las personas o bienes y no sean fruto de “una mera sospecha o posibilidad de que se vayan a producir alteraciones de orden público” (STC 301/2006, de 23 de octubre, FJ 2; y, el mismo sentido, STC 96/2010, de 15 de noviembre, FJ 3); “solamente razones convincentes e imperativas pueden justificar las restricciones a esa libertad” (SSTC 170/2008, FJ 3; y 96/2010, FJ 3). Conviene recordar en este punto, que la quema de la foto de SS.MM. los Reyes se llevó a cabo en una concentración al finalizar el transcurso de una manifestación que se encontraba encabezada por una pancarta que decía “300 años de Borbones, 300 años combatiendo la ocupación española”, celebrada en protesta de la visita real a la ciudad de Girona.</w:t>
      </w:r>
    </w:p>
    <w:p w:rsidR="00AC56D6" w:rsidRDefault="00AC56D6" w:rsidP="00AC56D6">
      <w:pPr>
        <w:pStyle w:val="TextoNormal"/>
      </w:pPr>
    </w:p>
    <w:p w:rsidR="00AC56D6" w:rsidRDefault="00AC56D6" w:rsidP="00AC56D6">
      <w:pPr>
        <w:pStyle w:val="TextoNormal"/>
      </w:pPr>
      <w:r>
        <w:lastRenderedPageBreak/>
        <w:t>Este canon o estándar no ha sido, sin embargo, el utilizado por la Sentencia de la que discrepo, que centra su argumentación en la constatación de que, desde el prisma del ejercicio del derecho a la libertad de expresión, los hechos acaecidos comportan “una incitación a la violencia contra la persona y la Institución que representa” y “avalan categóricamente el significado netamente incitador al odio” (FJ 3); límites establecidos como tales por la jurisprudencia del Tribunal Europeo de Derechos Humanos, en atención al reconocimiento de la dignidad de todos los seres humanos como fundamento de una sociedad democrática y pluralista. No creo que el contenido de ambos cánones sea exactamente el mismo. Los límites del derecho a la libertad de expresión, cuando está concernida la libertad ideológica, deben ser, a mi juicio, sensiblemente distintos y así, entiendo, se puede deducir de la Constitución tal como es interpretada en las Sentencias anteriormente citadas. Evitando entrar en valoraciones sobre si nos encontramos realmente ante un supuesto que pueda reconocerse como de incitación al odio o la violencia, como así lo ha estimado la mayoría, creo que el límite establecido constitucionalmente en relación con el ejercicio del derecho a la libertad ideológica y a la expresión de la misma —es decir, el del orden público— es menos restrictivo que el mantenido en la Sentencia de la que discrepo.</w:t>
      </w:r>
    </w:p>
    <w:p w:rsidR="00AC56D6" w:rsidRDefault="00AC56D6" w:rsidP="00AC56D6">
      <w:pPr>
        <w:pStyle w:val="TextoNormal"/>
      </w:pPr>
    </w:p>
    <w:p w:rsidR="00AC56D6" w:rsidRDefault="00AC56D6" w:rsidP="00AC56D6">
      <w:pPr>
        <w:pStyle w:val="TextoNormal"/>
      </w:pPr>
      <w:r>
        <w:t>No siempre el ejercicio de la libertad de expresión deriva del de la libertad ideológica, pero cuando parte de su ejercicio, la posibilidad de limitación del derecho, debe ser menor, y así, salvo la imposición por la violencia de los propios criterios y la alteración del “orden público”, debe permitirse su libre exposición “en los términos que impone una democracia avanzada” (STC 20/1990, FJ 5). Como se ha señalado por el Tribunal, “[a] la libertad ideológica que consagra el art. 16.1 CE le corresponde ‘el correlativo derecho a expresarla que garantiza el art. 20.1 a)’ (STC 20/1990, fundamento jurídico 5), aun cuando ello no signifique que toda expresión de ideología quede desvinculada del ámbito de protección del art. 16.1, pues el derecho que éste reconoce no puede entenderse ‘simplemente absorbido’ por las libertades del art. 20 [STC 20/1990, fundamento jurídico 3), o que toda expresión libremente emitida al amparo del art. 20 sea manifestación de la libertad ideológica del art. 16.1” (SSTC 120/1990, de 27 de junio, FJ 10; y 137/1990, de 19 de julio, FJ 8). En el presente caso, no se encontraba en juego únicamente el ejercicio de la libertad de expresión de meros pensamientos, ideas u opiniones, sino el de la expresión de una concreta ideología, es decir, quedaba afectada la libertad ideológica.</w:t>
      </w:r>
    </w:p>
    <w:p w:rsidR="00AC56D6" w:rsidRDefault="00AC56D6" w:rsidP="00AC56D6">
      <w:pPr>
        <w:pStyle w:val="TextoNormal"/>
      </w:pPr>
    </w:p>
    <w:p w:rsidR="00AC56D6" w:rsidRDefault="00AC56D6" w:rsidP="00AC56D6">
      <w:pPr>
        <w:pStyle w:val="TextoNormal"/>
      </w:pPr>
      <w:r>
        <w:t xml:space="preserve">Considero, en definitiva, que la limitación establecida por la Constitución en el ejercicio de la libertad ideológica (art. 16.1 CE) permitía, en un caso como el presente, una posición basada en el principio </w:t>
      </w:r>
      <w:r w:rsidRPr="00AC56D6">
        <w:rPr>
          <w:i/>
        </w:rPr>
        <w:t>clear and present danger</w:t>
      </w:r>
      <w:r>
        <w:t>, tal como sostiene la jurisprudencia del Tribunal Supremo de los Estados Unidos, fundada en la protección prioritaria de la libertad, pues:</w:t>
      </w:r>
    </w:p>
    <w:p w:rsidR="00AC56D6" w:rsidRDefault="00AC56D6" w:rsidP="00AC56D6">
      <w:pPr>
        <w:pStyle w:val="TextoNormal"/>
      </w:pPr>
    </w:p>
    <w:p w:rsidR="00AC56D6" w:rsidRDefault="00AC56D6" w:rsidP="00AC56D6">
      <w:pPr>
        <w:pStyle w:val="TextoNormal"/>
      </w:pPr>
      <w:r>
        <w:t>1º Lo que se enjuiciaba era la expresión de una determinada posición ideológica (art. 16.1 CE); en este caso, el de unas convicciones antimonárquicas.</w:t>
      </w:r>
    </w:p>
    <w:p w:rsidR="00AC56D6" w:rsidRDefault="00AC56D6" w:rsidP="00AC56D6">
      <w:pPr>
        <w:pStyle w:val="TextoNormal"/>
      </w:pPr>
    </w:p>
    <w:p w:rsidR="00AC56D6" w:rsidRDefault="00AC56D6" w:rsidP="00AC56D6">
      <w:pPr>
        <w:pStyle w:val="TextoNormal"/>
      </w:pPr>
      <w:r>
        <w:t xml:space="preserve">2º Que fue expresada a través de una actuación simbólica y, por ello, de contenido, significado y alcance mucho más opinable que el resultante de un texto escrito. Y, además, a través de la quema de un retrato oficial; en este sentido, se hace preciso traer a colación que el tipo penal previsto en el art. 490.3 del Código penal, por el que fueron condenados los demandante de amparo, lo que sanciona es la calumnia o injuria al Rey o a cualquiera de sus ascendientes o descendientes, a la Reina consorte o al consorte de la Reina, al Regente </w:t>
      </w:r>
      <w:r>
        <w:lastRenderedPageBreak/>
        <w:t>o a algún miembro de la Regencia, o al Príncipe heredero de la Corona, en el ejercicio de sus funciones o con motivo u ocasión de éstas.</w:t>
      </w:r>
    </w:p>
    <w:p w:rsidR="00AC56D6" w:rsidRDefault="00AC56D6" w:rsidP="00AC56D6">
      <w:pPr>
        <w:pStyle w:val="TextoNormal"/>
      </w:pPr>
    </w:p>
    <w:p w:rsidR="00AC56D6" w:rsidRDefault="00AC56D6" w:rsidP="00AC56D6">
      <w:pPr>
        <w:pStyle w:val="TextoNormal"/>
      </w:pPr>
      <w:r>
        <w:t>3º En un espacio público, y, en concreto, al término de una manifestación cuyo objetivo era mostrar el rechazo a la visita del Monarca a Cataluña. La escenificación tenía, pues, relación con un asunto de relevancia pública en aquél momento.</w:t>
      </w:r>
    </w:p>
    <w:p w:rsidR="00AC56D6" w:rsidRDefault="00AC56D6" w:rsidP="00AC56D6">
      <w:pPr>
        <w:pStyle w:val="TextoNormal"/>
      </w:pPr>
    </w:p>
    <w:p w:rsidR="00AC56D6" w:rsidRDefault="00AC56D6" w:rsidP="00AC56D6">
      <w:pPr>
        <w:pStyle w:val="TextoNormal"/>
      </w:pPr>
      <w:r>
        <w:t>4º Y sin que, además, tras ella se produjeran conflictos o altercados de ningún tipo.</w:t>
      </w:r>
    </w:p>
    <w:p w:rsidR="00AC56D6" w:rsidRDefault="00AC56D6" w:rsidP="00AC56D6">
      <w:pPr>
        <w:pStyle w:val="TextoNormal"/>
      </w:pPr>
    </w:p>
    <w:p w:rsidR="00AC56D6" w:rsidRDefault="00AC56D6" w:rsidP="00AC56D6">
      <w:pPr>
        <w:pStyle w:val="TextoNormal"/>
      </w:pPr>
      <w:r>
        <w:t>Se trata, como manifesté en el Pleno, de una decisión compleja, llena de aristas y discutible, como así lo demuestran los diferentes modelos de ponderación a los que me he referido —estadounidense y europeo—, sobre cuyo estudio y comparación se ha ocupado la doctrina científica. Dicho esto, y dado que la Constitución permitía, a mi juicio, una interpretación como la ya referida, mi postura ante esta difícil decisión ha sido optar, en este caso, por el reconocimiento de la libertad ideológica y la protección de su manifestación, pues, como se ha dicho por este Tribunal, “sin la libertad ideológica consagrada en el art. 16.1 de la Constitución, no serían posibles los valores superiores de nuestro ordenamiento jurídico que se propugnan en el art. 1.1 de la misma para constituir el Estado social y democrático de derecho que en dicho precepto se instaura”, pues “[p]ara que la libertad, la justicia, la igualdad y el pluralismo político sean una realidad efectiva y no la enunciación teórica de unos principios ideales, es preciso que a la hora de regular conductas y, por tanto, de enjuiciarlas, se respeten aquellos valores superiores sin los cuales no se puede desarrollar el régimen democrático que nos hemos dado en la Constitución de 1978” (STC 20/1990, FJ 3).</w:t>
      </w:r>
    </w:p>
    <w:p w:rsidR="00AC56D6" w:rsidRDefault="00AC56D6" w:rsidP="00AC56D6">
      <w:pPr>
        <w:pStyle w:val="TextoNormal"/>
      </w:pPr>
    </w:p>
    <w:p w:rsidR="00AC56D6" w:rsidRDefault="00AC56D6" w:rsidP="00AC56D6">
      <w:pPr>
        <w:pStyle w:val="TextoNormal"/>
      </w:pPr>
      <w:r>
        <w:t>Madrid, a veintidós de julio de dos mil quince.</w:t>
      </w:r>
    </w:p>
    <w:p w:rsidR="00AC56D6" w:rsidRDefault="00AC56D6" w:rsidP="00AC56D6">
      <w:pPr>
        <w:pStyle w:val="TextoNormal"/>
      </w:pPr>
    </w:p>
    <w:p w:rsidR="00AC56D6" w:rsidRDefault="00AC56D6" w:rsidP="00AC56D6">
      <w:pPr>
        <w:pStyle w:val="TextoNormalNegritaCentrado"/>
        <w:keepNext/>
      </w:pPr>
      <w:r>
        <w:t>Voto particular que formula el Magistrado don Juan Antonio Xiol Ríos a la Sentencia dictada en el recurso de amparo avocado núm. 956-2009.</w:t>
      </w:r>
    </w:p>
    <w:p w:rsidR="00AC56D6" w:rsidRDefault="00AC56D6" w:rsidP="00AC56D6">
      <w:pPr>
        <w:pStyle w:val="TextoNormalNegritaCentrado"/>
        <w:keepNext/>
      </w:pPr>
    </w:p>
    <w:p w:rsidR="00AC56D6" w:rsidRDefault="00AC56D6" w:rsidP="00AC56D6">
      <w:pPr>
        <w:pStyle w:val="TextoNormal"/>
      </w:pPr>
      <w:r>
        <w:t>Con respeto a la opinión mayoritaria de mis compañeros del Tribunal en la que se sustenta la Sentencia, manifiesto mi discrepancia con la fundamentación jurídica y con el fallo. Considero que hubiera debido ser estimatoria por vulneración del derecho a la libertad de expresión [art. 20.1 a) CE].</w:t>
      </w:r>
    </w:p>
    <w:p w:rsidR="00AC56D6" w:rsidRDefault="00AC56D6" w:rsidP="00AC56D6">
      <w:pPr>
        <w:pStyle w:val="TextoNormal"/>
      </w:pPr>
    </w:p>
    <w:p w:rsidR="00AC56D6" w:rsidRDefault="00AC56D6" w:rsidP="00AC56D6">
      <w:pPr>
        <w:pStyle w:val="TextoNormal"/>
      </w:pPr>
      <w:r>
        <w:t>1. Los derechos a la libertad de expresión e información están íntimamente ligados a la democracia. La sensibilidad y la forma con que los poderes de un Estado abordan y tratan estos derechos son un indicador de la calidad de su democracia; por eso me alarma la tendencia restrictiva de estos derechos en la más reciente jurisprudencia constitucional. Es una deriva de la que no se libran ni las empresas de telecomunicaciones (STC 73/2014, de 4 de junio), ni los profesionales de la información (SSTC 176/2013, de 21 de octubre, 19/2014, de 10 de febrero, o 18/2015, de 16 de febrero), ni los miembros de organizaciones sociales (STC 65/2015, de 13 de abril). Por ese motivo, he hecho pública mi discrepancia con diversas resoluciones de este Tribunal en esa materia (así, SSTC 73/2014 y 65/2015).</w:t>
      </w:r>
    </w:p>
    <w:p w:rsidR="00AC56D6" w:rsidRDefault="00AC56D6" w:rsidP="00AC56D6">
      <w:pPr>
        <w:pStyle w:val="TextoNormal"/>
      </w:pPr>
    </w:p>
    <w:p w:rsidR="00AC56D6" w:rsidRDefault="00AC56D6" w:rsidP="00AC56D6">
      <w:pPr>
        <w:pStyle w:val="TextoNormal"/>
      </w:pPr>
      <w:r>
        <w:t xml:space="preserve">De nuevo, me veo en la obligación de acudir a la posibilidad legal que me brinda el art. 90.2 de la Ley Orgánica del Tribunal Constitucional (LOTC) para mostrar mi disidencia con otro ejemplo de esa tendencia. En esta ocasión los afectados son dos ciudadanos condenados penalmente por la utilización de una forma de expresión —la destrucción o quema </w:t>
      </w:r>
      <w:r>
        <w:lastRenderedPageBreak/>
        <w:t>de fotos de representantes políticos o de símbolos políticos— que es ampliamente aceptada en los estándares internacionales de derechos humanos como una inocua manifestación del derecho a la libertad de expresión.</w:t>
      </w:r>
    </w:p>
    <w:p w:rsidR="00AC56D6" w:rsidRDefault="00AC56D6" w:rsidP="00AC56D6">
      <w:pPr>
        <w:pStyle w:val="TextoNormal"/>
      </w:pPr>
    </w:p>
    <w:p w:rsidR="00AC56D6" w:rsidRDefault="00AC56D6" w:rsidP="00AC56D6">
      <w:pPr>
        <w:pStyle w:val="TextoNormal"/>
      </w:pPr>
      <w:r>
        <w:t>2. La opinión mayoritaria en que se sustenta la Sentencia considera que la sanción penal impuesta a los recurrentes —privativa de libertad y sustituida por una sanción económica— por la comisión de un delito de injurias al Rey y a sus familiares (art. 490.3 del Código penal: CP, en la redacción dada por la Ley Orgánica 10/1995), con motivo de haber quemado la foto institucional del Jefe del Estado y su consorte tras una manifestación antimonárquica e independentista en Cataluña, no vulnera sus derechos a la libertad ideológica (art. 16 CE) y de expresión [art. 20.1 a) CE]. El argumento para sustentar esta afirmación, separándose por completo de cuál fue la línea de razonamiento en la vía judicial para fundamentar la condena de los recurrentes, es que esa conducta simbólica no supone el “legítimo” ejercicio de esos derechos, al ser una manifestación del denominado “discurso del odio”, que es uno de los límites intrínsecos a ese ejercicio.</w:t>
      </w:r>
    </w:p>
    <w:p w:rsidR="00AC56D6" w:rsidRDefault="00AC56D6" w:rsidP="00AC56D6">
      <w:pPr>
        <w:pStyle w:val="TextoNormal"/>
      </w:pPr>
    </w:p>
    <w:p w:rsidR="00AC56D6" w:rsidRDefault="00AC56D6" w:rsidP="00AC56D6">
      <w:pPr>
        <w:pStyle w:val="TextoNormal"/>
      </w:pPr>
      <w:r>
        <w:t>No me voy a extender en este Voto particular sobre dos aspectos que comparto con la opinión mayoritaria, como son (i) que el lenguaje simbólico, incluyendo la destrucción mediante el fuego de fotos y otros emblemas, es un acto comunicativo que implica el ejercicio del derecho a la libertad de expresión; y (ii) que el discurso del odio, en cualquiera de sus manifestaciones, incluyendo su expresión a través del lenguaje simbólico, supone una legítima restricción del derecho a la libertad de expresión. Mi discrepancia radica en que, a mi juicio, (i) la concreta conducta de destrucción mediante el fuego de una foto institucional del Jefe del Estado y su consorte como la realizada por los recurrentes y en el contexto en que fue desarrollada no es una manifestación del “discurso del odio” que suponga un ejercicio incurso en extralimitación o abusivo y, por tanto, “ilegítimo” del derecho a la libertad de expresión; (ii) que esa concreta extralimitación y por esa causa, hipotéticamente, no justifica la respuesta penal por aplicación del delito de injurias al Rey y a sus familiares que fue establecida en la vía judicial previa; y (iii) que esa concreta respuesta penal, además, no resulta necesaria y proporcionada ponderando los derechos, valores e intereses constitucionales en conflicto.</w:t>
      </w:r>
    </w:p>
    <w:p w:rsidR="00AC56D6" w:rsidRDefault="00AC56D6" w:rsidP="00AC56D6">
      <w:pPr>
        <w:pStyle w:val="TextoNormal"/>
      </w:pPr>
    </w:p>
    <w:p w:rsidR="00AC56D6" w:rsidRDefault="00AC56D6" w:rsidP="00AC56D6">
      <w:pPr>
        <w:pStyle w:val="TextoNormal"/>
      </w:pPr>
      <w:r>
        <w:t>I. La banalización del discurso del odio.</w:t>
      </w:r>
    </w:p>
    <w:p w:rsidR="00AC56D6" w:rsidRDefault="00AC56D6" w:rsidP="00AC56D6">
      <w:pPr>
        <w:pStyle w:val="TextoNormal"/>
      </w:pPr>
    </w:p>
    <w:p w:rsidR="00AC56D6" w:rsidRDefault="00AC56D6" w:rsidP="00AC56D6">
      <w:pPr>
        <w:pStyle w:val="TextoNormal"/>
      </w:pPr>
      <w:r>
        <w:t>3. La opinión de la mayoría, al argumentar que la conducta de los recurrentes supuso un ejercicio de la libertad de expresión incurso en extralimitación por incitar al odio contra el Jefe del Estado, banaliza el discurso del odio y su significación como restricción legítima de la libertad de expresión.</w:t>
      </w:r>
    </w:p>
    <w:p w:rsidR="00AC56D6" w:rsidRDefault="00AC56D6" w:rsidP="00AC56D6">
      <w:pPr>
        <w:pStyle w:val="TextoNormal"/>
      </w:pPr>
    </w:p>
    <w:p w:rsidR="00AC56D6" w:rsidRDefault="00AC56D6" w:rsidP="00AC56D6">
      <w:pPr>
        <w:pStyle w:val="TextoNormal"/>
      </w:pPr>
      <w:r>
        <w:t xml:space="preserve">La jurisprudencia constitucional y la del Tribunal Europeo de Derechos Humanos (TEDH) han establecido dos notas distintivas para poder calificar un acto comunicativo como “discurso del odio”: (i) que suponga una incitación directa a la violencia y (ii) que se dirija contra los ciudadanos en general o contra determinadas razas, creencias o actitudes vitales en particular. Así, en la STC 235/2007, de 7 de noviembre, se afirmó, “que la libertad de expresión no puede ofrecer cobertura al llamado ‘discurso del odio’, esto es, a aquel desarrollado en términos que supongan una incitación directa a la violencia contra los ciudadanos en general o contra determinadas razas o creencias en particular. En este punto, </w:t>
      </w:r>
      <w:r>
        <w:lastRenderedPageBreak/>
        <w:t xml:space="preserve">sirve de referencia interpretativa del Convenio la Recomendación núm. R (97) 20 del Comité de Ministros del Consejo de Europa, de 30 de octubre de 1997, que insta a los Estados a actuar contra todas las formas de expresión que propagan, incitan o promueven el odio racial, la xenofobia, el antisemitismo u otras formas de odio basadas en la intolerancia (SSTEDH caso </w:t>
      </w:r>
      <w:r w:rsidRPr="00AC56D6">
        <w:rPr>
          <w:i/>
        </w:rPr>
        <w:t>Gündüz c. Turquía</w:t>
      </w:r>
      <w:r>
        <w:t xml:space="preserve">, de 4 de diciembre de 2003, § 41; caso </w:t>
      </w:r>
      <w:r w:rsidRPr="00AC56D6">
        <w:rPr>
          <w:i/>
        </w:rPr>
        <w:t>Erbakan c. Turquía</w:t>
      </w:r>
      <w:r>
        <w:t>, de 6 de julio de 2006)” (FJ 5).</w:t>
      </w:r>
    </w:p>
    <w:p w:rsidR="00AC56D6" w:rsidRDefault="00AC56D6" w:rsidP="00AC56D6">
      <w:pPr>
        <w:pStyle w:val="TextoNormal"/>
      </w:pPr>
    </w:p>
    <w:p w:rsidR="00AC56D6" w:rsidRDefault="00AC56D6" w:rsidP="00AC56D6">
      <w:pPr>
        <w:pStyle w:val="TextoNormal"/>
      </w:pPr>
      <w:r>
        <w:t xml:space="preserve">En coherencia con ello, el análisis que ha proyectado el Tribunal Europeo de Derechos Humanos sobre el discurso del odio, sea tomando como enfoque el abuso del derecho del art. 17 del Convenio europeo para la protección de los derechos humanos y de las libertades fundamentales (CEDH) —por ser una manifestación “tendente a la destrucción de los derechos o libertades reconocidos en el convenio”— o las propias limitaciones que a la libertad de expresión se establecen en el art. 10.2 CEDH, aparece siempre referido a supuestos de actos comunicativos que pudieran ser interpretados como de incitación a la violencia contra grupos y colectivos basados en consideraciones étnicas, religiosas, nacionales, raciales, de orientación sexual, etc.; o justificativos de tratamientos discriminatorios y limitativos del disfrute de los derechos humanos por parte de estos grupos y los individuos que los integran. En ese contexto, cuando se ha pretendido aplicar la doctrina del discurso del odio a supuestos de una eventual incitación u hostilidad contra personas singulares no integradas en grupos vulnerables se ha negado que se trate de manifestaciones del discurso del odio (STEDH caso </w:t>
      </w:r>
      <w:r w:rsidRPr="00AC56D6">
        <w:rPr>
          <w:i/>
        </w:rPr>
        <w:t>Otegi Mondragón c. España</w:t>
      </w:r>
      <w:r>
        <w:t xml:space="preserve">, de 15 de marzo de 2011, § 54); o se ha contrapuesto, precisamente, a otras restricciones legítimas de la libertad de expresión para la protección de intereses individuales, como son la difamación o la incitación a ejercer violencia contra personas individuales y determinadas (STEDH caso </w:t>
      </w:r>
      <w:r w:rsidRPr="00AC56D6">
        <w:rPr>
          <w:i/>
        </w:rPr>
        <w:t>Delfi As c. Estonia</w:t>
      </w:r>
      <w:r>
        <w:t>, de 16 de junio de 2015).</w:t>
      </w:r>
    </w:p>
    <w:p w:rsidR="00AC56D6" w:rsidRDefault="00AC56D6" w:rsidP="00AC56D6">
      <w:pPr>
        <w:pStyle w:val="TextoNormal"/>
      </w:pPr>
    </w:p>
    <w:p w:rsidR="00AC56D6" w:rsidRDefault="00AC56D6" w:rsidP="00AC56D6">
      <w:pPr>
        <w:pStyle w:val="TextoNormal"/>
      </w:pPr>
      <w:r>
        <w:t xml:space="preserve">Por otra parte, en lo que se refiere a que el acto suponga por sí mismo una incitación directa al ejercicio de la violencia como resultado del discurso del odio —solo por citar supuestos de actos simbólicos que pueden servir de parámetro de enjuiciamiento en este caso— la STEDH caso </w:t>
      </w:r>
      <w:r w:rsidRPr="00AC56D6">
        <w:rPr>
          <w:i/>
        </w:rPr>
        <w:t>Fáber c. Hungría</w:t>
      </w:r>
      <w:r>
        <w:t xml:space="preserve">, de 24 de julio de 2012, estimó que no podía ser calificado como una manifestación del discurso del odio el hecho de mostrar una bandera de polémicas connotaciones al paso de una manifestación antirracista. E, igualmente, la STEDH caso </w:t>
      </w:r>
      <w:r w:rsidRPr="00AC56D6">
        <w:rPr>
          <w:i/>
        </w:rPr>
        <w:t>Murat Vural c Turquía</w:t>
      </w:r>
      <w:r>
        <w:t xml:space="preserve">, de 21 de octubre de 2014, tampoco consideró que fuera un ejercicio ilegítimo de la libertad de expresión la conducta de cubrir de pintura efigies o estatuas de personajes representativos del Estado. Esa misma conclusión ha sido defendida por la STEDH caso </w:t>
      </w:r>
      <w:r w:rsidRPr="00AC56D6">
        <w:rPr>
          <w:i/>
        </w:rPr>
        <w:t>Christian Democratic People´s Party c Moldavia (núm</w:t>
      </w:r>
      <w:r>
        <w:t xml:space="preserve">. 2), de 2 de febrero de 2010, § 27, en relación con la destrucción mediante el fuego de retratos de representantes políticos institucionales y banderas. Esta jurisprudencia del Tribunal Europeo de Derechos Humanos no hace sino entroncar con la visión más extendida de que este tipo de actos comunicativos son comportamientos socialmente conocidos que han sido considerados como manifestación de la libertad de expresión por otros Tribunales Constitucionales, señaladamente el Tribunal Supremo de los Estados Unidos de América [Sentencias dictadas en el caso </w:t>
      </w:r>
      <w:r w:rsidRPr="00AC56D6">
        <w:rPr>
          <w:i/>
        </w:rPr>
        <w:t>United States v. O’Brien</w:t>
      </w:r>
      <w:r>
        <w:t xml:space="preserve">, 391 U.S. 367 (1968), en relación con cartilla militar; en el caso </w:t>
      </w:r>
      <w:r w:rsidRPr="00AC56D6">
        <w:rPr>
          <w:i/>
        </w:rPr>
        <w:t>Texas v. Johnson</w:t>
      </w:r>
      <w:r>
        <w:t xml:space="preserve">, 491 U.S. 397 (1989), y en el caso </w:t>
      </w:r>
      <w:r w:rsidRPr="00AC56D6">
        <w:rPr>
          <w:i/>
        </w:rPr>
        <w:t>United States v. Eichman</w:t>
      </w:r>
      <w:r>
        <w:t>, 496 U.S. 310 (1990), en relación con la bandera nacional].</w:t>
      </w:r>
    </w:p>
    <w:p w:rsidR="00AC56D6" w:rsidRDefault="00AC56D6" w:rsidP="00AC56D6">
      <w:pPr>
        <w:pStyle w:val="TextoNormal"/>
      </w:pPr>
    </w:p>
    <w:p w:rsidR="00AC56D6" w:rsidRDefault="00AC56D6" w:rsidP="00AC56D6">
      <w:pPr>
        <w:pStyle w:val="TextoNormal"/>
      </w:pPr>
      <w:r>
        <w:lastRenderedPageBreak/>
        <w:t>Por tanto, no puedo compartir que la conducta que dio lugar a la condena penal de los recurrentes pueda ser considerada ni calificada como una genuina manifestación del discurso del odio. No reúne las notas esenciales de que (i) estuviera dirigida contra los ciudadanos en general o contra determinadas razas, creencias o actitudes vitales en particular; ni de que, como se argumentará más extensamente a continuación, (ii) supusiera una incitación directa a la violencia.</w:t>
      </w:r>
    </w:p>
    <w:p w:rsidR="00AC56D6" w:rsidRDefault="00AC56D6" w:rsidP="00AC56D6">
      <w:pPr>
        <w:pStyle w:val="TextoNormal"/>
      </w:pPr>
    </w:p>
    <w:p w:rsidR="00AC56D6" w:rsidRDefault="00AC56D6" w:rsidP="00AC56D6">
      <w:pPr>
        <w:pStyle w:val="TextoNormal"/>
      </w:pPr>
      <w:r>
        <w:t>4. La argumentación de la opinión mayoritaria en la que se sustenta la Sentencia, acerca de que la conducta de los recurrentes suponía una incitación a la violencia y expresaba una amenaza a las personas de los Reyes no resulta aceptable, ya que (i) se basa en una reconstrucción de los hechos declarados probados en la vía judicial previa, vedada por el art. 44.1 b) de la Ley Orgánica del Tribunal Constitucional (LOTC), mediante la cual se pretende, recurriendo a la escenificación y al lenguaje emotivo, dotar al acto enjuiciado de una significación que está muy alejada de una comprensión normal de este tipo de conductas; y (ii) utiliza argumentos justificativos totalmente descontextualizados y desconectados de una normal interpretación del acto desarrollado por los recurrentes, pues se basa en exacerbar determinados elementos de carácter meramente simbólico.</w:t>
      </w:r>
    </w:p>
    <w:p w:rsidR="00AC56D6" w:rsidRDefault="00AC56D6" w:rsidP="00AC56D6">
      <w:pPr>
        <w:pStyle w:val="TextoNormal"/>
      </w:pPr>
    </w:p>
    <w:p w:rsidR="00AC56D6" w:rsidRDefault="00AC56D6" w:rsidP="00AC56D6">
      <w:pPr>
        <w:pStyle w:val="TextoNormal"/>
      </w:pPr>
      <w:r>
        <w:t>La exacta descripción del relato de hechos probados ha sido reproducida en el antecedente 2 b). Los elementos fácticos que fueron considerados relevantes por el órgano judicial —el cual, con la inmediación constitucionalmente exigible, tenía la competencia de enjuiciamiento— son: (i) desde el punto de vista del contexto, que la conducta de los recurrentes se produjo —entrecomillo palabras del propio relato de hechos probados de la sentencia de instancia— “con motivo de la visita institucional de S.M. el Rey a la ciudad de Gerona” y “en el curso de una concentración en la Plaza de Vino de esa capital. A dicha concentración le había precedido una manifestación encabezada por una pancarta que decía ‘300 años de Borbones, 300 años combatiendo la ocupación española’”; (ii) desde el punto de vista de la apariencia de los recurrentes, que “iban con el rostro tapado para no ser identificados”; (iii) desde el punto de vista de la dinámica del acto, que “quemaron previa colocación boca abajo … una fotografía de SS.MM. los Reyes de España” y que “tras colocar la citada fotografía de gran tamaño de SS.MM. los Reyes en la forma expuesta, en el centro de la plaza se procedió por Enric Stern a rociarla con un líquido inflamable y por Jaume Roura a prenderle fuego con una antorcha procediendo a su quema”; y (iv) desde el punto de vista de las consecuencias, que dicha conducta se desarrolló “mientras eran jaleados con diferentes gritos por las varias decenas de personas que se habían reunido en la citada plaza”.</w:t>
      </w:r>
    </w:p>
    <w:p w:rsidR="00AC56D6" w:rsidRDefault="00AC56D6" w:rsidP="00AC56D6">
      <w:pPr>
        <w:pStyle w:val="TextoNormal"/>
      </w:pPr>
    </w:p>
    <w:p w:rsidR="00AC56D6" w:rsidRDefault="00AC56D6" w:rsidP="00AC56D6">
      <w:pPr>
        <w:pStyle w:val="TextoNormal"/>
      </w:pPr>
      <w:r>
        <w:t>Frente a estos elementos del relato de hechos probados —a los que, insisto, por mandato del art. 44.1 b) LOTC está sujeto este Tribunal— la opinión de la mayoría opone que dos recurrentes desarrollaron esa conducta —vuelvo a citas entrecomilladas de la sentencia que se funda en dicha opinión— “tras haber situado en la plaza mayor de la ciudad de Gerona una estructura metálica en la que se sujeta una fotografía de las efigies de tamaño real de los Monarcas, puesta ‘boca abajo’” (FJ 4, párrafo sexto). A partir de ello se hace también referencia a que “la escenificación de este acto simbólico traslada a quien visiona la grabación videográfica la idea de que los Monarcas merecen ser ajusticiados” (FJ 4, párrafo séptimo).</w:t>
      </w:r>
    </w:p>
    <w:p w:rsidR="00AC56D6" w:rsidRDefault="00AC56D6" w:rsidP="00AC56D6">
      <w:pPr>
        <w:pStyle w:val="TextoNormal"/>
      </w:pPr>
    </w:p>
    <w:p w:rsidR="00AC56D6" w:rsidRDefault="00AC56D6" w:rsidP="00AC56D6">
      <w:pPr>
        <w:pStyle w:val="TextoNormal"/>
      </w:pPr>
      <w:r>
        <w:t xml:space="preserve">Desde luego, ni la referencia a un supuesto traslado por los recurrentes de esa estructura metálica aparece en las resoluciones impugnadas ni, en lo que a mí se me alcanza, ha sido </w:t>
      </w:r>
      <w:r>
        <w:lastRenderedPageBreak/>
        <w:t>objeto de visionado por este Tribunal ningún tipo de grabación videográfica de los hechos ni ningún otro medio de prueba a partir del cual se puedan extraer consecuencias constitucionales de tal relevancia como son las relativas a la existencia de una incitación directa a la violencia, que, hay que recordarlo e insistir en ello, no fue apreciada ni mencionada en la vía judicial previa.</w:t>
      </w:r>
    </w:p>
    <w:p w:rsidR="00AC56D6" w:rsidRDefault="00AC56D6" w:rsidP="00AC56D6">
      <w:pPr>
        <w:pStyle w:val="TextoNormal"/>
      </w:pPr>
    </w:p>
    <w:p w:rsidR="00AC56D6" w:rsidRDefault="00AC56D6" w:rsidP="00AC56D6">
      <w:pPr>
        <w:pStyle w:val="TextoNormal"/>
      </w:pPr>
      <w:r>
        <w:t>5. Esta reconstrucción de los hechos probados es la que sirve a la opinión de la mayoría para concluir la existencia de una incitación directa a la violencia contra el Rey, expresiva de una amenaza, tomando como fundamento los siguientes argumentos: (i) la escenificación del acto simbólico de la quema boca debajo de la fotografía; (ii) la premeditación y falta de espontaneidad de la conducta que se desarrolló con una preparación previa y con la cara oculta; y (iii) la inexistencia de ningún tipo de declaración o manifestación verbal posterior de la que se pudiese inferir que se trataba de una mera oposición política a la monarquía.</w:t>
      </w:r>
    </w:p>
    <w:p w:rsidR="00AC56D6" w:rsidRDefault="00AC56D6" w:rsidP="00AC56D6">
      <w:pPr>
        <w:pStyle w:val="TextoNormal"/>
      </w:pPr>
    </w:p>
    <w:p w:rsidR="00AC56D6" w:rsidRDefault="00AC56D6" w:rsidP="00AC56D6">
      <w:pPr>
        <w:pStyle w:val="TextoNormal"/>
      </w:pPr>
      <w:r>
        <w:t>Con este razonamiento, la opinión mayoritaria exacerba determinados elementos simbólicos, muy repetidos en este tipo de manifestaciones de protesta, hasta elevarlos a la categoría de incitación personal al odio y calificarlos como expresión de una amenaza. Así, el hecho de que los recurrentes colocaran la fotografía boca abajo, una posición que la sentencia de apelación califica expresamente de “claudicante”, y por tanto, aun sin decirlo expresamente, ofensiva o denigrante, no resulta concluyente. Esta circunstancia aparece directamente conectada con una expresión de la reivindicación política de los recurrentes en favor del derrumbamiento o de la caída del sistema monárquico vigente en España y, en consecuencia, es una manifestación de su opinión hostil a la institución monárquica que simboliza la fotografía de sus majestades los Reyes y está en la línea del activismo político que anima toda la conducta de los recurrentes, según afirma la sentencia de primera instancia, confirmada en apelación. Teniendo en cuenta esta opinión u opción ideológica de los recurrentes, abiertamente contraria a la Corona —opinión legítima en el marco que garantiza la Constitución— no aparece circunstancia alguna en las Sentencias recurridas que permita apreciar que la colocación de la fotografía en posición invertida busque otra cosa que manifestar una posición de rechazo de la institución como órgano constitucional. Invertir una fotografía, como una bandera, es una reiterada forma de manifestar el disgusto que acompaña estos actos reivindicativos, ajeno a la pretensión de que en conexión con ello se desarrollen actos de violencia personal.</w:t>
      </w:r>
    </w:p>
    <w:p w:rsidR="00AC56D6" w:rsidRDefault="00AC56D6" w:rsidP="00AC56D6">
      <w:pPr>
        <w:pStyle w:val="TextoNormal"/>
      </w:pPr>
    </w:p>
    <w:p w:rsidR="00AC56D6" w:rsidRDefault="00AC56D6" w:rsidP="00AC56D6">
      <w:pPr>
        <w:pStyle w:val="TextoNormal"/>
      </w:pPr>
      <w:r>
        <w:t>El hecho de que los demandantes de amparo actuaran encapuchados es, en el criterio de la opinión mayoritaria, otro elemento relevante que prueba, se dice, hasta qué punto los propios recurrentes eran conscientes del carácter ilícito de su acción y premeditaron su conducta. Esta conclusión carece, sin embargo, de significación concluyente. La aplicación de los tipos penales, con carácter general, no depende de la percepción subjetiva que tengan los protagonistas sobre el grado de ilicitud de su conducta. Por otra parte, como testimonian las resoluciones judiciales que cita la Sentencia de primera instancia, existen en la jurisprudencia ordinaria casos de condena penal por hechos similares que podían explicar la percepción de quienes así actuaban, por lo que atribuir valor decisivo a aquella circunstancia equivaldría a dar valor concluyente a esos precedentes judiciales, claudicando del enjuiciamiento constitucional que nos corresponde.</w:t>
      </w:r>
    </w:p>
    <w:p w:rsidR="00AC56D6" w:rsidRDefault="00AC56D6" w:rsidP="00AC56D6">
      <w:pPr>
        <w:pStyle w:val="TextoNormal"/>
      </w:pPr>
    </w:p>
    <w:p w:rsidR="00AC56D6" w:rsidRDefault="00AC56D6" w:rsidP="00AC56D6">
      <w:pPr>
        <w:pStyle w:val="TextoNormal"/>
      </w:pPr>
      <w:r>
        <w:t xml:space="preserve">Del mismo modo, tampoco resulta definitivo el argumento de que junto con la quema de la foto no se pronunciara ninguna expresión o mensaje del que cupiera inferir la oposición </w:t>
      </w:r>
      <w:r>
        <w:lastRenderedPageBreak/>
        <w:t>política a la institución monárquica por parte de los recurrentes. No creo que sea necesario insistir en el activismo político de estos ni en que el acto se realizó —como se infiere de la Sentencia de primera instancia y admite expresamente la Sentencia de apelación— sin solución de continuidad con una manifestación antimonárquica e independentista, en que se identificaba a la dinastía borbónica con la ocupación española del territorio catalán, ni en la suficiencia comunicativa, al margen de cualquier tipo de expresión verbal, de este tipo de actos simbólicos.</w:t>
      </w:r>
    </w:p>
    <w:p w:rsidR="00AC56D6" w:rsidRDefault="00AC56D6" w:rsidP="00AC56D6">
      <w:pPr>
        <w:pStyle w:val="TextoNormal"/>
      </w:pPr>
    </w:p>
    <w:p w:rsidR="00AC56D6" w:rsidRDefault="00AC56D6" w:rsidP="00AC56D6">
      <w:pPr>
        <w:pStyle w:val="TextoNormal"/>
      </w:pPr>
      <w:r>
        <w:t>Por último, no me parece adecuado ni suficientemente ponderado en el contexto de la proliferación internacional de actos muy semejantes al protagonizado por los recurrentes —y que son ampliamente difundidos por los medios de comunicación hasta hacer de ellos una imagen cotidiana— que la opinión de la mayoría sustente que este acto simbólico traslada “la idea de que los Monarcas merecen ser ajusticiados” y que ello “provoca un mayor impacto en una sociedad democrática, como la española, que de forma expresa excluye en su Constitución la pena de muerte (art. 15 CE)” (fundamento jurídico 4, párrafo séptimo, de la Sentencia). Me resulta penoso que a la banalización del odio se le una ahora una banalización de la pena de muerte. Ninguna de ellas es necesaria ni contribuye a justificar una desestimación de este recurso de amparo. Extraer del hecho de la quema de unas fotografías la conclusión de que los recurrentes estaban pretendiendo la muerte de los Reyes es un paralogismo que desborda más allá de lo imaginable la comprensión que un espectador neutral puede formarse en el ámbito del discurso racional.</w:t>
      </w:r>
    </w:p>
    <w:p w:rsidR="00AC56D6" w:rsidRDefault="00AC56D6" w:rsidP="00AC56D6">
      <w:pPr>
        <w:pStyle w:val="TextoNormal"/>
      </w:pPr>
    </w:p>
    <w:p w:rsidR="00AC56D6" w:rsidRDefault="00AC56D6" w:rsidP="00AC56D6">
      <w:pPr>
        <w:pStyle w:val="TextoNormal"/>
      </w:pPr>
      <w:r>
        <w:t>6. Frente a esta forma extrema de razonamiento, considero, de manera más ponderada, que, ciertamente, un acto de destrucción puede sugerir una acción violenta y, en consecuencia, susceptible en hipótesis de albergar mensajes que no merecen protección constitucional. Pero, como es obvio, no es jurídicamente indiferente manifestar la protesta o el sentimiento crítico utilizando medios o instrumentos inocuos para la seguridad y dignidad de las personas o hacerlo incitando a la violencia o atentando contra la dignidad de las personas que integran la institución simbolizada. No cabe controvertir que el tipo de conductas como las desarrolladas por los recurrentes tiene una carga negativa evidente; pero en el caso concreto no fue acompañada de una invitación a la violencia ni suscitó reacciones de esta naturaleza ni desembocó en perturbaciones del orden público, pues ninguna consecuencia de ese tipo fue reflejada o valorada por los órganos judiciales para justificar su condena, sino solo la existencia de manifestaciones ruidosas de adhesión por parte de personas concurrentes. La Sentencia del Pleno de la Sala de lo Penal de la Audiencia Nacional recurrida refiere que los dos demandantes de amparo, después de quemar la fotografía, “seguidamente [se] retiran e intenta[n] confundirse con el resto de los asistentes”.</w:t>
      </w:r>
    </w:p>
    <w:p w:rsidR="00AC56D6" w:rsidRDefault="00AC56D6" w:rsidP="00AC56D6">
      <w:pPr>
        <w:pStyle w:val="TextoNormal"/>
      </w:pPr>
    </w:p>
    <w:p w:rsidR="00AC56D6" w:rsidRDefault="00AC56D6" w:rsidP="00AC56D6">
      <w:pPr>
        <w:pStyle w:val="TextoNormal"/>
      </w:pPr>
      <w:r>
        <w:t xml:space="preserve">Es relevante también que la acción de los recurrentes se desenvolvió en el marco y con ocasión de una concentración ciudadana convocada en protesta por la visita de los Reyes a la ciudad de Girona encabezada por una pancarta con el lema “300 años de Borbones, 300 años de ocupación española” y, por tanto, en un contexto de activismo político. En ese marco, el derecho a la libertad de expresión alcanza una mayor amplitud y resulta especialmente resistente a las restricciones que en otras circunstancias habrían de operar. El contexto de actuación de los recurrentes se relaciona, además, con cuestiones de relevancia general sobre la forma política del Estado y la vigencia de los órganos constitucionales como elementos definidores de nuestro sistema constitucional. Esta circunstancia también debe ser objeto de consideración al ponderar los intereses en juego, al igual que el hecho de que no </w:t>
      </w:r>
      <w:r>
        <w:lastRenderedPageBreak/>
        <w:t xml:space="preserve">aparece que la conducta enjuiciada implicase una crítica directa sobre aspectos personales o íntimos de los Reyes, sino que todos los datos recogidos en las sentencias de primera instancia y de apelación ponen de manifiesto que se trataba de una manifestación de hostilidad al órgano constitucional que encarnan. Estos elementos atestiguan y acentúan el carácter de crítica institucional y política de la conducta de los recurrentes ajena al núcleo de la dignidad de las personas y desde luego a su integridad física o seguridad personal. En este marco resultan ampliados los límites de la crítica constitucionalmente protegida, pues no es la misma la posición constitucional que ocupa el honor de las personas que la que ocupa la dignidad o el prestigio de las instituciones. Así, como se afirma en la STEDH caso </w:t>
      </w:r>
      <w:r w:rsidRPr="00AC56D6">
        <w:rPr>
          <w:i/>
        </w:rPr>
        <w:t>Morice c. Francia</w:t>
      </w:r>
      <w:r>
        <w:t xml:space="preserve">, de 23 de abril de 2015, “en términos generales, si bien es legítimo que las instituciones del Estado, como garantes del orden público institucional, sean protegidas por las autoridades competentes, la posición dominante ocupada por esas instituciones requiere que las autoridades muestren una moderación en recurrir a procesos penales (véase SSTEDH caso </w:t>
      </w:r>
      <w:r w:rsidRPr="00AC56D6">
        <w:rPr>
          <w:i/>
        </w:rPr>
        <w:t>Castells v. España</w:t>
      </w:r>
      <w:r>
        <w:t xml:space="preserve">, 23 de abril de 1992, § 46, serie A no. 236; caso </w:t>
      </w:r>
      <w:r w:rsidRPr="00AC56D6">
        <w:rPr>
          <w:i/>
        </w:rPr>
        <w:t>InCal v. Turkey</w:t>
      </w:r>
      <w:r>
        <w:t xml:space="preserve"> [GC], 9 de junio de 1998, § 54, informes 1998-IV; caso </w:t>
      </w:r>
      <w:r w:rsidRPr="00AC56D6">
        <w:rPr>
          <w:i/>
        </w:rPr>
        <w:t>Lehideux e Isorni c. Francia</w:t>
      </w:r>
      <w:r>
        <w:t xml:space="preserve">, 23 de septiembre de 1998, § 57, informes 1998-VII; caso </w:t>
      </w:r>
      <w:r w:rsidRPr="00AC56D6">
        <w:rPr>
          <w:i/>
        </w:rPr>
        <w:t>Öztürk v. Turquía</w:t>
      </w:r>
      <w:r>
        <w:t xml:space="preserve"> [GC], 28 de septiembre de 1999, § 66, ECHR 1999-VI; y caso </w:t>
      </w:r>
      <w:r w:rsidRPr="00AC56D6">
        <w:rPr>
          <w:i/>
        </w:rPr>
        <w:t>Otegi Mondragón c. España</w:t>
      </w:r>
      <w:r>
        <w:t>, Nº 2034/07, § 58, TEDH 2011)” (§ 127).</w:t>
      </w:r>
    </w:p>
    <w:p w:rsidR="00AC56D6" w:rsidRDefault="00AC56D6" w:rsidP="00AC56D6">
      <w:pPr>
        <w:pStyle w:val="TextoNormal"/>
      </w:pPr>
    </w:p>
    <w:p w:rsidR="00AC56D6" w:rsidRDefault="00AC56D6" w:rsidP="00AC56D6">
      <w:pPr>
        <w:pStyle w:val="TextoNormal"/>
      </w:pPr>
      <w:r>
        <w:t xml:space="preserve">A esos efectos, tampoco cabe olvidar, como es reiterado por la jurisprudencia del Tribunal Europeo de Derechos Humanos, que no puede establecerse una protección privilegiada de los jefes de Estado frente al ejercicio de los derechos a la libertad de expresión e información (así, SSTEDH caso </w:t>
      </w:r>
      <w:r w:rsidRPr="00AC56D6">
        <w:rPr>
          <w:i/>
        </w:rPr>
        <w:t>Colombani c Francia</w:t>
      </w:r>
      <w:r>
        <w:t xml:space="preserve">, de 25 de junio de 2002; caso </w:t>
      </w:r>
      <w:r w:rsidRPr="00AC56D6">
        <w:rPr>
          <w:i/>
        </w:rPr>
        <w:t>Artun y Güvener c Turquía</w:t>
      </w:r>
      <w:r>
        <w:t xml:space="preserve">, de 26 de junio de 2007; caso </w:t>
      </w:r>
      <w:r w:rsidRPr="00AC56D6">
        <w:rPr>
          <w:i/>
        </w:rPr>
        <w:t>Gutiérrez Suárez c España</w:t>
      </w:r>
      <w:r>
        <w:t xml:space="preserve">, de 1 de junio de 2010; caso </w:t>
      </w:r>
      <w:r w:rsidRPr="00AC56D6">
        <w:rPr>
          <w:i/>
        </w:rPr>
        <w:t>Eon c Francia</w:t>
      </w:r>
      <w:r>
        <w:t xml:space="preserve">, de 14 de marzo de 2013; caso </w:t>
      </w:r>
      <w:r w:rsidRPr="00AC56D6">
        <w:rPr>
          <w:i/>
        </w:rPr>
        <w:t>Couderc Et Hachette Filipacchi Associés c Francia</w:t>
      </w:r>
      <w:r>
        <w:t xml:space="preserve">, de 12 de junio de 2014). Creo que, en este sentido, es paradigmática la siguiente cita de la STEDH caso </w:t>
      </w:r>
      <w:r w:rsidRPr="00AC56D6">
        <w:rPr>
          <w:i/>
        </w:rPr>
        <w:t>Couderc Et Hachette Filipacchi Associés c Francia</w:t>
      </w:r>
      <w:r>
        <w:t>, de 12 de junio de 2014: “El Tribunal concluye igualmente que el interés de un Estado por proteger la reputación de su propio Jefe de Estado o del de un Estado extranjero no puede justificar conferir a este último un privilegio o una protección especiales frente al derecho a informar y a expresar opiniones sobre ellos. Pensar otra cosa no se conciliaría con la práctica y la concepción política actual” (§ 58).</w:t>
      </w:r>
    </w:p>
    <w:p w:rsidR="00AC56D6" w:rsidRDefault="00AC56D6" w:rsidP="00AC56D6">
      <w:pPr>
        <w:pStyle w:val="TextoNormal"/>
      </w:pPr>
    </w:p>
    <w:p w:rsidR="00AC56D6" w:rsidRDefault="00AC56D6" w:rsidP="00AC56D6">
      <w:pPr>
        <w:pStyle w:val="TextoNormal"/>
      </w:pPr>
      <w:r>
        <w:t xml:space="preserve">Esta jurisprudencia ha sido ampliada a aquellos casos, como es el de una monarquía constitucional o determinadas repúblicas, en las que el papel que juega el Monarca o el Jefe del Estado es de neutralidad política (así, SSTEDH caso </w:t>
      </w:r>
      <w:r w:rsidRPr="00AC56D6">
        <w:rPr>
          <w:i/>
        </w:rPr>
        <w:t>Pakdemírlí c Turquía</w:t>
      </w:r>
      <w:r>
        <w:t xml:space="preserve">, de 22 de febrero de 2005; o caso </w:t>
      </w:r>
      <w:r w:rsidRPr="00AC56D6">
        <w:rPr>
          <w:i/>
        </w:rPr>
        <w:t>Otegi Mondragón c España</w:t>
      </w:r>
      <w:r>
        <w:t xml:space="preserve">, de 15 de marzo de 2011). Así, la citada STEDH caso </w:t>
      </w:r>
      <w:r w:rsidRPr="00AC56D6">
        <w:rPr>
          <w:i/>
        </w:rPr>
        <w:t>Otegi Mondragón c España</w:t>
      </w:r>
      <w:r>
        <w:t xml:space="preserve"> ha proclamado, en relación con una previa condena por injurias al Rey del art. 490.3 CP, que “[e]l Tribunal considera que el hecho de que el Rey ocupe una posición de neutralidad en el debate político, una posición de árbitro y símbolo de la unidad del Estado, no podría ponerlo al abrigo de toda crítica en el ejercicio de sus funciones oficiales o —como en el caso— como representante del Estado que simboliza, en particular para los que rechazan legítimamente las estructuras constitucionales de este Estado, incluido su régimen monárquico” (§ 56).</w:t>
      </w:r>
    </w:p>
    <w:p w:rsidR="00AC56D6" w:rsidRDefault="00AC56D6" w:rsidP="00AC56D6">
      <w:pPr>
        <w:pStyle w:val="TextoNormal"/>
      </w:pPr>
    </w:p>
    <w:p w:rsidR="00AC56D6" w:rsidRDefault="00AC56D6" w:rsidP="00AC56D6">
      <w:pPr>
        <w:pStyle w:val="TextoNormal"/>
      </w:pPr>
      <w:r>
        <w:t xml:space="preserve">En conclusión, una valoración intelectiva de los hechos declarados probados en la vía judicial previa solo permite concluir que la finalidad predominantemente política del mensaje que se lanzaba con la conducta desarrollada por los recurrentes no comportó, a pesar </w:t>
      </w:r>
      <w:r>
        <w:lastRenderedPageBreak/>
        <w:t>de su hostilidad a la institución monárquica, la difusión de un discurso de incitación a la violencia contra la Corona o sus titulares ni expresó amenaza alguna contra ellos. Y, en esa medida, al tratarse de un mero acto de rechazo hacia la institución monárquica, constitucionalmente protegido, no puede legitimar por sí solo ninguna restricción del ejercicio de la libertad de expresión mediante la imposición de una sanción penal.</w:t>
      </w:r>
    </w:p>
    <w:p w:rsidR="00AC56D6" w:rsidRDefault="00AC56D6" w:rsidP="00AC56D6">
      <w:pPr>
        <w:pStyle w:val="TextoNormal"/>
      </w:pPr>
    </w:p>
    <w:p w:rsidR="00AC56D6" w:rsidRDefault="00AC56D6" w:rsidP="00AC56D6">
      <w:pPr>
        <w:pStyle w:val="TextoNormal"/>
      </w:pPr>
      <w:r>
        <w:t>II. Una condena frente a la libertad de expresión incoherente con el interés protegido por el tipo penal.</w:t>
      </w:r>
    </w:p>
    <w:p w:rsidR="00AC56D6" w:rsidRDefault="00AC56D6" w:rsidP="00AC56D6">
      <w:pPr>
        <w:pStyle w:val="TextoNormal"/>
      </w:pPr>
    </w:p>
    <w:p w:rsidR="00AC56D6" w:rsidRDefault="00AC56D6" w:rsidP="00AC56D6">
      <w:pPr>
        <w:pStyle w:val="TextoNormal"/>
      </w:pPr>
      <w:r>
        <w:t>7. El discurso del odio, en los términos expuestos y ya criticados, ha sido el argumento utilizado por la opinión mayoritaria para justificar que la conducta de los recurrentes supuso un ejercicio del derecho a la libertad de expresión incurso en extralimitación y, por tanto, que resultaba legítima la restricción de este derecho.</w:t>
      </w:r>
    </w:p>
    <w:p w:rsidR="00AC56D6" w:rsidRDefault="00AC56D6" w:rsidP="00AC56D6">
      <w:pPr>
        <w:pStyle w:val="TextoNormal"/>
      </w:pPr>
    </w:p>
    <w:p w:rsidR="00AC56D6" w:rsidRDefault="00AC56D6" w:rsidP="00AC56D6">
      <w:pPr>
        <w:pStyle w:val="TextoNormal"/>
      </w:pPr>
      <w:r>
        <w:t>Pues bien, al margen de mi discrepancia ampliamente desarrollada respecto de esa conclusión, todavía debo incidir en una segunda cuestión sobre la que disiento de la opinión mayoritaria. Estimo que en esta posición no se ha ponderado adecuadamente que lo enjuiciado en este proceso constitucional no era la conducta de los recurrentes, sino la reacción estatal frente a ella, lo que ha desfigurado, hasta hacerlo irreconocible, el juicio de constitucionalidad que hubiera sido preciso realizar. Por tanto, debo detenerme en unas breves reflexiones sobre lo que supone la reacción penal frente al ejercicio del derecho a la libertad de expresión y el alcance revisor de un tribunal de garantías ante este tipo de supuestos y las disfunciones que genera la resolución de este Tribunal.</w:t>
      </w:r>
    </w:p>
    <w:p w:rsidR="00AC56D6" w:rsidRDefault="00AC56D6" w:rsidP="00AC56D6">
      <w:pPr>
        <w:pStyle w:val="TextoNormal"/>
      </w:pPr>
    </w:p>
    <w:p w:rsidR="00AC56D6" w:rsidRDefault="00AC56D6" w:rsidP="00AC56D6">
      <w:pPr>
        <w:pStyle w:val="TextoNormal"/>
      </w:pPr>
      <w:r>
        <w:t>8. La opinión mayoritaria, siguiendo una doctrina jurisprudencial que comparto plenamente, acepta que el análisis de constitucionalidad que debe realizar este Tribunal bajo la invocación de derecho a la libertad de expresión no se circunscribe a examinar la razonabilidad de la motivación de la resolución judicial. Debe resolver, con plena autonomía, el eventual conflicto entre los derechos e intereses constitucionales afectados atendiendo al contenido que corresponde a cada uno de ellos, aunque para este propósito sea preciso utilizar criterios distintos a los aplicados por los órganos judiciales.</w:t>
      </w:r>
    </w:p>
    <w:p w:rsidR="00AC56D6" w:rsidRDefault="00AC56D6" w:rsidP="00AC56D6">
      <w:pPr>
        <w:pStyle w:val="TextoNormal"/>
      </w:pPr>
    </w:p>
    <w:p w:rsidR="00AC56D6" w:rsidRDefault="00AC56D6" w:rsidP="00AC56D6">
      <w:pPr>
        <w:pStyle w:val="TextoNormal"/>
      </w:pPr>
      <w:r>
        <w:t>Esta autonomía —respetando los hechos declarados probados, tal como exige el art. 44.1 b) LOTC— está, sin embargo, limitada también por la propia naturaleza de la resolución judicial que da lugar al recurso de amparo. A esos efectos, no puede obviarse que el objeto de impugnación en este recurso es una condena penal por injurias al Rey y a sus familiares. En el Voto particular que formulé a la STC 65/2015, de 13 de abril, expuse con amplitud que en los supuestos en que el Estado reacciona recurriendo al derecho penal frente a conductas que considera un ejercicio de la libertad de expresión abusivo o incurso en extralimitación, el análisis constitucional no puede limitarse a una mera ponderación del eventual conflicto entre el contenido de este derecho fundamental y el de los valores o intereses constitucionales que legitiman su restricción. En tales casos, es necesario que se escrute la legitimidad constitucional de la reacción penal del Estado para la protección de esos valores o intereses que se pretenden salvaguardar con la restricción de la libertad de expresión.</w:t>
      </w:r>
    </w:p>
    <w:p w:rsidR="00AC56D6" w:rsidRDefault="00AC56D6" w:rsidP="00AC56D6">
      <w:pPr>
        <w:pStyle w:val="TextoNormal"/>
      </w:pPr>
    </w:p>
    <w:p w:rsidR="00AC56D6" w:rsidRDefault="00AC56D6" w:rsidP="00AC56D6">
      <w:pPr>
        <w:pStyle w:val="TextoNormal"/>
      </w:pPr>
      <w:r>
        <w:t>En aquel supuesto, puse en relación la legitimidad constitucional de la reacción penal con la exigencia de efectuar un juicio de necesidad y de proporcionalidad en que se ponde</w:t>
      </w:r>
      <w:r>
        <w:lastRenderedPageBreak/>
        <w:t>rara si el eventual exceso o abuso en el ejercicio de la libertad de expresión era de tal magnitud —y la lesión correlativa que generaba en ese otro valor o interés constitucional era de tal importancia— que resultaba justificado acudir a la imposición de penas privativas de libertad o multas penales. Ahora debo añadir que, dentro de esa labor de escrutinio de la legitimidad constitucional de la respuesta penal que compete a este Tribunal, debe incluirse también la exigencia de que exista una línea de coherencia entre el concreto límite que este Tribunal considera que justifica la restricción de la libertad de expresión y el precepto penal por el que se ha sido condenado. Considero que esta elemental exigencia no ha sido respetada en este caso.</w:t>
      </w:r>
    </w:p>
    <w:p w:rsidR="00AC56D6" w:rsidRDefault="00AC56D6" w:rsidP="00AC56D6">
      <w:pPr>
        <w:pStyle w:val="TextoNormal"/>
      </w:pPr>
    </w:p>
    <w:p w:rsidR="00AC56D6" w:rsidRDefault="00AC56D6" w:rsidP="00AC56D6">
      <w:pPr>
        <w:pStyle w:val="TextoNormal"/>
      </w:pPr>
      <w:r>
        <w:t>Me explico. El art. 20.4 CE establece diversos límites constitucionales a los derechos a la libertad de expresión y de información. Unos tienen que ver con intereses o derechos subjetivos —derecho al honor, a la intimidad y a la propia imagen— y otros con intereses colectivos —la protección a la juventud y a la infancia—. Cabe también fundamentar una legítima restricción del derecho a la libertad de expresión en otros intereses constitucionales, incluyendo el previsto en el art. 16.1 CE para la libertad ideológica —el mantenimiento del orden público protegido por la ley— y el que se aprecia en la opinión mayoritaria referido al “discurso del odio”. La eventual lesión de esos derechos subjetivos o intereses constitucionales legitimadores de la restricción del derecho a la libertad de expresión puede dar lugar a una reacción punitiva con los límites y en la medida en que esté previsto en la legislación sancionadora de referencia. Ahora bien, por tratarse de una respuesta punitiva, no resulta indiferente cuál sea el concreto límite que se afirma que ha traspasado la conducta enjuiciada. Es evidente que no es lo mismo entender justificada una restricción de la libertad de expresión mediante la reacción penal por lesionarse un derecho de la personalidad de una concreta persona que por resultar vulnerado un interés colectivo. Tampoco lo es cuando esa lesión se refiere al derecho al honor o la dignidad personal o cuando se refiere a su seguridad personal. En cada uno de esos supuestos los tipos sancionadores son, lógicamente, diferentes y es obligado que exista una correspondencia o conexión de coherencia entre el interés constitucional cuya protección justifica la restricción de la libertad de expresión y el que está protegido en el concreto tipo penal en que se fundamenta la reacción punitiva del Estado. A cualquiera se le alcanza que este Tribunal no puede considerar constitucionalmente aceptable una condena penal basada en que se ha lesionado el honor de un sujeto o la dignidad de una institución, cuando viene a concluir que no es el honor de ese sujeto o la dignidad de esa institución el interés constitucional que legitima la injerencia en la libertad de expresión del sujeto activo, sino su integridad física por haber sido sujeto pasivo de una incitación a que se ejerzan actos violentos contra él.</w:t>
      </w:r>
    </w:p>
    <w:p w:rsidR="00AC56D6" w:rsidRDefault="00AC56D6" w:rsidP="00AC56D6">
      <w:pPr>
        <w:pStyle w:val="TextoNormal"/>
      </w:pPr>
    </w:p>
    <w:p w:rsidR="00AC56D6" w:rsidRDefault="00AC56D6" w:rsidP="00AC56D6">
      <w:pPr>
        <w:pStyle w:val="TextoNormal"/>
      </w:pPr>
      <w:r>
        <w:t>9. Este principio de coherencia no ha sido respetado por la opinión mayoritaria y la consecuencia, a todas luces anómica y disfuncional, ha sido que se ha acabado justificando constitucionalmente una sanción penal basada en el art. 490.3 CP —por haberse lesionado un interés institucional como es el prestigio de la institución monárquica—, cuando, por el contrario, el fundamento que dicha opinión defiende como legitimador de la injerencia en el ámbito de la libertad de expresión es la incitación directa a la violencia y la expresión de una amenaza contra el Rey, lo que, en su caso, tiene su ámbito específico de protección penal en el art. 490.2 CP que regula las amenazas contra el Rey y sus familiares.</w:t>
      </w:r>
    </w:p>
    <w:p w:rsidR="00AC56D6" w:rsidRDefault="00AC56D6" w:rsidP="00AC56D6">
      <w:pPr>
        <w:pStyle w:val="TextoNormal"/>
      </w:pPr>
    </w:p>
    <w:p w:rsidR="00AC56D6" w:rsidRDefault="00AC56D6" w:rsidP="00AC56D6">
      <w:pPr>
        <w:pStyle w:val="TextoNormal"/>
      </w:pPr>
      <w:r>
        <w:t xml:space="preserve">Insisto en ello: como el objeto directo de nuestro enjuiciamiento criminal no era la conducta de los recurrentes, sino la reacción penal consistente en su condena por un delito de </w:t>
      </w:r>
      <w:r>
        <w:lastRenderedPageBreak/>
        <w:t>injurias del art. 490.3 CP, incluso aceptando que esa conducta fuera una manifestación del discurso del odio, solo se podría estar de acuerdo con la premisa de que el acto de los recurrentes supuso un ejercicio de la libertad de expresión incurso en extralimitación, pero no con la conclusión de que está justificada la concreta reacción penal que era el objeto de nuestro análisis de constitucionalidad.</w:t>
      </w:r>
    </w:p>
    <w:p w:rsidR="00AC56D6" w:rsidRDefault="00AC56D6" w:rsidP="00AC56D6">
      <w:pPr>
        <w:pStyle w:val="TextoNormal"/>
      </w:pPr>
    </w:p>
    <w:p w:rsidR="00AC56D6" w:rsidRDefault="00AC56D6" w:rsidP="00AC56D6">
      <w:pPr>
        <w:pStyle w:val="TextoNormal"/>
      </w:pPr>
      <w:r>
        <w:t>Por tanto, una posición como la defendida por la opinión mayoritaria y reflejada en la sentencia, que alteraba de manera sustancial el razonamiento en virtud del cual se justificaba la restricción de la libertad de expresión y la condena en vía judicial, hubiera debido llevar, en su caso, a la anulación de las resoluciones judiciales impugnadas.</w:t>
      </w:r>
    </w:p>
    <w:p w:rsidR="00AC56D6" w:rsidRDefault="00AC56D6" w:rsidP="00AC56D6">
      <w:pPr>
        <w:pStyle w:val="TextoNormal"/>
      </w:pPr>
    </w:p>
    <w:p w:rsidR="00AC56D6" w:rsidRDefault="00AC56D6" w:rsidP="00AC56D6">
      <w:pPr>
        <w:pStyle w:val="TextoNormal"/>
      </w:pPr>
      <w:r>
        <w:t>III. Una respuesta sancionadora desproporcionada en relación con el ejercicio de un derecho fundamental.</w:t>
      </w:r>
    </w:p>
    <w:p w:rsidR="00AC56D6" w:rsidRDefault="00AC56D6" w:rsidP="00AC56D6">
      <w:pPr>
        <w:pStyle w:val="TextoNormal"/>
      </w:pPr>
    </w:p>
    <w:p w:rsidR="00AC56D6" w:rsidRDefault="00AC56D6" w:rsidP="00AC56D6">
      <w:pPr>
        <w:pStyle w:val="TextoNormal"/>
      </w:pPr>
      <w:r>
        <w:t>10. El último de los aspectos respecto de los que discrepo de la posición de la mayoría consiste en que mantengo que, en el caso en que estuviera justificada una restricción de la libertad de expresión frente a este tipo de conducta, la respuesta estatal consistente en una reacción punitiva con una pena privativa de libertad (quince meses de prisión) sustituida por una sanción pecuniaria de 2.700 €, no resulta proporcionada.</w:t>
      </w:r>
    </w:p>
    <w:p w:rsidR="00AC56D6" w:rsidRDefault="00AC56D6" w:rsidP="00AC56D6">
      <w:pPr>
        <w:pStyle w:val="TextoNormal"/>
      </w:pPr>
    </w:p>
    <w:p w:rsidR="00AC56D6" w:rsidRDefault="00AC56D6" w:rsidP="00AC56D6">
      <w:pPr>
        <w:pStyle w:val="TextoNormal"/>
      </w:pPr>
      <w:r>
        <w:t>En efecto, este Tribunal ha establecido una serie de reglas que deben ser tomadas en consideración por los órganos judiciales penales a la hora de enjuiciar este tipo de conductas para efectuar el adecuado juicio de ponderación. Entre ellas cabe destacar que:</w:t>
      </w:r>
    </w:p>
    <w:p w:rsidR="00AC56D6" w:rsidRDefault="00AC56D6" w:rsidP="00AC56D6">
      <w:pPr>
        <w:pStyle w:val="TextoNormal"/>
      </w:pPr>
    </w:p>
    <w:p w:rsidR="00AC56D6" w:rsidRDefault="00AC56D6" w:rsidP="00AC56D6">
      <w:pPr>
        <w:pStyle w:val="TextoNormal"/>
      </w:pPr>
      <w:r>
        <w:t>(i) El eventual conflicto entre las libertades reconocidas en el art. 20 CE, de expresión e información, y otros derechos y bienes jurídicamente protegidos, no puede resolverse mediante la consideración de que sean absolutos los derechos y libertades contenidos en la Constitución, pero tampoco puede atribuirse ese carácter absoluto a las limitaciones a que han de someterse esos derechos y libertades. De ese modo, en la aplicación de los tipos penales que suponen un límite al ejercicio de las libertades de expresión e información, no cabe estimar preponderante en todo caso uno de los derechos en cuestión, protegiendo siempre la buena fama afectada, o el derecho a informar o a expresarse libremente, sino que, tomando en consideración todas las circunstancias, deberá ponderarse si la conducta enjuiciada se ha llevado a cabo dentro del ámbito protegido constitucionalmente o, por el contrario, si se ha transgredido ese ámbito, pero valorando que mientras la conducta se atenga a los fines y objetivos constitucionalmente previstos no podrá considerarse que ha afectado ilegítimamente la buena fama o el honor de una persona, o el prestigio de una institución, de modo que quepa una sanción penal al respecto (STC 105/1990, de 6 de junio, FJ 3).</w:t>
      </w:r>
    </w:p>
    <w:p w:rsidR="00AC56D6" w:rsidRDefault="00AC56D6" w:rsidP="00AC56D6">
      <w:pPr>
        <w:pStyle w:val="TextoNormal"/>
      </w:pPr>
    </w:p>
    <w:p w:rsidR="00AC56D6" w:rsidRDefault="00AC56D6" w:rsidP="00AC56D6">
      <w:pPr>
        <w:pStyle w:val="TextoNormal"/>
      </w:pPr>
      <w:r>
        <w:t>(ii) La determinación de que una conducta se ha desarrollado dentro del ámbito protegido constitucionalmente por la libertad de expresión ha de realizarse teniendo presente el haz de garantías y posibilidades de actuación o resistencia que otorga, de modo tal que no puede incluirse entre los supuestos sancionables aquellos que son un legítimo ejercicio de la libertad de expresión, ya que los hechos probados no pueden ser a un mismo tiempo valorados como actos de ejercicio de un derecho fundamental y como conductas constitutivas de un delito (STC 29/2009, de 26 de enero, FJ 3).</w:t>
      </w:r>
    </w:p>
    <w:p w:rsidR="00AC56D6" w:rsidRDefault="00AC56D6" w:rsidP="00AC56D6">
      <w:pPr>
        <w:pStyle w:val="TextoNormal"/>
      </w:pPr>
    </w:p>
    <w:p w:rsidR="00AC56D6" w:rsidRDefault="00AC56D6" w:rsidP="00AC56D6">
      <w:pPr>
        <w:pStyle w:val="TextoNormal"/>
      </w:pPr>
      <w:r>
        <w:lastRenderedPageBreak/>
        <w:t>(iii) Incluso en el caso en que se concluyera que la conducta no constituye el legítimo ejercicio del derecho fundamental y aun cuando esté prevista legítimamente como delito en un precepto penal, no puede reaccionarse sancionando penalmente esa conducta sin realizar un previo juicio de proporcionalidad (STC 110/2000, de 5 de mayo, FJ 5). El enjuiciamiento que debe desarrollar el juzgador penal en relación con este tipo de delitos debe tener también muy presente el criterio de la proporcionalidad, que tiene especial aplicación cuando se trata de proteger derechos fundamentales frente a limitaciones o constricciones, procedan estas de normas o de resoluciones singulares. Conforme a este principio, debe negarse legitimidad constitucional a las limitaciones o sanciones que incidan en el ejercicio de los derechos fundamentales de forma poco comprensible de acuerdo con una ponderación razonada y proporcionada de los mismos y exigir que toda acción penalmente deslegitimadora del ejercicio de un derecho fundamental, adoptada en protección de otro derecho fundamental que se enfrente a él, sea equilibradora de ambos derechos y proporcionada con el contenido y finalidad de cada uno de ellos (STC 85/1992, de 8 de junio, FJ 4). La dimensión objetiva de los derechos fundamentales y su carácter de elementos esenciales del ordenamiento jurídico permiten afirmar que no basta con la constatación de que la conducta enjuiciada sobrepasa las fronteras de la expresión constitucionalmente protegida, sino que ha de garantizarse que la reacción frente a dicha extralimitación no pueda producir por su severidad un sacrificio innecesario o desproporcionado de la libertad de la que privan, o un efecto disuasorio o desalentador del ejercicio de los derechos fundamentales implicados en la conducta sancionada (SSTC 2/2001, de 15 de enero, FJ 3; o 108/2008, de 22 de septiembre, FJ 3). En última instancia, atendiendo al carácter especialmente aflictivo de una sanción penal, tampoco cabe concebir un sistema en que solo conviva el terreno de lo constitucionalmente protegido y el de lo punible penalmente (STC 104/2011, de 20 de junio, FJ 6).</w:t>
      </w:r>
    </w:p>
    <w:p w:rsidR="00AC56D6" w:rsidRDefault="00AC56D6" w:rsidP="00AC56D6">
      <w:pPr>
        <w:pStyle w:val="TextoNormal"/>
      </w:pPr>
    </w:p>
    <w:p w:rsidR="00AC56D6" w:rsidRDefault="00AC56D6" w:rsidP="00AC56D6">
      <w:pPr>
        <w:pStyle w:val="TextoNormal"/>
      </w:pPr>
      <w:r>
        <w:t>(iv) El instrumento penal solo será constitucionalmente lícito cuando, tras realizar de una manera adecuada los juicios de ponderación y proporcionalidad anteriormente señalados, pueda concluirse que la conducta enjuiciada se desarrolló bajo la sola apariencia del ejercicio de un derecho fundamental, habida cuenta de que, por su contenido, por la finalidad a la que se orienta o por los medios empleados, suponía desnaturalizar el ejercicio del derecho y se situaba, objetivamente, al margen del contenido propio del mismo (STC 185/2003, de 27 de octubre, FJ 5).</w:t>
      </w:r>
    </w:p>
    <w:p w:rsidR="00AC56D6" w:rsidRDefault="00AC56D6" w:rsidP="00AC56D6">
      <w:pPr>
        <w:pStyle w:val="TextoNormal"/>
      </w:pPr>
    </w:p>
    <w:p w:rsidR="00AC56D6" w:rsidRDefault="00AC56D6" w:rsidP="00AC56D6">
      <w:pPr>
        <w:pStyle w:val="TextoNormal"/>
      </w:pPr>
      <w:r>
        <w:t>El hecho de que la sanción privativa de libertad fuera sustituida por una multa penal de 2.700 € no resulta significativo a los efectos del necesario juicio de necesidad y proporcionalidad, ya que, como ha reiterado el Tribunal Europeo de Derechos Humanos, lo relevante es que la utilización y el recurso a la máxima expresión del poder punitivo del Estado determina un efecto disuasorio en el ejercicio de estos derechos fundamentales (así, STEDH cas</w:t>
      </w:r>
      <w:r w:rsidRPr="00AC56D6">
        <w:rPr>
          <w:i/>
        </w:rPr>
        <w:t>o Morice c Franc</w:t>
      </w:r>
      <w:r>
        <w:t>ia, de 23 de abril de 2015, § 127).</w:t>
      </w:r>
    </w:p>
    <w:p w:rsidR="00AC56D6" w:rsidRDefault="00AC56D6" w:rsidP="00AC56D6">
      <w:pPr>
        <w:pStyle w:val="TextoNormal"/>
      </w:pPr>
    </w:p>
    <w:p w:rsidR="00AC56D6" w:rsidRDefault="00AC56D6" w:rsidP="00AC56D6">
      <w:pPr>
        <w:pStyle w:val="TextoNormal"/>
      </w:pPr>
      <w:r>
        <w:t xml:space="preserve">11. No voy a volver a insistir en que la conducta de los demandantes se desarrolló en el contexto de las libertades ideológicas y de expresión y en que con ella no se incidió de manera directa en ningún derecho constitucional subjetivo del titular de la jefatura del Estado o en el prestigio de la institución. En ese sentido, recurrir al derecho penal para sancionar el contenido comunicativo del acto simbólico desarrollado es una medida innecesaria y desproporcionada en una sociedad democrática. Entre las posibles limitaciones constitucionales que pueden imponerse al ejercicio de unos derechos tan vinculados al sistema democrático como son las libertades ideológica y de expresión no cabe colocar la mera y simple </w:t>
      </w:r>
      <w:r>
        <w:lastRenderedPageBreak/>
        <w:t>defensa de las instituciones, aunque sean básicas en la actual concepción constitucional del Estado, frente a las más aceradas críticas, máxime tomando en consideración, como ya se ha afirmado, que nuestra Constitución no se configura como una democracia militante (STC 235/2007, de 7 de noviembre, FJ 4).</w:t>
      </w:r>
    </w:p>
    <w:p w:rsidR="00AC56D6" w:rsidRDefault="00AC56D6" w:rsidP="00AC56D6">
      <w:pPr>
        <w:pStyle w:val="TextoNormal"/>
      </w:pPr>
    </w:p>
    <w:p w:rsidR="00AC56D6" w:rsidRDefault="00AC56D6" w:rsidP="00AC56D6">
      <w:pPr>
        <w:pStyle w:val="TextoNormal"/>
      </w:pPr>
      <w:r>
        <w:t>De ese modo, la única y eventual limitación oponible al ejercicio de estos derechos por parte de los recurrentes no podría venir derivada del hecho de la idea u opinión que se manifestaba, sino solo de la forma en que se hizo. A ese respecto, como ya se ha expuesto, una de las limitaciones constitucionales a cualquier manifestación de las libertades ideológica y de expresión es la necesaria para el mantenimiento del orden público protegido por la ley. Desde esa perspectiva, el relato de hechos probados recogido en las resoluciones impugnadas recoge determinados elementos que, con independencia del inocuo contenido del mensaje que se pretendía transmitir por los demandantes con su conducta, hipotéticamente podrían haber sido valorados como susceptibles de poner en riesgo la seguridad de bienes ajenos y personas, como son las circunstancia de que se portara líquido inflamable y una antorcha encendida y que se prendiera fuego en el marco de una alta concentración de personas a una foto que se dice de grandes dimensiones. Todas estas circunstancias sobre el modo en que se desarrolló el acto comunicativo hubieran quizá servido, hablando en términos hipotéticos, para su eventual subsunción en algún tipo sancionador penal o administrativo de gravedad y naturaleza muy distinta.</w:t>
      </w:r>
    </w:p>
    <w:p w:rsidR="00AC56D6" w:rsidRDefault="00AC56D6" w:rsidP="00AC56D6">
      <w:pPr>
        <w:pStyle w:val="TextoNormal"/>
      </w:pPr>
    </w:p>
    <w:p w:rsidR="00AC56D6" w:rsidRDefault="00AC56D6" w:rsidP="00AC56D6">
      <w:pPr>
        <w:pStyle w:val="TextoNormal"/>
      </w:pPr>
      <w:r>
        <w:t>Ahora bien, como ya se ha expuesto, la función que debe desarrollar un tribunal de garantías constitucionales en este tipo de supuestos de reacción penal ante el ejercicio supuestamente incurso en extralimitación del derecho a la libertad de expresión no puede ser la búsqueda imaginativa de cualquier límite hipotéticamente concurrente que no haya sido el que concretamente justificaba la reacción penal y fue objeto de contradicción en el proceso de instancia. Por tanto, al igual que antes ha sucedido con el discurso del odio, no merece la pena insistir en una opción o posibilidad ajena al proceso penal seguido, a los principios de contradicción y defensa a los que este está sujeto, y, por lo tanto, a nuestro enjuiciamiento.</w:t>
      </w:r>
    </w:p>
    <w:p w:rsidR="00AC56D6" w:rsidRDefault="00AC56D6" w:rsidP="00AC56D6">
      <w:pPr>
        <w:pStyle w:val="TextoNormal"/>
      </w:pPr>
    </w:p>
    <w:p w:rsidR="00AC56D6" w:rsidRDefault="00AC56D6" w:rsidP="00AC56D6">
      <w:pPr>
        <w:pStyle w:val="TextoNormal"/>
      </w:pPr>
      <w:r>
        <w:t>12. En conclusión, al no constar la demostración de la concurrencia de circunstancias aptas para probar el exceso en la conducta expresiva de los recurrentes ni desde la perspectiva del honor o prestigio de la Corona o su titular —como ha sido sostenido en vía judicial— ni desde la perspectiva del “discurso del odio” —como sostiene la posición de la mayoría en que se funda la Sentencia— debe concluirse que la condena penal de los recurrentes por la conducta enjuiciada supuso una decisión judicial ilegítimamente restrictiva del ejercicio de las libertades ideológica y de expresión, por innecesaria y desproporcionada. Y, por tanto, lo procedente hubiera sido otorgar el amparo solicitado y la anulación de las resoluciones judiciales recurridas.</w:t>
      </w:r>
    </w:p>
    <w:p w:rsidR="00AC56D6" w:rsidRDefault="00AC56D6" w:rsidP="00AC56D6">
      <w:pPr>
        <w:pStyle w:val="TextoNormal"/>
      </w:pPr>
    </w:p>
    <w:p w:rsidR="00AC56D6" w:rsidRDefault="00AC56D6" w:rsidP="00AC56D6">
      <w:pPr>
        <w:pStyle w:val="TextoNormal"/>
      </w:pPr>
      <w:r>
        <w:t>Madrid, a veintidós de julio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34" w:name="SENTENCIA_2015_178"/>
      <w:r>
        <w:lastRenderedPageBreak/>
        <w:t>SENTENCIA 178/2015, de 7 de septiembre de 2015</w:t>
      </w:r>
    </w:p>
    <w:bookmarkEnd w:id="34"/>
    <w:p w:rsidR="00AC56D6" w:rsidRDefault="00AC56D6" w:rsidP="00AC56D6">
      <w:pPr>
        <w:pStyle w:val="TtuloResolucin"/>
      </w:pPr>
      <w:r>
        <w:t>Sala Segunda</w:t>
      </w:r>
    </w:p>
    <w:p w:rsidR="00AC56D6" w:rsidRDefault="00AC56D6" w:rsidP="00AC56D6">
      <w:pPr>
        <w:pStyle w:val="TtuloBOE"/>
      </w:pPr>
      <w:r>
        <w:t>(BOE núm. 245, de 13 de octubre de 2015)</w:t>
      </w:r>
    </w:p>
    <w:p w:rsidR="00AC56D6" w:rsidRDefault="00AC56D6" w:rsidP="00AC56D6">
      <w:pPr>
        <w:pStyle w:val="TextoNormalCentrado"/>
      </w:pPr>
      <w:r>
        <w:t>ECLI:ES:TC:2015:178</w:t>
      </w:r>
    </w:p>
    <w:p w:rsidR="00AC56D6" w:rsidRDefault="00AC56D6" w:rsidP="00AC56D6">
      <w:pPr>
        <w:pStyle w:val="TextoNormalCentrado"/>
      </w:pPr>
    </w:p>
    <w:p w:rsidR="00AC56D6" w:rsidRDefault="00AC56D6" w:rsidP="00AC56D6">
      <w:pPr>
        <w:pStyle w:val="SntesisDescriptiva"/>
      </w:pPr>
      <w:r>
        <w:t>Conflicto positivo de competencia 974-2010. Sala Segunda. Sentencia 178/2015, de 7 de septiembre de 2015. Planteado por la Xunta de Galicia en relación con la resolución del Servicio Público de Empleo Estatal de 22 de septiembre de 2009, por la que se convoca la concesión de subvenciones para la realización de programas específicos de formación e inserción laboral a favor de los jóvenes desempleados en situación o con riesgo de exclusión social.</w:t>
      </w:r>
    </w:p>
    <w:p w:rsidR="00AC56D6" w:rsidRDefault="00AC56D6" w:rsidP="00AC56D6">
      <w:pPr>
        <w:pStyle w:val="SntesisDescriptiva"/>
      </w:pPr>
    </w:p>
    <w:p w:rsidR="00AC56D6" w:rsidRDefault="00AC56D6" w:rsidP="00AC56D6">
      <w:pPr>
        <w:pStyle w:val="SntesisAnaltica"/>
      </w:pPr>
      <w:r>
        <w:t>Competencias en materia laboral y de seguridad social: atribución de competencias de gestión de subvenciones al Servicio Público de Empleo Estatal que vulnera las competencias autonómicas (STC 88/2014). Votos particulares.</w:t>
      </w:r>
    </w:p>
    <w:p w:rsidR="00AC56D6" w:rsidRDefault="00AC56D6" w:rsidP="00AC56D6">
      <w:pPr>
        <w:pStyle w:val="SntesisAnaltica"/>
      </w:pPr>
    </w:p>
    <w:p w:rsidR="00AC56D6" w:rsidRDefault="00AC56D6" w:rsidP="00AC56D6">
      <w:pPr>
        <w:pStyle w:val="Extracto"/>
      </w:pPr>
      <w:r>
        <w:t>1.</w:t>
      </w:r>
      <w:r>
        <w:tab/>
        <w:t>La competencia en materia de coordinación no autoriza al Estado para atraer hacia su órbita de actividad cualquier competencia de las Comunidades Autónomas por el mero hecho de que su ejercicio pueda incidir en el desarrollo de las competencias estatales sobre determinadas materias. La coordinación no supone una sustracción o menoscabo de las competencias de las entidades sometidas a la misma: antes bien, presupone, lógicamente, la titularidad de las competencias en favor de la entidad coordinada (STC 27/1987) [FJ 9].</w:t>
      </w:r>
    </w:p>
    <w:p w:rsidR="00AC56D6" w:rsidRDefault="00AC56D6" w:rsidP="00AC56D6">
      <w:pPr>
        <w:pStyle w:val="Extracto"/>
      </w:pPr>
    </w:p>
    <w:p w:rsidR="00AC56D6" w:rsidRDefault="00AC56D6" w:rsidP="00AC56D6">
      <w:pPr>
        <w:pStyle w:val="Extracto"/>
      </w:pPr>
      <w:r>
        <w:t>2.</w:t>
      </w:r>
      <w:r>
        <w:tab/>
        <w:t>La competencia de coordinación no otorga a su titular competencias que no ostente, especialmente facultades de gestión complementarias, de suerte que, implicando lógicamente su ejercicio la existencia de competencias autonómicas que deben ser coordinadas, en ningún caso puede aquél suponer la invasión y el vaciamiento de las mismas (STC 194/2004) [FJ 9].</w:t>
      </w:r>
    </w:p>
    <w:p w:rsidR="00AC56D6" w:rsidRDefault="00AC56D6" w:rsidP="00AC56D6">
      <w:pPr>
        <w:pStyle w:val="Extracto"/>
      </w:pPr>
    </w:p>
    <w:p w:rsidR="00AC56D6" w:rsidRDefault="00AC56D6" w:rsidP="00AC56D6">
      <w:pPr>
        <w:pStyle w:val="Extracto"/>
      </w:pPr>
      <w:r>
        <w:t>3.</w:t>
      </w:r>
      <w:r>
        <w:tab/>
        <w:t>Lo que el Estado debió hacer fue instrumentar mecanismos que permitieran a las Comunidades Autónomas afectadas realizar la gestión de las ayudas, integrando su actividad del modo que resultase más adecuado, sin que a este Tribunal le corresponda señalar ni el alcance ni la intensidad de los mecanismos que deben ponerse en marcha al efecto (STC 25/2015) [FJ 8].</w:t>
      </w:r>
    </w:p>
    <w:p w:rsidR="00AC56D6" w:rsidRDefault="00AC56D6" w:rsidP="00AC56D6">
      <w:pPr>
        <w:pStyle w:val="Extracto"/>
      </w:pPr>
    </w:p>
    <w:p w:rsidR="00AC56D6" w:rsidRDefault="00AC56D6" w:rsidP="00AC56D6">
      <w:pPr>
        <w:pStyle w:val="Extracto"/>
      </w:pPr>
      <w:r>
        <w:t>4.</w:t>
      </w:r>
      <w:r>
        <w:tab/>
        <w:t>La movilidad no es, por sí misma, una razón suficiente para proceder a la centralización total de la regulación del régimen de otorgamiento y de la gestión de tales ayudas, pues el ejercicio de las competencias de gestión de las mismas por parte de la Comunidad Autónoma cabría siempre en la medida en que el programa se ejecute en su propio territorio (STC 106/1987; STC 25/2015) [FJ 8].</w:t>
      </w:r>
    </w:p>
    <w:p w:rsidR="00AC56D6" w:rsidRDefault="00AC56D6" w:rsidP="00AC56D6">
      <w:pPr>
        <w:pStyle w:val="Extracto"/>
      </w:pPr>
    </w:p>
    <w:p w:rsidR="00AC56D6" w:rsidRDefault="00AC56D6" w:rsidP="00AC56D6">
      <w:pPr>
        <w:pStyle w:val="Extracto"/>
      </w:pPr>
      <w:r>
        <w:t>5.</w:t>
      </w:r>
      <w:r>
        <w:tab/>
        <w:t>Tampoco el hecho de que las entidades beneficiarias de las ayudas vengan desarrollando su actividad, o lo tengan previsto en su título constitutivo, en distintas Comunidades Autónomas no puede determinar, por sí solo, la centralización de la regulación y la gestión de aquéllas [FJ 7].</w:t>
      </w:r>
    </w:p>
    <w:p w:rsidR="00AC56D6" w:rsidRDefault="00AC56D6" w:rsidP="00AC56D6">
      <w:pPr>
        <w:pStyle w:val="Extracto"/>
      </w:pPr>
    </w:p>
    <w:p w:rsidR="00AC56D6" w:rsidRDefault="00AC56D6" w:rsidP="00AC56D6">
      <w:pPr>
        <w:pStyle w:val="Extracto"/>
      </w:pPr>
      <w:r>
        <w:lastRenderedPageBreak/>
        <w:t>6.</w:t>
      </w:r>
      <w:r>
        <w:tab/>
        <w:t>Si la ejecución puede tener un alcance supraterritorial, lo que compete al Estado es fijar con la debida precisión los puntos de conexión que permitan la ejecución autonómica de las medidas, en lugar de asumir por sólo esta circunstancia la gestión de las actuaciones de que se trate [FJ 7].</w:t>
      </w:r>
    </w:p>
    <w:p w:rsidR="00AC56D6" w:rsidRDefault="00AC56D6" w:rsidP="00AC56D6">
      <w:pPr>
        <w:pStyle w:val="Extracto"/>
      </w:pPr>
    </w:p>
    <w:p w:rsidR="00AC56D6" w:rsidRDefault="00AC56D6" w:rsidP="00AC56D6">
      <w:pPr>
        <w:pStyle w:val="Extracto"/>
      </w:pPr>
      <w:r>
        <w:t>7.</w:t>
      </w:r>
      <w:r>
        <w:tab/>
        <w:t>Si bien el desplazamiento de las competencias autonómicas y su asunción por el Estado en supuestos de supraterritorialidad no está constitucionalmente impedida, sí que reviste un carácter excepcional, pues la regla general, en el caso de competencias ejecutivas, será su asunción por las Comunidades Autónomas en los casos en los que, conforme a la delimitación de competencias en la materia de que se trate, éstas ostenten las competencias de dicha naturaleza. La concurrencia de la excepcionalidad justificativa de la asunción de competencias ejecutivas por el Estado habrá de ser valorada, por tanto, en relación a cada caso concreto [FJ 6].</w:t>
      </w:r>
    </w:p>
    <w:p w:rsidR="00AC56D6" w:rsidRDefault="00AC56D6" w:rsidP="00AC56D6">
      <w:pPr>
        <w:pStyle w:val="Extracto"/>
      </w:pPr>
    </w:p>
    <w:p w:rsidR="00AC56D6" w:rsidRDefault="00AC56D6" w:rsidP="00AC56D6">
      <w:pPr>
        <w:pStyle w:val="Extracto"/>
      </w:pPr>
      <w:r>
        <w:t>8.</w:t>
      </w:r>
      <w:r>
        <w:tab/>
        <w:t>La gestión de los fondos corresponde a las Comunidades Autónomas de manera que, por regla general, no pueden consignarse a favor de un órgano de la Administración del Estado u organismo intermediario de éste;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 [FJ 5].</w:t>
      </w:r>
    </w:p>
    <w:p w:rsidR="00AC56D6" w:rsidRDefault="00AC56D6" w:rsidP="00AC56D6">
      <w:pPr>
        <w:pStyle w:val="Extracto"/>
      </w:pPr>
    </w:p>
    <w:p w:rsidR="00AC56D6" w:rsidRDefault="00AC56D6" w:rsidP="00AC56D6">
      <w:pPr>
        <w:pStyle w:val="Extracto"/>
      </w:pPr>
      <w:r>
        <w:t>9.</w:t>
      </w:r>
      <w:r>
        <w:tab/>
        <w:t>Debe estarse a la normativa general que para cada tipo de subvención dicte el Estado, al objeto de precisar si los condicionamientos que para la gestión de las subvenciones que en la misma se determinan se encuadran dentro de los límites del título competencial que ampara la intervención estatal o, al contrario, van más allá del alcance de dicho título, invadiendo las competencias autonómicas sobre la materia subvencionada (STC 36/2012; STC 96/1990) [FJ 4].</w:t>
      </w:r>
    </w:p>
    <w:p w:rsidR="00AC56D6" w:rsidRDefault="00AC56D6" w:rsidP="00AC56D6">
      <w:pPr>
        <w:pStyle w:val="Extracto"/>
      </w:pPr>
    </w:p>
    <w:p w:rsidR="00AC56D6" w:rsidRDefault="00AC56D6" w:rsidP="00AC56D6">
      <w:pPr>
        <w:pStyle w:val="Extracto"/>
      </w:pPr>
      <w:r>
        <w:t>10.</w:t>
      </w:r>
      <w:r>
        <w:tab/>
        <w:t>La legitimidad constitucional del régimen normativo y de gestión de las subvenciones fijado por el Estado depende de las competencias que el Estado posea en la materia de que se trate, ya que la subvención no es un concepto que delimite competencias (STC 13/1992)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lastRenderedPageBreak/>
        <w:t>SENTENCIA</w:t>
      </w:r>
    </w:p>
    <w:p w:rsidR="00AC56D6" w:rsidRDefault="00AC56D6" w:rsidP="00AC56D6">
      <w:pPr>
        <w:pStyle w:val="TextoNormalCentrado"/>
        <w:keepNext/>
      </w:pPr>
    </w:p>
    <w:p w:rsidR="00AC56D6" w:rsidRDefault="00AC56D6" w:rsidP="00AC56D6">
      <w:pPr>
        <w:pStyle w:val="TextoNormal"/>
      </w:pPr>
      <w:r>
        <w:t>En el conflicto positivo de competencia núm. 974-2010, promovido por la Xunta de Galicia en relación con la Resolución de 22 de septiembre de 2009, del Servicio Público de Empleo Estatal, por la que se convoca la concesión de subvenciones para la realización de programas específicos de formación e inserción laboral a favor de los jóvenes desempleados en situación o con riesgo de exclusión social. Ha comparecido y formulado alegaciones el Abogado del Estado. Ha sido Ponente la Magistrada doña Adela Asua Batarrita,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día 5 de febrero de 2010 tuvo entrada en el Registro General de este Tribunal Constitucional, escrito del Letrado de la Xunta de Galicia, por el que, en la representación que legalmente ostenta, interpone conflicto positivo de competencia en relación con la resolución de 22 de septiembre de 2009, del Servicio Público de Empleo Estatal, por la que se convoca la concesión de subvenciones para la realización de programas específicos de formación e inserción laboral a favor de jóvenes desempleados en situación o con riesgo de exclusión social.</w:t>
      </w:r>
    </w:p>
    <w:p w:rsidR="00AC56D6" w:rsidRDefault="00AC56D6" w:rsidP="00AC56D6">
      <w:pPr>
        <w:pStyle w:val="TextoNormal"/>
      </w:pPr>
    </w:p>
    <w:p w:rsidR="00AC56D6" w:rsidRDefault="00AC56D6" w:rsidP="00AC56D6">
      <w:pPr>
        <w:pStyle w:val="TextoNormal"/>
      </w:pPr>
      <w:r>
        <w:t>El Letrado de la Xunta de Galicia dirige el conflicto contra la totalidad de la resolución impugnada, solicitando en el suplico que se “dicte sentencia por la que se declare que se han vulnerado las competencias de la Comunidad Autónoma de Galicia, en concreto las derivadas del art. 29.1 del Estatuto de Autonomía de Galicia, y que, tras la anulación de la citada resolución, se reconozca que la competencia corresponde a la Comunidad Autónoma de Galicia, disponiéndose que ese libramiento de fondos se debe ajustar a lo recogido en la letra c) del fundamento jurídico 8 de la STC 13/1992, dejando a las Comunidades Autónomas toda la gestión, unido a la necesaria territorialización de los fondos”.</w:t>
      </w:r>
    </w:p>
    <w:p w:rsidR="00AC56D6" w:rsidRDefault="00AC56D6" w:rsidP="00AC56D6">
      <w:pPr>
        <w:pStyle w:val="TextoNormal"/>
      </w:pPr>
    </w:p>
    <w:p w:rsidR="00AC56D6" w:rsidRDefault="00AC56D6" w:rsidP="00AC56D6">
      <w:pPr>
        <w:pStyle w:val="TextoNormal"/>
      </w:pPr>
      <w:r>
        <w:t>A juicio del representante autonómico, dado que el objetivo de las ayudas es la formación profesional para la mejor inserción laboral de ciertos colectivos de desempleados con dificultades, la materia se inserta en el ámbito de la llamada formación profesional ocupacional, cuyo encuadramiento competencial es el relativo a la “legislación laboral”, recogida en el art. 149.1.7 CE y en el art. 29.1 del Estatuto de Autonomía de Galicia, en virtud del cual correspondería al Estado la competencia normativa, excepto para dictar reglamentos organizativos, pero no las facultades de ejecución y gestión que son competencia exclusiva de las Comunidades Autónomas. Y en esta materia existe una pacífica jurisprudencia constitucional que reconoce de forma indubitada la competencia ejecutiva de las Comunidades Autónomas y en consecuencia, que el Estado tiene que territorializar los créditos y partidas presupuestarias entre las Comunidades Autónomas para su gestión, tal y como dictaminaron las SSTC 95/2002, 190/2002 y 230/2003.</w:t>
      </w:r>
    </w:p>
    <w:p w:rsidR="00AC56D6" w:rsidRDefault="00AC56D6" w:rsidP="00AC56D6">
      <w:pPr>
        <w:pStyle w:val="TextoNormal"/>
      </w:pPr>
    </w:p>
    <w:p w:rsidR="00AC56D6" w:rsidRDefault="00AC56D6" w:rsidP="00AC56D6">
      <w:pPr>
        <w:pStyle w:val="TextoNormal"/>
      </w:pPr>
      <w:r>
        <w:t xml:space="preserve">Para el Letrado de la Xunta de Galicia, las presentes ayudas deben respetar la distribución de facultades preceptuadas en el apartado c) del fundamento jurídico 8 de la STC 13/1992, de la que se deriva que al Estado le cabe fijar la regulación de detalle respecto del destino, condiciones y tramitación de las subvenciones, pero dejando en manos de las Comunidades Autónomas toda la dimensión ejecutiva y procediendo a la territorialización de los fondos. </w:t>
      </w:r>
      <w:r>
        <w:lastRenderedPageBreak/>
        <w:t>En base a ello, entiende que cabría reputar inconstitucionales los arts. 1, 3, 5, 6, 7, 8, 9, 12, 13, 14, 15, y anexos I y II por atribuir funciones de ejecución o gestión a entes estatales; los arts. 2 y 10 por ser incompatibles con la obligada territorialización de los fondos; y los arts. 11 y 16, por hacer remisión a normas que no son básicas en su conjunto o cuya constitucionalidad ya fue cuestionada por este Tribunal.</w:t>
      </w:r>
    </w:p>
    <w:p w:rsidR="00AC56D6" w:rsidRDefault="00AC56D6" w:rsidP="00AC56D6">
      <w:pPr>
        <w:pStyle w:val="TextoNormal"/>
      </w:pPr>
    </w:p>
    <w:p w:rsidR="00AC56D6" w:rsidRDefault="00AC56D6" w:rsidP="00AC56D6">
      <w:pPr>
        <w:pStyle w:val="TextoNormal"/>
      </w:pPr>
      <w:r>
        <w:t>Considera el representante de la Comunidad Autónoma que procede rechazar los argumentos alegados por el Estado en el trámite de requerimiento previo de incompetencia, para justificar la gestión centralizada de las ayudas, sustentados en que, conforme al art. 1.2 de la resolución, la ejecución de los proyectos afectará a un ámbito territorial superior al de una Comunidad Autónoma y facilitará la movilidad de los participantes en los mismos, requiriendo la coordinación unificada del Servicio público de empleo estatal.</w:t>
      </w:r>
    </w:p>
    <w:p w:rsidR="00AC56D6" w:rsidRDefault="00AC56D6" w:rsidP="00AC56D6">
      <w:pPr>
        <w:pStyle w:val="TextoNormal"/>
      </w:pPr>
    </w:p>
    <w:p w:rsidR="00AC56D6" w:rsidRDefault="00AC56D6" w:rsidP="00AC56D6">
      <w:pPr>
        <w:pStyle w:val="TextoNormal"/>
      </w:pPr>
      <w:r>
        <w:t>Se afirma al respecto que no es necesaria la gestión estatal por el hecho de tratarse de colectivos con necesidades formativas especiales o con dificultades para su inserción o recualificación profesional, pues lo normal es que las actividades formativas se dirijan a este tipo de colectivos; el hecho de que los planes o acciones formativas trasciendan de una Comunidad Autónoma no resulta aceptable, porque la supraterritorialidad no implica de forma automática la exclusión de las competencias autonómicas de ejecución, de acuerdo con una reiterada jurisprudencia constitucional al respecto, y son precisamente las medidas de coordinación, sin reversión de las facultades ejecutivas autonómicas, las que solventan las disfunciones que se puedan producir, coordinación aquí garantizada por el hecho de que el Estado pueda fijar las condiciones de estas ayudas; tampoco es imprescindible la gestión centralizada para posibilitar la movilidad de los participantes, pues también aquí las medidas de coordinación solventan las posibles disfunciones que se puedan producir, por lo que no se justifica desposeer a las Comunidades Autónomas de sus competencias de gestión.</w:t>
      </w:r>
    </w:p>
    <w:p w:rsidR="00AC56D6" w:rsidRDefault="00AC56D6" w:rsidP="00AC56D6">
      <w:pPr>
        <w:pStyle w:val="TextoNormal"/>
      </w:pPr>
    </w:p>
    <w:p w:rsidR="00AC56D6" w:rsidRDefault="00AC56D6" w:rsidP="00AC56D6">
      <w:pPr>
        <w:pStyle w:val="TextoNormal"/>
      </w:pPr>
      <w:r w:rsidRPr="00AC56D6">
        <w:rPr>
          <w:rStyle w:val="NumeroAFNegritaCaracter"/>
        </w:rPr>
        <w:t>2</w:t>
      </w:r>
      <w:r>
        <w:t>. El Pleno de este Tribunal, mediante providencia de 18 de febrero de 2010, a propuesta de la Sección Cuarta, acordó admitir a trámite el conflicto positivo de competencia promovido por la Xunta de Galicia, atribuir a la Sala Segunda, a la que por turno objetivo le ha correspondido, el conocimiento del presente conflicto, y dar traslado de las actuaciones al Gobierno de la Nación, por conducto de su Presidente, al objeto de que en el plazo de veinte días, y por medio de la representación procesal que señala el art. 82.2 de la Ley Orgánica del Tribunal Constitucional (LOTC), pudiera personarse en los autos y aportar cuantos documentos y alegaciones considerase convenientes. Se acordó, asimismo, comunicar la incoación del conflicto a la Sala de lo Contencioso-Administrativo del Tribunal Superior de Justicia de Madrid, por si ante la misma estuviera impugnada o se impugnara la citada resolución, en cuyo caso se suspendería el curso del proceso hasta la decisión del conflicto, así como publicar la incoación del conflicto en el “Boletín Oficial del Estado” y en el “Diario Oficial de Galicia”.</w:t>
      </w:r>
    </w:p>
    <w:p w:rsidR="00AC56D6" w:rsidRDefault="00AC56D6" w:rsidP="00AC56D6">
      <w:pPr>
        <w:pStyle w:val="TextoNormal"/>
      </w:pPr>
    </w:p>
    <w:p w:rsidR="00AC56D6" w:rsidRDefault="00AC56D6" w:rsidP="00AC56D6">
      <w:pPr>
        <w:pStyle w:val="TextoNormal"/>
      </w:pPr>
      <w:r w:rsidRPr="00AC56D6">
        <w:rPr>
          <w:rStyle w:val="NumeroAFNegritaCaracter"/>
        </w:rPr>
        <w:t>3</w:t>
      </w:r>
      <w:r>
        <w:t>. Mediante escrito que tuvo entrada en este Tribunal el 5 de marzo de 2010, el Abogado del Estado solicitó una prórroga hasta el máximo legal, del plazo concedido para alegaciones. La Sala Segunda, mediante providencia de 8 de marzo, acordó incorporar a las actuaciones el escrito del Abogado del Estado y atender su solicitud, ampliando en diez días el plazo originalmente concedido.</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4</w:t>
      </w:r>
      <w:r>
        <w:t>. El 12 de abril de 2010 tuvo entrada en este Tribunal escrito de alegaciones del Abogado del Estado en el que solicita se tenga por evacuado el trámite conferido y, en su día, se dicte Sentencia desestimatoria del conflicto. Como cuestión previa al examen de fondo, plantea el Abogado del Estado la posible infracción de lo previsto en el art. 63.3 LOTC y de la jurisprudencia constitucional, que exige una clara y precisa individualización de los preceptos que pueden entenderse incluidos en el conflicto, pues considera que, si bien tanto en el texto del requerimiento de incompetencia como en el de la demanda se solicita la anulación total de la disposición impugnada, en ambos casos se efectúa un listado de preceptos que se impugnan, en el que no se precisa mínimamente la objeción que se dirige a cada uno de ellos.</w:t>
      </w:r>
    </w:p>
    <w:p w:rsidR="00AC56D6" w:rsidRDefault="00AC56D6" w:rsidP="00AC56D6">
      <w:pPr>
        <w:pStyle w:val="TextoNormal"/>
      </w:pPr>
    </w:p>
    <w:p w:rsidR="00AC56D6" w:rsidRDefault="00AC56D6" w:rsidP="00AC56D6">
      <w:pPr>
        <w:pStyle w:val="TextoNormal"/>
      </w:pPr>
      <w:r>
        <w:t>En cuanto al fondo de la cuestión planteada, y tras afirmar que el recurrente incurre en una pretensión contradictoria, de nulidad de la resolución y de territorialización de los fondos, que da lugar a una defectuosa formalización procesal del conflicto, considera que el título competencial prevalente es el previsto en el art. 149.1.7 CE, sin perjuicio de que puedan invocarse también los títulos estatales en materia de ordenación económica general (art. 149.1.13 CE) y de régimen económico de la Seguridad Social (art. 149.1.17 CE).</w:t>
      </w:r>
    </w:p>
    <w:p w:rsidR="00AC56D6" w:rsidRDefault="00AC56D6" w:rsidP="00AC56D6">
      <w:pPr>
        <w:pStyle w:val="TextoNormal"/>
      </w:pPr>
    </w:p>
    <w:p w:rsidR="00AC56D6" w:rsidRDefault="00AC56D6" w:rsidP="00AC56D6">
      <w:pPr>
        <w:pStyle w:val="TextoNormal"/>
      </w:pPr>
      <w:r>
        <w:t>A juicio de la Abogacía del Estado, la resolución que es objeto del conflicto no puede ser calificada como un “acto de gestión administrativa de la ayuda”, sino que tiene la naturaleza de norma jurídica, aunque incluya aspectos adjetivos que puedan pertenecer al ámbito de la ejecución. Y las competencias ejecutivas o de gestión de las Comunidades Autónomas en relación con subvenciones materialmente encuadradas en competencias exclusivas del Estado deben respetar la regulación de detalle respecto del destino, condiciones y tramitación de las subvenciones, dejando a salvo la potestad autonómica de autoorganización de los servicios.</w:t>
      </w:r>
    </w:p>
    <w:p w:rsidR="00AC56D6" w:rsidRDefault="00AC56D6" w:rsidP="00AC56D6">
      <w:pPr>
        <w:pStyle w:val="TextoNormal"/>
      </w:pPr>
    </w:p>
    <w:p w:rsidR="00AC56D6" w:rsidRDefault="00AC56D6" w:rsidP="00AC56D6">
      <w:pPr>
        <w:pStyle w:val="TextoNormal"/>
      </w:pPr>
      <w:r>
        <w:t>Se señala por el representante estatal que, si atendemos a la regla jurisprudencial de deslinde entre las competencias normativas del Estado y las de ejecución autonómica, no pueden descalificarse por incompetencia ninguna de las reglas de la resolución cuestionada: los arts. 1 a 4 regulan el destino, objeto y condiciones básicas de estas subvenciones, y los restantes preceptos dan regulación al procedimiento para su tramitación. La resolución recurrida se ajusta a lo previsto en el fundamento jurídico 8 c) de la STC 13/1992, alegado por la parte recurrente, porque la “regulación del destino, condiciones y tramitación de las subvenciones” representa realmente el contenido de la resolución controvertida, a lo que se añade la concurrencia de aquellas condiciones que evidencian por sí mismas la inviabilidad para los fines que la subvención persigue, de una fragmentación de la actividad o de la dotación en que aquélla consiste.</w:t>
      </w:r>
    </w:p>
    <w:p w:rsidR="00AC56D6" w:rsidRDefault="00AC56D6" w:rsidP="00AC56D6">
      <w:pPr>
        <w:pStyle w:val="TextoNormal"/>
      </w:pPr>
    </w:p>
    <w:p w:rsidR="00AC56D6" w:rsidRDefault="00AC56D6" w:rsidP="00AC56D6">
      <w:pPr>
        <w:pStyle w:val="TextoNormal"/>
      </w:pPr>
      <w:r>
        <w:t xml:space="preserve">La gestión resulta imperativamente centralizada, porque la aplicación de criterios unificados, sería difícilmente alcanzable de fragmentarse las convocatorias, los programas o las dotaciones, lo que implica la necesidad de que los trabajos se ajusten a métodos homogéneos en un mecanismo que contempla la movilidad geográfica de sus destinatarios y, en fin, la necesidad de que no se sobrepasen las cuantías previstas para la subvención. La actuación coordinadora estatal que la resolución contempla es consecuencia de la supraterritorialidad y ambas son premisas condicionantes de la posibilidad misma de la subvención. La singularidad de la subvención contemplada no hace posible la pretensión de reparto de fondos, pues difícilmente podrían lograrse los objetivos de uniformidad que se pretenden si estas </w:t>
      </w:r>
      <w:r>
        <w:lastRenderedPageBreak/>
        <w:t>convocatorias se operasen por distintos órganos de distintas Administraciones, cada una con sus propios requisitos y particularidades; no se alcanzarían de esta manera fragmentaria los fines globales de la resolución impugnada, en cuanto persigue una medida de fomento a nivel nacional y en un mercado de trabajo que se pretende adaptar a las necesidades del conjunto de España.</w:t>
      </w:r>
    </w:p>
    <w:p w:rsidR="00AC56D6" w:rsidRDefault="00AC56D6" w:rsidP="00AC56D6">
      <w:pPr>
        <w:pStyle w:val="TextoNormal"/>
      </w:pPr>
    </w:p>
    <w:p w:rsidR="00AC56D6" w:rsidRDefault="00AC56D6" w:rsidP="00AC56D6">
      <w:pPr>
        <w:pStyle w:val="TextoNormal"/>
      </w:pPr>
      <w:r>
        <w:t>Considera el Abogado del Estado que los preceptos de la resolución combatida suponen una proyección en el ámbito de la formación profesional para el empleo, del principio de unidad de mercado, en los términos señalados en la STC 96/2002. Una de las medidas facilitadoras del empleo consiste precisamente en soslayar los obstáculos que inevitablemente derivan de limitaciones geográficas y de propiciar por medios directos o indirectos la movilidad de los trabajadores, al objeto de favorecer la transparencia en el mercado de trabajo y de facilitar la adaptación de los trabajadores a las siempre cambiantes circunstancias económicas; y los objetivos concretos que dentro de esa línea de acción contempla la resolución objeto del procedimiento sólo pueden alcanzarse razonablemente bajo la aplicación de una regulación uniforme y una gestión centralizada.</w:t>
      </w:r>
    </w:p>
    <w:p w:rsidR="00AC56D6" w:rsidRDefault="00AC56D6" w:rsidP="00AC56D6">
      <w:pPr>
        <w:pStyle w:val="TextoNormal"/>
      </w:pPr>
    </w:p>
    <w:p w:rsidR="00AC56D6" w:rsidRDefault="00AC56D6" w:rsidP="00AC56D6">
      <w:pPr>
        <w:pStyle w:val="TextoNormal"/>
      </w:pPr>
      <w:r w:rsidRPr="00AC56D6">
        <w:rPr>
          <w:rStyle w:val="NumeroAFNegritaCaracter"/>
        </w:rPr>
        <w:t>5</w:t>
      </w:r>
      <w:r>
        <w:t>. Por providencia de 3 de septiembre de 2015 se acordó señalar para deliberación y votación de la presente Sentencia el día 7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presente proceso tiene por objeto resolver el conflicto positivo de competencia formulado por la Xunta de Galicia en relación con la resolución de 22 de septiembre de 2009, del Servicio Público de Empleo Estatal, por la que se convoca la concesión de subvenciones para la realización de programas específicos de formación e inserción laboral a favor de los jóvenes desempleados en situación o con riesgo de exclusión social.</w:t>
      </w:r>
    </w:p>
    <w:p w:rsidR="00AC56D6" w:rsidRDefault="00AC56D6" w:rsidP="00AC56D6">
      <w:pPr>
        <w:pStyle w:val="TextoNormal"/>
      </w:pPr>
    </w:p>
    <w:p w:rsidR="00AC56D6" w:rsidRDefault="00AC56D6" w:rsidP="00AC56D6">
      <w:pPr>
        <w:pStyle w:val="TextoNormal"/>
      </w:pPr>
      <w:r>
        <w:t>La Xunta de Galicia dirige el conflicto contra la totalidad de la resolución y considera que las ayudas cuya convocatoria se impugna se insertan en el ámbito propio de la llamada formación profesional ocupacional, cuyo encuadramiento competencial deriva de lo previsto en los arts. 149.1.7 CE y 29.1 del Estatuto de Autonomía de Galicia, en virtud de los cuales corresponde al Estado la competencia exclusiva en materia de “legislación laboral” y a la Comunidad Autónoma la competencia de ejecución y gestión. De lo anterior deriva, a su vez, la aplicación a las presentes ayudas de lo dispuesto en el apartado c) del fundamento jurídico 8 de la STC 13/1992, de 6 de febrero, y en consecuencia, sin perjuicio de la competencia del Estado para la regulación de detalle respecto del destino, condiciones y tramitación de las subvenciones, corresponde a las Comunidades Autónomas toda la actividad ejecutiva, debiendo procederse a la territorialización de los fondos.</w:t>
      </w:r>
    </w:p>
    <w:p w:rsidR="00AC56D6" w:rsidRDefault="00AC56D6" w:rsidP="00AC56D6">
      <w:pPr>
        <w:pStyle w:val="TextoNormal"/>
      </w:pPr>
    </w:p>
    <w:p w:rsidR="00AC56D6" w:rsidRDefault="00AC56D6" w:rsidP="00AC56D6">
      <w:pPr>
        <w:pStyle w:val="TextoNormal"/>
      </w:pPr>
      <w:r>
        <w:t xml:space="preserve">El Abogado del Estado sostiene que la resolución recurrida se dicta en ejercicio de las competencias atribuidas al Estado por el art. 149.1.7 CE, sin que pueda descartarse, no obstante, la aplicación de las previsiones contenidas en los arts. 149.1.13 y 17 del texto constitucional. Considera que la disposición controvertida se acomoda a lo dispuesto en el apartado c) del fundamento jurídico 8 de la STC 13/1992, en cuanto tiene por objeto la regulación del destino, condiciones y tramitación de las subvenciones, y afirma que la gestión de los fondos ha de efectuarse de forma centralizada, por tratarse de una medida de fomento </w:t>
      </w:r>
      <w:r>
        <w:lastRenderedPageBreak/>
        <w:t>del mercado de trabajo a nivel nacional, que encuentra fundamento en el principio de unidad de mercado, y en la que no resulta posible la pretensión de reparto de fondos, pues difícilmente podrían lograrse los objetivos de uniformidad que se pretenden.</w:t>
      </w:r>
    </w:p>
    <w:p w:rsidR="00AC56D6" w:rsidRDefault="00AC56D6" w:rsidP="00AC56D6">
      <w:pPr>
        <w:pStyle w:val="TextoNormal"/>
      </w:pPr>
    </w:p>
    <w:p w:rsidR="00AC56D6" w:rsidRDefault="00AC56D6" w:rsidP="00AC56D6">
      <w:pPr>
        <w:pStyle w:val="TextoNormal"/>
      </w:pPr>
      <w:r w:rsidRPr="00AC56D6">
        <w:rPr>
          <w:rStyle w:val="NumeroAFNegritaCaracter"/>
        </w:rPr>
        <w:t>2</w:t>
      </w:r>
      <w:r>
        <w:t>. Una vez expuestas sintéticamente las posiciones de las partes que se enfrentan en este proceso, resulta conveniente realizar algunas precisiones de orden procesal, antes de proceder al examen de la cuestión de fondo.</w:t>
      </w:r>
    </w:p>
    <w:p w:rsidR="00AC56D6" w:rsidRDefault="00AC56D6" w:rsidP="00AC56D6">
      <w:pPr>
        <w:pStyle w:val="TextoNormal"/>
      </w:pPr>
    </w:p>
    <w:p w:rsidR="00AC56D6" w:rsidRDefault="00AC56D6" w:rsidP="00AC56D6">
      <w:pPr>
        <w:pStyle w:val="TextoNormal"/>
      </w:pPr>
      <w:r>
        <w:t>Se impone, en primer lugar, despejar la tacha de orden procesal planteada por el Abogado del Estado. Considera éste que, aunque tanto en el requerimiento previo de incompetencia como en el texto de la demanda se solicita la anulación total de la resolución, debe primar la regla procesal del art. 63.3 de la Ley Orgánica del Tribunal Constitucional (LOTC) en su exigencia de indicar con precisión los preceptos concretos que vulneran las competencias autonómicas, siendo así que en el previo requerimiento no se citan todos los artículos de la resolución, ni a todos ellos se les reprocha vicio de incompetencia.</w:t>
      </w:r>
    </w:p>
    <w:p w:rsidR="00AC56D6" w:rsidRDefault="00AC56D6" w:rsidP="00AC56D6">
      <w:pPr>
        <w:pStyle w:val="TextoNormal"/>
      </w:pPr>
    </w:p>
    <w:p w:rsidR="00AC56D6" w:rsidRDefault="00AC56D6" w:rsidP="00AC56D6">
      <w:pPr>
        <w:pStyle w:val="TextoNormal"/>
      </w:pPr>
      <w:r>
        <w:t>El art. 63.3 LOTC exige que en el requerimiento de incompetencia se identifiquen con claridad los artículos de la disposición recurrida o los puntos concretos de la resolución o acto viciado de incompetencia, así como las disposiciones legales o constitucionales de las que el vicio resulte. En el supuesto que se examina, tanto en el texto del requerimiento como en el de la demanda que promueve el conflicto, se afirma que el mismo se dirige contra la totalidad de la resolución impugnada, aportándose una argumentación específica sobre los razonamientos que fundamentan la presunta contradicción de la misma con la norma fundamental, con lo que se satisface lo exigido por el art. 63.3 LOTC, sin que se produzca incertidumbre alguna sobre el alcance de la impugnación (STC 270/2006, de 13 de septiembre, FJ 2). Lo anterior se entiende sin perjuicio de que, con carácter subsidiario y a título meramente ilustrativo, se citen por la Comunidad Autónoma algunos de los preceptos en los que, a su juicio, se pone de manifiesto con más claridad la alegada vulneración competencial que alcanza a la totalidad de la disposición, precisión ésta que no constituye obstáculo para la válida formalización del conflicto en los términos antes expuestos, por lo que el reproche de procedibilidad no puede ser admitido.</w:t>
      </w:r>
    </w:p>
    <w:p w:rsidR="00AC56D6" w:rsidRDefault="00AC56D6" w:rsidP="00AC56D6">
      <w:pPr>
        <w:pStyle w:val="TextoNormal"/>
      </w:pPr>
    </w:p>
    <w:p w:rsidR="00AC56D6" w:rsidRDefault="00AC56D6" w:rsidP="00AC56D6">
      <w:pPr>
        <w:pStyle w:val="TextoNormal"/>
      </w:pPr>
      <w:r>
        <w:t>En segundo lugar, se alega por el Abogado del Estado una defectuosa formalización procesal del conflicto, en la medida en que en el suplico de la demanda se incluyen, a juicio de esa representación procesal, dos peticiones contradictorias, como son la de que se proceda a la anulación de la resolución impugnada y, a su vez, se reconozca la competencia autonómica para la gestión de los fondos y se declare la procedencia de su territorialización. La posible contradicción alegada no afecta, sin embargo, a la solución del conflicto planteado, dado que el art. 66 LOTC confiere a este Tribunal amplias facultades para determinar el alcance del fallo, permitiéndole declarar la titularidad de la competencia controvertida, y acordar, en su caso, la anulación total o parcial de la resolución impugnada, por lo que la cuestión planteada puede ser adecuadamente resuelta en la determinación del alcance del fallo que al efecto nos corresponde pronunciar.</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Entrando en el enjuiciamiento del fondo del asunto, debemos comenzar señalando que, en la resolución de aquellas controversias que se susciten respecto a la regulación y aplicación de las ayudas o subvenciones que puedan establecerse en las distintas áreas o segmentos de la acción pública, hemos de partir de la distribución de competencias existente </w:t>
      </w:r>
      <w:r>
        <w:lastRenderedPageBreak/>
        <w:t>en la materia constitucional en la que proceda enmarcar las subvenciones de que se trate (por todas, STC 38/2012, de 26 de marzo, FJ 3). La resolución del presente conflicto exige, pues, comenzar por el encuadramiento competencial de las ayudas cuestionadas, a fin de determinar si, a la vista de las competencias del Estado y de la Xunta de Galicia, se ha producido o no la vulneración competencial denunciada, tomando como parámetro sustantivo la doctrina constitucional, especialmente la plasmada en la STC 13/1992, en la que se recoge el principio de que “la legitimidad constitucional del régimen normativo y de gestión de las subvenciones fijado por el Estado depende de las competencias que el Estado posea en la materia de que se trate”, ya que “la subvención no es un concepto que delimite competencias” (FJ 4).</w:t>
      </w:r>
    </w:p>
    <w:p w:rsidR="00AC56D6" w:rsidRDefault="00AC56D6" w:rsidP="00AC56D6">
      <w:pPr>
        <w:pStyle w:val="TextoNormal"/>
      </w:pPr>
    </w:p>
    <w:p w:rsidR="00AC56D6" w:rsidRDefault="00AC56D6" w:rsidP="00AC56D6">
      <w:pPr>
        <w:pStyle w:val="TextoNormal"/>
      </w:pPr>
      <w:r>
        <w:t>La resolución que se examina, tal y como se detalla en su preámbulo, deriva de forma mediata de la Ley 56/2003, de 16 de diciembre, de empleo, y de forma inmediata viene a ejecutar lo dispuesto en el Real Decreto 395/2007, de 23 de marzo, por el que se regula el subsistema de formación profesional para el empleo, y la Orden TAS/718/2008, de 7 de marzo, de desarrollo del anterior, en materia de formación de oferta, y por la que se establecen las bases reguladoras para la concesión de subvenciones públicas destinadas a su financiación, disposiciones ambas en las que se explicita que se dictan al amparo de lo previsto en el art. 149.1.7 CE, y, en el caso del Real Decreto, algunos de sus preceptos, al amparo de lo dispuesto en el art. 149.1.17 CE.</w:t>
      </w:r>
    </w:p>
    <w:p w:rsidR="00AC56D6" w:rsidRDefault="00AC56D6" w:rsidP="00AC56D6">
      <w:pPr>
        <w:pStyle w:val="TextoNormal"/>
      </w:pPr>
    </w:p>
    <w:p w:rsidR="00AC56D6" w:rsidRDefault="00AC56D6" w:rsidP="00AC56D6">
      <w:pPr>
        <w:pStyle w:val="TextoNormal"/>
      </w:pPr>
      <w:r>
        <w:t>En el supuesto concreto que se examina, la resolución controvertida tiene por objeto la convocatoria de subvenciones dirigidas a favorecer programas específicos de formación e inserción laboral de determinados colectivos con especiales dificultades, y ambas partes coinciden en afirmar que el título en el que se ampara la citada regulación es el relativo a “legislación laboral”, posición coincidente con la manifestada por este Tribunal en la STC 111/2012, de 24 de mayo, FJ 7, en la que específicamente veníamos a señalar que “las acciones de estímulo de la contratación laboral en sus distintas modalidades se insertan sin dificultad en el título del art. 149.1.7 CE”.</w:t>
      </w:r>
    </w:p>
    <w:p w:rsidR="00AC56D6" w:rsidRDefault="00AC56D6" w:rsidP="00AC56D6">
      <w:pPr>
        <w:pStyle w:val="TextoNormal"/>
      </w:pPr>
    </w:p>
    <w:p w:rsidR="00AC56D6" w:rsidRDefault="00AC56D6" w:rsidP="00AC56D6">
      <w:pPr>
        <w:pStyle w:val="TextoNormal"/>
      </w:pPr>
      <w:r>
        <w:t>El propio preámbulo de la resolución afirma que la misma se inserta en el ámbito material relativo a la llamada “formación profesional para el empleo”, en el que se integran los subsistemas de formación profesional continua y de formación profesional ocupacional, y en la STC 195/1996, de 28 de noviembre, ya afirmamos que la formación profesional ocupacional ha de ubicarse en la materia legislación laboral (art. 149.1.7 CE), y a igual conclusión llegamos en cuanto a la modalidad de formación continua de los trabajadores asalariados o en activo en las SSTC 95/2002, de 25 de abril, 190/2002, de 17 de octubre y 111/2012, de 24 de mayo.</w:t>
      </w:r>
    </w:p>
    <w:p w:rsidR="00AC56D6" w:rsidRDefault="00AC56D6" w:rsidP="00AC56D6">
      <w:pPr>
        <w:pStyle w:val="TextoNormal"/>
      </w:pPr>
    </w:p>
    <w:p w:rsidR="00AC56D6" w:rsidRDefault="00AC56D6" w:rsidP="00AC56D6">
      <w:pPr>
        <w:pStyle w:val="TextoNormal"/>
      </w:pPr>
      <w:r>
        <w:t xml:space="preserve">Determinada, pues, la inclusión del objeto de la resolución impugnada en el ámbito competencial relativo a la “legislación laboral”, el reparto competencial en esta materia viene dado por lo dispuesto en el ya citado art. 149.1.7 CE y en el art. 29.1 del Estatuto de Autonomía para Galicia. El primero de estos preceptos atribuye al Estado competencia exclusiva sobre legislación laboral “sin perjuicio de su ejecución por los órganos de las Comunidades Autónomas” y el segundo dispone que corresponde a la Comunidad Autónoma gallega la ejecución de la legislación del Estado en materia “laboral, asumiendo las facultades, competencias y servicios que en este ámbito y a nivel de ejecución, ostenta actualmente el Estado respecto a las relaciones laborales, sin perjuicio de la alta inspección de éste. Quedan </w:t>
      </w:r>
      <w:r>
        <w:lastRenderedPageBreak/>
        <w:t>reservadas al Estado todas las competencias en materia de migraciones interiores y exteriores, fondos de ámbito nacional y de empleo, sin perjuicio de lo que establezcan las normas del Estado sobre esta materia”.</w:t>
      </w:r>
    </w:p>
    <w:p w:rsidR="00AC56D6" w:rsidRDefault="00AC56D6" w:rsidP="00AC56D6">
      <w:pPr>
        <w:pStyle w:val="TextoNormal"/>
      </w:pPr>
    </w:p>
    <w:p w:rsidR="00AC56D6" w:rsidRDefault="00AC56D6" w:rsidP="00AC56D6">
      <w:pPr>
        <w:pStyle w:val="TextoNormal"/>
      </w:pPr>
      <w:r>
        <w:t xml:space="preserve">Como se señaló en la STC 88/2014, FJ 3, con cita de la STC 244/2012, FJ 3, el deslinde competencial en esta materia “ha sido precisado por este Tribunal desde la STC 33/1981, de 5 de noviembre, FJ 2, señalando que la Constitución Española atribuye al Estado la ordenación general de la materia laboral, sin que ningún espacio de regulación externa les quede a las Comunidades Autónomas, las cuales únicamente pueden disponer de una competencia de mera ejecución de la normación estatal, que incluye la emanación de reglamentos internos de organización de los servicios necesarios y de regulación de la propia competencia funcional de ejecución y, en general, el desarrollo del conjunto de actuaciones preciso para la puesta en práctica de la normativa reguladora del conjunto del sistema de relaciones laborales, así como la potestad sancionadora en la materia”. En suma, la exigencia de uniformidad que informa el título competencial del Estado sobre legislación laboral </w:t>
      </w:r>
      <w:r w:rsidRPr="00AC56D6">
        <w:rPr>
          <w:i/>
        </w:rPr>
        <w:t>ex</w:t>
      </w:r>
      <w:r>
        <w:t xml:space="preserve"> art. 149.1.7 CE (STC 227/1998, de 26 de noviembre, FJ 9) determina que ningún espacio de regulación externa les resta a las Comunidades Autónomas, las cuales únicamente pueden disponer de una competencia de mera ejecución de la normación estatal (SSTC 195/1996, FJ 11; 51/ 2006, FJ 4, y 111/2012, FJ 7).</w:t>
      </w:r>
    </w:p>
    <w:p w:rsidR="00AC56D6" w:rsidRDefault="00AC56D6" w:rsidP="00AC56D6">
      <w:pPr>
        <w:pStyle w:val="TextoNormal"/>
      </w:pPr>
    </w:p>
    <w:p w:rsidR="00AC56D6" w:rsidRDefault="00AC56D6" w:rsidP="00AC56D6">
      <w:pPr>
        <w:pStyle w:val="TextoNormal"/>
      </w:pPr>
      <w:r w:rsidRPr="00AC56D6">
        <w:rPr>
          <w:rStyle w:val="NumeroAFNegritaCaracter"/>
        </w:rPr>
        <w:t>4</w:t>
      </w:r>
      <w:r>
        <w:t>. La Xunta de Galicia dirige el conflicto contra la totalidad de la resolución, por entender que la facultad de proceder a la convocatoria de las presentes ayudas pertenece a la dimensión ejecutiva y de gestión, que ha de residenciarse necesariamente en el ámbito de las competencias que ostentan las Comunidades Autónomas, con la consiguiente territorialización de los fondos.</w:t>
      </w:r>
    </w:p>
    <w:p w:rsidR="00AC56D6" w:rsidRDefault="00AC56D6" w:rsidP="00AC56D6">
      <w:pPr>
        <w:pStyle w:val="TextoNormal"/>
      </w:pPr>
    </w:p>
    <w:p w:rsidR="00AC56D6" w:rsidRDefault="00AC56D6" w:rsidP="00AC56D6">
      <w:pPr>
        <w:pStyle w:val="TextoNormal"/>
      </w:pPr>
      <w:r>
        <w:t>Para resolver la objeción que opone la Comunidad Autónoma impugnante contra la totalidad de la disposición, debemos tener presente lo que ya dijimos en la STC 13/1992, FJ 7, en el sentido de que “el Estado siempre podrá, en uso de su soberanía financiera (de gasto, en este caso), asignar fondos públicos a unas finalidades u otras, pues existen otros preceptos constitucionales (y singularmente los del Capítulo III del Título I) que legitiman la capacidad del Estado para disponer de su Presupuesto en la acción social o económica … Es evidente que en el sistema español de distribución territorial del poder, el Estado puede asignar sus recursos a cualquier finalidad lícita y que la definición de esta finalidad en la Ley de Presupuestos condiciona necesariamente la libertad de acción de aquellas instancias que hayan de utilizar esos recursos”. Pero, aun reconociendo esta potestad del Estado, ello no excusa que deba ajustarse al orden constitucional de competencias, tanto en la programación como en la ejecución de ese gasto, lo que nos obligará, en definitiva, a estar “a la normativa general que para cada tipo de subvención dicte el Estado, al objeto de precisar si los condicionamientos que para la gestión de las subvenciones que en la misma se determinan se encuadran dentro de los límites del título competencial que ampara la intervención estatal o, al contrario, van más allá del alcance de dicho título, invadiendo las competencias autonómicas sobre la materia subvencionada, lo que significaría no sólo alterar el sistema competencial, sino también distorsionar la autonomía financiera que para el ejercicio de sus competencias, a las Comunidades Autónomas reconoce el art. 156.1 CE” (STC 36/2012, de 15 de marzo, FJ 7, con cita de la STC 96/1990, de 24 de mayo, FJ 15).</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5</w:t>
      </w:r>
      <w:r>
        <w:t>. El concreto análisis de la resolución objeto del conflicto ha de tomar como referencia necesariamente el Real Decreto 395/2007, de 23 de marzo, por el que se regula el subsistema de formación profesional para el empleo, y la Orden TAS/718/2008, de 7 de marzo, por la que se desarrolla el mencionado Real Decreto en materia de formación de oferta y se establecen las bases reguladoras para la concesión de subvenciones públicas destinadas a su financiación, a los que ya se ha hecho referencia anteriormente, en la medida en que, como explicita la resolución impugnada, ésta se dicta al amparo de lo previsto en el art. 22.1 b) del Real Decreto 395/2007, posteriormente desarrollado por la citada orden. Hemos de añadir que ambas disposiciones han sido objeto de diversos conflictos de competencia, que ya han quedado resueltos por este Tribunal en las SSTC 88/2014, de 9 de junio; 112/2014, de 7 de julio; 123/2014, de 21 de julio; 143/2014, de 22 de septiembre; 176/2014, de 3 de noviembre, y 198/2014, de 15 de diciembre. Por consiguiente, habremos de estar, en lo pertinente, a lo establecido en dichos pronunciamientos a la hora de resolver el conflicto que aquí se nos plantea.</w:t>
      </w:r>
    </w:p>
    <w:p w:rsidR="00AC56D6" w:rsidRDefault="00AC56D6" w:rsidP="00AC56D6">
      <w:pPr>
        <w:pStyle w:val="TextoNormal"/>
      </w:pPr>
    </w:p>
    <w:p w:rsidR="00AC56D6" w:rsidRDefault="00AC56D6" w:rsidP="00AC56D6">
      <w:pPr>
        <w:pStyle w:val="TextoNormal"/>
      </w:pPr>
      <w:r>
        <w:t>Como ya ha quedado apuntado, la convocatoria objeto de controversia se enmarca en el ámbito de los programas regulados en el art. 22.1 b) del Real Decreto 395/2007, es decir, los establecidos por el Servicio Público de Empleo Estatal, para la formación de personas con necesidades formativas especiales o que tengan dificultades para su inserción o recualificación profesional. Precisamente, la Xunta de Galicia achaca a la resolución, como quejas generales, que la convocatoria es un acto ejecutivo o de gestión, que corresponde a las autoridades autonómicas y no a un órgano estatal, y que no responde a la necesidad de territorialización de los fondos en las Comunidades Autónomas, según lo exigido por la jurisprudencia constitucional.</w:t>
      </w:r>
    </w:p>
    <w:p w:rsidR="00AC56D6" w:rsidRDefault="00AC56D6" w:rsidP="00AC56D6">
      <w:pPr>
        <w:pStyle w:val="TextoNormal"/>
      </w:pPr>
    </w:p>
    <w:p w:rsidR="00AC56D6" w:rsidRDefault="00AC56D6" w:rsidP="00AC56D6">
      <w:pPr>
        <w:pStyle w:val="TextoNormal"/>
      </w:pPr>
      <w:r>
        <w:t xml:space="preserve">Para analizar esta impugnación general de la resolución que realiza la Xunta de Galicia es preciso acudir a la doctrina establecida sobre el </w:t>
      </w:r>
      <w:r w:rsidRPr="00AC56D6">
        <w:rPr>
          <w:i/>
        </w:rPr>
        <w:t>spending power</w:t>
      </w:r>
      <w:r>
        <w:t xml:space="preserve"> en la STC 13/1992, de 6 de febrero, a la que ya nos hemos referido en el fundamento anterior, en la que el Tribunal estableció un esquema de delimitación competencial entre el Estado y las Comunidades Autónomas, en cuanto al ejercicio de la potestad subvencional de gasto público, resumido en cuatro supuestos generales, y que (como recuerda la STC 38/2012, de 26 de marzo, FJ 4), pese al carácter abierto del esquema en el que se insertan, sigue siendo referente constante en nuestra doctrina posterior y en las alegaciones de las partes en los procesos de constitucionalidad. En el supuesto que se examina, ambas partes coinciden en estimar que el enjuiciamiento competencial de las ayudas que son objeto del presente conflicto se subsume en el supuesto previsto en el apartado c) del fundamento jurídico 8 de la mencionada Sentencia. En el citado apartado se contempla específicamente el supuesto de que el Estado tenga atribuida competencia sobre la legislación relativa a una materia, estando atribuida a la Comunidad Autónoma la competencia de ejecución. En estos casos, “el Estado puede extenderse en la regulación de detalle respecto del destino, condiciones y tramitación de las subvenciones, dejando a salvo la potestad autonómica de autoorganización de los servicios”, pero la gestión de los fondos corresponde a las Comunidades Autónomas de manera que, por regla general, no pueden consignarse a favor de un órgano de la Administración del Estado u organismo intermediario de éste;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w:t>
      </w:r>
    </w:p>
    <w:p w:rsidR="00AC56D6" w:rsidRDefault="00AC56D6" w:rsidP="00AC56D6">
      <w:pPr>
        <w:pStyle w:val="TextoNormal"/>
      </w:pPr>
    </w:p>
    <w:p w:rsidR="00AC56D6" w:rsidRDefault="00AC56D6" w:rsidP="00AC56D6">
      <w:pPr>
        <w:pStyle w:val="TextoNormal"/>
      </w:pPr>
      <w:r>
        <w:t>Atendiendo a la citada doctrina, y partiendo de la base de que la convocatoria de unas ayudas concretas para un período determinado constituye un indiscutible acto de gestión o ejecución, debemos abordar el examen del aspecto que, de manera principal, se plantea en relación con la resolución impugnada, que consiste, en síntesis, en si concurren o no en el supuesto examinado circunstancias específicas que justifiquen la gestión centralizada por parte del Servicio Público de Empleo Estatal.</w:t>
      </w:r>
    </w:p>
    <w:p w:rsidR="00AC56D6" w:rsidRDefault="00AC56D6" w:rsidP="00AC56D6">
      <w:pPr>
        <w:pStyle w:val="TextoNormal"/>
      </w:pPr>
    </w:p>
    <w:p w:rsidR="00AC56D6" w:rsidRDefault="00AC56D6" w:rsidP="00AC56D6">
      <w:pPr>
        <w:pStyle w:val="TextoNormal"/>
      </w:pPr>
      <w:r w:rsidRPr="00AC56D6">
        <w:rPr>
          <w:rStyle w:val="NumeroAFNegritaCaracter"/>
        </w:rPr>
        <w:t>6</w:t>
      </w:r>
      <w:r>
        <w:t>. En relación con dicha cuestión ha afirmado la representación estatal que de la naturaleza y contenido de la medida de fomento se deduce que la plena efectividad de la misma sólo puede lograrse mediante su gestión centralizada, pues considera que el carácter limitado de los recursos disponibles, la garantía de igualdad de oportunidades de los eventuales beneficiarios, el carácter supraterritorial que se exige a las asociaciones y fundaciones que puedan resultar beneficiarias de las ayudas [art. 4.1 b)] y a las propias actividades subvencionadas, así como la necesidad de posibilitar la movilidad de los afectados entre territorios autonómicos (art. 1.2), determinan que estemos ante ayudas que no admiten fraccionamiento, en cuanto requieren un grado de homogeneidad solo asegurable cuando se atribuyen a un único órgano, por demandar una coordinación unificada para garantizar la eficiente y eficaz consecución de los objetivos definidos.</w:t>
      </w:r>
    </w:p>
    <w:p w:rsidR="00AC56D6" w:rsidRDefault="00AC56D6" w:rsidP="00AC56D6">
      <w:pPr>
        <w:pStyle w:val="TextoNormal"/>
      </w:pPr>
    </w:p>
    <w:p w:rsidR="00AC56D6" w:rsidRDefault="00AC56D6" w:rsidP="00AC56D6">
      <w:pPr>
        <w:pStyle w:val="TextoNormal"/>
      </w:pPr>
      <w:r>
        <w:t>Para dar respuesta a la cuestión hemos de partir de la base de que los programas a que se refiere la convocatoria de subvenciones discutida son, como ya se ha apuntado, unos de los previstos en el art. 22.1 del Real Decreto 395/2007, concretamente los referidos en su párrafo b). Ello obliga a conectar la previsión del precepto con el art. 6.4 del propio Real Decreto, pues, como reza el inciso inicial del mismo art. 22.1, la programación y gestión de la oferta formativa en el ámbito estatal se articula dentro de lo indicado en el referido art. 6.4. Recordemos que el art. 6 regula la financiación del subsistema de formación profesional para el empleo, estableciendo en su apartado 4 los supuestos a los que se aplicará la parte de los fondos de formación profesional para el empleo fijada en la Ley de presupuestos generales del Estado para la financiación de las subvenciones gestionadas por el Servicio Público de Empleo Estatal, incluyendo la mención de ciertos criterios conforme a los cuales concurrirían los presupuestos precisos para que la gestión y financiación pudieran ser centralizadas; esto es, aquellos supuestos en los que los fondos no se territorializan, como sería regla general, de acuerdo con lo señalado en la STC 13/1992, FJ 8, ni la gestión de las subvenciones se atribuye a las Comunidades Autónomas, a pesar de ser las depositarias de la competencia de ejecución en la materia.</w:t>
      </w:r>
    </w:p>
    <w:p w:rsidR="00AC56D6" w:rsidRDefault="00AC56D6" w:rsidP="00AC56D6">
      <w:pPr>
        <w:pStyle w:val="TextoNormal"/>
      </w:pPr>
    </w:p>
    <w:p w:rsidR="00AC56D6" w:rsidRDefault="00AC56D6" w:rsidP="00AC56D6">
      <w:pPr>
        <w:pStyle w:val="TextoNormal"/>
      </w:pPr>
      <w:r>
        <w:t>Pues bien, el mencionado art. 6.4 ha sido objeto de impugnación en diversos conflictos de competencia promovidos contra el Real Decreto 395/2007, habiendo merecido la consiguiente respuesta por parte de este Tribunal en varias Sentencias, y, de manera más extensa, en la STC 88/2014, de 9 de junio, FJ 6, en la que afirmamos lo siguiente:</w:t>
      </w:r>
    </w:p>
    <w:p w:rsidR="00AC56D6" w:rsidRDefault="00AC56D6" w:rsidP="00AC56D6">
      <w:pPr>
        <w:pStyle w:val="TextoNormal"/>
      </w:pPr>
    </w:p>
    <w:p w:rsidR="00AC56D6" w:rsidRDefault="00AC56D6" w:rsidP="00AC56D6">
      <w:pPr>
        <w:pStyle w:val="TextoNormal"/>
      </w:pPr>
      <w:r>
        <w:t xml:space="preserve">“El artículo 6 viene a distinguir, en el ámbito de los fondos de formación profesional para el empleo, entre los destinados a financiar subvenciones gestionadas por las Comunidades Autónomas (apartado 3) y los fondos que se destinen en la Ley de presupuestos generales del Estado a financiar subvenciones gestionadas por el Servicio Público de Empleo Estatal (apartado 4). Y, en lo que respecta a estos últimos, el art. 6.4 viene a establecer los criterios </w:t>
      </w:r>
      <w:r>
        <w:lastRenderedPageBreak/>
        <w:t>generales que habrán de ser tenidos en cuenta para que proceda la gestión de las subvenciones por el citado servicio público de empleo.</w:t>
      </w:r>
    </w:p>
    <w:p w:rsidR="00AC56D6" w:rsidRDefault="00AC56D6" w:rsidP="00AC56D6">
      <w:pPr>
        <w:pStyle w:val="TextoNormal"/>
      </w:pPr>
    </w:p>
    <w:p w:rsidR="00AC56D6" w:rsidRDefault="00AC56D6" w:rsidP="00AC56D6">
      <w:pPr>
        <w:pStyle w:val="TextoNormal"/>
      </w:pPr>
      <w:r>
        <w:t>Una cuestión similar a la presente, ha sido objeto de análisis en la reciente STC 22/2014, de 13 de febrero, en la que, recogiendo una consolidada doctrina constitucional al respecto, señalamos que ‘la controversia trabada en relación con este precepto viene a plantear cuestiones relacionadas con la territorialidad de las competencias ejecutivas autonómicas, así como con la correlativa utilización de la supraterritorialidad como criterio de atribución de competencias ejecutivas al Estado, por lo que, siguiendo los postulados señalados en nuestra doctrina, debe recordarse que el principio de territorialidad de las competencias autonómicas significa, en lo que aquí interesa, que esas competencias deben tener por objeto fenómenos, situaciones o relaciones radicadas en el territorio de la propia Comunidad Autónoma. Ello no implica necesariamente que cuando el fenómeno objeto de las competencias autonómicas se extiende a más de una Comunidad Autónoma, éstas pierdan en todo caso y de forma automática, la competencia, y que la titularidad de la misma deba trasladarse necesariamente al Estado; semejante traslado de la titularidad, que ha de ser excepcional, sólo puede producirse cuando no quepa establecer ningún punto de conexión que permita el ejercicio de las competencias autonómicas o cuando además del carácter suprautonómico del fenómeno objeto de la competencia, no sea posible el fraccionamiento de la actividad pública ejercida sobre él y, aún en este caso, siempre que dicha actuación tampoco pueda ejercerse mediante mecanismos de cooperación o de coordinación y, por ello, requiera de un grado de homogeneidad que sólo pueda garantizar su atribución a un único titular, forzosamente el Estado, y cuando sea necesario recurrir a un ente supraordenado con capacidad para integrar intereses contrapuestos de sus componentes parciales, sin olvidar el peligro inminente de daños irreparables que nos sitúa en el terreno del estado de necesidad … Habrá de ser pues, de conformidad con estos parámetros, como ha de procederse el examen pormenorizado de los preceptos impugnados.’ (FJ 2).</w:t>
      </w:r>
    </w:p>
    <w:p w:rsidR="00AC56D6" w:rsidRDefault="00AC56D6" w:rsidP="00AC56D6">
      <w:pPr>
        <w:pStyle w:val="TextoNormal"/>
      </w:pPr>
    </w:p>
    <w:p w:rsidR="00AC56D6" w:rsidRDefault="00AC56D6" w:rsidP="00AC56D6">
      <w:pPr>
        <w:pStyle w:val="TextoNormal"/>
      </w:pPr>
      <w:r>
        <w:t>Continúa señalando la Sentencia que ‘de acuerdo con la doctrina de este Tribunal ya reproducida, si bien el desplazamiento de las competencias autonómicas y su asunción por el Estado en supuestos de supraterritorialidad no está constitucionalmente impedida, sí que reviste un carácter excepcional, pues la regla general, en el caso de competencias ejecutivas, será su asunción por las Comunidades Autónomas en los casos en los que, conforme a la delimitación de competencias en la materia de que se trate, éstas ostenten las competencias de dicha naturaleza. La concurrencia de la excepcionalidad justificativa de la asunción de competencias ejecutivas por el Estado habrá de ser valorada, por tanto, en relación a cada caso concreto, atendiendo tanto a los argumentos aportados para fundamentar dicha excepcionalidad en la asunción de funciones ejecutivas (así, STC 194/2011, de 13 de diciembre, FJ 6), como a que se establezca un criterio de delimitación competencial congruente con el régimen jurídico de la materia de que se trate (en los mismos términos, STC 95/2013, de 23 de abril, FJ 9), lo que en este caso, obliga a acudir a las disposiciones que reglamenten y desarrollen en el futuro los concretos programas.’ [STC 22/2014, FJ 2 a)].</w:t>
      </w:r>
    </w:p>
    <w:p w:rsidR="00AC56D6" w:rsidRDefault="00AC56D6" w:rsidP="00AC56D6">
      <w:pPr>
        <w:pStyle w:val="TextoNormal"/>
      </w:pPr>
    </w:p>
    <w:p w:rsidR="00AC56D6" w:rsidRDefault="00AC56D6" w:rsidP="00AC56D6">
      <w:pPr>
        <w:pStyle w:val="TextoNormal"/>
      </w:pPr>
      <w:r>
        <w:t xml:space="preserve">Las anteriores conclusiones son aplicables al supuesto que se examina, habida cuenta de que el mismo efectúa una mera declaración enunciativa de las circunstancias o criterios que habrán de aplicarse a los planes o acciones formativas, para que su financiación pueda realizarse mediante subvenciones gestionadas por el Servicio público de empleo estatal, criterios que se plasmarán en las disposiciones que reglamenten en el futuro dichas acciones </w:t>
      </w:r>
      <w:r>
        <w:lastRenderedPageBreak/>
        <w:t>formativas. Serán pues estas disposiciones, en las que se concreten las distintas acciones formativas, las que permitirán apreciar si concurren o no las circunstancias justificativas de la excepcionalidad determinante de la atribución al Estado de facultades de gestión.</w:t>
      </w:r>
    </w:p>
    <w:p w:rsidR="00AC56D6" w:rsidRDefault="00AC56D6" w:rsidP="00AC56D6">
      <w:pPr>
        <w:pStyle w:val="TextoNormal"/>
      </w:pPr>
    </w:p>
    <w:p w:rsidR="00AC56D6" w:rsidRDefault="00AC56D6" w:rsidP="00AC56D6">
      <w:pPr>
        <w:pStyle w:val="TextoNormal"/>
      </w:pPr>
      <w:r>
        <w:t>A ello cabe añadir que las características o criterios aplicables a las acciones formativas que el precepto regula, se incluyen dentro de los supuestos en los que se ha venido considerando por la jurisprudencia constitucional que concurren las circunstancias justificativas de la excepcionalidad determinante de la atribución al Estado de las facultades de gestión. En concreto, y en materia de formación profesional, hemos afirmado que ‘el ámbito estatal de los destinatarios de las ayudas (confederaciones empresariales y/o sindicales más representativas en el nivel estatal; planes amparados en la negociación colectiva sectorial de ámbito estatal; federaciones y confederaciones de cooperativas, sociedades laborales y asociaciones de trabajadores autónomos con implantación en el ámbito estatal) y muy especialmente, el contenido y naturaleza de las acciones formativas financiadas (formación de carácter intersectorial; atención a necesidades formativas en aspectos transversales u horizontales en varios sectores de la actividad económica; formación a empresas de diferentes sectores productivos y situadas en diferentes Comunidades Autónomas, etc.) son todas ellas circunstancias que ponen de relieve el ámbito supraterritorial de desenvolvimiento de las acciones formativas, y, con ello, la exigencia ineludible de una coordinación homogénea, desarrollada por un único titular, como único medio para integrar los diversos componentes multisectoriales e interterritoriales implicados en la gestión y tramitación de estas ayudas, que hacen imposible su fraccionamiento y determinan que haya de ser el Estado, a través del INEM el que asuma las funciones de gestión y tramitación, en los términos contemplados en el supuesto que se analiza’ (STC 244/2012, FJ 7).</w:t>
      </w:r>
    </w:p>
    <w:p w:rsidR="00AC56D6" w:rsidRDefault="00AC56D6" w:rsidP="00AC56D6">
      <w:pPr>
        <w:pStyle w:val="TextoNormal"/>
      </w:pPr>
    </w:p>
    <w:p w:rsidR="00AC56D6" w:rsidRDefault="00AC56D6" w:rsidP="00AC56D6">
      <w:pPr>
        <w:pStyle w:val="TextoNormal"/>
      </w:pPr>
      <w:r>
        <w:t>No resulta otra conclusión distinta de los propios términos de la demanda planteada por la Junta de Galicia, que se sustenta sobre la mera posibilidad de una futura interpretación expansiva de los supuestos contemplados en este precepto, argumento que permite afirmar que se trata ‘no de la denuncia de una vulneración actual y efectiva de las competencias autonómicas, sino, como máximo, de un alegato meramente preventivo construido a partir de un determinado entendimiento del tenor literal de dicho artículo, de suerte que aceptar esta tacha conduciría a llevar a cabo un pronunciamiento también preventivo, algo que hemos rechazado de forma reiterada’ (por todas, STC 6/2013, de 17 de enero, FJ 3).”</w:t>
      </w:r>
    </w:p>
    <w:p w:rsidR="00AC56D6" w:rsidRDefault="00AC56D6" w:rsidP="00AC56D6">
      <w:pPr>
        <w:pStyle w:val="TextoNormal"/>
      </w:pPr>
    </w:p>
    <w:p w:rsidR="00AC56D6" w:rsidRDefault="00AC56D6" w:rsidP="00AC56D6">
      <w:pPr>
        <w:pStyle w:val="TextoNormal"/>
      </w:pPr>
      <w:r>
        <w:t xml:space="preserve">Esto es, en dicha Sentencia se recogió la doctrina tradicional de este Tribunal acerca de que la supraterritorialidad no representa por sí sola un criterio atributivo de competencias y que la posibilidad de que el Estado asuma la gestión es excepcional y debe ser objeto de interpretación restrictiva, analizando los criterios del art. 6.4 del Real Decreto 395/2007 y su ajuste a las previsiones constitucionales, para remitir a continuación la decisión última sobre la cuestión a las concretas acciones formativas en las que tengan plasmación los criterios generales establecidos en el citado precepto, en el entendimiento de que el mismo efectuaba una declaración meramente enunciativa de determinadas circunstancias y criterios aplicables a los planes formativos a fin de que la financiación mediante las correspondientes subvenciones fueran gestionadas desde el Estado, pero dejando la plasmación de tales criterios a las disposiciones reglamentarias que regularan dichas acciones formativas o a los actos que las convocaran, de manera que fueran en cada caso las disposiciones o resoluciones que concretaran las distintas acciones formativas las que permitieran apreciar la concurrencia o no de las circunstancias justificativas de la excepcionalidad determinante de la </w:t>
      </w:r>
      <w:r>
        <w:lastRenderedPageBreak/>
        <w:t>atribución al Estado de las facultades de gestión. Además, la demanda planteada en aquel caso se sustentaba sobre la mera posibilidad de una futura interpretación expansiva de los supuestos contemplados en el citado art. 6.4, de modo que la impugnación del precepto fue rechazada finalmente al no tratarse de la denuncia de una vulneración actual y efectiva de las competencias autonómicas, sino de una impugnación meramente preventiva, que partía de un entendimiento determinado del precepto, posibilidad rechazada reiteradamente por nuestra doctrina, en la medida en que conduciría también a un pronunciamiento preventivo.</w:t>
      </w:r>
    </w:p>
    <w:p w:rsidR="00AC56D6" w:rsidRDefault="00AC56D6" w:rsidP="00AC56D6">
      <w:pPr>
        <w:pStyle w:val="TextoNormal"/>
      </w:pPr>
    </w:p>
    <w:p w:rsidR="00AC56D6" w:rsidRDefault="00AC56D6" w:rsidP="00AC56D6">
      <w:pPr>
        <w:pStyle w:val="TextoNormal"/>
      </w:pPr>
      <w:r>
        <w:t>Por tanto, será preciso dilucidar caso por caso, ante cada concreta acción formativa, si se produce o no una efectiva concurrencia de circunstancias que justifiquen la excepcionalidad determinante de la atribución al Estado de las facultades de gestión.</w:t>
      </w:r>
    </w:p>
    <w:p w:rsidR="00AC56D6" w:rsidRDefault="00AC56D6" w:rsidP="00AC56D6">
      <w:pPr>
        <w:pStyle w:val="TextoNormal"/>
      </w:pPr>
    </w:p>
    <w:p w:rsidR="00AC56D6" w:rsidRDefault="00AC56D6" w:rsidP="00AC56D6">
      <w:pPr>
        <w:pStyle w:val="TextoNormal"/>
      </w:pPr>
      <w:r w:rsidRPr="00AC56D6">
        <w:rPr>
          <w:rStyle w:val="NumeroAFNegritaCaracter"/>
        </w:rPr>
        <w:t>7</w:t>
      </w:r>
      <w:r>
        <w:t>. En el supuesto de la resolución de 22 de septiembre de 2009, aquí impugnada, los programas que se subvencionan se encuentran dirigidos, según especifica su título, a la formación e inserción laboral a favor de jóvenes desempleados en situación o con riesgo de exclusión social, contempladas en el art. 22.1 b) y en el tercer párrafo del art. 6.4 del Real Decreto 395/2007. El art. 1 de la expresada resolución se refiere a su objeto y ámbito de aplicación, señalando, en primer lugar, en cuanto a los destinatarios de los programas, que las subvenciones están destinadas a la realización de un programa de carácter curricular que, incluyendo la orientación, formación, integración e inserción en el empleo, genere las competencias que permitan a los jóvenes desempleados menores de 25 años, en situación o con riesgo de exclusión social y que tengan necesidades formativas especiales y dificultades para su inserción o recualificación profesional, adaptarse a los nuevos requerimientos del sistema productivo (apartado 1). A continuación, concreta en su apartado 2 los extremos que justifican la gestión centralizada de las ayudas disponiendo que “la ejecución de los proyectos de formación afectará a un ámbito territorial superior al de una Comunidad Autónoma y facilitará la movilidad de los participantes en los mismos requiriendo por tanto la coordinación unificada del Servicio Público de Empleo Estatal, según lo establecido en el artículo 13, apartado e) de la Ley 56/2003, de Empleo, sin perjuicio de lo establecido en la disposición adicional cuarta de la misma Ley”. Estas últimas previsiones no aparecen especificadas posteriormente al identificar y definir las acciones subvencionables (art. 3), ni los criterios de valoración (art. 8), sino tan sólo en el art. 4.1 b), cuando se señala que pueden solicitar las subvenciones las asociaciones o fundaciones “cuya actuación sea de ámbito nacional”.</w:t>
      </w:r>
    </w:p>
    <w:p w:rsidR="00AC56D6" w:rsidRDefault="00AC56D6" w:rsidP="00AC56D6">
      <w:pPr>
        <w:pStyle w:val="TextoNormal"/>
      </w:pPr>
    </w:p>
    <w:p w:rsidR="00AC56D6" w:rsidRDefault="00AC56D6" w:rsidP="00AC56D6">
      <w:pPr>
        <w:pStyle w:val="TextoNormal"/>
      </w:pPr>
      <w:r>
        <w:t>Con estas previsiones no podemos sino afirmar que no queda justificada la gestión centralizada de las subvenciones, pues la resolución ha construido un supuesto de gestión centralizada por parte del Servicio Público de Empleo Estatal que aparentemente se ajustaría al conjunto de los criterios del art. 6.4 del Real Decreto 395/2007, pero que, en realidad, no hace otra cosa que ir añadiendo una serie de notas que no coinciden estrictamente con las del citado precepto y que, de acuerdo con nuestra jurisprudencia, recogida extensamente con anterioridad, no permitirían en ningún caso atribuir la gestión de las subvenciones a un órgano estatal, privando de la misma a las Comunidades Autónomas, que tienen atribuidas las competencias de ejecución en virtud de sus respectivos Estatutos de Autonomía.</w:t>
      </w:r>
    </w:p>
    <w:p w:rsidR="00AC56D6" w:rsidRDefault="00AC56D6" w:rsidP="00AC56D6">
      <w:pPr>
        <w:pStyle w:val="TextoNormal"/>
      </w:pPr>
    </w:p>
    <w:p w:rsidR="00AC56D6" w:rsidRDefault="00AC56D6" w:rsidP="00AC56D6">
      <w:pPr>
        <w:pStyle w:val="TextoNormal"/>
      </w:pPr>
      <w:r>
        <w:t xml:space="preserve">Así, en primer lugar, no basta con establecer que la ejecución de los proyectos de formación afectará a un ámbito territorial superior al de una Comunidad Autónoma. La adición </w:t>
      </w:r>
      <w:r>
        <w:lastRenderedPageBreak/>
        <w:t>de esta precisión demuestra que las acciones subvencionables pueden ejecutarse perfectamente por separado en cada Comunidad Autónoma, que no hay nada en la configuración de las mismas que impida su gestión por las respectivas autoridades autonómicas, a las que de manera natural corresponde la competencia, porque es precisamente la inclusión de esa previsión en cuanto al ámbito territorial de los efectos la que dota a las acciones de ámbito supraterritorial, cuando deberían ser las acciones subvencionables, por sí mismas, las que hubiesen sido configuradas por la Administración estatal de manera que exigieran, más que un ámbito de ejecución supraautonómico, la necesidad de que la gestión fuera estatal. En otro caso, si la ejecución puede tener un alcance supraterritorial, lo que compete al Estado es fijar con la debida precisión los puntos de conexión que permitan la ejecución autonómica de las medidas, en lugar de asumir por sólo esta circunstancia la gestión de las actuaciones de que se trate.</w:t>
      </w:r>
    </w:p>
    <w:p w:rsidR="00AC56D6" w:rsidRDefault="00AC56D6" w:rsidP="00AC56D6">
      <w:pPr>
        <w:pStyle w:val="TextoNormal"/>
      </w:pPr>
    </w:p>
    <w:p w:rsidR="00AC56D6" w:rsidRDefault="00AC56D6" w:rsidP="00AC56D6">
      <w:pPr>
        <w:pStyle w:val="TextoNormal"/>
      </w:pPr>
      <w:r>
        <w:t>En esta línea discursiva, como se advierte en la STC 113/2013, de 9 de mayo, FJ 6, la condición de que las actividades financiadas tengan un ámbito territorial de más de una Comunidad Autónoma, es decir que las actividades a desarrollar afecten a un ámbito geográfico supraautonómico, tampoco puede justificar, por sí misma, la excepcional asunción de competencias de gestión por el Estado y el correlativo desplazamiento de las competencias autonómicas.</w:t>
      </w:r>
    </w:p>
    <w:p w:rsidR="00AC56D6" w:rsidRDefault="00AC56D6" w:rsidP="00AC56D6">
      <w:pPr>
        <w:pStyle w:val="TextoNormal"/>
      </w:pPr>
    </w:p>
    <w:p w:rsidR="00AC56D6" w:rsidRDefault="00AC56D6" w:rsidP="00AC56D6">
      <w:pPr>
        <w:pStyle w:val="TextoNormal"/>
      </w:pPr>
      <w:r>
        <w:t>Tampoco es el ámbito nacional de actuación de las asociaciones o fundaciones una circunstancia que permita justificar per se la reserva de la gestión de las subvenciones al Estado, ya que, de acuerdo con la doctrina de este Tribunal, establecida, entre otras, en la STC 38/2012, de 26 de marzo, FJ 5, ésta no es, por sí misma, una razón suficiente para proceder a la centralización total de la gestión de las ayudas: “El criterio territorial del radio de acción de los solicitantes no puede resultar relevante, pues el ejercicio de las competencias de desarrollo de las ayudas y de gestión de las mismas por parte de la Comunidad Autónoma cabría siempre en la medida en que el programa se ejecute en su propio territorio. Por tanto, el hecho de que las entidades beneficiarias de las ayudas vengan desarrollando su actividad, o lo tengan previsto en su título constitutivo, en distintas Comunidades Autónomas no puede determinar, por sí solo, la centralización de la regulación y la gestión de aquéllas”.</w:t>
      </w:r>
    </w:p>
    <w:p w:rsidR="00AC56D6" w:rsidRDefault="00AC56D6" w:rsidP="00AC56D6">
      <w:pPr>
        <w:pStyle w:val="TextoNormal"/>
      </w:pPr>
    </w:p>
    <w:p w:rsidR="00AC56D6" w:rsidRDefault="00AC56D6" w:rsidP="00AC56D6">
      <w:pPr>
        <w:pStyle w:val="TextoNormal"/>
      </w:pPr>
      <w:r w:rsidRPr="00AC56D6">
        <w:rPr>
          <w:rStyle w:val="NumeroAFNegritaCaracter"/>
        </w:rPr>
        <w:t>8</w:t>
      </w:r>
      <w:r>
        <w:t>. El último dato que cualifica estas subvenciones, y que debería, en conjunción con los anteriores, justificar que la gestión se lleve a cabo de manera centralizada por el Servicio Público de Empleo Estatal, es que, aparte de que la acción afecte a un ámbito geográfico superior al de una Comunidad Autónoma, la ejecución de los proyectos “facilitará la movilidad de los participantes en los mismos” (art. 1.2 de la resolución de 22 de septiembre de 2009). El Abogado del Estado ha hecho hincapié en este aspecto, señalando que la aplicación de criterios unificados sería difícilmente alcanzable si se fragmentaran las convocatorias, lo que exige ajustarse a criterios homogéneos en un mecanismo que contempla la movilidad geográfica de sus destinatarios, y que no se sobrepasen las cuantías previstas para la subvención, cuya singularidad no hace posible la pretensión de reparto de fondos, ya que no podrían lograrse los objetivos de uniformidad que se pretenden.</w:t>
      </w:r>
    </w:p>
    <w:p w:rsidR="00AC56D6" w:rsidRDefault="00AC56D6" w:rsidP="00AC56D6">
      <w:pPr>
        <w:pStyle w:val="TextoNormal"/>
      </w:pPr>
    </w:p>
    <w:p w:rsidR="00AC56D6" w:rsidRDefault="00AC56D6" w:rsidP="00AC56D6">
      <w:pPr>
        <w:pStyle w:val="TextoNormal"/>
      </w:pPr>
      <w:r>
        <w:t xml:space="preserve">Pues bien, lo primero que se ha de advertir es que la previsión del art. 1.2 de la resolución impugnada, a diferencia de los categóricos términos del art. 6.4 del Real Decreto 395/2007 (en el que la movilidad geográfica debe ser una consecuencia ineluctable de la ejecución de las acciones para justificar la gestión centralizada por el Estado de las subvenciones), tan </w:t>
      </w:r>
      <w:r>
        <w:lastRenderedPageBreak/>
        <w:t>sólo implica que uno de los posibles efectos de cada concreto proyecto es que se produzca esa movilidad de los participantes en la acción formativa, pero lo cierto es que el diseño de las acciones subvencionables que se efectúa en el art. 3 no permite deducir como inexcusable esa consecuencia de la movilidad, como tampoco puede deducirse del objetivo principal que asigna a estas ayudas el art. 1.1 de la resolución (“generar competencias que permitan que los jóvenes desempleados menores de 25 años, en situación o con riesgo de exclusión social y que tengan necesidades formativas especiales y dificultades para su inserción o recualificación profesional, se adapten a los nuevos requerimientos del sistema productivo”), ni constituye un parámetro exigible para la concesión de la subvención, dado que en el art. 8 de la resolución, en el que se determinan los requisitos valorables para la adjudicación, no se incluye este criterio, de modo que el favorecimiento de la movilidad territorial de los participantes en los proyectos de formación no pasa de ser tan solo un posible efecto remoto de la ejecución de los programas, y no el objeto principal o una condición indispensable de los mismos.</w:t>
      </w:r>
    </w:p>
    <w:p w:rsidR="00AC56D6" w:rsidRDefault="00AC56D6" w:rsidP="00AC56D6">
      <w:pPr>
        <w:pStyle w:val="TextoNormal"/>
      </w:pPr>
    </w:p>
    <w:p w:rsidR="00AC56D6" w:rsidRDefault="00AC56D6" w:rsidP="00AC56D6">
      <w:pPr>
        <w:pStyle w:val="TextoNormal"/>
      </w:pPr>
      <w:r>
        <w:t>Esta precisión acerca de la movilidad resultaba imprescindible máxime cuando en doctrina reciente el Pleno de este Tribunal ha abordado dicha circunstancia como justificación a la reserva de la gestión centralizada por parte del Estado en la STC 25/2015, de 19 de febrero, al resolver el conflicto positivo de competencia núm. 3321-2008, dirigido contra el Real Decreto 1721/2007, de 21 de diciembre, por el que se establece el régimen de becas y ayudas al estudio personalizadas, Sentencia en la que se negó que dicha movilidad sirviera como excusa para que el Estado retuviera en su poder las facultades de ejecución. Y al igual que allí se señalaba para las becas de movilidad, que implicaban el traslado de alumnos de una Comunidad Autónoma a otra, las razones aportadas por la representación del Estado en el presente asunto no son suficientes para justificar que la actuación centralizada por parte del Estado resulte imprescindible. En primer lugar, se recuerda en el fundamento jurídico 4 de dicha Sentencia, con cita de la STC 188/2001, de 20 de septiembre, FJ 10, que no son alegables posibles dificultades previas, que pueden solucionarse con diversas técnicas, comenzando con “una planificación que determine ... el tipo de proyectos que deba ser objeto de la actuación estratégica. La información que al respecto posea el Estado, junto con la proveniente de las Comunidades Autónomas, permite alcanzar criterios objetivos para distribuir territorialmente los fondos presupuestarios, con lo cual no tienen por qué producirse quiebras relevantes en la garantía de alcanzarse las mismas posibilidades de obtención de la subvención en todo el territorio nacional. En segundo lugar, mediante el establecimiento de mecanismos de cooperación y coordinación, a través de los cuales puede garantizarse la eficacia de las medidas que constituyen el objeto del Plan”. También dijimos que el argumento del agotamiento de los fondos no resulta determinante, puesto que “pueden arbitrarse sistemas de cooperación que posibiliten el desplazamiento de los fondos”.</w:t>
      </w:r>
    </w:p>
    <w:p w:rsidR="00AC56D6" w:rsidRDefault="00AC56D6" w:rsidP="00AC56D6">
      <w:pPr>
        <w:pStyle w:val="TextoNormal"/>
      </w:pPr>
    </w:p>
    <w:p w:rsidR="00AC56D6" w:rsidRDefault="00AC56D6" w:rsidP="00AC56D6">
      <w:pPr>
        <w:pStyle w:val="TextoNormal"/>
      </w:pPr>
      <w:r>
        <w:t>Por otra parte, la movilidad “no es, por sí misma, una razón suficiente para proceder a la centralización total de la regulación del régimen de otorgamiento y de la gestión de tales ayudas, pues el ejercicio de las competencias de gestión de las mismas por parte de la Comunidad Autónoma cabría siempre en la medida en que el programa se ejecute en su propio territorio. ‘Y es que, en definitiva, la garantía de la eficacia de la normativa estatal ha de cohonestarse con el respeto al principio de autonomía, de modo que … las dificultades que pudieran existir ... no pueden ser alegadas para eludir competencias que constitucionalmente correspondan a una Comunidad Autónoma… (SSTC 106/1987, FJ 4; y 186/1999, de 14 de octubre, FJ 10)’ (STC 159/2011, de 19 de octubre, FJ 7)” (STC 25/2015, FJ 5).</w:t>
      </w:r>
    </w:p>
    <w:p w:rsidR="00AC56D6" w:rsidRDefault="00AC56D6" w:rsidP="00AC56D6">
      <w:pPr>
        <w:pStyle w:val="TextoNormal"/>
      </w:pPr>
    </w:p>
    <w:p w:rsidR="00AC56D6" w:rsidRDefault="00AC56D6" w:rsidP="00AC56D6">
      <w:pPr>
        <w:pStyle w:val="TextoNormal"/>
      </w:pPr>
      <w:r>
        <w:t>No se puede soslayar, además, que, como se señala en dicha Sentencia, la fijación en la normativa de criterios precisos reduce la discrecionalidad e intensifica la conexión con el objeto perseguido, haciendo aún más inexcusable la gestión autonómica de las subvenciones. Y ello resulta todavía más patente en una materia como la laboral, en la que corresponde al Estado la competencia plena sobre la regulación, lo que le permite fijar, con el detalle que considere necesario, las condiciones y los requisitos que deben reunir tanto las entidades que puedan optar a la obtención de las subvenciones para la organización de las actuaciones formativas como los que deben ostentar quienes puedan participar en las mismas, de manera que se garantice su aplicación homogénea en todo el territorio nacional. “Así, el Estado, en virtud de las competencias normativas que posee en esta materia, puede establecer los puntos de conexión territorial que estime oportunos para posibilitar la gestión autonómica de estas ayudas, sin que, por lo expuesto, pueda tomarse en consideración el argumento relativo a la posible existencia de intereses contrapuestos entre las Comunidades Autónomas, pues el Estado puede establecer cuanto estime oportuno en relación con este tipo de becas … En suma, lo que el Estado debió hacer, en aplicación de la doctrina constitucional en la materia (SSTC 188/2001 y 212/2005) y con sustento en sus facultades de coordinación, fue instrumentar mecanismos que permitieran a las Comunidades Autónomas afectadas realizar la gestión de las ayudas, integrando su actividad del modo que resultase más adecuado, sin que a este Tribunal le corresponda señalar ni el alcance ni la intensidad de los mecanismos que deben ponerse en marcha al efecto” (STC 25/2015, FJ 5).</w:t>
      </w:r>
    </w:p>
    <w:p w:rsidR="00AC56D6" w:rsidRDefault="00AC56D6" w:rsidP="00AC56D6">
      <w:pPr>
        <w:pStyle w:val="TextoNormal"/>
      </w:pPr>
    </w:p>
    <w:p w:rsidR="00AC56D6" w:rsidRDefault="00AC56D6" w:rsidP="00AC56D6">
      <w:pPr>
        <w:pStyle w:val="TextoNormal"/>
      </w:pPr>
      <w:r w:rsidRPr="00AC56D6">
        <w:rPr>
          <w:rStyle w:val="NumeroAFNegritaCaracter"/>
        </w:rPr>
        <w:t>9</w:t>
      </w:r>
      <w:r>
        <w:t xml:space="preserve">. Finalmente, ha de privarse también de eficacia justificativa de la reserva de la gestión de las subvenciones al Servicio Público de Empleo Estatal la previsión de que la ejecución de los proyectos requiera la coordinación unificada por parte de dicho órgano, pues, aparte de que es una consecuencia que se supone aneja a las otras dos circunstancias (la supraterritorialidad y la posible movilidad de los participantes), la necesidad de coordinación estatal no se solventa reservando al Estado la competencia ejecutiva (supuesto que se produce, por el contrario, cuando la coordinación no permite solucionar la cuestión), sino a través de la competencia de coordinación general que ostenta, como complemento inherente a su competencia en la materia, para garantizar que no haya disfunciones, y que presupone la existencia de competencias de las Comunidades Autónomas que deben ser coordinadas, y que el Estado debe respetar al desarrollar su función de coordinación. En efecto, ya dijo este Tribunal en la STC 32/1983, de 28 de abril, FJ 2, que la coordinación “persigue la integración de la diversidad de las partes o subsistemas en el conjunto o sistema, evitando contradicciones y reduciendo disfunciones que, de subsistir, impedirían o dificultarían respectivamente la realidad misma del sistema”. Asimismo, hemos señalado (STC 194/2004, de 4 de noviembre, FJ 8) que esa competencia estatal de coordinación general significa no sólo que hay que coordinar las partes o subsistemas, sino que corresponde al Estado llevar a cabo la coordinación, debiendo ser entendida ésta como la fijación de medios y de sistemas de relación que hagan posible la información recíproca, la homogeneidad técnica en determinados aspectos y la acción conjunta de las autoridades estatales y comunitarias en el ejercicio de sus respectivas competencias de tal modo que se logre la integración de actos parciales en la globalidad del sistema. Además, la coordinación guarda estrecha conexión con las competencias normativas (como es el caso), ya que, como se afirma en la STC 40/1998, de 19 de febrero, FJ 52, cuando el Estado es titular de competencias legislativas plenas sobre una materia, “no puede desentenderse en absoluto de la ejecución autonómica de la legislación estatal ... pues cuando se trata de ejecutar una legislación, propia del Estado, los deberes </w:t>
      </w:r>
      <w:r>
        <w:lastRenderedPageBreak/>
        <w:t>de colaboración y auxilio mutuo entre las autoridades estatales y autonómicas, que se encuentran implícitos en la propia esencia de la forma de organización territorial del Estado (STC 18/1982, de 4 de mayo), han de entenderse intensificados en la medida en que el Estado no puede desentenderse de la aplicación adecuada y de la interpretación uniforme de la Ley”. Por último, la competencia de coordinación no otorga a su titular competencias que no ostente, especialmente facultades de gestión complementarias, de suerte que, implicando lógicamente su ejercicio la existencia de competencias autonómicas que deben ser coordinadas, en ningún caso puede aquél suponer la invasión y el vaciamiento de las mismas (STC 194/2004, FJ 8).</w:t>
      </w:r>
    </w:p>
    <w:p w:rsidR="00AC56D6" w:rsidRDefault="00AC56D6" w:rsidP="00AC56D6">
      <w:pPr>
        <w:pStyle w:val="TextoNormal"/>
      </w:pPr>
    </w:p>
    <w:p w:rsidR="00AC56D6" w:rsidRDefault="00AC56D6" w:rsidP="00AC56D6">
      <w:pPr>
        <w:pStyle w:val="TextoNormal"/>
      </w:pPr>
      <w:r>
        <w:t>En definitiva, la competencia en materia de coordinación no autoriza al Estado “para atraer hacia su órbita de actividad cualquier competencia de las Comunidades Autónomas por el mero hecho de que su ejercicio pueda incidir en el desarrollo de las competencias estatales sobre determinadas materias. La coordinación no supone ‘una sustracción o menoscabo de las competencias de las entidades sometidas a la misma: antes bien, presupone, lógicamente, la titularidad de las competencias en favor de la entidad coordinada’ (STC 27/1987, de 27 de febrero); por lo que no puede servir de instrumento para asumir competencias autonómicas, ni siquiera respecto de una parte del objeto material sobre el que recaen” [STC 227/1988, de 29 de noviembre, FJ 20 e)].</w:t>
      </w:r>
    </w:p>
    <w:p w:rsidR="00AC56D6" w:rsidRDefault="00AC56D6" w:rsidP="00AC56D6">
      <w:pPr>
        <w:pStyle w:val="TextoNormal"/>
      </w:pPr>
    </w:p>
    <w:p w:rsidR="00AC56D6" w:rsidRDefault="00AC56D6" w:rsidP="00AC56D6">
      <w:pPr>
        <w:pStyle w:val="TextoNormal"/>
      </w:pPr>
      <w:r>
        <w:t>Y en el presente supuesto no se advierte en la resolución impugnada la existencia de ninguna circunstancia que suponga un obstáculo para que el Estado pueda llevar a cabo en debida forma su potestad de coordinación para solventar las posibles disfunciones que se pudieran producir en la gestión de las subvenciones, máxime cuando el propio Estado, en ejercicio de sus competencias normativas plenas, puede fijar, con el grado de detalle que considere necesario, todas las condiciones relativas a las subvenciones de que se trata, incluidos los puntos de conexión precisos, por lo que no está justificado desposeer a las Comunidades Autónomas de la gestión al socaire de esa necesidad de coordinación unificada.</w:t>
      </w:r>
    </w:p>
    <w:p w:rsidR="00AC56D6" w:rsidRDefault="00AC56D6" w:rsidP="00AC56D6">
      <w:pPr>
        <w:pStyle w:val="TextoNormal"/>
      </w:pPr>
    </w:p>
    <w:p w:rsidR="00AC56D6" w:rsidRDefault="00AC56D6" w:rsidP="00AC56D6">
      <w:pPr>
        <w:pStyle w:val="TextoNormal"/>
      </w:pPr>
      <w:r w:rsidRPr="00AC56D6">
        <w:rPr>
          <w:rStyle w:val="NumeroAFNegritaCaracter"/>
        </w:rPr>
        <w:t>10</w:t>
      </w:r>
      <w:r>
        <w:t>. Como consecuencia de todo lo hasta aquí expuesto, no concurriendo los presupuestos precisos para que el Estado se reservara la gestión centralizada de las subvenciones objeto de la resolución impugnada, debemos concluir que no hay razón alguna para que los fondos no fueran territorializados ni para que la gestión de los mismos dejara de encomendarse a las Comunidades Autónomas, a las que corresponden las competencias de ejecución en la materia. Por consiguiente, siendo la Resolución de 22 de septiembre de 2009, del Servicio Público de Empleo Estatal, que aquí se controvierte, un acto ejecutivo que se limita a convocar la concesión de determinadas subvenciones, como ya se sostuvo en un supuesto similar en la STC 78/2014, de 28 de mayo, FJ 8, hay que entender que conculca en su integridad las competencias de la Comunidad Autónoma de Galicia, pues, con arreglo a la doctrina más arriba recogida, la gestión de las expresadas subvenciones debe ser de competencia autonómica, careciendo el Estado de atribuciones que le permitan dictar un acto de convocatoria de las mismas.</w:t>
      </w:r>
    </w:p>
    <w:p w:rsidR="00AC56D6" w:rsidRDefault="00AC56D6" w:rsidP="00AC56D6">
      <w:pPr>
        <w:pStyle w:val="TextoNormal"/>
      </w:pPr>
    </w:p>
    <w:p w:rsidR="00AC56D6" w:rsidRDefault="00AC56D6" w:rsidP="00AC56D6">
      <w:pPr>
        <w:pStyle w:val="TextoNormal"/>
      </w:pPr>
      <w:r>
        <w:t xml:space="preserve">Una vez llegados a este punto, sólo nos resta pronunciarnos sobre el alcance de las consecuencias de la vulneración de competencias que hemos apreciado. Es evidente que la resolución controvertida ha agotado todos sus efectos, dado que establecía un plazo de presentación de solicitudes de veinte días naturales a partir de su publicación en el “Boletín Oficial del Estado”, que tuvo lugar el 23 de octubre de 2009. Por consiguiente, partiendo de </w:t>
      </w:r>
      <w:r>
        <w:lastRenderedPageBreak/>
        <w:t>nuestra doctrina tradicional sobre la concesión de subvenciones en supuestos en los que ya se han agotado sus efectos, según la cual no procede que queden afectadas situaciones jurídicas ya consolidadas (entre otras muchas, SSTC 75/1989, de 24 de abril; 13/1992, de 6 de febrero; 79/1992, de 28 de mayo; 186/1989, de 14 de octubre; 175/2003, de 30 de septiembre; 230/2003, de 18 de diciembre), la pretensión de la Xunta de Galicia puede estimarse satisfecha mediante la declaración de la titularidad de la competencia controvertida, sin que la declaración de la infracción competencial implique la de aquellas resoluciones que han concedido o denegado las subvenciones cuestionadas, ya dictadas, notificadas y ejecutadas.</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Estimar el conflicto positivo de competencia núm. 974-2010 y, en consecuencia, declarar, con los efectos previstos en el fundamento jurídico 10 de la presente Sentencia, que la Resolución de 22 de septiembre de 2009, del Servicio Público de Empleo Estatal, por la que se convoca la concesión de subvenciones para la realización de programas específicos de formación e inserción laboral a favor de los jóvenes desempleados en situación o con riesgo de exclusión social, vulnera las competencias de la Xunta de Galicia.</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siete de septiembre de dos mil quince.</w:t>
      </w:r>
    </w:p>
    <w:p w:rsidR="00AC56D6" w:rsidRDefault="00AC56D6" w:rsidP="00AC56D6">
      <w:pPr>
        <w:pStyle w:val="ParrafoNormal"/>
      </w:pPr>
    </w:p>
    <w:p w:rsidR="00AC56D6" w:rsidRDefault="00AC56D6" w:rsidP="00AC56D6">
      <w:pPr>
        <w:pStyle w:val="TextoNormalNegritaCentrado"/>
        <w:keepNext/>
      </w:pPr>
      <w:r>
        <w:t>Voto particular concurrente que formula la Magistrada doña Adela Asua Batarrita a la Sentencia dictada en el conflicto positivo de competencia núm. 974-2010.</w:t>
      </w:r>
    </w:p>
    <w:p w:rsidR="00AC56D6" w:rsidRDefault="00AC56D6" w:rsidP="00AC56D6">
      <w:pPr>
        <w:pStyle w:val="TextoNormalNegritaCentrado"/>
        <w:keepNext/>
      </w:pPr>
    </w:p>
    <w:p w:rsidR="00AC56D6" w:rsidRDefault="00AC56D6" w:rsidP="00AC56D6">
      <w:pPr>
        <w:pStyle w:val="TextoNormal"/>
      </w:pPr>
      <w:r>
        <w:t>En ejercicio de la facultad que me confiere el art. 90.2 de la Ley Orgánica del Tribunal Constitucional, formulo Voto concurrente respecto a la Sentencia citada en el encabezamiento.</w:t>
      </w:r>
    </w:p>
    <w:p w:rsidR="00AC56D6" w:rsidRDefault="00AC56D6" w:rsidP="00AC56D6">
      <w:pPr>
        <w:pStyle w:val="TextoNormal"/>
      </w:pPr>
    </w:p>
    <w:p w:rsidR="00AC56D6" w:rsidRDefault="00AC56D6" w:rsidP="00AC56D6">
      <w:pPr>
        <w:pStyle w:val="TextoNormal"/>
      </w:pPr>
      <w:r>
        <w:t>Estoy de acuerdo con el sentido del fallo aprobado por la mayoría de la Sala pero, por las razones que ya expuse en el Voto particular que formulé a la STC 88/2014, de 9 de junio (que resolvía el conflicto positivo de competencia núm. 6767-2007, promovido por la Xunta de Galicia, en relación con el Real Decreto 395/2007, de 23 de marzo), al cual me remito, a mi juicio la regulación contenida en el art. 6.4 del Real Decreto 395/2007 no debía haber jugado como criterio para la asunción de funciones ejecutivas por la Administración general del Estado; como allí expuse, dicho precepto en ningún caso puede servir como justificación para atribuir competencias ejecutivas al Estado ya que, conforme a reiterada jurisprudencia de este Tribunal, el criterio de la supraterritorialidad en que se funda no permite tal atribución.</w:t>
      </w:r>
    </w:p>
    <w:p w:rsidR="00AC56D6" w:rsidRDefault="00AC56D6" w:rsidP="00AC56D6">
      <w:pPr>
        <w:pStyle w:val="TextoNormal"/>
      </w:pPr>
    </w:p>
    <w:p w:rsidR="00AC56D6" w:rsidRDefault="00AC56D6" w:rsidP="00AC56D6">
      <w:pPr>
        <w:pStyle w:val="TextoNormal"/>
      </w:pPr>
      <w:r>
        <w:t>Y en este sentido emito mi Voto particular.</w:t>
      </w:r>
    </w:p>
    <w:p w:rsidR="00AC56D6" w:rsidRDefault="00AC56D6" w:rsidP="00AC56D6">
      <w:pPr>
        <w:pStyle w:val="TextoNormal"/>
      </w:pPr>
    </w:p>
    <w:p w:rsidR="00AC56D6" w:rsidRDefault="00AC56D6" w:rsidP="00AC56D6">
      <w:pPr>
        <w:pStyle w:val="TextoNormal"/>
      </w:pPr>
      <w:r>
        <w:lastRenderedPageBreak/>
        <w:t>Madrid, a ocho de septiembre de dos mil quince.</w:t>
      </w:r>
    </w:p>
    <w:p w:rsidR="00AC56D6" w:rsidRDefault="00AC56D6" w:rsidP="00AC56D6">
      <w:pPr>
        <w:pStyle w:val="TextoNormal"/>
      </w:pPr>
    </w:p>
    <w:p w:rsidR="00AC56D6" w:rsidRDefault="00AC56D6" w:rsidP="00AC56D6">
      <w:pPr>
        <w:pStyle w:val="TextoNormalNegritaCentrado"/>
        <w:keepNext/>
      </w:pPr>
      <w:r>
        <w:t>Voto particular que formula el Magistrado don Juan José González Rivas respecto de la Sentencia de 7 de septiembre de 2015, dictada en el conflicto positivo de competencia núm. 974-2010.</w:t>
      </w:r>
    </w:p>
    <w:p w:rsidR="00AC56D6" w:rsidRDefault="00AC56D6" w:rsidP="00AC56D6">
      <w:pPr>
        <w:pStyle w:val="TextoNormalNegritaCentrado"/>
        <w:keepNext/>
      </w:pPr>
    </w:p>
    <w:p w:rsidR="00AC56D6" w:rsidRDefault="00AC56D6" w:rsidP="00AC56D6">
      <w:pPr>
        <w:pStyle w:val="TextoNormal"/>
      </w:pPr>
      <w:r>
        <w:t>Con el mayor respeto a la posición mayoritaria y haciendo uso de la facultad reconocida en el art. 90.2 de la Ley Orgánica del Tribunal Constitucional, formulo Voto particular.</w:t>
      </w:r>
    </w:p>
    <w:p w:rsidR="00AC56D6" w:rsidRDefault="00AC56D6" w:rsidP="00AC56D6">
      <w:pPr>
        <w:pStyle w:val="TextoNormal"/>
      </w:pPr>
    </w:p>
    <w:p w:rsidR="00AC56D6" w:rsidRDefault="00AC56D6" w:rsidP="00AC56D6">
      <w:pPr>
        <w:pStyle w:val="TextoNormal"/>
      </w:pPr>
      <w:r>
        <w:t>En mi opinión, el rechazo de la necesidad de la gestión centralizada por parte del Estado abordada en la sentencia en el fundamento jurídico 8, con referencia a la STC 25/2015, Pleno, de 19 de febrero, al resolver el conflicto positivo de competencia núm. 3321-2008, dirigido contra el Real Decreto 1721/2007, de 21 de diciembre, por el que se establece el régimen de becas y ayudas al estudio personalizadas, en la medida que en su art. 1.4 regulaba como no territorializadas las becas de movilidad (“las destinadas a cursar estudios en comunidad autónoma distinta a la del domicilio familiar del estudiante”), me lleva a discrepar de tal planteamiento, como ya hice, sustancialmente, con ocasión de dicha Sentencia, en la medida que declaraba que la movilidad territorial que entrañaban tales becas no justificaba desposeer a las Comunidades Autónomas de la gestión al socaire de la necesidad de gestión unificada.</w:t>
      </w:r>
    </w:p>
    <w:p w:rsidR="00AC56D6" w:rsidRDefault="00AC56D6" w:rsidP="00AC56D6">
      <w:pPr>
        <w:pStyle w:val="TextoNormal"/>
      </w:pPr>
    </w:p>
    <w:p w:rsidR="00AC56D6" w:rsidRDefault="00AC56D6" w:rsidP="00AC56D6">
      <w:pPr>
        <w:pStyle w:val="TextoNormal"/>
      </w:pPr>
      <w:r>
        <w:t>Por el contrario, en el Voto particular que entonces suscribí y ahora ratifico expuse que, en mi criterio, precisamente la movilidad territorial que motiva dichas becas y ayudas al estudio es lo que determinaba que se diesen los requisitos que la doctrina constitucional venía exigiendo para que procediera la gestión centralizada. En este sentido, argumenté en aquel Voto que “el traslado al Estado de la titularidad de la competencia de gestión sólo puede tener lugar, ‘cuando, además del alcance territorial superior al de una Comunidad Autónoma del objeto de la competencia, la actividad pública que sobre él se ejerza no sea susceptible de fraccionamiento y, aun en este caso, cuando dicha actuación no pueda llevarse a cabo mediante mecanismos de cooperación o coordinación, sino que requiera un grado de homogeneidad que sólo pueda garantizar su atribución a un solo titular, que forzosamente deba ser el Estado, o cuando sea necesario recurrir a un ente con capacidad de integrar intereses contrapuestos de varias Comunidades Autónomas’ doctrina reiterada en las SSTC 243/1994, de 21 de julio, FJ 6; 242/1999, de 21 de diciembre, FJ 18; 190/2000, de 13 de julio, FJ 9, y 113/2013, de 9 de mayo, FJ 7, y que entiendo era de plena aplicación en la cuestión planteada para haber propiciado la reserva competencial al Estado en el marco jurídico del reiterado artículo 1.4 del Real Decreto 1721/2007 en el punto relativo a las becas de movilidad”.</w:t>
      </w:r>
    </w:p>
    <w:p w:rsidR="00AC56D6" w:rsidRDefault="00AC56D6" w:rsidP="00AC56D6">
      <w:pPr>
        <w:pStyle w:val="TextoNormal"/>
      </w:pPr>
    </w:p>
    <w:p w:rsidR="00AC56D6" w:rsidRDefault="00AC56D6" w:rsidP="00AC56D6">
      <w:pPr>
        <w:pStyle w:val="TextoNormal"/>
      </w:pPr>
      <w:r>
        <w:t xml:space="preserve">En suma, conforme a la misma </w:t>
      </w:r>
      <w:r w:rsidRPr="00AC56D6">
        <w:rPr>
          <w:i/>
        </w:rPr>
        <w:t>ratio</w:t>
      </w:r>
      <w:r>
        <w:t>, en este caso estaría justificada la gestión centralizada conforme a los criterios de la STC 13/1992, de 6 de febrero, en materia de subvenciones, apartado d), al ostentar el Estado un título competencial para intervenir en la materia (149.1.7 CE) y resultar la gestión centralizada imprescindible, debido a la movilidad territorial de los destinatarios buscada con las ayudas que aquí se enjuician, para asegurar la plena efectividad de las medidas dentro de la ordenación básica del sector y para garantizar las mismas posibilidades de obtención y disfrute por parte de sus potenciales destinatarios en todo el territorio nacional.</w:t>
      </w:r>
    </w:p>
    <w:p w:rsidR="00AC56D6" w:rsidRDefault="00AC56D6" w:rsidP="00AC56D6">
      <w:pPr>
        <w:pStyle w:val="TextoNormal"/>
      </w:pPr>
    </w:p>
    <w:p w:rsidR="00AC56D6" w:rsidRDefault="00AC56D6" w:rsidP="00AC56D6">
      <w:pPr>
        <w:pStyle w:val="TextoNormal"/>
      </w:pPr>
      <w:r>
        <w:t>En este punto, la permanencia en el acervo estatal de la gestión de un programa de subvenciones cuando lo exige algún elemento de su configuración es admisible en nuestra Constitución (SSTC 195/1996, de 28 de noviembre, FJ 11; 89/2012, de 7 de marzo, FJ 6; 95/2013, de 23 de abril, FJ 7), sobre todo cuando, como en el caso, nos encontramos ante un supuesto en que los efectos o consecuencias de hecho tienen alcance supracomunitario y la dimensión extraterritorial forma parte esencial de la configuración del régimen y función de las ayudas convocadas máxime teniendo en cuenta el ámbito territorial superior al de una Comunidad Autónoma y la movilidad de los participantes, requiriendo por tanto la coordinación unificada del Servicio Público de Empleo Estatal, según lo establecido en el art. 13, apartado e) de la Ley 56/2003, de empleo. Todo ello declarado por la STC 88/2014, de 9 de junio y las precedentes que en ella se citan y de las que, a mi juicio, se aparta esta resolución.</w:t>
      </w:r>
    </w:p>
    <w:p w:rsidR="00AC56D6" w:rsidRDefault="00AC56D6" w:rsidP="00AC56D6">
      <w:pPr>
        <w:pStyle w:val="TextoNormal"/>
      </w:pPr>
    </w:p>
    <w:p w:rsidR="00AC56D6" w:rsidRDefault="00AC56D6" w:rsidP="00AC56D6">
      <w:pPr>
        <w:pStyle w:val="TextoNormal"/>
      </w:pPr>
      <w:r>
        <w:t>En este sentido emito este Voto particular.</w:t>
      </w:r>
    </w:p>
    <w:p w:rsidR="00AC56D6" w:rsidRDefault="00AC56D6" w:rsidP="00AC56D6">
      <w:pPr>
        <w:pStyle w:val="TextoNormal"/>
      </w:pPr>
    </w:p>
    <w:p w:rsidR="00AC56D6" w:rsidRDefault="00AC56D6" w:rsidP="00AC56D6">
      <w:pPr>
        <w:pStyle w:val="TextoNormal"/>
      </w:pPr>
      <w:r>
        <w:t>Madrid, a siete de septiembre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35" w:name="SENTENCIA_2015_179"/>
      <w:r>
        <w:lastRenderedPageBreak/>
        <w:t>SENTENCIA 179/2015, de 7 de septiembre de 2015</w:t>
      </w:r>
    </w:p>
    <w:bookmarkEnd w:id="35"/>
    <w:p w:rsidR="00AC56D6" w:rsidRDefault="00AC56D6" w:rsidP="00AC56D6">
      <w:pPr>
        <w:pStyle w:val="TtuloResolucin"/>
      </w:pPr>
      <w:r>
        <w:t>Sala Segunda</w:t>
      </w:r>
    </w:p>
    <w:p w:rsidR="00AC56D6" w:rsidRDefault="00AC56D6" w:rsidP="00AC56D6">
      <w:pPr>
        <w:pStyle w:val="TtuloBOE"/>
      </w:pPr>
      <w:r>
        <w:t>(BOE núm. 245, de 13 de octubre de 2015)</w:t>
      </w:r>
    </w:p>
    <w:p w:rsidR="00AC56D6" w:rsidRDefault="00AC56D6" w:rsidP="00AC56D6">
      <w:pPr>
        <w:pStyle w:val="TextoNormalCentrado"/>
      </w:pPr>
      <w:r>
        <w:t>ECLI:ES:TC:2015:179</w:t>
      </w:r>
    </w:p>
    <w:p w:rsidR="00AC56D6" w:rsidRDefault="00AC56D6" w:rsidP="00AC56D6">
      <w:pPr>
        <w:pStyle w:val="TextoNormalCentrado"/>
      </w:pPr>
    </w:p>
    <w:p w:rsidR="00AC56D6" w:rsidRDefault="00AC56D6" w:rsidP="00AC56D6">
      <w:pPr>
        <w:pStyle w:val="SntesisDescriptiva"/>
      </w:pPr>
      <w:r>
        <w:t>Recurso de amparo 2649-2013. Sala Segunda. Sentencia 179/2015, de 7 de septiembre de 2015. Promovido por Antonio Cano e Hijos, S.A., respecto del Auto de la Sala de lo Contencioso-Administrativo del Tribunal Supremo que inadmitió su recurso de casación frente a una Sentencia de la Audiencia Nacional relativa a la liquidación del arancel aduanero común y el impuesto sobre el valor añadido.</w:t>
      </w:r>
    </w:p>
    <w:p w:rsidR="00AC56D6" w:rsidRDefault="00AC56D6" w:rsidP="00AC56D6">
      <w:pPr>
        <w:pStyle w:val="SntesisDescriptiva"/>
      </w:pPr>
    </w:p>
    <w:p w:rsidR="00AC56D6" w:rsidRDefault="00AC56D6" w:rsidP="00AC56D6">
      <w:pPr>
        <w:pStyle w:val="SntesisAnaltica"/>
      </w:pPr>
      <w:r>
        <w:t>Supuesta vulneración de los derechos a la tutela judicial efectiva (acceso al recurso) y a la igualdad ante la ley: inadmisión de un recurso de casación basada en la omisión, en el escrito de preparación, de la cita de las normas y jurisprudencia que el recurrente consideraba infringidas (STC 7/2015).</w:t>
      </w:r>
    </w:p>
    <w:p w:rsidR="00AC56D6" w:rsidRDefault="00AC56D6" w:rsidP="00AC56D6">
      <w:pPr>
        <w:pStyle w:val="SntesisAnaltica"/>
      </w:pPr>
    </w:p>
    <w:p w:rsidR="00AC56D6" w:rsidRDefault="00AC56D6" w:rsidP="00AC56D6">
      <w:pPr>
        <w:pStyle w:val="Extracto"/>
      </w:pPr>
      <w:r>
        <w:t>1.</w:t>
      </w:r>
      <w:r>
        <w:tab/>
        <w:t>Los problemas planteados en la demanda de amparo respecto de la inadmisión de un recurso de casación por omitirse en el escrito de preparación la cita de las normas y jurisprudencia que se reputase infringidas han sido ya abordados por la STC 7/2015 [FFJJ 2, 3].</w:t>
      </w:r>
    </w:p>
    <w:p w:rsidR="00AC56D6" w:rsidRDefault="00AC56D6" w:rsidP="00AC56D6">
      <w:pPr>
        <w:pStyle w:val="Extracto"/>
      </w:pPr>
    </w:p>
    <w:p w:rsidR="00AC56D6" w:rsidRDefault="00AC56D6" w:rsidP="00AC56D6">
      <w:pPr>
        <w:pStyle w:val="Extracto"/>
      </w:pPr>
      <w:r>
        <w:t>2.</w:t>
      </w:r>
      <w:r>
        <w:tab/>
        <w:t>La parte demandante no procedió a complementar el escrito de preparación inicialmente presentado para ajustarlo al nuevo criterio jurisprudencial, ni siquiera después de que le fuera notificada la providencia mediante la que el Tribunal Supremo abría el trámite de alegaciones sobre la posible concurrencia de la causa de inadmisión derivada del defecto advertido [FJ 3].</w:t>
      </w:r>
    </w:p>
    <w:p w:rsidR="00AC56D6" w:rsidRDefault="00AC56D6" w:rsidP="00AC56D6">
      <w:pPr>
        <w:pStyle w:val="Extracto"/>
      </w:pPr>
    </w:p>
    <w:p w:rsidR="00AC56D6" w:rsidRDefault="00AC56D6" w:rsidP="00AC56D6">
      <w:pPr>
        <w:pStyle w:val="Extracto"/>
      </w:pPr>
      <w:r>
        <w:t>3.</w:t>
      </w:r>
      <w:r>
        <w:tab/>
        <w:t>No concurren las excepcionales circunstancias apreciadas en el caso resuelto en la STC 7/2015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Pedro José González-Trevijano Sánchez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amparo número 2649-2013, promovido por Antonio Cano e Hijos S.A, representada por la Procuradora de los Tribunales doña María Dolores Girón Arjonilla y asistido por el Abogado don Antonio Ruiz-Giménez Aguilar, contra la providencia de 12 de marzo de 2013 de la Sección Primera de la Sala de lo Contencioso-Administrativo del Tri</w:t>
      </w:r>
      <w:r>
        <w:lastRenderedPageBreak/>
        <w:t>bunal Supremo, que declaró la inadmisión del incidente de nulidad de actuaciones interpuesto frente al Auto de la Sala, de 20 de diciembre de 2012, que inadmitió el recurso de casación núm. 1553-2012. Ha comparecido el Abogado del Estado, en la representación que ostenta, y ha intervenido el Ministerio Fiscal. Ha sido Ponente el Magistrado don Fernando Valdés Dal-Ré,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registrado en este Tribunal el 3 de mayo de 2013, doña María Dolores Girón Arjonilla, Procuradora de los Tribunales, actuando en nombre y representación de Antonio Cano e Hijos, S.A., interpuso recurso de amparo contra las resoluciones judiciales que se mencionan en el encabezamiento.</w:t>
      </w:r>
    </w:p>
    <w:p w:rsidR="00AC56D6" w:rsidRDefault="00AC56D6" w:rsidP="00AC56D6">
      <w:pPr>
        <w:pStyle w:val="TextoNormal"/>
      </w:pPr>
    </w:p>
    <w:p w:rsidR="00AC56D6" w:rsidRDefault="00AC56D6" w:rsidP="00AC56D6">
      <w:pPr>
        <w:pStyle w:val="TextoNormal"/>
      </w:pPr>
      <w:r w:rsidRPr="00AC56D6">
        <w:rPr>
          <w:rStyle w:val="NumeroAFNegritaCaracter"/>
        </w:rPr>
        <w:t>2</w:t>
      </w:r>
      <w:r>
        <w:t>. Los hechos en que se funda la demanda de amparo son, en síntesis, los siguientes:</w:t>
      </w:r>
    </w:p>
    <w:p w:rsidR="00AC56D6" w:rsidRDefault="00AC56D6" w:rsidP="00AC56D6">
      <w:pPr>
        <w:pStyle w:val="TextoNormal"/>
      </w:pPr>
    </w:p>
    <w:p w:rsidR="00AC56D6" w:rsidRDefault="00AC56D6" w:rsidP="00AC56D6">
      <w:pPr>
        <w:pStyle w:val="TextoNormal"/>
      </w:pPr>
      <w:r>
        <w:t>a) La representación procesal de la demandante de amparo, en escrito fechado el 29 de abril de 2012 y al amparo del art. 88.1 de la Ley reguladora de la jurisdicción contencioso-administrativa (LJCA), manifestó su intención de interponer recurso de casación contra la Sentencia de 12 de marzo de 2012 de la Sala de lo Contencioso-Administrativo (Sección Séptima) de la Audiencia Nacional, dictada en el recurso núm. 116-2010, relativo a arancel aduanero común e impuesto sobre el valor añadido (IVA) a la importación. Se encuadraba ese acto procesal en el seno de un proceso de impugnación de una resolución del Tribunal Económico-Administrativo Central, de 15 de diciembre de 2009, que desestimó la reclamación económico-administrativa deducida por la sociedad ahora recurrente contra el acuerdo del Tribunal Económico-Administrativo Regional de Andalucía —Sala de Málaga— de 24 de abril de 2008, que a su vez había rechazado la reclamación formulada contra la liquidación que practicó la dependencia provincial de aduanas e impuestos especiales de Málaga (DUA-I núm. 2911-4-300218), por un importe total de 762.894,49 €.</w:t>
      </w:r>
    </w:p>
    <w:p w:rsidR="00AC56D6" w:rsidRDefault="00AC56D6" w:rsidP="00AC56D6">
      <w:pPr>
        <w:pStyle w:val="TextoNormal"/>
      </w:pPr>
    </w:p>
    <w:p w:rsidR="00AC56D6" w:rsidRDefault="00AC56D6" w:rsidP="00AC56D6">
      <w:pPr>
        <w:pStyle w:val="TextoNormal"/>
      </w:pPr>
      <w:r>
        <w:t>b) Por providencia de 21 de junio de 2012, la Sala de lo Contencioso-Administrativo del Tribunal Supremo acordó conceder a las partes del recurso de casación núm. 1553-2012 un plazo de diez días para que formularan alegaciones acerca de la posible concurrencia de las siguientes causas de inadmisión del recurso:</w:t>
      </w:r>
    </w:p>
    <w:p w:rsidR="00AC56D6" w:rsidRDefault="00AC56D6" w:rsidP="00AC56D6">
      <w:pPr>
        <w:pStyle w:val="TextoNormal"/>
      </w:pPr>
    </w:p>
    <w:p w:rsidR="00AC56D6" w:rsidRDefault="00AC56D6" w:rsidP="00AC56D6">
      <w:pPr>
        <w:pStyle w:val="TextoNormal"/>
      </w:pPr>
      <w:r>
        <w:t>“1º) Estar exceptuada del recurso de casación la resolución judicial impugnada por haber recaído en un asunto cuya cuantía no excede de 600.000 euros, en relación con la liquidación relativa al IVA de importación, pues según consta en el expediente administrativo, ni la cuota líquida (115.690,93 euros), ni los intereses de demora anudados a la misma, superan la referida cifra (arts. 86.2.b) LJCA, en la redacción dada al referido precepto por el artículo Tercero.Seis de la Ley 37/2011, de 10 de octubre de Medidas de Agilización Procesal, 42.1.a y 41.3) LJCA). En este sentido Autos de este Tribunal de 14/02/2008 y 18/02/2010, recursos nº 3356/2007 y 4369/2008).</w:t>
      </w:r>
    </w:p>
    <w:p w:rsidR="00AC56D6" w:rsidRDefault="00AC56D6" w:rsidP="00AC56D6">
      <w:pPr>
        <w:pStyle w:val="TextoNormal"/>
      </w:pPr>
    </w:p>
    <w:p w:rsidR="00AC56D6" w:rsidRDefault="00AC56D6" w:rsidP="00AC56D6">
      <w:pPr>
        <w:pStyle w:val="TextoNormal"/>
      </w:pPr>
      <w:r>
        <w:t xml:space="preserve">2º. Además, pese a lo anterior, el recurso es inadmisible en su integridad, por no haberse hecho indicación en el escrito de preparación del recurso de las correspondientes infracciones normativas o jurisprudenciales que se desarrollaran [en] el escrito de interposición (arts. </w:t>
      </w:r>
      <w:r>
        <w:lastRenderedPageBreak/>
        <w:t>88.1, 89.1 y 93.2.a) LJCA y Auto de esta Sala de 10 de febrero de 2011, Recurso de Casación número 2927/2010).”</w:t>
      </w:r>
    </w:p>
    <w:p w:rsidR="00AC56D6" w:rsidRDefault="00AC56D6" w:rsidP="00AC56D6">
      <w:pPr>
        <w:pStyle w:val="TextoNormal"/>
      </w:pPr>
    </w:p>
    <w:p w:rsidR="00AC56D6" w:rsidRDefault="00AC56D6" w:rsidP="00AC56D6">
      <w:pPr>
        <w:pStyle w:val="TextoNormal"/>
      </w:pPr>
      <w:r>
        <w:t>c) La parte recurrente presentó alegaciones en dicho trámite mediante escrito de fecha 11 de julio de 2012, en el que solicitaba la admisión del recurso. En lo relativo a la segunda causa de inadmisión transcrita, manifestaba la sociedad ahora demandante de amparo su discrepancia con el Auto de 20 de febrero de 2011, origen del nuevo criterio procesal aplicado a los escritos de preparación de la casación, y sostenía haber cumplido los requisitos procesales a tenor de lo dispuesto en el art. 89.1 LJCA. Aquel nuevo criterio jurisprudencial, decía en su alegato, representaba un exceso carente de apoyo legal, resultando injusto, rigorista y desproporcionado, contrario al principio pro actione y causante de indefensión, con violación del derecho de acceso al recurso (que integra el art. 24.1 CE) y del principio de igualdad (art. 14 CE), conforme a una comparación de trato entre el recurrente y quienes prepararon recursos similares en el pasado que fueron admitidos con una simple invocación del art. 88.1 LJCA.</w:t>
      </w:r>
    </w:p>
    <w:p w:rsidR="00AC56D6" w:rsidRDefault="00AC56D6" w:rsidP="00AC56D6">
      <w:pPr>
        <w:pStyle w:val="TextoNormal"/>
      </w:pPr>
    </w:p>
    <w:p w:rsidR="00AC56D6" w:rsidRDefault="00AC56D6" w:rsidP="00AC56D6">
      <w:pPr>
        <w:pStyle w:val="TextoNormal"/>
      </w:pPr>
      <w:r>
        <w:t>d) Por Auto de 20 de diciembre de 2012, la Sala Tercera del Tribunal Supremo (Sección Primera) declaró la inadmisión del recurso de casación. La resolución se apoya en la doctrina sentada en el antes citado ATS de 10 de febrero de 2011, dictado en el recurso de casación núm. 2927-2010, a la vista del cual concluía el Alto Tribunal que, al no contener el escrito de preparación del recurso la cita de las infracciones normativas o jurisprudenciales a desarrollar en el escrito de interposición, procedía la inadmisión por defectuosa preparación, sin que ello implicase lesión alguna del derecho a la tutela judicial efectiva (reproducía parcialmente la STC 37/1995, de 7 de febrero).</w:t>
      </w:r>
    </w:p>
    <w:p w:rsidR="00AC56D6" w:rsidRDefault="00AC56D6" w:rsidP="00AC56D6">
      <w:pPr>
        <w:pStyle w:val="TextoNormal"/>
      </w:pPr>
    </w:p>
    <w:p w:rsidR="00AC56D6" w:rsidRDefault="00AC56D6" w:rsidP="00AC56D6">
      <w:pPr>
        <w:pStyle w:val="TextoNormal"/>
      </w:pPr>
      <w:r>
        <w:t>e) Contra el Auto de inadmisión de 20 de diciembre de 2012 fue promovido incidente de nulidad de actuaciones, invocándose el derecho a la tutela judicial efectiva en su vertiente de acceso a los recursos (art. 24.1 CE) y el principio de igualdad ante la Ley (art. 14 CE). Dicho remedio procesal fue inadmitido por providencia de 12 de marzo de 2013. La resolución judicial reiteraba lo que sostuvo el Auto de 20 de diciembre de 2012 en lo relativo al derecho de acceso a los recursos y, en cuanto a la alegación del art. 14 CE, razonaba que, según la doctrina del Tribunal Constitucional y del Tribunal Supremo citadas en su fundamentación, el cambio de criterio jurisprudencial es legítimo si es razonado y posee vocación de futuro, como sería el caso.</w:t>
      </w:r>
    </w:p>
    <w:p w:rsidR="00AC56D6" w:rsidRDefault="00AC56D6" w:rsidP="00AC56D6">
      <w:pPr>
        <w:pStyle w:val="TextoNormal"/>
      </w:pPr>
    </w:p>
    <w:p w:rsidR="00AC56D6" w:rsidRDefault="00AC56D6" w:rsidP="00AC56D6">
      <w:pPr>
        <w:pStyle w:val="TextoNormal"/>
      </w:pPr>
      <w:r w:rsidRPr="00AC56D6">
        <w:rPr>
          <w:rStyle w:val="NumeroAFNegritaCaracter"/>
        </w:rPr>
        <w:t>3</w:t>
      </w:r>
      <w:r>
        <w:t>. La demanda de amparo aduce la vulneración del derecho a la igualdad en la aplicación judicial de la ley (art 14 CE) y del derecho a la tutela judicial efectiva sin indefensión, en su vertiente del acceso a los recursos (art. 24.1 CE). En síntesis, las vulneraciones de este segundo derecho se asientan en los siguientes argumentos: i) que el incidente de nulidad debió ser admitido a trámite y enjuiciado en su planteamiento de fondo (aunque acepta la demanda de amparo, pese a lo señalado, que la providencia de 12 de marzo de 2013 entró a examinar las denuncias efectuadas); ii) que la alteración del criterio aplicado por el Tribunal Supremo a los escritos de preparación de los recursos de casación, iniciada en el ATS de 10 de febrero de 2011, no encuentra fundamento en un cambio normativo y tampoco acomodo en el espíritu y letra de la ley; en suma, que la nueva interpretación de la norma procesal resulta arbitraria, injusta, desproporcionada y restrictiva para la efectividad del derecho de acceso a los recursos, soslayándose el principio pro actione.</w:t>
      </w:r>
    </w:p>
    <w:p w:rsidR="00AC56D6" w:rsidRDefault="00AC56D6" w:rsidP="00AC56D6">
      <w:pPr>
        <w:pStyle w:val="TextoNormal"/>
      </w:pPr>
    </w:p>
    <w:p w:rsidR="00AC56D6" w:rsidRDefault="00AC56D6" w:rsidP="00AC56D6">
      <w:pPr>
        <w:pStyle w:val="TextoNormal"/>
      </w:pPr>
      <w:r>
        <w:lastRenderedPageBreak/>
        <w:t>Por su parte, aduce desde la perspectiva del art. 14 CE: i) que el cambio de criterio jurisprudencial ha sido irreflexivo y arbitrario, carente de base y fundamento, forzando la interpretación de la norma; ii) que la nueva interpretación coloca a la sociedad demandante de amparo en situación de desigualdad respecto del resto de recurrentes en casación que, al amparo de la misma norma, vieron admitidos en el pasado sus recursos.</w:t>
      </w:r>
    </w:p>
    <w:p w:rsidR="00AC56D6" w:rsidRDefault="00AC56D6" w:rsidP="00AC56D6">
      <w:pPr>
        <w:pStyle w:val="TextoNormal"/>
      </w:pPr>
    </w:p>
    <w:p w:rsidR="00AC56D6" w:rsidRDefault="00AC56D6" w:rsidP="00AC56D6">
      <w:pPr>
        <w:pStyle w:val="TextoNormal"/>
      </w:pPr>
      <w:r w:rsidRPr="00AC56D6">
        <w:rPr>
          <w:rStyle w:val="NumeroAFNegritaCaracter"/>
        </w:rPr>
        <w:t>4</w:t>
      </w:r>
      <w:r>
        <w:t>. La Sección Cuarta de la Sala Segunda de este Tribunal, por Auto de 18 de noviembre de 2014, acordó declarar justificada la abstención para el conocimiento del presente recurso de amparo formulada por el Magistrado don Ricardo Enríquez Sancho, quedando definitivamente apartado del referido recurso y de todas sus incidencias.</w:t>
      </w:r>
    </w:p>
    <w:p w:rsidR="00AC56D6" w:rsidRDefault="00AC56D6" w:rsidP="00AC56D6">
      <w:pPr>
        <w:pStyle w:val="TextoNormal"/>
      </w:pPr>
    </w:p>
    <w:p w:rsidR="00AC56D6" w:rsidRDefault="00AC56D6" w:rsidP="00AC56D6">
      <w:pPr>
        <w:pStyle w:val="TextoNormal"/>
      </w:pPr>
      <w:r w:rsidRPr="00AC56D6">
        <w:rPr>
          <w:rStyle w:val="NumeroAFNegritaCaracter"/>
        </w:rPr>
        <w:t>5</w:t>
      </w:r>
      <w:r>
        <w:t>. Por providencia de 4 de diciembre de 2014, la Sección Cuarta de la Sala Segunda de este Tribunal acordó admitir a trámite la demanda de amparo. Asimismo, en aplicación de lo dispuesto en el art. 51 de la Ley Orgánica del Tribunal Constitucional (LOTC), dirigir atenta comunicación al Tribunal Económico-Administrativo Central, al Tribunal Supremo y a la Audiencia Nacional a fin de que, en el plazo de diez días, remitieran, respectivamente, certificación o fotocopia adverada del expediente R.G. 5931-2008, de las actuaciones correspondientes al recurso de casación núm. 1553-2012 y del recurso núm. 116-2010, solicitándose a la Audiencia Nacional el emplazamiento de quienes hubieran sido parte en el procedimiento, excepto la parte recurrente, para que pudieran comparecer en el recurso de amparo.</w:t>
      </w:r>
    </w:p>
    <w:p w:rsidR="00AC56D6" w:rsidRDefault="00AC56D6" w:rsidP="00AC56D6">
      <w:pPr>
        <w:pStyle w:val="TextoNormal"/>
      </w:pPr>
    </w:p>
    <w:p w:rsidR="00AC56D6" w:rsidRDefault="00AC56D6" w:rsidP="00AC56D6">
      <w:pPr>
        <w:pStyle w:val="TextoNormal"/>
      </w:pPr>
      <w:r w:rsidRPr="00AC56D6">
        <w:rPr>
          <w:rStyle w:val="NumeroAFNegritaCaracter"/>
        </w:rPr>
        <w:t>6</w:t>
      </w:r>
      <w:r>
        <w:t>. Por diligencia de ordenación de la Secretaría de Justicia de la Sala Segunda de este Tribunal, de fecha 10 de abril de 2015, se tuvo por personado y parte en el procedimiento al Abogado del Estado, en la representación que ostenta, como solicitó éste en escrito registrado el día 12 de diciembre de 2014. A tenor de lo dispuesto en el art. 52 LOTC, se dio vista de las actuaciones recibidas del Tribunal Supremo y de la Audiencia Nacional, por un plazo común de veinte días, al Ministerio Fiscal y a las partes personadas, para que dentro de dicho término pudieran presentar las alegaciones que a su derecho conviniera.</w:t>
      </w:r>
    </w:p>
    <w:p w:rsidR="00AC56D6" w:rsidRDefault="00AC56D6" w:rsidP="00AC56D6">
      <w:pPr>
        <w:pStyle w:val="TextoNormal"/>
      </w:pPr>
    </w:p>
    <w:p w:rsidR="00AC56D6" w:rsidRDefault="00AC56D6" w:rsidP="00AC56D6">
      <w:pPr>
        <w:pStyle w:val="TextoNormal"/>
      </w:pPr>
      <w:r w:rsidRPr="00AC56D6">
        <w:rPr>
          <w:rStyle w:val="NumeroAFNegritaCaracter"/>
        </w:rPr>
        <w:t>7</w:t>
      </w:r>
      <w:r>
        <w:t>. El Abogado del Estado presentó sus alegaciones mediante escrito registrado en este Tribunal el 12 de mayo de 2015, en el que interesa que se dicte sentencia desestimatoria de las pretensiones de la demanda. A su juicio, de acuerdo a lo dispuesto en diversas Sentencias de este Tribunal, iniciadas por la STC 7/2015, de 22 de enero, el Auto impugnado no vulnera derecho fundamental alguno.</w:t>
      </w:r>
    </w:p>
    <w:p w:rsidR="00AC56D6" w:rsidRDefault="00AC56D6" w:rsidP="00AC56D6">
      <w:pPr>
        <w:pStyle w:val="TextoNormal"/>
      </w:pPr>
    </w:p>
    <w:p w:rsidR="00AC56D6" w:rsidRDefault="00AC56D6" w:rsidP="00AC56D6">
      <w:pPr>
        <w:pStyle w:val="TextoNormal"/>
      </w:pPr>
      <w:r>
        <w:t>Señala adicionalmente que el recurso de casación se preparó más de un año después del cambio de criterio jurisprudencial, por lo que no se da un supuesto de inmediatez o proximidad con el Auto de 10 de febrero de 2011 que pudiera justificar el desconocimiento de la nueva doctrina por parte del recurrente y una consiguiente flexibilización ad casum de su aplicación, como considerara el Tribunal Constitucional en aquella STC 7/2015 en atención a las circunstancias entonces acreditadas (preparación del recurso de casación con anterioridad a la fecha del cambio jurisprudencial).</w:t>
      </w:r>
    </w:p>
    <w:p w:rsidR="00AC56D6" w:rsidRDefault="00AC56D6" w:rsidP="00AC56D6">
      <w:pPr>
        <w:pStyle w:val="TextoNormal"/>
      </w:pPr>
    </w:p>
    <w:p w:rsidR="00AC56D6" w:rsidRDefault="00AC56D6" w:rsidP="00AC56D6">
      <w:pPr>
        <w:pStyle w:val="TextoNormal"/>
      </w:pPr>
      <w:r w:rsidRPr="00AC56D6">
        <w:rPr>
          <w:rStyle w:val="NumeroAFNegritaCaracter"/>
        </w:rPr>
        <w:t>8</w:t>
      </w:r>
      <w:r>
        <w:t xml:space="preserve">. En fecha 13 de mayo de 2015 se registró el escrito de alegaciones de la sociedad recurrente de amparo, en el que reitera los argumentos contenidos en su demanda de amparo y apoya el criterio de los Votos particulares formulados a las SSTC 7/2015, de 22 de enero, </w:t>
      </w:r>
      <w:r>
        <w:lastRenderedPageBreak/>
        <w:t>y 16/2015, de 16 de febrero. Añade, de otra parte, que el Tribunal Supremo debió ofrecer expresamente la posibilidad de subsanación si consideraba preparado el recurso de manera irregular, cosa que no hizo.</w:t>
      </w:r>
    </w:p>
    <w:p w:rsidR="00AC56D6" w:rsidRDefault="00AC56D6" w:rsidP="00AC56D6">
      <w:pPr>
        <w:pStyle w:val="TextoNormal"/>
      </w:pPr>
    </w:p>
    <w:p w:rsidR="00AC56D6" w:rsidRDefault="00AC56D6" w:rsidP="00AC56D6">
      <w:pPr>
        <w:pStyle w:val="TextoNormal"/>
      </w:pPr>
      <w:r w:rsidRPr="00AC56D6">
        <w:rPr>
          <w:rStyle w:val="NumeroAFNegritaCaracter"/>
        </w:rPr>
        <w:t>9</w:t>
      </w:r>
      <w:r>
        <w:t>. El Ministerio Fiscal evacuó el trámite el 20 de mayo de 2015, interesando la desestimación del recurso. Como hiciera en su escrito el Abogado del Estado, resalta también el Fiscal que las cuestiones planteadas en este recurso han sido resueltas por la serie de Sentencias iniciada en la STC 7/2015, subrayando que no hubo en el presente supuesto un intento de subsanación de la parte recurrente asimilable al que dio lugar a la estimación de algunos recursos de dicha serie (SSTC 7/2015, de 22 de enero; 17/2015, de 16 de febrero; 20/2015, de 16 de febrero; 37/2015, de 2 de marzo; 38/2015, de 2 de marzo, y 52/2015, de 16 de marzo).</w:t>
      </w:r>
    </w:p>
    <w:p w:rsidR="00AC56D6" w:rsidRDefault="00AC56D6" w:rsidP="00AC56D6">
      <w:pPr>
        <w:pStyle w:val="TextoNormal"/>
      </w:pPr>
    </w:p>
    <w:p w:rsidR="00AC56D6" w:rsidRDefault="00AC56D6" w:rsidP="00AC56D6">
      <w:pPr>
        <w:pStyle w:val="TextoNormal"/>
      </w:pPr>
      <w:r w:rsidRPr="00AC56D6">
        <w:rPr>
          <w:rStyle w:val="NumeroAFNegritaCaracter"/>
        </w:rPr>
        <w:t>10</w:t>
      </w:r>
      <w:r>
        <w:t>. Por diligencia de ordenación de la Secretaría de Justicia de la Sala Segunda de este Tribunal, de fecha 20 de mayo de 2015, a tenor de lo dispuesto en el art. 52.1 LOTC, se dio vista de las actuaciones remitidas por el Tribunal Económico-Administrativo Regional de Andalucía —Sala de Málaga—, recibidas con posterioridad al traslado acordado en la anterior resolución de 10 de abril de 2015, concediéndose al Ministerio Fiscal y a las partes personadas un nuevo término de veinte días para que pudieran presentar las alegaciones que a su derecho conviniera. Tanto el Ministerio Fiscal, en escrito registrado el día 12 de junio de 2015, como el Abogado del Estado y la parte recurrente, que evacuaron el trámite el 22 de junio de 2015, se ratificaron en sus iniciales alegaciones.</w:t>
      </w:r>
    </w:p>
    <w:p w:rsidR="00AC56D6" w:rsidRDefault="00AC56D6" w:rsidP="00AC56D6">
      <w:pPr>
        <w:pStyle w:val="TextoNormal"/>
      </w:pPr>
    </w:p>
    <w:p w:rsidR="00AC56D6" w:rsidRDefault="00AC56D6" w:rsidP="00AC56D6">
      <w:pPr>
        <w:pStyle w:val="TextoNormal"/>
      </w:pPr>
      <w:r w:rsidRPr="00AC56D6">
        <w:rPr>
          <w:rStyle w:val="NumeroAFNegritaCaracter"/>
        </w:rPr>
        <w:t>11</w:t>
      </w:r>
      <w:r>
        <w:t>. Por providencia de 3 de septiembre de 2015 se señaló para deliberación y votación de la presente Sentencia el día 7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objeto del presente recurso es determinar si la decisión judicial de inadmitir el recurso de casación contencioso-administrativo núm. 1553-2012, por no haberse citado en el escrito de preparación los concretos preceptos o la jurisprudencia que se reputan infringidos, acordada por el Auto del Tribunal Supremo, de 20 de diciembre de 2012, y confirmada por la providencia de 12 de marzo de 2013, ha vulnerado el derecho a la tutela judicial efectiva (art. 24.1 CE) en su vertiente de derecho de acceso al recurso, por carecer el nuevo criterio jurisprudencial aplicado de amparo legal, y por ser rigorista y desproporcionado, y, en segundo lugar, el derecho a la igualdad en la aplicación de la ley (art. 14 CE), porque el cambio jurisprudencial que inauguró el Tribunal Supremo en el Auto de 10 de febrero de 2011 (recurso de casación núm. 2927-2010), cuya doctrina es aplicada al presente caso, revela una irreflexiva alteración de los requisitos de acceso al recurso causante de desigualdad en la aplicación de una misma norma a supuestos idénticos.</w:t>
      </w:r>
    </w:p>
    <w:p w:rsidR="00AC56D6" w:rsidRDefault="00AC56D6" w:rsidP="00AC56D6">
      <w:pPr>
        <w:pStyle w:val="TextoNormal"/>
      </w:pPr>
    </w:p>
    <w:p w:rsidR="00AC56D6" w:rsidRDefault="00AC56D6" w:rsidP="00AC56D6">
      <w:pPr>
        <w:pStyle w:val="TextoNormal"/>
      </w:pPr>
      <w:r w:rsidRPr="00AC56D6">
        <w:rPr>
          <w:rStyle w:val="NumeroAFNegritaCaracter"/>
        </w:rPr>
        <w:t>2</w:t>
      </w:r>
      <w:r>
        <w:t>. Los problemas planteados en la demanda de amparo han sido ya abordados por este Tribunal en la STC 7/2015, de 22 de enero, y en una larga serie posterior de pronunciamientos que toman a ésta como referencia. De acuerdo con la doctrina establecida en ella, debe descartarse, en primer lugar, que se haya vulnerado el derecho a la tutela judicial efectiva (art. 24.1 CE) por carecer la decisión judicial de la necesaria cobertura legal.</w:t>
      </w:r>
    </w:p>
    <w:p w:rsidR="00AC56D6" w:rsidRDefault="00AC56D6" w:rsidP="00AC56D6">
      <w:pPr>
        <w:pStyle w:val="TextoNormal"/>
      </w:pPr>
    </w:p>
    <w:p w:rsidR="00AC56D6" w:rsidRDefault="00AC56D6" w:rsidP="00AC56D6">
      <w:pPr>
        <w:pStyle w:val="TextoNormal"/>
      </w:pPr>
      <w:r>
        <w:t>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si el control constitucional que este Tribunal debe realizar de las resoluciones judiciales dictadas sobre los presupuestos o requisitos de admisión de los recursos tiene carácter externo, si cabe es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de 17 de febrero, FJ 5; 248/2005, de 10 de octubre, FJ 2; 100/2009, de 27 de abril, FJ 4, y 35/2011, de 28 de marzo, FJ 3).</w:t>
      </w:r>
    </w:p>
    <w:p w:rsidR="00AC56D6" w:rsidRDefault="00AC56D6" w:rsidP="00AC56D6">
      <w:pPr>
        <w:pStyle w:val="TextoNormal"/>
      </w:pPr>
    </w:p>
    <w:p w:rsidR="00AC56D6" w:rsidRDefault="00AC56D6" w:rsidP="00AC56D6">
      <w:pPr>
        <w:pStyle w:val="TextoNormal"/>
      </w:pPr>
      <w:r>
        <w:t>Asimismo, hemos de recordar que el Tribunal Europeo de Derechos Humanos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diciembre 1997, caso Brualla Gómez de la Torre c. España; y de 25 enero 2005, caso Puchol Oliver c. España).</w:t>
      </w:r>
    </w:p>
    <w:p w:rsidR="00AC56D6" w:rsidRDefault="00AC56D6" w:rsidP="00AC56D6">
      <w:pPr>
        <w:pStyle w:val="TextoNormal"/>
      </w:pPr>
    </w:p>
    <w:p w:rsidR="00AC56D6" w:rsidRDefault="00AC56D6" w:rsidP="00AC56D6">
      <w:pPr>
        <w:pStyle w:val="TextoNormal"/>
      </w:pPr>
      <w:r>
        <w:t>Igualmente relevantes son las Sentencias del Tribunal de Estrasburgo recaídas en los casos Sociedad General de Aguas de Barcelona c. España, de 25 mayo 2000; Llopis Ruiz c. España, de 7 noviembre 2003; e Ipamark c. España, de 17 febrero 2004, que presentan en común juzgar resoluciones en las que nuestro Tribunal Supremo inadmitió 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00AC56D6" w:rsidRDefault="00AC56D6" w:rsidP="00AC56D6">
      <w:pPr>
        <w:pStyle w:val="TextoNormal"/>
      </w:pPr>
    </w:p>
    <w:p w:rsidR="00AC56D6" w:rsidRDefault="00AC56D6" w:rsidP="00AC56D6">
      <w:pPr>
        <w:pStyle w:val="TextoNormal"/>
      </w:pPr>
      <w:r>
        <w:t>Así enmarcada la cuestión, la exigencia de que el escrito de preparación del recurso de casación contenga la cita, siquiera sucinta, de las normas y jurisprudencia que se estimen infringidas, entra dentro de las facultades jurisprudenciales que corresponden al Tribunal Supremo en la interpretación de los requisitos de acceso a la casación.</w:t>
      </w:r>
    </w:p>
    <w:p w:rsidR="00AC56D6" w:rsidRDefault="00AC56D6" w:rsidP="00AC56D6">
      <w:pPr>
        <w:pStyle w:val="TextoNormal"/>
      </w:pPr>
    </w:p>
    <w:p w:rsidR="00AC56D6" w:rsidRDefault="00AC56D6" w:rsidP="00AC56D6">
      <w:pPr>
        <w:pStyle w:val="TextoNormal"/>
      </w:pPr>
      <w:r>
        <w:t xml:space="preserve">En este sentido, el Tribunal Supremo, en el Auto que es objeto de impugnación en el presente recurso, ha afrontado la interpretación del art. 89.1 LJCA (precepto que exige que en el escrito de preparación del recurso de casación se exprese “la intención de interponer el recurso, con sucinta exposición de la concurrencia de los requisitos de forma exigidos”), alcanzando la conclusión de que uno de esos requisitos ha de ser la cita, siquiera sucinta, de las normas y jurisprudencia que se estimen infringidas, en atención a que la fase de preparación del recurso de casación tiene sustantividad propia, sin que pueda quedar reducida a un trámite carente de trascendencia. Desde esa óptica, en el Auto impugnado y en aquel de 10 de febrero de 2011 en el que toma fundamento (recurso de casación núm. 2927-2010) se </w:t>
      </w:r>
      <w:r>
        <w:lastRenderedPageBreak/>
        <w:t>razona que la exigencia anteriormente indicada persigue garantizar que la parte recurrida cuente desde un principio con la información necesaria para adoptar la posición procesal que estime pertinente.</w:t>
      </w:r>
    </w:p>
    <w:p w:rsidR="00AC56D6" w:rsidRDefault="00AC56D6" w:rsidP="00AC56D6">
      <w:pPr>
        <w:pStyle w:val="TextoNormal"/>
      </w:pPr>
    </w:p>
    <w:p w:rsidR="00AC56D6" w:rsidRDefault="00AC56D6" w:rsidP="00AC56D6">
      <w:pPr>
        <w:pStyle w:val="TextoNormal"/>
      </w:pPr>
      <w:r>
        <w:t>De este modo, el Tribunal Supremo ha tenido en cuenta la finalidad particular del trámite de preparación en el marco general del recurso de casación y ha orientado la nueva exigencia a la mejor consecución de ese fin. Por ello, puede decirse que el Auto impugnado no sólo constituye un ejercicio legítimo de las facultades interpretativas que el art. 123 CE reserva al Tribunal Supremo sino que contiene, asimismo, una ponderación suficiente de los fines propios de la norma y de las consecuencias que su aplicación genera en la esfera del recurrente.</w:t>
      </w:r>
    </w:p>
    <w:p w:rsidR="00AC56D6" w:rsidRDefault="00AC56D6" w:rsidP="00AC56D6">
      <w:pPr>
        <w:pStyle w:val="TextoNormal"/>
      </w:pPr>
    </w:p>
    <w:p w:rsidR="00AC56D6" w:rsidRDefault="00AC56D6" w:rsidP="00AC56D6">
      <w:pPr>
        <w:pStyle w:val="TextoNormal"/>
      </w:pPr>
      <w:r>
        <w:t>Cabe resaltar, a mayor abundamiento, que el Tribunal Europeo de Derechos Humanos ha señalado que las exigencias de seguridad jurídica y de protección de la confianza legítima de los litigantes no generan un derecho adquirido a una determinada jurisprudencia, por más que hubiera sido constante (STEDH de 18 de diciembre de 2008, caso Unédic contra Francia, § 74), pues la evolución de la jurisprudencia no es en sí contraria a la correcta administración de justicia, ya que lo contrario impediría cualquier cambio o mejora en la interpretación de las leyes (STEDH de 14 de enero de 2010, caso Atanasovski contra la ex República Yugoslava de Macedonia, § 38).</w:t>
      </w:r>
    </w:p>
    <w:p w:rsidR="00AC56D6" w:rsidRDefault="00AC56D6" w:rsidP="00AC56D6">
      <w:pPr>
        <w:pStyle w:val="TextoNormal"/>
      </w:pPr>
    </w:p>
    <w:p w:rsidR="00AC56D6" w:rsidRDefault="00AC56D6" w:rsidP="00AC56D6">
      <w:pPr>
        <w:pStyle w:val="TextoNormal"/>
      </w:pPr>
      <w:r>
        <w:t>A lo anterior debemos añadir, finalmente, que en el sistema de civil law en que se desenvuelve la labor jurisprudencial encomendada al Tribunal Supremo español, la jurisprudencia no es, propiamente, fuente del Derecho —las Sentencias no crean la norma—, por lo que no son miméticamente trasladables las reglas que se proyectan sobre el régimen de aplicación de las leyes. A diferencia del sistema del common law, en el que el precedente actúa como una norma y el overruling, o cambio de precedente, innova el ordenamiento jurídico, con lo que es posible limitar la retroactividad de la decisión judicial, en el Derecho continental los tribunales no están vinculados por la regla del prospective overruling, rigiendo, por el contrario, el retrospective overruling (sin perjuicio de la excepción que, por disposición legal, establezca el efecto exclusivamente prospectivo de la sentencia, como así se prevé en el art. 100.7 LJCA en el recurso de casación en interés de ley).</w:t>
      </w:r>
    </w:p>
    <w:p w:rsidR="00AC56D6" w:rsidRDefault="00AC56D6" w:rsidP="00AC56D6">
      <w:pPr>
        <w:pStyle w:val="TextoNormal"/>
      </w:pPr>
    </w:p>
    <w:p w:rsidR="00AC56D6" w:rsidRDefault="00AC56D6" w:rsidP="00AC56D6">
      <w:pPr>
        <w:pStyle w:val="TextoNormal"/>
      </w:pPr>
      <w:r>
        <w:t>Así tuvimos ocasión de señalarlo ya en nuestra STC 95/1993, de 22 de marzo, en la que subrayamos que la Sentencia que introduce un cambio jurisprudencial “hace decir a la norma lo que la norma desde un principio decía, sin que pueda entenderse que la jurisprudencia contradictoria anterior haya alterado esa norma, o pueda imponerse como Derecho consuetudinario frente a lo que la norma correctamente entendida dice” (FJ 3).</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Despejada así la queja formulada al amparo del art. 24.1 CE, nos corresponde indicar ahora que no concurren en el presente caso las excepcionales circunstancias apreciadas en el caso resuelto en la STC 7/2015, de 22 de enero, como en otras posteriores expresivas de circunstancias similares, en las que la parte, con notoria diligencia, procedió a complementar el escrito de preparación inicialmente presentado para ajustarlo al nuevo criterio jurisprudencial tan pronto como tuvo conocimiento de ello. En este caso, antes al contrario, la parte no procedió del modo expuesto ni en el momento de la preparación del recurso (en abril de 2012, por tanto más de un año después del dictado del ATS de 10 de febrero de 2011 —recurso de casación núm. 2927-2010—), ni tampoco cuando le fue notificada la </w:t>
      </w:r>
      <w:r>
        <w:lastRenderedPageBreak/>
        <w:t>providencia mediante la que el Tribunal Supremo abría el trámite de alegaciones sobre la posible concurrencia de la causa de inadmisión derivada del defecto advertido, por lo que mal podría alegarse la imposibilidad de cumplimiento de la exigencia procesal —que respondía a una doctrina previa y suficientemente asentada en el tiempo— o el derecho a una subsanación del requisito insatisfecho —que no era sobrevenido ni sorpresivo y que, en todo caso, nunca intentó cumplir ni subsanar la parte demandante de amparo, tampoco cuando alcanzó de él conocimiento—.</w:t>
      </w:r>
    </w:p>
    <w:p w:rsidR="00AC56D6" w:rsidRDefault="00AC56D6" w:rsidP="00AC56D6">
      <w:pPr>
        <w:pStyle w:val="TextoNormal"/>
      </w:pPr>
    </w:p>
    <w:p w:rsidR="00AC56D6" w:rsidRDefault="00AC56D6" w:rsidP="00AC56D6">
      <w:pPr>
        <w:pStyle w:val="TextoNormal"/>
      </w:pPr>
      <w:r w:rsidRPr="00AC56D6">
        <w:rPr>
          <w:rStyle w:val="NumeroAFNegritaCaracter"/>
        </w:rPr>
        <w:t>4</w:t>
      </w:r>
      <w:r>
        <w:t>. Por lo que se refiere al derecho a la igualdad en la aplicación de la ley (art. 14 CE) y en lo que al presente caso importa, este Tribunal ha reiterado que está vedado a los órganos judiciales el cambio irreflexivo o arbitrario en la aplicación de una norma, lo cual equivale a mantener que, por el contrario, el cambio resulta legítimo cuando es razonado, razonable y con vocación de futuro, esto es, destinado a ser mantenido con cierta continuidad, con fundamento en razones jurídicas objetivas que excluyan todo significado de resolución ad personam o de ruptura ocasional en una línea que se venga manteniendo con normal uniformidad antes de la decisión divergente o se continúe con posterioridad (por todas, SSTC 105/2009, de 4 de mayo, FJ 4; y 178/2014, de 3 de noviembre, FJ 4).</w:t>
      </w:r>
    </w:p>
    <w:p w:rsidR="00AC56D6" w:rsidRDefault="00AC56D6" w:rsidP="00AC56D6">
      <w:pPr>
        <w:pStyle w:val="TextoNormal"/>
      </w:pPr>
    </w:p>
    <w:p w:rsidR="00AC56D6" w:rsidRDefault="00AC56D6" w:rsidP="00AC56D6">
      <w:pPr>
        <w:pStyle w:val="TextoNormal"/>
      </w:pPr>
      <w:r>
        <w:t>De acuerdo con ello, el Auto del Tribunal Supremo impugnado —lejos de ser una decisión particularizada y adoptada ad hoc por el órgano judicial para resolver ese solo caso o para aplicarlo exclusivamente a la sociedad recurrente— constituye la plasmación de un criterio jurisprudencial previamente adoptado con carácter general y con vocación de permanencia para resolver todos los supuestos de las mismas características.</w:t>
      </w:r>
    </w:p>
    <w:p w:rsidR="00AC56D6" w:rsidRDefault="00AC56D6" w:rsidP="00AC56D6">
      <w:pPr>
        <w:pStyle w:val="TextoNormal"/>
      </w:pPr>
    </w:p>
    <w:p w:rsidR="00AC56D6" w:rsidRDefault="00AC56D6" w:rsidP="00AC56D6">
      <w:pPr>
        <w:pStyle w:val="TextoNormal"/>
      </w:pPr>
      <w:r w:rsidRPr="00AC56D6">
        <w:rPr>
          <w:rStyle w:val="NumeroAFNegritaCaracter"/>
        </w:rPr>
        <w:t>5</w:t>
      </w:r>
      <w:r>
        <w:t>. Para terminar deberá traerse a colación brevemente la queja que de modo somero enuncia la demanda sobre la providencia resolutoria del incidente de nulidad de actuaciones. La propia parte recurrente —que denuncia que fuera inadmitido en providencia el remedio procesal del art. 241 LOPJ— reconoce haber recibido en la resolución judicial respuesta a todas las cuestiones planteadas, por lo que no se advierte qué lesión actual y directa al derecho fundamental alegado (art. 24.1 CE) podría sustentar la posición de la parte demandante. Una queja, por ello, retórica y de carácter meramente formal, habida cuenta que las únicas pretensiones que pueden hacerse valer en el amparo constitucional son las dirigidas a restablecer o preservar los derechos o libertades por razón de los cuales se formuló el recurso (por todas, STC 123/2007, de 21 de mayo, FJ 3).</w:t>
      </w:r>
    </w:p>
    <w:p w:rsidR="00AC56D6" w:rsidRDefault="00AC56D6" w:rsidP="00AC56D6">
      <w:pPr>
        <w:pStyle w:val="TextoNormal"/>
      </w:pPr>
    </w:p>
    <w:p w:rsidR="00AC56D6" w:rsidRDefault="00AC56D6" w:rsidP="00AC56D6">
      <w:pPr>
        <w:pStyle w:val="TextoNormal"/>
      </w:pPr>
      <w:r>
        <w:t>Tampoco cabe ver defecto alguno de motivación en el razonamiento que contiene la providencia de 12 de marzo de 2013, referido como está, con detalle y abundante cita de jurisprudencia, a cada uno de los derechos fundamentales que fueron invocados. En consecuencia, como exigiéramos entre tantas otras en la STC 204/2014, de 15 de diciembre, FJ 4, el órgano judicial cumplió con su deber de motivar suficientemente las razones de la no admisión a trámite del incidente de nulidad de actuaciones, ofreciendo al recurrente conocimiento de la auténtica ratio decidendi de la resolución dictada.</w:t>
      </w:r>
    </w:p>
    <w:p w:rsidR="00AC56D6" w:rsidRDefault="00AC56D6" w:rsidP="00AC56D6">
      <w:pPr>
        <w:pStyle w:val="TextoNormal"/>
      </w:pPr>
    </w:p>
    <w:p w:rsidR="00AC56D6" w:rsidRDefault="00AC56D6" w:rsidP="00AC56D6">
      <w:pPr>
        <w:pStyle w:val="TextoNormal"/>
      </w:pPr>
      <w:r>
        <w:t>En consideración a lo argumentado, esa queja tampoco puede prosperar, y procede, por consiguiente, la desestimación del recurso de amparo.</w:t>
      </w:r>
    </w:p>
    <w:p w:rsidR="00AC56D6" w:rsidRDefault="00AC56D6" w:rsidP="00AC56D6">
      <w:pPr>
        <w:pStyle w:val="TextoNormal"/>
      </w:pPr>
    </w:p>
    <w:p w:rsidR="00AC56D6" w:rsidRDefault="00AC56D6" w:rsidP="00AC56D6">
      <w:pPr>
        <w:pStyle w:val="TextoNormalCentrado"/>
        <w:keepNext/>
      </w:pPr>
      <w:r>
        <w:lastRenderedPageBreak/>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Desestimar el recurso de amparo interpuesto por Antonio Cano e Hijos S.A.</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siete de septiembre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36" w:name="SENTENCIA_2015_180"/>
      <w:r>
        <w:lastRenderedPageBreak/>
        <w:t>SENTENCIA 180/2015, de 7 de septiembre de 2015</w:t>
      </w:r>
    </w:p>
    <w:bookmarkEnd w:id="36"/>
    <w:p w:rsidR="00AC56D6" w:rsidRDefault="00AC56D6" w:rsidP="00AC56D6">
      <w:pPr>
        <w:pStyle w:val="TtuloResolucin"/>
      </w:pPr>
      <w:r>
        <w:t>Sala Segunda</w:t>
      </w:r>
    </w:p>
    <w:p w:rsidR="00AC56D6" w:rsidRDefault="00AC56D6" w:rsidP="00AC56D6">
      <w:pPr>
        <w:pStyle w:val="TtuloBOE"/>
      </w:pPr>
      <w:r>
        <w:t>(BOE núm. 245, de 13 de octubre de 2015)</w:t>
      </w:r>
    </w:p>
    <w:p w:rsidR="00AC56D6" w:rsidRDefault="00AC56D6" w:rsidP="00AC56D6">
      <w:pPr>
        <w:pStyle w:val="TextoNormalCentrado"/>
      </w:pPr>
      <w:r>
        <w:t>ECLI:ES:TC:2015:180</w:t>
      </w:r>
    </w:p>
    <w:p w:rsidR="00AC56D6" w:rsidRDefault="00AC56D6" w:rsidP="00AC56D6">
      <w:pPr>
        <w:pStyle w:val="TextoNormalCentrado"/>
      </w:pPr>
    </w:p>
    <w:p w:rsidR="00AC56D6" w:rsidRDefault="00AC56D6" w:rsidP="00AC56D6">
      <w:pPr>
        <w:pStyle w:val="SntesisDescriptiva"/>
      </w:pPr>
      <w:r>
        <w:t>Recurso de amparo 3372-2013. Sala Segunda. Sentencia 180/2015, de 7 de septiembre de 2015. Promovido por don Juan Díez López, en relación con la Sentencia dictada en juicio verbal sobre medidas de regulación de relaciones paterno-filiales y la posterior inadmisión de un incidente de nulidad de actuaciones.</w:t>
      </w:r>
    </w:p>
    <w:p w:rsidR="00AC56D6" w:rsidRDefault="00AC56D6" w:rsidP="00AC56D6">
      <w:pPr>
        <w:pStyle w:val="SntesisDescriptiva"/>
      </w:pPr>
    </w:p>
    <w:p w:rsidR="00AC56D6" w:rsidRDefault="00AC56D6" w:rsidP="00AC56D6">
      <w:pPr>
        <w:pStyle w:val="SntesisAnaltica"/>
      </w:pPr>
      <w:r>
        <w:t>Vulneración del derecho a la tutela judicial efectiva (acceso al recurso): inadmisión sin motivación de un incidente de nulidad de actuaciones (STC 142/2015).</w:t>
      </w:r>
    </w:p>
    <w:p w:rsidR="00AC56D6" w:rsidRDefault="00AC56D6" w:rsidP="00AC56D6">
      <w:pPr>
        <w:pStyle w:val="SntesisAnaltica"/>
      </w:pPr>
    </w:p>
    <w:p w:rsidR="00AC56D6" w:rsidRDefault="00AC56D6" w:rsidP="00AC56D6">
      <w:pPr>
        <w:pStyle w:val="Extracto"/>
      </w:pPr>
      <w:r>
        <w:t>1.</w:t>
      </w:r>
      <w:r>
        <w:tab/>
        <w:t>Los órganos judiciales, a la vista de la ordenación del recurso de amparo tras la reforma operada por Ley Orgánica 6/2007, deben realizar una interpretación no restrictiva de las causas de inadmisión del incidente de nulidad de actuaciones, motivando suficientemente su decisión, puesto que la reforma ha acentuado la función de los Tribunales ordinarios como primeros garantes de los derechos fundamentales en el ordenamiento jurídico, con el fin de lograr que la tutela y defensa de esos derechos por parte del Tribunal Constitucional sea realmente subsidiaria [FJ 2].</w:t>
      </w:r>
    </w:p>
    <w:p w:rsidR="00AC56D6" w:rsidRDefault="00AC56D6" w:rsidP="00AC56D6">
      <w:pPr>
        <w:pStyle w:val="Extracto"/>
      </w:pPr>
    </w:p>
    <w:p w:rsidR="00AC56D6" w:rsidRDefault="00AC56D6" w:rsidP="00AC56D6">
      <w:pPr>
        <w:pStyle w:val="Extracto"/>
      </w:pPr>
      <w:r>
        <w:t>2.</w:t>
      </w:r>
      <w:r>
        <w:tab/>
        <w:t>Para resolver las vulneraciones de derechos fundamentales se ha de adoptar un criterio sistemático que concilie las exigencias de tutela subjetiva de la posición jurídica del actor con la función objetiva que, tras la reforma operada por la Ley Orgánica 6/2007, de 24 de mayo, cumple el proceso constitucional de amparo. Por tanto, se seguirá el criterio habitual de la “mayor retroacción”, asegurando la más amplia tutela de los derechos fundamentales [FJ 3].</w:t>
      </w:r>
    </w:p>
    <w:p w:rsidR="00AC56D6" w:rsidRDefault="00AC56D6" w:rsidP="00AC56D6">
      <w:pPr>
        <w:pStyle w:val="Extracto"/>
      </w:pPr>
    </w:p>
    <w:p w:rsidR="00AC56D6" w:rsidRDefault="00AC56D6" w:rsidP="00AC56D6">
      <w:pPr>
        <w:pStyle w:val="Extracto"/>
      </w:pPr>
      <w:r>
        <w:t>3.</w:t>
      </w:r>
      <w:r>
        <w:tab/>
        <w:t>El órgano judicial tiene no sólo el deber de velar por la correcta ejecución de los actos de comunicación procesal, sino también el de asegurarse de que dichos actos sirven a su propósito de garantizar que la parte sea oída en el proceso, lo que comporta, en lo posible, la exigencia del emplazamiento personal de los afectados y, desde otra perspectiva, la limitación del empleo de la notificación edictal a aquellos supuestos en los que no conste el domicilio de quien haya de ser emplazado o bien se ignore su paradero (STC 131/2014) [FJ 4].</w:t>
      </w:r>
    </w:p>
    <w:p w:rsidR="00AC56D6" w:rsidRDefault="00AC56D6" w:rsidP="00AC56D6">
      <w:pPr>
        <w:pStyle w:val="Extracto"/>
      </w:pPr>
    </w:p>
    <w:p w:rsidR="00AC56D6" w:rsidRDefault="00AC56D6" w:rsidP="00AC56D6">
      <w:pPr>
        <w:pStyle w:val="Extracto"/>
      </w:pPr>
      <w:r>
        <w:t>4.</w:t>
      </w:r>
      <w:r>
        <w:tab/>
        <w:t>La correcta ejecución de los actos de comunicación procesal implica la preeminencia del emplazamiento personal —en sus diversas formas— frente al realizado por edictos, de tal modo que en esta segunda forma de comunicación, deben de extremarse las gestiones en la averiguación del paradero de sus destinatarios por los medios normales, de manera que la decisión de notificación mediante edictos debe fundarse en criterios de razonabilidad que conduzcan a la certeza, o al menos a una convicción razonable, de la inutilidad de los medios normales de citación (SSTC 158/2007, 32/2008) [FJ 4].</w:t>
      </w:r>
    </w:p>
    <w:p w:rsidR="00AC56D6" w:rsidRDefault="00AC56D6" w:rsidP="00AC56D6">
      <w:pPr>
        <w:pStyle w:val="Extracto"/>
      </w:pPr>
    </w:p>
    <w:p w:rsidR="00AC56D6" w:rsidRDefault="00AC56D6" w:rsidP="00AC56D6">
      <w:pPr>
        <w:pStyle w:val="Extracto"/>
      </w:pPr>
      <w:r>
        <w:lastRenderedPageBreak/>
        <w:t>5.</w:t>
      </w:r>
      <w:r>
        <w:tab/>
        <w:t>El carácter subsidiario de la comunicación edictal se satisface cuando se agotan los medios razonables para conocer el paradero del interesado, con resultado infructuoso [FJ 5].</w:t>
      </w:r>
    </w:p>
    <w:p w:rsidR="00AC56D6" w:rsidRDefault="00AC56D6" w:rsidP="00AC56D6">
      <w:pPr>
        <w:pStyle w:val="Extracto"/>
      </w:pPr>
    </w:p>
    <w:p w:rsidR="00AC56D6" w:rsidRDefault="00AC56D6" w:rsidP="00AC56D6">
      <w:pPr>
        <w:pStyle w:val="Extracto"/>
      </w:pPr>
      <w:r>
        <w:t>6.</w:t>
      </w:r>
      <w:r>
        <w:tab/>
        <w:t>El incidente de nulidad de actuaciones asume, tras la configuración del nuevo amparo constitucional, una función esencial de tutela y defensa de los derechos fundamentales. No puede considerarse como un mero trámite formal previo al amparo constitucional sino como un verdadero instrumento procesal que, en la vía de la jurisdicción ordinaria, podrá remediar aquellas lesiones de derechos fundamentales que no hayan podido denunciarse antes de recaer resolución que ponga fin al proceso y siempre que dicha resolución no sea susceptible de recurso ordinario ni extraordinario [FJ 5].</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amparo núm. 3372-2013, promovido por don Juan Díez López, representado por el Procurador de los Tribunales don Pablo Domínguez Maestro y asistido por la Abogada doña Pilar Díez López, contra la Sentencia de fecha 13 de marzo de 2008 dictada por el Juzgado de Primera Instancia núm. 6 de Almería, en juicio verbal núm. 80/2007, y contra la providencia de 22 de abril de 2013, por la que se inadmite a trámite el incidente excepcional de nulidad de actuaciones. Ha intervenido el Ministerio Fiscal. Ha sido Ponente el Magistrado don Juan José González Rivas,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que tuvo entrada en el Registro General de este Tribunal el día 4 de junio de 2013, el Procurador de los Tribunales don Pablo Domínguez Maestro, en nombre y representación de Juan Díez López, interpuso recurso de amparo contra la resolución judicial que se cita en el encabezamiento.</w:t>
      </w:r>
    </w:p>
    <w:p w:rsidR="00AC56D6" w:rsidRDefault="00AC56D6" w:rsidP="00AC56D6">
      <w:pPr>
        <w:pStyle w:val="TextoNormal"/>
      </w:pPr>
    </w:p>
    <w:p w:rsidR="00AC56D6" w:rsidRDefault="00AC56D6" w:rsidP="00AC56D6">
      <w:pPr>
        <w:pStyle w:val="TextoNormal"/>
      </w:pPr>
      <w:r w:rsidRPr="00AC56D6">
        <w:rPr>
          <w:rStyle w:val="NumeroAFNegritaCaracter"/>
        </w:rPr>
        <w:t>2</w:t>
      </w:r>
      <w:r>
        <w:t>. Los hechos de los que trae causa la demanda, relevantes para la resolución del recurso, son, en síntesis, los siguientes:</w:t>
      </w:r>
    </w:p>
    <w:p w:rsidR="00AC56D6" w:rsidRDefault="00AC56D6" w:rsidP="00AC56D6">
      <w:pPr>
        <w:pStyle w:val="TextoNormal"/>
      </w:pPr>
    </w:p>
    <w:p w:rsidR="00AC56D6" w:rsidRDefault="00AC56D6" w:rsidP="00AC56D6">
      <w:pPr>
        <w:pStyle w:val="TextoNormal"/>
      </w:pPr>
      <w:r>
        <w:lastRenderedPageBreak/>
        <w:t>a) Ante el Juzgado de Primera Instancia núm. 6 de Almería se siguieron autos de juicio verbal núm. 80/2007, en el que por doña A.S. se instaron medidas de regulación de relaciones paterno-filiales frente al ahora recurrente de amparo, respecto del hijo común. En la demanda, la parte actora manifestaba desconocer el domicilio del demandado.</w:t>
      </w:r>
    </w:p>
    <w:p w:rsidR="00AC56D6" w:rsidRDefault="00AC56D6" w:rsidP="00AC56D6">
      <w:pPr>
        <w:pStyle w:val="TextoNormal"/>
      </w:pPr>
    </w:p>
    <w:p w:rsidR="00AC56D6" w:rsidRDefault="00AC56D6" w:rsidP="00AC56D6">
      <w:pPr>
        <w:pStyle w:val="TextoNormal"/>
      </w:pPr>
      <w:r>
        <w:t>b) Por el Juzgado se acordó oficiar a la Policía Local para averiguación del domicilio y, ante el resultado infructuoso, por diligencia de ordenación de fecha 12 de abril de 2007 se acordó librar oficio a la Policía Nacional y a la Guardia Civil de Almería, y consultar la base de datos de la Tesorería General de la Seguridad Social.</w:t>
      </w:r>
    </w:p>
    <w:p w:rsidR="00AC56D6" w:rsidRDefault="00AC56D6" w:rsidP="00AC56D6">
      <w:pPr>
        <w:pStyle w:val="TextoNormal"/>
      </w:pPr>
    </w:p>
    <w:p w:rsidR="00AC56D6" w:rsidRDefault="00AC56D6" w:rsidP="00AC56D6">
      <w:pPr>
        <w:pStyle w:val="TextoNormal"/>
      </w:pPr>
      <w:r>
        <w:t>Ante el resultado negativo de las averiguaciones, se dio traslado a la actora quien interesó que se practicara el emplazamiento por edictos, lo cual se acordó por providencia de fecha 10 de julio de 2007.</w:t>
      </w:r>
    </w:p>
    <w:p w:rsidR="00AC56D6" w:rsidRDefault="00AC56D6" w:rsidP="00AC56D6">
      <w:pPr>
        <w:pStyle w:val="TextoNormal"/>
      </w:pPr>
    </w:p>
    <w:p w:rsidR="00AC56D6" w:rsidRDefault="00AC56D6" w:rsidP="00AC56D6">
      <w:pPr>
        <w:pStyle w:val="TextoNormal"/>
      </w:pPr>
      <w:r>
        <w:t>c) Seguido el juicio por sus trámites, se dictó Sentencia estimando parcialmente la demanda en fecha 13 de marzo de 2008, la cual fue notificada al demandado por edictos según diligencia de ordenación de 15 de mayo de 2008 (“Boletín Oficial de la Junta de Andalucía” núm. 223, de 10 de noviembre de 2008). La citada Sentencia se declaró firme por providencia de fecha 22 de enero de 2009.</w:t>
      </w:r>
    </w:p>
    <w:p w:rsidR="00AC56D6" w:rsidRDefault="00AC56D6" w:rsidP="00AC56D6">
      <w:pPr>
        <w:pStyle w:val="TextoNormal"/>
      </w:pPr>
    </w:p>
    <w:p w:rsidR="00AC56D6" w:rsidRDefault="00AC56D6" w:rsidP="00AC56D6">
      <w:pPr>
        <w:pStyle w:val="TextoNormal"/>
      </w:pPr>
      <w:r>
        <w:t>d) En fecha 11 de marzo de 2013, el demandado Juan Díez compareció ante el Juzgado e instó incidente de nulidad de actuaciones, en el que alegaba desconocimiento de la existencia del proceso por haber estado cumpliendo pena de prisión desde el día 7 de octubre de 2006 hasta el 7 de diciembre de 2012, y que la actora conocía esta circunstancia.</w:t>
      </w:r>
    </w:p>
    <w:p w:rsidR="00AC56D6" w:rsidRDefault="00AC56D6" w:rsidP="00AC56D6">
      <w:pPr>
        <w:pStyle w:val="TextoNormal"/>
      </w:pPr>
    </w:p>
    <w:p w:rsidR="00AC56D6" w:rsidRDefault="00AC56D6" w:rsidP="00AC56D6">
      <w:pPr>
        <w:pStyle w:val="TextoNormal"/>
      </w:pPr>
      <w:r>
        <w:t>e) Este incidente fue inadmitido por providencia de 22 de abril de 2013, cuyo tenor literal, es el siguiente:</w:t>
      </w:r>
    </w:p>
    <w:p w:rsidR="00AC56D6" w:rsidRDefault="00AC56D6" w:rsidP="00AC56D6">
      <w:pPr>
        <w:pStyle w:val="TextoNormal"/>
      </w:pPr>
    </w:p>
    <w:p w:rsidR="00AC56D6" w:rsidRDefault="00AC56D6" w:rsidP="00AC56D6">
      <w:pPr>
        <w:pStyle w:val="TextoNormal"/>
      </w:pPr>
      <w:r>
        <w:t>“Planteado incidente de nulidad por D. JUAN DIEZ LOPEZ, en el que solicita la nulidad de SENTENCIA 141/2008, alegando desconocimiento de la existencia del proceso, y no estando esta cuestión legalmente prevista en el artículo 228.1 de la L.E.C., acuerdo la inadmisión a trámite del incidente de nulidad por ser la SENTENCIA recurrible y notificada por Edictos.</w:t>
      </w:r>
    </w:p>
    <w:p w:rsidR="00AC56D6" w:rsidRDefault="00AC56D6" w:rsidP="00AC56D6">
      <w:pPr>
        <w:pStyle w:val="TextoNormal"/>
      </w:pPr>
    </w:p>
    <w:p w:rsidR="00AC56D6" w:rsidRDefault="00AC56D6" w:rsidP="00AC56D6">
      <w:pPr>
        <w:pStyle w:val="TextoNormal"/>
      </w:pPr>
      <w:r>
        <w:t>MODO DE IMPUGNACIÓN: No cabe recurso alguno.”</w:t>
      </w:r>
    </w:p>
    <w:p w:rsidR="00AC56D6" w:rsidRDefault="00AC56D6" w:rsidP="00AC56D6">
      <w:pPr>
        <w:pStyle w:val="TextoNormal"/>
      </w:pPr>
    </w:p>
    <w:p w:rsidR="00AC56D6" w:rsidRDefault="00AC56D6" w:rsidP="00AC56D6">
      <w:pPr>
        <w:pStyle w:val="TextoNormal"/>
      </w:pPr>
      <w:r w:rsidRPr="00AC56D6">
        <w:rPr>
          <w:rStyle w:val="NumeroAFNegritaCaracter"/>
        </w:rPr>
        <w:t>3</w:t>
      </w:r>
      <w:r>
        <w:t>. En su demanda de amparo, el recurrente aduce que se ha vulnerado el derecho fundamental a la tutela judicial efectiva sin indefensión (art. 24.1 CE) y a un proceso con todas las garantías (art. 24.2 CE), al haber sido condenado en ausencia en el proceso de relaciones paterno-filiales sin haber sido emplazado en legal forma.</w:t>
      </w:r>
    </w:p>
    <w:p w:rsidR="00AC56D6" w:rsidRDefault="00AC56D6" w:rsidP="00AC56D6">
      <w:pPr>
        <w:pStyle w:val="TextoNormal"/>
      </w:pPr>
    </w:p>
    <w:p w:rsidR="00AC56D6" w:rsidRDefault="00AC56D6" w:rsidP="00AC56D6">
      <w:pPr>
        <w:pStyle w:val="TextoNormal"/>
      </w:pPr>
      <w:r>
        <w:t>En relación al emplazamiento, alega que, con independencia de la mala fe de la demandante en el proceso a quo al omitir que el recurrente estaba en prisión, los actos de comunicación del Juzgado fueron defectuosos, pudiendo haber sido localizado si se hubiere actuado con la diligencia debida. La ausencia de estas garantías procesales conlleva la vulneración del derecho a la tutela judicial efectiva sin indefensión.</w:t>
      </w:r>
    </w:p>
    <w:p w:rsidR="00AC56D6" w:rsidRDefault="00AC56D6" w:rsidP="00AC56D6">
      <w:pPr>
        <w:pStyle w:val="TextoNormal"/>
      </w:pPr>
    </w:p>
    <w:p w:rsidR="00AC56D6" w:rsidRDefault="00AC56D6" w:rsidP="00AC56D6">
      <w:pPr>
        <w:pStyle w:val="TextoNormal"/>
      </w:pPr>
      <w:r>
        <w:lastRenderedPageBreak/>
        <w:t>Aduce asimismo que la inadmisión del incidente de nulidad ha vulnerado su derecho a la tutela judicial efectiva, puesto que era el único remedio del que disponía el recurrente para ejercer su defensa, resultando inadmitido de forma incongruente por el órgano judicial.</w:t>
      </w:r>
    </w:p>
    <w:p w:rsidR="00AC56D6" w:rsidRDefault="00AC56D6" w:rsidP="00AC56D6">
      <w:pPr>
        <w:pStyle w:val="TextoNormal"/>
      </w:pPr>
    </w:p>
    <w:p w:rsidR="00AC56D6" w:rsidRDefault="00AC56D6" w:rsidP="00AC56D6">
      <w:pPr>
        <w:pStyle w:val="TextoNormal"/>
      </w:pPr>
      <w:r>
        <w:t>Solicita que se otorgue el amparo y la retroacción de las actuaciones al momento anterior al del emplazamiento en el proceso a quo.</w:t>
      </w:r>
    </w:p>
    <w:p w:rsidR="00AC56D6" w:rsidRDefault="00AC56D6" w:rsidP="00AC56D6">
      <w:pPr>
        <w:pStyle w:val="TextoNormal"/>
      </w:pPr>
    </w:p>
    <w:p w:rsidR="00AC56D6" w:rsidRDefault="00AC56D6" w:rsidP="00AC56D6">
      <w:pPr>
        <w:pStyle w:val="TextoNormal"/>
      </w:pPr>
      <w:r w:rsidRPr="00AC56D6">
        <w:rPr>
          <w:rStyle w:val="NumeroAFNegritaCaracter"/>
        </w:rPr>
        <w:t>4</w:t>
      </w:r>
      <w:r>
        <w:t>. Por providencia de 18 de diciembre de 2014 la Sección Tercera de la Sala Segunda de este Tribunal se acordó admitir a trámite la demanda, y, a tenor de lo dispuesto en el art. 51 LOTC, requerir al Juzgado de Primera Instancia núm. 6 de Almería, para que el plazo de diez días remitieran testimonio del juicio verbal 80-2007, interesándose al tiempo que se emplazara a quienes fueron parte en el procedimiento, a excepción del recurrente en amparo, para que en el plazo de diez días pudieran comparecer en este proceso constitucional. En la misma providencia se acordó formar pieza separada de suspensión que, tras tramitarse, fue denegada por Auto de esta Sala de fecha 16 de febrero de 2015.</w:t>
      </w:r>
    </w:p>
    <w:p w:rsidR="00AC56D6" w:rsidRDefault="00AC56D6" w:rsidP="00AC56D6">
      <w:pPr>
        <w:pStyle w:val="TextoNormal"/>
      </w:pPr>
    </w:p>
    <w:p w:rsidR="00AC56D6" w:rsidRDefault="00AC56D6" w:rsidP="00AC56D6">
      <w:pPr>
        <w:pStyle w:val="TextoNormal"/>
      </w:pPr>
      <w:r w:rsidRPr="00AC56D6">
        <w:rPr>
          <w:rStyle w:val="NumeroAFNegritaCaracter"/>
        </w:rPr>
        <w:t>5</w:t>
      </w:r>
      <w:r>
        <w:t>. Por diligencia de ordenación del Secretario de Justicia de la Sala Segunda de 27 de mayo de 2015 se acordó, a tenor de lo dispuesto en el art. 52.1 LOTC, dar vista de todas las actuaciones del presente recurso de amparo por un plazo común de veinte días, al Ministerio Fiscal y a la parte recurrente, para que dentro de dicho término pudieran presentar las alegaciones que a su derecho convinieran.</w:t>
      </w:r>
    </w:p>
    <w:p w:rsidR="00AC56D6" w:rsidRDefault="00AC56D6" w:rsidP="00AC56D6">
      <w:pPr>
        <w:pStyle w:val="TextoNormal"/>
      </w:pPr>
    </w:p>
    <w:p w:rsidR="00AC56D6" w:rsidRDefault="00AC56D6" w:rsidP="00AC56D6">
      <w:pPr>
        <w:pStyle w:val="TextoNormal"/>
      </w:pPr>
      <w:r w:rsidRPr="00AC56D6">
        <w:rPr>
          <w:rStyle w:val="NumeroAFNegritaCaracter"/>
        </w:rPr>
        <w:t>6</w:t>
      </w:r>
      <w:r>
        <w:t>. La representación procesal del demandante de amparo formuló sus alegaciones mediante escrito que tuvo entrada en el Registro General de este Tribunal el día 18 de junio de 2015, en el que reprodujo sustancialmente las alegaciones realizadas en su escrito de la demanda.</w:t>
      </w:r>
    </w:p>
    <w:p w:rsidR="00AC56D6" w:rsidRDefault="00AC56D6" w:rsidP="00AC56D6">
      <w:pPr>
        <w:pStyle w:val="TextoNormal"/>
      </w:pPr>
    </w:p>
    <w:p w:rsidR="00AC56D6" w:rsidRDefault="00AC56D6" w:rsidP="00AC56D6">
      <w:pPr>
        <w:pStyle w:val="TextoNormal"/>
      </w:pPr>
      <w:r w:rsidRPr="00AC56D6">
        <w:rPr>
          <w:rStyle w:val="NumeroAFNegritaCaracter"/>
        </w:rPr>
        <w:t>7</w:t>
      </w:r>
      <w:r>
        <w:t>. El Fiscal ante este Tribunal Constitucional presentó sus alegaciones mediante escrito registrado el día 29 de junio de 2015, interesando el otorgamiento del amparo por vulneración del derecho a la tutela judicial efectiva sin indefensión (art. 24.1 CE), en su modalidad de acceso al recurso, por falta de motivación de la providencia recurrida, sin retroacción de actuaciones.</w:t>
      </w:r>
    </w:p>
    <w:p w:rsidR="00AC56D6" w:rsidRDefault="00AC56D6" w:rsidP="00AC56D6">
      <w:pPr>
        <w:pStyle w:val="TextoNormal"/>
      </w:pPr>
    </w:p>
    <w:p w:rsidR="00AC56D6" w:rsidRDefault="00AC56D6" w:rsidP="00AC56D6">
      <w:pPr>
        <w:pStyle w:val="TextoNormal"/>
      </w:pPr>
      <w:r>
        <w:t>El Fiscal analiza en primer lugar la denuncia de la violación de la tutela judicial efectiva por defectos en el emplazamiento, alegando que lo determinante según la doctrina constitucional es la actitud del órgano judicial, que en el caso desplegó una actividad diligente para la averiguación del domicilio del demandado en el proceso a quo, sin que existiera indicio alguno que pudiera situar al recurrente en prisión, por lo que cumplió los parámetros de agotamiento de las posibilidades de localización del demandado. Asimismo, aduce que la afirmación de que la actora no desconocía que estaba ingresado en prisión carece de apoyo alguno, concluyendo que no hubo vulneración del art. 24.1 CE en la comunicación del proceso.</w:t>
      </w:r>
    </w:p>
    <w:p w:rsidR="00AC56D6" w:rsidRDefault="00AC56D6" w:rsidP="00AC56D6">
      <w:pPr>
        <w:pStyle w:val="TextoNormal"/>
      </w:pPr>
    </w:p>
    <w:p w:rsidR="00AC56D6" w:rsidRDefault="00AC56D6" w:rsidP="00AC56D6">
      <w:pPr>
        <w:pStyle w:val="TextoNormal"/>
      </w:pPr>
      <w:r>
        <w:t xml:space="preserve">En relación a la vulneración imputada a la providencia que resuelve el incidente de nulidad alega, con cita de la STC 153/2012, de 16 de julio, que una respuesta incorrecta o incompleta dada en el incidente de nulidad puede producir el efecto de dejar huérfano de protección al ciudadano, pues no toda violación procesal de un derecho fundamental podrá </w:t>
      </w:r>
      <w:r>
        <w:lastRenderedPageBreak/>
        <w:t>ser sometida al escrutinio del más alto interprete de la doctrina constitucional, ya que puede existir la quiebra del derecho fundamental pero no cumplirse el requisito de la especial trascendencia constitucional. Los únicos requisitos legales que pueden dar lugar a un rechazo de plano del incidente son que la alegación no lo sea de uno de los derechos fundamentales del art. 53.2 de la Constitución y que éste haya podido alegarse antes de que se ponga fin al proceso o que la resolución no fuera firme porque frente a ella cupiera cualquier recurso, ordinario o extraordinario.</w:t>
      </w:r>
    </w:p>
    <w:p w:rsidR="00AC56D6" w:rsidRDefault="00AC56D6" w:rsidP="00AC56D6">
      <w:pPr>
        <w:pStyle w:val="TextoNormal"/>
      </w:pPr>
    </w:p>
    <w:p w:rsidR="00AC56D6" w:rsidRDefault="00AC56D6" w:rsidP="00AC56D6">
      <w:pPr>
        <w:pStyle w:val="TextoNormal"/>
      </w:pPr>
      <w:r>
        <w:t>Trasladando esta doctrina a este recurso, considera que la providencia recurrida incurre en manifiesto error de motivación pues la cuestión planteada entraba en el ámbito del incidente y la recurribilidad de la sentencia que fundamentaba su rechazo no era tal, por lo que la resolución del mismo deviene vulneradora del art. 24.1 CE.</w:t>
      </w:r>
    </w:p>
    <w:p w:rsidR="00AC56D6" w:rsidRDefault="00AC56D6" w:rsidP="00AC56D6">
      <w:pPr>
        <w:pStyle w:val="TextoNormal"/>
      </w:pPr>
    </w:p>
    <w:p w:rsidR="00AC56D6" w:rsidRDefault="00AC56D6" w:rsidP="00AC56D6">
      <w:pPr>
        <w:pStyle w:val="TextoNormal"/>
      </w:pPr>
      <w:r>
        <w:t>Finalmente, entiende el Fiscal que el otorgamiento del amparo debe limitarse a un reconocimiento del derecho puramente declarativo, sin retroacción de actuaciones, puesto que carece de sentido acordarla por la inexistencia de derecho fundamental violado en la práctica del emplazamiento.</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3 de septiembre de 2015 se señaló para la deliberación y votación de la presente Sentencia el día 7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presente recurso de amparo se dirige contra la Sentencia de fecha 13 de marzo de 2008 dictada por el Juzgado de Primera Instancia núm. 6 de Almería, en juicio verbal núm. 80-2007, y contra la providencia dictada por el mismo Juzgado de fecha 22 de abril de 2013, por la que se inadmite a trámite el incidente excepcional de nulidad de actuaciones.</w:t>
      </w:r>
    </w:p>
    <w:p w:rsidR="00AC56D6" w:rsidRDefault="00AC56D6" w:rsidP="00AC56D6">
      <w:pPr>
        <w:pStyle w:val="TextoNormal"/>
      </w:pPr>
    </w:p>
    <w:p w:rsidR="00AC56D6" w:rsidRDefault="00AC56D6" w:rsidP="00AC56D6">
      <w:pPr>
        <w:pStyle w:val="TextoNormal"/>
      </w:pPr>
      <w:r>
        <w:t>En la demanda de amparo se alega la vulneración del derecho a la tutela judicial efectiva sin indefensión (art. 24.1 CE), al haber sido condenado el recurrente en el proceso de relaciones paterno-filiales sin haber sido emplazado en legal forma, pues los actos de comunicación del Juzgado fueron defectuosos, pudiendo haber sido localizado si se hubiere actuado con la diligencia debida. Se aduce asimismo que la inadmisión del incidente de nulidad ha vulnerado su derecho a la tutela judicial efectiva, puesto que era el único remedio del que disponía el recurrente para ejercer su defensa, resultando inadmitido de forma incongruente por el órgano judicial.</w:t>
      </w:r>
    </w:p>
    <w:p w:rsidR="00AC56D6" w:rsidRDefault="00AC56D6" w:rsidP="00AC56D6">
      <w:pPr>
        <w:pStyle w:val="TextoNormal"/>
      </w:pPr>
    </w:p>
    <w:p w:rsidR="00AC56D6" w:rsidRDefault="00AC56D6" w:rsidP="00AC56D6">
      <w:pPr>
        <w:pStyle w:val="TextoNormal"/>
      </w:pPr>
      <w:r>
        <w:t>El Ministerio Fiscal considera que no hubo lesión constitucional en la llamada al proceso, pero interesa la estimación del recurso por entender que concurre la vulneración del art. 24.1 CE, si bien en su vertiente de acceso al recurso, por motivación manifiestamente errónea de la providencia que resuelve el incidente.</w:t>
      </w:r>
    </w:p>
    <w:p w:rsidR="00AC56D6" w:rsidRDefault="00AC56D6" w:rsidP="00AC56D6">
      <w:pPr>
        <w:pStyle w:val="TextoNormal"/>
      </w:pPr>
    </w:p>
    <w:p w:rsidR="00AC56D6" w:rsidRDefault="00AC56D6" w:rsidP="00AC56D6">
      <w:pPr>
        <w:pStyle w:val="TextoNormal"/>
      </w:pPr>
      <w:r w:rsidRPr="00AC56D6">
        <w:rPr>
          <w:rStyle w:val="NumeroAFNegritaCaracter"/>
        </w:rPr>
        <w:t>2</w:t>
      </w:r>
      <w:r>
        <w:t xml:space="preserve">. Se plantea, una vez más, el análisis desde la estricta perspectiva constitucional de la cuestión relativa a las decisiones de inadmisión a trámite del incidente excepcional de nulidad de actuaciones del art. 241 de la Ley Orgánica del Poder Judicial (LOPJ), tras la reforma operada por Ley Orgánica 6/2007, de 24 de mayo, el cual fue promovido por la recurrente </w:t>
      </w:r>
      <w:r>
        <w:lastRenderedPageBreak/>
        <w:t>fundado en la lesión del derecho a la tutela judicial efectiva del art. 24.1 CE, en su vertiente de derecho de acceso a la jurisdicción.</w:t>
      </w:r>
    </w:p>
    <w:p w:rsidR="00AC56D6" w:rsidRDefault="00AC56D6" w:rsidP="00AC56D6">
      <w:pPr>
        <w:pStyle w:val="TextoNormal"/>
      </w:pPr>
    </w:p>
    <w:p w:rsidR="00AC56D6" w:rsidRDefault="00AC56D6" w:rsidP="00AC56D6">
      <w:pPr>
        <w:pStyle w:val="TextoNormal"/>
      </w:pPr>
      <w:r>
        <w:t>Según la doctrina de este Tribunal, los órganos judiciales, a la vista de la ordenación del recurso de amparo tras la reforma operada por Ley Orgánica 6/2007, deben realizar una interpretación no restrictiva de las causas de inadmisión del incidente de nulidad de actuaciones, motivando suficientemente su decisión, puesto que la reforma ha acentuado la función de los Tribunales ordinarios como primeros garantes de los derechos fundamentales en el ordenamiento jurídico, con el fin de lograr que la tutela y defensa de esos derechos por parte del Tribunal Constitucional sea realmente subsidiaria.</w:t>
      </w:r>
    </w:p>
    <w:p w:rsidR="00AC56D6" w:rsidRDefault="00AC56D6" w:rsidP="00AC56D6">
      <w:pPr>
        <w:pStyle w:val="TextoNormal"/>
      </w:pPr>
    </w:p>
    <w:p w:rsidR="00AC56D6" w:rsidRDefault="00AC56D6" w:rsidP="00AC56D6">
      <w:pPr>
        <w:pStyle w:val="TextoNormal"/>
      </w:pPr>
      <w:r>
        <w:t>El incumplimiento de esta jurisprudencia constitucional que este Tribunal puede observar es grave, carece de justificación, se repite con frecuencia en la jurisprudencia que este Tribunal viene observando, lo cual dota de especial trascendencia constitucional a este recurso y, así, en relación a esta misma cuestión, entre otras, se ha pronunciado recientemente en las SSTC 153/2012, de 16 de julio; 9/2014, de 27 de enero; 204/2014, de 15 de diciembre; 91/2015, de 11 de mayo; 98/2015, de 25 de mayo; 101/2015, de 25 de mayo, y 142/2015, de 22 de junio.</w:t>
      </w:r>
    </w:p>
    <w:p w:rsidR="00AC56D6" w:rsidRDefault="00AC56D6" w:rsidP="00AC56D6">
      <w:pPr>
        <w:pStyle w:val="TextoNormal"/>
      </w:pPr>
    </w:p>
    <w:p w:rsidR="00AC56D6" w:rsidRDefault="00AC56D6" w:rsidP="00AC56D6">
      <w:pPr>
        <w:pStyle w:val="TextoNormal"/>
      </w:pPr>
      <w:r>
        <w:t>De ese modo, concurre el motivo de especial trascendencia constitucional recogido en el apartado e) del fundamento jurídico 2 de la STC 155/2009, de 25 de junio, esto es, que la doctrina de este Tribunal sobre el derecho fundamental que se alega podría estar siendo incumplida de modo reiterado por la jurisdicción ordinaria.</w:t>
      </w:r>
    </w:p>
    <w:p w:rsidR="00AC56D6" w:rsidRDefault="00AC56D6" w:rsidP="00AC56D6">
      <w:pPr>
        <w:pStyle w:val="TextoNormal"/>
      </w:pPr>
    </w:p>
    <w:p w:rsidR="00AC56D6" w:rsidRDefault="00AC56D6" w:rsidP="00AC56D6">
      <w:pPr>
        <w:pStyle w:val="TextoNormal"/>
      </w:pPr>
      <w:r w:rsidRPr="00AC56D6">
        <w:rPr>
          <w:rStyle w:val="NumeroAFNegritaCaracter"/>
        </w:rPr>
        <w:t>3</w:t>
      </w:r>
      <w:r>
        <w:t>. A la vista del planteamiento que se realiza en la demanda, en que se dirige la impugnación contra la Sentencia de fecha 13 de marzo de 2008 dictada por el Juzgado de Primera Instancia núm. 6 de Almería, en juicio verbal núm. 80-2007, y contra la providencia de 22 de abril de 2013, por la que se inadmite a trámite el incidente excepcional de nulidad de actuaciones, es preciso acotar el objeto del presente recurso de amparo.</w:t>
      </w:r>
    </w:p>
    <w:p w:rsidR="00AC56D6" w:rsidRDefault="00AC56D6" w:rsidP="00AC56D6">
      <w:pPr>
        <w:pStyle w:val="TextoNormal"/>
      </w:pPr>
    </w:p>
    <w:p w:rsidR="00AC56D6" w:rsidRDefault="00AC56D6" w:rsidP="00AC56D6">
      <w:pPr>
        <w:pStyle w:val="TextoNormal"/>
      </w:pPr>
      <w:r>
        <w:t>Como indicábamos en la STC 152/2015, de 6 de julio, FJ 3, para resolver las vulneraciones de derechos fundamentales que han sido planteadas por el recurrente, hemos de adoptar un criterio sistemático que concilie las exigencias de tutela subjetiva de la posición jurídica del actor con la función objetiva que, tras la reforma operada por la Ley Orgánica 6/2007, de 24 de mayo, cumple el proceso constitucional de amparo. Por tanto, debemos seguir nuestro criterio habitual de la “mayor retroacción”, asegurando la más amplia tutela de los derechos fundamentales del recurrente, lo que impone comenzar nuestro análisis por la queja relativa al derecho de acceso a la jurisdicción, ya que su estimación obligaría a retrotraer las actuaciones para la práctica del emplazamiento en el proceso a quo.</w:t>
      </w:r>
    </w:p>
    <w:p w:rsidR="00AC56D6" w:rsidRDefault="00AC56D6" w:rsidP="00AC56D6">
      <w:pPr>
        <w:pStyle w:val="TextoNormal"/>
      </w:pPr>
    </w:p>
    <w:p w:rsidR="00AC56D6" w:rsidRDefault="00AC56D6" w:rsidP="00AC56D6">
      <w:pPr>
        <w:pStyle w:val="TextoNormal"/>
      </w:pPr>
      <w:r w:rsidRPr="00AC56D6">
        <w:rPr>
          <w:rStyle w:val="NumeroAFNegritaCaracter"/>
        </w:rPr>
        <w:t>4</w:t>
      </w:r>
      <w:r>
        <w:t>. Este Tribunal ha declarado que 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y en este sentido es reiterada la doctrina constitucional sobre la importancia de los actos de comunicación para la efectividad del derecho a la tutela judicial efectiva sin indefensión (art. 24.1 CE).</w:t>
      </w:r>
    </w:p>
    <w:p w:rsidR="00AC56D6" w:rsidRDefault="00AC56D6" w:rsidP="00AC56D6">
      <w:pPr>
        <w:pStyle w:val="TextoNormal"/>
      </w:pPr>
    </w:p>
    <w:p w:rsidR="00AC56D6" w:rsidRDefault="00AC56D6" w:rsidP="00AC56D6">
      <w:pPr>
        <w:pStyle w:val="TextoNormal"/>
      </w:pPr>
      <w:r>
        <w:lastRenderedPageBreak/>
        <w:t>El órgano judicial tiene no sólo el deber de velar por la correcta ejecución de los actos de comunicación procesal, sino también el de asegurarse de que dichos actos sirven a su propósito de garantizar que la parte sea oída en el proceso, lo que, como recordábamos en la STC 131/2014, de 21 de julio, FJ 3, comporta, en lo posible, la exigencia del emplazamiento personal de los afectados y, desde otra perspectiva, la limitación del empleo de la notificación edictal a aquellos supuestos en los que no conste el domicilio de quien haya de ser emplazado o bien se ignore su paradero. En este sentido, hemos reiterado “la preeminencia del emplazamiento personal —en sus diversas formas— frente al realizado por edictos, de tal modo que esta segunda forma de comunicación, si bien válida constitucionalmente, se concibe en todo caso como un remedio último de carácter supletorio y excepcional, que requiere el agotamiento previo de las modalidades aptas para asegurar en el mayor grado posible la recepción de la notificación por el destinatario de la misma, a cuyo fin deben de extremarse las gestiones en la averiguación del paradero de sus destinatarios por los medios normales, de manera que la decisión de notificación mediante edictos debe fundarse en criterios de razonabilidad que conduzcan a la certeza, o al menos a una convicción razonable, de la inutilidad de los medios normales de citación (por todas, SSTC 158/2007, de 2 de julio, FJ 2; 32/2008, de 25 de febrero, FJ 2)” [STC 158/2008, de 24 de noviembre, FJ 2].</w:t>
      </w:r>
    </w:p>
    <w:p w:rsidR="00AC56D6" w:rsidRDefault="00AC56D6" w:rsidP="00AC56D6">
      <w:pPr>
        <w:pStyle w:val="TextoNormal"/>
      </w:pPr>
    </w:p>
    <w:p w:rsidR="00AC56D6" w:rsidRDefault="00AC56D6" w:rsidP="00AC56D6">
      <w:pPr>
        <w:pStyle w:val="TextoNormal"/>
      </w:pPr>
      <w:r w:rsidRPr="00AC56D6">
        <w:rPr>
          <w:rStyle w:val="NumeroAFNegritaCaracter"/>
        </w:rPr>
        <w:t>5</w:t>
      </w:r>
      <w:r>
        <w:t>. Aplicando la anterior doctrina al caso de autos, podemos constatar que el Juzgado de Primera Instancia desplegó una actividad procesal suficiente para venir en conocimiento del domicilio del demandado en el proceso a quo, ahora recurrente en amparo.</w:t>
      </w:r>
    </w:p>
    <w:p w:rsidR="00AC56D6" w:rsidRDefault="00AC56D6" w:rsidP="00AC56D6">
      <w:pPr>
        <w:pStyle w:val="TextoNormal"/>
      </w:pPr>
    </w:p>
    <w:p w:rsidR="00AC56D6" w:rsidRDefault="00AC56D6" w:rsidP="00AC56D6">
      <w:pPr>
        <w:pStyle w:val="TextoNormal"/>
      </w:pPr>
      <w:r>
        <w:t>Así, como consta en los antecedentes, y ante la manifestación de la actora de desconocimiento del paradero del demandado y a su instancia, acordó oficiar a la Policía Local de Almería para que averiguara el domicilio, quien facilitó un domicilio en la calle María Callas, del que se constató que el demandado marchó sin dejar señas.</w:t>
      </w:r>
    </w:p>
    <w:p w:rsidR="00AC56D6" w:rsidRDefault="00AC56D6" w:rsidP="00AC56D6">
      <w:pPr>
        <w:pStyle w:val="TextoNormal"/>
      </w:pPr>
    </w:p>
    <w:p w:rsidR="00AC56D6" w:rsidRDefault="00AC56D6" w:rsidP="00AC56D6">
      <w:pPr>
        <w:pStyle w:val="TextoNormal"/>
      </w:pPr>
      <w:r>
        <w:t>Ante este resultado negativo, el órgano judicial acordó oficiar a los otros dos cuerpos policiales, Policía Nacional y Guardia Civil, que en ambos casos no lograron localizar al demandado. El Juzgado consultó la base de datos de la Tesorería General de la Seguridad Social, obteniendo un domicilio en la calle Azahar, en el cual había convivido Juan Díez con la actora antes de iniciarse el proceso y que ya había abandonado y, finalmente, en comunicación de 2 de junio de 2008, el equipo de prevención y apoyo a la familia hizo constar que no podía proceder a la localización del demandado.</w:t>
      </w:r>
    </w:p>
    <w:p w:rsidR="00AC56D6" w:rsidRDefault="00AC56D6" w:rsidP="00AC56D6">
      <w:pPr>
        <w:pStyle w:val="TextoNormal"/>
      </w:pPr>
    </w:p>
    <w:p w:rsidR="00AC56D6" w:rsidRDefault="00AC56D6" w:rsidP="00AC56D6">
      <w:pPr>
        <w:pStyle w:val="TextoNormal"/>
      </w:pPr>
      <w:r>
        <w:t>De este modo, la actividad indagatoria desplegada por el órgano judicial fue suficiente, como alega el Fiscal, de manera que se respetó el carácter subsidiario de la comunicación edictal, al acudir a ésta cuando se agotaron los medios razonables para venir en conocimiento del paradero del interesado, con resultado infructuoso. En este punto, si bien hemos indicado que pesa sobre los órganos judiciales la responsabilidad de velar por la correcta constitución de la relación jurídico-procesal, también hemos afirmado que ello, claro está, no significa exigir al Juez o Tribunal correspondiente el despliegue de una desmedida labor investigadora (por todas, SSTC 334/1993, de 15 de noviembre, FJ 2; 113/1998, de 1de junio, FJ 3; 26/1999, de 8 de marzo, FJ 3; 1/2000, de 17 de enero, FJ 3, y 102/2003, de 2de junio, FJ 2).</w:t>
      </w:r>
    </w:p>
    <w:p w:rsidR="00AC56D6" w:rsidRDefault="00AC56D6" w:rsidP="00AC56D6">
      <w:pPr>
        <w:pStyle w:val="TextoNormal"/>
      </w:pPr>
    </w:p>
    <w:p w:rsidR="00AC56D6" w:rsidRDefault="00AC56D6" w:rsidP="00AC56D6">
      <w:pPr>
        <w:pStyle w:val="TextoNormal"/>
      </w:pPr>
      <w:r>
        <w:lastRenderedPageBreak/>
        <w:t>En este caso, como se ha indicado, la labor investigadora realizada por el órgano judicial fue razonable y suficiente, sin que, por otra parte, el hecho que el demandante de amparo estuviera ingresado en un establecimiento penitenciario desvirtúe dicha conclusión, puesto que no existía ningún indicio en el proceso a quo que apuntara a que el recurrente estuviera ingresado en prisión cumpliendo una pena privativa de libertad.</w:t>
      </w:r>
    </w:p>
    <w:p w:rsidR="00AC56D6" w:rsidRDefault="00AC56D6" w:rsidP="00AC56D6">
      <w:pPr>
        <w:pStyle w:val="TextoNormal"/>
      </w:pPr>
    </w:p>
    <w:p w:rsidR="00AC56D6" w:rsidRDefault="00AC56D6" w:rsidP="00AC56D6">
      <w:pPr>
        <w:pStyle w:val="TextoNormal"/>
      </w:pPr>
      <w:r>
        <w:t>De todo ello se concluye que no se vulneró el derecho a la tutela judicial efectiva sin indefensión, puesto que el órgano judicial veló por la correcta ejecución de los actos de comunicación procesal, respetando en el caso el carácter subsidiario y excepcional de la notificación edictal al desconocerse el paradero del interesado ante el resultado infructuoso de las diligencias de averiguación acordadas.</w:t>
      </w:r>
    </w:p>
    <w:p w:rsidR="00AC56D6" w:rsidRDefault="00AC56D6" w:rsidP="00AC56D6">
      <w:pPr>
        <w:pStyle w:val="TextoNormal"/>
      </w:pPr>
    </w:p>
    <w:p w:rsidR="00AC56D6" w:rsidRDefault="00AC56D6" w:rsidP="00AC56D6">
      <w:pPr>
        <w:pStyle w:val="TextoNormal"/>
      </w:pPr>
      <w:r w:rsidRPr="00AC56D6">
        <w:rPr>
          <w:rStyle w:val="NumeroAFNegritaCaracter"/>
        </w:rPr>
        <w:t>6</w:t>
      </w:r>
      <w:r>
        <w:t>. La segunda de las vulneraciones aducidas en la demanda de amparo se imputa a la providencia de fecha 22 de abril de 2013 que inadmitió el incidente de nulidad de actuaciones planteado por el recurrente una vez que tuvo conocimiento del proceso.</w:t>
      </w:r>
    </w:p>
    <w:p w:rsidR="00AC56D6" w:rsidRDefault="00AC56D6" w:rsidP="00AC56D6">
      <w:pPr>
        <w:pStyle w:val="TextoNormal"/>
      </w:pPr>
    </w:p>
    <w:p w:rsidR="00AC56D6" w:rsidRDefault="00AC56D6" w:rsidP="00AC56D6">
      <w:pPr>
        <w:pStyle w:val="TextoNormal"/>
      </w:pPr>
      <w:r>
        <w:t>Entrando en el análisis de la queja planteada, este Tribunal ha declarado que “el incidente de nulidad de actuaciones asume, tras la configuración del nuevo amparo constitucional, una función esencial de tutela y defensa de los derechos fundamentales que puede y debe ser controlada por este Tribunal cuando las hipotéticas lesiones autónomas que en él se produzcan tengan ‘especial trascendencia constitucional’. No puede considerarse como un mero trámite formal previo al amparo constitucional sino como un verdadero instrumento procesal que, en la vía de la jurisdicción ordinaria, podrá remediar aquellas lesiones de derechos fundamentales que no hayan podido denunciarse antes de recaer resolución que ponga fin al proceso y siempre que dicha resolución no sea susceptible de recurso ordinario ni extraordinario” (STC 153/2012, de 16 de julio, FJ 3).</w:t>
      </w:r>
    </w:p>
    <w:p w:rsidR="00AC56D6" w:rsidRDefault="00AC56D6" w:rsidP="00AC56D6">
      <w:pPr>
        <w:pStyle w:val="TextoNormal"/>
      </w:pPr>
    </w:p>
    <w:p w:rsidR="00AC56D6" w:rsidRDefault="00AC56D6" w:rsidP="00AC56D6">
      <w:pPr>
        <w:pStyle w:val="TextoNormal"/>
      </w:pPr>
      <w:r>
        <w:t>El protagonismo otorgado por la Ley Orgánica 6/2007 a los Tribunales ordinarios, acentuando su función como primeros garantes de los derechos fundamentales en el ordenamiento jurídico y con el fin de lograr que la tutela y defensa de esos derechos por parte del Tribunal Constitucional sea realmente subsidiaria, debe ser puesta en conexión con la especial trascendencia constitucional a que hizo referencia la STC 43/2010, de 26 de julio, FJ 5, al afirmar que “el incidente de nulidad de actuaciones era un instrumento idóneo para la tutela del derecho fundamental en cuestión, y que su resolución debía tener presente que —de no tener el caso trascendencia constitucional— se trataría de la última vía que permitiría la reparación de la vulneración denunciada”.</w:t>
      </w:r>
    </w:p>
    <w:p w:rsidR="00AC56D6" w:rsidRDefault="00AC56D6" w:rsidP="00AC56D6">
      <w:pPr>
        <w:pStyle w:val="TextoNormal"/>
      </w:pPr>
    </w:p>
    <w:p w:rsidR="00AC56D6" w:rsidRDefault="00AC56D6" w:rsidP="00AC56D6">
      <w:pPr>
        <w:pStyle w:val="TextoNormal"/>
      </w:pPr>
      <w:r>
        <w:t>En consecuencia, las decisiones de inadmisión del incidente de nulidad de actuaciones cuando es procedente su planteamiento implican la preterición del mecanismo de tutela ante la jurisdicción ordinaria (STC 9/2014, de 27 de enero, FJ 3).</w:t>
      </w:r>
    </w:p>
    <w:p w:rsidR="00AC56D6" w:rsidRDefault="00AC56D6" w:rsidP="00AC56D6">
      <w:pPr>
        <w:pStyle w:val="TextoNormal"/>
      </w:pPr>
    </w:p>
    <w:p w:rsidR="00AC56D6" w:rsidRDefault="00AC56D6" w:rsidP="00AC56D6">
      <w:pPr>
        <w:pStyle w:val="TextoNormal"/>
      </w:pPr>
      <w:r w:rsidRPr="00AC56D6">
        <w:rPr>
          <w:rStyle w:val="NumeroAFNegritaCaracter"/>
        </w:rPr>
        <w:t>7</w:t>
      </w:r>
      <w:r>
        <w:t>. En el presente caso, el demandante de amparo interpuso incidente excepcional de nulidad de actuaciones denunciando la vulneración del art. 24.1 CE al no haber tenido conocimiento del proceso a quo, acreditando que estuvo ingresado en prisión en el periodo comprendido entre el 7 de octubre de 2006 hasta el 7 de diciembre de 2012.</w:t>
      </w:r>
    </w:p>
    <w:p w:rsidR="00AC56D6" w:rsidRDefault="00AC56D6" w:rsidP="00AC56D6">
      <w:pPr>
        <w:pStyle w:val="TextoNormal"/>
      </w:pPr>
    </w:p>
    <w:p w:rsidR="00AC56D6" w:rsidRDefault="00AC56D6" w:rsidP="00AC56D6">
      <w:pPr>
        <w:pStyle w:val="TextoNormal"/>
      </w:pPr>
      <w:r>
        <w:lastRenderedPageBreak/>
        <w:t>Tal como ha quedado expresado en los antecedentes, la decisión de inadmisión de plano se fundó en dos motivos: (i) no estar la cuestión legalmente prevista en el art. 228.1 de la Ley de enjuiciamiento civil (LEC); y (ii) ser la sentencia recurrible.</w:t>
      </w:r>
    </w:p>
    <w:p w:rsidR="00AC56D6" w:rsidRDefault="00AC56D6" w:rsidP="00AC56D6">
      <w:pPr>
        <w:pStyle w:val="TextoNormal"/>
      </w:pPr>
    </w:p>
    <w:p w:rsidR="00AC56D6" w:rsidRDefault="00AC56D6" w:rsidP="00AC56D6">
      <w:pPr>
        <w:pStyle w:val="TextoNormal"/>
      </w:pPr>
      <w:r>
        <w:t>Ambos motivos son infundados pues:</w:t>
      </w:r>
    </w:p>
    <w:p w:rsidR="00AC56D6" w:rsidRDefault="00AC56D6" w:rsidP="00AC56D6">
      <w:pPr>
        <w:pStyle w:val="TextoNormal"/>
      </w:pPr>
    </w:p>
    <w:p w:rsidR="00AC56D6" w:rsidRDefault="00AC56D6" w:rsidP="00AC56D6">
      <w:pPr>
        <w:pStyle w:val="TextoNormal"/>
      </w:pPr>
      <w:r>
        <w:t>(i) La vulneración denunciada encaja totalmente en el ámbito del art. 24.1 CE, en tanto que se aduce una lesión del derecho a la tutela judicial efectiva, en su vertiente de acceso a la jurisdicción, por no haber tenido el recurrente conocimiento de la existencia del proceso por defectuosa comunicación. Por tanto, es indudable que la cuestión planteada encaja en el ámbito del incidente excepcional regulado en los arts. 241 LOPJ y 228 LEC.</w:t>
      </w:r>
    </w:p>
    <w:p w:rsidR="00AC56D6" w:rsidRDefault="00AC56D6" w:rsidP="00AC56D6">
      <w:pPr>
        <w:pStyle w:val="TextoNormal"/>
      </w:pPr>
    </w:p>
    <w:p w:rsidR="00AC56D6" w:rsidRDefault="00AC56D6" w:rsidP="00AC56D6">
      <w:pPr>
        <w:pStyle w:val="TextoNormal"/>
      </w:pPr>
      <w:r>
        <w:t>(ii) En cuanto a la recurribilidad de la sentencia, es indudable que frente a la misma no cabía recurso, puesto que el propio Juzgado declaró la firmeza de la sentencia, tras ser notificada por edictos, por providencia de fecha 22 de enero de 2009.</w:t>
      </w:r>
    </w:p>
    <w:p w:rsidR="00AC56D6" w:rsidRDefault="00AC56D6" w:rsidP="00AC56D6">
      <w:pPr>
        <w:pStyle w:val="TextoNormal"/>
      </w:pPr>
    </w:p>
    <w:p w:rsidR="00AC56D6" w:rsidRDefault="00AC56D6" w:rsidP="00AC56D6">
      <w:pPr>
        <w:pStyle w:val="TextoNormal"/>
      </w:pPr>
      <w:r>
        <w:t>En consecuencia, y de acuerdo a la doctrina expuesta, podemos afirmar que el incidente de nulidad no cumplió en este caso su función de tutela y defensa de los derechos fundamentales en base a una decisión de inadmisión del órgano jurisdiccional con manifiesta falta de motivación, de lo que resulta que se ha vulnerado el derecho de acceso al recurso de la parte demandante de amparo (art. 24.1 CE).</w:t>
      </w:r>
    </w:p>
    <w:p w:rsidR="00AC56D6" w:rsidRDefault="00AC56D6" w:rsidP="00AC56D6">
      <w:pPr>
        <w:pStyle w:val="TextoNormal"/>
      </w:pPr>
    </w:p>
    <w:p w:rsidR="00AC56D6" w:rsidRDefault="00AC56D6" w:rsidP="00AC56D6">
      <w:pPr>
        <w:pStyle w:val="TextoNormal"/>
      </w:pPr>
      <w:r w:rsidRPr="00AC56D6">
        <w:rPr>
          <w:rStyle w:val="NumeroAFNegritaCaracter"/>
        </w:rPr>
        <w:t>8</w:t>
      </w:r>
      <w:r>
        <w:t>. Los razonamientos expuestos, y de conformidad con el art. 55.1 de la Ley Orgánica del Tribunal Constitucional (LOTC), conducen a la conclusión que debe otorgarse el amparo en relación a la vulneración del art. 24.1 CE, en su vertiente de derecho de acceso al recurso, y declararse la nulidad de la providencia de 22 de abril de 2013, para que se dicte nueva resolución judicial con respeto al derecho fundamental reconocido, resolviéndose la admisión y para que se tramite y ponga fin, en forma legal, al incidente de nulidad de actuaciones promovido por la parte recurrente en amparo, todo ello en coherencia con la doctrina constitucional de este Tribunal (por todas, SSTC 9/2014, de 27 de enero, FJ 6; 204/2014, de 15 de diciembre, FJ 4, y 142/2015, de 22 de junio, FJ 4).</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Estimar parcialmente el presente recurso de amparo interpuesto por don Juan Díez López y, en consecuencia:</w:t>
      </w:r>
    </w:p>
    <w:p w:rsidR="00AC56D6" w:rsidRDefault="00AC56D6" w:rsidP="00AC56D6">
      <w:pPr>
        <w:pStyle w:val="TextoNormal"/>
      </w:pPr>
    </w:p>
    <w:p w:rsidR="00AC56D6" w:rsidRDefault="00AC56D6" w:rsidP="00AC56D6">
      <w:pPr>
        <w:pStyle w:val="TextoNormal"/>
      </w:pPr>
      <w:r>
        <w:t>1º Declarar que ha sido vulnerado su derecho fundamental a la tutela judicial efectiva (art. 24.1 CE), en su vertiente de acceso al recurso.</w:t>
      </w:r>
    </w:p>
    <w:p w:rsidR="00AC56D6" w:rsidRDefault="00AC56D6" w:rsidP="00AC56D6">
      <w:pPr>
        <w:pStyle w:val="TextoNormal"/>
      </w:pPr>
    </w:p>
    <w:p w:rsidR="00AC56D6" w:rsidRDefault="00AC56D6" w:rsidP="00AC56D6">
      <w:pPr>
        <w:pStyle w:val="TextoNormal"/>
      </w:pPr>
      <w:r>
        <w:lastRenderedPageBreak/>
        <w:t>2º Restablecerlo en su derecho y, a tal fin, declarar la nulidad de la providencia de 22 de abril de 2013 dictada por el Juzgado de Primera Instancia núm. 6 de Almería, en juicio verbal núm. 80-2007.</w:t>
      </w:r>
    </w:p>
    <w:p w:rsidR="00AC56D6" w:rsidRDefault="00AC56D6" w:rsidP="00AC56D6">
      <w:pPr>
        <w:pStyle w:val="TextoNormal"/>
      </w:pPr>
    </w:p>
    <w:p w:rsidR="00AC56D6" w:rsidRDefault="00AC56D6" w:rsidP="00AC56D6">
      <w:pPr>
        <w:pStyle w:val="TextoNormal"/>
      </w:pPr>
      <w:r>
        <w:t>3º Desestimar el recurso en todo lo demás.</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siete de septiembre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37" w:name="SENTENCIA_2015_181"/>
      <w:r>
        <w:lastRenderedPageBreak/>
        <w:t>SENTENCIA 181/2015, de 7 de septiembre de 2015</w:t>
      </w:r>
    </w:p>
    <w:bookmarkEnd w:id="37"/>
    <w:p w:rsidR="00AC56D6" w:rsidRDefault="00AC56D6" w:rsidP="00AC56D6">
      <w:pPr>
        <w:pStyle w:val="TtuloResolucin"/>
      </w:pPr>
      <w:r>
        <w:t>Sala Segunda</w:t>
      </w:r>
    </w:p>
    <w:p w:rsidR="00AC56D6" w:rsidRDefault="00AC56D6" w:rsidP="00AC56D6">
      <w:pPr>
        <w:pStyle w:val="TtuloBOE"/>
      </w:pPr>
      <w:r>
        <w:t>(BOE núm. 245, de 13 de octubre de 2015)</w:t>
      </w:r>
    </w:p>
    <w:p w:rsidR="00AC56D6" w:rsidRDefault="00AC56D6" w:rsidP="00AC56D6">
      <w:pPr>
        <w:pStyle w:val="TextoNormalCentrado"/>
      </w:pPr>
      <w:r>
        <w:t>ECLI:ES:TC:2015:181</w:t>
      </w:r>
    </w:p>
    <w:p w:rsidR="00AC56D6" w:rsidRDefault="00AC56D6" w:rsidP="00AC56D6">
      <w:pPr>
        <w:pStyle w:val="TextoNormalCentrado"/>
      </w:pPr>
    </w:p>
    <w:p w:rsidR="00AC56D6" w:rsidRDefault="00AC56D6" w:rsidP="00AC56D6">
      <w:pPr>
        <w:pStyle w:val="SntesisDescriptiva"/>
      </w:pPr>
      <w:r>
        <w:t>Recurso de amparo 4572-2013. Sala Segunda. Sentencia 181/2015, de 7 de septiembre de 2015. Promovido por Girabelmar, S.L., y otras dos personas respecto de las resoluciones por un Juzgado de Primera Instancia de Marbella en juicio verbal de desahucio y reclamación de rentas.</w:t>
      </w:r>
    </w:p>
    <w:p w:rsidR="00AC56D6" w:rsidRDefault="00AC56D6" w:rsidP="00AC56D6">
      <w:pPr>
        <w:pStyle w:val="SntesisDescriptiva"/>
      </w:pPr>
    </w:p>
    <w:p w:rsidR="00AC56D6" w:rsidRDefault="00AC56D6" w:rsidP="00AC56D6">
      <w:pPr>
        <w:pStyle w:val="SntesisAnaltica"/>
      </w:pPr>
      <w:r>
        <w:t>Vulneración del derecho a la tutela judicial sin indefensión: emplazamiento mediante edictos del demandado, cuyo domicilio y correo electrónico figuraban en la documentación obrante en autos (STC 30/2014).</w:t>
      </w:r>
    </w:p>
    <w:p w:rsidR="00AC56D6" w:rsidRDefault="00AC56D6" w:rsidP="00AC56D6">
      <w:pPr>
        <w:pStyle w:val="SntesisAnaltica"/>
      </w:pPr>
    </w:p>
    <w:p w:rsidR="00AC56D6" w:rsidRDefault="00AC56D6" w:rsidP="00AC56D6">
      <w:pPr>
        <w:pStyle w:val="Extracto"/>
      </w:pPr>
      <w:r>
        <w:t>1.</w:t>
      </w:r>
      <w:r>
        <w:tab/>
        <w:t>Se ha vulnerado el derecho a la tutela judicial efectiva sin indefensión de los demandantes, por la falta de diligencia del órgano judicial en su obligación de agotar los medios de averiguación del domicilio real para obtener una notificación personal y efectiva, cuando, además, constaba identificado otro domicilio a los efectos de notificaciones en los documentos contractuales aportados con la demanda, aparte de figurar la dirección de correo electrónico de uno de los actores, que, según el art. 155.5 LEC, puede utilizarse para efectuar las notificaciones, cumpliendo determinadas garantías (STC 58/2010) [FFJJ 4,5].</w:t>
      </w:r>
    </w:p>
    <w:p w:rsidR="00AC56D6" w:rsidRDefault="00AC56D6" w:rsidP="00AC56D6">
      <w:pPr>
        <w:pStyle w:val="Extracto"/>
      </w:pPr>
    </w:p>
    <w:p w:rsidR="00AC56D6" w:rsidRDefault="00AC56D6" w:rsidP="00AC56D6">
      <w:pPr>
        <w:pStyle w:val="Extracto"/>
      </w:pPr>
      <w:r>
        <w:t>2.</w:t>
      </w:r>
      <w:r>
        <w:tab/>
        <w:t>Asunto sustancialmente idéntico al que dio lugar a la STC 30/2014 que se remitía en lo esencial a la doctrina sobre la debida diligencia del órgano judicial en los actos de comunicación procesal y emplazamiento [FFJJ 3,4].</w:t>
      </w:r>
    </w:p>
    <w:p w:rsidR="00AC56D6" w:rsidRDefault="00AC56D6" w:rsidP="00AC56D6">
      <w:pPr>
        <w:pStyle w:val="Extracto"/>
      </w:pPr>
    </w:p>
    <w:p w:rsidR="00AC56D6" w:rsidRDefault="00AC56D6" w:rsidP="00AC56D6">
      <w:pPr>
        <w:pStyle w:val="Extracto"/>
      </w:pPr>
      <w:r>
        <w:t>3.</w:t>
      </w:r>
      <w:r>
        <w:tab/>
        <w:t>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(SSTC 40/2005, 245/2006) [FJ 3].</w:t>
      </w:r>
    </w:p>
    <w:p w:rsidR="00AC56D6" w:rsidRDefault="00AC56D6" w:rsidP="00AC56D6">
      <w:pPr>
        <w:pStyle w:val="Extracto"/>
      </w:pPr>
    </w:p>
    <w:p w:rsidR="00AC56D6" w:rsidRDefault="00AC56D6" w:rsidP="00AC56D6">
      <w:pPr>
        <w:pStyle w:val="Extracto"/>
      </w:pPr>
      <w:r>
        <w:t>4.</w:t>
      </w:r>
      <w:r>
        <w:tab/>
        <w:t>La especial trascendencia constitucional reside en que el cambio normativo exige aclarar la doctrina de este Tribunal dado que la reforma legal no supone una alteración en las exigencias que se derivan en aplicación del art. 24.1 CE, pues la interpretación que se realiza de la reforma introducida por la Ley 19/2009 refleja que algunos órganos judiciales no siguen la doctrina de este Tribunal en materia de emplazamiento y notificaciones, manteniendo una interpretación literal y restrictiva del precepto en relación con la diligencia que deben realizar los actos de comunicación dirigidos a quienes las partes en el procedimiento [FJ 5].</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lastRenderedPageBreak/>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amparo núm. 4572-2013, promovido por “Girabelmar, S.L.”, don Gino Van De Velde y don Rachid El Asri, representados por el Procurador de los Tribunales don Alejandro González Salinas y asistidos por el Letrado don Manuel Fernández Baena, contra el Auto del Juzgado de Primera Instancia núm. 1 de Marbella de 27 de junio de 2013, desestimatorio de la nulidad de actuaciones instada por los actores en el juicio verbal de desahucio y reclamación de rentas núm. 1093-2012. Ha sido parte la entidad “Vista Isleña, S.L.”, representada por la Procuradora de los Tribunales doña Iciar de la Peña Argacha y asistida por el Letrado don Mauricio Faltoyano Gil y ha intervenido el Ministerio Fiscal. Ha sido Ponente la Magistrada doña Adela Asua Batarrita,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presentado en el Registro General de este Tribunal el 22 de julio de 2013, el Procurador de los Tribunales don Alejandro González Salinas, actuando en nombre y representación de la entidad Girabelmar, S.L., de don Gino Van De Velde y de don Rachid El Asri, interpuso recurso de amparo contra la resolución judicial que se cita en el encabezamiento.</w:t>
      </w:r>
    </w:p>
    <w:p w:rsidR="00AC56D6" w:rsidRDefault="00AC56D6" w:rsidP="00AC56D6">
      <w:pPr>
        <w:pStyle w:val="TextoNormal"/>
      </w:pPr>
    </w:p>
    <w:p w:rsidR="00AC56D6" w:rsidRDefault="00AC56D6" w:rsidP="00AC56D6">
      <w:pPr>
        <w:pStyle w:val="TextoNormal"/>
      </w:pPr>
      <w:r w:rsidRPr="00AC56D6">
        <w:rPr>
          <w:rStyle w:val="NumeroAFNegritaCaracter"/>
        </w:rPr>
        <w:t>2</w:t>
      </w:r>
      <w:r>
        <w:t>. Los hechos relevantes para el examen de la pretensión de amparo son, sucintamente expuestos, los siguientes:</w:t>
      </w:r>
    </w:p>
    <w:p w:rsidR="00AC56D6" w:rsidRDefault="00AC56D6" w:rsidP="00AC56D6">
      <w:pPr>
        <w:pStyle w:val="TextoNormal"/>
      </w:pPr>
    </w:p>
    <w:p w:rsidR="00AC56D6" w:rsidRDefault="00AC56D6" w:rsidP="00AC56D6">
      <w:pPr>
        <w:pStyle w:val="TextoNormal"/>
      </w:pPr>
      <w:r>
        <w:t>a) La entidad Vista Isleña, S.L., como arrendadora, y los demandantes de amparo, en calidad de arrendatarios, celebraron con fecha 1 de marzo de 2012 un contrato de arrendamiento de local de negocio instalado. En la identificación de los demandantes de amparo que se efectúa en el contrato se señala expresamente: “con domicilio a efectos de este contrato en calle Nuestra Señora de Gracia 28 1º c) Marbella”. Y en la estipulación decimosegunda se establece que se considerará domicilio a efectos de notificaciones para la parte arrendataria, “igualmente el que figura al inicio del presente documento, así como el del local objeto de arrendamiento”. El domicilio del local objeto de arrendamiento es, según el contrato, calle Las Malvas, local 14-15, edificio Online, Nueva Andalucía, Marbella (Málaga).</w:t>
      </w:r>
    </w:p>
    <w:p w:rsidR="00AC56D6" w:rsidRDefault="00AC56D6" w:rsidP="00AC56D6">
      <w:pPr>
        <w:pStyle w:val="TextoNormal"/>
      </w:pPr>
    </w:p>
    <w:p w:rsidR="00AC56D6" w:rsidRDefault="00AC56D6" w:rsidP="00AC56D6">
      <w:pPr>
        <w:pStyle w:val="TextoNormal"/>
      </w:pPr>
      <w:r>
        <w:t xml:space="preserve">b) Con fecha 6 de septiembre de 2012, la arrendadora promovió contra los arrendatarios un procedimiento de desahucio por falta de pago y reclamación de rentas debidas. En la demanda se señaló como domicilio a efectos de notificaciones el del local objeto del arrendamiento. Admitida a trámite la demanda, se acordó requerir a los demandados para el desalojo del inmueble y pago de la deuda reclamada o formular oposición, así como citarlos a la celebración de juicio para en su caso. El servicio común de actos de comunicación intentó </w:t>
      </w:r>
      <w:r>
        <w:lastRenderedPageBreak/>
        <w:t>con fecha 2 de noviembre de 2012 la notificación en el local arrendado, no siendo encontrados allí los demandados, y manifestando el conserje que se habían marchado del local unas dos semanas antes, desalojando el mismo, por lo cual, a solicitud de la parte demandante, por diligencia de ordenación de 13 de diciembre de 2012 se acordó proceder a la notificación por medio de edictos, sin que, tras practicarse ésta, comparecieran los demandados. Una vez concluso el procedimiento, se dictó Sentencia por el Juzgado de Primera Instancia núm. 1 de Marbella con fecha 28 de enero de 2013, estimando la demanda, declarando resuelto el contrato de arrendamiento y condenando solidariamente a los demandados al pago de 29.467,42 € más las rentas debidas hasta el lanzamiento y los intereses legales, con expresa condena en costas.</w:t>
      </w:r>
    </w:p>
    <w:p w:rsidR="00AC56D6" w:rsidRDefault="00AC56D6" w:rsidP="00AC56D6">
      <w:pPr>
        <w:pStyle w:val="TextoNormal"/>
      </w:pPr>
    </w:p>
    <w:p w:rsidR="00AC56D6" w:rsidRDefault="00AC56D6" w:rsidP="00AC56D6">
      <w:pPr>
        <w:pStyle w:val="TextoNormal"/>
      </w:pPr>
      <w:r>
        <w:t>c) Una vez que los demandantes de amparo tuvieron conocimiento de la existencia del procedimiento de desahucio, se personaron en el mismo promoviendo incidente de nulidad de actuaciones en el que pusieron de relieve la lesión de su derecho a la tutela judicial efectiva, al no haberse llevado a cabo la notificación en otro domicilio (como el que figuraba en el contrato) ni haber intentado averiguación alguna mediante los medios que el Juez tenía a su disposición, y a lo que estaba obligado por mandato del art. 156 de la Ley de enjuiciamiento civil (LEC). Se señalaba, en este sentido, cómo la Policía los localizó sin problema alguno para comparecer ante el Juzgado de Instrucción, al efecto de ser oídos por un presunto delito de apropiación indebida, y que la parte demandante en el procedimiento de desahucio tenía perfecto conocimiento de los datos precisos para la localización de los demandados, como su teléfono y su dirección de correo electrónico, a través de la cual se comunicaba con los actores de manera reiterada en relación con cuestiones referidas al arrendamiento del local de negocio, por lo que debería haberlos aportado al Juzgado, máxime cuando los propios arrendatarios habían promovido un procedimiento de resolución del contrato de arrendamiento contra la arrendadora, que se seguía ante el Juzgado de Primera Instancia núm. 18 de Málaga.</w:t>
      </w:r>
    </w:p>
    <w:p w:rsidR="00AC56D6" w:rsidRDefault="00AC56D6" w:rsidP="00AC56D6">
      <w:pPr>
        <w:pStyle w:val="TextoNormal"/>
      </w:pPr>
    </w:p>
    <w:p w:rsidR="00AC56D6" w:rsidRDefault="00AC56D6" w:rsidP="00AC56D6">
      <w:pPr>
        <w:pStyle w:val="TextoNormal"/>
      </w:pPr>
      <w:r>
        <w:t>d) El órgano judicial desestimó el incidente de nulidad de actuaciones mediante Auto de 27 de junio de 2013, en el que rechazó las alegaciones de los demandantes de amparo. Afirma la resolución judicial que no se señaló en el contrato de arrendamiento domicilio a efectos de notificaciones distinto del local arrendado, por lo que el domicilio para notificaciones “a todos los efectos” es el local arrendado. “Por ello, intentada la notificación en el local arrendado sin efecto ... la notificación edictal es ajustada a la regulación de notificaciones previstas en la LEC para estos supuestos, sin que el hecho de que el actor conociera el número de teléfono o dirección de correo electrónico de los demandados hubiera cambiado la suerte de la notificación porque no son medios utilizados como instrumentos de comunicación con la oficina judicial en supuestos de desahucio en que el domicilio para notificaciones ‘a todos los efectos’ es el local arrendado. La propia Ley 19/2009 en su exposición de motivos señala que modifica diversos preceptos de la Ley de enjuiciamiento civil con el propósito de mejorar y agilizar los procesos de desahucio, salvaguardando en todo caso los derechos y garantías que protegen al inquilino de buena fe, lo que significa que a juicio del legislador la notificación o el intento de notificación en la vivienda o local arrendado deja salvaguardados los derechos del inquilino, sin necesidad de las averiguaciones de domicilios señalados en el art. 156”.</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En la demanda de amparo se denuncia la vulneración del derecho de los actores “a un procedimiento con las debidas garantías sin indefensión” del art. 24.1 CE, porque no se les </w:t>
      </w:r>
      <w:r>
        <w:lastRenderedPageBreak/>
        <w:t>notificó personalmente, sino mediante edictos, la existencia del procedimiento de desahucio, a pesar de los datos que constaban en autos para facilitar la localización de los demandados en el procedimiento arrendaticio, pues, aparte del domicilio del local arrendado, constaba el domicilio designado en el contrato de arrendamiento, y el correo electrónico del Sr. Van De Velde. A pesar de ello, el Juzgado ignoró la doctrina del Tribunal Constitucional acerca de las notificaciones procesales y, sin realizar ninguna labor de averiguación conforme a lo establecido en el art. 156 LEC, procedió a aplicar las previsiones contenidas en el art. 155.3 LEC, en la redacción dada al mismo por la Ley 19/2009, de manera estricta, sin interpretarlo en función de dicha doctrina y del derecho fundamental afectado, limitándose a intentar la notificación en el domicilio objeto del arrendamiento. Al resultar ésta negativa, acudió directamente a la vía edictal, cuando, con arreglo a la señalada doctrina constitucional, disponía de un segundo domicilio, también designado en el contrato, en el que garantizar el derecho de acceso al procedimiento, y de un correo electrónico a través del cual, y bajo la fe del Secretario judicial, intentar la comunicación, lo que no se hizo, generando así una situación de indefensión a los demandantes de amparo. En este sentido se señala que el legislador ha dado carta de naturaleza al empleo de medios de comunicación telemáticos, electrónicos, informáticos y similares de uso común, según resulta de los arts. 155.2 y 162 LEC, habiendo admitido la posibilidad de utilizar tales medios de comunicación la STC 58/2010, de 4 de octubre. Ponen de relieve los actores, asimismo, la mala fe procesal, el abuso de derecho y el fraude de ley en que habría incurrido la entidad demandante en el procedimiento de desahucio, ya que tenía perfecto conocimiento de cómo localizarlos en otro domicilio y a través de otros mecanismos de notificación con los cuales había estado en continuo contacto con los recurrentes, y no lo puso en conocimiento del Juzgado ni interesó que la comunicación de la existencia del procedimiento se realizara por medio de los mismos.</w:t>
      </w:r>
    </w:p>
    <w:p w:rsidR="00AC56D6" w:rsidRDefault="00AC56D6" w:rsidP="00AC56D6">
      <w:pPr>
        <w:pStyle w:val="TextoNormal"/>
      </w:pPr>
    </w:p>
    <w:p w:rsidR="00AC56D6" w:rsidRDefault="00AC56D6" w:rsidP="00AC56D6">
      <w:pPr>
        <w:pStyle w:val="TextoNormal"/>
      </w:pPr>
      <w:r>
        <w:t>Por otra parte, se aduce que el órgano judicial ha incurrido en error patente, al mantener que no constaba más domicilio que el del local objeto del arrendamiento, siendo así que en los autos figuraba otro domicilio y otra forma de contactar con los demandantes de amparo. A su juicio, concurren todos los requisitos establecidos por la doctrina constitucional (con cita de la STC 92/2010, de 15 de noviembre) para la apreciación de esa causa de vulneración del derecho constitucional invocado, en la medida en que el error es evidente, ya que en la estipulación decimosegunda del contrato las partes consignaron dos domicilios alternativos a efectos de notificaciones; es de carácter eminentemente fáctico y fácilmente constatable; resulta atribuible al órgano judicial, que no comprobó los términos del contrato; y ha producido efectos negativos en la esfera de los actores, al impedirles instar lo que a su derecho conviniera en el juicio verbal de desahucio.</w:t>
      </w:r>
    </w:p>
    <w:p w:rsidR="00AC56D6" w:rsidRDefault="00AC56D6" w:rsidP="00AC56D6">
      <w:pPr>
        <w:pStyle w:val="TextoNormal"/>
      </w:pPr>
    </w:p>
    <w:p w:rsidR="00AC56D6" w:rsidRDefault="00AC56D6" w:rsidP="00AC56D6">
      <w:pPr>
        <w:pStyle w:val="TextoNormal"/>
      </w:pPr>
      <w:r>
        <w:t>La demanda concluye solicitando que se declare vulnerado el derecho a la tutela judicial efectiva de los actores y el restablecimiento en el mismo con declaración de nulidad del Auto impugnado y reposición de las actuaciones en el juicio verbal de desahucio núm. 1093-2012 al momento en el que se les debió notificar la existencia del procedimiento y convocarlos a la celebración del juicio oral.</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Previa reclamación de las actuaciones correspondientes al procedimiento núm. 1093-2012 al Juzgado de Primera Instancia núm. 1 de Marbella, por providencia de 5 de marzo de 2015 la Sección Tercera de este Tribunal acordó la admisión a trámite del presente recurso de amparo, apreciando que el mismo ofrece especial trascendencia constitucional, por </w:t>
      </w:r>
      <w:r>
        <w:lastRenderedPageBreak/>
        <w:t>dar ocasión para aclarar o cambiar la doctrina como consecuencia de cambios normativos relevantes para la configuración del contenido del derecho fundamental [STC 155/2009, FJ 2 b)], y por trascender del caso concreto al plantear una cuestión jurídica de relevante y general repercusión social o económica [STC 155/2009, FJ 2 g)]. Asimismo, se acordó dirigir atenta comunicación al Juzgado de Primera Instancia núm. 1 de Marbella, a fin de que, en el plazo de máximo de diez días, emplazara a quienes hubieran sido parte en el procedimiento núm. 1093-2012, excepto la parte recurrente en amparo, para que pudieran comparecer en este proceso constitucional. Todo ello condicionado a que la parte recurrente en amparo presentara escritura de poder original en el plazo de diez días. Dicho requerimiento fue atendido a través de escrito presentado el 18 de marzo de 2015.</w:t>
      </w:r>
    </w:p>
    <w:p w:rsidR="00AC56D6" w:rsidRDefault="00AC56D6" w:rsidP="00AC56D6">
      <w:pPr>
        <w:pStyle w:val="TextoNormal"/>
      </w:pPr>
    </w:p>
    <w:p w:rsidR="00AC56D6" w:rsidRDefault="00AC56D6" w:rsidP="00AC56D6">
      <w:pPr>
        <w:pStyle w:val="TextoNormal"/>
      </w:pPr>
      <w:r w:rsidRPr="00AC56D6">
        <w:rPr>
          <w:rStyle w:val="NumeroAFNegritaCaracter"/>
        </w:rPr>
        <w:t>5</w:t>
      </w:r>
      <w:r>
        <w:t>. Mediante escrito registrado el 22 de abril de 2015, la Procuradora de los Tribunales doña Iciar de la Peña Argacha se personó en el presente recurso en nombre y representación de Vista Isleña, S.L.</w:t>
      </w:r>
    </w:p>
    <w:p w:rsidR="00AC56D6" w:rsidRDefault="00AC56D6" w:rsidP="00AC56D6">
      <w:pPr>
        <w:pStyle w:val="TextoNormal"/>
      </w:pPr>
    </w:p>
    <w:p w:rsidR="00AC56D6" w:rsidRDefault="00AC56D6" w:rsidP="00AC56D6">
      <w:pPr>
        <w:pStyle w:val="TextoNormal"/>
      </w:pPr>
      <w:r w:rsidRPr="00AC56D6">
        <w:rPr>
          <w:rStyle w:val="NumeroAFNegritaCaracter"/>
        </w:rPr>
        <w:t>6</w:t>
      </w:r>
      <w:r>
        <w:t>. Por diligencia de ordenación de 11 de mayo de 2015 se tuvo por personada y parte en el procedimiento a la Procuradora de los Tribunales doña Iciar de la Peña Argacha en nombre y representación de Vista Isleña, S.L., y se acordó dar vista de las actuaciones a las partes personadas y al Ministerio Fiscal, por plazo común de veinte días, para la presentación de las alegaciones que estimaran pertinentes, conforme determina el art. 52.1 de la Ley Orgánica del Tribunal Constitucional. Todo ello condicionado, en el caso de la Procuradora de los Tribunales doña Iciar de la Peña Argacha, a que presentara escritura de poder original. Este último requerimiento fue atendido a través de escrito presentado el 27 de mayo de 2015.</w:t>
      </w:r>
    </w:p>
    <w:p w:rsidR="00AC56D6" w:rsidRDefault="00AC56D6" w:rsidP="00AC56D6">
      <w:pPr>
        <w:pStyle w:val="TextoNormal"/>
      </w:pPr>
    </w:p>
    <w:p w:rsidR="00AC56D6" w:rsidRDefault="00AC56D6" w:rsidP="00AC56D6">
      <w:pPr>
        <w:pStyle w:val="TextoNormal"/>
      </w:pPr>
      <w:r w:rsidRPr="00AC56D6">
        <w:rPr>
          <w:rStyle w:val="NumeroAFNegritaCaracter"/>
        </w:rPr>
        <w:t>7</w:t>
      </w:r>
      <w:r>
        <w:t>. Con fecha 5 de junio de 2015 presentó su escrito de alegaciones la representación de los demandantes de amparo, reproduciendo, en síntesis, las alegaciones de su escrito de demanda y recogiendo la doctrina establecida por este Tribunal en materia de notificaciones y emplazamientos en Sentencias dictadas con posterioridad a la interposición del recurso de amparo, con especial mención de la STC 30/2014, de 24 de febrero.</w:t>
      </w:r>
    </w:p>
    <w:p w:rsidR="00AC56D6" w:rsidRDefault="00AC56D6" w:rsidP="00AC56D6">
      <w:pPr>
        <w:pStyle w:val="TextoNormal"/>
      </w:pPr>
    </w:p>
    <w:p w:rsidR="00AC56D6" w:rsidRDefault="00AC56D6" w:rsidP="00AC56D6">
      <w:pPr>
        <w:pStyle w:val="TextoNormal"/>
      </w:pPr>
      <w:r w:rsidRPr="00AC56D6">
        <w:rPr>
          <w:rStyle w:val="NumeroAFNegritaCaracter"/>
        </w:rPr>
        <w:t>8</w:t>
      </w:r>
      <w:r>
        <w:t>. El 10 de junio de 2015 se registró en este Tribunal el escrito de alegaciones de la representación de Vista Isleña, S.L., en el que solicitó la desestimación del recurso de amparo. En relación con las quejas de los actores señala, en primer lugar, que aunque aparecen dos domicilios en el contrato de arrendamiento, ello no obligaba a notificar en ambos, pudiendo hacerlo indistintamente en cualquiera de ellos y, en cualquier caso, con preferencia en el domicilio del local objeto de arrendamiento. En caso de resultar la notificación negativa, resulta procedente sin más trámites la notificación edictal, sin necesidad de las averiguaciones de domicilio contempladas en el art. 156 LEC, todo ello como establecen los arts. 155.3 y 4 y 164 LEC que, en concordancia con la exposición de motivos de la Ley 19/2009, de 23 de noviembre, persiguen evitar los abusos que habitualmente son cometidos por los arrendatarios, con el propósito de mejorar y agilizar los procesos de desahucio, evitando las consecuencias de la notificación negativa producida por culpa, negligencia o mala fe del arrendatario.</w:t>
      </w:r>
    </w:p>
    <w:p w:rsidR="00AC56D6" w:rsidRDefault="00AC56D6" w:rsidP="00AC56D6">
      <w:pPr>
        <w:pStyle w:val="TextoNormal"/>
      </w:pPr>
    </w:p>
    <w:p w:rsidR="00AC56D6" w:rsidRDefault="00AC56D6" w:rsidP="00AC56D6">
      <w:pPr>
        <w:pStyle w:val="TextoNormal"/>
      </w:pPr>
      <w:r>
        <w:t xml:space="preserve">Por otra parte, era válida la notificación practicada en cualquiera de los domicilios señalados en el contrato, pues, a pesar de lo pactado, los recurrentes no notificaron el cambio no </w:t>
      </w:r>
      <w:r>
        <w:lastRenderedPageBreak/>
        <w:t>solamente del domicilio del local arrendado, que habían abandonado y desalojado definitivamente dos semanas antes de la diligencia de notificación de la demanda, sino también del otro alegado de contrario, que correspondía al despacho profesional del que fuera abogado de los demandantes solamente hasta el 14 de julio de 2012, fecha en que éstos deciden prescindir de sus servicios por diversas discrepancias (como se acredita con la documentación que se aporta con el escrito de alegaciones), por lo que tampoco resultaba un domicilio válido a efectos de notificaciones. Por consiguiente, existe, a su juicio, un comportamiento constitutivo de mala fe o, cuando menos, negligente, por parte de los actores que evitaron ser notificados de la demanda de desahucio debidamente anunciada a través del requerimiento de pago previamente efectuado por medio de burofax. Es más, los recurrentes se encuentran residiendo en Bélgica desde octubre de 2012 y, a pesar de ello, siguen declarando y reiterando como su domicilio en España a efectos de notificaciones el del local arrendado, tal como consta en el poder para pleitos que acompaña al presente recurso. En definitiva, se comprueba que ninguno de los domicilios de la demandada que constaban en el contrato de arrendamiento era válido a efecto de notificaciones a la fecha de interposición de la demanda.</w:t>
      </w:r>
    </w:p>
    <w:p w:rsidR="00AC56D6" w:rsidRDefault="00AC56D6" w:rsidP="00AC56D6">
      <w:pPr>
        <w:pStyle w:val="TextoNormal"/>
      </w:pPr>
    </w:p>
    <w:p w:rsidR="00AC56D6" w:rsidRDefault="00AC56D6" w:rsidP="00AC56D6">
      <w:pPr>
        <w:pStyle w:val="TextoNormal"/>
      </w:pPr>
      <w:r>
        <w:t>El derecho fundamental que proclama el art. 24 CE concurre con plenitud de garantías procesales en el presente caso, por cuanto se han de seguir estrictamente las especiales normas procesales señaladas en el procedimiento de desahucio para las notificaciones, sin que deba en este caso el juzgador de instancia llevar a cabo ninguna otra actividad de averiguación del paradero de los demandados, y sin que se encuentre obligado a recurrir a intentos de notificación por medios electrónicos o telemáticos, que sólo pueden considerarse hábiles cuando permitan el envío y la recepción de escritos y documentos de forma tal que esté garantizada la autenticidad de la comunicación y de su contenido y quede constancia fehaciente de la remisión y recepción íntegras y del momento en que se hicieron, tal y como indica el art. 162 LEC. Además, y de acuerdo con la doctrina constitucional, no puede entenderse que en el presente caso haya existido indefensión para los recurrentes, al concurrir en su actuación mala fe, culpa o negligencia, de manera que no puede imputarse al órgano judicial actuación alguna que conforme a dicha circunstancia menoscabe sus derechos con relevancia constitucional. Ha de tenerse en cuenta, asimismo, que los recurrentes han ejercitado sus pretensiones sin impedimento ni perjuicio procesal alguno, mediante la interposición de la correspondiente demanda de reclamación de daños y perjuicios, seguida ante el Juzgado de Primera Instancia núm. 4 de Marbella, contra la entidad arrendadora, contra el que fuera Letrado de los recurrentes así como contra la entidad aseguradora del mismo. Y a través de dicho procedimiento se ejercitan unas pretensiones que de manera evidente no tienen cabida en el procedimiento de desahucio instado en su día por Vista Isleña, S.L., de modo que los recurrentes han tenido la oportunidad de reclamar lo que consideraran procedente a su derecho mediante el correspondiente procedimiento declarativo, por lo que ninguna indefensión efectiva y real se les ha producido. A mayor abundamiento, y ante su discrepancia, los recurrentes tuvieron la oportunidad de consignar judicial o notarialmente las rentas vencidas impugnadas y reclamar en los términos en que ahora lo hacen en el correspondiente juicio declarativo, que no puede afectar al procedimiento de desahucio seguido en su contra.</w:t>
      </w:r>
    </w:p>
    <w:p w:rsidR="00AC56D6" w:rsidRDefault="00AC56D6" w:rsidP="00AC56D6">
      <w:pPr>
        <w:pStyle w:val="TextoNormal"/>
      </w:pPr>
    </w:p>
    <w:p w:rsidR="00AC56D6" w:rsidRDefault="00AC56D6" w:rsidP="00AC56D6">
      <w:pPr>
        <w:pStyle w:val="TextoNormal"/>
      </w:pPr>
      <w:r>
        <w:t xml:space="preserve">Sobre la proyección constitucional del art. 155 y concordantes LEC, en la redacción dada por la Ley 19/2009, de 23 de noviembre, se hace referencia a la doctrina más reciente establecida sobre el particular por el Tribunal Constitucional, entre otras, en las SSTC 122/2013, </w:t>
      </w:r>
      <w:r>
        <w:lastRenderedPageBreak/>
        <w:t>30/2014 y 126/2014, haciendo hincapié en el aspecto relativo a que la situación de incomunicación no sea imputable a la propia conducta del afectado por haberse situado voluntaria o negligentemente al margen del proceso, pese a tener conocimiento por otro medio distinto de su existencia. Y, en el caso de autos, según sostiene el escrito de alegaciones, es evidente, y ha quedado probado, que concurre la culpa, negligencia, descuido o impericia de la parte en cuanto al conocimiento extraprocesal de la causa judicial de desahucio, tal y como ha quedado justificado en las alegaciones precedentes, siendo significativo que los recurrentes estaban debidamente asesorados por Letrado, que interpone demanda de juicio ordinario contra la arrendadora, incluso en fechas anteriores al procedimiento de desahucio, resultando evidente que dicho Letrado no puede desconocer, obviar y no comunicar a sus clientes que, en buena lógica y dadas las comunicaciones habidas al respecto, incluso por medio fehaciente debidamente recibido, la arrendadora va interponer la correspondiente demanda de forma inmediata.</w:t>
      </w:r>
    </w:p>
    <w:p w:rsidR="00AC56D6" w:rsidRDefault="00AC56D6" w:rsidP="00AC56D6">
      <w:pPr>
        <w:pStyle w:val="TextoNormal"/>
      </w:pPr>
    </w:p>
    <w:p w:rsidR="00AC56D6" w:rsidRDefault="00AC56D6" w:rsidP="00AC56D6">
      <w:pPr>
        <w:pStyle w:val="TextoNormal"/>
      </w:pPr>
      <w:r>
        <w:t>Finalmente, y en cuanto a la posible concurrencia de error del juzgador con relevancia constitucional, se indica que, al margen de que concurra o no el aludido error, éste no tendría relevancia constitucional ni supondría causa de nulidad de actuaciones por los motivos previamente alegados, pues, según la doctrina constitucional, los efectos negativos del error carecerán de relevancia desde el punto de vista del amparo cuando el mismo sea también imputable a la negligencia de la parte, como sucede en el presente supuesto.</w:t>
      </w:r>
    </w:p>
    <w:p w:rsidR="00AC56D6" w:rsidRDefault="00AC56D6" w:rsidP="00AC56D6">
      <w:pPr>
        <w:pStyle w:val="TextoNormal"/>
      </w:pPr>
    </w:p>
    <w:p w:rsidR="00AC56D6" w:rsidRDefault="00AC56D6" w:rsidP="00AC56D6">
      <w:pPr>
        <w:pStyle w:val="TextoNormal"/>
      </w:pPr>
      <w:r w:rsidRPr="00AC56D6">
        <w:rPr>
          <w:rStyle w:val="NumeroAFNegritaCaracter"/>
        </w:rPr>
        <w:t>9</w:t>
      </w:r>
      <w:r>
        <w:t>. El Ministerio Fiscal presentó su escrito de alegaciones el 22 de junio de 2015, en el que solicitó el otorgamiento del amparo a los recurrentes, por vulneración de su derecho a la tutela judicial efectiva. Tras exponer los antecedentes de hecho del litigio y las pretensiones de amparo, el escrito comienza por advertir que la actuación procesal del Juzgado siguió escrupulosamente la pauta normativa del art. 155.3 LEC, teniendo en cuenta la motivación de la modificación operada en ese precepto por la Ley 19/2009, que no sería otra que la agilización y mejora de los procesos de desahucio. No obstante, a juicio del Fiscal, el examen de los argumentos de los demandantes, más la documentación obrante en las actuaciones, así como de la resolución judicial recurrida y de la jurisprudencia constitucional, permite concluir que se ha producido la vulneración del derecho a no padecer indefensión ex art. 24.1 CE. En este sentido, señala que la argumentación del Auto que denegó la nulidad de actuaciones, fijada estrictamente en la literalidad del art. 155.3 LEC, e ignorando lo prevenido en el art. 156 LEC, que converge con la constante jurisprudencia del Tribunal Constitucional en este terreno, se antoja claramente formalista y enervadora de la necesidad de que un acto tan esencial de notificación como la comunicación de la admisión a trámite de un juicio verbal por desahucio en el que finalmente se acuerda proceder a tal desahucio y al posterior lanzamiento sin permitir formular las razones de oposición que legalmente están previstas, ya revela su horizonte de indefensión constitucional ex art. 24.1 CE. Además, el Juzgado ha ignorado la alternatividad de domicilios prevista en el reiterado art. 155.3 LEC, y en el Auto denegando la nulidad de actuaciones, pese a que se le había alegado, ignoró y ni siquiera dio respuesta a la alegación de la parte que insistía en que en la estipulación decimosegunda del contrato de arrendamiento se indicaba otro domicilio.</w:t>
      </w:r>
    </w:p>
    <w:p w:rsidR="00AC56D6" w:rsidRDefault="00AC56D6" w:rsidP="00AC56D6">
      <w:pPr>
        <w:pStyle w:val="TextoNormal"/>
      </w:pPr>
    </w:p>
    <w:p w:rsidR="00AC56D6" w:rsidRDefault="00AC56D6" w:rsidP="00AC56D6">
      <w:pPr>
        <w:pStyle w:val="TextoNormal"/>
      </w:pPr>
      <w:r>
        <w:t xml:space="preserve">Precisa el Fiscal que el derecho fundamental vulnerado no es ni el derecho al proceso con todas las garantías del que se habla en el encabezamiento de la demanda de amparo, cuya ubicación es el art. 24.2 CE, ni tampoco el derecho de acceso al proceso, sino el derecho a la tutela judicial efectiva y a no padecer indefensión ex art. 24.1 CE. Partiendo de esta </w:t>
      </w:r>
      <w:r>
        <w:lastRenderedPageBreak/>
        <w:t>premisa señala el Ministerio Público la existencia de una constante jurisprudencia constitucional sobre esta materia, citando particularmente la STC 30/2014 que examinó una queja similar a la que aquí se plantea. Con reproducción de la doctrina sentada en dicha Sentencia acerca de la diligencia exigible al órgano judicial para comunicar los actos procesales, afirma el Fiscal que tampoco en este caso parece deducirse de la documentación aportada en amparo que los demandados en el proceso de desahucio tuvieran noticia procesal bastante del juicio verbal, pudiéndose deducir de contrario, ante la abundante correspondencia electrónica cruzada entre el abogado de la arrendadora y los demandados, que aquélla conocía y podía haber aportado cualquier otro medio de comunicación, si bien es cierto que el propio Auto denegando la nulidad argumentaba su ineficacia atendiendo a su interpretación estricta del art. 155.3 LEC. También la STC 30/2014 desestima las razones normativas esgrimidas en aquel caso por el Juzgado a quo, muy similares a las aducidas en el presente supuesto, esgrimiendo las razones de la reforma operada en el citado precepto por la Ley 19/2009, de 23 de noviembre, de donde se sigue la consecuencia de la vulneración del derecho fundamental. Consiguientemente, a juicio del Fiscal, procede la anulación del Auto de 27 de junio de 2013 y la retroacción del procedimiento al momento en el que el Juzgado debe notificar, en la forma prevista que asegure su eficacia a los demandados en el juicio verbal, el Auto por el que admitía a trámite la demanda formulada por la arrendadora.</w:t>
      </w:r>
    </w:p>
    <w:p w:rsidR="00AC56D6" w:rsidRDefault="00AC56D6" w:rsidP="00AC56D6">
      <w:pPr>
        <w:pStyle w:val="TextoNormal"/>
      </w:pPr>
    </w:p>
    <w:p w:rsidR="00AC56D6" w:rsidRDefault="00AC56D6" w:rsidP="00AC56D6">
      <w:pPr>
        <w:pStyle w:val="TextoNormal"/>
      </w:pPr>
      <w:r>
        <w:t>En cuanto a la alegación de la demanda sobre la posible existencia de un error patente en la resolución recurrida, que debe entenderse referido a esa errada equivocación del Juzgado de ignorar incluso el dictum del art. 155.3 LEC de la designación de otro domicilio a efectos de actos de comunicación, amén del local o vivienda arrendados, debe entenderse subsumida en la vulneración antedicha del derecho a no padecer indefensión, aunque podría, de no haber prosperado la anterior vulneración, ser examinada en el contexto de la doctrina del Tribunal Constitucional en esta materia, con cita, por todas, de la STC 167/2008, de 15 de diciembre.</w:t>
      </w:r>
    </w:p>
    <w:p w:rsidR="00AC56D6" w:rsidRDefault="00AC56D6" w:rsidP="00AC56D6">
      <w:pPr>
        <w:pStyle w:val="TextoNormal"/>
      </w:pPr>
    </w:p>
    <w:p w:rsidR="00AC56D6" w:rsidRDefault="00AC56D6" w:rsidP="00AC56D6">
      <w:pPr>
        <w:pStyle w:val="TextoNormal"/>
      </w:pPr>
      <w:r w:rsidRPr="00AC56D6">
        <w:rPr>
          <w:rStyle w:val="NumeroAFNegritaCaracter"/>
        </w:rPr>
        <w:t>10</w:t>
      </w:r>
      <w:r>
        <w:t>. Por providencia de 3 de septiembre de 2015 se acordó señalar para deliberación y votación de la presente Sentencia el día 7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Los demandantes de amparo impugnan el Auto de 27 de junio de 2013, del Juzgado de Primera Instancia núm. 1 de Marbella, por el que se desestimó el incidente de nulidad de actuaciones promovido en el juicio verbal de desahucio y reclamación de rentas núm. 1093-2012, seguido ante dicho Juzgado por la entidad Vista Isleña, S.L., contra los actores. Los recurrentes denuncian que se ha vulnerado su derecho a un proceso con todas las garantías al haberles impedido el órgano judicial el acceso al proceso como consecuencia de la defectuosa realización de los actos de comunicación procesal, al no haberse practicado en el domicilio designado en el contrato de arrendamiento ni haberse llevado a cabo ninguna labor de averiguación conforme a lo establecido en el art. 156 de la Ley de enjuiciamiento civil (LEC). Asimismo, afirman que el órgano judicial ha incurrido en error patente al negar la existencia en el contrato de otro domicilio a efectos de notificaciones.</w:t>
      </w:r>
    </w:p>
    <w:p w:rsidR="00AC56D6" w:rsidRDefault="00AC56D6" w:rsidP="00AC56D6">
      <w:pPr>
        <w:pStyle w:val="TextoNormal"/>
      </w:pPr>
    </w:p>
    <w:p w:rsidR="00AC56D6" w:rsidRDefault="00AC56D6" w:rsidP="00AC56D6">
      <w:pPr>
        <w:pStyle w:val="TextoNormal"/>
      </w:pPr>
      <w:r>
        <w:t xml:space="preserve">En relación con dicho planteamiento debe hacerse una precisión, sin embargo, pues, como acertadamente apunta el Ministerio Fiscal, el contenido argumental de la primera </w:t>
      </w:r>
      <w:r>
        <w:lastRenderedPageBreak/>
        <w:t>queja se refiere, más que al derecho a un proceso con todas las garantías del art. 24.2 CE o al derecho de acceder al proceso, al derecho a la tutela judicial efectiva sin padecer indefensión del art. 24.1 CE, siendo éste, precisamente, el derecho cuyo reconocimiento se pide de manera inequívoca en el petitum de la demanda.</w:t>
      </w:r>
    </w:p>
    <w:p w:rsidR="00AC56D6" w:rsidRDefault="00AC56D6" w:rsidP="00AC56D6">
      <w:pPr>
        <w:pStyle w:val="TextoNormal"/>
      </w:pPr>
    </w:p>
    <w:p w:rsidR="00AC56D6" w:rsidRDefault="00AC56D6" w:rsidP="00AC56D6">
      <w:pPr>
        <w:pStyle w:val="TextoNormal"/>
      </w:pPr>
      <w:r>
        <w:t>Por su parte, el Fiscal ha solicitado el otorgamiento del amparo, por entender producida la lesión denunciada por los actores, mientras que se ha opuesto al mismo la representación de Vista Isleña, S.L., por entender que no ha tenido lugar la citada lesión, al ajustarse la actuación del Juzgado a las normas procesales y haber actuado los demandantes de amparo con mala fe, culpa o negligencia.</w:t>
      </w:r>
    </w:p>
    <w:p w:rsidR="00AC56D6" w:rsidRDefault="00AC56D6" w:rsidP="00AC56D6">
      <w:pPr>
        <w:pStyle w:val="TextoNormal"/>
      </w:pPr>
    </w:p>
    <w:p w:rsidR="00AC56D6" w:rsidRDefault="00AC56D6" w:rsidP="00AC56D6">
      <w:pPr>
        <w:pStyle w:val="TextoNormal"/>
      </w:pPr>
      <w:r w:rsidRPr="00AC56D6">
        <w:rPr>
          <w:rStyle w:val="NumeroAFNegritaCaracter"/>
        </w:rPr>
        <w:t>2</w:t>
      </w:r>
      <w:r>
        <w:t>. Antes de entrar en el análisis de las quejas articuladas en la demanda, ha de efectuarse una consideración previa para la correcta delimitación del objeto del recurso. A través de las quejas aducidas por los recurrentes parecen plantearse dos infracciones del derecho a la tutela judicial efectiva diversas: una, derivada de la falta de diligencia del órgano judicial, que obedece al incumplimiento del deber de intentar la notificación en otros domicilios o a través de otros medios que figuraran en autos y del deber de realizar las labores de averiguación que se contemplan en el art. 156 LEC; otra, que alega la existencia de un error con relevancia constitucional, en la medida en que el órgano judicial no reparó en que la dirección donde intentó la notificación no era la única que se había fijado a efectos de notificaciones en el contrato. Pues bien, cabe advertir que ambas quejas son reconducibles a la falta de diligencia del órgano judicial en orden a cumplir con su responsabilidad de procurar el emplazamiento o citación personal de los demandados antes de acudir a la citación edictal. En efecto, la queja sobre la existencia de un error fáctico con relevancia constitucional, por no ser el domicilio en el que se intentó solamente la notificación personal el único fijado a tales efectos en el contrato de arrendamiento, pese a la insistencia del Juzgado en tal sentido, también es tributaria de la necesaria diligencia del órgano judicial, pues no se trata de un error fáctico autónomo que sea determinante de la resolución judicial adoptada, esto es, que constituya el soporte único o ratio decidendi de la misma, sino que simplemente se dibuja como uno más de los elementos que ponen de manifiesto la falta de cuidado del órgano judicial en el supuesto que nos ocupa, al objeto de conseguir una notificación personal que fuera efectiva.</w:t>
      </w:r>
    </w:p>
    <w:p w:rsidR="00AC56D6" w:rsidRDefault="00AC56D6" w:rsidP="00AC56D6">
      <w:pPr>
        <w:pStyle w:val="TextoNormal"/>
      </w:pPr>
    </w:p>
    <w:p w:rsidR="00AC56D6" w:rsidRDefault="00AC56D6" w:rsidP="00AC56D6">
      <w:pPr>
        <w:pStyle w:val="TextoNormal"/>
      </w:pPr>
      <w:r w:rsidRPr="00AC56D6">
        <w:rPr>
          <w:rStyle w:val="NumeroAFNegritaCaracter"/>
        </w:rPr>
        <w:t>3</w:t>
      </w:r>
      <w:r>
        <w:t>. Así concretada la cuestión, lo que se nos presenta como objeto de este recurso es, en definitiva, la diligencia del órgano judicial en los actos de comunicación procesal y, más concretamente, el aspecto relativo a la necesidad de que el órgano judicial agote todas las posibilidades de averiguación del domicilio de los demandados, así como que esté convencido de la imposibilidad de éxito de toda vía de comunicación antes de acudir a la comunicación edictal.</w:t>
      </w:r>
    </w:p>
    <w:p w:rsidR="00AC56D6" w:rsidRDefault="00AC56D6" w:rsidP="00AC56D6">
      <w:pPr>
        <w:pStyle w:val="TextoNormal"/>
      </w:pPr>
    </w:p>
    <w:p w:rsidR="00AC56D6" w:rsidRDefault="00AC56D6" w:rsidP="00AC56D6">
      <w:pPr>
        <w:pStyle w:val="TextoNormal"/>
      </w:pPr>
      <w:r>
        <w:t xml:space="preserve">Este Tribunal ha resuelto un recurso similar, referido a un procedimiento arrendaticio, en la STC 30/2014, en cuyo fundamento jurídico 3 se recordó la gran relevancia que en nuestra doctrina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el emplazamiento, citación o notificación a quien ha de ser o puede ser parte en el procedimiento, pues en tal caso el acto de comunicación es el necesario instrumento </w:t>
      </w:r>
      <w:r>
        <w:lastRenderedPageBreak/>
        <w:t>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182/2000, de 16 de mayo, FJ 5)’ (STC 268/2000, de 13 de noviembre, FJ 4)”.</w:t>
      </w:r>
    </w:p>
    <w:p w:rsidR="00AC56D6" w:rsidRDefault="00AC56D6" w:rsidP="00AC56D6">
      <w:pPr>
        <w:pStyle w:val="TextoNormal"/>
      </w:pPr>
    </w:p>
    <w:p w:rsidR="00AC56D6" w:rsidRDefault="00AC56D6" w:rsidP="00AC56D6">
      <w:pPr>
        <w:pStyle w:val="TextoNormal"/>
      </w:pPr>
      <w:r>
        <w:t>Por tales razones, como también se afirma en la referida Sentencia, recae sobre el órgano judicial no sólo el deber de velar por la correcta ejecución de los actos de comunicación procesal,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Partiendo de la doctrina constitucional expuesta, en el presente caso podemos concluir, al igual que en el supuesto resuelto por la STC 30/2014, que el órgano judicial no ha desplegado la actividad que le era exigible desde la perspectiva del derecho a la tutela judicial efectiva (art. 24.1 CE), al objeto de notificar debidamente a los demandantes de amparo la existencia del procedimiento. En efecto, según se desprende de las actuaciones judiciales, cuando el servicio común de actos de comunicación intentó la notificación en el local de negocio, el conserje del inmueble manifestó que lo habían desalojado dos semanas antes. A la vista de esta circunstancia, el Juzgado no ordenó la práctica de ninguna comprobación encaminada a conocer el domicilio de los recurrentes ni a través de la documentación obrante en autos (donde, además de otro domicilio, figuraba la dirección de correo electrónico de uno de los actores), ni con los diferentes organismos públicos a los que se remite la Ley de enjuiciamiento civil en el art. 155.3, ni por los medios que se recogen en el art. 156 de la misma Ley, sino que acudió directamente a la notificación edictal. Y, aún más, lo hizo sin comprobar el domicilio principal que realmente se había fijado en el contrato para notificaciones, que no era el del local de negocio, sino el que figuraba en el encabezamiento del contrato, aspecto fácilmente constatable con la simple lectura del contrato, y respecto del cual el Juzgado incurrió en un claro error, que ha sido determinante de toda su posterior actuación, y de la imposibilidad de los actores de haber tenido conocimiento de la existencia del procedimiento y de haberse podido personar en el mismo. Y, a pesar de ello, el órgano judicial, en la resolución del incidente de nulidad de actuaciones, no sólo insiste de forma </w:t>
      </w:r>
      <w:r>
        <w:lastRenderedPageBreak/>
        <w:t>errónea en que el domicilio existente en el contrato a efectos de notificaciones era exclusivamente el del local de negocio, sino que, además, defiende que su actuación encontraba fundamento legal en la reforma procesal de la Ley 19/2009, y que el legislador, en materia de arrendamientos urbanos, deja a salvo los derechos del inquilino sin necesidad de acudir a las averiguaciones de domicilios contempladas en el art. 156 LEC, resultando evidente la contradicción entre la interpretación que estaba realizando de la reforma con la doctrina constitucional en materia de emplazamientos. Todo ello, a pesar de haberse justificado por los demandantes de amparo que la entidad arrendadora, demandante en el juicio de desahucio, tenía conocimiento de otros medios para localizarlos.</w:t>
      </w:r>
    </w:p>
    <w:p w:rsidR="00AC56D6" w:rsidRDefault="00AC56D6" w:rsidP="00AC56D6">
      <w:pPr>
        <w:pStyle w:val="TextoNormal"/>
      </w:pPr>
    </w:p>
    <w:p w:rsidR="00AC56D6" w:rsidRDefault="00AC56D6" w:rsidP="00AC56D6">
      <w:pPr>
        <w:pStyle w:val="TextoNormal"/>
      </w:pPr>
      <w:r>
        <w:t>En definitiva, podemos concluir que el órgano judicial no agotó todos los medios que tenía a su alcance para llevar a cabo una notificación personal, incumpliendo de este modo la diligencia que le era debida y exigible desde la perspectiva del derecho a la tutela judicial efectiva sin indefensión para asegurar debidamente el emplazamiento de los demandantes de amparo y su presencia en el procedimiento.</w:t>
      </w:r>
    </w:p>
    <w:p w:rsidR="00AC56D6" w:rsidRDefault="00AC56D6" w:rsidP="00AC56D6">
      <w:pPr>
        <w:pStyle w:val="TextoNormal"/>
      </w:pPr>
    </w:p>
    <w:p w:rsidR="00AC56D6" w:rsidRDefault="00AC56D6" w:rsidP="00AC56D6">
      <w:pPr>
        <w:pStyle w:val="TextoNormal"/>
      </w:pPr>
      <w:r>
        <w:t>Por lo demás, los datos que figuran en las actuaciones no permiten reprochar a los demandantes de amparo una actitud consciente y deliberada de impedir o dificultar su localización y de entorpecer el proceso judicial, ni que hayan tenido conocimiento extraprocesal de su existencia, o que la imposibilidad de emplazarlos haya obedecido a su posible negligencia, descuido o impericia, supuestos que, como ya se expuso anteriormente, privarían de relevancia constitucional a la queja, por lo que ha de concluirse que la ya advertida falta de diligencia del órgano judicial en el emplazamiento de los recurrentes en el procedimiento de desahucio por falta de pago y reclamación de rentas ha vulnerado su derecho a la tutela judicial efectiva sin indefensión (art. 24.1 CE).</w:t>
      </w:r>
    </w:p>
    <w:p w:rsidR="00AC56D6" w:rsidRDefault="00AC56D6" w:rsidP="00AC56D6">
      <w:pPr>
        <w:pStyle w:val="TextoNormal"/>
      </w:pPr>
    </w:p>
    <w:p w:rsidR="00AC56D6" w:rsidRDefault="00AC56D6" w:rsidP="00AC56D6">
      <w:pPr>
        <w:pStyle w:val="TextoNormal"/>
      </w:pPr>
      <w:r>
        <w:t>No alteran esta conclusión las alegaciones de la entidad arrendadora acerca de la ineficacia sobrevenida del otro domicilio designado a efectos de notificaciones en el contrato, o del posible conocimiento por los actores de la existencia del proceso, debido a la reiterada correspondencia con los mismos, a efectos de la ejecución del contrato, incluido el previo requerimiento de pago. En cuanto a lo primero, porque, aunque fuera el domicilio del Abogado de los recurrentes –según aduce la entidad arrendadora–, que fue quien intervino en todas las negociaciones previas y posteriores a la conclusión del contrato, no se pueden aventurar de antemano que una notificación realizada en dicho domicilio no fuera a surtir ningún efecto por el hecho de que, según documento acompañado con el escrito de alegaciones, dicho Letrado hubiera dejado de prestar sus servicios para los actores en fecha 14 de julio de 2012. Ha de tenerse presente, por una parte, que la falta de diligencia del Juzgado en la realización del emplazamiento no se produce tan solo por omitir la citación en dicho domicilio, sino por no realizar ninguna actuación dirigida a localizar a los demandantes de amparo (cosa que, por ejemplo, llevó a cabo la Policía Nacional para citarles a efectos de prestar declaración en diligencias previas incoadas en un Juzgado de Instrucción), y, por otra, que, aparte de que el referido Letrado siguió realizando gestiones en nombre de los actores con posterioridad a la fecha indicada en el documento aportado, según consta en las actuaciones, no resulta ilógico inferir que dicho Letrado podría proporcionar, en todo caso, alguna forma de localizar a los actores e, incluso, identificar al nuevo Letrado que se hubiese hecho cargo de sus asuntos, habida cuenta del régimen relativo a las sustituciones de abogado establecido en el art. 26 del Estatuto general de la Abogacía Española, a la sazón vigente (aprobado por Real Decreto 658/2001, de 22 de junio).</w:t>
      </w:r>
    </w:p>
    <w:p w:rsidR="00AC56D6" w:rsidRDefault="00AC56D6" w:rsidP="00AC56D6">
      <w:pPr>
        <w:pStyle w:val="TextoNormal"/>
      </w:pPr>
    </w:p>
    <w:p w:rsidR="00AC56D6" w:rsidRDefault="00AC56D6" w:rsidP="00AC56D6">
      <w:pPr>
        <w:pStyle w:val="TextoNormal"/>
      </w:pPr>
      <w:r>
        <w:t>Por lo que se refiere a la otra cuestión, es decir, el posible conocimiento extraprocesal de la existencia del juicio de desahucio, el examen de las actuaciones pone de relieve que, con posterioridad a la fecha de la presentación de la demanda por parte de Vista Isleña, S.L., se produjeron reiteradas comunicaciones por vía de correo electrónico con don Gino Van De Velde por parte del administrador único de la misma sobre diversos aspectos referidos al local de negocio objeto del arrendamiento (reclamación de impuesto sobre el valor añadido referido a reparaciones abonadas por la compañía de seguros, pretensión de disminución de la cobertura del seguro, reclamación de rentas, petición de devolución de las llaves, etc.), y en ninguna de ellas pusieron de relieve a los hoy actores la existencia del juicio de desahucio, a pesar de que tales peticiones pudieran resultar innecesarias a primera vista, en función de lo que ya se había reclamado en dicho juicio. Por tanto, mal puede hablarse de conocimiento extraprocesal del juicio de desahucio o de negligencia o impericia por parte de los demandantes de amparo, cuando la arrendadora les ocultó dicho extremo en sus constantes comunicaciones, con una actitud que, junto a su petición de que se acudiera a la citación edictal ante la primera notificación fallida en el juicio de desahucio, en lugar de proponer otras formas de localizar a los actores, que le eran perfectamente conocidas (máxime cuando los arrendatarios habían promovido un procedimiento de resolución del contrato de arrendamiento contra la arrendadora, que se seguía ante el Juzgado de Primera Instancia núm. 18 de Málaga), pone de relieve una actuación alejada de la buena fe que ha de presidir la intervención de los litigantes en todo procedimiento judicial, y del deber que pesa especialmente sobre las partes de colaborar en el desarrollo del proceso con los órganos judiciales, a los que se encomienda, en definitiva, la prestación de la tutela prevista en el art. 24 CE (por todas, STC 30/2014, FJ 2).</w:t>
      </w:r>
    </w:p>
    <w:p w:rsidR="00AC56D6" w:rsidRDefault="00AC56D6" w:rsidP="00AC56D6">
      <w:pPr>
        <w:pStyle w:val="TextoNormal"/>
      </w:pPr>
    </w:p>
    <w:p w:rsidR="00AC56D6" w:rsidRDefault="00AC56D6" w:rsidP="00AC56D6">
      <w:pPr>
        <w:pStyle w:val="TextoNormal"/>
      </w:pPr>
      <w:r w:rsidRPr="00AC56D6">
        <w:rPr>
          <w:rStyle w:val="NumeroAFNegritaCaracter"/>
        </w:rPr>
        <w:t>5</w:t>
      </w:r>
      <w:r>
        <w:t xml:space="preserve">. A la conclusión alcanzada no cabe oponer, como sostiene el órgano judicial en el Auto de 27 de junio de 2013, que desestima el incidente de nulidad de actuaciones promovido por los recurrentes, que la Ley de enjuiciamiento civil no exige realizar mayores averiguaciones tras la reforma llevada a cabo mediante la Ley 19/2009, de 23 de noviembre. Semejante argumentación es la que pone de relieve, precisamente, la especial trascendencia constitucional del presente recurso, pues ese cambio normativo exige no ya modificar la doctrina de este Tribunal, sino aclararla en el sentido de que la reforma legal no supone una alteración en las exigencias que se derivan de dicha doctrina en aplicación del art. 24.1 CE [STC 155/2009, FJ 2 b)], extremo sobre el que se hace preciso insistir, habida cuenta de que la interpretación que, tanto en el caso resuelto por STC 30/2014 como en el que aquí se enjuicia, se realiza de la reforma introducida por la Ley 19/2009 pone de relieve que algunos órganos judiciales no siguen la doctrina de este Tribunal Constitucional en materia de emplazamiento y notificaciones, y se limitan a mantener una interpretación literal y restrictiva del precepto en relación con la labor y la diligencia que deben desplegar a la hora de realizar los actos de comunicación dirigidos a quienes están llamados a ser parte en el procedimiento. Por esa razón, se considera indispensable que este Tribunal siga profundizando en la línea marcada por la STC 30/2014 para configurar un importante cuerpo de doctrina que consiga evitar la reiteración en interpretaciones de la referida reforma legal como la que ha defendido el órgano judicial en el presente asunto. Por otro lado, no hay que perder de vista la trascendencia general de la cuestión, pues, debido a la crisis económica, se ha incrementado el número de los procedimientos de desahucio que se llevan a cabo en la actualidad, en los que los órganos judiciales habrán de aplicar las previsiones del art. 155.3 LEC, en su nueva redacción, de suerte que resulta fundamental que se fijen por parte de este Tribunal </w:t>
      </w:r>
      <w:r>
        <w:lastRenderedPageBreak/>
        <w:t>una pautas interpretativas acordes con la Constitución que garanticen la intervención en defensa de sus derechos de todos los interesados, en especial de los inquilinos que se vean ante dicha situación [STC 155/2009, FJ 2 g)].</w:t>
      </w:r>
    </w:p>
    <w:p w:rsidR="00AC56D6" w:rsidRDefault="00AC56D6" w:rsidP="00AC56D6">
      <w:pPr>
        <w:pStyle w:val="TextoNormal"/>
      </w:pPr>
    </w:p>
    <w:p w:rsidR="00AC56D6" w:rsidRDefault="00AC56D6" w:rsidP="00AC56D6">
      <w:pPr>
        <w:pStyle w:val="TextoNormal"/>
      </w:pPr>
      <w:r>
        <w:t>Expuesto lo anterior, no podemos sino concluir que el razonamiento del Auto impugnado merece idéntica respuesta a la que se dio a un supuesto similar en la STC 30/2014, FJ 5, en la que se indicó, con remisión a la doctrina establecida en la STC 122/2013, de 20 de mayo, en relación con los juicios hipotecarios y la reforma llevada a cabo por la Ley 13/2009, de 3 de noviembre —reforma muy semejante en sus términos a la implantada por la Ley 19/2009—, que la jurisprudencia constitucional en materia de emplazamientos “es una doctrina muy consolidada que no puede verse interferida por la reforma operada por la Ley 19/2009, de 23 de noviembre, de medidas de fomento y agilización procesal del alquiler y de la eficiencia energética de los edificios. Cierto es que la Ley 19/2009 reforma el art. 164 LEC relativo a la comunicación edictal como forma de comunicación procesal y añade a dicho precepto un segundo párrafo relativo a los desahucios en un arrendamiento por falta de pago de las rentas, que dispone: ‘En los procesos de desahucio de finca urbana o rústica por falta de pago de rentas o cantidades debidas o por expiración legal o contractual del plazo y en los procesos de reclamación de estas rentas o cantidades debidas, cuando no pudiere hallársele ni efectuarle la comunicación al arrendatario en los domicilios designados en el segundo párrafo del número 3 del artículo 155, ni hubiese comunicado de forma fehaciente con posterioridad al contrato un nuevo domicilio al arrendador al que éste no se hubiese opuesto, se procederá, sin más trámites, a fijar la cédula de citación en el tablón de anuncios de la Oficina Judicial’.” Ahora bien, es necesario realizar una interpretación secundum constitutionem de dicho precepto, “integrando el contenido de la reforma con la doctrina de este Tribunal en cuanto a la subsidiariedad de la comunicación edictal, la cual tiene su fuente directa en el derecho de acceso al proceso del art. 24.1 CE, de manera que la comunicación edictal en todo procedimiento de desahucio sólo puede utilizarse cuando se hayan agotado los medios de averiguación del domicilio del deudor o ejecutado”.</w:t>
      </w:r>
    </w:p>
    <w:p w:rsidR="00AC56D6" w:rsidRDefault="00AC56D6" w:rsidP="00AC56D6">
      <w:pPr>
        <w:pStyle w:val="TextoNormal"/>
      </w:pPr>
    </w:p>
    <w:p w:rsidR="00AC56D6" w:rsidRDefault="00AC56D6" w:rsidP="00AC56D6">
      <w:pPr>
        <w:pStyle w:val="TextoNormal"/>
      </w:pPr>
      <w:r>
        <w:t>Por lo demás —concluimos en la STC 30/2014—, “se trata, en todo caso, de una operación sencilla que no requiere mayor esfuerzo intelectual, pues el nuevo párrafo del art. 164 LEC tiene una remisión legislativa al art. 155.3 LEC y este precepto no limita el domicilio a uno, sino a varios. Así se deduce de la lectura de su contenido, a tenor del cual: ‘A efectos de actos de comunicación, podrá designarse como domicilio el que aparezca en el padrón municipal o el que conste oficialmente a otros efectos, así como el que aparezca en Registro oficial o en publicaciones de Colegios profesionales, cuando se tratare, respectivamente, de empresas y otras entidades o de personas que ejerzan profesión para la que deban colegiarse obligatoriamente. También podrá designarse como domicilio, a los referidos efectos, el lugar en que se desarrolle actividad profesional o laboral no ocasional…’.”</w:t>
      </w:r>
    </w:p>
    <w:p w:rsidR="00AC56D6" w:rsidRDefault="00AC56D6" w:rsidP="00AC56D6">
      <w:pPr>
        <w:pStyle w:val="TextoNormal"/>
      </w:pPr>
    </w:p>
    <w:p w:rsidR="00AC56D6" w:rsidRDefault="00AC56D6" w:rsidP="00AC56D6">
      <w:pPr>
        <w:pStyle w:val="TextoNormal"/>
      </w:pPr>
      <w:r>
        <w:t xml:space="preserve">Por consiguiente, y al igual en el caso resuelto en la Sentencia referida, ha de concluirse que en el presente caso se ha vulnerado el derecho a la tutela judicial efectiva sin indefensión de los demandantes de amparo, por la falta de diligencia del órgano judicial en su obligación de agotar los medios de averiguación del domicilio real para obtener una notificación personal y efectiva, cuando, además, constaba identificado otro domicilio a los efectos de notificaciones en los documentos contractuales aportados con la demanda de desahucio, aparte de figurar la dirección de correo electrónico de uno de los actores, que es uno de los instrumentos que, según se desprende del art. 155.5 LEC, puede utilizarse para llevar a efecto las </w:t>
      </w:r>
      <w:r>
        <w:lastRenderedPageBreak/>
        <w:t>notificaciones, con cumplimiento de determinadas garantías, tal y como se afirmó en la STC 58/2010, de 4 de octubre.</w:t>
      </w:r>
    </w:p>
    <w:p w:rsidR="00AC56D6" w:rsidRDefault="00AC56D6" w:rsidP="00AC56D6">
      <w:pPr>
        <w:pStyle w:val="TextoNormal"/>
      </w:pPr>
    </w:p>
    <w:p w:rsidR="00AC56D6" w:rsidRDefault="00AC56D6" w:rsidP="00AC56D6">
      <w:pPr>
        <w:pStyle w:val="TextoNormal"/>
      </w:pPr>
      <w:r>
        <w:t>Los razonamientos expuestos conducen a la estimación del recurso de amparo, con declaración de nulidad del Auto impugnado y de todas las actuaciones practicadas desde la diligencia de ordenación de 13 de diciembre de 2012, y con retroacción de las mismas al momento anterior al dictado de la misma, al objeto de que se le comunique a los recurrentes la existencia del juicio de desahucio en forma legal.</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Estimar el recurso de amparo interpuesto por Girabelmar, S.L., don Gino Van De Velde y don Rachid El Asri, y, en consecuencia:</w:t>
      </w:r>
    </w:p>
    <w:p w:rsidR="00AC56D6" w:rsidRDefault="00AC56D6" w:rsidP="00AC56D6">
      <w:pPr>
        <w:pStyle w:val="TextoNormal"/>
      </w:pPr>
    </w:p>
    <w:p w:rsidR="00AC56D6" w:rsidRDefault="00AC56D6" w:rsidP="00AC56D6">
      <w:pPr>
        <w:pStyle w:val="TextoNormal"/>
      </w:pPr>
      <w:r>
        <w:t>1º Declarar que ha sido vulnerado el derecho fundamental de los actores a la tutela judicial efectiva (art. 24.1 CE).</w:t>
      </w:r>
    </w:p>
    <w:p w:rsidR="00AC56D6" w:rsidRDefault="00AC56D6" w:rsidP="00AC56D6">
      <w:pPr>
        <w:pStyle w:val="TextoNormal"/>
      </w:pPr>
    </w:p>
    <w:p w:rsidR="00AC56D6" w:rsidRDefault="00AC56D6" w:rsidP="00AC56D6">
      <w:pPr>
        <w:pStyle w:val="TextoNormal"/>
      </w:pPr>
      <w:r>
        <w:t>2º Restablecerlos en su derecho y, a tal fin, declarar la nulidad del Auto del Juzgado de Primera Instancia núm. 1 de Marbella de 27 de junio de 2013, dictado en el juicio de desahucio núm. 1093-2012, así como de todo lo actuado a partir de la diligencia de ordenación de 13 de diciembre de 2012, inclusive.</w:t>
      </w:r>
    </w:p>
    <w:p w:rsidR="00AC56D6" w:rsidRDefault="00AC56D6" w:rsidP="00AC56D6">
      <w:pPr>
        <w:pStyle w:val="TextoNormal"/>
      </w:pPr>
    </w:p>
    <w:p w:rsidR="00AC56D6" w:rsidRDefault="00AC56D6" w:rsidP="00AC56D6">
      <w:pPr>
        <w:pStyle w:val="TextoNormal"/>
      </w:pPr>
      <w:r>
        <w:t>3º Retrotraer las actuaciones al momento inmediatamente anterior al de dictarse la diligencia de ordenación de 13 de diciembre de 2012, que acordó citar a la parte demandada por medio de edictos, para que se dicte nueva resolución judicial respetuosa con el derecho fundamental reconocido.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siete de septiembre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38" w:name="SENTENCIA_2015_182"/>
      <w:r>
        <w:lastRenderedPageBreak/>
        <w:t>SENTENCIA 182/2015, de 7 de septiembre de 2015</w:t>
      </w:r>
    </w:p>
    <w:bookmarkEnd w:id="38"/>
    <w:p w:rsidR="00AC56D6" w:rsidRDefault="00AC56D6" w:rsidP="00AC56D6">
      <w:pPr>
        <w:pStyle w:val="TtuloResolucin"/>
      </w:pPr>
      <w:r>
        <w:t>Sala Segunda</w:t>
      </w:r>
    </w:p>
    <w:p w:rsidR="00AC56D6" w:rsidRDefault="00AC56D6" w:rsidP="00AC56D6">
      <w:pPr>
        <w:pStyle w:val="TtuloBOE"/>
      </w:pPr>
      <w:r>
        <w:t>(BOE núm. 245, de 13 de octubre de 2015)</w:t>
      </w:r>
    </w:p>
    <w:p w:rsidR="00AC56D6" w:rsidRDefault="00AC56D6" w:rsidP="00AC56D6">
      <w:pPr>
        <w:pStyle w:val="TextoNormalCentrado"/>
      </w:pPr>
      <w:r>
        <w:t>ECLI:ES:TC:2015:182</w:t>
      </w:r>
    </w:p>
    <w:p w:rsidR="00AC56D6" w:rsidRDefault="00AC56D6" w:rsidP="00AC56D6">
      <w:pPr>
        <w:pStyle w:val="TextoNormalCentrado"/>
      </w:pPr>
    </w:p>
    <w:p w:rsidR="00AC56D6" w:rsidRDefault="00AC56D6" w:rsidP="00AC56D6">
      <w:pPr>
        <w:pStyle w:val="SntesisDescriptiva"/>
      </w:pPr>
      <w:r>
        <w:t>Recurso de amparo 5924-2014. Sala Segunda. Sentencia 182/2015, de 7 de septiembre de 2015. Promovido por el Ministerio Fiscal respecto de las resoluciones dictadas por la Audiencia Provincial y un Juzgado de Primera Instancia de Las Palmas en procedimiento de internamiento psiquiátrico no voluntario.</w:t>
      </w:r>
    </w:p>
    <w:p w:rsidR="00AC56D6" w:rsidRDefault="00AC56D6" w:rsidP="00AC56D6">
      <w:pPr>
        <w:pStyle w:val="SntesisDescriptiva"/>
      </w:pPr>
    </w:p>
    <w:p w:rsidR="00AC56D6" w:rsidRDefault="00AC56D6" w:rsidP="00AC56D6">
      <w:pPr>
        <w:pStyle w:val="SntesisAnaltica"/>
      </w:pPr>
      <w:r>
        <w:t>Vulneración del derecho a la libertad personal: resolución judicial tardía y fundada en una interpretación de los plazos de ratificación de la medida de internamiento involuntario contraria a la efectividad del derecho fundamental afectado.</w:t>
      </w:r>
    </w:p>
    <w:p w:rsidR="00AC56D6" w:rsidRDefault="00AC56D6" w:rsidP="00AC56D6">
      <w:pPr>
        <w:pStyle w:val="SntesisAnaltica"/>
      </w:pPr>
    </w:p>
    <w:p w:rsidR="00AC56D6" w:rsidRDefault="00AC56D6" w:rsidP="00AC56D6">
      <w:pPr>
        <w:pStyle w:val="Extracto"/>
      </w:pPr>
      <w:r>
        <w:t>1.</w:t>
      </w:r>
      <w:r>
        <w:tab/>
        <w:t>Se estima el recurso de amparo, puesto que las resoluciones judiciales combatidas vulneran el derecho fundamental a la libertad personal [FJ 7].</w:t>
      </w:r>
    </w:p>
    <w:p w:rsidR="00AC56D6" w:rsidRDefault="00AC56D6" w:rsidP="00AC56D6">
      <w:pPr>
        <w:pStyle w:val="Extracto"/>
      </w:pPr>
    </w:p>
    <w:p w:rsidR="00AC56D6" w:rsidRDefault="00AC56D6" w:rsidP="00AC56D6">
      <w:pPr>
        <w:pStyle w:val="Extracto"/>
      </w:pPr>
      <w:r>
        <w:t>2.</w:t>
      </w:r>
      <w:r>
        <w:tab/>
        <w:t>La temática que se dilucida en el presente recurso concierne al derecho a la libertad personal. Por tanto, el enjuiciamiento no se circunscribe a calibrar la racionalidad de la interpretación judicial sobre el contenido y alcance de un precepto legal, pues estando en juego un derecho fundamental sustantivo y no el derecho reconocido en el art. 24.1 CE, el control no puede limitarse a verificar el carácter motivado, razonable y no arbitrario de la resolución judicial impugnada (SSTC 3/2007, 30/2000, 173/2001, 92/2005, 326/2005) [FJ 5].</w:t>
      </w:r>
    </w:p>
    <w:p w:rsidR="00AC56D6" w:rsidRDefault="00AC56D6" w:rsidP="00AC56D6">
      <w:pPr>
        <w:pStyle w:val="Extracto"/>
      </w:pPr>
    </w:p>
    <w:p w:rsidR="00AC56D6" w:rsidRDefault="00AC56D6" w:rsidP="00AC56D6">
      <w:pPr>
        <w:pStyle w:val="Extracto"/>
      </w:pPr>
      <w:r>
        <w:t>3.</w:t>
      </w:r>
      <w:r>
        <w:tab/>
        <w:t>El plazo máximo de internamiento no tiene que agotarse necesariamente, ni cabe agotarlo discrecionalmente. De este modo, la comunicación al tribunal habrá de efectuarla el director del centro en cuanto se disponga del diagnóstico que justifique el internamiento, sin más demora, siendo que las 24 horas empiezan a contar desde el momento en que se produce materialmente el ingreso del afectado en el interior del recinto y contra su voluntad [FJ 3].</w:t>
      </w:r>
    </w:p>
    <w:p w:rsidR="00AC56D6" w:rsidRDefault="00AC56D6" w:rsidP="00AC56D6">
      <w:pPr>
        <w:pStyle w:val="Extracto"/>
      </w:pPr>
    </w:p>
    <w:p w:rsidR="00AC56D6" w:rsidRDefault="00AC56D6" w:rsidP="00AC56D6">
      <w:pPr>
        <w:pStyle w:val="Extracto"/>
      </w:pPr>
      <w:r>
        <w:t>4.</w:t>
      </w:r>
      <w:r>
        <w:tab/>
        <w:t>Una de las principales garantías del marco regulador del internamiento urgente lo constituye el límite temporal del que dispone el juez para resolver. La base constitucional de dicho plazo, al tratarse de una privación de libertad judicial, no reside en el art. 17.2 CE, sino el art. 17.1 CE (SSTC 37/1996, 180/2011) [FJ 3].</w:t>
      </w:r>
    </w:p>
    <w:p w:rsidR="00AC56D6" w:rsidRDefault="00AC56D6" w:rsidP="00AC56D6">
      <w:pPr>
        <w:pStyle w:val="Extracto"/>
      </w:pPr>
    </w:p>
    <w:p w:rsidR="00AC56D6" w:rsidRDefault="00AC56D6" w:rsidP="00AC56D6">
      <w:pPr>
        <w:pStyle w:val="Extracto"/>
      </w:pPr>
      <w:r>
        <w:t>5.</w:t>
      </w:r>
      <w:r>
        <w:tab/>
        <w:t>Esta es la primera ocasión —y en ello radica la especial trascendencia constitucional del presente recurso— en que se nos demanda un pronunciamiento sobre la eventual lesión del derecho fundamental, a causa de una errónea interpretación sobre el</w:t>
      </w:r>
      <w:r w:rsidRPr="00AC56D6">
        <w:rPr>
          <w:i/>
        </w:rPr>
        <w:t xml:space="preserve"> dies a quo </w:t>
      </w:r>
      <w:r>
        <w:t>del límite máximo del que dispone la autoridad judicial para ratificar o revocar el internamiento psiquiátrico acordado extrajudicialmente [FJ 4].</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lastRenderedPageBreak/>
        <w:t>La Sala Segunda del Tribunal Constitucional, compuesta por doña Adela Asua Batarrita, Presidenta, don Fernando Valdés Dal-Ré, don Juan José González Rivas, don Pedro González-Trevijano Sánchez, don Ricardo Enríquez Sancho y don Antonio Narváez Rodríguez, Magistrados, han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amparo núm. 5924-2014, promovido por el Ministerio Fiscal contra el Auto de fecha 28 de julio de 2014, dictado por la Sección Tercera de la Audiencia Provincial de Las Palmas (Rollo de Apelación núm. 524-2014), en cuya virtud se desestimó el recurso de apelación interpuesto contra el Auto del Juzgado de Primera Instancia núm. 15 de las Palmas, de fecha 18 de junio de 2014, recaído en el procedimiento de internamiento psiquiátrico no voluntario núm. 582-2014. Ha sido Ponente el Magistrado don Pedro González-Trevijano Sánchez,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de fecha 2 de octubre del 2014, el Fiscal interpuso recurso de amparo contra las resoluciones citadas en el encabezamiento.</w:t>
      </w:r>
    </w:p>
    <w:p w:rsidR="00AC56D6" w:rsidRDefault="00AC56D6" w:rsidP="00AC56D6">
      <w:pPr>
        <w:pStyle w:val="TextoNormal"/>
      </w:pPr>
    </w:p>
    <w:p w:rsidR="00AC56D6" w:rsidRDefault="00AC56D6" w:rsidP="00AC56D6">
      <w:pPr>
        <w:pStyle w:val="TextoNormal"/>
      </w:pPr>
      <w:r w:rsidRPr="00AC56D6">
        <w:rPr>
          <w:rStyle w:val="NumeroAFNegritaCaracter"/>
        </w:rPr>
        <w:t>2</w:t>
      </w:r>
      <w:r>
        <w:t>. Los hechos de los que trae causa la demanda de amparo son los siguientes:</w:t>
      </w:r>
    </w:p>
    <w:p w:rsidR="00AC56D6" w:rsidRDefault="00AC56D6" w:rsidP="00AC56D6">
      <w:pPr>
        <w:pStyle w:val="TextoNormal"/>
      </w:pPr>
    </w:p>
    <w:p w:rsidR="00AC56D6" w:rsidRDefault="00AC56D6" w:rsidP="00AC56D6">
      <w:pPr>
        <w:pStyle w:val="TextoNormal"/>
      </w:pPr>
      <w:r>
        <w:t>a) En fecha 13 de junio de 2014, el jefe del servicio de psiquiatría de la unidad de internamiento breve del complejo hospitalario universitario insular materno infantil de Las Palmas de Gran Canaria comunicó al Decanato de los Juzgados de Primera Instancia de la referida ciudad, mediante fax recibido a las 11:55 horas del referido día, que la paciente M.I.F.E. se encontraba ingresada en el citado centro, a causa de la descompensación psicótica que padecía. En el mismo escrito daba cuenta que el ingreso se había producido voluntariamente el día 11 de junio de 2014, pasando a ser involuntario el día 13 del indicado mes y año.</w:t>
      </w:r>
    </w:p>
    <w:p w:rsidR="00AC56D6" w:rsidRDefault="00AC56D6" w:rsidP="00AC56D6">
      <w:pPr>
        <w:pStyle w:val="TextoNormal"/>
      </w:pPr>
    </w:p>
    <w:p w:rsidR="00AC56D6" w:rsidRDefault="00AC56D6" w:rsidP="00AC56D6">
      <w:pPr>
        <w:pStyle w:val="TextoNormal"/>
      </w:pPr>
      <w:r>
        <w:t>b) La anterior comunicación se registró en el Decanato en fecha 13 de junio de 2014 y fue repartida el mismo día, con el número 7446-2014, al Juzgado de Primera Instancia núm. 15 de Las Palmas. No obstante, según refleja el sello estampado en la referida comunicación, hasta el 16 de junio del 2014 el asunto no tuvo entrada en el referido Juzgado. Por decreto de fecha 16 de junio de 2014, el indicado órgano judicial acordó la incoación de procedimiento de internamiento no voluntario núm. 582-2014. En la misma resolución se dispuso el examen de la paciente, para el día 18 de junio de 2014 y la emisión del preceptivo dictamen facultativo.</w:t>
      </w:r>
    </w:p>
    <w:p w:rsidR="00AC56D6" w:rsidRDefault="00AC56D6" w:rsidP="00AC56D6">
      <w:pPr>
        <w:pStyle w:val="TextoNormal"/>
      </w:pPr>
    </w:p>
    <w:p w:rsidR="00AC56D6" w:rsidRDefault="00AC56D6" w:rsidP="00AC56D6">
      <w:pPr>
        <w:pStyle w:val="TextoNormal"/>
      </w:pPr>
      <w:r>
        <w:lastRenderedPageBreak/>
        <w:t>c) En fecha 18 de junio de 2014, el Fiscal emitió dictamen oponiéndose a la ratificación judicial del internamiento no voluntario. En esencia, fundó su oposición en dos argumentos: en primer lugar, que el centro psiquiátrico incumplió la obligación de comunicar el ingreso a la autoridad judicial dentro del plazo de veinticuatro horas; en segundo término, consideró que había transcurrido el plazo máximo de setenta y dos horas previsto legalmente para la ratificación judicial del internamiento urgente.</w:t>
      </w:r>
    </w:p>
    <w:p w:rsidR="00AC56D6" w:rsidRDefault="00AC56D6" w:rsidP="00AC56D6">
      <w:pPr>
        <w:pStyle w:val="TextoNormal"/>
      </w:pPr>
    </w:p>
    <w:p w:rsidR="00AC56D6" w:rsidRDefault="00AC56D6" w:rsidP="00AC56D6">
      <w:pPr>
        <w:pStyle w:val="TextoNormal"/>
      </w:pPr>
      <w:r>
        <w:t>d) Por Auto de fecha 18 de junio de 2014, el órgano judicial ratificó el internamiento de M.I.F.E. y, asimismo, resolvió que se informara con periodicidad semestral sobre el estado y evolución de la paciente ingresada. En su resolución, el juzgado desestimó las alegaciones formuladas por el Ministerio Fiscal, con base en las siguientes consideraciones reflejadas en el fundamento jurídico 2:</w:t>
      </w:r>
    </w:p>
    <w:p w:rsidR="00AC56D6" w:rsidRDefault="00AC56D6" w:rsidP="00AC56D6">
      <w:pPr>
        <w:pStyle w:val="TextoNormal"/>
      </w:pPr>
    </w:p>
    <w:p w:rsidR="00AC56D6" w:rsidRDefault="00AC56D6" w:rsidP="00AC56D6">
      <w:pPr>
        <w:pStyle w:val="TextoNormal"/>
      </w:pPr>
      <w:r>
        <w:t>“[N]o es cierto que la comunicación del hospital se haya realizado transcurrido el plazo de las 24 horas. Al efecto basta leer dicha comunicación para advertir que se hace constar que MIFE ingresó el día 11 de junio en condición de voluntaria, de manera que es cuando pasa a situación de involuntaria (el día 13 de junio) cuando se formula la comunicación por el centro hospitalario. En cuanto a la circunstancia de haberse superado el plazo de 72 horas, la comunicación del internamiento involuntario se realizó a este juzgado el día 16 de junio. De manera que sólo han transcurrido 48 horas desde entonces”</w:t>
      </w:r>
    </w:p>
    <w:p w:rsidR="00AC56D6" w:rsidRDefault="00AC56D6" w:rsidP="00AC56D6">
      <w:pPr>
        <w:pStyle w:val="TextoNormal"/>
      </w:pPr>
    </w:p>
    <w:p w:rsidR="00AC56D6" w:rsidRDefault="00AC56D6" w:rsidP="00AC56D6">
      <w:pPr>
        <w:pStyle w:val="TextoNormal"/>
      </w:pPr>
      <w:r>
        <w:t>e) Notificada la anterior resolución al Fiscal, en fecha 20 de junio de 2014, éste interpuso recurso de apelación. En dicha impugnación alegó la infracción de los arts. 17.1 CE y 763.1 de la Ley de enjuiciamiento civil (LEC), puesto que se había incumplido el plazo de 72 horas previsto en este último precepto, contado desde que la autoridad médica comunicó el internamiento no voluntario a la autoridad judicial. En su escrito alegó que la comunicación se recibió a las 11:55 horas del día 13 de junio de 2014 en el Decanato de los Juzgados de Las Palmas; por ello, la paciente permaneció ingresada de modo involuntario y sin ningún control judicial durante el período que abarca desde las 11,55 horas del día 13 de junio hasta el día 18 de junio, fecha esta en la que se dictó Auto ratificando el internamiento no voluntario, cuando ya habían transcurrido cinco días desde la comunicación del referido internamiento.</w:t>
      </w:r>
    </w:p>
    <w:p w:rsidR="00AC56D6" w:rsidRDefault="00AC56D6" w:rsidP="00AC56D6">
      <w:pPr>
        <w:pStyle w:val="TextoNormal"/>
      </w:pPr>
    </w:p>
    <w:p w:rsidR="00AC56D6" w:rsidRDefault="00AC56D6" w:rsidP="00AC56D6">
      <w:pPr>
        <w:pStyle w:val="TextoNormal"/>
      </w:pPr>
      <w:r>
        <w:t>f) Remitidas las actuaciones a la Sección Tercera de la Audiencia Provincial de Las Palmas, se acordó la incoación de rollo de apelación núm. 524-2014. Por Auto de 28 de julio de 2014, el Tribunal de apelación desestimó el recurso interpuesto por la Fiscalía. En síntesis, la Sala estima que la interpretación mantenida en el Auto recurrido es conforme con la doctrina establecida en la STC 141/2012. En el fundamento jurídico 1 de la indicada resolución figura el siguiente razonamiento:</w:t>
      </w:r>
    </w:p>
    <w:p w:rsidR="00AC56D6" w:rsidRDefault="00AC56D6" w:rsidP="00AC56D6">
      <w:pPr>
        <w:pStyle w:val="TextoNormal"/>
      </w:pPr>
    </w:p>
    <w:p w:rsidR="00AC56D6" w:rsidRDefault="00AC56D6" w:rsidP="00AC56D6">
      <w:pPr>
        <w:pStyle w:val="TextoNormal"/>
      </w:pPr>
      <w:r>
        <w:t xml:space="preserve">“La cuestión a decidir es si el plazo de 72 horas empieza a contar desde que el centro médico comunica el internamiento al Decanato, o desde que se reparte el asunto al tribunal competente para resolverlo. Entendemos que a la luz de la Sentencia del Tribunal Constitucional 141/2012 la interpretación del art. 763 de la LEC permite la interpretación que realiza el Juzgado de origen, siempre y cuando el plazo de registro del procedimiento no exceda de las 72 horas de duración máxima de la detención gubernativa, desde el momento en que se produjo el internamiento involuntario. En dicha sentencia se diferencia el procedimiento </w:t>
      </w:r>
      <w:r>
        <w:lastRenderedPageBreak/>
        <w:t>pre-judicial, hasta que se inicia el procedimiento de internamiento, y el control judicial propiamente dicho, desde que el tribunal competente tiene conocimiento del internamiento. La primera fase no puede durar sin vicio de inconstitucionalidad más de setenta y dos horas, que es el límite de las detenciones gubernativas de acuerdo con el límite constitucional del art. 17 de nuestra Carta Magna, si bien el legislador ordinario ha optado en el art. 763 de la L.E.C. por exigir que el centro médico comunique el internamiento en un plazo más corto, de 24 horas. No obstante, si el Decanato no comunica de inmediato el internamiento mediante el reparto al Tribunal que resulte competente, es evidente que este Tribunal no ha tenido hasta ese instante el ‘conocimiento’ que exige el propio art. 763 de la LEC para que comience a computarse el plazo de 72 horas de la ratificación judicial del internamiento. Por tanto, puede existir un lapso entre el primer plazo —la comunicación dentro de 24 horas al Decanato, plazo gubernativo— y el comienzo del segundo plazo —conocimiento por el Tribunal competente tras el reparto. Este lapso supone que al no haber comenzado aún el plazo judicial, la privación de libertad es todavía gubernativa, y de acuerdo con la citada STC 141/2012 dicho plazo de privación de libertad gubernativa sólo puede durar un máximo de 72 horas. Por tanto, siempre que se haya respetado el plazo de legalización del internamiento dentro del máximo de 72 horas desde que se produce éste hasta que se incoa el procedimiento judicial —equivalente al límite de la privación de libertad no judicial—, y de otras 72 horas hasta la ratificación del internamiento —equivalente a la detención judicial—, no existe infracción del procedimiento. Lo cual no impide que en lo factible no se deba agotar ni uno ni otro plazo, y del mismo modo que el centro médico debe comunicar "lo antes posible" el internamiento, sin apurar el término de veinticuatro horas, el Decanato deba también de forma lo más inmediata posible repartir el procedimiento al Tribunal competente. Sin embargo, siempre y cuando el procedimiento se haya iniciado antes de las setenta y dos horas del internamiento, no existe vulneración del art. 763 de la L.E.C. Por todo lo expuesto, procede desestimar el recurso.”</w:t>
      </w:r>
    </w:p>
    <w:p w:rsidR="00AC56D6" w:rsidRDefault="00AC56D6" w:rsidP="00AC56D6">
      <w:pPr>
        <w:pStyle w:val="TextoNormal"/>
      </w:pPr>
    </w:p>
    <w:p w:rsidR="00AC56D6" w:rsidRDefault="00AC56D6" w:rsidP="00AC56D6">
      <w:pPr>
        <w:pStyle w:val="TextoNormal"/>
      </w:pPr>
      <w:r>
        <w:t>g) En fecha 14 de julio de 2014, la paciente fue dada de alta por mejoría clínica. Esta circunstancia fue oportunamente comunicada al órgano judicial, mediante informe de la misma fecha.</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En su demanda de amparo, el Fiscal alega que las resoluciones judiciales indicadas en el encabezamiento vulneraron el derecho a la libertad personal de M.I.F.E. (art. 17.1 CE). Tras compendiar los acontecimientos procesales acaecidos en el procedimiento de internamiento psiquiátrico no voluntario núm. 582-2014, trae a colación el contenido de diferentes disposiciones internacionales, entre ellas el art. 9.1 del Pacto internacional de derechos civiles y políticos (PIDCP), el art. 5, apartados 1 y 4 del Convenio europeo para la protección de los derechos humanos y de las libertades fundamentales (CEDH) y el art. 14 de la Convención de las Naciones Unidas sobre derechos de las personas con discapacidad. Asimismo, compendia la doctrina estatuida por el Tribunal Europeo de Derechos Humanos y este Tribunal mediante una pormenorizada cita de Sentencias, entre las que destaca la fundamentación jurídica de la STC 141/2012, de 30 de julio, dada la proximidad del caso analizado en la citada resolución con el presente supuesto. De todo ello colige que el internamiento involuntario por trastorno psíquico de una persona está sujeto al estricto cumplimento de la legalidad procesal, que opera como factor decisivo de la validez de la limitación de la libertad personal. Por tanto, el escrupuloso acatamiento de lo establecido en el art. 763 LEC —respecto del cual, el Tribunal Constitucional ha advertido, en diversas ocasiones, la necesidad de regular el internamiento por razón de trastorno psíquico mediante norma con </w:t>
      </w:r>
      <w:r>
        <w:lastRenderedPageBreak/>
        <w:t>rango de Ley Orgánica— constituye la garantía esencial del derecho fundamental consagrado en el art. 17.1 CE.</w:t>
      </w:r>
    </w:p>
    <w:p w:rsidR="00AC56D6" w:rsidRDefault="00AC56D6" w:rsidP="00AC56D6">
      <w:pPr>
        <w:pStyle w:val="TextoNormal"/>
      </w:pPr>
    </w:p>
    <w:p w:rsidR="00AC56D6" w:rsidRDefault="00AC56D6" w:rsidP="00AC56D6">
      <w:pPr>
        <w:pStyle w:val="TextoNormal"/>
      </w:pPr>
      <w:r>
        <w:t>En relación con el presente caso, el Fiscal señala que la autoridad médica sí fue respetuosa con el límite temporal establecido en el art. 763.1 LEC, puesto que, dentro del plazo máximo de veinticuatro horas indicado en el referido precepto, remitió un fax al Decanato de los Juzgados de Primera Instancia de la Las Palmas, en el cual hizo constar que el internamiento se transformó en involuntario a partir del día 13 de junio de 2014. Sin embargo, el órgano judicial al que le fue turnado el asunto no resolvió dentro del límite temporal señalado en el indicado precepto, pues hasta el día 18 de junio no ratificó, por medio de Auto, la pertinencia de la retención hospitalaria. En apoyo de esa última aserción argumenta que, desde el momento en que se recibió la comunicación en el Decanato, la paciente quedó a disposición judicial; por tanto, a partir de ese mismo instante comenzó a correr el plazo de setenta y dos horas que para la ratificación judicial del internamiento urgente establece el art. 763.1 LEC como límite máximo.</w:t>
      </w:r>
    </w:p>
    <w:p w:rsidR="00AC56D6" w:rsidRDefault="00AC56D6" w:rsidP="00AC56D6">
      <w:pPr>
        <w:pStyle w:val="TextoNormal"/>
      </w:pPr>
    </w:p>
    <w:p w:rsidR="00AC56D6" w:rsidRDefault="00AC56D6" w:rsidP="00AC56D6">
      <w:pPr>
        <w:pStyle w:val="TextoNormal"/>
      </w:pPr>
      <w:r>
        <w:t xml:space="preserve">El Fiscal refuta el criterio seguido por los órganos judiciales, para quienes el </w:t>
      </w:r>
      <w:r w:rsidRPr="00AC56D6">
        <w:rPr>
          <w:i/>
        </w:rPr>
        <w:t>dies a quo</w:t>
      </w:r>
      <w:r>
        <w:t xml:space="preserve"> para regularizar la situación de la persona internada comenzó el día 16 de junio de 2014, data en que la solicitud internamiento urgente fue turnada al Juzgado de Primera Instancia núm. 15 de Las Palmas. Sobre ese particular, afirma que la tesis expuesta por el órgano de apelación es fruto de un incorrecto entendimiento de la doctrina constitucional asentada en la STC 142/2012, pues, como se recoge en la referida resolución, el plazo para regularizar judicialmente el internamiento trae causa del desarrollo normativo del art. 17.1 CE. Por ello, mientras no se produzca una reforma legislativa que amplíe el plazo de veinticuatro horas, la autoridad médica queda obligada a comunicar al órgano judicial el internamiento involuntario dentro del citado límite y, a partir de que se produce esa comunicación, comienza a computar el periodo de setenta y dos horas del que dispone el Juez para ratificar o dejar sin efecto el ingreso acordado. En suma, el Fiscal sostiene que la tesis sustentada por el órgano </w:t>
      </w:r>
      <w:r w:rsidRPr="00AC56D6">
        <w:rPr>
          <w:i/>
        </w:rPr>
        <w:t>ad quem</w:t>
      </w:r>
      <w:r>
        <w:t xml:space="preserve"> es errónea e inasumible desde la perspectiva constitucional.</w:t>
      </w:r>
    </w:p>
    <w:p w:rsidR="00AC56D6" w:rsidRDefault="00AC56D6" w:rsidP="00AC56D6">
      <w:pPr>
        <w:pStyle w:val="TextoNormal"/>
      </w:pPr>
    </w:p>
    <w:p w:rsidR="00AC56D6" w:rsidRDefault="00AC56D6" w:rsidP="00AC56D6">
      <w:pPr>
        <w:pStyle w:val="TextoNormal"/>
      </w:pPr>
      <w:r>
        <w:t>También señala que la línea interpretativa seguida por los órganos judiciales aboca a una prolongación del plazo de 72 horas previsto en el art. 763.1 LEC, puesto que el inicio del cómputo del término para ratificar el internamiento pasaría de depender de la mayor o menor celeridad en el reparto del asunto, de manera que la garantía del derecho a libertad personal quedaría a merced de factores aleatorios. Esa prolongación resulta contraria a la función que el Juez ha de cumplir, como garante de libertad personal, pues alarga indebidamente el lapso temporal legalmente fijado para el control de los presupuestos que legitiman la medida de internamiento no voluntario. Añade que el Auto de 28 de julio de 2014 trata de solventar una patología estructural, concretamente, la ausencia de un servicio de guardia para asuntos civiles durante el fin de semana, si bien lo hace en términos inasumibles desde el prisma constitucional. Para el Fiscal, ese propósito no justifica la extensión de un plazo que forma parte de las garantías establecidas en el art. 17.1 CE, pues los plazos de privación de libertad han de cumplirse de manera estricta, so riesgo de verse afectada la garantía constitucional de la libertad personal (SSTC 99/2006, FJ 4, y 180/2011, FJ 3)</w:t>
      </w:r>
    </w:p>
    <w:p w:rsidR="00AC56D6" w:rsidRDefault="00AC56D6" w:rsidP="00AC56D6">
      <w:pPr>
        <w:pStyle w:val="TextoNormal"/>
      </w:pPr>
    </w:p>
    <w:p w:rsidR="00AC56D6" w:rsidRDefault="00AC56D6" w:rsidP="00AC56D6">
      <w:pPr>
        <w:pStyle w:val="TextoNormal"/>
      </w:pPr>
      <w:r>
        <w:t xml:space="preserve">Por las razones expuestas, el Fiscal interesa la estimación del presente recurso de amparo por vulneración del derecho a libertad personal (art. 17.1 CE) y que se declare la nulidad de las resoluciones judiciales impugnadas. No obstante, matiza que, al haberse producido el </w:t>
      </w:r>
      <w:r>
        <w:lastRenderedPageBreak/>
        <w:t>alta clínica de M.I.F.E. en fecha 14 de julio de 2014, el otorgamiento del amparo solamente tendrá carácter declarativo.</w:t>
      </w:r>
    </w:p>
    <w:p w:rsidR="00AC56D6" w:rsidRDefault="00AC56D6" w:rsidP="00AC56D6">
      <w:pPr>
        <w:pStyle w:val="TextoNormal"/>
      </w:pPr>
    </w:p>
    <w:p w:rsidR="00AC56D6" w:rsidRDefault="00AC56D6" w:rsidP="00AC56D6">
      <w:pPr>
        <w:pStyle w:val="TextoNormal"/>
      </w:pPr>
      <w:r w:rsidRPr="00AC56D6">
        <w:rPr>
          <w:rStyle w:val="NumeroAFNegritaCaracter"/>
        </w:rPr>
        <w:t>4</w:t>
      </w:r>
      <w:r>
        <w:t>. Por providencia de 18 de febrero del 2015, la Sala Segunda de este Tribunal dispuso la admisión a trámite de la demanda de amparo. En dicha resolución se estimó que el recurso de amparo presenta especial transcendencia constitucional, ya que plantea o afecta a una faceta de un derecho fundamental sobre la que no hay doctrina de este Tribunal [STC 155/2009, FJ 2 a)]. Como el Ministerio Fiscal aportó copia escaneada del procedimiento de internamiento núm. 582-2014, del Juzgado de Primera Instancia núm. 15 de Las Palmas, y del rollo de apelación núm. 524-2014, de la Sección Tercera de la Audiencia Provincial de Las Palmas, solamente se acordó, en aplicación de lo previsto en el art. 51 LOTC, dirigir atenta comunicación al citado juzgado para que, en el plazo de diez días, emplace a quienes hubieran sido parte en el procedimiento y, a su vez, que en el plazo indicado puedan comparecer en este proceso constitucional. Asimismo, se dispuso publicar la admisión del presente recurso de amparo en el “Boletín Oficial del Estado” (“BOE”), de conformidad con lo establecido en el art. 46.2 de la Ley Orgánica del Tribunal Constitucional (LOTC), para que, dentro de los diez días siguientes a la publicación, puedan comparecer otros posibles interesados. La publicación en el “BOE” tuvo lugar el día 18 de febrero de 2015.</w:t>
      </w:r>
    </w:p>
    <w:p w:rsidR="00AC56D6" w:rsidRDefault="00AC56D6" w:rsidP="00AC56D6">
      <w:pPr>
        <w:pStyle w:val="TextoNormal"/>
      </w:pPr>
    </w:p>
    <w:p w:rsidR="00AC56D6" w:rsidRDefault="00AC56D6" w:rsidP="00AC56D6">
      <w:pPr>
        <w:pStyle w:val="TextoNormal"/>
      </w:pPr>
      <w:r w:rsidRPr="00AC56D6">
        <w:rPr>
          <w:rStyle w:val="NumeroAFNegritaCaracter"/>
        </w:rPr>
        <w:t>5</w:t>
      </w:r>
      <w:r>
        <w:t>. Por diligencia de ordenación de fecha 12 de mayo de 2015, se resolvió dar vista de las actuaciones al Ministerio Fiscal recurrente, por el plazo de veinte días, dentro del cual podrá presentar las alegaciones que estime pertinentes, conforme a lo dispuesto en el art. 52.1 LOTC.</w:t>
      </w:r>
    </w:p>
    <w:p w:rsidR="00AC56D6" w:rsidRDefault="00AC56D6" w:rsidP="00AC56D6">
      <w:pPr>
        <w:pStyle w:val="TextoNormal"/>
      </w:pPr>
    </w:p>
    <w:p w:rsidR="00AC56D6" w:rsidRDefault="00AC56D6" w:rsidP="00AC56D6">
      <w:pPr>
        <w:pStyle w:val="TextoNormal"/>
      </w:pPr>
      <w:r w:rsidRPr="00AC56D6">
        <w:rPr>
          <w:rStyle w:val="NumeroAFNegritaCaracter"/>
        </w:rPr>
        <w:t>6</w:t>
      </w:r>
      <w:r>
        <w:t>. Mediante escrito de fecha 19 de junio de 2015, el Ministerio Fiscal presentó sus alegaciones. En esencia reprodujo la argumentación esgrimida en el escrito de demanda e incidió en la inconstitucionalidad de la fundamentación dada por el órgano de apelación.</w:t>
      </w:r>
    </w:p>
    <w:p w:rsidR="00AC56D6" w:rsidRDefault="00AC56D6" w:rsidP="00AC56D6">
      <w:pPr>
        <w:pStyle w:val="TextoNormal"/>
      </w:pPr>
    </w:p>
    <w:p w:rsidR="00AC56D6" w:rsidRDefault="00AC56D6" w:rsidP="00AC56D6">
      <w:pPr>
        <w:pStyle w:val="TextoNormal"/>
      </w:pPr>
      <w:r w:rsidRPr="00AC56D6">
        <w:rPr>
          <w:rStyle w:val="NumeroAFNegritaCaracter"/>
        </w:rPr>
        <w:t>7</w:t>
      </w:r>
      <w:r>
        <w:t>. Por providencia de fecha 3 de septiembre de 2015, se acordó señalar para deliberación y votación de la presente Sentencia el día 7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demanda de amparo se dirige contra el Auto de fecha 18 de junio de 2014, en cuya virtud el Juzgado de Primera Instancia núm. 15 de Las Palmas ratificó el internamiento no voluntario de M.I.F.E. por trastorno psíquico. También se dirige contra el Auto de fecha 28 de julio de 2014, en cuya virtud la Sección Tercera de la Audiencia Provincial de Las Palmas desestimó el recurso de apelación que fue deducido por el Ministerio Fiscal frente la primera de las resoluciones citadas. Para el Fiscal recurrente ambas resoluciones lesionan el derecho a la libertad personal (art. 17.1 CE). Según refiere, el criterio seguido en las resoluciones impugnadas para la determinación del término inicial del plazo de setenta y dos horas que, para la ratificación judicial del internamiento no voluntario establece el art. 763.1 de la Ley de enjuiciamiento civil (LEC), comporta una indebida extensión del infranqueable límite temporal fijado en el citado precepto, lo que redunda en menoscabo de las garantías establecidas respecto de los internamientos involuntarios motivados por alteraciones psíquicas.</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2</w:t>
      </w:r>
      <w:r>
        <w:t>. El presente recurso no ha sido interpuesto por la titular del derecho fundamental pretendidamente vulnerado, sino por el Ministerio Fiscal. Según reiterada doctrina de este Tribunal, “[l]a legitimación para recurrir en amparo que el art. 162.1 b) CE atribuye al Ministerio Fiscal y que, igualmente, aparece recogida en el art. 46.1 b) LOTC, se configura, según tuvimos ocasión de señalar en la STC 86/1985, de 10 de julio, FJ 1, ‘como un ius agendi reconocido a este órgano en mérito a su específica posición institucional, funcionalmente delimitada en el artículo 124.1 de la norma fundamental. Promoviendo el amparo constitucional, el Ministerio Fiscal defiende, ciertamente, derechos fundamentales, pero lo hace, y en esto reside la peculiar naturaleza de su acción, no porque ostente su titularidad, sino como portador del interés público en la integridad y efectividad de tales derechos’. Como ya dijimos en la STC 211/1994, de 13 de julio, FJ 2 ‘el recurso de amparo no constituye una vía abierta a los poderes públicos para la defensa de sus actos y de las potestades en que éstos se basan, sino, justamente, un instrumento para la correcta limitación de tales potestades y para la eventual depuración de aquellos actos, en defensa de los derechos fundamentales y libertades públicas de los particulares. Y es lógico que sea así porque, de lo contrario, se invertiría el significado y función del recurso de amparo como medio de protección de los derechos fundamentales de los ciudadanos para convertirse en instrumento de los poderes públicos frente a los particulares” (STC 12/2014, de 27 de enero, FJ 2).</w:t>
      </w:r>
    </w:p>
    <w:p w:rsidR="00AC56D6" w:rsidRDefault="00AC56D6" w:rsidP="00AC56D6">
      <w:pPr>
        <w:pStyle w:val="TextoNormal"/>
      </w:pPr>
    </w:p>
    <w:p w:rsidR="00AC56D6" w:rsidRDefault="00AC56D6" w:rsidP="00AC56D6">
      <w:pPr>
        <w:pStyle w:val="TextoNormal"/>
      </w:pPr>
      <w:r>
        <w:t>En el presente caso, la legitimación del Fiscal resulta incuestionable pues, a luz de la doctrina expuesta, su intervención como parte demandante se anuda a la protección del derecho a la libertad personal, en la dimensión que le confiere el art. 17.1 CE.</w:t>
      </w:r>
    </w:p>
    <w:p w:rsidR="00AC56D6" w:rsidRDefault="00AC56D6" w:rsidP="00AC56D6">
      <w:pPr>
        <w:pStyle w:val="TextoNormal"/>
      </w:pPr>
    </w:p>
    <w:p w:rsidR="00AC56D6" w:rsidRDefault="00AC56D6" w:rsidP="00AC56D6">
      <w:pPr>
        <w:pStyle w:val="TextoNormal"/>
      </w:pPr>
      <w:r w:rsidRPr="00AC56D6">
        <w:rPr>
          <w:rStyle w:val="NumeroAFNegritaCaracter"/>
        </w:rPr>
        <w:t>3</w:t>
      </w:r>
      <w:r>
        <w:t>. Este Tribunal ha tenido ocasión de pronunciarse sobre las exigencias básicas derivadas del derecho fundamental a la libertad personal (art. 17.1.CE), en relación con los plazos establecidos en el art. 763.1 LEC. Y así, en el apartado c) del fundamento jurídico 5 de la STC 141/2012, de 30 de julio, afirmamos que “la imposición de un límite temporal ha de venir impuesto por la norma legal de desarrollo, en este caso el ya citado art. 763 LEC, donde se señala que ‘el responsable del centro en que se hubiere producido el internamiento deberá dar cuenta de éste al tribunal competente lo antes posible y, en todo caso, dentro del plazo de veinticuatro horas, a los efectos de que proceda a la preceptiva ratificación de dicha medida’. Plazo que el legislador actual o futuro no podría elevar en ningún caso más allá de las 72 horas, al resultar vinculante en este ámbito privativo de libertad la limitación que fija el art. 17.2 CE para las detenciones extrajudiciales, el cual, como tenemos declarado, no opera con carácter exclusivo en el orden penal (SSTC 341/1993, de 18 de noviembre, FJ 6; 179/2000, de 26 de junio, FJ 2; 53/2002, de 27 de febrero, FJ 6). Se trata, en todo caso, no de un plazo fijo sino máximo, que por ende no tiene que agotarse necesariamente en el supuesto concreto ni cabe agotarlo discrecionalmente. De este modo, la comunicación al tribunal habrá de efectuarla el director del centro en cuanto se disponga del diagnóstico que justifique el internamiento, sin más demora, siendo que las 24 horas empiezan a contar desde el momento en que se produce materialmente el ingreso del afectado en el interior del recinto y contra su voluntad. Precisión esta última importante, en aquellos casos en los que la persona ha podido acceder inicialmente al tratamiento de manera voluntaria y en algún momento posterior exterioriza su cambio de criterio, siendo en ese preciso momento cuando, tornándose en involuntario, se precisará la concurrencia de los requisitos del art. 763.1 LEC para poder mantener el internamiento, empezando simultáneamente a correr el cómputo de las 24 horas para comunicarlo al órgano judicial”.</w:t>
      </w:r>
    </w:p>
    <w:p w:rsidR="00AC56D6" w:rsidRDefault="00AC56D6" w:rsidP="00AC56D6">
      <w:pPr>
        <w:pStyle w:val="TextoNormal"/>
      </w:pPr>
    </w:p>
    <w:p w:rsidR="00AC56D6" w:rsidRDefault="00AC56D6" w:rsidP="00AC56D6">
      <w:pPr>
        <w:pStyle w:val="TextoNormal"/>
      </w:pPr>
      <w:r>
        <w:lastRenderedPageBreak/>
        <w:t>Más adelante, en el apartado d) del referido fundamento jurídico efectuamos algunas precisiones sobre el control judicial subsiguiente a la comunicación del ingreso psiquiátrico; concretamente sostuvimos que “desde que tiene lugar la comunicación antedicha ha de considerarse que la persona pasa a efectos legales a disposición del órgano judicial, sin que ello exija su traslado a presencia física del juez, como hemos tenido ocasión de precisar en el ámbito de las detenciones judiciales (SSTC 21/1997, de 10 de febrero, FJ 4; 180/2011, de 21 de noviembre, FJ 5). Traslado que, además, tratándose de internamiento psiquiátrico contradiría la necesidad misma de la medida, de allí que lo normal es que el examen judicial directo del afectado se realice en el propio establecimiento hospitalario. En todo caso, el director de este último sigue siendo responsable de la vida e integridad física y psíquica del interno mientras no acuerde el alta, bien por orden judicial o porque a criterio de los facultativos encargados se aprecie que han desaparecido o mitigado suficientemente las causas que motivaban el internamiento; incluso cuando tal ratificación judicial ya se hubiere producido”.</w:t>
      </w:r>
    </w:p>
    <w:p w:rsidR="00AC56D6" w:rsidRDefault="00AC56D6" w:rsidP="00AC56D6">
      <w:pPr>
        <w:pStyle w:val="TextoNormal"/>
      </w:pPr>
    </w:p>
    <w:p w:rsidR="00AC56D6" w:rsidRDefault="00AC56D6" w:rsidP="00AC56D6">
      <w:pPr>
        <w:pStyle w:val="TextoNormal"/>
      </w:pPr>
      <w:r>
        <w:t>Finalmente, en apartado c) del fundamento jurídico 6 de la reiterada Sentencia destacamos la importancia de la observancia del plazo de setenta y dos horas del que, como máximo, dispone el órgano judicial y, a su vez, resaltamos las consecuencias derivadas de su eventual incumplimiento: “Sin duda una de las principales garantías de este marco regulador del internamiento urgente lo constituye el límite temporal del que dispone el juez para resolver, inédito hasta la aprobación de la Ley 1/2000. La base constitucional de dicho plazo, al tratarse de una privación de libertad judicial, no reside en el art. 17.2 CE, sino el art. 17.1 CE, como tenemos ya dicho (SSTC 37/1996, de 11 de marzo, FJ 4; 180/2011, de 21 de noviembre, FJ 2). El plazo ha de considerarse improrrogable, tal como hemos reconocido con otros plazos de detención judicial que desarrollan el art. 17.1 CE (SSTC 37/1996, de 11 de marzo, FJ 4.B; 180/2011 de 21 de noviembre, FFJJ 5 y 6). Por tanto no puede mantenerse el confinamiento de la persona si a su expiración no se ha ratificado la medida, ni cabe aducir dificultades logísticas o excesiva carga de trabajo del órgano judicial para justificar su demora, ni puede considerarse convalidado el incumplimiento porque más tarde se dicte el auto y éste resulte confirmatorio”.</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La argumentación jurídica que ofrecen los órganos judiciales converge en una misma dirección: hasta que el internamiento acordado por el centro psiquiátrico no se comunique, previo reparto del asunto al órgano judicial a quien en concreto corresponda conocer, no comienza a transcurrir el plazo de 72 horas que, conforme a lo previsto en el art. 763.1 LEC, constituye el límite máximo para la ratificación del referido internamiento. Como ha quedado expuesto, este Tribunal ha tenido ocasión de pronunciarse sobre la vinculación de los plazos estatuidos en el mencionado precepto con la garantía derivada del derecho a la libertad personal reconocido en el art. 17.1 CE. Sin embargo, esta es la primera ocasión —y en ello radica la especial trascendencia constitucional del presente recurso— en que se nos demanda un pronunciamiento sobre la eventual lesión del indicado derecho fundamental, a causa de una errónea interpretación sobre el </w:t>
      </w:r>
      <w:r w:rsidRPr="00AC56D6">
        <w:rPr>
          <w:i/>
        </w:rPr>
        <w:t>dies a quo</w:t>
      </w:r>
      <w:r>
        <w:t xml:space="preserve"> del límite máximo del que dispone la autoridad judicial para ratificar o revocar el internamiento psiquiátrico acordado extrajudicialmente. El marco legal de aplicación al caso se circunscribe al art. 763.1 LEC, cuyo tenor es el siguiente:</w:t>
      </w:r>
    </w:p>
    <w:p w:rsidR="00AC56D6" w:rsidRDefault="00AC56D6" w:rsidP="00AC56D6">
      <w:pPr>
        <w:pStyle w:val="TextoNormal"/>
      </w:pPr>
    </w:p>
    <w:p w:rsidR="00AC56D6" w:rsidRDefault="00AC56D6" w:rsidP="00AC56D6">
      <w:pPr>
        <w:pStyle w:val="TextoNormal"/>
      </w:pPr>
      <w:r>
        <w:lastRenderedPageBreak/>
        <w:t>“El internamiento, por razón de trastorno psíquico, de una persona que no esté en condiciones de decidirlo por sí, aunque esté sometida a la patria potestad o tutela, requerirá autorización judicial que será recabada del Tribunal del lugar donde resida la persona afectada por el internamiento.</w:t>
      </w:r>
    </w:p>
    <w:p w:rsidR="00AC56D6" w:rsidRDefault="00AC56D6" w:rsidP="00AC56D6">
      <w:pPr>
        <w:pStyle w:val="TextoNormal"/>
      </w:pPr>
    </w:p>
    <w:p w:rsidR="00AC56D6" w:rsidRDefault="00AC56D6" w:rsidP="00AC56D6">
      <w:pPr>
        <w:pStyle w:val="TextoNormal"/>
      </w:pPr>
      <w:r>
        <w:t>La autorización será previa a dicho internamiento, salvo que razones de urgencia hicieran necesaria inmediata adopción de la medida. En este caso, el responsable del centro en que se hubiera producido el internamiento deberá dar cuenta al Tribunal competente lo antes posible y, en todo caso, dentro del plazo máximo de veinticuatro horas, a los efectos de que se proceda a la efectiva ratificación de dicha medida, que deberá efectuarse en el plazo máximo de setenta y dos horas desde que el internamiento llegue a conocimiento del Tribunal.</w:t>
      </w:r>
    </w:p>
    <w:p w:rsidR="00AC56D6" w:rsidRDefault="00AC56D6" w:rsidP="00AC56D6">
      <w:pPr>
        <w:pStyle w:val="TextoNormal"/>
      </w:pPr>
    </w:p>
    <w:p w:rsidR="00AC56D6" w:rsidRDefault="00AC56D6" w:rsidP="00AC56D6">
      <w:pPr>
        <w:pStyle w:val="TextoNormal"/>
      </w:pPr>
      <w:r>
        <w:t>En los casos de internamientos urgentes, la competencia para la ratificación de la medida corresponderá al Tribunal del lugar en que radique el centro donde se haya producido el internamiento. Dicho Tribunal deberá actuar, en su caso, conforme a lo dispuesto en el apartado 3 del art. 757 de la presente Ley.”</w:t>
      </w:r>
    </w:p>
    <w:p w:rsidR="00AC56D6" w:rsidRDefault="00AC56D6" w:rsidP="00AC56D6">
      <w:pPr>
        <w:pStyle w:val="TextoNormal"/>
      </w:pPr>
    </w:p>
    <w:p w:rsidR="00AC56D6" w:rsidRDefault="00AC56D6" w:rsidP="00AC56D6">
      <w:pPr>
        <w:pStyle w:val="TextoNormal"/>
      </w:pPr>
      <w:r>
        <w:t>Para el juzgador de instancia, el plazo previsto en el precepto objeto de cita no fue incumplido, toda vez que hasta el 16 de junio del 2014 el asunto no tuvo entrada en el Juzgado de Primera Instancia núm. 15 de Las Palmas y, como así consta en el procedimiento, por Auto de 18 de junio de 2014 fue ratificado el internamiento acordado extrajudicialmente. La sucinta respuesta dada por el órgano de instancia es fruto una exégesis que se circunscribe al último inciso del segundo párrafo del art. 763.1 LEC y, sobre ese aspecto, colige que hasta tanto la noticia del internamiento no llega a conocimiento del juzgado competente para resolver no comienza a correr el reiterado plazo de 72 horas. Por su parte, el órgano de apelación corrobora la legalidad de la actuación del órgano de instancia, si bien es consciente de que la problemática suscitada presenta una dimensión de mayor envergadura. Por ello, dispensa un razonamiento que expresamente contempla la significación jurídica del tiempo que el asunto tarda en llegar a conocimiento del órgano judicial. A ese respecto, las razones consignadas en el Auto resolutorio del recurso de apelación pueden compendiarse del siguiente modo: a) mientras la comunicación del internamiento no acceda al órgano judicial al que corresponda resolver, no cabe entender que dicho internamiento ha llegado a conocimiento del Tribunal, a los efectos previstos en el art. 763.1 LEC; b) el plazo previsto para la ratificación del internamiento, por parte del órgano judicial, no comienza a transcurrir hasta que el asunto llega a su conocimiento tras el oportuno reparto; c) durante el intervalo que media entre la comunicación del internamiento al Decanato por parte de la autoridad médica y el reparto del asunto al órgano judicial, la privación de libertad del paciente tiene carácter gubernativo; d) el período de detención gubernativa a que se ha hecho mención es conforme a Derecho, siempre que entre la fecha del internamiento y la atribución al juzgado competente no transcurran más de setenta y dos horas, pues así lo avala la STC 141/2012.</w:t>
      </w:r>
    </w:p>
    <w:p w:rsidR="00AC56D6" w:rsidRDefault="00AC56D6" w:rsidP="00AC56D6">
      <w:pPr>
        <w:pStyle w:val="TextoNormal"/>
      </w:pPr>
    </w:p>
    <w:p w:rsidR="00AC56D6" w:rsidRDefault="00AC56D6" w:rsidP="00AC56D6">
      <w:pPr>
        <w:pStyle w:val="TextoNormal"/>
      </w:pPr>
      <w:r w:rsidRPr="00AC56D6">
        <w:rPr>
          <w:rStyle w:val="NumeroAFNegritaCaracter"/>
        </w:rPr>
        <w:t>5</w:t>
      </w:r>
      <w:r>
        <w:t xml:space="preserve">. La temática que se dilucida en el presente recurso concierne al derecho a la libertad personal reconocido en el art. 17.1 CE. Por tanto, nuestro enjuiciamiento no se circunscribe a calibrar la racionalidad de la interpretación judicial sobre el contenido y alcance de un precepto legal, pues conforme manifestamos en la STC 3/2007, de 15 de enero, FJ 4, “estando en juego un derecho fundamental sustantivo y no el derecho reconocido en el art. 24.1 </w:t>
      </w:r>
      <w:r>
        <w:lastRenderedPageBreak/>
        <w:t>CE, el control por parte de este Tribunal no puede limitarse a verificar el carácter motivado, razonable y no arbitrario de la resolución judicial impugnada (entre las últimas, SSTC 30/2000, de 31 de enero, FJ 4; 173/2001, de 26 de julio, FJ 4; 92/2005, de 18 de abril, FJ 5; y 326/2005, de 12 de diciembre, FJ 5). En particular, descartado el carácter inmotivado o arbitrario de la resolución judicial ahora analizada, respecto de lo que nada se alega en la demanda de amparo, no nos puede bastar en este proceso constitucional de amparo con la simple evaluación de su razonabilidad, sino que será preciso analizar si la misma resulta o no vulneradora del ejercicio de los derechos fundamentales alegados. Y ello porque es perfectamente posible que se den resoluciones judiciales que no infrinjan el derecho proclamado en el art. 24.1 CE, por contener una fundamentación que exprese razones —de hecho y de Derecho— por las que el órgano judicial adopte una determinada decisión, pero que, desde la perspectiva del libre ejercicio de derechos fundamentales como los aquí en juego, no expresen de modo constitucionalmente adecuado las razones justificativas de la decisión adoptada (STC 126/2003, de 30 de junio, FJ 5). Cuando se enjuicia la presunta vulneración de un derecho sustantivo, el criterio de razonabilidad que este Tribunal aplica a los derechos del art. 24 CE queda absorbido por el canon propio de aquel derecho (STC 14/2002, de 28 de enero, FJ 4)”.</w:t>
      </w:r>
    </w:p>
    <w:p w:rsidR="00AC56D6" w:rsidRDefault="00AC56D6" w:rsidP="00AC56D6">
      <w:pPr>
        <w:pStyle w:val="TextoNormal"/>
      </w:pPr>
    </w:p>
    <w:p w:rsidR="00AC56D6" w:rsidRDefault="00AC56D6" w:rsidP="00AC56D6">
      <w:pPr>
        <w:pStyle w:val="TextoNormal"/>
      </w:pPr>
      <w:r>
        <w:t>Llegados a este punto, procede resolver el aspecto nuclear del presente recurso. Con carácter previo, hemos de efectuar dos precisiones: en primer término cumple decir que este Tribunal no desconoce la finalidad tuitiva del internamiento urgente por razón de trastorno psíquico, que es netamente distinta de la que inspira la adopción de medidas cautelares en el proceso penal; no obstante ello, para nuestro enjuiciamiento lo verdaderamente relevante de esa medida es la privación de libertad que comporta y, por tanto, a esa perspectiva hemos de sujetarnos.</w:t>
      </w:r>
    </w:p>
    <w:p w:rsidR="00AC56D6" w:rsidRDefault="00AC56D6" w:rsidP="00AC56D6">
      <w:pPr>
        <w:pStyle w:val="TextoNormal"/>
      </w:pPr>
    </w:p>
    <w:p w:rsidR="00AC56D6" w:rsidRDefault="00AC56D6" w:rsidP="00AC56D6">
      <w:pPr>
        <w:pStyle w:val="TextoNormal"/>
      </w:pPr>
      <w:r>
        <w:t>En segundo lugar, hemos de advertir que nuestro pronunciamiento no tiene por objeto dirimir, desde el prisma de la legalidad infraconstitucional, si el plazo para ratificar el internamiento involuntario comienza o no tras la entrada del asunto en el órgano judicial, previo reparto por el Decanato, pues ello convertiría a este Tribunal en un mero intérprete de la legalidad ordinaria que, en el contexto de una pretendida tercera instancia, estaría llamado a confirmar o refutar la interpretación realizada por los órganos judiciales. Desde la perspectiva en que se ubica este Tribunal, la respuesta que hemos de ofrecer se proyecta sobre una dimensión distinta, en concreto, sobre si la exégesis realizada en el ámbito jurisdiccional es respetuosa con el sistema de garantías que el legislador ha diseñado, mediante la instauración de los plazos máximos contemplados en el art. 763.1 LEC, para acomodar la privación de libertad por razón de trastorno psíquico a las exigencias impuestas por el art. 17.1 CE.</w:t>
      </w:r>
    </w:p>
    <w:p w:rsidR="00AC56D6" w:rsidRDefault="00AC56D6" w:rsidP="00AC56D6">
      <w:pPr>
        <w:pStyle w:val="TextoNormal"/>
      </w:pPr>
    </w:p>
    <w:p w:rsidR="00AC56D6" w:rsidRDefault="00AC56D6" w:rsidP="00AC56D6">
      <w:pPr>
        <w:pStyle w:val="TextoNormal"/>
      </w:pPr>
      <w:r>
        <w:t>Según se indica en el segundo párrafo del art. 763.1 LEC, la comunicación del internamiento por parte del responsable del establecimiento debe ir dirigida al “tribunal competente” y el denominado “tribunal competente” deberá ratificar el internamiento, en su caso, dentro del plazo máximo de 72 horas. En las demarcaciones judiciales que cuentan con un sólo órgano no se suscita ningún problema interpretativo, puesto que no hay necesidad de efectuar reparto alguno para determinar el concreto juzgado que deba resolver, pues, en esos casos, “el tribunal competente” será el único juzgado del lugar donde radica el centro de internamiento (art. 763.1, párrafo tercero). Sin embargo, el problema surge en aquellas de</w:t>
      </w:r>
      <w:r>
        <w:lastRenderedPageBreak/>
        <w:t>marcaciones con varios órganos judiciales, pues es perfectamente factible que la determinación del “tribunal competente” se produzca tras la recepción de la comunicación en el Decanato y el asunto sea turnado a un determinado juzgado. Eso es, precisamente, lo que aconteció en el supuesto concernido por el presente recurso, si bien no consta el motivo por el que el asunto fue repartido el día 13 de junio de 2014 y, sin embargo, no tuvo entrada en el Juzgado de Primera Instancia número 15 de Las Palmas hasta el día 16 del citado mes y año.</w:t>
      </w:r>
    </w:p>
    <w:p w:rsidR="00AC56D6" w:rsidRDefault="00AC56D6" w:rsidP="00AC56D6">
      <w:pPr>
        <w:pStyle w:val="TextoNormal"/>
      </w:pPr>
    </w:p>
    <w:p w:rsidR="00AC56D6" w:rsidRDefault="00AC56D6" w:rsidP="00AC56D6">
      <w:pPr>
        <w:pStyle w:val="TextoNormal"/>
      </w:pPr>
      <w:r>
        <w:t>Conforme al hilo argumental seguido por el órgano de apelación, el mencionado art. 763.1 LEC admite la existencia de un intervalo intermedio entre la comunicación del internamiento al Decanato, por parte de la autoridad médica, y la asignación del asunto al órgano judicial que corresponda. Según se indica en el Auto de fecha 28 de julio de 2014, ese lapso es compatible con el límite temporal que el art. 17.2 CE establece respecto de las detenciones gubernativas y encuentra acogida favorable en la fundamentación jurídica de la STC 141/2012. En consecuencia, al plazo de 24 horas con que cuenta el del centro psiquiátrico para notificar el internamiento no voluntario y al de 72 horas del que dispone el juez para ratificar la medida privativa de libertad, se suma un nuevo término cuya duración viene determinada por el tiempo que el Decanato tarde en remitir el asunto al órgano judicial que corresponda por reparto, si bien ese lapso no podrá exceder de 72 horas a contar desde que se produjo el internamiento involuntario. Conforme a ese planteamiento, entre la data de internamiento involuntario y la fecha de la ratificación judicial pueden llegar a transcurrir hasta seis días.</w:t>
      </w:r>
    </w:p>
    <w:p w:rsidR="00AC56D6" w:rsidRDefault="00AC56D6" w:rsidP="00AC56D6">
      <w:pPr>
        <w:pStyle w:val="TextoNormal"/>
      </w:pPr>
    </w:p>
    <w:p w:rsidR="00AC56D6" w:rsidRDefault="00AC56D6" w:rsidP="00AC56D6">
      <w:pPr>
        <w:pStyle w:val="TextoNormal"/>
      </w:pPr>
      <w:r w:rsidRPr="00AC56D6">
        <w:rPr>
          <w:rStyle w:val="NumeroAFNegritaCaracter"/>
        </w:rPr>
        <w:t>6</w:t>
      </w:r>
      <w:r>
        <w:t>. Hemos de anticipar que esa interpretación no merece favorable acogida. En primer lugar, la doctrina asentada en la STC 141/2012 no auspicia tales conclusiones, pues como se indica en el apartado c) del fundamento jurídico 5, en relación con el plazo de 24 horas de que dispone el responsable del centro para comunicar el internamiento, lo que afirmamos entonces es que el legislador podría ampliar el mencionado límite temporal hasta las 72 horas, lo cual, como es obvio, no faculta al intérprete judicial de la legalidad a extender el referido plazo sin el oportuno soporte legal habilitante; y ello con independencia de que el art. 17.2 CE establezca un plazo límite de 72 horas para la puesta a disposición judicial del detenido. En segundo término, hemos de recalcar que, en el apartado d) del indicado fundamento jurídico sostuvimos sin ambages que, desde que tiene lugar la comunicación por el centro hospitalario, la persona ingresada pasa a disposición del órgano judicial. De ahí que los razonamientos consignados en ese apartado tampoco patrocinan la prolongación de la “detención gubernativa”, en los términos señalados por la Audiencia Provincial. Cierto es que, de cara a ponderar si en aquel supuesto se había incumplido el plazo legal de 72 horas, tomamos como referencia la fecha de la providencia de apertura del procedimiento y, a partir de ese dato, colegimos que se superó con creces el plazo máximo previsto para la ratificación de la medida privativa de libertad. Sin embargo, de tal dato no cabe extraer ninguna conclusión trasladable al presente caso, habida cuenta de que, en el supuesto de hecho analizado en la STC 141/2012, el tiempo empleado por el órgano judicial para resolver, desde que el asunto estuvo a su disposición, excedió catorce días del plazo previsto en el art. 763.1 LEC, lo cual constituye un claro matiz diferencial con el presente caso.</w:t>
      </w:r>
    </w:p>
    <w:p w:rsidR="00AC56D6" w:rsidRDefault="00AC56D6" w:rsidP="00AC56D6">
      <w:pPr>
        <w:pStyle w:val="TextoNormal"/>
      </w:pPr>
    </w:p>
    <w:p w:rsidR="00AC56D6" w:rsidRDefault="00AC56D6" w:rsidP="00AC56D6">
      <w:pPr>
        <w:pStyle w:val="TextoNormal"/>
      </w:pPr>
      <w:r>
        <w:t xml:space="preserve">Como así lo refiere el Fiscal, parece que la interpretación efectuada por los órganos judiciales pretende conciliar los plazos estatuidos en el art. 763.1 LEC con los condicionantes </w:t>
      </w:r>
      <w:r>
        <w:lastRenderedPageBreak/>
        <w:t>impuestos por la infraestructura del reparto de asuntos, principalmente derivados de la ausencia de un servicio de guardia durante los fines de semana. Sin embargo, desde la perspectiva constitucional en que se sitúa este Tribunal debemos desautorizar esa exégesis, pues no es dable alcanzar tal armonización mediante el reconocimiento de un lapso temporal intermedio —el tiempo que el asunto tarda en ingresar en el órgano judicial al que por reparto corresponde conocer—, que se ubica entre la comunicación del internamiento al Decanato y la operatividad del plazo judicial de 72 horas. Si admitiéramos tal posibilidad, el rigor hermenéutico con que se han de abordar las limitaciones del derecho a la libertad personal quedaría sustancialmente atenuado, con el consiguiente detrimento de las garantías establecida en el art. 17.1 CE. Por otra parte, la determinación del dies a quo del plazo para la ratificación judicial del internamiento quedaría a expensas de un factor voluble e indeterminado, lo cual es incompatible con los principios de certidumbre y taxatividad inherentes a cualquier medida privativa de libertad.</w:t>
      </w:r>
    </w:p>
    <w:p w:rsidR="00AC56D6" w:rsidRDefault="00AC56D6" w:rsidP="00AC56D6">
      <w:pPr>
        <w:pStyle w:val="TextoNormal"/>
      </w:pPr>
    </w:p>
    <w:p w:rsidR="00AC56D6" w:rsidRDefault="00AC56D6" w:rsidP="00AC56D6">
      <w:pPr>
        <w:pStyle w:val="TextoNormal"/>
      </w:pPr>
      <w:r>
        <w:t>En suma, desde la obligada pauta interpretativa que propicia la mayor efectividad del derecho fundamental y la correlativa interpretación restrictiva de sus límites, que hemos proclamado en diferentes resoluciones concernientes al derecho fundamental a la libertad personal (entre otras, SSTC 19/1999, de 22 de enero, FJ 5; 57/2008, de 28 de abril, FJ 6, y 152/2013, de 9 de septiembre, FJ 5), afirmamos que la interpretación constitucionalmente adecuada del segundo párrafo del art. 763.1 LEC no admite solución de continuidad entre la comunicación del internamiento involuntario, por parte de la autoridad médica, y el inicio del plazo de 72 horas estatuido para la ratificación judicial de esa medida, ni permite intercalar plazos implícitos entre esos dos acontecimientos procesales.</w:t>
      </w:r>
    </w:p>
    <w:p w:rsidR="00AC56D6" w:rsidRDefault="00AC56D6" w:rsidP="00AC56D6">
      <w:pPr>
        <w:pStyle w:val="TextoNormal"/>
      </w:pPr>
    </w:p>
    <w:p w:rsidR="00AC56D6" w:rsidRDefault="00AC56D6" w:rsidP="00AC56D6">
      <w:pPr>
        <w:pStyle w:val="TextoNormal"/>
      </w:pPr>
      <w:r w:rsidRPr="00AC56D6">
        <w:rPr>
          <w:rStyle w:val="NumeroAFNegritaCaracter"/>
        </w:rPr>
        <w:t>7</w:t>
      </w:r>
      <w:r>
        <w:t>. Los razonamientos precedentes conducen a la estimación del presente recurso de amparo, puesto que las resoluciones judiciales combatidas vulneran el derecho fundamental a la libertad personal (art. 17.1 CE) de M.I.F.E. A los efectos previstos en el art. 55 de la Ley Orgánica del Tribunal Constitucional, procede declarar la nulidad de las referidas resoluciones con carácter meramente declarativo, pues, como se refleja en los antecedentes de esta resolución, la persona afectada por el internamiento fue dada de alta el día 14 de julio de 2014, de manera que no persiste la privación de libertad ratificada judicialmente.</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Estimar el recurso de amparo promovido por el Ministerio Fiscal y, en consecuencia</w:t>
      </w:r>
    </w:p>
    <w:p w:rsidR="00AC56D6" w:rsidRDefault="00AC56D6" w:rsidP="00AC56D6">
      <w:pPr>
        <w:pStyle w:val="TextoNormal"/>
      </w:pPr>
    </w:p>
    <w:p w:rsidR="00AC56D6" w:rsidRDefault="00AC56D6" w:rsidP="00AC56D6">
      <w:pPr>
        <w:pStyle w:val="TextoNormal"/>
      </w:pPr>
      <w:r>
        <w:t>1º Reconocer el derecho a la libertad personal (arts. 17.1 CE) de M.I.F.E.</w:t>
      </w:r>
    </w:p>
    <w:p w:rsidR="00AC56D6" w:rsidRDefault="00AC56D6" w:rsidP="00AC56D6">
      <w:pPr>
        <w:pStyle w:val="TextoNormal"/>
      </w:pPr>
    </w:p>
    <w:p w:rsidR="00AC56D6" w:rsidRDefault="00AC56D6" w:rsidP="00AC56D6">
      <w:pPr>
        <w:pStyle w:val="TextoNormal"/>
      </w:pPr>
      <w:r>
        <w:t xml:space="preserve">2º Declarar la nulidad, sin retroacción de actuaciones, del Auto de fecha 28 de julio de 2014, dictado por la Sección Tercera de la Audiencia Provincial de Las Palmas en el rollo de apelación núm. 524-2014, así como del Auto dictado por el Juzgado de Primera Instancia </w:t>
      </w:r>
      <w:r>
        <w:lastRenderedPageBreak/>
        <w:t>núm. 15 de las Palmas, de fecha 18 de junio de 2014, recaído en el procedimiento de internamiento psiquiátrico no voluntario núm. 582-2014.</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siete de septiembre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39" w:name="SENTENCIA_2015_183"/>
      <w:r>
        <w:lastRenderedPageBreak/>
        <w:t>SENTENCIA 183/2015, de 10 de septiembre de 2015</w:t>
      </w:r>
    </w:p>
    <w:bookmarkEnd w:id="39"/>
    <w:p w:rsidR="00AC56D6" w:rsidRDefault="00AC56D6" w:rsidP="00AC56D6">
      <w:pPr>
        <w:pStyle w:val="TtuloResolucin"/>
      </w:pPr>
      <w:r>
        <w:t>Pleno</w:t>
      </w:r>
    </w:p>
    <w:p w:rsidR="00AC56D6" w:rsidRDefault="00AC56D6" w:rsidP="00AC56D6">
      <w:pPr>
        <w:pStyle w:val="TtuloBOE"/>
      </w:pPr>
      <w:r>
        <w:t>(BOE núm. 245, de 13 de octubre de 2015)</w:t>
      </w:r>
    </w:p>
    <w:p w:rsidR="00AC56D6" w:rsidRDefault="00AC56D6" w:rsidP="00AC56D6">
      <w:pPr>
        <w:pStyle w:val="TextoNormalCentrado"/>
      </w:pPr>
      <w:r>
        <w:t>ECLI:ES:TC:2015:183</w:t>
      </w:r>
    </w:p>
    <w:p w:rsidR="00AC56D6" w:rsidRDefault="00AC56D6" w:rsidP="00AC56D6">
      <w:pPr>
        <w:pStyle w:val="TextoNormalCentrado"/>
      </w:pPr>
    </w:p>
    <w:p w:rsidR="00AC56D6" w:rsidRDefault="00AC56D6" w:rsidP="00AC56D6">
      <w:pPr>
        <w:pStyle w:val="SntesisDescriptiva"/>
      </w:pPr>
      <w:r>
        <w:t>Recurso de amparo 155-2013. Promovido por doña Noelia Márquez Guerrero en relación con la Sentencia de la Sala de lo Social del Tribunal Superior de Justicia de Castilla-La Mancha, estimatoria del recurso de suplicación formulado frente a Sentencia de un Juzgado de lo Social de Ciudad Real en proceso por despido.</w:t>
      </w:r>
    </w:p>
    <w:p w:rsidR="00AC56D6" w:rsidRDefault="00AC56D6" w:rsidP="00AC56D6">
      <w:pPr>
        <w:pStyle w:val="SntesisDescriptiva"/>
      </w:pPr>
    </w:p>
    <w:p w:rsidR="00AC56D6" w:rsidRDefault="00AC56D6" w:rsidP="00AC56D6">
      <w:pPr>
        <w:pStyle w:val="SntesisAnaltica"/>
      </w:pPr>
      <w:r>
        <w:t>Supuesta vulneración del derecho a la tutela judicial efectiva (garantía de indemnidad): extinción contractual comunicada resulta ajena a todo móvil de represalia por el ejercicio del derecho a la tutela judicial (STC 125/2008). Voto particular.</w:t>
      </w:r>
    </w:p>
    <w:p w:rsidR="00AC56D6" w:rsidRDefault="00AC56D6" w:rsidP="00AC56D6">
      <w:pPr>
        <w:pStyle w:val="SntesisAnaltica"/>
      </w:pPr>
    </w:p>
    <w:p w:rsidR="00AC56D6" w:rsidRDefault="00AC56D6" w:rsidP="00AC56D6">
      <w:pPr>
        <w:pStyle w:val="Extracto"/>
      </w:pPr>
      <w:r>
        <w:t>1.</w:t>
      </w:r>
      <w:r>
        <w:tab/>
        <w:t>La empresa empleadora Aspacecire ha logrado acreditar que la extinción contractual comunicada resulta ajena a todo móvil de represalia a la trabajadora recurrente que había ejercitado su derecho a la tutela judicial efectiva, respondiendo la causa alegada a la causa real, que cuenta con entidad suficiente para, por sí misma, explicar objetiva, razonable y proporcionadamente la decisión empresarial cuestionada sin que quepa apreciar vulneración de la garantía de indemnidad</w:t>
      </w:r>
      <w:r w:rsidRPr="00AC56D6">
        <w:rPr>
          <w:i/>
        </w:rPr>
        <w:t xml:space="preserve"> ex </w:t>
      </w:r>
      <w:r>
        <w:t>art. 24.1 CE [FJ 7].</w:t>
      </w:r>
    </w:p>
    <w:p w:rsidR="00AC56D6" w:rsidRDefault="00AC56D6" w:rsidP="00AC56D6">
      <w:pPr>
        <w:pStyle w:val="Extracto"/>
      </w:pPr>
    </w:p>
    <w:p w:rsidR="00AC56D6" w:rsidRDefault="00AC56D6" w:rsidP="00AC56D6">
      <w:pPr>
        <w:pStyle w:val="Extracto"/>
      </w:pPr>
      <w:r>
        <w:t>2.</w:t>
      </w:r>
      <w:r>
        <w:tab/>
        <w:t>En el campo de las relaciones laborales, la garantía de indemnidad se traduce en la imposibilidad de adoptar medidas intencionales de represalia derivadas del ejercicio por el trabajador de la tutela de sus derechos, de suerte que una actuación empresarial que cause un perjuicio y esté motivada por el hecho de haber ejercitado una acción judicial tendente al reconocimiento de unos derechos de los que el trabajador se creía asistido debe ser calificada como radicalmente nula, por contraria a ese derecho fundamental (SSTC 14/1993; 3/2006) [FJ 3].</w:t>
      </w:r>
    </w:p>
    <w:p w:rsidR="00AC56D6" w:rsidRDefault="00AC56D6" w:rsidP="00AC56D6">
      <w:pPr>
        <w:pStyle w:val="Extracto"/>
      </w:pPr>
    </w:p>
    <w:p w:rsidR="00AC56D6" w:rsidRDefault="00AC56D6" w:rsidP="00AC56D6">
      <w:pPr>
        <w:pStyle w:val="Extracto"/>
      </w:pPr>
      <w:r>
        <w:t>3.</w:t>
      </w:r>
      <w:r>
        <w:tab/>
        <w:t>La distribución de cargas probatorias propia de la prueba indiciaria alcanza a supuestos en los que esté potencialmente comprometido cualquier derecho fundamental y, por ende, la garantía de indemnidad del art. 24.1 CE (STC 125/2008) [FJ 4].</w:t>
      </w:r>
    </w:p>
    <w:p w:rsidR="00AC56D6" w:rsidRDefault="00AC56D6" w:rsidP="00AC56D6">
      <w:pPr>
        <w:pStyle w:val="Extracto"/>
      </w:pPr>
    </w:p>
    <w:p w:rsidR="00AC56D6" w:rsidRDefault="00AC56D6" w:rsidP="00AC56D6">
      <w:pPr>
        <w:pStyle w:val="Extracto"/>
      </w:pPr>
      <w:r>
        <w:t>4.</w:t>
      </w:r>
      <w:r>
        <w:tab/>
        <w:t>El canon de control constitucional que corresponde a la prueba indiciaria se articula en un doble plano: En el deber de aportación de un indicio razonable de que el acto empresarial lesiona el derecho fundamental, principio de prueba o prueba verosímil dirigido a poner de manifiesto lo que se denuncia y que incumbe al trabajador denunciante; de otro lado, recae sobre la parte demandada la carga de probar que su actuación tuvo causas reales extrañas a la pretendida vulneración (STC 104/2014) [FJ 4].</w:t>
      </w:r>
    </w:p>
    <w:p w:rsidR="00AC56D6" w:rsidRDefault="00AC56D6" w:rsidP="00AC56D6">
      <w:pPr>
        <w:pStyle w:val="Extracto"/>
      </w:pPr>
    </w:p>
    <w:p w:rsidR="00AC56D6" w:rsidRDefault="00AC56D6" w:rsidP="00AC56D6">
      <w:pPr>
        <w:pStyle w:val="Extracto"/>
      </w:pPr>
      <w:r>
        <w:t>5.</w:t>
      </w:r>
      <w:r>
        <w:tab/>
        <w:t xml:space="preserve">Respecto a la carga probatoria del empresario: i) no neutraliza, por si sola, la prueba indiciaria del trabajador; ii) que debe acreditar </w:t>
      </w:r>
      <w:r w:rsidRPr="00AC56D6">
        <w:rPr>
          <w:i/>
        </w:rPr>
        <w:t>ad casum</w:t>
      </w:r>
      <w:r>
        <w:t>, que su acto aparece desconectado del derecho fundamental alegado; iii) lo  relevante es que el demandado lleve a la convicción del juzgador que las causas aducidas para sus</w:t>
      </w:r>
      <w:r>
        <w:lastRenderedPageBreak/>
        <w:t>tentar la decisión adoptada son ajenas al factor protegido; iv) acreditada la desconexión entre la medida empresarial y el derecho que se dice vulnerado será irrelevante la calificación jurídica que la causa laboral alegada merezca en un prisma de legalidad ordinaria (STC 140/2014) [FJ 5].</w:t>
      </w:r>
    </w:p>
    <w:p w:rsidR="00AC56D6" w:rsidRDefault="00AC56D6" w:rsidP="00AC56D6">
      <w:pPr>
        <w:pStyle w:val="Extracto"/>
      </w:pPr>
    </w:p>
    <w:p w:rsidR="00AC56D6" w:rsidRDefault="00AC56D6" w:rsidP="00AC56D6">
      <w:pPr>
        <w:pStyle w:val="Extracto"/>
      </w:pPr>
      <w:r>
        <w:t>6.</w:t>
      </w:r>
      <w:r>
        <w:tab/>
        <w:t>Es preciso poner indiciariamente en conexión el factor protegido (la interdicción de medidas empresariales que causen un perjuicio y estén asociadas intencional u objetivamente al ejercicio de acciones judiciales: garantía de indemnidad) y el resultado de perjuicio que concretaría la lesión (la extinción contractual), por cuanto el hecho de que se hayan ejercitado acciones previas representa sólo un presupuesto de la posibilidad de violación del art. 24.1 CE, pero no un indicio de vulneración de ese derecho que por sí solo desplace al demandado la obligación de probar la regularidad constitucional de su acto (STC 17/2003) [FJ 6].</w:t>
      </w:r>
    </w:p>
    <w:p w:rsidR="00AC56D6" w:rsidRDefault="00AC56D6" w:rsidP="00AC56D6">
      <w:pPr>
        <w:pStyle w:val="Extracto"/>
      </w:pPr>
    </w:p>
    <w:p w:rsidR="00AC56D6" w:rsidRDefault="00AC56D6" w:rsidP="00AC56D6">
      <w:pPr>
        <w:pStyle w:val="Extracto"/>
      </w:pPr>
      <w:r>
        <w:t>7.</w:t>
      </w:r>
      <w:r>
        <w:tab/>
        <w:t>El factor temporal es considerado como un dato relevante en numerosas sentencias de este Tribunal para apreciar la conexión necesaria entre el factor protegido y el resultado de perjuicio (STC 125/2008) [FJ 6].</w:t>
      </w:r>
    </w:p>
    <w:p w:rsidR="00AC56D6" w:rsidRDefault="00AC56D6" w:rsidP="00AC56D6">
      <w:pPr>
        <w:pStyle w:val="Extracto"/>
      </w:pPr>
    </w:p>
    <w:p w:rsidR="00AC56D6" w:rsidRDefault="00AC56D6" w:rsidP="00AC56D6">
      <w:pPr>
        <w:pStyle w:val="Extracto"/>
      </w:pPr>
      <w:r>
        <w:t>8.</w:t>
      </w:r>
      <w:r>
        <w:tab/>
        <w:t>La especial naturaleza del recurso de casación para la unificación de doctrina, condicionado legalmente a la concurrencia de rígidos requisitos de admisión sobre identidad y contradicción, determina que su interposición no resulte siempre preceptiva, siendo únicamente obligada, a los efectos de la subsidiariedad del amparo, cuando no quepa duda alguna sobre su procedencia (STC 29/2013) [FJ. 2].</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 xml:space="preserve">En el recurso de amparo avocado núm. 155-2013, promovido por doña Noelia Márquez Guerrero, representada por el Procurador de los Tribunales don José Antonio Sandín Fernández y asistida por el Abogado don Emiliano Rubio Gómez, contra la Sentencia de la Sección Segunda de la Sala de lo Social del Tribunal Superior de Justicia de Castilla-La Mancha, de 8 de noviembre de 2012, que estimó el recurso de suplicación núm. 1312-2012 formulado frente a la Sentencia del Juzgado de lo Social núm. 2 de Ciudad Real, de 22 de marzo de 2012, recaída en autos núm. 63-2012 sobre despido. Han intervenido el Ministerio Fiscal y la Asociación para la ayuda al paralítico cerebral de Ciudad Real (Aspacecire), </w:t>
      </w:r>
      <w:r>
        <w:lastRenderedPageBreak/>
        <w:t>representada por el Procurador de los Tribunales don Pedro Antonio González Sánchez y asistida por el Letrado don José Manuel Díaz Mora. Ha sido Ponente el Magistrado don Fernando Valdés Dal-Ré,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que tuvo entrada en este Tribunal el día 10 de enero de 2013, el Procurador de los Tribunales don José Antonio Sandín Fernández, actuando en nombre y representación de doña Noelia Márquez Guerrero, presentó recurso de amparo constitucional contra la Sentencia de la Sección Segunda de la Sala de lo Social del Tribunal Superior de Justicia de Castilla-La Mancha, de 8 de noviembre de 2012, que se cita en el encabezamiento.</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en los que se fundamenta este recurso son los que a continuación se resumen.</w:t>
      </w:r>
    </w:p>
    <w:p w:rsidR="00AC56D6" w:rsidRDefault="00AC56D6" w:rsidP="00AC56D6">
      <w:pPr>
        <w:pStyle w:val="TextoNormal"/>
      </w:pPr>
    </w:p>
    <w:p w:rsidR="00AC56D6" w:rsidRDefault="00AC56D6" w:rsidP="00AC56D6">
      <w:pPr>
        <w:pStyle w:val="TextoNormal"/>
      </w:pPr>
      <w:r>
        <w:t>a) La recurrente en amparo trabajaba para Aspacecire desde el 25 de febrero de 2008. El 6 de octubre de 2011, la empleadora le comunicó que, con efectos desde el día de la fecha, se procedía a la reducción de su jornada de trabajo, pasando de siete horas diarias a dos, con la consiguiente minoración salarial.</w:t>
      </w:r>
    </w:p>
    <w:p w:rsidR="00AC56D6" w:rsidRDefault="00AC56D6" w:rsidP="00AC56D6">
      <w:pPr>
        <w:pStyle w:val="TextoNormal"/>
      </w:pPr>
    </w:p>
    <w:p w:rsidR="00AC56D6" w:rsidRDefault="00AC56D6" w:rsidP="00AC56D6">
      <w:pPr>
        <w:pStyle w:val="TextoNormal"/>
      </w:pPr>
      <w:r>
        <w:t>El día 10 de octubre de 2011, la trabajadora presentó demanda por modificación sustancial de condiciones de trabajo. Señalados los actos de conciliación y juicio para el día 21 de noviembre de 2011, alcanzaron las partes un acuerdo en la conciliación previa celebrada ante el Secretario Judicial, revocándose la inicial decisión empresarial. En el acta correspondiente, queda constancia de que la asociación demandada manifestó que, “en consonancia con la comunicación que ya efectuó la trabajadora el 10 de noviembre de 2011, reitera que viene a dejar sin efecto la reducción de jornada que con efectos de 6 de octubre de 2011 notificó a la misma, ratificando dicha comunicación de fecha 10 de noviembre de 2011”, y que, en consecuencia, la parte demandante “acepta el ofrecimiento empresarial a los efectos de llegar a un acuerdo amistoso, solicitando el archivo” de la demanda de modificación sustancial de condiciones de trabajo.</w:t>
      </w:r>
    </w:p>
    <w:p w:rsidR="00AC56D6" w:rsidRDefault="00AC56D6" w:rsidP="00AC56D6">
      <w:pPr>
        <w:pStyle w:val="TextoNormal"/>
      </w:pPr>
    </w:p>
    <w:p w:rsidR="00AC56D6" w:rsidRDefault="00AC56D6" w:rsidP="00AC56D6">
      <w:pPr>
        <w:pStyle w:val="TextoNormal"/>
      </w:pPr>
      <w:r>
        <w:t xml:space="preserve">b) Ocho días después de dicho acuerdo, el día 29 de noviembre de 2011, la empresa notificó a la trabajadora la extinción del contrato, al amparo del art. 52 c) de la Ley del estatuto de los trabajadores (LET), por motivos económicos, en aras de garantizar la sostenibilidad de la empresa y su viabilidad de futuro, con efectos desde el día 14 de diciembre de 2011. En la comunicación se deja constancia de la grave situación económica de la Asociación tras la drástica reducción de sus fuentes de financiación y las pérdidas acumuladas, así como de la necesidad de recortar en gastos de personal para asegurar el mantenimiento de los servicios asistenciales que constituyen el fin de Aspacecire. Se indica, en ese sentido, que la Asociación, ante las circunstancias reseñadas, acordó en 2011 reducir los costes salariales, habiéndose resistido la recurrente en amparo en todo momento a aceptar dicha decisión, oponiéndose a la reducción de jornada y proporcional de salario (de siete a dos horas diarias) al punto de impugnar la decisión adoptada por la empleadora en octubre de 2011. Destaca que la conciliación en dicho procedimiento tuvo lugar tras haber constatado previamente la asociación que la había acordado incurriendo en defectos formales generadores de </w:t>
      </w:r>
      <w:r>
        <w:lastRenderedPageBreak/>
        <w:t>nulidad, e insiste en la negativa de la trabajadora a sumarse a dicha medida, ni siquiera cuando, en días posteriores a la conciliación judicial y anteriores al acto extintivo que era objeto de comunicación, se le propuso una solución de menor impacto (reducción de la jornada a cuatro horas). Se ponía a su disposición la indemnización correspondiente.</w:t>
      </w:r>
    </w:p>
    <w:p w:rsidR="00AC56D6" w:rsidRDefault="00AC56D6" w:rsidP="00AC56D6">
      <w:pPr>
        <w:pStyle w:val="TextoNormal"/>
      </w:pPr>
    </w:p>
    <w:p w:rsidR="00AC56D6" w:rsidRDefault="00AC56D6" w:rsidP="00AC56D6">
      <w:pPr>
        <w:pStyle w:val="TextoNormal"/>
      </w:pPr>
      <w:r>
        <w:t>c) La recurrente en amparo presentó demanda de despido el 20 de enero de 2012, turnada al Juzgado de lo Social núm. 2 de Ciudad Real (autos núm. 63-2012), articulando como pretensión principal la de nulidad del despido por vulneración del art. 24.1 CE (garantía de indemnidad).</w:t>
      </w:r>
    </w:p>
    <w:p w:rsidR="00AC56D6" w:rsidRDefault="00AC56D6" w:rsidP="00AC56D6">
      <w:pPr>
        <w:pStyle w:val="TextoNormal"/>
      </w:pPr>
    </w:p>
    <w:p w:rsidR="00AC56D6" w:rsidRDefault="00AC56D6" w:rsidP="00AC56D6">
      <w:pPr>
        <w:pStyle w:val="TextoNormal"/>
      </w:pPr>
      <w:r>
        <w:t>La Sentencia núm. 145-2012, de 22 de marzo de 2012, del Juzgado de lo Social núm. 3 de Ciudad Real, da cuenta de la posición de la empleadora (necesidad de amortizar el puesto de trabajo de la actora a tenor de su circunstancia económica) y describe los términos de la oposición de la trabajadora (discriminación, enfrentamiento y animadversión de la empresa por el ejercicio de la acción judicial frente a la decisión adoptada en octubre de 2011, de reducción de jornada y salario). Bajo esas circunstancias, razona el juzgador que el litigio queda regido por la distribución de cargas probatorias propia del esquema de la prueba indiciaria en el proceso laboral, y concluye que a la trabajadora “se le extingue su contrato de trabajo, tras la presentación de una demanda judicial por modificación sustancial de las condiciones de trabajo, demanda que fue conciliada ante el Juzgado de lo Social número 3, en los términos declarados probados en el hecho segundo de la presente resolución. Evidenciando una correlación cronológica de tiempo, entre la conciliación y el despido que son lo suficientemente graves como para apreciar la nulidad de la relación extintiva acontecida”. Aunque admite que la empresa, asociación sin ánimo de lucro, está efectivamente atravesando una difícil situación económica, no es de recibo reponer “a la trabajadora en la situación anterior a la que venía manteniendo, y a los pocos días proceder a despedirla”, pues ese hecho revelaría, como sostenía también en sus alegaciones el Ministerio Fiscal, la vulneración de la garantía de indemnidad que integra el art. 24.1 CE.</w:t>
      </w:r>
    </w:p>
    <w:p w:rsidR="00AC56D6" w:rsidRDefault="00AC56D6" w:rsidP="00AC56D6">
      <w:pPr>
        <w:pStyle w:val="TextoNormal"/>
      </w:pPr>
    </w:p>
    <w:p w:rsidR="00AC56D6" w:rsidRDefault="00AC56D6" w:rsidP="00AC56D6">
      <w:pPr>
        <w:pStyle w:val="TextoNormal"/>
      </w:pPr>
      <w:r>
        <w:t>Se declaraba, en consecuencia, la nulidad del despido con obligación de readmisión de la demandante en su puesto de trabajo en las mismas condiciones que existían antes del acto extintivo y abono de los salarios dejados de percibir desde la fecha del mismo y hasta el día de la readmisión.</w:t>
      </w:r>
    </w:p>
    <w:p w:rsidR="00AC56D6" w:rsidRDefault="00AC56D6" w:rsidP="00AC56D6">
      <w:pPr>
        <w:pStyle w:val="TextoNormal"/>
      </w:pPr>
    </w:p>
    <w:p w:rsidR="00AC56D6" w:rsidRDefault="00AC56D6" w:rsidP="00AC56D6">
      <w:pPr>
        <w:pStyle w:val="TextoNormal"/>
      </w:pPr>
      <w:r>
        <w:t>d) En el recurso de suplicación núm. 1312-2012, interpuesto por Aspacecire, dictó Sentencia núm. 1225-2012 la Sección Segunda de la Sala de lo Social del Tribunal Superior de Justicia de Castilla-La Mancha (Albacete), de 8 de noviembre de 2012.</w:t>
      </w:r>
    </w:p>
    <w:p w:rsidR="00AC56D6" w:rsidRDefault="00AC56D6" w:rsidP="00AC56D6">
      <w:pPr>
        <w:pStyle w:val="TextoNormal"/>
      </w:pPr>
    </w:p>
    <w:p w:rsidR="00AC56D6" w:rsidRDefault="00AC56D6" w:rsidP="00AC56D6">
      <w:pPr>
        <w:pStyle w:val="TextoNormal"/>
      </w:pPr>
      <w:r>
        <w:t>Señala el pronunciamiento que la sentencia de instancia infringió el art. 52 c) LET, al resultar procedente la extinción del contrato de trabajo: “aun asumiendo hipotéticamente que la demandante hubiera aportado indicios suficientes para que fuera aplicable la anterior doctrina sobre la inversión de la carga de la prueba, no ofrece duda que la empresa ha acreditado que la extinción contractual por causas económicas del art. 52 c) LET responde a razones reales debidamente acreditadas, como se reconoce en la propia sentencia de instancia (segundo párrafo del fundamento jurídico tercero), lo que descarta la existencia de toda presunta intención de represalia por parte del empleador”.</w:t>
      </w:r>
    </w:p>
    <w:p w:rsidR="00AC56D6" w:rsidRDefault="00AC56D6" w:rsidP="00AC56D6">
      <w:pPr>
        <w:pStyle w:val="TextoNormal"/>
      </w:pPr>
    </w:p>
    <w:p w:rsidR="00AC56D6" w:rsidRDefault="00AC56D6" w:rsidP="00AC56D6">
      <w:pPr>
        <w:pStyle w:val="TextoNormal"/>
      </w:pPr>
      <w:r>
        <w:lastRenderedPageBreak/>
        <w:t>Haciendo un paralelismo con la sucesión de actos empresariales producida en el caso de autos (inicial notificación de reducción de jornada, luego revocada en conciliación, y posterior comunicación extintiva), recuerda que la Ley contempla situaciones encadenadas del estilo (por ejemplo, despidos consecutivos del mismo trabajador cuando el inicial es declarado improcedente por defectos de forma en el que el empresario ha optado por la readmisión —art. 110.4 Ley reguladora de la jurisdicción social—), y señala que, por consiguiente, “la revocación pactada en conciliación judicial entre trabajador y empresario de una modificación de las condiciones laborales, consistente en la reducción de la jornada y salario, no impide que posteriormente el empresario pueda adoptar la extinción del contrato por causas objetivas, si acredita cumplidamente la concurrencia de la causa alegada, como ocurre en el presente caso”.</w:t>
      </w:r>
    </w:p>
    <w:p w:rsidR="00AC56D6" w:rsidRDefault="00AC56D6" w:rsidP="00AC56D6">
      <w:pPr>
        <w:pStyle w:val="TextoNormal"/>
      </w:pPr>
    </w:p>
    <w:p w:rsidR="00AC56D6" w:rsidRDefault="00AC56D6" w:rsidP="00AC56D6">
      <w:pPr>
        <w:pStyle w:val="TextoNormal"/>
      </w:pPr>
      <w:r>
        <w:t>Con base en tales razonamientos, se estima el recurso formalizado por Aspacecire y revoca la Sala la sentencia de instancia, declarando procedente la extinción del contrato de trabajo por causas objetivas.</w:t>
      </w:r>
    </w:p>
    <w:p w:rsidR="00AC56D6" w:rsidRDefault="00AC56D6" w:rsidP="00AC56D6">
      <w:pPr>
        <w:pStyle w:val="TextoNormal"/>
      </w:pPr>
    </w:p>
    <w:p w:rsidR="00AC56D6" w:rsidRDefault="00AC56D6" w:rsidP="00AC56D6">
      <w:pPr>
        <w:pStyle w:val="TextoNormal"/>
      </w:pPr>
      <w:r w:rsidRPr="00AC56D6">
        <w:rPr>
          <w:rStyle w:val="NumeroAFNegritaCaracter"/>
        </w:rPr>
        <w:t>3</w:t>
      </w:r>
      <w:r>
        <w:t>. Contra la resolución judicial dictada en suplicación, doña Noelia Márquez Guerrero interpone recurso de amparo, que fundamenta en la vulneración del derecho a la tutela judicial efectiva, en su vertiente de garantía de indemnidad (art. 24.1 CE). A tal fin reproduce la STC 125/2008, de 20 de octubre, que a su juicio resolvía en sentido estimatorio un caso similar al ahora enjuiciado.</w:t>
      </w:r>
    </w:p>
    <w:p w:rsidR="00AC56D6" w:rsidRDefault="00AC56D6" w:rsidP="00AC56D6">
      <w:pPr>
        <w:pStyle w:val="TextoNormal"/>
      </w:pPr>
    </w:p>
    <w:p w:rsidR="00AC56D6" w:rsidRDefault="00AC56D6" w:rsidP="00AC56D6">
      <w:pPr>
        <w:pStyle w:val="TextoNormal"/>
      </w:pPr>
      <w:r w:rsidRPr="00AC56D6">
        <w:rPr>
          <w:rStyle w:val="NumeroAFNegritaCaracter"/>
        </w:rPr>
        <w:t>4</w:t>
      </w:r>
      <w:r>
        <w:t>. Mediante providencia de 3 de diciembre de 2013, la Sala Segunda de este Tribunal acordó admitir a trámite el recurso de amparo y, en aplicación del art. 51 de la Ley Orgánica del Tribunal Constitucional (LOTC), solicitó a los órganos judiciales que intervinieron en el proceso judicial las correspondientes actuaciones, ordenando los pertinentes emplazamientos para que en el plazo de diez días pudieran comparecer ante este Tribunal quienes hubieran sido parte en el procedimiento judicial.</w:t>
      </w:r>
    </w:p>
    <w:p w:rsidR="00AC56D6" w:rsidRDefault="00AC56D6" w:rsidP="00AC56D6">
      <w:pPr>
        <w:pStyle w:val="TextoNormal"/>
      </w:pPr>
    </w:p>
    <w:p w:rsidR="00AC56D6" w:rsidRDefault="00AC56D6" w:rsidP="00AC56D6">
      <w:pPr>
        <w:pStyle w:val="TextoNormal"/>
      </w:pPr>
      <w:r w:rsidRPr="00AC56D6">
        <w:rPr>
          <w:rStyle w:val="NumeroAFNegritaCaracter"/>
        </w:rPr>
        <w:t>5</w:t>
      </w:r>
      <w:r>
        <w:t>. Por escrito que tuvo entrada en el Registro General de este Tribunal Constitucional el 17 de enero de 2014, el Procurador de los Tribunales don Pedro Antonio González Sánchez, actuando en nombre y representación de Aspacecire, se personó en el recurso.</w:t>
      </w:r>
    </w:p>
    <w:p w:rsidR="00AC56D6" w:rsidRDefault="00AC56D6" w:rsidP="00AC56D6">
      <w:pPr>
        <w:pStyle w:val="TextoNormal"/>
      </w:pPr>
    </w:p>
    <w:p w:rsidR="00AC56D6" w:rsidRDefault="00AC56D6" w:rsidP="00AC56D6">
      <w:pPr>
        <w:pStyle w:val="TextoNormal"/>
      </w:pPr>
      <w:r>
        <w:t>Por diligencia de ordenación de la Secretaria de Justicia de la Sala Segunda, de 21 de febrero de 2014, se tuvo por personado al citado Procurador en la representación que ostenta y se procedió a dar vista de las actuaciones a las partes personadas y al Ministerio Fiscal, para que pudieran presentar las alegaciones que estimaran pertinentes, de conformidad con lo dispuesto en el art. 52.1 LOTC.</w:t>
      </w:r>
    </w:p>
    <w:p w:rsidR="00AC56D6" w:rsidRDefault="00AC56D6" w:rsidP="00AC56D6">
      <w:pPr>
        <w:pStyle w:val="TextoNormal"/>
      </w:pPr>
    </w:p>
    <w:p w:rsidR="00AC56D6" w:rsidRDefault="00AC56D6" w:rsidP="00AC56D6">
      <w:pPr>
        <w:pStyle w:val="TextoNormal"/>
      </w:pPr>
      <w:r w:rsidRPr="00AC56D6">
        <w:rPr>
          <w:rStyle w:val="NumeroAFNegritaCaracter"/>
        </w:rPr>
        <w:t>6</w:t>
      </w:r>
      <w:r>
        <w:t>. Evacuó el trámite, mediante escrito registrado el 26 de marzo de 2014, la representación de la demandante de amparo, reiterando la cita de la STC 125/2008, de 20 de octubre, y poniendo énfasis en la conexión temporal que se evidencia entre la medida extintiva acordada y las acciones judiciales iniciadas frente a la modificación sustancial de condiciones de trabajo producida en octubre de 2011.</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7</w:t>
      </w:r>
      <w:r>
        <w:t>. El 26 de marzo de 2014 tuvo entrada en este Tribunal Constitucional el escrito de alegaciones de Aspacecire. Opone dos causas de inadmisión y su discrepancia con lo aducido de contrario sobre la cuestión de fondo. En concreto: i) denuncia la falta de agotamiento de los medios de impugnación previstos por las normas procesales [art. 50.1 a) en relación con el art. 44.1 a) LOTC], toda vez que no se interpuso recurso de casación para unificación de doctrina frente a la Sentencia de suplicación contra la que se dirige el amparo, manifestándose como justificación de ello la pretendida inexistencia de sentencias de contraste para tal unificación doctrinal cuando lo cierto es que, en el escrito de impugnación del recurso de suplicación, la demandante de amparo hacía referencia a varios pronunciamientos afines a su postura procesal; ii) postula la extemporaneidad del recurso de amparo, al haberse interpuesto transcurrido el plazo de 30 días del art. 44.2 LOTC, computado desde la fecha de notificación de la Sentencia de suplicación recurrida; iii) en cuanto al debate sustantivo, considera que no hubo lesión del art. 24.1 CE, ya que quedó acreditada la realidad económica empresarial que motivó la extinción contractual.</w:t>
      </w:r>
    </w:p>
    <w:p w:rsidR="00AC56D6" w:rsidRDefault="00AC56D6" w:rsidP="00AC56D6">
      <w:pPr>
        <w:pStyle w:val="TextoNormal"/>
      </w:pPr>
    </w:p>
    <w:p w:rsidR="00AC56D6" w:rsidRDefault="00AC56D6" w:rsidP="00AC56D6">
      <w:pPr>
        <w:pStyle w:val="TextoNormal"/>
      </w:pPr>
      <w:r w:rsidRPr="00AC56D6">
        <w:rPr>
          <w:rStyle w:val="NumeroAFNegritaCaracter"/>
        </w:rPr>
        <w:t>8</w:t>
      </w:r>
      <w:r>
        <w:t>. El Ministerio Fiscal registró su escrito de alegaciones el día 31 de marzo de 2014, interesando el otorgamiento del amparo. A su criterio, la Asociación empleadora no probó la existencia de motivos para el despido ajenos a todo interés lesivo de derechos fundamentales. En efecto, aplicando la doctrina de la inversión de la carga de la prueba —dice el Ministerio público— se advierte que la entidad demandada no logró justificar con un mínimo de razonabilidad la secuencia de sus actos: que primeramente redujera la jornada a dos horas; que días después la volviese a ampliar a siete y, en fin, que muy pocos días más tarde, sin haber intentado adoptar conforme a Derecho la decisión inicial de reducción de jornada que sostiene haber revocado por defectos formales, prescindiera definitivamente de los servicios de la trabajadora al pretendido amparo de causas objetivas que no se tomaron en consideración días anteriores. Aspacecire, en suma, no ofreció razón que explicara su errática conducta, deduciéndose de ello que la decisión extintiva vino determinada por el previo ejercicio de acciones en su contra por parte de la trabajadora, lo que obliga a calificar la extinción como nula y a la sentencia recurrida como vulneradora del derecho a la tutela judicial efectiva del art. 24.1 CE, en su vertiente de garantía de indemnidad.</w:t>
      </w:r>
    </w:p>
    <w:p w:rsidR="00AC56D6" w:rsidRDefault="00AC56D6" w:rsidP="00AC56D6">
      <w:pPr>
        <w:pStyle w:val="TextoNormal"/>
      </w:pPr>
    </w:p>
    <w:p w:rsidR="00AC56D6" w:rsidRDefault="00AC56D6" w:rsidP="00AC56D6">
      <w:pPr>
        <w:pStyle w:val="TextoNormal"/>
      </w:pPr>
      <w:r w:rsidRPr="00AC56D6">
        <w:rPr>
          <w:rStyle w:val="NumeroAFNegritaCaracter"/>
        </w:rPr>
        <w:t>9</w:t>
      </w:r>
      <w:r>
        <w:t>. El Pleno de este Tribunal, mediante providencia de 14 de abril de 2015, acordó, de conformidad con el art. 10.1 n) LOTC, a propuesta de la Sala Segunda, recabar para sí el conocimiento de este recurso de amparo.</w:t>
      </w:r>
    </w:p>
    <w:p w:rsidR="00AC56D6" w:rsidRDefault="00AC56D6" w:rsidP="00AC56D6">
      <w:pPr>
        <w:pStyle w:val="TextoNormal"/>
      </w:pPr>
    </w:p>
    <w:p w:rsidR="00AC56D6" w:rsidRDefault="00AC56D6" w:rsidP="00AC56D6">
      <w:pPr>
        <w:pStyle w:val="TextoNormal"/>
      </w:pPr>
      <w:r w:rsidRPr="00AC56D6">
        <w:rPr>
          <w:rStyle w:val="NumeroAFNegritaCaracter"/>
        </w:rPr>
        <w:t>10</w:t>
      </w:r>
      <w:r>
        <w:t>. Por providencia de 8 de septiembre de 2015, se señaló para deliberación y votación de la presente Sentencia el día 10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recurso de amparo se dirige contra la Sentencia de la Sección Segunda de la Sala de lo Social del Tribunal Superior de Justicia de Castilla-La Mancha, de 8 de noviembre de 2012, que estima el recurso de suplicación núm. 1312-2012 interpuesto frente a la Sentencia del Juzgado de lo Social núm. 2 de Ciudad Real, de 22 de marzo de 2012, recaída en autos núm. 63-2012 sobre despido.</w:t>
      </w:r>
    </w:p>
    <w:p w:rsidR="00AC56D6" w:rsidRDefault="00AC56D6" w:rsidP="00AC56D6">
      <w:pPr>
        <w:pStyle w:val="TextoNormal"/>
      </w:pPr>
    </w:p>
    <w:p w:rsidR="00AC56D6" w:rsidRDefault="00AC56D6" w:rsidP="00AC56D6">
      <w:pPr>
        <w:pStyle w:val="TextoNormal"/>
      </w:pPr>
      <w:r>
        <w:lastRenderedPageBreak/>
        <w:t>La demandante de amparo denuncia la lesión del derecho a la tutela judicial efectiva en su vertiente de garantía de indemnidad (art. 24.1 CE), causada por el acto extintivo de la relación laboral comunicado el día 29 de noviembre de 2011, solo ocho días después de que se conciliara en el curso de una acción judicial ejercitada por la trabajadora por modificación sustancial de condiciones de trabajo (reducción de jornada y salario). Aspacecire, la empleadora para la que prestaba servicios, descarta que se haya producido la referida vulneración, oponiendo con carácter previo dos causas de inadmisibilidad, al amparo de los arts. 44.1 a) y 44.2 de la Ley Orgánica del Tribunal Constitucional (LOTC). El Ministerio Fiscal, por su parte, interesa el otorgamiento del amparo con base en los argumentos que hemos recogido en los antecedentes de la presente resolución.</w:t>
      </w:r>
    </w:p>
    <w:p w:rsidR="00AC56D6" w:rsidRDefault="00AC56D6" w:rsidP="00AC56D6">
      <w:pPr>
        <w:pStyle w:val="TextoNormal"/>
      </w:pPr>
    </w:p>
    <w:p w:rsidR="00AC56D6" w:rsidRDefault="00AC56D6" w:rsidP="00AC56D6">
      <w:pPr>
        <w:pStyle w:val="TextoNormal"/>
      </w:pPr>
      <w:r w:rsidRPr="00AC56D6">
        <w:rPr>
          <w:rStyle w:val="NumeroAFNegritaCaracter"/>
        </w:rPr>
        <w:t>2</w:t>
      </w:r>
      <w:r>
        <w:t>. No pueden prosperar las objeciones de admisibilidad.</w:t>
      </w:r>
    </w:p>
    <w:p w:rsidR="00AC56D6" w:rsidRDefault="00AC56D6" w:rsidP="00AC56D6">
      <w:pPr>
        <w:pStyle w:val="TextoNormal"/>
      </w:pPr>
    </w:p>
    <w:p w:rsidR="00AC56D6" w:rsidRDefault="00AC56D6" w:rsidP="00AC56D6">
      <w:pPr>
        <w:pStyle w:val="TextoNormal"/>
      </w:pPr>
      <w:r>
        <w:t>a) La pretendida extemporaneidad del amparo por cuanto, en respuesta al requerimiento efectuado por diligencia de ordenación de 8 de febrero de 2013, ha quedado acreditado por la representación de la parte recurrente, en escrito registrado en este Tribunal el día 18 de febrero de 2013, que la notificación de la Sentencia de suplicación tuvo lugar el 15 de noviembre de 2012. Esto así, habiéndose presentado el recurso de amparo en el Servicio común de registro de la localidad el trigésimo día del plazo (3 de enero de 2013), resulta de aplicación la doctrina del Pleno de este Tribunal (STC 88/2013, de 11 de abril, FJ 3), según la cual, en cuanto al lugar de presentación de la demanda de amparo (art. 85.2 LOTC), puede utilizarse de manera indistinta “tanto el registro del Tribunal Constitucional como la oficina o servicio de registro central de los Tribunales civiles de cualquier localidad durante la integridad del plazo completo previsto legalmente para la presentación de dichos escritos de iniciación”.</w:t>
      </w:r>
    </w:p>
    <w:p w:rsidR="00AC56D6" w:rsidRDefault="00AC56D6" w:rsidP="00AC56D6">
      <w:pPr>
        <w:pStyle w:val="TextoNormal"/>
      </w:pPr>
    </w:p>
    <w:p w:rsidR="00AC56D6" w:rsidRDefault="00AC56D6" w:rsidP="00AC56D6">
      <w:pPr>
        <w:pStyle w:val="TextoNormal"/>
      </w:pPr>
      <w:r>
        <w:t>b) Igual suerte desestimatoria debe correr la alegada falta de agotamiento de la vía judicial previa por no haberse formalizado recurso de casación para la unificación de doctrina contra la Sentencia ahora impugnada [arts. 50.1 a) y 44.1 a) LOTC].</w:t>
      </w:r>
    </w:p>
    <w:p w:rsidR="00AC56D6" w:rsidRDefault="00AC56D6" w:rsidP="00AC56D6">
      <w:pPr>
        <w:pStyle w:val="TextoNormal"/>
      </w:pPr>
    </w:p>
    <w:p w:rsidR="00AC56D6" w:rsidRDefault="00AC56D6" w:rsidP="00AC56D6">
      <w:pPr>
        <w:pStyle w:val="TextoNormal"/>
      </w:pPr>
      <w:r>
        <w:t>La exigibilidad de la interposición del recurso de casación para la unificación de doctrina, como requisito de agotamiento, ha sido examinada reiteradamente por este Tribunal. Según declara nuestra doctrina, la especial naturaleza de dicho recurso, condicionado legalmente a la concurrencia de rígidos requisitos de admisión sobre identidad y contradicción, determina que su interposición no resulte siempre preceptiva, siendo únicamente obligada, a los efectos de la subsidiariedad del amparo, cuando no quepa duda alguna sobre su procedencia (entre tantas otras, STC 29/2013, de 11 de febrero, FJ 3).</w:t>
      </w:r>
    </w:p>
    <w:p w:rsidR="00AC56D6" w:rsidRDefault="00AC56D6" w:rsidP="00AC56D6">
      <w:pPr>
        <w:pStyle w:val="TextoNormal"/>
      </w:pPr>
    </w:p>
    <w:p w:rsidR="00AC56D6" w:rsidRDefault="00AC56D6" w:rsidP="00AC56D6">
      <w:pPr>
        <w:pStyle w:val="TextoNormal"/>
      </w:pPr>
      <w:r>
        <w:t xml:space="preserve">En relación con ello, de acuerdo con la misma jurisprudencia, a quien pretende hacer valer su no interposición como motivo de inadmisibilidad del amparo le corresponde acreditar la posibilidad de recurrir a esa extraordinaria vía en el supuesto concreto (por todas, SSTC 221/2012, de 26 de noviembre, FJ 4). Y en el presente caso no se cumple la carga señalada ya que tal obligación acreditativa no se satisface con la invocación retórica de las Sentencias que la recurrente supuestamente adujo en alguno de sus escritos procesales (en esta ocasión, según se afirma, en el escrito de impugnación del recurso de suplicación). No sólo ya porque, tras la lectura de dicho escrito, no alcanzamos a conocer a qué sentencias supuestamente invocadas por la actora viene a referirse quien formula la objeción, sino, en </w:t>
      </w:r>
      <w:r>
        <w:lastRenderedPageBreak/>
        <w:t>todo caso y antes de ello, porque tampoco se ensaya examen alguno, ni cuando menos aproximativo, de las identidades y contradicción que el Tribunal Supremo reclama invariablemente para acceder a dicho recurso extraordinario, como correspondería efectuar a Aspacecire al oponer la objeción en este procedimiento de amparo (STC 124/2014, de 21 de julio, FJ 2). En suma, no se aporta ningún dato o elemento de juicio del que deducir la viabilidad de la casación unificadora, por lo que el óbice no puede prosperar.</w:t>
      </w:r>
    </w:p>
    <w:p w:rsidR="00AC56D6" w:rsidRDefault="00AC56D6" w:rsidP="00AC56D6">
      <w:pPr>
        <w:pStyle w:val="TextoNormal"/>
      </w:pPr>
    </w:p>
    <w:p w:rsidR="00AC56D6" w:rsidRDefault="00AC56D6" w:rsidP="00AC56D6">
      <w:pPr>
        <w:pStyle w:val="TextoNormal"/>
      </w:pPr>
      <w:r w:rsidRPr="00AC56D6">
        <w:rPr>
          <w:rStyle w:val="NumeroAFNegritaCaracter"/>
        </w:rPr>
        <w:t>3</w:t>
      </w:r>
      <w:r>
        <w:t>. Invocada por la demandante de amparo la vulneración de su derecho fundamental a la tutela judicial efectiva (art. 24.1 CE), conviene recordar la doctrina de este Tribunal sobre la denominada “garantía de indemnidad” en el marco de las relaciones laborales.</w:t>
      </w:r>
    </w:p>
    <w:p w:rsidR="00AC56D6" w:rsidRDefault="00AC56D6" w:rsidP="00AC56D6">
      <w:pPr>
        <w:pStyle w:val="TextoNormal"/>
      </w:pPr>
    </w:p>
    <w:p w:rsidR="00AC56D6" w:rsidRDefault="00AC56D6" w:rsidP="00AC56D6">
      <w:pPr>
        <w:pStyle w:val="TextoNormal"/>
      </w:pPr>
      <w:r>
        <w:t>Como hemos reiterado en numerosas ocasiones, la vulneración del derecho a la tutela judicial efectiva no sólo se produce por irregularidades acaecidas dentro del proceso judicial que ocasionen privación de garantías procesales, sino que, asimismo, tal derecho puede verse también lesionado cuando su ejercicio, o la realización por el trabajador de actos preparatorios o previos necesarios para una acción judicial, produzca como consecuencia una represalia empresarial o, en todo caso, un efecto negativo en su posición y patrimonio de derechos. En suma, el derecho consagrado en el art. 24.1 CE no sólo se satisface mediante la actuación de los Jueces y Tribunales, sino también a través de la garantía de indemnidad, lo cual significa que del ejercicio de una acción judicial —individual o colectiva (STC 16/2006, de 19 de enero)— o de los actos preparatorios o previos al mismo —incluso de reclamaciones extrajudiciales dirigidas a evitar el proceso (STC 55/2004, de 19 de abril)— no pueden seguirse consecuencias perjudiciales en el ámbito de las relaciones públicas o privadas para la persona que los protagoniza (por todas, SSTC 14/1993, de 18 de enero, FJ 2; 125/2008, de 20 de octubre, FJ 3, o 6/2011, de 14 de febrero, FJ 2).</w:t>
      </w:r>
    </w:p>
    <w:p w:rsidR="00AC56D6" w:rsidRDefault="00AC56D6" w:rsidP="00AC56D6">
      <w:pPr>
        <w:pStyle w:val="TextoNormal"/>
      </w:pPr>
    </w:p>
    <w:p w:rsidR="00AC56D6" w:rsidRDefault="00AC56D6" w:rsidP="00AC56D6">
      <w:pPr>
        <w:pStyle w:val="TextoNormal"/>
      </w:pPr>
      <w:r>
        <w:t>Por consiguiente, en el campo de las relaciones laborales la garantía de indemnidad se traduce en la imposibilidad de adoptar medidas intencionales de represalia derivadas del ejercicio por el trabajador de la tutela de sus derechos (por ejemplo, SSTC 14/1993, de 18 de enero, FJ 2, y 3/2006, de 16 de enero, FJ 2), de suerte que una actuación empresarial que cause un perjuicio y esté motivada por el hecho de haber ejercitado una acción judicial tendente al reconocimiento de unos derechos de los que el trabajador se creía asistido (en el sentido amplio anteriormente indicado) debe ser calificada como radicalmente nula, por contraria a ese derecho fundamental, ya que entre los derechos laborales básicos de todo trabajador se encuentra el de ejercitar las acciones derivadas de su contrato de trabajo [art. 24.1 CE y art. 4.2 g) de la Ley del estatuto de los Trabajadores].</w:t>
      </w:r>
    </w:p>
    <w:p w:rsidR="00AC56D6" w:rsidRDefault="00AC56D6" w:rsidP="00AC56D6">
      <w:pPr>
        <w:pStyle w:val="TextoNormal"/>
      </w:pPr>
    </w:p>
    <w:p w:rsidR="00AC56D6" w:rsidRDefault="00AC56D6" w:rsidP="00AC56D6">
      <w:pPr>
        <w:pStyle w:val="TextoNormal"/>
      </w:pPr>
      <w:r w:rsidRPr="00AC56D6">
        <w:rPr>
          <w:rStyle w:val="NumeroAFNegritaCaracter"/>
        </w:rPr>
        <w:t>4</w:t>
      </w:r>
      <w:r>
        <w:t>. En las concreciones de lesión descritas no siempre puede apreciarse abiertamente la vinculación entre la medida empresarial cuestionada y la garantía de indemnidad que integra el art. 24.1 CE, articulándose comúnmente la dinámica procesal con base en el esquema de la prueba indiciaria. Desde la STC 38/1981, de 23 de noviembre, hemos ido perfilando el marco de efectividad de la tutela constitucional, los márgenes y límites de nuestra función jurisdiccional y los criterios aplicables en el control que realizamos de las vulneraciones alegadas.</w:t>
      </w:r>
    </w:p>
    <w:p w:rsidR="00AC56D6" w:rsidRDefault="00AC56D6" w:rsidP="00AC56D6">
      <w:pPr>
        <w:pStyle w:val="TextoNormal"/>
      </w:pPr>
    </w:p>
    <w:p w:rsidR="00AC56D6" w:rsidRDefault="00AC56D6" w:rsidP="00AC56D6">
      <w:pPr>
        <w:pStyle w:val="TextoNormal"/>
      </w:pPr>
      <w:r>
        <w:t xml:space="preserve">Así, en lo primero, cabe destacar que la distribución de cargas probatorias propia de la prueba indiciaria alcanza a supuestos en los que esté potencialmente comprometido cualquier derecho fundamental; también por tanto la garantía de indemnidad del art. 24.1 CE </w:t>
      </w:r>
      <w:r>
        <w:lastRenderedPageBreak/>
        <w:t>(entre otras, STC 125/2008, de 20 de octubre). En lo segundo, de su lado, este Tribunal Constitucional no realiza un examen de los actos empresariales eventualmente lesivos desde una perspectiva de legalidad que no le es propia, sino en atención a la cobertura que los derechos fundamentales invocados ofrecen. Y lo hace, por lo demás, sin alterar los hechos probados, conforme a la sujeción prescrita en el art. 44.1 b) LOTC, lo que no impide, según establecimos, entre otras, en las SSTC 224/1999, de 13 de diciembre; 136/2001, de 18 de junio, o 17/2003, de 30 de enero, alcanzar una interpretación propia del relato fáctico conforme a los derechos y valores constitucionales en presencia.</w:t>
      </w:r>
    </w:p>
    <w:p w:rsidR="00AC56D6" w:rsidRDefault="00AC56D6" w:rsidP="00AC56D6">
      <w:pPr>
        <w:pStyle w:val="TextoNormal"/>
      </w:pPr>
    </w:p>
    <w:p w:rsidR="00AC56D6" w:rsidRDefault="00AC56D6" w:rsidP="00AC56D6">
      <w:pPr>
        <w:pStyle w:val="TextoNormal"/>
      </w:pPr>
      <w:r>
        <w:t>En cuanto al canon de control constitucional que corresponde, tenemos dicho que la prueba indiciaria se articula en un doble plano. El primero consiste en el deber de aportación de un indicio razonable de que el acto empresarial lesiona el derecho fundamental, principio de prueba o prueba verosímil dirigido a poner de manifiesto lo que se denuncia y que, como es obvio, incumbe al trabajador denunciante. El indicio no consiste en la mera alegación de la vulneración constitucional, ni tampoco en la invocación retórica del factor protegido, sino que debe permitir deducir la posibilidad de la lesión con base en un hecho o conjunto de hechos aportados y probados en el proceso. Sólo una vez cumplido este primer e inexcusable deber, recaerá sobre la parte demandada la carga de probar que su actuación tuvo causas reales absolutamente extrañas a la pretendida vulneración. En otro caso, la ausencia de prueba empresarial trasciende el ámbito puramente procesal y determina, en última instancia, que los indicios aportados por el demandante desplieguen toda su operatividad para declarar la lesión del derecho fundamental concernido (por todas, STC 104/2014, de 23 de junio, FJ 7).</w:t>
      </w:r>
    </w:p>
    <w:p w:rsidR="00AC56D6" w:rsidRDefault="00AC56D6" w:rsidP="00AC56D6">
      <w:pPr>
        <w:pStyle w:val="TextoNormal"/>
      </w:pPr>
    </w:p>
    <w:p w:rsidR="00AC56D6" w:rsidRDefault="00AC56D6" w:rsidP="00AC56D6">
      <w:pPr>
        <w:pStyle w:val="TextoNormal"/>
      </w:pPr>
      <w:r w:rsidRPr="00AC56D6">
        <w:rPr>
          <w:rStyle w:val="NumeroAFNegritaCaracter"/>
        </w:rPr>
        <w:t>5</w:t>
      </w:r>
      <w:r>
        <w:t>. La virtualidad de esa doctrina relativa a la prueba indiciaria en supuestos en los que la decisión empresarial invoca un fundamento objetivo de carácter económico, y no, como a menudo acontece, un incumplimiento contractual por parte del trabajador, nos hizo apreciar en la fase de admisibilidad la concurrencia del requisito de la especial trascendencia constitucional de este recurso de amparo [art. 50.1 b) LOTC], dado que el asunto que enjuiciamos permite aclarar nuestra jurisprudencia en la materia.</w:t>
      </w:r>
    </w:p>
    <w:p w:rsidR="00AC56D6" w:rsidRDefault="00AC56D6" w:rsidP="00AC56D6">
      <w:pPr>
        <w:pStyle w:val="TextoNormal"/>
      </w:pPr>
    </w:p>
    <w:p w:rsidR="00AC56D6" w:rsidRDefault="00AC56D6" w:rsidP="00AC56D6">
      <w:pPr>
        <w:pStyle w:val="TextoNormal"/>
      </w:pPr>
      <w:r>
        <w:t xml:space="preserve">En lo que atañe a la carga probatoria del empresario, una vez aportado por el trabajador demandante un panorama indiciario, este Tribunal ha sentado una serie de criterios coincidentes en casos de muy diversa naturaleza, disciplinaria o de otro carácter (por todas, SSTC 140/2014, de 11 de septiembre; 30/2002, de 11 de febrero, o 98/2003, de 2 de junio). Es menester sintetizarlos en los siguientes términos: i) no neutraliza el panorama indiciario la genérica invocación de facultades legales o convencionales; ii) no es suficiente tampoco una genérica explicación de la empresa, que debe acreditar </w:t>
      </w:r>
      <w:r w:rsidRPr="00AC56D6">
        <w:rPr>
          <w:i/>
        </w:rPr>
        <w:t>ad casum</w:t>
      </w:r>
      <w:r>
        <w:t xml:space="preserve"> que su acto aparece desconectado del derecho fundamental alegado; iii) lo verdaderamente relevante es que el demandado lleve a la convicción del juzgador que las causas que aduce para sustentar la decisión adoptada quedan desligadas y son por completo ajenas al factor protegido; iv) una vez acreditada la desconexión entre la medida empresarial y el derecho que se dice vulnerado será ya irrelevante la calificación jurídica que la causa laboral alegada merezca en un prisma de legalidad ordinaria.</w:t>
      </w:r>
    </w:p>
    <w:p w:rsidR="00AC56D6" w:rsidRDefault="00AC56D6" w:rsidP="00AC56D6">
      <w:pPr>
        <w:pStyle w:val="TextoNormal"/>
      </w:pPr>
    </w:p>
    <w:p w:rsidR="00AC56D6" w:rsidRDefault="00AC56D6" w:rsidP="00AC56D6">
      <w:pPr>
        <w:pStyle w:val="TextoNormal"/>
      </w:pPr>
      <w:r>
        <w:t xml:space="preserve">Ninguna razón existe para sustraer tal esquema de garantías en supuestos como el analizado. Esto es, ante un indicio de lesión, la carga de la prueba del empresario debe estar </w:t>
      </w:r>
      <w:r>
        <w:lastRenderedPageBreak/>
        <w:t>dirigida a demostrar que su decisión de naturaleza económica (en el presente caso con efectos extintivos) no queda ni intencional ni objetivamente asociada al factor protegido, se haya articulado o no correctamente en términos de legalidad ordinaria y con independencia por tanto de su calificación jurídica.</w:t>
      </w:r>
    </w:p>
    <w:p w:rsidR="00AC56D6" w:rsidRDefault="00AC56D6" w:rsidP="00AC56D6">
      <w:pPr>
        <w:pStyle w:val="TextoNormal"/>
      </w:pPr>
    </w:p>
    <w:p w:rsidR="00AC56D6" w:rsidRDefault="00AC56D6" w:rsidP="00AC56D6">
      <w:pPr>
        <w:pStyle w:val="TextoNormal"/>
      </w:pPr>
      <w:r w:rsidRPr="00AC56D6">
        <w:rPr>
          <w:rStyle w:val="NumeroAFNegritaCaracter"/>
        </w:rPr>
        <w:t>6</w:t>
      </w:r>
      <w:r>
        <w:t>. Llevado lo expuesto al caso, solo podría llegarse a la conclusión de la Sentencia recurrida sobre la inexistencia de nulidad del acto extintivo: i) si no se hubieran aportado indicios de la vulneración aducida; ii) si, de concurrir éstos, Aspacecire hubiera despojado con su alegato de todo fundamento al nexo o conexión indiciaria probada por la trabajadora (constituidos señaladamente, según las propias resoluciones judiciales dictadas en el proceso, por la correlación temporal entre extinción contractual y acción judicial de modificación sustancial de condiciones de trabajo); iii) particularmente, como concreción de lo dicho en la letra anterior y frente al factor de conexión temporal aducido, si Aspacecire hubiera aportado una justificación causal que desvinculara efectivamente su acto extintivo de la previa acción judicial, ya que en ello reside la conexión con la garantía de indemnidad del art. 24.1 CE.</w:t>
      </w:r>
    </w:p>
    <w:p w:rsidR="00AC56D6" w:rsidRDefault="00AC56D6" w:rsidP="00AC56D6">
      <w:pPr>
        <w:pStyle w:val="TextoNormal"/>
      </w:pPr>
    </w:p>
    <w:p w:rsidR="00AC56D6" w:rsidRDefault="00AC56D6" w:rsidP="00AC56D6">
      <w:pPr>
        <w:pStyle w:val="TextoNormal"/>
      </w:pPr>
      <w:r>
        <w:t>Conforme a la anterior doctrina y en los términos reseñados, nos corresponde examinar, en primer lugar, si la parte actora acreditó efectivamente la existencia de indicios de que el acto extintivo podía estar fundado en el previo ejercicio de acciones judiciales (art. 24.1 CE).</w:t>
      </w:r>
    </w:p>
    <w:p w:rsidR="00AC56D6" w:rsidRDefault="00AC56D6" w:rsidP="00AC56D6">
      <w:pPr>
        <w:pStyle w:val="TextoNormal"/>
      </w:pPr>
    </w:p>
    <w:p w:rsidR="00AC56D6" w:rsidRDefault="00AC56D6" w:rsidP="00AC56D6">
      <w:pPr>
        <w:pStyle w:val="TextoNormal"/>
      </w:pPr>
      <w:r>
        <w:t>En este primer plano de control deberá recordarse que tienen aptitud indiciaria tanto los hechos que sean claramente indicativos de la probabilidad de la lesión del derecho sustantivo, como aquellos que, pese a no generar una conexión tan patente y resultar por tanto más fácilmente neutralizables, sean sin embargo de entidad suficiente para abrir razonablemente la hipótesis de la vulneración del derecho fundamental (por ejemplo, STC 31/2014, de 24 de febrero, FJ 3). En el bien entendido que, más allá de la dispar fuerza probatoria concebible en un panorama indiciario conformado por un hecho o conjunto de hechos, lo que no cabe en ningún caso es que quede sostenida la prueba en alegaciones meramente retóricas o que falte la acreditación de elementos cardinales para que la conexión misma entre los hechos aducidos y el factor protegido pudiera establecerse, haciendo verosímil la inferencia lesiva.</w:t>
      </w:r>
    </w:p>
    <w:p w:rsidR="00AC56D6" w:rsidRDefault="00AC56D6" w:rsidP="00AC56D6">
      <w:pPr>
        <w:pStyle w:val="TextoNormal"/>
      </w:pPr>
    </w:p>
    <w:p w:rsidR="00AC56D6" w:rsidRDefault="00AC56D6" w:rsidP="00AC56D6">
      <w:pPr>
        <w:pStyle w:val="TextoNormal"/>
      </w:pPr>
      <w:r>
        <w:t>Por tanto, conforme a esa lógica, será preciso poner indiciariamente en conexión el factor protegido (la interdicción de medidas empresariales que causen un perjuicio y estén asociadas intencional u objetivamente al previo ejercicio de acciones judiciales: garantía de indemnidad) y el resultado de perjuicio que concretaría la lesión (esta vez, la extinción contractual), por cuanto el hecho de que se hayan ejercitado acciones previas representa únicamente, en principio, un presupuesto de la posibilidad misma de la violación del art. 24.1 CE, pero no un indicio de vulneración de ese derecho que por sí solo desplace al demandado la obligación de probar la regularidad constitucional de su acto (en esa línea, SSTC 17/2003, de 30 de enero, FJ 4, y 151/2004, de 20 de septiembre, FJ 3).</w:t>
      </w:r>
    </w:p>
    <w:p w:rsidR="00AC56D6" w:rsidRDefault="00AC56D6" w:rsidP="00AC56D6">
      <w:pPr>
        <w:pStyle w:val="TextoNormal"/>
      </w:pPr>
    </w:p>
    <w:p w:rsidR="00AC56D6" w:rsidRDefault="00AC56D6" w:rsidP="00AC56D6">
      <w:pPr>
        <w:pStyle w:val="TextoNormal"/>
      </w:pPr>
      <w:r>
        <w:t xml:space="preserve">Esa conexión necesaria pudiera apreciarse inicialmente por las razones que seguidamente se enuncian. Hay que subrayar de partida, como señalan las resoluciones judiciales en los hechos probados, que la intención inicial de la empresa era reducir la jornada de trabajo de la recurrente en amparo por razones económicas, lo que dio lugar al ejercicio de una acción </w:t>
      </w:r>
      <w:r>
        <w:lastRenderedPageBreak/>
        <w:t>en octubre de 2011. Esos hechos, expresivos de una contienda jurídica sobre intereses laborales, concurrieron de inmediato con la extinción contractual controvertida, que fue consecutiva en el tiempo, resultando de ese dato la conexión indiciaria entre los hechos previos (reducción de jornada por motivos económicos y acción judicial frente a ella) y la resolución sucesiva de la relación laboral, más cuando en ésta se invocó idéntica causa económica —no otra cosa se alegó por la demandada en el proceso y todo lo acontecido tuvo lugar en unos pocos días en el curso de los meses de octubre y noviembre de 2011—. Tal factor temporal ha sido considerado como un dato relevante en numerosas Sentencias de este Tribunal (v. gr., SSTC 125/2008, de 20 de octubre, FJ 4, o 140/2014, de 11 de septiembre, FJ 8). A mayor abundamiento, como relatamos en los antecedentes, la propia carta de 29 de noviembre de 2011, que comunicaba la extinción del contrato, hacía referencia a ese proceso judicial previo y a la resistencia de la parte actora a la medida empresarial, que le condujo a la impugnación judicial, representando la alusión indicada un elemento adicional de caracterización indiciaria.</w:t>
      </w:r>
    </w:p>
    <w:p w:rsidR="00AC56D6" w:rsidRDefault="00AC56D6" w:rsidP="00AC56D6">
      <w:pPr>
        <w:pStyle w:val="TextoNormal"/>
      </w:pPr>
    </w:p>
    <w:p w:rsidR="00AC56D6" w:rsidRDefault="00AC56D6" w:rsidP="00AC56D6">
      <w:pPr>
        <w:pStyle w:val="TextoNormal"/>
      </w:pPr>
      <w:r w:rsidRPr="00AC56D6">
        <w:rPr>
          <w:rStyle w:val="NumeroAFNegritaCaracter"/>
        </w:rPr>
        <w:t>7</w:t>
      </w:r>
      <w:r>
        <w:t>. La conexión indiciaria, como más atrás se señalase y de acuerdo con una jurisprudencia constitucional reiterada y constante, impone a la empresa la carga probatoria de desvincular su acto del indicio de lesión aportado, sin que el panorama indiciario conduzca por tanto, indefectiblemente, a la declaración de la vulneración constitucional aducida.</w:t>
      </w:r>
    </w:p>
    <w:p w:rsidR="00AC56D6" w:rsidRDefault="00AC56D6" w:rsidP="00AC56D6">
      <w:pPr>
        <w:pStyle w:val="TextoNormal"/>
      </w:pPr>
    </w:p>
    <w:p w:rsidR="00AC56D6" w:rsidRDefault="00AC56D6" w:rsidP="00AC56D6">
      <w:pPr>
        <w:pStyle w:val="TextoNormal"/>
      </w:pPr>
      <w:r>
        <w:t>A este respecto cabe empezar recordando lo reseñado por la empresa en la comunicación de la resolución contractual. Como dijimos en los antecedentes de esta Sentencia, Aspacecire hacía constar en la carta extintiva su grave situación económica tras la drástica reducción de sus fuentes de financiación y las pérdidas acumuladas, así como la necesidad de recortar en gastos de personal para asegurar el mantenimiento de los servicios asistenciales que constituyen su fin. Indicaba adicionalmente que, ante las circunstancias reseñadas, acordó en 2011 reducir los costes salariales, habiéndose resistido la recurrente en amparo en todo momento a aceptar dicha propuesta, oponiéndose a la reducción de jornada y proporcional de salario (de siete a dos horas diarias) al punto de impugnar la decisión adoptada por la empleadora en octubre de 2011, e insistiendo después en dicha posición, tras la conciliación en dicho procedimiento, cuando se le propuso una solución de menor impacto (reducción de la jornada a cuatro horas) —propuesta esta cuya realización, según consta en las actuaciones, fue reconocida por la trabajadora en el juicio oral—.</w:t>
      </w:r>
    </w:p>
    <w:p w:rsidR="00AC56D6" w:rsidRDefault="00AC56D6" w:rsidP="00AC56D6">
      <w:pPr>
        <w:pStyle w:val="TextoNormal"/>
      </w:pPr>
    </w:p>
    <w:p w:rsidR="00AC56D6" w:rsidRDefault="00AC56D6" w:rsidP="00AC56D6">
      <w:pPr>
        <w:pStyle w:val="TextoNormal"/>
      </w:pPr>
      <w:r>
        <w:t>A partir de los anteriores presupuestos ha de tenerse en cuenta que, en orden a cumplir con su carga probatoria dirigida a demostrar que la decisión de extinción contractual resultaba ajena a todo propósito lesivo del derecho fundamental a la tutela judicial efectiva, Aspacecire aduce la existencia de la causa legal extintiva del art. 52 c) de la Ley del estatuto de los trabajadores. En concreto, a tal efecto alega la situación económica negativa descrita en la referida carta de despido, que efectivamente se consideró acreditada en sede judicial, tanto en la instancia como después en suplicación, dando lugar a que la Sala de lo Social del Tribunal Superior de Justicia de Castilla-La Mancha declarara el carácter procedente de la extinción del contrato por apreciar la concurrencia de la causa económica legalmente exigida para justificar la decisión extintiva.</w:t>
      </w:r>
    </w:p>
    <w:p w:rsidR="00AC56D6" w:rsidRDefault="00AC56D6" w:rsidP="00AC56D6">
      <w:pPr>
        <w:pStyle w:val="TextoNormal"/>
      </w:pPr>
    </w:p>
    <w:p w:rsidR="00AC56D6" w:rsidRDefault="00AC56D6" w:rsidP="00AC56D6">
      <w:pPr>
        <w:pStyle w:val="TextoNormal"/>
      </w:pPr>
      <w:r>
        <w:t xml:space="preserve">A ello se une en este caso el hecho ya expuesto de que, con posterioridad a la interposición de la demanda por modificación sustancial de condiciones de trabajo y tras haberse celebrado la conciliación, la empresa procedió, con carácter previo a la extinción, a ofrecer </w:t>
      </w:r>
      <w:r>
        <w:lastRenderedPageBreak/>
        <w:t>a la trabajadora una nueva propuesta de reducción de jornada de menor impacto que la primera. Esta circunstancia resulta indicativa de que la voluntad empresarial no fue la de represaliar o sancionar a la trabajadora por el ejercicio del derecho a la tutela judicial efectiva, pues, tras la acción judicial, la reacción inmediata de Aspacecire fue la de proponer la adopción de una medida de flexibilidad interna de menor alcance incluso que la anterior, a la que la trabajadora mostró su negativa, siendo sólo después cuando, ante la existencia de la causa económica indicada, la empresa acudió a la extinción contractual entre las posibles medidas de gestión empresarial contempladas en el ordenamiento.</w:t>
      </w:r>
    </w:p>
    <w:p w:rsidR="00AC56D6" w:rsidRDefault="00AC56D6" w:rsidP="00AC56D6">
      <w:pPr>
        <w:pStyle w:val="TextoNormal"/>
      </w:pPr>
    </w:p>
    <w:p w:rsidR="00AC56D6" w:rsidRDefault="00AC56D6" w:rsidP="00AC56D6">
      <w:pPr>
        <w:pStyle w:val="TextoNormal"/>
      </w:pPr>
      <w:r>
        <w:t xml:space="preserve">Las anteriores consideraciones permiten concluir que el limitado panorama indiciario aportado por la trabajadora ha quedado desvirtuado. En este caso, Aspacecire ha logrado acreditar que, conforme exige nuestra jurisprudencia (por todas, STC 125/2008, de 20 de octubre, FFJJ 3 a 6), la extinción contractual comunicada resulta ajena a todo móvil de represalia por el ejercicio del derecho a la tutela judicial efectiva, respondiendo la causa alegada a la causa real, que cuenta con entidad suficiente para, por sí misma, explicar objetiva, razonable y proporcionadamente la decisión empresarial cuestionada. No cabe apreciar, por ello, vulneración de la garantía de indemnidad </w:t>
      </w:r>
      <w:r w:rsidRPr="00AC56D6">
        <w:rPr>
          <w:i/>
        </w:rPr>
        <w:t>ex</w:t>
      </w:r>
      <w:r>
        <w:t xml:space="preserve"> art. 24.1 CE, y en consecuencia, procede desestimar el presente recurso de amparo.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Desestimar el recurso de amparo interpuesto por doña Noelia Márquez Guerrero.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diez de septiembre de dos mil quince.</w:t>
      </w:r>
    </w:p>
    <w:p w:rsidR="00AC56D6" w:rsidRDefault="00AC56D6" w:rsidP="00AC56D6">
      <w:pPr>
        <w:pStyle w:val="ParrafoNormal"/>
      </w:pPr>
    </w:p>
    <w:p w:rsidR="00AC56D6" w:rsidRDefault="00AC56D6" w:rsidP="00AC56D6">
      <w:pPr>
        <w:pStyle w:val="TextoNormalNegritaCentrado"/>
        <w:keepNext/>
      </w:pPr>
      <w:r>
        <w:t>Voto particular que formula el Magistrado don Fernando Valdés Dal-Ré a la Sentencia dictada en el recurso de amparo avocado núm. 155-2013, al que se adhieren la Magistrada doña Adela Asua Batarrita y los Magistrados don Juan Antonio Xiol Ríos y don Antonio Narváez Rodríguez.</w:t>
      </w:r>
    </w:p>
    <w:p w:rsidR="00AC56D6" w:rsidRDefault="00AC56D6" w:rsidP="00AC56D6">
      <w:pPr>
        <w:pStyle w:val="TextoNormalNegritaCentrado"/>
        <w:keepNext/>
      </w:pPr>
    </w:p>
    <w:p w:rsidR="00AC56D6" w:rsidRDefault="00AC56D6" w:rsidP="00AC56D6">
      <w:pPr>
        <w:pStyle w:val="TextoNormal"/>
      </w:pPr>
      <w:r>
        <w:t>Como manifesté durante la deliberación del presente proceso constitucional, disiento de la decisión mayoritariamente adoptada. Dentro del máximo respeto hacia el parecer de mis compañeros del Pleno, entiendo que el fallo debió de declarar la vulneración del art. 24.1 CE, en su vertiente de garantía de indemnidad.</w:t>
      </w:r>
    </w:p>
    <w:p w:rsidR="00AC56D6" w:rsidRDefault="00AC56D6" w:rsidP="00AC56D6">
      <w:pPr>
        <w:pStyle w:val="TextoNormal"/>
      </w:pPr>
    </w:p>
    <w:p w:rsidR="00AC56D6" w:rsidRDefault="00AC56D6" w:rsidP="00AC56D6">
      <w:pPr>
        <w:pStyle w:val="TextoNormal"/>
      </w:pPr>
      <w:r>
        <w:t xml:space="preserve">2. Mi discrepancia en esta ocasión no es propiamente doctrinal. Realizaré una consideración previa sobre ese particular, pues resulta obligado dejar constancia de la continuidad de la doctrina de la tutela constitucional en la materia elaborada por este Tribunal. Sintetizando nuestra jurisprudencia sobre la prueba indiciaria en el proceso laboral, señaladamente </w:t>
      </w:r>
      <w:r>
        <w:lastRenderedPageBreak/>
        <w:t>en lo que corresponde a la parte demandada en el proceso, la Sentencia de la mayoría, en su fundamento jurídico 5, razona así:</w:t>
      </w:r>
    </w:p>
    <w:p w:rsidR="00AC56D6" w:rsidRDefault="00AC56D6" w:rsidP="00AC56D6">
      <w:pPr>
        <w:pStyle w:val="TextoNormal"/>
      </w:pPr>
    </w:p>
    <w:p w:rsidR="00AC56D6" w:rsidRDefault="00AC56D6" w:rsidP="00AC56D6">
      <w:pPr>
        <w:pStyle w:val="TextoNormal"/>
      </w:pPr>
      <w:r>
        <w:t>“La virtualidad de esa doctrina relativa a la prueba indiciaria en supuestos en los que la decisión empresarial invoca un fundamento objetivo de carácter económico, y no, como a menudo acontece, un incumplimiento contractual por parte del trabajador, nos hizo apreciar en la fase de admisibilidad la concurrencia del requisito de la especial trascendencia constitucional de este recurso de amparo [art.50.1 b) LOTC], dado que el asunto que enjuiciamos permite aclarar nuestra jurisprudencia en la materia.</w:t>
      </w:r>
    </w:p>
    <w:p w:rsidR="00AC56D6" w:rsidRDefault="00AC56D6" w:rsidP="00AC56D6">
      <w:pPr>
        <w:pStyle w:val="TextoNormal"/>
      </w:pPr>
    </w:p>
    <w:p w:rsidR="00AC56D6" w:rsidRDefault="00AC56D6" w:rsidP="00AC56D6">
      <w:pPr>
        <w:pStyle w:val="TextoNormal"/>
      </w:pPr>
      <w:r>
        <w:t>En lo que atañe a la carga probatoria del empresario, una vez aportado por el trabajador demandante un panorama indiciario, este Tribunal ha sentado una serie de criterios coincidentes en casos de muy diversa naturaleza, disciplinaria o de otro carácter (por todas, SSTC 140/2014, de 11 de septiembre, 30/2002, de 11 de febrero, o 98/2003, de 2 de junio). Es menester sintetizarlos en los siguientes términos: i) no neutraliza el panorama indiciario la genérica invocación de facultades legales o convencionales; ii) no es suficiente tampoco una genérica explicación de la empresa, que debe acreditar ad casum que su acto aparece desconectado del derecho fundamental alegado; iii) lo verdaderamente relevante es que el demandado lleve a la convicción del juzgador que las causas que aduce para sustentar la decisión adoptada quedan desligadas y son por completo ajenas al factor protegido; iv) una vez acreditada la desconexión entre la medida empresarial y el derecho que se dice vulnerado será ya irrelevante la calificación jurídica que la causa laboral alegada merezca en un prisma de legalidad ordinaria.</w:t>
      </w:r>
    </w:p>
    <w:p w:rsidR="00AC56D6" w:rsidRDefault="00AC56D6" w:rsidP="00AC56D6">
      <w:pPr>
        <w:pStyle w:val="TextoNormal"/>
      </w:pPr>
    </w:p>
    <w:p w:rsidR="00AC56D6" w:rsidRDefault="00AC56D6" w:rsidP="00AC56D6">
      <w:pPr>
        <w:pStyle w:val="TextoNormal"/>
      </w:pPr>
      <w:r>
        <w:t>Ninguna razón existe para sustraer tal esquema de garantías en supuestos como el analizado. Esto es, ante un indicio de lesión, la carga de la prueba del empresario debe estar dirigida a demostrar que su decisión de naturaleza económica (en el presente caso con efectos extintivos) no queda ni intencional ni objetivamente asociada al factor protegido, se haya articulado o no correctamente en términos de legalidad ordinaria y con independencia por tanto de su calificación jurídica.”</w:t>
      </w:r>
    </w:p>
    <w:p w:rsidR="00AC56D6" w:rsidRDefault="00AC56D6" w:rsidP="00AC56D6">
      <w:pPr>
        <w:pStyle w:val="TextoNormal"/>
      </w:pPr>
    </w:p>
    <w:p w:rsidR="00AC56D6" w:rsidRDefault="00AC56D6" w:rsidP="00AC56D6">
      <w:pPr>
        <w:pStyle w:val="TextoNormal"/>
      </w:pPr>
      <w:r>
        <w:t>Por su parte, el fundamento jurídico 6, traduciendo lo anterior en cuanto afecta al caso concreto, señala:</w:t>
      </w:r>
    </w:p>
    <w:p w:rsidR="00AC56D6" w:rsidRDefault="00AC56D6" w:rsidP="00AC56D6">
      <w:pPr>
        <w:pStyle w:val="TextoNormal"/>
      </w:pPr>
    </w:p>
    <w:p w:rsidR="00AC56D6" w:rsidRDefault="00AC56D6" w:rsidP="00AC56D6">
      <w:pPr>
        <w:pStyle w:val="TextoNormal"/>
      </w:pPr>
      <w:r>
        <w:t>“Llevado lo expuesto al caso, solo podría llegarse a la conclusión de la Sentencia recurrida sobre la inexistencia de nulidad del acto extintivo: i) si no se hubieran aportado indicios de la vulneración aducida; ii) si, de concurrir éstos, ASPACECIRE hubiera despojado con su alegato de todo fundamento al nexo o conexión indiciaria probada por la trabajadora (constituidos señaladamente, según las propias resoluciones judiciales dictadas en el proceso, por la correlación temporal entre extinción contractual y acción judicial de modificación sustancial de condiciones de trabajo); iii) particularmente, como concreción de lo dicho en la letra anterior y frente al factor de conexión temporal aducido, si ASPACECIRE hubiera aportado una justificación causal que desvinculara efectivamente su acto extintivo de la previa acción judicial, ya que en ello reside la conexión con la garantía de indemnidad del art. 24.1 CE”.</w:t>
      </w:r>
    </w:p>
    <w:p w:rsidR="00AC56D6" w:rsidRDefault="00AC56D6" w:rsidP="00AC56D6">
      <w:pPr>
        <w:pStyle w:val="TextoNormal"/>
      </w:pPr>
    </w:p>
    <w:p w:rsidR="00AC56D6" w:rsidRDefault="00AC56D6" w:rsidP="00AC56D6">
      <w:pPr>
        <w:pStyle w:val="TextoNormal"/>
      </w:pPr>
      <w:r>
        <w:lastRenderedPageBreak/>
        <w:t>Se desprende de la transcripción anterior que también en las extinciones con fundamento económico la regla de distribución de cargas probatorias opera con su esquema típico. Nuestra jurisprudencia sobre la prueba indiciaria en el proceso laboral exige al empleador -para que sea rechazada la lesión denunciada por el trabajador- la neutralización del panorama indiciario aportado. La Sentencia aprobada despeja toda duda sobre ese particular: la protección propia de la jurisprudencia sobre prueba indiciaria no varía en función de cuál sea el acto empresarial concernido. Se aplica, sea cual fuere éste, siempre que haya indicios de vulneración de un derecho fundamental. Por tanto, al igual que en decisiones no extintivas —causales o no— o en extinciones no causales o en despidos disciplinarios, al empresario tampoco le bastará acreditar la causa legal que aduce para neutralizar la prueba indiciaria aportada por la parte demandante en supuestos de resolución contractual fundada en causas económicas o, en general, en una causa de carácter objetivo.</w:t>
      </w:r>
    </w:p>
    <w:p w:rsidR="00AC56D6" w:rsidRDefault="00AC56D6" w:rsidP="00AC56D6">
      <w:pPr>
        <w:pStyle w:val="TextoNormal"/>
      </w:pPr>
    </w:p>
    <w:p w:rsidR="00AC56D6" w:rsidRDefault="00AC56D6" w:rsidP="00AC56D6">
      <w:pPr>
        <w:pStyle w:val="TextoNormal"/>
      </w:pPr>
      <w:r>
        <w:t>Expresándolo en otros términos, la carga de la prueba empresarial reside en probar la desconexión del acto con el panorama indiciario, resultado que no depende de la causalidad legal y su calificación jurídica ad casum sino, antes bien, de la desconexión causal entre el acto empresarial y el factor constitucionalmente protegido. Lo afirma de manera cristalina el fundamento jurídico 5: “lo verdaderamente relevante es que el demandado lleve a la convicción del juzgador que las causas que aduce para sustentar la decisión adoptada quedan desligadas y son por completo ajenas al factor protegido”, descartando toda duda cuando concluye que “será ya irrelevante la calificación jurídica que la causa laboral alegada merezca en un prisma de legalidad ordinaria”, o al añadir más tarde “se haya articulado o no correctamente en términos de legalidad ordinaria y con independencia por tanto de su calificación jurídica”.</w:t>
      </w:r>
    </w:p>
    <w:p w:rsidR="00AC56D6" w:rsidRDefault="00AC56D6" w:rsidP="00AC56D6">
      <w:pPr>
        <w:pStyle w:val="TextoNormal"/>
      </w:pPr>
    </w:p>
    <w:p w:rsidR="00AC56D6" w:rsidRDefault="00AC56D6" w:rsidP="00AC56D6">
      <w:pPr>
        <w:pStyle w:val="TextoNormal"/>
      </w:pPr>
      <w:r>
        <w:t>En suma, en el juicio constitucional el examen de la acreditación causal del acto extintivo no es lo relevante; lo es el análisis de la desconexión causal entre ese acto y el derecho fundamental aducido. O expresado en otros términos, la concurrencia de la causa legal sólo excluirá la lesión si su acreditación efectivamente verifica, a la vista de las circunstancias del caso, que no está comprometido el derecho fundamental. Y no siempre será de ese modo, aunque concurra y haya sido probada la causa legal invocada. Lo demás queda en el plano de la legalidad ordinaria, ajeno a este Tribunal y al derecho fundamental de que se trate en cada supuesto de hecho.</w:t>
      </w:r>
    </w:p>
    <w:p w:rsidR="00AC56D6" w:rsidRDefault="00AC56D6" w:rsidP="00AC56D6">
      <w:pPr>
        <w:pStyle w:val="TextoNormal"/>
      </w:pPr>
    </w:p>
    <w:p w:rsidR="00AC56D6" w:rsidRDefault="00AC56D6" w:rsidP="00AC56D6">
      <w:pPr>
        <w:pStyle w:val="TextoNormal"/>
      </w:pPr>
      <w:r>
        <w:t>Establecer una excepción en casos de extinciones por causas económicas, como la aquí enjuiciada, aceptando que la acreditación del motivo extintivo aducido (causa legal) excluye automáticamente la hipótesis de la lesión indiciariamente probada, quebraría notoriamente aquella doctrina y aquel esquema de distribución de cargas probatorias. Me parece destacable que, tras los intensos debates en el Pleno, la mayoría no ha acogido esa tesis y, en cambio, ha mantenido una doctrina —la de la prueba indiciaria en el proceso laboral— de marcada naturaleza tuitiva, tan necesaria en escenarios en los que hacer aflorar la lesión subyacente, cuando concurre, es una realidad de prueba extremadamente compleja (STC 171/2003, de 29 de septiembre, FJ 2).</w:t>
      </w:r>
    </w:p>
    <w:p w:rsidR="00AC56D6" w:rsidRDefault="00AC56D6" w:rsidP="00AC56D6">
      <w:pPr>
        <w:pStyle w:val="TextoNormal"/>
      </w:pPr>
    </w:p>
    <w:p w:rsidR="00AC56D6" w:rsidRDefault="00AC56D6" w:rsidP="00AC56D6">
      <w:pPr>
        <w:pStyle w:val="TextoNormal"/>
      </w:pPr>
      <w:r>
        <w:t>La Sentencia, desde ese prisma doctrinal, no ofrece novedades y es tal ausencia de innovación la que merece distinguirse.</w:t>
      </w:r>
    </w:p>
    <w:p w:rsidR="00AC56D6" w:rsidRDefault="00AC56D6" w:rsidP="00AC56D6">
      <w:pPr>
        <w:pStyle w:val="TextoNormal"/>
      </w:pPr>
    </w:p>
    <w:p w:rsidR="00AC56D6" w:rsidRDefault="00AC56D6" w:rsidP="00AC56D6">
      <w:pPr>
        <w:pStyle w:val="TextoNormal"/>
      </w:pPr>
      <w:r>
        <w:lastRenderedPageBreak/>
        <w:t>3. Mi discrepancia, entonces, se contrae a la solución del caso. La Sentencia aprobada trae a colación para resolver sobre la pretendida lesión subjetiva lo reseñado por la empresa en la comunicación de la extinción contractual. Se hacía constar en la carta entregada a la trabajadora la grave situación económica tras la drástica reducción de sus fuentes de financiación y las pérdidas acumuladas, así como la necesidad de recortar en gastos de personal para asegurar el mantenimiento de los servicios asistenciales que constituyen su fin. Y se indicaba adicionalmente que, ante las circunstancias reseñadas, acordó en 2011 reducir los costes salariales, poniendo de manifiesto a renglón seguido la resistencia de la recurrente en amparo a aceptar su propuesta, oponiéndose a la reducción de jornada y proporcional de salario (de siete a dos horas diarias) al punto de impugnar la decisión adoptada por la empleadora en octubre de 2011, e insistiendo después en dicha posición, tras la conciliación en dicho procedimiento, cuando se le propuso una solución de menor impacto (reducción de la jornada a cuatro horas).</w:t>
      </w:r>
    </w:p>
    <w:p w:rsidR="00AC56D6" w:rsidRDefault="00AC56D6" w:rsidP="00AC56D6">
      <w:pPr>
        <w:pStyle w:val="TextoNormal"/>
      </w:pPr>
    </w:p>
    <w:p w:rsidR="00AC56D6" w:rsidRDefault="00AC56D6" w:rsidP="00AC56D6">
      <w:pPr>
        <w:pStyle w:val="TextoNormal"/>
      </w:pPr>
      <w:r>
        <w:t>A juicio de la mayoría, esa causa económica invariablemente alegada por la empresa (tanto en el momento modificativo como en el resolutorio del contrato) se tradujo en un acto extintivo sólo porque no se logró alcanzar con la trabajadora un acuerdo que concertara una medida menos gravosa, ni antes ni después de la conciliación judicial, ni con una reducción mayor ni menor de la jornada y el salario. En opinión del Pleno, se revelaría, pues, que la causa legal acreditada y habilitante de la extinción no se empleó como reacción frente al previo ejercicio de acciones sino, antes bien, porque no fue posible llegar a una solución menos perjudicial para la trabajadora y eficaz al mismo tiempo para paliar la crisis económica que la empresa sufría, de modo coincidente con la línea de actuación seguida con el resto de la plantilla. Así pues, desde el estricto juicio constitucional que nos compete, la Sentencia de la que discrepo concluye que la empresa logró probar que su acto estaba desvinculado del ejercicio previo de acciones judiciales, y con ello de la garantía de indemnidad (art. 24.1 CE), quedando exclusivamente motivado por la necesidad de garantizar la viabilidad económica de la actividad y fines de la organización.</w:t>
      </w:r>
    </w:p>
    <w:p w:rsidR="00AC56D6" w:rsidRDefault="00AC56D6" w:rsidP="00AC56D6">
      <w:pPr>
        <w:pStyle w:val="TextoNormal"/>
      </w:pPr>
    </w:p>
    <w:p w:rsidR="00AC56D6" w:rsidRDefault="00AC56D6" w:rsidP="00AC56D6">
      <w:pPr>
        <w:pStyle w:val="TextoNormal"/>
      </w:pPr>
      <w:r>
        <w:t>A mi criterio, esa lógica de enjuiciamiento omite el discurrir de los acontecimientos; en concreto: soslaya la falta de justificación solvente del cambio de criterio de la empleadora en un periodo tan breve de tiempo. Justificación solvente del cambio de criterio —valga recordarlo según lo más atrás señalado— equivale aquí a acreditar que el acto extintivo se presenta “desvinculado por completo del previo ejercicio de acciones”, pues a la conexión causal de lo uno (el acto empresarial) y lo otro (el factor constitucionalmente protegido —el ejercicio de acciones—) es a lo que pone freno la garantía de indemnidad del art. 24.1 CE.</w:t>
      </w:r>
    </w:p>
    <w:p w:rsidR="00AC56D6" w:rsidRDefault="00AC56D6" w:rsidP="00AC56D6">
      <w:pPr>
        <w:pStyle w:val="TextoNormal"/>
      </w:pPr>
    </w:p>
    <w:p w:rsidR="00AC56D6" w:rsidRDefault="00AC56D6" w:rsidP="00AC56D6">
      <w:pPr>
        <w:pStyle w:val="TextoNormal"/>
      </w:pPr>
      <w:r>
        <w:t xml:space="preserve">En efecto, pese a que la causa legal extintiva concurre (según declarara la Sala de lo Social del Tribunal Superior de Justicia de Castilla-La Mancha y aceptara incluso el juzgador </w:t>
      </w:r>
      <w:r w:rsidRPr="00AC56D6">
        <w:rPr>
          <w:i/>
        </w:rPr>
        <w:t>a quo</w:t>
      </w:r>
      <w:r>
        <w:t xml:space="preserve"> en su Sentencia estimatoria de la pretensión actora), la empresa no ha logrado acreditar una desconexión causal entre la resolución del contrato y el previo ejercicio de acciones por parte de la recurrente.</w:t>
      </w:r>
    </w:p>
    <w:p w:rsidR="00AC56D6" w:rsidRDefault="00AC56D6" w:rsidP="00AC56D6">
      <w:pPr>
        <w:pStyle w:val="TextoNormal"/>
      </w:pPr>
    </w:p>
    <w:p w:rsidR="00AC56D6" w:rsidRDefault="00AC56D6" w:rsidP="00AC56D6">
      <w:pPr>
        <w:pStyle w:val="TextoNormal"/>
      </w:pPr>
      <w:r>
        <w:t xml:space="preserve">La demostración principal de esa falla es la quiebra argumental en su alegato, que no consigue armonizar con coherencia la secuencia de hechos probados. En efecto, Aspacecire revocó la decisión inicial de reducción de jornada de trabajo con ocasión —incluso antes— </w:t>
      </w:r>
      <w:r>
        <w:lastRenderedPageBreak/>
        <w:t>de la conciliación alcanzada en el primer pleito y, sólo ocho días después, acordó una resolución contractual en la que invocaba la misma situación económica negativa; causa que, al parecer, y en un plazo tan limitado de tiempo, ya no solo hacía necesaria para asegurar la viabilidad de la empresa una reducción de la jornada laboral —que podría haberse articulado en forma a través del cauce del art. 41 LET— sino ahora, repentinamente y precisamente después del ejercicio de acciones, de forma más gravosa, la definitiva extinción del contrato de trabajo.</w:t>
      </w:r>
    </w:p>
    <w:p w:rsidR="00AC56D6" w:rsidRDefault="00AC56D6" w:rsidP="00AC56D6">
      <w:pPr>
        <w:pStyle w:val="TextoNormal"/>
      </w:pPr>
    </w:p>
    <w:p w:rsidR="00AC56D6" w:rsidRDefault="00AC56D6" w:rsidP="00AC56D6">
      <w:pPr>
        <w:pStyle w:val="TextoNormal"/>
      </w:pPr>
      <w:r>
        <w:t>Carece pues de toda fundamentación razonable apreciar la desconexión causal entre el acto extintivo y el factor constitucionalmente protegido, como hace la Sentencia. No hay prueba aportada, ni siquiera alegato empresarial, que permita concebir tal desenlace, señaladamente cuando la propia carta extintiva no contenía ninguna referencia a causas objetivas sobrevenidas o previamente no atendidas que habilitasen la extinción. En otras palabras, no se razona ni se prueba contra el panorama indiciario; esto es, no se justifica causalmente (tampoco en términos de coherencia fáctica) que muy poco tiempo antes de la extinción del contrato se ordenase a la trabajadora una reducción de jornada y que una vez producido el desistimiento de la acción ejercitada por modificación sustancial de condiciones de trabajo se estimase que la situación económica no permitía a Aspacecire mantener los servicios de la empleada (ni siete ni cuatro ni dos horas por jornada, canalizándolo en su caso a través de la regulación del art. 41 LET). Todo lo razonado, acontece, en suma, en un caso en el que la empleadora no aporta ningún elemento novedoso en los dos momentos sucesivos (modificativo y extintivo), no concurriendo ningún factor que muestre una agravación de la situación de crisis previa o una razón distinta que dote de fundamento a su cambio de criterio.</w:t>
      </w:r>
    </w:p>
    <w:p w:rsidR="00AC56D6" w:rsidRDefault="00AC56D6" w:rsidP="00AC56D6">
      <w:pPr>
        <w:pStyle w:val="TextoNormal"/>
      </w:pPr>
    </w:p>
    <w:p w:rsidR="00AC56D6" w:rsidRDefault="00AC56D6" w:rsidP="00AC56D6">
      <w:pPr>
        <w:pStyle w:val="TextoNormal"/>
      </w:pPr>
      <w:r>
        <w:t>Por consiguiente, analizada la cuestión con esta perspectiva, es evidente que los hechos apuntados en la demanda de amparo, que cuentan con suficiente respaldo en el relato fáctico de las Sentencias dictadas en el proceso judicial, resultan suficientes para considerar verificada la vinculación entre la acción judicial previa ejercida por la trabajadora frente a la empresa para la que prestaba servicios y la sucesiva extinción de su contrato de trabajo, en particular si se tienen en cuenta la conexión temporal existente entre la demanda judicial y el acto extintivo (SSTC 125/2008, de 20 de octubre, FJ 4, o 140/2014, de 11 de septiembre, FJ 8) y la ausencia de cualquier otro elemento ajeno al conflicto sobre las condiciones de trabajo que pudiera explicar la decisión resolutoria que no se estimaba imprescindible pocos días antes.</w:t>
      </w:r>
    </w:p>
    <w:p w:rsidR="00AC56D6" w:rsidRDefault="00AC56D6" w:rsidP="00AC56D6">
      <w:pPr>
        <w:pStyle w:val="TextoNormal"/>
      </w:pPr>
    </w:p>
    <w:p w:rsidR="00AC56D6" w:rsidRDefault="00AC56D6" w:rsidP="00AC56D6">
      <w:pPr>
        <w:pStyle w:val="TextoNormal"/>
      </w:pPr>
      <w:r>
        <w:t>En definitiva, a la luz del art. 24.1 CE, debería haberse otorgado el amparo interesado.</w:t>
      </w:r>
    </w:p>
    <w:p w:rsidR="00AC56D6" w:rsidRDefault="00AC56D6" w:rsidP="00AC56D6">
      <w:pPr>
        <w:pStyle w:val="TextoNormal"/>
      </w:pPr>
    </w:p>
    <w:p w:rsidR="00AC56D6" w:rsidRDefault="00AC56D6" w:rsidP="00AC56D6">
      <w:pPr>
        <w:pStyle w:val="TextoNormal"/>
      </w:pPr>
      <w:r>
        <w:t>Y en tal sentido emito este Voto particular.</w:t>
      </w:r>
    </w:p>
    <w:p w:rsidR="00AC56D6" w:rsidRDefault="00AC56D6" w:rsidP="00AC56D6">
      <w:pPr>
        <w:pStyle w:val="TextoNormal"/>
      </w:pPr>
    </w:p>
    <w:p w:rsidR="00AC56D6" w:rsidRDefault="00AC56D6" w:rsidP="00AC56D6">
      <w:pPr>
        <w:pStyle w:val="TextoNormal"/>
      </w:pPr>
      <w:r>
        <w:t>Madrid, a diez de septiembre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40" w:name="SENTENCIA_2015_184"/>
      <w:r>
        <w:lastRenderedPageBreak/>
        <w:t>SENTENCIA 184/2015, de 10 de septiembre de 2015</w:t>
      </w:r>
    </w:p>
    <w:bookmarkEnd w:id="40"/>
    <w:p w:rsidR="00AC56D6" w:rsidRDefault="00AC56D6" w:rsidP="00AC56D6">
      <w:pPr>
        <w:pStyle w:val="TtuloResolucin"/>
      </w:pPr>
      <w:r>
        <w:t>Pleno</w:t>
      </w:r>
    </w:p>
    <w:p w:rsidR="00AC56D6" w:rsidRDefault="00AC56D6" w:rsidP="00AC56D6">
      <w:pPr>
        <w:pStyle w:val="TtuloBOE"/>
      </w:pPr>
      <w:r>
        <w:t>(BOE núm. 245, de 13 de octubre de 2015)</w:t>
      </w:r>
    </w:p>
    <w:p w:rsidR="00AC56D6" w:rsidRDefault="00AC56D6" w:rsidP="00AC56D6">
      <w:pPr>
        <w:pStyle w:val="TextoNormalCentrado"/>
      </w:pPr>
      <w:r>
        <w:t>ECLI:ES:TC:2015:184</w:t>
      </w:r>
    </w:p>
    <w:p w:rsidR="00AC56D6" w:rsidRDefault="00AC56D6" w:rsidP="00AC56D6">
      <w:pPr>
        <w:pStyle w:val="TextoNormalCentrado"/>
      </w:pPr>
    </w:p>
    <w:p w:rsidR="00AC56D6" w:rsidRDefault="00AC56D6" w:rsidP="00AC56D6">
      <w:pPr>
        <w:pStyle w:val="SntesisDescriptiva"/>
      </w:pPr>
      <w:r>
        <w:t>Cuestión de inconstitucionalidad 3623-2013. Pleno. Sentencia 184/2015, de 10 de septiembre de 2015. Planteada por la Sala de lo Social del Tribunal Superior de Justicia de Castilla y León, con sede en Valladolid, en relación con el art. 2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y expropiación de derechos económicos: extinción, por pérdida de objeto, de la cuestión de inconstitucionalidad (STC 83/2015).</w:t>
      </w:r>
    </w:p>
    <w:p w:rsidR="00AC56D6" w:rsidRDefault="00AC56D6" w:rsidP="00AC56D6">
      <w:pPr>
        <w:pStyle w:val="SntesisAnaltica"/>
      </w:pPr>
    </w:p>
    <w:p w:rsidR="00AC56D6" w:rsidRDefault="00AC56D6" w:rsidP="00AC56D6">
      <w:pPr>
        <w:pStyle w:val="Extracto"/>
      </w:pPr>
      <w:r>
        <w:t>1.</w:t>
      </w:r>
      <w:r>
        <w:tab/>
        <w:t>El objeto de la cuestión ha desaparecido teniendo en cuenta los términos en los que la duda se plantea y la diferencia entre el procedimiento que está en el origen de la presente cuestión, relativo a la recuperación de la parte proporcional de la paga extraordinaria que fue suprimida por Real Decreto 2/2012, y el proceso constitucional a través del que se ventila la misma, que es el de la cuestión de inconstitucionalidad (STC 222/2012) [FJ 3].</w:t>
      </w:r>
    </w:p>
    <w:p w:rsidR="00AC56D6" w:rsidRDefault="00AC56D6" w:rsidP="00AC56D6">
      <w:pPr>
        <w:pStyle w:val="Extracto"/>
      </w:pPr>
    </w:p>
    <w:p w:rsidR="00AC56D6" w:rsidRDefault="00AC56D6" w:rsidP="00AC56D6">
      <w:pPr>
        <w:pStyle w:val="Extracto"/>
      </w:pPr>
      <w:r>
        <w:t>2.</w:t>
      </w:r>
      <w:r>
        <w:tab/>
        <w:t>Doctrina sobre las posibles causas de terminación extraordinaria de las cuestiones de inconstitucionalidad por pérdida sobrevenida de objeto [FJ 3].</w:t>
      </w:r>
    </w:p>
    <w:p w:rsidR="00AC56D6" w:rsidRDefault="00AC56D6" w:rsidP="00AC56D6">
      <w:pPr>
        <w:pStyle w:val="Extracto"/>
      </w:pPr>
    </w:p>
    <w:p w:rsidR="00AC56D6" w:rsidRDefault="00AC56D6" w:rsidP="00AC56D6">
      <w:pPr>
        <w:pStyle w:val="Extracto"/>
      </w:pPr>
      <w:r>
        <w:t>3.</w:t>
      </w:r>
      <w:r>
        <w:tab/>
        <w:t xml:space="preserve">Cuando la derogación o modificación de una norma determinan que ya no resulte aplicable al proceso </w:t>
      </w:r>
      <w:r w:rsidRPr="00AC56D6">
        <w:rPr>
          <w:i/>
        </w:rPr>
        <w:t xml:space="preserve">a quo </w:t>
      </w:r>
      <w:r>
        <w:t>la norma cuestionada, o que no dependa de su validez la decisión a adoptar en el mismo, se produce la extinción de la cuestión de inconstitucionalidad, por desaparición sobrevenida de su objeto [FJ 3].</w:t>
      </w:r>
    </w:p>
    <w:p w:rsidR="00AC56D6" w:rsidRDefault="00AC56D6" w:rsidP="00AC56D6">
      <w:pPr>
        <w:pStyle w:val="Extracto"/>
      </w:pPr>
    </w:p>
    <w:p w:rsidR="00AC56D6" w:rsidRDefault="00AC56D6" w:rsidP="00AC56D6">
      <w:pPr>
        <w:pStyle w:val="Extracto"/>
      </w:pPr>
      <w:r>
        <w:t>4.</w:t>
      </w:r>
      <w:r>
        <w:tab/>
        <w:t>Las modificaciones sobrevenidas en la relevancia de la norma cuestionada han de influir necesariamente en la suerte del proceso constitucional abierto, pues el constituyente ha configurado la cuestión de inconstitucionalidad en estrecha relación con el proceso judicial en el que la aplicación de la norma cuestionada sea necesaria, hasta el punto de que de su validez dependa el fallo que ha de recaer (SSTC 6/2010, 83/2014) [FJ 3].</w:t>
      </w:r>
    </w:p>
    <w:p w:rsidR="00AC56D6" w:rsidRDefault="00AC56D6" w:rsidP="00AC56D6">
      <w:pPr>
        <w:pStyle w:val="Extracto"/>
      </w:pPr>
    </w:p>
    <w:p w:rsidR="00AC56D6" w:rsidRDefault="00AC56D6" w:rsidP="00AC56D6">
      <w:pPr>
        <w:pStyle w:val="Extracto"/>
      </w:pPr>
      <w:r>
        <w:t>5.</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(STC 6/2010)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 xml:space="preserve">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Garcia, don Juan Antonio Xiol Rios, don Pedro José González-Trevijano </w:t>
      </w:r>
      <w:r>
        <w:lastRenderedPageBreak/>
        <w:t>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3623-2013 planteada por la Sala de lo Social del Tribunal Superior de Justicia de Castilla y León, con sede en Valladolid, en relación con el art. 2 del Real Decreto-ley 20/2012, de 13 de julio, de medidas para garantizar la estabilidad presupuestaria y de fomento de la competitividad, por posible vulneración de los arts. 9.3 y 33.3 CE. Han intervenido y formulado alegaciones el Abogado del Estado, el Fiscal General del Estado y el Director General de los Servicios Jurídicos de la Administración de la Comunidad Autónoma de Castilla y León. Ha sido Ponente la Magistrada doña Encarnación Roca Trías,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día 12 de junio de 2013 tuvo entrada en el Registro General de este Tribunal un oficio de la Sala de lo Social del Tribunal Superior de Justicia de Castilla y León (Valladolid), al que se adjunta testimonio de las actuaciones correspondientes a la demanda de conflicto colectivo presentada por la confederación regional de la Confederación General del Trabajo (CGT)de Castilla y León contra la Administración de la Comunidad Autónoma de Castilla y León y diversos sindicatos.</w:t>
      </w:r>
    </w:p>
    <w:p w:rsidR="00AC56D6" w:rsidRDefault="00AC56D6" w:rsidP="00AC56D6">
      <w:pPr>
        <w:pStyle w:val="TextoNormal"/>
      </w:pPr>
    </w:p>
    <w:p w:rsidR="00AC56D6" w:rsidRDefault="00AC56D6" w:rsidP="00AC56D6">
      <w:pPr>
        <w:pStyle w:val="TextoNormal"/>
      </w:pPr>
      <w:r>
        <w:t>La documentación aportada incluye el Auto de 10 de mayo de 2013, en cuya parte dispositiva, se acuerda plantear cuestión de inconstitucionalidad sobre el art. 2 del Real Decreto-ley 20/2012, de 13 de julio, de medidas para garantizar la estabilidad presupuestaria y de fomento de la competitividad —trasladado al art. 1 del Decreto-ley 1/2012, de 16 de agosto, de la Comunidad Autónoma de Castilla y León de aplicación al personal laboral dependiente de la Administración de la Comunidad Autónoma de Castilla y León— a fin de determinar si ha vulnerado o no el principio de irretroactividad de las disposiciones restrictivas de derechos individuales y de la propiedad privada contemplado en los arts. 9.3 y 33.3 CE.</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son los siguientes:</w:t>
      </w:r>
    </w:p>
    <w:p w:rsidR="00AC56D6" w:rsidRDefault="00AC56D6" w:rsidP="00AC56D6">
      <w:pPr>
        <w:pStyle w:val="TextoNormal"/>
      </w:pPr>
    </w:p>
    <w:p w:rsidR="00AC56D6" w:rsidRDefault="00AC56D6" w:rsidP="00AC56D6">
      <w:pPr>
        <w:pStyle w:val="TextoNormal"/>
      </w:pPr>
      <w:r>
        <w:t xml:space="preserve">a) La confederación regional de la CGT de Castilla y León presentó demanda de conflicto colectivo contra la Administración de la Comunidad Autónoma de Castilla y León y contra diversas organizaciones sindicales. La demanda afecta a todo el personal laboral de la Administración de la Comunidad Autónoma y de sus organismos autónomos, y en ella se solicitaba, como pretensión principal, que se declarara la nulidad de la supresión establecida </w:t>
      </w:r>
      <w:r>
        <w:lastRenderedPageBreak/>
        <w:t>para el devengo de la paga extraordinaria de diciembre de 2012, y, con carácter subsidiario, que se reconociera el derecho a devengar y percibir la parte proporcional de dicha paga correspondiente al período trabajado entre el 1 de junio de 2012 y el 30 de agosto de 2012, que era la fecha de entrada en vigor del Decreto 32/2012, de desarrollo del Decreto-ley autonómico.</w:t>
      </w:r>
    </w:p>
    <w:p w:rsidR="00AC56D6" w:rsidRDefault="00AC56D6" w:rsidP="00AC56D6">
      <w:pPr>
        <w:pStyle w:val="TextoNormal"/>
      </w:pPr>
    </w:p>
    <w:p w:rsidR="00AC56D6" w:rsidRDefault="00AC56D6" w:rsidP="00AC56D6">
      <w:pPr>
        <w:pStyle w:val="TextoNormal"/>
      </w:pPr>
      <w:r>
        <w:t>b) En el acto de la vista, celebrado el día 26 de marzo, la parte actora se ratificó en sus pretensiones. La Administración demandada y el Ministerio Fiscal se opusieron a la demanda. El resto de las organizaciones demandadas se posicionaron a favor de la estimación de la demanda.</w:t>
      </w:r>
    </w:p>
    <w:p w:rsidR="00AC56D6" w:rsidRDefault="00AC56D6" w:rsidP="00AC56D6">
      <w:pPr>
        <w:pStyle w:val="TextoNormal"/>
      </w:pPr>
    </w:p>
    <w:p w:rsidR="00AC56D6" w:rsidRDefault="00AC56D6" w:rsidP="00AC56D6">
      <w:pPr>
        <w:pStyle w:val="TextoNormal"/>
      </w:pPr>
      <w:r>
        <w:t>c) Concluso el procedimiento y dentro del plazo para dictar sentencia, el órgano judicial dictó providencia de 27 de marzo de 2013 por la que acordó oír a las partes y al Ministerio Fiscal para que alegasen sobre la pertinencia de plantear cuestión de inconstitucionalidad en relación con el art. 2 del Real Decreto-ley 20/2012, trasladado posteriormente a la normativa autonómica por Decreto-ley 1/2012, desarrollado por el Decreto autonómico 32/2012. Según señalaba la Sala en la providencia, la duda de constitucionalidad se concretaba en que el citado precepto establece la reducción de las retribuciones en las cuantías que correspondiera percibir en el mes de diciembre de 2012 como consecuencia de la supresión de la paga o gratificación extraordinaria, sin establecer excepción alguna en cuanto a la parte que ya se hubiera devengado a la fecha de su entrada en vigor, el 15 de julio de 2012, lo que, teniendo en cuenta que la jurisprudencia del Tribunal Supremo ha establecido que las gratificaciones extraordinarias constituyen una manifestación del salario diferido y se devengan día a día, podría vulnerar el art. 9.3 CE, que garantiza la irretroactividad de las disposiciones restrictivas de derechos individuales. E igualmente se expresaba la duda de si su aplicación podría vulnerar el art. 33.3 CE, por suponer hipotéticamente la expropiación de derechos económicos, no abonados pero sí incorporados ya al patrimonio de los trabajadores, por devengados.</w:t>
      </w:r>
    </w:p>
    <w:p w:rsidR="00AC56D6" w:rsidRDefault="00AC56D6" w:rsidP="00AC56D6">
      <w:pPr>
        <w:pStyle w:val="TextoNormal"/>
      </w:pPr>
    </w:p>
    <w:p w:rsidR="00AC56D6" w:rsidRDefault="00AC56D6" w:rsidP="00AC56D6">
      <w:pPr>
        <w:pStyle w:val="TextoNormal"/>
      </w:pPr>
      <w:r>
        <w:t>En cumplimiento del trámite de audiencia, la Unión General de Trabajadores informó en el sentido de considerar pertinente el planteamiento de la cuestión de inconstitucionalidad, por vulneración de los arts. 9, 14, 31.1, 33.3 y 133.1 CE. El sindicato Unión Sindical Obrera se mostró igualmente favorable al planteamiento de la cuestión. El sindicato CGT mostró también su acuerdo, señalando que a los arts. 9.3 y 33.3 CE presuntamente vulnerados debía adicionarse el art. 14 CE. En el mismo sentido se manifestó el sindicato Confederación Sindical Independiente de Funcionarios. Finalmente, la Letrada de la Comunidad Autónoma se opuso al planteamiento de la cuestión, por entender, de una parte, insuficientemente formulado el juicio de relevancia en la providencia del trámite de audiencia, y, de otra, que la Sala no imputaba la vulneración de los preceptos constitucionales invocados a las disposiciones legales recurridas, sino a una determinada jurisprudencia, lo que resulta ajeno al mecanismo de la cuestión de inconstitucionalidad.</w:t>
      </w:r>
    </w:p>
    <w:p w:rsidR="00AC56D6" w:rsidRDefault="00AC56D6" w:rsidP="00AC56D6">
      <w:pPr>
        <w:pStyle w:val="TextoNormal"/>
      </w:pPr>
    </w:p>
    <w:p w:rsidR="00AC56D6" w:rsidRDefault="00AC56D6" w:rsidP="00AC56D6">
      <w:pPr>
        <w:pStyle w:val="TextoNormal"/>
      </w:pPr>
      <w:r>
        <w:t xml:space="preserve">d) Por Auto de 10 de mayo de 2013, la Sala de lo Social del Tribunal Superior de Justicia de Castilla y León acordó plantear cuestión de inconstitucionalidad ante el Tribunal Constitucional, a fin de que resuelva si la redacción del art. 2 del Real Decreto-ley 20/2012, de 13 de julio, de medidas para garantizar la estabilidad presupuestaria y de fomento de la competitividad —trasladado al art. 1 del Decreto-ley 1/2012, de 16 de agosto, de la Comunidad de Castilla y León, de aplicación al personal laboral dependiente de la Administración </w:t>
      </w:r>
      <w:r>
        <w:lastRenderedPageBreak/>
        <w:t>de la Comunidad Autónoma de Castilla y León y de los organismos autónomos dependientes de ella—, ha vulnerado o no el principio de irretroactividad de las disposiciones restrictivas de derechos individuales y de la propiedad privada contemplado en los arts. 9.3 y 33.3 CE, por ser dicho precepto aplicable al caso y depender el fallo de su validez, no siendo posible acomodarlo al ordenamiento constitucional por otra vía interpretativa.</w:t>
      </w:r>
    </w:p>
    <w:p w:rsidR="00AC56D6" w:rsidRDefault="00AC56D6" w:rsidP="00AC56D6">
      <w:pPr>
        <w:pStyle w:val="TextoNormal"/>
      </w:pPr>
    </w:p>
    <w:p w:rsidR="00AC56D6" w:rsidRDefault="00AC56D6" w:rsidP="00AC56D6">
      <w:pPr>
        <w:pStyle w:val="TextoNormal"/>
      </w:pPr>
      <w:r w:rsidRPr="00AC56D6">
        <w:rPr>
          <w:rStyle w:val="NumeroAFNegritaCaracter"/>
        </w:rPr>
        <w:t>3</w:t>
      </w:r>
      <w:r>
        <w:t>. El Auto de 10 de mayo de 2013, de la Sala de lo Social del Tribunal Superior de Justicia de Castilla y León considera que el art. 2 del Real Decreto-ley 20/2012 podría vulnerar el art. 9.3 CE, que garantiza la irretroactividad de las disposiciones restrictivas de derechos individuales, y el art. 33.3 CE, por suponer una expropiación legislativa de derechos, por las razones que a continuación se sintetizan:</w:t>
      </w:r>
    </w:p>
    <w:p w:rsidR="00AC56D6" w:rsidRDefault="00AC56D6" w:rsidP="00AC56D6">
      <w:pPr>
        <w:pStyle w:val="TextoNormal"/>
      </w:pPr>
    </w:p>
    <w:p w:rsidR="00AC56D6" w:rsidRDefault="00AC56D6" w:rsidP="00AC56D6">
      <w:pPr>
        <w:pStyle w:val="TextoNormal"/>
      </w:pPr>
      <w:r>
        <w:t>a) Tras precisar los antecedentes de hecho del planteamiento de la cuestión y trascribir el art. 2 del Real Decreto-ley 20/2012, señala la Sala que está claro que tal disposición suprime la percepción de la paga extraordinaria del mes de diciembre del año 2012 para el personal laboral del sector público, y que lo hace a partir de su entrada en vigor (15 de julio de 2012), sin precisar el legislador excepciones por derechos ya devengados. Pues bien, atendiendo a la consolidada jurisprudencia, según la cual las pagas extraordinarias son salario diferido y se devengan día a día, aquélla norma podría considerarse contraria art. 9.3 CE, que garantiza la irretroactividad de las disposiciones restrictivas de derechos individuales y la seguridad jurídica, puesto que se estaría suprimiendo el derecho ya generado a percibir la parte proporcional de la paga extraordinaria devengada antes de la entrada en vigor de la norma con rango de ley. E igualmente al art. 33.3 CE, en cuanto que establece que nadie podrá ser privado de sus bienes y derechos sino por causa justificada de utilidad pública o interés social, mediante la correspondiente indemnización, de conformidad con lo dispuesto en las leyes, dado que se priva a los trabajadores de un bien que ya había entrado a formar parte de su patrimonio. Expuesto lo anterior, indica que la norma cuyo ajuste constitucional se cuestiona es determinante para el resultado del litigio y no admite una interpretación que lo acomode al texto constitucional, dado que una de las pretensiones formuladas en la demanda es, justamente, que se mantenga incólume la percepción de la parte ya devengada de la paga extraordinaria de diciembre de 2012 a pesar de lo dispuesto en el citado art. 2.</w:t>
      </w:r>
    </w:p>
    <w:p w:rsidR="00AC56D6" w:rsidRDefault="00AC56D6" w:rsidP="00AC56D6">
      <w:pPr>
        <w:pStyle w:val="TextoNormal"/>
      </w:pPr>
    </w:p>
    <w:p w:rsidR="00AC56D6" w:rsidRDefault="00AC56D6" w:rsidP="00AC56D6">
      <w:pPr>
        <w:pStyle w:val="TextoNormal"/>
      </w:pPr>
      <w:r>
        <w:t>Tras hacer referencia a las alegaciones realizadas por las partes en el trámite de audiencia, considera la Sala que, tras ellas, subsiste la duda de inconstitucionalidad, discrepando, en particular, del criterio mantenido por la Letrado de la Comunidad Autónoma, por considerar que la providencia de 27 de marzo de 2013 fue acorde a lo dispuesto en el art. 35 de la Ley Orgánica del Tribunal Constitucional (LOTC).</w:t>
      </w:r>
    </w:p>
    <w:p w:rsidR="00AC56D6" w:rsidRDefault="00AC56D6" w:rsidP="00AC56D6">
      <w:pPr>
        <w:pStyle w:val="TextoNormal"/>
      </w:pPr>
    </w:p>
    <w:p w:rsidR="00AC56D6" w:rsidRDefault="00AC56D6" w:rsidP="00AC56D6">
      <w:pPr>
        <w:pStyle w:val="TextoNormal"/>
      </w:pPr>
      <w:r>
        <w:t xml:space="preserve">b) Sintetiza seguidamente el Auto la doctrina constitucional sobre la prohibición de retroactividad de las disposiciones sancionadoras no favorables o restrictivas de derechos individuales prevista en el art. 9.3 CE, e indica que, conforme a ella, sólo puede afirmarse que una norma es retroactiva a los efectos del citado precepto cuando incide sobre “relaciones consagradas” y afecta a “situaciones agotadas”. El espíritu restrictivo que impregna el art. 9.3 CE queda plasmado en la Sentencia del Tribunal Constitucional de 20 de abril de 2009, que ha aclarado que la referencia de ese precepto constitucional a la “restricción de derechos individuales” ha de entenderse referida a las limitaciones introducidas en el ámbito de los derechos fundamentales y de las libertades públicas. A la vista de lo anterior, lo primero que </w:t>
      </w:r>
      <w:r>
        <w:lastRenderedPageBreak/>
        <w:t>hay que preguntarse es si estamos ante un derecho individual en el sentido apuntado desde esa consideración restrictiva, lo que entiende la Sala que merece una respuesta positiva. Indica, en tal sentido, que los derechos retributivos, consagrados en el art. 35 CE, pertenecen a esa esfera general de protección de la persona y que el texto constitucional reconoce el derecho a la remuneración suficiente, lo que, en principio se correspondería sólo con el salario mínimo interprofesional, pero también el derecho al trabajo, siendo una de las notas esenciales su carácter remunerado. Partiendo de ese enfoque, el Tribunal Constitucional ha venido admitiendo con naturalidad su encaje en el supuesto de hecho del art. 9.3 CE, incluso ante normas que, como la de ahora, se inspiran en la finalidad de la contención del gasto público mediante la reducción retributiva. En este sentido, cita la Sentencia de 15 de diciembre de 2005, en la que se niega que la regulación de la retribución para el personal de una Administración autonómica vulnere el art. 9.3 CE pero por motivos distintos a su no consideración como derechos individuales a los que alude el precepto, y el Auto 162/2012, de 13 de septiembre, que rechaza que la reducción de las retribuciones impuesta legalmente afecte al art. 9.3 CE, pero no por no tratarse de derechos individuales protegibles sino por no poseer efectos retroactivos al examinarse una regulación pro futuro. Es decir, si la reducción retributiva afectara a derechos ya devengados, el principio de interdicción de retroactividad podría desplegar efectos sobre ella, tal como sugiere el Tribunal. A la vista de todo ello, se considera que en el caso de autos se cumple el presupuesto básico del art. 9.3 CE, esto es, que nos encontremos ante derechos individuales amparables por el principio de interdicción de retroactividad.</w:t>
      </w:r>
    </w:p>
    <w:p w:rsidR="00AC56D6" w:rsidRDefault="00AC56D6" w:rsidP="00AC56D6">
      <w:pPr>
        <w:pStyle w:val="TextoNormal"/>
      </w:pPr>
    </w:p>
    <w:p w:rsidR="00AC56D6" w:rsidRDefault="00AC56D6" w:rsidP="00AC56D6">
      <w:pPr>
        <w:pStyle w:val="TextoNormal"/>
      </w:pPr>
      <w:r>
        <w:t xml:space="preserve">c) Seguidamente analiza si el art. 2 del Real Decreto-ley 20/2012, al establecer la supresión de la paga extraordinaria de diciembre de 2012 para el personal laboral del sector público, supone una retroactividad prohibida por el art. 9.3 CE, esto es, la que incide sobre los efectos jurídicos ya producidos al amparo de una norma anteriormente vigente. Para ello, considera preciso determinar si el derecho a la paga extraordinaria estaba ya consolidado, asumido e integrado en el patrimonio de los trabajadores cuando entró en vigor el Real Decreto-ley citado, o, por el contrario, se trataba de una expectativa de derecho, o de un derecho futuro o condicionado. Pues bien, dado que la regulación legal de las pagas extraordinarias no ofrece respuesta a este interrogante, ya que se limita a fijar el momento de su percepción, se ha de tener en cuenta la jurisprudencia del Tribunal Supremo, que configura la paga mencionada como de devengo diario y de cobro aplazado (se citan, SSTS de 4 de abril de 2008, 21 de abril de 2010,4 de noviembre de 2010, 5 de noviembre de 2010, 21 de diciembre de 2010, y 10 de marzo de 2011). La Sala se pregunta si la posible inconstitucionalidad del art. 2 del Real Decreto-ley 20/2012 puede operar tomando como referencia un criterio jurisprudencial y se llega a la conclusión de que la configuración normativa del derecho a las pagas extraordinarias se ve complementada por su configuración jurisprudencial, por lo que ha de ser así. Se destaca a este respecto que no estamos ante un pronunciamiento aislado de un tribunal menor, sino ante jurisprudencia, y que, además, ha sido dictada en unificación de doctrina. Por ello, el criterio del Tribunal Supremo sobre el devengo diario de la paga extraordinaria se alza con valor normativo complementario, de modo que forma una unidad con la ley como parámetro de la inconstitucionalidad del art. 2 cuestionado. Teniendo en cuenta todo lo anterior, señala que estamos ante un derecho que se genera día a día, incorporándose como tal al acervo patrimonial de los trabajadores, y que, en el caso examinado, al ser la paga extra de diciembre de 2012 de devengo semestral anterior a la </w:t>
      </w:r>
      <w:r>
        <w:lastRenderedPageBreak/>
        <w:t>fecha de entrada en vigor del Real Decreto-ley 20/2012 ésta ya se había devengado y generado el derecho en parte a su percibo, que, sin embargo, el art. 2 de la norma suprime, operando una retroactividad auténtica o de grado máximo.</w:t>
      </w:r>
    </w:p>
    <w:p w:rsidR="00AC56D6" w:rsidRDefault="00AC56D6" w:rsidP="00AC56D6">
      <w:pPr>
        <w:pStyle w:val="TextoNormal"/>
      </w:pPr>
    </w:p>
    <w:p w:rsidR="00AC56D6" w:rsidRDefault="00AC56D6" w:rsidP="00AC56D6">
      <w:pPr>
        <w:pStyle w:val="TextoNormal"/>
      </w:pPr>
      <w:r>
        <w:t>d) Llegados a este punto, señala el Auto, el siguiente paso a examinar es si esa retroactividad carece de justificación habilitante, pues pueden concurrir exigencias cualificadas del bien común que podrían imponerse excepcionalmente (cita la STC 19 de noviembre de 1992). La necesidad de reducir el déficit público, que inspira la norma cuestionada, constituiría ese objetivo de procurar el bien común y proteger el interés general, lo que permitiría exceptuar la interdicción de retroactividad. Discrepa la Sala con esta conclusión, en tanto entiende que la excepción a la irretroactividad recogida en la doctrina constitucional debe interpretarse de forma restrictiva y que no cabe extenderla a toda medida de interés general. En definitiva, considera que la reducción del déficit público puede justificar muchas cosas, pero no reúne la nota de cualificación absolutamente excepcional que sería necesaria para sacrificar el principio constitucional de seguridad jurídica que sustenta la irretroactividad, en aras del bien común, y que es el interés general lo que se ataca cuando se niega, a quienes han prestado sus servicios, el derecho a percibir el salario correspondiente. Hace referencia, igualmente, a algunos pronunciamientos del Tribunal Europeo de Derechos Humanos en los que se considera que se mantiene una concepción realmente cualificada del “interés general”, y se señala que no se considera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ciudadanos.</w:t>
      </w:r>
    </w:p>
    <w:p w:rsidR="00AC56D6" w:rsidRDefault="00AC56D6" w:rsidP="00AC56D6">
      <w:pPr>
        <w:pStyle w:val="TextoNormal"/>
      </w:pPr>
    </w:p>
    <w:p w:rsidR="00AC56D6" w:rsidRDefault="00AC56D6" w:rsidP="00AC56D6">
      <w:pPr>
        <w:pStyle w:val="TextoNormal"/>
      </w:pPr>
      <w:r>
        <w:t>e) Finalmente, la Sala se plantea la posibilidad de que estemos ante una expropiación legislativa de derechos, concluyendo que, dada la fecha de publicación del Real Decreto-ley 20/2012, ya se había devengado una parte de la paga extra correspondiente a diciembre de 2012 y, por tanto, ya había pasado a formar parte del patrimonio de los trabajadores afectados por el conflicto, por lo que, el no reconocimiento de dicha parte, además de poder vulnerar el art. 9.3 CE, podría también vulnerar el 33.3 CE, por suponer la expropiación de aquello que ya ha pasado a formar parte del patrimonio de los trabajadores.</w:t>
      </w:r>
    </w:p>
    <w:p w:rsidR="00AC56D6" w:rsidRDefault="00AC56D6" w:rsidP="00AC56D6">
      <w:pPr>
        <w:pStyle w:val="TextoNormal"/>
      </w:pPr>
    </w:p>
    <w:p w:rsidR="00AC56D6" w:rsidRDefault="00AC56D6" w:rsidP="00AC56D6">
      <w:pPr>
        <w:pStyle w:val="TextoNormal"/>
      </w:pPr>
      <w:r w:rsidRPr="00AC56D6">
        <w:rPr>
          <w:rStyle w:val="NumeroAFNegritaCaracter"/>
        </w:rPr>
        <w:t>4</w:t>
      </w:r>
      <w:r>
        <w:t>. El Pleno de este Tribunal, a propuesta de la Sección Primera, acordó admitir a trámite la cuestión mediante providencia de 10 de septiembre de 2013 y reservarse para sí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Castilla y León con sede en Valladolid, a fin de que, de conformidad con lo dispuesto en el art. 35 LOTC, permaneciese suspendido el proceso hasta que este Tribunal resolviese efectivamente la cuestión, y publicar la incoación de la cuestión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xml:space="preserve">. Por escrito registrado el 24 de septiembre de 2013, el Presidente del Congreso de los Diputados comunicó a este Tribunal la decisión de la Mesa de que se diera por personada a </w:t>
      </w:r>
      <w:r>
        <w:lastRenderedPageBreak/>
        <w:t>la Cámara y por ofrecida su colaboración a los efectos del art. 88.1 LOTC. Lo mismo hizo el Presidente del Senado, mediante escrito registrado el 25 de septiembre de 2013.</w:t>
      </w:r>
    </w:p>
    <w:p w:rsidR="00AC56D6" w:rsidRDefault="00AC56D6" w:rsidP="00AC56D6">
      <w:pPr>
        <w:pStyle w:val="TextoNormal"/>
      </w:pPr>
    </w:p>
    <w:p w:rsidR="00AC56D6" w:rsidRDefault="00AC56D6" w:rsidP="00AC56D6">
      <w:pPr>
        <w:pStyle w:val="TextoNormal"/>
      </w:pPr>
      <w:r w:rsidRPr="00AC56D6">
        <w:rPr>
          <w:rStyle w:val="NumeroAFNegritaCaracter"/>
        </w:rPr>
        <w:t>6</w:t>
      </w:r>
      <w:r>
        <w:t>. El Abogado del Estado, mediante escrito de alegaciones registrado el 30 de septiembre de 2013, se personó interesando la desestimación de la cuestión de inconstitucionalidad por las razones que, resumidamente, se exponen a continuación.</w:t>
      </w:r>
    </w:p>
    <w:p w:rsidR="00AC56D6" w:rsidRDefault="00AC56D6" w:rsidP="00AC56D6">
      <w:pPr>
        <w:pStyle w:val="TextoNormal"/>
      </w:pPr>
    </w:p>
    <w:p w:rsidR="00AC56D6" w:rsidRDefault="00AC56D6" w:rsidP="00AC56D6">
      <w:pPr>
        <w:pStyle w:val="TextoNormal"/>
      </w:pPr>
      <w:r>
        <w:t>Comienza señalando que aunque el Auto de planteamiento cuestiona la totalidad del extenso art. 2 del Real Decreto-ley 20/2012, sin embargo se refiere en realidad solo al apartado 2.2 del art. 2, es decir, a la aplicación de la supresión de la paga extraordinaria de diciembre al personal laboral de las Administraciones públicas.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precepto, sino simplemente la de imponer al legislador, con respecto a su libertad de configuración, el establecimiento de una expresa excepción a la supresión de la paga extraordinaria de Navidad, es decir, la correspondiente a la parte proporcional de los días 1 de junio a 15 de julio de 2012.</w:t>
      </w:r>
    </w:p>
    <w:p w:rsidR="00AC56D6" w:rsidRDefault="00AC56D6" w:rsidP="00AC56D6">
      <w:pPr>
        <w:pStyle w:val="TextoNormal"/>
      </w:pPr>
    </w:p>
    <w:p w:rsidR="00AC56D6" w:rsidRDefault="00AC56D6" w:rsidP="00AC56D6">
      <w:pPr>
        <w:pStyle w:val="TextoNormal"/>
      </w:pPr>
      <w:r>
        <w:t>Niega que nos encontremos ante una “disposición sancionadora no favorable o restrictiva de derechos individuales” en el sentido del art. 9.3 CE. El derecho a una remuneración suficiente (art. 35.1 CE) no comprende el derecho al “mantenimiento” de una determinada retribución con independencia de la coyuntura económica, ni permite afirmar que una reducción salarial es una norma constitucionalmente restrictiva de derechos en el sentido del art. 9.3 CE. Tampoco establece una retroactividad proscrita por el art. 9.3 CE, la “auténtica o de grado máximo” (que supone la incidencia sobre relaciones consagradas y afecta a situaciones agotadas). Según el Auto de planteamiento, la cuestión radica en determinar si el derecho a la paga extraordinaria de Navidad, en cantidad proporcional a los días 1 al 15 de julio, estaba ya consolidado, asumido e integrado en el patrimonio de los trabajadores cuando entró en vigor el Real Decreto-ley 20/2012, o si, por el contrario, se trataba de una expectativa de derecho o de un derecho futuro o condicionado, que la Sala resuelve con invocación de la jurisprudencia. Pero la interpretación jurisprudencial de un precepto legal no puede erigirse en parámetro de constitucionalidad de otra norma de rango legal, siendo la jurisprudencia la que tiene que adaptarse a lo que disponga el legislador. De acuerdo con el art. 2 del Real Decreto-ley 20/2012,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cuya doctrina es perfectamente trasladable a la cuestión aquí suscitada.</w:t>
      </w:r>
    </w:p>
    <w:p w:rsidR="00AC56D6" w:rsidRDefault="00AC56D6" w:rsidP="00AC56D6">
      <w:pPr>
        <w:pStyle w:val="TextoNormal"/>
      </w:pPr>
    </w:p>
    <w:p w:rsidR="00AC56D6" w:rsidRDefault="00AC56D6" w:rsidP="00AC56D6">
      <w:pPr>
        <w:pStyle w:val="TextoNormal"/>
      </w:pPr>
      <w:r>
        <w:lastRenderedPageBreak/>
        <w:t>Aún en el caso de que se considerase que la norma supone una retroactividad auténtica, concurrirían excepcionales circunstancias de interés público que la justificarían. Recuerda que de conformidad con la doctrina constitucional y con la del Tribunal de Justicia de la Unión Europa, pueden reputarse conformes a la Constitución modificaciones con cualquier grado de retroactividad cuando existieran claras exigencias de “interés general”.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 En tal sentido, se hace referencia a lo indicado al respecto en la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AC56D6" w:rsidRDefault="00AC56D6" w:rsidP="00AC56D6">
      <w:pPr>
        <w:pStyle w:val="TextoNormal"/>
      </w:pPr>
    </w:p>
    <w:p w:rsidR="00AC56D6" w:rsidRDefault="00AC56D6" w:rsidP="00AC56D6">
      <w:pPr>
        <w:pStyle w:val="TextoNormal"/>
      </w:pPr>
      <w:r>
        <w:t>No comparte el Abogado del Estado que el Auto de planteamiento trate de restringir los supuestos en los que procede limitar el principio de irretroactividad y de seguridad jurídica al identificar el “bien común” con “los grandes valores que cohesionan la sociedad” o con “los derechos fundamentales”, considerando, de esta manera, que la reducción del déficit no constituye un bien común. Entiende que tal postura chocaría con la doctrina constitucional que ha señalado que basta la concurrencia de cualificadas exigencias “del bien común o de interés general” para admitir tales restricciones, “razón por la cual, pueden reputarse conforme a la Constitución modificaciones con cualquier grado de retroactividad cuando existieran claras exigencias de interés general”, por ejemplo, para evitar operaciones de elusión fiscal. Niega que las Sentencias del Tribunal Europeo de Derechos Humanos citadas por el Auto de planteamiento puedan servir para avalar la tesis mantenida en el mismo, ya que, a diferencia de lo que ocurre en el presente caso, en tales supuestos se alegaron intereses difusos para proceder a la aplicación retroactiva de una medida que no estaba justificada desde la perspectiva de la proporcionalidad. En realidad no asistimos a una reducción del sueldo de los empleados públicos, sino a una “congelación” de la paga extra de diciembre con previsión de su devolución mediante su aportación a planes de pensiones en un horizonte no lejano (2015), eso sí, en función de las necesidades y del equilibrio presupuestario. En definitiva, concluye diciendo que ante el interés público que se trata de atender, resulta absolutamente proporcionado que únicamente se exija como sacrificio a los empleados públicos el aplazamiento temporal del abono de la parte proporcional de la paga extraordinaria correspondiente a los días 1 a 14 de julio, que es lo único que se discute en la presente cuestión de inconstitucionalidad. Por todo ello, defiende la desestimación de la cuestión.</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7</w:t>
      </w:r>
      <w:r>
        <w:t>. El Fiscal General del Estado presentó escrito de alegaciones ante este Tribunal el 14 de octubre de 2013, interesando la estimación de la presente cuestión de inconstitucionalidad.</w:t>
      </w:r>
    </w:p>
    <w:p w:rsidR="00AC56D6" w:rsidRDefault="00AC56D6" w:rsidP="00AC56D6">
      <w:pPr>
        <w:pStyle w:val="TextoNormal"/>
      </w:pPr>
    </w:p>
    <w:p w:rsidR="00AC56D6" w:rsidRDefault="00AC56D6" w:rsidP="00AC56D6">
      <w:pPr>
        <w:pStyle w:val="TextoNormal"/>
      </w:pPr>
      <w:r>
        <w:t>Coincidiendo con lo expuesto en el Auto de planteamiento considera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AC56D6" w:rsidRDefault="00AC56D6" w:rsidP="00AC56D6">
      <w:pPr>
        <w:pStyle w:val="TextoNormal"/>
      </w:pPr>
    </w:p>
    <w:p w:rsidR="00AC56D6" w:rsidRDefault="00AC56D6" w:rsidP="00AC56D6">
      <w:pPr>
        <w:pStyle w:val="TextoNormal"/>
      </w:pPr>
      <w:r>
        <w:t>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v. Hungría), que declaró la vulneración del art. 1 del protocolo núm. 1 anexo al convenio por un acto de privación de la cuantía de una indemnización, por cese a una funcionaria, cantidad devengada pero no percibida,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w:t>
      </w:r>
      <w:r>
        <w:lastRenderedPageBreak/>
        <w:t>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t>El Fiscal General del Estado concluye sus alegaciones precisando que en el Auto de planteamiento no se cuestiona todo el art. 2 del Real Decreto-ley 20/2012, sino sólo su apartado 2.2, ya que es el que resulta aplicable para resolver el pleito sometido al conocimiento de la Sala de lo Social, referido en exclusiva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en caso de una declaración de inconstitucionalidad, el efecto habría de limitarse al período ya mencionado comprendido entre las fechas del 1 y el 14 de julio de 2012.</w:t>
      </w:r>
    </w:p>
    <w:p w:rsidR="00AC56D6" w:rsidRDefault="00AC56D6" w:rsidP="00AC56D6">
      <w:pPr>
        <w:pStyle w:val="TextoNormal"/>
      </w:pPr>
    </w:p>
    <w:p w:rsidR="00AC56D6" w:rsidRDefault="00AC56D6" w:rsidP="00AC56D6">
      <w:pPr>
        <w:pStyle w:val="TextoNormal"/>
      </w:pPr>
      <w:r w:rsidRPr="00AC56D6">
        <w:rPr>
          <w:rStyle w:val="NumeroAFNegritaCaracter"/>
        </w:rPr>
        <w:t>8</w:t>
      </w:r>
      <w:r>
        <w:t>. El 25 de abril de 2014 el Director de los Servicios Jurídicos de la Administración de la Comunidad Autónoma de Castilla y León, en la representación que ostenta, presenta un escrito en el que considera que el objeto de la cuestión se extiende también al art. 1 del Decreto-ley 1/2012, de 16 de agosto, de la Comunidad de Castilla y León, sin que exista pronunciamiento del Tribunal en sentido contrario, razón por la que solicita la subsanación del error padecido en la providencia de admisión a trámite de la cuestión, así como que se le tenga por comparecido y parte, a los efectos previstos en el art. 37.3 LOTC.</w:t>
      </w:r>
    </w:p>
    <w:p w:rsidR="00AC56D6" w:rsidRDefault="00AC56D6" w:rsidP="00AC56D6">
      <w:pPr>
        <w:pStyle w:val="TextoNormal"/>
      </w:pPr>
    </w:p>
    <w:p w:rsidR="00AC56D6" w:rsidRDefault="00AC56D6" w:rsidP="00AC56D6">
      <w:pPr>
        <w:pStyle w:val="TextoNormal"/>
      </w:pPr>
      <w:r w:rsidRPr="00AC56D6">
        <w:rPr>
          <w:rStyle w:val="NumeroAFNegritaCaracter"/>
        </w:rPr>
        <w:t>9</w:t>
      </w:r>
      <w:r>
        <w:t>. Por providencia del Pleno de 15 de julio de 2014 se acordó unir a las actuaciones el escrito del Director de los servicios jurídicos de la Administración de la Comunidad Autónoma de Castilla y León y tenerle por personado y parte en la presente cuestión, acordándose entender con él las sucesivas actuaciones y, conforme establece el art. 37.2 LOTC, concederle un plazo de quince días para que formule las alegaciones que estime convenientes.</w:t>
      </w:r>
    </w:p>
    <w:p w:rsidR="00AC56D6" w:rsidRDefault="00AC56D6" w:rsidP="00AC56D6">
      <w:pPr>
        <w:pStyle w:val="TextoNormal"/>
      </w:pPr>
    </w:p>
    <w:p w:rsidR="00AC56D6" w:rsidRDefault="00AC56D6" w:rsidP="00AC56D6">
      <w:pPr>
        <w:pStyle w:val="TextoNormal"/>
      </w:pPr>
      <w:r w:rsidRPr="00AC56D6">
        <w:rPr>
          <w:rStyle w:val="NumeroAFNegritaCaracter"/>
        </w:rPr>
        <w:t>10</w:t>
      </w:r>
      <w:r>
        <w:t>. El Director de los servicios jurídicos de la Administración de la Comunidad Autónoma de Castilla y León formuló sus alegaciones el día 10 de septiembre de 2014, en el que expone que la cuestión se plantea en el seno de un conflicto colectivo, cuyo objeto es la medida adoptada por la Administración de la Comunidad Autónoma de Castilla y León consistente en la supresión de la paga extraordinaria del personal laboral de ella dependiente en aplicación de dos normas de rango legal, el art. 2 del Real Decreto-ley 20/2012 y el art. 1 del Decreto-ley autonómico 1/2012. Concluye, no obstante que, a la vista de la providencia de 15 de julio, ha de entenderse que no se ha tenido por planteada cuestión de inconstitucionalidad en relación con el art. 1 del Decreto-ley autonómico 1/2012. Limitado el trámite a las alegaciones sobre el art. 2 del Real Decreto-ley 20/2012, considera que su acomodación al texto constitucional ha sido defendida por la representación procesal de la Administración del Estado, a cuyo escrito de alegaciones se remite.</w:t>
      </w:r>
    </w:p>
    <w:p w:rsidR="00AC56D6" w:rsidRDefault="00AC56D6" w:rsidP="00AC56D6">
      <w:pPr>
        <w:pStyle w:val="TextoNormal"/>
      </w:pPr>
    </w:p>
    <w:p w:rsidR="00AC56D6" w:rsidRDefault="00AC56D6" w:rsidP="00AC56D6">
      <w:pPr>
        <w:pStyle w:val="TextoNormal"/>
      </w:pPr>
      <w:r w:rsidRPr="00AC56D6">
        <w:rPr>
          <w:rStyle w:val="NumeroAFNegritaCaracter"/>
        </w:rPr>
        <w:t>11</w:t>
      </w:r>
      <w:r>
        <w:t xml:space="preserve">. Por providencia del Pleno de 26 de mayo de 2015 se acordó, de conformidad con lo dispuesto en el art. 88.1 LOTC, dirigir atenta comunicación a la Junta de Castilla y León, a </w:t>
      </w:r>
      <w:r>
        <w:lastRenderedPageBreak/>
        <w:t>fin de que indique a este Tribunal si, en atención a lo previsto en la disposición adicional duodécima de la Ley 36/2014, de presupuestos generales del Estado para el año 2015, o por cualquier otra circunstancia, ha satisfecho al personal laboral de la Administración general de la Comunidad Autónoma y organismos autónomos,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AC56D6" w:rsidRDefault="00AC56D6" w:rsidP="00AC56D6">
      <w:pPr>
        <w:pStyle w:val="TextoNormal"/>
      </w:pPr>
    </w:p>
    <w:p w:rsidR="00AC56D6" w:rsidRDefault="00AC56D6" w:rsidP="00AC56D6">
      <w:pPr>
        <w:pStyle w:val="TextoNormal"/>
      </w:pPr>
      <w:r w:rsidRPr="00AC56D6">
        <w:rPr>
          <w:rStyle w:val="NumeroAFNegritaCaracter"/>
        </w:rPr>
        <w:t>12</w:t>
      </w:r>
      <w:r>
        <w:t>. Con fecha 16 de junio de 2015 la Viceconsejera de Función Pública y Modernización de la Junta de Castilla y León indica que el 24 de abril de 2014 la Administración de la Comunidad de Castilla y León y las organizaciones sindicales suscribieron el acuerdo por el que se dispone proceder al pago a los empleados públicos de cuarenta y cuatro días de la paga extraordinaria del mes de diciembre de 2012 en el ámbito de la Administración general de la Comunidad de Castilla y León y sus organismos autónomos, adjuntando copia del mismo. En la cláusula primera, se recogía el abono, a cuenta y a resultas del pronunciamiento del Tribunal Constitucional, de 44 días de la paga extraordinaria del mes de diciembre de 2012, en función del tiempo trabajado, al personal de la Administración general y de sus organismos autónomos que se encontraran en activo en la fecha de entrada en vigor del Real Decreto-Ley 20/2012, de 13 de julio. En la cláusula segunda, se determinaban los términos en los que se llevaría a cabo el abono de mencionada cuantía que fue pagada a los empleados públicos en las nóminas de los meses de mayo de 2014 y de enero de 2015.</w:t>
      </w:r>
    </w:p>
    <w:p w:rsidR="00AC56D6" w:rsidRDefault="00AC56D6" w:rsidP="00AC56D6">
      <w:pPr>
        <w:pStyle w:val="TextoNormal"/>
      </w:pPr>
    </w:p>
    <w:p w:rsidR="00AC56D6" w:rsidRDefault="00AC56D6" w:rsidP="00AC56D6">
      <w:pPr>
        <w:pStyle w:val="TextoNormal"/>
      </w:pPr>
      <w:r w:rsidRPr="00AC56D6">
        <w:rPr>
          <w:rStyle w:val="NumeroAFNegritaCaracter"/>
        </w:rPr>
        <w:t>13</w:t>
      </w:r>
      <w:r>
        <w:t>. Por providencia de 8 de septiembre de 2015, se señaló para deliberación y votación de la presente Sentencia el día 10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Sala de lo Social del Tribunal Superior de Justicia de Castilla y León, con sede en Valladolid, plantea cuestión de inconstitucionalidad respecto del art. 2 del Real Decreto-ley 20/2012, de 13 de julio, de medidas para garantizar la estabilidad presupuestaria y de fomento de la competitividad (en adelante, Real Decreto-ley 20/2012), precepto que, en lo que aquí importa, dispone para el personal del sector público definido en el art. 22.1 de la Ley 2/2012, de 29 de junio, de presupuestos generales del Estado para 2012, la supresión de la paga extraordinaria (o equivalente) del mes de diciembre de 2012. En síntesis, la Sala entiende que el art. 2 del Real Decreto-ley 20/2012, en su aplicación al personal laboral del sector público, puede vulnerar el principio constitucional de interdicción de la retroactividad de las disposiciones sancionadoras no favorables o restrictivas de derechos individuales (art. 9.3 CE), así como el art. 33.3 CE al no contemplar excepción alguna respecto de las cuantías ya devengadas al momento de la entrada en vigor del Real Decreto-ley 20/2012.</w:t>
      </w:r>
    </w:p>
    <w:p w:rsidR="00AC56D6" w:rsidRDefault="00AC56D6" w:rsidP="00AC56D6">
      <w:pPr>
        <w:pStyle w:val="TextoNormal"/>
      </w:pPr>
    </w:p>
    <w:p w:rsidR="00AC56D6" w:rsidRDefault="00AC56D6" w:rsidP="00AC56D6">
      <w:pPr>
        <w:pStyle w:val="TextoNormal"/>
      </w:pPr>
      <w:r>
        <w:t>En los términos en que han sido recogidos en los antecedentes, el Fiscal General del Estado coincide con el juicio de inconstitucionalidad formulado por el Auto de planteamiento de la cuestión, por lo que interesa su estimación, mientras que el Abogado del Estado solicita la desestimación.</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2</w:t>
      </w:r>
      <w:r>
        <w:t>. Con carácter previo al análisis de la cuestión planteada conviene realizar una serie de precisiones para acotar debidamente su objeto y el alcance de nuestro enjuiciamiento.</w:t>
      </w:r>
    </w:p>
    <w:p w:rsidR="00AC56D6" w:rsidRDefault="00AC56D6" w:rsidP="00AC56D6">
      <w:pPr>
        <w:pStyle w:val="TextoNormal"/>
      </w:pPr>
    </w:p>
    <w:p w:rsidR="00AC56D6" w:rsidRDefault="00AC56D6" w:rsidP="00AC56D6">
      <w:pPr>
        <w:pStyle w:val="TextoNormal"/>
      </w:pPr>
      <w:r>
        <w:t>a) En primer lugar, resulta obligado advertir que, aunque la Sala de lo Social del Tribunal Superior de Justicia de Castilla y León plantea la cuestión de inconstitucionalidad respecto del art. 2 del Real Decreto-ley 20/2012 in totum, su razonamiento permite concluir que lo único cuestionado es su aplicación al personal laboral del sector público, lo que resulta del todo coherente con el juicio de aplicabilidad y relevancia, pues la cuestión de inconstitucionalidad trae causa de un proceso de conflicto colectivo promovido por varios sindicatos con motivo de la supresión, por aplicación de las previsiones contenidas en el Real Decreto-ley 20/2012, de la paga o gratificación extraordinaria de diciembre de 2012 al personal laboral de la Administración de la Comunidad Autónoma de Castilla y León y de sus organismos autónomos. Así pues,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2.2 del art. 2 del Real Decreto-ley 20/2012, que se refiere específicamente a la supresión de la paga o gratificación extraordinaria de diciembre de 2012 o equivalente al personal laboral del sector público.</w:t>
      </w:r>
    </w:p>
    <w:p w:rsidR="00AC56D6" w:rsidRDefault="00AC56D6" w:rsidP="00AC56D6">
      <w:pPr>
        <w:pStyle w:val="TextoNormal"/>
      </w:pPr>
    </w:p>
    <w:p w:rsidR="00AC56D6" w:rsidRDefault="00AC56D6" w:rsidP="00AC56D6">
      <w:pPr>
        <w:pStyle w:val="TextoNormal"/>
      </w:pPr>
      <w:r>
        <w:t>b) No se cuestiona por la Sala de lo Social del Tribunal Superior de Justicia de Castilla y León la medida de supresión de la paga extraordinaria de diciembre de 2012 en sí misma considerada, sino sólo en cuanto su aplicación haya podido suponer la infracción del principio de irretroactividad establecido en el 9.3 CE así como del art. 33.3 CE, al no contemplar excepción alguna respecto de las cuantías de dicha paga extra que se entienden ya devengadas a la fecha de entrada en vigor del Real Decreto-ley 20/2012, ni fijar indemnización alguna por la supresión de un derecho patrimonial. A esta concreta duda de constitucionalidad se ceñirá nuestro enjuiciamiento.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La disposición adicional duodécima de la Ley 36/2014, de 26 de diciembre, de presupuestos generales del Estado para 2015, bajo el epígrafe “Recuperación de la paga extraordinaria y adicional del mes de diciembre de 2012”, establece,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00AC56D6" w:rsidRDefault="00AC56D6" w:rsidP="00AC56D6">
      <w:pPr>
        <w:pStyle w:val="TextoNormal"/>
      </w:pPr>
    </w:p>
    <w:p w:rsidR="00AC56D6" w:rsidRDefault="00AC56D6" w:rsidP="00AC56D6">
      <w:pPr>
        <w:pStyle w:val="TextoNormal"/>
      </w:pPr>
      <w:r>
        <w:t>Igualmente, tal como ha quedado expuesto en los antecedentes, la Administración de la Comunidad Autónoma de Castilla y León y las organizaciones sindicales suscribieron el acuerdo por el que se dispone proceder al abono a los empleados públicos de cuarenta y cuatro días de la paga extraordinaria del mes de diciembre de 2012 en el ámbito de la Administración general de la Comunidad de Castilla y León y sus organismos autónomos y ello a reserva del pronunciamiento del Tribunal Constitucional. En dicho acuerdo se precisa que el abono de la cuantía total correspondiente a los primeros 44 días de la paga suprimida se realizaría en las nóminas correspondientes al mes de mayo de 2014 y enero de 2015, en los porcentajes allí previstos.</w:t>
      </w:r>
    </w:p>
    <w:p w:rsidR="00AC56D6" w:rsidRDefault="00AC56D6" w:rsidP="00AC56D6">
      <w:pPr>
        <w:pStyle w:val="TextoNormal"/>
      </w:pPr>
    </w:p>
    <w:p w:rsidR="00AC56D6" w:rsidRDefault="00AC56D6" w:rsidP="00AC56D6">
      <w:pPr>
        <w:pStyle w:val="TextoNormal"/>
      </w:pPr>
      <w:r>
        <w:t>Como consecuencia de lo señalado en la normativa y en el acuerdo citados, debemos tener presente lo dicho en nuestra STC 83/2015, de 30 de abril, sobre la posible pérdida de objeto de la cuestión de inconstitucionalidad y que hemos reiterado en las posteriores SSTC 113/2015, de 8 de junio; 114/2015, de 8 de junio, y 141/2015, de 22 de junio, entre otras. En el fundamento jurídico 3 de la primera de ellas,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presente—, ni se había producido la extinción del procedimiento laboral a quo, ni tampoco nos encontrábamos ante un supuesto de pérdida de vigencia del precepto legal cuestionado. No obstante lo anterior, y de modo similar a lo allí acontecido, no puede negarse la incidencia que tanto la medida contenida en la disposición adicional duodécima de dicha Ley de presupuestos, como el mencionado acuerdo suscrito por la Administración de la Comunidad Autónoma de Castilla y León y las organizaciones sindicales tienen en la subsistencia del presente proceso constitucional.</w:t>
      </w:r>
    </w:p>
    <w:p w:rsidR="00AC56D6" w:rsidRDefault="00AC56D6" w:rsidP="00AC56D6">
      <w:pPr>
        <w:pStyle w:val="TextoNormal"/>
      </w:pPr>
    </w:p>
    <w:p w:rsidR="00AC56D6" w:rsidRDefault="00AC56D6" w:rsidP="00AC56D6">
      <w:pPr>
        <w:pStyle w:val="TextoNormal"/>
      </w:pPr>
      <w:r>
        <w:t>En el conflicto colectivo del que trae causa esta cuestión de inconstitucionalidad se discute el derecho del personal laboral de la Administración de la Comunidad Autónoma de Castilla y León y de sus organismos autónomos a percibir la parte que se entiende devengada de la paga extra de diciembre de 2012. En dicho contexto, la pretensión traída ante este Tribunal, necesariamente relacionada con la que se discute en el proceso a quo, se vincula estrictamente a las cuantías dejadas de percibir a la fecha de entrada en vigor del Real Decreto-ley 20/2012, pues el Auto se ciñe expresamente, sin mayores concreciones, a la parte de la paga que se hubiera devengado en esa fecha, 15 de julio de 2012, entendiendo que ya se había generado el derecho a percibirla. Cuantías que, aún no concretadas, no son superiores a los primeros 44 días de la paga extra de diciembre de 2012 a los que se refieren tanto la norma estatal como el acuerdo autonómico. Resulta de todo ello que, desde la lógica argumental del órgano promotor de la cuestión, el objeto de la presente cuestión ha desaparecido teniendo en cuenta los términos en los que la duda se plantea y la diferencia entre el procedimiento que está en el origen de la presente cuestión y el proceso constitucional a través del que se ventila la misma (en el mismo sentido, STC 222/2012, de 27 de noviembre, FJ 4). En suma,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de 14 de abril, FJ 3).</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Declarar la extinción de la presente cuestión de inconstitucionalidad por desaparición sobrevenida de su objeto.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diez de septiembre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41" w:name="SENTENCIA_2015_185"/>
      <w:r>
        <w:lastRenderedPageBreak/>
        <w:t>SENTENCIA 185/2015, de 21 de septiembre de 2015</w:t>
      </w:r>
    </w:p>
    <w:bookmarkEnd w:id="41"/>
    <w:p w:rsidR="00AC56D6" w:rsidRDefault="00AC56D6" w:rsidP="00AC56D6">
      <w:pPr>
        <w:pStyle w:val="TtuloResolucin"/>
      </w:pPr>
      <w:r>
        <w:t>Sala Segunda</w:t>
      </w:r>
    </w:p>
    <w:p w:rsidR="00AC56D6" w:rsidRDefault="00AC56D6" w:rsidP="00AC56D6">
      <w:pPr>
        <w:pStyle w:val="TtuloBOE"/>
      </w:pPr>
      <w:r>
        <w:t>(BOE núm. 260, de 30 de octubre de 2015)</w:t>
      </w:r>
    </w:p>
    <w:p w:rsidR="00AC56D6" w:rsidRDefault="00AC56D6" w:rsidP="00AC56D6">
      <w:pPr>
        <w:pStyle w:val="TextoNormalCentrado"/>
      </w:pPr>
      <w:r>
        <w:t>ECLI:ES:TC:2015:185</w:t>
      </w:r>
    </w:p>
    <w:p w:rsidR="00AC56D6" w:rsidRDefault="00AC56D6" w:rsidP="00AC56D6">
      <w:pPr>
        <w:pStyle w:val="TextoNormalCentrado"/>
      </w:pPr>
    </w:p>
    <w:p w:rsidR="00AC56D6" w:rsidRDefault="00AC56D6" w:rsidP="00AC56D6">
      <w:pPr>
        <w:pStyle w:val="SntesisDescriptiva"/>
      </w:pPr>
      <w:r>
        <w:t>Conflicto positivo de competencia 4602-2010. Planteado por la Xunta de Galicia en relación con la resolución del Servicio Público de Empleo Estatal, de 1 de febrero de 2010, por la que se aprueba la convocatoria para la concesión, con cargo al ejercicio presupuestario de 2010, de subvenciones públicas para la ejecución de planes de formación mediante convenios, de ámbito estatal, dirigidos prioritariamente a los trabajadores ocupados, en aplicación de la Orden TAS/718/2008, de 7 de marzo, por la que se regula la formación de oferta y se establecen las bases reguladoras para la concesión de subvenciones públicas destinadas a su financiación.</w:t>
      </w:r>
    </w:p>
    <w:p w:rsidR="00AC56D6" w:rsidRDefault="00AC56D6" w:rsidP="00AC56D6">
      <w:pPr>
        <w:pStyle w:val="SntesisDescriptiva"/>
      </w:pPr>
    </w:p>
    <w:p w:rsidR="00AC56D6" w:rsidRDefault="00AC56D6" w:rsidP="00AC56D6">
      <w:pPr>
        <w:pStyle w:val="SntesisAnaltica"/>
      </w:pPr>
      <w:r>
        <w:t>Competencias en materia laboral y de seguridad social: adecuado ejercicio de las competencias estatales (STC 88/2014). Voto particular.</w:t>
      </w:r>
    </w:p>
    <w:p w:rsidR="00AC56D6" w:rsidRDefault="00AC56D6" w:rsidP="00AC56D6">
      <w:pPr>
        <w:pStyle w:val="SntesisAnaltica"/>
      </w:pPr>
    </w:p>
    <w:p w:rsidR="00AC56D6" w:rsidRDefault="00AC56D6" w:rsidP="00AC56D6">
      <w:pPr>
        <w:pStyle w:val="Extracto"/>
      </w:pPr>
      <w:r>
        <w:t>1.</w:t>
      </w:r>
      <w:r>
        <w:tab/>
        <w:t>El título competencial sobre el régimen normativo y de gestión de las subvenciones radica en la propia competencia que tenga fijada el Estado en la materia sobre la que se proyecte la subvención, dado que esta última en sí misma no delimita competencias [FJ 2].</w:t>
      </w:r>
    </w:p>
    <w:p w:rsidR="00AC56D6" w:rsidRDefault="00AC56D6" w:rsidP="00AC56D6">
      <w:pPr>
        <w:pStyle w:val="Extracto"/>
      </w:pPr>
    </w:p>
    <w:p w:rsidR="00AC56D6" w:rsidRDefault="00AC56D6" w:rsidP="00AC56D6">
      <w:pPr>
        <w:pStyle w:val="Extracto"/>
      </w:pPr>
      <w:r>
        <w:t>2.</w:t>
      </w:r>
      <w:r>
        <w:tab/>
        <w:t xml:space="preserve">En virtud de sus competencias en materia de legislación laboral </w:t>
      </w:r>
      <w:r w:rsidRPr="00AC56D6">
        <w:rPr>
          <w:i/>
        </w:rPr>
        <w:t>ex</w:t>
      </w:r>
      <w:r>
        <w:t xml:space="preserve"> art. 149.1.7 CE, corresponde en exclusiva al Estado la regulación completa del subsistema de formación profesional continua y el establecimiento de un régimen jurídico unitario y, en consecuencia, es quien ostenta con carácter excluyente la competencia para abordar su regulación, si bien la competencia para su ejecución corresponde a la Comunidad Autónoma (SSTC 16/2013, 88/2014) [FJ 2].</w:t>
      </w:r>
    </w:p>
    <w:p w:rsidR="00AC56D6" w:rsidRDefault="00AC56D6" w:rsidP="00AC56D6">
      <w:pPr>
        <w:pStyle w:val="Extracto"/>
      </w:pPr>
    </w:p>
    <w:p w:rsidR="00AC56D6" w:rsidRDefault="00AC56D6" w:rsidP="00AC56D6">
      <w:pPr>
        <w:pStyle w:val="Extracto"/>
      </w:pPr>
      <w:r>
        <w:t>3.</w:t>
      </w:r>
      <w:r>
        <w:tab/>
        <w:t>En materia de formación profesional, el ámbito estatal de los destinatarios de las ayudas, el contenido y naturaleza de las acciones formativas financiadas son circunstancias que revelan el ámbito supraterritorial de desenvolvimiento de las acciones formativas y, con ello, la exigencia de coordinación homogénea por un único titular, a fin de integrar los diversos componentes multisectoriales e interterritoriales implicados en la gestión y tramitación de estas ayudas, que hacen imposible su fraccionamiento y determinan que haya de ser el Estado, a través del INEM el que asuma las funciones de gestión y tramitación (STC 244/2012, FJ 7) [FJ 4].</w:t>
      </w:r>
    </w:p>
    <w:p w:rsidR="00AC56D6" w:rsidRDefault="00AC56D6" w:rsidP="00AC56D6">
      <w:pPr>
        <w:pStyle w:val="Extracto"/>
      </w:pPr>
    </w:p>
    <w:p w:rsidR="00AC56D6" w:rsidRDefault="00AC56D6" w:rsidP="00AC56D6">
      <w:pPr>
        <w:pStyle w:val="Extracto"/>
      </w:pPr>
      <w:r>
        <w:t>4.</w:t>
      </w:r>
      <w:r>
        <w:tab/>
        <w:t>El establecimiento de un determinado modelo de financiación de las acciones de formación continua en las empresas es una facultad que se inscribe en el ámbito propio de la normación en materia laboral, lo que implica que es el Estado quien asume toda la regulación concerniente a su régimen jurídico, circunscribiéndose la competencia autonómica a los aspectos de ejecución o gestión del sistema arbitrado para regular esa formación continua [FJ 4].</w:t>
      </w:r>
    </w:p>
    <w:p w:rsidR="00AC56D6" w:rsidRDefault="00AC56D6" w:rsidP="00AC56D6">
      <w:pPr>
        <w:pStyle w:val="Extracto"/>
      </w:pPr>
    </w:p>
    <w:p w:rsidR="00AC56D6" w:rsidRDefault="00AC56D6" w:rsidP="00AC56D6">
      <w:pPr>
        <w:pStyle w:val="Extracto"/>
      </w:pPr>
      <w:r>
        <w:t>5.</w:t>
      </w:r>
      <w:r>
        <w:tab/>
        <w:t xml:space="preserve">Respecto a la gestión y tramitación de las ayudas, aunque las Comunidades Autónomas ostenten competencias, incluso exclusivas, sobre la materia en que recaen las subvenciones, éstas pueden ser gestionadas, excepcionalmente, por un órgano </w:t>
      </w:r>
      <w:r>
        <w:lastRenderedPageBreak/>
        <w:t>de la Administración del Estado u organismo de ésta dependiente, si el Estado ostenta título competencial sobre la materia y resulta imprescindible para asegurar la efectividad de las medidas y para garantizar las mismas posibilidades de obtención y disfrute por parte de sus potenciales destinatarios en todo el territorio nacional, evitando que se sobrepase la cuantía global de los fondos estatales destinados al sector [FJ 5].</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conflicto positivo de competencia núm. 4602-2010, promovido por la Xunta de Galicia, en relación con la resolución de 1 de febrero de 2010, del Servicio Público de Empleo Estatal, “por la que se aprueba la convocatoria para la concesión, con cargo al ejercicio presupuestario de 2010, de subvenciones públicas para la ejecución de planes de formación mediante convenios, de ámbito estatal, dirigidos prioritariamente a los trabajadores ocupados, en aplicación de la Orden TAS/718/2008, de 7 de marzo, por la que se regula la formación de oferta y se establecen las bases reguladoras para la concesión de subvenciones públicas destinadas a su financiación”. Ha comparecido y formulado alegaciones el Abogado del Estado. Ha sido Ponente el Magistrado don Ricardo Enríquez Sancho,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presentado en el Registro General de este Tribunal el 2 de junio de 2010, el Letrado de la Xunta de Galicia, en la representación que legalmente ostenta, promovió conflicto positivo de competencia en relación con la totalidad de la resolución de 1 de febrero de 2010, del Servicio Público de Empleo Estatal, “por la que se aprueba la convocatoria para la concesión, con cargo al ejercicio presupuestario de 2010, de subvenciones públicas para la ejecución de planes de formación mediante convenios, de ámbito estatal, dirigidos prioritariamente a los trabajadores ocupados, en aplicación de la Orden TAS/718/2008, de 7 de marzo, por la que se regula la formación de oferta y se establecen las bases reguladoras para la concesión de subvenciones públicas destinadas a su financiación”.</w:t>
      </w:r>
    </w:p>
    <w:p w:rsidR="00AC56D6" w:rsidRDefault="00AC56D6" w:rsidP="00AC56D6">
      <w:pPr>
        <w:pStyle w:val="TextoNormal"/>
      </w:pPr>
    </w:p>
    <w:p w:rsidR="00AC56D6" w:rsidRDefault="00AC56D6" w:rsidP="00AC56D6">
      <w:pPr>
        <w:pStyle w:val="TextoNormal"/>
      </w:pPr>
      <w:r w:rsidRPr="00AC56D6">
        <w:rPr>
          <w:rStyle w:val="NumeroAFNegritaCaracter"/>
        </w:rPr>
        <w:t>2</w:t>
      </w:r>
      <w:r>
        <w:t>. El conflicto se fundamenta por la parte promotora del mismo, en los siguientes motivos:</w:t>
      </w:r>
    </w:p>
    <w:p w:rsidR="00AC56D6" w:rsidRDefault="00AC56D6" w:rsidP="00AC56D6">
      <w:pPr>
        <w:pStyle w:val="TextoNormal"/>
      </w:pPr>
    </w:p>
    <w:p w:rsidR="00AC56D6" w:rsidRDefault="00AC56D6" w:rsidP="00AC56D6">
      <w:pPr>
        <w:pStyle w:val="TextoNormal"/>
      </w:pPr>
      <w:r>
        <w:t>a) Empieza el escrito identificando el acto jurídico impugnado, que es la totalidad de la resolución de 1 de febrero de 2010 del Servicio Público de Empleo Estatal mencionada en el encabezamiento de esta Sentencia; así como también el motivo nuclear de la impugnación, que es la alegada invasión por el Estado de la competencia de la Xunta prevista en el art. 29.1 del Estatuto de Autonomía de Galicia (EAG) en materia de ejecución de planes de formación profesional; y por último se refiere a la acreditación de cumplimiento de los requisitos formales necesarios para plantear el conflicto.</w:t>
      </w:r>
    </w:p>
    <w:p w:rsidR="00AC56D6" w:rsidRDefault="00AC56D6" w:rsidP="00AC56D6">
      <w:pPr>
        <w:pStyle w:val="TextoNormal"/>
      </w:pPr>
    </w:p>
    <w:p w:rsidR="00AC56D6" w:rsidRDefault="00AC56D6" w:rsidP="00AC56D6">
      <w:pPr>
        <w:pStyle w:val="TextoNormal"/>
      </w:pPr>
      <w:r>
        <w:t>El bloque argumental de los “fundamentos jurídicos” se compone de cinco epígrafes. El primero se titula: “I.- Antecedentes” y en él, a título informativo, se recuerdan las impugnaciones promovidas por varias Comunidades Autónomas ante este Tribunal Constitucional, en relación con disposiciones dictadas por el Estado en materia de formación profesional; trayendo a colación las distintas modalidades de ésta que se prevén en el Real Decreto 395/2007, de 23 de marzo, “por el que se regula el subsistema de formación profesional para el empleo”.</w:t>
      </w:r>
    </w:p>
    <w:p w:rsidR="00AC56D6" w:rsidRDefault="00AC56D6" w:rsidP="00AC56D6">
      <w:pPr>
        <w:pStyle w:val="TextoNormal"/>
      </w:pPr>
    </w:p>
    <w:p w:rsidR="00AC56D6" w:rsidRDefault="00AC56D6" w:rsidP="00AC56D6">
      <w:pPr>
        <w:pStyle w:val="TextoNormal"/>
      </w:pPr>
      <w:r>
        <w:t>Sostiene que en el caso de la resolución impugnada “estamos en presencia de una acción formativa de oferta, y así está recogido en el primer párrafo del preámbulo de la resolución. Como acabamos de decir la formación de oferta está dirigida principalmente a trabajadores ocupados (formación continua), aunque también pueden acceder los desempleados (formación ocupacional), como se recoge en el artículo 2.1”.</w:t>
      </w:r>
    </w:p>
    <w:p w:rsidR="00AC56D6" w:rsidRDefault="00AC56D6" w:rsidP="00AC56D6">
      <w:pPr>
        <w:pStyle w:val="TextoNormal"/>
      </w:pPr>
    </w:p>
    <w:p w:rsidR="00AC56D6" w:rsidRDefault="00AC56D6" w:rsidP="00AC56D6">
      <w:pPr>
        <w:pStyle w:val="TextoNormal"/>
      </w:pPr>
      <w:r>
        <w:t>Se indica también como “norma superior” a la resolución impugnada, la Orden TAS/718/2008, de 7 de marzo, del Ministerio de Trabajo y Asuntos Sociales, de desarrollo de aquel Real Decreto 395/2007, la cual también se encuentra impugnada ante este Tribunal. Finalmente, se resumen el contenido de la resolución que se cuestiona.</w:t>
      </w:r>
    </w:p>
    <w:p w:rsidR="00AC56D6" w:rsidRDefault="00AC56D6" w:rsidP="00AC56D6">
      <w:pPr>
        <w:pStyle w:val="TextoNormal"/>
      </w:pPr>
    </w:p>
    <w:p w:rsidR="00AC56D6" w:rsidRDefault="00AC56D6" w:rsidP="00AC56D6">
      <w:pPr>
        <w:pStyle w:val="TextoNormal"/>
      </w:pPr>
      <w:r>
        <w:t xml:space="preserve">b) En el epígrafe “II. El poder de gastar del Estado”, se alude a la doctrina de este Tribunal dictada sobre el </w:t>
      </w:r>
      <w:r w:rsidRPr="00AC56D6">
        <w:rPr>
          <w:i/>
        </w:rPr>
        <w:t>spending power</w:t>
      </w:r>
      <w:r>
        <w:t xml:space="preserve"> o ejercicio del poder de gastar del Estado, contenida en su STC 13/1992, de 6 de febrero, en el sentido de no poder desconocer la autonomía financiera de las Comunidades Autónomas y que tal potestad del Estado no constituye en sí mismo un título atributivo de competencia, por lo que debe respetar el reparto competencial establecido en cada materia sobre la que se proyecte la subvención. En concreto, reproduce los pasajes del fundamento jurídico 8 de dicha Sentencia, en el que se describen cuatro supuestos ideales de delimitación de competencias en el ámbito de la potestad subvencional de gasto público.</w:t>
      </w:r>
    </w:p>
    <w:p w:rsidR="00AC56D6" w:rsidRDefault="00AC56D6" w:rsidP="00AC56D6">
      <w:pPr>
        <w:pStyle w:val="TextoNormal"/>
      </w:pPr>
    </w:p>
    <w:p w:rsidR="00AC56D6" w:rsidRDefault="00AC56D6" w:rsidP="00AC56D6">
      <w:pPr>
        <w:pStyle w:val="TextoNormal"/>
      </w:pPr>
      <w:r>
        <w:t>c) De inmediato, el epígrafe III (ya sin nombre, éste y los subsiguientes) intenta determinar en cuál de los cuatro supuestos mencionados de la STC 13/1992, FJ 8, se situaría el objeto de la resolución aquí impugnada, teniendo en cuenta que los títulos competenciales aplicables son los del art. 149.1.7 CE y el referido art. 29.1 EAG.</w:t>
      </w:r>
    </w:p>
    <w:p w:rsidR="00AC56D6" w:rsidRDefault="00AC56D6" w:rsidP="00AC56D6">
      <w:pPr>
        <w:pStyle w:val="TextoNormal"/>
      </w:pPr>
    </w:p>
    <w:p w:rsidR="00AC56D6" w:rsidRDefault="00AC56D6" w:rsidP="00AC56D6">
      <w:pPr>
        <w:pStyle w:val="TextoNormal"/>
      </w:pPr>
      <w:r>
        <w:t xml:space="preserve">Para alcanzar una respuesta, procede a hacer cita de la STC 95/2002, de 25 de abril, FJ 9, en cuya virtud: “correspondería al Estado la competencia normativa, excepto para dictar reglamentos organizativos, pero no las facultades de ejecución y gestión que son ‘exclusivas’ autonómicas”. De esta premisa, deduce el escrito que suscita el conflicto que: “El Estado tiene que territorializar los créditos y partidas presupuestarias entre las Comunidades </w:t>
      </w:r>
      <w:r>
        <w:lastRenderedPageBreak/>
        <w:t>Autónomas para su gestión”, con cita de las SSTC “95/2002, 190/2002, 230/2003”, extractando de esta última Sentencia, parte de su fundamento jurídico 6.</w:t>
      </w:r>
    </w:p>
    <w:p w:rsidR="00AC56D6" w:rsidRDefault="00AC56D6" w:rsidP="00AC56D6">
      <w:pPr>
        <w:pStyle w:val="TextoNormal"/>
      </w:pPr>
    </w:p>
    <w:p w:rsidR="00AC56D6" w:rsidRDefault="00AC56D6" w:rsidP="00AC56D6">
      <w:pPr>
        <w:pStyle w:val="TextoNormal"/>
      </w:pPr>
      <w:r>
        <w:t>Sigue argumentando el Letrado de la Xunta de Galicia que: “como dijimos con anterioridad las acciones formativas que nos ocupan entendemos que están más en el campo de la formación ocupacional que de la continua … el cuerpo de la doctrina jurisprudencial está, sobre todo, dictada al amparo de la formación continua, pero estimamos que [no] debe existir impedimento alguno para extrapolarla también a la ocupacional”. Una extrapolación que funda en dos razones: la primera, por la aplicación del título competencial del art. 149.1.7 CE en relación con el art. 29.1 EAG, citando en su apoyo la STC 195/1996, de 28 de noviembre, FJ 5, y también “la STC 51/1996 (FJ 4)” [</w:t>
      </w:r>
      <w:r w:rsidRPr="00AC56D6">
        <w:rPr>
          <w:i/>
        </w:rPr>
        <w:t>rectius</w:t>
      </w:r>
      <w:r>
        <w:t>: STC 51/2006, de 16 de febrero, FJ 4], que reproduce en parte.</w:t>
      </w:r>
    </w:p>
    <w:p w:rsidR="00AC56D6" w:rsidRDefault="00AC56D6" w:rsidP="00AC56D6">
      <w:pPr>
        <w:pStyle w:val="TextoNormal"/>
      </w:pPr>
    </w:p>
    <w:p w:rsidR="00AC56D6" w:rsidRDefault="00AC56D6" w:rsidP="00AC56D6">
      <w:pPr>
        <w:pStyle w:val="TextoNormal"/>
      </w:pPr>
      <w:r>
        <w:t>En segundo lugar, de acuerdo con el reparto de competencias entre el Estado y las Comunidades Autónomas, correspondiendo al primero la legislación y en su caso el dictado de reglamentos ejecutivos, y a las Comunidades la ejecución, incluida la posibilidad de dictar reglamentos organizativos; no siendo admisible la constitución de fondos nacionales de empleo, conforme con la doctrina de las SSTC 95/2002 y 190/2002, acompañando un resumen de varios fundamentos jurídicos de la primera de las dos citadas.</w:t>
      </w:r>
    </w:p>
    <w:p w:rsidR="00AC56D6" w:rsidRDefault="00AC56D6" w:rsidP="00AC56D6">
      <w:pPr>
        <w:pStyle w:val="TextoNormal"/>
      </w:pPr>
    </w:p>
    <w:p w:rsidR="00AC56D6" w:rsidRDefault="00AC56D6" w:rsidP="00AC56D6">
      <w:pPr>
        <w:pStyle w:val="TextoNormal"/>
      </w:pPr>
      <w:r>
        <w:t>Tras esto, se formula una “recapitulación”, de nuevo sobre lo afirmado en ambas Sentencias (95/2002 y 190/2002) en cuanto al reparto de competencias entre el Estado y las Comunidades Autónomas, delimitando la participación de los agentes sociales, la cual no puede ir en detrimento de las atribuciones conferidas a las Comunidades Autónomas.</w:t>
      </w:r>
    </w:p>
    <w:p w:rsidR="00AC56D6" w:rsidRDefault="00AC56D6" w:rsidP="00AC56D6">
      <w:pPr>
        <w:pStyle w:val="TextoNormal"/>
      </w:pPr>
    </w:p>
    <w:p w:rsidR="00AC56D6" w:rsidRDefault="00AC56D6" w:rsidP="00AC56D6">
      <w:pPr>
        <w:pStyle w:val="TextoNormal"/>
      </w:pPr>
      <w:r>
        <w:t>d) Con base en lo razonado hasta entonces, el epígrafe “IV” da respuesta al antedicho interrogante respecto de cuál de los cuatro supuestos enunciados por la STC 13/1992, FJ 8, se acomoda al ámbito de las acciones formativas cuya convocatoria de ayudas aprueba la resolución cuestionada. Según el parecer del Letrado de la Xunta se trataría del tercer supuesto: “aquél en el que el Estado tiene atribuida la competencia sobre la legislación relativa a una materia, mientras que corresponde a la Comunidad Autónoma la competencia de ejecución. En este caso la única diferencia con el supuesto anterior es que el Estado puede extenderse en la regulación de detalle respecto del destino, condiciones y tramitación de las subvenciones, dejando a salvo la potestad autonómica de autoorganización de los servicios”. Esto significa, remacha el escrito, que ha de dejarse a las Comunidades Autónomas “toda la dimensión ejecutiva y con la territorialización de los fondos”.</w:t>
      </w:r>
    </w:p>
    <w:p w:rsidR="00AC56D6" w:rsidRDefault="00AC56D6" w:rsidP="00AC56D6">
      <w:pPr>
        <w:pStyle w:val="TextoNormal"/>
      </w:pPr>
    </w:p>
    <w:p w:rsidR="00AC56D6" w:rsidRDefault="00AC56D6" w:rsidP="00AC56D6">
      <w:pPr>
        <w:pStyle w:val="TextoNormal"/>
      </w:pPr>
      <w:r>
        <w:t>Alcanzada esta conclusión, se reputa inconstitucional “[l]a Resolución en su conjunto”. De un lado, por tratarse de “una resolución de convocatoria de ayudas, y la facultad de proceder a la convocatoria pertenece a la dimensión ejecutiva o de gestión, a residenciar en las autoridades autonómicas”; citando como apoyo la “STC 75/89 y la reciente STC 200/09”, de la que reproduce en parte su fundamento jurídico 5.</w:t>
      </w:r>
    </w:p>
    <w:p w:rsidR="00AC56D6" w:rsidRDefault="00AC56D6" w:rsidP="00AC56D6">
      <w:pPr>
        <w:pStyle w:val="TextoNormal"/>
      </w:pPr>
    </w:p>
    <w:p w:rsidR="00AC56D6" w:rsidRDefault="00AC56D6" w:rsidP="00AC56D6">
      <w:pPr>
        <w:pStyle w:val="TextoNormal"/>
      </w:pPr>
      <w:r>
        <w:t xml:space="preserve">Y de otro lado, porque lo previsto en la resolución “no responde a la territorialización de los fondos en las Comunidades Autónomas”, toda vez que en aquélla: (i) se atribuyen funciones ejecutivas o de gestión a entes del Estado (arts. 1, 6, 10, 11, 12, 13, 14, 15, 16, 17, 18, 19, 20, 21, 22, 23, disposición adicional segunda, tercera y cuarta, disposición transitoria única, anexo I y II); (ii) se contempla una centralización presupuestaria (arts. 2, 7, 8, 16 y </w:t>
      </w:r>
      <w:r>
        <w:lastRenderedPageBreak/>
        <w:t>Anexo II); y (iii) hay una remisión a normas que “no son básicas en su conjunto o cuya constitucionalidad fue ya cuestionada ante el Tribunal Constitucional, a la espera de tales impugnaciones. Así … el art. 1 cita genéricamente a la Ley y Reglamento estatal de subvenciones cuando estos no son básicos en su conjunto; el artículo 22 lo hace a ese Reglamento en su conjunto y luego también al art. 74.1 del mismo, que no es básico; el art. 23 de la resolución alude al Tít. II Cap. I de la Ley 38/03, que en su mayoría no es básico (no lo son sus arts. 36, 37 y 40.1); la DA quinta alude a otro artículo, el 90, del Reglamento estatal de Subvenciones, que no es básico; lo que también sucede con el artículo 74 de tal RD 887/06 citado en el Anexo III de esta convocatoria”.</w:t>
      </w:r>
    </w:p>
    <w:p w:rsidR="00AC56D6" w:rsidRDefault="00AC56D6" w:rsidP="00AC56D6">
      <w:pPr>
        <w:pStyle w:val="TextoNormal"/>
      </w:pPr>
    </w:p>
    <w:p w:rsidR="00AC56D6" w:rsidRDefault="00AC56D6" w:rsidP="00AC56D6">
      <w:pPr>
        <w:pStyle w:val="TextoNormal"/>
      </w:pPr>
      <w:r>
        <w:t>En cuanto a esto último cita como apoyo la STC 200/2009, en su FJ 7, que declaró la “disconformidad con el orden competencial que también ha de apreciarse respecto al art. 35, en cuanto el mismo regula el reintegro remitiendo para ello a preceptos no básicos de la Ley general de subvenciones”.</w:t>
      </w:r>
    </w:p>
    <w:p w:rsidR="00AC56D6" w:rsidRDefault="00AC56D6" w:rsidP="00AC56D6">
      <w:pPr>
        <w:pStyle w:val="TextoNormal"/>
      </w:pPr>
    </w:p>
    <w:p w:rsidR="00AC56D6" w:rsidRDefault="00AC56D6" w:rsidP="00AC56D6">
      <w:pPr>
        <w:pStyle w:val="TextoNormal"/>
      </w:pPr>
      <w:r>
        <w:t>e) El epígrafe “V” y último del escrito del Letrado de la Xunta de Galicia, combate la posición que entiende asumida por el Estado en el presente conflicto de competencia en la fase de requerimiento previo, en el sentido de que las ayudas previstas por la resolución controvertida se ajusta más bien al cuarto de los supuestos descritos por el fundamento jurídico 8 de la STC 13/1992, lo que sin embargo para la Comunidad promotora del conflicto, es “algo no mostrado ni demostrado, como ahora veremos”.</w:t>
      </w:r>
    </w:p>
    <w:p w:rsidR="00AC56D6" w:rsidRDefault="00AC56D6" w:rsidP="00AC56D6">
      <w:pPr>
        <w:pStyle w:val="TextoNormal"/>
      </w:pPr>
    </w:p>
    <w:p w:rsidR="00AC56D6" w:rsidRDefault="00AC56D6" w:rsidP="00AC56D6">
      <w:pPr>
        <w:pStyle w:val="TextoNormal"/>
      </w:pPr>
      <w:r>
        <w:t>En este sentido, afirma que la resolución que se cuestiona contempla una gestión centralizada, en línea con lo previsto en el Real Decreto 395/2007, con arreglo al cual “el Estado entiende existirán iniciativas de formación autonómicas, cuya gestión en general, será autonómica, y paralelamente, iniciativas de formación estatales, gestionadas por el Estado, esencialmente por el Servicio Público de Empleo Estatal”. Tesis ésta que, añade la Xunta, ha sido cuestionada por ella en el conflicto de competencias interpuesto contra el mencionado Real Decreto.</w:t>
      </w:r>
    </w:p>
    <w:p w:rsidR="00AC56D6" w:rsidRDefault="00AC56D6" w:rsidP="00AC56D6">
      <w:pPr>
        <w:pStyle w:val="TextoNormal"/>
      </w:pPr>
    </w:p>
    <w:p w:rsidR="00AC56D6" w:rsidRDefault="00AC56D6" w:rsidP="00AC56D6">
      <w:pPr>
        <w:pStyle w:val="TextoNormal"/>
      </w:pPr>
      <w:r>
        <w:t>Se recuerda doctrina constitucional conforme a la cual el criterio de la supraterritorialidad no es por sí solo suficiente para la exclusión de la competencia ejecutiva autonómica; que los eventuales problemas de coordinación con el Estado no puede ser un motivo para centralizar la gestión de las ayudas; insiste en que aquél ya tiene otorgada toda la “capacidad de regulación al detalle de las ayudas”; la intervención de las “organizaciones empresariales y judiciales” (</w:t>
      </w:r>
      <w:r w:rsidRPr="00AC56D6">
        <w:rPr>
          <w:i/>
        </w:rPr>
        <w:t>rectius</w:t>
      </w:r>
      <w:r>
        <w:t>: sindicales), conforme con la STC 95/2002, FJ 21, no puede desconocer la distribución constitucional de competencias; y por último, que no cabe justificar tampoco la centralización indicada, en la existencia de la Fundación tripartita para la formación en el empleo, a la que se le confían funciones dentro del procedimiento de selección y de control posterior sobre el uso de los fondos. De nuevo y con cita de la STC 95/2002, ahora en sus FFJJ 18 y 19, en relación con la STC 13/1992, de 6 de febrero, se insiste en el reparto de competencias Estado-Comunidades Autónomas para la financiación de la formación profesional contínua, distinguiendo respectivamente entre la actividad normativa y aquella de ejecución, lo que determina la “territorialización” de las partidas.</w:t>
      </w:r>
    </w:p>
    <w:p w:rsidR="00AC56D6" w:rsidRDefault="00AC56D6" w:rsidP="00AC56D6">
      <w:pPr>
        <w:pStyle w:val="TextoNormal"/>
      </w:pPr>
    </w:p>
    <w:p w:rsidR="00AC56D6" w:rsidRDefault="00AC56D6" w:rsidP="00AC56D6">
      <w:pPr>
        <w:pStyle w:val="TextoNormal"/>
      </w:pPr>
      <w:r>
        <w:t xml:space="preserve">Añade el escrito que la convocatoria objeto de la resolución impugnada no garantiza el carácter supraterritorial de los programas, pues “las acciones subvencionables (planes de formación intersectoriales, de formación intersectoriales específicos de la economía social, </w:t>
      </w:r>
      <w:r>
        <w:lastRenderedPageBreak/>
        <w:t>de formación intersectoriales dirigidos a trabajadores autónomos y de formación sectoriales), no son en absoluto de una dimensión necesariamente supraautonómica, sino todo lo contrario, tienen una plasmación local o intraautonómica, sin perjuicio de que la normación de tales ayudas esté centralizada, por eso se entrega al Estado la regulación al detalle de las mismas”. Tampoco queda garantizado, en fin, cuando “otra vez, [en] el artículo 15, no se valora la dimensión territorial del programa, ni en el Anexo I se hace referencia a que se demuestre y explicite esa dimensión estatal de la actuación a desarrollar”.</w:t>
      </w:r>
    </w:p>
    <w:p w:rsidR="00AC56D6" w:rsidRDefault="00AC56D6" w:rsidP="00AC56D6">
      <w:pPr>
        <w:pStyle w:val="TextoNormal"/>
      </w:pPr>
    </w:p>
    <w:p w:rsidR="00AC56D6" w:rsidRDefault="00AC56D6" w:rsidP="00AC56D6">
      <w:pPr>
        <w:pStyle w:val="TextoNormal"/>
      </w:pPr>
      <w:r>
        <w:t>Con arreglo a los argumentos expuestos, el Letrado de la Xunta de Galicia solicita en el suplico de su escrito que este Tribunal tenga por interpuesto conflicto positivo de competencia en relación con la resolución de 1 de febrero de 2010 del servicio público de empleo estatal ya identificada y, una vez tramitado el procedimiento, dictemos Sentencia que declare vulneradas las competencias previstas en el art. 29.1 del Estatuto de la Comunidad Autónoma de Galicia, “y se proceda a la anulación total de la citada resolución, o, en su defecto, de sus artículos 1, 2, 6, 7, 8, 10 a 23, ambos inclusive, Disposición Transitoria única y Anexos I, II y III, y, en definitiva, se reconozca que la competencia corresponde a la Comunidad Autónoma de Galicia, disponiéndose que ese libramiento de fondos se debe ajustar a lo recogido en la letra c) del fundamento jurídico 8 de la STC 13/1992, dejando a las Comunidades Autónomas toda la gestión, unido a la necesaria territorialización de los fondos”.</w:t>
      </w:r>
    </w:p>
    <w:p w:rsidR="00AC56D6" w:rsidRDefault="00AC56D6" w:rsidP="00AC56D6">
      <w:pPr>
        <w:pStyle w:val="TextoNormal"/>
      </w:pPr>
    </w:p>
    <w:p w:rsidR="00AC56D6" w:rsidRDefault="00AC56D6" w:rsidP="00AC56D6">
      <w:pPr>
        <w:pStyle w:val="TextoNormal"/>
      </w:pPr>
      <w:r w:rsidRPr="00AC56D6">
        <w:rPr>
          <w:rStyle w:val="NumeroAFNegritaCaracter"/>
        </w:rPr>
        <w:t>3</w:t>
      </w:r>
      <w:r>
        <w:t>. Este Tribunal, mediante providencia de fecha 14 de julio de 2010, dictada por el Pleno a propuesta de la Sección Cuarta, acordó los pronunciamientos que siguen: a) admitir a trámite el conflicto positivo de competencia planteado; b) de conformidad con lo dispuesto en el art. 10.2 de la Ley Orgánica del Tribunal Constitucional (LOTC), atribuir su conocimiento a la Sala Segunda, a la que por turno objetivo de reparto le ha correspondido; c) dar traslado de la demanda y documentos presentados al Gobierno de la Nación, por conducto de su Presidente, al objeto de que en el plazo de veinte días y por medio de la representación procesal que señala el art. 82.2 de la misma LOTC, pueda personarse a efectos de formular las alegaciones y aportar los documentos que tenga por conveniente; d) comunicar la incoación del presente conflicto a la Sala de lo Contencioso-Administrativo del Tribunal Superior de Justicia de Madrid, por si ante la misma estuviera impugnada o se impugnare la citada resolución, en cuyo caso se suspendería el curso de dicho proceso hasta la decisión del presente conflicto, conforme dispone el art. 61.2 LOTC; y e) publicar la incoación de este conflicto en el “Boletín Oficial del Estado” y en el “Boletín Oficial de la Comunidad de Madrid”.</w:t>
      </w:r>
    </w:p>
    <w:p w:rsidR="00AC56D6" w:rsidRDefault="00AC56D6" w:rsidP="00AC56D6">
      <w:pPr>
        <w:pStyle w:val="TextoNormal"/>
      </w:pPr>
    </w:p>
    <w:p w:rsidR="00AC56D6" w:rsidRDefault="00AC56D6" w:rsidP="00AC56D6">
      <w:pPr>
        <w:pStyle w:val="TextoNormal"/>
      </w:pPr>
      <w:r w:rsidRPr="00AC56D6">
        <w:rPr>
          <w:rStyle w:val="NumeroAFNegritaCaracter"/>
        </w:rPr>
        <w:t>4</w:t>
      </w:r>
      <w:r>
        <w:t>. Con fecha 26 de julio de 2010, se registró escrito del Abogado del Estado actuando en la representación que legalmente ostenta, por el que solicitó se le tuviera por personado en las actuaciones, concediéndole prórroga del plazo para formular alegaciones, hasta el máximo legal.</w:t>
      </w:r>
    </w:p>
    <w:p w:rsidR="00AC56D6" w:rsidRDefault="00AC56D6" w:rsidP="00AC56D6">
      <w:pPr>
        <w:pStyle w:val="TextoNormal"/>
      </w:pPr>
    </w:p>
    <w:p w:rsidR="00AC56D6" w:rsidRDefault="00AC56D6" w:rsidP="00AC56D6">
      <w:pPr>
        <w:pStyle w:val="TextoNormal"/>
      </w:pPr>
      <w:r>
        <w:t>A esta petición se proveyó mediante providencia de la Sala Segunda de este Tribunal de 28 de julio de 2010, acordando prorrogar en diez días el plazo originalmente concedido.</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5</w:t>
      </w:r>
      <w:r>
        <w:t>. El 15 de septiembre de 2010 tuvo entrada en el Registro General de este Tribunal, escrito de alegaciones del Abogado del Estado por el que suplica “la desestimación del conflicto promovido, declarando ajustarse plenamente la Resolución impugnada al orden constitucional de competencias”.</w:t>
      </w:r>
    </w:p>
    <w:p w:rsidR="00AC56D6" w:rsidRDefault="00AC56D6" w:rsidP="00AC56D6">
      <w:pPr>
        <w:pStyle w:val="TextoNormal"/>
      </w:pPr>
    </w:p>
    <w:p w:rsidR="00AC56D6" w:rsidRDefault="00AC56D6" w:rsidP="00AC56D6">
      <w:pPr>
        <w:pStyle w:val="TextoNormal"/>
      </w:pPr>
      <w:r>
        <w:t>Los argumentos para oponerse al conflicto planteado se estructuran en torno a seis “alegaciones”, que tienen el siguiente contenido:</w:t>
      </w:r>
    </w:p>
    <w:p w:rsidR="00AC56D6" w:rsidRDefault="00AC56D6" w:rsidP="00AC56D6">
      <w:pPr>
        <w:pStyle w:val="TextoNormal"/>
      </w:pPr>
    </w:p>
    <w:p w:rsidR="00AC56D6" w:rsidRDefault="00AC56D6" w:rsidP="00AC56D6">
      <w:pPr>
        <w:pStyle w:val="TextoNormal"/>
      </w:pPr>
      <w:r>
        <w:t>a) En la alegación “I” se suscita “como cuestión procesal previa la infracción de lo previsto en el art. 63-3 LOTC”, en el que se impone a la parte que promueve el conflicto, la carga de especificar en el trámite de requerimiento previo de incompetencia dirigido al órgano presuntamente infractor, los preceptos viciados de incompetencia.</w:t>
      </w:r>
    </w:p>
    <w:p w:rsidR="00AC56D6" w:rsidRDefault="00AC56D6" w:rsidP="00AC56D6">
      <w:pPr>
        <w:pStyle w:val="TextoNormal"/>
      </w:pPr>
    </w:p>
    <w:p w:rsidR="00AC56D6" w:rsidRDefault="00AC56D6" w:rsidP="00AC56D6">
      <w:pPr>
        <w:pStyle w:val="TextoNormal"/>
      </w:pPr>
      <w:r>
        <w:t>Se considera perpetrado tal incumplimiento porque, si bien “tanto en el requerimiento previo como en la demanda se pide la anulación total de la resolución impugnada, por lo que no puede hablarse propiamente de incongruencia”, no basta con incluir una relación de los números de los preceptos sino que se necesita “una precisa delimitación del objeto reivindicado, es decir, de las competencias concretas” que se suponen vulneradas, siendo que aquí “ni se indican como incursos en incompetencia todos los artículos de la resolución ni a todos ellos se les reprocha un vicio de incompetencia”. Se refiere a la relación de preceptos y causas de incompetencia que aparece en la página 4 del requerimiento efectuado por la Xunta al Gobierno de la Nación, relación que se reitera en la página 24 del escrito de impugnación formalizado ante este Tribunal y que dejamos reflejada en el apartado 2 d) de esta Sentencia, la cual a criterio del Abogado del Estado, no observa “mínimamente la exigencia que pide el referido art. 63.3 LOTC”.</w:t>
      </w:r>
    </w:p>
    <w:p w:rsidR="00AC56D6" w:rsidRDefault="00AC56D6" w:rsidP="00AC56D6">
      <w:pPr>
        <w:pStyle w:val="TextoNormal"/>
      </w:pPr>
    </w:p>
    <w:p w:rsidR="00AC56D6" w:rsidRDefault="00AC56D6" w:rsidP="00AC56D6">
      <w:pPr>
        <w:pStyle w:val="TextoNormal"/>
      </w:pPr>
      <w:r>
        <w:t>b) En el epígrafe “II” se denuncia un doble defecto procesal, ambos achacables al escrito de demanda. En primer lugar, la lectura del suplico mostraría una contradicción entre la petición de “territorialización de las determinaciones de la resolución” impugnada, y la solicitud de anulación total de la misma, que se formulan de manera simultánea. Tal contradicción resulta del hecho, explica, de que la primera de ambas pretensiones “presupone la validez de unos presupuestos o reglas en cuyo desarrollo o ejecución, según los casos, se colocan o subrogan las Comunidades Autónomas …; resulta contradictorio aspirar a una competencia supuestamente nacida de la entrada en vigor de la resolución que se impugna y al tiempo rechazar la validez global de esa misma disposición”.</w:t>
      </w:r>
    </w:p>
    <w:p w:rsidR="00AC56D6" w:rsidRDefault="00AC56D6" w:rsidP="00AC56D6">
      <w:pPr>
        <w:pStyle w:val="TextoNormal"/>
      </w:pPr>
    </w:p>
    <w:p w:rsidR="00AC56D6" w:rsidRDefault="00AC56D6" w:rsidP="00AC56D6">
      <w:pPr>
        <w:pStyle w:val="TextoNormal"/>
      </w:pPr>
      <w:r>
        <w:t>En segundo lugar y luego de la anterior indicación, señala el Abogado del Estado que la demanda adolece —en línea con lo denunciado antes, respecto del requerimiento de incompetencia— de una falta de concreción de los motivos de inconstitucionalidad, pues lo planteado por la Xunta no pasa de ser “un vago reproche de inconstitucionalidad”, sin haber individualizado las competencias de ejecución que reclama para sí.</w:t>
      </w:r>
    </w:p>
    <w:p w:rsidR="00AC56D6" w:rsidRDefault="00AC56D6" w:rsidP="00AC56D6">
      <w:pPr>
        <w:pStyle w:val="TextoNormal"/>
      </w:pPr>
    </w:p>
    <w:p w:rsidR="00AC56D6" w:rsidRDefault="00AC56D6" w:rsidP="00AC56D6">
      <w:pPr>
        <w:pStyle w:val="TextoNormal"/>
      </w:pPr>
      <w:r>
        <w:t>Cierra este apartado concluyendo que “existe una defectuosa formalización procesal del conflicto, por la insuficiente identificación del objeto de su reivindicación, tanto en su pretensión principal —de anulación de la resolución— como en la mera cita de una larga serie de preceptos impugnados en fórmula subsidiaria sin la menor explicación, ni fundamentación de su inclusión en el procedimiento”.</w:t>
      </w:r>
    </w:p>
    <w:p w:rsidR="00AC56D6" w:rsidRDefault="00AC56D6" w:rsidP="00AC56D6">
      <w:pPr>
        <w:pStyle w:val="TextoNormal"/>
      </w:pPr>
    </w:p>
    <w:p w:rsidR="00AC56D6" w:rsidRDefault="00AC56D6" w:rsidP="00AC56D6">
      <w:pPr>
        <w:pStyle w:val="TextoNormal"/>
      </w:pPr>
      <w:r>
        <w:lastRenderedPageBreak/>
        <w:t>c) Ya en relación con el fondo, el epígrafe “III” empieza por recordar que la Comunidad promotora del conflicto postula como título competencial aplicable a la controversia el de la materia laboral, art. 149.1.7 CE, tanto cuando se trata de acciones formativas de trabajadores ocupados, a quienes se dirige prioritariamente la convocatoria impugnada, como a las personas sin empleo a las que hace mención el artículo 5 b) de la resolución. Un criterio —el del título competencial— con el que está de acuerdo, sin perjuicio de considerar también la posible aplicación a este ámbito, de las competencias exclusivas del Estado en materia de coordinación de la actividad económica (art. 149.1.13 CE) y régimen económico de la seguridad social (art. 149.1.17 CE), como ya ha defendido, añade, en otros conflictos planteados ante este Tribunal.</w:t>
      </w:r>
    </w:p>
    <w:p w:rsidR="00AC56D6" w:rsidRDefault="00AC56D6" w:rsidP="00AC56D6">
      <w:pPr>
        <w:pStyle w:val="TextoNormal"/>
      </w:pPr>
    </w:p>
    <w:p w:rsidR="00AC56D6" w:rsidRDefault="00AC56D6" w:rsidP="00AC56D6">
      <w:pPr>
        <w:pStyle w:val="TextoNormal"/>
      </w:pPr>
      <w:r>
        <w:t>d) Despejado el interrogante del título competencial, el epígrafe “IV” se opone al planteamiento de partida formulado por la Xunta de Galicia, que califica las previsiones de la convocatoria de subvenciones que aprueba la resolución impugnada como actos de gestión administrativa o de ejecución. No lo considera así el Abogado del Estado, que por el contrario asigna a la convocatoria una naturaleza normativa: “La convocatoria representa y contiene la íntegra disciplina jurídica de la concesión de estas ayudas … [no es] el mero trámite administrativo de llamar a los aspirantes a concurrir a su obtención sobre una regulación precedentemente dictada; es la norma rectora de su objeto y ámbito de aplicación, de sus condiciones financieras, de las acciones subvencionables, de los posibles beneficiarios y del procedimiento por el que se han de regir. Tales determinaciones vinculan a la Administración, a los ciudadanos y a los Tribunales … no se han dictado las bases normativas de esta concreta subvención por Orden Ministerial; ello es debido a la delegación contenida en la Orden TAS 718/2008, de 7 de marzo, en cuya disposición final tercera se previene este cometido a favor del Director General del Servicio Público de Empleo Estatal. Estamos en presencia de un conjunto preciso de normas jurídicas por más que su contenido sea aprobado por medio de una convocatoria (art. 1) y por más que el rango formal sea el de una resolución; esos son aspectos accesorios y externos a la genuina naturaleza normativa de su contenido”.</w:t>
      </w:r>
    </w:p>
    <w:p w:rsidR="00AC56D6" w:rsidRDefault="00AC56D6" w:rsidP="00AC56D6">
      <w:pPr>
        <w:pStyle w:val="TextoNormal"/>
      </w:pPr>
    </w:p>
    <w:p w:rsidR="00AC56D6" w:rsidRDefault="00AC56D6" w:rsidP="00AC56D6">
      <w:pPr>
        <w:pStyle w:val="TextoNormal"/>
      </w:pPr>
      <w:r>
        <w:t>Y partiendo de esta calificación, el representante procesal del Gobierno de la Nación sostiene que estamos ante el ejercicio de la competencia exclusiva del Estado en materia de legislación laboral, citando en su apoyo la STC 195/1996, de 28 de noviembre, FJ 11, que define tal competencia como “completa”. Afirma, así, que la demanda de planteamiento del conflicto se basa en una “caracterización indebida del propio objeto de impugnación, que quiere situar el contenido de la resolución bajo el esquema de ‘ejecución’ o ‘gestión’ utilizando un argumento de escueta simplicidad … que la resolución no es más que una mera convocatoria”; error éste que explica a su vez el que se reivindique, de manera contradictoria, el ejercicio de la competencia ejecutiva con la nulidad de la resolución.</w:t>
      </w:r>
    </w:p>
    <w:p w:rsidR="00AC56D6" w:rsidRDefault="00AC56D6" w:rsidP="00AC56D6">
      <w:pPr>
        <w:pStyle w:val="TextoNormal"/>
      </w:pPr>
    </w:p>
    <w:p w:rsidR="00AC56D6" w:rsidRDefault="00AC56D6" w:rsidP="00AC56D6">
      <w:pPr>
        <w:pStyle w:val="TextoNormal"/>
      </w:pPr>
      <w:r>
        <w:t xml:space="preserve">e) Pasa a continuación el escrito de oposición al conflicto, a situar el problema en los términos de la STC 13/1992, FJ 8, a la sazón invocada por la Xunta de Galicia. Precisa ante todo que no se dilucida en ella el destino del libramiento de fondos, sino el deslinde de competencias entre quien tiene confiada la atribución normativa “plena” en la materia y quien ostenta la ejecutiva, un deslinde que a su juicio reconoce la propia demanda, al incluirlo en su suplico. Los preceptos de la resolución impugnada, insiste, tienen carácter normativo, de modo que “[s]in estas normas … no sabríamos ni para qué son estas subvenciones, ni quienes pueden aspirar a obtenerlas ni en qué cuantía. No se explicará fácilmente </w:t>
      </w:r>
      <w:r>
        <w:lastRenderedPageBreak/>
        <w:t>qué ‘territorialización’ podría acordarse prescindiendo de tales normas”. Por tanto, no se comprende que se fundamente el conflicto en la cita de la STC 13/1992, la cual declara la competencia (normativa) del Estado, que la Comunidad Autónoma igualmente reconoce.</w:t>
      </w:r>
    </w:p>
    <w:p w:rsidR="00AC56D6" w:rsidRDefault="00AC56D6" w:rsidP="00AC56D6">
      <w:pPr>
        <w:pStyle w:val="TextoNormal"/>
      </w:pPr>
    </w:p>
    <w:p w:rsidR="00AC56D6" w:rsidRDefault="00AC56D6" w:rsidP="00AC56D6">
      <w:pPr>
        <w:pStyle w:val="TextoNormal"/>
      </w:pPr>
      <w:r>
        <w:t>f) El epígrafe “VI” pasa a tratar otras alegaciones del escrito de planteamiento del conflicto con las que también discrepa el Abogado del Estado. Previamente a ello deja sentadas dos aclaraciones. La primera, como colofón del epígrafe anterior, es indicar que también “desde la perspectiva constitucional” del fundamento jurídico 8, supuesto “c” de la STC 13/1992, estamos ante una competencia del Estado. La segunda es que la resolución combatida se ha dictado atendiendo a la planificación del mercado de trabajo y su evolución, según se explica en la exposición de motivos de aquélla, empleando a tal fin los planes formativos de nivel nacional, los cuales se limitan a organizaciones o entidades sociales con implantación intersectorial, y han de tener en cuenta la demanda nacional en el mercado de trabajo.</w:t>
      </w:r>
    </w:p>
    <w:p w:rsidR="00AC56D6" w:rsidRDefault="00AC56D6" w:rsidP="00AC56D6">
      <w:pPr>
        <w:pStyle w:val="TextoNormal"/>
      </w:pPr>
    </w:p>
    <w:p w:rsidR="00AC56D6" w:rsidRDefault="00AC56D6" w:rsidP="00AC56D6">
      <w:pPr>
        <w:pStyle w:val="TextoNormal"/>
      </w:pPr>
      <w:r>
        <w:t>Seguidamente alude el Abogado del Estado a las “dos objeciones básicas” puestas por la Comunidad Autónoma promotora del conflicto, a dicha previsión planificadora. En primer lugar, en cuanto a la utilización de formulas de gestión indirecta o de colaboración con las entidades sociales, es una objeción sobre la regulación de fondo que deviene ajena a la naturaleza competencial de este proceso; guardando paralelismo con la impugnación efectuada por la Xunta de Galicia al art. 2 del Real Decreto 395/2007, en el conflicto núm. 6767-2007, por lo que se remite a las consideraciones realizadas al respecto en aquel otro proceso.</w:t>
      </w:r>
    </w:p>
    <w:p w:rsidR="00AC56D6" w:rsidRDefault="00AC56D6" w:rsidP="00AC56D6">
      <w:pPr>
        <w:pStyle w:val="TextoNormal"/>
      </w:pPr>
    </w:p>
    <w:p w:rsidR="00AC56D6" w:rsidRDefault="00AC56D6" w:rsidP="00AC56D6">
      <w:pPr>
        <w:pStyle w:val="TextoNormal"/>
      </w:pPr>
      <w:r>
        <w:t>El “segundo grupo de objeciones” se refiere a la tesis de la demanda de negar relevancia al carácter supra territorial de los planes de formación como “pretexto artificioso” para justificar indebidamente una competencia ejecutiva al Estado, cuando bastaría que éste se limitara a labores de coordinación, permitiendo con ello a la Comunidad Autónoma asumir las tareas de gestión. Rebate esta estrategia el Abogado del Estado, razonando que la “supra territorialidad” deriva de varias circunstancias: además de los beneficiarios, los planes que se subvencionan han de tener ámbito estatal (artículo 1 de la resolución), en desarrollo de lo previsto por la Orden TAS/718/2008, y sobre ésta por el art. 6.4 del Real Decreto 395/2007 —que reproduce—, siempre en relación a la financiación de planes de formación de ámbito estatal.</w:t>
      </w:r>
    </w:p>
    <w:p w:rsidR="00AC56D6" w:rsidRDefault="00AC56D6" w:rsidP="00AC56D6">
      <w:pPr>
        <w:pStyle w:val="TextoNormal"/>
      </w:pPr>
    </w:p>
    <w:p w:rsidR="00AC56D6" w:rsidRDefault="00AC56D6" w:rsidP="00AC56D6">
      <w:pPr>
        <w:pStyle w:val="TextoNormal"/>
      </w:pPr>
      <w:r>
        <w:t>Constata, así, que “[e]sta serie de disposiciones a lo largo de un considerable espacio de tiempo revela que esa gestión centralizada por parte de un organismo especializado y para supuestos —únicamente— en los que la acción requiera una proyección territorial más amplia que la delimitada para cada Comunidad Autónoma no es una ocurrencia ocasional del momento, ni es tampoco un expediente buscado como pretexto para centralizar la gestión y eliminar la territorialización de los fondos, como se pretende en la demanda”. Por lo demás, el carácter supra territorial “es una exigencia explícita tanto en la resolución como en los preceptos que la habilitan, de forma que aquel carácter se erige en una regla base de la propia subvención”.</w:t>
      </w:r>
    </w:p>
    <w:p w:rsidR="00AC56D6" w:rsidRDefault="00AC56D6" w:rsidP="00AC56D6">
      <w:pPr>
        <w:pStyle w:val="TextoNormal"/>
      </w:pPr>
    </w:p>
    <w:p w:rsidR="00AC56D6" w:rsidRDefault="00AC56D6" w:rsidP="00AC56D6">
      <w:pPr>
        <w:pStyle w:val="TextoNormal"/>
      </w:pPr>
      <w:r>
        <w:t xml:space="preserve">En todo caso, remacha, si en algún momento se incumpliera el requisito del carácter supra territorial del plan, existen mecanismos contemplados en el ordenamiento para reaccionar en contra, como por ejemplo el que implementa el art. 23 de la propia resolución (reintegro de la subvención si se incumplen las condiciones), que se ha trasladado desde la </w:t>
      </w:r>
      <w:r>
        <w:lastRenderedPageBreak/>
        <w:t>Ley 38/2003, de 17 de noviembre, general de subvenciones, mecanismo que la promotora del presente conflicto “incluye sin especial justificación de causa entre los preceptos lesivos de su competencia”. Añade que desde el punto de vista del mercado de trabajo, “los datos, previsiones, recomendaciones o determinaciones de un plan de estas características no pueden ser los mismo en un ámbito o mercado local, que en un ámbito regional o nacional. Por múltiples razones, pueden presentarse desajustes de oferta o demanda de trabajo en ámbitos reducidos que sin embargo en ámbitos más amplios ofrezcan la oportunidad de reducirse o anularse”.</w:t>
      </w:r>
    </w:p>
    <w:p w:rsidR="00AC56D6" w:rsidRDefault="00AC56D6" w:rsidP="00AC56D6">
      <w:pPr>
        <w:pStyle w:val="TextoNormal"/>
      </w:pPr>
    </w:p>
    <w:p w:rsidR="00AC56D6" w:rsidRDefault="00AC56D6" w:rsidP="00AC56D6">
      <w:pPr>
        <w:pStyle w:val="TextoNormal"/>
      </w:pPr>
      <w:r>
        <w:t>Teniendo todo esto en cuenta, afirma el escrito de oposición al conflicto que “en definitiva justifica la competencia [del Estado] no ya según el apartado C) del Fº 8º de la STC 13/1992, sino según el apartado D) del mismo precepto”. Reprocha a la demanda que critica la centralización de la gestión de estos planes, sino dar una “argumentación mínima” sobre cómo podría la misma descentralizarse. Y termina diciendo que: “la excepcionalidad del supuesto y la necesidad de una gestión centralizada se deduce sin esfuerzo de la naturaleza y contenido de la medida”. Como se adelantó ya, el suplico del escrito solicita con base a lo expuesto, la desestimación del conflicto.</w:t>
      </w:r>
    </w:p>
    <w:p w:rsidR="00AC56D6" w:rsidRDefault="00AC56D6" w:rsidP="00AC56D6">
      <w:pPr>
        <w:pStyle w:val="TextoNormal"/>
      </w:pPr>
    </w:p>
    <w:p w:rsidR="00AC56D6" w:rsidRDefault="00AC56D6" w:rsidP="00AC56D6">
      <w:pPr>
        <w:pStyle w:val="TextoNormal"/>
      </w:pPr>
      <w:r w:rsidRPr="00AC56D6">
        <w:rPr>
          <w:rStyle w:val="NumeroAFNegritaCaracter"/>
        </w:rPr>
        <w:t>6</w:t>
      </w:r>
      <w:r>
        <w:t>. En virtud de providencia de 17 de septiembre de 2015, se acordó señalar para deliberación y votación de la presente Sentencia el día 21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Se interpone el presente conflicto positivo de competencia por el Letrado de la Xunta de Galicia, en relación con la resolución de 1 de febrero de 2010, del Servicio Público de Empleo Estatal, “por la que se aprueba la convocatoria para la concesión, con cargo al ejercicio presupuestario de 2010, de subvenciones públicas para la ejecución de planes de formación mediante convenios, de ámbito estatal, dirigidos prioritariamente a los trabajadores ocupados, en aplicación de la Orden TAS/718/2008, de 7 de marzo, por la que se regula la formación de oferta y se establecen las bases reguladoras para la concesión de subvenciones públicas destinadas a su financiación”.</w:t>
      </w:r>
    </w:p>
    <w:p w:rsidR="00AC56D6" w:rsidRDefault="00AC56D6" w:rsidP="00AC56D6">
      <w:pPr>
        <w:pStyle w:val="TextoNormal"/>
      </w:pPr>
    </w:p>
    <w:p w:rsidR="00AC56D6" w:rsidRDefault="00AC56D6" w:rsidP="00AC56D6">
      <w:pPr>
        <w:pStyle w:val="TextoNormal"/>
      </w:pPr>
      <w:r>
        <w:t>En síntesis, considera la entidad promotora del presente conflicto positivo que la resolución impugnada invade la competencia de las Comunidades Autónomas, en concreto y por lo que a ella importa, la prevista en el art. 29.1 de su Estatuto de Autonomía relativa a la ejecución en materia laboral (“corresponde a la Comunidad Autónoma gallega la ejecución de la legislación del Estado en las siguientes materias: Uno. Laboral, asumiendo las facultades, competencias y servicios que en este ámbito, y a nivel de ejecución, ostenta actualmente el Estado respecto a las relaciones laborales, sin perjuicio de la alta inspección de éste. Quedan reservadas al Estado todas las competencias en materia de migraciones interiores y exteriores, fondos de ámbito nacional y de empleo, sin perjuicio de lo que establezcan las normas del Estado sobre estas materias”).</w:t>
      </w:r>
    </w:p>
    <w:p w:rsidR="00AC56D6" w:rsidRDefault="00AC56D6" w:rsidP="00AC56D6">
      <w:pPr>
        <w:pStyle w:val="TextoNormal"/>
      </w:pPr>
    </w:p>
    <w:p w:rsidR="00AC56D6" w:rsidRDefault="00AC56D6" w:rsidP="00AC56D6">
      <w:pPr>
        <w:pStyle w:val="TextoNormal"/>
      </w:pPr>
      <w:r>
        <w:t xml:space="preserve">Para ello se funda en el título competencial previsto en el art. 149.1.7 CE, así como en la doctrina constitucional que interpreta el alcance de este precepto en cuanto al reparto de funciones entre el Estado (legislación) y Comunidades Autónomas (ejecución); así como </w:t>
      </w:r>
      <w:r>
        <w:lastRenderedPageBreak/>
        <w:t>también la doctrina constitucional dictada en el ámbito de las subvenciones públicas, haciendo la demanda un reiterado llamamiento a que se aplique la STC 13/1992, de 6 de febrero, FJ 8, y dentro de éste, al supuesto descrito como “c”, lo que comporta que se respeten las competencias autonómicas en el ámbito de subvenciones para programas donde se tiene la competencia material de ejecución, como sería este caso.</w:t>
      </w:r>
    </w:p>
    <w:p w:rsidR="00AC56D6" w:rsidRDefault="00AC56D6" w:rsidP="00AC56D6">
      <w:pPr>
        <w:pStyle w:val="TextoNormal"/>
      </w:pPr>
    </w:p>
    <w:p w:rsidR="00AC56D6" w:rsidRDefault="00AC56D6" w:rsidP="00AC56D6">
      <w:pPr>
        <w:pStyle w:val="TextoNormal"/>
      </w:pPr>
      <w:r>
        <w:t>Por su parte, el representante procesal del Gobierno de la Nación opone tres óbices procesales y en su defecto y entrando en el fondo, solicita que declaremos la desestimación del conflicto por resultar constitucional la resolución impugnada, al tratarse del ejercicio de la potestad normativa del Estado que le pertenece en exclusiva, y correspondiendo el asunto antes bien, al supuesto “d)” del citado catálogo de la STC 13/1992, FJ 8.</w:t>
      </w:r>
    </w:p>
    <w:p w:rsidR="00AC56D6" w:rsidRDefault="00AC56D6" w:rsidP="00AC56D6">
      <w:pPr>
        <w:pStyle w:val="TextoNormal"/>
      </w:pPr>
    </w:p>
    <w:p w:rsidR="00AC56D6" w:rsidRDefault="00AC56D6" w:rsidP="00AC56D6">
      <w:pPr>
        <w:pStyle w:val="TextoNormal"/>
      </w:pPr>
      <w:r w:rsidRPr="00AC56D6">
        <w:rPr>
          <w:rStyle w:val="NumeroAFNegritaCaracter"/>
        </w:rPr>
        <w:t>2</w:t>
      </w:r>
      <w:r>
        <w:t>. Formalizadas así las respectivas pretensiones, ha de darse respuesta con carácter previo al estudio del fondo controvertido, a los defectos insubsanables de naturaleza procesal que achaca el Abogado del Estado en relación con el planteamiento del conflicto. Tales óbices, se adelanta, han de ser desestimados:</w:t>
      </w:r>
    </w:p>
    <w:p w:rsidR="00AC56D6" w:rsidRDefault="00AC56D6" w:rsidP="00AC56D6">
      <w:pPr>
        <w:pStyle w:val="TextoNormal"/>
      </w:pPr>
    </w:p>
    <w:p w:rsidR="00AC56D6" w:rsidRDefault="00AC56D6" w:rsidP="00AC56D6">
      <w:pPr>
        <w:pStyle w:val="TextoNormal"/>
      </w:pPr>
      <w:r>
        <w:t>a) Por lo que respecta, en primer lugar, a la supuesta indeterminación del objeto del conflicto en el trámite previo de requerimiento de incompetencia al Gobierno, con inobservancia de la carga impuesta por el art. 63.3 de la Ley Orgánica del Tribunal Constitucional:(LOTC; “en el requerimiento se especificarán con claridad los preceptos de la disposición o los puntos concretos de la resolución o acto viciados de incompetencia, así como las disposiciones legales o constitucionales de las que el vicio resulte”), no cabe compartir las apreciaciones del escrito de oposición.</w:t>
      </w:r>
    </w:p>
    <w:p w:rsidR="00AC56D6" w:rsidRDefault="00AC56D6" w:rsidP="00AC56D6">
      <w:pPr>
        <w:pStyle w:val="TextoNormal"/>
      </w:pPr>
    </w:p>
    <w:p w:rsidR="00AC56D6" w:rsidRDefault="00AC56D6" w:rsidP="00AC56D6">
      <w:pPr>
        <w:pStyle w:val="TextoNormal"/>
      </w:pPr>
      <w:r>
        <w:t>De acuerdo con el texto del citado requerimiento, que se adjunta como documento número dos del escrito de planteamiento del conflicto, tras exponer las normas determinantes del título competencial en disputa y hacer cita de resoluciones de este Tribunal Constitucional, se dice lo siguiente: “entendemos inconstitucional la Resolución en su conjunto, porque es una resolución de convocatoria de ayudas, y la facultad de proceder a la convocatoria pertenece a la dimensión ejecutiva o de gestión, residenciada en las autoridades autonómicas (por todas, STC 75/89 y la muy reciente STC 220/09), y porque no responde a la territorialización de los fondos en las Comunidades Autónomas”. En cuanto a este segundo motivo (la gestión centralizada de los fondos), se añade en el escrito a renglón seguido (“a mayores…”), tres datos que explicarían la invasión competencial alegada, agrupando los preceptos de la resolución que responderían a cada uno de ellos. Así se hace también después en el escrito de demanda, en los términos que hemos resumido en el antecedente 2 d) de esta Sentencia.</w:t>
      </w:r>
    </w:p>
    <w:p w:rsidR="00AC56D6" w:rsidRDefault="00AC56D6" w:rsidP="00AC56D6">
      <w:pPr>
        <w:pStyle w:val="TextoNormal"/>
      </w:pPr>
    </w:p>
    <w:p w:rsidR="00AC56D6" w:rsidRDefault="00AC56D6" w:rsidP="00AC56D6">
      <w:pPr>
        <w:pStyle w:val="TextoNormal"/>
      </w:pPr>
      <w:r>
        <w:t xml:space="preserve">Pues bien, ante todo no hay indeterminación invalidante del requerimiento efectuado, por el hecho de que la Comunidad Autónoma considere que la totalidad de la resolución de 1 de febrero de 2010 del Servicio Público de Empleo Estatal, y no solamente alguna de sus disposiciones, deviene inconstitucional por injerirse en la potestad autonómica de gestión en materia de planes de formación profesional. El requerimiento expone las razones para alcanzar tal diagnóstico, acaso de manera sucinta pero clara y entendible. Y añade, como hemos visto, una mención concreta a factores que ponen en entredicho la no “territorialización de los créditos” donde únicamente quedarían fuera de censura los arts. 3, 4, 5 y 9 de la </w:t>
      </w:r>
      <w:r>
        <w:lastRenderedPageBreak/>
        <w:t>resolución. Pero éstos, se insiste, ya han sido impugnados por las razones generales ofrecidas en el escrito de requerimiento de la Xunta. Por tanto, hemos de reputar suficientemente cumplida la finalidad del art. 63.3 LOTC; esto es, que el órgano “al que se imputa la extralimitación competencial pueda conocer los motivos de la invasión denunciada y, en su caso, corregirla” [STC 45/2015, de 5 de marzo, FJ 2 a)] o lo que es lo mismo, “apurar las posibilidades de resolución convencional o negociada de las diferencias entre el Estado y las Comunidades Autónomas” [STC 225/2012, de 29 de noviembre, FJ 2].</w:t>
      </w:r>
    </w:p>
    <w:p w:rsidR="00AC56D6" w:rsidRDefault="00AC56D6" w:rsidP="00AC56D6">
      <w:pPr>
        <w:pStyle w:val="TextoNormal"/>
      </w:pPr>
    </w:p>
    <w:p w:rsidR="00AC56D6" w:rsidRDefault="00AC56D6" w:rsidP="00AC56D6">
      <w:pPr>
        <w:pStyle w:val="TextoNormal"/>
      </w:pPr>
      <w:r>
        <w:t>Vale decir que por estas mismas razones, no encontramos tampoco indeterminada la argumentación del escrito de planteamiento del conflicto (como objeta el Abogado del Estado), que desarrolla ahora más prolijamente las líneas dialécticas del requerimiento previo, permitiendo conocer las razones fundadas en la invocación de normas del ordenamiento jurídico y de la doctrina constitucional, para sustentar la inconstitucionalidad, por invasión de competencia propia, de la resolución del Estado impugnada.</w:t>
      </w:r>
    </w:p>
    <w:p w:rsidR="00AC56D6" w:rsidRDefault="00AC56D6" w:rsidP="00AC56D6">
      <w:pPr>
        <w:pStyle w:val="TextoNormal"/>
      </w:pPr>
    </w:p>
    <w:p w:rsidR="00AC56D6" w:rsidRDefault="00AC56D6" w:rsidP="00AC56D6">
      <w:pPr>
        <w:pStyle w:val="TextoNormal"/>
      </w:pPr>
      <w:r>
        <w:t>b) Por último, sobre la alegación del Abogado del Estado de que existe una contradicción entre las peticiones reivindicadas por la Xunta de Galicia en el presente conflicto, también este óbice debe rechazarse toda vez que la lectura del mencionado suplico no permite llegar a las conclusiones que se ofrecen.</w:t>
      </w:r>
    </w:p>
    <w:p w:rsidR="00AC56D6" w:rsidRDefault="00AC56D6" w:rsidP="00AC56D6">
      <w:pPr>
        <w:pStyle w:val="TextoNormal"/>
      </w:pPr>
    </w:p>
    <w:p w:rsidR="00AC56D6" w:rsidRDefault="00AC56D6" w:rsidP="00AC56D6">
      <w:pPr>
        <w:pStyle w:val="TextoNormal"/>
      </w:pPr>
      <w:r>
        <w:t>En realidad, lo que pide el ente autonómico promotor del conflicto positivo, es que se dicte sentencia por la que este Tribunal “declare que se han vulnerado las competencias de la Comunidad Autónoma de Galicia” (las cuales de nuevo cita), “y se proceda a la anulación total de la citada resolución o, en su defecto” la de los preceptos de ésta que se relacionan, que son todos incluyendo los anexos I a III, exceptuando sólo los arts. 3, 4, 5 y 9.</w:t>
      </w:r>
    </w:p>
    <w:p w:rsidR="00AC56D6" w:rsidRDefault="00AC56D6" w:rsidP="00AC56D6">
      <w:pPr>
        <w:pStyle w:val="TextoNormal"/>
      </w:pPr>
    </w:p>
    <w:p w:rsidR="00AC56D6" w:rsidRDefault="00AC56D6" w:rsidP="00AC56D6">
      <w:pPr>
        <w:pStyle w:val="TextoNormal"/>
      </w:pPr>
      <w:r>
        <w:t>Tras dejar fijado el alcance de la nulidad que se impetra, añade: “en definitiva, se reconozca que la competencia corresponde a la Comunidad Autónoma de Galicia, disponiéndose que ese libramiento de fondos se debe ajustar a lo recogido en la letra c) del fundamento jurídico 8 de la STC 13/1992, dejando a las Comunidades Autónomas toda la gestión, unido a la necesaria territorialización de los fondos”.</w:t>
      </w:r>
    </w:p>
    <w:p w:rsidR="00AC56D6" w:rsidRDefault="00AC56D6" w:rsidP="00AC56D6">
      <w:pPr>
        <w:pStyle w:val="TextoNormal"/>
      </w:pPr>
    </w:p>
    <w:p w:rsidR="00AC56D6" w:rsidRDefault="00AC56D6" w:rsidP="00AC56D6">
      <w:pPr>
        <w:pStyle w:val="TextoNormal"/>
      </w:pPr>
      <w:r>
        <w:t>Ahora bien, que este Tribunal pueda formular pronunciamientos similares a los que se piden al final de dicho suplico, en orden al reconocimiento de la competencia autonómica debatida, no comporta tener que postular la validez de la resolución, más bien al contrario. Son pronunciamientos o declaraciones a favor de la Comunidad Autónoma dirigidas a vincular al Estado para que éste se abstenga de dictar nueva resolución que le confiera funciones que no tendría. La mención al “libramiento de fondos” y a su “necesaria territorialización”, se enmarca dentro de los efectos propios derivados de la nulidad de la resolución aquí impugnada, si la misma se acordarse. En este entendimiento de las cosas, que es el lógico, no procede tildar de incompatibles ambas pretensiones. Se desestima por tanto este otro óbice procesal.</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Nos hallamos en condiciones ya de entrar en el análisis del fondo. Antes sin embargo de dar respuesta a los motivos de inconstitucionalidad que vierte la Xunta de Galicia en su escrito de promoción del conflicto, conviene despejar un aspecto relevante para la decisión del asunto y sobre el que difieren ambas partes del proceso; aspecto que condiciona el debate </w:t>
      </w:r>
      <w:r>
        <w:lastRenderedPageBreak/>
        <w:t>en cuanto a la doctrina constitucional aplicable y su resultado. Se trata de la naturaleza jurídica de la resolución impugnada: mientras que la Comunidad Autónoma considera que estamos ante una actividad ejecutiva o de gestión de planes de formación profesional, el representante procesal del Gobierno de la Nación defiende en su escrito que dicha resolución evidencia el ejercicio de una potestad normativa, no de ejecución, reprochando precisamente a la Xunta que desnaturalice su verdadero carácter, lo que explica en buena medida, dice, lo innecesario del conflicto planteado.</w:t>
      </w:r>
    </w:p>
    <w:p w:rsidR="00AC56D6" w:rsidRDefault="00AC56D6" w:rsidP="00AC56D6">
      <w:pPr>
        <w:pStyle w:val="TextoNormal"/>
      </w:pPr>
    </w:p>
    <w:p w:rsidR="00AC56D6" w:rsidRDefault="00AC56D6" w:rsidP="00AC56D6">
      <w:pPr>
        <w:pStyle w:val="TextoNormal"/>
      </w:pPr>
      <w:r>
        <w:t>Más allá de reconocer ambos que el título competencial concernido en este caso es el del art. 149.1.7 CE (“El Estado tiene competencia exclusiva sobre las siguientes materias: 7. Legislación laboral, sin perjuicio de su ejecución por los órganos de las Comunidades Autónomas”), las consecuencias a la que cada uno llega merced a esa distinta calificación del acto impugnado, resultan diametralmente opuestas.</w:t>
      </w:r>
    </w:p>
    <w:p w:rsidR="00AC56D6" w:rsidRDefault="00AC56D6" w:rsidP="00AC56D6">
      <w:pPr>
        <w:pStyle w:val="TextoNormal"/>
      </w:pPr>
    </w:p>
    <w:p w:rsidR="00AC56D6" w:rsidRDefault="00AC56D6" w:rsidP="00AC56D6">
      <w:pPr>
        <w:pStyle w:val="TextoNormal"/>
      </w:pPr>
      <w:r>
        <w:t>Así las cosas, ha de concederse la razón al Letrado del Ejecutivo autonómico que defiende que la resolución de 1 de febrero de 2010 cuestionada es una actividad propia de ejecución, teniendo en cuenta para ello lo siguiente:</w:t>
      </w:r>
    </w:p>
    <w:p w:rsidR="00AC56D6" w:rsidRDefault="00AC56D6" w:rsidP="00AC56D6">
      <w:pPr>
        <w:pStyle w:val="TextoNormal"/>
      </w:pPr>
    </w:p>
    <w:p w:rsidR="00AC56D6" w:rsidRDefault="00AC56D6" w:rsidP="00AC56D6">
      <w:pPr>
        <w:pStyle w:val="TextoNormal"/>
      </w:pPr>
      <w:r>
        <w:t>a) El Servicio Público de Empleo Estatal dicta tal resolución para ordenar el reparto de subvenciones relativas a la realización de los programas de formación profesional para trabajadores ocupados mediante la suscripción de convenios de ámbito estatal, correspondiente al ejercicio presupuestario de 2010 (según el artículo 3, los convenios que se suscriban entre el 1 de enero y el 31 de diciembre de 2010), sin vocación de servir de marco a futuras convocatorias, pues nada se indica al respecto en alguno de sus artículos.</w:t>
      </w:r>
    </w:p>
    <w:p w:rsidR="00AC56D6" w:rsidRDefault="00AC56D6" w:rsidP="00AC56D6">
      <w:pPr>
        <w:pStyle w:val="TextoNormal"/>
      </w:pPr>
    </w:p>
    <w:p w:rsidR="00AC56D6" w:rsidRDefault="00AC56D6" w:rsidP="00AC56D6">
      <w:pPr>
        <w:pStyle w:val="TextoNormal"/>
      </w:pPr>
      <w:r>
        <w:t>Prueba de esto es que, aparte de la ampliación del plazo de ejecución de los planes del ejercicio de 2010, acordada por resolución del Servicio Público de Empleo Estatal de 20 de septiembre de ese año (“BOE” núm. 240, de 4 de octubre), fijándose como fecha límite la del 31 de marzo de 2011 —con modificación en este punto de su artículo 3—, es el propio Servicio Público de Empleo Estatal el que hubo de dictar nueva resolución el 18 de marzo de 2011 (“BOE” núm. 76, de 30 de marzo de 2011), con el fin de aprobar “la convocatoria para la concesión, con cargo al ejercicio presupuestario de 2011, de subvenciones públicas para la ejecución de planes de formación, de ámbito estatal, dirigidos prioritariamente a las personas ocupadas, en aplicación de la Orden TAS/718/2008, de 7 de marzo, por la que se regula la formación de oferta y se establecen las bases reguladoras para la concesión de subvenciones públicas destinadas a su financiación”.</w:t>
      </w:r>
    </w:p>
    <w:p w:rsidR="00AC56D6" w:rsidRDefault="00AC56D6" w:rsidP="00AC56D6">
      <w:pPr>
        <w:pStyle w:val="TextoNormal"/>
      </w:pPr>
    </w:p>
    <w:p w:rsidR="00AC56D6" w:rsidRDefault="00AC56D6" w:rsidP="00AC56D6">
      <w:pPr>
        <w:pStyle w:val="TextoNormal"/>
      </w:pPr>
      <w:r>
        <w:t>b) Como además se indica en la exposición de motivos de la resolución aquí impugnada: “[l]a Orden TAS/718/2008, de 7 de marzo (‘BOE’ de 18 de marzo de 2008), desarrolla el Real Decreto 395/2007, de 23 de marzo, en materia de formación de oferta y establece las bases reguladoras para la concesión de subvenciones públicas destinadas a su financiación”, es decir, constituyen las bases reguladoras de dicha convocatoria.</w:t>
      </w:r>
    </w:p>
    <w:p w:rsidR="00AC56D6" w:rsidRDefault="00AC56D6" w:rsidP="00AC56D6">
      <w:pPr>
        <w:pStyle w:val="TextoNormal"/>
      </w:pPr>
    </w:p>
    <w:p w:rsidR="00AC56D6" w:rsidRDefault="00AC56D6" w:rsidP="00AC56D6">
      <w:pPr>
        <w:pStyle w:val="TextoNormal"/>
      </w:pPr>
      <w:r>
        <w:t>c) La resolución no contempla la aprobación de otras disposiciones dirigidas a completar la ordenación de los aspectos la convocatoria ni a facilitar su efectividad, por cuanto en ella se prevén ya todos los requisitos necesarios para concurrir, el procedimiento para la concesión de las ayudas y los controles posteriores a implementar sobre el uso de los fondos entregados durante dicho ejercicio.</w:t>
      </w:r>
    </w:p>
    <w:p w:rsidR="00AC56D6" w:rsidRDefault="00AC56D6" w:rsidP="00AC56D6">
      <w:pPr>
        <w:pStyle w:val="TextoNormal"/>
      </w:pPr>
    </w:p>
    <w:p w:rsidR="00AC56D6" w:rsidRDefault="00AC56D6" w:rsidP="00AC56D6">
      <w:pPr>
        <w:pStyle w:val="TextoNormal"/>
      </w:pPr>
      <w:r>
        <w:t>d) Consecuentemente con ello, en fin, el propio Servicio Público de Empleo Estatal dictó resolución el 15 de diciembre de 2010, “por la que se aprueba la Instrucción de seguimiento y justificación de costes prevista en el artículo 22.1 de la Resolución de 1 de febrero de 2010”. Señala esta resolución de 15 de diciembre de 2010, “que la justificación de las subvenciones se realizará de conformidad con el precepto antes citado [art. 22.1 Resolución 1 de febrero de 2010] y con la Instrucción de seguimiento y justificación de costes aprobada mediante Resolución del Director General del Servicio Público de Empleo Estatal”, que es precisamente la que se dicta con este fin y aparece como anexo de dicha resolución.</w:t>
      </w:r>
    </w:p>
    <w:p w:rsidR="00AC56D6" w:rsidRDefault="00AC56D6" w:rsidP="00AC56D6">
      <w:pPr>
        <w:pStyle w:val="TextoNormal"/>
      </w:pPr>
    </w:p>
    <w:p w:rsidR="00AC56D6" w:rsidRDefault="00AC56D6" w:rsidP="00AC56D6">
      <w:pPr>
        <w:pStyle w:val="TextoNormal"/>
      </w:pPr>
      <w:r>
        <w:t>En resumen, aunque la resolución de convocatoria no se limita a establecer el procedimiento para el estudio y resolución de las solicitudes de ayudas, sino que incluye como es lógico en primer lugar aspectos esenciales de la convocatoria (su objeto y finalidad, duración, características de los planes de formación a cuya realización se dirigen, beneficiarios de las subvenciones, destinatarios de los planes, etc.), los artículos de la misma carecen de la vocación de generalidad y permanencia exigibles para poder dotarlos de un carácter normativo. Es pues, desde su consideración como actividad de ejecución, como debe de examinarse si el Estado resulta competente para su aprobación, así como para asumir la gestión centralizada de los fondos correspondientes, o si con ello, como postula la Xunta de Galicia, se invaden competencias autonómicas.</w:t>
      </w:r>
    </w:p>
    <w:p w:rsidR="00AC56D6" w:rsidRDefault="00AC56D6" w:rsidP="00AC56D6">
      <w:pPr>
        <w:pStyle w:val="TextoNormal"/>
      </w:pPr>
    </w:p>
    <w:p w:rsidR="00AC56D6" w:rsidRDefault="00AC56D6" w:rsidP="00AC56D6">
      <w:pPr>
        <w:pStyle w:val="TextoNormal"/>
      </w:pPr>
      <w:r w:rsidRPr="00AC56D6">
        <w:rPr>
          <w:rStyle w:val="NumeroAFNegritaCaracter"/>
        </w:rPr>
        <w:t>4</w:t>
      </w:r>
      <w:r>
        <w:t>. Para resolver esta cuestión, que se refiere a la competencia del Estado para la disposición de gasto público mediante el otorgamiento de subvenciones, en este caso en el ámbito de los programas de formación profesional, este Tribunal ha recordado por ejemplo en su STC 143/2014, de 22 de septiembre, FJ 5, que hemos de partir al respecto de la doctrina ya sentada en materia de subvenciones públicas por la STC 13/1992, de 6 de febrero, FJ 4, y reiterada entre otras en la más reciente STC 37/2013, de 14 de febrero, FJ 4, de acuerdo con la que: “el título competencial sobre el régimen normativo y de gestión de las subvenciones radica en la propia competencia que tenga fijada el Estado en la materia sobre la que se proyecte la subvención, ya que esta última en sí misma no delimita competencias”.</w:t>
      </w:r>
    </w:p>
    <w:p w:rsidR="00AC56D6" w:rsidRDefault="00AC56D6" w:rsidP="00AC56D6">
      <w:pPr>
        <w:pStyle w:val="TextoNormal"/>
      </w:pPr>
    </w:p>
    <w:p w:rsidR="00AC56D6" w:rsidRDefault="00AC56D6" w:rsidP="00AC56D6">
      <w:pPr>
        <w:pStyle w:val="TextoNormal"/>
      </w:pPr>
      <w:r>
        <w:t>Como indica el propio enunciado de la resolución de 1 de febrero de 2010, nos hallamos ante subvenciones para la realización de “planes de formación mediante convenios de ámbito estatal, dirigidos prioritariamente a los trabajadores ocupados”. La cobertura normativa de estos concretos planes de formación aparece en los arts. 22.1 a) y 24.2, ambos en relación con el art. 6.4, del Real Decreto 395/2007, de 23 de marzo, por el que se regula el subsistema de formación profesional para el empleo, en los cuales se establece lo siguiente:</w:t>
      </w:r>
    </w:p>
    <w:p w:rsidR="00AC56D6" w:rsidRDefault="00AC56D6" w:rsidP="00AC56D6">
      <w:pPr>
        <w:pStyle w:val="TextoNormal"/>
      </w:pPr>
    </w:p>
    <w:p w:rsidR="00AC56D6" w:rsidRDefault="00AC56D6" w:rsidP="00AC56D6">
      <w:pPr>
        <w:pStyle w:val="TextoNormal"/>
      </w:pPr>
      <w:r>
        <w:t>“Art. 6. Financiación.</w:t>
      </w:r>
    </w:p>
    <w:p w:rsidR="00AC56D6" w:rsidRDefault="00AC56D6" w:rsidP="00AC56D6">
      <w:pPr>
        <w:pStyle w:val="TextoNormal"/>
      </w:pPr>
    </w:p>
    <w:p w:rsidR="00AC56D6" w:rsidRDefault="00AC56D6" w:rsidP="00AC56D6">
      <w:pPr>
        <w:pStyle w:val="TextoNormal"/>
      </w:pPr>
      <w:r>
        <w:t xml:space="preserve"> … </w:t>
      </w:r>
    </w:p>
    <w:p w:rsidR="00AC56D6" w:rsidRDefault="00AC56D6" w:rsidP="00AC56D6">
      <w:pPr>
        <w:pStyle w:val="TextoNormal"/>
      </w:pPr>
    </w:p>
    <w:p w:rsidR="00AC56D6" w:rsidRDefault="00AC56D6" w:rsidP="00AC56D6">
      <w:pPr>
        <w:pStyle w:val="TextoNormal"/>
      </w:pPr>
      <w:r>
        <w:t xml:space="preserve">4. La parte de los fondos de formación profesional para el empleo fijada en la Ley de Presupuestos Generales del Estado para la financiación de las subvenciones gestionadas por el Servicio Público de Empleo Estatal se aplicará a los supuestos de planes o acciones formativas que trasciendan el ámbito territorial de una Comunidad Autónoma y requieran de </w:t>
      </w:r>
      <w:r>
        <w:lastRenderedPageBreak/>
        <w:t>una acción coordinada y homogénea, que tengan por objeto la impartición de acciones formativas relacionadas con el ejercicio de competencias exclusivas del Estado o que se dirijan a trabajadores inmigrantes en sus países de origen.”</w:t>
      </w:r>
    </w:p>
    <w:p w:rsidR="00AC56D6" w:rsidRDefault="00AC56D6" w:rsidP="00AC56D6">
      <w:pPr>
        <w:pStyle w:val="TextoNormal"/>
      </w:pPr>
    </w:p>
    <w:p w:rsidR="00AC56D6" w:rsidRDefault="00AC56D6" w:rsidP="00AC56D6">
      <w:pPr>
        <w:pStyle w:val="TextoNormal"/>
      </w:pPr>
      <w:r>
        <w:t>Este apartado cuarto contiene otros tres párrafos en los que se mencionan los criterios principales que permiten reconocer el cumplimiento de los requisitos de supra territorialidad y homogeneidad mencionados. Entre esos criterios se menciona el siguiente:</w:t>
      </w:r>
    </w:p>
    <w:p w:rsidR="00AC56D6" w:rsidRDefault="00AC56D6" w:rsidP="00AC56D6">
      <w:pPr>
        <w:pStyle w:val="TextoNormal"/>
      </w:pPr>
    </w:p>
    <w:p w:rsidR="00AC56D6" w:rsidRDefault="00AC56D6" w:rsidP="00AC56D6">
      <w:pPr>
        <w:pStyle w:val="TextoNormal"/>
      </w:pPr>
      <w:r>
        <w:t>“También se entiende que concurren estos requisitos en los planes de formación de carácter intersectorial cuando favorezcan la adquisición de competencias básicas que permitan mejorar la empleabilidad de los trabajadores y su promoción profesional y personal en el marco de la unidad de mercado, concurran las características de globalidad, integración y coordinación anteriormente indicadas y se lleven a cabo por las organizaciones empresariales y sindicales más representativas en el ámbito estatal, así como por las organizaciones de la economía social y asociaciones de autónomos, con notable implantación en dicho ámbito”.</w:t>
      </w:r>
    </w:p>
    <w:p w:rsidR="00AC56D6" w:rsidRDefault="00AC56D6" w:rsidP="00AC56D6">
      <w:pPr>
        <w:pStyle w:val="TextoNormal"/>
      </w:pPr>
    </w:p>
    <w:p w:rsidR="00AC56D6" w:rsidRDefault="00AC56D6" w:rsidP="00AC56D6">
      <w:pPr>
        <w:pStyle w:val="TextoNormal"/>
      </w:pPr>
      <w:r>
        <w:t xml:space="preserve">“Art. 22. Programación y gestión en el ámbito estatal. </w:t>
      </w:r>
    </w:p>
    <w:p w:rsidR="00AC56D6" w:rsidRDefault="00AC56D6" w:rsidP="00AC56D6">
      <w:pPr>
        <w:pStyle w:val="TextoNormal"/>
      </w:pPr>
    </w:p>
    <w:p w:rsidR="00AC56D6" w:rsidRDefault="00AC56D6" w:rsidP="00AC56D6">
      <w:pPr>
        <w:pStyle w:val="TextoNormal"/>
      </w:pPr>
      <w:r>
        <w:t>1. La programación y gestión de la oferta formativa en el ámbito estatal incluye, dentro de lo indicado en el artículo 6.4 de este Real Decreto: a) Los planes de formación dirigidos prioritariamente a los trabajadores ocupados, según la regulación contenida en el artículo 24. …</w:t>
      </w:r>
    </w:p>
    <w:p w:rsidR="00AC56D6" w:rsidRDefault="00AC56D6" w:rsidP="00AC56D6">
      <w:pPr>
        <w:pStyle w:val="TextoNormal"/>
      </w:pPr>
    </w:p>
    <w:p w:rsidR="00AC56D6" w:rsidRDefault="00AC56D6" w:rsidP="00AC56D6">
      <w:pPr>
        <w:pStyle w:val="TextoNormal"/>
      </w:pPr>
      <w:r>
        <w:t>2. Los planes de formación y los programas específicos a que se refieren las letras a) y b) del apartado anterior se financiarán mediante subvenciones públicas, previa convocatoria del Servicio Público de Empleo Estatal, conforme a las bases reguladoras que se establezcan mediante Orden del Ministro de Trabajo y Asuntos Sociales.”</w:t>
      </w:r>
    </w:p>
    <w:p w:rsidR="00AC56D6" w:rsidRDefault="00AC56D6" w:rsidP="00AC56D6">
      <w:pPr>
        <w:pStyle w:val="TextoNormal"/>
      </w:pPr>
    </w:p>
    <w:p w:rsidR="00AC56D6" w:rsidRDefault="00AC56D6" w:rsidP="00AC56D6">
      <w:pPr>
        <w:pStyle w:val="TextoNormal"/>
      </w:pPr>
      <w:r>
        <w:t>“Art. 24.2. En el ámbito estatal, la ejecución de los planes de formación se llevara a cabo mediante convenios suscritos en el marco del Sistema Nacional de Empleo entre el Servicio Público de Empleo Estatal y las siguientes organizaciones y entidades:</w:t>
      </w:r>
    </w:p>
    <w:p w:rsidR="00AC56D6" w:rsidRDefault="00AC56D6" w:rsidP="00AC56D6">
      <w:pPr>
        <w:pStyle w:val="TextoNormal"/>
      </w:pPr>
    </w:p>
    <w:p w:rsidR="00AC56D6" w:rsidRDefault="00AC56D6" w:rsidP="00AC56D6">
      <w:pPr>
        <w:pStyle w:val="TextoNormal"/>
      </w:pPr>
      <w:r>
        <w:t>a) Las Organizaciones Empresariales y Sindicales más representativas en el ámbito estatal, cuando se trate de planes de formación intersectoriales.</w:t>
      </w:r>
    </w:p>
    <w:p w:rsidR="00AC56D6" w:rsidRDefault="00AC56D6" w:rsidP="00AC56D6">
      <w:pPr>
        <w:pStyle w:val="TextoNormal"/>
      </w:pPr>
    </w:p>
    <w:p w:rsidR="00AC56D6" w:rsidRDefault="00AC56D6" w:rsidP="00AC56D6">
      <w:pPr>
        <w:pStyle w:val="TextoNormal"/>
      </w:pPr>
      <w:r>
        <w:t>Estos planes también se ejecutaran a través de convenios suscritos con las organizaciones representativas de la economía social con notable implantación en el ámbito estatal y las organizaciones representativas de autónomos de ámbito estatal y suficiente implantación, en cuyo caso la formación se dirigirá específicamente a los colectivos de trabajadores de la economía social y de autónomos, respectivamente.</w:t>
      </w:r>
    </w:p>
    <w:p w:rsidR="00AC56D6" w:rsidRDefault="00AC56D6" w:rsidP="00AC56D6">
      <w:pPr>
        <w:pStyle w:val="TextoNormal"/>
      </w:pPr>
    </w:p>
    <w:p w:rsidR="00AC56D6" w:rsidRDefault="00AC56D6" w:rsidP="00AC56D6">
      <w:pPr>
        <w:pStyle w:val="TextoNormal"/>
      </w:pPr>
      <w:r>
        <w:t>b) Las Organizaciones Empresariales y Sindicales más representativas en el ámbito estatal y las representativas en tal ámbito, cuando se trate de planes de formación sectoriales, así como los entes paritarios creados o amparados en el marco de la negociación colectiva sectorial estatal. En aquellos sectores en los que no exista negociación colectiva sectorial estatal, o la misma no esté suficientemente estructurada, se articularan las medidas necesarias para garantizar la formación de oferta en dichos sectores.”</w:t>
      </w:r>
    </w:p>
    <w:p w:rsidR="00AC56D6" w:rsidRDefault="00AC56D6" w:rsidP="00AC56D6">
      <w:pPr>
        <w:pStyle w:val="TextoNormal"/>
      </w:pPr>
    </w:p>
    <w:p w:rsidR="00AC56D6" w:rsidRDefault="00AC56D6" w:rsidP="00AC56D6">
      <w:pPr>
        <w:pStyle w:val="TextoNormal"/>
      </w:pPr>
      <w:r>
        <w:t>Así las cosas, respecto de la competencia del Estado para gestionar estos planes de formación de los artículos 6, 22 y 24.2, este Tribunal, en su STC 88/2014, de 9 de junio, dictada en resolución del conflicto positivo de competencia núm. 7264-2003 planteado por la propia Xunta de Galicia contra diversos preceptos del Real Decreto 395/2007, entre ellos justamente los tres arriba indicados, declaró que sin perjuicio del eventual exceso en que pudieran incurrir las futuras normas de desarrollo de rango inferior, por lo que concernía a la función atribuida al Estado en aquellos dispositivos, los mismos resultan respetuosos del sistema constitucional de competencias. Dijimos entonces:</w:t>
      </w:r>
    </w:p>
    <w:p w:rsidR="00AC56D6" w:rsidRDefault="00AC56D6" w:rsidP="00AC56D6">
      <w:pPr>
        <w:pStyle w:val="TextoNormal"/>
      </w:pPr>
    </w:p>
    <w:p w:rsidR="00AC56D6" w:rsidRDefault="00AC56D6" w:rsidP="00AC56D6">
      <w:pPr>
        <w:pStyle w:val="TextoNormal"/>
      </w:pPr>
      <w:r>
        <w:t>“El artículo 6 viene a distinguir, en el ámbito de los fondos de formación profesional para el empleo, entre los destinados a financiar subvenciones gestionadas por las Comunidades Autónomas (apartado 3) y los fondos que se destinen en la Ley de presupuestos generales del Estado a financiar subvenciones gestionadas por el Servicio Público de Empleo Estatal (apartado 4). Y, en lo que respecta a estos últimos, el art. 6.4 viene a establecer los criterios generales que habrán de ser tenidos en cuenta para que proceda la gestión de las subvenciones por el citado servicio público de empleo …; el [art. 6.4] efectúa una mera declaración enunciativa de las circunstancias o criterios que habrán de aplicarse a los planes o acciones formativas, para que su financiación pueda realizarse mediante subvenciones gestionadas por el Servicio Público de Empleo Estatal, criterios que se plasmarán en las disposiciones que reglamenten en el futuro dichas acciones formativas. Serán pues estas disposiciones, en las que se concreten las distintas acciones formativas, las que permitirán apreciar si concurren o no las circunstancias justificativas de la excepcionalidad determinante de la atribución al Estado de facultades de gestión. A ello cabe añadir que las características o criterios aplicables a las acciones formativas que el precepto regula, se incluyen dentro de los supuestos en los que se ha venido considerando por la jurisprudencia constitucional que concurren las circunstancias justificativas de la excepcionalidad determinante de la atribución al Estado de las facultades de gestión.”</w:t>
      </w:r>
    </w:p>
    <w:p w:rsidR="00AC56D6" w:rsidRDefault="00AC56D6" w:rsidP="00AC56D6">
      <w:pPr>
        <w:pStyle w:val="TextoNormal"/>
      </w:pPr>
    </w:p>
    <w:p w:rsidR="00AC56D6" w:rsidRDefault="00AC56D6" w:rsidP="00AC56D6">
      <w:pPr>
        <w:pStyle w:val="TextoNormal"/>
      </w:pPr>
      <w:r>
        <w:t>El párrafo reproducido no deja lugar a dudas: con independencia de lo que puedan llegar a establecer más adelante las normas de desarrollo (algo imposible, claro, de enjuiciar en ese momento), en todo caso los criterios…que “el precepto regula” (el precepto enjuiciado, es decir, el art. 6.4 del Real Decreto 395/2007), cumplen con las condiciones de excepcionalidad que se exigen por la propia doctrina constitucional para permitir al Estado la facultad ejecutiva.</w:t>
      </w:r>
    </w:p>
    <w:p w:rsidR="00AC56D6" w:rsidRDefault="00AC56D6" w:rsidP="00AC56D6">
      <w:pPr>
        <w:pStyle w:val="TextoNormal"/>
      </w:pPr>
    </w:p>
    <w:p w:rsidR="00AC56D6" w:rsidRDefault="00AC56D6" w:rsidP="00AC56D6">
      <w:pPr>
        <w:pStyle w:val="TextoNormal"/>
      </w:pPr>
      <w:r>
        <w:t>Para apoyar además esta declaración, la citada STC 88/2014, FJ 6, se remite a lo ya señalado en el mismo sentido en la anterior STC 244/2012, de 18 de diciembre, a propósito de las ayudas públicas para ciertos planes de formación previstos en los apartados 1 a 4 del art. 14 del Real Decreto 1046/2003, de 1 de agosto, “por el que se regula el subsistema de formación profesional continua”:</w:t>
      </w:r>
    </w:p>
    <w:p w:rsidR="00AC56D6" w:rsidRDefault="00AC56D6" w:rsidP="00AC56D6">
      <w:pPr>
        <w:pStyle w:val="TextoNormal"/>
      </w:pPr>
    </w:p>
    <w:p w:rsidR="00AC56D6" w:rsidRDefault="00AC56D6" w:rsidP="00AC56D6">
      <w:pPr>
        <w:pStyle w:val="TextoNormal"/>
      </w:pPr>
      <w:r>
        <w:t xml:space="preserve">“En concreto, y en materia de formación profesional, hemos afirmado que ‘el ámbito estatal de los destinatarios de las ayudas (confederaciones empresariales y/o sindicales más representativas en el nivel estatal; planes amparados en la negociación colectiva sectorial de ámbito estatal; federaciones y confederaciones de cooperativas, sociedades laborales y asociaciones de trabajadores autónomos con implantación en el ámbito estatal) y muy especialmente, el contenido y naturaleza de las acciones formativas financiadas (formación de </w:t>
      </w:r>
      <w:r>
        <w:lastRenderedPageBreak/>
        <w:t>carácter intersectorial; atención a necesidades formativas en aspectos transversales u horizontales en varios sectores de la actividad económica; formación a empresas de diferentes sectores productivos y situadas en diferentes Comunidades Autónomas, etc.) son todas ellas circunstancias que ponen de relieve el ámbito supraterritorial de desenvolvimiento de las acciones formativas, y, con ello, la exigencia ineludible de una coordinación homogénea, desarrollada por un único titular, como único medio para integrar los diversos componentes multisectoriales e interterritoriales implicados en la gestión y tramitación de estas ayudas, que hacen imposible su fraccionamiento y determinan que haya de ser el Estado, a través del INEM el que asuma las funciones de gestión y tramitación, en los términos contemplados en el supuesto que se analiza’ (STC 244/2012, FJ 7).”</w:t>
      </w:r>
    </w:p>
    <w:p w:rsidR="00AC56D6" w:rsidRDefault="00AC56D6" w:rsidP="00AC56D6">
      <w:pPr>
        <w:pStyle w:val="TextoNormal"/>
      </w:pPr>
    </w:p>
    <w:p w:rsidR="00AC56D6" w:rsidRDefault="00AC56D6" w:rsidP="00AC56D6">
      <w:pPr>
        <w:pStyle w:val="TextoNormal"/>
      </w:pPr>
      <w:r>
        <w:t>Esta misma remisión se llevó a cabo en nuestra posterior STC 198/2014, de 15 de diciembre, FJ 5 b), en el conflicto positivo de competencia núm. 6870-2007 planteado por el Gobierno de la Generalitat de Catalunya, de nuevo entre otros respecto de los arts. 22 y 24.2 del Real Decreto 395/2007.</w:t>
      </w:r>
    </w:p>
    <w:p w:rsidR="00AC56D6" w:rsidRDefault="00AC56D6" w:rsidP="00AC56D6">
      <w:pPr>
        <w:pStyle w:val="TextoNormal"/>
      </w:pPr>
    </w:p>
    <w:p w:rsidR="00AC56D6" w:rsidRDefault="00AC56D6" w:rsidP="00AC56D6">
      <w:pPr>
        <w:pStyle w:val="TextoNormal"/>
      </w:pPr>
      <w:r>
        <w:t xml:space="preserve">Para cerrar este círculo de consideraciones, cabe añadir que las bases por las que se regula la convocatoria aprobada por la resolución de 1 de febrero de 2010, son las contenidas a su vez en la Orden TAS/718/2008, de 7 de marzo, por la que se desarrolla el Real Decreto 395/2007, de 23 de marzo; bases que no ofrecieron tacha de constitucionalidad tampoco desde el prisma de la competencia del Estado </w:t>
      </w:r>
      <w:r w:rsidRPr="00AC56D6">
        <w:rPr>
          <w:i/>
        </w:rPr>
        <w:t>ex</w:t>
      </w:r>
      <w:r>
        <w:t xml:space="preserve"> art. 149.1.7 CE, tal y como se expresa en la STC 143/2014, de 22 de septiembre, dictada en el conflicto positivo de competencia núm. 5571-2008 promovido por el Consejo de Gobierno de la Comunidad de Madrid, contra diversos preceptos de aquella Orden. La competencia material de carácter ejecutivo sobre los mencionados planes de formación profesional a celebrarse mediante convenio de ámbito estatal, corresponde al Estado.</w:t>
      </w:r>
    </w:p>
    <w:p w:rsidR="00AC56D6" w:rsidRDefault="00AC56D6" w:rsidP="00AC56D6">
      <w:pPr>
        <w:pStyle w:val="TextoNormal"/>
      </w:pPr>
    </w:p>
    <w:p w:rsidR="00AC56D6" w:rsidRDefault="00AC56D6" w:rsidP="00AC56D6">
      <w:pPr>
        <w:pStyle w:val="TextoNormal"/>
      </w:pPr>
      <w:r w:rsidRPr="00AC56D6">
        <w:rPr>
          <w:rStyle w:val="NumeroAFNegritaCaracter"/>
        </w:rPr>
        <w:t>5</w:t>
      </w:r>
      <w:r>
        <w:t>. Llegados a este punto, únicamente resta por verificar que el reconocimiento de que concurren las circunstancias excepcionales fijadas por este Tribunal para que el Estado asuma de manera centralizada la ejecución de los planes de formación profesional para trabajadores ocupados mediante convenios de ámbito nacional, se proyecta también en cuanto a la potestad de gestionar las ayudas públicas dirigidas a su financiación, en este caso a cargo del Servicio público de empleo estatal, en los términos de la resolución de 1 de febrero de 2010 impugnada. De acuerdo a lo defendido por la Comunidad Autónoma promotora de este conflicto, la doctrina constitucional que resulta de aplicación al caso es la contenida, efectivamente, en la STC 13/1992, de 6 de febrero, FJ 8. Sin embargo, de los cuatro supuestos posibles que en este último se recogen, cada uno articulado con distinto reparto competencial respecto de la función material sobre la que gravitaría el otorgamiento de las ayudas, el supuesto adecuado aquí no sería el de la letra “c”, esto es, “aquél en que el Estado tiene atribuida la competencia sobre la legislación relativa a una materia, mientras que corresponde a la Comunidad Autónoma la competencia de ejecución”, sino, en realidad, el de la letra “d”:</w:t>
      </w:r>
    </w:p>
    <w:p w:rsidR="00AC56D6" w:rsidRDefault="00AC56D6" w:rsidP="00AC56D6">
      <w:pPr>
        <w:pStyle w:val="TextoNormal"/>
      </w:pPr>
    </w:p>
    <w:p w:rsidR="00AC56D6" w:rsidRDefault="00AC56D6" w:rsidP="00AC56D6">
      <w:pPr>
        <w:pStyle w:val="TextoNormal"/>
      </w:pPr>
      <w:r>
        <w:t xml:space="preserve">“[A]quél en que no obstante tener las Comunidades Autónomas competencias exclusivas sobre la materia en que recaen las subvenciones, éstas pueden ser gestionadas, excepcionalmente, por un órgano de la Administración del Estado u organismo de ésta dependiente, con la consiguiente consignación centralizada de las partidas presupuestarias en los Presupuestos Generales del Estado. Pero ello solo es posible cuando el Estado ostente algún título </w:t>
      </w:r>
      <w:r>
        <w:lastRenderedPageBreak/>
        <w:t>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w:t>
      </w:r>
    </w:p>
    <w:p w:rsidR="00AC56D6" w:rsidRDefault="00AC56D6" w:rsidP="00AC56D6">
      <w:pPr>
        <w:pStyle w:val="TextoNormal"/>
      </w:pPr>
    </w:p>
    <w:p w:rsidR="00AC56D6" w:rsidRDefault="00AC56D6" w:rsidP="00AC56D6">
      <w:pPr>
        <w:pStyle w:val="TextoNormal"/>
      </w:pPr>
      <w:r>
        <w:t>Así lo hemos apreciado ya en la referida STC 244/2012, FJ 7, en relación —reiteramos— con el sistema de ayudas del art. 14 del Real Decreto 1046/2003, razonándolo en estos términos:</w:t>
      </w:r>
    </w:p>
    <w:p w:rsidR="00AC56D6" w:rsidRDefault="00AC56D6" w:rsidP="00AC56D6">
      <w:pPr>
        <w:pStyle w:val="TextoNormal"/>
      </w:pPr>
    </w:p>
    <w:p w:rsidR="00AC56D6" w:rsidRDefault="00AC56D6" w:rsidP="00AC56D6">
      <w:pPr>
        <w:pStyle w:val="TextoNormal"/>
      </w:pPr>
      <w:r>
        <w:t>“En lo que afecta a la gestión y tramitación de las ayudas previstas en este precepto, es preciso remitirse a la doctrina recogida en el fundamento jurídico 8 d) de la STC 13/1992, relativo a aquellos supuestos en que, no obstante tener competencias, incluso exclusivas, las Comunidades Autónomas sobre la materia en que recaen las subvenciones, éstas pueden ser gestionadas, excepcionalmente, por un órgano de la Administración del Estado u organismo de ésta dependiente, supuesto que ‘solo es posible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 En el supuesto que se examina, afirmada ya la existencia de un título competencial estatal de carácter específico, el análisis de la naturaleza y contenido de las ayudas contempladas en los apartados 1 a 4 del art. 14, permite afirmar también la concurrencia de los demás requisitos recogidos en el citado fundamento jurídico de la STC 13/1992, que justifican que haya de excluirse la posibilidad de una gestión descentralizada.”</w:t>
      </w:r>
    </w:p>
    <w:p w:rsidR="00AC56D6" w:rsidRDefault="00AC56D6" w:rsidP="00AC56D6">
      <w:pPr>
        <w:pStyle w:val="TextoNormal"/>
      </w:pPr>
    </w:p>
    <w:p w:rsidR="00AC56D6" w:rsidRDefault="00AC56D6" w:rsidP="00AC56D6">
      <w:pPr>
        <w:pStyle w:val="TextoNormal"/>
      </w:pPr>
      <w:r>
        <w:t xml:space="preserve">En aplicación de la doctrina constitucional de referencia, resulta conforme con el sistema constitucional de competencias en materia de formación profesional, </w:t>
      </w:r>
      <w:r w:rsidRPr="00AC56D6">
        <w:rPr>
          <w:i/>
        </w:rPr>
        <w:t>ex</w:t>
      </w:r>
      <w:r>
        <w:t xml:space="preserve"> art. 149.1.7 CE, la aprobación por el Estado de la convocatoria de subvenciones para los planes de formación indicados por la resolución de 1 de febrero de 2010, del Servicio Público de Empleo Estatal.</w:t>
      </w:r>
    </w:p>
    <w:p w:rsidR="00AC56D6" w:rsidRDefault="00AC56D6" w:rsidP="00AC56D6">
      <w:pPr>
        <w:pStyle w:val="TextoNormal"/>
      </w:pPr>
    </w:p>
    <w:p w:rsidR="00AC56D6" w:rsidRDefault="00AC56D6" w:rsidP="00AC56D6">
      <w:pPr>
        <w:pStyle w:val="TextoNormal"/>
      </w:pPr>
      <w:r w:rsidRPr="00AC56D6">
        <w:rPr>
          <w:rStyle w:val="NumeroAFNegritaCaracter"/>
        </w:rPr>
        <w:t>6</w:t>
      </w:r>
      <w:r>
        <w:t>. La exposición de motivos de la resolución de 1 de febrero de 2010, delimita cuales son los planes objeto de subvención en la presente convocatoria. A saber: “los planes de formación intersectoriales, los planes de formación intersectoriales específicos de la economía social, los planes de formación intersectoriales dirigidos a trabajadores autónomos y los planes de formación sectoriales”, todos ellos, como dice su artículo 1 “dirigidos prioritariamente a los trabajadores ocupados mediante la suscripción de convenios de ámbito estatal.”</w:t>
      </w:r>
    </w:p>
    <w:p w:rsidR="00AC56D6" w:rsidRDefault="00AC56D6" w:rsidP="00AC56D6">
      <w:pPr>
        <w:pStyle w:val="TextoNormal"/>
      </w:pPr>
    </w:p>
    <w:p w:rsidR="00AC56D6" w:rsidRDefault="00AC56D6" w:rsidP="00AC56D6">
      <w:pPr>
        <w:pStyle w:val="TextoNormal"/>
      </w:pPr>
      <w:r>
        <w:t xml:space="preserve">Así en efecto se concreta en el artículo 9, debiendo de tratarse de planes de formación intersectoriales que impliquen: a) el “aprendizaje de competencias transversales a varios sectores de la actividad económica o de competencias específicas de un sector para el reciclaje o recualificación de trabajadores de otros sectores”; b) los dirigidos a "trabajadores y </w:t>
      </w:r>
      <w:r>
        <w:lastRenderedPageBreak/>
        <w:t>socios de la economía social siempre que aporten actividad económica”; c) los dirigidos a "trabajadores autónomos”; y dentro de los sectoriales, d) aquellos que permiten la formación de “trabajadores de un sector productivo concreto, con el fin de desarrollar acciones formativas de interés general para dicho sector y satisfacer necesidades específicas de formación del mismo”. Previamente, en el artículo 7, se disponen las partidas presupuestarias previstas para la financiación de estos planes, y en el artículo 8 el límite de su cofinanciación por el Fondo Social Europeo.</w:t>
      </w:r>
    </w:p>
    <w:p w:rsidR="00AC56D6" w:rsidRDefault="00AC56D6" w:rsidP="00AC56D6">
      <w:pPr>
        <w:pStyle w:val="TextoNormal"/>
      </w:pPr>
    </w:p>
    <w:p w:rsidR="00AC56D6" w:rsidRDefault="00AC56D6" w:rsidP="00AC56D6">
      <w:pPr>
        <w:pStyle w:val="TextoNormal"/>
      </w:pPr>
      <w:r>
        <w:t>Por otro lado y según precisa el art. 10 de la misma resolución, podrán solicitar las ayudas únicamente las organizaciones empresariales y sindicales “de ámbito estatal y carácter sectorial representativas de dicho ámbito”, “confederaciones y federaciones de cooperativas y/o sociedades laborales representativas de la economía social, todas ellas de carácter intersectorial y con suficiente implantación en el ámbito estatal”, “asociaciones representativas de trabajadores autónomos de carácter intersectorial en el ámbito estatal” o que cumplan con los ámbitos de representatividad previstos en el art. 21.5 de la Ley 20/2007, de 11 de julio, del estatuto del trabajo autónomo; y en el caso de planes sectoriales, las “organizaciones empresariales y sindicales de ámbito estatal representativas en el correspondiente sector en dicho ámbito, así como los entes paritarios creados o amparados en el marco de la negociación colectiva sectorial estatal, a que se refiere el artículo 24.2 del Real Decreto 395/2007, de 23 de marzo”.</w:t>
      </w:r>
    </w:p>
    <w:p w:rsidR="00AC56D6" w:rsidRDefault="00AC56D6" w:rsidP="00AC56D6">
      <w:pPr>
        <w:pStyle w:val="TextoNormal"/>
      </w:pPr>
    </w:p>
    <w:p w:rsidR="00AC56D6" w:rsidRDefault="00AC56D6" w:rsidP="00AC56D6">
      <w:pPr>
        <w:pStyle w:val="TextoNormal"/>
      </w:pPr>
      <w:r>
        <w:t>Las ayudas otorgadas al amparo de la convocatoria de la resolución en examen, por tanto, van dirigidas a financiar la realización de planes de formación que se ajustan plenamente a las condiciones impuestas por los arts. 6.4, 22 y 24.2 del Real Decreto 395/2007, bien sea desde el parámetro del carácter intersectorial de los planes, como en cuanto al ámbito estatal de las organizaciones empresariales y sindicales representativas de los respectivos sectores con las que se suscriben los convenios (artículo 11 de la resolución); confiándose en esa misma medida su gestión al Estado, a través del Sistema Público de Empleo Estatal, como ordena el art. 24.2 del citado Real Decreto 395/2007.</w:t>
      </w:r>
    </w:p>
    <w:p w:rsidR="00AC56D6" w:rsidRDefault="00AC56D6" w:rsidP="00AC56D6">
      <w:pPr>
        <w:pStyle w:val="TextoNormal"/>
      </w:pPr>
    </w:p>
    <w:p w:rsidR="00AC56D6" w:rsidRDefault="00AC56D6" w:rsidP="00AC56D6">
      <w:pPr>
        <w:pStyle w:val="TextoNormal"/>
      </w:pPr>
      <w:r>
        <w:t>La demanda de planteamiento del conflicto ni siquiera cuestiona que las ayudas de la resolución de 1 de febrero de 2010 respondan, efectivamente, a las previsiones de los arts. 6.4, 22 y 24.2 del Real Decreto 395/2007, vinculando de hecho la impugnación de la resolución, según expresamente alega el Letrado de la Xunta de Galicia, al cuestionamiento sobre la validez de aquellas normas superiores que a la sazón formalizaron en otros procesos constitucionales. Impugnaciones (de esta y alguna otra Comunidad Autónoma) que, sin embargo, resultaron oportunamente rechazadas en las Sentencias de este Tribunal de las que se ha hecho ya cita. Procede en consecuencia la desestimación del conflicto planteado.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Desestimar el conflicto positivo de competencia interpuesto por la Xunta de Galicia.</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veintiuno de septiembre de dos mil quince.</w:t>
      </w:r>
    </w:p>
    <w:p w:rsidR="00AC56D6" w:rsidRDefault="00AC56D6" w:rsidP="00AC56D6">
      <w:pPr>
        <w:pStyle w:val="ParrafoNormal"/>
      </w:pPr>
    </w:p>
    <w:p w:rsidR="00AC56D6" w:rsidRDefault="00AC56D6" w:rsidP="00AC56D6">
      <w:pPr>
        <w:pStyle w:val="TextoNormalNegritaCentrado"/>
        <w:keepNext/>
      </w:pPr>
      <w:r>
        <w:t>Voto Particular que formula la Magistrada doña Adela Asua Batarrita a la Sentencia dictada en el conflicto positivo de competencia núm. 4602-2010.</w:t>
      </w:r>
    </w:p>
    <w:p w:rsidR="00AC56D6" w:rsidRDefault="00AC56D6" w:rsidP="00AC56D6">
      <w:pPr>
        <w:pStyle w:val="TextoNormalNegritaCentrado"/>
        <w:keepNext/>
      </w:pPr>
    </w:p>
    <w:p w:rsidR="00AC56D6" w:rsidRDefault="00AC56D6" w:rsidP="00AC56D6">
      <w:pPr>
        <w:pStyle w:val="TextoNormal"/>
      </w:pPr>
      <w:r>
        <w:t>En ejercicio de la facultad que me confiere el art. 90.2 de la Ley Orgánica del Tribunal Constitucional, y con pleno respeto a la opinión de la mayoría del Tribunal, formulo el presente Voto, dejando constancia sucintamente de los fundamentos de mi posición discrepante con el fallo y con los razonamientos que lo sustentan, de acuerdo con los argumentos que defendí en la deliberación de la Sala.</w:t>
      </w:r>
    </w:p>
    <w:p w:rsidR="00AC56D6" w:rsidRDefault="00AC56D6" w:rsidP="00AC56D6">
      <w:pPr>
        <w:pStyle w:val="TextoNormal"/>
      </w:pPr>
    </w:p>
    <w:p w:rsidR="00AC56D6" w:rsidRDefault="00AC56D6" w:rsidP="00AC56D6">
      <w:pPr>
        <w:pStyle w:val="TextoNormal"/>
      </w:pPr>
      <w:r>
        <w:t>1. Ante todo, reitero los razonamientos contenidos en el punto 1 de mi Voto a la STC 88/2014, de 9 de junio, en cuanto a la incidencia que en esta materia podrían tener el título competencial del art. 149.1.13 CE y los correlativos de los Estatutos de Autonomía de las distintas Comunidades Autónomas, más en concreto, las del art. 30.1 y 7 del Estatuto de Autonomía para Galicia (que es la Comunidad Autónoma que, en este caso, promueve el conflicto). Y es que, aunque de la Sentencia aprobada por la mayoría pudiera desprenderse que la resolución impugnada sólo se refiere a la formación de trabajadores ocupados, se silencia que el art. 5.1 d) de la misma también contempla la participación de trabajadores desempleados en las acciones formativas, aunque limitando su número a un máximo del 40 por 100 del total de trabajadores formados en cada plan, cuantía que no es nimia a los efectos de que se tengan en cuenta otros títulos competenciales.</w:t>
      </w:r>
    </w:p>
    <w:p w:rsidR="00AC56D6" w:rsidRDefault="00AC56D6" w:rsidP="00AC56D6">
      <w:pPr>
        <w:pStyle w:val="TextoNormal"/>
      </w:pPr>
    </w:p>
    <w:p w:rsidR="00AC56D6" w:rsidRDefault="00AC56D6" w:rsidP="00AC56D6">
      <w:pPr>
        <w:pStyle w:val="TextoNormal"/>
      </w:pPr>
      <w:r>
        <w:t>2. Como se comprueba en el desarrollo del fundamento jurídico 4, la Sentencia de la que discrepo es tributaria de lo establecido en el art. 6.4 del Real Decreto 395/2007, y de lo dicho sobre el mismo en pronunciamientos previos, como el de la STC 88/2014, y los de las que en ella se citan, así como el de la STC 143/2014. En su día manifesté mi desacuerdo con los criterios sentados en dicho precepto, que fueron santificados en esas Sentencias previas, en cuanto que, en conexión con la disposición adicional primera, fijaba las circunstancias que permitían asignar importantes competencias ejecutivas a la Administración del Estado en detrimento de las Comunidades Autónomas; circunstancias que, como ya se expuso en el Voto particular a la STC 88/2014 (y posteriormente se reiteró en el Voto a la STC 143/2014) se basan esencialmente en la supraterritorialidad de las actuaciones o de los agentes intervinientes. Basta, en consecuencia, con dar por reproducido aquí cuanto se dijo en tal Voto particular, más en concreto, en su punto 3, para rechazar que se dieran las circunstancias precisas en orden a asignar al Estado competencias de ejecución, de acuerdo con la reiterada doctrina de este Tribunal.</w:t>
      </w:r>
    </w:p>
    <w:p w:rsidR="00AC56D6" w:rsidRDefault="00AC56D6" w:rsidP="00AC56D6">
      <w:pPr>
        <w:pStyle w:val="TextoNormal"/>
      </w:pPr>
    </w:p>
    <w:p w:rsidR="00AC56D6" w:rsidRDefault="00AC56D6" w:rsidP="00AC56D6">
      <w:pPr>
        <w:pStyle w:val="TextoNormal"/>
      </w:pPr>
      <w:r>
        <w:t xml:space="preserve">3. Por otra parte, considero que en el fundamento jurídico 5 de la Sentencia aprobada por la mayoría se efectúa un </w:t>
      </w:r>
      <w:r w:rsidRPr="00AC56D6">
        <w:rPr>
          <w:i/>
        </w:rPr>
        <w:t>overruling</w:t>
      </w:r>
      <w:r>
        <w:t xml:space="preserve"> respecto a la doctrina establecida en el fundamento jurídico 8 de la STC 13/1992, concretamente en cuanto al supuesto de los cuatro establecidos en dicho pronunciamiento en que se ha incardinado la cuestión que aquí nos ocupa. La Sentencia de la que discrepo considera que debe residenciarse en el supuesto del apartado d), que se refiere, específicamente, a supuestos en los que las Comunidades Autónomas tengan atribuidas “competencias exclusivas sobre la materia en que recaen las subvencio</w:t>
      </w:r>
      <w:r>
        <w:lastRenderedPageBreak/>
        <w:t>nes”, en los que, a pesar de esas competencias exclusivas, el Estado puede reservarse competencias para otorgar las subvenciones cuando concurran determinadas circunstancias excepcionales que se concretan en la STC 13/1992, a saber: que el Estado ostente algún título competencial, genérico o específico, sobre la materia y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A mi juicio, es patente que no nos encontramos ante dicho supuesto, porque en la materia laboral la Comunidad Autónoma de Galicia sólo tiene competencias de ejecución, correspondiendo al Estado toda la legislación. En consecuencia, resulta indiscutible que nos encontramos ante un supuesto de aplicación del apartado c) del fundamento jurídico 8 de la STC 13/1992, que se refiere a aquellos casos en que “el Estado tiene atribuida la competencia sobre la legislación relativa a una materia, mientras que corresponde a la Comunidad Autónoma la competencia de ejecución”, como ocurre en el caso de la materia laboral. A mi modo de ver, la Sentencia aprobada por la mayoría efectúa una aplicación desviada de la doctrina establecida en la STC 13/1992, FJ 8, tergiversando y distorsionando sus claros y precisos términos para extenderlos a supuestos distintos de aquellos para los que quedó establecido cada uno de los cuatro casos que se establecieron en dicha Sentencia.</w:t>
      </w:r>
    </w:p>
    <w:p w:rsidR="00AC56D6" w:rsidRDefault="00AC56D6" w:rsidP="00AC56D6">
      <w:pPr>
        <w:pStyle w:val="TextoNormal"/>
      </w:pPr>
    </w:p>
    <w:p w:rsidR="00AC56D6" w:rsidRDefault="00AC56D6" w:rsidP="00AC56D6">
      <w:pPr>
        <w:pStyle w:val="TextoNormal"/>
      </w:pPr>
      <w:r>
        <w:t>4. Por si fuera poco lo anterior, el fundamento jurídico 6 de la Sentencia de la que discrepo realiza una interpretación desviada del art. 6.4 del Real Decreto 395/2007, pues nos viene a decir que se ajusta a las determinaciones de tal precepto, y, por consiguiente, se produce la posibilidad de que el Estado desarrolle funciones de ejecución, bien cuando los planes de formación tienen carácter intersectorial, bien cuando ostentan un ámbito estatal las organizaciones empresariales y sindicales representativas de los respectivos sectores con las que se suscriben los convenios. Sin embargo, creo que ese entendimiento del precepto en cuestión resulta erróneo, porque los presupuestos que se mencionan no tienen el carácter alternativo que les otorga la Sentencia, sino que se trata de requisitos acumulativos, lo que significa que han de darse los dos presupuestos para que pueda tener lugar la gestión en la materia por parte del Estado. Me parece especialmente importante este extremo pues, a pesar de mi discrepancia —por razones ya expuestas en los citados votos particulares— con el referido art. 6.4, creo que no debe tolerarse, además, una lectura extensiva del mismo, pues al tratarse de una norma que afecta el normal ejercicio de las competencias de ejecución de las Comunidades Autónomas, debe ser objeto de una interpretación restrictiva para no extender las excepciones de los criterios ordinarios del reparto competencial más allá de los casos estrictamente establecidos en el precepto.</w:t>
      </w:r>
    </w:p>
    <w:p w:rsidR="00AC56D6" w:rsidRDefault="00AC56D6" w:rsidP="00AC56D6">
      <w:pPr>
        <w:pStyle w:val="TextoNormal"/>
      </w:pPr>
    </w:p>
    <w:p w:rsidR="00AC56D6" w:rsidRDefault="00AC56D6" w:rsidP="00AC56D6">
      <w:pPr>
        <w:pStyle w:val="TextoNormal"/>
      </w:pPr>
      <w:r>
        <w:t>5. Finalmente, considero que la Sentencia ha dejado sin responder parte de las pretensiones articuladas en el conflicto positivo de competencias por la Xunta de Galicia. En efecto, como se desprende de los antecedentes de la Sentencia, además de la impugnación genérica dirigida contra el conjunto de la resolución discutida, la Xunta de Galicia efectúa de manera alternativa una impugnación de preceptos concretos, impugnación que, en la medida en que se rechaza la impugnación general, debería haber sido objeto de análisis por parte de la Sentencia aprobada por la mayoría que, sin embargo, ha omitido todo pronunciamiento sobre dicha pretensión.</w:t>
      </w:r>
    </w:p>
    <w:p w:rsidR="00AC56D6" w:rsidRDefault="00AC56D6" w:rsidP="00AC56D6">
      <w:pPr>
        <w:pStyle w:val="TextoNormal"/>
      </w:pPr>
    </w:p>
    <w:p w:rsidR="00AC56D6" w:rsidRDefault="00AC56D6" w:rsidP="00AC56D6">
      <w:pPr>
        <w:pStyle w:val="TextoNormal"/>
      </w:pPr>
      <w:r>
        <w:t>Y en este sentido emito mi Voto particular.</w:t>
      </w:r>
    </w:p>
    <w:p w:rsidR="00AC56D6" w:rsidRDefault="00AC56D6" w:rsidP="00AC56D6">
      <w:pPr>
        <w:pStyle w:val="TextoNormal"/>
      </w:pPr>
    </w:p>
    <w:p w:rsidR="00AC56D6" w:rsidRDefault="00AC56D6" w:rsidP="00AC56D6">
      <w:pPr>
        <w:pStyle w:val="TextoNormal"/>
      </w:pPr>
      <w:r>
        <w:t>Madrid, a veintiuno de septiembre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42" w:name="SENTENCIA_2015_186"/>
      <w:r>
        <w:lastRenderedPageBreak/>
        <w:t>SENTENCIA 186/2015, de 21 de septiembre de 2015</w:t>
      </w:r>
    </w:p>
    <w:bookmarkEnd w:id="42"/>
    <w:p w:rsidR="00AC56D6" w:rsidRDefault="00AC56D6" w:rsidP="00AC56D6">
      <w:pPr>
        <w:pStyle w:val="TtuloResolucin"/>
      </w:pPr>
      <w:r>
        <w:t>Sala Segunda</w:t>
      </w:r>
    </w:p>
    <w:p w:rsidR="00AC56D6" w:rsidRDefault="00AC56D6" w:rsidP="00AC56D6">
      <w:pPr>
        <w:pStyle w:val="TtuloBOE"/>
      </w:pPr>
      <w:r>
        <w:t>(BOE núm. 260, de 30 de octubre de 2015)</w:t>
      </w:r>
    </w:p>
    <w:p w:rsidR="00AC56D6" w:rsidRDefault="00AC56D6" w:rsidP="00AC56D6">
      <w:pPr>
        <w:pStyle w:val="TextoNormalCentrado"/>
      </w:pPr>
      <w:r>
        <w:t>ECLI:ES:TC:2015:186</w:t>
      </w:r>
    </w:p>
    <w:p w:rsidR="00AC56D6" w:rsidRDefault="00AC56D6" w:rsidP="00AC56D6">
      <w:pPr>
        <w:pStyle w:val="TextoNormalCentrado"/>
      </w:pPr>
    </w:p>
    <w:p w:rsidR="00AC56D6" w:rsidRDefault="00AC56D6" w:rsidP="00AC56D6">
      <w:pPr>
        <w:pStyle w:val="SntesisDescriptiva"/>
      </w:pPr>
      <w:r>
        <w:t>Recurso de amparo 5987-2012. Promovidos por Vista San Felipe, S.L., respecto de las resoluciones dictadas por las Salas de lo Contencioso-Administrativo del Tribunal Supremo y del Tribunal Superior de Justicia de Canarias en proceso sobre fijación de justiprecio expropiatorio.</w:t>
      </w:r>
    </w:p>
    <w:p w:rsidR="00AC56D6" w:rsidRDefault="00AC56D6" w:rsidP="00AC56D6">
      <w:pPr>
        <w:pStyle w:val="SntesisDescriptiva"/>
      </w:pPr>
    </w:p>
    <w:p w:rsidR="00AC56D6" w:rsidRDefault="00AC56D6" w:rsidP="00AC56D6">
      <w:pPr>
        <w:pStyle w:val="SntesisAnaltica"/>
      </w:pPr>
      <w:r>
        <w:t>Vulneración del derecho a la tutela judicial efectiva (acceso al recurso): resolución judicial que inadmite un recurso contencioso-administrativo por incumplimiento de la carga de aportar los documentos acreditativos de la satisfacción de los requisitos exigidos para entablar acciones las personas jurídicas, incurriendo en error patente (STC 167/2014).</w:t>
      </w:r>
    </w:p>
    <w:p w:rsidR="00AC56D6" w:rsidRDefault="00AC56D6" w:rsidP="00AC56D6">
      <w:pPr>
        <w:pStyle w:val="SntesisAnaltica"/>
      </w:pPr>
    </w:p>
    <w:p w:rsidR="00AC56D6" w:rsidRDefault="00AC56D6" w:rsidP="00AC56D6">
      <w:pPr>
        <w:pStyle w:val="Extracto"/>
      </w:pPr>
      <w:r>
        <w:t>1.</w:t>
      </w:r>
      <w:r>
        <w:tab/>
        <w:t>Se cumplen los presupuestos que exige la jurisprudencia constitucional para otorgar relevancia constitucional al error de hecho padecido, vulnerándose el derecho a la tutela judicial efectiva sin indefensión de la recurrente, a causa de la redacción de la Sentencia dictada por la Sala de lo Contencioso-Administrativo del Tribunal Superior de Justicia de Canarias (STC 167/2014) [FFJJ 3, 6].</w:t>
      </w:r>
    </w:p>
    <w:p w:rsidR="00AC56D6" w:rsidRDefault="00AC56D6" w:rsidP="00AC56D6">
      <w:pPr>
        <w:pStyle w:val="Extracto"/>
      </w:pPr>
    </w:p>
    <w:p w:rsidR="00AC56D6" w:rsidRDefault="00AC56D6" w:rsidP="00AC56D6">
      <w:pPr>
        <w:pStyle w:val="Extracto"/>
      </w:pPr>
      <w:r>
        <w:t>2.</w:t>
      </w:r>
      <w:r>
        <w:tab/>
        <w:t>El asunto que se nos plantea en el presente recurso de amparo como el resuelto en la STC 167/2014, de 22 de octubre, traen causa de resoluciones de la Sala de lo Contencioso-Administrativo del Tribunal Superior de Justicia de Canarias y en ambos supuestos se plantea la misma cuestión, produciéndose reiteración por  parte de la jurisdicción ordinaria en el incumplimiento de la doctrina del Tribunal Constitucional en la materia objeto del amparo, y concurriendo así motivo de especial trascendencia constitucional (STC 155/2009) [FJ 2].</w:t>
      </w:r>
    </w:p>
    <w:p w:rsidR="00AC56D6" w:rsidRDefault="00AC56D6" w:rsidP="00AC56D6">
      <w:pPr>
        <w:pStyle w:val="Extracto"/>
      </w:pPr>
    </w:p>
    <w:p w:rsidR="00AC56D6" w:rsidRDefault="00AC56D6" w:rsidP="00AC56D6">
      <w:pPr>
        <w:pStyle w:val="Extracto"/>
      </w:pPr>
      <w:r>
        <w:t>3.</w:t>
      </w:r>
      <w:r>
        <w:tab/>
        <w:t>Si el órgano judicial no hace lo posible para la subsanación del defecto procesal que pudiera considerarse como subsanable o impone un rigor en las exigencias más allá de la finalidad a que las mismas responden, la resolución judicial que cerrase la vía del proceso sería incompatible con la efectividad del derecho a la tutela judicial efectiva (SSTC 149/1996, 285/2000, 206/2002) [FJ 4].</w:t>
      </w:r>
    </w:p>
    <w:p w:rsidR="00AC56D6" w:rsidRDefault="00AC56D6" w:rsidP="00AC56D6">
      <w:pPr>
        <w:pStyle w:val="Extracto"/>
      </w:pPr>
    </w:p>
    <w:p w:rsidR="00AC56D6" w:rsidRDefault="00AC56D6" w:rsidP="00AC56D6">
      <w:pPr>
        <w:pStyle w:val="Extracto"/>
      </w:pPr>
      <w:r>
        <w:t>4.</w:t>
      </w:r>
      <w:r>
        <w:tab/>
        <w:t>La doctrina establece que cuando se impugna en amparo una resolución judicial confirmatoria de otras, que han sido lógica y cronológicamente presupuesto de aquélla, han de entenderse también por recurridas las precedentes resoluciones confirmadas (SSTC 139/2007, 58/2008) [FJ 2].</w:t>
      </w:r>
    </w:p>
    <w:p w:rsidR="00AC56D6" w:rsidRDefault="00AC56D6" w:rsidP="00AC56D6">
      <w:pPr>
        <w:pStyle w:val="Extracto"/>
      </w:pPr>
    </w:p>
    <w:p w:rsidR="00AC56D6" w:rsidRDefault="00AC56D6" w:rsidP="00AC56D6">
      <w:pPr>
        <w:pStyle w:val="Extracto"/>
      </w:pPr>
      <w:r>
        <w:t>5.</w:t>
      </w:r>
      <w:r>
        <w:tab/>
        <w:t>El derecho a la tutela judicial efectiva impide la clausura de un procedimiento por defectos que pueden ser subsanados, de modo que, es preciso que el requisito incumplido, sea insubsanable o que, siendo subsanable, no haya sido corregido por el actor pese a que el órgano judicial le haya otorgado esa posibilidad (SSTC 147/1997, 122/1999, 153/2002) [FJ 4].</w:t>
      </w:r>
    </w:p>
    <w:p w:rsidR="00AC56D6" w:rsidRDefault="00AC56D6" w:rsidP="00AC56D6">
      <w:pPr>
        <w:pStyle w:val="Extracto"/>
      </w:pPr>
    </w:p>
    <w:p w:rsidR="00AC56D6" w:rsidRDefault="00AC56D6" w:rsidP="00AC56D6">
      <w:pPr>
        <w:pStyle w:val="Extracto"/>
      </w:pPr>
      <w:r>
        <w:t>6.</w:t>
      </w:r>
      <w:r>
        <w:tab/>
        <w:t xml:space="preserve">Los requisitos formales no son valores autónomos con sustantividad propia, sino que sólo sirven en la medida en que son instrumentos para conseguir una finalidad </w:t>
      </w:r>
      <w:r>
        <w:lastRenderedPageBreak/>
        <w:t>legítima, por lo que su incumplimiento no presenta siempre igual valor obstativo, con la consecuencia de que si aquella finalidad puede ser lograda sin detrimento de otros bienes y derechos dignos de tutela, debe procederse a la subsanación del defecto (SSTC 180/1987, 213/1990, 63/1999, 153/2002) [FJ 4].</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Pedro José González-Trevijano Sánchez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los recursos de amparo acumulados núms. 5987-2012 y 6996-2012, promovidos por Vista San Felipe, S.L., representada por la Procuradora de los Tribunales doña Matilde Marín Pérez y asistida por el Letrado don Normando Moreno Santana, el primero de ellos interpuesto contra la providencia de la Sección Primera de la Sala de lo Contencioso-Administrativo del Tribunal Supremo, de 10 de septiembre de 2012, que inadmitió el incidente de nulidad de actuaciones formulado frente al Auto de la misma Sala de 15 de marzo de 2012, que inadmitió, por razón de la cuantía, el recurso de casación interpuesto contra Sentencia de la Sala de lo Contencioso-Administrativo del Tribunal Superior de Justicia de Canarias de 21 de junio de 2011; y el segundo planteado contra la providencia de la Sección Segunda de la Sala de lo Contencioso-Administrativo del Tribunal Superior de Justicia de Canarias, de 19 de octubre de 2012, que inadmitió el incidente de nulidad de actuaciones promovido frente a la Sentencia de 21 de junio de 2011, que inadmitió el recurso contencioso-administrativo núm. 251-2009. Ha sido parte el Letrado del servicio jurídico del Gobierno de Canarias, en la representación que ostenta, y ha intervenido el Ministerio Fiscal. Ha sido Ponente la Magistrada doña Adela Asua Batarrita,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presentado en el Registro General de este Tribunal el 24 de octubre de 2012, la Procuradora de los Tribunales doña Matilde Marín Pérez, actuando en nombre y representación de la entidad Vista San Felipe, S.L., interpuso recurso de amparo (registrado con el núm. 5987-2012) contra la providencia de la Sección Primera de la Sala de lo Contencioso-Administrativo del Tribunal Supremo, de 10 de septiembre de 2012, que inadmitió el incidente de nulidad de actuaciones formulado frente al Auto de la misma Sala de 15 de marzo de 2012, que inadmitió, por razón de la cuantía, el recurso de casación núm. 4763-2011, interpuesto contra Sentencia de la Sala de lo Contencioso-Administrativo del Tribunal Superior de Justicia de Canarias de 21 de junio de 2011.</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2</w:t>
      </w:r>
      <w:r>
        <w:t>. Los hechos relevantes para el examen de la pretensión de amparo son, sucintamente expuestos, los siguientes:</w:t>
      </w:r>
    </w:p>
    <w:p w:rsidR="00AC56D6" w:rsidRDefault="00AC56D6" w:rsidP="00AC56D6">
      <w:pPr>
        <w:pStyle w:val="TextoNormal"/>
      </w:pPr>
    </w:p>
    <w:p w:rsidR="00AC56D6" w:rsidRDefault="00AC56D6" w:rsidP="00AC56D6">
      <w:pPr>
        <w:pStyle w:val="TextoNormal"/>
      </w:pPr>
      <w:r>
        <w:t>a) Con fecha de 29 de julio de 2009, la representación de la entidad Vista San Felipe, S.L., presentó ante la Sala de lo Contencioso-Administrativo del Tribunal Superior de Justicia de Canarias escrito de interposición de recurso contencioso-administrativo contra sendos acuerdos de 8 de mayo de 2009, de la comisión de valoraciones de Canarias, relativas a la fijación del justiprecio respecto de las fincas expropiadas a la actora con motivo de las obras “Duplicación de la GC-2. Tramo Santa María de Guía-Pagador. Gran Canaria”.</w:t>
      </w:r>
    </w:p>
    <w:p w:rsidR="00AC56D6" w:rsidRDefault="00AC56D6" w:rsidP="00AC56D6">
      <w:pPr>
        <w:pStyle w:val="TextoNormal"/>
      </w:pPr>
    </w:p>
    <w:p w:rsidR="00AC56D6" w:rsidRDefault="00AC56D6" w:rsidP="00AC56D6">
      <w:pPr>
        <w:pStyle w:val="TextoNormal"/>
      </w:pPr>
      <w:r>
        <w:t>b) Admitido a trámite el recurso y reclamado el expediente administrativo por la Sala, la actora dedujo demanda y, por su parte, el Letrado del Servicio Jurídico del Gobierno de Canarias formuló su contestación, en la que opuso como causa de inadmisión del recurso la falta de capacidad del actor para comparecer en el proceso, por no haberse aportado el documento o documentos exigidos por el artículo 45.2 d) de la Ley reguladora de la jurisdicción contencioso-administrativa (LJCA), no acreditándose que el ejercicio de la acción hubiese sido decidido previamente por el órgano competente de la entidad actora.</w:t>
      </w:r>
    </w:p>
    <w:p w:rsidR="00AC56D6" w:rsidRDefault="00AC56D6" w:rsidP="00AC56D6">
      <w:pPr>
        <w:pStyle w:val="TextoNormal"/>
      </w:pPr>
    </w:p>
    <w:p w:rsidR="00AC56D6" w:rsidRDefault="00AC56D6" w:rsidP="00AC56D6">
      <w:pPr>
        <w:pStyle w:val="TextoNormal"/>
      </w:pPr>
      <w:r>
        <w:t>c) Recibido el proceso a prueba la actora propuso que se tuvieran por aportadas la escritura de constitución de la sociedad (con los estatutos sociales incorporados) y la certificación expedida por el consejero-secretario de la entidad mercantil Vista San Felipe, S.L., en la que se acredita que en la sesión del consejo de administración de la sociedad de 10 de mayo de 2009 se acordó facultar al consejero-delegado de la misma para interponer el recurso contencioso-administrativo en su nombre. Tales documentos se tuvieron por aportados en virtud de providencia de 15 de diciembre de 2010.</w:t>
      </w:r>
    </w:p>
    <w:p w:rsidR="00AC56D6" w:rsidRDefault="00AC56D6" w:rsidP="00AC56D6">
      <w:pPr>
        <w:pStyle w:val="TextoNormal"/>
      </w:pPr>
    </w:p>
    <w:p w:rsidR="00AC56D6" w:rsidRDefault="00AC56D6" w:rsidP="00AC56D6">
      <w:pPr>
        <w:pStyle w:val="TextoNormal"/>
      </w:pPr>
      <w:r>
        <w:t>d) Concedido el trámite de conclusiones, la parte actora se refirió expresamente a la subsanación del defecto opuesto en el escrito de la representante del Gobierno de Canarias, en virtud de la prueba propuesta y admitida y del poder aportado con el escrito inicial de interposición del recurso. La parte demandada no hizo referencia alguna a este extremo en su escrito de conclusiones.</w:t>
      </w:r>
    </w:p>
    <w:p w:rsidR="00AC56D6" w:rsidRDefault="00AC56D6" w:rsidP="00AC56D6">
      <w:pPr>
        <w:pStyle w:val="TextoNormal"/>
      </w:pPr>
    </w:p>
    <w:p w:rsidR="00AC56D6" w:rsidRDefault="00AC56D6" w:rsidP="00AC56D6">
      <w:pPr>
        <w:pStyle w:val="TextoNormal"/>
      </w:pPr>
      <w:r>
        <w:t>e) La Sección Segunda de la Sala de lo Contencioso-Administrativo del Tribunal Superior de Justicia de Canarias dictó Sentencia con fecha 21 de junio de 2011 en la que, basándose en el incumplimiento del art. 45.2 d) LJCA, declaraba inadmisible el recurso contencioso-administrativo, al no haberse aportado ningún documento acreditativo del cumplimiento de dicho requisito, ya que la escritura de poder general para pleitos que se acompañó con el escrito de interposición del recurso contencioso-administrativo no incorpora o inserta dato alguno del que quepa deducir que el órgano de la mercantil competente para ello hubiera decidido ejercitar la acción. Basándose en la jurisprudencia del Tribunal Supremo (con cita de la Sentencia de 25 de mayo de 2010) la Sala afirma que “una cosa es, en efecto, el poder de representación, que sólo acredita y pone de relieve que el representante está facultado para actuar válida y eficazmente en nombre y por cuenta del representado; y otra distinta la decisión de litigar, de ejercitar la acción, que habrá de ser tomada por el órgano de la persona jurídica a quien las normas reguladoras de ésta atribuyan tal facultad”. Asimismo, entiende la Sala que no era necesario que se concediera la posibilidad de subsanación porque el defecto ha sido alegado en el escrito de contestación a la demanda, sin que pueda generarse, por tanto, situación de indefensión proscrita en el art. 24.1 CE.</w:t>
      </w:r>
    </w:p>
    <w:p w:rsidR="00AC56D6" w:rsidRDefault="00AC56D6" w:rsidP="00AC56D6">
      <w:pPr>
        <w:pStyle w:val="TextoNormal"/>
      </w:pPr>
    </w:p>
    <w:p w:rsidR="00AC56D6" w:rsidRDefault="00AC56D6" w:rsidP="00AC56D6">
      <w:pPr>
        <w:pStyle w:val="TextoNormal"/>
      </w:pPr>
      <w:r>
        <w:t xml:space="preserve">f) La recurrente interpuso recurso de casación contra la referida Sentencia, en el que alegó que en la prueba documental aportada en el procedimiento contencioso-administrativo figuraban la escritura de constitución de la sociedad, los estatutos sociales y el acuerdo de su órgano de gobierno por el que se facultó al consejero-delegado para interponer el recurso contencioso-administrativo contra los acuerdos de la comisión de valoraciones que fijaron el justiprecio de las fincas expropiadas. El recurso de casación fue inadmitido por Auto de la Sección Primera de la Sala de lo Contencioso-Administrativo del Tribunal Supremo de 15 de marzo de 2012, por razón de la cuantía, porque la Sala entendió que el recurso afectaba a dos fincas y a dos justiprecios que, considerados de forma individual, no superaban la </w:t>
      </w:r>
      <w:r w:rsidRPr="00AC56D6">
        <w:rPr>
          <w:i/>
        </w:rPr>
        <w:t>summa gravaminis</w:t>
      </w:r>
      <w:r>
        <w:t>.</w:t>
      </w:r>
    </w:p>
    <w:p w:rsidR="00AC56D6" w:rsidRDefault="00AC56D6" w:rsidP="00AC56D6">
      <w:pPr>
        <w:pStyle w:val="TextoNormal"/>
      </w:pPr>
    </w:p>
    <w:p w:rsidR="00AC56D6" w:rsidRDefault="00AC56D6" w:rsidP="00AC56D6">
      <w:pPr>
        <w:pStyle w:val="TextoNormal"/>
      </w:pPr>
      <w:r>
        <w:t xml:space="preserve">g) Frente al anterior Auto de inadmisión del recurso de casación formuló la demandante de amparo incidente de nulidad de actuaciones, por entender que se había lesionado su derecho fundamental a la tutela judicial efectiva sin indefensión (art. 24.1 CE), ya que la inadmisión del recurso de casación no supuso sólo una lesión de su derecho de acceso al recurso, sino también una lesión de su derecho de acceso a la jurisdicción, porque debido a un error manifiesto del órgano judicial </w:t>
      </w:r>
      <w:r w:rsidRPr="00AC56D6">
        <w:rPr>
          <w:i/>
        </w:rPr>
        <w:t>a quo</w:t>
      </w:r>
      <w:r>
        <w:t>, que no reparó el Tribunal Supremo al inadmitir su recurso de casación, ningún órgano judicial había conocido del fondo del asunto. El incidente fue inadmitido por providencia de 10 de septiembre de 2012, por considerar el órgano judicial que la parte lo utilizó como si de un recurso de reposición se tratase, con el mismo planteamiento que se empleó en el recurso de casación.</w:t>
      </w:r>
    </w:p>
    <w:p w:rsidR="00AC56D6" w:rsidRDefault="00AC56D6" w:rsidP="00AC56D6">
      <w:pPr>
        <w:pStyle w:val="TextoNormal"/>
      </w:pPr>
    </w:p>
    <w:p w:rsidR="00AC56D6" w:rsidRDefault="00AC56D6" w:rsidP="00AC56D6">
      <w:pPr>
        <w:pStyle w:val="TextoNormal"/>
      </w:pPr>
      <w:r w:rsidRPr="00AC56D6">
        <w:rPr>
          <w:rStyle w:val="NumeroAFNegritaCaracter"/>
        </w:rPr>
        <w:t>3</w:t>
      </w:r>
      <w:r>
        <w:t>. En la demanda de amparo se denuncia la vulneración del derecho a la tutela judicial efectiva en una doble vertiente: la del acceso a los recursos legalmente previstos y la del acceso a la jurisdicción. La demandante entiende que no es aplicable al presente caso la doctrina en virtud de la cual se inadmitió el recurso de casación, no sólo por tratarse de dos fincas que constituyen, en realidad, una única unidad económica, sino porque no se ha tenido en cuenta que, en el presente caso, ni siquiera ha habido una primera respuesta judicial por parte del Tribunal de instancia a la pretensión de fondo formulada, puesto que la Sentencia recurrida en casación contenía un fallo de inadmisibilidad basado en un error manifiesto, cual fue considerar que no se había aportado el oportuno acuerdo para entablar el recurso, adoptado por el órgano que estatutariamente tuviera encomendada dicha competencia, a pesar de que consta acreditado que dicho documento fue debidamente presentado. A su juicio, el Auto que inadmitió el recurso de casación se sustenta en una interpretación excesivamente restrictiva de la exigencia de la cuantía necesaria para la acceso al recurso, contraria al derecho a la tutela judicial efectiva, y que ha creado indefensión a la recurrente, dada la imposibilidad de acudir a recursos ordinarios o extraordinarios en la vía jurisdiccional, privándole incluso del acceso a la jurisdicción, en apoyo de lo cual cita diversa doctrina constitucional.</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Por escrito de 17 de junio de 2014 el Magistrado don Juan José González Rivas planteó su abstención en el presente recurso de amparo, al entender que concurría la causa del art. 219.11 de la Ley Orgánica del Poder Judicial (LOPJ), por haber formado parte de la Sección Primera de la Sala de lo Contencioso-Administrativo del Tribunal Supremo que dictó el Auto de 15 de marzo de 2012 que aquí se impugna. Por ATC 174/2014, de 23 de </w:t>
      </w:r>
      <w:r>
        <w:lastRenderedPageBreak/>
        <w:t>junio, la Sala Segunda de este Tribunal acordó estimar justificada la abstención del Magistrado don Juan José González Rivas, apartándolo definitivamente del conocimiento del recurso.</w:t>
      </w:r>
    </w:p>
    <w:p w:rsidR="00AC56D6" w:rsidRDefault="00AC56D6" w:rsidP="00AC56D6">
      <w:pPr>
        <w:pStyle w:val="TextoNormal"/>
      </w:pPr>
    </w:p>
    <w:p w:rsidR="00AC56D6" w:rsidRDefault="00AC56D6" w:rsidP="00AC56D6">
      <w:pPr>
        <w:pStyle w:val="TextoNormal"/>
      </w:pPr>
      <w:r w:rsidRPr="00AC56D6">
        <w:rPr>
          <w:rStyle w:val="NumeroAFNegritaCaracter"/>
        </w:rPr>
        <w:t>5</w:t>
      </w:r>
      <w:r>
        <w:t>. Previa reclamación de las actuaciones, por providencia de 9 de julio de 2014 la Sección Tercera de este Tribunal acordó la admisión a trámite del presente recurso de amparo, así como dirigir atenta comunicación a la Sección Segunda de la Sala de lo Contencioso-Administrativo del Tribunal Superior de Justicia de Canarias a fin de que emplazara a quienes hubieran sido parte en el procedimiento núm. 251-2009, excepto la parte recurrente en amparo, para que pudieran comparecer en el plazo de diez días en este proceso constitucional. Todo ello condicionado a que la parte recurrente en amparo presentara escritura de poder original en el término de diez días. Dicho requerimiento fue atendido a través de escrito presentado el 24 de julio de 2014.</w:t>
      </w:r>
    </w:p>
    <w:p w:rsidR="00AC56D6" w:rsidRDefault="00AC56D6" w:rsidP="00AC56D6">
      <w:pPr>
        <w:pStyle w:val="TextoNormal"/>
      </w:pPr>
    </w:p>
    <w:p w:rsidR="00AC56D6" w:rsidRDefault="00AC56D6" w:rsidP="00AC56D6">
      <w:pPr>
        <w:pStyle w:val="TextoNormal"/>
      </w:pPr>
      <w:r w:rsidRPr="00AC56D6">
        <w:rPr>
          <w:rStyle w:val="NumeroAFNegritaCaracter"/>
        </w:rPr>
        <w:t>6</w:t>
      </w:r>
      <w:r>
        <w:t>. Mediante escrito registrado el 16 de septiembre de 2014, se personó en el presente recurso el Letrado del Servicio Jurídico del Gobierno de Canarias, en la representación que ostenta.</w:t>
      </w:r>
    </w:p>
    <w:p w:rsidR="00AC56D6" w:rsidRDefault="00AC56D6" w:rsidP="00AC56D6">
      <w:pPr>
        <w:pStyle w:val="TextoNormal"/>
      </w:pPr>
    </w:p>
    <w:p w:rsidR="00AC56D6" w:rsidRDefault="00AC56D6" w:rsidP="00AC56D6">
      <w:pPr>
        <w:pStyle w:val="TextoNormal"/>
      </w:pPr>
      <w:r w:rsidRPr="00AC56D6">
        <w:rPr>
          <w:rStyle w:val="NumeroAFNegritaCaracter"/>
        </w:rPr>
        <w:t>7</w:t>
      </w:r>
      <w:r>
        <w:t>. Por diligencia de ordenación de 6 de octubre de 2014 se tuvo por personado al Letrado del Servicio Jurídico del Gobierno de Canarias, acordando dar vista de las actuaciones a las partes personadas y al Ministerio Fiscal, por plazo común de veinte días, para la presentación de las alegaciones que estimaran pertinentes, conforme determina el art. 52.1 de la Ley Orgánica del Tribunal Constitucional (LOTC).</w:t>
      </w:r>
    </w:p>
    <w:p w:rsidR="00AC56D6" w:rsidRDefault="00AC56D6" w:rsidP="00AC56D6">
      <w:pPr>
        <w:pStyle w:val="TextoNormal"/>
      </w:pPr>
    </w:p>
    <w:p w:rsidR="00AC56D6" w:rsidRDefault="00AC56D6" w:rsidP="00AC56D6">
      <w:pPr>
        <w:pStyle w:val="TextoNormal"/>
      </w:pPr>
      <w:r w:rsidRPr="00AC56D6">
        <w:rPr>
          <w:rStyle w:val="NumeroAFNegritaCaracter"/>
        </w:rPr>
        <w:t>8</w:t>
      </w:r>
      <w:r>
        <w:t>. La representación de la demandante de amparo presentó escrito el 14 de noviembre de 2014, dando por reproducidas las alegaciones contenidas en la demanda de amparo.</w:t>
      </w:r>
    </w:p>
    <w:p w:rsidR="00AC56D6" w:rsidRDefault="00AC56D6" w:rsidP="00AC56D6">
      <w:pPr>
        <w:pStyle w:val="TextoNormal"/>
      </w:pPr>
    </w:p>
    <w:p w:rsidR="00AC56D6" w:rsidRDefault="00AC56D6" w:rsidP="00AC56D6">
      <w:pPr>
        <w:pStyle w:val="TextoNormal"/>
      </w:pPr>
      <w:r w:rsidRPr="00AC56D6">
        <w:rPr>
          <w:rStyle w:val="NumeroAFNegritaCaracter"/>
        </w:rPr>
        <w:t>9</w:t>
      </w:r>
      <w:r>
        <w:t xml:space="preserve">. Con fecha 18 de noviembre de 2014 presentó su escrito de alegaciones el Letrado del servicio jurídico del Gobierno de Canarias, solicitando la desestimación del recurso de amparo. En primer lugar, aduce que procede la inadmisión del recurso de amparo interpuesto contra el Auto de 15 de marzo de 2012, de la Sección Primera de la Sala de lo Contencioso-Administrativo del Tribunal Supremo, por el que se inadmitió el recurso de casación contra la Sentencia del Tribunal Superior de Justicia de Canarias, entendiendo que el recurso debe ceñirse a la providencia de inadmisión del incidente de nulidad de actuaciones y no a la inadmisión del recurso de casación, pues, de haberse producido la presunta vulneración de un derecho fundamental, únicamente afectaría a la providencia de inadmisión del incidente de nulidad. En segundo lugar, y con apoyo en la doctrina constitucional sobre el art. 24.1 CE, considera el Letrado del servicio jurídico del Gobierno de Canarias que en ningún caso se habría producido vulneración de derecho fundamental alguno en el presente procedimiento, añadiendo que el aspecto debatido se circunscribe a una cuestión de legalidad ordinaria frente a la que no cabe la interposición de un recurso de amparo. Por otra parte, como bien señala la providencia recurrida, lo que la actora interesa, de forma fraudulenta, a través de la nulidad de actuaciones es recurrir una resolución firme porque la ley procesal no prevé recurso alguno, alegando la presunta vulneración de derecho fundamental que la Sala rechaza por considerar que las alegaciones de la recurrente se centran en cuestiones de legalidad ordinaria, argumentos que ya fueron igualmente rechazados en el Auto de inadmisión del recurso de casación de 15 de marzo de 2012. Y, transcribiendo la fundamentación de </w:t>
      </w:r>
      <w:r>
        <w:lastRenderedPageBreak/>
        <w:t>dicho Auto, considera que debe desestimarse el presente recurso de amparo por entender que la recurrente hace un uso fraudulento de los mecanismos que le otorga el derecho para pretender acceder a una segunda e incluso a una tercera instancia, y todo ello porque la actora discrepa no sólo de la Sentencia de la Sala del Tribunal Superior de Justicia de Canarias sino del Auto de la posterior providencia del Tribunal Supremo, a través de la denuncia de una presunta vulneración de derechos fundamentales, con base en el art. 24.1 CE, que no se ha producido, pues el Tribunal Supremo ha respetado en todo caso el procedimiento legalmente establecido para dictar primero un Auto de inadmisión del recurso de casación y, posteriormente, una providencia de inadmisión del incidente de nulidad, motivando de forma suficiente las razones por las que no se ha producido vulneración de derecho fundamental alguno.</w:t>
      </w:r>
    </w:p>
    <w:p w:rsidR="00AC56D6" w:rsidRDefault="00AC56D6" w:rsidP="00AC56D6">
      <w:pPr>
        <w:pStyle w:val="TextoNormal"/>
      </w:pPr>
    </w:p>
    <w:p w:rsidR="00AC56D6" w:rsidRDefault="00AC56D6" w:rsidP="00AC56D6">
      <w:pPr>
        <w:pStyle w:val="TextoNormal"/>
      </w:pPr>
      <w:r w:rsidRPr="00AC56D6">
        <w:rPr>
          <w:rStyle w:val="NumeroAFNegritaCaracter"/>
        </w:rPr>
        <w:t>10</w:t>
      </w:r>
      <w:r>
        <w:t>. El Ministerio Fiscal presentó su escrito de alegaciones el 21 de noviembre de 2014, en el que solicitó el otorgamiento del amparo a la recurrente, por vulneración de su derecho a la tutela judicial efectiva en su vertiente de acceso a la jurisdicción. Tras exponer los antecedentes de hecho del litigio y las pretensiones de amparo, el escrito comienza por señalar que, ateniéndose a los estrictos términos de la demanda, el recurso debería ceñirse al análisis de la vulneración del derecho la tutela judicial efectiva sin indefensión, en su vertiente de acceso al recurso. Sin embargo —afirma—, no se puede ignorar que la alegación básica y esencial del demandante de amparo ante el Tribunal Supremo era que la Sentencia de 21 de junio de 2011 del Tribunal Superior de Justicia de Canarias no había dado una respuesta judicial a la pretensión de fondo formulada en su demanda, pues contenía un fallo de inadmisibilidad basado en un error manifiesto. La duda constitucional que plantea, por tanto, es que el Auto impugnado, que inadmitió el recurso de casación por razón de la cuantía, ha vulnerado el derecho del recurrente al recurso. A juicio del Fiscal, en aplicación de la doctrina constitucional, el citado Auto resulta respetuoso con el derecho del recurrente al recurso, pues frente al argumento empleado por éste para justificar la admisión, el Tribunal Supremo expuso las razones por las que entendía que la cuantía del asunto no superaba la cantidad de legal establecida para la admisibilidad del recurso de casación, y lo hace dando una respuesta motivada y en derecho, fundada en una causa legalmente prevista. Por lo demás, tampoco cabría tachar de inmotivada la providencia de inadmisión del incidente de nulidad de actuaciones y que no haya cumplido la función que se asigna al mismo de reparación de las vulneraciones de derechos fundamentales, pues lo cierto es que el recurrente reiteró en dicho incidente las alegaciones de oposición a la concurrencia de la causa de inadmisión del recurso de casación por la cuantía. En consecuencia, la aplicación e interpretación que hace el Tribunal Supremo de la causa de inadmisión no puede ser tachada de restrictiva y vulneradora del derecho a la tutela judicial efectiva.</w:t>
      </w:r>
    </w:p>
    <w:p w:rsidR="00AC56D6" w:rsidRDefault="00AC56D6" w:rsidP="00AC56D6">
      <w:pPr>
        <w:pStyle w:val="TextoNormal"/>
      </w:pPr>
    </w:p>
    <w:p w:rsidR="00AC56D6" w:rsidRDefault="00AC56D6" w:rsidP="00AC56D6">
      <w:pPr>
        <w:pStyle w:val="TextoNormal"/>
      </w:pPr>
      <w:r>
        <w:t xml:space="preserve">Ahora bien, entiende el Fiscal que la cuestión nuclear que subyace en el presente recurso de amparo es la posible vulneración del derecho de acceso a la jurisdicción en que habría incurrido la Sentencia de 21 de junio de 2011, de la Sala de lo Contencioso-Administrativo del Tribunal Superior de Justicia de Canarias al inadmitir el recurso contencioso-administrativo por falta de acreditación del previo acuerdo social para litigar en el concreto recurso interpuesto, a pesar de constar en las actuaciones la certificación de 10 de mayo de 2009, expedida por el secretario de la sociedad, de acuerdo con la cual se acordó facultar al consejero-delegado para interponer recurso contencioso-administrativo contra los acuerdos de la comisión de valoraciones de Canarias. Y la presencia en las actuaciones del referido documento le fue recordada la Sala por el recurrente en su escrito de conclusiones. Añade el </w:t>
      </w:r>
      <w:r>
        <w:lastRenderedPageBreak/>
        <w:t>Fiscal que el legislador ha previsto que el órgano judicial verifique que, quien comparece ante un órgano judicial en nombre de una persona jurídica, ostenta realmente su representación, pero también que quede constancia clara y acreditada de la voluntad de la persona jurídica de ejercer unas concretas acciones frente a determinados actos administrativos, a través de la previsión del art. 45.2 d) LJCA. Se trata de una carga procesal que se convierte en un requisito previo la demanda, si bien se configura en la Ley como un defecto subsanable.</w:t>
      </w:r>
    </w:p>
    <w:p w:rsidR="00AC56D6" w:rsidRDefault="00AC56D6" w:rsidP="00AC56D6">
      <w:pPr>
        <w:pStyle w:val="TextoNormal"/>
      </w:pPr>
    </w:p>
    <w:p w:rsidR="00AC56D6" w:rsidRDefault="00AC56D6" w:rsidP="00AC56D6">
      <w:pPr>
        <w:pStyle w:val="TextoNormal"/>
      </w:pPr>
      <w:r>
        <w:t xml:space="preserve">En el presente caso, pese a la reiteración de la recurrente en considerar que del poder otorgado al Procurador para representación del mismo en el proceso se desprendía que aquél estaba facultado para ejercitar todos los derechos y acciones de la sociedad, acierta la Sentencia de 21 de junio de 2011 cuando pone de manifiesto que la escritura de poder general para pleitos no incorpora o inserta dato alguno del que quepa deducir que el órgano de la mercantil competente para ello hubiere decidido ejercitar acción. Sin embargo se aporta la certificación expedida por el secretario del consejo de administración de la sociedad con el escrito de proposición de prueba, siendo admitido por providencia de 15 de diciembre de 2010, a consecuencia de la denuncia que realiza la parte demandada en el escrito de contestación a la demanda. Pues bien, sobre la base de la doctrina de este Tribunal referida a la subsanación de defectos procesales, pone de relieve el Ministerio público que el órgano judicial, advertido del déficit documental, debe otorgar un plazo de subsanación al demandante, cosa que no hizo, a pesar de que la Ley reguladora de la jurisdicción contencioso-administrativa habilita distintos momentos procesales que hubieran permitido dicha subsanación. Por contra la Sala, en su Sentencia, afirma que no era exigible el requerimiento previo del órgano judicial y que esta circunstancia no le ha generado indefensión al recurrente, con una argumentación que parece equivocar la finalidad de la subsanación con la posibilidad de formular alegaciones sobre la concurrencia o no de la causa de inadmisión, cuando señala que la parte pudo oponer a lo largo el proceso lo que estimara conveniente sobre dicha cuestión. La Ley reguladora de la jurisdicción contencioso-administrativa no pretende que la falta de aportación de dicha documentación en el momento procedente se convierta en un obstáculo excesivo al ejercicio del derecho la tutela jurisdiccional, de ahí que obligue al órgano judicial a requerir la subsanación de dicha falta de aportación documental antes de pronunciarse sobre el archivo de las actuaciones o la inadmisión del recurso. Pero en este caso el órgano judicial no cumplió con su obligación de dar oportunidad a la parte para subsanar el incumplimiento del requisito procesal en alguno de los momentos que habilita la Ley reguladora de la jurisdicción contencioso-administrativa. Y, si bien la actuación judicial habría impedido al recurrente subsanar el defecto, la parte, </w:t>
      </w:r>
      <w:r w:rsidRPr="00AC56D6">
        <w:rPr>
          <w:i/>
        </w:rPr>
        <w:t>motu proprio</w:t>
      </w:r>
      <w:r>
        <w:t xml:space="preserve">, subsanó la omisión al aportar la certificación y los estatutos que permitían conocer cuál era el órgano competente del mismo a estos efectos. En consecuencia, el órgano judicial estaba habilitado para apreciar una posible falta de aportación del documento en cuestión en su Sentencia, siempre que concurriera dicho defecto documental. Sin embargo, entiende el Fiscal que no es admisible la afirmación de que no le era exigible abrir un trámite de subsanación, cuando ha fundamentado la resolución de inadmisión precisamente en la falta del documento. Tampoco es admisible que el órgano judicial no reflexione sobre la trascendencia de dicha aportación, a pesar de reconocerla en su Sentencia, pero, antes bien, ignora la existencia del documento que acreditaría la válida constitución de la </w:t>
      </w:r>
      <w:r w:rsidRPr="00AC56D6">
        <w:rPr>
          <w:i/>
        </w:rPr>
        <w:t>litis</w:t>
      </w:r>
      <w:r>
        <w:t xml:space="preserve"> y la carencia de soporte fáctico del presupuesto de hecho de la causa legal de inadmisión.</w:t>
      </w:r>
    </w:p>
    <w:p w:rsidR="00AC56D6" w:rsidRDefault="00AC56D6" w:rsidP="00AC56D6">
      <w:pPr>
        <w:pStyle w:val="TextoNormal"/>
      </w:pPr>
    </w:p>
    <w:p w:rsidR="00AC56D6" w:rsidRDefault="00AC56D6" w:rsidP="00AC56D6">
      <w:pPr>
        <w:pStyle w:val="TextoNormal"/>
      </w:pPr>
      <w:r>
        <w:lastRenderedPageBreak/>
        <w:t xml:space="preserve">Expone, a continuación, el Fiscal la doctrina de este Tribunal Constitucional acerca del derecho de acceso a la jurisdicción y alega que, a la vista de la misma, la decisión de inadmisión resulta contraria al derecho fundamental a la tutela judicial efectiva, no sólo por el incumplimiento del órgano judicial del deber de requerir la subsanación de dicho defecto, sino porque, aportado el documento por la parte actora, el motivo apreciado de inadmisión no sería tal, pues el juzgador, no ignorando la existencia del documento, adoptó una resolución contraria al derecho consagrado en el art. 24.1 CE al dictar un fallo de inadmisión fundado en la no constancia del documento acreditativo del acuerdo societario para litigar, solución que resulta desproporcionada en la apreciación del equilibrio entre los fines que se pretenden preservar, en el caso concreto, el respeto a las normas procesales para la válida conformación de la </w:t>
      </w:r>
      <w:r w:rsidRPr="00AC56D6">
        <w:rPr>
          <w:i/>
        </w:rPr>
        <w:t>litis</w:t>
      </w:r>
      <w:r>
        <w:t>, y la consecuencia del cierre del proceso, pues ha impedido una resolución sobre el fondo de la controversia jurídica planteada por el demandante.</w:t>
      </w:r>
    </w:p>
    <w:p w:rsidR="00AC56D6" w:rsidRDefault="00AC56D6" w:rsidP="00AC56D6">
      <w:pPr>
        <w:pStyle w:val="TextoNormal"/>
      </w:pPr>
    </w:p>
    <w:p w:rsidR="00AC56D6" w:rsidRDefault="00AC56D6" w:rsidP="00AC56D6">
      <w:pPr>
        <w:pStyle w:val="TextoNormal"/>
      </w:pPr>
      <w:r>
        <w:t>A la misma conclusión se llegaría considerando la tesis de la demandante de amparo, que denuncia la existencia de error patente en la resolución de inadmisión. Con cita de la STC 167/2014, sostiene el Fiscal que en el presente caso se trataría de un error de hecho patente, manifiesto, evidente o notorio, ya que el documento social figuraba en las actuaciones; determinante de la decisión adoptada, pues la inadmisión se ha fundamentado en el dato de la inexistencia del referido acuerdo social; atribuible al órgano jurisdiccional y no a la negligencia o mala fe de la demandante; y ha producido efectos negativos en la esfera jurídica de la recurrente al impedirle obtener una respuesta motivada y fundada en Derecho sobre el fondo de su recurso. Por tanto se cumplirían los presupuestos que exige la jurisprudencia constitucional para otorgar al error de hecho padecido en este caso relevancia constitucional.</w:t>
      </w:r>
    </w:p>
    <w:p w:rsidR="00AC56D6" w:rsidRDefault="00AC56D6" w:rsidP="00AC56D6">
      <w:pPr>
        <w:pStyle w:val="TextoNormal"/>
      </w:pPr>
    </w:p>
    <w:p w:rsidR="00AC56D6" w:rsidRDefault="00AC56D6" w:rsidP="00AC56D6">
      <w:pPr>
        <w:pStyle w:val="TextoNormal"/>
      </w:pPr>
      <w:r w:rsidRPr="00AC56D6">
        <w:rPr>
          <w:rStyle w:val="NumeroAFNegritaCaracter"/>
        </w:rPr>
        <w:t>11</w:t>
      </w:r>
      <w:r>
        <w:t>. Por escrito de 13 de enero de 2015 el Magistrado don Ricardo Enríquez Sancho planteó su abstención en el presente recurso de amparo, al entender que concurría la causa del art. 219.11 LOPJ, por haber formado parte de la Sección Primera de la Sala de lo Contencioso-Administrativo del Tribunal Supremo que dictó el Auto de 15 de marzo de 2012 que aquí se impugna. Por ATC 4/2015, de 15 de enero, la Sala Segunda de este Tribunal acordó estimar justificada la abstención del Magistrado don Ricardo Enríquez Sancho, apartándolo definitivamente del conocimiento del recurso.</w:t>
      </w:r>
    </w:p>
    <w:p w:rsidR="00AC56D6" w:rsidRDefault="00AC56D6" w:rsidP="00AC56D6">
      <w:pPr>
        <w:pStyle w:val="TextoNormal"/>
      </w:pPr>
    </w:p>
    <w:p w:rsidR="00AC56D6" w:rsidRDefault="00AC56D6" w:rsidP="00AC56D6">
      <w:pPr>
        <w:pStyle w:val="TextoNormal"/>
      </w:pPr>
      <w:r w:rsidRPr="00AC56D6">
        <w:rPr>
          <w:rStyle w:val="NumeroAFNegritaCaracter"/>
        </w:rPr>
        <w:t>12</w:t>
      </w:r>
      <w:r>
        <w:t>. Mediante escrito presentado el 13 de diciembre de 2012, la Procuradora de los Tribunales doña Matilde Marín Pérez, en representación de Vista San Felipe, S.L., interpuso recurso de amparo (registrado con el núm. 6996-2012) contra la providencia de la Sección Segunda de la Sala de lo Contencioso-Administrativo del Tribunal Superior de Justicia de Canarias de 19 de octubre de 2012, que inadmitió el incidente de nulidad de actuaciones contra la Sentencia de 21 de junio de 2011, por la que se inadmitió, a su vez, el recurso núm. 251-2009.</w:t>
      </w:r>
    </w:p>
    <w:p w:rsidR="00AC56D6" w:rsidRDefault="00AC56D6" w:rsidP="00AC56D6">
      <w:pPr>
        <w:pStyle w:val="TextoNormal"/>
      </w:pPr>
    </w:p>
    <w:p w:rsidR="00AC56D6" w:rsidRDefault="00AC56D6" w:rsidP="00AC56D6">
      <w:pPr>
        <w:pStyle w:val="TextoNormal"/>
      </w:pPr>
      <w:r w:rsidRPr="00AC56D6">
        <w:rPr>
          <w:rStyle w:val="NumeroAFNegritaCaracter"/>
        </w:rPr>
        <w:t>13</w:t>
      </w:r>
      <w:r>
        <w:t>. . Los hechos en los que tiene su origen el recurso de amparo son los mismos que han quedado reseñados en el antecedente 2 de esta Sentencia en relación con el recurso de amparo núm. 5987-2012, a los que se han de añadir los siguientes:</w:t>
      </w:r>
    </w:p>
    <w:p w:rsidR="00AC56D6" w:rsidRDefault="00AC56D6" w:rsidP="00AC56D6">
      <w:pPr>
        <w:pStyle w:val="TextoNormal"/>
      </w:pPr>
    </w:p>
    <w:p w:rsidR="00AC56D6" w:rsidRDefault="00AC56D6" w:rsidP="00AC56D6">
      <w:pPr>
        <w:pStyle w:val="TextoNormal"/>
      </w:pPr>
      <w:r>
        <w:t>a) Una vez que le fue notificado el Auto de la Sección Primera de la Sala de lo Contencioso-Administrativo del Tribunal Supremo de 15 de marzo de 2012, que inadmitía el re</w:t>
      </w:r>
      <w:r>
        <w:lastRenderedPageBreak/>
        <w:t>curso de casación interpuesto, la recurrente promovió con fecha 22 de mayo de 2012 incidente de nulidad de actuaciones ante la Sala de lo Contencioso-Administrativo del Tribunal Superior de Justicia de Canarias, dirigido contra la Sentencia de 21 de junio de 2011.</w:t>
      </w:r>
    </w:p>
    <w:p w:rsidR="00AC56D6" w:rsidRDefault="00AC56D6" w:rsidP="00AC56D6">
      <w:pPr>
        <w:pStyle w:val="TextoNormal"/>
      </w:pPr>
    </w:p>
    <w:p w:rsidR="00AC56D6" w:rsidRDefault="00AC56D6" w:rsidP="00AC56D6">
      <w:pPr>
        <w:pStyle w:val="TextoNormal"/>
      </w:pPr>
      <w:r>
        <w:t>b) El referido incidente fue inadmitido por providencia de 19 de octubre de 2012, en la que se razonaba que no se había prescindido en ningún momento de ninguna de las normas del procedimiento que hubieran podido causar indefensión.</w:t>
      </w:r>
    </w:p>
    <w:p w:rsidR="00AC56D6" w:rsidRDefault="00AC56D6" w:rsidP="00AC56D6">
      <w:pPr>
        <w:pStyle w:val="TextoNormal"/>
      </w:pPr>
    </w:p>
    <w:p w:rsidR="00AC56D6" w:rsidRDefault="00AC56D6" w:rsidP="00AC56D6">
      <w:pPr>
        <w:pStyle w:val="TextoNormal"/>
      </w:pPr>
      <w:r w:rsidRPr="00AC56D6">
        <w:rPr>
          <w:rStyle w:val="NumeroAFNegritaCaracter"/>
        </w:rPr>
        <w:t>14</w:t>
      </w:r>
      <w:r>
        <w:t>. La demanda de amparo aduce la vulneración del derecho la tutela judicial efectiva en un doble sentido. Por una parte, en la vertiente del derecho de acceso a los recursos legalmente establecidos, como consecuencia de la inadmisión a trámite del incidente de nulidad de actuaciones formulado contra la Sentencia de 21 de junio de 2011, que se fundamentó en que no se había prescindido en ningún momento de ninguna de las normas de procedimiento que hubieran podido causar indefensión, sin tener en cuenta el error determinante del fallo de inadmisibilidad contenido en la Sentencia reseñada, que impidió obtener un fallo en cuanto a la pretensión de fondo formulada por la recurrente. Por otra parte, en la vertiente de acceso a la jurisdicción, pues la Sala inadmitió el recurso contencioso-administrativo por un motivo inexistente de falta de aportación de un documento que figuraba incorporado a los autos, por haber sido aportado por la parte recurrente, teniendo en cuenta, además, que según la escritura de constitución de la sociedad, en su estipulación cuarta, se nombra como órgano de administración al consejo de administración, al que se reconocen en el artículo 26 de los Estatutos las más amplias facultades de dirección y administración de la sociedad y, concretamente, ejercitar sus derechos, acciones y excepciones en juicio y fuera de él, constando asimismo en autos certificación de acuerdo de dicho consejo de administración facultando para la interposición del recurso contencioso-administrativo, por lo que se cumplía con lo exigido en el art. 45.2 LJCA. En este sentido y con cita de la jurisprudencia constitucional, señala que la Sentencia impugnada incurre en un error patente con relevancia constitucional, que es apreciable a simple vista, deducible a partir de las actuaciones judiciales, y que ha sido determinante del fallo de inadmisibilidad, habida cuenta de que se inadmite el recurso por considerar que no se ha aportado el acuerdo para entablar el mismo, siendo así que dicho acuerdo se aportó efectivamente, de manera que se inadmitió injustamente el recurso por supuesto incumplimiento del art. 45.2 d) LJCA. Por todo ello, solicita el otorgamiento del amparo con declaración de nulidad de la providencia y la Sentencia impugnadas.</w:t>
      </w:r>
    </w:p>
    <w:p w:rsidR="00AC56D6" w:rsidRDefault="00AC56D6" w:rsidP="00AC56D6">
      <w:pPr>
        <w:pStyle w:val="TextoNormal"/>
      </w:pPr>
    </w:p>
    <w:p w:rsidR="00AC56D6" w:rsidRDefault="00AC56D6" w:rsidP="00AC56D6">
      <w:pPr>
        <w:pStyle w:val="TextoNormal"/>
      </w:pPr>
      <w:r w:rsidRPr="00AC56D6">
        <w:rPr>
          <w:rStyle w:val="NumeroAFNegritaCaracter"/>
        </w:rPr>
        <w:t>15</w:t>
      </w:r>
      <w:r>
        <w:t>. Por escrito de 20 de octubre de 2014 el Magistrado don Juan José González Rivas planteó su abstención en el presente recurso de amparo, al entender que concurría la causa del art. 219.11 LOPJ, por haber formado parte de la Sección Primera de la Sala de lo Contencioso-Administrativo del Tribunal Supremo que dictó el Auto de 15 de marzo de 2012. Por ATC 249/2014, de 20 de octubre, la Sala Segunda de este Tribunal acordó estimar justificada la abstención del Magistrado don Juan José González Rivas, apartándolo definitivamente del conocimiento del recurso.</w:t>
      </w:r>
    </w:p>
    <w:p w:rsidR="00AC56D6" w:rsidRDefault="00AC56D6" w:rsidP="00AC56D6">
      <w:pPr>
        <w:pStyle w:val="TextoNormal"/>
      </w:pPr>
    </w:p>
    <w:p w:rsidR="00AC56D6" w:rsidRDefault="00AC56D6" w:rsidP="00AC56D6">
      <w:pPr>
        <w:pStyle w:val="TextoNormal"/>
      </w:pPr>
      <w:r w:rsidRPr="00AC56D6">
        <w:rPr>
          <w:rStyle w:val="NumeroAFNegritaCaracter"/>
        </w:rPr>
        <w:t>16</w:t>
      </w:r>
      <w:r>
        <w:t xml:space="preserve">. Constando ya en el recurso las actuaciones, por providencia de 18 de diciembre de 2014 la Sección Tercera de este Tribunal acordó la admisión a trámite del presente recurso de amparo, así como dirigir atenta comunicación a la Sección Segunda de la Sala de lo </w:t>
      </w:r>
      <w:r>
        <w:lastRenderedPageBreak/>
        <w:t>Contencioso-Administrativo del Tribunal Superior de Justicia de Canarias a fin de que emplazara a quienes hubieran sido parte en el procedimiento núm. 251-2009, excepto la parte recurrente en amparo, para que pudieran comparecer en el plazo de diez días en este proceso constitucional. Todo ello condicionado a que la parte recurrente en amparo presentara escritura de poder original en el término de diez días. Dicho requerimiento fue atendido a través de escrito presentado el 23 de diciembre de 2014.</w:t>
      </w:r>
    </w:p>
    <w:p w:rsidR="00AC56D6" w:rsidRDefault="00AC56D6" w:rsidP="00AC56D6">
      <w:pPr>
        <w:pStyle w:val="TextoNormal"/>
      </w:pPr>
    </w:p>
    <w:p w:rsidR="00AC56D6" w:rsidRDefault="00AC56D6" w:rsidP="00AC56D6">
      <w:pPr>
        <w:pStyle w:val="TextoNormal"/>
      </w:pPr>
      <w:r w:rsidRPr="00AC56D6">
        <w:rPr>
          <w:rStyle w:val="NumeroAFNegritaCaracter"/>
        </w:rPr>
        <w:t>17</w:t>
      </w:r>
      <w:r>
        <w:t>. Por escrito de 13 de enero de 2015 el Magistrado don Ricardo Enríquez Sancho planteó su abstención en el presente recurso de amparo, al entender que concurría la causa del art. 219.11 LOPJ, por haber formado parte de la Sección Primera de la Sala de lo Contencioso-Administrativo del Tribunal Supremo que dictó el Auto de 15 de marzo de 2012. Por ATC 5/2015, de 15 de enero, la Sala Segunda de este Tribunal acordó estimar justificada la abstención del Magistrado don Ricardo Enríquez Sancho, apartándolo definitivamente del conocimiento del recurso.</w:t>
      </w:r>
    </w:p>
    <w:p w:rsidR="00AC56D6" w:rsidRDefault="00AC56D6" w:rsidP="00AC56D6">
      <w:pPr>
        <w:pStyle w:val="TextoNormal"/>
      </w:pPr>
    </w:p>
    <w:p w:rsidR="00AC56D6" w:rsidRDefault="00AC56D6" w:rsidP="00AC56D6">
      <w:pPr>
        <w:pStyle w:val="TextoNormal"/>
      </w:pPr>
      <w:r w:rsidRPr="00AC56D6">
        <w:rPr>
          <w:rStyle w:val="NumeroAFNegritaCaracter"/>
        </w:rPr>
        <w:t>18</w:t>
      </w:r>
      <w:r>
        <w:t>. Mediante escrito registrado el 10 de febrero de 2015, se personó en el presente recurso el Letrado del servicio jurídico del Gobierno de Canarias, en la representación que ostenta.</w:t>
      </w:r>
    </w:p>
    <w:p w:rsidR="00AC56D6" w:rsidRDefault="00AC56D6" w:rsidP="00AC56D6">
      <w:pPr>
        <w:pStyle w:val="TextoNormal"/>
      </w:pPr>
    </w:p>
    <w:p w:rsidR="00AC56D6" w:rsidRDefault="00AC56D6" w:rsidP="00AC56D6">
      <w:pPr>
        <w:pStyle w:val="TextoNormal"/>
      </w:pPr>
      <w:r w:rsidRPr="00AC56D6">
        <w:rPr>
          <w:rStyle w:val="NumeroAFNegritaCaracter"/>
        </w:rPr>
        <w:t>19</w:t>
      </w:r>
      <w:r>
        <w:t>. Por diligencia de ordenación de 18 de febrero de 2015 se tuvo por personado al Letrado del servicio jurídico del Gobierno de Canarias, acordando dar vista de las actuaciones a las partes personadas y al Ministerio Fiscal, por plazo común de veinte días, para la presentación de las alegaciones que estimaran pertinentes, conforme determina el art. 52.1 LOTC.</w:t>
      </w:r>
    </w:p>
    <w:p w:rsidR="00AC56D6" w:rsidRDefault="00AC56D6" w:rsidP="00AC56D6">
      <w:pPr>
        <w:pStyle w:val="TextoNormal"/>
      </w:pPr>
    </w:p>
    <w:p w:rsidR="00AC56D6" w:rsidRDefault="00AC56D6" w:rsidP="00AC56D6">
      <w:pPr>
        <w:pStyle w:val="TextoNormal"/>
      </w:pPr>
      <w:r w:rsidRPr="00AC56D6">
        <w:rPr>
          <w:rStyle w:val="NumeroAFNegritaCaracter"/>
        </w:rPr>
        <w:t>20</w:t>
      </w:r>
      <w:r>
        <w:t>. La representación de la demandante de amparo presentó escrito el 3 de marzo de 2015, dando por reproducidas las alegaciones contenidas en la demanda de amparo.</w:t>
      </w:r>
    </w:p>
    <w:p w:rsidR="00AC56D6" w:rsidRDefault="00AC56D6" w:rsidP="00AC56D6">
      <w:pPr>
        <w:pStyle w:val="TextoNormal"/>
      </w:pPr>
    </w:p>
    <w:p w:rsidR="00AC56D6" w:rsidRDefault="00AC56D6" w:rsidP="00AC56D6">
      <w:pPr>
        <w:pStyle w:val="TextoNormal"/>
      </w:pPr>
      <w:r w:rsidRPr="00AC56D6">
        <w:rPr>
          <w:rStyle w:val="NumeroAFNegritaCaracter"/>
        </w:rPr>
        <w:t>21</w:t>
      </w:r>
      <w:r>
        <w:t>. El Letrado del servicio jurídico del Gobierno de Canarias presentó su escrito de alegaciones con fecha 23 de marzo de 2015, en el que solicitó la desestimación del recurso de amparo y reprodujo sustancialmente las formuladas en el recurso de amparo 5987-2012.</w:t>
      </w:r>
    </w:p>
    <w:p w:rsidR="00AC56D6" w:rsidRDefault="00AC56D6" w:rsidP="00AC56D6">
      <w:pPr>
        <w:pStyle w:val="TextoNormal"/>
      </w:pPr>
    </w:p>
    <w:p w:rsidR="00AC56D6" w:rsidRDefault="00AC56D6" w:rsidP="00AC56D6">
      <w:pPr>
        <w:pStyle w:val="TextoNormal"/>
      </w:pPr>
      <w:r w:rsidRPr="00AC56D6">
        <w:rPr>
          <w:rStyle w:val="NumeroAFNegritaCaracter"/>
        </w:rPr>
        <w:t>22</w:t>
      </w:r>
      <w:r>
        <w:t>. El Ministerio Fiscal, en escrito registrado el 25 de marzo de 2015, solicitó la estimación del recurso de amparo, por vulneración del derecho a la tutela judicial efectiva de la actora, con declaración de nulidad de las resoluciones impugnadas y retroacción de actuaciones al momento anterior al dictado de la Sentencia de 21 de junio de 2011. Tras exponer los antecedentes del caso y las pretensiones de la demandante de amparo, comienza el Fiscal por poner de manifiesto la posible existencia de una causa de inadmisión del recurso consistente en la extemporaneidad del recurso por la utilización de dos vías de impugnación manifiestamente improcedentes; en concreto, por la interposición de incidente de nulidad de actuaciones después de haber utilizado un recurso de casación que también podría considerarse discutible. No obstante, tras examinar las circunstancias del caso a la luz de la jurisprudencia constitucional en la materia, el Fiscal concluye por descartar la concurrencia de este óbice procesal al considerar que ninguno de los medios de impugnación empleados por la recurrente podía considerarse manifiestamente improcedente.</w:t>
      </w:r>
    </w:p>
    <w:p w:rsidR="00AC56D6" w:rsidRDefault="00AC56D6" w:rsidP="00AC56D6">
      <w:pPr>
        <w:pStyle w:val="TextoNormal"/>
      </w:pPr>
    </w:p>
    <w:p w:rsidR="00AC56D6" w:rsidRDefault="00AC56D6" w:rsidP="00AC56D6">
      <w:pPr>
        <w:pStyle w:val="TextoNormal"/>
      </w:pPr>
      <w:r>
        <w:lastRenderedPageBreak/>
        <w:t>En cuanto al fondo del asunto, con alegaciones análogas a las formuladas en el recurso de amparo núm. 5987-2012, el Fiscal afirma que la Sala de lo Contencioso-Administrativo incurre en el manifiesto error de dar por no cumplido por la actora el requisito exigido por el art. 45.2 d) LJCA de aportar los documentos que acreditan que la decisión de ejercicio de las acciones legales había sido adoptada previamente por el órgano facultado para ello conforme a las normas y estatutos de la sociedad, basando su decisión de inadmisión del recurso en la falta de aportación de tales documentos que, por otro lado, ella misma menciona que se tuvieron por aportados. A su juicio, resulta de aplicación al caso lo manifestado en la STC 167/2014, de 22 de octubre, por su similitud, entendiendo que el error padecido es evidente, determinante de la decisión adoptada y que ha causado un efecto negativo en la esfera de derechos de la recurrente.</w:t>
      </w:r>
    </w:p>
    <w:p w:rsidR="00AC56D6" w:rsidRDefault="00AC56D6" w:rsidP="00AC56D6">
      <w:pPr>
        <w:pStyle w:val="TextoNormal"/>
      </w:pPr>
    </w:p>
    <w:p w:rsidR="00AC56D6" w:rsidRDefault="00AC56D6" w:rsidP="00AC56D6">
      <w:pPr>
        <w:pStyle w:val="TextoNormal"/>
      </w:pPr>
      <w:r>
        <w:t>Por lo que se refiere a la lesión del derecho fundamental que se imputa a la providencia de inadmisión del incidente de nulidad de actuaciones formulado contra la Sentencia impugnada, señala el Ministerio público que la decisión de inadmisión de plano que se adopta en dicha resolución infringe abiertamente la doctrina del Tribunal Constitucional sobre el valor y relevancia que los órganos judiciales deben otorgar al incidente de nulidad de actuaciones, para hacer efectiva su función de garantes directos y primarios de los derechos fundamentales. Según su criterio, esta inadmisión de plano del incidente fundada en una incorrecta aplicación del art. 241 LOPJ supone una lesión autónoma del derecho a la tutela judicial efectiva, desde la vertiente del derecho al recurso, al privar al recurrente del mecanismo de impugnación para obtener una reparación del derecho fundamental que, quizá, no pueda obtenerse en vía de amparo constitucional si no concurre la especial trascendencia constitucional del recurso. En este sentido se cita la STC 9/2014, que resolvió un caso similar.</w:t>
      </w:r>
    </w:p>
    <w:p w:rsidR="00AC56D6" w:rsidRDefault="00AC56D6" w:rsidP="00AC56D6">
      <w:pPr>
        <w:pStyle w:val="TextoNormal"/>
      </w:pPr>
    </w:p>
    <w:p w:rsidR="00AC56D6" w:rsidRDefault="00AC56D6" w:rsidP="00AC56D6">
      <w:pPr>
        <w:pStyle w:val="TextoNormal"/>
      </w:pPr>
      <w:r w:rsidRPr="00AC56D6">
        <w:rPr>
          <w:rStyle w:val="NumeroAFNegritaCaracter"/>
        </w:rPr>
        <w:t>23</w:t>
      </w:r>
      <w:r>
        <w:t>. Mediante diligencia de ordenación de 20 de abril de 2015 la Secretaría de la Sala Segunda de este Tribunal acordó otorgar un plazo de diez días a las partes personadas y al Ministerio Fiscal para que pudieran alegar lo que estimasen pertinente sobre la acumulación del recurso de amparo núm. 6996-2012 al recurso de amparo núm. 5987-2012. La parte recurrente en amparo y el Ministerio Fiscal mostraron su conformidad con la acumulación, mientras que el Letrado del servicio jurídico del Gobierno de Canarias manifestó que no se oponía a la misma. Por Auto de 8 de junio de 2015 la Sala acordó la acumulación del recurso de amparo núm. 6996-2012 al recurso núm. 5987-2012.</w:t>
      </w:r>
    </w:p>
    <w:p w:rsidR="00AC56D6" w:rsidRDefault="00AC56D6" w:rsidP="00AC56D6">
      <w:pPr>
        <w:pStyle w:val="TextoNormal"/>
      </w:pPr>
    </w:p>
    <w:p w:rsidR="00AC56D6" w:rsidRDefault="00AC56D6" w:rsidP="00AC56D6">
      <w:pPr>
        <w:pStyle w:val="TextoNormal"/>
      </w:pPr>
      <w:r w:rsidRPr="00AC56D6">
        <w:rPr>
          <w:rStyle w:val="NumeroAFNegritaCaracter"/>
        </w:rPr>
        <w:t>24</w:t>
      </w:r>
      <w:r>
        <w:t>. Por providencia de 17 de septiembre de 2015 se acordó señalar para deliberación y votación de la presente Sentencia el día 21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La demandante de amparo impugna, por un lado, la Sentencia de la Sección Segunda de la Sala de lo Contencioso-Administrativo del Tribunal Superior de Justicia de Canarias, de 21 de junio de 2011, que inadmitió el recurso contencioso-administrativo interpuesto contra sendos acuerdos de la comisión de valoraciones de Canarias, por incumplimiento de la exigencia del art. 45.2 d) de la Ley reguladora de la jurisdicción contencioso-administrativa (LJCA), sobre la aportación de los documentos que acrediten el cumplimiento de los requisitos exigidos para entablar acciones las personas jurídicas con arreglo a las normas o </w:t>
      </w:r>
      <w:r>
        <w:lastRenderedPageBreak/>
        <w:t>estatutos que les sean de aplicación, así como contra la providencia de 19 de octubre de 2012, por la que se inadmitió de plano el incidente de nulidad de actuaciones promovido contra la Sentencia anterior. Por otro lado, se dirige contra el Auto del Tribunal Supremo de 15 de marzo de 2012, que inadmitió el recurso de casación promovido contra la Sentencia reseñada, por razón de la cuantía, y contra la providencia de 10 de septiembre de 2012, que inadmitió el incidente de nulidad de actuaciones interpuesto contra el citado Auto. La recurrente denuncia la vulneración de su derecho a la tutela judicial efectiva (art. 24.1 CE) por las siguientes razones: a) En la vertiente de acceso a la jurisdicción, porque la Sentencia de instancia incurrió en error patente al inadmitir el recurso contencioso-administrativo por un motivo inexistente de falta de aportación de un documento que figuraba incorporado los autos. b) Por vulneración del derecho de acceso a los recursos en la medida en que la providencia de inadmisión del incidente de nulidad de actuaciones promovido contra dicha Sentencia se fundamenta en que no se ha prescindido en ningún momento de ninguna de las normas de procedimiento que hubieran podido causar indefensión, sin tener en cuenta el error determinante del fallo de inadmisibilidad contenido en la Sentencia. c) Las resoluciones del Tribunal Supremo habrían vulnerado el derecho a la tutela judicial efectiva, en primer lugar, en la vertiente de acceso al recurso, por haber inadmitido la casación en virtud de un criterio doctrinal no aplicable al presente caso, y, en segundo lugar, en el aspecto referido al acceso a la jurisdicción, por no haber tenido en cuenta que ni siquiera se había producido una primera respuesta judicial por parte del Tribunal de instancia a la pretensión de fondo.</w:t>
      </w:r>
    </w:p>
    <w:p w:rsidR="00AC56D6" w:rsidRDefault="00AC56D6" w:rsidP="00AC56D6">
      <w:pPr>
        <w:pStyle w:val="TextoNormal"/>
      </w:pPr>
    </w:p>
    <w:p w:rsidR="00AC56D6" w:rsidRDefault="00AC56D6" w:rsidP="00AC56D6">
      <w:pPr>
        <w:pStyle w:val="TextoNormal"/>
      </w:pPr>
      <w:r>
        <w:t>Por su parte, el Fiscal ha solicitado el otorgamiento del amparo, por entender producida la lesión del derecho de acceso a la jurisdicción por la Sentencia de la Sala de lo Contencioso-Administrativo del Tribunal Superior de Justicia de Canarias, al haber inadmitido indebidamente el recurso contencioso-administrativo, en virtud de una causa inexistente. En cambio, considera que las resoluciones de la Sala de lo Contencioso-Administrativo del Tribunal Supremo no incurren en la vulneración que les achaca la parte actora. El Letrado del servicio jurídico del Gobierno de Canarias se ha opuesto al recurso, afirmando que no ha se ha producido ninguna de las lesiones que se achacan a la actuación judicial por la parte demandante en amparo.</w:t>
      </w:r>
    </w:p>
    <w:p w:rsidR="00AC56D6" w:rsidRDefault="00AC56D6" w:rsidP="00AC56D6">
      <w:pPr>
        <w:pStyle w:val="TextoNormal"/>
      </w:pPr>
    </w:p>
    <w:p w:rsidR="00AC56D6" w:rsidRDefault="00AC56D6" w:rsidP="00AC56D6">
      <w:pPr>
        <w:pStyle w:val="TextoNormal"/>
      </w:pPr>
      <w:r w:rsidRPr="00AC56D6">
        <w:rPr>
          <w:rStyle w:val="NumeroAFNegritaCaracter"/>
        </w:rPr>
        <w:t>2</w:t>
      </w:r>
      <w:r>
        <w:t xml:space="preserve">. Antes de entrar en el análisis de las quejas articuladas en la demanda, han de efectuarse dos consideraciones con carácter previo. Por una parte, aunque el Letrado del servicio jurídico del Gobierno de Canarias ha sostenido que sólo puede admitirse el recurso contra las providencias que inadmitieron los incidentes de nulidad de actuaciones promovidos por la actora contra la Sentencia del Tribunal Superior de Justicia de Canarias que inadmitió el recurso contencioso-administrativo y contra el Auto del Tribunal Supremo que inadmitió el recurso de casación, lo cierto es que la impugnación ha de entenderse dirigida contra todas las resoluciones mencionadas, pues la voluntad de la demandante de amparo en tal sentido resulta inequívoca, según se puede percibir tanto a partir de la fundamentación como de los términos del </w:t>
      </w:r>
      <w:r w:rsidRPr="00AC56D6">
        <w:rPr>
          <w:i/>
        </w:rPr>
        <w:t>petitum</w:t>
      </w:r>
      <w:r>
        <w:t xml:space="preserve"> de sus dos demandas, en los que claramente se percibe que, en último término, lo que combate, por considerarla contraria a su derecho a la tutela judicial efectiva, es la inadmisión tanto de su recurso contencioso-administrativo como de su recurso de casación. Además, es doctrina reiterada de este Tribunal que “cuando se impugna en amparo una resolución judicial confirmatoria de otras, que han sido lógica y cronológicamente presupuesto de aquélla, han de entenderse también por recurridas las precedentes resoluciones confirmadas” (por todas SSTC 139/2007, de 4 de junio, FJ 1, y 58/2008, de 28 de abril, FJ </w:t>
      </w:r>
      <w:r>
        <w:lastRenderedPageBreak/>
        <w:t>1), y, en el presente caso, se impugnan las providencias de inadmisión de los incidentes de nulidad de actuaciones en la medida en que inadmitieron las mismas cuestiones que vienen a plantearse aquí, confirmando las resoluciones contra las que aquéllos se promovieron.</w:t>
      </w:r>
    </w:p>
    <w:p w:rsidR="00AC56D6" w:rsidRDefault="00AC56D6" w:rsidP="00AC56D6">
      <w:pPr>
        <w:pStyle w:val="TextoNormal"/>
      </w:pPr>
    </w:p>
    <w:p w:rsidR="00AC56D6" w:rsidRDefault="00AC56D6" w:rsidP="00AC56D6">
      <w:pPr>
        <w:pStyle w:val="TextoNormal"/>
      </w:pPr>
      <w:r>
        <w:t>Por otra parte, siendo varias las quejas que plantea la demandante, para establecer un adecuado orden en su examen hemos de atenernos a los criterios sentados en nuestra reiterada doctrina, que otorgan prioridad a aquéllas de las que pudiera derivarse la retroacción de actuaciones y, dentro de éstas, a las que, al determinar la retroacción a momentos anteriores, hacen innecesario nuestro pronunciamiento sobre las restantes (SSTC 19/2000, de 31 de enero, FJ 2; 70/2002, de 3 de abril, FJ 2, y 100/2004, de 2 de junio, FJ 4, entre otras). Partiendo de dichos criterios, en primer lugar, tendríamos que descartar el examen de las quejas referidas a la inadmisión de los incidentes de nulidad de actuaciones por las providencias de 10 de septiembre y 19 de octubre de 2012, pues la impugnación no se dirige exclusivamente contra la inadmisión del incidente de nulidad de actuaciones, sino también contra la resolución previa frente a la que aquél se promovió, en cuyo caso, aunque la respuesta judicial pudiera ser contraria a la nueva función institucional del incidente del art. 241 de la Ley Orgánica del Poder Judicial (LOPJ), sólo evidencia que la petición de nulidad no surtió el efecto que estaba llamada a producir, sin que de ello se derivara, en principio, una vulneración autónoma de los derechos alegados. Es decir, aquí el incidente habría de ser calificado como un instrumento necesario para el agotamiento de la vía judicial previa, pero sin determinar la existencia de una lesión adicional a la que en él se denunciaba. Se trataría simplemente, por tanto, de que el órgano judicial no habría reparado la lesión previa cometida por la Sentencia a través del instrumento procesal articulado por el legislador orgánico para reparar aquellas lesiones de cualquier derecho fundamental que no puedan serlo a través de los recursos ordinarios o extraordinarios previstos por la ley, pero sin que la resolución judicial adquiera dimensión constitucional en orden a la denuncia de una lesión diferenciada en amparo (STC 169/2013, de 7 de octubre, FJ 2).</w:t>
      </w:r>
    </w:p>
    <w:p w:rsidR="00AC56D6" w:rsidRDefault="00AC56D6" w:rsidP="00AC56D6">
      <w:pPr>
        <w:pStyle w:val="TextoNormal"/>
      </w:pPr>
    </w:p>
    <w:p w:rsidR="00AC56D6" w:rsidRDefault="00AC56D6" w:rsidP="00AC56D6">
      <w:pPr>
        <w:pStyle w:val="TextoNormal"/>
      </w:pPr>
      <w:r>
        <w:t>No obstante, se nos suscita, una vez más, el análisis, desde una perspectiva estrictamente constitucional de la cuestión relativa a una resolución que inadmite de plano a trámite un incidente excepcional de nulidad de actuaciones del art. 241.1 LOPJ, tras la reforma operada por Ley Orgánica 6/2007, de 24 de mayo, que la actora promovió por considerar vulnerado su derecho a la tutela judicial efectiva del art. 24.1 CE, en la vertiente del derecho a obtener una resolución fundada en Derecho, debido al error patente en el que habría incurrido, a su juicio, la Sentencia de inadmisión del recurso contencioso-administrativo por ella entablado.</w:t>
      </w:r>
    </w:p>
    <w:p w:rsidR="00AC56D6" w:rsidRDefault="00AC56D6" w:rsidP="00AC56D6">
      <w:pPr>
        <w:pStyle w:val="TextoNormal"/>
      </w:pPr>
    </w:p>
    <w:p w:rsidR="00AC56D6" w:rsidRDefault="00AC56D6" w:rsidP="00AC56D6">
      <w:pPr>
        <w:pStyle w:val="TextoNormal"/>
      </w:pPr>
      <w:r>
        <w:t xml:space="preserve">Pues bien, hemos de recordar aquí que, según la doctrina de este Tribunal, los órganos judiciales, a la vista de la ordenación del recurso de amparo tras la reforma operada por Ley Orgánica 6/2007, “deben realizar una interpretación no restrictiva de las causas de inadmisión del incidente de nulidad de actuaciones, motivando suficientemente su decisión, puesto que la reforma ha acentuado la función de los Tribunales ordinarios como primeros garantes de los derechos fundamentales en el ordenamiento jurídico, con el fin de lograr que la tutela y defensa de esos derechos por parte del Tribunal Constitucional sea realmente subsidiaria” (STC 101/2015, de 25 de mayo, FJ 2). El incumplimiento de esta jurisprudencia constitucional que este Tribunal puede observar en la aplicación por la jurisdicción ordinaria de la reforma del incidente de nulidad de actuaciones resulta grave, carece de justificación y dota de especial trascendencia constitucional a este recurso y, así, en relación a esta misma cuestión, entre otras, se ha pronunciado más recientemente en las SSTC 153/2012, de 16 de </w:t>
      </w:r>
      <w:r>
        <w:lastRenderedPageBreak/>
        <w:t>julio; 9/2014, de 27 de enero; 204/2014, de 15 de diciembre; 91/2015, de 11 de mayo; 101/2015, de 25 de mayo, y 142/2015, de 22 de junio. De ese modo, concurre el motivo de especial trascendencia constitucional recogido en el apartado e) del fundamento jurídico 2 de la STC 155/2009, de 25 de junio, esto es, que la doctrina de este Tribunal sobre el derecho fundamental que se alega podría estar siendo incumplida de modo reiterado por la jurisdicción ordinaria.</w:t>
      </w:r>
    </w:p>
    <w:p w:rsidR="00AC56D6" w:rsidRDefault="00AC56D6" w:rsidP="00AC56D6">
      <w:pPr>
        <w:pStyle w:val="TextoNormal"/>
      </w:pPr>
    </w:p>
    <w:p w:rsidR="00AC56D6" w:rsidRDefault="00AC56D6" w:rsidP="00AC56D6">
      <w:pPr>
        <w:pStyle w:val="TextoNormal"/>
      </w:pPr>
      <w:r>
        <w:t>Aparte de lo anterior, se constata que tanto el asunto que se nos plantea en el presente recurso de amparo como el resuelto en la STC 167/2014, de 22 de octubre, traen causa de resoluciones de la Sala de lo Contencioso-Administrativo del Tribunal Superior de Justicia de Canarias y en ambos supuestos se plantea la misma cuestión, por lo que también desde esta perspectiva puede manifestarse una reiteración en el incumplimiento de la doctrina del Tribunal Constitucional en la materia objeto del amparo.</w:t>
      </w:r>
    </w:p>
    <w:p w:rsidR="00AC56D6" w:rsidRDefault="00AC56D6" w:rsidP="00AC56D6">
      <w:pPr>
        <w:pStyle w:val="TextoNormal"/>
      </w:pPr>
    </w:p>
    <w:p w:rsidR="00AC56D6" w:rsidRDefault="00AC56D6" w:rsidP="00AC56D6">
      <w:pPr>
        <w:pStyle w:val="TextoNormal"/>
      </w:pPr>
      <w:r>
        <w:t>Hecha la anterior precisión, hemos de centrarnos, en principio, en el Auto del Tribunal Supremo que inadmitió la casación, y en la Sentencia del Tribunal Superior de Justicia de Canarias que inadmitió el recurso contencioso-administrativo. De acuerdo con los criterios antes expuestos, se puede observar que la eventual estimación de la quejas dirigidas contra el Auto de inadmisión del recurso de casación determinaría la anulación de dicho Auto, para que la Sección Primera de la Sala de lo Contencioso-Administrativo del Tribunal Supremo procediera a dictar una nueva resolución respetuosa con el derecho fundamental de la recurrente. En cambio, si se produjera la estimación de la queja que la recurrente vincula a la lesión del mismo derecho fundamental por el error patente que habría dado lugar a un pronunciamiento de inadmisión en la Sentencia de la Sala de lo Contencioso-Administrativo del Tribunal Superior de Justicia de Canarias, de 21 de junio de 2011, se produciría la anulación de esta última resolución y la retroacción de las actuaciones al momento anterior al dictado de esa Sentencia, para que la Sala emitiera un nuevo pronunciamiento que resultara acorde con el derecho fundamental vulnerado. Por ello, hemos de comenzar nuestro análisis por esta última queja, que es la que, de apreciarse, conduciría a la retroacción anterior en el tiempo; continuando, en el caso de que rechazáramos la concurrencia de dicha vulneración, con el examen de la que denuncia la lesión del derecho a la tutela judicial efectiva de la demandante de amparo por el Auto de inadmisión del recurso de casación.</w:t>
      </w:r>
    </w:p>
    <w:p w:rsidR="00AC56D6" w:rsidRDefault="00AC56D6" w:rsidP="00AC56D6">
      <w:pPr>
        <w:pStyle w:val="TextoNormal"/>
      </w:pPr>
    </w:p>
    <w:p w:rsidR="00AC56D6" w:rsidRDefault="00AC56D6" w:rsidP="00AC56D6">
      <w:pPr>
        <w:pStyle w:val="TextoNormal"/>
      </w:pPr>
      <w:r w:rsidRPr="00AC56D6">
        <w:rPr>
          <w:rStyle w:val="NumeroAFNegritaCaracter"/>
        </w:rPr>
        <w:t>3</w:t>
      </w:r>
      <w:r>
        <w:t>. Comenzando, pues, con el análisis de la primera de las quejas, debemos precisar, ante todo, que, como advierten la parte recurrente y el Ministerio Fiscal, no nos encontramos simplemente ante un supuesto de un error patente con relevancia constitucional, sino que la cuestión va más allá para convertirse en un problema de acceso a la jurisdicción. Y es que ese eventual error ha determinado que la Sala de lo Contencioso-Administrativo del Tribunal Superior de Justicia de Canarias inadmita el recurso contencioso-administrativo promovido por la actora ante ella contra los acuerdos de la comisión de valoraciones de Canarias debido al incumplimiento de un requisito procesal, y, como consecuencia, la actora se ha visto privada de la obtención de una resolución sobre el fondo del asunto, que es a lo que, en definitiva, se dirige de manera primaria el ejercicio de una acción que encuentra su respaldo constitucional en el derecho a la tutela judicial efectiva sin indefensión consagrado en el art. 24.1 CE, uno de cuyos contenidos esenciales es el derecho a obtener una resolución sobre el fondo del asunto planteado oportunamente ante los órganos judiciales (por todas, SSTC 52/2007, de 12 de marzo, FJ 2, y 25/2008, de 11 de febrero, FJ 4).</w:t>
      </w:r>
    </w:p>
    <w:p w:rsidR="00AC56D6" w:rsidRDefault="00AC56D6" w:rsidP="00AC56D6">
      <w:pPr>
        <w:pStyle w:val="TextoNormal"/>
      </w:pPr>
    </w:p>
    <w:p w:rsidR="00AC56D6" w:rsidRDefault="00AC56D6" w:rsidP="00AC56D6">
      <w:pPr>
        <w:pStyle w:val="TextoNormal"/>
      </w:pPr>
      <w:r>
        <w:lastRenderedPageBreak/>
        <w:t>Concretado así el derecho invocado, el canon de enjuiciamiento constitucional de la queja planteada se encuentra recogido en la STC 167/2014, en la resolución de un asunto similar al que nos ocupa, pudiendo sintetizarse la doctrina allí plasmada en los siguientes puntos:</w:t>
      </w:r>
    </w:p>
    <w:p w:rsidR="00AC56D6" w:rsidRDefault="00AC56D6" w:rsidP="00AC56D6">
      <w:pPr>
        <w:pStyle w:val="TextoNormal"/>
      </w:pPr>
    </w:p>
    <w:p w:rsidR="00AC56D6" w:rsidRDefault="00AC56D6" w:rsidP="00AC56D6">
      <w:pPr>
        <w:pStyle w:val="TextoNormal"/>
      </w:pPr>
      <w:r>
        <w:t>a) El primer contenido del derecho que reconoce el art. 24.1 CE es el acceso a la jurisdicción, que permite ser parte en un proceso y obtener un pronunciamiento sobre las pretensiones deducidas. No se trata, sin embargo, de un derecho absoluto e incondicionado, sino que ha de someterse a los cauces procesales existentes y de acuerdo con la ordenación legal, pues, en cuanto derecho de configuración legal, su ejercicio y dispensación se supeditan al cumplimiento de los presupuestos y requisitos establecidos por el legislador en cada caso. Por tal razón, queda también satisfecho cuando se emite un pronunciamiento de inadmisión que aprecie razonada y razonablemente la concurrencia de una causa establecida expresamente en la ley.</w:t>
      </w:r>
    </w:p>
    <w:p w:rsidR="00AC56D6" w:rsidRDefault="00AC56D6" w:rsidP="00AC56D6">
      <w:pPr>
        <w:pStyle w:val="TextoNormal"/>
      </w:pPr>
    </w:p>
    <w:p w:rsidR="00AC56D6" w:rsidRDefault="00AC56D6" w:rsidP="00AC56D6">
      <w:pPr>
        <w:pStyle w:val="TextoNormal"/>
      </w:pPr>
      <w:r>
        <w:t xml:space="preserve">b) Tratándose del derecho de acceso a la jurisdicción, opera en toda su intensidad el principio </w:t>
      </w:r>
      <w:r w:rsidRPr="00AC56D6">
        <w:rPr>
          <w:i/>
        </w:rPr>
        <w:t>pro actione</w:t>
      </w:r>
      <w:r>
        <w:t>, por lo que no sólo conculcan el derecho fundamental las resoluciones de inadmisión o desestimación que incurran en arbitrariedad, irrazonabilidad o error patente, sino también las que se encuentren basadas en criterios que por su rigorismo, formalismo excesivo o cualquier otra razón revelen una clara desproporción entre los fines que la causa legal aplicada preserva y los intereses que se sacrifican como consecuencia de la inadmisión. Además, como consecuencia de la vigencia de dicho principio, el control constitucional de las decisiones de admisión ha de verificarse de forma especialmente intensa, en cuanto aquél impide interpretaciones y aplicaciones de los requisitos establecidos legalmente para acceder al proceso que obstaculicen injustificadamente el derecho a que un órgano judicial conozca o resuelva en Derecho sobre la pretensión que le haya sido sometida.</w:t>
      </w:r>
    </w:p>
    <w:p w:rsidR="00AC56D6" w:rsidRDefault="00AC56D6" w:rsidP="00AC56D6">
      <w:pPr>
        <w:pStyle w:val="TextoNormal"/>
      </w:pPr>
    </w:p>
    <w:p w:rsidR="00AC56D6" w:rsidRDefault="00AC56D6" w:rsidP="00AC56D6">
      <w:pPr>
        <w:pStyle w:val="TextoNormal"/>
      </w:pPr>
      <w:r>
        <w:t xml:space="preserve">c) Aunque el principio </w:t>
      </w:r>
      <w:r w:rsidRPr="00AC56D6">
        <w:rPr>
          <w:i/>
        </w:rPr>
        <w:t>pro actione</w:t>
      </w:r>
      <w:r>
        <w:t xml:space="preserve"> obliga a los órganos judiciales en los supuestos de acceso a la jurisdicción a aplicar las normas reguladoras de los requisitos y presupuestos procesales teniendo siempre presente el fin perseguido por el legislador al establecerlos, ello no implica necesariamente a la selección forzosa de la solución interpretativa más favorable a la admisión de la demanda ni puede conducir a que se prescinda de los requisitos establecidos por las leyes que ordenan el proceso en garantía de los derechos de todas las partes.</w:t>
      </w:r>
    </w:p>
    <w:p w:rsidR="00AC56D6" w:rsidRDefault="00AC56D6" w:rsidP="00AC56D6">
      <w:pPr>
        <w:pStyle w:val="TextoNormal"/>
      </w:pPr>
    </w:p>
    <w:p w:rsidR="00AC56D6" w:rsidRDefault="00AC56D6" w:rsidP="00AC56D6">
      <w:pPr>
        <w:pStyle w:val="TextoNormal"/>
      </w:pPr>
      <w:r w:rsidRPr="00AC56D6">
        <w:rPr>
          <w:rStyle w:val="NumeroAFNegritaCaracter"/>
        </w:rPr>
        <w:t>4</w:t>
      </w:r>
      <w:r>
        <w:t>. Por otra parte, y en conexión con lo anterior, este Tribunal ha afirmado que el derecho a la tutela judicial efectiva impide la clausura de un procedimiento por defectos que pueden ser subsanados, de modo que, para que las decisiones de inadmisión por incumplimiento de los requisitos procesales sean acordes con el expresado derecho, es preciso además que el requisito incumplido, atendidas las circunstancias del caso, sea insubsanable o que, siendo subsanable, no haya sido corregido por el actor pese a que el órgano judicial le haya otorgado esa posibilidad, tal como prevé el art. 11.3 LOPJ (SSTC 147/1997, de 16 de septiembre, FJ 4; 122/1999, de 28 de junio, FJ 2, y 153/2002, de 15 de julio, FJ 2).</w:t>
      </w:r>
    </w:p>
    <w:p w:rsidR="00AC56D6" w:rsidRDefault="00AC56D6" w:rsidP="00AC56D6">
      <w:pPr>
        <w:pStyle w:val="TextoNormal"/>
      </w:pPr>
    </w:p>
    <w:p w:rsidR="00AC56D6" w:rsidRDefault="00AC56D6" w:rsidP="00AC56D6">
      <w:pPr>
        <w:pStyle w:val="TextoNormal"/>
      </w:pPr>
      <w:r>
        <w:t xml:space="preserve">En consonancia con ello, como se señala en la STC 45/2002, de 25 de febrero, FJ 2, “los Jueces y Tribunales deben llevar a cabo una adecuada ponderación de los defectos que adviertan en los actos procesales de las partes, guardando la debida proporcionalidad entre la irregularidad cometida y la sanción que debe acarrear, a fin de procurar, siempre que sea posible, la subsanación del defecto o irregularidad a fin de favorecer la conservación de la </w:t>
      </w:r>
      <w:r>
        <w:lastRenderedPageBreak/>
        <w:t>eficacia de los actos procesales y del proceso como instrumento para alcanzar la efectividad de la tutela judicial (arts. 11.3, 240.2, 242 y 243 LOPJ ...)”. Y en esa labor de ponderación es necesario que los órganos judiciales tomen en consideración no sólo la entidad del defecto y su incidencia en la consecución de la finalidad perseguida por la norma infringida, sino también su trascendencia para las garantías procesales de las demás partes del proceso y a la voluntad y grado de diligencia procesal apreciada en la parte, en orden al cumplimiento del requisito procesal omitido o irregularmente observado (SSTC 213/1990, de 20 de diciembre, FJ 2; 41/1992, de 30 de marzo, FJ 4; 145/1998, de 30 de junio, FJ 2, y 285/2000, de 27 de noviembre, FJ 4).</w:t>
      </w:r>
    </w:p>
    <w:p w:rsidR="00AC56D6" w:rsidRDefault="00AC56D6" w:rsidP="00AC56D6">
      <w:pPr>
        <w:pStyle w:val="TextoNormal"/>
      </w:pPr>
    </w:p>
    <w:p w:rsidR="00AC56D6" w:rsidRDefault="00AC56D6" w:rsidP="00AC56D6">
      <w:pPr>
        <w:pStyle w:val="TextoNormal"/>
      </w:pPr>
      <w:r>
        <w:t>En la misma línea, ha afirmado este Tribunal (STC 206/2002, de 11 de noviembre, FJ 3) que “si el órgano judicial no hace lo posible para la subsanación del defecto procesal que pudiera considerarse como subsanable o impone un rigor en las exigencias más allá de la finalidad a que las mismas responden, la resolución judicial que cerrase la vía del proceso sería incompatible con la efectividad del derecho a la tutela judicial efectiva (SSTC 149/1996, de 30 de septiembre, FJ 2; y 285/2000, de 27 de noviembre, FJ 4), ya que los requisitos formales no son valores autónomos con sustantividad propia, sino que sólo sirven en la medida en que son instrumentos para conseguir una finalidad legítima, por lo que su incumplimiento no presenta siempre igual valor obstativo, con la consecuencia de que si aquella finalidad puede ser lograda sin detrimento de otros bienes y derechos dignos de tutela, debe procederse a la subsanación del defecto (SSTC 180/1987, de 12 de noviembre, FJ 2; 213/1990, de 20 de diciembre, FJ 2; 63/1999, de 26 de abril, FJ ; y 153/2002, de 15 de julio, FJ 3)”.</w:t>
      </w:r>
    </w:p>
    <w:p w:rsidR="00AC56D6" w:rsidRDefault="00AC56D6" w:rsidP="00AC56D6">
      <w:pPr>
        <w:pStyle w:val="TextoNormal"/>
      </w:pPr>
    </w:p>
    <w:p w:rsidR="00AC56D6" w:rsidRDefault="00AC56D6" w:rsidP="00AC56D6">
      <w:pPr>
        <w:pStyle w:val="TextoNormal"/>
      </w:pPr>
      <w:r>
        <w:t>En definitiva, la necesidad de dar ocasión a la subsanación del defecto advertido, cuando éste sea aún susceptible de reparación, depende del contenido normativo del propio art. 24.1 CE, que impone al Juzgador un deber de favorecer la defensa de los derechos e intereses cuya tutela se reclame, sin denegar dicha protección mediante la aplicación desproporcionada de las normas procesales que prevén una resolución de inadmisión o de eficacia equiparable (STC 285/2000, de 27 de noviembre, FJ 4).</w:t>
      </w:r>
    </w:p>
    <w:p w:rsidR="00AC56D6" w:rsidRDefault="00AC56D6" w:rsidP="00AC56D6">
      <w:pPr>
        <w:pStyle w:val="TextoNormal"/>
      </w:pPr>
    </w:p>
    <w:p w:rsidR="00AC56D6" w:rsidRDefault="00AC56D6" w:rsidP="00AC56D6">
      <w:pPr>
        <w:pStyle w:val="TextoNormal"/>
      </w:pPr>
      <w:r w:rsidRPr="00AC56D6">
        <w:rPr>
          <w:rStyle w:val="NumeroAFNegritaCaracter"/>
        </w:rPr>
        <w:t>5</w:t>
      </w:r>
      <w:r>
        <w:t>. Según se desprende de las actuaciones remitidas, en el supuesto que nos ocupa la actora interpuso recurso contencioso-administrativo contra sendos acuerdos de la comisión de valoraciones de Canarias, acompañando al escrito de interposición únicamente el poder acreditativo de la representación de la empresa, pero omitiendo la aportación del documento o documentos a que se refiere el art. 45.2 d) LJCA. A pesar de ello, se admitió el recurso a trámite, sin requerirse por la Sala la previa subsanación de esa omisión en los términos del art. 45.3 LJCA. Una vez recibido el expediente administrativo, se formularon los escritos de demanda y contestación, oponiendo el Letrado del servicio jurídico del Gobierno de Canarias en el suyo la inadmisibilidad del recurso por la falta de capacidad de la actora para comparecer en el proceso al no haberse aportado el documento o documentos exigidos por el artículo 45.2 d) LJCA. Tras dársele traslado del escrito de la contestación a la demanda, y recibido el procedimiento a prueba, la recurrente propuso que se tuvieran por aportadas la escritura de constitución de la sociedad (con los estatutos sociales incorporados) y la certificación expedida por el consejero-secretario de la entidad mercantil Vista San Felipe, S.L., en la que se acredita que en la sesión del consejo de administración de la sociedad de 10 de mayo de 2009 se acordó facultar al consejero-delegado de la misma para interponer el re</w:t>
      </w:r>
      <w:r>
        <w:lastRenderedPageBreak/>
        <w:t>curso contencioso-administrativo en su nombre contra los acuerdos de la comisión de valoraciones de Canarias. La prueba fue admitida y declarada pertinente en virtud de providencia de 15 de diciembre de 2010, que también tuvo por aportados los documentos reseñados. Posteriormente, en el trámite de conclusiones, la parte actora se refirió expresamente a la subsanación del defecto opuesto en el escrito del representante del Gobierno de Canarias, en virtud de la prueba propuesta y admitida, aparte de alegar que, en todo caso, el requisito habría quedado satisfecho con la escritura de poder aportada con el escrito de interposición. Finalmente, la Sección Segunda de la Sala de lo Contencioso-Administrativo del Tribunal Superior de Justicia de Canarias dictó Sentencia en la que declaró inadmisible el recurso contencioso-administrativo por incumplimiento de la exigencia del art. 45.2 d) LJCA, ya que el poder notarial aportado con el escrito de interposición del recurso no era suficiente, al no acreditar la decisión de litigar adoptada por el órgano de la persona jurídica que tuviera atribuida esa facultad en virtud de las normas reguladoras de la misma, sin que se hubieran aportado los documentos acreditativos del cumplimiento de la exigencia del art. 45.2 d) LJCA. Tras intentar inútilmente la interposición de recurso de casación (inadmitido por Auto del Tribunal Supremo), la actora promovió incidente de nulidad de actuaciones, en el que puso de relieve el manifiesto error en el que había incurrido la Sala, pues no había reparado en los documentos aportados con el escrito de proposición de prueba, que habían sido admitidos por la propia Sala. A pesar de ello, el incidente fue inadmitido por entender la Sala que no se había prescindido en ningún momento de ninguna de las normas del procedimiento que hubieran podido causar indefensión.</w:t>
      </w:r>
    </w:p>
    <w:p w:rsidR="00AC56D6" w:rsidRDefault="00AC56D6" w:rsidP="00AC56D6">
      <w:pPr>
        <w:pStyle w:val="TextoNormal"/>
      </w:pPr>
    </w:p>
    <w:p w:rsidR="00AC56D6" w:rsidRDefault="00AC56D6" w:rsidP="00AC56D6">
      <w:pPr>
        <w:pStyle w:val="TextoNormal"/>
      </w:pPr>
      <w:r>
        <w:t>Pues bien, teniendo en cuenta el anterior relato de las vicisitudes procesales seguidas por el recurso promovido por la actora, se hace preciso recordar aquí, ante todo, que el art. 45 LJCA establece en su apartado 2 que al escrito de interposición del recurso contencioso-administrativo se unirán, entre otros, los documentos que acrediten la representación del compareciente [párrafo a)] y el cumplimiento de los requisitos exigidos a las personas jurídicas para entablar acciones con arreglo a las normas o estatutos que les sean de aplicación [párrafo d)]. A estas previsiones añade el apartado 3 que el órgano judicial examinará de oficio la validez de la comparecencia de la parte recurrente y que si estima que no concurren los requisitos de tal validez requerirá su subsanación. Es cierto que, en principio, ese examen ha de efectuarse tan pronto como se haya presentado el escrito de interposición, pero, tratándose de verificar la concurrencia de un requisito del que depende la validez de la comparecencia y, con ella, de la de todo el proceso, tal examen puede efectuarse en cualquier momento posterior, incluso en la Sentencia, que puede declarar la inadmisibilidad del recurso [art. 69 b) LJCA].</w:t>
      </w:r>
    </w:p>
    <w:p w:rsidR="00AC56D6" w:rsidRDefault="00AC56D6" w:rsidP="00AC56D6">
      <w:pPr>
        <w:pStyle w:val="TextoNormal"/>
      </w:pPr>
    </w:p>
    <w:p w:rsidR="00AC56D6" w:rsidRDefault="00AC56D6" w:rsidP="00AC56D6">
      <w:pPr>
        <w:pStyle w:val="TextoNormal"/>
      </w:pPr>
      <w:r>
        <w:t xml:space="preserve">No podemos soslayar que, aunque la demandante de amparo aportó el poder acreditativo de la representación, en el que se hacía referencia a la escritura de constitución de la sociedad (aunque no incorporaba las determinaciones de la misma relativas a las facultades del órgano de administración), omitió el acompañamiento del documento o documentos a que se refiere el art. 45.2 d) LJCA, a través del cual quedase acreditada la voluntad del órgano competente de la sociedad de interponer el recurso contencioso-administrativo. No es menos cierto que el órgano judicial no requirió a la parte de oficio, ni en el momento de interposición del recurso ni antes de dictar Sentencia, para que subsanara el defecto de acreditación que luego le sirvió para inadmitir el recurso, pero no cabe negar, tampoco, que la actora tuvo oportunidad de conocer la existencia del defecto de acreditación, una vez que se le dio </w:t>
      </w:r>
      <w:r>
        <w:lastRenderedPageBreak/>
        <w:t xml:space="preserve">traslado del escrito de contestación a la demanda formulado por el Letrado del servicio jurídico del Gobierno de Canarias, en el que se oponía la excepción de admisibilidad </w:t>
      </w:r>
      <w:r w:rsidRPr="00AC56D6">
        <w:rPr>
          <w:i/>
        </w:rPr>
        <w:t>ex</w:t>
      </w:r>
      <w:r>
        <w:t xml:space="preserve"> art. 69 b) LJCA, por incumplimiento del requisito del art. 45.2 d) de la misma Ley, ante cuya alegación, no se sirvió, sin necesidad de requerimiento judicial, de la posibilidad que habilita el art. 138 LJCA para que, dentro de los diez días siguientes al de la notificación del correspondiente escrito de oposición, la parte interesada pudiera subsanar el defecto procesal entonces advertido o formulara alegaciones frente al mismo. Sin embargo, sí trató de subsanar posteriormente la omisión mediante la proposición de prueba y aportación de los correspondientes documentos (escritura de constitución con los estatutos sociales y certificación acreditativa de la adopción del pertinente acuerdo social para el ejercicio de la acción) en el procedimiento probatorio, prueba que fue admitida a trámite. Además, al evacuar el trámite de conclusiones, se refirió expresamente a la satisfacción de la exigencia legal a través de la documental propuesta y aportada con su escrito de proposición de prueba.</w:t>
      </w:r>
    </w:p>
    <w:p w:rsidR="00AC56D6" w:rsidRDefault="00AC56D6" w:rsidP="00AC56D6">
      <w:pPr>
        <w:pStyle w:val="TextoNormal"/>
      </w:pPr>
    </w:p>
    <w:p w:rsidR="00AC56D6" w:rsidRDefault="00AC56D6" w:rsidP="00AC56D6">
      <w:pPr>
        <w:pStyle w:val="TextoNormal"/>
      </w:pPr>
      <w:r>
        <w:t>Hay que significar, no obstante, que la Sentencia de la Sala no inadmitió el recurso porque la subsanación se hubiese intentado tardíamente, sino porque, a pesar de reconocerse la presentación del escrito de proposición de prueba y la concreta documentación a que el mismo se refería, se consideró que la escritura de poder general para pleitos que se acompañó al escrito de interposición del recurso no incorporaba dato alguno que permitiera deducir que el órgano competente de la mercantil hubiera decidido ejercitar la acción, sin que se hubiese aportado el oportuno acuerdo a los efectos de la satisfacción del requisito del art. 45.2 d) LJCA, y sin que la regulación legal imponga al órgano judicial —a juicio de la Sala— requerir en todo caso de subsanación antes de dictar sentencia de inadmisión cuando se ha alegado el defecto en el curso del proceso. No corresponde a este Tribunal valorar la suficiencia de dicho documento a efectos de acreditar el cumplimiento del requisito previsto en el precepto reseñado, pero sí puede apreciar que la decisión del órgano judicial, aparte de no encontrarse precedida de la concesión de una posibilidad de subsanación de dicha insuficiencia, descansa en un dato claramente erróneo, pues la recurrente aportó en período probatorio tanto la escritura de constitución, con los estatutos sociales, como una certificación acreditativa de la adopción del acuerdo preceptivo por el órgano competente de la sociedad en orden a la interposición del recurso, tal y como la representación de la demandante de amparo puso de relieve tanto en el trámite de conclusiones como en el incidente de nulidad de actuaciones promovido contra la Sentencia de inadmisión. Y, a pesar de la evidencia de dicho dato, la Sala se mantuvo en su decisión, por considerar que no se había producido ningún defecto de forma causante de indefensión. A pesar de la evidencia de estos datos, habrá que determinar si ese error de la Sala tiene o no relevancia constitucional.</w:t>
      </w:r>
    </w:p>
    <w:p w:rsidR="00AC56D6" w:rsidRDefault="00AC56D6" w:rsidP="00AC56D6">
      <w:pPr>
        <w:pStyle w:val="TextoNormal"/>
      </w:pPr>
    </w:p>
    <w:p w:rsidR="00AC56D6" w:rsidRDefault="00AC56D6" w:rsidP="00AC56D6">
      <w:pPr>
        <w:pStyle w:val="TextoNormal"/>
      </w:pPr>
      <w:r w:rsidRPr="00AC56D6">
        <w:rPr>
          <w:rStyle w:val="NumeroAFNegritaCaracter"/>
        </w:rPr>
        <w:t>6</w:t>
      </w:r>
      <w:r>
        <w:t xml:space="preserve">. Como se recuerda en la STC 167/2014, FJ 6, este Tribunal tiene establecido de manera reiterada que un error del órgano judicial sobre las bases fácticas que han servido para fundamentar su decisión es susceptible de producir una vulneración del derecho a la tutela judicial efectiva de los justiciables, aunque hemos aclarado que no cabe otorgar relevancia constitucional a toda inexactitud o equivocación padecida por un órgano judicial al resolver una cuestión sometida a su decisión, sino que para que se produzca tal afección es necesario que concurran determinados requisitos. Así, tenemos declarado que se vulnera el derecho a la tutela judicial efectiva y procede otorgar el amparo “cuando la resolución judicial sea el producto de un razonamiento equivocado que no se corresponde con la realidad, por haber incurrido el órgano judicial en un error patente en la determinación y selección del material </w:t>
      </w:r>
      <w:r>
        <w:lastRenderedPageBreak/>
        <w:t>de hecho o del presupuesto sobre el que se asienta su decisión, produciendo efectos negativos en la esfera jurídica del ciudadano, siempre que se trate de un error que sea inmediatamente verificable de forma incontrovertible a partir de las actuaciones judiciales, y que sea determinante de la decisión adoptada, constituyendo el soporte único o básico (</w:t>
      </w:r>
      <w:r w:rsidRPr="00AC56D6">
        <w:rPr>
          <w:i/>
        </w:rPr>
        <w:t>ratio decidendi</w:t>
      </w:r>
      <w:r>
        <w:t>) de la resolución, de forma que no pueda saberse cuál hubiera sido el criterio del órgano judicial de no haber incurrido en dicho error”.</w:t>
      </w:r>
    </w:p>
    <w:p w:rsidR="00AC56D6" w:rsidRDefault="00AC56D6" w:rsidP="00AC56D6">
      <w:pPr>
        <w:pStyle w:val="TextoNormal"/>
      </w:pPr>
    </w:p>
    <w:p w:rsidR="00AC56D6" w:rsidRDefault="00AC56D6" w:rsidP="00AC56D6">
      <w:pPr>
        <w:pStyle w:val="TextoNormal"/>
      </w:pPr>
      <w:r>
        <w:t>En suma, no basta con que hayamos apreciado que existe una equivocación por parte del órgano judicial, sino que, además, es preciso que reúna los requisitos reseñados para que el error del órgano judicial adquiera relevancia constitucional. En el supuesto objeto de examen las circunstancias que se aprecian son las siguientes:</w:t>
      </w:r>
    </w:p>
    <w:p w:rsidR="00AC56D6" w:rsidRDefault="00AC56D6" w:rsidP="00AC56D6">
      <w:pPr>
        <w:pStyle w:val="TextoNormal"/>
      </w:pPr>
    </w:p>
    <w:p w:rsidR="00AC56D6" w:rsidRDefault="00AC56D6" w:rsidP="00AC56D6">
      <w:pPr>
        <w:pStyle w:val="TextoNormal"/>
      </w:pPr>
      <w:r>
        <w:t>a) En primer lugar, se advierte que se trata de un error de hecho, y que, además, resulta patente, manifiesto, evidente o notorio, pues su existencia es inmediatamente verificable de forma clara e incontrovertible a partir de las actuaciones judiciales (por todas, SSTC 162/1995, de 7 de noviembre, FJ 3, y 169/2000, de 26 de junio, FJ 2), ya que los documentos que acreditarían en requisito procesal en cuestión figuran incorporados a las actuaciones, en el ramo de prueba de la actora, y fueron admitidos como prueba por providencia de la propia Sala. No se trata de una mera discrepancia jurídica, pues, a pesar de que en su fundamento de Derecho tercero la Sentencia impugnada se refiera a la aportación de los documentos en el escrito de proposición de prueba (especialmente a la certificación del consejero en la que se dice que se acordó facultar al consejero-delegado para interponer el recurso y escritura de constitución de sociedad), posteriormente prescinde por completo de dicho extremo para concluir que la parte actora no ha cumplido la carga procesal impuesta por el art. 45.2 d) LJCA “por no haber aportado el oportuno acuerdo para entablar el recurso, adoptado por el órgano que estatutariamente tuviera encomendada dicha competencia”. Y esta afirmación no va precedida de un análisis jurídico acerca de la insuficiencia de los documentos aportados, sino que únicamente se examina la insuficiencia de la escritura de poder que se acompañó al escrito de interposición, desechando así la segunda línea argumental articulada por la parte recurrente en su escrito de conclusiones. Por consiguiente, el error se refiere precisamente al dato fáctico de la existencia y contenido de esos documentos, y resulta evidente a partir de las actuaciones sin necesidad de llevar a cabo una especial labor hermenéutica sobre el particular.</w:t>
      </w:r>
    </w:p>
    <w:p w:rsidR="00AC56D6" w:rsidRDefault="00AC56D6" w:rsidP="00AC56D6">
      <w:pPr>
        <w:pStyle w:val="TextoNormal"/>
      </w:pPr>
    </w:p>
    <w:p w:rsidR="00AC56D6" w:rsidRDefault="00AC56D6" w:rsidP="00AC56D6">
      <w:pPr>
        <w:pStyle w:val="TextoNormal"/>
      </w:pPr>
      <w:r>
        <w:t xml:space="preserve">b) En segundo lugar, el error ha sido determinante de la decisión adoptada en el recurso contencioso-administrativo, ya que el órgano judicial ha fundamentado su decisión de inadmisión en el dato principal de que no se habían aportado el correspondiente acuerdo para acreditar el cumplimiento del requisito del art. 45.2 d) LJCA, mientras que, de no haber mediado dicho error, podría haber entrado a conocer del fondo del recurso si el contenido de los documentos aportados hubiesen justificado, a su juicio, la existencia de la voluntad de la sociedad mercantil en orden a la interposición del recurso, expresada por el órgano competente, de acuerdo con sus estatutos. Esto es, la argumentación de la Sentencia que decidió la inadmisión del recurso descansa expresa y conclusivamente de manera primordial sobre la errónea consideración de que el certificado del acuerdo y los estatutos sociales no se encontraban aportados a las actuaciones, y, a partir de este dato, pierde su sentido la fundamentación jurídica de la Sentencia, sin que sea posible conocer cuál hubiese sido el sentido de la resolución de no haberse incurrido en el mismo (SSTC 206/1999, de 8 de noviembre, FJ 4, y 25/2001, de 26 de febrero, FJ 2). Por lo demás, no corresponde a este </w:t>
      </w:r>
      <w:r>
        <w:lastRenderedPageBreak/>
        <w:t>Tribunal determinar si, atendido el contenido de los documentos aportados en período probatorio, la decisión del órgano judicial habría sido otra, ya que se trata de una cuestión de legalidad ordinaria que compete decidir en exclusiva a aquél en ejercicio de la potestad que le asigna el art. 117.3 CE.</w:t>
      </w:r>
    </w:p>
    <w:p w:rsidR="00AC56D6" w:rsidRDefault="00AC56D6" w:rsidP="00AC56D6">
      <w:pPr>
        <w:pStyle w:val="TextoNormal"/>
      </w:pPr>
    </w:p>
    <w:p w:rsidR="00AC56D6" w:rsidRDefault="00AC56D6" w:rsidP="00AC56D6">
      <w:pPr>
        <w:pStyle w:val="TextoNormal"/>
      </w:pPr>
      <w:r>
        <w:t>c) Asimismo, la equivocación es atribuible al órgano jurisdiccional que la cometió, y no a la negligencia o mala fe de la demandante (SSTC 89/2000, de 27 de marzo, FJ 2; y 150/2000, de 12 de junio, FJ 2), pues ésta propuso como prueba la documental consistente en la aportación de la escritura de constitución de la sociedad (con los estatutos sociales incorporados) y la certificación expedida por el consejero-secretario de la entidad mercantil Vista San Felipe, S.L., en la que se acredita que en la sesión del consejo de administración de la sociedad de 10 de mayo de 2009 se acordó facultar al consejero-delegado de la misma para interponer el recurso contencioso-administrativo en su nombre y, además, se refirió a su aportación en el escrito de conclusiones y puso de relieve en el incidente de nulidad de actuaciones la existencia del error, refiriéndose a la documental propuesta y a las facultades del consejo de administración de acuerdo con la escritura de constitución de la sociedad y con los estatutos sociales.</w:t>
      </w:r>
    </w:p>
    <w:p w:rsidR="00AC56D6" w:rsidRDefault="00AC56D6" w:rsidP="00AC56D6">
      <w:pPr>
        <w:pStyle w:val="TextoNormal"/>
      </w:pPr>
    </w:p>
    <w:p w:rsidR="00AC56D6" w:rsidRDefault="00AC56D6" w:rsidP="00AC56D6">
      <w:pPr>
        <w:pStyle w:val="TextoNormal"/>
      </w:pPr>
      <w:r>
        <w:t>d) Finalmente, el error ha producido efectos negativos en la esfera jurídica de la recurrente (SSTC 172/1985, de 16 de diciembre, FJ 7, y 96/2000, de 10 de abril, FJ 5), desde el momento en que le ha impedido obtener una respuesta motivada y fundada en Derecho sobre el fondo del recurso contencioso-administrativo interpuesto.</w:t>
      </w:r>
    </w:p>
    <w:p w:rsidR="00AC56D6" w:rsidRDefault="00AC56D6" w:rsidP="00AC56D6">
      <w:pPr>
        <w:pStyle w:val="TextoNormal"/>
      </w:pPr>
    </w:p>
    <w:p w:rsidR="00AC56D6" w:rsidRDefault="00AC56D6" w:rsidP="00AC56D6">
      <w:pPr>
        <w:pStyle w:val="TextoNormal"/>
      </w:pPr>
      <w:r>
        <w:t>En consecuencia, se cumplen los presupuestos que exige la jurisprudencia constitucional para otorgar al error de hecho padecido por el órgano judicial relevancia constitucional, por lo que hemos de concluir que se ha producido la vulneración del derecho a la tutela judicial efectiva sin indefensión de la recurrente por parte de la Sentencia dictada por la Sección Segunda de la Sala de lo Contencioso-Administrativo del Tribunal Superior de Justicia de Canarias.</w:t>
      </w:r>
    </w:p>
    <w:p w:rsidR="00AC56D6" w:rsidRDefault="00AC56D6" w:rsidP="00AC56D6">
      <w:pPr>
        <w:pStyle w:val="TextoNormal"/>
      </w:pPr>
    </w:p>
    <w:p w:rsidR="00AC56D6" w:rsidRDefault="00AC56D6" w:rsidP="00AC56D6">
      <w:pPr>
        <w:pStyle w:val="TextoNormal"/>
      </w:pPr>
      <w:r>
        <w:t>La constatación de la anterior vulneración del derecho a la tutela judicial efectiva conlleva la estimación del recurso de amparo interpuesto y la anulación de la Sentencia de la Sección Segunda de la Sala de lo Contencioso-Administrativo del Tribunal Superior de Justicia de Canarias de 21 de junio de 2011 y de la providencia que inadmitió el incidente de nulidad de actuaciones, con retroacción de las actuaciones al momento inmediatamente anterior al dictado de la referida Sentencia, para que pronuncie una nueva resolución que sea respetuosa con el derecho fundamental vulnerado.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Estimar los recursos de amparo acumulados números 5987-2012 y 6996-2012 interpuestos por Vista San Felipe, S.L., y, en consecuencia:</w:t>
      </w:r>
    </w:p>
    <w:p w:rsidR="00AC56D6" w:rsidRDefault="00AC56D6" w:rsidP="00AC56D6">
      <w:pPr>
        <w:pStyle w:val="TextoNormal"/>
      </w:pPr>
    </w:p>
    <w:p w:rsidR="00AC56D6" w:rsidRDefault="00AC56D6" w:rsidP="00AC56D6">
      <w:pPr>
        <w:pStyle w:val="TextoNormal"/>
      </w:pPr>
      <w:r>
        <w:t>1º Declarar que ha sido vulnerado el derecho fundamental de la entidad recurrente a la tutela judicial efectiva sin indefensión (art. 24.1 CE).</w:t>
      </w:r>
    </w:p>
    <w:p w:rsidR="00AC56D6" w:rsidRDefault="00AC56D6" w:rsidP="00AC56D6">
      <w:pPr>
        <w:pStyle w:val="TextoNormal"/>
      </w:pPr>
    </w:p>
    <w:p w:rsidR="00AC56D6" w:rsidRDefault="00AC56D6" w:rsidP="00AC56D6">
      <w:pPr>
        <w:pStyle w:val="TextoNormal"/>
      </w:pPr>
      <w:r>
        <w:t>2º Restablecerla en su derecho y, a tal fin, declarar la nulidad de la Sentencia de la Sección Segunda de la Sala de lo Contencioso-Administrativo del Tribunal Superior de Justicia de Canarias, de 21 de junio de 2011, recaída en el recurso contencioso-administrativo núm. 251-2009, y de la providencia del mismo órgano judicial de 19 de octubre de 2012, que inadmitió el incidente de nulidad de actuaciones promovido contra la anterior.</w:t>
      </w:r>
    </w:p>
    <w:p w:rsidR="00AC56D6" w:rsidRDefault="00AC56D6" w:rsidP="00AC56D6">
      <w:pPr>
        <w:pStyle w:val="TextoNormal"/>
      </w:pPr>
    </w:p>
    <w:p w:rsidR="00AC56D6" w:rsidRDefault="00AC56D6" w:rsidP="00AC56D6">
      <w:pPr>
        <w:pStyle w:val="TextoNormal"/>
      </w:pPr>
      <w:r>
        <w:t>3º Retrotraer las actuaciones al momento inmediatamente anterior al pronunciamiento de la primera de dichas resoluciones judiciales, para que por el citado órgano judicial se dicte otra resolución que resulte respetuosa con el derecho fundamental vulnerado.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veintiuno de septiembre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43" w:name="SENTENCIA_2015_187"/>
      <w:r>
        <w:lastRenderedPageBreak/>
        <w:t>SENTENCIA 187/2015, de 21 de septiembre de 2015</w:t>
      </w:r>
    </w:p>
    <w:bookmarkEnd w:id="43"/>
    <w:p w:rsidR="00AC56D6" w:rsidRDefault="00AC56D6" w:rsidP="00AC56D6">
      <w:pPr>
        <w:pStyle w:val="TtuloResolucin"/>
      </w:pPr>
      <w:r>
        <w:t>Sala Primera</w:t>
      </w:r>
    </w:p>
    <w:p w:rsidR="00AC56D6" w:rsidRDefault="00AC56D6" w:rsidP="00AC56D6">
      <w:pPr>
        <w:pStyle w:val="TtuloBOE"/>
      </w:pPr>
      <w:r>
        <w:t>(BOE núm. 260, de 30 de octubre de 2015)</w:t>
      </w:r>
    </w:p>
    <w:p w:rsidR="00AC56D6" w:rsidRDefault="00AC56D6" w:rsidP="00AC56D6">
      <w:pPr>
        <w:pStyle w:val="TextoNormalCentrado"/>
      </w:pPr>
      <w:r>
        <w:t>ECLI:ES:TC:2015:187</w:t>
      </w:r>
    </w:p>
    <w:p w:rsidR="00AC56D6" w:rsidRDefault="00AC56D6" w:rsidP="00AC56D6">
      <w:pPr>
        <w:pStyle w:val="TextoNormalCentrado"/>
      </w:pPr>
    </w:p>
    <w:p w:rsidR="00AC56D6" w:rsidRDefault="00AC56D6" w:rsidP="00AC56D6">
      <w:pPr>
        <w:pStyle w:val="SntesisDescriptiva"/>
      </w:pPr>
      <w:r>
        <w:t>Recurso de amparo 1388-2013. Promovido por don Manuel Ramón Domínguez Benítez respecto de la resolución sancionadora dictada por la Consejería de Educación, Formación y Empleo de la Comunidad Autónoma de Murcia, de 18 de enero de 2010, y las resoluciones de la Sala de lo Contencioso-Administrativo del Tribunal Superior de Justicia de Murcia desestimatorias de su impugnación.</w:t>
      </w:r>
    </w:p>
    <w:p w:rsidR="00AC56D6" w:rsidRDefault="00AC56D6" w:rsidP="00AC56D6">
      <w:pPr>
        <w:pStyle w:val="SntesisDescriptiva"/>
      </w:pPr>
    </w:p>
    <w:p w:rsidR="00AC56D6" w:rsidRDefault="00AC56D6" w:rsidP="00AC56D6">
      <w:pPr>
        <w:pStyle w:val="SntesisAnaltica"/>
      </w:pPr>
      <w:r>
        <w:t>Vulneración del derecho a la libertad de expresión en conexión con el derecho a la defensa: funcionario público sancionado por las afirmaciones vertidas en su denuncia de acoso en el trabajo.</w:t>
      </w:r>
    </w:p>
    <w:p w:rsidR="00AC56D6" w:rsidRDefault="00AC56D6" w:rsidP="00AC56D6">
      <w:pPr>
        <w:pStyle w:val="SntesisAnaltica"/>
      </w:pPr>
    </w:p>
    <w:p w:rsidR="00AC56D6" w:rsidRDefault="00AC56D6" w:rsidP="00AC56D6">
      <w:pPr>
        <w:pStyle w:val="Extracto"/>
      </w:pPr>
      <w:r>
        <w:t>1.</w:t>
      </w:r>
      <w:r>
        <w:tab/>
        <w:t>En el contexto en que se lleva a efecto el ejercicio del derecho de defensa por el demandante de amparo, que carece de la condición de letrado y cuya pericia profesional —profesor de griego— no comprende conocimiento jurídico alguno, sus afirmaciones, que no fueron objeto de difusión pública, no pueden considerarse gratuitas o desconectadas de su defensa, antes bien, abundan directamente en los motivos por los que solicita el archivo del expediente sancionador [FJ 5].</w:t>
      </w:r>
    </w:p>
    <w:p w:rsidR="00AC56D6" w:rsidRDefault="00AC56D6" w:rsidP="00AC56D6">
      <w:pPr>
        <w:pStyle w:val="Extracto"/>
      </w:pPr>
    </w:p>
    <w:p w:rsidR="00AC56D6" w:rsidRDefault="00AC56D6" w:rsidP="00AC56D6">
      <w:pPr>
        <w:pStyle w:val="Extracto"/>
      </w:pPr>
      <w:r>
        <w:t>2.</w:t>
      </w:r>
      <w:r>
        <w:tab/>
        <w:t>Las manifestaciones enjuiciadas tampoco pueden considerarse las manifestaciones, reproducidas en los antecedentes de esta Sentencia, “insultantes o descalificadoras” de los funcionarios por ellas afectados, conceptos éstos que exigen un plus sobre lo que puede considerarse coloquial, inapropiado, inadecuado, molesto o hiriente [FJ 5].</w:t>
      </w:r>
    </w:p>
    <w:p w:rsidR="00AC56D6" w:rsidRDefault="00AC56D6" w:rsidP="00AC56D6">
      <w:pPr>
        <w:pStyle w:val="Extracto"/>
      </w:pPr>
    </w:p>
    <w:p w:rsidR="00AC56D6" w:rsidRDefault="00AC56D6" w:rsidP="00AC56D6">
      <w:pPr>
        <w:pStyle w:val="Extracto"/>
      </w:pPr>
      <w:r>
        <w:t>3.</w:t>
      </w:r>
      <w:r>
        <w:tab/>
        <w:t>La “libertad de expresión” tiene su campo de proyección más propio en la manifestación de valoraciones o juicios que, es evidente, quedan al margen de toda confirmación o desmentido fáctico, mientras que la “libertad de información” se orienta, sobre todo, a la transmisión o comunicación de lo que se tienen por hechos susceptibles de contraste, prueba o mentis (STC 63/2015) [FJ 3].</w:t>
      </w:r>
    </w:p>
    <w:p w:rsidR="00AC56D6" w:rsidRDefault="00AC56D6" w:rsidP="00AC56D6">
      <w:pPr>
        <w:pStyle w:val="Extracto"/>
      </w:pPr>
    </w:p>
    <w:p w:rsidR="00AC56D6" w:rsidRDefault="00AC56D6" w:rsidP="00AC56D6">
      <w:pPr>
        <w:pStyle w:val="Extracto"/>
      </w:pPr>
      <w:r>
        <w:t>4.</w:t>
      </w:r>
      <w:r>
        <w:tab/>
        <w:t>El art. 20.1 a) CE abarca el juicio crítico acompañado por una inclinación o vocación restringida al terreno de lo no difundido como es propio de este derecho cuando se conecta con la efectividad de otros derechos fundamentales y en concreto con el derecho a la defensa del art. 24.2 CE (STC 241/1999) [FJ 3].</w:t>
      </w:r>
    </w:p>
    <w:p w:rsidR="00AC56D6" w:rsidRDefault="00AC56D6" w:rsidP="00AC56D6">
      <w:pPr>
        <w:pStyle w:val="Extracto"/>
      </w:pPr>
    </w:p>
    <w:p w:rsidR="00AC56D6" w:rsidRDefault="00AC56D6" w:rsidP="00AC56D6">
      <w:pPr>
        <w:pStyle w:val="Extracto"/>
      </w:pPr>
      <w:r>
        <w:t>5.</w:t>
      </w:r>
      <w:r>
        <w:tab/>
        <w:t>Aunque tras la Constitución no puede exigirse a los funcionarios una fidelidad silente y acrítica respecto a instancias superiores, su libertad de expresión puede estar sometida a límites; si bien, en principio, los límites de este derecho son generales y comunes para todos los ciudadanos, no cabe descartar que puedan imponerse otros distintos a los funcionarios públicos en su condición de tales (STC 81/1983) [FJ 4].</w:t>
      </w:r>
    </w:p>
    <w:p w:rsidR="00AC56D6" w:rsidRDefault="00AC56D6" w:rsidP="00AC56D6">
      <w:pPr>
        <w:pStyle w:val="Extracto"/>
      </w:pPr>
    </w:p>
    <w:p w:rsidR="00AC56D6" w:rsidRDefault="00AC56D6" w:rsidP="00AC56D6">
      <w:pPr>
        <w:pStyle w:val="Extracto"/>
      </w:pPr>
      <w:r>
        <w:t>6.</w:t>
      </w:r>
      <w:r>
        <w:tab/>
        <w:t xml:space="preserve">Se señala la vertiente cualificada del ejercicio de la libertad de expresión de los funcionarios, si se utiliza como instrumento para la efectividad de otros bienes o </w:t>
      </w:r>
      <w:r>
        <w:lastRenderedPageBreak/>
        <w:t>valores constitucionalmente protegidos, y la defensa de un derecho e interés legítimo propio;  cuando la defensa verbal lo sea de los propios argumentos y el ataque se dirija a la fundamentación jurídica del acto administrativo o de sus efectos, no se compromete el respeto al órgano autor de aquél cuando es manifiesta su conexión con estrictos argumentos de legalidad porque, por imperativo del art. 103 CE, el órgano que dictó el acto se halla también implicado en el cumplimiento de la ley (STC 120/1996) [FJ 4].</w:t>
      </w:r>
    </w:p>
    <w:p w:rsidR="00AC56D6" w:rsidRDefault="00AC56D6" w:rsidP="00AC56D6">
      <w:pPr>
        <w:pStyle w:val="Extracto"/>
      </w:pPr>
    </w:p>
    <w:p w:rsidR="00AC56D6" w:rsidRDefault="00AC56D6" w:rsidP="00AC56D6">
      <w:pPr>
        <w:pStyle w:val="Extracto"/>
      </w:pPr>
      <w:r>
        <w:t>7.</w:t>
      </w:r>
      <w:r>
        <w:tab/>
        <w:t>Las garantías procedimentales del art. 24.2 CE, son aplicables a los procedimientos administrativos sancionadores, en cuanto manifestación de la potestad punitiva del Estado [FJ 4].</w:t>
      </w:r>
    </w:p>
    <w:p w:rsidR="00AC56D6" w:rsidRDefault="00AC56D6" w:rsidP="00AC56D6">
      <w:pPr>
        <w:pStyle w:val="Extracto"/>
      </w:pPr>
    </w:p>
    <w:p w:rsidR="00AC56D6" w:rsidRDefault="00AC56D6" w:rsidP="00AC56D6">
      <w:pPr>
        <w:pStyle w:val="Extracto"/>
      </w:pPr>
      <w:r>
        <w:t>8.</w:t>
      </w:r>
      <w:r>
        <w:tab/>
        <w:t>Cuando la libertad de expresión sirve al derecho fundamental consagrado en el art. 24.2 CE, el canon aplicable debe ser el que este Tribunal tiene acuñado en relación al contenido de la libertad en el ejercicio de la defensa letrada, que la hace especialmente inmune a sus restricciones para la preservación de otros derechos y bienes constitucionales, estando condicionado a esa funcionalidad de defensa y a que no suponga un detrimento desproporcionado de los derechos de los demás partícipes en el proceso y la integridad del proceso mismo (STC 39/2009) [FJ 4].</w:t>
      </w:r>
    </w:p>
    <w:p w:rsidR="00AC56D6" w:rsidRDefault="00AC56D6" w:rsidP="00AC56D6">
      <w:pPr>
        <w:pStyle w:val="Extracto"/>
      </w:pPr>
    </w:p>
    <w:p w:rsidR="00AC56D6" w:rsidRDefault="00AC56D6" w:rsidP="00AC56D6">
      <w:pPr>
        <w:pStyle w:val="Extracto"/>
      </w:pPr>
      <w:r>
        <w:t>9.</w:t>
      </w:r>
      <w:r>
        <w:tab/>
        <w:t>En lo que respecta al derecho de defensa en el procedimiento disciplinario, este Tribunal no ha establecido modulación o matización alguna debida a la relación de la especial sujeción en la que se encuentra el funcionario, pues el entendimiento de la libertad especialmente reforzada por su inmediata conexión con otro derecho fundamental, es perfectamente trasladable a los supuestos en los que es el propio afectado quien asume su defensa, por no ser preceptiva la asistencia letrada [FJ 4].</w:t>
      </w:r>
    </w:p>
    <w:p w:rsidR="00AC56D6" w:rsidRDefault="00AC56D6" w:rsidP="00AC56D6">
      <w:pPr>
        <w:pStyle w:val="Extracto"/>
      </w:pPr>
    </w:p>
    <w:p w:rsidR="00AC56D6" w:rsidRDefault="00AC56D6" w:rsidP="00AC56D6">
      <w:pPr>
        <w:pStyle w:val="Extracto"/>
      </w:pPr>
      <w:r>
        <w:t>10.</w:t>
      </w:r>
      <w:r>
        <w:tab/>
        <w:t>La dimensión objetiva de los derechos fundamentales, en su carácter de elementos esenciales del Ordenamiento jurídico, permite afirmar que no basta con la constatación de que la conducta sancionada sobrepasa las fronteras de la expresión constitucionalmente protegida, sino que ha de garantizarse que la reacción frente a dicha extralimitación no pueda producir por su severidad, un sacrificio innecesario o desproporcionado de la libertad de la que privan, o un efecto disuasor o desalentador del ejercicio de los derechos fundamentales implicados en la conducta sancionada [FJ 4].</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lastRenderedPageBreak/>
        <w:t>SENTENCIA</w:t>
      </w:r>
    </w:p>
    <w:p w:rsidR="00AC56D6" w:rsidRDefault="00AC56D6" w:rsidP="00AC56D6">
      <w:pPr>
        <w:pStyle w:val="TextoNormalCentrado"/>
        <w:keepNext/>
      </w:pPr>
    </w:p>
    <w:p w:rsidR="00AC56D6" w:rsidRDefault="00AC56D6" w:rsidP="00AC56D6">
      <w:pPr>
        <w:pStyle w:val="TextoNormal"/>
      </w:pPr>
      <w:r>
        <w:t>En el recurso de amparo núm. 1388-2013, promovido por don Manuel Ramón Domínguez Benítez, representado por el Procurador de los Tribunales don Alejandro González Salinas, y asistido del Letrado don José Mateos Martínez, contra la resolución de 18 de enero de 2010 del Director General de Recursos Humanos, dictada por delegación del Consejero de Educación, Formación y Empleo de la Comunidad Autónoma de Murcia, así como contra la Sentencia núm. 928/2012, de 11 de diciembre, de la Sección Primera de la Sala de lo Contencioso-Administrativo del Tribunal Superior de Justicia de Murcia y el Auto de 5 de febrero de 2013, de la misma Sección y Sala. Han comparecido y formulado alegaciones el demandante de amparo y el Letrado de la Comunidad Autónoma de la Región de Murcia, en la representación que ostenta. Ha intervenido el Ministerio Fiscal. Ha sido Ponente la Magistrada doña Encarnación Roca Trías,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8 de marzo de 2013, tuvo entrada en el Registro General del Tribunal, un escrito de don Alejandro González Salinas, Procurador de los Tribunales y de don Manuel Ramón Domínguez Benítez, interponiendo recurso de amparo contra la resolución administrativa y las judiciales citadas en el encabezamiento.</w:t>
      </w:r>
    </w:p>
    <w:p w:rsidR="00AC56D6" w:rsidRDefault="00AC56D6" w:rsidP="00AC56D6">
      <w:pPr>
        <w:pStyle w:val="TextoNormal"/>
      </w:pPr>
    </w:p>
    <w:p w:rsidR="00AC56D6" w:rsidRDefault="00AC56D6" w:rsidP="00AC56D6">
      <w:pPr>
        <w:pStyle w:val="TextoNormal"/>
      </w:pPr>
      <w:r w:rsidRPr="00AC56D6">
        <w:rPr>
          <w:rStyle w:val="NumeroAFNegritaCaracter"/>
        </w:rPr>
        <w:t>2</w:t>
      </w:r>
      <w:r>
        <w:t>. Los hechos en que se fundamenta este amparo son los siguientes:</w:t>
      </w:r>
    </w:p>
    <w:p w:rsidR="00AC56D6" w:rsidRDefault="00AC56D6" w:rsidP="00AC56D6">
      <w:pPr>
        <w:pStyle w:val="TextoNormal"/>
      </w:pPr>
    </w:p>
    <w:p w:rsidR="00AC56D6" w:rsidRDefault="00AC56D6" w:rsidP="00AC56D6">
      <w:pPr>
        <w:pStyle w:val="TextoNormal"/>
      </w:pPr>
      <w:r>
        <w:t>a) El ahora demandante de amparo fue objeto de un procedimiento disciplinario. En el trámite vista y audiencia presentó un escrito de 3 de octubre de 2008 en el que realizaba una serie de afirmaciones, alegando que estaba siendo objeto de acoso laboral.</w:t>
      </w:r>
    </w:p>
    <w:p w:rsidR="00AC56D6" w:rsidRDefault="00AC56D6" w:rsidP="00AC56D6">
      <w:pPr>
        <w:pStyle w:val="TextoNormal"/>
      </w:pPr>
    </w:p>
    <w:p w:rsidR="00AC56D6" w:rsidRDefault="00AC56D6" w:rsidP="00AC56D6">
      <w:pPr>
        <w:pStyle w:val="TextoNormal"/>
      </w:pPr>
      <w:r>
        <w:t>b) Tras la presentación del mencionado escrito fue objeto de una visita de varios inspectores que el entendió venía provocada por el anterior escrito, por lo que presento un nuevo escrito de 20 de octubre de 2008 en el que realizaba nuevas afirmaciones reiterando el acoso laboral que, en su opinión, venía sufriendo por parte de determinados funcionarios.</w:t>
      </w:r>
    </w:p>
    <w:p w:rsidR="00AC56D6" w:rsidRDefault="00AC56D6" w:rsidP="00AC56D6">
      <w:pPr>
        <w:pStyle w:val="TextoNormal"/>
      </w:pPr>
    </w:p>
    <w:p w:rsidR="00AC56D6" w:rsidRDefault="00AC56D6" w:rsidP="00AC56D6">
      <w:pPr>
        <w:pStyle w:val="TextoNormal"/>
      </w:pPr>
      <w:r>
        <w:t>c) Se inició, entonces, un nuevo procedimiento disciplinario que culminó en la resolución de 18 de enero de 2010, del Director General de Recursos Humanos, dictada por delegación del Consejero de Educación, Formación y Empleo de la Comunidad Autónoma de Murcia, que imponía al demandante una sanción global de veintitrés meses de suspensión de funciones, por la comisión de ocho faltas disciplinarias graves, tipificadas en los apartados e) y ñ) del art. 7.1 del Real Decreto 33/1986, de 10 de enero, que aprueba el Reglamento de régimen disciplinario de los funcionarios de la Administración del Estado. Las manifestaciones incluidas en los escritos de 3 y 20 de octubre de 2008 constitutivas de las conductas tipificadas como grave desconsideración con otros funcionarios, y como grave atentado a la dignidad de otros funcionarios, por las que resultó sancionado, son las siguientes:</w:t>
      </w:r>
    </w:p>
    <w:p w:rsidR="00AC56D6" w:rsidRDefault="00AC56D6" w:rsidP="00AC56D6">
      <w:pPr>
        <w:pStyle w:val="TextoNormal"/>
      </w:pPr>
    </w:p>
    <w:p w:rsidR="00AC56D6" w:rsidRDefault="00AC56D6" w:rsidP="00AC56D6">
      <w:pPr>
        <w:pStyle w:val="TextoNormal"/>
      </w:pPr>
      <w:r>
        <w:t>“Si la Consejería de Educación está esperando que esta parte ceda al acoso al que me está sometiendo el inspector, primero metiéndole mano a mis nóminas, y luego abriendo dos expedientes simultáneos.”</w:t>
      </w:r>
    </w:p>
    <w:p w:rsidR="00AC56D6" w:rsidRDefault="00AC56D6" w:rsidP="00AC56D6">
      <w:pPr>
        <w:pStyle w:val="TextoNormal"/>
      </w:pPr>
    </w:p>
    <w:p w:rsidR="00AC56D6" w:rsidRDefault="00AC56D6" w:rsidP="00AC56D6">
      <w:pPr>
        <w:pStyle w:val="TextoNormal"/>
      </w:pPr>
      <w:r>
        <w:lastRenderedPageBreak/>
        <w:t>“Pero para chapuzas que le pregunten al inspector. En julio de 2007 elaboró unos informes ... Para que no me percatara de la chapuza no incluyó los justificantes firmados por el director y me envió las notificaciones de otra persona mientras que las mías fueron enviadas a otro instituto.”</w:t>
      </w:r>
    </w:p>
    <w:p w:rsidR="00AC56D6" w:rsidRDefault="00AC56D6" w:rsidP="00AC56D6">
      <w:pPr>
        <w:pStyle w:val="TextoNormal"/>
      </w:pPr>
    </w:p>
    <w:p w:rsidR="00AC56D6" w:rsidRDefault="00AC56D6" w:rsidP="00AC56D6">
      <w:pPr>
        <w:pStyle w:val="TextoNormal"/>
      </w:pPr>
      <w:r>
        <w:t>“El inspector había entregado a los inspectores una batería de preguntas redactadas de forma que fuera posible dilucidar la existencia de acoso laboral.”</w:t>
      </w:r>
    </w:p>
    <w:p w:rsidR="00AC56D6" w:rsidRDefault="00AC56D6" w:rsidP="00AC56D6">
      <w:pPr>
        <w:pStyle w:val="TextoNormal"/>
      </w:pPr>
    </w:p>
    <w:p w:rsidR="00AC56D6" w:rsidRDefault="00AC56D6" w:rsidP="00AC56D6">
      <w:pPr>
        <w:pStyle w:val="TextoNormal"/>
      </w:pPr>
      <w:r>
        <w:t>“Esta parte interpreta la visita de los inspectores citados en el encabezamiento de este escrito con la excusa de realizar una simple entrevista, como una trampa más urdida por el inspector con el fin de resarcirse de dicha acusación.”</w:t>
      </w:r>
    </w:p>
    <w:p w:rsidR="00AC56D6" w:rsidRDefault="00AC56D6" w:rsidP="00AC56D6">
      <w:pPr>
        <w:pStyle w:val="TextoNormal"/>
      </w:pPr>
    </w:p>
    <w:p w:rsidR="00AC56D6" w:rsidRDefault="00AC56D6" w:rsidP="00AC56D6">
      <w:pPr>
        <w:pStyle w:val="TextoNormal"/>
      </w:pPr>
      <w:r>
        <w:t>“Cuando la sed de venganza del inspector parecía estar saciada…”</w:t>
      </w:r>
    </w:p>
    <w:p w:rsidR="00AC56D6" w:rsidRDefault="00AC56D6" w:rsidP="00AC56D6">
      <w:pPr>
        <w:pStyle w:val="TextoNormal"/>
      </w:pPr>
    </w:p>
    <w:p w:rsidR="00AC56D6" w:rsidRDefault="00AC56D6" w:rsidP="00AC56D6">
      <w:pPr>
        <w:pStyle w:val="TextoNormal"/>
      </w:pPr>
      <w:r>
        <w:t>“El segundo de ellos dando instrucciones desde su teléfono móvil al instructor.”</w:t>
      </w:r>
    </w:p>
    <w:p w:rsidR="00AC56D6" w:rsidRDefault="00AC56D6" w:rsidP="00AC56D6">
      <w:pPr>
        <w:pStyle w:val="TextoNormal"/>
      </w:pPr>
    </w:p>
    <w:p w:rsidR="00AC56D6" w:rsidRDefault="00AC56D6" w:rsidP="00AC56D6">
      <w:pPr>
        <w:pStyle w:val="TextoNormal"/>
      </w:pPr>
      <w:r>
        <w:t>“Por si fuera poco utilizó al inspector como una especie de marioneta en la instrucción del expediente dirigiéndole con su teléfono móvil.”</w:t>
      </w:r>
    </w:p>
    <w:p w:rsidR="00AC56D6" w:rsidRDefault="00AC56D6" w:rsidP="00AC56D6">
      <w:pPr>
        <w:pStyle w:val="TextoNormal"/>
      </w:pPr>
    </w:p>
    <w:p w:rsidR="00AC56D6" w:rsidRDefault="00AC56D6" w:rsidP="00AC56D6">
      <w:pPr>
        <w:pStyle w:val="TextoNormal"/>
      </w:pPr>
      <w:r>
        <w:t>“La persona que firma el escrito no es el director sino alguien con su firma muy parecida a la de éste.”</w:t>
      </w:r>
    </w:p>
    <w:p w:rsidR="00AC56D6" w:rsidRDefault="00AC56D6" w:rsidP="00AC56D6">
      <w:pPr>
        <w:pStyle w:val="TextoNormal"/>
      </w:pPr>
    </w:p>
    <w:p w:rsidR="00AC56D6" w:rsidRDefault="00AC56D6" w:rsidP="00AC56D6">
      <w:pPr>
        <w:pStyle w:val="TextoNormal"/>
      </w:pPr>
      <w:r>
        <w:t>“Si la carta publicada revestía tal gravedad ¿por qué no se me abrió el expediente en el momento de su publicación? ¿es que el inspector se la guardó como un as en la manga para sacarla de forma inopinada, cobarde y a traición para abrirme el expediente?”</w:t>
      </w:r>
    </w:p>
    <w:p w:rsidR="00AC56D6" w:rsidRDefault="00AC56D6" w:rsidP="00AC56D6">
      <w:pPr>
        <w:pStyle w:val="TextoNormal"/>
      </w:pPr>
    </w:p>
    <w:p w:rsidR="00AC56D6" w:rsidRDefault="00AC56D6" w:rsidP="00AC56D6">
      <w:pPr>
        <w:pStyle w:val="TextoNormal"/>
      </w:pPr>
      <w:r>
        <w:t>“Como uno de los inspectores estaba ocupado con la instrucción de mi expediente, se nombra inspector para este a ... quien es posible que guardase una relación de amistad con el inspector de esta forma él podría utilizar a aquél a su antojo para atacarme. No se sabe si la decisión fue por sorteo o personal de inspector.”</w:t>
      </w:r>
    </w:p>
    <w:p w:rsidR="00AC56D6" w:rsidRDefault="00AC56D6" w:rsidP="00AC56D6">
      <w:pPr>
        <w:pStyle w:val="TextoNormal"/>
      </w:pPr>
    </w:p>
    <w:p w:rsidR="00AC56D6" w:rsidRDefault="00AC56D6" w:rsidP="00AC56D6">
      <w:pPr>
        <w:pStyle w:val="TextoNormal"/>
      </w:pPr>
      <w:r>
        <w:t>“Durante la realización de la prueba de griego en el campus noté que el miembro del tribunal D. se situó a escasa distancia de mi pupitre y no paraba de vigilarme. A continuación se desplazó a mi asiento la presidenta para revisar mis objetos personales que deposité en una mesa anexa. Parecía como si los miembros del tribunal tuvieran órdenes de la inspección para expulsarme de la prueba escrita y así excluirme de la lista de interinidad”, “¿habrá tenido que ver el inspector en mi exclusión de las oposiciones?”</w:t>
      </w:r>
    </w:p>
    <w:p w:rsidR="00AC56D6" w:rsidRDefault="00AC56D6" w:rsidP="00AC56D6">
      <w:pPr>
        <w:pStyle w:val="TextoNormal"/>
      </w:pPr>
    </w:p>
    <w:p w:rsidR="00AC56D6" w:rsidRDefault="00AC56D6" w:rsidP="00AC56D6">
      <w:pPr>
        <w:pStyle w:val="TextoNormal"/>
      </w:pPr>
      <w:r>
        <w:t>d) Contra la mencionada resolución el recurrente interpuso recurso contencioso-administrativo, que fue resuelto por Sentencia del Juzgado de lo Contencioso-Administrativo núm. 7 de Murcia, de 21 de marzo de 2011, que anuló la resolución recurrida por no ser ajustada a derecho. En concreto, por entender que las sanciones no estaban adecuadamente motivadas, y que las aseveraciones o manifestaciones constitutivas de la conducta infractora sancionada, se habían realizado en ejercicio de su derecho a la libertad de expresión, en el marco de un procedimiento sancionador en el que ejercía su derecho a la defensa, denunciando un acoso laboral del que estaba convencido ser víctima.</w:t>
      </w:r>
    </w:p>
    <w:p w:rsidR="00AC56D6" w:rsidRDefault="00AC56D6" w:rsidP="00AC56D6">
      <w:pPr>
        <w:pStyle w:val="TextoNormal"/>
      </w:pPr>
    </w:p>
    <w:p w:rsidR="00AC56D6" w:rsidRDefault="00AC56D6" w:rsidP="00AC56D6">
      <w:pPr>
        <w:pStyle w:val="TextoNormal"/>
      </w:pPr>
      <w:r>
        <w:lastRenderedPageBreak/>
        <w:t>e) Apelada esta Sentencia por la Administración demandada, la Sala de lo Contencioso-Administrativo del Tribunal Superior de Justicia de Murcia dictó Sentencia de 11 de diciembre de 2012 que, estimando el recurso de apelación y revocando la Sentencia apelada, declaró la conformidad a derecho de la resolución administrativa recurrida. Considera la Sala que la resolución sancionadora, en su parte dispositiva, establece la correlación entre cada hecho probado y la sanción que se le impone, utilizándose en todo caso el término “conducta tipificada”. La resolución sancionadora hace mención de cada uno de los hechos y a cada uno aplica el derecho, por lo que tiene razón la Administración apelante cuando señala que el apelado vertió ofensas o insultos en sus escritos que, de un lado, tuvieron el carácter de grave desconsideración y, de otro, hizo afirmaciones que suponían la imputación de delitos, lo que no es una mera apariencia sino una realidad. La argumentación de la Sentencia de instancia se basa en criterios jurisprudenciales que se refieren a los Abogados en el ejercicio de su profesión, pero la afirmación de una conducta tan indeseable como el acoso laboral no puede sustentarse en una íntima convicción sino en hechos acreditados.</w:t>
      </w:r>
    </w:p>
    <w:p w:rsidR="00AC56D6" w:rsidRDefault="00AC56D6" w:rsidP="00AC56D6">
      <w:pPr>
        <w:pStyle w:val="TextoNormal"/>
      </w:pPr>
    </w:p>
    <w:p w:rsidR="00AC56D6" w:rsidRDefault="00AC56D6" w:rsidP="00AC56D6">
      <w:pPr>
        <w:pStyle w:val="TextoNormal"/>
      </w:pPr>
      <w:r>
        <w:t>f) El demandante de amparo interpuso un incidente de nulidad de actuaciones contra la Sentencia del Tribunal Superior de Justicia, que fue desestimado por Auto de la Sala de 5 de febrero de 2013, por entender que no había existido la incongruencia denunciada por el demandante de amparo. La Sentencia contenía, al parecer de la Sala, un suficiente razonamiento sobre la cuestión objeto de litigio, sin que este sea el cauce procesal, añadía, para revisar el contenido de la Sentencia.</w:t>
      </w:r>
    </w:p>
    <w:p w:rsidR="00AC56D6" w:rsidRDefault="00AC56D6" w:rsidP="00AC56D6">
      <w:pPr>
        <w:pStyle w:val="TextoNormal"/>
      </w:pPr>
    </w:p>
    <w:p w:rsidR="00AC56D6" w:rsidRDefault="00AC56D6" w:rsidP="00AC56D6">
      <w:pPr>
        <w:pStyle w:val="TextoNormal"/>
      </w:pPr>
      <w:r w:rsidRPr="00AC56D6">
        <w:rPr>
          <w:rStyle w:val="NumeroAFNegritaCaracter"/>
        </w:rPr>
        <w:t>3</w:t>
      </w:r>
      <w:r>
        <w:t>. El recurso de amparo denuncia las siguientes vulneraciones de derechos fundamentales, que atribuye por igual a la resolución sancionadora, y a la Sentencia y Auto de la Sala de lo contencioso-Administrativo del Tribunal Superior de Justicia:</w:t>
      </w:r>
    </w:p>
    <w:p w:rsidR="00AC56D6" w:rsidRDefault="00AC56D6" w:rsidP="00AC56D6">
      <w:pPr>
        <w:pStyle w:val="TextoNormal"/>
      </w:pPr>
    </w:p>
    <w:p w:rsidR="00AC56D6" w:rsidRDefault="00AC56D6" w:rsidP="00AC56D6">
      <w:pPr>
        <w:pStyle w:val="TextoNormal"/>
      </w:pPr>
      <w:r>
        <w:t>a) Alega, en primer lugar, la vulneración del derecho fundamental de libertad de expresión del art. 20 CE. Entiende que en los escritos por los que ha sido sancionado, se pone de manifiesto la queja de quien considera que los funcionarios (inspectores, el director de su Instituto y miembros del tribunal de oposiciones) han cometido actuaciones injustas destinadas a perjudicarle pero no está seguro, por lo que se limita a invitar a las autoridades para que investiguen, en su propósito de no ser discriminado ni perjudicado. No se realiza ningún insulto gratuito, sino una denuncia de los hechos que podrían ser constitutivos de acoso laboral que no puede ser sancionada al tratarse del derecho a la libertad de expresión, tanto más cuando se ejercita en el seno de un procedimiento sancionador en el que juega el derecho a la defensa (art. 24.2 CE) y al que debe resultar de aplicación lo afirmado en relación sobre la libertad de expresión y el derecho a la defensa que ejercita el Letrado en el seno de un proceso judicial, siendo éste el canon a aplicar. En cualquier caso, y aun cuando hubiera existido un exceso en las afirmaciones, la radical desproporción de la sanción impuesta sería contraria a la doctrina de este Tribunal sobre el efecto desaliento, esto es, la reacción sobre el ejercicio excesivo de un derecho no puede producir por su severidad un sacrificio innecesario o desproporcionado por cuanto ello conllevaría un efecto desalentador del ejercicio de los derechos fundamentales implicados en la conducta sancionada.</w:t>
      </w:r>
    </w:p>
    <w:p w:rsidR="00AC56D6" w:rsidRDefault="00AC56D6" w:rsidP="00AC56D6">
      <w:pPr>
        <w:pStyle w:val="TextoNormal"/>
      </w:pPr>
    </w:p>
    <w:p w:rsidR="00AC56D6" w:rsidRDefault="00AC56D6" w:rsidP="00AC56D6">
      <w:pPr>
        <w:pStyle w:val="TextoNormal"/>
      </w:pPr>
      <w:r>
        <w:t xml:space="preserve">b) En segundo lugar, alega que la sanción carece de motivación y ello se reitera por la Sala, así como vulnera el principio </w:t>
      </w:r>
      <w:r w:rsidRPr="00AC56D6">
        <w:rPr>
          <w:i/>
        </w:rPr>
        <w:t>non bis in idem</w:t>
      </w:r>
      <w:r>
        <w:t xml:space="preserve">. En la resolución sancionadora no se justifica en lo más mínimo porqué la conducta puede reconducirse a las infracciones tipificadas, lo que reconoce la propia Sala al afirmar que carece de un discurso analítico sobre la </w:t>
      </w:r>
      <w:r>
        <w:lastRenderedPageBreak/>
        <w:t>conducta del apelado, pero aun así confirma la resolución sancionadora. La doctrina constitucional ha sido especialmente exigente en lo que atañe a la motivación de las sanciones, cuya omisión deja de ser un requisito formal reparable, para convertirse en una vulneración del art. 25.1 CE. En este contexto de falta de motivación se imponen dos sanciones por las mismas afirmaciones (las relativas a uno de los funcionarios), alegando dos faltas cuyos tipos se parecen como dos gotas de agua, sin que sea posible conocer la diferencia entre sí.</w:t>
      </w:r>
    </w:p>
    <w:p w:rsidR="00AC56D6" w:rsidRDefault="00AC56D6" w:rsidP="00AC56D6">
      <w:pPr>
        <w:pStyle w:val="TextoNormal"/>
      </w:pPr>
    </w:p>
    <w:p w:rsidR="00AC56D6" w:rsidRDefault="00AC56D6" w:rsidP="00AC56D6">
      <w:pPr>
        <w:pStyle w:val="TextoNormal"/>
      </w:pPr>
      <w:r w:rsidRPr="00AC56D6">
        <w:rPr>
          <w:rStyle w:val="NumeroAFNegritaCaracter"/>
        </w:rPr>
        <w:t>4</w:t>
      </w:r>
      <w:r>
        <w:t>. Mediante providencia 8 de septiembre de 2014, la Sala Primera del Tribunal Constitucional acordó conocer el recurso de amparo y dirigir atenta comunicación al Juzgado de lo Contencioso-Administrativo núm. 7 de Murcia, para emplazamiento a las partes en el procedimiento a efectos de su comparecencia.</w:t>
      </w:r>
    </w:p>
    <w:p w:rsidR="00AC56D6" w:rsidRDefault="00AC56D6" w:rsidP="00AC56D6">
      <w:pPr>
        <w:pStyle w:val="TextoNormal"/>
      </w:pPr>
    </w:p>
    <w:p w:rsidR="00AC56D6" w:rsidRDefault="00AC56D6" w:rsidP="00AC56D6">
      <w:pPr>
        <w:pStyle w:val="TextoNormal"/>
      </w:pPr>
      <w:r w:rsidRPr="00AC56D6">
        <w:rPr>
          <w:rStyle w:val="NumeroAFNegritaCaracter"/>
        </w:rPr>
        <w:t>5</w:t>
      </w:r>
      <w:r>
        <w:t>. El 30 de septiembre de 2014 el Letrado de la Comunidad Autónoma, actuando en la representación que legalmente ostenta, se personó en el proceso constitucional.</w:t>
      </w:r>
    </w:p>
    <w:p w:rsidR="00AC56D6" w:rsidRDefault="00AC56D6" w:rsidP="00AC56D6">
      <w:pPr>
        <w:pStyle w:val="TextoNormal"/>
      </w:pPr>
    </w:p>
    <w:p w:rsidR="00AC56D6" w:rsidRDefault="00AC56D6" w:rsidP="00AC56D6">
      <w:pPr>
        <w:pStyle w:val="TextoNormal"/>
      </w:pPr>
      <w:r w:rsidRPr="00AC56D6">
        <w:rPr>
          <w:rStyle w:val="NumeroAFNegritaCaracter"/>
        </w:rPr>
        <w:t>6</w:t>
      </w:r>
      <w:r>
        <w:t>. Por diligencia de 24 de octubre de 2014, se tuvo por personado y parte al Letrado de la Comunidad Autónoma de Murcia, en representación de la Consejería de Educación, Formación y Empleo de la citada Comunidad Autónoma, y se dio traslado a las partes personadas y al Ministerio Fiscal para alegaciones.</w:t>
      </w:r>
    </w:p>
    <w:p w:rsidR="00AC56D6" w:rsidRDefault="00AC56D6" w:rsidP="00AC56D6">
      <w:pPr>
        <w:pStyle w:val="TextoNormal"/>
      </w:pPr>
    </w:p>
    <w:p w:rsidR="00AC56D6" w:rsidRDefault="00AC56D6" w:rsidP="00AC56D6">
      <w:pPr>
        <w:pStyle w:val="TextoNormal"/>
      </w:pPr>
      <w:r w:rsidRPr="00AC56D6">
        <w:rPr>
          <w:rStyle w:val="NumeroAFNegritaCaracter"/>
        </w:rPr>
        <w:t>7</w:t>
      </w:r>
      <w:r>
        <w:t>. Con fecha 29 de octubre de 2014, el demandante de amparo presentó sus alegaciones en el Tribunal Constitucional en las que, esencialmente, se remite a las manifestadas en el recurso de amparo.</w:t>
      </w:r>
    </w:p>
    <w:p w:rsidR="00AC56D6" w:rsidRDefault="00AC56D6" w:rsidP="00AC56D6">
      <w:pPr>
        <w:pStyle w:val="TextoNormal"/>
      </w:pPr>
    </w:p>
    <w:p w:rsidR="00AC56D6" w:rsidRDefault="00AC56D6" w:rsidP="00AC56D6">
      <w:pPr>
        <w:pStyle w:val="TextoNormal"/>
      </w:pPr>
      <w:r w:rsidRPr="00AC56D6">
        <w:rPr>
          <w:rStyle w:val="NumeroAFNegritaCaracter"/>
        </w:rPr>
        <w:t>8</w:t>
      </w:r>
      <w:r>
        <w:t>. El Letrado de la Comunidad Autónoma hizo lo propio el 13 de noviembre de 2014. Alega que no ha sido vulnerado el derecho a la libertad de expresión del demandante de amparo. Este derecho no ampara conductas que atenten contra el deber de respeto hacia los superiores, que todo funcionario tiene en base al principio de jerarquía, máxime si se tiene en cuenta que la libertad de expresión tiene para ellos un carácter restrictivo cuando se lleva a cabo en el ejercicio de sus cargos públicos. Las acusaciones se hicieron con la intención de descalificar públicamente la autoridad de sus superiores, en presencia del resto de profesores, al haberlas hecho con publicidad. La disconformidad o desacuerdo con la gestión del director puede tener otras vías de denuncia, sin llegar a la descalificación o desconsideración hacia los superiores jerárquicos. El actor tuvo ocasión de escoger las palabras y meditar las que quería usar y cuando lo dijo no actuaba ofuscado por el acaloramiento sino que lo hizo premeditadamente. La libertad de expresión no permite manifestar hechos que podrían ser constitutivos de delitos o faltas merecedoras de expediente disciplinario por sus descalificaciones. Rechaza asimismo la falta de motivación que se achaca también a la Sentencia y Auto, con invocación de la jurisprudencia del Tribunal Supremo sobre las exigencias de motivación de las resoluciones judiciales, que se habrían cumplido en este caso. Concluye finalmente, que no ha existido lesión alguna de su derecho a la tutela judicial efectiva, pues ambas resoluciones, Sentencia y Auto, están fundadas en derecho.</w:t>
      </w:r>
    </w:p>
    <w:p w:rsidR="00AC56D6" w:rsidRDefault="00AC56D6" w:rsidP="00AC56D6">
      <w:pPr>
        <w:pStyle w:val="TextoNormal"/>
      </w:pPr>
    </w:p>
    <w:p w:rsidR="00AC56D6" w:rsidRDefault="00AC56D6" w:rsidP="00AC56D6">
      <w:pPr>
        <w:pStyle w:val="TextoNormal"/>
      </w:pPr>
      <w:r w:rsidRPr="00AC56D6">
        <w:rPr>
          <w:rStyle w:val="NumeroAFNegritaCaracter"/>
        </w:rPr>
        <w:t>9</w:t>
      </w:r>
      <w:r>
        <w:t xml:space="preserve">. . La Fiscalía del Estado presentó sus alegaciones el 1 de diciembre de 2014. Tras resumir los antecedentes de hecho, señala que estamos, en realidad, ante un recurso de amparo del art. 43 de la Ley Orgánica del Tribunal Constitucional, pues aunque se recurren </w:t>
      </w:r>
      <w:r>
        <w:lastRenderedPageBreak/>
        <w:t>tanto la resolución administrativa como las resoluciones judiciales, las lesiones que imputa a éstas se deben a no haber reparado las vulneraciones del derecho fundamental, ocasionadas por la resolución administrativa sancionadora (STC 70/2012, FJ 2). Prosigue señalando que debe analizarse, en primer lugar, la vulneración del derecho a la libertad de expresión del art. 20.1 a) CE, en relación con el derecho de defensa, ya que si las expresiones por las que fue sancionado el recurrente estuvieran amparadas por este derecho, no sería necesario entrar en el análisis de las restantes lesiones constitucionales denunciadas.</w:t>
      </w:r>
    </w:p>
    <w:p w:rsidR="00AC56D6" w:rsidRDefault="00AC56D6" w:rsidP="00AC56D6">
      <w:pPr>
        <w:pStyle w:val="TextoNormal"/>
      </w:pPr>
    </w:p>
    <w:p w:rsidR="00AC56D6" w:rsidRDefault="00AC56D6" w:rsidP="00AC56D6">
      <w:pPr>
        <w:pStyle w:val="TextoNormal"/>
      </w:pPr>
      <w:r>
        <w:t>Las manifestaciones realizadas por el demandante de amparo, constitutivas de la conducta infractora sancionada, fueron realizadas en dos escritos, el primero en el trámite de alegaciones en un expediente disciplinario del que estaba siendo objeto, el segundo como consecuencia del primero. Estas alegaciones se realizaron con la finalidad de denunciar un posible acoso laboral por parte de un inspector y de otras personas relacionadas con el expediente que se seguía por la Administración educativa.</w:t>
      </w:r>
    </w:p>
    <w:p w:rsidR="00AC56D6" w:rsidRDefault="00AC56D6" w:rsidP="00AC56D6">
      <w:pPr>
        <w:pStyle w:val="TextoNormal"/>
      </w:pPr>
    </w:p>
    <w:p w:rsidR="00AC56D6" w:rsidRDefault="00AC56D6" w:rsidP="00AC56D6">
      <w:pPr>
        <w:pStyle w:val="TextoNormal"/>
      </w:pPr>
      <w:r>
        <w:t xml:space="preserve">Considera que el canon a aplicar es el de la libertad de expresión en relación con el derecho de defensa pues, aunque las manifestaciones se realizaron en un procedimiento sancionador y no en un proceso judicial, el derecho de defensa es ejercitable en su seno, tal y como este Tribunal ha reconocido en la STC 59/2014. Así, lo que la Sala afirma es contrario a lo manifestado por la doctrina constitucional siendo el canon a aplicar el relativo al derecho de defensa (STC 102/2001, FJ 4). Esta doctrina es predicable al derecho sancionador administrativo, pues se trata en ambos casos del ejercicio del </w:t>
      </w:r>
      <w:r w:rsidRPr="00AC56D6">
        <w:rPr>
          <w:i/>
        </w:rPr>
        <w:t>ius puniendi</w:t>
      </w:r>
      <w:r>
        <w:t xml:space="preserve"> del Estado.</w:t>
      </w:r>
    </w:p>
    <w:p w:rsidR="00AC56D6" w:rsidRDefault="00AC56D6" w:rsidP="00AC56D6">
      <w:pPr>
        <w:pStyle w:val="TextoNormal"/>
      </w:pPr>
    </w:p>
    <w:p w:rsidR="00AC56D6" w:rsidRDefault="00AC56D6" w:rsidP="00AC56D6">
      <w:pPr>
        <w:pStyle w:val="TextoNormal"/>
      </w:pPr>
      <w:r>
        <w:t>Deben tenerse en cuenta a estos efectos una serie de aspectos que resultan relevantes: a) el demandante de amparo es un funcionario público interino lo que repercute en el alcance de su derecho de libertad de expresión, ya que implica que no sólo está sujeto como cualquier otro ciudadano a los límites de este derecho (STC 9/2007, de 15 de enero, FJ 4), sino también de los que derivan del vínculo de especial sujeción que le liga con la Administración pública y que responde a las necesidades de organización de la Administración, restricciones que deben ser proporcionadas y necesarias para el buen orden de la función pública; b) se trata de un profesor de griego; c) sus manifestaciones no han sido difundidas públicamente, por cuanto se plasman en sendos escritos dirigidos a la Administración con la finalidad de poner en su conocimiento unos hechos que tenían que ver con el expediente disciplinario que se le estaba instruyendo, y d) las expresiones se vertieron con ocasión de un procedimiento sancionador y en el ejercicio del derecho de defensa.</w:t>
      </w:r>
    </w:p>
    <w:p w:rsidR="00AC56D6" w:rsidRDefault="00AC56D6" w:rsidP="00AC56D6">
      <w:pPr>
        <w:pStyle w:val="TextoNormal"/>
      </w:pPr>
    </w:p>
    <w:p w:rsidR="00AC56D6" w:rsidRDefault="00AC56D6" w:rsidP="00AC56D6">
      <w:pPr>
        <w:pStyle w:val="TextoNormal"/>
      </w:pPr>
      <w:r>
        <w:t>Esto señalado, pasa a valorar si ha existido la lesión denunciada, teniendo en cuenta la especial gravedad de las sanciones impuestas. Las afirmaciones se fundamentan en las expresiones vertidas en un primer escrito destinado a hacer valer el derecho de defensa en un procedimiento sancionador por lo que sus límites son más amplios. Las manifestaciones vertidas en el segundo escrito no son en sentido estricto manifestación del derecho de defensa, pero presentan una directa conexión con éste ya que las personas a que el sancionado imputa la posible conducta de acoso aparecen en el procedimiento disciplinario que se le seguía o en el proceso selectivo en que participó y estarían dirigidas, a juicio del recurrente, por el citado inspector, por lo que sus argumentos aparecen conectados con el buen fin del proceso sancionador. El marco en que se formulan es, pues, el del ejercicio del derecho de defensa.</w:t>
      </w:r>
    </w:p>
    <w:p w:rsidR="00AC56D6" w:rsidRDefault="00AC56D6" w:rsidP="00AC56D6">
      <w:pPr>
        <w:pStyle w:val="TextoNormal"/>
      </w:pPr>
    </w:p>
    <w:p w:rsidR="00AC56D6" w:rsidRDefault="00AC56D6" w:rsidP="00AC56D6">
      <w:pPr>
        <w:pStyle w:val="TextoNormal"/>
      </w:pPr>
      <w:r>
        <w:lastRenderedPageBreak/>
        <w:t>Continúa examinando las expresiones que realiza el demandante de amparo, que reproduce literalmente. Considera que si bien alguna de esas expresiones puede afectar al buen nombre y desempeño profesional de alguno de los funcionarios mencionados y, por tanto, pueden ser calificadas de hirientes o molestas para algunos de sus destinatarios, la finalidad de las mismas no es otra que poner de manifiesto ciertas conductas que podrían afectar a su condición de funcionario interino o a sus aspiraciones de ser funcionario de carrera, esto es, unos hechos que a su juicio podrían ser constitutivos de acoso laboral, cuya denuncia es de interés público pues deber de la administración erradicar estas conductas. Estas denuncias sólo tienen efectos internos, pues en ningún momento son publicitadas más allá de su puesta en conocimiento del Ministerio Fiscal siendo irrelevante que éste archivara la denuncia. En consecuencia, estas manifestaciones, realizados por quien no es Letrado de profesión, no es otra que defender unos derechos legítimos que afectaban a sus expectativas como funcionario interino y de acceso a la carrera funcionarial, siendo necesarios para su derecho a la defensa. Entiende, en consecuencia, que se habrían fundado en el derecho de libertad de expresión en ejercicio de su derecho de defensa, por lo que procede reconocer este derecho al demandante y anular la resolución sancionadora y la Sentencia de 11 de diciembre de 2012 que confirma dicha resolución.</w:t>
      </w:r>
    </w:p>
    <w:p w:rsidR="00AC56D6" w:rsidRDefault="00AC56D6" w:rsidP="00AC56D6">
      <w:pPr>
        <w:pStyle w:val="TextoNormal"/>
      </w:pPr>
    </w:p>
    <w:p w:rsidR="00AC56D6" w:rsidRDefault="00AC56D6" w:rsidP="00AC56D6">
      <w:pPr>
        <w:pStyle w:val="TextoNormal"/>
      </w:pPr>
      <w:r w:rsidRPr="00AC56D6">
        <w:rPr>
          <w:rStyle w:val="NumeroAFNegritaCaracter"/>
        </w:rPr>
        <w:t>10</w:t>
      </w:r>
      <w:r>
        <w:t>. Por providencia de 17 de septiembre de 2015 se señaló para deliberación y votación de la presente Sentencia el día 21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demandante, don Manuel-Ramón Domínguez Benítez, reclama amparo ante la resolución de 18 de enero de 2010 del Director General de Recursos Humanos, dictada por delegación del Consejero de Educación, Formación y Empleo de la Comunidad Autónoma de Murcia, que sanciona con veintitrés meses de suspensión de funciones las manifestaciones por éste realizadas en dos escritos, así como ante la Sentencia de 11 de septiembre de 2012, de la Sección Primera de la Sala de lo Contencioso-Administrativo del Tribunal Superior de Justicia de Murcia y el Auto, de la misma Sección y Sala, de 5 de febrero de 2013.</w:t>
      </w:r>
    </w:p>
    <w:p w:rsidR="00AC56D6" w:rsidRDefault="00AC56D6" w:rsidP="00AC56D6">
      <w:pPr>
        <w:pStyle w:val="TextoNormal"/>
      </w:pPr>
    </w:p>
    <w:p w:rsidR="00AC56D6" w:rsidRDefault="00AC56D6" w:rsidP="00AC56D6">
      <w:pPr>
        <w:pStyle w:val="TextoNormal"/>
      </w:pPr>
      <w:r>
        <w:t xml:space="preserve">Se imputa a todas estas resoluciones la lesión del derecho a la libertad de expresión, por cuanto las aseveraciones o manifestaciones que han sido objeto de sanción disciplinaria se realizaron en el ejercicio de su derecho de defensa. Asimismo, denuncia la lesión de la motivación necesaria para las resoluciones sancionadoras, por cuanto no es posible conocer las razones que llevan a subsumir los hechos en las conductas infractoras tipificadas, así como del principio </w:t>
      </w:r>
      <w:r w:rsidRPr="00AC56D6">
        <w:rPr>
          <w:i/>
        </w:rPr>
        <w:t>non bis in idem</w:t>
      </w:r>
      <w:r>
        <w:t>, por haber sido unos mismos hechos, esto es, unas mismas manifestaciones, objeto de dos sanciones. La Administración demandada rechaza la vulneración de las lesiones denunciadas, mientras que el Ministerio Fiscal considera que la resolución administrativa ha lesionado el derecho de libertad de expresión del art. 20.1 a) CE que asiste al demandante de amparo.</w:t>
      </w:r>
    </w:p>
    <w:p w:rsidR="00AC56D6" w:rsidRDefault="00AC56D6" w:rsidP="00AC56D6">
      <w:pPr>
        <w:pStyle w:val="TextoNormal"/>
      </w:pPr>
    </w:p>
    <w:p w:rsidR="00AC56D6" w:rsidRDefault="00AC56D6" w:rsidP="00AC56D6">
      <w:pPr>
        <w:pStyle w:val="TextoNormal"/>
      </w:pPr>
      <w:r w:rsidRPr="00AC56D6">
        <w:rPr>
          <w:rStyle w:val="NumeroAFNegritaCaracter"/>
        </w:rPr>
        <w:t>2</w:t>
      </w:r>
      <w:r>
        <w:t>. Antes de entrar en el análisis de las vulneraciones alegadas, resulta necesario realizar dos observaciones previas.</w:t>
      </w:r>
    </w:p>
    <w:p w:rsidR="00AC56D6" w:rsidRDefault="00AC56D6" w:rsidP="00AC56D6">
      <w:pPr>
        <w:pStyle w:val="TextoNormal"/>
      </w:pPr>
    </w:p>
    <w:p w:rsidR="00AC56D6" w:rsidRDefault="00AC56D6" w:rsidP="00AC56D6">
      <w:pPr>
        <w:pStyle w:val="TextoNormal"/>
      </w:pPr>
      <w:r>
        <w:t xml:space="preserve">En primer lugar, cabe precisar que las lesiones de los arts. 20 y 25.1 CE, que la demanda de amparo achaca tanto a la resolución administrativa como a la Sentencia y Auto de la Sala </w:t>
      </w:r>
      <w:r>
        <w:lastRenderedPageBreak/>
        <w:t>de lo Contencioso-Administrativo del Tribunal Superior de Justicia de Murcia, son, en realidad, imputables a la resolución administrativa sancionadora, habida cuenta de que la Sentencia de la Sala de lo Contencioso-Administrativo se limitó a no reparar las lesiones denunciadas ya desde la primera instancia del proceso judicial. Por su parte, la incongruencia de la Sentencia de la Sala, alegada en la nulidad de actuaciones y desestimada por Auto, no ha sido reiterada en este recurso de amparo. En consecuencia, aunque el encabezamiento y el suplico de la demanda de amparo hagan referencia a la vulneración del derecho a la tutela judicial efectiva, como quiera que no se denuncia ninguna lesión autónoma cometida por las resoluciones judiciales y la vulneración del art. 24.1 CE se hace depender, única y exclusivamente, de la confirmación por la Sala de la resolución administrativa presuntamente vulneradora de derechos fundamentales, cabe afirmar que estamos ante una lesión de derechos fundamentales ocasionada por un acto de la Administración pública (art. 43 de la Ley Orgánica del Tribunal Constitucional) y como tal habremos de tratarla.</w:t>
      </w:r>
    </w:p>
    <w:p w:rsidR="00AC56D6" w:rsidRDefault="00AC56D6" w:rsidP="00AC56D6">
      <w:pPr>
        <w:pStyle w:val="TextoNormal"/>
      </w:pPr>
    </w:p>
    <w:p w:rsidR="00AC56D6" w:rsidRDefault="00AC56D6" w:rsidP="00AC56D6">
      <w:pPr>
        <w:pStyle w:val="TextoNormal"/>
      </w:pPr>
      <w:r>
        <w:t>Ocurre, en segundo lugar, que la solución que ahora haya de darse a la lesión del derecho a la libertad de expresión denunciada permite perfilar o adecuar la doctrina constitucional recaída en torno a este derecho, en razón de las peculiaridades o elementos que concurren en este caso, lo cual, por otra parte, no es extraño en lo que atañe al mismo, habida cuenta de que sus límites deben ser precisados caso a caso, a la vista de los derechos y valores constitucionales que pueden verse afectados por su ejercicio. De ello constituye buena prueba la reciente STC 65/2015, de 13 de abril, FJ 1.</w:t>
      </w:r>
    </w:p>
    <w:p w:rsidR="00AC56D6" w:rsidRDefault="00AC56D6" w:rsidP="00AC56D6">
      <w:pPr>
        <w:pStyle w:val="TextoNormal"/>
      </w:pPr>
    </w:p>
    <w:p w:rsidR="00AC56D6" w:rsidRDefault="00AC56D6" w:rsidP="00AC56D6">
      <w:pPr>
        <w:pStyle w:val="TextoNormal"/>
      </w:pPr>
      <w:r>
        <w:t xml:space="preserve">Son muchos, en efecto, los pronunciamientos del Tribunal Constitucional relativos al contenido y alcance del derecho a la libertad de expresión cuando se plantea una colisión entre libertades </w:t>
      </w:r>
      <w:r w:rsidRPr="00AC56D6">
        <w:rPr>
          <w:i/>
        </w:rPr>
        <w:t>uti cives</w:t>
      </w:r>
      <w:r>
        <w:t xml:space="preserve"> de expresión, de un lado, y los derechos de la personalidad de quienes se ven afectados por su ejercicio, de otro. También los que abordan los límites que vienen a enmarcar este derecho cuando se ejerce por un funcionario público, que dependerán de manera decisiva del tipo de funcionario de que se trate, de si la actuación tiene lugar en calidad de ciudadano o de funcionario y si la misma pone o no públicamente en entredicho la autoridad de sus superiores y compromete el buen funcionamiento del servicio (por todas, STC 101/2003, de 2 de junio, FJ 4; y sentencias en ella citadas).</w:t>
      </w:r>
    </w:p>
    <w:p w:rsidR="00AC56D6" w:rsidRDefault="00AC56D6" w:rsidP="00AC56D6">
      <w:pPr>
        <w:pStyle w:val="TextoNormal"/>
      </w:pPr>
    </w:p>
    <w:p w:rsidR="00AC56D6" w:rsidRDefault="00AC56D6" w:rsidP="00AC56D6">
      <w:pPr>
        <w:pStyle w:val="TextoNormal"/>
      </w:pPr>
      <w:r>
        <w:t>Asimismo, este Tribunal se ha pronunciado sobre los límites de la libertad de expresión del personal de la Administración cuando se defienden derechos e intereses que le asisten como tal (entre otras SSTC 288/1994, de 27 de octubre, y 241/1999, de 20 de diciembre); también existe un acervo doctrinal sobre el contenido y límites de la libertad de expresión del Abogado en su función de defensa en un proceso judicial (por todas, STC 39/2009, de 9 de febrero. FJ 3, y Sentencias en ella citadas).</w:t>
      </w:r>
    </w:p>
    <w:p w:rsidR="00AC56D6" w:rsidRDefault="00AC56D6" w:rsidP="00AC56D6">
      <w:pPr>
        <w:pStyle w:val="TextoNormal"/>
      </w:pPr>
    </w:p>
    <w:p w:rsidR="00AC56D6" w:rsidRDefault="00AC56D6" w:rsidP="00AC56D6">
      <w:pPr>
        <w:pStyle w:val="TextoNormal"/>
      </w:pPr>
      <w:r>
        <w:t xml:space="preserve">Sin embargo, pueden calificarse de aislados y no muy recientes los pronunciamientos que atañen a los límites del derecho de libertad de expresión cuando con él se trata no ya de defender un derecho o interés legítimo, sino de ejercer el derecho de defensa frente al </w:t>
      </w:r>
      <w:r w:rsidRPr="00AC56D6">
        <w:rPr>
          <w:i/>
        </w:rPr>
        <w:t>ius puniendi</w:t>
      </w:r>
      <w:r>
        <w:t xml:space="preserve"> de la Administración y, más en concreto, cuando se trata de personas unidas a ella por una relación de sujeción especial (SSTC 120/1996, de 8 de julio, y 102/2001, de 23 de abril).</w:t>
      </w:r>
    </w:p>
    <w:p w:rsidR="00AC56D6" w:rsidRDefault="00AC56D6" w:rsidP="00AC56D6">
      <w:pPr>
        <w:pStyle w:val="TextoNormal"/>
      </w:pPr>
    </w:p>
    <w:p w:rsidR="00AC56D6" w:rsidRDefault="00AC56D6" w:rsidP="00AC56D6">
      <w:pPr>
        <w:pStyle w:val="TextoNormal"/>
      </w:pPr>
      <w:r>
        <w:t xml:space="preserve">Nuestro pronunciamiento, sin duda, debe enmarcarse en esta última categoría, ya que lo que reclama el demandante de amparo es la aplicación del canon constitucional de la libertad </w:t>
      </w:r>
      <w:r>
        <w:lastRenderedPageBreak/>
        <w:t>de expresión que asiste a los abogados, a quienes ejercen este derecho cuando se encuentran inmersos en un procedimiento disciplinario, en el que el titular de la libertad de expresión actúa sin asistencia de Letrado. Precisamente por residir en ello la especial trascendencia constitucional de este recurso de amparo, abordaremos en primer lugar la lesión del art. 20 CE.</w:t>
      </w:r>
    </w:p>
    <w:p w:rsidR="00AC56D6" w:rsidRDefault="00AC56D6" w:rsidP="00AC56D6">
      <w:pPr>
        <w:pStyle w:val="TextoNormal"/>
      </w:pPr>
    </w:p>
    <w:p w:rsidR="00AC56D6" w:rsidRDefault="00AC56D6" w:rsidP="00AC56D6">
      <w:pPr>
        <w:pStyle w:val="TextoNormal"/>
      </w:pPr>
      <w:r w:rsidRPr="00AC56D6">
        <w:rPr>
          <w:rStyle w:val="NumeroAFNegritaCaracter"/>
        </w:rPr>
        <w:t>3</w:t>
      </w:r>
      <w:r>
        <w:t>. Alega el demandante que se ha vulnerado su derecho a la libertad de expresión ejercido en el ámbito de la defensa en un procedimiento disciplinario. Dado que la Sentencia de la Sala viene a afirmar, para rechazar el argumento en que se había basado la Sentencia de instancia, que “debe entenderse que la existencia de una conducta tan indeseable como el acoso laboral, no puede sustentarse sino en hechos, nunca en una íntima convicción”, no estará de más recordar ahora la doctrina constitucional acuñada sobre la distinción entre la libertad de expresión [art. 20.1 a) CE] y la libertad de información [art. 20.1 d) CE]. En resumen, la libertad de expresión “tiene su campo de proyección más propio en la manifestación de valoraciones o juicios que, es evidente, quedan al margen de toda confirmación o desmentido fáctico”, mientras que la libertad de información “se orienta, sobre todo, a la transmisión o comunicación de lo que se tienen por hechos —susceptibles, entonces, de contraste, prueba o mentis—” (STC 63/2015, de 13 de abril, FJ 2).</w:t>
      </w:r>
    </w:p>
    <w:p w:rsidR="00AC56D6" w:rsidRDefault="00AC56D6" w:rsidP="00AC56D6">
      <w:pPr>
        <w:pStyle w:val="TextoNormal"/>
      </w:pPr>
    </w:p>
    <w:p w:rsidR="00AC56D6" w:rsidRDefault="00AC56D6" w:rsidP="00AC56D6">
      <w:pPr>
        <w:pStyle w:val="TextoNormal"/>
      </w:pPr>
      <w:r>
        <w:t>Las manifestaciones por las que el demandante resultó sancionado fueron realizadas en sendos escritos de 3 y 20 de octubre de 2008. El primero de ellos recoge las alegaciones presentadas, una vez se le dio vista del expediente y en el plazo conferido para ello, en el procedimiento disciplinario que se estaba instruyendo contra él. Iban encaminadas a intentar demostrar la falta de veracidad de las pruebas aportadas por la Administración al procedimiento disciplinario, cuya verdadera finalidad, entiende, es consumar el proceso de acoso de que está siendo objeto por parte de un determinado inspector, el director del centro y el propio instructor del procedimiento disciplinario que actuaría, a su parecer, al dictado del primero. El segundo escrito fue presentado ante el mismo órgano al que se dirigió el anterior, esto es, la inspección educativa de la Consejería de Educación de la Comunidad Autónoma de Murcia, a raíz de la visita de los inspectores, visita que el demandante consideró consecuencia inmediata de las declaraciones realizadas en el escrito anterior. Entiende el demandante de amparo, y así lo alegó, que la visita estaba deliberadamente preparada para concluir de ella la falta de acoso, de manera que, una vez demostrado que lo expuesto en el primer escrito carecía de fundamento, las afirmaciones realizadas en el trámite de vista y audiencia del procedimiento disciplinario que se le estaba instruyendo, no sólo no iban a ser tenidas en cuenta en aquél, sino que iban a ser objeto, además, de un nuevo procedimiento disciplinario, como así realmente ocurrió.</w:t>
      </w:r>
    </w:p>
    <w:p w:rsidR="00AC56D6" w:rsidRDefault="00AC56D6" w:rsidP="00AC56D6">
      <w:pPr>
        <w:pStyle w:val="TextoNormal"/>
      </w:pPr>
    </w:p>
    <w:p w:rsidR="00AC56D6" w:rsidRDefault="00AC56D6" w:rsidP="00AC56D6">
      <w:pPr>
        <w:pStyle w:val="TextoNormal"/>
      </w:pPr>
      <w:r>
        <w:t xml:space="preserve">Así pues, el primero de los escritos se inscribe, formal y materialmente, en el ejercicio del derecho a la defensa en el procedimiento disciplinario. El segundo de ellos, dirigido al mismo órgano administrativo, aunque no se realizó en el trámite de audiencia, está directamente relacionado con el anterior del que trae causa, por lo que debe inscribirse en este mismo marco. De hecho, cabe insistir, fue formulado tanto para conseguir el archivo del procedimiento ya incoado, como para evitar la apertura de un nuevo procedimiento disciplinario con motivo de ellas. Se trata, por tanto, de manifestaciones que no responden a una finalidad informativa general o destinada a un círculo más o menos amplio de destinatarios (STC 241/1999, de 20 de diciembre, FJ 3), sino dirigidas a hacer valer un derecho subjetivo del demandante cual es la defensa frente al </w:t>
      </w:r>
      <w:r w:rsidRPr="00AC56D6">
        <w:rPr>
          <w:i/>
        </w:rPr>
        <w:t>ius puniendi</w:t>
      </w:r>
      <w:r>
        <w:t xml:space="preserve"> de la Administración. En otras </w:t>
      </w:r>
      <w:r>
        <w:lastRenderedPageBreak/>
        <w:t>palabras, el art. 20.1 a) CE abarca el juicio crítico acompañado por una inclinación o vocación restringida al terreno de lo no difundido como es propio de este derecho cuando se conecta con la efectividad de otros derechos fundamentales y en concreto con el derecho a la defensa del art. 24.2 CE (STC 241/1999, FJ 3).</w:t>
      </w:r>
    </w:p>
    <w:p w:rsidR="00AC56D6" w:rsidRDefault="00AC56D6" w:rsidP="00AC56D6">
      <w:pPr>
        <w:pStyle w:val="TextoNormal"/>
      </w:pPr>
    </w:p>
    <w:p w:rsidR="00AC56D6" w:rsidRDefault="00AC56D6" w:rsidP="00AC56D6">
      <w:pPr>
        <w:pStyle w:val="TextoNormal"/>
      </w:pPr>
      <w:r>
        <w:t>Cierto es que, en este caso, la manifestación de la propia opinión implica apoyarse en la narración de hechos, siendo así que la virtualidad defensiva de las opiniones manifestadas en el seno del procedimiento sancionador será mayor o menor según que los hechos de los que traigan causa dichas opiniones resulten o no acreditados. Pero ello no altera la naturaleza del derecho fundamental de libertad de expresión que consagra el art. 20.1 a) CE, que es el que en este caso podría haber sido vulnerado.</w:t>
      </w:r>
    </w:p>
    <w:p w:rsidR="00AC56D6" w:rsidRDefault="00AC56D6" w:rsidP="00AC56D6">
      <w:pPr>
        <w:pStyle w:val="TextoNormal"/>
      </w:pPr>
    </w:p>
    <w:p w:rsidR="00AC56D6" w:rsidRDefault="00AC56D6" w:rsidP="00AC56D6">
      <w:pPr>
        <w:pStyle w:val="TextoNormal"/>
      </w:pPr>
      <w:r w:rsidRPr="00AC56D6">
        <w:rPr>
          <w:rStyle w:val="NumeroAFNegritaCaracter"/>
        </w:rPr>
        <w:t>4</w:t>
      </w:r>
      <w:r>
        <w:t>. La libertad de expresión no es, sin duda, un derecho ilimitado. Al igual que cualquier otro derecho de libertad está sometido a los límites fijados o fundamentados en la Constitución con los que su ejercicio ha de ser coherente (STC 65/2015, de 13 de abril, FJ 3). Debe coordinarse no sólo con otros derechos fundamentales del mismo rango con los que puede entrar en colisión, sino también con otros valores constitucionales. Como ha señalado este Tribunal, aunque tras la Constitución no puede exigirse a los funcionarios una fidelidad silente y acrítica respecto a instancias superiores, su libertad de expresión puede estar sometida a límites. Si bien, en principio, los límites de este derecho son generales y comunes para todos los ciudadanos, no cabe descartar que puedan imponerse otros distintos a los funcionarios públicos en su condición de tales (STC 81/1983, de 10 de octubre, FJ 2).</w:t>
      </w:r>
    </w:p>
    <w:p w:rsidR="00AC56D6" w:rsidRDefault="00AC56D6" w:rsidP="00AC56D6">
      <w:pPr>
        <w:pStyle w:val="TextoNormal"/>
      </w:pPr>
    </w:p>
    <w:p w:rsidR="00AC56D6" w:rsidRDefault="00AC56D6" w:rsidP="00AC56D6">
      <w:pPr>
        <w:pStyle w:val="TextoNormal"/>
      </w:pPr>
      <w:r>
        <w:t>Estos límites pueden venir dados por la garantía del principio de jerarquía al servicio del correcto funcionamiento del servicio, ya sea, dirá la STC 101/2003, FJ 4, por el grado de jerarquización o disciplina interna a que esté sometido cada tipo de funcionarios, ya lo sean en calidad de funcionarios o de ciudadanos, ya en razón de otros factores que hayan de apreciarse en cada caso. Así, existen determinados colectivos que, en virtud de la función que desempeñan al servicio de un objetivo constitucionalmente relevante, quedan sometidos a limitaciones específicas y jurídicamente más estrictas (STC 102/2001, de 23 de abril, FJ 3). Pero también pueden derivarse de otros valores constitucionales como la protección de la buena fe o especial confianza que une a las partes ligadas por una relación de servicio, cuando el personal de la Administración no ejerce funciones públicas en sentido estricto (STC 241/1999, FJ 4). No se trata, en cualquier caso, de límites generales o comunes para la libertad de expresión de todo el personal de la Administración pública, ni siquiera para todos los funcionarios, pues deben apreciarse en cada caso, a la vista de las concretas circunstancias.</w:t>
      </w:r>
    </w:p>
    <w:p w:rsidR="00AC56D6" w:rsidRDefault="00AC56D6" w:rsidP="00AC56D6">
      <w:pPr>
        <w:pStyle w:val="TextoNormal"/>
      </w:pPr>
    </w:p>
    <w:p w:rsidR="00AC56D6" w:rsidRDefault="00AC56D6" w:rsidP="00AC56D6">
      <w:pPr>
        <w:pStyle w:val="TextoNormal"/>
      </w:pPr>
      <w:r>
        <w:t>Asimismo, este Tribunal ha señalado la vertiente cualificada del ejercicio de la libertad de expresión de los funcionarios, es decir, una libertad especialmente reforzada, cuando se utiliza como “instrumento necesario para la efectividad de otros bienes o valores constitucionalmente protegidos, y la defensa de un derecho e interés legítimo propio”. De ahí que, cuando la defensa verbal lo sea de los propios argumentos y el ataque se dirija a la fundamentación y racionalidad jurídica del acto administrativo o de sus efectos, “para nada comprometen el respeto debido al órgano autor de aquél cuando es manifiesta su directa conexión con estrictos argumentos de legalidad, porque, por imperativo constitucional (art. 103 C.E.) el propio órgano que dictó el acto se halla también directa e inexcusablemente implicado en el cumplimiento de la ley” (STC 120/1996, de 8 de julio, FJ 10).</w:t>
      </w:r>
    </w:p>
    <w:p w:rsidR="00AC56D6" w:rsidRDefault="00AC56D6" w:rsidP="00AC56D6">
      <w:pPr>
        <w:pStyle w:val="TextoNormal"/>
      </w:pPr>
    </w:p>
    <w:p w:rsidR="00AC56D6" w:rsidRDefault="00AC56D6" w:rsidP="00AC56D6">
      <w:pPr>
        <w:pStyle w:val="TextoNormal"/>
      </w:pPr>
      <w:r>
        <w:t>Las garantías procedimentales del art. 24.2 CE, son aplicables a los procedimientos administrativos sancionadores, en cuanto manifestación de la potestad punitiva del Estado. Son las garantías del derecho de defensa, que impone a la Administración no sólo el deber de comunicar al afectado la incoación del expediente sancionador, sino, además, que le dé la oportunidad de alegar en el curso del mismo lo que a su derecho convenga, así como de aportar y proponer las pruebas que estime pertinentes, (por todas SSTC 169/2012, de 1 de octubre, FJ 2, y 59/2014, de 5 de mayo, FJ 3). Es por ello que una resolución administrativa sancionadora, a diferencia de las resoluciones dictadas en los procedimientos administrativos que conducen a actos desfavorables o restrictivos de derechos, es susceptible de vulnerar el art. 24.2 CE, lo que refuerza aún en mayor grado, “la potencialidad del derecho a la defensa en su proyección de derecho fundamental a la libertad de expresión, íntimamente entrelazados y concernidos” (STC 102/2001, FJ 4).</w:t>
      </w:r>
    </w:p>
    <w:p w:rsidR="00AC56D6" w:rsidRDefault="00AC56D6" w:rsidP="00AC56D6">
      <w:pPr>
        <w:pStyle w:val="TextoNormal"/>
      </w:pPr>
    </w:p>
    <w:p w:rsidR="00AC56D6" w:rsidRDefault="00AC56D6" w:rsidP="00AC56D6">
      <w:pPr>
        <w:pStyle w:val="TextoNormal"/>
      </w:pPr>
      <w:r>
        <w:t>En definitiva, cuando la libertad de expresión sirve al derecho fundamental consagrado en el art. 24.2 CE, el canon aplicable debe ser el que este Tribunal tiene acuñado en relación al contenido de la libertad en el ejercicio de la defensa letrada, que la hace especialmente inmune a sus restricciones para la preservación de otros derechos y bienes constitucionales, estando condicionado, claro está, a esa funcionalidad de defensa y a que no suponga un detrimento desproporcionado de los derechos de los demás partícipes en el proceso y la integridad del proceso mismo (STC 39/2009, FJ 3). Y aunque si bien es cierto que, tratándose del procedimiento administrativo sancionador, la libertad de expresión no guarda relación alguna con el adecuado funcionamiento de los órganos jurisdiccionales en el cumplimiento de la función que les atribuye el art. 117 CE (STC 39/2009, FJ 3), adquiere sin embargo especial relevancia su directa vinculación con el derecho a la defensa frente al poder punitivo del Estado, ya se atribuya los órganos jurisdiccionales del orden penal o a la Administración.</w:t>
      </w:r>
    </w:p>
    <w:p w:rsidR="00AC56D6" w:rsidRDefault="00AC56D6" w:rsidP="00AC56D6">
      <w:pPr>
        <w:pStyle w:val="TextoNormal"/>
      </w:pPr>
    </w:p>
    <w:p w:rsidR="00AC56D6" w:rsidRDefault="00AC56D6" w:rsidP="00AC56D6">
      <w:pPr>
        <w:pStyle w:val="TextoNormal"/>
      </w:pPr>
      <w:r>
        <w:t xml:space="preserve">Debemos, aún, dar un paso más en la determinación del canon aplicable a la libertad de expresión como instrumento del derecho de defensa en un procedimiento sancionador, cuando se trata de un procedimiento disciplinario, habida cuenta de la relación de especial sujeción en que se encuentran los funcionarios y de los especiales deberes que se les imponen en razón de esta condición. Este Tribunal tiene afirmado que las llamadas relaciones de sujeción especial no son un ámbito en el que los sujetos queden despojados de sus derechos fundamentales o en el que la Administración pueda dictar normas sin habilitación legal previa. Estas relaciones no se dan al margen del Derecho, sino dentro de él y por lo tanto también dentro de ellas tienen vigencia los derechos fundamentales y tampoco respecto de ellas goza la Administración de un poder normativo carente de habilitación legal, aunque ésta pueda otorgarse en términos que no serían aceptables sin el supuesto de esa especial relación (STC 81/2009, de 23 de marzo, FJ 5). En lo que respecta al derecho de defensa en el procedimiento disciplinario, este Tribunal no ha establecido modulación o matización alguna debida a la relación de la especial sujeción en la que se encuentra el funcionario, pues el entendimiento de la libertad especialmente reforzada por su inmediata conexión con otro derecho fundamental, es perfectamente trasladable a los supuestos en los que es el propio afectado quien asume su defensa, por no ser preceptiva la asistencia letrada, como ocurre cuando la “impugnación en vía de recurso administrativo se hallaba dirigida contra un acto de la administración que imponía sanción disciplinaria, y que fue ejercida por militar carente de la condición de Letrado, lo que refuerza en mayor grado, si cabe, la potencialidad del </w:t>
      </w:r>
      <w:r>
        <w:lastRenderedPageBreak/>
        <w:t>derecho a la defensa en su proyección con el derecho fundamental a la libertad de expresión, íntimamente entrelazados y concernidos” (SSTC 102/2001, FJ 4, y 39/2009, de 9 de febrero, FJ 3). Es por ello que la interpretación de los preceptos que tipifican infracciones disciplinarias que generan un riesgo para la libertad de expresión debe realizarse en el sentido de considerar que son sólo sancionables las manifestaciones o actitudes insultantes o descalificadoras, cuando esta se encuentra reforzada por ejercerse en el contexto del procedimiento disciplinario y con el ánimo de defensa, que es lo que este Tribunal tiene declarado para las sanciones impuestas a Letrados por las expresiones vertidas en el ejercicio del derecho de defensa (STC 231/2012, de 10 de diciembre, FJ 4). A ello debemos aún añadir que, como este Tribunal afirmó en las SSTC 110/2000, de 5 de mayo, FJ 5, y 104/2011, de 20 de junio, FJ 6, la dimensión objetiva de los derechos fundamentales, su carácter de elementos esenciales del Ordenamiento jurídico permite afirmar que no basta con la constatación de que la conducta sancionada sobrepasa las fronteras de la expresión constitucionalmente protegida, sino que ha de garantizarse que la reacción frente a dicha extralimitación no pueda producir “por su severidad, un sacrificio innecesario o desproporcionado de la libertad de la que privan, o un efecto disuasor o desalentador del ejercicio de los derechos fundamentales implicados en la conducta sancionada”.</w:t>
      </w:r>
    </w:p>
    <w:p w:rsidR="00AC56D6" w:rsidRDefault="00AC56D6" w:rsidP="00AC56D6">
      <w:pPr>
        <w:pStyle w:val="TextoNormal"/>
      </w:pPr>
    </w:p>
    <w:p w:rsidR="00AC56D6" w:rsidRDefault="00AC56D6" w:rsidP="00AC56D6">
      <w:pPr>
        <w:pStyle w:val="TextoNormal"/>
      </w:pPr>
      <w:r w:rsidRPr="00AC56D6">
        <w:rPr>
          <w:rStyle w:val="NumeroAFNegritaCaracter"/>
        </w:rPr>
        <w:t>5</w:t>
      </w:r>
      <w:r>
        <w:t>. Una vez seleccionado el canon aplicable al derecho de libertad de expresión que se reputa vulnerado en este proceso, sólo resta analizar si las expresiones realizadas por el demandante de amparo se encuentran amparadas por el derecho, en cuyo caso, la resolución administrativa impugnada lo habría vulnerado. Para ello, no bastará con realizar un control externo de la valoración que la resolución sancionadora, confirmada por la Sala, ha realizado de los derechos y bienes afectados en este caso, ya que lo que corresponde a este Tribunal es examinar si la valoración de los derechos o valores constitucionales en colisión ha sido realizada de acuerdo con el contenido que a ellos corresponde (STC 43/2004, FJ 3).</w:t>
      </w:r>
    </w:p>
    <w:p w:rsidR="00AC56D6" w:rsidRDefault="00AC56D6" w:rsidP="00AC56D6">
      <w:pPr>
        <w:pStyle w:val="TextoNormal"/>
      </w:pPr>
    </w:p>
    <w:p w:rsidR="00AC56D6" w:rsidRDefault="00AC56D6" w:rsidP="00AC56D6">
      <w:pPr>
        <w:pStyle w:val="TextoNormal"/>
      </w:pPr>
      <w:r>
        <w:t>Como señala la resolución sancionadora, los empleados públicos tienen, en su condición de tales, el deber de tratar con atención y respeto a los ciudadanos, a sus superiores, y a los restantes empleados públicos (art. 54.1 de la Ley 7/2007, de 12 de abril, que aprueba el estatuto básico del empleado público. Consecuentemente, los apartados e) y ñ) del art. 7.1 del Real Decreto 33/1986, de 10 de enero, tipifican como faltas graves, “la grave desconsideración con los superiores, compañeros o subordinados” y “el atentado grave a la dignidad de los funcionarios o de la Administración”, cuya finalidad no es la de sancionar las conductas de los empleados públicos que, como la de cualesquiera otros ciudadanos, pudieran lesionar los derechos de la personalidad de terceros. Antes al contrario, estos deberes y las sanciones que conlleva su incumplimiento sirven para garantizar el correcto funcionamiento de los servicios administrativos. No se trata, pues, de la colisión entre la libertad de expresión del funcionario y los derechos fundamentales de quienes han sido objeto de desconsideración o a cuya dignidad se haya podido afectar. Antes bien, el ejercicio de este derecho fundamental, en el caso que nos ocupa, se enfrenta con otros valores constitucionalmente merecedores de protección.</w:t>
      </w:r>
    </w:p>
    <w:p w:rsidR="00AC56D6" w:rsidRDefault="00AC56D6" w:rsidP="00AC56D6">
      <w:pPr>
        <w:pStyle w:val="TextoNormal"/>
      </w:pPr>
    </w:p>
    <w:p w:rsidR="00AC56D6" w:rsidRDefault="00AC56D6" w:rsidP="00AC56D6">
      <w:pPr>
        <w:pStyle w:val="TextoNormal"/>
      </w:pPr>
      <w:r>
        <w:t xml:space="preserve">Las manifestaciones merecedoras de sanción, reproducidas literalmente en los antecedentes de esta Sentencia, guardan todas ellas, sin duda, una directa conexión con la argumentación defensiva, acertada o no desde el prisma de la legalidad ordinaria, pero al fin y al cabo seguida por el demandante de amparo en el proceso disciplinario, en cuyo seno y </w:t>
      </w:r>
      <w:r>
        <w:lastRenderedPageBreak/>
        <w:t>para cuyo archivo fueron realizadas, lo que puede concluirse a partir del contenido de ambos escritos.</w:t>
      </w:r>
    </w:p>
    <w:p w:rsidR="00AC56D6" w:rsidRDefault="00AC56D6" w:rsidP="00AC56D6">
      <w:pPr>
        <w:pStyle w:val="TextoNormal"/>
      </w:pPr>
    </w:p>
    <w:p w:rsidR="00AC56D6" w:rsidRDefault="00AC56D6" w:rsidP="00AC56D6">
      <w:pPr>
        <w:pStyle w:val="TextoNormal"/>
      </w:pPr>
      <w:r>
        <w:t xml:space="preserve">El escrito de 3 de octubre de 2008, tras un primer expone en que explica qué es el acoso laboral y afirma que está siendo objeto del mismo por uno de los inspectores del servicio educativo, realiza, en el segundo expone, una serie de alegaciones dirigidas a acreditar que las pruebas aportadas al expediente disciplinario carecen de veracidad. Señala que no se ha aportado el control de firmas; que no se aporta el calendario de evaluaciones de septiembre ni existe constancia de que se haya entregado al profesorado; que presentó justificación de su ausencia por correo certificado; que el parte mensual de bajas se ha modificado </w:t>
      </w:r>
      <w:r w:rsidRPr="00AC56D6">
        <w:rPr>
          <w:i/>
        </w:rPr>
        <w:t>ex profeso</w:t>
      </w:r>
      <w:r>
        <w:t xml:space="preserve"> para incluir su nombre y faltas de asistencia, como así lo afirma el director del centro; que no se incorpora el parte de faltas de otro mes donde consta que no tuvo faltas de asistencia; que en todas las actas el número de asignaturas es mayor que el de profesores asistentes pero sólo el figura como ausente, que incluso se señala como profesor ausente en las reuniones en las que no tenía que estar; que la firma que figura en el acta del parte mensual de faltas parece haberse modificado para incluir su nombre en la lista de profesores ausentes etc. Añade que para chapuzas le pregunten al inspector que entiende le está acosando, que ya realizó un informe en el que declaraba injustificadas faltas de asistencia y procedente el reintegro cuando no incluyó en el mismo los justificantes firmados por el director del centro y le envió las notificaciones de otra persona. Y por si fuera poco, el citado inspector está utilizando como una marioneta al instructor del procedimiento que se le estaba instruyendo. En el tercer expone señala que no hay pruebas en el expediente de su falta de asistencia durante los días de celebración de los exámenes a los que no asistió ningún alumno, sino solo del día de la evaluación, y que quien firma el escrito incorporado al procedimiento no es el director del instituto sino una persona con firma parecida al inspector que le está acosando. Concluye solicitando el archivo del expediente.</w:t>
      </w:r>
    </w:p>
    <w:p w:rsidR="00AC56D6" w:rsidRDefault="00AC56D6" w:rsidP="00AC56D6">
      <w:pPr>
        <w:pStyle w:val="TextoNormal"/>
      </w:pPr>
    </w:p>
    <w:p w:rsidR="00AC56D6" w:rsidRDefault="00AC56D6" w:rsidP="00AC56D6">
      <w:pPr>
        <w:pStyle w:val="TextoNormal"/>
      </w:pPr>
      <w:r>
        <w:t>El segundo escrito, de 20 de octubre de 2008, se justifica por el demandante por la visita de los inspectores de educación a efectos de entrevistarle sobre la presunta denuncia por acoso laboral formulada contra el citado inspector. En él señala que no ha presentado ninguna denuncia por considerar que la Consejería no iba a ser imparcial. Que la visita se debe a las afirmaciones realizadas en el procedimiento disciplinario, a su decir, así lo admiten los inspectores, pero es una trampa más urdida por el inspector con el fin de resarcirse de la acusación, pues si la presunta denuncia quedara sin fundamento podría ser sancionado por una falta grave o muy grave. Añade que se le están instruyendo dos expedientes disciplinarios, uno por las manifestaciones vertidas en una carta a la directora, donde denuncia unos hechos acaecidos en el centro donde presta servicios y otro, en el que realizó las alegaciones que han provocado la visita de inspección, en el que el propio inspector, a decir del demandante de amparo, le reconoció no tener experiencia en su tramitación, por ser el primero, de ahí la necesidad de tener que llamar al inspector al que se achaca el acoso. Termina explicando las conductas que considera constitutivas de acoso consistentes en la forma en que ha intervenido el citado inspector en los expedientes de que está siendo objeto y en su presunta intervención en el proceso selectivo.</w:t>
      </w:r>
    </w:p>
    <w:p w:rsidR="00AC56D6" w:rsidRDefault="00AC56D6" w:rsidP="00AC56D6">
      <w:pPr>
        <w:pStyle w:val="TextoNormal"/>
      </w:pPr>
    </w:p>
    <w:p w:rsidR="00AC56D6" w:rsidRDefault="00AC56D6" w:rsidP="00AC56D6">
      <w:pPr>
        <w:pStyle w:val="TextoNormal"/>
      </w:pPr>
      <w:r>
        <w:t xml:space="preserve">En el contexto en que se lleva a efecto el ejercicio del derecho de defensa por el demandante de amparo, que carece de la condición de letrado y cuya pericia profesional —profesor de griego— no comprende conocimiento jurídico alguno, sus afirmaciones, que no fueron objeto de difusión pública, no pueden considerarse gratuitas o desconectadas de su defensa, </w:t>
      </w:r>
      <w:r>
        <w:lastRenderedPageBreak/>
        <w:t xml:space="preserve">antes bien, abundan directamente en los motivos por los que solicita el archivo del expediente sancionador. Las manifestaciones vertidas afectan, como bien alega el Fiscal, a las personas a las que achaca la conducta de acoso y que habrían participado de forma directa en el proceso disciplinario, o a las personas que han participado en los hechos que en su opinión serían constitutivos de acoso y que demostrarían que el procedimiento disciplinario que se le estaba instruyendo no era legítimo pues se trataba de otra manifestación del acoso del que estaba siendo víctima. De ahí la “falta de veracidad” de las pruebas a éste aportadas que debía determinar su archivo. Ninguna de esas manifestaciones puede considerarse, por tanto, gratuita o realizada con </w:t>
      </w:r>
      <w:r w:rsidRPr="00AC56D6">
        <w:rPr>
          <w:i/>
        </w:rPr>
        <w:t>animus nocendi</w:t>
      </w:r>
      <w:r>
        <w:t>, sino directamente conectadas con la línea argumental de su defensa.</w:t>
      </w:r>
    </w:p>
    <w:p w:rsidR="00AC56D6" w:rsidRDefault="00AC56D6" w:rsidP="00AC56D6">
      <w:pPr>
        <w:pStyle w:val="TextoNormal"/>
      </w:pPr>
    </w:p>
    <w:p w:rsidR="00AC56D6" w:rsidRDefault="00AC56D6" w:rsidP="00AC56D6">
      <w:pPr>
        <w:pStyle w:val="TextoNormal"/>
      </w:pPr>
      <w:r>
        <w:t>Tampoco pueden considerarse las manifestaciones, reproducidas en los antecedentes de esta Sentencia, “insultantes o descalificadoras” de los funcionarios por ellas afectados, conceptos éstos que exigen un plus sobre lo que puede considerarse coloquial, inapropiado, inadecuado, molesto o hiriente. De hecho, no son tanto los términos o expresiones utilizadas, reproducidas en los antecedentes, sino los hechos muy graves imputados, los que constituyen la conducta que es objeto de sanción, y así lo corrobora la Sentencia recurrida en este amparo, cuando precisamente el demandante viene a concluir de ellos que la potestad disciplinaria no se está ejerciendo con las finalidades previstas por el ordenamiento para ella, sino con otras bien distintas no merecedoras de protección alguna.</w:t>
      </w:r>
    </w:p>
    <w:p w:rsidR="00AC56D6" w:rsidRDefault="00AC56D6" w:rsidP="00AC56D6">
      <w:pPr>
        <w:pStyle w:val="TextoNormal"/>
      </w:pPr>
    </w:p>
    <w:p w:rsidR="00AC56D6" w:rsidRDefault="00AC56D6" w:rsidP="00AC56D6">
      <w:pPr>
        <w:pStyle w:val="TextoNormal"/>
      </w:pPr>
      <w:r>
        <w:t>Así pues, no habiéndose extralimitado el demandante de amparo en el ejercicio de su derecho de libertad de expresión con las manifestaciones realizadas en los escritos de 3 y 20 de octubre de 2008 en el marco de su derecho a la defensa, la reacción disciplinaria ha sido constitucionalmente ilegítima por vulneradora de este derecho.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Estimar la demanda de amparo promovida por don Manuel Ramón Domínguez Benítez y, en consecuencia,</w:t>
      </w:r>
    </w:p>
    <w:p w:rsidR="00AC56D6" w:rsidRDefault="00AC56D6" w:rsidP="00AC56D6">
      <w:pPr>
        <w:pStyle w:val="TextoNormal"/>
      </w:pPr>
    </w:p>
    <w:p w:rsidR="00AC56D6" w:rsidRDefault="00AC56D6" w:rsidP="00AC56D6">
      <w:pPr>
        <w:pStyle w:val="TextoNormal"/>
      </w:pPr>
      <w:r>
        <w:t>1º. Declarar vulnerado el derecho del demandante de amparo de libertad de expresión [art. 20.1 a) CE] en conexión con su derecho a la defensa (art. 24.2 CE).</w:t>
      </w:r>
    </w:p>
    <w:p w:rsidR="00AC56D6" w:rsidRDefault="00AC56D6" w:rsidP="00AC56D6">
      <w:pPr>
        <w:pStyle w:val="TextoNormal"/>
      </w:pPr>
    </w:p>
    <w:p w:rsidR="00AC56D6" w:rsidRDefault="00AC56D6" w:rsidP="00AC56D6">
      <w:pPr>
        <w:pStyle w:val="TextoNormal"/>
      </w:pPr>
      <w:r>
        <w:t>2º. Restituirlo en su derecho y, a tal fin, declarar la nulidad de la resolución de 18 de enero de 2010, del Director General de Recursos Humanos, dictada por delegación del Consejero de Educación, Formación y Empleo de la Comunidad Autónoma de Murcia, así como de la Sentencia 928/2012, de 11 de septiembre, de la Sección Primera de la Sala de lo Contencioso-Administrativo del Tribunal Superior de Justicia de Murcia y el Auto de 5 de febrero de 2013 de la misma Sección y Sala.</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lastRenderedPageBreak/>
        <w:t>Dada en Madrid, a veintiuno de septiembre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44" w:name="SENTENCIA_2015_188"/>
      <w:r>
        <w:lastRenderedPageBreak/>
        <w:t>SENTENCIA 188/2015, de 21 de septiembre de 2015</w:t>
      </w:r>
    </w:p>
    <w:bookmarkEnd w:id="44"/>
    <w:p w:rsidR="00AC56D6" w:rsidRDefault="00AC56D6" w:rsidP="00AC56D6">
      <w:pPr>
        <w:pStyle w:val="TtuloResolucin"/>
      </w:pPr>
      <w:r>
        <w:t>Sala Primera</w:t>
      </w:r>
    </w:p>
    <w:p w:rsidR="00AC56D6" w:rsidRDefault="00AC56D6" w:rsidP="00AC56D6">
      <w:pPr>
        <w:pStyle w:val="TtuloBOE"/>
      </w:pPr>
      <w:r>
        <w:t>(BOE núm. 260, de 30 de octubre de 2015)</w:t>
      </w:r>
    </w:p>
    <w:p w:rsidR="00AC56D6" w:rsidRDefault="00AC56D6" w:rsidP="00AC56D6">
      <w:pPr>
        <w:pStyle w:val="TextoNormalCentrado"/>
      </w:pPr>
      <w:r>
        <w:t>ECLI:ES:TC:2015:188</w:t>
      </w:r>
    </w:p>
    <w:p w:rsidR="00AC56D6" w:rsidRDefault="00AC56D6" w:rsidP="00AC56D6">
      <w:pPr>
        <w:pStyle w:val="TextoNormalCentrado"/>
      </w:pPr>
    </w:p>
    <w:p w:rsidR="00AC56D6" w:rsidRDefault="00AC56D6" w:rsidP="00AC56D6">
      <w:pPr>
        <w:pStyle w:val="SntesisDescriptiva"/>
      </w:pPr>
      <w:r>
        <w:t>Cuestión de inconstitucionalidad 5370-2013. Planteada por el Juzgado de lo Contencioso-Administrativo núm. 1 de Mérida en relación con el artículo 2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extinción, por pérdida de objeto, de la cuestión de inconstitucionalidad (STC 83/2015).</w:t>
      </w:r>
    </w:p>
    <w:p w:rsidR="00AC56D6" w:rsidRDefault="00AC56D6" w:rsidP="00AC56D6">
      <w:pPr>
        <w:pStyle w:val="SntesisAnaltica"/>
      </w:pPr>
    </w:p>
    <w:p w:rsidR="00AC56D6" w:rsidRDefault="00AC56D6" w:rsidP="00AC56D6">
      <w:pPr>
        <w:pStyle w:val="Extracto"/>
      </w:pPr>
      <w:r>
        <w:t>1.</w:t>
      </w:r>
      <w:r>
        <w:tab/>
        <w:t>La satisfacción extraprocesal de la pretensión deducida en el proceso laboral sobre la que se articula la cuestión de inconstitucionalidad le hace perder su objeto al ser dicha satisfacción uno de los posibles supuestos de extinción de la cuestión de inconstitucionalidad (STC 83/2015) [FJ 3].</w:t>
      </w:r>
    </w:p>
    <w:p w:rsidR="00AC56D6" w:rsidRDefault="00AC56D6" w:rsidP="00AC56D6">
      <w:pPr>
        <w:pStyle w:val="Extracto"/>
      </w:pPr>
    </w:p>
    <w:p w:rsidR="00AC56D6" w:rsidRDefault="00AC56D6" w:rsidP="00AC56D6">
      <w:pPr>
        <w:pStyle w:val="Extracto"/>
      </w:pPr>
      <w:r>
        <w:t>2.</w:t>
      </w:r>
      <w:r>
        <w:tab/>
        <w:t>Doctrina sobre las posibles causas de terminación extraordinaria de las cuestiones de inconstitucionalidad por pérdida sobrevenida de objeto (STC 83/2015) [FJ 3].</w:t>
      </w:r>
    </w:p>
    <w:p w:rsidR="00AC56D6" w:rsidRDefault="00AC56D6" w:rsidP="00AC56D6">
      <w:pPr>
        <w:pStyle w:val="Extracto"/>
      </w:pPr>
    </w:p>
    <w:p w:rsidR="00AC56D6" w:rsidRDefault="00AC56D6" w:rsidP="00AC56D6">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5370-2013 promovida por el Juzgado de lo Contencioso-Administrativo núm. 1 de Mérida, en relación con los arts. 2.1 y 2.2.2.1 del Real Decreto-ley 20/2012, de 13 de julio, de medidas para garantizar la estabilidad presupuestaria y de fomento de la competitividad. Ha comparecido y formulado alegaciones el Abogado del Estado. Ha intervenido el Fiscal General del Estado. Ha sido Ponente el Presidente don Francisco Pérez de los Cobos Orihuel, quien expresa el parecer del Tribunal.</w:t>
      </w:r>
    </w:p>
    <w:p w:rsidR="00AC56D6" w:rsidRDefault="00AC56D6" w:rsidP="00AC56D6">
      <w:pPr>
        <w:pStyle w:val="TextoNormal"/>
      </w:pPr>
    </w:p>
    <w:p w:rsidR="00AC56D6" w:rsidRDefault="00AC56D6" w:rsidP="00AC56D6">
      <w:pPr>
        <w:pStyle w:val="TextoNormalNegritaCentrado"/>
        <w:keepNext/>
      </w:pPr>
      <w:r>
        <w:lastRenderedPageBreak/>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23 de septiembre de 2013 tuvo entrada en el Registro General de este Tribunal un oficio del Juzgado de lo Contencioso-Administrativo núm. 1 de Mérida al que se acompaña, junto con el testimonio del procedimiento abreviado núm. 260-2013, el Auto de 10 de septiembre de 2013, por el que se acuerda plantear cuestión de inconstitucionalidad en relación con los arts. 2.1 y 2.2.2.1 del Real Decreto-ley 20/2012, de 13 de julio, de medidas para garantizar la estabilidad presupuestaria y de fomento de la competitividad, en su aplicación a los funcionarios públicos, por posible lesión del art. 9.3 CE, sobre el principio de irretroactividad de disposiciones restrictivas de derechos individuales, en relación con el art. 33.3 CE.</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procesales de la cuestión de inconstitucionalidad planteada son, sucintamente expuestos, los siguientes:</w:t>
      </w:r>
    </w:p>
    <w:p w:rsidR="00AC56D6" w:rsidRDefault="00AC56D6" w:rsidP="00AC56D6">
      <w:pPr>
        <w:pStyle w:val="TextoNormal"/>
      </w:pPr>
    </w:p>
    <w:p w:rsidR="00AC56D6" w:rsidRDefault="00AC56D6" w:rsidP="00AC56D6">
      <w:pPr>
        <w:pStyle w:val="TextoNormal"/>
      </w:pPr>
      <w:r>
        <w:t>a) Un funcionario de carrera del cuerpo de profesores de enseñanza secundaria interpuso recurso contencioso-administrativo contra la resolución de la Dirección General de Personal Docente de la Consejería de Educación de la Junta de Extremadura por la que se desestima el recurso de reposición formulado contra la denegación de su petición de abono de la paga extraordinaria de diciembre de 2012, suprimida en virtud del art. 2 del Real Decreto-ley 20/2012. En su demanda se solicita se condene a la demandada a dejar sin efecto la reducción de la paga extraordinaria de diciembre o, subsidiariamente, la reducción de los complementos salariales autonómicos de dicha paga, o cuando menos, de la parte proporcional generada desde el 1 de junio hasta el 15 de julio.</w:t>
      </w:r>
    </w:p>
    <w:p w:rsidR="00AC56D6" w:rsidRDefault="00AC56D6" w:rsidP="00AC56D6">
      <w:pPr>
        <w:pStyle w:val="TextoNormal"/>
      </w:pPr>
    </w:p>
    <w:p w:rsidR="00AC56D6" w:rsidRDefault="00AC56D6" w:rsidP="00AC56D6">
      <w:pPr>
        <w:pStyle w:val="TextoNormal"/>
      </w:pPr>
      <w:r>
        <w:t>b) Concluso el procedimiento y dentro del plazo para dictar Sentencia, el órgano judicial dictó providencia de 15 de julio de 2013 por la que acordó oír a las partes y al Ministerio Fiscal para que alegasen sobre la pertinencia de plantear cuestión de inconstitucionalidad en relación con los arts. 2.1 y 2.2.2.1 del Real Decreto-ley 20/2012, de 13 de julio, de medidas para garantizar la estabilidad presupuestaria y de fomento de la competitividad, por posible vulneración de los arts. 9.3 y 33.3 CE, por expropiación de una parte de la paga extraordinaria que se pudiera haber devengado entre los días 1 de junio de 2012 y 14 de julio de 2012, fecha anterior a la entrada en vigor del Real Decreto-ley 20/2012, “mediante una aplicación retroactiva de la norma restrictiva de derechos y con vulneración del principio de seguridad jurídica”.</w:t>
      </w:r>
    </w:p>
    <w:p w:rsidR="00AC56D6" w:rsidRDefault="00AC56D6" w:rsidP="00AC56D6">
      <w:pPr>
        <w:pStyle w:val="TextoNormal"/>
      </w:pPr>
    </w:p>
    <w:p w:rsidR="00AC56D6" w:rsidRDefault="00AC56D6" w:rsidP="00AC56D6">
      <w:pPr>
        <w:pStyle w:val="TextoNormal"/>
      </w:pPr>
      <w:r>
        <w:t>El Ministerio Fiscal y la parte actora consideraron procedente el planteamiento de la cuestión. La Letrada de la Junta de Extremadura se manifestó en contra del planteamiento de la cuestión.</w:t>
      </w:r>
    </w:p>
    <w:p w:rsidR="00AC56D6" w:rsidRDefault="00AC56D6" w:rsidP="00AC56D6">
      <w:pPr>
        <w:pStyle w:val="TextoNormal"/>
      </w:pPr>
    </w:p>
    <w:p w:rsidR="00AC56D6" w:rsidRDefault="00AC56D6" w:rsidP="00AC56D6">
      <w:pPr>
        <w:pStyle w:val="TextoNormal"/>
      </w:pPr>
      <w:r w:rsidRPr="00AC56D6">
        <w:rPr>
          <w:rStyle w:val="NumeroAFNegritaCaracter"/>
        </w:rPr>
        <w:t>3</w:t>
      </w:r>
      <w:r>
        <w:t>. Por Auto de 10 de septiembre de 2013, el Juzgado de lo Contencioso-Administrativo núm. 1 de Mérida acordó plantear la presente cuestión de inconstitucionalidad respecto a los arts. 2.1 y 2.2.2.1 del Real Decreto-ley 20/2012. Del análisis de su contenido interesa destacar los siguientes puntos.</w:t>
      </w:r>
    </w:p>
    <w:p w:rsidR="00AC56D6" w:rsidRDefault="00AC56D6" w:rsidP="00AC56D6">
      <w:pPr>
        <w:pStyle w:val="TextoNormal"/>
      </w:pPr>
    </w:p>
    <w:p w:rsidR="00AC56D6" w:rsidRDefault="00AC56D6" w:rsidP="00AC56D6">
      <w:pPr>
        <w:pStyle w:val="TextoNormal"/>
      </w:pPr>
      <w:r>
        <w:t xml:space="preserve">a) Tras exponer los antecedentes de hecho de la presente cuestión y el cumplimiento del trámite de audiencia previsto en el art. 35 de la Ley Orgánica del Tribunal Constitucional </w:t>
      </w:r>
      <w:r>
        <w:lastRenderedPageBreak/>
        <w:t xml:space="preserve">(en adelante, LOTC), el órgano judicial transcribe las normas de cuya constitucionalidad duda en relación con el </w:t>
      </w:r>
      <w:r w:rsidRPr="00AC56D6">
        <w:rPr>
          <w:i/>
        </w:rPr>
        <w:t>petitum</w:t>
      </w:r>
      <w:r>
        <w:t xml:space="preserve"> subsidiario de la demanda relativo a la petición de abono de la parte de paga extraordinaria que va del 1 de junio al 14 de julio de 2012; y ello por entender que, al entrar en vigor el día 15 de julio de 2012 y suprimir la parte de la paga extraordinaria correspondiente al citado período (1 de junio a 14 de julio de 2012), podría suponer una aplicación retroactiva de una norma restrictiva de los derechos retributivos del funcionario recurrente, lo que estaría prohibido por el art. 9.3 CE, suponiendo, de hecho, una expropiación del salario —en concreto, de dicha parte de paga extraordinaria—, lo que vendría a suponer una vulneración del derecho </w:t>
      </w:r>
      <w:r w:rsidRPr="00AC56D6">
        <w:rPr>
          <w:i/>
        </w:rPr>
        <w:t>ex</w:t>
      </w:r>
      <w:r>
        <w:t xml:space="preserve"> art. 33.3 CE.</w:t>
      </w:r>
    </w:p>
    <w:p w:rsidR="00AC56D6" w:rsidRDefault="00AC56D6" w:rsidP="00AC56D6">
      <w:pPr>
        <w:pStyle w:val="TextoNormal"/>
      </w:pPr>
    </w:p>
    <w:p w:rsidR="00AC56D6" w:rsidRDefault="00AC56D6" w:rsidP="00AC56D6">
      <w:pPr>
        <w:pStyle w:val="TextoNormal"/>
      </w:pPr>
      <w:r>
        <w:t>b) Señala al respecto que la paga se hubiera abonado, de no haberse suprimido, el día 1 de diciembre de 2012 por referencia al trabajo de los seis meses anteriores (art. 17 de la Ley 1/2012, de 24 de enero, de presupuestos generales de la Comunidad Autónoma de Extremadura para 2012). Con cita de la doctrina del ATC 180/2011, de 13 de diciembre, el órgano judicial considera que la supresión de la parte proporcional de la paga extra referida al período de 1 de junio a 14 de julio de 2012 (día anterior a la entrada en vigor del Real Decreto-ley 20/2012) podría suponer la indebida aplicación retroactiva de las normas citadas de dicho Real Decreto-ley, restringiendo derechos económicos del funcionario recurrente, que se vería expropiado de la parte proporcional del salario devengado durante el indicado período trabajado (de 1 de junio a 14 de julio de 2012). Por tanto, según el órgano judicial, al haberse suprimido la paga extra en cuestión en su integridad se podría estar consagrando una expropiación de los derechos económicos del funcionario vulneradora del art. 33.3 CE, y todo ello como consecuencia de una aplicación retroactiva de una norma restrictiva de derechos salariales, algo prohibido por el art. 9.3 CE.</w:t>
      </w:r>
    </w:p>
    <w:p w:rsidR="00AC56D6" w:rsidRDefault="00AC56D6" w:rsidP="00AC56D6">
      <w:pPr>
        <w:pStyle w:val="TextoNormal"/>
      </w:pPr>
    </w:p>
    <w:p w:rsidR="00AC56D6" w:rsidRDefault="00AC56D6" w:rsidP="00AC56D6">
      <w:pPr>
        <w:pStyle w:val="TextoNormal"/>
      </w:pPr>
      <w:r>
        <w:t>c) Finalmente, el Auto exterioriza los debidos juicios de aplicabilidad y relevancia, indicando que los preceptos cuestionados son directamente aplicables al caso, pues sirven de base para suprimir la totalidad de la paga extra, especialmente la parte generada en el período 1 de junio al 14 de julio de 2012, por lo que su validez hace depender el fallo del recurso.</w:t>
      </w:r>
    </w:p>
    <w:p w:rsidR="00AC56D6" w:rsidRDefault="00AC56D6" w:rsidP="00AC56D6">
      <w:pPr>
        <w:pStyle w:val="TextoNormal"/>
      </w:pPr>
    </w:p>
    <w:p w:rsidR="00AC56D6" w:rsidRDefault="00AC56D6" w:rsidP="00AC56D6">
      <w:pPr>
        <w:pStyle w:val="TextoNormal"/>
      </w:pPr>
      <w:r w:rsidRPr="00AC56D6">
        <w:rPr>
          <w:rStyle w:val="NumeroAFNegritaCaracter"/>
        </w:rPr>
        <w:t>4</w:t>
      </w:r>
      <w:r>
        <w:t>. El Pleno de este Tribunal acordó admitir a trámite la cuestión mediante providencia de 22 de octubre de 2013; deferir a la Sala Primera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de lo Contencioso-Administrativo núm. 1 de Mérida, a fin de que, de conformidad con lo dispuesto en el art. 35 LOTC, permaneciese suspendido el proceso hasta que este Tribunal resolviese definitivamente la cuestión; y publicar la incoación de la cuestión en el “Boletín Oficial del Estado”, lo que se llevó a efecto en el núm. 262, de 1 de noviembre de 2013. Por diligencia de ordenación de la Secretaría de Justicia del Pleno de 22 de octubre de 2013, se concedió un plazo de quince días a partir de la publicación del referido edicto para que, de conformidad con lo establecido en el art. 37.2 LOTC, quienes fuesen parte en el procedimiento abreviado núm. 260-2013 pudieran personarse ante este Tribunal.</w:t>
      </w:r>
    </w:p>
    <w:p w:rsidR="00AC56D6" w:rsidRDefault="00AC56D6" w:rsidP="00AC56D6">
      <w:pPr>
        <w:pStyle w:val="TextoNormal"/>
      </w:pPr>
    </w:p>
    <w:p w:rsidR="00AC56D6" w:rsidRDefault="00AC56D6" w:rsidP="00AC56D6">
      <w:pPr>
        <w:pStyle w:val="TextoNormal"/>
      </w:pPr>
      <w:r w:rsidRPr="00AC56D6">
        <w:rPr>
          <w:rStyle w:val="NumeroAFNegritaCaracter"/>
        </w:rPr>
        <w:t>5</w:t>
      </w:r>
      <w:r>
        <w:t xml:space="preserve">. Mediante escrito registrado el 31 de octubre de 2013, el Presidente del Congreso de los Diputados comunicó a este Tribunal la decisión de la Mesa de que se diera por personada </w:t>
      </w:r>
      <w:r>
        <w:lastRenderedPageBreak/>
        <w:t>a la Cámara y por ofrecida su colaboración a los efectos del art. 88.1 LOTC, con remisión a la Dirección de Estudios, Análisis y Publicaciones, y a la asesoría jurídica de la Secretaría General.</w:t>
      </w:r>
    </w:p>
    <w:p w:rsidR="00AC56D6" w:rsidRDefault="00AC56D6" w:rsidP="00AC56D6">
      <w:pPr>
        <w:pStyle w:val="TextoNormal"/>
      </w:pPr>
    </w:p>
    <w:p w:rsidR="00AC56D6" w:rsidRDefault="00AC56D6" w:rsidP="00AC56D6">
      <w:pPr>
        <w:pStyle w:val="TextoNormal"/>
      </w:pPr>
      <w:r>
        <w:t>Por escrito registrado el 6 de noviembre de 2013, el Presidente del Senado comunicó a este Tribunal el acuerdo de la Mesa para que se diera por personada a la Cámara y por ofrecida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6</w:t>
      </w:r>
      <w:r>
        <w:t>. Mediante escrito registrado en este Tribunal el 14 de noviembre de 2013, el Abogado del Estado se personó en el presente proceso constitucional y formuló las alegaciones que a continuación se sintetizan.</w:t>
      </w:r>
    </w:p>
    <w:p w:rsidR="00AC56D6" w:rsidRDefault="00AC56D6" w:rsidP="00AC56D6">
      <w:pPr>
        <w:pStyle w:val="TextoNormal"/>
      </w:pPr>
    </w:p>
    <w:p w:rsidR="00AC56D6" w:rsidRDefault="00AC56D6" w:rsidP="00AC56D6">
      <w:pPr>
        <w:pStyle w:val="TextoNormal"/>
      </w:pPr>
      <w:r>
        <w:t>Comienza señalando que el Juzgado no se cuestiona genéricamente la supresión de la paga extra al personal funcionario, sino que tan solo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respeto a su libertad de configuración, el establecimiento de una expresa excepción a la supresión de la paga extraordinaria (la correspondiente a la parte proporcional de los días 1 de junio a 15 de julio de 2012).</w:t>
      </w:r>
    </w:p>
    <w:p w:rsidR="00AC56D6" w:rsidRDefault="00AC56D6" w:rsidP="00AC56D6">
      <w:pPr>
        <w:pStyle w:val="TextoNormal"/>
      </w:pPr>
    </w:p>
    <w:p w:rsidR="00AC56D6" w:rsidRDefault="00AC56D6" w:rsidP="00AC56D6">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uno de los principales componentes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AC56D6" w:rsidRDefault="00AC56D6" w:rsidP="00AC56D6">
      <w:pPr>
        <w:pStyle w:val="TextoNormal"/>
      </w:pPr>
    </w:p>
    <w:p w:rsidR="00AC56D6" w:rsidRDefault="00AC56D6" w:rsidP="00AC56D6">
      <w:pPr>
        <w:pStyle w:val="TextoNormal"/>
      </w:pPr>
      <w: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w:t>
      </w:r>
      <w:r>
        <w:lastRenderedPageBreak/>
        <w:t>consolidado, asumido e integrado en el patrimonio de los trabajadores cuando entró en vigor” el Real Decreto-ley 20/2012, o si, por el contrario, se trataba de una expectativa de derecho o de un derecho futuro o condicionado.</w:t>
      </w:r>
    </w:p>
    <w:p w:rsidR="00AC56D6" w:rsidRDefault="00AC56D6" w:rsidP="00AC56D6">
      <w:pPr>
        <w:pStyle w:val="TextoNormal"/>
      </w:pPr>
    </w:p>
    <w:p w:rsidR="00AC56D6" w:rsidRDefault="00AC56D6" w:rsidP="00AC56D6">
      <w:pPr>
        <w:pStyle w:val="TextoNormal"/>
      </w:pPr>
      <w:r>
        <w:t>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Recuerda asimismo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en el ámbito de la Administración General del Estado.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00AC56D6" w:rsidRDefault="00AC56D6" w:rsidP="00AC56D6">
      <w:pPr>
        <w:pStyle w:val="TextoNormal"/>
      </w:pPr>
    </w:p>
    <w:p w:rsidR="00AC56D6" w:rsidRDefault="00AC56D6" w:rsidP="00AC56D6">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general”.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w:t>
      </w:r>
    </w:p>
    <w:p w:rsidR="00AC56D6" w:rsidRDefault="00AC56D6" w:rsidP="00AC56D6">
      <w:pPr>
        <w:pStyle w:val="TextoNormal"/>
      </w:pPr>
    </w:p>
    <w:p w:rsidR="00AC56D6" w:rsidRDefault="00AC56D6" w:rsidP="00AC56D6">
      <w:pPr>
        <w:pStyle w:val="TextoNormal"/>
      </w:pPr>
      <w:r>
        <w:t>Por todo ello, se interesa la desestimación de la cuestión.</w:t>
      </w:r>
    </w:p>
    <w:p w:rsidR="00AC56D6" w:rsidRDefault="00AC56D6" w:rsidP="00AC56D6">
      <w:pPr>
        <w:pStyle w:val="TextoNormal"/>
      </w:pPr>
    </w:p>
    <w:p w:rsidR="00AC56D6" w:rsidRDefault="00AC56D6" w:rsidP="00AC56D6">
      <w:pPr>
        <w:pStyle w:val="TextoNormal"/>
      </w:pPr>
      <w:r w:rsidRPr="00AC56D6">
        <w:rPr>
          <w:rStyle w:val="NumeroAFNegritaCaracter"/>
        </w:rPr>
        <w:t>7</w:t>
      </w:r>
      <w:r>
        <w:t>. El Fiscal General del Estado presentó escrito de alegaciones ante este Tribunal el 25 de noviembre de 2013, interesando la declaración de que el art. 2, apartados 2.1 y 2.2.1 del Real Decreto-ley 20/2012 son contrarios a los arts. 9.3 y 33.3 CE.</w:t>
      </w:r>
    </w:p>
    <w:p w:rsidR="00AC56D6" w:rsidRDefault="00AC56D6" w:rsidP="00AC56D6">
      <w:pPr>
        <w:pStyle w:val="TextoNormal"/>
      </w:pPr>
    </w:p>
    <w:p w:rsidR="00AC56D6" w:rsidRDefault="00AC56D6" w:rsidP="00AC56D6">
      <w:pPr>
        <w:pStyle w:val="TextoNormal"/>
      </w:pPr>
      <w:r>
        <w:t>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AC56D6" w:rsidRDefault="00AC56D6" w:rsidP="00AC56D6">
      <w:pPr>
        <w:pStyle w:val="TextoNormal"/>
      </w:pPr>
    </w:p>
    <w:p w:rsidR="00AC56D6" w:rsidRDefault="00AC56D6" w:rsidP="00AC56D6">
      <w:pPr>
        <w:pStyle w:val="TextoNormal"/>
      </w:pPr>
      <w: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la cuantía de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w:t>
      </w:r>
      <w:r w:rsidRPr="00AC56D6">
        <w:rPr>
          <w:i/>
        </w:rPr>
        <w:t>N.K.M. v. Hungría</w:t>
      </w:r>
      <w:r>
        <w:t xml:space="preserve">), que declaró la vulneración del art. 1 del protocolo núm. 1 anexo al convenio por un acto de </w:t>
      </w:r>
      <w:r>
        <w:lastRenderedPageBreak/>
        <w:t>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t>El Fiscal General del Estado concluye sus alegaciones precisando que en el Auto de planteamiento no se cuestiona todo el art. 2 del Real Decreto-ley 20/2012, sino en concreto sus apartados 2.1 y 2.2.1, ya que éstos son los que resultan aplicables para resolver el pleito sometido a su conocimiento y relevante en cuanto el recurso del proceso subyacente se refiere exclusivamente al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 en tanto, con respecto a los funcionarios, la paga extraordinaria correspondiente al mes de diciembre se comienza a devengar en la fecha de 1 de junio de tal período (art. 33 Ley 33/1987).</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9 de junio de 2015 la Sala Primera acordó, de conformidad con lo dispuesto en el art. 88.1 LOTC, dirigir atenta comunicación a la Consejería de Educación y Cultura de la Junta de Extremadura, a fin de que indique a este Tribunal si, en atención a lo previsto en la disposición adicional duodécima de la Ley 36/2014, de presupuestos generales del Estado para el año 2015, o por cualquier otra circunstancia, ha satisfecho al funcionario de carrera del cuerpo de profesores de enseñanza secundaria cuya demanda ha dado lugar al planteamiento de la presente cuestión de inconstitucionalidad alguna cantidad en concepto de recuperación de la parte proporcional de la paga extraordinaria, de la paga adi</w:t>
      </w:r>
      <w:r>
        <w:lastRenderedPageBreak/>
        <w:t>cional de complemento específico o de las pagas adicionales equivalentes, todas ellas correspondientes al mes de diciembre de 2012; especificando, en su caso, el número de días de la citada paga a los que corresponden las cuantías abonadas.</w:t>
      </w:r>
    </w:p>
    <w:p w:rsidR="00AC56D6" w:rsidRDefault="00AC56D6" w:rsidP="00AC56D6">
      <w:pPr>
        <w:pStyle w:val="TextoNormal"/>
      </w:pPr>
    </w:p>
    <w:p w:rsidR="00AC56D6" w:rsidRDefault="00AC56D6" w:rsidP="00AC56D6">
      <w:pPr>
        <w:pStyle w:val="TextoNormal"/>
      </w:pPr>
      <w:r w:rsidRPr="00AC56D6">
        <w:rPr>
          <w:rStyle w:val="NumeroAFNegritaCaracter"/>
        </w:rPr>
        <w:t>9</w:t>
      </w:r>
      <w:r>
        <w:t>. En contestación a dicha providencia el Secretario General de la Consejería de Educación y Cultura de la Junta de Extremadura remitió a este Tribunal, con fecha 16 de julio de 2015, certificado de la jefa de servicio de nóminas de personal docente de la Consejería de Educación y Cultura en el que se hace constar que el citado funcionario del cuerpo de profesores de enseñanza secundaria “sí ha percibido la prorrata retributiva de los 44 días devengados de la paga extraordinaria correspondiente al mes de diciembre de 2012, así como de la paga adicional del complemento específico o pagas adicionales equivalentes, que fueron suprimidas por imposición directa del Real Decreto-ley 20/2012, de 13 de julio, de medidas para garantizar la estabilidad presupuestaria y de fomento de la competitividad”. Al respecto señala que dicha cuantía se ha acabado de percibir en la nómina de enero de 2015.</w:t>
      </w:r>
    </w:p>
    <w:p w:rsidR="00AC56D6" w:rsidRDefault="00AC56D6" w:rsidP="00AC56D6">
      <w:pPr>
        <w:pStyle w:val="TextoNormal"/>
      </w:pPr>
    </w:p>
    <w:p w:rsidR="00AC56D6" w:rsidRDefault="00AC56D6" w:rsidP="00AC56D6">
      <w:pPr>
        <w:pStyle w:val="TextoNormal"/>
      </w:pPr>
      <w:r w:rsidRPr="00AC56D6">
        <w:rPr>
          <w:rStyle w:val="NumeroAFNegritaCaracter"/>
        </w:rPr>
        <w:t>10</w:t>
      </w:r>
      <w:r>
        <w:t>. Por providencia de 17 de septiembre de 2015 se señaló para deliberación y votación de la presente Sentencia el día 21 de dicho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Juzgado de lo Contencioso-Administrativo núm. 1 de Mérida plantea cuestión de inconstitucionalidad respecto de los arts. 2.1 y 2.2.2.1 del Real Decreto-ley 20/2012, de 13 de julio, de medidas para garantizar la estabilidad presupuestaria y de fomento de la competitividad, preceptos que, en lo que aquí importa, disponen para el personal funcionario la supresión de la paga extraordinaria y de la paga adicional de complemento específico o pagas adicionales equivalentes del mes de diciembre de 2012. En síntesis, el Juzgado entiende que los citados artículos, en su aplicación al personal funcionario, podrían estar consagrando una expropiación de los derechos económicos del funcionario recurrente vulneradora del art. 33.3 CE y pueden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 de junio al 14 de julio de 2012).</w:t>
      </w:r>
    </w:p>
    <w:p w:rsidR="00AC56D6" w:rsidRDefault="00AC56D6" w:rsidP="00AC56D6">
      <w:pPr>
        <w:pStyle w:val="TextoNormal"/>
      </w:pPr>
    </w:p>
    <w:p w:rsidR="00AC56D6" w:rsidRDefault="00AC56D6" w:rsidP="00AC56D6">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al análisis de la cuestión planteada conviene realizar una serie de precisiones para acotar debidamente el objeto de la misma y el alcance de nuestro enjuiciamiento.</w:t>
      </w:r>
    </w:p>
    <w:p w:rsidR="00AC56D6" w:rsidRDefault="00AC56D6" w:rsidP="00AC56D6">
      <w:pPr>
        <w:pStyle w:val="TextoNormal"/>
      </w:pPr>
    </w:p>
    <w:p w:rsidR="00AC56D6" w:rsidRDefault="00AC56D6" w:rsidP="00AC56D6">
      <w:pPr>
        <w:pStyle w:val="TextoNormal"/>
      </w:pPr>
      <w:r>
        <w:t xml:space="preserve">a) Así, en primer lugar, resulta obligado advertir que el Juzgado de lo Contencioso-Administrativo núm. 1 de Mérida cuestiona los preceptos señalados en su aplicación a los funcionarios públicos. Ello se conecta lógicamente con el juicio de relevancia, correctamente </w:t>
      </w:r>
      <w:r>
        <w:lastRenderedPageBreak/>
        <w:t>expresado por el órgano judicial, pues la cuestión de inconstitucionalidad trae causa de un proceso promovido por un funcionario de carrera del cuerpo de profesores de enseñanza secundaria con motivo de la supresión por el Gobierno de Extremadura, por aplicación de las previsiones contenidas en el Real Decreto-ley 20/2012, de la paga o gratificación extraordinaria de diciembre de 2012 a dicho funcionario, proceso en el que lo pretendido por el demandante con carácter subsidiario a la pretensión principal (referida a que se deje sin efecto la supresión de la paga extra de diciembre de 2012) es justamente que se declare su derecho a percibir la parte proporcional de la paga extra de diciembre de 2012 generada desde el 1 de junio hasta el 15 de julio de 2012.</w:t>
      </w:r>
    </w:p>
    <w:p w:rsidR="00AC56D6" w:rsidRDefault="00AC56D6" w:rsidP="00AC56D6">
      <w:pPr>
        <w:pStyle w:val="TextoNormal"/>
      </w:pPr>
    </w:p>
    <w:p w:rsidR="00AC56D6" w:rsidRDefault="00AC56D6" w:rsidP="00AC56D6">
      <w:pPr>
        <w:pStyle w:val="TextoNormal"/>
      </w:pPr>
      <w:r>
        <w:t xml:space="preserve">b) Por otra parte, debe tenerse en cuenta que no se cuestiona por el Juzgado de lo Contencioso-Administrativo núm. 1 de Mérida la medida de supresión de la paga extraordinaria de diciembre de 2012 en sí misma considerada (que es la pretensión principal que se deduce por el demandante en el proceso </w:t>
      </w:r>
      <w:r w:rsidRPr="00AC56D6">
        <w:rPr>
          <w:i/>
        </w:rPr>
        <w:t>a quo</w:t>
      </w:r>
      <w:r>
        <w:t xml:space="preserve">, como se ha dicho), sino sólo en cuanto su aplicación haya podido suponer la infracción del principio de irretroactividad establecido en el 9.3 CE en relación con el art. 33.3 CE, al no contemplar excepción alguna respecto de las cuantías que se entienden ya devengadas de dicha paga extra (en concreto, 44 días correspondientes a los servicios prestados entre el 1 de junio de 2012 y el 14 de julio de 2012) a la fecha de entrada en vigor del Real Decreto-ley 20/2012 (que tuvo lugar el 15 de julio de 2012, conforme a su disposición final decimoquinta). A esta concreta duda de constitucionalidad (planteada a partir de la pretensión subsidiaria en el proceso </w:t>
      </w:r>
      <w:r w:rsidRPr="00AC56D6">
        <w:rPr>
          <w:i/>
        </w:rPr>
        <w:t>a quo</w:t>
      </w:r>
      <w:r>
        <w:t>) deberá, pues, ceñirse nuestro enjuiciamiento.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La disposición adicional duodécima de la Ley 36/2014, de 26 de diciembre, de presupuestos generales del Estado para 2015, bajo el epígrafe “Recuperación de la paga extraordinaria y adicional del mes de diciembre de 2012”, establece,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00AC56D6" w:rsidRDefault="00AC56D6" w:rsidP="00AC56D6">
      <w:pPr>
        <w:pStyle w:val="TextoNormal"/>
      </w:pPr>
    </w:p>
    <w:p w:rsidR="00AC56D6" w:rsidRDefault="00AC56D6" w:rsidP="00AC56D6">
      <w:pPr>
        <w:pStyle w:val="TextoNormal"/>
      </w:pPr>
      <w:r>
        <w:t xml:space="preserve">Como consta en los antecedentes de esta resolución, de conformidad con lo dispuesto en el art. 88.1 de la Ley Orgánica del Tribunal Constitucional, la Sala Primera de este Tribunal dirigió comunicación a la Consejería de Educación y Cultura de la Junta de Extremadura a fin de que indicara a este Tribunal si, en atención a lo dispuesto en la disposición adicional duodécima de la Ley 36/2014, de presupuestos generales del Estado para el año 2015, o por cualquier otra circunstancia, ha satisfecho al funcionario de carrera del cuerpo de profesores de enseñanza secundaria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 En contestación a dicha comunicación, la Consejería de Educación y Cultura de la Junta de Extremadura ha informado a este Tribunal que el funcionario de carrera señalado ha acabado de percibir en la nómina del mes de enero de 2015 la prorrata retributiva de los 44 días devengados de la paga extraordinaria correspondiente al mes de </w:t>
      </w:r>
      <w:r>
        <w:lastRenderedPageBreak/>
        <w:t>diciembre de 2012, así como de la paga adicional del complemento específico o pagas adicionales equivalentes, que fueron suprimidas por imposición directa del Real Decreto-ley 20/2012.</w:t>
      </w:r>
    </w:p>
    <w:p w:rsidR="00AC56D6" w:rsidRDefault="00AC56D6" w:rsidP="00AC56D6">
      <w:pPr>
        <w:pStyle w:val="TextoNormal"/>
      </w:pPr>
    </w:p>
    <w:p w:rsidR="00AC56D6" w:rsidRDefault="00AC56D6" w:rsidP="00AC56D6">
      <w:pPr>
        <w:pStyle w:val="TextoNormal"/>
      </w:pPr>
      <w:r>
        <w:t xml:space="preserve">Como consecuencia del abono de los 44 días devengados de la paga extraordinaria correspondiente al mes de diciembre de 2012, debemos remitirnos a lo dicho recientemente en nuestra STC 83/2015, de 30 de abril, sobre la posible pérdida de objeto de la cuestión de inconstitucionalidad. En concreto, en el fundamento jurídico 3 de la citada STC 83/2015, ya pusimos de relieve la innegable incidencia que tenía la medida contenida en la disposición adicional duodécima de la Ley 36/2014, de presupuestos generales del Estado para 2015, sobre la pretensión deducida en el pleito </w:t>
      </w:r>
      <w:r w:rsidRPr="00AC56D6">
        <w:rPr>
          <w:i/>
        </w:rPr>
        <w:t>a quo</w:t>
      </w:r>
      <w:r>
        <w:t>, “que afecta de modo determinante a la subsistencia del presente proceso constitucional, dada la estrecha vinculación existente entre toda cuestión de inconstitucionalidad y el procedimiento judicial de que dimana”.</w:t>
      </w:r>
    </w:p>
    <w:p w:rsidR="00AC56D6" w:rsidRDefault="00AC56D6" w:rsidP="00AC56D6">
      <w:pPr>
        <w:pStyle w:val="TextoNormal"/>
      </w:pPr>
    </w:p>
    <w:p w:rsidR="00AC56D6" w:rsidRDefault="00AC56D6" w:rsidP="00AC56D6">
      <w:pPr>
        <w:pStyle w:val="TextoNormal"/>
      </w:pPr>
      <w:r>
        <w:t>Pues bien, en la presente cuestión de inconstitucionalidad se plantea si la supresión del derecho de un funcionario de carrera del cuerpo de profesores de enseñanza secundaria a percibir la parte proporcional (en concreto, 44 días) de la paga extra de diciembre de 2012, por entenderse ya devengada al momento de la entrada en vigor del Real Decreto-ley 20/2012, contraviene los arts. 9.3 y 33.3 CE. En esos términos planteada la cuestión es obligado concluir, como hicimos en la STC 83/2015, que “la recuperación por esos trabajadores de la parte proporcional correspondiente a los primeros 44 días de la paga extra de diciembre de 2012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00AC56D6" w:rsidRDefault="00AC56D6" w:rsidP="00AC56D6">
      <w:pPr>
        <w:pStyle w:val="TextoNormal"/>
      </w:pPr>
    </w:p>
    <w:p w:rsidR="00AC56D6" w:rsidRDefault="00AC56D6" w:rsidP="00AC56D6">
      <w:pPr>
        <w:pStyle w:val="TextoNormal"/>
      </w:pPr>
      <w:r>
        <w:t>Conforme a lo expuesto, el abono al funcionario de carrera del cuerpo de profesores de enseñanza secundaria cuya demanda ha dado lugar al planteamiento de la presente cuestión de inconstitucionalidad de la parte correspondiente a 44 días de la paga extraordinaria de diciembre de 2012,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de 14 de abril, FJ 3; y en el mismo sentido AATC 340/2003, de 21 de octubre, FJ único; y 75/2004, de 9 de marzo, FJ único).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Declarar la extinción de la presente cuestión de inconstitucionalidad por desaparición sobrevenida de su objeto.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veintiuno de septiembre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45" w:name="SENTENCIA_2015_189"/>
      <w:r>
        <w:lastRenderedPageBreak/>
        <w:t>SENTENCIA 189/2015, de 21 de septiembre de 2015</w:t>
      </w:r>
    </w:p>
    <w:bookmarkEnd w:id="45"/>
    <w:p w:rsidR="00AC56D6" w:rsidRDefault="00AC56D6" w:rsidP="00AC56D6">
      <w:pPr>
        <w:pStyle w:val="TtuloResolucin"/>
      </w:pPr>
      <w:r>
        <w:t>Sala Primera</w:t>
      </w:r>
    </w:p>
    <w:p w:rsidR="00AC56D6" w:rsidRDefault="00AC56D6" w:rsidP="00AC56D6">
      <w:pPr>
        <w:pStyle w:val="TtuloBOE"/>
      </w:pPr>
      <w:r>
        <w:t>(BOE núm. 260, de 30 de octubre de 2015)</w:t>
      </w:r>
    </w:p>
    <w:p w:rsidR="00AC56D6" w:rsidRDefault="00AC56D6" w:rsidP="00AC56D6">
      <w:pPr>
        <w:pStyle w:val="TextoNormalCentrado"/>
      </w:pPr>
      <w:r>
        <w:t>ECLI:ES:TC:2015:189</w:t>
      </w:r>
    </w:p>
    <w:p w:rsidR="00AC56D6" w:rsidRDefault="00AC56D6" w:rsidP="00AC56D6">
      <w:pPr>
        <w:pStyle w:val="TextoNormalCentrado"/>
      </w:pPr>
    </w:p>
    <w:p w:rsidR="00AC56D6" w:rsidRDefault="00AC56D6" w:rsidP="00AC56D6">
      <w:pPr>
        <w:pStyle w:val="SntesisDescriptiva"/>
      </w:pPr>
      <w:r>
        <w:t>Cuestión de inconstitucionalidad 6038-2013. Planteada por la Sala de lo Social de la Audiencia Nacional en relación con el artículo 2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extinción, por pérdida de objeto, de la cuestión de inconstitucionalidad (STC 83/2015).</w:t>
      </w:r>
    </w:p>
    <w:p w:rsidR="00AC56D6" w:rsidRDefault="00AC56D6" w:rsidP="00AC56D6">
      <w:pPr>
        <w:pStyle w:val="SntesisAnaltica"/>
      </w:pPr>
    </w:p>
    <w:p w:rsidR="00AC56D6" w:rsidRDefault="00AC56D6" w:rsidP="00AC56D6">
      <w:pPr>
        <w:pStyle w:val="Extracto"/>
      </w:pPr>
      <w:r>
        <w:t>1.</w:t>
      </w:r>
      <w:r>
        <w:tab/>
        <w:t>La satisfacción extraprocesal de la pretensión deducida en el proceso laboral sobre la que se articula la cuestión de inconstitucionalidad le hace perder su objeto al ser dicha satisfacción uno de los posibles supuestos de extinción de la cuestión de inconstitucionalidad (STC 83/2015) [FJ 3].</w:t>
      </w:r>
    </w:p>
    <w:p w:rsidR="00AC56D6" w:rsidRDefault="00AC56D6" w:rsidP="00AC56D6">
      <w:pPr>
        <w:pStyle w:val="Extracto"/>
      </w:pPr>
    </w:p>
    <w:p w:rsidR="00AC56D6" w:rsidRDefault="00AC56D6" w:rsidP="00AC56D6">
      <w:pPr>
        <w:pStyle w:val="Extracto"/>
      </w:pPr>
      <w:r>
        <w:t>2.</w:t>
      </w:r>
      <w:r>
        <w:tab/>
        <w:t>Doctrina sobre las posibles causas de terminación extraordinaria de las cuestiones de inconstitucionalidad por pérdida sobrevenida de objeto (STC 83/2015) [FJ 3].</w:t>
      </w:r>
    </w:p>
    <w:p w:rsidR="00AC56D6" w:rsidRDefault="00AC56D6" w:rsidP="00AC56D6">
      <w:pPr>
        <w:pStyle w:val="Extracto"/>
      </w:pPr>
    </w:p>
    <w:p w:rsidR="00AC56D6" w:rsidRDefault="00AC56D6" w:rsidP="00AC56D6">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6038-2013 promovida por la Sala de lo Social de la Audiencia Nacional, en relación con el art. 2 del Real Decreto-ley 20/2012, de 13 de julio, de medidas para garantizar la estabilidad presupuestaria y de fomento de la competitividad. Ha comparecido y formulado alegaciones el Abogado del Estado. Ha comparecido la Procuradora de los Tribunales doña Beatriz González Rivero, en nombre y representación de la entidad Administrador de Infraestructuras Ferroviarias (ADIF). Ha intervenido el Fiscal General del Estado. Ha sido Ponente el Magistrado don Andrés Ollero Tassara,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El 14 de octubre de 2013 se registró en este Tribunal oficio de la Sala de lo Social de la Audiencia Nacional al que se acompañaba, junto al testimonio del correspondiente procedimiento, el Auto de ese mismo órgano judicial de 13 de septiembre de 2013; en él se acordaba plantear cuestión de inconstitucionalidad en relación con el art. 2 del Real Decreto-ley 20/2012, de 13 de julio, de medidas para garantizar la estabilidad presupuestaria y de fomento de la competitividad, convalidado por el Congreso de los Diputados </w:t>
      </w:r>
      <w:r w:rsidRPr="00AC56D6">
        <w:rPr>
          <w:i/>
        </w:rPr>
        <w:t>ex</w:t>
      </w:r>
      <w:r>
        <w:t xml:space="preserve"> art. 86.2 CE en su sesión de 19 de julio de 2012, por posible vulneración del art. 9.3 CE.</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son los siguientes:</w:t>
      </w:r>
    </w:p>
    <w:p w:rsidR="00AC56D6" w:rsidRDefault="00AC56D6" w:rsidP="00AC56D6">
      <w:pPr>
        <w:pStyle w:val="TextoNormal"/>
      </w:pPr>
    </w:p>
    <w:p w:rsidR="00AC56D6" w:rsidRDefault="00AC56D6" w:rsidP="00AC56D6">
      <w:pPr>
        <w:pStyle w:val="TextoNormal"/>
      </w:pPr>
      <w:r>
        <w:t>a) Ante la Sala de lo Social de la Audiencia Nacional se formuló por la Confederación General del Trabajo (CGT), el Sindicato de Circulación Ferroviario (SCF), el Sindicato Ferroviario-Intersindical, la federación de servicios a la ciudadanía de Comisiones Obreras (FSC-CCOO) y la federación estatal de servicios de la Unión General de Trabajadores (UGT), demanda de conflicto colectivo que dio lugar a los autos núm. 192-2013. Las citadas organizaciones sindicales pretendían en su demanda que se declarase que no procedía aplicar a los trabajadores del ente Administrador de Infraestructuras Ferroviarias (ADIF) lo dispuesto en los arts. 2, 3 y 7 del Real Decreto-ley 20/2012, respecto de la supresión de la paga extraordinaria del mes de diciembre de 2012 al personal del sector público y que se reconociese a estos trabajadores el derecho a percibir dicha paga extra o equivalente; subsidiariamente, pretendían que no se descontase de la paga extra de diciembre o equivalente la parte proporcional de la misma ya devengada al momento de la entrada en vigor de dicho Real Decreto-ley (15 de julio de 2012), porque de acuerdo con el art. 9.3 CE no cabría que la supresión opere de modo retroactivo. Las mismas pretensiones se dedujeron en relación con los trabajadores de ADIF respecto de los que, conforme a su régimen específico, la referida supresión retributiva se sustituyó por la reducción de una catorceava parte calculada sobre la cuantía del salario anual, prorrateándose entre las nóminas pendientes de recibir en 2012 a partir de la entrada en vigor del Real Decreto-ley 20/2012 (art. 2.5).</w:t>
      </w:r>
    </w:p>
    <w:p w:rsidR="00AC56D6" w:rsidRDefault="00AC56D6" w:rsidP="00AC56D6">
      <w:pPr>
        <w:pStyle w:val="TextoNormal"/>
      </w:pPr>
    </w:p>
    <w:p w:rsidR="00AC56D6" w:rsidRDefault="00AC56D6" w:rsidP="00AC56D6">
      <w:pPr>
        <w:pStyle w:val="TextoNormal"/>
      </w:pPr>
      <w:r>
        <w:t>b) Concluso el procedimiento y dentro del plazo para dictar sentencia, por providencia de 4 de julio de 2013 la Sala acordó oír a las partes y al Ministerio Fiscal para que alegasen sobre la pertinencia de plantear cuestión de inconstitucionalidad en relación con el art. 2 del Real Decreto-ley 20/2012, por posible vulneración del principio de irretroactividad de las disposiciones restrictivas de derechos individuales (art. 9.3 CE) en la medida en que suprime el derecho de los trabajadores a percibir cuantías de la paga extraordinaria del mes de diciembre de 2012 ya devengadas a la fecha de entrada en vigor de dicho Real Decreto-ley, así como en cuanto que reduce para otros trabajadores en una cantidad calculada sobre la cuantía del salario anual que se viene devengando desde el primer día del año.</w:t>
      </w:r>
    </w:p>
    <w:p w:rsidR="00AC56D6" w:rsidRDefault="00AC56D6" w:rsidP="00AC56D6">
      <w:pPr>
        <w:pStyle w:val="TextoNormal"/>
      </w:pPr>
    </w:p>
    <w:p w:rsidR="00AC56D6" w:rsidRDefault="00AC56D6" w:rsidP="00AC56D6">
      <w:pPr>
        <w:pStyle w:val="TextoNormal"/>
      </w:pPr>
      <w:r>
        <w:t xml:space="preserve">c) El Ministerio Fiscal presentó escrito de alegaciones en el que se afirmaba que el juicio de relevancia estaba correctamente planteado, sin que ello supusiese compartirlo. Por su parte, la Confederación General del Trabajo (CGT), el Sindicato de Circulación Ferroviario (SCF), la federación de servicios a la ciudadanía de Comisiones Obreras (FSC-CCOO) y la </w:t>
      </w:r>
      <w:r>
        <w:lastRenderedPageBreak/>
        <w:t>federación estatal de servicios de la Unión General de Trabajadores (UGT), estimaron pertinente el planteamiento de la cuestión de inconstitucionalidad. La representación del Administrador de Infraestructuras Ferroviarias (ADIF) se opuso al planteamiento de la cuestión por entender que el art. 2 del Real Decreto-ley 20/2012 es plenamente conforme con la Constitución.</w:t>
      </w:r>
    </w:p>
    <w:p w:rsidR="00AC56D6" w:rsidRDefault="00AC56D6" w:rsidP="00AC56D6">
      <w:pPr>
        <w:pStyle w:val="TextoNormal"/>
      </w:pPr>
    </w:p>
    <w:p w:rsidR="00AC56D6" w:rsidRDefault="00AC56D6" w:rsidP="00AC56D6">
      <w:pPr>
        <w:pStyle w:val="TextoNormal"/>
      </w:pPr>
      <w:r>
        <w:t>d) Por Auto de 13 de septiembre de 2013, la Sala de lo Social de la Audiencia Nacional acordó plantear cuestión de inconstitucionalidad en relación con el art. 2 del Real Decreto-ley 20/2012.</w:t>
      </w:r>
    </w:p>
    <w:p w:rsidR="00AC56D6" w:rsidRDefault="00AC56D6" w:rsidP="00AC56D6">
      <w:pPr>
        <w:pStyle w:val="TextoNormal"/>
      </w:pPr>
    </w:p>
    <w:p w:rsidR="00AC56D6" w:rsidRDefault="00AC56D6" w:rsidP="00AC56D6">
      <w:pPr>
        <w:pStyle w:val="TextoNormal"/>
      </w:pPr>
      <w:r w:rsidRPr="00AC56D6">
        <w:rPr>
          <w:rStyle w:val="NumeroAFNegritaCaracter"/>
        </w:rPr>
        <w:t>3</w:t>
      </w:r>
      <w:r>
        <w:t>. En el Auto de 13 de septiembre de 2013 la Sala de lo Social de la Audiencia Nacional considera que el art. 2 del Real Decreto-ley 20/2012 podría vulnerar el principio de irretroactividad de las disposiciones sancionadoras no favorables o restrictivas de derechos individuales, que garantiza el art. 9.3 CE, con fundamento en los razonamientos que a continuación se resumen:</w:t>
      </w:r>
    </w:p>
    <w:p w:rsidR="00AC56D6" w:rsidRDefault="00AC56D6" w:rsidP="00AC56D6">
      <w:pPr>
        <w:pStyle w:val="TextoNormal"/>
      </w:pPr>
    </w:p>
    <w:p w:rsidR="00AC56D6" w:rsidRDefault="00AC56D6" w:rsidP="00AC56D6">
      <w:pPr>
        <w:pStyle w:val="TextoNormal"/>
      </w:pPr>
      <w:r>
        <w:t>a) Tras una síntesis de los antecedentes de hecho y la transcripción del art. 2 del Real Decreto-ley 20/2012, se señala que está claro que tal disposición suprime la percepción de la paga extraordinaria del mes de diciembre del año 2012 para el personal laboral del sector público y asimismo que establece que en aquellos casos en que no se contemple expresamente la percepción de pagas extras o se perciban más de dos al año (lo que acontece con parte de los trabajadores de ADIF) las retribuciones anuales totales se reducen en una catorceava parte. Esa supresión y reducción retributiva se hace efectiva a partir de la entrada en vigor del Real Decreto-ley 20/2012 (15 de julio de 2012), sin precisar excepciones por derechos ya devengados. Estima la Sala que el Gobierno es plenamente consciente de la posibilidad de que haya comenzado a devengarse la paga extraordinaria o equivalente cuya percepción se suprime, en tanto que en el apartado 1 del art. 2 del Real Decreto-ley 20/2012 se indica que la medida afecta a las cuantías “que corresponda percibir”, en tiempo verbal no condicional, admitiendo que el derecho ya se habría generado, no obstante lo cual cierra la puerta a su abono.</w:t>
      </w:r>
    </w:p>
    <w:p w:rsidR="00AC56D6" w:rsidRDefault="00AC56D6" w:rsidP="00AC56D6">
      <w:pPr>
        <w:pStyle w:val="TextoNormal"/>
      </w:pPr>
    </w:p>
    <w:p w:rsidR="00AC56D6" w:rsidRDefault="00AC56D6" w:rsidP="00AC56D6">
      <w:pPr>
        <w:pStyle w:val="TextoNormal"/>
      </w:pPr>
      <w:r>
        <w:t>Desde esa perspectiva, entiende la Sala que no es posible interpretar el art. 2 del Real Decreto-ley 20/2012 considerando que cabe abonar aquella parte de la paga extraordinaria de diciembre que ya se hubiera devengado a la fecha de la entrada en vigor de la citada norma. Así, “por mucho que ya se hubiera devengado la parte proporcional a catorce días (desde el 1 de julio al 14)”, la aplicación del citado artículo 2 impediría su abono. Lo mismo acontece con el descuento de la catorceava parte de la retribución anual. Atendiendo a la jurisprudencia de la Sala de lo Social del Tribunal Supremo que se cita, según la cual las pagas extraordinarias son salario diferido y se devengan día a día, entiende la Sala que el art. 2 del Real Decreto-ley 20/2012 podría considerarse contrario al art. 9.3 CE, que garantiza la irretroactividad de las disposiciones restrictivas de derechos individuales y la seguridad jurídica, puesto que se estaría suprimiendo el derecho ya generado a percibir la parte proporcional de la paga extraordinaria devengada antes de la entrada en vigor del Real Decreto-ley 20/2012.</w:t>
      </w:r>
    </w:p>
    <w:p w:rsidR="00AC56D6" w:rsidRDefault="00AC56D6" w:rsidP="00AC56D6">
      <w:pPr>
        <w:pStyle w:val="TextoNormal"/>
      </w:pPr>
    </w:p>
    <w:p w:rsidR="00AC56D6" w:rsidRDefault="00AC56D6" w:rsidP="00AC56D6">
      <w:pPr>
        <w:pStyle w:val="TextoNormal"/>
      </w:pPr>
      <w:r>
        <w:t xml:space="preserve">Expuesto lo que precede, indica la Sala que la norma cuestionada es determinante para el resultado del litigio y no admite una interpretación que la acomode a la Constitución. Una </w:t>
      </w:r>
      <w:r>
        <w:lastRenderedPageBreak/>
        <w:t>de las pretensiones formuladas por los demandantes es, justamente, que se mantenga incólume la percepción de la parte ya devengada de la paga extra de diciembre de 2012, o que no se descuente la catorceava parte de la retribución anual, en su caso, a pesar de lo dispuesto en el art. 2 del Real Decreto-ley 20/2012. Posteriormente se hace referencia a las alegaciones realizadas por las partes y el Ministerio Fiscal en el trámite de audiencia, y se señala que tras ellas subsiste la duda de inconstitucionalidad.</w:t>
      </w:r>
    </w:p>
    <w:p w:rsidR="00AC56D6" w:rsidRDefault="00AC56D6" w:rsidP="00AC56D6">
      <w:pPr>
        <w:pStyle w:val="TextoNormal"/>
      </w:pPr>
    </w:p>
    <w:p w:rsidR="00AC56D6" w:rsidRDefault="00AC56D6" w:rsidP="00AC56D6">
      <w:pPr>
        <w:pStyle w:val="TextoNormal"/>
      </w:pPr>
      <w:r>
        <w:t>b) Seguidamente se refiere la Sala a la doctrina constitucional sobre la prohibición de retroactividad de las disposiciones sancionadoras no favorables o restrictivas de derechos individuales (art. 9.3 CE). Señala que, conforme a dicha doctrina, solo puede afirmarse que una norma es retroactiva a los efectos del citado precepto cuando incide sobre “relaciones consagradas” y afecta a “situaciones agotadas”. El espíritu restrictivo que impregna el art. 9.3 CE queda plasmado en la STC 89/2009, de 20 de abril, que ha aclarado que la mención de ese precepto constitucional a la “restricción de derechos individuales” ha de entenderse referido a las limitaciones introducidas en el ámbito de los derechos fundamentales y de las libertades públicas. A la vista de lo anterior, lo primero que hay que preguntarse es si en este caso estamos ante un derecho individual en el sentido apuntado desde esa consideración restrictiva, lo que entiende la Sala que merece una respuesta positiva. En tal sentido, se prosigue afirmando que los derechos retributivos del personal del sector público pertenecen a la esfera general de protección de la persona consagrados en el art. 35.1 CE, que reconoce el derecho a la remuneración suficiente (lo que, en principio, se correspondería sólo con el salario mínimo interprofesional) y también el derecho al trabajo (una de cuyas notas esenciales es su carácter remunerado). Por su parte el Estatuto de los trabajadores, aprobado por el legislador en cumplimiento del mandato contenido en el art. 35.2 CE, reconoce en su art. 31 el derecho del trabajador a dos gratificaciones extraordinarias al año, una en Navidad y otra en el mes que se determine por convenio colectivo o por acuerdo entre el empresario y los representantes de los trabajadores. A su vez, el art. 27 de la Ley 7/2007, de 12 de abril, del estatuto básico del empleado público, dispone que “las retribuciones del personal laboral se determinarán de acuerdo con la legislación laboral, el convenio colectivo que sea aplicable y el contrato de trabajo, respetando en todo caso lo establecido en el art. 21 del presente Estatuto”; precepto este último —concluye la Sala— que vincula las retribuciones de los funcionarios y del personal laboral del sector público a los límites fijados en las leyes de presupuestos del Estado.</w:t>
      </w:r>
    </w:p>
    <w:p w:rsidR="00AC56D6" w:rsidRDefault="00AC56D6" w:rsidP="00AC56D6">
      <w:pPr>
        <w:pStyle w:val="TextoNormal"/>
      </w:pPr>
    </w:p>
    <w:p w:rsidR="00AC56D6" w:rsidRDefault="00AC56D6" w:rsidP="00AC56D6">
      <w:pPr>
        <w:pStyle w:val="TextoNormal"/>
      </w:pPr>
      <w:r>
        <w:t xml:space="preserve">Partiendo de este enfoque, se señala que el Tribunal Constitucional ha venido admitiendo con naturalidad el encaje en el supuesto de hecho del art. 9.3 CE en el caso de normas que, como la cuestionada, se inspiran en la finalidad de la contención del gasto público mediante la reducción retributiva. En este sentido se citan la STC 330/2005, de 15 de diciembre (en la que se niega que la regulación de la retribución para el personal de una Administración autonómica vulnere el art. 9.3 CE, pero por motivos distintos a su no consideración como derechos individuales a los que alude el precepto) y el ATC 162/2012, de 13 de septiembre (que rechaza que la reducción de las retribuciones impuesta legalmente afecte al art. 9.3 CE, pero no por no tratarse de derechos individuales protegibles sino por no poseer efectos retroactivos al examinarse una regulación </w:t>
      </w:r>
      <w:r w:rsidRPr="00AC56D6">
        <w:rPr>
          <w:i/>
        </w:rPr>
        <w:t>pro futuro</w:t>
      </w:r>
      <w:r>
        <w:t>). A la vista de todo ello, se considera que en el presente caso nos encontraríamos ante derechos individuales amparables por el principio de interdicción de retroactividad (art. 9.3 CE).</w:t>
      </w:r>
    </w:p>
    <w:p w:rsidR="00AC56D6" w:rsidRDefault="00AC56D6" w:rsidP="00AC56D6">
      <w:pPr>
        <w:pStyle w:val="TextoNormal"/>
      </w:pPr>
    </w:p>
    <w:p w:rsidR="00AC56D6" w:rsidRDefault="00AC56D6" w:rsidP="00AC56D6">
      <w:pPr>
        <w:pStyle w:val="TextoNormal"/>
      </w:pPr>
      <w:r>
        <w:lastRenderedPageBreak/>
        <w:t>c) A continuación analiza la Sala si el art. 2 del Real Decreto-ley 20/2012, al establecer la supresión de la paga extraordinaria de diciembre de 2012 para el personal laboral del sector público o, en su caso, el descuento de la catorceava parte del total de la retribución anual, supone una retroactividad prohibida por el art. 9.3 CE; esto es, la que incide sobre los efectos jurídicos ya producidos al amparo de una norma anteriormente vigente. Para ello, considera preciso determinar si el derecho a la paga extraordinaria de diciembre de 2012 o equivalente estaba ya consolidado, asumido e integrado en el patrimonio de los trabajadores cuando entró en vigor el Real Decreto-ley 20/2012 o si, por el contrario, se trataba de una expectativa de derecho, o de un derecho futuro o condicionado.</w:t>
      </w:r>
    </w:p>
    <w:p w:rsidR="00AC56D6" w:rsidRDefault="00AC56D6" w:rsidP="00AC56D6">
      <w:pPr>
        <w:pStyle w:val="TextoNormal"/>
      </w:pPr>
    </w:p>
    <w:p w:rsidR="00AC56D6" w:rsidRDefault="00AC56D6" w:rsidP="00AC56D6">
      <w:pPr>
        <w:pStyle w:val="TextoNormal"/>
      </w:pPr>
      <w:r>
        <w:t>Indica la Sala que, dado que la regulación legal de las pagas extraordinarias no ofrece respuesta a este interrogante (se limita a fijar el momento de su percepción), se ha de tener en cuenta la jurisprudencia de la Sala de lo Social del Tribunal Supremo en unificación de doctrina que se cita, que configura la paga extraordinaria como de devengo diario y de cobro aplazado. Tras ello, se pregunta la Sala si la posible inconstitucionalidad del art. 2 del Real Decreto-ley 20/2012 puede operar tomando como referencia un criterio jurisprudencial y llega a la conclusión de que la configuración normativa del derecho a las pagas extraordinarias se ve complementada por su configuración jurisprudencial, por lo que la respuesta habría de ser afirmativa. Se añade a este respecto que no estamos ante un pronunciamiento aislado de un tribunal menor, sino ante jurisprudencia, que, además, ha sido dictada en unificación de doctrina. Por ello, el criterio jurisprudencial del Tribunal Supremo sobre el devengo diario de las pagas extraordinarias “se alza con valor normativo complementario, salvaguardando la pureza de la ley, de modo que forma una unidad con la misma como parámetro de inconstitucionalidad del art. 2 del Real Decreto-ley 20/2012”.</w:t>
      </w:r>
    </w:p>
    <w:p w:rsidR="00AC56D6" w:rsidRDefault="00AC56D6" w:rsidP="00AC56D6">
      <w:pPr>
        <w:pStyle w:val="TextoNormal"/>
      </w:pPr>
    </w:p>
    <w:p w:rsidR="00AC56D6" w:rsidRDefault="00AC56D6" w:rsidP="00AC56D6">
      <w:pPr>
        <w:pStyle w:val="TextoNormal"/>
      </w:pPr>
      <w:r>
        <w:t>Teniendo en cuenta todo lo anterior, concluye la Sala que “estamos ante un derecho que se genera día a día, incorporándose como tal al acervo patrimonial de los trabajadores”. “En el caso examinado, al ser la paga extra de diciembre de 2012 de devengo semestral a partir del 1 de julio, por disponerlo así el Convenio colectivo de aplicación”, a la fecha de entrada en vigor del Real Decreto-ley 20/2012 “ya se había devengado y generado el derecho a la parte proporcional a catorce días de trabajo”, que sin embargo el art. 2 del Real Decreto-ley 20/2012 suprime, operando con ello “una retroactividad auténtica o de grado máximo”.</w:t>
      </w:r>
    </w:p>
    <w:p w:rsidR="00AC56D6" w:rsidRDefault="00AC56D6" w:rsidP="00AC56D6">
      <w:pPr>
        <w:pStyle w:val="TextoNormal"/>
      </w:pPr>
    </w:p>
    <w:p w:rsidR="00AC56D6" w:rsidRDefault="00AC56D6" w:rsidP="00AC56D6">
      <w:pPr>
        <w:pStyle w:val="TextoNormal"/>
      </w:pPr>
      <w:r>
        <w:t xml:space="preserve">d) Se pregunta a continuación la Sala en su Auto de planteamiento de la cuestión si, aun siendo esa retroactividad de grado máximo, puede resultar justificada por concurrir exigencias cualificadas del bien común que podrían imponerse excepcionalmente (STC 197/1992, de 19 de noviembre). La Abogacía del Estado alegó, en este sentido, la exigencia de unos fuertes ajustes presupuestarios provocados por la situación de crisis económica. Sostiene que la necesidad de reducir el déficit público que inspira la norma cuestionada constituiría ese objetivo de procurar el bien común y proteger el interés general, lo que permitiría exceptuar la interdicción de retroactividad. Discrepa la Sala de esta conclusión, porque considera que la crisis económica podría acaso justificar determinadas medidas restrictivas de derechos individuales como la cuestionada, pero no puede abrir la puerta, sin más, a que esas restricciones operen de modo retroactivo. Entiende la Sala que la excepción a la irretroactividad recogida en la doctrina constitucional debe interpretarse de forma restrictiva y que no cabe extenderla a toda medida de interés general. En otras palabras, estima la Sala que la reducción del déficit público puede justificar muchas medidas; no reúne sin embargo la nota de cualificación absolutamente excepcional que sería necesaria para sacrificar el </w:t>
      </w:r>
      <w:r>
        <w:lastRenderedPageBreak/>
        <w:t>principio constitucional de seguridad jurídica que sustenta la irretroactividad, en aras del bien común. Es el interés general lo que se ataca cuando se niega a quienes han prestado sus servicios al sector público el derecho a percibir el salario correspondiente. Se hace referencia también en el Auto de planteamiento a algunos pronunciamientos del Tribunal Europeo de Derechos Humanos en los que —según la Sala— este Tribunal mantiene una concepción cualificada del “interés general” y descarta que la pretensión de reducir el gasto público, por muy urgente y necesaria que sea, constituya sin más un “bien común”, que abra la puerta a exceptuar los principios constitucionales de irretroactividad y seguridad jurídica, principios que sí cabría identificar, en cambio, con el interés general de los ciudadanos.</w:t>
      </w:r>
    </w:p>
    <w:p w:rsidR="00AC56D6" w:rsidRDefault="00AC56D6" w:rsidP="00AC56D6">
      <w:pPr>
        <w:pStyle w:val="TextoNormal"/>
      </w:pPr>
    </w:p>
    <w:p w:rsidR="00AC56D6" w:rsidRDefault="00AC56D6" w:rsidP="00AC56D6">
      <w:pPr>
        <w:pStyle w:val="TextoNormal"/>
      </w:pPr>
      <w:r>
        <w:t>e) Finalmente, la Sala se plantea la posibilidad de que estemos ante una expropiación legislativa de derechos, pero rechaza tal posibilidad en tanto que la previsión de una hipotética compensación o devolución futura de cantidades en modo alguno resultaría asimilable al justo precio al que alude la Ley de expropiación forzosa. Añade que ni está garantizada, ni es propiamente una devolución, puesto que las cuantías detraídas se transformarían en aportaciones a planes de pensiones o contratos de seguro en los términos que establezca el legislador, sujetas, además, al previo cumplimiento de los objetivos de estabilidad presupuestaria. Por otra parte, el carácter meramente hipotético y condicionado de la devolución de las cantidades detraídas a raíz de la supresión de la paga extraordinaria de diciembre de 2012, “diluye cualquier brizna de proporcionalidad de la compensación que pudiera alegarse para justificar la injerencia retroactiva y se aleja del todo del concepto de expropiación legislativa de derechos”.</w:t>
      </w:r>
    </w:p>
    <w:p w:rsidR="00AC56D6" w:rsidRDefault="00AC56D6" w:rsidP="00AC56D6">
      <w:pPr>
        <w:pStyle w:val="TextoNormal"/>
      </w:pPr>
    </w:p>
    <w:p w:rsidR="00AC56D6" w:rsidRDefault="00AC56D6" w:rsidP="00AC56D6">
      <w:pPr>
        <w:pStyle w:val="TextoNormal"/>
      </w:pPr>
      <w:r>
        <w:t>f) Añade la Sala que en el específico caso de los trabajadores para los que se establece (art. 2.5 del Real Decreto-ley 20/2012) la reducción de retribuciones anuales totales en una catorceava parte, en aquellos casos en que no se contemple expresamente la percepción de pagas extras o se perciban más de dos al año, se plantea también la posibilidad de que la medida afecte a salarios ya devengados a la entrada en vigor del Real Decreto-ley 20/2012, con posible vulneración igualmente del principio de interdicción de retroactividad (art. 9.3 CE).</w:t>
      </w:r>
    </w:p>
    <w:p w:rsidR="00AC56D6" w:rsidRDefault="00AC56D6" w:rsidP="00AC56D6">
      <w:pPr>
        <w:pStyle w:val="TextoNormal"/>
      </w:pPr>
    </w:p>
    <w:p w:rsidR="00AC56D6" w:rsidRDefault="00AC56D6" w:rsidP="00AC56D6">
      <w:pPr>
        <w:pStyle w:val="TextoNormal"/>
      </w:pPr>
      <w:r>
        <w:t>Por todo lo expuesto, la Sala de lo Social de la Audiencia Nacional concluye que el art. 2 del Real Decreto-ley 20/2012, en su aplicación al personal laboral del sector público, ha podido vulnerar el principio de irretroactividad de las disposiciones restrictivas de derechos individuales previsto en el art. 9.3 CE, al no contemplar excepción alguna respecto de las cuantías ya devengadas al momento de la entrada en vigor del Real Decreto-ley 20/2012.</w:t>
      </w:r>
    </w:p>
    <w:p w:rsidR="00AC56D6" w:rsidRDefault="00AC56D6" w:rsidP="00AC56D6">
      <w:pPr>
        <w:pStyle w:val="TextoNormal"/>
      </w:pPr>
    </w:p>
    <w:p w:rsidR="00AC56D6" w:rsidRDefault="00AC56D6" w:rsidP="00AC56D6">
      <w:pPr>
        <w:pStyle w:val="TextoNormal"/>
      </w:pPr>
      <w:r w:rsidRPr="00AC56D6">
        <w:rPr>
          <w:rStyle w:val="NumeroAFNegritaCaracter"/>
        </w:rPr>
        <w:t>4</w:t>
      </w:r>
      <w:r>
        <w:t>. Por providencia de 5 de noviembre de 2013, el Pleno de este Tribunal acordó admitir a trámite la cuestión de inconstitucionalidad, deferir a la Sala Primera el conocimiento de la misma conforme al art. 10.1 c) de la Ley Orgánica del Tribunal Constitucional (LOTC) y dar traslado de la demanda y documentos presentados al Congreso de los Diputados y al Senado, por conducto de sus Presidentes, al Gobierno, a través del Ministro de Justicia, y al Fiscal General del Estado, para que en el improrrogable plazo de quince días pudieran personarse en el procedimiento y formular las alegaciones que estimasen convenientes (art. 37.3 LOTC). Asimismo se ordenó, de un lado, comunicar esa resolución a la Sala de lo Social de la Audiencia Nacional a fin de que, de conformidad con el art. 35.3 LOTC, permaneciese suspendido el proceso hasta que este Tribunal resolviese definitivamente la pre</w:t>
      </w:r>
      <w:r>
        <w:lastRenderedPageBreak/>
        <w:t>sente cuestión; asimismo publicar la incoación de la cuestión en el “Boletín Oficial del Estado”, lo que se llevó a efecto en el núm. 276, de 18 de noviembre de 2013. Por diligencia de ordenación de la Secretaría de Justicia del Pleno de 5 de noviembre de 2013, se concedió un plazo de quince días a partir de la publicación del referido edicto para que, de conformidad con lo establecido en el art. 37.2 LOTC, quienes fuesen parte en el procedimiento núm. 192-2013 seguido ante la Sala de lo Social de la Audiencia Nacional pudieran personarse ante este Tribunal.</w:t>
      </w:r>
    </w:p>
    <w:p w:rsidR="00AC56D6" w:rsidRDefault="00AC56D6" w:rsidP="00AC56D6">
      <w:pPr>
        <w:pStyle w:val="TextoNormal"/>
      </w:pPr>
    </w:p>
    <w:p w:rsidR="00AC56D6" w:rsidRDefault="00AC56D6" w:rsidP="00AC56D6">
      <w:pPr>
        <w:pStyle w:val="TextoNormal"/>
      </w:pPr>
      <w:r w:rsidRPr="00AC56D6">
        <w:rPr>
          <w:rStyle w:val="NumeroAFNegritaCaracter"/>
        </w:rPr>
        <w:t>5</w:t>
      </w:r>
      <w:r>
        <w:t>. Mediante escrito presentado en el Registro General de este Tribunal el 20 de noviembre de 2013, el Presidente del Senado comunicó la decisión de la Mesa de esa Cámara de personarse en el presente proceso constitucional, ofreciendo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6</w:t>
      </w:r>
      <w:r>
        <w:t>. Mediante escrito presentado en el Registro General de este Tribunal el 21 de noviembre de 2013, el Presidente del Congreso de los Diputados comunicó el acuerdo de la Mesa de la Cámara de personarse en el presente proceso constitucional, ofreciendo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7</w:t>
      </w:r>
      <w:r>
        <w:t>. El Fiscal General del Estado formuló sus alegaciones por escrito registrado en este Tribunal el 29 de noviembre de 2013, solicitando la declaración de inconstitucionalidad del apartado 2.2 del art. 2 del Real Decreto-ley 20/2012 por considerarlo contrario al principio de irretroactividad de las disposiciones restrictivas de derechos individuales (art. 9.3 CE).</w:t>
      </w:r>
    </w:p>
    <w:p w:rsidR="00AC56D6" w:rsidRDefault="00AC56D6" w:rsidP="00AC56D6">
      <w:pPr>
        <w:pStyle w:val="TextoNormal"/>
      </w:pPr>
    </w:p>
    <w:p w:rsidR="00AC56D6" w:rsidRDefault="00AC56D6" w:rsidP="00AC56D6">
      <w:pPr>
        <w:pStyle w:val="TextoNormal"/>
      </w:pPr>
      <w:r>
        <w:t>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se ven concernidos derechos individuales que son expresión directa de la esfera general de protección de la persona. Además, afirma que la idea de sanción resultará robustecida en este caso, dado que se pretende extraer del patrimonio de los ciudadanos, sin indemnización, un bien o un derecho del que ya dispone.</w:t>
      </w:r>
    </w:p>
    <w:p w:rsidR="00AC56D6" w:rsidRDefault="00AC56D6" w:rsidP="00AC56D6">
      <w:pPr>
        <w:pStyle w:val="TextoNormal"/>
      </w:pPr>
    </w:p>
    <w:p w:rsidR="00AC56D6" w:rsidRDefault="00AC56D6" w:rsidP="00AC56D6">
      <w:pPr>
        <w:pStyle w:val="TextoNormal"/>
      </w:pPr>
      <w:r>
        <w:t xml:space="preserve">Llegados a este punto, pasa a analizar si la norma cuestionada contiene un grado de retroactividad permitido por el art. 9.3 CE, a la luz de la doctrina constitucional que sintetiza.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con independencia de que su efectiva percepción tenga lugar en el último mes del período (salario devengado pero de percepción diferida). De este modo, sostiene que la privación de la cantidad </w:t>
      </w:r>
      <w:r>
        <w:lastRenderedPageBreak/>
        <w:t xml:space="preserve">correspondiente a dicho período supondría la restricción injustificada de un derecho individual que como tal prohíbe el art. 9.3 CE. Además, entiende que el criterio del Auto de planteamiento tendría el respaldo de la Sentencia del Tribunal Europeo de Derechos Humanos de 14 de mayo de 2013 (caso </w:t>
      </w:r>
      <w:r w:rsidRPr="00AC56D6">
        <w:rPr>
          <w:i/>
        </w:rPr>
        <w:t>N.K.M. v. Hungría</w:t>
      </w:r>
      <w:r>
        <w:t>); este declaró la vulneración del art. 1 del Protocolo núm. 1 anexo al Convenio por un acto de privación de la cuantía de una indemnización (cantidad devengada pero no percibida) por cese a una funcionaria, señalándose que “los bienes” en el sentido del citado artículo 1 son “bienes existentes” o activos, en los que el solicitante puede tener por lo menos una “expectativa legítima” de que esta se realizará. Entiende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Tal hipótesis no puede suponer, sin embargo, un aval genérico para que con esa excusa el poder público pueda conducirse apartándose de una expresa previsión legal. Se añade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t>El Fiscal General del Estado concluye sus alegaciones precisando que en el Auto de planteamiento no se cuestiona todo el art. 2 del Real Decreto-ley 20/2012 sino sólo su apartado 2.2, ya que es el que resulta aplicable para resolver el pleito sometido al conocimiento de la Sala de lo Social de la Audiencia Nacional (referido en exclusiva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00AC56D6" w:rsidRDefault="00AC56D6" w:rsidP="00AC56D6">
      <w:pPr>
        <w:pStyle w:val="TextoNormal"/>
      </w:pPr>
    </w:p>
    <w:p w:rsidR="00AC56D6" w:rsidRDefault="00AC56D6" w:rsidP="00AC56D6">
      <w:pPr>
        <w:pStyle w:val="TextoNormal"/>
      </w:pPr>
      <w:r w:rsidRPr="00AC56D6">
        <w:rPr>
          <w:rStyle w:val="NumeroAFNegritaCaracter"/>
        </w:rPr>
        <w:t>8</w:t>
      </w:r>
      <w:r>
        <w:t>. Por escrito registrado en este Tribunal el 3 de diciembre de 2013, el Abogado del Estado se personó en el presente proceso constitucional y formuló las alegaciones que a continuación se sintetizan.</w:t>
      </w:r>
    </w:p>
    <w:p w:rsidR="00AC56D6" w:rsidRDefault="00AC56D6" w:rsidP="00AC56D6">
      <w:pPr>
        <w:pStyle w:val="TextoNormal"/>
      </w:pPr>
    </w:p>
    <w:p w:rsidR="00AC56D6" w:rsidRDefault="00AC56D6" w:rsidP="00AC56D6">
      <w:pPr>
        <w:pStyle w:val="TextoNormal"/>
      </w:pPr>
      <w:r>
        <w:t xml:space="preserve">Comienza señalando que aunque el Auto de planteamiento cuestiona la totalidad del extenso art. 2 del Real Decreto-ley 20/2012, se refiere en realidad solo al apartado 2.2 del artículo 2; es decir, a la aplicación de la supresión de la paga extraordinaria de diciembre al personal laboral del sector público. Además precisa que no se cuestiona genéricamente la referida supresión, sino que tan solo se reprocha al legislador el que no haya incluido una </w:t>
      </w:r>
      <w:r>
        <w:lastRenderedPageBreak/>
        <w:t>disposición transitoria por la cual se hubiera exceptuado de la mencionada supresión la parte proporcional de la paga extraordinaria que se entiende “devengada del 1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imponer al legislador, con respeto a su libertad de configuración, el establecimiento de una expresa excepción a la supresión de la paga extraordinaria de Navidad (la correspondiente a la parte proporcional de los días 1 al 14 de julio de 2012).</w:t>
      </w:r>
    </w:p>
    <w:p w:rsidR="00AC56D6" w:rsidRDefault="00AC56D6" w:rsidP="00AC56D6">
      <w:pPr>
        <w:pStyle w:val="TextoNormal"/>
      </w:pPr>
    </w:p>
    <w:p w:rsidR="00AC56D6" w:rsidRDefault="00AC56D6" w:rsidP="00AC56D6">
      <w:pPr>
        <w:pStyle w:val="TextoNormal"/>
      </w:pPr>
      <w:r>
        <w:t>Precisado lo anterior, el Abogado del Estado pasa a contestar los puntos argumentales del Auto de planteamiento. Comienza negando que nos encontremos ante una “disposición sancionadora no favorable o restrictiva de derechos individuales” en el sentido del art. 9.3 CE. Indica que una norma que aspira a la contención del gasto de personal (como principal componente del gasto público) no es ni sancionadora, ni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AC56D6" w:rsidRDefault="00AC56D6" w:rsidP="00AC56D6">
      <w:pPr>
        <w:pStyle w:val="TextoNormal"/>
      </w:pPr>
    </w:p>
    <w:p w:rsidR="00AC56D6" w:rsidRDefault="00AC56D6" w:rsidP="00AC56D6">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lo está, por el contrario, la retroactividad “impropia o de grado medio” (que incide en situaciones jurídicas actuales aún no concluidas), pero que puede tener relevancia constitucional desde la perspectiva de la protección de la seguridad jurídica.</w:t>
      </w:r>
    </w:p>
    <w:p w:rsidR="00AC56D6" w:rsidRDefault="00AC56D6" w:rsidP="00AC56D6">
      <w:pPr>
        <w:pStyle w:val="TextoNormal"/>
      </w:pPr>
    </w:p>
    <w:p w:rsidR="00AC56D6" w:rsidRDefault="00AC56D6" w:rsidP="00AC56D6">
      <w:pPr>
        <w:pStyle w:val="TextoNormal"/>
      </w:pPr>
      <w:r>
        <w:t>Según el Auto de planteamiento, la cuestión radica en determinar si el derecho a la paga extraordinaria de Navidad, en cantidad proporcional a los días 1 al 14 de julio, “estaba ya consolidado, asumido e integrado en el patrimonio de los trabajadores cuando entró en vigor” el Real Decreto-ley 20/2012, o si se trataba, por el contrario, de una expectativa de derecho o de un derecho futuro o condicionado.</w:t>
      </w:r>
    </w:p>
    <w:p w:rsidR="00AC56D6" w:rsidRDefault="00AC56D6" w:rsidP="00AC56D6">
      <w:pPr>
        <w:pStyle w:val="TextoNormal"/>
      </w:pPr>
    </w:p>
    <w:p w:rsidR="00AC56D6" w:rsidRDefault="00AC56D6" w:rsidP="00AC56D6">
      <w:pPr>
        <w:pStyle w:val="TextoNormal"/>
      </w:pPr>
      <w:r>
        <w:t xml:space="preserve">Señala el Abogado del Estado que la propia Sala reconoce en el Auto de planteamiento de la cuestión que la regulación legal de las pagas extraordinarias no ofrece respuesta a esa pregunta, siendo el Tribunal Supremo el que ha hecho referencia a su devengo diario y cobro aplazado en su jurisprudencia. No obstante, a juicio del Abogado del Estado resulta evidente que una determinada interpretación jurisprudencial de un precepto legal no puede erigirse en parámetro de constitucionalidad de otra norma de rango legal.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Esta concepción es, por otro lado, perfectamente conforme con los arts. 26 y 31 de la Ley del estatuto de los trabajadores, así como con la doctrina de este Tribunal Constitucional en relación con los tributos de hecho </w:t>
      </w:r>
      <w:r>
        <w:lastRenderedPageBreak/>
        <w:t>imponible duradero. Respecto a ellos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se refiere a una paga extraordinaria que todavía no se ha percibido.</w:t>
      </w:r>
    </w:p>
    <w:p w:rsidR="00AC56D6" w:rsidRDefault="00AC56D6" w:rsidP="00AC56D6">
      <w:pPr>
        <w:pStyle w:val="TextoNormal"/>
      </w:pPr>
    </w:p>
    <w:p w:rsidR="00AC56D6" w:rsidRDefault="00AC56D6" w:rsidP="00AC56D6">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general”.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Real Decreto-ley 20/2012 una medida extraordinaria de “contención de gastos de personal” que tiene por finalidad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t>En tal sentido,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Recuerda, asimismo, que la estabilidad presupuestaria es un principio constitucional que vincula a todos los poderes públicos; insiste en que el análisis de la norma cuestionada ha de partir del contexto recesivo descrito.</w:t>
      </w:r>
    </w:p>
    <w:p w:rsidR="00AC56D6" w:rsidRDefault="00AC56D6" w:rsidP="00AC56D6">
      <w:pPr>
        <w:pStyle w:val="TextoNormal"/>
      </w:pPr>
    </w:p>
    <w:p w:rsidR="00AC56D6" w:rsidRDefault="00AC56D6" w:rsidP="00AC56D6">
      <w:pPr>
        <w:pStyle w:val="TextoNormal"/>
      </w:pPr>
      <w:r>
        <w:t xml:space="preserve">No comparte el Abogado del Estado que el Auto de planteamiento trate de restringir los supuestos en los que procede limitar el principio de irretroactividad y de seguridad jurídica, al identificar el “bien común” con “los grandes valores que cohesionan la sociedad” o con “los derechos fundamentales”, considerando, de esta manera, que la reducción del déficit no constituye un bien común. Entiende que tal postura chocaría con la doctrina constitucional que ha señalado que basta con la concurrencia de cualificadas exigencias “del bien común o de interés general” para admitir tales restricciones; “razón por la cual, pueden reputarse conforme a la Constitución modificaciones con cualquier grado de retroactividad </w:t>
      </w:r>
      <w:r>
        <w:lastRenderedPageBreak/>
        <w:t>cuando ‘existieran claras exigencias de interés general’” (por ejemplo, para evitar operaciones de elusión fiscal). Así las cosas, afirma que no existe razón para negar la concurrencia de un “interés general”, dada la situación descrita de grave crisis económica.</w:t>
      </w:r>
    </w:p>
    <w:p w:rsidR="00AC56D6" w:rsidRDefault="00AC56D6" w:rsidP="00AC56D6">
      <w:pPr>
        <w:pStyle w:val="TextoNormal"/>
      </w:pPr>
    </w:p>
    <w:p w:rsidR="00AC56D6" w:rsidRDefault="00AC56D6" w:rsidP="00AC56D6">
      <w:pPr>
        <w:pStyle w:val="TextoNormal"/>
      </w:pPr>
      <w:r>
        <w:t>Finalmente, niega el Abogado del Estado que las Sentencias del Tribunal Europeo de Derechos Humanos citadas por el Auto de planteamiento puedan servir para avalar la tesis mantenida en el mismo; a diferencia de lo que ocurre en el presente caso, en tales supuestos se alegaron intereses difusos para proceder a la aplicación retroactiva de una medida que no la justificaba desde la perspectiva de la proporcionalidad. Se recuerda que, por el contrario, en el presente caso no existen motivos “difusos”, sino concretos de interés general; en realidad no asistiríamos a una reducción del sueldo de los empleados públicos sino a una “congelación” de la paga extra de diciembre con previsión de su devolución mediante su aportación a planes de pensiones en un horizonte no lejano (2015); eso sí, en función de las necesidades y del equilibrio presupuestario. En definitiva, concluye diciendo que ante el interés público a que se trata de atender, resulta absolutamente proporcionado que únicamente se exija como sacrificio a los empleados públicos el aplazamiento temporal del abono de la parte proporcional de la paga extraordinaria correspondiente a los días 1 a 15 de julio de 2012, que es lo único que se discute en la presente cuestión de inconstitucionalidad. Por todo ello, se interesa la desestimación de la cuestión.</w:t>
      </w:r>
    </w:p>
    <w:p w:rsidR="00AC56D6" w:rsidRDefault="00AC56D6" w:rsidP="00AC56D6">
      <w:pPr>
        <w:pStyle w:val="TextoNormal"/>
      </w:pPr>
    </w:p>
    <w:p w:rsidR="00AC56D6" w:rsidRDefault="00AC56D6" w:rsidP="00AC56D6">
      <w:pPr>
        <w:pStyle w:val="TextoNormal"/>
      </w:pPr>
      <w:r w:rsidRPr="00AC56D6">
        <w:rPr>
          <w:rStyle w:val="NumeroAFNegritaCaracter"/>
        </w:rPr>
        <w:t>9</w:t>
      </w:r>
      <w:r>
        <w:t>. Por escrito registrado en este Tribunal el 26 de noviembre de 2013, la Procuradora de los Tribunales doña Beatriz González Rivero solicitó que se la tuviese por personada en el presente proceso constitucional en nombre y representación de ADIF. Por diligencia de ordenación de la Secretaría de Justicia del Pleno de 11 de noviembre de 2013, se tuvo a la referida Procuradora por personada y parte en esta cuestión de inconstitucionalidad y, de conformidad con lo establecido en el art. 37.2 LOTC, se le concedió un plazo de quince días para alegar cuanto convenga a su derecho, habiendo transcurrido dicho plazo sin que la representación procesal de ADIF haya formulado alegaciones.</w:t>
      </w:r>
    </w:p>
    <w:p w:rsidR="00AC56D6" w:rsidRDefault="00AC56D6" w:rsidP="00AC56D6">
      <w:pPr>
        <w:pStyle w:val="TextoNormal"/>
      </w:pPr>
    </w:p>
    <w:p w:rsidR="00AC56D6" w:rsidRDefault="00AC56D6" w:rsidP="00AC56D6">
      <w:pPr>
        <w:pStyle w:val="TextoNormal"/>
      </w:pPr>
      <w:r w:rsidRPr="00AC56D6">
        <w:rPr>
          <w:rStyle w:val="NumeroAFNegritaCaracter"/>
        </w:rPr>
        <w:t>10</w:t>
      </w:r>
      <w:r>
        <w:t>. Por providencia de 6 de julio de 2015 la Sala Primera acordó, de conformidad con lo dispuesto en el art. 88.1 LOTC, dirigir atenta comunicación a ADIF a fin de que indicase a este Tribunal si, en atención a lo previsto en la disposición adicional duodécima de la Ley 36/2014, de presupuestos generales del Estado para el año 2015, o por cualquier otra circunstancia, ha satisfecho a los trabajadores de esa empresa, incluidos los subrogados en fecha 1 de enero de 2013 provenientes de la extinguida FEVE,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las citadas pagas a los que corresponden las cuantías abonadas.</w:t>
      </w:r>
    </w:p>
    <w:p w:rsidR="00AC56D6" w:rsidRDefault="00AC56D6" w:rsidP="00AC56D6">
      <w:pPr>
        <w:pStyle w:val="TextoNormal"/>
      </w:pPr>
    </w:p>
    <w:p w:rsidR="00AC56D6" w:rsidRDefault="00AC56D6" w:rsidP="00AC56D6">
      <w:pPr>
        <w:pStyle w:val="TextoNormal"/>
      </w:pPr>
      <w:r w:rsidRPr="00AC56D6">
        <w:rPr>
          <w:rStyle w:val="NumeroAFNegritaCaracter"/>
        </w:rPr>
        <w:t>11</w:t>
      </w:r>
      <w:r>
        <w:t xml:space="preserve">. En contestación a la referida providencia, la representación procesal de ADIF, mediante escrito que tuvo entrada en el Registro General de este Tribunal el 20 de julio de 2015, aportó la certificación emitida por la Directora General de Recursos Humanos y Secretaria General y del Consejo de ADIF con fecha 13 de julio de 2015, en la que se hace constar que dicha entidad pública, al amparo de lo previsto en la disposición adicional duodécima de la Ley 36/2014, de presupuestos generales del Estado para el año 2015, hizo efectivo a sus trabajadores (incluidos los procedentes de la extinta FEVE), en la nómina del </w:t>
      </w:r>
      <w:r>
        <w:lastRenderedPageBreak/>
        <w:t>mes de enero de 2015, el abono de la parte proporcional correspondiente a los primeros cuarenta y cuatro días de la paga extraordinaria del mes de diciembre de 2012 dejada de percibir por aplicación de lo dispuesto en el art. 2 del Real Decreto-ley 20/2012, así como de la parte correspondiente al descuento equivalente de la catorceava parte de las retribuciones anuales efectuado en aplicación de la misma norma al personal cuyo sistema retributivo no contempla el concepto de paga extraordinaria. Las cantidades abonadas por tales conceptos fueron las equivalentes al 24,04 por 100 del importe dejado de percibir por aplicación de lo dispuesto en el art. 2 del Real Decreto-ley 20/2012.</w:t>
      </w:r>
    </w:p>
    <w:p w:rsidR="00AC56D6" w:rsidRDefault="00AC56D6" w:rsidP="00AC56D6">
      <w:pPr>
        <w:pStyle w:val="TextoNormal"/>
      </w:pPr>
    </w:p>
    <w:p w:rsidR="00AC56D6" w:rsidRDefault="00AC56D6" w:rsidP="00AC56D6">
      <w:pPr>
        <w:pStyle w:val="TextoNormal"/>
      </w:pPr>
      <w:r w:rsidRPr="00AC56D6">
        <w:rPr>
          <w:rStyle w:val="NumeroAFNegritaCaracter"/>
        </w:rPr>
        <w:t>12</w:t>
      </w:r>
      <w:r>
        <w:t>. Por providencia de 17 de septiembre de 2015 se señaló para deliberación y votación de la presente Sentencia el día 21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Sala de lo Social de la Audiencia Nacional plantea cuestión de inconstitucionalidad respecto del art. 2 del Real Decreto-ley 20/2012, de 13 de julio, de medidas para garantizar la estabilidad presupuestaria y de fomento de la competitividad. Este precepto, en lo que aquí importa, dispone para el personal del sector público definido en el art. 22.1 de la Ley 2/2012, de 29 de junio, de presupuestos generales del Estado para 2012, la supresión de la paga extraordinaria (o equivalente) del mes de diciembre de 2012. En síntesis, la Sala entiende que el art. 2 del Real Decreto-ley 20/2012, en su aplicación al personal laboral del sector público,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(15 de julio de 2012).</w:t>
      </w:r>
    </w:p>
    <w:p w:rsidR="00AC56D6" w:rsidRDefault="00AC56D6" w:rsidP="00AC56D6">
      <w:pPr>
        <w:pStyle w:val="TextoNormal"/>
      </w:pPr>
    </w:p>
    <w:p w:rsidR="00AC56D6" w:rsidRDefault="00AC56D6" w:rsidP="00AC56D6">
      <w:pPr>
        <w:pStyle w:val="TextoNormal"/>
      </w:pPr>
      <w:r>
        <w:t>En los términos en que han sido recogidos en los antecedentes de esta Sentencia, el Fiscal General del Estado coincide con el juicio de inconstitucionalidad formulado por el Auto de planteamiento de la cuestión; interesa la estimación de la misma, mientras que el Abogado del Estado solicita su desestimación.</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al análisis de la cuestión planteada conviene realizar una serie de precisiones para acotar debidamente el objeto de la misma y el alcance de nuestro enjuiciamiento.</w:t>
      </w:r>
    </w:p>
    <w:p w:rsidR="00AC56D6" w:rsidRDefault="00AC56D6" w:rsidP="00AC56D6">
      <w:pPr>
        <w:pStyle w:val="TextoNormal"/>
      </w:pPr>
    </w:p>
    <w:p w:rsidR="00AC56D6" w:rsidRDefault="00AC56D6" w:rsidP="00AC56D6">
      <w:pPr>
        <w:pStyle w:val="TextoNormal"/>
      </w:pPr>
      <w:r>
        <w:t xml:space="preserve">a) En primer lugar, resulta obligado advertir, en consonancia con lo manifestado en sus alegaciones respectivas por el Fiscal General del Estado y el Abogado del Estado, que, si bien la Sala de lo Social de la Audiencia Nacional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al personal laboral del sector público” (como se precisa expresamente en la parte dispositiva del Auto). Ello se conecta lógicamente con el juicio de relevancia, correctamente expresado por el órgano judicial. La cuestión de inconstitucionalidad trae causa de un proceso de conflicto colectivo promovido por varios sindicatos con motivo de la supresión, por aplicación de las previsiones contenidas en el Real Decreto-ley 20/2012, de la paga extra de diciembre de 2012 al personal laboral de una entidad pública estatal (Administrador de Infraestructuras Ferroviarias, ADIF), </w:t>
      </w:r>
      <w:r>
        <w:lastRenderedPageBreak/>
        <w:t>así como del descuento de la catorceava parte de las retribuciones anuales, efectuado en aplicación de la misma norma, a los trabajadores de la misma entidad cuyo régimen retributivo no contempla el concepto de paga extraordinaria. Lo pretendido por los demandantes con carácter subsidiario a la pretensión principal (referida a que no se apliquen en esa entidad pública las medidas de supresión o reducción de retribuciones previstas por el Real Decreto-ley 20/2012) es justamente que se declare el derecho de los trabajadores de esa entidad a percibir la parte proporcional de la paga extra de diciembre de 2012 o equivalente que consideran ya devengada al momento de la entrada en vigor del Real Decreto-ley 20/2012, porque, de acuerdo con el art. 9.3 CE, no cabe que la supresión de esa paga extra tenga efectos retroactivos; lo mismo se predica del descuento de la catorceava parte de las retribuciones anuales al personal cuyo sistema retributivo no contempla el concepto de paga extraordinaria, por entender la Sala que la medida afecta a salarios ya devengados a la entrada en vigor del Real Decreto-ley 20/2012, con posible vulneración igualmente del principio de interdicción de la retroactividad de las disposiciones restrictivas de derechos individuales (art. 9.3 CE).</w:t>
      </w:r>
    </w:p>
    <w:p w:rsidR="00AC56D6" w:rsidRDefault="00AC56D6" w:rsidP="00AC56D6">
      <w:pPr>
        <w:pStyle w:val="TextoNormal"/>
      </w:pPr>
    </w:p>
    <w:p w:rsidR="00AC56D6" w:rsidRDefault="00AC56D6" w:rsidP="00AC56D6">
      <w:pPr>
        <w:pStyle w:val="TextoNormal"/>
      </w:pPr>
      <w:r>
        <w:t>De este modo, en los términos en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también al apartado 2.2 del art. 2 del Real Decreto-ley 20/2012, que se refiere específicamente a la supresión de la paga o gratificación extraordinaria de diciembre de 2012, o equivalente, al personal laboral del sector público; y al apartado 5 del art. 2 del Real Decreto-ley 20/2012, que establece la reducción de una catorceava parte de las retribuciones totales anuales a los trabajadores del sector público cuyo régimen retributivo no contemple expresamente la percepción de pagas extraordinarias o que perciban más de dos pagas extraordinarias al año.</w:t>
      </w:r>
    </w:p>
    <w:p w:rsidR="00AC56D6" w:rsidRDefault="00AC56D6" w:rsidP="00AC56D6">
      <w:pPr>
        <w:pStyle w:val="TextoNormal"/>
      </w:pPr>
    </w:p>
    <w:p w:rsidR="00AC56D6" w:rsidRDefault="00AC56D6" w:rsidP="00AC56D6">
      <w:pPr>
        <w:pStyle w:val="TextoNormal"/>
      </w:pPr>
      <w:r>
        <w:t xml:space="preserve">b) Por otra parte debe tenerse en cuenta que no se cuestiona por la Sala de lo Social de la Audiencia Nacional la medida de supresión de la paga extraordinaria de diciembre de 2012 en sí misma considerada (que es la pretensión principal que se deduce por los sindicatos demandantes en el proceso </w:t>
      </w:r>
      <w:r w:rsidRPr="00AC56D6">
        <w:rPr>
          <w:i/>
        </w:rPr>
        <w:t>a quo</w:t>
      </w:r>
      <w:r>
        <w:t xml:space="preserve">, como se ha dicho); sino sólo en cuanto su aplicación haya podido suponer la infracción del principio de irretroactividad establecido en el 9.3 CE, al no contemplar excepción alguna respecto de las cuantías que se entienden ya devengadas de dicha paga extra a la fecha de entrada en vigor del Real Decreto-ley 20/2012 (que tuvo lugar el 15 de julio de 2012, conforme a su disposición final decimoquinta); y lo mismo en cuanto al descuento de la catorceava parte de las retribuciones anuales efectuado en aplicación del art. 2.5 del Real Decreto-ley 20/2012 al personal de ADIF cuyo sistema retributivo no contempla el concepto de paga extraordinaria. A esta concreta duda (planteada a partir de las pretensiones subsidiarias en el proceso </w:t>
      </w:r>
      <w:r w:rsidRPr="00AC56D6">
        <w:rPr>
          <w:i/>
        </w:rPr>
        <w:t>a quo</w:t>
      </w:r>
      <w:r>
        <w:t>) deberá, pues, ceñirse nuestro enjuiciamiento.</w:t>
      </w:r>
    </w:p>
    <w:p w:rsidR="00AC56D6" w:rsidRDefault="00AC56D6" w:rsidP="00AC56D6">
      <w:pPr>
        <w:pStyle w:val="TextoNormal"/>
      </w:pPr>
    </w:p>
    <w:p w:rsidR="00AC56D6" w:rsidRDefault="00AC56D6" w:rsidP="00AC56D6">
      <w:pPr>
        <w:pStyle w:val="TextoNormal"/>
      </w:pPr>
      <w:r>
        <w:t xml:space="preserve">C) Conviene asimismo advertir que la Sala de lo Social de la Audiencia Nacional no cuestiona el art. 3.2 del Real Decreto-ley 20/2012. Este reitera, para el personal laboral del sector público estatal incluido en el art. 27 de la Ley 2/2012, de presupuestos generales del Estado para 2012 (personal en el que se cuentan los trabajadores de la entidad pública empresarial estatal ADIF), la regla de la supresión de la paga extraordinaria de diciembre de </w:t>
      </w:r>
      <w:r>
        <w:lastRenderedPageBreak/>
        <w:t>2012 establecida en el art. 2 del Real Decreto-ley 20/2012. Tampoco cuestiona la Sala el art. 6 del Real Decreto-ley 20/2012, que, en consonancia con esa misma regla, suprime durante el año 2012 para el personal laboral del sector público “la percepción de la gratificación extraordinaria con ocasión de las fiestas de Navidad contenida en el art. 31 del Estatuto de los Trabajadores”. Por tanto, las previsiones contenidas en los arts. 3.2 y 6 del Real Decreto-ley 20/2012 quedan fuera de nuestro pronunciamiento.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Delimitado el alcance de nuestra decisión, debemos remitirnos a lo dicho recientemente en la STC 83/2015, de 30 de abril, FJ 3, sobre la posible pérdida de objeto de la cuestión de inconstitucionalidad, como consecuencia de lo establecido en la disposición adicional duodécima de la Ley 36/2014, de 26 de diciembre, de presupuestos generales del Estado para 2015. Bajo el epígrafe “recuperación de la paga extraordinaria y adicional del mes de diciembre de 2012”, se establece, en su apartado 1.1,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cuarenta y cuatro días de la paga extraordinaria suprimida, según establece el apartado 1.2. En su apartado 2 dispone las reglas para el abono de dichas cantidades al personal del sector público estatal (entre el que se encuentran los trabajadores de la entidad pública empresarial ADIF), previsiones cuya aplicación efectiva se ha llevado a cabo en el ámbito del sector público estatal conforme a las instrucciones contenidas en la resolución conjunta de las Secretarías de Estado de Presupuestos y Gastos y de Administraciones Públicas de 29 de diciembre de 2014 (publicada en el “Boletín Oficial del Estado” de 2 de enero de 2015). En ella se precisa: “el reconocimiento del derecho a recuperar las cantidades dejadas de percibir se produce por imperativo de la propia Ley de Presupuestos Generales del Estado para 2015 y produce sus efectos a partir de este último año, por lo que todas las cantidades que se reconozcan en virtud de lo dispuesto en la disposición adicional constituyen percepciones correspondientes al ejercicio de 2015”.</w:t>
      </w:r>
    </w:p>
    <w:p w:rsidR="00AC56D6" w:rsidRDefault="00AC56D6" w:rsidP="00AC56D6">
      <w:pPr>
        <w:pStyle w:val="TextoNormal"/>
      </w:pPr>
    </w:p>
    <w:p w:rsidR="00AC56D6" w:rsidRDefault="00AC56D6" w:rsidP="00AC56D6">
      <w:pPr>
        <w:pStyle w:val="TextoNormal"/>
      </w:pPr>
      <w:r>
        <w:t xml:space="preserve">En el presente caso ha de estarse a lo dispuesto en el apartado III de las referidas instrucciones, que contiene las reglas aplicables al personal laboral del sector público estatal al que no le resulte de aplicación el III convenio colectivo único del personal laboral al servicio de la Administración general del Estado; en esta situación se encuentra el personal incluido en el ámbito de aplicación los convenios colectivos de RENFE y de la extinta FEVE en los que se fundamentan las pretensiones deducidas en el proceso </w:t>
      </w:r>
      <w:r w:rsidRPr="00AC56D6">
        <w:rPr>
          <w:i/>
        </w:rPr>
        <w:t>a quo</w:t>
      </w:r>
      <w:r>
        <w:t>.</w:t>
      </w:r>
    </w:p>
    <w:p w:rsidR="00AC56D6" w:rsidRDefault="00AC56D6" w:rsidP="00AC56D6">
      <w:pPr>
        <w:pStyle w:val="TextoNormal"/>
      </w:pPr>
    </w:p>
    <w:p w:rsidR="00AC56D6" w:rsidRDefault="00AC56D6" w:rsidP="00AC56D6">
      <w:pPr>
        <w:pStyle w:val="TextoNormal"/>
      </w:pPr>
      <w:r>
        <w:t xml:space="preserve">En la STC 83/2015, FJ 3, se recuerda la reiterada doctrina constitucional sobre los efectos extintivos del objeto del proceso en las cuestiones de inconstitucionalidad, como consecuencia de la derogación o modificación de la norma legal cuestionada. Se puso de manifiesto que era innegable la incidencia que tenía la medida contenida en la disposición adicional duodécima de la Ley 36/2014, de presupuestos generales del Estado para 2015, sobre la pretensión deducida en el pleito </w:t>
      </w:r>
      <w:r w:rsidRPr="00AC56D6">
        <w:rPr>
          <w:i/>
        </w:rPr>
        <w:t>a quo</w:t>
      </w:r>
      <w:r>
        <w:t>, “que afecta de modo determinante a la subsistencia del presente proceso constitucional, dada la estrecha vinculación existente entre toda cuestión de inconstitucionalidad y el procedimiento judicial de que dimana.” Otro tanto acontece en el presente caso.</w:t>
      </w:r>
    </w:p>
    <w:p w:rsidR="00AC56D6" w:rsidRDefault="00AC56D6" w:rsidP="00AC56D6">
      <w:pPr>
        <w:pStyle w:val="TextoNormal"/>
      </w:pPr>
    </w:p>
    <w:p w:rsidR="00AC56D6" w:rsidRDefault="00AC56D6" w:rsidP="00AC56D6">
      <w:pPr>
        <w:pStyle w:val="TextoNormal"/>
      </w:pPr>
      <w:r>
        <w:lastRenderedPageBreak/>
        <w:t xml:space="preserve">En el conflicto colectivo del que trae causa la presente cuestión de inconstitucionalidad se discute el derecho de los trabajadores de una entidad pública empresarial del sector estatal (ADIF) a percibir la parte proporcional de la paga extra de diciembre de 2012 ya devengada al momento de la entrada en vigor del Real Decreto-ley 20/2012, que suprimió el derecho a su percepción; así como el derecho a percibir la parte proporcional correspondiente al descuento de la catorceava parte de las retribuciones anuales totales efectuado en aplicación de la misma norma al personal cuyo sistema retributivo no contempla el concepto de paga extraordinaria. Ello por estimar los demandantes en el proceso </w:t>
      </w:r>
      <w:r w:rsidRPr="00AC56D6">
        <w:rPr>
          <w:i/>
        </w:rPr>
        <w:t>a quo</w:t>
      </w:r>
      <w:r>
        <w:t xml:space="preserve"> que la supresión de esa paga extra o, en su caso, la reducción de la catorceava parte de las retribuciones anuales, en virtud del citado Real Decreto-ley 20/2012 no puede tener efectos retroactivos por imperativo de lo dispuesto en el art. 9.3 CE.</w:t>
      </w:r>
    </w:p>
    <w:p w:rsidR="00AC56D6" w:rsidRDefault="00AC56D6" w:rsidP="00AC56D6">
      <w:pPr>
        <w:pStyle w:val="TextoNormal"/>
      </w:pPr>
    </w:p>
    <w:p w:rsidR="00AC56D6" w:rsidRDefault="00AC56D6" w:rsidP="00AC56D6">
      <w:pPr>
        <w:pStyle w:val="TextoNormal"/>
      </w:pPr>
      <w:r>
        <w:t>Al suscitarse sobre este extremo la duda de constitucionalidad que plantea el órgano judicial, es obligado constatar la recuperación por los trabajadores de ADIF de la parte proporcional correspondiente a los primeros cuarenta y cuatro días de la paga extra de diciembre de 2012, así como de la parte correspondiente al descuento equivalente de la catorceava parte de las retribuciones anuales efectuado al personal cuyo sistema retributivo no contempla el concepto de paga extraordinaria, con arreglo a lo establecido en la citada disposición adicional duodécima de la Ley 36/2014, de presupuestos generales del Estado para 2015, y en el apartado III de las instrucciones contenidas en la también citada resolución conjunta de las Secretarías de Estado de Presupuestos y Gastos y de Administraciones públicas de 29 de diciembre de 2014. Esa recuperación se hizo efectiva en el caso de ADIF en la nómina del mes de enero de 2015, como se pone de manifiesto por dicha entidad pública empresarial en su contestación al requerimiento efectuado al efecto por este Tribunal en virtud de lo dispuesto en el art. 88.1 LOTC, conforme quedó señalado en el relato de antecedentes. Todo ello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(STC 83/2015, FJ 3).</w:t>
      </w:r>
    </w:p>
    <w:p w:rsidR="00AC56D6" w:rsidRDefault="00AC56D6" w:rsidP="00AC56D6">
      <w:pPr>
        <w:pStyle w:val="TextoNormal"/>
      </w:pPr>
    </w:p>
    <w:p w:rsidR="00AC56D6" w:rsidRDefault="00AC56D6" w:rsidP="00AC56D6">
      <w:pPr>
        <w:pStyle w:val="TextoNormal"/>
      </w:pPr>
      <w:r>
        <w:t>En conclusión, “la regulación contenida en la citada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83/2015, FJ 3; y en el mismo sentido AATC 340/2003, de 21 de octubre, FJ único; y 75/2004, de 9 de marzo, FJ único)” (STC 83/2015, FJ 3).</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lastRenderedPageBreak/>
        <w:t>Ha decidido</w:t>
      </w:r>
    </w:p>
    <w:p w:rsidR="00AC56D6" w:rsidRDefault="00AC56D6" w:rsidP="00AC56D6">
      <w:pPr>
        <w:pStyle w:val="TextoNormalCentrado"/>
        <w:keepNext/>
      </w:pPr>
    </w:p>
    <w:p w:rsidR="00AC56D6" w:rsidRDefault="00AC56D6" w:rsidP="00AC56D6">
      <w:pPr>
        <w:pStyle w:val="TextoNormal"/>
      </w:pPr>
      <w:r>
        <w:t>Declarar la extinción de la presente cuestión de inconstitucionalidad por desaparición sobrevenida de su objeto.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veintiuno de septiembre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46" w:name="SENTENCIA_2015_190"/>
      <w:r>
        <w:lastRenderedPageBreak/>
        <w:t>SENTENCIA 190/2015, de 21 de septiembre de 2015</w:t>
      </w:r>
    </w:p>
    <w:bookmarkEnd w:id="46"/>
    <w:p w:rsidR="00AC56D6" w:rsidRDefault="00AC56D6" w:rsidP="00AC56D6">
      <w:pPr>
        <w:pStyle w:val="TtuloResolucin"/>
      </w:pPr>
      <w:r>
        <w:t>Sala Segunda</w:t>
      </w:r>
    </w:p>
    <w:p w:rsidR="00AC56D6" w:rsidRDefault="00AC56D6" w:rsidP="00AC56D6">
      <w:pPr>
        <w:pStyle w:val="TtuloBOE"/>
      </w:pPr>
      <w:r>
        <w:t>(BOE núm. 260, de 30 de octubre de 2015)</w:t>
      </w:r>
    </w:p>
    <w:p w:rsidR="00AC56D6" w:rsidRDefault="00AC56D6" w:rsidP="00AC56D6">
      <w:pPr>
        <w:pStyle w:val="TextoNormalCentrado"/>
      </w:pPr>
      <w:r>
        <w:t>ECLI:ES:TC:2015:190</w:t>
      </w:r>
    </w:p>
    <w:p w:rsidR="00AC56D6" w:rsidRDefault="00AC56D6" w:rsidP="00AC56D6">
      <w:pPr>
        <w:pStyle w:val="TextoNormalCentrado"/>
      </w:pPr>
    </w:p>
    <w:p w:rsidR="00AC56D6" w:rsidRDefault="00AC56D6" w:rsidP="00AC56D6">
      <w:pPr>
        <w:pStyle w:val="SntesisDescriptiva"/>
      </w:pPr>
      <w:r>
        <w:t>Cuestión de inconstitucionalidad 7491-2013. Planteada por el Juzgado de lo Contencioso-Administrativo núm. 1 de Cáceres en relación con el artículo 2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y expropiación de derechos económicos: extinción, por pérdida de objeto, de la cuestión de inconstitucionalidad (STC 83/2015).</w:t>
      </w:r>
    </w:p>
    <w:p w:rsidR="00AC56D6" w:rsidRDefault="00AC56D6" w:rsidP="00AC56D6">
      <w:pPr>
        <w:pStyle w:val="SntesisAnaltica"/>
      </w:pPr>
    </w:p>
    <w:p w:rsidR="00AC56D6" w:rsidRDefault="00AC56D6" w:rsidP="00AC56D6">
      <w:pPr>
        <w:pStyle w:val="Extracto"/>
      </w:pPr>
      <w:r>
        <w:t>1.</w:t>
      </w:r>
      <w:r>
        <w:tab/>
        <w:t>La satisfacción extraprocesal de la pretensión deducida en el proceso laboral sobre la que se articula la cuestión de inconstitucionalidad le hace perder su objeto al ser dicha satisfacción uno de los posibles supuestos de extinción de la cuestión de inconstitucionalidad (STC 83/2015) [FJ 3].</w:t>
      </w:r>
    </w:p>
    <w:p w:rsidR="00AC56D6" w:rsidRDefault="00AC56D6" w:rsidP="00AC56D6">
      <w:pPr>
        <w:pStyle w:val="Extracto"/>
      </w:pPr>
    </w:p>
    <w:p w:rsidR="00AC56D6" w:rsidRDefault="00AC56D6" w:rsidP="00AC56D6">
      <w:pPr>
        <w:pStyle w:val="Extracto"/>
      </w:pPr>
      <w:r>
        <w:t>2.</w:t>
      </w:r>
      <w:r>
        <w:tab/>
        <w:t>Doctrina sobre las posibles causas de terminación extraordinaria de las cuestiones de inconstitucionalidad por pérdida sobrevenida de objeto (STC 83/2015) [FJ 3].</w:t>
      </w:r>
    </w:p>
    <w:p w:rsidR="00AC56D6" w:rsidRDefault="00AC56D6" w:rsidP="00AC56D6">
      <w:pPr>
        <w:pStyle w:val="Extracto"/>
      </w:pPr>
    </w:p>
    <w:p w:rsidR="00AC56D6" w:rsidRDefault="00AC56D6" w:rsidP="00AC56D6">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7491-2013, promovida por el Juzgado de lo Contencioso-Administrativo núm. 1 de Cáceres contra los arts. 2.1 y 2.2.1 del Real Decreto-ley 20/2012, de 13 de julio, de medidas para garantizar la estabilidad presupuestaria y de fomento de la competitividad, por posible lesión del art. 9.3 CE. Han formulado alegaciones el Fiscal General del Estado y el Abogado del Estado. Ha sido Ponente el Magistrado don Juan José González Rivas,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día 27 de diciembre de 2013 tuvo entrada en el Registro General de este Tribunal un oficio del Juzgado de lo Contencioso-Administrativo núm. 1 de Cáceres al que se acompaña, junto con el testimonio del procedimiento correspondiente (procedimiento abreviado núm. 112-2013), el Auto de 4 de diciembre de 2013, por el que se acuerda plantear cuestión de inconstitucionalidad respecto de los arts. 2.1 y 2.2.1 del Real Decreto-ley 20/2012, de 13 de julio, de medidas para garantizar la estabilidad presupuestaria y de fomento de la competitividad, por posible lesión del art. 9.3 y 33.3 CE.</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procesales de la cuestión de inconstitucionalidad planteada son, sucintamente expuestos, los siguientes:</w:t>
      </w:r>
    </w:p>
    <w:p w:rsidR="00AC56D6" w:rsidRDefault="00AC56D6" w:rsidP="00AC56D6">
      <w:pPr>
        <w:pStyle w:val="TextoNormal"/>
      </w:pPr>
    </w:p>
    <w:p w:rsidR="00AC56D6" w:rsidRDefault="00AC56D6" w:rsidP="00AC56D6">
      <w:pPr>
        <w:pStyle w:val="TextoNormal"/>
      </w:pPr>
      <w:r>
        <w:t>a) D. R.V.G, funcionario docente de la Universidad de Extremadura, interpuso recurso contencioso-administrativo contra la Resolución del Rectorado de la Universidad de Extremadura de 15 de marzo de 2013, por la que se acordó la inadmisión de la reclamación formulada por el recurrente contra la supresión íntegra de la paga extraordinaria y de la paga adicional del complemento específico o pagas equivalentes dispuesta por el Real Decreto-ley 20/2012, de 13 de julio, y subsidiariamente contra la supresión de la parte proporcional correspondiente al período comprendido entre el 1 de junio y el 14 de julio de 2012.</w:t>
      </w:r>
    </w:p>
    <w:p w:rsidR="00AC56D6" w:rsidRDefault="00AC56D6" w:rsidP="00AC56D6">
      <w:pPr>
        <w:pStyle w:val="TextoNormal"/>
      </w:pPr>
    </w:p>
    <w:p w:rsidR="00AC56D6" w:rsidRDefault="00AC56D6" w:rsidP="00AC56D6">
      <w:pPr>
        <w:pStyle w:val="TextoNormal"/>
      </w:pPr>
      <w:r>
        <w:t>b) Concluso el procedimiento y dentro del plazo para dictar Sentencia, el órgano judicial dictó providencia de 4 de noviembre de 2013 por la que acordó oír a las partes y al Ministerio Fiscal para que alegasen sobre la pertinencia de plantear cuestión de inconstitucionalidad en relación con los arts. 2.1 y 2.2.1 del Real Decreto-Ley 20/2012, de 13 de julio, de medidas para garantizar la estabilidad presupuestaria y de fomento de la competitividad, “por cuanto el citado precepto al entrar en vigor el 15 de julio de 2012 suprime la parte de la paga extraordinaria correspondiente al período que va del 1 de junio al 14 de julio de 2012, por lo que podría suponer una aplicación retroactiva de una norma restrictiva de los derechos retributivos del funcionario recurrente, prohibida por el art. 9.3 CE, suponiendo una expropiación de ese porcentaje de la paga extraordinaria, que vulneraría, asimismo, el derecho reconocido en el art. 33.3 CE”.</w:t>
      </w:r>
    </w:p>
    <w:p w:rsidR="00AC56D6" w:rsidRDefault="00AC56D6" w:rsidP="00AC56D6">
      <w:pPr>
        <w:pStyle w:val="TextoNormal"/>
      </w:pPr>
    </w:p>
    <w:p w:rsidR="00AC56D6" w:rsidRDefault="00AC56D6" w:rsidP="00AC56D6">
      <w:pPr>
        <w:pStyle w:val="TextoNormal"/>
      </w:pPr>
      <w:r>
        <w:t>c) El Ministerio Fiscal y la representación de la Universidad de Extremadura consideraron procedente el planteamiento de la cuestión en sendos escritos registrados en el correspondiente procedimiento con fecha de 18 y 23 de noviembre de 2013 respectivamente. La parte actora, a pesar de ser notificada oportunamente, no alegó.</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Por Auto de 4 de diciembre de 2013, el Juzgado de lo Contencioso-Administrativo núm. 1 de Cáceres acordó plantear la presente cuestión de inconstitucionalidad. De su contenido interesa destacar que, tras exponer los antecedentes de hecho de la presente cuestión, el órgano judicial transcribe los arts. 2.1 y 2.2.1 del citado Real Decreto-ley 20/2012, de 13 de julio, que son las normas a las que se proyecta su duda de constitucionalidad. Dice, a continuación, que tal duda, que se centra exclusivamente en relación al </w:t>
      </w:r>
      <w:r w:rsidRPr="00AC56D6">
        <w:rPr>
          <w:i/>
        </w:rPr>
        <w:t>petitum</w:t>
      </w:r>
      <w:r>
        <w:t xml:space="preserve"> subsidiario, consiste en que las mismas, al entrar en vigor el día 15 de julio de 2012 y suprimir la parte </w:t>
      </w:r>
      <w:r>
        <w:lastRenderedPageBreak/>
        <w:t xml:space="preserve">de la paga extraordinaria que va del 1 de junio de 2012 al14 de julio de 2012, podrían suponer una aplicación retroactiva de una norma restrictiva de los derechos retributivos del funcionario recurrente, lo que estaría prohibido por el art. 9.3 CE, suponiendo, de hecho, una expropiación del salario, en concreto de dicha parte de paga extraordinaria, lo que vendría a suponer una vulneración del derecho </w:t>
      </w:r>
      <w:r w:rsidRPr="00AC56D6">
        <w:rPr>
          <w:i/>
        </w:rPr>
        <w:t>ex</w:t>
      </w:r>
      <w:r>
        <w:t xml:space="preserve"> art. 33.3 CE. Señala al respecto que la paga se hubiera abonado, de no haberse suprimido, el día 1 de diciembre de 2012, por referencia al trabajo de los seis meses anteriores (art. 17 de la Ley 1/2012, de 24 de enero, de presupuestos generales de la Comunidad Autónoma de Extremadura).</w:t>
      </w:r>
    </w:p>
    <w:p w:rsidR="00AC56D6" w:rsidRDefault="00AC56D6" w:rsidP="00AC56D6">
      <w:pPr>
        <w:pStyle w:val="TextoNormal"/>
      </w:pPr>
    </w:p>
    <w:p w:rsidR="00AC56D6" w:rsidRDefault="00AC56D6" w:rsidP="00AC56D6">
      <w:pPr>
        <w:pStyle w:val="TextoNormal"/>
      </w:pPr>
      <w:r>
        <w:t xml:space="preserve">Más tarde, citando </w:t>
      </w:r>
      <w:r w:rsidRPr="00AC56D6">
        <w:rPr>
          <w:i/>
        </w:rPr>
        <w:t>sensu contrario</w:t>
      </w:r>
      <w:r>
        <w:t xml:space="preserve"> la doctrina del ATC 180/2011, de 13 de diciembre, el órgano judicial considera que la supresión de la parte proporcional de la paga extra podría suponer la indebida aplicación retroactiva de las normas del Real Decreto-ley citadas, restringiendo derechos del funcionario recurrente, que se vería expropiado de la parte proporcional del salario devengado, en concreto de la parte consiguiente al trabajo realizado entre el 1 de junio y el 14 de julio de 2012. Por tanto, según el órgano judicial, al haberse suprimido la paga extra en cuestión se podría estar produciendo una expropiación de los derechos económicos del funcionario vulneradora del art. 33. 3 CE, y todo ello como consecuencia de una aplicación retroactiva de una norma restrictiva de derechos salariales, algo prohibido por el art. 9.3 CE.</w:t>
      </w:r>
    </w:p>
    <w:p w:rsidR="00AC56D6" w:rsidRDefault="00AC56D6" w:rsidP="00AC56D6">
      <w:pPr>
        <w:pStyle w:val="TextoNormal"/>
      </w:pPr>
    </w:p>
    <w:p w:rsidR="00AC56D6" w:rsidRDefault="00AC56D6" w:rsidP="00AC56D6">
      <w:pPr>
        <w:pStyle w:val="TextoNormal"/>
      </w:pPr>
      <w:r>
        <w:t>Finalmente, el Auto exterioriza los debidos juicios de aplicabilidad y relevancia indicando que “el sentido del presente recurso depende de la validez de los preceptos de cuya constitucionalidad se duda por ser los directamente tenidos en cuenta en la resolución recurrida para denegar la reclamación del hoy recurrente”.</w:t>
      </w:r>
    </w:p>
    <w:p w:rsidR="00AC56D6" w:rsidRDefault="00AC56D6" w:rsidP="00AC56D6">
      <w:pPr>
        <w:pStyle w:val="TextoNormal"/>
      </w:pPr>
    </w:p>
    <w:p w:rsidR="00AC56D6" w:rsidRDefault="00AC56D6" w:rsidP="00AC56D6">
      <w:pPr>
        <w:pStyle w:val="TextoNormal"/>
      </w:pPr>
      <w:r w:rsidRPr="00AC56D6">
        <w:rPr>
          <w:rStyle w:val="NumeroAFNegritaCaracter"/>
        </w:rPr>
        <w:t>4</w:t>
      </w:r>
      <w:r>
        <w:t>. El Pleno de este Tribunal, a propuesta de la Sección Tercera, acordó admitir a trámite la cuestión mediante providencia de 11 de febrero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de lo Contencioso-Administrativo núm. 1 de Cáceres,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Por escrito registrado el 19 de febrero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AC56D6" w:rsidRDefault="00AC56D6" w:rsidP="00AC56D6">
      <w:pPr>
        <w:pStyle w:val="TextoNormal"/>
      </w:pPr>
    </w:p>
    <w:p w:rsidR="00AC56D6" w:rsidRDefault="00AC56D6" w:rsidP="00AC56D6">
      <w:pPr>
        <w:pStyle w:val="TextoNormal"/>
      </w:pPr>
      <w:r>
        <w:t>Mediante escrito registrado el 6 de marzo de 2014, el Presidente del Senado comunicó a este Tribunal el acuerdo de la Mesa para que se diera por personada a la Cámara y por ofrecida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6</w:t>
      </w:r>
      <w:r>
        <w:t>. El Abogado del Estado, mediante escrito de alegaciones registrado el 4 de marzo de 2014, se personó interesando la desestimación de la cuestión de inconstitucionalidad por las razones que, resumidamente, se exponen a continuación.</w:t>
      </w:r>
    </w:p>
    <w:p w:rsidR="00AC56D6" w:rsidRDefault="00AC56D6" w:rsidP="00AC56D6">
      <w:pPr>
        <w:pStyle w:val="TextoNormal"/>
      </w:pPr>
    </w:p>
    <w:p w:rsidR="00AC56D6" w:rsidRDefault="00AC56D6" w:rsidP="00AC56D6">
      <w:pPr>
        <w:pStyle w:val="TextoNormal"/>
      </w:pPr>
      <w:r>
        <w:t>Comienza destacando que el Auto de planteamiento se limita a cuestionar expresamente los arts. 2.1 y 2.2.1 del Real Decreto-ley 20/2012.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00AC56D6" w:rsidRDefault="00AC56D6" w:rsidP="00AC56D6">
      <w:pPr>
        <w:pStyle w:val="TextoNormal"/>
      </w:pPr>
    </w:p>
    <w:p w:rsidR="00AC56D6" w:rsidRDefault="00AC56D6" w:rsidP="00AC56D6">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AC56D6" w:rsidRDefault="00AC56D6" w:rsidP="00AC56D6">
      <w:pPr>
        <w:pStyle w:val="TextoNormal"/>
      </w:pPr>
    </w:p>
    <w:p w:rsidR="00AC56D6" w:rsidRDefault="00AC56D6" w:rsidP="00AC56D6">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00AC56D6" w:rsidRDefault="00AC56D6" w:rsidP="00AC56D6">
      <w:pPr>
        <w:pStyle w:val="TextoNormal"/>
      </w:pPr>
    </w:p>
    <w:p w:rsidR="00AC56D6" w:rsidRDefault="00AC56D6" w:rsidP="00AC56D6">
      <w:pPr>
        <w:pStyle w:val="TextoNormal"/>
      </w:pPr>
      <w: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w:t>
      </w:r>
      <w:r>
        <w:lastRenderedPageBreak/>
        <w:t>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00AC56D6" w:rsidRDefault="00AC56D6" w:rsidP="00AC56D6">
      <w:pPr>
        <w:pStyle w:val="TextoNormal"/>
      </w:pPr>
    </w:p>
    <w:p w:rsidR="00AC56D6" w:rsidRDefault="00AC56D6" w:rsidP="00AC56D6">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w:t>
      </w:r>
    </w:p>
    <w:p w:rsidR="00AC56D6" w:rsidRDefault="00AC56D6" w:rsidP="00AC56D6">
      <w:pPr>
        <w:pStyle w:val="TextoNormal"/>
      </w:pPr>
    </w:p>
    <w:p w:rsidR="00AC56D6" w:rsidRDefault="00AC56D6" w:rsidP="00AC56D6">
      <w:pPr>
        <w:pStyle w:val="TextoNormal"/>
      </w:pPr>
      <w:r>
        <w:t>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w:t>
      </w:r>
      <w:r>
        <w:lastRenderedPageBreak/>
        <w:t>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AC56D6" w:rsidRDefault="00AC56D6" w:rsidP="00AC56D6">
      <w:pPr>
        <w:pStyle w:val="TextoNormal"/>
      </w:pPr>
    </w:p>
    <w:p w:rsidR="00AC56D6" w:rsidRDefault="00AC56D6" w:rsidP="00AC56D6">
      <w:pPr>
        <w:pStyle w:val="TextoNormal"/>
      </w:pPr>
      <w:r w:rsidRPr="00AC56D6">
        <w:rPr>
          <w:rStyle w:val="NumeroAFNegritaCaracter"/>
        </w:rPr>
        <w:t>7</w:t>
      </w:r>
      <w:r>
        <w:t>. El Fiscal General del Estado presentó escrito de alegaciones ante este Tribunal el 30 de septiembre de 2014 interesando la estimación de la presente cuestión de inconstitucionalidad.</w:t>
      </w:r>
    </w:p>
    <w:p w:rsidR="00AC56D6" w:rsidRDefault="00AC56D6" w:rsidP="00AC56D6">
      <w:pPr>
        <w:pStyle w:val="TextoNormal"/>
      </w:pPr>
    </w:p>
    <w:p w:rsidR="00AC56D6" w:rsidRDefault="00AC56D6" w:rsidP="00AC56D6">
      <w:pPr>
        <w:pStyle w:val="TextoNormal"/>
      </w:pPr>
      <w:r>
        <w:t>El Fiscal considera, en primer lugar,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AC56D6" w:rsidRDefault="00AC56D6" w:rsidP="00AC56D6">
      <w:pPr>
        <w:pStyle w:val="TextoNormal"/>
      </w:pPr>
    </w:p>
    <w:p w:rsidR="00AC56D6" w:rsidRDefault="00AC56D6" w:rsidP="00AC56D6">
      <w:pPr>
        <w:pStyle w:val="TextoNormal"/>
      </w:pPr>
      <w:r>
        <w:t>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w:t>
      </w:r>
    </w:p>
    <w:p w:rsidR="00AC56D6" w:rsidRDefault="00AC56D6" w:rsidP="00AC56D6">
      <w:pPr>
        <w:pStyle w:val="TextoNormal"/>
      </w:pPr>
    </w:p>
    <w:p w:rsidR="00AC56D6" w:rsidRDefault="00AC56D6" w:rsidP="00AC56D6">
      <w:pPr>
        <w:pStyle w:val="TextoNormal"/>
      </w:pPr>
      <w:r>
        <w:t xml:space="preserve">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w:t>
      </w:r>
      <w:r w:rsidRPr="00AC56D6">
        <w:rPr>
          <w:i/>
        </w:rPr>
        <w:t>N.K.M. v.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artículo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lastRenderedPageBreak/>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máxime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t>El Fiscal General del Estado concluye sus alegaciones precisando que en el Auto de planteamiento no se cuestiona todo el art. 2 del Real Decreto-ley 20/2012 sino en concreto, sus apartados 2.1 y 2.2.1 ya que éstos son los que resultan aplicables para resolver el pleito sometido a su conocimiento y relevante en cuánto el recurso del proceso subyacente se refiere exclusivamente al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 en tanto, con respecto a los funcionarios la paga extraordinaria correspondiente al mes de diciembre se comienza a devengar en la fecha de 1 de junio de tal período.</w:t>
      </w:r>
    </w:p>
    <w:p w:rsidR="00AC56D6" w:rsidRDefault="00AC56D6" w:rsidP="00AC56D6">
      <w:pPr>
        <w:pStyle w:val="TextoNormal"/>
      </w:pPr>
    </w:p>
    <w:p w:rsidR="00AC56D6" w:rsidRDefault="00AC56D6" w:rsidP="00AC56D6">
      <w:pPr>
        <w:pStyle w:val="TextoNormal"/>
      </w:pPr>
      <w:r w:rsidRPr="00AC56D6">
        <w:rPr>
          <w:rStyle w:val="NumeroAFNegritaCaracter"/>
        </w:rPr>
        <w:t>8</w:t>
      </w:r>
      <w:r>
        <w:t>. La Sala Segunda de este Tribunal acordó mediante providencia de 12 de junio de 2015, y de conformidad con el art. 88.1 LOTC, “dirigir atenta comunicación a la Universidad de Extremadura, a fin de que indique a este Tribunal si, en atención a lo previsto en la disposición adicional 12ª de la Ley 36/2014, de Presupuestos Generales del Estado para el año 2015, o por cualquier otra circunstancia, ha satisfecho a D. [R.V.G.] (funcionario de los cuerpos docentes universitarios) cantidad en concepto de recuperación de la parte proporcional de la paga extraordinaria, de la paga adicional de complemento específico o de la pagas adicionales equivalentes, todas ellas correspondientes al mes de diciembre de 2012; especificando, en su caso, el número de días de la citada paga a los que corresponden las cuantías abonadas”.</w:t>
      </w:r>
    </w:p>
    <w:p w:rsidR="00AC56D6" w:rsidRDefault="00AC56D6" w:rsidP="00AC56D6">
      <w:pPr>
        <w:pStyle w:val="TextoNormal"/>
      </w:pPr>
    </w:p>
    <w:p w:rsidR="00AC56D6" w:rsidRDefault="00AC56D6" w:rsidP="00AC56D6">
      <w:pPr>
        <w:pStyle w:val="TextoNormal"/>
      </w:pPr>
      <w:r>
        <w:t xml:space="preserve">Mediante escrito registrado en el Tribunal Constitucional el día 28 de julio de 2015, la Universidad de Extremadura evacuó el referido traslado, adjuntando a este escrito certificación firmada por la Jefa de la sección de retribuciones y Seguridad Social de dicha institución el día 14 de julio de 2015, según la cual “conforme a los datos existentes en esta Sección, D. [R.V.G.] (funcionario de los cuerpos docentes) ha sido satisfecho por el periodo </w:t>
      </w:r>
      <w:r>
        <w:lastRenderedPageBreak/>
        <w:t>comprendido entre el 1 de junio y el 14 de julio, ambos inclusive, en concepto de recuperación de la parte proporcional de la paga extraordinaria y de la paga adicional de complemento específico correspondiente al mes de diciembre de 2012”.</w:t>
      </w:r>
    </w:p>
    <w:p w:rsidR="00AC56D6" w:rsidRDefault="00AC56D6" w:rsidP="00AC56D6">
      <w:pPr>
        <w:pStyle w:val="TextoNormal"/>
      </w:pPr>
    </w:p>
    <w:p w:rsidR="00AC56D6" w:rsidRDefault="00AC56D6" w:rsidP="00AC56D6">
      <w:pPr>
        <w:pStyle w:val="TextoNormal"/>
      </w:pPr>
      <w:r w:rsidRPr="00AC56D6">
        <w:rPr>
          <w:rStyle w:val="NumeroAFNegritaCaracter"/>
        </w:rPr>
        <w:t>9</w:t>
      </w:r>
      <w:r>
        <w:t>. Por providencia de 17 de septiembre de 2015 se señaló para deliberación y votación de la presente Sentencia el día 21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Juzgado de lo Contencioso-Administrativo núm. 1 de Cáceres plantea cuestión de inconstitucionalidad respecto de los arts. 2.1 y 2.2.1 del Real Decreto-ley 20/2012, de 13 de julio, de medidas para garantizar la estabilidad presupuestaria y de fomento de la competitividad, preceptos que, en lo que aquí importa, disponen para el personal funcionario de todas las Administraciones públicas la supresión de la paga extraordinaria y de la paga adicional de complemento específico o pagas adicionales equivalentes del mes de diciembre de 2012. En síntesis, el Juzgado entiende que los arts. 2.1 y 2.2.1 del Real Decreto-ley 20/2012, en su aplicación al personal funcionario, pueden vulnerar el principio constitucional de interdicción de la retroactividad de las disposiciones sancionadoras no favorables o restrictivas de derechos individuales consagrado en el art. 9.3 CE, así como desconocer la prohibición de expropiación sin compensación ex art. 33.3 CE, en ambos casos por no contemplar excepción alguna respecto de las cuantías ya devengadas al momento de la entrada en vigor del Real Decreto-ley 20/2012 (esto es, desde el 1de junio al 14 de julio de 2012).</w:t>
      </w:r>
    </w:p>
    <w:p w:rsidR="00AC56D6" w:rsidRDefault="00AC56D6" w:rsidP="00AC56D6">
      <w:pPr>
        <w:pStyle w:val="TextoNormal"/>
      </w:pPr>
    </w:p>
    <w:p w:rsidR="00AC56D6" w:rsidRDefault="00AC56D6" w:rsidP="00AC56D6">
      <w:pPr>
        <w:pStyle w:val="TextoNormal"/>
      </w:pPr>
      <w:r>
        <w:t>En los términos en que han sido recogidos en los antecedentes de esta Sentencia, el Fiscal General del Estado coincide con el juicio de inconstitucionalidad formulado por el Auto de planteamiento de la cuestión en cuanto a la vulneración del art. 9.3 CE, por lo que interesa la estimación de la misma, mientras que el Abogado del Estado solicita su desestimación.</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al análisis de la cuestión planteada conviene realizar una serie de precisiones para acotar debidamente el objeto de la misma y el alcance de nuestro enjuiciamiento.</w:t>
      </w:r>
    </w:p>
    <w:p w:rsidR="00AC56D6" w:rsidRDefault="00AC56D6" w:rsidP="00AC56D6">
      <w:pPr>
        <w:pStyle w:val="TextoNormal"/>
      </w:pPr>
    </w:p>
    <w:p w:rsidR="00AC56D6" w:rsidRDefault="00AC56D6" w:rsidP="00AC56D6">
      <w:pPr>
        <w:pStyle w:val="TextoNormal"/>
      </w:pPr>
      <w:r>
        <w:t>a) Así, en primer lugar, resulta obligado enfatizar que el Juzgado de lo Contencioso-Administrativo núm. 1 de Cáceres plantea la cuestión de inconstitucionalidad respecto de los arts. 2.1 y 2.2.1 del Real Decreto-ley 20/2012, y no respecto del art. 2 en su integridad.</w:t>
      </w:r>
    </w:p>
    <w:p w:rsidR="00AC56D6" w:rsidRDefault="00AC56D6" w:rsidP="00AC56D6">
      <w:pPr>
        <w:pStyle w:val="TextoNormal"/>
      </w:pPr>
    </w:p>
    <w:p w:rsidR="00AC56D6" w:rsidRDefault="00AC56D6" w:rsidP="00AC56D6">
      <w:pPr>
        <w:pStyle w:val="TextoNormal"/>
      </w:pPr>
      <w:r>
        <w:t>De este modo, en los términos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2.1 del art. 2 del Real Decreto-ley 20/2012, que se refiere específicamente a la supresión de la paga o gratificación extraordinaria de diciembre de 2012 o equivalente al personal funcionario.</w:t>
      </w:r>
    </w:p>
    <w:p w:rsidR="00AC56D6" w:rsidRDefault="00AC56D6" w:rsidP="00AC56D6">
      <w:pPr>
        <w:pStyle w:val="TextoNormal"/>
      </w:pPr>
    </w:p>
    <w:p w:rsidR="00AC56D6" w:rsidRDefault="00AC56D6" w:rsidP="00AC56D6">
      <w:pPr>
        <w:pStyle w:val="TextoNormal"/>
      </w:pPr>
      <w:r>
        <w:t xml:space="preserve">b) Por otra parte debe tenerse en cuenta que no se cuestiona por el Juzgado de lo Contencioso-Administrativo núm. 1 de Cáceres la medida de supresión de la paga extraordinaria </w:t>
      </w:r>
      <w:r>
        <w:lastRenderedPageBreak/>
        <w:t xml:space="preserve">de diciembre de 2012 en sí misma considerada (que es la pretensión principal que se deduce por los demandantes en el proceso </w:t>
      </w:r>
      <w:r w:rsidRPr="00AC56D6">
        <w:rPr>
          <w:i/>
        </w:rPr>
        <w:t>a quo</w:t>
      </w:r>
      <w:r>
        <w:t>, como se ha dicho), sino sólo en cuanto su aplicación haya podido suponer la infracción del principio de irretroactividad establecido en el art. 9.3 CE o conllevar una expropiación sin compensación prohibida por el art. 33 CE, al no contemplar excepción alguna respecto de las cuantías que se entienden ya devengadas de dicha paga extra (en concreto, cuarenta y cuatro días correspondientes a los servicios prestados entre el 1 de junio de 2012 y el 14 de julio de 2012) a la fecha de entrada en vigor del Real Decreto-ley 20/2012 (que tuvo lugar el 15 de julio de 2012, conforme a su disposición final decimoquinta), ni fijar indemnización alguna por la supresión de un derecho patrimonial. A esta concreta duda de constitucionalidad deberá, pues, ceñirse nuestro enjuiciamiento.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Antes de enjuiciar el fondo de la cuestión planteada, tal como la hemos delimitado en el fundamento jurídico precedente, procede examinar si su objeto pervive. Constatamos a partir del análisis de la certificación de 14 de julio de 2015 firmada por la jefa de la sección de retribuciones y Seguridad Social, comunicada por la Universidad de Extremadura al Tribunal Constitucional en cumplimiento del requerimiento que éste le dirigió con arreglo al art. 88.1 LOTC, que “conforme a los datos existentes en esta Sección, Don [R.V.G.] (funcionario de los cuerpos docentes) ha sido satisfecho por el periodo comprendido entre el 1 de junio y el 14 de julio, ambos inclusive, en concepto de recuperación de la parte proporcional de la paga extraordinaria y de la paga adicional de complemento específico correspondiente al mes de diciembre de 2012”.</w:t>
      </w:r>
    </w:p>
    <w:p w:rsidR="00AC56D6" w:rsidRDefault="00AC56D6" w:rsidP="00AC56D6">
      <w:pPr>
        <w:pStyle w:val="TextoNormal"/>
      </w:pPr>
    </w:p>
    <w:p w:rsidR="00AC56D6" w:rsidRDefault="00AC56D6" w:rsidP="00AC56D6">
      <w:pPr>
        <w:pStyle w:val="TextoNormal"/>
      </w:pPr>
      <w:r>
        <w:t>Resulta, por otra parte, que mediante Acuerdo del Consejo de Gobierno de 15 de abril de 2014, se decidió, ratificando el Acuerdo de 14 de marzo de 2014 de la Mesa General de Negociación prevista en el art. 36.3 de la ley 7/2007, de 12 de abril, del estatuto básico del empleado público, que la Comunidad Autónoma de Extremadura “procederá al abono de los 44 días devengados correspondientes a la paga extraordinaria del mes de diciembre de 2012, suprimida por imposición directa del Real Decreto-ley 20/2012, de 13 de julio, de medidas para garantizar la estabilidad presupuestaria y de fomento de la competitividad, en los siguientes términos: —Abono del 70% de las cantidades devengadas, a todos los empleados públicos de la Administración de la Comunidad Autónoma de Extremadura en el mes de abril de 2014— Abono del 30% restante a todos los empleados públicos de la Comunidad Autónoma de Extremadura en enero de 2015”.</w:t>
      </w:r>
    </w:p>
    <w:p w:rsidR="00AC56D6" w:rsidRDefault="00AC56D6" w:rsidP="00AC56D6">
      <w:pPr>
        <w:pStyle w:val="TextoNormal"/>
      </w:pPr>
    </w:p>
    <w:p w:rsidR="00AC56D6" w:rsidRDefault="00AC56D6" w:rsidP="00AC56D6">
      <w:pPr>
        <w:pStyle w:val="TextoNormal"/>
      </w:pPr>
      <w:r>
        <w:t>Este Tribunal aprecia igualmente que la disposición adicional duodécima de la Ley 36/2014, de 26 de diciembre, de presupuestos generales del Estado para 2015, bajo el epígrafe “recuperación de la paga extraordinaria y adicional del mes de diciembre de 2012”, establece, en su apartado primero,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00AC56D6" w:rsidRDefault="00AC56D6" w:rsidP="00AC56D6">
      <w:pPr>
        <w:pStyle w:val="TextoNormal"/>
      </w:pPr>
    </w:p>
    <w:p w:rsidR="00AC56D6" w:rsidRDefault="00AC56D6" w:rsidP="00AC56D6">
      <w:pPr>
        <w:pStyle w:val="TextoNormal"/>
      </w:pPr>
      <w:r>
        <w:t>Como consecuencia de lo dispuesto en el acuerdo y en la normativa que se ha citado, debemos remitirnos a lo dicho recientemente en nuestra STC 83/2015, de 30 de abril, sobre la posible pérdida de objeto de la cuestión de inconstitucionalidad.</w:t>
      </w:r>
    </w:p>
    <w:p w:rsidR="00AC56D6" w:rsidRDefault="00AC56D6" w:rsidP="00AC56D6">
      <w:pPr>
        <w:pStyle w:val="TextoNormal"/>
      </w:pPr>
    </w:p>
    <w:p w:rsidR="00AC56D6" w:rsidRDefault="00AC56D6" w:rsidP="00AC56D6">
      <w:pPr>
        <w:pStyle w:val="TextoNormal"/>
      </w:pPr>
      <w:r>
        <w:t xml:space="preserve">En el fundamento jurídico tercero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presente— ni se había producido la extinción del procedimiento </w:t>
      </w:r>
      <w:r w:rsidRPr="00AC56D6">
        <w:rPr>
          <w:i/>
        </w:rPr>
        <w:t>a quo</w:t>
      </w:r>
      <w:r>
        <w:t xml:space="preserve">, ni tampoco nos encontrábamos ante un supuesto de pérdida de vigencia del precepto legal cuestionado, ello no obstante era innegable la incidencia que tenía la medida contenida en la disposición adicional duodécima de la Ley 36/2014, de presupuestos generales del Estado para 2015, sobre la pretensión deducida en el pleito </w:t>
      </w:r>
      <w:r w:rsidRPr="00AC56D6">
        <w:rPr>
          <w:i/>
        </w:rPr>
        <w:t>a quo</w:t>
      </w:r>
      <w:r>
        <w:t>, “que afecta de modo determinante a la subsistencia del presente proceso constitucional, dada la estrecha vinculación existente entre toda cuestión de inconstitucionalidad y el procedimiento judicial de que dimana”.</w:t>
      </w:r>
    </w:p>
    <w:p w:rsidR="00AC56D6" w:rsidRDefault="00AC56D6" w:rsidP="00AC56D6">
      <w:pPr>
        <w:pStyle w:val="TextoNormal"/>
      </w:pPr>
    </w:p>
    <w:p w:rsidR="00AC56D6" w:rsidRDefault="00AC56D6" w:rsidP="00AC56D6">
      <w:pPr>
        <w:pStyle w:val="TextoNormal"/>
      </w:pPr>
      <w:r>
        <w:t>En la presente cuestión de inconstitucionalidad se plantea si la supresión del derecho de don R.V.G., funcionario de los cuerpos docentes que realiza sus funciones en la Universidad de Extremadura, a percibir la parte proporcional (en concreto, 44 días) de la paga extra de diciembre de 2012 contraviene, por entenderse ya devengada al momento de la entrada en vigor del Real Decreto-ley 20/2012, los arts. 9.3 y 33.3 CE. En esos términos planteada la cuestión es obligado concluir como hicimos en la STC 83/2015 que “la recuperación por esos trabajadores de la parte proporcional correspondiente a los primeros 44 días de la paga extra de diciembre de 2012”, en virtud de lo establecido en el citado acuerdo del Consejo de Gobierno de 14 de marzo de 2014,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00AC56D6" w:rsidRDefault="00AC56D6" w:rsidP="00AC56D6">
      <w:pPr>
        <w:pStyle w:val="TextoNormal"/>
      </w:pPr>
    </w:p>
    <w:p w:rsidR="00AC56D6" w:rsidRDefault="00AC56D6" w:rsidP="00AC56D6">
      <w:pPr>
        <w:pStyle w:val="TextoNormal"/>
      </w:pPr>
      <w:r>
        <w:t>Conforme a lo expuesto, lo dispuesto en el referido Acuerdo del Consejo de Gobierno de 14 de marzo de 2014 y su aplicación efectiva respecto de don R.V.G. (acreditada por la citada certificación de 14 de julio de 2015 firmada por la jefa de la sección de retribuciones y Seguridad Social), que aparece como demandante en el pleito a quo, y sobre cuya pretensión se articula la duda de constitucionalidad, determinan la extinción de la presente cuestión de inconstitucionalidad, pues, “aun cuando el enjuiciamiento constitucional de la norma cuestionada sigue siendo posible y ésta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de 14 de abril, FJ 3; y en el mismo sentido AATC 340/2013, de 21 de octubre, FJ único, y 75/2004, de 9 de marzo, FJ único).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lastRenderedPageBreak/>
        <w:t>Ha decidido</w:t>
      </w:r>
    </w:p>
    <w:p w:rsidR="00AC56D6" w:rsidRDefault="00AC56D6" w:rsidP="00AC56D6">
      <w:pPr>
        <w:pStyle w:val="TextoNormalCentrado"/>
        <w:keepNext/>
      </w:pPr>
    </w:p>
    <w:p w:rsidR="00AC56D6" w:rsidRDefault="00AC56D6" w:rsidP="00AC56D6">
      <w:pPr>
        <w:pStyle w:val="TextoNormal"/>
      </w:pPr>
      <w:r>
        <w:t>Declarar la extinción de la presente causa de inconstitucionalidad por pérdida sobrevenida de su objeto.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veintiuno de septiembre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47" w:name="SENTENCIA_2015_191"/>
      <w:r>
        <w:lastRenderedPageBreak/>
        <w:t>SENTENCIA 191/2015, de 21 de septiembre de 2015</w:t>
      </w:r>
    </w:p>
    <w:bookmarkEnd w:id="47"/>
    <w:p w:rsidR="00AC56D6" w:rsidRDefault="00AC56D6" w:rsidP="00AC56D6">
      <w:pPr>
        <w:pStyle w:val="TtuloResolucin"/>
      </w:pPr>
      <w:r>
        <w:t>Sala Segunda</w:t>
      </w:r>
    </w:p>
    <w:p w:rsidR="00AC56D6" w:rsidRDefault="00AC56D6" w:rsidP="00AC56D6">
      <w:pPr>
        <w:pStyle w:val="TtuloBOE"/>
      </w:pPr>
      <w:r>
        <w:t>(BOE núm. 260, de 30 de octubre de 2015)</w:t>
      </w:r>
    </w:p>
    <w:p w:rsidR="00AC56D6" w:rsidRDefault="00AC56D6" w:rsidP="00AC56D6">
      <w:pPr>
        <w:pStyle w:val="TextoNormalCentrado"/>
      </w:pPr>
      <w:r>
        <w:t>ECLI:ES:TC:2015:191</w:t>
      </w:r>
    </w:p>
    <w:p w:rsidR="00AC56D6" w:rsidRDefault="00AC56D6" w:rsidP="00AC56D6">
      <w:pPr>
        <w:pStyle w:val="TextoNormalCentrado"/>
      </w:pPr>
    </w:p>
    <w:p w:rsidR="00AC56D6" w:rsidRDefault="00AC56D6" w:rsidP="00AC56D6">
      <w:pPr>
        <w:pStyle w:val="SntesisDescriptiva"/>
      </w:pPr>
      <w:r>
        <w:t>Cuestión de inconstitucionalidad 7492-2013. Planteada por el Juzgado de lo Social núm. 5 de Santa Cruz de Tenerife en relación con el artículo 2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y expropiación de derechos económicos: extinción, por pérdida de objeto, de la cuestión de inconstitucionalidad (STC 83/2015).</w:t>
      </w:r>
    </w:p>
    <w:p w:rsidR="00AC56D6" w:rsidRDefault="00AC56D6" w:rsidP="00AC56D6">
      <w:pPr>
        <w:pStyle w:val="SntesisAnaltica"/>
      </w:pPr>
    </w:p>
    <w:p w:rsidR="00AC56D6" w:rsidRDefault="00AC56D6" w:rsidP="00AC56D6">
      <w:pPr>
        <w:pStyle w:val="Extracto"/>
      </w:pPr>
      <w:r>
        <w:t>1.</w:t>
      </w:r>
      <w:r>
        <w:tab/>
        <w:t>La satisfacción extraprocesal de la pretensión deducida en el proceso laboral sobre la que se articula la cuestión de inconstitucionalidad le hace perder su objeto al ser dicha satisfacción uno de los posibles supuestos de extinción de la cuestión de inconstitucionalidad (STC 83/2015) [FJ 3].</w:t>
      </w:r>
    </w:p>
    <w:p w:rsidR="00AC56D6" w:rsidRDefault="00AC56D6" w:rsidP="00AC56D6">
      <w:pPr>
        <w:pStyle w:val="Extracto"/>
      </w:pPr>
    </w:p>
    <w:p w:rsidR="00AC56D6" w:rsidRDefault="00AC56D6" w:rsidP="00AC56D6">
      <w:pPr>
        <w:pStyle w:val="Extracto"/>
      </w:pPr>
      <w:r>
        <w:t>2.</w:t>
      </w:r>
      <w:r>
        <w:tab/>
        <w:t>Doctrina sobre las posibles causas de terminación extraordinaria de las cuestiones de inconstitucionalidad por pérdida sobrevenida de objeto (STC 83/2015) [FJ 3].</w:t>
      </w:r>
    </w:p>
    <w:p w:rsidR="00AC56D6" w:rsidRDefault="00AC56D6" w:rsidP="00AC56D6">
      <w:pPr>
        <w:pStyle w:val="Extracto"/>
      </w:pPr>
    </w:p>
    <w:p w:rsidR="00AC56D6" w:rsidRDefault="00AC56D6" w:rsidP="00AC56D6">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7492-2013, promovida por el Juzgado de lo Social núm. 5 de Santa Cruz de Tenerife, en relación con el art. 2 del Real Decreto-ley 20/2012, de 13 de julio, de medidas para garantizar la estabilidad presupuestaria y de fomento de la competitividad. Ha comparecido y formulado alegaciones el Abogado del Estado. Ha intervenido el Fiscal General del Estado. Ha sido Ponente el Magistrado don Fernando Valdés Dal-Ré,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Con fecha 27 de diciembre de 2013 tuvo entrada en el Registro General del Tribunal Constitucional un oficio del Juzgado de lo Social núm. 5 de Santa Cruz de Tenerife, de 2 de diciembre de 2013, al que se acompañaba, junto al testimonio del correspondiente procedimiento, el Auto de 2 de diciembre de 2013 por el que se acuerda plantear cuestión de inconstitucionalidad en relación con el art. 2 del Real Decreto-ley 20/2012, de 13 de julio, de medidas para garantizar la estabilidad presupuestaria y de fomento de la competitividad, por posible vulneración de los arts. 9.3 y 33.3 CE, en su aplicación al personal laboral del sector público.</w:t>
      </w:r>
    </w:p>
    <w:p w:rsidR="00AC56D6" w:rsidRDefault="00AC56D6" w:rsidP="00AC56D6">
      <w:pPr>
        <w:pStyle w:val="TextoNormal"/>
      </w:pPr>
    </w:p>
    <w:p w:rsidR="00AC56D6" w:rsidRDefault="00AC56D6" w:rsidP="00AC56D6">
      <w:pPr>
        <w:pStyle w:val="TextoNormal"/>
      </w:pPr>
      <w:r w:rsidRPr="00AC56D6">
        <w:rPr>
          <w:rStyle w:val="NumeroAFNegritaCaracter"/>
        </w:rPr>
        <w:t>2</w:t>
      </w:r>
      <w:r>
        <w:t>. Resumidamente, los antecedentes del planteamiento de la presente cuestión de inconstitucionalidad son los siguientes:</w:t>
      </w:r>
    </w:p>
    <w:p w:rsidR="00AC56D6" w:rsidRDefault="00AC56D6" w:rsidP="00AC56D6">
      <w:pPr>
        <w:pStyle w:val="TextoNormal"/>
      </w:pPr>
    </w:p>
    <w:p w:rsidR="00AC56D6" w:rsidRDefault="00AC56D6" w:rsidP="00AC56D6">
      <w:pPr>
        <w:pStyle w:val="TextoNormal"/>
      </w:pPr>
      <w:r>
        <w:t>a) El comité de empresa del personal docente, investigador y becario de la Universidad de La Laguna interpuso demanda de conflicto colectivo contra la citada Universidad, impugnando la detracción de haberes producida en aplicación del precepto cuestionado. Se opuso tanto a la supresión de la paga extraordinaria del mes de diciembre de 2012 como a la aplicación retroactiva de la norma, al afectar al periodo de devengo anterior a la entrada en vigor del Real Decreto-ley 20/2012 (15 de julio de 2012).</w:t>
      </w:r>
    </w:p>
    <w:p w:rsidR="00AC56D6" w:rsidRDefault="00AC56D6" w:rsidP="00AC56D6">
      <w:pPr>
        <w:pStyle w:val="TextoNormal"/>
      </w:pPr>
    </w:p>
    <w:p w:rsidR="00AC56D6" w:rsidRDefault="00AC56D6" w:rsidP="00AC56D6">
      <w:pPr>
        <w:pStyle w:val="TextoNormal"/>
      </w:pPr>
      <w:r>
        <w:t>b) Concluso el procedimiento y dentro del plazo para dictar Sentencia, por providencia de 14 de octubre de 2013, el órgano judicial acordó oír a las partes y al Ministerio Fiscal para que alegasen sobre la pertinencia de plantear cuestión de inconstitucionalidad en relación con el art. 2 del citado Real Decreto-ley 20/2012. La duda de constitucionalidad se concreta en la posible infracción de los arts. 9.3 y 33.3 CE, en la medida en que la supresión de la totalidad de la paga extraordinaria, sin excepcionar la parte proporcional ya devengada a su entrada en vigor, podría considerarse una norma retroactiva restrictiva de derechos individuales y una expropiación forzosa de un derecho patrimonial sin indemnización.</w:t>
      </w:r>
    </w:p>
    <w:p w:rsidR="00AC56D6" w:rsidRDefault="00AC56D6" w:rsidP="00AC56D6">
      <w:pPr>
        <w:pStyle w:val="TextoNormal"/>
      </w:pPr>
    </w:p>
    <w:p w:rsidR="00AC56D6" w:rsidRDefault="00AC56D6" w:rsidP="00AC56D6">
      <w:pPr>
        <w:pStyle w:val="TextoNormal"/>
      </w:pPr>
      <w:r>
        <w:t>c) Evacuado dicho trámite, por Auto de 2 de diciembre de 2013 el Juzgado de lo Social núm. 5 de Santa Cruz de Tenerife acordó la elevación de la presente cuestión de inconstitucionalidad.</w:t>
      </w:r>
    </w:p>
    <w:p w:rsidR="00AC56D6" w:rsidRDefault="00AC56D6" w:rsidP="00AC56D6">
      <w:pPr>
        <w:pStyle w:val="TextoNormal"/>
      </w:pPr>
    </w:p>
    <w:p w:rsidR="00AC56D6" w:rsidRDefault="00AC56D6" w:rsidP="00AC56D6">
      <w:pPr>
        <w:pStyle w:val="TextoNormal"/>
      </w:pPr>
      <w:r w:rsidRPr="00AC56D6">
        <w:rPr>
          <w:rStyle w:val="NumeroAFNegritaCaracter"/>
        </w:rPr>
        <w:t>3</w:t>
      </w:r>
      <w:r>
        <w:t>. La duda de constitucionalidad se fundamenta en el Auto de planteamiento en los razonamientos que a continuación se resumen:</w:t>
      </w:r>
    </w:p>
    <w:p w:rsidR="00AC56D6" w:rsidRDefault="00AC56D6" w:rsidP="00AC56D6">
      <w:pPr>
        <w:pStyle w:val="TextoNormal"/>
      </w:pPr>
    </w:p>
    <w:p w:rsidR="00AC56D6" w:rsidRDefault="00AC56D6" w:rsidP="00AC56D6">
      <w:pPr>
        <w:pStyle w:val="TextoNormal"/>
      </w:pPr>
      <w:r>
        <w:t>a) El art. 2 del Real Decreto-ley 20/2012 suprime la percepción de la paga extraordinaria del mes de diciembre del año 2012, y lo hace a partir de su entrada en vigor (15 de julio de 2012), sin precisar excepciones por derechos ya devengados.</w:t>
      </w:r>
    </w:p>
    <w:p w:rsidR="00AC56D6" w:rsidRDefault="00AC56D6" w:rsidP="00AC56D6">
      <w:pPr>
        <w:pStyle w:val="TextoNormal"/>
      </w:pPr>
    </w:p>
    <w:p w:rsidR="00AC56D6" w:rsidRDefault="00AC56D6" w:rsidP="00AC56D6">
      <w:pPr>
        <w:pStyle w:val="TextoNormal"/>
      </w:pPr>
      <w:r>
        <w:t xml:space="preserve">Reiterada jurisprudencia de la Sala de lo Social del Tribunal Supremo, que se cita, configura las pagas extraordinarias con las notas de devengo diario y cobro aplazado. Aunque el devengo diario no tenga una configuración legal, la jurisprudencia constante y pacífica sobre este extremo no puede ser desconocida por el legislador, dejándola sin efecto con carácter retroactivo, sin que medien motivos justificados de interés general y, en su caso, la </w:t>
      </w:r>
      <w:r>
        <w:lastRenderedPageBreak/>
        <w:t xml:space="preserve">indemnización adecuada de conformidad con el art. 33.3 CE (STEDH de 6 de octubre de 2005, caso </w:t>
      </w:r>
      <w:r w:rsidRPr="00AC56D6">
        <w:rPr>
          <w:i/>
        </w:rPr>
        <w:t>Draon c. Francia</w:t>
      </w:r>
      <w:r>
        <w:t>).</w:t>
      </w:r>
    </w:p>
    <w:p w:rsidR="00AC56D6" w:rsidRDefault="00AC56D6" w:rsidP="00AC56D6">
      <w:pPr>
        <w:pStyle w:val="TextoNormal"/>
      </w:pPr>
    </w:p>
    <w:p w:rsidR="00AC56D6" w:rsidRDefault="00AC56D6" w:rsidP="00AC56D6">
      <w:pPr>
        <w:pStyle w:val="TextoNormal"/>
      </w:pPr>
      <w:r>
        <w:t>A estos efectos, se da enteramente por reproducida la fundamentación del Auto de la Sala de lo Social de la Audiencia Nacional de 1 de marzo de 2013.</w:t>
      </w:r>
    </w:p>
    <w:p w:rsidR="00AC56D6" w:rsidRDefault="00AC56D6" w:rsidP="00AC56D6">
      <w:pPr>
        <w:pStyle w:val="TextoNormal"/>
      </w:pPr>
    </w:p>
    <w:p w:rsidR="00AC56D6" w:rsidRDefault="00AC56D6" w:rsidP="00AC56D6">
      <w:pPr>
        <w:pStyle w:val="TextoNormal"/>
      </w:pPr>
      <w:r>
        <w:t>b) No obstante, el órgano judicial expresa una reserva en relación con la cuestión planteada, pues cabría una interpretación que salvara las anteriores dudas de inconstitucionalidad. En esa interpretación, el art. 2 del Real Decreto-ley 20/2012 estaría estableciendo una reducción de las retribuciones anuales del personal del sector público para 2012, pendientes de devengo y abono, en cuantía equivalente al importe de la paga extraordinaria.</w:t>
      </w:r>
    </w:p>
    <w:p w:rsidR="00AC56D6" w:rsidRDefault="00AC56D6" w:rsidP="00AC56D6">
      <w:pPr>
        <w:pStyle w:val="TextoNormal"/>
      </w:pPr>
    </w:p>
    <w:p w:rsidR="00AC56D6" w:rsidRDefault="00AC56D6" w:rsidP="00AC56D6">
      <w:pPr>
        <w:pStyle w:val="TextoNormal"/>
      </w:pPr>
      <w:r>
        <w:t>Así entendido, el no abono de la paga extraordinaria en el mes correspondiente al pago sería, simplemente, una forma de ejecutar esa reducción, procedimiento que se habría elegido por considerarse menos gravoso que una reducción prorrateada en las nóminas de julio a diciembre de 2012, porque sería el que garantizara un más fiel cumplimiento y mejor control de la reducción salarial operada. Ello no estaría afectando a la parte proporcional ya devengada de la paga extraordinaria de diciembre de 2012, sino a todas las mensualidades ordinarias y extraordinarias pendientes de devengo a partir del 14 de julio de 2012, que en consecuencia no se encontraban incorporadas al patrimonio de los trabajadores cuando entró en vigor el Real Decreto-ley 20/2012.</w:t>
      </w:r>
    </w:p>
    <w:p w:rsidR="00AC56D6" w:rsidRDefault="00AC56D6" w:rsidP="00AC56D6">
      <w:pPr>
        <w:pStyle w:val="TextoNormal"/>
      </w:pPr>
    </w:p>
    <w:p w:rsidR="00AC56D6" w:rsidRDefault="00AC56D6" w:rsidP="00AC56D6">
      <w:pPr>
        <w:pStyle w:val="TextoNormal"/>
      </w:pPr>
      <w:r>
        <w:t>Esta interpretación, que admite el tenor del precepto cuestionado (apartados 1, 2 y 5), haría conforme el precepto legal cuestionado con los arts. 9.3 y 33.3 CE, y dejaría incólume la jurisprudencia sobre el devengo de las pagas extraordinarias. Además, sería conforme con el principio de igualdad, ya que el sacrificio económico sería finalmente igual o equivalente para el personal que percibe pagas extraordinarias únicamente en el mes de su vencimiento y para el personal que, o no cobra tales pagas o las percibe prorrateadas. El aparente trato de favor para el personal al que, al ver extinguida su relación laboral antes del 14 de julio de 2012, se le liquidó la parte proporcional de la segunda paga extraordinaria no sería tal, pues su derecho estaba perfeccionado y era exigible al momento de extinguirse su contrato.</w:t>
      </w:r>
    </w:p>
    <w:p w:rsidR="00AC56D6" w:rsidRDefault="00AC56D6" w:rsidP="00AC56D6">
      <w:pPr>
        <w:pStyle w:val="TextoNormal"/>
      </w:pPr>
    </w:p>
    <w:p w:rsidR="00AC56D6" w:rsidRDefault="00AC56D6" w:rsidP="00AC56D6">
      <w:pPr>
        <w:pStyle w:val="TextoNormal"/>
      </w:pPr>
      <w:r>
        <w:t>No obstante, reconoce que se trata de una interpretación no inequívoca, pues aunque la redacción positiva del precepto es más compleja, la exposición de motivos del Real Decreto-ley 20/2012 se refiere expresamente a la supresión de la paga extraordinaria del mes de diciembre de 2012, por lo que estima procedente plantear la cuestión de inconstitucionalidad.</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Por providencia de 8 de abril de 2014, el Pleno, a propuesta de la Sección Cuarta, acordó admitir a trámite la cuestión de inconstitucionalidad; deferir su conocimiento a la Sala Segunda, a la que por turno objetivo le ha correspondido, conforme al art. 10.1 c) de la Ley Orgánica del Tribunal Constitucional (LOTC); dar traslado de la demanda y documentos presentados al Congreso de los Diputados, al Senado, al Gobierno y al Fiscal General del Estado, para que en el plazo de quince días pudieran personarse en el procedimiento y formular las alegaciones que estimasen convenientes, de acuerdo con lo establecido por el art. 37.3 LOTC; comunicar esta resolución al Juzgado de lo Social núm. 5 de Santa Cruz de Tenerife a fin de que, de conformidad con el art. 35.3 LOTC, permaneciese suspendido el </w:t>
      </w:r>
      <w:r>
        <w:lastRenderedPageBreak/>
        <w:t>proceso hasta la resolución de la presente cuestión; y publicar su incoación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Mediante sendos escritos registrados los días 23 y 25 de abril de 2014, el Presidente Senado y el Presidente del Congreso de los Diputados comunicaron los respectivos acuerdos de las Mesas de ambas Cámaras de personarse en el presente proceso constitucional, ofreciendo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6</w:t>
      </w:r>
      <w:r>
        <w:t>. Por escrito registrado en este Tribunal el 7 de mayo de 2014, el Abogado del Estado se personó en el presente proceso constitucional, instando la desestimación de la cuestión en atención a las alegaciones que a continuación se sintetizan.</w:t>
      </w:r>
    </w:p>
    <w:p w:rsidR="00AC56D6" w:rsidRDefault="00AC56D6" w:rsidP="00AC56D6">
      <w:pPr>
        <w:pStyle w:val="TextoNormal"/>
      </w:pPr>
    </w:p>
    <w:p w:rsidR="00AC56D6" w:rsidRDefault="00AC56D6" w:rsidP="00AC56D6">
      <w:pPr>
        <w:pStyle w:val="TextoNormal"/>
      </w:pPr>
      <w:r>
        <w:t>a) Aunque el Auto de planteamiento cuestiona la totalidad del art. 2 del Real Decreto-ley 20/2012, se refiere solo a su apartado 2.2, es decir, a la aplicación de la supresión de la paga extraordinaria de diciembre al personal laboral del sector público. Además, no se cuestiona genéricamente la referida supresión, sino que tan solo se reprocha al legislador el que no haya incluido una disposición transitoria por la cual se hubiera exceptuado de la mencionada supresión la parte proporcional que se entiende devengada del 1 al 15 de julio, fecha de entrada en vigor de la norma. Por tanto, el órgano judicial plantea en realidad una inconstitucionalidad por omisión, posibilidad admitida por el Tribunal solo en contadas ocasiones (STC 120/2010, de 24 de noviembre, FJ 6). La consecuencia que, como máximo, podría derivarse de esta cuestión no sería la declaración de inconstitucionalidad del precepto cuestionado, sino simplemente la de imponer al legislador, con respeto a su libertad de configuración, el establecimiento de una expresa excepción correspondiente al periodo transcurrido entre el 1 y el 15 de julio.</w:t>
      </w:r>
    </w:p>
    <w:p w:rsidR="00AC56D6" w:rsidRDefault="00AC56D6" w:rsidP="00AC56D6">
      <w:pPr>
        <w:pStyle w:val="TextoNormal"/>
      </w:pPr>
    </w:p>
    <w:p w:rsidR="00AC56D6" w:rsidRDefault="00AC56D6" w:rsidP="00AC56D6">
      <w:pPr>
        <w:pStyle w:val="TextoNormal"/>
      </w:pPr>
      <w:r>
        <w:t>El Auto de planteamiento cuestiona la posible vulneración de los arts. 9.3 y 33.3 CE; sin embargo, desde la perspectiva de este segundo artículo no plantea ninguna cuestión nueva que no se deba decidir desde la perspectiva del art. 9.3 CE.</w:t>
      </w:r>
    </w:p>
    <w:p w:rsidR="00AC56D6" w:rsidRDefault="00AC56D6" w:rsidP="00AC56D6">
      <w:pPr>
        <w:pStyle w:val="TextoNormal"/>
      </w:pPr>
    </w:p>
    <w:p w:rsidR="00AC56D6" w:rsidRDefault="00AC56D6" w:rsidP="00AC56D6">
      <w:pPr>
        <w:pStyle w:val="TextoNormal"/>
      </w:pPr>
      <w:r>
        <w:t>b) El precepto cuestionado no constituye una “disposición sancionadora no favorable o restrictiva de derechos individuales” en el sentido del art. 9.3 CE, según la interpretación del Tribunal (SSTC 90/2009, de 20 de abril, FJ 4, 100/2012, de 8 de mayo, FJ 10, y las allí citadas). Una norma que aspira a la contención del gasto de personal (como principal componente del gasto público) no es sancionadora ni restrictiva de derechos en el sentido constitucional de la expresión. Tampoco el art. 35.1 CE (derecho a una remuneración suficiente) comprendería el derecho al mantenimiento de una determinada retribución, ni permitiría afirmar que una reducción salarial es una norma constitucionalmente restrictiva de derechos en el sentido del art. 9.3 CE (STC 31/1984, de 7 de marzo, FJ 9). Toda vez que el art. 35.1 CE no garantiza el mantenimiento de un determinado nivel salarial inmutable, con independencia de la coyuntura económica, las reducciones salariales impuestas por el legislador no constituyen normas restrictivas del derecho reconocido en dicho precepto constitucional, en los términos del art. 9.3 CE.</w:t>
      </w:r>
    </w:p>
    <w:p w:rsidR="00AC56D6" w:rsidRDefault="00AC56D6" w:rsidP="00AC56D6">
      <w:pPr>
        <w:pStyle w:val="TextoNormal"/>
      </w:pPr>
    </w:p>
    <w:p w:rsidR="00AC56D6" w:rsidRDefault="00AC56D6" w:rsidP="00AC56D6">
      <w:pPr>
        <w:pStyle w:val="TextoNormal"/>
      </w:pPr>
      <w:r>
        <w:t xml:space="preserve">c) Subsidiariamente, para el caso de que este Tribunal apreciase que sí nos encontramos ante una disposición restrictiva de derechos individuales, la norma cuestionada no establece una retroactividad proscrita por el art. 9.3 CE. De acuerdo con reiterada doctrina constitucional, sólo la retroactividad “auténtica o de grado máximo” (que supone la incidencia sobre </w:t>
      </w:r>
      <w:r>
        <w:lastRenderedPageBreak/>
        <w:t>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(SSTC 227/1988, de 29 de noviembre, FJ 7, y 112/2006, de 5 de abril, FJ 17, entre otras).</w:t>
      </w:r>
    </w:p>
    <w:p w:rsidR="00AC56D6" w:rsidRDefault="00AC56D6" w:rsidP="00AC56D6">
      <w:pPr>
        <w:pStyle w:val="TextoNormal"/>
      </w:pPr>
    </w:p>
    <w:p w:rsidR="00AC56D6" w:rsidRDefault="00AC56D6" w:rsidP="00AC56D6">
      <w:pPr>
        <w:pStyle w:val="TextoNormal"/>
      </w:pPr>
      <w:r>
        <w:t>El propio Auto de planteamiento reconoce que la regulación legal de las pagas extraordinarias no proporciona la solución, habiendo sido el Tribunal Supremo el que ha configurado la paga extra como de devengo diario y cobro aplazado.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El precepto cuestionado ha entendido, precisamente, que las gratificaciones extraordinarias se devengan en el momento del pago; concepción ésta, por otro lado, perfectamente conforme con los arts. 26 y 31 de la Ley del estatuto de los trabajadores, así como con la doctrina de este Tribunal relativa a los tributos de hecho imponible duradero (STC 176/2011, de 8 de noviembre, FJ 5).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No habría por tanto propia eficacia retroactiva, dado que el Real Decreto-ley 20/2012 incide sobre una paga extraordinaria que todavía no se ha percibido.</w:t>
      </w:r>
    </w:p>
    <w:p w:rsidR="00AC56D6" w:rsidRDefault="00AC56D6" w:rsidP="00AC56D6">
      <w:pPr>
        <w:pStyle w:val="TextoNormal"/>
      </w:pPr>
    </w:p>
    <w:p w:rsidR="00AC56D6" w:rsidRDefault="00AC56D6" w:rsidP="00AC56D6">
      <w:pPr>
        <w:pStyle w:val="TextoNormal"/>
      </w:pPr>
      <w:r>
        <w:t>d) Aún en el caso de que se considerase que la norma establece una retroactividad de grado máximo, se justifica por la concurrencia de exigencias de interés público, conectadas con la situación de auténtica excepción fiscal que vivía España en el momento de aprobación del Real Decreto-ley 20/2012. De conformidad con la jurisprudencia constitucional [SSTC 182/1997, de 28 de octubre, FJ 13 a), y 176/2011, de 8 de noviembre, FJ 5], que a su vez cita la del Tribunal de Justicia de la Unión Europa (Sentencia de 26 de abril de 2005, C-376/02), pueden reputarse conformes a la Constitución modificaciones con cualquier grado de retroactividad cuando existan claras exigencias de interés general. Aplicando tal doctrina al presente caso, la medida cuestionada encontraría su justificación en un interés público relevante, como es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 Así se señala en el preámbulo del Real Decreto-ley 20/2012 y en el debate de convalidación de la norma, y se deduce de los datos ofrecidos en los sucesivos informes anuales del Banco de España de 2008, 2009, 2010 y 2011. En la senda de consolidación fiscal pactada con los órganos de la Unión Europea, España se ha visto obligada a una fuerte reducción del déficit desde el 8,9 por 100 del PIB en 2011 al 6,3 por 100 del PIB en 2012, lo que ha exigido adoptar importantes medidas de reducción del gasto público, sin olvidar que la estabilidad presupuestaria es actualmente un principio constitucional que vincula a todos los poderes públicos.</w:t>
      </w:r>
    </w:p>
    <w:p w:rsidR="00AC56D6" w:rsidRDefault="00AC56D6" w:rsidP="00AC56D6">
      <w:pPr>
        <w:pStyle w:val="TextoNormal"/>
      </w:pPr>
    </w:p>
    <w:p w:rsidR="00AC56D6" w:rsidRDefault="00AC56D6" w:rsidP="00AC56D6">
      <w:pPr>
        <w:pStyle w:val="TextoNormal"/>
      </w:pPr>
      <w:r>
        <w:t>El Tribunal no se ha mostrado ajeno a la gravedad de la crisis económica que atraviesa la zona euro, habiéndose hecho eco de la profunda crisis presupuestaria en los AATC 95/2011, de 21 de junio, FJ 5, 96/2011, de 21 de junio, FJ 5, 160/2011, de 22 de noviembre, FJ 3, y 147/2012, de 16 de julio, FJ 6).</w:t>
      </w:r>
    </w:p>
    <w:p w:rsidR="00AC56D6" w:rsidRDefault="00AC56D6" w:rsidP="00AC56D6">
      <w:pPr>
        <w:pStyle w:val="TextoNormal"/>
      </w:pPr>
    </w:p>
    <w:p w:rsidR="00AC56D6" w:rsidRDefault="00AC56D6" w:rsidP="00AC56D6">
      <w:pPr>
        <w:pStyle w:val="TextoNormal"/>
      </w:pPr>
      <w:r>
        <w:t>e) No se ha vulnerado el art. 33.3 CE. De conformidad con la doctrina constitucional (STC 227/1988, de 20 de noviembre, FJ 11), no se ha producido en este supuesto una privación singular de un derecho adquirido: (i) porque no hay tal privación sino simple aplazamiento en el pago; (ii) porque no se trata de una privación singular, sino de una regulación establecida con carácter general para todos los empleados públicos que precisa la configuración legal de las gratificaciones extraordinarias como de devengo puntual en el momento de su percepción. Estamos, por tanto, ante una sucesión de normas que delimitan la percepción de una determinada gratificación, sin incidir en el contenido esencial del derecho al trabajo regulado en el art. 35 CE.</w:t>
      </w:r>
    </w:p>
    <w:p w:rsidR="00AC56D6" w:rsidRDefault="00AC56D6" w:rsidP="00AC56D6">
      <w:pPr>
        <w:pStyle w:val="TextoNormal"/>
      </w:pPr>
    </w:p>
    <w:p w:rsidR="00AC56D6" w:rsidRDefault="00AC56D6" w:rsidP="00AC56D6">
      <w:pPr>
        <w:pStyle w:val="TextoNormal"/>
      </w:pPr>
      <w:r>
        <w:t>Por ello, esta regulación no estaría sujeta a la garantía de indemnización prevista en el art. 33.3 CE. Y, aunque se entendiera lo contrario, el apartado 4 del art. 2 del Real Decreto-ley 20/2012, sobre el que el Auto de planteamiento no realiza ninguna consideración, sí establece una compensación.</w:t>
      </w:r>
    </w:p>
    <w:p w:rsidR="00AC56D6" w:rsidRDefault="00AC56D6" w:rsidP="00AC56D6">
      <w:pPr>
        <w:pStyle w:val="TextoNormal"/>
      </w:pPr>
    </w:p>
    <w:p w:rsidR="00AC56D6" w:rsidRDefault="00AC56D6" w:rsidP="00AC56D6">
      <w:pPr>
        <w:pStyle w:val="TextoNormal"/>
      </w:pPr>
      <w:r w:rsidRPr="00AC56D6">
        <w:rPr>
          <w:rStyle w:val="NumeroAFNegritaCaracter"/>
        </w:rPr>
        <w:t>7</w:t>
      </w:r>
      <w:r>
        <w:t>. Por escrito registrado en este Tribunal el 20 de mayo de 2014, el Fiscal General del Estado evacuó el trámite de alegaciones, solicitando la declaración de inconstitucionalidad parcial del precepto cuestionado en atención a los razonamientos que seguidamente se resumen.</w:t>
      </w:r>
    </w:p>
    <w:p w:rsidR="00AC56D6" w:rsidRDefault="00AC56D6" w:rsidP="00AC56D6">
      <w:pPr>
        <w:pStyle w:val="TextoNormal"/>
      </w:pPr>
    </w:p>
    <w:p w:rsidR="00AC56D6" w:rsidRDefault="00AC56D6" w:rsidP="00AC56D6">
      <w:pPr>
        <w:pStyle w:val="TextoNormal"/>
      </w:pPr>
      <w:r>
        <w:t>a) De acuerdo con la doctrina constitucional (SSTC 234/2001, de 13 de diciembre; 90/2009, de 20 de abril, y 100/2012, de 8 de mayo), el análisis de retroactividad de la norma debe tener una doble proyección, que sirva no solo para determinar su grado de incidencia en los efectos de relaciones jurídicas anteriores, sino también como elemento indicativo de lo que deban ser los derechos individuales. En el presente caso, la supresión de un derecho previamente reconocido, y cuyos efectos ya se habrían agotado, vendría a comprometer la esfera general de protección de la persona, al afectar, al menos, al art. 33.3 CE, que prohíbe la privación de derechos si no es por causa de utilidad pública o interés social, y siempre que aquélla pueda ser compensada mediante la correspondiente indemnización. La condición para ello es que los derechos se hayan integrado plenamente en el patrimonio del ciudadano.</w:t>
      </w:r>
    </w:p>
    <w:p w:rsidR="00AC56D6" w:rsidRDefault="00AC56D6" w:rsidP="00AC56D6">
      <w:pPr>
        <w:pStyle w:val="TextoNormal"/>
      </w:pPr>
    </w:p>
    <w:p w:rsidR="00AC56D6" w:rsidRDefault="00AC56D6" w:rsidP="00AC56D6">
      <w:pPr>
        <w:pStyle w:val="TextoNormal"/>
      </w:pPr>
      <w:r>
        <w:t xml:space="preserve">Resulta absolutamente relevante el razonamiento empleado por el Auto de planteamiento, que pone el acento en la naturaleza jurídica de los derechos retributivos de los trabajadores, calificándolos como integrantes de la esfera general de protección de la persona, como límite de la eficacia de la norma retroactiva. En concreto, se enmarcarían dentro del derecho al trabajo y a la remuneración suficiente que prevé el art. 35.1 CE. Si bien no llegan a comprometerse en este caso derechos fundamentales o libertades públicas, sí que se ven concernidos derechos individuales, tanto porque pudieren haberse incorporado definitivamente al patrimonio del trabajador, como porque constituyen derechos de carácter retributivo que, por hallarse especialmente protegidos por la Constitución, son expresión directa </w:t>
      </w:r>
      <w:r>
        <w:lastRenderedPageBreak/>
        <w:t>de la esfera general de protección de la persona a la que alude la jurisprudencia constitucional.</w:t>
      </w:r>
    </w:p>
    <w:p w:rsidR="00AC56D6" w:rsidRDefault="00AC56D6" w:rsidP="00AC56D6">
      <w:pPr>
        <w:pStyle w:val="TextoNormal"/>
      </w:pPr>
    </w:p>
    <w:p w:rsidR="00AC56D6" w:rsidRDefault="00AC56D6" w:rsidP="00AC56D6">
      <w:pPr>
        <w:pStyle w:val="TextoNormal"/>
      </w:pPr>
      <w:r>
        <w:t>b) A la luz de la doctrina constitucional (SSTC 6/1983, de 4 de febrero; 42/1986, de 10 de abril; 99/1987, de 11 de junio; 112/2006, de 5 de abril; 116/2009, de 18 de mayo, y 161/2009, de 29 de junio), resulta obvia la supresión por la norma cuestionada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que las pagas extraordinarias se devengan día a día, incorporándose cada jornada al patrimonio del trabajador, y ello con independencia de que su efectiva percepción tenga lugar en el último mes del período (salario devengado pero de percepción diferida). De este modo, la privación de la cantidad correspondiente a dicho período supondría la restricción injustificada de un derecho individual que como tal prohíbe el art. 9.3 CE.</w:t>
      </w:r>
    </w:p>
    <w:p w:rsidR="00AC56D6" w:rsidRDefault="00AC56D6" w:rsidP="00AC56D6">
      <w:pPr>
        <w:pStyle w:val="TextoNormal"/>
      </w:pPr>
    </w:p>
    <w:p w:rsidR="00AC56D6" w:rsidRDefault="00AC56D6" w:rsidP="00AC56D6">
      <w:pPr>
        <w:pStyle w:val="TextoNormal"/>
      </w:pPr>
      <w:r>
        <w:t xml:space="preserve">El criterio del Auto de planteamiento tendría el respaldo de la Sentencia del Tribunal Europeo de Derecho Humanos de 14 de mayo de 2013 (caso </w:t>
      </w:r>
      <w:r w:rsidRPr="00AC56D6">
        <w:rPr>
          <w:i/>
        </w:rPr>
        <w:t>N.K.M. v.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sobre los que el solicitante puede tener por lo menos una “expectativa legítima” de que ésta se realizará. En el caso ahora examinado, conforme a la jurisprudencia del Tribunal Supremo sí existía esa expectativa legítima, al tratarse de cantidades de devengo diario.</w:t>
      </w:r>
    </w:p>
    <w:p w:rsidR="00AC56D6" w:rsidRDefault="00AC56D6" w:rsidP="00AC56D6">
      <w:pPr>
        <w:pStyle w:val="TextoNormal"/>
      </w:pPr>
    </w:p>
    <w:p w:rsidR="00AC56D6" w:rsidRDefault="00AC56D6" w:rsidP="00AC56D6">
      <w:pPr>
        <w:pStyle w:val="TextoNormal"/>
      </w:pPr>
      <w:r>
        <w:t>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En nuestro ordenamiento jurídico, el art. 33 CE impide la expropiación de bienes o derechos por causa de utilidad pública o interés social si no se acompaña de un justiprecio.</w:t>
      </w:r>
    </w:p>
    <w:p w:rsidR="00AC56D6" w:rsidRDefault="00AC56D6" w:rsidP="00AC56D6">
      <w:pPr>
        <w:pStyle w:val="TextoNormal"/>
      </w:pPr>
    </w:p>
    <w:p w:rsidR="00AC56D6" w:rsidRDefault="00AC56D6" w:rsidP="00AC56D6">
      <w:pPr>
        <w:pStyle w:val="TextoNormal"/>
      </w:pPr>
      <w:r>
        <w:t>c) En el Auto de planteamiento, el órgano judicial no cuestiona todo el art. 2 del Real Decreto-ley 20/2012 sino sólo su apartado 2.2, ya que es el que resulta aplicable para resolver el pleito sometido a su conocimiento (referido en exclusiva al personal laboral y no al personal funcionario o estatutario).</w:t>
      </w:r>
    </w:p>
    <w:p w:rsidR="00AC56D6" w:rsidRDefault="00AC56D6" w:rsidP="00AC56D6">
      <w:pPr>
        <w:pStyle w:val="TextoNormal"/>
      </w:pPr>
    </w:p>
    <w:p w:rsidR="00AC56D6" w:rsidRDefault="00AC56D6" w:rsidP="00AC56D6">
      <w:pPr>
        <w:pStyle w:val="TextoNormal"/>
      </w:pPr>
      <w:r>
        <w:t>En cuanto a los efectos de la hipotética estimación, tratándose de un supuesto de retroactividad máxima en relación con derechos ya integrados en el patrimonio de sus titulares, el efecto de la declaración de inconstitucionalidad habría de limitarse al período comprendido entre las fechas del 1 y el 15 de julio de 2012.</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8</w:t>
      </w:r>
      <w:r>
        <w:t>. Por providencia de 28 de mayo de 2015, la Sala Segunda de este Tribunal acordó, de conformidad con lo dispuesto en el art. 88.1 LOTC, dirigir atenta comunicación a la Universidad de La Laguna, a fin de que indique a este Tribunal si, en atención a lo previsto en la disposición adicional segunda de la Ley 36/2014, de presupuestos generales del Estado para el año 2015, o por cualquier otra circunstancia, ha satisfecho al personal docente e investigador laboral de esa Universidad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AC56D6" w:rsidRDefault="00AC56D6" w:rsidP="00AC56D6">
      <w:pPr>
        <w:pStyle w:val="TextoNormal"/>
      </w:pPr>
    </w:p>
    <w:p w:rsidR="00AC56D6" w:rsidRDefault="00AC56D6" w:rsidP="00AC56D6">
      <w:pPr>
        <w:pStyle w:val="TextoNormal"/>
      </w:pPr>
      <w:r w:rsidRPr="00AC56D6">
        <w:rPr>
          <w:rStyle w:val="NumeroAFNegritaCaracter"/>
        </w:rPr>
        <w:t>9</w:t>
      </w:r>
      <w:r>
        <w:t>. En contestación a dicha providencia, el 15 de julio de 2015 tuvo entrada en este Tribunal escrito del Rector de la Universidad de La Laguna en el que comunica lo siguiente: “de conformidad con el Acuerdo del Gobierno de Canarias de fecha 13 de febrero de 2014 por el que se acuerda que los órganos competentes en materia de gastos personal de los distintos Departamentos y Organismos Autónomos del Gobierno de Canarias, adopten las medidas necesarias en orden a hacer efectivo el pago, en las nóminas correspondientes al mes de abril de 2014, de la parte proporcional de los distintos conceptos retributivos que integran la paga extraordinaria, así como de la paga adicional del complemento específico, devengado en el período de 1 de junio a 14 de julio de 1012 (44 días), Acuerdo que incluye al personal docente e investigador de esta Universidad y que se efectuó en el mes de mayo de 2014”.</w:t>
      </w:r>
    </w:p>
    <w:p w:rsidR="00AC56D6" w:rsidRDefault="00AC56D6" w:rsidP="00AC56D6">
      <w:pPr>
        <w:pStyle w:val="TextoNormal"/>
      </w:pPr>
    </w:p>
    <w:p w:rsidR="00AC56D6" w:rsidRDefault="00AC56D6" w:rsidP="00AC56D6">
      <w:pPr>
        <w:pStyle w:val="TextoNormal"/>
      </w:pPr>
      <w:r w:rsidRPr="00AC56D6">
        <w:rPr>
          <w:rStyle w:val="NumeroAFNegritaCaracter"/>
        </w:rPr>
        <w:t>10</w:t>
      </w:r>
      <w:r>
        <w:t>. Por providencia de 17 de septiembre de 2015 se señaló para deliberación y votación de la presente Sentencia el día 21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Juzgado de lo Social núm. 5 de Santa Cruz de Tenerife plantea cuestión de inconstitucionalidad respecto del art. 2 del Real Decreto-ley 20/2012, de 13 de julio, de medidas para garantizar la estabilidad presupuestaria y de fomento de la competitividad, precepto que, en lo que aquí importa, dispone para el personal del sector público definido en el art. 22.1 de la Ley 2/2012, de 29 de junio, de presupuestos generales del Estado para 2012, la supresión de la paga extraordinaria (o equivalente) del mes de diciembre de 2012. En síntesis, el órgano judicial entiende que el precepto cuestionado, en su aplicación al personal laboral del sector público, al no contemplar excepción alguna respecto de las cuantías ya devengadas al momento de su entrada en vigor, puede vulnerar el principio constitucional de interdicción de la retroactividad de las disposiciones sancionadoras no favorables o restrictivas de derechos individuales (art. 9.3 CE), así como el art. 33.3 CE, al suponer la expropiación forzosa de un derecho patrimonial sin indemnización.</w:t>
      </w:r>
    </w:p>
    <w:p w:rsidR="00AC56D6" w:rsidRDefault="00AC56D6" w:rsidP="00AC56D6">
      <w:pPr>
        <w:pStyle w:val="TextoNormal"/>
      </w:pPr>
    </w:p>
    <w:p w:rsidR="00AC56D6" w:rsidRDefault="00AC56D6" w:rsidP="00AC56D6">
      <w:pPr>
        <w:pStyle w:val="TextoNormal"/>
      </w:pPr>
      <w:r>
        <w:t>En los términos recogidos en los antecedentes de esta Sentencia, el Fiscal General del Estado coincide con el juicio de inconstitucionalidad formulado por el Auto de planteamiento de la cuestión, por lo que interesa la estimación parcial de la misma, mientras que el Abogado del Estado solicita su desestimación.</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2</w:t>
      </w:r>
      <w:r>
        <w:t>. Con carácter previo al análisis de la cuestión planteada conviene realizar una serie de precisiones para acotar debidamente el objeto de la misma y el alcance de nuestro enjuiciamiento.</w:t>
      </w:r>
    </w:p>
    <w:p w:rsidR="00AC56D6" w:rsidRDefault="00AC56D6" w:rsidP="00AC56D6">
      <w:pPr>
        <w:pStyle w:val="TextoNormal"/>
      </w:pPr>
    </w:p>
    <w:p w:rsidR="00AC56D6" w:rsidRDefault="00AC56D6" w:rsidP="00AC56D6">
      <w:pPr>
        <w:pStyle w:val="TextoNormal"/>
      </w:pPr>
      <w:r>
        <w:t>a) Así, en primer lugar, resulta obligado advertir, en consonancia con lo manifestado en sus alegaciones respectivas por el Fiscal General del Estado y el Abogado del Estado, que si bien el órgano judicial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al personal laboral del sector público” (como se precisa expresamente en la parte dispositiva del Auto). Ello se conecta lógicamente con el juicio de relevancia, correctamente expresado por el órgano judicial, pues la cuestión de inconstitucionalidad trae causa de un proceso de conflicto colectivo promovido por el Comité de Empresa del personal docente, investigador y becario de la Universidad de La Laguna, impugnando la detracción de haberes llevada a cabo por la citada Universidad en aplicación del precepto cuestionado. La parte demandante se opuso tanto a la supresión de la paga extraordinaria del mes de diciembre de 2012 como a la aplicación retroactiva de la norma, al afectar al periodo de devengo anterior a la entrada en vigor del Real Decreto-ley 20/2012 (15 de julio de 2012). De este modo, en los términos en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2.2 del art. 2 del Real Decreto-ley 20/2012, que se refiere específicamente a la supresión de la paga o gratificación extraordinaria de diciembre de 2012 o equivalente al personal laboral del sector público.</w:t>
      </w:r>
    </w:p>
    <w:p w:rsidR="00AC56D6" w:rsidRDefault="00AC56D6" w:rsidP="00AC56D6">
      <w:pPr>
        <w:pStyle w:val="TextoNormal"/>
      </w:pPr>
    </w:p>
    <w:p w:rsidR="00AC56D6" w:rsidRDefault="00AC56D6" w:rsidP="00AC56D6">
      <w:pPr>
        <w:pStyle w:val="TextoNormal"/>
      </w:pPr>
      <w:r>
        <w:t xml:space="preserve">b) Por otra parte, debe tenerse en cuenta que el Juzgado de lo Social núm. 5 de Santa Cruz de Tenerife no cuestiona la medida de supresión de la paga extraordinaria de diciembre de 2012 en sí misma considerada, sino sólo en cuanto su aplicación haya podido suponer la infracción del principio de irretroactividad establecido en el 9.3 CE, y del art. 33.3 CE, al no contemplar excepción alguna respecto de las cuantías que se entienden ya devengadas de dicha paga extra a la fecha de entrada en vigor del Real Decreto-ley 20/2012 (que tuvo lugar el 15 de julio de 2012, conforme a su disposición final decimoquinta). A esta concreta duda de constitucionalidad (planteada a partir de la pretensión subsidiaria en el proceso </w:t>
      </w:r>
      <w:r w:rsidRPr="00AC56D6">
        <w:rPr>
          <w:i/>
        </w:rPr>
        <w:t>a quo</w:t>
      </w:r>
      <w:r>
        <w:t>) deberá, pues, ceñirse nuestro enjuiciamiento.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Como consta en los antecedentes de esta resolución, de conformidad con lo dispuesto en el art. 88.1 de la Ley Orgánica del Tribunal Constitucional (LOTC), la Sala Segunda de este Tribunal dirigió comunicación a la Universidad de La Laguna a fin de que indicara a este Tribunal si, en atención a lo dispuesto en la disposición adicional duodécima de la Ley 36/2014, de presupuestos generales del Estado para el año 2015, o por cualquier otra circunstancia, ha satisfecho al personal docente e investigador laboral de esa Universidad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 En contestación a dicha comunicación, el Rector de la Universidad de La Laguna ha informado a este </w:t>
      </w:r>
      <w:r>
        <w:lastRenderedPageBreak/>
        <w:t>Tribunal que, de conformidad con el acuerdo del Gobierno de Canarias de 13 de febrero de 2014, en el mes de mayo de 2014 el personal docente e investigador laboral de esta Universidad percibió la parte proporcional de los distintos conceptos retributivos que integran la paga extraordinaria, así como de la paga adicional del complemento específico, devengada en el período de 1 de junio a 14 de julio de 1012 (44 días).</w:t>
      </w:r>
    </w:p>
    <w:p w:rsidR="00AC56D6" w:rsidRDefault="00AC56D6" w:rsidP="00AC56D6">
      <w:pPr>
        <w:pStyle w:val="TextoNormal"/>
      </w:pPr>
    </w:p>
    <w:p w:rsidR="00AC56D6" w:rsidRDefault="00AC56D6" w:rsidP="00AC56D6">
      <w:pPr>
        <w:pStyle w:val="TextoNormal"/>
      </w:pPr>
      <w:r>
        <w:t>Como consecuencia del abono de los días señalados correspondientes a la paga extraordinaria del mes de diciembre de 2012, debemos remitirnos a lo dicho recientemente en nuestra STC 83/2015, de 30 de abril, sobre la posible pérdida de objeto de la cuestión de inconstitucionalidad.</w:t>
      </w:r>
    </w:p>
    <w:p w:rsidR="00AC56D6" w:rsidRDefault="00AC56D6" w:rsidP="00AC56D6">
      <w:pPr>
        <w:pStyle w:val="TextoNormal"/>
      </w:pPr>
    </w:p>
    <w:p w:rsidR="00AC56D6" w:rsidRDefault="00AC56D6" w:rsidP="00AC56D6">
      <w:pPr>
        <w:pStyle w:val="TextoNormal"/>
      </w:pPr>
      <w:r>
        <w:t>En la presente cuestión de inconstitucionalidad se plantea si la supresión del derecho del personal docente e investigador laboral de la Universidad de La Laguna a percibir la parte proporcional (en concreto, 44 días) de la paga extra de diciembre de 2012, por entenderse ya devengada al momento de la entrada en vigor del Real Decreto-ley 20/2012, contraviene los arts. 9.3 y 33 CE. Planteada en esos términos la cuestión, es obligado concluir, como hicimos en la STC 83/2015,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00AC56D6" w:rsidRDefault="00AC56D6" w:rsidP="00AC56D6">
      <w:pPr>
        <w:pStyle w:val="TextoNormal"/>
      </w:pPr>
    </w:p>
    <w:p w:rsidR="00AC56D6" w:rsidRDefault="00AC56D6" w:rsidP="00AC56D6">
      <w:pPr>
        <w:pStyle w:val="TextoNormal"/>
      </w:pPr>
      <w:r>
        <w:t>Conforme a lo expuesto, el abono efectuado en el mes de mayo de 2014 por la Universidad de La Laguna en concepto de parte proporcional de la paga extraordinaria de diciembre de 2012, por la cuantía devengada en el período de 1 de junio a 14 de julio de 1012 (44 días),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de 14 de abril, FJ 3; y en el mismo sentido AATC 340/2003, de 21 de octubre, FJ único, y 75/2004, de 9 de marzo, FJ único).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Declarar la extinción de la presente cuestión de inconstitucionalidad por desaparición sobrevenida de su objeto.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veintiuno de septiembre de dos mil quince.</w:t>
      </w:r>
    </w:p>
    <w:p w:rsidR="00AC56D6" w:rsidRDefault="00AC56D6">
      <w:pPr>
        <w:spacing w:after="160" w:line="259" w:lineRule="auto"/>
        <w:rPr>
          <w:rFonts w:ascii="Times New Roman" w:eastAsia="Times New Roman" w:hAnsi="Times New Roman" w:cs="Times New Roman"/>
          <w:sz w:val="24"/>
          <w:szCs w:val="24"/>
          <w:lang w:eastAsia="es-ES"/>
        </w:rPr>
      </w:pPr>
      <w:r>
        <w:lastRenderedPageBreak/>
        <w:br w:type="page"/>
      </w:r>
    </w:p>
    <w:p w:rsidR="00AC56D6" w:rsidRDefault="00AC56D6" w:rsidP="00AC56D6">
      <w:pPr>
        <w:pStyle w:val="TtuloResolucin"/>
      </w:pPr>
      <w:bookmarkStart w:id="48" w:name="SENTENCIA_2015_192"/>
      <w:r>
        <w:lastRenderedPageBreak/>
        <w:t>SENTENCIA 192/2015, de 21 de septiembre de 2015</w:t>
      </w:r>
    </w:p>
    <w:bookmarkEnd w:id="48"/>
    <w:p w:rsidR="00AC56D6" w:rsidRDefault="00AC56D6" w:rsidP="00AC56D6">
      <w:pPr>
        <w:pStyle w:val="TtuloResolucin"/>
      </w:pPr>
      <w:r>
        <w:t>Sala Primera</w:t>
      </w:r>
    </w:p>
    <w:p w:rsidR="00AC56D6" w:rsidRDefault="00AC56D6" w:rsidP="00AC56D6">
      <w:pPr>
        <w:pStyle w:val="TtuloBOE"/>
      </w:pPr>
      <w:r>
        <w:t>(BOE núm. 260, de 30 de octubre de 2015)</w:t>
      </w:r>
    </w:p>
    <w:p w:rsidR="00AC56D6" w:rsidRDefault="00AC56D6" w:rsidP="00AC56D6">
      <w:pPr>
        <w:pStyle w:val="TextoNormalCentrado"/>
      </w:pPr>
      <w:r>
        <w:t>ECLI:ES:TC:2015:192</w:t>
      </w:r>
    </w:p>
    <w:p w:rsidR="00AC56D6" w:rsidRDefault="00AC56D6" w:rsidP="00AC56D6">
      <w:pPr>
        <w:pStyle w:val="TextoNormalCentrado"/>
      </w:pPr>
    </w:p>
    <w:p w:rsidR="00AC56D6" w:rsidRDefault="00AC56D6" w:rsidP="00AC56D6">
      <w:pPr>
        <w:pStyle w:val="SntesisDescriptiva"/>
      </w:pPr>
      <w:r>
        <w:t>Cuestión de inconstitucionalidad 7493-2013. Planteada por el Juzgado de lo Social núm. 5 de Santa Cruz de Tenerife en relación con el artículo 2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y expropiación de derechos económicos: extinción, por pérdida de objeto, de la cuestión de inconstitucionalidad (STC 83/2015).</w:t>
      </w:r>
    </w:p>
    <w:p w:rsidR="00AC56D6" w:rsidRDefault="00AC56D6" w:rsidP="00AC56D6">
      <w:pPr>
        <w:pStyle w:val="SntesisAnaltica"/>
      </w:pPr>
    </w:p>
    <w:p w:rsidR="00AC56D6" w:rsidRDefault="00AC56D6" w:rsidP="00AC56D6">
      <w:pPr>
        <w:pStyle w:val="Extracto"/>
      </w:pPr>
      <w:r>
        <w:t>1.</w:t>
      </w:r>
      <w:r>
        <w:tab/>
        <w:t>La satisfacción extraprocesal de la pretensión deducida en el proceso laboral sobre la que se articula la cuestión de inconstitucionalidad le hace perder su objeto al ser dicha satisfacción uno de los posibles supuestos de extinción de la cuestión de inconstitucionalidad (STC 83/2015) [FJ 3].</w:t>
      </w:r>
    </w:p>
    <w:p w:rsidR="00AC56D6" w:rsidRDefault="00AC56D6" w:rsidP="00AC56D6">
      <w:pPr>
        <w:pStyle w:val="Extracto"/>
      </w:pPr>
    </w:p>
    <w:p w:rsidR="00AC56D6" w:rsidRDefault="00AC56D6" w:rsidP="00AC56D6">
      <w:pPr>
        <w:pStyle w:val="Extracto"/>
      </w:pPr>
      <w:r>
        <w:t>2.</w:t>
      </w:r>
      <w:r>
        <w:tab/>
        <w:t>Doctrina sobre las posibles causas de terminación extraordinaria de las cuestiones de inconstitucionalidad por pérdida sobrevenida de objeto (STC 83/2015) [FJ 3].</w:t>
      </w:r>
    </w:p>
    <w:p w:rsidR="00AC56D6" w:rsidRDefault="00AC56D6" w:rsidP="00AC56D6">
      <w:pPr>
        <w:pStyle w:val="Extracto"/>
      </w:pPr>
    </w:p>
    <w:p w:rsidR="00AC56D6" w:rsidRDefault="00AC56D6" w:rsidP="00AC56D6">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7493-2013 promovida por el Juzgado de lo Social núm. 5 de Santa Cruz de Tenerife, en relación con el art. 2 del Real Decreto-ley 20/2012, de 13 de julio, de medidas para garantizar la estabilidad presupuestaria y de fomento de la competitividad. Ha comparecido y formulado alegaciones el Abogado del Estado. Ha intervenido el Fiscal General del Estado. Ha sido Ponente el Magistrado don Andrés Ollero Tassara,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El 27 de diciembre de 2013 se registró en este Tribunal oficio del Juzgado de lo Social núm. 5 de Santa Cruz de Tenerife al que se acompañaba, junto al testimonio del correspondiente procedimiento, el Auto de ese mismo órgano judicial de 2 de diciembre de 2013; en él se acordaba plantear cuestión de inconstitucionalidad en relación con el art. 2 del Real Decreto-ley 20/2012, de 13 de julio, de medidas para garantizar la estabilidad presupuestaria y de fomento de la competitividad (convalidado por el Congreso de los Diputados </w:t>
      </w:r>
      <w:r w:rsidRPr="00AC56D6">
        <w:rPr>
          <w:i/>
        </w:rPr>
        <w:t>ex</w:t>
      </w:r>
      <w:r>
        <w:t xml:space="preserve"> art. 86.2 CE en su sesión de 19 de julio de 2012), por posible vulneración de los arts. 9.3 y 33.3 CE.</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son los siguientes:</w:t>
      </w:r>
    </w:p>
    <w:p w:rsidR="00AC56D6" w:rsidRDefault="00AC56D6" w:rsidP="00AC56D6">
      <w:pPr>
        <w:pStyle w:val="TextoNormal"/>
      </w:pPr>
    </w:p>
    <w:p w:rsidR="00AC56D6" w:rsidRDefault="00AC56D6" w:rsidP="00AC56D6">
      <w:pPr>
        <w:pStyle w:val="TextoNormal"/>
      </w:pPr>
      <w:r>
        <w:t>a) Ante el Juzgado de lo Social núm. 5 de Santa Cruz de Tenerife se siguió el procedimiento ordinario núm. 879-2013 como consecuencia de las demandas de reclamación de cantidad formuladas por tres trabajadores del Ayuntamiento de Puerto de la Cruz contra dicha corporación local. Los demandantes pretendían que se reconociese el derecho a percibir en su integridad la paga extra del mes de diciembre de 2012, dejada de abonar como consecuencia de la aplicación de lo dispuesto en el art. 2 del Real Decreto-ley 20/2012; o subsidiariamente que se les abonase la parte proporcional de dicha paga extra correspondiente al periodo devengado a la fecha de la entrada en vigor del Real Decreto-ley 20/2012 (15 de julio de 2012), porque de acuerdo con el art. 9.3 CE no cabría que la supresión de la paga extra de diciembre de 2012 se aplique con eficacia retroactiva.</w:t>
      </w:r>
    </w:p>
    <w:p w:rsidR="00AC56D6" w:rsidRDefault="00AC56D6" w:rsidP="00AC56D6">
      <w:pPr>
        <w:pStyle w:val="TextoNormal"/>
      </w:pPr>
    </w:p>
    <w:p w:rsidR="00AC56D6" w:rsidRDefault="00AC56D6" w:rsidP="00AC56D6">
      <w:pPr>
        <w:pStyle w:val="TextoNormal"/>
      </w:pPr>
      <w:r>
        <w:t>b) Concluso el procedimiento y dentro del plazo para dictar sentencia, por providencia de 11 de noviembre de 2013 el Juzgado acordó oír a las partes y al Ministerio Fiscal para que alegasen sobre la pertinencia de plantear cuestión de inconstitucionalidad en relación con el art. 2 del Real Decreto-ley 20/2012, por posible vulneración del principio de irretroactividad de las disposiciones restrictivas de derechos individuales (art. 9.3 CE) y de la interdicción de la expropiación de derechos patrimoniales sin la preceptiva indemnización (art. 33.3 CE).</w:t>
      </w:r>
    </w:p>
    <w:p w:rsidR="00AC56D6" w:rsidRDefault="00AC56D6" w:rsidP="00AC56D6">
      <w:pPr>
        <w:pStyle w:val="TextoNormal"/>
      </w:pPr>
    </w:p>
    <w:p w:rsidR="00AC56D6" w:rsidRDefault="00AC56D6" w:rsidP="00AC56D6">
      <w:pPr>
        <w:pStyle w:val="TextoNormal"/>
      </w:pPr>
      <w:r>
        <w:t>c) El Ministerio Fiscal presentó escrito de alegaciones afirmando que nada tenía que oponer desde el punto de vista procesal al planteamiento de la cuestión de inconstitucionalidad, por cumplirse los requisitos establecidos por el art. 35.2 de la Ley Orgánica del Tribunal Constitucional (LOTC). Por su parte, la representación procesal de los trabajadores demandantes se opuso al planteamiento de la cuestión por entenderla innecesario para resolver sobre el fondo del litigio planteado. La representación procesal del Ayuntamiento de Puerto de la Cruz no formuló alegaciones.</w:t>
      </w:r>
    </w:p>
    <w:p w:rsidR="00AC56D6" w:rsidRDefault="00AC56D6" w:rsidP="00AC56D6">
      <w:pPr>
        <w:pStyle w:val="TextoNormal"/>
      </w:pPr>
    </w:p>
    <w:p w:rsidR="00AC56D6" w:rsidRDefault="00AC56D6" w:rsidP="00AC56D6">
      <w:pPr>
        <w:pStyle w:val="TextoNormal"/>
      </w:pPr>
      <w:r>
        <w:t>d) Por Auto de 2 de diciembre de 2013, el Juzgado de lo Social núm. 5 de Santa Cruz de Tenerife acordó plantear cuestión de inconstitucionalidad en relación con el art. 2 del Real Decreto-ley 20/2012.</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3</w:t>
      </w:r>
      <w:r>
        <w:t>. En dicho Auto, el Juzgado de lo Social núm. 5 de Santa Cruz de Tenerife considera que el art. 2 del Real Decreto-ley 20/2012 podría vulnerar el principio de irretroactividad de las disposiciones sancionadoras no favorables o restrictivas de derechos individuales, que garantiza el art. 9.3 CE, en relación con la exigencia de indemnización en la expropiación de derechos patrimoniales (art. 33.3 CE), con fundamento en los razonamientos que a continuación se resumen.</w:t>
      </w:r>
    </w:p>
    <w:p w:rsidR="00AC56D6" w:rsidRDefault="00AC56D6" w:rsidP="00AC56D6">
      <w:pPr>
        <w:pStyle w:val="TextoNormal"/>
      </w:pPr>
    </w:p>
    <w:p w:rsidR="00AC56D6" w:rsidRDefault="00AC56D6" w:rsidP="00AC56D6">
      <w:pPr>
        <w:pStyle w:val="TextoNormal"/>
      </w:pPr>
      <w:r>
        <w:t>Tras una síntesis de los antecedentes de hecho se señala que está claro que el art. 2 del Real Decreto-ley 20/2012 suprime la percepción de la paga extraordinaria del mes de diciembre del año 2012 para el personal laboral del sector público, incluido el que presta servicios en las corporaciones locales. Lo hace a partir de su entrada en vigor (15 de julio de 2012), sin precisar excepciones por derechos ya devengados.</w:t>
      </w:r>
    </w:p>
    <w:p w:rsidR="00AC56D6" w:rsidRDefault="00AC56D6" w:rsidP="00AC56D6">
      <w:pPr>
        <w:pStyle w:val="TextoNormal"/>
      </w:pPr>
    </w:p>
    <w:p w:rsidR="00AC56D6" w:rsidRDefault="00AC56D6" w:rsidP="00AC56D6">
      <w:pPr>
        <w:pStyle w:val="TextoNormal"/>
      </w:pPr>
      <w:r>
        <w:t>Desde esa perspectiva, entiende el Juzgado que no es posible interpretar el art. 2 del Real Decreto-ley 20/2012 considerando que cabe abonar aquella parte proporcional de la paga extraordinaria de diciembre que ya se hubiera devengado a la fecha de la entrada en vigor del Real Decreto-ley 20/2012, pues la aplicación del citado precepto impide su abono, al suprimir la paga en su integridad. Atendiendo a la jurisprudencia de la Sala de lo Social del Tribunal Supremo que se cita, según la cual las pagas extraordinarias son salario diferido y se devengan día a día, entiende el Juzgado que el art. 2 del Real Decreto-ley 20/2012 podría considerarse contrario al art. 9.3 CE, que garantiza la irretroactividad de las disposiciones restrictivas de derechos individuales, así como al art. 33.3 CE, puesto que se estaría suprimiendo el derecho ya generado a percibir la parte proporcional de la paga extra del mes de diciembre de 2012 devengada antes de la entrada en vigor del Real Decreto-ley 20/2012. La supresión de la paga extra de diciembre de 2012 afecta retroactivamente a derechos ya devengados y que forman parte del patrimonio de los trabajadores afectados, derechos económicos que son suprimidos sin compensación alguna.</w:t>
      </w:r>
    </w:p>
    <w:p w:rsidR="00AC56D6" w:rsidRDefault="00AC56D6" w:rsidP="00AC56D6">
      <w:pPr>
        <w:pStyle w:val="TextoNormal"/>
      </w:pPr>
    </w:p>
    <w:p w:rsidR="00AC56D6" w:rsidRDefault="00AC56D6" w:rsidP="00AC56D6">
      <w:pPr>
        <w:pStyle w:val="TextoNormal"/>
      </w:pPr>
      <w:r>
        <w:t>No obstante lo anterior el Juzgado considera que cabría plantear una interpretación del art. 2 del Real Decreto-ley 20/2012 “que posiblemente salvaría las anteriores dudas de constitucionalidad”. De acuerdo con esa interpretación, el precepto no estaría suprimiendo la paga extra del mes de diciembre de 2012 (incluida la parte proporcional ya devengada), sino estableciendo una reducción de las retribuciones anuales del personal del sector público para 2012, en importe igual al de una paga extraordinaria, pendientes de devengo con posterioridad a la entrada en vigor del Real Decreto-ley 20/2012. De suerte que el no abono de la paga extra del mes de diciembre de 2012 sería, simplemente, una forma de ejecutar esa reducción (alternativa a la reducción prorrateada de la misma cuantía en las nóminas de julio a diciembre de 2012). Interpretando de esta forma la reducción de las retribuciones de 2012, no estaría afectando a la parte proporcional ya devengada de la paga extra del mes de diciembre de 2012, sino a todas las mensualidades ordinarias y extraordinarias pendientes de devengo a partir de 14 de julio de 2012, es decir a derechos económicos aún no devengados por corresponder a mensualidades en las que aún no se ha prestado el servicio y que en consecuencia no se encontraban incorporados al patrimonio de los trabajadores cuando entró en vigor la norma cuya constitucionalidad se pone en duda. Pese a ello, el Juzgado concluye que estima procedente el planteamiento de la cuestión de inconstitucionalidad respecto del art. 2 del Real Decreto-ley 20/2012, atendiendo a que la anterior interpretación no es inequívoca.</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4</w:t>
      </w:r>
      <w:r>
        <w:t>. Por providencia de 28 de enero de 2014, el Pleno de este Tribunal acordó admitir a trámite la cuestión de inconstitucionalidad, deferir a la Sala Primera el conocimiento de la misma conforme al art. 10.1 c) LOTC y dar traslado de la demanda y documentos presentados al Congreso de los Diputados y al Senado, por conducto de sus Presidentes, al Gobierno, a través del Ministro de Justicia, y al Fiscal General del Estado, para que en el improrrogable plazo de quince días pudieran personarse en el procedimiento y formular las alegaciones que estimasen convenientes (art. 37.3 LOTC). Asimismo se ordenó, de un lado, comunicar esa resolución al Juzgado de lo Social núm. 5 de Santa Cruz de Tenerife a fin de que, de conformidad con el art. 35.3 LOTC, permaneciese suspendido el proceso hasta que este Tribunal resolviese definitivamente la presente cuestión; asimismo publicar la incoación de la cuestión en el “Boletín Oficial del Estado”, lo que se llevó a efecto en el núm. 30, de 4 de febrero de 2014. Por diligencia de ordenación de la Secretaría de Justicia del Pleno de 28 de enero de 2014 se concedió un plazo de quince días a partir de la publicación del referido edicto para que, de conformidad con lo establecido en el art. 37.2 LOTC, quienes fuesen parte en el procedimiento ordinario núm. 879-2013 seguido ante el Juzgado de lo Social núm. 5 de Santa Cruz de Tenerife pudieran personarse ante este Tribunal.</w:t>
      </w:r>
    </w:p>
    <w:p w:rsidR="00AC56D6" w:rsidRDefault="00AC56D6" w:rsidP="00AC56D6">
      <w:pPr>
        <w:pStyle w:val="TextoNormal"/>
      </w:pPr>
    </w:p>
    <w:p w:rsidR="00AC56D6" w:rsidRDefault="00AC56D6" w:rsidP="00AC56D6">
      <w:pPr>
        <w:pStyle w:val="TextoNormal"/>
      </w:pPr>
      <w:r w:rsidRPr="00AC56D6">
        <w:rPr>
          <w:rStyle w:val="NumeroAFNegritaCaracter"/>
        </w:rPr>
        <w:t>5</w:t>
      </w:r>
      <w:r>
        <w:t>. Mediante escrito que tuvo entrada en el Registro General de este Tribunal el 6 de febrero de 2014, la Presidenta en funciones del Congreso de los Diputados comunicó el acuerdo de la Mesa de la Cámara de personarse en el presente proceso constitucional, ofreciendo su colaboración a los efectos del art. 88.1 LOTC. La misma comunicación efectuó el Presidente del Senado mediante escrito registrado en este Tribunal el 12 de marzo de 2014.</w:t>
      </w:r>
    </w:p>
    <w:p w:rsidR="00AC56D6" w:rsidRDefault="00AC56D6" w:rsidP="00AC56D6">
      <w:pPr>
        <w:pStyle w:val="TextoNormal"/>
      </w:pPr>
    </w:p>
    <w:p w:rsidR="00AC56D6" w:rsidRDefault="00AC56D6" w:rsidP="00AC56D6">
      <w:pPr>
        <w:pStyle w:val="TextoNormal"/>
      </w:pPr>
      <w:r w:rsidRPr="00AC56D6">
        <w:rPr>
          <w:rStyle w:val="NumeroAFNegritaCaracter"/>
        </w:rPr>
        <w:t>6</w:t>
      </w:r>
      <w:r>
        <w:t>. Por escrito registrado en este Tribunal el 20 de febrero de 2014, el Abogado del Estado se personó en el presente proceso constitucional y formuló las alegaciones que a continuación se resumen.</w:t>
      </w:r>
    </w:p>
    <w:p w:rsidR="00AC56D6" w:rsidRDefault="00AC56D6" w:rsidP="00AC56D6">
      <w:pPr>
        <w:pStyle w:val="TextoNormal"/>
      </w:pPr>
    </w:p>
    <w:p w:rsidR="00AC56D6" w:rsidRDefault="00AC56D6" w:rsidP="00AC56D6">
      <w:pPr>
        <w:pStyle w:val="TextoNormal"/>
      </w:pPr>
      <w:r>
        <w:t>Comienza señalando que, aunque el Auto de planteamiento cuestiona la totalidad del extenso art. 2 del Real Decreto-ley 20/2012, en realidad la cuestión se refiere solo al apartado 2.2 del art. 2, es decir, a la supresión de la paga extraordinaria de diciembre de 2012 al personal laboral del sector público. Además, el Juzgado de lo Social no cuestiona genéricamente la referida supresión, sino que tan solo le reprocha al legislador de urgencia que no haya incluido una disposición transitoria por la cual se hubiera exceptuado de la mencionada supresión la parte proporcional de la paga extraordinaria que se entiende devengada desde el 1 de julio al 15 del mismo mes,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imponer al legislador, con respeto a su libertad de configuración, el establecimiento de una expresa excepción a la supresión de la paga extraordinaria de Navidad (la correspondiente a la parte proporcional de los días 1 al 14 de julio de 2012). Por otra parte señala que si bien el Auto de planteamiento considera la posible infracción no sólo del art. 9.3 CE (irretroactividad de las disposiciones sancionadoras no favorables o restrictivas de derechos individuales), sino también del art. 33.3 CE (exigencia de compensación en la expropiación de derechos patrimoniales), desde la perspectiva de este último precepto constitucional el Juzgado de lo Social no plantea ninguna cuestión nueva que no se deba decidir desde la perspectiva del art. 9.3 CE.</w:t>
      </w:r>
    </w:p>
    <w:p w:rsidR="00AC56D6" w:rsidRDefault="00AC56D6" w:rsidP="00AC56D6">
      <w:pPr>
        <w:pStyle w:val="TextoNormal"/>
      </w:pPr>
    </w:p>
    <w:p w:rsidR="00AC56D6" w:rsidRDefault="00AC56D6" w:rsidP="00AC56D6">
      <w:pPr>
        <w:pStyle w:val="TextoNormal"/>
      </w:pPr>
      <w:r>
        <w:t>Precisado lo anterior, pasa el Abogado del Estado a contestar los puntos argumentales del Auto de planteamiento. Comienza negando que nos encontremos ante “disposiciones sancionadoras no favorables o restrictivas de derechos individuales” en el sentido del art. 9.3 CE. Indica que una norma que aspira a la contención del gasto de personal (como principal componente del gasto público) no es ni sancionadora, ni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AC56D6" w:rsidRDefault="00AC56D6" w:rsidP="00AC56D6">
      <w:pPr>
        <w:pStyle w:val="TextoNormal"/>
      </w:pPr>
    </w:p>
    <w:p w:rsidR="00AC56D6" w:rsidRDefault="00AC56D6" w:rsidP="00AC56D6">
      <w:pPr>
        <w:pStyle w:val="TextoNormal"/>
      </w:pPr>
      <w:r>
        <w:t>Subsidiariamente, para el caso de que este Tribunal apreciase que sí nos encontramos ante una “disposición restrictiva de derechos individuales”, el Abogado del Estado niega que el art. 2 del Real Decreto-ley 20/2012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lo está, por el contrario, la retroactividad “impropia o de grado medio” (que incide en situaciones jurídicas actuales aún no concluidas), pero que puede tener relevancia constitucional desde la perspectiva de la protección de la seguridad jurídica.</w:t>
      </w:r>
    </w:p>
    <w:p w:rsidR="00AC56D6" w:rsidRDefault="00AC56D6" w:rsidP="00AC56D6">
      <w:pPr>
        <w:pStyle w:val="TextoNormal"/>
      </w:pPr>
    </w:p>
    <w:p w:rsidR="00AC56D6" w:rsidRDefault="00AC56D6" w:rsidP="00AC56D6">
      <w:pPr>
        <w:pStyle w:val="TextoNormal"/>
      </w:pPr>
      <w:r>
        <w:t>Según el Abogado del Estado, la cuestión radica en determinar si el derecho a la paga extraordinaria de diciembre de 2012, en cantidad proporcional a los días 1 al 14 de julio, estaba ya consolidado, asumido e integrado en el patrimonio de los trabajadores cuando entró en vigor el Real Decreto-ley 20/2012, o si se trataba, por el contrario, de una expectativa de derecho o de un derecho futuro o condicionado. Entiende que la regulación legal de las pagas extraordinarias no ofrece respuesta a esa pregunta, siendo el Tribunal Supremo el que ha hecho referencia a su devengo diario y cobro aplazado en su jurisprudencia. No obstante, a juicio del Abogado del Estado, resulta evidente que una determinada interpretación jurisprudencial de un precepto legal no puede erigirse en parámetro de constitucionalidad de otra norma de rango legal.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Esta concepción es, por otro lado, perfectamente conforme con los arts. 26 y 31 de la Ley del estatuto de los trabajadores, así como con la doctrina de este Tribunal Constitucional en relación con los tributos de hecho imponible duradero. Respecto a ellos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w:t>
      </w:r>
      <w:r>
        <w:lastRenderedPageBreak/>
        <w:t>ción. En suma, entiende el Abogado del Estado que no hay en este caso una eficacia retroactiva, dado que el Real Decreto-ley 20/2012 se refiere a una paga extraordinaria que todavía no se ha percibido.</w:t>
      </w:r>
    </w:p>
    <w:p w:rsidR="00AC56D6" w:rsidRDefault="00AC56D6" w:rsidP="00AC56D6">
      <w:pPr>
        <w:pStyle w:val="TextoNormal"/>
      </w:pPr>
    </w:p>
    <w:p w:rsidR="00AC56D6" w:rsidRDefault="00AC56D6" w:rsidP="00AC56D6">
      <w:pPr>
        <w:pStyle w:val="TextoNormal"/>
      </w:pPr>
      <w:r>
        <w:t>Seguidamente sostiene el Abogado del Estado que aún en el caso de que se considerase que el art. 2 del Real Decreto-ley 20/2012 establece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conformes a la Constitución modificaciones con cualquier grado de retroactividad cuando existieran claras exigencias de “interés general”. Aplicando tal doctrina al presente caso, considera que la medida cuestionada encontraría su justificación en un interés público relevante, como lo es la necesidad de realizar fuertes ajustes presupuestarios en el marco de una crisis económica sin precedentes, siendo la reducción de las retribuciones prevista en las normas cuestionadas una medida extraordinaria de “contención de gastos de personal” que tiene por finalidad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t>En tal sentido,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afirma que en la senda de consolidación fiscal pactada con los órganos de la Unión Europea, España se ha visto obligada a una fuerte reducción del déficit del 8,9 por 100 en 2011 al 6,3 por 100 del PIB en 2012, un 4,5 por 100 en 2013 y un 2,8 por 100 en 2014, lo que ha exigido adoptar importantes medidas de reducción del gasto público. Recuerda, asimismo, que la estabilidad presupuestaria es un principio constitucional que vincula a todos los poderes públicos; insiste en que el análisis de la norma cuestionada ha de partir del contexto recesivo descrito. Así las cosas, afirma el Abogado del Estado que no existe razón para negar la concurrencia de un “interés general”, dada la situación descrita de grave crisis económica, que justificaría en todo caso la aplicación retroactiva de la medida contemplada en el cuestionado art. 2 del Real Decreto-ley 20/2012.</w:t>
      </w:r>
    </w:p>
    <w:p w:rsidR="00AC56D6" w:rsidRDefault="00AC56D6" w:rsidP="00AC56D6">
      <w:pPr>
        <w:pStyle w:val="TextoNormal"/>
      </w:pPr>
    </w:p>
    <w:p w:rsidR="00AC56D6" w:rsidRDefault="00AC56D6" w:rsidP="00AC56D6">
      <w:pPr>
        <w:pStyle w:val="TextoNormal"/>
      </w:pPr>
      <w:r>
        <w:t>Alega finalmente el Abogado del Estado que el art. 2 del Real Decreto-ley 20/2012 tampoco vulnera la garantía expropiatoria del art. 33.3 CE. Tras recordar la doctrina constitucional al respecto, sintetizada en la STC 227/1988, de 29 de noviembre, FJ 11, concluye que la aplicación de esta doctrina en el caso excluye la pretendida vulneración del art. 33.3 CE, porque no existe privación singular de un derecho adquirido, sino una regulación establecida con carácter general para todos los empleados del sector público que precisa la configuración legal de las pagas extraordinarias como de devengo puntual en el momento de su percepción; y en el improbable caso de que se entendiera que sí existe una privación de derechos, el Auto de planteamiento obvia que el propio art. 2 del Real Decreto-ley 20/2012 establece en su apartado 4 una compensación por la supresión de la paga extra suprimida.</w:t>
      </w:r>
    </w:p>
    <w:p w:rsidR="00AC56D6" w:rsidRDefault="00AC56D6" w:rsidP="00AC56D6">
      <w:pPr>
        <w:pStyle w:val="TextoNormal"/>
      </w:pPr>
    </w:p>
    <w:p w:rsidR="00AC56D6" w:rsidRDefault="00AC56D6" w:rsidP="00AC56D6">
      <w:pPr>
        <w:pStyle w:val="TextoNormal"/>
      </w:pPr>
      <w:r>
        <w:t>Por todo ello el Abogado del Estado interesa la desestimación de la cuestión.</w:t>
      </w:r>
    </w:p>
    <w:p w:rsidR="00AC56D6" w:rsidRDefault="00AC56D6" w:rsidP="00AC56D6">
      <w:pPr>
        <w:pStyle w:val="TextoNormal"/>
      </w:pPr>
    </w:p>
    <w:p w:rsidR="00AC56D6" w:rsidRDefault="00AC56D6" w:rsidP="00AC56D6">
      <w:pPr>
        <w:pStyle w:val="TextoNormal"/>
      </w:pPr>
      <w:r w:rsidRPr="00AC56D6">
        <w:rPr>
          <w:rStyle w:val="NumeroAFNegritaCaracter"/>
        </w:rPr>
        <w:t>7</w:t>
      </w:r>
      <w:r>
        <w:t>. Por escrito registrado en este Tribunal el 24 de febrero de 2014, el Fiscal General del Estado evacuó el trámite de alegaciones, solicitando la declaración de inconstitucionalidad del apartado 2.2 del art. 2 del Real Decreto-ley 20/2012, por considerarlo contrario al principio de irretroactividad de las disposiciones restrictivas de derechos individuales (art. 9.3 CE).</w:t>
      </w:r>
    </w:p>
    <w:p w:rsidR="00AC56D6" w:rsidRDefault="00AC56D6" w:rsidP="00AC56D6">
      <w:pPr>
        <w:pStyle w:val="TextoNormal"/>
      </w:pPr>
    </w:p>
    <w:p w:rsidR="00AC56D6" w:rsidRDefault="00AC56D6" w:rsidP="00AC56D6">
      <w:pPr>
        <w:pStyle w:val="TextoNormal"/>
      </w:pPr>
      <w:r>
        <w:t>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se ven concernidos derechos individuales que son expresión directa de la esfera general de protección de la persona. Además, afirma que la idea de sanción resultará robustecida en este caso, dado que se pretende extraer del patrimonio de los ciudadanos, sin indemnización, un bien o un derecho del que ya dispone.</w:t>
      </w:r>
    </w:p>
    <w:p w:rsidR="00AC56D6" w:rsidRDefault="00AC56D6" w:rsidP="00AC56D6">
      <w:pPr>
        <w:pStyle w:val="TextoNormal"/>
      </w:pPr>
    </w:p>
    <w:p w:rsidR="00AC56D6" w:rsidRDefault="00AC56D6" w:rsidP="00AC56D6">
      <w:pPr>
        <w:pStyle w:val="TextoNormal"/>
      </w:pPr>
      <w:r>
        <w:t xml:space="preserve">Llegados a este punto, pasa a analizar si la norma cuestionada contiene un grado de retroactividad permitido por el art. 9.3 CE, a la luz de la doctrina constitucional que sintetiza.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Derechos Humanos de 14 de mayo de 2013 (caso </w:t>
      </w:r>
      <w:r w:rsidRPr="00AC56D6">
        <w:rPr>
          <w:i/>
        </w:rPr>
        <w:t>N.K.M. v. Hungría</w:t>
      </w:r>
      <w:r>
        <w:t>); este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Entiende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Tal hipótesis no puede suponer, sin embargo, un aval genérico para que con esa excusa el poder público pueda conducirse apartándose de una ex</w:t>
      </w:r>
      <w:r>
        <w:lastRenderedPageBreak/>
        <w:t>presa previsión legal. Se añade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t>El Fiscal General del Estado concluye sus alegaciones precisando que en el Auto de planteamiento no se cuestiona todo el art. 2 del Real Decreto-ley 20/2012 sino sólo su apartado 2.2, ya que es el que resulta aplicable para resolver el pleito sometido al conocimiento de Juzgado de lo Social núm. 5 de Santa Cruz de Tenerife (referido en exclusiva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28 de mayo de 2015 la Sala Primera acordó, de conformidad con lo dispuesto en el art. 88.1 LOTC, dirigir atenta comunicación al Ayuntamiento de Puerto de la Cruz a fin de que indicase a este Tribunal si, en atención a lo previsto en la disposición adicional duodécima de la Ley 36/2014, de presupuestos generales del Estado para el año 2015, o por cualquier otra circunstancia, ha satisfecho al personal laboral de ese Ayuntamiento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las citadas pagas a los que corresponden las cuantías abonadas.</w:t>
      </w:r>
    </w:p>
    <w:p w:rsidR="00AC56D6" w:rsidRDefault="00AC56D6" w:rsidP="00AC56D6">
      <w:pPr>
        <w:pStyle w:val="TextoNormal"/>
      </w:pPr>
    </w:p>
    <w:p w:rsidR="00AC56D6" w:rsidRDefault="00AC56D6" w:rsidP="00AC56D6">
      <w:pPr>
        <w:pStyle w:val="TextoNormal"/>
      </w:pPr>
      <w:r w:rsidRPr="00AC56D6">
        <w:rPr>
          <w:rStyle w:val="NumeroAFNegritaCaracter"/>
        </w:rPr>
        <w:t>9</w:t>
      </w:r>
      <w:r>
        <w:t>. En contestación a la referida providencia el Ayuntamiento de Puerto de la Cruz comunicó a este Tribunal, mediante escrito que tuvo entrada en el Registro General con fecha 29 de junio de 2015, que dicho Ayuntamiento, al amparo de lo previsto en la disposición adicional duodécima de la Ley 36/2014, de presupuestos generales del Estado para el año 2015, hizo efectiva a su personal laboral, en la nómina del mes de febrero de 2015, la parte proporcional de la paga extraordinaria correspondiente al mes de diciembre de 2012. Para su cuantificación se tuvo en cuenta el criterio de devengo anual de la paga extra de diciembre, previsto en el art. 52 del convenio colectivo del personal laboral de este Ayuntamiento (publicado en el “Boletín Oficial de la Provincia de Santa Cruz de Tenerife” de 10 de septiembre de 1999), desde el 1 de diciembre de 2012 hasta la fecha de publicación del Real Decreto-ley 20/2012 (14 de julio de 2012), lo que arroja un total abonado de 225 días.</w:t>
      </w:r>
    </w:p>
    <w:p w:rsidR="00AC56D6" w:rsidRDefault="00AC56D6" w:rsidP="00AC56D6">
      <w:pPr>
        <w:pStyle w:val="TextoNormal"/>
      </w:pPr>
    </w:p>
    <w:p w:rsidR="00AC56D6" w:rsidRDefault="00AC56D6" w:rsidP="00AC56D6">
      <w:pPr>
        <w:pStyle w:val="TextoNormal"/>
      </w:pPr>
      <w:r w:rsidRPr="00AC56D6">
        <w:rPr>
          <w:rStyle w:val="NumeroAFNegritaCaracter"/>
        </w:rPr>
        <w:t>10</w:t>
      </w:r>
      <w:r>
        <w:t>. Por providencia de 17 de septiembre de 2015 se señaló para deliberación y votación de la presente Sentencia el día 21 del mismo mes y año.</w:t>
      </w:r>
    </w:p>
    <w:p w:rsidR="00AC56D6" w:rsidRDefault="00AC56D6" w:rsidP="00AC56D6">
      <w:pPr>
        <w:pStyle w:val="TextoNormal"/>
      </w:pPr>
    </w:p>
    <w:p w:rsidR="00AC56D6" w:rsidRDefault="00AC56D6" w:rsidP="00AC56D6">
      <w:pPr>
        <w:pStyle w:val="TextoNormalNegritaCentrado"/>
        <w:keepNext/>
      </w:pPr>
      <w:r>
        <w:lastRenderedPageBreak/>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Juzgado de lo Social núm. 5 de Santa Cruz de Tenerife plantea cuestión de inconstitucionalidad respecto del art. 2 del Real Decreto-ley 20/2012, de 13 de julio, de medidas para garantizar la estabilidad presupuestaria y de fomento de la competitividad. Este precepto, en lo que aquí importa, dispone para el personal del sector público definido en el art. 22.1 de la Ley 2/2012, de 29 de junio, de presupuestos generales del Estado para 2012, la supresión de la paga extraordinaria (o equivalente) del mes de diciembre de 2012. En síntesis, el Juzgado entiende que el art. 2 del Real Decreto-ley 20/2012, en su aplicación al personal laboral del sector público, puede vulnerar el principio de interdicción de la retroactividad de las disposiciones sancionadoras no favorables o restrictivas de derechos individuales (art. 9.3 CE), al no contemplar excepción alguna respecto de las cuantías ya devengadas al momento de la entrada en vigor del Real Decreto-ley 20/2012 (15 de julio de 2012).</w:t>
      </w:r>
    </w:p>
    <w:p w:rsidR="00AC56D6" w:rsidRDefault="00AC56D6" w:rsidP="00AC56D6">
      <w:pPr>
        <w:pStyle w:val="TextoNormal"/>
      </w:pPr>
    </w:p>
    <w:p w:rsidR="00AC56D6" w:rsidRDefault="00AC56D6" w:rsidP="00AC56D6">
      <w:pPr>
        <w:pStyle w:val="TextoNormal"/>
      </w:pPr>
      <w:r>
        <w:t>En los términos en que han sido recogidos en los antecedentes de esta Sentencia, el Fiscal General del Estado coincide con el juicio de inconstitucionalidad formulado por el Auto de planteamiento de la cuestión e interesa la estimación de la misma, mientras que el Abogado del Estado solicita su desestimación.</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al análisis de la cuestión planteada conviene realizar una serie de precisiones para acotar debidamente el objeto de la misma y el alcance de nuestro enjuiciamiento.</w:t>
      </w:r>
    </w:p>
    <w:p w:rsidR="00AC56D6" w:rsidRDefault="00AC56D6" w:rsidP="00AC56D6">
      <w:pPr>
        <w:pStyle w:val="TextoNormal"/>
      </w:pPr>
    </w:p>
    <w:p w:rsidR="00AC56D6" w:rsidRDefault="00AC56D6" w:rsidP="00AC56D6">
      <w:pPr>
        <w:pStyle w:val="TextoNormal"/>
      </w:pPr>
      <w:r>
        <w:t>a) En primer lugar, resulta obligado advertir, en consonancia con lo manifestado en sus alegaciones respectivas por el Fiscal General del Estado y el Abogado del Estado, que, si bien el Juzgado de lo Social núm. 5 de Santa Cruz de Tenerife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al personal laboral del sector público” (como se precisa expresamente en la parte dispositiva del auto). Ello se conecta lógicamente con el juicio de relevancia, correctamente expresado por el órgano judicial. La cuestión de inconstitucionalidad trae causa de un proceso promovido por varios trabajadores del Ayuntamiento de Puerto de la Cruz con motivo de la supresión, por aplicación de las previsiones contenidas en el Real Decreto-ley 20/2012, de la paga extraordinaria de diciembre de 2012 al personal laboral de esa corporación local. Lo pretendido por los demandantes es justamente que se declare su derecho a percibir la parte proporcional de la paga extra de diciembre de 2012, que consideran ya devengada al momento de la entrada en vigor del Real Decreto-ley 20/2012 porque, de acuerdo con el art. 9.3 CE, no cabe que la supresión de esa paga extra por dicho Real Decreto-ley tenga efectos retroactivos.</w:t>
      </w:r>
    </w:p>
    <w:p w:rsidR="00AC56D6" w:rsidRDefault="00AC56D6" w:rsidP="00AC56D6">
      <w:pPr>
        <w:pStyle w:val="TextoNormal"/>
      </w:pPr>
    </w:p>
    <w:p w:rsidR="00AC56D6" w:rsidRDefault="00AC56D6" w:rsidP="00AC56D6">
      <w:pPr>
        <w:pStyle w:val="TextoNormal"/>
      </w:pPr>
      <w:r>
        <w:t xml:space="preserve">De este modo, en los términos en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también al apartado 2.2 del art. 2 del Real Decreto-ley 20/2012, que se refiere específicamente a la supresión de la paga o gratificación extraordinaria de diciembre </w:t>
      </w:r>
      <w:r>
        <w:lastRenderedPageBreak/>
        <w:t>de 2012, o equivalente, al personal laboral del sector público, que incluye el personal de las corporaciones locales y de los organismos dependientes de estas.</w:t>
      </w:r>
    </w:p>
    <w:p w:rsidR="00AC56D6" w:rsidRDefault="00AC56D6" w:rsidP="00AC56D6">
      <w:pPr>
        <w:pStyle w:val="TextoNormal"/>
      </w:pPr>
    </w:p>
    <w:p w:rsidR="00AC56D6" w:rsidRDefault="00AC56D6" w:rsidP="00AC56D6">
      <w:pPr>
        <w:pStyle w:val="TextoNormal"/>
      </w:pPr>
      <w:r>
        <w:t>b) Por otra parte debe tenerse en cuenta que no se cuestiona por el Juzgado de lo Social núm. 5 de Santa Cruz de Tenerife la medida de supresión de la paga extraordinaria de diciembre de 2012 en sí misma considerada; se cuestiona solo en cuanto su aplicación haya podido suponer la infracción del principio de irretroactividad establecido en el 9.3 CE, en relación con el art. 33.3 CE (exigencia de compensación en la expropiación de derechos patrimoniales), al no contemplar excepción alguna respecto de las cuantías que se entienden ya devengadas de dicha paga extra a la fecha de entrada en vigor del Real Decreto-ley 20/2012 (que tuvo lugar el 15 de julio de 2012, conforme a su disposición final decimoquinta). A esta concreta duda deberá, pues, ceñirse nuestro enjuiciamiento.</w:t>
      </w:r>
    </w:p>
    <w:p w:rsidR="00AC56D6" w:rsidRDefault="00AC56D6" w:rsidP="00AC56D6">
      <w:pPr>
        <w:pStyle w:val="TextoNormal"/>
      </w:pPr>
    </w:p>
    <w:p w:rsidR="00AC56D6" w:rsidRDefault="00AC56D6" w:rsidP="00AC56D6">
      <w:pPr>
        <w:pStyle w:val="TextoNormal"/>
      </w:pPr>
      <w:r>
        <w:t>c) Conviene asimismo advertir que el Juzgado de lo Social núm. 5 de Santa Cruz de Tenerife no cuestiona el art. 6 del Real Decreto-ley 20/2012 que, en consonancia con lo establecido en el art. 2, suprime durante el año 2012 para el personal laboral del sector público “la percepción de la gratificación extraordinaria con ocasión de las fiestas de Navidad contenida en el art. 31 del Estatuto de los Trabajadores”. Por tanto, las previsiones del art. 6 del Real Decreto-ley 20/2012 quedan fuera de nuestro pronunciamiento.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Delimitado el alcance de nuestra decisión, debemos remitirnos a lo dicho recientemente en la STC 83/2015, de 30 de abril, FJ 3, sobre la posible pérdida de objeto de la cuestión de inconstitucionalidad, como consecuencia de lo establecido en la disposición adicional duodécima de la Ley 36/2014, de 26 de diciembre, de presupuestos generales del Estado para 2015. Bajo el epígrafe “Recuperación de la paga extraordinaria y adicional del mes de diciembre de 2012”, se establece, en su apartado 1.1,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según establece el apartado 1.2.</w:t>
      </w:r>
    </w:p>
    <w:p w:rsidR="00AC56D6" w:rsidRDefault="00AC56D6" w:rsidP="00AC56D6">
      <w:pPr>
        <w:pStyle w:val="TextoNormal"/>
      </w:pPr>
    </w:p>
    <w:p w:rsidR="00AC56D6" w:rsidRDefault="00AC56D6" w:rsidP="00AC56D6">
      <w:pPr>
        <w:pStyle w:val="TextoNormal"/>
      </w:pPr>
      <w:r>
        <w:t xml:space="preserve">En la STC 83/2015, FJ 3, se recuerda la reiterada doctrina constitucional sobre los efectos extintivos del objeto del proceso en las cuestiones de inconstitucionalidad, como consecuencia de la derogación o modificación de la norma legal cuestionada. Se puso de manifiesto que era innegable la incidencia que tenía la medida contenida en la disposición adicional duodécima de la Ley 36/2014, de presupuestos generales del Estado para 2015, sobre la pretensión deducida en el pleito </w:t>
      </w:r>
      <w:r w:rsidRPr="00AC56D6">
        <w:rPr>
          <w:i/>
        </w:rPr>
        <w:t>a quo</w:t>
      </w:r>
      <w:r>
        <w:t>, “que afecta de modo determinante a la subsistencia del presente proceso constitucional, dada la estrecha vinculación existente entre toda cuestión de inconstitucionalidad y el procedimiento judicial de que dimana.” Otro tanto acontece en el presente caso.</w:t>
      </w:r>
    </w:p>
    <w:p w:rsidR="00AC56D6" w:rsidRDefault="00AC56D6" w:rsidP="00AC56D6">
      <w:pPr>
        <w:pStyle w:val="TextoNormal"/>
      </w:pPr>
    </w:p>
    <w:p w:rsidR="00AC56D6" w:rsidRDefault="00AC56D6" w:rsidP="00AC56D6">
      <w:pPr>
        <w:pStyle w:val="TextoNormal"/>
      </w:pPr>
      <w:r>
        <w:t xml:space="preserve">En el conflicto colectivo del que trae causa la presente cuestión de inconstitucionalidad se discute el derecho de varios trabajadores de una entidad local (Ayuntamiento de Puerto de la Cruz) a percibir la parte proporcional de la paga extra de diciembre de 2012 ya devengada al momento de la entrada en vigor del Real Decreto-ley 20/2012, que suprimió el derecho a su percepción. Ello por estimar los demandantes en el proceso </w:t>
      </w:r>
      <w:r w:rsidRPr="00AC56D6">
        <w:rPr>
          <w:i/>
        </w:rPr>
        <w:t>a quo</w:t>
      </w:r>
      <w:r>
        <w:t xml:space="preserve"> que la supresión de esa paga extra por la citada norma no puede tener efectos retroactivos por imperativo de </w:t>
      </w:r>
      <w:r>
        <w:lastRenderedPageBreak/>
        <w:t>lo dispuesto en el art. 9.3 CE. Al suscitarse sobre este extremo la duda de constitucionalidad que plantea el órgano judicial, es obligado constatar la recuperación por esos trabajadores de la parte proporcional correspondiente de la paga extraordinaria correspondiente al mes de diciembre de 2012 ya devengada a la entrada en vigor del Real Decreto-ley 20/2012 (por un total de 225 días), en virtud de lo establecido en la citada disposición adicional duodécima de la Ley 36/2014, de presupuestos generales del Estado para 2015. Esa recuperación se hizo efectiva en el caso del Ayuntamiento de Puerto de la Cruz en la nómina del mes de febrero de 2015, como se pone de manifiesto por dicha corporación local en su contestación al requerimiento formulado al efecto por este Tribunal, conforme quedó señalado en el relato de antecedentes. Todo ello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de 14 de abril, FJ 2; AATC 945/1985, de 19 de diciembre; 723/1986, de 18 de septiembre; y 485/2005, de 13 de diciembre)” (STC 83/2015, de 30 de abril, FJ 3).</w:t>
      </w:r>
    </w:p>
    <w:p w:rsidR="00AC56D6" w:rsidRDefault="00AC56D6" w:rsidP="00AC56D6">
      <w:pPr>
        <w:pStyle w:val="TextoNormal"/>
      </w:pPr>
    </w:p>
    <w:p w:rsidR="00AC56D6" w:rsidRDefault="00AC56D6" w:rsidP="00AC56D6">
      <w:pPr>
        <w:pStyle w:val="TextoNormal"/>
      </w:pPr>
      <w:r>
        <w:t>En conclusión, “la regulación contenida en la citada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83/2015, FJ 3; y en el mismo sentido AATC 340/2003, de 21 de octubre, FJ único, y 75/2004, de 9 de marzo, FJ único)” (STC 83/2015, FJ 3).</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Declarar la extinción de la presente cuestión de inconstitucionalidad por desaparición sobrevenida de su objeto.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veintiuno de septiembre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49" w:name="SENTENCIA_2015_193"/>
      <w:r>
        <w:lastRenderedPageBreak/>
        <w:t>SENTENCIA 193/2015, de 21 de septiembre de 2015</w:t>
      </w:r>
    </w:p>
    <w:bookmarkEnd w:id="49"/>
    <w:p w:rsidR="00AC56D6" w:rsidRDefault="00AC56D6" w:rsidP="00AC56D6">
      <w:pPr>
        <w:pStyle w:val="TtuloResolucin"/>
      </w:pPr>
      <w:r>
        <w:t>Sala Primera</w:t>
      </w:r>
    </w:p>
    <w:p w:rsidR="00AC56D6" w:rsidRDefault="00AC56D6" w:rsidP="00AC56D6">
      <w:pPr>
        <w:pStyle w:val="TtuloBOE"/>
      </w:pPr>
      <w:r>
        <w:t>(BOE núm. 260, de 30 de octubre de 2015)</w:t>
      </w:r>
    </w:p>
    <w:p w:rsidR="00AC56D6" w:rsidRDefault="00AC56D6" w:rsidP="00AC56D6">
      <w:pPr>
        <w:pStyle w:val="TextoNormalCentrado"/>
      </w:pPr>
      <w:r>
        <w:t>ECLI:ES:TC:2015:193</w:t>
      </w:r>
    </w:p>
    <w:p w:rsidR="00AC56D6" w:rsidRDefault="00AC56D6" w:rsidP="00AC56D6">
      <w:pPr>
        <w:pStyle w:val="TextoNormalCentrado"/>
      </w:pPr>
    </w:p>
    <w:p w:rsidR="00AC56D6" w:rsidRDefault="00AC56D6" w:rsidP="00AC56D6">
      <w:pPr>
        <w:pStyle w:val="SntesisDescriptiva"/>
      </w:pPr>
      <w:r>
        <w:t>Cuestión de inconstitucionalidad 4108-2014. Planteada por el Juzgado de lo Social núm. 2 de Guadalajara en relación con los artículos 2.2 y 6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extinción, por pérdida de objeto, de la cuestión de inconstitucionalidad (STC 83/2015).</w:t>
      </w:r>
    </w:p>
    <w:p w:rsidR="00AC56D6" w:rsidRDefault="00AC56D6" w:rsidP="00AC56D6">
      <w:pPr>
        <w:pStyle w:val="SntesisAnaltica"/>
      </w:pPr>
    </w:p>
    <w:p w:rsidR="00AC56D6" w:rsidRDefault="00AC56D6" w:rsidP="00AC56D6">
      <w:pPr>
        <w:pStyle w:val="Extracto"/>
      </w:pPr>
      <w:r>
        <w:t>1.</w:t>
      </w:r>
      <w:r>
        <w:tab/>
        <w:t>La satisfacción extraprocesal de la pretensión deducida en el proceso laboral sobre la que se articula la cuestión de inconstitucionalidad le hace perder su objeto al ser dicha satisfacción uno de los posibles supuestos de extinción de la cuestión de inconstitucionalidad (STC 83/2015) [FJ 3].</w:t>
      </w:r>
    </w:p>
    <w:p w:rsidR="00AC56D6" w:rsidRDefault="00AC56D6" w:rsidP="00AC56D6">
      <w:pPr>
        <w:pStyle w:val="Extracto"/>
      </w:pPr>
    </w:p>
    <w:p w:rsidR="00AC56D6" w:rsidRDefault="00AC56D6" w:rsidP="00AC56D6">
      <w:pPr>
        <w:pStyle w:val="Extracto"/>
      </w:pPr>
      <w:r>
        <w:t>2.</w:t>
      </w:r>
      <w:r>
        <w:tab/>
        <w:t>Doctrina sobre las posibles causas de terminación extraordinaria de las cuestiones de inconstitucionalidad por pérdida sobrevenida de objeto (STC 83/2015) [FJ 3].</w:t>
      </w:r>
    </w:p>
    <w:p w:rsidR="00AC56D6" w:rsidRDefault="00AC56D6" w:rsidP="00AC56D6">
      <w:pPr>
        <w:pStyle w:val="Extracto"/>
      </w:pPr>
    </w:p>
    <w:p w:rsidR="00AC56D6" w:rsidRDefault="00AC56D6" w:rsidP="00AC56D6">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4108-2014 promovida por el Juzgado de lo Social núm. 2 de Guadalajara, en relación con los arts. 2.2 y 6 del Real Decreto-ley 20/2012, de 13 de julio, de medidas para garantizar la estabilidad presupuestaria y de fomento de la competitividad. Ha comparecido y formulado alegaciones el Abogado del Estado. Ha intervenido el Fiscal General del Estado. Ha sido Ponente el Magistrado don Andrés Ollero Tassara, quien expresa el parecer del Tribunal.</w:t>
      </w:r>
    </w:p>
    <w:p w:rsidR="00AC56D6" w:rsidRDefault="00AC56D6" w:rsidP="00AC56D6">
      <w:pPr>
        <w:pStyle w:val="TextoNormal"/>
      </w:pPr>
    </w:p>
    <w:p w:rsidR="00AC56D6" w:rsidRDefault="00AC56D6" w:rsidP="00AC56D6">
      <w:pPr>
        <w:pStyle w:val="TextoNormalNegritaCentrado"/>
        <w:keepNext/>
      </w:pPr>
      <w:r>
        <w:lastRenderedPageBreak/>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El 24 de junio de 2014 se registró en este Tribunal oficio del Juzgado de lo Social núm. 2 de Guadalajara al que se acompañaba, junto al testimonio del correspondiente procedimiento, el Auto de ese mismo órgano judicial de 14 de mayo de 2014; en él se acordaba plantear cuestión de inconstitucionalidad en relación con los arts. 2.2 y 6 del Real Decreto-ley 20/2012, de 13 de julio, de medidas para garantizar la estabilidad presupuestaria y de fomento de la competitividad (convalidado por el Congreso de los Diputados </w:t>
      </w:r>
      <w:r w:rsidRPr="00AC56D6">
        <w:rPr>
          <w:i/>
        </w:rPr>
        <w:t>ex</w:t>
      </w:r>
      <w:r>
        <w:t xml:space="preserve"> art. 86.2 CE en su sesión de 19 de julio de 2012), por posible vulneración del art. 9.3 CE.</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son los siguientes:</w:t>
      </w:r>
    </w:p>
    <w:p w:rsidR="00AC56D6" w:rsidRDefault="00AC56D6" w:rsidP="00AC56D6">
      <w:pPr>
        <w:pStyle w:val="TextoNormal"/>
      </w:pPr>
    </w:p>
    <w:p w:rsidR="00AC56D6" w:rsidRDefault="00AC56D6" w:rsidP="00AC56D6">
      <w:pPr>
        <w:pStyle w:val="TextoNormal"/>
      </w:pPr>
      <w:r>
        <w:t>a) Ante el Juzgado de lo Social núm. 2 de Guadalajara se formuló por la federación de servicios a la ciudadanía de Comisiones Obreras de Castilla-La Mancha (FSC-CCOO), demanda de conflicto colectivo que dio lugar a los autos núm. 1129-2013. La citada organización sindical pretendía en su demanda que se declarase que no procedía aplicar al personal laboral del Ayuntamiento de Alovera (Guadalajara) lo dispuesto en el art. 2 del Real Decreto-ley 20/2012, de 13 de julio, de medidas para garantizar la estabilidad presupuestaria y de fomento de la competitividad, respecto de la supresión de la paga extraordinaria del mes de diciembre de 2012 al personal del sector público y que se reconociera a estos trabajadores el derecho a percibir la parte proporcional de la misma devengada a la fecha de la entrada en vigor del Real Decreto-ley 20/2012 (15 de julio de 2012), porque de acuerdo con el art. 9.3 CE no cabría que la supresión de la paga extra de diciembre de 2012 se aplique con eficacia retroactiva.</w:t>
      </w:r>
    </w:p>
    <w:p w:rsidR="00AC56D6" w:rsidRDefault="00AC56D6" w:rsidP="00AC56D6">
      <w:pPr>
        <w:pStyle w:val="TextoNormal"/>
      </w:pPr>
    </w:p>
    <w:p w:rsidR="00AC56D6" w:rsidRDefault="00AC56D6" w:rsidP="00AC56D6">
      <w:pPr>
        <w:pStyle w:val="TextoNormal"/>
      </w:pPr>
      <w:r>
        <w:t>b) Concluso el procedimiento y dentro del plazo para dictar sentencia, por providencia de 31 de marzo de 2014 el Juzgado acordó oír a las partes y al Ministerio Fiscal para que alegasen sobre la pertinencia de plantear cuestión de inconstitucionalidad en relación con el Real Decreto-ley 20/2012, por entender que la supresión de la paga extraordinaria del mes de diciembre de 2012 al personal del sector público puede contravenir el art. 9.3 CE.</w:t>
      </w:r>
    </w:p>
    <w:p w:rsidR="00AC56D6" w:rsidRDefault="00AC56D6" w:rsidP="00AC56D6">
      <w:pPr>
        <w:pStyle w:val="TextoNormal"/>
      </w:pPr>
    </w:p>
    <w:p w:rsidR="00AC56D6" w:rsidRDefault="00AC56D6" w:rsidP="00AC56D6">
      <w:pPr>
        <w:pStyle w:val="TextoNormal"/>
      </w:pPr>
      <w:r>
        <w:t>c) La representación procesal de la federación de servicios a la ciudadanía de Comisiones Obreras (FSC-CCOO) manifestó que no era necesario el planteamiento de la cuestión para resolver sobre el fondo del litigio planteado. Ni el Ministerio Fiscal ni la representación procesal del Ayuntamiento de Alovera formularon alegaciones.</w:t>
      </w:r>
    </w:p>
    <w:p w:rsidR="00AC56D6" w:rsidRDefault="00AC56D6" w:rsidP="00AC56D6">
      <w:pPr>
        <w:pStyle w:val="TextoNormal"/>
      </w:pPr>
    </w:p>
    <w:p w:rsidR="00AC56D6" w:rsidRDefault="00AC56D6" w:rsidP="00AC56D6">
      <w:pPr>
        <w:pStyle w:val="TextoNormal"/>
      </w:pPr>
      <w:r>
        <w:t>d) Por Auto de 14 de mayo de 2014, el Juzgado de lo Social núm. 2 de Guadalajara acordó plantear cuestión de inconstitucionalidad en relación con los arts. 2.2 y 6 del Real Decreto-ley 20/2012.</w:t>
      </w:r>
    </w:p>
    <w:p w:rsidR="00AC56D6" w:rsidRDefault="00AC56D6" w:rsidP="00AC56D6">
      <w:pPr>
        <w:pStyle w:val="TextoNormal"/>
      </w:pPr>
    </w:p>
    <w:p w:rsidR="00AC56D6" w:rsidRDefault="00AC56D6" w:rsidP="00AC56D6">
      <w:pPr>
        <w:pStyle w:val="TextoNormal"/>
      </w:pPr>
      <w:r w:rsidRPr="00AC56D6">
        <w:rPr>
          <w:rStyle w:val="NumeroAFNegritaCaracter"/>
        </w:rPr>
        <w:t>3</w:t>
      </w:r>
      <w:r>
        <w:t>. En dicho Auto, el Juzgado de lo Social núm. 2 de Guadalajara considera que los arts. 2.2 y 6 del Real Decreto-ley 20/2012 podrían vulnerar el principio de irretroactividad de las disposiciones sancionadoras no favorables o restrictivas de derechos individuales, que garantiza el art. 9.3 CE, con fundamento en los razonamientos que a continuación se resumen.</w:t>
      </w:r>
    </w:p>
    <w:p w:rsidR="00AC56D6" w:rsidRDefault="00AC56D6" w:rsidP="00AC56D6">
      <w:pPr>
        <w:pStyle w:val="TextoNormal"/>
      </w:pPr>
    </w:p>
    <w:p w:rsidR="00AC56D6" w:rsidRDefault="00AC56D6" w:rsidP="00AC56D6">
      <w:pPr>
        <w:pStyle w:val="TextoNormal"/>
      </w:pPr>
      <w:r>
        <w:lastRenderedPageBreak/>
        <w:t>Tras una síntesis de los antecedentes de hecho se señala que está claro que el art. 2.2 del Real Decreto-ley 20/2012 suprime la percepción de la paga extraordinaria del mes de diciembre del año 2012 para el personal laboral del sector público, incluido el que presta servicios en las corporaciones locales. Lo hace a partir de su entrada en vigor (15 de julio de 2012), sin precisar excepciones por derechos ya devengados. En consonancia con esa misma regla, el art. 6 del Real Decreto-ley 20/2012 establece que se suprime durante el año 2012 para el personal laboral del sector público “la percepción de la gratificación extraordinaria con ocasión de las fiestas de Navidad contenida en el art. 31 del Estatuto de los Trabajadores”.</w:t>
      </w:r>
    </w:p>
    <w:p w:rsidR="00AC56D6" w:rsidRDefault="00AC56D6" w:rsidP="00AC56D6">
      <w:pPr>
        <w:pStyle w:val="TextoNormal"/>
      </w:pPr>
    </w:p>
    <w:p w:rsidR="00AC56D6" w:rsidRDefault="00AC56D6" w:rsidP="00AC56D6">
      <w:pPr>
        <w:pStyle w:val="TextoNormal"/>
      </w:pPr>
      <w:r>
        <w:t>Desde esa perspectiva, entiende el Juzgado que no es posible interpretar los arts. 2.2 y 6 del Real Decreto-ley 20/2012 considerando que cabe abonar aquella parte proporcional de la paga extraordinaria de diciembre que ya se hubiera devengado a la fecha de la entrada en vigor del Real Decreto-ley 20/2012, pues la aplicación de los citados preceptos impide su abono, al suprimir la paga en su integridad. Atendiendo a la jurisprudencia de la Sala de lo Social del Tribunal Supremo que se cita, según la cual las pagas extraordinarias son salario diferido y se devengan día a día, entiende el Juzgado que los arts. 2.2 y 6 del Real Decreto-ley 20/2012 podrían considerarse contrarios al art. 9.3 CE, que garantiza la irretroactividad de las disposiciones restrictivas de derechos individuales, puesto que se estaría suprimiendo el derecho ya generado a percibir la parte proporcional de la paga extraordinaria del mes de diciembre de 2012 devengada antes de la entrada en vigor del Real Decreto-ley 20/2012.</w:t>
      </w:r>
    </w:p>
    <w:p w:rsidR="00AC56D6" w:rsidRDefault="00AC56D6" w:rsidP="00AC56D6">
      <w:pPr>
        <w:pStyle w:val="TextoNormal"/>
      </w:pPr>
    </w:p>
    <w:p w:rsidR="00AC56D6" w:rsidRDefault="00AC56D6" w:rsidP="00AC56D6">
      <w:pPr>
        <w:pStyle w:val="TextoNormal"/>
      </w:pPr>
      <w:r>
        <w:t>Señala el Juzgado que, conforme a la doctrina constitucional sobre la prohibición de retroactividad de las disposiciones sancionadoras no favorables o restrictivas de derechos individuales (SSTC 42/1986, de 10 de abril, FJ 3; 99/1987, de 11 de junio, FJ 6; y 97/1990, de 24 de mayo, FJ 5), una norma es retroactiva a los efectos del art. 9.3 CE cuando incide sobre “relaciones consagradas” y afecta a “situaciones agotadas”, no cuando se refiere a derechos pendientes, futuros, condicionados o nuevas expectativas. Para el Juzgado en el presente caso estaríamos ante un supuesto de retroactividad proscrita por el art. 9.3 CE según esa doctrina; los arts. 2.2 y 6 del Real Decreto-ley 20/2012 suprimen totalmente la paga extra de diciembre de 2012, lo que supone la aplicación retroactiva de la norma de urgencia a derechos ya consolidados, en lo que afecta a la parte proporcional de la paga extra de diciembre devengada a la fecha de entrada en vigor del Real Decreto-ley 20/2012 (15 de julio de 2012).</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Por providencia de 22 de julio de 2014, el Pleno de este Tribunal acordó admitir a trámite la cuestión de inconstitucionalidad, deferir a la Sala Primera el conocimiento de la misma conforme al art. 10.1 c) de la Ley Orgánica del Tribunal Constitucional (LOTC) y dar traslado de la demanda y documentos presentados al Congreso de los Diputados y al Senado, por conducto de sus Presidentes, al Gobierno, a través del Ministro de Justicia, y al Fiscal General del Estado, para que en el improrrogable plazo de quince días pudieran personarse en el procedimiento y formular las alegaciones que estimasen convenientes (art. 37.3 LOTC). Asimismo se ordenó, de un lado, comunicar esa resolución al Juzgado de lo Social núm. 2 de Guadalajara a fin de que, de conformidad con el art. 35.3 LOTC, permaneciese suspendido el proceso hasta que este Tribunal resolviese definitivamente la presente cuestión; asimismo publicar la incoación de la cuestión en el “Boletín Oficial del Estado”, lo que se llevó a efecto en el núm. 181, de 26 de julio de 2014. Por diligencia de ordenación de la Secretaría de Justicia del Pleno de 22 de julio de 2014 se concedió un plazo de quince </w:t>
      </w:r>
      <w:r>
        <w:lastRenderedPageBreak/>
        <w:t>días a partir de la publicación del referido edicto para que, de conformidad con lo establecido en el art. 37.2 LOTC, quienes fuesen parte en el procedimiento de conflicto colectivo núm. 1129-2013 seguido ante el Juzgado de lo Social núm. 2 de Guadalajara pudieran personarse ante este Tribunal.</w:t>
      </w:r>
    </w:p>
    <w:p w:rsidR="00AC56D6" w:rsidRDefault="00AC56D6" w:rsidP="00AC56D6">
      <w:pPr>
        <w:pStyle w:val="TextoNormal"/>
      </w:pPr>
    </w:p>
    <w:p w:rsidR="00AC56D6" w:rsidRDefault="00AC56D6" w:rsidP="00AC56D6">
      <w:pPr>
        <w:pStyle w:val="TextoNormal"/>
      </w:pPr>
      <w:r w:rsidRPr="00AC56D6">
        <w:rPr>
          <w:rStyle w:val="NumeroAFNegritaCaracter"/>
        </w:rPr>
        <w:t>5</w:t>
      </w:r>
      <w:r>
        <w:t>. Mediante escrito que tuvo entrada en el Registro General de este Tribunal el 4 de septiembre de 2014 el Presidente del Congreso de los Diputados comunicó la decisión de la Mesa de esa Cámara de personarse en el presente proceso constitucional, ofreciendo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6</w:t>
      </w:r>
      <w:r>
        <w:t>. Mediante escrito que tuvo entrada en el Registro General de este Tribunal el 8 de septiembre de 2014, el Presidente del Senado comunicó el acuerdo de la Mesa de la Cámara de personarse en el presente proceso constitucional, ofreciendo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7</w:t>
      </w:r>
      <w:r>
        <w:t>. Por escrito registrado en este Tribunal el 9 de septiembre de 2014, el Abogado del Estado se personó en el presente proceso constitucional y formuló las alegaciones que a continuación se resumen.</w:t>
      </w:r>
    </w:p>
    <w:p w:rsidR="00AC56D6" w:rsidRDefault="00AC56D6" w:rsidP="00AC56D6">
      <w:pPr>
        <w:pStyle w:val="TextoNormal"/>
      </w:pPr>
    </w:p>
    <w:p w:rsidR="00AC56D6" w:rsidRDefault="00AC56D6" w:rsidP="00AC56D6">
      <w:pPr>
        <w:pStyle w:val="TextoNormal"/>
      </w:pPr>
      <w:r>
        <w:t>Comienza señalando que el Juzgado de lo Social plantea cuestión de inconstitucionalidad respecto de los arts. 2.2 y 6 del Real Decreto-ley 20/2012, en cuanto a la supresión de la paga extraordinaria de diciembre de 2012 al personal laboral del sector público, pero no cuestiona genéricamente la referida supresión, sino que tan solo le reprocha al legislador de urgencia que no haya incluido una disposición transitoria por la cual se hubiera exceptuado de la mencionada supresión la parte proporcional de la paga extraordinaria que se entiende devengada desde el 1 de julio al 15 del mismo mes, fecha esta última de entrada en vigor del Real Decreto-ley 20/2012. En definitiva, entiende que lo que se plantea es una inconstitucionalidad por omisión y que la consecuencia que podría derivarse no sería la declaración de inconstitucionalidad de los artículos 2.2 y 6, sino simplemente imponer al legislador, con respeto a su libertad de configuración, el establecimiento de una expresa excepción a la supresión de la paga extraordinaria de Navidad (la correspondiente a la parte proporcional de los días 1 al 14 de julio de 2012).</w:t>
      </w:r>
    </w:p>
    <w:p w:rsidR="00AC56D6" w:rsidRDefault="00AC56D6" w:rsidP="00AC56D6">
      <w:pPr>
        <w:pStyle w:val="TextoNormal"/>
      </w:pPr>
    </w:p>
    <w:p w:rsidR="00AC56D6" w:rsidRDefault="00AC56D6" w:rsidP="00AC56D6">
      <w:pPr>
        <w:pStyle w:val="TextoNormal"/>
      </w:pPr>
      <w:r>
        <w:t>Precisado lo anterior, pasa a contestar los puntos argumentales del Auto de planteamiento. Comienza negando que nos encontremos ante “disposiciones sancionadoras no favorables o restrictivas de derechos individuales” en el sentido del art. 9.3 CE. Indica que una norma que aspira a la contención del gasto de personal (como principal componente del gasto público) no es ni sancionadora, ni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AC56D6" w:rsidRDefault="00AC56D6" w:rsidP="00AC56D6">
      <w:pPr>
        <w:pStyle w:val="TextoNormal"/>
      </w:pPr>
    </w:p>
    <w:p w:rsidR="00AC56D6" w:rsidRDefault="00AC56D6" w:rsidP="00AC56D6">
      <w:pPr>
        <w:pStyle w:val="TextoNormal"/>
      </w:pPr>
      <w:r>
        <w:t xml:space="preserve">Subsidiariamente, para el caso de que este Tribunal apreciase que sí nos encontramos ante una “disposición restrictiva de derechos individuales”, el Abogado del Estado niega que los arts. 2.2 y 6 del Real Decreto-ley 20/2012 establezcan una retroactividad proscrita por el art. 9.3 CE. En este sentido señala que, de acuerdo con la doctrina constitucional, sólo </w:t>
      </w:r>
      <w:r>
        <w:lastRenderedPageBreak/>
        <w:t>la retroactividad “auténtica o de grado máximo” (que supone la incidencia sobre relaciones consagradas y afecta a situaciones agotadas) está incluida en la prohibición de ese precepto constitucional; no lo está, por el contrario, la retroactividad “impropia o de grado medio” (que incide en situaciones jurídicas actuales aún no concluidas), pero que puede tener relevancia constitucional desde la perspectiva de la protección de la seguridad jurídica.</w:t>
      </w:r>
    </w:p>
    <w:p w:rsidR="00AC56D6" w:rsidRDefault="00AC56D6" w:rsidP="00AC56D6">
      <w:pPr>
        <w:pStyle w:val="TextoNormal"/>
      </w:pPr>
    </w:p>
    <w:p w:rsidR="00AC56D6" w:rsidRDefault="00AC56D6" w:rsidP="00AC56D6">
      <w:pPr>
        <w:pStyle w:val="TextoNormal"/>
      </w:pPr>
      <w:r>
        <w:t>Según el Abogado del Estado, la cuestión radica en determinar si el derecho a la paga extraordinaria de diciembre de 2012, en cantidad proporcional a los días 1 al 14 de julio, estaba ya consolidado, asumido e integrado en el patrimonio de los trabajadores cuando entró en vigor el Real Decreto-ley 20/2012, o si se trataba, por el contrario, de una expectativa de derecho o de un derecho futuro o condicionado. Entiende que la regulación legal de las pagas extraordinarias no ofrece respuesta a esa pregunta, siendo el Tribunal Supremo el que ha hecho referencia a su devengo diario y cobro aplazado en su jurisprudencia. No obstante, a juicio del Abogado del Estado, resulta evidente que una determinada interpretación jurisprudencial de un precepto legal no puede erigirse en parámetro de constitucionalidad de otra norma de rango legal.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Esta concepción es, por otro lado, perfectamente conforme con los arts. 26 y 31 de la Ley del estatuto de los trabajadores, así como con la doctrina de este Tribunal Constitucional en relación con los tributos de hecho imponible duradero. Respecto a ellos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se refiere a una paga extraordinaria que todavía no se ha percibido.</w:t>
      </w:r>
    </w:p>
    <w:p w:rsidR="00AC56D6" w:rsidRDefault="00AC56D6" w:rsidP="00AC56D6">
      <w:pPr>
        <w:pStyle w:val="TextoNormal"/>
      </w:pPr>
    </w:p>
    <w:p w:rsidR="00AC56D6" w:rsidRDefault="00AC56D6" w:rsidP="00AC56D6">
      <w:pPr>
        <w:pStyle w:val="TextoNormal"/>
      </w:pPr>
      <w:r>
        <w:t>Seguidamente sostiene el Abogado del Estado que aún en el caso de que se considerase que los arts. 2.2 y 6 del Real Decreto-ley 20/2012 establecen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conformes a la Constitución modificaciones con cualquier grado de retroactividad cuando existieran claras exigencias de “interés general”. Aplicando tal doctrina al presente caso, considera que la medida cuestionada encontraría su justificación en un interés público relevante, como lo es la necesidad de realizar fuertes ajustes presupuestarios en el marco de una crisis económica sin precedentes, siendo la reducción de las retribuciones prevista en las normas cuestionadas una medida extraordinaria de “contención de gastos de personal” que tiene por finalidad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t>En tal sentido,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afirma que en la senda de consolidación fiscal pactada con los órganos de la Unión Europea, España se ha visto obligada a una fuerte reducción del déficit del 8,9 por 100 en 2011 al 6,3 por 100 del PIB en 2012, un 4,5 por 100 en 2013 y un 2,8 por 100 en 2014, lo que ha exigido adoptar importantes medidas de reducción del gasto público. Recuerda, asimismo, que la estabilidad presupuestaria es un principio constitucional que vincula a todos los poderes públicos; insiste en que el análisis de la norma cuestionada ha de partir del contexto recesivo descrito. Así las cosas, afirma el Abogado del Estado que no existe razón para negar la concurrencia de un “interés general”, dada la situación descrita de grave crisis económica, que justificaría en todo caso la aplicación retroactiva de la medida contemplada en los cuestionados arts. 2.2 y 6 del Real Decreto-ley 20/2012.</w:t>
      </w:r>
    </w:p>
    <w:p w:rsidR="00AC56D6" w:rsidRDefault="00AC56D6" w:rsidP="00AC56D6">
      <w:pPr>
        <w:pStyle w:val="TextoNormal"/>
      </w:pPr>
    </w:p>
    <w:p w:rsidR="00AC56D6" w:rsidRDefault="00AC56D6" w:rsidP="00AC56D6">
      <w:pPr>
        <w:pStyle w:val="TextoNormal"/>
      </w:pPr>
      <w:r>
        <w:t>Por todo ello el Abogado del Estado interesa la desestimación de la cuestión.</w:t>
      </w:r>
    </w:p>
    <w:p w:rsidR="00AC56D6" w:rsidRDefault="00AC56D6" w:rsidP="00AC56D6">
      <w:pPr>
        <w:pStyle w:val="TextoNormal"/>
      </w:pPr>
    </w:p>
    <w:p w:rsidR="00AC56D6" w:rsidRDefault="00AC56D6" w:rsidP="00AC56D6">
      <w:pPr>
        <w:pStyle w:val="TextoNormal"/>
      </w:pPr>
      <w:r w:rsidRPr="00AC56D6">
        <w:rPr>
          <w:rStyle w:val="NumeroAFNegritaCaracter"/>
        </w:rPr>
        <w:t>8</w:t>
      </w:r>
      <w:r>
        <w:t>. Por escrito registrado en este Tribunal el 12 de septiembre de 2014, el Fiscal General del Estado evacuó el trámite de alegaciones, solicitando la declaración de inconstitucionalidad del apartado 2.2 del art. 2 del Real Decreto-ley 20/2012, por considerarlo contrario al principio de irretroactividad de las disposiciones restrictivas de derechos individuales (art. 9.3 CE).</w:t>
      </w:r>
    </w:p>
    <w:p w:rsidR="00AC56D6" w:rsidRDefault="00AC56D6" w:rsidP="00AC56D6">
      <w:pPr>
        <w:pStyle w:val="TextoNormal"/>
      </w:pPr>
    </w:p>
    <w:p w:rsidR="00AC56D6" w:rsidRDefault="00AC56D6" w:rsidP="00AC56D6">
      <w:pPr>
        <w:pStyle w:val="TextoNormal"/>
      </w:pPr>
      <w:r>
        <w:t>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se ven concernidos derechos individuales que son expresión directa de la esfera general de protección de la persona. Además, afirma que la idea de sanción resultará robustecida en este caso, dado que se pretende extraer del patrimonio de los ciudadanos, sin indemnización, un bien o un derecho del que ya dispone.</w:t>
      </w:r>
    </w:p>
    <w:p w:rsidR="00AC56D6" w:rsidRDefault="00AC56D6" w:rsidP="00AC56D6">
      <w:pPr>
        <w:pStyle w:val="TextoNormal"/>
      </w:pPr>
    </w:p>
    <w:p w:rsidR="00AC56D6" w:rsidRDefault="00AC56D6" w:rsidP="00AC56D6">
      <w:pPr>
        <w:pStyle w:val="TextoNormal"/>
      </w:pPr>
      <w:r>
        <w:t xml:space="preserve">Llegados a este punto, pasa a analizar si la norma cuestionada contiene un grado de retroactividad permitido por el art. 9.3 CE, a la luz de la doctrina constitucional que sintetiza.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w:t>
      </w:r>
      <w:r>
        <w:lastRenderedPageBreak/>
        <w:t xml:space="preserve">devengan día a día, incorporándose cada jornada al patrimonio del trabajador;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Derechos Humanos de 14 de mayo de 2013 (caso </w:t>
      </w:r>
      <w:r w:rsidRPr="00AC56D6">
        <w:rPr>
          <w:i/>
        </w:rPr>
        <w:t>N.K.M. v. Hungría</w:t>
      </w:r>
      <w:r>
        <w:t>); este declaró la vulneración del art. 1 del Protocolo núm. 1 anexo al Convenio por un acto de privación de la cuantía de una indemnización (cantidad devengada pero no percibida) por cese a una funcionaria, señalándose que “los bienes” en el sentido del citado artículo 1 son “bienes existentes” o activos, en los que el solicitante puede tener por lo menos una “expectativa legítima” de que esta se realizará. Entiende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Tal hipótesis no puede suponer, sin embargo, un aval genérico para que con esa excusa el poder público pueda conducirse apartándose de una expresa previsión legal. Añade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t>El Fiscal General del Estado concluye sus alegaciones precisando que en el Auto de planteamiento no se cuestiona todo el art. 2 del Real Decreto-ley 20/2012 sino sólo su apartado 2.2, ya que es el que resulta aplicable para resolver el pleito sometido al conocimiento de Juzgado de lo Social núm. 2 de Guadalajara (referido en exclusiva a personal laboral y no a personal funcionario o estatutario). Asimismo, en cuanto a los efectos de la hipotética declaración de inconstitucionalidad,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00AC56D6" w:rsidRDefault="00AC56D6" w:rsidP="00AC56D6">
      <w:pPr>
        <w:pStyle w:val="TextoNormal"/>
      </w:pPr>
    </w:p>
    <w:p w:rsidR="00AC56D6" w:rsidRDefault="00AC56D6" w:rsidP="00AC56D6">
      <w:pPr>
        <w:pStyle w:val="TextoNormal"/>
      </w:pPr>
      <w:r w:rsidRPr="00AC56D6">
        <w:rPr>
          <w:rStyle w:val="NumeroAFNegritaCaracter"/>
        </w:rPr>
        <w:t>9</w:t>
      </w:r>
      <w:r>
        <w:t xml:space="preserve">. Por providencia de 28 de mayo de 2015 la Sala Primera acordó, de conformidad con lo dispuesto en el art. 88.1 LOTC, dirigir atenta comunicación al Ayuntamiento de Alovera, a fin de que indicase a este Tribunal si, en atención a lo previsto en la disposición adicional duodécima de la Ley 36/2014, de presupuestos generales del Estado para el año 2015, o por cualquier otra circunstancia, ha satisfecho al personal laboral de ese ayuntamiento alguna cantidad en concepto de recuperación de la parte proporcional de la paga extraordinaria, de </w:t>
      </w:r>
      <w:r>
        <w:lastRenderedPageBreak/>
        <w:t>la paga adicional de complemento específico o de las pagas adicionales equivalentes, todas ellas correspondientes al mes de diciembre de 2012; especificando, en su caso, el número de días de las citadas pagas a los que corresponden las cuantías abonadas.</w:t>
      </w:r>
    </w:p>
    <w:p w:rsidR="00AC56D6" w:rsidRDefault="00AC56D6" w:rsidP="00AC56D6">
      <w:pPr>
        <w:pStyle w:val="TextoNormal"/>
      </w:pPr>
    </w:p>
    <w:p w:rsidR="00AC56D6" w:rsidRDefault="00AC56D6" w:rsidP="00AC56D6">
      <w:pPr>
        <w:pStyle w:val="TextoNormal"/>
      </w:pPr>
      <w:r w:rsidRPr="00AC56D6">
        <w:rPr>
          <w:rStyle w:val="NumeroAFNegritaCaracter"/>
        </w:rPr>
        <w:t>10</w:t>
      </w:r>
      <w:r>
        <w:t>. En contestación a la referida providencia el Ayuntamiento de Alovera comunicó a este Tribunal, mediante escrito que tuvo entrada en el Registro General el 2 de julio de 2015, que dicho ayuntamiento, al amparo de lo previsto en la disposición adicional duodécima de la Ley 36/2014, de presupuestos generales del Estado para el año 2015, hizo efectiva tanto a su personal laboral como a su personal funcionario, en la nómina del mes de febrero de 2015, la parte proporcional de la paga extraordinaria correspondiente al mes de diciembre de 2012, por un importe referido a cuarenta y cuatro días.</w:t>
      </w:r>
    </w:p>
    <w:p w:rsidR="00AC56D6" w:rsidRDefault="00AC56D6" w:rsidP="00AC56D6">
      <w:pPr>
        <w:pStyle w:val="TextoNormal"/>
      </w:pPr>
    </w:p>
    <w:p w:rsidR="00AC56D6" w:rsidRDefault="00AC56D6" w:rsidP="00AC56D6">
      <w:pPr>
        <w:pStyle w:val="TextoNormal"/>
      </w:pPr>
      <w:r w:rsidRPr="00AC56D6">
        <w:rPr>
          <w:rStyle w:val="NumeroAFNegritaCaracter"/>
        </w:rPr>
        <w:t>11</w:t>
      </w:r>
      <w:r>
        <w:t>. Por providencia de 17 de septiembre de 2015 se señaló para deliberación y votación de la presente Sentencia el día 21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Juzgado de lo Social núm. 2 de Guadalajara plantea cuestión de inconstitucionalidad respecto de los arts. 2.2 y 6 del Real Decreto-ley 20/2012, de 13 de julio, de medidas para garantizar la estabilidad presupuestaria y de fomento de la competitividad. El art. 2.2 del Real Decreto-ley 20/2012, en lo que aquí importa, dispone para el personal del sector público definido en el art. 22.1 de la Ley 2/2012, de 29 de junio, de presupuestos generales del Estado para 2012, la supresión de la paga extraordinaria (o equivalente) del mes de diciembre de 2012. En síntesis, el Juzgado entiende que el art. 2.2 del Real Decreto-ley 20/2012, en su aplicación al personal laboral del sector público,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(15 de julio de 2012). Otro tanto se predica del art. 6 del Real Decreto-ley 20/2012 también cuestionado, que establece, “sin perjuicio de lo dispuesto en el artículo 2, apartado 2.2, de este mismo Real Decreto-ley”, que “durante el año 2012 se suprime para el personal laboral del sector público la percepción de la gratificación extraordinaria con ocasión de las fiestas de Navidad contenida en el artículo 31 del Estatuto de los Trabajadores”.</w:t>
      </w:r>
    </w:p>
    <w:p w:rsidR="00AC56D6" w:rsidRDefault="00AC56D6" w:rsidP="00AC56D6">
      <w:pPr>
        <w:pStyle w:val="TextoNormal"/>
      </w:pPr>
    </w:p>
    <w:p w:rsidR="00AC56D6" w:rsidRDefault="00AC56D6" w:rsidP="00AC56D6">
      <w:pPr>
        <w:pStyle w:val="TextoNormal"/>
      </w:pPr>
      <w:r>
        <w:t>En los términos en que han sido recogidos en los antecedentes de esta Sentencia, el Fiscal General del Estado coincide con el juicio de inconstitucionalidad formulado por el Auto de planteamiento de la cuestión e interesa la estimación de la misma, mientras que el Abogado del Estado solicita su desestimación.</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al análisis de la cuestión planteada conviene realizar una serie de precisiones para acotar debidamente el objeto de la misma y el alcance de nuestro enjuiciamiento.</w:t>
      </w:r>
    </w:p>
    <w:p w:rsidR="00AC56D6" w:rsidRDefault="00AC56D6" w:rsidP="00AC56D6">
      <w:pPr>
        <w:pStyle w:val="TextoNormal"/>
      </w:pPr>
    </w:p>
    <w:p w:rsidR="00AC56D6" w:rsidRDefault="00AC56D6" w:rsidP="00AC56D6">
      <w:pPr>
        <w:pStyle w:val="TextoNormal"/>
      </w:pPr>
      <w:r>
        <w:t xml:space="preserve">a) En primer lugar, resulta obligado advertir, en consonancia con lo manifestado en sus alegaciones respectivas por el Fiscal General del Estado y el Abogado del Estado, que, si </w:t>
      </w:r>
      <w:r>
        <w:lastRenderedPageBreak/>
        <w:t>bien el Juzgado de lo Social núm. 2 de Guadalajara plantea la cuestión de inconstitucionalidad respecto del art. 2.2 del Real Decreto-ley 20/2012 en su integridad, lo cierto es que de los razonamientos que se contienen en el Auto de planteamiento se infiere sin dificultad que no se cuestiona todo el precepto sino sólo en su aplicación al personal laboral del sector público. Ello se conecta lógicamente con el juicio de relevancia, correctamente expresado por el órgano judicial. La cuestión de inconstitucionalidad trae causa de un proceso de conflicto colectivo promovido por un sindicato con motivo de la supresión, por aplicación de las previsiones contenidas en el Real Decreto-ley 20/2012, de la paga extraordinaria de diciembre de 2012 al personal laboral de una corporación local (Ayuntamiento de Alovera). Lo pretendido por el sindicato demandante es justamente que se declare el derecho de los trabajadores de esa entidad local a percibir la parte proporcional de la paga extra de diciembre de 2012, que considera ya devengada al momento de la entrada en vigor del Real Decreto-ley 20/2012 porque, de acuerdo con el art. 9.3 CE, no cabe que la supresión de esa paga extra por dicho Real Decreto-ley tenga efectos retroactivos.</w:t>
      </w:r>
    </w:p>
    <w:p w:rsidR="00AC56D6" w:rsidRDefault="00AC56D6" w:rsidP="00AC56D6">
      <w:pPr>
        <w:pStyle w:val="TextoNormal"/>
      </w:pPr>
    </w:p>
    <w:p w:rsidR="00AC56D6" w:rsidRDefault="00AC56D6" w:rsidP="00AC56D6">
      <w:pPr>
        <w:pStyle w:val="TextoNormal"/>
      </w:pPr>
      <w:r>
        <w:t>De este modo, en los términos en que ha sido planteada, la presente cuestión de inconstitucionalidad debe entenderse referida al apartado 2.2 del art. 2 del Real Decreto-ley 20/2012, que se refiere específicamente a la supresión de la paga o gratificación extraordinaria de diciembre de 2012, o equivalente, al personal laboral del sector público, que incluye el personal de las corporaciones locales y de los organismos dependientes de estas.</w:t>
      </w:r>
    </w:p>
    <w:p w:rsidR="00AC56D6" w:rsidRDefault="00AC56D6" w:rsidP="00AC56D6">
      <w:pPr>
        <w:pStyle w:val="TextoNormal"/>
      </w:pPr>
    </w:p>
    <w:p w:rsidR="00AC56D6" w:rsidRDefault="00AC56D6" w:rsidP="00AC56D6">
      <w:pPr>
        <w:pStyle w:val="TextoNormal"/>
      </w:pPr>
      <w:r>
        <w:t>b) Por otra parte debe tenerse en cuenta que no se cuestiona por el Juzgado de lo Social núm. 2 de Guadalajara la medida de supresión de la paga extraordinaria de diciembre de 2012 en sí misma considerada; se cuestiona solo en cuanto su aplicación haya podido suponer la infracción del principio de irretroactividad establecido en el art. 9.3 CE, al no contemplar excepción alguna respecto de las cuantías que se entienden ya devengadas de dicha paga extra a la fecha de entrada en vigor del Real Decreto-ley 20/2012 (que tuvo lugar el 15 de julio de 2012, conforme a su disposición final decimoquinta). A esta concreta duda deberá, pues, ceñirse nuestro enjuiciamiento.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Delimitado el alcance de nuestra decisión, debemos remitirnos a lo dicho recientemente en la STC 83/2015, de 30 de abril, FJ 3, sobre la posible pérdida de objeto de la cuestión de inconstitucionalidad, como consecuencia de lo establecido en la disposición adicional duodécima de la Ley 36/2014, de 26 de diciembre, de presupuestos generales del Estado para 2015. Bajo el epígrafe “Recuperación de la paga extraordinaria y adicional del mes de diciembre de 2012”, se establece, en su apartado 1.1,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según establece el apartado 1.2.</w:t>
      </w:r>
    </w:p>
    <w:p w:rsidR="00AC56D6" w:rsidRDefault="00AC56D6" w:rsidP="00AC56D6">
      <w:pPr>
        <w:pStyle w:val="TextoNormal"/>
      </w:pPr>
    </w:p>
    <w:p w:rsidR="00AC56D6" w:rsidRDefault="00AC56D6" w:rsidP="00AC56D6">
      <w:pPr>
        <w:pStyle w:val="TextoNormal"/>
      </w:pPr>
      <w:r>
        <w:t xml:space="preserve">En la STC 83/2015, FJ 3, se recuerda la reiterada doctrina constitucional sobre los efectos extintivos del objeto del proceso en las cuestiones de inconstitucionalidad, como consecuencia de la derogación o modificación de la norma legal cuestionada. Se puso de manifiesto que era innegable la incidencia que tenía la medida contenida en la disposición adicional duodécima de la Ley 36/2014, de presupuestos generales del Estado para 2015, sobre la pretensión deducida en el pleito </w:t>
      </w:r>
      <w:r w:rsidRPr="00AC56D6">
        <w:rPr>
          <w:i/>
        </w:rPr>
        <w:t>a quo</w:t>
      </w:r>
      <w:r>
        <w:t xml:space="preserve">, “que afecta de modo determinante a la subsistencia </w:t>
      </w:r>
      <w:r>
        <w:lastRenderedPageBreak/>
        <w:t>del presente proceso constitucional, dada la estrecha vinculación existente entre toda cuestión de inconstitucionalidad y el procedimiento judicial de que dimana.” Otro tanto acontece en el presente caso.</w:t>
      </w:r>
    </w:p>
    <w:p w:rsidR="00AC56D6" w:rsidRDefault="00AC56D6" w:rsidP="00AC56D6">
      <w:pPr>
        <w:pStyle w:val="TextoNormal"/>
      </w:pPr>
    </w:p>
    <w:p w:rsidR="00AC56D6" w:rsidRDefault="00AC56D6" w:rsidP="00AC56D6">
      <w:pPr>
        <w:pStyle w:val="TextoNormal"/>
      </w:pPr>
      <w:r>
        <w:t xml:space="preserve">En el conflicto colectivo del que trae causa la presente cuestión de inconstitucionalidad se discute el derecho de los trabajadores de una entidad local (Ayuntamiento de Alovera) a percibir la parte proporcional de la paga extra de diciembre de 2012, ya devengada al momento de la entrada en vigor del Real Decreto-ley 20/2012, que suprimió el derecho a su percepción. Ello por estimar el sindicato demandante en el proceso </w:t>
      </w:r>
      <w:r w:rsidRPr="00AC56D6">
        <w:rPr>
          <w:i/>
        </w:rPr>
        <w:t>a quo</w:t>
      </w:r>
      <w:r>
        <w:t xml:space="preserve"> que la supresión de esa paga extra por la citada norma no puede tener efectos retroactivos por imperativo de lo dispuesto en el art. 9.3 CE. Al suscitarse sobre este extremo la duda de constitucionalidad que plantea el órgano judicial, es obligado constatar la recuperación por esos trabajadores de la parte proporcional correspondiente a los primeros 44 días de la de la paga extraordinaria y de la paga adicional de complemento específico correspondiente al mes de diciembre de 2012, en virtud de lo establecido en la citada disposición adicional duodécima de la Ley 36/2014, de presupuestos generales del Estado para 2015. Esa recuperación se hizo efectiva en el caso del Ayuntamiento de Alovera en la nómina del mes de febrero de 2015, como se pone de manifiesto por dicha corporación local en su contestación al requerimiento formulado al efecto por este Tribunal, conforme quedó señalado en el relato de antecedentes. Todo ello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(STC 83/2015, FJ 3).</w:t>
      </w:r>
    </w:p>
    <w:p w:rsidR="00AC56D6" w:rsidRDefault="00AC56D6" w:rsidP="00AC56D6">
      <w:pPr>
        <w:pStyle w:val="TextoNormal"/>
      </w:pPr>
    </w:p>
    <w:p w:rsidR="00AC56D6" w:rsidRDefault="00AC56D6" w:rsidP="00AC56D6">
      <w:pPr>
        <w:pStyle w:val="TextoNormal"/>
      </w:pPr>
      <w:r>
        <w:t>En conclusión, “la regulación contenida en la citada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83/2015, FJ 3; y en el mismo sentido AATC 340/2003, de 21 de octubre, FJ único; y 75/2004, de 9 de marzo, FJ único)” (STC 83/2015, FJ 3).</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Declarar la extinción de la presente cuestión de inconstitucionalidad por desaparición sobrevenida de su objeto.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veintiuno de septiembre de dos mil quince.</w:t>
      </w:r>
    </w:p>
    <w:p w:rsidR="00AC56D6" w:rsidRDefault="00AC56D6">
      <w:pPr>
        <w:spacing w:after="160" w:line="259" w:lineRule="auto"/>
        <w:rPr>
          <w:rFonts w:ascii="Times New Roman" w:eastAsia="Times New Roman" w:hAnsi="Times New Roman" w:cs="Times New Roman"/>
          <w:sz w:val="24"/>
          <w:szCs w:val="24"/>
          <w:lang w:eastAsia="es-ES"/>
        </w:rPr>
      </w:pPr>
      <w:r>
        <w:lastRenderedPageBreak/>
        <w:br w:type="page"/>
      </w:r>
    </w:p>
    <w:p w:rsidR="00AC56D6" w:rsidRDefault="00AC56D6" w:rsidP="00AC56D6">
      <w:pPr>
        <w:pStyle w:val="TtuloResolucin"/>
      </w:pPr>
      <w:bookmarkStart w:id="50" w:name="SENTENCIA_2015_194"/>
      <w:r>
        <w:lastRenderedPageBreak/>
        <w:t>SENTENCIA 194/2015, de 21 de septiembre de 2015</w:t>
      </w:r>
    </w:p>
    <w:bookmarkEnd w:id="50"/>
    <w:p w:rsidR="00AC56D6" w:rsidRDefault="00AC56D6" w:rsidP="00AC56D6">
      <w:pPr>
        <w:pStyle w:val="TtuloResolucin"/>
      </w:pPr>
      <w:r>
        <w:t>Sala Segunda</w:t>
      </w:r>
    </w:p>
    <w:p w:rsidR="00AC56D6" w:rsidRDefault="00AC56D6" w:rsidP="00AC56D6">
      <w:pPr>
        <w:pStyle w:val="TtuloBOE"/>
      </w:pPr>
      <w:r>
        <w:t>(BOE núm. 260, de 30 de octubre de 2015)</w:t>
      </w:r>
    </w:p>
    <w:p w:rsidR="00AC56D6" w:rsidRDefault="00AC56D6" w:rsidP="00AC56D6">
      <w:pPr>
        <w:pStyle w:val="TextoNormalCentrado"/>
      </w:pPr>
      <w:r>
        <w:t>ECLI:ES:TC:2015:194</w:t>
      </w:r>
    </w:p>
    <w:p w:rsidR="00AC56D6" w:rsidRDefault="00AC56D6" w:rsidP="00AC56D6">
      <w:pPr>
        <w:pStyle w:val="TextoNormalCentrado"/>
      </w:pPr>
    </w:p>
    <w:p w:rsidR="00AC56D6" w:rsidRDefault="00AC56D6" w:rsidP="00AC56D6">
      <w:pPr>
        <w:pStyle w:val="SntesisDescriptiva"/>
      </w:pPr>
      <w:r>
        <w:t>Recurso de amparo 4229-2014. Promovido por don Pablo César Quinzo Quinzo en relación con los Autos dictados por la Sala de lo Civil y Penal del Tribunal Superior de Justicia de Canarias en recurso de apelación frente a Sentencia del Tribunal del Jurado de la Audiencia Provincial de Santa Cruz de Tenerife.</w:t>
      </w:r>
    </w:p>
    <w:p w:rsidR="00AC56D6" w:rsidRDefault="00AC56D6" w:rsidP="00AC56D6">
      <w:pPr>
        <w:pStyle w:val="SntesisDescriptiva"/>
      </w:pPr>
    </w:p>
    <w:p w:rsidR="00AC56D6" w:rsidRDefault="00AC56D6" w:rsidP="00AC56D6">
      <w:pPr>
        <w:pStyle w:val="SntesisAnaltica"/>
      </w:pPr>
      <w:r>
        <w:t>Vulneración del derecho a la tutela judicial efectiva (doble instancia penal): archivo del recurso de apelación basado en el desistimiento tácito que el órgano judicial infirió de la ausencia de los profesionales designados por el apelante en la vista del recurso.</w:t>
      </w:r>
    </w:p>
    <w:p w:rsidR="00AC56D6" w:rsidRDefault="00AC56D6" w:rsidP="00AC56D6">
      <w:pPr>
        <w:pStyle w:val="SntesisAnaltica"/>
      </w:pPr>
    </w:p>
    <w:p w:rsidR="00AC56D6" w:rsidRDefault="00AC56D6" w:rsidP="00AC56D6">
      <w:pPr>
        <w:pStyle w:val="Extracto"/>
      </w:pPr>
      <w:r>
        <w:t>1.</w:t>
      </w:r>
      <w:r>
        <w:tab/>
        <w:t xml:space="preserve">Procede estimar el recurso de amparo porque la </w:t>
      </w:r>
      <w:r w:rsidRPr="00AC56D6">
        <w:rPr>
          <w:i/>
        </w:rPr>
        <w:t xml:space="preserve">ratio decidendi </w:t>
      </w:r>
      <w:r>
        <w:t>conforme a la cual se dictó el auto de archivo del recurso por supuesto desistimiento no respetó el derecho a la doble instancia penal (art. 24.1 CE), negándose al recurrente su derecho a obtener una decisión de fondo a sus pretensiones impugnatorias, en apreciación de una causa procesal impeditiva que en realidad no existe [FJ 6].</w:t>
      </w:r>
    </w:p>
    <w:p w:rsidR="00AC56D6" w:rsidRDefault="00AC56D6" w:rsidP="00AC56D6">
      <w:pPr>
        <w:pStyle w:val="Extracto"/>
      </w:pPr>
    </w:p>
    <w:p w:rsidR="00AC56D6" w:rsidRDefault="00AC56D6" w:rsidP="00AC56D6">
      <w:pPr>
        <w:pStyle w:val="Extracto"/>
      </w:pPr>
      <w:r>
        <w:t>2.</w:t>
      </w:r>
      <w:r>
        <w:tab/>
        <w:t>Procede declarar la nulidad de los Autos impugnados del Tribunal de apelación,  con retrotracción de las actuaciones al momento inmediatamente anterior al de dictarse la primera el auto de archivo del recurso de apelación, y debiendo proveer la Sala a la ausencia de la procuradora y del abogado del demandante de amparo, a la vista oral del recurso de apelación, en términos que resulten respetuosos con el derecho fundamental a la tutela judicial efectiva, en la vertiente del derecho a la doble instancia penal [FJ 7].</w:t>
      </w:r>
    </w:p>
    <w:p w:rsidR="00AC56D6" w:rsidRDefault="00AC56D6" w:rsidP="00AC56D6">
      <w:pPr>
        <w:pStyle w:val="Extracto"/>
      </w:pPr>
    </w:p>
    <w:p w:rsidR="00AC56D6" w:rsidRDefault="00AC56D6" w:rsidP="00AC56D6">
      <w:pPr>
        <w:pStyle w:val="Extracto"/>
      </w:pPr>
      <w:r>
        <w:t>3.</w:t>
      </w:r>
      <w:r>
        <w:tab/>
        <w:t>El recurso de amparo fue admitido a trámite al apreciarse su especial trascendencia constitucional [art. 50.1.b) LOTC], dado que el asunto de fondo plantea un problema sobre el que no hay doctrina previa de este Tribunal Constitucional [STC 155/2009, de 25 de junio, FJ 2, apartado a)]; concretamente en cuanto al derecho a la doble instancia penal (art. 24.1 CE) y su posible vulneración en el tratamiento judicial de los llamados medios de autocomposición del proceso, como consecuencia del desistimiento tácito que la Sala de apelación deduce de la ausencia de profesionales designados por el apelante, en la vista del recurso [FJ 2].</w:t>
      </w:r>
    </w:p>
    <w:p w:rsidR="00AC56D6" w:rsidRDefault="00AC56D6" w:rsidP="00AC56D6">
      <w:pPr>
        <w:pStyle w:val="Extracto"/>
      </w:pPr>
    </w:p>
    <w:p w:rsidR="00AC56D6" w:rsidRDefault="00AC56D6" w:rsidP="00AC56D6">
      <w:pPr>
        <w:pStyle w:val="Extracto"/>
      </w:pPr>
      <w:r>
        <w:t>4.</w:t>
      </w:r>
      <w:r>
        <w:tab/>
        <w:t>La inactividad o defectuoso proceder de la representación procesal o de la defensa del acusado, causantes de la pérdida de algún recurso o trámite del proceso penal, únicamente genera el deber positivo de velar por la efectividad de la defensa del acusado o del condenado en el proceso penal por parte de profesionales designados de oficio (SSTC 160/2009, 179/2014) [FJ 3].</w:t>
      </w:r>
    </w:p>
    <w:p w:rsidR="00AC56D6" w:rsidRDefault="00AC56D6" w:rsidP="00AC56D6">
      <w:pPr>
        <w:pStyle w:val="Extracto"/>
      </w:pPr>
    </w:p>
    <w:p w:rsidR="00AC56D6" w:rsidRDefault="00AC56D6" w:rsidP="00AC56D6">
      <w:pPr>
        <w:pStyle w:val="Extracto"/>
      </w:pPr>
      <w:r>
        <w:t>5.</w:t>
      </w:r>
      <w:r>
        <w:tab/>
        <w:t>El órgano judicial no puede ni debe supervisar en todos los procedimientos la actuación de los profesionales del Derecho, pues ante su pasividad o falta de pericia profesional son otros mecanismos jurídicos arbitrados para exigirles responsabilidades disciplinarias o patrimoniales (SSTC 91/1994, 47/2003) [FJ 3].</w:t>
      </w:r>
    </w:p>
    <w:p w:rsidR="00AC56D6" w:rsidRDefault="00AC56D6" w:rsidP="00AC56D6">
      <w:pPr>
        <w:pStyle w:val="Extracto"/>
      </w:pPr>
    </w:p>
    <w:p w:rsidR="00AC56D6" w:rsidRDefault="00AC56D6" w:rsidP="00AC56D6">
      <w:pPr>
        <w:pStyle w:val="Extracto"/>
      </w:pPr>
      <w:r>
        <w:lastRenderedPageBreak/>
        <w:t>6.</w:t>
      </w:r>
      <w:r>
        <w:tab/>
        <w:t>Si el debate planteado en segunda instancia versa exclusivamente sobre estrictas cuestiones jurídicas no resulta necesario oír personalmente al acusado en un juicio público, pues dicha audiencia ninguna incidencia podría tener en la decisión que pudiera adoptarse y, en la medida en que el debate sea estrictamente jurídico, la posición de la parte puede entenderse debidamente garantizada por la presencia de su abogado, que haría efectivo el derecho de defensa frente a los argumentos esgrimidos por la otra parte (STC 88/2013) [FJ 4].</w:t>
      </w:r>
    </w:p>
    <w:p w:rsidR="00AC56D6" w:rsidRDefault="00AC56D6" w:rsidP="00AC56D6">
      <w:pPr>
        <w:pStyle w:val="Extracto"/>
      </w:pPr>
    </w:p>
    <w:p w:rsidR="00AC56D6" w:rsidRDefault="00AC56D6" w:rsidP="00AC56D6">
      <w:pPr>
        <w:pStyle w:val="Extracto"/>
      </w:pPr>
      <w:r>
        <w:t>7.</w:t>
      </w:r>
      <w:r>
        <w:tab/>
        <w:t>El derecho a la doble instancia penal contra Sentencias de condena ha de respetarse conforme a los términos recogidos por el art. 14.5 del Pacto internacional de derechos civiles y políticos de 1966, que establece que toda persona declarada culpable de un delito tendrá derecho a que el fallo condenatorio y la pena que se le haya impuesto sean sometidos a un tribunal superior, conforme a lo prescrito por la ley [FJ 5].</w:t>
      </w:r>
    </w:p>
    <w:p w:rsidR="00AC56D6" w:rsidRDefault="00AC56D6" w:rsidP="00AC56D6">
      <w:pPr>
        <w:pStyle w:val="Extracto"/>
      </w:pPr>
    </w:p>
    <w:p w:rsidR="00AC56D6" w:rsidRDefault="00AC56D6" w:rsidP="00AC56D6">
      <w:pPr>
        <w:pStyle w:val="Extracto"/>
      </w:pPr>
      <w:r>
        <w:t>8.</w:t>
      </w:r>
      <w:r>
        <w:tab/>
        <w:t>Se garantiza el derecho a que un tribunal superior controle la corrección del juicio realizado en primera instancia, revisando la correcta aplicación de las reglas que han permitido la declaración de culpabilidad y la imposición de la pena en el caso concreto, entre las que se encuentran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(STC 55/2015) [FJ 5].</w:t>
      </w:r>
    </w:p>
    <w:p w:rsidR="00AC56D6" w:rsidRDefault="00AC56D6" w:rsidP="00AC56D6">
      <w:pPr>
        <w:pStyle w:val="Extracto"/>
      </w:pPr>
    </w:p>
    <w:p w:rsidR="00AC56D6" w:rsidRDefault="00AC56D6" w:rsidP="00AC56D6">
      <w:pPr>
        <w:pStyle w:val="Extracto"/>
      </w:pPr>
      <w:r>
        <w:t>9.</w:t>
      </w:r>
      <w:r>
        <w:tab/>
        <w:t>El canon de valoración requerido para medir si ha existido vulneración del derecho a la doble instancia penal, no se ciñe al que deviene aplicable para el derecho fundamental al recurso, sino que incluye también la utilización del principio pro actione [FJ 5].</w:t>
      </w:r>
    </w:p>
    <w:p w:rsidR="00AC56D6" w:rsidRDefault="00AC56D6" w:rsidP="00AC56D6">
      <w:pPr>
        <w:pStyle w:val="Extracto"/>
      </w:pPr>
    </w:p>
    <w:p w:rsidR="00AC56D6" w:rsidRDefault="00AC56D6" w:rsidP="00AC56D6">
      <w:pPr>
        <w:pStyle w:val="Extracto"/>
      </w:pPr>
      <w:r>
        <w:t>10.</w:t>
      </w:r>
      <w:r>
        <w:tab/>
        <w:t>El derecho al recurso no nace directamente de la Constitución, sino de lo que hayan dispuesto las leyes procesales, correspondiendo al ámbito de libertad del legislador, salvo en materia penal, el establecimiento y regulación de los recursos procedentes en cada caso [FJ 5].</w:t>
      </w:r>
    </w:p>
    <w:p w:rsidR="00AC56D6" w:rsidRDefault="00AC56D6" w:rsidP="00AC56D6">
      <w:pPr>
        <w:pStyle w:val="Extracto"/>
      </w:pPr>
    </w:p>
    <w:p w:rsidR="00AC56D6" w:rsidRDefault="00AC56D6" w:rsidP="00AC56D6">
      <w:pPr>
        <w:pStyle w:val="Extracto"/>
      </w:pPr>
      <w:r>
        <w:t>11.</w:t>
      </w:r>
      <w:r>
        <w:tab/>
        <w:t>Razones materiales evidentes imponen la aplicación de la interdicción de aquellas decisiones de inadmisión que, por su rigorismo, por su formalismo excesivo o por cualquier otra razón, revelen una clara desproporción entre los fines que aquellas causas preservan y los intereses que sacrifican; y de este modo debe entenderse en este ámbito el principio interpretativo</w:t>
      </w:r>
      <w:r w:rsidRPr="00AC56D6">
        <w:rPr>
          <w:i/>
        </w:rPr>
        <w:t xml:space="preserve"> pro actione </w:t>
      </w:r>
      <w:r>
        <w:t xml:space="preserve">y no, aunque pueda sugerirlo también su ambigua denominación, como la forzosa selección de la interpretación más favorable a la admisión de entre todas las posibles de las normas que la regulan (SSTC 69/2005, 7/2015) [FJ 5]. </w:t>
      </w:r>
    </w:p>
    <w:p w:rsidR="00AC56D6" w:rsidRDefault="00AC56D6" w:rsidP="00AC56D6">
      <w:pPr>
        <w:pStyle w:val="Extracto"/>
      </w:pPr>
    </w:p>
    <w:p w:rsidR="00AC56D6" w:rsidRDefault="00AC56D6" w:rsidP="00AC56D6">
      <w:pPr>
        <w:pStyle w:val="Extracto"/>
      </w:pPr>
      <w:r>
        <w:t>12.</w:t>
      </w:r>
      <w:r>
        <w:tab/>
        <w:t>Ninguno de los apartados del art. 846 bis LECrim, que regula el recurso de apelación contra sentencias dictadas por los tribunales de jurados, asigna ningún efecto a la incomparecencia al acto de la vista de la parte apelante; ni siguiera en su apartado e), relativo a la vista del recurso [FJ 6].</w:t>
      </w:r>
    </w:p>
    <w:p w:rsidR="00AC56D6" w:rsidRDefault="00AC56D6" w:rsidP="00AC56D6">
      <w:pPr>
        <w:pStyle w:val="Extracto"/>
      </w:pPr>
    </w:p>
    <w:p w:rsidR="00AC56D6" w:rsidRDefault="00AC56D6" w:rsidP="00AC56D6">
      <w:pPr>
        <w:pStyle w:val="Extracto"/>
      </w:pPr>
      <w:r>
        <w:lastRenderedPageBreak/>
        <w:t>13.</w:t>
      </w:r>
      <w:r>
        <w:tab/>
        <w:t xml:space="preserve">El hecho de que tanto el Abogado como la Procuradora no hayan asistido a la vista, incluso por causa sólo a ellos imputable, no determina </w:t>
      </w:r>
      <w:r w:rsidRPr="00AC56D6">
        <w:rPr>
          <w:i/>
        </w:rPr>
        <w:t xml:space="preserve">per se </w:t>
      </w:r>
      <w:r>
        <w:t xml:space="preserve">el desistimiento del recurso, pues se precisa alguno de los dos requisitos siguientes para atribuir tales efectos jurídicos: que una norma así lo establezca, o que conste la voluntad inequívoca del interesado; a lo sumo, servirá aquel dato para descartar la responsabilidad del órgano judicial en el hecho de la incomparecencia, pero no para deducir por ello el fin de proceso [FJ 6 a)]. </w:t>
      </w:r>
    </w:p>
    <w:p w:rsidR="00AC56D6" w:rsidRDefault="00AC56D6" w:rsidP="00AC56D6">
      <w:pPr>
        <w:pStyle w:val="Extracto"/>
      </w:pPr>
    </w:p>
    <w:p w:rsidR="00AC56D6" w:rsidRDefault="00AC56D6" w:rsidP="00AC56D6">
      <w:pPr>
        <w:pStyle w:val="Extracto"/>
      </w:pPr>
      <w:r>
        <w:t>14.</w:t>
      </w:r>
      <w:r>
        <w:tab/>
        <w:t>Ni existe una norma que permita vincular la incomparecencia de profesionales en la vista de apelación contra sentencias de los tribunales de jurado, con tal mecanismo autocompositivo, ni consta la voluntad expresa e inequívoca del apelante ahora actor de este amparo [FJ 6 c)].</w:t>
      </w:r>
    </w:p>
    <w:p w:rsidR="00AC56D6" w:rsidRDefault="00AC56D6" w:rsidP="00AC56D6">
      <w:pPr>
        <w:pStyle w:val="Extracto"/>
      </w:pPr>
    </w:p>
    <w:p w:rsidR="00AC56D6" w:rsidRDefault="00AC56D6" w:rsidP="00AC56D6">
      <w:pPr>
        <w:pStyle w:val="Extracto"/>
      </w:pPr>
      <w:r>
        <w:t>15.</w:t>
      </w:r>
      <w:r>
        <w:tab/>
        <w:t>La presunción</w:t>
      </w:r>
      <w:r w:rsidRPr="00AC56D6">
        <w:rPr>
          <w:i/>
        </w:rPr>
        <w:t xml:space="preserve"> iuris tantum </w:t>
      </w:r>
      <w:r>
        <w:t>según la cual la incomparecencia del actor en la vista oral del recurso de apelación podría equivaler a su desistimiento táctico podría ser destruida por el interesado mediante actos o pruebas que mostraran inequívocamente su voluntad de continuar el proceso o su oposición a la conclusión del mismo (SSTC 21/1989, 95/199) [FJ 6 b)].</w:t>
      </w:r>
    </w:p>
    <w:p w:rsidR="00AC56D6" w:rsidRDefault="00AC56D6" w:rsidP="00AC56D6">
      <w:pPr>
        <w:pStyle w:val="Extracto"/>
      </w:pPr>
    </w:p>
    <w:p w:rsidR="00AC56D6" w:rsidRDefault="00AC56D6" w:rsidP="00AC56D6">
      <w:pPr>
        <w:pStyle w:val="Extracto"/>
      </w:pPr>
      <w:r>
        <w:t>16.</w:t>
      </w:r>
      <w:r>
        <w:tab/>
        <w:t>Que el apelante no pueda aducir indefensión para exigir la celebración de la vista con presencia de los profesionales por él designados, que no hicieron acto de presencia en la misma, no permite inferir que ello manifieste la voluntad de desistir de su recurso pues en ningún momento se prestó consentimiento a tal finalización unilateral del procedimiento; muy al contrario, si hay una voluntad expresa en las actuaciones es la de seguir adelante con el recurso, como indica el hecho de la interposición (a través de su representante procesal y su defensor) del escrito de apelación (STC 179/2014) [FJ 6 c)].</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 xml:space="preserve">En el recurso de amparo núm. 4229-2014, promovido por don Pablo César Quinzo Quinzo, representado por el Procurador de los Tribunales don Luciano Rosch Nadal y asistido por el Abogado don José María Calero Martínez, contra los siguientes autos dictados por la Sala de lo Penal del Tribunal Superior de Justicia de Canarias: (i) el primero, de 27 de febrero de 2014, que tuvo por desistido al aquí demandante de amparo, del recurso de apelación promovido por él contra la Sentencia de condena del Tribunal del Jurado, Sección </w:t>
      </w:r>
      <w:r>
        <w:lastRenderedPageBreak/>
        <w:t>Quinta, de la Audiencia Provincial de Santa Cruz de Tenerife, de 11 de noviembre de 2013; (ii) el segundo, de 24 de marzo de 2014, desestimatorio de la solicitud de rectificación instada contra el anterior Auto; y (iii) el tercero y último, de 16 de mayo de 2014, desestimando la nulidad de actuaciones interpuesta contra los dos anteriores autos. Ha intervenido el Ministerio Fiscal. Ha sido Ponente el Magistrado don Ricardo Enríquez Sancho,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registrado el 27 de junio de 2014, el Procurador de los Tribunales don Luciano Rosch Nadal, actuando en nombre de don Pablo César Quinzo Quinzo, interpuso demanda de amparo contra las resoluciones indicadas en el encabezamiento.</w:t>
      </w:r>
    </w:p>
    <w:p w:rsidR="00AC56D6" w:rsidRDefault="00AC56D6" w:rsidP="00AC56D6">
      <w:pPr>
        <w:pStyle w:val="TextoNormal"/>
      </w:pPr>
    </w:p>
    <w:p w:rsidR="00AC56D6" w:rsidRDefault="00AC56D6" w:rsidP="00AC56D6">
      <w:pPr>
        <w:pStyle w:val="TextoNormal"/>
      </w:pPr>
      <w:r w:rsidRPr="00AC56D6">
        <w:rPr>
          <w:rStyle w:val="NumeroAFNegritaCaracter"/>
        </w:rPr>
        <w:t>2</w:t>
      </w:r>
      <w:r>
        <w:t>. Los hechos con relevancia para la resolución del presente recurso de amparo y a los que se refiere la demanda presentada, son los siguientes:</w:t>
      </w:r>
    </w:p>
    <w:p w:rsidR="00AC56D6" w:rsidRDefault="00AC56D6" w:rsidP="00AC56D6">
      <w:pPr>
        <w:pStyle w:val="TextoNormal"/>
      </w:pPr>
    </w:p>
    <w:p w:rsidR="00AC56D6" w:rsidRDefault="00AC56D6" w:rsidP="00AC56D6">
      <w:pPr>
        <w:pStyle w:val="TextoNormal"/>
      </w:pPr>
      <w:r>
        <w:t xml:space="preserve">a) La Sección Quinta de la Audiencia Provincial de Santa Cruz de Tenerife, constituida como Tribunal de Jurado, dictó Sentencia el 11 de noviembre de 2013 en el procedimiento núm. 76-2013, con la siguiente parte dispositiva: </w:t>
      </w:r>
    </w:p>
    <w:p w:rsidR="00AC56D6" w:rsidRDefault="00AC56D6" w:rsidP="00AC56D6">
      <w:pPr>
        <w:pStyle w:val="TextoNormal"/>
      </w:pPr>
    </w:p>
    <w:p w:rsidR="00AC56D6" w:rsidRDefault="00AC56D6" w:rsidP="00AC56D6">
      <w:pPr>
        <w:pStyle w:val="TextoNormal"/>
      </w:pPr>
      <w:r>
        <w:t>“FALLO. 1º A la vista del veredicto de culpabilidad acordado por el Tribunal del Jurado y de los demás pronunciamientos y declaraciones contenidos en el mismo, condeno a Pablo César QUINZO QUINZO como autor de un delito de asesinato, en las circunstancias expresadas, a la pena de diecisiete años y seis meses de prisión, accesoria de inhabilitación absoluta y costas procesales. Se le imponen también las prohibiciones de aproximarse a D. Juan Liguín Núñez y Dª María Aurora Pindisaca Calderón, a menos de quinientos metros de sus persona[s], domicilio, lugar de trabajo o de cualquier medio, en ambos casos (aproximación y comunicación) por un tiempo superior en diez años al de la duración de la pena de prisión impuesta.</w:t>
      </w:r>
    </w:p>
    <w:p w:rsidR="00AC56D6" w:rsidRDefault="00AC56D6" w:rsidP="00AC56D6">
      <w:pPr>
        <w:pStyle w:val="TextoNormal"/>
      </w:pPr>
    </w:p>
    <w:p w:rsidR="00AC56D6" w:rsidRDefault="00AC56D6" w:rsidP="00AC56D6">
      <w:pPr>
        <w:pStyle w:val="TextoNormal"/>
      </w:pPr>
      <w:r>
        <w:t>2º En concepto de responsabilidad civil indemnizará a los padres de la fallecida, Dº Juan Liguín Núñez y Dª María Aurora Pindisaca Calderón, en la suma de doscientos mil euros, con aplicación de lo dispuesto en el artículo 576 de la Ley de Enjuiciamiento Civil.</w:t>
      </w:r>
    </w:p>
    <w:p w:rsidR="00AC56D6" w:rsidRDefault="00AC56D6" w:rsidP="00AC56D6">
      <w:pPr>
        <w:pStyle w:val="TextoNormal"/>
      </w:pPr>
    </w:p>
    <w:p w:rsidR="00AC56D6" w:rsidRDefault="00AC56D6" w:rsidP="00AC56D6">
      <w:pPr>
        <w:pStyle w:val="TextoNormal"/>
      </w:pPr>
      <w:r>
        <w:t>3º Para el cumplimiento de la pena principal, procede abonarle el tiempo en que por esta causa ha estado privado de libertad, siempre que no haya sido hecho efectivo ya en otro proceso.</w:t>
      </w:r>
    </w:p>
    <w:p w:rsidR="00AC56D6" w:rsidRDefault="00AC56D6" w:rsidP="00AC56D6">
      <w:pPr>
        <w:pStyle w:val="TextoNormal"/>
      </w:pPr>
    </w:p>
    <w:p w:rsidR="00AC56D6" w:rsidRDefault="00AC56D6" w:rsidP="00AC56D6">
      <w:pPr>
        <w:pStyle w:val="TextoNormal"/>
      </w:pPr>
      <w:r>
        <w:t>4º Conclúyase en legal forma la pieza sobre responsabilidad pecuniaria.</w:t>
      </w:r>
    </w:p>
    <w:p w:rsidR="00AC56D6" w:rsidRDefault="00AC56D6" w:rsidP="00AC56D6">
      <w:pPr>
        <w:pStyle w:val="TextoNormal"/>
      </w:pPr>
    </w:p>
    <w:p w:rsidR="00AC56D6" w:rsidRDefault="00AC56D6" w:rsidP="00AC56D6">
      <w:pPr>
        <w:pStyle w:val="TextoNormal"/>
      </w:pPr>
      <w:r>
        <w:t>5º Notifíquese a las partes personadas, y a los perjudicados, y remítase copia testimoniada al Juzgado de Instrucción nº Cuatro de Granadilla de Abona.”</w:t>
      </w:r>
    </w:p>
    <w:p w:rsidR="00AC56D6" w:rsidRDefault="00AC56D6" w:rsidP="00AC56D6">
      <w:pPr>
        <w:pStyle w:val="TextoNormal"/>
      </w:pPr>
    </w:p>
    <w:p w:rsidR="00AC56D6" w:rsidRDefault="00AC56D6" w:rsidP="00AC56D6">
      <w:pPr>
        <w:pStyle w:val="TextoNormal"/>
      </w:pPr>
      <w:r>
        <w:t>b) Con fecha 10 de diciembre de 2013, la representación procesal del aquí recurrente formalizó ante la Sección Quinta de la Audiencia Provincial de Santa Cruz de Tenerife, con destino a la Sala de lo Civil y Penal del Tribunal Superior de Justicia de Canarias, escrito de apelación contra la Sentencia referenciada.</w:t>
      </w:r>
    </w:p>
    <w:p w:rsidR="00AC56D6" w:rsidRDefault="00AC56D6" w:rsidP="00AC56D6">
      <w:pPr>
        <w:pStyle w:val="TextoNormal"/>
      </w:pPr>
    </w:p>
    <w:p w:rsidR="00AC56D6" w:rsidRDefault="00AC56D6" w:rsidP="00AC56D6">
      <w:pPr>
        <w:pStyle w:val="TextoNormal"/>
      </w:pPr>
      <w:r>
        <w:t>c) Por diligencia de ordenación de la Secretaría de Justicia de la indicada Sección Quinta, de 20 de enero de 2014, se hizo constar lo siguiente: “Habiendo concluido el término de cinco días sin que se formule apelación supeditada a la interpuesta por la representación procesal de D./Dña. PABLO CESAR QUINZO QUINZO, remítanse los autos a la Sala de lo Civil y Penal del Tribunal Superior de Justicia de esta Comunidad previo EMPLAZAMIENTO a todas las partes ante dicho Tribunal Superior para que se personen en el plazo de DIEZ días”.</w:t>
      </w:r>
    </w:p>
    <w:p w:rsidR="00AC56D6" w:rsidRDefault="00AC56D6" w:rsidP="00AC56D6">
      <w:pPr>
        <w:pStyle w:val="TextoNormal"/>
      </w:pPr>
    </w:p>
    <w:p w:rsidR="00AC56D6" w:rsidRDefault="00AC56D6" w:rsidP="00AC56D6">
      <w:pPr>
        <w:pStyle w:val="TextoNormal"/>
      </w:pPr>
      <w:r>
        <w:t>d) El 17 de febrero de 2014, la Secretaría de Justicia de la Sala de lo Penal del Tribunal Superior de Justicia dictó diligencia de ordenación en la que se tuvieron por registrados una serie de escritos que habían sido presentados previamente, entre ellos el de personación de la Procuradora doña María Eugenia Beltrán Gutiérrez en nombre del recurrente; acordándose en la diligencia su unión a las actuaciones del recurso, teniendo por personadas a las distintas partes del procedimiento. Asimismo se especifica que habrá de ponerse en conocimiento “del apelante preso […] mediante oficio dirigido al Sr. Director del Centro Penitenciario correspondiente, la fecha del señalamiento de la vista, haciéndole saber que no es preceptiva su presencia”; y se señalaba el día 25 de febrero de 2014, a las 9:30 horas “para la celebración de la vista de apelación”, identificando la composición de los Magistrados de la Sala encargados de conocer del recurso y ordenando la notificación de la diligencia al Ministerio Fiscal y a las partes.</w:t>
      </w:r>
    </w:p>
    <w:p w:rsidR="00AC56D6" w:rsidRDefault="00AC56D6" w:rsidP="00AC56D6">
      <w:pPr>
        <w:pStyle w:val="TextoNormal"/>
      </w:pPr>
    </w:p>
    <w:p w:rsidR="00AC56D6" w:rsidRDefault="00AC56D6" w:rsidP="00AC56D6">
      <w:pPr>
        <w:pStyle w:val="TextoNormal"/>
      </w:pPr>
      <w:r>
        <w:t>e) En la misma fecha —17 de febrero de 2014—, la Secretaria Judicial de la Sala de lo Penal dictó un oficio dirigido al Director del centro penitenciario de Tenerife, del siguiente tenor: “En virtud de lo acordado en resolución del día de la fecha en el Rollo arriba referenciado, libro a Ud. el presente a fin de que se le haga saber al interno D. PABLO CESAR QUINZO QUINZO, que se encuentra en ese Centro Penitenciario cumpliendo condena por la causa señalada, mediante lectura íntegra y entrega de copia de la Diligencia de Ordenación que se acompaña, que la vista de apelación de la Sentencia recurrida se ha señalado para el próximo día 25 DE FEBRERO DE 2014, a las 9:30 horas, en la Sala de Vistas, nº 3, Planta Baja del Palacio de Justicia … No es necesario el traslado del interno a la vista”.</w:t>
      </w:r>
    </w:p>
    <w:p w:rsidR="00AC56D6" w:rsidRDefault="00AC56D6" w:rsidP="00AC56D6">
      <w:pPr>
        <w:pStyle w:val="TextoNormal"/>
      </w:pPr>
    </w:p>
    <w:p w:rsidR="00AC56D6" w:rsidRDefault="00AC56D6" w:rsidP="00AC56D6">
      <w:pPr>
        <w:pStyle w:val="TextoNormal"/>
      </w:pPr>
      <w:r>
        <w:t>f) De igual modo, la Secretaria Judicial de la Sala acordó una diligencia el 21 de febrero de 2014, “para hacer constar que en el día de la fecha se pone en conocimiento del Procurador D. Javier Sintes Sánchez el contenido de la Diligencia de Ordenación de fecha 17 de febrero de 2014, vía telefónica […], comunicándole expresamente que la Procuradora Dª María Eugenia Beltrán Gutiérrez se ha personado en nombre y representación del apelante D. Pablo César Quinzo Quinzo, manifestando ‘quedar enterado’…”.</w:t>
      </w:r>
    </w:p>
    <w:p w:rsidR="00AC56D6" w:rsidRDefault="00AC56D6" w:rsidP="00AC56D6">
      <w:pPr>
        <w:pStyle w:val="TextoNormal"/>
      </w:pPr>
    </w:p>
    <w:p w:rsidR="00AC56D6" w:rsidRDefault="00AC56D6" w:rsidP="00AC56D6">
      <w:pPr>
        <w:pStyle w:val="TextoNormal"/>
      </w:pPr>
      <w:r>
        <w:t xml:space="preserve">g) El 25 de febrero de 2014, la Secretaria de la Sala de lo Penal levantó “diligencia de vista” del recurso de apelación núm. 2-2014, haciendo constar en ella, en lo que a este recurso de amparo interesa, la siguiente indicación: “Por la parte apelante: NO COMPARECEN … Siendo las 9:56 horas sin que haya comparecido ni la Procuradora ni el Letrado de la parte apelante, por la Secretaria Judicial se comprueba que en las actuaciones consta un escrito de personación de la Procuradora Dª María Eugenia Beltrán Gutiérrez en representación de Pablo César Quinzo el 4 de febrero de 2014. El 17 de febrero, hay una diligencia de ordenación de la Secretaria Judicial señalando el juicio para el día 25 de febrero de 2014 a las 9:30 horas, la cual consta enviada telemáticamente por Atlante para su notificación a </w:t>
      </w:r>
      <w:r>
        <w:lastRenderedPageBreak/>
        <w:t>la mencionada Procuradora y a la Procuradora de la parte apelada, que sí comparece, el día 18 de febrero de 2014 a las 14:56:31 horas. Por todo ello, a las 10:00 horas por el Presidente se acuerda terminada la sesión, teniendo por incomparecida a la parte apelante, haciéndose entrega de las actuaciones a la Magistrada Ponente Dª Margarita Varona Faus para la correspondiente resolución. Doy fe”.</w:t>
      </w:r>
    </w:p>
    <w:p w:rsidR="00AC56D6" w:rsidRDefault="00AC56D6" w:rsidP="00AC56D6">
      <w:pPr>
        <w:pStyle w:val="TextoNormal"/>
      </w:pPr>
    </w:p>
    <w:p w:rsidR="00AC56D6" w:rsidRDefault="00AC56D6" w:rsidP="00AC56D6">
      <w:pPr>
        <w:pStyle w:val="TextoNormal"/>
      </w:pPr>
      <w:r>
        <w:t>h) Con fecha 27 de febrero de 2014, la Sala de lo Penal del Tribunal Superior de Justicia dictó Auto con los siguientes razonamientos jurídicos:</w:t>
      </w:r>
    </w:p>
    <w:p w:rsidR="00AC56D6" w:rsidRDefault="00AC56D6" w:rsidP="00AC56D6">
      <w:pPr>
        <w:pStyle w:val="TextoNormal"/>
      </w:pPr>
    </w:p>
    <w:p w:rsidR="00AC56D6" w:rsidRDefault="00AC56D6" w:rsidP="00AC56D6">
      <w:pPr>
        <w:pStyle w:val="TextoNormal"/>
      </w:pPr>
      <w:r>
        <w:t>“PRIMERO.- Conforme ha quedado expuesto en los Antecedentes de Hecho de la presente resolución, queda constancia en el Acta de la vista del recurso levantada por la Sra. Secretaria de la Sala, de la incomparecencia a dicho acto tanto de la representación procesal del apelante, la Procuradora Dª María Eugenia Beltrán Gutiérrez, como del Letrado que ostenta la defensa del recurrente, D. José María Calero Martínez, no obstante haber sido notificado debidamente dicho señalamiento a la representación procesal del recurrente, a quien también se comunicó el mismo por mediación del Sr. Director del Centro Penitenciario donde aquel se encuentra interno. Notificado dicho señalamiento, además de la referida incomparecencia de los representantes de la parte apelante, única parte recurrente de la sentencia, no consta en las actuaciones del presente rollo de apelación comunicación alguna a la Sala de la imposibilidad de incomparecencia de la Sra. Procuradora y del Sr. Letrado mencionados.</w:t>
      </w:r>
    </w:p>
    <w:p w:rsidR="00AC56D6" w:rsidRDefault="00AC56D6" w:rsidP="00AC56D6">
      <w:pPr>
        <w:pStyle w:val="TextoNormal"/>
      </w:pPr>
    </w:p>
    <w:p w:rsidR="00AC56D6" w:rsidRDefault="00AC56D6" w:rsidP="00AC56D6">
      <w:pPr>
        <w:pStyle w:val="TextoNormal"/>
      </w:pPr>
      <w:r>
        <w:t>SEGUNDO.- En virtud de lo dispuesto en el artículo 4 de la vigente Ley de Enjuiciamiento Civil, que establece el carácter supletorio de la misma, y visto el contenido de los artículos 19 y 450.1 de la referida Ley Procesal Civil, que reconocen la posibilidad de desistimiento de las partes del objeto del juicio y del derecho de recurso, como manifestación de la facultad de disposición que se confiere a aquellas, procede tener por desistido al apelante del recurso formulado contra la sentencia dictada por la Sección Quinta de la Audiencia Provincial de Santa Cruz de Tenerife, de fecha 11 de noviembre de 2013…”</w:t>
      </w:r>
    </w:p>
    <w:p w:rsidR="00AC56D6" w:rsidRDefault="00AC56D6" w:rsidP="00AC56D6">
      <w:pPr>
        <w:pStyle w:val="TextoNormal"/>
      </w:pPr>
    </w:p>
    <w:p w:rsidR="00AC56D6" w:rsidRDefault="00AC56D6" w:rsidP="00AC56D6">
      <w:pPr>
        <w:pStyle w:val="TextoNormal"/>
      </w:pPr>
      <w:r>
        <w:t>Decisión ésta que fue trasladada al fallo de dicha resolución.</w:t>
      </w:r>
    </w:p>
    <w:p w:rsidR="00AC56D6" w:rsidRDefault="00AC56D6" w:rsidP="00AC56D6">
      <w:pPr>
        <w:pStyle w:val="TextoNormal"/>
      </w:pPr>
    </w:p>
    <w:p w:rsidR="00AC56D6" w:rsidRDefault="00AC56D6" w:rsidP="00AC56D6">
      <w:pPr>
        <w:pStyle w:val="TextoNormal"/>
      </w:pPr>
      <w:r>
        <w:t>i) La representación procesal del aquí demandante de amparo, presentó escrito el 6 de marzo de 2014 solicitando la rectificación del Auto anteriormente indicado y que se acuerde un nuevo señalamiento “a la mayor brevedad, para evitar la vulneración del derecho a la tutela judicial efectiva que de otro modo sufriría mi mandante”,</w:t>
      </w:r>
    </w:p>
    <w:p w:rsidR="00AC56D6" w:rsidRDefault="00AC56D6" w:rsidP="00AC56D6">
      <w:pPr>
        <w:pStyle w:val="TextoNormal"/>
      </w:pPr>
    </w:p>
    <w:p w:rsidR="00AC56D6" w:rsidRDefault="00AC56D6" w:rsidP="00AC56D6">
      <w:pPr>
        <w:pStyle w:val="TextoNormal"/>
      </w:pPr>
      <w:r>
        <w:t xml:space="preserve">Explica en primer lugar el escrito que la incomparecencia de profesionales al acto de la vista de la apelación se debió al motivo siguiente: “Esta representación procesal remitió vía fax la copia de dicha resolución [diligencia de ordenación del 17 de febrero de 2014, señalando la vista para el día 25 de febrero a las 9:30 horas] a quien desempeña la dirección letrada de mi representado, el letrado José María Calero Martínez, nº de colegiado 11874 del ICAS, recibiendo el reporte con el OK que aseguraba la correcta recepción de la misma. Pero, por la información que el propio letrado ha puesto en conocimiento de esta representación en el día de ayer, se ha producido la desgraciada circunstancia de que el sistema de recepción de comunicaciones por fax de su despacho establece un reenvío automático del fax recibido, como archivo adjunto de un correo electrónico, al Buzón del puesto informático del letrado, habiéndose producido en ese proceso interno de transmisión una incidencia </w:t>
      </w:r>
      <w:r>
        <w:lastRenderedPageBreak/>
        <w:t>técnica-informática —que es la primera vez que se ha producido— y que dio lugar a que la comunicación por fax, a pesar de contar con el OK en el aparato emisor de esta representación, no llegara efectivamente al ordenador y al efectivo conocimiento de la dirección letrada. Tal incidencia ha sido detectada en el momento de recibir la resolución cuya rectificación se interesa”.</w:t>
      </w:r>
    </w:p>
    <w:p w:rsidR="00AC56D6" w:rsidRDefault="00AC56D6" w:rsidP="00AC56D6">
      <w:pPr>
        <w:pStyle w:val="TextoNormal"/>
      </w:pPr>
    </w:p>
    <w:p w:rsidR="00AC56D6" w:rsidRDefault="00AC56D6" w:rsidP="00AC56D6">
      <w:pPr>
        <w:pStyle w:val="TextoNormal"/>
      </w:pPr>
      <w:r>
        <w:t>Sobre la base de lo expuesto, continúa el escrito afirmando que no hubo por tanto una voluntad de desistimiento, aunque así lo haya apreciado el Auto del que se pide la rectificación, puesto que el mismo se dictó, añade la Procuradora, “desconociendo la incidencia informática reseñada”. Que la resolución deviene fundada en razón a los presupuestos que tuvo en cuenta, los cuales sin embargo son insuficientes por el motivo indicado, con lo que la conclusión extraída acerca de la voluntad de desistimiento del recurso resulta errónea; el letrado no asistió a la vista porque no llegó a conocer aquel señalamiento. Así planteado: “Ese error en un presupuesto de su decisión (que la inasistencia significaba la voluntad de desistir), inducido involuntariamente a la Excma. Sala, permitiría la vía excepcional de la rectificación que mediante este escrito se interesa”.</w:t>
      </w:r>
    </w:p>
    <w:p w:rsidR="00AC56D6" w:rsidRDefault="00AC56D6" w:rsidP="00AC56D6">
      <w:pPr>
        <w:pStyle w:val="TextoNormal"/>
      </w:pPr>
    </w:p>
    <w:p w:rsidR="00AC56D6" w:rsidRDefault="00AC56D6" w:rsidP="00AC56D6">
      <w:pPr>
        <w:pStyle w:val="TextoNormal"/>
      </w:pPr>
      <w:r>
        <w:t>Finalmente, en un apartado que se titula “Tutela judicial efectiva”, se añade que de los actos previos de ambos profesionales no puede deducirse una voluntad de desistimiento “sino todo lo contrario”; la finalidad de la vista no era la práctica de prueba, ninguna de las partes había solicitado, sino “dar por reproducidos” a la Sala los argumentos “ya expuestos en extenso y por escrito en el recurso de apelación formalizado”; y que además, “la voluntad de desistimiento debería resultar expresa atendidas las relevantes consecuencias derivadas de la misma y el tenor literal del último párrafo del artículo 846 bis d) LECRIM”. Por último y tras insistir en “la desagradable incidencia que el error informático ha provocado”, se recuerda a la Sala que el apelante, “único titular del derecho a la tutela judicial efectiva a la que sirve con mayor o menor acierto esta representación y su dirección letrada, no ha tenido nada que ver, ni sería de Justicia que tuviera que sufrir las consecuencias del desgraciado error informático tantas veces mencionado. Más allá de la responsabilidad que asume el letrado para evitar que vuelva a ser posible algo parecido en ningún caso puede resultar finalmente afectado en su[s] derechos quien no tiene ninguna relación ni culpa de lo ocurrido”.</w:t>
      </w:r>
    </w:p>
    <w:p w:rsidR="00AC56D6" w:rsidRDefault="00AC56D6" w:rsidP="00AC56D6">
      <w:pPr>
        <w:pStyle w:val="TextoNormal"/>
      </w:pPr>
    </w:p>
    <w:p w:rsidR="00AC56D6" w:rsidRDefault="00AC56D6" w:rsidP="00AC56D6">
      <w:pPr>
        <w:pStyle w:val="TextoNormal"/>
      </w:pPr>
      <w:r>
        <w:t>j) La Sala de lo Penal del Tribunal Superior de Justicia dictó Auto el 24 de marzo de 2014, en el sentido de denegar la rectificación solicitada, no ya por la improcedencia de la vía incidental empleada sino, entrando en el fondo de los argumentos vertidos por la parte, al no estimar que concurriesen circunstancias que justifiquen la revocación del Auto de 27 de febrero que en definitiva se impetra.</w:t>
      </w:r>
    </w:p>
    <w:p w:rsidR="00AC56D6" w:rsidRDefault="00AC56D6" w:rsidP="00AC56D6">
      <w:pPr>
        <w:pStyle w:val="TextoNormal"/>
      </w:pPr>
    </w:p>
    <w:p w:rsidR="00AC56D6" w:rsidRDefault="00AC56D6" w:rsidP="00AC56D6">
      <w:pPr>
        <w:pStyle w:val="TextoNormal"/>
      </w:pPr>
      <w:r>
        <w:t>En su razonamiento jurídico primero, tras señalar los antecedentes procesales inmediatos, se afirma por la Sala que “ni tal supuesta incidencia técnico-informática aparece justificada en modo alguno, aunque se admite que el fax se recibió por el Sr. Letrado, ni tan siquiera se da explicación o justificación de la incomparecencia de la Procuradora al acto de la vista, no obstante reconocerse la realidad de la debida notificación de la resolución que había acordado el señalamiento”.</w:t>
      </w:r>
    </w:p>
    <w:p w:rsidR="00AC56D6" w:rsidRDefault="00AC56D6" w:rsidP="00AC56D6">
      <w:pPr>
        <w:pStyle w:val="TextoNormal"/>
      </w:pPr>
    </w:p>
    <w:p w:rsidR="00AC56D6" w:rsidRDefault="00AC56D6" w:rsidP="00AC56D6">
      <w:pPr>
        <w:pStyle w:val="TextoNormal"/>
      </w:pPr>
      <w:r>
        <w:t xml:space="preserve">Más adelante, en el razonamiento jurídico segundo, tras hacer cita de nuestra STC 196/1994, de 4 de julio, en relación a la posibilidad de subsanación de la incomparecencia </w:t>
      </w:r>
      <w:r>
        <w:lastRenderedPageBreak/>
        <w:t>de profesionales en las vistas, la Sala de lo Penal resuelve la petición de “rectificación” señalando: “La necesidad de una interpretación favorecedora no se traduce en admitir una suerte de eficacia automática a cualesquiera declaraciones unilaterales recepticias de imposibilidad de asistencia. Como se establece en el artículo 894, párrafo 2 de la LECriminal, con referencia específica a la suspensión de la vista en el recurso de casación, pero de aplicación analógica al caso que nos ocupa la incomparecencia injustificada de los defensores de las partes no será motivo de aquélla ‘si la Sala así lo estima’. La pretensión suspensiva ha de venir, pues, rodeada de determinados marcadores de seriedad y de justificación de la razón aducida para que la decisión del Tribunal pueda adoptarse razonablemente. Conforme a lo expuesto, tomando en consideración la falta de acreditación de la supuesta circunstancia impeditiva de la asistencia a la vista del recurso del Letrado defensor del recurrente, así como la injustificada inasistencia de la Procuradora designada por el apelante, no obstante reconocer que estaba debidamente notificada del señalamiento, y el hecho de que, en el caso presente, únicamente la Abogacía del Estado había formulado alegaciones por escrito frente al escrito de recurso de apelación formulado contra la sentencia, debiendo considerar, por tanto, que el Ministerio Fiscal y la acción popular personada se habían reservado su impugnación del recurso para el acto de la vista del mismo, procede desestimar la pretensión de rectificación que se efectúa…”</w:t>
      </w:r>
    </w:p>
    <w:p w:rsidR="00AC56D6" w:rsidRDefault="00AC56D6" w:rsidP="00AC56D6">
      <w:pPr>
        <w:pStyle w:val="TextoNormal"/>
      </w:pPr>
    </w:p>
    <w:p w:rsidR="00AC56D6" w:rsidRDefault="00AC56D6" w:rsidP="00AC56D6">
      <w:pPr>
        <w:pStyle w:val="TextoNormal"/>
      </w:pPr>
      <w:r>
        <w:t xml:space="preserve">k) Contra el Auto de 24 de marzo de 2014, interpuso la representación procesal del aquí recurrente, incidente de nulidad de actuaciones, aduciendo dos motivos. El primero de ellos la “vulneración del derecho a la tutela judicial efectiva (24.1 CE) en relación con el derecho a la defensa y asistencia letrada (24.2 CE) y el derecho a la doble instancia penal (14.5 Pacto internacional de derechos civiles y políticos, </w:t>
      </w:r>
      <w:r w:rsidRPr="00AC56D6">
        <w:rPr>
          <w:i/>
        </w:rPr>
        <w:t>ex</w:t>
      </w:r>
      <w:r>
        <w:t xml:space="preserve"> 10.2 CE) al tener por desistido al recurrente por incomparecencia de su representación procesal y dirección letrada a la vista del recurso de apelación”.</w:t>
      </w:r>
    </w:p>
    <w:p w:rsidR="00AC56D6" w:rsidRDefault="00AC56D6" w:rsidP="00AC56D6">
      <w:pPr>
        <w:pStyle w:val="TextoNormal"/>
      </w:pPr>
    </w:p>
    <w:p w:rsidR="00AC56D6" w:rsidRDefault="00AC56D6" w:rsidP="00AC56D6">
      <w:pPr>
        <w:pStyle w:val="TextoNormal"/>
      </w:pPr>
      <w:r>
        <w:t>Se indica que dicha parte cumplió con formalizar la personación ante la Sala dentro de plazo, pese a lo cual ésta se dictó auto de archivo el 27 de febrero de 2014, lo que supone equiparar la incomparecencia a la vista, con la renuncia al recurso a que se refiere el art. 846 bis d) de la Ley de enjuiciamiento criminal (LECrim) para los casos de no personación, siendo dos cosas distintas. Sobre la acreditación del fallo informático que habría impedido al abogado conocer la diligencia de convocatoria al acto, dice que “es un hecho notorio y conocido de cualquier usuario de equipos informáticos que en el funcionamiento de los mismos se producen interrupciones y anomalías puntuales que resultan imposibles de acreditar para el ingeniero informático más experto”.</w:t>
      </w:r>
    </w:p>
    <w:p w:rsidR="00AC56D6" w:rsidRDefault="00AC56D6" w:rsidP="00AC56D6">
      <w:pPr>
        <w:pStyle w:val="TextoNormal"/>
      </w:pPr>
    </w:p>
    <w:p w:rsidR="00AC56D6" w:rsidRDefault="00AC56D6" w:rsidP="00AC56D6">
      <w:pPr>
        <w:pStyle w:val="TextoNormal"/>
      </w:pPr>
      <w:r>
        <w:t>En todo caso, considera que de haber una laguna normativa ésta debería haberse integrado dando ocasión a que se subsanara el defecto o si no, permitiendo a un letrado de oficio que pudiera “dar curso al acto convocado”; todo, antes de decretarse el archivo del recurso. Como resultado se produce la vulneración del derecho a la tutela judicial efectiva (art. 24.1 CE), al impedir la Sala que hubiera un pronunciamiento de fondo del recurso, “en el que se solicitaba, ni más ni menos, que la minoración de la pena de prisión impuesta (17 años y 6 meses) a una pena más moderada, de acuerdo con la, a nuestro juicio, más correcta calificación de los hechos que en el recurso se describía”, con cita en su apoyo del ATC 75/2007, de 27 de febrero.</w:t>
      </w:r>
    </w:p>
    <w:p w:rsidR="00AC56D6" w:rsidRDefault="00AC56D6" w:rsidP="00AC56D6">
      <w:pPr>
        <w:pStyle w:val="TextoNormal"/>
      </w:pPr>
    </w:p>
    <w:p w:rsidR="00AC56D6" w:rsidRDefault="00AC56D6" w:rsidP="00AC56D6">
      <w:pPr>
        <w:pStyle w:val="TextoNormal"/>
      </w:pPr>
      <w:r>
        <w:lastRenderedPageBreak/>
        <w:t>El segundo motivo del escrito de nulidad plantea la “vulneración del derecho a la tutela judicial efectiva (art. 24.1 CE) en relación con el derecho a los recursos ordinarios y a la doble instancia penal (14.5 Pacto Internacional de Derechos Civiles y Políticos, ex art. 10.2 CE) al tener por desistido al recurrente por incomparecencia de su representación procesal y dirección letrada a la vista del recurso de apelación”. Se trata de una continuación de los argumentos vertidos en el motivo anterior, se insiste en que la negativa de la Sala del Tribunal Superior de Justicia a rectificar la decisión de tenerle por desistido del recurso, provoca la vulneración del derecho a la doble instancia penal, con cita de resoluciones del Tribunal Supremo y “la jurisprudencia menor”. La Sala debió permitir la subsanación, “por los desproporcionados efectos” que suponía la pérdida del recurso de apelación, y no lo hizo así en virtud de una “interpretación formalista de unos requisitos que, realmente, no están previstos y cuya carencia acarreó unos resultados extraídos por la Sala por una vía analógica incorrecta”.</w:t>
      </w:r>
    </w:p>
    <w:p w:rsidR="00AC56D6" w:rsidRDefault="00AC56D6" w:rsidP="00AC56D6">
      <w:pPr>
        <w:pStyle w:val="TextoNormal"/>
      </w:pPr>
    </w:p>
    <w:p w:rsidR="00AC56D6" w:rsidRDefault="00AC56D6" w:rsidP="00AC56D6">
      <w:pPr>
        <w:pStyle w:val="TextoNormal"/>
      </w:pPr>
      <w:r>
        <w:t>l) Una vez sustanciado el incidente extraordinario, con trámite de audiencia a las demás partes, la Sala dictó Auto el 16 de mayo de 2014, desestimando la nulidad de actuaciones. A efectos formales, advierte en su razonamiento jurídico primero que procede a subsanar la falta de un auto de admisión del incidente, que no se dictó previamente, “al concurrir los presupuestos procesales de imposibilidad de interposición de recurso ordinario ni extraordinario contra la resolución que pone fin al proceso, y de legitimación procesal del solicitante, de conformidad con la disposición del artículo 241.1 de la LOPJ, por lo que procede entrar a conocer del fondo de la cuestión planteada”.</w:t>
      </w:r>
    </w:p>
    <w:p w:rsidR="00AC56D6" w:rsidRDefault="00AC56D6" w:rsidP="00AC56D6">
      <w:pPr>
        <w:pStyle w:val="TextoNormal"/>
      </w:pPr>
    </w:p>
    <w:p w:rsidR="00AC56D6" w:rsidRDefault="00AC56D6" w:rsidP="00AC56D6">
      <w:pPr>
        <w:pStyle w:val="TextoNormal"/>
      </w:pPr>
      <w:r>
        <w:t xml:space="preserve">En su razonamiento jurídico segundo, ya sobre dicho fondo, se rechaza cualquier “confusión o equiparación alguna entre la situación procesal que se deriva de la falta de personación del recurrente ante el órgano jurisdiccional que ha de conocer del recurso interpuesto, lo que, caso de producirse, determina el tener por desierto el recurso para aquella representación, en aplicación de lo dispuesto por el artículo 846 bis d).3 de la L.E.Criminal, y la situación de desistimiento que ha de entenderse producida cuando personado el apelante, sin embargo éste no comparece al acto de la vista del recurso por él interpuesto, no obstante estar debidamente notificado de aquel señalamiento que impone el artículo 846 </w:t>
      </w:r>
      <w:r w:rsidRPr="00AC56D6">
        <w:rPr>
          <w:i/>
        </w:rPr>
        <w:t>bis</w:t>
      </w:r>
      <w:r>
        <w:t xml:space="preserve"> e) de la LECrim. Tal es la situación que se ha producido en el caso presente”.</w:t>
      </w:r>
    </w:p>
    <w:p w:rsidR="00AC56D6" w:rsidRDefault="00AC56D6" w:rsidP="00AC56D6">
      <w:pPr>
        <w:pStyle w:val="TextoNormal"/>
      </w:pPr>
    </w:p>
    <w:p w:rsidR="00AC56D6" w:rsidRDefault="00AC56D6" w:rsidP="00AC56D6">
      <w:pPr>
        <w:pStyle w:val="TextoNormal"/>
      </w:pPr>
      <w:r>
        <w:t xml:space="preserve">Considera a renglón seguido la Sala que no se le puede achacar la vulneración de los derechos fundamentales invocados, desde el momento en que, como reconoce el apelante, fue debidamente notificado a su representación procesal el señalamiento de la fecha y hora de la vista del recurso, incluso que ésta lo transmitió por fax al Letrado actuante, “aunque se alegue por aquél, pero no se justifique, el supuesto fallo en el reenvío del mencionado fax al correo electrónico del Letrado defensor. El supuesto fallo de reenvío no priva de virtualidad al hecho de que, no obstante, el fax fue efectivamente recibido en el terminal correspondiente del Letrado. Además de ello, consta igualmente acreditado que el señalamiento de la vista del recurso fue también comunicado al interno apelante, y que no se recibió en la Sala comunicación alguna relativa a una justificada imposibilidad de asistencia a la vista del Sr. Letrado director y de la Procuradora del apelante, ninguno de los cuales compareció ante el Tribunal en el día señalado”. Se cita como apoyo el ATC 148/1999, donde se recuerda que la indefensión constitucionalmente relevante es la material y que no deviene imputable al órgano judicial, cuando es el ciudadano el que se coloca a sí mismo </w:t>
      </w:r>
      <w:r>
        <w:lastRenderedPageBreak/>
        <w:t>en la situación de indefenso debido a su voluntad, pasividad, malicia o falta de la necesaria diligencia.</w:t>
      </w:r>
    </w:p>
    <w:p w:rsidR="00AC56D6" w:rsidRDefault="00AC56D6" w:rsidP="00AC56D6">
      <w:pPr>
        <w:pStyle w:val="TextoNormal"/>
      </w:pPr>
    </w:p>
    <w:p w:rsidR="00AC56D6" w:rsidRDefault="00AC56D6" w:rsidP="00AC56D6">
      <w:pPr>
        <w:pStyle w:val="TextoNormal"/>
      </w:pPr>
      <w:r>
        <w:t>Finaliza el Auto desestimatorio del incidente, razonando que “es al órgano judicial a quien corresponde apreciar la concurrencia de las circunstancias que imposibilitan la comparecencia para acordar la suspensión del juicio, decisión que no admite discrecionalidad alguna pues se ha de adoptar en función de circunstancias concretas, probadas e idóneas para justificar la suspensión. La indefensión, para que produzca el efecto anulatorio que se pretende, ha de ser imputable al órgano judicial, o dicho de otro modo, la parte o su representante o defensor han de haber actuado con la diligencia que según las circunstancias sea exigible, pues de lo contrario sólo a ellos es imputable el resultado lesivo al derecho fundamental”.</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La demanda de amparo, en el apartado 3.2 de su escrito, alega en primer lugar la “[v]ulneración del derecho a la tutela judicial efectiva (art. 24.1 CE) en relación con el derecho a los recursos ordinarios y a la doble instancia penal (14.5 Pacto Internacional de Derechos Civiles y Políticos, </w:t>
      </w:r>
      <w:r w:rsidRPr="00AC56D6">
        <w:rPr>
          <w:i/>
        </w:rPr>
        <w:t>ex</w:t>
      </w:r>
      <w:r>
        <w:t xml:space="preserve"> 10.2 CE) al tener por desistido al recurrente por incomparecencia de su representación procesal y dirección letrada a la vista del recurso de apelación”.</w:t>
      </w:r>
    </w:p>
    <w:p w:rsidR="00AC56D6" w:rsidRDefault="00AC56D6" w:rsidP="00AC56D6">
      <w:pPr>
        <w:pStyle w:val="TextoNormal"/>
      </w:pPr>
    </w:p>
    <w:p w:rsidR="00AC56D6" w:rsidRDefault="00AC56D6" w:rsidP="00AC56D6">
      <w:pPr>
        <w:pStyle w:val="TextoNormal"/>
      </w:pPr>
      <w:r>
        <w:t xml:space="preserve">En desarrollo del mismo, se cita jurisprudencia del Tribunal Supremo que recoge la de este Tribunal Constitucional acerca del contenido del derecho a la doble instancia penal, así como la aplicación a éste del canon de ponderación del </w:t>
      </w:r>
      <w:r w:rsidRPr="00AC56D6">
        <w:rPr>
          <w:i/>
        </w:rPr>
        <w:t>pro actione</w:t>
      </w:r>
      <w:r>
        <w:t xml:space="preserve">. Señala después lo sucedido el día del acto de la vista de apelación, reprochando a la Sala del Tribunal Superior de Justicia que no optara “por indagar sobre las razones de tal incomparecencia: no se comunicó telefónicamente con el letrado o la procuradora de mi representado. Tampoco trató de subsanar la cuestión acudiendo a la designación para el acto de un letrado de oficio que, simplemente, se ratificara en los extremos del recurso de apelación interpuesto. Opciones ambas que se hubieran cohonestado mejor con el principio </w:t>
      </w:r>
      <w:r w:rsidRPr="00AC56D6">
        <w:rPr>
          <w:i/>
        </w:rPr>
        <w:t>pro actione</w:t>
      </w:r>
      <w:r>
        <w:t xml:space="preserve">”. La solución de la Sala, más drástica, fue equiparar la falta de comparecencia </w:t>
      </w:r>
      <w:r w:rsidRPr="00AC56D6">
        <w:rPr>
          <w:i/>
        </w:rPr>
        <w:t>ex</w:t>
      </w:r>
      <w:r>
        <w:t xml:space="preserve"> art. 846 </w:t>
      </w:r>
      <w:r w:rsidRPr="00AC56D6">
        <w:rPr>
          <w:i/>
        </w:rPr>
        <w:t>bis</w:t>
      </w:r>
      <w:r>
        <w:t xml:space="preserve"> e) LECrim con la falta de personación con la consiguiente renuncia al recurso, </w:t>
      </w:r>
      <w:r w:rsidRPr="00AC56D6">
        <w:rPr>
          <w:i/>
        </w:rPr>
        <w:t>ex</w:t>
      </w:r>
      <w:r>
        <w:t xml:space="preserve"> art. 846 </w:t>
      </w:r>
      <w:r w:rsidRPr="00AC56D6">
        <w:rPr>
          <w:i/>
        </w:rPr>
        <w:t>bis</w:t>
      </w:r>
      <w:r>
        <w:t xml:space="preserve"> d) LECrim.</w:t>
      </w:r>
    </w:p>
    <w:p w:rsidR="00AC56D6" w:rsidRDefault="00AC56D6" w:rsidP="00AC56D6">
      <w:pPr>
        <w:pStyle w:val="TextoNormal"/>
      </w:pPr>
    </w:p>
    <w:p w:rsidR="00AC56D6" w:rsidRDefault="00AC56D6" w:rsidP="00AC56D6">
      <w:pPr>
        <w:pStyle w:val="TextoNormal"/>
      </w:pPr>
      <w:r>
        <w:t>Invoca después de nuevo el derecho a la doble instancia penal, con cita de la STC 29/2008, de 20 de febrero, derecho que en este caso se entiende indebidamente privado al haberse atenido la Sala a interpretaciones “tan rigoristas o formalistas” que impidieron la efectividad del derecho. Se citan resoluciones del Tribunal Supremo y de la Audiencia Provincial de Murcia en casos donde se opta por la designación de un profesional de oficio, debiendo permitirse la subsanación de la falta de representación procesal y defensa del acusado en la vista de apelación.</w:t>
      </w:r>
    </w:p>
    <w:p w:rsidR="00AC56D6" w:rsidRDefault="00AC56D6" w:rsidP="00AC56D6">
      <w:pPr>
        <w:pStyle w:val="TextoNormal"/>
      </w:pPr>
    </w:p>
    <w:p w:rsidR="00AC56D6" w:rsidRDefault="00AC56D6" w:rsidP="00AC56D6">
      <w:pPr>
        <w:pStyle w:val="TextoNormal"/>
      </w:pPr>
      <w:r>
        <w:t xml:space="preserve">Como segundo motivo del amparo, el apartado 3.3 de la demanda afirma que ha existido una interpretación “lesiva para el derecho a la tutela judicial efectiva de mi representado (art. 24.2 CE) en relación al derecho de defensa y asistencia letrada. Desarrollo jurisprudencial de los artículos 846 </w:t>
      </w:r>
      <w:r w:rsidRPr="00AC56D6">
        <w:rPr>
          <w:i/>
        </w:rPr>
        <w:t>bis</w:t>
      </w:r>
      <w:r>
        <w:t xml:space="preserve"> d) y e) LECRIM y existencia de una laguna en la regulación procesal penal que la Sala del TSJ de Canarias llena mediante una analogía </w:t>
      </w:r>
      <w:r w:rsidRPr="00AC56D6">
        <w:rPr>
          <w:i/>
        </w:rPr>
        <w:t>in malam partem</w:t>
      </w:r>
      <w:r>
        <w:t>”.</w:t>
      </w:r>
    </w:p>
    <w:p w:rsidR="00AC56D6" w:rsidRDefault="00AC56D6" w:rsidP="00AC56D6">
      <w:pPr>
        <w:pStyle w:val="TextoNormal"/>
      </w:pPr>
    </w:p>
    <w:p w:rsidR="00AC56D6" w:rsidRDefault="00AC56D6" w:rsidP="00AC56D6">
      <w:pPr>
        <w:pStyle w:val="TextoNormal"/>
      </w:pPr>
      <w:r>
        <w:lastRenderedPageBreak/>
        <w:t xml:space="preserve">En este segundo bloque dialéctico el debate se centra en la aplicación de las normas procesales realizada por la Sala, la cual ha equiparado —según sostiene el recurrente— la falta de asistencia del letrado a la vista, con la falta de personación del representante procesal ante el Tribunal </w:t>
      </w:r>
      <w:r w:rsidRPr="00AC56D6">
        <w:rPr>
          <w:i/>
        </w:rPr>
        <w:t>ad quem</w:t>
      </w:r>
      <w:r>
        <w:t>, confundiendo una facultad de disposición del recurso, con una “incidencia procesal referida [a] su letrado”. Se defiende que la Ley de enjuicimianto criminal no asigna efecto concreto alguno a la incomparecencia de la parte en el acto de la vista, que se trata de una laguna normativa que no debió integrarse del modo como se hizo por la Sala; y se insiste en que el “letrado y procurador por razones ajenas a la voluntad del recurrente no comparecen en la vista”. Se invoca —como en el escrito del incidente de nulidad— la cita del ATC 75/2007 que trataba un caso de incomparecencia reiterada que se subsanó por el órgano judicial con la designación de abogado de oficio, solución ésta que reclama para el aquí actor.</w:t>
      </w:r>
    </w:p>
    <w:p w:rsidR="00AC56D6" w:rsidRDefault="00AC56D6" w:rsidP="00AC56D6">
      <w:pPr>
        <w:pStyle w:val="TextoNormal"/>
      </w:pPr>
    </w:p>
    <w:p w:rsidR="00AC56D6" w:rsidRDefault="00AC56D6" w:rsidP="00AC56D6">
      <w:pPr>
        <w:pStyle w:val="TextoNormal"/>
      </w:pPr>
      <w:r>
        <w:t>Se alega producida la vulneración del derecho a la asistencia letrada del art. 24.2 CE (que en el previo escrito de nulidad se incluía dentro del primer motivo); produciéndose además indefensión al apelante al no resolverse su recurso, teniendo en cuenta lo que se defendía en él (la reducción de la pena), así de nuevo también, la lesión el derecho a la doble instancia penal. Aduce una vez más la errónea interpretación del art. 846 bis e) LECrim, añadiendo el escrito que: “la Sala se enroca en un razonamiento circular que nada tiene que ver con la censura planteada y que buscaba única y exclusivamente que los Sres. Magistrados de la Sala controlaran la legalidad del procedimiento ante el Jurado que había condenado a mi representado, con independencia del fallo a que hubiere lugar”.</w:t>
      </w:r>
    </w:p>
    <w:p w:rsidR="00AC56D6" w:rsidRDefault="00AC56D6" w:rsidP="00AC56D6">
      <w:pPr>
        <w:pStyle w:val="TextoNormal"/>
      </w:pPr>
    </w:p>
    <w:p w:rsidR="00AC56D6" w:rsidRDefault="00AC56D6" w:rsidP="00AC56D6">
      <w:pPr>
        <w:pStyle w:val="TextoNormal"/>
      </w:pPr>
      <w:r>
        <w:t xml:space="preserve">Reconoce finalmente esta segunda queja, que “el problema informático” que fue —siempre según la defensa— el que propició la ausencia de profesionales en el acto de la vista, no era ciertamente responsabilidad de la Sala. Sin embargo ésta debió “dar una solución acorde con el principio </w:t>
      </w:r>
      <w:r w:rsidRPr="00AC56D6">
        <w:rPr>
          <w:i/>
        </w:rPr>
        <w:t>pro actione</w:t>
      </w:r>
      <w:r>
        <w:t>, una solución que garantizara el derecho de mi representado a que la propia Sala examinara el procedimiento por el que había sido condenado. Cosa que no hizo…”, al no designar profesionales de oficio tal y como se ha hecho en otros supuestos similares a éste.</w:t>
      </w:r>
    </w:p>
    <w:p w:rsidR="00AC56D6" w:rsidRDefault="00AC56D6" w:rsidP="00AC56D6">
      <w:pPr>
        <w:pStyle w:val="TextoNormal"/>
      </w:pPr>
    </w:p>
    <w:p w:rsidR="00AC56D6" w:rsidRDefault="00AC56D6" w:rsidP="00AC56D6">
      <w:pPr>
        <w:pStyle w:val="TextoNormal"/>
      </w:pPr>
      <w:r>
        <w:t>El suplico de la demanda solicita que este Tribunal declare la vulneración del derecho a la tutela judicial efectiva (art. 24.1 CE) del recurrente, acordando la nulidad de los tres Autos de la Sala de lo Penal del Tribunal Superior de Justicia de Canarias objeto de impugnación.</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Con fecha 16 de diciembre de 2014, la Sala Segunda de este Tribunal dictó providencia admitiendo a trámite la demanda de amparo, ordenando dirigir comunicación a la Sala de lo Penal del Tribunal Superior de Justicia de Canarias, </w:t>
      </w:r>
      <w:r w:rsidRPr="00AC56D6">
        <w:rPr>
          <w:i/>
        </w:rPr>
        <w:t>ex</w:t>
      </w:r>
      <w:r>
        <w:t xml:space="preserve"> art. 51 de la Ley Orgánica del Tribunal Constitucional (LOTC), para que en plazo que no excediera de diez días remitiera certificación o fotocopia adverada de las actuaciones correspondientes al rollo de apelación núm. 2-2014, previo emplazamiento a quienes hubiesen sido parte en el procedimiento, excepto a la parte recurrente en amparo, con el fin de poder comparecer en el presente recurso, si lo deseasen, en un plazo de diez días.</w:t>
      </w:r>
    </w:p>
    <w:p w:rsidR="00AC56D6" w:rsidRDefault="00AC56D6" w:rsidP="00AC56D6">
      <w:pPr>
        <w:pStyle w:val="TextoNormal"/>
      </w:pPr>
    </w:p>
    <w:p w:rsidR="00AC56D6" w:rsidRDefault="00AC56D6" w:rsidP="00AC56D6">
      <w:pPr>
        <w:pStyle w:val="TextoNormal"/>
      </w:pPr>
      <w:r w:rsidRPr="00AC56D6">
        <w:rPr>
          <w:rStyle w:val="NumeroAFNegritaCaracter"/>
        </w:rPr>
        <w:t>5</w:t>
      </w:r>
      <w:r>
        <w:t>. Por diligencia de ordenación de la Secretaría de Justicia de la Sección Cuarta de este Tribunal, de 30 de enero de 2015, se concedió audiencia por veinte días a todas las partes para formular alegaciones (art. 52 LOTC).</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6</w:t>
      </w:r>
      <w:r>
        <w:t>. El representante procesal del recurrente formalizó escrito el 16 de febrero de 2015, en el que puso de manifiesto que el rollo de apelación procedente de la Sala del Tribunal Superior de Justicia estaba incompleto, por lo que solicitó se requiriera a dicho órgano judicial la remisión de las actuaciones restantes. No formuló alegaciones de fondo.</w:t>
      </w:r>
    </w:p>
    <w:p w:rsidR="00AC56D6" w:rsidRDefault="00AC56D6" w:rsidP="00AC56D6">
      <w:pPr>
        <w:pStyle w:val="TextoNormal"/>
      </w:pPr>
    </w:p>
    <w:p w:rsidR="00AC56D6" w:rsidRDefault="00AC56D6" w:rsidP="00AC56D6">
      <w:pPr>
        <w:pStyle w:val="TextoNormal"/>
      </w:pPr>
      <w:r>
        <w:t>Verificado lo que antecede, se dictó diligencia de ordenación por la Secretaría de Justicia de la Sección Cuarta de este Tribunal, el 2 de marzo de 2015, uniendo a los autos el escrito del procurador del demandante de amparo y, tal como solicitaba, ordenó: “líbrese oportuna comunicación a la Sala de lo Penal del Tribunal Superior de Justicia de las Palmas de Gran Canaria a fin de que, a la mayor brevedad posible, remita a esta Sala certificación o fotocopia adverada de los folios que, como indica el referido Procurador, faltan de las actuaciones remitidas correspondientes al Recurso de Apelación nº 2-2014”.</w:t>
      </w:r>
    </w:p>
    <w:p w:rsidR="00AC56D6" w:rsidRDefault="00AC56D6" w:rsidP="00AC56D6">
      <w:pPr>
        <w:pStyle w:val="TextoNormal"/>
      </w:pPr>
    </w:p>
    <w:p w:rsidR="00AC56D6" w:rsidRDefault="00AC56D6" w:rsidP="00AC56D6">
      <w:pPr>
        <w:pStyle w:val="TextoNormal"/>
      </w:pPr>
      <w:r w:rsidRPr="00AC56D6">
        <w:rPr>
          <w:rStyle w:val="NumeroAFNegritaCaracter"/>
        </w:rPr>
        <w:t>7</w:t>
      </w:r>
      <w:r>
        <w:t>. Sin tiempo para dar cumplimiento a la diligencia de ordenación indicada, el Ministerio Fiscal presentó su escrito de alegaciones en el Registro General de este Tribunal el 3 de marzo de 2015, interesando el otorgamiento del recurso de amparo formulado.</w:t>
      </w:r>
    </w:p>
    <w:p w:rsidR="00AC56D6" w:rsidRDefault="00AC56D6" w:rsidP="00AC56D6">
      <w:pPr>
        <w:pStyle w:val="TextoNormal"/>
      </w:pPr>
    </w:p>
    <w:p w:rsidR="00AC56D6" w:rsidRDefault="00AC56D6" w:rsidP="00AC56D6">
      <w:pPr>
        <w:pStyle w:val="TextoNormal"/>
      </w:pPr>
      <w:r>
        <w:t>Una vez expuestos los avatares procesales del caso en la vía judicial previa y el contenido de las resoluciones impugnadas, las cuales reproduce en sus pasajes más importantes, así como de identificar el objeto del amparo interpuesto, el escrito hace un repaso de la doctrina constitucional que resulta relevante, tanto la dictada en general en materia de interpretación de normas procesales (cita la STC 205/2001, de 15 de octubre, FJ 3); del derecho fundamental a los recursos y su entendimiento en el proceso penal como derecho a la doble instancia en el caso del condenado (STC 91/2002, de 22 de abril, FJ 3), y del derecho fundamental a la defensa y asistencia letrada del art. 24.2 CE (STC 160/2009, de 29 de junio, FJ 4). También de la doctrina dictada, en particular, en relación a asuntos similares al aquí enjuiciado.</w:t>
      </w:r>
    </w:p>
    <w:p w:rsidR="00AC56D6" w:rsidRDefault="00AC56D6" w:rsidP="00AC56D6">
      <w:pPr>
        <w:pStyle w:val="TextoNormal"/>
      </w:pPr>
    </w:p>
    <w:p w:rsidR="00AC56D6" w:rsidRDefault="00AC56D6" w:rsidP="00AC56D6">
      <w:pPr>
        <w:pStyle w:val="TextoNormal"/>
      </w:pPr>
      <w:r>
        <w:t>En este último sentido, se hace cita de la STC 179/2014, de 2 de noviembre, FFJJ 2 y 3, en relación al deber de los órganos judiciales de evitar la indefensión “del justiciable… en el proceso penal”, proporcionando a éste una “asistencia letrada real y operativa”, en un caso de presentación extemporánea por la procuradora de oficio, de un escrito de personación ante la Sala, en recurso de apelación contra sentencia de condena dictada por tribunal de jurado. Y de la STC 162/1993, de 18 de mayo, FJ 2, en relación con la interpretación del art. 894 LECrim, en un caso de inasistencia de abogado de oficio a la vista del recurso de casación, donde de nuevo se sostiene por este Tribunal que debió buscarse una solución que permitiera la defensa efectiva, entonces de la parte recurrida.</w:t>
      </w:r>
    </w:p>
    <w:p w:rsidR="00AC56D6" w:rsidRDefault="00AC56D6" w:rsidP="00AC56D6">
      <w:pPr>
        <w:pStyle w:val="TextoNormal"/>
      </w:pPr>
    </w:p>
    <w:p w:rsidR="00AC56D6" w:rsidRDefault="00AC56D6" w:rsidP="00AC56D6">
      <w:pPr>
        <w:pStyle w:val="TextoNormal"/>
      </w:pPr>
      <w:r>
        <w:t>En aplicación de dicha doctrina, afirma el escrito de alegaciones que tiene razón la Sala del Tribunal Superior de Justicia cuando afirma que la incomparecencia de la Procuradora y Abogado del recurrente, no fue imputable al órgano judicial sino a dichos profesionales. No obstante, producida la reacción de esta parte procesal después, con la notificación del Auto de 27 de febrero de 2014 del que se pidió su rectificación, debió considerar la Sala que el art. 894 LECrim, aplicado por analogía, no prevé expresamente la asistencia del Procurador a la vista (del recurso de casación) sino sólo “para el Ministerio Fiscal y los defensores de las partes”. El mismo precepto de cualquier modo no impone la suspensión del acto y permite otras alternativas, según ha indicado la STC 162/1993, FJ 4.</w:t>
      </w:r>
    </w:p>
    <w:p w:rsidR="00AC56D6" w:rsidRDefault="00AC56D6" w:rsidP="00AC56D6">
      <w:pPr>
        <w:pStyle w:val="TextoNormal"/>
      </w:pPr>
    </w:p>
    <w:p w:rsidR="00AC56D6" w:rsidRDefault="00AC56D6" w:rsidP="00AC56D6">
      <w:pPr>
        <w:pStyle w:val="TextoNormal"/>
      </w:pPr>
      <w:r>
        <w:lastRenderedPageBreak/>
        <w:t xml:space="preserve">Respecto del art. 846 </w:t>
      </w:r>
      <w:r w:rsidRPr="00AC56D6">
        <w:rPr>
          <w:i/>
        </w:rPr>
        <w:t>bis</w:t>
      </w:r>
      <w:r>
        <w:t xml:space="preserve"> e), LECrim, razona por su lado el escrito de alegaciones del Ministerio Fiscal “que el ATSJ de 16 de mayo de 2014 enlaza con el desistimiento, ya aludido en el ATSJ de 27 de febrero de 2014, con referencia a los arts. 4, 19 y 450.1 LECiv, en aplicación supletoria, es de señalar que el apartamiento del procedimiento requiere una voluntad expresa o bien, tratándose como en este caso de un desistimiento tácito, implica una presunción que admite prueba en contrario”, con cita de la STC 9/1993, FJ 3, en relación con la terminación del proceso laboral. Tal posibilidad de prueba en contrario, añade, se hace más necesaria en sede de recursos contra una sentencia de condena penal.</w:t>
      </w:r>
    </w:p>
    <w:p w:rsidR="00AC56D6" w:rsidRDefault="00AC56D6" w:rsidP="00AC56D6">
      <w:pPr>
        <w:pStyle w:val="TextoNormal"/>
      </w:pPr>
    </w:p>
    <w:p w:rsidR="00AC56D6" w:rsidRDefault="00AC56D6" w:rsidP="00AC56D6">
      <w:pPr>
        <w:pStyle w:val="TextoNormal"/>
      </w:pPr>
      <w:r>
        <w:t>Por último, como “circunstancias concurrentes” a considerar en relación a los derechos invocados (acceso a los recursos y doble instancia penal, y defensa) se indican las siguientes: (</w:t>
      </w:r>
      <w:r w:rsidRPr="00AC56D6">
        <w:rPr>
          <w:i/>
        </w:rPr>
        <w:t>i</w:t>
      </w:r>
      <w:r>
        <w:t>) la STC 179/2014, FJ 2, remarcando que se apelaba contra una sentencia de condena de gravedad (por la naturaleza del delito y la extensión de la pena); (</w:t>
      </w:r>
      <w:r w:rsidRPr="00AC56D6">
        <w:rPr>
          <w:i/>
        </w:rPr>
        <w:t>ii</w:t>
      </w:r>
      <w:r>
        <w:t>) la consecución del derecho a la doble instancia proclamada por la exposición de motivos de la Ley Orgánica 5/1995, de 22 de mayo, del Tribunal del Jurado, en el apartado 4; (</w:t>
      </w:r>
      <w:r w:rsidRPr="00AC56D6">
        <w:rPr>
          <w:i/>
        </w:rPr>
        <w:t>iii</w:t>
      </w:r>
      <w:r>
        <w:t>) la “inexistencia de falta de diligencia del acusado y de voluntad expresa del condenado de desistir o renunciar a la continuidad” del recurso; (</w:t>
      </w:r>
      <w:r w:rsidRPr="00AC56D6">
        <w:rPr>
          <w:i/>
        </w:rPr>
        <w:t>iv</w:t>
      </w:r>
      <w:r>
        <w:t xml:space="preserve">) los actos procesales de los que deducir la voluntad del recurrente de llevar adelante la apelación (interposición del recurso, personación por su representante procesal ante la Sala). Aclarando que si bien en este caso la asistencia jurídica no recae en profesionales designados de oficio, ello no es obstáculo para que “subsista el deber de velar por la defensa de los derechos fundamentales afectados, atendiendo a las circunstancias del caso —especialmente con condenado en prisión y sentencia condenatoria en primera instancia a pena privativa de libertad—”, al seguir “comprometidos varios derechos del recurrente condenado en primera instancia y en prisión”, con cita de nuevo de la STC 179/2014, ahora en su FJ 4. Se añade que en el caso enjuiciado por esa Sentencia se trataba de una falta de personación ante la Sala, </w:t>
      </w:r>
      <w:r w:rsidRPr="00AC56D6">
        <w:rPr>
          <w:i/>
        </w:rPr>
        <w:t>ex</w:t>
      </w:r>
      <w:r>
        <w:t xml:space="preserve"> art. 846 </w:t>
      </w:r>
      <w:r w:rsidRPr="00AC56D6">
        <w:rPr>
          <w:i/>
        </w:rPr>
        <w:t>bis</w:t>
      </w:r>
      <w:r>
        <w:t xml:space="preserve"> d) LECrim, que se salvó, de modo que por “mayor motivo, pues, ahora, aparece aplicable la misma solución, cuando ni siquiera existe una previsión expresa de análoga significación a aquel precepto”. E insiste en la solución dada por la STC 162/1993, en el supuesto del art. 894 LECrim, dando paso a soluciones alternativas a la no celebración de la vista.</w:t>
      </w:r>
    </w:p>
    <w:p w:rsidR="00AC56D6" w:rsidRDefault="00AC56D6" w:rsidP="00AC56D6">
      <w:pPr>
        <w:pStyle w:val="TextoNormal"/>
      </w:pPr>
    </w:p>
    <w:p w:rsidR="00AC56D6" w:rsidRDefault="00AC56D6" w:rsidP="00AC56D6">
      <w:pPr>
        <w:pStyle w:val="TextoNormal"/>
      </w:pPr>
      <w:r>
        <w:t>Luego de resumir de nuevo los argumentos expuestos, el Ministerio Fiscal concluye que procede estimar el recurso “por vulneración del derecho a la defensa en relación con el derecho a la tutela judicial efectiva (art. 24.1 CE), en su aspecto del derecho a los recursos vinculado al derecho a la segunda instancia frente a una primera sentencia condenatoria en un proceso penal (art. 24.2 CE)”. Como efectos de dicha estimación, se solicita “la retroacción de actuaciones al momento anterior al dictado del primer ATSJ de Canarias de 27 de febrero de 2014, a fin de que se dicte nueva resolución respetuosa con los derechos vulnerados y con los efectos de continuar la tramitación del recurso de apelación”.</w:t>
      </w:r>
    </w:p>
    <w:p w:rsidR="00AC56D6" w:rsidRDefault="00AC56D6" w:rsidP="00AC56D6">
      <w:pPr>
        <w:pStyle w:val="TextoNormal"/>
      </w:pPr>
    </w:p>
    <w:p w:rsidR="00AC56D6" w:rsidRDefault="00AC56D6" w:rsidP="00AC56D6">
      <w:pPr>
        <w:pStyle w:val="TextoNormal"/>
      </w:pPr>
      <w:r w:rsidRPr="00AC56D6">
        <w:rPr>
          <w:rStyle w:val="NumeroAFNegritaCaracter"/>
        </w:rPr>
        <w:t>8</w:t>
      </w:r>
      <w:r>
        <w:t>. Con fecha 6 de marzo de 2015, la Secretaría de Justicia de la Sección Cuarta de este Tribunal dictó diligencia de ordenación del siguiente tenor: “En el asunto de referencia, recibidas las actuaciones reclamadas a la Sala de lo Penal del Tribunal Superior de Justicia de Canaria y que no obraban entre las remitidas anteriormente, se acuerda dar nueva vista de las actuaciones recibidas a la parte recurrente y al Ministerio Fiscal por plazo común de veinte días, dentro de los cuales podrán presentar las alegaciones que estimen pertinentes, conforme determina el art. 52.1 de la Ley Orgánica de este Tribunal”.</w:t>
      </w:r>
    </w:p>
    <w:p w:rsidR="00AC56D6" w:rsidRDefault="00AC56D6" w:rsidP="00AC56D6">
      <w:pPr>
        <w:pStyle w:val="TextoNormal"/>
      </w:pPr>
    </w:p>
    <w:p w:rsidR="00AC56D6" w:rsidRDefault="00AC56D6" w:rsidP="00AC56D6">
      <w:pPr>
        <w:pStyle w:val="TextoNormal"/>
      </w:pPr>
      <w:r>
        <w:lastRenderedPageBreak/>
        <w:t>La representación procesal del recurrente no formalizó escrito, de modo que no llegó a presentar alegaciones de fondo dentro del trámite —dividido en dos momentos— del art. 52 LOTC.</w:t>
      </w:r>
    </w:p>
    <w:p w:rsidR="00AC56D6" w:rsidRDefault="00AC56D6" w:rsidP="00AC56D6">
      <w:pPr>
        <w:pStyle w:val="TextoNormal"/>
      </w:pPr>
    </w:p>
    <w:p w:rsidR="00AC56D6" w:rsidRDefault="00AC56D6" w:rsidP="00AC56D6">
      <w:pPr>
        <w:pStyle w:val="TextoNormal"/>
      </w:pPr>
      <w:r>
        <w:t>El Ministerio Fiscal sí presentó escrito en el Registro General de este Tribunal, el 13 de abril de 2015, señalando que: “Examinadas las nuevas actuaciones remitidas por la Sala de lo Penal del Tribunal Superior de Justicia de Canarias, considera este Ministerio Fiscal que las mismas no añaden elementos que alteren las circunstancias sustanciales ya tenidas en cuenta en nuestro anterior informe de alegaciones, por lo que nos remitimos a las consideraciones expuestas en dicho escrito de alegaciones de fecha 2 de marzo pasado, que damos ahora por reproducidas”.</w:t>
      </w:r>
    </w:p>
    <w:p w:rsidR="00AC56D6" w:rsidRDefault="00AC56D6" w:rsidP="00AC56D6">
      <w:pPr>
        <w:pStyle w:val="TextoNormal"/>
      </w:pPr>
    </w:p>
    <w:p w:rsidR="00AC56D6" w:rsidRDefault="00AC56D6" w:rsidP="00AC56D6">
      <w:pPr>
        <w:pStyle w:val="TextoNormal"/>
      </w:pPr>
      <w:r w:rsidRPr="00AC56D6">
        <w:rPr>
          <w:rStyle w:val="NumeroAFNegritaCaracter"/>
        </w:rPr>
        <w:t>9</w:t>
      </w:r>
      <w:r>
        <w:t>. La parte recurrente no ha solicitado a este Tribunal la suspensión de la ejecución de la Sentencia de condena dictada en su contra, ni la suspensión de los efectos de las resoluciones impugnadas.</w:t>
      </w:r>
    </w:p>
    <w:p w:rsidR="00AC56D6" w:rsidRDefault="00AC56D6" w:rsidP="00AC56D6">
      <w:pPr>
        <w:pStyle w:val="TextoNormal"/>
      </w:pPr>
    </w:p>
    <w:p w:rsidR="00AC56D6" w:rsidRDefault="00AC56D6" w:rsidP="00AC56D6">
      <w:pPr>
        <w:pStyle w:val="TextoNormal"/>
      </w:pPr>
      <w:r w:rsidRPr="00AC56D6">
        <w:rPr>
          <w:rStyle w:val="NumeroAFNegritaCaracter"/>
        </w:rPr>
        <w:t>10</w:t>
      </w:r>
      <w:r>
        <w:t>. Por providencia de fecha de 17 de septiembre de 2015, se señaló para deliberación y votación de la presente Sentencia el día 21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Se interpone el presente recurso de amparo contra el Auto de la Sala de lo Penal del Tribunal Superior de Justicia de Canarias, de 27 de febrero de 2014, que acordó el archivo del recurso de apelación promovido por el aquí demandante de amparo contra la Sentencia del Tribunal del Jurado de la Audiencia Provincial de Santa Cruz de Tenerife (Sección Quinta), de 11 de noviembre de 2013, que le había condenado como autor de un delito de asesinato. Decisión de archivo confirmada por otros dos Autos posteriores de la misma Sala, igualmente aquí impugnados: el recaído el 24 de marzo de 2014, en incidente de rectificación de Sentencia y el segundo, de 16 de mayo de 2014, que desestimó el incidente de nulidad de actuaciones promovido contra las anteriores resoluciones. En síntesis, la Sala del Tribunal Superior sostiene que la ausencia del procurador y abogado designados por el recurrente, en el acto de la vista de la apelación para la que habían sido correctamente citados, debe tomarse como expresión de un desistimiento tácito del recurso.</w:t>
      </w:r>
    </w:p>
    <w:p w:rsidR="00AC56D6" w:rsidRDefault="00AC56D6" w:rsidP="00AC56D6">
      <w:pPr>
        <w:pStyle w:val="TextoNormal"/>
      </w:pPr>
    </w:p>
    <w:p w:rsidR="00AC56D6" w:rsidRDefault="00AC56D6" w:rsidP="00AC56D6">
      <w:pPr>
        <w:pStyle w:val="TextoNormal"/>
      </w:pPr>
      <w:r>
        <w:t xml:space="preserve">Frente a estas resoluciones se alza el demandante de amparo, quien alega una primera queja por vulneración del derecho a la tutela judicial efectiva (art. 24.1 CE), en su vertiente de acceso al recurso, en este caso a la doble instancia penal [art. 14.5 del Pacto internacional de derechos civiles y políticos (PIDCP)], y defiende que el motivo de incomparecencia del Letrado defensor no le fue imputable a él, al deberse a un fallo informático que impidió conocer a dicho profesional la convocatoria de la vista; en todo caso, constatada tal ausencia la Sala de apelación podía haber optado por otras soluciones menos drásticas, permitiendo la subsanación designando en ese momento un Abogado de oficio, con aplicación del principio </w:t>
      </w:r>
      <w:r w:rsidRPr="00AC56D6">
        <w:rPr>
          <w:i/>
        </w:rPr>
        <w:t>pro actione</w:t>
      </w:r>
      <w:r>
        <w:t xml:space="preserve">. A su entender, la Sala ha confundido los efectos jurídicos que prevé la Ley de enjuiciamiento criminal en los casos de no personación de la parte ante la Sala [art. 846 </w:t>
      </w:r>
      <w:r w:rsidRPr="00AC56D6">
        <w:rPr>
          <w:i/>
        </w:rPr>
        <w:t>bis</w:t>
      </w:r>
      <w:r>
        <w:t xml:space="preserve"> d)], con la ausencia en el acto de la vista de los profesionales [art. 846 </w:t>
      </w:r>
      <w:r w:rsidRPr="00AC56D6">
        <w:rPr>
          <w:i/>
        </w:rPr>
        <w:t>bis</w:t>
      </w:r>
      <w:r>
        <w:t xml:space="preserve"> e)], donde la ley no sanciona con el desistimiento.</w:t>
      </w:r>
    </w:p>
    <w:p w:rsidR="00AC56D6" w:rsidRDefault="00AC56D6" w:rsidP="00AC56D6">
      <w:pPr>
        <w:pStyle w:val="TextoNormal"/>
      </w:pPr>
    </w:p>
    <w:p w:rsidR="00AC56D6" w:rsidRDefault="00AC56D6" w:rsidP="00AC56D6">
      <w:pPr>
        <w:pStyle w:val="TextoNormal"/>
      </w:pPr>
      <w:r>
        <w:lastRenderedPageBreak/>
        <w:t xml:space="preserve">Una segunda queja vuelve a denunciar la lesión del derecho a la tutela judicial efectiva (art. 24.1 CE), ahora en su faceta de derecho a no padecer indefensión, en conjunción con el derecho fundamental a la asistencia jurídica (art. 24.2 CE), donde se insiste en que la solución adoptada por la Sala carece de base legal, así como que cualquier laguna derivada del art. 846 </w:t>
      </w:r>
      <w:r w:rsidRPr="00AC56D6">
        <w:rPr>
          <w:i/>
        </w:rPr>
        <w:t>bis</w:t>
      </w:r>
      <w:r>
        <w:t xml:space="preserve"> e) LECrim no puede conducir a una analogía </w:t>
      </w:r>
      <w:r w:rsidRPr="00AC56D6">
        <w:rPr>
          <w:i/>
        </w:rPr>
        <w:t>in malam partem</w:t>
      </w:r>
      <w:r>
        <w:t>, sino a su integración en forma que no se le tuviera por desistido del recurso.</w:t>
      </w:r>
    </w:p>
    <w:p w:rsidR="00AC56D6" w:rsidRDefault="00AC56D6" w:rsidP="00AC56D6">
      <w:pPr>
        <w:pStyle w:val="TextoNormal"/>
      </w:pPr>
    </w:p>
    <w:p w:rsidR="00AC56D6" w:rsidRDefault="00AC56D6" w:rsidP="00AC56D6">
      <w:pPr>
        <w:pStyle w:val="TextoNormal"/>
      </w:pPr>
      <w:r>
        <w:t xml:space="preserve">Por su parte, el Ministerio Fiscal ha interesado la estimación del recurso afirmando que se produce la vulneración de los dos derechos fundamentales invocados por el recurrente, puesto que la decisión adoptada por la Sala no encuentra encaje en los arts. 846 </w:t>
      </w:r>
      <w:r w:rsidRPr="00AC56D6">
        <w:rPr>
          <w:i/>
        </w:rPr>
        <w:t>bis</w:t>
      </w:r>
      <w:r>
        <w:t xml:space="preserve"> d) y 894 LECrim; por no constar la voluntad del apelante de desistir de su recurso, y por ser posible la implementación de otras medidas distintas al archivo del recurso.</w:t>
      </w:r>
    </w:p>
    <w:p w:rsidR="00AC56D6" w:rsidRDefault="00AC56D6" w:rsidP="00AC56D6">
      <w:pPr>
        <w:pStyle w:val="TextoNormal"/>
      </w:pPr>
    </w:p>
    <w:p w:rsidR="00AC56D6" w:rsidRDefault="00AC56D6" w:rsidP="00AC56D6">
      <w:pPr>
        <w:pStyle w:val="TextoNormal"/>
      </w:pPr>
      <w:r w:rsidRPr="00AC56D6">
        <w:rPr>
          <w:rStyle w:val="NumeroAFNegritaCaracter"/>
        </w:rPr>
        <w:t>2</w:t>
      </w:r>
      <w:r>
        <w:t xml:space="preserve">. Así trabado el debate constitucional y no opuesto ningún óbice de procedibilidad por el Ministerio Fiscal, procede entrar a resolver sobre la primera queja de la demanda. Tan solo cabe puntualizar con carácter previo, que el presente recurso de amparo fue admitido a trámite al apreciarse su especial trascendencia constitucional [art. 50.1.b) de la Ley Orgánica del Tribunal Constitucional (LOTC)], dado que el asunto de fondo plantea un problema sobre el que no hay doctrina previa de este Tribunal Constitucional [STC 155/2009, de 25 de junio, FJ 2, apartado a)]. Concretamente en cuanto al derecho a la doble instancia penal (art. 24.1 CE) y su posible vulneración en el tratamiento judicial de los llamados medios de autocomposición del proceso, en este caso el desistimiento tácito que la Sala de apelación deduce de la ausencia de profesionales designados por el apelante, en la vista del recurso. Precisión que formulamos en salvaguarda del principio de seguridad jurídica que, conforme a la Sentencia del Tribunal Europeo de Derechos Humanos de 20 de enero de 2015, dictada en el asunto </w:t>
      </w:r>
      <w:r w:rsidRPr="00AC56D6">
        <w:rPr>
          <w:i/>
        </w:rPr>
        <w:t>Arribas Antón contra España</w:t>
      </w:r>
      <w:r>
        <w:t>, § 46, exige explicitar no solamente los criterios de definición del requisito de la especial trascendencia constitucional (a tal efecto, esencialmente, la precitada STC 155/2009), sino también su aplicación en los asuntos que se admiten a trámite, con el fin de asegurar con ello una buena administración de la Justicia.</w:t>
      </w:r>
    </w:p>
    <w:p w:rsidR="00AC56D6" w:rsidRDefault="00AC56D6" w:rsidP="00AC56D6">
      <w:pPr>
        <w:pStyle w:val="TextoNormal"/>
      </w:pPr>
    </w:p>
    <w:p w:rsidR="00AC56D6" w:rsidRDefault="00AC56D6" w:rsidP="00AC56D6">
      <w:pPr>
        <w:pStyle w:val="TextoNormal"/>
      </w:pPr>
      <w:r w:rsidRPr="00AC56D6">
        <w:rPr>
          <w:rStyle w:val="NumeroAFNegritaCaracter"/>
        </w:rPr>
        <w:t>3</w:t>
      </w:r>
      <w:r>
        <w:t>. Sentado lo anterior y entrando ya en el examen del primer motivo de la demanda, a fin de seguir un orden lógico para su mejor resolución ha de determinarse, en primer lugar, si es correcto el presupuesto de hecho asumido por las resoluciones impugnadas y, de serlo, qué responsabilidad tiene el órgano judicial en su causación. En segundo lugar, se examinará el tratamiento jurídico que ha dado la Sala de lo Penal del Tribunal Superior de Justicia de Canarias a ese supuesto de hecho, desde el canon propio del derecho fundamental a la tutela judicial efectiva, en la concreta vertiente del derecho a la doble instancia penal.</w:t>
      </w:r>
    </w:p>
    <w:p w:rsidR="00AC56D6" w:rsidRDefault="00AC56D6" w:rsidP="00AC56D6">
      <w:pPr>
        <w:pStyle w:val="TextoNormal"/>
      </w:pPr>
    </w:p>
    <w:p w:rsidR="00AC56D6" w:rsidRDefault="00AC56D6" w:rsidP="00AC56D6">
      <w:pPr>
        <w:pStyle w:val="TextoNormal"/>
      </w:pPr>
      <w:r>
        <w:t xml:space="preserve">En cuanto al primer aspecto, el presupuesto de hecho enjuiciado por los autos es correcto: la incomparecencia de los profesionales designados por el acusado a la vista de apelación, por causa no atribuible a la Sala. Como se desprende del relato de los antecedentes de hecho de esta Sentencia, por diligencia de ordenación de 17 de febrero de 2014 la Secretaria de Justicia acordaba notificar a las partes, entre ellas a la procuradora doña María Eugenia Beltrán Gutiérrez, la convocatoria para la vista del recurso, con el día, lugar y hora para su celebración, sin que dicha representante procesal haya denunciado defecto alguno en la notificación de esta diligencia, por lo que la parte apelante resultó citada en forma. Pese a ello y como consta en la diligencia extendida por la misma Secretaria de la Sala, una vez abierto </w:t>
      </w:r>
      <w:r>
        <w:lastRenderedPageBreak/>
        <w:t>el acto se constató que ninguno de los dos profesionales que asistían jurídicamente al apelante habían acudido. Dos días después, la Sala de lo Penal del Tribunal Superior de Justicia dictó el Auto declarando desistido a aquél de su recurso.</w:t>
      </w:r>
    </w:p>
    <w:p w:rsidR="00AC56D6" w:rsidRDefault="00AC56D6" w:rsidP="00AC56D6">
      <w:pPr>
        <w:pStyle w:val="TextoNormal"/>
      </w:pPr>
    </w:p>
    <w:p w:rsidR="00AC56D6" w:rsidRDefault="00AC56D6" w:rsidP="00AC56D6">
      <w:pPr>
        <w:pStyle w:val="TextoNormal"/>
      </w:pPr>
      <w:r>
        <w:t>Ante esta decisión, la parte apelante nada adujo para justificar la incomparecencia de la procuradora. Tan sólo la del Abogado defensor, atendiendo a un desconocimiento de la diligencia debido a un fallo técnico de su ordenador, al recibir la resolución por fax de la procuradora. Fallo que, como observa el Auto de la Sala de lo Penal del Tribunal Superior de Justicia, de 24 de marzo de 2014, ni siquiera se ha demostrado.</w:t>
      </w:r>
    </w:p>
    <w:p w:rsidR="00AC56D6" w:rsidRDefault="00AC56D6" w:rsidP="00AC56D6">
      <w:pPr>
        <w:pStyle w:val="TextoNormal"/>
      </w:pPr>
    </w:p>
    <w:p w:rsidR="00AC56D6" w:rsidRDefault="00AC56D6" w:rsidP="00AC56D6">
      <w:pPr>
        <w:pStyle w:val="TextoNormal"/>
      </w:pPr>
      <w:r>
        <w:t>En todo caso, incluso si se hubiere acreditado esto último, estaríamos ante un problema interno de comunicación entre dos profesionales designados libremente por el acusado, y conforme a nuestra doctrina reiterada, la inactividad o defectuoso proceder de la representación procesal o de la defensa del acusado, causantes de la pérdida de algún recurso o trámite del proceso penal, únicamente genera “el deber positivo de velar por la efectividad de la defensa del acusado o del condenado en el proceso penal por parte de profesionales designados de oficio” [STC 160/2009, de 29 de junio, FJ 4 —con cita de otras anteriores—; en el mismo sentido, STC 179/2014, de 3 de noviembre, FJ 3].</w:t>
      </w:r>
    </w:p>
    <w:p w:rsidR="00AC56D6" w:rsidRDefault="00AC56D6" w:rsidP="00AC56D6">
      <w:pPr>
        <w:pStyle w:val="TextoNormal"/>
      </w:pPr>
    </w:p>
    <w:p w:rsidR="00AC56D6" w:rsidRDefault="00AC56D6" w:rsidP="00AC56D6">
      <w:pPr>
        <w:pStyle w:val="TextoNormal"/>
      </w:pPr>
      <w:r>
        <w:t>No sucede lo mismo cuando se trata de profesionales de libre designación, por cuanto, también de acuerdo a nuestra doctrina, “es evidente que, como hemos advertido en otras ocasiones (por todas: STC 91/1994, de 21 de marzo, FJ 3), ‘el órgano judicial no puede ni debe supervisar en todos los procedimientos la actuación de los profesionales del Derecho, pues ante su pasividad o falta de pericia profesional son otros mecanismos jurídicos arbitrados para exigirles responsabilidades disciplinarias o patrimoniales’…” [STC 47/2003, de 3 de marzo, FJ 2].</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Para cerrar estas primeras consideraciones conviene recordar, en fin, que la presencia de ambos profesionales en la vista del recurso de apelación resultaba inexcusable. El art. 846 </w:t>
      </w:r>
      <w:r w:rsidRPr="00AC56D6">
        <w:rPr>
          <w:i/>
        </w:rPr>
        <w:t>bis</w:t>
      </w:r>
      <w:r>
        <w:t xml:space="preserve"> e) LECrim, norma especial en este caso al tratarse de un recurso de apelación contra Sentencia dictada por un Tribunal de Jurado, determina en su párrafo segundo que la vista se realizará en audiencia pública “comenzando por el uso de la palabra la parte apelante seguido del Ministerio Fiscal, si éste no fuese el que apeló, y demás partes apeladas”.</w:t>
      </w:r>
    </w:p>
    <w:p w:rsidR="00AC56D6" w:rsidRDefault="00AC56D6" w:rsidP="00AC56D6">
      <w:pPr>
        <w:pStyle w:val="TextoNormal"/>
      </w:pPr>
    </w:p>
    <w:p w:rsidR="00AC56D6" w:rsidRDefault="00AC56D6" w:rsidP="00AC56D6">
      <w:pPr>
        <w:pStyle w:val="TextoNormal"/>
      </w:pPr>
      <w:r>
        <w:t>La norma, como puede leerse, utiliza el término “parte apelante” y “partes apeladas”, no la de “condenado” (que sin embargo sí emplea en el párrafo anterior, cuando habla de quiénes han de ser citados al acto), lo que supone lógicamente la presencia tanto del abogado al que compete presentar las alegaciones en defensa de su cliente, como del procurador que ejerce su representación en juicio.</w:t>
      </w:r>
    </w:p>
    <w:p w:rsidR="00AC56D6" w:rsidRDefault="00AC56D6" w:rsidP="00AC56D6">
      <w:pPr>
        <w:pStyle w:val="TextoNormal"/>
      </w:pPr>
    </w:p>
    <w:p w:rsidR="00AC56D6" w:rsidRDefault="00AC56D6" w:rsidP="00AC56D6">
      <w:pPr>
        <w:pStyle w:val="TextoNormal"/>
      </w:pPr>
      <w:r>
        <w:t xml:space="preserve">Frente a la implícita irrelevancia que los escritos del aquí recurrente, incluyendo la demanda de amparo, atribuyen a la no comparecencia en la vista de la Procuradora Sra. Beltrán Gutiérrez, hemos de recordar que es igualmente doctrina de este Tribunal, referida a la vista del recurso de apelación del proceso penal abreviado, pero perfectamente trasladable al ámbito de las apelaciones contra resoluciones de los tribunales de jurado, que “‘la postulación es un presupuesto general de la validez de los actos procesales y comprende tanto la dirección y defensa a cargo del Letrado como la representación procesal que compete al Procurador, actuando éste ante el órgano jurisdiccional en nombre de la parte, como se desprende </w:t>
      </w:r>
      <w:r>
        <w:lastRenderedPageBreak/>
        <w:t>de los párrafos 3º y 4º del art. 118 L.E.Crim. y de los arts. 436 y 438 L.O.P.J. En particular, respecto a la representación de la parte mediante Procurador cabe observar que el primer apartado del art. 438 L.O.P.J. la requiere con carácter general, salvo las excepciones legalmente previstas que permiten bien la intervención personal de aquella o el ejercicio de ambas funciones, defensa y representación, por un mismo profesional’. Fuera de esas excepciones, resulta preceptiva la intervención de Procurador … y le corresponde actuar ante el órgano judicial en representación de la parte, no cabe entender que la exigencia legal no haya de operar en un acto tan relevante para el ejercicio del derecho de defensa como es el de la vista de un recurso de apelación … Citación que constituye un acto de comunicación mediante el cual se hace saber al destinatario el día y la hora en el que ha de llevarse a cabo un acto personal del citado, en este caso de ‘las partes’. Y si el Letrado, obvio es, ni es parte en el proceso penal ni puede ostentar la representación de su defendid[o] en la apelación … de ello se desprende que su presencia en el acto de la vista no es suficiente caso de no comparecer su defendid[o] o el Procurador que l[e] representa” [STC 11/1995, de 16 de enero, FJ 2].</w:t>
      </w:r>
    </w:p>
    <w:p w:rsidR="00AC56D6" w:rsidRDefault="00AC56D6" w:rsidP="00AC56D6">
      <w:pPr>
        <w:pStyle w:val="TextoNormal"/>
      </w:pPr>
    </w:p>
    <w:p w:rsidR="00AC56D6" w:rsidRDefault="00AC56D6" w:rsidP="00AC56D6">
      <w:pPr>
        <w:pStyle w:val="TextoNormal"/>
      </w:pPr>
      <w:r>
        <w:t xml:space="preserve">Esta exigencia de intervención activa del Procurador en la vista no queda rebajada por el hecho de que en el presente caso no estuviere prevista la práctica de pruebas. De hecho, la doctrina que acaba de citarse enjuiciaba un caso de vista de un recurso de apelación sin pruebas, convocada por la Sección Juzgadora por así estimarlo “necesario para la correcta formación de una convicción fundada”, </w:t>
      </w:r>
      <w:r w:rsidRPr="00AC56D6">
        <w:rPr>
          <w:i/>
        </w:rPr>
        <w:t>ex</w:t>
      </w:r>
      <w:r>
        <w:t xml:space="preserve"> art. 795.6 LECrim entonces vigente (hoy, art. 791.1 LECrim). Esto es, con el fin de escuchar las alegaciones de las partes que éstas ya han vertido en sus escritos, y pedir en su caso las aclaraciones que estime pertinentes.</w:t>
      </w:r>
    </w:p>
    <w:p w:rsidR="00AC56D6" w:rsidRDefault="00AC56D6" w:rsidP="00AC56D6">
      <w:pPr>
        <w:pStyle w:val="TextoNormal"/>
      </w:pPr>
    </w:p>
    <w:p w:rsidR="00AC56D6" w:rsidRDefault="00AC56D6" w:rsidP="00AC56D6">
      <w:pPr>
        <w:pStyle w:val="TextoNormal"/>
      </w:pPr>
      <w:r>
        <w:t>Por lo demás, en el presente caso la presencia física del condenado apelante había sido dispensada por la diligencia de ordenación de 17 de febrero de 2014, sin que la representación procesal del recurrente objetara nada al respecto. Atendiendo a la naturaleza de los tres motivos que articulaban el recurso de apelación presentado, el primero por indefensión padecida en el sumario (por decretarse el secreto de las actuaciones y autorizarse la incineración y repatriación de los restos de la víctima sin poder practicar prueba sobre el cuerpo); y los dos siguientes por errónea calificación jurídica de los hechos, resulta de aplicación nuestra doctrina conforme a la cual “si el debate planteado en segunda instancia versa exclusivamente sobre estrictas cuestiones jurídicas no resulta necesario oír personalmente al acusado en un juicio público, pues dicha audiencia ninguna incidencia podría tener en la decisión que pudiera adoptarse, y en la medida en que el debate sea estrictamente jurídico, la posición de la parte puede entenderse debidamente garantizada por la presencia de su abogado, que haría efectivo el derecho de defensa frente a los argumentos esgrimidos por la otra parte (así, SSTC 45/2011, de 11 de abril, FJ 3; o 153/2011, de 17 de octubre, FJ 6)” [STC 88/2013, de 11 de abril, FJ 8].</w:t>
      </w:r>
    </w:p>
    <w:p w:rsidR="00AC56D6" w:rsidRDefault="00AC56D6" w:rsidP="00AC56D6">
      <w:pPr>
        <w:pStyle w:val="TextoNormal"/>
      </w:pPr>
    </w:p>
    <w:p w:rsidR="00AC56D6" w:rsidRDefault="00AC56D6" w:rsidP="00AC56D6">
      <w:pPr>
        <w:pStyle w:val="TextoNormal"/>
      </w:pPr>
      <w:r>
        <w:t>La ausencia física del condenado apelante en la vista, que su procuradora como mínimo conocía de antemano, sólo sirvió para agravar las consecuencias de la no comparecencia de los dos profesionales que debían sostener su pretensión ante el Tribunal de segunda instancia, pues ni siquiera tuvo aquél la oportunidad de dirigirse a los Magistrados en ese momento para solicitar alguna solución al vacío de defensa jurídica que estaba sufriendo.</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5</w:t>
      </w:r>
      <w:r>
        <w:t>. Una vez se ha determinado, pues, que resulta correcto el presupuesto fáctico sobre el que se asienta la decisión de la Sala de lo Penal del Tribunal Superior de Justicia para declarar el archivo del recurso, hemos de examinar ahora si las razones jurídicas que se esgrimen en los Autos recurridos para fundamentarla, son respetuosas con el derecho fundamental que se denuncia como vulnerado por la demanda de amparo, que no es otro sino el derecho al recurso, vertiente del más general a la tutela judicial efectiva, que en el ámbito jurisdiccional en el que nos encontramos se define como el derecho a la doble instancia penal del condenado.</w:t>
      </w:r>
    </w:p>
    <w:p w:rsidR="00AC56D6" w:rsidRDefault="00AC56D6" w:rsidP="00AC56D6">
      <w:pPr>
        <w:pStyle w:val="TextoNormal"/>
      </w:pPr>
    </w:p>
    <w:p w:rsidR="00AC56D6" w:rsidRDefault="00AC56D6" w:rsidP="00AC56D6">
      <w:pPr>
        <w:pStyle w:val="TextoNormal"/>
      </w:pPr>
      <w:r>
        <w:t>A este respecto, hemos recordado recientemente en STC 55/2015, de 16 de marzo, FJ 4 b), que “el derecho a la doble instancia penal contra Sentencias de condena, en los términos recogidos por el art. 14.5 del Pacto internacional de derechos civiles y políticos de 1966 (‘Toda persona declarada culpable de un delito tendrá derecho a que el fallo condenatorio y la pena que se le haya impuesto sean sometidos a un tribunal superior, conforme a lo prescrito por la ley’), garantiza según reiteradamente venimos diciendo,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(en el mismo sentido, SSTC 105/2003, de 2 de junio, FJ 2; 116/2006, de 24 de abril, FJ 5; y 60/2008, de 26 de mayo, FJ 4)…’ (SSTC 16/2011, de 28 de febrero, FJ 3; 13/2014 a 16/2014 inclusive, todas de 30 de enero y en el FJ 2)…”</w:t>
      </w:r>
    </w:p>
    <w:p w:rsidR="00AC56D6" w:rsidRDefault="00AC56D6" w:rsidP="00AC56D6">
      <w:pPr>
        <w:pStyle w:val="TextoNormal"/>
      </w:pPr>
    </w:p>
    <w:p w:rsidR="00AC56D6" w:rsidRDefault="00AC56D6" w:rsidP="00AC56D6">
      <w:pPr>
        <w:pStyle w:val="TextoNormal"/>
      </w:pPr>
      <w:r>
        <w:t xml:space="preserve">Resulta a su vez importante considerar, que el canon de valoración requerido para medir si ha existido vulneración de este derecho a la doble instancia penal, no se ciñe al que deviene aplicable para el derecho fundamental al recurso, sino que incluye también la utilización del principio </w:t>
      </w:r>
      <w:r w:rsidRPr="00AC56D6">
        <w:rPr>
          <w:i/>
        </w:rPr>
        <w:t>pro actione</w:t>
      </w:r>
      <w:r>
        <w:t xml:space="preserve">, propio del derecho de acceso a la jurisdicción, tal y como igualmente tenemos declarado con reiteración: “‘el derecho al recurso no nace directamente de la Constitución, sino de lo que hayan dispuesto las leyes procesales, correspondiendo al ámbito de libertad del legislador, salvo en materia penal, el establecimiento y regulación de los recursos procedentes en cada caso’ (por todas, STC 120/2002, de 20 de mayo, FJ 2). En materia de acceso a la tutela judicial, que constituye su vertiente más primaria, nuestro control se intensifica y alcanza a ‘la interdicción de aquellas decisiones de inadmisión que por su rigorismo, por su formalismo excesivo o por cualquier otra razón revelen una clara desproporción entre los fines que aquellas causas preservan y los intereses que sacrifican (SSTC 88/1997, 150/1997, 184/1997 y 38/1998)’ (STC 235/1998, de 14 de diciembre, FJ 2). Este mismo canon de control, y no el general de acceso a los recursos, es el aplicable a casos como el presente de acceso al recurso del penalmente condenado (entre otras, recientemente, SSTC 91/2002, de 22 de abril; 11/2003, de 27 de enero; 11/2004, de 9 de febrero). La razón de esta excepción entronca de nuevo con la matriz constitucional del derecho, con la exigencia constitucional de una doble instancia en favor del reo cuando del proceso penal se trata. Razones materiales evidentes, derivadas de la entidad de lo que se ventila en tal tipo de remedios procesales, imponen la aplicación de ... la interdicción de aquellas decisiones de inadmisión que por su rigorismo, por su formalismo excesivo o por cualquier otra razón revelen una clara desproporción entre los fines que aquellas causas preservan y los intereses </w:t>
      </w:r>
      <w:r>
        <w:lastRenderedPageBreak/>
        <w:t xml:space="preserve">que sacrifican ... Es de este modo como debe entenderse en este ámbito el principio interpretativo </w:t>
      </w:r>
      <w:r w:rsidRPr="00AC56D6">
        <w:rPr>
          <w:i/>
        </w:rPr>
        <w:t>pro actione</w:t>
      </w:r>
      <w:r>
        <w:t xml:space="preserve"> (SSTC 110/1985, 123/1986, 78/1991, 96/1991, 120/1993) y no, aunque pueda sugerirlo también su ambigua denominación, como la forzosa selección de la interpretación más favorable a la admisión de entre todas las posibles de las normas que la regulan…” [STC 69/2005, de 4 de abril, FJ 2; en el mismo sentido, SSTC 20/2012, de 16 de febrero, FJ 5; 115/2012, de 4 de junio, FJ 2; 129/2012, de 18 de junio, FJ 2 a); 130/2012, de 18 de junio; FJ 2 a); y 7/2015, 22 de enero, FJ 3].</w:t>
      </w:r>
    </w:p>
    <w:p w:rsidR="00AC56D6" w:rsidRDefault="00AC56D6" w:rsidP="00AC56D6">
      <w:pPr>
        <w:pStyle w:val="TextoNormal"/>
      </w:pPr>
    </w:p>
    <w:p w:rsidR="00AC56D6" w:rsidRDefault="00AC56D6" w:rsidP="00AC56D6">
      <w:pPr>
        <w:pStyle w:val="TextoNormal"/>
      </w:pPr>
      <w:r w:rsidRPr="00AC56D6">
        <w:rPr>
          <w:rStyle w:val="NumeroAFNegritaCaracter"/>
        </w:rPr>
        <w:t>6</w:t>
      </w:r>
      <w:r>
        <w:t>. Bajo estas premisas de doctrina, procede entrar ya en el examen de las resoluciones impugnadas. Lo que éstas han dispuesto, en síntesis, es que la mera incomparecencia de la procuradora y del abogado del recurrente al acto de la vista de apelación, trae como efecto directo considerar que este último ha desistido del recurso, por lo que no cabe continuar con el procedimiento. Parece evidente que esta conclusión sólo puede sostenerse en un razonamiento lógico: (</w:t>
      </w:r>
      <w:r w:rsidRPr="00AC56D6">
        <w:rPr>
          <w:i/>
        </w:rPr>
        <w:t>i</w:t>
      </w:r>
      <w:r>
        <w:t>) si existe un precepto que prevea dicha consecuencia procesal, vinculada a la incomparecencia que en concreto nos ocupa, (</w:t>
      </w:r>
      <w:r w:rsidRPr="00AC56D6">
        <w:rPr>
          <w:i/>
        </w:rPr>
        <w:t>ii</w:t>
      </w:r>
      <w:r>
        <w:t>) o en todo caso, si se acredita una voluntad expresa e inequívoca del apelante de poner fin al recurso.</w:t>
      </w:r>
    </w:p>
    <w:p w:rsidR="00AC56D6" w:rsidRDefault="00AC56D6" w:rsidP="00AC56D6">
      <w:pPr>
        <w:pStyle w:val="TextoNormal"/>
      </w:pPr>
    </w:p>
    <w:p w:rsidR="00AC56D6" w:rsidRDefault="00AC56D6" w:rsidP="00AC56D6">
      <w:pPr>
        <w:pStyle w:val="TextoNormal"/>
      </w:pPr>
      <w:r>
        <w:t xml:space="preserve">El tenor de las argumentaciones ofrecidas por los Autos de la Sala de lo Penal del Tribunal Superior de Justicia, y las propias circunstancias concurrentes, no permiten encontrar el respaldo necesario para la decisión adoptada. Antes de examinarlas, hemos de aclarar desde ya que ninguno de los apartados del art. 846 </w:t>
      </w:r>
      <w:r w:rsidRPr="00AC56D6">
        <w:rPr>
          <w:i/>
        </w:rPr>
        <w:t>bis</w:t>
      </w:r>
      <w:r>
        <w:t xml:space="preserve"> LECrim, precepto donde se regula el recurso de apelación contra sentencias dictadas por los tribunales de jurados, asigna ningún efecto a la incomparecencia al acto de la vista de la parte apelante, tampoco en su apartado e), relativo a la vista del recurso, del que ya se ha hecho reproducción antes (fundamento jurídico cuarto).</w:t>
      </w:r>
    </w:p>
    <w:p w:rsidR="00AC56D6" w:rsidRDefault="00AC56D6" w:rsidP="00AC56D6">
      <w:pPr>
        <w:pStyle w:val="TextoNormal"/>
      </w:pPr>
    </w:p>
    <w:p w:rsidR="00AC56D6" w:rsidRDefault="00AC56D6" w:rsidP="00AC56D6">
      <w:pPr>
        <w:pStyle w:val="TextoNormal"/>
      </w:pPr>
      <w:r>
        <w:t>Como norma supletoria de la que acaba de citarse, aparece en primer lugar el art. 230 LECrim, para las apelaciones en general, donde no solamente no se recoge tampoco aquel medio de autocomposición, sino que tajantemente establece en su párrafo segundo, que: “La vista se celebrará el día señalado, asistan o no las partes … Será obligatoria la asistencia del Ministerio Fiscal en todas las causas en que éste interviniere. Y no podrá acordarse la suspensión por motivo alguno, siendo rechazadas de plano, sin ulterior recurso, cuantas pretensiones de suspensión se formulen”.</w:t>
      </w:r>
    </w:p>
    <w:p w:rsidR="00AC56D6" w:rsidRDefault="00AC56D6" w:rsidP="00AC56D6">
      <w:pPr>
        <w:pStyle w:val="TextoNormal"/>
      </w:pPr>
    </w:p>
    <w:p w:rsidR="00AC56D6" w:rsidRDefault="00AC56D6" w:rsidP="00AC56D6">
      <w:pPr>
        <w:pStyle w:val="TextoNormal"/>
      </w:pPr>
      <w:r>
        <w:t>Y en segundo lugar el art. 791.2 de la misma Ley de enjuiciamiento criminal, para el ámbito del proceso penal abreviado, el cual se limita a prever a su vez, en lo que aquí interesa, que “la vista se celebrará empezando, en su caso, por la práctica de la prueba y por la reproducción de las grabaciones si hay lugar a ella. A continuación, las partes resumirán oralmente el resultado de la misma y el fundamento de sus pretensiones”.</w:t>
      </w:r>
    </w:p>
    <w:p w:rsidR="00AC56D6" w:rsidRDefault="00AC56D6" w:rsidP="00AC56D6">
      <w:pPr>
        <w:pStyle w:val="TextoNormal"/>
      </w:pPr>
    </w:p>
    <w:p w:rsidR="00AC56D6" w:rsidRDefault="00AC56D6" w:rsidP="00AC56D6">
      <w:pPr>
        <w:pStyle w:val="TextoNormal"/>
      </w:pPr>
      <w:r>
        <w:t>Aclarado esto, la lectura de las resoluciones impugnadas depara lo siguiente:</w:t>
      </w:r>
    </w:p>
    <w:p w:rsidR="00AC56D6" w:rsidRDefault="00AC56D6" w:rsidP="00AC56D6">
      <w:pPr>
        <w:pStyle w:val="TextoNormal"/>
      </w:pPr>
    </w:p>
    <w:p w:rsidR="00AC56D6" w:rsidRDefault="00AC56D6" w:rsidP="00AC56D6">
      <w:pPr>
        <w:pStyle w:val="TextoNormal"/>
      </w:pPr>
      <w:r>
        <w:t xml:space="preserve">a) El Auto de 27 de febrero de 2014 se limita a citar como fundamento, los arts. 19 (“1. Los litigantes están facultados para disponer del objeto del juicio y podrán renunciar, desistir del juicio, allanarse, someterse a mediación o a arbitraje y transigir sobre lo que sea objeto del mismo, excepto cuando la ley lo prohíba o establezca limitaciones por razones de interés general o en beneficio de tercero”) y 450.1 (“Todo recurrente podrá desistir del recurso antes de que sobre él recaiga resolución”) ambos de la Ley de enjuiciamiento civil (LEC); en </w:t>
      </w:r>
      <w:r>
        <w:lastRenderedPageBreak/>
        <w:t>virtud de los cuales, según el Auto, se da la “posibilidad de desistimiento de las partes del objeto del juicio y del derecho de recurso, como manifestación de la facultad de disposición que le confiere a aquéllas”.</w:t>
      </w:r>
    </w:p>
    <w:p w:rsidR="00AC56D6" w:rsidRDefault="00AC56D6" w:rsidP="00AC56D6">
      <w:pPr>
        <w:pStyle w:val="TextoNormal"/>
      </w:pPr>
    </w:p>
    <w:p w:rsidR="00AC56D6" w:rsidRDefault="00AC56D6" w:rsidP="00AC56D6">
      <w:pPr>
        <w:pStyle w:val="TextoNormal"/>
      </w:pPr>
      <w:r>
        <w:t>Pues bien, sin entrar en el debate —más propio de la legalidad ordinaria— sobre si resulta procedente la supletoriedad de la Ley de enjuiciamiento civil en el concreto ámbito de la apelación penal, basta para descartar este primer argumento considerando, como el propio Auto reconoce, que ambos preceptos se limitan a posibilitar el desistimiento de un recurso en virtud del poder dispositivo de la parte, nada más. Que tal voluntad se haya materializado en este caso, es justamente lo que hay que dilucidar.</w:t>
      </w:r>
    </w:p>
    <w:p w:rsidR="00AC56D6" w:rsidRDefault="00AC56D6" w:rsidP="00AC56D6">
      <w:pPr>
        <w:pStyle w:val="TextoNormal"/>
      </w:pPr>
    </w:p>
    <w:p w:rsidR="00AC56D6" w:rsidRDefault="00AC56D6" w:rsidP="00AC56D6">
      <w:pPr>
        <w:pStyle w:val="TextoNormal"/>
      </w:pPr>
      <w:r>
        <w:t>b) El posterior Auto de 24 de marzo de 2014, que revisa el fondo de la anterior resolución, confirma ésta incidiendo en la falta de prueba del error informático que se adujo para explicar la ausencia del Abogado y en la no justificación respecto de la Procuradora. Se apoya además en una doctrina de este Tribunal, con cita de la STC 196/1994, sobre el deber del órgano judicial de valorar la causa de la incomparecencia de profesionales al acto de la vista, de lo que infiere que la “necesidad de una interpretación favorecedora no se traduce en admitir una suerte de eficacia automática a cualesquiera declaraciones unilaterales recepticias de imposibilidad de asistencia”. Cita a renglón seguido el art. 894 LECrim y que la suspensión de la vista en casación por incomparecencia de los defensores queda a criterio de la Sala; y finaliza el Auto diciendo que únicamente el Abogado del Estado se había opuesto por escrito al recurso, mientras que las demás partes (Ministerio Fiscal y acción popular) habían reservado sus alegaciones al acto de la vista.</w:t>
      </w:r>
    </w:p>
    <w:p w:rsidR="00AC56D6" w:rsidRDefault="00AC56D6" w:rsidP="00AC56D6">
      <w:pPr>
        <w:pStyle w:val="TextoNormal"/>
      </w:pPr>
    </w:p>
    <w:p w:rsidR="00AC56D6" w:rsidRDefault="00AC56D6" w:rsidP="00AC56D6">
      <w:pPr>
        <w:pStyle w:val="TextoNormal"/>
      </w:pPr>
      <w:r>
        <w:t>Estos argumentos tampoco integran premisas lógicas para la conclusión alcanzada:</w:t>
      </w:r>
    </w:p>
    <w:p w:rsidR="00AC56D6" w:rsidRDefault="00AC56D6" w:rsidP="00AC56D6">
      <w:pPr>
        <w:pStyle w:val="TextoNormal"/>
      </w:pPr>
    </w:p>
    <w:p w:rsidR="00AC56D6" w:rsidRDefault="00AC56D6" w:rsidP="00AC56D6">
      <w:pPr>
        <w:pStyle w:val="TextoNormal"/>
      </w:pPr>
      <w:r>
        <w:t xml:space="preserve">(i) En primer lugar, porque el hecho de que tanto el Abogado como la Procuradora no hayan asistido a la vista, incluso por causa sólo a ellos imputable, no determina </w:t>
      </w:r>
      <w:r w:rsidRPr="00AC56D6">
        <w:rPr>
          <w:i/>
        </w:rPr>
        <w:t>per se</w:t>
      </w:r>
      <w:r>
        <w:t xml:space="preserve"> el desistimiento del recurso, precisándose por el contrario alguno de los dos requisitos ya indicados para atribuir tales efectos jurídicos: que una norma así lo establezca, o que conste la voluntad inequívoca del interesado. Servirá aquel dato, en fin, para descartar la responsabilidad del órgano judicial en el hecho de la incomparecencia, como antes explicamos, pero no para deducir por ello el fin de proceso.</w:t>
      </w:r>
    </w:p>
    <w:p w:rsidR="00AC56D6" w:rsidRDefault="00AC56D6" w:rsidP="00AC56D6">
      <w:pPr>
        <w:pStyle w:val="TextoNormal"/>
      </w:pPr>
    </w:p>
    <w:p w:rsidR="00AC56D6" w:rsidRDefault="00AC56D6" w:rsidP="00AC56D6">
      <w:pPr>
        <w:pStyle w:val="TextoNormal"/>
      </w:pPr>
      <w:r>
        <w:t>(ii) La doctrina a que alude el Auto, fue dictada por este Tribunal a propósito del derogado art. 83.2 de la Ley de procedimiento laboral de 1990, norma que regulaba el desistimiento del demandante cuando éste no acudía al acto del juicio de instancia (“Si el actor, citado en forma, no compareciese ni alegase justa causa que motive la suspensión del juicio, se le tendrá por desistido de su demanda”), y que ha sido trasladada el actual art. 83.2 de la Ley reguladora de la jurisdicción social 36/2011, de 10 de octubre, extendiendo tal efecto a su ausencia en el acto de conciliación.</w:t>
      </w:r>
    </w:p>
    <w:p w:rsidR="00AC56D6" w:rsidRDefault="00AC56D6" w:rsidP="00AC56D6">
      <w:pPr>
        <w:pStyle w:val="TextoNormal"/>
      </w:pPr>
    </w:p>
    <w:p w:rsidR="00AC56D6" w:rsidRDefault="00AC56D6" w:rsidP="00AC56D6">
      <w:pPr>
        <w:pStyle w:val="TextoNormal"/>
      </w:pPr>
      <w:r>
        <w:t xml:space="preserve">Se trata pues de un precepto que recogía —y recoge— expresamente la posibilidad de poner fin al proceso, en atención a “una especie de desistimiento tácito, en el que no hay manifestación o decisión expresa de retirarse del proceso, sino únicamente una presunción de abandono de la acción ejercitada, fundada en la incomparecencia del actor” (STC 21/1989, de 31 de enero, FJ 3, dictada a propósito del entonces vigente art. 74 párrafo tercero </w:t>
      </w:r>
      <w:r>
        <w:lastRenderedPageBreak/>
        <w:t>de la Ley de procedimiento laboral de 1980, cuyo texto es prácticamente idéntico al art. 83.2 de la Ley de procedimiento laboral de 1990).</w:t>
      </w:r>
    </w:p>
    <w:p w:rsidR="00AC56D6" w:rsidRDefault="00AC56D6" w:rsidP="00AC56D6">
      <w:pPr>
        <w:pStyle w:val="TextoNormal"/>
      </w:pPr>
    </w:p>
    <w:p w:rsidR="00AC56D6" w:rsidRDefault="00AC56D6" w:rsidP="00AC56D6">
      <w:pPr>
        <w:pStyle w:val="TextoNormal"/>
      </w:pPr>
      <w:r>
        <w:t xml:space="preserve">Debido a sus severas consecuencias, calificamos dicha presunción de </w:t>
      </w:r>
      <w:r w:rsidRPr="00AC56D6">
        <w:rPr>
          <w:i/>
        </w:rPr>
        <w:t>iuris tantum</w:t>
      </w:r>
      <w:r>
        <w:t>, la cual por tanto “podría ser destruida por el interesado mediante actos o pruebas que mostraran inequívocamente su voluntad de continuar el proceso o su oposición a la conclusión del mismo” [STC 95/1999, de 25 de octubre, FJ 3, con cita de las Sentencias precedentes, incluyendo la invocada por el Auto de la Sala de lo Penal —la 196/1994—; doctrina que arranca de aquella STC 21/1989, de 31 de enero, FJ 3]. Con el fin de brindar un sano equilibrio en el tratamiento judicial de esa presunción, además, añadimos que “tal interpretación no puede amparar actitudes carentes de la diligencia debida por parte del interesado, lesivas del derecho a la tutela judicial efectiva de la contraparte, de la garantía a un proceso sin dilaciones indebidas o a la regularidad, buen funcionamiento y, en definitiva, integridad objetiva del proceso” [STC 95/1999, FJ 3, con cita de otras anteriores].</w:t>
      </w:r>
    </w:p>
    <w:p w:rsidR="00AC56D6" w:rsidRDefault="00AC56D6" w:rsidP="00AC56D6">
      <w:pPr>
        <w:pStyle w:val="TextoNormal"/>
      </w:pPr>
    </w:p>
    <w:p w:rsidR="00AC56D6" w:rsidRDefault="00AC56D6" w:rsidP="00AC56D6">
      <w:pPr>
        <w:pStyle w:val="TextoNormal"/>
      </w:pPr>
      <w:r>
        <w:t>Pero no puede olvidarse, repetimos, que nuestras directrices (las mínimas esenciales para no conculcar el derecho de acceso del actor —art. 24.1 CE—) se refieren a un precepto expreso. De tal doctrina no puede por ello mismo extraerse la errónea conclusión, como hace el Auto de 24 de marzo de 2014 impugnado, de que también en todos los ámbitos jurisdiccionales donde no exista norma que así lo prevea, el legitimado activo tiene la carga de comparecer a la vista del proceso que ha instado, so pena de desistimiento de su acción; en este caso en sede de recurso de apelación contra sentencia de un tribunal de jurado.</w:t>
      </w:r>
    </w:p>
    <w:p w:rsidR="00AC56D6" w:rsidRDefault="00AC56D6" w:rsidP="00AC56D6">
      <w:pPr>
        <w:pStyle w:val="TextoNormal"/>
      </w:pPr>
    </w:p>
    <w:p w:rsidR="00AC56D6" w:rsidRDefault="00AC56D6" w:rsidP="00AC56D6">
      <w:pPr>
        <w:pStyle w:val="TextoNormal"/>
      </w:pPr>
      <w:r>
        <w:t>(iii) La invocación al art. 894 LECrim relativa al recurso de casación (“Admitido el recurso y señalado día para la vista por el Secretario judicial, se verificará ésta en audiencia pública, con asistencia del Ministerio fiscal y de los defensores de las partes. La incomparecencia injustificada de estos últimos no será, sin embargo, motivo de suspensión de la vista si la sala así lo estima…”), no arroja tampoco ninguna luz al problema: de un lado, porque de nuevo estamos ante un precepto que no se refiere a la terminación del proceso, sino exclusivamente a la celebración o no de uno de sus actos, aunque éste sea el de la vista.</w:t>
      </w:r>
    </w:p>
    <w:p w:rsidR="00AC56D6" w:rsidRDefault="00AC56D6" w:rsidP="00AC56D6">
      <w:pPr>
        <w:pStyle w:val="TextoNormal"/>
      </w:pPr>
    </w:p>
    <w:p w:rsidR="00AC56D6" w:rsidRDefault="00AC56D6" w:rsidP="00AC56D6">
      <w:pPr>
        <w:pStyle w:val="TextoNormal"/>
      </w:pPr>
      <w:r>
        <w:t>Y de otro lado, porque como incluso el Auto no desconoce, ni es automático que la suspensión se acuerde siempre, ni al contrario. Será la Sala del Alto Tribunal la que resuelva en cada caso lo que proceda, conforme a las circunstancias. Además, esa decisión puede ser revisada por este Tribunal si la no suspensión se acuerda sin una motivación razonada, estando justificada la ausencia por razón de enfermedad del profesional [SSTC 72/1993, de 1 de marzo, FJ 3; y 110/1994, de 11 de abril, FJ 4]; o aunque no quedare justificada, si se trata de un abogado o procurador designado de oficio, en aplicación de la doctrina ya citada antes (</w:t>
      </w:r>
      <w:r w:rsidRPr="00AC56D6">
        <w:rPr>
          <w:i/>
        </w:rPr>
        <w:t>supra</w:t>
      </w:r>
      <w:r>
        <w:t>, fundamento jurídico tercero) acerca del deber judicial de proveer al acusado de una defensa efectiva [STC 162/1993, de 18 de mayo, FJ 4].</w:t>
      </w:r>
    </w:p>
    <w:p w:rsidR="00AC56D6" w:rsidRDefault="00AC56D6" w:rsidP="00AC56D6">
      <w:pPr>
        <w:pStyle w:val="TextoNormal"/>
      </w:pPr>
    </w:p>
    <w:p w:rsidR="00AC56D6" w:rsidRDefault="00AC56D6" w:rsidP="00AC56D6">
      <w:pPr>
        <w:pStyle w:val="TextoNormal"/>
      </w:pPr>
      <w:r>
        <w:t>(iv) Por último, el dato de que una o más de las restantes partes hayan evacuado sus alegaciones por escrito o se reserven para la vista, deviene desde luego irrelevante.</w:t>
      </w:r>
    </w:p>
    <w:p w:rsidR="00AC56D6" w:rsidRDefault="00AC56D6" w:rsidP="00AC56D6">
      <w:pPr>
        <w:pStyle w:val="TextoNormal"/>
      </w:pPr>
    </w:p>
    <w:p w:rsidR="00AC56D6" w:rsidRDefault="00AC56D6" w:rsidP="00AC56D6">
      <w:pPr>
        <w:pStyle w:val="TextoNormal"/>
      </w:pPr>
      <w:r>
        <w:t xml:space="preserve">c) El Auto de 16 de mayo de 2014 que desestima el incidente de nulidad de actuaciones, tras negar que haya equiparado indebidamente los efectos del art. 846 bis d) (falta de personación ante el tribunal </w:t>
      </w:r>
      <w:r w:rsidRPr="00AC56D6">
        <w:rPr>
          <w:i/>
        </w:rPr>
        <w:t>ad quem</w:t>
      </w:r>
      <w:r>
        <w:t xml:space="preserve">) con los previstos en el art. 846 bis e) (regulación de la </w:t>
      </w:r>
      <w:r>
        <w:lastRenderedPageBreak/>
        <w:t>vista) LECrim, como le objetaba el apelante en su escrito de nulidad, emplea sus razonamientos en negar que se haya producido indefensión, incluyendo cita del ATC 148/1999, de 14 de junio, que reitera doctrina general sobre el contenido del derecho a no padecer indefensión del art. 24.1 CE y su no lesión cuando el ciudadano ha contribuido con su negligencia al resultado procesal del que luego se queja.</w:t>
      </w:r>
    </w:p>
    <w:p w:rsidR="00AC56D6" w:rsidRDefault="00AC56D6" w:rsidP="00AC56D6">
      <w:pPr>
        <w:pStyle w:val="TextoNormal"/>
      </w:pPr>
    </w:p>
    <w:p w:rsidR="00AC56D6" w:rsidRDefault="00AC56D6" w:rsidP="00AC56D6">
      <w:pPr>
        <w:pStyle w:val="TextoNormal"/>
      </w:pPr>
      <w:r>
        <w:t>Ahora bien, que el condenado apelante no pueda aducir indefensión para exigir la celebración de la vista con presencia de los profesionales por él designados, que de modo no justificado no hicieron acto de presencia en la misma, no permite inferir que dicho apelante haya manifestado con ello la voluntad de desistir de su recurso. Ha de recordarse, ante todo, que el apelante fue relevado de la carga de asistir a la vista atendiendo a su situación personal, interno en un centro penitenciario, por lo que tanto fue ignorante en tiempo real de lo que estaba sucediendo, como que en ningún momento ha prestado su consentimiento a tal finalización unilateral del procedimiento. Muy al contrario, si hay una voluntad expresa en las actuaciones es la de seguir adelante con el recurso, debiendo tomarse como dato indicador de tal voluntad, según ha señalado nuestra doctrina, el propio hecho de la interposición (a través de su representante procesal y su defensor) del escrito de apelación [STC 179/2014, de 3 de noviembre, FJ 4].</w:t>
      </w:r>
    </w:p>
    <w:p w:rsidR="00AC56D6" w:rsidRDefault="00AC56D6" w:rsidP="00AC56D6">
      <w:pPr>
        <w:pStyle w:val="TextoNormal"/>
      </w:pPr>
    </w:p>
    <w:p w:rsidR="00AC56D6" w:rsidRDefault="00AC56D6" w:rsidP="00AC56D6">
      <w:pPr>
        <w:pStyle w:val="TextoNormal"/>
      </w:pPr>
      <w:r>
        <w:t>Recapitulando, ninguno de los razonamientos jurídicos expuestos por la Sala permiten arrojar como conclusión la formalización de un desistimiento del recurso. Ni existe una norma que permita vincular la incomparecencia de profesionales en la vista de apelación contra sentencias de los tribunales de jurado, con tal mecanismo autocompositivo, ni consta la voluntad expresa e inequívoca del apelante ahora actor de este amparo, en tal sentido. Nos encontramos, por tanto, ante lo que hemos descrito en nuestra STC 214/1999, de 29 de noviembre, como un grupo de decisiones (tomando en su conjunto los tres Autos impugnados, también por separado) que vulneran el derecho a una resolución judicial jurídicamente fundada (art. 24.1 CE), porque “siguen un desarrollo argumental que incurre en quiebras lógicas de tal magnitud que las conclusiones alcanzadas no pueden considerarse basadas en ninguna de las razones aducidas”.</w:t>
      </w:r>
    </w:p>
    <w:p w:rsidR="00AC56D6" w:rsidRDefault="00AC56D6" w:rsidP="00AC56D6">
      <w:pPr>
        <w:pStyle w:val="TextoNormal"/>
      </w:pPr>
    </w:p>
    <w:p w:rsidR="00AC56D6" w:rsidRDefault="00AC56D6" w:rsidP="00AC56D6">
      <w:pPr>
        <w:pStyle w:val="TextoNormal"/>
      </w:pPr>
      <w:r>
        <w:t xml:space="preserve">Sin que resulte preciso pues, para apreciar la lesión, tener que aplicar el canon del </w:t>
      </w:r>
      <w:r w:rsidRPr="00AC56D6">
        <w:rPr>
          <w:i/>
        </w:rPr>
        <w:t>pro actione</w:t>
      </w:r>
      <w:r>
        <w:t xml:space="preserve"> a fin de medir la proporcionalidad de lo resuelto, lo que nos releva de tener que examinar el cumplimiento de este último por las resoluciones impugnadas.</w:t>
      </w:r>
    </w:p>
    <w:p w:rsidR="00AC56D6" w:rsidRDefault="00AC56D6" w:rsidP="00AC56D6">
      <w:pPr>
        <w:pStyle w:val="TextoNormal"/>
      </w:pPr>
    </w:p>
    <w:p w:rsidR="00AC56D6" w:rsidRDefault="00AC56D6" w:rsidP="00AC56D6">
      <w:pPr>
        <w:pStyle w:val="TextoNormal"/>
      </w:pPr>
      <w:r>
        <w:t xml:space="preserve">No corresponde desde luego a este Tribunal, en fin, determinar cuáles han de ser los efectos derivados de la falta de comparecencia de la procuradora y el abogado del recurrente al acto de la vista de 25 de febrero de 2014, tema de legalidad ordinaria que debe resolver la Sala de lo Penal competente en el marco de sus funciones, </w:t>
      </w:r>
      <w:r w:rsidRPr="00AC56D6">
        <w:rPr>
          <w:i/>
        </w:rPr>
        <w:t>ex</w:t>
      </w:r>
      <w:r>
        <w:t xml:space="preserve"> art. 117.3 CE. Nos limitamos en nuestro análisis a constatar que la </w:t>
      </w:r>
      <w:r w:rsidRPr="00AC56D6">
        <w:rPr>
          <w:i/>
        </w:rPr>
        <w:t>ratio decidendi</w:t>
      </w:r>
      <w:r>
        <w:t xml:space="preserve"> conforme a la cual se dictó el archivo del recurso, por supuesto desistimiento, no resulta respetuosa con el derecho a la doble instancia penal (art. 24.1 CE) que se invoca, al negarse al recurrente su derecho a obtener una decisión de fondo a sus pretensiones impugnatorias, en apreciación de una causa procesal impeditiva que en realidad no existe.</w:t>
      </w:r>
    </w:p>
    <w:p w:rsidR="00AC56D6" w:rsidRDefault="00AC56D6" w:rsidP="00AC56D6">
      <w:pPr>
        <w:pStyle w:val="TextoNormal"/>
      </w:pPr>
    </w:p>
    <w:p w:rsidR="00AC56D6" w:rsidRDefault="00AC56D6" w:rsidP="00AC56D6">
      <w:pPr>
        <w:pStyle w:val="TextoNormal"/>
      </w:pPr>
      <w:r>
        <w:lastRenderedPageBreak/>
        <w:t>Todo lo cual trae consigo la estimación de la primera queja de la demanda de amparo, sin que resulte necesario por ello mismo el examen de la segunda queja, relativa a la vulneración del derecho a la asistencia jurídica (art. 24.2 CE), por no haber designado la Sala a un abogado y procurador de oficio con los que poder celebrar la mencionada vista.</w:t>
      </w:r>
    </w:p>
    <w:p w:rsidR="00AC56D6" w:rsidRDefault="00AC56D6" w:rsidP="00AC56D6">
      <w:pPr>
        <w:pStyle w:val="TextoNormal"/>
      </w:pPr>
    </w:p>
    <w:p w:rsidR="00AC56D6" w:rsidRDefault="00AC56D6" w:rsidP="00AC56D6">
      <w:pPr>
        <w:pStyle w:val="TextoNormal"/>
      </w:pPr>
      <w:r w:rsidRPr="00AC56D6">
        <w:rPr>
          <w:rStyle w:val="NumeroAFNegritaCaracter"/>
        </w:rPr>
        <w:t>7</w:t>
      </w:r>
      <w:r>
        <w:t>. En consecuencia, procede declarar la nulidad de los tres Autos de la Sala de lo Penal del Tribunal Superior de Justicia de Canarias aquí impugnados (procedimiento núm. 2-2014); con retrotracción de las actuaciones al momento inmediatamente anterior al de dictarse la primera de tales resoluciones, Auto de 27 de febrero de 2014; debiendo proveer la Sala a la ausencia de la procuradora y del abogado del demandante de amparo, a la vista del pasado día 25 de febrero de 2014, en términos que resulten respetuosos con el derecho fundamental que le hemos reconocido.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Estimar el amparo interpuesto por don Pablo César Quinzo Quinzo y, en su virtud:</w:t>
      </w:r>
    </w:p>
    <w:p w:rsidR="00AC56D6" w:rsidRDefault="00AC56D6" w:rsidP="00AC56D6">
      <w:pPr>
        <w:pStyle w:val="TextoNormal"/>
      </w:pPr>
    </w:p>
    <w:p w:rsidR="00AC56D6" w:rsidRDefault="00AC56D6" w:rsidP="00AC56D6">
      <w:pPr>
        <w:pStyle w:val="TextoNormal"/>
      </w:pPr>
      <w:r>
        <w:t>1º Declarar que ha sido vulnerado su derecho fundamental a la tutela judicial efectiva (art. 24.1 CE), en su vertiente de derecho a la doble instancia penal.</w:t>
      </w:r>
    </w:p>
    <w:p w:rsidR="00AC56D6" w:rsidRDefault="00AC56D6" w:rsidP="00AC56D6">
      <w:pPr>
        <w:pStyle w:val="TextoNormal"/>
      </w:pPr>
    </w:p>
    <w:p w:rsidR="00AC56D6" w:rsidRDefault="00AC56D6" w:rsidP="00AC56D6">
      <w:pPr>
        <w:pStyle w:val="TextoNormal"/>
      </w:pPr>
      <w:r>
        <w:t>2º Restablecerlo en la integridad de su derecho y, a tal fin, declarar la nulidad de los Autos dictados por la Sala de lo Penal del Tribunal Superior de Justicia de Canarias en el procedimiento 2-2014, con fechas 27 de febrero de 2014; 24 de marzo de 2014 y 16 de mayo de 2014.</w:t>
      </w:r>
    </w:p>
    <w:p w:rsidR="00AC56D6" w:rsidRDefault="00AC56D6" w:rsidP="00AC56D6">
      <w:pPr>
        <w:pStyle w:val="TextoNormal"/>
      </w:pPr>
    </w:p>
    <w:p w:rsidR="00AC56D6" w:rsidRDefault="00AC56D6" w:rsidP="00AC56D6">
      <w:pPr>
        <w:pStyle w:val="TextoNormal"/>
      </w:pPr>
      <w:r>
        <w:t>3º Retrotraer las actuaciones hasta el momento inmediatamente anterior al de dictarse el primero de los tres Autos mencionados, a fin de que se dicte otra resolución respetuosa con el derecho fundamental a la doble instancia del recurrente, en los términos concretados en el anterior fundamento jurídico sexto.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veintiuno de septiembre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51" w:name="SENTENCIA_2015_195"/>
      <w:r>
        <w:lastRenderedPageBreak/>
        <w:t>SENTENCIA 195/2015, de 21 de septiembre de 2015</w:t>
      </w:r>
    </w:p>
    <w:bookmarkEnd w:id="51"/>
    <w:p w:rsidR="00AC56D6" w:rsidRDefault="00AC56D6" w:rsidP="00AC56D6">
      <w:pPr>
        <w:pStyle w:val="TtuloResolucin"/>
      </w:pPr>
      <w:r>
        <w:t>Sala Primera</w:t>
      </w:r>
    </w:p>
    <w:p w:rsidR="00AC56D6" w:rsidRDefault="00AC56D6" w:rsidP="00AC56D6">
      <w:pPr>
        <w:pStyle w:val="TtuloBOE"/>
      </w:pPr>
      <w:r>
        <w:t>(BOE núm. 260, de 30 de octubre de 2015)</w:t>
      </w:r>
    </w:p>
    <w:p w:rsidR="00AC56D6" w:rsidRDefault="00AC56D6" w:rsidP="00AC56D6">
      <w:pPr>
        <w:pStyle w:val="TextoNormalCentrado"/>
      </w:pPr>
      <w:r>
        <w:t>ECLI:ES:TC:2015:195</w:t>
      </w:r>
    </w:p>
    <w:p w:rsidR="00AC56D6" w:rsidRDefault="00AC56D6" w:rsidP="00AC56D6">
      <w:pPr>
        <w:pStyle w:val="TextoNormalCentrado"/>
      </w:pPr>
    </w:p>
    <w:p w:rsidR="00AC56D6" w:rsidRDefault="00AC56D6" w:rsidP="00AC56D6">
      <w:pPr>
        <w:pStyle w:val="SntesisDescriptiva"/>
      </w:pPr>
      <w:r>
        <w:t>Recurso de amparo 6011-2014. Promovido por el Ayuntamiento de Toledo en relación con las resoluciones dictadas por las Salas de lo Contencioso-Administrativo del Tribunal Supremo y del Tribunal Superior de Justicia de Castilla-La Mancha estimatorias de la impugnación de la Orden de la Consejería de Vivienda y Urbanismo, que aprobó definitivamente el plan de ordenación municipal de Toledo.</w:t>
      </w:r>
    </w:p>
    <w:p w:rsidR="00AC56D6" w:rsidRDefault="00AC56D6" w:rsidP="00AC56D6">
      <w:pPr>
        <w:pStyle w:val="SntesisDescriptiva"/>
      </w:pPr>
    </w:p>
    <w:p w:rsidR="00AC56D6" w:rsidRDefault="00AC56D6" w:rsidP="00AC56D6">
      <w:pPr>
        <w:pStyle w:val="SntesisAnaltica"/>
      </w:pPr>
      <w:r>
        <w:t>Vulneración de los derechos a la tutela judicial efectiva y a un proceso con todas las garantías: sentencia no fundada en Derecho porque inaplica una ley autonómica vigente sin plantear cuestión de inconstitucionalidad (STC 173/2002). Voto particular.</w:t>
      </w:r>
    </w:p>
    <w:p w:rsidR="00AC56D6" w:rsidRDefault="00AC56D6" w:rsidP="00AC56D6">
      <w:pPr>
        <w:pStyle w:val="SntesisAnaltica"/>
      </w:pPr>
    </w:p>
    <w:p w:rsidR="00AC56D6" w:rsidRDefault="00AC56D6" w:rsidP="00AC56D6">
      <w:pPr>
        <w:pStyle w:val="Extracto"/>
      </w:pPr>
      <w:r>
        <w:t>1.</w:t>
      </w:r>
      <w:r>
        <w:tab/>
        <w:t>La facultad de seleccionar la norma jurídica aplicable al caso concreto, inherente a la potestad de juzgar y privativa de los Jueces y Tribunales del Poder Judicial (art. 117.3 CE), a la que aluden las resoluciones impugnadas como fundamento de su decisión, no alcanza a desplazar una ley postconstitucional ante un eventual juicio de incompatibilidad con la Constitución, sin que a ello se oponga que la contradicción con la Constitución no sea directa, sino mediata, esto es por una eventual contradicción de la norma legal autonómica con la legislación estatal básica [FJ 7].</w:t>
      </w:r>
    </w:p>
    <w:p w:rsidR="00AC56D6" w:rsidRDefault="00AC56D6" w:rsidP="00AC56D6">
      <w:pPr>
        <w:pStyle w:val="Extracto"/>
      </w:pPr>
    </w:p>
    <w:p w:rsidR="00AC56D6" w:rsidRDefault="00AC56D6" w:rsidP="00AC56D6">
      <w:pPr>
        <w:pStyle w:val="Extracto"/>
      </w:pPr>
      <w:r>
        <w:t>2.</w:t>
      </w:r>
      <w:r>
        <w:tab/>
        <w:t>En las resoluciones que originan el amparo, la inaplicación de la norma autonómica al caso enjuiciado se produce al considerar los órganos jurisdiccionales que esta es contraria a la ley básica estatal; cuando lo correcto hubiese sido plantear la pertinente cuestión de inconstitucionalidad [FJ 6].</w:t>
      </w:r>
    </w:p>
    <w:p w:rsidR="00AC56D6" w:rsidRDefault="00AC56D6" w:rsidP="00AC56D6">
      <w:pPr>
        <w:pStyle w:val="Extracto"/>
      </w:pPr>
    </w:p>
    <w:p w:rsidR="00AC56D6" w:rsidRDefault="00AC56D6" w:rsidP="00AC56D6">
      <w:pPr>
        <w:pStyle w:val="Extracto"/>
      </w:pPr>
      <w:r>
        <w:t>3.</w:t>
      </w:r>
      <w:r>
        <w:tab/>
        <w:t>No existe una voluntad manifiesta de no aplicar la doctrina constitucional o una decisión consciente de soslayar la misma, sino que se sugiere una actitud respetuosa con la doctrina del Tribunal y ello con independencia del acierto de la decisión adoptada [FJ 5].</w:t>
      </w:r>
    </w:p>
    <w:p w:rsidR="00AC56D6" w:rsidRDefault="00AC56D6" w:rsidP="00AC56D6">
      <w:pPr>
        <w:pStyle w:val="Extracto"/>
      </w:pPr>
    </w:p>
    <w:p w:rsidR="00AC56D6" w:rsidRDefault="00AC56D6" w:rsidP="00AC56D6">
      <w:pPr>
        <w:pStyle w:val="Extracto"/>
      </w:pPr>
      <w:r>
        <w:t>4.</w:t>
      </w:r>
      <w:r>
        <w:tab/>
        <w:t>Comprobar si la calificación de lo básico realizada por el legislador ha sido correcta es función privativa de este Tribunal, que determina si la norma estatal se desenvuelve dentro del marco de las competencias del Estado y en consecuencia si la legislación autonómica infringe el bloque de distribución de competencias; motivo por el que los órganos judiciales, al inaplicar la norma legal autonómica por considerarla contraria a las bases estatales sin plantear la cuestión de inconstitucionalidad, desbordan los contornos de su potestad jurisdiccional, vulnerándose los derechos fundamentales consagrados en los arts. 24.1 y 24.2 CE (STC 156/1995) [FJ 7].</w:t>
      </w:r>
    </w:p>
    <w:p w:rsidR="00AC56D6" w:rsidRDefault="00AC56D6" w:rsidP="00AC56D6">
      <w:pPr>
        <w:pStyle w:val="Extracto"/>
      </w:pPr>
    </w:p>
    <w:p w:rsidR="00AC56D6" w:rsidRDefault="00AC56D6" w:rsidP="00AC56D6">
      <w:pPr>
        <w:pStyle w:val="Extracto"/>
      </w:pPr>
      <w:r>
        <w:t>5.</w:t>
      </w:r>
      <w:r>
        <w:tab/>
        <w:t xml:space="preserve">Este recurso da ocasión al Tribunal para aclarar o cambiar su doctrina, como consecuencia de un proceso de reflexión interna, en dos aspectos: determinar el alcance de la legitimación activa de un ente local como el Ayuntamiento de Toledo para impetrar amparo constitucional frente a las resoluciones impugnadas, y, en </w:t>
      </w:r>
      <w:r>
        <w:lastRenderedPageBreak/>
        <w:t>relación con el proceso aplicativo de las leyes, precisar los límites de las facultades inherentes a la potestad de juzgar, privativas de los Jueces y Tribunales (art. 117.3 CE) en orden a seleccionar la norma jurídica aplicable al caso concreto de entre las varias posibles, cuando son normas con rango de ley (STC 155/2009) [FJ 2].</w:t>
      </w:r>
    </w:p>
    <w:p w:rsidR="00AC56D6" w:rsidRDefault="00AC56D6" w:rsidP="00AC56D6">
      <w:pPr>
        <w:pStyle w:val="Extracto"/>
      </w:pPr>
    </w:p>
    <w:p w:rsidR="00AC56D6" w:rsidRDefault="00AC56D6" w:rsidP="00AC56D6">
      <w:pPr>
        <w:pStyle w:val="Extracto"/>
      </w:pPr>
      <w:r>
        <w:t>6.</w:t>
      </w:r>
      <w:r>
        <w:tab/>
        <w:t>Debe reconocerse legitimación al Ayuntamiento de Toledo, en tanto que ente local, para impetrar el auxilio de este tribunal a través del recurso de amparo [FJ 3].</w:t>
      </w:r>
    </w:p>
    <w:p w:rsidR="00AC56D6" w:rsidRDefault="00AC56D6" w:rsidP="00AC56D6">
      <w:pPr>
        <w:pStyle w:val="Extracto"/>
      </w:pPr>
    </w:p>
    <w:p w:rsidR="00AC56D6" w:rsidRDefault="00AC56D6" w:rsidP="00AC56D6">
      <w:pPr>
        <w:pStyle w:val="Extracto"/>
      </w:pPr>
      <w:r>
        <w:t>7.</w:t>
      </w:r>
      <w:r>
        <w:tab/>
        <w:t>Una Administración pública, una vez que ha accedido al proceso, tiene únicamente derecho a no sufrir indefensión, lo que supone el reconocimiento de las facultades inherentes a la condición de parte en el proceso previstas en el art. 24 CE y la posibilidad de impetrar el auxilio del Tribunal Constitucional en defensa de un acto dictado en el ejercicio de sus potestades administrativas (SSTC 41/1997; 237/2000; 175/2001; 56/2002; 173/2002 y 58/2004) [FJ 3].</w:t>
      </w:r>
    </w:p>
    <w:p w:rsidR="00AC56D6" w:rsidRDefault="00AC56D6" w:rsidP="00AC56D6">
      <w:pPr>
        <w:pStyle w:val="Extracto"/>
      </w:pPr>
    </w:p>
    <w:p w:rsidR="00AC56D6" w:rsidRDefault="00AC56D6" w:rsidP="00AC56D6">
      <w:pPr>
        <w:pStyle w:val="Extracto"/>
      </w:pPr>
      <w:r>
        <w:t>8.</w:t>
      </w:r>
      <w:r>
        <w:tab/>
        <w:t>Doctrina sobre sobre la titularidad de las Administraciones públicas de derechos fundamentales y la posibilidad de ostentar legitimación activa para interponer recurso de amparo (STC 164/2008) [FJ 3].</w:t>
      </w:r>
    </w:p>
    <w:p w:rsidR="00AC56D6" w:rsidRDefault="00AC56D6" w:rsidP="00AC56D6">
      <w:pPr>
        <w:pStyle w:val="Extracto"/>
      </w:pPr>
    </w:p>
    <w:p w:rsidR="00AC56D6" w:rsidRDefault="00AC56D6" w:rsidP="00AC56D6">
      <w:pPr>
        <w:pStyle w:val="Extracto"/>
      </w:pPr>
      <w:r>
        <w:t>9.</w:t>
      </w:r>
      <w:r>
        <w:tab/>
        <w:t>No cabe acoger la objeción de extemporaneidad planteada, ya que la formulación del incidente de nulidad de actuaciones no puede considerarse como un recurso manifiestamente improcedente cuya interposición conlleva un alargamiento indebido de la vía judicial previa al recurso de amparo [FJ 4].</w:t>
      </w:r>
    </w:p>
    <w:p w:rsidR="00AC56D6" w:rsidRDefault="00AC56D6" w:rsidP="00AC56D6">
      <w:pPr>
        <w:pStyle w:val="Extracto"/>
      </w:pPr>
    </w:p>
    <w:p w:rsidR="00AC56D6" w:rsidRDefault="00AC56D6" w:rsidP="00AC56D6">
      <w:pPr>
        <w:pStyle w:val="Extracto"/>
      </w:pPr>
      <w:r>
        <w:t>10.</w:t>
      </w:r>
      <w:r>
        <w:tab/>
        <w:t>El propio órgano judicial, que admitió a trámite y dio traslado de la pretensión anulatoria a las demás partes, entró a conocer sobre el fondo de las quejas formuladas por el demandante de amparo y desestimó las vulneraciones atribuidas a la resolución impugnada [FJ 4].</w:t>
      </w:r>
    </w:p>
    <w:p w:rsidR="00AC56D6" w:rsidRDefault="00AC56D6" w:rsidP="00AC56D6">
      <w:pPr>
        <w:pStyle w:val="Extracto"/>
      </w:pPr>
    </w:p>
    <w:p w:rsidR="00AC56D6" w:rsidRDefault="00AC56D6" w:rsidP="00AC56D6">
      <w:pPr>
        <w:pStyle w:val="Extracto"/>
      </w:pPr>
      <w:r>
        <w:t>11.</w:t>
      </w:r>
      <w:r>
        <w:tab/>
        <w:t>Cuando el incidente de nulidad de actuaciones –pese a haber sido interpuesto de modo que pudiera resultar dudoso con su regulación legal– es admitido a trámite, analizado y resuelto por el órgano judicial, debe rechazarse este óbice procesal si la demanda de amparo se presenta ante este Tribunal dentro del plazo establecido (SSTC 76/2009, FJ 2; 66/2011, FJ 2; 68/2014, de 5 de mayo) [FJ 4].</w:t>
      </w:r>
    </w:p>
    <w:p w:rsidR="00AC56D6" w:rsidRDefault="00AC56D6" w:rsidP="00AC56D6">
      <w:pPr>
        <w:pStyle w:val="Extracto"/>
      </w:pPr>
    </w:p>
    <w:p w:rsidR="00AC56D6" w:rsidRDefault="00AC56D6" w:rsidP="00AC56D6">
      <w:pPr>
        <w:pStyle w:val="Extracto"/>
      </w:pPr>
      <w:r>
        <w:t>12.</w:t>
      </w:r>
      <w:r>
        <w:tab/>
        <w:t>Se determina la retroacción de actuaciones al momento inmediatamente anterior a dictarse la Sentencia de la Sala de lo Contencioso-Administrativo del Tribunal Superior de Justicia de Castilla-La Mancha, como solicita el Ministerio Fiscal, a los efectos de que por dicho Tribunal se dicte otra resolución que resulte respetuosa con los derechos fundamentales reconocidos [FJ 8].</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C56D6" w:rsidRDefault="00AC56D6" w:rsidP="00AC56D6">
      <w:pPr>
        <w:pStyle w:val="TextoNormal"/>
      </w:pPr>
    </w:p>
    <w:p w:rsidR="00AC56D6" w:rsidRDefault="00AC56D6" w:rsidP="00AC56D6">
      <w:pPr>
        <w:pStyle w:val="TextoNormalCentrado"/>
        <w:keepNext/>
      </w:pPr>
      <w:r>
        <w:lastRenderedPageBreak/>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amparo núm. 6011-2014, promovido por don Alberto Collado Martín, Procurador de los Tribunales y del Ayuntamiento de Toledo, bajo la dirección del Letrado don Santiago Muñoz Machado, contra el Auto de la Sección Quinta de la Sala de lo Contencioso-Administrativo del Tribunal Supremo de fecha 15 de julio de 2014; la Sentencia de 27 de febrero de 2014, dictada en el recurso de casación núm. 5116-2011, de la misma Sala y Sección; y la Sentencia de 26 de julio de 2011, dictada por la Sección Primera de la Sala de lo Contencioso-Administrativo del Tribunal Superior de Justicia de Castila-La Mancha que estima el recurso contencioso-administrativo núm. 556-2007, formulado contra la Orden de 26 de marzo de 2007 de la Consejería de Vivienda y Urbanismo que aprueba definitivamente el plan de ordenación municipal de Toledo. Han intervenido la Junta de Comunidades de Castilla-La Mancha, las entidades Miratorre, S.A., y La Enredadera, S.A., y otras cuarenta y siete personas más a través de la representación obrante en el procedimiento, así como el Ministerio Fiscal. Ha sido Ponente el Magistrado don Santiago Martínez-Vares García,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presentado en el Registro General de este Tribunal el día 7 de octubre de 2014, el Procurador de los Tribunales don Alberto Collado Martín, en representación del Ayuntamiento de Toledo, interpuso recurso de amparo contra la Sentencia de la Sección Primera de la Sala de lo Contencioso-Administrativo del Tribunal Superior de Justicia de Castilla-La Mancha de 26 de julio de 2011, que estima el recurso contencioso-administrativo núm. 556-2007, formulado contra la Orden de 26 de marzo de 2007 de la Consejería de Vivienda y Urbanismo que aprueba definitivamente el plan de ordenación municipal de Toledo; y contra la Sentencia de 27 de febrero de 2014 de la Sección Quinta de la Sala de lo Contencioso-Administrativo del Tribunal Supremo, que desestimó el recurso de casación núm. 207-2011, interpuesto contra la anterior; así como contra el Auto de 15 de julio de 2014, de la misma Sala y Sección que desestimó el incidente de nulidad de actuaciones y confirmó la anterior Sentencia.</w:t>
      </w:r>
    </w:p>
    <w:p w:rsidR="00AC56D6" w:rsidRDefault="00AC56D6" w:rsidP="00AC56D6">
      <w:pPr>
        <w:pStyle w:val="TextoNormal"/>
      </w:pPr>
    </w:p>
    <w:p w:rsidR="00AC56D6" w:rsidRDefault="00AC56D6" w:rsidP="00AC56D6">
      <w:pPr>
        <w:pStyle w:val="TextoNormal"/>
      </w:pPr>
      <w:r w:rsidRPr="00AC56D6">
        <w:rPr>
          <w:rStyle w:val="NumeroAFNegritaCaracter"/>
        </w:rPr>
        <w:t>2</w:t>
      </w:r>
      <w:r>
        <w:t>. Los hechos de los que trae causa la demanda, relevantes para resolver el recurso de amparo interpuesto, son, en síntesis, los siguientes:</w:t>
      </w:r>
    </w:p>
    <w:p w:rsidR="00AC56D6" w:rsidRDefault="00AC56D6" w:rsidP="00AC56D6">
      <w:pPr>
        <w:pStyle w:val="TextoNormal"/>
      </w:pPr>
    </w:p>
    <w:p w:rsidR="00AC56D6" w:rsidRDefault="00AC56D6" w:rsidP="00AC56D6">
      <w:pPr>
        <w:pStyle w:val="TextoNormal"/>
      </w:pPr>
      <w:r>
        <w:t>a) Ante la Sala de lo Contencioso-Administrativo del Tribunal Superior de Justicia de Castilla-La Mancha se entabló recurso contencioso administrativo, interpuesto por don Franco Martín Martín y doña Pilar Gómez Colino contra la Orden de 26 de marzo de 2007 de la Consejería de Vivienda y Urbanismo de la Junta de Comunidades de Castilla-La Mancha por la que se aprueba definitivamente el plan de ordenación municipal de Toledo.</w:t>
      </w:r>
    </w:p>
    <w:p w:rsidR="00AC56D6" w:rsidRDefault="00AC56D6" w:rsidP="00AC56D6">
      <w:pPr>
        <w:pStyle w:val="TextoNormal"/>
      </w:pPr>
    </w:p>
    <w:p w:rsidR="00AC56D6" w:rsidRDefault="00AC56D6" w:rsidP="00AC56D6">
      <w:pPr>
        <w:pStyle w:val="TextoNormal"/>
      </w:pPr>
      <w:r>
        <w:lastRenderedPageBreak/>
        <w:t>La parte actora en el recurso contencioso-administrativo alegó que el plan de ordenación municipal de Toledo era nulo de pleno Derecho porque se habían realizado modificaciones sustanciales sin someterlo nuevamente al trámite de información pública.</w:t>
      </w:r>
    </w:p>
    <w:p w:rsidR="00AC56D6" w:rsidRDefault="00AC56D6" w:rsidP="00AC56D6">
      <w:pPr>
        <w:pStyle w:val="TextoNormal"/>
      </w:pPr>
    </w:p>
    <w:p w:rsidR="00AC56D6" w:rsidRDefault="00AC56D6" w:rsidP="00AC56D6">
      <w:pPr>
        <w:pStyle w:val="TextoNormal"/>
      </w:pPr>
      <w:r>
        <w:t>La representación de la Junta de Comunidades de Castilla-La Mancha y el Ayuntamiento de Toledo, se opusieron a la demanda al considerar que no era necesario someter nuevamente el proyecto de planeamiento a nueva información pública aunque se introdujeran modificaciones en el proyecto cualquiera que fuera el alcance de éstas, en atención a lo dispuesto en el art. 36.2 A) párrafo segundo (debe entenderse referido al párrafo tercero), del texto refundido de la Ley de ordenación del territorio y de la actividad urbanística en Castilla-La Mancha y el art. 135.2 del Reglamento de planeamiento aprobado por Decreto 284/2004.</w:t>
      </w:r>
    </w:p>
    <w:p w:rsidR="00AC56D6" w:rsidRDefault="00AC56D6" w:rsidP="00AC56D6">
      <w:pPr>
        <w:pStyle w:val="TextoNormal"/>
      </w:pPr>
    </w:p>
    <w:p w:rsidR="00AC56D6" w:rsidRDefault="00AC56D6" w:rsidP="00AC56D6">
      <w:pPr>
        <w:pStyle w:val="TextoNormal"/>
      </w:pPr>
      <w:r>
        <w:t>b) La Sentencia de 26 de julio de 2011 de la Sección Primera de la Sala de lo Contencioso-Administrativo del Tribunal Superior de Justicia, estimó el recurso formulado contra la citada Orden, anuló la misma y acordó la retroacción de las actuaciones. La Sentencia razonaba que los referidos preceptos autonómicos, que avalaban la inexigibilidad de un nuevo trámite de audiencia en caso de introducción de modificaciones en el proyecto de planeamiento eran inaplicables por infringir el art. 6.1 de la Ley 6/1998, sobre régimen del suelo y valoraciones (en adelante LRSV), así como la doctrina de la Sala Tercera del Tribunal Supremo sobre el trámite de información pública en la elaboración de los instrumentos de planeamiento. En tal sentido, transcribía la STS de 9 de diciembre de 2008, en cuyos razonamientos se justificaba el no planteamiento de la cuestión de inconstitucionalidad contra el precepto de la Ley autonómica, al no tratarse de la inaplicación de una norma sino de la elección del derecho aplicable al caso controvertido.</w:t>
      </w:r>
    </w:p>
    <w:p w:rsidR="00AC56D6" w:rsidRDefault="00AC56D6" w:rsidP="00AC56D6">
      <w:pPr>
        <w:pStyle w:val="TextoNormal"/>
      </w:pPr>
    </w:p>
    <w:p w:rsidR="00AC56D6" w:rsidRDefault="00AC56D6" w:rsidP="00AC56D6">
      <w:pPr>
        <w:pStyle w:val="TextoNormal"/>
      </w:pPr>
      <w:r>
        <w:t>c) Los demandados formularon recurso de casación. Basaban el recurso, entre otros motivos en que la Sala había incurrido en un exceso de jurisdicción al estar obligada a aplicar el art. 36.2 A) del texto refundido de la Ley de ordenación del territorio y de la actividad urbanística, salvo que planteara cuestión de inconstitucionalidad conforme a lo dispuesto en los arts. 163 CE y 35.1 de la Ley Orgánica del Tribunal Constitucional (LOTC) y el art. 5.2 de la Ley Orgánica del Poder Judicial (LOPJ), citando en su apoyo, entre otras, las SSTC 61/1993, 163/1995, 173/2002, 58/2004 y 66/2011. Alegaban también que se había conculcado el orden competencial establecido en los arts. 148.1.3 CE y 31.1.2 del Estatuto de Autonomía de Castilla-La Mancha.</w:t>
      </w:r>
    </w:p>
    <w:p w:rsidR="00AC56D6" w:rsidRDefault="00AC56D6" w:rsidP="00AC56D6">
      <w:pPr>
        <w:pStyle w:val="TextoNormal"/>
      </w:pPr>
    </w:p>
    <w:p w:rsidR="00AC56D6" w:rsidRDefault="00AC56D6" w:rsidP="00AC56D6">
      <w:pPr>
        <w:pStyle w:val="TextoNormal"/>
      </w:pPr>
      <w:r>
        <w:t xml:space="preserve">d) La Sentencia de la Sala de lo Contencioso-Administrativo del Tribunal Supremo, de 27 de febrero de 2014, desestimó el recurso de casación. En la misma se transcribe el fundamento quinto de la STS de 13 de mayo de 2013, en la que entiende que lo resuelto por la STC 187/2012, de 29 de octubre, se circunscribía, según su propio tenor literal al “caso de autos” o al “caso concreto”, pues como en la STC 187/2012 se indica: “forma parte del conjunto de las facultades inherentes a la potestad de juzgar, privativa de los Jueces y Tribunales del Poder Judicial por mandato de la propia Constitución (art. 117.3), la de seleccionar la norma jurídica aplicable al caso concreto de entre las varias posibles, su interpretación y la subsunción en ellas de los hechos …(SSTC 76/1995, de 22 de mayo, FJ 5; 173/2002, de 9 de octubre, FJ 10; y 58/2004, de 19 de abril, FJ 14). En consecuencia, ninguna tacha de constitucionalidad podría merecer la determinación de la norma aplicable al caso por el juez ordinario”. La STS considera que seleccionar la norma aplicable, sin incluir </w:t>
      </w:r>
      <w:r>
        <w:lastRenderedPageBreak/>
        <w:t>ningún juicio eventual de constitucionalidad de normas autonómicas, no excede de los cometidos del Tribunal Supremo. Recoge los argumentos expuestos en la STS de 9 de diciembre de 2008, en la que se reconocía el carácter básico del art. 6.1 de la Ley 6/1998 y la inobservancia que supone que la regulación urbanística autonómica excluya la segunda información pública, aun cuando el documento de planeamiento aprobado inicialmente haya sufrido modificaciones sustanciales, sin ofrecer cauce alguno para cumplir el mandato contenido en la norma básica. Sostiene que del art. 149.3 CE se deriva la conclusión de que no siendo posible una interpretación autonómica que la haga conciliable con la legislación básica, la resolución de la controversia debe basarse en la aplicación de la norma básica dictada por el legislador estatal en ejercicio de competencias exclusivas.</w:t>
      </w:r>
    </w:p>
    <w:p w:rsidR="00AC56D6" w:rsidRDefault="00AC56D6" w:rsidP="00AC56D6">
      <w:pPr>
        <w:pStyle w:val="TextoNormal"/>
      </w:pPr>
    </w:p>
    <w:p w:rsidR="00AC56D6" w:rsidRDefault="00AC56D6" w:rsidP="00AC56D6">
      <w:pPr>
        <w:pStyle w:val="TextoNormal"/>
      </w:pPr>
      <w:r>
        <w:t>e) El 2 de abril de 2014, el Ayuntamiento de Toledo interpuso incidente de nulidad de actuaciones ante la misma Sección Quinta de la Sala Tercera de lo Contencioso-Administrativo del Tribunal Supremo, solicitando que se dictase una nueva sentencia respetuosa con los arts. 24.1 y 2 CE.</w:t>
      </w:r>
    </w:p>
    <w:p w:rsidR="00AC56D6" w:rsidRDefault="00AC56D6" w:rsidP="00AC56D6">
      <w:pPr>
        <w:pStyle w:val="TextoNormal"/>
      </w:pPr>
    </w:p>
    <w:p w:rsidR="00AC56D6" w:rsidRDefault="00AC56D6" w:rsidP="00AC56D6">
      <w:pPr>
        <w:pStyle w:val="TextoNormal"/>
      </w:pPr>
      <w:r>
        <w:t>f) Finalmente, tras admitir a trámite el incidente de nulidad de actuaciones, dando traslado a la otra parte personada por providencia de 30 de abril de 2014, dictó Auto acordando desestimar el incidente, argumentando que “al seleccionar esta Sala la norma aplicable al caso, sin realizar juicio alguno acerca de la constitucionalidad del ordenamiento autonómico, ha procedido conforme a sus potestades jurisdiccionales de resolver el pleito sustanciado sin haberse, por tanto, vulnerado el derecho a la tutela judicial efectiva y a un proceso justo del Ayuntamiento promotor del incidente, según esta misma Sala ha resuelto en su Auto de fecha 30 de abril de 2013 (recurso de casación 3013/2010) y en la propia sentencia cuya nulidad ahora se pide, razones por las que procede la desestimación de lo pedido por dicho Ayuntamiento … Los razonamientos expuestos conducen a la desestimación del incidente de nulidad de actuaciones”.</w:t>
      </w:r>
    </w:p>
    <w:p w:rsidR="00AC56D6" w:rsidRDefault="00AC56D6" w:rsidP="00AC56D6">
      <w:pPr>
        <w:pStyle w:val="TextoNormal"/>
      </w:pPr>
    </w:p>
    <w:p w:rsidR="00AC56D6" w:rsidRDefault="00AC56D6" w:rsidP="00AC56D6">
      <w:pPr>
        <w:pStyle w:val="TextoNormal"/>
      </w:pPr>
      <w:r w:rsidRPr="00AC56D6">
        <w:rPr>
          <w:rStyle w:val="NumeroAFNegritaCaracter"/>
        </w:rPr>
        <w:t>3</w:t>
      </w:r>
      <w:r>
        <w:t>. El recurrente en amparo dirige la demanda, por vulneración de sus derechos fundamentales a la tutela judicial efectiva sin indefensión y a un proceso con todas las garantías (art. 24.1 y 2 CE), contra las Sentencias y Auto mencionados en el encabezamiento, solicitando que se declare la nulidad de las mismas, retrotrayendo las actuaciones al momento inmediatamente anterior al pronunciamiento del recurso de casación, apelando directamente a la Sala Tercera del Tribunal Supremo para que proceda al acatamiento estricto de la doctrina del Tribunal Constitucional.</w:t>
      </w:r>
    </w:p>
    <w:p w:rsidR="00AC56D6" w:rsidRDefault="00AC56D6" w:rsidP="00AC56D6">
      <w:pPr>
        <w:pStyle w:val="TextoNormal"/>
      </w:pPr>
    </w:p>
    <w:p w:rsidR="00AC56D6" w:rsidRDefault="00AC56D6" w:rsidP="00AC56D6">
      <w:pPr>
        <w:pStyle w:val="TextoNormal"/>
      </w:pPr>
      <w:r>
        <w:t>En primer lugar denuncia, que las resoluciones judiciales dictadas en el proceso se apartan de modo consciente de la doctrina constitucional recogida, entre otras muchas, en las SSTC 73/2000, 104/2000, 120/2000, 173/2002, 66/2011, 187/2012, o 177/2013, lo que supone una quiebra del mandato recogido en el art. 5.1 LOPJ, de lo que resulta la vulneración del derecho a la tutela judicial efectiva.</w:t>
      </w:r>
    </w:p>
    <w:p w:rsidR="00AC56D6" w:rsidRDefault="00AC56D6" w:rsidP="00AC56D6">
      <w:pPr>
        <w:pStyle w:val="TextoNormal"/>
      </w:pPr>
    </w:p>
    <w:p w:rsidR="00AC56D6" w:rsidRDefault="00AC56D6" w:rsidP="00AC56D6">
      <w:pPr>
        <w:pStyle w:val="TextoNormal"/>
      </w:pPr>
      <w:r>
        <w:t xml:space="preserve">Afirma que las resoluciones judiciales han incurrido en un exceso de jurisdicción por inaplicación de las leyes autonómicas vigentes en materia de urbanismo sin el previo planteamiento de la cuestión de inconstitucionalidad, con expresa vulneración de lo declarado en supuestos idénticos por el Tribunal Constitucional (entre otras en SSTC 187/2012 o 177/2013), cuando afirma que “la depuración del ordenamiento legal, vigente en la Constitución, corresponde de forma exclusiva al Tribunal Constitucional”. Considera el recurrente </w:t>
      </w:r>
      <w:r>
        <w:lastRenderedPageBreak/>
        <w:t>que “al vulnerar una de las garantías que integran el contenido del proceso debido, se ha colocado al Ayuntamiento de Toledo recurrente en amparo en situación de efectiva indefensión pues ni tuvo oportunidad ni ocasión de prever, dado el sometimiento judicial al imperio de la ley, tal preterición del sistema de fuentes, ni pudo hacer uso del trámite de alegaciones del artículo 35 LOTC”.</w:t>
      </w:r>
    </w:p>
    <w:p w:rsidR="00AC56D6" w:rsidRDefault="00AC56D6" w:rsidP="00AC56D6">
      <w:pPr>
        <w:pStyle w:val="TextoNormal"/>
      </w:pPr>
    </w:p>
    <w:p w:rsidR="00AC56D6" w:rsidRDefault="00AC56D6" w:rsidP="00AC56D6">
      <w:pPr>
        <w:pStyle w:val="TextoNormal"/>
      </w:pPr>
      <w:r>
        <w:t>Finalmente, dedica el apartado cuarto a justificar la especial trascendencia constitucional.</w:t>
      </w:r>
    </w:p>
    <w:p w:rsidR="00AC56D6" w:rsidRDefault="00AC56D6" w:rsidP="00AC56D6">
      <w:pPr>
        <w:pStyle w:val="TextoNormal"/>
      </w:pPr>
    </w:p>
    <w:p w:rsidR="00AC56D6" w:rsidRDefault="00AC56D6" w:rsidP="00AC56D6">
      <w:pPr>
        <w:pStyle w:val="TextoNormal"/>
      </w:pPr>
      <w:r w:rsidRPr="00AC56D6">
        <w:rPr>
          <w:rStyle w:val="NumeroAFNegritaCaracter"/>
        </w:rPr>
        <w:t>4</w:t>
      </w:r>
      <w:r>
        <w:t>. En virtud de providencia de la Sala Primera, de 25 de mayo de 2015, se acordó la admisión a trámite de la demanda de amparo, “apreciando que concurre en el mismo una especial trascendencia constitucional (art. 50.1 LOTC) porque el recurso puede dar ocasión al Tribunal para aclarar o cambiar su doctrina, como consecuencia de un proceso de reflexión interna [STC 155/2009, FJ 2 b)]”, y se acordó dirigir atenta comunicación a la Sala de lo Contencioso-Administrativo del Tribunal Supremo, Sección Quinta, y a la Sección Primera de la Sala de lo Contencioso-Administrativo del Tribunal Superior de Justicia de Castilla-La Mancha, para que en el plazo de diez días remitieran certificación o fotocopia adverada de las actuaciones correspondientes al recurso de casación núm. 5116-2011 y del procedimiento ordinario núm. 556-2007, seguido respectivamente ante los mismos y practicaran los emplazamientos correspondientes. También se acordó en la misma formar la correspondiente pieza separada de suspensión, que previa la correspondiente tramitación, fue resuelta por Auto de esta Sala de 6 de julio de 2015.</w:t>
      </w:r>
    </w:p>
    <w:p w:rsidR="00AC56D6" w:rsidRDefault="00AC56D6" w:rsidP="00AC56D6">
      <w:pPr>
        <w:pStyle w:val="TextoNormal"/>
      </w:pPr>
    </w:p>
    <w:p w:rsidR="00AC56D6" w:rsidRDefault="00AC56D6" w:rsidP="00AC56D6">
      <w:pPr>
        <w:pStyle w:val="TextoNormal"/>
      </w:pPr>
      <w:r w:rsidRPr="00AC56D6">
        <w:rPr>
          <w:rStyle w:val="NumeroAFNegritaCaracter"/>
        </w:rPr>
        <w:t>5</w:t>
      </w:r>
      <w:r>
        <w:t>. Mediante escrito registrado en este Tribunal el día 11 de junio de 2015, el Procurador de los Tribunales don Francisco Velasco Muñoz-Cuéllar, compareció en representación de la Junta de Comunidades de Castilla-La Mancha, solicitando se la tuviera por personada. La misma solicitud se efectuó por escritos presentados el 16 de junio de 2015 por el Procurador de los Tribunales don Fernando Anaya García en representación de la entidad Miratorre, S.A.; y el 19 de junio de 2015, por el Procurador de los Tribunales don Miguel Torres Álvarez, en representación de la entidad La Enredadera, S.A., y otras cuarenta y siete personas más. Por diligencia de ordenación de la Secretaría de Justicia de la Sala Primera de este Tribunal, de 26 de junio de 2015, se les tuvo por personados y parte en las respectivas representaciones, acordándose abrir el plazo común de veinte días al Ministerio Fiscal y a las partes personadas, de conformidad con el art. 52 LOTC, para que pudieran presentar alegaciones.</w:t>
      </w:r>
    </w:p>
    <w:p w:rsidR="00AC56D6" w:rsidRDefault="00AC56D6" w:rsidP="00AC56D6">
      <w:pPr>
        <w:pStyle w:val="TextoNormal"/>
      </w:pPr>
    </w:p>
    <w:p w:rsidR="00AC56D6" w:rsidRDefault="00AC56D6" w:rsidP="00AC56D6">
      <w:pPr>
        <w:pStyle w:val="TextoNormal"/>
      </w:pPr>
      <w:r w:rsidRPr="00AC56D6">
        <w:rPr>
          <w:rStyle w:val="NumeroAFNegritaCaracter"/>
        </w:rPr>
        <w:t>6</w:t>
      </w:r>
      <w:r>
        <w:t>. Por escrito de 22 de julio de 2015 formuló alegaciones la Junta de Comunidades de Castilla-La Mancha, haciendo suyas las alegaciones efectuadas por el Ayuntamiento de Toledo e interesando el otorgamiento del amparo.</w:t>
      </w:r>
    </w:p>
    <w:p w:rsidR="00AC56D6" w:rsidRDefault="00AC56D6" w:rsidP="00AC56D6">
      <w:pPr>
        <w:pStyle w:val="TextoNormal"/>
      </w:pPr>
    </w:p>
    <w:p w:rsidR="00AC56D6" w:rsidRDefault="00AC56D6" w:rsidP="00AC56D6">
      <w:pPr>
        <w:pStyle w:val="TextoNormal"/>
      </w:pPr>
      <w:r>
        <w:t xml:space="preserve">Argumenta que de la comparación del art. 6.1 LRSV y el art. 36 del texto refundido de la Ley de ordenación del territorio y de la actividad urbanística, no se observa contradicción alguna, sino el desarrollo por parte de la Junta de Comunidades del precepto estatal, sin que, por otra parte exista un contenido concreto del derecho de participación en el art. 105 a) CE. Indica que el art. 6.1 LRSV solo garantiza la participación pública en los procesos de planeamiento. Razona que la relación entre ambos preceptos no es de jerarquía sino de competencia y en caso de colisión la aplicación de la norma autonómica es obligada, siendo la </w:t>
      </w:r>
      <w:r>
        <w:lastRenderedPageBreak/>
        <w:t>única vía para no aplicarla el planteamiento de la cuestión de inconstitucionalidad, citando en tal sentido las SSTC 66/2001, 187/2012 y 177/2013.</w:t>
      </w:r>
    </w:p>
    <w:p w:rsidR="00AC56D6" w:rsidRDefault="00AC56D6" w:rsidP="00AC56D6">
      <w:pPr>
        <w:pStyle w:val="TextoNormal"/>
      </w:pPr>
    </w:p>
    <w:p w:rsidR="00AC56D6" w:rsidRDefault="00AC56D6" w:rsidP="00AC56D6">
      <w:pPr>
        <w:pStyle w:val="TextoNormal"/>
      </w:pPr>
      <w:r>
        <w:t>La Junta de Comunidades de Castilla-La Mancha entiende que las resoluciones impugnadas realizan un estudio aislado del art. 6.1 LRSV, que contraviene su letra y espíritu, para darle un contenido del que carece. En lugar de integrar el precepto con la norma autonómica, le adiciona los requisitos de preceptos de naturaleza puramente reglamentaria, no aplicables a la Comunidad de Castilla-La Mancha conforme a la STC 61/1997, al haber asumido la competencia exclusiva en materia de ordenación del territorio, urbanismo y vivienda en el art. 31.1.2 de su Estatuto de Autonomía. Dicha competencia ha sido desarrollada completamente mediante el texto refundido de la Ley de ordenación del territorio y de la actividad urbanística y el Decreto autonómico 248/2004, de 14 de septiembre, que aprueba el Reglamento de planeamiento.</w:t>
      </w:r>
    </w:p>
    <w:p w:rsidR="00AC56D6" w:rsidRDefault="00AC56D6" w:rsidP="00AC56D6">
      <w:pPr>
        <w:pStyle w:val="TextoNormal"/>
      </w:pPr>
    </w:p>
    <w:p w:rsidR="00AC56D6" w:rsidRDefault="00AC56D6" w:rsidP="00AC56D6">
      <w:pPr>
        <w:pStyle w:val="TextoNormal"/>
      </w:pPr>
      <w:r w:rsidRPr="00AC56D6">
        <w:rPr>
          <w:rStyle w:val="NumeroAFNegritaCaracter"/>
        </w:rPr>
        <w:t>7</w:t>
      </w:r>
      <w:r>
        <w:t>. Por escrito de 23 de julio de 2015, la representación de la entidad Miratorre, S.A., formuló alegaciones. Tras justificar el interés que determina la personación en el procedimiento, interesa la desestimación del recurso de amparo, argumentando de modo sustancialmente coincidente a como lo hicieran las Sentencias. Finalmente con cita del Voto particular contenido en la STC 187/2012, entiende que no se ha producido ninguna lesión de los derechos invocados como vulnerados.</w:t>
      </w:r>
    </w:p>
    <w:p w:rsidR="00AC56D6" w:rsidRDefault="00AC56D6" w:rsidP="00AC56D6">
      <w:pPr>
        <w:pStyle w:val="TextoNormal"/>
      </w:pPr>
    </w:p>
    <w:p w:rsidR="00AC56D6" w:rsidRDefault="00AC56D6" w:rsidP="00AC56D6">
      <w:pPr>
        <w:pStyle w:val="TextoNormal"/>
      </w:pPr>
      <w:r w:rsidRPr="00AC56D6">
        <w:rPr>
          <w:rStyle w:val="NumeroAFNegritaCaracter"/>
        </w:rPr>
        <w:t>8</w:t>
      </w:r>
      <w:r>
        <w:t>. La parte recurrente evacuó el trámite de alegaciones el día 24 de julio de 2015, insistiendo en los argumentos ya expuestos en la demanda.</w:t>
      </w:r>
    </w:p>
    <w:p w:rsidR="00AC56D6" w:rsidRDefault="00AC56D6" w:rsidP="00AC56D6">
      <w:pPr>
        <w:pStyle w:val="TextoNormal"/>
      </w:pPr>
    </w:p>
    <w:p w:rsidR="00AC56D6" w:rsidRDefault="00AC56D6" w:rsidP="00AC56D6">
      <w:pPr>
        <w:pStyle w:val="TextoNormal"/>
      </w:pPr>
      <w:r w:rsidRPr="00AC56D6">
        <w:rPr>
          <w:rStyle w:val="NumeroAFNegritaCaracter"/>
        </w:rPr>
        <w:t>9</w:t>
      </w:r>
      <w:r>
        <w:t>. Por escrito registrado en este Tribunal el día 24 de julio de 2015 presentó alegaciones la representación de la entidad La Enredadera, S.A., y otras 47 personas, solicitando que se inadmitiera el recurso de amparo bien por extemporáneo, bien por ausencia de legitimación, subsidiariamente se desestimara la demanda o se planteara auto-cuestión de inconstitucionalidad respecto del art. 36.2 del texto refundido de la Ley de ordenación del territorio y de la actividad urbanística.</w:t>
      </w:r>
    </w:p>
    <w:p w:rsidR="00AC56D6" w:rsidRDefault="00AC56D6" w:rsidP="00AC56D6">
      <w:pPr>
        <w:pStyle w:val="TextoNormal"/>
      </w:pPr>
    </w:p>
    <w:p w:rsidR="00AC56D6" w:rsidRDefault="00AC56D6" w:rsidP="00AC56D6">
      <w:pPr>
        <w:pStyle w:val="TextoNormal"/>
      </w:pPr>
      <w:r>
        <w:t>Comienza sus alegaciones afirmando que el recurso de amparo es extemporáneo por alargamiento de la vía jurisdiccional dada la manifiesta improcedencia del incidente de nulidad de actuaciones interpuesto contra la Sentencia del Tribunal Supremo de 27 de febrero de 2014, al haber planteado a través del mismo las mismas impugnaciones en las que sustentó el recurso de casación. Apoya su pretensión de declaración de extemporaneidad en el ATC 42/2010, de 12 de abril y la STC 200/2012.</w:t>
      </w:r>
    </w:p>
    <w:p w:rsidR="00AC56D6" w:rsidRDefault="00AC56D6" w:rsidP="00AC56D6">
      <w:pPr>
        <w:pStyle w:val="TextoNormal"/>
      </w:pPr>
    </w:p>
    <w:p w:rsidR="00AC56D6" w:rsidRDefault="00AC56D6" w:rsidP="00AC56D6">
      <w:pPr>
        <w:pStyle w:val="TextoNormal"/>
      </w:pPr>
      <w:r>
        <w:t xml:space="preserve">Por otra parte, razona que el Ayuntamiento no es titular de derecho fundamental alguno para la defensa de sus potestades administrativas. Expone en tal sentido que el Ayuntamiento lo que pretende es defender sus potestades administrativas, por lo que no tiene derecho a la tutela judicial efectiva susceptible de ser amparado en defensa de las mismas, sino que únicamente posee las restantes garantías que le dispensa el art. 24 CE, pero desde una dimensión estrictamente procesal o, lo que es lo mismo, desde el punto de vista de las facultades inherentes a la condición de parte en el proceso, citando en su sustento la STC 164/2008. De este modo el Ayuntamiento en el ejercicio de sus potestades administrativas carece del derecho a la tutela judicial efectiva en toda su extensión, pues, una vez que ha </w:t>
      </w:r>
      <w:r>
        <w:lastRenderedPageBreak/>
        <w:t>accedido al proceso tiene únicamente derecho a no sufrir indefensión. Entiende que no se ha producido indefensión al haber planteado la necesidad de elevar cuestión de inconstitucionalidad ante el Tribunal Constitucional no una, sino tres veces.</w:t>
      </w:r>
    </w:p>
    <w:p w:rsidR="00AC56D6" w:rsidRDefault="00AC56D6" w:rsidP="00AC56D6">
      <w:pPr>
        <w:pStyle w:val="TextoNormal"/>
      </w:pPr>
    </w:p>
    <w:p w:rsidR="00AC56D6" w:rsidRDefault="00AC56D6" w:rsidP="00AC56D6">
      <w:pPr>
        <w:pStyle w:val="TextoNormal"/>
      </w:pPr>
      <w:r>
        <w:t>A continuación, tras justificar el interés en que se mantengan la validez de las resoluciones judiciales impugnadas, afirma que no nos encontramos ante un supuesto de enfrentamiento entre las competencias estatales y autonómicas, sino “ante el caso de una ablación de un derecho constitucional (el de participación) por la Ley autonómica, en el que el Tribunal Supremo se ha limitado a aplicar el precepto que contiene (que es el precepto estatal)”. Por otra parte, sostiene que ante una eventual estimación del recurso de amparo, se plantee la cuestión de inconstitucionalidad del precepto autonómico para dar una solución definitiva al problema, en aras a preservar el derecho a la tutela judicial efectiva que impone una solución rápida al problema.</w:t>
      </w:r>
    </w:p>
    <w:p w:rsidR="00AC56D6" w:rsidRDefault="00AC56D6" w:rsidP="00AC56D6">
      <w:pPr>
        <w:pStyle w:val="TextoNormal"/>
      </w:pPr>
    </w:p>
    <w:p w:rsidR="00AC56D6" w:rsidRDefault="00AC56D6" w:rsidP="00AC56D6">
      <w:pPr>
        <w:pStyle w:val="TextoNormal"/>
      </w:pPr>
      <w:r w:rsidRPr="00AC56D6">
        <w:rPr>
          <w:rStyle w:val="NumeroAFNegritaCaracter"/>
        </w:rPr>
        <w:t>10</w:t>
      </w:r>
      <w:r>
        <w:t>. Finalmente, el Ministerio Fiscal, mediante escrito presentado el 1 de septiembre de 2015, efectuó alegaciones interesando que se otorgara el amparo solicitado, anulando las resoluciones impugnadas y retrotrayendo las actuaciones al momento procesal inmediatamente anterior al de la Sentencia de 26 de julio de 2011 por la Sección Primera de la Sala de lo Contencioso-Administrativo del Tribunal Superior de Justicia de Castilla-La Mancha, a fin de que dicte la que corresponda con respeto a los derechos fundamentales vulnerados.</w:t>
      </w:r>
    </w:p>
    <w:p w:rsidR="00AC56D6" w:rsidRDefault="00AC56D6" w:rsidP="00AC56D6">
      <w:pPr>
        <w:pStyle w:val="TextoNormal"/>
      </w:pPr>
    </w:p>
    <w:p w:rsidR="00AC56D6" w:rsidRDefault="00AC56D6" w:rsidP="00AC56D6">
      <w:pPr>
        <w:pStyle w:val="TextoNormal"/>
      </w:pPr>
      <w:r>
        <w:t>Comienza sus alegaciones efectuando una extensa exposición del procedimiento seguido ante la jurisdicción contencioso-administrativa, así como del contenido de las resoluciones dictadas en el mismo. A continuación reproduce literalmente los arts. 105 CE, 6 LRSV, 31 del Estatuto de Autonomía de Castilla-La Mancha, 36 del texto refundido de la Ley de ordenación del territorio y de la actividad urbanística, 135 del Reglamento de planeamiento urbanístico de Castilla-La Mancha, aprobado por Decreto 148/2004, de 14 de septiembre y la disposición final única LRSV.</w:t>
      </w:r>
    </w:p>
    <w:p w:rsidR="00AC56D6" w:rsidRDefault="00AC56D6" w:rsidP="00AC56D6">
      <w:pPr>
        <w:pStyle w:val="TextoNormal"/>
      </w:pPr>
    </w:p>
    <w:p w:rsidR="00AC56D6" w:rsidRDefault="00AC56D6" w:rsidP="00AC56D6">
      <w:pPr>
        <w:pStyle w:val="TextoNormal"/>
      </w:pPr>
      <w:r>
        <w:t>Posteriormente expone la doctrina plasmada en la STC 187/2012, al considerar que resolvía un supuesto análogo al planteado. Entiende que como en el caso resuelto por la citada Sentencia, ninguna tacha de constitucionalidad podría merecer la determinación de la norma aplicable al caso por el juez ordinario, salvo por los efectos que esa operación tiene en el caso de autos. En tal sentido, la selección de la norma prevalente impone como paso previo identificar la norma estatal básica y precisar su contenido, alcance y límites. Ello significa que el primitivo juicio de compatibilidad entre normas, requiera, en realidad un juicio de competencias atribuidas al Estado y a las Autonomías. Y como resultado del mismo, la eventual infracción de la norma estatal básica por la norma autonómica constituye lo que la doctrina constitucional ha venido a denominar inconstitucionalidad de carácter mediato o indirecto, en cuanto afecta al orden constitucional de distribución de competencias, cuya declaración le corresponde al Tribunal Constitucional, determinando si la norma estatal se desenvuelve dentro del marco de las competencias del Estado, esto es, si la calificación de básico realizada por el legislador ha sido correcta —en tal sentido cita las SSTC 156/1995 y 194/2004—.</w:t>
      </w:r>
    </w:p>
    <w:p w:rsidR="00AC56D6" w:rsidRDefault="00AC56D6" w:rsidP="00AC56D6">
      <w:pPr>
        <w:pStyle w:val="TextoNormal"/>
      </w:pPr>
    </w:p>
    <w:p w:rsidR="00AC56D6" w:rsidRDefault="00AC56D6" w:rsidP="00AC56D6">
      <w:pPr>
        <w:pStyle w:val="TextoNormal"/>
      </w:pPr>
      <w:r>
        <w:t xml:space="preserve">Por otra parte razona que los órganos judiciales aplicaron la cláusula de prevalencia del derecho estatal del art. 149.3 CE, pero partiendo de la consideración de la norma estatal como básica, pero dicha prevalencia opera en todo lo que no esté atribuido a la exclusiva </w:t>
      </w:r>
      <w:r>
        <w:lastRenderedPageBreak/>
        <w:t>competencia de las Comunidades Autónomas. Con cita de las SSTC 162/2009 y 163/1995 indica que las competencias legislativas de desarrollo resultantes de la Constitución y de los Estatutos de Autonomía derivan de tales normas y en tal sentido el control es “control de constitucionalidad”.</w:t>
      </w:r>
    </w:p>
    <w:p w:rsidR="00AC56D6" w:rsidRDefault="00AC56D6" w:rsidP="00AC56D6">
      <w:pPr>
        <w:pStyle w:val="TextoNormal"/>
      </w:pPr>
    </w:p>
    <w:p w:rsidR="00AC56D6" w:rsidRDefault="00AC56D6" w:rsidP="00AC56D6">
      <w:pPr>
        <w:pStyle w:val="TextoNormal"/>
      </w:pPr>
      <w:r>
        <w:t>Entiende que el mecanismo interpretativo utilizado por el Tribunal Supremo, conlleva un efecto parecido a la derogación de la Ley autonómica postconstitucional, que resulta inaplicada sin plantear la cuestión de inconstitucionalidad, expulsando, de facto la norma del ordenamiento jurídico al no ajustarse a las competencias determinadas en la Constitución, pero sin aplicar los arts. 163 CE y 35 LOTC.</w:t>
      </w:r>
    </w:p>
    <w:p w:rsidR="00AC56D6" w:rsidRDefault="00AC56D6" w:rsidP="00AC56D6">
      <w:pPr>
        <w:pStyle w:val="TextoNormal"/>
      </w:pPr>
    </w:p>
    <w:p w:rsidR="00AC56D6" w:rsidRDefault="00AC56D6" w:rsidP="00AC56D6">
      <w:pPr>
        <w:pStyle w:val="TextoNormal"/>
      </w:pPr>
      <w:r>
        <w:t>Por último, considera que las resoluciones impugnadas incurren en una errónea interpretación de la jurisprudencia constitucional, pues el Tribunal Supremo no desconoce la doctrina del Tribunal Constitucional a la que se refiere reiteradamente, por lo que no se advierte una voluntad manifiesta de no proceder a su aplicación, o una decisión consciente de soslayar la doctrina constitucional, por lo que la doctrina de la Sentencia del Tribunal Supremo impugnada no implica una quiebra del mandato contenido en el art. 5.1 LOPJ, ni produce una lesión del derecho a la tutela judicial efectiva.</w:t>
      </w:r>
    </w:p>
    <w:p w:rsidR="00AC56D6" w:rsidRDefault="00AC56D6" w:rsidP="00AC56D6">
      <w:pPr>
        <w:pStyle w:val="TextoNormal"/>
      </w:pPr>
    </w:p>
    <w:p w:rsidR="00AC56D6" w:rsidRDefault="00AC56D6" w:rsidP="00AC56D6">
      <w:pPr>
        <w:pStyle w:val="TextoNormal"/>
      </w:pPr>
      <w:r w:rsidRPr="00AC56D6">
        <w:rPr>
          <w:rStyle w:val="NumeroAFNegritaCaracter"/>
        </w:rPr>
        <w:t>11</w:t>
      </w:r>
      <w:r>
        <w:t>. Por providencia de 17 de septiembre de 2015 se señaló para la deliberación y votación de la presente Sentencia el día 21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recurso de amparo que resolvemos tiene por objeto enjuiciar si las resoluciones dictadas en el proceso seguido ante la Jurisdicción Contencioso-Administrativa, lesionaron los derechos fundamentales de los recurrentes a la tutela judicial efectiva sin indefensión (art. 24.1 CE) y a un proceso con todas las garantías (art. 24.2 CE), por incurrir los órganos judiciales en exceso de jurisdicción al rechazar la aplicación del art. 36.2 A) párrafo segundo ( debe entenderse referido al párrafo tercero), del texto refundido de la Ley de ordenación del territorio y de la actividad urbanística, sin elevar cuestión de inconstitucionalidad ante este Tribunal.</w:t>
      </w:r>
    </w:p>
    <w:p w:rsidR="00AC56D6" w:rsidRDefault="00AC56D6" w:rsidP="00AC56D6">
      <w:pPr>
        <w:pStyle w:val="TextoNormal"/>
      </w:pPr>
    </w:p>
    <w:p w:rsidR="00AC56D6" w:rsidRDefault="00AC56D6" w:rsidP="00AC56D6">
      <w:pPr>
        <w:pStyle w:val="TextoNormal"/>
      </w:pPr>
      <w:r>
        <w:t>El Ministerio Fiscal, como la compareciente Junta de Comunidades de Castila-La Mancha, interesa el otorgamiento del amparo solicitado, coincidiendo en esencia con la parte recurrente. A tal fin, exponen la doctrina contenida entre otras en las SSTC 187/2012, de 29 de octubre, y 177/2013, de 21 de octubre, que entienden plenamente aplicable para la resolución del presente recurso.</w:t>
      </w:r>
    </w:p>
    <w:p w:rsidR="00AC56D6" w:rsidRDefault="00AC56D6" w:rsidP="00AC56D6">
      <w:pPr>
        <w:pStyle w:val="TextoNormal"/>
      </w:pPr>
    </w:p>
    <w:p w:rsidR="00AC56D6" w:rsidRDefault="00AC56D6" w:rsidP="00AC56D6">
      <w:pPr>
        <w:pStyle w:val="TextoNormal"/>
      </w:pPr>
      <w:r>
        <w:t xml:space="preserve">Por su parte, la entidad Miratorre, S.A., solicita la desestimación del amparo, y la entidad La Enredadera, S.A., y otras 47 personas, además de interesar la denegación del amparo, entienden que el recurso debe ser inadmitido por ser extemporáneo al haber interpuesto un incidente de nulidad de actuaciones manifiestamente improcedente y porque el Ayuntamiento de Toledo carece de legitimación para invocar el derecho a la tutela judicial efectiva en el procedimiento de amparo ante el Tribunal Constitucional; subsidiariamente sostienen </w:t>
      </w:r>
      <w:r>
        <w:lastRenderedPageBreak/>
        <w:t>que ante una eventual estimación del recurso de amparo, se plantee la cuestión de inconstitucionalidad del precepto autonómico para dar una solución definitiva al problema, en aras a preservar el derecho a la tutela judicial efectiva.</w:t>
      </w:r>
    </w:p>
    <w:p w:rsidR="00AC56D6" w:rsidRDefault="00AC56D6" w:rsidP="00AC56D6">
      <w:pPr>
        <w:pStyle w:val="TextoNormal"/>
      </w:pPr>
    </w:p>
    <w:p w:rsidR="00AC56D6" w:rsidRDefault="00AC56D6" w:rsidP="00AC56D6">
      <w:pPr>
        <w:pStyle w:val="TextoNormal"/>
      </w:pPr>
      <w:r w:rsidRPr="00AC56D6">
        <w:rPr>
          <w:rStyle w:val="NumeroAFNegritaCaracter"/>
        </w:rPr>
        <w:t>2</w:t>
      </w:r>
      <w:r>
        <w:t>. Centrado el objeto del recurso de amparo y antes de proceder a examinar los motivos de inadmisión invocados en la demanda, procede ahondar en la razón por la que se admitió a trámite la misma, apuntada en la providencia de 25 de mayo de 2015. En dicha providencia apreciábamos que el recurso podía dar ocasión al Tribunal para aclarar o cambiar su doctrina, como consecuencia de un proceso de reflexión interna [STC 155/2009, de 25 de junio, FJ 2 b)]. En tal sentido, dos son los aspectos sobre los que debemos profundizar en atención a las peculiaridades que presenta el recurso. Por una parte, el alcance de la legitimación activa del Ayuntamiento de Toledo para impetrar amparo constitucional frente a las resoluciones impugnadas, y por otra, en relación con el proceso aplicativo de las leyes, precisar los límites de las facultades inherentes a la potestad de juzgar, privativas de los Jueces y Tribunales (art. 117.3 CE) en orden a seleccionar la norma jurídica aplicable al caso concreto de entre las varias posibles, cuando las mismas son normas con rango de ley, contribuyendo de este modo a precisar nuestros pronunciamientos anteriores.</w:t>
      </w:r>
    </w:p>
    <w:p w:rsidR="00AC56D6" w:rsidRDefault="00AC56D6" w:rsidP="00AC56D6">
      <w:pPr>
        <w:pStyle w:val="TextoNormal"/>
      </w:pPr>
    </w:p>
    <w:p w:rsidR="00AC56D6" w:rsidRDefault="00AC56D6" w:rsidP="00AC56D6">
      <w:pPr>
        <w:pStyle w:val="TextoNormal"/>
      </w:pPr>
      <w:r w:rsidRPr="00AC56D6">
        <w:rPr>
          <w:rStyle w:val="NumeroAFNegritaCaracter"/>
        </w:rPr>
        <w:t>3</w:t>
      </w:r>
      <w:r>
        <w:t>. Como se ha expuesto en los antecedentes, la representación procesal de la entidad La Enredadera, S.A., y otras 47 personas, interesan la inadmisión de la demanda al considerar que el Ayuntamiento de Toledo carece de legitimación activa para invocar el derecho a la tutela judicial efectiva en el procedimiento de amparo ante el Tribunal Constitucional.</w:t>
      </w:r>
    </w:p>
    <w:p w:rsidR="00AC56D6" w:rsidRDefault="00AC56D6" w:rsidP="00AC56D6">
      <w:pPr>
        <w:pStyle w:val="TextoNormal"/>
      </w:pPr>
    </w:p>
    <w:p w:rsidR="00AC56D6" w:rsidRDefault="00AC56D6" w:rsidP="00AC56D6">
      <w:pPr>
        <w:pStyle w:val="TextoNormal"/>
      </w:pPr>
      <w:r>
        <w:t>En pronunciamientos anteriores, este Tribunal ha reconocido la legitimación activa de una Comunidad Autónoma para acudir en amparo para cuestionar la inaplicación de una ley autonómica. En efecto, en la STC 173/2002, de 9 de octubre, FJ 4, en un proceso similar al planteado en el caso de autos, en el que la Sentencia objeto de impugnación también inaplicó una ley autonómica, declaramos que “lo que subyace en el presente proceso constitucional, mediante la pretensión de amparo deducida por la Generalidad, no es ya sólo la defensa del interés general cuya tutela le corresponde a la Administración demandante, sino también, y especialmente, la protección de los principios básicos de un sistema democrático encarnados en la dignidad de una ley aprobada por un Parlamento autonómico”. Dicho pronunciamiento fue reiterado en idénticos términos en la STC 187/2012, de 29 de octubre, en el que nuevamente intervenía como recurrente la Generalitat de Cataluña.</w:t>
      </w:r>
    </w:p>
    <w:p w:rsidR="00AC56D6" w:rsidRDefault="00AC56D6" w:rsidP="00AC56D6">
      <w:pPr>
        <w:pStyle w:val="TextoNormal"/>
      </w:pPr>
    </w:p>
    <w:p w:rsidR="00AC56D6" w:rsidRDefault="00AC56D6" w:rsidP="00AC56D6">
      <w:pPr>
        <w:pStyle w:val="TextoNormal"/>
      </w:pPr>
      <w:r>
        <w:t>La cuestión en la que debemos ahondar es la relativa a si un ente local, como es el Ayuntamiento de Toledo, goza de análoga legitimación activa, frente a decisiones de inaplicación de leyes autonómicas, que la reconocida a la Comunidad Autónoma, perfilando en su caso el fundamento de la misma.</w:t>
      </w:r>
    </w:p>
    <w:p w:rsidR="00AC56D6" w:rsidRDefault="00AC56D6" w:rsidP="00AC56D6">
      <w:pPr>
        <w:pStyle w:val="TextoNormal"/>
      </w:pPr>
    </w:p>
    <w:p w:rsidR="00AC56D6" w:rsidRDefault="00AC56D6" w:rsidP="00AC56D6">
      <w:pPr>
        <w:pStyle w:val="TextoNormal"/>
      </w:pPr>
      <w:r>
        <w:t xml:space="preserve">A tal fin, debemos partir de la doctrina que, con cita de otras Sentencias, se sintetizó en la STC 164/2008, de 15 de diciembre, FJ 3. En la misma recordamos que “los derechos fundamentales y las libertades públicas son derechos individuales que tienen al individuo por sujeto activo y al Estado por sujeto pasivo en la medida en que tienden a reconocer y proteger ámbitos de libertades o prestaciones que los poderes públicos deben otorgar o facilitar a aquéllos (STC 64/1988, de 12 de abril, FJ 1). Por este motivo existen importantes dificultades para reconocer la titularidad de derechos fundamentales a las entidades de Derecho público, pues la noción misma de derecho fundamental que está en la base del art. 10 </w:t>
      </w:r>
      <w:r>
        <w:lastRenderedPageBreak/>
        <w:t>CE, resulta poco compatible con entes de naturaleza pública (STC 91/1995, de 19 de junio, FJ 2). En consecuencia, lo que con carácter general es predicable de las posiciones subjetivas de los particulares, no puede serlo, con igual alcance y sin más matización, de las que tengan los poderes públicos, frente a los que, principalmente, se alza la garantía constitucional (STC 129/2001, de 4 de junio, FJ 3)”. Por esta razón, continuaba exponiendo la referida Sentencia que respecto a las personas jurídico-públicas, cuando el Ordenamiento jurídico les reconoce la capacidad para ser parte en los procesos, en orden a la aplicación de la tutela judicial y su protección por la vía del amparo constitucional, se ha venido distinguiendo entre la defensa de sus derechos e intereses legítimos y la defensa de sus actos y potestades administrativas. Y que “cuando el objeto de la tutela judicial lo configura la defensa de los actos de las Administraciones públicas dictados en el ejercicio de sus potestades administrativas, la protección que el artículo 24 CE les otorga se limita a no padecer indefensión en el proceso, lo cual implica, exclusivamente, que se les respeten los derechos procesales que establece el art. 24 CE. Esto quiere decir que la Administración no tiene un derecho a la tutela judicial efectiva susceptible de ser amparado en defensa de sus potestades, sino que únicamente posee las restantes garantías que le dispensa el art. 24 CE, pero desde una dimensión estrictamente procesal o, lo que es lo mismo, desde el punto de vista de las facultades inherentes a la condición de parte en el proceso (STC 175/2001, de 26 de julio, FFJJ 4 a 8)”.</w:t>
      </w:r>
    </w:p>
    <w:p w:rsidR="00AC56D6" w:rsidRDefault="00AC56D6" w:rsidP="00AC56D6">
      <w:pPr>
        <w:pStyle w:val="TextoNormal"/>
      </w:pPr>
    </w:p>
    <w:p w:rsidR="00AC56D6" w:rsidRDefault="00AC56D6" w:rsidP="00AC56D6">
      <w:pPr>
        <w:pStyle w:val="TextoNormal"/>
      </w:pPr>
      <w:r>
        <w:t>De lo anterior resulta que, dado que la parte actora es una Administración pública que impetra el auxilio de este Tribunal en defensa de un acto dictado en el ejercicio de sus potestades administrativas (planeamiento urbanístico), una vez que ha accedido al proceso “tiene únicamente derecho a no sufrir indefensión, lo que supone el reconocimiento de las facultades inherentes a la condición de parte en el proceso previstas en el art. 24 CE” (SSTC 41/1997, de 10 de marzo, FJ 5; 237/2000, de 16 de octubre, FJ 2; 175/2001, de 26 de julio, FJ 8; 56/2002, de 11 de marzo, FJ 3; 173/2002, de 9 de octubre, FJ 4, y 58/2004, de 19 de abril, FJ 4).</w:t>
      </w:r>
    </w:p>
    <w:p w:rsidR="00AC56D6" w:rsidRDefault="00AC56D6" w:rsidP="00AC56D6">
      <w:pPr>
        <w:pStyle w:val="TextoNormal"/>
      </w:pPr>
    </w:p>
    <w:p w:rsidR="00AC56D6" w:rsidRDefault="00AC56D6" w:rsidP="00AC56D6">
      <w:pPr>
        <w:pStyle w:val="TextoNormal"/>
      </w:pPr>
      <w:r>
        <w:t>En tal sentido, en la medida en que el núcleo de la cuestión planteada es la existencia de un eventual exceso de jurisdicción derivado de la inaplicación de la Ley autonómica sin haber planteado la cuestión de inconstitucionalidad de la norma, es claro que de existir el exceso denunciado, se habrían cercenado todas las posibilidades de intervención que se establecen en el procedimiento preterido, tanto en la fase ante los órganos judiciales [art. 35.2 de la Ley Orgánica del Tribunal Constitucional (LOTC)], como ante el Tribunal Constitucional (art. 37. 2 y 3 LOTC), con la consecuencia inmediata de privar de eficacia a la actuación administrativa que de otro modo hubiera desplegado todos sus efectos hasta que el Tribunal Constitucional hubiera resuelto la cuestión de inconstitucionalidad planteada, colocando con ello al recurrente en amparo en situación de efectiva indefensión pues no habría tenido oportunidad de que se tramitara la cuestión de inconstitucionalidad con las garantías y efectos asociadas a la misma. Por tales razones, debe reconocerse legitimación a la Administración pública recurrente para impetrar el auxilio de este Tribunal a través del recurso de amparo, como ya lo hicimos en relación a los ejecutivos autonómicos.</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Reconocida la legitimación activa del recurrente, debemos pronunciarnos sobre si la demanda de amparo es extemporánea como consecuencia de haberse planteado por el recurrente un incidente de nulidad de actuaciones que, por ser improcedente, hubiese supuesto </w:t>
      </w:r>
      <w:r>
        <w:lastRenderedPageBreak/>
        <w:t>un alargamiento artificial del plazo legalmente establecido para recurrir en amparo, lo que determinaría en este momento procesal la inadmisión de la demanda.</w:t>
      </w:r>
    </w:p>
    <w:p w:rsidR="00AC56D6" w:rsidRDefault="00AC56D6" w:rsidP="00AC56D6">
      <w:pPr>
        <w:pStyle w:val="TextoNormal"/>
      </w:pPr>
    </w:p>
    <w:p w:rsidR="00AC56D6" w:rsidRDefault="00AC56D6" w:rsidP="00AC56D6">
      <w:pPr>
        <w:pStyle w:val="TextoNormal"/>
      </w:pPr>
      <w:r>
        <w:t>Ciertamente hemos declarado en distintas ocasiones que la indebida prolongación de la vía judicial previa por causa de la interposición de un recurso no autorizado por la Ley puede ocasionar la extemporaneidad del recurso de amparo por prórroga indebida del plazo establecido en el art. 44.2 LOTC. Pero para que dicha consecuencia se produzca, este Tribunal ha venido exigiendo que la improcedencia del recurso sea evidente, esto es, comprobable prima facie sin intervención de dudas interpretativas que sea necesario despejar por medio de criterios no absolutamente indiscutibles, ya que el respeto debido al derecho de la parte a utilizar cuantos recursos considere útiles para la defensa de sus intereses impide exigirle que se abstenga de emplear aquellos cuya improcedencia sea razonablemente dudosa y, en consecuencia, que asuma el riesgo de incurrir en una falta de agotamiento de la vía judicial previa (entre otras muchas, STC 135/2007, de 4 de junio, FJ 4 y las que en ella se citan). De este modo, es doctrina consagrada que debe permitirse la utilización de cuantos recursos se consideren útiles para la defensa de los intereses de las partes, “siempre que no se vislumbre en ello una intención meramente dilatoria o defraudadora del carácter preclusivo y perentorio del plazo para demandar en amparo” (así, SSTC 352/1993, de 29 de noviembre, FJ 2; 122/1996, de 8 de julio, FJ 3; 267/2000, de 13 de noviembre, FJ 2; 131/2004, de 19 de julio, FJ 2; 77/2005, de 4 de abril, FJ 2, y 233/2005, de 26 de septiembre, FJ 2).</w:t>
      </w:r>
    </w:p>
    <w:p w:rsidR="00AC56D6" w:rsidRDefault="00AC56D6" w:rsidP="00AC56D6">
      <w:pPr>
        <w:pStyle w:val="TextoNormal"/>
      </w:pPr>
    </w:p>
    <w:p w:rsidR="00AC56D6" w:rsidRDefault="00AC56D6" w:rsidP="00AC56D6">
      <w:pPr>
        <w:pStyle w:val="TextoNormal"/>
      </w:pPr>
      <w:r>
        <w:t>Específicamente en relación con la formulación del incidente de nulidad de actuaciones regulado actualmente en el art. 241 de la Ley Orgánica del Poder Judicial (LOPJ), hemos tenido ocasión de afirmar en ocasiones precedentes que cuando, pese a ser interpuesto de modo que pudiera resultar dudoso con su regulación legal, es admitido a trámite, analizado y resuelto por el órgano judicial, debe rechazarse este óbice procesal si la demanda de amparo se presenta ante este Tribunal dentro del plazo previsto en el art. 44.2 LOTC, contado a partir de la fecha en la que los órganos judiciales dieron por agotada la vía judicial al desestimar el incidente de nulidad de actuaciones (SSTC 76/2009, de 23 de marzo, FJ 2; 66/2011, de 16 de mayo, FJ 2; y 68/2014, de 5 de mayo, FJ 2).</w:t>
      </w:r>
    </w:p>
    <w:p w:rsidR="00AC56D6" w:rsidRDefault="00AC56D6" w:rsidP="00AC56D6">
      <w:pPr>
        <w:pStyle w:val="TextoNormal"/>
      </w:pPr>
    </w:p>
    <w:p w:rsidR="00AC56D6" w:rsidRDefault="00AC56D6" w:rsidP="00AC56D6">
      <w:pPr>
        <w:pStyle w:val="TextoNormal"/>
      </w:pPr>
      <w:r>
        <w:t>La aplicación de esta doctrina al presente caso nos lleva a concluir que la formulación del incidente de nulidad de actuaciones no puede considerarse como un recurso manifiestamente improcedente cuya interposición conlleve un alargamiento indebido de la vía judicial previa al recurso de amparo, puesto que el propio órgano judicial ante el que se promovió el incidente, la Sección Quinta de la Sala de lo Contencioso-Administrativo del Tribunal Supremo lo admitió a trámite, dio traslado de la pretensión anulatoria a las demás partes, entró a conocer sobre el fondo de las quejas formuladas por el demandante de amparo y desestimó las vulneraciones atribuidas a la resolución impugnada. Así pues, no cabe acoger la objeción de extemporaneidad planteada.</w:t>
      </w:r>
    </w:p>
    <w:p w:rsidR="00AC56D6" w:rsidRDefault="00AC56D6" w:rsidP="00AC56D6">
      <w:pPr>
        <w:pStyle w:val="TextoNormal"/>
      </w:pPr>
    </w:p>
    <w:p w:rsidR="00AC56D6" w:rsidRDefault="00AC56D6" w:rsidP="00AC56D6">
      <w:pPr>
        <w:pStyle w:val="TextoNormal"/>
      </w:pPr>
      <w:r w:rsidRPr="00AC56D6">
        <w:rPr>
          <w:rStyle w:val="NumeroAFNegritaCaracter"/>
        </w:rPr>
        <w:t>5</w:t>
      </w:r>
      <w:r>
        <w:t>. Desestimados los dos motivos de inadmisión de la demanda, procede ahora examinar la constitucionalidad de las decisiones adoptadas por los dos órganos jurisdiccionales intervinientes en el proceso.</w:t>
      </w:r>
    </w:p>
    <w:p w:rsidR="00AC56D6" w:rsidRDefault="00AC56D6" w:rsidP="00AC56D6">
      <w:pPr>
        <w:pStyle w:val="TextoNormal"/>
      </w:pPr>
    </w:p>
    <w:p w:rsidR="00AC56D6" w:rsidRDefault="00AC56D6" w:rsidP="00AC56D6">
      <w:pPr>
        <w:pStyle w:val="TextoNormal"/>
      </w:pPr>
      <w:r>
        <w:t xml:space="preserve">Como ha quedado expuesto en los antecedentes, tanto el recurrente, como el Ministerio Fiscal y la personada Junta de Comunidades de Castilla La-Mancha, alegan que las resoluciones impugnadas han incurrido en un exceso de jurisdicción al desplazar el art. 36.2 A) </w:t>
      </w:r>
      <w:r>
        <w:lastRenderedPageBreak/>
        <w:t>párrafo segundo ( debe entenderse referido al párrafo tercera), texto refundido de la Ley de ordenación del territorio y de la actividad urbanística por considerar que infringía el art. 6.1 de la Ley sobre régimen del suelo y valoraciones (LRSV), así como la jurisprudencia de la Sala Tercera del Tribunal Supremo sobre el trámite de información pública en la elaboración de los instrumentos de planeamiento. Entiende que con dicho proceder se incumpliría la doctrina del Tribunal Constitucional concretamente establecida en las SSTC 187/2012 o 177/2013. Por otra parte, el demandante de amparo, añade que dicho incumplimiento obedece a un apartamiento de modo consciente de la doctrina constitucional, lo que a su vez supone, la quiebra del mandato recogido en el art. 5.1 LOPJ.</w:t>
      </w:r>
    </w:p>
    <w:p w:rsidR="00AC56D6" w:rsidRDefault="00AC56D6" w:rsidP="00AC56D6">
      <w:pPr>
        <w:pStyle w:val="TextoNormal"/>
      </w:pPr>
    </w:p>
    <w:p w:rsidR="00AC56D6" w:rsidRDefault="00AC56D6" w:rsidP="00AC56D6">
      <w:pPr>
        <w:pStyle w:val="TextoNormal"/>
      </w:pPr>
      <w:r>
        <w:t>Así planteada la cuestión es obligado traer a colación el razonamiento contenido en la Sentencia del Tribunal Supremo recurrida. El Tribunal Supremo, en dicha Sentencia, avala la decisión de la Sala de lo Contencioso-Administrativo del Tribunal Superior de Justicia de Castilla- La Mancha, reiterando el argumento expuesto en el ATS de 30 de abril de 2013, que resolvía el incidente de nulidad de actuaciones deducido en el recurso de casación núm. 3013-2010, cuyas razones también fueron reproducidas en la STS 13 de mayo de 2013 (recurso de casación núm. 3400-2009). En tales resoluciones, cuyo contenido se ha expuesto en los antecedentes, el Tribunal Supremo entabla un diálogo con la STC 187/2012. A tal fin, efectúa una exégesis del contenido de la referida Sentencia, con cita literal de diversos párrafos, concluyendo que la doctrina del Tribunal Constitucional no parece plantear reparo sobre la operación, genuinamente jurisdiccional, de seleccionar la norma aplicable, obedeciendo el otorgamiento del amparo, a razones estrechamente vinculadas con el caso concreto examinado.</w:t>
      </w:r>
    </w:p>
    <w:p w:rsidR="00AC56D6" w:rsidRDefault="00AC56D6" w:rsidP="00AC56D6">
      <w:pPr>
        <w:pStyle w:val="TextoNormal"/>
      </w:pPr>
    </w:p>
    <w:p w:rsidR="00AC56D6" w:rsidRDefault="00AC56D6" w:rsidP="00AC56D6">
      <w:pPr>
        <w:pStyle w:val="TextoNormal"/>
      </w:pPr>
      <w:r>
        <w:t>Tal modo de razonar, en modo alguno permite constatar que exista una voluntad manifiesta de no aplicar la doctrina constitucional o una decisión consciente de soslayar la misma, sino que, como bien indica el Ministerio Fiscal en sus alegaciones, sugiere una actitud “respetuosa” —expresión literalmente utilizada en la Sentencia impugnada—, con la doctrina del Tribunal y ello con independencia del acierto de la decisión adoptada que en nada afectaría al mandato contenido en el art. 5.1 LOPJ al que alude el recurrente.</w:t>
      </w:r>
    </w:p>
    <w:p w:rsidR="00AC56D6" w:rsidRDefault="00AC56D6" w:rsidP="00AC56D6">
      <w:pPr>
        <w:pStyle w:val="TextoNormal"/>
      </w:pPr>
    </w:p>
    <w:p w:rsidR="00AC56D6" w:rsidRDefault="00AC56D6" w:rsidP="00AC56D6">
      <w:pPr>
        <w:pStyle w:val="TextoNormal"/>
      </w:pPr>
      <w:r w:rsidRPr="00AC56D6">
        <w:rPr>
          <w:rStyle w:val="NumeroAFNegritaCaracter"/>
        </w:rPr>
        <w:t>6</w:t>
      </w:r>
      <w:r>
        <w:t>. Llegados a este punto, es obligado retomar lo que expusimos en los fundamentos jurídicos 7 y 8 de nuestra STC 187/2012 —luego citados en la STC 177/2013, FJ 3—, con el fin de precisar la doctrina contenida en la misma, pues ese fue uno de los motivos por los que entendimos que la demanda tenía especial trascendencia constitucional.</w:t>
      </w:r>
    </w:p>
    <w:p w:rsidR="00AC56D6" w:rsidRDefault="00AC56D6" w:rsidP="00AC56D6">
      <w:pPr>
        <w:pStyle w:val="TextoNormal"/>
      </w:pPr>
    </w:p>
    <w:p w:rsidR="00AC56D6" w:rsidRDefault="00AC56D6" w:rsidP="00AC56D6">
      <w:pPr>
        <w:pStyle w:val="TextoNormal"/>
      </w:pPr>
      <w:r>
        <w:t xml:space="preserve">Afirmábamos en la STC 187/2012 que este Tribunal tiene declarado que forma parte del conjunto de las facultades inherentes a la potestad de juzgar, privativa de los Jueces y Tribunales del Poder Judicial por mandato de la propia Constitución (art. 117.3 CE), la de seleccionar la norma jurídica aplicable al caso concreto de entre las varias posibles, su interpretación y la subsunción en ellas de los hechos. E indicamos que “en consecuencia, ninguna tacha de constitucionalidad podría merecer la determinación de la norma aplicable al caso por el juez ordinario”. Sin embargo, señalábamos también en dicha resolución la necesidad de atender a los efectos que en cada caso se deriven de dicha operación de selección de la norma aplicable. Tales efectos eran la realización implícita del encuadramiento competencial de la norma legal autonómica cuya aplicación se pretendía, que determinó el desplazamiento e inaplicación de la misma, sin plantear la cuestión de inconstitucionalidad. </w:t>
      </w:r>
      <w:r>
        <w:lastRenderedPageBreak/>
        <w:t>Lo que a su vez comportaba su reiterada inaplicación y producía un efecto parecido a la derogación de la norma inaplicada pese a tratarse de una ley postconstitucional.</w:t>
      </w:r>
    </w:p>
    <w:p w:rsidR="00AC56D6" w:rsidRDefault="00AC56D6" w:rsidP="00AC56D6">
      <w:pPr>
        <w:pStyle w:val="TextoNormal"/>
      </w:pPr>
    </w:p>
    <w:p w:rsidR="00AC56D6" w:rsidRDefault="00AC56D6" w:rsidP="00AC56D6">
      <w:pPr>
        <w:pStyle w:val="TextoNormal"/>
      </w:pPr>
      <w:r>
        <w:t>Ateniéndonos al supuesto de autos, ha de resaltarse que la inaplicación de la norma autonómica al caso enjuiciado se produce al considerar los órganos jurisdiccionales que esta es contraria a la ley básica estatal. En otras palabras, por entender que “una norma con rango de ley, aplicable al caso, de cuya validez dependa el fallo es contraria a la Constitución” (art. 163 CE) o, más precisamente, al bloque de la constitucionalidad, del que forman parte las leyes básicas (art.28.1 LOTC).</w:t>
      </w:r>
    </w:p>
    <w:p w:rsidR="00AC56D6" w:rsidRDefault="00AC56D6" w:rsidP="00AC56D6">
      <w:pPr>
        <w:pStyle w:val="TextoNormal"/>
      </w:pPr>
    </w:p>
    <w:p w:rsidR="00AC56D6" w:rsidRDefault="00AC56D6" w:rsidP="00AC56D6">
      <w:pPr>
        <w:pStyle w:val="TextoNormal"/>
      </w:pPr>
      <w:r>
        <w:t xml:space="preserve">Por ello, los órganos jurisdiccionales debieron plantear la cuestión de inconstitucionalidad conforme dispone el art. 163 CE. Porque, como señalábamos en la STC 187/2012, de 29 de octubre (FJ 8), con cita de las SSTC 73/2000, de 14 de marzo, FJ 4; 104/2000, de 13 de abril, FJ 8; 120/2000, de 10 de mayo, FJ 3; 173/2002, de 9 de octubre, FJ 9 y 66/2011, de 16 de mayo, FJ 6, los “órganos jurisdiccionales no pueden fiscalizar las normas postconstitucionales con rango de ley”, en tanto que “el constituyente ha querido sustraer al juez ordinario la posibilidad de inaplicar una ley postconstitucional ante un eventual juicio de incompatibilidad con la Constitución … La depuración del ordenamiento legal, vigente la Constitución, corresponde de forma exclusiva al Tribunal Constitucional, que tiene la competencia y la jurisdicción para declarar, con eficacia </w:t>
      </w:r>
      <w:r w:rsidRPr="00AC56D6">
        <w:rPr>
          <w:i/>
        </w:rPr>
        <w:t>erga omnes</w:t>
      </w:r>
      <w:r>
        <w:t>, la inconstitucionalidad de las leyes, tanto más cuanto en un sistema democrático la ley es expresión de la voluntad popular —como se declara en el preámbulo de nuestra Constitución— y es principio básico del sistema democrático y parlamentario hoy vigente en España”.</w:t>
      </w:r>
    </w:p>
    <w:p w:rsidR="00AC56D6" w:rsidRDefault="00AC56D6" w:rsidP="00AC56D6">
      <w:pPr>
        <w:pStyle w:val="TextoNormal"/>
      </w:pPr>
    </w:p>
    <w:p w:rsidR="00AC56D6" w:rsidRDefault="00AC56D6" w:rsidP="00AC56D6">
      <w:pPr>
        <w:pStyle w:val="TextoNormal"/>
      </w:pPr>
      <w:r w:rsidRPr="00AC56D6">
        <w:rPr>
          <w:rStyle w:val="NumeroAFNegritaCaracter"/>
        </w:rPr>
        <w:t>7</w:t>
      </w:r>
      <w:r>
        <w:t>. Lo anteriormente expuesto permite concluir que la facultad de seleccionar la norma jurídica aplicable al caso concreto, inherente a la potestad de juzgar y privativa de los Jueces y Tribunales del Poder Judicial (art. 117.3 CE), a la que aluden las resoluciones impugnadas como fundamento de su decisión, no alcanza a desplazar una ley postconstitucional ante un eventual juicio de incompatibilidad con la Constitución, sin que a ello se oponga que la contradicción con la Constitución no sea directa, sino mediata, esto es por una eventual contradicción de la norma legal autonómica con la legislación estatal básica. En este sentido, “comprobar si la calificación de lo básico realizada por el legislador ha sido correcta es función privativa de este Tribunal” (STC 156/1995, de 26 de octubre, FJ 4), a quien le corresponde determinar si la norma estatal se desenvuelve dentro del marco de las competencias del Estado y en consecuencia si la legislación autonómica infringe el bloque de distribución de competencias. De lo que se sigue que los órganos judiciales al inaplicar la norma legal autonómica por considerarla contraria a las bases estatales, sin plantear la cuestión de inconstitucionalidad, han desbordado los contornos propios de su potestad jurisdiccional (art. 117.1 CE), y con ello han vulnerado los derechos fundamentales consagrados en los arts. 24.1 y 24.2 CE.</w:t>
      </w:r>
    </w:p>
    <w:p w:rsidR="00AC56D6" w:rsidRDefault="00AC56D6" w:rsidP="00AC56D6">
      <w:pPr>
        <w:pStyle w:val="TextoNormal"/>
      </w:pPr>
    </w:p>
    <w:p w:rsidR="00AC56D6" w:rsidRDefault="00AC56D6" w:rsidP="00AC56D6">
      <w:pPr>
        <w:pStyle w:val="TextoNormal"/>
      </w:pPr>
      <w:r>
        <w:t>Dicha vulneración tiene su origen en las resoluciones judiciales impugnadas y no en el art. 36.2 A) párrafo segundo (debe entenderse referido al párrafo tercero), del texto refundido de la Ley de ordenación del territorio y de la actividad urbanística, en tanto que el mismo no ha sido aplicado en el proceso contencioso-administrativo, por lo que no procede plantear la autocuestión de inconstitucionalidad (art. 55.2 LOTC), pretendida por la representación de la entidad La Enredadera, S.A.</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8</w:t>
      </w:r>
      <w:r>
        <w:t>. En consecuencia, el otorgamiento del amparo al demandante por vulneración del derecho a la tutela judicial efectiva (art. 24.1 CE) y a un proceso con todas las garantías (art. 24.2 CE), debe comportar (art. 55.1 LOTC) el reconocimiento de los derechos fundamentales vulnerados. Asimismo, procede declarar la nulidad de las resoluciones judiciales impugnadas, con retroacción de actuaciones al momento inmediatamente anterior a dictarse la Sentencia de la Sección Primera de la Sala de lo Contencioso-Administrativo del Tribunal Superior de Justicia de Castilla-La Mancha, como solicita el Ministerio Fiscal, a los efectos de que por dicho Tribunal se dicte otra resolución que resulte respetuosa con los derechos fundamentales reconocidos.</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Otorgar el amparo solicitado por el Ayuntamiento de Toledo y, en su virtud:</w:t>
      </w:r>
    </w:p>
    <w:p w:rsidR="00AC56D6" w:rsidRDefault="00AC56D6" w:rsidP="00AC56D6">
      <w:pPr>
        <w:pStyle w:val="TextoNormal"/>
      </w:pPr>
    </w:p>
    <w:p w:rsidR="00AC56D6" w:rsidRDefault="00AC56D6" w:rsidP="00AC56D6">
      <w:pPr>
        <w:pStyle w:val="TextoNormal"/>
      </w:pPr>
      <w:r>
        <w:t>1º Reconocer el derecho de los demandantes a la tutela judicial efectiva (art. 24.1 CE) y a un proceso con todas las garantías (art. 24.2 CE).</w:t>
      </w:r>
    </w:p>
    <w:p w:rsidR="00AC56D6" w:rsidRDefault="00AC56D6" w:rsidP="00AC56D6">
      <w:pPr>
        <w:pStyle w:val="TextoNormal"/>
      </w:pPr>
    </w:p>
    <w:p w:rsidR="00AC56D6" w:rsidRDefault="00AC56D6" w:rsidP="00AC56D6">
      <w:pPr>
        <w:pStyle w:val="TextoNormal"/>
      </w:pPr>
      <w:r>
        <w:t>2º Declarar la nulidad de la Sentencia de la Sección Primera de la Sala de lo Contencioso-Administrativo del Tribunal Superior de Justicia de Castilla-La Mancha, de 26 de julio de 2011, recurso contencioso-administrativo núm. 556-2007, así como la Sentencia de 27 de febrero de 2014 y el Auto de 15 de julio de 2014, dictados en el recurso de casación núm. 207-2011 por la Sección Quinta de la Sala de lo Contencioso-Administrativo del Tribunal Supremo.</w:t>
      </w:r>
    </w:p>
    <w:p w:rsidR="00AC56D6" w:rsidRDefault="00AC56D6" w:rsidP="00AC56D6">
      <w:pPr>
        <w:pStyle w:val="TextoNormal"/>
      </w:pPr>
    </w:p>
    <w:p w:rsidR="00AC56D6" w:rsidRDefault="00AC56D6" w:rsidP="00AC56D6">
      <w:pPr>
        <w:pStyle w:val="TextoNormal"/>
      </w:pPr>
      <w:r>
        <w:t>3º Retrotraer las actuaciones al momento inmediatamente anterior al señalamiento para votación y fallo del recurso núm. 556-2007, para que el Tribunal Superior de Justicia de Castilla-La Mancha dicte nueva Sentencia respetuosa con los derechos fundamentales vulnerados.</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veintiuno de septiembre de dos mil quince.</w:t>
      </w:r>
    </w:p>
    <w:p w:rsidR="00AC56D6" w:rsidRDefault="00AC56D6" w:rsidP="00AC56D6">
      <w:pPr>
        <w:pStyle w:val="ParrafoNormal"/>
      </w:pPr>
    </w:p>
    <w:p w:rsidR="00AC56D6" w:rsidRDefault="00AC56D6" w:rsidP="00AC56D6">
      <w:pPr>
        <w:pStyle w:val="TextoNormalNegritaCentrado"/>
        <w:keepNext/>
      </w:pPr>
      <w:r>
        <w:t>Voto particular que formula el Magistrado don Juan Antonio Xiol Ríos a la Sentencia dictada en el recurso de amparo núm. 6011-2014.</w:t>
      </w:r>
    </w:p>
    <w:p w:rsidR="00AC56D6" w:rsidRDefault="00AC56D6" w:rsidP="00AC56D6">
      <w:pPr>
        <w:pStyle w:val="TextoNormalNegritaCentrado"/>
        <w:keepNext/>
      </w:pPr>
    </w:p>
    <w:p w:rsidR="00AC56D6" w:rsidRDefault="00AC56D6" w:rsidP="00AC56D6">
      <w:pPr>
        <w:pStyle w:val="TextoNormal"/>
      </w:pPr>
      <w:r>
        <w:t>Con el máximo respeto a la opinión mayoritaria de mis compañeros de Sala en la que se sustenta la Sentencia, manifiesto mi discrepancia con la fundamentación jurídica y el fallo de esta, que entiendo hubiera debido de ser desestimatorio.</w:t>
      </w:r>
    </w:p>
    <w:p w:rsidR="00AC56D6" w:rsidRDefault="00AC56D6" w:rsidP="00AC56D6">
      <w:pPr>
        <w:pStyle w:val="TextoNormal"/>
      </w:pPr>
    </w:p>
    <w:p w:rsidR="00AC56D6" w:rsidRDefault="00AC56D6" w:rsidP="00AC56D6">
      <w:pPr>
        <w:pStyle w:val="TextoNormal"/>
      </w:pPr>
      <w:r>
        <w:lastRenderedPageBreak/>
        <w:t>El objeto de este recurso de amparo plantea, una vez más, el supuesto de una ley autonómica que, dictada al amparo de las competencias de desarrollo, devine contraria a la normativa estatal básica por una modificación sobrevenida de ésta. Tal como se expone en la opinión mayoritaria, es jurisprudencia constitucional reiterada que en tales supuestos, aunque la norma autonómica resultara respetuosa en su origen con el orden constitucional de competencias, la contrariedad sobrevenida al bloque de la constitucionalidad provocada por una modificación de la legislación estatal básica y su consiguiente inaplicación es un supuesto de inconstitucionalidad mediata que solo puede ser apreciada por este Tribunal Constitucional de acuerdo con lo establecido en el art. 163 CE.</w:t>
      </w:r>
    </w:p>
    <w:p w:rsidR="00AC56D6" w:rsidRDefault="00AC56D6" w:rsidP="00AC56D6">
      <w:pPr>
        <w:pStyle w:val="TextoNormal"/>
      </w:pPr>
    </w:p>
    <w:p w:rsidR="00AC56D6" w:rsidRDefault="00AC56D6" w:rsidP="00AC56D6">
      <w:pPr>
        <w:pStyle w:val="TextoNormal"/>
      </w:pPr>
      <w:r>
        <w:t xml:space="preserve">Esta doctrina constitucional ha sido desde sus inicios objeto de opiniones minoritarias (así, SSTC 1/2003, de 16 de enero; 66/2011, de 16 de mayo, o 177/2013, de 21 de octubre), a las que me adhiero y que son también el fundamento de mis discrepancias con la solución alcanzada en el presente recurso de amparo. Comparto lo expuesto en esos diversos votos particulares, cuando ponen de manifiesto que en estos casos las colisiones entre leyes autonómicas y leyes básicas estatales modificadas después de la aprobación de aquéllas pueden y deben ser resueltas bien mediante una interpretación de los preceptos en controversia que permita conjugar su aplicación, haciendo prevalecer la interpretación de las leyes que es conforme con la Constitución y el orden constitucional de competencias; bien, cuando dicha interpretación conjunta no fuera posible, dando aplicación, conforme a lo establecido en el art. 149.3, inciso 3, CE, a la normativa básica estatal. La legislación básica debe prevalecer sobre las leyes autonómicas que, a pesar de haber sido aprobadas válidamente en su momento, no resultan del ejercicio de competencias exclusivas —en sentido estricto— de las Comunidades Autónomas, sino de competencias de “desarrollo legislativo” de las bases del Estado, como era aquí el caso. Esta prevalencia, sin embargo, como he defendido ya desde antiguo, no es un supuesto de declaración de nulidad de la norma autonómica cuyo monopolio competa al Tribunal Constitucional </w:t>
      </w:r>
      <w:r w:rsidRPr="00AC56D6">
        <w:rPr>
          <w:i/>
        </w:rPr>
        <w:t>ex</w:t>
      </w:r>
      <w:r>
        <w:t xml:space="preserve"> art. 163 CE. Es un supuesto de inaplicación en que la normativa autonómica resulta desplazada por criterios de prevalencia que, como labor de interpretación y aplicación de normas en conflicto, puede ser desarrollada con naturalidad por los órganos judiciales, sin perjuicio de un eventual control posterior por parte de este Tribunal Constitucional.</w:t>
      </w:r>
    </w:p>
    <w:p w:rsidR="00AC56D6" w:rsidRDefault="00AC56D6" w:rsidP="00AC56D6">
      <w:pPr>
        <w:pStyle w:val="TextoNormal"/>
      </w:pPr>
    </w:p>
    <w:p w:rsidR="00AC56D6" w:rsidRDefault="00AC56D6" w:rsidP="00AC56D6">
      <w:pPr>
        <w:pStyle w:val="TextoNormal"/>
      </w:pPr>
      <w:r>
        <w:t>Madrid, a veintiuno de septiembre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52" w:name="SENTENCIA_2015_196"/>
      <w:r>
        <w:lastRenderedPageBreak/>
        <w:t>SENTENCIA 196/2015, de 24 de septiembre de 2015</w:t>
      </w:r>
    </w:p>
    <w:bookmarkEnd w:id="52"/>
    <w:p w:rsidR="00AC56D6" w:rsidRDefault="00AC56D6" w:rsidP="00AC56D6">
      <w:pPr>
        <w:pStyle w:val="TtuloResolucin"/>
      </w:pPr>
      <w:r>
        <w:t>Pleno</w:t>
      </w:r>
    </w:p>
    <w:p w:rsidR="00AC56D6" w:rsidRDefault="00AC56D6" w:rsidP="00AC56D6">
      <w:pPr>
        <w:pStyle w:val="TtuloBOE"/>
      </w:pPr>
      <w:r>
        <w:t>(BOE núm. 260, de 30 de octubre de 2015)</w:t>
      </w:r>
    </w:p>
    <w:p w:rsidR="00AC56D6" w:rsidRDefault="00AC56D6" w:rsidP="00AC56D6">
      <w:pPr>
        <w:pStyle w:val="TextoNormalCentrado"/>
      </w:pPr>
      <w:r>
        <w:t>ECLI:ES:TC:2015:196</w:t>
      </w:r>
    </w:p>
    <w:p w:rsidR="00AC56D6" w:rsidRDefault="00AC56D6" w:rsidP="00AC56D6">
      <w:pPr>
        <w:pStyle w:val="TextoNormalCentrado"/>
      </w:pPr>
    </w:p>
    <w:p w:rsidR="00AC56D6" w:rsidRDefault="00AC56D6" w:rsidP="00AC56D6">
      <w:pPr>
        <w:pStyle w:val="SntesisDescriptiva"/>
      </w:pPr>
      <w:r>
        <w:t>Recurso de inconstitucionalidad 6363-2011. Interpuesto por el Consejo de Gobierno de la Generalitat Valenciana respecto de la disposición final primera del Real Decreto-ley 12/2011, de 26 de agosto, por el que se modifica la Ley 1/2000, de 7 de enero, de enjuiciamiento civil, para la aplicación del convenio internacional sobre el embargo preventivo de buques y se regulan competencias autonómicas en materia de policía de dominio público hidráulico.</w:t>
      </w:r>
    </w:p>
    <w:p w:rsidR="00AC56D6" w:rsidRDefault="00AC56D6" w:rsidP="00AC56D6">
      <w:pPr>
        <w:pStyle w:val="SntesisDescriptiva"/>
      </w:pPr>
    </w:p>
    <w:p w:rsidR="00AC56D6" w:rsidRDefault="00AC56D6" w:rsidP="00AC56D6">
      <w:pPr>
        <w:pStyle w:val="SntesisAnaltica"/>
      </w:pPr>
      <w:r>
        <w:t>Competencias en materia de aguas y límites a los decretos-leyes: falta de acreditación del presupuesto habilitante para aprobar con carácter urgente el precepto legal relativo a las competencias autonómicas en materia de policía de dominio público hidráulico (STC 30/2011). Voto particular.</w:t>
      </w:r>
    </w:p>
    <w:p w:rsidR="00AC56D6" w:rsidRDefault="00AC56D6" w:rsidP="00AC56D6">
      <w:pPr>
        <w:pStyle w:val="SntesisAnaltica"/>
      </w:pPr>
    </w:p>
    <w:p w:rsidR="00AC56D6" w:rsidRDefault="00AC56D6" w:rsidP="00AC56D6">
      <w:pPr>
        <w:pStyle w:val="Extracto"/>
      </w:pPr>
      <w:r>
        <w:t>1.</w:t>
      </w:r>
      <w:r>
        <w:tab/>
        <w:t>Para que resulte legítimo usar la habilitación constitucional de la acción normativa de urgencia no basta con comprobar la existencia de una situación de inseguridad jurídica; hace falta, además, que esa incertidumbre venga cualificada por unas determinadas circunstancias singulares, cuya presencia es la que reclama y fundamenta su corrección urgente (STC 29/2015) [FJ 7].</w:t>
      </w:r>
    </w:p>
    <w:p w:rsidR="00AC56D6" w:rsidRDefault="00AC56D6" w:rsidP="00AC56D6">
      <w:pPr>
        <w:pStyle w:val="Extracto"/>
      </w:pPr>
    </w:p>
    <w:p w:rsidR="00AC56D6" w:rsidRDefault="00AC56D6" w:rsidP="00AC56D6">
      <w:pPr>
        <w:pStyle w:val="Extracto"/>
      </w:pPr>
      <w:r>
        <w:t>2.</w:t>
      </w:r>
      <w:r>
        <w:tab/>
        <w:t>Lo que puede legitimar y justificar el uso del real decreto-ley no es tanto la búsqueda de la seguridad jurídica, sino la eliminación de una situación de incertidumbre (STC 11/2002; STC 29/2015) [FJ 7].</w:t>
      </w:r>
    </w:p>
    <w:p w:rsidR="00AC56D6" w:rsidRDefault="00AC56D6" w:rsidP="00AC56D6">
      <w:pPr>
        <w:pStyle w:val="Extracto"/>
      </w:pPr>
    </w:p>
    <w:p w:rsidR="00AC56D6" w:rsidRDefault="00AC56D6" w:rsidP="00AC56D6">
      <w:pPr>
        <w:pStyle w:val="Extracto"/>
      </w:pPr>
      <w:r>
        <w:t>3.</w:t>
      </w:r>
      <w:r>
        <w:tab/>
        <w:t>El Gobierno no ha aportado ninguna razón atendible por la que la reforma no pudiese ser tramitada y aprobada por las Cortes Generales, titulares de la potestad legislativa y hubiese de ser aprobada directamente por el Gobierno a través de un real decreto-ley [FJ 6].</w:t>
      </w:r>
    </w:p>
    <w:p w:rsidR="00AC56D6" w:rsidRDefault="00AC56D6" w:rsidP="00AC56D6">
      <w:pPr>
        <w:pStyle w:val="Extracto"/>
      </w:pPr>
    </w:p>
    <w:p w:rsidR="00AC56D6" w:rsidRDefault="00AC56D6" w:rsidP="00AC56D6">
      <w:pPr>
        <w:pStyle w:val="Extracto"/>
      </w:pPr>
      <w:r>
        <w:t>4.</w:t>
      </w:r>
      <w:r>
        <w:tab/>
        <w:t>El concepto de extraordinaria y urgente necesidad que se contiene en la Constitución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razón por la cual, este Tribunal puede, en supuestos de uso abusivo o arbitrario, rechazar la definición que los órganos políticos hagan de una situación determinada (STC 100/2012; STC 39/2013) [FJ 3].</w:t>
      </w:r>
    </w:p>
    <w:p w:rsidR="00AC56D6" w:rsidRDefault="00AC56D6" w:rsidP="00AC56D6">
      <w:pPr>
        <w:pStyle w:val="Extracto"/>
      </w:pPr>
    </w:p>
    <w:p w:rsidR="00AC56D6" w:rsidRDefault="00AC56D6" w:rsidP="00AC56D6">
      <w:pPr>
        <w:pStyle w:val="Extracto"/>
      </w:pPr>
      <w:r>
        <w:t>5.</w:t>
      </w:r>
      <w:r>
        <w:tab/>
        <w:t>Es claro que el ejercicio de la potestad de control que compete a este Tribunal implica que la definición por los órganos políticos de una situación de extraordinaria y urgente necesidad sea explícita y razonada, y que exista una conexión de sentido o relación de adecuación entre la situación definida que constituye el presupuesto habilitante y las medidas que en el Decreto-ley se adoptan (STC 29/1982) [FJ 3].</w:t>
      </w:r>
    </w:p>
    <w:p w:rsidR="00AC56D6" w:rsidRDefault="00AC56D6" w:rsidP="00AC56D6">
      <w:pPr>
        <w:pStyle w:val="Extracto"/>
      </w:pPr>
    </w:p>
    <w:p w:rsidR="00AC56D6" w:rsidRDefault="00AC56D6" w:rsidP="00AC56D6">
      <w:pPr>
        <w:pStyle w:val="Extracto"/>
      </w:pPr>
      <w:r>
        <w:lastRenderedPageBreak/>
        <w:t>6.</w:t>
      </w:r>
      <w:r>
        <w:tab/>
        <w:t>La pérdida de objeto de la disposición recurrida, integrante de un Decreto-ley, no afecta al enjuiciamiento del denunciado incumplimiento del presupuesto habilitante ya que, en ese caso, la derogación de la norma no impide controlar si el ejercicio de la potestad reconocida al Gobierno se realizó siguiendo los requisitos constitucionalmente establecidos [FJ 2].</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inconstitucionalidad núm. 6363-2011, interpuesto por el Consell de la Generalitat Valenciana contra la disposición final primera del Real Decreto-ley 12/2011, de 26 de agosto, por el que se modifica la Ley 1/2000, de 7 de enero, de enjuiciamiento civil, para la aplicación del convenio internacional sobre el embargo preventivo de buques y se regulan competencias autonómicas en materia de policía de dominio público hidráulico. Han comparecido el Congreso de los Diputados y el Senado. Ha comparecido y formulado alegaciones el Gobierno de la Nación. Ha sido Ponente el Magistrado don Ricardo Enríquez Sancho,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presentado en el Registro General de este Tribunal el 22 de noviembre de 2011, la Abogada de la Generalitat Valenciana, actuando en la representación que legalmente ostenta, interpuso recurso de inconstitucionalidad contra la disposición final primera del Real Decreto-ley 12/2011, de 26 de agosto, citado en el encabezamiento, que tiene el siguiente tenor:</w:t>
      </w:r>
    </w:p>
    <w:p w:rsidR="00AC56D6" w:rsidRDefault="00AC56D6" w:rsidP="00AC56D6">
      <w:pPr>
        <w:pStyle w:val="TextoNormal"/>
      </w:pPr>
    </w:p>
    <w:p w:rsidR="00AC56D6" w:rsidRDefault="00AC56D6" w:rsidP="00AC56D6">
      <w:pPr>
        <w:pStyle w:val="TextoNormal"/>
      </w:pPr>
      <w:r>
        <w:t>“Disposición final primera. Modificación del texto refundido de la Ley de Aguas aprobado por Real Decreto Legislativo 1/2001, de 20 de julio.</w:t>
      </w:r>
    </w:p>
    <w:p w:rsidR="00AC56D6" w:rsidRDefault="00AC56D6" w:rsidP="00AC56D6">
      <w:pPr>
        <w:pStyle w:val="TextoNormal"/>
      </w:pPr>
    </w:p>
    <w:p w:rsidR="00AC56D6" w:rsidRDefault="00AC56D6" w:rsidP="00AC56D6">
      <w:pPr>
        <w:pStyle w:val="TextoNormal"/>
      </w:pPr>
      <w:r>
        <w:t>Se añade una nueva disposición adicional en el texto refundido de la Ley de Aguas aprobado por Real Decreto Legislativo 1/2001, de 20 de julio, con la siguiente redacción:</w:t>
      </w:r>
    </w:p>
    <w:p w:rsidR="00AC56D6" w:rsidRDefault="00AC56D6" w:rsidP="00AC56D6">
      <w:pPr>
        <w:pStyle w:val="TextoNormal"/>
      </w:pPr>
    </w:p>
    <w:p w:rsidR="00AC56D6" w:rsidRDefault="00AC56D6" w:rsidP="00AC56D6">
      <w:pPr>
        <w:pStyle w:val="TextoNormal"/>
      </w:pPr>
      <w:r>
        <w:t>‘Disposición adicional decimocuarta. Competencias autonómicas en materia de policía de dominio público hidráulico.</w:t>
      </w:r>
    </w:p>
    <w:p w:rsidR="00AC56D6" w:rsidRDefault="00AC56D6" w:rsidP="00AC56D6">
      <w:pPr>
        <w:pStyle w:val="TextoNormal"/>
      </w:pPr>
    </w:p>
    <w:p w:rsidR="00AC56D6" w:rsidRDefault="00AC56D6" w:rsidP="00AC56D6">
      <w:pPr>
        <w:pStyle w:val="TextoNormal"/>
      </w:pPr>
      <w:r>
        <w:t>En las cuencas hidrográficas intercomunitarias, corresponderá a las Comunidades Autónomas que tengan prevista la competencia ejecutiva sobre las facultades de policía de dominio público hidráulico en sus Estatutos de Autonomía, el ejercicio, dentro de su ámbito territorial, de las funciones señaladas en el apartado 2 del artículo 94 de esta Ley, así como la tramitación de los procedimientos a que den lugar dichas actuaciones hasta la propuesta de resolución.</w:t>
      </w:r>
    </w:p>
    <w:p w:rsidR="00AC56D6" w:rsidRDefault="00AC56D6" w:rsidP="00AC56D6">
      <w:pPr>
        <w:pStyle w:val="TextoNormal"/>
      </w:pPr>
    </w:p>
    <w:p w:rsidR="00AC56D6" w:rsidRDefault="00AC56D6" w:rsidP="00AC56D6">
      <w:pPr>
        <w:pStyle w:val="TextoNormal"/>
      </w:pPr>
      <w:r>
        <w:t>En el ejercicio de estas funciones, será aplicable a los órganos competentes de las Comunidades Autónomas lo dispuesto en los apartados 3 y 4 del artículo 94’.”</w:t>
      </w:r>
    </w:p>
    <w:p w:rsidR="00AC56D6" w:rsidRDefault="00AC56D6" w:rsidP="00AC56D6">
      <w:pPr>
        <w:pStyle w:val="TextoNormal"/>
      </w:pPr>
    </w:p>
    <w:p w:rsidR="00AC56D6" w:rsidRDefault="00AC56D6" w:rsidP="00AC56D6">
      <w:pPr>
        <w:pStyle w:val="TextoNormal"/>
      </w:pPr>
      <w:r w:rsidRPr="00AC56D6">
        <w:rPr>
          <w:rStyle w:val="NumeroAFNegritaCaracter"/>
        </w:rPr>
        <w:t>2</w:t>
      </w:r>
      <w:r>
        <w:t>. Los motivos de este recurso de inconstitucionalidad son los que, sucintamente, se recogen a continuación:</w:t>
      </w:r>
    </w:p>
    <w:p w:rsidR="00AC56D6" w:rsidRDefault="00AC56D6" w:rsidP="00AC56D6">
      <w:pPr>
        <w:pStyle w:val="TextoNormal"/>
      </w:pPr>
    </w:p>
    <w:p w:rsidR="00AC56D6" w:rsidRDefault="00AC56D6" w:rsidP="00AC56D6">
      <w:pPr>
        <w:pStyle w:val="TextoNormal"/>
      </w:pPr>
      <w:r>
        <w:t>a) En primer lugar se denuncia la infracción del art. 86.1 CE al no responder la norma impugnada a ninguna situación de “extraordinaria y urgente necesidad”, como exige el citado precepto constitucional para que el Gobierno pueda dictar un real decreto-ley.</w:t>
      </w:r>
    </w:p>
    <w:p w:rsidR="00AC56D6" w:rsidRDefault="00AC56D6" w:rsidP="00AC56D6">
      <w:pPr>
        <w:pStyle w:val="TextoNormal"/>
      </w:pPr>
    </w:p>
    <w:p w:rsidR="00AC56D6" w:rsidRDefault="00AC56D6" w:rsidP="00AC56D6">
      <w:pPr>
        <w:pStyle w:val="TextoNormal"/>
      </w:pPr>
      <w:r>
        <w:t>El escrito de interposición recuerda la doctrina de este Tribunal acerca de la posibilidad de controlar el correcto ejercicio por parte del Gobierno de la potestad legislativa provisional y de urgencia que este artículo le reconoce, con cita de las SSTC 29/1982, 8/1983, 29/1986 y, sobre todo, 182/1997, FJ 3, y de la posibilidad que este Tribunal tiene de declarar la nulidad de un real decreto-ley cuando se hace un “uso abusivo o arbitrario” del mismo “por inexistencia del presupuesto habilitante por invasión de las facultades reservadas a las Cortes Generales” (STC 182/1997).</w:t>
      </w:r>
    </w:p>
    <w:p w:rsidR="00AC56D6" w:rsidRDefault="00AC56D6" w:rsidP="00AC56D6">
      <w:pPr>
        <w:pStyle w:val="TextoNormal"/>
      </w:pPr>
    </w:p>
    <w:p w:rsidR="00AC56D6" w:rsidRDefault="00AC56D6" w:rsidP="00AC56D6">
      <w:pPr>
        <w:pStyle w:val="TextoNormal"/>
      </w:pPr>
      <w:r>
        <w:t>En este sentido, la parte recurrente denuncia que no existen circunstancias que hayan requerido de esta acción normativa del Gobierno. Y así, constata que el apartado II de la exposición de motivos del Real Decreto-ley recurrido se limita a señalar: “[c]on esta medida se pretende dotar de mayor seguridad jurídica a las relaciones interadministrativas en materia de aguas, todo ello conforme a la reciente doctrina del Tribunal Constitucional contenida en la Sentencia 30/2011, de 16 de marzo”. Nada más. Y tampoco en el debate parlamentario de convalidación, dice, se aporta argumento alguno adicional para justificar el ejercicio de esta potestad legislativa excepcional.</w:t>
      </w:r>
    </w:p>
    <w:p w:rsidR="00AC56D6" w:rsidRDefault="00AC56D6" w:rsidP="00AC56D6">
      <w:pPr>
        <w:pStyle w:val="TextoNormal"/>
      </w:pPr>
    </w:p>
    <w:p w:rsidR="00AC56D6" w:rsidRDefault="00AC56D6" w:rsidP="00AC56D6">
      <w:pPr>
        <w:pStyle w:val="TextoNormal"/>
      </w:pPr>
      <w:r>
        <w:t>Subraya que conforme a la doctrina de este Tribunal las razones esgrimidas por el Gobierno para dictar un real decreto-ley deben ser concretas. Por ello, la justificación expuesta le parece claramente insuficiente, al no especificar con claridad cuáles han sido las razones que han llevado al ejecutivo a hacer uso de la potestad que le confiere el art. 86.1 CE. Y en base a ello, considera que la disposición cuestionada debe ser anulada.</w:t>
      </w:r>
    </w:p>
    <w:p w:rsidR="00AC56D6" w:rsidRDefault="00AC56D6" w:rsidP="00AC56D6">
      <w:pPr>
        <w:pStyle w:val="TextoNormal"/>
      </w:pPr>
    </w:p>
    <w:p w:rsidR="00AC56D6" w:rsidRDefault="00AC56D6" w:rsidP="00AC56D6">
      <w:pPr>
        <w:pStyle w:val="TextoNormal"/>
      </w:pPr>
      <w:r>
        <w:t>b) En los motivos segundo y tercero la parte asume el contenido de la disposición recurrida, pero no cuestiona tanto ese contenido, materia que queda reservada y deferida al motivo cuarto del recurso, como sus aspectos circundantes, en concreto el carácter repentino e imprevisible de la reforma y el incumplimiento de trámites procedimentales.</w:t>
      </w:r>
    </w:p>
    <w:p w:rsidR="00AC56D6" w:rsidRDefault="00AC56D6" w:rsidP="00AC56D6">
      <w:pPr>
        <w:pStyle w:val="TextoNormal"/>
      </w:pPr>
    </w:p>
    <w:p w:rsidR="00AC56D6" w:rsidRDefault="00AC56D6" w:rsidP="00AC56D6">
      <w:pPr>
        <w:pStyle w:val="TextoNormal"/>
      </w:pPr>
      <w:r>
        <w:lastRenderedPageBreak/>
        <w:t>Así, en el segundo motivo de inconstitucionalidad se defiende la infracción por la disposición cuestionada del principio de seguridad jurídica consagrado en el art. 9.3 CE, produciéndose esta vulneración, en opinión del Consejo de Gobierno recurrente, por haber introducido el Real Decreto-ley un nuevo régimen en el reparto competencial existente sobre las cuencas intercomunitarias.</w:t>
      </w:r>
    </w:p>
    <w:p w:rsidR="00AC56D6" w:rsidRDefault="00AC56D6" w:rsidP="00AC56D6">
      <w:pPr>
        <w:pStyle w:val="TextoNormal"/>
      </w:pPr>
    </w:p>
    <w:p w:rsidR="00AC56D6" w:rsidRDefault="00AC56D6" w:rsidP="00AC56D6">
      <w:pPr>
        <w:pStyle w:val="TextoNormal"/>
      </w:pPr>
      <w:r>
        <w:t>La Abogada de la Generalitat recuerda que el principio de seguridad jurídica supone asegurar a los ciudadanos “certeza sobre el ordenamiento jurídico aplicable” para que éstos puedan “saber a qué atenerse”, según ha reiterado este Tribunal (cita la STC 182/1997). Y rechaza las modificaciones “imprevisibles”, en expresión de la STC 173/1996. Pues bien, teniendo esto en cuenta, constata que la modificación operada es de tal calado que vulnera la propia jurisprudencia de este Tribunal Constitucional en relación con el principio de unidad de cuenca (STC 227/1988). Y para ello, sin embargo, no se especifica la existencia de un vacío normativo que haya que colmar y que haga peligrar la seguridad jurídica, ni se han explicitado perjuicios, obstáculos o problemas que justifiquen esa modificación.</w:t>
      </w:r>
    </w:p>
    <w:p w:rsidR="00AC56D6" w:rsidRDefault="00AC56D6" w:rsidP="00AC56D6">
      <w:pPr>
        <w:pStyle w:val="TextoNormal"/>
      </w:pPr>
    </w:p>
    <w:p w:rsidR="00AC56D6" w:rsidRDefault="00AC56D6" w:rsidP="00AC56D6">
      <w:pPr>
        <w:pStyle w:val="TextoNormal"/>
      </w:pPr>
      <w:r>
        <w:t>Por último, destaca que a pesar de referirse genéricamente la nueva disposición adicional decimocuarta del texto refundido de la Ley de aguas a “las Comunidades Autónomas que tengan prevista la competencia ejecutiva sobre las facultades de policía de dominio público hidráulico en sus Estatutos de Autonomía”, en forma indeterminada, lo cierto es que son solamente tres, dice, los Estatutos que contienen esa previsión, los de Andalucía, Aragón y Cataluña, tal y como reconoció la Ministra de medio ambiente en el debate de convalidación. Sin embargo, este tipo de cláusulas estatutarias deben considerarse vacías de contenido por cuanto no pueden generar diferencias con otras Comunidades Autónomas como la Comunidad Valenciana, tal y como resulta, en su opinión, de las SSTC 24/2007 y 194/2004.</w:t>
      </w:r>
    </w:p>
    <w:p w:rsidR="00AC56D6" w:rsidRDefault="00AC56D6" w:rsidP="00AC56D6">
      <w:pPr>
        <w:pStyle w:val="TextoNormal"/>
      </w:pPr>
    </w:p>
    <w:p w:rsidR="00AC56D6" w:rsidRDefault="00AC56D6" w:rsidP="00AC56D6">
      <w:pPr>
        <w:pStyle w:val="TextoNormal"/>
      </w:pPr>
      <w:r>
        <w:t xml:space="preserve">c) En el tercer motivo de inconstitucionalidad se defiende que la disposición aprobada incurre en arbitrariedad proscrita por el art. 9.3 CE, porque supone una modificación legislativa que afecta al principio de unidad de cuenca por “capricho” (SSTC 99/1987 y 239/1992), con “flagrante contradicción entre algunos de los mandatos de la ley y el sistema que ésta diseña” (STC 49/1988) y sin ninguna “justificación o finalidad razonable” (STC 49/1988 y 104/2000). En concreto, la parte recurrente denuncia que la modificación del reparto competencial producida por la meritada disposición se ha efectuado sin ningún tipo de informes, deliberaciones con agentes sociales, órganos institucionales, etc. En particular, le parece relevante que esa modificación no haya sido informada por el Consejo Nacional del Agua, cuando el art. 20.1 c) del texto refundido de la Ley de aguas obliga a que los proyectos de disposición de carácter general sean informados por el órgano citado como órgano consultivo superior en la materia y en el que se canaliza la intervención de todos los agentes implicados en la gestión del agua: Estado, Comunidades Autónomas, entes locales, organismos de cuenca y organizaciones profesionales y económicas (art. 19 del texto refundido de la Ley de aguas). Por ello entiende vulnerado el “derecho de participación” de la Comunidad valenciana en las cuestiones que inciden en su ámbito competencial. Y si bien podría entenderse que una exigencia legal como la del citado art. 20.1 c) del texto refundido de la Ley de aguas podría ser obviada por el propio legislador, ello no debe admitirse, opina, en relación con la potestad legislativa del Gobierno. Cita en apoyo de esta tesis el principio de colaboración entre el Estado y las Comunidades Autónomas establecido por este Tribunal (STC 40/1998) y la anulación de un real decreto-ley por la falta de un informe preceptivo del Parlamento de Canarias acordada en la STC 53/1984. Ni siquiera podría prescindirse de </w:t>
      </w:r>
      <w:r>
        <w:lastRenderedPageBreak/>
        <w:t>este informe, entiende, en el caso de que este Tribunal aceptarse la existencia de una situación de “extraordinaria y urgente necesidad” que justificase el uso del real decreto-ley. Así lo imponen, según su parecer, los principios de lealtad institucional, buena fe y cooperación establecidos por este Tribunal.</w:t>
      </w:r>
    </w:p>
    <w:p w:rsidR="00AC56D6" w:rsidRDefault="00AC56D6" w:rsidP="00AC56D6">
      <w:pPr>
        <w:pStyle w:val="TextoNormal"/>
      </w:pPr>
    </w:p>
    <w:p w:rsidR="00AC56D6" w:rsidRDefault="00AC56D6" w:rsidP="00AC56D6">
      <w:pPr>
        <w:pStyle w:val="TextoNormal"/>
      </w:pPr>
      <w:r>
        <w:t xml:space="preserve">d) Finalmente, en el cuarto motivo del recurso se exponen las quejas del órgano recurrente en relación con el concreto contenido de la reforma. Lo establecido en la disposición aprobada le parece contrario a la Directiva 2000/60/CE y al texto refundido de la Ley de aguas, por no respetar el principio de unidad de cuenca derivado de la citada Directiva y consagrado en el texto refundido de la Ley de aguas (arts. 16 y 16 </w:t>
      </w:r>
      <w:r w:rsidRPr="00AC56D6">
        <w:rPr>
          <w:i/>
        </w:rPr>
        <w:t>bis</w:t>
      </w:r>
      <w:r>
        <w:t>). Se trata, en su opinión, de una reforma que afecta al régimen competencial derivado del art. 149.1.22 CE, pues la unidad de gestión no puede ser fragmentada, según las SSTC 30/2011, de 16 de marzo, y 32/2011, de 17 de marzo. Además, en la disposición recurrida no habla de “delegación de competencias”, lo que podría tener encaje en el art. 150.2 CE, sino de las propias competencias, que pasan a ser titularidad de las Comunidades Autónomas beneficiarias en contra de lo establecido por el citado art. 149.1.22 CE. Y así, en su concreto caso, pone de manifiesto que el efecto de la reforma es que serán las comunidades de Aragón, Castilla-la Mancha o Murcia las que ejerzan esas competencias atribuidas y reguladas por la nueva disposición añadida a la Ley de aguas respecto de las aguas del Turia, Mijares y Palancia la primera, y de los ríos Júcar y Segura la segunda y la tercera, respectivamente. Frente a ello, la tutela del dominio público hidráulico en las cuencas intercomunitarias está atribuida al Estado y a los organismos de cuenca en los arts. 17 d) y 94.2 del texto refundido de la Ley de aguas, no afectados por la reforma, y las competencias ejecutivas en materia de aguas intercomunitarias han sido incluidas en la competencia exclusiva del Estado por la STC 161/1996.</w:t>
      </w:r>
    </w:p>
    <w:p w:rsidR="00AC56D6" w:rsidRDefault="00AC56D6" w:rsidP="00AC56D6">
      <w:pPr>
        <w:pStyle w:val="TextoNormal"/>
      </w:pPr>
    </w:p>
    <w:p w:rsidR="00AC56D6" w:rsidRDefault="00AC56D6" w:rsidP="00AC56D6">
      <w:pPr>
        <w:pStyle w:val="TextoNormal"/>
      </w:pPr>
      <w:r>
        <w:t>En suma, le parece que el Estado ha procedido mediante un real decreto-ley a modificar una ley ordinaria como el texto refundido de la Ley de aguas con la finalidad de atribuir a determinadas Comunidades Autónomas unas competencias que la Constitución reserva al Estado. Y ni la legislación ordinaria ni, con mayor razón, un real decreto-ley son instrumentos aptos para ello. Una modificación extraestatutaria de competencias podría instrumentarse, dice, a través de una ley orgánica de transferencia o delegación del art. 150.2 CE, pero ni en este caso se ha aprobado una ley orgánica, como exige el citado precepto, ni por real decreto-ley podría efectuarse una delegación, pues esa clase de instrumento normativo tiene vedado “afectar … al régimen de las Comunidades Autónomas” (art. 86.1 CE), una expresión en la que el propio Tribunal Constitucional ha incluido las Leyes Orgánicas del artículo 150.2 CE (STC 23/1993, de 21 de enero, FJ 2).</w:t>
      </w:r>
    </w:p>
    <w:p w:rsidR="00AC56D6" w:rsidRDefault="00AC56D6" w:rsidP="00AC56D6">
      <w:pPr>
        <w:pStyle w:val="TextoNormal"/>
      </w:pPr>
    </w:p>
    <w:p w:rsidR="00AC56D6" w:rsidRDefault="00AC56D6" w:rsidP="00AC56D6">
      <w:pPr>
        <w:pStyle w:val="TextoNormal"/>
      </w:pPr>
      <w:r>
        <w:t>Por todos estos motivos solicita la declaración de inconstitucionalidad de la disposición recurrida.</w:t>
      </w:r>
    </w:p>
    <w:p w:rsidR="00AC56D6" w:rsidRDefault="00AC56D6" w:rsidP="00AC56D6">
      <w:pPr>
        <w:pStyle w:val="TextoNormal"/>
      </w:pPr>
    </w:p>
    <w:p w:rsidR="00AC56D6" w:rsidRDefault="00AC56D6" w:rsidP="00AC56D6">
      <w:pPr>
        <w:pStyle w:val="TextoNormal"/>
      </w:pPr>
      <w:r w:rsidRPr="00AC56D6">
        <w:rPr>
          <w:rStyle w:val="NumeroAFNegritaCaracter"/>
        </w:rPr>
        <w:t>3</w:t>
      </w:r>
      <w:r>
        <w:t>. El Pleno del Tribunal, mediante providencia de 13 de enero de 2012, admitió a trámite el presente recurso de inconstitucionalidad y acordó dar traslado de las actuaciones,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estimaran pertinentes, acordándose en el mismo trámite publicar la incoación del recurso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4</w:t>
      </w:r>
      <w:r>
        <w:t>. El día 17 de enero de 2012, el Abogado del Estado presentó en el Registro General de este Tribunal un escrito en el que solicitaba que se le tuviera por comparecido en este proceso en nombre del Gobierno de la Nación e interesando, además, la prórroga del plazo concedido para formular alegaciones por el máximo legal, solicitudes que fueron atendidas mediante providencia del Pleno de 18 de enero de 2012.</w:t>
      </w:r>
    </w:p>
    <w:p w:rsidR="00AC56D6" w:rsidRDefault="00AC56D6" w:rsidP="00AC56D6">
      <w:pPr>
        <w:pStyle w:val="TextoNormal"/>
      </w:pPr>
    </w:p>
    <w:p w:rsidR="00AC56D6" w:rsidRDefault="00AC56D6" w:rsidP="00AC56D6">
      <w:pPr>
        <w:pStyle w:val="TextoNormal"/>
      </w:pPr>
      <w:r w:rsidRPr="00AC56D6">
        <w:rPr>
          <w:rStyle w:val="NumeroAFNegritaCaracter"/>
        </w:rPr>
        <w:t>5</w:t>
      </w:r>
      <w:r>
        <w:t>. La Mesa del Senado, por escrito de su Presidente registrado el 25 de enero de 2012, acordó dar por personada a esa Cámara y por ofrecida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6</w:t>
      </w:r>
      <w:r>
        <w:t>. Lo mismo hizo la Mesa del Congreso de los Diputados a través de escrito de su Presidente presentado en el Registro General de este Tribunal el día 3 de febrero de 2012.</w:t>
      </w:r>
    </w:p>
    <w:p w:rsidR="00AC56D6" w:rsidRDefault="00AC56D6" w:rsidP="00AC56D6">
      <w:pPr>
        <w:pStyle w:val="TextoNormal"/>
      </w:pPr>
    </w:p>
    <w:p w:rsidR="00AC56D6" w:rsidRDefault="00AC56D6" w:rsidP="00AC56D6">
      <w:pPr>
        <w:pStyle w:val="TextoNormal"/>
      </w:pPr>
      <w:r w:rsidRPr="00AC56D6">
        <w:rPr>
          <w:rStyle w:val="NumeroAFNegritaCaracter"/>
        </w:rPr>
        <w:t>7</w:t>
      </w:r>
      <w:r>
        <w:t>. El 15 de febrero de 2012 tuvo entrada en este Tribunal el escrito de alegaciones del Abogado del Estado. En él, se defiende la plena conformidad con la Constitución de la disposición recurrida de acuerdo con los argumentos que, sucintamente, se exponen a continuación.</w:t>
      </w:r>
    </w:p>
    <w:p w:rsidR="00AC56D6" w:rsidRDefault="00AC56D6" w:rsidP="00AC56D6">
      <w:pPr>
        <w:pStyle w:val="TextoNormal"/>
      </w:pPr>
    </w:p>
    <w:p w:rsidR="00AC56D6" w:rsidRDefault="00AC56D6" w:rsidP="00AC56D6">
      <w:pPr>
        <w:pStyle w:val="TextoNormal"/>
      </w:pPr>
      <w:r>
        <w:t>a) En cuanto a la falta de presupuesto habilitante, le parece oportuno comenzar recordando una serie de hechos significativos que traen causa de la STC 30/2011, de 16 de marzo, por la que se declaró inconstitucional y nulo el art. 51 de la Ley Orgánica 2/2007, de 19 de mayo, de reforma del Estatuto de Autonomía de Andalucía (EAAnd, en adelante), en una interpretación reiterada en la STC 32/2011, de 17 de marzo, esta vez en relación con el art. 75.1 del estatuto de Autonomía de Castilla y León aprobado por Ley Orgánica 14/2007, de 30 de noviembre.</w:t>
      </w:r>
    </w:p>
    <w:p w:rsidR="00AC56D6" w:rsidRDefault="00AC56D6" w:rsidP="00AC56D6">
      <w:pPr>
        <w:pStyle w:val="TextoNormal"/>
      </w:pPr>
    </w:p>
    <w:p w:rsidR="00AC56D6" w:rsidRDefault="00AC56D6" w:rsidP="00AC56D6">
      <w:pPr>
        <w:pStyle w:val="TextoNormal"/>
      </w:pPr>
      <w:r>
        <w:t>Como consecuencia de la primera de esas Sentencias, dice el Abogado del Estado, se tuvieron que arbitrar con carácter inmediato medidas de carácter temporal y provisional en orden a garantizar la continuidad y normalidad en la prestación del servicio público de gestión de los recursos y aprovechamientos hidráulicos en las aguas de la cuenca de Guadalquivir. Medidas que se plasmaron a través de un convenio de colaboración entre el Estado y la Comunidad Autónoma de Andalucía suscrito el 7 de noviembre de 2011.</w:t>
      </w:r>
    </w:p>
    <w:p w:rsidR="00AC56D6" w:rsidRDefault="00AC56D6" w:rsidP="00AC56D6">
      <w:pPr>
        <w:pStyle w:val="TextoNormal"/>
      </w:pPr>
    </w:p>
    <w:p w:rsidR="00AC56D6" w:rsidRDefault="00AC56D6" w:rsidP="00AC56D6">
      <w:pPr>
        <w:pStyle w:val="TextoNormal"/>
      </w:pPr>
      <w:r>
        <w:t>Sin embargo, la Sala Tercera del Tribunal Supremo, en tres Sentencias de 13 y 14 de junio de 2011, dictadas en los recursos núms. 66-2008, 1-2009 y 2-2009, declaró la nulidad del Real Decreto 1666/2008, de 17 de octubre, sobre traspaso de funciones y servicios de la Administración del Estado a la Comunidad Autónoma de Andalucía en materia de recursos y aprovechamientos hidráulicos correspondientes a las aguas de la cuenta del Guadalquivir que discurren íntegramente por el territorio de la comunidad autónoma. En esas Sentencias se razonaba que “la declaración de inconstitucionalidad y consiguiente anulación del artículo 51 EAAnd”, producida por la STC 30/2011 ya citada, “priva de soporte constitucional y anula el fundamento del traspaso de funciones y servicios de la Administración del Estado a la Comunidad Autónoma de Andalucía”, razón por la cual procedía declarar “no … la mera ineficacia pro futuro, con alcance únicamente prospectivo, de la regulación contenida en aquel precepto, sino su nulidad al resultar contrario a la Constitución”.</w:t>
      </w:r>
    </w:p>
    <w:p w:rsidR="00AC56D6" w:rsidRDefault="00AC56D6" w:rsidP="00AC56D6">
      <w:pPr>
        <w:pStyle w:val="TextoNormal"/>
      </w:pPr>
    </w:p>
    <w:p w:rsidR="00AC56D6" w:rsidRDefault="00AC56D6" w:rsidP="00AC56D6">
      <w:pPr>
        <w:pStyle w:val="TextoNormal"/>
      </w:pPr>
      <w:r>
        <w:lastRenderedPageBreak/>
        <w:t>En ejecución de las referidas Sentencias el Gobierno procedió a aprobar el Real Decreto 1498/2011, de 21 de octubre, por el que se reintegraron a la Administración del Estado los medios materiales y personales traspasados a la Comunidad Autónoma de Andalucía por el Real Decreto 1666/2008 declarado nulo. Un real decreto que motivó además que el Tribunal Supremo rechazara el incidente de ejecución intentado por la Asociación Feragua de Comunidades de Regantes de Andalucía en el recurso núm. 1-2009 antes mencionado, precisamente por haberse ejecutado ya esas Sentencias a través del citado Real Decreto 1498/2011, de 21 de octubre (Auto de la Sección Tercera de la Sala Tercera del Tribunal Supremo de 15 de diciembre de 2012).</w:t>
      </w:r>
    </w:p>
    <w:p w:rsidR="00AC56D6" w:rsidRDefault="00AC56D6" w:rsidP="00AC56D6">
      <w:pPr>
        <w:pStyle w:val="TextoNormal"/>
      </w:pPr>
    </w:p>
    <w:p w:rsidR="00AC56D6" w:rsidRDefault="00AC56D6" w:rsidP="00AC56D6">
      <w:pPr>
        <w:pStyle w:val="TextoNormal"/>
      </w:pPr>
      <w:r>
        <w:t>De todo ello deduce el Abogado del Estado que existe una justificación “explícita y razonada” para el dictado del Real Decreto-ley recurrido, en los términos exigidos por nuestra jurisprudencia. Admite que puede discutirse si en el párrafo antes transcrito de la exposición de motivos existe una mención terminante y categórica a los hechos determinantes de la situación de extraordinaria y urgente necesidad, pero ello no determina para él que deba calificarse automáticamente de abusiva o arbitraria la actuación del Gobierno, sino que debe conducir al examen de si esos hechos o circunstancias relatados pueden servir de cobertura al Real Decreto-ley cuestionado. Y así, le parece que la declaración de inconstitucionalidad del art. 51 del Estatuto de Autonomía de Andalucía y las consecuencias a las que esa declaración de nulidad dio lugar (la nulidad, asimismo, del Real Decreto de traspaso núm. 1666/2008, antes citado) escenificaron una “situación de extraordinaria y urgente necesidad” que justifica la reacción legislativa inmediata del Gobierno.</w:t>
      </w:r>
    </w:p>
    <w:p w:rsidR="00AC56D6" w:rsidRDefault="00AC56D6" w:rsidP="00AC56D6">
      <w:pPr>
        <w:pStyle w:val="TextoNormal"/>
      </w:pPr>
    </w:p>
    <w:p w:rsidR="00AC56D6" w:rsidRDefault="00AC56D6" w:rsidP="00AC56D6">
      <w:pPr>
        <w:pStyle w:val="TextoNormal"/>
      </w:pPr>
      <w:r>
        <w:t>Y esto mismo se deduce del debate de convalidación, del que extracta el siguiente pasaje de la intervención de la Ministra de medio ambiente y medio rural y marino:</w:t>
      </w:r>
    </w:p>
    <w:p w:rsidR="00AC56D6" w:rsidRDefault="00AC56D6" w:rsidP="00AC56D6">
      <w:pPr>
        <w:pStyle w:val="TextoNormal"/>
      </w:pPr>
    </w:p>
    <w:p w:rsidR="00AC56D6" w:rsidRDefault="00AC56D6" w:rsidP="00AC56D6">
      <w:pPr>
        <w:pStyle w:val="TextoNormal"/>
      </w:pPr>
      <w:r>
        <w:t>“El Tribunal Constitucional, en su sentencia de 16 de marzo, declaró la inconstitucionalidad y nulidad del artículo 51 del Estatuto de Autonomía de Andalucía... Este pronunciamiento del Tribunal Constitucional lo reafirmó el propio Tribunal Constitucional el 17 de marzo en su sentencia 32/2011, en relación con la Ley Orgánica Estatuto de Autonomía de Castilla y León. Habidos los pronunciamientos del Tribunal Constitucional, hemos planteado, porque esos pronunciamientos lo han motivado, la modificación del sistema de gestión del agua en nuestro ordenamiento para dotarlo de mayor seguridad jurídica en lo que se refiere a las relaciones interadministrativas en materia de agua…</w:t>
      </w:r>
    </w:p>
    <w:p w:rsidR="00AC56D6" w:rsidRDefault="00AC56D6" w:rsidP="00AC56D6">
      <w:pPr>
        <w:pStyle w:val="TextoNormal"/>
      </w:pPr>
    </w:p>
    <w:p w:rsidR="00AC56D6" w:rsidRDefault="00AC56D6" w:rsidP="00AC56D6">
      <w:pPr>
        <w:pStyle w:val="TextoNormal"/>
      </w:pPr>
      <w:r>
        <w:t>En definitiva … a través de esta nueva disposición adicional se viene a dar cumplimiento a las previsiones estatutarias en el marco de la reciente doctrina sentada por el Tribunal Constitucional, contribuyendo con ello a la seguridad jurídica en las relaciones intracomunitarias en materia de agua y también preservando la unidad de cuenca a la hora de gestionarlas.”</w:t>
      </w:r>
    </w:p>
    <w:p w:rsidR="00AC56D6" w:rsidRDefault="00AC56D6" w:rsidP="00AC56D6">
      <w:pPr>
        <w:pStyle w:val="TextoNormal"/>
      </w:pPr>
    </w:p>
    <w:p w:rsidR="00AC56D6" w:rsidRDefault="00AC56D6" w:rsidP="00AC56D6">
      <w:pPr>
        <w:pStyle w:val="TextoNormal"/>
      </w:pPr>
      <w:r>
        <w:t>Estas circunstancias le parecen suficientes para rechazar el carácter abusivo o arbitrario del Real Decreto-ley 12/2011, pretendido de contrario.</w:t>
      </w:r>
    </w:p>
    <w:p w:rsidR="00AC56D6" w:rsidRDefault="00AC56D6" w:rsidP="00AC56D6">
      <w:pPr>
        <w:pStyle w:val="TextoNormal"/>
      </w:pPr>
    </w:p>
    <w:p w:rsidR="00AC56D6" w:rsidRDefault="00AC56D6" w:rsidP="00AC56D6">
      <w:pPr>
        <w:pStyle w:val="TextoNormal"/>
      </w:pPr>
      <w:r>
        <w:t xml:space="preserve">b) Sobre la alegada vulneración del art. 9.3 CE defendida en los motivos segundo y tercero del recurso, argumenta que la única mención de ese principio y precepto constitucional no pueden llevar, como pretende el Consejo recurrente, a la defensa de la petrificación del ordenamiento jurídico. Lo que debe ser objeto de debate es si la reforma introducida se ha </w:t>
      </w:r>
      <w:r>
        <w:lastRenderedPageBreak/>
        <w:t>hecho por el procedimiento adecuado y con sumisión a lo que el ordenamiento constitucional prevé, pero no es admisible defender la inalterabilidad de lo previamente legislado.</w:t>
      </w:r>
    </w:p>
    <w:p w:rsidR="00AC56D6" w:rsidRDefault="00AC56D6" w:rsidP="00AC56D6">
      <w:pPr>
        <w:pStyle w:val="TextoNormal"/>
      </w:pPr>
    </w:p>
    <w:p w:rsidR="00AC56D6" w:rsidRDefault="00AC56D6" w:rsidP="00AC56D6">
      <w:pPr>
        <w:pStyle w:val="TextoNormal"/>
      </w:pPr>
      <w:r>
        <w:t>c) Y por lo que respecta a la alegada omisión del informe del Consejo Nacional del Agua, considera que las circunstancias de extraordinaria y urgente necesidad que motivaron la aprobación del Real Decreto-ley 12/2011 justifican asimismo la preterición de ese dictamen. No debe olvidarse, abunda, que el Consejo Nacional del Agua es un órgano del Estado, por mucho que su composición responda a un diseño de configuración plural, y por consiguiente puede verse afectado en sus competencias por las circunstancias extraordinarias que justifiquen la utilización del Decreto-ley.</w:t>
      </w:r>
    </w:p>
    <w:p w:rsidR="00AC56D6" w:rsidRDefault="00AC56D6" w:rsidP="00AC56D6">
      <w:pPr>
        <w:pStyle w:val="TextoNormal"/>
      </w:pPr>
    </w:p>
    <w:p w:rsidR="00AC56D6" w:rsidRDefault="00AC56D6" w:rsidP="00AC56D6">
      <w:pPr>
        <w:pStyle w:val="TextoNormal"/>
      </w:pPr>
      <w:r>
        <w:t>d) En cuanto al fondo del recurso, la representación del Gobierno destaca que la razón de decidir de las SSTC 30/2011, de 16 de marzo, y 32/2011, de 17 de marzo, que anularon dos preceptos estatutarios y que están en el origen del Real Decreto-ley impugnado, fue la inconstitucionalidad del contenido de esos preceptos pero también la inconstitucionalidad del vehículo formal empleado para su aprobación, del tipo normativo, que fue un Estatuto de Autonomía. Así resulta de los dos siguientes pasajes de las referidas Sentencias, que extracta:</w:t>
      </w:r>
    </w:p>
    <w:p w:rsidR="00AC56D6" w:rsidRDefault="00AC56D6" w:rsidP="00AC56D6">
      <w:pPr>
        <w:pStyle w:val="TextoNormal"/>
      </w:pPr>
    </w:p>
    <w:p w:rsidR="00AC56D6" w:rsidRDefault="00AC56D6" w:rsidP="00AC56D6">
      <w:pPr>
        <w:pStyle w:val="TextoNormal"/>
      </w:pPr>
      <w:r>
        <w:t xml:space="preserve">En primer lugar, del fundamento jurídico 8 de la STC 31/2011, donde se dice: “con la definición estatutaria del criterio territorial determinante de la delimitación de las competencias atribuidas al Estado por el art. 149.1.22 CE no sólo se están asumiendo competencias fuera del ámbito que acabamos de señalar —arts. 148 y 149 CE </w:t>
      </w:r>
      <w:r w:rsidRPr="00AC56D6">
        <w:rPr>
          <w:i/>
        </w:rPr>
        <w:t>a sensu contrario</w:t>
      </w:r>
      <w:r>
        <w:t>— sino que además se menoscaban gravemente ‘las funciones propias’ de las competencias estatales … Tal función integradora padecería de manera irremisible si los Estatutos de Autonomía fueran constitucionalmente capaces de imponer un criterio de delimitación competencial respecto de potestades y funciones que, como es el caso con las aguas que discurren por varias Comunidades Autónomas, han de proyectarse sobre una realidad física supracomunitaria, cuya disciplina sería sencillamente imposible si los criterios adoptados en los Estatutos de las Comunidades Autónomas interesadas resultaran incompatibles o excluyentes”.</w:t>
      </w:r>
    </w:p>
    <w:p w:rsidR="00AC56D6" w:rsidRDefault="00AC56D6" w:rsidP="00AC56D6">
      <w:pPr>
        <w:pStyle w:val="TextoNormal"/>
      </w:pPr>
    </w:p>
    <w:p w:rsidR="00AC56D6" w:rsidRDefault="00AC56D6" w:rsidP="00AC56D6">
      <w:pPr>
        <w:pStyle w:val="TextoNormal"/>
      </w:pPr>
      <w:r>
        <w:t>Y, en segundo lugar, del fundamento jurídico 12 de la misma STC 30/2011, donde se razona: “[p]or último, y en relación con el art. 50.2 EAAnd, afirma el Consejo de Gobierno extremeño que sus dudas de constitucionalidad se centran en el último inciso del precepto, en cuanto atribuye a la Comunidad Autónoma de Andalucía facultades de policía del dominio público hidráulico sin dejar claro el tipo de cuencas al que se está haciendo referencia. De acuerdo con el propio recurrente, si se tratara de las intercomunitarias, sería constitucionalmente improcedente que el Estatuto asumiera así una competencia que corresponde al Estado (STC 161/1996, de 15 de junio). Así es, en efecto, y tal es la razón por la que, declarada la inconstitucionalidad del art. 51 EAAnd, esa interpretación no puede caber en el art. 50.2 EAAnd. Todo ello sin perjuicio de que, como alega el Abogado del Estado, nada impide que la legislación estatal de aguas confiera a las Comunidades Autónomas funciones o facultades de ‘policía del dominio público hidráulico’ en cuencas intercomunitarias (STC 161/1996, de 17 de octubre), o que, según el art. 17 d) de la Ley de aguas, entre las funciones del Estado en relación con el dominio público hidráulico se encuentre el otorgamiento de autorizaciones cuya tramitación puede encomendarse a las Comunidades Autónomas”.</w:t>
      </w:r>
    </w:p>
    <w:p w:rsidR="00AC56D6" w:rsidRDefault="00AC56D6" w:rsidP="00AC56D6">
      <w:pPr>
        <w:pStyle w:val="TextoNormal"/>
      </w:pPr>
    </w:p>
    <w:p w:rsidR="00AC56D6" w:rsidRDefault="00AC56D6" w:rsidP="00AC56D6">
      <w:pPr>
        <w:pStyle w:val="TextoNormal"/>
      </w:pPr>
      <w:r>
        <w:lastRenderedPageBreak/>
        <w:t xml:space="preserve">Por consiguiente, de los pasajes transcritos de la STC 30/2011 deduce que el principio de unidad de gestión de las cuencas intercomunitarias no impide a la legislación del Estado atribuir a las Comunidades Autónomas competencias ejecutivas en materia de policía de aguas, que es lo que aquí se ha hecho. Así lo confirma la normativa anterior a la reforma, donde se contienen previsiones semejantes. Es el caso del art. 17 d) del texto refundido de la Ley de aguas, que prevé la encomienda a las Comunidades Autónomas de la tramitación de las autorizaciones referentes al dominio público hidráulico en esta clase de cuencas, y también de la modificación de las zonas de servidumbre y de policía de los márgenes de los cauces públicos, previsto en el art. 9.3 del Reglamento de dominio público hidráulico, aprobado por Real Decreto 849/1986, de 11 de abril. Pudiendo citarse, además, en el mismo sentido los supuestos de colaboración del art. 25 del texto refundido de la Ley de aguas, y </w:t>
      </w:r>
      <w:r w:rsidRPr="00AC56D6">
        <w:rPr>
          <w:i/>
        </w:rPr>
        <w:t>a sensu contrario</w:t>
      </w:r>
      <w:r>
        <w:t xml:space="preserve">, el art. 36 </w:t>
      </w:r>
      <w:r w:rsidRPr="00AC56D6">
        <w:rPr>
          <w:i/>
        </w:rPr>
        <w:t>bis</w:t>
      </w:r>
      <w:r>
        <w:t>.4 del texto refundido de la Ley de aguas en relación con las cuencas intracomunitarias.</w:t>
      </w:r>
    </w:p>
    <w:p w:rsidR="00AC56D6" w:rsidRDefault="00AC56D6" w:rsidP="00AC56D6">
      <w:pPr>
        <w:pStyle w:val="TextoNormal"/>
      </w:pPr>
    </w:p>
    <w:p w:rsidR="00AC56D6" w:rsidRDefault="00AC56D6" w:rsidP="00AC56D6">
      <w:pPr>
        <w:pStyle w:val="TextoNormal"/>
      </w:pPr>
      <w:r>
        <w:t>e) Atiende por fin el Abogado del Estado a la denuncia de haber sido vulnerado el art. 150.2 CE en relación con el ámbito material de los decretos-leyes, efectuada por el Consell de la Generalitat Valenciana de modo incidental pero a la que la representación del Gobierno de la Nación dedica un apartado específico. En él, y frente a lo sostenido en el escrito de interposición, afirma que según la jurisprudencia de este Tribunal no existe en realidad inconveniente alguno en el hecho de que una ley estatal delimite el ejercicio de las facultades de las Comunidades Autónomas que éstas tengan ya atribuidas en sus propios Estatutos de Autonomía. Cita al respecto la STC 29/1986, cuando dice: “[e]sta limitación del art. 86.2 debe interpretarse en el sentido de que el Decreto-ley no puede afectar al régimen jurídico constitucional de las Comunidades Autónomas, incluida la posición institucional que les otorga la Constitución, es decir, en el sentido de que el Decreto-ley no puede regular el objeto propio de aquellas leyes que, de acuerdo con el art. 28.1 de la Ley Orgánica del Tribunal Constitucional, sirven de parámetro para enjuiciar la constitucionalidad de las demás … Estas leyes determinadoras de competencias no son, con carácter general, las que se dicten en el ejercicio de las competencias que el art. 149.1 de la Constitución reserva al Estado … Por lo que se refiere a la delimitación de competencias entre el Estado y las Comunidades Autónomas, de acuerdo con lo que determina el art. 147.2 d) de la Constitución, son los Estatutos de Autonomía las normas llamadas a fijar las competencias asumidas dentro del marco establecido en la Constitución y los Estatutos, en los que éstos ocupan una posición jerárquicamente subordinada a aquélla. Sin embargo, de ello no cabe deducir que toda ley estatal que pretenda delimitar competencias entre el Estado y las Comunidades Autónomas sea inconstitucional por pretender ejercer una función reservada al Estatuto. La reserva que la Constitución hace al Estatuto en esta materia no es total o absoluta; las leyes estatales pueden cumplir en unas ocasiones una función atributiva de competencias —Leyes Orgánicas de transferencia o delegación— y en otras, una función delimitadora de su contenido, como ha reconocido este Tribunal en reiteradas ocasiones. Tal sucede cuando la Constitución remite a una Ley del Estado para precisar el alcance de la competencia que las Comunidades Autónomas pueden asumir”.</w:t>
      </w:r>
    </w:p>
    <w:p w:rsidR="00AC56D6" w:rsidRDefault="00AC56D6" w:rsidP="00AC56D6">
      <w:pPr>
        <w:pStyle w:val="TextoNormal"/>
      </w:pPr>
    </w:p>
    <w:p w:rsidR="00AC56D6" w:rsidRDefault="00AC56D6" w:rsidP="00AC56D6">
      <w:pPr>
        <w:pStyle w:val="TextoNormal"/>
      </w:pPr>
      <w:r>
        <w:t>Por todo lo expuesto, termina su escrito solicitando de este Tribunal el dictado de una sentencia íntegramente desestimatoria del recurso de inconstitucionalidad interpuesto.</w:t>
      </w:r>
    </w:p>
    <w:p w:rsidR="00AC56D6" w:rsidRDefault="00AC56D6" w:rsidP="00AC56D6">
      <w:pPr>
        <w:pStyle w:val="TextoNormal"/>
      </w:pPr>
    </w:p>
    <w:p w:rsidR="00AC56D6" w:rsidRDefault="00AC56D6" w:rsidP="00AC56D6">
      <w:pPr>
        <w:pStyle w:val="TextoNormal"/>
      </w:pPr>
      <w:r w:rsidRPr="00AC56D6">
        <w:rPr>
          <w:rStyle w:val="NumeroAFNegritaCaracter"/>
        </w:rPr>
        <w:t>8</w:t>
      </w:r>
      <w:r>
        <w:t>. Mediante providencia de 22 de septiembre de 2015 se señaló para deliberación y votación de la presente Sentencia el día 24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Consell de la Generalitat Valenciana interpone recurso de inconstitucionalidad contra la disposición final primera del Real Decreto-ley 12/2011, de 26 de agosto, por el que se modifica la Ley 1/2000, de 7 de enero, de enjuiciamiento civil, para la aplicación del Convenio internacional sobre el embargo preventivo de buques y se regulan competencias autonómicas en materia de policía de dominio público hidráulico. En concreto, la disposición impugnada es la que justifica la mención en el título del Real Decreto-ley a las “competencias autonómicas en materia de policía del dominio público hidráulico”, pues añade una disposición adicional decimocuarta al texto refundido de la Ley de aguas que dice:</w:t>
      </w:r>
    </w:p>
    <w:p w:rsidR="00AC56D6" w:rsidRDefault="00AC56D6" w:rsidP="00AC56D6">
      <w:pPr>
        <w:pStyle w:val="TextoNormal"/>
      </w:pPr>
    </w:p>
    <w:p w:rsidR="00AC56D6" w:rsidRDefault="00AC56D6" w:rsidP="00AC56D6">
      <w:pPr>
        <w:pStyle w:val="TextoNormal"/>
      </w:pPr>
      <w:r>
        <w:t>“Competencias autonómicas en materia de policía de dominio público hidráulico.</w:t>
      </w:r>
    </w:p>
    <w:p w:rsidR="00AC56D6" w:rsidRDefault="00AC56D6" w:rsidP="00AC56D6">
      <w:pPr>
        <w:pStyle w:val="TextoNormal"/>
      </w:pPr>
    </w:p>
    <w:p w:rsidR="00AC56D6" w:rsidRDefault="00AC56D6" w:rsidP="00AC56D6">
      <w:pPr>
        <w:pStyle w:val="TextoNormal"/>
      </w:pPr>
      <w:r>
        <w:t>En las cuencas hidrográficas intercomunitarias, corresponderá a las Comunidades Autónomas que tengan prevista la competencia ejecutiva sobre las facultades de policía de dominio público hidráulico en sus Estatutos de Autonomía, el ejercicio, dentro de su ámbito territorial, de las funciones señaladas en el apartado 2 del artículo 94 de esta Ley, así como la tramitación de los procedimientos a que den lugar dichas actuaciones hasta la propuesta de resolución.</w:t>
      </w:r>
    </w:p>
    <w:p w:rsidR="00AC56D6" w:rsidRDefault="00AC56D6" w:rsidP="00AC56D6">
      <w:pPr>
        <w:pStyle w:val="TextoNormal"/>
      </w:pPr>
    </w:p>
    <w:p w:rsidR="00AC56D6" w:rsidRDefault="00AC56D6" w:rsidP="00AC56D6">
      <w:pPr>
        <w:pStyle w:val="TextoNormal"/>
      </w:pPr>
      <w:r>
        <w:t>En el ejercicio de estas funciones, será aplicable a los órganos competentes de las Comunidades Autónomas lo dispuesto en los apartados 3 y 4 del artículo 94.”</w:t>
      </w:r>
    </w:p>
    <w:p w:rsidR="00AC56D6" w:rsidRDefault="00AC56D6" w:rsidP="00AC56D6">
      <w:pPr>
        <w:pStyle w:val="TextoNormal"/>
      </w:pPr>
    </w:p>
    <w:p w:rsidR="00AC56D6" w:rsidRDefault="00AC56D6" w:rsidP="00AC56D6">
      <w:pPr>
        <w:pStyle w:val="TextoNormal"/>
      </w:pPr>
      <w:r>
        <w:t>Para el Consejo recurrente la citada disposición es inconstitucional y nula tanto por motivos adjetivos, formales o de procedimiento (falta de presupuesto habilitante, imprevisibilidad de la reforma y omisión de trámites preceptivos), como sustantivos o de fondo (infringir y desconocer el principio de unidad de gestión de las cuencas intercomunitarias que a su juicio impone el art. 149.1.22 CE, interpretado de conformidad con la STC 227/1988, de 29 de noviembre). Para el Gobierno de la Nación, sin embargo, el precepto es conforme con las exigencias derivadas de los arts. 9.3, 86.1, 149.1.22 y 150.2 CE, preceptos todos ellos citados por el recurrente.</w:t>
      </w:r>
    </w:p>
    <w:p w:rsidR="00AC56D6" w:rsidRDefault="00AC56D6" w:rsidP="00AC56D6">
      <w:pPr>
        <w:pStyle w:val="TextoNormal"/>
      </w:pPr>
    </w:p>
    <w:p w:rsidR="00AC56D6" w:rsidRDefault="00AC56D6" w:rsidP="00AC56D6">
      <w:pPr>
        <w:pStyle w:val="TextoNormal"/>
      </w:pPr>
      <w:r w:rsidRPr="00AC56D6">
        <w:rPr>
          <w:rStyle w:val="NumeroAFNegritaCaracter"/>
        </w:rPr>
        <w:t>2</w:t>
      </w:r>
      <w:r>
        <w:t>. Pero antes de adentrarnos en el examen de los motivos de impugnación aducidos por la parte recurrente, es menester hacer unas consideraciones previas sobre el objeto de este proceso.</w:t>
      </w:r>
    </w:p>
    <w:p w:rsidR="00AC56D6" w:rsidRDefault="00AC56D6" w:rsidP="00AC56D6">
      <w:pPr>
        <w:pStyle w:val="TextoNormal"/>
      </w:pPr>
    </w:p>
    <w:p w:rsidR="00AC56D6" w:rsidRDefault="00AC56D6" w:rsidP="00AC56D6">
      <w:pPr>
        <w:pStyle w:val="TextoNormal"/>
      </w:pPr>
      <w:r>
        <w:t>a) La disposición recurrida, añadida al texto refundido de la Ley de aguas por el Real Decreto-ley 12/2011, ha sido derogada por el art. 1.9 del Real Decreto-ley 17/2012, de 4 de mayo, de medidas urgentes en materia de medio ambiente, que introdujo en su lugar una “nueva disposición adicional decimocuarta” en su art.1.10.</w:t>
      </w:r>
    </w:p>
    <w:p w:rsidR="00AC56D6" w:rsidRDefault="00AC56D6" w:rsidP="00AC56D6">
      <w:pPr>
        <w:pStyle w:val="TextoNormal"/>
      </w:pPr>
    </w:p>
    <w:p w:rsidR="00AC56D6" w:rsidRDefault="00AC56D6" w:rsidP="00AC56D6">
      <w:pPr>
        <w:pStyle w:val="TextoNormal"/>
      </w:pPr>
      <w:r>
        <w:t xml:space="preserve">b) Esta “nueva disposición adicional decimocuarta”, como expresamente la llama el citado art. 1.10 del Real Decreto-ley 17/2012, regula una cuestión que nada tiene que ver con la regulada en la disposición adicional decimocuarta originaria, introducida por el Real Decreto-ley 12/2011, y aquí impugnada, y así, mientras ésta regulaba las competencias autonómicas en materia de policía de dominio público hidráulico, como ya se ha expuesto, la </w:t>
      </w:r>
      <w:r>
        <w:lastRenderedPageBreak/>
        <w:t>“nueva” disposición adicional decimocuarta regula la cesión de derechos en el ámbito del plan especial del alto Guadiana.</w:t>
      </w:r>
    </w:p>
    <w:p w:rsidR="00AC56D6" w:rsidRDefault="00AC56D6" w:rsidP="00AC56D6">
      <w:pPr>
        <w:pStyle w:val="TextoNormal"/>
      </w:pPr>
    </w:p>
    <w:p w:rsidR="00AC56D6" w:rsidRDefault="00AC56D6" w:rsidP="00AC56D6">
      <w:pPr>
        <w:pStyle w:val="TextoNormal"/>
      </w:pPr>
      <w:r>
        <w:t>c) Esto implica que, conforme con nuestra conocida doctrina, el presente recurso de inconstitucionalidad haya perdido objeto como consecuencia de la pérdida de vigencia de la norma recurrida. En efecto, según hemos reiterado, siendo el recurso de inconstitucionalidad un “recurso abstracto y orientado a la depuración objetiva del ordenamiento, la pérdida sobrevenida de la vigencia del precepto legal impugnado habrá de ser tenida en cuenta por este Tribunal para apreciar si la misma conlleva …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 LOTC)” (STC 96/2014, de 12 de junio, FJ 2, con cita de la STC 199/1987, FJ 3).</w:t>
      </w:r>
    </w:p>
    <w:p w:rsidR="00AC56D6" w:rsidRDefault="00AC56D6" w:rsidP="00AC56D6">
      <w:pPr>
        <w:pStyle w:val="TextoNormal"/>
      </w:pPr>
    </w:p>
    <w:p w:rsidR="00AC56D6" w:rsidRDefault="00AC56D6" w:rsidP="00AC56D6">
      <w:pPr>
        <w:pStyle w:val="TextoNormal"/>
      </w:pPr>
      <w:r>
        <w:t>No obstante, también es doctrina de este Tribunal que cuando la norma recurrida es un real decreto-ley, la denunciada vulneración del art. 86.1 CE no se ve afectada por el anterior criterio, ya que, en ese caso, la derogación de la norma no impide controlar si el ejercicio de la potestad reconocida al Gobierno se realizó siguiendo los requisitos establecidos en dicho precepto constitucional, pues al hacerlo se trata de velar por el recto ejercicio de la potestad de dictar decretos-leyes, dentro del marco constitucional, decidiendo la validez o invalidez de las normas impugnadas, sin atender a su vigencia o derogación en el momento en que se pronuncia el fallo [así, entre otras, SSTC 106/2015, de 28 de mayo, FJ 2, y STC 183/2014, de 6 de noviembre, FJ 2 c)].</w:t>
      </w:r>
    </w:p>
    <w:p w:rsidR="00AC56D6" w:rsidRDefault="00AC56D6" w:rsidP="00AC56D6">
      <w:pPr>
        <w:pStyle w:val="TextoNormal"/>
      </w:pPr>
    </w:p>
    <w:p w:rsidR="00AC56D6" w:rsidRDefault="00AC56D6" w:rsidP="00AC56D6">
      <w:pPr>
        <w:pStyle w:val="TextoNormal"/>
      </w:pPr>
      <w:r>
        <w:t>Por consiguiente, el único objeto de nuestro pronunciamiento ha de ser, de entre todos los motivos de inconstitucionalidad aducidos por la parte recurrente, examinar si el Gobierno ha respetado la necesidad de que concurra una situación de extraordinaria y urgente necesidad para poder dictar la norma controvertida, como exige el citado art. 86.1 CE (motivo primero del recurso).</w:t>
      </w:r>
    </w:p>
    <w:p w:rsidR="00AC56D6" w:rsidRDefault="00AC56D6" w:rsidP="00AC56D6">
      <w:pPr>
        <w:pStyle w:val="TextoNormal"/>
      </w:pPr>
    </w:p>
    <w:p w:rsidR="00AC56D6" w:rsidRDefault="00AC56D6" w:rsidP="00AC56D6">
      <w:pPr>
        <w:pStyle w:val="TextoNormal"/>
      </w:pPr>
      <w:r w:rsidRPr="00AC56D6">
        <w:rPr>
          <w:rStyle w:val="NumeroAFNegritaCaracter"/>
        </w:rPr>
        <w:t>3</w:t>
      </w:r>
      <w:r>
        <w:t>. La doctrina de este Tribunal acerca del ámbito y medida de nuestras posibilidades de control sobre ese presupuesto está resumida, entre otras muchas, en la STC 47/2015, de 5 de marzo, FJ 3, por referencia a las anteriores SSTC 183/2014, de 6 de noviembre, FJ 4; y 83/2014, de 29 de mayo, FJ 4. De ellas podemos resaltar los siguientes pronunciamientos por ser los únicos de interés al objeto de este recurso:</w:t>
      </w:r>
    </w:p>
    <w:p w:rsidR="00AC56D6" w:rsidRDefault="00AC56D6" w:rsidP="00AC56D6">
      <w:pPr>
        <w:pStyle w:val="TextoNormal"/>
      </w:pPr>
    </w:p>
    <w:p w:rsidR="00AC56D6" w:rsidRDefault="00AC56D6" w:rsidP="00AC56D6">
      <w:pPr>
        <w:pStyle w:val="TextoNormal"/>
      </w:pPr>
      <w:r>
        <w:t>a) “El concepto de extraordinaria y urgente necesidad que se contiene en la Constitución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razón por la cual, este Tribunal puede, ‘en supuestos de uso abusivo o arbitrario, rechazar la definición que los órganos políticos hagan de una situación determinada’ (SSTC 100/2012, de 8 de mayo, FJ 8; 237/2012, de 13 de diciembre, FJ 4, y 39/2013, de 14 de febrero, FJ 5).”</w:t>
      </w:r>
    </w:p>
    <w:p w:rsidR="00AC56D6" w:rsidRDefault="00AC56D6" w:rsidP="00AC56D6">
      <w:pPr>
        <w:pStyle w:val="TextoNormal"/>
      </w:pPr>
    </w:p>
    <w:p w:rsidR="00AC56D6" w:rsidRDefault="00AC56D6" w:rsidP="00AC56D6">
      <w:pPr>
        <w:pStyle w:val="TextoNormal"/>
      </w:pPr>
      <w:r>
        <w:t xml:space="preserve">b) “…es claro que el ejercicio de la potestad de control que compete a este Tribunal implica ‘que la definición por los órganos políticos de una situación de ‘extraordinaria y </w:t>
      </w:r>
      <w:r>
        <w:lastRenderedPageBreak/>
        <w:t>urgente necesidad’ sea explícita y razonada, y que exista una conexión de sentido o relación de adecuación entre la situación definida que constituye el presupuesto habilitante y las medidas que en el Decreto-ley se adoptan (STC 29/1982, FJ 3), de manera que estas últimas guarden una relación directa o de congruencia con la situación que se trata de afrontar’ (STC 182/1997, de 28 de octubre, FJ 3). A tal fin, esto es, para valorar la concurrencia del citado presupuesto habilitante, debe realizarse una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debiendo siempre tenerse presentes ‘las situaciones concretas y los objetivos gubernamentales que han dado lugar a la aprobación de cada uno de los decretos-leyes enjuiciados’ (SSTC 1/2012, de 13 de enero, FJ 6; y 100/2012, de 8 de mayo, FJ 8).”</w:t>
      </w:r>
    </w:p>
    <w:p w:rsidR="00AC56D6" w:rsidRDefault="00AC56D6" w:rsidP="00AC56D6">
      <w:pPr>
        <w:pStyle w:val="TextoNormal"/>
      </w:pPr>
    </w:p>
    <w:p w:rsidR="00AC56D6" w:rsidRDefault="00AC56D6" w:rsidP="00AC56D6">
      <w:pPr>
        <w:pStyle w:val="TextoNormal"/>
      </w:pPr>
      <w:r>
        <w:t>c) “Por último, cabe recordar que, en cuanto a la configuración de nuestro cometido en relación con los decretos-leyes, hemos afirmado ‘que el control que corresponde al Tribunal Constitucional en este punto es un control externo, en el sentido de que debe verificar, pero no sustituir, el juicio político o de oportunidad que corresponde al Gobierno’ (STC 182/1997, de 28 de octubre, FJ 3).”</w:t>
      </w:r>
    </w:p>
    <w:p w:rsidR="00AC56D6" w:rsidRDefault="00AC56D6" w:rsidP="00AC56D6">
      <w:pPr>
        <w:pStyle w:val="TextoNormal"/>
      </w:pPr>
    </w:p>
    <w:p w:rsidR="00AC56D6" w:rsidRDefault="00AC56D6" w:rsidP="00AC56D6">
      <w:pPr>
        <w:pStyle w:val="TextoNormal"/>
      </w:pPr>
      <w:r w:rsidRPr="00AC56D6">
        <w:rPr>
          <w:rStyle w:val="NumeroAFNegritaCaracter"/>
        </w:rPr>
        <w:t>4</w:t>
      </w:r>
      <w:r>
        <w:t>. Asumiendo estas premisas, el Consell de la Generalitat Valenciana denuncia la insuficiencia de la justificación dada por el Gobierno sobre la supuesta situación de “extraordinaria y urgente necesidad” que habría motivado su reacción legislativa de urgencia para modificar la Ley de aguas, al constatar que la exposición de motivos de la norma solo hace la siguiente mención a la cuestión:</w:t>
      </w:r>
    </w:p>
    <w:p w:rsidR="00AC56D6" w:rsidRDefault="00AC56D6" w:rsidP="00AC56D6">
      <w:pPr>
        <w:pStyle w:val="TextoNormal"/>
      </w:pPr>
    </w:p>
    <w:p w:rsidR="00AC56D6" w:rsidRDefault="00AC56D6" w:rsidP="00AC56D6">
      <w:pPr>
        <w:pStyle w:val="TextoNormal"/>
      </w:pPr>
      <w:r>
        <w:t>“Asimismo, se introduce una nueva disposición adicional en el texto refundido de la Ley de Aguas con la finalidad de conferir a las Comunidades Autónomas que lo tengan previsto en sus Estatutos de Autonomía, el ejercicio de la competencia ejecutiva sobre las facultades de policía de dominio público hidráulico dentro de su ámbito territorial. Con esta medida se pretende dotar de mayor seguridad jurídica a las relaciones interadministrativas en materia de aguas, todo ello conforme a la reciente doctrina del Tribunal Constitucional contenida en la Sentencia 30/2011, de 16 de marzo.”</w:t>
      </w:r>
    </w:p>
    <w:p w:rsidR="00AC56D6" w:rsidRDefault="00AC56D6" w:rsidP="00AC56D6">
      <w:pPr>
        <w:pStyle w:val="TextoNormal"/>
      </w:pPr>
    </w:p>
    <w:p w:rsidR="00AC56D6" w:rsidRDefault="00AC56D6" w:rsidP="00AC56D6">
      <w:pPr>
        <w:pStyle w:val="TextoNormal"/>
      </w:pPr>
      <w:r>
        <w:t>Le parece igualmente insuficiente la justificación del presupuesto habilitante efectuada en el debate de convalidación, donde la Ministra del ramo explicó la medida en los siguientes términos (“Diario de Sesiones del Congreso de los Diputados”, año 2011, IX Legislatura, núm. 275, sesión plenaria núm. 259 celebrada el 15 de septiembre de 2011, pág. 39):</w:t>
      </w:r>
    </w:p>
    <w:p w:rsidR="00AC56D6" w:rsidRDefault="00AC56D6" w:rsidP="00AC56D6">
      <w:pPr>
        <w:pStyle w:val="TextoNormal"/>
      </w:pPr>
    </w:p>
    <w:p w:rsidR="00AC56D6" w:rsidRDefault="00AC56D6" w:rsidP="00AC56D6">
      <w:pPr>
        <w:pStyle w:val="TextoNormal"/>
      </w:pPr>
      <w:r>
        <w:t xml:space="preserve">“Por último, en el real decreto al que le hago referencia, en su disposición final primera, modificamos el texto refundido de la Ley de Aguas, añadiendo una nueva disposición adicional décimo cuarta sobre competencias autonómicas en materia de policía de dominio público hidráulico, dando así respuesta a las comunidades autónomas que tengan previsión estatutaria al respecto para que puedan asumir competencias en materia de policía de dominio público hidráulico. Respondemos también con ello a los pronunciamientos realizados por el Tribunal Constitucional y cumplimos con estricto respeto con la legislación europea y en concreto con la Directiva marco del agua, directiva que fue precisamente la que introdujo el concepto de demarcación hidrográfica, principal unidad a efectos de la gestión de </w:t>
      </w:r>
      <w:r>
        <w:lastRenderedPageBreak/>
        <w:t>las cuencas hidrográficas y por cuyo cumplimiento velan los comités de autoridades competentes.</w:t>
      </w:r>
    </w:p>
    <w:p w:rsidR="00AC56D6" w:rsidRDefault="00AC56D6" w:rsidP="00AC56D6">
      <w:pPr>
        <w:pStyle w:val="TextoNormal"/>
      </w:pPr>
    </w:p>
    <w:p w:rsidR="00AC56D6" w:rsidRDefault="00AC56D6" w:rsidP="00AC56D6">
      <w:pPr>
        <w:pStyle w:val="TextoNormal"/>
      </w:pPr>
      <w:r>
        <w:t>En la trasposición de esta directiva al derecho español se introdujo este concepto junto con una definición de cuenca hidrográfica. La Constitución deja claras las competencias que atribuye al Estado a través del artículo 149.1.22 y también el texto constitucional deja claras las competencias que atribuye a las comunidades autónomas mediante el artículo 148.10, competencias relativas —estas de las comunidades autónomas— a proyectos, construcción y explotación de los aprovechamientos hidráulicos, canales y regadíos de interés de la comunidad autónoma, las aguas minerales y termales. Por su parte, los estatutos de autonomía de las comunidades autónomas de Andalucía, Aragón y Cataluña incluyen como competencias ejecutivas a asumir por las mismas las relativas a las de policía de dominio público hidráulico atribuidas por la legislación estatal. El Tribunal Constitucional, en su sentencia de 16 de marzo, declaró la inconstitucionalidad y nulidad del artículo 51 del Estatuto de Autonomía de Andalucía, pero consideró también que nada impide que la legislación estatal de aguas confiera a las comunidades autónomas facultades de policía del dominio público hidráulico en cuencas intercomunitarias o que, según el artículo 17 d) de la Ley de Aguas, entre las funciones del Estado en relación con el dominio público hidráulico se encuentre el otorgamiento de autorizaciones cuya tramitación puede encomendarse a las comunidades autónomas. Este pronunciamiento del Tribunal Constitucional lo reafirmó el propio Tribunal Constitucional el 17 de marzo en su sentencia 32/2011, en relación con la Ley Orgánica Estatuto de Autonomía de Castilla y León. Habidos los pronunciamientos del Tribunal Constitucional, hemos planteado, porque esos pronunciamientos lo han motivado, la modificación del sistema de gestión del agua en nuestro ordenamiento para dotarlo de mayor seguridad jurídica en lo que se refiere a las relaciones interadministrativas en materia de agua. De acuerdo con lo previsto en esta nueva disposición, en las cuencas hidrográficas intercomunitarias el ejercicio de las funciones descritas en el apartado 2 del artículo 94 del texto refundido de la Ley de Aguas, corresponderá, dentro de sus ámbitos territoriales, a las comunidades autónomas que lo tengan previsto en sus estatutos de autonomía, es decir, que tengan prevista la competencia ejecutiva sobre las facultades de policía de dominio público hidráulico, y también va a corresponder a las comunidades autónomas la tramitación de los procedimientos a que den lugar dichas actuaciones hasta la propuesta de resolución. Además, señorías, en el ejercicio de estas funciones la modificación prevé que será aplicable a los órganos competentes de las comunidades autónomas lo dispuesto en los artículos 94.3 y 94.4 del texto refundido de la Ley de Aguas precisamente para garantizar la eficacia y continuidad de sus actuaciones; es decir, se les reconoce el carácter de autoridad pública y se les otorga la presunción de certeza a las actas que levanten en el desempeño de las tareas que ejerzan en materia de policías de agua, como no podía ser de otra manera.</w:t>
      </w:r>
    </w:p>
    <w:p w:rsidR="00AC56D6" w:rsidRDefault="00AC56D6" w:rsidP="00AC56D6">
      <w:pPr>
        <w:pStyle w:val="TextoNormal"/>
      </w:pPr>
    </w:p>
    <w:p w:rsidR="00AC56D6" w:rsidRDefault="00AC56D6" w:rsidP="00AC56D6">
      <w:pPr>
        <w:pStyle w:val="TextoNormal"/>
      </w:pPr>
      <w:r>
        <w:t>En definitiva —y con esto concluyo, señor presidente—, a través de esta nueva disposición adicional se viene a dar cumplimiento a las previsiones estatutarias en el marco de la reciente doctrina sentada por el Tribunal Constitucional, contribuyendo con ello a la seguridad jurídica en las relaciones intracomunitarias en materia de agua y también preservando la unidad de cuenca a la hora de gestionarlas. Por ello, señorías, quiero que con sus votos ratifiquen este real decreto-ley.”</w:t>
      </w:r>
    </w:p>
    <w:p w:rsidR="00AC56D6" w:rsidRDefault="00AC56D6" w:rsidP="00AC56D6">
      <w:pPr>
        <w:pStyle w:val="TextoNormal"/>
      </w:pPr>
    </w:p>
    <w:p w:rsidR="00AC56D6" w:rsidRDefault="00AC56D6" w:rsidP="00AC56D6">
      <w:pPr>
        <w:pStyle w:val="TextoNormal"/>
      </w:pPr>
      <w:r>
        <w:t xml:space="preserve">Antes de proseguir y entrar a examinar estas razones, hay que tener presente que el Abogado del Estado ha desarrollado en su escrito de alegaciones las consecuencias a que ha </w:t>
      </w:r>
      <w:r>
        <w:lastRenderedPageBreak/>
        <w:t>dado lugar la STC 30/2011, de 16 de marzo, citada tanto en la exposición de motivos del Real Decreto-ley 12/2011 como en la defensa del mismo asumida por la Ministra de medio ambiente en el debate de convalidación ante el Congreso de los Diputados. Todo ello con el fin de justificar la concurrencia de una situación de “extraordinaria y urgente necesidad” que conforme al art. 86.1 CE daría cobertura constitucional a la disposición recurrida.</w:t>
      </w:r>
    </w:p>
    <w:p w:rsidR="00AC56D6" w:rsidRDefault="00AC56D6" w:rsidP="00AC56D6">
      <w:pPr>
        <w:pStyle w:val="TextoNormal"/>
      </w:pPr>
    </w:p>
    <w:p w:rsidR="00AC56D6" w:rsidRDefault="00AC56D6" w:rsidP="00AC56D6">
      <w:pPr>
        <w:pStyle w:val="TextoNormal"/>
      </w:pPr>
      <w:r>
        <w:t>Con este fin, el Abogado del Estado alude en sus alegaciones a las Sentencias de la Sala Tercera del Tribunal Supremo de 13 y 14 de junio de 2011, dictadas en los recursos núms. 66-2008, 1-2009 y 2-2009, en las que se declaró la nulidad del Real Decreto 1666/2008, de 17 de octubre, sobre traspaso de funciones y servicios de la Administración del Estado a la Comunidad Autónoma de Andalucía en materia de recursos y aprovechamientos hidráulicos correspondientes a las aguas de la cuenca del Guadalquivir que discurren íntegramente por el territorio de la comunidad autónoma. Una declaración de nulidad motivada precisamente, según las referidas Sentencias, por la pérdida de cobertura que supuso para el citado Real Decreto la nulidad del art. 51 del Estatuto de Autonomía para Andalucía (EAAnd) declarada en la citada Sentencia constitucional. Con esta misma finalidad, alude también el Abogado del Estado en sus alegaciones a la consiguiente aprobación por parte del Gobierno, en ejecución de esas Sentencias del Tribunal Supremo, del Real Decreto 1498/2011, de 21 de octubre, por el que se integran en la Administración del Estado los medios personales y materiales traspasados a la Comunidad Autónoma de Andalucía por el Real Decreto 1666/2008, de 17 de octubre (“Boletín Oficial del Estado” núm. 255, de 22 de octubre de 2011). Según el Abogado del Estado, ese “reintegro” de medios personales y materiales se ha producido “por primera vez en la historia constitucional”, y le parece que todo ello “escenifica una situación de extraordinaria excepción que parece justificar que por vía de urgencia se busque dotar de seguridad jurídica a las relaciones interadministrativas habilitando a las Comunidades Autónomas a asumir ciertas competencias ejecutivas en el marco de la doctrina constitucional”.</w:t>
      </w:r>
    </w:p>
    <w:p w:rsidR="00AC56D6" w:rsidRDefault="00AC56D6" w:rsidP="00AC56D6">
      <w:pPr>
        <w:pStyle w:val="TextoNormal"/>
      </w:pPr>
    </w:p>
    <w:p w:rsidR="00AC56D6" w:rsidRDefault="00AC56D6" w:rsidP="00AC56D6">
      <w:pPr>
        <w:pStyle w:val="TextoNormal"/>
      </w:pPr>
      <w:r>
        <w:t>De modo pues que, recapitulando lo hasta aquí expuesto, la justificación de la situación de extraordinaria y urgente necesidad ofrecida por el Gobierno descansa en los dos siguientes pilares: por un lado, la reacción o respuesta ante la situación provocada por la STC 30/2011, de 16 de marzo, con el propósito de dar cumplimiento a ciertas disposiciones estatutarias, y por otro, la consecución con ello de la deseada seguridad jurídica en las relaciones interadministrativas.</w:t>
      </w:r>
    </w:p>
    <w:p w:rsidR="00AC56D6" w:rsidRDefault="00AC56D6" w:rsidP="00AC56D6">
      <w:pPr>
        <w:pStyle w:val="TextoNormal"/>
      </w:pPr>
    </w:p>
    <w:p w:rsidR="00AC56D6" w:rsidRDefault="00AC56D6" w:rsidP="00AC56D6">
      <w:pPr>
        <w:pStyle w:val="TextoNormal"/>
      </w:pPr>
      <w:r>
        <w:t>Surge entonces la ineludible obligación de analizar el objeto y los pronunciamientos efectuados en la citada STC 30/2011, para comprobar si de uno o de otras se deduce, efectivamente, la necesidad extraordinaria y urgente de acometer una reforma.</w:t>
      </w:r>
    </w:p>
    <w:p w:rsidR="00AC56D6" w:rsidRDefault="00AC56D6" w:rsidP="00AC56D6">
      <w:pPr>
        <w:pStyle w:val="TextoNormal"/>
      </w:pPr>
    </w:p>
    <w:p w:rsidR="00AC56D6" w:rsidRDefault="00AC56D6" w:rsidP="00AC56D6">
      <w:pPr>
        <w:pStyle w:val="TextoNormal"/>
      </w:pPr>
      <w:r w:rsidRPr="00AC56D6">
        <w:rPr>
          <w:rStyle w:val="NumeroAFNegritaCaracter"/>
        </w:rPr>
        <w:t>5</w:t>
      </w:r>
      <w:r>
        <w:t xml:space="preserve">. En la indicada STC 30/2011 este Tribunal declaró la nulidad del art. 51 EAAnd en el que se atribuían a la Comunidad Autónoma de Andalucía competencias exclusivas sobre las aguas de la cuenca del Guadalquivir —cuenca inter o supracomunitaria— que transcurren por su territorio. Consideró este Tribunal que el indicado precepto incurría en un doble motivo de inconstitucionalidad, “material y formal” (STC 30/2011, FJ 11). Materialmente, “en atención al contenido de la regulación que [el precepto] incorpora” (STC 30/2011, FJ 5), porque el citado art. 51 EAAnd vulneraba el art. 149.1.22 CE, pues “aunque el criterio de la cuenca hidrográfica no sea el único constitucionalmente viable en el marco del art. </w:t>
      </w:r>
      <w:r>
        <w:lastRenderedPageBreak/>
        <w:t>149.1.22 CE, sí ha de declararse que no le es dado al legislador estatal concretar las competencias del Estado en esta materia mediante una fragmentación de la gestión de las aguas intercomunitarias de cada curso fluvial y sus afluentes” (STC 30/2011, FJ 6). Y formalmente, “por el tipo de ley” o “tipo normativo” empleado en la aprobación de la norma (STC 30/2011, FJ 4), por la “inadecuación formal del Estatuto de Autonomía para realizar una concreción del criterio territorial de delimitación de las competencias que el citado precepto constitucional [el art. 149.1.22 CE] reserva al Estado” (STC 30/2011, FJ 8).</w:t>
      </w:r>
    </w:p>
    <w:p w:rsidR="00AC56D6" w:rsidRDefault="00AC56D6" w:rsidP="00AC56D6">
      <w:pPr>
        <w:pStyle w:val="TextoNormal"/>
      </w:pPr>
    </w:p>
    <w:p w:rsidR="00AC56D6" w:rsidRDefault="00AC56D6" w:rsidP="00AC56D6">
      <w:pPr>
        <w:pStyle w:val="TextoNormal"/>
      </w:pPr>
      <w:r>
        <w:t>Esta doctrina fue reiterada en la STC 32/2011, de 17 de marzo, en relación con la reserva de competencias efectuada en el Estatuto de Autonomía para Castilla y León sobre “las aguas de la cuenca del Duero que tengan su nacimiento en Castilla y León y deriven a Portugal sin atravesar ninguna otra Comunidad Autónoma” (art. 75.1, también declarado inconstitucional por los mismos dos motivos material y formal).</w:t>
      </w:r>
    </w:p>
    <w:p w:rsidR="00AC56D6" w:rsidRDefault="00AC56D6" w:rsidP="00AC56D6">
      <w:pPr>
        <w:pStyle w:val="TextoNormal"/>
      </w:pPr>
    </w:p>
    <w:p w:rsidR="00AC56D6" w:rsidRDefault="00AC56D6" w:rsidP="00AC56D6">
      <w:pPr>
        <w:pStyle w:val="TextoNormal"/>
      </w:pPr>
      <w:r>
        <w:t>Pero lo verdaderamente relevante para este caso está en la declaración efectuada por este Tribunal en la primera de las Sentencias citadas al examinar otro precepto del Estatuto de Autonomía para Andalucía, también recurrido en aquel caso. Es en ese momento cuando, con ocasión del análisis de la atribución a la Comunidad Autónoma de Andalucía de “facultades de policía sobre el dominio público hidráulico” efectuada en el art. 50.2 EAAnd, la STC 30/2011 hace las siguientes reflexiones sobre las que llama nuestra atención el Abogado del Estado (fundamento jurídico 12):</w:t>
      </w:r>
    </w:p>
    <w:p w:rsidR="00AC56D6" w:rsidRDefault="00AC56D6" w:rsidP="00AC56D6">
      <w:pPr>
        <w:pStyle w:val="TextoNormal"/>
      </w:pPr>
    </w:p>
    <w:p w:rsidR="00AC56D6" w:rsidRDefault="00AC56D6" w:rsidP="00AC56D6">
      <w:pPr>
        <w:pStyle w:val="TextoNormal"/>
      </w:pPr>
      <w:r>
        <w:t>“Por último, y en relación con el art. 50.2 EAAnd, afirma el Consejo de Gobierno extremeño que sus dudas de constitucionalidad se centran en el último inciso del precepto, en cuanto atribuye a la Comunidad Autónoma de Andalucía facultades de policía del dominio público hidráulico sin dejar claro el tipo de cuencas al que se está haciendo referencia. De acuerdo con el propio recurrente, si se tratara de las intercomunitarias, sería constitucionalmente improcedente que el Estatuto asumiera así una competencia que corresponde al Estado (STC 161/1996, de 15 de junio). Así es, en efecto, y tal es la razón por la que, declarada la inconstitucionalidad del art. 51 EAAnd, esa interpretación no puede caber en el art. 50.2 EAAnd. Todo ello sin perjuicio de que, como alega el Abogado del Estado, nada impide que la legislación estatal de aguas confiera a las Comunidades Autónomas funciones o facultades de “policía del dominio público hidráulico” en cuencas intercomunitarias (STC 161/1996, de 17 de octubre), o que, según el art. 17 d) de la Ley de aguas, entre las funciones del Estado en relación con el dominio público hidráulico se encuentre el otorgamiento de autorizaciones cuya tramitación puede encomendarse a las Comunidades Autónomas.”</w:t>
      </w:r>
    </w:p>
    <w:p w:rsidR="00AC56D6" w:rsidRDefault="00AC56D6" w:rsidP="00AC56D6">
      <w:pPr>
        <w:pStyle w:val="TextoNormal"/>
      </w:pPr>
    </w:p>
    <w:p w:rsidR="00AC56D6" w:rsidRDefault="00AC56D6" w:rsidP="00AC56D6">
      <w:pPr>
        <w:pStyle w:val="TextoNormal"/>
      </w:pPr>
      <w:r>
        <w:t>Como “nada impide que la legislación estatal de aguas confiera a las Comunidades Autónomas funciones o facultades de policía del dominio público hidráulico en cuencas intercomunitarias” según se dice en el párrafo transcrito de la STC 30/2011, FJ 12, el Abogado del Estado concluye, a partir de la citada declaración, que el precepto recurrido es conforme con la Constitución, y solo pretende “dar cumplimiento” al art. 50.2 EAAnd “en el marco” de lo declarado por este Tribunal, en expresión de la Ministra en el debate de convalidación ante el Congreso de los Diputados. Y justifica su aprobación urgente a través de un real decreto-ley en las consecuencias originadas por la declaración de nulidad del art. 51 EAAnd producida en la STC 30/2011, que dio lugar también, como ya se ha expuesto, a la declaración de nulidad por parte del Tribunal Supremo del Real Decreto 1666/2008, de 17 de oc</w:t>
      </w:r>
      <w:r>
        <w:lastRenderedPageBreak/>
        <w:t>tubre, sobre traspaso de funciones y servicios de la Administración del Estado a la Comunidad Autónoma de Andalucía en materia de recursos y aprovechamientos hidráulicos correspondientes a las aguas de la cuenta del Guadalquivir que discurren íntegramente por el territorio de la comunidad autónoma.</w:t>
      </w:r>
    </w:p>
    <w:p w:rsidR="00AC56D6" w:rsidRDefault="00AC56D6" w:rsidP="00AC56D6">
      <w:pPr>
        <w:pStyle w:val="TextoNormal"/>
      </w:pPr>
    </w:p>
    <w:p w:rsidR="00AC56D6" w:rsidRDefault="00AC56D6" w:rsidP="00AC56D6">
      <w:pPr>
        <w:pStyle w:val="TextoNormal"/>
      </w:pPr>
      <w:r w:rsidRPr="00AC56D6">
        <w:rPr>
          <w:rStyle w:val="NumeroAFNegritaCaracter"/>
        </w:rPr>
        <w:t>6</w:t>
      </w:r>
      <w:r>
        <w:t>. Las premisas anteriores nos permiten ya abordar, con pleno conocimiento de causa, la primera de las razones aportadas como justificativa de la extraordinaria y urgente necesidad: la reacción o respuesta a la situación generada por la STC 30/2011.</w:t>
      </w:r>
    </w:p>
    <w:p w:rsidR="00AC56D6" w:rsidRDefault="00AC56D6" w:rsidP="00AC56D6">
      <w:pPr>
        <w:pStyle w:val="TextoNormal"/>
      </w:pPr>
    </w:p>
    <w:p w:rsidR="00AC56D6" w:rsidRDefault="00AC56D6" w:rsidP="00AC56D6">
      <w:pPr>
        <w:pStyle w:val="TextoNormal"/>
      </w:pPr>
      <w:r>
        <w:t>Y en esta tarea, aun manteniéndonos dentro de la perspectiva externa y formal que es propia de este Tribunal, sin penetrar por tanto en el juicio político de oportunidad o conveniencia que es propio del Gobierno, que este Tribunal debe verificar, pero no sustituir (por todas, STC 182/1997, de 28 de octubre, FJ 3), lo cierto es que aquél no ha aportado ninguna razón atendible por la que la reforma no pudiese ser tramitada y aprobada por las Cortes Generales, titulares de la potestad legislativa de conformidad con el art. 66.2 CE, y hubiese de ser aprobada directamente por el Gobierno a través de un real decreto-ley por la vía del art. 86.1 CE. Cuando, lógicamente, “es competencia de los órganos políticos”, esto es, del Gobierno y del Congreso de los Diputados (art. 86, apartados 1 y 2, CE), “determinar cuándo la situación, por consideraciones de extraordinaria y urgente necesidad, requiere el establecimiento de una norma por vía de Decreto-Ley”, debiendo hacerlo además de forma “explícita y razonada” (STC 29/1982, de 31 de mayo, FJ 3). Lo cual implica, desde la perspectiva del proceso, que sea a ellos a los que corresponda aportar la justificación suficiente que permita apreciar la existencia de la situación habilitante requerida por el art. 86.1 CE (así, por todas, SSTC 31/2011, de 17 de marzo, FJ 8, y 137/2011, de 14 de septiembre, FJ 8).</w:t>
      </w:r>
    </w:p>
    <w:p w:rsidR="00AC56D6" w:rsidRDefault="00AC56D6" w:rsidP="00AC56D6">
      <w:pPr>
        <w:pStyle w:val="TextoNormal"/>
      </w:pPr>
    </w:p>
    <w:p w:rsidR="00AC56D6" w:rsidRDefault="00AC56D6" w:rsidP="00AC56D6">
      <w:pPr>
        <w:pStyle w:val="TextoNormal"/>
      </w:pPr>
      <w:r>
        <w:t>i) En este caso, del examen de la justificación aportada por el Gobierno resulta que, para empezar, la STC 30/2011 y los pronunciamientos posteriores del Tribunal Supremo se refieren solamente a la Comunidad Autónoma de Andalucía. Y sin embargo, la reforma introducida por real decreto-ley se proyecta indistintamente sobre todas “las Comunidades Autónomas que tengan prevista la competencia ejecutiva sobre las facultades de policía de dominio público hidráulico en sus Estatutos de Autonomía”, según el propio tenor de la norma cuestionada, y que según la propia Ministra en el debate de convalidación son “Andalucía, Aragón y Cataluña”. Ello rompe, por sí solo, cualquier vínculo que pudiera establecerse entre los pronunciamientos judiciales antedichos y la norma recurrida, aprobada, según se afirma, en respuesta o para subvenir a la situación creada por aquellos. Como puede comprobarse releyendo la defensa del Real Decreto-ley efectuada por la Ministra del ramo en el debate de convalidación ante el Congreso de los Diputados, que hemos dejado transcrita más arriba, la representante del Gobierno defendió en aquel momento la reforma diciendo que el Ejecutivo “responde … con ello a los pronunciamientos realizados por el Tribunal Constitucional”, y también que “esos pronunciamientos … han motivado” la reforma. Sin embargo, no explica por qué afecta entonces a otras dos comunidades, además de a la andaluza. Ello impide apreciar, en suma, “la necesaria adecuación” que ha de existir “entre la medida impugnada y la situación de urgencia a la que se desea hacer frente con la misma” según la justificación aportada por el Gobierno (STC 31/2011, de 17 de marzo, FJ 8; y, en el mismo sentido, STC 237/2012, de 13 de diciembre, FJ 5).</w:t>
      </w:r>
    </w:p>
    <w:p w:rsidR="00AC56D6" w:rsidRDefault="00AC56D6" w:rsidP="00AC56D6">
      <w:pPr>
        <w:pStyle w:val="TextoNormal"/>
      </w:pPr>
    </w:p>
    <w:p w:rsidR="00AC56D6" w:rsidRDefault="00AC56D6" w:rsidP="00AC56D6">
      <w:pPr>
        <w:pStyle w:val="TextoNormal"/>
      </w:pPr>
      <w:r>
        <w:t xml:space="preserve">ii) Adicionalmente a lo anterior, de los términos de la STC 30/2011, que también han quedado resumidamente expuestos en el fundamento jurídico anterior, no se deriva tampoco </w:t>
      </w:r>
      <w:r>
        <w:lastRenderedPageBreak/>
        <w:t>la “necesidad” de una reforma. Una necesidad que, si bien no tiene por qué ser “absoluta” pues basta la “relativa”, es en todo caso inexcusable para que el Gobierno pueda hacer uso de la potestad legislativa excepcional y de urgencia prevista en el art. 86.1 CE (STC 6/1983, de 4 de febrero, FFJJ 5 y 6). En efecto, “nada imp[edía]” efectuar esa reforma, como literalmente dice la STC 30/2011 y recoge la Ministra en el debate de convalidación, pero nada obligaba tampoco a realizarla. Y mucho menos de manera urgente y directamente por el Gobierno, con preterición de las Cortes Generales. No se han aportado, en este sentido, ni razones jurídicas ni tampoco reales o fácticas para justificar la irrupción legislativa del ejecutivo.</w:t>
      </w:r>
    </w:p>
    <w:p w:rsidR="00AC56D6" w:rsidRDefault="00AC56D6" w:rsidP="00AC56D6">
      <w:pPr>
        <w:pStyle w:val="TextoNormal"/>
      </w:pPr>
    </w:p>
    <w:p w:rsidR="00AC56D6" w:rsidRDefault="00AC56D6" w:rsidP="00AC56D6">
      <w:pPr>
        <w:pStyle w:val="TextoNormal"/>
      </w:pPr>
      <w:r>
        <w:t>El Real Decreto 1498/2011, de 21 de octubre, por el que en ejecución de las Sentencias del Tribunal Supremo citadas más arriba se reintegran medios personales y materiales a la Administración del Estado, que tan insólito parece a la representación del Gobierno, muestra, precisamente, todo lo contrario, esto es, la absoluta normalidad de la situación. Ocurrió simplemente que, declarada la nulidad de una norma por la que se transfería o asumía una competencia por una Comunidad Autónoma y como lógica consecuencia de ello, esas funciones pasaron a ser nuevamente asumidas y desempeñadas por su antiguo titular, el Estado, sin que de ello se derive sin más la necesidad de una reforma encomendándoselas nuevamente a las Comunidades Autónomas con competencias estatutarias en la materia. No se produjo, en definitiva, vacío normativo alguno que pudiera legitimar la reacción del Gobierno (SSTC 31/2011, de 17 de marzo, FJ 7; y 11/2002, de 17 de enero, FJ 6).</w:t>
      </w:r>
    </w:p>
    <w:p w:rsidR="00AC56D6" w:rsidRDefault="00AC56D6" w:rsidP="00AC56D6">
      <w:pPr>
        <w:pStyle w:val="TextoNormal"/>
      </w:pPr>
    </w:p>
    <w:p w:rsidR="00AC56D6" w:rsidRDefault="00AC56D6" w:rsidP="00AC56D6">
      <w:pPr>
        <w:pStyle w:val="TextoNormal"/>
      </w:pPr>
      <w:r>
        <w:t>En consecuencia, la primera de las razones alegadas no justifica el empleo del real decreto-ley.</w:t>
      </w:r>
    </w:p>
    <w:p w:rsidR="00AC56D6" w:rsidRDefault="00AC56D6" w:rsidP="00AC56D6">
      <w:pPr>
        <w:pStyle w:val="TextoNormal"/>
      </w:pPr>
    </w:p>
    <w:p w:rsidR="00AC56D6" w:rsidRDefault="00AC56D6" w:rsidP="00AC56D6">
      <w:pPr>
        <w:pStyle w:val="TextoNormal"/>
      </w:pPr>
      <w:r w:rsidRPr="00AC56D6">
        <w:rPr>
          <w:rStyle w:val="NumeroAFNegritaCaracter"/>
        </w:rPr>
        <w:t>7</w:t>
      </w:r>
      <w:r>
        <w:t>. Por lo que respecta a la segunda de esas razones, que es la consecución o restablecimiento de una seguridad jurídica supuestamente alterada, este Tribunal ha descartado que ese objetivo pueda servir, aisladamente, para hacer uso de la potestad legislativa excepcional que representa el real decreto-ley. De admitirse esta posibilidad, decíamos en la reciente STC 29/2015, de 19 de febrero, FJ 5, “prácticamente todas las normas del ordenamiento, salvo las notoriamente incontrovertibles, justificarían su aclaración o modificación por vía de decreto-ley. En rigor, para que resulte legítimo usar la habilitación constitucional de la acción normativa de urgencia no basta con comprobar la existencia de una situación de inseguridad jurídica. Hace falta, además, que esa incertidumbre venga cualificada por unas determinadas circunstancias singulares, cuya presencia es la que reclama y fundamenta su corrección urgente”.</w:t>
      </w:r>
    </w:p>
    <w:p w:rsidR="00AC56D6" w:rsidRDefault="00AC56D6" w:rsidP="00AC56D6">
      <w:pPr>
        <w:pStyle w:val="TextoNormal"/>
      </w:pPr>
    </w:p>
    <w:p w:rsidR="00AC56D6" w:rsidRDefault="00AC56D6" w:rsidP="00AC56D6">
      <w:pPr>
        <w:pStyle w:val="TextoNormal"/>
      </w:pPr>
      <w:r>
        <w:t>De manera que, tal y como expresamente se proclama en esta STC 29/2015 que acabamos de reproducir, y también en la STC 11/2002, de 17 de enero, a la que inmediatamente aludiremos por su evidente relación con el caso que ahora nos ocupa, lo que puede legitimar y justificar el uso del real decreto-ley no es tanto la búsqueda de la seguridad jurídica, sino la eliminación de una situación de “incertidumbre”, que no es lo mismo.</w:t>
      </w:r>
    </w:p>
    <w:p w:rsidR="00AC56D6" w:rsidRDefault="00AC56D6" w:rsidP="00AC56D6">
      <w:pPr>
        <w:pStyle w:val="TextoNormal"/>
      </w:pPr>
    </w:p>
    <w:p w:rsidR="00AC56D6" w:rsidRDefault="00AC56D6" w:rsidP="00AC56D6">
      <w:pPr>
        <w:pStyle w:val="TextoNormal"/>
      </w:pPr>
      <w:r>
        <w:t>Efectivamente, en esa STC 11/2002 se admitió la reacción por el Gobierno mediante real decreto-ley a la declaración de inconstitucionalidad de una norma efectuada por este Tribunal, pero solo porque esa reacción se justificaba como necesaria para remediar una situación de incertidumbre, una falta de certeza que aquí no se ha producido.</w:t>
      </w:r>
    </w:p>
    <w:p w:rsidR="00AC56D6" w:rsidRDefault="00AC56D6" w:rsidP="00AC56D6">
      <w:pPr>
        <w:pStyle w:val="TextoNormal"/>
      </w:pPr>
    </w:p>
    <w:p w:rsidR="00AC56D6" w:rsidRDefault="00AC56D6" w:rsidP="00AC56D6">
      <w:pPr>
        <w:pStyle w:val="TextoNormal"/>
      </w:pPr>
      <w:r>
        <w:lastRenderedPageBreak/>
        <w:t>En este caso, las SSTC 30/2011 y 32/2011, e incluso las Sentencias del Tribunal Supremo y Reales Decretos citados por el Abogado del Estado, no dieron lugar a ninguna situación de incertidumbre. Simplemente provocaron que determinadas competencias en materia de aguas de cuencas inter o supracomunitarias volviesen a manos del Estado, en lugar de a las Comunidades Autónomas beneficiarias de los respectivos traslados competenciales anulados. De ello no surge sin más una situación de “extraordinaria y urgente necesidad” que pueda habilitar al Gobierno a dictar una norma con rango de ley.</w:t>
      </w:r>
    </w:p>
    <w:p w:rsidR="00AC56D6" w:rsidRDefault="00AC56D6" w:rsidP="00AC56D6">
      <w:pPr>
        <w:pStyle w:val="TextoNormal"/>
      </w:pPr>
    </w:p>
    <w:p w:rsidR="00AC56D6" w:rsidRDefault="00AC56D6" w:rsidP="00AC56D6">
      <w:pPr>
        <w:pStyle w:val="TextoNormal"/>
      </w:pPr>
      <w:r w:rsidRPr="00AC56D6">
        <w:rPr>
          <w:rStyle w:val="NumeroAFNegritaCaracter"/>
        </w:rPr>
        <w:t>8</w:t>
      </w:r>
      <w:r>
        <w:t>. El rechazo de los argumentos explicitados por el Gobierno para justificar la situación de extraordinaria y urgente necesidad determina la inconstitucionalidad de la citada disposición, sin que la derogación formal de la misma sea óbice para su declaración de nulidad (STC 68/2007, de 28 de marzo).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Estimar el recurso de inconstitucionalidad núm. 6363-2011, y, en su virtud, declarar la inconstitucionalidad y consiguiente nulidad de la disposición final primera del Real Decreto-ley 12/2011, de 26 de agosto, por el que se modifica la Ley 1/2000, de 7 de enero, de enjuiciamiento civil, para la aplicación del convenio internacional sobre el embargo preventivo de buques y se regulan competencias autonómicas en materia de policía de dominio público hidráulico.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veinticuatro de septiembre de dos mil quince.</w:t>
      </w:r>
    </w:p>
    <w:p w:rsidR="00AC56D6" w:rsidRDefault="00AC56D6" w:rsidP="00AC56D6">
      <w:pPr>
        <w:pStyle w:val="ParrafoNormal"/>
      </w:pPr>
    </w:p>
    <w:p w:rsidR="00AC56D6" w:rsidRDefault="00AC56D6" w:rsidP="00AC56D6">
      <w:pPr>
        <w:pStyle w:val="TextoNormalNegritaCentrado"/>
        <w:keepNext/>
      </w:pPr>
      <w:r>
        <w:t>Voto particular que formula el Magistrado don Juan Antonio Xiol Ríos a la Sentencia dictada en el recurso de inconstitucionalidad núm. 6363-2011.</w:t>
      </w:r>
    </w:p>
    <w:p w:rsidR="00AC56D6" w:rsidRDefault="00AC56D6" w:rsidP="00AC56D6">
      <w:pPr>
        <w:pStyle w:val="TextoNormalNegritaCentrado"/>
        <w:keepNext/>
      </w:pPr>
    </w:p>
    <w:p w:rsidR="00AC56D6" w:rsidRDefault="00AC56D6" w:rsidP="00AC56D6">
      <w:pPr>
        <w:pStyle w:val="TextoNormal"/>
      </w:pPr>
      <w:r>
        <w:t>Con el máximo respeto a la opinión mayoritaria de mis compañeros del Pleno en la que se sustenta la Sentencia, manifiesto mi discrepancia con la fundamentación jurídica y el fallo de esta, ya que considero que debería haber sido desestimatoria.</w:t>
      </w:r>
    </w:p>
    <w:p w:rsidR="00AC56D6" w:rsidRDefault="00AC56D6" w:rsidP="00AC56D6">
      <w:pPr>
        <w:pStyle w:val="TextoNormal"/>
      </w:pPr>
    </w:p>
    <w:p w:rsidR="00AC56D6" w:rsidRDefault="00AC56D6" w:rsidP="00AC56D6">
      <w:pPr>
        <w:pStyle w:val="TextoNormal"/>
      </w:pPr>
      <w:r>
        <w:t xml:space="preserve">1. La opinión mayoritaria sostiene que no cabe apreciar una relación de adecuación entre la medida impugnada y la situación de urgencia alegada por el Gobierno relativa a la situación creada por la STC 30/2011, de 16 de marzo, y los posteriores pronunciamientos del Tribunal Supremo, por la doble circunstancia de que (i) esos pronunciamientos se refieren solo a la Comunidad Autónoma de Andalucía y, sin embargo, la norma recurrida es de aplicación general e indistinta para cualquier comunidad autónoma que tenga prevista la competencia ejecutiva sobre las facultades de policía de dominio público hidráulico en sus estatutos de autonomía; y (ii) la citada declaración de inconstitucionalidad no produjo ningún vacío normativo que urgiera remediar a través del procedimiento ahora controvertido, ya </w:t>
      </w:r>
      <w:r>
        <w:lastRenderedPageBreak/>
        <w:t>que las funciones pasaron a ser asumidas y desempeñadas por el Estado como antiguo titular. En relación con esto último, se concluye que la aprobación de la norma impugnada no tenía como fin remediar una situación de incertidumbre o una falta de certeza que aquí no se había producido.</w:t>
      </w:r>
    </w:p>
    <w:p w:rsidR="00AC56D6" w:rsidRDefault="00AC56D6" w:rsidP="00AC56D6">
      <w:pPr>
        <w:pStyle w:val="TextoNormal"/>
      </w:pPr>
    </w:p>
    <w:p w:rsidR="00AC56D6" w:rsidRDefault="00AC56D6" w:rsidP="00AC56D6">
      <w:pPr>
        <w:pStyle w:val="TextoNormal"/>
      </w:pPr>
      <w:r>
        <w:t>No creo que ninguno de esos argumentos resulte adecuado para negar la situación de urgencia alegada por el Gobierno como presupuesto habilitante de la normativa impugnada.</w:t>
      </w:r>
    </w:p>
    <w:p w:rsidR="00AC56D6" w:rsidRDefault="00AC56D6" w:rsidP="00AC56D6">
      <w:pPr>
        <w:pStyle w:val="TextoNormal"/>
      </w:pPr>
    </w:p>
    <w:p w:rsidR="00AC56D6" w:rsidRDefault="00AC56D6" w:rsidP="00AC56D6">
      <w:pPr>
        <w:pStyle w:val="TextoNormal"/>
      </w:pPr>
      <w:r>
        <w:t>2. La circunstancia de que la STC 30/2011 y los posteriores pronunciamientos del Tribunal Supremo afectaran únicamente a la Comunidad Autónoma de Andalucía y la norma impugnada tenga un alcance general no solo, a mi juicio, no resta un ápice a la situación de urgencia generada por el pronunciamiento de este tribunal, sino que la naturaleza general de esa regulación era una consecuencia derivada de la propia jurisprudencia establecida en la citada STC 30/2011.</w:t>
      </w:r>
    </w:p>
    <w:p w:rsidR="00AC56D6" w:rsidRDefault="00AC56D6" w:rsidP="00AC56D6">
      <w:pPr>
        <w:pStyle w:val="TextoNormal"/>
      </w:pPr>
    </w:p>
    <w:p w:rsidR="00AC56D6" w:rsidRDefault="00AC56D6" w:rsidP="00AC56D6">
      <w:pPr>
        <w:pStyle w:val="TextoNormal"/>
      </w:pPr>
      <w:r>
        <w:t>La jurisprudencia establecida en la STC 30/2011 no era aislada y con una repercusión limitada a la Comunidad Autónoma de Andalucía, sino que tenía un alcance general y fue aplicada igualmente en la STC 32/2011, de 17 de marzo, en un precepto equivalente del Estatuto de Autonomía de Castilla y León. La declaración de inconstitucionalidad y nulidad de los artículos 51 del Estatuto de Autonomía de Andalucía (EAAnd) y 75.1 del Estatuto de Autonomía de Castilla y León, en que se establecían competencias exclusivas sobre las aguas de las cuencas del Guadalquivir y del Duero, respectivamente, por las ya citadas SSTC 30/2011 y 32/2011, no solo se fundó en que materialmente se vulneraba la competencia exclusiva del Estado prevista en el art. 149.1.22 CE relativa a la legislación, ordenación y concesión de recursos y aprovechamientos hidráulicos cuando las aguas discurran por más de una comunidad autónoma; sino que, además, se hacía expreso en ambas Sentencias que un estatuto de autonomía es un instrumento inadecuado para realizar una concreción del criterio territorial de delimitación de esta competencia.</w:t>
      </w:r>
    </w:p>
    <w:p w:rsidR="00AC56D6" w:rsidRDefault="00AC56D6" w:rsidP="00AC56D6">
      <w:pPr>
        <w:pStyle w:val="TextoNormal"/>
      </w:pPr>
    </w:p>
    <w:p w:rsidR="00AC56D6" w:rsidRDefault="00AC56D6" w:rsidP="00AC56D6">
      <w:pPr>
        <w:pStyle w:val="TextoNormal"/>
      </w:pPr>
      <w:r>
        <w:t xml:space="preserve">Lo que se razonaba en aquellos pronunciamientos es que “con la definición estatutaria del criterio territorial determinante de la delimitación de las competencias atribuidas al Estado por el art. 149.1.22 CE no sólo se están asumiendo competencias fuera del ámbito que acabamos de señalar —arts. 148 y 149 CE </w:t>
      </w:r>
      <w:r w:rsidRPr="00AC56D6">
        <w:rPr>
          <w:i/>
        </w:rPr>
        <w:t>a sensu contrario</w:t>
      </w:r>
      <w:r>
        <w:t>— sino que además se menoscaban gravemente ‘las funciones propias’ de las competencias estatales, cuya razón de ser no es otra, en la lógica del sistema de descentralización característico del Estado autonómico, que la garantía de la unidad última del ordenamiento a partir de un mínimo denominador común normativo, imprescindible en tanto que presupuesto para que la diversificación inherente al principio autonómico no se resuelva en contradicciones de principio con el fundamento unitario del Estado. Tal función integradora padecería de manera irremisible si los Estatutos de Autonomía fueran constitucionalmente capaces de imponer un criterio de delimitación competencial respecto de potestades y funciones que, como es el caso con las aguas que discurren por varias Comunidades Autónomas, han de proyectarse sobre una realidad física supracomunitaria, cuya disciplina sería sencillamente imposible si los criterios adoptados en los Estatutos de las Comunidades Autónomas interesadas resultaran incompatibles o excluyentes” (SSTC 30/2011, de 16 de marzo, FJ 8, y SSTC 32/2011, de 17 de marzo, FJ 7).</w:t>
      </w:r>
    </w:p>
    <w:p w:rsidR="00AC56D6" w:rsidRDefault="00AC56D6" w:rsidP="00AC56D6">
      <w:pPr>
        <w:pStyle w:val="TextoNormal"/>
      </w:pPr>
    </w:p>
    <w:p w:rsidR="00AC56D6" w:rsidRDefault="00AC56D6" w:rsidP="00AC56D6">
      <w:pPr>
        <w:pStyle w:val="TextoNormal"/>
      </w:pPr>
      <w:r>
        <w:lastRenderedPageBreak/>
        <w:t>Pues bien, si uno de los reproches constitucionales que se hacía en aquellos pronunciamientos era que los estatutos de autonomía formalmente no son instrumentos aptos para esa delimitación competencial por ser necesaria una norma de ámbito estatal que garantice la función integradora en el ejercicio de una competencia estatal, me parece una contradicción palmaria que ahora la opinión mayoritaria utilice como argumento contrario a la urgencia alegada por el Gobierno que la regulación impugnada cumple, precisamente, esa función integradora regulando con carácter general para todas las cuencas intercomunitarias la delimitación competencial en materia de policía del dominio público hidráulico y no la limite a la cuenca del Guadalquivir.</w:t>
      </w:r>
    </w:p>
    <w:p w:rsidR="00AC56D6" w:rsidRDefault="00AC56D6" w:rsidP="00AC56D6">
      <w:pPr>
        <w:pStyle w:val="TextoNormal"/>
      </w:pPr>
    </w:p>
    <w:p w:rsidR="00AC56D6" w:rsidRDefault="00AC56D6" w:rsidP="00AC56D6">
      <w:pPr>
        <w:pStyle w:val="TextoNormal"/>
      </w:pPr>
      <w:r>
        <w:t>3. Tampoco puedo compartir el argumento de que la declaración de inconstitucionalidad de las SSTC 30/2011 y 32/2011 y las consecuencias de nulidades de normas inferiores derivadas de ella no generaran una situación de incertidumbre o falta de certeza que habilitaran la decisión del Gobierno de acudir a dictar la disposición legislativa provisional ahora impugnada.</w:t>
      </w:r>
    </w:p>
    <w:p w:rsidR="00AC56D6" w:rsidRDefault="00AC56D6" w:rsidP="00AC56D6">
      <w:pPr>
        <w:pStyle w:val="TextoNormal"/>
      </w:pPr>
    </w:p>
    <w:p w:rsidR="00AC56D6" w:rsidRDefault="00AC56D6" w:rsidP="00AC56D6">
      <w:pPr>
        <w:pStyle w:val="TextoNormal"/>
      </w:pPr>
      <w:r>
        <w:t xml:space="preserve">Tal como se ha expuesto en los antecedentes de esta Sentencia, la consecuencia inmediata de la declaración de nulidad del art. 51 del Estatuto de Autonomía de Andalucía por la STC 30/2011 fue que la Sala Tercera del Tribunal Supremo, en tres Sentencias de 13 y 14 de junio de 2011, dictadas en los recursos núms. 66-2008, 1-2009 y 2-2009, declaró la nulidad del Real Decreto 1666/2008, de 17 de octubre, sobre traspaso de funciones y servicios de la Administración del Estado a la Comunidad Autónoma de Andalucía en materia de recursos y aprovechamientos hidráulicos correspondientes a las aguas de la cuenta del Guadalquivir que discurren íntegramente por el territorio de la comunidad autónoma. En esas Sentencias se razonaba que la declaración de inconstitucionalidad y la anulación del art. 51 EAAnd “priva de soporte constitucional y anula el fundamento del traspaso de funciones y servicios de la Administración del Estado a la Comunidad Autónoma de Andalucía”, razón por la cual procedía declarar “no … la mera ineficacia </w:t>
      </w:r>
      <w:r w:rsidRPr="00AC56D6">
        <w:rPr>
          <w:i/>
        </w:rPr>
        <w:t>pro futuro</w:t>
      </w:r>
      <w:r>
        <w:t>, con alcance únicamente prospectivo, de la regulación contenida en aquel precepto, sino su nulidad al resultar contrario a la Constitución”.</w:t>
      </w:r>
    </w:p>
    <w:p w:rsidR="00AC56D6" w:rsidRDefault="00AC56D6" w:rsidP="00AC56D6">
      <w:pPr>
        <w:pStyle w:val="TextoNormal"/>
      </w:pPr>
    </w:p>
    <w:p w:rsidR="00AC56D6" w:rsidRDefault="00AC56D6" w:rsidP="00AC56D6">
      <w:pPr>
        <w:pStyle w:val="TextoNormal"/>
      </w:pPr>
      <w:r>
        <w:t xml:space="preserve">Pues bien, atendidas esas circunstancias no puede sustentarse, como hace la opinión mayoritaria, que la nulidad de la normativa sobre traspaso de funciones en la materia no generó ningún tipo de incertidumbre por el hecho de que formalmente la competencia revirtiera otra vez a la Administración general del Estado. Esa afirmación parece desconocer los problemas jurídicos y materiales derivados de esa operación de reversión del traspaso de funciones y el tiempo necesario para hacerla efectiva. Hay que tomar en consideración (i) que la Comunidad Autónoma de Andalucía venía ejerciendo esta competencia con normalidad desde, al menos, el año 2008, en que se produjo el traspaso de funciones y servicios, hasta la declaración de nulidad en junio de 2011; y (ii) que entre esas competencias estaban las funciones de policía de dominio público hidráulico que llevan aparejadas, entre otras, labores de inspección, control y vigilancia. En ese contexto, en que estaba en peligro la efectividad, entre otras, de las funciones de policía de aguas, no parece que pueda objetarse, desde la posición de control que corresponde desarrollar a este Tribunal Constitucional sobre el cumplimiento de los presupuestos habilitantes del art. 86.1 CE, que en evitación, por ejemplo, de situaciones de impunidad y caducidad de procedimientos sancionadores, se decidiera acudir a una disposición legislativa provisional como la impugnada para añadir una nueva disposición adicional decimocuarta en el texto refundido de la Ley de aguas, estableciendo </w:t>
      </w:r>
      <w:r>
        <w:lastRenderedPageBreak/>
        <w:t>que en las cuencas hidrográficas intercomunitarias, corresponderá a las comunidades autónomas que tengan prevista la competencia ejecutiva sobre las facultades de policía de dominio público hidráulico en sus estatutos de autonomía, el ejercicio, dentro de su ámbito territorial, de las funciones de inspección, control y vigilancia del dominio público hidráulico, así como la tramitación de los procedimientos a que den lugar dichas actuaciones hasta la propuesta de resolución.</w:t>
      </w:r>
    </w:p>
    <w:p w:rsidR="00AC56D6" w:rsidRDefault="00AC56D6" w:rsidP="00AC56D6">
      <w:pPr>
        <w:pStyle w:val="TextoNormal"/>
      </w:pPr>
    </w:p>
    <w:p w:rsidR="00AC56D6" w:rsidRDefault="00AC56D6" w:rsidP="00AC56D6">
      <w:pPr>
        <w:pStyle w:val="TextoNormal"/>
      </w:pPr>
      <w:r>
        <w:t xml:space="preserve">4. En resolución: los últimos tiempos han deparado una proliferación de reales decretos-leyes dictados al amparo y bajo la justificación de una situación de crisis económica, los cuales han sido analizados con la flexibilidad necesaria y adecuada a un instrumento jurídico que, siendo excepcional, cuenta con el debido control parlamentario mediante la necesidad de convalidación o la posibilidad de tramitación como proyecto de ley y frente a cuya utilización el Gobierno también ha de responder políticamente. A mi parecer en este caso esa necesaria flexibilidad —o mero control externo— se ha tornado de manera poco justificada excesivamente rigorista; y esto ha ocurrido en un supuesto en que la obligación de ejecutar un pronunciamiento de este tribunal —materia en la que los demás órganos constitucionales, y entre ellos el Gobierno, tienen una responsabilidad directa— había generado </w:t>
      </w:r>
      <w:r w:rsidRPr="00AC56D6">
        <w:rPr>
          <w:i/>
        </w:rPr>
        <w:t>de facto</w:t>
      </w:r>
      <w:r>
        <w:t xml:space="preserve"> un vacío en el ejercicio de facultades de policía de aguas que la legislación controvertida tenía como objetivo evitar.</w:t>
      </w:r>
    </w:p>
    <w:p w:rsidR="00AC56D6" w:rsidRDefault="00AC56D6" w:rsidP="00AC56D6">
      <w:pPr>
        <w:pStyle w:val="TextoNormal"/>
      </w:pPr>
    </w:p>
    <w:p w:rsidR="00AC56D6" w:rsidRDefault="00AC56D6" w:rsidP="00AC56D6">
      <w:pPr>
        <w:pStyle w:val="TextoNormal"/>
      </w:pPr>
      <w:r>
        <w:t>Madrid, a veinticuatro de septiembre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53" w:name="SENTENCIA_2015_197"/>
      <w:r>
        <w:lastRenderedPageBreak/>
        <w:t>SENTENCIA 197/2015, de 24 de septiembre de 2015</w:t>
      </w:r>
    </w:p>
    <w:bookmarkEnd w:id="53"/>
    <w:p w:rsidR="00AC56D6" w:rsidRDefault="00AC56D6" w:rsidP="00AC56D6">
      <w:pPr>
        <w:pStyle w:val="TtuloResolucin"/>
      </w:pPr>
      <w:r>
        <w:t>Pleno</w:t>
      </w:r>
    </w:p>
    <w:p w:rsidR="00AC56D6" w:rsidRDefault="00AC56D6" w:rsidP="00AC56D6">
      <w:pPr>
        <w:pStyle w:val="TtuloBOE"/>
      </w:pPr>
      <w:r>
        <w:t>(BOE núm. 260, de 30 de octubre de 2015)</w:t>
      </w:r>
    </w:p>
    <w:p w:rsidR="00AC56D6" w:rsidRDefault="00AC56D6" w:rsidP="00AC56D6">
      <w:pPr>
        <w:pStyle w:val="TextoNormalCentrado"/>
      </w:pPr>
      <w:r>
        <w:t>ECLI:ES:TC:2015:197</w:t>
      </w:r>
    </w:p>
    <w:p w:rsidR="00AC56D6" w:rsidRDefault="00AC56D6" w:rsidP="00AC56D6">
      <w:pPr>
        <w:pStyle w:val="TextoNormalCentrado"/>
      </w:pPr>
    </w:p>
    <w:p w:rsidR="00AC56D6" w:rsidRDefault="00AC56D6" w:rsidP="00AC56D6">
      <w:pPr>
        <w:pStyle w:val="SntesisDescriptiva"/>
      </w:pPr>
      <w:r>
        <w:t>Recurso de inconstitucionalidad 6866-2013. Interpuesto por el Gobierno de la Comunidad Autónoma del País Vasco contra el art. 38 y anexo y, por conexión, también contra el art. 37 del Real Decreto-ley 4/2013, de 22 de febrero, de medidas de apoyo al emprendedor y de estímulo del crecimiento y de la creación de empleo.</w:t>
      </w:r>
    </w:p>
    <w:p w:rsidR="00AC56D6" w:rsidRDefault="00AC56D6" w:rsidP="00AC56D6">
      <w:pPr>
        <w:pStyle w:val="SntesisDescriptiva"/>
      </w:pPr>
    </w:p>
    <w:p w:rsidR="00AC56D6" w:rsidRDefault="00AC56D6" w:rsidP="00AC56D6">
      <w:pPr>
        <w:pStyle w:val="SntesisAnaltica"/>
      </w:pPr>
      <w:r>
        <w:t>Principio de interdicción de la arbitrariedad de los poderes públicos, límites a los decretos-leyes y competencias en materia de ferrocarriles: inadmisión parcial del recurso de inconstitucionalidad; justificación de la concurrencia del presupuesto habilitante para dictar las normas legales de urgencia controvertidas. Votos particulares.</w:t>
      </w:r>
    </w:p>
    <w:p w:rsidR="00AC56D6" w:rsidRDefault="00AC56D6" w:rsidP="00AC56D6">
      <w:pPr>
        <w:pStyle w:val="SntesisAnaltica"/>
      </w:pPr>
    </w:p>
    <w:p w:rsidR="00AC56D6" w:rsidRDefault="00AC56D6" w:rsidP="00AC56D6">
      <w:pPr>
        <w:pStyle w:val="Extracto"/>
      </w:pPr>
      <w:r>
        <w:t>1.</w:t>
      </w:r>
      <w:r>
        <w:tab/>
        <w:t>La derogación de un decreto-ley antes de que se haya cumplido el plazo previsto para su impugnación a través del recurso de inconstitucionalidad no puede incidir en el control de determinados vicios de validez que afectan al momento de su aprobación, pues subsiste el interés constitucional de ajustar el uso de esta fuente del Derecho a las exigencias de la extraordinaria y urgente necesidad [FJ 2].</w:t>
      </w:r>
    </w:p>
    <w:p w:rsidR="00AC56D6" w:rsidRDefault="00AC56D6" w:rsidP="00AC56D6">
      <w:pPr>
        <w:pStyle w:val="Extracto"/>
      </w:pPr>
    </w:p>
    <w:p w:rsidR="00AC56D6" w:rsidRDefault="00AC56D6" w:rsidP="00AC56D6">
      <w:pPr>
        <w:pStyle w:val="Extracto"/>
      </w:pPr>
      <w:r>
        <w:t>2.</w:t>
      </w:r>
      <w:r>
        <w:tab/>
        <w:t>El hecho de que las normas que han sustituido a las impugnadas planteen similares problemas competenciales y materiales no significa que ello permita entender impugnada una norma que ya ha dejado de surtir efecto en el momento en que se interpuso el recurso [FJ 2].</w:t>
      </w:r>
    </w:p>
    <w:p w:rsidR="00AC56D6" w:rsidRDefault="00AC56D6" w:rsidP="00AC56D6">
      <w:pPr>
        <w:pStyle w:val="Extracto"/>
      </w:pPr>
    </w:p>
    <w:p w:rsidR="00AC56D6" w:rsidRDefault="00AC56D6" w:rsidP="00AC56D6">
      <w:pPr>
        <w:pStyle w:val="Extracto"/>
      </w:pPr>
      <w:r>
        <w:t>3.</w:t>
      </w:r>
      <w:r>
        <w:tab/>
        <w:t>El presupuesto habilitante del real decreto-ley,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razón por la cual, este Tribunal Constitucional puede, en supuestos de uso abusivo o arbitrario, rechazar la definición que los órganos políticos hagan de una situación determinada como de extraordinaria y urgente necesidad [FJ 3].</w:t>
      </w:r>
    </w:p>
    <w:p w:rsidR="00AC56D6" w:rsidRDefault="00AC56D6" w:rsidP="00AC56D6">
      <w:pPr>
        <w:pStyle w:val="Extracto"/>
      </w:pPr>
    </w:p>
    <w:p w:rsidR="00AC56D6" w:rsidRDefault="00AC56D6" w:rsidP="00AC56D6">
      <w:pPr>
        <w:pStyle w:val="Extracto"/>
      </w:pPr>
      <w:r>
        <w:t>4.</w:t>
      </w:r>
      <w:r>
        <w:tab/>
        <w:t xml:space="preserve">Cuando se denuncia la vulneración del presupuesto de hecho habilitante respecto, no del correspondiente decreto-ley en su conjunto, sino únicamente en relación con uno o alguno de sus preceptos, la necesaria justificación </w:t>
      </w:r>
      <w:r w:rsidRPr="00AC56D6">
        <w:rPr>
          <w:i/>
        </w:rPr>
        <w:t xml:space="preserve">ad casum </w:t>
      </w:r>
      <w:r>
        <w:t>de la extraordinaria y urgente necesidad ha de ser apreciada en relación precisamente con los preceptos en concreto impugnados [FJ 4].</w:t>
      </w:r>
    </w:p>
    <w:p w:rsidR="00AC56D6" w:rsidRDefault="00AC56D6" w:rsidP="00AC56D6">
      <w:pPr>
        <w:pStyle w:val="Extracto"/>
      </w:pPr>
    </w:p>
    <w:p w:rsidR="00AC56D6" w:rsidRDefault="00AC56D6" w:rsidP="00AC56D6">
      <w:pPr>
        <w:pStyle w:val="Extracto"/>
      </w:pPr>
      <w:r>
        <w:t>5.</w:t>
      </w:r>
      <w:r>
        <w:tab/>
        <w:t>La concurrencia de una situación de extraordinaria y urgente necesidad del Real Decreto-ley impugnado se justifica porque es obligado, como se determinó en la STC 245/2012, determinar las líneas que han de formar parte de la Red Ferroviaria de Interés General, una vez declarado inconstitucional el apartado 1 de la disposición adicional novena de la Ley 39/2003, de 17 de noviembre, del Sector Ferroviario [FJ 4, 5].</w:t>
      </w:r>
    </w:p>
    <w:p w:rsidR="00AC56D6" w:rsidRDefault="00AC56D6" w:rsidP="00AC56D6">
      <w:pPr>
        <w:pStyle w:val="Extracto"/>
      </w:pPr>
    </w:p>
    <w:p w:rsidR="00AC56D6" w:rsidRDefault="00AC56D6" w:rsidP="00AC56D6">
      <w:pPr>
        <w:pStyle w:val="Extracto"/>
      </w:pPr>
      <w:r>
        <w:lastRenderedPageBreak/>
        <w:t>6.</w:t>
      </w:r>
      <w:r>
        <w:tab/>
        <w:t>La conexión de sentido entre extraordinaria y urgente necesidad definida por el Gobierno para el Real Decreto-ley 4/2013 era idónea para la consecución del objetivo marcado: la definición de las líneas y trayectos que se integran en la denominada red ferroviaria de interés general [FJ 6].</w:t>
      </w:r>
    </w:p>
    <w:p w:rsidR="00AC56D6" w:rsidRDefault="00AC56D6" w:rsidP="00AC56D6">
      <w:pPr>
        <w:pStyle w:val="Extracto"/>
      </w:pPr>
    </w:p>
    <w:p w:rsidR="00AC56D6" w:rsidRDefault="00AC56D6" w:rsidP="00AC56D6">
      <w:pPr>
        <w:pStyle w:val="Extracto"/>
      </w:pPr>
      <w:r>
        <w:t>7.</w:t>
      </w:r>
      <w:r>
        <w:tab/>
        <w:t>Un límite material del Decreto-ley reside en que no puede afectar al régimen constitucional de las Comunidades Autónomas -Estatutos de Autonomía y otras leyes estatales atributivas de competencias que integran el bloque de la constitucionalidad-; pero no existe obstáculo constitucional alguno para que el Decreto-ley, en el ámbito de la competencia legislativa que corresponde al Estado, pueda regular materias en las que una Comunidad Autónoma tenga competencias, pero en las que incida una competencia legislativa del Estado, siempre que esa regulación no tenga como fin atribuir competencias o delimitar positivamente la esfera de competencias autonómicas [FJ 7].</w:t>
      </w:r>
    </w:p>
    <w:p w:rsidR="00AC56D6" w:rsidRDefault="00AC56D6" w:rsidP="00AC56D6">
      <w:pPr>
        <w:pStyle w:val="Extracto"/>
      </w:pPr>
    </w:p>
    <w:p w:rsidR="00AC56D6" w:rsidRDefault="00AC56D6" w:rsidP="00AC56D6">
      <w:pPr>
        <w:pStyle w:val="Extracto"/>
      </w:pPr>
      <w:r>
        <w:t>8.</w:t>
      </w:r>
      <w:r>
        <w:tab/>
        <w:t>Los preceptos impugnados del Real Decreto-ley 4/2013 no afectan al régimen constitucional, ni atribuyen o delimitan con carácter general la esfera de competencias de las Comunidades Autónomas, por lo que se mueven dentro de los límites constitucionales, en cuanto que no persiguen una delimitación directa y positiva de las competencias autonómicas, sin perjuicio de que pueda incidir en las mismas. (SSTC 23/1993 y 332/2005) [FJ 7].</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Asúa Batarrita, doña Encarnación Roca Trías, don Andrés Ollero Tassara, don Fernando Valdés Dal-Ré, don Juan José González Rivas, don Santiago Martínez-Vares Garcia, don Juan Antonio Xiol Rios,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inconstitucionalidad núm. 6866-2013 interpuesto por el Gobierno de la Comunidad Autónoma del País Vasco contra el art. 38 y anexo y, por conexión, también contra el art. 37 del Real Decreto-ley 4/2013, de 22 de febrero, de medidas de apoyo al emprendedor y de estímulo del crecimiento y de la creación de empleo. Ha comparecido y formulado alegaciones el Abogado del Estado. Ha sido Ponente el Magistrado don Antonio Narváez Rodríguez, quien expresa el parecer del Tribunal.</w:t>
      </w:r>
    </w:p>
    <w:p w:rsidR="00AC56D6" w:rsidRDefault="00AC56D6" w:rsidP="00AC56D6">
      <w:pPr>
        <w:pStyle w:val="TextoNormal"/>
      </w:pPr>
    </w:p>
    <w:p w:rsidR="00AC56D6" w:rsidRDefault="00AC56D6" w:rsidP="00AC56D6">
      <w:pPr>
        <w:pStyle w:val="TextoNormalNegritaCentrado"/>
        <w:keepNext/>
      </w:pPr>
      <w:r>
        <w:lastRenderedPageBreak/>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presentado en el Registro de este Tribunal Constitucional el día 22 de noviembre de 2013, la representación procesal del Gobierno Vasco interpuso recurso de inconstitucionalidad contra el art. 38 y anexo y, por conexión, contra el art. 37 del Real Decreto-ley 4/2013, de 22 de febrero, de medidas de apoyo al emprendedor y de estímulo del crecimiento y de la creación de empleo.</w:t>
      </w:r>
    </w:p>
    <w:p w:rsidR="00AC56D6" w:rsidRDefault="00AC56D6" w:rsidP="00AC56D6">
      <w:pPr>
        <w:pStyle w:val="TextoNormal"/>
      </w:pPr>
    </w:p>
    <w:p w:rsidR="00AC56D6" w:rsidRDefault="00AC56D6" w:rsidP="00AC56D6">
      <w:pPr>
        <w:pStyle w:val="TextoNormal"/>
      </w:pPr>
      <w:r>
        <w:t>El recurso se fundamenta en los motivos que, resumidamente, se exponen a continuación:</w:t>
      </w:r>
    </w:p>
    <w:p w:rsidR="00AC56D6" w:rsidRDefault="00AC56D6" w:rsidP="00AC56D6">
      <w:pPr>
        <w:pStyle w:val="TextoNormal"/>
      </w:pPr>
    </w:p>
    <w:p w:rsidR="00AC56D6" w:rsidRDefault="00AC56D6" w:rsidP="00AC56D6">
      <w:pPr>
        <w:pStyle w:val="TextoNormal"/>
      </w:pPr>
      <w:r>
        <w:t>a) El Letrado del Gobierno Vasco comienza haciendo referencia a la aplicación infructuosa del procedimiento previsto en el art. 33.2 de la Ley Orgánica del Tribunal Constitucional (LOTC), señalando, además, que, durante ese período de nueve meses se ha aprobado la Ley 11/2013, de 26 de julio, con el mismo título que el del Real Decreto-ley 4/2013, que incorpora, con semejante texto, los preceptos objeto de este recurso. Señala al respecto que “la Ley 11/2013 no ha derogado los arts. 37, 38 y anexo del Real Decreto-ley 4/2013, por lo que, en principio, no afecta a la recurribilidad de los mismos, cuyos trámites preparatorios ya se han iniciado ante ese Alto Tribunal”. Apunta, además, que “con la interposición de este recurso se sigue un proceso constitucional (ya iniciado en trámite de negociaciones y puesto en conocimiento de ese TC) de naturaleza competencial, controversia que se mantiene en los mismos términos en la Ley 11/2013”, que no se impugnó para no interferir en las negociaciones en curso. Por ello, estima que la entrada en vigor de la Ley 11/2013 no afecta a este recurso de inconstitucionalidad, pues los preceptos impugnados han sido reproducidos pero no derogados, siendo aplicable la doctrina constitucional sobre la pervivencia del objeto en procesos competenciales, en la medida en que es evidente que se mantiene el problema competencial, sobre el que se negoció para evitar la interposición del recurso.</w:t>
      </w:r>
    </w:p>
    <w:p w:rsidR="00AC56D6" w:rsidRDefault="00AC56D6" w:rsidP="00AC56D6">
      <w:pPr>
        <w:pStyle w:val="TextoNormal"/>
      </w:pPr>
    </w:p>
    <w:p w:rsidR="00AC56D6" w:rsidRDefault="00AC56D6" w:rsidP="00AC56D6">
      <w:pPr>
        <w:pStyle w:val="TextoNormal"/>
      </w:pPr>
      <w:r>
        <w:t xml:space="preserve">b) A continuación, la demanda reproduce los preceptos impugnados así como el art. 4 de la Ley 39/2003, de 17 de noviembre, del sector ferroviario, relativo a la red ferroviaria de interés general. Señala, también, que la modificación de la disposición adicional novena de la Ley 39/2003, que se lleva a cabo en el art. 37 del Real Decreto-ley 4/2013, viene motivada por la declaración de inconstitucionalidad de la misma en la STC 245/2012, de 18 de diciembre. En cuanto a los títulos competenciales en juego indica que la modificación que ahora se impugna se dicta al amparo de las reglas 21 y 24 del art. 149.1 CE, que atribuyen al Estado la competencia exclusiva sobre los ferrocarriles y transportes terrestres que transcurran por el territorio de más de una Comunidad Autónoma y sobre las obras públicas de interés general cuya realización afecte a más de una Comunidad Autónoma. Competencias que han de ponerse en relación con las autonómicas, también exclusivas, sobre ferrocarriles y transportes terrestres y “obras públicas que no tengan la calificación legal de interés general o cuya realización no afecte a otros territorios” (arts. 10.32 y 10.33 del Estatuto de Autonomía del País Vasco). Destaca el recurrente que, de la doctrina constitucional, se deriva la necesidad de diferenciar entre las infraestructuras ferroviarias y el transporte que se desarrolla sobre ellas, de manera que se plantea un problema de concurrencia de títulos competenciales estatales y autonómicos sobre el mismo espacio físico, lo que, conforme a la doctrina constitucional, exige el establecimiento de técnicas o fórmulas de cooperación. A su juicio, en el establecimiento de la red ferroviaria de interés general han de poder intervenir las Comunidades Autónomas en la medida en que ostentan competencias que se ven </w:t>
      </w:r>
      <w:r>
        <w:lastRenderedPageBreak/>
        <w:t>afectadas. En ese sentido, la demanda afirma que “la red ferroviaria de interés general del anexo al Real Decreto-ley 4/2013 se ha establecido sin intervención de las Comunidades Autónomas afectadas, al menos de la Comunidad Autónoma del País Vasco”.</w:t>
      </w:r>
    </w:p>
    <w:p w:rsidR="00AC56D6" w:rsidRDefault="00AC56D6" w:rsidP="00AC56D6">
      <w:pPr>
        <w:pStyle w:val="TextoNormal"/>
      </w:pPr>
    </w:p>
    <w:p w:rsidR="00AC56D6" w:rsidRDefault="00AC56D6" w:rsidP="00AC56D6">
      <w:pPr>
        <w:pStyle w:val="TextoNormal"/>
      </w:pPr>
      <w:r>
        <w:t>El Letrado del Gobierno Vasco argumenta que la consideración de los ferrocarriles como obra pública implica que el criterio territorial que les es aplicable haya de complementarse con el del interés general. La aplicación de esos criterios a la delimitación de las líneas y tramos de la red ferroviaria de interés general determina que, conforme a la doctrina de la STC 245/2012, la facultad del Ministro de Fomento de inclusión de nuevas infraestructuras ferroviarias en la red de interés general, se extienda también a las infraestructuras que discurran íntegramente por el territorio de una sola Comunidad Autónoma, diferenciándose dos supuestos en función de que exista o no conexión con el resto de la red, dado que si esa conexión no existe es preciso el consentimiento de la Comunidad Autónoma, consentimiento que se sustituye por un informe, caso de que exista conexión física. Para el recurrente la nueva redacción del apartado 1 de la disposición adicional novena de la Ley 39/2003 prevé simplemente la audiencia de las Comunidades Autónomas, obviando que si una línea o tramo discurre íntegramente por el territorio de la Comunidad Autónoma, su inclusión en el catálogo —sin consentimiento de ésta— exigirá que exista conexión física con la red ferroviaria de interés general y, además, razones de interés general que así lo justifiquen (debidamente acreditadas en el expediente de elaboración del catálogo). En caso de que no concurran razones de interés general, será preciso el consentimiento de la Comunidad Autónoma para incluir la infraestructura ferroviaria que transcurre íntegramente por el territorio de la Comunidad Autónoma en la red ferroviaria de interés general.</w:t>
      </w:r>
    </w:p>
    <w:p w:rsidR="00AC56D6" w:rsidRDefault="00AC56D6" w:rsidP="00AC56D6">
      <w:pPr>
        <w:pStyle w:val="TextoNormal"/>
      </w:pPr>
    </w:p>
    <w:p w:rsidR="00AC56D6" w:rsidRDefault="00AC56D6" w:rsidP="00AC56D6">
      <w:pPr>
        <w:pStyle w:val="TextoNormal"/>
      </w:pPr>
      <w:r>
        <w:t xml:space="preserve">c) Además, la demanda argumenta que la delimitación de líneas y tramos integrantes de la red ferroviaria de interés general, operada por el art. 38 en relación con el anexo del Real Decreto-ley 4/2013 no está motivada. Esta relación tiene carácter transitorio, lo que hace aún más necesaria la exigencia de motivación, por la excepcionalidad implícita en la separación de los criterios legales que determinan la regla general. En todo caso, el Letrado del Gobierno Vasco sostiene que algunas de las líneas y tramos incluidos en el anexo no reúnen los requisitos exigidos para su integración con la red ferroviaria de interés general. Señala que éste incluye once líneas y tramos de ferrocarril que transcurren por el ámbito territorial de la Comunidad Autónoma del País Vasco; en cinco, la infraestructura ferroviaria trasciende el ámbito territorial de la Comunidad Autónoma, sin que quepa excluir por ello que la infraestructura ferroviaria carezca de interés general. Eso es lo que ocurriría con las líneas 780 (de Bilbao La Concordia a Santander) y 790 (de Aranguren a La Asunción-Universidad León), que, por sus características y escaso tráfico, no resultan esenciales para garantizar un sistema común de transporte ferroviario estatal. Además, el recurrente indica que el Real Decreto-ley 4/2013 incluye en el anexo, como integrantes de la red ferroviaria de interés general, una serie de infraestructuras ferroviarias que transcurren íntegramente en el ámbito territorial de la Comunidad Autónoma del País Vasco. La demanda reconoce que “algunas de estas líneas enlazan con otras líneas que trascienden el ámbito territorial de la Comunidad Autónoma del País Vasco, pero, por sus características, entendemos que no cabe calificarlas de conexiones o accesos a los principales núcleos de población, de transporte o a instalaciones esenciales para la economía o la defensa nacional, de infraestructuras ferroviarias esenciales para garantizar un sistema común de transporte ferroviario en todo el territorio del Estado (parece desproporcionado atribuir esta consideración a las líneas de ámbito supraautonómico referidas con las que enlazan); ni se nos ocurre ningún otro criterio razonable que </w:t>
      </w:r>
      <w:r>
        <w:lastRenderedPageBreak/>
        <w:t>nos lleve a apreciar circunstancias de un interés general supraautonómico que justifique su integración en la Red Ferroviaria de Interés General”. Indica, además, que “se incorpora a esta Red de competencia estatal un tramo transferido, hace muchos años, a esta Comunidad Autónoma; concretamente, unos 500 metros de la línea 782, que constituían la antigua línea ‘Matico–Azbarren’”, vulnerándose con ello el Real Decreto 2488/1978, de 25 de agosto, por el que se transfirieron a la Comunidad Autónoma del País Vasco, bienes y servicios en materia de transportes ferroviarios.</w:t>
      </w:r>
    </w:p>
    <w:p w:rsidR="00AC56D6" w:rsidRDefault="00AC56D6" w:rsidP="00AC56D6">
      <w:pPr>
        <w:pStyle w:val="TextoNormal"/>
      </w:pPr>
    </w:p>
    <w:p w:rsidR="00AC56D6" w:rsidRDefault="00AC56D6" w:rsidP="00AC56D6">
      <w:pPr>
        <w:pStyle w:val="TextoNormal"/>
      </w:pPr>
      <w:r>
        <w:t>d) La demanda concluye su argumentación en torno a la vulneración competencial padecida indicando que las infraestructuras ferroviarias que el anexo del Real Decreto-ley 4/2013 incluye en la red de interés general han sido incorporadas en aquella red sin motivación alguna ni contraste de la concurrencia de los criterios legales de calificación de interés general. Por ello, alega que “teniendo en cuenta las características, especialmente las comprendidas íntegramente en territorio autonómico, esta parte entiende que el Estado, además de con omisión de la motivación mínimamente exigible y prescindiendo totalmente de las garantías procedimentales ordenadas a la cooperación entre las distintas instancias territoriales de poder afectadas y a la protección de las competencias autonómicas, ha utilizado abusivamente un concepto de interés general para ubicar infraestructuras ferroviarias bajo su ámbito competencial”.</w:t>
      </w:r>
    </w:p>
    <w:p w:rsidR="00AC56D6" w:rsidRDefault="00AC56D6" w:rsidP="00AC56D6">
      <w:pPr>
        <w:pStyle w:val="TextoNormal"/>
      </w:pPr>
    </w:p>
    <w:p w:rsidR="00AC56D6" w:rsidRDefault="00AC56D6" w:rsidP="00AC56D6">
      <w:pPr>
        <w:pStyle w:val="TextoNormal"/>
      </w:pPr>
      <w:r>
        <w:t>e) Por otra parte, la delimitación de la red ferroviaria de interés general, contenida en el anexo del Real Decreto-ley 4/2013, es contraria a los principios que proclama el art. 9.3 CE en la medida en que no es posible saber cuáles han sido los criterios utilizados por el Ministerio de Fomento para la incorporación de infraestructuras ferroviarias a esa Red, especialmente las que transcurren por la Comunidad Autónoma del País Vasco. En todo caso, la demanda considera que el art. 38 y el anexo del Real Decreto-ley 4/2013 encubren un reparto competencial ya declarado inconstitucional por el Tribunal Constitucional, ya que, —al menos, respecto de las líneas y tramos que transcurren por el ámbito territorial de la Comunidad Autónoma del País Vasco— utiliza el mismo criterio que ya declaró inconstitucional la STC 245/2012, cambiando simplemente la forma de enumerar las infraestructuras ferroviarias que ubica bajo la competencia del Estado, como integrantes de la Red Ferroviaria de Interés General, pues el listado de las líneas y tramos ferroviarios coincide con aquéllos cuya gestión tiene encomendada actualmente el Gestor de Infraestructuras Ferroviarias (ADIF). Por conexión con el art. 38 y anexo que cita del Real Decreto-ley 4/2013, entiende el recurrente que debe declararse también inconstitucional el último párrafo de la disposición adicional novena de la Ley 39/2003, en la redacción dada por el art. 37 del Real Decreto-ley 4/2013, por ser contrario al criterio de la STC 245/2012, en el sentido de que, para la inclusión de infraestructuras ferroviarias que transcurren íntegramente por el ámbito territorial de la Comunidad Autónoma en la red ferroviaria de interés general y no tengan conexión física con esta red, es preciso el previo consentimiento de la Comunidad Autónoma.</w:t>
      </w:r>
    </w:p>
    <w:p w:rsidR="00AC56D6" w:rsidRDefault="00AC56D6" w:rsidP="00AC56D6">
      <w:pPr>
        <w:pStyle w:val="TextoNormal"/>
      </w:pPr>
    </w:p>
    <w:p w:rsidR="00AC56D6" w:rsidRDefault="00AC56D6" w:rsidP="00AC56D6">
      <w:pPr>
        <w:pStyle w:val="TextoNormal"/>
      </w:pPr>
      <w:r>
        <w:t xml:space="preserve">f) Finalmente, se alega en la demanda la vulneración del art. 86.1 CE en un doble sentido. En primer lugar, el Letrado del Gobierno Vasco defiende que no concurre el presupuesto constitucional de la extraordinaria y urgente necesidad para aprobar, por Real Decreto-ley, la red ferroviaria de interés general. Sostiene que “la STC 245/2012 declaró contraria a la CE la delimitación de la red ferroviaria de interés general que realizaba la disposición adicional novena de la Ley 39/2003; pero no es cabalmente defendible que esta declaración de </w:t>
      </w:r>
      <w:r>
        <w:lastRenderedPageBreak/>
        <w:t>inconstitucionalidad generara la extraordinaria y urgente necesidad que habilitara al Gobierno para suplir por Real Decreto-ley el precepto anulado”. Así, para la demanda la indeterminación transitoria de la red ferroviaria de interés general en modo alguno impide que las infraestructuras ferroviarias se sigan utilizando de acuerdo con su finalidad y sigan siendo gestionadas por los organismos gestores que actualmente se encargaban de ello, hasta que, siguiendo el procedimiento ordinario previsto en el art. 4 Ley 39/2003, el Ministerio de Fomento apruebe el catálogo de líneas y tramos de la red ferroviaria de interés general. En consecuencia no concurriría el presupuesto habilitante de la norma de urgencia.</w:t>
      </w:r>
    </w:p>
    <w:p w:rsidR="00AC56D6" w:rsidRDefault="00AC56D6" w:rsidP="00AC56D6">
      <w:pPr>
        <w:pStyle w:val="TextoNormal"/>
      </w:pPr>
    </w:p>
    <w:p w:rsidR="00AC56D6" w:rsidRDefault="00AC56D6" w:rsidP="00AC56D6">
      <w:pPr>
        <w:pStyle w:val="TextoNormal"/>
      </w:pPr>
      <w:r>
        <w:t>En segundo lugar, sostiene la demanda que “la integración de infraestructuras ferroviarias en la Red de Interés General determina que la titularidad de las mismas corresponde al Estado e impide toda posibilidad de transferencia de las referidas infraestructuras a las Comunidades Autónomas, por lo que el art. 38 y anexo que cita del Real Decreto-ley 4/2013 afectan al régimen jurídico de las Comunidades Autónomas con competencias en materia de infraestructuras ferroviarias, vulnerando una de las limitaciones objetivas impuestas a la figura del Decreto-ley por el art. 86.1 CE”.</w:t>
      </w:r>
    </w:p>
    <w:p w:rsidR="00AC56D6" w:rsidRDefault="00AC56D6" w:rsidP="00AC56D6">
      <w:pPr>
        <w:pStyle w:val="TextoNormal"/>
      </w:pPr>
    </w:p>
    <w:p w:rsidR="00AC56D6" w:rsidRDefault="00AC56D6" w:rsidP="00AC56D6">
      <w:pPr>
        <w:pStyle w:val="TextoNormal"/>
      </w:pPr>
      <w:r>
        <w:t>g) De acuerdo con todo lo anterior, la demanda solicita que se anule y deje sin efecto el art. 38 y anexo, por ser inconstitucionales o, subsidiariamente, que se declare que no forman parte de la red ferroviaria de interés general determinadas líneas en las que no concurriría el citado requisito. Asimismo, se solicita la declaración de inconstitucionalidad por conexión del art. 37, en cuanto que da nueva redacción al último párrafo del apartado 1 de la disposición adicional novena de la Ley 39/2003, de 17 de noviembre, del sector ferroviario, o, subsidiariamente, declarar que dicho párrafo debe interpretarse conforme a la Constitución, en el sentido de que la audiencia a las Comunidades Autónomas prevista en el mismo, deba realizarse conforme a lo previsto en el art. 4 de la Ley 39/2003, ya declarado ajustado a la Constitución por la STC 245/2012.</w:t>
      </w:r>
    </w:p>
    <w:p w:rsidR="00AC56D6" w:rsidRDefault="00AC56D6" w:rsidP="00AC56D6">
      <w:pPr>
        <w:pStyle w:val="TextoNormal"/>
      </w:pPr>
    </w:p>
    <w:p w:rsidR="00AC56D6" w:rsidRDefault="00AC56D6" w:rsidP="00AC56D6">
      <w:pPr>
        <w:pStyle w:val="TextoNormal"/>
      </w:pPr>
      <w:r w:rsidRPr="00AC56D6">
        <w:rPr>
          <w:rStyle w:val="NumeroAFNegritaCaracter"/>
        </w:rPr>
        <w:t>2</w:t>
      </w:r>
      <w:r>
        <w:t>. Por providencia de 14 de enero de 2014, el Pleno del Tribunal Constitucional, a propuesta de la Sección Cuarta, acordó admitir a trámite el recurso de inconstitucionalidad y dar traslado de la demanda y documentos presentados, conforme establece el art. 34 LOTC, al Congreso de los Diputados y al Senado así como al Gobierno, al objeto de que en el plazo de quince días pudieran personarse en el proceso y formular las alegaciones que estimaren convenientes. También, se ordenó publicar la incoación del recurso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3</w:t>
      </w:r>
      <w:r>
        <w:t>. Por escrito registrado el día 20 de enero de 2014 el Abogado del Estado se personó en nombre del Gobierno solicitando una prórroga en el plazo para la formulación de alegaciones, prórroga que le fue concedida por providencia del Pleno de 21 de enero de 2014.</w:t>
      </w:r>
    </w:p>
    <w:p w:rsidR="00AC56D6" w:rsidRDefault="00AC56D6" w:rsidP="00AC56D6">
      <w:pPr>
        <w:pStyle w:val="TextoNormal"/>
      </w:pPr>
    </w:p>
    <w:p w:rsidR="00AC56D6" w:rsidRDefault="00AC56D6" w:rsidP="00AC56D6">
      <w:pPr>
        <w:pStyle w:val="TextoNormal"/>
      </w:pPr>
      <w:r w:rsidRPr="00AC56D6">
        <w:rPr>
          <w:rStyle w:val="NumeroAFNegritaCaracter"/>
        </w:rPr>
        <w:t>4</w:t>
      </w:r>
      <w:r>
        <w:t>. El día 22 de enero de 2014, el Presidente del Congreso de los Diputados comunicó el acuerdo de la Mesa de la Cámara de personarse en el procedimiento y ofrecer su colaboración a los efectos del art. 88.1 LOTC. Lo mismo hizo el Presidente del Senado por escrito que tuvo entrada en este Tribunal el día 6 de febrero de 2014.</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5</w:t>
      </w:r>
      <w:r>
        <w:t>. Las alegaciones presentadas por el Abogado del Estado interesando la inadmisión del recurso y, subsidiariamente, su desestimación fueron registradas en este Tribunal el día 18 de febrero de 2014. En síntesis, los argumentos que expone en su escrito son los siguientes:</w:t>
      </w:r>
    </w:p>
    <w:p w:rsidR="00AC56D6" w:rsidRDefault="00AC56D6" w:rsidP="00AC56D6">
      <w:pPr>
        <w:pStyle w:val="TextoNormal"/>
      </w:pPr>
    </w:p>
    <w:p w:rsidR="00AC56D6" w:rsidRDefault="00AC56D6" w:rsidP="00AC56D6">
      <w:pPr>
        <w:pStyle w:val="TextoNormal"/>
      </w:pPr>
      <w:r>
        <w:t>a) Alude, en primer lugar, al objeto del recurso y a los antecedentes de la norma recurrida señalando que la disposición adicional novena de la Ley 39/2003 se declaró inconstitucional y nula en la STC 245/2012, razón por la que el Gobierno procedió a incluir en el Real Decreto-ley 4/2013 el art. 37, que modificaba la redacción de la mencionada disposición adicional novena. Igualmente, con el fin de atender a la situación interina y transitoria de definición de la red ferroviaria de interés general, en tanto fuera elaborado por el Ministerio de Fomento el catálogo de líneas y tramos de la red ferroviaria de interés general, el art. 38 del Real Decreto-ley relacionó, mediante la remisión a su anexo, las líneas y tramos que la componían.</w:t>
      </w:r>
    </w:p>
    <w:p w:rsidR="00AC56D6" w:rsidRDefault="00AC56D6" w:rsidP="00AC56D6">
      <w:pPr>
        <w:pStyle w:val="TextoNormal"/>
      </w:pPr>
    </w:p>
    <w:p w:rsidR="00AC56D6" w:rsidRDefault="00AC56D6" w:rsidP="00AC56D6">
      <w:pPr>
        <w:pStyle w:val="TextoNormal"/>
      </w:pPr>
      <w:r>
        <w:t>b) Formula, en segundo término, una causa de inadmisión relativa a la pérdida de objeto del recurso como consecuencia de la aprobación de la Ley 11/2013, de 26 de julio, de medidas de apoyo al emprendedor y de estímulo del crecimiento y de la creación de empleo, fruto de la aplicación al Real Decreto-ley 4/2013 de lo previsto en el art. 86.3 CE. Considera que la mera coincidencia material de ambas normas “no puede inducir al error de considerar que se trata de la misma norma jurídica y que por tanto, los efectos impugnatorios de la primera se extienden automáticamente a la segunda”, pues “la aprobación de la Ley producirá la pérdida automática de vigencia del Decreto Ley por sustitución de sus preceptos por los de la ley. Esta sustitución hace por tanto innecesaria la derogación expresa de los preceptos del Decreto Ley por la Ley”. La pérdida de vigencia del Real Decreto-ley obedece, así, a su vigencia temporal limitada y su consiguiente decadencia por efecto de la convalidación (art. 86.2 CE) o su conversión en ley (art. 86.3 CE), sin que sea necesaria su derogación expresa.</w:t>
      </w:r>
    </w:p>
    <w:p w:rsidR="00AC56D6" w:rsidRDefault="00AC56D6" w:rsidP="00AC56D6">
      <w:pPr>
        <w:pStyle w:val="TextoNormal"/>
      </w:pPr>
    </w:p>
    <w:p w:rsidR="00AC56D6" w:rsidRDefault="00AC56D6" w:rsidP="00AC56D6">
      <w:pPr>
        <w:pStyle w:val="TextoNormal"/>
      </w:pPr>
      <w:r>
        <w:t>El Abogado del Estado argumenta que el objeto de este recurso está constituido por preceptos de un real decreto-ley sustituidos y por tanto derogados por una ley que no ha sido impugnada. A su juicio, la “articulación procesal correcta de esta situación hubiera sido la ampliación, en su caso, de la negociación prevista en el artículo 33.2 de la LOTC a la nueva norma y, de no llegarse a un acuerdo, la impugnación de la norma sustitutiva. O bien la impugnación de los preceptos de la Ley de acuerdo con lo dispuesto en los arts. 29.1 a) y 32 de la LOTC y el desistimiento si se hubiera llegado a algún acuerdo en el seno de la negociación”. Alude a la doctrina constitucional elaborada en torno a la derogación o modificación de los preceptos de una norma que ha sido objeto de un recurso de inconstitucionalidad, citando las SSTC 111/1983 y 182/1997, en las que el Tribunal estableció la posibilidad de control de la correcta utilización del Real Decreto-ley. No obstante, considera que no cabe aplicar aquí la doctrina del Tribunal en torno a la pervivencia del objeto en las controversias competenciales, pues la misma no se refiere al supuesto de hecho objeto del presente recurso, en concreto, al efecto que en el recurso pueda tener la no extensión de la impugnación a los preceptos idénticos de la ley no impugnada que sustituye al Real Decreto-ley recurrido, problema que se abordó en la STC 111/1983. Por ello, el Abogado del Estado entiende que la “reducción del ámbito de cognición del proceso limita por tanto el objeto del proceso a la recta y debida utilización del instrumento normativo del Decreto Ley, esto es, al enjuiciamiento del presupuesto habilitante y a su correcta limitación material”.</w:t>
      </w:r>
    </w:p>
    <w:p w:rsidR="00AC56D6" w:rsidRDefault="00AC56D6" w:rsidP="00AC56D6">
      <w:pPr>
        <w:pStyle w:val="TextoNormal"/>
      </w:pPr>
    </w:p>
    <w:p w:rsidR="00AC56D6" w:rsidRDefault="00AC56D6" w:rsidP="00AC56D6">
      <w:pPr>
        <w:pStyle w:val="TextoNormal"/>
      </w:pPr>
      <w:r>
        <w:lastRenderedPageBreak/>
        <w:t>c) Antes aún de examinar el fondo del asunto el Abogado del Estado estima, de modo subsidiario a lo anterior, que el recurso de inconstitucionalidad ha de ser inadmitido en lo que respecta al art. 37 del Real Decreto-ley 4/2013, por cuanto este precepto no formaba parte del acuerdo inicial de aplicación del art. 33.2 LOTC, por lo que, conforme con la doctrina constitucional en esta materia, no puede incluirse luego en el posterior recurso.</w:t>
      </w:r>
    </w:p>
    <w:p w:rsidR="00AC56D6" w:rsidRDefault="00AC56D6" w:rsidP="00AC56D6">
      <w:pPr>
        <w:pStyle w:val="TextoNormal"/>
      </w:pPr>
    </w:p>
    <w:p w:rsidR="00AC56D6" w:rsidRDefault="00AC56D6" w:rsidP="00AC56D6">
      <w:pPr>
        <w:pStyle w:val="TextoNormal"/>
      </w:pPr>
      <w:r>
        <w:t>d) En cuanto a la concurrencia del presupuesto habilitante de la extraordinaria y urgente necesidad, el Abogado del Estado recoge la doctrina constitucional en la materia, destacando que “el canon de enjuiciamiento del presupuesto habilitante se ciñe a corregir una eventual valoración abusiva o arbitraria por parte de los poderes políticos de la necesidad concurrente”. En este caso, el Abogado del Estado defiende que se ha exteriorizado la concurrencia del presupuesto habilitante. La justificación estaría contenida en el preámbulo del Real Decreto-ley 4/2013, que apela, tanto a la situación económica actual, como a la necesidad de dar cumplimiento a la STC 245/2012, evitando la existencia de vacíos normativos a consecuencia de la inconstitucionalidad de la disposición adicional novena de la Ley 39/2003. Dicha concurrencia del presupuesto habilitante aparecería también explicitada en el debate de convalidación.</w:t>
      </w:r>
    </w:p>
    <w:p w:rsidR="00AC56D6" w:rsidRDefault="00AC56D6" w:rsidP="00AC56D6">
      <w:pPr>
        <w:pStyle w:val="TextoNormal"/>
      </w:pPr>
    </w:p>
    <w:p w:rsidR="00AC56D6" w:rsidRDefault="00AC56D6" w:rsidP="00AC56D6">
      <w:pPr>
        <w:pStyle w:val="TextoNormal"/>
      </w:pPr>
      <w:r>
        <w:t>e) Alude, a continuación, al alcance de la competencia exclusiva del Estado en materia de bases y coordinación de la planificación general de la actividad económica del art. 149.1.13 CE, indicando que la Ley 39/2003 persigue la reordenación completa del sector ferroviario como instrumento de vertebración del país y promoción de la actividad económica, en lo que juega un papel fundamental la definición de la red ferroviaria de interés general en cuanto que, sobre la misma, se asienta el mercado de prestación de servicios ferroviarios. Esta Red debe ser reconocible, eficiente, equiparable e integradora del territorio nacional, de modo que garantice un sistema común de transporte ferroviario en todo el Estado. Por tanto, es al Estado al que compete el diseño de la red ferroviaria de interés general atendiendo a criterios de desarrollo económico armónico y equilibrado, velando por el eficiente aprovisionamiento a industrias que desarrollan actividad económica de interés general para la economía y, en definitiva, creando condiciones adecuadas para el sostenimiento y expansión industrial.</w:t>
      </w:r>
    </w:p>
    <w:p w:rsidR="00AC56D6" w:rsidRDefault="00AC56D6" w:rsidP="00AC56D6">
      <w:pPr>
        <w:pStyle w:val="TextoNormal"/>
      </w:pPr>
    </w:p>
    <w:p w:rsidR="00AC56D6" w:rsidRDefault="00AC56D6" w:rsidP="00AC56D6">
      <w:pPr>
        <w:pStyle w:val="TextoNormal"/>
      </w:pPr>
      <w:r>
        <w:t xml:space="preserve">f) En cuanto a las competencias estatales sobre ferrocarriles y transportes terrestres que transcurran por el territorio de más de una Comunidad Autónoma (art. 149.1.21 CE) y, en materia de obras públicas de interés general o cuya realización afecte a más de una Comunidad Autónoma (art. 149.1.24 CE), se remite a la STC 245/2012, en la que se separó el concepto de infraestructura ferroviaria del de transporte que se lleva a cabo a través de ella y se señaló que el criterio determinante para la delimitación de la competencia autonómica en materia de ferrocarriles es que la infraestructura ferroviaria discurra o no íntegramente por el territorio de la Comunidad Autónoma, concluyendo que el criterio territorial, como determinante de la competencia, puede y debe ser complementado con el del interés público. Respecto a la red ferroviaria de interés general, añade que el Tribunal examinó los criterios utilizados por la Ley 39/2003, concluyendo que la simple indeterminación de un criterio no es causa de inconstitucionalidad, al no existir reserva de ley para el ejercicio por el Estado de esta competencia y quedar siempre a salvo la posibilidad de impugnación de su aplicación práctica. Sin embargo, declaró la inconstitucionalidad de la disposición adicional novena por considerar que el criterio subjetivo de la delimitación de las infraestructuras que </w:t>
      </w:r>
      <w:r>
        <w:lastRenderedPageBreak/>
        <w:t>integran la red ferroviaria de interés general no respetaba los criterios de delimitación competencial en materia de ferrocarriles.</w:t>
      </w:r>
    </w:p>
    <w:p w:rsidR="00AC56D6" w:rsidRDefault="00AC56D6" w:rsidP="00AC56D6">
      <w:pPr>
        <w:pStyle w:val="TextoNormal"/>
      </w:pPr>
    </w:p>
    <w:p w:rsidR="00AC56D6" w:rsidRDefault="00AC56D6" w:rsidP="00AC56D6">
      <w:pPr>
        <w:pStyle w:val="TextoNormal"/>
      </w:pPr>
      <w:r>
        <w:t>g) Así expuesta la doctrina constitucional, el Abogado del Estado procede, a continuación, a determinar si la aplicación del concepto de red ferroviaria de interés general que se hace en la disposición adicional novena es conforme con aquella. En ese sentido, indica que algunas de las líneas de las que se solicita la exclusión de la red ferroviaria de interés general, pese a constituir líneas ferroviarias que teóricamente nacen y mueren en el País Vasco, son puntos estratégicos de conexión entre el País Vasco y otras Comunidades Autónomas ya que, a través de ellas, se produce la única entrada y salida de mercancías y materias primas en el puerto de Bilbao o en factorías estratégicas para la economía nacional.</w:t>
      </w:r>
    </w:p>
    <w:p w:rsidR="00AC56D6" w:rsidRDefault="00AC56D6" w:rsidP="00AC56D6">
      <w:pPr>
        <w:pStyle w:val="TextoNormal"/>
      </w:pPr>
    </w:p>
    <w:p w:rsidR="00AC56D6" w:rsidRDefault="00AC56D6" w:rsidP="00AC56D6">
      <w:pPr>
        <w:pStyle w:val="TextoNormal"/>
      </w:pPr>
      <w:r>
        <w:t>De esta manera, la conjunta interpretación de los apartados 21 y 24 del art 149.1 CE obliga a matizar el criterio territorial con el criterio del interés público, debiendo aplicarse teniendo en cuenta la funcionalidad de la vía, esto es, analizando si la línea en cuestión satisface primordialmente tráficos intracomunitarios o, pese a tener origen y destino teórico en el territorio autonómico, su función, destino, sentido y razón es servir de comunicación con otras Comunidades Autónomas. Así, el Abogado del Estado examina todas las líneas discutidas y concluye que, en todas ellas, existen razones que justifican su incorporación a la red ferroviaria de interés general.</w:t>
      </w:r>
    </w:p>
    <w:p w:rsidR="00AC56D6" w:rsidRDefault="00AC56D6" w:rsidP="00AC56D6">
      <w:pPr>
        <w:pStyle w:val="TextoNormal"/>
      </w:pPr>
    </w:p>
    <w:p w:rsidR="00AC56D6" w:rsidRDefault="00AC56D6" w:rsidP="00AC56D6">
      <w:pPr>
        <w:pStyle w:val="TextoNormal"/>
      </w:pPr>
      <w:r>
        <w:t>h) Finalmente, descarta la vulneración de los principios enunciados en el art. 9.3 CE, pues la motivación no puede ser entendida como parámetro ni criterio de validez de la ley. La ausencia de toda explicación racional de un acto normativo como mecanismo de control de la adecuación de la norma al principio de interdicción de la arbitrariedad no puede entenderse como la necesidad de que el legislador explicite en la propia ley las razones o motivos de la concreta regulación de una materia. Tampoco se vulneraría la seguridad jurídica, en la medida en que la salvaguarda del citado principio fue la causa determinante de la promulgación del Real Decreto-ley recurrido, que pretende llenar el vacío normativo generado por la declaración de inconstitucionalidad de la disposición adicional novena de la Ley 39/2003.</w:t>
      </w:r>
    </w:p>
    <w:p w:rsidR="00AC56D6" w:rsidRDefault="00AC56D6" w:rsidP="00AC56D6">
      <w:pPr>
        <w:pStyle w:val="TextoNormal"/>
      </w:pPr>
    </w:p>
    <w:p w:rsidR="00AC56D6" w:rsidRDefault="00AC56D6" w:rsidP="00AC56D6">
      <w:pPr>
        <w:pStyle w:val="TextoNormal"/>
      </w:pPr>
      <w:r w:rsidRPr="00AC56D6">
        <w:rPr>
          <w:rStyle w:val="NumeroAFNegritaCaracter"/>
        </w:rPr>
        <w:t>6</w:t>
      </w:r>
      <w:r>
        <w:t>. Por providencia de 22 de septiembre de 2015, se señaló para deliberación y votación de la presente Sentencia el día 24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En el presente proceso constitucional debemos resolver el recurso de inconstitucionalidad interpuesto por el Gobierno Vasco contra el art. 38 y anexo y, por conexión, contra el art. 37 del Real Decreto-ley 4/2013, de 22 de febrero, de medidas de apoyo al emprendedor y de estímulo del crecimiento y de la creación de empleo.</w:t>
      </w:r>
    </w:p>
    <w:p w:rsidR="00AC56D6" w:rsidRDefault="00AC56D6" w:rsidP="00AC56D6">
      <w:pPr>
        <w:pStyle w:val="TextoNormal"/>
      </w:pPr>
    </w:p>
    <w:p w:rsidR="00AC56D6" w:rsidRDefault="00AC56D6" w:rsidP="00AC56D6">
      <w:pPr>
        <w:pStyle w:val="TextoNormal"/>
      </w:pPr>
      <w:r>
        <w:t>El artículo 38, intitulado “Red Ferroviaria de Interés General”, dispone:</w:t>
      </w:r>
    </w:p>
    <w:p w:rsidR="00AC56D6" w:rsidRDefault="00AC56D6" w:rsidP="00AC56D6">
      <w:pPr>
        <w:pStyle w:val="TextoNormal"/>
      </w:pPr>
    </w:p>
    <w:p w:rsidR="00AC56D6" w:rsidRDefault="00AC56D6" w:rsidP="00AC56D6">
      <w:pPr>
        <w:pStyle w:val="TextoNormal"/>
      </w:pPr>
      <w:r>
        <w:lastRenderedPageBreak/>
        <w:t>“Hasta que se apruebe el Catálogo de Líneas y Tramos de la red ferroviaria de interés general a que se refiere la disposición adicional novena de la Ley 39/2003, de 17 de noviembre, del Sector Ferroviario, se considerará que la red ferroviaria de interés general se compone de las líneas y tramos relacionados en Anexo a este Real Decreto-ley.</w:t>
      </w:r>
    </w:p>
    <w:p w:rsidR="00AC56D6" w:rsidRDefault="00AC56D6" w:rsidP="00AC56D6">
      <w:pPr>
        <w:pStyle w:val="TextoNormal"/>
      </w:pPr>
    </w:p>
    <w:p w:rsidR="00AC56D6" w:rsidRDefault="00AC56D6" w:rsidP="00AC56D6">
      <w:pPr>
        <w:pStyle w:val="TextoNormal"/>
      </w:pPr>
      <w:r>
        <w:t>Se habilita al Ministro de Fomento para actualizar la relación expuesta en el presente artículo.”</w:t>
      </w:r>
    </w:p>
    <w:p w:rsidR="00AC56D6" w:rsidRDefault="00AC56D6" w:rsidP="00AC56D6">
      <w:pPr>
        <w:pStyle w:val="TextoNormal"/>
      </w:pPr>
    </w:p>
    <w:p w:rsidR="00AC56D6" w:rsidRDefault="00AC56D6" w:rsidP="00AC56D6">
      <w:pPr>
        <w:pStyle w:val="TextoNormal"/>
      </w:pPr>
      <w:r>
        <w:t>De las líneas ferroviarias a las que el anexo hace mención se controvierten once de ellas, que afectan a la Comunidad Autónoma del País Vasco.</w:t>
      </w:r>
    </w:p>
    <w:p w:rsidR="00AC56D6" w:rsidRDefault="00AC56D6" w:rsidP="00AC56D6">
      <w:pPr>
        <w:pStyle w:val="TextoNormal"/>
      </w:pPr>
    </w:p>
    <w:p w:rsidR="00AC56D6" w:rsidRDefault="00AC56D6" w:rsidP="00AC56D6">
      <w:pPr>
        <w:pStyle w:val="TextoNormal"/>
      </w:pPr>
      <w:r>
        <w:t>Por su parte, el art. 37, en lo impugnado por conexión, que es la modificación del último párrafo del apartado 1 de la disposición adicional novena de la Ley 39/2003, de 17 de noviembre, del sector ferroviario, dispone:</w:t>
      </w:r>
    </w:p>
    <w:p w:rsidR="00AC56D6" w:rsidRDefault="00AC56D6" w:rsidP="00AC56D6">
      <w:pPr>
        <w:pStyle w:val="TextoNormal"/>
      </w:pPr>
    </w:p>
    <w:p w:rsidR="00AC56D6" w:rsidRDefault="00AC56D6" w:rsidP="00AC56D6">
      <w:pPr>
        <w:pStyle w:val="TextoNormal"/>
      </w:pPr>
      <w:r>
        <w:t>“1. Se modifica el apartado 1 de la disposición adicional novena de la Ley 39/2003, de 17 de noviembre, del sector ferroviario, que pasa a tener la siguiente redacción:</w:t>
      </w:r>
    </w:p>
    <w:p w:rsidR="00AC56D6" w:rsidRDefault="00AC56D6" w:rsidP="00AC56D6">
      <w:pPr>
        <w:pStyle w:val="TextoNormal"/>
      </w:pPr>
    </w:p>
    <w:p w:rsidR="00AC56D6" w:rsidRDefault="00AC56D6" w:rsidP="00AC56D6">
      <w:pPr>
        <w:pStyle w:val="TextoNormal"/>
      </w:pPr>
      <w:r>
        <w:t xml:space="preserve">‘1. En el plazo de seis meses, el Ministerio de Fomento establecerá el </w:t>
      </w:r>
      <w:r w:rsidRPr="00AC56D6">
        <w:rPr>
          <w:i/>
        </w:rPr>
        <w:t>Catálogo de Líneas y Tramos de la Red Ferroviaria de Interés General</w:t>
      </w:r>
      <w:r>
        <w:t xml:space="preserve"> conforme a los criterios establecidos en el artículo 4 de la Ley del Sector Ferroviario. En dicho catálogo se relacionarán las líneas y tramos conforme a un código oficial, asignado por la Dirección General de Ferrocarriles, y expresarán su origen y destino y una breve referencia a sus características técnicas.</w:t>
      </w:r>
    </w:p>
    <w:p w:rsidR="00AC56D6" w:rsidRDefault="00AC56D6" w:rsidP="00AC56D6">
      <w:pPr>
        <w:pStyle w:val="TextoNormal"/>
      </w:pPr>
    </w:p>
    <w:p w:rsidR="00AC56D6" w:rsidRDefault="00AC56D6" w:rsidP="00AC56D6">
      <w:pPr>
        <w:pStyle w:val="TextoNormal"/>
      </w:pPr>
      <w:r>
        <w:t>En el citado catálogo figurarán relacionados por un lado las líneas y tramos de interés general y por otro, en anejo independiente del anterior, las líneas y tramos que, no reuniendo los requisitos del artículo 4 de la Ley del Sector Ferroviario, continúen temporalmente siendo administrados conforme a lo dispuesto en la Ley del Sector Ferroviario en tanto que, previa solicitud de la Comunidad Autónoma respectiva a la Administración General del Estado, se efectúe efectivamente el traspaso de la línea o tramo correspondiente.</w:t>
      </w:r>
    </w:p>
    <w:p w:rsidR="00AC56D6" w:rsidRDefault="00AC56D6" w:rsidP="00AC56D6">
      <w:pPr>
        <w:pStyle w:val="TextoNormal"/>
      </w:pPr>
    </w:p>
    <w:p w:rsidR="00AC56D6" w:rsidRDefault="00AC56D6" w:rsidP="00AC56D6">
      <w:pPr>
        <w:pStyle w:val="TextoNormal"/>
      </w:pPr>
      <w:r>
        <w:t>En todo caso, para la determinación del referido catálogo, o de sus modificaciones, deberán ser oídas las Comunidades Autónomas por las que atraviese, o en su caso comprendan totalmente en su territorio, las correspondientes líneas o tramos ferroviarios.’”</w:t>
      </w:r>
    </w:p>
    <w:p w:rsidR="00AC56D6" w:rsidRDefault="00AC56D6" w:rsidP="00AC56D6">
      <w:pPr>
        <w:pStyle w:val="TextoNormal"/>
      </w:pPr>
    </w:p>
    <w:p w:rsidR="00AC56D6" w:rsidRDefault="00AC56D6" w:rsidP="00AC56D6">
      <w:pPr>
        <w:pStyle w:val="TextoNormal"/>
      </w:pPr>
      <w:r>
        <w:t>El Gobierno Vasco estima que el art. 37, en cuanto da nueva redacción al último párrafo del apartado 1 de la disposición adicional novena de la Ley 39/2003, de 17 de noviembre, del sector ferroviario, no es conforme con la doctrina de la STC 245/2012, de 18 de diciembre, resolutoria de los recursos de inconstitucionalidad interpuestos contra la citada Ley 39/2003, pues no respondería a los dos criterios, el territorial y el vinculado a las exigencias del interés general, aplicables para determinar las infraestructuras ferroviarias de competencia estatal.</w:t>
      </w:r>
    </w:p>
    <w:p w:rsidR="00AC56D6" w:rsidRDefault="00AC56D6" w:rsidP="00AC56D6">
      <w:pPr>
        <w:pStyle w:val="TextoNormal"/>
      </w:pPr>
    </w:p>
    <w:p w:rsidR="00AC56D6" w:rsidRDefault="00AC56D6" w:rsidP="00AC56D6">
      <w:pPr>
        <w:pStyle w:val="TextoNormal"/>
      </w:pPr>
      <w:r>
        <w:t>De otro lado, argumenta que la concreta delimitación de líneas y tramos integrantes de la red ferroviaria de interés general que se lleva a cabo, con carácter transitorio, en el art. 38 y en el anexo no está motivada y que algunas de las líneas o tramos incluidos en dicho anexo no reúnen los requisitos exigidos para su integración en la citada red ferroviaria de interés general.</w:t>
      </w:r>
    </w:p>
    <w:p w:rsidR="00AC56D6" w:rsidRDefault="00AC56D6" w:rsidP="00AC56D6">
      <w:pPr>
        <w:pStyle w:val="TextoNormal"/>
      </w:pPr>
    </w:p>
    <w:p w:rsidR="00AC56D6" w:rsidRDefault="00AC56D6" w:rsidP="00AC56D6">
      <w:pPr>
        <w:pStyle w:val="TextoNormal"/>
      </w:pPr>
      <w:r>
        <w:t>Asimismo, en cuanto que se le reprocha su carencia de motivación, la delimitación así configurada sería arbitraria y, por tanto, contraria al art. 9.3 CE. Finalmente, se denuncia que no concurre el presupuesto constitucional de la extraordinaria y urgente necesidad para aprobar, mediante Real Decreto-ley y con carácter transitorio, la delimitación de la red ferroviaria de interés general, así como que, con ello, se afecta al régimen de las Comunidades Autónomas, pues la integración de las infraestructuras ferroviarias en la mencionada red determina su titularidad estatal e impide su traspaso a las Comunidades Autónomas, por lo que se vulneraría una de las limitaciones objetivas impuestas por el art. 86.1 CE.</w:t>
      </w:r>
    </w:p>
    <w:p w:rsidR="00AC56D6" w:rsidRDefault="00AC56D6" w:rsidP="00AC56D6">
      <w:pPr>
        <w:pStyle w:val="TextoNormal"/>
      </w:pPr>
    </w:p>
    <w:p w:rsidR="00AC56D6" w:rsidRDefault="00AC56D6" w:rsidP="00AC56D6">
      <w:pPr>
        <w:pStyle w:val="TextoNormal"/>
      </w:pPr>
      <w:r>
        <w:t>Por su parte, el Abogado del Estado ha defendido que el recurso ha de ser inadmitido parcialmente y, en su caso, limitado al examen del motivo vinculado con la vulneración del art. 86.1 CE, pues, en el momento de su interposición, el Real Decreto-ley 4/2013 no se encontraba vigente, habiendo sido sustituido, aplicando el art. 86.3 CE, por la Ley 11/2013, de 26 de julio, de medidas de apoyo al emprendedor y de estímulo del crecimiento y de la creación de empleo. En todo caso, ha considerado que el recurso ha de ser inadmitido por extemporáneo en lo que respecta al art. 37 del Real Decreto-ley 4/2013, ya que no fue objeto del preceptivo y previo Acuerdo de la correspondiente Comisión Bilateral de Cooperación en aplicación de lo previsto en el art. 33.2 de la Ley Orgánica del Tribunal Constitucional (LOTC), por lo que no podría ser ahora objeto de recurso.</w:t>
      </w:r>
    </w:p>
    <w:p w:rsidR="00AC56D6" w:rsidRDefault="00AC56D6" w:rsidP="00AC56D6">
      <w:pPr>
        <w:pStyle w:val="TextoNormal"/>
      </w:pPr>
    </w:p>
    <w:p w:rsidR="00AC56D6" w:rsidRDefault="00AC56D6" w:rsidP="00AC56D6">
      <w:pPr>
        <w:pStyle w:val="TextoNormal"/>
      </w:pPr>
      <w:r>
        <w:t>En cuanto al fondo del asunto, ha sostenido que no se vulnera el art. 86.1 CE, pues la existencia de una extraordinaria y urgente necesidad ha sido acreditada por el Gobierno, tanto en el preámbulo de la norma, como en el debate de convalidación, así como que las normas impugnadas resultan plenamente conformes con los criterios de delimitación competencial que derivan de la STC 245/2012.</w:t>
      </w:r>
    </w:p>
    <w:p w:rsidR="00AC56D6" w:rsidRDefault="00AC56D6" w:rsidP="00AC56D6">
      <w:pPr>
        <w:pStyle w:val="TextoNormal"/>
      </w:pPr>
    </w:p>
    <w:p w:rsidR="00AC56D6" w:rsidRDefault="00AC56D6" w:rsidP="00AC56D6">
      <w:pPr>
        <w:pStyle w:val="TextoNormal"/>
      </w:pPr>
      <w:r w:rsidRPr="00AC56D6">
        <w:rPr>
          <w:rStyle w:val="NumeroAFNegritaCaracter"/>
        </w:rPr>
        <w:t>2</w:t>
      </w:r>
      <w:r>
        <w:t>. Expuestas las posiciones de las partes enfrentadas en el recurso, es necesario examinar, en primer lugar, la concurrencia de los óbices procesales puestos de manifiesto por el Abogado del Estado.</w:t>
      </w:r>
    </w:p>
    <w:p w:rsidR="00AC56D6" w:rsidRDefault="00AC56D6" w:rsidP="00AC56D6">
      <w:pPr>
        <w:pStyle w:val="TextoNormal"/>
      </w:pPr>
    </w:p>
    <w:p w:rsidR="00AC56D6" w:rsidRDefault="00AC56D6" w:rsidP="00AC56D6">
      <w:pPr>
        <w:pStyle w:val="TextoNormal"/>
      </w:pPr>
      <w:r>
        <w:t>a) En este sentido, el Abogado del Estado formula una primera causa de inadmisión relativa a la pérdida de objeto del recurso como consecuencia de la aprobación de la Ley 11/2013, de 26 de julio, de medidas de apoyo al emprendedor y de estímulo del crecimiento y de la creación de empleo. Efectivamente, el Real Decreto-ley 4/2013, después de haber sido convalidado por el Congreso de los Diputados en sesión celebrada el día 14 de marzo de 2013, fue tramitado como proyecto de ley por el procedimiento de urgencia, según permite el art. 86.3 CE, lo que culminó en la posterior aprobación de la mencionada Ley 11/2013, cuyos arts. 37, 38 y anexo reproducen lo dispuesto en los preceptos que han sido impugnados en este proceso. Dado que el recurso ha sido interpuesto el día 22 de noviembre de 2013, dentro del plazo de nueve meses al que hace referencia el art. 33.2 LOTC, pero una vez vigente la mencionada Ley 11/2013, que entró en vigor el día 28 de julio de 2013 (disposición final decimoquinta), el Abogado del Estado sostiene que el recurso ha perdido objeto, si bien matiza finalmente esa conclusión entendiendo que ha de quedar limitado “a la recta y debida utilización del instrumento normativo del Decreto Ley, esto es, al enjuiciamiento del presupuesto habilitante y a su correcta limitación material”.</w:t>
      </w:r>
    </w:p>
    <w:p w:rsidR="00AC56D6" w:rsidRDefault="00AC56D6" w:rsidP="00AC56D6">
      <w:pPr>
        <w:pStyle w:val="TextoNormal"/>
      </w:pPr>
    </w:p>
    <w:p w:rsidR="00AC56D6" w:rsidRDefault="00AC56D6" w:rsidP="00AC56D6">
      <w:pPr>
        <w:pStyle w:val="TextoNormal"/>
      </w:pPr>
      <w:r>
        <w:lastRenderedPageBreak/>
        <w:t>El óbice planteado por el Abogado del Estado ha de ser aceptado. Como se ha expuesto, uno de los motivos de inconstitucionalidad alegados por los recurrentes es la falta de concurrencia del presupuesto de la extraordinaria y urgente necesidad exigido por el art. 86.1 CE, lo que hace que a este supuesto le sea aplicable la doctrina que recogió este Tribunal en la STC 111/1983, de 2 de diciembre, FFJJ 2 y 3. Ciertamente, en el presente asunto, frente a lo que ocurría en el supuesto planteado entonces, la impugnación se ha realizado una vez el Decreto-ley no se encontraba ya vigente, pero la doctrina que llevó entonces a velar por la recta utilización del instrumento previsto en el art. 86.1, es igualmente aplicable ahora.</w:t>
      </w:r>
    </w:p>
    <w:p w:rsidR="00AC56D6" w:rsidRDefault="00AC56D6" w:rsidP="00AC56D6">
      <w:pPr>
        <w:pStyle w:val="TextoNormal"/>
      </w:pPr>
    </w:p>
    <w:p w:rsidR="00AC56D6" w:rsidRDefault="00AC56D6" w:rsidP="00AC56D6">
      <w:pPr>
        <w:pStyle w:val="TextoNormal"/>
      </w:pPr>
      <w:r>
        <w:t>En efecto, el fundamento jurídico 3 de la STC 111/1983 señalaba que “así planteadas las cosas, y aunque extinguido el Decreto-ley mediante la promulgación de una Ley destinada a reemplazarle, la cuestión es si subsiste la razón de la impugnación de aquél. Que el control del Decreto-Ley en cuanto tal no está impedido por el hecho de la novación operada por la Ley, siguiendo lo que dispone el art. 86.3, es algo fuera de duda, pues ha de considerarse constitucionalmente legítimo que, en defensa de la Constitución, para velar por la recta utilización del instrumento previsto para los casos que señala el art. 86.1, los sujetos u órganos legitimados para promover el recurso de inconstitucionalidad, concreten al Decreto-ley, sin atraer al proceso la Ley ulterior, la impugnación. El interés constitucional que mueve a los recurrentes es así el de ajustar el uso del instrumento del Decreto-ley al marco del art. 86.1, interés constitucional que, por un lado, no puede considerarse satisfecho por la derivación del Decreto-ley hacia el cauce del art. 86.3, y, por otro, no puede quedar sin enjuiciamiento acudiendo a la idea -que nada autoriza- de gravar a los recurrentes con la carga de impugnar la Ley, como presupuesto para enjuiciar los vicios que el Decreto-ley pudiera tener en cuanto tal. Pudiera acaso pensarse que una eficacia retroactiva de la Ley que diera cobijo a los efectos producidos por el Decreto-ley puede privar de sentido a la impugnación dirigida, y ceñida por la voluntad de los Parlamentarios recurrentes, al Decreto-ley, mas esto no es así, pues sin cuestionar ahora si un vicio en origen por utilización del instrumento del Decreto-ley contra lo que previene el art. 86.1, puede comunicar efectos invalidatorios, es lo cierto que el velar por el recto ejercicio de la potestad de emitir Decretos-leyes, dentro del marco constitucional, es algo que no puede eludirse por la utilización del procedimiento del art. 86.3”.</w:t>
      </w:r>
    </w:p>
    <w:p w:rsidR="00AC56D6" w:rsidRDefault="00AC56D6" w:rsidP="00AC56D6">
      <w:pPr>
        <w:pStyle w:val="TextoNormal"/>
      </w:pPr>
    </w:p>
    <w:p w:rsidR="00AC56D6" w:rsidRDefault="00AC56D6" w:rsidP="00AC56D6">
      <w:pPr>
        <w:pStyle w:val="TextoNormal"/>
      </w:pPr>
      <w:r>
        <w:t>En el presente supuesto, el interés constitucional de ajustar el uso del instrumento del decreto-ley al marco del art. 86.1 no puede eludirse por el hecho de que el Decreto-ley haya dejado de estar vigente con anterioridad a que se haya cumplido el plazo de impugnación del mismo, pues, de lo contrario, nos encontraríamos ante un espacio exento del control de este Tribunal que le podría impedir, llegado el caso, velar por el adecuado ejercicio de la facultad del Gobierno de dictar reales decretos-leyes. La derogación de un decreto-ley antes de que se haya cumplido el plazo previsto para su impugnación a través del recurso de inconstitucionalidad no puede incidir en el control de determinados vicios de validez que afectan al momento de su aprobación, pues subsiste el interés constitucional de ajustar el uso de esta fuente del Derecho a las exigencias del art. 86.1 CE.</w:t>
      </w:r>
    </w:p>
    <w:p w:rsidR="00AC56D6" w:rsidRDefault="00AC56D6" w:rsidP="00AC56D6">
      <w:pPr>
        <w:pStyle w:val="TextoNormal"/>
      </w:pPr>
    </w:p>
    <w:p w:rsidR="00AC56D6" w:rsidRDefault="00AC56D6" w:rsidP="00AC56D6">
      <w:pPr>
        <w:pStyle w:val="TextoNormal"/>
      </w:pPr>
      <w:r>
        <w:t xml:space="preserve">b) No sucede lo mismo, sin embargo, con el resto de motivos alegados en la demanda, relacionados con la vulneración del art. 9.3 CE y del orden constitucional y estatutario de distribución de competencias, pues, en este caso, aún antes de interponerse el presente recurso los preceptos y anexo impugnados fueron, siquiera implícitamente, derogados por la Ley 11/2013. En efecto, en el momento de interposición del recurso de inconstitucionalidad, </w:t>
      </w:r>
      <w:r>
        <w:lastRenderedPageBreak/>
        <w:t>la controversia competencial, o cualquier otra controversia vinculada con una inconstitucionalidad material, ya no se fundaban en el Decreto-ley impugnado, norma que se encontraba en ese momento de la interposición derogada, sino en la Ley tramitada por el procedimiento del art. 86.3. Por ello, no es posible aplicar en este caso la doctrina constitucional sobre la pervivencia del objeto en procesos competenciales, en la medida en que no se produce un supuesto de pervivencia del problema competencial en una nueva norma que sustituye a la anteriormente impugnada, sino un supuesto en el que la controversia competencial, en el preciso momento en que se plantea el recurso de inconstitucionalidad, se fija no por el decreto-ley, que ha quedado derogado, sino por la ley que lo sustituye. Para que este Tribunal entrase a examinar la controversia competencial, así como cualquier otra vinculada con una inconstitucionalidad material, sería necesario que se hubiese impugnado la norma vigente en el momento de interposición del recurso de inconstitucionalidad, que es la que realmente suscita entonces tales controversias, tal y como conoce perfectamente el recurrente que llega a solicitar en su demanda que se extienda la declaración de inconstitucionalidad por motivos competenciales a la ley. Por lo tanto, conforme a lo planteado por el Abogado del Estado, nuestro examen ha de circunscribirse a la denunciada infracción del art. 86.1 CE, pues, de lo contrario, la inadmisión de dicho motivo de inconstitucionalidad determinaría que nos encontrásemos ante un espacio exento de jurisdicción del Tribunal que le podría impedir, llegado el caso, velar por el adecuado ejercicio de la facultad del Gobierno de dictar reales decretos-leyes, en los casos en los que se hubiera aplicado lo previsto en el art. 86.3 CE (en un sentido similar STC 136/2011, de 13 de septiembre, FJ 2, allí en relación con la ley anual de presupuestos).</w:t>
      </w:r>
    </w:p>
    <w:p w:rsidR="00AC56D6" w:rsidRDefault="00AC56D6" w:rsidP="00AC56D6">
      <w:pPr>
        <w:pStyle w:val="TextoNormal"/>
      </w:pPr>
    </w:p>
    <w:p w:rsidR="00AC56D6" w:rsidRDefault="00AC56D6" w:rsidP="00AC56D6">
      <w:pPr>
        <w:pStyle w:val="TextoNormal"/>
      </w:pPr>
      <w:r>
        <w:t>La anterior conclusión no puede verse enervada por las alegaciones de la representación procesal del Gobierno Vasco. En esencia, viene a sostenerse, en primer lugar, que el proceso constitucional ya se habría iniciado en el momento en que las partes deciden abrir el procedimiento previsto en el art. 33.2 LOTC y así lo han comunicado al Tribunal. Con tal argumento se confunde lo que en realidad es un trámite administrativo de naturaleza preprocesal, como es el previsto en el art. 33.2 LOTC (que produce el efecto de ampliar el plazo de recurso y delimitar el objeto de un eventual recurso posterior), con los requisitos para iniciar un proceso constitucional como el del recurso de inconstitucionalidad, que, por aplicación del art. 85 LOTC, ha de iniciarse mediante el correspondiente escrito presentado en la sede del Tribunal dentro del plazo legalmente establecido. Por otra parte, el hecho de que las normas que han sustituido a las aquí impugnadas planteen, a juicio del recurrente, similares problemas competenciales y materiales no significa como hemos ya afirmado que ello permita, por esa razón, entender impugnada una norma que ya hubo dejado de surtir efecto en el momento en que se interpuso el recurso.</w:t>
      </w:r>
    </w:p>
    <w:p w:rsidR="00AC56D6" w:rsidRDefault="00AC56D6" w:rsidP="00AC56D6">
      <w:pPr>
        <w:pStyle w:val="TextoNormal"/>
      </w:pPr>
    </w:p>
    <w:p w:rsidR="00AC56D6" w:rsidRDefault="00AC56D6" w:rsidP="00AC56D6">
      <w:pPr>
        <w:pStyle w:val="TextoNormal"/>
      </w:pPr>
      <w:r>
        <w:t xml:space="preserve">c) En todo caso, el recurso, aún limitado a la vulneración del art. 86.1 CE, ha de ser inadmitido por lo que respecta al art. 37 del Real Decreto-ley 4/2013. En efecto, como expresamente señala el art. 33.2 b) de la Ley Orgánica del Tribunal Constitucional y como ha afirmado este Tribunal, en los supuestos en que se acuda al trámite conciliatorio previo contemplado en el citado precepto de la Ley Orgánica del Tribunal Constitucional, el marco de la discrepancia o controversia es el que se establece “en el acuerdo sobre iniciación de las negociaciones, que es objeto de publicación oficial y se comunica al Tribunal Constitucional. Es este acuerdo, por tanto, el que desempeña una función de delimitación del contenido de un eventual recurso de inconstitucionalidad posterior” [SSTC 8/2012, de 18 de enero, FJ 2 a); 182/2013, de 23 de octubre, FJ 2 a), y 34/2014, de 27 de febrero, FJ 2 a)]. El </w:t>
      </w:r>
      <w:r>
        <w:lastRenderedPageBreak/>
        <w:t>acuerdo de la comisión bilateral de cooperación Administración del Estado-Administración de la Comunidad Autónoma del País Vasco (resolución de 13 de junio de 2013, de la Secretaría General de Coordinación Autonómica y Local del Ministerio de Hacienda y Administraciones Públicas, publicada en el “BOE” de 28 de junio) alude exclusivamente al art. 38 y anexo del Real Decreto-ley 4/2013, sin contener mención alguna al art. 37, impugnado ahora por conexión.</w:t>
      </w:r>
    </w:p>
    <w:p w:rsidR="00AC56D6" w:rsidRDefault="00AC56D6" w:rsidP="00AC56D6">
      <w:pPr>
        <w:pStyle w:val="TextoNormal"/>
      </w:pPr>
    </w:p>
    <w:p w:rsidR="00AC56D6" w:rsidRDefault="00AC56D6" w:rsidP="00AC56D6">
      <w:pPr>
        <w:pStyle w:val="TextoNormal"/>
      </w:pPr>
      <w:r>
        <w:t>Advertido lo anterior, en tanto que el suplico de la demanda fija el objeto del recurso en los arts. 38 y anexo y, por conexión, en el art. 37 del Real Decreto-ley 4/2013, lo hasta aquí dicho resulta determinante para inadmitir el recurso de inconstitucionalidad en lo que se refiere a la impugnación del mencionado art. 37, y ello sin perjuicio de que, dado que ha sido recurrido por conexión, esta impugnación no sea autónoma.</w:t>
      </w:r>
    </w:p>
    <w:p w:rsidR="00AC56D6" w:rsidRDefault="00AC56D6" w:rsidP="00AC56D6">
      <w:pPr>
        <w:pStyle w:val="TextoNormal"/>
      </w:pPr>
    </w:p>
    <w:p w:rsidR="00AC56D6" w:rsidRDefault="00AC56D6" w:rsidP="00AC56D6">
      <w:pPr>
        <w:pStyle w:val="TextoNormal"/>
      </w:pPr>
      <w:r w:rsidRPr="00AC56D6">
        <w:rPr>
          <w:rStyle w:val="NumeroAFNegritaCaracter"/>
        </w:rPr>
        <w:t>3</w:t>
      </w:r>
      <w:r>
        <w:t>. Circunscrito el objeto del recurso a la vulneración del art. 86.1 que se imputa al art. 38 y anexo del Real Decreto-ley 4/2013, debemos comenzar nuestro examen por la denunciada falta del presupuesto habilitante de la extraordinaria y urgente necesidad, para luego, caso de resultar procedente, examinar la queja relacionada con la vulneración del límite material del Real Decreto-ley de referencia, consistente en la afectación al régimen de las Comunidades Autónomas.</w:t>
      </w:r>
    </w:p>
    <w:p w:rsidR="00AC56D6" w:rsidRDefault="00AC56D6" w:rsidP="00AC56D6">
      <w:pPr>
        <w:pStyle w:val="TextoNormal"/>
      </w:pPr>
    </w:p>
    <w:p w:rsidR="00AC56D6" w:rsidRDefault="00AC56D6" w:rsidP="00AC56D6">
      <w:pPr>
        <w:pStyle w:val="TextoNormal"/>
      </w:pPr>
      <w:r>
        <w:t>Este Tribunal tiene una doctrina consolidada sobre el presupuesto que, según el art. 86.1 CE, habilita al Gobierno a dictar reales decretos-leyes (por todas, SSTC 68/2007, de 28 de marzo, FJ 6; 31/2011, de 17 de marzo, FJ 3; y 96/2014, de 12 de junio, FJ 5). Esta doctrina, tras reconocer el peso que en la apreciación de la extraordinaria y urgente necesidad ha de concederse “al juicio puramente político de los órganos a los que incumbe la dirección del Estado”, resalta que el presupuesto habilitante del real decreto-ley,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razón por la cual, este Tribunal puede, en supuestos de uso abusivo o arbitrario, rechazar la definición que los órganos políticos hagan de una situación determinada como de ‘extraordinaria y urgente necesidad’ y, en consecuencia, declarar la inconstitucionalidad por inexistencia del presupuesto habilitante” (SSTC 100/2012, de 8 de mayo, FJ 8; 237/2012, de 13 de diciembre, FJ 4, y 39/2013, de 14 de febrero, FJ 5, entre otras).</w:t>
      </w:r>
    </w:p>
    <w:p w:rsidR="00AC56D6" w:rsidRDefault="00AC56D6" w:rsidP="00AC56D6">
      <w:pPr>
        <w:pStyle w:val="TextoNormal"/>
      </w:pPr>
    </w:p>
    <w:p w:rsidR="00AC56D6" w:rsidRDefault="00AC56D6" w:rsidP="00AC56D6">
      <w:pPr>
        <w:pStyle w:val="TextoNormal"/>
      </w:pPr>
      <w:r>
        <w:t>En cuanto a la configuración de este cometido de control que corresponde al Tribunal, hemos afirmado “que el control que corresponde al Tribunal Constitucional en este punto es un control externo, en el sentido de que debe verificar, pero no sustituir, el juicio político o de oportunidad que corresponde al Gobierno” (STC 182/1997, de 28 de octubre, FJ 3) y, de otro, “que el ejercicio de la potestad de control que compete a este Tribunal implica que la definición por los órganos políticos de una situación de ‘extraordinaria y urgente necesidad’ sea explícita y razonada, y que exista una conexión de sentido o relación de adecuación entre la situación definida que constituye el presupuesto habilitante y las medidas que en el Decreto-ley se adoptan (STC 29/1982, de 31 de mayo, FJ 3), de manera que estas últimas guarden una relación directa o de congruencia con la situación que se trata de afrontar” (STC 182/1997, de 28 de octubre, FJ 3).</w:t>
      </w:r>
    </w:p>
    <w:p w:rsidR="00AC56D6" w:rsidRDefault="00AC56D6" w:rsidP="00AC56D6">
      <w:pPr>
        <w:pStyle w:val="TextoNormal"/>
      </w:pPr>
    </w:p>
    <w:p w:rsidR="00AC56D6" w:rsidRDefault="00AC56D6" w:rsidP="00AC56D6">
      <w:pPr>
        <w:pStyle w:val="TextoNormal"/>
      </w:pPr>
      <w:r>
        <w:lastRenderedPageBreak/>
        <w:t>Sobre el primer aspecto de los dos —definición de la situación de urgencia— nuestra doctrina ha precisado que no es necesario “que tal definición expresa de la extraordinaria y urgente necesidad haya de contenerse siempre en el propio Real Decreto-ley, sino que tal presupuesto cabe deducirlo igualmente de una pluralidad de elementos. A este respecto, conviene recordar que el examen de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w:t>
      </w:r>
    </w:p>
    <w:p w:rsidR="00AC56D6" w:rsidRDefault="00AC56D6" w:rsidP="00AC56D6">
      <w:pPr>
        <w:pStyle w:val="TextoNormal"/>
      </w:pPr>
    </w:p>
    <w:p w:rsidR="00AC56D6" w:rsidRDefault="00AC56D6" w:rsidP="00AC56D6">
      <w:pPr>
        <w:pStyle w:val="TextoNormal"/>
      </w:pPr>
      <w:r>
        <w:t>En cuanto a la segunda dimensión del presupuesto habilitante de la legislación de urgencia —conexión de sentido entre la situación de necesidad definida y las medidas que en el Real Decreto-ley se adoptan—, nuestra doctrina “ha afirmado un doble criterio o perspectiva para valorar su existencia: el contenido, por un lado, y la estructura, por otro, de las disposiciones incluidas en el Real Decreto-ley controvertido. Así, ya en la STC 29/1982, de 31 de mayo, FJ 3, excluimos a este respecto aquellas disposiciones ‘que, por su contenido y de manera evidente, no guarden relación alguna, directa ni indirecta, con la situación que se trata de afrontar ni, muy especialmente, aquéllas que, por su estructura misma, independientemente de su contenido, no modifican de manera instantánea la situación jurídica existente’” (por todas , STC 12/2015, de 5 de febrero, FJ 3).</w:t>
      </w:r>
    </w:p>
    <w:p w:rsidR="00AC56D6" w:rsidRDefault="00AC56D6" w:rsidP="00AC56D6">
      <w:pPr>
        <w:pStyle w:val="TextoNormal"/>
      </w:pPr>
    </w:p>
    <w:p w:rsidR="00AC56D6" w:rsidRDefault="00AC56D6" w:rsidP="00AC56D6">
      <w:pPr>
        <w:pStyle w:val="TextoNormal"/>
      </w:pPr>
      <w:r w:rsidRPr="00AC56D6">
        <w:rPr>
          <w:rStyle w:val="NumeroAFNegritaCaracter"/>
        </w:rPr>
        <w:t>4</w:t>
      </w:r>
      <w:r>
        <w:t>. De acuerdo con la doctrina constitucional expuesta, debemos examinar seguidamente si en los impugnados arts. 38 y anexo concurre el presupuesto habilitante de la “extraordinaria y urgente necesidad” exigido por el art. 86.1 CE. Restringido en tales términos nuestro enjuiciamiento, no corresponde ahora valorar los concretos criterios utilizados para la inclusión de las distintas líneas y tramos en la red ferroviaria de interés general sino, exclusivamente, valorar si, en los términos de nuestra doctrina, se aprecia la existencia de una situación de extraordinaria y urgente necesidad.</w:t>
      </w:r>
    </w:p>
    <w:p w:rsidR="00AC56D6" w:rsidRDefault="00AC56D6" w:rsidP="00AC56D6">
      <w:pPr>
        <w:pStyle w:val="TextoNormal"/>
      </w:pPr>
    </w:p>
    <w:p w:rsidR="00AC56D6" w:rsidRDefault="00AC56D6" w:rsidP="00AC56D6">
      <w:pPr>
        <w:pStyle w:val="TextoNormal"/>
      </w:pPr>
      <w:r>
        <w:t xml:space="preserve">Por ello, es preciso comenzar por el examen de las razones determinantes de la aprobación de estos preceptos que se explicitan en el preámbulo de la norma y en el debate parlamentario de convalidación. Importa, asimismo, advertir que, como también es ahora el caso y señalan las SSTC 31/2011, de 17 de marzo, FJ 4; 137/2011, de 14 de septiembre, FJ 6, 170/2012, de 4 de octubre, FJ 5, 27/2015, de 19 de febrero, FJ 5, y 29/2015, de 19 de febrero, FJ 3, cuando se denuncia la vulneración del presupuesto de hecho habilitante respecto, no del correspondiente decreto-ley en su conjunto, sino únicamente en relación con uno o alguno de sus preceptos, la necesaria justificación </w:t>
      </w:r>
      <w:r w:rsidRPr="00AC56D6">
        <w:rPr>
          <w:i/>
        </w:rPr>
        <w:t>ad casum</w:t>
      </w:r>
      <w:r>
        <w:t xml:space="preserve"> de la “extraordinaria y urgente necesidad” ha de ser apreciada en relación precisamente con los preceptos en concreto impugnados.</w:t>
      </w:r>
    </w:p>
    <w:p w:rsidR="00AC56D6" w:rsidRDefault="00AC56D6" w:rsidP="00AC56D6">
      <w:pPr>
        <w:pStyle w:val="TextoNormal"/>
      </w:pPr>
    </w:p>
    <w:p w:rsidR="00AC56D6" w:rsidRDefault="00AC56D6" w:rsidP="00AC56D6">
      <w:pPr>
        <w:pStyle w:val="TextoNormal"/>
      </w:pPr>
      <w:r>
        <w:t xml:space="preserve">El preámbulo del Real Decreto-ley comienza señalando que las reformas estructurales que se aplican en España desde principios de 2012 persiguen tres objetivos principales: dotar a la economía española de estabilidad macroeconómica, tanto en términos de déficit público e inflación, como de equilibrio exterior; lograr unas entidades financieras sólidas y solventes, que permitan volver a canalizar el crédito hacia la inversión productiva y, en tercer lugar, conseguir un alto grado de flexibilidad que permita ajustar los precios y salarios </w:t>
      </w:r>
      <w:r>
        <w:lastRenderedPageBreak/>
        <w:t>relativos, de forma que se consiga aumentar la competitividad de nuestra economía. A continuación, se destaca que, con el fin de continuar con las reformas ya iniciadas “para recuperar la senda del crecimiento económico y la creación de empleo”, se lleva ahora a cabo “una segunda generación de reformas estructurales necesarias para volver a crecer y crear empleo”, reformas que responden a una lógica común consistente en “el apoyo a la iniciativa emprendedora, al desarrollo empresarial y a la creación de empleo”, y que se refieren “a desarrollar la Estrategia de Emprendimiento y Empleo Joven, a fomentar la financiación empresarial a través de mercados alternativos, a reducir la morosidad en las operaciones comerciales y, en general, a fomentar la competitividad de la economía española”.</w:t>
      </w:r>
    </w:p>
    <w:p w:rsidR="00AC56D6" w:rsidRDefault="00AC56D6" w:rsidP="00AC56D6">
      <w:pPr>
        <w:pStyle w:val="TextoNormal"/>
      </w:pPr>
    </w:p>
    <w:p w:rsidR="00AC56D6" w:rsidRDefault="00AC56D6" w:rsidP="00AC56D6">
      <w:pPr>
        <w:pStyle w:val="TextoNormal"/>
      </w:pPr>
      <w:r>
        <w:t>Los diversos títulos del Real Decreto-ley 4/2013 dan posteriormente cuenta de las distintas medidas adoptadas, si bien son las del Título IV, referidas al sector ferroviario, las que son objeto de nuestro estudio.</w:t>
      </w:r>
    </w:p>
    <w:p w:rsidR="00AC56D6" w:rsidRDefault="00AC56D6" w:rsidP="00AC56D6">
      <w:pPr>
        <w:pStyle w:val="TextoNormal"/>
      </w:pPr>
    </w:p>
    <w:p w:rsidR="00AC56D6" w:rsidRDefault="00AC56D6" w:rsidP="00AC56D6">
      <w:pPr>
        <w:pStyle w:val="TextoNormal"/>
      </w:pPr>
      <w:r>
        <w:t>Al respecto, el preámbulo resalta que “la situación económica actual plantea la necesidad de que se intensifiquen las medidas de racionalización del sector ferroviario para lograr la máxima eficiencia en la gestión de los servicios e impulsar los procesos de liberalización ya iniciados”. Específicamente, sobre la cuestión ahora controvertida indica, al dar cuenta de las diversas modificaciones que se introducen en la Ley 39/2003, que “se procede a dar cumplimiento a la sentencia 245/2012, de 18 de diciembre de 2012, del Tribunal Constitucional, respecto a la determinación de la Red Ferroviaria de Interés General. Debe resaltarse la previsión del próximo establecimiento de un catálogo de las líneas y tramos de la red ferroviaria de interés general que será aprobado por el Ministerio de Fomento previa audiencia de las Comunidades Autónomas por cuyo territorio discurra dicha red. Con carácter transitorio, en tanto no se produzca establecimiento del catálogo de las líneas y tramos de la Red Ferroviaria de Interés General, se considerará que ésta se compone de las líneas y tramos relacionados en Anexo a este Real Decreto-ley”.</w:t>
      </w:r>
    </w:p>
    <w:p w:rsidR="00AC56D6" w:rsidRDefault="00AC56D6" w:rsidP="00AC56D6">
      <w:pPr>
        <w:pStyle w:val="TextoNormal"/>
      </w:pPr>
    </w:p>
    <w:p w:rsidR="00AC56D6" w:rsidRDefault="00AC56D6" w:rsidP="00AC56D6">
      <w:pPr>
        <w:pStyle w:val="TextoNormal"/>
      </w:pPr>
      <w:r>
        <w:t>Finalmente, la concurrencia de una situación de extraordinaria y urgente necesidad se justifica con una afirmación general destacando que “en el conjunto y en cada una de las medidas que se adoptan, concurren, por su naturaleza y finalidad, las circunstancias de extraordinaria y urgente necesidad que exige el artículo 86 de la Constitución como presupuestos para la aprobación de reales decretos-leyes”; posteriormente, se concreta, en lo que ahora importa, poniendo de manifiesto que “es obligado determinar las líneas que han de formar parte de la Red Ferroviaria de Interés General, una vez declarado inconstitucional el apartado 1 de la disposición adicional novena de la Ley 39/2003, de 17 de noviembre, del Sector Ferroviario. Todo ello permite apreciar la concurrencia de una extraordinaria y urgente necesidad en los términos establecidos en el artículo 86 de la Constitución”.</w:t>
      </w:r>
    </w:p>
    <w:p w:rsidR="00AC56D6" w:rsidRDefault="00AC56D6" w:rsidP="00AC56D6">
      <w:pPr>
        <w:pStyle w:val="TextoNormal"/>
      </w:pPr>
    </w:p>
    <w:p w:rsidR="00AC56D6" w:rsidRDefault="00AC56D6" w:rsidP="00AC56D6">
      <w:pPr>
        <w:pStyle w:val="TextoNormal"/>
      </w:pPr>
      <w:r>
        <w:t>En el debate parlamentario de convalidación (“Diario de Sesiones del Congreso de los Diputados”, Pleno, núm. 97, de 14 de marzo de 2013) la Sra. Ministra de Empleo y Seguridad Social señaló que “por su parte, el título IV introduce una serie de medidas que intensifican la racionalización necesaria de nuestro sector ferroviario para lograr la máxima eficiencia en la gestión de aquellos servicios e impulsar los procesos de liberalización ya iniciados en este país. Señorías, la liberalización del transporte ferroviario de viajeros fomenta la libre competencia y redunda en un mejor servicio y a menor precio”.</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5</w:t>
      </w:r>
      <w:r>
        <w:t>. Debemos examinar ahora, en primer lugar, si los motivos expuestos por el Gobierno para incluir el art. 38 y anexo en el Real Decreto-ley 4/2013 dan cuenta de la existencia de una justificación razonable de la situación de extraordinaria y urgente necesidad, para comprobar después, caso de resultar necesario, si la delimitación de la red ferroviaria de interés general que allí se establece es congruente con esa situación.</w:t>
      </w:r>
    </w:p>
    <w:p w:rsidR="00AC56D6" w:rsidRDefault="00AC56D6" w:rsidP="00AC56D6">
      <w:pPr>
        <w:pStyle w:val="TextoNormal"/>
      </w:pPr>
    </w:p>
    <w:p w:rsidR="00AC56D6" w:rsidRDefault="00AC56D6" w:rsidP="00AC56D6">
      <w:pPr>
        <w:pStyle w:val="TextoNormal"/>
      </w:pPr>
      <w:r>
        <w:t>De lo transcrito cabe deducir que la situación de urgencia que las normas impugnadas pretendían atender cuenta con una justificación de carácter general, como es la necesidad de continuar con la senda de reformas estructurales ya iniciadas para combatir los efectos de la persistente crisis económica. Entre los sectores reformados se encuentra el sector ferroviario, en el que se adoptan diversas medidas entre las que se encuentra la ahora impugnada, relativa a la determinación, siquiera provisional, de las líneas y trayectos que integran la red ferroviaria de interés general. La justificación concreta de su extraordinaria y urgente necesidad se apoya, según se recoge en las citas expresas antedichas, en la exigencia de dar cumplimiento a la STC 245/2012, de 18 de diciembre, en la que este Tribunal declaró la inconstitucionalidad y nulidad de la disposición adicional novena, apartado 1, de la Ley 39/2003, por las razones que se contienen en sus fundamentos jurídicos 10 y 26.</w:t>
      </w:r>
    </w:p>
    <w:p w:rsidR="00AC56D6" w:rsidRDefault="00AC56D6" w:rsidP="00AC56D6">
      <w:pPr>
        <w:pStyle w:val="TextoNormal"/>
      </w:pPr>
    </w:p>
    <w:p w:rsidR="00AC56D6" w:rsidRDefault="00AC56D6" w:rsidP="00AC56D6">
      <w:pPr>
        <w:pStyle w:val="TextoNormal"/>
      </w:pPr>
      <w:r>
        <w:t>No hay duda que la definición de la situación de extraordinaria y urgente necesidad que justifica este Real Decreto-ley es explícita y razonada y, conforme al análisis externo que nos corresponde, cabe afirmar que no se trata de una descripción mediante fórmulas rituales o genéricas aplicables a todo tipo de realidades de un modo intercambiable, sino a través de una precisa referencia a una concreta situación derivada de la necesidad de cumplir con un pronunciamiento de este Tribunal.</w:t>
      </w:r>
    </w:p>
    <w:p w:rsidR="00AC56D6" w:rsidRDefault="00AC56D6" w:rsidP="00AC56D6">
      <w:pPr>
        <w:pStyle w:val="TextoNormal"/>
      </w:pPr>
    </w:p>
    <w:p w:rsidR="00AC56D6" w:rsidRDefault="00AC56D6" w:rsidP="00AC56D6">
      <w:pPr>
        <w:pStyle w:val="TextoNormal"/>
      </w:pPr>
      <w:r>
        <w:t>En efecto, basta, para constatar la concurrencia del presupuesto habilitante, las afirmaciones de la STC 245/2012, de 18 de diciembre, en la que se declara inconstitucional el criterio subjetivo para delimitar el alcance de la red ferroviaria de interés general que subyacía en la disposición adicional novena, señalando además que “en el momento presente se sigue careciendo de una relación o catálogo de las líneas ferroviarias que el Estado considera que pertenecen a su esfera de competencias, con la inseguridad jurídica resultante tanto para las distintas Administraciones públicas concernidas como para quienes intervienen en la actividad ferroviaria. La titularidad de las infraestructuras ferroviarias debe ajustarse a los criterios constitucionales de distribución de competencias, y si bien no puede pretenderse la acomodación del conjunto de las infraestructuras ferroviarias existentes en el momento de la entrada en vigor de la Constitución a la estructura del Estado autonómico de un día para otro pues ello exige tomar decisiones complejas a través de los cauces correspondientes, no se puede aceptar como buenos criterios, ideas o prácticas normativas que perpetúan indefinidamente una situación de claro desajuste con el bloque de constitucionalidad” (FJ 10).</w:t>
      </w:r>
    </w:p>
    <w:p w:rsidR="00AC56D6" w:rsidRDefault="00AC56D6" w:rsidP="00AC56D6">
      <w:pPr>
        <w:pStyle w:val="TextoNormal"/>
      </w:pPr>
    </w:p>
    <w:p w:rsidR="00AC56D6" w:rsidRDefault="00AC56D6" w:rsidP="00AC56D6">
      <w:pPr>
        <w:pStyle w:val="TextoNormal"/>
      </w:pPr>
      <w:r>
        <w:t xml:space="preserve">Afirmaciones que más adelante se reiteran en el fundamento jurídico 26, en el que se afirma que “dados los términos en que en el fundamento jurídico 10, por un lado, se declara la constitucionalidad de los criterios de delimitación de la red ferroviaria de interés general basados en el interés general que utiliza el apartado 1 del art. 4 y, por otro, se declara la inconstitucionalidad y nulidad del apartado 1 de la disposición adicional novena, resulta existir una situación anómala que requiere que el Estado concrete los criterios generales de </w:t>
      </w:r>
      <w:r>
        <w:lastRenderedPageBreak/>
        <w:t>adscripción definidos en la Ley y determine de forma expresa las infraestructuras ferroviarias que pertenecen a la red ferroviaria de interés general utilizando para ello, por ejemplo, los instrumentos típicos de sectores del ordenamiento español que guardan afinidad con el que se analiza aquí —como son los catálogos de carreteras de la red de interés general del Estado—; pues, de lo contrario, persistiría en esta materia una situación no conforme con la Constitución. Una vez determinadas de forma expresa e individualizada las infraestructuras ferroviarias que integran la red ferroviaria de interés general, procederá efectuar en su caso el traspaso a las Comunidades Autónomas correspondientes de las infraestructuras ferroviarias que no se integren en la red ferroviaria de interés general”.</w:t>
      </w:r>
    </w:p>
    <w:p w:rsidR="00AC56D6" w:rsidRDefault="00AC56D6" w:rsidP="00AC56D6">
      <w:pPr>
        <w:pStyle w:val="TextoNormal"/>
      </w:pPr>
    </w:p>
    <w:p w:rsidR="00AC56D6" w:rsidRDefault="00AC56D6" w:rsidP="00AC56D6">
      <w:pPr>
        <w:pStyle w:val="TextoNormal"/>
      </w:pPr>
      <w:r>
        <w:t>De esta manera, la concurrencia de la situación de extraordinaria y urgente necesidad resulta explícita y razonada, pues se refiere a la definición expresa de las infraestructuras integradas en la red ferroviaria de interés general para corregir lo que la doctrina de este Tribunal ha calificado como una “situación anómala”, sin que pueda considerarse que se haya producido un uso abusivo o arbitrario de la potestad normativa excepcional conferida al Gobierno, razón por la cual, debemos concluir que concurre el presupuesto habilitante de la extraordinaria y urgente necesidad requerido por el art. 86.1 CE.</w:t>
      </w:r>
    </w:p>
    <w:p w:rsidR="00AC56D6" w:rsidRDefault="00AC56D6" w:rsidP="00AC56D6">
      <w:pPr>
        <w:pStyle w:val="TextoNormal"/>
      </w:pPr>
    </w:p>
    <w:p w:rsidR="00AC56D6" w:rsidRDefault="00AC56D6" w:rsidP="00AC56D6">
      <w:pPr>
        <w:pStyle w:val="TextoNormal"/>
      </w:pPr>
      <w:r w:rsidRPr="00AC56D6">
        <w:rPr>
          <w:rStyle w:val="NumeroAFNegritaCaracter"/>
        </w:rPr>
        <w:t>6</w:t>
      </w:r>
      <w:r>
        <w:t>. Una vez constatadas las razones de la urgencia expresadas por el Gobierno, el segundo elemento a analizar por este Tribunal en el control del presupuesto habilitante es, como hemos visto con anterioridad, la conexión entre la situación de urgencia definida y la medida concreta adoptada para afrontar la misma. Es de todo punto evidente que la medida incluida en el Real Decreto-ley impugnado presenta conexión de sentido con la situación de extraordinaria y urgente necesidad definida por el Gobierno, pues era idónea para la consecución del objetivo marcado, que no es otro que la definición de las líneas y trayectos que se integran en la denominada red ferroviaria de interés general, aun cuando dicha definición se produjera de modo transitorio. Transitoriedad a la que ha puesto fin la Orden FOM/710/2015, de 30 de enero, por la que se aprueba el catálogo de líneas y tramos de la red ferroviaria de interés general, publicada en el “BOE” núm. 97, de 23 de abril de 2015.</w:t>
      </w:r>
    </w:p>
    <w:p w:rsidR="00AC56D6" w:rsidRDefault="00AC56D6" w:rsidP="00AC56D6">
      <w:pPr>
        <w:pStyle w:val="TextoNormal"/>
      </w:pPr>
    </w:p>
    <w:p w:rsidR="00AC56D6" w:rsidRDefault="00AC56D6" w:rsidP="00AC56D6">
      <w:pPr>
        <w:pStyle w:val="TextoNormal"/>
      </w:pPr>
      <w:r>
        <w:t>A la vista de las circunstancias concurrentes cabe concluir que, desde el punto de vista del control externo que corresponde efectuar a este Tribunal, el Gobierno ha justificado de forma suficiente tanto la existencia de una de extraordinaria y urgente necesidad legitimadora del uso del decreto-ley como que la medida controvertida guarda la necesaria conexión de sentido respecto de la situación de urgencia definida por aquél, por lo que no cabe sino rechazar este primer motivo de inconstitucionalidad.</w:t>
      </w:r>
    </w:p>
    <w:p w:rsidR="00AC56D6" w:rsidRDefault="00AC56D6" w:rsidP="00AC56D6">
      <w:pPr>
        <w:pStyle w:val="TextoNormal"/>
      </w:pPr>
    </w:p>
    <w:p w:rsidR="00AC56D6" w:rsidRDefault="00AC56D6" w:rsidP="00AC56D6">
      <w:pPr>
        <w:pStyle w:val="TextoNormal"/>
      </w:pPr>
      <w:r w:rsidRPr="00AC56D6">
        <w:rPr>
          <w:rStyle w:val="NumeroAFNegritaCaracter"/>
        </w:rPr>
        <w:t>7</w:t>
      </w:r>
      <w:r>
        <w:t>. Cumple examinar ahora la vulneración del límite material del art. 86.1 CE consistente en la prohibición de afectar al régimen de las Comunidades Autónomas, motivo que se presenta escasamente argumentado en la demanda, lo que determina que nuestra respuesta no sea tampoco exhaustiva.</w:t>
      </w:r>
    </w:p>
    <w:p w:rsidR="00AC56D6" w:rsidRDefault="00AC56D6" w:rsidP="00AC56D6">
      <w:pPr>
        <w:pStyle w:val="TextoNormal"/>
      </w:pPr>
    </w:p>
    <w:p w:rsidR="00AC56D6" w:rsidRDefault="00AC56D6" w:rsidP="00AC56D6">
      <w:pPr>
        <w:pStyle w:val="TextoNormal"/>
      </w:pPr>
      <w:r>
        <w:t xml:space="preserve">La STC 182/2013, de 23 de octubre, FJ 3, recuerda, respecto a este límite material de la legislación de urgencia, que “hemos señalado que la expresión ‘régimen de las Comunidades Autónomas’ utilizada en el art. 86.1 CE ha de ser interpretada en el sentido de que el Decreto-ley no puede afectar al régimen constitucional de las Comunidades Autónomas, del que forman parte los Estatutos de Autonomía y otras leyes estatales atributivas de competencias que integran el bloque de la constitucionalidad. Pero, ‘[m]ás allá de ese régimen </w:t>
      </w:r>
      <w:r>
        <w:lastRenderedPageBreak/>
        <w:t>constitucional el campo normativo de los Decretos-leyes se corresponde con la competencia legislativa del Estado, de modo que no existe obstáculo constitucional alguno para que el Decreto-ley, en el ámbito de la competencia legislativa que corresponde al Estado, pueda regular materias en las que una Comunidad Autónoma tenga competencias, pero en las que incida una competencia legislativa del Estado, siempre que esa regulación no tenga como fin atribuir competencias o delimitar positivamente la esfera de competencias de las Comunidades Autónomas’.” (comillas interiores suprimidas).</w:t>
      </w:r>
    </w:p>
    <w:p w:rsidR="00AC56D6" w:rsidRDefault="00AC56D6" w:rsidP="00AC56D6">
      <w:pPr>
        <w:pStyle w:val="TextoNormal"/>
      </w:pPr>
    </w:p>
    <w:p w:rsidR="00AC56D6" w:rsidRDefault="00AC56D6" w:rsidP="00AC56D6">
      <w:pPr>
        <w:pStyle w:val="TextoNormal"/>
      </w:pPr>
      <w:r>
        <w:t>Conforme a la anterior doctrina, este motivo de inconstitucionalidad no puede prosperar. Este límite material debe entenderse en el sentido de que el real decreto-ley no puede afectar al régimen jurídico-constitucional de las Comunidades Autónomas, incluida la posición institucional que les otorga la CE, y que de este régimen constitucional forman parte los Estatutos de Autonomía, pero también otras Leyes estatales atributivas de competencias, que forman parte del bloque de la constitucionalidad. En este caso, las normas ahora impugnadas, ni afectan al régimen constitucional, ni atribuyen o delimitan con carácter general la esfera de competencias de las Comunidades Autónomas, por lo que se mueven dentro de los límites constitucionales que este Tribunal ha establecido en su interpretación del art. 86.1 CE, en cuanto que no persiguen una delimitación directa y positiva de las competencias autonómicas, sin perjuicio de que pueda incidir en las mismas. (STC 23/1993, de 21 de enero, FJ 2; en el mismo sentido, STC 332/2005, de 15 de diciembre, FJ 8).</w:t>
      </w:r>
    </w:p>
    <w:p w:rsidR="00AC56D6" w:rsidRDefault="00AC56D6" w:rsidP="00AC56D6">
      <w:pPr>
        <w:pStyle w:val="TextoNormal"/>
      </w:pPr>
    </w:p>
    <w:p w:rsidR="00AC56D6" w:rsidRDefault="00AC56D6" w:rsidP="00AC56D6">
      <w:pPr>
        <w:pStyle w:val="TextoNormal"/>
      </w:pPr>
      <w:r>
        <w:t>Por todo ello, este segundo fundamento del recurso de inconstitucionalidad debe ser desestimado también.</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1º Inadmitir el recurso de inconstitucionalidad núm. 6866-2013 en lo que respecta a la vulneración del art. 9.3 CE y de los arts. 149.1.21 y 24 CE, en relación con los arts. 10.32 y 10.33 del Estatuto de Autonomía del País Vasco, por parte del art. 38 y anexo del Real Decreto-ley 4/2013, de 22 de febrero, de medidas de apoyo al emprendedor y de estímulo al crecimiento y de la creación de empleo.</w:t>
      </w:r>
    </w:p>
    <w:p w:rsidR="00AC56D6" w:rsidRDefault="00AC56D6" w:rsidP="00AC56D6">
      <w:pPr>
        <w:pStyle w:val="TextoNormal"/>
      </w:pPr>
    </w:p>
    <w:p w:rsidR="00AC56D6" w:rsidRDefault="00AC56D6" w:rsidP="00AC56D6">
      <w:pPr>
        <w:pStyle w:val="TextoNormal"/>
      </w:pPr>
      <w:r>
        <w:t>2º Inadmitir el recurso de inconstitucionalidad núm. 6866-2013 en lo que respecta al art. 37 del Real Decreto-ley 4/2013, de 22 de febrero, de medidas de apoyo al emprendedor y de estímulo al crecimiento y de la creación de empleo.</w:t>
      </w:r>
    </w:p>
    <w:p w:rsidR="00AC56D6" w:rsidRDefault="00AC56D6" w:rsidP="00AC56D6">
      <w:pPr>
        <w:pStyle w:val="TextoNormal"/>
      </w:pPr>
    </w:p>
    <w:p w:rsidR="00AC56D6" w:rsidRDefault="00AC56D6" w:rsidP="00AC56D6">
      <w:pPr>
        <w:pStyle w:val="TextoNormal"/>
      </w:pPr>
      <w:r>
        <w:t>3º Desestimar el recurso de inconstitucionalidad en todo lo demás.</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veinticuatro de septiembre de dos mil quince.</w:t>
      </w:r>
    </w:p>
    <w:p w:rsidR="00AC56D6" w:rsidRDefault="00AC56D6" w:rsidP="00AC56D6">
      <w:pPr>
        <w:pStyle w:val="ParrafoNormal"/>
      </w:pPr>
    </w:p>
    <w:p w:rsidR="00AC56D6" w:rsidRDefault="00AC56D6" w:rsidP="00AC56D6">
      <w:pPr>
        <w:pStyle w:val="TextoNormalNegritaCentrado"/>
        <w:keepNext/>
      </w:pPr>
      <w:r>
        <w:lastRenderedPageBreak/>
        <w:t>Voto particular que formula la Magistrada doña Adela Asua Batarrita a la Sentencia dictada en el recurso de inconstitucionalidad núm. 6866-2013.</w:t>
      </w:r>
    </w:p>
    <w:p w:rsidR="00AC56D6" w:rsidRDefault="00AC56D6" w:rsidP="00AC56D6">
      <w:pPr>
        <w:pStyle w:val="TextoNormalNegritaCentrado"/>
        <w:keepNext/>
      </w:pPr>
    </w:p>
    <w:p w:rsidR="00AC56D6" w:rsidRDefault="00AC56D6" w:rsidP="00AC56D6">
      <w:pPr>
        <w:pStyle w:val="TextoNormal"/>
      </w:pPr>
      <w:r>
        <w:t>En ejercicio de la facultad que me confiere el art. 90.2 de la Ley Orgánica del Tribunal Constitucional (LOTC) y con pleno respeto a la opinión de la mayoría del Pleno, expreso mi discrepancia con los fundamentos jurídicos 2 y 5 de la Sentencia, en virtud de los argumentos que defendí en la deliberación del Pleno y que expongo a continuación. En mi opinión, la Sentencia debió admitir el recurso de inconstitucionalidad por lo que respecta a los motivos competenciales esgrimidos frente a las disposiciones impugnadas del Real Decreto-ley 4/2013, de 22 de febrero, de medidas de apoyo al emprendedor y de estímulo del crecimiento y de la creación de empleo, además de estimar el recurso por la ausencia del presupuesto habilitante exigido por el art. 86.1 CE.</w:t>
      </w:r>
    </w:p>
    <w:p w:rsidR="00AC56D6" w:rsidRDefault="00AC56D6" w:rsidP="00AC56D6">
      <w:pPr>
        <w:pStyle w:val="TextoNormal"/>
      </w:pPr>
    </w:p>
    <w:p w:rsidR="00AC56D6" w:rsidRDefault="00AC56D6" w:rsidP="00AC56D6">
      <w:pPr>
        <w:pStyle w:val="TextoNormal"/>
      </w:pPr>
      <w:r>
        <w:t>1. Mi primera fuente de discrepancia concierne a la inadmisión parcial del presente recurso de inconstitucionalidad por lo que respecta a los motivos competenciales formulados frente al Real Decreto-ley, que la Sentencia justifica de la siguiente manera: “no es posible aplicar en este caso la doctrina constitucional sobre la pervivencia del objeto en procesos competenciales, en la medida en que no se produce un supuesto de pervivencia del problema competencial en una nueva norma que sustituye a la anteriormente impugnada, sino un supuesto en el que la controversia competencial, en el preciso momento en que se plantea el recurso de inconstitucionalidad, se fija no por el Decreto Ley, que ha quedado derogado, sino por la Ley que lo sustituye. Para que este Tribunal entrase a examinar la controversia competencial, así como cualquier otra vinculada con una inconstitucionalidad material, sería necesario que se hubiese impugnado la norma vigente en el momento de interposición del recurso de inconstitucionalidad, que es la que realmente suscita entonces tales controversias, tal y como conoce perfectamente el recurrente que llega a solicitar en su demanda que se extienda la declaración de inconstitucionalidad por motivos competenciales a la Ley”.</w:t>
      </w:r>
    </w:p>
    <w:p w:rsidR="00AC56D6" w:rsidRDefault="00AC56D6" w:rsidP="00AC56D6">
      <w:pPr>
        <w:pStyle w:val="TextoNormal"/>
      </w:pPr>
    </w:p>
    <w:p w:rsidR="00AC56D6" w:rsidRDefault="00AC56D6" w:rsidP="00AC56D6">
      <w:pPr>
        <w:pStyle w:val="TextoNormal"/>
      </w:pPr>
      <w:r>
        <w:t>Admito de entrada que se trata de una cuestión discutible, sobre la que se pueden aducir argumentos a favor y en contra, pero, por ello mismo, y tratándose de la primera ocasión en que la jurisprudencia del Tribunal Constitucional abordaba una situación de esta naturaleza, considero que la fundamentación de la inadmisión debía haber sido más elaborada. Como puse de manifiesto en la deliberación en el Pleno, no me resulta convincente el escueto y formalista argumento que emplea la Sentencia para zanjar la cuestión y tomar una decisión tan drástica como es la inadmisión de un recurso de inconstitucionalidad interpuesto en plazo por quien está legitimado para ello. Debe tenerse en cuenta que la Ley Orgánica del Tribunal Constitucional no establece explícitamente que el objeto del recurso de inconstitucionalidad (ley, disposición o acto con fuerza de ley) deba estar en vigor en el momento en que se presenta la demanda o en el momento en que se produce el fallo, ni atiende a ciertas peculiaridades que pueden darse, como veremos, cuando se activa el procedimiento del art. 33.2 LOTC. Se trata, por tanto, de examinar si el requisito de vigencia se puede deducir implícitamente de la regulación contenida en la Ley Orgánica del Tribunal Constitucional o si, por el contrario, al no estar expresamente contemplado, no puede oponerse a un recurso que reúne todos los requisitos de admisibilidad.</w:t>
      </w:r>
    </w:p>
    <w:p w:rsidR="00AC56D6" w:rsidRDefault="00AC56D6" w:rsidP="00AC56D6">
      <w:pPr>
        <w:pStyle w:val="TextoNormal"/>
      </w:pPr>
    </w:p>
    <w:p w:rsidR="00AC56D6" w:rsidRDefault="00AC56D6" w:rsidP="00AC56D6">
      <w:pPr>
        <w:pStyle w:val="TextoNormal"/>
      </w:pPr>
      <w:r>
        <w:t xml:space="preserve">Antes que nada quisiera recordar que los sujetos legitimados para interponer el recurso de inconstitucionalidad lo son en virtud de la “alta cualificación política que resulta de su </w:t>
      </w:r>
      <w:r>
        <w:lastRenderedPageBreak/>
        <w:t>cometido constitucional” en defensa “del interés general y la supremacía de la Constitución” (SSTC 5/1981, FJ 3, y 42/1985, FJ 2); y que el recurso de inconstitucionalidad es el único instrumento directo de depuración del ordenamiento de disposiciones legislativas, tanto en el aspecto sustantivo como en el aspecto competencial.</w:t>
      </w:r>
    </w:p>
    <w:p w:rsidR="00AC56D6" w:rsidRDefault="00AC56D6" w:rsidP="00AC56D6">
      <w:pPr>
        <w:pStyle w:val="TextoNormal"/>
      </w:pPr>
    </w:p>
    <w:p w:rsidR="00AC56D6" w:rsidRDefault="00AC56D6" w:rsidP="00AC56D6">
      <w:pPr>
        <w:pStyle w:val="TextoNormal"/>
      </w:pPr>
      <w:r>
        <w:t>Además, de acuerdo con nuestra jurisprudencia constitucional, un recurso de inconstitucionalidad no pierde objeto, pese a la derogación de la norma impugnada, en la medida en que pervive la controversia competencial (SSTC 196/1997, de 13 de noviembre, FJ 2; 206/1997, de 27 de noviembre, FJ 2; STC 290/2000, de 30 de noviembre, FJ 4; 72/2003, de 10 de abril, FJ 2; 81/2005, de 6 de abril, FJ 2; 332/2005, de 15 de diciembre, FJ 2; 134/2011, de 20 de julio, FJ 2; 157/2011, de 18 de octubre, FJ 2; 204/2011, de 15 de diciembre, FJ 2; 161/2012, de 20 de septiembre, FJ 2; 184/2012, de 17 de octubre, FJ 2; 212/2012, de 14 de noviembre, FJ 2; 213/2012, de 14 de noviembre, FJ 2; 214/2012, de 14 de noviembre, FJ 2; 216/2012, de 14 de noviembre, FJ 2; 6/2013, de 17 de enero, FJ 2; 96/2013, de 23 de abril, FJ 2; 104/2013, de 25 de abril, FJ 2; 180/2013, de 23 de octubre, FJ 2; 200/2013, de 5 de diciembre, FJ 2, y muchas otras más). Esa jurisprudencia, con buen criterio, no le exige al recurrente que interponga recurso de inconstitucionalidad frente a la norma posterior que, pese a derogar la anterior, mantiene viva la controversia competencial. Ciertamente, el eventual pronunciamiento sobre la inconstitucionalidad de los preceptos impugnados que recaiga en ese proceso no se extiende formalmente a las normas posteriores que incurren en idéntica o similar desviación competencial, pero nadie se puede llamar a engaño de que esas normas posteriores estarán materialmente aquejadas de un vicio de incompetencia constatado por este Tribunal.</w:t>
      </w:r>
    </w:p>
    <w:p w:rsidR="00AC56D6" w:rsidRDefault="00AC56D6" w:rsidP="00AC56D6">
      <w:pPr>
        <w:pStyle w:val="TextoNormal"/>
      </w:pPr>
    </w:p>
    <w:p w:rsidR="00AC56D6" w:rsidRDefault="00AC56D6" w:rsidP="00AC56D6">
      <w:pPr>
        <w:pStyle w:val="TextoNormal"/>
      </w:pPr>
      <w:r>
        <w:t>En el supuesto que subyace al recurso de inconstitucionalidad núm. 6866-2013, las normas del decreto-ley que el recurrente ha impugnado por motivos competenciales habían sido sustituidas, en un momento anterior a la interposición del recurso, por la Ley 11/2013, Ley que no ha sido impugnada por el recurrente. Para inadmitir el recurso interpuesto contra el decreto-ley, la Sentencia de la que discrepo atiende única y exclusivamente al dato formal de la falta de vigencia del decreto-ley en el momento en que es impugnado, de lo que concluye que no se trata de un supuesto de “pervivencia del problema competencial”.</w:t>
      </w:r>
    </w:p>
    <w:p w:rsidR="00AC56D6" w:rsidRDefault="00AC56D6" w:rsidP="00AC56D6">
      <w:pPr>
        <w:pStyle w:val="TextoNormal"/>
      </w:pPr>
    </w:p>
    <w:p w:rsidR="00AC56D6" w:rsidRDefault="00AC56D6" w:rsidP="00AC56D6">
      <w:pPr>
        <w:pStyle w:val="TextoNormal"/>
      </w:pPr>
      <w:r>
        <w:t>A mi juicio, para resolver la presente cuestión podían y debieron valorarse otros elementos. En primer lugar, la razón que recorre la jurisprudencia constitucional antes mencionada sobre la necesidad de resolver las controversias competenciales que subsisten en el ordenamiento pese a la posterior derogación de la norma impugnada. En el presente caso la utilidad del control de constitucionalidad está fuera de duda pues la controversia competencial pervive en las normas que sustituyen a las impugnadas y el interés constitucional en dilucidarla sigue vivo.</w:t>
      </w:r>
    </w:p>
    <w:p w:rsidR="00AC56D6" w:rsidRDefault="00AC56D6" w:rsidP="00AC56D6">
      <w:pPr>
        <w:pStyle w:val="TextoNormal"/>
      </w:pPr>
    </w:p>
    <w:p w:rsidR="00AC56D6" w:rsidRDefault="00AC56D6" w:rsidP="00AC56D6">
      <w:pPr>
        <w:pStyle w:val="TextoNormal"/>
      </w:pPr>
      <w:r>
        <w:t xml:space="preserve">Sin embargo, la Sentencia de la que discrepo excluye la aplicación de esa doctrina sosteniendo que la controversia competencial no pervive, sino que, en el momento de la interposición del recurso, “se fija” por la Ley que sustituye al Decreto-ley y que dicha Ley “es la que realmente suscita entonces tales controversias”. Pero, a mi juicio, no se puede perder de vista que la Ley 11/2013 no es fruto de un procedimiento legislativo distinto y nuevo que reitera o que accidentalmente incide en la misma controversia competencial suscitada por la norma impugnada, sino que es el resultado de tramitar como proyecto de ley, con arreglo a lo establecido en el art. 86.3 CE, la propia norma impugnada. Procedimiento legislativo </w:t>
      </w:r>
      <w:r>
        <w:lastRenderedPageBreak/>
        <w:t>que, en el presente caso, ha dado lugar a normas de contenido idéntico a las impugnadas, que las derogan pero no las sustituyen retroactivamente. En esas circunstancias no resulta plenamente convincente la afirmación de la Sentencia de que “no se produce un supuesto de pervivencia del problema competencial”.</w:t>
      </w:r>
    </w:p>
    <w:p w:rsidR="00AC56D6" w:rsidRDefault="00AC56D6" w:rsidP="00AC56D6">
      <w:pPr>
        <w:pStyle w:val="TextoNormal"/>
      </w:pPr>
    </w:p>
    <w:p w:rsidR="00AC56D6" w:rsidRDefault="00AC56D6" w:rsidP="00AC56D6">
      <w:pPr>
        <w:pStyle w:val="TextoNormal"/>
      </w:pPr>
      <w:r>
        <w:t>Por último, se debe también valorar la singular situación procesal en la que se produce la sustitución de la norma impugnada: en concreto, la circunstancia de que, con arreglo al art. 33.2 LOTC, la entidad demandante y la entidad demandada hubieran adoptado un acuerdo sobre iniciación de negociaciones para resolver las discrepancias competenciales derivadas del Real Decreto-ley, acuerdo que, debidamente comunicado a este Tribunal dentro del plazo de tres meses y publicado en los diarios oficiales correspondientes, produce un alargamiento del plazo de recurso hasta los nueve meses. Recordemos la secuencia temporal de los hechos: el Real Decreto-ley 4/2013, de 22 de febrero, se publicó el día 23 de febrero de 2013; la Ley 11/2013, de 26 de julio, que surge de la tramitación como proyecto de ley de dicho Real Decreto-ley, se publicó el día 27 de julio de 2013 y entró en vigor al día siguiente (disposición final decimoquinta); y el recurrente interpuso el recurso de inconstitucionalidad frente al Real Decreto-ley el día 22 de noviembre de 2013. Pues bien, cuando se publicó la Ley que sustituyó al Real Decreto-ley, el recurrente estaba inmerso en las negociaciones para resolver las discrepancias que prevé el art. 33.2 LOTC. En ese momento disponía de tres alternativas de actuación: primera, acabar antes de tres meses las negociaciones e impugnar la Ley 11/2013; segunda, seguir con las negociaciones hasta agotar el plazo de nueve meses; y tercera, intentar que se abrieran nuevas negociaciones en relación con la Ley 11/2013. La tercera opción no dependía enteramente del propio recurrente y, por tanto, no le puede ser exigible jurídicamente. Pues bien, la segunda alternativa es la que escogió el recurrente, según afirma en su escrito de recurso, para no interferir en las negociaciones en curso y a la vista de la sustancial coincidencia de las disposiciones de la Ley 11/2013 que sustituían a las del Real Decreto-ley.</w:t>
      </w:r>
    </w:p>
    <w:p w:rsidR="00AC56D6" w:rsidRDefault="00AC56D6" w:rsidP="00AC56D6">
      <w:pPr>
        <w:pStyle w:val="TextoNormal"/>
      </w:pPr>
    </w:p>
    <w:p w:rsidR="00AC56D6" w:rsidRDefault="00AC56D6" w:rsidP="00AC56D6">
      <w:pPr>
        <w:pStyle w:val="TextoNormal"/>
      </w:pPr>
      <w:r>
        <w:t>Es cierto que, como dice la Sentencia, el proceso no se inicia con el mero trámite administrativo preprocesal que es el acuerdo de iniciar negociaciones, sino con un escrito interpuesto ante este Tribunal; pues bien, eso es precisamente lo que ha realizado el recurrente en el presente caso. Si el recurrente hubiera interpuesto el recurso de inconstitucionalidad en el plazo de tres meses, con arreglo a nuestra jurisprudencia no hay duda de que la posterior sustitución del Real Decreto-ley por la Ley 11/2013 no hubiera acarreado la inadmisión del recurso. La cuestión es si, cuando se ha activado previamente el procedimiento de conciliación previsto en el art. 33.2 LOTC y con posterioridad se aprueba la Ley que resulta de la tramitación como proyecto de ley del mismo Real Decreto-ley, por ejemplo, como ocurre en el presente caso, al quinto mes desde la publicación del Real Decreto-ley controvertido, le es exigible al eventual recurrente que dé por terminadas las negociaciones e impugne la Ley o si, por el contrario, desde la perspectiva del correcto funcionamiento de la justicia constitucional, no resulta suficiente que el recurrente agote el plazo de que dispone para negociar las discrepancias e interponga un único recurso por motivos formales y competenciales contra el Real Decreto-ley.</w:t>
      </w:r>
    </w:p>
    <w:p w:rsidR="00AC56D6" w:rsidRDefault="00AC56D6" w:rsidP="00AC56D6">
      <w:pPr>
        <w:pStyle w:val="TextoNormal"/>
      </w:pPr>
    </w:p>
    <w:p w:rsidR="00AC56D6" w:rsidRDefault="00AC56D6" w:rsidP="00AC56D6">
      <w:pPr>
        <w:pStyle w:val="TextoNormal"/>
      </w:pPr>
      <w:r>
        <w:t xml:space="preserve">La Sentencia de la que discrepo opta, de entre las varias interpretaciones posibles que las normas permiten, por la menos favorable al ejercicio de la acción de inconstitucionalidad. De la Sentencia se desprende que, en las circunstancias del caso, el recurrente, si quería controlar íntegramente la acción legislativa del Gobierno, tenía que haber impugnado la Ley </w:t>
      </w:r>
      <w:r>
        <w:lastRenderedPageBreak/>
        <w:t>11/2013 antes del día 27 de octubre de 2013 (cuando vencía el plazo ordinario de tres meses desde la publicación de la Ley) y que, en cambio, para impugnar el Real Decreto-ley por motivos formales contaba hasta el 23 de noviembre de 2013 (cuando culminaba el plazo de nueve meses previsto por el art. 33.2 LOTC). En fin, con la interpretación que se deriva de la Sentencia una vez publicada la Ley 11/2013 la entidad recurrente estaría forzosamente obligada a interponer un solo recurso al mismo tiempo contra las dos normas con valor de ley, siempre que la demanda se registrara antes del día 27 de octubre de 2013, o bien dos recursos sucesivos, uno por motivos competenciales contra la Ley 11/2013 y otro por motivos formales contra el Real Decreto-ley 4/2013. La paradoja es que la activación del procedimiento del art. 33.2 LOTC le permite al recurrente mantener intactas sus posibilidades impugnatorias solo con respecto a los aspectos formales de un real decreto-ley, pero no con respecto a los aspectos competenciales, que son precisamente el objeto de ese procedimiento.</w:t>
      </w:r>
    </w:p>
    <w:p w:rsidR="00AC56D6" w:rsidRDefault="00AC56D6" w:rsidP="00AC56D6">
      <w:pPr>
        <w:pStyle w:val="TextoNormal"/>
      </w:pPr>
    </w:p>
    <w:p w:rsidR="00AC56D6" w:rsidRDefault="00AC56D6" w:rsidP="00AC56D6">
      <w:pPr>
        <w:pStyle w:val="TextoNormal"/>
      </w:pPr>
      <w:r>
        <w:t>Los tres elementos mencionados (el interés constitucional en esclarecer controversias competenciales que perviven en el ordenamiento jurídico, la estrecha vinculación de la Ley tramitada en virtud del art. 86.3 CE con el Decreto-ley al que sustituye, y la singular situación en la que se encuentra el ejercicio de la acción de inconstitucionalidad en el marco del art. 33.2 LOTC cuando el Decreto-ley fuente de la controversia competencial es sustituido por una ley tramitada con arreglo al art. 86.3 CE) debieron ser sopesados por este Tribunal antes de dar absoluta prioridad al dato de la falta de vigencia de la norma impugnada, actuando con un formalismo que no es propio de nuestra jurisprudencia constitucional.</w:t>
      </w:r>
    </w:p>
    <w:p w:rsidR="00AC56D6" w:rsidRDefault="00AC56D6" w:rsidP="00AC56D6">
      <w:pPr>
        <w:pStyle w:val="TextoNormal"/>
      </w:pPr>
    </w:p>
    <w:p w:rsidR="00AC56D6" w:rsidRDefault="00AC56D6" w:rsidP="00AC56D6">
      <w:pPr>
        <w:pStyle w:val="TextoNormal"/>
      </w:pPr>
      <w:r>
        <w:t>2. Mi segunda fuente de discrepancia con la Sentencia es la apreciación de la concurrencia del presupuesto habilitante exigido por el art. 86.1 CE. La Sentencia aprecia una situación de extraordinaria y urgente necesidad usando dos argumentos: por un lado, la justificación habitual, extraída de lo que se dice el preámbulo del Decreto-ley, el Gobierno en el trámite de convalidación y el expediente de elaboración; y, por otro lado, lo que el Tribunal Constitucional dijo en la STC 245/2012, en concreto al calificar de “situación anómala” la pervivencia de un estado de cosas incompatible con la Constitución. No comparto ninguna de las dos líneas de justificación. La primera justificación, que se alude en el preámbulo o en el trámite de convalidación del Decreto-ley —reformas estructurales en general y racionalización del sector ferroviario para impulsar su liberalización—, no puede dar cobertura a las concretas disposiciones impugnadas, porque la delimitación de la composición de la red ferroviaria de interés general no comporta reforma estructural alguna ni racionalización del sistema ferroviario que impulse su liberalización. Ello explica que la Sentencia se vuelque sobre todo en el argumento de que las disposiciones impugnadas del Decreto-ley se dirigen a dar cumplimiento a la STC 245/2012.</w:t>
      </w:r>
    </w:p>
    <w:p w:rsidR="00AC56D6" w:rsidRDefault="00AC56D6" w:rsidP="00AC56D6">
      <w:pPr>
        <w:pStyle w:val="TextoNormal"/>
      </w:pPr>
    </w:p>
    <w:p w:rsidR="00AC56D6" w:rsidRDefault="00AC56D6" w:rsidP="00AC56D6">
      <w:pPr>
        <w:pStyle w:val="TextoNormal"/>
      </w:pPr>
      <w:r>
        <w:t xml:space="preserve">No puedo ocultar mi perplejidad ante la forma en que la Sentencia de la que disiento utiliza, fuera de contexto, unas frases extraídas de los fundamentos jurídicos 10 y 26 de la STC 245/2012, de 18 de diciembre, de la que yo misma fui ponente, para pretender justificar el cumplimiento por el Real Decreto-ley 4/2013 del presupuesto habilitante exigido por el art. 86.1 CE. Las bien temperadas consideraciones que aquella Sentencia realizó sobre la necesidad de poner fin a una situación, arrastrada durante varias décadas, de incompatibilidad con la distribución competencial en materia de infraestructuras ferroviarias y, en especial, la calificación de dicha situación como “anómala” se convierten en la Sentencia en el </w:t>
      </w:r>
      <w:r>
        <w:lastRenderedPageBreak/>
        <w:t>argumento decisivo para entender que el Decreto-ley responde a una “situación de extraordinaria y urgente necesidad”.</w:t>
      </w:r>
    </w:p>
    <w:p w:rsidR="00AC56D6" w:rsidRDefault="00AC56D6" w:rsidP="00AC56D6">
      <w:pPr>
        <w:pStyle w:val="TextoNormal"/>
      </w:pPr>
    </w:p>
    <w:p w:rsidR="00AC56D6" w:rsidRDefault="00AC56D6" w:rsidP="00AC56D6">
      <w:pPr>
        <w:pStyle w:val="TextoNormal"/>
      </w:pPr>
      <w:r>
        <w:t>Como se recordará, la STC 245/2012 declaró la inconstitucionalidad y nulidad del apartado 1 de la disposición adicional novena de la Ley 39/2003, de 17 de noviembre, del sector ferroviario, por entender que era incompatible con el orden constitucional de competencias una delimitación de la red ferroviaria de interés general por referencia a la infraestructuras que venían siendo gestionadas por el Estado en el momento de la entrada en vigor de la Ley. Por esa razón, este Tribunal declaró en el fundamento jurídico 26 (último) de la Sentencia lo siguiente: “resulta existir una situación anómala que requiere que el Estado concrete los criterios generales de adscripción definidos en la Ley y determine de forma expresa las infraestructuras ferroviarias que pertenecen a la red ferroviaria de interés general utilizando para ello, por ejemplo, los instrumentos típicos de sectores del ordenamiento español que guardan afinidad con el que se analiza aquí -como son los catálogos de carreteras de la red de interés general del Estado-; pues, de lo contrario, persistiría en esta materia una situación no conforme con la Constitución. Una vez determinadas de forma expresa e individualizada las infraestructuras ferroviarias que integran la red ferroviaria de interés general, procederá efectuar en su caso el traspaso a las Comunidades Autónomas correspondientes de las infraestructuras ferroviarias que no se integren en la red ferroviaria de interés general”.</w:t>
      </w:r>
    </w:p>
    <w:p w:rsidR="00AC56D6" w:rsidRDefault="00AC56D6" w:rsidP="00AC56D6">
      <w:pPr>
        <w:pStyle w:val="TextoNormal"/>
      </w:pPr>
    </w:p>
    <w:p w:rsidR="00AC56D6" w:rsidRDefault="00AC56D6" w:rsidP="00AC56D6">
      <w:pPr>
        <w:pStyle w:val="TextoNormal"/>
      </w:pPr>
      <w:r>
        <w:t>Es evidente que cumplir con las sentencias del Tribunal Constitucional, por lo general, no puede tener nada de extraordinario en el sentido de la situación de “extraordinaria necesidad” a la que se refiere el art. 86.1 CE. Y que este Tribunal dijera entonces que existía una “situación anómala” desde el punto de vista del Estado autonómico no significa necesariamente que su corrección constituya una situación de extraordinaria y urgente necesidad en los términos del art. 86.1 CE. Sería absurdo entender que el Gobierno estatal (y los autonómicos) están autorizados a usar el decreto-ley para remediar cualquier situación incompatible con el bloque de constitucionalidad declarada por este Tribunal. El decreto-ley tiene su ámbito constitucional de utilización como instrumento legislativo de urgencia, y no puede ampliarse bajo pretexto de cumplir las sentencias de este Tribunal. En un contexto similar el Tribunal Constitucional previno frente al mal uso de las fuentes normativas reguladas por la Constitución, por muy loables que fueran los objetivos perseguidos: “el recurso al decreto-ley como cauce de incorporación al ordenamiento interno del Derecho de la Unión Europea por la mera razón de que hubiera transcurrido el plazo de transposición, sin mayores precisiones, no se adecuaría al presupuesto habilitante de la urgente y extraordinaria necesidad, por lo que constituiría un uso abusivo de una facultad excepcional conforme a la Constitución española como es la legislación de urgencia y conduce a un reforzamiento de la posición institucional del poder ejecutivo en detrimento de la del legislativo” (STC 1/2012, de 13 de enero, FJ 9). Si el decreto-ley no es sin más cauce adecuado para cumplir las obligaciones derivadas del Derecho de la Unión (lo que, en caso contrario, puede dar lugar a importantes consecuencias jurídicas: la responsabilidad internacional del Estado, la apertura de un procedimiento por infracción, la responsabilidad patrimonial del Estado por incumplimiento del Derecho de la Unión, etc.), tampoco puede serlo —reitero, sin más— para cumplir las obligaciones derivadas de una Sentencia del Tribunal Constitucional.</w:t>
      </w:r>
    </w:p>
    <w:p w:rsidR="00AC56D6" w:rsidRDefault="00AC56D6" w:rsidP="00AC56D6">
      <w:pPr>
        <w:pStyle w:val="TextoNormal"/>
      </w:pPr>
    </w:p>
    <w:p w:rsidR="00AC56D6" w:rsidRDefault="00AC56D6" w:rsidP="00AC56D6">
      <w:pPr>
        <w:pStyle w:val="TextoNormal"/>
      </w:pPr>
      <w:r>
        <w:t xml:space="preserve">Por si fuera poco, el Decreto-ley 4/2013 no da cumplimiento material en forma alguna a lo que pedía la STC 245/2012: su artículo 37 se limitaba a prever que en el plazo de seis </w:t>
      </w:r>
      <w:r>
        <w:lastRenderedPageBreak/>
        <w:t>meses el Ministro competente aprobaría el catálogo de líneas que componen la red ferroviaria de interés general y su artículo 38 —único precepto, junto al anexo, que constituye el objeto del recurso según el FJ 2 c) de la Sentencia— preveía que, hasta entonces, la red estaría compuesta por todas las líneas que se relacionaban en el anexo. Si se analiza el contenido de dicha relación, lo único que lleva a cabo el legislador de urgencia es la identificación de las líneas y tramos que venía gestionando el Estado y cuya gestión la tiene encomendada actualmente ADIF, con lo que la situación anómala se mantiene exactamente en los mismos términos.</w:t>
      </w:r>
    </w:p>
    <w:p w:rsidR="00AC56D6" w:rsidRDefault="00AC56D6" w:rsidP="00AC56D6">
      <w:pPr>
        <w:pStyle w:val="TextoNormal"/>
      </w:pPr>
    </w:p>
    <w:p w:rsidR="00AC56D6" w:rsidRDefault="00AC56D6" w:rsidP="00AC56D6">
      <w:pPr>
        <w:pStyle w:val="TextoNormal"/>
      </w:pPr>
      <w:r>
        <w:t xml:space="preserve">Si ya es rechazable, por las razones indicadas, acudir al decreto-ley como expediente general para dar cumplimiento a una Sentencia del Tribunal Constitucional (en ausencia del presupuesto habilitante requerido por el art. 86.1 CE), mucho más deberá serlo para </w:t>
      </w:r>
      <w:r w:rsidRPr="00AC56D6">
        <w:rPr>
          <w:i/>
        </w:rPr>
        <w:t>prolongar</w:t>
      </w:r>
      <w:r>
        <w:t xml:space="preserve"> en el tiempo el mismo estado de cosas que, previamente, una Sentencia del Tribunal Constitucional ha declarado expresamente incompatible con el orden constitucional de competencias.</w:t>
      </w:r>
    </w:p>
    <w:p w:rsidR="00AC56D6" w:rsidRDefault="00AC56D6" w:rsidP="00AC56D6">
      <w:pPr>
        <w:pStyle w:val="TextoNormal"/>
      </w:pPr>
    </w:p>
    <w:p w:rsidR="00AC56D6" w:rsidRDefault="00AC56D6" w:rsidP="00AC56D6">
      <w:pPr>
        <w:pStyle w:val="TextoNormal"/>
      </w:pPr>
      <w:r>
        <w:t>La propia STC 245/2012, FJ 10, había reconocido que “no puede pretenderse la acomodación del conjunto de infraestructuras ferroviarias existentes en el momento de la entrada de la Constitución a la estructura del Estado autonómico de un día para otro pues ello exige tomar decisiones complejas a través de los cauces correspondientes”. Con esas palabras el Tribunal había querido subrayar la complejidad técnica y jurídica de la tarea, reconociendo un amplio margen temporal de actuación a los órganos centrales del Estado; no había solicitado ni sugerido en ningún momento que el Gobierno actuara con el instrumento legislativo de urgencia, ni siquiera le había fijado un plazo determinado para cumplir con la Sentencia, a diferencia de lo que hemos hecho en otras sentencias (STC 164/2013, de 26 de septiembre, FJ 7; 152/2014, de 25 de septiembre, FJ 6; 164/2014, de 7 de octubre; y 13/2015, de 5 de febrero, FJ 5).</w:t>
      </w:r>
    </w:p>
    <w:p w:rsidR="00AC56D6" w:rsidRDefault="00AC56D6" w:rsidP="00AC56D6">
      <w:pPr>
        <w:pStyle w:val="TextoNormal"/>
      </w:pPr>
    </w:p>
    <w:p w:rsidR="00AC56D6" w:rsidRDefault="00AC56D6" w:rsidP="00AC56D6">
      <w:pPr>
        <w:pStyle w:val="TextoNormal"/>
      </w:pPr>
      <w:r>
        <w:t xml:space="preserve">Incluso si —pasando por alto todo lo expuesto hasta ahora— se aceptase que la “situación anómala” descrita en la STC 245/2012 fue interpretada correctamente por el Gobierno de acuerdo con su libre apreciación política como una “situación de extraordinaria y urgente necesidad” en el sentido del art. 86.1 CE, lo cierto es que faltaría la conexión de sentido que reclama nuestra jurisprudencia. Si la “situación anómala”, definida por la STC 245/2012 e identificada como presupuesto habilitante por el legislador de urgencia, consistía en la imposibilidad de ejercer las competencias autonómicas en materia de ferrocarriles, aquella anomalía solo puede desaparecer con los correspondientes traspasos. Pues bien, el precepto impugnado no “resuelve” la situación descrita como “anómala”, se limita a enumerar las líneas y tramos que se integran en la red ferroviaria de interés general, que son todas las que vienen siendo gestionadas por el Estado. En otros términos, el precepto impugnado mantiene provisionalmente la “situación anómala” y pospone para el futuro su eventual solución. De acuerdo con nuestra jurisprudencia, carecen de la necesaria conexión de sentido aquellas disposiciones “que, por su estructura misma, independientemente de su contenido, no modifican de manera instantánea la situación jurídica existente” (por todas, STC 12/2015, de 5 de febrero, FJ 3, que cita la propia Sentencia). La Sentencia de la que discrepo no oculta en realidad que el precepto impugnado no modifica la situación jurídica existente, al afirmar que la definición de las líneas y trayectos que se integran en la red ferroviaria de interés general es “transitoria”. Transitoriedad, se entiende, en cuanto que no se da todavía cumplimiento a la STC 245/2012. “Transitoriedad a la que —añade la Sentencia— ha </w:t>
      </w:r>
      <w:r>
        <w:lastRenderedPageBreak/>
        <w:t>puesto fin la Orden FOM/710/2015, de 30 de enero, por la que se aprueba el Catálogo de líneas y tramos de la Red Ferroviaria de Interés General, publicada en el ‘BOE’ núm. 97, de 23 de abril de 2015”. Afirmación, por cierto, que no solo está fuera de lugar en el presente proceso constitucional pues la citada Orden no es su objeto de enjuiciamiento, sino que, además, el hecho de que esa u otra norma diera cumplimiento definitivo a las obligaciones que se derivan de la STC 245/2012 sería jurídicamente irrelevante a la hora de enjuiciar la concurrencia del presupuesto habilitante en el Decreto-ley impugnado.</w:t>
      </w:r>
    </w:p>
    <w:p w:rsidR="00AC56D6" w:rsidRDefault="00AC56D6" w:rsidP="00AC56D6">
      <w:pPr>
        <w:pStyle w:val="TextoNormal"/>
      </w:pPr>
    </w:p>
    <w:p w:rsidR="00AC56D6" w:rsidRDefault="00AC56D6" w:rsidP="00AC56D6">
      <w:pPr>
        <w:pStyle w:val="TextoNormal"/>
      </w:pPr>
      <w:r>
        <w:t xml:space="preserve">En suma, no hay “extraordinaria necesidad” en aprobar un decreto-ley para corregir una situación que este Tribunal ha caracterizado como “anómala” por su radical discrepancia con el bloque de constitucionalidad pero al mismo tiempo como “compleja” por su inherente dificultad; no se aprecia “urgencia” alguna en aprobar un decreto-ley que persigue que la Administración estatal siga gestionando las infraestructuras que no son de interés general; y no puede hablarse siquiera de una corrección “transitoria” cuando se perpetúa en el tiempo el </w:t>
      </w:r>
      <w:r w:rsidRPr="00AC56D6">
        <w:rPr>
          <w:i/>
        </w:rPr>
        <w:t>statu quo</w:t>
      </w:r>
      <w:r>
        <w:t xml:space="preserve"> y no se corrige la “situación anómala” a la que se dice responder. Como se puede comprobar fácilmente examinando el contenido del art. 38 y del anexo del Real Decreto-ley (e incluso el de la Orden FOM/710/2015 que la Sentencia invoca con satisfacción), dichas normas mantienen la “situación anómala” exactamente en los mismos términos, sin ningún tipo de avance: todavía hoy, dos años y nueve meses después de nuestra STC 245/2012, no se ha aprobado norma estatal alguna que identifique los tramos y líneas susceptibles de traspaso.</w:t>
      </w:r>
    </w:p>
    <w:p w:rsidR="00AC56D6" w:rsidRDefault="00AC56D6" w:rsidP="00AC56D6">
      <w:pPr>
        <w:pStyle w:val="TextoNormal"/>
      </w:pPr>
    </w:p>
    <w:p w:rsidR="00AC56D6" w:rsidRDefault="00AC56D6" w:rsidP="00AC56D6">
      <w:pPr>
        <w:pStyle w:val="TextoNormal"/>
      </w:pPr>
      <w:r>
        <w:t>Madrid, a veinticuatro de septiembre de dos mil quince.</w:t>
      </w:r>
    </w:p>
    <w:p w:rsidR="00AC56D6" w:rsidRDefault="00AC56D6" w:rsidP="00AC56D6">
      <w:pPr>
        <w:pStyle w:val="TextoNormal"/>
      </w:pPr>
    </w:p>
    <w:p w:rsidR="00AC56D6" w:rsidRDefault="00AC56D6" w:rsidP="00AC56D6">
      <w:pPr>
        <w:pStyle w:val="TextoNormalNegritaCentrado"/>
        <w:keepNext/>
      </w:pPr>
      <w:r>
        <w:t>Voto particular que formula el Magistrado don Fernando Valdés Dal-Ré a la Sentencia dictada en el recurso de inconstitucionalidad núm. 6866-2013.</w:t>
      </w:r>
    </w:p>
    <w:p w:rsidR="00AC56D6" w:rsidRDefault="00AC56D6" w:rsidP="00AC56D6">
      <w:pPr>
        <w:pStyle w:val="TextoNormalNegritaCentrado"/>
        <w:keepNext/>
      </w:pPr>
    </w:p>
    <w:p w:rsidR="00AC56D6" w:rsidRDefault="00AC56D6" w:rsidP="00AC56D6">
      <w:pPr>
        <w:pStyle w:val="TextoNormal"/>
      </w:pPr>
      <w:r>
        <w:t>Con el máximo respeto a la opinión mayoritaria, expreso mi discrepancia con la fundamentación jurídica y el fallo de esta Sentencia. Considero que debió estimarse el recurso, por ausencia del presupuesto habilitante exigido por el art. 86.1 CE en la regulación de la red ferroviaria de interés general recogida en el Real Decreto-ley 4/2013, de 22 de febrero, de medidas de apoyo al emprendedor y de estímulo del crecimiento y de la creación de empleo.</w:t>
      </w:r>
    </w:p>
    <w:p w:rsidR="00AC56D6" w:rsidRDefault="00AC56D6" w:rsidP="00AC56D6">
      <w:pPr>
        <w:pStyle w:val="TextoNormal"/>
      </w:pPr>
    </w:p>
    <w:p w:rsidR="00AC56D6" w:rsidRDefault="00AC56D6" w:rsidP="00AC56D6">
      <w:pPr>
        <w:pStyle w:val="TextoNormal"/>
      </w:pPr>
      <w:r>
        <w:t>1. En aras de la brevedad, me remito a lo manifestado en anteriores ocasiones sobre la responsabilidad que incumbe a este Tribunal de verificar rigurosamente la concurrencia de las circunstancias de extraordinaria y urgente necesidad que habilitan al Gobierno para dictar las disposiciones legislativas provisionales que adoptan la forma de decreto-ley (entre otros, en los Votos particulares a las SSTC 170/2012, de 4 de octubre, 233/2012, de 13 de diciembre, 12/2015, de 5 de febrero, 48/2015, de 5 de marzo, y 199/2014, de 24 de septiembre, y al ATC 43/2014, de 12 de febrero).</w:t>
      </w:r>
    </w:p>
    <w:p w:rsidR="00AC56D6" w:rsidRDefault="00AC56D6" w:rsidP="00AC56D6">
      <w:pPr>
        <w:pStyle w:val="TextoNormal"/>
      </w:pPr>
    </w:p>
    <w:p w:rsidR="00AC56D6" w:rsidRDefault="00AC56D6" w:rsidP="00AC56D6">
      <w:pPr>
        <w:pStyle w:val="TextoNormal"/>
      </w:pPr>
      <w:r>
        <w:t>2. El fundamento jurídico 5 de la Sentencia de la que ahora me aparto aprecia la concurrencia de la situación de extraordinaria y urgente necesidad con base en determinadas afirmaciones de la STC 245/2012, de 18 de diciembre, FFJJ 10 y 26, que a mi juicio se sacan de contexto.</w:t>
      </w:r>
    </w:p>
    <w:p w:rsidR="00AC56D6" w:rsidRDefault="00AC56D6" w:rsidP="00AC56D6">
      <w:pPr>
        <w:pStyle w:val="TextoNormal"/>
      </w:pPr>
    </w:p>
    <w:p w:rsidR="00AC56D6" w:rsidRDefault="00AC56D6" w:rsidP="00AC56D6">
      <w:pPr>
        <w:pStyle w:val="TextoNormal"/>
      </w:pPr>
      <w:r>
        <w:lastRenderedPageBreak/>
        <w:t>La citada sentencia declaró la inconstitucionalidad y nulidad del apartado 1 de la disposición adicional novena de la Ley 39/2003, de 17 de noviembre, del sector ferroviario (LSF), por considerar contrario al reparto de competencias en la materia que la red ferroviaria de interés general se singularice simplemente por remisión a las infraestructuras que, en el momento de la entrada en vigor de la ley, venían siendo gestionadas por el Estado. Y aprecia que existe una situación anómala que requiere que el Estado determine de forma expresa las infraestructuras ferroviarias que pertenecen a la red ferroviaria de interés general, como paso previo para poder efectuar en su caso el traspaso a las Comunidades Autónomas correspondientes de las restantes infraestructuras que no se integren en la red de interés general.</w:t>
      </w:r>
    </w:p>
    <w:p w:rsidR="00AC56D6" w:rsidRDefault="00AC56D6" w:rsidP="00AC56D6">
      <w:pPr>
        <w:pStyle w:val="TextoNormal"/>
      </w:pPr>
    </w:p>
    <w:p w:rsidR="00AC56D6" w:rsidRDefault="00AC56D6" w:rsidP="00AC56D6">
      <w:pPr>
        <w:pStyle w:val="TextoNormal"/>
      </w:pPr>
      <w:r>
        <w:t>En sustancia, el art. 37 del Real Decreto-ley 4/2013 concede al Ministerio de Fomento un plazo de seis meses para establecer el catálogo de líneas y tramos de interés general, determinando que figurarán relacionados en anejo independiente las líneas y tramos susceptibles de traspaso a las Comunidades Autónomas. De forma provisional, fija en el anexo I la red ferroviaria de interés general, que podrá ser actualizada mediante la Orden ministerial que apruebe el catálogo.</w:t>
      </w:r>
    </w:p>
    <w:p w:rsidR="00AC56D6" w:rsidRDefault="00AC56D6" w:rsidP="00AC56D6">
      <w:pPr>
        <w:pStyle w:val="TextoNormal"/>
      </w:pPr>
    </w:p>
    <w:p w:rsidR="00AC56D6" w:rsidRDefault="00AC56D6" w:rsidP="00AC56D6">
      <w:pPr>
        <w:pStyle w:val="TextoNormal"/>
      </w:pPr>
      <w:r>
        <w:t>3. En mi opinión, no concurren en este caso las circunstancias de extraordinaria y urgente necesidad que exige el art. 86.1 CE para la aprobación de un decreto-ley.</w:t>
      </w:r>
    </w:p>
    <w:p w:rsidR="00AC56D6" w:rsidRDefault="00AC56D6" w:rsidP="00AC56D6">
      <w:pPr>
        <w:pStyle w:val="TextoNormal"/>
      </w:pPr>
    </w:p>
    <w:p w:rsidR="00AC56D6" w:rsidRDefault="00AC56D6" w:rsidP="00AC56D6">
      <w:pPr>
        <w:pStyle w:val="TextoNormal"/>
      </w:pPr>
      <w:r>
        <w:t>Por lo pronto, conviene ya dejar constancia que la ejecución de una Sentencia del Tribunal Constitucional nada tiene de extraordinario. Constituye, por el contrario, la normal y habitual consecuencia que el Estado de Derecho anuda al control de constitucionalidad, y que aparece reflejada en el art. 38.1 de la Ley Orgánica del Tribunal Constitucional (LOTC), a cuyo tenor las sentencias recaídas en procedimientos de inconstitucionalidad tendrán el valor de cosa juzgada, vincularán a todos los poderes públicos y producirán efectos generales desde su publicación en el Boletín Oficial del Estado. La modificación de una ley para dar cumplimiento a una sentencia constitucional es por tanto la consecuencia ineludible, obligada y ordinaria de nuestro sistema.</w:t>
      </w:r>
    </w:p>
    <w:p w:rsidR="00AC56D6" w:rsidRDefault="00AC56D6" w:rsidP="00AC56D6">
      <w:pPr>
        <w:pStyle w:val="TextoNormal"/>
      </w:pPr>
    </w:p>
    <w:p w:rsidR="00AC56D6" w:rsidRDefault="00AC56D6" w:rsidP="00AC56D6">
      <w:pPr>
        <w:pStyle w:val="TextoNormal"/>
      </w:pPr>
      <w:r>
        <w:t>Pero sucede que tampoco es posible apreciar que concurra la urgencia que exige el art. 86.1 CE, toda vez que el cumplimiento de la STC 245/2012, por más que ineludible, pudo haberse abordado a través del procedimiento legislativo ordinario. La adecuada ponderación de este criterio hubiera debido tener en cuenta los elementos que sintéticamente expongo.</w:t>
      </w:r>
    </w:p>
    <w:p w:rsidR="00AC56D6" w:rsidRDefault="00AC56D6" w:rsidP="00AC56D6">
      <w:pPr>
        <w:pStyle w:val="TextoNormal"/>
      </w:pPr>
    </w:p>
    <w:p w:rsidR="00AC56D6" w:rsidRDefault="00AC56D6" w:rsidP="00AC56D6">
      <w:pPr>
        <w:pStyle w:val="TextoNormal"/>
      </w:pPr>
      <w:r>
        <w:t>(i) Se otorga al Gobierno un plazo de seis meses para aprobar el catálogo definitivo de la red de interés general, lo que finalmente no se ha producido hasta casi dos años después, mediante la aprobación de la Orden FOM/710/2015, de 30 de enero.</w:t>
      </w:r>
    </w:p>
    <w:p w:rsidR="00AC56D6" w:rsidRDefault="00AC56D6" w:rsidP="00AC56D6">
      <w:pPr>
        <w:pStyle w:val="TextoNormal"/>
      </w:pPr>
    </w:p>
    <w:p w:rsidR="00AC56D6" w:rsidRDefault="00AC56D6" w:rsidP="00AC56D6">
      <w:pPr>
        <w:pStyle w:val="TextoNormal"/>
      </w:pPr>
      <w:r>
        <w:t xml:space="preserve">(ii) Como admite la propia STC 245/2012, “no puede pretenderse la acomodación del conjunto de las infraestructuras ferroviarias existentes en el momento de la entrada en vigor de la Constitución a la estructura del Estado autonómico de un día para otro pues ello exige tomar decisiones complejas a través de los cauces correspondientes” (FJ 10). En este caso, a través de los procesos de traspasos de medios y servicios previstos en los Estatutos de Autonomía, cuya ausencia impide el adecuado ejercicio de las competencias autonómicas: esta y no otra es la situación considerada anómala por la STC 245/2015, a la que debe ponerse fin en el plazo más breve posible. Una situación que, a día de hoy, persiste. A este </w:t>
      </w:r>
      <w:r>
        <w:lastRenderedPageBreak/>
        <w:t>respecto, parece significativo constatar que ni el anexo del Real Decreto-ley 4/2013 ni la Orden FOM/710/2015 identifican los tramos y líneas susceptibles de traspaso, pese a lo previsto en la disposición adicional novena.1 LSF en su nueva redacción.</w:t>
      </w:r>
    </w:p>
    <w:p w:rsidR="00AC56D6" w:rsidRDefault="00AC56D6" w:rsidP="00AC56D6">
      <w:pPr>
        <w:pStyle w:val="TextoNormal"/>
      </w:pPr>
    </w:p>
    <w:p w:rsidR="00AC56D6" w:rsidRDefault="00AC56D6" w:rsidP="00AC56D6">
      <w:pPr>
        <w:pStyle w:val="TextoNormal"/>
      </w:pPr>
      <w:r>
        <w:t xml:space="preserve">Por ello, no deja de llamar la atención que, con fundamento en lo dicho en la STC 245/2015, se aprecie la urgencia en la adopción de una decisión que </w:t>
      </w:r>
      <w:r w:rsidRPr="00AC56D6">
        <w:rPr>
          <w:i/>
        </w:rPr>
        <w:t>per se</w:t>
      </w:r>
      <w:r>
        <w:t xml:space="preserve"> no corrige la anomalía advertida, al no haberse producido los correspondientes traspasos.</w:t>
      </w:r>
    </w:p>
    <w:p w:rsidR="00AC56D6" w:rsidRDefault="00AC56D6" w:rsidP="00AC56D6">
      <w:pPr>
        <w:pStyle w:val="TextoNormal"/>
      </w:pPr>
    </w:p>
    <w:p w:rsidR="00AC56D6" w:rsidRDefault="00AC56D6" w:rsidP="00AC56D6">
      <w:pPr>
        <w:pStyle w:val="TextoNormal"/>
      </w:pPr>
      <w:r>
        <w:t>(iii) Tampoco cabe apreciar una situación de urgencia que pueda afectar negativamente a la prestación del servicio ferroviario, al estar garantizada su continuidad. El Tribunal ha reiterado que cuando, como en este caso, el traspaso de servicios es condición de pleno ejercicio de las competencias estatutariamente asumidas, por ser necesario e imprescindible según su naturaleza, es constitucionalmente lícito el ejercicio de las competencias por el Estado, mientras los servicios no sean transferidos. El pronunciamiento de inconstitucionalidad y nulidad de la STC 245/2012 no comporta en consecuencia una situación de incertidumbre jurídica ni compromete el funcionamiento normal del servicio ferroviario, circunstancias que sí hubieran podido justificar la medida de urgencia.</w:t>
      </w:r>
    </w:p>
    <w:p w:rsidR="00AC56D6" w:rsidRDefault="00AC56D6" w:rsidP="00AC56D6">
      <w:pPr>
        <w:pStyle w:val="TextoNormal"/>
      </w:pPr>
    </w:p>
    <w:p w:rsidR="00AC56D6" w:rsidRDefault="00AC56D6" w:rsidP="00AC56D6">
      <w:pPr>
        <w:pStyle w:val="TextoNormal"/>
      </w:pPr>
      <w:r>
        <w:t>La administración de las infraestructuras ferroviarias que no son de interés general permanece pues en manos de la Administración estatal con carácter temporal. Ahora bien, la pervivencia de estas situaciones no se caracteriza precisamente por la nota de urgencia, en el sentido en que emplea este término el art. 86.1 CE. Buena prueba de ello es que en la reciente STC 25/2015, de 19 de febrero, FJ 7, ante la ausencia de traspasos, el Tribunal ha aceptado “el mantenimiento de este régimen transitorio y excepcional, derivado del retraso en la asunción por las Comunidades Autónomas de la mayor parte de la gestión del sistema de becas y ayudas al estudio”, no sin advertir que tal situación “difícilmente conciliable con las exigencias de un Estado descentralizado como el nuestro”. Resulta pertinente recordar que la necesidad de traspasar la gestión de las becas y ayudas al estudio trae causa directa de la doctrina constitucional, que se remonta a la STC 188/2001, de 20 de septiembre.</w:t>
      </w:r>
    </w:p>
    <w:p w:rsidR="00AC56D6" w:rsidRDefault="00AC56D6" w:rsidP="00AC56D6">
      <w:pPr>
        <w:pStyle w:val="TextoNormal"/>
      </w:pPr>
    </w:p>
    <w:p w:rsidR="00AC56D6" w:rsidRDefault="00AC56D6" w:rsidP="00AC56D6">
      <w:pPr>
        <w:pStyle w:val="TextoNormal"/>
      </w:pPr>
      <w:r>
        <w:t>4. En definitiva, son las propias sentencias del Tribunal Constitucional las que modulan los efectos de una declaración de inconstitucionalidad y nulidad, cuando aprecia que así está justificado en atención a las circunstancias concurrentes, tanto desde la perspectiva de la seguridad jurídica (art. 9.3 CE) como en atención a las perjudiciales consecuencias que pueda generar el vacío normativo en los intereses generales.</w:t>
      </w:r>
    </w:p>
    <w:p w:rsidR="00AC56D6" w:rsidRDefault="00AC56D6" w:rsidP="00AC56D6">
      <w:pPr>
        <w:pStyle w:val="TextoNormal"/>
      </w:pPr>
    </w:p>
    <w:p w:rsidR="00AC56D6" w:rsidRDefault="00AC56D6" w:rsidP="00AC56D6">
      <w:pPr>
        <w:pStyle w:val="TextoNormal"/>
      </w:pPr>
      <w:r>
        <w:t>La STC 245/2012 no lo hizo así al estar en todo momento garantizada la continuidad del servicio ferroviario a través de la administración temporal a cargo del Estado. Hizo ciertamente una llamada a poner fin a esta situación provisional en el plazo más breve posible, pero a sabiendas de la complejidad del proceso y, en particular, del necesario acuerdo entre el Estado y las Comunidades Autónomas para efectuar los traspasos, que aún siguen pendientes.</w:t>
      </w:r>
    </w:p>
    <w:p w:rsidR="00AC56D6" w:rsidRDefault="00AC56D6" w:rsidP="00AC56D6">
      <w:pPr>
        <w:pStyle w:val="TextoNormal"/>
      </w:pPr>
    </w:p>
    <w:p w:rsidR="00AC56D6" w:rsidRDefault="00AC56D6" w:rsidP="00AC56D6">
      <w:pPr>
        <w:pStyle w:val="TextoNormal"/>
      </w:pPr>
      <w:r>
        <w:t>Nada de ello puede subsumirse en la situación de extraordinaria y urgente necesidad que justifica el uso de los decretos-leyes según el art. 86.1 CE.</w:t>
      </w:r>
    </w:p>
    <w:p w:rsidR="00AC56D6" w:rsidRDefault="00AC56D6" w:rsidP="00AC56D6">
      <w:pPr>
        <w:pStyle w:val="TextoNormal"/>
      </w:pPr>
    </w:p>
    <w:p w:rsidR="00AC56D6" w:rsidRDefault="00AC56D6" w:rsidP="00AC56D6">
      <w:pPr>
        <w:pStyle w:val="TextoNormal"/>
      </w:pPr>
      <w:r>
        <w:t>Y en tal sentido emito mi Voto particular.</w:t>
      </w:r>
    </w:p>
    <w:p w:rsidR="00AC56D6" w:rsidRDefault="00AC56D6" w:rsidP="00AC56D6">
      <w:pPr>
        <w:pStyle w:val="TextoNormal"/>
      </w:pPr>
    </w:p>
    <w:p w:rsidR="00AC56D6" w:rsidRDefault="00AC56D6" w:rsidP="00AC56D6">
      <w:pPr>
        <w:pStyle w:val="TextoNormal"/>
      </w:pPr>
      <w:r>
        <w:lastRenderedPageBreak/>
        <w:t>Madrid, a veinticuatro de septiembre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54" w:name="SENTENCIA_2015_198"/>
      <w:r>
        <w:lastRenderedPageBreak/>
        <w:t>SENTENCIA 198/2015, de 24 de septiembre de 2015</w:t>
      </w:r>
    </w:p>
    <w:bookmarkEnd w:id="54"/>
    <w:p w:rsidR="00AC56D6" w:rsidRDefault="00AC56D6" w:rsidP="00AC56D6">
      <w:pPr>
        <w:pStyle w:val="TtuloResolucin"/>
      </w:pPr>
      <w:r>
        <w:t>Pleno</w:t>
      </w:r>
    </w:p>
    <w:p w:rsidR="00AC56D6" w:rsidRDefault="00AC56D6" w:rsidP="00AC56D6">
      <w:pPr>
        <w:pStyle w:val="TtuloBOE"/>
      </w:pPr>
      <w:r>
        <w:t>(BOE núm. 260, de 30 de octubre de 2015)</w:t>
      </w:r>
    </w:p>
    <w:p w:rsidR="00AC56D6" w:rsidRDefault="00AC56D6" w:rsidP="00AC56D6">
      <w:pPr>
        <w:pStyle w:val="TextoNormalCentrado"/>
      </w:pPr>
      <w:r>
        <w:t>ECLI:ES:TC:2015:198</w:t>
      </w:r>
    </w:p>
    <w:p w:rsidR="00AC56D6" w:rsidRDefault="00AC56D6" w:rsidP="00AC56D6">
      <w:pPr>
        <w:pStyle w:val="TextoNormalCentrado"/>
      </w:pPr>
    </w:p>
    <w:p w:rsidR="00AC56D6" w:rsidRDefault="00AC56D6" w:rsidP="00AC56D6">
      <w:pPr>
        <w:pStyle w:val="SntesisDescriptiva"/>
      </w:pPr>
      <w:r>
        <w:t>Recurso de inconstitucionalidad 7473-2013. Interpuesto por el Gobierno de la Generalitat de Cataluña respecto del art. 39.2 de la Ley 14/2013, de 27 de septiembre, de apoyo a los emprendedores y su internacionalización, por el que se añade una disposición adicional decimoséptima a la Ley 31/1995, de 8 de noviembre, de prevención de riesgos laborales.</w:t>
      </w:r>
    </w:p>
    <w:p w:rsidR="00AC56D6" w:rsidRDefault="00AC56D6" w:rsidP="00AC56D6">
      <w:pPr>
        <w:pStyle w:val="SntesisDescriptiva"/>
      </w:pPr>
    </w:p>
    <w:p w:rsidR="00AC56D6" w:rsidRDefault="00AC56D6" w:rsidP="00AC56D6">
      <w:pPr>
        <w:pStyle w:val="SntesisAnaltica"/>
      </w:pPr>
      <w:r>
        <w:t>Competencias en materia de prevención de riesgos laborales: regulación del asesoramiento técnico a empresas de hasta veinticinco trabajadores que no vulnera las competencias ejecutivas autonómicas. Votos particulares.</w:t>
      </w:r>
    </w:p>
    <w:p w:rsidR="00AC56D6" w:rsidRDefault="00AC56D6" w:rsidP="00AC56D6">
      <w:pPr>
        <w:pStyle w:val="SntesisAnaltica"/>
      </w:pPr>
    </w:p>
    <w:p w:rsidR="00AC56D6" w:rsidRDefault="00AC56D6" w:rsidP="00AC56D6">
      <w:pPr>
        <w:pStyle w:val="Extracto"/>
      </w:pPr>
      <w:r>
        <w:t>1.</w:t>
      </w:r>
      <w:r>
        <w:tab/>
        <w:t>El diseño del sistema de asesoramiento constituye el ejercicio de una competencia exclusiva del Estado en materia de legislación laboral, pues concierne a la regulación de una concreta obligación empresarial en el ámbito de la relación laboral con la consiguiente atribución de correlativos derechos a los trabajadores y, en consecuencia, la determinación del sistema está comprendido dentro de las competencias normativas del Estado en virtud art. 149.1.7 CE [FJ 4].</w:t>
      </w:r>
    </w:p>
    <w:p w:rsidR="00AC56D6" w:rsidRDefault="00AC56D6" w:rsidP="00AC56D6">
      <w:pPr>
        <w:pStyle w:val="Extracto"/>
      </w:pPr>
    </w:p>
    <w:p w:rsidR="00AC56D6" w:rsidRDefault="00AC56D6" w:rsidP="00AC56D6">
      <w:pPr>
        <w:pStyle w:val="Extracto"/>
      </w:pPr>
      <w:r>
        <w:t>2.</w:t>
      </w:r>
      <w:r>
        <w:tab/>
        <w:t>El asesoramiento técnico a empresas en materia de seguridad y salud en el trabajo previsto en la nueva redacción de la Ley de prevención de riesgos laborales, no puede considerarse lesivo de las competencias de ejecución que corresponda a las Comunidades Autónomas, ya que la realización de estas funciones no tienen un carácter excluyente de las funciones de análoga naturaleza y alcance que puedan ostentar las Comunidades Autónomas en esta materia en virtud de sus competencias ejecutivas [FJ 4].</w:t>
      </w:r>
    </w:p>
    <w:p w:rsidR="00AC56D6" w:rsidRDefault="00AC56D6" w:rsidP="00AC56D6">
      <w:pPr>
        <w:pStyle w:val="Extracto"/>
      </w:pPr>
    </w:p>
    <w:p w:rsidR="00AC56D6" w:rsidRDefault="00AC56D6" w:rsidP="00AC56D6">
      <w:pPr>
        <w:pStyle w:val="Extracto"/>
      </w:pPr>
      <w:r>
        <w:t>3.</w:t>
      </w:r>
      <w:r>
        <w:tab/>
        <w:t>La utilización del sistema puesto en marcha por los órganos estatales para el asesoramiento técnico en materia de seguridad y salud en el trabajo a las empresas de menos de 25 trabajadores, al no tener otro objeto que prestar la actividad de asesoramiento —el cual no es obligatorio para estas empresas, ni este servicio determina la realización de actos administrativos de gestión en esta materia—, la prestación de este servicio no puede menoscabar las competencias que en materia de ejecución de la legislación laboral han asumido las Comunidades Autónomas (SSTC 95/2013, 112/2014) [FJ 4].</w:t>
      </w:r>
    </w:p>
    <w:p w:rsidR="00AC56D6" w:rsidRDefault="00AC56D6" w:rsidP="00AC56D6">
      <w:pPr>
        <w:pStyle w:val="Extracto"/>
      </w:pPr>
    </w:p>
    <w:p w:rsidR="00AC56D6" w:rsidRDefault="00AC56D6" w:rsidP="00AC56D6">
      <w:pPr>
        <w:pStyle w:val="Extracto"/>
      </w:pPr>
      <w:r>
        <w:t>4.</w:t>
      </w:r>
      <w:r>
        <w:tab/>
        <w:t>Doctrina sobre la competencia exclusiva del Estado en materia de legislación laboral, dentro de la que se incluye la relativa a la seguridad e higiene en el trabajo (SSTC 360/1993, 195/1996)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 xml:space="preserve">El Pleno del Tribunal Constitucional, compuesto por don Francisco Pérez de los Cobos Orihuel, Presidente, doña Adela Asua Batarrita, doña Encarnación Roca Trías, don Andrés Ollero Tassara, don Fernando Valdés Dal-Ré, don Juan José González Rivas, don Santiago </w:t>
      </w:r>
      <w:r>
        <w:lastRenderedPageBreak/>
        <w:t>Martínez-Vares García, don Juan Antonio Xiol Ríos, don Pedro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inconstitucionalidad núm. 7473-2013, interpuesto por el Gobierno de la Generalitat de Cataluña, contra el art. 39.2 de la Ley 14/2013, de 27 de septiembre, de apoyo a los emprendedores y su internacionalización, por el que se añade una disposición adicional decimoséptima a la Ley 31/1995, de 8 de noviembre, de prevención de riesgos laborales. Ha comparecido y formulado alegaciones el Abogado del Estado. Ha sido Ponente el Magistrado don Juan Antonio Xiol Ríos,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presentado en el Registro General de este Tribunal Constitucional el día 26 de diciembre de 2013, el Abogado de la Generalitat de Cataluña, en nombre y defensa de su Gobierno, interpuso recurso de inconstitucionalidad contra el art. 39.2 de la Ley 14/2013, de 27 de septiembre, de apoyo a los emprendedores y su internacionalización, por el que se añade una disposición adicional decimoséptima a la Ley 31/1995, de 8 de noviembre, de prevención de riesgos laborales.</w:t>
      </w:r>
    </w:p>
    <w:p w:rsidR="00AC56D6" w:rsidRDefault="00AC56D6" w:rsidP="00AC56D6">
      <w:pPr>
        <w:pStyle w:val="TextoNormal"/>
      </w:pPr>
    </w:p>
    <w:p w:rsidR="00AC56D6" w:rsidRDefault="00AC56D6" w:rsidP="00AC56D6">
      <w:pPr>
        <w:pStyle w:val="TextoNormal"/>
      </w:pPr>
      <w:r w:rsidRPr="00AC56D6">
        <w:rPr>
          <w:rStyle w:val="NumeroAFNegritaCaracter"/>
        </w:rPr>
        <w:t>2</w:t>
      </w:r>
      <w:r>
        <w:t>. Los motivos del recurso de inconstitucionalidad interpuesto por el Gobierno de la Generalitat de Cataluña son los que, sucintamente, se recogen a continuación:</w:t>
      </w:r>
    </w:p>
    <w:p w:rsidR="00AC56D6" w:rsidRDefault="00AC56D6" w:rsidP="00AC56D6">
      <w:pPr>
        <w:pStyle w:val="TextoNormal"/>
      </w:pPr>
    </w:p>
    <w:p w:rsidR="00AC56D6" w:rsidRDefault="00AC56D6" w:rsidP="00AC56D6">
      <w:pPr>
        <w:pStyle w:val="TextoNormal"/>
      </w:pPr>
      <w:r>
        <w:t>a) El escrito de interposición del recurso comienza señalando que se limita, exclusivamente, a cuestionar el apartado 2 del art. 39 de la Ley 14/2013, de 27 de septiembre, de apoyo a los emprendedores y su internacionalización, precepto incluido en el título IV, capítulo I de dicha Ley, relativo a la simplificación de las cargas administrativas, por el que se añade a la Ley 31/1995, de 8 de noviembre, de prevención de riesgos laborales, una nueva disposición adicional decimoséptima, relativa al asesoramiento técnico a las empresas de hasta 25 trabajadores. Esta disposición, señala el Abogado de la Generalitat de Cataluña, contiene un mandato indistinto, al Ministerio de Empleo y Seguridad Social y al Instituto Nacional de Seguridad e Higiene en el Trabajo, para que, en colaboración con las Comunidades Autónomas y los agentes sociales, presten a las empresas de hasta 25 trabajadores, asesoramiento técnico específico en materia de seguridad y salud en el trabajo y para que, a tal efecto, tales órganos estatales lleven a cabo el diseño y la puesta en marcha de un sistema operativo que facilite a los empresarios la organización de las actividades preventivas y el cumplimiento efectivo de sus obligaciones preventivas, de forma simplificada.</w:t>
      </w:r>
    </w:p>
    <w:p w:rsidR="00AC56D6" w:rsidRDefault="00AC56D6" w:rsidP="00AC56D6">
      <w:pPr>
        <w:pStyle w:val="TextoNormal"/>
      </w:pPr>
    </w:p>
    <w:p w:rsidR="00AC56D6" w:rsidRDefault="00AC56D6" w:rsidP="00AC56D6">
      <w:pPr>
        <w:pStyle w:val="TextoNormal"/>
      </w:pPr>
      <w:r>
        <w:lastRenderedPageBreak/>
        <w:t>Añade que según el último párrafo de la disposición adicional novena de la Ley 14/2013, los artículos que, como el art. 39.2 que se impugna, constituyan modificación de normas vigentes (en este caso, por adición de una nueva disposición adicional decimoséptima a la Ley de prevención de riesgos laborales), deben considerarse dictadas al amparo del título competencial que figure en las normas objeto de modificación. Por ello, afirma que, en la medida en que según su disposición adicional tercera, la Ley de prevención de riesgos laborales constituye legislación laboral dictada al amparo del art. 149.1.7 CE, hay que concluir que el art. 39.2 de la Ley 14/2013 está amparado en el art. 1491.1.7 CE, que confiere al Estado la competencia exclusiva sobre legislación laboral, sin perjuicio de su ejecución por los órganos de las Comunidades Autónomas.</w:t>
      </w:r>
    </w:p>
    <w:p w:rsidR="00AC56D6" w:rsidRDefault="00AC56D6" w:rsidP="00AC56D6">
      <w:pPr>
        <w:pStyle w:val="TextoNormal"/>
      </w:pPr>
    </w:p>
    <w:p w:rsidR="00AC56D6" w:rsidRDefault="00AC56D6" w:rsidP="00AC56D6">
      <w:pPr>
        <w:pStyle w:val="TextoNormal"/>
      </w:pPr>
      <w:r>
        <w:t xml:space="preserve">Sin embargo, a juicio del Gobierno de la Generalitat de Cataluña, tanto la prestación de un servicio de asesoramiento, como la creación de un sistema operativo que facilite a los empresarios la implantación de las medidas preventivas y el cumplimiento de sus obligaciones preventivas de forma simplificada, que la nueva disposición adicional decimoséptima de la Ley de prevención de riesgos laborales atribuye a órganos estatales, constituyen, materialmente, actividades de ejecución de la legislación laboral, para cuya realización el Estado carece de competencia </w:t>
      </w:r>
      <w:r w:rsidRPr="00AC56D6">
        <w:rPr>
          <w:i/>
        </w:rPr>
        <w:t>ex</w:t>
      </w:r>
      <w:r>
        <w:t xml:space="preserve"> art. 149.1.7 CE, correspondiendo por el contrario a la Generalitat de Cataluña llevar a cabo las referidas actividades, conforme a lo dispuesto en el último inciso del citado art. 149.1.7 CE y en el art. 170.1 g) del Estatuto de Autonomía de Cataluña (EAC) según el cual la Generalitat de Cataluña ostenta la competencia ejecutiva en materia de trabajo y relaciones laborales, que incluye, en todo caso, la prevención de los riesgos laborales y la seguridad y salud en el trabajo. De ahí que el Gobierno de la Generalitat de Cataluña estima que el art. 39.2 de la Ley 4/2013, al añadir una nueva disposición adicional a la Ley de prevención de riesgos laborales que atribuye a órganos estatales el ejercicio de funciones ejecutivas de competencia autonómica, incurre en exceso competencial y es inconstitucional por vulneración del orden constitucional de competencias.</w:t>
      </w:r>
    </w:p>
    <w:p w:rsidR="00AC56D6" w:rsidRDefault="00AC56D6" w:rsidP="00AC56D6">
      <w:pPr>
        <w:pStyle w:val="TextoNormal"/>
      </w:pPr>
    </w:p>
    <w:p w:rsidR="00AC56D6" w:rsidRDefault="00AC56D6" w:rsidP="00AC56D6">
      <w:pPr>
        <w:pStyle w:val="TextoNormal"/>
      </w:pPr>
      <w:r>
        <w:t>b) A continuación, el Abogado de la Generalitat de Cataluña, sentado que el precepto controvertido se encuadra en la materia laboral por las razones anteriormente señaladas, hace alusión al reparto constitucional de competencias en materia laboral y de prevención de riesgos laborales.</w:t>
      </w:r>
    </w:p>
    <w:p w:rsidR="00AC56D6" w:rsidRDefault="00AC56D6" w:rsidP="00AC56D6">
      <w:pPr>
        <w:pStyle w:val="TextoNormal"/>
      </w:pPr>
    </w:p>
    <w:p w:rsidR="00AC56D6" w:rsidRDefault="00AC56D6" w:rsidP="00AC56D6">
      <w:pPr>
        <w:pStyle w:val="TextoNormal"/>
      </w:pPr>
      <w:r>
        <w:t>Tras recordar la doctrina constitucional sobre la distribución de competencias en materia laboral, recuerda que la jurisprudencia constitucional ha destacado que la exclusividad de la competencia estatal sobre la normativa laboral obliga a una apreciación muy restrictiva de las facultades ejecutivas que excepcionalmente puede retener el Estado, en los casos en que la actividad de ejecución transcienda el ámbito de una Comunidad Autónoma y no sea posible garantizar la ejecución autonómica mediante la fijación de puntos de conexión o a través de mecanismos de cooperación o coordinación.</w:t>
      </w:r>
    </w:p>
    <w:p w:rsidR="00AC56D6" w:rsidRDefault="00AC56D6" w:rsidP="00AC56D6">
      <w:pPr>
        <w:pStyle w:val="TextoNormal"/>
      </w:pPr>
    </w:p>
    <w:p w:rsidR="00AC56D6" w:rsidRDefault="00AC56D6" w:rsidP="00AC56D6">
      <w:pPr>
        <w:pStyle w:val="TextoNormal"/>
      </w:pPr>
      <w:r>
        <w:t>Señala que por lo que se refiere a la materia prevención de riesgos laborales, la STC 211/2012, de 14 de noviembre, FJ 4 a), define como funciones ejecutivas en materia laboral las que incluye el art. 7 de la Ley de prevención de riesgos laborales relativas a la “promoción de la prevención, asesoramiento técnico, vigilancia y control del cumplimiento por los sujetos comprendidos en su ámbito de aplicación de la normativa de prevención de riesgos laborales, y sanción de las infracciones a dicha normativa”.</w:t>
      </w:r>
    </w:p>
    <w:p w:rsidR="00AC56D6" w:rsidRDefault="00AC56D6" w:rsidP="00AC56D6">
      <w:pPr>
        <w:pStyle w:val="TextoNormal"/>
      </w:pPr>
    </w:p>
    <w:p w:rsidR="00AC56D6" w:rsidRDefault="00AC56D6" w:rsidP="00AC56D6">
      <w:pPr>
        <w:pStyle w:val="TextoNormal"/>
      </w:pPr>
      <w:r>
        <w:lastRenderedPageBreak/>
        <w:t xml:space="preserve">En definitiva, conforme a la interpretación formulada por la jurisprudencia constitucional, considera que el reparto constitucional y estatutario de competencias en materia laboral parte de una nítida distinción entre, de una parte, la competencia normativa para dictar disposiciones legales </w:t>
      </w:r>
      <w:r w:rsidRPr="00AC56D6">
        <w:rPr>
          <w:i/>
        </w:rPr>
        <w:t>ad extra</w:t>
      </w:r>
      <w:r>
        <w:t>, mediante las que se innova el ordenamiento jurídico, que el art. 149.1.7 CE reserva en exclusiva al Estado, ya que de esa forma se garantiza la unidad del ordenamiento laboral y la igualdad de derechos y deberes laborales de los ciudadanos y, de otra parte, la competencia de ejecución de la legislación laboral, que conforme al citado art. 149.1.7 han asumido estatutariamente las Comunidades Autónomas, entre ellas Cataluña, mediante el art. 170.1 EAC, comprendiendo dicha competencia de ejecución la potestad reglamentaria para aprobar reglamentos organizativos, así como el conjunto de actuaciones precisas para la puesta en práctica de la legislación laboral, incluidas las potestades de intervención administrativa, certificación y homologación, inspección, sanción y gestión económica y financiera. Siendo en todo caso procedente una interpretación restrictiva de los supuestos en que excepcionalmente la doctrina constitucional admite la retención estatal de funciones ejecutivas de competencia autonómica, habida cuenta de que la exclusividad normativa del Estado en materia laboral ya garantiza suficientemente la unidad del sistema de relaciones laborales.</w:t>
      </w:r>
    </w:p>
    <w:p w:rsidR="00AC56D6" w:rsidRDefault="00AC56D6" w:rsidP="00AC56D6">
      <w:pPr>
        <w:pStyle w:val="TextoNormal"/>
      </w:pPr>
    </w:p>
    <w:p w:rsidR="00AC56D6" w:rsidRDefault="00AC56D6" w:rsidP="00AC56D6">
      <w:pPr>
        <w:pStyle w:val="TextoNormal"/>
      </w:pPr>
      <w:r>
        <w:t>c) Por lo que se refiere ya a la inconstitucionalidad del art. 39.2 de la Ley 14/2013, recuerda que el art. 40.2 CE no exige, como otros preceptos de este mismo capítulo tercero, una actuación directa de los poderes públicos, sino que la acción que impone a los poderes públicos de velar por la seguridad e higiene en el trabajo, supone, según ha destacado la doctrina, una actuación indirecta, en la que media la actuación de terceros empresarios. Por otra parte, el mandato que formula el citado precepto constitucional prescribe una acción preventiva, no meramente reparadora, puesto que impone que el desarrollo de la actividad laboral se lleve a cabo en condiciones de seguridad y de higiene, es decir, que se realice en un entorno libre de riesgos para la salud de los trabajadores. Al mandato constitucional de velar por la seguridad e higiene en el trabajo hay que añadir las obligaciones de derecho comunitario derivadas de la integración de España en la Unión Europea.</w:t>
      </w:r>
    </w:p>
    <w:p w:rsidR="00AC56D6" w:rsidRDefault="00AC56D6" w:rsidP="00AC56D6">
      <w:pPr>
        <w:pStyle w:val="TextoNormal"/>
      </w:pPr>
    </w:p>
    <w:p w:rsidR="00AC56D6" w:rsidRDefault="00AC56D6" w:rsidP="00AC56D6">
      <w:pPr>
        <w:pStyle w:val="TextoNormal"/>
      </w:pPr>
      <w:r>
        <w:t xml:space="preserve">Recuerda que el sistema de prevención de la salud laboral a cargo de la empresa establecido por la Ley de prevención de riesgos laborales se basa en tres elementos, por una parte el plan de prevención de los riesgos laborales, que debe integrarse en el sistema general de gestión de la empresa y, por otra parte y como instrumentos para la gestión y aplicación de dicho plan de prevención de riesgos, la evaluación de riesgos laborales y la planificación de la actividad preventiva. Ello no obstante, el art. 16.2 </w:t>
      </w:r>
      <w:r w:rsidRPr="00AC56D6">
        <w:rPr>
          <w:i/>
        </w:rPr>
        <w:t>bis</w:t>
      </w:r>
      <w:r>
        <w:t xml:space="preserve"> de la Ley de prevención de riesgos laborales permite que en atención al número de trabajadores y a la naturaleza y peligrosidad de las actividades realizadas y en los términos que se determinen reglamentariamente, las empresas pueden formular estos tres documentos, esto es, el plan de prevención de riesgos laborales, la evaluación de riesgos y la planificación de la actividad preventiva, de forma simplificada, siempre que ello no suponga una reducción del nivel de protección de la seguridad y salud de los trabajadores. Al amparo de la referida remisión normativa, indica que el apartado 4 del art. 2 del Real Decreto 39/2007, de 17 de enero, por el que se aprueba el Reglamento de los servicios de prevención, ha desarrollado los términos en los que las pequeñas empresas pueden proceder al cumplimiento simplificado de sus obligaciones de prevención. Así, de acuerdo con dicho desarrollo reglamentario, el cumplimiento simplificado de las obligaciones de prevención laboral, permite que las pequeñas empresas fusionen en un único documento, de extensión reducida, el plan de prevención de riesgos laborales, la </w:t>
      </w:r>
      <w:r>
        <w:lastRenderedPageBreak/>
        <w:t>evaluación de riesgos y la planificación de la actividad preventiva. Dicho documento único debe contener medidas operativas para integrar la prevención en la actividad de la empresa, determinar los puestos con riesgos y prever medidas concretas para evitarlos o reducirlos.</w:t>
      </w:r>
    </w:p>
    <w:p w:rsidR="00AC56D6" w:rsidRDefault="00AC56D6" w:rsidP="00AC56D6">
      <w:pPr>
        <w:pStyle w:val="TextoNormal"/>
      </w:pPr>
    </w:p>
    <w:p w:rsidR="00AC56D6" w:rsidRDefault="00AC56D6" w:rsidP="00AC56D6">
      <w:pPr>
        <w:pStyle w:val="TextoNormal"/>
      </w:pPr>
      <w:r>
        <w:t>De este modo, afirma que el legislador estatal ha sido particularmente sensible a la necesidad de asegurar que las pequeñas empresas cumplan sus obligaciones de prevención laboral. Sin embargo, a su juicio, la disposición adicional decimoséptima que el art. 39.2 de la Ley 4/2013 ha añadido a la Ley de prevención de riesgos laborales, no se ha limitado a establecer, en un plano estrictamente normativo, al amparo de su competencia exclusiva sobre legislación laboral, unas determinadas directrices técnicas y de coordinación para asegurar los fines unitarios del servicio público de asesoramiento a las pequeñas empresas que deben prestar las Comunidades Autónomas competentes para la ejecución de la normativa laboral estatal, sino que ha asignado directamente las facultades de organización del servicio de asesoramiento y el diseño de un sistema operativo para su prestación, a dos órganos estatales, el Ministerio de Empleo y Seguridad Social y el Instituto Nacional de Seguridad e Higiene en el Trabajo.</w:t>
      </w:r>
    </w:p>
    <w:p w:rsidR="00AC56D6" w:rsidRDefault="00AC56D6" w:rsidP="00AC56D6">
      <w:pPr>
        <w:pStyle w:val="TextoNormal"/>
      </w:pPr>
    </w:p>
    <w:p w:rsidR="00AC56D6" w:rsidRDefault="00AC56D6" w:rsidP="00AC56D6">
      <w:pPr>
        <w:pStyle w:val="TextoNormal"/>
      </w:pPr>
      <w:r>
        <w:t>Pues bien, para la Generalitat de Cataluña el diseño de un sistema operativo para prestar el servicio de asesoramiento a las pequeñas empresas en materia de riesgos laborales, como la propia prestación del servicio de asesoramiento técnico a las pequeñas empresas sobre el cumplimiento de sus obligaciones en materia de prevención de riesgos laborales, constituyen actuaciones aplicativas de la normativa estatal en materia laboral, que forman parte de la competencia ejecutiva que el art. 170.1 g) EAC atribuye a la Generalitat de Cataluña en materia de trabajo y relaciones laborales, que incluye, en todo caso, la prevención de los riesgos laborales y la seguridad y salud en el trabajo.</w:t>
      </w:r>
    </w:p>
    <w:p w:rsidR="00AC56D6" w:rsidRDefault="00AC56D6" w:rsidP="00AC56D6">
      <w:pPr>
        <w:pStyle w:val="TextoNormal"/>
      </w:pPr>
    </w:p>
    <w:p w:rsidR="00AC56D6" w:rsidRDefault="00AC56D6" w:rsidP="00AC56D6">
      <w:pPr>
        <w:pStyle w:val="TextoNormal"/>
      </w:pPr>
      <w:r>
        <w:t>Añade que la nueva disposición adicional decimoséptima de la Ley de prevención de riesgos laborales incorporada por el art. 39.2 de la Ley 14/2013 no se limita a habilitar al Ministerio de Empleo y Seguridad Social y al Instituto Nacional de Seguridad e Higiene en el Trabajo para que lleven a cabo meras acciones puntuales y esporádicas de asesoramiento, sino que les encomienda la prestación de un verdadero servicio público de asesoramiento técnico a las pymes en materia de prevención de riesgos laborales, que como tal servicio público requiere disponer de una estructura organizativa adecuada.</w:t>
      </w:r>
    </w:p>
    <w:p w:rsidR="00AC56D6" w:rsidRDefault="00AC56D6" w:rsidP="00AC56D6">
      <w:pPr>
        <w:pStyle w:val="TextoNormal"/>
      </w:pPr>
    </w:p>
    <w:p w:rsidR="00AC56D6" w:rsidRDefault="00AC56D6" w:rsidP="00AC56D6">
      <w:pPr>
        <w:pStyle w:val="TextoNormal"/>
      </w:pPr>
      <w:r>
        <w:t>Así, considera que la prestación de dicho servicio público de asesoramiento técnico debe sustentarse, como mínimo, en dos pilares. De una parte, la elaboración por parte de profesionales competentes, de una documentación técnica en formato de manuales, instrucciones, formularios, etc., en la que se plasmen las normas y directrices en materia de prevención de riesgos laborales establecidas por la Ley de prevención de riesgos laborales, el Reglamento de los servicios de prevención y los restantes reglamentos sectoriales de prevención de riesgos laborales, a través de la cual las pymes puedan conocer sus obligaciones en materia y cumplirlas de forma simplificada. Y de otra parte, requiere la implantación de un sistema operativo o plataforma material, probablemente electrónica, que permita a las pymes el acceso a los referidos manuales, instrucciones, formularios, etc., destinados a asesorarlos y a facilitarles el cumplimiento simplificado de sus obligaciones.</w:t>
      </w:r>
    </w:p>
    <w:p w:rsidR="00AC56D6" w:rsidRDefault="00AC56D6" w:rsidP="00AC56D6">
      <w:pPr>
        <w:pStyle w:val="TextoNormal"/>
      </w:pPr>
    </w:p>
    <w:p w:rsidR="00AC56D6" w:rsidRDefault="00AC56D6" w:rsidP="00AC56D6">
      <w:pPr>
        <w:pStyle w:val="TextoNormal"/>
      </w:pPr>
      <w:r>
        <w:t xml:space="preserve">Insiste en que el servicio público de asesoramiento técnico a las pymes exige comprometer un conjunto de medios materiales, personales y económicos para la creación de una </w:t>
      </w:r>
      <w:r>
        <w:lastRenderedPageBreak/>
        <w:t>estructura organizativa capaz de prestar dicho servicio, lo que sin duda constituye una actividad administrativa de ejecución de la normativa laboral. Carácter ejecutivo que así mismo le ha reconocido la STC 211/2012, de 14 de noviembre, en cuyo fundamento jurídico 4 a), se califica el asesoramiento técnico en materia de prevención de riesgos laborales al que se refiere el art. 7.1 b) de la Ley de prevención de riesgos laborales, como una función de ejecución de la legislación laboral.</w:t>
      </w:r>
    </w:p>
    <w:p w:rsidR="00AC56D6" w:rsidRDefault="00AC56D6" w:rsidP="00AC56D6">
      <w:pPr>
        <w:pStyle w:val="TextoNormal"/>
      </w:pPr>
    </w:p>
    <w:p w:rsidR="00AC56D6" w:rsidRDefault="00AC56D6" w:rsidP="00AC56D6">
      <w:pPr>
        <w:pStyle w:val="TextoNormal"/>
      </w:pPr>
      <w:r>
        <w:t>A todo lo anterior añade que este servicio público de asesoramiento técnico a las pymes para que se cumplan sus obligaciones en materia de prevención de riesgos laborales, se inserta en el deber de los poderes públicos de velar por las condiciones de trabajo y en esa medida forma parte indisociable de las funciones de control y vigilancia, de naturaleza ejecutiva, que el art. 7 de la Ley de prevención de riesgos laborales atribuye a la Administración laboral competente, o sea a la Generalitat de Cataluña.</w:t>
      </w:r>
    </w:p>
    <w:p w:rsidR="00AC56D6" w:rsidRDefault="00AC56D6" w:rsidP="00AC56D6">
      <w:pPr>
        <w:pStyle w:val="TextoNormal"/>
      </w:pPr>
    </w:p>
    <w:p w:rsidR="00AC56D6" w:rsidRDefault="00AC56D6" w:rsidP="00AC56D6">
      <w:pPr>
        <w:pStyle w:val="TextoNormal"/>
      </w:pPr>
      <w:r>
        <w:t>Señala que la actividad de asesoramiento a las pequeñas empresas en materia de prevención de riesgos incorporada por el art. 39.2 de la Ley 14/2013 a la Ley de prevención de riesgos laborales, carece de efectos supraterritoriales, y es claro que para alcanzar sus objetivos de facilitar a los empresarios el cumplimiento de sus obligaciones preventivas no es precisa una actuación centralizada, sino que es posible su fragmentación en los distintos territorios autonómicos, sin que de dicha compartimentación de la actividad se derive ningún menoscabo para la eficacia del servicio de asesoramiento a las pymes, antes al contrario su territorialización puede redundar en una mayor eficacia de la acción asesora, habida cuenta de que permite diseñar los programas de asesoramiento adecuados a las tipologías de las empresas y a las peculiaridades de los distintos sectores y ramas productivas presentes en cada una de las Comunidades Autónomas.</w:t>
      </w:r>
    </w:p>
    <w:p w:rsidR="00AC56D6" w:rsidRDefault="00AC56D6" w:rsidP="00AC56D6">
      <w:pPr>
        <w:pStyle w:val="TextoNormal"/>
      </w:pPr>
    </w:p>
    <w:p w:rsidR="00AC56D6" w:rsidRDefault="00AC56D6" w:rsidP="00AC56D6">
      <w:pPr>
        <w:pStyle w:val="TextoNormal"/>
      </w:pPr>
      <w:r>
        <w:t>Por último, indica que la alusión a la colaboración autonómica no sana la lesión competencial alegada, ya que se trata de una invocación a la colaboración con las Comunidades Autónomas meramente formal, dirigida, justamente, a eludir el presente reproche competencial, pero que no basta para negar la efectiva extralimitación competencial en que incurre la nueva disposición adicional decimoséptima de la Ley de prevención de riesgos laborales.</w:t>
      </w:r>
    </w:p>
    <w:p w:rsidR="00AC56D6" w:rsidRDefault="00AC56D6" w:rsidP="00AC56D6">
      <w:pPr>
        <w:pStyle w:val="TextoNormal"/>
      </w:pPr>
    </w:p>
    <w:p w:rsidR="00AC56D6" w:rsidRDefault="00AC56D6" w:rsidP="00AC56D6">
      <w:pPr>
        <w:pStyle w:val="TextoNormal"/>
      </w:pPr>
      <w:r w:rsidRPr="00AC56D6">
        <w:rPr>
          <w:rStyle w:val="NumeroAFNegritaCaracter"/>
        </w:rPr>
        <w:t>3</w:t>
      </w:r>
      <w:r>
        <w:t>. El Pleno, a propuesta de la Sección Primera, acordó, por providencia de 28 de enero de 2014, admitir a trámite el recurso y dar traslado de la demanda y documentos presentados, conforme establece el art. 34 de la Ley Orgánica del Tribunal Constitucional (LOTC), al Congreso de los Diputados y al Senado, así como a la Xunta de Galicia y al Parlamento de Galicia, por conducto de sus Presidentes, al objeto de que en el plazo de quince días pudieran personarse en el proceso y formular las alegaciones que estimaran convenientes. También se ordenó publicar la incoación del recurso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4</w:t>
      </w:r>
      <w:r>
        <w:t>. Por escrito registrado en el Tribunal el 3 de febrero de 2014, se personó el Abogado del Estado y solicitó prórroga del plazo concedido para la presentación del escrito de alegaciones.</w:t>
      </w:r>
    </w:p>
    <w:p w:rsidR="00AC56D6" w:rsidRDefault="00AC56D6" w:rsidP="00AC56D6">
      <w:pPr>
        <w:pStyle w:val="TextoNormal"/>
      </w:pPr>
    </w:p>
    <w:p w:rsidR="00AC56D6" w:rsidRDefault="00AC56D6" w:rsidP="00AC56D6">
      <w:pPr>
        <w:pStyle w:val="TextoNormal"/>
      </w:pPr>
      <w:r>
        <w:t>El Pleno del Tribunal acordó, por providencia de 4 de febrero de 2014, tener por personado al Abogado del Estado y concederle una prórroga en ocho días más del plazo concedido para realizar alegaciones.</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5</w:t>
      </w:r>
      <w:r>
        <w:t>. La Vicepresidenta Primera y Presidenta en funciones del Congreso de los Diputados, mediante escrito registrado el día 5 de febrero de 2014, comunicó que la Cámara se personaba en el procedimiento ofreciendo su colaboración a los efectos del art. 88.1 LOTC. Lo mismo hizo el Presidente del Senado por escrito registrado el 12 de febrero de 2014.</w:t>
      </w:r>
    </w:p>
    <w:p w:rsidR="00AC56D6" w:rsidRDefault="00AC56D6" w:rsidP="00AC56D6">
      <w:pPr>
        <w:pStyle w:val="TextoNormal"/>
      </w:pPr>
    </w:p>
    <w:p w:rsidR="00AC56D6" w:rsidRDefault="00AC56D6" w:rsidP="00AC56D6">
      <w:pPr>
        <w:pStyle w:val="TextoNormal"/>
      </w:pPr>
      <w:r w:rsidRPr="00AC56D6">
        <w:rPr>
          <w:rStyle w:val="NumeroAFNegritaCaracter"/>
        </w:rPr>
        <w:t>6</w:t>
      </w:r>
      <w:r>
        <w:t>. El Abogado del Estado se personó, mediante escrito de alegaciones registrado en el Tribunal el 4 de marzo de 2014, interesando la desestimación del recurso interpuesto por las razones que, resumidamente, se exponen a continuación:</w:t>
      </w:r>
    </w:p>
    <w:p w:rsidR="00AC56D6" w:rsidRDefault="00AC56D6" w:rsidP="00AC56D6">
      <w:pPr>
        <w:pStyle w:val="TextoNormal"/>
      </w:pPr>
    </w:p>
    <w:p w:rsidR="00AC56D6" w:rsidRDefault="00AC56D6" w:rsidP="00AC56D6">
      <w:pPr>
        <w:pStyle w:val="TextoNormal"/>
      </w:pPr>
      <w:r>
        <w:t>a) Comienza su escrito el Abogado del Estado recordando cuál es el objeto del recurso y la delimitación de competencias en materia de legislación laboral.</w:t>
      </w:r>
    </w:p>
    <w:p w:rsidR="00AC56D6" w:rsidRDefault="00AC56D6" w:rsidP="00AC56D6">
      <w:pPr>
        <w:pStyle w:val="TextoNormal"/>
      </w:pPr>
    </w:p>
    <w:p w:rsidR="00AC56D6" w:rsidRDefault="00AC56D6" w:rsidP="00AC56D6">
      <w:pPr>
        <w:pStyle w:val="TextoNormal"/>
      </w:pPr>
      <w:r>
        <w:t>Señala que la norma impugnada prevé de manera expresa la actuación del órgano estatal en colaboración con las Comunidades Autónomas, de cara al diseño y puesta en marcha de un sistema dirigido a facilitar institucionalmente a los empresarios el asesoramiento necesario para la organización de sus actividades de prevención de riesgos. En el ámbito material de competencias compartidas, en el plano del binomio legislación-ejecución, y a la vista de la jurisprudencia constitucional conforme a la cual la competencia legislativa atribuida al Estado incluye también el desarrollo reglamentario en cuanto que efectivamente competencia reguladora que sin salirse del marco de la norma con rango de ley formal, innova la realidad jurídica objeto de regulación, es una competencia que puede, por efecto de esa misma potestad ordenadora que toda normación comporta, determinar los instrumentos de cooperación, así como el alcance y eficacia de los mismos.</w:t>
      </w:r>
    </w:p>
    <w:p w:rsidR="00AC56D6" w:rsidRDefault="00AC56D6" w:rsidP="00AC56D6">
      <w:pPr>
        <w:pStyle w:val="TextoNormal"/>
      </w:pPr>
    </w:p>
    <w:p w:rsidR="00AC56D6" w:rsidRDefault="00AC56D6" w:rsidP="00AC56D6">
      <w:pPr>
        <w:pStyle w:val="TextoNormal"/>
      </w:pPr>
      <w:r>
        <w:t>A su juicio, si la legislación estatal ha predeterminado el medio específico de actuación coordinada con las Comunidades Autónomas, lo ha configurado en sus rasgos generales, es a dicho medio y con el alcance y eficacia previstos en la norma estatal al que habrá de estarse como cauce específico de actuación, como cauce de gestión de la concreta competencia compartida. Sin perjuicio, a la vez, de que en desarrollo de esa Ley estatal pueda el mismo Estado central concretar después por vía reglamentaria de ejecución el grado de participación y las pautas a las que habrá de acomodarse la actividad conjunta, de actuación coordinada, de los órganos competentes de ambas Administraciones territoriales.</w:t>
      </w:r>
    </w:p>
    <w:p w:rsidR="00AC56D6" w:rsidRDefault="00AC56D6" w:rsidP="00AC56D6">
      <w:pPr>
        <w:pStyle w:val="TextoNormal"/>
      </w:pPr>
    </w:p>
    <w:p w:rsidR="00AC56D6" w:rsidRDefault="00AC56D6" w:rsidP="00AC56D6">
      <w:pPr>
        <w:pStyle w:val="TextoNormal"/>
      </w:pPr>
      <w:r>
        <w:t>Indica que el artículo impugnado no sustrae competencias autonómicas de ejecución. Se trata de una norma que presuponiendo tanto la necesidad de una cierta uniformidad en la ejecución de la normativa básica estatal sobre prevención de riesgos laborales, competencia exclusiva del Estado, como la competencia misma de ejecución autonómica para llevar a cabo la aplicación de las medidas legisladas en el ámbito específico del territorio de la respectiva Comunidad Autónoma, y la necesidad de cohonestar ambas competencias en la práctica, prevé, en línea de lo que la jurisprudencia constitucional ha reconocido en el plano de las relaciones en que se mueve el ejercicio de competencia compartidas Estado-Comunidades Autónomas, la necesidad de actuar de manera coordinada.</w:t>
      </w:r>
    </w:p>
    <w:p w:rsidR="00AC56D6" w:rsidRDefault="00AC56D6" w:rsidP="00AC56D6">
      <w:pPr>
        <w:pStyle w:val="TextoNormal"/>
      </w:pPr>
    </w:p>
    <w:p w:rsidR="00AC56D6" w:rsidRDefault="00AC56D6" w:rsidP="00AC56D6">
      <w:pPr>
        <w:pStyle w:val="TextoNormal"/>
      </w:pPr>
      <w:r>
        <w:t xml:space="preserve">Añade que al prever la norma estatal un instrumento efectivo y determinante de la cooperación entre el Estado y las Comunidades Autónomas, instrumento que habrá que concretarse en la práctica tanto en cuanto a su forma, como a su alcance material o contenido al que las partes pueden llegar, dicha norma estatal no está vulnerando la Constitución por un supuesto desconocimiento que se le llegara a reprochar, de las competencias estatutarias de </w:t>
      </w:r>
      <w:r>
        <w:lastRenderedPageBreak/>
        <w:t>ejecución de la normativa laboral previstas en el Estatuto a favor de la Generalitat, y derivadas del propio título competencial establecido en el art. 149.1.7 CE.</w:t>
      </w:r>
    </w:p>
    <w:p w:rsidR="00AC56D6" w:rsidRDefault="00AC56D6" w:rsidP="00AC56D6">
      <w:pPr>
        <w:pStyle w:val="TextoNormal"/>
      </w:pPr>
    </w:p>
    <w:p w:rsidR="00AC56D6" w:rsidRDefault="00AC56D6" w:rsidP="00AC56D6">
      <w:pPr>
        <w:pStyle w:val="TextoNormal"/>
      </w:pPr>
      <w:r>
        <w:t>b) A continuación, el Abogado del Estado sostiene que la Ley de prevención de riesgos laborales es una ley informada por el principio de actuación coordinada entre las Administraciones públicas con competencia compartida en la materia. Así, señala que la Ley de prevención de riesgos laborales pone de manifiesto en su exposición de motivos que la misma “combina la necesidad de una actuación ordenada y formalizada de las actividades de prevención con el reconocimiento de la diversidad de situaciones a las que la Ley se dirige en cuanto a la magnitud, complejidad e intensidad de los riesgos inherentes a las mismas, otorgando un conjunto suficiente de posibilidades…para organizar de manera racional y flexible el desarrollo de la acción preventiva, garantizando en todo caso … la suficiencia del modelo de organización elegido.”. Asimismo, los arts. 5.5, 6 y 7 de la Ley de prevención de riesgos laborales son en sí mismos artículos que constantemente mencionan la necesidad de coordinación entre Administraciones, y de éstas con los agentes sociales.</w:t>
      </w:r>
    </w:p>
    <w:p w:rsidR="00AC56D6" w:rsidRDefault="00AC56D6" w:rsidP="00AC56D6">
      <w:pPr>
        <w:pStyle w:val="TextoNormal"/>
      </w:pPr>
    </w:p>
    <w:p w:rsidR="00AC56D6" w:rsidRDefault="00AC56D6" w:rsidP="00AC56D6">
      <w:pPr>
        <w:pStyle w:val="TextoNormal"/>
      </w:pPr>
      <w:r>
        <w:t>c) Como exponente de la doctrina constitucional acerca de la conveniencia en este concreto ámbito relativo a la aplicación de la legislación laboral, de arbitrar medios de actuación coordinada entre el Estado y las Comunidades Autónomas, menciona la STC 194/2011, de 13 de diciembre. Señala que en esta Sentencia el Tribunal Constitucional entendió que la fundamentación en la que el Estado se basaba para establecer un determinado punto de conexión para justificar la recuperación o retención de una exclusiva competencia de ejecución no era suficiente. Pero dicha prevención, a su juicio, se dirigía a la hipotética asunción de competencias ejecutivas por el Estado en exclusiva, esto es, sin margen de actuación coordinada, de toda la actividad administrativa de ejecución. Sin embargo, no se trata en este caso de que el Estado venga a justificar la retención de una competencia de ejecución en exclusiva, desplazando supuestamente la competencia a priori autonómica de ejecución, sino, precisamente, y atendiendo al criterio general, prever la regulación de un sistema de ejecución coordinada; de configurar, por el contrario, un sistema de participación de ambas Administraciones en la actividad de ejecución que el precepto impugnado prevé ciertamente, como necesario, para el establecimiento de un sistema de asesoramiento que facilite a los empresarios la implantación y puesta en funcionamiento de las medidas de seguridad laboral en régimen simplificado, tal como establece la norma estatal.</w:t>
      </w:r>
    </w:p>
    <w:p w:rsidR="00AC56D6" w:rsidRDefault="00AC56D6" w:rsidP="00AC56D6">
      <w:pPr>
        <w:pStyle w:val="TextoNormal"/>
      </w:pPr>
    </w:p>
    <w:p w:rsidR="00AC56D6" w:rsidRDefault="00AC56D6" w:rsidP="00AC56D6">
      <w:pPr>
        <w:pStyle w:val="TextoNormal"/>
      </w:pPr>
      <w:r>
        <w:t>Añade que lo que el artículo que introduce la nueva disposición adicional LPRL quiere asegurar es, como dice textualmente, “el cumplimiento efectivo de las obligaciones preventivas de forma simplificada”. Y es en función de dicho objetivo por lo que se ha regulado el establecimiento de un sistema dirigido a facilitar al empresario el asesoramiento oportuno y adecuado a tal fin.</w:t>
      </w:r>
    </w:p>
    <w:p w:rsidR="00AC56D6" w:rsidRDefault="00AC56D6" w:rsidP="00AC56D6">
      <w:pPr>
        <w:pStyle w:val="TextoNormal"/>
      </w:pPr>
    </w:p>
    <w:p w:rsidR="00AC56D6" w:rsidRDefault="00AC56D6" w:rsidP="00AC56D6">
      <w:pPr>
        <w:pStyle w:val="TextoNormal"/>
      </w:pPr>
      <w:r>
        <w:t>Hay que tener en cuenta, señala el Abogado del Estado, que la inclusión de una nueva disposición adicional que prevé este sistema de asesoramiento coordinado a las pymes en la Ley de prevención de riesgos laborales, se incorpora sistemáticamente en una norma que en su conjunto se halla orientada o infundida por criterios tendentes a favorecer la actuación coordinada entre las Administraciones públicas, y de estas con los agentes sociales, como instrumento eficaz para mejor lograr los objetivos de política legislativa que dicha Ley persigue.</w:t>
      </w:r>
    </w:p>
    <w:p w:rsidR="00AC56D6" w:rsidRDefault="00AC56D6" w:rsidP="00AC56D6">
      <w:pPr>
        <w:pStyle w:val="TextoNormal"/>
      </w:pPr>
    </w:p>
    <w:p w:rsidR="00AC56D6" w:rsidRDefault="00AC56D6" w:rsidP="00AC56D6">
      <w:pPr>
        <w:pStyle w:val="TextoNormal"/>
      </w:pPr>
      <w:r>
        <w:lastRenderedPageBreak/>
        <w:t>Son objetivos, a su entender, tendentes a lograr un efectiva y similar aplicación de la normativa estatal, en el ámbito específico de una materia cuya competencia de regulación, atribuida en exclusiva al Estado, es especialmente intensa, a la vista también de la dimensión de las empresas, las cuales cuentan con menos medios para formarse o para obtener información acerca de la aplicación de las medidas legales necesarias, y que bastando, por razón de esas dimensiones, el establecimiento de un sistema simplificado, lo que motiva la conveniencia de otorgar especial atención, hasta cierto punto al menos, a la uniformidad en los criterios de aplicación de las medidas legales a los casos concretos.</w:t>
      </w:r>
    </w:p>
    <w:p w:rsidR="00AC56D6" w:rsidRDefault="00AC56D6" w:rsidP="00AC56D6">
      <w:pPr>
        <w:pStyle w:val="TextoNormal"/>
      </w:pPr>
    </w:p>
    <w:p w:rsidR="00AC56D6" w:rsidRDefault="00AC56D6" w:rsidP="00AC56D6">
      <w:pPr>
        <w:pStyle w:val="TextoNormal"/>
      </w:pPr>
      <w:r>
        <w:t>d) Por último, señala el Abogado del Estado que con el objetivo de evitar los potenciales conflictos en la elaboración de los criterios de adaptación simplificada entre las Administraciones en la aplicación de las medidas legales, es por lo que, en aras de la unidad en la aplicación del sistema simplificado, resulta conveniente, o más conveniente, que sin hurtar competencia alguna a la Comunidad Autónoma correspondiente en cada caso, se arbitren sistemas de colaboración en este campo de la ejecución, en este subsector específico dentro de la regulación más general sobre las relaciones laborales.</w:t>
      </w:r>
    </w:p>
    <w:p w:rsidR="00AC56D6" w:rsidRDefault="00AC56D6" w:rsidP="00AC56D6">
      <w:pPr>
        <w:pStyle w:val="TextoNormal"/>
      </w:pPr>
    </w:p>
    <w:p w:rsidR="00AC56D6" w:rsidRDefault="00AC56D6" w:rsidP="00AC56D6">
      <w:pPr>
        <w:pStyle w:val="TextoNormal"/>
      </w:pPr>
      <w:r>
        <w:t>Considera que tanto la dimensión de las empresas a las que va dirigida la aplicación simplificada de la norma de prevención de riesgos, como el carácter de fuerte intensidad de la aplicación de la norma estatal en esta materia, constituyen de modo complementario el punto de conexión para el control de la uniformidad en la adaptación de la clase de medidas que la normativa estatal exige implementar.</w:t>
      </w:r>
    </w:p>
    <w:p w:rsidR="00AC56D6" w:rsidRDefault="00AC56D6" w:rsidP="00AC56D6">
      <w:pPr>
        <w:pStyle w:val="TextoNormal"/>
      </w:pPr>
    </w:p>
    <w:p w:rsidR="00AC56D6" w:rsidRDefault="00AC56D6" w:rsidP="00AC56D6">
      <w:pPr>
        <w:pStyle w:val="TextoNormal"/>
      </w:pPr>
      <w:r>
        <w:t>Ese punto de conexión justifica, a su juicio, la participación a través de mecanismos de cooperación con las Comunidades Autónomas por parte del órgano estatal competente en la materia, en la actividad de ejecución de la normativa. Punto de conexión que justifica esta participación coordinada; esto es, no como criterio suficiente para fundar la retención de la competencia de ejecución por el Estado de manera exclusiva, sino para la actuación siempre coordinada con las Comunidades Autónomas, además de, como prevé también la norma estatal, con los agentes sociales.</w:t>
      </w:r>
    </w:p>
    <w:p w:rsidR="00AC56D6" w:rsidRDefault="00AC56D6" w:rsidP="00AC56D6">
      <w:pPr>
        <w:pStyle w:val="TextoNormal"/>
      </w:pPr>
    </w:p>
    <w:p w:rsidR="00AC56D6" w:rsidRDefault="00AC56D6" w:rsidP="00AC56D6">
      <w:pPr>
        <w:pStyle w:val="TextoNormal"/>
      </w:pPr>
      <w:r>
        <w:t>Entiende en consecuencia el Abogado del Estado que el punto de conexión sí que viene a justificar con seguridad la intervención del órgano estatal en la actividad de ejecución para llevar a cabo esa actuación participativa, prevista, de ambas Administraciones territoriales, de modo coordinado, lo cual es precisamente lo que la norma impugnada ha venido a establecer.</w:t>
      </w:r>
    </w:p>
    <w:p w:rsidR="00AC56D6" w:rsidRDefault="00AC56D6" w:rsidP="00AC56D6">
      <w:pPr>
        <w:pStyle w:val="TextoNormal"/>
      </w:pPr>
    </w:p>
    <w:p w:rsidR="00AC56D6" w:rsidRDefault="00AC56D6" w:rsidP="00AC56D6">
      <w:pPr>
        <w:pStyle w:val="TextoNormal"/>
      </w:pPr>
      <w:r w:rsidRPr="00AC56D6">
        <w:rPr>
          <w:rStyle w:val="NumeroAFNegritaCaracter"/>
        </w:rPr>
        <w:t>7</w:t>
      </w:r>
      <w:r>
        <w:t>. Por providencia de 22 de septiembre de 2015 se señaló para deliberación y votación de la presente Sentencia el día 24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El presente recurso de inconstitucionalidad se interpone por el Gobierno de la Generalitat de Cataluña contra el art. 39.2 de la Ley 14/2013, de 27 de septiembre, de apoyo a los emprendedores y su internacionalización, por el que se añade una disposición adicional decimoséptima a la Ley 31/1995, de 8 de noviembre, de prevención de riesgos laborales. Para el Gobierno de la Generalitat de Cataluña el precepto impugnado, en la medida en que </w:t>
      </w:r>
      <w:r>
        <w:lastRenderedPageBreak/>
        <w:t>asigna al Ministerio de Empleo y Seguridad Social y al Instituto Nacional de Seguridad e Higiene en el Trabajo, la prestación del servicio de asesoramiento técnico a las pequeñas empresas sobre la prevención de riesgos laborales y el diseño, a tal efecto, del correspondiente sistema operativo, incurre en exceso competencial y lesiona la competencia ejecutiva en materia de prevención de riesgos laborales que el art. 170.1 g) del Estatuto de Autonomía de Cataluña (EAC) atribuye a la Generalitat de Cataluña.</w:t>
      </w:r>
    </w:p>
    <w:p w:rsidR="00AC56D6" w:rsidRDefault="00AC56D6" w:rsidP="00AC56D6">
      <w:pPr>
        <w:pStyle w:val="TextoNormal"/>
      </w:pPr>
    </w:p>
    <w:p w:rsidR="00AC56D6" w:rsidRDefault="00AC56D6" w:rsidP="00AC56D6">
      <w:pPr>
        <w:pStyle w:val="TextoNormal"/>
      </w:pPr>
      <w:r>
        <w:t>El Abogado del Estado solicita la desestimación del recurso de inconstitucionalidad. A su juicio, la norma no sustrae competencias autonómicas de ejecución. Se trata de una norma que presuponiendo tanto la necesidad de una cierta uniformidad en la ejecución de la normativa básica estatal sobre prevención de riesgos laborales, como la competencia misma de ejecución autonómica para llevar a cabo la aplicación de las medidas legisladas en el ámbito específico del territorio de la respectiva Comunidad Autónoma, prevé la necesidad de actuar de forma coordinada. Afirma que la norma estatal prevé un instrumento efectivo y determinante de la cooperación entre el Estado y las Comunidades Autónomas, instrumento que habrá que concretarse en la práctica tanto en cuanto a su forma como a su alcance material o contenido al que las partes puedan llegar.</w:t>
      </w:r>
    </w:p>
    <w:p w:rsidR="00AC56D6" w:rsidRDefault="00AC56D6" w:rsidP="00AC56D6">
      <w:pPr>
        <w:pStyle w:val="TextoNormal"/>
      </w:pPr>
    </w:p>
    <w:p w:rsidR="00AC56D6" w:rsidRDefault="00AC56D6" w:rsidP="00AC56D6">
      <w:pPr>
        <w:pStyle w:val="TextoNormal"/>
      </w:pPr>
      <w:r w:rsidRPr="00AC56D6">
        <w:rPr>
          <w:rStyle w:val="NumeroAFNegritaCaracter"/>
        </w:rPr>
        <w:t>2</w:t>
      </w:r>
      <w:r>
        <w:t>. La Ley 14/2013, de 27 de septiembre, de apoyo a los emprendedores y su internacionalización, tiene por objeto, según señala su artículo 1, “apoyar al emprendedor y la actividad empresarial, favorecer su desarrollo, crecimiento e internacionalización y fomentar la cultura emprendedora y un entorno favorable a la actividad económica, tanto en los momentos iniciales a comenzar la actividad, como en su posterior desarrollo, crecimiento e internacionalización”. Con esta finalidad la Ley introduce diversas medidas de apoyo a la iniciativa emprendedora, así como también apoyos fiscales y en materia de Seguridad Social, apoyos a la financiación, al crecimiento y desarrollo de los proyectos empresariales y a la internacionalización de la economía española. En concreto, el título IV —“Apoyo al crecimiento y desarrollo de los proyectos empresariales”— incluye distintas medidas para fomentar el crecimiento empresarial. Entre ellas, en el capítulo I —“Simplificación de cargas administrativas”— se modifica la Ley de prevención de riesgos laborales con la finalidad de ampliar los supuestos en que las pymes podrán asumir directamente la prevención de riesgos laborales, en caso de empresarios con un único centro de trabajo y hasta veinticinco trabajadores.</w:t>
      </w:r>
    </w:p>
    <w:p w:rsidR="00AC56D6" w:rsidRDefault="00AC56D6" w:rsidP="00AC56D6">
      <w:pPr>
        <w:pStyle w:val="TextoNormal"/>
      </w:pPr>
    </w:p>
    <w:p w:rsidR="00AC56D6" w:rsidRDefault="00AC56D6" w:rsidP="00AC56D6">
      <w:pPr>
        <w:pStyle w:val="TextoNormal"/>
      </w:pPr>
      <w:r>
        <w:t>Así, en las empresas de hasta diez trabajadores, el empresario podrá asumir personalmente la prevención de riesgos laborales, sin tener que designar uno o varios trabajadores para ocuparse de dicha actividad, o constituir un servicio de prevención o concertar dicho servicio con una entidad especializada ajena a la empresa, siempre que desarrolle de forma habitual su actividad en el centro de trabajo y tenga la capacidad necesaria, en función de los riesgos a que estén expuestos los trabajadores y la peligrosidad de las actividades. La misma posibilidad se reconoce al empresario que, cumpliendo tales requisitos, ocupe hasta 25 trabajadores, siempre y cuando la empresa disponga de un único centro de trabajo.</w:t>
      </w:r>
    </w:p>
    <w:p w:rsidR="00AC56D6" w:rsidRDefault="00AC56D6" w:rsidP="00AC56D6">
      <w:pPr>
        <w:pStyle w:val="TextoNormal"/>
      </w:pPr>
    </w:p>
    <w:p w:rsidR="00AC56D6" w:rsidRDefault="00AC56D6" w:rsidP="00AC56D6">
      <w:pPr>
        <w:pStyle w:val="TextoNormal"/>
      </w:pPr>
      <w:r>
        <w:t>Como consecuencia de esta ampliación de los supuestos en los que los empresarios pueden asumir directamente la prevención de riesgos laborales en la empresa, el art. 39. Dos de la Ley 14/2013, añade también una nueva disposición adicional a la Ley de prevención de riesgos laborales con la siguiente redacción:</w:t>
      </w:r>
    </w:p>
    <w:p w:rsidR="00AC56D6" w:rsidRDefault="00AC56D6" w:rsidP="00AC56D6">
      <w:pPr>
        <w:pStyle w:val="TextoNormal"/>
      </w:pPr>
    </w:p>
    <w:p w:rsidR="00AC56D6" w:rsidRDefault="00AC56D6" w:rsidP="00AC56D6">
      <w:pPr>
        <w:pStyle w:val="TextoNormal"/>
      </w:pPr>
      <w:r>
        <w:lastRenderedPageBreak/>
        <w:t>“Disposición adicional decimoséptima Asesoramiento técnico a las empresas de hasta veinticinco trabajadores.</w:t>
      </w:r>
    </w:p>
    <w:p w:rsidR="00AC56D6" w:rsidRDefault="00AC56D6" w:rsidP="00AC56D6">
      <w:pPr>
        <w:pStyle w:val="TextoNormal"/>
      </w:pPr>
    </w:p>
    <w:p w:rsidR="00AC56D6" w:rsidRDefault="00AC56D6" w:rsidP="00AC56D6">
      <w:pPr>
        <w:pStyle w:val="TextoNormal"/>
      </w:pPr>
      <w:r>
        <w:t>En cumplimiento del apartado 5 del artículo 5 y de los artículos 7 y 8 de esta Ley, el Ministerio de Empleo y Seguridad Social y el Instituto Nacional de Seguridad e Higiene en el Trabajo, en colaboración con las Comunidades Autónomas y los agentes sociales, prestarán un asesoramiento técnico específico en materia de seguridad y salud en el trabajo a las empresas de hasta veinticinco trabajadores.</w:t>
      </w:r>
    </w:p>
    <w:p w:rsidR="00AC56D6" w:rsidRDefault="00AC56D6" w:rsidP="00AC56D6">
      <w:pPr>
        <w:pStyle w:val="TextoNormal"/>
      </w:pPr>
    </w:p>
    <w:p w:rsidR="00AC56D6" w:rsidRDefault="00AC56D6" w:rsidP="00AC56D6">
      <w:pPr>
        <w:pStyle w:val="TextoNormal"/>
      </w:pPr>
      <w:r>
        <w:t>Esta actuación consistirá en el diseño y puesta en marcha de un sistema dirigido a facilitar al empresario el asesoramiento necesario para la organización de sus actividades preventivas, impulsando el cumplimiento efectivo de las obligaciones preventivas de forma simplificada.”</w:t>
      </w:r>
    </w:p>
    <w:p w:rsidR="00AC56D6" w:rsidRDefault="00AC56D6" w:rsidP="00AC56D6">
      <w:pPr>
        <w:pStyle w:val="TextoNormal"/>
      </w:pPr>
    </w:p>
    <w:p w:rsidR="00AC56D6" w:rsidRDefault="00AC56D6" w:rsidP="00AC56D6">
      <w:pPr>
        <w:pStyle w:val="TextoNormal"/>
      </w:pPr>
      <w:r>
        <w:t>Se trata, por tanto, de asesorar técnicamente a las empresas de menos de 25 trabajadores que opten por organizar sus propias actividades preventivas por cumplir los requisitos previstos legalmente para ello. Así, según el art. 5.5 de la Ley de prevención de riesgos laborales, la política en materia de seguridad y salud en el trabajo tendrá en cuenta las necesidades y dificultades específicas de las pequeñas y medianas empresas. Por su parte, el art. 7 de la Ley de prevención de riesgos laborales prevé que las Administraciones públicas competentes en materia laboral desarrollarán, entre otras, funciones de asesoramiento técnico del cumplimiento por los sujetos comprendidos en su ámbito de aplicación de la normativa de prevención de riesgos laborales, y, por último, el art. 8 de la Ley de prevención de riesgos laborales señala que el Instituto Nacional de Seguridad e Higiene en el Trabajo es el órgano científico técnico especializado de la Administración general del Estado que tiene como misión el análisis y estudio de las condiciones de seguridad y salud en el trabajo, así como la promoción y apoyo a la mejora de las mismas. De este modo, en cumplimiento de los preceptos señalados se encomienda al Ministerio de Empleo y Seguridad Social y al Instituto Nacional de Seguridad e Higiene en el Trabajo, en colaboración con las Comunidades Autónomas y los agentes sociales, el asesoramiento técnico en esta materia a las empresas de menos de veinticinco trabajadores.</w:t>
      </w:r>
    </w:p>
    <w:p w:rsidR="00AC56D6" w:rsidRDefault="00AC56D6" w:rsidP="00AC56D6">
      <w:pPr>
        <w:pStyle w:val="TextoNormal"/>
      </w:pPr>
    </w:p>
    <w:p w:rsidR="00AC56D6" w:rsidRDefault="00AC56D6" w:rsidP="00AC56D6">
      <w:pPr>
        <w:pStyle w:val="TextoNormal"/>
      </w:pPr>
      <w:r>
        <w:t>Para ello, el Ministerio de Empleo y Seguridad Social y el Instituto Nacional de Seguridad e Higiene en el Trabajo, con la colaboración de las Comunidades Autónomas y los agentes sociales, deben diseñar y poner en marcha un sistema dirigido a facilitar al empresario el asesoramiento necesario para la organización de sus actividades preventivas, teniendo en cuenta que debe impulsarse el cumplimiento de las obligaciones preventivas de forma simplificada, pues precisamente lo que la norma pretende es liberar de cargas administrativas a las pequeñas empresas.</w:t>
      </w:r>
    </w:p>
    <w:p w:rsidR="00AC56D6" w:rsidRDefault="00AC56D6" w:rsidP="00AC56D6">
      <w:pPr>
        <w:pStyle w:val="TextoNormal"/>
      </w:pPr>
    </w:p>
    <w:p w:rsidR="00AC56D6" w:rsidRDefault="00AC56D6" w:rsidP="00AC56D6">
      <w:pPr>
        <w:pStyle w:val="TextoNormal"/>
      </w:pPr>
      <w:r w:rsidRPr="00AC56D6">
        <w:rPr>
          <w:rStyle w:val="NumeroAFNegritaCaracter"/>
        </w:rPr>
        <w:t>3</w:t>
      </w:r>
      <w:r>
        <w:t>. El enjuiciamiento de fondo de la cuestión controvertida exige proceder, en primer lugar, al encuadramiento competencial de la materia objeto de la disposición impugnada, tomando en consideración que ambas partes coinciden en considerar que la norma se inserta en el ámbito de las competencias que en materia laboral atribuye al Estado el art. 149.1.7 CE y a la Comunidad Autónoma el art. 170.1 g) de su Estatuto de Autonomía.</w:t>
      </w:r>
    </w:p>
    <w:p w:rsidR="00AC56D6" w:rsidRDefault="00AC56D6" w:rsidP="00AC56D6">
      <w:pPr>
        <w:pStyle w:val="TextoNormal"/>
      </w:pPr>
    </w:p>
    <w:p w:rsidR="00AC56D6" w:rsidRDefault="00AC56D6" w:rsidP="00AC56D6">
      <w:pPr>
        <w:pStyle w:val="TextoNormal"/>
      </w:pPr>
      <w:r>
        <w:t xml:space="preserve">El primero de estos preceptos atribuye al Estado competencia exclusiva sobre legislación laboral, sin perjuicio de su ejecución por los órganos de las Comunidades Autónomas, y el </w:t>
      </w:r>
      <w:r>
        <w:lastRenderedPageBreak/>
        <w:t>segundo dispone que corresponde a la Generalitat la competencia de ejecución en materia de trabajo y relaciones laborales, que incluye en todo caso, y por lo que a este recurso de inconstitucionalidad interesa, la prevención de riesgos laborales y la seguridad y salud en el trabajo.</w:t>
      </w:r>
    </w:p>
    <w:p w:rsidR="00AC56D6" w:rsidRDefault="00AC56D6" w:rsidP="00AC56D6">
      <w:pPr>
        <w:pStyle w:val="TextoNormal"/>
      </w:pPr>
    </w:p>
    <w:p w:rsidR="00AC56D6" w:rsidRDefault="00AC56D6" w:rsidP="00AC56D6">
      <w:pPr>
        <w:pStyle w:val="TextoNormal"/>
      </w:pPr>
      <w:r>
        <w:t>El deslinde competencial en esta materia “ha sido precisado por este Tribunal desde la STC 33/1981, de 5 de noviembre, FJ 2, señalando que la Constitución Española atribuye al Estado la ordenación general de la materia laboral, sin que ningún espacio de regulación externa les quede a las Comunidades Autónomas, las cuales únicamente pueden disponer de una competencia de mera ejecución de la normación estatal, que incluye la emanación de reglamentos internos de organización de los servicios necesarios y de regulación de la propia competencia funcional de ejecución y, en general, el desarrollo del conjunto de actuaciones preciso para la puesta en práctica de la normativa reguladora del conjunto del sistema de relaciones laborales, así como la potestad sancionadora en la materia” (entre otras, STC 88/2014, FJ 3).</w:t>
      </w:r>
    </w:p>
    <w:p w:rsidR="00AC56D6" w:rsidRDefault="00AC56D6" w:rsidP="00AC56D6">
      <w:pPr>
        <w:pStyle w:val="TextoNormal"/>
      </w:pPr>
    </w:p>
    <w:p w:rsidR="00AC56D6" w:rsidRDefault="00AC56D6" w:rsidP="00AC56D6">
      <w:pPr>
        <w:pStyle w:val="TextoNormal"/>
      </w:pPr>
      <w:r>
        <w:t>Como este Tribunal ha señalado reiteradamente, la expresión “legislación” que define la competencia exclusiva del Estado ha de ser entendida en sentido material, sea cual fuere el rango formal de las normas (STC 35/1982, de 14 de junio, FJ 2), y comprendiendo, por tanto, no sólo las leyes, sino también los reglamentos (SSTC 195/1996, de 28 de noviembre, FJ 11; 51/2006, de 16 de febrero, FJ 4; y 111/2012, de 24 de mayo, FJ 7); y la competencia autonómica incluye la emanación de reglamentos internos de organización de los servicios necesarios (SSTC 249/1988, de 20 de diciembre, FJ 2; y 158/2004, de 21 de septiembre, FJ 5) y de regulación de la propia competencia funcional de ejecución (STC 51/2006, FJ 4) y, en general, “el desarrollo del conjunto de actuaciones preciso para la puesta en práctica de la normativa reguladora del conjunto del sistema de relaciones laborales” (STC 194/1994, de 23 de junio, FJ 3), así como el ejercicio de la potestad sancionadora en la materia (SSTC 87/1985, de 16 de julio, FFJJ 1 y 2; 195/1996, de 28 de noviembre, FFJJ 8 y 9; y 81/2005, de 6 de abril, FJ 11).</w:t>
      </w:r>
    </w:p>
    <w:p w:rsidR="00AC56D6" w:rsidRDefault="00AC56D6" w:rsidP="00AC56D6">
      <w:pPr>
        <w:pStyle w:val="TextoNormal"/>
      </w:pPr>
    </w:p>
    <w:p w:rsidR="00AC56D6" w:rsidRDefault="00AC56D6" w:rsidP="00AC56D6">
      <w:pPr>
        <w:pStyle w:val="TextoNormal"/>
      </w:pPr>
      <w:r>
        <w:t>En concreto, refiriéndonos específicamente al ámbito de la seguridad e higiene en el trabajo, en el que se enmarca la regulación controvertida, este Tribunal ha declarado que “en materia de legislación laboral, a la que indudablemente pertenece el subsector de seguridad e higiene y salud en el trabajo … la competencia normativa del Estado es completa … siendo, pues, susceptible de ejercerse a través de las potestades legislativa y reglamentaria (STC 360/1993, FJ 4), de modo que ningún espacio de regulación externa les resta a las Comunidades Autónomas, las cuales únicamente pueden disponer de una competencia de mera ejecución de la normación estatal. Quiere ello decir que, garantizada en tan alto grado la unidad de acción, … la excepcionalidad justificadora de la permanencia en el acervo estatal de facultades ejecutivas, admitida para supuestos tasados por la doctrina de este Tribunal … tiene que apreciarse forzosamente de forma mucho más restrictiva” (STC 195/1996, de 28 de noviembre, FJ 11).</w:t>
      </w:r>
    </w:p>
    <w:p w:rsidR="00AC56D6" w:rsidRDefault="00AC56D6" w:rsidP="00AC56D6">
      <w:pPr>
        <w:pStyle w:val="TextoNormal"/>
      </w:pPr>
    </w:p>
    <w:p w:rsidR="00AC56D6" w:rsidRDefault="00AC56D6" w:rsidP="00AC56D6">
      <w:pPr>
        <w:pStyle w:val="TextoNormal"/>
      </w:pPr>
      <w:r w:rsidRPr="00AC56D6">
        <w:rPr>
          <w:rStyle w:val="NumeroAFNegritaCaracter"/>
        </w:rPr>
        <w:t>4</w:t>
      </w:r>
      <w:r>
        <w:t>. Examinado el alcance del título competencial afectado, resulta preciso analizar el objeto específico de la presente controversia que consiste en determinar si el precepto impugnado, al establecer la prestación de un servicio de asesoramiento que consiste en la creación de un sistema operativo que facilite a los empresarios la implantación de las medidas pre</w:t>
      </w:r>
      <w:r>
        <w:lastRenderedPageBreak/>
        <w:t>ventivas y el cumplimiento de sus obligaciones preventivas de forma simplificada, ha vulnerado las competencias ejecutivas de la Generalitat de Cataluña en materia de prevención de riesgos laborales [art. 170.1 g) EAC].</w:t>
      </w:r>
    </w:p>
    <w:p w:rsidR="00AC56D6" w:rsidRDefault="00AC56D6" w:rsidP="00AC56D6">
      <w:pPr>
        <w:pStyle w:val="TextoNormal"/>
      </w:pPr>
    </w:p>
    <w:p w:rsidR="00AC56D6" w:rsidRDefault="00AC56D6" w:rsidP="00AC56D6">
      <w:pPr>
        <w:pStyle w:val="TextoNormal"/>
      </w:pPr>
      <w:r>
        <w:t>Como sostiene la Generalitat de Cataluña, el precepto recurrido contiene dos previsiones distintas: por un lado, establece que el Ministerio de Empleo y Seguridad Social y el Instituto Nacional de Seguridad e Higiene en el Trabajo, en colaboración con las Comunidades Autónomas y los agentes sociales, prestarán un asesoramiento técnico específico en materia de seguridad y salud en el trabajo a las empresas de menos de 25 trabajadores; y, por otro, que para ello los órganos señalados deberán diseñar y poner en marcha un sistema de asesoramiento tratando de impulsar el cumplimiento efectivo de las obligaciones preventivas de forma simplificada.</w:t>
      </w:r>
    </w:p>
    <w:p w:rsidR="00AC56D6" w:rsidRDefault="00AC56D6" w:rsidP="00AC56D6">
      <w:pPr>
        <w:pStyle w:val="TextoNormal"/>
      </w:pPr>
    </w:p>
    <w:p w:rsidR="00AC56D6" w:rsidRDefault="00AC56D6" w:rsidP="00AC56D6">
      <w:pPr>
        <w:pStyle w:val="TextoNormal"/>
      </w:pPr>
      <w:r>
        <w:t>En relación con el diseño del sistema de asesoramiento, según prevé la norma, serán el Ministerio de Empleo y Seguridad Social y el Instituto Nacional de Seguridad e Higiene en el Trabajo, en colaboración con las Comunidades Autónomas y los agentes sociales, quienes establezcan dicho sistema. Esta actividad constituye el ejercicio de una competencia exclusiva del Estado en materia de legislación laboral, pues el diseño del sistema concierne a la regulación de una concreta obligación empresarial en el ámbito de la relación laboral —con claro reflejo en los arts. 14 y 30 LPRL— con la consiguiente atribución de correlativos derechos a los trabajadores —arts. 4.2 d) de la Ley del estatuto de los trabajadores y 14 de la Ley de prevención de riesgos laborales— . En consecuencia, la determinación del referido sistema ha de entenderse comprendido dentro de las competencias normativas que le corresponde al Estado en virtud art. 149.1. 7 CE.</w:t>
      </w:r>
    </w:p>
    <w:p w:rsidR="00AC56D6" w:rsidRDefault="00AC56D6" w:rsidP="00AC56D6">
      <w:pPr>
        <w:pStyle w:val="TextoNormal"/>
      </w:pPr>
    </w:p>
    <w:p w:rsidR="00AC56D6" w:rsidRDefault="00AC56D6" w:rsidP="00AC56D6">
      <w:pPr>
        <w:pStyle w:val="TextoNormal"/>
      </w:pPr>
      <w:r>
        <w:t xml:space="preserve">Por lo que se refiere al asesoramiento técnico a empresas llevado a cabo por órganos estatales, la realización por parte del Estado de esta actividad no conlleva, en este caso, lesión alguna de las competencias autonómicas. De acuerdo con la jurisprudencia constitucional (SSTC 244/2012, de 18 de diciembre, FJ 8, y 112/2014, de 7 de julio, FJ 6), el Estado, en virtud de sus competencias exclusivas en materia de legislación laboral puede “prever aquellas estructuras organizativas que, configuradas como órganos de deliberación, consulta o propuesta, vienen a responder adecuadamente a la finalidad que es propia de los principios de cooperación y colaboración, siempre y cuando a través de los mismos no se pretenda sustituir el ejercicio de las competencias de ejecución que son indisponibles e irrenunciables y que han de ejercerse precisamente por las Comunidades Autónomas.” Por ello este Tribunal ha considerado que “la mera previsión de una estructura organizativa y de participación entre el Estado, las Comunidades Autónomas y los agentes sociales implicados en el ámbito de la formación continua, en cuanto traslación de los principios generales de cooperación y colaboración, tiene por objeto favorecer la adecuada articulación del ejercicio de las respectivas competencias, y en esta medida tales previsiones no alteran el esquema de reparto competencial, ni impiden a la Comunidad Autónoma, en ejercicio de su potestad de autoorganización, la creación de los servicios o unidades propios que estime convenientes en orden al adecuado ejercicio de las competencias de ejecución que le han sido constitucionalmente atribuidas, siempre y cuando las funciones atribuidas a dichos órganos no vengan a sustituir las competencias de ejecución que son propias de las Comunidades Autónomas” (244/2012, de 18 de diciembre, FJ 8). Y, a una conclusión similar, se llegó, en la STC 88/2014 en relación con el consejo general del Sistema Nacional de Empleo regulado en el art. 33 del Real Decreto 395/2007, en la que se sostuvo que la creación del referido consejo no conlleva </w:t>
      </w:r>
      <w:r>
        <w:lastRenderedPageBreak/>
        <w:t>una vulneración de las competencias autonómicas, pues “se configura como órgano tripartito y paritario, de participación y consulta de las Administraciones públicas y los interlocutores sociales, al que se atribuyen funciones de naturaleza típicamente consultiva, no ejecutiva, consistentes fundamentalmente en la emisión de informes, recomendaciones y toma de conocimiento”. Por esta razón la STC 112/2014 consideró que la función de formulación de “propuestas” de la comisión estatal de formación para el empleo, al tener naturaleza consultiva —no ejecutiva— no menoscaban las competencias autonómicas.</w:t>
      </w:r>
    </w:p>
    <w:p w:rsidR="00AC56D6" w:rsidRDefault="00AC56D6" w:rsidP="00AC56D6">
      <w:pPr>
        <w:pStyle w:val="TextoNormal"/>
      </w:pPr>
    </w:p>
    <w:p w:rsidR="00AC56D6" w:rsidRDefault="00AC56D6" w:rsidP="00AC56D6">
      <w:pPr>
        <w:pStyle w:val="TextoNormal"/>
      </w:pPr>
      <w:r>
        <w:t>Esta doctrina se ha aplicado también en relación con el asesoramiento técnico llevado a cabo por órgano estatales en materia de formación profesional para el empleo, al considerar que “en cuanto son funciones de mero asesoramiento y apoyo a las empresas, carecen de virtualidad para interferir o menoscabar el ejercicio de las competencias de ejecución que corresponden a las Comunidades Autónomas” por lo que no vulneran las competencias autonómicas (STC 16/2013, de 31 de enero, FJ 9); doctrina que ha sido reiterada en la STC 95/2013, de 23 de abril, FJ 5, también en relación con distintos preceptos en materia de formación profesional para el empleo, que atribuyen a la Fundación estatal para la formación en el empleo funciones de asesoramiento, apoyo y asistencia técnica a las empresas, en la que se afirma que “las funciones atribuidas a la fundación [la Fundación Estatal para la Formación en el Empleo] en los preceptos señalados son funciones de mero asesoramiento, información y puesta a disposición de herramientas técnicas cuya utilización no tiene carácter vinculante para las empresas, por lo que no implican el ejercicio de funciones de naturaleza ejecutiva ni son capaces de traducirse en actos de gestión y, en consecuencia no invaden las competencias de ejecución que corresponden a las Comunidades Autónomas”. En el mismo sentido, este Tribunal, ha sostenido que la elaboración, coordinada por el Servicio Público de Empleo Estatal y los órganos o entidades correspondientes de las Comunidades Autónomas, de un plan de apoyo a las empresas, dirigido a la prestación de asesoramiento y asistencia técnica para satisfacer sus necesidades formativas no implica el ejercicio de funciones de naturaleza ejecutiva ni es capaz de traducirse en actos de gestión, al no tener carácter vinculante para las empresas (SSTC 88/2014, de 9 de junio, FJ 9; 112/2014, de 7 de julio, FJ 6).</w:t>
      </w:r>
    </w:p>
    <w:p w:rsidR="00AC56D6" w:rsidRDefault="00AC56D6" w:rsidP="00AC56D6">
      <w:pPr>
        <w:pStyle w:val="TextoNormal"/>
      </w:pPr>
    </w:p>
    <w:p w:rsidR="00AC56D6" w:rsidRDefault="00AC56D6" w:rsidP="00AC56D6">
      <w:pPr>
        <w:pStyle w:val="TextoNormal"/>
      </w:pPr>
      <w:r>
        <w:t>Sobre la base de esta jurisprudencia, debemos concluir que el asesoramiento técnico a empresas en materia de seguridad y salud en el trabajo previsto en la nueva disposición adicional decimoséptima de la Ley de prevención de riesgos laborales, no puede considerarse lesivo de las competencias de ejecución que corresponda a las Comunidades Autónomas, ya que la realización de estas funciones no tienen un carácter excluyente de las funciones de análoga naturaleza y alcance que puedan ostentar las Comunidades Autónomas en esta materia en virtud de sus competencias ejecutivas. La utilización del sistema que se ponga en marcha por los órganos señalados en la norma para el asesoramiento técnico en materia de seguridad y salud en el trabajo a las empresas de menos de 25 trabajadores, al no tener otro objeto que prestar la actividad de asesoramiento —asesoramiento que ni es obligatorio para estas empresas, ni la utilización de este servicio determina la realización de actos administrativos de gestión en esta materia—, la prestación de este servicio de asesoramiento no puede menoscabar las competencias que en materia de ejecución de la legislación laboral han asumido las Comunidades Autónomas (SSTC 95/2013, de 23 de abril, FJ 5; 88/2014, de 9 de junio FJ 9; 112/2014, de 7 de julio, FJ 6). Por esta razón debe rechazarse la queja planteada.</w:t>
      </w:r>
    </w:p>
    <w:p w:rsidR="00AC56D6" w:rsidRDefault="00AC56D6" w:rsidP="00AC56D6">
      <w:pPr>
        <w:pStyle w:val="TextoNormal"/>
      </w:pPr>
    </w:p>
    <w:p w:rsidR="00AC56D6" w:rsidRDefault="00AC56D6" w:rsidP="00AC56D6">
      <w:pPr>
        <w:pStyle w:val="TextoNormalCentrado"/>
        <w:keepNext/>
      </w:pPr>
      <w:r>
        <w:lastRenderedPageBreak/>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Desestimar el presente recurso de inconstitucionalidad.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veinticuatro de septiembre de dos mil quince.</w:t>
      </w:r>
    </w:p>
    <w:p w:rsidR="00AC56D6" w:rsidRDefault="00AC56D6" w:rsidP="00AC56D6">
      <w:pPr>
        <w:pStyle w:val="ParrafoNormal"/>
      </w:pPr>
    </w:p>
    <w:p w:rsidR="00AC56D6" w:rsidRDefault="00AC56D6" w:rsidP="00AC56D6">
      <w:pPr>
        <w:pStyle w:val="TextoNormalNegritaCentrado"/>
        <w:keepNext/>
      </w:pPr>
      <w:r>
        <w:t>Voto Particular que formula la Magistrada doña Adela Asua Batarrita a la Sentencia dictada en el recurso de inconstitucionalidad núm. 7473-2013.</w:t>
      </w:r>
    </w:p>
    <w:p w:rsidR="00AC56D6" w:rsidRDefault="00AC56D6" w:rsidP="00AC56D6">
      <w:pPr>
        <w:pStyle w:val="TextoNormalNegritaCentrado"/>
        <w:keepNext/>
      </w:pPr>
    </w:p>
    <w:p w:rsidR="00AC56D6" w:rsidRDefault="00AC56D6" w:rsidP="00AC56D6">
      <w:pPr>
        <w:pStyle w:val="TextoNormal"/>
      </w:pPr>
      <w:r>
        <w:t>En ejercicio de la facultad que me confiere el art. 90.2 de la Ley Orgánica del Tribunal Constitucional, y con pleno respeto a la opinión de la mayoría del Tribunal, formulo el presente voto, dejando constancia sucintamente de los fundamentos de mi posición discrepante con el fallo y con los razonamientos que lo sustentan, de acuerdo con los argumentos que defendí en la deliberación del Pleno.</w:t>
      </w:r>
    </w:p>
    <w:p w:rsidR="00AC56D6" w:rsidRDefault="00AC56D6" w:rsidP="00AC56D6">
      <w:pPr>
        <w:pStyle w:val="TextoNormal"/>
      </w:pPr>
    </w:p>
    <w:p w:rsidR="00AC56D6" w:rsidRDefault="00AC56D6" w:rsidP="00AC56D6">
      <w:pPr>
        <w:pStyle w:val="TextoNormal"/>
      </w:pPr>
      <w:r>
        <w:t>1. En primer lugar, y siendo indiscutible que, como se recoge en el fundamento jurídico 3 de la Sentencia de la que discrepo, nos encontramos en la materia laboral, habría sido preciso encuadrar la actividad a la que se refiere el precepto impugnado, operación que la Sentencia aprobada por la mayoría no hace, o, al menos, no con la claridad que exige la cuestión. Pues bien, recordemos que el precepto objeto del recurso introduce una disposición adicional en la Ley 31/1995, de 8 de noviembre, de prevención de riesgos laborales, que atribuye al Ministerio de Empleo y Seguridad Social y al Instituto Nacional de Seguridad e Higiene en el Trabajo la prestación de asesoramiento técnico específico en materia de seguridad y salud en el trabajo a las empresas de hasta 25 trabajadores, en colaboración con las Comunidades Autónomas y los agentes sociales. A mi entender, dicha actividad de asesoramiento es indiscutiblemente una actuación de naturaleza ejecutiva tal y como ya dijimos en la STC 211/2012, de 14 de noviembre, al señalar en el fundamento jurídico 4 a) que “el art. 7 [de la Ley de prevención de riesgos laborales] se refiere al desarrollo de funciones ejecutivas en la materia, disponiendo que ‘las Administraciones públicas competentes en materia laboral desarrollarán funciones de promoción de la prevención, asesoramiento técnico, vigilancia y control del cumplimiento por los sujetos comprendidos en su ámbito de aplicación de la normativa de prevención de riesgos laborales, y sancionarán las infracciones a dicha normativa’ ”. Es decir, que en aquel pronunciamiento ya reconocimos que las funciones de asesoramiento técnico son funciones de naturaleza ejecutiva. Ello es así, indudablemente, porque la labor de asesoramiento va estrechamente unida al cumplimiento de la normativa en materia de prevención de riesgos laborales, cuya vigilancia y control corresponde a las Administraciones públicas que tienen atribuida la competencia ejecutiva en la materia, que son, de manera natural, las Comunidades Autónomas. Por consiguiente, la primera conclusión que se debería haber alcanzado en la Sentencia es que la prestación del asesoramiento en materia de prevención de riesgos laborales es una función netamente eje</w:t>
      </w:r>
      <w:r>
        <w:lastRenderedPageBreak/>
        <w:t>cutiva y que, en tal condición, esa función debe corresponder de manera natural a las Comunidades Autónomas, pudiendo reservarse el Estado, en atención a su competencia legislativa plena la regulación del contenido y la forma de llevar a cabo ese asesoramiento, e incluso la coordinación inherente a su competencia legislativa, pero, en ningún caso la función ejecutiva de prestar directamente el asesoramiento o poner en marcha el sistema para llevarlo a cabo, que será en todo caso de competencia de las Comunidades Autónomas.</w:t>
      </w:r>
    </w:p>
    <w:p w:rsidR="00AC56D6" w:rsidRDefault="00AC56D6" w:rsidP="00AC56D6">
      <w:pPr>
        <w:pStyle w:val="TextoNormal"/>
      </w:pPr>
    </w:p>
    <w:p w:rsidR="00AC56D6" w:rsidRDefault="00AC56D6" w:rsidP="00AC56D6">
      <w:pPr>
        <w:pStyle w:val="TextoNormal"/>
      </w:pPr>
      <w:r>
        <w:t>2. Cuando se analiza este aspecto, en el fundamento jurídico 4 se incurre en el error de citar una jurisprudencia, establecida en la STC 244/2012 (de la que ya mostré mi discrepancia en su día a través del correspondiente voto particular, a cuyas consideraciones me remito), que no tiene nada que ver con el asunto que nos ocupa, puesto que en aquel supuesto se refería a la creación de determinadas estructuras organizativas (más en concreto la Fundación Estatal para la Formación en el Empleo) que tenían una función consultiva y de colaboración y participación de las Comunidades Autónomas en el ejercicio de las competencias en la materia de formación profesional. Esto es, se producía la creación de un órgano específico con la finalidad reseñada, situación que no se produce en el supuesto que nos ocupa, en el que no hay lugar a la creación de ningún órgano específico para llevar a cabo el asesoramiento. La doctrina que se vierte en la Sentencia tendría virtualidad cuando, como era el caso de la STC 244/2012, FJ 8, se crea un órgano de participación que se considera lícito constitucionalmente en cuanto no realiza funciones de gestión. En este sentido, hay que recordar aquí que la STC 95/2013, de 23 de abril, FJ 5, declaró inconstitucionales determinadas funciones reservadas a dicha Fundación en la Orden TAS/500/2004, por la que se regulaban su composición, funcionamiento y funciones, en la medida en que consistían en actividades de ejecución que corresponden a las Comunidades Autónomas.</w:t>
      </w:r>
    </w:p>
    <w:p w:rsidR="00AC56D6" w:rsidRDefault="00AC56D6" w:rsidP="00AC56D6">
      <w:pPr>
        <w:pStyle w:val="TextoNormal"/>
      </w:pPr>
    </w:p>
    <w:p w:rsidR="00AC56D6" w:rsidRDefault="00AC56D6" w:rsidP="00AC56D6">
      <w:pPr>
        <w:pStyle w:val="TextoNormal"/>
      </w:pPr>
      <w:r>
        <w:t>En mi modesta opinión, más que la Sentencia en la que se apoya la Sentencia de la mayoría, se debería haber tenido en cuenta la doctrina establecida en la STC 211/2012, de la que fui Ponente, que se refería a un supuesto relacionado con la prevención de riesgos laborales, en cuanto tenía por objeto la regulación por parte del Estado de la utilización del sistema de declaración electrónica de accidentes de trabajo que posibilitaba la transmisión por procedimiento electrónico de los nuevos modelos para la notificación de accidentes de trabajo, aprobados por una Orden estatal, procedimiento y modelos que fueron declarados inconstitucionales en su mayor parte por vulnerar las competencias autonómicas de ejecución por la fundamentación que consta en dicha Sentencia y a cuyos términos me remito.</w:t>
      </w:r>
    </w:p>
    <w:p w:rsidR="00AC56D6" w:rsidRDefault="00AC56D6" w:rsidP="00AC56D6">
      <w:pPr>
        <w:pStyle w:val="TextoNormal"/>
      </w:pPr>
    </w:p>
    <w:p w:rsidR="00AC56D6" w:rsidRDefault="00AC56D6" w:rsidP="00AC56D6">
      <w:pPr>
        <w:pStyle w:val="TextoNormal"/>
      </w:pPr>
      <w:r>
        <w:t>En todo caso, he de hacer notar en cuanto a los razonamientos de la Sentencia sobre la previsión de estructuras organizativas y de participación como plasmación de los principios de cooperación y colaboración, que estas últimas en ningún caso pueden alterar el reparto competencial, en cuanto dichos principios tienen por objeto articular adecuadamente el ejercicio de las competencias de los entes colaboradores o cooperadores pero en ningún caso pueden privar a ninguno de ellos de todo o parte de sus competencias.</w:t>
      </w:r>
    </w:p>
    <w:p w:rsidR="00AC56D6" w:rsidRDefault="00AC56D6" w:rsidP="00AC56D6">
      <w:pPr>
        <w:pStyle w:val="TextoNormal"/>
      </w:pPr>
    </w:p>
    <w:p w:rsidR="00AC56D6" w:rsidRDefault="00AC56D6" w:rsidP="00AC56D6">
      <w:pPr>
        <w:pStyle w:val="TextoNormal"/>
      </w:pPr>
      <w:r>
        <w:t xml:space="preserve">3. Finalmente, considero que resulta inadmisible el argumento que se desarrolla en el último párrafo de la Sentencia, en el sentido de que el asesoramiento técnico a empresas en materia de seguridad y salud en el trabajo previsto en la disposición adicional impugnada no es lesivo de las competencias autonómicas ya que la realización de dichas funciones “no tienen un carácter excluyente de las funciones de análoga naturaleza y alcance que puedan </w:t>
      </w:r>
      <w:r>
        <w:lastRenderedPageBreak/>
        <w:t>ostentar las Comunidades Autónomas en esta materia en virtud de sus competencias ejecutivas”. Entiendo que cualquier actividad de corte ejecutivo que desarrolle el Estado supone una exclusión de las Comunidades Autónomas en el legítimo ejercicio de sus competencias constitucional y estatutariamente asumidas porque, en lo que aquí interesa, el Estado, lisa y llanamente, carece de competencias de ejecución, salvo supuestos verdaderamente excepcionales, de suerte que si no se dan las circunstancias extraordinarias que permiten el ejercicio de tales competencias de gestión por parte del Estado, se está invadiendo el ámbito de las competencias que corresponden de manera particular a las Comunidades Autónomas, y ese es un punto que no admite matices ni relativizaciones: o se tiene la competencia o no se tiene, y el Estado aquí no la tiene.</w:t>
      </w:r>
    </w:p>
    <w:p w:rsidR="00AC56D6" w:rsidRDefault="00AC56D6" w:rsidP="00AC56D6">
      <w:pPr>
        <w:pStyle w:val="TextoNormal"/>
      </w:pPr>
    </w:p>
    <w:p w:rsidR="00AC56D6" w:rsidRDefault="00AC56D6" w:rsidP="00AC56D6">
      <w:pPr>
        <w:pStyle w:val="TextoNormal"/>
      </w:pPr>
      <w:r>
        <w:t>Y en este sentido emito mi Voto particular.</w:t>
      </w:r>
    </w:p>
    <w:p w:rsidR="00AC56D6" w:rsidRDefault="00AC56D6" w:rsidP="00AC56D6">
      <w:pPr>
        <w:pStyle w:val="TextoNormal"/>
      </w:pPr>
    </w:p>
    <w:p w:rsidR="00AC56D6" w:rsidRDefault="00AC56D6" w:rsidP="00AC56D6">
      <w:pPr>
        <w:pStyle w:val="TextoNormal"/>
      </w:pPr>
      <w:r>
        <w:t>Madrid, a veinticuatro de septiembre de dos mil quince.</w:t>
      </w:r>
    </w:p>
    <w:p w:rsidR="00AC56D6" w:rsidRDefault="00AC56D6" w:rsidP="00AC56D6">
      <w:pPr>
        <w:pStyle w:val="TextoNormal"/>
      </w:pPr>
    </w:p>
    <w:p w:rsidR="00AC56D6" w:rsidRDefault="00AC56D6" w:rsidP="00AC56D6">
      <w:pPr>
        <w:pStyle w:val="TextoNormalNegritaCentrado"/>
        <w:keepNext/>
      </w:pPr>
      <w:r>
        <w:t>Voto particular que formula el Magistrado don Juan Antonio Xiol Ríos, al que se adhiere la Magistrada doña Encarnación Roca Trías, respecto de la Sentencia dictada en el recurso de inconstitucionalidad núm. 7473-2013.</w:t>
      </w:r>
    </w:p>
    <w:p w:rsidR="00AC56D6" w:rsidRDefault="00AC56D6" w:rsidP="00AC56D6">
      <w:pPr>
        <w:pStyle w:val="TextoNormalNegritaCentrado"/>
        <w:keepNext/>
      </w:pPr>
    </w:p>
    <w:p w:rsidR="00AC56D6" w:rsidRDefault="00AC56D6" w:rsidP="00AC56D6">
      <w:pPr>
        <w:pStyle w:val="TextoNormal"/>
      </w:pPr>
      <w:r>
        <w:t>Con el máximo respeto a la opinión mayoritaria de mis compañeros en la que se sustenta la Sentencia manifiesto mi discrepancia con parte de su fundamentación jurídica y con el fallo, que, en mi opinión, hubiera debido ser parcialmente estimatorio.</w:t>
      </w:r>
    </w:p>
    <w:p w:rsidR="00AC56D6" w:rsidRDefault="00AC56D6" w:rsidP="00AC56D6">
      <w:pPr>
        <w:pStyle w:val="TextoNormal"/>
      </w:pPr>
    </w:p>
    <w:p w:rsidR="00AC56D6" w:rsidRDefault="00AC56D6" w:rsidP="00AC56D6">
      <w:pPr>
        <w:pStyle w:val="TextoNormal"/>
      </w:pPr>
      <w:r>
        <w:t>No comparto la opinión de que es acorde con el orden constitucional de competencias que el Estado preste un servicio en Cataluña de asesoramiento técnico a las empresas sobre la prevención de riesgos laborales. La opinión en que se funda la Sentencia llega a esta conclusión aplicando la doctrina que este tribunal ha establecido, principalmente en las SSTC 16/2013, 95/2013 y, en los primeros años, 17/1986, esta no citada en la Sentencia. Según esta doctrina, como la actividad de asesoramiento facultativo no tiene un carácter excluyente de las funciones de análoga naturaleza que puedan desempeñar las comunidades autónomas, la prestación por parte del Estado a los particulares que lo soliciten de una actividad de estas características no vulnera las competencias ejecutivas que hayan podido asumir las comunidades autónomas en relación con la materia.</w:t>
      </w:r>
    </w:p>
    <w:p w:rsidR="00AC56D6" w:rsidRDefault="00AC56D6" w:rsidP="00AC56D6">
      <w:pPr>
        <w:pStyle w:val="TextoNormal"/>
      </w:pPr>
    </w:p>
    <w:p w:rsidR="00AC56D6" w:rsidRDefault="00AC56D6" w:rsidP="00AC56D6">
      <w:pPr>
        <w:pStyle w:val="TextoNormal"/>
      </w:pPr>
      <w:r>
        <w:t>En mi opinión esta doctrina constitucional debe revisarse, y espero que así suceda en el futuro, pues equivale exactamente a entender que el Estado y las comunidades autónomas tienen competencias concurrentes para realizar estas funciones. Esta consideración, a mi juicio, no tiene encaje en el sistema constitucional de distribución de competencias entre el Estado y las comunidades autónomas. Como la propia Sentencia pone de manifiesto, el encuadramiento competencial de la controversia planteada en el presente caso ha de situarse en el art. 149.1.7 CE, que atribuye al Estado competencia exclusiva sobre la legislación laboral y en el art. 170.1 g) del Estatuto de Autonomía de Cataluña (EAC), en virtud del cual la Generalitat de Cataluña ha asumido las competencias ejecutivas en materia de prevención de riesgos laborales, lo que conlleva que las competencias ejecutivas, cualquiera que sea la actividad ejecutiva que se realice, son de exclusiva competencia de la Generalitat, pues no existe precepto constitucional alguno que atribuya al Estado una competencia concurrente para realizar este tipo funciones.</w:t>
      </w:r>
    </w:p>
    <w:p w:rsidR="00AC56D6" w:rsidRDefault="00AC56D6" w:rsidP="00AC56D6">
      <w:pPr>
        <w:pStyle w:val="TextoNormal"/>
      </w:pPr>
    </w:p>
    <w:p w:rsidR="00AC56D6" w:rsidRDefault="00AC56D6" w:rsidP="00AC56D6">
      <w:pPr>
        <w:pStyle w:val="TextoNormal"/>
      </w:pPr>
      <w:r>
        <w:t>La prestación de un servicio de asesoramiento técnico a las pequeñas empresas sobre el cumplimiento de sus obligaciones en materia de prevención de riesgos laborales constituye una actividad de ejecución de la norma estatal que establece la existencia de este servicio y, en consecuencia, su prestación debe realizarse por la Generalitat de Cataluña [art. 170. 1 g) EAC].</w:t>
      </w:r>
    </w:p>
    <w:p w:rsidR="00AC56D6" w:rsidRDefault="00AC56D6" w:rsidP="00AC56D6">
      <w:pPr>
        <w:pStyle w:val="TextoNormal"/>
      </w:pPr>
    </w:p>
    <w:p w:rsidR="00AC56D6" w:rsidRDefault="00AC56D6" w:rsidP="00AC56D6">
      <w:pPr>
        <w:pStyle w:val="TextoNormal"/>
      </w:pPr>
      <w:r>
        <w:t>El Estado, al carecer de competencias ejecutivas en esta materia y no existir ningún precepto constitucional que le atribuya competencias para prestar este tipo servicios, no puede realizar la referida actividad, pues carece del título atributivo de la competencia, sin el cual su actuación no puede considerarse amparada en el orden constitucional de competencias. Ni el carácter facultativo con el que se ofrece el servicio, ni el hecho de que este servicio no tenga como objeto dictar actos administrativos o realizar cualquier otra actividad de gestión administrativa, ni tampoco la circunstancia de que las comunidades autónomas puedan prestar servicios análogos en virtud de sus competencias ejecutivas (que son las consideraciones en las que se basa la opinión que fundamenta la sentencia para considerar acorde con el orden constitucional de competencias el precepto impugnado), permiten, a mi juicio, llegar a esta conclusión. En mi opinión, la prestación del referido servicio, al ser una actividad de ejecución de la normativa estatal, únicamente puede ser prestado por la Generalitat, que es a quien corresponden las competencias ejecutivas en esta materia.</w:t>
      </w:r>
    </w:p>
    <w:p w:rsidR="00AC56D6" w:rsidRDefault="00AC56D6" w:rsidP="00AC56D6">
      <w:pPr>
        <w:pStyle w:val="TextoNormal"/>
      </w:pPr>
    </w:p>
    <w:p w:rsidR="00AC56D6" w:rsidRDefault="00AC56D6" w:rsidP="00AC56D6">
      <w:pPr>
        <w:pStyle w:val="TextoNormal"/>
      </w:pPr>
      <w:r>
        <w:t>En este ámbito el término “ejecutivo” no ha de entenderse como aquello cuyo cumplimiento puede ser exigido, como se deduce de la Sentencia y de la doctrina que en ella se aplica, sino —en conjunción con la clásica doctrina administrativista que no creo necesario recordar— como la actividad “concreta, continua, normalmente espontánea” que debe realizar la Administración para hacer efectivo, en aras del interés público, lo establecido en las normas que regulan una determinada materia. El art. 112 EAC establece que “la función ejecutiva” incluye “en general, todas aquellas funciones y actividades que el ordenamiento atribuye a la Administración Pública”, por lo que, en mi opinión, es claro que la norma estatal, al establecer que determinados órganos de la Administración estatal han de prestar un servicio de asesoramiento en el ámbito autonómico, está incidiendo en el ámbito propio de las competencias ejecutivas corresponden a la Generalitat.</w:t>
      </w:r>
    </w:p>
    <w:p w:rsidR="00AC56D6" w:rsidRDefault="00AC56D6" w:rsidP="00AC56D6">
      <w:pPr>
        <w:pStyle w:val="TextoNormal"/>
      </w:pPr>
    </w:p>
    <w:p w:rsidR="00AC56D6" w:rsidRDefault="00AC56D6" w:rsidP="00AC56D6">
      <w:pPr>
        <w:pStyle w:val="TextoNormal"/>
      </w:pPr>
      <w:r>
        <w:t>La distribución del ejercicio del poder público entre los distintos entes territoriales ha de efectuarse conforme al orden constitucional de competencias y es irrelevante, a estos efectos, que la actividad de que se trate sea de carácter obligatorio o voluntario para su destinatario, que la misma conlleve o no la adopción de actos administrativos, que pueda tener incidencia en la gestión administrativa o que la actividad que se realice pueda prestarse en concurrencia con la que lleve a cabo la comunidad autónoma en ejercicio de sus competencias. Tales criterios no han sido tomados en cuenta por la Constitución para determinar el orden constitucional de competencias y por ello considero que no deberían tomarse en consideración por este tribunal para resolver esta controversia competencial.</w:t>
      </w:r>
    </w:p>
    <w:p w:rsidR="00AC56D6" w:rsidRDefault="00AC56D6" w:rsidP="00AC56D6">
      <w:pPr>
        <w:pStyle w:val="TextoNormal"/>
      </w:pPr>
    </w:p>
    <w:p w:rsidR="00AC56D6" w:rsidRDefault="00AC56D6" w:rsidP="00AC56D6">
      <w:pPr>
        <w:pStyle w:val="TextoNormal"/>
      </w:pPr>
      <w:r>
        <w:t xml:space="preserve">El respeto de las reglas de distribución de competencias —incluso en aquellos casos en los que buenamente la concurrencia competencial en una determinada materia no impida a las comunidades autónomas ejercer sus competencias—, es estrictamente necesario para evitar duplicidades en el ejercicio del poder contrarias a los principios que enuncia el art. 103.1 CE y es, además, una exigencia del principio de autonomía, que, entre otras cosas, </w:t>
      </w:r>
      <w:r>
        <w:lastRenderedPageBreak/>
        <w:t>garantiza que las comunidades autónomas, en el ámbito en que la Constitución les reconoce competencias exclusivas, ejerzan con exclusividad las correspondientes funciones.</w:t>
      </w:r>
    </w:p>
    <w:p w:rsidR="00AC56D6" w:rsidRDefault="00AC56D6" w:rsidP="00AC56D6">
      <w:pPr>
        <w:pStyle w:val="TextoNormal"/>
      </w:pPr>
    </w:p>
    <w:p w:rsidR="00AC56D6" w:rsidRDefault="00AC56D6" w:rsidP="00AC56D6">
      <w:pPr>
        <w:pStyle w:val="TextoNormal"/>
      </w:pPr>
      <w:r>
        <w:t>Madrid, a veinticuatro de septiembre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55" w:name="SENTENCIA_2015_199"/>
      <w:r>
        <w:lastRenderedPageBreak/>
        <w:t>SENTENCIA 199/2015, de 24 de septiembre de 2015</w:t>
      </w:r>
    </w:p>
    <w:bookmarkEnd w:id="55"/>
    <w:p w:rsidR="00AC56D6" w:rsidRDefault="00AC56D6" w:rsidP="00AC56D6">
      <w:pPr>
        <w:pStyle w:val="TtuloResolucin"/>
      </w:pPr>
      <w:r>
        <w:t>Pleno</w:t>
      </w:r>
    </w:p>
    <w:p w:rsidR="00AC56D6" w:rsidRDefault="00AC56D6" w:rsidP="00AC56D6">
      <w:pPr>
        <w:pStyle w:val="TtuloBOE"/>
      </w:pPr>
      <w:r>
        <w:t>(BOE núm. 260, de 30 de octubre de 2015)</w:t>
      </w:r>
    </w:p>
    <w:p w:rsidR="00AC56D6" w:rsidRDefault="00AC56D6" w:rsidP="00AC56D6">
      <w:pPr>
        <w:pStyle w:val="TextoNormalCentrado"/>
      </w:pPr>
      <w:r>
        <w:t>ECLI:ES:TC:2015:199</w:t>
      </w:r>
    </w:p>
    <w:p w:rsidR="00AC56D6" w:rsidRDefault="00AC56D6" w:rsidP="00AC56D6">
      <w:pPr>
        <w:pStyle w:val="TextoNormalCentrado"/>
      </w:pPr>
    </w:p>
    <w:p w:rsidR="00AC56D6" w:rsidRDefault="00AC56D6" w:rsidP="00AC56D6">
      <w:pPr>
        <w:pStyle w:val="SntesisDescriptiva"/>
      </w:pPr>
      <w:r>
        <w:t>Recurso de inconstitucionalidad 5099-2014. Interpuesto por más de cincuenta Diputados de los Grupo Parlamentarios Socialista; IU, ICV-EUiA, CHA: La Izquierda plural; y Unión Progreso y Democracia, respecto del Real Decreto-ley 8/2014, de 4 de julio, de aprobación de medidas urgentes para el crecimiento, la competitividad y la eficiencia.</w:t>
      </w:r>
    </w:p>
    <w:p w:rsidR="00AC56D6" w:rsidRDefault="00AC56D6" w:rsidP="00AC56D6">
      <w:pPr>
        <w:pStyle w:val="SntesisDescriptiva"/>
      </w:pPr>
    </w:p>
    <w:p w:rsidR="00AC56D6" w:rsidRDefault="00AC56D6" w:rsidP="00AC56D6">
      <w:pPr>
        <w:pStyle w:val="SntesisAnaltica"/>
      </w:pPr>
      <w:r>
        <w:t>Límites a los decretos-leyes: falta de acreditación del presupuesto habilitante para aprobar con carácter urgente los preceptos legales relativos a las empresas de trabajo temporal y agencias de colocación, y a la llevanza del Registro Civil por los Registradores de la Propiedad y Mercantiles. Voto particular.</w:t>
      </w:r>
    </w:p>
    <w:p w:rsidR="00AC56D6" w:rsidRDefault="00AC56D6" w:rsidP="00AC56D6">
      <w:pPr>
        <w:pStyle w:val="SntesisAnaltica"/>
      </w:pPr>
    </w:p>
    <w:p w:rsidR="00AC56D6" w:rsidRDefault="00AC56D6" w:rsidP="00AC56D6">
      <w:pPr>
        <w:pStyle w:val="Extracto"/>
      </w:pPr>
      <w:r>
        <w:t>1.</w:t>
      </w:r>
      <w:r>
        <w:tab/>
        <w:t>Si bien el Decreto-ley impugnado puede ser expresión de una deficiente técnica normativa, en este caso desarrollada por el Gobierno en ejercicio de las potestades legislativas que le concede la Constitución en el art. 86 CE, este Tribunal se limita a realizar un juicio de constitucionalidad sobre dicho tipo de normas, sin que tal juicio se efectúe sobre su calidad técnica [FJ 3].</w:t>
      </w:r>
    </w:p>
    <w:p w:rsidR="00AC56D6" w:rsidRDefault="00AC56D6" w:rsidP="00AC56D6">
      <w:pPr>
        <w:pStyle w:val="Extracto"/>
      </w:pPr>
    </w:p>
    <w:p w:rsidR="00AC56D6" w:rsidRDefault="00AC56D6" w:rsidP="00AC56D6">
      <w:pPr>
        <w:pStyle w:val="Extracto"/>
      </w:pPr>
      <w:r>
        <w:t>2.</w:t>
      </w:r>
      <w:r>
        <w:tab/>
        <w:t>Nada se opone en el texto constitucional a que un decreto-ley contenga medidas normativas de carácter heterogéneo, siempre que las mismas no afecten a las materias que le están constitucionalmente vedadas a dicho tipo de fuente [FJ 3].</w:t>
      </w:r>
    </w:p>
    <w:p w:rsidR="00AC56D6" w:rsidRDefault="00AC56D6" w:rsidP="00AC56D6">
      <w:pPr>
        <w:pStyle w:val="Extracto"/>
      </w:pPr>
    </w:p>
    <w:p w:rsidR="00AC56D6" w:rsidRDefault="00AC56D6" w:rsidP="00AC56D6">
      <w:pPr>
        <w:pStyle w:val="Extracto"/>
      </w:pPr>
      <w:r>
        <w:t>3.</w:t>
      </w:r>
      <w:r>
        <w:tab/>
        <w:t>No parece existir un óbice constitucional directo a la existencia de decretos-leyes transversales, porque no puede deducirse del art. 86.1 CE más límite material que el que aparece expresamente contenido en el precepto; ni puede exigirse a este tipo de decretos leyes un límite formal específico, basado en la existencia de un presupuesto habilitante común a todas las medidas en él contenidas [FJ 5].</w:t>
      </w:r>
    </w:p>
    <w:p w:rsidR="00AC56D6" w:rsidRDefault="00AC56D6" w:rsidP="00AC56D6">
      <w:pPr>
        <w:pStyle w:val="Extracto"/>
      </w:pPr>
    </w:p>
    <w:p w:rsidR="00AC56D6" w:rsidRDefault="00AC56D6" w:rsidP="00AC56D6">
      <w:pPr>
        <w:pStyle w:val="Extracto"/>
      </w:pPr>
      <w:r>
        <w:t>4.</w:t>
      </w:r>
      <w:r>
        <w:tab/>
        <w:t>No se justifica la urgencia y necesidad de regular por decreto-ley la llevanza del Registro Civil por los Registradores Mercantiles y de la Propiedad, contenida en la norma impugnada, ni se justifica el recurso a este tipo normativo cuando de forma simultánea se prevé diferir la entrada en vigor de la norma en más de un año, y se condiciona la efectividad del cambio de régimen de llevanza a la aprobación de las pertinentes modificaciones de la Ley 20/2011 [FJ 10].</w:t>
      </w:r>
    </w:p>
    <w:p w:rsidR="00AC56D6" w:rsidRDefault="00AC56D6" w:rsidP="00AC56D6">
      <w:pPr>
        <w:pStyle w:val="Extracto"/>
      </w:pPr>
    </w:p>
    <w:p w:rsidR="00AC56D6" w:rsidRDefault="00AC56D6" w:rsidP="00AC56D6">
      <w:pPr>
        <w:pStyle w:val="Extracto"/>
      </w:pPr>
      <w:r>
        <w:t>5.</w:t>
      </w:r>
      <w:r>
        <w:tab/>
        <w:t>La heterogeneidad intrínseca de las ‘leyes ómnibus’ no está, per se, constitucionalmente proscrita, por amparar preceptos en muchas materias y sectores, por muy desaconsejable que tal práctica parezca técnicamente (STC 102/2012) [FJ 3].</w:t>
      </w:r>
    </w:p>
    <w:p w:rsidR="00AC56D6" w:rsidRDefault="00AC56D6" w:rsidP="00AC56D6">
      <w:pPr>
        <w:pStyle w:val="Extracto"/>
      </w:pPr>
    </w:p>
    <w:p w:rsidR="00AC56D6" w:rsidRDefault="00AC56D6" w:rsidP="00AC56D6">
      <w:pPr>
        <w:pStyle w:val="Extracto"/>
      </w:pPr>
      <w:r>
        <w:t>6.</w:t>
      </w:r>
      <w:r>
        <w:tab/>
        <w:t>El dogma de la deseable homogeneidad de un texto legislativo no es obstáculo insalvable que impida al legislador dictar normas multisectoriales, pues tampoco existe en la Constitución precepto alguno, expreso o implícito, que impida que las leyes tengan un contenido heterogéneo (STC 136/2011) [FJ 3].</w:t>
      </w:r>
    </w:p>
    <w:p w:rsidR="00AC56D6" w:rsidRDefault="00AC56D6" w:rsidP="00AC56D6">
      <w:pPr>
        <w:pStyle w:val="Extracto"/>
      </w:pPr>
    </w:p>
    <w:p w:rsidR="00AC56D6" w:rsidRDefault="00AC56D6" w:rsidP="00AC56D6">
      <w:pPr>
        <w:pStyle w:val="Extracto"/>
      </w:pPr>
      <w:r>
        <w:lastRenderedPageBreak/>
        <w:t>7.</w:t>
      </w:r>
      <w:r>
        <w:tab/>
        <w:t>El Tribunal debe controlar que el juicio político realizado por el Gobierno, que elabora el decreto-ley, y por la mayoría del Congreso de los Diputados, que lo convalida, no desborda los límites de lo manifiestamente razonable, pero el control jurídico de este requisito no debe suplantar a los órganos constitucionales que intervienen en la aprobación y convalidación de los Reales Decretos-Leyes (SSTC 332/2005) [FJ 4].</w:t>
      </w:r>
    </w:p>
    <w:p w:rsidR="00AC56D6" w:rsidRDefault="00AC56D6" w:rsidP="00AC56D6">
      <w:pPr>
        <w:pStyle w:val="Extracto"/>
      </w:pPr>
    </w:p>
    <w:p w:rsidR="00AC56D6" w:rsidRDefault="00AC56D6" w:rsidP="00AC56D6">
      <w:pPr>
        <w:pStyle w:val="Extracto"/>
      </w:pPr>
      <w:r>
        <w:t>8.</w:t>
      </w:r>
      <w:r>
        <w:tab/>
        <w:t>La utilización del real decreto-ley se estima legítima en todos aquellos casos en que hay que alcanzar los objetivos marcados para la gobernación del país, que, por circunstancias difíciles o imposibles de prever, requieren una acción normativa inmediata o en que las coyunturas económicas exigen una rápida respuesta (STC 6/1983) [FJ 4].</w:t>
      </w:r>
    </w:p>
    <w:p w:rsidR="00AC56D6" w:rsidRDefault="00AC56D6" w:rsidP="00AC56D6">
      <w:pPr>
        <w:pStyle w:val="Extracto"/>
      </w:pPr>
    </w:p>
    <w:p w:rsidR="00AC56D6" w:rsidRDefault="00AC56D6" w:rsidP="00AC56D6">
      <w:pPr>
        <w:pStyle w:val="Extracto"/>
      </w:pPr>
      <w:r>
        <w:t>9.</w:t>
      </w:r>
      <w:r>
        <w:tab/>
        <w:t>Para controlar la concurrencia del presupuesto habilitante del decreto-ley, es preciso analizar dos elementos: los motivos que habiendo sido tenidos en cuenta por el Gobierno en su aprobación hayan sido explicitados de una forma razonada, y la existencia de necesaria conexión entre la situación de urgencia definida y la medida concreta adoptada para subvenir a la misma (STC 31/2011) [FJ 4].</w:t>
      </w:r>
    </w:p>
    <w:p w:rsidR="00AC56D6" w:rsidRDefault="00AC56D6" w:rsidP="00AC56D6">
      <w:pPr>
        <w:pStyle w:val="Extracto"/>
      </w:pPr>
    </w:p>
    <w:p w:rsidR="00AC56D6" w:rsidRDefault="00AC56D6" w:rsidP="00AC56D6">
      <w:pPr>
        <w:pStyle w:val="Extracto"/>
      </w:pPr>
      <w:r>
        <w:t>10.</w:t>
      </w:r>
      <w:r>
        <w:tab/>
        <w:t>Venimos admitiendo el uso del decreto-ley en situaciones de coyunturas económicas problemáticas, para cuyo tratamiento representa un instrumento constitucionalmente lícito, en tanto que pertinente y adecuado para la consecución del fin que justifica la legislación de urgencia, que no es otro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(STC 31/2011) [FJ 4].</w:t>
      </w:r>
    </w:p>
    <w:p w:rsidR="00AC56D6" w:rsidRDefault="00AC56D6" w:rsidP="00AC56D6">
      <w:pPr>
        <w:pStyle w:val="Extracto"/>
      </w:pPr>
    </w:p>
    <w:p w:rsidR="00AC56D6" w:rsidRDefault="00AC56D6" w:rsidP="00AC56D6">
      <w:pPr>
        <w:pStyle w:val="Extracto"/>
      </w:pPr>
      <w:r>
        <w:t>11.</w:t>
      </w:r>
      <w:r>
        <w:tab/>
        <w:t>La valoración de la concurrencia del presupuesto habilitante en un decreto-ley transversal, pasa por verificar que la motivación relativa a la existencia de dicho presupuesto, no es una vaga motivación genérica, sino que se refiere, expresamente, a cada precepto o grupo de preceptos, con el objetivo de exteriorizar las razones que justifican la inclusión de esas medidas en un decreto-ley [FJ 5].</w:t>
      </w:r>
    </w:p>
    <w:p w:rsidR="00AC56D6" w:rsidRDefault="00AC56D6" w:rsidP="00AC56D6">
      <w:pPr>
        <w:pStyle w:val="Extracto"/>
      </w:pPr>
    </w:p>
    <w:p w:rsidR="00AC56D6" w:rsidRDefault="00AC56D6" w:rsidP="00AC56D6">
      <w:pPr>
        <w:pStyle w:val="Extracto"/>
      </w:pPr>
      <w:r>
        <w:t>12.</w:t>
      </w:r>
      <w:r>
        <w:tab/>
        <w:t xml:space="preserve">Si bien este Tribunal ha reconocido que el derecho de acceso en condiciones de igualdad a las funciones y cargos públicos (art. 23.2 CE) incorpora, como garantía añadida, el derecho de los parlamentarios y de los grupos en que se integran a ejercer sus funciones en condiciones de igualdad y dentro de la legalidad parlamentaria, el </w:t>
      </w:r>
      <w:r w:rsidRPr="00AC56D6">
        <w:rPr>
          <w:i/>
        </w:rPr>
        <w:t xml:space="preserve">ius in officium </w:t>
      </w:r>
      <w:r>
        <w:t>es un derecho de configuración legal, ‘en el sentido de que compete básicamente a los Reglamentos de las Cámaras fijar y ordenar los derechos y atribuciones que a los parlamentarios corresponden, de modo que una vez creados los derechos y facultades de los parlamentarios, se integran en su status representativo [FJ 11].</w:t>
      </w:r>
    </w:p>
    <w:p w:rsidR="00AC56D6" w:rsidRDefault="00AC56D6" w:rsidP="00AC56D6">
      <w:pPr>
        <w:pStyle w:val="Extracto"/>
      </w:pPr>
    </w:p>
    <w:p w:rsidR="00AC56D6" w:rsidRDefault="00AC56D6" w:rsidP="00AC56D6">
      <w:pPr>
        <w:pStyle w:val="Extracto"/>
      </w:pPr>
      <w:r>
        <w:t>13.</w:t>
      </w:r>
      <w:r>
        <w:tab/>
        <w:t xml:space="preserve">Cualquier infracción del estatuto del parlamentario en la Cámara no representa, por sí sola, una lesión del derecho fundamental, toda vez que únicamente poseen relevancia constitucional aquellos derechos o facultades que pertenezcan al núcleo </w:t>
      </w:r>
      <w:r>
        <w:lastRenderedPageBreak/>
        <w:t>de la función representativa parlamentaria, por lo que sólo cabe apreciar vulneración del art. 23.2 CE si los propios órganos de las Asambleas impiden o coartan ilegítimamente su práctica o adoptan decisiones jurídicamente reprobables que contraríen la naturaleza de la representación o la igualdad de los representantes’ (STC 119/2011) [FJ 11].</w:t>
      </w:r>
    </w:p>
    <w:p w:rsidR="00AC56D6" w:rsidRDefault="00AC56D6" w:rsidP="00AC56D6">
      <w:pPr>
        <w:pStyle w:val="Extracto"/>
      </w:pPr>
    </w:p>
    <w:p w:rsidR="00AC56D6" w:rsidRDefault="00AC56D6" w:rsidP="00AC56D6">
      <w:pPr>
        <w:pStyle w:val="Extracto"/>
      </w:pPr>
      <w:r>
        <w:t>14.</w:t>
      </w:r>
      <w:r>
        <w:tab/>
        <w:t>El principio democrático consagrado por nuestra Constitución (art. 1.1 CE) impone que la formación de la voluntad se articule a través de un procedimiento en el que opera el principio mayoritario y, por tanto, la consecución de una determinada mayoría como fórmula para la integración de voluntades concurrentes (STC 129/2013) [FJ 11].</w:t>
      </w:r>
    </w:p>
    <w:p w:rsidR="00AC56D6" w:rsidRDefault="00AC56D6" w:rsidP="00AC56D6">
      <w:pPr>
        <w:pStyle w:val="Extracto"/>
      </w:pPr>
    </w:p>
    <w:p w:rsidR="00AC56D6" w:rsidRDefault="00AC56D6" w:rsidP="00AC56D6">
      <w:pPr>
        <w:pStyle w:val="Extracto"/>
      </w:pPr>
      <w:r>
        <w:t>15.</w:t>
      </w:r>
      <w:r>
        <w:tab/>
        <w:t>La impugnación de normas debe ir acompañada con una fundamentación que permita a las partes, a las que asiste el derecho de defensa, así como a este Tribunal que ha de pronunciar Sentencia, conocer las razones por las cuales los recurrentes entienden que las disposiciones cuestionadas vulneran el orden constitucional [FJ 2].</w:t>
      </w:r>
    </w:p>
    <w:p w:rsidR="00AC56D6" w:rsidRDefault="00AC56D6" w:rsidP="00AC56D6">
      <w:pPr>
        <w:pStyle w:val="Extracto"/>
      </w:pPr>
    </w:p>
    <w:p w:rsidR="00AC56D6" w:rsidRDefault="00AC56D6" w:rsidP="00AC56D6">
      <w:pPr>
        <w:pStyle w:val="Extracto"/>
      </w:pPr>
      <w:r>
        <w:t>16.</w:t>
      </w:r>
      <w:r>
        <w:tab/>
        <w:t>La presunción de constitucionalidad de normas con rango de ley no puede desvirtuarse sin una argumentación suficiente, no siendo admisibles las impugnaciones globales carentes de un razonamiento desarrollado que las sustente (STC 101/2013) [FJ 2].</w:t>
      </w:r>
    </w:p>
    <w:p w:rsidR="00AC56D6" w:rsidRDefault="00AC56D6" w:rsidP="00AC56D6">
      <w:pPr>
        <w:pStyle w:val="Extracto"/>
      </w:pPr>
    </w:p>
    <w:p w:rsidR="00AC56D6" w:rsidRDefault="00AC56D6" w:rsidP="00AC56D6">
      <w:pPr>
        <w:pStyle w:val="Extracto"/>
      </w:pPr>
      <w:r>
        <w:t>17.</w:t>
      </w:r>
      <w:r>
        <w:tab/>
        <w:t>La novación o derogación tácita a que se refiere el Abogado del Estado, no impide controlar si el ejercicio de la potestad reconocida al Gobierno por el art. 86.1 CE se realizó siguiendo los requisitos establecidos en dicho precepto constitucional, pues al hacerlo se trata de velar por el recto ejercicio de la potestad de dictar decretos-leyes, dentro del marco constitucional, decidiendo la validez o invalidez de las normas impugnadas sin atender a su vigencia o derogación en el momento en que se pronuncia el fallo (STC 137/2011) [FJ 2].</w:t>
      </w:r>
    </w:p>
    <w:p w:rsidR="00AC56D6" w:rsidRDefault="00AC56D6" w:rsidP="00AC56D6">
      <w:pPr>
        <w:pStyle w:val="Extracto"/>
      </w:pPr>
    </w:p>
    <w:p w:rsidR="00AC56D6" w:rsidRDefault="00AC56D6" w:rsidP="00AC56D6">
      <w:pPr>
        <w:pStyle w:val="Extracto"/>
      </w:pPr>
      <w:r>
        <w:t>18.</w:t>
      </w:r>
      <w:r>
        <w:tab/>
        <w:t>En lo relativo a la improcedente elevación de rango y a la posibilidad de regular, mediante decreto, el contenido llevado a un decreto-ley,  si bien a primera vista tal posibilidad puede constituir un indicio de la inexistencia de un supuesto de extraordinaria y urgente de necesidad, desde una perspectiva constitucional, debe partirse, como hemos reconocido en otras ocasiones, de que nuestro sistema de fuentes no contempla reservas de reglamento, lo cual implica que a la ley no le está vedada la regulación de materias atribuidas anteriormente al poder reglamentario (STC  5/1981 y 120/2014) [FFJJ 7, 8].</w:t>
      </w:r>
    </w:p>
    <w:p w:rsidR="00AC56D6" w:rsidRDefault="00AC56D6" w:rsidP="00AC56D6">
      <w:pPr>
        <w:pStyle w:val="Extracto"/>
      </w:pPr>
    </w:p>
    <w:p w:rsidR="00AC56D6" w:rsidRDefault="00AC56D6" w:rsidP="00AC56D6">
      <w:pPr>
        <w:pStyle w:val="Extracto"/>
      </w:pPr>
      <w:r>
        <w:t>19.</w:t>
      </w:r>
      <w:r>
        <w:tab/>
        <w:t>La valoración de la extraordinaria y urgente necesidad de una medida puede ser independiente de su imprevisibilidad e, incluso, de que tenga su origen en la previa inactividad del propio Gobierno siempre que concurra efectivamente la excepcionalidad de la situación, pues lo que ha de importar no es tanto la causa de las circunstancias que justifican la legislación de urgencia cuanto el hecho de que tales circunstancias efectivamente concurran (STC 11/2002) [FJ 9].</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lastRenderedPageBreak/>
        <w:t>El Pleno del Tribunal Constitucional, compuesto por don Francisco Pérez de los Cobos Orihuel, Presidente, doña Adela Asua Batarrita, doña Encarnación Roca Trías, don Andrés Ollero Tassara, don Fernando Valdés Dal-Ré, don Juan José González-Rivas, don Santiago Martínez-Vares García, don Juan Antonio Xiol Ríos, don Pedro González-Trevijano Sánchez, don Ricardo Enríquez Sánchez,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inconstitucionalidad 5099-2014, promovido por más de cincuenta Diputados de los Grupo Parlamentarios Socialista; IU, ICV-EUiA, CHA: La Izquierda plural; y Unión Progreso y Democracia, contra el Real Decreto-ley 8/2014, de 4 de julio, de aprobación de medidas urgentes para el crecimiento, la competitividad y la eficiencia. Han comparecido el Congreso y el Senado y formulado alegaciones el Gobierno. Ha sido Ponente el Magistrado don Pedro José González Trevijano Sánchez,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presentado en el Registro General de este Tribunal el día 31 de julio de 2014, doña Virginia Aragón Segura, Procuradora de los Tribunales, en nombre y representación de más de cincuenta Diputados de los Grupo Parlamentarios Socialista; IU, ICV-EUiA, CHA: La Izquierda plural; y Unión Progreso y Democracia, interpone recurso de inconstitucionalidad contra el Real Decreto-ley 8/2014, de 4 de julio, de aprobación de medidas urgentes para el crecimiento, la competitividad y la eficiencia.</w:t>
      </w:r>
    </w:p>
    <w:p w:rsidR="00AC56D6" w:rsidRDefault="00AC56D6" w:rsidP="00AC56D6">
      <w:pPr>
        <w:pStyle w:val="TextoNormal"/>
      </w:pPr>
    </w:p>
    <w:p w:rsidR="00AC56D6" w:rsidRDefault="00AC56D6" w:rsidP="00AC56D6">
      <w:pPr>
        <w:pStyle w:val="TextoNormal"/>
      </w:pPr>
      <w:r w:rsidRPr="00AC56D6">
        <w:rPr>
          <w:rStyle w:val="NumeroAFNegritaCaracter"/>
        </w:rPr>
        <w:t>2</w:t>
      </w:r>
      <w:r>
        <w:t>. El motivo principal de inconstitucionalidad invocado por los legitimados para interponer este recurso es la vulneración, por parte del Decreto-ley impugnado, de las exigencias del art. 86.1 CE, en particular en materia de presupuesto habilitante, al tratarse de una norma que incorpora gran diversidad de materias, no dándose respecto de ellas, consideradas en conjunto, un presupuesto habilitante común de extraordinaria y urgente necesidad, que puede justificar, de modo global, la promulgación del Decreto-ley. Junto a la falta de presupuesto habilitante, los recurrentes alegan que el Decreto-ley 8/2014 afecta a derechos regulados en el título I, en particular el derecho a la intimidad (art. 18.1 CE).</w:t>
      </w:r>
    </w:p>
    <w:p w:rsidR="00AC56D6" w:rsidRDefault="00AC56D6" w:rsidP="00AC56D6">
      <w:pPr>
        <w:pStyle w:val="TextoNormal"/>
      </w:pPr>
    </w:p>
    <w:p w:rsidR="00AC56D6" w:rsidRDefault="00AC56D6" w:rsidP="00AC56D6">
      <w:pPr>
        <w:pStyle w:val="TextoNormal"/>
      </w:pPr>
      <w:r>
        <w:t xml:space="preserve">a) La primera parte del escrito de interposición del recurso de inconstitucionalidad realiza una aproximación general a la doctrina de este Tribunal acerca del decreto-ley y expone lo que, a juicio de los recurrentes, es una abusiva utilización del mismo en la legislatura actual. En línea con este argumento se afirma que el recurso a esta figura de legislación de urgencia por parte del Gobierno se ha convertido en la forma ordinaria de legislar, criticándose esta </w:t>
      </w:r>
      <w:r>
        <w:lastRenderedPageBreak/>
        <w:t>opción por desvirtuar los fundamentos de la democracia parlamentaria y los esquemas clásicos del sistema de fuentes del derecho y de división de poderes, y por limitar las facultades constitucionalmente reconocidas a los diputados y grupos minoritarios, especialmente en una situación de Gobierno con sustento de una mayoría absoluta parlamentaria en las dos Cámaras que integran las Cortes Generales. Las críticas a la práctica descrita se completan con la afirmación del inadecuado recurso al decreto-ley concebido para atender una determinada necesidad regulatoria, como vehículo legislativo en la introducción de otras modificaciones del ordenamiento que no tienen conexión alguna con la regulación inicialmente proyectada, ofreciéndose varios ejemplos de esta práctica desde el año 2012. Los recurrentes concluyen su argumentación en este punto, afirmando que la práctica de incluir en un decreto-ley un conjunto de modificaciones del ordenamiento que no tienen conexión alguna con la regulación inicialmente proyectada, no sólo afecta al principio de excepcionalidad en la sustitución de la potestad legislativa de las Cortes, sino que además supone una vulneración efectiva de principios proclamados en el art. 9.3 CE, específicamente los de seguridad jurídica e interdicción de la arbitrariedad, en relación con el derecho fundamental al acceso a las funciones y cargos públicos (art. 23.2 CE) en su vertiente de garantía de permanencia y ejercicio de éstos en condiciones de igualdad con los requisitos que se señalen en las leyes.</w:t>
      </w:r>
    </w:p>
    <w:p w:rsidR="00AC56D6" w:rsidRDefault="00AC56D6" w:rsidP="00AC56D6">
      <w:pPr>
        <w:pStyle w:val="TextoNormal"/>
      </w:pPr>
    </w:p>
    <w:p w:rsidR="00AC56D6" w:rsidRDefault="00AC56D6" w:rsidP="00AC56D6">
      <w:pPr>
        <w:pStyle w:val="TextoNormal"/>
      </w:pPr>
      <w:r>
        <w:t>b) Haciendo referencia específica al contenido del Real Decreto-ley 8/2014, de 4 de julio, los recurrentes describen la diversidad normativa que integra, de manera extensa y exhaustiva, afirmando que el mismo es un nuevo exponente del uso del decreto-ley para regular una multiplicidad de supuestos normativos que no tienen conexión entre sí. Si bien el recurso admite que la jurisprudencia del Tribunal asume la constitucionalidad de leyes complejas, multisectoriales o de contenido heterogéneo, que pueden ser expresión de una deficiente técnica legislativa, sin que por ello quepa inferir de modo necesario una infracción de la Constitución (con cita de la STC 136/2011, de 13 de septiembre, FJ 3), se rechaza que esta consolidada doctrina avale que las mismas notas de complejidad, heterogeneidad o multisectorialidad se acepten en relación con los decretos-leyes.</w:t>
      </w:r>
    </w:p>
    <w:p w:rsidR="00AC56D6" w:rsidRDefault="00AC56D6" w:rsidP="00AC56D6">
      <w:pPr>
        <w:pStyle w:val="TextoNormal"/>
      </w:pPr>
    </w:p>
    <w:p w:rsidR="00AC56D6" w:rsidRDefault="00AC56D6" w:rsidP="00AC56D6">
      <w:pPr>
        <w:pStyle w:val="TextoNormal"/>
      </w:pPr>
      <w:r>
        <w:t>Las razones que sustentan este rechazo son dos. En primer lugar, que el decreto-ley exige la concurrencia de un presupuesto habilitante que, aunque existiera en todos los supuestos que el Real Decreto-ley 8/2014 regula, no sería un presupuesto habilitante único, sino una diversidad de ellos, lo que podría haber dado lugar a la aprobación de diferentes decretos-leyes, pero no a la promulgación de uno solo. En segundo lugar, que no existe conexión entre los asuntos regulados en el decreto-ley porque, adoptada por el Gobierno la decisión de dictarlo, se han ido añadiendo asuntos al mismo que, aunque su regulación urgente fuera considerada conveniente, no estaban en modo alguno cubiertos por el presupuesto habilitante causante de la primera decisión, que es el recogido por la exposición de motivos del Real Decreto-ley 8/2014 (apartado I) y el que se expone en el trámite parlamentario de convalidación por la Vicepresidenta del Gobierno, esto es, la ejecución del “Plan de medidas para el crecimiento, la competitividad y la eficiencia, aprobado por el Consejo de Ministros el pasado 6 de junio, que contempla un paquete de medidas respetuosas con el objetivo de saneamiento fiscal, que impulsen el crecimiento y la competitividad presente y futura de la economía y la financiación empresarial”. En síntesis, los recurrentes afirman que no todos las disposiciones contenidas en el Decreto-ley impugnado se ajustan al presupuesto habilitante, por lo que el mismo incumple las exigencias del art. 86.1 CE en materia de presupuesto habilitante, por la incorporación de asuntos diversos que no responden a la situación de extraordinaria y urgente necesidad que puede justificar su promulgación.</w:t>
      </w:r>
    </w:p>
    <w:p w:rsidR="00AC56D6" w:rsidRDefault="00AC56D6" w:rsidP="00AC56D6">
      <w:pPr>
        <w:pStyle w:val="TextoNormal"/>
      </w:pPr>
    </w:p>
    <w:p w:rsidR="00AC56D6" w:rsidRDefault="00AC56D6" w:rsidP="00AC56D6">
      <w:pPr>
        <w:pStyle w:val="TextoNormal"/>
      </w:pPr>
      <w:r>
        <w:t>Como argumento adicional, los recurrentes afirman que el uso abusivo del decreto-ley supone una lesión del art. 23.2 CE, al limitar las facultades de las Cortes y de sus miembros, en lo que hace a las facultades de examen, deliberación y enmienda de los decretos-leyes, que son sometidos a debate y votación de totalidad en el Pleno del Congreso. Tal uso abusivo concurre, a juicio de los firmantes del recurso de inconstitucionalidad, cuando no puede existir un debate sobre las medidas que el decreto-ley incluye por su contenido diverso, heterogéneo e inconexo, y ello porque ni siquiera puede llevarse a cabo un debate con los Ministros responsables sobre el contenido normativo del decreto-ley, en la medida en que el debate de totalidad que prevén los arts. 86.2 CE y 151 del Reglamento del Congreso de los Diputados no da cabida a ese tipo de discusión. Ello conduce a los recurrentes a estimar que las limitaciones expuestas, derivadas de la aprobación de un decreto-ley de estas características, suponen también la vulneración del derecho fundamental de los parlamentarios al acceso a las funciones y cargos públicos en su vertiente de garantía de permanencia y ejercicio de éstos en condiciones de igualdad con los requisitos que se señalen en las leyes.</w:t>
      </w:r>
    </w:p>
    <w:p w:rsidR="00AC56D6" w:rsidRDefault="00AC56D6" w:rsidP="00AC56D6">
      <w:pPr>
        <w:pStyle w:val="TextoNormal"/>
      </w:pPr>
    </w:p>
    <w:p w:rsidR="00AC56D6" w:rsidRDefault="00AC56D6" w:rsidP="00AC56D6">
      <w:pPr>
        <w:pStyle w:val="TextoNormal"/>
      </w:pPr>
      <w:r>
        <w:t>c) En tercer término, el recurso plantea, reiterando un argumento previamente expuesto, que a la hora de examinar la concurrencia del presupuesto habilitante de la extraordinaria y urgente necesidad, el Tribunal Constitucional insta a llevar a cabo una valoración conjunta de los factores que llevaron al Gobierno a la aprobación de un decreto-ley. De un análisis tal, resulta, a juicio de los recurrentes, que la justificación del Gobierno adolece de la falta de un fundamento común a las medidas que incorpora, ya que los fundamentos se presentan de forma individualizada y sin apenas referencia a un motivo extraordinario y perentorio que resulte aceptable para justificar al conjunto de previsiones del Decreto-ley.</w:t>
      </w:r>
    </w:p>
    <w:p w:rsidR="00AC56D6" w:rsidRDefault="00AC56D6" w:rsidP="00AC56D6">
      <w:pPr>
        <w:pStyle w:val="TextoNormal"/>
      </w:pPr>
    </w:p>
    <w:p w:rsidR="00AC56D6" w:rsidRDefault="00AC56D6" w:rsidP="00AC56D6">
      <w:pPr>
        <w:pStyle w:val="TextoNormal"/>
      </w:pPr>
      <w:r>
        <w:t>Realizada esta observación, el escrito de interposición del recurso de inconstitucionalidad, pasa a analizar la exposición de motivos del Real Decreto-ley 8/2014. Así se describe, sin realizar otro tipo de valoración, que en el apartado I de la exposición de motivos se vincula la aprobación del Decreto-ley con el plan aprobado por el Consejo de Ministros el 6 de junio, mientras que en el apartado II justifica la adopción de las medidas relativas a la “financiación de la actividad económica” (capítulo I, del título I) en “las dificultades actuales con que se encuentran las PYME españolas”, la “necesidad urgente” de incluir la articulación de un programa de garantías del ICO en el Real Decreto-ley, y la modificación legislativa para permitir a las entidades locales concertar operaciones de refinanciación o de sustitución de los préstamos formalizados con el fondo para la financiación de los pagos a proveedores en mejores condiciones financieras, al estar próxima la finalización del período de carencia de la amortización de los préstamos formalizados en la primera fase del mecanismo de pagos a proveedores articulada en el Real Decreto-ley 4/2012, de 24 de febrero.</w:t>
      </w:r>
    </w:p>
    <w:p w:rsidR="00AC56D6" w:rsidRDefault="00AC56D6" w:rsidP="00AC56D6">
      <w:pPr>
        <w:pStyle w:val="TextoNormal"/>
      </w:pPr>
    </w:p>
    <w:p w:rsidR="00AC56D6" w:rsidRDefault="00AC56D6" w:rsidP="00AC56D6">
      <w:pPr>
        <w:pStyle w:val="TextoNormal"/>
      </w:pPr>
      <w:r>
        <w:t>Se expone seguidamente el contenido del apartado III de la exposición de motivos, que justifica las medidas de impulso a la actividad económica (capítulo II, título I), en “la importancia de las medidas, en el seno de la actividad económica general del país”, criticando en este caso los recurrentes que la motivación del Gobierno no identifica la situación de extraordinaria y urgente necesidad que haya justificado la inclusión de las medidas previstas en este capítulo II del título I en el Decreto-ley, lo que debiera haber sido imprescindible, puesto que alguna de las medidas incluidas no tendrá vigencia efectiva hasta que se cumpla el plazo de seis meses desde la entrada en vigor de la norma.</w:t>
      </w:r>
    </w:p>
    <w:p w:rsidR="00AC56D6" w:rsidRDefault="00AC56D6" w:rsidP="00AC56D6">
      <w:pPr>
        <w:pStyle w:val="TextoNormal"/>
      </w:pPr>
    </w:p>
    <w:p w:rsidR="00AC56D6" w:rsidRDefault="00AC56D6" w:rsidP="00AC56D6">
      <w:pPr>
        <w:pStyle w:val="TextoNormal"/>
      </w:pPr>
      <w:r>
        <w:lastRenderedPageBreak/>
        <w:t>En cuanto a las medidas incluidas en el título II, todas ellas de la competencia del Ministerio de Fomento, el recurso transcribe, sin realizar observación accesoria alguna, los motivos contenidos en la exposición de motivos para justificar las modificaciones introducidas en el régimen legal de los aeropuertos. Sí detallan los recurrentes sus críticas en relación con la justificación de la regulación de las aeronaves no tripuladas, afirmando que si en este caso la extraordinaria y urgente necesidad se deriva de “la necesidad de dotar de un marco jurídico en condiciones de seguridad que permita el desarrollo de un sector tecnológicamente puntero y con gran capacidad de crecimiento”, no tiene sentido que el propio art. 50 del Real Decreto-ley establezca que el mismo será aplicable hasta la entrada en vigor de la disposición reglamentaria prevista en la disposición final segunda, apartado 2, encontrándonos con una norma que no requería de disposición alguna de rango legal, por lo que mucho menos estaría justificada su aprobación mediante decreto-ley. Afirman los recurrentes que similares justificaciones se incluyen en la exposición de motivos para fundamentar la inclusión de algunas, que no todas, las demás modificaciones introducidas en el ámbito portuario, pero sin realizar precisiones ulteriores en relación con esta afirmación.</w:t>
      </w:r>
    </w:p>
    <w:p w:rsidR="00AC56D6" w:rsidRDefault="00AC56D6" w:rsidP="00AC56D6">
      <w:pPr>
        <w:pStyle w:val="TextoNormal"/>
      </w:pPr>
    </w:p>
    <w:p w:rsidR="00AC56D6" w:rsidRDefault="00AC56D6" w:rsidP="00AC56D6">
      <w:pPr>
        <w:pStyle w:val="TextoNormal"/>
      </w:pPr>
      <w:r>
        <w:t>Respecto de las modificaciones en materia energética (título III), se produce, a decir de esta parte, una auténtica reforma estructural de la normativa reguladora del sector de hidrocarburos, con el sólo e insuficiente argumento de su inclusión en el Decreto-ley que la necesidad genérica de “garantizar la sostenibilidad económica del sistema gasista”, que se concreta en relación con las disposiciones sobre eficiencia energética, en “la necesidad de trasponer la Directiva 2012/27/UE, cuyo plazo de trasposición venció el 5 de junio, sin que el Gobierno hasta la fecha se viera urgido a realizar dicha trasposición”. Los recurrentes se detienen después en la modificación de la Ley 22/1973, de 21 de julio, de minas, que se justifica en la necesidad de “adaptar el sistema de referencia a las nuevas prescripciones introducidas por el Real Decreto 1071/2007, de 27 de julio, por el que se regula el sistema geodésico de referencia oficial en España”, y en la disposición final del Real Decreto-ley 8/2014, que, debido a la complejidad del proceso de adaptación de los derechos mineros españoles a las nuevas referencias cartográficas, habilita al Gobierno para aprobar un Real decreto que desarrolle la aplicación de la modificación del art. 76.2 de la Ley 22/1973, de 21 de julio, conforme a su nueva redacción. En relación con estas disposiciones, entienden los recurrentes que estamos de nuevo ante una reforma legislativa que, ni cumple con el requisito de extraordinaria y urgente necesidad, por cuanto viene requerido por una norma reglamentaria del año 2007, que además prevé su implantación en 2015, ni precisaba de una norma con rango de ley, especialmente la derogación del precepto del Reglamento de 1978.</w:t>
      </w:r>
    </w:p>
    <w:p w:rsidR="00AC56D6" w:rsidRDefault="00AC56D6" w:rsidP="00AC56D6">
      <w:pPr>
        <w:pStyle w:val="TextoNormal"/>
      </w:pPr>
    </w:p>
    <w:p w:rsidR="00AC56D6" w:rsidRDefault="00AC56D6" w:rsidP="00AC56D6">
      <w:pPr>
        <w:pStyle w:val="TextoNormal"/>
      </w:pPr>
      <w:r>
        <w:t>Al hilo de las anteriores observaciones, los recurrentes afirman que este Decreto-ley se utiliza para aprobar preceptos que ni siquiera hubieran requerido de normas con rango de ley, como demuestra la disposición final cuarta, que expresamente, y para evitar una congelación normativa, viene a disponer que “las determinaciones incluidas en normas reglamentarias que son objeto de modificación por este real decreto-ley podrán ser modificadas por normas del rango reglamentario correspondiente a la norma en que figuran”, y que en su apartado 2 habilita al Gobierno expresamente para “modificar los artículos 63 y 64 y los anexos X (Metodología de cálculo de la retribución de la actividad de distribución) y XI (Metodología de cálculo de la retribución de las actividades de transporte, regasificación y almacenamiento básico) del presente real decreto-ley y al Ministro de Industria, Energía y Turismo a desarrollar el contenido de todos los anteriores”.</w:t>
      </w:r>
    </w:p>
    <w:p w:rsidR="00AC56D6" w:rsidRDefault="00AC56D6" w:rsidP="00AC56D6">
      <w:pPr>
        <w:pStyle w:val="TextoNormal"/>
      </w:pPr>
    </w:p>
    <w:p w:rsidR="00AC56D6" w:rsidRDefault="00AC56D6" w:rsidP="00AC56D6">
      <w:pPr>
        <w:pStyle w:val="TextoNormal"/>
      </w:pPr>
      <w:r>
        <w:lastRenderedPageBreak/>
        <w:t>Pasando a la justificación de la urgencia de las medidas contenidas en el título IV del Real Decreto-ley, los recurrentes afirman que este título, no sólo establece el régimen de implantación del Sistema Nacional de Garantía Juvenil, al que no se refiere esta parte con más detalle, sino que recoge otras medidas, como la ampliación de las actividades permitidas a las empresas de trabajo temporal en relación con la formación para la cualificación profesional y de consultoría y asesoramiento de recursos humanos, que tampoco encuentran una justificación suficiente, al aludir exclusivamente la exposición de motivos de la norma a que “es imprescindible adaptar cuanto antes sus preceptos a los principios de la Ley 20/2013, de 9 de diciembre, de garantía de la unidad de mercado”.</w:t>
      </w:r>
    </w:p>
    <w:p w:rsidR="00AC56D6" w:rsidRDefault="00AC56D6" w:rsidP="00AC56D6">
      <w:pPr>
        <w:pStyle w:val="TextoNormal"/>
      </w:pPr>
    </w:p>
    <w:p w:rsidR="00AC56D6" w:rsidRDefault="00AC56D6" w:rsidP="00AC56D6">
      <w:pPr>
        <w:pStyle w:val="TextoNormal"/>
      </w:pPr>
      <w:r>
        <w:t xml:space="preserve">Por último, en lo que hace a la parte final del Real Decreto-ley 8/2014, donde se recogen una serie de disposiciones adicionales, transitorias y finales, los recurrentes se limitan a hacer referencia expresa a la medida de aplazamiento de la entrada en vigor y la modificación de la Ley del Registro Civil, que asigna la llevanza del mismo a los Registradores de la Propiedad y Mercantiles que en cada momento tengan a su cargo las oficinas del Registro Mercantil, por razón de su competencia territorial. Ambas medidas se justifican en que “la inminente entrada en vigor de la ley hace completamente imprescindible la utilización de la figura constitucional del Real Decreto-ley, dando respuesta normativa inmediata a una cuestión inaplazable”, habida cuenta de la imposibilidad de que entrase en vigor, en los términos aprobados por la Ley 20/2011, la reforma del Registro Civil que tenía una </w:t>
      </w:r>
      <w:r w:rsidRPr="00AC56D6">
        <w:rPr>
          <w:i/>
        </w:rPr>
        <w:t>vacatio legis</w:t>
      </w:r>
      <w:r>
        <w:t xml:space="preserve"> de tres años. Los recurrentes entienden que, en este caso, paradójicamente, se resuelve una cuestión inaplazable, mediante un aplazamiento.</w:t>
      </w:r>
    </w:p>
    <w:p w:rsidR="00AC56D6" w:rsidRDefault="00AC56D6" w:rsidP="00AC56D6">
      <w:pPr>
        <w:pStyle w:val="TextoNormal"/>
      </w:pPr>
    </w:p>
    <w:p w:rsidR="00AC56D6" w:rsidRDefault="00AC56D6" w:rsidP="00AC56D6">
      <w:pPr>
        <w:pStyle w:val="TextoNormal"/>
      </w:pPr>
      <w:r>
        <w:t>En síntesis, los recurrentes afirman que las justificaciones relativas a la concurrencia del presupuesto habilitante, afirmaciones genéricas, abstractas y, en algunos casos, contradictorias, formuladas en términos tales que las mismas serían de aplicación a cualquier tipo de reforma legislativa. Se afirma que el deseo de inmediatez de las modificaciones normativas no constituye por sí solo una justificación de la urgencia, como tampoco se justifica la extraordinaria necesidad que ha de ligarse a la imprevisibilidad de la situación que busca enfrentar el Decreto-ley. Invocando las SSTC 6/1983, de 4 de febrero; 29/1986, de 20 de febrero; 68/2007, de 28 de marzo, y 1/2012, de 13 de enero, se afirma que la imprevisibilidad o excepcionalidad debe interpretarse en el sentido de vincular la situación excepcional no al contexto general, sino a las consecuencias específicas de la no aplicación de la novedosa regulación normativa.</w:t>
      </w:r>
    </w:p>
    <w:p w:rsidR="00AC56D6" w:rsidRDefault="00AC56D6" w:rsidP="00AC56D6">
      <w:pPr>
        <w:pStyle w:val="TextoNormal"/>
      </w:pPr>
    </w:p>
    <w:p w:rsidR="00AC56D6" w:rsidRDefault="00AC56D6" w:rsidP="00AC56D6">
      <w:pPr>
        <w:pStyle w:val="TextoNormal"/>
      </w:pPr>
      <w:r>
        <w:t xml:space="preserve">d) Por último se afirma que las disposiciones adicionales decimonovena a vigésima cuarta del Real Decreto-ley 8/2014, comportan la vulneración del art. 86.1 CE, al afectar a derechos regulados en el título I de la Constitución. Estos preceptos atribuyen la llevanza del Registro Civil a los Registradores de la Propiedad y Mercantiles, lo que supondría, a juicio de esta parte, poner en manos de operadores privados datos sensibles de los ciudadanos, lo que constituye una afectación por decreto-ley de un derecho regulado en el título I CE, como es el derecho a la intimidad. Entienden los recurrentes que los datos que se recogen en el Registro Civil, relativos a los hechos y actos que se refieren a la identidad, estado civil y demás circunstancias de la persona (nacimiento, filiación, nombre y apellidos, sexo y cambio de sexo, nacionalidad y vecindad civil, emancipación y beneficio de la mayoría de edad, matrimonio, régimen económico matrimonial, relaciones paterno-filiales, modificación judicial de la capacidad de las personas, defunción) son circunstancias que afectan al núcleo del derecho constitucional a la intimidad personal y que, hasta la modificación </w:t>
      </w:r>
      <w:r>
        <w:lastRenderedPageBreak/>
        <w:t>introducida por el Real Decreto-ley impugnado, estaban en manos de funcionarios públicos, tal y como se deduce de la Ley del Registro Civil, de 17 de junio de 1870, del art. 86 de la Ley Orgánica 6/1985, de 1 de julio, del Poder Judicial, y de la Ley 20/2011, de 21 de julio, del Registro Civil, que si bien desjudicializaba el Registro, lo mantenía en manos de funcionarios públicos, conservando inmutable la tutela pública sobre los datos inscritos. En definitiva, los recurrentes afirman que al proceder a una privatización encubierta del Registro Civil, el Real Decreto-ley 8/2014 arrebata a la Administración pública su gestión, afectando a un derecho reconocido en el título I de la Constitución, el derecho a la intimidad reconocido en el art. 18.1 CE, incorporando una regulación que altera un elemento esencial del derecho a la intimidad constitucionalmente reconocido.</w:t>
      </w:r>
    </w:p>
    <w:p w:rsidR="00AC56D6" w:rsidRDefault="00AC56D6" w:rsidP="00AC56D6">
      <w:pPr>
        <w:pStyle w:val="TextoNormal"/>
      </w:pPr>
    </w:p>
    <w:p w:rsidR="00AC56D6" w:rsidRDefault="00AC56D6" w:rsidP="00AC56D6">
      <w:pPr>
        <w:pStyle w:val="TextoNormal"/>
      </w:pPr>
      <w:r w:rsidRPr="00AC56D6">
        <w:rPr>
          <w:rStyle w:val="NumeroAFNegritaCaracter"/>
        </w:rPr>
        <w:t>3</w:t>
      </w:r>
      <w:r>
        <w:t>. El Pleno del Tribunal Constitucional, a propuesta de la Sección Tercera, por providencia de 23 de septiembre de 2014, acordó admitir a trámite el recurso de inconstitucionalidad promovido por más de cincuenta Diputados de los Grupos Parlamentarios Socialista; IU, ICV-EUiA, CHA: La Izquierda plural; y Unión Progreso y Democracia, contra el Real Decreto-ley 8/2014, de 4 de julio, de aprobación de medidas urgentes para el crecimiento, la competitividad y la eficiencia. A su vez decidió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estimaren convenientes, y, finalmente, publicar la incoación del recurso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4</w:t>
      </w:r>
      <w:r>
        <w:t>. Por escrito presentado en el Registro General del Tribunal Constitucional el 29 de septiembre de 2014, el Abogado del Estado solicita ser tenido por personado en nombre del Gobierno en el presente recurso, suplicando que se lo conceda prórroga del plazo para formular alegaciones por ocho días más.</w:t>
      </w:r>
    </w:p>
    <w:p w:rsidR="00AC56D6" w:rsidRDefault="00AC56D6" w:rsidP="00AC56D6">
      <w:pPr>
        <w:pStyle w:val="TextoNormal"/>
      </w:pPr>
    </w:p>
    <w:p w:rsidR="00AC56D6" w:rsidRDefault="00AC56D6" w:rsidP="00AC56D6">
      <w:pPr>
        <w:pStyle w:val="TextoNormal"/>
      </w:pPr>
      <w:r w:rsidRPr="00AC56D6">
        <w:rPr>
          <w:rStyle w:val="NumeroAFNegritaCaracter"/>
        </w:rPr>
        <w:t>5</w:t>
      </w:r>
      <w:r>
        <w:t>. Mediante sendos escritos presentado en el Registro General de este Tribunal los días 1 y 3 de octubre de 2014, los Presidentes del Senado y del Congreso de los Diputados respectivamente, comunicaron los acuerdos de las Mesas de una y otra Cámara de dar por personadas a las mismas en el procedimiento y por ofrecida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6</w:t>
      </w:r>
      <w:r>
        <w:t>. El Abogado del Estado presentó sus alegaciones mediante escrito registrado el 27 de octubre de 2010, interesando la desestimación del recurso de inconstitucionalidad interpuesto.</w:t>
      </w:r>
    </w:p>
    <w:p w:rsidR="00AC56D6" w:rsidRDefault="00AC56D6" w:rsidP="00AC56D6">
      <w:pPr>
        <w:pStyle w:val="TextoNormal"/>
      </w:pPr>
    </w:p>
    <w:p w:rsidR="00AC56D6" w:rsidRDefault="00AC56D6" w:rsidP="00AC56D6">
      <w:pPr>
        <w:pStyle w:val="TextoNormal"/>
      </w:pPr>
      <w:r>
        <w:t>En primer término, el escrito de alegaciones concreta el objeto del recurso de inconstitucionalidad, recordando que el Real Decreto-ley 8/2014 fue objeto de tramitación como proyecto de ley, dando lugar a la Ley 18/2014, de 15 de octubre, de aprobación de medidas urgentes para el crecimiento, la competitividad y la eficiencia, que contiene una disposición derogatoria referida a cuantas normas entren en contradicción con la ley, entre las que hay que entender este Real Decreto-ley 8/2014 por lo que el recurso, de acuerdo con la jurisprudencia del Tribunal, debería limitarse exclusivamente a la alegada indebida utilización del decreto-ley.</w:t>
      </w:r>
    </w:p>
    <w:p w:rsidR="00AC56D6" w:rsidRDefault="00AC56D6" w:rsidP="00AC56D6">
      <w:pPr>
        <w:pStyle w:val="TextoNormal"/>
      </w:pPr>
    </w:p>
    <w:p w:rsidR="00AC56D6" w:rsidRDefault="00AC56D6" w:rsidP="00AC56D6">
      <w:pPr>
        <w:pStyle w:val="TextoNormal"/>
      </w:pPr>
      <w:r>
        <w:lastRenderedPageBreak/>
        <w:t>En segundo lugar se afirma, en relación con todo el recurso, pero en particular con los títulos IV y V, que no existe en la demanda el razonamiento necesario para justificar la inconstitucionalidad de la norma recurrida, realizándose una argumentación genérica y superficial sobre la ausencia del presupuesto habilitante, que justifica que el Abogado del Estado no responda en las alegaciones más que respecto de los preceptos mínimamente fundados en el escrito de demanda.</w:t>
      </w:r>
    </w:p>
    <w:p w:rsidR="00AC56D6" w:rsidRDefault="00AC56D6" w:rsidP="00AC56D6">
      <w:pPr>
        <w:pStyle w:val="TextoNormal"/>
      </w:pPr>
    </w:p>
    <w:p w:rsidR="00AC56D6" w:rsidRDefault="00AC56D6" w:rsidP="00AC56D6">
      <w:pPr>
        <w:pStyle w:val="TextoNormal"/>
      </w:pPr>
      <w:r>
        <w:t>Por último, y antes de entrar al análisis específico de cada precepto del decreto-ley que el Abogado del Estado considera concretamente impugnado, se recuerda cual es la jurisprudencia constitucional en materia del presupuesto habilitante del decreto-ley, para proceder, acto seguido, a especificar cuál es el que concurre en este caso, y establecer que el mismo se encuentra debida y extensamente expuesto en la exposición de motivos, en la memoria de impacto normativo y en el discurso de convalidación ante el Congreso de la Vicepresidenta del Gobierno.</w:t>
      </w:r>
    </w:p>
    <w:p w:rsidR="00AC56D6" w:rsidRDefault="00AC56D6" w:rsidP="00AC56D6">
      <w:pPr>
        <w:pStyle w:val="TextoNormal"/>
      </w:pPr>
    </w:p>
    <w:p w:rsidR="00AC56D6" w:rsidRDefault="00AC56D6" w:rsidP="00AC56D6">
      <w:pPr>
        <w:pStyle w:val="TextoNormal"/>
      </w:pPr>
      <w:r>
        <w:t>Por lo que se refiere a la exposición de motivos, en ella se alude a la decisión adoptada el 6 junio por el Consejo de Ministros que aprobó el plan de “medidas para el crecimiento, la competitividad y la eficiencia, que contempla un paquete de medidas con el objetivo de saneamiento fiscal, que impulsen el crecimiento y la competitividad presente y futura de la economía y la financiación empresarial”, siendo el decreto-ley la norma que articula las medidas legislativas necesarias para la ejecución del plan. Todas ellas se dirigen a aumentar la competitividad y fomentar el funcionamiento eficiente de los mercados y mejorar la financiación, así como a optimizar la empleabilidad en el contexto de la superación de una notoria e intensa crisis económica, organizándose las medidas en torno a tres ejes: fomentar la competitividad y el funcionamiento eficiente de los mercados; mejorar el acceso a la financiación; y fomentar la empleabilidad y la ocupación, avanzándose además algunas medidas de la reforma fiscal. El Abogado del Estado se refiere a que el preámbulo del decreto-ley justifica suficientemente la urgencia y necesidad de las medidas adoptadas y transcribe buena parte del mismo, haciéndolo también con la intervención de la Vicepresidenta en el trámite de convalidación del Real Decreto-ley en el Congreso de los Diputados. Sintetizando las ideas contenidas en ambos fragmentos, la Abogacía del Estado afirma que la actual situación económica es la causa para adoptar las medidas contenidas en la norma impugnada, de modo que las mismas puedan ponerse en marcha de manera inmediata para aprovechar el impulso de la recuperación económica.</w:t>
      </w:r>
    </w:p>
    <w:p w:rsidR="00AC56D6" w:rsidRDefault="00AC56D6" w:rsidP="00AC56D6">
      <w:pPr>
        <w:pStyle w:val="TextoNormal"/>
      </w:pPr>
    </w:p>
    <w:p w:rsidR="00AC56D6" w:rsidRDefault="00AC56D6" w:rsidP="00AC56D6">
      <w:pPr>
        <w:pStyle w:val="TextoNormal"/>
      </w:pPr>
      <w:r>
        <w:t>A pesar de la afirmación inicial relativa a la falta de argumentación específica de la demanda, el Abogado del Estado se detiene en la exposición de las razones que justifican la extraordinaria y urgente necesidad de las medidas, y en explicar la conexión de sentido en relación con cada uno de los bloques temáticos en que se organiza el Decreto-ley.</w:t>
      </w:r>
    </w:p>
    <w:p w:rsidR="00AC56D6" w:rsidRDefault="00AC56D6" w:rsidP="00AC56D6">
      <w:pPr>
        <w:pStyle w:val="TextoNormal"/>
      </w:pPr>
    </w:p>
    <w:p w:rsidR="00AC56D6" w:rsidRDefault="00AC56D6" w:rsidP="00AC56D6">
      <w:pPr>
        <w:pStyle w:val="TextoNormal"/>
      </w:pPr>
      <w:r>
        <w:t>a) Respecto de las medidas propuestas por el Ministerio de Economía y competitividad, denominadas “medidas de impulso de la actividad económica”, el Abogado del Estado sintetiza las mismas refiriéndose a la adaptación del fondo para operaciones de inversión en el exterior de la pequeña y mediana empresa (FONPYME; art. 1), la ordenación del programa de garantías del Instituto de Crédito Oficial (ICO; art. 2), la regulación de las zonas de gran afluencia turística, las normas sobre establecimientos comerciales y liberalización de horarios comerciales (arts. 4 a 7) y la introducción de límites a las tasas de intercambio en operaciones de pago con tarjeta (capítulo III del título I).</w:t>
      </w:r>
    </w:p>
    <w:p w:rsidR="00AC56D6" w:rsidRDefault="00AC56D6" w:rsidP="00AC56D6">
      <w:pPr>
        <w:pStyle w:val="TextoNormal"/>
      </w:pPr>
    </w:p>
    <w:p w:rsidR="00AC56D6" w:rsidRDefault="00AC56D6" w:rsidP="00AC56D6">
      <w:pPr>
        <w:pStyle w:val="TextoNormal"/>
      </w:pPr>
      <w:r>
        <w:t>Refiriéndose a las justificaciones contenidas en la exposición de motivos del Real Decreto-ley, el Abogado del Estado se refiere a que la regulación del FONPYME, permite hacer extensivo al mismo el instrumento desarrollado para las empresas no pyme por parte de la Compañía Española de Financiación del Desarrollo (COFIDES, S.A.), para dar flexibilidad a los instrumentos financieros públicos en el ámbito de la internacionalización de las empresas, y permitir el acceso al crédito de las Pymes gracias a la intervención en la misma de bancos multilaterales e instituciones financieras internacionales, justificándose la urgencia en la actual situación económica, crediticia y de calificaciones crediticias en la economía española, y en la necesidad de impulsar la recuperación económica y la creación de empleo. Vinculadas a las anteriores medidas, la Abogacía del Estado recuerda que el Decreto-ley desarrolla un programa de garantías del ICO para aprovechar plenamente el potencial ofrecido por los bancos multilaterales e instituciones financieras internacionales, bien como potenciales financiadores bien como garantes de alta calidad para el proceso de internacionalización de las empresas españolas. Esta nueva regulación pretende hacer frente a las dificultades de internacionalización de las Pyme para la obtención de garantías con calidad suficiente, lo que justifica, unido al interés ya mostrado y comprometido por algunas entidades financieras internacionales y bancos multilaterales la necesidad de incluir las medidas citadas en el Decreto-ley.</w:t>
      </w:r>
    </w:p>
    <w:p w:rsidR="00AC56D6" w:rsidRDefault="00AC56D6" w:rsidP="00AC56D6">
      <w:pPr>
        <w:pStyle w:val="TextoNormal"/>
      </w:pPr>
    </w:p>
    <w:p w:rsidR="00AC56D6" w:rsidRDefault="00AC56D6" w:rsidP="00AC56D6">
      <w:pPr>
        <w:pStyle w:val="TextoNormal"/>
      </w:pPr>
      <w:r>
        <w:t>Por lo que hace a la liberalización de los horarios, la adopción de esta medida se explica con el objetivo de dinamizar el sector comercial y favorecer la reactivación económica. Por su parte, en relación con las disposiciones que aluden a la simplificación de procedimientos de autorización seguidos en el ámbito del comercio minorista, y a la regulación de las zonas de gran afluencia turística, se justifica su adopción por la necesidad de contribuir a mejorar la normativa reguladora de dichas zonas, y para favorecer la inmediata reactivación de las ventas, en particular en lo que a consumo turístico se refiere, como consecuencia del incremento de visitantes registrados a lo largo del ejercicio 2013.</w:t>
      </w:r>
    </w:p>
    <w:p w:rsidR="00AC56D6" w:rsidRDefault="00AC56D6" w:rsidP="00AC56D6">
      <w:pPr>
        <w:pStyle w:val="TextoNormal"/>
      </w:pPr>
    </w:p>
    <w:p w:rsidR="00AC56D6" w:rsidRDefault="00AC56D6" w:rsidP="00AC56D6">
      <w:pPr>
        <w:pStyle w:val="TextoNormal"/>
      </w:pPr>
      <w:r>
        <w:t>Por último, en relación con las tasas de intercambio en las operaciones de pago con tarjetas, la medida se justifica en la voluntad de aprovechar el contexto económico de incipiente recuperación económica y la necesidad de impulsar el mercado español de pagos electrónicos. Las medidas adelantan para España las contenidas en la propuesta de Reglamento comunitario sobre las tasas de intercambio para operaciones de pago basadas en una tarjeta, aplicándose a partir del 1 de septiembre de 2014, lo que no impide considerar la urgencia de la medida, por la necesidad de adaptar los sistemas de pago a las modificaciones introducidas por la norma.</w:t>
      </w:r>
    </w:p>
    <w:p w:rsidR="00AC56D6" w:rsidRDefault="00AC56D6" w:rsidP="00AC56D6">
      <w:pPr>
        <w:pStyle w:val="TextoNormal"/>
      </w:pPr>
    </w:p>
    <w:p w:rsidR="00AC56D6" w:rsidRDefault="00AC56D6" w:rsidP="00AC56D6">
      <w:pPr>
        <w:pStyle w:val="TextoNormal"/>
      </w:pPr>
      <w:r>
        <w:t>b) Las medidas del Ministerio de Educación, Cultura y Deporte (art. 8), que modifican la Ley 55/2007, de 28 de diciembre, justifican su urgencia en la previsión de la disposición final quinta de la Ley 20/2013, de 9 de diciembre, de garantía de la unidad de mercado, que prevé la adaptación de las disposiciones vigentes con rango legal en un plazo de seis meses desde su entrada en vigor, y cuya aplicación en tiempo en el sector cinematográfico y audiovisual, afecta al libre acceso al mercado y al ejercicio de las actividades económicas en condiciones de igualdad, permitirá reducir los costes administrativos de estas empresas, mejorando las condiciones de participación en el mercado cinematográfico.</w:t>
      </w:r>
    </w:p>
    <w:p w:rsidR="00AC56D6" w:rsidRDefault="00AC56D6" w:rsidP="00AC56D6">
      <w:pPr>
        <w:pStyle w:val="TextoNormal"/>
      </w:pPr>
    </w:p>
    <w:p w:rsidR="00AC56D6" w:rsidRDefault="00AC56D6" w:rsidP="00AC56D6">
      <w:pPr>
        <w:pStyle w:val="TextoNormal"/>
      </w:pPr>
      <w:r>
        <w:lastRenderedPageBreak/>
        <w:t>c) Las medidas propuestas por el Ministerio de Fomento (título II y disposiciones adicionales undécima a decimoctava), contienen disposiciones en materia de regulación aeroportuaria, de navegación y de seguridad aérea, disposiciones en el ámbito del sector de actividad de las aeronaves civiles pilotadas por control remoto, medidas previstas para mejorar la competitividad en el sector portuario, a la par que modifica la Ley del sector ferroviario y actualiza las medidas para apoyar a los damnificados por el terremoto de Lorca.</w:t>
      </w:r>
    </w:p>
    <w:p w:rsidR="00AC56D6" w:rsidRDefault="00AC56D6" w:rsidP="00AC56D6">
      <w:pPr>
        <w:pStyle w:val="TextoNormal"/>
      </w:pPr>
    </w:p>
    <w:p w:rsidR="00AC56D6" w:rsidRDefault="00AC56D6" w:rsidP="00AC56D6">
      <w:pPr>
        <w:pStyle w:val="TextoNormal"/>
      </w:pPr>
      <w:r>
        <w:t>Por lo que hace al marco jurídico de la regulación aeroportuaria y el régimen de transparencia y consulta en la fijación de las tarifas aeroportuarias de AENA, S.A., la regulación responde a la eventual entrada de capital privado en AENA, y a la necesidad de garantizar la seguridad jurídica de los futuros inversores, asegurando el mayor valor de la red; la urgencia y necesidad de la medida responde a la exigencia de contar con un margen de regulación conocido, que permita a los futuros inversores afrontar el complejo proceso de valoración previo a la inversión, todo ello en el contexto de un sector de actividad, el tráfico aeroportuario, de enorme interés para el turismo, en un momento en que este es esencial para la reactivación de la actividad económica del país.</w:t>
      </w:r>
    </w:p>
    <w:p w:rsidR="00AC56D6" w:rsidRDefault="00AC56D6" w:rsidP="00AC56D6">
      <w:pPr>
        <w:pStyle w:val="TextoNormal"/>
      </w:pPr>
    </w:p>
    <w:p w:rsidR="00AC56D6" w:rsidRDefault="00AC56D6" w:rsidP="00AC56D6">
      <w:pPr>
        <w:pStyle w:val="TextoNormal"/>
      </w:pPr>
      <w:r>
        <w:t>En relación con el establecimiento de un marco jurídico aplicable a las operaciones de las aeronaves civiles pilotadas por control remoto (art. 50), se justifica la urgencia en la necesidad de dotar de un marco jurídico en condiciones de seguridad a un sector tecnológicamente puntero y con gran capacidad de crecimiento, en un contexto económico en que resulta necesario potencial la competitividad. Junto a ello se entiende que es urgente establecer un marco jurídico del sector que habilite el control de este tipo de aeronaves por la Agencia Estatal de Seguridad Aérea, en aras a la evitación de riesgos de seguridad.</w:t>
      </w:r>
    </w:p>
    <w:p w:rsidR="00AC56D6" w:rsidRDefault="00AC56D6" w:rsidP="00AC56D6">
      <w:pPr>
        <w:pStyle w:val="TextoNormal"/>
      </w:pPr>
    </w:p>
    <w:p w:rsidR="00AC56D6" w:rsidRDefault="00AC56D6" w:rsidP="00AC56D6">
      <w:pPr>
        <w:pStyle w:val="TextoNormal"/>
      </w:pPr>
      <w:r>
        <w:t>En particular, la sección séptima del capítulo I, del título I, que establece normas comunes sobre la gestión de afluencia del tránsito aéreo, se justifica por razones de seguridad jurídica, que se concretan en que los procedimientos sobre autorización de operaciones aéreas y uso de espacio aéreo y sobre operaciones especiales, quedan incluidos en la excepción del sentido negativo del silencio administrativo (art. 43.1 de la Ley 30/1992, de 26 de noviembre, de régimen jurídico de las Administraciones públicas y del procedimiento administrativo común), uniéndose a esta razón, la necesidad de adaptar de forma inmediata la normativa nacional, en concreto la Ley 21/2003, de 7 de julio, a la normativa comunitaria de cielo único para evitar un procedimiento por infracción a causa de la demora en dicha adaptación.</w:t>
      </w:r>
    </w:p>
    <w:p w:rsidR="00AC56D6" w:rsidRDefault="00AC56D6" w:rsidP="00AC56D6">
      <w:pPr>
        <w:pStyle w:val="TextoNormal"/>
      </w:pPr>
    </w:p>
    <w:p w:rsidR="00AC56D6" w:rsidRDefault="00AC56D6" w:rsidP="00AC56D6">
      <w:pPr>
        <w:pStyle w:val="TextoNormal"/>
      </w:pPr>
      <w:r>
        <w:t>El capítulo II del título II del Decreto-ley (art. 56) modifica a su vez el texto refundido de la Ley de puertos del Estado y de la marina mercante, aprobado por el Real Decreto Legislativo 2/2011, de 5 de septiembre, con el objeto de incluir en ella una serie de medidas de financiación de determinados proyectos que contribuyan a la mejora de la competitividad y la conectividad terrestre de puertos de interés general, permitiendo reconvertir infraestructuras portuarias en desuso en instalaciones hoteleras, ampliar el máximo inicial de las concesiones de dominio público hasta los 50 años y la construcción de accesos terrestres a los puertos. La urgencia de estas medidas viene determinada por el creciente deterioro de ese patrimonio histórico a causa de su dilatado periodo sin actividad y las dificultades propias del mantenimiento de inmuebles de notable antigüedad, requiriendo la más pronta colaboración de la iniciativa privada para garantizar su conservación.</w:t>
      </w:r>
    </w:p>
    <w:p w:rsidR="00AC56D6" w:rsidRDefault="00AC56D6" w:rsidP="00AC56D6">
      <w:pPr>
        <w:pStyle w:val="TextoNormal"/>
      </w:pPr>
    </w:p>
    <w:p w:rsidR="00AC56D6" w:rsidRDefault="00AC56D6" w:rsidP="00AC56D6">
      <w:pPr>
        <w:pStyle w:val="TextoNormal"/>
      </w:pPr>
      <w:r>
        <w:lastRenderedPageBreak/>
        <w:t>Las medidas relativas a agilizar el pago de las ayudas a los damnificados por el terremoto de Lorca ocurrido el 11 de mayo de 2011, modificando el Real Decreto-ley 11/2012, de 30 de marzo (disposición adicional decimosegunda), pretenden reactivar la economía de Lorca y mejorar las posibles actuaciones ante futuras situaciones de emergencia, constituyendo actuaciones ineludibles para la recuperación efectiva de la ciudad, y dando lugar a la necesidad urgente de revertir los efectos de una situación excepcional.</w:t>
      </w:r>
    </w:p>
    <w:p w:rsidR="00AC56D6" w:rsidRDefault="00AC56D6" w:rsidP="00AC56D6">
      <w:pPr>
        <w:pStyle w:val="TextoNormal"/>
      </w:pPr>
    </w:p>
    <w:p w:rsidR="00AC56D6" w:rsidRDefault="00AC56D6" w:rsidP="00AC56D6">
      <w:pPr>
        <w:pStyle w:val="TextoNormal"/>
      </w:pPr>
      <w:r>
        <w:t>Y por último, la modificación de la Ley 39/2003, de 17 de noviembre, del sector ferroviario (disposición adicional undécima) tiene por finalidad habilitar a la Autoridad Nacional de Seguridad para desarrollar recomendaciones que complementen la regulación contenida en el Reglamento de circulación ferroviario, concurriendo la razón de urgencia, porque este Reglamento está en sus últimas fases de elaboración y resulta necesario que esta habilitación esté vigente en el momento de su entrada en vigor.</w:t>
      </w:r>
    </w:p>
    <w:p w:rsidR="00AC56D6" w:rsidRDefault="00AC56D6" w:rsidP="00AC56D6">
      <w:pPr>
        <w:pStyle w:val="TextoNormal"/>
      </w:pPr>
    </w:p>
    <w:p w:rsidR="00AC56D6" w:rsidRDefault="00AC56D6" w:rsidP="00AC56D6">
      <w:pPr>
        <w:pStyle w:val="TextoNormal"/>
      </w:pPr>
      <w:r>
        <w:t>d) El Ministerio de Industria, Energía y Turismo recoge en el título III del Real Decreto-ley medidas urgentes en el ámbito energético de los hidrocarburos, de los gases licuados, y del sistema de gas natural, a la vez que se modifica la Ley de minas e introduce medidas en materia de eficiencia energética.</w:t>
      </w:r>
    </w:p>
    <w:p w:rsidR="00AC56D6" w:rsidRDefault="00AC56D6" w:rsidP="00AC56D6">
      <w:pPr>
        <w:pStyle w:val="TextoNormal"/>
      </w:pPr>
    </w:p>
    <w:p w:rsidR="00AC56D6" w:rsidRDefault="00AC56D6" w:rsidP="00AC56D6">
      <w:pPr>
        <w:pStyle w:val="TextoNormal"/>
      </w:pPr>
      <w:r>
        <w:t>Las medidas urgentes en relación con el suministro de gases licuados del petróleo pretenden garantizar el suministro domiciliario de los mismos en envases de entre 8 y 20 kgs, definiendo al operador al por mayor de gases licuados del petróleo obligado a asegurar dicho suministro, fijando a su vez el ámbito de aplicación de los precios máximos de venta al público. El Abogado del Estado plantea en sus alegaciones que los actuales consumidores de los gases licuados del petróleo envasados se ubican en zonas de difícil acceso y con falta de alternativas energéticas, por lo que se considera de extraordinaria y urgente necesidad la actualización de los términos de la obligación de suministro a domicilio de gases licuados del petróleo para asegurar que todos los consumidores de este tipo de envases que lo soliciten tengan a su disposición el producto.</w:t>
      </w:r>
    </w:p>
    <w:p w:rsidR="00AC56D6" w:rsidRDefault="00AC56D6" w:rsidP="00AC56D6">
      <w:pPr>
        <w:pStyle w:val="TextoNormal"/>
      </w:pPr>
    </w:p>
    <w:p w:rsidR="00AC56D6" w:rsidRDefault="00AC56D6" w:rsidP="00AC56D6">
      <w:pPr>
        <w:pStyle w:val="TextoNormal"/>
      </w:pPr>
      <w:r>
        <w:t>Por lo que hace a las reformas del sector gasista, el Real Decreto-ley argumenta que las mismas son necesarias para asegurar su sostenibilidad y el equilibrio económico a largo plazo.</w:t>
      </w:r>
    </w:p>
    <w:p w:rsidR="00AC56D6" w:rsidRDefault="00AC56D6" w:rsidP="00AC56D6">
      <w:pPr>
        <w:pStyle w:val="TextoNormal"/>
      </w:pPr>
    </w:p>
    <w:p w:rsidR="00AC56D6" w:rsidRDefault="00AC56D6" w:rsidP="00AC56D6">
      <w:pPr>
        <w:pStyle w:val="TextoNormal"/>
      </w:pPr>
      <w:r>
        <w:t>A su vez, la modificación del sistema geodésico de referencia, que supone la modificación de la Ley 22/1973, de minas, y la Ley 34/1998, de 7 de octubre, del sector de hidrocarburos, es objeto de especial mención en la demanda de los recurrentes, y el Abogado del Estado responde a este interés recordando que el Real Decreto 1071/2007, de 27 de julio, por el que se regula el sistema geodésico de referencia oficial en España estableció la adopción en España del sistema de referencia geodésico global, ETRS89, y que la extraordinaria y urgente necesidad de la modificación se debe a que la disposición transitoria segunda del citado Real Decreto establece que, a partir del 1 de enero de 2015, toda la cartografía y bases de datos de información geográfica y cartográfica producida o actualizada por las Administraciones públicas debe compilarse y publicarse conforme a lo que el mismo dispone, con lo que resulta necesario que el sector minero y de los hidrocarburos conozca cuanto antes la modificación que se va a producir.</w:t>
      </w:r>
    </w:p>
    <w:p w:rsidR="00AC56D6" w:rsidRDefault="00AC56D6" w:rsidP="00AC56D6">
      <w:pPr>
        <w:pStyle w:val="TextoNormal"/>
      </w:pPr>
    </w:p>
    <w:p w:rsidR="00AC56D6" w:rsidRDefault="00AC56D6" w:rsidP="00AC56D6">
      <w:pPr>
        <w:pStyle w:val="TextoNormal"/>
      </w:pPr>
      <w:r>
        <w:lastRenderedPageBreak/>
        <w:t>Las medidas de eficiencia energética, que regula el capítulo IV del título III, responden a la obligación de incorporar al ordenamiento jurídico español el art. 7 de la Directiva 2012/27/UE/ del Parlamento Europeo y del Consejo de 25 de octubre de 2012, relativa a la eficiencia energética en lo referente al establecimiento de un sistema de obligaciones de eficiencia energética sobre las empresas comercializadoras de energía, justificándose la urgencia en que, según la metodología de cómputo de ahorros energéticos recogida en la Directiva, cuanto antes se lleven a cabo las actuaciones de mejora de la eficiencia energética, más ahorros derivados de las mismas se podrán contabilizar de cara a la consecución del objetivo vinculante acumulado de ahorro energético, lo que reduce de forma muy significativa el coste de su cumplimiento.</w:t>
      </w:r>
    </w:p>
    <w:p w:rsidR="00AC56D6" w:rsidRDefault="00AC56D6" w:rsidP="00AC56D6">
      <w:pPr>
        <w:pStyle w:val="TextoNormal"/>
      </w:pPr>
    </w:p>
    <w:p w:rsidR="00AC56D6" w:rsidRDefault="00AC56D6" w:rsidP="00AC56D6">
      <w:pPr>
        <w:pStyle w:val="TextoNormal"/>
      </w:pPr>
      <w:r>
        <w:t>e) El título IV del Real Decreto-ley se refiere a las medidas vinculadas a la actividad del Ministerio de Empleo y Seguridad Social, y afectan al sistema nacional de garantía juvenil, al apoyo a la contratación y al desarrollo de políticas activas de empleo, a la modificación de la regulación de las empresas de trabajo temporal y agencias de colocación, recogiéndose, por último, algunas otras medidas en el ámbito de la economía social y el autoempleo.</w:t>
      </w:r>
    </w:p>
    <w:p w:rsidR="00AC56D6" w:rsidRDefault="00AC56D6" w:rsidP="00AC56D6">
      <w:pPr>
        <w:pStyle w:val="TextoNormal"/>
      </w:pPr>
    </w:p>
    <w:p w:rsidR="00AC56D6" w:rsidRDefault="00AC56D6" w:rsidP="00AC56D6">
      <w:pPr>
        <w:pStyle w:val="TextoNormal"/>
      </w:pPr>
      <w:r>
        <w:t>A este respecto el Abogado del Estado insiste en recordar que la demanda no incluye razonamiento alguno sobre la inconstitucionalidad del régimen de implantación del Sistema Nacional de Garantía Juvenil, y en la idea de que en la situación actual de desempleo juvenil no parece que pueda objetarse que un decreto-ley regule un sistema de estas características, como no puede rebatirse tampoco la inclusión del capítulo II del título IV relativo a las medidas en materia de políticas activas de empleo que modifica la Ley 56/2003, de empleo, de 16 de diciembre. La urgencia en la implantación del sistema nacional de garantía juvenil se fundamenta en la necesidad de comenzar, a la mayor brevedad posible, la ejecución de los fondos procedentes de la iniciativa de empleo juvenil y del fondo social europeo destinados al apoyo del empleo juvenil. En cumplimiento de la normativa comunitaria, estos fondos han sido programados durante las anualidades 2014 y 2015, siendo por tanto necesario determinar con carácter urgente el marco legal que permita su ejecución.</w:t>
      </w:r>
    </w:p>
    <w:p w:rsidR="00AC56D6" w:rsidRDefault="00AC56D6" w:rsidP="00AC56D6">
      <w:pPr>
        <w:pStyle w:val="TextoNormal"/>
      </w:pPr>
    </w:p>
    <w:p w:rsidR="00AC56D6" w:rsidRDefault="00AC56D6" w:rsidP="00AC56D6">
      <w:pPr>
        <w:pStyle w:val="TextoNormal"/>
      </w:pPr>
      <w:r>
        <w:t>En lo relativo a la modificación de la Ley 14/1994, de 1 de junio, por la que se regulan las empresas de trabajo temporal, y a la modificación de la Ley 56/2003, de empleo, y del texto refundido de la Ley del estatuto de los trabajadores aprobado por Real Decreto Legislativo 1/1995, de 24 de marzo, aquella supone la adaptación a los principios de la Ley 20/2013, de 9 de diciembre, de garantía de la unidad de mercado, que establece como principio básico el de la eficacia nacional de las autorizaciones, asegurándose con estas medidas la promoción de mejores condiciones para el empleo. La extraordinaria y urgente necesidad de la modificación de la Ley 56/2003 se justifica por la inminente e inexcusable aprobación del Real Decreto que regula la estrategia española de activación para el empleo cuyo ámbito temporal y de aplicación se inicia en el presente año 2014; y las modificaciones en la normativa reguladora de las empresas de trabajo temporal y las agencias de colocación, por haber finalizado ya el plazo que la Ley de garantía de la unidad de mercado estableció para la adaptación de todas las normas legales vigentes a los principios contenidos en la misma.</w:t>
      </w:r>
    </w:p>
    <w:p w:rsidR="00AC56D6" w:rsidRDefault="00AC56D6" w:rsidP="00AC56D6">
      <w:pPr>
        <w:pStyle w:val="TextoNormal"/>
      </w:pPr>
    </w:p>
    <w:p w:rsidR="00AC56D6" w:rsidRDefault="00AC56D6" w:rsidP="00AC56D6">
      <w:pPr>
        <w:pStyle w:val="TextoNormal"/>
      </w:pPr>
      <w:r>
        <w:t xml:space="preserve">Por último se justifica el establecimiento de una bonificación del 100 por 100 en la cotización a la Seguridad Social para incentivar las prácticas curriculares externas de los estudiantes universitarios y de formación profesional, y hacer frente a la elevada tasa de desempleo juvenil en España, y al tiempo poder cumplir con una pieza fundamental del Espacio </w:t>
      </w:r>
      <w:r>
        <w:lastRenderedPageBreak/>
        <w:t>Europeo de Educación Superior y de la Formación Profesional Dual, constituida por las prácticas académicas externas.</w:t>
      </w:r>
    </w:p>
    <w:p w:rsidR="00AC56D6" w:rsidRDefault="00AC56D6" w:rsidP="00AC56D6">
      <w:pPr>
        <w:pStyle w:val="TextoNormal"/>
      </w:pPr>
    </w:p>
    <w:p w:rsidR="00AC56D6" w:rsidRDefault="00AC56D6" w:rsidP="00AC56D6">
      <w:pPr>
        <w:pStyle w:val="TextoNormal"/>
      </w:pPr>
      <w:r>
        <w:t>f) Las medidas vinculadas al Ministerio de Hacienda y de Administraciones públicas tienen que ver: con la gestión de préstamos a las entidades locales por el fondo para la financiación de los pagos a proveedores; con el desarrollo de algunas medidas fiscales; con la organización del evento 120 años de la primera exposición de Picasso y, por último, formalizan el presupuesto de la Sección 34 “Relaciones Financieras con la Unión Europea” de anticipos pendientes de aplicar al presupuesto a 31 de diciembre de 2013.</w:t>
      </w:r>
    </w:p>
    <w:p w:rsidR="00AC56D6" w:rsidRDefault="00AC56D6" w:rsidP="00AC56D6">
      <w:pPr>
        <w:pStyle w:val="TextoNormal"/>
      </w:pPr>
    </w:p>
    <w:p w:rsidR="00AC56D6" w:rsidRDefault="00AC56D6" w:rsidP="00AC56D6">
      <w:pPr>
        <w:pStyle w:val="TextoNormal"/>
      </w:pPr>
      <w:r>
        <w:t>En primer término las cancelación de las operaciones de préstamo formalizadas por las entidades locales con el fondo para la financiación de los pagos a proveedores (art. 3 del Real Decreto-ley) se considera de urgente y extraordinaria necesidad, debido a la finalización en el mes de julio de 2014 del periodo de carencia de la amortización de los préstamos formalizados en la primera fase del mecanismo de pagos a proveedores, articulada en el Real Decreto-ley 41/2012, de 24 de febrero, permitiéndose con la medida que las entidades locales cancelen sus deudas con este Fondo antes de iniciar dicha amortización, si logran concertar operaciones de financiación o de sustitución de los préstamos formalizados con el Fondo en mejores condiciones que las de los contratos que tenían con el citado Fondo, pudiendo ayudar esto al incremento de la liquidez de las entidades locales consolidando la mejora de su situación financiera.</w:t>
      </w:r>
    </w:p>
    <w:p w:rsidR="00AC56D6" w:rsidRDefault="00AC56D6" w:rsidP="00AC56D6">
      <w:pPr>
        <w:pStyle w:val="TextoNormal"/>
      </w:pPr>
    </w:p>
    <w:p w:rsidR="00AC56D6" w:rsidRDefault="00AC56D6" w:rsidP="00AC56D6">
      <w:pPr>
        <w:pStyle w:val="TextoNormal"/>
      </w:pPr>
      <w:r>
        <w:t>En segundo lugar y por lo que hace a las medidas fiscales, el Abogado del Estado entiende que la ausencia de toda justificación de la impugnación de este título, exime al Gobierno de justificar su constitucionalidad, que obedece a la urgencia propia de las modificaciones de tipo fiscal, que exigen su adaptación inmediata a los objetivos de política social y económica, conteniéndose en la memoria de la norma las razones que justifican cada una de las modificaciones, que permiten considerarlas aptas al contenido de un decreto-ley.</w:t>
      </w:r>
    </w:p>
    <w:p w:rsidR="00AC56D6" w:rsidRDefault="00AC56D6" w:rsidP="00AC56D6">
      <w:pPr>
        <w:pStyle w:val="TextoNormal"/>
      </w:pPr>
    </w:p>
    <w:p w:rsidR="00AC56D6" w:rsidRDefault="00AC56D6" w:rsidP="00AC56D6">
      <w:pPr>
        <w:pStyle w:val="TextoNormal"/>
      </w:pPr>
      <w:r>
        <w:t>g) En idéntico sentido, considera la Abogacía del Estado que las medidas propuestas por el Ministerio de Defensa, y contenidas en las disposiciones adicionales primera a octava, se impugnan sin argumentación alguna sobre la inadecuación del Decreto-ley para establecer estas medidas, que suponen elevar la tasa de reposición prevista en la Ley de presupuestos generales del Estado para 2014 por encima del 10 por 100, justificándose en todo caso la urgencia y la necesidad en la imperiosa necesidad de armonizar y equilibrar con la máxima premura los efectivos que se incorporarán a las escalas correspondientes dentro de cinco o tres años, ya que los que se incorporarán antes de este tiempo son los que han provocado la distorsión que actualmente existe y que pude poner en riesgo la capacidad operativa de las unidades, al no disponerse de personal suficiente con los empleos, las edades y las condiciones psicofísicas precisas para el cumplimiento de las misiones encomendadas.</w:t>
      </w:r>
    </w:p>
    <w:p w:rsidR="00AC56D6" w:rsidRDefault="00AC56D6" w:rsidP="00AC56D6">
      <w:pPr>
        <w:pStyle w:val="TextoNormal"/>
      </w:pPr>
    </w:p>
    <w:p w:rsidR="00AC56D6" w:rsidRDefault="00AC56D6" w:rsidP="00AC56D6">
      <w:pPr>
        <w:pStyle w:val="TextoNormal"/>
      </w:pPr>
      <w:r>
        <w:t>h) Por último se aborda por el Abogado del Estados el paquete de medidas propuestas por el Ministerio de Justicia, y contenidas en las disposiciones adicionales decimonovena a vigesimocuarta.</w:t>
      </w:r>
    </w:p>
    <w:p w:rsidR="00AC56D6" w:rsidRDefault="00AC56D6" w:rsidP="00AC56D6">
      <w:pPr>
        <w:pStyle w:val="TextoNormal"/>
      </w:pPr>
    </w:p>
    <w:p w:rsidR="00AC56D6" w:rsidRDefault="00AC56D6" w:rsidP="00AC56D6">
      <w:pPr>
        <w:pStyle w:val="TextoNormal"/>
      </w:pPr>
      <w:r>
        <w:t xml:space="preserve">Las razones que justifican la urgente necesidad de la norma, se centran en el hecho de que la ley 20/2011, de 21 de julio, del Registro Civil, entraba en vigor el 22 de julio de 2014, es decir, tan solo 18 días después de la aprobación del Real Decreto-ley discutido, con lo </w:t>
      </w:r>
      <w:r>
        <w:lastRenderedPageBreak/>
        <w:t>que la urgencia de la disposición adicional decimonovena —norma específica de prórroga de la entrada en vigor de la Ley del Registro Civil—, resulta indiscutible, ya que la figura del Real Decreto-ley era la única que podía ser utilizada en tan breve tiempo.</w:t>
      </w:r>
    </w:p>
    <w:p w:rsidR="00AC56D6" w:rsidRDefault="00AC56D6" w:rsidP="00AC56D6">
      <w:pPr>
        <w:pStyle w:val="TextoNormal"/>
      </w:pPr>
    </w:p>
    <w:p w:rsidR="00AC56D6" w:rsidRDefault="00AC56D6" w:rsidP="00AC56D6">
      <w:pPr>
        <w:pStyle w:val="TextoNormal"/>
      </w:pPr>
      <w:r>
        <w:t xml:space="preserve">La urgencia del resto de las normas relativas al Registro Civil se justifica en la congruencia de la norma con la decisión adoptada de prorrogar la </w:t>
      </w:r>
      <w:r w:rsidRPr="00AC56D6">
        <w:rPr>
          <w:i/>
        </w:rPr>
        <w:t>vacatio legis</w:t>
      </w:r>
      <w:r>
        <w:t xml:space="preserve"> de la Ley del Registro Civil por un solo año, y particularmente:</w:t>
      </w:r>
    </w:p>
    <w:p w:rsidR="00AC56D6" w:rsidRDefault="00AC56D6" w:rsidP="00AC56D6">
      <w:pPr>
        <w:pStyle w:val="TextoNormal"/>
      </w:pPr>
    </w:p>
    <w:p w:rsidR="00AC56D6" w:rsidRDefault="00AC56D6" w:rsidP="00AC56D6">
      <w:pPr>
        <w:pStyle w:val="TextoNormal"/>
      </w:pPr>
      <w:r>
        <w:t>a) La atribución de la llevanza del Registro Civil a los Registradores de la Propiedad y Mercantiles se justifica en la necesidad de delimitar, en el mismo momento de la prórroga de la entrada en vigor de la Ley del Registro Civil, el cuerpo de funcionarios destinado a llevar el registro, porque de otro modo estos funcionarios no podrían disponer de un mínimo preaviso que permitiera su preparación, y por ello sería absolutamente imposible cumplir con el plazo de un año para la puesta en funcionamiento del nuevo Registro Civil.</w:t>
      </w:r>
    </w:p>
    <w:p w:rsidR="00AC56D6" w:rsidRDefault="00AC56D6" w:rsidP="00AC56D6">
      <w:pPr>
        <w:pStyle w:val="TextoNormal"/>
      </w:pPr>
    </w:p>
    <w:p w:rsidR="00AC56D6" w:rsidRDefault="00AC56D6" w:rsidP="00AC56D6">
      <w:pPr>
        <w:pStyle w:val="TextoNormal"/>
      </w:pPr>
      <w:r>
        <w:t>b) La gratuidad del servicio público del Registro Civil (disposición adicional vigésima primera), cuya finalidad es despejar la duda sobre el coste del servicio, una vez sea gestionado por los Registradores de la Propiedad y Mercantiles, y permitir conocer al cuerpo de funcionarios encargado los medios con los que debe afrontar la llevanza del Registro Civil.</w:t>
      </w:r>
    </w:p>
    <w:p w:rsidR="00AC56D6" w:rsidRDefault="00AC56D6" w:rsidP="00AC56D6">
      <w:pPr>
        <w:pStyle w:val="TextoNormal"/>
      </w:pPr>
    </w:p>
    <w:p w:rsidR="00AC56D6" w:rsidRDefault="00AC56D6" w:rsidP="00AC56D6">
      <w:pPr>
        <w:pStyle w:val="TextoNormal"/>
      </w:pPr>
      <w:r>
        <w:t>c) La inclusión de la disposición adicional vigésima segunda, que urge al Gobierno a iniciar la reforma legislativa en el plazo más breve posible, tiene por objeto permitir la llevanza del Registro Civil por los Registradores de la Propiedad y Mercantiles.</w:t>
      </w:r>
    </w:p>
    <w:p w:rsidR="00AC56D6" w:rsidRDefault="00AC56D6" w:rsidP="00AC56D6">
      <w:pPr>
        <w:pStyle w:val="TextoNormal"/>
      </w:pPr>
    </w:p>
    <w:p w:rsidR="00AC56D6" w:rsidRDefault="00AC56D6" w:rsidP="00AC56D6">
      <w:pPr>
        <w:pStyle w:val="TextoNormal"/>
      </w:pPr>
      <w:r>
        <w:t>d) Las consideraciones sobre el sistema informático que debe soportar el Registro Civil (disposición adicional vigésima tercera), sería indispensable para poder empezar a trabajar en el sistema electrónico del Registro desde el día siguiente a la publicación del Real Decreto-ley.</w:t>
      </w:r>
    </w:p>
    <w:p w:rsidR="00AC56D6" w:rsidRDefault="00AC56D6" w:rsidP="00AC56D6">
      <w:pPr>
        <w:pStyle w:val="TextoNormal"/>
      </w:pPr>
    </w:p>
    <w:p w:rsidR="00AC56D6" w:rsidRDefault="00AC56D6" w:rsidP="00AC56D6">
      <w:pPr>
        <w:pStyle w:val="TextoNormal"/>
      </w:pPr>
      <w:r>
        <w:t>e) Y la continuidad en sus funciones, a partir del 22 de julio de 2014, de los Jueces y Magistrados que hasta ese momento tuvieran la condición de encargados del Registro Civil, o de los Secretarios que, por delegación de aquellos, tuvieran la capacidad de certificación, resulta imprescindible, para que no existiese a partir del transcurso de dicha fecha un “vacío funcional o competencial” que impidiera la correcta continuidad de un servicio esencial como el del Registro Civil (disposición adicional vigésima cuarta).</w:t>
      </w:r>
    </w:p>
    <w:p w:rsidR="00AC56D6" w:rsidRDefault="00AC56D6" w:rsidP="00AC56D6">
      <w:pPr>
        <w:pStyle w:val="TextoNormal"/>
      </w:pPr>
    </w:p>
    <w:p w:rsidR="00AC56D6" w:rsidRDefault="00AC56D6" w:rsidP="00AC56D6">
      <w:pPr>
        <w:pStyle w:val="TextoNormal"/>
      </w:pPr>
      <w:r>
        <w:t xml:space="preserve">Más allá de lo relativo a la concurrencia del presupuesto habilitante para la regulación expuesta en el Decreto-ley, la Abogacía del Estado responde a las impugnaciones de fondo relativas a la nueva regulación del Registro Civil, referidas al hecho de que la atribución de la llevanza del Registro Civil a los Registradores de la Propiedad y Mercantiles, conlleva poner en manos de “operadores privados” datos sensibles de los ciudadanos, constituyendo esto una afectación por decreto-ley de un derecho regulado en el título I CE. El Abogado del Estado afirmando que el Real Decreto-ley no regula el derecho a la intimidad contenido en el art. 18 CE, pese a recordar que la impugnación material queda superada por la sustitución del Decreto-ley por la Ley 18/2014, entra en el contenido de dicha impugnación, recordando que los registradores no son “sujetos privados”, sino que tienen la condición de funcionarios públicos, al ser inamovibles, seleccionados mediante oposición, jerarquizados </w:t>
      </w:r>
      <w:r>
        <w:lastRenderedPageBreak/>
        <w:t>en función del grado o categoría que les corresponde, siguiendo un sistema de rigurosa antigüedad. En síntesis, el Abogado del Estado rechaza que la medida adoptada por el Decreto-ley suponga la “privatización” del servicio público que presta el Registro Civil, apoyando su afirmación con el pronunciamiento del Tribunal Supremo de 22 de septiembre de 2009, que estableció que: “lo único que diferencia a los Registradores de la Propiedad de la mayor parte de los demás funcionarios públicos es que cobran por arancel; pero esto no es suficiente para afirmar que haya gestión privada de un servicio público, ni menos aún que la Administración tenga un margen de apreciación más estrecho al organizar los Registros de la Propiedad que al organizar otros servicios públicos”, razón por la que no puede considerarse inconstitucional que los Registradores de la Propiedad y Mercantiles puedan, con absolutas garantías para el ciudadano, y con respecto a la Ley Orgánica de protección de datos, tener atribuido el tratamiento de datos de carácter personal como los que son propios del Registro Civil sin vulneración alguna del artículo 18 de la Constitución.</w:t>
      </w:r>
    </w:p>
    <w:p w:rsidR="00AC56D6" w:rsidRDefault="00AC56D6" w:rsidP="00AC56D6">
      <w:pPr>
        <w:pStyle w:val="TextoNormal"/>
      </w:pPr>
    </w:p>
    <w:p w:rsidR="00AC56D6" w:rsidRDefault="00AC56D6" w:rsidP="00AC56D6">
      <w:pPr>
        <w:pStyle w:val="TextoNormal"/>
      </w:pPr>
      <w:r w:rsidRPr="00AC56D6">
        <w:rPr>
          <w:rStyle w:val="NumeroAFNegritaCaracter"/>
        </w:rPr>
        <w:t>7</w:t>
      </w:r>
      <w:r>
        <w:t>. Mediante providencia de 22 de septiembre de 2015, se señaló para deliberación y votación de la presente Sentencia el día 24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recurso de inconstitucionalidad 5099-2014, impugna la totalidad del Real-Decreto-ley 8/2014, de 4 de julio, de aprobación de medidas urgentes para el crecimiento, la competitividad y la eficiencia, estando fundamentada la demanda en la improcedencia del recurso al decreto-ley para adoptar el conjunto de las medidas acordadas, al entender los recurrentes que no concurre el presupuesto habilitante de la extrema y urgente necesidad, habiendo infringido los condicionantes formales a los que se refiere el art. 86.1 CE. A su vez, se afirma en el escrito de interposición del recurso de inconstitucionalidad, que las disposiciones adicionales vigésima a vigésima cuarta, relativas a la llevanza del Registro Civil, no respetan tampoco los límites materiales a que debe sujetarse este tipo normativo, al afectar, restrictivamente, a derechos de los ciudadanos contenidos en el art. 18.1 CE. Adicionalmente, los recurrentes afirman que la estructura del Decreto-ley 8/2014, referida a una pluralidad de contenidos normativos cuya regulación por la legislación de urgencia no puede ser reconducible a un único presupuesto habilitante, circunstancia que también consideran lesiva del art. 86.1 CE, limita su capacidad de intervención parlamentaria en la discusión de convalidación del Real Decreto-ley, lo que se traduce en una eventual lesión del derecho contenido en el art. 23 de la Constitución.</w:t>
      </w:r>
    </w:p>
    <w:p w:rsidR="00AC56D6" w:rsidRDefault="00AC56D6" w:rsidP="00AC56D6">
      <w:pPr>
        <w:pStyle w:val="TextoNormal"/>
      </w:pPr>
    </w:p>
    <w:p w:rsidR="00AC56D6" w:rsidRDefault="00AC56D6" w:rsidP="00AC56D6">
      <w:pPr>
        <w:pStyle w:val="TextoNormal"/>
      </w:pPr>
      <w:r>
        <w:t xml:space="preserve">Por su parte el Abogado del Estado defiende la constitucionalidad del Decreto-ley impugnado desgranando las medidas en él contenidas, exponiendo y validando las razones que habrían justificado la concurrencia del presupuesto habilitante en relación con cada bloque normativo, y rechazando, por último, la afectación restrictiva del derecho fundamental contenido en el art. 18 CE por parte de las disposiciones adicionales vigésima a vigésima cuarta, al afirmar que los Registradores de la Propiedad y Mercantiles no son actores privados en los términos en que lo afirma la demanda de inconstitucionalidad. Además, la Abogacía del Estado pone de manifiesto, como observación genérica en relación con el objeto del recurso, que los recurrentes no han levantado la carga de alegar los motivos de inconstitucionalidad de los preceptos impugnados de forma adecuada, habiéndose limitado a realizar, respecto de su mayor parte, una queja genérica relativa a la confrontación de la norma con el art. 86.1 </w:t>
      </w:r>
      <w:r>
        <w:lastRenderedPageBreak/>
        <w:t>CE, no debiendo el Tribunal Constitucional, por tanto, entrar a valorar en detalle el ajuste constitucional de todos y cada uno de los distintos títulos y capítulos del Real Decreto-ley 8/2014.</w:t>
      </w:r>
    </w:p>
    <w:p w:rsidR="00AC56D6" w:rsidRDefault="00AC56D6" w:rsidP="00AC56D6">
      <w:pPr>
        <w:pStyle w:val="TextoNormal"/>
      </w:pPr>
    </w:p>
    <w:p w:rsidR="00AC56D6" w:rsidRDefault="00AC56D6" w:rsidP="00AC56D6">
      <w:pPr>
        <w:pStyle w:val="TextoNormal"/>
      </w:pPr>
      <w:r w:rsidRPr="00AC56D6">
        <w:rPr>
          <w:rStyle w:val="NumeroAFNegritaCaracter"/>
        </w:rPr>
        <w:t>2</w:t>
      </w:r>
      <w:r>
        <w:t>. Expuestas las posiciones de las partes en el proceso, antes de comenzar a resolverlo hemos de atender a dos cuestiones previas: la delimitación precisa de su objeto y la incidencia que modificaciones normativas posteriores a la interposición del recurso hayan podido tener sobre su pervivencia.</w:t>
      </w:r>
    </w:p>
    <w:p w:rsidR="00AC56D6" w:rsidRDefault="00AC56D6" w:rsidP="00AC56D6">
      <w:pPr>
        <w:pStyle w:val="TextoNormal"/>
      </w:pPr>
    </w:p>
    <w:p w:rsidR="00AC56D6" w:rsidRDefault="00AC56D6" w:rsidP="00AC56D6">
      <w:pPr>
        <w:pStyle w:val="TextoNormal"/>
      </w:pPr>
      <w:r>
        <w:t>a) En cuanto a lo primero, la delimitación precisa del objeto, exige una descripción, al menos somera, del contenido de un decreto-ley, que ha sido denominado “decreto-ley ómnibus”, por la heterogeneidad y el alcance expansivo de las medidas que contiene, circunstancia esta que otorga cierta singularidad al pronunciamiento de este Tribunal, y que articula, convirtiéndose en eje fundamental, las causas de impugnación de quienes han hecho uso de su legitimación para interponer el recurso de inconstitucionalidad.</w:t>
      </w:r>
    </w:p>
    <w:p w:rsidR="00AC56D6" w:rsidRDefault="00AC56D6" w:rsidP="00AC56D6">
      <w:pPr>
        <w:pStyle w:val="TextoNormal"/>
      </w:pPr>
    </w:p>
    <w:p w:rsidR="00AC56D6" w:rsidRDefault="00AC56D6" w:rsidP="00AC56D6">
      <w:pPr>
        <w:pStyle w:val="TextoNormal"/>
      </w:pPr>
      <w:r>
        <w:t>El Real Decreto-ley 8/2014, que contiene 124 artículos, estructurados en torno a cinco títulos, 25 disposiciones adicionales que regulan otras materias suplementarias, 11 transitorias, una derogatoria, cinco finales, una de ellas con el desarrollo de sus títulos competenciales, y 12 anexos, modifica un total de 28 normas con rango de ley, y afecta a medio centenar de materias, que van desde los horarios comerciales, a las Fuerzas Armadas, pasando por el sector minero o el Registro Civil, en los términos que se describen a continuación.</w:t>
      </w:r>
    </w:p>
    <w:p w:rsidR="00AC56D6" w:rsidRDefault="00AC56D6" w:rsidP="00AC56D6">
      <w:pPr>
        <w:pStyle w:val="TextoNormal"/>
      </w:pPr>
    </w:p>
    <w:p w:rsidR="00AC56D6" w:rsidRDefault="00AC56D6" w:rsidP="00AC56D6">
      <w:pPr>
        <w:pStyle w:val="TextoNormal"/>
      </w:pPr>
      <w:r>
        <w:t>El título I, referido al impulso de la actividad económica, recoge medidas relativas: a) a la financiación de la actividad económica, aprobando las cédulas y bonos de internacionalización para las Pymes (capítulo I, arts. 1 a 3); b) al comercio minorista y la unidad de mercado, ampliando las zonas de “gran afluencia turística” (ZGAT) a diez nuevas ciudades en las que se liberalizarán los horarios comerciales para fomentar el turismo de compras, eliminando la autorización administrativa para la apertura de establecimientos comerciales minoristas para adoptar en su lugar el procedimiento integrado para la autorización comercial con una sola autoridad; c) al sector cinematográfico, modificando la Ley del cine para adaptarla a la Ley de garantía de la unidad de mercado (capítulo II, arts. 4 a 8); y d) a la introducción de límites a las tasas de intercambio en operaciones de pago con tarjeta (capítulo III, arts. 9 a 15) al 0,2 por 100 en las tarjetas de débito y al 0,3 por 100 en las tarjetas de crédito, con la prohibición de repercusión sobre los ordenantes.</w:t>
      </w:r>
    </w:p>
    <w:p w:rsidR="00AC56D6" w:rsidRDefault="00AC56D6" w:rsidP="00AC56D6">
      <w:pPr>
        <w:pStyle w:val="TextoNormal"/>
      </w:pPr>
    </w:p>
    <w:p w:rsidR="00AC56D6" w:rsidRDefault="00AC56D6" w:rsidP="00AC56D6">
      <w:pPr>
        <w:pStyle w:val="TextoNormal"/>
      </w:pPr>
      <w:r>
        <w:t xml:space="preserve">El título II, sobre infraestructuras y transporte, se ocupa, en su capítulo I, de diversas medidas que afectan a la aviación civil (artículos 16 a 55), y en su capítulo II de la mejora de la competitividad en el sector portuario y del incremento de la inversión privada en infraestructuras portuarias (artículo 56). Por lo que hace a la aviación civil, entre otras cosas, se aprueban medidas del nuevo marco de regulación y supervisión aeroportuaria, mediante la previsión quinquenal y reglamentaria del documento de regulación aeroportuaria, asegurando el mantenimiento de la totalidad de la red y otorgándole estabilidad tarifaria durante once años, para garantizar el escenario de privatización de AENA Aeropuertos en un 49 por 100, y se regula provisionalmente la actividad de los drones, habilitando su desarrollo por </w:t>
      </w:r>
      <w:r>
        <w:lastRenderedPageBreak/>
        <w:t>decreto. Por lo que hace al sector portuario, la regulación del Decreto-ley favorece las concesiones de servicios en los puertos, ampliando el plazo de las licitaciones de 35 a 50 años, y crea un fondo para financiar los accesos a las instalaciones portuarias.</w:t>
      </w:r>
    </w:p>
    <w:p w:rsidR="00AC56D6" w:rsidRDefault="00AC56D6" w:rsidP="00AC56D6">
      <w:pPr>
        <w:pStyle w:val="TextoNormal"/>
      </w:pPr>
    </w:p>
    <w:p w:rsidR="00AC56D6" w:rsidRDefault="00AC56D6" w:rsidP="00AC56D6">
      <w:pPr>
        <w:pStyle w:val="TextoNormal"/>
      </w:pPr>
      <w:r>
        <w:t>El título III, que contiene medidas urgentes en el ámbito energético, afronta la cuestión de la regulación del sector de los gases licuados del petróleo, liberalizando las bombonas ligeras de butano y propano, y manteniendo el precio regulado para las pesadas (capítulo I, arts. 57 y 58), así como de la sostenibilidad económica del sistema de gas natural, para atajar el incipiente déficit tarifario en el sector (capítulo II, arts. 59 a 66). A los anteriores se añade un capítulo, el III, relativo a la modificación de la Ley 34/1998, de 7 de octubre, del sector de hidrocarburos (art. 67) y a la modificación de la Ley 22/1973, de 21 de julio, de minas (art. 68), para ajustar las mismas al nuevo sistema geodésico de referencia, y un capítulo IV que impone el sistema nacional de obligaciones de eficiencia energética, conteniendo medidas en materia de eficiencia energética para garantizar el cumplimiento de los compromisos de ahorro energético adquiridos por España hasta 2020 (arts. 69 a 86), transponiendo la Directiva 2012/27/UE, del Parlamento Europeo y del Consejo, de 25 de octubre de 2012.</w:t>
      </w:r>
    </w:p>
    <w:p w:rsidR="00AC56D6" w:rsidRDefault="00AC56D6" w:rsidP="00AC56D6">
      <w:pPr>
        <w:pStyle w:val="TextoNormal"/>
      </w:pPr>
    </w:p>
    <w:p w:rsidR="00AC56D6" w:rsidRDefault="00AC56D6" w:rsidP="00AC56D6">
      <w:pPr>
        <w:pStyle w:val="TextoNormal"/>
      </w:pPr>
      <w:r>
        <w:t>El título IV recoge las medidas relacionadas con el fomento de la empleabilidad y la ocupación, y se centra en la regulación básica del sistema nacional de garantía juvenil, en particular en el desarrollo del fichero telemático único para su implantación (capítulo I, arts. 88 a 114). A su vez el título incluye medidas en materia de políticas activas de empleo con incentivos de bonificación para el empleo juvenil indefinido y bonificaciones para los contratos en prácticas (capítulo II, arts. 114 y 115), así como distintas modificaciones en materia de empresas de trabajo temporal, aumentando los controles sobre las mismas, y de agencias de colocación, suprimiendo la autorización de actividad por una declaración responsable (capítulo III, arts. 116 a 119) y otras medidas en el ámbito de la economía social y del autoempleo (capítulo IV, arts. 120 y 121).</w:t>
      </w:r>
    </w:p>
    <w:p w:rsidR="00AC56D6" w:rsidRDefault="00AC56D6" w:rsidP="00AC56D6">
      <w:pPr>
        <w:pStyle w:val="TextoNormal"/>
      </w:pPr>
    </w:p>
    <w:p w:rsidR="00AC56D6" w:rsidRDefault="00AC56D6" w:rsidP="00AC56D6">
      <w:pPr>
        <w:pStyle w:val="TextoNormal"/>
      </w:pPr>
      <w:r>
        <w:t>Por último, el título V recoge tres preceptos que contienen medidas fiscales que se articulan a través de la modificación parcial del impuesto sobre la renta de las personas físicas, del impuesto sobre sociedades, del impuesto sobre la renta de no residentes y del impuesto sobre el patrimonio, para aprobar exenciones en los supuestos de daciones en pago y ejecuciones hipotecarias, y la compensación sin límite temporal de las pérdidas patrimoniales de acciones preferentes con plusvalías futuras (art. 122). Se reforman también el texto refundido de la Ley reguladora de las haciendas locales (art. 123) y la Ley 16/2012, de 27 de diciembre, estableciéndose un gravamen del 0,03 por 100 en el impuesto a los depósitos bancarios que hasta ahora era del 0 por 100 (art. 124).</w:t>
      </w:r>
    </w:p>
    <w:p w:rsidR="00AC56D6" w:rsidRDefault="00AC56D6" w:rsidP="00AC56D6">
      <w:pPr>
        <w:pStyle w:val="TextoNormal"/>
      </w:pPr>
    </w:p>
    <w:p w:rsidR="00AC56D6" w:rsidRDefault="00AC56D6" w:rsidP="00AC56D6">
      <w:pPr>
        <w:pStyle w:val="TextoNormal"/>
      </w:pPr>
      <w:r>
        <w:t xml:space="preserve">Dentro del contenido de las disposiciones adicionales, en las que, de nuevo, se observa una notable diversidad temática, que va desde la aprobación de plazas para las diferentes escalas de las Fuerzas Armadas, pasando por la aprobación de medidas de refinanciación de los entes locales, el reparto de competencias en materia de navegación aérea entre los Ministerios de Fomento y Defensa, hasta llegar al cambio de denominación de la exposición conmemorativa de la primera exposición de Picasso, que se celebrará en A Coruña, cabe destacar, porque así lo hacen los recurrentes y el Abogado del Estado en sus escritos, en materia de Administración de Justicia, lo que tiene que ver con el diferimiento de un año de la entrada en vigor de la Ley 20/2011, de 21 de julio, del Registro Civil, y con la designación para que los Registradores de la Propiedad y Mercantiles se encarguen de la gestión del </w:t>
      </w:r>
      <w:r>
        <w:lastRenderedPageBreak/>
        <w:t>mismo, en el plazo de ese año, que será cuando entre en vigor la plataforma digital del Registro Civil.</w:t>
      </w:r>
    </w:p>
    <w:p w:rsidR="00AC56D6" w:rsidRDefault="00AC56D6" w:rsidP="00AC56D6">
      <w:pPr>
        <w:pStyle w:val="TextoNormal"/>
      </w:pPr>
    </w:p>
    <w:p w:rsidR="00AC56D6" w:rsidRDefault="00AC56D6" w:rsidP="00AC56D6">
      <w:pPr>
        <w:pStyle w:val="TextoNormal"/>
      </w:pPr>
      <w:r>
        <w:t>Pues bien, el Abogado del Estado, entiende que la demanda solicita la declaración de inconstitucionalidad de la totalidad de la norma, pero únicamente argumenta sobre el desajuste con la norma fundamental de algunos de los apartados incluidos en los títulos o disposiciones a que acaba de hacerse referencia, razón por la que el representante estatal considera que los recurrentes no habrían levantado la carga de fundamentar su pretensión, a pesar de lo cual, en su escrito, si bien afirma que no entrará en alegaciones distintas de las referidas a las argumentaciones expresas de los recurrentes, cierto es que se detiene en la justificación de la necesidad y urgencia de la práctica totalidad de las medidas contenidas en el Decreto-ley, siguiendo para ello el esquema de la memoria de análisis de impacto normativo del Decreto-ley, fechada el 3 de julio de 2014, esto es la exposición de medidas ordenadas en función de los Ministerios que las proponen.</w:t>
      </w:r>
    </w:p>
    <w:p w:rsidR="00AC56D6" w:rsidRDefault="00AC56D6" w:rsidP="00AC56D6">
      <w:pPr>
        <w:pStyle w:val="TextoNormal"/>
      </w:pPr>
    </w:p>
    <w:p w:rsidR="00AC56D6" w:rsidRDefault="00AC56D6" w:rsidP="00AC56D6">
      <w:pPr>
        <w:pStyle w:val="TextoNormal"/>
      </w:pPr>
      <w:r>
        <w:t>Dar respuesta aquí a la objeción de la Abogacía del Estado que se acaba de citar exige distinguir entre dos argumentos utilizados por los recurrentes. De un lado, estos afirman que no es posible trasladar la doctrina constitucional sobre las “leyes ómnibus” a un “decreto-ley ómnibus”, como el que es objeto del presente recurso, porque el recurso al art. 86 CE, en estos supuestos concretos, exigiría del Gobierno la justificación de la concurrencia de un presupuesto habilitante único y generalmente aplicable a todas las medidas contenidas en la norma, y que no existiría aquí, y porque, a mayor abundamiento, las limitaciones vinculadas al debate de convalidación parlamentaria del decreto-ley, en el caso de una norma heterogénea como esta, supone un ataque contra los derechos contenidos en el art. 23.2 CE. Por otro lado, el recurso de inconstitucionalidad intenta una aproximación al decreto-ley desde el análisis sectorial de cada título de la norma, argumentando, en cada caso, la inexistencia o insuficiencia del presupuesto habilitante, o la falta de conexión de sentido.</w:t>
      </w:r>
    </w:p>
    <w:p w:rsidR="00AC56D6" w:rsidRDefault="00AC56D6" w:rsidP="00AC56D6">
      <w:pPr>
        <w:pStyle w:val="TextoNormal"/>
      </w:pPr>
    </w:p>
    <w:p w:rsidR="00AC56D6" w:rsidRDefault="00AC56D6" w:rsidP="00AC56D6">
      <w:pPr>
        <w:pStyle w:val="TextoNormal"/>
      </w:pPr>
      <w:r>
        <w:t>El Tribunal debe dar respuesta pues a ambos bloques argumentales, alterando con ello sensiblemente el esquema clásico de respuesta en los supuestos de examen del ajuste de los reales decretos-leyes al art. 86 CE. Y es que si bien en relación con el primero, los motivos desarrollados por los recurrentes pueden ser considerados suficientes como para que el Tribunal se detenga en el análisis de los mismos, en relación con el segundo bloque, hemos de coincidir en este punto con lo señalado por el Abogado del Estado: la lectura de los términos en que está formulada la impugnación no exige de este Tribunal un examen detenido de cada uno de los preceptos en que se estructura el decreto-ley, puesto que, respecto de buena parte de los mismos, los recurrentes han omitido cualquier tipo de alegación específica, que resulta especialmente necesaria cuando de lo que se trata es de analizar la conexión de sentido entre las medidas impugnadas y el presupuesto habilitante, o de valorar la mera concurrencia de dicho presupuesto habilitante.</w:t>
      </w:r>
    </w:p>
    <w:p w:rsidR="00AC56D6" w:rsidRDefault="00AC56D6" w:rsidP="00AC56D6">
      <w:pPr>
        <w:pStyle w:val="TextoNormal"/>
      </w:pPr>
    </w:p>
    <w:p w:rsidR="00AC56D6" w:rsidRDefault="00AC56D6" w:rsidP="00AC56D6">
      <w:pPr>
        <w:pStyle w:val="TextoNormal"/>
      </w:pPr>
      <w:r>
        <w:t xml:space="preserve">La impugnación de normas, lo ha reiterado este Tribunal en buen número de supuestos, “debe ir acompañada con una fundamentación que permita a las partes, a las que asiste el derecho de defensa (en este caso, al Abogado del Estado), así como a este Tribunal que ha de pronunciar Sentencia, conocer las razones por las cuales los recurrentes entienden que las disposiciones cuestionadas vulneran el orden constitucional. Cuando lo que se encuentra en juego es la depuración del ordenamiento jurídico resulta carga de los recurrentes, no sólo abrir la vía para que el Tribunal pueda pronunciarse, sino también colaborar con la justicia </w:t>
      </w:r>
      <w:r>
        <w:lastRenderedPageBreak/>
        <w:t>del Tribunal mediante un pormenorizado análisis de las cuestiones que se suscitan, por lo cual, si no se atiende esta exigencia, se falta a la diligencia procesalmente requerida. En suma la presunción de constitucionalidad de normas con rango de ley no puede desvirtuarse sin una argumentación suficiente, no siendo admisibles las impugnaciones globales carentes de un razonamiento desarrollado que las sustente” (por todas, STC 101/2013, de 23 de abril, FJ 11).</w:t>
      </w:r>
    </w:p>
    <w:p w:rsidR="00AC56D6" w:rsidRDefault="00AC56D6" w:rsidP="00AC56D6">
      <w:pPr>
        <w:pStyle w:val="TextoNormal"/>
      </w:pPr>
    </w:p>
    <w:p w:rsidR="00AC56D6" w:rsidRDefault="00AC56D6" w:rsidP="00AC56D6">
      <w:pPr>
        <w:pStyle w:val="TextoNormal"/>
      </w:pPr>
      <w:r>
        <w:t>Por tanto, si bien el Tribunal dará respuesta a los argumentos relacionados con la inconstitucionalidad de la totalidad del Decreto-ley por vulneración del art. 86 CE, basados en la inexistencia de un presupuesto habilitante único y aplicable a la totalidad de las disposiciones que contiene la norma, una vez analizada esta cuestión, y caso de ser descartada la vulneración denunciada, no entraremos a valorar la inconstitucionalidad específica de cada uno de los preceptos del Decreto-ley, sino solo la de aquellos artículos o grupos de artículos respecto de los que se haya levantado adecuadamente la carga de argumentar, de manera suficiente, el motivo impugnatorio, y que son, tal y como se deduce de la lectura de los antecedentes, los siguientes: los preceptos que integran el capítulo II del título I, relativo al comercio minorista y unidad de mercado; el artículo 50 (título II) referido a la operación de aeronaves civiles pilotadas por control remoto; los artículos que conforman los capítulos I, II y IV del título III, (sobre medidas urgentes en el ámbito energético), y el particular el art. 68 (integrado en el capítulo III del título III), relativo a la modificación de la Ley de minas de 1973; el art. 116 relativo a las modificaciones en materia de empresas de trabajo temporal y agencias de colocación; las disposiciones adicionales decimonovena a vigésima cuarta, relativas a la prórroga de la entrada en vigor de la Ley 20/2011, de 21 de julio, del Registro Civil y a la llevanza del Registro por los Registradores de la Propiedad y Mercantiles; la disposición final segunda, de habilitación normativa al Gobierno para la aprobación de un procedimiento para la gestión de los derechos mineros que resulten afectados por el cambio del sistema geodésico de referencia; y la disposición final cuarta que establece que “las determinaciones incluidas en normas reglamentarias que son objeto de modificación por este real decreto-ley podrán ser modificadas por normas del rango reglamentario correspondiente a la norma en que figuran”, y que habilita al Gobierno expresamente para “modificar los artículos 63 y 64 y los anexos X (Metodología de cálculo de la retribución de la actividad de distribución) y XI (Metodología de cálculo de la retribución de las actividades de transporte, regasificación y almacenamiento básico) del presente real decreto-ley y al Ministro de Industria, Energía y Turismo a desarrollar el contenido de todos los anteriores”.</w:t>
      </w:r>
    </w:p>
    <w:p w:rsidR="00AC56D6" w:rsidRDefault="00AC56D6" w:rsidP="00AC56D6">
      <w:pPr>
        <w:pStyle w:val="TextoNormal"/>
      </w:pPr>
    </w:p>
    <w:p w:rsidR="00AC56D6" w:rsidRDefault="00AC56D6" w:rsidP="00AC56D6">
      <w:pPr>
        <w:pStyle w:val="TextoNormal"/>
      </w:pPr>
      <w:r>
        <w:t>b) Delimitado de esta forma el objeto del recurso, examinaremos ahora la incidencia que modificaciones normativas sobrevenidas hayan podido tener sobre la pervivencia del objeto del recurso o de alguno de sus motivos.</w:t>
      </w:r>
    </w:p>
    <w:p w:rsidR="00AC56D6" w:rsidRDefault="00AC56D6" w:rsidP="00AC56D6">
      <w:pPr>
        <w:pStyle w:val="TextoNormal"/>
      </w:pPr>
    </w:p>
    <w:p w:rsidR="00AC56D6" w:rsidRDefault="00AC56D6" w:rsidP="00AC56D6">
      <w:pPr>
        <w:pStyle w:val="TextoNormal"/>
      </w:pPr>
      <w:r>
        <w:t xml:space="preserve">El Decreto-ley 8/2014, de conformidad con lo dispuesto en el art. 86.2 CE, fue sometido a debate y votación de totalidad por el Congreso de los Diputados en su sesión del día 10 de julio de 2014, en la que se acordó su convalidación, tramitándose posteriormente para su aprobación como proyecto de ley. El proyecto sería finalmente aprobado, sin modificaciones, como Ley 18/2014, de 15 de octubre, de aprobación de medidas urgentes para el crecimiento, la competitividad y la eficiencia. El texto de la Ley coincide sustancialmente con el del decreto-ley, existiendo, por un lado, diferencias menores en la exposición de motivos, que reflejan que en el proyecto de ley ya no era necesario justificar la concurrencia de una situación de urgencia y necesidad, y por otro, la incorporación, en la ley, de una disposición </w:t>
      </w:r>
      <w:r>
        <w:lastRenderedPageBreak/>
        <w:t>adicional más, la decimotercera, relativa a las medidas para paliar la situación de los damnificados por el terremoto de Lorca, que modificará a su vez la numeración de las disposiciones adicionales sucesivas.</w:t>
      </w:r>
    </w:p>
    <w:p w:rsidR="00AC56D6" w:rsidRDefault="00AC56D6" w:rsidP="00AC56D6">
      <w:pPr>
        <w:pStyle w:val="TextoNormal"/>
      </w:pPr>
    </w:p>
    <w:p w:rsidR="00AC56D6" w:rsidRDefault="00AC56D6" w:rsidP="00AC56D6">
      <w:pPr>
        <w:pStyle w:val="TextoNormal"/>
      </w:pPr>
      <w:r>
        <w:t>Siendo lo anterior como se describe, resulta evidente, y así lo refleja nuestra jurisprudencia, (STC 111/1983, de 2 de diciembre, posteriormente reiterada, entre otras, en la STC 178/2004, de 21 de octubre) que una vez se sigue para el decreto-ley la vía prevista en el art. 86.3 CE, de tramitación como proyecto de ley, en el momento en que este sea aprobado quedará “extinguido el Decreto-ley mediante la promulgación de una ley destinada a reemplazarle” (STC 178/2004, FJ 6). Esta novación, que en el caso que nos ocupa, supone la sustitución absoluta del Decreto-ley 8/2014, por la Ley 18/2014, no implica, no obstante, la desaparición del objeto del presente proceso constitucional, en la medida en que el criterio sostenido por este Tribunal (entre otras en las SSTC 111/1983, 182/1997, de 28 de octubre, 31/2001, de 17 de marzo, 189/2005, de 7 de julio, 137/2011, de 14 de septiembre, y 237/2012, de 13 de diciembre) es que la novación o derogación tácita a que se refiere el Abogado del Estado, “no impide controlar si el ejercicio de la potestad reconocida al Gobierno por el art. 86.1 CE se realizó siguiendo los requisitos establecidos en dicho precepto constitucional, pues al hacerlo se trata de velar por el recto ejercicio de la potestad de dictar decretos-leyes, dentro del marco constitucional, decidiendo la validez o invalidez de las normas impugnadas sin atender a su vigencia o derogación en el momento en que se pronuncia el fallo” (STC 137/2011, FJ 12).</w:t>
      </w:r>
    </w:p>
    <w:p w:rsidR="00AC56D6" w:rsidRDefault="00AC56D6" w:rsidP="00AC56D6">
      <w:pPr>
        <w:pStyle w:val="TextoNormal"/>
      </w:pPr>
    </w:p>
    <w:p w:rsidR="00AC56D6" w:rsidRDefault="00AC56D6" w:rsidP="00AC56D6">
      <w:pPr>
        <w:pStyle w:val="TextoNormal"/>
      </w:pPr>
      <w:r w:rsidRPr="00AC56D6">
        <w:rPr>
          <w:rStyle w:val="NumeroAFNegritaCaracter"/>
        </w:rPr>
        <w:t>3</w:t>
      </w:r>
      <w:r>
        <w:t>. Por tanto, definido el objeto del recurso de inconstitucionalidad en los términos anteriores, el Tribunal debe pronunciarse, prioritariamente, sobre la cuestión planteada por los recurrentes en relación con las particularidades que pudiera tener la aplicación de nuestra doctrina en materia de presupuesto habilitante del decreto-ley, al análisis de constitucionalidad de la norma impugnada.</w:t>
      </w:r>
    </w:p>
    <w:p w:rsidR="00AC56D6" w:rsidRDefault="00AC56D6" w:rsidP="00AC56D6">
      <w:pPr>
        <w:pStyle w:val="TextoNormal"/>
      </w:pPr>
    </w:p>
    <w:p w:rsidR="00AC56D6" w:rsidRDefault="00AC56D6" w:rsidP="00AC56D6">
      <w:pPr>
        <w:pStyle w:val="TextoNormal"/>
      </w:pPr>
      <w:r>
        <w:t>A juicio de quienes plantean el recurso de inconstitucionalidad, la diversidad normativa del Real Decreto-ley 8/2014, de 4 de julio, exigiría la existencia de un presupuesto habilitante único y común, que justificara la redacción de un solo decreto-ley y no de distintos decretos-leyes, presupuesto que, a su juicio, no existe en este caso. Además, los recurrentes afirman que no es posible trasladar la doctrina constitucional en materia de leyes ómnibus, a un decreto-ley ómnibus, incidiendo en la idea de que el uso abusivo del mismo supone una lesión particularmente intensa del art. 23.2 CE, al limitar las facultades de las Cortes y de sus miembros, en lo que hace a las facultades de examen, deliberación y enmienda. Por su parte el Abogado del Estado asevera que la exposición de motivos del Decreto-ley expone una motivación suficiente de la concurrencia del presupuesto habilitante, tanto a nivel genérico, aludiéndose a que todas las medidas se dirigen a aumentar la competitividad y fomentar el funcionamiento eficiente de los mercados y mejorar la financiación, así como a mejorar la empleabilidad en el contexto de la superación de una notoria e intensa crisis económica, como a nivel específico, entrando al detalle de la justificación del presupuesto habilitante en relación con las medidas contenidas en el Decreto-ley.</w:t>
      </w:r>
    </w:p>
    <w:p w:rsidR="00AC56D6" w:rsidRDefault="00AC56D6" w:rsidP="00AC56D6">
      <w:pPr>
        <w:pStyle w:val="TextoNormal"/>
      </w:pPr>
    </w:p>
    <w:p w:rsidR="00AC56D6" w:rsidRDefault="00AC56D6" w:rsidP="00AC56D6">
      <w:pPr>
        <w:pStyle w:val="TextoNormal"/>
      </w:pPr>
      <w:r>
        <w:t xml:space="preserve">Tal y como afirman los recurrentes, el Decreto-ley 8/2014 puede ser denominado “decreto-ley ómnibus”, expresión traída desde las “leyes ómnibus”, también denominadas por nuestra doctrina “leyes transversales”, y que surgieron como leyes de acompañamiento a las de presupuestos generales del Estado o “leyes de medidas”, concebidas en nuestro sistema </w:t>
      </w:r>
      <w:r>
        <w:lastRenderedPageBreak/>
        <w:t>de fuentes como respuesta a la introducción de límites materiales a la elaboración de la Ley de presupuestos (STC 76/1992, de 14 de mayo), para evolucionar después, de manera fundamental, como instrumento de sistematización de la política económica. A las “leyes de medidas” se les imputó, desde su surgimiento (dictamen del Consejo de Estado de 3 de octubre de 1996, dictamen del Consejo Económico y Social 3/1996, o informe del Consejo General del poder Judicial de 15 de octubre de 1997), el mismo vicio que los recurrentes encuentran en el Decreto-ley 8/2014, esto es, la falta de conexión material entre sus preceptos, que hace de la norma un texto difícilmente accesible, y cuya tramitación atenta contra el principio de seguridad jurídica (art. 9.3 CE) y contra el derecho a participar en los asuntos públicos de los parlamentarios conectado al art. 23.2 CE.</w:t>
      </w:r>
    </w:p>
    <w:p w:rsidR="00AC56D6" w:rsidRDefault="00AC56D6" w:rsidP="00AC56D6">
      <w:pPr>
        <w:pStyle w:val="TextoNormal"/>
      </w:pPr>
    </w:p>
    <w:p w:rsidR="00AC56D6" w:rsidRDefault="00AC56D6" w:rsidP="00AC56D6">
      <w:pPr>
        <w:pStyle w:val="TextoNormal"/>
      </w:pPr>
      <w:r>
        <w:t>Pero las cuestiones citadas fueron abordadas ya por este Tribunal, que ha tenido ocasión de valorar que la heterogeneidad intrínseca de las “leyes ómnibus” no está, per se, constitucionalmente proscrita, por amparar “preceptos en muchas materias y sectores, por muy desaconsejable que tal práctica parezca técnicamente” (STC 102/2012, de 8 de mayo, FJ 2). En la STC 136/2011, de 13 de septiembre, afirmamos que “el dogma de la deseable homogeneidad de un texto legislativo no es obstáculo insalvable que impida al legislador dictar normas multisectoriales, pues tampoco existe en la Constitución precepto alguno, expreso o implícito, que impida que las leyes tengan un contenido heterogéneo. El único límite que existe en nuestro ordenamiento jurídico a las leyes de contenido heterogéneo es el previsto en la Ley Orgánica 3/1984, de 26 de marzo, reguladora de la iniciativa legislativa popular, que acoge como una de las causas de inadmisión de esa iniciativa ‘[e]l hecho de que el texto de la proposición verse sobre materias diversas carentes de homogeneidad entre sí’ [art. 5.2 c)]. Ahora bien, al margen de ese supuesto, el intentar basar la inconstitucionalidad de este tipo de normas en el hecho de no estar previstas en el texto constitucional —como hacen los Diputados recurrentes— supone invertir los términos del debate que debe circunscribirse a comprobar si, de un lado, se encuentran prohibidas; y a si, de otro lado, de no encontrarse prohibidas, sin embargo, sí se encuentran limitadas en su uso o contenido” (STC 136/2011, FJ 3).</w:t>
      </w:r>
    </w:p>
    <w:p w:rsidR="00AC56D6" w:rsidRDefault="00AC56D6" w:rsidP="00AC56D6">
      <w:pPr>
        <w:pStyle w:val="TextoNormal"/>
      </w:pPr>
    </w:p>
    <w:p w:rsidR="00AC56D6" w:rsidRDefault="00AC56D6" w:rsidP="00AC56D6">
      <w:pPr>
        <w:pStyle w:val="TextoNormal"/>
      </w:pPr>
      <w:r>
        <w:t xml:space="preserve">Más allá de la afirmación anterior, el Tribunal ha profundizado en la cuestión planteada, avanzando en la idea de que las leyes ómnibus o leyes transversales (STC 132/2013, de 5 de junio, FJ 1), no son, por el mero hecho de su compleja estructura interna, lesivas de precepto constitucional alguno. La STC 132/2013, de 5 de junio, resume nuestra jurisprudencia en la materia, recurriendo a lo resuelto en las SSTC 136/2011, de 13 de septiembre, 176/2011, de 8 de noviembre, y 209/2012, de 14 de noviembre, y afirmando que: a) no existe ningún óbice, desde “el punto de vista constitucional que impida o limite la incorporación a un solo texto legislativo, para su tramitación conjunta en un solo procedimiento, de multitud de medidas normativas de carácter heterogéneo”; b) el contenido heterogéneo de las leyes de medidas fiscales, administrativas y del orden social “no modifica su naturaleza de ley ordinaria, ni, por ende, altera su relación con las demás normas que integran el Ordenamiento jurídico”, porque no alteran el sistema de fuentes establecido por nuestra Constitución; c) las leyes ómnibus no tienen por qué atentar contra el principio democrático consagrado por nuestra Constitución (art. 1.1), ya que este impone que la formación de la voluntad de las Cortes Generales se articule “a través de un procedimiento cuyos rasgos estructurales ha prescrito el texto constitucional” y en el que opera el “principio mayoritario y, por tanto, la consecución de una determinada mayoría como fórmula para la integración de voluntades concurrentes”; d) este tipo de leyes tampoco infringen de forma automática </w:t>
      </w:r>
      <w:r>
        <w:lastRenderedPageBreak/>
        <w:t>el principio de seguridad jurídica (art. 9.3 CE), porque tienen un objeto que, “aunque heterogéneo, está perfectamente delimitado en el momento de presentación del proyecto al Congreso de los Diputados, teniendo todos sus eventuales destinatarios (operadores jurídicos y ciudadanos) conocimiento del mismo mediante su publicación en el ‘Diario Oficial de las Cortes Generales’, como finalmente tienen conocimiento del texto definitivo mediante su inserción en el ‘Boletín Oficial del Estado’”; e) y, por último, para que una eventual lesión de las reglas de procedimiento parlamentario por una ley de este tipo, sea constitucionalmente relevante, es preciso acreditar que el alcance de tal lesión era de tal magnitud que hubiese alterado, “no de cualquier manera, sino de forma sustancial, el proceso de formación de la voluntad de una Cámara, habiendo afectado, en consecuencia, al ejercicio de la función representativa inherente al estatuto del parlamentario”(STC 132/2013, FJ 1, y jurisprudencia allí citada).</w:t>
      </w:r>
    </w:p>
    <w:p w:rsidR="00AC56D6" w:rsidRDefault="00AC56D6" w:rsidP="00AC56D6">
      <w:pPr>
        <w:pStyle w:val="TextoNormal"/>
      </w:pPr>
    </w:p>
    <w:p w:rsidR="00AC56D6" w:rsidRDefault="00AC56D6" w:rsidP="00AC56D6">
      <w:pPr>
        <w:pStyle w:val="TextoNormal"/>
      </w:pPr>
      <w:r>
        <w:t>Pues bien, vista la doctrina expuesta, este Tribunal no encuentra objeción alguna para aplicarla a la hora de resolver la impugnación de un “decreto-ley ómnibus”, partiendo, como hacíamos en aquellos pronunciamientos, del reconocimiento de que, si bien el Decreto-ley impugnado puede ser expresión de una deficiente técnica normativa, en este caso desarrollada por el Gobierno en ejercicio de las potestades legislativas que le concede la Constitución en el art. 86 CE, hemos de limitarnos a realizar un juicio de constitucionalidad sobre la norma, porque no nos compete efectuar un control sobre su calidad técnica, del mismo modo que hemos afirmado, que no poseemos tal facultad en relación con el análisis de la perfección técnica de las leyes [SSTC 109/1987, de 29 de junio, FJ 3 c); 226/1993, de 8 de julio, FJ 4; 226/1993, de 8 de julio, FJ 5, y 195/1996, de 28 de noviembre, FJ 4].</w:t>
      </w:r>
    </w:p>
    <w:p w:rsidR="00AC56D6" w:rsidRDefault="00AC56D6" w:rsidP="00AC56D6">
      <w:pPr>
        <w:pStyle w:val="TextoNormal"/>
      </w:pPr>
    </w:p>
    <w:p w:rsidR="00AC56D6" w:rsidRDefault="00AC56D6" w:rsidP="00AC56D6">
      <w:pPr>
        <w:pStyle w:val="TextoNormal"/>
      </w:pPr>
      <w:r>
        <w:t>Como decíamos en relación con las leyes de contenido híbrido, y trasladando aquella doctrina al ámbito de los decretos-leyes, la Constitución no contempla otros límites materiales para la elaboración de estos últimos, que los contenidos en el párrafo 1 del art. 86 CE, y que se refieren a la interdicción de regular, mediante decreto-ley, cuestiones que afecten “al ordenamiento de las instituciones básicas del Estado, a los derechos, deberes y libertades de los ciudadanos regulados en el Título I, al régimen de las Comunidades Autónomas ni al Derecho electoral general”. Si puede deducirse de la jurisprudencia previamente citada que las leyes de contenido heterogéneo son un continente constitucionalmente admisible, aunque técnicamente mejorable, para recoger medidas diversas de política económica, también puede aceptarse la existencia de decretos-leyes transversales, que actúen como disposición en que se contenga una política económica de urgencia; eso sí, en los términos y con los límites que el presupuesto habilitante reflejado en el art. 86.1 CE impone. Dicho de otro modo, nada se opone en el texto constitucional a que un decreto-ley contenga medidas normativas de carácter heterogéneo, siempre que las mismas no afecten a las materias que le están constitucionalmente vedadas a dicho tipo de fuente.</w:t>
      </w:r>
    </w:p>
    <w:p w:rsidR="00AC56D6" w:rsidRDefault="00AC56D6" w:rsidP="00AC56D6">
      <w:pPr>
        <w:pStyle w:val="TextoNormal"/>
      </w:pPr>
    </w:p>
    <w:p w:rsidR="00AC56D6" w:rsidRDefault="00AC56D6" w:rsidP="00AC56D6">
      <w:pPr>
        <w:pStyle w:val="TextoNormal"/>
      </w:pPr>
      <w:r>
        <w:t>El contenido heterogéneo del decreto-ley tampoco modifica su naturaleza como tal decreto-ley, ni altera su relación con las demás normas del ordenamiento, ni el sistema de fuentes establecido en la Constitución, por lo que podemos aplicar al juicio sobre la constitucionalidad del mismo, nuestra muy consolidada doctrina sobre decretos-leyes, que nos permite efectuar sobre los mismos un juicio valorativo relativo a la concurrencia del presupuesto habilitante y a la observancia de los límites materiales del decreto-ley.</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4</w:t>
      </w:r>
      <w:r>
        <w:t>. Así, en relación con el Decreto-ley 8/2014, debemos analizar, como hacemos sistemáticamente para resolver los recursos o cuestiones de inconstitucionalidad planteadas al amparo de la invocación del art. 86.1 CE, si el ejercicio de este poder legislativo excepcional por parte del Gobierno está justificado por razones de extraordinaria y urgente necesidad (art. 86.1 CE), y si su contenido, o parte del mismo, afecta, como afirman los recurrentes, a uno de los derechos, deberes y libertades de los ciudadanos regulados en el título I CE, concretamente al derecho a la intimidad del art. 18.1 CE.</w:t>
      </w:r>
    </w:p>
    <w:p w:rsidR="00AC56D6" w:rsidRDefault="00AC56D6" w:rsidP="00AC56D6">
      <w:pPr>
        <w:pStyle w:val="TextoNormal"/>
      </w:pPr>
    </w:p>
    <w:p w:rsidR="00AC56D6" w:rsidRDefault="00AC56D6" w:rsidP="00AC56D6">
      <w:pPr>
        <w:pStyle w:val="TextoNormal"/>
      </w:pPr>
      <w:r>
        <w:t>En relación con la concurrencia del presupuesto habilitante, que se conforma como un límite jurídico de la actuación normativa mediante decreto-ley (STC 68/2007, de 28 de marzo, FJ 6), el Tribunal debe controlar su aplicación al caso concreto, pero sin que esa fiscalización, que debe limitarse a un examen externo, pueda sustituir el juicio político sobre la concurrencia del presupuesto que corresponde efectuar al Gobierno (titular constitucional de la potestad legislativa de urgencia) y al Congreso (titular de la potestad de convalidar, derogar o tramitar el texto como proyecto de ley). Dicho en otros términos, el Tribunal debe controlar que el juicio político realizado por el Gobierno, que elabora el decreto-ley, y por la mayoría del Congreso de los Diputados, que lo convalida, no desborda los límites de lo manifiestamente razonable, pero “el control jurídico de este requisito no debe suplantar a los órganos constitucionales que intervienen en la aprobación y convalidación de los Reales Decretos-Leyes” (SSTC 332/2005, de 15 de diciembre, FJ 5, y 1/2012, de 13 de enero, FJ 6).</w:t>
      </w:r>
    </w:p>
    <w:p w:rsidR="00AC56D6" w:rsidRDefault="00AC56D6" w:rsidP="00AC56D6">
      <w:pPr>
        <w:pStyle w:val="TextoNormal"/>
      </w:pPr>
    </w:p>
    <w:p w:rsidR="00AC56D6" w:rsidRDefault="00AC56D6" w:rsidP="00AC56D6">
      <w:pPr>
        <w:pStyle w:val="TextoNormal"/>
      </w:pPr>
      <w:r>
        <w:t>Nuestra jurisprudencia también viene afirmando que la Constitución ha adoptado “una solución flexible y matizada respecto del fenómeno del real decreto-ley que, por una parte, no lleva a su completa proscripción en aras del mantenimiento de una rígida separación de los poderes, ni se limita a permitirlo de una forma totalmente excepcional en situaciones de necesidad absoluta, de modo que la utilización de este instrumento normativo se estima legítima ‘en todos aquellos casos en que hay que alcanzar los objetivos marcados para la gobernación del país, que, por circunstancias difíciles o imposibles de prever, requieren una acción normativa inmediata o en que las coyunturas económicas exigen una rápida respuesta’ (STC 6/1983, de 4 de febrero, FJ 5)” (STC 237/2012, de 13 de diciembre, FJ 3).</w:t>
      </w:r>
    </w:p>
    <w:p w:rsidR="00AC56D6" w:rsidRDefault="00AC56D6" w:rsidP="00AC56D6">
      <w:pPr>
        <w:pStyle w:val="TextoNormal"/>
      </w:pPr>
    </w:p>
    <w:p w:rsidR="00AC56D6" w:rsidRDefault="00AC56D6" w:rsidP="00AC56D6">
      <w:pPr>
        <w:pStyle w:val="TextoNormal"/>
      </w:pPr>
      <w:r>
        <w:t>Por tanto, asumiendo que el control que corresponde al Tribunal es externo, jurídico y no de oportunidad política ni de excelencia técnica, y que ha de ser flexible, en coherencia con el reconocimiento constitucional del decreto-ley, para no invalidar de forma innecesaria, ni sustituir el juicio político sobre la concurrencia del presupuesto que corresponde efectuar al Gobierno y al Congreso de los Diputados “en el ejercicio de la función de control parlamentario (art. 86.2 CE)” (STC 137/2011, de 14 de septiembre, FJ 4), debemos realizarlo acudiendo, en primer término, a la comprobación de que el titular constitucional de la potestad legislativa de urgencia ha definido la concurrencia del presupuesto habilitante, de forma explícita y razonada. Para realizar tal comprobación, puede acudirse, como reitera nuestra doctrina, a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(por todas SSTC 29/1982, de 31 de mayo, FJ 4; 182/1997, de 28 de octubre, FJ 4; 11/2002, de 17 de enero, FJ 4; 137/2003, de 3 de julio, FJ 3, y 137/2011, de 14 de septiembre, FJ 4).</w:t>
      </w:r>
    </w:p>
    <w:p w:rsidR="00AC56D6" w:rsidRDefault="00AC56D6" w:rsidP="00AC56D6">
      <w:pPr>
        <w:pStyle w:val="TextoNormal"/>
      </w:pPr>
    </w:p>
    <w:p w:rsidR="00AC56D6" w:rsidRDefault="00AC56D6" w:rsidP="00AC56D6">
      <w:pPr>
        <w:pStyle w:val="TextoNormal"/>
      </w:pPr>
      <w:r>
        <w:lastRenderedPageBreak/>
        <w:t>En segundo término, debe valorarse “que exista una conexión de sentido o relación de adecuación entre la situación definida que constituye el presupuesto y las medidas que en el Decreto-ley se adoptan (STC 29/1982, de 31 de mayo, FJ 3), de manera que estas últimas guarden una relación directa o de congruencia con la situación que se trata de afrontar” (STC 182/1997, de 28 de octubre, FJ 3). Para valorar la existencia de la conexión de sentido hemos de analizar, de un lado, el contenido, y, de otro, la estructura de las disposiciones incluidas en el Real Decreto-ley controvertido (STC 12/2015, de 5 de febrero, FJ 3).</w:t>
      </w:r>
    </w:p>
    <w:p w:rsidR="00AC56D6" w:rsidRDefault="00AC56D6" w:rsidP="00AC56D6">
      <w:pPr>
        <w:pStyle w:val="TextoNormal"/>
      </w:pPr>
    </w:p>
    <w:p w:rsidR="00AC56D6" w:rsidRDefault="00AC56D6" w:rsidP="00AC56D6">
      <w:pPr>
        <w:pStyle w:val="TextoNormal"/>
      </w:pPr>
      <w:r>
        <w:t>Así las cosas, para controlar la concurrencia del presupuesto habilitante del decreto-ley, es preciso analizar dos elementos: los motivos que habiendo sido tenidos en cuenta por el Gobierno en su aprobación hayan sido explicitados de una forma razonada, y la existencia de una necesaria conexión entre la situación de urgencia definida y la medida concreta adoptada para subvenir a la misma (SSTC 31/2011, de 17 de marzo, FJ 3; y 100/2012, de 8 de mayo, FJ 8).</w:t>
      </w:r>
    </w:p>
    <w:p w:rsidR="00AC56D6" w:rsidRDefault="00AC56D6" w:rsidP="00AC56D6">
      <w:pPr>
        <w:pStyle w:val="TextoNormal"/>
      </w:pPr>
    </w:p>
    <w:p w:rsidR="00AC56D6" w:rsidRDefault="00AC56D6" w:rsidP="00AC56D6">
      <w:pPr>
        <w:pStyle w:val="TextoNormal"/>
      </w:pPr>
      <w:r>
        <w:t>En este contexto, y como recordábamos en la reciente STC 183/2014, de 6 de noviembre, “generalmente, hemos venido admitiendo el uso del decreto-ley en situaciones que hemos denominado como ‘coyunturas económicas problemáticas’, para cuyo tratamiento representa un instrumento constitucionalmente lícito, en tanto que pertinente y adecuado para la consecución del fin que justifica la legislación de urgencia, que no es otro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31/2011, de 17 de marzo, FJ 4; 137/2011, de 14 de septiembre, FJ 6; y 100/2012, de 8 de mayo, FJ 8)” (STC 183/2014, FJ 4).</w:t>
      </w:r>
    </w:p>
    <w:p w:rsidR="00AC56D6" w:rsidRDefault="00AC56D6" w:rsidP="00AC56D6">
      <w:pPr>
        <w:pStyle w:val="TextoNormal"/>
      </w:pPr>
    </w:p>
    <w:p w:rsidR="00AC56D6" w:rsidRDefault="00AC56D6" w:rsidP="00AC56D6">
      <w:pPr>
        <w:pStyle w:val="TextoNormal"/>
      </w:pPr>
      <w:r w:rsidRPr="00AC56D6">
        <w:rPr>
          <w:rStyle w:val="NumeroAFNegritaCaracter"/>
        </w:rPr>
        <w:t>5</w:t>
      </w:r>
      <w:r>
        <w:t>. La doctrina expuesta, que es doctrina consolidada, no refleja así en ningún momento la exigencia que los recurrentes plantean frente al Decreto-ley 8/2014, de que deba existir, en los supuestos de decretos-leyes transversales o de contenido heterogéneo, un presupuesto habilitante común, que de coherencia y unidad a dicho decreto-ley. En realidad, de esa misma doctrina, podría más bien deducirse el requerimiento contrario.</w:t>
      </w:r>
    </w:p>
    <w:p w:rsidR="00AC56D6" w:rsidRDefault="00AC56D6" w:rsidP="00AC56D6">
      <w:pPr>
        <w:pStyle w:val="TextoNormal"/>
      </w:pPr>
    </w:p>
    <w:p w:rsidR="00AC56D6" w:rsidRDefault="00AC56D6" w:rsidP="00AC56D6">
      <w:pPr>
        <w:pStyle w:val="TextoNormal"/>
      </w:pPr>
      <w:r>
        <w:t>Habiendo entendido que no parece existir un óbice constitucional directo a la existencia de decretos-leyes transversales, porque no puede deducirse del art. 86.1 CE más límite material que el que aparece expresamente contenido en el precepto, no parece que pueda exigirse a este tipo de decretos leyes un límite formal específico, basado en la existencia de un presupuesto habilitante común a todas las medidas en él contenidas.</w:t>
      </w:r>
    </w:p>
    <w:p w:rsidR="00AC56D6" w:rsidRDefault="00AC56D6" w:rsidP="00AC56D6">
      <w:pPr>
        <w:pStyle w:val="TextoNormal"/>
      </w:pPr>
    </w:p>
    <w:p w:rsidR="00AC56D6" w:rsidRDefault="00AC56D6" w:rsidP="00AC56D6">
      <w:pPr>
        <w:pStyle w:val="TextoNormal"/>
      </w:pPr>
      <w:r>
        <w:t>La concurrencia de la urgencia y la necesidad debe analizarse de cada precepto, porque solo de este modo podrá realizarse un examen apropiado sobre la conexión de sentido entre la situación de urgencia definida y la medida concreta adoptada para subvenir a la misma. Si las medidas son diversas, las situaciones concretas de urgencia y necesidad que justifican su adopción también son susceptibles de serlo, por más que todas ellas tengan un denominador común, como es la concurrencia de situación de crisis económica severa, o la necesidad de adoptar medidas para incentivar, acelerar o reforzar la recuperación económica, como se refiere por el Gobierno en relación con el Decreto-ley que sometemos a examen.</w:t>
      </w:r>
    </w:p>
    <w:p w:rsidR="00AC56D6" w:rsidRDefault="00AC56D6" w:rsidP="00AC56D6">
      <w:pPr>
        <w:pStyle w:val="TextoNormal"/>
      </w:pPr>
    </w:p>
    <w:p w:rsidR="00AC56D6" w:rsidRDefault="00AC56D6" w:rsidP="00AC56D6">
      <w:pPr>
        <w:pStyle w:val="TextoNormal"/>
      </w:pPr>
      <w:r>
        <w:lastRenderedPageBreak/>
        <w:t>Por tanto, y por más que pueda hablarse de la existencia de una global situación de urgencia o de necesidad, vinculada a lo que este Tribunal ha denominado como “coyunturas económicas problemáticas”, en los supuestos en que existe la previsión de un conjunto de medidas diversas para afrontar esa coyuntura, bien se puede exigir al Gobierno que exponga razonadamente los motivos que ha tenido en cuenta para incluir cada bloque de medidas en el decreto-ley, optando por sacarlas de la órbita de un eventual proyecto de ley específico. Por tanto, frente a lo sostenido por los recurrentes, la valoración de la concurrencia del presupuesto habilitante en un decreto-ley transversal, pasa por verificar que la motivación relativa a la existencia de dicho presupuesto, no es una vaga motivación genérica, sino que se refiere, expresamente, a cada precepto o grupo de preceptos, con el objetivo de exteriorizar las razones que justifican la inclusión de esas medidas en un decreto-ley. Solo de este modo, quien está llamado a ejercer el control sobre el Decreto-ley puede tener presentes “las situaciones concretas y los objetivos gubernamentales que han dado lugar a la aprobación de cada uno de los Decretos-leyes enjuiciados” (SSTC 6/1983, de 4 de febrero, FJ 5; 182/1997, de 28 de octubre, FJ 3; 11/2002, de 17 de enero, FJ 4, y 137/2003, de 3 de julio, FJ 3).</w:t>
      </w:r>
    </w:p>
    <w:p w:rsidR="00AC56D6" w:rsidRDefault="00AC56D6" w:rsidP="00AC56D6">
      <w:pPr>
        <w:pStyle w:val="TextoNormal"/>
      </w:pPr>
    </w:p>
    <w:p w:rsidR="00AC56D6" w:rsidRDefault="00AC56D6" w:rsidP="00AC56D6">
      <w:pPr>
        <w:pStyle w:val="TextoNormal"/>
      </w:pPr>
      <w:r>
        <w:t xml:space="preserve">Si este Tribunal ha exigido que, cuando se denuncia la vulneración del presupuesto de hecho habilitante respecto, no de la totalidad de un decreto-ley, sino únicamente en relación con uno o alguno de sus preceptos, ha de analizarse la concurrencia de la necesaria justificación </w:t>
      </w:r>
      <w:r w:rsidRPr="00AC56D6">
        <w:rPr>
          <w:i/>
        </w:rPr>
        <w:t>ad casum</w:t>
      </w:r>
      <w:r>
        <w:t xml:space="preserve"> de la “extraordinaria y urgente necesidad” en relación con los preceptos concretamente impugnados (SSTC 31/2011, de 17 de marzo, FJ 4; 137/2011, de 14 de septiembre, FJ 6; 170/2012, de 4 de octubre, FJ 5, y 29/2015, de 19 de febrero, FJ 3), la lógica que conduce a tal exigencia no supone, </w:t>
      </w:r>
      <w:r w:rsidRPr="00AC56D6">
        <w:rPr>
          <w:i/>
        </w:rPr>
        <w:t>a sensu contrario</w:t>
      </w:r>
      <w:r>
        <w:t>, que la impugnación en su conjunto de un decreto-ley demande analizar la existencia de un presupuesto habilitante común, sino que tal lógica conduce a analizar el grado de proximidad y de vinculación que existe entre la justificación relativa a la adopción del decreto-ley, y las medidas a que esa justificación se refiere.</w:t>
      </w:r>
    </w:p>
    <w:p w:rsidR="00AC56D6" w:rsidRDefault="00AC56D6" w:rsidP="00AC56D6">
      <w:pPr>
        <w:pStyle w:val="TextoNormal"/>
      </w:pPr>
    </w:p>
    <w:p w:rsidR="00AC56D6" w:rsidRDefault="00AC56D6" w:rsidP="00AC56D6">
      <w:pPr>
        <w:pStyle w:val="TextoNormal"/>
      </w:pPr>
      <w:r>
        <w:t>Por lo demás, y sin perjuicio de nuestro pronunciamiento ulterior sobre la concurrencia del presupuesto habilitante, en relación con cada uno de los artículos del Decreto-ley 8/2014 a los que hemos circunscrito el objeto del recurso, tanto la exposición de motivos del decreto-ley, como el discurso de la Vicepresidenta del Gobierno en el trámite de convalidación en el Congreso de los Diputados (“Diario de Sesiones del Congreso de los Diputados” núm. 212 de 10 de julio de 2014), apuntan una justificación genérica que se proyecta sobre la totalidad de la norma impugnada.</w:t>
      </w:r>
    </w:p>
    <w:p w:rsidR="00AC56D6" w:rsidRDefault="00AC56D6" w:rsidP="00AC56D6">
      <w:pPr>
        <w:pStyle w:val="TextoNormal"/>
      </w:pPr>
    </w:p>
    <w:p w:rsidR="00AC56D6" w:rsidRDefault="00AC56D6" w:rsidP="00AC56D6">
      <w:pPr>
        <w:pStyle w:val="TextoNormal"/>
      </w:pPr>
      <w:r>
        <w:t xml:space="preserve">Así la exposición de motivos alude al hecho de que los indicadores positivos de la economía, relativos a la primera mitad del año 2014, “son una muestra de la necesidad de profundizar en las reformas emprendidas para favorecer la recuperación económica y la creación de empleo. Reformas que continúan centrándose en corregir desequilibrios y mejorar la competitividad. Dentro de las reformas para la mejora de la competitividad es donde se enmarca el Plan de medidas para el crecimiento, la competitividad y la eficiencia, aprobado por el Consejo de Ministros el pasado 6 de junio, que contempla un paquete de medidas respetuosas con el objetivo de saneamiento fiscal, que impulsen el crecimiento y la competitividad presente y futura de la economía y la financiación empresarial. A través de este Real Decreto-ley se adoptan las medidas legislativas de carácter urgente necesarias para la ejecución del Plan citado además de otras medidas. Todas ellas están dirigidas a aumentar </w:t>
      </w:r>
      <w:r>
        <w:lastRenderedPageBreak/>
        <w:t>la competitividad y fomentar el funcionamiento eficiente de los mercados y mejorar la financiación, así como a mejorar la empleabilidad.”</w:t>
      </w:r>
    </w:p>
    <w:p w:rsidR="00AC56D6" w:rsidRDefault="00AC56D6" w:rsidP="00AC56D6">
      <w:pPr>
        <w:pStyle w:val="TextoNormal"/>
      </w:pPr>
    </w:p>
    <w:p w:rsidR="00AC56D6" w:rsidRDefault="00AC56D6" w:rsidP="00AC56D6">
      <w:pPr>
        <w:pStyle w:val="TextoNormal"/>
      </w:pPr>
      <w:r>
        <w:t>Por su parte, la Vicepresidenta del Gobierno afirmaba en sede parlamentaria “que España ha vivido una situación de extraordinaria y urgente necesidad desde que comenzó la crisis, y ahora es de extraordinaria y urgente necesidad encarar la recuperación, al menos lo es para los parados, para los jóvenes, para los autónomos, para los comerciantes, para los que ven que las grandes cifras macroeconómicas están mejorando pero temen que la recuperación no les llegue cuando merecen: lo antes posible, señorías”.</w:t>
      </w:r>
    </w:p>
    <w:p w:rsidR="00AC56D6" w:rsidRDefault="00AC56D6" w:rsidP="00AC56D6">
      <w:pPr>
        <w:pStyle w:val="TextoNormal"/>
      </w:pPr>
    </w:p>
    <w:p w:rsidR="00AC56D6" w:rsidRDefault="00AC56D6" w:rsidP="00AC56D6">
      <w:pPr>
        <w:pStyle w:val="TextoNormal"/>
      </w:pPr>
      <w:r>
        <w:t>Por tanto, y reiterando que no sería exigible una motivación sobre la existencia de un presupuesto habilitante genérico, hemos de constatar que, en este caso y contra lo afirmado por los recurrentes, esa motivación también existe, desarrollándose posteriormente la misma en relación con cada apartado del Decreto-ley, en los términos que veremos más adelante, y que nos permitirán analizar adecuadamente la conexión de sentido entre las medidas adoptadas y el tipo normativo elegido, prima facie, para desarrollarlas.</w:t>
      </w:r>
    </w:p>
    <w:p w:rsidR="00AC56D6" w:rsidRDefault="00AC56D6" w:rsidP="00AC56D6">
      <w:pPr>
        <w:pStyle w:val="TextoNormal"/>
      </w:pPr>
    </w:p>
    <w:p w:rsidR="00AC56D6" w:rsidRDefault="00AC56D6" w:rsidP="00AC56D6">
      <w:pPr>
        <w:pStyle w:val="TextoNormal"/>
      </w:pPr>
      <w:r w:rsidRPr="00AC56D6">
        <w:rPr>
          <w:rStyle w:val="NumeroAFNegritaCaracter"/>
        </w:rPr>
        <w:t>6</w:t>
      </w:r>
      <w:r>
        <w:t>. De acuerdo con la doctrina constitucional expuesta, y habiendo desestimado las impugnaciones planteadas por los recurrentes respecto de la necesidad de un presupuesto habilitante general y común para los decretos-leyes transversales, debemos examinar seguidamente si, en lo atinente a los preceptos del Decreto-ley 8/2014 a los que hemos circunscrito el objeto del recurso de inconstitucionalidad, concurre la justificación y conexión de sentido del presupuesto habilitante de la “extraordinaria y urgente necesidad” exigido por el art. 86.1 CE. A este respecto debemos precisar que el análisis de la concurrencia de la justificación y existencia del presupuesto habilitante responde al modo en que los recurrentes estructuran su demanda. Esta no identifica de forma precisa, en la mayoría de los casos, los preceptos respecto de los cuales considera que no concurre el presupuesto habilitante, o su justificación, sino que agrupa los artículos en bloques temáticos, del mismo modo que lo hace la propia norma en su exposición de motivos y la memoria de análisis del impacto normativo, y del mismo modo que, después, el Abogado del Estado responderá al recurso de inconstitucionalidad. La profusión de preceptos impugnados impone, en este caso concreto, una sistemática de este tipo, en la que el análisis que ahora cumple hacer se refiera bien a preceptos concretos allí donde los recurrentes hayan procedido a realizar dicha singular identificación, bien a bloques de preceptos identificables por existir una consonancia temática entre los mismos y agruparse en capítulos o títulos determinados del Decreto-ley. Afrontar un análisis literal de cada precepto nos hubiera obligado a ser más exigentes con la carga argumentativa de los recurrentes, lo que nos hubiera llevado a restringir aún mucho más el objeto de este recurso de inconstitucionalidad, dejando sin respuesta muchas de las cuestiones apuntadas por los recurrentes.</w:t>
      </w:r>
    </w:p>
    <w:p w:rsidR="00AC56D6" w:rsidRDefault="00AC56D6" w:rsidP="00AC56D6">
      <w:pPr>
        <w:pStyle w:val="TextoNormal"/>
      </w:pPr>
    </w:p>
    <w:p w:rsidR="00AC56D6" w:rsidRDefault="00AC56D6" w:rsidP="00AC56D6">
      <w:pPr>
        <w:pStyle w:val="TextoNormal"/>
      </w:pPr>
      <w:r>
        <w:t>Empezando por el capítulo II del título I, relativo al comercio minorista y unidad de mercado, los recurrentes afirman que la justificación de la concurrencia del presupuesto habilitante no existe, porque no se identifica la situación de extraordinaria y urgente necesidad que haya justificado la inclusión de las medidas en el Decreto-ley, lo que debería haber sido imprescindible puesto que alguna de las medidas incluidas no tendrá vigencia efectiva hasta que se cumpla el plazo de seis meses desde la entrada en vigor de la norma.</w:t>
      </w:r>
    </w:p>
    <w:p w:rsidR="00AC56D6" w:rsidRDefault="00AC56D6" w:rsidP="00AC56D6">
      <w:pPr>
        <w:pStyle w:val="TextoNormal"/>
      </w:pPr>
    </w:p>
    <w:p w:rsidR="00AC56D6" w:rsidRDefault="00AC56D6" w:rsidP="00AC56D6">
      <w:pPr>
        <w:pStyle w:val="TextoNormal"/>
      </w:pPr>
      <w:r>
        <w:lastRenderedPageBreak/>
        <w:t>Respecto de la consideración general, relativa a la falta de justificación de la situación de extraordinaria y urgente necesidad, no podemos coincidir con la afirmación de los recurrentes. La exposición de motivos del Decreto-Ley se refiere las modificaciones normativas contenidas en este capítulo afirmando que las mismas pretenden el desbloqueo del sector de la distribución comercial, fundamentalmente mediante la liberalización de horarios y el desarrollo del procedimiento integrado para la autorización comercial, asegurando que esas medidas traen causa y persiguen como objetivo la mejora del empleo y de las ventas, y alegando que ese objetivo justifica que se adopten con carácter de urgencia para coadyuvar a la mejora de la actividad económica general del país. La Vicepresidenta del Gobierno afirmaba en sede parlamentaria, en el curso del trámite de convalidación del Decreto-ley, reforzando la misma justificación, que la dinamización del comercio exige aprovechar todas las oportunidades que ofrece “nuestro potencial y nuestro atractivo turístico, y si el turismo crece —como lo está haciendo— tenemos que aprovechar las oportunidades para rentabilizarlo”, especificando en su intervención que sacar partido a la incipiente recuperación justifica la adopción urgente de las medidas propuestas. Dice literalmente: “aprovechar la oportunidad que suponen cifras como estas nos exige seguir avanzando en la flexibilización de las actividades comerciales”, refiriéndose entonces a la simplificación de trámites en este ámbito. Por tanto, la individualización de la situación de urgencia se produce y se identifica con la necesidad de maximizar los efectos de una situación económica a la que el Gobierno valora como positiva, tras la crisis precedente. La conexión de sentido, por tanto, se cumple también, al vincularse las medidas al aprovechamiento de los efectos de lo que el Gobierno considera una incipiente recuperación económica.</w:t>
      </w:r>
    </w:p>
    <w:p w:rsidR="00AC56D6" w:rsidRDefault="00AC56D6" w:rsidP="00AC56D6">
      <w:pPr>
        <w:pStyle w:val="TextoNormal"/>
      </w:pPr>
    </w:p>
    <w:p w:rsidR="00AC56D6" w:rsidRDefault="00AC56D6" w:rsidP="00AC56D6">
      <w:pPr>
        <w:pStyle w:val="TextoNormal"/>
      </w:pPr>
      <w:r>
        <w:t>Por lo que hace a la justificación específica de las previsiones contenidas en los arts. 4, 5 y 7 del capítulo II del título I, esto es, las que mencionan el momento de entrada en vigor de las medidas contempladas, defiriendo en el tiempo dicha entrada en vigor, la cuestión merece un análisis específico, porque los recurrentes parecen dar a esta cuestión singular importancia.</w:t>
      </w:r>
    </w:p>
    <w:p w:rsidR="00AC56D6" w:rsidRDefault="00AC56D6" w:rsidP="00AC56D6">
      <w:pPr>
        <w:pStyle w:val="TextoNormal"/>
      </w:pPr>
    </w:p>
    <w:p w:rsidR="00AC56D6" w:rsidRDefault="00AC56D6" w:rsidP="00AC56D6">
      <w:pPr>
        <w:pStyle w:val="TextoNormal"/>
      </w:pPr>
      <w:r>
        <w:t xml:space="preserve">Pues bien, el artículo 4, relativo a la declaración de zonas de gran afluencia turística en los municipios que reuniesen en 2013 los requisitos del art. 5.5 de la Ley 1/2004, de 21 de diciembre, de horarios comerciales, en la redacción dada por este Real Decreto-ley, establece que si en el plazo de seis meses a partir de su entrada en vigor, las Comunidades Autónomas competentes no hubiesen declarado ninguna zona de gran afluencia turística en los municipios previstos en el mismo, se entenderá declarada como tal la totalidad del municipio y los comerciantes dispondrán de plena libertad para la apertura de sus establecimientos durante todo el año. En la misma línea, el art. 5 dispone que en el plazo de dos meses desde la entrada en vigor del Real Decreto-ley, las Comunidades Autónomas competentes deben declarar al menos una zona de gran afluencia turística, en los municipios previstos en la disposición adicional undécima del Real Decreto-ley 20/2012, de modo que si no lo hicieran se considerará como tal todo el término municipal. Y por último el art. 7, al modificar el art. 5.4 de la Ley 1/2004, de horarios comerciales, estatuye que, si en el plazo que determine su legislación o, en su defecto, en el plazo de seis meses, la Comunidad Autónoma competente no resolviera la solicitud de un ayuntamiento interesado en que se le reconozca una zona de gran afluencia turística se entenderá declarada como tal la propuesta por dicho Ayuntamiento, del mismo modo que se dan seis meses de plazo a las Comunidades Autónomas competentes para declarar alguna zona de gran afluencia turística en los municipios en que concurran las circunstancias señaladas en el art. 5.5 de la Ley 1/2004, </w:t>
      </w:r>
      <w:r>
        <w:lastRenderedPageBreak/>
        <w:t>entendiéndose declarada la totalidad del municipio como zona de gran afluencia turística en caso de inactividad de la Comunidad Autónoma.</w:t>
      </w:r>
    </w:p>
    <w:p w:rsidR="00AC56D6" w:rsidRDefault="00AC56D6" w:rsidP="00AC56D6">
      <w:pPr>
        <w:pStyle w:val="TextoNormal"/>
      </w:pPr>
    </w:p>
    <w:p w:rsidR="00AC56D6" w:rsidRDefault="00AC56D6" w:rsidP="00AC56D6">
      <w:pPr>
        <w:pStyle w:val="TextoNormal"/>
      </w:pPr>
      <w:r>
        <w:t>La exposición de motivos del Real Decreto-ley establece que “las modificaciones normativas contenidas en este Real Decreto-ley en materia de liberalización de horarios comerciales traen causa y persiguen como objetivos la mejora del empleo y de las ventas, el aumento de la capacidad productiva del país, el fomento de la inversión empresarial para mantener la apertura de los establecimientos, la dinamización del consumo privado y el volumen de negocio del sector. Asimismo, suponen una mejora del servicio a los consumidores y su libertad de elección, respondiendo así a los cambios sociales, maximizando los ingresos por turismo y aumentando el potencial turístico del país. Por otra parte, cabe señalar un efecto positivo en la conciliación de la vida laboral y familiar y en la capacidad de competencia del comercio tradicional con el online. Finalmente, se pretende facilitar a los municipios la declaración de nuevas zonas de gran afluencia turística de forma que aquellos afectados puedan disponer de las herramientas necesarias para instar su declaración en el menor plazo posible. La importancia de las medidas indicadas, en el seno de la actividad económica general del país, determina que la normativa propuesta, que tiene por objeto introducir modificaciones de profundo calado en aquella, con el objeto de mejorar el dinamismo y el funcionamiento de los distintos subsectores económicos a los que hemos aludido, determina que estas exigencias hagan necesaria la aprobación de una disposición legislativa provisional y de eficacia inmediata como es el presente Real Decreto-ley”.</w:t>
      </w:r>
    </w:p>
    <w:p w:rsidR="00AC56D6" w:rsidRDefault="00AC56D6" w:rsidP="00AC56D6">
      <w:pPr>
        <w:pStyle w:val="TextoNormal"/>
      </w:pPr>
    </w:p>
    <w:p w:rsidR="00AC56D6" w:rsidRDefault="00AC56D6" w:rsidP="00AC56D6">
      <w:pPr>
        <w:pStyle w:val="TextoNormal"/>
      </w:pPr>
      <w:r>
        <w:t>Por su parte, en el trámite de convalidación, la Vicepresidenta del Gobierno afirmó que “para dinamizar el comercio en España hay que aprovechar todas las oportunidades que ofrecen nuestro potencial y nuestro atractivo turístico, y si el turismo crece —como lo está haciendo— tenemos que aprovechar las oportunidades para rentabilizarlo. Eso es lo que pretendemos con este decreto-ley, ampliar los umbrales para la consideración de zonas de gran afluencia turística, que serán determinadas por las comunidades autónomas en los municipios con más de 100.000 habitantes y una alta ocupación hotelera, y permitir una mayor libertad horaria en el comercio para lograr el máximo rendimiento del creciente turismo de compras. Quiero recordar únicamente que en 2013 los turistas extranjeros que visitaron España gastaron la cifra récord de 50.000 millones de euros, lo que supone casi más del 10 por 100 del año anterior, y que este año, hasta mayo, el gasto turístico ha crecido más de un 9 por 100 respecto al mismo periodo del año anterior. Aprovechar la oportunidad que suponen cifras como estas nos exige seguir avanzando en la flexibilización de las actividades comerciales, por eso también incorporamos en este real decreto-ley nuevas medidas de simplificación de trámites en este ámbito”.</w:t>
      </w:r>
    </w:p>
    <w:p w:rsidR="00AC56D6" w:rsidRDefault="00AC56D6" w:rsidP="00AC56D6">
      <w:pPr>
        <w:pStyle w:val="TextoNormal"/>
      </w:pPr>
    </w:p>
    <w:p w:rsidR="00AC56D6" w:rsidRDefault="00AC56D6" w:rsidP="00AC56D6">
      <w:pPr>
        <w:pStyle w:val="TextoNormal"/>
      </w:pPr>
      <w:r>
        <w:t>En último término, la memoria de análisis de impacto normativo afirma que “la situación económica en la que se encuentra España obliga a adoptar medidas que favorezcan su reactivación”, siendo la liberalización de horarios comerciales una contribución a la dinamización del sector comercial, una contribución que precisa ser inmediatamente actuada, “por la premura y la necesidad de contribuir a mejorar la normativa reguladora de las ZGAT para favorecer la inmediata reactivación de las ventas, en particular en lo que a consumo turístico se refiere, como consecuencia del incremento de visitantes que se han registrado a lo largo del ejercicio 2013”.</w:t>
      </w:r>
    </w:p>
    <w:p w:rsidR="00AC56D6" w:rsidRDefault="00AC56D6" w:rsidP="00AC56D6">
      <w:pPr>
        <w:pStyle w:val="TextoNormal"/>
      </w:pPr>
    </w:p>
    <w:p w:rsidR="00AC56D6" w:rsidRDefault="00AC56D6" w:rsidP="00AC56D6">
      <w:pPr>
        <w:pStyle w:val="TextoNormal"/>
      </w:pPr>
      <w:r>
        <w:lastRenderedPageBreak/>
        <w:t>Existe pues una justificación del Gobierno, en relación con la concurrencia de una situación de extraordinaria y urgente necesidad, que exige la inmediata entrada en vigor de la medida de liberalización de horarios, ámbito al que ya nos referimos, respecto de su regulación por decreto-ley en la STC 31/2011, de 17 de marzo. El cambio del régimen de horarios comerciales exige, tal y como está planteado, que las Comunidades Autónomas y los municipios competentes procedan a las modificaciones que exige el real decreto-ley en el plazo de entre dos y seis meses, asociando la norma impugnada un automatismo que supone la modificación de la declaración de zonas de gran afluencia turística, de las que dependen los horarios, en caso de inactividad de las Administraciones autonómica y local. Por tanto, y frente a lo expresado por los recurrentes, el Decreto-ley no difiere su entrada en vigor en este punto, sino que exige la inmediata entrada en vigor, que depende de otras Administraciones, apuntando un mecanismo subsidiario de actuación del nuevo modelo, lo que denota la verdadera necesidad de implantarlo y la premura de dicha implantación, en aras, como indican los documentos transcritos, a lograr la reactivación del comercio minorista aprovechando el incremento registrado de afluencia turística. Concurren, por tanto, respecto de esta medida, la justificación del presupuesto habilitante y la conexión de sentido.</w:t>
      </w:r>
    </w:p>
    <w:p w:rsidR="00AC56D6" w:rsidRDefault="00AC56D6" w:rsidP="00AC56D6">
      <w:pPr>
        <w:pStyle w:val="TextoNormal"/>
      </w:pPr>
    </w:p>
    <w:p w:rsidR="00AC56D6" w:rsidRDefault="00AC56D6" w:rsidP="00AC56D6">
      <w:pPr>
        <w:pStyle w:val="TextoNormal"/>
      </w:pPr>
      <w:r w:rsidRPr="00AC56D6">
        <w:rPr>
          <w:rStyle w:val="NumeroAFNegritaCaracter"/>
        </w:rPr>
        <w:t>7</w:t>
      </w:r>
      <w:r>
        <w:t>. El art. 50 del Real Decreto-ley, referido a la operación de aeronaves civiles, pilotadas por control remoto, y conocidas como “drones”, establece en su apartado 1, que “hasta tanto se produzca la entrada en vigor de la disposición reglamentaria prevista en la disposición final segunda, apartado 2, las operaciones de aeronaves civiles pilotadas por control remoto quedan sujetas a lo establecido en esta disposición”, entendiendo los recurrentes que este reconocimiento de que el reglamento posee el rango normativo suficiente para regular esta materia, supone un afirmación implícita de lo innecesario del Decreto-ley.</w:t>
      </w:r>
    </w:p>
    <w:p w:rsidR="00AC56D6" w:rsidRDefault="00AC56D6" w:rsidP="00AC56D6">
      <w:pPr>
        <w:pStyle w:val="TextoNormal"/>
      </w:pPr>
    </w:p>
    <w:p w:rsidR="00AC56D6" w:rsidRDefault="00AC56D6" w:rsidP="00AC56D6">
      <w:pPr>
        <w:pStyle w:val="TextoNormal"/>
      </w:pPr>
      <w:r>
        <w:t>Los argumentos que exterioriza el Gobierno en relación con el presupuesto habilitante en la exposición de motivos de la norma son los siguientes: “Las razones de extraordinaria y urgente necesidad para establecer el marco jurídico aplicable a las operaciones de las aeronaves civiles pilotadas por control remoto se derivan de la necesidad de dotar de un marco jurídico en condiciones de seguridad que permita el desarrollo de un sector tecnológicamente puntero y con gran capacidad de crecimiento, en particular teniendo en cuenta que en el actual contexto económico resulta necesario establecer medidas que permitan diversificar la actividad económica y potenciar la actividad industrial, en beneficio de la economía y el empleo. Al respecto es relevante, por ejemplo, que en Francia en dos años desde la regulación de la actividad cuentan con más de 600 empresas habilitadas para operar estas aeronaves. Es asimismo de extraordinaria y urgente necesidad establecer este marco jurídico para potenciar la competitividad de la industria española, poniéndola en plano de igualdad con otros Estados de nuestro entorno que ya han abordado la regulación del sector o están en proceso de regulación. Adicionalmente, por razones de extraordinaria y urgente necesidad, es preceptivo dotar de un marco jurídico a un sector que carece de disposiciones específicas. Resulta necesario, por tanto, garantizar la seguridad de las operaciones aéreas y de las personas y bienes subyacentes. Es por tanto extremadamente urgente establecer un marco jurídico que permita la operación de estas aeronaves en condiciones de seguridad y su control por la Agencia Estatal de Seguridad Aérea, en evitación de riesgos de seguridad que pueden provocar accidentes o incidentes de aviación”. Por su parte la memoria de análisis de impacto normativo se manifiesta en términos casi idénticos.</w:t>
      </w:r>
    </w:p>
    <w:p w:rsidR="00AC56D6" w:rsidRDefault="00AC56D6" w:rsidP="00AC56D6">
      <w:pPr>
        <w:pStyle w:val="TextoNormal"/>
      </w:pPr>
    </w:p>
    <w:p w:rsidR="00AC56D6" w:rsidRDefault="00AC56D6" w:rsidP="00AC56D6">
      <w:pPr>
        <w:pStyle w:val="TextoNormal"/>
      </w:pPr>
      <w:r>
        <w:lastRenderedPageBreak/>
        <w:t>En este caso, el Gobierno admite que la normativa impugnada anticipa unas condiciones mínimas que garanticen la seguridad de las operaciones llevadas a cabo por drones, a la espera de desarrollar reglamentariamente el marco completo de aplicación. La regulación, por tanto, del decreto-ley es transitoria, como admite la propia memoria de análisis de impacto normativo, y ni siquiera habrá de consolidarse la nueva y definitiva regulación en una disposición del mismo rango, lo que no impide que se den las razones justificativas de su inmediata entrada en vigor, en el sentido expuesto por el Gobierno, y que no exista obstáculo a la elevación momentánea de rango del contenido normativo.</w:t>
      </w:r>
    </w:p>
    <w:p w:rsidR="00AC56D6" w:rsidRDefault="00AC56D6" w:rsidP="00AC56D6">
      <w:pPr>
        <w:pStyle w:val="TextoNormal"/>
      </w:pPr>
    </w:p>
    <w:p w:rsidR="00AC56D6" w:rsidRDefault="00AC56D6" w:rsidP="00AC56D6">
      <w:pPr>
        <w:pStyle w:val="TextoNormal"/>
      </w:pPr>
      <w:r>
        <w:t>Por lo que hace a la primera cuestión, concurre en este caso la justificación de la extraordinaria y urgente necesidad, basada en la perentoriedad de las condiciones de utilización de los drones, en la necesaria regulación de esa utilización, para evitar situaciones que pongan en riesgo la seguridad aérea, así como en la necesidad de conseguir tanto el desarrollo y crecimiento económico del sector como el de la actividad industrial vinculada a los drones. Las medidas adoptadas suponen: la necesidad de identificación de todos los drones, y de inscripción en el registro de matrícula de aeronaves y de posesión del certificado de aeronavegabilidad cuando excedan los 25 kgs. al despegue; la previsión de los requisitos mínimos para la realización de actividades aéreas de trabajos técnicos o científicos por los drones o vuelos experimentales —únicas reguladas por el Decreto-ley—; y la previsión de los requisitos exigibles a los pilotos de drones, parecen ir todas ellas encaminadas, directa y efectivamente, a definir un entorno de navegabilidad de este tipo de aeronaves más seguro, para sí mismas y para terceros, lo que permita un mínimo e incipiente desarrollo económico del sector. Ninguna de las medidas incluidas en el art. 50 del Real Decreto-ley excede este estrecho margen, dejándose la regulación completa al futuro reglamento.</w:t>
      </w:r>
    </w:p>
    <w:p w:rsidR="00AC56D6" w:rsidRDefault="00AC56D6" w:rsidP="00AC56D6">
      <w:pPr>
        <w:pStyle w:val="TextoNormal"/>
      </w:pPr>
    </w:p>
    <w:p w:rsidR="00AC56D6" w:rsidRDefault="00AC56D6" w:rsidP="00AC56D6">
      <w:pPr>
        <w:pStyle w:val="TextoNormal"/>
      </w:pPr>
      <w:r>
        <w:t>En lo relativo a la segunda cuestión, concerniente a una improcedente elevación de rango, debe recordarse aquí, lo que dijimos en la STC 332/2005, de 15 de diciembre, FJ 5, al referirnos a la posibilidad de regular, mediante decreto, el contenido llevado a un decreto-ley, y reconocer que si bien “a primera vista tal posibilidad puede constituir un indicio de la inexistencia de un supuesto de extraordinaria y urgente de necesidad, desde una perspectiva constitucional debe partirse, como hemos reconocido en otras ocasiones, de que nuestro sistema de fuentes no contempla reservas de reglamento, lo cual implica que a la ley no le está vedada la regulación de materias atribuidas anteriormente al poder reglamentario [por todas, SSTC 5/1981, de 13 de febrero, FJ 21 b); 73/2000, de 14 de marzo, FJ 15; y 104/2000, de 13 de abril, FJ 9]. Aunque en la mayoría de supuestos nos hemos referido a leyes formales, esta doctrina también nos ha llevado en el pasado a aceptar la posibilidad de que los decretos-leyes eleven y congelen el rango normativo de materias que anteriormente estaban deslegalizadas (STC 60/1986, de 20 de mayo, FJ 2)”. El art. 50 del Real Decreto-ley 8/2014, no congela el rango del régimen jurídico de las aeronaves civiles pilotadas por control remoto, sino que mantiene la suficiencia del rango reglamentario, limitándose a afrontar la urgencia de la necesidad de regulación con el texto del decreto-ley, elevando el rango única y exclusivamente de modo transitorio, y en tanto el Gobierno desarrolle reglamentariamente las previsiones de ese artículo 50. Por tanto, si el Tribunal no pone obstáculos constitucionales a la congelación de rango por medio del recurso al decreto-ley de materias que anteriormente estaban deslegalizadas, con menor motivo se rechazará esta opción, cuando la misma tiene una duración limitada en el tiempo y, además, afecta a materias previamente no reguladas —como esta—, con lo que, ni siquiera puede apuntarse a la deslegalización de las mismas.</w:t>
      </w:r>
    </w:p>
    <w:p w:rsidR="00AC56D6" w:rsidRDefault="00AC56D6" w:rsidP="00AC56D6">
      <w:pPr>
        <w:pStyle w:val="TextoNormal"/>
      </w:pPr>
    </w:p>
    <w:p w:rsidR="00AC56D6" w:rsidRDefault="00AC56D6" w:rsidP="00AC56D6">
      <w:pPr>
        <w:pStyle w:val="TextoNormal"/>
      </w:pPr>
      <w:r w:rsidRPr="00AC56D6">
        <w:rPr>
          <w:rStyle w:val="NumeroAFNegritaCaracter"/>
        </w:rPr>
        <w:t>8</w:t>
      </w:r>
      <w:r>
        <w:t>. El título III, sobre medidas urgentes en el ámbito energético, es impugnado por los recurrentes bajo la tesis de la insuficiencia argumental que sostiene la concurrencia del presupuesto habilitante en la exposición de motivos del Decreto-ley.</w:t>
      </w:r>
    </w:p>
    <w:p w:rsidR="00AC56D6" w:rsidRDefault="00AC56D6" w:rsidP="00AC56D6">
      <w:pPr>
        <w:pStyle w:val="TextoNormal"/>
      </w:pPr>
    </w:p>
    <w:p w:rsidR="00AC56D6" w:rsidRDefault="00AC56D6" w:rsidP="00AC56D6">
      <w:pPr>
        <w:pStyle w:val="TextoNormal"/>
      </w:pPr>
      <w:r>
        <w:t>Por lo que hace a las medidas destinadas a liberalizar el mercado de los gases licuados del petróleo contenidas en el capítulo I del título III del Decreto-ley, la exposición de motivos realiza la siguiente justificación relativa a la concurrencia del presupuesto habilitante: “En el momento actual, dado que el mercado de los gases licuados del petróleo envasados cuenta con un colectivo de consumidores ubicados en zonas de difícil acceso y consecuentemente con falta de alternativas energéticas, y el suministro en envases con carga igual o superior a 8 kilogramos e inferior a 20 kilogramos va dirigido a un colectivo dónde existen consumidores de marcado carácter social, se considera de extraordinaria y urgente necesidad la actualización de los términos de la obligación de suministro a domicilio de GLP envasado para asegurar que todos los consumidores de este tipo de envases que lo soliciten tengan a su disposición gases licuados del petróleo envasados suministrados en su propio domicilio”. En términos prácticamente idénticos se manifiesta la memoria de análisis de impacto normativo.</w:t>
      </w:r>
    </w:p>
    <w:p w:rsidR="00AC56D6" w:rsidRDefault="00AC56D6" w:rsidP="00AC56D6">
      <w:pPr>
        <w:pStyle w:val="TextoNormal"/>
      </w:pPr>
    </w:p>
    <w:p w:rsidR="00AC56D6" w:rsidRDefault="00AC56D6" w:rsidP="00AC56D6">
      <w:pPr>
        <w:pStyle w:val="TextoNormal"/>
      </w:pPr>
      <w:r>
        <w:t>Así pues, frente a lo afirmado en la demanda, la justificación sobre la necesidad de afrontar la regulación contenida en el Decreto-ley concurre, debiendo este Tribunal verificar si se dan el resto de elementos necesarios para considerar ajustado al art. 86 CE el Decreto-ley en este punto.</w:t>
      </w:r>
    </w:p>
    <w:p w:rsidR="00AC56D6" w:rsidRDefault="00AC56D6" w:rsidP="00AC56D6">
      <w:pPr>
        <w:pStyle w:val="TextoNormal"/>
      </w:pPr>
    </w:p>
    <w:p w:rsidR="00AC56D6" w:rsidRDefault="00AC56D6" w:rsidP="00AC56D6">
      <w:pPr>
        <w:pStyle w:val="TextoNormal"/>
      </w:pPr>
      <w:r>
        <w:t>Este capítulo I del título III del Decreto-ley incluye medidas urgentes para garantizar el suministro domiciliario de los gases licuados del petróleo envasados en contenedores pequeños (de 8 a 19 kgs.), así como la liberalización del precio de estos productos y el ámbito de aplicación de los precios máximos de venta al público de los gases licuados del petróleo comercializados en aquel mismo formato.</w:t>
      </w:r>
    </w:p>
    <w:p w:rsidR="00AC56D6" w:rsidRDefault="00AC56D6" w:rsidP="00AC56D6">
      <w:pPr>
        <w:pStyle w:val="TextoNormal"/>
      </w:pPr>
    </w:p>
    <w:p w:rsidR="00AC56D6" w:rsidRDefault="00AC56D6" w:rsidP="00AC56D6">
      <w:pPr>
        <w:pStyle w:val="TextoNormal"/>
      </w:pPr>
      <w:r>
        <w:t>Esta regulación se identifica con un proceso de liberalización del mercado de la energía, concretamente con el vinculado a la comercialización de los gases licuados del petróleo, es decir gas butano y gas propano. El Tribunal ha reconocido reiteradamente “la relevancia, desde la perspectiva del art. 86.1 CE, de la ordenación de los procesos que se desarrollan en el sector energético” (SSTC 170/2012, de 4 de octubre, FJ 6; 233/2012, de 13 de diciembre, FJ 2, y 39/2013, de 14 de febrero, FJ 8). Así “la importancia del sector energético para el desarrollo de la actividad económica en general determina que su ordenación, introduciendo reformas en el mismo a fin de mejorar el funcionamiento de los distintos subsectores que lo integran, sea susceptible de constituir una necesidad cuya valoración entra dentro del ámbito de atribuciones que corresponde al Gobierno, al que corresponde apreciar cual es el momento o la coyuntura económica más apropiada para adoptar sus decisiones en este caso dirigidas a introducir un mayor grado de liberalización de las actividades en el sector petrolero, circunstancia que puede hacer necesaria la aprobación de disposiciones legislativas provisionales y de eficacia inmediata como las contenidas en un decreto-ley excluyendo que se trate de un uso abusivo o arbitrario de dicha facultad” (STC 39/2013, de 14 de febrero, FJ 8).</w:t>
      </w:r>
    </w:p>
    <w:p w:rsidR="00AC56D6" w:rsidRDefault="00AC56D6" w:rsidP="00AC56D6">
      <w:pPr>
        <w:pStyle w:val="TextoNormal"/>
      </w:pPr>
    </w:p>
    <w:p w:rsidR="00AC56D6" w:rsidRDefault="00AC56D6" w:rsidP="00AC56D6">
      <w:pPr>
        <w:pStyle w:val="TextoNormal"/>
      </w:pPr>
      <w:r>
        <w:lastRenderedPageBreak/>
        <w:t>Por tanto, y desde el análisis meramente externo que corresponde a este Tribunal en el contexto de la revisión de la concurrencia, en este caso, de la situación de extrema y urgente necesidad, parece razonable entender que la regulación del mercado de los gases licuados del petróleo, la liberalización de precios, la garantía de precios máximos y la garantía de suministro, puede ser abordada en este tipo de norma, habida cuenta de la situación económica que justifica la adopción de las medidas con contenido económico que alberga este Decreto-ley. Dicho en otros términos, existe conexión de sentido entre las medidas adoptadas y la fuente escogida, no siendo reprochable, desde el punto de vista estrictamente constitucional, la decisión del Gobierno de identificar, en este caso, la presencia de una situación de urgencia justificativa del recurso al decreto-ley.</w:t>
      </w:r>
    </w:p>
    <w:p w:rsidR="00AC56D6" w:rsidRDefault="00AC56D6" w:rsidP="00AC56D6">
      <w:pPr>
        <w:pStyle w:val="TextoNormal"/>
      </w:pPr>
    </w:p>
    <w:p w:rsidR="00AC56D6" w:rsidRDefault="00AC56D6" w:rsidP="00AC56D6">
      <w:pPr>
        <w:pStyle w:val="TextoNormal"/>
      </w:pPr>
      <w:r>
        <w:t>El capítulo II se refiere al mercado del gas natural, y la justificación de la urgencia en regular el sector se cifra en la necesidad de garantizar la sostenibilidad económica del sistema gasista, y se expresa literalmente en los términos siguientes: “En consecuencia, se hace necesaria una reforma del régimen retributivo del sector de gas natural basado en el principio de la sostenibilidad económica del sistema gasista y el equilibrio económico a largo plazo, que tenga en consideración las fluctuaciones de la demanda, el grado de desarrollo de las infraestructuras gasistas existentes en la actualidad sin menoscabo del principio de retribución adecuada de las inversiones en activos regulados ni de la seguridad de suministro. Por todo lo expresado anteriormente, la adopción del conjunto de medidas que a continuación se describen reúnen las características de extraordinaria y urgente necesidad exigidas por el artículo 86 de la Constitución, derivadas de la necesidad de garantizar la sostenibilidad económica del sistema gasista, y cuya vigencia inmediata es imprescindible para que puedan tener la eficacia que se pretende”.</w:t>
      </w:r>
    </w:p>
    <w:p w:rsidR="00AC56D6" w:rsidRDefault="00AC56D6" w:rsidP="00AC56D6">
      <w:pPr>
        <w:pStyle w:val="TextoNormal"/>
      </w:pPr>
    </w:p>
    <w:p w:rsidR="00AC56D6" w:rsidRDefault="00AC56D6" w:rsidP="00AC56D6">
      <w:pPr>
        <w:pStyle w:val="TextoNormal"/>
      </w:pPr>
      <w:r>
        <w:t>En sentido concurrente, la Vicepresidenta del Gobierno sostiene en el discurso previo a la convalidación del Decreto-ley por el Congreso que “se está generando un incipiente déficit de tarifa que es necesario corregir con urgencia para evitar situaciones como la que encontramos en el sector eléctrico, en que el déficit tarifario estaba fuera de control. La deuda era de más de 23.000 millones de euros y hubiera crecido a ritmo de 10.500 millones anuales de no haber tomado medidas. Señorías, mejor corregir el déficit de tarifa del gas ahora, cuando es pequeño, que como ha pasado en la legislatura: 23.000 millones de euros de déficit tarifario. Ahora son 800 millones de euros los que se pueden alcanzar a finales de año. Por eso hay que ponerle solución ahora, no a finales de año, y evitar que volvamos a generar un sector difícilmente sostenible en el futuro”. La memoria, por su parte, insiste en que las medidas propuestas se aplicarán desde el momento de entrada en vigor del Real Decreto-ley, con el objetivo de contención del déficit durante el periodo regulatorio, al menor coste posible para el consumidor, y estableciendo el principio de sostenibilidad económica y financiera del sistema gasista.</w:t>
      </w:r>
    </w:p>
    <w:p w:rsidR="00AC56D6" w:rsidRDefault="00AC56D6" w:rsidP="00AC56D6">
      <w:pPr>
        <w:pStyle w:val="TextoNormal"/>
      </w:pPr>
    </w:p>
    <w:p w:rsidR="00AC56D6" w:rsidRDefault="00AC56D6" w:rsidP="00AC56D6">
      <w:pPr>
        <w:pStyle w:val="TextoNormal"/>
      </w:pPr>
      <w:r>
        <w:t>La justificación, por tanto, de la urgencia de la adopción de las medidas cuestionadas e incluidas en el capítulo II existe, como existe la conexión de sentido, pudiendo deducirla de lo que resolvimos en relación con el déficit tarifario del sector eléctrico en la STC 96/2014, de 12 de junio.</w:t>
      </w:r>
    </w:p>
    <w:p w:rsidR="00AC56D6" w:rsidRDefault="00AC56D6" w:rsidP="00AC56D6">
      <w:pPr>
        <w:pStyle w:val="TextoNormal"/>
      </w:pPr>
    </w:p>
    <w:p w:rsidR="00AC56D6" w:rsidRDefault="00AC56D6" w:rsidP="00AC56D6">
      <w:pPr>
        <w:pStyle w:val="TextoNormal"/>
      </w:pPr>
      <w:r>
        <w:t xml:space="preserve">Allí, vinimos a determinar que "este Tribunal ha reconocido, con la perspectiva del art. 86.1 CE, la relevancia de la ordenación de los procesos que se desarrollan en el sector energético (SSTC 170/2012, de 4 de octubre, FJ 6; 233/2012, de 13 de diciembre, FJ 2, y </w:t>
      </w:r>
      <w:r>
        <w:lastRenderedPageBreak/>
        <w:t>39/2013, de 14 de febrero). Así, en la STC 39/2013, de 14 de febrero, FJ 8, señalábamos, con relación a la concurrencia del presupuesto habilitante para la utilización de un real decreto-ley, que ‘la importancia del sector energético para el desarrollo de la actividad económica en general determina que su ordenación, introduciendo reformas en el mismo a fin de mejorar el funcionamiento de los distintos subsectores que lo integran, sea susceptible de constituir una necesidad cuya valoración entra dentro del ámbito de atribuciones que corresponde al Gobierno, al que corresponde apreciar cual es el momento o la coyuntura económica más apropiada para adoptar sus decisiones en este caso dirigidas a introducir un mayor grado de liberalización de las actividades en el sector petrolero, circunstancia que puede hacer necesaria la aprobación de disposiciones legislativas provisionales y de eficacia inmediata como las contenidas en un decreto-ley excluyendo que se trate de un uso abusivo o arbitrario de dicha facultad’ (STC 170/2012, FJ 6). Este último pronunciamiento se realizó con relación a unas disposiciones cuya finalidad era la liberalización de las actividades en el subsector del petróleo, pero el mismo criterio se aplicó en la STC 39/2013, de 14 de febrero, a las medidas incluidas en el Real Decreto-ley 4/2006, de 24 de febrero, por el que se modifican las funciones de la Comisión Nacional de Energía, dirigida a extender la autorización administrativa a ciertas operaciones de concentración, y por ello también se puede aplicar ahora al Real Decreto-ley 14/2010, por el que se establecen medidas urgentes para la corrección del déficit tarifario del sector eléctrico”.</w:t>
      </w:r>
    </w:p>
    <w:p w:rsidR="00AC56D6" w:rsidRDefault="00AC56D6" w:rsidP="00AC56D6">
      <w:pPr>
        <w:pStyle w:val="TextoNormal"/>
      </w:pPr>
    </w:p>
    <w:p w:rsidR="00AC56D6" w:rsidRDefault="00AC56D6" w:rsidP="00AC56D6">
      <w:pPr>
        <w:pStyle w:val="TextoNormal"/>
      </w:pPr>
      <w:r>
        <w:t>En el caso de las medidas que contempla el Real Decreto-ley 8/2014, destinadas a prever un nuevo modelo retributivo que permita atajar, en un momento incipiente, el déficit tarifario del sector gasista, integrado también en el sector energético, y por tanto, de relevancia fundamental para coadyuvar a la garantía de la estabilidad presupuestaria en sentido amplio, las cifras contenidas en la memoria de análisis del impacto normativo permiten constatar la evolución de la demanda del sector y el paulatino incremento del déficit, razones que justifican la adopción urgente de las medidas, destinadas a limitar dicho incremento a futuro, imponiendo la aplicabilidad inmediata de las mismas. La conexión de sentido, pues, entre las medidas adoptadas, destinadas a corregir el déficit tarifario, y la justificación de su urgente articulación, de cara a evitar el incremento progresivo de tal déficit de forma inmediata, queda constatada, no pudiéndose hacer un reproche de constitucionalidad al capítulo II del título III del Real Decreto-ley 8/2014, por lo que concierne a su ajuste con el art. 86 CE.</w:t>
      </w:r>
    </w:p>
    <w:p w:rsidR="00AC56D6" w:rsidRDefault="00AC56D6" w:rsidP="00AC56D6">
      <w:pPr>
        <w:pStyle w:val="TextoNormal"/>
      </w:pPr>
    </w:p>
    <w:p w:rsidR="00AC56D6" w:rsidRDefault="00AC56D6" w:rsidP="00AC56D6">
      <w:pPr>
        <w:pStyle w:val="TextoNormal"/>
      </w:pPr>
      <w:r>
        <w:t>El art. 68 (título III del Real Decreto-ley 8/2014), relativo a la modificación del art. 76.2 de la Ley de minas de 1973, establece que los perímetros de los permisos de investigación y concesiones de explotación deberán solicitarse y definirse por medio de coordenadas geográficas, siendo el sistema ETRS89 (</w:t>
      </w:r>
      <w:r w:rsidRPr="00AC56D6">
        <w:rPr>
          <w:i/>
        </w:rPr>
        <w:t>European Terrestrial Reference System</w:t>
      </w:r>
      <w:r>
        <w:t xml:space="preserve"> 1989), el nuevo sistema de referencia geodésico en España y el sistema REGCAN95 en las Islas Canarias. Los recurrentes afirman que no concurre la urgencia en este caso, porque la reforma introducida viene exigida por una norma reglamentaria del año 2007 (el Real Decreto 1071/2007, de 27 de julio, por el que se regula el sistema geodésico de referencia oficial en España), que prevé su implantación en 2015, y que no precisaba de una norma con rango de ley.</w:t>
      </w:r>
    </w:p>
    <w:p w:rsidR="00AC56D6" w:rsidRDefault="00AC56D6" w:rsidP="00AC56D6">
      <w:pPr>
        <w:pStyle w:val="TextoNormal"/>
      </w:pPr>
    </w:p>
    <w:p w:rsidR="00AC56D6" w:rsidRDefault="00AC56D6" w:rsidP="00AC56D6">
      <w:pPr>
        <w:pStyle w:val="TextoNormal"/>
      </w:pPr>
      <w:r>
        <w:t xml:space="preserve">Dentro del mismo bloque temático, la disposición final segunda del Real Decreto-ley 8/2014, otorga habilitación normativa al Gobierno para la aprobación de un procedimiento para la gestión de los derechos mineros que resulten afectados por el cambio del sistema </w:t>
      </w:r>
      <w:r>
        <w:lastRenderedPageBreak/>
        <w:t>geodésico de referencia, entendiendo los recurrentes que la habilitación realizada, apoya, una vez más, el hecho de que el decreto-ley era innecesario, al bastar una norma reglamentaria para afrontar la regulación en él contenida. Exactamente el mismo reproche es el que se hace a la disposición final cuarta, con carácter genérico, aunque vinculándose la argumentación a la que se desarrolla en relación con la disposición final segunda, al prever aquella, de un lado, que “las determinaciones incluidas en normas reglamentarias que son objeto de modificación por este real decreto-ley podrán ser modificadas por normas del rango reglamentario correspondiente a la norma en que figuran” (apartado 1), y, de otro, que “se habilita al Gobierno a modificar los artículos 28 y 29 y los anexos X (Metodología de cálculo de la retribución de la actividad de distribución) y XI (Metodología de cálculo de la retribución de las actividades de transporte, regasificación y almacenamiento básico) del presente real decreto-ley y al Ministro de Industria, Energía y Turismo a desarrollar el contenido de todos los anteriores” (apartado 2).</w:t>
      </w:r>
    </w:p>
    <w:p w:rsidR="00AC56D6" w:rsidRDefault="00AC56D6" w:rsidP="00AC56D6">
      <w:pPr>
        <w:pStyle w:val="TextoNormal"/>
      </w:pPr>
    </w:p>
    <w:p w:rsidR="00AC56D6" w:rsidRDefault="00AC56D6" w:rsidP="00AC56D6">
      <w:pPr>
        <w:pStyle w:val="TextoNormal"/>
      </w:pPr>
      <w:r>
        <w:t>Por lo que hace al art. 68 y a la disposición final segunda, la exposición de motivos afirma que “la extraordinaria y urgente necesidad de la modificación se debe a que la disposición transitoria segunda del citado Real Decreto 1071/2007, de 27 de julio, establece que toda la cartografía y bases de datos de información geográfica y cartográfica producida o actualizada por las Administraciones Públicas debe compilarse y publicarse conforme a lo que se dispone en ese Real Decreto a partir del 1 de enero de 2015 y a que toda la cartografía se está realizando con una base geodésica que no se va a poder utilizar a partir de la referida fecha, con lo cual el sector minero debe conocer cuanto antes la modificación que se va a producir dado que la misma provoca cambios reales en la zona adjudicada cuando se otorgan derechos mineros respecto a la zona que se otorgaría sino se produjeran los cambios que se aprueban en este Real Decreto-ley”.</w:t>
      </w:r>
    </w:p>
    <w:p w:rsidR="00AC56D6" w:rsidRDefault="00AC56D6" w:rsidP="00AC56D6">
      <w:pPr>
        <w:pStyle w:val="TextoNormal"/>
      </w:pPr>
    </w:p>
    <w:p w:rsidR="00AC56D6" w:rsidRDefault="00AC56D6" w:rsidP="00AC56D6">
      <w:pPr>
        <w:pStyle w:val="TextoNormal"/>
      </w:pPr>
      <w:r>
        <w:t>Viendo que la justificación del presupuesto habilitante concurre, y que parece haber conexión de sentido entre el motivo y la medida adoptada —la aplicación inmediata de los cambios en el sistema de referencia geodésica— este Tribunal ha de limitarse a responder a las objeciones relativas a la previsibilidad de la medida, contenida en una norma de 2007. A este respecto, nos hemos pronunciado ya en diversas ocasiones, afirmando que “la valoración de la extraordinaria y urgente necesidad de una medida puede ser independiente de su imprevisibilidad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 (STC 11/2002, de 17 de enero, FJ 6)’ ( STC 68/2007, de 28 de marzo, FJ 8). Aplicando este criterio ha de admitirse que el Preámbulo de la norma impugnada incluye justificación suficiente que indica la necesidad de dar respuesta inmediata a una situación de naturaleza excepcional, esto es un cambio de suma importancia en materia de gestión los derechos mineros, y en otros ámbitos a los que afecta la modificación en relación con el sistema de referencia geodésica. Por tanto el argumento de los recurrentes, en relación con este particular, ha de ser desestimado.</w:t>
      </w:r>
    </w:p>
    <w:p w:rsidR="00AC56D6" w:rsidRDefault="00AC56D6" w:rsidP="00AC56D6">
      <w:pPr>
        <w:pStyle w:val="TextoNormal"/>
      </w:pPr>
    </w:p>
    <w:p w:rsidR="00AC56D6" w:rsidRDefault="00AC56D6" w:rsidP="00AC56D6">
      <w:pPr>
        <w:pStyle w:val="TextoNormal"/>
      </w:pPr>
      <w:r>
        <w:t xml:space="preserve">Por otro lado, es preciso dar respuesta a las alegaciones relativas al “exceso” de rango del Decreto-ley, para regular las materias expuestas. A este respecto, ya hemos dicho en el fundamento jurídico 7, que no existe en nuestro derecho la denominada reserva reglamentaria, y, en consecuencia, no hay impedimento constitucional para que una norma de rango </w:t>
      </w:r>
      <w:r>
        <w:lastRenderedPageBreak/>
        <w:t>legal —incluido el decreto-ley— pueda entrar en la regulación de materias que en principio no se encuentran reservadas a la ley (por todas, STC 120/2014, de 17 de julio, FJ 8). Admitimos, por tanto, la aptitud del decreto-ley para abordar una regulación que podría haberse incluido en una norma reglamentaria, en la medida en que, el alcance de la reforma relativa al sistema cartográfico no hace impensable la conveniencia de contener la misma en una norma con rango de ley, asumiendo que, de este modo, efectivamente el sector minero conocerá esta modificación a la brevedad, pudiendo prepararse parar aplicarla efectivamente, a partir del 1 de enero de 2015, lo que justifica, además, la falta de inmediatez efectiva de la medida adoptada, que exige de adaptaciones técnicas, por parte del sector, que requieren de tiempo para su adecuada implementación.</w:t>
      </w:r>
    </w:p>
    <w:p w:rsidR="00AC56D6" w:rsidRDefault="00AC56D6" w:rsidP="00AC56D6">
      <w:pPr>
        <w:pStyle w:val="TextoNormal"/>
      </w:pPr>
    </w:p>
    <w:p w:rsidR="00AC56D6" w:rsidRDefault="00AC56D6" w:rsidP="00AC56D6">
      <w:pPr>
        <w:pStyle w:val="TextoNormal"/>
      </w:pPr>
      <w:r>
        <w:t>Por último, el capítulo IV del título III se refiere a determinadas medidas de eficiencia energética. La exposición de motivos del Real Decreto-ley, que reproduce en parte los argumentos contenidos en la memoria y a los que nos referiremos después afirma que “para poder realizar lo antes posible medidas de eficiencia energética al menor coste posible es necesario contar con recursos económicos suficientes en el Fondo Nacional de Eficiencia que permita poner en marcha esas medidas a gran escala, siendo del máximo interés general la implantación con la mayor urgencia del sistema de obligaciones que permitirá dotar al Fondo con dichos recursos. De entre las opciones valoradas para acometer medidas tempranas de ahorro energético a gran escala, la implantación de un sistema de obligaciones para aportación a un Fondo Nacional de Eficiencia se presenta como la opción que permite disponer en el menor plazo posible de los recursos necesarios para emprender medidas de eficiencia energética que lleven a una contabilización temprana de ahorros de cara al cumplimiento de los objetivos de la Directiva de la forma más económicamente eficiente.”</w:t>
      </w:r>
    </w:p>
    <w:p w:rsidR="00AC56D6" w:rsidRDefault="00AC56D6" w:rsidP="00AC56D6">
      <w:pPr>
        <w:pStyle w:val="TextoNormal"/>
      </w:pPr>
    </w:p>
    <w:p w:rsidR="00AC56D6" w:rsidRDefault="00AC56D6" w:rsidP="00AC56D6">
      <w:pPr>
        <w:pStyle w:val="TextoNormal"/>
      </w:pPr>
      <w:r>
        <w:t>Por su parte la memoria afirma, e insistirá en ello la exposición de motivos de la norma, que “el Proyecto de Real Decreto-ley objeto de este informe, tiene su razón en la obligación de incorporar al ordenamiento jurídico español el artículo 7 de la Directiva 2012/27//UE del Parlamento Europeo y del Consejo de 25 de octubre de 2012, relativa a la eficiencia energética, en lo referente al establecimiento de un sistema de obligaciones de eficiencia energética.” El mismo documento afirma que, según la metodología de cómputo de ahorros energéticos recogida en la Directiva, “cuanto antes se lleven a cabo las actuaciones de mejora de la eficiencia energética, más ahorros derivados de las mismas se podrán contabilizar de cara a la consecución del objetivo vinculante acumulado de ahorro energético, lo que reduce de forma muy significativa el coste de su cumplimiento, siendo por tanto de interés general la puesta en marcha del sistema de obligaciones con la mayor urgencia. De ahí deriva la necesidad de tramitación de la trasposición del artículo 7 de la Directiva de Eficiencia Energética mediante Real Decreto-ley”.</w:t>
      </w:r>
    </w:p>
    <w:p w:rsidR="00AC56D6" w:rsidRDefault="00AC56D6" w:rsidP="00AC56D6">
      <w:pPr>
        <w:pStyle w:val="TextoNormal"/>
      </w:pPr>
    </w:p>
    <w:p w:rsidR="00AC56D6" w:rsidRDefault="00AC56D6" w:rsidP="00AC56D6">
      <w:pPr>
        <w:pStyle w:val="TextoNormal"/>
      </w:pPr>
      <w:r>
        <w:t xml:space="preserve">La lectura de los anteriores argumentos basta para entender que, frente a lo alegado por los recurrentes, existe en este caso una justificación de la existencia del presupuesto habilitante que, por lo demás, no se limita a referirse a la necesidad de transponer la Directiva comunitaria por haber concluido el plazo de trasposición, tal y como afirma la demanda. Hemos de recordar que nuestra doctrina sostiene que “el recurso al decreto-ley como cauce de incorporación al ordenamiento interno del Derecho de la Unión Europea por la mera razón de que hubiera transcurrido el plazo de transposición, sin mayores precisiones, no se adecuaría al presupuesto habilitante de la urgente y extraordinaria necesidad, por lo que constituiría un uso abusivo de una facultad excepcional conforme a la Constitución española </w:t>
      </w:r>
      <w:r>
        <w:lastRenderedPageBreak/>
        <w:t>como es la legislación de urgencia y conduce a un reforzamiento de la posición institucional del poder ejecutivo en detrimento de la del legislativo” (STC 1/2012, de 13 de enero, FJ 9). De nuevo en este caso, es el impacto económico de las medidas adoptadas el argumento expreso susceptible de conformar una necesidad cuya valoración entra dentro del ámbito de atribuciones del Gobierno. Esa valoración es realizada en la memoria y justifica de forma razonablemente suficiente el ahorro económico que, por vía directa y por vía indirecta, van a suponer las medidas adoptadas, por lo que la conexión de sentido parece existir en este caso, como en el resto de los ámbitos materiales cuya regulación afronta el título III.</w:t>
      </w:r>
    </w:p>
    <w:p w:rsidR="00AC56D6" w:rsidRDefault="00AC56D6" w:rsidP="00AC56D6">
      <w:pPr>
        <w:pStyle w:val="TextoNormal"/>
      </w:pPr>
    </w:p>
    <w:p w:rsidR="00AC56D6" w:rsidRDefault="00AC56D6" w:rsidP="00AC56D6">
      <w:pPr>
        <w:pStyle w:val="TextoNormal"/>
      </w:pPr>
      <w:r w:rsidRPr="00AC56D6">
        <w:rPr>
          <w:rStyle w:val="NumeroAFNegritaCaracter"/>
        </w:rPr>
        <w:t>9</w:t>
      </w:r>
      <w:r>
        <w:t>. Los recurrentes refutan las modificaciones en materia de empresas de trabajo temporal y agencias de colocación (art. 116, incluido en el capítulo III, del título IV), reiterando su queja sobre la justificación insuficiente de la concurrencia del presupuesto habilitante, tesis que rebate el Abogado del Estado acudiendo a los argumentos de la exposición de motivos, que se refieren a la necesidad perentoria de “llevar a cabo las modificaciones en la normativa reguladora de las empresas de trabajo temporal y las agencias de colocación porque es imprescindible adaptar cuanto antes sus preceptos a los principios de la Ley 20/2013, de 9 de diciembre, de garantía de la unidad de mercado”, suponiendo el eje de tal adaptación la nueva redacción del art. 2 de la Ley 14/1994, por la que se regulan las empresas de trabajo temporal, que plasma uno de los principios básicos de la Ley de unidad de mercado, el de eficacia nacional de las autorizaciones.</w:t>
      </w:r>
    </w:p>
    <w:p w:rsidR="00AC56D6" w:rsidRDefault="00AC56D6" w:rsidP="00AC56D6">
      <w:pPr>
        <w:pStyle w:val="TextoNormal"/>
      </w:pPr>
    </w:p>
    <w:p w:rsidR="00AC56D6" w:rsidRDefault="00AC56D6" w:rsidP="00AC56D6">
      <w:pPr>
        <w:pStyle w:val="TextoNormal"/>
      </w:pPr>
      <w:r>
        <w:t>Ha de recordarse que la Ley 20/2013 había previsto un plazo de seis meses desde su entrada en vigor para adaptar a sus disposiciones las normas vigentes con rango legal y reglamentario (disposición adicional quinta). Esa previsión hace surgir las dudas sobre la extraordinaria y urgente necesidad que habría habilitado al Gobierno para modificar la Ley 14/1994 por decreto-ley, cuando el plazo de seis meses contenido en la Ley 20/2013 hubiera permitido poner en marcha la iniciativa legislativa del Gobierno y el correspondiente procedimiento parlamentario. Así pues, los recurrentes hacen girar la cuestión, en este caso, en torno a la previsibilidad o imprevisibilidad de la situación que justifica la adopción de la medida, esto es la necesidad de dar cumplimiento a la previsión de la Ley 20/2013.</w:t>
      </w:r>
    </w:p>
    <w:p w:rsidR="00AC56D6" w:rsidRDefault="00AC56D6" w:rsidP="00AC56D6">
      <w:pPr>
        <w:pStyle w:val="TextoNormal"/>
      </w:pPr>
    </w:p>
    <w:p w:rsidR="00AC56D6" w:rsidRDefault="00AC56D6" w:rsidP="00AC56D6">
      <w:pPr>
        <w:pStyle w:val="TextoNormal"/>
      </w:pPr>
      <w:r>
        <w:t>Si bien nuestra doctrina ha dicho en ocasiones que la utilización por el Gobierno de su potestad legislativa extraordinaria debe circunscribirse a situaciones de fuerza mayor o de emergencia, y la valoración de la existencia de esas situaciones conlleva “la concurrencia de ciertas notas de excepcionalidad, gravedad, relevancia e imprevisibilidad que determinen la necesidad de una acción normativa inmediata en un plazo más breve que el requerido para la tramitación parlamentaria de las leyes, bien sea por el procedimiento ordinario o por el de urgencia” (por todas, STC 68/2007, de 28 de marzo, FJ 10), también hemos dicho que “la valoración de la extraordinaria y urgente necesidad de una medida puede ser independiente de su imprevisibilidad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 (SSTC 11/2002, de 17 de enero, FJ 6, y 68/2007, de 28 de marzo, FJ 8, por todas)” (STC 183/2014, de 6 de noviembre, FJ 6).</w:t>
      </w:r>
    </w:p>
    <w:p w:rsidR="00AC56D6" w:rsidRDefault="00AC56D6" w:rsidP="00AC56D6">
      <w:pPr>
        <w:pStyle w:val="TextoNormal"/>
      </w:pPr>
    </w:p>
    <w:p w:rsidR="00AC56D6" w:rsidRDefault="00AC56D6" w:rsidP="00AC56D6">
      <w:pPr>
        <w:pStyle w:val="TextoNormal"/>
      </w:pPr>
      <w:r>
        <w:t xml:space="preserve">Por tanto, y atendiendo a nuestra más reciente doctrina, lo relevante no es que, en este caso, pudiera haberse tramitado o no la reforma de la Ley 14/1994, por la que se regulan las </w:t>
      </w:r>
      <w:r>
        <w:lastRenderedPageBreak/>
        <w:t>empresas de trabajo temporal, en forma de ley ordinaria por el procedimiento ordinario o por el procedimiento de urgencia, porque esa necesidad de tramitación fuera previsible dado que la misma venia impuesta por la Ley 20/2013, de 9 de diciembre, de garantía de la unidad de mercado. Lo relevante es determinar si existía, en cualquier caso, algún tipo de circunstancia que, más allá de la necesidad de responder a la exigencia contenida en una norma previa, pudiera ser considerada como conformadora del presupuesto habilitante.</w:t>
      </w:r>
    </w:p>
    <w:p w:rsidR="00AC56D6" w:rsidRDefault="00AC56D6" w:rsidP="00AC56D6">
      <w:pPr>
        <w:pStyle w:val="TextoNormal"/>
      </w:pPr>
    </w:p>
    <w:p w:rsidR="00AC56D6" w:rsidRDefault="00AC56D6" w:rsidP="00AC56D6">
      <w:pPr>
        <w:pStyle w:val="TextoNormal"/>
      </w:pPr>
      <w:r>
        <w:t>Y en este punto nuestra apreciación es que no existe justificación alguna al respecto ni en la exposición de motivos, ni en la memoria, ni en la intervención parlamentaria de la Vicepresidenta del Gobierno. La única y exclusiva justificación se refiere a la necesidad de incluir en la norma reformada por el Decreto-ley los principios de unidad de mercado proyectados en el ámbito de la validez nacional de las autorizaciones, al venir así dispuesto por otra norma, con el mismo rango legal que el Decreto-ley y que la Ley modificada, y por tanto, con igual fuerza normativa. Tal justificación no incide en otras circunstancias que, sin perjuicio de aquella obligación, expliquen el porqué de haber acudido al decreto-ley y no a una ley, esto es razone en torno a la concurrencia de una situación de urgencia que impela al Gobierno a proceder por esta vía para modificar la Ley 14/1994, de 1 de junio, por la que se regulan las empresas de trabajo temporal y no le permita o no le haga aconsejable esperar a la tramitación de una reforma de la ley por el trámite del procedimiento legislativo ordinario o del procedimiento legislativo de urgencia. Las anteriores razones nos llevan a declarar la inconstitucionalidad del art. 116 del Real Decreto-ley 8/2014, por oposición a lo previsto en el art. 86 CE interpretado a la luz de nuestra doctrina.</w:t>
      </w:r>
    </w:p>
    <w:p w:rsidR="00AC56D6" w:rsidRDefault="00AC56D6" w:rsidP="00AC56D6">
      <w:pPr>
        <w:pStyle w:val="TextoNormal"/>
      </w:pPr>
    </w:p>
    <w:p w:rsidR="00AC56D6" w:rsidRDefault="00AC56D6" w:rsidP="00AC56D6">
      <w:pPr>
        <w:pStyle w:val="TextoNormal"/>
      </w:pPr>
      <w:r w:rsidRPr="00AC56D6">
        <w:rPr>
          <w:rStyle w:val="NumeroAFNegritaCaracter"/>
        </w:rPr>
        <w:t>10</w:t>
      </w:r>
      <w:r>
        <w:t>. Entrando a las disposiciones adicionales decimonovena a vigésima cuarta, relativas a la prórroga de la entrada en vigor de la Ley 20/2011, de 21 de julio, del Registro Civil y a la llevanza del Registro por los Registradores de la Propiedad y Mercantiles nuestro análisis ha de comenzar por el examen de la concurrencia del presupuesto habilitante. Si se llegara a la conclusión de que tal presupuesto no está presente en este caso, sería innecesario analizar la observancia de los límites materiales del decreto-ley por los preceptos impugnados, cuestión a la que se dirigen buena parte de los motivos esgrimidos por los recurrentes.</w:t>
      </w:r>
    </w:p>
    <w:p w:rsidR="00AC56D6" w:rsidRDefault="00AC56D6" w:rsidP="00AC56D6">
      <w:pPr>
        <w:pStyle w:val="TextoNormal"/>
      </w:pPr>
    </w:p>
    <w:p w:rsidR="00AC56D6" w:rsidRDefault="00AC56D6" w:rsidP="00AC56D6">
      <w:pPr>
        <w:pStyle w:val="TextoNormal"/>
      </w:pPr>
      <w:r>
        <w:t>La exposición de motivos del Decreto-ley refiere que “la profundización en la modificación del modelo organizativo, así como los cambios que son necesarios en la competencia para la llevanza del Registro Civil a los que se alude en el apartado siguiente, hacen ineludible la extensión del periodo para la entrada en vigor de la norma por el tiempo necesario para asegurar el correcto funcionamiento del nuevo sistema. La inminente entrada en vigor de la ley hace completamente imprescindible la utilización de la figura constitucional del Real Decreto-ley, dando respuesta normativa inmediata a una cuestión inaplazable”.</w:t>
      </w:r>
    </w:p>
    <w:p w:rsidR="00AC56D6" w:rsidRDefault="00AC56D6" w:rsidP="00AC56D6">
      <w:pPr>
        <w:pStyle w:val="TextoNormal"/>
      </w:pPr>
    </w:p>
    <w:p w:rsidR="00AC56D6" w:rsidRDefault="00AC56D6" w:rsidP="00AC56D6">
      <w:pPr>
        <w:pStyle w:val="TextoNormal"/>
      </w:pPr>
      <w:r>
        <w:t xml:space="preserve">La memoria de análisis de impacto normativo, por su parte, afirma que: “el largo periodo de </w:t>
      </w:r>
      <w:r w:rsidRPr="00AC56D6">
        <w:rPr>
          <w:i/>
        </w:rPr>
        <w:t>vacatio legis</w:t>
      </w:r>
      <w:r>
        <w:t xml:space="preserve"> de la Ley 20/2011, de 21 de julio, ya anticipaba las dificultades que habría que abordar para la puesta en funcionamiento del nuevo modelo de Registro Civil, para el que sería necesaria la creación de nuevas infraestructuras materiales, así como una compleja gestión de personal en todos los órdenes, además de dificultades de naturaleza presupuestaria. La mejor solución para vencer aquellas dificultades se ha considerado que esa la atribución de su llevanza, de forma gratuita a un cuerpo de funcionarios preparado para asumirla”. Y añade: “Al tratarse la siguiente norma de una modificación de una ley, no cabe otra opción que llevar a cabo la regulación proyectada mediante norma con rango de ley. Como se ha </w:t>
      </w:r>
      <w:r>
        <w:lastRenderedPageBreak/>
        <w:t>dicho con anterioridad, dada la premura de la entrada en vigor de la ley 20/2011 de 21 de julio, concurren las suficientes razones de urgencia y necesidad para la utilización del a figura constitucional del Decreto-ley”.</w:t>
      </w:r>
    </w:p>
    <w:p w:rsidR="00AC56D6" w:rsidRDefault="00AC56D6" w:rsidP="00AC56D6">
      <w:pPr>
        <w:pStyle w:val="TextoNormal"/>
      </w:pPr>
    </w:p>
    <w:p w:rsidR="00AC56D6" w:rsidRDefault="00AC56D6" w:rsidP="00AC56D6">
      <w:pPr>
        <w:pStyle w:val="TextoNormal"/>
      </w:pPr>
      <w:r>
        <w:t xml:space="preserve">Por tanto, la exposición de motivos y la memoria contienen una justificación expresa las razones que abogan por diferir en un año, adicional a los tres previamente previstos, la entrada en vigor de la Ley 20/2011, del Registro Civil. El argumento es claro: la </w:t>
      </w:r>
      <w:r w:rsidRPr="00AC56D6">
        <w:rPr>
          <w:i/>
        </w:rPr>
        <w:t>vacatio legis</w:t>
      </w:r>
      <w:r>
        <w:t xml:space="preserve"> prevista en su día ha resultado insuficiente, y la inminente entrada en vigor de la norma exige la prórroga de aquella. Por tanto justificación y conexión de sentido concurren en relación con lo contenido en la disposición adicional decimonovena del Decreto-ley 8/2014.</w:t>
      </w:r>
    </w:p>
    <w:p w:rsidR="00AC56D6" w:rsidRDefault="00AC56D6" w:rsidP="00AC56D6">
      <w:pPr>
        <w:pStyle w:val="TextoNormal"/>
      </w:pPr>
    </w:p>
    <w:p w:rsidR="00AC56D6" w:rsidRDefault="00AC56D6" w:rsidP="00AC56D6">
      <w:pPr>
        <w:pStyle w:val="TextoNormal"/>
      </w:pPr>
      <w:r>
        <w:t xml:space="preserve">Ahora bien, la conclusión es distinta respecto de las disposiciones adicionales vigésima a vigésima cuarta. Si bien se justifica la urgencia vinculada a la prórroga de la </w:t>
      </w:r>
      <w:r w:rsidRPr="00AC56D6">
        <w:rPr>
          <w:i/>
        </w:rPr>
        <w:t>vacatio legis</w:t>
      </w:r>
      <w:r>
        <w:t xml:space="preserve"> de la Ley 20/2011, ni la exposición de motivos del Real Decreto-ley impugnado, ni la memoria, ni la intervención del Gobierno en sede parlamentaria en el debate de convalidación ofrecen justificación alguna respecto de la urgencia y necesidad de modificar parcialmente el contenido de la norma cuya entrada en vigor pospone la disposición adicional decimonovena. Es decir, no se exponen las razones que llevan al Ejecutivo a introducir la regulación mínima de la llevanza del Registro por los Registradores de la Propiedad y Mercantiles en las disposiciones adicionales vigésima a vigésima cuarta del Decreto-ley.</w:t>
      </w:r>
    </w:p>
    <w:p w:rsidR="00AC56D6" w:rsidRDefault="00AC56D6" w:rsidP="00AC56D6">
      <w:pPr>
        <w:pStyle w:val="TextoNormal"/>
      </w:pPr>
    </w:p>
    <w:p w:rsidR="00AC56D6" w:rsidRDefault="00AC56D6" w:rsidP="00AC56D6">
      <w:pPr>
        <w:pStyle w:val="TextoNormal"/>
      </w:pPr>
      <w:r>
        <w:t>Para valorar si la justificación vinculada con la perentoria necesidad de prorrogar la entrada en vigor de la Ley 20/2011 en un año más, alcanza a justificar también el contenido normativo de las disposiciones adicionales vigésima a vigésima cuarta, es preciso comprobar la existencia del segundo elemento a analizar por este Tribunal, según nuestro canon clásico en relación con el control de los decretos-leyes, esto es, la necesaria conexión de sentido entre la medida concretamente impugnada y la situación de urgencia explicitada por el Gobierno a la que se pretendía responder con su aprobación.</w:t>
      </w:r>
    </w:p>
    <w:p w:rsidR="00AC56D6" w:rsidRDefault="00AC56D6" w:rsidP="00AC56D6">
      <w:pPr>
        <w:pStyle w:val="TextoNormal"/>
      </w:pPr>
    </w:p>
    <w:p w:rsidR="00AC56D6" w:rsidRDefault="00AC56D6" w:rsidP="00AC56D6">
      <w:pPr>
        <w:pStyle w:val="TextoNormal"/>
      </w:pPr>
      <w:r>
        <w:t xml:space="preserve">Desde este punto de vista, no es posible apreciar fundamento para la regulación del cambio en el régimen de llevanza del Registro Civil que prevén las disposiciones adicionales vigésima a vigésima cuarta del Real Decreto-ley. El final de la </w:t>
      </w:r>
      <w:r w:rsidRPr="00AC56D6">
        <w:rPr>
          <w:i/>
        </w:rPr>
        <w:t>vacatio legis</w:t>
      </w:r>
      <w:r>
        <w:t xml:space="preserve"> para la entrada en vigor de la Ley 20/2011, de 21 de julio, del Registro Civil sin haber podido hacer frente a los ajustes que exige esa entrada en vigor justifica que esta última se demore, como efectivamente sucede, pero no justifica que se modifique simultáneamente parte de la regulación allí contenida. Más bien al contrario. Ya que la entrada en vigor de las medidas de delegación de la llevanza del Registro Civil a los Registradores Mercantiles y de la Propiedad queda diferida al menos un año, como corresponde a la prórroga de la </w:t>
      </w:r>
      <w:r w:rsidRPr="00AC56D6">
        <w:rPr>
          <w:i/>
        </w:rPr>
        <w:t>vacatio legis</w:t>
      </w:r>
      <w:r>
        <w:t xml:space="preserve"> a que venimos haciendo referencia, esto sería suficiente para suponer una contradicción con el uso del Decreto-ley (en el mismo sentido STC 31/2011, de 17 de marzo, FJ 5). Téngase en cuenta, además, que la Ley 19/2015, de 13 de julio, de medidas de reforma administrativa en el ámbito de la Administración de Justicia y del Registro Civil, modifica de nuevo, la disposición final décima de la Ley 20/2011, de 21 de julio, del Registro Civil, para ampliar la </w:t>
      </w:r>
      <w:r w:rsidRPr="00AC56D6">
        <w:rPr>
          <w:i/>
        </w:rPr>
        <w:t>vacatio legis</w:t>
      </w:r>
      <w:r>
        <w:t xml:space="preserve">, salvo en las modificaciones introducidas por la propia Ley 19/2015 y que no afectan a la cuestión aquí planteada, al 30 de junio de 2017. A mayor abundamiento si se tiene en cuenta que posteriormente se tramitó como proyecto de ley la disposición objeto del presente recurso de inconstitucionalidad, resultando la aprobación de la Ley 18/2014, de 15 de octubre, de 2014 (en vigor desde el 17 de octubre de 2014), conteniendo, en los </w:t>
      </w:r>
      <w:r>
        <w:lastRenderedPageBreak/>
        <w:t>términos exactos en que lo hace el decreto-ley, el cambio de régimen en la llevanza del Registro Civil, e insistiendo en la entrada en vigor de dicha modificación el 15 de julio de 2015 (disposición adicional vigésima de la Ley 18/2014). Lo anterior parece mostrar que había tiempo para tramitar como ley, lo que se aprueba por decreto-ley, sin que mediara, además, justificación del presupuesto habilitante.</w:t>
      </w:r>
    </w:p>
    <w:p w:rsidR="00AC56D6" w:rsidRDefault="00AC56D6" w:rsidP="00AC56D6">
      <w:pPr>
        <w:pStyle w:val="TextoNormal"/>
      </w:pPr>
    </w:p>
    <w:p w:rsidR="00AC56D6" w:rsidRDefault="00AC56D6" w:rsidP="00AC56D6">
      <w:pPr>
        <w:pStyle w:val="TextoNormal"/>
      </w:pPr>
      <w:r>
        <w:t>Pero es que, además, el contenido y aplicación concreta del nuevo sistema de llevanza del Registro Civil quedan condicionados a un futuro desarrollo normativo del decreto-ley, tal y como se establece en la disposición adicional vigésima segunda, que insta al Gobierno a que promueva, “en el plazo más breve posible, las modificaciones de la Ley 20/2011, de 21 de julio, necesarias para su adecuación a la llevanza del Registro Civil por los Registradores de la Propiedad y Mercantiles que en cada momento tengan a su cargo las oficinas del Registro Mercantil, incluyendo las reglas de competencia para la inscripción de los hechos y actos que deban acceder al Registro Civil y el régimen del personal al servicio de la Administración de Justicia destinado actualmente en el Registro Civil”. Este desarrollo, intentado en el “Proyecto de Ley de medidas de reforma administrativa en el ámbito de la Administración de Justicia y del Registro Civil”, que se presentó el 12 de junio de 2014, no se ha concretado hasta la fecha. Ello supone que no sería posible justificar la urgencia o la necesidad de la regulación impugnada ni siquiera en la necesidad inminente de poner en marcha el procedimiento destinado a transferir la gestión del Registro Civil de la sede jurisdiccional en que ahora se ubica, a la que configuren los Registradores de la Propiedad y Mercantiles, puesto que un tal procedimiento requiere, para su puesta en marcha, del desarrollo legislativo que prevé la disposición adicional vigésima segunda, un desarrollo que, insistimos, aún no ha sido concretado, como tampoco han tenido reflejo reglamentario las previsiones del Decreto-ley en este ámbito.</w:t>
      </w:r>
    </w:p>
    <w:p w:rsidR="00AC56D6" w:rsidRDefault="00AC56D6" w:rsidP="00AC56D6">
      <w:pPr>
        <w:pStyle w:val="TextoNormal"/>
      </w:pPr>
    </w:p>
    <w:p w:rsidR="00AC56D6" w:rsidRDefault="00AC56D6" w:rsidP="00AC56D6">
      <w:pPr>
        <w:pStyle w:val="TextoNormal"/>
      </w:pPr>
      <w:r>
        <w:t>Por tanto, ni se da en este caso justificación alguna de la urgencia y necesidad de regular por decreto-ley la llevanza del Registro Civil por los Registradores Mercantiles y de la Propiedad, contenida en las disposiciones adicionales vigésima a vigésima cuarta del Real Decreto-ley 8/2014, ni se justifica el recurso a este tipo normativo cuando de forma simultánea se prevé diferir la entrada en vigor de la norma en más de un año, y se condiciona la efectividad del cambio de régimen de llevanza a la aprobación de las pertinentes modificaciones de la Ley 20/2011. Por tanto, en lo que se refiere a las disposiciones adicionales vigésima, vigésima primera, vigésima segunda, vigésima tercera y vigésima cuarta del Real Decreto-ley 8/2014, no concurre el presupuesto habilitante que exige el art. 86.1 CE, siento estos preceptos, por esa razón, contrarios a dicho precepto constitucional, y por tanto nulos. La declaración de inconstitucionalidad y nulidad de las disposiciones referidas hace innecesario entrar a valorar su corrección en términos de adecuación a los límites materiales impuestos por el propio art. 86 CE, por lo que no entraremos, en este momento, a realizar análisis alguno sobre esta cuestión.</w:t>
      </w:r>
    </w:p>
    <w:p w:rsidR="00AC56D6" w:rsidRDefault="00AC56D6" w:rsidP="00AC56D6">
      <w:pPr>
        <w:pStyle w:val="TextoNormal"/>
      </w:pPr>
    </w:p>
    <w:p w:rsidR="00AC56D6" w:rsidRDefault="00AC56D6" w:rsidP="00AC56D6">
      <w:pPr>
        <w:pStyle w:val="TextoNormal"/>
      </w:pPr>
      <w:r w:rsidRPr="00AC56D6">
        <w:rPr>
          <w:rStyle w:val="NumeroAFNegritaCaracter"/>
        </w:rPr>
        <w:t>11</w:t>
      </w:r>
      <w:r>
        <w:t xml:space="preserve">. Finalmente, y haciendo en este caso referencia a la alusión de los recurrentes a la preservación de sus derechos de participación política como diputados </w:t>
      </w:r>
      <w:r w:rsidRPr="00AC56D6">
        <w:rPr>
          <w:i/>
        </w:rPr>
        <w:t>ex</w:t>
      </w:r>
      <w:r>
        <w:t xml:space="preserve"> art. 23.2 CE, y que tratamos aquí por su estrecha relación con la tramitación procesal de la convalidación del decreto-ley (art. 86.2 CE), hemos de recordar que, si bien este Tribunal ha reconocido que el derecho de acceso en condiciones de igualdad a las funciones y cargos públicos (art. 23.2 CE) incorpora, como garantía añadida, el derecho de los parlamentarios y de los grupos en que se integran a ejercer sus funciones en condiciones de igualdad y dentro de la legalidad </w:t>
      </w:r>
      <w:r>
        <w:lastRenderedPageBreak/>
        <w:t xml:space="preserve">parlamentaria, el </w:t>
      </w:r>
      <w:r w:rsidRPr="00AC56D6">
        <w:rPr>
          <w:i/>
        </w:rPr>
        <w:t>ius in officium</w:t>
      </w:r>
      <w:r>
        <w:t xml:space="preserve"> es un derecho de configuración legal, “en el sentido de que compete básicamente a los Reglamentos de las Cámaras fijar y ordenar los derechos y atribuciones que a los parlamentarios corresponden, de modo que una vez creados los derechos y facultades de los parlamentarios, se integran en su status representativo. Igualmente, se ha puesto de manifiesto que cualquier infracción del estatuto del parlamentario en la Cámara no representa, por sí sola, una lesión del derecho fundamental, toda vez que únicamente poseen relevancia constitucional aquellos derechos o facultades que pertenezcan al núcleo de la función representativa parlamentaria, por lo que sólo cabe apreciar vulneración del art. 23.2 CE si los propios órganos de las Asambleas impiden o coartan ilegítimamente su práctica o adoptan decisiones jurídicamente reprobables que contraríen la naturaleza de la representación o la igualdad de los representantes” (STC 119/2011, de 5 de julio).</w:t>
      </w:r>
    </w:p>
    <w:p w:rsidR="00AC56D6" w:rsidRDefault="00AC56D6" w:rsidP="00AC56D6">
      <w:pPr>
        <w:pStyle w:val="TextoNormal"/>
      </w:pPr>
    </w:p>
    <w:p w:rsidR="00AC56D6" w:rsidRDefault="00AC56D6" w:rsidP="00AC56D6">
      <w:pPr>
        <w:pStyle w:val="TextoNormal"/>
      </w:pPr>
      <w:r>
        <w:t xml:space="preserve">Visto en estos términos, puede decirse que el trámite de convalidación del decreto-ley contemplado en el art. 86.2 CE es ejercicio de la función de control parlamentario (SSTC 111/1983, de 2 de diciembre, FJ 2, y 182/1997, de 28 de octubre, FJ 3), y por tanto puede considerarse integrado en el </w:t>
      </w:r>
      <w:r w:rsidRPr="00AC56D6">
        <w:rPr>
          <w:i/>
        </w:rPr>
        <w:t>ius in officium</w:t>
      </w:r>
      <w:r>
        <w:t>, eso sí, en los términos previstos en el art. 151 del Reglamento del Congreso de los Diputados, que prevé expresamente, en su apartado 2, que “un miembro del Gobierno expondrá ante la Cámara las razones que han obligado a su promulgación y el debate subsiguiente se realizará conforme a lo establecido para los de totalidad”, y en el apartado 3, que “concluido el debate, se procederá a la votación, en la que los votos afirmativos se entenderán favorables a la convalidación y los negativos favorables a la derogación”. Por tanto, la exigencia de los recurrentes, de estimar necesario un debate en profundidad del contenido del decreto-ley, con cada uno de los Ministros que, por el ámbito material del decreto-ley, hayan podido intervenir en la elaboración del mismo, o de entender limitadas sus facultades de examen, deliberación y enmienda, no se cohonesta con el diseño de la facultad de control reglamentariamente previsto en los supuestos de convalidación de decretos-leyes.</w:t>
      </w:r>
    </w:p>
    <w:p w:rsidR="00AC56D6" w:rsidRDefault="00AC56D6" w:rsidP="00AC56D6">
      <w:pPr>
        <w:pStyle w:val="TextoNormal"/>
      </w:pPr>
    </w:p>
    <w:p w:rsidR="00AC56D6" w:rsidRDefault="00AC56D6" w:rsidP="00AC56D6">
      <w:pPr>
        <w:pStyle w:val="TextoNormal"/>
      </w:pPr>
      <w:r>
        <w:t xml:space="preserve">Como ya dijimos en la STC 129/2013, de 4 de junio, “el principio democrático consagrado por nuestra Constitución (art. 1.1 CE) impone que la formación de la voluntad se articule a través de un procedimiento en el que opera el principio mayoritario y, por tanto, la consecución de una determinada mayoría como fórmula para la integración de voluntades concurrentes [SSTC 136/2011, de 13 de septiembre, FJ 5; 176/2011, de 8 de noviembre, FJ 2 c); y 209/2012, 14 de noviembre, FJ 2]. Por otra parte, hemos declarado que el derecho fundamental del art. 23.2 CE es un derecho de configuración legal, y que esa configuración corresponde a los Reglamentos Parlamentarios, a los que compete regular y ordenar los derechos y atribuciones que ostentan sus miembros (STC 27/2000, de 31 de enero, FJ 4)” (FJ 10). Todo lo cual nos lleva a desestimar la alegación de los recurrentes, porque las facultades que reclaman como integrantes de su </w:t>
      </w:r>
      <w:r w:rsidRPr="00AC56D6">
        <w:rPr>
          <w:i/>
        </w:rPr>
        <w:t>ius in officium</w:t>
      </w:r>
      <w:r>
        <w:t>, sencillamente no están reconocidas como tales en el Reglamento Parlamentario. No se ha dado en este caso infracción alguna de la legalidad parlamentaria que haya provocado una lesión del art. 23.2 CE, porque no existe cobertura legal alguna para las pretensiones de los recurrentes. La intervención que estos pretenden en relación con la discusión de fondo sobre el contenido del decreto-ley no se da en el trámite de convalidación, sino, en su caso, en el de tramitación como proyecto de ley del texto del Decreto-ley, una tramitación que en este caso, concurriría, abriendo a los recurrentes la posibilidad de enmienda, discusión y modificación del texto.</w:t>
      </w:r>
    </w:p>
    <w:p w:rsidR="00AC56D6" w:rsidRDefault="00AC56D6" w:rsidP="00AC56D6">
      <w:pPr>
        <w:pStyle w:val="TextoNormal"/>
      </w:pPr>
    </w:p>
    <w:p w:rsidR="00AC56D6" w:rsidRDefault="00AC56D6" w:rsidP="00AC56D6">
      <w:pPr>
        <w:pStyle w:val="TextoNormalCentrado"/>
        <w:keepNext/>
      </w:pPr>
      <w:r>
        <w:lastRenderedPageBreak/>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Estimar parcialmente el recurso de inconstitucionalidad interpuesto por el más de cincuenta Diputados y, en consecuencia:</w:t>
      </w:r>
    </w:p>
    <w:p w:rsidR="00AC56D6" w:rsidRDefault="00AC56D6" w:rsidP="00AC56D6">
      <w:pPr>
        <w:pStyle w:val="TextoNormal"/>
      </w:pPr>
    </w:p>
    <w:p w:rsidR="00AC56D6" w:rsidRDefault="00AC56D6" w:rsidP="00AC56D6">
      <w:pPr>
        <w:pStyle w:val="TextoNormal"/>
      </w:pPr>
      <w:r>
        <w:t>Declarar que</w:t>
      </w:r>
    </w:p>
    <w:p w:rsidR="00AC56D6" w:rsidRDefault="00AC56D6" w:rsidP="00AC56D6">
      <w:pPr>
        <w:pStyle w:val="TextoNormal"/>
      </w:pPr>
    </w:p>
    <w:p w:rsidR="00AC56D6" w:rsidRDefault="00AC56D6" w:rsidP="00AC56D6">
      <w:pPr>
        <w:pStyle w:val="TextoNormal"/>
      </w:pPr>
      <w:r>
        <w:t>1º Son inconstitucionales y nulos el art. 116 y las disposiciones adicionales vigésima a vigésima cuarta del Real Decreto-ley 8/2014, de 4 de julio, de aprobación de medidas urgentes para el crecimiento, la competitividad y la eficiencia.</w:t>
      </w:r>
    </w:p>
    <w:p w:rsidR="00AC56D6" w:rsidRDefault="00AC56D6" w:rsidP="00AC56D6">
      <w:pPr>
        <w:pStyle w:val="TextoNormal"/>
      </w:pPr>
    </w:p>
    <w:p w:rsidR="00AC56D6" w:rsidRDefault="00AC56D6" w:rsidP="00AC56D6">
      <w:pPr>
        <w:pStyle w:val="TextoNormal"/>
      </w:pPr>
      <w:r>
        <w:t>2º Desestimar el recurso de inconstitucionalidad en todo lo demás.</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veinticuatro de septiembre de dos mil quince.</w:t>
      </w:r>
    </w:p>
    <w:p w:rsidR="00AC56D6" w:rsidRDefault="00AC56D6" w:rsidP="00AC56D6">
      <w:pPr>
        <w:pStyle w:val="ParrafoNormal"/>
      </w:pPr>
    </w:p>
    <w:p w:rsidR="00AC56D6" w:rsidRDefault="00AC56D6" w:rsidP="00AC56D6">
      <w:pPr>
        <w:pStyle w:val="TextoNormalNegritaCentrado"/>
        <w:keepNext/>
      </w:pPr>
      <w:r>
        <w:t>Voto particular que formulan la Magistrada doña Adela Asua Batarrita y los Magistrados don Fernando Valdés Dal-Ré y don Juan Antonio Xiol Ríos a la Sentencia dictada en el recurso de inconstitucionalidad núm. 5099-2014</w:t>
      </w:r>
    </w:p>
    <w:p w:rsidR="00AC56D6" w:rsidRDefault="00AC56D6" w:rsidP="00AC56D6">
      <w:pPr>
        <w:pStyle w:val="TextoNormalNegritaCentrado"/>
        <w:keepNext/>
      </w:pPr>
    </w:p>
    <w:p w:rsidR="00AC56D6" w:rsidRDefault="00AC56D6" w:rsidP="00AC56D6">
      <w:pPr>
        <w:pStyle w:val="TextoNormal"/>
      </w:pPr>
      <w:r>
        <w:t>Con el máximo respeto a la opinión mayoritaria de nuestros compañeros de Pleno en la que se sustenta la Sentencia, manifestamos nuestra discrepancia con la fundamentación jurídica y el fallo de esta. Consideramos que hubiera debido ser estimatoria al haberse producido una extralimitación de los presupuestos habilitantes de la extraordinaria y urgente necesidad que para este tipo de normas exige el art. 86.1 CE.</w:t>
      </w:r>
    </w:p>
    <w:p w:rsidR="00AC56D6" w:rsidRDefault="00AC56D6" w:rsidP="00AC56D6">
      <w:pPr>
        <w:pStyle w:val="TextoNormal"/>
      </w:pPr>
    </w:p>
    <w:p w:rsidR="00AC56D6" w:rsidRDefault="00AC56D6" w:rsidP="00AC56D6">
      <w:pPr>
        <w:pStyle w:val="TextoNormal"/>
      </w:pPr>
      <w:r>
        <w:t>1. El art. 86.1 habilita al Gobierno para que, en caso de extraordinaria y urgente necesidad, dicte disposiciones legislativas provisionales que tomarán la forma de decretos-leyes con una serie de limitaciones materiales. En los últimos años, han sido muy numerosas las ocasiones en que el Gobierno ha acudido a este tipo de disposiciones legislativas y, consecuentemente, este Tribunal ha tenido la oportunidad de pronunciarse en muy diversas ocasiones sobre la interpretación en torno a los límites derivados del art. 86.1 CE, sea en lo relativo a la necesidad de un control más exigente de la concurrencia del presupuesto habilitante —la extraordinaria y urgente necesidad—, sea para velar por el respeto riguroso de los ámbitos materialmente vedados a los decretos-leyes, y señaladamente la prohibición de afectación a los derechos, deberes y libertades de los ciudadanos.</w:t>
      </w:r>
    </w:p>
    <w:p w:rsidR="00AC56D6" w:rsidRDefault="00AC56D6" w:rsidP="00AC56D6">
      <w:pPr>
        <w:pStyle w:val="TextoNormal"/>
      </w:pPr>
    </w:p>
    <w:p w:rsidR="00AC56D6" w:rsidRDefault="00AC56D6" w:rsidP="00AC56D6">
      <w:pPr>
        <w:pStyle w:val="TextoNormal"/>
      </w:pPr>
      <w:r>
        <w:t>Sin embargo, la envergadura de la operación llevada a cabo por el Real Decreto-Ley 8/2014 hace necesario trascender esa aproximación crítica, que seguramente aquí pecaría de interminable y puntillosa, para poner el acento en una reflexión de orden general sobre los límites explícitos e implícitos que el modelo constitucional impone a la legislación de urgencia, y que quedan oscurecidos si nos limitamos a una lectura aislada del art. 86.1 CE.</w:t>
      </w:r>
    </w:p>
    <w:p w:rsidR="00AC56D6" w:rsidRDefault="00AC56D6" w:rsidP="00AC56D6">
      <w:pPr>
        <w:pStyle w:val="TextoNormal"/>
      </w:pPr>
    </w:p>
    <w:p w:rsidR="00AC56D6" w:rsidRDefault="00AC56D6" w:rsidP="00AC56D6">
      <w:pPr>
        <w:pStyle w:val="TextoNormal"/>
      </w:pPr>
      <w:r>
        <w:t>Obvio resulta señalar que, como es propio de una democracia parlamentaria, son las Cortes Generales las que representan a los ciudadanos españoles y ejercen la potestad legislativa del Estado, siendo por ello la ley emanación de la voluntad popular. Así lo afirma el preámbulo de nuestra Constitución y así lo determinan sus arts. 1 y 66. Debería pues resultar evidente que la potestad que el art. 86 CE atribuye al Gobierno para dictar normas con fuerza de ley se inserta en este diseño como excepción, pero de ningún modo erige al poder ejecutivo en colegislador en pie de igualdad con los representantes democráticamente elegidos por el pueblo.</w:t>
      </w:r>
    </w:p>
    <w:p w:rsidR="00AC56D6" w:rsidRDefault="00AC56D6" w:rsidP="00AC56D6">
      <w:pPr>
        <w:pStyle w:val="TextoNormal"/>
      </w:pPr>
    </w:p>
    <w:p w:rsidR="00AC56D6" w:rsidRDefault="00AC56D6" w:rsidP="00AC56D6">
      <w:pPr>
        <w:pStyle w:val="TextoNormal"/>
      </w:pPr>
      <w:r>
        <w:t>Como tal excepción ha de ser contemplada, y como tal excepción ha de ser enjuiciado su ejercicio, en una interpretación que se impone como restrictiva por encontrar su razón de ser en la necesidad de preservar la posición constitucional de las Cortes Generales. Sin abandonar la idea del control externo que corresponde a este Tribunal, pero sin perder de vista tampoco que el uso notoriamente desmedido, fraudulento o abusivo de la figura del decreto-ley comporta un grave desequilibrio de la arquitectura constitucional, dejando en entredicho la propia noción de democracia parlamentaria, que por su carácter nuclear ha de presidir en todo momento la tarea del intérprete supremo de la Constitución.</w:t>
      </w:r>
    </w:p>
    <w:p w:rsidR="00AC56D6" w:rsidRDefault="00AC56D6" w:rsidP="00AC56D6">
      <w:pPr>
        <w:pStyle w:val="TextoNormal"/>
      </w:pPr>
    </w:p>
    <w:p w:rsidR="00AC56D6" w:rsidRDefault="00AC56D6" w:rsidP="00AC56D6">
      <w:pPr>
        <w:pStyle w:val="TextoNormal"/>
      </w:pPr>
      <w:r>
        <w:t xml:space="preserve">2. Tal hubiera sido, a nuestro juicio, la óptica que precisaba el control de constitucionalidad de una norma que, dictada al amparo de ese poder excepcional, modifica cerca de una treintena de leyes y otras normas con fuerza de ley, además de introducir multitud de disposiciones legales </w:t>
      </w:r>
      <w:r w:rsidRPr="00AC56D6">
        <w:rPr>
          <w:i/>
        </w:rPr>
        <w:t>ex novo</w:t>
      </w:r>
      <w:r>
        <w:t>, sin tan siquiera detenerse ante la inclusión de modificaciones de normas reglamentarias cuyo solo rango haría innecesaria esta intervención. La norma objeto del presente juicio de constitucionalidad es de tal heterogeneidad, que abarca la práctica totalidad de los sectores jurídicos: desde la legislación laboral y tributaria hasta el cine, desde la energía, las minas o los hidrocarburos hasta la conmemoración de la primera exposición de Picasso, desde la carrera militar hasta los puertos y aeropuertos, desde los horarios comerciales hasta el Registro Civil. Y este rasgo no solo afecta al contenido dispositivo, sino también a las variopintas razones esgrimidas para justificar la concurrencia del presupuesto habilitante, y que en buena parte resultan retóricas, hueras, discutibles o, más sencillamente, inexistentes.</w:t>
      </w:r>
    </w:p>
    <w:p w:rsidR="00AC56D6" w:rsidRDefault="00AC56D6" w:rsidP="00AC56D6">
      <w:pPr>
        <w:pStyle w:val="TextoNormal"/>
      </w:pPr>
    </w:p>
    <w:p w:rsidR="00AC56D6" w:rsidRDefault="00AC56D6" w:rsidP="00AC56D6">
      <w:pPr>
        <w:pStyle w:val="TextoNormal"/>
      </w:pPr>
      <w:r>
        <w:t>Por más flexible que haya podido ser el canon hasta ahora aplicado por este Tribunal, como demuestra la experiencia, el solo recuento que somera y fragmentariamente ha quedado expuesto deja en evidencia que esta norma ha roto los diques constitucionales. Es palmario que no estamos ante un decreto-ley que responda a una situación de necesidad cuyo remedio exija medidas de contenido hasta cierto punto heterogéneo, pero que tengan un nexo común, consistente precisamente en esa situación de necesidad a la que pretenden salir al paso. Y es necesario subrayar que esta situación de necesidad no solo ha de quedar justificadamente caracterizada como urgente, en el sentido de que no pueda ser debidamente abordada ni siquiera a través de los cauces legislativos que otorgan carácter preferente o abrevian los plazos parlamentarios de tramitación legislativa. También es nota característica del presupuesto habilitante del art. 86.1 CE el carácter extraordinario de la situación de necesidad, que es tanto como decir fuera de lo común, anómalo, difícil o imposible de prever.</w:t>
      </w:r>
    </w:p>
    <w:p w:rsidR="00AC56D6" w:rsidRDefault="00AC56D6" w:rsidP="00AC56D6">
      <w:pPr>
        <w:pStyle w:val="TextoNormal"/>
      </w:pPr>
    </w:p>
    <w:p w:rsidR="00AC56D6" w:rsidRDefault="00AC56D6" w:rsidP="00AC56D6">
      <w:pPr>
        <w:pStyle w:val="TextoNormal"/>
      </w:pPr>
      <w:r>
        <w:t xml:space="preserve">Cualquier intento de localizar en el Real Decreto-ley 8/2014 este nexo común, esta situación de extraordinaria y urgente necesidad, resulta baldío por la sencilla razón de que no </w:t>
      </w:r>
      <w:r>
        <w:lastRenderedPageBreak/>
        <w:t>existe. Así lo revela la lectura del apartado I de su preámbulo, que prácticamente viene a otorgar carta de naturaleza al uso del decreto-ley como instrumento habitual y ordinario para impulsar una genérica agenda reformadora del Gobierno que, conectada con la recesión económica iniciada en 2008, pretende otorgar cobertura a la aprobación de tan amplio, disperso e inconexo conjunto de disposiciones. En el sentido constitucional del término, poco puede tener ya de extraordinaria una crisis económica que se extiende a lo largo de dos legislaturas, ni la crisis económica legitima el uso del decreto-ley para la aprobación de medidas de todo tipo, muchas de ellas ajenas a aquella.</w:t>
      </w:r>
    </w:p>
    <w:p w:rsidR="00AC56D6" w:rsidRDefault="00AC56D6" w:rsidP="00AC56D6">
      <w:pPr>
        <w:pStyle w:val="TextoNormal"/>
      </w:pPr>
    </w:p>
    <w:p w:rsidR="00AC56D6" w:rsidRDefault="00AC56D6" w:rsidP="00AC56D6">
      <w:pPr>
        <w:pStyle w:val="TextoNormal"/>
      </w:pPr>
      <w:r>
        <w:t>3. La funesta consecuencia es la relegación del poder legislativo a un papel pasivo, secundario y disminuido, en detrimento del principio representativo, de la calidad democrática y, en las propias palabras del preámbulo de la Constitución, del Estado de Derecho que asegura el imperio de la ley como expresión de la voluntad popular.</w:t>
      </w:r>
    </w:p>
    <w:p w:rsidR="00AC56D6" w:rsidRDefault="00AC56D6" w:rsidP="00AC56D6">
      <w:pPr>
        <w:pStyle w:val="TextoNormal"/>
      </w:pPr>
    </w:p>
    <w:p w:rsidR="00AC56D6" w:rsidRDefault="00AC56D6" w:rsidP="00AC56D6">
      <w:pPr>
        <w:pStyle w:val="TextoNormal"/>
      </w:pPr>
      <w:r>
        <w:t>Y en tal sentido emitimos este Voto particular.</w:t>
      </w:r>
    </w:p>
    <w:p w:rsidR="00AC56D6" w:rsidRDefault="00AC56D6" w:rsidP="00AC56D6">
      <w:pPr>
        <w:pStyle w:val="TextoNormal"/>
      </w:pPr>
    </w:p>
    <w:p w:rsidR="00AC56D6" w:rsidRDefault="00AC56D6" w:rsidP="00AC56D6">
      <w:pPr>
        <w:pStyle w:val="TextoNormal"/>
      </w:pPr>
      <w:r>
        <w:t>Madrid, a veinticuatro de septiembre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56" w:name="SENTENCIA_2015_200"/>
      <w:r>
        <w:lastRenderedPageBreak/>
        <w:t>SENTENCIA 200/2015, de 24 de septiembre de 2015</w:t>
      </w:r>
    </w:p>
    <w:bookmarkEnd w:id="56"/>
    <w:p w:rsidR="00AC56D6" w:rsidRDefault="00AC56D6" w:rsidP="00AC56D6">
      <w:pPr>
        <w:pStyle w:val="TtuloResolucin"/>
      </w:pPr>
      <w:r>
        <w:t>Pleno</w:t>
      </w:r>
    </w:p>
    <w:p w:rsidR="00AC56D6" w:rsidRDefault="00AC56D6" w:rsidP="00AC56D6">
      <w:pPr>
        <w:pStyle w:val="TtuloBOE"/>
      </w:pPr>
      <w:r>
        <w:t>(BOE núm. 260, de 30 de octubre de 2015)</w:t>
      </w:r>
    </w:p>
    <w:p w:rsidR="00AC56D6" w:rsidRDefault="00AC56D6" w:rsidP="00AC56D6">
      <w:pPr>
        <w:pStyle w:val="TextoNormalCentrado"/>
      </w:pPr>
      <w:r>
        <w:t>ECLI:ES:TC:2015:200</w:t>
      </w:r>
    </w:p>
    <w:p w:rsidR="00AC56D6" w:rsidRDefault="00AC56D6" w:rsidP="00AC56D6">
      <w:pPr>
        <w:pStyle w:val="TextoNormalCentrado"/>
      </w:pPr>
    </w:p>
    <w:p w:rsidR="00AC56D6" w:rsidRDefault="00AC56D6" w:rsidP="00AC56D6">
      <w:pPr>
        <w:pStyle w:val="SntesisDescriptiva"/>
      </w:pPr>
      <w:r>
        <w:t>Cuestión de inconstitucionalidad 1795-2015. Planteada por el Juzgado de lo Contencioso-Administrativo núm. 4 de Zaragoza en relación con diversos preceptos de la Ley 8/2013, de 12 de septiembre, de coordinación de las policías locales de Aragón.</w:t>
      </w:r>
    </w:p>
    <w:p w:rsidR="00AC56D6" w:rsidRDefault="00AC56D6" w:rsidP="00AC56D6">
      <w:pPr>
        <w:pStyle w:val="SntesisDescriptiva"/>
      </w:pPr>
    </w:p>
    <w:p w:rsidR="00AC56D6" w:rsidRDefault="00AC56D6" w:rsidP="00AC56D6">
      <w:pPr>
        <w:pStyle w:val="SntesisAnaltica"/>
      </w:pPr>
      <w:r>
        <w:t>Principio de autonomía local y competencias en materia de función pública y seguridad pública: nulidad del precepto legal autonómico sobre integración de los auxiliares de policía local (STC 175/2011).</w:t>
      </w:r>
    </w:p>
    <w:p w:rsidR="00AC56D6" w:rsidRDefault="00AC56D6" w:rsidP="00AC56D6">
      <w:pPr>
        <w:pStyle w:val="SntesisAnaltica"/>
      </w:pPr>
    </w:p>
    <w:p w:rsidR="00AC56D6" w:rsidRDefault="00AC56D6" w:rsidP="00AC56D6">
      <w:pPr>
        <w:pStyle w:val="Extracto"/>
      </w:pPr>
      <w:r>
        <w:t>1.</w:t>
      </w:r>
      <w:r>
        <w:tab/>
        <w:t>Los apartados 2 y 3 de la norma impugnada son inconstitucionales y nulos por vulnerar la competencia estatal para dictar las bases del régimen estatutario de los funcionarios públicos, ex art. 149.1.18 CE [FJ 2].</w:t>
      </w:r>
    </w:p>
    <w:p w:rsidR="00AC56D6" w:rsidRDefault="00AC56D6" w:rsidP="00AC56D6">
      <w:pPr>
        <w:pStyle w:val="Extracto"/>
      </w:pPr>
    </w:p>
    <w:p w:rsidR="00AC56D6" w:rsidRDefault="00AC56D6" w:rsidP="00AC56D6">
      <w:pPr>
        <w:pStyle w:val="Extracto"/>
      </w:pPr>
      <w:r>
        <w:t>2.</w:t>
      </w:r>
      <w:r>
        <w:tab/>
        <w:t>Es doctrina consolidada del Tribunal que, para constatar la existencia de una inconstitucionalidad mediata o indirecta como la que aquí se suscita, es necesario que concurran dos condiciones; por un lado, que la norma estatal infringida por la Ley autonómica sea, en el doble sentido material y formal, una norma básica y, por tanto, dictada legítimamente al amparo del correspondiente título competencial que la Constitución haya reservado al Estado; y, por otro, que la contradicción entre ambas normas, estatal y autonómica, sea efectiva e insalvable por vía interpretativa (STC 210/2014) [FJ 4].</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1795-2015, promovida por el Juzgado de lo Contencioso-Administrativo núm. 4 de Zaragoza, sobre la disposición transitoria segunda, apartados 2 y 3, en relación con los arts. 22, 25 y 26, de la Ley 8/2013, de 12 de septiembre, de coordinación de las policías locales de Aragón. Han comparecido y formulado alegaciones el Gobierno de Aragón, las Cortes de Aragón y la Fiscal General del Estado. Ha sido Ponente el Magistrado don Fernando Valdés Dal-Ré,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Con fecha 27 de marzo de 2015 tuvo entrada en el Registro General del Tribunal Constitucional un oficio del Juzgado de lo Contencioso-Administrativo núm. 4 de Zaragoza, de 19 de marzo de 2015, al que se acompañaba, junto al testimonio del procedimiento abreviado tramitado con el núm. 253-2014, el Auto de 9 de marzo de 2015 por el se acuerda plantear cuestión de inconstitucionalidad sobre la disposición transitoria segunda, apartados 2 y 3, en relación con los arts. 22, 25 y 26, de la Ley 8/2013, de 12 de septiembre, de coordinación de las policías locales de Aragón, por posible vulneración de los arts. 137, 140 y 149.1.18 CE y 51.2 de la Ley Orgánica 2/1986, de 13 de marzo, de fuerzas y cuerpos de seguridad (LOFCS).</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del planteamiento de la presente cuestión de inconstitucionalidad son, enunciados resumidamente, los siguientes:</w:t>
      </w:r>
    </w:p>
    <w:p w:rsidR="00AC56D6" w:rsidRDefault="00AC56D6" w:rsidP="00AC56D6">
      <w:pPr>
        <w:pStyle w:val="TextoNormal"/>
      </w:pPr>
    </w:p>
    <w:p w:rsidR="00AC56D6" w:rsidRDefault="00AC56D6" w:rsidP="00AC56D6">
      <w:pPr>
        <w:pStyle w:val="TextoNormal"/>
      </w:pPr>
      <w:r>
        <w:t>a) El día 2 de octubre de 2014, don F.J.G.B. interpuso recurso contencioso-administrativo contra la resolución de la Alcaldía-Presidencia del Ayuntamiento de Ateca, de 9 de julio de 2014, por la que se desestimó el recurso de reposición contra la resolución de 12 de mayo del mismo año, que encuadró al recurrente en la situación de auxiliar de policía local “a extinguir”, al no tener la titulación requerida por la disposición transitoria segunda de la Ley 8/2013, de 12 de septiembre, de coordinación de las policías locales de Aragón, para su integración en la categoría de policía. En el escrito de interposición del recurso, se solicitó al Juzgado que planteara cuestión de inconstitucionalidad en relación con los apartados 2, 3 y 4 de la citada disposición transitoria.</w:t>
      </w:r>
    </w:p>
    <w:p w:rsidR="00AC56D6" w:rsidRDefault="00AC56D6" w:rsidP="00AC56D6">
      <w:pPr>
        <w:pStyle w:val="TextoNormal"/>
      </w:pPr>
    </w:p>
    <w:p w:rsidR="00AC56D6" w:rsidRDefault="00AC56D6" w:rsidP="00AC56D6">
      <w:pPr>
        <w:pStyle w:val="TextoNormal"/>
      </w:pPr>
      <w:r>
        <w:t>b) Conclusos los autos, mediante providencia del 17 de febrero de 2015, con suspensión del plazo para dictar sentencia, el Juzgado de lo Contencioso-Administrativo núm. 4 de Zaragoza acordó conferir un plazo común de diez días a las partes y al Ministerio Fiscal para que, de conformidad con el art. 35.2 de la Ley Orgánica del Tribunal Constitucional (LOTC), se pronunciaran sobre la posible inconstitucionalidad de los siguientes preceptos: (i) el apartado 3 de la disposición transitoria segunda de la Ley de Aragón 8/2013, excepto en el inciso “En ningún caso vestirán uniforme de la Policía Local”, por infracción de los arts. 137 y 140 CE, que reconocen el principio de autonomía local, y del art. 51.2 LOFCS; y (ii) los apartados 2 y 3 de la misma disposición transitoria segunda, en relación con los arts. 22, 25 y 26 de la Ley de Aragón 8/2013, por infracción del art. 149.1.18 CE en conexión con la disposición adicional vigesimosegunda de la Ley 30/1984, de 2 de agosto, de medidas para la reforma de la función pública.</w:t>
      </w:r>
    </w:p>
    <w:p w:rsidR="00AC56D6" w:rsidRDefault="00AC56D6" w:rsidP="00AC56D6">
      <w:pPr>
        <w:pStyle w:val="TextoNormal"/>
      </w:pPr>
    </w:p>
    <w:p w:rsidR="00AC56D6" w:rsidRDefault="00AC56D6" w:rsidP="00AC56D6">
      <w:pPr>
        <w:pStyle w:val="TextoNormal"/>
      </w:pPr>
      <w:r>
        <w:t>c) Evacuado dicho trámite, por Auto de 9 de marzo de 2015 el Juzgado de lo Contencioso-Administrativo núm. 4 de Zaragoza acordó la elevación de la presente cuestión de inconstitucionalidad.</w:t>
      </w:r>
    </w:p>
    <w:p w:rsidR="00AC56D6" w:rsidRDefault="00AC56D6" w:rsidP="00AC56D6">
      <w:pPr>
        <w:pStyle w:val="TextoNormal"/>
      </w:pPr>
    </w:p>
    <w:p w:rsidR="00AC56D6" w:rsidRDefault="00AC56D6" w:rsidP="00AC56D6">
      <w:pPr>
        <w:pStyle w:val="TextoNormal"/>
      </w:pPr>
      <w:r w:rsidRPr="00AC56D6">
        <w:rPr>
          <w:rStyle w:val="NumeroAFNegritaCaracter"/>
        </w:rPr>
        <w:t>3</w:t>
      </w:r>
      <w:r>
        <w:t>. En síntesis, el Auto de planteamiento fundamenta las dudas de constitucionalidad en los siguientes razonamientos:</w:t>
      </w:r>
    </w:p>
    <w:p w:rsidR="00AC56D6" w:rsidRDefault="00AC56D6" w:rsidP="00AC56D6">
      <w:pPr>
        <w:pStyle w:val="TextoNormal"/>
      </w:pPr>
    </w:p>
    <w:p w:rsidR="00AC56D6" w:rsidRDefault="00AC56D6" w:rsidP="00AC56D6">
      <w:pPr>
        <w:pStyle w:val="TextoNormal"/>
      </w:pPr>
      <w:r>
        <w:lastRenderedPageBreak/>
        <w:t>a) El apartado 3 de la disposición transitoria segunda, al establecer que los auxiliares de policía local que no dispongan de la titulación requerida para la integración en la categoría de policía quedan en situación de “a extinguir”, en realidad los suprime con un efecto temporal diferido. Partiendo de lo determinado por la STC 82/1993, de 8 de marzo, FJ 4, que anuló la autorización autonómica para la creación de puestos de trabajo de auxiliar de policía local, por resultar contrario a la autonomía municipal (arts. 137 y 140 CE), el órgano judicial considera posible hacer el razonamiento inverso: al no permitir la creación de tales plazas, o hacer desaparecer las existentes, la Ley autonómica impide que los ayuntamientos tengan auxiliares de policía local y les obliga indirectamente a constituir cuerpos de policía local o a verse privados de dichos auxiliares, lo que supone invasión de la autonomía local en análogos términos a los apreciados en la STC 82/1993.</w:t>
      </w:r>
    </w:p>
    <w:p w:rsidR="00AC56D6" w:rsidRDefault="00AC56D6" w:rsidP="00AC56D6">
      <w:pPr>
        <w:pStyle w:val="TextoNormal"/>
      </w:pPr>
    </w:p>
    <w:p w:rsidR="00AC56D6" w:rsidRDefault="00AC56D6" w:rsidP="00AC56D6">
      <w:pPr>
        <w:pStyle w:val="TextoNormal"/>
      </w:pPr>
      <w:r>
        <w:t>b) Para los funcionarios que quedan en la situación “a extinguir”, el apartado 3 de la disposición transitoria segunda establece que en ningún caso portarán armas ni ostentarán la condición de agentes de la autoridad.</w:t>
      </w:r>
    </w:p>
    <w:p w:rsidR="00AC56D6" w:rsidRDefault="00AC56D6" w:rsidP="00AC56D6">
      <w:pPr>
        <w:pStyle w:val="TextoNormal"/>
      </w:pPr>
    </w:p>
    <w:p w:rsidR="00AC56D6" w:rsidRDefault="00AC56D6" w:rsidP="00AC56D6">
      <w:pPr>
        <w:pStyle w:val="TextoNormal"/>
      </w:pPr>
      <w:r>
        <w:t>Respecto del uso de las armas, el Auto de planteamiento invoca la STC 81/1993, de 8 de marzo, FJ 6, resaltando que, a diferencia de la norma allí enjuiciada, que atribuía la decisión a los alcaldes, la disposición transitoria segunda de la Ley de Aragón 8/2013 hace precisamente lo contrario, al prohibir, prescindiendo de la autonomía local, que los auxiliares “a extinguir” porten armas. Ello puede dificultar el ejercicio de las facultades que les otorga el art. 51.2 LOFCS de forma subsidiaria, en caso de inexistencia de policía local.</w:t>
      </w:r>
    </w:p>
    <w:p w:rsidR="00AC56D6" w:rsidRDefault="00AC56D6" w:rsidP="00AC56D6">
      <w:pPr>
        <w:pStyle w:val="TextoNormal"/>
      </w:pPr>
    </w:p>
    <w:p w:rsidR="00AC56D6" w:rsidRDefault="00AC56D6" w:rsidP="00AC56D6">
      <w:pPr>
        <w:pStyle w:val="TextoNormal"/>
      </w:pPr>
      <w:r>
        <w:t>Lo mismo sucedería con la privación de la condición de agentes de la autoridad, que puede provenir tanto de su condición de auxiliares de policía local, según las normas correspondientes de la Administración local, como del mencionado ejercicio subsidiario de funciones, de acuerdo con el art. 51.2 LOFCS.</w:t>
      </w:r>
    </w:p>
    <w:p w:rsidR="00AC56D6" w:rsidRDefault="00AC56D6" w:rsidP="00AC56D6">
      <w:pPr>
        <w:pStyle w:val="TextoNormal"/>
      </w:pPr>
    </w:p>
    <w:p w:rsidR="00AC56D6" w:rsidRDefault="00AC56D6" w:rsidP="00AC56D6">
      <w:pPr>
        <w:pStyle w:val="TextoNormal"/>
      </w:pPr>
      <w:r>
        <w:t>c) Para la integración en la categoría de policía, la disposición transitoria segunda de la Ley de Aragón 8/2013 exige a los auxiliares de policía, entre otros requisitos, disponer de la titulación correspondiente (apartado 2), quedando en caso contrario en situación de “a extinguir” (apartado 3). Dicha exigencia de titulación viola la disposición adicional vigesimosegunda de la Ley 30/1984, de 2 de agosto, de medidas para la reforma de la función pública, añadida por el art. 61 de la Ley 42/1994, de 30 de diciembre, de medidas fiscales, administrativas y de orden social. La citada disposición estatal regula, con el expreso carácter de base del régimen estatutario de los funcionarios públicos (art. 149.1.18 CE), la posibilidad de promoción interna desde el grupo D al Grupo C sin disponer de la titulación necesaria, siempre que se cuente con una antigüedad de diez años, o de cinco más la superación de un curso de formación.</w:t>
      </w:r>
    </w:p>
    <w:p w:rsidR="00AC56D6" w:rsidRDefault="00AC56D6" w:rsidP="00AC56D6">
      <w:pPr>
        <w:pStyle w:val="TextoNormal"/>
      </w:pPr>
    </w:p>
    <w:p w:rsidR="00AC56D6" w:rsidRDefault="00AC56D6" w:rsidP="00AC56D6">
      <w:pPr>
        <w:pStyle w:val="TextoNormal"/>
      </w:pPr>
      <w:r>
        <w:t>Entiende el órgano judicial que la Ley de Aragón 8/2013 no prohíbe el acceso por este sistema, pero tampoco hace reserva alguna de la disposición adicional vigesimosegunda de la Ley 30/1984, ni en la disposición transitoria cuestionada ni en los preceptos que regulan las categorías, la promoción interna o el acceso a un puesto por movilidad (arts. 22, 25 y 26). Ello le permite concluir que se ha cercenado la posibilidad de promoción interna del grupo D al Grupo C sin disponer de titulación, por lo que podría incurrir en un vicio de inconstitucionalidad por infracción de la citada norma básica estatal.</w:t>
      </w:r>
    </w:p>
    <w:p w:rsidR="00AC56D6" w:rsidRDefault="00AC56D6" w:rsidP="00AC56D6">
      <w:pPr>
        <w:pStyle w:val="TextoNormal"/>
      </w:pPr>
    </w:p>
    <w:p w:rsidR="00AC56D6" w:rsidRDefault="00AC56D6" w:rsidP="00AC56D6">
      <w:pPr>
        <w:pStyle w:val="TextoNormal"/>
      </w:pPr>
      <w:r>
        <w:lastRenderedPageBreak/>
        <w:t>Añade el Auto que “cabría también plantear si cabe hacer una sentencia interpretativa, en el sentido de que la posibilidad prevista en la DT 2ª es sin perjuicio de lo previsto en la DA 22ª de la Ley 30/1984”.</w:t>
      </w:r>
    </w:p>
    <w:p w:rsidR="00AC56D6" w:rsidRDefault="00AC56D6" w:rsidP="00AC56D6">
      <w:pPr>
        <w:pStyle w:val="TextoNormal"/>
      </w:pPr>
    </w:p>
    <w:p w:rsidR="00AC56D6" w:rsidRDefault="00AC56D6" w:rsidP="00AC56D6">
      <w:pPr>
        <w:pStyle w:val="TextoNormal"/>
      </w:pPr>
      <w:r w:rsidRPr="00AC56D6">
        <w:rPr>
          <w:rStyle w:val="NumeroAFNegritaCaracter"/>
        </w:rPr>
        <w:t>4</w:t>
      </w:r>
      <w:r>
        <w:t>. Por providencia de 28 de abril de 2015, el Pleno, a propuesta de la Sección Cuarta, acordó admitir a trámite la cuestión de inconstitucionalidad; reservar para sí el conocimiento de la cuestión, conforme al art. 10.1 c) LOTC; dar traslado de las actuaciones recibidas al Congreso de los Diputados, al Senado, al Gobierno, al Fiscal General del Estado, a la Diputación General de Aragón y a las Cortes de Aragón, para que en el plazo de quince días pudieran personarse en el procedimiento y formular las alegaciones que estimasen convenientes, de acuerdo con lo establecido por el art. 37.3 LOTC; comunicar esa resolución al Juzgado de lo Contencioso-Administrativo núm. 4 de Zaragoza a fin de que, de conformidad con el art. 35.3 LOTC, permaneciese suspendido el proceso hasta la resolución de la presente cuestión; y publicar su incoación en el “Boletín Oficial del Estado” y en el “Boletín Oficial de Aragón”.</w:t>
      </w:r>
    </w:p>
    <w:p w:rsidR="00AC56D6" w:rsidRDefault="00AC56D6" w:rsidP="00AC56D6">
      <w:pPr>
        <w:pStyle w:val="TextoNormal"/>
      </w:pPr>
    </w:p>
    <w:p w:rsidR="00AC56D6" w:rsidRDefault="00AC56D6" w:rsidP="00AC56D6">
      <w:pPr>
        <w:pStyle w:val="TextoNormal"/>
      </w:pPr>
      <w:r w:rsidRPr="00AC56D6">
        <w:rPr>
          <w:rStyle w:val="NumeroAFNegritaCaracter"/>
        </w:rPr>
        <w:t>5</w:t>
      </w:r>
      <w:r>
        <w:t>. Mediante sendos escritos registrados los días 6 y 8 de mayo de 2015, el Presidente del Senado y el Presidente del Congreso de los Diputados comunicaron los respectivos acuerdos de las Mesas de ambas Cámaras de personarse en el presente proceso constitucional, ofreciendo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6</w:t>
      </w:r>
      <w:r>
        <w:t>. Mediante escrito registrado el 22 de mayo de 2015, el Abogado del Estado se personó en el proceso, sin formular alegaciones.</w:t>
      </w:r>
    </w:p>
    <w:p w:rsidR="00AC56D6" w:rsidRDefault="00AC56D6" w:rsidP="00AC56D6">
      <w:pPr>
        <w:pStyle w:val="TextoNormal"/>
      </w:pPr>
    </w:p>
    <w:p w:rsidR="00AC56D6" w:rsidRDefault="00AC56D6" w:rsidP="00AC56D6">
      <w:pPr>
        <w:pStyle w:val="TextoNormal"/>
      </w:pPr>
      <w:r w:rsidRPr="00AC56D6">
        <w:rPr>
          <w:rStyle w:val="NumeroAFNegritaCaracter"/>
        </w:rPr>
        <w:t>7</w:t>
      </w:r>
      <w:r>
        <w:t>. El día 28 de mayo de 2015 tuvo entrada escrito de la Letrada de la Comunidad Autónoma de Aragón, personándose en nombre de la Diputación General de Aragón y solicitando la desestimación de la cuestión en atención a las alegaciones que se resumen a continuación.</w:t>
      </w:r>
    </w:p>
    <w:p w:rsidR="00AC56D6" w:rsidRDefault="00AC56D6" w:rsidP="00AC56D6">
      <w:pPr>
        <w:pStyle w:val="TextoNormal"/>
      </w:pPr>
    </w:p>
    <w:p w:rsidR="00AC56D6" w:rsidRDefault="00AC56D6" w:rsidP="00AC56D6">
      <w:pPr>
        <w:pStyle w:val="TextoNormal"/>
      </w:pPr>
      <w:r>
        <w:t>a) No se produce extinción alguna de los puestos de auxiliares; únicamente desaparece el supuesto de hecho que daba lugar a la posibilidad de atribuirles funciones de policía. Con la Ley de Aragón 8/2013 se puede crear cuerpo de policía en todos los municipios, sin exigir un mínimo de población, contrariamente a lo que sucedía con la normativa anterior, que hizo que muchos municipios recurrieran a la creación de puestos de auxiliares. La existencia de policía hace innecesaria la figura de los auxiliares, y precisamente por ello el apartado 1 de la disposición transitoria cuestionada prevé su integración en la categoría de policía.</w:t>
      </w:r>
    </w:p>
    <w:p w:rsidR="00AC56D6" w:rsidRDefault="00AC56D6" w:rsidP="00AC56D6">
      <w:pPr>
        <w:pStyle w:val="TextoNormal"/>
      </w:pPr>
    </w:p>
    <w:p w:rsidR="00AC56D6" w:rsidRDefault="00AC56D6" w:rsidP="00AC56D6">
      <w:pPr>
        <w:pStyle w:val="TextoNormal"/>
      </w:pPr>
      <w:r>
        <w:t>Las previsiones de la disposición transitoria segunda son la consecuencia de la determinación legal de una estructura homogénea del cuerpo de policía local y del ejercicio de sus funciones, que tiene cabida en la competencia autonómica de coordinación de la actuación de las policías locales de Aragón (art. 76.3 del Estatuto de Autonomía de Aragón), reconocidas expresamente en el art. 39 LOFCS.</w:t>
      </w:r>
    </w:p>
    <w:p w:rsidR="00AC56D6" w:rsidRDefault="00AC56D6" w:rsidP="00AC56D6">
      <w:pPr>
        <w:pStyle w:val="TextoNormal"/>
      </w:pPr>
    </w:p>
    <w:p w:rsidR="00AC56D6" w:rsidRDefault="00AC56D6" w:rsidP="00AC56D6">
      <w:pPr>
        <w:pStyle w:val="TextoNormal"/>
      </w:pPr>
      <w:r>
        <w:t xml:space="preserve">Con ello, ni se atenta a la autonomía local ni se infringe la previsión del art. 51.2 LOFCS; simplemente dicha previsión quedará inoperativa por cuanto las funciones correspondientes serán llevadas a cabo siempre por miembros del cuerpo de policía local. La desaparición del supuesto de atribución de funciones de policía a dichos auxiliares determina la integración </w:t>
      </w:r>
      <w:r>
        <w:lastRenderedPageBreak/>
        <w:t>directa de los existentes en la categoría de policía, que el Auto de planteamiento no cuestiona al no extender su objeto al apartado 1 de la disposición transitoria segunda.</w:t>
      </w:r>
    </w:p>
    <w:p w:rsidR="00AC56D6" w:rsidRDefault="00AC56D6" w:rsidP="00AC56D6">
      <w:pPr>
        <w:pStyle w:val="TextoNormal"/>
      </w:pPr>
    </w:p>
    <w:p w:rsidR="00AC56D6" w:rsidRDefault="00AC56D6" w:rsidP="00AC56D6">
      <w:pPr>
        <w:pStyle w:val="TextoNormal"/>
      </w:pPr>
      <w:r>
        <w:t>b) La exigencia de titulación para la integración de los auxiliares en la categoría de policía no vulnera la normativa básica estatal. La disposición adicional vigesimosegunda de la Ley 30/1984 regula la promoción interna, técnica de la carrera profesional del funcionario que nada tiene que ver con la integración directa que regula la Ley de Aragón 8/2013. La integración no debe considerarse como una promoción interna, ya que no se produce un cambio o acceso de un funcionario desde un cuerpo, escala o plaza, a otra distinta, sino que estamos ante la integración de unos funcionarios en otro grupo, continuando con las mismas funciones que desempeñaba. Lo contrario exigiría su aplicación íntegra, concretamente la realización del correspondiente proceso de concurso-oposición, sin permitir en modo alguno la integración directa.</w:t>
      </w:r>
    </w:p>
    <w:p w:rsidR="00AC56D6" w:rsidRDefault="00AC56D6" w:rsidP="00AC56D6">
      <w:pPr>
        <w:pStyle w:val="TextoNormal"/>
      </w:pPr>
    </w:p>
    <w:p w:rsidR="00AC56D6" w:rsidRDefault="00AC56D6" w:rsidP="00AC56D6">
      <w:pPr>
        <w:pStyle w:val="TextoNormal"/>
      </w:pPr>
      <w:r>
        <w:t>En ningún caso cabe hablar de promoción cuando se trata de la integración en la categoría inferior del cuerpo de policía local, de manera que no puede plantearse la hipotética vulneración de una norma que no resulta aplicable.</w:t>
      </w:r>
    </w:p>
    <w:p w:rsidR="00AC56D6" w:rsidRDefault="00AC56D6" w:rsidP="00AC56D6">
      <w:pPr>
        <w:pStyle w:val="TextoNormal"/>
      </w:pPr>
    </w:p>
    <w:p w:rsidR="00AC56D6" w:rsidRDefault="00AC56D6" w:rsidP="00AC56D6">
      <w:pPr>
        <w:pStyle w:val="TextoNormal"/>
      </w:pPr>
      <w:r w:rsidRPr="00AC56D6">
        <w:rPr>
          <w:rStyle w:val="NumeroAFNegritaCaracter"/>
        </w:rPr>
        <w:t>8</w:t>
      </w:r>
      <w:r>
        <w:t>. La representante procesal de las Cortes de Aragón presentó su escrito de alegaciones con fecha 28 de mayo de 2015, instando que se declare la constitucionalidad de la disposición transitoria segunda de la Ley de Aragón 8/2013, por los motivos que seguidamente se sintetizan.</w:t>
      </w:r>
    </w:p>
    <w:p w:rsidR="00AC56D6" w:rsidRDefault="00AC56D6" w:rsidP="00AC56D6">
      <w:pPr>
        <w:pStyle w:val="TextoNormal"/>
      </w:pPr>
    </w:p>
    <w:p w:rsidR="00AC56D6" w:rsidRDefault="00AC56D6" w:rsidP="00AC56D6">
      <w:pPr>
        <w:pStyle w:val="TextoNormal"/>
      </w:pPr>
      <w:r>
        <w:t>a) La Ley de Aragón 8/2013 no regula ni alude a los auxiliares de policía, ni impide a los ayuntamientos la creación de tales plazas. Tampoco les obliga a constituir cuerpos de policía local, salvo en los municipios de más de 10.000 habitantes, dentro del marco establecido por la normativa básica de régimen local. Por ello difícilmente puede argumentarse que se produzca una invasión de la autonomía municipal, ni puede utilizarse la STC 82/1993, de 8 de marzo, como modelo comparativo.</w:t>
      </w:r>
    </w:p>
    <w:p w:rsidR="00AC56D6" w:rsidRDefault="00AC56D6" w:rsidP="00AC56D6">
      <w:pPr>
        <w:pStyle w:val="TextoNormal"/>
      </w:pPr>
    </w:p>
    <w:p w:rsidR="00AC56D6" w:rsidRDefault="00AC56D6" w:rsidP="00AC56D6">
      <w:pPr>
        <w:pStyle w:val="TextoNormal"/>
      </w:pPr>
      <w:r>
        <w:t>En aplicación del art. 51.2 LOFCS y de la disposición transitoria cuarta del texto refundido de las disposiciones legales vigentes en materia de régimen local aprobado por Real Decreto Legislativo 781/1986, de 18 de abril, la figura de los auxiliares de policía solo queda excluida en los municipios en los que exista cuerpo de policía local, sea con carácter forzoso (municipios de más de 10.000 habitantes, art. 15.1) o potestativo (por decisión de la propia entidad local, art. 15.2). En este segundo grupo de municipios, sigue residiendo en los municipios la facultad de optar entre auxiliares de policía o cuerpo de policía local, por lo que no se produce la invasión de la autonomía municipal que plantea el órgano judicial.</w:t>
      </w:r>
    </w:p>
    <w:p w:rsidR="00AC56D6" w:rsidRDefault="00AC56D6" w:rsidP="00AC56D6">
      <w:pPr>
        <w:pStyle w:val="TextoNormal"/>
      </w:pPr>
    </w:p>
    <w:p w:rsidR="00AC56D6" w:rsidRDefault="00AC56D6" w:rsidP="00AC56D6">
      <w:pPr>
        <w:pStyle w:val="TextoNormal"/>
      </w:pPr>
      <w:r>
        <w:t>La disposición transitoria segunda de la Ley de Aragón 8/2013 atiende al referido carácter alternativo o excluyente con que el art. 51.2 LOFCS ha articulado la relación entre ambas categorías y, como han hecho precedentes leyes de otras Comunidades Autónomas, arbitra para estos supuestos un sistema de coexistencia que responde a una situación de transitoriedad, que obviamente debe concluir con la desaparición de los auxiliares, allí donde existan y se creen cuerpos de policía local.</w:t>
      </w:r>
    </w:p>
    <w:p w:rsidR="00AC56D6" w:rsidRDefault="00AC56D6" w:rsidP="00AC56D6">
      <w:pPr>
        <w:pStyle w:val="TextoNormal"/>
      </w:pPr>
    </w:p>
    <w:p w:rsidR="00AC56D6" w:rsidRDefault="00AC56D6" w:rsidP="00AC56D6">
      <w:pPr>
        <w:pStyle w:val="TextoNormal"/>
      </w:pPr>
      <w:r>
        <w:t xml:space="preserve">b) La prohibición de portar armas que afecta a los auxiliares de policía que quedan en situación de “a extinguir” responde a que no son agentes de policía local, ni forman parte </w:t>
      </w:r>
      <w:r>
        <w:lastRenderedPageBreak/>
        <w:t>de las fuerzas y cuerpos de seguridad. Esta condición se predica únicamente de los cuerpos de policía local [art. 2 c) LOFCS], que tienen la condición de “institutos armados de naturaleza civil” (art. 52.1 LOFCS).</w:t>
      </w:r>
    </w:p>
    <w:p w:rsidR="00AC56D6" w:rsidRDefault="00AC56D6" w:rsidP="00AC56D6">
      <w:pPr>
        <w:pStyle w:val="TextoNormal"/>
      </w:pPr>
    </w:p>
    <w:p w:rsidR="00AC56D6" w:rsidRDefault="00AC56D6" w:rsidP="00AC56D6">
      <w:pPr>
        <w:pStyle w:val="TextoNormal"/>
      </w:pPr>
      <w:r>
        <w:t>La diferente naturaleza de auxiliares y policías viene determinada por las funciones que tienen asignadas. La autorización para portar armar debe ponerse en relación con el tipo de función, y las que van a realizar los auxiliares “a extinguir”, concretadas en “vigilancia y custodia de instalaciones, servicios y bienes locales”, difícilmente son equiparables a las asignadas a los policías locales por el art. 14 de la Ley aragonesa.</w:t>
      </w:r>
    </w:p>
    <w:p w:rsidR="00AC56D6" w:rsidRDefault="00AC56D6" w:rsidP="00AC56D6">
      <w:pPr>
        <w:pStyle w:val="TextoNormal"/>
      </w:pPr>
    </w:p>
    <w:p w:rsidR="00AC56D6" w:rsidRDefault="00AC56D6" w:rsidP="00AC56D6">
      <w:pPr>
        <w:pStyle w:val="TextoNormal"/>
      </w:pPr>
      <w:r>
        <w:t>La Ley Orgánica de las fuerzas y cuerpos de seguridad guarda silencio al respecto, pero indirectamente restringe el uso de armas a los cuerpos de policía local al caracterizarlos en su artículo 52.1 como institutos armados, y así fue tenido en cuenta por la STC 81/1993, FJ 6, que también precisa el alcance de la competencia municipal en esta materia.</w:t>
      </w:r>
    </w:p>
    <w:p w:rsidR="00AC56D6" w:rsidRDefault="00AC56D6" w:rsidP="00AC56D6">
      <w:pPr>
        <w:pStyle w:val="TextoNormal"/>
      </w:pPr>
    </w:p>
    <w:p w:rsidR="00AC56D6" w:rsidRDefault="00AC56D6" w:rsidP="00AC56D6">
      <w:pPr>
        <w:pStyle w:val="TextoNormal"/>
      </w:pPr>
      <w:r>
        <w:t>c) Tampoco se infringen los arts. 137 y 140 CE ni el art. 51.2 LOFCS por privar a los auxiliares “a extinguir” de la condición de agentes de la autoridad. En sentido estricto, son éstos los que se hallan encargados del mantenimiento del orden público y de la seguridad de las personas y las cosas, lo que equivale a decir que son los funcionarios de policía, y así lo ha entendido la jurisprudencia en cuanto a los policías locales (SSTS de 17 de junio de 1963, 7 de marzo de 1970 y 3 de octubre de 1996, entre otras).</w:t>
      </w:r>
    </w:p>
    <w:p w:rsidR="00AC56D6" w:rsidRDefault="00AC56D6" w:rsidP="00AC56D6">
      <w:pPr>
        <w:pStyle w:val="TextoNormal"/>
      </w:pPr>
    </w:p>
    <w:p w:rsidR="00AC56D6" w:rsidRDefault="00AC56D6" w:rsidP="00AC56D6">
      <w:pPr>
        <w:pStyle w:val="TextoNormal"/>
      </w:pPr>
      <w:r>
        <w:t>Las leyes de otras Comunidades Autónomas presentan soluciones diversas, pero lo más ajustado al orden de competencias es entender que, una vez que el art. 7 LOFCS ha atribuido el carácter de agentes de la autoridad únicamente a las fuerzas y cuerpos de seguridad, no procede extenderlo a los funcionarios que no tienen esa naturaleza, como es el caso de los auxiliares de policía.</w:t>
      </w:r>
    </w:p>
    <w:p w:rsidR="00AC56D6" w:rsidRDefault="00AC56D6" w:rsidP="00AC56D6">
      <w:pPr>
        <w:pStyle w:val="TextoNormal"/>
      </w:pPr>
    </w:p>
    <w:p w:rsidR="00AC56D6" w:rsidRDefault="00AC56D6" w:rsidP="00AC56D6">
      <w:pPr>
        <w:pStyle w:val="TextoNormal"/>
      </w:pPr>
      <w:r>
        <w:t>d) La exigencia de titulación para el acceso a la categoría de policía desde el puesto de auxiliar de policía no vulnera la legislación básica sobre régimen estatutario de los funcionarios públicos. De la doctrina constitucional aplicable (SSTC 175/2011, de 8 de noviembre, 2/2012, de 13 de enero, 4/2012, de 13 de enero, y 33/2013, de 11 de febrero) cabe concluir que el Tribunal considera que la titulación se erige en requisito esencial para la promoción interna, amparándose bien en los arts. 22.1 y 25 de la Ley 30/1984, bien en los arts. 18.2, 56.1 e) y 76 de la Ley 7/2007, de 12 de abril, del estatuto básico del empleado público (LEEP), bien en el art. 92 de la Ley 7/1985, de 2 de abril, reguladora de las bases del régimen local (LBRL). En ningún momento ha aplicado el Tribunal la disposición adicional vigesimosegunda de la Ley 30/1984, posibilitando la sustitución de la titulación por la antigüedad.</w:t>
      </w:r>
    </w:p>
    <w:p w:rsidR="00AC56D6" w:rsidRDefault="00AC56D6" w:rsidP="00AC56D6">
      <w:pPr>
        <w:pStyle w:val="TextoNormal"/>
      </w:pPr>
    </w:p>
    <w:p w:rsidR="00AC56D6" w:rsidRDefault="00AC56D6" w:rsidP="00AC56D6">
      <w:pPr>
        <w:pStyle w:val="TextoNormal"/>
      </w:pPr>
      <w:r w:rsidRPr="00AC56D6">
        <w:rPr>
          <w:rStyle w:val="NumeroAFNegritaCaracter"/>
        </w:rPr>
        <w:t>9</w:t>
      </w:r>
      <w:r>
        <w:t>. La Fiscal General del Estado presentó sus alegaciones en el Registro General del Tribunal Constitucional el 2 de junio de 2015. Considera que procede estimar la cuestión de inconstitucionalidad, en los términos que seguidamente se sintetizan.</w:t>
      </w:r>
    </w:p>
    <w:p w:rsidR="00AC56D6" w:rsidRDefault="00AC56D6" w:rsidP="00AC56D6">
      <w:pPr>
        <w:pStyle w:val="TextoNormal"/>
      </w:pPr>
    </w:p>
    <w:p w:rsidR="00AC56D6" w:rsidRDefault="00AC56D6" w:rsidP="00AC56D6">
      <w:pPr>
        <w:pStyle w:val="TextoNormal"/>
      </w:pPr>
      <w:r>
        <w:t xml:space="preserve">a) Aunque ciertamente no parece que pueda efectuarse una equiparación entre la policía local y los agentes auxiliares de la misma, ahora en cuestión, no cabe duda de que éstos deben realizar, por disposición legal (art. 51.2 LOFCS), las funciones de aquéllos en las poblaciones donde no exista policía local, constituyendo un cuerpo que forma parte de la </w:t>
      </w:r>
      <w:r>
        <w:lastRenderedPageBreak/>
        <w:t>subescala de servicios especiales de la corporación municipal (art. 172 del Real Decreto Legislativo 781/1986). Por ello, cuando la norma cuestionada impone la supresión o extinción de un cuerpo (auxiliares de policía local) cuya plantilla y determinación corresponde al Ayuntamiento [arts. 22.1 i) y 90.1 LBRL y 126.1 del Real Decreto Legislativo 781/1986], incide en y condiciona las facultades de los municipios, siendo la función coordinadora posterior a la dotación (o supresión) presupuestaria de las plazas.</w:t>
      </w:r>
    </w:p>
    <w:p w:rsidR="00AC56D6" w:rsidRDefault="00AC56D6" w:rsidP="00AC56D6">
      <w:pPr>
        <w:pStyle w:val="TextoNormal"/>
      </w:pPr>
    </w:p>
    <w:p w:rsidR="00AC56D6" w:rsidRDefault="00AC56D6" w:rsidP="00AC56D6">
      <w:pPr>
        <w:pStyle w:val="TextoNormal"/>
      </w:pPr>
      <w:r>
        <w:t>En cuanto al uso de armas, el actual art. 21 h) LBRL ya no contempla como facultad del alcalde el nombramiento y sanción de los funcionarios que usen armas, pero sí le atribuye la jefatura del personal en general y de la policía local en particular [art. 21 h) e i) LBRL y disposición transitoria cuarta.2 del Real Decreto Legislativo 781/1986]. De manera que, en cuanto la policía local se configura como un instituto armado (arts. 2 y 52 LOFCS), y los auxiliares de la misma tienen que realizar sus funciones donde aquélla no exista, el apartado 3, inciso segundo de la disposición cuestionada limitaría las facultades de los alcaldes.</w:t>
      </w:r>
    </w:p>
    <w:p w:rsidR="00AC56D6" w:rsidRDefault="00AC56D6" w:rsidP="00AC56D6">
      <w:pPr>
        <w:pStyle w:val="TextoNormal"/>
      </w:pPr>
    </w:p>
    <w:p w:rsidR="00AC56D6" w:rsidRDefault="00AC56D6" w:rsidP="00AC56D6">
      <w:pPr>
        <w:pStyle w:val="TextoNormal"/>
      </w:pPr>
      <w:r>
        <w:t>En cuanto a la privación de la condición de agentes de la autoridad, desde la misma perspectiva del ejercicio de funciones en sustitución de la policía local, la disposición cuestionada impondría también una limitación a las facultades propias de dicho ejercicio, en la medida en que deban ser desarrolladas por los auxiliares de policía local, pues la condición de agentes de la autoridad parece inherente al ejercicio de las funciones de la policía local.</w:t>
      </w:r>
    </w:p>
    <w:p w:rsidR="00AC56D6" w:rsidRDefault="00AC56D6" w:rsidP="00AC56D6">
      <w:pPr>
        <w:pStyle w:val="TextoNormal"/>
      </w:pPr>
    </w:p>
    <w:p w:rsidR="00AC56D6" w:rsidRDefault="00AC56D6" w:rsidP="00AC56D6">
      <w:pPr>
        <w:pStyle w:val="TextoNormal"/>
      </w:pPr>
      <w:r>
        <w:t>En estos términos, las limitaciones impuestas por el apartado 3 de la disposición transitoria segunda de la Ley de Aragón 8/2013 en relación con los auxiliares, que constituyen una derivación de la policía local, a la que sustituyen, invadiría competencias del ayuntamiento con vulneración del principio de autonomía local garantizado por los arts. 137 y 140 CE, en relación con el art. 51 LOFCS, debiendo pues declararse inconstitucional y nulo.</w:t>
      </w:r>
    </w:p>
    <w:p w:rsidR="00AC56D6" w:rsidRDefault="00AC56D6" w:rsidP="00AC56D6">
      <w:pPr>
        <w:pStyle w:val="TextoNormal"/>
      </w:pPr>
    </w:p>
    <w:p w:rsidR="00AC56D6" w:rsidRDefault="00AC56D6" w:rsidP="00AC56D6">
      <w:pPr>
        <w:pStyle w:val="TextoNormal"/>
      </w:pPr>
      <w:r>
        <w:t>b) Subsidiariamente, los apartados 2 y 3 resultarían inconstitucionales por vulneración del art. 149.1.18 CE, al infringirse la normativa básica contenida en la disposición adicional vigesimosegunda de la Ley 30/1984.</w:t>
      </w:r>
    </w:p>
    <w:p w:rsidR="00AC56D6" w:rsidRDefault="00AC56D6" w:rsidP="00AC56D6">
      <w:pPr>
        <w:pStyle w:val="TextoNormal"/>
      </w:pPr>
    </w:p>
    <w:p w:rsidR="00AC56D6" w:rsidRDefault="00AC56D6" w:rsidP="00AC56D6">
      <w:pPr>
        <w:pStyle w:val="TextoNormal"/>
      </w:pPr>
      <w:r>
        <w:t>Los apartados cuestionados regulan un aspecto de la promoción interna y, en todo caso, de la integración de uno de los cuerpos integrantes de la subescala de servicios especiales, que comprende tanto a la policía local como a los auxiliares [art. 172.2 a) y disposición transitoria cuarta del Real Decreto Legislativo 781/1986].</w:t>
      </w:r>
    </w:p>
    <w:p w:rsidR="00AC56D6" w:rsidRDefault="00AC56D6" w:rsidP="00AC56D6">
      <w:pPr>
        <w:pStyle w:val="TextoNormal"/>
      </w:pPr>
    </w:p>
    <w:p w:rsidR="00AC56D6" w:rsidRDefault="00AC56D6" w:rsidP="00AC56D6">
      <w:pPr>
        <w:pStyle w:val="TextoNormal"/>
      </w:pPr>
      <w:r>
        <w:t>Aunque resulta un aspecto accesorio, conviene recordar la equivalencia de categorías que establece la disposición transitoria tercera LEEP, instaurando provisionalmente, hasta tanto no se generalice la implantación de los nuevos títulos universitarios y la consecuente nueva clasificación profesional establecida en el art. 76 LEEP, una equiparación de antiguas y nuevas categorías, entre ellas las del antiguo grupo D (graduado escolar) con el grupo C del artículo 76, al que identifica con la consideración de subgrupo C2.</w:t>
      </w:r>
    </w:p>
    <w:p w:rsidR="00AC56D6" w:rsidRDefault="00AC56D6" w:rsidP="00AC56D6">
      <w:pPr>
        <w:pStyle w:val="TextoNormal"/>
      </w:pPr>
    </w:p>
    <w:p w:rsidR="00AC56D6" w:rsidRDefault="00AC56D6" w:rsidP="00AC56D6">
      <w:pPr>
        <w:pStyle w:val="TextoNormal"/>
      </w:pPr>
      <w:r>
        <w:t xml:space="preserve">El art. 18.3 LEEP regula ahora la promoción interna de los funcionarios, estableciendo que serán las leyes dictadas en su desarrollo las que determinarán los cuerpos y escalas a los que podrán acceder los funcionarios de carrera pertenecientes al mismo subgrupo. Su </w:t>
      </w:r>
      <w:r>
        <w:lastRenderedPageBreak/>
        <w:t>artículo 3.2 comporta la aplicación directa a los cuerpos de policía local, y así lo ha confirmado el art. 92 LBRL, en la redacción dada por la Ley 27/2013, de 27 de diciembre, de racionalización y sostenibilidad de la Administración local.</w:t>
      </w:r>
    </w:p>
    <w:p w:rsidR="00AC56D6" w:rsidRDefault="00AC56D6" w:rsidP="00AC56D6">
      <w:pPr>
        <w:pStyle w:val="TextoNormal"/>
      </w:pPr>
    </w:p>
    <w:p w:rsidR="00AC56D6" w:rsidRDefault="00AC56D6" w:rsidP="00AC56D6">
      <w:pPr>
        <w:pStyle w:val="TextoNormal"/>
      </w:pPr>
      <w:r>
        <w:t>La disposición adicional vigesimosegunda de la Ley 30/1984 no ha sido derogada por la Ley del estatuto básico del empleado público, y tiene la condición de norma básica tanto formal como materialmente, en razón de lo que regula, al ser la promoción uno de los aspectos sustanciales del estatuto de los funcionarios públicos, según la doctrina constitucional (SSTC 175/2011 y 33/2013, y las allí citadas). Esta disposición contempla, aún con carácter transitorio, una alternativa a los supuestos de promoción con carencia de titulación, que sustituye por un periodo mínimo de antigüedad en el cuerpo de origen: diez años, o cinco unidos a la superación de un curso específico. El mecanismo de promoción/integración regulado por el Estado es el que omite la disposición cuestionada, que no prevé, en caso de falta de titulación, otra solución que el pase a la situación de “a extinguir”.</w:t>
      </w:r>
    </w:p>
    <w:p w:rsidR="00AC56D6" w:rsidRDefault="00AC56D6" w:rsidP="00AC56D6">
      <w:pPr>
        <w:pStyle w:val="TextoNormal"/>
      </w:pPr>
    </w:p>
    <w:p w:rsidR="00AC56D6" w:rsidRDefault="00AC56D6" w:rsidP="00AC56D6">
      <w:pPr>
        <w:pStyle w:val="TextoNormal"/>
      </w:pPr>
      <w:r>
        <w:t>Por tanto, la disposición cuestionada no se ajusta al marco de la legislación básica del Estado, de la que forma parte la aludida disposición adicional vigesimosegunda de la Ley 30/1984, vulnerando así el orden constitucional de competencias que deriva del art. 149.1.18 CE.</w:t>
      </w:r>
    </w:p>
    <w:p w:rsidR="00AC56D6" w:rsidRDefault="00AC56D6" w:rsidP="00AC56D6">
      <w:pPr>
        <w:pStyle w:val="TextoNormal"/>
      </w:pPr>
    </w:p>
    <w:p w:rsidR="00AC56D6" w:rsidRDefault="00AC56D6" w:rsidP="00AC56D6">
      <w:pPr>
        <w:pStyle w:val="TextoNormal"/>
      </w:pPr>
      <w:r w:rsidRPr="00AC56D6">
        <w:rPr>
          <w:rStyle w:val="NumeroAFNegritaCaracter"/>
        </w:rPr>
        <w:t>10</w:t>
      </w:r>
      <w:r>
        <w:t>. Por providencia de 22 de septiembre de 2015, se señaló para deliberación y votación de la presente Sentencia el día 24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Juzgado de lo Contencioso-administrativo núm. 4 de Zaragoza plantea cuestión de inconstitucionalidad sobre la disposición transitoria segunda, apartados 2 y 3, en relación con los arts. 22, 25 y 26, de la Ley 8/2013, de 12 de septiembre, de coordinación de las policías locales de Aragón, por posible vulneración de los arts. 137, 140 y 149.1.18 CE y 51.2 de la Ley Orgánica 2/1986, de 13 de marzo, de fuerzas y cuerpos de seguridad (LOFCS).</w:t>
      </w:r>
    </w:p>
    <w:p w:rsidR="00AC56D6" w:rsidRDefault="00AC56D6" w:rsidP="00AC56D6">
      <w:pPr>
        <w:pStyle w:val="TextoNormal"/>
      </w:pPr>
    </w:p>
    <w:p w:rsidR="00AC56D6" w:rsidRDefault="00AC56D6" w:rsidP="00AC56D6">
      <w:pPr>
        <w:pStyle w:val="TextoNormal"/>
      </w:pPr>
      <w:r>
        <w:t>Conforme ha quedado expuesto en los antecedentes de la presente resolución, la Fiscal General del Estado solicita la estimación de la cuestión de inconstitucionalidad, por vulneración de los arts. 137 y 140 CE, en relación con el art. 51 LOFCS y, subsidiariamente, por vulneración del art. 149.1.18 CE, en relación con la disposición adicional vigesimosegunda de la Ley 30/1984. Por su parte, los representantes procesales del Gobierno de Aragón y las Cortes de Aragón solicitan su desestimación, por entender que la disposición no incurre en ninguna de las vulneraciones constitucionales aducidas en el Auto del planteamiento.</w:t>
      </w:r>
    </w:p>
    <w:p w:rsidR="00AC56D6" w:rsidRDefault="00AC56D6" w:rsidP="00AC56D6">
      <w:pPr>
        <w:pStyle w:val="TextoNormal"/>
      </w:pPr>
    </w:p>
    <w:p w:rsidR="00AC56D6" w:rsidRDefault="00AC56D6" w:rsidP="00AC56D6">
      <w:pPr>
        <w:pStyle w:val="TextoNormal"/>
      </w:pPr>
      <w:r w:rsidRPr="00AC56D6">
        <w:rPr>
          <w:rStyle w:val="NumeroAFNegritaCaracter"/>
        </w:rPr>
        <w:t>2</w:t>
      </w:r>
      <w:r>
        <w:t>. La debida comprensión de la cuestión que se somete a nuestro enjuiciamiento requiere comenzar por una sumaria exposición del marco general que rige la creación de los cuerpos de policía local en la Comunidad Autónoma de Aragón.</w:t>
      </w:r>
    </w:p>
    <w:p w:rsidR="00AC56D6" w:rsidRDefault="00AC56D6" w:rsidP="00AC56D6">
      <w:pPr>
        <w:pStyle w:val="TextoNormal"/>
      </w:pPr>
    </w:p>
    <w:p w:rsidR="00AC56D6" w:rsidRDefault="00AC56D6" w:rsidP="00AC56D6">
      <w:pPr>
        <w:pStyle w:val="TextoNormal"/>
      </w:pPr>
      <w:r>
        <w:t xml:space="preserve">Según lo dispuesto por el art. 51.1 LOFCS, los municipios podrán crear cuerpos de policía propios, de acuerdo con lo previsto en la propia Ley, en la Ley reguladora de las bases de régimen local y en la legislación autonómica. El apartado 2 de este precepto, que se aplica </w:t>
      </w:r>
      <w:r>
        <w:lastRenderedPageBreak/>
        <w:t>únicamente a los municipios donde no exista policía municipal, dispone que en ese caso sus cometidos serán ejercidos por el personal que desempeñe funciones de custodia y vigilancia de bienes, servicios e instalaciones, con la denominación de guardas, vigilantes, agentes, alguaciles o análogos.</w:t>
      </w:r>
    </w:p>
    <w:p w:rsidR="00AC56D6" w:rsidRDefault="00AC56D6" w:rsidP="00AC56D6">
      <w:pPr>
        <w:pStyle w:val="TextoNormal"/>
      </w:pPr>
    </w:p>
    <w:p w:rsidR="00AC56D6" w:rsidRDefault="00AC56D6" w:rsidP="00AC56D6">
      <w:pPr>
        <w:pStyle w:val="TextoNormal"/>
      </w:pPr>
      <w:r>
        <w:t>La Ley 8/2013, de 12 de septiembre, de coordinación de policías locales de Aragón, se dicta en ejercicio de la competencia atribuida a esta Comunidad Autónoma por el art. 76.3 del Estatuto de Autonomía de Aragón. Según el art. 15 de la Ley autonómica, que no ha sido puesto en entredicho en este proceso, la existencia de un cuerpo de policía local es obligatoria en los municipios de más de 10.000 habitantes (apartado 1), y potestativa para el resto de los municipios (apartado 2). De modo que, por debajo de ese umbral de población, son los municipios los que deciden si optan por la creación de un cuerpo de policía local o por la asignación de sus cometidos al personal que desempeñe funciones de custodia y vigilancia de bienes, servicios e instalaciones, personal que según la Ley Orgánica de fuerzas y cuerpos de seguridad puede recibir distintas denominaciones, y que la Ley de Aragón 8/2013 identifica como auxiliares de policía.</w:t>
      </w:r>
    </w:p>
    <w:p w:rsidR="00AC56D6" w:rsidRDefault="00AC56D6" w:rsidP="00AC56D6">
      <w:pPr>
        <w:pStyle w:val="TextoNormal"/>
      </w:pPr>
    </w:p>
    <w:p w:rsidR="00AC56D6" w:rsidRDefault="00AC56D6" w:rsidP="00AC56D6">
      <w:pPr>
        <w:pStyle w:val="TextoNormal"/>
      </w:pPr>
      <w:r>
        <w:t>La cuestionada disposición transitoria segunda de la Ley aragonesa, bajo la rúbrica “integración y equiparación de los auxiliares de policía”, establece los requisitos que deben reunir estos auxiliares para pasar a la “categoría de policía”, esto es, a una de las dos categorías que forman parte de la “Escala Ejecutiva” de la plantilla de la policía local, de conformidad con la estructura establecida por el art. 22.1 de la propia Ley. Por tanto, sólo puede resultar de aplicación a los municipios que, de acuerdo con lo previsto en el artículo 15, tengan cuerpo de policía local, pues de otro modo no cabría la integración que se regula en la disposición cuestionada.</w:t>
      </w:r>
    </w:p>
    <w:p w:rsidR="00AC56D6" w:rsidRDefault="00AC56D6" w:rsidP="00AC56D6">
      <w:pPr>
        <w:pStyle w:val="TextoNormal"/>
      </w:pPr>
    </w:p>
    <w:p w:rsidR="00AC56D6" w:rsidRDefault="00AC56D6" w:rsidP="00AC56D6">
      <w:pPr>
        <w:pStyle w:val="TextoNormal"/>
      </w:pPr>
      <w:r>
        <w:t>Del contenido de esta disposición transitoria son objeto de este proceso su apartado 2, en la medida en que establece como requisito indispensable para la integración “contar con la titulación correspondiente”, y el apartado 3, que se ocupa de regular la situación de los auxiliares de policía excluidos de la integración por no disponer de la titulación requerida.</w:t>
      </w:r>
    </w:p>
    <w:p w:rsidR="00AC56D6" w:rsidRDefault="00AC56D6" w:rsidP="00AC56D6">
      <w:pPr>
        <w:pStyle w:val="TextoNormal"/>
      </w:pPr>
    </w:p>
    <w:p w:rsidR="00AC56D6" w:rsidRDefault="00AC56D6" w:rsidP="00AC56D6">
      <w:pPr>
        <w:pStyle w:val="TextoNormal"/>
      </w:pPr>
      <w:r w:rsidRPr="00AC56D6">
        <w:rPr>
          <w:rStyle w:val="NumeroAFNegritaCaracter"/>
        </w:rPr>
        <w:t>3</w:t>
      </w:r>
      <w:r>
        <w:t>. En primer lugar, el Auto de planteamiento centra la duda de constitucionalidad en el apartado 3 de la disposición transitoria segunda, concretamente en dos aspectos que afectan a los auxiliares no integrados en la categoría de policía por no disponer de la titulación exigida: (i) el encuadramiento en su grupo de origen en situación de “a extinguir”; y (ii) la prohibición de portar armas y la privación de la condición de agentes de la autoridad. Entiende el órgano judicial que con la primera previsión la Ley autonómica vulnera los arts. 137 y 140 CE, al impedir a los ayuntamientos tener auxiliares de policía local, obligándoles indirectamente a constituir cuerpos de policía local o a verse privados de dichos auxiliares. La segunda previsión también prescindiría de la autonomía local, dificultando además el ejercicio de las facultades que otorga a los auxiliares el art. 51.2 LOFCS de forma subsidiaria, en caso de inexistencia de policía local.</w:t>
      </w:r>
    </w:p>
    <w:p w:rsidR="00AC56D6" w:rsidRDefault="00AC56D6" w:rsidP="00AC56D6">
      <w:pPr>
        <w:pStyle w:val="TextoNormal"/>
      </w:pPr>
    </w:p>
    <w:p w:rsidR="00AC56D6" w:rsidRDefault="00AC56D6" w:rsidP="00AC56D6">
      <w:pPr>
        <w:pStyle w:val="TextoNormal"/>
      </w:pPr>
      <w:r>
        <w:t>Ahora bien, ya ha quedado expuesto que la disposición transitoria segunda resulta únicamente aplicable a los municipios que efectivamente dispongan de cuerpo de policía local, toda vez que la existencia de éste constituye la premisa inexcusable para que pueda entrar en juego el régimen de integración funcionarial que en la misma se regula.</w:t>
      </w:r>
    </w:p>
    <w:p w:rsidR="00AC56D6" w:rsidRDefault="00AC56D6" w:rsidP="00AC56D6">
      <w:pPr>
        <w:pStyle w:val="TextoNormal"/>
      </w:pPr>
    </w:p>
    <w:p w:rsidR="00AC56D6" w:rsidRDefault="00AC56D6" w:rsidP="00AC56D6">
      <w:pPr>
        <w:pStyle w:val="TextoNormal"/>
      </w:pPr>
      <w:r>
        <w:lastRenderedPageBreak/>
        <w:t>La STC 82/1993, de 8 de marzo, FJ 4, que invoca el Auto de planteamiento, analiza la situación opuesta. Allí se determinó, a partir de lo dispuesto en el art. 51.2 LOFCS para los “municipios donde no exista Policía Municipal —o sea, aquellos que no hayan creado Cuerpos de Policía propios—”, que la creación de puestos de trabajo de auxiliares de policía no puede quedar sometida a un acto autorizativo previo por parte de la Comunidad Autónoma, por resultar indudable que “la aprobación de la plantilla de este personal es de competencia municipal” (FJ 4).</w:t>
      </w:r>
    </w:p>
    <w:p w:rsidR="00AC56D6" w:rsidRDefault="00AC56D6" w:rsidP="00AC56D6">
      <w:pPr>
        <w:pStyle w:val="TextoNormal"/>
      </w:pPr>
    </w:p>
    <w:p w:rsidR="00AC56D6" w:rsidRDefault="00AC56D6" w:rsidP="00AC56D6">
      <w:pPr>
        <w:pStyle w:val="TextoNormal"/>
      </w:pPr>
      <w:r>
        <w:t>El precepto ahora cuestionado no introduce autorización autonómica alguna en la aprobación de las plantillas locales, ni cualquier otra modalidad de intervención ejecutiva autonómica en el ámbito de las decisiones municipales. Tampoco reduce o interfiere en el margen de decisión del que, en la Comunidad Autónoma de Aragón, disponen los municipios de población igual o inferior a 10.000 habitantes para optar por uno u otro modelo de organización. Se limita a extraer, en el ámbito de lo normativo, determinadas consecuencias de lo establecido en el no controvertido artículo 15, bien sea por la decisión legislativa de imponer la existencia de cuerpos de policía local a los municipios de más de 10.000 habitantes, bien sea por la decisión municipal de crearlos por debajo de dicho umbral de población. Y tales consecuencias son plenamente congruentes con el art. 51 LOFCS que, como advierte la representante procesal de las Cortes de Aragón, no contempla la coexistencia en un mismo municipio de cuerpo de policía local y auxiliares de policía, ejerciendo idénticas funciones, portando armas y revestidos de la condición de agentes de la autoridad. Antes al contrario, como evidencia el inciso inicial del art. 51.2 LOFCS, la existencia de auxiliares de policía únicamente está prevista en “los municipios donde no exista policía municipal”.</w:t>
      </w:r>
    </w:p>
    <w:p w:rsidR="00AC56D6" w:rsidRDefault="00AC56D6" w:rsidP="00AC56D6">
      <w:pPr>
        <w:pStyle w:val="TextoNormal"/>
      </w:pPr>
    </w:p>
    <w:p w:rsidR="00AC56D6" w:rsidRDefault="00AC56D6" w:rsidP="00AC56D6">
      <w:pPr>
        <w:pStyle w:val="TextoNormal"/>
      </w:pPr>
      <w:r>
        <w:t>El régimen de integración de los auxiliares de policía preexistentes facilita el tránsito entre uno y otro modelo, que a la postre debe culminar en la plena asunción por el cuerpo de policía local de las funciones y atributos que le son propios, en tanto que “agentes de la autoridad que desempeñan especiales funciones y ostentan específicas atribuciones al participar del ejercicio de la autoridad” (STC 175/2011, de 8 de noviembre, FJ 4).</w:t>
      </w:r>
    </w:p>
    <w:p w:rsidR="00AC56D6" w:rsidRDefault="00AC56D6" w:rsidP="00AC56D6">
      <w:pPr>
        <w:pStyle w:val="TextoNormal"/>
      </w:pPr>
    </w:p>
    <w:p w:rsidR="00AC56D6" w:rsidRDefault="00AC56D6" w:rsidP="00AC56D6">
      <w:pPr>
        <w:pStyle w:val="TextoNormal"/>
      </w:pPr>
      <w:r>
        <w:t xml:space="preserve">Por tanto, desde la perspectiva de la autonomía local constitucionalmente garantizada, no merece reproche alguno que el </w:t>
      </w:r>
      <w:r w:rsidRPr="00AC56D6">
        <w:rPr>
          <w:i/>
        </w:rPr>
        <w:t>status</w:t>
      </w:r>
      <w:r>
        <w:t xml:space="preserve"> de los auxiliares de policía que no lleguen a integrarse en el cuerpo de policía local quede acotado en la situación administrativa de “a extinguir”, lo que sin merma del respeto a los derechos del funcionario titular de la plaza, supone que ésta habrá de amortizarse cuando quede vacante, porque las funciones que justificaron su creación han quedado desplazadas al cuerpo de policía local.</w:t>
      </w:r>
    </w:p>
    <w:p w:rsidR="00AC56D6" w:rsidRDefault="00AC56D6" w:rsidP="00AC56D6">
      <w:pPr>
        <w:pStyle w:val="TextoNormal"/>
      </w:pPr>
    </w:p>
    <w:p w:rsidR="00AC56D6" w:rsidRDefault="00AC56D6" w:rsidP="00AC56D6">
      <w:pPr>
        <w:pStyle w:val="TextoNormal"/>
      </w:pPr>
      <w:r>
        <w:t>Por el mismo motivo, la variación de las funciones de los auxiliares de policía no integrados, constreñidas a la vigilancia y custodia de instalaciones, servicios y bienes locales, explica que sus condiciones de ejercicio no coincidan con las propias del cuerpo policial. La existencia de un cuerpo de policía local implica que, como instituto armado de naturaleza civil (arts. 52.1 LOFCS y 10.1 de la Ley de Aragón), asume en exclusiva las funciones policiales (arts. 53.1 LOFCS y 14 de la Ley de Aragón 8/2013), funciones a las que lógicamente se anuda la condición de agentes de la autoridad de sus miembros (art. 10.2 de la Ley de Aragón 8/2013).</w:t>
      </w:r>
    </w:p>
    <w:p w:rsidR="00AC56D6" w:rsidRDefault="00AC56D6" w:rsidP="00AC56D6">
      <w:pPr>
        <w:pStyle w:val="TextoNormal"/>
      </w:pPr>
    </w:p>
    <w:p w:rsidR="00AC56D6" w:rsidRDefault="00AC56D6" w:rsidP="00AC56D6">
      <w:pPr>
        <w:pStyle w:val="TextoNormal"/>
      </w:pPr>
      <w:r>
        <w:lastRenderedPageBreak/>
        <w:t>En cuanto a la prohibición de usar armas, la STC 82/1993, de 8 de marzo, FJ 6, invocada en el Auto de planteamiento, se basó precisamente en esa definición legal de instituto armado de los cuerpos de policía local, que “se encuentran autorizados para realizar con armas el servicio policial”, con cita del Real Decreto 740/1983, de 30 de marzo, sobre concesión de licencias de armas que hayan de utilizar los miembros de los cuerpos de policía de los ayuntamientos y Comunidades Autónomas, norma que no recoge previsión alguna sobre el uso de armas por parte de otros funcionarios públicos. A este efecto ha de tenerse presente que la Comunidad Autónoma de Aragón no sería la competente para regular el uso de armamento al margen de los supuestos previstos en la normativa estatal, al corresponder en exclusiva al Estado “la decisión última sobre la tenencia y el uso de armas (art. 149.1.26 CE)” (STC 32/1993, de 1 de febrero, FJ 3).</w:t>
      </w:r>
    </w:p>
    <w:p w:rsidR="00AC56D6" w:rsidRDefault="00AC56D6" w:rsidP="00AC56D6">
      <w:pPr>
        <w:pStyle w:val="TextoNormal"/>
      </w:pPr>
    </w:p>
    <w:p w:rsidR="00AC56D6" w:rsidRDefault="00AC56D6" w:rsidP="00AC56D6">
      <w:pPr>
        <w:pStyle w:val="TextoNormal"/>
      </w:pPr>
      <w:r>
        <w:t>Por todo ello procede la desestimación de este motivo de inconstitucionalidad.</w:t>
      </w:r>
    </w:p>
    <w:p w:rsidR="00AC56D6" w:rsidRDefault="00AC56D6" w:rsidP="00AC56D6">
      <w:pPr>
        <w:pStyle w:val="TextoNormal"/>
      </w:pPr>
    </w:p>
    <w:p w:rsidR="00AC56D6" w:rsidRDefault="00AC56D6" w:rsidP="00AC56D6">
      <w:pPr>
        <w:pStyle w:val="TextoNormal"/>
      </w:pPr>
      <w:r w:rsidRPr="00AC56D6">
        <w:rPr>
          <w:rStyle w:val="NumeroAFNegritaCaracter"/>
        </w:rPr>
        <w:t>4</w:t>
      </w:r>
      <w:r>
        <w:t>. En segundo lugar, el Auto de planteamiento cuestiona la constitucionalidad de los apartados 2 y 3 de la disposición transitoria segunda de la Ley de Aragón 8/2013, por exigir para la integración de los auxiliares de policía contar en todo caso con la titulación correspondiente, y dejar en situación de “a extinguir” a aquellos que no cumplan este requisito. El órgano judicial entiende que con ello se vulnera la competencia que el art. 149.1.18 CE atribuye al Estado para dictar las bases del régimen estatutario de los funcionarios públicos, ejercida mediante la disposición adicional vigesimosegunda de la Ley 30/1984, de 2 de agosto, de medidas para la reforma de la función pública, añadida por el art. 61 de la Ley 42/1994, de 30 de diciembre, de medidas fiscales, administrativas y de orden social. La citada disposición estatal regula, con el expreso carácter de base del régimen estatutario de los funcionarios públicos (art. 149.1.18 CE), la promoción interna mediante concurso-oposición desde el grupo D al grupo C sin disponer de la titulación necesaria, siempre que se cuente con una antigüedad de diez años, o de cinco más la superación de un curso de formación.</w:t>
      </w:r>
    </w:p>
    <w:p w:rsidR="00AC56D6" w:rsidRDefault="00AC56D6" w:rsidP="00AC56D6">
      <w:pPr>
        <w:pStyle w:val="TextoNormal"/>
      </w:pPr>
    </w:p>
    <w:p w:rsidR="00AC56D6" w:rsidRDefault="00AC56D6" w:rsidP="00AC56D6">
      <w:pPr>
        <w:pStyle w:val="TextoNormal"/>
      </w:pPr>
      <w:r>
        <w:t>Alega el Gobierno de Aragón que no estamos ante una promoción interna, sino ante un proceso de integración, razón por la cual no resultaría de aplicación la disposición adicional vigesimosegunda de la Ley 30/1984. En el marco del art. 149.1.18 CE, la distinción que traza tiene una importancia relativa porque, como recuerda la STC 33/2013, de 11 de febrero, “este Tribunal ha reconocido en numerosas ocasiones el carácter materialmente básico del requisito de la titulación en el ámbito de la función pública, ya sea en relación con el acceso o la integración de los funcionarios en escalas o grupos (SSTC 388/1993, de 23 de diciembre, FJ 2; y 113/2010, de 24 de noviembre, FJ 5), ya sea … para su promoción interna (SSTC 175/2011, de 8 de noviembre, FJ 5; 2/2012, de 13 de enero, FJ 2; 3/2012, de 13 de enero, FJ 4; y 4/2012, de 13 de enero, FJ 5)” (FJ 4). Por otra parte, la normativa básica estatal no establece los grupos de clasificación de los cuerpos y escalas en atención a la titulación que posean los funcionarios, sino a la exigida para el acceso al cuerpo o escala de pertenencia (art. 76 de la Ley del estatuto básico del empleado público: LEEP). El derecho a la promoción interna, que comprende la posibilidad de ascenso al grupo inmediatamente superior al de pertenencia, es el aquí afectado como se expone seguidamente.</w:t>
      </w:r>
    </w:p>
    <w:p w:rsidR="00AC56D6" w:rsidRDefault="00AC56D6" w:rsidP="00AC56D6">
      <w:pPr>
        <w:pStyle w:val="TextoNormal"/>
      </w:pPr>
    </w:p>
    <w:p w:rsidR="00AC56D6" w:rsidRDefault="00AC56D6" w:rsidP="00AC56D6">
      <w:pPr>
        <w:pStyle w:val="TextoNormal"/>
      </w:pPr>
      <w:r>
        <w:t xml:space="preserve">Atendiendo a la estructura de los cuerpos de policía local diseñada por el art. 22.1 de la Ley de Aragón 8/2013, la titulación exigida por la disposición transitoria segunda. 2 para la integración de los auxiliares en la categoría de policía es la correspondiente al grupo C, </w:t>
      </w:r>
      <w:r>
        <w:lastRenderedPageBreak/>
        <w:t>subgrupo C1, para cuyo ingreso se exige título de bachiller o técnico (art. 76 LEEP), equivalente al antiguo grupo C (disposición transitoria tercera.2 LEEP).</w:t>
      </w:r>
    </w:p>
    <w:p w:rsidR="00AC56D6" w:rsidRDefault="00AC56D6" w:rsidP="00AC56D6">
      <w:pPr>
        <w:pStyle w:val="TextoNormal"/>
      </w:pPr>
    </w:p>
    <w:p w:rsidR="00AC56D6" w:rsidRDefault="00AC56D6" w:rsidP="00AC56D6">
      <w:pPr>
        <w:pStyle w:val="TextoNormal"/>
      </w:pPr>
      <w:r>
        <w:t xml:space="preserve">A efectos de esta resolución, no es relevante determinar si el encuadramiento de los auxiliares de policía existentes en el conjunto de los municipios de la Comunidad Autónoma de Aragón ha respondido a criterios uniformes. Basta con constatar que, a su ingreso como auxiliar de policía en el Ayuntamiento de Ateca, el recurrente en el proceso </w:t>
      </w:r>
      <w:r w:rsidRPr="00AC56D6">
        <w:rPr>
          <w:i/>
        </w:rPr>
        <w:t>a quo</w:t>
      </w:r>
      <w:r>
        <w:t xml:space="preserve"> quedó encuadrado en el grupo D, según consta en las bases de la convocatoria y en su nombramiento, que obran en autos. El grupo D se corresponde en la actualidad con el grupo C, subgrupo C2, de conformidad con la citada disposición transitoria tercera.2 LEEP.</w:t>
      </w:r>
    </w:p>
    <w:p w:rsidR="00AC56D6" w:rsidRDefault="00AC56D6" w:rsidP="00AC56D6">
      <w:pPr>
        <w:pStyle w:val="TextoNormal"/>
      </w:pPr>
    </w:p>
    <w:p w:rsidR="00AC56D6" w:rsidRDefault="00AC56D6" w:rsidP="00AC56D6">
      <w:pPr>
        <w:pStyle w:val="TextoNormal"/>
      </w:pPr>
      <w:r>
        <w:t>Habida cuenta del descrito sistema de equivalencias entre los antiguos y nuevos grupos de clasificación, la dispensa de titulación prevista por la disposición adicional vigesimosegunda de la Ley 30/1984 para el acceso desde el grupo D al grupo C ha de entenderse actualmente referida al acceso desde el subgrupo C2 al subgrupo C1. En lo que aquí interesa, la expresada equivalencia significa que la norma básica estatal determina una dispensa de titulación para el acceso de los auxiliares de policía, encuadrados en la actualidad en el subgrupo C2, a la categoría de policía encuadrada en el subgrupo C1.</w:t>
      </w:r>
    </w:p>
    <w:p w:rsidR="00AC56D6" w:rsidRDefault="00AC56D6" w:rsidP="00AC56D6">
      <w:pPr>
        <w:pStyle w:val="TextoNormal"/>
      </w:pPr>
    </w:p>
    <w:p w:rsidR="00AC56D6" w:rsidRDefault="00AC56D6" w:rsidP="00AC56D6">
      <w:pPr>
        <w:pStyle w:val="TextoNormal"/>
      </w:pPr>
      <w:r>
        <w:t>Fijando por tanto la atención en la alegada vulneración de la disposición adicional vigesimosegunda de la Ley 30/1984, es doctrina consolidada del Tribunal que, para constatar la existencia de una inconstitucionalidad mediata o indirecta como la que aquí se suscita, es necesario que concurran dos condiciones; por un lado, que la norma estatal infringida por la Ley autonómica sea, en el doble sentido material y formal, una norma básica y, por tanto, dictada legítimamente al amparo del correspondiente título competencial que la Constitución haya reservado al Estado; y, por otro, que la contradicción entre ambas normas, estatal y autonómica, sea efectiva e insalvable por vía interpretativa (por todas, STC 210/2014, de 18 de diciembre, FJ 4).</w:t>
      </w:r>
    </w:p>
    <w:p w:rsidR="00AC56D6" w:rsidRDefault="00AC56D6" w:rsidP="00AC56D6">
      <w:pPr>
        <w:pStyle w:val="TextoNormal"/>
      </w:pPr>
    </w:p>
    <w:p w:rsidR="00AC56D6" w:rsidRDefault="00AC56D6" w:rsidP="00AC56D6">
      <w:pPr>
        <w:pStyle w:val="TextoNormal"/>
      </w:pPr>
      <w:r>
        <w:t>Sobre la primera de dichas condiciones, ya se ha señalado que la disposición adicional vigesimosegunda de la Ley 30/1984 es formalmente básica. Desde la perspectiva material, el criterio de este Tribunal está recogido en las SSTC 175/2011, de 8 de noviembre, 2/2012, de 13 de enero, 3/2012, de 13 de enero, 4/2012, de 13 de enero, 33/2013, de 11 de febrero, y 189/2014, de 17 de noviembre, que han examinado las dispensas de titulación establecidas por diversas disposiciones autonómicas para el acceso a diferentes plazas de cuerpos y escalas de la policía local, a la luz de la normativa básica reguladora de la promoción interna (arts. 22.1 y 25 de la citada Ley 30/1984, 92 LBRL y 3.2 y 18.2 LEEP).</w:t>
      </w:r>
    </w:p>
    <w:p w:rsidR="00AC56D6" w:rsidRDefault="00AC56D6" w:rsidP="00AC56D6">
      <w:pPr>
        <w:pStyle w:val="TextoNormal"/>
      </w:pPr>
    </w:p>
    <w:p w:rsidR="00AC56D6" w:rsidRDefault="00AC56D6" w:rsidP="00AC56D6">
      <w:pPr>
        <w:pStyle w:val="TextoNormal"/>
      </w:pPr>
      <w:r>
        <w:t xml:space="preserve">Todas ellas, a partir del análisis del régimen jurídico de los funcionarios de policía local que figura recogido en la STC 175/2011, FFJJ 4 y 5, a los que procede remitirse, han puesto de relieve que, con carácter general, la titulación se erige en requisito esencial de la promoción interna, elemento éste del régimen estatutario de los funcionarios públicos que conduce al título competencial del art. 149.1.18 CE. En consecuencia, la normativa que “establece una dispensa de un requisito de titulación en materia de promoción interna de funcionarios públicos, en este caso de la Administración local, que únicamente corresponde regular al Estado” vulnera el orden constitucional de distribución de competencias, por entrar “en contradicción con las normas básicas de la Ley 30/1984, de 2 de agosto, de medidas para la </w:t>
      </w:r>
      <w:r>
        <w:lastRenderedPageBreak/>
        <w:t xml:space="preserve">reforma de la función pública, incidiendo, por consiguiente, en un ámbito competencial reservado al Estado por el art. 149.1.18 CE” (FJ 8). No ofrece pues duda alguna la competencia del Estado, </w:t>
      </w:r>
      <w:r w:rsidRPr="00AC56D6">
        <w:rPr>
          <w:i/>
        </w:rPr>
        <w:t>ex</w:t>
      </w:r>
      <w:r>
        <w:t xml:space="preserve"> art. 149.1.18 CE, para establecer los requisitos de titulación en materia de promoción interna, competencia que comprende asimismo la determinación de los supuestos de dispensa de titulación, como excepción a la regla general.</w:t>
      </w:r>
    </w:p>
    <w:p w:rsidR="00AC56D6" w:rsidRDefault="00AC56D6" w:rsidP="00AC56D6">
      <w:pPr>
        <w:pStyle w:val="TextoNormal"/>
      </w:pPr>
    </w:p>
    <w:p w:rsidR="00AC56D6" w:rsidRDefault="00AC56D6" w:rsidP="00AC56D6">
      <w:pPr>
        <w:pStyle w:val="TextoNormal"/>
      </w:pPr>
      <w:r>
        <w:t>Hemos de determinar, prosiguiendo con la segunda de las condiciones propias del examen de constitucionalidad mediata, si los apartados 2 y 3 de la disposición transitoria autonómica segunda de la Ley de Aragón 8/2013 entran en contradicción efectiva e insalvable por vía interpretativa con la norma básica específica contenida en la disposición adicional vigesimosegunda de la Ley 30/1984, disposición que no ha sido derogada por la Ley del estatuto básico del empleado público, y que precisamente instituye una dispensa de titulación para el acceso a cuerpos o escalas del grupo C (ahora subgrupo C1) desde cuerpos o escalas del grupo D (ahora subgrupo C2) del área de actividad o funcional correspondiente, a través de la promoción interna.</w:t>
      </w:r>
    </w:p>
    <w:p w:rsidR="00AC56D6" w:rsidRDefault="00AC56D6" w:rsidP="00AC56D6">
      <w:pPr>
        <w:pStyle w:val="TextoNormal"/>
      </w:pPr>
    </w:p>
    <w:p w:rsidR="00AC56D6" w:rsidRDefault="00AC56D6" w:rsidP="00AC56D6">
      <w:pPr>
        <w:pStyle w:val="TextoNormal"/>
      </w:pPr>
      <w:r>
        <w:t>Al exigir en todo caso la titulación correspondiente para la integración de los auxiliares en la categoría de policía, no cabe conciliar lo dispuesto en los apartados 2 y 3 de la disposición transitoria cuestionada con la norma básica, toda vez que la primera es taxativa al disponer que los auxiliares de policía sin titulación quedan en situación de “a extinguir”, sin contemplar la posibilidad de promoción interna, siempre que cumplan las condiciones establecidas por la disposición adicional vigesimosegunda de la Ley 30/1984 (antigüedad y formación y superación de un proceso selectivo consistente en un concurso-oposición). Los funcionarios afectados ven así cercenado su derecho a la progresión en la carrera profesional y a la promoción interna según principios constitucionales de igualdad, mérito y capacidad, reconocido por el art. 14 c) LEEP.</w:t>
      </w:r>
    </w:p>
    <w:p w:rsidR="00AC56D6" w:rsidRDefault="00AC56D6" w:rsidP="00AC56D6">
      <w:pPr>
        <w:pStyle w:val="TextoNormal"/>
      </w:pPr>
    </w:p>
    <w:p w:rsidR="00AC56D6" w:rsidRDefault="00AC56D6" w:rsidP="00AC56D6">
      <w:pPr>
        <w:pStyle w:val="TextoNormal"/>
      </w:pPr>
      <w:r>
        <w:t xml:space="preserve">De ello resulta que los apartados 2 y 3 de la disposición transitoria sesgunda de la Ley 8/2013 de Aragón son inconstitucionales y nulos por vulnerar la competencia estatal para dictar las bases del régimen estatutario de los funcionarios públicos, </w:t>
      </w:r>
      <w:r w:rsidRPr="00AC56D6">
        <w:rPr>
          <w:i/>
        </w:rPr>
        <w:t>ex</w:t>
      </w:r>
      <w:r>
        <w:t xml:space="preserve"> art. 149.1.18 CE.</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Estimar la cuestión de inconstitucionalidad núm. 1795-2015 y, en consecuencia, declarar la inconstitucionalidad y nulidad de los apartados 2 y 3 de la disposición transitoria segunda de la Ley 8/2013, de 12 de septiembre, de coordinación de policías locales de Aragón.</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veinticuatro de septiembre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57" w:name="SENTENCIA_2015_201"/>
      <w:r>
        <w:lastRenderedPageBreak/>
        <w:t>SENTENCIA 201/2015, de 24 de septiembre de 2015</w:t>
      </w:r>
    </w:p>
    <w:bookmarkEnd w:id="57"/>
    <w:p w:rsidR="00AC56D6" w:rsidRDefault="00AC56D6" w:rsidP="00AC56D6">
      <w:pPr>
        <w:pStyle w:val="TtuloResolucin"/>
      </w:pPr>
      <w:r>
        <w:t>Pleno</w:t>
      </w:r>
    </w:p>
    <w:p w:rsidR="00AC56D6" w:rsidRDefault="00AC56D6" w:rsidP="00AC56D6">
      <w:pPr>
        <w:pStyle w:val="TtuloBOE"/>
      </w:pPr>
      <w:r>
        <w:t>(BOE núm. 260, de 30 de octubre de 2015)</w:t>
      </w:r>
    </w:p>
    <w:p w:rsidR="00AC56D6" w:rsidRDefault="00AC56D6" w:rsidP="00AC56D6">
      <w:pPr>
        <w:pStyle w:val="TextoNormalCentrado"/>
      </w:pPr>
      <w:r>
        <w:t>ECLI:ES:TC:2015:201</w:t>
      </w:r>
    </w:p>
    <w:p w:rsidR="00AC56D6" w:rsidRDefault="00AC56D6" w:rsidP="00AC56D6">
      <w:pPr>
        <w:pStyle w:val="TextoNormalCentrado"/>
      </w:pPr>
    </w:p>
    <w:p w:rsidR="00AC56D6" w:rsidRDefault="00AC56D6" w:rsidP="00AC56D6">
      <w:pPr>
        <w:pStyle w:val="SntesisDescriptiva"/>
      </w:pPr>
      <w:r>
        <w:t>Cuestión de inconstitucionalidad 1796-2015. Planteada por la Sala de lo Contencioso-Administrativo del Tribunal Superior de Justicia de Madrid en relación con diversos preceptos del Real Decreto-ley 9/2008, de 28 de noviembre, por el que se crean un fondo estatal de inversión local y un fondo especial del Estado para la dinamización de la economía y el empleo y se aprueban créditos extraordinarios para atender a su financiación.</w:t>
      </w:r>
    </w:p>
    <w:p w:rsidR="00AC56D6" w:rsidRDefault="00AC56D6" w:rsidP="00AC56D6">
      <w:pPr>
        <w:pStyle w:val="SntesisDescriptiva"/>
      </w:pPr>
    </w:p>
    <w:p w:rsidR="00AC56D6" w:rsidRDefault="00AC56D6" w:rsidP="00AC56D6">
      <w:pPr>
        <w:pStyle w:val="SntesisAnaltica"/>
      </w:pPr>
      <w:r>
        <w:t>Competencias sobre ordenación general de la economía: inadmisión de la cuestión de inconstitucionalidad por inadecuada formulación del juicio de aplicabilidad y relevancia (ATC 136/2015).</w:t>
      </w:r>
    </w:p>
    <w:p w:rsidR="00AC56D6" w:rsidRDefault="00AC56D6" w:rsidP="00AC56D6">
      <w:pPr>
        <w:pStyle w:val="SntesisAnaltica"/>
      </w:pPr>
    </w:p>
    <w:p w:rsidR="00AC56D6" w:rsidRDefault="00AC56D6" w:rsidP="00AC56D6">
      <w:pPr>
        <w:pStyle w:val="Extracto"/>
      </w:pPr>
      <w:r>
        <w:t>1.</w:t>
      </w:r>
      <w:r>
        <w:tab/>
        <w:t>Se inadmite la cuestión (art. 35.2 LOTC), sin que esta inadmisión, al basarse en un motivo estrictamente formal, impida un eventual replanteamiento; el órgano judicial no justificó suficientemente las razones por las que considera que su enjuiciamiento depende de la constitucionalidad de los preceptos de la norma controvertida (AATC 120/1997, 195/2010) [FJ 3].</w:t>
      </w:r>
    </w:p>
    <w:p w:rsidR="00AC56D6" w:rsidRDefault="00AC56D6" w:rsidP="00AC56D6">
      <w:pPr>
        <w:pStyle w:val="Extracto"/>
      </w:pPr>
    </w:p>
    <w:p w:rsidR="00AC56D6" w:rsidRDefault="00AC56D6" w:rsidP="00AC56D6">
      <w:pPr>
        <w:pStyle w:val="Extracto"/>
      </w:pPr>
      <w:r>
        <w:t>2.</w:t>
      </w:r>
      <w:r>
        <w:tab/>
        <w:t>Asunto sustancialmente idéntico al que dio lugar el ATC 136/2015 que se remitía en lo esencial a la doctrina sobre la necesidad de la adecuada formulación del juicio de aplicabilidad y relevancia en el planteamiento de cuestiones de inconstitucionalidad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 xml:space="preserve">En la cuestión de inconstitucionalidad núm. 1796-2015 promovida por la Sección Octava de la Sala de lo Contencioso-Administrativo del Tribunal Superior de Justicia de Madrid, en relación con los arts. 8 y 10 del Real Decreto-ley 9/2008, de 28 de noviembre, por el que se crean un fondo estatal de inversión local y un fondo especial del Estado para la dinamización de la economía y el empleo y se aprueban créditos extraordinarios para atender a su financiación, por posible infracción del art. 149.1.13 CE. Han comparecido y formulado </w:t>
      </w:r>
      <w:r>
        <w:lastRenderedPageBreak/>
        <w:t>alegaciones el Abogado del Estado y la Fiscal General del Estado. Ha sido Ponente el Magistrado don Andrés Ollero Tassara,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registrado en este Tribunal el 27 de marzo de 2015, la Sección Octava de la Sala de lo Contencioso-Administrativo del Tribunal Superior de Justicia de Madrid planteó cuestión de inconstitucionalidad en relación con los arts. 8 y 10 del Real Decreto-ley 9/2008, de 28 de noviembre, por el que se crean un fondo estatal de inversión local y un fondo especial del Estado para la dinamización de la economía y el empleo y se aprueban créditos extraordinarios para atender a su financiación, por posible infracción del art. 149.1.13 de la Constitución.</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son los siguientes:</w:t>
      </w:r>
    </w:p>
    <w:p w:rsidR="00AC56D6" w:rsidRDefault="00AC56D6" w:rsidP="00AC56D6">
      <w:pPr>
        <w:pStyle w:val="TextoNormal"/>
      </w:pPr>
    </w:p>
    <w:p w:rsidR="00AC56D6" w:rsidRDefault="00AC56D6" w:rsidP="00AC56D6">
      <w:pPr>
        <w:pStyle w:val="TextoNormal"/>
      </w:pPr>
      <w:r>
        <w:t xml:space="preserve">a) El Ayuntamiento de La Portella (Lleida) —recurrente en el proceso </w:t>
      </w:r>
      <w:r w:rsidRPr="00AC56D6">
        <w:rPr>
          <w:i/>
        </w:rPr>
        <w:t>a quo</w:t>
      </w:r>
      <w:r>
        <w:t>— recibió una serie de ayudas para la ejecución del proyecto 598 “Renovación de las Redes de Agua Potable y Saneamiento” con cargo al fondo estatal de inversión local, creado por el Real Decreto-ley 9/2008, de 28 de noviembre.</w:t>
      </w:r>
    </w:p>
    <w:p w:rsidR="00AC56D6" w:rsidRDefault="00AC56D6" w:rsidP="00AC56D6">
      <w:pPr>
        <w:pStyle w:val="TextoNormal"/>
      </w:pPr>
    </w:p>
    <w:p w:rsidR="00AC56D6" w:rsidRDefault="00AC56D6" w:rsidP="00AC56D6">
      <w:pPr>
        <w:pStyle w:val="TextoNormal"/>
      </w:pPr>
      <w:r>
        <w:t>b) A la vista del informe de control financiero de subvenciones y ayudas nacionales elaborado por la Intervención General de la Administración del Estado (intervención territorial de Lleida), la Dirección General de Coordinación de las Competencias con las Comunidades Autónomas y las Entidades Locales (Ministerio de Hacienda y Administraciones Públicas) acordó iniciar el procedimiento de reintegro regulado en el art. 10 del Real Decreto-ley 9/2008, confiriendo al Ayuntamiento de La Portella el correspondiente trámite de alegaciones. Las alegaciones formuladas por el Ayuntamiento fueron desestimadas mediante resolución de 29 de enero de 2013 de la citada Dirección General, por la que se declaraba la existencia de un saldo a favor del tesoro público, por incumplimiento de lo dispuesto en el Real Decreto-ley 9/2008.</w:t>
      </w:r>
    </w:p>
    <w:p w:rsidR="00AC56D6" w:rsidRDefault="00AC56D6" w:rsidP="00AC56D6">
      <w:pPr>
        <w:pStyle w:val="TextoNormal"/>
      </w:pPr>
    </w:p>
    <w:p w:rsidR="00AC56D6" w:rsidRDefault="00AC56D6" w:rsidP="00AC56D6">
      <w:pPr>
        <w:pStyle w:val="TextoNormal"/>
      </w:pPr>
      <w:r>
        <w:t>c) Contra dicha resolución, el Ayuntamiento de La Portella interpuso recurso contencioso-administrativo ante la Sala de lo Contencioso-administrativo del Tribunal Superior de Justicia de Madrid (recurso núm. 464-2013) alegando en la demanda la inconstitucionalidad de los artículos del Real Decreto-ley 9/2008 que habían sido aplicados, a la vista de la STC 150/2012, de 5 de julio, por la que se resolvió el recurso de inconstitucionalidad planteado contra varios preceptos del Real Decreto-ley 13/2009, de 26 de octubre, de creación del fondo estatal para el empleo y la sostenibilidad local. El Ayuntamiento demandante solicitó de la Sala el planteamiento de la cuestión de inconstitucionalidad por entender que los artículos aplicados en el procedimiento de reintegro eran equivalentes a los que fueron declarados inconstitucionales por la citada STC 150/2012 e incurrían, por tanto, en el mismo vicio.</w:t>
      </w:r>
    </w:p>
    <w:p w:rsidR="00AC56D6" w:rsidRDefault="00AC56D6" w:rsidP="00AC56D6">
      <w:pPr>
        <w:pStyle w:val="TextoNormal"/>
      </w:pPr>
    </w:p>
    <w:p w:rsidR="00AC56D6" w:rsidRDefault="00AC56D6" w:rsidP="00AC56D6">
      <w:pPr>
        <w:pStyle w:val="TextoNormal"/>
      </w:pPr>
      <w:r>
        <w:t xml:space="preserve">d) Una vez declarado concluso el procedimiento, mediante providencia de 27 de octubre de 2014 (completada luego por providencia de 15 de diciembre) se acordó oír a las partes y </w:t>
      </w:r>
      <w:r>
        <w:lastRenderedPageBreak/>
        <w:t>al Ministerio Fiscal sobre la conveniencia de plantear una cuestión de inconstitucionalidad en relación con los preceptos del Real Decreto-ley 9/2008 objeto de aplicación.</w:t>
      </w:r>
    </w:p>
    <w:p w:rsidR="00AC56D6" w:rsidRDefault="00AC56D6" w:rsidP="00AC56D6">
      <w:pPr>
        <w:pStyle w:val="TextoNormal"/>
      </w:pPr>
    </w:p>
    <w:p w:rsidR="00AC56D6" w:rsidRDefault="00AC56D6" w:rsidP="00AC56D6">
      <w:pPr>
        <w:pStyle w:val="TextoNormal"/>
      </w:pPr>
      <w:r>
        <w:t>e) Por escrito de 27 de noviembre de 2014, el Ayuntamiento recurrente se manifestó a favor del planteamiento de la cuestión, con fundamento en que el art. 10 del mencionado Real Decreto-ley, que a su juicio era aplicable al caso y relevante para el fallo, venía a ser idéntico al art. 6 del Real Decreto-ley 13/2009, que fue declarado inconstitucional sobre la base de que el reintegro y su procedimiento de exigencia correspondía a las Comunidades Autónomas, según reiterada doctrina constitucional sobre la distribución de competencias en el ámbito de las subvenciones. Consideraba, por ello, que el art. 10 del Real Decreto-ley 9/2008 era inconstitucional por la misma razón.</w:t>
      </w:r>
    </w:p>
    <w:p w:rsidR="00AC56D6" w:rsidRDefault="00AC56D6" w:rsidP="00AC56D6">
      <w:pPr>
        <w:pStyle w:val="TextoNormal"/>
      </w:pPr>
    </w:p>
    <w:p w:rsidR="00AC56D6" w:rsidRDefault="00AC56D6" w:rsidP="00AC56D6">
      <w:pPr>
        <w:pStyle w:val="TextoNormal"/>
      </w:pPr>
      <w:r>
        <w:t>f) El Abogado del Estado presentó su escrito de alegaciones el 30 de diciembre de 2014, en el que, remitiéndose a su escrito de 13 de noviembre, se oponía al planteamiento de la cuestión. Aducía, en apoyo de su pretensión, que la STC 150/2012 no podía servir de fundamento para la formulación de la cuestión porque se refería a otro Real Decreto-ley y, además, anulaba sólo alguno de sus preceptos. Añadía que el planteamiento de la cuestión en nada variaría la solución correspondiente al fondo del asunto porque aquella Sentencia resolvió sólo la competencia para tramitar los expedientes de reintegro, sin afectar a las ayudas ya concedidas. Por otra parte, a la vista del meridiano incumplimiento de los requisitos de la subvención en el caso concreto examinado, si las autoridades autonómicas tramitasen el expediente de reintegro, llegarían a la misma conclusión que la Administración General del Estado.</w:t>
      </w:r>
    </w:p>
    <w:p w:rsidR="00AC56D6" w:rsidRDefault="00AC56D6" w:rsidP="00AC56D6">
      <w:pPr>
        <w:pStyle w:val="TextoNormal"/>
      </w:pPr>
    </w:p>
    <w:p w:rsidR="00AC56D6" w:rsidRDefault="00AC56D6" w:rsidP="00AC56D6">
      <w:pPr>
        <w:pStyle w:val="TextoNormal"/>
      </w:pPr>
      <w:r>
        <w:t>g) El Ministerio Fiscal presentó su escrito de 22 de enero de 2015, razonando que el art. 10 del Real Decreto-ley 9/2008 era aplicable al caso y relevante para el fallo, pues se refería al reintegro de la ayuda concedida al Ayuntamiento. No se oponía al planteamiento de la cuestión, a la vista de lo declarado en la STC 150/2012 y de que el contenido del citado art. 10 coincidía con uno de los declarados inconstitucionales en dicho pronunciamiento.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El Auto de promoción de la cuestión, de 3 de marzo de 2015, señala que los procedimientos de control financiero y reintegro cuya resolución constituye el objeto del proceso </w:t>
      </w:r>
      <w:r w:rsidRPr="00AC56D6">
        <w:rPr>
          <w:i/>
        </w:rPr>
        <w:t>a quo</w:t>
      </w:r>
      <w:r>
        <w:t xml:space="preserve"> se fundan en los preceptos controvertidos: arts. 8 y 10 del Real Decreto-ley 9/2008. Tales preceptos son sustancialmente equivalentes a los arts. 5 y 6 del Real Decreto-ley 13/2009, que fueron declarados inconstitucionales por la STC 150/2012. En dicha Sentencia se consideró que el art. 149.1.13 de la Constitución no ampara la regulación contenida en dichos preceptos, habida cuenta de que deben ser las Comunidades Autónomas quienes establezcan el régimen de gestión, control y resolución de las solicitudes de ayudas, así como el procedimiento de reintegro. Los preceptos aplicados en este procedimiento, a juicio del órgano judicial, incurrirían en el mismo vicio de inconstitucionalidad, al otorgar a órganos de la Administración General del Estado las competencias de control y reintegro de las ayudas en una competencia compartida con las Comunidades Autónomas (SSTC 38/2009, 200/2009 y 36/2012). El Tribunal proponente considera, en consecuencia, que los arts. 8 y 10 del Real Decreto-ley 9/2008 vulneran el art. 149.1.13 CE, al igual que sucedía con los preceptos equivalentes del Real Decreto-ley 13/2009.</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Por providencia de 12 de mayo de 2015, el Pleno de este Tribunal acordó admitir a trámite la presente cuestión de inconstitucionalidad, reservar para sí el conocimiento de la </w:t>
      </w:r>
      <w:r>
        <w:lastRenderedPageBreak/>
        <w:t>misma conforme al art. 10.1 c) de la Ley Orgánica del Tribunal Constitucional (LOTC) y dar traslado de las actuaciones recibidas al Congreso de los Diputados y al Senado, por conducto de sus Presidentes, al Gobierno, a través del Ministro de Justicia, y a la Fiscalía General del Estado, para que en el improrrogable plazo de quince días pudieran personarse en el procedimiento y formular las alegaciones que estimasen convenientes (art. 37.3 LOTC). Asimismo, se ordenaba, de un lado, comunicar esa resolución al órgano promotor a fin de que, de conformidad con el art. 35.3 LOTC, permaneciese suspendido el proceso hasta que este Tribunal resolviese definitivamente la presente cuestión, y de otro lado, publicar la incoación de la cuestión en el “Boletín Oficial del Estado”, lo que se llevó a efecto en el “BOE” núm. 116, de 15 de mayo de 2015.</w:t>
      </w:r>
    </w:p>
    <w:p w:rsidR="00AC56D6" w:rsidRDefault="00AC56D6" w:rsidP="00AC56D6">
      <w:pPr>
        <w:pStyle w:val="TextoNormal"/>
      </w:pPr>
    </w:p>
    <w:p w:rsidR="00AC56D6" w:rsidRDefault="00AC56D6" w:rsidP="00AC56D6">
      <w:pPr>
        <w:pStyle w:val="TextoNormal"/>
      </w:pPr>
      <w:r w:rsidRPr="00AC56D6">
        <w:rPr>
          <w:rStyle w:val="NumeroAFNegritaCaracter"/>
        </w:rPr>
        <w:t>5</w:t>
      </w:r>
      <w:r>
        <w:t>. Por escrito registrado en este Tribunal el 22 de mayo de 2015, el Presidente del Congreso de los Diputados comunicó el acuerdo de dar por personada en el procedimiento a dicha Cámara y por ofrecida su colaboración a los efectos del art. 88.1 LOTC. Igualmente, por escrito registrado el 27 de mayo se recibió una comunicación del Presidente del Senado por la cual se ponía en conocimiento de este Tribunal que dicha Cámara solicitaba que se la diera por personada en el procedimiento y por ofrecida su colaboración a los efectos del citado precepto.</w:t>
      </w:r>
    </w:p>
    <w:p w:rsidR="00AC56D6" w:rsidRDefault="00AC56D6" w:rsidP="00AC56D6">
      <w:pPr>
        <w:pStyle w:val="TextoNormal"/>
      </w:pPr>
    </w:p>
    <w:p w:rsidR="00AC56D6" w:rsidRDefault="00AC56D6" w:rsidP="00AC56D6">
      <w:pPr>
        <w:pStyle w:val="TextoNormal"/>
      </w:pPr>
      <w:r w:rsidRPr="00AC56D6">
        <w:rPr>
          <w:rStyle w:val="NumeroAFNegritaCaracter"/>
        </w:rPr>
        <w:t>6</w:t>
      </w:r>
      <w:r>
        <w:t>. El Abogado del Estado presentó un escrito registrado en este Tribunal el 8 de junio de 2015 en el que suplica que se dicte Sentencia por la que se inadmita o, subsidiariamente, se desestime la cuestión planteada. En apoyo de su pretensión, alega, por una parte, que la cuestión no ha tomado una norma de comparación integrante del bloque de la constitucionalidad, sino el contenido del Real Decreto-ley 13/2009, de 26 de octubre, interpretado por la STC 150/2012; por otra, señala que el Auto de planteamiento no identifica la norma atributiva de la competencia autonómica que habría sido vulnerada por el Real Decreto-ley 9/2008.</w:t>
      </w:r>
    </w:p>
    <w:p w:rsidR="00AC56D6" w:rsidRDefault="00AC56D6" w:rsidP="00AC56D6">
      <w:pPr>
        <w:pStyle w:val="TextoNormal"/>
      </w:pPr>
    </w:p>
    <w:p w:rsidR="00AC56D6" w:rsidRDefault="00AC56D6" w:rsidP="00AC56D6">
      <w:pPr>
        <w:pStyle w:val="TextoNormal"/>
      </w:pPr>
      <w:r w:rsidRPr="00AC56D6">
        <w:rPr>
          <w:rStyle w:val="NumeroAFNegritaCaracter"/>
        </w:rPr>
        <w:t>7</w:t>
      </w:r>
      <w:r>
        <w:t>. La Fiscal General del Estado formuló sus alegaciones mediante escrito presentado en este Tribunal el 17 de julio de 2015 en el cual, después de relacionar las circunstancias del caso y transcribir las normas legales cuestionadas, expone, sobre la concurrencia de posibles óbices procesales, que el órgano promotor implícitamente viene a afirmar que, según su criterio, los preceptos cuya constitucionalidad cuestiona resultan aplicables y, aunque la Fiscalía entiende que habría sido deseable un mayor detalle en la explicación de la relevancia de la norma para el fallo del asunto enjuiciado, señala que la validez constitucional de las normas cuestionadas aportaría un valor añadido en el enjuiciamiento del supuesto de hecho y, en tal medida, tiene sentido su planteamiento.</w:t>
      </w:r>
    </w:p>
    <w:p w:rsidR="00AC56D6" w:rsidRDefault="00AC56D6" w:rsidP="00AC56D6">
      <w:pPr>
        <w:pStyle w:val="TextoNormal"/>
      </w:pPr>
    </w:p>
    <w:p w:rsidR="00AC56D6" w:rsidRDefault="00AC56D6" w:rsidP="00AC56D6">
      <w:pPr>
        <w:pStyle w:val="TextoNormal"/>
      </w:pPr>
      <w:r>
        <w:t xml:space="preserve">Considera, en cuanto al fondo, que el paralelismo del Real Decreto-ley 9/2008, de 28 de noviembre, con el Real Decreto-ley 13/2009, de 26 de octubre, parcialmente declarado inconstitucional por la STC 150/2012, parece suficiente para sustentar la oportunidad del enjuiciamiento constitucional de las disposiciones controvertidas. A continuación, pasa a identificar el título competencial en el que se fundamenta el citado Real Decreto-ley 9/2008, descartando que quepa ampararlo en los apartados 1, 14 y 18 del art. 149.1 CE, para terminar concluyendo que el fondo estatal de inversión local es una genuina expresión de la planificación general de la economía, título competencial reconocido en el art. 149.1.13 del texto </w:t>
      </w:r>
      <w:r>
        <w:lastRenderedPageBreak/>
        <w:t>constitucional. Tras recordar la doctrina constitucional recaída al respecto (fundamentalmente, la STC 13/1992, de 6 de febrero), concluye que el Real Decreto-ley 9/2008 contradice abiertamente el régimen competencial establecido, al atribuir íntegramente a los órganos estatales la tramitación de las subvenciones otorgadas con cargo al fondo estatal de inversión local. Finaliza la Fiscal General del Estado solicitando la estimación de la cuestión por vulnerarse el art. 149.1.13 CE, si bien precisando que, al igual que la STC 150/2012, el pronunciamiento de inconstitucionalidad debe tener un carácter meramente declarativo, de modo que no incida en la situación jurídica concreta que dio lugar al proceso constitucional.</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22 de septiembre de 2015 se señaló para deliberación y votación de la presente Sentencia el día 24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presente cuestión de inconstitucionalidad se suscita en relación con los arts. 8 y 10 del Real Decreto-ley 9/2008, de 28 de noviembre, por el que se crean un fondo estatal de inversión local y un fondo especial del Estado para la dinamización de la economía y el empleo y se aprueban créditos extraordinarios para atender a su financiación, por posible infracción del art. 149.1.13 CE. Los citados arts. 8 y 10 del Real Decreto-ley 9/2008 atribuyen a órganos del Estado, respectivamente, el control de la correcta aplicación de los recursos obtenidos del fondo y la tramitación de los expedientes de reintegro de las cantidades no justificadas.</w:t>
      </w:r>
    </w:p>
    <w:p w:rsidR="00AC56D6" w:rsidRDefault="00AC56D6" w:rsidP="00AC56D6">
      <w:pPr>
        <w:pStyle w:val="TextoNormal"/>
      </w:pPr>
    </w:p>
    <w:p w:rsidR="00AC56D6" w:rsidRDefault="00AC56D6" w:rsidP="00AC56D6">
      <w:pPr>
        <w:pStyle w:val="TextoNormal"/>
      </w:pPr>
      <w:r>
        <w:t>La Sección Octava de la Sala de lo Contencioso-administrativo del Tribunal Superior de Justicia de Madrid considera que tales preceptos son sustancialmente equivalentes a los arts. 5 y 6 del Real Decreto-ley 13/2009, de creación del fondo estatal para el empleo y la sostenibilidad Local, que ya fueron declarados inconstitucionales por la STC 150/2012, de 5 de julio. El órgano promotor recuerda que en dicha Sentencia este Tribunal afirmó que el art. 149.1.13 CE no ampara tal regulación, habida cuenta de que, tratándose de una competencia compartida, deben ser las Comunidades Autónomas quienes asuman, en tanto que actividades ejecutivas, el control financiero de las ayudas concedidas y, en su caso, los expedientes de reintegro. A su juicio, los preceptos cuestionados del Real Decreto-ley 9/2008 incurrirían en esa misma inconstitucionalidad, al otorgar a órganos de la Administración General del Estado las competencias de control y reintegro del fondo estatal de inversión local.</w:t>
      </w:r>
    </w:p>
    <w:p w:rsidR="00AC56D6" w:rsidRDefault="00AC56D6" w:rsidP="00AC56D6">
      <w:pPr>
        <w:pStyle w:val="TextoNormal"/>
      </w:pPr>
    </w:p>
    <w:p w:rsidR="00AC56D6" w:rsidRDefault="00AC56D6" w:rsidP="00AC56D6">
      <w:pPr>
        <w:pStyle w:val="TextoNormal"/>
      </w:pPr>
      <w:r w:rsidRPr="00AC56D6">
        <w:rPr>
          <w:rStyle w:val="NumeroAFNegritaCaracter"/>
        </w:rPr>
        <w:t>2</w:t>
      </w:r>
      <w:r>
        <w:t>. Al examinar esta cuestión es necesario valorar previamente la concurrencia de los requisitos exigidos para el válido planteamiento de la cuestión de inconstitucionalidad, pues nada impide que se pueda apreciar su ausencia en la fase de resolución, esto es, mediante Sentencia, además de hacerlo en el trámite de admisión previsto en el art. 37.1 de la Ley Orgánica del Tribunal Constitucional (SSTC 183/2013, de 23 de octubre, FJ 2; 206/2014, de 15 de diciembre, FJ 2; 10/2015, de 2 de febrero, FJ 2; 79/2015, de 30 de abril, FJ 2, y 110/2015, de 28 de mayo, FJ 3, entre otras).</w:t>
      </w:r>
    </w:p>
    <w:p w:rsidR="00AC56D6" w:rsidRDefault="00AC56D6" w:rsidP="00AC56D6">
      <w:pPr>
        <w:pStyle w:val="TextoNormal"/>
      </w:pPr>
    </w:p>
    <w:p w:rsidR="00AC56D6" w:rsidRDefault="00AC56D6" w:rsidP="00AC56D6">
      <w:pPr>
        <w:pStyle w:val="TextoNormal"/>
      </w:pPr>
      <w:r>
        <w:t xml:space="preserve">Es preciso comenzar recordando, como dijimos en la STC 79/2015, de 30 de abril, FJ 3, que los apartados 1 y 2 del art. 35 de la Ley Orgánica del Tribunal Constitucional (LOTC) exigen, respectivamente, que la norma con rango de ley de la que tenga dudas un Juez o </w:t>
      </w:r>
      <w:r>
        <w:lastRenderedPageBreak/>
        <w:t>Tribunal resulte “aplicable al caso y de cuya validez dependa el fallo” y que el órgano judicial deberá especificar o justificar en el Auto de planteamiento de la cuestión en qué medida la decisión del proceso depende de la validez de la norma de que se trate. En atención a lo expuesto, es exigible que la norma cuestionada supere el llamado juicio de relevancia, que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de 25 de septiembre, FJ 2). De ahí que este Tribunal haya estimado que debe darse una verdadera “dependencia” (STC 189/1991, de 3 de octubre, FJ 2), o un “nexo de subordinación”, entre el fallo del proceso y la validez de la norma cuestionada (STC 157/1990, de 18 de octubre, FJ 1). Así, no basta con que el Tribunal ordinario considere que la norma es aplicable al caso, sino que también ha de satisfacerse el requisito de la relevancia; si bien la aplicabilidad de la norma es condición necesaria para que el fallo dependa de su validez, no es, en modo alguno, condición suficiente (SSTC 17/1981, de 1 de junio, FJ 4, y 156/2014, FJ 2).</w:t>
      </w:r>
    </w:p>
    <w:p w:rsidR="00AC56D6" w:rsidRDefault="00AC56D6" w:rsidP="00AC56D6">
      <w:pPr>
        <w:pStyle w:val="TextoNormal"/>
      </w:pPr>
    </w:p>
    <w:p w:rsidR="00AC56D6" w:rsidRDefault="00AC56D6" w:rsidP="00AC56D6">
      <w:pPr>
        <w:pStyle w:val="TextoNormal"/>
      </w:pPr>
      <w:r>
        <w:t>Asimismo, hemos mantenido que es a los Jueces y Tribunales ordinarios que plantean las cuestiones de inconstitucionalidad a los que corresponde comprobar y exteriorizar dicho juicio de relevancia, sin que este Tribunal pueda “sustituir, rectificar o integrar el criterio de los órganos judiciales proponentes” (por todas, STC 166/2012, de 1 de octubre, FJ 2).</w:t>
      </w:r>
    </w:p>
    <w:p w:rsidR="00AC56D6" w:rsidRDefault="00AC56D6" w:rsidP="00AC56D6">
      <w:pPr>
        <w:pStyle w:val="TextoNormal"/>
      </w:pPr>
    </w:p>
    <w:p w:rsidR="00AC56D6" w:rsidRDefault="00AC56D6" w:rsidP="00AC56D6">
      <w:pPr>
        <w:pStyle w:val="TextoNormal"/>
      </w:pPr>
      <w:r w:rsidRPr="00AC56D6">
        <w:rPr>
          <w:rStyle w:val="NumeroAFNegritaCaracter"/>
        </w:rPr>
        <w:t>3</w:t>
      </w:r>
      <w:r>
        <w:t>. En la cuestión aquí planteada, la Fiscal General del Estado deja constancia de que el órgano judicial implícitamente viene a afirmar que, a su criterio, los preceptos cuya constitucionalidad cuestiona resultan aplicables. Pone de relieve que habría sido deseable un mayor detalle en la explicación de la dependencia del fallo respecto de la validez constitucional de las normas cuestionadas, no obstante lo cual concluye que el citado requisito procesal está suficientemente cumplido.</w:t>
      </w:r>
    </w:p>
    <w:p w:rsidR="00AC56D6" w:rsidRDefault="00AC56D6" w:rsidP="00AC56D6">
      <w:pPr>
        <w:pStyle w:val="TextoNormal"/>
      </w:pPr>
    </w:p>
    <w:p w:rsidR="00AC56D6" w:rsidRDefault="00AC56D6" w:rsidP="00AC56D6">
      <w:pPr>
        <w:pStyle w:val="TextoNormal"/>
      </w:pPr>
      <w:r>
        <w:t xml:space="preserve">Recientemente, el ATC 136/2015, de 21 de julio, ha tenido ocasión de pronunciarse sobre si cumplía los juicios de aplicabilidad y relevancia un auto de la misma Sala que planteaba cuestión de inconstitucionalidad (la núm. 2210-2015) respecto de los mismos preceptos. Tras descartar que pudieran entenderse convenientemente cumplidos aquellos dos juicios a través de justificaciones meramente “implícitas”, carentes de suficiente argumentación, inadmitió la cuestión por la razón siguiente: “El Auto de planteamiento no va más allá de exponer que los preceptos cuestionados fueron aplicados por los actos administrativos impugnados en el pleito </w:t>
      </w:r>
      <w:r w:rsidRPr="00AC56D6">
        <w:rPr>
          <w:i/>
        </w:rPr>
        <w:t>a quo</w:t>
      </w:r>
      <w:r>
        <w:t>. En estas circunstancias, aunque pudiera admitirse que con ello se justifica la aplicabilidad de los mismos, no es posible reconocer en tal argumento una exteriorización del juicio de relevancia, lo que determina la inadmisión de la presente cuestión de inconstitucionalidad porque el órgano judicial no ha levantado la carga de ‘especificar y justificar’ el juicio de relevancia” (ATC 136/2015, FJ 3).</w:t>
      </w:r>
    </w:p>
    <w:p w:rsidR="00AC56D6" w:rsidRDefault="00AC56D6" w:rsidP="00AC56D6">
      <w:pPr>
        <w:pStyle w:val="TextoNormal"/>
      </w:pPr>
    </w:p>
    <w:p w:rsidR="00AC56D6" w:rsidRDefault="00AC56D6" w:rsidP="00AC56D6">
      <w:pPr>
        <w:pStyle w:val="TextoNormal"/>
      </w:pPr>
      <w:r>
        <w:t xml:space="preserve">La presente cuestión de inconstitucionalidad está planteada exactamente en los mismos términos que la inadmitida entonces. Corresponde, en consecuencia, apreciar que el órgano judicial tampoco en este caso ha exteriorizado suficientemente las razones por las que considera que su enjuiciamiento depende de la constitucionalidad de los arts. 8 y 10 del Real Decreto-ley 9/2008 y, con ello, inadmitir la presente cuestión (art. 35.2 LOTC), sin que esta </w:t>
      </w:r>
      <w:r>
        <w:lastRenderedPageBreak/>
        <w:t>inadmisión, al basarse en un motivo estrictamente formal, impida un eventual replanteamiento (AATC 120/1997, de 23 de abril, FJ 2, y 195/2010, de 14 de diciembre, FJ 2, entre otros).</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Inadmitir la cuestión de inconstitucionalidad núm. 1796-2015, planteada por la Sección Octava de la Sala de lo Contencioso-administrativo del Tribunal Superior de Justicia de Madrid.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veinticuatro de septiembre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58" w:name="SENTENCIA_2015_202"/>
      <w:r>
        <w:lastRenderedPageBreak/>
        <w:t>SENTENCIA 202/2015, de 24 de septiembre de 2015</w:t>
      </w:r>
    </w:p>
    <w:bookmarkEnd w:id="58"/>
    <w:p w:rsidR="00AC56D6" w:rsidRDefault="00AC56D6" w:rsidP="00AC56D6">
      <w:pPr>
        <w:pStyle w:val="TtuloResolucin"/>
      </w:pPr>
      <w:r>
        <w:t>Pleno</w:t>
      </w:r>
    </w:p>
    <w:p w:rsidR="00AC56D6" w:rsidRDefault="00AC56D6" w:rsidP="00AC56D6">
      <w:pPr>
        <w:pStyle w:val="TtuloBOE"/>
      </w:pPr>
      <w:r>
        <w:t>(BOE núm. 260, de 30 de octubre de 2015)</w:t>
      </w:r>
    </w:p>
    <w:p w:rsidR="00AC56D6" w:rsidRDefault="00AC56D6" w:rsidP="00AC56D6">
      <w:pPr>
        <w:pStyle w:val="TextoNormalCentrado"/>
      </w:pPr>
      <w:r>
        <w:t>ECLI:ES:TC:2015:202</w:t>
      </w:r>
    </w:p>
    <w:p w:rsidR="00AC56D6" w:rsidRDefault="00AC56D6" w:rsidP="00AC56D6">
      <w:pPr>
        <w:pStyle w:val="TextoNormalCentrado"/>
      </w:pPr>
    </w:p>
    <w:p w:rsidR="00AC56D6" w:rsidRDefault="00AC56D6" w:rsidP="00AC56D6">
      <w:pPr>
        <w:pStyle w:val="SntesisDescriptiva"/>
      </w:pPr>
      <w:r>
        <w:t>Recurso de inconstitucionalidad 2464-2015. Interpuesto por el Presidente del Gobierno respecto de diversos preceptos del texto refundido de las disposiciones legales del Principado de Asturias en materia de tributos propios, aprobado por el Decreto Legislativo 1/2014, de 23 de julio.</w:t>
      </w:r>
    </w:p>
    <w:p w:rsidR="00AC56D6" w:rsidRDefault="00AC56D6" w:rsidP="00AC56D6">
      <w:pPr>
        <w:pStyle w:val="SntesisDescriptiva"/>
      </w:pPr>
    </w:p>
    <w:p w:rsidR="00AC56D6" w:rsidRDefault="00AC56D6" w:rsidP="00AC56D6">
      <w:pPr>
        <w:pStyle w:val="SntesisAnaltica"/>
      </w:pPr>
      <w:r>
        <w:t>Límites de las potestades tributarias de las Comunidades Autónomas: nulidad de los preceptos legales autonómicos que regulan el impuesto sobre los depósitos en las entidades de crédito (STC 108/2015).</w:t>
      </w:r>
    </w:p>
    <w:p w:rsidR="00AC56D6" w:rsidRDefault="00AC56D6" w:rsidP="00AC56D6">
      <w:pPr>
        <w:pStyle w:val="SntesisAnaltica"/>
      </w:pPr>
    </w:p>
    <w:p w:rsidR="00AC56D6" w:rsidRDefault="00AC56D6" w:rsidP="00AC56D6">
      <w:pPr>
        <w:pStyle w:val="Extracto"/>
      </w:pPr>
      <w:r>
        <w:t>1.</w:t>
      </w:r>
      <w:r>
        <w:tab/>
        <w:t>Asunto sustancialmente idéntico al que dio lugar la STC 108/2015 que se remitía a la doctrina sobre la inconstitucionalidad de un impuesto autonómico cuyos elementos esenciales coincidan sustancialmente con su homónimo estatal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inconstitucionalidad núm. 2464-2015, interpuesto por el Presidente del Gobierno contra los arts. 52 a 68 del Decreto Legislativo 1/2014, de 23 de julio, por el que se aprueba el texto refundido de las disposiciones legales del Principado de Asturias en materia de tributos propios. Han intervenido la Junta General del Principado de Asturias y el Principado Asturias, que además ha presentado alegaciones. Ha sido Ponente el Magistrado don Fernando Valdés Dal-Ré, que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El 29 de abril de 2015 el Abogado del Estado, en nombre del Presidente del Gobierno, interpuso recurso de inconstitucionalidad contra los arts. 52 a 68 que componen el título V del Decreto Legislativo 1/2014, de 23 de julio, por el que se aprueba el texto refundido de </w:t>
      </w:r>
      <w:r>
        <w:lastRenderedPageBreak/>
        <w:t>las disposiciones legales del Principado de Asturias en materia de tributos propios, preceptos que regulan el “impuesto sobre depósitos en entidades de crédito”. Se hizo invocación del art. 161.2 CE, a fin de que se acuerde la suspensión de la norma impugnada.</w:t>
      </w:r>
    </w:p>
    <w:p w:rsidR="00AC56D6" w:rsidRDefault="00AC56D6" w:rsidP="00AC56D6">
      <w:pPr>
        <w:pStyle w:val="TextoNormal"/>
      </w:pPr>
    </w:p>
    <w:p w:rsidR="00AC56D6" w:rsidRDefault="00AC56D6" w:rsidP="00AC56D6">
      <w:pPr>
        <w:pStyle w:val="TextoNormal"/>
      </w:pPr>
      <w:r>
        <w:t>El Abogado del Estado considera infringidos los arts. 133, 149.1.13 y 14, y 157.3 de la Constitución, y el art. 6.2 de la Ley Orgánica de financiación de las Comunidades Autónomas (LOFCA), ya que el impuesto asturiano es sustancialmente coincidente con el estatal regulado en el art. 19 de la Ley 16/2012, de 27 de diciembre, por la que se adoptan diversas medidas tributarias dirigidas a la consolidación de las finanzas públicas y al impulso de la actividad económica (Ley 16/2012, en adelante). De acuerdo con lo establecido en la doctrina del Tribunal Constitucional, SSTC 26/2015 y 30/2015, de 19 de abril, hay identidad sustancial entre ambos tributos, estatal y autonómico. Se refiere también el escrito a la STC 73/2015, de 14 de abril, en la que se desestima el recurso de inconstitucionalidad núm. 1881-2013, interpuesto por el Consejo de Gobierno del Principado de Asturias contra el art. 19 de la citada Ley 16/2012.</w:t>
      </w:r>
    </w:p>
    <w:p w:rsidR="00AC56D6" w:rsidRDefault="00AC56D6" w:rsidP="00AC56D6">
      <w:pPr>
        <w:pStyle w:val="TextoNormal"/>
      </w:pPr>
    </w:p>
    <w:p w:rsidR="00AC56D6" w:rsidRDefault="00AC56D6" w:rsidP="00AC56D6">
      <w:pPr>
        <w:pStyle w:val="TextoNormal"/>
      </w:pPr>
      <w:r>
        <w:t>A partir de lo anterior, y tras describir sucintamente los elementos esenciales del impuesto sobre los depósitos en las entidades de crédito regulado en la norma que se impugna, se concluye que los mismos y, en particular, los identificadores de la estructura del tributo —hecho y base imponibles, sujetos pasivos, exenciones o supuestos de no sujeción y devengo— coinciden sustancialmente con el impuesto, del mismo nombre, creado por el Estado en el art. 19 de la Ley 16/2012. De acuerdo con lo establecido en la doctrina del Tribunal Constitucional (se citan, entre otras, las SSTC 122/2012, de 5 de junio, y 210/2012, de 14 de noviembre), hay identidad sustancial entre ambos tributos, estatal y autonómico, por lo que se pide la declaración de inconstitucionalidad de la norma.</w:t>
      </w:r>
    </w:p>
    <w:p w:rsidR="00AC56D6" w:rsidRDefault="00AC56D6" w:rsidP="00AC56D6">
      <w:pPr>
        <w:pStyle w:val="TextoNormal"/>
      </w:pPr>
    </w:p>
    <w:p w:rsidR="00AC56D6" w:rsidRDefault="00AC56D6" w:rsidP="00AC56D6">
      <w:pPr>
        <w:pStyle w:val="TextoNormal"/>
      </w:pPr>
      <w:r w:rsidRPr="00AC56D6">
        <w:rPr>
          <w:rStyle w:val="NumeroAFNegritaCaracter"/>
        </w:rPr>
        <w:t>2</w:t>
      </w:r>
      <w:r>
        <w:t>. Por providencia de 12 de mayo de 2015, el Pleno del Tribunal Constitucional, a propuesta de la Sección Cuarta, acordó admitir a trámite el recurso de inconstitucionalidad y dar traslado de la demanda y documentos presentados, conforme establece el art. 34 de la Ley Orgánica del Tribunal Constitucional (LOTC), al Congreso de los Diputados y al Senado así como al Gobierno del Principado de Asturias y a la Junta General del Principado de Asturias, al objeto de que en el plazo de quince días pudieran personarse en el proceso y formular las alegaciones que estimaren convenientes. Asimismo, se tuvo por invocado por el Presidente del Gobierno el art. 161.2 LOTC, lo que, a su tenor y conforme dispone el art. 30 LOTC, produce la suspensión de la vigencia y aplicación de los preceptos impugnados desde la fecha de interposición del recurso —29 de abril de 2015— para las partes del proceso y desde el día en que aparezca publicada la suspensión en el “Boletín Oficial del Estado” para los terceros, lo que se comunicó a los Presidentes del Gobierno del Principado de Asturias y de la Junta General del Principado de Asturias. Por último, también se ordenó publicar la incoación del recurso en el “Boletín Oficial del Estado” y en el “Boletín Oficial del Principado de Asturias”.</w:t>
      </w:r>
    </w:p>
    <w:p w:rsidR="00AC56D6" w:rsidRDefault="00AC56D6" w:rsidP="00AC56D6">
      <w:pPr>
        <w:pStyle w:val="TextoNormal"/>
      </w:pPr>
    </w:p>
    <w:p w:rsidR="00AC56D6" w:rsidRDefault="00AC56D6" w:rsidP="00AC56D6">
      <w:pPr>
        <w:pStyle w:val="TextoNormal"/>
      </w:pPr>
      <w:r w:rsidRPr="00AC56D6">
        <w:rPr>
          <w:rStyle w:val="NumeroAFNegritaCaracter"/>
        </w:rPr>
        <w:t>3</w:t>
      </w:r>
      <w:r>
        <w:t>. El Presidente del Congreso de los Diputados, mediante escrito registrado el día 22 de mayo de 2015, comunicó que la Mesa de la Cámara había acordado que la Cámara se personase en este procedimiento y ofrecer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4</w:t>
      </w:r>
      <w:r>
        <w:t>. Mediante escrito registrado el 27 de mayo de 2015, el Presidente del Senado comunicó que la Cámara se personaba en el proceso, ofreciendo su colaboración.</w:t>
      </w:r>
    </w:p>
    <w:p w:rsidR="00AC56D6" w:rsidRDefault="00AC56D6" w:rsidP="00AC56D6">
      <w:pPr>
        <w:pStyle w:val="TextoNormal"/>
      </w:pPr>
    </w:p>
    <w:p w:rsidR="00AC56D6" w:rsidRDefault="00AC56D6" w:rsidP="00AC56D6">
      <w:pPr>
        <w:pStyle w:val="TextoNormal"/>
      </w:pPr>
      <w:r w:rsidRPr="00AC56D6">
        <w:rPr>
          <w:rStyle w:val="NumeroAFNegritaCaracter"/>
        </w:rPr>
        <w:t>5</w:t>
      </w:r>
      <w:r>
        <w:t>. Por escrito registrado el 9 de junio de 2015, la Letrada de la Junta General del Principado de Asturias solicita se tenga por personada a la Junta en el presente recurso de inconstitucionalidad, según se acordó en la Mesa de la Diputación Permanente de la Junta General del Principado de Asturias en la sesión celebrada el 27 de mayo del mismo año, y sin que se formulen alegaciones al mismo.</w:t>
      </w:r>
    </w:p>
    <w:p w:rsidR="00AC56D6" w:rsidRDefault="00AC56D6" w:rsidP="00AC56D6">
      <w:pPr>
        <w:pStyle w:val="TextoNormal"/>
      </w:pPr>
    </w:p>
    <w:p w:rsidR="00AC56D6" w:rsidRDefault="00AC56D6" w:rsidP="00AC56D6">
      <w:pPr>
        <w:pStyle w:val="TextoNormal"/>
      </w:pPr>
      <w:r w:rsidRPr="00AC56D6">
        <w:rPr>
          <w:rStyle w:val="NumeroAFNegritaCaracter"/>
        </w:rPr>
        <w:t>6</w:t>
      </w:r>
      <w:r>
        <w:t>. El Letrado del servicio jurídico del Principado de Asturias, en representación del Gobierno de esa Comunidad Autónoma, cumplimentó el trámite de alegaciones mediante escrito registrado el 17 de junio del año en curso en el que solicita la desestimación del recurso de inconstitucionalidad.</w:t>
      </w:r>
    </w:p>
    <w:p w:rsidR="00AC56D6" w:rsidRDefault="00AC56D6" w:rsidP="00AC56D6">
      <w:pPr>
        <w:pStyle w:val="TextoNormal"/>
      </w:pPr>
    </w:p>
    <w:p w:rsidR="00AC56D6" w:rsidRDefault="00AC56D6" w:rsidP="00AC56D6">
      <w:pPr>
        <w:pStyle w:val="TextoNormal"/>
      </w:pPr>
      <w:r>
        <w:t>Comienza el alegato recogiendo la doctrina contenida en las SSTC 26/2015, de 19 de febrero; 59/2015, de 18 de marzo, y 73/2015, de 14 de abril, que han desestimado los recursos interpuestos por esta Comunidad Autónoma y por la Comunidad Autónoma de Cataluña contra el art. 19 de la Ley 16/2012, haciendo referencia a los cinco votos particulares con que contaban dichas Sentencias, cuya cita literal se recoge.</w:t>
      </w:r>
    </w:p>
    <w:p w:rsidR="00AC56D6" w:rsidRDefault="00AC56D6" w:rsidP="00AC56D6">
      <w:pPr>
        <w:pStyle w:val="TextoNormal"/>
      </w:pPr>
    </w:p>
    <w:p w:rsidR="00AC56D6" w:rsidRDefault="00AC56D6" w:rsidP="00AC56D6">
      <w:pPr>
        <w:pStyle w:val="TextoNormal"/>
      </w:pPr>
      <w:r>
        <w:t>A partir de lo anterior, defiende la constitucionalidad de la norma aquí impugnada, pues ésta no hace más que recoger el tenor del proyecto de ley del Principado de Asturias de presupuestos generales del Estado presentado ante la Junta General del Principado con fecha de 4 de diciembre de 2012; por tanto, con carácter previo a que el Estado estableciera su impuesto. Se concluye así que “cuando se tramitaron tanto la Ley 3/2012 del Principado de Asturias como el Decreto Legislativo 1/2014, dichos cuerpos legales se ajustaban a la Constitución ... así como al sistema constitucional de distribución de competencias”, amparándose en la confianza legítima dispensada por la STC 210/2012, de 14 de noviembre de 2012, que declaró la constitucionalidad de los impuestos autonómicos sobre los depósitos bancarios. Añade que las modificaciones legales llevadas a cabo por el Estado obligan a que éste articule la pertinente compensación a las Comunidades Autónomas, lo que se apuntala con la cita literal de los citados votos particulares a las citadas SSTC 26/2015, de 19 de febrero; 59/2015, de 18 de marzo, y 73/2015, de 14 de abril. Razona, a continuación, la inconstitucionalidad del art. 19.13 de la Ley estatal 16/2012, de 27 de diciembre, que, infringiendo la reserva de ley orgánica, sería contradictorio con el art. 6.2 LOFCA al limitar indebidamente la compensación a percibir por la Comunidad Autónoma.</w:t>
      </w:r>
    </w:p>
    <w:p w:rsidR="00AC56D6" w:rsidRDefault="00AC56D6" w:rsidP="00AC56D6">
      <w:pPr>
        <w:pStyle w:val="TextoNormal"/>
      </w:pPr>
    </w:p>
    <w:p w:rsidR="00AC56D6" w:rsidRDefault="00AC56D6" w:rsidP="00AC56D6">
      <w:pPr>
        <w:pStyle w:val="TextoNormal"/>
      </w:pPr>
      <w:r w:rsidRPr="00AC56D6">
        <w:rPr>
          <w:rStyle w:val="NumeroAFNegritaCaracter"/>
        </w:rPr>
        <w:t>7</w:t>
      </w:r>
      <w:r>
        <w:t>. Próximo a finalizar el plazo de cinco meses que señala el art. 161.2 CE desde que se produjo la suspensión de los arts. 52 a 68 que componen el título V del Decreto Legislativo 1/2014, de 23 de julio, por el que se aprueba el texto refundido de las disposiciones legales del Principado de Asturias en materia de tributos propios, el Pleno, mediante providencia de 22 de junio de 2015, acordó oír a las partes personadas para que, en el plazo de cinco días, expusieran lo que considerasen conveniente acerca del mantenimiento o levantamiento de dicha suspensión.</w:t>
      </w:r>
    </w:p>
    <w:p w:rsidR="00AC56D6" w:rsidRDefault="00AC56D6" w:rsidP="00AC56D6">
      <w:pPr>
        <w:pStyle w:val="TextoNormal"/>
      </w:pPr>
    </w:p>
    <w:p w:rsidR="00AC56D6" w:rsidRDefault="00AC56D6" w:rsidP="00AC56D6">
      <w:pPr>
        <w:pStyle w:val="TextoNormal"/>
      </w:pPr>
      <w:r w:rsidRPr="00AC56D6">
        <w:rPr>
          <w:rStyle w:val="NumeroAFNegritaCaracter"/>
        </w:rPr>
        <w:t>8</w:t>
      </w:r>
      <w:r>
        <w:t>. El Abogado del Estado, mediante escrito registrado en este Tribunal el 29 de junio de 2015, formuló sus alegaciones interesando el mantenimiento de la suspensión.</w:t>
      </w:r>
    </w:p>
    <w:p w:rsidR="00AC56D6" w:rsidRDefault="00AC56D6" w:rsidP="00AC56D6">
      <w:pPr>
        <w:pStyle w:val="TextoNormal"/>
      </w:pPr>
    </w:p>
    <w:p w:rsidR="00AC56D6" w:rsidRDefault="00AC56D6" w:rsidP="00AC56D6">
      <w:pPr>
        <w:pStyle w:val="TextoNormal"/>
      </w:pPr>
      <w:r w:rsidRPr="00AC56D6">
        <w:rPr>
          <w:rStyle w:val="NumeroAFNegritaCaracter"/>
        </w:rPr>
        <w:t>9</w:t>
      </w:r>
      <w:r>
        <w:t>. Por escrito registrado el 7 de julio de 2015, el Letrado del servicio jurídico del Principado de Asturias, en la representación legal que ostenta, evacuó el traslado conferido por la providencia del Pleno de 22 de junio anterior, solicitando que se dicte la resolución que proceda conforme a Derecho.</w:t>
      </w:r>
    </w:p>
    <w:p w:rsidR="00AC56D6" w:rsidRDefault="00AC56D6" w:rsidP="00AC56D6">
      <w:pPr>
        <w:pStyle w:val="TextoNormal"/>
      </w:pPr>
    </w:p>
    <w:p w:rsidR="00AC56D6" w:rsidRDefault="00AC56D6" w:rsidP="00AC56D6">
      <w:pPr>
        <w:pStyle w:val="TextoNormal"/>
      </w:pPr>
      <w:r w:rsidRPr="00AC56D6">
        <w:rPr>
          <w:rStyle w:val="NumeroAFNegritaCaracter"/>
        </w:rPr>
        <w:t>10</w:t>
      </w:r>
      <w:r>
        <w:t>. Por providencia de 22 de septiembre de 2015 se señaló para deliberación y votación de la presente Sentencia el día 24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Este recurso de inconstitucionalidad se dirige contra los arts. 52 a 68 que componen el título V del Decreto Legislativo 1/2014, de 23 de julio, por el que se aprueba el texto refundido de las disposiciones legales del Principado de Asturias en materia de tributos propios, que regulan el “impuesto sobre depósitos en entidades de crédito”.</w:t>
      </w:r>
    </w:p>
    <w:p w:rsidR="00AC56D6" w:rsidRDefault="00AC56D6" w:rsidP="00AC56D6">
      <w:pPr>
        <w:pStyle w:val="TextoNormal"/>
      </w:pPr>
    </w:p>
    <w:p w:rsidR="00AC56D6" w:rsidRDefault="00AC56D6" w:rsidP="00AC56D6">
      <w:pPr>
        <w:pStyle w:val="TextoNormal"/>
      </w:pPr>
      <w:r>
        <w:t>El Abogado del Estado, en representación del Presidente del Gobierno, considera vulnerados los arts. 133, 149.1.13 y 14, y 157 CE, y el art. 6.2 de la Ley Orgánica 8/1980, de 22 de septiembre, de financiación de las Comunidades Autónomas (LOFCA), ya que el impuesto autonómico guarda identidad con el homónimo impuesto del Estado regulado en el art. 19 de la Ley 16/2012, de 27 de diciembre, por la que se adoptan diversas medidas tributarias dirigidas a la consolidación de las finanzas públicas.</w:t>
      </w:r>
    </w:p>
    <w:p w:rsidR="00AC56D6" w:rsidRDefault="00AC56D6" w:rsidP="00AC56D6">
      <w:pPr>
        <w:pStyle w:val="TextoNormal"/>
      </w:pPr>
    </w:p>
    <w:p w:rsidR="00AC56D6" w:rsidRDefault="00AC56D6" w:rsidP="00AC56D6">
      <w:pPr>
        <w:pStyle w:val="TextoNormal"/>
      </w:pPr>
      <w:r>
        <w:t>La representación procesal de la Junta General del Principado de Asturias interesa la desestimación íntegra del recurso con los argumentos que se han recogido en el antecedente sexto.</w:t>
      </w:r>
    </w:p>
    <w:p w:rsidR="00AC56D6" w:rsidRDefault="00AC56D6" w:rsidP="00AC56D6">
      <w:pPr>
        <w:pStyle w:val="TextoNormal"/>
      </w:pPr>
    </w:p>
    <w:p w:rsidR="00AC56D6" w:rsidRDefault="00AC56D6" w:rsidP="00AC56D6">
      <w:pPr>
        <w:pStyle w:val="TextoNormal"/>
      </w:pPr>
      <w:r w:rsidRPr="00AC56D6">
        <w:rPr>
          <w:rStyle w:val="NumeroAFNegritaCaracter"/>
        </w:rPr>
        <w:t>2</w:t>
      </w:r>
      <w:r>
        <w:t xml:space="preserve">. El canon para la resolución de esta controversia lo constituye la regulación vigente del impuesto estatal sobre los depósitos en las entidades de crédito, de acuerdo con nuestra doctrina sobre el </w:t>
      </w:r>
      <w:r w:rsidRPr="00AC56D6">
        <w:rPr>
          <w:i/>
        </w:rPr>
        <w:t>ius superveniens</w:t>
      </w:r>
      <w:r>
        <w:t xml:space="preserve"> aplicable a procesos como el presente, de manera que las normas que incurren en un posible exceso competencial deben controlarse teniendo en cuenta aquella regulación [por todas, STC 108/2015, de 28 de mayo, FJ 2 b); con cita de las SSTC 30/2015, de 19 de febrero, FJ 2; 35/2012, de 15 de marzo, FJ 2 c), y 210/2012, de 14 de noviembre, FJ 2 c)].</w:t>
      </w:r>
    </w:p>
    <w:p w:rsidR="00AC56D6" w:rsidRDefault="00AC56D6" w:rsidP="00AC56D6">
      <w:pPr>
        <w:pStyle w:val="TextoNormal"/>
      </w:pPr>
    </w:p>
    <w:p w:rsidR="00AC56D6" w:rsidRDefault="00AC56D6" w:rsidP="00AC56D6">
      <w:pPr>
        <w:pStyle w:val="TextoNormal"/>
      </w:pPr>
      <w:r>
        <w:t>Debe por tanto compararse el impuesto establecido por el Principado de Asturias con el previamente regulado por el Estado (impuesto sobre los depósitos en las entidades de crédito), teniendo en cuenta a estos efectos la redacción de este último tributo vigente en el momento de dictar sentencia. En concreto, deberá atenderse al impuesto sobre los depósitos en las entidades de crédito regulado en el art. 19 de la citada Ley 16/2012, en su redacción actual, esto es, tras las dos modificaciones que han tenido lugar: en primer lugar, mediante el art. 124 del Real Decreto-ley 8/2014, de 4 de julio, de aprobación de medidas urgentes para el crecimiento, la competitividad y la eficiencia; y, en segundo lugar y vigente en este momento, por el art. 124 de la Ley 18/2014, de 15 de octubre, de aprobación de medidas urgentes para el crecimiento, la competitividad y la eficiencia (Ley 18/2014, en adelante).</w:t>
      </w:r>
    </w:p>
    <w:p w:rsidR="00AC56D6" w:rsidRDefault="00AC56D6" w:rsidP="00AC56D6">
      <w:pPr>
        <w:pStyle w:val="TextoNormal"/>
      </w:pPr>
    </w:p>
    <w:p w:rsidR="00AC56D6" w:rsidRDefault="00AC56D6" w:rsidP="00AC56D6">
      <w:pPr>
        <w:pStyle w:val="TextoNormal"/>
      </w:pPr>
      <w:r>
        <w:lastRenderedPageBreak/>
        <w:t>Asimismo, debemos en este lugar dejar constancia de que, en su redacción originaria, el art. 19 de la citada Ley 16/2012, fue objeto de impugnación en los recursos 1808-2013, 1873-2013, y 1881-2013, desestimados, respectivamente, por las SSTC 26/2015, de 19 de febrero; 59/2015, de 18 de marzo, y 73/2015, de 14 de abril. Por su parte, el art. 124 del Real Decreto-ley 8/2014 es objeto de dos recursos de inconstitucionalidad pendientes (núms. 5952-2014 y 5970-2014). Como ya constatamos en la STC 108/2015, de 28 de mayo, FJ 2, el dato de que los mencionados recursos de inconstitucionalidad interpuestos contra el Real Decreto-ley 8/2014 no hayan sido aún resueltos carece de relevancia para la resolución del presente recurso de inconstitucionalidad, pues en el hipotético caso de que se considerara inconstitucional por cualquier razón, tendría vigencia la redacción actual del art. 19 de la Ley 16/2012 dada por el art. 124 de la Ley 18/2014, precepto declarado constitucional en la STC 102/2015, de 26 de mayo, tras su impugnación en el recurso 275-2015, y que posee idéntica dicción y efectos retroactivos (a 1 de enero de 2014) que el art. 124 del Real Decreto-ley 8/2014.</w:t>
      </w:r>
    </w:p>
    <w:p w:rsidR="00AC56D6" w:rsidRDefault="00AC56D6" w:rsidP="00AC56D6">
      <w:pPr>
        <w:pStyle w:val="TextoNormal"/>
      </w:pPr>
    </w:p>
    <w:p w:rsidR="00AC56D6" w:rsidRDefault="00AC56D6" w:rsidP="00AC56D6">
      <w:pPr>
        <w:pStyle w:val="TextoNormal"/>
      </w:pPr>
      <w:r w:rsidRPr="00AC56D6">
        <w:rPr>
          <w:rStyle w:val="NumeroAFNegritaCaracter"/>
        </w:rPr>
        <w:t>3</w:t>
      </w:r>
      <w:r>
        <w:t>. Planteado el recurso de inconstitucionalidad en los términos expuestos, podemos concluir que las cuestiones planteadas han sido ya resueltas por nuestra STC 108/2015, de 28 de mayo, que estimó el recurso de inconstitucionalidad núm. 631-2013, interpuesto por el Presidente del Gobierno, contra el citado artículo 41 y la disposición final séptima de la Ley de la Junta General del Principado de Asturias 3/2012, de 28 de diciembre, que estableció el impuesto asturiano sobre depósitos en las entidades de crédito.</w:t>
      </w:r>
    </w:p>
    <w:p w:rsidR="00AC56D6" w:rsidRDefault="00AC56D6" w:rsidP="00AC56D6">
      <w:pPr>
        <w:pStyle w:val="TextoNormal"/>
      </w:pPr>
    </w:p>
    <w:p w:rsidR="00AC56D6" w:rsidRDefault="00AC56D6" w:rsidP="00AC56D6">
      <w:pPr>
        <w:pStyle w:val="TextoNormal"/>
      </w:pPr>
      <w:r>
        <w:t>Los arts. 52 a 68 del Decreto Legislativo 1/2014 objeto del presente proceso regulan el impuesto sobre depósitos en entidades de crédito en términos similares a su regulación inicial, como por otro lado es propio de este tipo normativo y han señalado también las partes en el proceso en sus correspondientes escritos de alegaciones.</w:t>
      </w:r>
    </w:p>
    <w:p w:rsidR="00AC56D6" w:rsidRDefault="00AC56D6" w:rsidP="00AC56D6">
      <w:pPr>
        <w:pStyle w:val="TextoNormal"/>
      </w:pPr>
    </w:p>
    <w:p w:rsidR="00AC56D6" w:rsidRDefault="00AC56D6" w:rsidP="00AC56D6">
      <w:pPr>
        <w:pStyle w:val="TextoNormal"/>
      </w:pPr>
      <w:r>
        <w:t>En el fundamento cuarto de la STC 108/2015 examinamos los elementos esenciales del impuesto asturiano, lo que nos permitió concluir, en el fundamento quinto, que se trataba de un impuesto sustancialmente similar al impuesto estatal sobre los depósitos, incurriendo por tanto en la incompatibilidad que establece el art. 6.2 LOFCA.</w:t>
      </w:r>
    </w:p>
    <w:p w:rsidR="00AC56D6" w:rsidRDefault="00AC56D6" w:rsidP="00AC56D6">
      <w:pPr>
        <w:pStyle w:val="TextoNormal"/>
      </w:pPr>
    </w:p>
    <w:p w:rsidR="00AC56D6" w:rsidRDefault="00AC56D6" w:rsidP="00AC56D6">
      <w:pPr>
        <w:pStyle w:val="TextoNormal"/>
      </w:pPr>
      <w:r>
        <w:t>A la misma conclusión debe por lo tanto llegarse ahora, sin que pueda atenderse la solicitud, contenida en el escrito de alegaciones del Principado de Asturias, en el sentido de que se declare inconstitucional el art. 19.13 de la Ley 16/2012, así como que se establezca la obligación del Estado de compensar a esta Comunidad Autónoma. Sin perjuicio de que el escrito de respuesta a un recurso de inconstitucionalidad no puede servir para postular la inconstitucionalidad de las normas que sirven de canon para su resolución, debe señalarse que esta pretensión ya fue planteada por esta misma recurrente en un proceso anterior, desestimándose en su integridad mediante la STC 73/2015, de 14 de abril, en la que no fue estimado el recurso de inconstitucionalidad núm. 1881-2013, interpuesto por el Consejo de Gobierno del Principado de Asturias contra el citado art. 19 de la Ley 16/2012.</w:t>
      </w:r>
    </w:p>
    <w:p w:rsidR="00AC56D6" w:rsidRDefault="00AC56D6" w:rsidP="00AC56D6">
      <w:pPr>
        <w:pStyle w:val="TextoNormal"/>
      </w:pPr>
    </w:p>
    <w:p w:rsidR="00AC56D6" w:rsidRDefault="00AC56D6" w:rsidP="00AC56D6">
      <w:pPr>
        <w:pStyle w:val="TextoNormal"/>
      </w:pPr>
      <w:r>
        <w:t>Debe por tanto declararse la inconstitucionalidad y nulidad de los arts. 52 a 68 del Decreto Legislativo 1/2014, por cuanto comportan la vulneración de los arts. 133.2 y 157.3 CE, así como del art. 6.2 LOFCA.</w:t>
      </w:r>
    </w:p>
    <w:p w:rsidR="00AC56D6" w:rsidRDefault="00AC56D6" w:rsidP="00AC56D6">
      <w:pPr>
        <w:pStyle w:val="TextoNormal"/>
      </w:pPr>
    </w:p>
    <w:p w:rsidR="00AC56D6" w:rsidRDefault="00AC56D6" w:rsidP="00AC56D6">
      <w:pPr>
        <w:pStyle w:val="TextoNormalCentrado"/>
        <w:keepNext/>
      </w:pPr>
      <w:r>
        <w:lastRenderedPageBreak/>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Estimar el recurso de inconstitucionalidad y declarar la inconstitucionalidad y nulidad de los arts. 52 a 68 del Decreto Legislativo 1/2014, de 23 de julio, por el que se aprueba el texto refundido de las disposiciones legales del Principado de Asturias en materia de tributos propios.</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veinticuatro de septiembre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59" w:name="SENTENCIA_2015_203"/>
      <w:r>
        <w:lastRenderedPageBreak/>
        <w:t>SENTENCIA 203/2015, de 5 de octubre de 2015</w:t>
      </w:r>
    </w:p>
    <w:bookmarkEnd w:id="59"/>
    <w:p w:rsidR="00AC56D6" w:rsidRDefault="00AC56D6" w:rsidP="00AC56D6">
      <w:pPr>
        <w:pStyle w:val="TtuloResolucin"/>
      </w:pPr>
      <w:r>
        <w:t>Sala Segunda</w:t>
      </w:r>
    </w:p>
    <w:p w:rsidR="00AC56D6" w:rsidRDefault="00AC56D6" w:rsidP="00AC56D6">
      <w:pPr>
        <w:pStyle w:val="TtuloBOE"/>
      </w:pPr>
      <w:r>
        <w:t>(BOE núm. 272, de 13 de noviembre de 2015)</w:t>
      </w:r>
    </w:p>
    <w:p w:rsidR="00AC56D6" w:rsidRDefault="00AC56D6" w:rsidP="00AC56D6">
      <w:pPr>
        <w:pStyle w:val="TextoNormalCentrado"/>
      </w:pPr>
      <w:r>
        <w:t>ECLI:ES:TC:2015:203</w:t>
      </w:r>
    </w:p>
    <w:p w:rsidR="00AC56D6" w:rsidRDefault="00AC56D6" w:rsidP="00AC56D6">
      <w:pPr>
        <w:pStyle w:val="TextoNormalCentrado"/>
      </w:pPr>
    </w:p>
    <w:p w:rsidR="00AC56D6" w:rsidRDefault="00AC56D6" w:rsidP="00AC56D6">
      <w:pPr>
        <w:pStyle w:val="SntesisDescriptiva"/>
      </w:pPr>
      <w:r>
        <w:t>Recurso de amparo 4337-2013. Promovido por don Juan Carlos Robles Chaves en relación con las Sentencias de la Sala de lo Social del Tribunal Superior de Justicia de Andalucía y un Juzgado de lo Social de Málaga en proceso por despido.</w:t>
      </w:r>
    </w:p>
    <w:p w:rsidR="00AC56D6" w:rsidRDefault="00AC56D6" w:rsidP="00AC56D6">
      <w:pPr>
        <w:pStyle w:val="SntesisDescriptiva"/>
      </w:pPr>
    </w:p>
    <w:p w:rsidR="00AC56D6" w:rsidRDefault="00AC56D6" w:rsidP="00AC56D6">
      <w:pPr>
        <w:pStyle w:val="SntesisAnaltica"/>
      </w:pPr>
      <w:r>
        <w:t>Supuesta vulneración de la libertad sindical en conexión con los derechos a la igualdad y a la tutela judicial efectiva (garantía de indemnidad) y con las libertades de expresión e información: despido disciplinario del autor de un escrito que incluía apelativos vejatorios para otra empleada de la misma empresa.</w:t>
      </w:r>
    </w:p>
    <w:p w:rsidR="00AC56D6" w:rsidRDefault="00AC56D6" w:rsidP="00AC56D6">
      <w:pPr>
        <w:pStyle w:val="SntesisAnaltica"/>
      </w:pPr>
    </w:p>
    <w:p w:rsidR="00AC56D6" w:rsidRDefault="00AC56D6" w:rsidP="00AC56D6">
      <w:pPr>
        <w:pStyle w:val="Extracto"/>
      </w:pPr>
      <w:r>
        <w:t>1.</w:t>
      </w:r>
      <w:r>
        <w:tab/>
        <w:t>Queda constatado que el autor del comunicado no se conformó con valorar la actuación de la empleada de acuerdo a un juicio crítico, ni siquiera de divergencia ética; más bien utilizó un conflicto de naturaleza sindical para incurrir en la descalificación abierta que podía afectar decisivamente a su imagen, honorabilidad y consideración en el seno de la organización donde aquélla prestaba sus servicios, poniendo en duda su probidad y sus propósitos, pese a no ser protagonista del conflicto laboral [FJ 6].</w:t>
      </w:r>
    </w:p>
    <w:p w:rsidR="00AC56D6" w:rsidRDefault="00AC56D6" w:rsidP="00AC56D6">
      <w:pPr>
        <w:pStyle w:val="Extracto"/>
      </w:pPr>
    </w:p>
    <w:p w:rsidR="00AC56D6" w:rsidRDefault="00AC56D6" w:rsidP="00AC56D6">
      <w:pPr>
        <w:pStyle w:val="Extracto"/>
      </w:pPr>
      <w:r>
        <w:t>2.</w:t>
      </w:r>
      <w:r>
        <w:tab/>
        <w:t>Es posible diferenciar el proceso de elaboración y autoría del escrito, de los sucesivos actos de difusión, faltando prueba suficiente que permita concluir que estemos ante un único acto conjunto de expresión colectiva y, por tanto, no hay reproche desde el prisma de la discriminación sindical, ni tiene sentido detenerse a calificar los actos desde el prisma del principio de igualdad ante la ley [FJ 7].</w:t>
      </w:r>
    </w:p>
    <w:p w:rsidR="00AC56D6" w:rsidRDefault="00AC56D6" w:rsidP="00AC56D6">
      <w:pPr>
        <w:pStyle w:val="Extracto"/>
      </w:pPr>
    </w:p>
    <w:p w:rsidR="00AC56D6" w:rsidRDefault="00AC56D6" w:rsidP="00AC56D6">
      <w:pPr>
        <w:pStyle w:val="Extracto"/>
      </w:pPr>
      <w:r>
        <w:t>3.</w:t>
      </w:r>
      <w:r>
        <w:tab/>
        <w:t>El art. 28.1 CE también garantiza, en su vertiente funcional, el derecho a la libertad de expresión e información respecto de cualquier asunto que pueda tener una repercusión directa o indirecta en las relaciones laborales [FJ 5].</w:t>
      </w:r>
    </w:p>
    <w:p w:rsidR="00AC56D6" w:rsidRDefault="00AC56D6" w:rsidP="00AC56D6">
      <w:pPr>
        <w:pStyle w:val="Extracto"/>
      </w:pPr>
    </w:p>
    <w:p w:rsidR="00AC56D6" w:rsidRDefault="00AC56D6" w:rsidP="00AC56D6">
      <w:pPr>
        <w:pStyle w:val="Extracto"/>
      </w:pPr>
      <w:r>
        <w:t>4.</w:t>
      </w:r>
      <w:r>
        <w:tab/>
        <w:t>Cuando el representante unitario de los trabajadores está afiliado a un sindicato, su actividad, a la vista de las circunstancias que concurran en cada caso, podrá tener consecuencias desde la perspectiva del art. 28.1 CE  (STC 100/2014) [FJ 5].</w:t>
      </w:r>
    </w:p>
    <w:p w:rsidR="00AC56D6" w:rsidRDefault="00AC56D6" w:rsidP="00AC56D6">
      <w:pPr>
        <w:pStyle w:val="Extracto"/>
      </w:pPr>
    </w:p>
    <w:p w:rsidR="00AC56D6" w:rsidRDefault="00AC56D6" w:rsidP="00AC56D6">
      <w:pPr>
        <w:pStyle w:val="Extracto"/>
      </w:pPr>
      <w:r>
        <w:t>5.</w:t>
      </w:r>
      <w:r>
        <w:tab/>
        <w:t>El examen de las expresiones se efectúa conforme al canon propio del derecho a la libertad de expresión sindical que, como en el ámbito genérico de cobertura ofrecido por el art. 20.1 a) CE, tiene como límite que la expresión de opiniones se realice a través de apelativos formalmente injuriosos e innecesarios para la labor informativa o de formación de la opinión que se lleva a cabo [FJ 6].</w:t>
      </w:r>
    </w:p>
    <w:p w:rsidR="00AC56D6" w:rsidRDefault="00AC56D6" w:rsidP="00AC56D6">
      <w:pPr>
        <w:pStyle w:val="Extracto"/>
      </w:pPr>
    </w:p>
    <w:p w:rsidR="00AC56D6" w:rsidRDefault="00AC56D6" w:rsidP="00AC56D6">
      <w:pPr>
        <w:pStyle w:val="Extracto"/>
      </w:pPr>
      <w:r>
        <w:t>6.</w:t>
      </w:r>
      <w:r>
        <w:tab/>
        <w:t>La acreditación de la causa legal disciplinaria alegada no excluye  automáticamente la vulneración del derecho fundamental invocado cuando existen indicios de lesión y podrá neutralizarse el panorama indiciario:  acreditando la causa legal expresada en la carta de despido y, alternativamente,  incluso si no llega a probarse el incumplimiento disciplinario aducido en la carta de despido, cuando el empre</w:t>
      </w:r>
      <w:r>
        <w:lastRenderedPageBreak/>
        <w:t>sario demandado demuestre que los hechos motivadores de su decisión se presentan razonablemente ajenos a todo móvil atentatorio de los derechos fundamentales que se denuncien vulnerados, que es lo trascendente desde la perspectiva constitucional [FJ 3].</w:t>
      </w:r>
    </w:p>
    <w:p w:rsidR="00AC56D6" w:rsidRDefault="00AC56D6" w:rsidP="00AC56D6">
      <w:pPr>
        <w:pStyle w:val="Extracto"/>
      </w:pPr>
    </w:p>
    <w:p w:rsidR="00AC56D6" w:rsidRDefault="00AC56D6" w:rsidP="00AC56D6">
      <w:pPr>
        <w:pStyle w:val="Extracto"/>
      </w:pPr>
      <w:r>
        <w:t>7.</w:t>
      </w:r>
      <w:r>
        <w:tab/>
        <w:t>El indicio razonable de que se ha producido la lesión del derecho fundamental no consiste en la mera constatación de que en un momento precedente tuvo lugar el ejercicio del derecho, sino que es preciso justificar —indiciariamente— la existencia de una relación de causalidad entre tal ejercicio y la decisión o acto calificado de lesivo del derecho (STC 140/2014) [FJ 3].</w:t>
      </w:r>
    </w:p>
    <w:p w:rsidR="00AC56D6" w:rsidRDefault="00AC56D6" w:rsidP="00AC56D6">
      <w:pPr>
        <w:pStyle w:val="Extracto"/>
      </w:pPr>
    </w:p>
    <w:p w:rsidR="00AC56D6" w:rsidRDefault="00AC56D6" w:rsidP="00AC56D6">
      <w:pPr>
        <w:pStyle w:val="Extracto"/>
      </w:pPr>
      <w:r>
        <w:t>8.</w:t>
      </w:r>
      <w:r>
        <w:tab/>
        <w:t>Fuera del ámbito de protección de la libertad de expresión se sitúan las frases y expresiones ultrajantes u ofensivas, sin relación con las ideas u opiniones que se expongan, y por tanto, innecesarias a este propósito (STC 20/2002) [FJ 6].</w:t>
      </w:r>
    </w:p>
    <w:p w:rsidR="00AC56D6" w:rsidRDefault="00AC56D6" w:rsidP="00AC56D6">
      <w:pPr>
        <w:pStyle w:val="Extracto"/>
      </w:pPr>
    </w:p>
    <w:p w:rsidR="00AC56D6" w:rsidRDefault="00AC56D6" w:rsidP="00AC56D6">
      <w:pPr>
        <w:pStyle w:val="Extracto"/>
      </w:pPr>
      <w:r>
        <w:t>9.</w:t>
      </w:r>
      <w:r>
        <w:tab/>
        <w:t>La actividad laboral o profesional posee una faceta externa, de relación social que, en cuanto tal, repercute en la imagen que, de la persona, tengan los demás (STC 56/2008) [FJ 6].</w:t>
      </w:r>
    </w:p>
    <w:p w:rsidR="00AC56D6" w:rsidRDefault="00AC56D6" w:rsidP="00AC56D6">
      <w:pPr>
        <w:pStyle w:val="Extracto"/>
      </w:pPr>
    </w:p>
    <w:p w:rsidR="00AC56D6" w:rsidRDefault="00AC56D6" w:rsidP="00AC56D6">
      <w:pPr>
        <w:pStyle w:val="Extracto"/>
      </w:pPr>
      <w:r>
        <w:t>10.</w:t>
      </w:r>
      <w:r>
        <w:tab/>
        <w:t>Una vez admitido el recurso por apreciarse su especial trascendencia constitucional, no es posible seleccionar los motivos que deben ser objeto de enjuiciamiento, puesto que el amparo constitucional no pierde su dimensión subjetiva como instrumento procesal para preservar o restablecer las violaciones de los derechos y libertades fundamentales (STC 2/2013) [FJ 2].</w:t>
      </w:r>
    </w:p>
    <w:p w:rsidR="00AC56D6" w:rsidRDefault="00AC56D6" w:rsidP="00AC56D6">
      <w:pPr>
        <w:pStyle w:val="Extracto"/>
      </w:pPr>
    </w:p>
    <w:p w:rsidR="00AC56D6" w:rsidRDefault="00AC56D6" w:rsidP="00AC56D6">
      <w:pPr>
        <w:pStyle w:val="Extracto"/>
      </w:pPr>
      <w:r>
        <w:t>11.</w:t>
      </w:r>
      <w:r>
        <w:tab/>
        <w:t>Se sienta jurisprudencia sobre el derecho de libertad de expresión sindical (art. 28.1 CE) en supuestos en los que la conducta expresiva del representante de los trabajadores no se dirige contra un acto empresarial sino frente al comportamiento de una trabajadora de la empresa [FJ 2].</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 xml:space="preserve">En el recurso de amparo núm. 4337-2013, promovido por don Juan Carlos Robles Chaves, representado por la Procuradora de los Tribunales doña Raquel Vilas Pérez y asistido por el Abogado don José Manuel Robles Chaves, contra la Sentencia de 16 de mayo de 2013 de la Sala de lo Social del Tribunal Superior de Justicia de Andalucía con sede en Málaga, </w:t>
      </w:r>
      <w:r>
        <w:lastRenderedPageBreak/>
        <w:t>dictada en el recurso de suplicación núm. 432-2013, que confirmó la Sentencia del Juzgado de lo Social núm. 2 de Málaga, de 18 de julio de 2012, en autos de despido núm. 444-2012. Ha intervenido el Ministerio Fiscal. Ha comparecido la Procuradora de los Tribunales doña Aranzazu Fernández Pérez, asistida del Letrado don Gabriel Vázquez Durán, en representación de la entidad OP Plus Operaciones y Servicios, S.A. Ha sido Ponente el Magistrado don Fernando Valdés Dal-Ré,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registrado en este Tribunal el día 11 de julio de 2013, la Procuradora de los Tribunales doña Raquel Vilas Pérez, actuando en nombre y representación de don Juan Carlos Robles Chaves, presentó recurso de amparo constitucional contra las resoluciones citadas en el encabezamiento al considerarlas contrarias al derecho fundamental consagrado en el art. 28.1 CE, en relación con los arts. 14, 20.1 a) y d) y 24.1 CE.</w:t>
      </w:r>
    </w:p>
    <w:p w:rsidR="00AC56D6" w:rsidRDefault="00AC56D6" w:rsidP="00AC56D6">
      <w:pPr>
        <w:pStyle w:val="TextoNormal"/>
      </w:pPr>
    </w:p>
    <w:p w:rsidR="00AC56D6" w:rsidRDefault="00AC56D6" w:rsidP="00AC56D6">
      <w:pPr>
        <w:pStyle w:val="TextoNormal"/>
      </w:pPr>
      <w:r w:rsidRPr="00AC56D6">
        <w:rPr>
          <w:rStyle w:val="NumeroAFNegritaCaracter"/>
        </w:rPr>
        <w:t>2</w:t>
      </w:r>
      <w:r>
        <w:t>. Los hechos de los que trae causa la demanda son, en síntesis, los siguientes:</w:t>
      </w:r>
    </w:p>
    <w:p w:rsidR="00AC56D6" w:rsidRDefault="00AC56D6" w:rsidP="00AC56D6">
      <w:pPr>
        <w:pStyle w:val="TextoNormal"/>
      </w:pPr>
    </w:p>
    <w:p w:rsidR="00AC56D6" w:rsidRDefault="00AC56D6" w:rsidP="00AC56D6">
      <w:pPr>
        <w:pStyle w:val="TextoNormal"/>
      </w:pPr>
      <w:r>
        <w:t>a) El recurrente en amparo, auxiliar administrativo desde enero de 2008 en la empresa demandada en el proceso judicial, OP Plus Operaciones y Servicios, S.A., fue despedido el 23 de marzo de 2012, tras la incoación de expediente disciplinario. Según la carta de despido, los hechos que justificarían la extinción del contrato de trabajo traen causa de lo acontecido el día 23 de febrero de 2012, fecha en la que se publicó una comunicación en el tablón de anuncios titulada “La empresa rectifica”, que la empleadora atribuía al ahora demandante y que sería constitutiva, a juicio de aquélla, de una falta muy grave de “malos tratos de palabra u obra o falta grave de respeto y consideración a los jefes, compañeros o subordinados”, de conformidad con lo previsto en el art. 24.2 del convenio colectivo aplicable. La autoría se decía acreditada por las rotundas declaraciones de los restantes afectados por el expediente disciplinario, miembros —como el trabajador despedido— del comité de empresa.</w:t>
      </w:r>
    </w:p>
    <w:p w:rsidR="00AC56D6" w:rsidRDefault="00AC56D6" w:rsidP="00AC56D6">
      <w:pPr>
        <w:pStyle w:val="TextoNormal"/>
      </w:pPr>
    </w:p>
    <w:p w:rsidR="00AC56D6" w:rsidRDefault="00AC56D6" w:rsidP="00AC56D6">
      <w:pPr>
        <w:pStyle w:val="TextoNormal"/>
      </w:pPr>
      <w:r>
        <w:t>b) El escrito decía así:</w:t>
      </w:r>
    </w:p>
    <w:p w:rsidR="00AC56D6" w:rsidRDefault="00AC56D6" w:rsidP="00AC56D6">
      <w:pPr>
        <w:pStyle w:val="TextoNormal"/>
      </w:pPr>
    </w:p>
    <w:p w:rsidR="00AC56D6" w:rsidRDefault="00AC56D6" w:rsidP="00AC56D6">
      <w:pPr>
        <w:pStyle w:val="TextoNormal"/>
      </w:pPr>
      <w:r>
        <w:t>“Estimad@s compañer@s.</w:t>
      </w:r>
    </w:p>
    <w:p w:rsidR="00AC56D6" w:rsidRDefault="00AC56D6" w:rsidP="00AC56D6">
      <w:pPr>
        <w:pStyle w:val="TextoNormal"/>
      </w:pPr>
    </w:p>
    <w:p w:rsidR="00AC56D6" w:rsidRDefault="00AC56D6" w:rsidP="00AC56D6">
      <w:pPr>
        <w:pStyle w:val="TextoNormal"/>
      </w:pPr>
      <w:r>
        <w:t>¿Os acordáis de la sanción impuesta a Juan Carlos Robles Chaves, presidente del comité empresa Hilera y Secretario de la Sección Sindical de CGT, con 15 días sin empleo y sueldo, además de una falta muy grave por el comunicado a Dña. Esther Sánchez?, pues bien, la justicia la ha dejado sin efecto.</w:t>
      </w:r>
    </w:p>
    <w:p w:rsidR="00AC56D6" w:rsidRDefault="00AC56D6" w:rsidP="00AC56D6">
      <w:pPr>
        <w:pStyle w:val="TextoNormal"/>
      </w:pPr>
    </w:p>
    <w:p w:rsidR="00AC56D6" w:rsidRDefault="00AC56D6" w:rsidP="00AC56D6">
      <w:pPr>
        <w:pStyle w:val="TextoNormal"/>
      </w:pPr>
      <w:r>
        <w:t>Tras ser recurrida ante el juzgado de lo social de Málaga, Recursos Humanos ha reconocido su grave error y ha anulado la sanción que impuso de manera injusta a nuestro compañero Juan Carlos.</w:t>
      </w:r>
    </w:p>
    <w:p w:rsidR="00AC56D6" w:rsidRDefault="00AC56D6" w:rsidP="00AC56D6">
      <w:pPr>
        <w:pStyle w:val="TextoNormal"/>
      </w:pPr>
    </w:p>
    <w:p w:rsidR="00AC56D6" w:rsidRDefault="00AC56D6" w:rsidP="00AC56D6">
      <w:pPr>
        <w:pStyle w:val="TextoNormal"/>
      </w:pPr>
      <w:r>
        <w:t>Además, la empresa deberá restablecer la totalidad de las condiciones laborales y económicas quitadas de manera abusiva.</w:t>
      </w:r>
    </w:p>
    <w:p w:rsidR="00AC56D6" w:rsidRDefault="00AC56D6" w:rsidP="00AC56D6">
      <w:pPr>
        <w:pStyle w:val="TextoNormal"/>
      </w:pPr>
    </w:p>
    <w:p w:rsidR="00AC56D6" w:rsidRDefault="00AC56D6" w:rsidP="00AC56D6">
      <w:pPr>
        <w:pStyle w:val="TextoNormal"/>
      </w:pPr>
      <w:r>
        <w:lastRenderedPageBreak/>
        <w:t>No por esperado, deja de sorprender una vez más la actitud del Dpto. de RR.HH, quien llega a sancionar a un representante de los trabajadores y pierde después (y no es la primera) la razón delante del juez.</w:t>
      </w:r>
    </w:p>
    <w:p w:rsidR="00AC56D6" w:rsidRDefault="00AC56D6" w:rsidP="00AC56D6">
      <w:pPr>
        <w:pStyle w:val="TextoNormal"/>
      </w:pPr>
    </w:p>
    <w:p w:rsidR="00AC56D6" w:rsidRDefault="00AC56D6" w:rsidP="00AC56D6">
      <w:pPr>
        <w:pStyle w:val="TextoNormal"/>
      </w:pPr>
      <w:r>
        <w:t>Como nota significativa, os trasladamos la perplejidad con la que los Representantes de los Trabajadores nos quedamos al llegar a la ciudad de la justicia y ver a Dña. María Soledad Hidalgo Rueda (estudiante de empresariales), coordinadora de Gestión Recuperatoria, quien al parecer iba como testigo de la empresa para declarar por un hecho del que (por no haber existido), no podía tener el más mínimo conocimiento.</w:t>
      </w:r>
    </w:p>
    <w:p w:rsidR="00AC56D6" w:rsidRDefault="00AC56D6" w:rsidP="00AC56D6">
      <w:pPr>
        <w:pStyle w:val="TextoNormal"/>
      </w:pPr>
    </w:p>
    <w:p w:rsidR="00AC56D6" w:rsidRDefault="00AC56D6" w:rsidP="00AC56D6">
      <w:pPr>
        <w:pStyle w:val="TextoNormal"/>
      </w:pPr>
      <w:r>
        <w:t>Aunque ya tenéis conocimiento, os informamos que por desgracia sigue habiendo gente que piensa que las promociones en la empresa se consiguen obedeciendo de manera obsesiva y enfermiza, tenga el jefe razón o no. Desde el Comité de Empresa recomendamos la formación como pieza clave en la promoción profesional dentro de una empresa, dejando de lado los atajos sucios y las actitudes de dudosa moralidad.</w:t>
      </w:r>
    </w:p>
    <w:p w:rsidR="00AC56D6" w:rsidRDefault="00AC56D6" w:rsidP="00AC56D6">
      <w:pPr>
        <w:pStyle w:val="TextoNormal"/>
      </w:pPr>
    </w:p>
    <w:p w:rsidR="00AC56D6" w:rsidRDefault="00AC56D6" w:rsidP="00AC56D6">
      <w:pPr>
        <w:pStyle w:val="TextoNormal"/>
      </w:pPr>
      <w:r>
        <w:t>La sumisión y la obediencia tienen un límite</w:t>
      </w:r>
    </w:p>
    <w:p w:rsidR="00AC56D6" w:rsidRDefault="00AC56D6" w:rsidP="00AC56D6">
      <w:pPr>
        <w:pStyle w:val="TextoNormal"/>
      </w:pPr>
    </w:p>
    <w:p w:rsidR="00AC56D6" w:rsidRDefault="00AC56D6" w:rsidP="00AC56D6">
      <w:pPr>
        <w:pStyle w:val="TextoNormal"/>
      </w:pPr>
      <w:r>
        <w:t>¡La dignidad!</w:t>
      </w:r>
    </w:p>
    <w:p w:rsidR="00AC56D6" w:rsidRDefault="00AC56D6" w:rsidP="00AC56D6">
      <w:pPr>
        <w:pStyle w:val="TextoNormal"/>
      </w:pPr>
    </w:p>
    <w:p w:rsidR="00AC56D6" w:rsidRDefault="00AC56D6" w:rsidP="00AC56D6">
      <w:pPr>
        <w:pStyle w:val="TextoNormal"/>
      </w:pPr>
      <w:r>
        <w:t>Pd: ‘Los coordinadores, según la normativa interna de la empresa y la protección de los derechos de autor, tienen prohibido imprimir los libros de texto de empresariales y otras carreras análogas’.</w:t>
      </w:r>
    </w:p>
    <w:p w:rsidR="00AC56D6" w:rsidRDefault="00AC56D6" w:rsidP="00AC56D6">
      <w:pPr>
        <w:pStyle w:val="TextoNormal"/>
      </w:pPr>
    </w:p>
    <w:p w:rsidR="00AC56D6" w:rsidRDefault="00AC56D6" w:rsidP="00AC56D6">
      <w:pPr>
        <w:pStyle w:val="TextoNormal"/>
      </w:pPr>
      <w:r>
        <w:t>¡Esperamos entendáis la dificultad de ser representante de los trabajadores.</w:t>
      </w:r>
    </w:p>
    <w:p w:rsidR="00AC56D6" w:rsidRDefault="00AC56D6" w:rsidP="00AC56D6">
      <w:pPr>
        <w:pStyle w:val="TextoNormal"/>
      </w:pPr>
    </w:p>
    <w:p w:rsidR="00AC56D6" w:rsidRDefault="00AC56D6" w:rsidP="00AC56D6">
      <w:pPr>
        <w:pStyle w:val="TextoNormal"/>
      </w:pPr>
      <w:r>
        <w:t>Cuando incluso hasta los compañeros pueden venderte en cualquier momento!</w:t>
      </w:r>
    </w:p>
    <w:p w:rsidR="00AC56D6" w:rsidRDefault="00AC56D6" w:rsidP="00AC56D6">
      <w:pPr>
        <w:pStyle w:val="TextoNormal"/>
      </w:pPr>
    </w:p>
    <w:p w:rsidR="00AC56D6" w:rsidRDefault="00AC56D6" w:rsidP="00AC56D6">
      <w:pPr>
        <w:pStyle w:val="TextoNormal"/>
      </w:pPr>
      <w:r>
        <w:t>Saludos cordiales</w:t>
      </w:r>
    </w:p>
    <w:p w:rsidR="00AC56D6" w:rsidRDefault="00AC56D6" w:rsidP="00AC56D6">
      <w:pPr>
        <w:pStyle w:val="TextoNormal"/>
      </w:pPr>
    </w:p>
    <w:p w:rsidR="00AC56D6" w:rsidRDefault="00AC56D6" w:rsidP="00AC56D6">
      <w:pPr>
        <w:pStyle w:val="TextoNormal"/>
      </w:pPr>
      <w:r>
        <w:t>Comité Empresa Hilera Sección Sindical C.G.T.”</w:t>
      </w:r>
    </w:p>
    <w:p w:rsidR="00AC56D6" w:rsidRDefault="00AC56D6" w:rsidP="00AC56D6">
      <w:pPr>
        <w:pStyle w:val="TextoNormal"/>
      </w:pPr>
    </w:p>
    <w:p w:rsidR="00AC56D6" w:rsidRDefault="00AC56D6" w:rsidP="00AC56D6">
      <w:pPr>
        <w:pStyle w:val="TextoNormal"/>
      </w:pPr>
      <w:r>
        <w:t xml:space="preserve">La carta de despido subrayaba: i) que el ahora demandante de amparo y el resto de miembros del comité y de la sección sindical de la Confederación General de Trabajadores (CGT), afirman que la justicia ha dejado sin efecto una sanción anteriormente impuesta al propio don Juan Carlos Robles Chaves, miembro de ambas representaciones, imputando al departamento de recursos humanos el reconocimiento de su grave error y el carácter injusto de la citada sanción; ii) que la realidad de las cosas es otra, a saber: la empresa y el trabajador despedido, conjuntamente y a instancia de la Secretaria del Juzgado, consideraron que la forma más adecuada para resolver el litigio por sanción al que se hace alusión en la nota era prestar su consentimiento expreso a la modificación de la calificación de la infracción, imponiendo la sanción de amonestación escrita —acuerdo conciliatorio alcanzado ante el Juzgado de lo Social núm. 13 de Málaga el día 20 de febrero de 2012—; iii) que con la aceptación de esa rebaja en la sanción el trabajador implícitamente aceptaba que los hechos imputados se produjeron, como la empresa había denunciado; iv) que, en consecuencia, el departamento de recursos humanos no aceptaba ningún error, ni anulaba la sanción, ni aceptaba, sino todo lo contrario, el carácter injusto de aquélla, de suerte que la nota publicada expresa un evidente y notorio menosprecio a la realidad de lo ocurrido, introduciendo afirmaciones </w:t>
      </w:r>
      <w:r>
        <w:lastRenderedPageBreak/>
        <w:t>falsas e insidiosas, ofensas graves e intencionadas contra la entidad; v) que, de modo más grave aún, en el comunicado se contienen una serie de injurias, descalificaciones y ofensas hacia una compañera de trabajo que carecen de la más mínima justificación y cuya gravedad crece en tanto que quien las formula es el presidente del comité de empresa.</w:t>
      </w:r>
    </w:p>
    <w:p w:rsidR="00AC56D6" w:rsidRDefault="00AC56D6" w:rsidP="00AC56D6">
      <w:pPr>
        <w:pStyle w:val="TextoNormal"/>
      </w:pPr>
    </w:p>
    <w:p w:rsidR="00AC56D6" w:rsidRDefault="00AC56D6" w:rsidP="00AC56D6">
      <w:pPr>
        <w:pStyle w:val="TextoNormal"/>
      </w:pPr>
      <w:r>
        <w:t>Sobre ese último punto dice la carta de despido:</w:t>
      </w:r>
    </w:p>
    <w:p w:rsidR="00AC56D6" w:rsidRDefault="00AC56D6" w:rsidP="00AC56D6">
      <w:pPr>
        <w:pStyle w:val="TextoNormal"/>
      </w:pPr>
    </w:p>
    <w:p w:rsidR="00AC56D6" w:rsidRDefault="00AC56D6" w:rsidP="00AC56D6">
      <w:pPr>
        <w:pStyle w:val="TextoNormal"/>
      </w:pPr>
      <w:r>
        <w:t>“a. Por un lado, afirma que esa persona, en el juicio por sanción al que antes se hizo alusión, ‘iba a declarar como testigo de la empresa para declarar por un hecho del que (por no haber existido) no podía tener el más mínimo conocimiento’. Con tal afirmación, al margen de colocar a la trabajadora en cuestión y frente a todo el personal en una situación de apariencia de sumisión irracional hacia la empresa que no obedece en absoluto a la realidad, lo que está haciendo es, directamente, imputarle cuando menos un delito de falso testimonio en grado de tentativa. Dicho de otro modo, está afirmando claramente que esa persona iba a mentir inventando unos hechos falsos con el objetivo de favorecer la postura procesal de la empresa, imputación gravísima que tiene por sí misma un carácter calumnioso fuera de toda duda.</w:t>
      </w:r>
    </w:p>
    <w:p w:rsidR="00AC56D6" w:rsidRDefault="00AC56D6" w:rsidP="00AC56D6">
      <w:pPr>
        <w:pStyle w:val="TextoNormal"/>
      </w:pPr>
    </w:p>
    <w:p w:rsidR="00AC56D6" w:rsidRDefault="00AC56D6" w:rsidP="00AC56D6">
      <w:pPr>
        <w:pStyle w:val="TextoNormal"/>
      </w:pPr>
      <w:r>
        <w:t>b. Por otro lado, acusa a tal persona de tomar ‘atajos sucios’ y desarrollar ‘actitudes de dudosa moralidad’, indignas, para promocionar en la empresa, imputaciones que también son claramente injuriosas y que colocan a dicha trabajadora, frente al resto de sus propios compañeros, en una situación ciertamente delicada, de caída en desgracia, que está carente de la más mínima justificación real.</w:t>
      </w:r>
    </w:p>
    <w:p w:rsidR="00AC56D6" w:rsidRDefault="00AC56D6" w:rsidP="00AC56D6">
      <w:pPr>
        <w:pStyle w:val="TextoNormal"/>
      </w:pPr>
    </w:p>
    <w:p w:rsidR="00AC56D6" w:rsidRDefault="00AC56D6" w:rsidP="00AC56D6">
      <w:pPr>
        <w:pStyle w:val="TextoNormal"/>
      </w:pPr>
      <w:r>
        <w:t>c. Finalmente, y de una forma subrepticia pero claramente malintencionada y con la misma finalidad injuriosa, imputa a dicha trabajadora realizar fotocopias de libros de texto de la carrera de empresariales. Efectivamente, cuando se refiere por vez primera a esta persona, entrecomilla su condición de ‘estudiante de empresariales’, y hacen alusión a su condición de ‘coordinadora’, datos estos a priori baladíes e irrelevantes, cuya dimensión y verdadero alcance difamatorio se alcanza a comprender cuando, en la post data, se afirma en el panfleto: ‘Los coordinadores, según la normativa interna de la empresa y la protección de los derechos de autor, tienen prohibido imprimir los libros de texto de empresariales y otras carreras análogas’.”</w:t>
      </w:r>
    </w:p>
    <w:p w:rsidR="00AC56D6" w:rsidRDefault="00AC56D6" w:rsidP="00AC56D6">
      <w:pPr>
        <w:pStyle w:val="TextoNormal"/>
      </w:pPr>
    </w:p>
    <w:p w:rsidR="00AC56D6" w:rsidRDefault="00AC56D6" w:rsidP="00AC56D6">
      <w:pPr>
        <w:pStyle w:val="TextoNormal"/>
      </w:pPr>
      <w:r>
        <w:t>Con base en todo lo expuesto, se le comunicaba el despido al demandante de amparo, no sin antes resaltar que la conducta se agravaba por su condición de representante de los trabajadores, “lo que le concede sin duda alguna garantías y prerrogativas, pero también le impone un grado de responsabilidad superior al de resto de los trabajadores en el mantenimiento del buen clima laboral.”</w:t>
      </w:r>
    </w:p>
    <w:p w:rsidR="00AC56D6" w:rsidRDefault="00AC56D6" w:rsidP="00AC56D6">
      <w:pPr>
        <w:pStyle w:val="TextoNormal"/>
      </w:pPr>
    </w:p>
    <w:p w:rsidR="00AC56D6" w:rsidRDefault="00AC56D6" w:rsidP="00AC56D6">
      <w:pPr>
        <w:pStyle w:val="TextoNormal"/>
      </w:pPr>
      <w:r>
        <w:t>c) El Juzgado de lo Social núm. 2 de Málaga dictó Sentencia de 18 de julio de 2012, absolviendo a la empresa demandada de las pretensiones deducidas en su contra.</w:t>
      </w:r>
    </w:p>
    <w:p w:rsidR="00AC56D6" w:rsidRDefault="00AC56D6" w:rsidP="00AC56D6">
      <w:pPr>
        <w:pStyle w:val="TextoNormal"/>
      </w:pPr>
    </w:p>
    <w:p w:rsidR="00AC56D6" w:rsidRDefault="00AC56D6" w:rsidP="00AC56D6">
      <w:pPr>
        <w:pStyle w:val="TextoNormal"/>
      </w:pPr>
      <w:r>
        <w:t xml:space="preserve">Además de referirse a los documentos antes reseñados, resaltan los hechos probados datos como los siguientes: i) que el señor Robles es afiliado a CGT y presidente del comité de empresa de OP Plus Operaciones y Servicios, S.A., integrado por él y dos compañeras de trabajo, representantes de la Unión General de Trabajadores (UGT) y las de Comisiones Obreras (CCOO); ii) que es cierto que en aquel proceso por sanción ante el Juzgado de lo </w:t>
      </w:r>
      <w:r>
        <w:lastRenderedPageBreak/>
        <w:t>Social núm. 13 de Málaga compareció la empleada referida en el escrito publicado en el tablón de anuncios (“al parecer propuesta como testigo por parte de la empresa”, dice el juzgador); iii) que el comunicado, aunque fue mostrado a las otras integrantes del comité de empresa, fue redactado exclusivamente por el actor, sin la intervención de las referidas compañeras, habiendo rechazado una de ellas (la representante de CCOO) su contenido, por considerarlo ofensivo para la trabajadora que era mencionada; iv) que el documento, además de su publicación en el tablón, fue repartido por el trabajador despedido y una delegada sindical de UGT, que actuó de ese modo por indicación de la representante de UGT en el comité de empresa; v) que la trabajadora identificada en el comunicado presentó dos escritos de queja a la dirección de la empresa: en el primero denunciaba que se había producido un ataque frontal a su persona, a modo de coacción o acoso, y anunciaba la posibilidad de adoptar medidas legales, rogando se tomaran las correspondientes por la empresa para proteger su imagen, dignidad y honor; manifestaba en el segundo escrito, de su parte, que el comunicado vulneraba su intimidad y vida personal, con acusaciones no probadas, que se sentía humillada e impotente y que la situación le había causado ansiedad, tensión física, psicológica y dolencias físicas, al punto de haber necesitado medicación, todo ello “sólo por el hecho de acudir a la ciudad de justicia para testificar haber visto al Secretario de este Comité realizando fotocopias en el centro de trabajo”, mostrando su miedo a nuevos ataques, coacciones y amenazas; vi) que la representante de UGT en el comité fue sancionada con suspensión de empleo y sueldo de dos días, mostrando su conformidad, como igualmente lo fue, con idéntica sanción, la delegada sindical de ese sindicato; vii) que con fecha de 20 de julio de 2011 se dictó Sentencia por el Juzgado de lo Social núm. 4 de Málaga en otro procedimiento por sanción, impuesta al recurrente en amparo en septiembre de 2009 y que fue declarada improcedente.</w:t>
      </w:r>
    </w:p>
    <w:p w:rsidR="00AC56D6" w:rsidRDefault="00AC56D6" w:rsidP="00AC56D6">
      <w:pPr>
        <w:pStyle w:val="TextoNormal"/>
      </w:pPr>
    </w:p>
    <w:p w:rsidR="00AC56D6" w:rsidRDefault="00AC56D6" w:rsidP="00AC56D6">
      <w:pPr>
        <w:pStyle w:val="TextoNormal"/>
      </w:pPr>
      <w:r>
        <w:t>Abordando después las pretensiones de la parte demandante, rechazaba el juzgador la alegación referida a la libertad sindical (art. 28.1 CE) —derecho que el actor aducía para oponerse al trato más grave recibido en contraste con la sanción impuesta a las representantes de UGT—. En opinión de la Sentencia, la decisión empresarial no estuvo desprovista de objetividad visto el distinto grado de participación que tuvieron los afectados en la elaboración y distribución del documento, pues era evidente que su autoría era plenamente atribuible al actor al ser quien lo elaboró sin consultarlo con sus compañeras. En suma, señalaba la resolución judicial que la empresa no impuso al actor una sanción de mayor gravedad motivada por su afiliación sindical a CGT, sino en atención al grado de autoría y participación del mismo en la elaboración y distribución del escrito.</w:t>
      </w:r>
    </w:p>
    <w:p w:rsidR="00AC56D6" w:rsidRDefault="00AC56D6" w:rsidP="00AC56D6">
      <w:pPr>
        <w:pStyle w:val="TextoNormal"/>
      </w:pPr>
    </w:p>
    <w:p w:rsidR="00AC56D6" w:rsidRDefault="00AC56D6" w:rsidP="00AC56D6">
      <w:pPr>
        <w:pStyle w:val="TextoNormal"/>
      </w:pPr>
      <w:r>
        <w:t>En cuanto a la pretensión articulada al amparo de los derechos fundamentales de información y libertad de expresión sindical [arts. 20.1 a) y d) en relación con el art. 28.1 CE], razona la Sentencia que la medida disciplinaria no tuvo carácter antisindical ya que representó, antes bien, una respuesta a las quejas formuladas por la trabajadora a la que se le atribuía un comportamiento indigno. La decisión de la empresa, por tanto, concluía el juzgador, no puede ser tachada de arbitraria o carente de razonabilidad ni, en consecuencia, vulneradora de la libertad de expresión, puesto que ese derecho tiene como límite el deber de buena fe y el respeto de los derechos constitucionales del honor y la propia imagen.</w:t>
      </w:r>
    </w:p>
    <w:p w:rsidR="00AC56D6" w:rsidRDefault="00AC56D6" w:rsidP="00AC56D6">
      <w:pPr>
        <w:pStyle w:val="TextoNormal"/>
      </w:pPr>
    </w:p>
    <w:p w:rsidR="00AC56D6" w:rsidRDefault="00AC56D6" w:rsidP="00AC56D6">
      <w:pPr>
        <w:pStyle w:val="TextoNormal"/>
      </w:pPr>
      <w:r>
        <w:t xml:space="preserve">Finalmente, en lo que atañe a la alegada lesión de la garantía de indemnidad (art. 24.1 CE) —pretensión que articulaba la demanda asociando el despido impugnado y la actividad del actor como presidente del comité de empresa, que dio lugar a diversos procedimientos </w:t>
      </w:r>
      <w:r>
        <w:lastRenderedPageBreak/>
        <w:t>por sanciones y a denuncias formuladas ante la Inspección de Trabajo— no se apreciaba tampoco lesión alguna. Decía la resolución que, pese a ser evidente que no eran pacíficas las relaciones entre el actor y la empresa por razón del ejercicio de su actividad sindical, quedó acreditado que la decisión empresarial de despido no fue adoptada de forma caprichosa o arbitraria, como reacción ante la actitud reivindicativa del representante en esos precedentes, sino con base en los indicados datos objetivos (escrito injurioso y vejatorio).</w:t>
      </w:r>
    </w:p>
    <w:p w:rsidR="00AC56D6" w:rsidRDefault="00AC56D6" w:rsidP="00AC56D6">
      <w:pPr>
        <w:pStyle w:val="TextoNormal"/>
      </w:pPr>
    </w:p>
    <w:p w:rsidR="00AC56D6" w:rsidRDefault="00AC56D6" w:rsidP="00AC56D6">
      <w:pPr>
        <w:pStyle w:val="TextoNormal"/>
      </w:pPr>
      <w:r>
        <w:t>En definitiva, se concluye, el despido es procedente porque del documento se deducen dos conclusiones: i) que las referencias dirigidas a criticar el comportamiento empresarial por la imposición de una sanción al actor no pueden merecer la calificación de falta grave ni muy grave, en tanto no incluyen ninguna expresión vejatoria, insultante, ni de falta de respeto hacia la empresa, aun cuando considerase ésta que lo relatado en el documento no se ajustaba a la realidad; ii) que, en cambio —y de ahí el fundamento de la calificación del despido como ajustado a Derecho—, no pueden encontrar amparo en la libertad de expresión las menciones a la compañera de trabajo por su intervención en el Juzgado como testigo propuesto por la empresa, ya que se le imputan, excediendo ampliamente los límites de aquel derecho fundamental, una conducta de dudosa moralidad y falta de dignidad, así como el interés de buscar un atajo sucio para su promoción en la empresa.</w:t>
      </w:r>
    </w:p>
    <w:p w:rsidR="00AC56D6" w:rsidRDefault="00AC56D6" w:rsidP="00AC56D6">
      <w:pPr>
        <w:pStyle w:val="TextoNormal"/>
      </w:pPr>
    </w:p>
    <w:p w:rsidR="00AC56D6" w:rsidRDefault="00AC56D6" w:rsidP="00AC56D6">
      <w:pPr>
        <w:pStyle w:val="TextoNormal"/>
      </w:pPr>
      <w:r>
        <w:t>d) El sucesivo recurso de suplicación fue desestimado por la Sentencia de la Sala de lo Social del Tribunal Superior de Justicia de Andalucía, sede de Málaga, de 16 de mayo de 2013. Respecto de la primera queja (art. 24.1 CE), sostiene la Sala que del inalterado relato fáctico de la Sentencia recurrida se infiere que la decisión empresarial “tiene una concatenación objetiva y temporal clara con una previa actuación del demandante, que se entendió por la demandada digna de represión disciplinaria y que además encontraba pleno cobijo en el catálogo de faltas disciplinarias susceptibles de ser sancionadas con el despido ahora enjuiciado, sin que conste ni pueda inferirse de las actuaciones —ni indiciariamente— la supuesta vinculación entre el despido hoy contrariado y las previas reclamaciones judiciales vertidas por el actor ante la empresa”.</w:t>
      </w:r>
    </w:p>
    <w:p w:rsidR="00AC56D6" w:rsidRDefault="00AC56D6" w:rsidP="00AC56D6">
      <w:pPr>
        <w:pStyle w:val="TextoNormal"/>
      </w:pPr>
    </w:p>
    <w:p w:rsidR="00AC56D6" w:rsidRDefault="00AC56D6" w:rsidP="00AC56D6">
      <w:pPr>
        <w:pStyle w:val="TextoNormal"/>
      </w:pPr>
      <w:r>
        <w:t>En segundo lugar, razona la Sentencia que no encontraba acomodo la conducta del actor en los arts. 20.1 a) y d) CE, en relación con su condición representativa, pues en el comunicado se incluían importantes “descalificativos insultantes, injuriosos y vejatorios, claramente atentatorios contra la honorabilidad de tal empleada”, de manera “plenamente dolosa y premeditada” y con un propósito de “represalia y en escarnio público”, todo ello “por el mero hecho de hacer acudido la misma en calidad de testigo —se infiere que por llamamiento judicial tras previa petición de la entidad demandada— al procedimiento judicial por impugnación de la sanción que había sido impuesta al aquí demandante”, y aunque la empleada indicada compareciera “en cumplimiento de las obligaciones y deberes legales, o en todo caso en ejercicio de un legítimo derecho, y en ningún caso con el propósito de causar ilícitamente un perjuicio al aquí demandante”.</w:t>
      </w:r>
    </w:p>
    <w:p w:rsidR="00AC56D6" w:rsidRDefault="00AC56D6" w:rsidP="00AC56D6">
      <w:pPr>
        <w:pStyle w:val="TextoNormal"/>
      </w:pPr>
    </w:p>
    <w:p w:rsidR="00AC56D6" w:rsidRDefault="00AC56D6" w:rsidP="00AC56D6">
      <w:pPr>
        <w:pStyle w:val="TextoNormal"/>
      </w:pPr>
      <w:r>
        <w:t>En el decir del Tribunal, tras referirse a pronunciamientos del Tribunal Supremo, “la sanción de despido impuesta al demandante, vistas las circunstancias en que acontecieron los hechos sancionados, los indudables ribetes penales que conllevan las expresiones proferidas, y los motivos —de represalia y denigrantes— que llevaron a las mismas, ha de refrendarse en la presente resolución”. Y es que la conducta enjuiciada resultaría “completa</w:t>
      </w:r>
      <w:r>
        <w:lastRenderedPageBreak/>
        <w:t>mente ajena a los cometidos propios derivados de su actividad sindical” y “no puede entenderse avalada por el derecho fundamental a la libertad de expresión e información”, estando desvinculada de las reclamaciones judiciales previas, de su afiliación sindical y de la condición representativa que ostenta el demandante, más si se atiende a que “las garantías que los representantes de los trabajadores tienen atribuidas no pueden ser vistas como privilegios de no aplicación a ellos de las normas que regulan la relación laboral”.</w:t>
      </w:r>
    </w:p>
    <w:p w:rsidR="00AC56D6" w:rsidRDefault="00AC56D6" w:rsidP="00AC56D6">
      <w:pPr>
        <w:pStyle w:val="TextoNormal"/>
      </w:pPr>
    </w:p>
    <w:p w:rsidR="00AC56D6" w:rsidRDefault="00AC56D6" w:rsidP="00AC56D6">
      <w:pPr>
        <w:pStyle w:val="TextoNormal"/>
      </w:pPr>
      <w:r w:rsidRPr="00AC56D6">
        <w:rPr>
          <w:rStyle w:val="NumeroAFNegritaCaracter"/>
        </w:rPr>
        <w:t>3</w:t>
      </w:r>
      <w:r>
        <w:t>. El demandante de amparo aduce la vulneración del derecho fundamental a la libertad sindical (art. 28.1 CE) en relación con los arts. 14, 20.1 a) y d) y 24.1 CE.</w:t>
      </w:r>
    </w:p>
    <w:p w:rsidR="00AC56D6" w:rsidRDefault="00AC56D6" w:rsidP="00AC56D6">
      <w:pPr>
        <w:pStyle w:val="TextoNormal"/>
      </w:pPr>
    </w:p>
    <w:p w:rsidR="00AC56D6" w:rsidRDefault="00AC56D6" w:rsidP="00AC56D6">
      <w:pPr>
        <w:pStyle w:val="TextoNormal"/>
      </w:pPr>
      <w:r>
        <w:t>De una parte, y en cuanto a la conexión que traba entre los arts. 28.1 y 14 CE, no comparte que deba prevalecer la autoría de creación del escrito frente a la autoría cooperativa, que daría lugar a un trato igual con otros representantes de los trabajadores que también participaron en la difusión y distribución del comunicado (miembros de UGT) y a los que se les impuso a una sanción menor. Con cita de la STS 2419/2005 (</w:t>
      </w:r>
      <w:r w:rsidRPr="00AC56D6">
        <w:rPr>
          <w:i/>
        </w:rPr>
        <w:t>sic</w:t>
      </w:r>
      <w:r>
        <w:t>), de 20 de abril, en recurso de casación para la unificación de doctrina núm. 6701-2003, defiende que no es posible fragmentar el proceso de elaboración del escrito y el momento de su difusión entre los trabajadores, al tratarse de un único acto de expresión colectiva. Por consiguiente, una vez acreditada la responsabilidad de todos los representantes de los trabajadores, la desigualdad de trato en la sanción con respecto a otros intervinientes en ese proceso carece de toda justificación razonable.</w:t>
      </w:r>
    </w:p>
    <w:p w:rsidR="00AC56D6" w:rsidRDefault="00AC56D6" w:rsidP="00AC56D6">
      <w:pPr>
        <w:pStyle w:val="TextoNormal"/>
      </w:pPr>
    </w:p>
    <w:p w:rsidR="00AC56D6" w:rsidRDefault="00AC56D6" w:rsidP="00AC56D6">
      <w:pPr>
        <w:pStyle w:val="TextoNormal"/>
      </w:pPr>
      <w:r>
        <w:t>En segundo lugar se habría producido una lesión de los derechos a la libertad de expresión e información sindical, esto es, del art. 28.1 en relación con art. 20.1 a) y d) CE. Recuerda el recurrente que, según la doctrina constitucional, no cabe definir lo objetivamente ofensivo al margen por completo de las circunstancias y del contexto en el que se desarrolla la conducta expresiva, ni tampoco limitar la cobertura que ofrece la libertad de expresión a aquello que sea imprescindible y absolutamente pertinente, ni reducir su ámbito de protección a las expresiones previsibles o al uso en situaciones de acuerdo o avenencia, pues esa lectura de los márgenes de actuación del derecho fundamental de la libertad de expresión sindical supondría reducir su ámbito a las ideas de corrección formal abstracta y utilidad o conveniencia, lo que constituiría una restricción no justificada (cita la STC 198/2004, de 15 de noviembre).</w:t>
      </w:r>
    </w:p>
    <w:p w:rsidR="00AC56D6" w:rsidRDefault="00AC56D6" w:rsidP="00AC56D6">
      <w:pPr>
        <w:pStyle w:val="TextoNormal"/>
      </w:pPr>
    </w:p>
    <w:p w:rsidR="00AC56D6" w:rsidRDefault="00AC56D6" w:rsidP="00AC56D6">
      <w:pPr>
        <w:pStyle w:val="TextoNormal"/>
      </w:pPr>
      <w:r>
        <w:t>Por tanto, debe contextualizarse el contenido del comunicado. Y es notorio el clima de conflictividad laboral existente en el seno de la empresa, lo mismo que las dificultades del demandante en las relaciones con la empleadora por razón del ejercicio de su actividad representativa. Desde esas premisas se explica el escrito objeto de controversia, que buscaba mantener informados a los trabajadores representados en temas que tenían directa repercusión en las relaciones laborales, concretamente en una cuestión notoria y noticiable para sus intereses por afectar al ejercicio de las funciones por parte de sus representantes.</w:t>
      </w:r>
    </w:p>
    <w:p w:rsidR="00AC56D6" w:rsidRDefault="00AC56D6" w:rsidP="00AC56D6">
      <w:pPr>
        <w:pStyle w:val="TextoNormal"/>
      </w:pPr>
    </w:p>
    <w:p w:rsidR="00AC56D6" w:rsidRDefault="00AC56D6" w:rsidP="00AC56D6">
      <w:pPr>
        <w:pStyle w:val="TextoNormal"/>
      </w:pPr>
      <w:r>
        <w:t xml:space="preserve">Su contenido, por lo demás, daba cuenta de lo sucedido conforme a una determinada interpretación (“la empresa reconoce su error y anula la sanción injusta....”); en ningún momento señalaba que la trabajadora mencionada fuese a declarar, sino sólo que “al parecer” iba a hacerlo como testigo de la empresa, acompañándose de una valoración; y, en fin, utilizaba términos y expresiones formalmente correctos aun cuando pudieran molestar, cosa </w:t>
      </w:r>
      <w:r>
        <w:lastRenderedPageBreak/>
        <w:t>que ampara la libertad de expresión: expresiones como “dudosa moralidad” o “atajos sucios”, utilizadas en el escrito del comité y exacerbadas por la empresa para justificar un supuesto trato vejatorio, no sobrepasan la crítica permitida por el art. 20.1 a) CE en su vertiente sindical. La interpretación contraria, dice el recurso, esterilizaría la acción sindical, limitando así su lenguaje hasta el punto de inutilizarlo para la crítica. Contextualizadas dichas manifestaciones, en definitiva, son expresiones coloquiales y socialmente utilizadas que distan del insulto.</w:t>
      </w:r>
    </w:p>
    <w:p w:rsidR="00AC56D6" w:rsidRDefault="00AC56D6" w:rsidP="00AC56D6">
      <w:pPr>
        <w:pStyle w:val="TextoNormal"/>
      </w:pPr>
    </w:p>
    <w:p w:rsidR="00AC56D6" w:rsidRDefault="00AC56D6" w:rsidP="00AC56D6">
      <w:pPr>
        <w:pStyle w:val="TextoNormal"/>
      </w:pPr>
      <w:r>
        <w:t>Con amparo en lo expuesto, resalta la demanda tres elementos que excluirían la sanción impuesta desde el prisma del derecho a la acción sindical informativa y expresiva: i) la ausencia de difusión pública o externa del escrito; ii) el carácter estrictamente laboral y sindical de su contenido; iii) la ausencia de perjuicio a los intereses empresariales. Pese a todo ello se ha hecho un uso (desproporcionado) de la capacidad sancionadora, arrogándose la sociedad empleadora la representación de la trabajadora mencionada en el escrito y alegando un daño grave —sin determinar en qué consiste— y aunque la propia persona citada en el comunicado no haya emprendido ninguna acción para salvaguardar una hipotética lesión a su honor en función de un daño objetivo.</w:t>
      </w:r>
    </w:p>
    <w:p w:rsidR="00AC56D6" w:rsidRDefault="00AC56D6" w:rsidP="00AC56D6">
      <w:pPr>
        <w:pStyle w:val="TextoNormal"/>
      </w:pPr>
    </w:p>
    <w:p w:rsidR="00AC56D6" w:rsidRDefault="00AC56D6" w:rsidP="00AC56D6">
      <w:pPr>
        <w:pStyle w:val="TextoNormal"/>
      </w:pPr>
      <w:r>
        <w:t>En tercer y último lugar denuncia el recurrente la vulneración del derecho a la libertad sindical en conexión con la garantía de indemnidad del art. 24.1 CE. Alega que la reacción disciplinaria responde en realidad al propósito de sancionar al presidente del comité de empresa por su labor como representante de los trabajadores y miembro de CGT, lo que le condujo en el pasado al ejercicio de acciones judiciales frente a sanciones impuestas por la empresa y a la formalización de denuncias ante la Inspección de Trabajo que estarían en la base del acto extintivo.</w:t>
      </w:r>
    </w:p>
    <w:p w:rsidR="00AC56D6" w:rsidRDefault="00AC56D6" w:rsidP="00AC56D6">
      <w:pPr>
        <w:pStyle w:val="TextoNormal"/>
      </w:pPr>
    </w:p>
    <w:p w:rsidR="00AC56D6" w:rsidRDefault="00AC56D6" w:rsidP="00AC56D6">
      <w:pPr>
        <w:pStyle w:val="TextoNormal"/>
      </w:pPr>
      <w:r>
        <w:t>Por todo ello interesa que se declare la vulneración del art. 28.1 CE, en la relación enunciada con los restantes derechos fundamentales aludidos, y que se proceda a anular las Sentencias del Tribunal Superior de Justicia de Andalucía con sede en Málaga, de fecha 16 de mayo de 2013 (recurso de suplicación núm. 432-2013), y del Juzgado de lo Social número 2 de Málaga, de 18 de julio de 2012, en autos de despido núm. 444-2012.</w:t>
      </w:r>
    </w:p>
    <w:p w:rsidR="00AC56D6" w:rsidRDefault="00AC56D6" w:rsidP="00AC56D6">
      <w:pPr>
        <w:pStyle w:val="TextoNormal"/>
      </w:pPr>
    </w:p>
    <w:p w:rsidR="00AC56D6" w:rsidRDefault="00AC56D6" w:rsidP="00AC56D6">
      <w:pPr>
        <w:pStyle w:val="TextoNormal"/>
      </w:pPr>
      <w:r w:rsidRPr="00AC56D6">
        <w:rPr>
          <w:rStyle w:val="NumeroAFNegritaCaracter"/>
        </w:rPr>
        <w:t>4</w:t>
      </w:r>
      <w:r>
        <w:t>. En virtud de providencia de la Sala Segunda de este Tribunal, de 21 de julio de 2014, se acordó la admisión a trámite de la demanda de amparo y se solicitó la certificación o fotocopia adverada de las actuaciones a los órganos judiciales que intervinieron en los diferentes grados jurisdiccionales, antes citados, así como la práctica de los emplazamientos correspondientes.</w:t>
      </w:r>
    </w:p>
    <w:p w:rsidR="00AC56D6" w:rsidRDefault="00AC56D6" w:rsidP="00AC56D6">
      <w:pPr>
        <w:pStyle w:val="TextoNormal"/>
      </w:pPr>
    </w:p>
    <w:p w:rsidR="00AC56D6" w:rsidRDefault="00AC56D6" w:rsidP="00AC56D6">
      <w:pPr>
        <w:pStyle w:val="TextoNormal"/>
      </w:pPr>
      <w:r w:rsidRPr="00AC56D6">
        <w:rPr>
          <w:rStyle w:val="NumeroAFNegritaCaracter"/>
        </w:rPr>
        <w:t>5</w:t>
      </w:r>
      <w:r>
        <w:t>. Mediante escrito registrado en este Tribunal el día 9 de septiembre de 2014, la Procuradora doña Aranzazu Fernández Pérez solicitó que se le tuviera por personada en nombre y representación de OP Plus Operaciones y Servicios, S.A.</w:t>
      </w:r>
    </w:p>
    <w:p w:rsidR="00AC56D6" w:rsidRDefault="00AC56D6" w:rsidP="00AC56D6">
      <w:pPr>
        <w:pStyle w:val="TextoNormal"/>
      </w:pPr>
    </w:p>
    <w:p w:rsidR="00AC56D6" w:rsidRDefault="00AC56D6" w:rsidP="00AC56D6">
      <w:pPr>
        <w:pStyle w:val="TextoNormal"/>
      </w:pPr>
      <w:r w:rsidRPr="00AC56D6">
        <w:rPr>
          <w:rStyle w:val="NumeroAFNegritaCaracter"/>
        </w:rPr>
        <w:t>6</w:t>
      </w:r>
      <w:r>
        <w:t xml:space="preserve">. Por diligencia de ordenación de la Secretaría de Justicia de la Sala Segunda de este Tribunal, de 15 de septiembre de 2014, se tuvieron por recibidos los testimonios de las actuaciones y el escrito de la Procuradora doña Aranzazu Fernández Pérez, a quien se tuvo por personada y parte en la representación que ostenta, acordándose abrir el plazo común de veinte días al Ministerio Fiscal y a las partes personadas, de conformidad con el art. 52.1 </w:t>
      </w:r>
      <w:r>
        <w:lastRenderedPageBreak/>
        <w:t>de la Ley Orgánica del Tribunal Constitucional (LOTC), para que pudieran presentar las alegaciones que a su derecho conviniere.</w:t>
      </w:r>
    </w:p>
    <w:p w:rsidR="00AC56D6" w:rsidRDefault="00AC56D6" w:rsidP="00AC56D6">
      <w:pPr>
        <w:pStyle w:val="TextoNormal"/>
      </w:pPr>
    </w:p>
    <w:p w:rsidR="00AC56D6" w:rsidRDefault="00AC56D6" w:rsidP="00AC56D6">
      <w:pPr>
        <w:pStyle w:val="TextoNormal"/>
      </w:pPr>
      <w:r w:rsidRPr="00AC56D6">
        <w:rPr>
          <w:rStyle w:val="NumeroAFNegritaCaracter"/>
        </w:rPr>
        <w:t>7</w:t>
      </w:r>
      <w:r>
        <w:t xml:space="preserve">. OP Plus Operaciones y Servicios, S.A., registró su escrito de alegaciones el día 15 de octubre de 2014. Enuncia en primer lugar la posible inadmisión parcial del recurso por insuficiente justificación de la especial trascendencia constitucional (art. 49.1 </w:t>
      </w:r>
      <w:r w:rsidRPr="00AC56D6">
        <w:rPr>
          <w:i/>
        </w:rPr>
        <w:t>in fine</w:t>
      </w:r>
      <w:r>
        <w:t xml:space="preserve"> LOTC) en lo relativo a la alegada vulneración de la garantía de indemnidad (arts. 28.1 y 24.1 CE). Aduce que, respecto de esa concreta invocación, no se satisface la carga de justificación que prescribe aquel precepto de la Ley Orgánica del Tribunal Constitucional, a cuyo fin reproduce literalmente la argumentación que contiene la demanda en ese punto, para concluir luego, a renglón seguido y sin ningún otro añadido, que tal forma de razonar evidencia el incumplimiento del requisito.</w:t>
      </w:r>
    </w:p>
    <w:p w:rsidR="00AC56D6" w:rsidRDefault="00AC56D6" w:rsidP="00AC56D6">
      <w:pPr>
        <w:pStyle w:val="TextoNormal"/>
      </w:pPr>
    </w:p>
    <w:p w:rsidR="00AC56D6" w:rsidRDefault="00AC56D6" w:rsidP="00AC56D6">
      <w:pPr>
        <w:pStyle w:val="TextoNormal"/>
      </w:pPr>
      <w:r>
        <w:t>Explicitada así su objeción de admisibilidad, razona a continuación sobre el orden apropiado de tratamiento de las quejas y conforme al que estima pertinente comienza oponiéndose al motivo segundo de la demanda [arts. 28.1 y 20.1 a) y d) CE]. A su parecer, pese a la invocación contenida en el recurso, no tiene ningún protagonismo el derecho a la libertad sindical en su vertiente de derecho de libertad de expresión e información sobre materias de índole laboral y sindical ya que no actuaba el recurrente en nombre de su sindicato, sino como miembro del órgano de representación unitaria de la empresa, al no existir ninguna sección sindical de la CGT constituida en la misma el momento de producirse los hechos. Aunque el escrito controvertido esté firmado por la sección sindical de la CGT no es posible equiparar los comités de empresa, ni siquiera si se encuentran “sindicalizados”, a los sindicatos. La actuación de un miembro del comité de empresa no forma parte ni es expresión del ámbito protegido por el derecho a la libertad sindical del art. 28.1 CE en ninguna de sus vertientes.</w:t>
      </w:r>
    </w:p>
    <w:p w:rsidR="00AC56D6" w:rsidRDefault="00AC56D6" w:rsidP="00AC56D6">
      <w:pPr>
        <w:pStyle w:val="TextoNormal"/>
      </w:pPr>
    </w:p>
    <w:p w:rsidR="00AC56D6" w:rsidRDefault="00AC56D6" w:rsidP="00AC56D6">
      <w:pPr>
        <w:pStyle w:val="TextoNormal"/>
      </w:pPr>
      <w:r>
        <w:t>En todo caso, considera que las informaciones que se ofrecían a los trabajadores, pese a que pudieran encuadrarse en las competencias informativas del comité de empresa, resultaron sesgadas y falsas (la relativa a la pretendida rectificación empresarial de la sanción inicialmente impuesta) o tenían dudoso carácter noticiable y eran ajenas a la función representativa (las referidas a la presencia en el Juzgado para testificar de la trabajadora mencionada en el comunicado), incumpliéndose con ello el deber de veracidad. De su parte, las manifestaciones vertidas en el escrito sobre la compañera de trabajo revelan una ofensa, que no queda amparada por la libertad de expresión, al resultar vejatorias e insultantes, como sostuvieron los órganos judiciales.</w:t>
      </w:r>
    </w:p>
    <w:p w:rsidR="00AC56D6" w:rsidRDefault="00AC56D6" w:rsidP="00AC56D6">
      <w:pPr>
        <w:pStyle w:val="TextoNormal"/>
      </w:pPr>
    </w:p>
    <w:p w:rsidR="00AC56D6" w:rsidRDefault="00AC56D6" w:rsidP="00AC56D6">
      <w:pPr>
        <w:pStyle w:val="TextoNormal"/>
      </w:pPr>
      <w:r>
        <w:t>Tampoco aprecia la empleadora vulneración alguna del art. 28.1 en relación con el art. 14 CE, al haber quedado absolutamente claro en el proceso que el autor intelectual y material del documento fue exclusivamente el recurrente, lo que rompe el intento de comparación que está en la base del juicio de igualdad. En esas circunstancias no cabe elevar a la categoría de “autoría cooperativa” lo que no es sino un comportamiento individualizado, grave y culpable. A mayor abundamiento, recuerda que no existe un derecho a la igualdad en la ilegalidad, de suerte que, una vez constatado que el recurrente en amparo incurrió en causa de despido, no es posible exigir un trato igual al resto de sus compañeras representantes, ni tampoco pretender que éstas sean tratadas como el recurrente.</w:t>
      </w:r>
    </w:p>
    <w:p w:rsidR="00AC56D6" w:rsidRDefault="00AC56D6" w:rsidP="00AC56D6">
      <w:pPr>
        <w:pStyle w:val="TextoNormal"/>
      </w:pPr>
    </w:p>
    <w:p w:rsidR="00AC56D6" w:rsidRDefault="00AC56D6" w:rsidP="00AC56D6">
      <w:pPr>
        <w:pStyle w:val="TextoNormal"/>
      </w:pPr>
      <w:r>
        <w:lastRenderedPageBreak/>
        <w:t xml:space="preserve">Se opone finalmente la empresa a la alegación por vulneración del art. 28.1 CE en su vertiente de garantía de indemnidad (art. 24.1 CE), que como se dijo estima inadmisible por falta de justificación de la especial trascendencia constitucional (art. 49.1 </w:t>
      </w:r>
      <w:r w:rsidRPr="00AC56D6">
        <w:rPr>
          <w:i/>
        </w:rPr>
        <w:t>in fine</w:t>
      </w:r>
      <w:r>
        <w:t xml:space="preserve"> LOTC). No obstante, tampoco la queja podría prosperar en un juicio sustantivo, pues quedó acreditada la justificación objetiva y razonable de la decisión adoptada. Que existan precedentes sancionatorios y que la relación entre la empresa y el representante de los trabajadores no fuera pacífica no esconde que en todos esos casos existía base fáctica para la reacción empresarial y, más allá de ello, no permite soslayar que fueron otros y por completo diferentes los fundamentos de la sanción que motiva este recurso. No cabe, en suma, confundir conflictividad previa con persecución por razón sindical, todavía más si se atiende a la lejanía en el tiempo de las aludidas sanciones impuestas por la empresa en el pasado (revisadas por la jurisdicción en los años 2009 y 2010).</w:t>
      </w:r>
    </w:p>
    <w:p w:rsidR="00AC56D6" w:rsidRDefault="00AC56D6" w:rsidP="00AC56D6">
      <w:pPr>
        <w:pStyle w:val="TextoNormal"/>
      </w:pPr>
    </w:p>
    <w:p w:rsidR="00AC56D6" w:rsidRDefault="00AC56D6" w:rsidP="00AC56D6">
      <w:pPr>
        <w:pStyle w:val="TextoNormal"/>
      </w:pPr>
      <w:r>
        <w:t>En definitiva, la empresa se enfrentó a un documento cuyo contenido era claramente ajeno al ejercicio de la actividad sindical, constituyendo más una venganza personal contra una trabajadora que una protesta por una situación o acto empresarial.</w:t>
      </w:r>
    </w:p>
    <w:p w:rsidR="00AC56D6" w:rsidRDefault="00AC56D6" w:rsidP="00AC56D6">
      <w:pPr>
        <w:pStyle w:val="TextoNormal"/>
      </w:pPr>
    </w:p>
    <w:p w:rsidR="00AC56D6" w:rsidRDefault="00AC56D6" w:rsidP="00AC56D6">
      <w:pPr>
        <w:pStyle w:val="TextoNormal"/>
      </w:pPr>
      <w:r w:rsidRPr="00AC56D6">
        <w:rPr>
          <w:rStyle w:val="NumeroAFNegritaCaracter"/>
        </w:rPr>
        <w:t>8</w:t>
      </w:r>
      <w:r>
        <w:t>. El Fiscal ante el Tribunal Constitucional evacuó el trámite de alegaciones mediante escrito registrado el día 15 de octubre de 2014. A su criterio, el debate ha de quedar situado en el marco de la libertad de expresión [art. 20.1 a) CE], dado que el expediente disciplinario no se inició porque se diera publicidad a incidencias de un previo proceso judicial sino porque la trabajadora mencionada en el comunicado presentó un escrito a su empleadora quejándose de los términos con los que el demandante de amparo la calificaba en la nota publicada. En definitiva, fueron las opiniones sobre dicha trabajadora y no el juicio sobre la veracidad y el carácter noticiable de los hechos el único fundamento de la decisión extintiva y el auténtico objeto de las resoluciones judiciales impugnadas.</w:t>
      </w:r>
    </w:p>
    <w:p w:rsidR="00AC56D6" w:rsidRDefault="00AC56D6" w:rsidP="00AC56D6">
      <w:pPr>
        <w:pStyle w:val="TextoNormal"/>
      </w:pPr>
    </w:p>
    <w:p w:rsidR="00AC56D6" w:rsidRDefault="00AC56D6" w:rsidP="00AC56D6">
      <w:pPr>
        <w:pStyle w:val="TextoNormal"/>
      </w:pPr>
      <w:r>
        <w:t>Desde ese prisma, el Ministerio Fiscal considera que el actor transgredió los límites genéricos del derecho a la libertad de expresión [art. 20.1 a) CE]. Cierto es que el escrito se refiere a cuestiones relativas al desarrollo de las relaciones laborales en la empresa pero las expresiones que se emplean resultan indudablemente injuriosas, en cuanto atribuyen a la trabajadora un comportamiento alejado de las más elementales exigencias éticas, de dudosa moralidad y falto de dignidad. Por lo demás, difundió el recurrente el escrito pese a conocer la oposición de una de las representantes en el comité de empresa, que se negó a firmarlo y le advirtió de la gravedad de las imputaciones, soslayando asimismo que la trabajadora concurría a un obligado llamamiento judicial que ni siquiera le llegó a causar perjuicio alguno.</w:t>
      </w:r>
    </w:p>
    <w:p w:rsidR="00AC56D6" w:rsidRDefault="00AC56D6" w:rsidP="00AC56D6">
      <w:pPr>
        <w:pStyle w:val="TextoNormal"/>
      </w:pPr>
    </w:p>
    <w:p w:rsidR="00AC56D6" w:rsidRDefault="00AC56D6" w:rsidP="00AC56D6">
      <w:pPr>
        <w:pStyle w:val="TextoNormal"/>
      </w:pPr>
      <w:r>
        <w:t>Tampoco aprecia la lesión aducida del art. 28.1 CE en relación con el art. 14 CE. Del principio de igualdad ante la ley en modo alguno se deriva que la responsabilidad de unos deba necesariamente conllevar la de otras personas, pues a ello se opondría el principio de responsabilidad individual que es característico de cualquier forma de responsabilidad. Recuerda adicionalmente, como hiciera también en su escrito de alegaciones la empresa, que el principio de igualdad ante la Ley no puede dar cobertura a un “imposible derecho a la igualdad en la ilegalidad” (STC 376/1996, de 16 de diciembre).</w:t>
      </w:r>
    </w:p>
    <w:p w:rsidR="00AC56D6" w:rsidRDefault="00AC56D6" w:rsidP="00AC56D6">
      <w:pPr>
        <w:pStyle w:val="TextoNormal"/>
      </w:pPr>
    </w:p>
    <w:p w:rsidR="00AC56D6" w:rsidRDefault="00AC56D6" w:rsidP="00AC56D6">
      <w:pPr>
        <w:pStyle w:val="TextoNormal"/>
      </w:pPr>
      <w:r>
        <w:t xml:space="preserve">Estima, en cambio, que se ha lesionado el derecho a la tutela judicial efectiva del art. 24.1 CE, en su manifestación de garantía de indemnidad derivada de la actividad sindical. A su juicio, el conflictivo historial entre la empresa y el trabajador y el hecho de que a éste </w:t>
      </w:r>
      <w:r>
        <w:lastRenderedPageBreak/>
        <w:t>se le sancione de un modo desproporcionadamente más grave que a las dos compañeras de UGT —que aun no habiendo redactado el documento cooperaron necesariamente a su difusión— no permiten eliminar absolutamente toda sospecha de que la decisión extintiva obedeciera al interés de la empresa de prescindir de un trabajador que desarrollaba de forma muy activa su labor sindical. La empleadora debía justificar que el motivo del despido no era ese cúmulo de desencuentros, sino exclusivamente la redacción y posterior difusión de un escrito en el que se contenían expresiones descalificadoras para una compañera del actor, lo que no logró acreditar en el proceso.</w:t>
      </w:r>
    </w:p>
    <w:p w:rsidR="00AC56D6" w:rsidRDefault="00AC56D6" w:rsidP="00AC56D6">
      <w:pPr>
        <w:pStyle w:val="TextoNormal"/>
      </w:pPr>
    </w:p>
    <w:p w:rsidR="00AC56D6" w:rsidRDefault="00AC56D6" w:rsidP="00AC56D6">
      <w:pPr>
        <w:pStyle w:val="TextoNormal"/>
      </w:pPr>
      <w:r w:rsidRPr="00AC56D6">
        <w:rPr>
          <w:rStyle w:val="NumeroAFNegritaCaracter"/>
        </w:rPr>
        <w:t>9</w:t>
      </w:r>
      <w:r>
        <w:t>. El recurrente en amparo evacuó el trámite de alegaciones el día 15 de octubre de 2014, reiterando en esencia los contenidos de su demanda de amparo.</w:t>
      </w:r>
    </w:p>
    <w:p w:rsidR="00AC56D6" w:rsidRDefault="00AC56D6" w:rsidP="00AC56D6">
      <w:pPr>
        <w:pStyle w:val="TextoNormal"/>
      </w:pPr>
    </w:p>
    <w:p w:rsidR="00AC56D6" w:rsidRDefault="00AC56D6" w:rsidP="00AC56D6">
      <w:pPr>
        <w:pStyle w:val="TextoNormal"/>
      </w:pPr>
      <w:r w:rsidRPr="00AC56D6">
        <w:rPr>
          <w:rStyle w:val="NumeroAFNegritaCaracter"/>
        </w:rPr>
        <w:t>10</w:t>
      </w:r>
      <w:r>
        <w:t>. Por providencia de 1 de octubre de 2015, se señaló para la deliberación y votación de la presente Sentencia el día 5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recurso de amparo se dirige contra la Sentencia de 16 de mayo de 2013 de la Sala de lo Social del Tribunal Superior de Justicia de Andalucía con sede en Málaga, dictada en el recurso de suplicación núm. 432-2013, que confirmó la Sentencia del Juzgado de lo Social núm. 2 de Málaga, de 18 de julio de 2012, en autos de despido núm. 444-2012. El demandante de amparo denuncia la lesión del derecho a la libertad sindical (art. 28.1 CE), que conecta en su serie de alegaciones con el art. 14 CE, por discriminación sindical, con los arts. 20.1 a) y d) CE, por vulneración de la libertad de expresión e información sindical, y con el art. 24.1 CE, en su vertiente de garantía de indemnidad, según quedó expuesto con detalle en los antecedentes de este pronunciamiento constitucional.</w:t>
      </w:r>
    </w:p>
    <w:p w:rsidR="00AC56D6" w:rsidRDefault="00AC56D6" w:rsidP="00AC56D6">
      <w:pPr>
        <w:pStyle w:val="TextoNormal"/>
      </w:pPr>
    </w:p>
    <w:p w:rsidR="00AC56D6" w:rsidRDefault="00AC56D6" w:rsidP="00AC56D6">
      <w:pPr>
        <w:pStyle w:val="TextoNormal"/>
      </w:pPr>
      <w:r>
        <w:t>La empresa demandada en el proceso judicial descarta que se hayan producido las referidas lesiones, oponiendo con carácter previo una causa de inadmisibilidad parcial del recurso, al amparo de lo dispuesto en el art. 50.1 a) de la Ley Orgánica del Tribunal Constitucional (LOTC), en relación con el art. 49.1 de la misma Ley Orgánica, ya que no satisfizo el recurrente la carga que le incumbía de justificar la especial trascendencia constitucional del recurso en cuanto a la queja referida a la garantía de indemnidad (arts. 28.1 y 24.1 CE). El Ministerio Fiscal, por su parte, interesa la estimación de la demanda con base precisamente en esa última denuncia.</w:t>
      </w:r>
    </w:p>
    <w:p w:rsidR="00AC56D6" w:rsidRDefault="00AC56D6" w:rsidP="00AC56D6">
      <w:pPr>
        <w:pStyle w:val="TextoNormal"/>
      </w:pPr>
    </w:p>
    <w:p w:rsidR="00AC56D6" w:rsidRDefault="00AC56D6" w:rsidP="00AC56D6">
      <w:pPr>
        <w:pStyle w:val="TextoNormal"/>
      </w:pPr>
      <w:r w:rsidRPr="00AC56D6">
        <w:rPr>
          <w:rStyle w:val="NumeroAFNegritaCaracter"/>
        </w:rPr>
        <w:t>2</w:t>
      </w:r>
      <w:r>
        <w:t>. Antes de entrar en el análisis de las vulneraciones aducidas, es preciso abordar la eventual concurrencia de óbices procesales que impidan un pronunciamiento de fondo, toda vez que, como ha reiterado este Tribunal, los defectos insubsanables de que pudiera estar afectado el recurso de amparo no resultan subsanados porque haya sido inicialmente admitido a trámite (por todas, STC 58/2014, de 5 de mayo, FJ 2).</w:t>
      </w:r>
    </w:p>
    <w:p w:rsidR="00AC56D6" w:rsidRDefault="00AC56D6" w:rsidP="00AC56D6">
      <w:pPr>
        <w:pStyle w:val="TextoNormal"/>
      </w:pPr>
    </w:p>
    <w:p w:rsidR="00AC56D6" w:rsidRDefault="00AC56D6" w:rsidP="00AC56D6">
      <w:pPr>
        <w:pStyle w:val="TextoNormal"/>
      </w:pPr>
      <w:r>
        <w:t xml:space="preserve">La representación procesal de la empresa personada en este proceso constitucional considera que la demanda de amparo se halla incursa en causa de inadmisión por incumplimiento de la exigencia impuesta por el art. 49.1 </w:t>
      </w:r>
      <w:r w:rsidRPr="00AC56D6">
        <w:rPr>
          <w:i/>
        </w:rPr>
        <w:t>in fine</w:t>
      </w:r>
      <w:r>
        <w:t xml:space="preserve"> LOTC, que requiere justificar la </w:t>
      </w:r>
      <w:r>
        <w:lastRenderedPageBreak/>
        <w:t>especial trascendencia constitucional del recurso. El reproche se concentra únicamente en una de las quejas: la que vincula los derechos consagrados en los arts. 28.1 y 24.1 CE.</w:t>
      </w:r>
    </w:p>
    <w:p w:rsidR="00AC56D6" w:rsidRDefault="00AC56D6" w:rsidP="00AC56D6">
      <w:pPr>
        <w:pStyle w:val="TextoNormal"/>
      </w:pPr>
    </w:p>
    <w:p w:rsidR="00AC56D6" w:rsidRDefault="00AC56D6" w:rsidP="00AC56D6">
      <w:pPr>
        <w:pStyle w:val="TextoNormal"/>
      </w:pPr>
      <w:r>
        <w:t>Bastara recordar, con la STC 2/2013, de 14 de enero, FJ 3, que una vez admitido el recurso por apreciarse su especial trascendencia constitucional no es posible seleccionar los motivos que deben ser objeto de enjuiciamiento, como se pretende, puesto que el amparo constitucional no ha perdido su dimensión subjetiva como instrumento procesal para preservar o restablecer las violaciones de los derechos y libertades fundamentales. Por ello, si el contenido del recurso justifica una decisión sobre el fondo, como aquí ha sucedido, debe ser admitido y examinado en la totalidad de su contenido, no siendo posible incluir o excluir determinados motivos en función de su especial trascendencia constitucional.</w:t>
      </w:r>
    </w:p>
    <w:p w:rsidR="00AC56D6" w:rsidRDefault="00AC56D6" w:rsidP="00AC56D6">
      <w:pPr>
        <w:pStyle w:val="TextoNormal"/>
      </w:pPr>
    </w:p>
    <w:p w:rsidR="00AC56D6" w:rsidRDefault="00AC56D6" w:rsidP="00AC56D6">
      <w:pPr>
        <w:pStyle w:val="TextoNormal"/>
      </w:pPr>
      <w:r>
        <w:t xml:space="preserve">En consecuencia, a falta de aportación de argumento alguno que sustente el óbice que se opone, no encontramos razones para cambiar el criterio acogido en fase de admisibilidad sobre la carga del art. 49.1 </w:t>
      </w:r>
      <w:r w:rsidRPr="00AC56D6">
        <w:rPr>
          <w:i/>
        </w:rPr>
        <w:t>in fine</w:t>
      </w:r>
      <w:r>
        <w:t xml:space="preserve"> LOTC, ni tampoco sobre la propia especial trascendencia constitucional del recurso, requisito cuya apreciación en cada caso corresponde únicamente a este Tribunal Constitucional (entre otras, recientemente, STC 54/2015, 16 de marzo, FJ 4). En relación con esto último se quiere destacar que el segundo de los motivos aducidos por el denunciante nos permitirá sentar jurisprudencia sobre el derecho de libertad de expresión sindical (art. 28.1 CE) en supuestos en los que la conducta expresiva del representante de los trabajadores no se dirige contra un acto empresarial sino frente al comportamiento de una trabajadora de la empresa.</w:t>
      </w:r>
    </w:p>
    <w:p w:rsidR="00AC56D6" w:rsidRDefault="00AC56D6" w:rsidP="00AC56D6">
      <w:pPr>
        <w:pStyle w:val="TextoNormal"/>
      </w:pPr>
    </w:p>
    <w:p w:rsidR="00AC56D6" w:rsidRDefault="00AC56D6" w:rsidP="00AC56D6">
      <w:pPr>
        <w:pStyle w:val="TextoNormal"/>
      </w:pPr>
      <w:r>
        <w:t>Por lo demás, el examen de expresiones como las contenidas en el comunicado controvertido dará ocasión a este Tribunal de garantizar el cumplimiento de su jurisprudencia en la materia, abundando en sus parámetros generales y en su concreción aplicativa, evitando en lo posible dudas ulteriores sobre su alcance que puedan dar lugar a inaplicaciones objetivas de la misma, pese a que al carácter eminentemente casuístico de las controversias sobre el ejercicio de la libertad de expresión no pocas veces nos reclamaran, con seguridad, matices doctrinales adicionales. Atendemos así, por tanto, a uno de los criterios legales que dotan de especial trascendencia constitucional al recurso de amparo [art. 50.1 b) LOTC], a saber: aquel que se dirige a velar por la aplicación y general eficacia de la Constitución (por todas, STC 21/2015, de 16 de febrero, FJ 2).</w:t>
      </w:r>
    </w:p>
    <w:p w:rsidR="00AC56D6" w:rsidRDefault="00AC56D6" w:rsidP="00AC56D6">
      <w:pPr>
        <w:pStyle w:val="TextoNormal"/>
      </w:pPr>
    </w:p>
    <w:p w:rsidR="00AC56D6" w:rsidRDefault="00AC56D6" w:rsidP="00AC56D6">
      <w:pPr>
        <w:pStyle w:val="TextoNormal"/>
      </w:pPr>
      <w:r w:rsidRPr="00AC56D6">
        <w:rPr>
          <w:rStyle w:val="NumeroAFNegritaCaracter"/>
        </w:rPr>
        <w:t>3</w:t>
      </w:r>
      <w:r>
        <w:t>. A juicio del Fiscal debe estimarse el recurso de amparo por vulneración de la garantía de indemnidad del art. 24.1 CE, en relación con el art. 28.1 CE. Lo sostiene tras declarar primeramente que, a su criterio, no se produjo sin embargo una vulneración de las libertades de información y expresión sindical (art. 28.1 CE, que asocia la demanda al art. 20 CE).</w:t>
      </w:r>
    </w:p>
    <w:p w:rsidR="00AC56D6" w:rsidRDefault="00AC56D6" w:rsidP="00AC56D6">
      <w:pPr>
        <w:pStyle w:val="TextoNormal"/>
      </w:pPr>
    </w:p>
    <w:p w:rsidR="00AC56D6" w:rsidRDefault="00AC56D6" w:rsidP="00AC56D6">
      <w:pPr>
        <w:pStyle w:val="TextoNormal"/>
      </w:pPr>
      <w:r>
        <w:t xml:space="preserve">Para apreciar la lesión señalada destaca que tanto el conflictivo historial entre la empresa y el trabajador como el hecho de que a éste se le sancionase de un modo desproporcionadamente más grave que a las dos compañeras de la Unión General de Trabajadores (UGT) —que aun no habiendo redactado el documento cooperaron a la difusión— ponen en duda el verdadero motivo del despido, pues no permiten eliminar absolutamente toda sospecha de que la decisión extintiva obedeciera verdaderamente al interés de la empresa de prescindir de un trabajador que desarrollaba de forma muy activa su labor sindical. En otras palabras, al aplicarse el esquema de la prueba indiciaria que opera en el proceso laboral la empleadora debía justificar que el motivo del despido no era ese cúmulo de desencuentros y tensiones </w:t>
      </w:r>
      <w:r>
        <w:lastRenderedPageBreak/>
        <w:t>sindicales antecedentes, sino exclusivamente la redacción y posterior difusión de un escrito en el que se contenían expresiones descalificadoras para una compañera del ahora recurrente. Una carga probatoria que, a juicio del Fiscal, la empresa no logró satisfacer en el proceso.</w:t>
      </w:r>
    </w:p>
    <w:p w:rsidR="00AC56D6" w:rsidRDefault="00AC56D6" w:rsidP="00AC56D6">
      <w:pPr>
        <w:pStyle w:val="TextoNormal"/>
      </w:pPr>
    </w:p>
    <w:p w:rsidR="00AC56D6" w:rsidRDefault="00AC56D6" w:rsidP="00AC56D6">
      <w:pPr>
        <w:pStyle w:val="TextoNormal"/>
      </w:pPr>
      <w:r>
        <w:t>El planteamiento del Ministerio Fiscal responde con precisión a la doctrina constitucional sobre la pluricausalidad extintiva. Nuestra jurisprudencia relativa a los despidos disciplinarios “pluricausales” (entre otras, SSTC 7/1993, de 18 de enero; 48/2002, de 25 de febrero; 41/2006, de 13 de febrero; 138/2006, de 8 de mayo, o 125/2008, de 20 de octubre) revela, en efecto, que la acreditación de la causa legal disciplinaria alegada no excluye por defecto o automáticamente la vulneración del derecho fundamental invocado cuando existen indicios de lesión. Como precisaba la STC 41/2006, de 13 de febrero, en dichos supuestos disciplinarios podrá neutralizarse el panorama indiciario: i) acreditando de manera plena la causa legal expresada en la carta de despido, aunque solo y siempre que —y éste será el parámetro de constitucionalidad— ese resultado probatorio pruebe efectivamente la desvinculación entre el acto empresarial y el derecho fundamental invocado; la declaración de procedencia del despido no permite descartar por tanto —en todo caso y sin excepción— que éste sea lesivo de derechos fundamentales (por todas, STC 14/2002, de 28 de enero, FJ 7); ii) alternativamente, los indicios también podrán resultar contrarrestados, incluso si no llega a probarse el incumplimiento disciplinario aducido en la carta de despido (también, por tanto, si el despido no es declarado procedente), cuando el empresario demandado demuestre que los hechos motivadores de su decisión se presentan razonablemente ajenos a todo móvil atentatorio de los derechos fundamentales que se denuncien vulnerados, que es, de nuevo, lo trascendente desde la perspectiva constitucional.</w:t>
      </w:r>
    </w:p>
    <w:p w:rsidR="00AC56D6" w:rsidRDefault="00AC56D6" w:rsidP="00AC56D6">
      <w:pPr>
        <w:pStyle w:val="TextoNormal"/>
      </w:pPr>
    </w:p>
    <w:p w:rsidR="00AC56D6" w:rsidRDefault="00AC56D6" w:rsidP="00AC56D6">
      <w:pPr>
        <w:pStyle w:val="TextoNormal"/>
      </w:pPr>
      <w:r>
        <w:t>En opinión del Fiscal, el exceso del acto expresivo del recurrente en amparo (sin cobertura a su juicio en el derecho de libertad de expresión) no neutraliza esta vez el panorama indiciario de la lesión de la garantía de indemnidad. Según las determinaciones de aquella jurisprudencia podría darse, en efecto, la hipótesis que enuncia, que en cambio decaerá en este caso porque no se aporta la necesaria conexión causal entre los precedentes que se invocan y el acto extintivo que se impugna.</w:t>
      </w:r>
    </w:p>
    <w:p w:rsidR="00AC56D6" w:rsidRDefault="00AC56D6" w:rsidP="00AC56D6">
      <w:pPr>
        <w:pStyle w:val="TextoNormal"/>
      </w:pPr>
    </w:p>
    <w:p w:rsidR="00AC56D6" w:rsidRDefault="00AC56D6" w:rsidP="00AC56D6">
      <w:pPr>
        <w:pStyle w:val="TextoNormal"/>
      </w:pPr>
      <w:r>
        <w:t>Decía el Pleno de este Tribunal en la reciente STC 140/2014, de 11 de septiembre, FJ 7, ocupándose de la finalidad de la prueba indiciaria y del doble plano probatorio en el que se articula, que “el indicio razonable de que se ha producido la lesión del derecho fundamental no consiste en la mera constatación de que en un momento precedente tuvo lugar el ejercicio del derecho —en este caso que se participó en una huelga o en que se formuló una reclamación judicial— sino que es preciso justificar —indiciariamente— la existencia de una relación de causalidad entre tal ejercicio y la decisión o acto calificado de lesivo del derecho. El que en un momento pasado se haya ejercitado un derecho fundamental constituye un presupuesto de la posibilidad misma de la violación denunciada, pero no un indicio de esta que por sí solo desplace a la otra parte la obligación de probar la regularidad constitucional de su acto, pues la aportación de la prueba que concierne a la parte demandante deberá superar inexcusablemente el umbral mínimo de aquella conexión necesaria (SSTC 17/2003, de 30 de enero, FJ 4; 151/2004, de 20 de septiembre, FJ 3; y 41/2006, de 13 de febrero, FJ 6)”.</w:t>
      </w:r>
    </w:p>
    <w:p w:rsidR="00AC56D6" w:rsidRDefault="00AC56D6" w:rsidP="00AC56D6">
      <w:pPr>
        <w:pStyle w:val="TextoNormal"/>
      </w:pPr>
    </w:p>
    <w:p w:rsidR="00AC56D6" w:rsidRDefault="00AC56D6" w:rsidP="00AC56D6">
      <w:pPr>
        <w:pStyle w:val="TextoNormal"/>
      </w:pPr>
      <w:r>
        <w:lastRenderedPageBreak/>
        <w:t>Y eso es justamente lo que ocurre en esta ocasión, convirtiendo la alegación del demandante en amparo en meramente retórica. En concreto, no se acreditan hechos que vinculen los precedentes de conflictividad (imposición de sanciones, ejercicio de acciones y formalización de denuncias ante la Inspección de Trabajo) con la medida extintiva discutida, por lo que no se logra poner en duda el fundamento resolutorio invocado por la empresa (excesos expresivos en el comunicado publicado); fundamento, por cierto, que el propio recurrente aduce como causa del despido en otra de sus denuncias (segundo motivo del recurso: art. 28.1 CE en relación con las libertades del art. 20 CE). Por ello, la queja que reprocha la vulneración de la libertad sindical en conexión con la garantía de indemnidad del art. 24.1 CE debe ser desestimada.</w:t>
      </w:r>
    </w:p>
    <w:p w:rsidR="00AC56D6" w:rsidRDefault="00AC56D6" w:rsidP="00AC56D6">
      <w:pPr>
        <w:pStyle w:val="TextoNormal"/>
      </w:pPr>
    </w:p>
    <w:p w:rsidR="00AC56D6" w:rsidRDefault="00AC56D6" w:rsidP="00AC56D6">
      <w:pPr>
        <w:pStyle w:val="TextoNormal"/>
      </w:pPr>
      <w:r w:rsidRPr="00AC56D6">
        <w:rPr>
          <w:rStyle w:val="NumeroAFNegritaCaracter"/>
        </w:rPr>
        <w:t>4</w:t>
      </w:r>
      <w:r>
        <w:t>. Debemos despejar aún algunos aspectos preliminares.</w:t>
      </w:r>
    </w:p>
    <w:p w:rsidR="00AC56D6" w:rsidRDefault="00AC56D6" w:rsidP="00AC56D6">
      <w:pPr>
        <w:pStyle w:val="TextoNormal"/>
      </w:pPr>
    </w:p>
    <w:p w:rsidR="00AC56D6" w:rsidRDefault="00AC56D6" w:rsidP="00AC56D6">
      <w:pPr>
        <w:pStyle w:val="TextoNormal"/>
      </w:pPr>
      <w:r>
        <w:t>a) En primer lugar, asiste la razón a la representación de la empresa compareciente en lo relativo al orden de tratamiento de las quejas. Sostiene el carácter principal de la alegación que asocia el art. 28.1 CE con las libertades del art. 20 CE, con la consiguiente accesoriedad de la denuncia que vincula aquel mismo derecho fundamental y el art. 14 CE. En efecto, como punto de partida es debido enjuiciar si, desde un prisma constitucional, el escrito controvertido era potencialmente susceptible de sanción o, por el contrario, no podía ser objeto de reacción disciplinaria alguna, al revelar un ejercicio amparado en los derechos de expresión o información sindical (art. 28.1 CE). Sólo en el caso de que las expresiones vertidas en el mismo no tuvieran cobertura en dichas libertades tendría sentido dilucidar, desde un enfoque de discriminación sindical, si el establecimiento de consecuencias jurídico-sancionadoras diferentes a los agentes representativos que participaron en los hechos vulnera o no la Constitución. Y es que, como es fácil de apreciar, esta última alegación de diferente trato sindical parte de la premisa de la comisión de un ilícito sancionable.</w:t>
      </w:r>
    </w:p>
    <w:p w:rsidR="00AC56D6" w:rsidRDefault="00AC56D6" w:rsidP="00AC56D6">
      <w:pPr>
        <w:pStyle w:val="TextoNormal"/>
      </w:pPr>
    </w:p>
    <w:p w:rsidR="00AC56D6" w:rsidRDefault="00AC56D6" w:rsidP="00AC56D6">
      <w:pPr>
        <w:pStyle w:val="TextoNormal"/>
      </w:pPr>
      <w:r>
        <w:t xml:space="preserve">b) De acuerdo en este caso con el Ministerio Fiscal, convendrá también poner de manifiesto que el núcleo de dicha queja principal [art. 28.1 CE en conexión con los apartados a) y d) del art. 20.1 CE] ha de quedar situado exclusivamente en el marco de la libertad de expresión sindical sobre cuestiones de índole sindical o laboral. El expediente disciplinario que culminó con el despido del que trae fuente este recurso no se inició porque se diera publicidad inveraz a las incidencias procesales de un procedimiento judicial antecedente (libertad de información), sino, antes bien, por las expresiones dirigidas contra una trabajadora contenidas en el comunicado, locuciones que ésta —y luego la empresa en la carta de despido— consideraron descalificaciones vejatorias (exceso en el ejercicio del derecho de expresión sindical). Lo confirma el propio alegato de la empleadora ante este Tribunal y lo revalidan definitivamente los razonamientos recogidos en las resoluciones recurridas. Así, la Sentencia de la Sala de lo Social del Tribunal Superior de Justicia de Andalucía, sede de Málaga, de 16 de mayo de 2013, declara que la procedencia de la medida disciplinaria tiene fundamento en los “descalificativos insultantes, injuriosos y vejatorios, claramente atentatorios contra la honorabilidad de tal empleada”, de manera “plenamente dolosa y premeditada” y con un propósito de “represalia y en escarnio público”, llegando a apreciar “indudables ribetes penales” en las expresiones proferidas. Por su parte, en coherencia con el criterio que viene de resaltarse en la sucesiva Sentencia de suplicación, el juzgador </w:t>
      </w:r>
      <w:r w:rsidRPr="00AC56D6">
        <w:rPr>
          <w:i/>
        </w:rPr>
        <w:t>a quo</w:t>
      </w:r>
      <w:r>
        <w:t xml:space="preserve"> afirmaba: i) que las referencias dirigidas a criticar el comportamiento empresarial por la imposición de una sanción al actor no podían merecer la calificación de falta grave ni muy grave, en </w:t>
      </w:r>
      <w:r>
        <w:lastRenderedPageBreak/>
        <w:t>tanto no incluían ninguna expresión vejatoria, insultante, ni de falta de respeto hacia la empresa, aun cuando considerase ésta que lo relatado en el documento no se ajustaba a la realidad; ii) que, en cambio (y de ahí el fundamento de la calificación del despido como procedente), no podían encontrar amparo en la libertad de expresión las menciones que el escrito realizaba de la compañera de trabajo por su intervención en el Juzgado como testigo propuesto por la empresa en un proceso previo por sanción, ya que le imputaban una conducta de dudosa moralidad y falta de dignidad, así como el interés de buscar un atajo sucio para su promoción en la empresa, excediendo ampliamente los límites de aquel derecho fundamental.</w:t>
      </w:r>
    </w:p>
    <w:p w:rsidR="00AC56D6" w:rsidRDefault="00AC56D6" w:rsidP="00AC56D6">
      <w:pPr>
        <w:pStyle w:val="TextoNormal"/>
      </w:pPr>
    </w:p>
    <w:p w:rsidR="00AC56D6" w:rsidRDefault="00AC56D6" w:rsidP="00AC56D6">
      <w:pPr>
        <w:pStyle w:val="TextoNormal"/>
      </w:pPr>
      <w:r>
        <w:t>c) Un último preliminar se refiere a la capacidad disciplinaria de la empresa para adoptar una decisión de despido no fundada en un acto dirigido directamente contra ella sino, a tenor del motivo que sustentó la resolución contractual (descalificativos contenidos en el comunicado publicado), contra una trabajadora de su plantilla. Ese hecho, como objeción a la sanción impuesta y al establecimiento de límites al ejercicio de la libertad de expresión sindical, se desliza en el recurso interpuesto, aunque se apele a él de modo somero e impreciso.</w:t>
      </w:r>
    </w:p>
    <w:p w:rsidR="00AC56D6" w:rsidRDefault="00AC56D6" w:rsidP="00AC56D6">
      <w:pPr>
        <w:pStyle w:val="TextoNormal"/>
      </w:pPr>
    </w:p>
    <w:p w:rsidR="00AC56D6" w:rsidRDefault="00AC56D6" w:rsidP="00AC56D6">
      <w:pPr>
        <w:pStyle w:val="TextoNormal"/>
      </w:pPr>
      <w:r>
        <w:t>Será suficiente recordar que las lesiones de derechos fundamentales de los trabajadores no sólo pueden producirse como consecuencia de actuaciones del empresario o de quienes ejercen los poderes del empresario en la empresa, en particular de los superiores y mandos jerárquicos, sino también de los restantes trabajadores (STC 74/2007, de 16 de abril, FJ 5). No hay razón alguna para concebir una excepción a esa hipótesis de causación de la lesión si se trata de actos de los representantes de los trabajadores en el ejercicio de sus funciones. En consecuencia, podrán ser sancionados si el acto controvertido no constituye una actuación tutelada por el ejercicio de sus derechos fundamentales, en particular de los de alcance sindical, y resulta subsumible en las causas disciplinarias previstas en la ley [señaladamente, por proximidad con el caso actual, art. 54.1 c), que recoge en el elenco de las causas de despido disciplinario “las ofensas verbales o físicas al empresario o a las personas que trabajan en la empresa o a los familiares que convivan con ellos”]. No es ocioso añadir que el empresario, en tanto que titular de la organización y parte en el contrato de trabajo, tiene un deber de garante frente a las infracciones de derechos fundamentales de los trabajadores que se produzcan con ocasión de la ejecución de la relación laboral o en razón de ésta, lo que puede desembocar en actos de disciplina laboral.</w:t>
      </w:r>
    </w:p>
    <w:p w:rsidR="00AC56D6" w:rsidRDefault="00AC56D6" w:rsidP="00AC56D6">
      <w:pPr>
        <w:pStyle w:val="TextoNormal"/>
      </w:pPr>
    </w:p>
    <w:p w:rsidR="00AC56D6" w:rsidRDefault="00AC56D6" w:rsidP="00AC56D6">
      <w:pPr>
        <w:pStyle w:val="TextoNormal"/>
      </w:pPr>
      <w:r>
        <w:t xml:space="preserve">Ciertamente, no está exenta la anterior afirmación de límites. Así, por ejemplo, sentamos en la STC 56/2008, de 14 de abril, FJ 9, en un asunto en el que un trabajador criticaba la actuación de sus representantes, que las declaraciones referidas a ellos “difícilmente podrían justificar una resolución unilateral del contrato de trabajo de carácter disciplinario, al ser aquella relación de representación diversa al vínculo contractual que liga al empresario y el trabajador”. Sin embargo, en nada coincide dicho escenario con el aquí enjuiciado, en el que la conducta expresiva del recurrente sometida a controversia no estuvo motivada por una crítica previa al ejercicio de su función representativa, pues no consta declaración alguna sobre ello de la trabajadora mencionada en el escrito (que ni siquiera llegó a declarar en el proceso judicial de referencia) ni tampoco opinión manifestada por ésta sobre el desempeño de la función de representación por parte del ahora recurrente que pusiera en cuestión su rectitud, integridad, honradez, solvencia, consideración o dignidad individual. El debate, antes bien, es de signo contrario: son las expresiones atribuidas al demandante de amparo </w:t>
      </w:r>
      <w:r>
        <w:lastRenderedPageBreak/>
        <w:t>las que podrían repercutir en la honorabilidad y en la imagen y prestigio profesional que tuvieran los demás miembros de la organización productiva sobre la trabajadora mencionada en el comunicado.</w:t>
      </w:r>
    </w:p>
    <w:p w:rsidR="00AC56D6" w:rsidRDefault="00AC56D6" w:rsidP="00AC56D6">
      <w:pPr>
        <w:pStyle w:val="TextoNormal"/>
      </w:pPr>
    </w:p>
    <w:p w:rsidR="00AC56D6" w:rsidRDefault="00AC56D6" w:rsidP="00AC56D6">
      <w:pPr>
        <w:pStyle w:val="TextoNormal"/>
      </w:pPr>
      <w:r w:rsidRPr="00AC56D6">
        <w:rPr>
          <w:rStyle w:val="NumeroAFNegritaCaracter"/>
        </w:rPr>
        <w:t>5</w:t>
      </w:r>
      <w:r>
        <w:t>. Corresponde analizar, por consiguiente, la pretendida vulneración del derecho de libertad de expresión sindical [art. 28.1 CE, asociado en la demanda al art. 20.1 a) CE].</w:t>
      </w:r>
    </w:p>
    <w:p w:rsidR="00AC56D6" w:rsidRDefault="00AC56D6" w:rsidP="00AC56D6">
      <w:pPr>
        <w:pStyle w:val="TextoNormal"/>
      </w:pPr>
    </w:p>
    <w:p w:rsidR="00AC56D6" w:rsidRDefault="00AC56D6" w:rsidP="00AC56D6">
      <w:pPr>
        <w:pStyle w:val="TextoNormal"/>
      </w:pPr>
      <w:r>
        <w:t>Es preciso encabezar este fundamento con un matiz relevante: del recurso se deduce con claridad que la lesión que se estima producida no es la del genérico derecho a la libertad de expresión del que son titulares todos los ciudadanos [art. 20.1 a) CE], sino la libertad de expresión sobre materias de interés laboral y sindical (art. 28.1 CE), como instrumento del ejercicio de la función representativa que en su condición de representante unitario sindicalizado reclama para sí el recurrente y a través de la cual dice actualizar la acción sindical que integra el contenido esencial del derecho fundamental de libertad sindical. La invocación del art. 20.1 a) CE carece, pues, de sustantividad propia y no es escindible de la que se efectúa del art. 28.1 CE (por todas, STC 213/2002, de 11 de noviembre, FJ 4).</w:t>
      </w:r>
    </w:p>
    <w:p w:rsidR="00AC56D6" w:rsidRDefault="00AC56D6" w:rsidP="00AC56D6">
      <w:pPr>
        <w:pStyle w:val="TextoNormal"/>
      </w:pPr>
    </w:p>
    <w:p w:rsidR="00AC56D6" w:rsidRDefault="00AC56D6" w:rsidP="00AC56D6">
      <w:pPr>
        <w:pStyle w:val="TextoNormal"/>
      </w:pPr>
      <w:r>
        <w:t>Este Tribunal ha declarado, en efecto, que el art. 28.1 CE también garantiza, en su vertiente funcional, el derecho a la libertad de expresión e información respecto de cualquier asunto que pueda tener una repercusión directa o indirecta en las relaciones laborales. Partiendo de esa premisa hemos destacado, al definir nuestro margen de control de constitucionalidad, que en aquellos supuestos en los que se aduce que la causa de despido no concurre porque el acto que la sustenta estaba amparado en el ejercicio legítimo de la libertad de expresión e información en el desarrollo de la acción sindical, nos corresponde ponderar si se ejerció verdaderamente dicho derecho dentro de su ámbito legítimo, constitucionalmente protegido frente al poder disciplinario empresarial o si, por el contrario, la conducta excedió de los límites constitucionalmente admisibles. Con ese esquema de enjuiciamiento podremos determinar, a la luz de las concretas circunstancias del caso, si la reacción empresarial fue legítima o, en cambio, constituyó la reprobación del lícito ejercicio de los derechos fundamentales del recurrente, en cuyo caso no podrá dejar de calificarse como nula (en ese sentido, por todas, STC 227/2006, de 17 de julio, FJ 3).</w:t>
      </w:r>
    </w:p>
    <w:p w:rsidR="00AC56D6" w:rsidRDefault="00AC56D6" w:rsidP="00AC56D6">
      <w:pPr>
        <w:pStyle w:val="TextoNormal"/>
      </w:pPr>
    </w:p>
    <w:p w:rsidR="00AC56D6" w:rsidRDefault="00AC56D6" w:rsidP="00AC56D6">
      <w:pPr>
        <w:pStyle w:val="TextoNormal"/>
      </w:pPr>
      <w:r>
        <w:t xml:space="preserve">La empresa OP Plus Operaciones y Servicios, S.A., objeta en su escrito de alegaciones la invocación del art. 28.1 CE. A su criterio, no concurre el factor sindical aducido, toda vez que no se había constituido en la empresa una Sección Sindical del sindicato al que el recurrente estaba afiliado (Confederación General de Trabajadores: CGT). Se advierte sin esfuerzo, sin embargo, la contradicción entre dicho alegato y los propios actos de la empleadora. Ya en la carta de despido, como después en el proceso judicial, la caracterización sindical del actor fue puesta de manifiesto de manera incontestada. Entre otros documentos, consta en las actuaciones (folio 226) la comunicación de la empresa a la “Sección Sindical CGT OP PLUS Málaga” del acuerdo de iniciación del expediente sancionador “abierto frente al Secretario de esa Sección Sindical, D. Juan Carlos Robles Chaves”. De manera definitiva lo confirman la carta de despido (folios 198 y siguientes), donde se contienen expresiones como “Ud. [el recurrente en amparo] y el resto de miembros del comité y de la sección sindical de CGT …”, o las resoluciones judiciales, que declaran tanto la afiliación del actor y su condición de miembro del comité de empresa (hecho probado cuarto o fundamento de derecho primero I.B </w:t>
      </w:r>
      <w:r w:rsidRPr="00AC56D6">
        <w:rPr>
          <w:i/>
        </w:rPr>
        <w:t>in fine</w:t>
      </w:r>
      <w:r>
        <w:t xml:space="preserve"> de la Sentencia de instancia) como la concurrencia relevante del factor sindical (por ejemplo, fundamento de derecho primero II.B </w:t>
      </w:r>
      <w:r w:rsidRPr="00AC56D6">
        <w:rPr>
          <w:i/>
        </w:rPr>
        <w:t>in fine</w:t>
      </w:r>
      <w:r>
        <w:t>).</w:t>
      </w:r>
    </w:p>
    <w:p w:rsidR="00AC56D6" w:rsidRDefault="00AC56D6" w:rsidP="00AC56D6">
      <w:pPr>
        <w:pStyle w:val="TextoNormal"/>
      </w:pPr>
    </w:p>
    <w:p w:rsidR="00AC56D6" w:rsidRDefault="00AC56D6" w:rsidP="00AC56D6">
      <w:pPr>
        <w:pStyle w:val="TextoNormal"/>
      </w:pPr>
      <w:r>
        <w:t>No es ocioso recordar, por lo demás, que existen fuertes elementos de conexión entre los dos canales de representación de los trabajadores en las empresas consagrados en nuestro ordenamiento jurídico: de un lado, los representantes sindicales y, de otro, los representantes unitarios o electivos. Así, por ejemplo, los sindicatos están expresamente legitimados para promover elecciones a delegados de personal y miembros de comités de empresa o para presentar candidatos en dichas elecciones, lo que incide en la posibilidad de alcanzar la condición de sindicato más representativo (arts. 6 y 7.1 de la Ley Orgánica de libertad sindical: LOLS), o de sindicato mera o simplemente representativo (art. 7.2 LOLS), pues tales condiciones se hacen legalmente depender de que el sindicato en cuestión supere determinados porcentajes de audiencia en las elecciones a órganos de representación unitaria o electiva de los trabajadores. No por otra razón recordaba nuestra STC 95/1996, de 29 de mayo, FJ 3, que la gran mayoría de los delegados de personal y miembros de comités de empresa vienen siendo elegidos en listas presentadas por los sindicatos, siendo éstos quienes asimismo promueven de forma absolutamente mayoritaria la celebración de elecciones, o que la propia representación unitaria o electiva de los trabajadores es una vía de importante y muchas veces preferente actuación de los sindicatos (en el mismo sentido, STC 197/1990, de 29 de noviembre, FJ 3).</w:t>
      </w:r>
    </w:p>
    <w:p w:rsidR="00AC56D6" w:rsidRDefault="00AC56D6" w:rsidP="00AC56D6">
      <w:pPr>
        <w:pStyle w:val="TextoNormal"/>
      </w:pPr>
    </w:p>
    <w:p w:rsidR="00AC56D6" w:rsidRDefault="00AC56D6" w:rsidP="00AC56D6">
      <w:pPr>
        <w:pStyle w:val="TextoNormal"/>
      </w:pPr>
      <w:r>
        <w:t>Lo anterior no conduce a eliminar por completo las diferencias subsistentes entre los sindicatos, de un lado, y los comités de empresa y delegados de personal, por otro, ya que, de una parte, no existe una identidad constitucional entre aquéllos y éstos (STC 118/1983, de 13 de diciembre, FJ 4) y, de otra, los órganos unitarios no tienen constitucionalmente garantizada la libertad sindical consagrada en el art. 28.1 CE (por todas, STC 134/1994, de 9 de mayo, FJ 4). Pero esa circunstancia no oculta que, en el supuesto de hecho examinado, el recurrente en amparo, miembro del comité de empresa, estaba afiliado a la CGT y era secretario de su sección sindical, de suerte que la actividad desplegada en funciones de representación como miembro del comité no podía desvincularse de la sindicalización que definía su perfil distintivo. En ello abunda que tal condición la invocara la propia empresa en los documentos antes citados, o que la sanción precedente a la que se refería el comunicado publicado y controvertido, en tanto que afectaba a dicho representante (sindicalizado), dotara a los avatares procesales de aquélla de interés sindical para los empleados cuyos derechos laborales el recurrente sancionado estaba llamado a defender.</w:t>
      </w:r>
    </w:p>
    <w:p w:rsidR="00AC56D6" w:rsidRDefault="00AC56D6" w:rsidP="00AC56D6">
      <w:pPr>
        <w:pStyle w:val="TextoNormal"/>
      </w:pPr>
    </w:p>
    <w:p w:rsidR="00AC56D6" w:rsidRDefault="00AC56D6" w:rsidP="00AC56D6">
      <w:pPr>
        <w:pStyle w:val="TextoNormal"/>
      </w:pPr>
      <w:r>
        <w:t>Por consiguiente, el factor sindical tiene en el supuesto de hecho el indudable protagonismo que reseñaba la reciente STC 100/2014, de 23 de junio, FJ 4: “cuando el representante unitario de los trabajadores está afiliado a un sindicato su actividad, a la vista de las circunstancias que concurran en cada caso, podrá tener consecuencias desde la perspectiva del art. 28.1 CE”. Así lo consideraron ambas partes y fue convertido en parámetro de valoración por los órganos judiciales, vista la propia vinculación que OP Plus Operaciones y Servicios, S.A., hacía entre aquella condición sindical y los hechos enjuiciados, evidenciada en los folios de las actuaciones antes mencionados. De esta forma, el alegato de la empresa que pone en duda el concurso del elemento de sindicalidad contradice sus propios actos y los hechos acreditados.</w:t>
      </w:r>
    </w:p>
    <w:p w:rsidR="00AC56D6" w:rsidRDefault="00AC56D6" w:rsidP="00AC56D6">
      <w:pPr>
        <w:pStyle w:val="TextoNormal"/>
      </w:pPr>
    </w:p>
    <w:p w:rsidR="00AC56D6" w:rsidRDefault="00AC56D6" w:rsidP="00AC56D6">
      <w:pPr>
        <w:pStyle w:val="TextoNormal"/>
      </w:pPr>
      <w:r w:rsidRPr="00AC56D6">
        <w:rPr>
          <w:rStyle w:val="NumeroAFNegritaCaracter"/>
        </w:rPr>
        <w:t>6</w:t>
      </w:r>
      <w:r>
        <w:t xml:space="preserve">. Salvada la objeción anterior, nos corresponde como Tribunal de garantía de los derechos fundamentales ponderar si el recurrente ejerció el derecho fundamental de libertad de </w:t>
      </w:r>
      <w:r>
        <w:lastRenderedPageBreak/>
        <w:t>expresión sindical (art. 28.1 CE) dentro de su ámbito legítimo, constitucionalmente protegido frente al poder disciplinario empresarial, o si por el contrario y como apreciaron la empresa y los órganos judiciales, su conducta excedió los límites constitucionalmente admisibles.</w:t>
      </w:r>
    </w:p>
    <w:p w:rsidR="00AC56D6" w:rsidRDefault="00AC56D6" w:rsidP="00AC56D6">
      <w:pPr>
        <w:pStyle w:val="TextoNormal"/>
      </w:pPr>
    </w:p>
    <w:p w:rsidR="00AC56D6" w:rsidRDefault="00AC56D6" w:rsidP="00AC56D6">
      <w:pPr>
        <w:pStyle w:val="TextoNormal"/>
      </w:pPr>
      <w:r>
        <w:t>Procede para ello que sometamos a examen las expresiones dirigidas contra la trabajadora aludida en el comunicado. Lo haremos conforme al canon propio de aquel derecho que, como ocurre igualmente en el ámbito genérico de cobertura ofrecido por el art. 20.1 a) CE, tiene como límite que la expresión de opiniones no se haya realizado a través de apelativos formalmente injuriosos e innecesarios para la labor informativa o de formación de la opinión que se lleva a cabo (tal equiparación, por todas, en las SSTC 213/2002, de 11 de noviembre, FJ 6, y 198/2004, de 15 de noviembre, FJ 7).</w:t>
      </w:r>
    </w:p>
    <w:p w:rsidR="00AC56D6" w:rsidRDefault="00AC56D6" w:rsidP="00AC56D6">
      <w:pPr>
        <w:pStyle w:val="TextoNormal"/>
      </w:pPr>
    </w:p>
    <w:p w:rsidR="00AC56D6" w:rsidRDefault="00AC56D6" w:rsidP="00AC56D6">
      <w:pPr>
        <w:pStyle w:val="TextoNormal"/>
      </w:pPr>
      <w:r>
        <w:t>Se advierte sin dificultad que el escrito publicado por el recurrente respondía a un doble orden de consideraciones: i) crítica a la empresa por la sanción precedente, asentada en la modificación de la calificación jurídica de la infracción adoptada en el acuerdo conciliatorio de 20 de febrero de 2012 ante el Juzgado de lo Social núm. 13 de Málaga; ii) juicio ético de desaprobación de la conducta de la trabajadora que compareció en el Juzgado el día señalado para la vista oral de aquel procedimiento (“al parecer propuesta como testigo por parte de la empresa”, en palabras de los órganos judiciales).</w:t>
      </w:r>
    </w:p>
    <w:p w:rsidR="00AC56D6" w:rsidRDefault="00AC56D6" w:rsidP="00AC56D6">
      <w:pPr>
        <w:pStyle w:val="TextoNormal"/>
      </w:pPr>
    </w:p>
    <w:p w:rsidR="00AC56D6" w:rsidRDefault="00AC56D6" w:rsidP="00AC56D6">
      <w:pPr>
        <w:pStyle w:val="TextoNormal"/>
      </w:pPr>
      <w:r>
        <w:t>a) Como se dijo con anterioridad, el expediente disciplinario no se inició porque se diera publicidad a aquellas incidencias procesales, sino, antes bien, por las expresiones contenidas en el comunicado referidas a la trabajadora, locuciones que ésta —y luego la empresa en la carta de despido— consideraron descalificaciones vejatorias.</w:t>
      </w:r>
    </w:p>
    <w:p w:rsidR="00AC56D6" w:rsidRDefault="00AC56D6" w:rsidP="00AC56D6">
      <w:pPr>
        <w:pStyle w:val="TextoNormal"/>
      </w:pPr>
    </w:p>
    <w:p w:rsidR="00AC56D6" w:rsidRDefault="00AC56D6" w:rsidP="00AC56D6">
      <w:pPr>
        <w:pStyle w:val="TextoNormal"/>
      </w:pPr>
      <w:r>
        <w:t>De cualquier modo, como ya señalaran los órganos judiciales, ninguna sanción podría haber recaído en el recurrente con fundamento en las expresiones referidas en el comunicado a la actuación de la empresa. Antes al contrario, los términos que se emplearon al calificar la actuación empresarial, en el contexto de conflicto en el que la comunicación se insertaba, respondían a una valoración sindical más que a una conceptuación jurídica y expresaban la toma de postura de los firmantes ante las consecuencias del pleito precedente sobre sanción, haciendo una interpretación y empleando un lenguaje que no se inhabitual, ni censurable, en el contexto de acciones de reivindicación sindical o de conflicto entre los representantes de los trabajadores y el empleador.</w:t>
      </w:r>
    </w:p>
    <w:p w:rsidR="00AC56D6" w:rsidRDefault="00AC56D6" w:rsidP="00AC56D6">
      <w:pPr>
        <w:pStyle w:val="TextoNormal"/>
      </w:pPr>
    </w:p>
    <w:p w:rsidR="00AC56D6" w:rsidRDefault="00AC56D6" w:rsidP="00AC56D6">
      <w:pPr>
        <w:pStyle w:val="TextoNormal"/>
      </w:pPr>
      <w:r>
        <w:t>b) Sin embargo, con ocasión de la comunicación que se hacía a los trabajadores de los resultados de aquel pleito, el representante unitario sindicalizado autor del escrito no se situó únicamente en ese plano de concurrencia conflictiva con el empresario que le impuso la sanción. Antes al contrario, se detuvo con todo detalle en calificar la actuación y actitud y, a su juicio, también el propósito de una trabajadora de la empresa que en realidad era ajena al conflicto de base, en tanto que no tenía responsabilidad alguna ni en su origen, ni en sus vicisitudes, ni tampoco en su conclusión, habiéndose limitado a acudir en calidad de testigo al pleito en cumplimiento del requerimiento que le fue efectuado.</w:t>
      </w:r>
    </w:p>
    <w:p w:rsidR="00AC56D6" w:rsidRDefault="00AC56D6" w:rsidP="00AC56D6">
      <w:pPr>
        <w:pStyle w:val="TextoNormal"/>
      </w:pPr>
    </w:p>
    <w:p w:rsidR="00AC56D6" w:rsidRDefault="00AC56D6" w:rsidP="00AC56D6">
      <w:pPr>
        <w:pStyle w:val="TextoNormal"/>
      </w:pPr>
      <w:r>
        <w:t xml:space="preserve">Desde luego, en el ejercicio de la comunicación con los representados cabe dar cuenta con detalle de hechos y datos laborales relevantes que no estén sometidos a límites de divulgación por reserva o confidencialidad (STC 213/2002, de 11 de noviembre, FJ 9). Nada </w:t>
      </w:r>
      <w:r>
        <w:lastRenderedPageBreak/>
        <w:t>impide incluir en ese marco tutelado la comunicación de otros datos colaterales o accesorios que sólo estén conectados con la cuestión de manera indirecta. Nada impedía al recurrente, por tanto, la emisión de un juicio de valor moral, catalogando la conducta de la trabajadora conforme a unos comportamientos o normas previamente establecidos y generalmente aceptados como válidos, o, también, obviamente, a partir de posiciones éticas del sujeto sindical que emitía el juicio; esto es, de acuerdo a su determinada escala de valores, coincidieran o no con la que representan aquellas normas generalmente aceptadas.</w:t>
      </w:r>
    </w:p>
    <w:p w:rsidR="00AC56D6" w:rsidRDefault="00AC56D6" w:rsidP="00AC56D6">
      <w:pPr>
        <w:pStyle w:val="TextoNormal"/>
      </w:pPr>
    </w:p>
    <w:p w:rsidR="00AC56D6" w:rsidRDefault="00AC56D6" w:rsidP="00AC56D6">
      <w:pPr>
        <w:pStyle w:val="TextoNormal"/>
      </w:pPr>
      <w:r>
        <w:t>Ahora bien, tratándose de una valoración sobre un tercero que no protagoniza como parte el conflicto, no podía el demandante dirigirse a la trabajadora, al amparo del art. 28.1 CE, con el margen expresivo reforzado que opera con una contraparte laboral comprometida y directamente implicada en el asunto. Pese a contar con ese límite, queda constatado que no se conformó con valorar la actuación de aquella empleada de acuerdo a un juicio crítico, ni siquiera de divergencia ética; hizo más bien ocasión en el conflicto de naturaleza sindical para incurrir en la descalificación abierta, utilizando locuciones y calificativos que podían afectar decisivamente a su imagen, honorabilidad y consideración en el seno de la organización donde debe prestar sus servicios, poniendo en duda su probidad y sus propósitos pese a no ser protagonista del conflicto laboral reseñado.</w:t>
      </w:r>
    </w:p>
    <w:p w:rsidR="00AC56D6" w:rsidRDefault="00AC56D6" w:rsidP="00AC56D6">
      <w:pPr>
        <w:pStyle w:val="TextoNormal"/>
      </w:pPr>
    </w:p>
    <w:p w:rsidR="00AC56D6" w:rsidRDefault="00AC56D6" w:rsidP="00AC56D6">
      <w:pPr>
        <w:pStyle w:val="TextoNormal"/>
      </w:pPr>
      <w:r>
        <w:t>Expresiones como “iba como testigo de la empresa para declarar por un hecho del que (por no haber existido) no podía tener el más mínimo conocimiento”; “sigue habiendo gente que piensa que las promociones en la empresa se consiguen obedeciendo de manera obsesiva y enfermiza, tenga el jefe razón o no”; “desde el Comité de Empresa recomendamos la formación como pieza clave en la promoción profesional dentro de una empresa, dejando de lado los atajos sucios y las actitudes de dudosa moralidad”; “la sumisión y la obediencia tienen un límite ¡La dignidad!”, o “¡hasta los compañeros pueden venderte en cualquier momento!”, muestran de manera inequívoca la vocación de cuestionar la rectitud, integridad, moralidad y dignidad profesional de la trabajadora citada, haciendo prevalecer sobre la comunicación relativa a aquel conflicto sindical una especie de escarmiento por la conducta seguida, una advertencia disuasoria o, en todo caso, una represión pública de un comportamiento lícito, cuál fue el acudir al requerimiento judicial practicado, sin que llegara siquiera, por lo demás, a consumarse el testimonio.</w:t>
      </w:r>
    </w:p>
    <w:p w:rsidR="00AC56D6" w:rsidRDefault="00AC56D6" w:rsidP="00AC56D6">
      <w:pPr>
        <w:pStyle w:val="TextoNormal"/>
      </w:pPr>
    </w:p>
    <w:p w:rsidR="00AC56D6" w:rsidRDefault="00AC56D6" w:rsidP="00AC56D6">
      <w:pPr>
        <w:pStyle w:val="TextoNormal"/>
      </w:pPr>
      <w:r>
        <w:t xml:space="preserve">Es doctrina invariable y constante de este Tribunal la que señala que fuera del ámbito de protección de la libertad de expresión se sitúan las frases y expresiones ultrajantes u ofensivas, sin relación con las ideas u opiniones que se expongan, y por tanto, innecesarias a este propósito (por todas, SSTC 20/2002, de 28 de enero, FJ 4; 181/2006, de 19 de junio, FJ 5, y las allí citadas). En la STC 65/2015, de 13 de abril, FJ 3, declaramos en ese sentido que la libertad de expresión no está exenta de límites fijados o fundamentados en la Constitución y que con ellos ha de ser consecuente su ejercicio, “pues si bien el Ordenamiento no ha de cohibir sin razón suficiente la más amplia manifestación y difusión de ideas y opiniones, su expresión conlleva siempre, como todo ejercicio de libertad civil, deberes y responsabilidades, y así lo viene recordando, justamente para este preciso ámbito, el Tribunal de Estrasburgo (por todas, Sentencia de 24 de febrero de 2015, caso </w:t>
      </w:r>
      <w:r w:rsidRPr="00AC56D6">
        <w:rPr>
          <w:i/>
        </w:rPr>
        <w:t>Haldimann y otros c. Suiza</w:t>
      </w:r>
      <w:r>
        <w:t>, párrafo 46)”. En relación con el prestigio profesional, la STC 56/2008 de 14 de abril, FJ 9, subrayaba expresamente que la actividad laboral o profesional posee una faceta externa, de relación social que, en cuanto tal, repercute en la imagen que de la persona tengan los demás.</w:t>
      </w:r>
    </w:p>
    <w:p w:rsidR="00AC56D6" w:rsidRDefault="00AC56D6" w:rsidP="00AC56D6">
      <w:pPr>
        <w:pStyle w:val="TextoNormal"/>
      </w:pPr>
    </w:p>
    <w:p w:rsidR="00AC56D6" w:rsidRDefault="00AC56D6" w:rsidP="00AC56D6">
      <w:pPr>
        <w:pStyle w:val="TextoNormal"/>
      </w:pPr>
      <w:r>
        <w:lastRenderedPageBreak/>
        <w:t xml:space="preserve">Bajo esas circunstancias, es preciso concluir que los calificativos empleados para definir la actuación de la trabajadora resultaban por completo ajenos al conflicto laboral y sindical de base; eran indiferentes a cuestiones relativas al ámbito de las relaciones y reivindicaciones laborales en la empresa y, sin embargo, resultaron ofensivos y pudieron dañar gravemente la consideración de la trabajadora en su entorno de trabajo. Las desaprobaciones efectuadas, por su gravedad y su tono, y en tanto que formuladas de manera general y sin aportar ningún elemento de hecho o indicio de prueba que las apoyase, constituyeron ataques personales gratuitos (STEDH de 14 de marzo de 2002, caso </w:t>
      </w:r>
      <w:r w:rsidRPr="00AC56D6">
        <w:rPr>
          <w:i/>
        </w:rPr>
        <w:t>Nafría c. España</w:t>
      </w:r>
      <w:r>
        <w:t>), absolutamente prescindibles en el propósito de transmitir las ideas u opiniones que se exponían sobre los avatares procesales de la sanción antecedente.</w:t>
      </w:r>
    </w:p>
    <w:p w:rsidR="00AC56D6" w:rsidRDefault="00AC56D6" w:rsidP="00AC56D6">
      <w:pPr>
        <w:pStyle w:val="TextoNormal"/>
      </w:pPr>
    </w:p>
    <w:p w:rsidR="00AC56D6" w:rsidRDefault="00AC56D6" w:rsidP="00AC56D6">
      <w:pPr>
        <w:pStyle w:val="TextoNormal"/>
      </w:pPr>
      <w:r>
        <w:t>Por consiguiente, la queja formulada al amparo del derecho de expresión sindical (art. 28.1 CE) no puede prosperar.</w:t>
      </w:r>
    </w:p>
    <w:p w:rsidR="00AC56D6" w:rsidRDefault="00AC56D6" w:rsidP="00AC56D6">
      <w:pPr>
        <w:pStyle w:val="TextoNormal"/>
      </w:pPr>
    </w:p>
    <w:p w:rsidR="00AC56D6" w:rsidRDefault="00AC56D6" w:rsidP="00AC56D6">
      <w:pPr>
        <w:pStyle w:val="TextoNormal"/>
      </w:pPr>
      <w:r w:rsidRPr="00AC56D6">
        <w:rPr>
          <w:rStyle w:val="NumeroAFNegritaCaracter"/>
        </w:rPr>
        <w:t>7</w:t>
      </w:r>
      <w:r>
        <w:t>. Según señalamos en el fundamento jurídico 3 a) de la presente resolución, el carácter principal de la alegación que asocia en el recurso el art. 28.1 CE con las libertades del art. 20 CE, convertía en accesoria la denuncia que vinculaba aquel mismo derecho fundamental y el art. 14 CE.</w:t>
      </w:r>
    </w:p>
    <w:p w:rsidR="00AC56D6" w:rsidRDefault="00AC56D6" w:rsidP="00AC56D6">
      <w:pPr>
        <w:pStyle w:val="TextoNormal"/>
      </w:pPr>
    </w:p>
    <w:p w:rsidR="00AC56D6" w:rsidRDefault="00AC56D6" w:rsidP="00AC56D6">
      <w:pPr>
        <w:pStyle w:val="TextoNormal"/>
      </w:pPr>
      <w:r>
        <w:t>Declarado sin embargo que no existe desde aquel enfoque principal objeción de constitucionalidad a la sanción impuesta, nos corresponde ahora dilucidar, desde esta nueva aproximación de discriminación sindical que se invoca en la demanda, si el establecimiento de consecuencias jurídico-sancionadoras diferentes a los agentes representativos que participaron en los hechos (el recurrente y dos miembros de UGT) vulnera o no la Constitución.</w:t>
      </w:r>
    </w:p>
    <w:p w:rsidR="00AC56D6" w:rsidRDefault="00AC56D6" w:rsidP="00AC56D6">
      <w:pPr>
        <w:pStyle w:val="TextoNormal"/>
      </w:pPr>
    </w:p>
    <w:p w:rsidR="00AC56D6" w:rsidRDefault="00AC56D6" w:rsidP="00AC56D6">
      <w:pPr>
        <w:pStyle w:val="TextoNormal"/>
      </w:pPr>
      <w:r>
        <w:t>El demandante sostiene la queja en una pretendida “autoría cooperativa” del comunicado. Infiere de ella la necesidad de un trato sancionatorio igual respecto de otros representantes de los trabajadores que también participaron en la difusión y distribución del escrito y a los que se les impuso, en cambio, una sanción menor (respectivamente, representante de UGT en el comité y delegada sindical de ese mismo sindicato). Con cita de la STS de 20 de abril de 2005, dictada en recurso de casación para la unificación de doctrina núm. 6701-2003, defiende la demanda que no es posible fragmentar el proceso de elaboración del escrito y el momento de su difusión entre los trabajadores, al tratarse de un único acto de expresión colectiva. Por consiguiente, una vez acreditada la responsabilidad de todos los representantes de los trabajadores —dice la demanda de amparo—, la desigualdad de trato en la sanción revelaría la discriminación sindical denunciada.</w:t>
      </w:r>
    </w:p>
    <w:p w:rsidR="00AC56D6" w:rsidRDefault="00AC56D6" w:rsidP="00AC56D6">
      <w:pPr>
        <w:pStyle w:val="TextoNormal"/>
      </w:pPr>
    </w:p>
    <w:p w:rsidR="00AC56D6" w:rsidRDefault="00AC56D6" w:rsidP="00AC56D6">
      <w:pPr>
        <w:pStyle w:val="TextoNormal"/>
      </w:pPr>
      <w:r>
        <w:t>Como bien dice el Tribunal Supremo en aquel pronunciamiento, los representantes de los trabajadores afiliados a un sindicato y distribuidores de información sindical no son simples mensajeros a los que vendría a ser de aplicación por analogía la doctrina del reportaje neutral. Antes al contrario, no están exentos de responsabilidad al difundir un mensaje que deben conocer y no difundir si incluye apelativos insultantes, injuriosos o vejatorios. Que tal circunstancia no exima de la responsabilidad que en su caso corresponda a cada agente, como ocurriera en el presente supuesto con las representantes de la UGT que intervinieron en los hechos, no equivale sin embargo a una necesaria identidad de trato sancionatorio desvinculada de cuál haya sido la participación de cada uno de ellos. Dicho en otras palabras, no habiendo coincidencia (o equivalencia) en las conductas enjuiciadas no puede ha</w:t>
      </w:r>
      <w:r>
        <w:lastRenderedPageBreak/>
        <w:t xml:space="preserve">blarse de un imperativo de constitucionalidad que imponga la necesaria equiparación sancionadora entre quien es autor de un escrito ofensivo y quien lo distribuye, salvo que aquella “autoría de creación” sea por completo circunstancial o accesoria al acto de expresión colectiva, lo que tendrá que analizarse </w:t>
      </w:r>
      <w:r w:rsidRPr="00AC56D6">
        <w:rPr>
          <w:i/>
        </w:rPr>
        <w:t>ad casum</w:t>
      </w:r>
      <w:r>
        <w:t>, concurriendo, por ejemplo, si consta la voluntad del órgano representativo en orden a la emisión de un determinado documento o si se acredita el concurso en el acto sindical de varias organizaciones sindicales.</w:t>
      </w:r>
    </w:p>
    <w:p w:rsidR="00AC56D6" w:rsidRDefault="00AC56D6" w:rsidP="00AC56D6">
      <w:pPr>
        <w:pStyle w:val="TextoNormal"/>
      </w:pPr>
    </w:p>
    <w:p w:rsidR="00AC56D6" w:rsidRDefault="00AC56D6" w:rsidP="00AC56D6">
      <w:pPr>
        <w:pStyle w:val="TextoNormal"/>
      </w:pPr>
      <w:r>
        <w:t>No es aquí, en cambio, como se dijo, lo que acontece. No consta fehacientemente una voluntad formalizada en el comité de empresa para la publicación del escrito objeto de controversia; antes al contrario, la representante de las Comisiones Obreras se opuso a sus contenidos y difusión, sin que hubiera reunión del comité ni acuerdo formal que haya sido declarado probado en las resoluciones impugnadas. Prueba adicional de ese último dato es que se invoque la sanción menor impuesta a una delegada sindical de UGT, que colaboró en la difusión pero no formaba parte de aquel órgano de representación legal de los trabajadores. Tampoco hay constancia alguna de un acuerdo entre CGT (ni siquiera de CGT) y otro u otros sindicatos —incluido UGT— que pudiera apuntar indiciariamente o demostrar plenamente el carácter circunstancial o accesorio de la autoría de creación atribuida al recurrente. Los hechos probados, antes bien, revelan la disparidad de conducta de unos y otros representantes, declarándose probada la distinta entidad de su intervención y la exclusiva y autónoma autoría del escrito, que fue obra y decisión del recurrente. Siendo de ese modo, la sanción dispar tiene fundamento en un distinto comportamiento, sin que quepa ver en ello fuente alguna de trato discriminatorio entre sindicatos o representantes sindicales.</w:t>
      </w:r>
    </w:p>
    <w:p w:rsidR="00AC56D6" w:rsidRDefault="00AC56D6" w:rsidP="00AC56D6">
      <w:pPr>
        <w:pStyle w:val="TextoNormal"/>
      </w:pPr>
    </w:p>
    <w:p w:rsidR="00AC56D6" w:rsidRDefault="00AC56D6" w:rsidP="00AC56D6">
      <w:pPr>
        <w:pStyle w:val="TextoNormal"/>
      </w:pPr>
      <w:r>
        <w:t>Es, en suma, perfectamente posible fragmentar en esta ocasión el proceso de elaboración y autoría del escrito de los sucesivos actos de difusión, faltando prueba suficiente que nos permita concluir que estemos ante un único acto conjunto de expresión colectiva. No hay entonces nada que reprochar desde el prisma de la discriminación sindical, como tampoco tiene sentido alguno detenerse, ahora desde el prisma del principio de igualdad ante la ley, en el “imposible derecho a la igualdad en la ilegalidad” o “igualdad contra Ley”, ya que no se produjo un diferente trato ante situaciones iguales que pudiera merecer un examen conforme a la referida doctrina (que puede verse, por todas, en la STC 181/2006, de 19 de junio, FJ 3).</w:t>
      </w:r>
    </w:p>
    <w:p w:rsidR="00AC56D6" w:rsidRDefault="00AC56D6" w:rsidP="00AC56D6">
      <w:pPr>
        <w:pStyle w:val="TextoNormal"/>
      </w:pPr>
    </w:p>
    <w:p w:rsidR="00AC56D6" w:rsidRDefault="00AC56D6" w:rsidP="00AC56D6">
      <w:pPr>
        <w:pStyle w:val="TextoNormal"/>
      </w:pPr>
      <w:r>
        <w:t>Descartadas, pues, las diferentes lesiones de los derechos fundamentales denunciadas en esta sede constitucional, procede desestimar el amparo solicitado.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Desestimar el recurso de amparo interpuesto por don Juan Carlos Robles Chaves.</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cinco de octubre de dos mil quince.</w:t>
      </w:r>
    </w:p>
    <w:p w:rsidR="00AC56D6" w:rsidRDefault="00AC56D6">
      <w:pPr>
        <w:spacing w:after="160" w:line="259" w:lineRule="auto"/>
        <w:rPr>
          <w:rFonts w:ascii="Times New Roman" w:eastAsia="Times New Roman" w:hAnsi="Times New Roman" w:cs="Times New Roman"/>
          <w:sz w:val="24"/>
          <w:szCs w:val="24"/>
          <w:lang w:eastAsia="es-ES"/>
        </w:rPr>
      </w:pPr>
      <w:r>
        <w:lastRenderedPageBreak/>
        <w:br w:type="page"/>
      </w:r>
    </w:p>
    <w:p w:rsidR="00AC56D6" w:rsidRDefault="00AC56D6" w:rsidP="00AC56D6">
      <w:pPr>
        <w:pStyle w:val="TtuloResolucin"/>
      </w:pPr>
      <w:bookmarkStart w:id="60" w:name="SENTENCIA_2015_204"/>
      <w:r>
        <w:lastRenderedPageBreak/>
        <w:t>SENTENCIA 204/2015, de 5 de octubre de 2015</w:t>
      </w:r>
    </w:p>
    <w:bookmarkEnd w:id="60"/>
    <w:p w:rsidR="00AC56D6" w:rsidRDefault="00AC56D6" w:rsidP="00AC56D6">
      <w:pPr>
        <w:pStyle w:val="TtuloResolucin"/>
      </w:pPr>
      <w:r>
        <w:t>Sala Primera</w:t>
      </w:r>
    </w:p>
    <w:p w:rsidR="00AC56D6" w:rsidRDefault="00AC56D6" w:rsidP="00AC56D6">
      <w:pPr>
        <w:pStyle w:val="TtuloBOE"/>
      </w:pPr>
      <w:r>
        <w:t>(BOE núm. 272, de 13 de noviembre de 2015)</w:t>
      </w:r>
    </w:p>
    <w:p w:rsidR="00AC56D6" w:rsidRDefault="00AC56D6" w:rsidP="00AC56D6">
      <w:pPr>
        <w:pStyle w:val="TextoNormalCentrado"/>
      </w:pPr>
      <w:r>
        <w:t>ECLI:ES:TC:2015:204</w:t>
      </w:r>
    </w:p>
    <w:p w:rsidR="00AC56D6" w:rsidRDefault="00AC56D6" w:rsidP="00AC56D6">
      <w:pPr>
        <w:pStyle w:val="TextoNormalCentrado"/>
      </w:pPr>
    </w:p>
    <w:p w:rsidR="00AC56D6" w:rsidRDefault="00AC56D6" w:rsidP="00AC56D6">
      <w:pPr>
        <w:pStyle w:val="SntesisDescriptiva"/>
      </w:pPr>
      <w:r>
        <w:t>Recurso de amparo 4887-2013. Promovido por doña Nouria Taibi en relación con el Auto del Juzgado de Instrucción número 12 de Palma de Mallorca que denegó la incoación de procedimiento de habeas corpus.</w:t>
      </w:r>
    </w:p>
    <w:p w:rsidR="00AC56D6" w:rsidRDefault="00AC56D6" w:rsidP="00AC56D6">
      <w:pPr>
        <w:pStyle w:val="SntesisDescriptiva"/>
      </w:pPr>
    </w:p>
    <w:p w:rsidR="00AC56D6" w:rsidRDefault="00AC56D6" w:rsidP="00AC56D6">
      <w:pPr>
        <w:pStyle w:val="SntesisAnaltica"/>
      </w:pPr>
      <w:r>
        <w:t>Vulneración del derecho a la libertad personal: inadmisión de una petición de habeas corpus por razones de fondo (STC 195/2014).</w:t>
      </w:r>
    </w:p>
    <w:p w:rsidR="00AC56D6" w:rsidRDefault="00AC56D6" w:rsidP="00AC56D6">
      <w:pPr>
        <w:pStyle w:val="SntesisAnaltica"/>
      </w:pPr>
    </w:p>
    <w:p w:rsidR="00AC56D6" w:rsidRDefault="00AC56D6" w:rsidP="00AC56D6">
      <w:pPr>
        <w:pStyle w:val="Extracto"/>
      </w:pPr>
      <w:r>
        <w:t>1.</w:t>
      </w:r>
      <w:r>
        <w:tab/>
        <w:t>Se otorga del amparo por vulneración del derecho a la libertad personal, dada la concurrencia de todos los requisitos formales legales exigidos para acordar la tramitación de la solicitud de habeas corpus, llevada a cabo por la demandante de amparo, tras encontrase en una situación de privación de libertad no acordada judicialmente (STC 195/2014) [FJ 3].</w:t>
      </w:r>
    </w:p>
    <w:p w:rsidR="00AC56D6" w:rsidRDefault="00AC56D6" w:rsidP="00AC56D6">
      <w:pPr>
        <w:pStyle w:val="Extracto"/>
      </w:pPr>
    </w:p>
    <w:p w:rsidR="00AC56D6" w:rsidRDefault="00AC56D6" w:rsidP="00AC56D6">
      <w:pPr>
        <w:pStyle w:val="Extracto"/>
      </w:pPr>
      <w:r>
        <w:t>2.</w:t>
      </w:r>
      <w:r>
        <w:tab/>
        <w:t>No es constitucionalmente legítimo, fundamentar la inadmisión del procedimiento de habeas corpus en la afirmación de que el recurrente no se encontraba ilícitamente privado de libertad, porque el contenido propio de la pretensión formulada en él es, precisamente, la de determinar la licitud o ilicitud de dicha privación (SSTC 35/2008, 147/2008, 42/2015) [FJ 2].</w:t>
      </w:r>
    </w:p>
    <w:p w:rsidR="00AC56D6" w:rsidRDefault="00AC56D6" w:rsidP="00AC56D6">
      <w:pPr>
        <w:pStyle w:val="Extracto"/>
      </w:pPr>
    </w:p>
    <w:p w:rsidR="00AC56D6" w:rsidRDefault="00AC56D6" w:rsidP="00AC56D6">
      <w:pPr>
        <w:pStyle w:val="Extracto"/>
      </w:pPr>
      <w:r>
        <w:t>3.</w:t>
      </w:r>
      <w:r>
        <w:tab/>
        <w:t>El frecuente incumplimiento de esta jurisprudencia constitucional “es grave y carece de justificación”, lo que dota al recurso de amparo de especial trascendencia constitucional (STC 42/2015) [FJ 2].</w:t>
      </w:r>
    </w:p>
    <w:p w:rsidR="00AC56D6" w:rsidRDefault="00AC56D6" w:rsidP="00AC56D6">
      <w:pPr>
        <w:pStyle w:val="Extracto"/>
      </w:pPr>
    </w:p>
    <w:p w:rsidR="00AC56D6" w:rsidRDefault="00AC56D6" w:rsidP="00AC56D6">
      <w:pPr>
        <w:pStyle w:val="Extracto"/>
      </w:pPr>
      <w:r>
        <w:t>4.</w:t>
      </w:r>
      <w:r>
        <w:tab/>
        <w:t>No procede acordar la retroacción de actuaciones puesto que ello carecería de eficacia por haber cesado la situación de detención a cuyo control de legalidad está orientado el procedimiento de habeas corpus (SSTC 195/2014, 42/2015) [FJ 5].</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 xml:space="preserve">En el recurso de amparo núm. 4887-2013, promovido por doña Nouria Taibi, representada por la Procuradora de los Tribunales doña Esperanza Martín Pulido y asistida por el </w:t>
      </w:r>
      <w:r>
        <w:lastRenderedPageBreak/>
        <w:t>Letrado don Jaime Campaner Muñoz, contra el Auto del Juzgado de Instrucción núm. 12 de Palma de Mallorca, de 11 de julio de 2013, por el que se acuerda denegar la incoación del procedimiento de habeas corpus núm. 4-2013, y contra la providencia del mismo Juzgado de 26 de julio de 2013, por la que se acuerda no haber lugar a la apertura del incidente de nulidad de actuaciones promovido frente al anterior. Ha intervenido el Ministerio Fiscal y ha sido Ponente la Magistrada doña Encarnación Roca Trías,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Por escrito presentado en el Registro General de este Tribunal el 31 de julio de 2013, la Procuradora de los Tribunales doña Esperanza Martín Pulido, en nombre y representación de doña Nouria Taibi, y bajo la dirección del Letrado don Jaime Campaner Muñoz, interpuso recurso de amparo contra las resoluciones judiciales que se citan en el encabezamiento.</w:t>
      </w:r>
    </w:p>
    <w:p w:rsidR="00AC56D6" w:rsidRDefault="00AC56D6" w:rsidP="00AC56D6">
      <w:pPr>
        <w:pStyle w:val="TextoNormal"/>
      </w:pPr>
    </w:p>
    <w:p w:rsidR="00AC56D6" w:rsidRDefault="00AC56D6" w:rsidP="00AC56D6">
      <w:pPr>
        <w:pStyle w:val="TextoNormal"/>
      </w:pPr>
      <w:r w:rsidRPr="00AC56D6">
        <w:rPr>
          <w:rStyle w:val="NumeroAFNegritaCaracter"/>
        </w:rPr>
        <w:t>2</w:t>
      </w:r>
      <w:r>
        <w:t>. Los hechos que motivan su recurso son, sucintamente expuestos, los siguientes:</w:t>
      </w:r>
    </w:p>
    <w:p w:rsidR="00AC56D6" w:rsidRDefault="00AC56D6" w:rsidP="00AC56D6">
      <w:pPr>
        <w:pStyle w:val="TextoNormal"/>
      </w:pPr>
    </w:p>
    <w:p w:rsidR="00AC56D6" w:rsidRDefault="00AC56D6" w:rsidP="00AC56D6">
      <w:pPr>
        <w:pStyle w:val="TextoNormal"/>
      </w:pPr>
      <w:r>
        <w:t>a) En el curso de una investigación judicial por posibles delitos de falsedad documental, contra los derechos de los trabajadores y contra los derechos de los ciudadanos extranjeros (diligencias previas 1008-2013 del Juzgado de Instrucción núm. 11 de Palma de Mallorca), la recurrente, doña Nouria Taibi, fue detenida por agentes del Cuerpo Nacional de Policía, en el rellano del primer piso de su domicilio a las 10:50 horas del día 11 de julio de 2013. Tras ser informada verbalmente de los motivos de la detención, por delito de falsedad documental, así como de los derechos que le asisten como detenida, se procede a dar comunicación de la detención de la recurrente al Juzgado de Instrucción en funciones de guardia de Palma, al Colegio de Abogados de dicha capital, así como al despacho del Letrado particular don Jaime Campaner y al servicio de intérpretes de Ofilingua en el que se solicita intérprete de árabe, para la asistencia de la detenida.</w:t>
      </w:r>
    </w:p>
    <w:p w:rsidR="00AC56D6" w:rsidRDefault="00AC56D6" w:rsidP="00AC56D6">
      <w:pPr>
        <w:pStyle w:val="TextoNormal"/>
      </w:pPr>
    </w:p>
    <w:p w:rsidR="00AC56D6" w:rsidRDefault="00AC56D6" w:rsidP="00AC56D6">
      <w:pPr>
        <w:pStyle w:val="TextoNormal"/>
      </w:pPr>
      <w:r>
        <w:t>b) A las 17:20 horas, el Letrado don Jaime Campaner Muñoz, designado por aquélla para su defensa, así como la intérprete oficial de idioma árabe, se personaron en las dependencias policiales, por lo que el Instructor dispuso que la detenida fuera oída en la declaración. Consta en acta que la detenida mostró su deseo de no prestar declaración en las dependencias policiales, sino ante la autoridad judicial, sin que el Letrado hiciera pregunta alguna tras el ofrecimiento realizado por los funcionarios correspondientes.</w:t>
      </w:r>
    </w:p>
    <w:p w:rsidR="00AC56D6" w:rsidRDefault="00AC56D6" w:rsidP="00AC56D6">
      <w:pPr>
        <w:pStyle w:val="TextoNormal"/>
      </w:pPr>
    </w:p>
    <w:p w:rsidR="00AC56D6" w:rsidRDefault="00AC56D6" w:rsidP="00AC56D6">
      <w:pPr>
        <w:pStyle w:val="TextoNormal"/>
      </w:pPr>
      <w:r>
        <w:t xml:space="preserve">c) Mediante escrito de fecha de 11 de julio de 2013, se solicitó por la defensa de la demandante de amparo al Juzgado de Instrucción núm. 12 de Palma de Mallorca la incoación del procedimiento de </w:t>
      </w:r>
      <w:r w:rsidRPr="00AC56D6">
        <w:rPr>
          <w:i/>
        </w:rPr>
        <w:t>habeas corpus</w:t>
      </w:r>
      <w:r>
        <w:t>, basándose en “indebida e innecesaria la prolongación de la ya ilegal privación de libertad” sufrida por su representada, dado que se anunció su demora hasta la mañana siguiente. Al respecto se advertía de la existencia de un hijo menor de edad (de aproximadamente año y medio) a su cargo y de su marido, previamente detenido, y del inicio, esa misma mañana, de “su periodo menstrual”.</w:t>
      </w:r>
    </w:p>
    <w:p w:rsidR="00AC56D6" w:rsidRDefault="00AC56D6" w:rsidP="00AC56D6">
      <w:pPr>
        <w:pStyle w:val="TextoNormal"/>
      </w:pPr>
    </w:p>
    <w:p w:rsidR="00AC56D6" w:rsidRDefault="00AC56D6" w:rsidP="00AC56D6">
      <w:pPr>
        <w:pStyle w:val="TextoNormal"/>
      </w:pPr>
      <w:r>
        <w:t>d) Recibido el escrito, el Juzgado de Instrucción núm. 12 de Palma de Mallorca acordó por providencia de la misma fecha dar traslado al Ministerio Fiscal para que emitiera informe y la unión de la copia del atestado policial.</w:t>
      </w:r>
    </w:p>
    <w:p w:rsidR="00AC56D6" w:rsidRDefault="00AC56D6" w:rsidP="00AC56D6">
      <w:pPr>
        <w:pStyle w:val="TextoNormal"/>
      </w:pPr>
    </w:p>
    <w:p w:rsidR="00AC56D6" w:rsidRDefault="00AC56D6" w:rsidP="00AC56D6">
      <w:pPr>
        <w:pStyle w:val="TextoNormal"/>
      </w:pPr>
      <w:r>
        <w:t xml:space="preserve">En dictamen fechado el 11 de julio de 2013, el Ministerio Fiscal se opuso a la incoación del procedimiento de </w:t>
      </w:r>
      <w:r w:rsidRPr="00AC56D6">
        <w:rPr>
          <w:i/>
        </w:rPr>
        <w:t>habeas corpus</w:t>
      </w:r>
      <w:r>
        <w:t xml:space="preserve">. En primer lugar, por entender que el art. 3 de la ley reguladora no legitima al Letrado para instar el procedimiento, y, en segundo lugar, por entender que la detención “tiene respaldo legal en los arts. 490.2 y 492 de la L.E.Crim.”. Termina solicitando que al no concurrir “ninguno de los supuestos del art.1 de la Ley, procede DENEGAR sin más trámite la solicitud de </w:t>
      </w:r>
      <w:r w:rsidRPr="00AC56D6">
        <w:rPr>
          <w:i/>
        </w:rPr>
        <w:t>Habeas Corpus</w:t>
      </w:r>
      <w:r>
        <w:t xml:space="preserve"> por ser improcedente conforme al art. 6 de la meritada Ley”.</w:t>
      </w:r>
    </w:p>
    <w:p w:rsidR="00AC56D6" w:rsidRDefault="00AC56D6" w:rsidP="00AC56D6">
      <w:pPr>
        <w:pStyle w:val="TextoNormal"/>
      </w:pPr>
    </w:p>
    <w:p w:rsidR="00AC56D6" w:rsidRDefault="00AC56D6" w:rsidP="00AC56D6">
      <w:pPr>
        <w:pStyle w:val="TextoNormal"/>
      </w:pPr>
      <w:r>
        <w:t>e) A continuación, el Juzgado de Instrucción núm. 12 de Palma de Mallorca dictó Auto de fecha 11 de julio de 2013, denegando la incoación del procedimiento. En su fundamento jurídico único afirmaba lo siguiente:</w:t>
      </w:r>
    </w:p>
    <w:p w:rsidR="00AC56D6" w:rsidRDefault="00AC56D6" w:rsidP="00AC56D6">
      <w:pPr>
        <w:pStyle w:val="TextoNormal"/>
      </w:pPr>
    </w:p>
    <w:p w:rsidR="00AC56D6" w:rsidRDefault="00AC56D6" w:rsidP="00AC56D6">
      <w:pPr>
        <w:pStyle w:val="TextoNormal"/>
      </w:pPr>
      <w:r>
        <w:t>“El artículo 1 de la Ley Orgánica 6/84, reguladora del Procedimiento de Habeas Corpus, establece los supuestos en los que se considera que una persona ha sido ilegalmente detenida; examinada la solicitud formulada y el informe del Ministerio Fiscal, resulta que el presente caso no puede encuadrarse en ninguno de los apartados del citado artículo 1, y por ello, conforme establece el art. 6 de la referida Ley, debe considerarse improcedente la petición efectuada que además bien (</w:t>
      </w:r>
      <w:r w:rsidRPr="00AC56D6">
        <w:rPr>
          <w:i/>
        </w:rPr>
        <w:t>sic</w:t>
      </w:r>
      <w:r>
        <w:t>) hecha por el Abogado de la detenida, carente de legitimación para ello al no constar que esté en ninguno de los supuestos previstos en el artículo 3 de dicha Ley Orgánica.”</w:t>
      </w:r>
    </w:p>
    <w:p w:rsidR="00AC56D6" w:rsidRDefault="00AC56D6" w:rsidP="00AC56D6">
      <w:pPr>
        <w:pStyle w:val="TextoNormal"/>
      </w:pPr>
    </w:p>
    <w:p w:rsidR="00AC56D6" w:rsidRDefault="00AC56D6" w:rsidP="00AC56D6">
      <w:pPr>
        <w:pStyle w:val="TextoNormal"/>
      </w:pPr>
      <w:r>
        <w:t xml:space="preserve">f) Contra esta resolución se instó incidente de nulidad de actuaciones, de conformidad con lo previsto en los arts. 241.1 y 238.3 de la Ley Orgánica del Poder Judicial (LOPJ), en el que se denunciaba, con invocación de la doctrina constitucional, que con la denegación </w:t>
      </w:r>
      <w:r w:rsidRPr="00AC56D6">
        <w:rPr>
          <w:i/>
        </w:rPr>
        <w:t>a limine</w:t>
      </w:r>
      <w:r>
        <w:t xml:space="preserve"> de la solicitud de </w:t>
      </w:r>
      <w:r w:rsidRPr="00AC56D6">
        <w:rPr>
          <w:i/>
        </w:rPr>
        <w:t>habeas corpus</w:t>
      </w:r>
      <w:r>
        <w:t xml:space="preserve"> se vulneraron los derechos a la tutela judicial efectiva (art. 24 CE) y a la libertad (art. 17 CE) de la recurrente. Añadía, además, que el Letrado ostenta plena legitimación para la promoción del </w:t>
      </w:r>
      <w:r w:rsidRPr="00AC56D6">
        <w:rPr>
          <w:i/>
        </w:rPr>
        <w:t>habeas corpus</w:t>
      </w:r>
      <w:r>
        <w:t xml:space="preserve"> (STC 37/2008). Termina el escrito solicitando que se decretase la nulidad del Auto de 11 de julio de 2013, así como la retroacción de actuaciones a los efectos de dictar una nueva resolución respetuosa con los derechos fundamentales invocados.</w:t>
      </w:r>
    </w:p>
    <w:p w:rsidR="00AC56D6" w:rsidRDefault="00AC56D6" w:rsidP="00AC56D6">
      <w:pPr>
        <w:pStyle w:val="TextoNormal"/>
      </w:pPr>
    </w:p>
    <w:p w:rsidR="00AC56D6" w:rsidRDefault="00AC56D6" w:rsidP="00AC56D6">
      <w:pPr>
        <w:pStyle w:val="TextoNormal"/>
      </w:pPr>
      <w:r>
        <w:t xml:space="preserve">g) El Ministerio Fiscal emitió dictamen de fecha 22 de julio de 2013, en el que solicitaba la desestimación del incidente de nulidad de actuaciones. El Juzgado de Instrucción núm. 12 de Palma de Mallorca, dictó providencia el 26 de julio de 2013, por la que, a pesar de reconocer la legitimación del Abogado para el planteamiento del </w:t>
      </w:r>
      <w:r w:rsidRPr="00AC56D6">
        <w:rPr>
          <w:i/>
        </w:rPr>
        <w:t>habeas corpus</w:t>
      </w:r>
      <w:r>
        <w:t>, inadmitió el citado incidente. La resolución fundaba su decisión en las siguientes razones:</w:t>
      </w:r>
    </w:p>
    <w:p w:rsidR="00AC56D6" w:rsidRDefault="00AC56D6" w:rsidP="00AC56D6">
      <w:pPr>
        <w:pStyle w:val="TextoNormal"/>
      </w:pPr>
    </w:p>
    <w:p w:rsidR="00AC56D6" w:rsidRDefault="00AC56D6" w:rsidP="00AC56D6">
      <w:pPr>
        <w:pStyle w:val="TextoNormal"/>
      </w:pPr>
      <w:r>
        <w:t xml:space="preserve">“Si bien ciertamente el Letrado en nombre del privado de libertad puede solicitar el </w:t>
      </w:r>
      <w:r w:rsidRPr="00AC56D6">
        <w:rPr>
          <w:i/>
        </w:rPr>
        <w:t>habeas corpus</w:t>
      </w:r>
      <w:r>
        <w:t xml:space="preserve"> en el presente caso debe tenerse en cuenta que pese a negarse legitimación el Ministerio Fiscal entra a examinar las cuestiones planteadas, al margen de exponer la falta de legitimación, y el Juzgado también afirma que no se está en ninguno de los supuestos previstos en el art. 3 de la Ley Orgánica reguladora del Procedimiento de habeas corpus, esto es la argumentada falta de legitimación no privó al solicitante de que examinase la procedencia de incoación del procedimiento.</w:t>
      </w:r>
    </w:p>
    <w:p w:rsidR="00AC56D6" w:rsidRDefault="00AC56D6" w:rsidP="00AC56D6">
      <w:pPr>
        <w:pStyle w:val="TextoNormal"/>
      </w:pPr>
    </w:p>
    <w:p w:rsidR="00AC56D6" w:rsidRDefault="00AC56D6" w:rsidP="00AC56D6">
      <w:pPr>
        <w:pStyle w:val="TextoNormal"/>
      </w:pPr>
      <w:r>
        <w:t>…</w:t>
      </w:r>
    </w:p>
    <w:p w:rsidR="00AC56D6" w:rsidRDefault="00AC56D6" w:rsidP="00AC56D6">
      <w:pPr>
        <w:pStyle w:val="TextoNormal"/>
      </w:pPr>
    </w:p>
    <w:p w:rsidR="00AC56D6" w:rsidRDefault="00AC56D6" w:rsidP="00AC56D6">
      <w:pPr>
        <w:pStyle w:val="TextoNormal"/>
      </w:pPr>
      <w:r>
        <w:lastRenderedPageBreak/>
        <w:t xml:space="preserve">En el escrito presentado solicitando el </w:t>
      </w:r>
      <w:r w:rsidRPr="00AC56D6">
        <w:rPr>
          <w:i/>
        </w:rPr>
        <w:t>habeas corpus</w:t>
      </w:r>
      <w:r>
        <w:t xml:space="preserve"> no se explica porque la situación de detención es ilegal ni que se haya excedido el plazo señalado por la ley y en este sentido se refiere que finalizó la toma de declaración, sin embargo ello no significa ni cabe presumir que finalizada la declaración policial de la sra. Nouria se hayan practicado todas las diligencias conducentes a la averiguación de los hechos y por tanto sea procedente la presentación en el Juzgado de la detenida, se indica en el escrito de petición que la preocupación de la detenida es por su hijo menor y que finalizada la toma de declaración ha sido informada de que sería puesta a disposición judicial mañana por la mañana.</w:t>
      </w:r>
    </w:p>
    <w:p w:rsidR="00AC56D6" w:rsidRDefault="00AC56D6" w:rsidP="00AC56D6">
      <w:pPr>
        <w:pStyle w:val="TextoNormal"/>
      </w:pPr>
    </w:p>
    <w:p w:rsidR="00AC56D6" w:rsidRDefault="00AC56D6" w:rsidP="00AC56D6">
      <w:pPr>
        <w:pStyle w:val="TextoNormal"/>
      </w:pPr>
      <w:r>
        <w:t>Pues bien, a la vista del atestado policial levantado hasta ese momento que obra por mera copia resulta que después de la sra. Nouria fueron oídos otros detenidos en relación al mismo atestado, que los hechos objeto de investigación no son simples y en ellos podrían haber participado varias personas y ser testigos otras varias, no constando que el atestado estuviese finalizado por lo que no podía exigirse la presentación precipitada y al margen del atestado policial completo de cada uno de los detenidos y más en concreto de la sra. Nouria, de lo contrario los detenidos deberían ser presentados siempre inmediatamente de que finalizase su propia declaración policial, siendo así que un mínimo entendimiento del procedimiento y unas mínimas garantías para los detenidos y para las partes, incluidas las acusadoras, exigen que los detenidos se presenten con atestados completos, respetando siempre claro está los límites temporales previstos y la perentoriedad derivada de las privaciones de libertad.</w:t>
      </w:r>
    </w:p>
    <w:p w:rsidR="00AC56D6" w:rsidRDefault="00AC56D6" w:rsidP="00AC56D6">
      <w:pPr>
        <w:pStyle w:val="TextoNormal"/>
      </w:pPr>
    </w:p>
    <w:p w:rsidR="00AC56D6" w:rsidRDefault="00AC56D6" w:rsidP="00AC56D6">
      <w:pPr>
        <w:pStyle w:val="TextoNormal"/>
      </w:pPr>
      <w:r>
        <w:t xml:space="preserve">En definitiva, en la petición de </w:t>
      </w:r>
      <w:r w:rsidRPr="00AC56D6">
        <w:rPr>
          <w:i/>
        </w:rPr>
        <w:t>habeas corpus</w:t>
      </w:r>
      <w:r>
        <w:t xml:space="preserve"> no se explícita porqué la detención es ilegal ni porqué existiría una prolongación de tal carácter, lo cual precisamente al ser el solicitante un letrado es de considerar que comunicaría tales extremos ante el Juzgado de concurrir causa para ello. Esto es, no se trata de un </w:t>
      </w:r>
      <w:r w:rsidRPr="00AC56D6">
        <w:rPr>
          <w:i/>
        </w:rPr>
        <w:t>habeas corpus</w:t>
      </w:r>
      <w:r>
        <w:t xml:space="preserve"> solicitado por un ciudadano desconocedor de los términos legales sino de una petición efectuada por un abogado en la que no se argumentan los motivos que sustenta la ilegalidad de la detención ni se esgrime precepto legal alguno.</w:t>
      </w:r>
    </w:p>
    <w:p w:rsidR="00AC56D6" w:rsidRDefault="00AC56D6" w:rsidP="00AC56D6">
      <w:pPr>
        <w:pStyle w:val="TextoNormal"/>
      </w:pPr>
    </w:p>
    <w:p w:rsidR="00AC56D6" w:rsidRDefault="00AC56D6" w:rsidP="00AC56D6">
      <w:pPr>
        <w:pStyle w:val="TextoNormal"/>
      </w:pPr>
      <w:r>
        <w:t>Por lo expuesto se estima que ninguna indefensión se ha causado ni infracción del derecho a la libertad de la sra. Nouria por lo que conforme al art. 240 LOPJ no se abre incidente de nulidad de actuaciones.”</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La recurrente aduce en la demanda de amparo la vulneración de los derechos a la libertad individual (art. 17, apartados 1 y 2 CE) y a la tutela judicial efectiva (art. 24.1 CE) por el Juez de Instrucción núm. 12 de Palma de Mallorca, al haber inadmitido </w:t>
      </w:r>
      <w:r w:rsidRPr="00AC56D6">
        <w:rPr>
          <w:i/>
        </w:rPr>
        <w:t>a limine</w:t>
      </w:r>
      <w:r>
        <w:t xml:space="preserve"> la solicitud de </w:t>
      </w:r>
      <w:r w:rsidRPr="00AC56D6">
        <w:rPr>
          <w:i/>
        </w:rPr>
        <w:t>habeas corpus</w:t>
      </w:r>
      <w:r>
        <w:t xml:space="preserve"> presentada por su Letrado, mientras se encontraba en situación de detención policial, y haber resuelto el fondo de la misma sin tramitar el procedimiento previsto al efecto y fallar careciendo de elementos de juicio necesarios e imprescindibles para tomar dicha decisión al omitirse, entre otros trámites esenciales, oír al afectado y aportar pruebas (al respecto cita, por todas, las SSTC 250/2006, de 24 de julio, y 303/2005, de 24 de noviembre). Considera, en definitiva, que con esta práctica, que la recurrente considera contraria al tenor de los arts. 1 y 6 de la Ley Orgánica 6/1984, de 24 de mayo y a la jurisprudencia constante del Tribunal Constitucional, queda desvirtuada la garantía que representa el procedimiento de </w:t>
      </w:r>
      <w:r w:rsidRPr="00AC56D6">
        <w:rPr>
          <w:i/>
        </w:rPr>
        <w:t>habeas corpus</w:t>
      </w:r>
      <w:r>
        <w:t>, pues las dos únicas causas que permiten a los Juzgados rechazar de plano una solicitud de esta naturaleza, son la ausencia de detención o que ésta sea judicial, pero nunca puede utilizarse para este fin la que mayoritariamente uti</w:t>
      </w:r>
      <w:r>
        <w:lastRenderedPageBreak/>
        <w:t xml:space="preserve">lizan, según la recurrente, los Juzgados de Instrucción, y, en concreto, los Juzgados de Instrucción números 11 y 12 de Palma de Mallorca: considerar legal la detención, lo cual supone hacer supuesto de la cuestión planteada. Considera, igualmente, que carecen de sentido los razonamientos contenidos en la providencia de 26 de julio de 2013, al reprochar al solicitante del </w:t>
      </w:r>
      <w:r w:rsidRPr="00AC56D6">
        <w:rPr>
          <w:i/>
        </w:rPr>
        <w:t>habeas corpus</w:t>
      </w:r>
      <w:r>
        <w:t xml:space="preserve"> —sea Letrado o no— que detalle hasta el extremo, la ilegalidad de la detención y la indebida prolongación de la medida dada, sin tener en consideración ni el momento procesal en el que se encuentra ni la situación de urgencia en la que se produce.</w:t>
      </w:r>
    </w:p>
    <w:p w:rsidR="00AC56D6" w:rsidRDefault="00AC56D6" w:rsidP="00AC56D6">
      <w:pPr>
        <w:pStyle w:val="TextoNormal"/>
      </w:pPr>
    </w:p>
    <w:p w:rsidR="00AC56D6" w:rsidRDefault="00AC56D6" w:rsidP="00AC56D6">
      <w:pPr>
        <w:pStyle w:val="TextoNormal"/>
      </w:pPr>
      <w:r>
        <w:t xml:space="preserve">En segundo lugar, se denuncia por la demandante de amparo la lesión del derecho a la tutela judicial efectiva (art. 24.1 CE), por negar a su Abogado la condición de legitimado para solicitar el </w:t>
      </w:r>
      <w:r w:rsidRPr="00AC56D6">
        <w:rPr>
          <w:i/>
        </w:rPr>
        <w:t>habeas corpus</w:t>
      </w:r>
      <w:r>
        <w:t xml:space="preserve"> en su interés, advirtiendo que es “doctrina consolidada, constante y sin fisuras”, que cuenta con la misma (cita, por todas, la STC 37/2008, de 25 de febrero). Considera que si bien dicha cuestión acabó siendo reconocida por el Juzgado en la providencia, ello carece de efectos prácticos en el presente caso, y que tal reconocimiento formal y </w:t>
      </w:r>
      <w:r w:rsidRPr="00AC56D6">
        <w:rPr>
          <w:i/>
        </w:rPr>
        <w:t>ex post facto</w:t>
      </w:r>
      <w:r>
        <w:t xml:space="preserve"> no obsta para que el Tribunal Constitucional también declare vulnerados los derechos fundamentales por este motivo.</w:t>
      </w:r>
    </w:p>
    <w:p w:rsidR="00AC56D6" w:rsidRDefault="00AC56D6" w:rsidP="00AC56D6">
      <w:pPr>
        <w:pStyle w:val="TextoNormal"/>
      </w:pPr>
    </w:p>
    <w:p w:rsidR="00AC56D6" w:rsidRDefault="00AC56D6" w:rsidP="00AC56D6">
      <w:pPr>
        <w:pStyle w:val="TextoNormal"/>
      </w:pPr>
      <w:r>
        <w:t>Finalmente, la recurrente termina solicitando que sea otorgado el amparo y se anulen los Autos recurridos por haberse vulnerado con ellos los derechos a la libertad (art. 17. 1 y 2 CE) y a la tutela judicial efectiva (art. 24.1 CE).</w:t>
      </w:r>
    </w:p>
    <w:p w:rsidR="00AC56D6" w:rsidRDefault="00AC56D6" w:rsidP="00AC56D6">
      <w:pPr>
        <w:pStyle w:val="TextoNormal"/>
      </w:pPr>
    </w:p>
    <w:p w:rsidR="00AC56D6" w:rsidRDefault="00AC56D6" w:rsidP="00AC56D6">
      <w:pPr>
        <w:pStyle w:val="TextoNormal"/>
      </w:pPr>
      <w:r w:rsidRPr="00AC56D6">
        <w:rPr>
          <w:rStyle w:val="NumeroAFNegritaCaracter"/>
        </w:rPr>
        <w:t>4</w:t>
      </w:r>
      <w:r>
        <w:t>. La Sección Primera de este Tribunal, mediante providencia de 5 de febrero de 2014, acordó no admitir el recurso a trámite, con arreglo a lo previsto en el art. 50.1 a) de la Ley Orgánica del Tribunal Constitucional, dada la manifiesta inexistencia de violación de un derecho fundamental tutelable en amparo, violación que, de acuerdo con el art. 44 de la Ley Orgánica del Tribunal Constitucional (LOTC), es condición para que este Tribunal pueda ejercer dicha tutela.</w:t>
      </w:r>
    </w:p>
    <w:p w:rsidR="00AC56D6" w:rsidRDefault="00AC56D6" w:rsidP="00AC56D6">
      <w:pPr>
        <w:pStyle w:val="TextoNormal"/>
      </w:pPr>
    </w:p>
    <w:p w:rsidR="00AC56D6" w:rsidRDefault="00AC56D6" w:rsidP="00AC56D6">
      <w:pPr>
        <w:pStyle w:val="TextoNormal"/>
      </w:pPr>
      <w:r w:rsidRPr="00AC56D6">
        <w:rPr>
          <w:rStyle w:val="NumeroAFNegritaCaracter"/>
        </w:rPr>
        <w:t>5</w:t>
      </w:r>
      <w:r>
        <w:t xml:space="preserve">. El Ministerio Fiscal, por escrito registrado el 27 de febrero de 2014, interpuso recurso de súplica contra dicha providencia, solicitando que se dejara sin efecto y se repusieran las actuaciones para que se decidiera nuevamente sobre la admisión de la demanda de amparo. En él se argumenta que no cabe afirmar una manifiesta inexistencia de la vulneración aducida del derecho a la libertad, por cuanto la solicitud de </w:t>
      </w:r>
      <w:r w:rsidRPr="00AC56D6">
        <w:rPr>
          <w:i/>
        </w:rPr>
        <w:t>habeas corpus</w:t>
      </w:r>
      <w:r>
        <w:t xml:space="preserve"> se había fundamentado en la eventual ilegalidad de la detención vinculada a una prolongación indebida de la misma y la decisión de inadmisión se fundamentó en la falta de concurrencia de alguna de las circunstancias del art. 1 de la Ley Orgánica reguladora del procedimiento de </w:t>
      </w:r>
      <w:r w:rsidRPr="00AC56D6">
        <w:rPr>
          <w:i/>
        </w:rPr>
        <w:t>habeas corpus</w:t>
      </w:r>
      <w:r>
        <w:t xml:space="preserve"> (LOHC), motivo de fondo que no habilita para justificar una inadmisión liminar del procedimiento de </w:t>
      </w:r>
      <w:r w:rsidRPr="00AC56D6">
        <w:rPr>
          <w:i/>
        </w:rPr>
        <w:t>habeas corpus</w:t>
      </w:r>
      <w:r>
        <w:t xml:space="preserve"> según consolidada jurisprudencia constitucional. También sostiene que la demanda tiene la especial trascendencia constitucional aducida por la recurrente, ya que existe por parte del órgano judicial, una negativa manifiesta al deber de acatamiento de una doctrina constitucional reiterada que le fue puesta de manifiesto al órgano judicial y también concurre un incumplimiento reiterado y generalizado de la doctrina constitucional en esta materia, reconocido en las SSTC 12/2014, de 27 de enero, y 21/2014, de 10 de febrero.</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6</w:t>
      </w:r>
      <w:r>
        <w:t>. Mediante Auto de 2 de febrero de 2015, la Sala Primera de este Tribunal estimó el recurso de súplica interpuesto por el Fiscal, acordando dejar sin efecto la providencia recurrida y reponer las actuaciones al momento inmediatamente anterior a la resolución anulada.</w:t>
      </w:r>
    </w:p>
    <w:p w:rsidR="00AC56D6" w:rsidRDefault="00AC56D6" w:rsidP="00AC56D6">
      <w:pPr>
        <w:pStyle w:val="TextoNormal"/>
      </w:pPr>
    </w:p>
    <w:p w:rsidR="00AC56D6" w:rsidRDefault="00AC56D6" w:rsidP="00AC56D6">
      <w:pPr>
        <w:pStyle w:val="TextoNormal"/>
      </w:pPr>
      <w:r w:rsidRPr="00AC56D6">
        <w:rPr>
          <w:rStyle w:val="NumeroAFNegritaCaracter"/>
        </w:rPr>
        <w:t>7</w:t>
      </w:r>
      <w:r>
        <w:t>. Por providencia de 2 de marzo de 2015, la Sala Primera del este Tribunal acordó admitir a trámite el recurso de amparo al apreciar que concurre en el mismo una especial trascendencia constitucional (art. 50.1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Asimismo, se da vista de las actuaciones al Ministerio Fiscal y a la Procuradora doña Esperanza Martín Pulido, para que en el plazo de veinte días presenten las alegaciones que a su derecho convenga.</w:t>
      </w:r>
    </w:p>
    <w:p w:rsidR="00AC56D6" w:rsidRDefault="00AC56D6" w:rsidP="00AC56D6">
      <w:pPr>
        <w:pStyle w:val="TextoNormal"/>
      </w:pPr>
    </w:p>
    <w:p w:rsidR="00AC56D6" w:rsidRDefault="00AC56D6" w:rsidP="00AC56D6">
      <w:pPr>
        <w:pStyle w:val="TextoNormal"/>
      </w:pPr>
      <w:r w:rsidRPr="00AC56D6">
        <w:rPr>
          <w:rStyle w:val="NumeroAFNegritaCaracter"/>
        </w:rPr>
        <w:t>8</w:t>
      </w:r>
      <w:r>
        <w:t xml:space="preserve">. Evacuando el referido trámite, por escrito registrado el 11 de marzo de 2015, la representación procesal de la recurrente presentó sus alegaciones sobre el fondo, limitándose a solicitar que se tuvieran por reproducida las contenidas tanto en la demanda como en los escritos de fecha 4 de marzo de 2014 y 15 de diciembre de 2014; asimismo hace propias las alegaciones expuestas en el recurso de súplica presentado por el Fiscal. Concluye su escrito poniendo de manifiesto la reciente estimación de dos recursos de amparo interpuestos por el Ministerio Fiscal en materia de </w:t>
      </w:r>
      <w:r w:rsidRPr="00AC56D6">
        <w:rPr>
          <w:i/>
        </w:rPr>
        <w:t>habeas corpus</w:t>
      </w:r>
      <w:r>
        <w:t xml:space="preserve"> (STC 12/2014, de 27 de enero, y 21/2014, de 10 de febrero), así como la de los recursos de amparo interpuestos por su marido y cuñado, por STC 195/2014, de 1 de diciembre.</w:t>
      </w:r>
    </w:p>
    <w:p w:rsidR="00AC56D6" w:rsidRDefault="00AC56D6" w:rsidP="00AC56D6">
      <w:pPr>
        <w:pStyle w:val="TextoNormal"/>
      </w:pPr>
    </w:p>
    <w:p w:rsidR="00AC56D6" w:rsidRDefault="00AC56D6" w:rsidP="00AC56D6">
      <w:pPr>
        <w:pStyle w:val="TextoNormal"/>
      </w:pPr>
      <w:r w:rsidRPr="00AC56D6">
        <w:rPr>
          <w:rStyle w:val="NumeroAFNegritaCaracter"/>
        </w:rPr>
        <w:t>9</w:t>
      </w:r>
      <w:r>
        <w:t>. También el Fiscal despachó el trámite concedido presentando sus alegaciones en fecha 9 de abril de 2015.</w:t>
      </w:r>
    </w:p>
    <w:p w:rsidR="00AC56D6" w:rsidRDefault="00AC56D6" w:rsidP="00AC56D6">
      <w:pPr>
        <w:pStyle w:val="TextoNormal"/>
      </w:pPr>
    </w:p>
    <w:p w:rsidR="00AC56D6" w:rsidRDefault="00AC56D6" w:rsidP="00AC56D6">
      <w:pPr>
        <w:pStyle w:val="TextoNormal"/>
      </w:pPr>
      <w:r>
        <w:t xml:space="preserve">Tras exponer los antecedentes del caso y advertir que la cita del art. 24.1 CE se hace de manera puramente instrumental en la demanda, carente de autonomía propia (STC 195/2014, FJ 5), y que por tanto la denuncia debe reconducirse al ámbito del derecho a la libertad personal y a las garantías del art. 17.4 CE, afirma que las resoluciones impugnadas vulneraron el citado derecho, dado que el Juez de Instrucción, empleando un formulario carente de toda justificación y ampliamente extendido en la práctica, denegó su incoación por no concurrir ninguno de los supuestos del art. 1 LOHC, cuando se cumplían todos los presupuestos y requisitos formales exigidos por el art. 4 LOHC para acordar su admisión a trámite; incumpliendo, con su proceder, la reiterada jurisprudencia constitucional, según la cual, los únicos motivos constitucionalmente legítimos para no admitir un procedimiento de </w:t>
      </w:r>
      <w:r w:rsidRPr="00AC56D6">
        <w:rPr>
          <w:i/>
        </w:rPr>
        <w:t>habeas corpus</w:t>
      </w:r>
      <w:r>
        <w:t xml:space="preserve"> son los basados en la falta del presupuesto necesario de una situación de privación de libertad no acordada judicialmente o en el incumplimiento de los requisitos formales a los que se refiere el citado art. 4 LOHC (al respecto, cita la STC 21/2014, FJ 2, y las allí mencionadas). Considera que a pesar de lo reiterado de esta doctrina constitucional, la práctica judicial sigue evidenciando una aplicación frontalmente contraria a la misma, al persistir en la inadmisión de las peticiones de </w:t>
      </w:r>
      <w:r w:rsidRPr="00AC56D6">
        <w:rPr>
          <w:i/>
        </w:rPr>
        <w:t>habeas corpus</w:t>
      </w:r>
      <w:r>
        <w:t xml:space="preserve"> por razones de fondo, sin ni siquiera oír a la persona detenida. Incumplimiento frecuente de la misma, del que, añade, es plenamente consciente este Tribunal (ATC 108/2014, FJ 1), al haber calificado recientemente, con ocasión de una demanda de amparo presentada por el Ministerio Fiscal, de grave </w:t>
      </w:r>
      <w:r>
        <w:lastRenderedPageBreak/>
        <w:t>y carente de justificación, que permite dotar a los recursos de amparo que alegan su vulneración de “especial trascendencia constitucional” (STC 21/2014, FJ 2).</w:t>
      </w:r>
    </w:p>
    <w:p w:rsidR="00AC56D6" w:rsidRDefault="00AC56D6" w:rsidP="00AC56D6">
      <w:pPr>
        <w:pStyle w:val="TextoNormal"/>
      </w:pPr>
    </w:p>
    <w:p w:rsidR="00AC56D6" w:rsidRDefault="00AC56D6" w:rsidP="00AC56D6">
      <w:pPr>
        <w:pStyle w:val="TextoNormal"/>
      </w:pPr>
      <w:r>
        <w:t xml:space="preserve">Añade que con la decisión de inadmisión </w:t>
      </w:r>
      <w:r w:rsidRPr="00AC56D6">
        <w:rPr>
          <w:i/>
        </w:rPr>
        <w:t>a limine</w:t>
      </w:r>
      <w:r>
        <w:t xml:space="preserve">, se impidió que la detenida compareciera ante el órgano judicial, formulara alegaciones y propusiera las pruebas que estimara pertinentes a los efectos de acreditar la eventual ilegalidad de su situación de privación de libertad y la no necesidad de su prolongación hasta el día siguiente. Y defiende, en relación con la argumentación esgrimida en la providencia de inadmisión del incidente de nulidad de actuaciones, que en el escrito presentado por el Letrado de la demandante se indicó el motivo concreto por el que se solicitaba el </w:t>
      </w:r>
      <w:r w:rsidRPr="00AC56D6">
        <w:rPr>
          <w:i/>
        </w:rPr>
        <w:t>habeas corpus</w:t>
      </w:r>
      <w:r>
        <w:t xml:space="preserve">, tal como exige el art. 4 c) LOHC, al denunciar la ilegalidad de la detención, fundamentalmente por considerar innecesaria e indebida la prolongación de la privación de libertad, acreditando una situación familiar y personal especialmente gravosa, por la existencia de un hijo de corta edad y su estado físico concreto. De manera que considera que aunque las denuncias formuladas no se invocaran expresamente, tenían pleno encaje en el supuesto contemplado en la letra a) del art. 1 LOHC. Por último, y en relación con la queja sobre la legitimación del Letrado para la presentación del </w:t>
      </w:r>
      <w:r w:rsidRPr="00AC56D6">
        <w:rPr>
          <w:i/>
        </w:rPr>
        <w:t>habeas corpus</w:t>
      </w:r>
      <w:r>
        <w:t>, considera que la reparación ha surtido su efecto con independencia de formalismos, aunque señala que, en puridad, debía haber dado lugar a admitir el incidente de nulidad y haber reconocido el citado derecho.</w:t>
      </w:r>
    </w:p>
    <w:p w:rsidR="00AC56D6" w:rsidRDefault="00AC56D6" w:rsidP="00AC56D6">
      <w:pPr>
        <w:pStyle w:val="TextoNormal"/>
      </w:pPr>
    </w:p>
    <w:p w:rsidR="00AC56D6" w:rsidRDefault="00AC56D6" w:rsidP="00AC56D6">
      <w:pPr>
        <w:pStyle w:val="TextoNormal"/>
      </w:pPr>
      <w:r>
        <w:t>El Fiscal solicita el otorgamiento del amparo y la declaración de nulidad de las resoluciones judiciales vulneradoras del derecho a la libertad personal, aunque sin retroacción de actuaciones al momento en que se produjo esta lesión del derecho fundamental, por haber cesado la situación de detención policial de la demandante de amparo y desconocerse en estos momentos su situación jurídica (cita, al respecto las SSTC 21/2014, FJ 3; 12/2014, FJ 4, y 195/2014, FJ 6).</w:t>
      </w:r>
    </w:p>
    <w:p w:rsidR="00AC56D6" w:rsidRDefault="00AC56D6" w:rsidP="00AC56D6">
      <w:pPr>
        <w:pStyle w:val="TextoNormal"/>
      </w:pPr>
    </w:p>
    <w:p w:rsidR="00AC56D6" w:rsidRDefault="00AC56D6" w:rsidP="00AC56D6">
      <w:pPr>
        <w:pStyle w:val="TextoNormal"/>
      </w:pPr>
      <w:r w:rsidRPr="00AC56D6">
        <w:rPr>
          <w:rStyle w:val="NumeroAFNegritaCaracter"/>
        </w:rPr>
        <w:t>10</w:t>
      </w:r>
      <w:r>
        <w:t>. Por providencia de 1 de octubre de 2015, se acordó señalar para deliberación y votación de la presente Sentencia el día 5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La presente demanda de amparo se dirige contra el Auto del Juzgado de Primera Instancia e Instrucción número 12 de Palma de Mallorca, de 11 de julio de 2013, por el que se acordó la inadmisión </w:t>
      </w:r>
      <w:r w:rsidRPr="00AC56D6">
        <w:rPr>
          <w:i/>
        </w:rPr>
        <w:t>a limine</w:t>
      </w:r>
      <w:r>
        <w:t xml:space="preserve"> de la solicitud de incoación del procedimiento de </w:t>
      </w:r>
      <w:r w:rsidRPr="00AC56D6">
        <w:rPr>
          <w:i/>
        </w:rPr>
        <w:t>habeas corpus</w:t>
      </w:r>
      <w:r>
        <w:t xml:space="preserve"> y también contra la providencia de 26 de julio de 2013, en cuya virtud se inadmitió la petición de nulidad de actuaciones. Dichas resoluciones fueron dictadas en el procedimiento de </w:t>
      </w:r>
      <w:r w:rsidRPr="00AC56D6">
        <w:rPr>
          <w:i/>
        </w:rPr>
        <w:t>habeas corpus</w:t>
      </w:r>
      <w:r>
        <w:t xml:space="preserve"> núm. 4/2013.</w:t>
      </w:r>
    </w:p>
    <w:p w:rsidR="00AC56D6" w:rsidRDefault="00AC56D6" w:rsidP="00AC56D6">
      <w:pPr>
        <w:pStyle w:val="TextoNormal"/>
      </w:pPr>
    </w:p>
    <w:p w:rsidR="00AC56D6" w:rsidRDefault="00AC56D6" w:rsidP="00AC56D6">
      <w:pPr>
        <w:pStyle w:val="TextoNormal"/>
      </w:pPr>
      <w:r>
        <w:t xml:space="preserve">Para la demandante de amparo las resoluciones adoptadas por el órgano judicial lesionaron el derecho a la libertad personal consagrado en el art. 17 CE y a la tutela judicial efectiva (art. 24.1 CE), al haber inadmitido </w:t>
      </w:r>
      <w:r w:rsidRPr="00AC56D6">
        <w:rPr>
          <w:i/>
        </w:rPr>
        <w:t>a limine</w:t>
      </w:r>
      <w:r>
        <w:t xml:space="preserve"> la solicitud del referido procedimiento presentada por su Letrado, mientras se encontraba en situación de detención policial, y haber resuelto el fondo de la misma sin tramitar el procedimiento previsto al efecto, careciendo de elementos de juicio necesarios e imprescindibles para tomar dicha decisión al omitirse, entre </w:t>
      </w:r>
      <w:r>
        <w:lastRenderedPageBreak/>
        <w:t>otros trámites esenciales, oír al afectado y aportar pruebas. Una práctica que no sólo considera contraria a lo dispuesto en los arts. 1 y 6 de la Ley Orgánica 6/1984, de 24 de mayo, sino también a la jurisprudencia constante y reiterada del Tribunal Constitucional.</w:t>
      </w:r>
    </w:p>
    <w:p w:rsidR="00AC56D6" w:rsidRDefault="00AC56D6" w:rsidP="00AC56D6">
      <w:pPr>
        <w:pStyle w:val="TextoNormal"/>
      </w:pPr>
    </w:p>
    <w:p w:rsidR="00AC56D6" w:rsidRDefault="00AC56D6" w:rsidP="00AC56D6">
      <w:pPr>
        <w:pStyle w:val="TextoNormal"/>
      </w:pPr>
      <w:r>
        <w:t xml:space="preserve">El Ministerio Fiscal entiende que dada la concurrencia de los requisitos formales y procesales, el órgano judicial debió haber acordado la admisión a trámite, y, previa sustanciación del procedimiento, resolver sobre la estimación o desestimación del </w:t>
      </w:r>
      <w:r w:rsidRPr="00AC56D6">
        <w:rPr>
          <w:i/>
        </w:rPr>
        <w:t>habeas corpus</w:t>
      </w:r>
      <w:r>
        <w:t xml:space="preserve">, conforme a lo preceptuado en el art. 8 de la Ley Orgánica reguladora del procedimiento de </w:t>
      </w:r>
      <w:r w:rsidRPr="00AC56D6">
        <w:rPr>
          <w:i/>
        </w:rPr>
        <w:t>habeas corpus</w:t>
      </w:r>
      <w:r>
        <w:t xml:space="preserve"> (LOHC), por lo que solicita el otorgamiento del amparo por la vulneración del derecho fundamental recogido en el art. 17 CE y la declaración de nulidad de las resoluciones impugnadas, sin retroacción al momento en que se produjo la lesión. Sin embargo, considera, respecto de la segunda de las vulneraciones aducidas, que el Auto que resolvió el incidente de nulidad de actuaciones reparó la misma al reconocer la legitimación del Letrado denegada previamente, aunque éste fuera inadmitido.</w:t>
      </w:r>
    </w:p>
    <w:p w:rsidR="00AC56D6" w:rsidRDefault="00AC56D6" w:rsidP="00AC56D6">
      <w:pPr>
        <w:pStyle w:val="TextoNormal"/>
      </w:pPr>
    </w:p>
    <w:p w:rsidR="00AC56D6" w:rsidRDefault="00AC56D6" w:rsidP="00AC56D6">
      <w:pPr>
        <w:pStyle w:val="TextoNormal"/>
      </w:pPr>
      <w:r w:rsidRPr="00AC56D6">
        <w:rPr>
          <w:rStyle w:val="NumeroAFNegritaCaracter"/>
        </w:rPr>
        <w:t>2</w:t>
      </w:r>
      <w:r>
        <w:t xml:space="preserve">. La cuestión principal de este recurso consiste en determinar si el Juzgado de Primera Instancia e Instrucción número 12 de Palma de Mallorca, vulneró el derecho a la libertad (art. 17 CE) y a la tutela judicial efectiva sin indefensión (art. 24.1 CE) de la demandante de amparo, al rechazar </w:t>
      </w:r>
      <w:r w:rsidRPr="00AC56D6">
        <w:rPr>
          <w:i/>
        </w:rPr>
        <w:t>a limine</w:t>
      </w:r>
      <w:r>
        <w:t xml:space="preserve"> la incoación del procedimiento de </w:t>
      </w:r>
      <w:r w:rsidRPr="00AC56D6">
        <w:rPr>
          <w:i/>
        </w:rPr>
        <w:t>habeas corpus</w:t>
      </w:r>
      <w:r>
        <w:t xml:space="preserve"> presentada por su Letrado, mientras aquélla se encontraba en situación de detención policial en las dependencias de la Jefatura Superior de Policía, por considerar que el motivo alegado por la solicitante no encajaba en ninguno de los supuestos enunciados en el art. 1 LOHC.</w:t>
      </w:r>
    </w:p>
    <w:p w:rsidR="00AC56D6" w:rsidRDefault="00AC56D6" w:rsidP="00AC56D6">
      <w:pPr>
        <w:pStyle w:val="TextoNormal"/>
      </w:pPr>
    </w:p>
    <w:p w:rsidR="00AC56D6" w:rsidRDefault="00AC56D6" w:rsidP="00AC56D6">
      <w:pPr>
        <w:pStyle w:val="TextoNormal"/>
      </w:pPr>
      <w:r>
        <w:t xml:space="preserve">Dicho proceder ha sido considerado contrario de forma reiterada por este Tribunal a los arts. 17.1 y 4 CE. Este Tribunal entiende que “aun cuando la Ley Orgánica reguladora del procedimiento de </w:t>
      </w:r>
      <w:r w:rsidRPr="00AC56D6">
        <w:rPr>
          <w:i/>
        </w:rPr>
        <w:t>habeas corpus</w:t>
      </w:r>
      <w:r>
        <w:t xml:space="preserve"> permita realizar un juicio de admisibilidad previa sobre la concurrencia de los requisitos para su tramitación, posibilitando denegar la incoación del procedimiento, previo dictamen del Ministerio Fiscal, la legitimidad constitucional de tal resolución liminar debe reducirse a los supuestos en los cuales se incumplen los requisitos formales (tanto los presupuestos procesales como los elementos formales de la solicitud) a los que se refiere el art. 4 LOHC (SSTC 172/2008, de 18 de diciembre, FJ 3; 173/2008, de 22 de diciembre, FJ 3; entre otras)” (STC 42/2015, de 2 de marzo, FJ 3). No es constitucionalmente legítimo, como así se ha reiterado, fundamentar la inadmisión del procedimiento de </w:t>
      </w:r>
      <w:r w:rsidRPr="00AC56D6">
        <w:rPr>
          <w:i/>
        </w:rPr>
        <w:t>habeas corpus</w:t>
      </w:r>
      <w:r>
        <w:t xml:space="preserve"> en la afirmación de que el recurrente no se encontraba ilícitamente privado de libertad, porque el contenido propio de la pretensión formulada en él es precisamente la de determinar la licitud o ilicitud de dicha privación [SSTC 35/2008, de 25 de febrero, FJ 2 b); 147/2008, de 10 de noviembre, FJ 2 b), y 42/2015, FJ 3]. Igualmente se ha estimado que la mera referencia a que “no se dan ninguno de los supuestos del art. 1 de la Ley de </w:t>
      </w:r>
      <w:r w:rsidRPr="00AC56D6">
        <w:rPr>
          <w:i/>
        </w:rPr>
        <w:t>habeas corpus</w:t>
      </w:r>
      <w:r>
        <w:t>”, como causa de justificación de la inadmisión a trámite de la petición formulada, “no permite conocer la razón determinante de la denegación, por lo que una resolución judicial en estos términos, genérica y estereotipada, no ofrece la motivación mínima que es constitucionalmente exigible (STC 86/1996, de 21 de mayo, FJ 9). Esta doctrina ha sido reiterada recientemente, entre otras, en las SSTC 12/2014, de 27 de enero, FJ 3; 21/2014, de 10 de febrero, FJ 3, y 195/2014, de 1 de diciembre; FJ 3” (STC 42/2015, FJ 3).</w:t>
      </w:r>
    </w:p>
    <w:p w:rsidR="00AC56D6" w:rsidRDefault="00AC56D6" w:rsidP="00AC56D6">
      <w:pPr>
        <w:pStyle w:val="TextoNormal"/>
      </w:pPr>
    </w:p>
    <w:p w:rsidR="00AC56D6" w:rsidRDefault="00AC56D6" w:rsidP="00AC56D6">
      <w:pPr>
        <w:pStyle w:val="TextoNormal"/>
      </w:pPr>
      <w:r>
        <w:t xml:space="preserve">Precisamente, el frecuente incumplimiento de esta jurisprudencia constitucional que, como este Tribunal ha reiterado “es grave y carece de justificación” (STC 42/2015, FJ 2), es el que ha dotado de especial trascendencia constitucional a recursos de amparo como el </w:t>
      </w:r>
      <w:r>
        <w:lastRenderedPageBreak/>
        <w:t>que ahora se enjuicia (STC 42/2015, FJ 2; y las allí citadas). En el presente caso, tal y como ya se anunció en la providencia de 2 de marzo de 2015, esta Sala acordó su admisión a trámite “al apreciar que concurre en el mismo una especial trascendencia constitucional (art. 50.1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La aplicación de la doctrina expuesta al presente caso, conlleva el otorgamiento del amparo por vulneración del derecho a la libertad personal (art. 17.1 y 4 CE), pues concurrían todos los requisitos formales exigidos por el art. 4 LOHC, para acordar la tramitación de la solicitud de </w:t>
      </w:r>
      <w:r w:rsidRPr="00AC56D6">
        <w:rPr>
          <w:i/>
        </w:rPr>
        <w:t>habeas corpus</w:t>
      </w:r>
      <w:r>
        <w:t xml:space="preserve"> llevada a cabo por la demandante de amparo, tras encontrase ésta en una situación de privación de libertad no acordada judicialmente.</w:t>
      </w:r>
    </w:p>
    <w:p w:rsidR="00AC56D6" w:rsidRDefault="00AC56D6" w:rsidP="00AC56D6">
      <w:pPr>
        <w:pStyle w:val="TextoNormal"/>
      </w:pPr>
    </w:p>
    <w:p w:rsidR="00AC56D6" w:rsidRDefault="00AC56D6" w:rsidP="00AC56D6">
      <w:pPr>
        <w:pStyle w:val="TextoNormal"/>
      </w:pPr>
      <w:r>
        <w:t xml:space="preserve">En efecto, el Letrado de la demandante de amparo, tras su detención policial en relación con una investigación por delitos de favorecimiento de la inmigración ilegal, falsedad documental y contra los derechos de los trabajadores, presentó ante el Juzgado de Instrucción núm. 12 de Palma de Mallorca, en funciones de guardia, una solicitud de </w:t>
      </w:r>
      <w:r w:rsidRPr="00AC56D6">
        <w:rPr>
          <w:i/>
        </w:rPr>
        <w:t>habeas corpus</w:t>
      </w:r>
      <w:r>
        <w:t xml:space="preserve"> en la que, después de hacer constar el nombre y circunstancias personales de la detenida, denunciaba la “indebida e innecesaria prolongación de la ya ilegal privación de libertad sufrida”, dado que la misma pretendía demorarse hasta el día siguiente para tomarle declaración policial, cuando, como se ponía de manifiesto en el escrito, la detenida tenía un hijo menor (de aproximadamente un año y medio), que quedaba sin los progenitores que lo tenían a su cargo al haber sido su marido detenido el día anterior, encontrándose, además, en determinado estado físico que fue puesto de manifiesto en ese momento. No era admisible, pues, conforme a la jurisprudencia constitucional antes mencionada, que la inadmisión encontrara fundamentación en el hecho de que el presente caso no pudiera encuadrarse, tal y como se afirmaba en el Auto impugnado, en ninguno de los apartados del art. 1 LOHC. Tampoco puede considerarse aceptable que, como se argumenta en la providencia que resuelve el incidente de nulidad formulado por la demandante de amparo, la causa de la indamisión </w:t>
      </w:r>
      <w:r w:rsidRPr="00AC56D6">
        <w:rPr>
          <w:i/>
        </w:rPr>
        <w:t>a limine</w:t>
      </w:r>
      <w:r>
        <w:t xml:space="preserve"> se base en la ausencia de argumentos ofrecidos por el Letrado en el escrito solicitando el </w:t>
      </w:r>
      <w:r w:rsidRPr="00AC56D6">
        <w:rPr>
          <w:i/>
        </w:rPr>
        <w:t>habeas corpus</w:t>
      </w:r>
      <w:r>
        <w:t>, acerca de la ilegalidad de la detención o el exceso del plazo señalado por la ley, pues, como advierte el Fiscal, en él se indicó, como exige el art. 4 c) LOHC, el motivo específico de dicha solicitud aunque no se hiciera mención expresa del apartado correspondiente del art. 1 LOHC. En concreto, y como ya se ha quedado expuesto, por considerar “indebida e innecesaria la prolongación de la ya ilegal privación de libertad”, el cual encuentra encaje en el art. 1 a) LOHC (STC 195/2014, de 1 de diciembre, FJ 4).</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Alcanzada la anterior conclusión, no hay necesidad, como declaramos en la STC 195/2014, de 1 de diciembre, FJ 5, “de que este Tribunal se pronuncie sobre la indefensión que la resolución judicial habría ocasionado a la demandante por privarle de su derecho a ser oída y proponer prueba ante el Juez reconocidos en el art. 7 LOHC, denuncia que bajo la invocación del derecho a la tutela judicial efectiva sin indefensión (art. 24.1 CE) también se hace en la demanda. Como hemos declarado en la STC 288/2000, de 27 de noviembre, FJ 1, en esta clase de recursos ‘la perspectiva de examen que debemos adoptar es única y exclusivamente la de la libertad, puesto que, estando en juego este derecho fundamental, la eventual ausencia de una motivación suficiente y razonable de la decisión no supondrá sólo </w:t>
      </w:r>
      <w:r>
        <w:lastRenderedPageBreak/>
        <w:t>un problema de falta de tutela judicial, propio del ámbito del art. 24.1 CE, sino prioritariamente una cuestión que afecta al derecho a la libertad personal, en cuanto que la suficiencia o razonabilidad de una resolución judicial relativa a la garantía constitucional del procedimiento de hábeas corpus, prevista en el art. 17.4 CE, forma parte de la propia garantía’. Y en el mismo sentido, STC 95/2012, de 7 de mayo, FJ 6”.</w:t>
      </w:r>
    </w:p>
    <w:p w:rsidR="00AC56D6" w:rsidRDefault="00AC56D6" w:rsidP="00AC56D6">
      <w:pPr>
        <w:pStyle w:val="TextoNormal"/>
      </w:pPr>
    </w:p>
    <w:p w:rsidR="00AC56D6" w:rsidRDefault="00AC56D6" w:rsidP="00AC56D6">
      <w:pPr>
        <w:pStyle w:val="TextoNormal"/>
      </w:pPr>
      <w:r>
        <w:t xml:space="preserve">Por el contrario, sí procede advertir sobre la alegación del derecho a la tutela judicial efectiva (art. 24.1 CE), por negar al Abogado de la demandante de amparo su condición de legitimado para solicitar el </w:t>
      </w:r>
      <w:r w:rsidRPr="00AC56D6">
        <w:rPr>
          <w:i/>
        </w:rPr>
        <w:t>habeas corpus</w:t>
      </w:r>
      <w:r>
        <w:t xml:space="preserve"> en su interés. Dicha vulneración no se ha producido, por cuanto el Juez resuelve en la providencia en que se acuerda inadmitir el incidente, reconocerle su derecho de defensa previamente denegado, si bien, como indica el Ministerio Fiscal, formalmente no parezca adecuado denegar la incoación del incidente de nulidad a la vez que se restablece su derecho al reconocer la violación del citado derecho. En definitiva, no se produjo una indefensión material —y no meramente formal— que es la única valorable constitucionalmente, por cuanto, como se indica en la citada providencia, tanto el Fiscal como el Auto de inadmisión se pronunciaron sobre el fondo tras negar la legitimación del Letrado.</w:t>
      </w:r>
    </w:p>
    <w:p w:rsidR="00AC56D6" w:rsidRDefault="00AC56D6" w:rsidP="00AC56D6">
      <w:pPr>
        <w:pStyle w:val="TextoNormal"/>
      </w:pPr>
    </w:p>
    <w:p w:rsidR="00AC56D6" w:rsidRDefault="00AC56D6" w:rsidP="00AC56D6">
      <w:pPr>
        <w:pStyle w:val="TextoNormal"/>
      </w:pPr>
      <w:r w:rsidRPr="00AC56D6">
        <w:rPr>
          <w:rStyle w:val="NumeroAFNegritaCaracter"/>
        </w:rPr>
        <w:t>5</w:t>
      </w:r>
      <w:r>
        <w:t xml:space="preserve">. En cuanto al alcance del otorgamiento del amparo, según consolidada jurisprudencia no procede acordar la retroacción de actuaciones puesto que esta medida carecería de eficacia por haber cesado la situación de detención a cuyo control de legalidad está orientado el procedimiento de </w:t>
      </w:r>
      <w:r w:rsidRPr="00AC56D6">
        <w:rPr>
          <w:i/>
        </w:rPr>
        <w:t>habeas corpus</w:t>
      </w:r>
      <w:r>
        <w:t xml:space="preserve"> (SSTC 195/2014, FJ 6, y 42/2015, de 2 de marzo, FJ 5, y las allí citadas).</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Estimar el recurso de amparo interpuesto por doña Nouria Taibi y, en su virtud:</w:t>
      </w:r>
    </w:p>
    <w:p w:rsidR="00AC56D6" w:rsidRDefault="00AC56D6" w:rsidP="00AC56D6">
      <w:pPr>
        <w:pStyle w:val="TextoNormal"/>
      </w:pPr>
    </w:p>
    <w:p w:rsidR="00AC56D6" w:rsidRDefault="00AC56D6" w:rsidP="00AC56D6">
      <w:pPr>
        <w:pStyle w:val="TextoNormal"/>
      </w:pPr>
      <w:r>
        <w:t>1º Reconocer su derecho a la libertad personal (art. 17.1 y 4 CE).</w:t>
      </w:r>
    </w:p>
    <w:p w:rsidR="00AC56D6" w:rsidRDefault="00AC56D6" w:rsidP="00AC56D6">
      <w:pPr>
        <w:pStyle w:val="TextoNormal"/>
      </w:pPr>
    </w:p>
    <w:p w:rsidR="00AC56D6" w:rsidRDefault="00AC56D6" w:rsidP="00AC56D6">
      <w:pPr>
        <w:pStyle w:val="TextoNormal"/>
      </w:pPr>
      <w:r>
        <w:t xml:space="preserve">2º Declarar la nulidad, sin retroacción de las actuaciones, del Auto de 11 de julio de 2013 y la providencia de 26 de julio de 2013, dictados en el procedimiento de </w:t>
      </w:r>
      <w:r w:rsidRPr="00AC56D6">
        <w:rPr>
          <w:i/>
        </w:rPr>
        <w:t>habeas corpus</w:t>
      </w:r>
      <w:r>
        <w:t xml:space="preserve"> núm. 4-2013 del Juzgado de Instrucción núm. 12 de Palma de Mallorca.</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cinco de octubre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61" w:name="SENTENCIA_2015_205"/>
      <w:r>
        <w:lastRenderedPageBreak/>
        <w:t>SENTENCIA 205/2015, de 5 de octubre de 2015</w:t>
      </w:r>
    </w:p>
    <w:bookmarkEnd w:id="61"/>
    <w:p w:rsidR="00AC56D6" w:rsidRDefault="00AC56D6" w:rsidP="00AC56D6">
      <w:pPr>
        <w:pStyle w:val="TtuloResolucin"/>
      </w:pPr>
      <w:r>
        <w:t>Sala Primera</w:t>
      </w:r>
    </w:p>
    <w:p w:rsidR="00AC56D6" w:rsidRDefault="00AC56D6" w:rsidP="00AC56D6">
      <w:pPr>
        <w:pStyle w:val="TtuloBOE"/>
      </w:pPr>
      <w:r>
        <w:t>(BOE núm. 272, de 13 de noviembre de 2015)</w:t>
      </w:r>
    </w:p>
    <w:p w:rsidR="00AC56D6" w:rsidRDefault="00AC56D6" w:rsidP="00AC56D6">
      <w:pPr>
        <w:pStyle w:val="TextoNormalCentrado"/>
      </w:pPr>
      <w:r>
        <w:t>ECLI:ES:TC:2015:205</w:t>
      </w:r>
    </w:p>
    <w:p w:rsidR="00AC56D6" w:rsidRDefault="00AC56D6" w:rsidP="00AC56D6">
      <w:pPr>
        <w:pStyle w:val="TextoNormalCentrado"/>
      </w:pPr>
    </w:p>
    <w:p w:rsidR="00AC56D6" w:rsidRDefault="00AC56D6" w:rsidP="00AC56D6">
      <w:pPr>
        <w:pStyle w:val="SntesisDescriptiva"/>
      </w:pPr>
      <w:r>
        <w:t>Cuestión de inconstitucionalidad 6633-2013. Planteada por la Sala de lo Social del Tribunal Superior de Justicia de Extremadura, en relación con el artículo 2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extinción, por pérdida de objeto, de la cuestión de inconstitucionalidad (STC 83/2015).</w:t>
      </w:r>
    </w:p>
    <w:p w:rsidR="00AC56D6" w:rsidRDefault="00AC56D6" w:rsidP="00AC56D6">
      <w:pPr>
        <w:pStyle w:val="SntesisAnaltica"/>
      </w:pPr>
    </w:p>
    <w:p w:rsidR="00AC56D6" w:rsidRDefault="00AC56D6" w:rsidP="00AC56D6">
      <w:pPr>
        <w:pStyle w:val="Extracto"/>
      </w:pPr>
      <w:r>
        <w:t>1.</w:t>
      </w:r>
      <w:r>
        <w:tab/>
        <w:t>La satisfacción extraprocesal de la pretensión deducida en el proceso laboral sobre la que se articula la cuestión de inconstitucionalidad le hace perder su objeto (STC 83/2015) [FJ 3].</w:t>
      </w:r>
    </w:p>
    <w:p w:rsidR="00AC56D6" w:rsidRDefault="00AC56D6" w:rsidP="00AC56D6">
      <w:pPr>
        <w:pStyle w:val="Extracto"/>
      </w:pPr>
    </w:p>
    <w:p w:rsidR="00AC56D6" w:rsidRDefault="00AC56D6" w:rsidP="00AC56D6">
      <w:pPr>
        <w:pStyle w:val="Extracto"/>
      </w:pPr>
      <w:r>
        <w:t>2.</w:t>
      </w:r>
      <w:r>
        <w:tab/>
        <w:t>Doctrina sobre las posibles causas de terminación extraordinaria de las cuestiones de inconstitucionalidad por pérdida sobrevenida de objeto (STC 83/2015) [FJ 3].</w:t>
      </w:r>
    </w:p>
    <w:p w:rsidR="00AC56D6" w:rsidRDefault="00AC56D6" w:rsidP="00AC56D6">
      <w:pPr>
        <w:pStyle w:val="Extracto"/>
      </w:pPr>
    </w:p>
    <w:p w:rsidR="00AC56D6" w:rsidRDefault="00AC56D6" w:rsidP="00AC56D6">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6633-2013 promovida por la Sala de lo Social del Tribunal Superior de Justicia de Extremadura, en relación con el art. 2 del Real Decreto-ley 20/2012, de 13 de julio, de medidas para garantizar la estabilidad presupuestaria y de fomento de la competitividad. Ha comparecido y formulado alegaciones el Abogado del Estado. Ha intervenido el Fiscal General del Estado. Ha sido Ponente el Magistrado don Andrés Ollero Tassara, quien expresa el parecer del Tribunal.</w:t>
      </w:r>
    </w:p>
    <w:p w:rsidR="00AC56D6" w:rsidRDefault="00AC56D6" w:rsidP="00AC56D6">
      <w:pPr>
        <w:pStyle w:val="TextoNormal"/>
      </w:pPr>
    </w:p>
    <w:p w:rsidR="00AC56D6" w:rsidRDefault="00AC56D6" w:rsidP="00AC56D6">
      <w:pPr>
        <w:pStyle w:val="TextoNormalNegritaCentrado"/>
        <w:keepNext/>
      </w:pPr>
      <w:r>
        <w:lastRenderedPageBreak/>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El 14 de noviembre de 2013 se registró en este Tribunal oficio de la Sala de lo Social del Tribunal Superior de Justicia de Extremadura al que se acompañaba, junto al testimonio del correspondiente procedimiento, el Auto de ese mismo órgano judicial de 28 de octubre de 2013; en él se acordaba plantear cuestión de inconstitucionalidad en relación con el art. 2 del Real Decreto-ley 20/2012, de 13 de julio, de medidas para garantizar la estabilidad presupuestaria y de fomento de la competitividad, convalidado por el Congreso de los Diputados </w:t>
      </w:r>
      <w:r w:rsidRPr="00AC56D6">
        <w:rPr>
          <w:i/>
        </w:rPr>
        <w:t>ex</w:t>
      </w:r>
      <w:r>
        <w:t xml:space="preserve"> art. 86.2 CE en su sesión de 19 de julio de 2012, por posible vulneración del art. 9.3 CE.</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son los siguientes:</w:t>
      </w:r>
    </w:p>
    <w:p w:rsidR="00AC56D6" w:rsidRDefault="00AC56D6" w:rsidP="00AC56D6">
      <w:pPr>
        <w:pStyle w:val="TextoNormal"/>
      </w:pPr>
    </w:p>
    <w:p w:rsidR="00AC56D6" w:rsidRDefault="00AC56D6" w:rsidP="00AC56D6">
      <w:pPr>
        <w:pStyle w:val="TextoNormal"/>
      </w:pPr>
      <w:r>
        <w:t>a) Ante la Sala de lo Social del Tribunal Superior de Justicia de Extremadura se formuló por la federación de servicios a la ciudadanía de Comisiones Obreras de Extremadura (FSC-CCOO), la federación de servicios públicos de la Unión General de Trabajadores de Extremadura (UGT) y la Central Sindical Independiente y de Funcionarios de Extremadura (CSI-F) demanda de conflicto colectivo contra la Junta de Extremadura que dio lugar a los autos núm. 6-2013. Las citadas organizaciones sindicales pretendían en su demanda que se declarase que no procedía aplicar a los trabajadores de la Junta de Extremadura lo dispuesto en los arts. 2, 3 y 7 del Real Decreto-ley 20/2012, respecto de la supresión de la paga extraordinaria del mes de diciembre de 2012 al personal del sector público y que se reconozca a estos trabajadores el derecho a percibir dicha paga extra o equivalente. Subsidiariamente, pretendían que no se descontase de la paga extra de diciembre o equivalente la parte proporcional de la misma ya devengada al momento de la entrada en vigor de dicho Real Decreto-ley (15 de julio de 2012), por el periodo 1 de junio al 14 de julio de 2012, porque de acuerdo con el art. 9.3 CE no cabe que la supresión opere de modo retroactivo.</w:t>
      </w:r>
    </w:p>
    <w:p w:rsidR="00AC56D6" w:rsidRDefault="00AC56D6" w:rsidP="00AC56D6">
      <w:pPr>
        <w:pStyle w:val="TextoNormal"/>
      </w:pPr>
    </w:p>
    <w:p w:rsidR="00AC56D6" w:rsidRDefault="00AC56D6" w:rsidP="00AC56D6">
      <w:pPr>
        <w:pStyle w:val="TextoNormal"/>
      </w:pPr>
      <w:r>
        <w:t xml:space="preserve">b) Concluso el procedimiento y dentro del plazo para dictar sentencia, por providencia de 22 de julio de 2013 la Sala acordó oír a las partes y al Ministerio Fiscal para que alegasen sobre la pertinencia de plantear cuestión de inconstitucionalidad en relación con los arts. 2, 3 y 7 del Real Decreto-ley 20/2012. Contra dicha providencia interpuso recurso de súplica el Ministerio Fiscal, alegando que no se ajusta a las exigencias del art. 35.2 de la Ley Orgánica del Tribunal Constitucional (LOTC) pues, por un lado, la identificación de los preceptos legales sobre cuya constitucionalidad se albergan dudas es demasiado genérica, dada la amplitud del contenido de tales preceptos, que además hacen referencia a distintos tipos de personal del sector público y, por otro, la providencia no explicita las normas de la Constitución que el órgano judicial considera infringidas. El recurso de súplica del Ministerio Fiscal fue estimado por Auto de 24 de septiembre de 2013, que dejó sin efecto la providencia de 22 de julio y acordó oír de nuevo a las partes y al Ministerio Fiscal por un plazo de diez días, conforme a lo dispuesto en el art. 35.2 LOTC, para que alegasen sobre la pertinencia de plantear cuestión de inconstitucionalidad en relación con el art. 2 del Real Decreto-ley 20/2012, por posible vulneración del principio constitucional de irretroactividad de las disposiciones restrictivas de derechos individuales (art. 9.3 CE), en la medida en que el citado </w:t>
      </w:r>
      <w:r>
        <w:lastRenderedPageBreak/>
        <w:t>precepto legal suprime el derecho de los trabajadores a percibir cuantías de la paga extraordinaria del mes de diciembre de 2012, sin contemplar excepción alguna respecto de la parte ya devengada a la fecha de entrada en vigor de dicho Real Decreto-ley.</w:t>
      </w:r>
    </w:p>
    <w:p w:rsidR="00AC56D6" w:rsidRDefault="00AC56D6" w:rsidP="00AC56D6">
      <w:pPr>
        <w:pStyle w:val="TextoNormal"/>
      </w:pPr>
    </w:p>
    <w:p w:rsidR="00AC56D6" w:rsidRDefault="00AC56D6" w:rsidP="00AC56D6">
      <w:pPr>
        <w:pStyle w:val="TextoNormal"/>
      </w:pPr>
      <w:r>
        <w:t>c) El Ministerio Fiscal presentó escrito de alegaciones en el que afirmaba que consideraba pertinente el planteamiento de la cuestión. Del mismo parecer fue la representación procesal de la Central Sindical Independiente y de Funcionarios de Extremadura (CSI-F). El Letrado de la Junta de Extremadura se opuso al planteamiento de la cuestión, por entender que el art. 2 del Real Decreto-ley 20/2012 es plenamente conforme con la Constitución. La federación de servicios a la ciudadanía de Comisiones Obreras (FSC-CCOO) y la federación de servicios públicos de la Unión General de Trabajadores (UGT) no formularon alegaciones en este trámite.</w:t>
      </w:r>
    </w:p>
    <w:p w:rsidR="00AC56D6" w:rsidRDefault="00AC56D6" w:rsidP="00AC56D6">
      <w:pPr>
        <w:pStyle w:val="TextoNormal"/>
      </w:pPr>
    </w:p>
    <w:p w:rsidR="00AC56D6" w:rsidRDefault="00AC56D6" w:rsidP="00AC56D6">
      <w:pPr>
        <w:pStyle w:val="TextoNormal"/>
      </w:pPr>
      <w:r>
        <w:t>d) Por Auto de 28 de octubre de 2013, la Sala de lo Social del Tribunal Superior de Justicia de Extremadura acordó plantear cuestión de inconstitucionalidad en relación con el art. 2 del Real Decreto-ley 20/2012.</w:t>
      </w:r>
    </w:p>
    <w:p w:rsidR="00AC56D6" w:rsidRDefault="00AC56D6" w:rsidP="00AC56D6">
      <w:pPr>
        <w:pStyle w:val="TextoNormal"/>
      </w:pPr>
    </w:p>
    <w:p w:rsidR="00AC56D6" w:rsidRDefault="00AC56D6" w:rsidP="00AC56D6">
      <w:pPr>
        <w:pStyle w:val="TextoNormal"/>
      </w:pPr>
      <w:r w:rsidRPr="00AC56D6">
        <w:rPr>
          <w:rStyle w:val="NumeroAFNegritaCaracter"/>
        </w:rPr>
        <w:t>3</w:t>
      </w:r>
      <w:r>
        <w:t>. En dicho Auto, la Sala de lo Social del Tribunal Superior de Justicia de Extremadura considera que el art. 2 del Real Decreto-ley 20/2012 podría vulnerar el principio de irretroactividad de las disposiciones sancionadoras no favorables o restrictivas de derechos individuales, que garantiza el art. 9.3 CE, con fundamento en los razonamientos que a continuación se resumen:</w:t>
      </w:r>
    </w:p>
    <w:p w:rsidR="00AC56D6" w:rsidRDefault="00AC56D6" w:rsidP="00AC56D6">
      <w:pPr>
        <w:pStyle w:val="TextoNormal"/>
      </w:pPr>
    </w:p>
    <w:p w:rsidR="00AC56D6" w:rsidRDefault="00AC56D6" w:rsidP="00AC56D6">
      <w:pPr>
        <w:pStyle w:val="TextoNormal"/>
      </w:pPr>
      <w:r>
        <w:t>a) Tras una síntesis de los antecedentes de hecho y la transcripción del art. 2 del Real Decreto-ley 20/2012, se señala que está claro que tal disposición suprime la percepción de la paga extraordinaria del mes de diciembre del año 2012 para el personal laboral del sector público. Lo hace a partir de su entrada en vigor (15 de julio de 2012), sin precisar excepciones por derechos ya devengados. Estima la Sala que el Gobierno es plenamente consciente de la posibilidad de que haya comenzado a devengarse la paga extraordinaria o equivalente cuya percepción se suprime, dado que en el apartado 1 del art. 2 del Real Decreto-ley 20/2012 se indica que la medida afecta a las cuantías “que corresponda percibir”, en tiempo verbal no condicional, admitiendo que el derecho ya se habría generado, no obstante lo cual cierra la puerta a su abono.</w:t>
      </w:r>
    </w:p>
    <w:p w:rsidR="00AC56D6" w:rsidRDefault="00AC56D6" w:rsidP="00AC56D6">
      <w:pPr>
        <w:pStyle w:val="TextoNormal"/>
      </w:pPr>
    </w:p>
    <w:p w:rsidR="00AC56D6" w:rsidRDefault="00AC56D6" w:rsidP="00AC56D6">
      <w:pPr>
        <w:pStyle w:val="TextoNormal"/>
      </w:pPr>
      <w:r>
        <w:t>Desde esa perspectiva, entiende la Sala que no es posible interpretar el art. 2 del Real Decreto-ley 20/2012 de modo que quepa abonar aquella parte de la paga extraordinaria de diciembre que ya se hubiera devengado a la fecha de la entrada en vigor de la citada norma. Así, “por mucho que ya se hubiera devengado la parte proporcional a catorce días (desde el 1 de julio al 14)”, la aplicación del citado art. 2 impediría su abono. Atendiendo a la jurisprudencia de la Sala de lo Social del Tribunal Supremo que se cita, según la cual las pagas extraordinarias son salario diferido y se devengan día a día, entiende la Sala que el art. 2 del Real Decreto-ley 20/2012 podría considerarse contrario al art. 9.3 CE, que garantiza la irretroactividad de las disposiciones restrictivas de derechos individuales así como la seguridad jurídica, puesto que se estaría suprimiendo el derecho ya generado a percibir la parte proporcional de la paga extraordinaria devengada antes de la entrada en vigor de dicha norma.</w:t>
      </w:r>
    </w:p>
    <w:p w:rsidR="00AC56D6" w:rsidRDefault="00AC56D6" w:rsidP="00AC56D6">
      <w:pPr>
        <w:pStyle w:val="TextoNormal"/>
      </w:pPr>
    </w:p>
    <w:p w:rsidR="00AC56D6" w:rsidRDefault="00AC56D6" w:rsidP="00AC56D6">
      <w:pPr>
        <w:pStyle w:val="TextoNormal"/>
      </w:pPr>
      <w:r>
        <w:t xml:space="preserve">Expuesto lo que precede, indica la Sala que la norma cuestionada es determinante para el resultado del litigio y no admite una interpretación que la acomode a la Constitución. Una </w:t>
      </w:r>
      <w:r>
        <w:lastRenderedPageBreak/>
        <w:t>de las pretensiones formuladas por los demandantes es, justamente, que se mantenga incólume la percepción de la parte ya devengada de la paga extra de diciembre de 2012, a pesar de lo dispuesto en el art. 2 del Real Decreto-ley 20/2012. Posteriormente se hace referencia a las alegaciones realizadas por las partes y el Ministerio Fiscal en el trámite de audiencia, y se señala que tras ellas subsiste la duda de inconstitucionalidad.</w:t>
      </w:r>
    </w:p>
    <w:p w:rsidR="00AC56D6" w:rsidRDefault="00AC56D6" w:rsidP="00AC56D6">
      <w:pPr>
        <w:pStyle w:val="TextoNormal"/>
      </w:pPr>
    </w:p>
    <w:p w:rsidR="00AC56D6" w:rsidRDefault="00AC56D6" w:rsidP="00AC56D6">
      <w:pPr>
        <w:pStyle w:val="TextoNormal"/>
      </w:pPr>
      <w:r>
        <w:t>b) Seguidamente se refiere la Sala a la doctrina constitucional sobre la prohibición de retroactividad de las disposiciones sancionadoras no favorables o restrictivas de derechos individuales (art. 9.3 CE). Señala que, conforme a dicha doctrina, solo puede afirmarse que una norma es retroactiva a los efectos del citado precepto cuando incide sobre “relaciones consagradas” y afecta a “situaciones agotadas”. El espíritu restrictivo que impregna el art. 9.3 CE queda plasmado en la STC 89/2009, de 20 de abril, que ha aclarado que la mención de ese precepto constitucional a la “restricción de derechos individuales” ha de entenderse referido a las limitaciones introducidas en el ámbito de los derechos fundamentales y de las libertades públicas. A la vista de lo anterior, lo primero que hay que preguntarse es si en este caso estamos ante un derecho individual en el sentido apuntado desde esa consideración restrictiva, lo que entiende la Sala que merece una respuesta positiva. En tal sentido, prosigue afirmando que los derechos retributivos del personal del sector público pertenecen a la esfera general de protección de la persona consagrados en el art. 35.1 CE, que reconoce el derecho a la remuneración suficiente (lo que, en principio, se correspondería sólo con el salario mínimo interprofesional) y también el derecho al trabajo (una de cuyas notas esenciales es su carácter remunerado). Por su parte el estatuto de los trabajadores, aprobado por el legislador en cumplimiento del mandato contenido en el art. 35.2 CE, reconoce en su art. 31 el derecho del trabajador a dos gratificaciones extraordinarias al año, una en Navidad y otra en el mes que se determine por convenio colectivo o por acuerdo entre el empresario y los representantes de los trabajadores. A su vez, el art. 27 de la Ley 7/2007, de 12 de abril, del estatuto básico del empleado público, dispone: “Las retribuciones del personal laboral se determinarán de acuerdo con la legislación laboral, el convenio colectivo que sea aplicable y el contrato de trabajo, respetando en todo caso lo establecido en el art. 21 del presente Estatuto”; precepto este último —concluye la Sala— que vincula las retribuciones de los funcionarios y del personal laboral del sector público a los límites fijados en las leyes de presupuestos del Estado.</w:t>
      </w:r>
    </w:p>
    <w:p w:rsidR="00AC56D6" w:rsidRDefault="00AC56D6" w:rsidP="00AC56D6">
      <w:pPr>
        <w:pStyle w:val="TextoNormal"/>
      </w:pPr>
    </w:p>
    <w:p w:rsidR="00AC56D6" w:rsidRDefault="00AC56D6" w:rsidP="00AC56D6">
      <w:pPr>
        <w:pStyle w:val="TextoNormal"/>
      </w:pPr>
      <w:r>
        <w:t xml:space="preserve">Partiendo de este enfoque, se señala que el Tribunal Constitucional ha venido admitiendo con naturalidad el encaje en el supuesto de hecho del art. 9.3 CE en el caso de normas que, como la cuestionada, se inspiran en la finalidad de la contención del gasto público mediante la reducción retributiva. En este sentido se citan la STC 330/2005, de 15 de diciembre (en la que se niega que la regulación de la retribución para el personal de una Administración autonómica vulnere el art. 9.3 CE pero por motivos distintos a su no consideración como derechos individuales a los que alude el precepto), y el ATC 162/2012, de 13 de septiembre (que rechaza que la reducción de las retribuciones impuesta legalmente afecte al art. 9.3 CE, pero no por no tratarse de derechos individuales protegibles sino por no poseer efectos retroactivos al examinarse una regulación </w:t>
      </w:r>
      <w:r w:rsidRPr="00AC56D6">
        <w:rPr>
          <w:i/>
        </w:rPr>
        <w:t>pro futuro</w:t>
      </w:r>
      <w:r>
        <w:t>). A la vista de todo ello, se considera que en el presente caso nos encontraríamos ante derechos individuales amparables por el principio de interdicción de retroactividad (art. 9.3 CE).</w:t>
      </w:r>
    </w:p>
    <w:p w:rsidR="00AC56D6" w:rsidRDefault="00AC56D6" w:rsidP="00AC56D6">
      <w:pPr>
        <w:pStyle w:val="TextoNormal"/>
      </w:pPr>
    </w:p>
    <w:p w:rsidR="00AC56D6" w:rsidRDefault="00AC56D6" w:rsidP="00AC56D6">
      <w:pPr>
        <w:pStyle w:val="TextoNormal"/>
      </w:pPr>
      <w:r>
        <w:t xml:space="preserve">c) A continuación analiza la Sala si el art. 2 del Real Decreto-ley 20/2012, al establecer la supresión de la paga extraordinaria de diciembre de 2012 para el personal laboral del </w:t>
      </w:r>
      <w:r>
        <w:lastRenderedPageBreak/>
        <w:t>sector público, supone una retroactividad prohibida por el art. 9.3 CE; esto es, la que incide sobre los efectos jurídicos ya producidos al amparo de una norma anteriormente vigente. Para ello, considera preciso determinar si el derecho a la paga extraordinaria de diciembre de 2012 estaba ya consolidado, asumido e integrado en el patrimonio de los trabajadores cuando entró en vigor el Real Decreto-ley 20/2012 o si, por el contrario, se trataba de una expectativa de derecho, o de un derecho futuro o condicionado.</w:t>
      </w:r>
    </w:p>
    <w:p w:rsidR="00AC56D6" w:rsidRDefault="00AC56D6" w:rsidP="00AC56D6">
      <w:pPr>
        <w:pStyle w:val="TextoNormal"/>
      </w:pPr>
    </w:p>
    <w:p w:rsidR="00AC56D6" w:rsidRDefault="00AC56D6" w:rsidP="00AC56D6">
      <w:pPr>
        <w:pStyle w:val="TextoNormal"/>
      </w:pPr>
      <w:r>
        <w:t>Indica la Sala que, dado que la regulación legal de las pagas extraordinarias no ofrece respuesta a este interrogante (se limita a fijar el momento de su percepción), se ha de tener en cuenta la jurisprudencia de la Sala de lo Social del Tribunal Supremo en unificación de doctrina que cita, la cual configura la paga extraordinaria como de devengo diario y de cobro aplazado. Tras ello, se pregunta la Sala si la posible inconstitucionalidad del art. 2 del Real Decreto-ley 20/2012 puede operar tomando como referencia un criterio jurisprudencial y llega a la conclusión de que la configuración normativa del derecho a las pagas extraordinarias se ve complementada por su configuración jurisprudencial, por lo que la respuesta habría de ser afirmativa. Se añade a este respecto que no estamos ante un pronunciamiento aislado de un tribunal menor, sino ante jurisprudencia, además dictada en unificación de doctrina. Por ello, el criterio jurisprudencial del Tribunal Supremo sobre el devengo diario de las pagas extraordinarias “se alza con valor normativo complementario, salvaguardando la pureza de la ley, de modo que forma una unidad con la misma como parámetro de inconstitucionalidad del art. 2 del Real Decreto-ley 20/2012”.</w:t>
      </w:r>
    </w:p>
    <w:p w:rsidR="00AC56D6" w:rsidRDefault="00AC56D6" w:rsidP="00AC56D6">
      <w:pPr>
        <w:pStyle w:val="TextoNormal"/>
      </w:pPr>
    </w:p>
    <w:p w:rsidR="00AC56D6" w:rsidRDefault="00AC56D6" w:rsidP="00AC56D6">
      <w:pPr>
        <w:pStyle w:val="TextoNormal"/>
      </w:pPr>
      <w:r>
        <w:t>Teniendo en cuenta todo lo anterior, concluye la Sala que “estamos ante un derecho que se genera día a día, incorporándose como tal al acervo patrimonial de los trabajadores”. “En el caso examinado, al ser la paga extra de diciembre de 2012 de devengo semestral a partir del 1 de julio, por disponerlo así el Convenio colectivo de aplicación”, a la fecha de entrada en vigor del Real Decreto-ley 20/2012 “ya se había devengado y generado el derecho a la parte proporcional a catorce días de trabajo”, que sin embargo el art. 2 RDL 20/2012 suprime, operando con ello “una retroactividad auténtica o de grado máximo”.</w:t>
      </w:r>
    </w:p>
    <w:p w:rsidR="00AC56D6" w:rsidRDefault="00AC56D6" w:rsidP="00AC56D6">
      <w:pPr>
        <w:pStyle w:val="TextoNormal"/>
      </w:pPr>
    </w:p>
    <w:p w:rsidR="00AC56D6" w:rsidRDefault="00AC56D6" w:rsidP="00AC56D6">
      <w:pPr>
        <w:pStyle w:val="TextoNormal"/>
      </w:pPr>
      <w:r>
        <w:t xml:space="preserve">d) Se pregunta a continuación la Sala en su Auto de planteamiento de la cuestión si, aun siendo esa retroactividad de grado máximo, puede resultar justificada por concurrir exigencias cualificadas del bien común que podrían imponerse excepcionalmente (STC 197/1992, de 19 de noviembre); podría serlo la exigencia de unos fuertes ajustes presupuestarios provocados por la situación de crisis económica. Cabría en tal sentido sostener que la necesidad de reducir el déficit público que inspira la norma cuestionada tendría como objetivo procurar el bien común y proteger el interés general, lo que permitiría exceptuar la interdicción de retroactividad. Sin embargo la Sala rechaza esta posibilidad, porque considera que la crisis económica podría acaso justificar determinadas medidas restrictivas de derechos individuales como la cuestionada, pero no puede abrir la puerta, sin más, a que operen de modo retroactivo. Entiende la Sala que la excepción a la irretroactividad recogida en la doctrina constitucional debe interpretarse de forma restrictiva y que no cabe extenderla a toda medida de interés general. En otras palabras, estima la Sala que la reducción del déficit público puede justificar muchas medidas; no reúne sin embargo la nota de cualificación absolutamente excepcional que sería necesaria para, en aras del bien común, sacrificar el principio constitucional de seguridad jurídica que sustenta la irretroactividad. Sería el interés general lo que se ataca cuando se niega a quienes han prestado sus servicios al sector público el </w:t>
      </w:r>
      <w:r>
        <w:lastRenderedPageBreak/>
        <w:t>derecho a percibir el salario correspondiente. Se hace referencia también en el Auto de planteamiento a algunos pronunciamientos del Tribunal Europeo de Derechos Humanos en los que —según la Sala— este mantiene una concepción cualificada del “interés general” y descarta que la pretensión de reducir el gasto público, por muy urgente y necesaria que sea, constituya sin más un “bien común”, que abra la puerta a exceptuar los principios constitucionales de irretroactividad y seguridad jurídica; principios que sí cabría identificar, en cambio, con el interés general de los ciudadanos.</w:t>
      </w:r>
    </w:p>
    <w:p w:rsidR="00AC56D6" w:rsidRDefault="00AC56D6" w:rsidP="00AC56D6">
      <w:pPr>
        <w:pStyle w:val="TextoNormal"/>
      </w:pPr>
    </w:p>
    <w:p w:rsidR="00AC56D6" w:rsidRDefault="00AC56D6" w:rsidP="00AC56D6">
      <w:pPr>
        <w:pStyle w:val="TextoNormal"/>
      </w:pPr>
      <w:r>
        <w:t>e) Finalmente, la Sala se plantea la posibilidad de que estemos ante una expropiación legislativa de derechos, pero rechaza tal posibilidad en tanto que la previsión de una hipotética compensación o devolución futura de cantidades en modo alguno resultaría asimilable al justo precio al que alude la Ley de expropiación forzosa. Añade que ni está garantizada, ni es propiamente una devolución, puesto que las cuantías detraídas se transformarían en aportaciones a planes de pensiones o contratos de seguro en los términos que establezca el legislador, sujetas, además, al previo cumplimiento de los objetivos de estabilidad presupuestaria. Por otra parte, el carácter meramente hipotético y condicionado de la devolución de las cantidades detraídas a raíz de la supresión de la paga extraordinaria de diciembre de 2012, “diluye cualquier brizna de proporcionalidad de la compensación que pudiera alegarse para justificar la injerencia retroactiva y se aleja del todo del concepto de expropiación legislativa de derechos”.</w:t>
      </w:r>
    </w:p>
    <w:p w:rsidR="00AC56D6" w:rsidRDefault="00AC56D6" w:rsidP="00AC56D6">
      <w:pPr>
        <w:pStyle w:val="TextoNormal"/>
      </w:pPr>
    </w:p>
    <w:p w:rsidR="00AC56D6" w:rsidRDefault="00AC56D6" w:rsidP="00AC56D6">
      <w:pPr>
        <w:pStyle w:val="TextoNormal"/>
      </w:pPr>
      <w:r>
        <w:t>Por todo lo expuesto, la Sala de lo Social del Tribunal Superior de Justicia de Extremadura concluye que el art. 2 del Real Decreto-ley 20/2012, en su aplicación al personal laboral del sector público, ha podido vulnerar el principio de irretroactividad de las disposiciones restrictivas de derechos individuales previsto en el art. 9.3 CE, al no contemplar excepción alguna respecto de las cuantías ya devengadas al momento de la entrada en vigor del Real Decreto-ley 20/2012.</w:t>
      </w:r>
    </w:p>
    <w:p w:rsidR="00AC56D6" w:rsidRDefault="00AC56D6" w:rsidP="00AC56D6">
      <w:pPr>
        <w:pStyle w:val="TextoNormal"/>
      </w:pPr>
    </w:p>
    <w:p w:rsidR="00AC56D6" w:rsidRDefault="00AC56D6" w:rsidP="00AC56D6">
      <w:pPr>
        <w:pStyle w:val="TextoNormal"/>
      </w:pPr>
      <w:r w:rsidRPr="00AC56D6">
        <w:rPr>
          <w:rStyle w:val="NumeroAFNegritaCaracter"/>
        </w:rPr>
        <w:t>4</w:t>
      </w:r>
      <w:r>
        <w:t>. Por providencia de 17 de diciembre de 2013, el Pleno del Tribunal Constitucional acordó admitir a trámite la cuestión de inconstitucionalidad, deferir a la Sala Primera el conocimiento de la misma conforme al art. 10.1 c) LOTC y dar traslado de la demanda y documentos presentados al Congreso de los Diputados y al Senado, por conducto de sus Presidentes, al Gobierno, a través del Ministro de Justicia, y al Fiscal General del Estado, para que en el improrrogable plazo de quince días pudieran personarse en el procedimiento y formular las alegaciones que estimasen convenientes (art. 37.3 LOTC). Asimismo se ordenó, de un lado, comunicar esa resolución a la Sala de lo Social del Tribunal Superior de Justicia de Extremadura a fin de que, de conformidad con el art. 35.3 LOTC, permaneciese suspendido el proceso hasta que este Tribunal resolviese definitivamente la presente cuestión. Asimismo ordena publicar la incoación de la cuestión en el “Boletín Oficial del Estado”, lo que se llevó a efecto en el núm. 306, de 23 de diciembre de 2013. Por diligencia de ordenación de la Secretaría de Justicia del Pleno de 17 de diciembre de 2013, se concedió un plazo de quince días a partir de la publicación del referido edicto para que, de conformidad con lo establecido en el art. 37.2 LOTC, quienes fuesen parte en el procedimiento núm. 6-2013 seguido ante la Sala de lo Social del Tribunal Superior de Justicia de Extremadura pudieran personarse ante este Tribunal.</w:t>
      </w:r>
    </w:p>
    <w:p w:rsidR="00AC56D6" w:rsidRDefault="00AC56D6" w:rsidP="00AC56D6">
      <w:pPr>
        <w:pStyle w:val="TextoNormal"/>
      </w:pPr>
    </w:p>
    <w:p w:rsidR="00AC56D6" w:rsidRDefault="00AC56D6" w:rsidP="00AC56D6">
      <w:pPr>
        <w:pStyle w:val="TextoNormal"/>
      </w:pPr>
      <w:r w:rsidRPr="00AC56D6">
        <w:rPr>
          <w:rStyle w:val="NumeroAFNegritaCaracter"/>
        </w:rPr>
        <w:t>5</w:t>
      </w:r>
      <w:r>
        <w:t xml:space="preserve">. Mediante escrito que tuvo entrada en el registro general de este Tribunal el 17 de enero de 2014, el Presidente del Congreso de los Diputados comunicó la decisión de la Mesa de </w:t>
      </w:r>
      <w:r>
        <w:lastRenderedPageBreak/>
        <w:t>esa Cámara de personarse en el presente proceso constitucional, ofreciendo su colaboración a los efectos del art. 88.1 LOTC. El mismo ofrecimiento realizó el Senado según acuerdo de la Mesa de esta Cámara comunicado por su Presidente, mediante escrito que tuvo entrada en el registro general de este Tribunal el 6 de febrero de 2014.</w:t>
      </w:r>
    </w:p>
    <w:p w:rsidR="00AC56D6" w:rsidRDefault="00AC56D6" w:rsidP="00AC56D6">
      <w:pPr>
        <w:pStyle w:val="TextoNormal"/>
      </w:pPr>
    </w:p>
    <w:p w:rsidR="00AC56D6" w:rsidRDefault="00AC56D6" w:rsidP="00AC56D6">
      <w:pPr>
        <w:pStyle w:val="TextoNormal"/>
      </w:pPr>
      <w:r w:rsidRPr="00AC56D6">
        <w:rPr>
          <w:rStyle w:val="NumeroAFNegritaCaracter"/>
        </w:rPr>
        <w:t>6</w:t>
      </w:r>
      <w:r>
        <w:t>. Por escrito registrado en este Tribunal el 10 de enero de 2014, el Abogado del Estado se personó en el presente proceso constitucional y formuló las alegaciones que a continuación se resumen.</w:t>
      </w:r>
    </w:p>
    <w:p w:rsidR="00AC56D6" w:rsidRDefault="00AC56D6" w:rsidP="00AC56D6">
      <w:pPr>
        <w:pStyle w:val="TextoNormal"/>
      </w:pPr>
    </w:p>
    <w:p w:rsidR="00AC56D6" w:rsidRDefault="00AC56D6" w:rsidP="00AC56D6">
      <w:pPr>
        <w:pStyle w:val="TextoNormal"/>
      </w:pPr>
      <w:r>
        <w:t>Comienza señalando que aunque el Auto de planteamiento cuestiona la totalidad del extenso art. 2 del Real Decreto-ley 20/2012, se refiere en realidad solo al apartado 2.2 del art. 2; es decir, a la aplicación de la supresión de la paga extraordinaria de diciembre al personal laboral del sector público.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“entre el 1 y el 15 de julio de 2012”,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respeto a su libertad de configuración, el establecimiento de una expresa excepción a la supresión de la paga extraordinaria de Navidad (la correspondiente a la parte proporcional de los días 1 al 14 de julio de 2012).</w:t>
      </w:r>
    </w:p>
    <w:p w:rsidR="00AC56D6" w:rsidRDefault="00AC56D6" w:rsidP="00AC56D6">
      <w:pPr>
        <w:pStyle w:val="TextoNormal"/>
      </w:pPr>
    </w:p>
    <w:p w:rsidR="00AC56D6" w:rsidRDefault="00AC56D6" w:rsidP="00AC56D6">
      <w:pPr>
        <w:pStyle w:val="TextoNormal"/>
      </w:pPr>
      <w:r>
        <w:t>Precisado lo anterior, el Abogado del Estado pasa a contestar los puntos argumentales del Auto de planteamiento. Comienza negando que nos encontremos ante una “disposición sancionadora no favorable o restrictiva de derechos individuales” en el sentido del art. 9.3 CE. Indica que una norma que aspira a la contención del gasto de personal (como principal componente del gasto público) no es ni sancionadora, ni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AC56D6" w:rsidRDefault="00AC56D6" w:rsidP="00AC56D6">
      <w:pPr>
        <w:pStyle w:val="TextoNormal"/>
      </w:pPr>
    </w:p>
    <w:p w:rsidR="00AC56D6" w:rsidRDefault="00AC56D6" w:rsidP="00AC56D6">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lo está, por el contrario, la retroactividad “impropia o de grado medio” (que incide en situaciones jurídicas actuales aún no concluidas), pero que puede tener relevancia constitucional desde la perspectiva de la protección de la seguridad jurídica.</w:t>
      </w:r>
    </w:p>
    <w:p w:rsidR="00AC56D6" w:rsidRDefault="00AC56D6" w:rsidP="00AC56D6">
      <w:pPr>
        <w:pStyle w:val="TextoNormal"/>
      </w:pPr>
    </w:p>
    <w:p w:rsidR="00AC56D6" w:rsidRDefault="00AC56D6" w:rsidP="00AC56D6">
      <w:pPr>
        <w:pStyle w:val="TextoNormal"/>
      </w:pPr>
      <w:r>
        <w:t xml:space="preserve">Según el Auto de planteamiento, la cuestión radica en determinar si el derecho a la paga extraordinaria de Navidad, en cantidad proporcional a los días 1 al 14 de julio, “estaba ya </w:t>
      </w:r>
      <w:r>
        <w:lastRenderedPageBreak/>
        <w:t>consolidado, asumido e integrado en el patrimonio de los trabajadores cuando entró en vigor” el Real Decreto-ley 20/2012, o si se trataba, por el contrario, de una expectativa de derecho o de un derecho futuro o condicionado.</w:t>
      </w:r>
    </w:p>
    <w:p w:rsidR="00AC56D6" w:rsidRDefault="00AC56D6" w:rsidP="00AC56D6">
      <w:pPr>
        <w:pStyle w:val="TextoNormal"/>
      </w:pPr>
    </w:p>
    <w:p w:rsidR="00AC56D6" w:rsidRDefault="00AC56D6" w:rsidP="00AC56D6">
      <w:pPr>
        <w:pStyle w:val="TextoNormal"/>
      </w:pPr>
      <w:r>
        <w:t>Señala el Abogado del Estado que la propia Sala reconoce en el Auto de planteamiento de la cuestión que la regulación legal de las pagas extraordinarias no ofrece respuesta a esa pregunta, siendo el Tribunal Supremo el que ha hecho referencia a su devengo diario y cobro aplazado en su jurisprudencia. No obstante, a juicio del Abogado del Estado resulta evidente que una determinada interpretación jurisprudencial de un precepto legal no puede erigirse en parámetro de constitucionalidad de otra norma de rango legal.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Esta concepción es, por otro lado, perfectamente conforme con los arts. 26 y 31 de la Ley del estatuto de los trabajadores, así como con la doctrina de este Tribunal Constitucional en relación con los tributos de hecho imponible duradero. Respecto a ellos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00AC56D6" w:rsidRDefault="00AC56D6" w:rsidP="00AC56D6">
      <w:pPr>
        <w:pStyle w:val="TextoNormal"/>
      </w:pPr>
    </w:p>
    <w:p w:rsidR="00AC56D6" w:rsidRDefault="00AC56D6" w:rsidP="00AC56D6">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general”.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t xml:space="preserve">En tal sentido,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señala que este Tribunal no se ha mostrado ajeno a la gravedad de la crisis económica que atraviesa la zona euro, habiéndose hecho eco de la profunda crisis presupuestaria en diversas resoluciones (singularmente, entre otros, en el ATC 160/2011, </w:t>
      </w:r>
      <w:r>
        <w:lastRenderedPageBreak/>
        <w:t>de 22 de noviembre). Teniendo en cuenta todo lo anterior,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Recuerda, asimismo, que la estabilidad presupuestaria es un principio constitucional que vincula a todos los poderes públicos; insiste en que el análisis de la norma cuestionada ha de partir del contexto recesivo descrito.</w:t>
      </w:r>
    </w:p>
    <w:p w:rsidR="00AC56D6" w:rsidRDefault="00AC56D6" w:rsidP="00AC56D6">
      <w:pPr>
        <w:pStyle w:val="TextoNormal"/>
      </w:pPr>
    </w:p>
    <w:p w:rsidR="00AC56D6" w:rsidRDefault="00AC56D6" w:rsidP="00AC56D6">
      <w:pPr>
        <w:pStyle w:val="TextoNormal"/>
      </w:pPr>
      <w:r>
        <w:t>No comparte el Abogado del Estado que el Auto de planteamiento trate de restringir los supuestos en los que procede limitar el principio de irretroactividad y de seguridad jurídica, al identificar el “bien común” con “los grandes valores que cohesionan la sociedad” o con “los derechos fundamentales”, considerando, de esta manera, que la reducción del déficit no constituye un bien común. Entiende que tal postura chocaría con la doctrina constitucional que ha señalado que basta con la concurrencia de cualificadas exigencias “del bien común o de interés general” para admitir tales restricciones; “razón por la cual, pueden reputarse conforme a la Constitución modificaciones con cualquier grado de retroactividad cuando ‘existieran claras exigencias de interés general’” (por ejemplo, para evitar operaciones de elusión fiscal). Así las cosas, afirma que no existe razón para negar la concurrencia de un “interés general”, dada la situación descrita de grave crisis económica.</w:t>
      </w:r>
    </w:p>
    <w:p w:rsidR="00AC56D6" w:rsidRDefault="00AC56D6" w:rsidP="00AC56D6">
      <w:pPr>
        <w:pStyle w:val="TextoNormal"/>
      </w:pPr>
    </w:p>
    <w:p w:rsidR="00AC56D6" w:rsidRDefault="00AC56D6" w:rsidP="00AC56D6">
      <w:pPr>
        <w:pStyle w:val="TextoNormal"/>
      </w:pPr>
      <w:r>
        <w:t>Finalmente, niega el Abogado del Estado que las Sentencias del Tribunal Europeo de Derechos Humanos citadas por el Auto de planteamiento puedan servir para avalar la tesis mantenida en el mismo; a diferencia de lo que ocurre en el presente caso, en tales supuestos se alegaron intereses difusos para proceder a la aplicación retroactiva de una medida que no la justificaba desde la perspectiva de la proporcionalidad. Recuerda que, por el contrario, que no existen ahora motivos “difusos”, sino concretos de interés general. En realidad no asistiríamos a una reducción del sueldo de los empleados públicos sino a una “congelación” de la paga extra de diciembre, con previsión de su devolución mediante su aportación a planes de pensiones en un horizonte no lejano (2015); eso sí, en función de las necesidades y del equilibrio presupuestario. En definitiva, concluye diciendo que ante el interés público a que se trata de atender, resulta absolutamente proporcionado que únicamente se exija como sacrificio a los empleados públicos el aplazamiento temporal del abono de la parte proporcional de la paga extraordinaria correspondiente a los días 1 a 15 de julio de 2012; que es lo único que se discute en la presente cuestión de inconstitucionalidad. Por todo ello, interesa la desestimación de la cuestión.</w:t>
      </w:r>
    </w:p>
    <w:p w:rsidR="00AC56D6" w:rsidRDefault="00AC56D6" w:rsidP="00AC56D6">
      <w:pPr>
        <w:pStyle w:val="TextoNormal"/>
      </w:pPr>
    </w:p>
    <w:p w:rsidR="00AC56D6" w:rsidRDefault="00AC56D6" w:rsidP="00AC56D6">
      <w:pPr>
        <w:pStyle w:val="TextoNormal"/>
      </w:pPr>
      <w:r w:rsidRPr="00AC56D6">
        <w:rPr>
          <w:rStyle w:val="NumeroAFNegritaCaracter"/>
        </w:rPr>
        <w:t>7</w:t>
      </w:r>
      <w:r>
        <w:t>. El Fiscal General del Estado formuló sus alegaciones por escrito registrado en este Tribunal el 30 de enero de 2014, solicitando la declaración de inconstitucionalidad del apartado 2.2 del art. 2 del Real Decreto-ley 20/2012 por considerarlo contrario al principio de irretroactividad de las disposiciones restrictivas de derechos individuales (art. 9.3 CE).</w:t>
      </w:r>
    </w:p>
    <w:p w:rsidR="00AC56D6" w:rsidRDefault="00AC56D6" w:rsidP="00AC56D6">
      <w:pPr>
        <w:pStyle w:val="TextoNormal"/>
      </w:pPr>
    </w:p>
    <w:p w:rsidR="00AC56D6" w:rsidRDefault="00AC56D6" w:rsidP="00AC56D6">
      <w:pPr>
        <w:pStyle w:val="TextoNormal"/>
      </w:pPr>
      <w: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una remuneración suficiente que prevé el art. 35.1 CE. En este sentido prosigue diciendo que, si bien no llegan a comprometerse en este caso derechos fundamentales o libertades públicas, sí se ven concernidos derechos individuales que son expresión directa de la esfera general de </w:t>
      </w:r>
      <w:r>
        <w:lastRenderedPageBreak/>
        <w:t>protección de la persona. Además, afirma que la idea de sanción resultará robustecida en este caso, dado que se pretende extraer del patrimonio de los ciudadanos, sin indemnización, un bien o un derecho del que ya dispone.</w:t>
      </w:r>
    </w:p>
    <w:p w:rsidR="00AC56D6" w:rsidRDefault="00AC56D6" w:rsidP="00AC56D6">
      <w:pPr>
        <w:pStyle w:val="TextoNormal"/>
      </w:pPr>
    </w:p>
    <w:p w:rsidR="00AC56D6" w:rsidRDefault="00AC56D6" w:rsidP="00AC56D6">
      <w:pPr>
        <w:pStyle w:val="TextoNormal"/>
      </w:pPr>
      <w:r>
        <w:t xml:space="preserve">Llegados a este punto, pasa a analizar si la norma cuestionada contiene un grado de retroactividad permitido por el art. 9.3 CE, a la luz de la doctrina constitucional que sintetiza.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incorporándose cada jornada al patrimonio del trabajador;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de los protegidos por el art. 9.3 CE. Además, entiende que el criterio del Auto de planteamiento tendría el respaldo de la Sentencia del Tribunal Europeo de Derechos Humanos de 14 de mayo de 2013 (caso </w:t>
      </w:r>
      <w:r w:rsidRPr="00AC56D6">
        <w:rPr>
          <w:i/>
        </w:rPr>
        <w:t>N.K.M. v. Hungría</w:t>
      </w:r>
      <w:r>
        <w:t>): Este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vería realizada. Entiende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Tal hipótesis no puede suponer, sin embargo, un aval genérico para que con esa excusa el poder público pueda conducirse apartándose de una expresa previsión legal. Añade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t xml:space="preserve">El Fiscal General del Estado concluye sus alegaciones precisando que en el Auto de planteamiento no se cuestiona todo el art. 2 del Real Decreto-ley 20/2012 sino sólo su apartado 2.2, ya que es el que resulta aplicable para resolver el pleito sometido al conocimiento de la Sala de lo Social del Tribunal Superior de Justicia de Extremadura (referido en exclusiva a personal laboral y no a personal funcionario o estatutario). Asimismo, en cuanto a los </w:t>
      </w:r>
      <w:r>
        <w:lastRenderedPageBreak/>
        <w:t>efectos de la hipotética declaración de inconstitucionalidad,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28 de mayo de 2015 la Sala Primera acordó, de conformidad con lo dispuesto en el art. 88.1 LOTC, dirigir atenta comunicación a la Junta de Extremadura a fin de que indicase a este Tribunal si, en atención a lo previsto en la disposición adicional duodécima de la Ley 36/2014, de presupuestos generales del Estado para el año 2015, o por cualquier otra circunstancia, ha satisfecho a su personal laboral alguna cantidad en concepto de recuperación de la parte proporcional de la paga extraordinaria, de la paga adicional de complemento específico o de las pagas adicionales equivalentes, todas ellas correspondientes al mes de diciembre de 2012. Habría de especificar, en su caso, el número de días de las citadas pagas a los que corresponden las cuantías abonadas.</w:t>
      </w:r>
    </w:p>
    <w:p w:rsidR="00AC56D6" w:rsidRDefault="00AC56D6" w:rsidP="00AC56D6">
      <w:pPr>
        <w:pStyle w:val="TextoNormal"/>
      </w:pPr>
    </w:p>
    <w:p w:rsidR="00AC56D6" w:rsidRDefault="00AC56D6" w:rsidP="00AC56D6">
      <w:pPr>
        <w:pStyle w:val="TextoNormal"/>
      </w:pPr>
      <w:r w:rsidRPr="00AC56D6">
        <w:rPr>
          <w:rStyle w:val="NumeroAFNegritaCaracter"/>
        </w:rPr>
        <w:t>9</w:t>
      </w:r>
      <w:r>
        <w:t>. En contestación a la referida providencia, la Directora General de Función Pública de la Junta de Extremadura, mediante escrito fechado el 19 de agosto de 2005 que tuvo entrada en el Registro General de este Tribunal el 25 de agosto de 2015, al que se acompaña determinada documentación relevante al efecto requerido, hace constar que, en virtud de acuerdo del Consejo de Gobierno de 15 de abril de 2014 por el que se ratifica el acuerdo de 14 de marzo de 2014 de la mesa general de negociación prevista en el art. 36.3 de la Ley 7/2007, del estatuto básico del empleado público, la Junta de Extremadura procedió a abonar a todos los empleados públicos a su servicio los 44 días devengados (del 1 de junio al 14 de julio de 2012) correspondientes a la paga extraordinaria del mes de diciembre de 2012, dejada de percibir por aplicación de lo dispuesto en el art. 2 del Real Decreto-ley 20/2012, en los siguientes términos: abono del 70 por 100 en la nómina del mes de abril de 2014 y abono del 30 por 100 restante en la nómina del mes de enero de 2015.</w:t>
      </w:r>
    </w:p>
    <w:p w:rsidR="00AC56D6" w:rsidRDefault="00AC56D6" w:rsidP="00AC56D6">
      <w:pPr>
        <w:pStyle w:val="TextoNormal"/>
      </w:pPr>
    </w:p>
    <w:p w:rsidR="00AC56D6" w:rsidRDefault="00AC56D6" w:rsidP="00AC56D6">
      <w:pPr>
        <w:pStyle w:val="TextoNormal"/>
      </w:pPr>
      <w:r w:rsidRPr="00AC56D6">
        <w:rPr>
          <w:rStyle w:val="NumeroAFNegritaCaracter"/>
        </w:rPr>
        <w:t>10</w:t>
      </w:r>
      <w:r>
        <w:t>. Por providencia de 1 de octubre de 2015 se señaló para deliberación y votación de la presente Sentencia el día 5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Sala de lo Social del Tribunal Superior de Justicia de Extremadura plantea cuestión de inconstitucionalidad respecto del art. 2 del Real Decreto-ley 20/2012, de 13 de julio, de medidas para garantizar la estabilidad presupuestaria y de fomento de la competitividad. Este precepto, en lo que aquí importa, dispone para el personal del sector público definido en el art. 22.1 de la Ley 2/2012, de 29 de junio, de presupuestos generales del Estado para 2012, la supresión de la paga extraordinaria (o equivalente) del mes de diciembre de 2012. En síntesis, la Sala entiende que el art. 2 del Real Decreto-ley 20/2012, en su aplicación al personal laboral del sector público,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Decreto-ley20/2012.</w:t>
      </w:r>
    </w:p>
    <w:p w:rsidR="00AC56D6" w:rsidRDefault="00AC56D6" w:rsidP="00AC56D6">
      <w:pPr>
        <w:pStyle w:val="TextoNormal"/>
      </w:pPr>
    </w:p>
    <w:p w:rsidR="00AC56D6" w:rsidRDefault="00AC56D6" w:rsidP="00AC56D6">
      <w:pPr>
        <w:pStyle w:val="TextoNormal"/>
      </w:pPr>
      <w:r>
        <w:lastRenderedPageBreak/>
        <w:t>En los términos en que han sido recogidos en los antecedentes de esta Sentencia, el Fiscal General del Estado coincide con el juicio de inconstitucionalidad formulado por el Auto de planteamiento de la cuestión; interesa la estimación de la misma, mientras que el Abogado del Estado solicita su desestimación.</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al análisis de la cuestión planteada conviene realizar una serie de precisiones para acotar debidamente el objeto de la misma y el alcance de nuestro enjuiciamiento.</w:t>
      </w:r>
    </w:p>
    <w:p w:rsidR="00AC56D6" w:rsidRDefault="00AC56D6" w:rsidP="00AC56D6">
      <w:pPr>
        <w:pStyle w:val="TextoNormal"/>
      </w:pPr>
    </w:p>
    <w:p w:rsidR="00AC56D6" w:rsidRDefault="00AC56D6" w:rsidP="00AC56D6">
      <w:pPr>
        <w:pStyle w:val="TextoNormal"/>
      </w:pPr>
      <w:r>
        <w:t xml:space="preserve">a) En primer lugar, resulta obligado advertir, en consonancia con lo manifestado en sus alegaciones respectivas por el Fiscal General del Estado y el Abogado del Estado, que, si bien la Sala de lo Social del Tribunal Superior de Justicia de Extremadura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al personal laboral del sector público” (como se precisa expresamente en la parte dispositiva del Auto). Ello se conecta lógicamente con el juicio de relevancia, correctamente expresado por el órgano judicial. La cuestión de inconstitucionalidad trae causa de un proceso de conflicto colectivo promovido por varios sindicatos con motivo de la supresión, por aplicación de las previsiones contenidas en el Real Decreto-ley 20/2012, de la paga extra de diciembre de 2012 al personal laboral de la Junta de Extremadura. Lo pretendido por los demandantes con carácter subsidiario a la pretensión principal (referida a que no se apliquen en esa entidad pública las medidas de supresión o reducción de retribuciones previstas por el Real Decreto-ley 20/2012) es justamente que se declare el derecho de los trabajadores de esa entidad a percibir la parte proporcional de la paga extra de diciembre de 2012 que consideran ya devengada al momento de la entrada en vigor del Real Decreto-ley 20/2012. En concreto los sindicatos demandantes en el proceso </w:t>
      </w:r>
      <w:r w:rsidRPr="00AC56D6">
        <w:rPr>
          <w:i/>
        </w:rPr>
        <w:t>a quo</w:t>
      </w:r>
      <w:r>
        <w:t xml:space="preserve"> reclamaban las cuantías ya devengadas por los 44 días transcurridos desde el 1 de junio al 14 de julio de 2012, porque, de acuerdo con el art. 9.3 CE, no cabe que la supresión de esa paga extra tenga efectos retroactivos.</w:t>
      </w:r>
    </w:p>
    <w:p w:rsidR="00AC56D6" w:rsidRDefault="00AC56D6" w:rsidP="00AC56D6">
      <w:pPr>
        <w:pStyle w:val="TextoNormal"/>
      </w:pPr>
    </w:p>
    <w:p w:rsidR="00AC56D6" w:rsidRDefault="00AC56D6" w:rsidP="00AC56D6">
      <w:pPr>
        <w:pStyle w:val="TextoNormal"/>
      </w:pPr>
      <w:r>
        <w:t>De este modo, en los términos en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también al apartado 2.2 del art. 2 del Real Decreto-ley 20/2012, que se refiere específicamente a la supresión de la paga o gratificación extraordinaria de diciembre de 2012, o equivalente, al personal laboral del sector público.</w:t>
      </w:r>
    </w:p>
    <w:p w:rsidR="00AC56D6" w:rsidRDefault="00AC56D6" w:rsidP="00AC56D6">
      <w:pPr>
        <w:pStyle w:val="TextoNormal"/>
      </w:pPr>
    </w:p>
    <w:p w:rsidR="00AC56D6" w:rsidRDefault="00AC56D6" w:rsidP="00AC56D6">
      <w:pPr>
        <w:pStyle w:val="TextoNormal"/>
      </w:pPr>
      <w:r>
        <w:t xml:space="preserve">b) Por otra parte debe tenerse en cuenta que no se cuestiona por la Sala de lo Social del Tribunal Superior de Justicia de Extremadura la medida de supresión de la paga extraordinaria de diciembre de 2012 en sí misma considerada (que es la pretensión principal que se deduce por los sindicatos demandantes en el proceso </w:t>
      </w:r>
      <w:r w:rsidRPr="00AC56D6">
        <w:rPr>
          <w:i/>
        </w:rPr>
        <w:t>a quo</w:t>
      </w:r>
      <w:r>
        <w:t>, como se ha dicho); sino sólo en cuanto su aplicación haya podido suponer la infracción del principio de irretroactividad establecido en el 9.3 CE, al no contemplar excepción alguna respecto de las cuantías que se entienden ya devengadas de dicha paga extra a la fecha de entrada en vigor del Real Decreto-</w:t>
      </w:r>
      <w:r>
        <w:lastRenderedPageBreak/>
        <w:t xml:space="preserve">ley 20/2012 (que tuvo lugar el 15 de julio de 2012, conforme a su disposición final decimoquinta). A esta concreta duda (planteada a partir de la pretensión subsidiaria en el proceso </w:t>
      </w:r>
      <w:r w:rsidRPr="00AC56D6">
        <w:rPr>
          <w:i/>
        </w:rPr>
        <w:t>a quo</w:t>
      </w:r>
      <w:r>
        <w:t>) deberá, pues, ceñirse nuestro enjuiciamiento.</w:t>
      </w:r>
    </w:p>
    <w:p w:rsidR="00AC56D6" w:rsidRDefault="00AC56D6" w:rsidP="00AC56D6">
      <w:pPr>
        <w:pStyle w:val="TextoNormal"/>
      </w:pPr>
    </w:p>
    <w:p w:rsidR="00AC56D6" w:rsidRDefault="00AC56D6" w:rsidP="00AC56D6">
      <w:pPr>
        <w:pStyle w:val="TextoNormal"/>
      </w:pPr>
      <w:r>
        <w:t>c) Conviene asimismo advertir que la Sala de lo Social del Tribunal Superior de Justicia de Extremadura no cuestiona el art. 6 del Real Decreto-ley 20/2012, que, en consonancia con la regla de supresión de la paga extraordinaria de diciembre de 2012 establecida en el art. 2 del Real Decreto-ley 20/2012, suprime durante el año 2012 para el personal laboral del sector público “la percepción de la gratificación extraordinaria con ocasión de las fiestas de Navidad contenida en el art. 31 del Estatuto de los Trabajadores”. Por tanto, la previsión contenida en el art. 6 del Real Decreto-ley 20/2012 queda fuera de nuestro pronunciamiento.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Delimitado el alcance de nuestra decisión, debemos remitirnos a lo dicho recientemente en la STC 83/2015, de 30 de abril, FJ 3, sobre la posible pérdida de objeto de la cuestión de inconstitucionalidad, como consecuencia de lo establecido en la disposición adicional duodécima de la Ley 36/2014, de 26 de diciembre, de presupuestos generales del Estado para 2015. Bajo el epígrafe “Recuperación de la paga extraordinaria y adicional del mes de diciembre de 2012”, se establece, en su apartado 1.1,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según establece el apartado 1.2.</w:t>
      </w:r>
    </w:p>
    <w:p w:rsidR="00AC56D6" w:rsidRDefault="00AC56D6" w:rsidP="00AC56D6">
      <w:pPr>
        <w:pStyle w:val="TextoNormal"/>
      </w:pPr>
    </w:p>
    <w:p w:rsidR="00AC56D6" w:rsidRDefault="00AC56D6" w:rsidP="00AC56D6">
      <w:pPr>
        <w:pStyle w:val="TextoNormal"/>
      </w:pPr>
      <w:r>
        <w:t xml:space="preserve">En la STC 83/2015, FJ 3, se recuerda la reiterada doctrina constitucional sobre los efectos extintivos del objeto del proceso en las cuestiones de inconstitucionalidad, como consecuencia de la derogación o modificación de la norma legal cuestionada. Se puso de manifiesto que era innegable la incidencia que tenía la medida contenida en la disposición adicional duodécima de la Ley 36/2014, de presupuestos generales del Estado para 2015, sobre la pretensión deducida en el pleito </w:t>
      </w:r>
      <w:r w:rsidRPr="00AC56D6">
        <w:rPr>
          <w:i/>
        </w:rPr>
        <w:t>a quo</w:t>
      </w:r>
      <w:r>
        <w:t>, “que afecta de modo determinante a la subsistencia del presente proceso constitucional, dada la estrecha vinculación existente entre toda cuestión de inconstitucionalidad y el procedimiento judicial de que dimana.”</w:t>
      </w:r>
    </w:p>
    <w:p w:rsidR="00AC56D6" w:rsidRDefault="00AC56D6" w:rsidP="00AC56D6">
      <w:pPr>
        <w:pStyle w:val="TextoNormal"/>
      </w:pPr>
    </w:p>
    <w:p w:rsidR="00AC56D6" w:rsidRDefault="00AC56D6" w:rsidP="00AC56D6">
      <w:pPr>
        <w:pStyle w:val="TextoNormal"/>
      </w:pPr>
      <w:r>
        <w:t xml:space="preserve">En el conflicto colectivo del que trae causa la presente cuestión de inconstitucionalidad se discute el derecho de los trabajadores de la Junta de Extremadura a percibir la parte proporcional de la paga extra de diciembre de 2012 ya devengada al momento de la entrada en vigor del Real Decreto-ley 20/2012 (15 de julio de 2012), que suprimió el derecho a su percepción. Ello por estimar los sindicatos demandantes en el proceso </w:t>
      </w:r>
      <w:r w:rsidRPr="00AC56D6">
        <w:rPr>
          <w:i/>
        </w:rPr>
        <w:t>a quo</w:t>
      </w:r>
      <w:r>
        <w:t xml:space="preserve"> que la supresión de esa paga extraordinaria en virtud del citado Real Decreto-ley 20/2012 no puede tener efectos retroactivos por imperativo de lo dispuesto en el art. 9.3 CE, lo que les llevaba a reclamar las cuantías ya devengadas por los 44 días transcurridos desde el 1 de junio al 14 de julio de 2012.</w:t>
      </w:r>
    </w:p>
    <w:p w:rsidR="00AC56D6" w:rsidRDefault="00AC56D6" w:rsidP="00AC56D6">
      <w:pPr>
        <w:pStyle w:val="TextoNormal"/>
      </w:pPr>
    </w:p>
    <w:p w:rsidR="00AC56D6" w:rsidRDefault="00AC56D6" w:rsidP="00AC56D6">
      <w:pPr>
        <w:pStyle w:val="TextoNormal"/>
      </w:pPr>
      <w:r>
        <w:t>Al suscitarse sobre este extremo la duda de constitucionalidad que plantea el órgano judicial, es obligado constatar la recuperación por los trabajadores de la Junta de Extremadura de la parte proporcional correspondiente a los primeros 44 días de la paga extra de diciembre de 2012 que les fue suprimida en su día en aplicación de lo dispuesto en el Real Decreto-</w:t>
      </w:r>
      <w:r>
        <w:lastRenderedPageBreak/>
        <w:t>ley 20/2012, en virtud, según ha quedado reflejado en los antecedentes de la presente Sentencia, del Acuerdo del Consejo de Gobierno de la Junta de Extremadura de 15 de abril de 2014, anticipándose a lo establecido en la referida disposición adicional duodécima de la Ley 36/2014, de presupuestos Ggenerales del Estado para 2015. En efecto, esa recuperación de los primeros 44 días de la paga extra de diciembre de 2012 para todos los empleados públicos de la Junta de Extremadura se hizo efectiva en dos partes: en las nóminas del mes de abril de 2014 (el 70 por 100) y del mes de enero de 2015 (el 30 por 100 restante), como se pone de manifiesto por la Junta de Extremadura en su contestación al requerimiento efectuado al efecto por este Tribunal en virtud de lo dispuesto en el art. 88.1 de la Ley Orgánica del Tribunal Constitucional, conforme quedó señalado en el relato de antecedentes.</w:t>
      </w:r>
    </w:p>
    <w:p w:rsidR="00AC56D6" w:rsidRDefault="00AC56D6" w:rsidP="00AC56D6">
      <w:pPr>
        <w:pStyle w:val="TextoNormal"/>
      </w:pPr>
    </w:p>
    <w:p w:rsidR="00AC56D6" w:rsidRDefault="00AC56D6" w:rsidP="00AC56D6">
      <w:pPr>
        <w:pStyle w:val="TextoNormal"/>
      </w:pPr>
      <w:r>
        <w:t>Todo ello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Declarar la extinción de la presente cuestión de inconstitucionalidad por desaparición sobrevenida de su objeto.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cinco de octubre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62" w:name="SENTENCIA_2015_206"/>
      <w:r>
        <w:lastRenderedPageBreak/>
        <w:t>SENTENCIA 206/2015, de 5 de octubre de 2015</w:t>
      </w:r>
    </w:p>
    <w:bookmarkEnd w:id="62"/>
    <w:p w:rsidR="00AC56D6" w:rsidRDefault="00AC56D6" w:rsidP="00AC56D6">
      <w:pPr>
        <w:pStyle w:val="TtuloResolucin"/>
      </w:pPr>
      <w:r>
        <w:t>Sala Primera</w:t>
      </w:r>
    </w:p>
    <w:p w:rsidR="00AC56D6" w:rsidRDefault="00AC56D6" w:rsidP="00AC56D6">
      <w:pPr>
        <w:pStyle w:val="TtuloBOE"/>
      </w:pPr>
      <w:r>
        <w:t>(BOE núm. 272, de 13 de noviembre de 2015)</w:t>
      </w:r>
    </w:p>
    <w:p w:rsidR="00AC56D6" w:rsidRDefault="00AC56D6" w:rsidP="00AC56D6">
      <w:pPr>
        <w:pStyle w:val="TextoNormalCentrado"/>
      </w:pPr>
      <w:r>
        <w:t>ECLI:ES:TC:2015:206</w:t>
      </w:r>
    </w:p>
    <w:p w:rsidR="00AC56D6" w:rsidRDefault="00AC56D6" w:rsidP="00AC56D6">
      <w:pPr>
        <w:pStyle w:val="TextoNormalCentrado"/>
      </w:pPr>
    </w:p>
    <w:p w:rsidR="00AC56D6" w:rsidRDefault="00AC56D6" w:rsidP="00AC56D6">
      <w:pPr>
        <w:pStyle w:val="SntesisDescriptiva"/>
      </w:pPr>
      <w:r>
        <w:t>Cuestión de inconstitucionalidad 6907-2013. Planteada por el Juzgado Central de lo Contencioso-Administrativo núm. 10 de Madrid en relación con el artículo 2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extinción, por pérdida de objeto, de la cuestión de inconstitucionalidad (STC 83/2015).</w:t>
      </w:r>
    </w:p>
    <w:p w:rsidR="00AC56D6" w:rsidRDefault="00AC56D6" w:rsidP="00AC56D6">
      <w:pPr>
        <w:pStyle w:val="SntesisAnaltica"/>
      </w:pPr>
    </w:p>
    <w:p w:rsidR="00AC56D6" w:rsidRDefault="00AC56D6" w:rsidP="00AC56D6">
      <w:pPr>
        <w:pStyle w:val="Extracto"/>
      </w:pPr>
      <w:r>
        <w:t>1.</w:t>
      </w:r>
      <w:r>
        <w:tab/>
        <w:t>La satisfacción extraprocesal de la pretensión deducida en el proceso laboral sobre la que se articula la cuestión de inconstitucionalidad le hace perder su objeto al ser dicha satisfacción uno de los posibles supuestos de extinción de la cuestión de inconstitucionalidad (STC 83/2015) [FJ 3].</w:t>
      </w:r>
    </w:p>
    <w:p w:rsidR="00AC56D6" w:rsidRDefault="00AC56D6" w:rsidP="00AC56D6">
      <w:pPr>
        <w:pStyle w:val="Extracto"/>
      </w:pPr>
    </w:p>
    <w:p w:rsidR="00AC56D6" w:rsidRDefault="00AC56D6" w:rsidP="00AC56D6">
      <w:pPr>
        <w:pStyle w:val="Extracto"/>
      </w:pPr>
      <w:r>
        <w:t>2.</w:t>
      </w:r>
      <w:r>
        <w:tab/>
        <w:t>Doctrina sobre las posibles causas de terminación extraordinaria de las cuestiones de inconstitucionalidad por pérdida sobrevenida de objeto (STC 83/2015) [FJ 3].</w:t>
      </w:r>
    </w:p>
    <w:p w:rsidR="00AC56D6" w:rsidRDefault="00AC56D6" w:rsidP="00AC56D6">
      <w:pPr>
        <w:pStyle w:val="Extracto"/>
      </w:pPr>
    </w:p>
    <w:p w:rsidR="00AC56D6" w:rsidRDefault="00AC56D6" w:rsidP="00AC56D6">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6907-2013, promovida por el Juzgado Central de lo Contencioso-Administrativo núm. 10 de Madrid contra el art. 2 del Real Decreto-ley 20/2012, de 13 de julio, de medidas para garantizar la estabilidad presupuestaria y de fomento de la competitividad, por posible vulneración del art. 9.3 CE. Han formulado alegaciones el Fiscal General del Estado y el Abogado del Estado. Ha sido Ponente el Magistrado don Juan Antonio Xiol Ríos, quien expresa el parecer del Tribunal.</w:t>
      </w:r>
    </w:p>
    <w:p w:rsidR="00AC56D6" w:rsidRDefault="00AC56D6" w:rsidP="00AC56D6">
      <w:pPr>
        <w:pStyle w:val="TextoNormal"/>
      </w:pPr>
    </w:p>
    <w:p w:rsidR="00AC56D6" w:rsidRDefault="00AC56D6" w:rsidP="00AC56D6">
      <w:pPr>
        <w:pStyle w:val="TextoNormalNegritaCentrado"/>
        <w:keepNext/>
      </w:pPr>
      <w:r>
        <w:lastRenderedPageBreak/>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26 de noviembre de 2013 tuvo entrada en el Registro General de este Tribunal un oficio del Juzgado Central de lo Contencioso-Administrativo núm. 10 de Madrid al que se acompaña, junto con el testimonio del procedimiento núm. 25-2013, el Auto de 29 de octubre de 2013, por el que se acuerda plantear cuestión de inconstitucionalidad en relación con el art. 2 del Real Decreto-ley 20/2012, de 13 de julio, de medidas para garantizar la estabilidad presupuestaria y de fomento de la competitividad, en su aplicación a los funcionarios públicos, por posible lesión del art. 9.3 CE, sobre el principio de irretroactividad de disposiciones restrictivas de derechos individuales.</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procesales de la cuestión de inconstitucionalidad planteada son, sucintamente expuestos, los siguientes:</w:t>
      </w:r>
    </w:p>
    <w:p w:rsidR="00AC56D6" w:rsidRDefault="00AC56D6" w:rsidP="00AC56D6">
      <w:pPr>
        <w:pStyle w:val="TextoNormal"/>
      </w:pPr>
    </w:p>
    <w:p w:rsidR="00AC56D6" w:rsidRDefault="00AC56D6" w:rsidP="00AC56D6">
      <w:pPr>
        <w:pStyle w:val="TextoNormal"/>
      </w:pPr>
      <w:r>
        <w:t>a) Ante el Juzgado Central de lo Contencioso-Administrativo núm. 10 se sigue el procedimiento abreviado núm. 25-2013, en virtud del recurso contencioso-administrativo interpuesto por seis funcionarios del Cuerpo Nacional de Policía contra la resolución del Secretario de Estado de Seguridad (Ministerio del Interior) de 21 de noviembre de 2012, que desestima su reclamación del abono de las cantidades correspondientes a la parte proporcional de la paga extraordinaria de diciembre de 2012 devengada antes de la entrada en vigor del Real Decreto-ley 20/2012, de 13 de julio, de medidas para garantizar la estabilidad presupuestaria y de fomento de la competitividad (15 de junio de 2012), esto es, el mes completo de junio y catorce días de julio de dicho año.</w:t>
      </w:r>
    </w:p>
    <w:p w:rsidR="00AC56D6" w:rsidRDefault="00AC56D6" w:rsidP="00AC56D6">
      <w:pPr>
        <w:pStyle w:val="TextoNormal"/>
      </w:pPr>
    </w:p>
    <w:p w:rsidR="00AC56D6" w:rsidRDefault="00AC56D6" w:rsidP="00AC56D6">
      <w:pPr>
        <w:pStyle w:val="TextoNormal"/>
      </w:pPr>
      <w:r>
        <w:t>b) Concluso el procedimiento y dentro del plazo para dictar Sentencia, el órgano judicial dictó providencia de 20 de septiembre de 2013 por la que acordó oír a las partes y al Ministerio Fiscal para que alegasen sobre la pertinencia de plantear cuestión de inconstitucionalidad en relación con el art. 2 del Real Decreto-ley 20/2012, de 13 de julio, de medidas para garantizar la estabilidad presupuestaria y de fomento de la competitividad, por posible vulneración del art. 9.3 CE. Entiende el juzgador que “(t)eniendo en cuenta que según consolidada jurisprudencia las pagas extraordinarias son salario diferido que se devenga día a día (SSTS 4-4-08, 21-4-10, 25-10-10, 5-11-10, 21-12-10, 10-3-11), y que la citada norma con rango de ley establece la indicada supresión, sin excepción alguna respecto de la parte que ya se hubiera devengado a la fecha de su entrada en vigor, el 15 de julio de 2012, cabe la posibilidad de que la misma esté vulnerando lo dispuesto en el art. 9.3 CE según el cual la Constitución garantiza la irretroactividad de las disposiciones restrictivas de derechos individuales, en la medida en que la norma suprime el derecho de los funcionarios recurrentes a percibir cuantías ya devengadas”.</w:t>
      </w:r>
    </w:p>
    <w:p w:rsidR="00AC56D6" w:rsidRDefault="00AC56D6" w:rsidP="00AC56D6">
      <w:pPr>
        <w:pStyle w:val="TextoNormal"/>
      </w:pPr>
    </w:p>
    <w:p w:rsidR="00AC56D6" w:rsidRDefault="00AC56D6" w:rsidP="00AC56D6">
      <w:pPr>
        <w:pStyle w:val="TextoNormal"/>
      </w:pPr>
      <w:r>
        <w:t xml:space="preserve">c) El Ministerio Fiscal y los demandantes consideraron procedente el planteamiento de la cuestión. El Abogado del Estado, si bien no se opuso al planteamiento de la misma, razonó que el precepto se acomoda plenamente al art. 9.3 CE, invocando, en síntesis, la imposibilidad de aplicar la jurisprudencia social sobre los arts. 26 y 31 de la Ley del estatuto de los trabajadores a la retribución de los funcionarios públicos de carrera; que no nos encontramos ante una norma restrictiva de derechos individuales en el sentido del art. 9.3 CE, ni reguladora de una retroactividad proscrita por el mismo, y que, incluso de considerarse </w:t>
      </w:r>
      <w:r>
        <w:lastRenderedPageBreak/>
        <w:t>lo contrario, concurren excepcionales circunstancias de interés público que justificarían esa retroactividad.</w:t>
      </w:r>
    </w:p>
    <w:p w:rsidR="00AC56D6" w:rsidRDefault="00AC56D6" w:rsidP="00AC56D6">
      <w:pPr>
        <w:pStyle w:val="TextoNormal"/>
      </w:pPr>
    </w:p>
    <w:p w:rsidR="00AC56D6" w:rsidRDefault="00AC56D6" w:rsidP="00AC56D6">
      <w:pPr>
        <w:pStyle w:val="TextoNormal"/>
      </w:pPr>
      <w:r w:rsidRPr="00AC56D6">
        <w:rPr>
          <w:rStyle w:val="NumeroAFNegritaCaracter"/>
        </w:rPr>
        <w:t>3</w:t>
      </w:r>
      <w:r>
        <w:t>. Por Auto de 29 de octubre de 2013, el Juzgado Central de lo Contencioso-Administrativo núm. 10 de Madrid acordó plantear la presente cuestión de inconstitucionalidad y del análisis de su contenido interesa destacar los siguientes puntos:</w:t>
      </w:r>
    </w:p>
    <w:p w:rsidR="00AC56D6" w:rsidRDefault="00AC56D6" w:rsidP="00AC56D6">
      <w:pPr>
        <w:pStyle w:val="TextoNormal"/>
      </w:pPr>
    </w:p>
    <w:p w:rsidR="00AC56D6" w:rsidRDefault="00AC56D6" w:rsidP="00AC56D6">
      <w:pPr>
        <w:pStyle w:val="TextoNormal"/>
      </w:pPr>
      <w:r>
        <w:t>a) Comienza el Auto exponiendo los antecedentes de hecho de la presente cuestión y el cumplimiento del trámite de audiencia previsto en el art. 35.2 de la Ley Orgánica del Tribunal Constitucional (LOTC). El órgano judicial transcribe la norma de cuya constitucionalidad duda, señalando que su redacción literal no deja resquicio interpretativo alguno respecto a su sentido pues resulta de ella que suprime la percepción de la paga extraordinaria del mes de diciembre del año 2012 para el personal funcionario en su total cuantía, sin excepción respecto a posibles derechos ya devengados en el momento de su entrada en vigor, al día siguiente a su publicación oficial, es decir, el 15 de julio de 2012. A su juicio, atendiendo a la consolidada jurisprudencia según la cual las pagas extraordinarias son salario diferido que se devenga día a día, ello podría confrontar la norma señalada con lo dispuesto en el art. 9.3 CE, que garantiza la irretroactividad de las disposiciones restrictivas de derechos individuales y la seguridad jurídica, puesto que se estaría suprimiendo el derecho ya generado a percibir la parte proporcional de la paga extraordinaria devengada antes de la entrada en vigor de la norma con rango de ley.</w:t>
      </w:r>
    </w:p>
    <w:p w:rsidR="00AC56D6" w:rsidRDefault="00AC56D6" w:rsidP="00AC56D6">
      <w:pPr>
        <w:pStyle w:val="TextoNormal"/>
      </w:pPr>
    </w:p>
    <w:p w:rsidR="00AC56D6" w:rsidRDefault="00AC56D6" w:rsidP="00AC56D6">
      <w:pPr>
        <w:pStyle w:val="TextoNormal"/>
      </w:pPr>
      <w:r>
        <w:t>b) Tras examinar lo dispuesto en el art. 33 de la Ley 33/1987, de 23 de diciembre, en cuanto al devengo de las pagas extraordinarias de los funcionarios, razona el Juzgado que no cabe admitir que la naturaleza de las pagas extraordinarias de los funcionarios difiera sustancialmente de las de los demás trabajadores, por lo que, a falta de jurisprudencia específica de la Sala de lo Contencioso-Administrativo del Tribunal Supremo al respecto, debe considerarse plenamente aplicable la doctrina sentada por la Sala de lo Social del Tribunal Supremo, lo que implica que el criterio del Tribunal Supremo sobre el devengo diario de la paga extraordinaria se alza con valor normativo complementario (art. 1.6 del Código civil), salvaguardando la pureza de la Ley, y forma una unidad con la misma como parámetro de la inconstitucionalidad del art. 2 del Real Decreto-ley 20/2012. Por ello, concluye el Juzgado promotor de la cuestión, en el caso examinado, al devengarse la paga extra de diciembre de 2012 en los seis meses inmediatos anteriores al mes de diciembre de 2012, a la fecha de entrada en vigor del Real Decreto-Ley 20/2012 (15 de julio de 2012) ya se había devengado y generado el derecho a la parte proporcional a un mes y catorce días de trabajo, que, sin embargo y sin matices, el art. 2 del Real Decreto-ley 20/2012 directamente suprime, operando una retroactividad auténtica o de grado máximo.</w:t>
      </w:r>
    </w:p>
    <w:p w:rsidR="00AC56D6" w:rsidRDefault="00AC56D6" w:rsidP="00AC56D6">
      <w:pPr>
        <w:pStyle w:val="TextoNormal"/>
      </w:pPr>
    </w:p>
    <w:p w:rsidR="00AC56D6" w:rsidRDefault="00AC56D6" w:rsidP="00AC56D6">
      <w:pPr>
        <w:pStyle w:val="TextoNormal"/>
      </w:pPr>
      <w:r>
        <w:t>c) Añade a lo anterior el Juzgado promotor de la cuestión que la pretensión de reducir el gasto público, por muy urgente y necesaria que sea, no constituye sin más un bien común que abra la puerta a exceptuar los básicos principios constitucionales de irretroactividad y seguridad jurídica; principios constitucionales que sí cabe identificar, en cambio, con el interés general de los ciudadanos. Dado que los salarios y las pagas extraordinarias se han seguido abonando tras el mes de diciembre de 2012, queda en entredicho que el interés general sustentado en la crítica situación económica de nuestro país requiriera una supresión de derechos de carácter retroactivo, violentando el principio constitucional en esta materia.</w:t>
      </w:r>
    </w:p>
    <w:p w:rsidR="00AC56D6" w:rsidRDefault="00AC56D6" w:rsidP="00AC56D6">
      <w:pPr>
        <w:pStyle w:val="TextoNormal"/>
      </w:pPr>
    </w:p>
    <w:p w:rsidR="00AC56D6" w:rsidRDefault="00AC56D6" w:rsidP="00AC56D6">
      <w:pPr>
        <w:pStyle w:val="TextoNormal"/>
      </w:pPr>
      <w:r>
        <w:lastRenderedPageBreak/>
        <w:t>d) El Auto acuerda el planteamiento de la cuestión de inconstitucionalidad indicando que el precepto cuestionado es directamente aplicable al caso y el fallo depende de su validez, tras constatar que el art. 2 del Real Decreto-ley 20/2012 establece la supresión de la paga extraordinaria de diciembre de 2012 para los funcionarios públicos, sin introducir excepción alguna respecto de las cuantías ya devengadas al momento de su entrada en vigor, por lo que podría vulnerar el principio de irretroactividad de las disposiciones restrictivas de derechos individuales (art. 9.3 CE).</w:t>
      </w:r>
    </w:p>
    <w:p w:rsidR="00AC56D6" w:rsidRDefault="00AC56D6" w:rsidP="00AC56D6">
      <w:pPr>
        <w:pStyle w:val="TextoNormal"/>
      </w:pPr>
    </w:p>
    <w:p w:rsidR="00AC56D6" w:rsidRDefault="00AC56D6" w:rsidP="00AC56D6">
      <w:pPr>
        <w:pStyle w:val="TextoNormal"/>
      </w:pPr>
      <w:r w:rsidRPr="00AC56D6">
        <w:rPr>
          <w:rStyle w:val="NumeroAFNegritaCaracter"/>
        </w:rPr>
        <w:t>4</w:t>
      </w:r>
      <w:r>
        <w:t>. El Pleno de este Tribunal, a propuesta de la Sección Primera, acordó admitir a trámite la cuestión mediante providencia de 17 de diciembre de 2013; deferir a la Sala Primera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Central de lo Contencioso-Administrativo núm. 10 de Madrid, a fin de que, de conformidad con lo dispuesto en el art. 35 LOTC, permaneciese suspendido el proceso hasta que este Tribunal resolviese efectivamente la cuestión; y publicar la incoación de la cuestión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El Abogado del Estado, mediante escrito de alegaciones registrado el 10 de enero de 2014, se personó interesando la desestimación de la cuestión de inconstitucionalidad por las razones que, resumidamente, se exponen a continuación.</w:t>
      </w:r>
    </w:p>
    <w:p w:rsidR="00AC56D6" w:rsidRDefault="00AC56D6" w:rsidP="00AC56D6">
      <w:pPr>
        <w:pStyle w:val="TextoNormal"/>
      </w:pPr>
    </w:p>
    <w:p w:rsidR="00AC56D6" w:rsidRDefault="00AC56D6" w:rsidP="00AC56D6">
      <w:pPr>
        <w:pStyle w:val="TextoNormal"/>
      </w:pPr>
      <w:r>
        <w:t>Comienza señalando que aunque el Auto de planteamiento cuestiona la totalidad del extenso art. 2 del Real Decreto-ley 20/2012, sin embargo se refiere en realidad solo al apartado 2.2 del art. 2, es decir, a la aplicación de la supresión de la paga extraordinaria de diciembre al personal de las Administraciones públicas.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00AC56D6" w:rsidRDefault="00AC56D6" w:rsidP="00AC56D6">
      <w:pPr>
        <w:pStyle w:val="TextoNormal"/>
      </w:pPr>
    </w:p>
    <w:p w:rsidR="00AC56D6" w:rsidRDefault="00AC56D6" w:rsidP="00AC56D6">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AC56D6" w:rsidRDefault="00AC56D6" w:rsidP="00AC56D6">
      <w:pPr>
        <w:pStyle w:val="TextoNormal"/>
      </w:pPr>
    </w:p>
    <w:p w:rsidR="00AC56D6" w:rsidRDefault="00AC56D6" w:rsidP="00AC56D6">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00AC56D6" w:rsidRDefault="00AC56D6" w:rsidP="00AC56D6">
      <w:pPr>
        <w:pStyle w:val="TextoNormal"/>
      </w:pPr>
    </w:p>
    <w:p w:rsidR="00AC56D6" w:rsidRDefault="00AC56D6" w:rsidP="00AC56D6">
      <w:pPr>
        <w:pStyle w:val="TextoNormal"/>
      </w:pPr>
      <w:r>
        <w:t>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00AC56D6" w:rsidRDefault="00AC56D6" w:rsidP="00AC56D6">
      <w:pPr>
        <w:pStyle w:val="TextoNormal"/>
      </w:pPr>
    </w:p>
    <w:p w:rsidR="00AC56D6" w:rsidRDefault="00AC56D6" w:rsidP="00AC56D6">
      <w:pPr>
        <w:pStyle w:val="TextoNormal"/>
      </w:pPr>
      <w:r>
        <w:t xml:space="preserve">Seguidamente sostiene el Abogado del Estado que aún en el caso de que se considerase que la norma supone una retroactividad auténtica, concurrirían excepcionales circunstancias </w:t>
      </w:r>
      <w:r>
        <w:lastRenderedPageBreak/>
        <w:t>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AC56D6" w:rsidRDefault="00AC56D6" w:rsidP="00AC56D6">
      <w:pPr>
        <w:pStyle w:val="TextoNormal"/>
      </w:pPr>
    </w:p>
    <w:p w:rsidR="00AC56D6" w:rsidRDefault="00AC56D6" w:rsidP="00AC56D6">
      <w:pPr>
        <w:pStyle w:val="TextoNormal"/>
      </w:pPr>
      <w:r>
        <w:t>Por todo ello, se interesa la desestimación de la cuestión.</w:t>
      </w:r>
    </w:p>
    <w:p w:rsidR="00AC56D6" w:rsidRDefault="00AC56D6" w:rsidP="00AC56D6">
      <w:pPr>
        <w:pStyle w:val="TextoNormal"/>
      </w:pPr>
    </w:p>
    <w:p w:rsidR="00AC56D6" w:rsidRDefault="00AC56D6" w:rsidP="00AC56D6">
      <w:pPr>
        <w:pStyle w:val="TextoNormal"/>
      </w:pPr>
      <w:r w:rsidRPr="00AC56D6">
        <w:rPr>
          <w:rStyle w:val="NumeroAFNegritaCaracter"/>
        </w:rPr>
        <w:t>6</w:t>
      </w:r>
      <w:r>
        <w:t>. Por escrito registrado el 15 de enero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AC56D6" w:rsidRDefault="00AC56D6" w:rsidP="00AC56D6">
      <w:pPr>
        <w:pStyle w:val="TextoNormal"/>
      </w:pPr>
    </w:p>
    <w:p w:rsidR="00AC56D6" w:rsidRDefault="00AC56D6" w:rsidP="00AC56D6">
      <w:pPr>
        <w:pStyle w:val="TextoNormal"/>
      </w:pPr>
      <w:r w:rsidRPr="00AC56D6">
        <w:rPr>
          <w:rStyle w:val="NumeroAFNegritaCaracter"/>
        </w:rPr>
        <w:t>7</w:t>
      </w:r>
      <w:r>
        <w:t>. El Fiscal General del Estado presentó escrito de alegaciones ante este Tribunal el 30 de enero de 2014 interesando la estimación de la presente cuestión de inconstitucionalidad.</w:t>
      </w:r>
    </w:p>
    <w:p w:rsidR="00AC56D6" w:rsidRDefault="00AC56D6" w:rsidP="00AC56D6">
      <w:pPr>
        <w:pStyle w:val="TextoNormal"/>
      </w:pPr>
    </w:p>
    <w:p w:rsidR="00AC56D6" w:rsidRDefault="00AC56D6" w:rsidP="00AC56D6">
      <w:pPr>
        <w:pStyle w:val="TextoNormal"/>
      </w:pPr>
      <w:r>
        <w:t>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AC56D6" w:rsidRDefault="00AC56D6" w:rsidP="00AC56D6">
      <w:pPr>
        <w:pStyle w:val="TextoNormal"/>
      </w:pPr>
    </w:p>
    <w:p w:rsidR="00AC56D6" w:rsidRDefault="00AC56D6" w:rsidP="00AC56D6">
      <w:pPr>
        <w:pStyle w:val="TextoNormal"/>
      </w:pPr>
      <w:r>
        <w:lastRenderedPageBreak/>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w:t>
      </w:r>
      <w:r w:rsidRPr="00AC56D6">
        <w:rPr>
          <w:i/>
        </w:rPr>
        <w:t>N.K.M. v.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t xml:space="preserve">El Fiscal General del Estado concluye sus alegaciones precisando que en el Auto de planteamiento no se cuestiona todo el art. 2 Real Decreto-ley 20/2012 sino en concreto, sus apartados 2.1 y 2.2.1 ya que éstos son los que resultan aplicables para resolver el pleito sometido a su conocimiento y relevante en cuánto el recurso del proceso subyacente se refiere exclusivamente al personal funcionario o estatutario. Asimismo, en cuanto a los efectos </w:t>
      </w:r>
      <w:r>
        <w:lastRenderedPageBreak/>
        <w:t>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 en tanto, con respecto a los funcionarios la paga extraordinaria correspondiente al mes de diciembre se comienza a devengar en la fecha de 1 de junio de tal período.</w:t>
      </w:r>
    </w:p>
    <w:p w:rsidR="00AC56D6" w:rsidRDefault="00AC56D6" w:rsidP="00AC56D6">
      <w:pPr>
        <w:pStyle w:val="TextoNormal"/>
      </w:pPr>
    </w:p>
    <w:p w:rsidR="00AC56D6" w:rsidRDefault="00AC56D6" w:rsidP="00AC56D6">
      <w:pPr>
        <w:pStyle w:val="TextoNormal"/>
      </w:pPr>
      <w:r w:rsidRPr="00AC56D6">
        <w:rPr>
          <w:rStyle w:val="NumeroAFNegritaCaracter"/>
        </w:rPr>
        <w:t>8</w:t>
      </w:r>
      <w:r>
        <w:t>. Mediante escrito registrado el 6 de febrero de 2014, el Presidente del Senado comunicó a este Tribunal el acuerdo de la mesa para que se diera por personada a la Cámara y por ofrecida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9</w:t>
      </w:r>
      <w:r>
        <w:t>. Por providencia de 1 de octubre de 2015 se señaló para deliberación y votación de la presente Sentencia el día 5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Juzgado Central de lo Contencioso-Administrativo núm. 10 de Madrid plantea cuestión de inconstitucionalidad respecto del art. 2 del Real Decreto-ley 20/2012, de 13 de julio, de medidas para garantizar la estabilidad presupuestaria y de fomento de la competitividad. El art. 2, en lo que aquí importa, dispone para el personal funcionario, la supresión de la paga extraordinaria y de la paga adicional de complemento específico o pagas adicionales equivalentes del mes de diciembre de 2012. En síntesis, el Juzgado entiende que el citado precepto, en su aplicación al personal funcionario, pueden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1de junio al 14 de julio de 2012).</w:t>
      </w:r>
    </w:p>
    <w:p w:rsidR="00AC56D6" w:rsidRDefault="00AC56D6" w:rsidP="00AC56D6">
      <w:pPr>
        <w:pStyle w:val="TextoNormal"/>
      </w:pPr>
    </w:p>
    <w:p w:rsidR="00AC56D6" w:rsidRDefault="00AC56D6" w:rsidP="00AC56D6">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al análisis de la cuestión planteada conviene realizar una serie de precisiones para acotar debidamente el objeto de la misma y el alcance de nuestro enjuiciamiento.</w:t>
      </w:r>
    </w:p>
    <w:p w:rsidR="00AC56D6" w:rsidRDefault="00AC56D6" w:rsidP="00AC56D6">
      <w:pPr>
        <w:pStyle w:val="TextoNormal"/>
      </w:pPr>
    </w:p>
    <w:p w:rsidR="00AC56D6" w:rsidRDefault="00AC56D6" w:rsidP="00AC56D6">
      <w:pPr>
        <w:pStyle w:val="TextoNormal"/>
      </w:pPr>
      <w:r>
        <w:t xml:space="preserve">a) Así, en primer lugar, resulta obligado advertir, en consonancia con lo manifestado en sus alegaciones respectivas por el Fiscal General del Estado y el Abogado del Estado, que si bien el Juzgado Central de lo Contencioso-Administrativo núm. 10 de Madrid plantea la cuestión de inconstitucionalidad respecto del art. 2 Real Decreto-ley 20/2012 en su integridad, lo cierto es que de los razonamientos que se contienen en el Auto de planteamiento se infiere sin dificultad que no se cuestiona todo el precepto sino solo “en su aplicación a los funcionarios públicos” (como se precisa expresamente en la parte dispositiva del Auto). Ello se conecta lógicamente con el juicio de relevancia, correctamente expresado por el órgano judicial, pues la cuestión de inconstitucionalidad trae causa de un proceso promovido por </w:t>
      </w:r>
      <w:r>
        <w:lastRenderedPageBreak/>
        <w:t>seis funcionarios del Cuerpo Nacional de Policía con motivo de la supresión, por aplicación de las previsiones contenidas en el Real Decreto-ley 20/2012, de la paga o gratificación extraordinaria de diciembre de 2012, proceso en el que lo pretendido por los demandantes es justamente que se declare su derecho a percibir la parte proporcional de la paga extra de diciembre de 2012 que consideran ya devengada al momento de la entrada en vigor del Real Decreto-ley 20/2012, porque, de acuerdo con el art. 9.3 CE, no cabe que la supresión de esa paga extra por el Real Decreto-ley 20/2012 tenga efectos retroactivos.</w:t>
      </w:r>
    </w:p>
    <w:p w:rsidR="00AC56D6" w:rsidRDefault="00AC56D6" w:rsidP="00AC56D6">
      <w:pPr>
        <w:pStyle w:val="TextoNormal"/>
      </w:pPr>
    </w:p>
    <w:p w:rsidR="00AC56D6" w:rsidRDefault="00AC56D6" w:rsidP="00AC56D6">
      <w:pPr>
        <w:pStyle w:val="TextoNormal"/>
      </w:pPr>
      <w:r>
        <w:t>De este modo, en los términos que ha sido planteada, la presente cuestión de inconstitucionalidad debe entenderse referida al apartado 1 del art. 2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2.2.1 de dicho art. 2 que se refiere en concreto al personal funcionario.</w:t>
      </w:r>
    </w:p>
    <w:p w:rsidR="00AC56D6" w:rsidRDefault="00AC56D6" w:rsidP="00AC56D6">
      <w:pPr>
        <w:pStyle w:val="TextoNormal"/>
      </w:pPr>
    </w:p>
    <w:p w:rsidR="00AC56D6" w:rsidRDefault="00AC56D6" w:rsidP="00AC56D6">
      <w:pPr>
        <w:pStyle w:val="TextoNormal"/>
      </w:pPr>
      <w:r>
        <w:t>b) Por otra parte debe tenerse en cuenta que no se cuestiona por el Juzgado Central de lo Contencioso-Administrativo núm. 10 de Madrid la medida de supresión de la paga extraordinaria de diciembre de 2012 en sí misma considerada, sino solo en cuanto su aplicación haya podido suponer la infracción del principio de irretroactividad establecido en el 9.3 CE, al no contemplar excepción alguna respecto de las cuantías que se entienden ya devengadas de dicha paga extra (en concreto, cuarenta y cuatro días correspondientes a los servicios prestados entre el 1 de junio de 2012 y el 14 de julio de 2012) a la fecha de entrada en vigor del Real Decreto-ley 20/2012 (que tuvo lugar el 15 de julio de 2012, conforme a su disposición final decimoquinta). A esta concreta duda de constitucionalidad deberá, pues, ceñirse nuestro enjuiciamiento.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Delimitado el alcance de nuestra decisión, debemos remitirnos a lo dicho recientemente en nuestra STC 83/2015, de 30 de abril sobre la posible pérdida de objeto de la cuestión de inconstitucionalidad, como consecuencia de lo establecido en la disposición adicional duodécima de la Ley 36/2014, de 26 de diciembre, de presupuestos generales del Estado para 2015, que bajo el epígrafe “Recuperación de la paga extraordinaria y adicional del mes de diciembre de 2012”, establece, en su apartado 1.I,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cuarenta y cuatro días de la paga extraordinaria suprimida, según establece en su apartado 1.2; y en su apartado segundo dispone las reglas para el abono de dichas cantidades al personal del sector público estatal, previsiones cuya aplicación efectiva se ha llevado a cabo en el ámbito del sector público estatal conforme a las instrucciones contenidas en la resolución conjunta de las Secretarías de Estado de Presupuestos y Gastos y de Administraciones Públicas de 29 de diciembre de 2014 (publicada en el “Boletín Oficial del Estado” de 2 de enero de 2015), en la que se precisa que “el reconocimiento del derecho a recuperar las cantidades dejadas de percibir se produce por imperativo de la propia Ley de Presupuestos Generales del Estado para 2015 y produce sus efectos a partir de este último año, por lo que todas las cantidades que se reconozcan en virtud de lo dispuesto en la disposición adicional constituyen percepciones correspondientes al ejercicio de 2015”.</w:t>
      </w:r>
    </w:p>
    <w:p w:rsidR="00AC56D6" w:rsidRDefault="00AC56D6" w:rsidP="00AC56D6">
      <w:pPr>
        <w:pStyle w:val="TextoNormal"/>
      </w:pPr>
    </w:p>
    <w:p w:rsidR="00AC56D6" w:rsidRDefault="00AC56D6" w:rsidP="00AC56D6">
      <w:pPr>
        <w:pStyle w:val="TextoNormal"/>
      </w:pPr>
      <w:r>
        <w:lastRenderedPageBreak/>
        <w:t xml:space="preserve">En el fundamento jurídico tercero,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era innegable la incidencia que tenía la medida contenida en la disposición adicional duodécima de la Ley 36/2014, de presupuestos generales del Estado para 2015 sobre la pretensión deducida en el pleito </w:t>
      </w:r>
      <w:r w:rsidRPr="00AC56D6">
        <w:rPr>
          <w:i/>
        </w:rPr>
        <w:t>a quo</w:t>
      </w:r>
      <w:r>
        <w:t>, “que afecta de modo determinante a la subsistencia del presente proceso constitucional, dada la estrecha vinculación existente entre toda cuestión de inconstitucionalidad y el procedimiento judicial de que dimana.”</w:t>
      </w:r>
    </w:p>
    <w:p w:rsidR="00AC56D6" w:rsidRDefault="00AC56D6" w:rsidP="00AC56D6">
      <w:pPr>
        <w:pStyle w:val="TextoNormal"/>
      </w:pPr>
    </w:p>
    <w:p w:rsidR="00AC56D6" w:rsidRDefault="00AC56D6" w:rsidP="00AC56D6">
      <w:pPr>
        <w:pStyle w:val="TextoNormal"/>
      </w:pPr>
      <w:r>
        <w:t>En la presente cuestión de inconstitucionalidad se plantea si la supresión del derecho de seis funcionarios del Cuerpo Nacional de Policía a percibir la parte proporcional (en concreto, 44 días) de la paga extra de diciembre de 2012, por entenderse ya devengada al momento de la entrada en vigor del Real Decreto-ley 20/2012, contraviene el art. 9.3 CE. En esos términos planteada la cuestión es obligado concluir como hicimos en la STC 83/2015 que “la recuperación por esos trabajadores de la parte proporcional correspondiente a los primeros 44 días de la paga extra de diciembre de 2012, en virtud de lo establecido en la citada disposición adicional duodécima de la Ley 36/2014, de Presupuestos Generales del Estado para 2015,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de 14 de abril, FJ 2; AATC 945/1985, de 19 de diciembre; 723/1986, de 18 de septiembre, y 485/2005, de 13 de diciembre).”</w:t>
      </w:r>
    </w:p>
    <w:p w:rsidR="00AC56D6" w:rsidRDefault="00AC56D6" w:rsidP="00AC56D6">
      <w:pPr>
        <w:pStyle w:val="TextoNormal"/>
      </w:pPr>
    </w:p>
    <w:p w:rsidR="00AC56D6" w:rsidRDefault="00AC56D6" w:rsidP="00AC56D6">
      <w:pPr>
        <w:pStyle w:val="TextoNormal"/>
      </w:pPr>
      <w:r>
        <w:t>Conforme a lo expuesto, la regulación contenida en la citada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Declarar la extinción de la presente cuestión de inconstitucionalidad por desaparición sobrevenida de su objeto.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cinco de octubre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63" w:name="SENTENCIA_2015_207"/>
      <w:r>
        <w:lastRenderedPageBreak/>
        <w:t>SENTENCIA 207/2015, de 5 de octubre de 2015</w:t>
      </w:r>
    </w:p>
    <w:bookmarkEnd w:id="63"/>
    <w:p w:rsidR="00AC56D6" w:rsidRDefault="00AC56D6" w:rsidP="00AC56D6">
      <w:pPr>
        <w:pStyle w:val="TtuloResolucin"/>
      </w:pPr>
      <w:r>
        <w:t>Sala Segunda</w:t>
      </w:r>
    </w:p>
    <w:p w:rsidR="00AC56D6" w:rsidRDefault="00AC56D6" w:rsidP="00AC56D6">
      <w:pPr>
        <w:pStyle w:val="TtuloBOE"/>
      </w:pPr>
      <w:r>
        <w:t>(BOE núm. 272, de 13 de noviembre de 2015)</w:t>
      </w:r>
    </w:p>
    <w:p w:rsidR="00AC56D6" w:rsidRDefault="00AC56D6" w:rsidP="00AC56D6">
      <w:pPr>
        <w:pStyle w:val="TextoNormalCentrado"/>
      </w:pPr>
      <w:r>
        <w:t>ECLI:ES:TC:2015:207</w:t>
      </w:r>
    </w:p>
    <w:p w:rsidR="00AC56D6" w:rsidRDefault="00AC56D6" w:rsidP="00AC56D6">
      <w:pPr>
        <w:pStyle w:val="TextoNormalCentrado"/>
      </w:pPr>
    </w:p>
    <w:p w:rsidR="00AC56D6" w:rsidRDefault="00AC56D6" w:rsidP="00AC56D6">
      <w:pPr>
        <w:pStyle w:val="SntesisDescriptiva"/>
      </w:pPr>
      <w:r>
        <w:t>Recurso de amparo 1250-2014. Promovido por don Oumar Fall respecto de las resoluciones dictadas por la Sala de lo Contencioso-Administrativo del Tribunal Superior de Justicia de Andalucía y un Juzgado de lo Contencioso-Administrativo de Málaga que inadmitieron su impugnación de la orden administrativa de expulsión del territorio nacional.</w:t>
      </w:r>
    </w:p>
    <w:p w:rsidR="00AC56D6" w:rsidRDefault="00AC56D6" w:rsidP="00AC56D6">
      <w:pPr>
        <w:pStyle w:val="SntesisDescriptiva"/>
      </w:pPr>
    </w:p>
    <w:p w:rsidR="00AC56D6" w:rsidRDefault="00AC56D6" w:rsidP="00AC56D6">
      <w:pPr>
        <w:pStyle w:val="SntesisAnaltica"/>
      </w:pPr>
      <w:r>
        <w:t>Vulneración del derecho a la tutela judicial efectiva (acceso a la justicia): inadmisión de recurso contencioso-administrativo por falta de apoderamiento del procurador que había sido designado de oficio.</w:t>
      </w:r>
    </w:p>
    <w:p w:rsidR="00AC56D6" w:rsidRDefault="00AC56D6" w:rsidP="00AC56D6">
      <w:pPr>
        <w:pStyle w:val="SntesisAnaltica"/>
      </w:pPr>
    </w:p>
    <w:p w:rsidR="00AC56D6" w:rsidRDefault="00AC56D6" w:rsidP="00AC56D6">
      <w:pPr>
        <w:pStyle w:val="Extracto"/>
      </w:pPr>
      <w:r>
        <w:t>1.</w:t>
      </w:r>
      <w:r>
        <w:tab/>
        <w:t>Se vulneró el derecho a la tutela judicial efectiva del demandante, en su vertiente de acceso a la jurisdicción, puesto que la normativa declarada aplicable no fue debidamente utilizada en el planteamiento del supuesto de hecho y se interpretaron las normas procesales de forma excesivamente formalista y desproporcionada atendidas las circunstancias del caso; siendo que el acceso a la jurisdicción se concreta en el derecho a ser parte en un proceso para poder promover la actividad jurisdiccional que desemboque en una decisión judicial sobre las pretensiones deducidas (STC 182/2008) [FFJJ 2 y 5].</w:t>
      </w:r>
    </w:p>
    <w:p w:rsidR="00AC56D6" w:rsidRDefault="00AC56D6" w:rsidP="00AC56D6">
      <w:pPr>
        <w:pStyle w:val="Extracto"/>
      </w:pPr>
    </w:p>
    <w:p w:rsidR="00AC56D6" w:rsidRDefault="00AC56D6" w:rsidP="00AC56D6">
      <w:pPr>
        <w:pStyle w:val="Extracto"/>
      </w:pPr>
      <w:r>
        <w:t>2.</w:t>
      </w:r>
      <w:r>
        <w:tab/>
        <w:t>Conforme a la doctrina, constituye una exigencia constitucional que el órgano judicial favorezca la corrección de los defectos observados y que puedan ser reparados garantizando, en lo posible, su subsanación (SSTC 65/1993, 16/1999)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amparo núm. 1250-2014, promovido por don Oumar Fall, representado por el Procurador de los Tribunales don Enrique Auberson Quintana-Lacaci y asistido por el Abogado don Óscar Encinas Fernández, contra el Auto de fecha 13 de enero de 2014 dictado por la Sala de lo Contencioso-Administrativo del Tribunal Superior de Justicia de Andalucía (con sede en Málaga), en recurso núm. 7-2013, que desestima el recurso de queja contra el Auto de fecha 19 de septiembre de 2013 del Juzgado de lo Contencioso-Adminis</w:t>
      </w:r>
      <w:r>
        <w:lastRenderedPageBreak/>
        <w:t>trativo núm. 3 de Málaga, en procedimiento abreviado núm. 107-2013, que, a su vez, inadmitía el recurso de apelación contra el Auto de archivo del procedimiento de fecha 10 de junio de 2013. Ha comparecido el Abogado del Estado. Ha intervenido el Ministerio Fiscal. Ha sido Ponente el Magistrado don Juan José González Rivas,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registrado en este Tribunal el 24 de junio de 2014, el Procurador de los Tribunales don Enrique Auberson Quintana-Lacaci, en nombre y representación de don Oumar Fall y bajo la dirección del Abogado don Óscar Encinas Fernández, interpuso recurso de amparo contra la resolución referida en el encabezamiento.</w:t>
      </w:r>
    </w:p>
    <w:p w:rsidR="00AC56D6" w:rsidRDefault="00AC56D6" w:rsidP="00AC56D6">
      <w:pPr>
        <w:pStyle w:val="TextoNormal"/>
      </w:pPr>
    </w:p>
    <w:p w:rsidR="00AC56D6" w:rsidRDefault="00AC56D6" w:rsidP="00AC56D6">
      <w:pPr>
        <w:pStyle w:val="TextoNormal"/>
      </w:pPr>
      <w:r w:rsidRPr="00AC56D6">
        <w:rPr>
          <w:rStyle w:val="NumeroAFNegritaCaracter"/>
        </w:rPr>
        <w:t>2</w:t>
      </w:r>
      <w:r>
        <w:t>. Los hechos en que se fundamenta la demanda de amparo son, sucintamente expuestos, los siguientes:</w:t>
      </w:r>
    </w:p>
    <w:p w:rsidR="00AC56D6" w:rsidRDefault="00AC56D6" w:rsidP="00AC56D6">
      <w:pPr>
        <w:pStyle w:val="TextoNormal"/>
      </w:pPr>
    </w:p>
    <w:p w:rsidR="00AC56D6" w:rsidRDefault="00AC56D6" w:rsidP="00AC56D6">
      <w:pPr>
        <w:pStyle w:val="TextoNormal"/>
      </w:pPr>
      <w:r>
        <w:t>a) Mediante resolución de la Subdelegación de Gobierno de Málaga de 26 de febrero de 2013, fue decretada la expulsión del territorio nacional de Oumar Fall con prohibición de entrada en España y en el territorio Schengen por un periodo de diez años. Dicha resolución fue dictada en el expediente núm. 290020130002093 incoado al demandante por carecer de documentación y haber sido condenado en el procedimiento núm. 32-2012 de la Sección Novena de la Audiencia Provincial de Málaga, a la pena privativa de libertad de cuatro años y un mes por un delito contra la libertad sexual.</w:t>
      </w:r>
    </w:p>
    <w:p w:rsidR="00AC56D6" w:rsidRDefault="00AC56D6" w:rsidP="00AC56D6">
      <w:pPr>
        <w:pStyle w:val="TextoNormal"/>
      </w:pPr>
    </w:p>
    <w:p w:rsidR="00AC56D6" w:rsidRDefault="00AC56D6" w:rsidP="00AC56D6">
      <w:pPr>
        <w:pStyle w:val="TextoNormal"/>
      </w:pPr>
      <w:r>
        <w:t>b) Con fecha 22 de marzo de 2013, la Letrada designada en la vía administrativa para el procedimiento de expulsión interpuso recurso contencioso-administrativo contra la resolución reseñada, lo que dio lugar a la incoación del procedimiento abreviado núm. 107-2013 ante el Juzgado de lo Contencioso-Administrativo núm. 3 de Málaga.</w:t>
      </w:r>
    </w:p>
    <w:p w:rsidR="00AC56D6" w:rsidRDefault="00AC56D6" w:rsidP="00AC56D6">
      <w:pPr>
        <w:pStyle w:val="TextoNormal"/>
      </w:pPr>
    </w:p>
    <w:p w:rsidR="00AC56D6" w:rsidRDefault="00AC56D6" w:rsidP="00AC56D6">
      <w:pPr>
        <w:pStyle w:val="TextoNormal"/>
      </w:pPr>
      <w:r>
        <w:t xml:space="preserve">c) Mediante diligencia de ordenación de fecha 1 de abril de 2013, la Secretaria Judicial del órgano reseñado acordó requerir a la Abogada para que en el plazo de diez días acreditase la representación del recurrente mediante original de la escritura de poder para pleitos u otorgase apoderamiento </w:t>
      </w:r>
      <w:r w:rsidRPr="00AC56D6">
        <w:rPr>
          <w:i/>
        </w:rPr>
        <w:t>apud acta</w:t>
      </w:r>
      <w:r>
        <w:t xml:space="preserve"> ante el Secretario Judicial, aportase copias del escrito y documentos presentados, así como el modelo 696 de tasa judicial.</w:t>
      </w:r>
    </w:p>
    <w:p w:rsidR="00AC56D6" w:rsidRDefault="00AC56D6" w:rsidP="00AC56D6">
      <w:pPr>
        <w:pStyle w:val="TextoNormal"/>
      </w:pPr>
    </w:p>
    <w:p w:rsidR="00AC56D6" w:rsidRDefault="00AC56D6" w:rsidP="00AC56D6">
      <w:pPr>
        <w:pStyle w:val="TextoNormal"/>
      </w:pPr>
      <w:r>
        <w:t>d) El 9 de mayo de 2013, en respuesta a dicha diligencia, se presentó escrito de fecha 7 de mayo, firmado por Procurador y por la Letrada actuante en el expediente, en el que alegó que Oumar Fall se hallaba exento de la tasa judicial por habérsele reconocido el derecho a la asistencia jurídica gratuita, y que, habiéndose aportado como documento 1 la designación de oficio realizada por el Colegio de Procuradores de Málaga, estaba efectuada la representación al Procurador que era el mismo que suscribía el escrito.</w:t>
      </w:r>
    </w:p>
    <w:p w:rsidR="00AC56D6" w:rsidRDefault="00AC56D6" w:rsidP="00AC56D6">
      <w:pPr>
        <w:pStyle w:val="TextoNormal"/>
      </w:pPr>
    </w:p>
    <w:p w:rsidR="00AC56D6" w:rsidRDefault="00AC56D6" w:rsidP="00AC56D6">
      <w:pPr>
        <w:pStyle w:val="TextoNormal"/>
      </w:pPr>
      <w:r>
        <w:t>A dicho escrito acompañó asimismo comunicación de fecha 1 de abril de 2013, dirigida a la Letrada actuante, de su designación por el Colegio de Abogados de Málaga para la defensa de oficio del demandante; y —como documento núm. 3— resolución de reconocimiento al mismo del derecho a la asistencia jurídica gratuita de fecha 26 de abril de 2013.</w:t>
      </w:r>
    </w:p>
    <w:p w:rsidR="00AC56D6" w:rsidRDefault="00AC56D6" w:rsidP="00AC56D6">
      <w:pPr>
        <w:pStyle w:val="TextoNormal"/>
      </w:pPr>
    </w:p>
    <w:p w:rsidR="00AC56D6" w:rsidRDefault="00AC56D6" w:rsidP="00AC56D6">
      <w:pPr>
        <w:pStyle w:val="TextoNormal"/>
      </w:pPr>
      <w:r>
        <w:lastRenderedPageBreak/>
        <w:t xml:space="preserve">e) Por diligencia de ordenación de fecha 13 de mayo de 2013, la Secretaria Judicial del Juzgado de lo Contencioso-Administrativo núm. 3 de Málaga, acordó requerir de nuevo a la Abogada actuante para que, en el plazo de diez días, acreditase la representación del recurrente aportando original de la escritura de poder para pleitos o apoderamiento </w:t>
      </w:r>
      <w:r w:rsidRPr="00AC56D6">
        <w:rPr>
          <w:i/>
        </w:rPr>
        <w:t>apud acta</w:t>
      </w:r>
      <w:r>
        <w:t xml:space="preserve"> ante Secretario Judicial, y para que presentase copias del escrito de fecha 7 de mayo de 2013 y documentos acompañados.</w:t>
      </w:r>
    </w:p>
    <w:p w:rsidR="00AC56D6" w:rsidRDefault="00AC56D6" w:rsidP="00AC56D6">
      <w:pPr>
        <w:pStyle w:val="TextoNormal"/>
      </w:pPr>
    </w:p>
    <w:p w:rsidR="00AC56D6" w:rsidRDefault="00AC56D6" w:rsidP="00AC56D6">
      <w:pPr>
        <w:pStyle w:val="TextoNormal"/>
      </w:pPr>
      <w:r>
        <w:t>f) Con fecha 24 de mayo de 2013 se presentó escrito de fecha 22 anterior, firmado por el Procurador y Abogada designados, en el que, en relación a la acreditación de la representación del recurrente, se manifestaba literalmente “que se le ha designado de oficio para su representación al Procurador que suscribe, actuando en virtud de tal designación, dado que don Oumar Fall solicitó la asistencia jurídica gratuita y goza del beneficio de justicia gratuita interesado por resolución de la Comisión de Asistencia Jurídica Gratuita de Málaga que le reconoce tal prestación, por lo tanto siendo el recurrente titular del beneficio de justicia gratuita el medio idóneo para acreditar la representación es la designación de oficio emitida por el Colegio de Procuradores de Málaga y confirmada por la Comisión de Asistencia Jurídica Gratuita, siendo conforme a derecho la representación otorgada y debiéndose tener por personado y parte el Procurador en virtud de la designación del turno de oficio”.</w:t>
      </w:r>
    </w:p>
    <w:p w:rsidR="00AC56D6" w:rsidRDefault="00AC56D6" w:rsidP="00AC56D6">
      <w:pPr>
        <w:pStyle w:val="TextoNormal"/>
      </w:pPr>
    </w:p>
    <w:p w:rsidR="00AC56D6" w:rsidRDefault="00AC56D6" w:rsidP="00AC56D6">
      <w:pPr>
        <w:pStyle w:val="TextoNormal"/>
      </w:pPr>
      <w:r>
        <w:t>g) Previa diligencia de la Secretaria Judicial haciendo constar el transcurso del plazo de diez días concedido sin verificarse la subsanación, mediante Auto de fecha 10 de junio de 2013, el Juzgado de lo Contencioso-Administrativo núm. 3 de Málaga inadmitió el recurso contencioso-administrativo y acordó el archivo de las actuaciones, por no haberse subsanado los defectos advertidos ni haber alegado la parte nada sobre las circunstancias que se lo puedan haber impedido.</w:t>
      </w:r>
    </w:p>
    <w:p w:rsidR="00AC56D6" w:rsidRDefault="00AC56D6" w:rsidP="00AC56D6">
      <w:pPr>
        <w:pStyle w:val="TextoNormal"/>
      </w:pPr>
    </w:p>
    <w:p w:rsidR="00AC56D6" w:rsidRDefault="00AC56D6" w:rsidP="00AC56D6">
      <w:pPr>
        <w:pStyle w:val="TextoNormal"/>
      </w:pPr>
      <w:r>
        <w:t>h) Contra dicha resolución de inadmisión se interpuso recurso de apelación en fecha 19 de julio de 2013, mediante escrito suscrito por el Procurador y Letrada designados, en el que se alegaba vulneración del derecho a la tutela judicial efectiva y del derecho de defensa. En el mismo destacaba que el recurrente tenía reconocida la representación por Procurador al estar interno en el centro penitenciario de Alhaurín de la Torre, en virtud de la resolución de la Comisión de Asistencia Jurídica Gratuita de Málaga que le reconoce tal prestación, teniendo acreditada por tanto su representación mediante la designación de oficio emitida por el Colegio de Procuradores de Málaga.</w:t>
      </w:r>
    </w:p>
    <w:p w:rsidR="00AC56D6" w:rsidRDefault="00AC56D6" w:rsidP="00AC56D6">
      <w:pPr>
        <w:pStyle w:val="TextoNormal"/>
      </w:pPr>
    </w:p>
    <w:p w:rsidR="00AC56D6" w:rsidRDefault="00AC56D6" w:rsidP="00AC56D6">
      <w:pPr>
        <w:pStyle w:val="TextoNormal"/>
      </w:pPr>
      <w:r>
        <w:t>i) Con fecha 19 de septiembre de 2013, el Juzgado de lo Contencioso-Administrativo núm. 3 de Málaga dictó Auto de fecha 19 de septiembre de 2013 por el que se acordó inadmitir el recurso de apelación planteado por falta de acreditación de la representación procesal de don Oumar Fall, en favor de la Letrada actuante.</w:t>
      </w:r>
    </w:p>
    <w:p w:rsidR="00AC56D6" w:rsidRDefault="00AC56D6" w:rsidP="00AC56D6">
      <w:pPr>
        <w:pStyle w:val="TextoNormal"/>
      </w:pPr>
    </w:p>
    <w:p w:rsidR="00AC56D6" w:rsidRDefault="00AC56D6" w:rsidP="00AC56D6">
      <w:pPr>
        <w:pStyle w:val="TextoNormal"/>
      </w:pPr>
      <w:r>
        <w:t xml:space="preserve">j) Contra dicho Auto fue interpuesto recurso de queja que fue desestimado por el Auto núm. 11/2014, de fecha 13 de enero, de la Sala de lo Contencioso-Administrativo del Tribunal Superior de Justicia de Andalucía (con sede en Málaga), con base en la improcedencia de extender a la vía judicial las designaciones de asistencia letrada hechas en comisaría por los extranjeros incursos en expedientes de expulsión del territorio nacional, cuando no consta en el recurso contencioso-administrativo otorgado apoderamiento alguno —notarial o </w:t>
      </w:r>
      <w:r w:rsidRPr="00AC56D6">
        <w:rPr>
          <w:i/>
        </w:rPr>
        <w:t>apud acta</w:t>
      </w:r>
      <w:r>
        <w:t>— de los que exige el ordenamiento para litigar.</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3</w:t>
      </w:r>
      <w:r>
        <w:t>. La parte recurrente aduce en su demanda de amparo que la resolución recurrida vulnera su derecho a la tutela judicial efectiva en su vertiente de acceso a la jurisdicción, reconocido en el art. 24.1 CE.</w:t>
      </w:r>
    </w:p>
    <w:p w:rsidR="00AC56D6" w:rsidRDefault="00AC56D6" w:rsidP="00AC56D6">
      <w:pPr>
        <w:pStyle w:val="TextoNormal"/>
      </w:pPr>
    </w:p>
    <w:p w:rsidR="00AC56D6" w:rsidRDefault="00AC56D6" w:rsidP="00AC56D6">
      <w:pPr>
        <w:pStyle w:val="TextoNormal"/>
      </w:pPr>
      <w:r>
        <w:t>Alega que el recurrente era beneficiario de justicia gratuita y otorgó representación a su Letrado en el procedimiento de expulsión, por lo que éste debe ser su representante ante el Juzgado toda vez que es un órgano unipersonal y el Abogado estaba designado tanto por el Colegio de Abogados, como por el propio recurrente en el procedimiento administrativo.</w:t>
      </w:r>
    </w:p>
    <w:p w:rsidR="00AC56D6" w:rsidRDefault="00AC56D6" w:rsidP="00AC56D6">
      <w:pPr>
        <w:pStyle w:val="TextoNormal"/>
      </w:pPr>
    </w:p>
    <w:p w:rsidR="00AC56D6" w:rsidRDefault="00AC56D6" w:rsidP="00AC56D6">
      <w:pPr>
        <w:pStyle w:val="TextoNormal"/>
      </w:pPr>
      <w:r>
        <w:t xml:space="preserve">Por otra parte, el demandante estaba privado de libertad, por lo que no podía otorgar apoderamiento </w:t>
      </w:r>
      <w:r w:rsidRPr="00AC56D6">
        <w:rPr>
          <w:i/>
        </w:rPr>
        <w:t>apud acta</w:t>
      </w:r>
      <w:r>
        <w:t xml:space="preserve"> o notarial y la decisión que se recurre es en exceso rigorista e incompatible con la efectividad del derecho a la tutela judicial efectiva, a lo que debe añadirse que se trata de una resolución sancionadora donde son aplicables, con matices, los principios del proceso penal.</w:t>
      </w:r>
    </w:p>
    <w:p w:rsidR="00AC56D6" w:rsidRDefault="00AC56D6" w:rsidP="00AC56D6">
      <w:pPr>
        <w:pStyle w:val="TextoNormal"/>
      </w:pPr>
    </w:p>
    <w:p w:rsidR="00AC56D6" w:rsidRDefault="00AC56D6" w:rsidP="00AC56D6">
      <w:pPr>
        <w:pStyle w:val="TextoNormal"/>
      </w:pPr>
      <w:r>
        <w:t>En definitiva, el Auto recurrido viene a inadmitir el recurso e impide obtener una decisión sobre el fondo, invocando el órgano judicial unos motivos que no se compaginan con el derecho a la tutela judicial efectiva, cuando el recurrente estaba privado de libertad y no podía subsanar los requisitos fijados por el órgano judicial, por lo que solicita el otorgamiento del amparo.</w:t>
      </w:r>
    </w:p>
    <w:p w:rsidR="00AC56D6" w:rsidRDefault="00AC56D6" w:rsidP="00AC56D6">
      <w:pPr>
        <w:pStyle w:val="TextoNormal"/>
      </w:pPr>
    </w:p>
    <w:p w:rsidR="00AC56D6" w:rsidRDefault="00AC56D6" w:rsidP="00AC56D6">
      <w:pPr>
        <w:pStyle w:val="TextoNormal"/>
      </w:pPr>
      <w:r>
        <w:t>Por medio de otrosí, solicitó como medida cautelar la suspensión cautelar de la ejecución de la expulsión administrativa en tanto se resuelve el amparo solicitado.</w:t>
      </w:r>
    </w:p>
    <w:p w:rsidR="00AC56D6" w:rsidRDefault="00AC56D6" w:rsidP="00AC56D6">
      <w:pPr>
        <w:pStyle w:val="TextoNormal"/>
      </w:pPr>
    </w:p>
    <w:p w:rsidR="00AC56D6" w:rsidRDefault="00AC56D6" w:rsidP="00AC56D6">
      <w:pPr>
        <w:pStyle w:val="TextoNormal"/>
      </w:pPr>
      <w:r w:rsidRPr="00AC56D6">
        <w:rPr>
          <w:rStyle w:val="NumeroAFNegritaCaracter"/>
        </w:rPr>
        <w:t>4</w:t>
      </w:r>
      <w:r>
        <w:t>. Mediante providencia de 14 de abril de 2015, la Sección Tercera de la Sala Segunda de este Tribunal acordó la admisión a trámite de la demanda de amparo presentada, apreciando como motivo de especial trascendencia constitucional que el recurso puede dar ocasión al Tribunal para aclarar o cambiar su doctrina, como consecuencia de un proceso de reflexión interna [STC 155/2009, FJ 2 b)].</w:t>
      </w:r>
    </w:p>
    <w:p w:rsidR="00AC56D6" w:rsidRDefault="00AC56D6" w:rsidP="00AC56D6">
      <w:pPr>
        <w:pStyle w:val="TextoNormal"/>
      </w:pPr>
    </w:p>
    <w:p w:rsidR="00AC56D6" w:rsidRDefault="00AC56D6" w:rsidP="00AC56D6">
      <w:pPr>
        <w:pStyle w:val="TextoNormal"/>
      </w:pPr>
      <w:r>
        <w:t>En la misma resolución, de conformidad con lo dispuesto en el art. 51 de la Ley Orgánica del Tribunal Constitucional (LOTC), se acordó dirigir atenta comunicación al Juzgado de lo Contencioso-Administrativo núm. 3 de Málaga, a fin de que remitieran certificación o copia adverada de las actuaciones y para que se procediera al emplazamiento de quienes hubieran sido parte en el proceso para que en el plazo de diez días pudieran comparecer en este proceso constitucional de amparo. Asimismo, se acordó formar pieza separada de suspensión que, una vez tramitada, fue estimada por Auto de fecha 25 de mayo de 2015.</w:t>
      </w:r>
    </w:p>
    <w:p w:rsidR="00AC56D6" w:rsidRDefault="00AC56D6" w:rsidP="00AC56D6">
      <w:pPr>
        <w:pStyle w:val="TextoNormal"/>
      </w:pPr>
    </w:p>
    <w:p w:rsidR="00AC56D6" w:rsidRDefault="00AC56D6" w:rsidP="00AC56D6">
      <w:pPr>
        <w:pStyle w:val="TextoNormal"/>
      </w:pPr>
      <w:r w:rsidRPr="00AC56D6">
        <w:rPr>
          <w:rStyle w:val="NumeroAFNegritaCaracter"/>
        </w:rPr>
        <w:t>5</w:t>
      </w:r>
      <w:r>
        <w:t>. Por diligencia de ordenación del Secretario de Justicia de la Sala Segunda de este Tribunal, de fecha 29 de mayo de 2015, se tuvo por personado al Abogado del Estado y se acordó, con arreglo al art. 52 LOTC, conceder al Ministerio Fiscal y a las partes personadas plazo común de veinte días para que, con vista de las actuaciones, formulasen alegaciones.</w:t>
      </w:r>
    </w:p>
    <w:p w:rsidR="00AC56D6" w:rsidRDefault="00AC56D6" w:rsidP="00AC56D6">
      <w:pPr>
        <w:pStyle w:val="TextoNormal"/>
      </w:pPr>
    </w:p>
    <w:p w:rsidR="00AC56D6" w:rsidRDefault="00AC56D6" w:rsidP="00AC56D6">
      <w:pPr>
        <w:pStyle w:val="TextoNormal"/>
      </w:pPr>
      <w:r w:rsidRPr="00AC56D6">
        <w:rPr>
          <w:rStyle w:val="NumeroAFNegritaCaracter"/>
        </w:rPr>
        <w:t>6</w:t>
      </w:r>
      <w:r>
        <w:t>. Con fecha 29 de junio de 2015, el Abogado del Estado presentó escrito de alegaciones en el que interesa la desestimación de la demanda de amparo.</w:t>
      </w:r>
    </w:p>
    <w:p w:rsidR="00AC56D6" w:rsidRDefault="00AC56D6" w:rsidP="00AC56D6">
      <w:pPr>
        <w:pStyle w:val="TextoNormal"/>
      </w:pPr>
    </w:p>
    <w:p w:rsidR="00AC56D6" w:rsidRDefault="00AC56D6" w:rsidP="00AC56D6">
      <w:pPr>
        <w:pStyle w:val="TextoNormal"/>
      </w:pPr>
      <w:r>
        <w:lastRenderedPageBreak/>
        <w:t>El Abogado del Estado alega que la cuestión de si la designación de oficio de los colegios profesionales es suficiente para acreditar la representación de oficio es una cuestión de legalidad ordinaria.</w:t>
      </w:r>
    </w:p>
    <w:p w:rsidR="00AC56D6" w:rsidRDefault="00AC56D6" w:rsidP="00AC56D6">
      <w:pPr>
        <w:pStyle w:val="TextoNormal"/>
      </w:pPr>
    </w:p>
    <w:p w:rsidR="00AC56D6" w:rsidRDefault="00AC56D6" w:rsidP="00AC56D6">
      <w:pPr>
        <w:pStyle w:val="TextoNormal"/>
      </w:pPr>
      <w:r>
        <w:t>Considera que a la hora de valorar si se vulnera o no el derecho de acceso al proceso, ha de tenerse en cuenta si ha habido posibilidad de subsanar y la actitud del recurrente. En este caso, el Juzgado de Málaga requirió en dos ocasiones para la subsanación del requisito de falta de representación procesal y el recurrente no intentó subsanar por entender que no era necesaria, pues la primera vez que alega su ingreso en prisión como impeditivo es en esta demanda de amparo.</w:t>
      </w:r>
    </w:p>
    <w:p w:rsidR="00AC56D6" w:rsidRDefault="00AC56D6" w:rsidP="00AC56D6">
      <w:pPr>
        <w:pStyle w:val="TextoNormal"/>
      </w:pPr>
    </w:p>
    <w:p w:rsidR="00AC56D6" w:rsidRDefault="00AC56D6" w:rsidP="00AC56D6">
      <w:pPr>
        <w:pStyle w:val="TextoNormal"/>
      </w:pPr>
      <w:r>
        <w:t>Concluye que no se ha producido vulneración del derecho a la tutela efectiva puesto que la aptitud del órgano judicial ha sido proporcionada y posibilitadora de la subsanación procesal, siendo que el recurrente ni siquiera la intentó, alegando que no era necesaria, y sin fundamentar ni probar la imposibilidad material del cumplimiento de dicho requisito procesal.</w:t>
      </w:r>
    </w:p>
    <w:p w:rsidR="00AC56D6" w:rsidRDefault="00AC56D6" w:rsidP="00AC56D6">
      <w:pPr>
        <w:pStyle w:val="TextoNormal"/>
      </w:pPr>
    </w:p>
    <w:p w:rsidR="00AC56D6" w:rsidRDefault="00AC56D6" w:rsidP="00AC56D6">
      <w:pPr>
        <w:pStyle w:val="TextoNormal"/>
      </w:pPr>
      <w:r w:rsidRPr="00AC56D6">
        <w:rPr>
          <w:rStyle w:val="NumeroAFNegritaCaracter"/>
        </w:rPr>
        <w:t>7</w:t>
      </w:r>
      <w:r>
        <w:t>. Con fecha 30 de junio de 2015 el demandante presentó alegaciones, ratificando las ya formuladas en su escrito de demanda de amparo constitucional.</w:t>
      </w:r>
    </w:p>
    <w:p w:rsidR="00AC56D6" w:rsidRDefault="00AC56D6" w:rsidP="00AC56D6">
      <w:pPr>
        <w:pStyle w:val="TextoNormal"/>
      </w:pPr>
    </w:p>
    <w:p w:rsidR="00AC56D6" w:rsidRDefault="00AC56D6" w:rsidP="00AC56D6">
      <w:pPr>
        <w:pStyle w:val="TextoNormal"/>
      </w:pPr>
      <w:r w:rsidRPr="00AC56D6">
        <w:rPr>
          <w:rStyle w:val="NumeroAFNegritaCaracter"/>
        </w:rPr>
        <w:t>8</w:t>
      </w:r>
      <w:r>
        <w:t>. Con fecha 3 de julio de 2015 el Ministerio Fiscal presentó su escrito de alegaciones, en el que se solicita la estimación del amparo por vulneración del derecho fundamental a la tutela judicial efectiva del art 24.1 CE, en su vertiente de acceso a la jurisdicción.</w:t>
      </w:r>
    </w:p>
    <w:p w:rsidR="00AC56D6" w:rsidRDefault="00AC56D6" w:rsidP="00AC56D6">
      <w:pPr>
        <w:pStyle w:val="TextoNormal"/>
      </w:pPr>
    </w:p>
    <w:p w:rsidR="00AC56D6" w:rsidRDefault="00AC56D6" w:rsidP="00AC56D6">
      <w:pPr>
        <w:pStyle w:val="TextoNormal"/>
      </w:pPr>
      <w:r>
        <w:t xml:space="preserve">Alega, en primer lugar, que el canon de constitucionalidad aplicable, en sede de acceso a la jurisdicción, ha de partir de la vigencia del principio </w:t>
      </w:r>
      <w:r w:rsidRPr="00AC56D6">
        <w:rPr>
          <w:i/>
        </w:rPr>
        <w:t>pro actione</w:t>
      </w:r>
      <w:r>
        <w:t xml:space="preserve"> que conduce a la interdicción de aquellas decisiones de inadmisión desproporcionadas.</w:t>
      </w:r>
    </w:p>
    <w:p w:rsidR="00AC56D6" w:rsidRDefault="00AC56D6" w:rsidP="00AC56D6">
      <w:pPr>
        <w:pStyle w:val="TextoNormal"/>
      </w:pPr>
    </w:p>
    <w:p w:rsidR="00AC56D6" w:rsidRDefault="00AC56D6" w:rsidP="00AC56D6">
      <w:pPr>
        <w:pStyle w:val="TextoNormal"/>
      </w:pPr>
      <w:r>
        <w:t xml:space="preserve">Considera que en este caso se ha producido vulneración del derecho a la tutela judicial efectiva en su vertiente de acceso a la jurisdicción, porque en términos generales sobre el género de supuestos de designación de Letrado en el expediente administrativo, la única interpretación acorde con la efectividad del derecho de acceso a la jurisdicción sea entender que de tal designación se desprende la asunción de la representación sin más por el mismo en el procedimiento judicial. También considera que existe vulneración porque en el presente caso se ha llegado a un entendimiento formalista, excesivamente riguroso, desproporcionado y no razonable de las normas aplicables que ha conducido a una consecuencia desproporcionada de cierre del proceso, con eliminación injustificada de la posibilidad de obtener una resolución sobre el fondo de la pretensión sometida al órgano judicial. Especialmente, no se han tenido en cuenta ni ponderado, estando claramente concernido el derecho fundamental reseñado de acceso a la jurisdicción (art. 24.1 CE), las circunstancias concurrentes en el caso que impedían de facto subsanar el déficit de postulación advertido por el órgano judicial y que exigían una actuación proactiva del Juzgado para garantizar debidamente el referido derecho fundamental del recurrente, pues asiste la razón a su representación procesal en la alegación de que su estancia en prisión y su carencia de medios económicos le impedían tanto poder acudir al Juzgado a apoderar </w:t>
      </w:r>
      <w:r w:rsidRPr="00AC56D6">
        <w:rPr>
          <w:i/>
        </w:rPr>
        <w:t>apud acta</w:t>
      </w:r>
      <w:r>
        <w:t>, como solicitar de un notario un otorgamiento de poder.</w:t>
      </w:r>
    </w:p>
    <w:p w:rsidR="00AC56D6" w:rsidRDefault="00AC56D6" w:rsidP="00AC56D6">
      <w:pPr>
        <w:pStyle w:val="TextoNormal"/>
      </w:pPr>
    </w:p>
    <w:p w:rsidR="00AC56D6" w:rsidRDefault="00AC56D6" w:rsidP="00AC56D6">
      <w:pPr>
        <w:pStyle w:val="TextoNormal"/>
      </w:pPr>
      <w:r>
        <w:lastRenderedPageBreak/>
        <w:t>Tras exponer la controversia que se da en la praxis judicial sobre apoderamientos a Letrados en procedimientos de extranjería, concluye que el cierre del proceso se produjo con base en una argumentación e interpretación formalista y de desproporcionado rigor dadas las especiales circunstancias del supuesto.</w:t>
      </w:r>
    </w:p>
    <w:p w:rsidR="00AC56D6" w:rsidRDefault="00AC56D6" w:rsidP="00AC56D6">
      <w:pPr>
        <w:pStyle w:val="TextoNormal"/>
      </w:pPr>
    </w:p>
    <w:p w:rsidR="00AC56D6" w:rsidRDefault="00AC56D6" w:rsidP="00AC56D6">
      <w:pPr>
        <w:pStyle w:val="TextoNormal"/>
      </w:pPr>
      <w:r w:rsidRPr="00AC56D6">
        <w:rPr>
          <w:rStyle w:val="NumeroAFNegritaCaracter"/>
        </w:rPr>
        <w:t>9</w:t>
      </w:r>
      <w:r>
        <w:t>. Por providencia de 1 de octubre de 2015 se señaló para deliberación y votación de la presente Sentencia el día 5 de octubre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recurso de amparo se dirige contra el Auto de fecha 13 de enero de 2014 dictado por la Sala de lo Contencioso-Administrativo del Tribunal Superior de Justicia de Andalucía, con sede en Málaga, en recurso núm. 7-2013,que desestima el recurso de queja contra el Auto del Juzgado de lo Contencioso-Administrativo núm. 3 de Málaga, en procedimiento abreviado 107-2013, el cual inadmite el recurso de apelación contra el Auto de fecha 10 de junio de 2013 dictado por el mismo Juzgado que acordaba el archivo del proceso.</w:t>
      </w:r>
    </w:p>
    <w:p w:rsidR="00AC56D6" w:rsidRDefault="00AC56D6" w:rsidP="00AC56D6">
      <w:pPr>
        <w:pStyle w:val="TextoNormal"/>
      </w:pPr>
    </w:p>
    <w:p w:rsidR="00AC56D6" w:rsidRDefault="00AC56D6" w:rsidP="00AC56D6">
      <w:pPr>
        <w:pStyle w:val="TextoNormal"/>
      </w:pPr>
      <w:r>
        <w:t>En la demanda de amparo se denuncia la vulneración del derecho a la tutela judicial efectiva de la parte recurrente (art. 24.1 CE), en su vertiente de acceso a la jurisdicción, al inadmitirse el recurso contencioso-administrativo interpuesto por el demandante por no subsanar los defectos de representación apreciados por el órgano judicial, alegando que la decisión que se recurre es en exceso rigorista e incompatible con la efectividad del derecho a la tutela judicial efectiva.</w:t>
      </w:r>
    </w:p>
    <w:p w:rsidR="00AC56D6" w:rsidRDefault="00AC56D6" w:rsidP="00AC56D6">
      <w:pPr>
        <w:pStyle w:val="TextoNormal"/>
      </w:pPr>
    </w:p>
    <w:p w:rsidR="00AC56D6" w:rsidRDefault="00AC56D6" w:rsidP="00AC56D6">
      <w:pPr>
        <w:pStyle w:val="TextoNormal"/>
      </w:pPr>
      <w:r>
        <w:t>El Abogado del Estado se opone al recurso, mientras que el Ministerio Fiscal considera que se ha vulnerado el derecho a la tutela judicial efectiva reconocido en el art. 24.1 CE.</w:t>
      </w:r>
    </w:p>
    <w:p w:rsidR="00AC56D6" w:rsidRDefault="00AC56D6" w:rsidP="00AC56D6">
      <w:pPr>
        <w:pStyle w:val="TextoNormal"/>
      </w:pPr>
    </w:p>
    <w:p w:rsidR="00AC56D6" w:rsidRDefault="00AC56D6" w:rsidP="00AC56D6">
      <w:pPr>
        <w:pStyle w:val="TextoNormal"/>
      </w:pPr>
      <w:r w:rsidRPr="00AC56D6">
        <w:rPr>
          <w:rStyle w:val="NumeroAFNegritaCaracter"/>
        </w:rPr>
        <w:t>2</w:t>
      </w:r>
      <w:r>
        <w:t>. La cuestión esencial que se plantea en este recurso se encuadra en el derecho a la tutela judicial efectiva, art. 24.1 CE, en su vertiente primigenia del derecho de acceso a la jurisdicción por cuanto que, ante la interposición de recurso ante la jurisdicción contencioso-administrativa contra una resolución administrativa de expulsión de un ciudadano extranjero, los órganos jurisdiccionales han adoptado una serie de decisiones que implican el cierre del proceso, al haberse decretado la inadmisión del recurso contencioso-administrativo con base en la falta de representación concurrente en la Letrada actuante que lo interpuso.</w:t>
      </w:r>
    </w:p>
    <w:p w:rsidR="00AC56D6" w:rsidRDefault="00AC56D6" w:rsidP="00AC56D6">
      <w:pPr>
        <w:pStyle w:val="TextoNormal"/>
      </w:pPr>
    </w:p>
    <w:p w:rsidR="00AC56D6" w:rsidRDefault="00AC56D6" w:rsidP="00AC56D6">
      <w:pPr>
        <w:pStyle w:val="TextoNormal"/>
      </w:pPr>
      <w:r>
        <w:t xml:space="preserve">Situándose, pues, el núcleo del presente debate constitucional en el ámbito del acceso a la jurisdicción, es preciso traer a colación el canon del enjuiciamiento constitucional de la cuestión, que, como recuerda la STC 167/2014, de 22 de octubre, FJ 4, “se encuentra establecido en nuestra constante y reiterada doctrina sentada a partir de la temprana STC 19/1981, de 18 de junio. Como recuerda la STC 182/2008, de 22 de diciembre, FJ 2, el primer contenido del derecho a obtener la tutela judicial efectiva que reconoce el art. 24.1 CE es el acceso a la jurisdicción, que se concreta en el derecho a ser parte en un proceso para poder promover la actividad jurisdiccional que desemboque en una decisión judicial sobre las pretensiones deducidas. ‘No se trata, sin embargo, de un derecho de libertad, ejercitable sin más y directamente a partir de la Constitución, ni tampoco de un derecho absoluto e incondicionado a la prestación jurisdiccional, sino de un derecho a obtenerla por los cauces procesales existentes y con sujeción a una concreta ordenación legal que puede establecer </w:t>
      </w:r>
      <w:r>
        <w:lastRenderedPageBreak/>
        <w:t>límites al pleno acceso a la jurisdicción, siempre que obedezcan a razonables finalidades de protección de bienes e intereses constitucionalmente protegidos (SSTC 311/2000, de 18 de diciembre, FJ 3; 124/2002, de 20 de mayo, FJ 3; y 327/2005, de 12 de diciembre, FJ 3, por todas)’. Esto es, al ser un derecho prestacional de configuración legal, su ejercicio y dispensación están supeditados a la concurrencia de los presupuestos y requisitos que haya establecido el legislador para cada sector del ordenamiento procesal. De ahí que el derecho a la tutela judicial efectiva quede satisfecho cuando los órganos judiciales pronuncian una decisión de inadmisión o meramente procesal, apreciando razonadamente la concurrencia en el caso de un óbice fundado en un precepto expreso de la Ley, si éste es, a su vez, respetuoso con el contenido esencial del derecho fundamental (STC 231/2012, de 19 de diciembre, FJ 2)”.</w:t>
      </w:r>
    </w:p>
    <w:p w:rsidR="00AC56D6" w:rsidRDefault="00AC56D6" w:rsidP="00AC56D6">
      <w:pPr>
        <w:pStyle w:val="TextoNormal"/>
      </w:pPr>
    </w:p>
    <w:p w:rsidR="00AC56D6" w:rsidRDefault="00AC56D6" w:rsidP="00AC56D6">
      <w:pPr>
        <w:pStyle w:val="TextoNormal"/>
      </w:pPr>
      <w:r>
        <w:t xml:space="preserve">Por tanto, una decisión judicial de inadmisión no vulnera este derecho, aunque impida entrar en el fondo de la cuestión planteada, si encuentra fundamento en la existencia de una causa legal que resulte aplicada razonablemente (por todas, STC 129/2014, de 21 de julio, FJ 2). Sin embargo, al tratarse en este caso del derecho de acceso a la jurisdicción y operar, en consecuencia, en toda su intensidad el principio </w:t>
      </w:r>
      <w:r w:rsidRPr="00AC56D6">
        <w:rPr>
          <w:i/>
        </w:rPr>
        <w:t>pro actione</w:t>
      </w:r>
      <w:r>
        <w:t>, el Tribunal Constitucional puede someter a control las decisiones sobre la concurrencia o no de presupuestos y requisitos procesales en “aquellos supuestos en los cuales la interpretación efectuada por el órgano judicial de la normativa declarada aplicable sea arbitraria, manifiestamente irrazonable o fruto de un error patente” y cuando del acceso a la jurisdicción se trate, “en los casos en los que dicha normativa se interprete de forma rigorista, excesivamente formalista o desproporcionada en relación con los fines que preserva y la relevancia de los intereses que se sacrifican” (STC 33/2002, de 11 de febrero, FJ 5. En el mismo sentido, SSTC 63/1999, de 26 de abril, FJ 2; más recientemente, 129/2014, de 21 de julio de 2014, FJ 4, y 39/2015, de 2 de marzo, FJ 5).</w:t>
      </w:r>
    </w:p>
    <w:p w:rsidR="00AC56D6" w:rsidRDefault="00AC56D6" w:rsidP="00AC56D6">
      <w:pPr>
        <w:pStyle w:val="TextoNormal"/>
      </w:pPr>
    </w:p>
    <w:p w:rsidR="00AC56D6" w:rsidRDefault="00AC56D6" w:rsidP="00AC56D6">
      <w:pPr>
        <w:pStyle w:val="TextoNormal"/>
      </w:pPr>
      <w:r w:rsidRPr="00AC56D6">
        <w:rPr>
          <w:rStyle w:val="NumeroAFNegritaCaracter"/>
        </w:rPr>
        <w:t>3</w:t>
      </w:r>
      <w:r>
        <w:t>. De acuerdo a la doctrina constitucional expuesta debemos ahora examinar si la decisión de cierre del proceso aparece suficientemente fundamentada desde la perspectiva constitucional, para lo cual debemos partir de un doble criterio.</w:t>
      </w:r>
    </w:p>
    <w:p w:rsidR="00AC56D6" w:rsidRDefault="00AC56D6" w:rsidP="00AC56D6">
      <w:pPr>
        <w:pStyle w:val="TextoNormal"/>
      </w:pPr>
    </w:p>
    <w:p w:rsidR="00AC56D6" w:rsidRDefault="00AC56D6" w:rsidP="00AC56D6">
      <w:pPr>
        <w:pStyle w:val="TextoNormal"/>
      </w:pPr>
      <w:r>
        <w:t xml:space="preserve">En primer lugar, debemos analizar la existencia de la causa legal aplicada y la razonabilidad de su aplicación en el supuesto concreto. Esto es, debemos enjuiciar si la causa que el órgano judicial invocó para proceder al archivo podía </w:t>
      </w:r>
      <w:r w:rsidRPr="00AC56D6">
        <w:rPr>
          <w:i/>
        </w:rPr>
        <w:t>ex lege</w:t>
      </w:r>
      <w:r>
        <w:t xml:space="preserve"> justificarlo, y si debía </w:t>
      </w:r>
      <w:r w:rsidRPr="00AC56D6">
        <w:rPr>
          <w:i/>
        </w:rPr>
        <w:t>ad casum</w:t>
      </w:r>
      <w:r>
        <w:t xml:space="preserve"> determinarlo, vistos los datos ofrecidos por la regulación legal, la entidad del defecto advertido, el comportamiento y las posibilidades de subsanación de la parte demandante y los perfiles del caso.</w:t>
      </w:r>
    </w:p>
    <w:p w:rsidR="00AC56D6" w:rsidRDefault="00AC56D6" w:rsidP="00AC56D6">
      <w:pPr>
        <w:pStyle w:val="TextoNormal"/>
      </w:pPr>
    </w:p>
    <w:p w:rsidR="00AC56D6" w:rsidRDefault="00AC56D6" w:rsidP="00AC56D6">
      <w:pPr>
        <w:pStyle w:val="TextoNormal"/>
      </w:pPr>
      <w:r>
        <w:t>Una vez analizado lo anterior y sólo en el caso de que no prosperara su examen, el segundo plano de nuestro control no se habría de referir ya a la regulación legal ni a la razonabilidad de su aplicación singular, sino a los rasgos caracterizadores de la actuación judicial en el trámite de subsanación, puesto que, conforme a nuestra doctrina, constituye una exigencia constitucional que el órgano judicial favorezca la corrección de los defectos observados y que puedan ser reparados, garantizando, en lo posible, su subsanación (SSTC 65/1993, de 1 de marzo, FJ 3, y 16/1999, de 22 de febrero, FJ 4).</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En relación a la causa legal aplicada, las resoluciones impugnadas se fundan en síntesis en no admitir funciones representativas de los Letrados en procesos de extranjería con la </w:t>
      </w:r>
      <w:r>
        <w:lastRenderedPageBreak/>
        <w:t>consecuente negativa de la extensión del apoderamiento en vía administrativa a la vía jurisdiccional.</w:t>
      </w:r>
    </w:p>
    <w:p w:rsidR="00AC56D6" w:rsidRDefault="00AC56D6" w:rsidP="00AC56D6">
      <w:pPr>
        <w:pStyle w:val="TextoNormal"/>
      </w:pPr>
    </w:p>
    <w:p w:rsidR="00AC56D6" w:rsidRDefault="00AC56D6" w:rsidP="00AC56D6">
      <w:pPr>
        <w:pStyle w:val="TextoNormal"/>
      </w:pPr>
      <w:r>
        <w:t>Hay que advertir, como alega el Ministerio Fiscal, que la cuestión relativa a la representación procesal por Abogado en los procedimientos de extranjería ha dado lugar a una amplia controversia en la práctica judicial, siendo el criterio manejado por la mayoría de los Tribunales ordinarios que es necesaria la actuación personal del recurrente o representación por medio de Procurador, sin que el Letrado pueda asumir funciones de representación procesal y sin que pueda extenderse la representación que éste ostenta en vía administrativa a la vía jurisdiccional.</w:t>
      </w:r>
    </w:p>
    <w:p w:rsidR="00AC56D6" w:rsidRDefault="00AC56D6" w:rsidP="00AC56D6">
      <w:pPr>
        <w:pStyle w:val="TextoNormal"/>
      </w:pPr>
    </w:p>
    <w:p w:rsidR="00AC56D6" w:rsidRDefault="00AC56D6" w:rsidP="00AC56D6">
      <w:pPr>
        <w:pStyle w:val="TextoNormal"/>
      </w:pPr>
      <w:r>
        <w:t>Esta exégesis de la legalidad procesal es la que se aplicó al supuesto de hecho planteado en este recurso, cuando lo cierto es que del examen del caso puede constatarse que no se planteaba un supuesto de representación procesal por Abogado, puesto que, ante el primer requerimiento de subsanación, el demandante se personó mediante Procurador designado de oficio.</w:t>
      </w:r>
    </w:p>
    <w:p w:rsidR="00AC56D6" w:rsidRDefault="00AC56D6" w:rsidP="00AC56D6">
      <w:pPr>
        <w:pStyle w:val="TextoNormal"/>
      </w:pPr>
    </w:p>
    <w:p w:rsidR="00AC56D6" w:rsidRDefault="00AC56D6" w:rsidP="00AC56D6">
      <w:pPr>
        <w:pStyle w:val="TextoNormal"/>
      </w:pPr>
      <w:r>
        <w:t>Así, tal como ha quedado expresado en los antecedentes, el único escrito que fue firmado por la Letrada como representante procesal del demandante fue la demanda, y todos los demás fueron suscritos por Procurador y Abogado. En efecto, tras el primer requerimiento de subsanación de fecha 1 de abril de 2013, el escrito presentado ya fue firmado por el Procurador de oficio, que había sido designado por el Colegio de Procuradores tal como se acreditó documentalmente, y a partir de ahí los demás escritos fueron presentados por Procurador y Abogado.</w:t>
      </w:r>
    </w:p>
    <w:p w:rsidR="00AC56D6" w:rsidRDefault="00AC56D6" w:rsidP="00AC56D6">
      <w:pPr>
        <w:pStyle w:val="TextoNormal"/>
      </w:pPr>
    </w:p>
    <w:p w:rsidR="00AC56D6" w:rsidRDefault="00AC56D6" w:rsidP="00AC56D6">
      <w:pPr>
        <w:pStyle w:val="TextoNormal"/>
      </w:pPr>
      <w:r>
        <w:t>Por tanto, los argumentos de las resoluciones impugnadas no están debidamente fundados desde el momento que están basando la inadmisión en la falta de poder de la Letrada actuante, cuando todos los escritos venían presentándose por Procurador y Abogado a partir del primer requerimiento de subsanación. Así, en el Auto del Juzgado de fecha 19 de septiembre de 2013 se afirma que el recurso de apelación contra la decisión de inadmisión de la demanda lo interpuso la Letrada actuante cuando lo cierto es que el escrito fue presentado por el Procurador y Letrado. Por su parte, en el Auto de la Sala de fecha 13 de enero de 2014 se expresa que la cuestión a dirimir es si se debe extender la representación otorgada a los Letrados en vía administrativa a la vía judicial en los procedimientos de extranjería, cuando la cuestión no era esa desde el momento en que el demandante se había personado con Procurador designado de oficio a partir del primer requerimiento de subsanación.</w:t>
      </w:r>
    </w:p>
    <w:p w:rsidR="00AC56D6" w:rsidRDefault="00AC56D6" w:rsidP="00AC56D6">
      <w:pPr>
        <w:pStyle w:val="TextoNormal"/>
      </w:pPr>
    </w:p>
    <w:p w:rsidR="00AC56D6" w:rsidRDefault="00AC56D6" w:rsidP="00AC56D6">
      <w:pPr>
        <w:pStyle w:val="TextoNormal"/>
      </w:pPr>
      <w:r>
        <w:t>Por tanto, la causa legal que se utiliza para decidir el archivo del proceso no es aplicable a este supuesto. En efecto, la cuestión nuclear que se planteaba en este caso era si la designación de oficio del Procurador era suficiente para asumir la representación del demandante, como alegaba la parte, o era necesario adicionalmente el otorgamiento de poder —</w:t>
      </w:r>
      <w:r w:rsidRPr="00AC56D6">
        <w:rPr>
          <w:i/>
        </w:rPr>
        <w:t>apud acta</w:t>
      </w:r>
      <w:r>
        <w:t xml:space="preserve"> o notarial— a favor de Procurador.</w:t>
      </w:r>
    </w:p>
    <w:p w:rsidR="00AC56D6" w:rsidRDefault="00AC56D6" w:rsidP="00AC56D6">
      <w:pPr>
        <w:pStyle w:val="TextoNormal"/>
      </w:pPr>
    </w:p>
    <w:p w:rsidR="00AC56D6" w:rsidRDefault="00AC56D6" w:rsidP="00AC56D6">
      <w:pPr>
        <w:pStyle w:val="TextoNormal"/>
      </w:pPr>
      <w:r>
        <w:t>Esta cuestión no fue abordada en ningún momento por el indebido planteamiento que se hizo del supuesto en las resoluciones impugnadas, de manera que quedó sin respuesta. De hecho, no hay la mínima mención a la actuación del Procurador de oficio ni a la designación realizada por el Colegio de Procuradores, lo cual nos lleva a concluir que el archivo no quedó justificado.</w:t>
      </w:r>
    </w:p>
    <w:p w:rsidR="00AC56D6" w:rsidRDefault="00AC56D6" w:rsidP="00AC56D6">
      <w:pPr>
        <w:pStyle w:val="TextoNormal"/>
      </w:pPr>
    </w:p>
    <w:p w:rsidR="00AC56D6" w:rsidRDefault="00AC56D6" w:rsidP="00AC56D6">
      <w:pPr>
        <w:pStyle w:val="TextoNormal"/>
      </w:pPr>
      <w:r w:rsidRPr="00AC56D6">
        <w:rPr>
          <w:rStyle w:val="NumeroAFNegritaCaracter"/>
        </w:rPr>
        <w:t>5</w:t>
      </w:r>
      <w:r>
        <w:t>. De todo ello se concluye que se ha vulnerado el derecho a la tutela judicial efectiva del demandante, en su vertiente de acceso a la jurisdicción, puesto que la normativa declarada aplicable no fue debidamente utilizada en el planteamiento del supuesto de hecho, y se interpretaron las normas procesales de forma excesivamente formalista y desproporcionada atendidas las circunstancias del caso. En consecuencia, debemos anular las resoluciones dictadas con lesión de derecho fundamental del art. 24.1 CE, pronunciamiento que debe alcanzar, para su plena efectividad, al Auto de inadmisión y archivo de la demanda de fecha 10 de junio de 2013, retrotrayendo las actuaciones al momento anterior a fin de que el recurrente obtenga una respuesta acorde con el derecho fundamental referido.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Estimar el recurso de amparo interpuesto por don Oumar Fall, y, en su virtud:</w:t>
      </w:r>
    </w:p>
    <w:p w:rsidR="00AC56D6" w:rsidRDefault="00AC56D6" w:rsidP="00AC56D6">
      <w:pPr>
        <w:pStyle w:val="TextoNormal"/>
      </w:pPr>
    </w:p>
    <w:p w:rsidR="00AC56D6" w:rsidRDefault="00AC56D6" w:rsidP="00AC56D6">
      <w:pPr>
        <w:pStyle w:val="TextoNormal"/>
      </w:pPr>
      <w:r>
        <w:t>1º Reconocer el derecho del recurrente a la tutela judicial efectiva, art. 24 CE, en su vertiente de acceso a la jurisdicción.</w:t>
      </w:r>
    </w:p>
    <w:p w:rsidR="00AC56D6" w:rsidRDefault="00AC56D6" w:rsidP="00AC56D6">
      <w:pPr>
        <w:pStyle w:val="TextoNormal"/>
      </w:pPr>
    </w:p>
    <w:p w:rsidR="00AC56D6" w:rsidRDefault="00AC56D6" w:rsidP="00AC56D6">
      <w:pPr>
        <w:pStyle w:val="TextoNormal"/>
      </w:pPr>
      <w:r>
        <w:t>2º Restablecer su derecho y, a tal fin, anular el Auto de fecha 13 de enero de 2014 dictado por la Sala de lo Contencioso-Administrativo del Tribunal Superior de Justicia de Andalucía (con sede en Málaga), en recurso de queja 7-2013, así como los precedentes Autos de fecha 10 de junio de 2013 y 19 de septiembre de 2013 del Juzgado de lo Contencioso-Administrativo núm. 3 de Málaga, en procedimiento abreviado 107-2013.</w:t>
      </w:r>
    </w:p>
    <w:p w:rsidR="00AC56D6" w:rsidRDefault="00AC56D6" w:rsidP="00AC56D6">
      <w:pPr>
        <w:pStyle w:val="TextoNormal"/>
      </w:pPr>
    </w:p>
    <w:p w:rsidR="00AC56D6" w:rsidRDefault="00AC56D6" w:rsidP="00AC56D6">
      <w:pPr>
        <w:pStyle w:val="TextoNormal"/>
      </w:pPr>
      <w:r>
        <w:t>3º Retrotraer las actuaciones al momento anterior al de dictarse el Auto de 10 de junio de 2013 para que se dicte otra nueva resolución respetuosa con los derechos fundamentales reconocidos.</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cinco de octubre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64" w:name="SENTENCIA_2015_208"/>
      <w:r>
        <w:lastRenderedPageBreak/>
        <w:t>SENTENCIA 208/2015, de 5 de octubre de 2015</w:t>
      </w:r>
    </w:p>
    <w:bookmarkEnd w:id="64"/>
    <w:p w:rsidR="00AC56D6" w:rsidRDefault="00AC56D6" w:rsidP="00AC56D6">
      <w:pPr>
        <w:pStyle w:val="TtuloResolucin"/>
      </w:pPr>
      <w:r>
        <w:t>Sala Segunda</w:t>
      </w:r>
    </w:p>
    <w:p w:rsidR="00AC56D6" w:rsidRDefault="00AC56D6" w:rsidP="00AC56D6">
      <w:pPr>
        <w:pStyle w:val="TtuloBOE"/>
      </w:pPr>
      <w:r>
        <w:t>(BOE núm. 272, de 13 de noviembre de 2015)</w:t>
      </w:r>
    </w:p>
    <w:p w:rsidR="00AC56D6" w:rsidRDefault="00AC56D6" w:rsidP="00AC56D6">
      <w:pPr>
        <w:pStyle w:val="TextoNormalCentrado"/>
      </w:pPr>
      <w:r>
        <w:t>ECLI:ES:TC:2015:208</w:t>
      </w:r>
    </w:p>
    <w:p w:rsidR="00AC56D6" w:rsidRDefault="00AC56D6" w:rsidP="00AC56D6">
      <w:pPr>
        <w:pStyle w:val="TextoNormalCentrado"/>
      </w:pPr>
    </w:p>
    <w:p w:rsidR="00AC56D6" w:rsidRDefault="00AC56D6" w:rsidP="00AC56D6">
      <w:pPr>
        <w:pStyle w:val="SntesisDescriptiva"/>
      </w:pPr>
      <w:r>
        <w:t>Recurso de amparo 6076-2014. Promovido por doña María Adelaida Londoño Molinares respecto de la inadmisión de un incidente de nulidad de actuaciones decretada por diligencia de ordenación de un Juzgado de Primera Instancia de Arona en procedimiento de ejecución hipotecaria.</w:t>
      </w:r>
    </w:p>
    <w:p w:rsidR="00AC56D6" w:rsidRDefault="00AC56D6" w:rsidP="00AC56D6">
      <w:pPr>
        <w:pStyle w:val="SntesisDescriptiva"/>
      </w:pPr>
    </w:p>
    <w:p w:rsidR="00AC56D6" w:rsidRDefault="00AC56D6" w:rsidP="00AC56D6">
      <w:pPr>
        <w:pStyle w:val="SntesisAnaltica"/>
      </w:pPr>
      <w:r>
        <w:t>Vulneración del derecho a la tutela judicial sin indefensión: diligencia de ordenación que impide la personación en el procedimiento de ejecución hipotecaria sin que el órgano judicial hubiera podido resolver lo procedente respecto del incidente de nulidad de actuaciones interesado (STC 115/1999).</w:t>
      </w:r>
    </w:p>
    <w:p w:rsidR="00AC56D6" w:rsidRDefault="00AC56D6" w:rsidP="00AC56D6">
      <w:pPr>
        <w:pStyle w:val="SntesisAnaltica"/>
      </w:pPr>
    </w:p>
    <w:p w:rsidR="00AC56D6" w:rsidRDefault="00AC56D6" w:rsidP="00AC56D6">
      <w:pPr>
        <w:pStyle w:val="Extracto"/>
      </w:pPr>
      <w:r>
        <w:t>1.</w:t>
      </w:r>
      <w:r>
        <w:tab/>
        <w:t>Se ha vulnerado el derecho a la tutela judicial efectiva sin indefensión de la recurrente, al no habérsele permitido personarse en procedimiento de ejecución hipotecaria y, a su vez, por impedir que el órgano judicial haya podido resolver lo procedente respecto del incidente de nulidad que la resolución objeto del presente recurso inadmitió mediante la devolución del escrito [FJ 5].</w:t>
      </w:r>
    </w:p>
    <w:p w:rsidR="00AC56D6" w:rsidRDefault="00AC56D6" w:rsidP="00AC56D6">
      <w:pPr>
        <w:pStyle w:val="Extracto"/>
      </w:pPr>
    </w:p>
    <w:p w:rsidR="00AC56D6" w:rsidRDefault="00AC56D6" w:rsidP="00AC56D6">
      <w:pPr>
        <w:pStyle w:val="Extracto"/>
      </w:pPr>
      <w:r>
        <w:t>2.</w:t>
      </w:r>
      <w:r>
        <w:tab/>
        <w:t>El rechazo del incidente de nulidad mediante la diligencia de ordenación recurrida, siendo que la demandante de amparo no era parte del procedimiento de ejecución, implicó la desprotección del art. 24.1 CE en sede de jurisdicción ordinaria, dado que el mencionado incidente era la única vía que tenía la demandante de amparo para reparar la lesión de su derecho fundamental a la tutela judicial efectiva [FJ 5].</w:t>
      </w:r>
    </w:p>
    <w:p w:rsidR="00AC56D6" w:rsidRDefault="00AC56D6" w:rsidP="00AC56D6">
      <w:pPr>
        <w:pStyle w:val="Extracto"/>
      </w:pPr>
    </w:p>
    <w:p w:rsidR="00AC56D6" w:rsidRDefault="00AC56D6" w:rsidP="00AC56D6">
      <w:pPr>
        <w:pStyle w:val="Extracto"/>
      </w:pPr>
      <w:r>
        <w:t>3.</w:t>
      </w:r>
      <w:r>
        <w:tab/>
        <w:t>La actuación material del Secretario Judicial —devolución de los escritos presentados— extralimitándose en su competencia, impidió que el Juez pudiera desarrollar su función jurisdiccional, lo que justifica que este Tribunal deba intervenir para reparar la lesión del derecho fundamental a la tutela judicial efectiva sin indefensión, en su variante de acceso a la jurisdicción [FJ 5].</w:t>
      </w:r>
    </w:p>
    <w:p w:rsidR="00AC56D6" w:rsidRDefault="00AC56D6" w:rsidP="00AC56D6">
      <w:pPr>
        <w:pStyle w:val="Extracto"/>
      </w:pPr>
    </w:p>
    <w:p w:rsidR="00AC56D6" w:rsidRDefault="00AC56D6" w:rsidP="00AC56D6">
      <w:pPr>
        <w:pStyle w:val="Extracto"/>
      </w:pPr>
      <w:r>
        <w:t>4.</w:t>
      </w:r>
      <w:r>
        <w:tab/>
        <w:t>La diligencia de ordenación recurrida en amparo resolvió devolver el escrito de interposición del incidente excepcional de nulidad de actuaciones promovido por la parte recurrente en amparo, afirmando que carecía de legitimación por no ser “parte” en el procedimiento, lo que impidió a la recurrente acceder al procedimiento de ejecución hipotecaria, sin respetar las exigencias impuestas por la doctrina constitucional [FJ 4].</w:t>
      </w:r>
    </w:p>
    <w:p w:rsidR="00AC56D6" w:rsidRDefault="00AC56D6" w:rsidP="00AC56D6">
      <w:pPr>
        <w:pStyle w:val="Extracto"/>
      </w:pPr>
    </w:p>
    <w:p w:rsidR="00AC56D6" w:rsidRDefault="00AC56D6" w:rsidP="00AC56D6">
      <w:pPr>
        <w:pStyle w:val="Extracto"/>
      </w:pPr>
      <w:r>
        <w:t>5.</w:t>
      </w:r>
      <w:r>
        <w:tab/>
        <w:t>Doctrina acerca del derecho de comparecencia en un procedimiento de ejecución hipotecaria de quienes ostenten un interés legítimo o de terceros poseedores (SSTC 79/2013, 43/2010) [FJ 3].</w:t>
      </w:r>
    </w:p>
    <w:p w:rsidR="00AC56D6" w:rsidRDefault="00AC56D6" w:rsidP="00AC56D6">
      <w:pPr>
        <w:pStyle w:val="Extracto"/>
      </w:pPr>
    </w:p>
    <w:p w:rsidR="00AC56D6" w:rsidRDefault="00AC56D6" w:rsidP="00AC56D6">
      <w:pPr>
        <w:pStyle w:val="Extracto"/>
      </w:pPr>
      <w:r>
        <w:t>6.</w:t>
      </w:r>
      <w:r>
        <w:tab/>
        <w:t xml:space="preserve">Para reparar la lesión causada basta con admitir la legitimación de la recurrente para interponer el incidente de nulidad de actuaciones y, a su vez, incorporar al </w:t>
      </w:r>
      <w:r>
        <w:lastRenderedPageBreak/>
        <w:t>procedimiento el escrito cuya devolución fue acordada por la diligencia de ordenación recurrida, a fin de que el órgano judicial resuelva el incidente de nulidad de actuaciones formulado por aquélla [FJ 6].</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han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amparo núm. 6076-2014, promovido por doña María Adelaida Londoño Molinares, representada por el Procurador de los Tribunales don Carlos Navarro Gutiérrez y asistida por el Abogado don Álvaro Thoel Carballo, contra la diligencia de ordenación de 29 de julio de 2014 del Juzgado de Primera Instancia núm. 4 de Arona. Ha intervenido el Ministerio Fiscal. Ha comparecido el Banco de Santander, S.A., representado por el Procurador de los Tribunales don Javier Hernández Berrocal y asistido por el Abogado don Jesús Castro Martínez. Ha sido Ponente el Magistrado don Pedro José González-Trevijano Sánchez,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que tuvo entrada en el Registro General de este Tribunal el día 9 de octubre de 2014, el Procurador de los Tribunales don Carlos Navarro Gutiérrez, en nombre y representación de doña María Adelaida Londoño Molinares, interpuso recurso de amparo contra la resolución judicial que se cita en el encabezamiento.</w:t>
      </w:r>
    </w:p>
    <w:p w:rsidR="00AC56D6" w:rsidRDefault="00AC56D6" w:rsidP="00AC56D6">
      <w:pPr>
        <w:pStyle w:val="TextoNormal"/>
      </w:pPr>
    </w:p>
    <w:p w:rsidR="00AC56D6" w:rsidRDefault="00AC56D6" w:rsidP="00AC56D6">
      <w:pPr>
        <w:pStyle w:val="TextoNormal"/>
      </w:pPr>
      <w:r w:rsidRPr="00AC56D6">
        <w:rPr>
          <w:rStyle w:val="NumeroAFNegritaCaracter"/>
        </w:rPr>
        <w:t>2</w:t>
      </w:r>
      <w:r>
        <w:t>. Los hechos de los que trae causa la demanda, relevantes para la resolución del recurso, son, en síntesis, los siguientes:</w:t>
      </w:r>
    </w:p>
    <w:p w:rsidR="00AC56D6" w:rsidRDefault="00AC56D6" w:rsidP="00AC56D6">
      <w:pPr>
        <w:pStyle w:val="TextoNormal"/>
      </w:pPr>
    </w:p>
    <w:p w:rsidR="00AC56D6" w:rsidRDefault="00AC56D6" w:rsidP="00AC56D6">
      <w:pPr>
        <w:pStyle w:val="TextoNormal"/>
      </w:pPr>
      <w:r>
        <w:t xml:space="preserve">a) A instancias de la entidad Banco Santander, S.A., el Juzgado de Primera Instancia núm. 4 de Arona inició procedimiento de ejecución hipotecaria núm. 49-2012. Por Auto de 19 de abril de 2012 se acordó despachar ejecución contra la entidad Inversiones Inmobiliarias Molise, S.A., en su calidad de deudora hipotecaria. El inmueble gravado con hipoteca es el siguiente: bungaló 01-02, ubicado en la residencial “Club Atlantis” de la urbanización Porto Colón de la localidad de Adeje, el cual figura inscrito al tomo 1005, libro 233, folio 88, finca núm. 6112 del Registro de la Propiedad de la citada localidad. El principal reclamado fue de 303.395,03 €, mientras que la cantidad fijada en concepto de intereses, costas y gastos ascendió a 91.018,51 €. El precio de tasación de la finca para subasta, que fue fijado </w:t>
      </w:r>
      <w:r>
        <w:lastRenderedPageBreak/>
        <w:t>en la escritura pública de constitución del préstamo con garantía hipotecaria, fue de 971.600,20 €.</w:t>
      </w:r>
    </w:p>
    <w:p w:rsidR="00AC56D6" w:rsidRDefault="00AC56D6" w:rsidP="00AC56D6">
      <w:pPr>
        <w:pStyle w:val="TextoNormal"/>
      </w:pPr>
    </w:p>
    <w:p w:rsidR="00AC56D6" w:rsidRDefault="00AC56D6" w:rsidP="00AC56D6">
      <w:pPr>
        <w:pStyle w:val="TextoNormal"/>
      </w:pPr>
      <w:r>
        <w:t>b) La entidad ejecutante acompañó a su demanda la copia de la escritura del préstamo y posterior modificación, así como una certificación expedida por el Registro de la Propiedad acreditativa del dominio de la finca y de la inscripción de la hipoteca, el acta de liquidación del saldo intervenida por Notario y los justificantes de haber intentado la notificación de vencimiento y requerimiento de pago de la demandada; a saber, burofaxes remitidos a la deudora en fechas 15 de septiembre y 14 de octubre de 2011, los cuales no pudieron ser entregados por resultar aquélla desconocida en el domicilio al que se le remitieron.</w:t>
      </w:r>
    </w:p>
    <w:p w:rsidR="00AC56D6" w:rsidRDefault="00AC56D6" w:rsidP="00AC56D6">
      <w:pPr>
        <w:pStyle w:val="TextoNormal"/>
      </w:pPr>
    </w:p>
    <w:p w:rsidR="00AC56D6" w:rsidRDefault="00AC56D6" w:rsidP="00AC56D6">
      <w:pPr>
        <w:pStyle w:val="TextoNormal"/>
      </w:pPr>
      <w:r>
        <w:t>c) En fecha 22 de mayo de 2012, el órgano judicial intentó notificar y requerir de pago a Inversiones Inmobiliarias Molise, S.A., en el domicilio indicado en el apartado a) de esta Sentencia, el cual había sido designado como domicilio, a efectos de notificaciones, en la escritura de constitución del préstamo hipotecario. Dicha diligencia resultó infructuosa, pues la vivienda se hallaba ocupada por una persona que manifestó ser arrendataria del inmueble. Esta última compareció ante el órgano judicial, el día 25 de mayo de 2012, y aportó copia del contrato de arrendamiento, de los recibos justificativos del pago de dos mensualidades y de la escritura pública de compraventa con subrogación de hipoteca, de fecha 17 de febrero de 2012, que fue otorgada por Inversiones Inmobiliaria Molise, S.A., a la mercantil Peraza Bethencourt, S.L.U. Esta entidad fue quien intervino como arrendadora en el contrato a que se ha hecho mención.</w:t>
      </w:r>
    </w:p>
    <w:p w:rsidR="00AC56D6" w:rsidRDefault="00AC56D6" w:rsidP="00AC56D6">
      <w:pPr>
        <w:pStyle w:val="TextoNormal"/>
      </w:pPr>
    </w:p>
    <w:p w:rsidR="00AC56D6" w:rsidRDefault="00AC56D6" w:rsidP="00AC56D6">
      <w:pPr>
        <w:pStyle w:val="TextoNormal"/>
      </w:pPr>
      <w:r>
        <w:t>d) A la vista del resultado de la anterior diligencia, Banco de Santander, S.A., interesó que se citase a la entidad demandada en el otro domicilio que figuraba en la escritura de constitución del préstamo hipotecario, concretamente el ubicado en la carretera de La Cuesta-Tajo 18, de la localidad de La Laguna. Por diligencia de ordenación de fecha 3 de septiembre de 2012 se denegó efectuar la notificación y el requerimiento de pago en los términos interesados, acordándose su práctica mediante edictos.</w:t>
      </w:r>
    </w:p>
    <w:p w:rsidR="00AC56D6" w:rsidRDefault="00AC56D6" w:rsidP="00AC56D6">
      <w:pPr>
        <w:pStyle w:val="TextoNormal"/>
      </w:pPr>
    </w:p>
    <w:p w:rsidR="00AC56D6" w:rsidRDefault="00AC56D6" w:rsidP="00AC56D6">
      <w:pPr>
        <w:pStyle w:val="TextoNormal"/>
      </w:pPr>
      <w:r>
        <w:t>e) Según certificación de cargas y gravámenes expedida por el Registrador de la Propiedad, en fecha de 4 de diciembre de 2012, la situación registral de la finca antes referida, en lo que interesa en este recurso de amparo, era la siguiente: a) la finca hipotecada consta inscrita a favor de Inversiones Inmobiliarias Molise S.A.; y b) dicho inmueble se encuentra gravado con dos hipotecas, inscripciones quinta y sexta, a favor de la entidad ejecutante. En consecuencia, en el momento de verificar el cumplimiento de los requisitos del art. 656 de la Ley de enjuiciamiento civil (LEC) la transmisión de propiedad a que se alude en el apartado c) de esta Sentencia no figuraba inscrita, puesto que la escritura pública de compraventa se inscribió, en el Registro de la Propiedad de Adeje, el día 21 de agosto de 2013.</w:t>
      </w:r>
    </w:p>
    <w:p w:rsidR="00AC56D6" w:rsidRDefault="00AC56D6" w:rsidP="00AC56D6">
      <w:pPr>
        <w:pStyle w:val="TextoNormal"/>
      </w:pPr>
    </w:p>
    <w:p w:rsidR="00AC56D6" w:rsidRDefault="00AC56D6" w:rsidP="00AC56D6">
      <w:pPr>
        <w:pStyle w:val="TextoNormal"/>
      </w:pPr>
      <w:r>
        <w:t>f) Por diligencia de ordenación de fecha 15 de marzo de 2013 se señaló, para el día 12 de junio de 2013, a las 10:30 horas, la celebración de la subasta pública del inmueble sujeto a ejecución. No obstante, por providencia de fecha 4 de abril de 2013 se acordó la suspensión del referido acto, por el tiempo imprescindible para resolver sobre la nulidad del despacho de la ejecución por la eventual concurrencia de cláusulas abusivas, en aplicación de la doctrina establecida por la Sala Primera del Tribunal de Justicia de la Unión Europea en la Sentencia dictada en el C-415/2011 (STJUE de fecha 14 de marzo de 2103).</w:t>
      </w:r>
    </w:p>
    <w:p w:rsidR="00AC56D6" w:rsidRDefault="00AC56D6" w:rsidP="00AC56D6">
      <w:pPr>
        <w:pStyle w:val="TextoNormal"/>
      </w:pPr>
    </w:p>
    <w:p w:rsidR="00AC56D6" w:rsidRDefault="00AC56D6" w:rsidP="00AC56D6">
      <w:pPr>
        <w:pStyle w:val="TextoNormal"/>
      </w:pPr>
      <w:r>
        <w:lastRenderedPageBreak/>
        <w:t>A ello se opuso la entidad demandante, mediante escrito de fecha 19 de abril de 2013. Por providencia de fecha 4 de junio de 2013, el órgano judicial acordó levantar la suspensión y, por diligencia de ordenación de fecha 19 de junio de 2013, se señaló el día 30 de octubre de 2013, a las 11:30 horas, para la celebración del acto de la subasta.</w:t>
      </w:r>
    </w:p>
    <w:p w:rsidR="00AC56D6" w:rsidRDefault="00AC56D6" w:rsidP="00AC56D6">
      <w:pPr>
        <w:pStyle w:val="TextoNormal"/>
      </w:pPr>
    </w:p>
    <w:p w:rsidR="00AC56D6" w:rsidRDefault="00AC56D6" w:rsidP="00AC56D6">
      <w:pPr>
        <w:pStyle w:val="TextoNormal"/>
      </w:pPr>
      <w:r>
        <w:t>g) Por diligencia de ordenación de fecha 2 de octubre de 2013 se acordó suspender la subasta para el día señalado, dado que, según se indica en la citada resolución, el órgano judicial no disponía de los códigos para la publicación de la subasta en el Portal de Subastas del Consejo General del Poder Judicial, lo que viene exigido en el art. 668 LEC tras la reforma operada por la Ley 1/2013, de 14 de mayo, de medidas para reforzar la protección a los deudores hipotecarios, reestructuración de deuda y alquiler social.</w:t>
      </w:r>
    </w:p>
    <w:p w:rsidR="00AC56D6" w:rsidRDefault="00AC56D6" w:rsidP="00AC56D6">
      <w:pPr>
        <w:pStyle w:val="TextoNormal"/>
      </w:pPr>
    </w:p>
    <w:p w:rsidR="00AC56D6" w:rsidRDefault="00AC56D6" w:rsidP="00AC56D6">
      <w:pPr>
        <w:pStyle w:val="TextoNormal"/>
      </w:pPr>
      <w:r>
        <w:t>h) En fecha 9 de octubre de 2013, la entidad ejecutante interpuso recurso de reposición contra la resolución última citada, el cual fue estimado por diligencia de ordenación de fecha 30 de octubre de 2013. En la indicada resolución se fijó nueva fecha para la subasta, concretamente a las 13:30 horas del 15 de enero de 2014. La notificación de la subasta a Inversiones Inmobiliarias Molise, S.A., se efectuó, mediante correo certificado, en el bungaló 01-02, ubicado en la residencial “Club Atlantis” de la urbanización Porto Colón de la localidad de Adeje, quedando constancia de que, ante la ausencia de aquélla en horas de reparto, se dejó aviso en el buzón.</w:t>
      </w:r>
    </w:p>
    <w:p w:rsidR="00AC56D6" w:rsidRDefault="00AC56D6" w:rsidP="00AC56D6">
      <w:pPr>
        <w:pStyle w:val="TextoNormal"/>
      </w:pPr>
    </w:p>
    <w:p w:rsidR="00AC56D6" w:rsidRDefault="00AC56D6" w:rsidP="00AC56D6">
      <w:pPr>
        <w:pStyle w:val="TextoNormal"/>
      </w:pPr>
      <w:r>
        <w:t>i) En la última fecha indicada se celebró la subasta. Al no comparecer ningún postor, la acreedora hipotecaria, Banco Santander, S.A., solicitó su adjudicación por la cantidad de 600.928,20 € —cifra superior al 50 por 100 de su valor de tasación—, reservándose la adjudicataria la facultad de ceder el remate a un tercero.</w:t>
      </w:r>
    </w:p>
    <w:p w:rsidR="00AC56D6" w:rsidRDefault="00AC56D6" w:rsidP="00AC56D6">
      <w:pPr>
        <w:pStyle w:val="TextoNormal"/>
      </w:pPr>
    </w:p>
    <w:p w:rsidR="00AC56D6" w:rsidRDefault="00AC56D6" w:rsidP="00AC56D6">
      <w:pPr>
        <w:pStyle w:val="TextoNormal"/>
      </w:pPr>
      <w:r>
        <w:t>j) Por escrito de fecha 14 de febrero de 2014, la adjudicataria anunció su intención de ceder el remate a la entidad Altamira Santander Real Estate, S.A. En fecha 23 de abril de 2014 ambas entidades comparecieron ante el Secretario Judicial, a fin de materializar la cesión antes indicada.</w:t>
      </w:r>
    </w:p>
    <w:p w:rsidR="00AC56D6" w:rsidRDefault="00AC56D6" w:rsidP="00AC56D6">
      <w:pPr>
        <w:pStyle w:val="TextoNormal"/>
      </w:pPr>
    </w:p>
    <w:p w:rsidR="00AC56D6" w:rsidRDefault="00AC56D6" w:rsidP="00AC56D6">
      <w:pPr>
        <w:pStyle w:val="TextoNormal"/>
      </w:pPr>
      <w:r>
        <w:t>k) Con anterioridad a la celebración de la subasta, la demandante de amparo adquirió el inmueble sujeto a ejecución, mediante escritura pública de compraventa de fecha 27 de agosto de 2013, que fue otorgada por la vendedora Peraza Bethencourt, S.L.U. Dicha escritura fue inscrita, en el Registro de la Propiedad de Adeje, el día 2 de septiembre de 2013.</w:t>
      </w:r>
    </w:p>
    <w:p w:rsidR="00AC56D6" w:rsidRDefault="00AC56D6" w:rsidP="00AC56D6">
      <w:pPr>
        <w:pStyle w:val="TextoNormal"/>
      </w:pPr>
    </w:p>
    <w:p w:rsidR="00AC56D6" w:rsidRDefault="00AC56D6" w:rsidP="00AC56D6">
      <w:pPr>
        <w:pStyle w:val="TextoNormal"/>
      </w:pPr>
      <w:r>
        <w:t>l) Mediante escrito de fecha 9 de abril de 2014, la Procuradora de Tribunales doña Candelaria Rodríguez Alayón, en nombre y representación de la demandante de amparo —quien tuvo conocimiento extraprocesal del procedimiento—, intentó su personación en forma ante el Juzgado y, a su vez, solicitó la declaración de nulidad radical de las actuaciones. Por diligencia de ordenación de la misma fecha se acordó devolver el referido escrito a la indicada Procuradora bajo el argumento de que en el presente procedimiento no es parte doña María Adelaida Londoño Molinares, sino que se sigue contra la entidad Inversiones Inmobiliarias Molise.</w:t>
      </w:r>
    </w:p>
    <w:p w:rsidR="00AC56D6" w:rsidRDefault="00AC56D6" w:rsidP="00AC56D6">
      <w:pPr>
        <w:pStyle w:val="TextoNormal"/>
      </w:pPr>
    </w:p>
    <w:p w:rsidR="00AC56D6" w:rsidRDefault="00AC56D6" w:rsidP="00AC56D6">
      <w:pPr>
        <w:pStyle w:val="TextoNormal"/>
      </w:pPr>
      <w:r>
        <w:t>m) Todos los escritos posteriores de la demandante de amparo fueron rechazados por sucesivas diligencias de ordenación, según se detalla a continuación:</w:t>
      </w:r>
    </w:p>
    <w:p w:rsidR="00AC56D6" w:rsidRDefault="00AC56D6" w:rsidP="00AC56D6">
      <w:pPr>
        <w:pStyle w:val="TextoNormal"/>
      </w:pPr>
    </w:p>
    <w:p w:rsidR="00AC56D6" w:rsidRDefault="00AC56D6" w:rsidP="00AC56D6">
      <w:pPr>
        <w:pStyle w:val="TextoNormal"/>
      </w:pPr>
      <w:r>
        <w:lastRenderedPageBreak/>
        <w:t>—diligencia de ordenación de 24 de abril de 2014, en la que se declara: “A la vista del procedimiento, devuélvase nuevamente al Procurador … el precedente escrito solicitando la nulidad radical de las actuaciones, en tanto en el presente procedimiento no es parte Doña Mª Adelaida Londoño Molinares, sino que se sigue con la entidad Banco de Santander frente a la entidad Inversiones Inmobiliarias Molise. En caso de que el Procurador … tuviera alguna pretensión con el objeto de la ejecución hipotecaria, deberá presentar el procedimiento declarativo correspondiente”.</w:t>
      </w:r>
    </w:p>
    <w:p w:rsidR="00AC56D6" w:rsidRDefault="00AC56D6" w:rsidP="00AC56D6">
      <w:pPr>
        <w:pStyle w:val="TextoNormal"/>
      </w:pPr>
    </w:p>
    <w:p w:rsidR="00AC56D6" w:rsidRDefault="00AC56D6" w:rsidP="00AC56D6">
      <w:pPr>
        <w:pStyle w:val="TextoNormal"/>
      </w:pPr>
      <w:r>
        <w:t>—diligencia de ordenación de fecha 15 de mayo de 2014, en la que se acuerda: “A la vista de los escritos presentados … devuélvanse a doña María Adelaida Londoño Molinares, en tanto que en el presente procedimiento no es parte, sino que se sigue con la entidad Banco de Santander frente a la entidad Inversiones Inmobiliarias Molise. En caso de que el Procurador … tuviera alguna pretensión con el objeto de la ejecución hipotecaria, deberá presentar el procedimiento declarativo correspondiente, conforme ya se les indicó en la diligencia de ordenación de fecha 24 de abril de 2014”.</w:t>
      </w:r>
    </w:p>
    <w:p w:rsidR="00AC56D6" w:rsidRDefault="00AC56D6" w:rsidP="00AC56D6">
      <w:pPr>
        <w:pStyle w:val="TextoNormal"/>
      </w:pPr>
    </w:p>
    <w:p w:rsidR="00AC56D6" w:rsidRDefault="00AC56D6" w:rsidP="00AC56D6">
      <w:pPr>
        <w:pStyle w:val="TextoNormal"/>
      </w:pPr>
      <w:r>
        <w:t>—diligencia de ordenación de 9 de junio de 2014, en la que puede leerse: “Solicitada por la parte Banco Santander, S.A., la tasación de costas … practíquese …. En cuanto al escrito presentado por el Procurador … conforme ya se ha diligenciado en resolución de fecha de 9 y 24 de abril de 2014 y 15 de mayo de 2014, devuélvanse en tanto en el presente procedimiento no es parte, sino que se sigue con la entidad Banco de Santander frente a la entidad Inversiones Inmobiliarias Molise. En caso de que Doña Mª Adelaida Londoño Molinares tuviera alguna pretensión con el objeto de la ejecución hipotecaria, deberá presentar el procedimiento declarativo correspondiente, conforme ya se les indicó en la Diligencia de Ordenación de fecha de 24 de abril de 2014”.</w:t>
      </w:r>
    </w:p>
    <w:p w:rsidR="00AC56D6" w:rsidRDefault="00AC56D6" w:rsidP="00AC56D6">
      <w:pPr>
        <w:pStyle w:val="TextoNormal"/>
      </w:pPr>
    </w:p>
    <w:p w:rsidR="00AC56D6" w:rsidRDefault="00AC56D6" w:rsidP="00AC56D6">
      <w:pPr>
        <w:pStyle w:val="TextoNormal"/>
      </w:pPr>
      <w:r>
        <w:t>—diligencia de ordenación de 24 de junio, en el que figura los siguiente: “El anterior escrito presentado … interponiendo recurso de reposición, devuélvanse en tanto en el presente procedimiento no tiene legitimación, al no ser parte en el mismo, sino que se sigue contra la entidad Banco de Santander frente a la entidad Inversiones Inmobiliarias Molise”.</w:t>
      </w:r>
    </w:p>
    <w:p w:rsidR="00AC56D6" w:rsidRDefault="00AC56D6" w:rsidP="00AC56D6">
      <w:pPr>
        <w:pStyle w:val="TextoNormal"/>
      </w:pPr>
    </w:p>
    <w:p w:rsidR="00AC56D6" w:rsidRDefault="00AC56D6" w:rsidP="00AC56D6">
      <w:pPr>
        <w:pStyle w:val="TextoNormal"/>
      </w:pPr>
      <w:r>
        <w:t>—diligencia de ordenación de 9 de julio de 2014: “El anterior escrito presentado … interponiendo recurso de reposición contra la Diligencia de Ordenación de fecha de 24 de junio de 2014, devuélvanse en tanto en el presente procedimiento no es parte, sino que se sigue con la entidad Banco de Santander frente a la entidad Inversiones Inmobiliarias Molise”.</w:t>
      </w:r>
    </w:p>
    <w:p w:rsidR="00AC56D6" w:rsidRDefault="00AC56D6" w:rsidP="00AC56D6">
      <w:pPr>
        <w:pStyle w:val="TextoNormal"/>
      </w:pPr>
    </w:p>
    <w:p w:rsidR="00AC56D6" w:rsidRDefault="00AC56D6" w:rsidP="00AC56D6">
      <w:pPr>
        <w:pStyle w:val="TextoNormal"/>
      </w:pPr>
      <w:r>
        <w:t>—diligencia de ordenación de 29 de julio de 2014 donde se declara: “A la vista del escrito presentado por el Procurador … solicitando nulidad de actuaciones, devuélvanse en tanto en el presente procedimiento no es parte Doña Mª Adelaida Londoño Molinares, sino que se sigue con la entidad Banco de Santander frente a la entidad Inversiones Inmobiliarias Molise y dicho Procurador no está personado en las actuaciones. Igualmente devuélvase el Recurso de Reposición, presentada por la Procuradora … por no estar personada en esta ejecución hipotecaria”.</w:t>
      </w:r>
    </w:p>
    <w:p w:rsidR="00AC56D6" w:rsidRDefault="00AC56D6" w:rsidP="00AC56D6">
      <w:pPr>
        <w:pStyle w:val="TextoNormal"/>
      </w:pPr>
    </w:p>
    <w:p w:rsidR="00AC56D6" w:rsidRDefault="00AC56D6" w:rsidP="00AC56D6">
      <w:pPr>
        <w:pStyle w:val="TextoNormal"/>
      </w:pPr>
      <w:r>
        <w:t xml:space="preserve">n) Mientras la demandante de amparo intentaba personarse como parte interesada, la ejecución seguía, por tanto, su curso. Mediante Decreto de 3 de julio de 2014, el Juzgado </w:t>
      </w:r>
      <w:r>
        <w:lastRenderedPageBreak/>
        <w:t>aprueba la liquidación de intereses y la tasación de costas, que se notifica a la entidad ejecutada, por edicto, en esa misma fecha. Con fecha de 15 de julio de 2014, se dicta Decreto aprobando el remate y adjudicación a favor de Altamira Santander Real Estate, S.A., acordándose, a su vez, la cancelación del gravamen que se ejecuta. Por diligencia de ordenación de fecha 30 de julio de 2014 se señaló, para el día 9 de octubre de 2014, la entrega de la posesión del inmueble; dicha resolución se intentó notificar a Inversiones Inmobiliarias Molise, en el inmueble objeto de ejecución, pero su resultado fue infructuoso.</w:t>
      </w:r>
    </w:p>
    <w:p w:rsidR="00AC56D6" w:rsidRDefault="00AC56D6" w:rsidP="00AC56D6">
      <w:pPr>
        <w:pStyle w:val="TextoNormal"/>
      </w:pPr>
    </w:p>
    <w:p w:rsidR="00AC56D6" w:rsidRDefault="00AC56D6" w:rsidP="00AC56D6">
      <w:pPr>
        <w:pStyle w:val="TextoNormal"/>
      </w:pPr>
      <w:r w:rsidRPr="00AC56D6">
        <w:rPr>
          <w:rStyle w:val="NumeroAFNegritaCaracter"/>
        </w:rPr>
        <w:t>3</w:t>
      </w:r>
      <w:r>
        <w:t>. En su demanda, la demandante imputa a la diligencia de ordenación recurrida, de 29 de julio de 2014, que acuerda devolver el escrito en el que formulaba incidente de nulidad de actuaciones, la vulneración del derecho fundamental a la tutela judicial efectiva sin indefensión (art. 24.1 CE), al no declarar la nulidad de las actuaciones del citado procedimiento, no permitiendo a quien ostenta un legítimo interés comparecer en el mismo, lo que la privó de su derecho a ser oída y le impidió el ejercicio del derecho de defensa de sus legítimos derechos e intereses sobre el citado inmueble. Igualmente, en relación con la anterior, se alega la vulneración del derecho de acceso a la jurisdicción (art. 24.1 CE), lo que resulta incomprensible a la vista del conocimiento que tenía el Juzgado de su titularidad dominical y su posesión como tercer adquirente (recordemos que se trata de la vivienda habitual de la demandante).</w:t>
      </w:r>
    </w:p>
    <w:p w:rsidR="00AC56D6" w:rsidRDefault="00AC56D6" w:rsidP="00AC56D6">
      <w:pPr>
        <w:pStyle w:val="TextoNormal"/>
      </w:pPr>
    </w:p>
    <w:p w:rsidR="00AC56D6" w:rsidRDefault="00AC56D6" w:rsidP="00AC56D6">
      <w:pPr>
        <w:pStyle w:val="TextoNormal"/>
      </w:pPr>
      <w:r>
        <w:t>A las anteriores consideraciones añade la extralimitación de funciones en que incurrió el Secretario Judicial, pues este último resolvió sobre la pretensión de personación y el posterior planteamiento del incidente de nulidad de actuaciones, aspectos estos que debieron ser dilucidados por el Juez de Primera Instancia, al tratarse de una materia que la Ley encomienda a la potestad jurisdiccional. La lesión del art. 24.1 CE se produce por partida doble, pues no sólo se le ha impedido el acceso al proceso, sino que, a su entender, la motivación ofrecida es arbitraria, dado que el único argumento empleado en la diligencia de ordenación impugnada reitera que la demandante de amparo carecía de legitimación para interponer el incidente por no ser parte en el procedimiento, condición esta que, precisamente, es la que había pretendido alcanzar infructuosamente. Asimismo, alega la vulneración del derecho a la igualdad en la aplicación de la ley (art. 14 CE), puesto que las resoluciones combatidas discrepan de las dictadas por otros órganos judiciales, que sí son conformes con la doctrina constitucional y reconocen el derecho, tanto de los terceros poseedores como de los propietarios no deudores de los bienes hipotecados, a acceder al procedimiento de ejecución hipotecaria.</w:t>
      </w:r>
    </w:p>
    <w:p w:rsidR="00AC56D6" w:rsidRDefault="00AC56D6" w:rsidP="00AC56D6">
      <w:pPr>
        <w:pStyle w:val="TextoNormal"/>
      </w:pPr>
    </w:p>
    <w:p w:rsidR="00AC56D6" w:rsidRDefault="00AC56D6" w:rsidP="00AC56D6">
      <w:pPr>
        <w:pStyle w:val="TextoNormal"/>
      </w:pPr>
      <w:r>
        <w:t>Mediante otrosí, en la demanda de amparo se solicita que se deje en suspenso la práctica del lanzamiento, prevista para el próximo 26 de febrero de 2015. Asimismo, pide que se acuerde la anotación preventiva de la demanda de amparo, dado el cambio de titularidad registral de Banco de Santander, S.A., inicial ejecutante hipotecario, en beneficio de Altamira Santander Real Estate, S.A.</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Por providencia de 18 de febrero de 2015, la Sección Tercera de este Tribunal acordó admitir a trámite la demanda, apreciando que el asunto tiene especial trascendencia constitucional (art. 50.1 de la Ley Orgánica del Tribunal Constitucional: LOTC), como consecuencia de que el recurso puede dar lugar a aclarar o modificar su doctrina, como consecuencia de cambios normativos relevantes para la configuración del contenido del derecho </w:t>
      </w:r>
      <w:r>
        <w:lastRenderedPageBreak/>
        <w:t>fundamental [STC 155/2009, FJ 2 b)]. A tenor de lo dispuesto en el art. 51 de la Ley Orgánica del Tribunal Constitucional, se acordó requerir al Juzgado de Primera Instancia núm. 4 de Arona para que, en el plazo de diez días, remitiera testimonio del procedimiento de ejecución hipotecaria núm. 49-2012, interesándose al tiempo que se emplazara a quienes fueron parte en el procedimiento, a excepción de la recurrente en amparo, para que en el plazo de diez días pudieran comparecer en este proceso constitucional.</w:t>
      </w:r>
    </w:p>
    <w:p w:rsidR="00AC56D6" w:rsidRDefault="00AC56D6" w:rsidP="00AC56D6">
      <w:pPr>
        <w:pStyle w:val="TextoNormal"/>
      </w:pPr>
    </w:p>
    <w:p w:rsidR="00AC56D6" w:rsidRDefault="00AC56D6" w:rsidP="00AC56D6">
      <w:pPr>
        <w:pStyle w:val="TextoNormal"/>
      </w:pPr>
      <w:r>
        <w:t>Asimismo, la referida Sección apreció la concurrencia de la urgencia excepcional a que se refiere el art. 56.3 LOTC, toda vez que la continuación del procedimiento a que se ha hecho mención podría causar perjuicios de imposible o muy difícil reparación que harían perder su finalidad al recurso de amparo, en caso de que fuera estimado, y por ello acordó la suspensión cautelar del procedimiento de ejecución hipotecaria antes indicado.</w:t>
      </w:r>
    </w:p>
    <w:p w:rsidR="00AC56D6" w:rsidRDefault="00AC56D6" w:rsidP="00AC56D6">
      <w:pPr>
        <w:pStyle w:val="TextoNormal"/>
      </w:pPr>
    </w:p>
    <w:p w:rsidR="00AC56D6" w:rsidRDefault="00AC56D6" w:rsidP="00AC56D6">
      <w:pPr>
        <w:pStyle w:val="TextoNormal"/>
      </w:pPr>
      <w:r w:rsidRPr="00AC56D6">
        <w:rPr>
          <w:rStyle w:val="NumeroAFNegritaCaracter"/>
        </w:rPr>
        <w:t>5</w:t>
      </w:r>
      <w:r>
        <w:t>. Por providencia de la misma fecha se acordó, pues, la apertura de la correspondiente pieza separada para la tramitación del incidente de suspensión, concediéndose un plazo común de tres días a la recurrente y al Ministerio Fiscal para que formularan alegaciones sobre el particular, conforme a lo previsto en el art. 56 LOTC. Evacuado dicho trámite, mediante Auto de fecha 16 de marzo de 2015 la Sala Segunda de este Tribunal acordó mantener la suspensión del curso del procedimiento judicial y, a su vez, ordenar la anotación preventiva de la demanda de amparo en el Registro de la Propiedad.</w:t>
      </w:r>
    </w:p>
    <w:p w:rsidR="00AC56D6" w:rsidRDefault="00AC56D6" w:rsidP="00AC56D6">
      <w:pPr>
        <w:pStyle w:val="TextoNormal"/>
      </w:pPr>
    </w:p>
    <w:p w:rsidR="00AC56D6" w:rsidRDefault="00AC56D6" w:rsidP="00AC56D6">
      <w:pPr>
        <w:pStyle w:val="TextoNormal"/>
      </w:pPr>
      <w:r w:rsidRPr="00AC56D6">
        <w:rPr>
          <w:rStyle w:val="NumeroAFNegritaCaracter"/>
        </w:rPr>
        <w:t>6</w:t>
      </w:r>
      <w:r>
        <w:t>. Por diligencia de ordenación del Secretario de Justicia de la Sala Segunda de este Tribunal, de fecha de 17 de abril de 2015, se tuvo por personado y parte al Procurador don Javier Hernández Berrocal, en nombre y representación del Banco Santander, S.A.</w:t>
      </w:r>
    </w:p>
    <w:p w:rsidR="00AC56D6" w:rsidRDefault="00AC56D6" w:rsidP="00AC56D6">
      <w:pPr>
        <w:pStyle w:val="TextoNormal"/>
      </w:pPr>
    </w:p>
    <w:p w:rsidR="00AC56D6" w:rsidRDefault="00AC56D6" w:rsidP="00AC56D6">
      <w:pPr>
        <w:pStyle w:val="TextoNormal"/>
      </w:pPr>
      <w:r w:rsidRPr="00AC56D6">
        <w:rPr>
          <w:rStyle w:val="NumeroAFNegritaCaracter"/>
        </w:rPr>
        <w:t>7</w:t>
      </w:r>
      <w:r>
        <w:t>. Por diligencia de ordenación del Secretario de Justicia de la Sala Segunda, de fecha 17 de abril de 2015, se tuvieron por recibidos los testimonios de las actuaciones remitidos por el Juzgado de Primera Instancia núm. 4 de Arona, acordándose, a tenor de lo dispuesto en el art. 52 LOTC, dar vista de todas las actuaciones, por un plazo común de veinte días, al Ministerio Fiscal y a las partes personadas, para que dentro de dicho término pudieran presentar las alegaciones que a su derecho convinieran.</w:t>
      </w:r>
    </w:p>
    <w:p w:rsidR="00AC56D6" w:rsidRDefault="00AC56D6" w:rsidP="00AC56D6">
      <w:pPr>
        <w:pStyle w:val="TextoNormal"/>
      </w:pPr>
    </w:p>
    <w:p w:rsidR="00AC56D6" w:rsidRDefault="00AC56D6" w:rsidP="00AC56D6">
      <w:pPr>
        <w:pStyle w:val="TextoNormal"/>
      </w:pPr>
      <w:r w:rsidRPr="00AC56D6">
        <w:rPr>
          <w:rStyle w:val="NumeroAFNegritaCaracter"/>
        </w:rPr>
        <w:t>8</w:t>
      </w:r>
      <w:r>
        <w:t>. La representación procesal de Banco Santander, S.A., presentó su escrito de alegaciones en fecha 21 de mayo de 2015, en el que solicita que se deniegue el amparo. Sostiene, en primer lugar, que el tercer poseedor que adquiere e inscribe su título con posterioridad a la expedición de la certificación de cargas no tiene la condición de parte procesal en la ejecución hipotecaria. A ello añade que, en la fecha en que la Sra. Londoño (abril de 2014) intentó personarse, ninguna intervención procesal podía ya realizar más allá de pagar lo que se debía al acreedor por principal, intereses y costas, dentro de los límites de la responsabilidad a que está sujeto el bien ( art. 662.3 LEC).</w:t>
      </w:r>
    </w:p>
    <w:p w:rsidR="00AC56D6" w:rsidRDefault="00AC56D6" w:rsidP="00AC56D6">
      <w:pPr>
        <w:pStyle w:val="TextoNormal"/>
      </w:pPr>
    </w:p>
    <w:p w:rsidR="00AC56D6" w:rsidRDefault="00AC56D6" w:rsidP="00AC56D6">
      <w:pPr>
        <w:pStyle w:val="TextoNormal"/>
      </w:pPr>
      <w:r>
        <w:t xml:space="preserve">Advierte, en segundo lugar, que resulta evidente que la demandante de amparo conocía la existencia de la ejecución hipotecaria, cuando menos desde la fecha en que suscribió la escritura de compraventa y, a pesar de ello, consintió desde entonces que continuara la tramitación del procedimiento, bajo su propia y exclusiva responsabilidad, permitiendo la subasta de la finca, la aprobación del remate y finalmente la adjudicación de la misma al tercero cesionario, sin haber ejercitado la facultad que le confería el art. 662.3 LEC, lo que </w:t>
      </w:r>
      <w:r>
        <w:lastRenderedPageBreak/>
        <w:t>además podía hacer sin necesidad de estar personada en los autos. Ello determina que, conforme a la doctrina jurisprudencial, no pueda alegar indefensión quien, tras haber tenido conocimiento del procedimiento por otra vía, no observó la diligencia debida y se colocó a sí misma en situación de indefensión, al no comparecer en el procedimiento para la defensa de sus derechos.</w:t>
      </w:r>
    </w:p>
    <w:p w:rsidR="00AC56D6" w:rsidRDefault="00AC56D6" w:rsidP="00AC56D6">
      <w:pPr>
        <w:pStyle w:val="TextoNormal"/>
      </w:pPr>
    </w:p>
    <w:p w:rsidR="00AC56D6" w:rsidRDefault="00AC56D6" w:rsidP="00AC56D6">
      <w:pPr>
        <w:pStyle w:val="TextoNormal"/>
      </w:pPr>
      <w:r>
        <w:t>En resumen, para Banco Santander, S.A., el Juzgado de Primera Instancia núm. 4 de Arona no ha cometido deficiencia procesal alguna en la tramitación de la ejecución hipotecaria, ni ha prescindido de las normas procedimentales que regulan la ejecución hipotecaria (art. 681 y ss. LEC), habiéndose, por el contrario, respetado éstas en todo momento. Por ello, no existe vulneración del derecho a la tutela judicial efectiva, en su vertiente de acceso al proceso, ni se le ha causado indefensión alguna a la Sra. Londoño Molinares. Es más, la entidad personada afirma que, con posterioridad a la interposición de la demanda de amparo, la recurrente ha tenido intervención en el procedimiento, puesto que fue requerida para que aportara los títulos que justifican la ocupación de la vivienda, en fecha 9 de octubre de 2014, y por diligencia de fecha 19 de enero de 2015 fue convocada para la vista prevista en el art. 675.3 LEC, previa suspensión del lanzamiento acordado.</w:t>
      </w:r>
    </w:p>
    <w:p w:rsidR="00AC56D6" w:rsidRDefault="00AC56D6" w:rsidP="00AC56D6">
      <w:pPr>
        <w:pStyle w:val="TextoNormal"/>
      </w:pPr>
    </w:p>
    <w:p w:rsidR="00AC56D6" w:rsidRDefault="00AC56D6" w:rsidP="00AC56D6">
      <w:pPr>
        <w:pStyle w:val="TextoNormal"/>
      </w:pPr>
      <w:r>
        <w:t>Con carácter subsidiario solicita que, de prosperar el recurso de amparo, conforme a lo dispuesto en los arts. 243 de la Ley Orgánica del Poder Judicial (LOPJ) y 230 LEC, no se retrotraigan sin más las actuaciones al día 14 de abril del 2014, pues “debe respetarse el principio de la conservación, tanto de los actos que fueran independientes de aquellos que fueran anulados, como de los actos cuyo contenido hubiese permanecido invariado aún sin haberse cometido la infracción que dio lugar a la nulidad” (en el suplico se especifica los concretos actos y actuaciones que deben conservarse).</w:t>
      </w:r>
    </w:p>
    <w:p w:rsidR="00AC56D6" w:rsidRDefault="00AC56D6" w:rsidP="00AC56D6">
      <w:pPr>
        <w:pStyle w:val="TextoNormal"/>
      </w:pPr>
    </w:p>
    <w:p w:rsidR="00AC56D6" w:rsidRDefault="00AC56D6" w:rsidP="00AC56D6">
      <w:pPr>
        <w:pStyle w:val="TextoNormal"/>
      </w:pPr>
      <w:r w:rsidRPr="00AC56D6">
        <w:rPr>
          <w:rStyle w:val="NumeroAFNegritaCaracter"/>
        </w:rPr>
        <w:t>9</w:t>
      </w:r>
      <w:r>
        <w:t>. La representación procesal de la demandante de amparo formuló sus alegaciones, mediante escrito que tuvo su entrada en el Registro General de este Tribunal el día 25 de mayo de 2015, en el que se afirma y ratifica en el escrito de la demanda, sintetizando las causas por las que considera que debe otorgarse el amparo.</w:t>
      </w:r>
    </w:p>
    <w:p w:rsidR="00AC56D6" w:rsidRDefault="00AC56D6" w:rsidP="00AC56D6">
      <w:pPr>
        <w:pStyle w:val="TextoNormal"/>
      </w:pPr>
    </w:p>
    <w:p w:rsidR="00AC56D6" w:rsidRDefault="00AC56D6" w:rsidP="00AC56D6">
      <w:pPr>
        <w:pStyle w:val="TextoNormal"/>
      </w:pPr>
      <w:r w:rsidRPr="00AC56D6">
        <w:rPr>
          <w:rStyle w:val="NumeroAFNegritaCaracter"/>
        </w:rPr>
        <w:t>10</w:t>
      </w:r>
      <w:r>
        <w:t>. El Fiscal ante el Tribunal Constitucional presentó sus alegaciones, mediante escrito registrado el día 3 de junio de 2015, en el cual interesó el otorgamiento del amparo.</w:t>
      </w:r>
    </w:p>
    <w:p w:rsidR="00AC56D6" w:rsidRDefault="00AC56D6" w:rsidP="00AC56D6">
      <w:pPr>
        <w:pStyle w:val="TextoNormal"/>
      </w:pPr>
    </w:p>
    <w:p w:rsidR="00AC56D6" w:rsidRDefault="00AC56D6" w:rsidP="00AC56D6">
      <w:pPr>
        <w:pStyle w:val="TextoNormal"/>
      </w:pPr>
      <w:r>
        <w:t xml:space="preserve">El Fiscal aduce que al examinar el alcance de esa resolución judicial no pueden ignorarse ni la naturaleza de ejecución hipotecaria del procedimiento (con las graves consecuencias derivadas de su alcance), ni la muy defectuosa tramitación del referido procedimiento, con incumplimiento del deber de notificación al deudor, conforme a lo establecido por una constante doctrina constitucional, lo que le impidió acceder al procedimiento, tomar conocimiento del mismo y actuar en defensa de sus derechos e intereses y, en todo caso, </w:t>
      </w:r>
      <w:r w:rsidRPr="00AC56D6">
        <w:rPr>
          <w:i/>
        </w:rPr>
        <w:t>ex</w:t>
      </w:r>
      <w:r>
        <w:t xml:space="preserve"> art. 662 LEC acreditar la sucesión de otros titulares del bien ejecutado, lo que ha dado lugar a la conculcación del derecho a acceder al proceso que sustenta el art. 24.1 CE (citando, entre otras, las SSTC 122/2013, 1/2014 y, muy especialmente, las SSTC 136/2014 y 137/2014, de 8 de septiembre).</w:t>
      </w:r>
    </w:p>
    <w:p w:rsidR="00AC56D6" w:rsidRDefault="00AC56D6" w:rsidP="00AC56D6">
      <w:pPr>
        <w:pStyle w:val="TextoNormal"/>
      </w:pPr>
    </w:p>
    <w:p w:rsidR="00AC56D6" w:rsidRDefault="00AC56D6" w:rsidP="00AC56D6">
      <w:pPr>
        <w:pStyle w:val="TextoNormal"/>
      </w:pPr>
      <w:r>
        <w:t>Afirma el Fiscal que tampoco puede ignorarse que la resolución recurrida —la diligencia de ordenación de 29 de julio de 2014— forma parte de una interminable y heterodoxa ca</w:t>
      </w:r>
      <w:r>
        <w:lastRenderedPageBreak/>
        <w:t>dena de resoluciones que, desde la diligencia de ordenación de 9 de abril de 2014, han denegado a la demandante de amparo la posibilidad de acceder al proceso, bien cuando sostuvo la nulidad de actuaciones para denunciar su incomprensible ausencia de un proceso en el que se decidía la titularidad de un inmueble, titularidad que la demandante había acreditado con documentos públicos, bien cuando intentó la personación en el pleito invocando derechos de sucesión de la deudora ( arts. 661 y 662 LEC) o, simplemente, como tercero interviniente (art. 13 LEC). La única respuesta que mereció su intento de acceder al procedimiento fue la mera devolución de los escritos presentados, bajo el argumento de que no era parte en el pleito y que, en todo, caso podría alegar lo que entendiera pertinente en un juicio declarativo ordinario.</w:t>
      </w:r>
    </w:p>
    <w:p w:rsidR="00AC56D6" w:rsidRDefault="00AC56D6" w:rsidP="00AC56D6">
      <w:pPr>
        <w:pStyle w:val="TextoNormal"/>
      </w:pPr>
    </w:p>
    <w:p w:rsidR="00AC56D6" w:rsidRDefault="00AC56D6" w:rsidP="00AC56D6">
      <w:pPr>
        <w:pStyle w:val="TextoNormal"/>
      </w:pPr>
      <w:r>
        <w:t>El Ministerio Fiscal coincide con la demandante, cuando esta última sostiene que las denegaciones de las solicitudes de personación, de intervención y de declaración de nulidad de actuaciones fueron resueltas por la Secretaria Judicial a través de diligencias de ordenación, lo que contraviene y va más allá de las facultades reconocidas a aquélla, tanto en la LOPJ (art. 456.1, 2 y 3) como en la LEC (arts. 206.2, 208.1 y 546.5). Añade que lo planteado por la demandante de amparo significaba y exigía algo más que una actuación de mero impulso procesal, puesto que afectaba a la constitución de la relación jurídico procesal en una ejecución hipotecaria, en lo relativo a la personación en la misma como tercero interviniente o, de manera más esencial, a la resolución de un incidente de nulidad de actuaciones, que es el instrumento por excelencia para depurar los vicios con relevancia constitucional acaecidos en la tramitación o resolución de un proceso y, a su vez, “antesala no menos esencial de la formulación de una demanda de amparo, máxime en la reformada redacción del art. 228 LEC que habla claramente de su resolución por el Tribunal”.</w:t>
      </w:r>
    </w:p>
    <w:p w:rsidR="00AC56D6" w:rsidRDefault="00AC56D6" w:rsidP="00AC56D6">
      <w:pPr>
        <w:pStyle w:val="TextoNormal"/>
      </w:pPr>
    </w:p>
    <w:p w:rsidR="00AC56D6" w:rsidRDefault="00AC56D6" w:rsidP="00AC56D6">
      <w:pPr>
        <w:pStyle w:val="TextoNormal"/>
      </w:pPr>
      <w:r>
        <w:t>En tal sentido, subraya que naturaleza del incidente de nulidad de actuaciones regulado en el art. 228 LEC, tras su reforma operada por la Ley 13/2009, de 13 de noviembre, y en los arts. 238 a 240 LOPJ, es la que justifica de manera radical, la queja formulada en el presente amparo, cuando se examina la casi inexistente argumentación dada por el Secretario Judicial para directamente impedir su tramitación.</w:t>
      </w:r>
    </w:p>
    <w:p w:rsidR="00AC56D6" w:rsidRDefault="00AC56D6" w:rsidP="00AC56D6">
      <w:pPr>
        <w:pStyle w:val="TextoNormal"/>
      </w:pPr>
    </w:p>
    <w:p w:rsidR="00AC56D6" w:rsidRDefault="00AC56D6" w:rsidP="00AC56D6">
      <w:pPr>
        <w:pStyle w:val="TextoNormal"/>
      </w:pPr>
      <w:r>
        <w:t xml:space="preserve">El rechazo y la devolución del escrito planteando el incidente se hace con la mera consideración de que la demandante no era parte en el proceso de ejecución hipotecaria, algo que, precisamente, esta última había pretendido infructuosamente que le fuera reconocido, para poner de relieve a una serie de posibles vulneraciones de derechos fundamentales esenciales como el derecho de acceso al proceso, a no padecer indefensión y a la interdicción de la arbitrariedad </w:t>
      </w:r>
      <w:r w:rsidRPr="00AC56D6">
        <w:rPr>
          <w:i/>
        </w:rPr>
        <w:t>ex</w:t>
      </w:r>
      <w:r>
        <w:t xml:space="preserve"> art. 24.1 CE y la vulneración del derecho a la igualdad en la aplicación de la ley (art. 14 CE). Por todo lo expuesto, el Fiscal colige que la argumentación ofrecida “en modo alguno cubre no sólo las exigencias de una mera motivación máxime cuando se produce en un contexto de especial significación en cuanto a la argumentación, cual es el del derecho de acceso al proceso”. Más adelante, afirma que la diligencia de ordenación recurrida vulnera el derecho de acceso al proceso (art. 24.1 CE) al denegar la tramitación del incidente de nulidad de actuaciones planteado por la recurrente.</w:t>
      </w:r>
    </w:p>
    <w:p w:rsidR="00AC56D6" w:rsidRDefault="00AC56D6" w:rsidP="00AC56D6">
      <w:pPr>
        <w:pStyle w:val="TextoNormal"/>
      </w:pPr>
    </w:p>
    <w:p w:rsidR="00AC56D6" w:rsidRDefault="00AC56D6" w:rsidP="00AC56D6">
      <w:pPr>
        <w:pStyle w:val="TextoNormal"/>
      </w:pPr>
      <w:r>
        <w:t>Por el contrario, el Fiscal entiende que ningún contenido constitucional cabe atribuir a la supuesta vulneración del derecho a la igualdad (art. 14 CE), pues ese alegato exige un término concreto de comparación que signifique identificar otras resoluciones del mismo ór</w:t>
      </w:r>
      <w:r>
        <w:lastRenderedPageBreak/>
        <w:t>gano judicial que, para supuestos sustancialmente idénticos al denunciado, hayan sido decididos de manera diferente, término de comparación que no se suministra por la demandante de amparo (por todas, SSTC 134/1990, de 19 de julio, y 7/2015, de 22 de enero).</w:t>
      </w:r>
    </w:p>
    <w:p w:rsidR="00AC56D6" w:rsidRDefault="00AC56D6" w:rsidP="00AC56D6">
      <w:pPr>
        <w:pStyle w:val="TextoNormal"/>
      </w:pPr>
    </w:p>
    <w:p w:rsidR="00AC56D6" w:rsidRDefault="00AC56D6" w:rsidP="00AC56D6">
      <w:pPr>
        <w:pStyle w:val="TextoNormal"/>
      </w:pPr>
      <w:r>
        <w:t>Finaliza sus alegaciones el Fiscal con un planteamiento acerca del fallo que debería contener una potencial Sentencia estimatoria. En primer lugar afirma que, si se admite que la resolución judicial ha vulnerado el derecho fundamental prevenido en el art. 24.1 CE, en su vertiente de acceso al proceso, el alcance del amparo debe suponer, amén de la anulación de la resolución judicial recurrida y el reconocimiento del derecho fundamental vulnerado, la obligación de que por el Juzgado de Primera Instancia núm. 4 de Arona se dicte una resolución, en virtud de la cual se admita a trámite el incidente de nulidad de actuaciones y resuelva sobre el contenido del mismo.</w:t>
      </w:r>
    </w:p>
    <w:p w:rsidR="00AC56D6" w:rsidRDefault="00AC56D6" w:rsidP="00AC56D6">
      <w:pPr>
        <w:pStyle w:val="TextoNormal"/>
      </w:pPr>
    </w:p>
    <w:p w:rsidR="00AC56D6" w:rsidRDefault="00AC56D6" w:rsidP="00AC56D6">
      <w:pPr>
        <w:pStyle w:val="TextoNormal"/>
      </w:pPr>
      <w:r>
        <w:t>Sin embargo, ese planteamiento debería merecer una reconsideración, en atención a las circunstancias que han concurrido en la decisión final objeto de amparo. Entiende que la parte dispositiva de la Sentencia debería ser similar al fallo de la STC 79/2013 ya mencionada, e ir más allá de la mera anulación de la diligencia de ordenación que no tramitó el incidente de nulidad de actuaciones. Para el Ministerio Fiscal se debe corregir el punto esencial de un proceso fuertemente viciado en su permanente ignorancia de la debida presencia del tercero o terceros hipotecarios, por lo que procede la retroacción del procedimiento al momento en que debió formarse debidamente la relación jurídico-procesal, comunicando, de conformidad con lo dispuesto en el art. 689 LEC, el procedimiento en debida forma la existencia y estado del procedimiento al titular inscrito y a los acreedores posteriores, a fin de asegurar el sentido y finalidad del amparo concedido.</w:t>
      </w:r>
    </w:p>
    <w:p w:rsidR="00AC56D6" w:rsidRDefault="00AC56D6" w:rsidP="00AC56D6">
      <w:pPr>
        <w:pStyle w:val="TextoNormal"/>
      </w:pPr>
    </w:p>
    <w:p w:rsidR="00AC56D6" w:rsidRDefault="00AC56D6" w:rsidP="00AC56D6">
      <w:pPr>
        <w:pStyle w:val="TextoNormal"/>
      </w:pPr>
      <w:r w:rsidRPr="00AC56D6">
        <w:rPr>
          <w:rStyle w:val="NumeroAFNegritaCaracter"/>
        </w:rPr>
        <w:t>11</w:t>
      </w:r>
      <w:r>
        <w:t>. Por providencia de 1 de octubre se señaló para la deliberación y votación de la presente Sentencia el día 5 de octubre del mismo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presente recurso de amparo se dirige contra la diligencia de ordenación de 29 de julio de 2014, dictada por la Secretaría del Juzgado de Primera Instancia núm. 4 de Arona, que inadmitió, devolviendo el escrito, la petición de nulidad de actuaciones promovida por la demandante de amparo en el procedimiento de ejecución hipotecaria núm. 49-2012.</w:t>
      </w:r>
    </w:p>
    <w:p w:rsidR="00AC56D6" w:rsidRDefault="00AC56D6" w:rsidP="00AC56D6">
      <w:pPr>
        <w:pStyle w:val="TextoNormal"/>
      </w:pPr>
    </w:p>
    <w:p w:rsidR="00AC56D6" w:rsidRDefault="00AC56D6" w:rsidP="00AC56D6">
      <w:pPr>
        <w:pStyle w:val="TextoNormal"/>
      </w:pPr>
      <w:r>
        <w:t>En la demanda de amparo se imputa a la resolución recurrida la vulneración del derecho fundamental a la tutela judicial efectiva sin indefensión (art. 24.1 CE), al no declarar la nulidad de las actuaciones en el citado procedimiento, no permitiendo a quien tiene un legítimo interés comparecer en el mismo, lo que la privó de su derecho a ser oída y le impidió el ejercicio del derecho de defensa de sus legítimos derechos e intereses sobre el citado inmueble. Igualmente, en relación con la anterior, se alega la vulneración del derecho de acceso a la jurisdicción (art. 24.1 CE), lo que resulta incomprensible a la vista del conocimiento que tenía el Juzgado de su titularidad dominical y posesión como tercer adquirente (recordemos que se trata de la vivienda habitual de la demandante).</w:t>
      </w:r>
    </w:p>
    <w:p w:rsidR="00AC56D6" w:rsidRDefault="00AC56D6" w:rsidP="00AC56D6">
      <w:pPr>
        <w:pStyle w:val="TextoNormal"/>
      </w:pPr>
    </w:p>
    <w:p w:rsidR="00AC56D6" w:rsidRDefault="00AC56D6" w:rsidP="00AC56D6">
      <w:pPr>
        <w:pStyle w:val="TextoNormal"/>
      </w:pPr>
      <w:r>
        <w:lastRenderedPageBreak/>
        <w:t>A las anteriores consideraciones, añade la extralimitación en sus funciones del Secretario Judicial para resolver sobre la personación y posterior planteamiento del incidente de nulidad de actuaciones, que debieron ser adoptadas por el Juez de Primera Instancia, por tratarse de una materia que la ley encomienda a la potestad jurisdiccional. La lesión del art. 24.1 CE, en tal sentido, la entiende doblemente producida, pues no sólo se le ha impedido el acceso al proceso, sino que, a su juicio, la motivación es arbitraria, dado que el único argumento empleado en la diligencia de ordenación recurrida se ciñe a la carencia de legitimación para interponer el incidente por no ser parte en el procedimiento, lo que, precisamente, coincide con el contenido de la queja que en su escrito expone.</w:t>
      </w:r>
    </w:p>
    <w:p w:rsidR="00AC56D6" w:rsidRDefault="00AC56D6" w:rsidP="00AC56D6">
      <w:pPr>
        <w:pStyle w:val="TextoNormal"/>
      </w:pPr>
    </w:p>
    <w:p w:rsidR="00AC56D6" w:rsidRDefault="00AC56D6" w:rsidP="00AC56D6">
      <w:pPr>
        <w:pStyle w:val="TextoNormal"/>
      </w:pPr>
      <w:r>
        <w:t>El Ministerio Fiscal interesa, por su parte, la estimación del recurso por entender que concurre la vulneración del art. 24. 1 CE, mientras que la representación del Banco de Santander, S.A., se opone al recurso de amparo.</w:t>
      </w:r>
    </w:p>
    <w:p w:rsidR="00AC56D6" w:rsidRDefault="00AC56D6" w:rsidP="00AC56D6">
      <w:pPr>
        <w:pStyle w:val="TextoNormal"/>
      </w:pPr>
    </w:p>
    <w:p w:rsidR="00AC56D6" w:rsidRDefault="00AC56D6" w:rsidP="00AC56D6">
      <w:pPr>
        <w:pStyle w:val="TextoNormal"/>
      </w:pPr>
      <w:r w:rsidRPr="00AC56D6">
        <w:rPr>
          <w:rStyle w:val="NumeroAFNegritaCaracter"/>
        </w:rPr>
        <w:t>2</w:t>
      </w:r>
      <w:r>
        <w:t>. Este recurso de amparo plantea, una vez más, la cuestión relativa a la constitución de la relación jurídico procesal en el procedimiento de ejecución hipotecaria de la vigente Ley 1/2000, de 7 de enero, de enjuiciamiento civil (LEC), en relación con el titular de la finca que inscribe su adquisición con posterioridad al inicio del procedimiento. Problema sobre el que nos hemos pronunciado específicamente bajo la vigencia del procedimiento hipotecario de la actual Ley de enjuiciamiento civil, respecto a la intervención de terceros poseedores en el proceso de ejecución hipotecaria desde la perspectiva del interés legítimo (por todas, SSTC 29/2003, de 13 de febrero, 6/2008, de 21 de enero, 43/2010, 26 de julio, y STC 79/2013, de 8 de abril).</w:t>
      </w:r>
    </w:p>
    <w:p w:rsidR="00AC56D6" w:rsidRDefault="00AC56D6" w:rsidP="00AC56D6">
      <w:pPr>
        <w:pStyle w:val="TextoNormal"/>
      </w:pPr>
    </w:p>
    <w:p w:rsidR="00AC56D6" w:rsidRDefault="00AC56D6" w:rsidP="00AC56D6">
      <w:pPr>
        <w:pStyle w:val="TextoNormal"/>
      </w:pPr>
      <w:r>
        <w:t>En estos casos, este Tribunal ha considerado que la cuestión es relevante y de general repercusión social. Además, el presente caso presenta la singularidad de que la denegación del acceso a la jurisdicción (art. 24.1) a la demandante de amparo, quien pretendía someter a la consideración judicial la eventual vulneración de sus derechos fundamentales, trae causa de una resolución dictada por el Secretario Judicial que, según sostienen la recurrente y el Ministerio Fiscal, excede del ámbito competencial que la nueva regulación orgánica y procesal le confiere.</w:t>
      </w:r>
    </w:p>
    <w:p w:rsidR="00AC56D6" w:rsidRDefault="00AC56D6" w:rsidP="00AC56D6">
      <w:pPr>
        <w:pStyle w:val="TextoNormal"/>
      </w:pPr>
    </w:p>
    <w:p w:rsidR="00AC56D6" w:rsidRDefault="00AC56D6" w:rsidP="00AC56D6">
      <w:pPr>
        <w:pStyle w:val="TextoNormal"/>
      </w:pPr>
      <w:r w:rsidRPr="00AC56D6">
        <w:rPr>
          <w:rStyle w:val="NumeroAFNegritaCaracter"/>
        </w:rPr>
        <w:t>3</w:t>
      </w:r>
      <w:r>
        <w:t>. Vistos los términos en que se formula la demanda de amparo cumple decir que, desde la óptica del derecho fundamental a la tutela judicial efectiva sin indefensión, en su vertiente del acceso a la jurisdicción, procede abordar el presente recurso desde una doble perspectiva: por un lado, el hecho de negar la legitimación a la recurrente para interponer el incidente de nulidad de actuaciones, por no ser parte en el procedimiento judicial, argumento este que se reitera en las sucesivas diligencias de ordenación enumeradas en los “antecedentes” de esta Sentencia; y, por otra parte, la consiguiente falta de sustanciación del incidente de nulidad de actuaciones planteado por la demandante, que fue inadmitido mediante la devolución del escrito en que se planteó el referido incidente, so pretexto de no ostentar esta última la condición de parte procesal. Siendo así el alcance de nuestro pronunciamiento se circunscribe a la diligencia de ordenación impugnada en esta sede, sin trascender a ulteriores actuaciones procesales.</w:t>
      </w:r>
    </w:p>
    <w:p w:rsidR="00AC56D6" w:rsidRDefault="00AC56D6" w:rsidP="00AC56D6">
      <w:pPr>
        <w:pStyle w:val="TextoNormal"/>
      </w:pPr>
    </w:p>
    <w:p w:rsidR="00AC56D6" w:rsidRDefault="00AC56D6" w:rsidP="00AC56D6">
      <w:pPr>
        <w:pStyle w:val="TextoNormal"/>
      </w:pPr>
      <w:r>
        <w:t xml:space="preserve">En relación con la primera de la perspectivas enunciadas, cumple decir que este Tribunal ha declarado reiteradamente, y así lo ha recordado en la STC 79/2013, de 8 de abril, FJ 2 “que el derecho a la tutela judicial efectiva sin indefensión (art. 24.1 CE) garantiza a todos </w:t>
      </w:r>
      <w:r>
        <w:lastRenderedPageBreak/>
        <w:t>los que puedan resultar afectados por la decisión que se dicte en un proceso judicial el derecho a conocer su existencia, a fin de que tengan la posibilidad de intervenir en él, ser oídos, y ejercer la defensa de sus derechos e intereses legítimos …”.</w:t>
      </w:r>
    </w:p>
    <w:p w:rsidR="00AC56D6" w:rsidRDefault="00AC56D6" w:rsidP="00AC56D6">
      <w:pPr>
        <w:pStyle w:val="TextoNormal"/>
      </w:pPr>
    </w:p>
    <w:p w:rsidR="00AC56D6" w:rsidRDefault="00AC56D6" w:rsidP="00AC56D6">
      <w:pPr>
        <w:pStyle w:val="TextoNormal"/>
      </w:pPr>
      <w:r>
        <w:t>Asimismo, en el fundamento jurídico 3 de la STC 79/2013 ya citada hemos hecho hincapié en la idea de que “la validez global de la estructura procedimental de la ejecución hipotecaria en modo alguno admite excepciones al derecho de defensa de los interesados, no siendo admisibles lecturas restrictivas de la intervención de quienes son titulares de derechos e intereses legítimos, entre los que figuran los denominados legalmente como ‘terceros poseedores’ y el propietario de los bienes que no se ha subrogado en el contenido obligacional garantizado con la hipoteca”. Mientras que, en su fundamento jurídico 4 sostuvimos que “una línea constante y uniforme de este Tribunal en materia de acceso al proceso en general (art. 24.1 CE), y al procedimiento de ejecución hipotecaria en particular, ha promovido la defensa, dando la oportunidad de participar, contradictoriamente, en la fase de ejecución de este procedimiento especial, al existir una posición privilegiada del acreedor derivada de la fuerza ejecutiva del título”.</w:t>
      </w:r>
    </w:p>
    <w:p w:rsidR="00AC56D6" w:rsidRDefault="00AC56D6" w:rsidP="00AC56D6">
      <w:pPr>
        <w:pStyle w:val="TextoNormal"/>
      </w:pPr>
    </w:p>
    <w:p w:rsidR="00AC56D6" w:rsidRDefault="00AC56D6" w:rsidP="00AC56D6">
      <w:pPr>
        <w:pStyle w:val="TextoNormal"/>
      </w:pPr>
      <w:r>
        <w:t>Por último, también debe tenerse en cuenta que “nuestra doctrina impone, con absoluta claridad, que la interdicción de la indefensión consagrada en el art. 24.1 CE implique a los órganos judiciales en el deber de velar para que quienes ostenten algún derecho o interés legítimo en un proceso de ejecución, aunque no hayan sido parte en el proceso principal, puedan comparecer y ser oídos en el mismo a fin de garantizar su defensa, sin perjuicio del pronunciamiento que pueda recaer y de la posible existencia de otras acciones que puedan corresponder a los afectados” (STC 43/2010, de 26 de julio, FJ 2).</w:t>
      </w:r>
    </w:p>
    <w:p w:rsidR="00AC56D6" w:rsidRDefault="00AC56D6" w:rsidP="00AC56D6">
      <w:pPr>
        <w:pStyle w:val="TextoNormal"/>
      </w:pPr>
    </w:p>
    <w:p w:rsidR="00AC56D6" w:rsidRDefault="00AC56D6" w:rsidP="00AC56D6">
      <w:pPr>
        <w:pStyle w:val="TextoNormal"/>
      </w:pPr>
      <w:r w:rsidRPr="00AC56D6">
        <w:rPr>
          <w:rStyle w:val="NumeroAFNegritaCaracter"/>
        </w:rPr>
        <w:t>4</w:t>
      </w:r>
      <w:r>
        <w:t>. Desde el plano de la legalidad infraconstitucional, cabe afirmar que la vigente Ley de enjuiciamiento civil derogó el pretérito art. 134 de la Ley hipotecaria (en adelante, LH) y su tratamiento procesal lo encontramos ahora en el art. 662.1 LEC. El tercer poseedor que acredite la inscripción de su título puede comparecer en el proceso, pues a diferencia de lo que establecía el art. 134 LH, que señalaba que podría pedir que se le exhibieran los autos en la Secretaría, y el Juez lo acordaría sin paralizar el curso del procedimiento, entendiéndose con él las diligencias ulteriores, “como subrogado en el lugar del deudor”, la vigente Ley de enjuiciamiento civil solamente señala que “se entenderán con él las diligencias ulteriores”.</w:t>
      </w:r>
    </w:p>
    <w:p w:rsidR="00AC56D6" w:rsidRDefault="00AC56D6" w:rsidP="00AC56D6">
      <w:pPr>
        <w:pStyle w:val="TextoNormal"/>
      </w:pPr>
    </w:p>
    <w:p w:rsidR="00AC56D6" w:rsidRDefault="00AC56D6" w:rsidP="00AC56D6">
      <w:pPr>
        <w:pStyle w:val="TextoNormal"/>
      </w:pPr>
      <w:r>
        <w:t>Igualmente, debe recordarse que el tercer poseedor que haya comparecido en el procedimiento puede, en cualquier momento anterior a la aprobación del remate o a la adjudicación al acreedor, liberar el inmueble satisfaciendo lo que se deba al acreedor por principal, intereses y costas, dentro de los límites de la responsabilidad a que esté sujeto el bien (art. 662.3 LEC); intervenir en la subasta tomando parte en ella, instando su celebración (art. 691.1 LEC), presentar tercero que mejore la postura y promover el declarativo ordinario contra lo actuado en el proceso (698.1 LEC). Como se puede entender —y es lo que ha sucedido en el presente recurso de amparo—, si a este tercer poseedor no se le permite personarse en los autos, tampoco tendrá intervención alguna en su desarrollo.</w:t>
      </w:r>
    </w:p>
    <w:p w:rsidR="00AC56D6" w:rsidRDefault="00AC56D6" w:rsidP="00AC56D6">
      <w:pPr>
        <w:pStyle w:val="TextoNormal"/>
      </w:pPr>
    </w:p>
    <w:p w:rsidR="00AC56D6" w:rsidRDefault="00AC56D6" w:rsidP="00AC56D6">
      <w:pPr>
        <w:pStyle w:val="TextoNormal"/>
      </w:pPr>
      <w:r>
        <w:t xml:space="preserve">Es cierto, como sostiene la entidad financiera Banco Santander, S.A., que el tercer adquirente posterior a la expedición de cargas y gravámenes realizada por el Registrador conoce el contenido del Registro y la existencia de un procedimiento de ejecución hipotecaria. </w:t>
      </w:r>
      <w:r>
        <w:lastRenderedPageBreak/>
        <w:t>La nota marginal le sirve de notificación. Si no comparece lo hace a su propio riesgo y ventura, sin que a nadie más que a él mismo deba imputarse la negligencia. Sólo al titular del dominio que ha inscrito después de la certificación de cargas, compete la garantía de sus intereses, a través de la actividad que pueda desplegar compareciendo por propia iniciativa en los autos para hacer valer sus posibles derechos, sin que el Juez o el Secretario Judicial estén obligados a tomar medidas en defensa de derechos cuya existencia ignora. Pero, precisamente por ese motivo, una vez se tuvo conocimiento de la existencia de un tercer poseedor debió permitírsele la personación en el sentido que establece el art. 662.1 LEC.</w:t>
      </w:r>
    </w:p>
    <w:p w:rsidR="00AC56D6" w:rsidRDefault="00AC56D6" w:rsidP="00AC56D6">
      <w:pPr>
        <w:pStyle w:val="TextoNormal"/>
      </w:pPr>
    </w:p>
    <w:p w:rsidR="00AC56D6" w:rsidRDefault="00AC56D6" w:rsidP="00AC56D6">
      <w:pPr>
        <w:pStyle w:val="TextoNormal"/>
      </w:pPr>
      <w:r>
        <w:t>En suma, mediante la diligencia de ordenación recurrida en amparo, al igual que las restantes diligencias de ordenación recogidas en los antecedentes de esta resolución, se resolvió devolver el escrito de interposición del incidente excepcional de nulidad de actuaciones promovido por la parte recurrente en amparo, al afirmar que carecía de legitimación por no ser “parte” en el procedimiento. Por ello, se impidió a la recurrente acceder al procedimiento de ejecución hipotecaria sin respetar las exigencias impuestas por la doctrina constitucional objeto de cita.</w:t>
      </w:r>
    </w:p>
    <w:p w:rsidR="00AC56D6" w:rsidRDefault="00AC56D6" w:rsidP="00AC56D6">
      <w:pPr>
        <w:pStyle w:val="TextoNormal"/>
      </w:pPr>
    </w:p>
    <w:p w:rsidR="00AC56D6" w:rsidRDefault="00AC56D6" w:rsidP="00AC56D6">
      <w:pPr>
        <w:pStyle w:val="TextoNormal"/>
      </w:pPr>
      <w:r w:rsidRPr="00AC56D6">
        <w:rPr>
          <w:rStyle w:val="NumeroAFNegritaCaracter"/>
        </w:rPr>
        <w:t>5</w:t>
      </w:r>
      <w:r>
        <w:t>. La demandante de amparo también denuncia la extralimitación en sus funciones del Secretario Judicial, de cara a resolver sobre su personación y posterior planteamiento del incidente de nulidad de actuaciones, pues entiende que debió ser el Juez de Primera Instancia quien resolviera al respecto, por tratarse de una materia que la Ley encomienda a la potestad jurisdiccional.</w:t>
      </w:r>
    </w:p>
    <w:p w:rsidR="00AC56D6" w:rsidRDefault="00AC56D6" w:rsidP="00AC56D6">
      <w:pPr>
        <w:pStyle w:val="TextoNormal"/>
      </w:pPr>
    </w:p>
    <w:p w:rsidR="00AC56D6" w:rsidRDefault="00AC56D6" w:rsidP="00AC56D6">
      <w:pPr>
        <w:pStyle w:val="TextoNormal"/>
      </w:pPr>
      <w:r>
        <w:t>La reciente STC 9/2014, de 27 de enero, FJ 3, recordando otras anteriores, vuelve a subrayar que en el incidente de nulidad “se plasma la opción del legislador, en el ejercicio de la habilitación que constitucionalmente le confiere el art. 161.1 b) CE, en relación con su art. 53.2, por una nueva configuración del recurso de amparo, toda vez que, en principio, tras la reforma llevada a cabo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tanto que recurso orientado primordialmente a reparar las lesiones causadas en los derechos fundamentales y libertades públicas del demandante susceptibles de amparo”. Y añade: “De esta forma, se configura por el legislador el sistema de garantías de los derechos fundamentales encomendado a los Jueces y Tribunales como guardianes naturales y primeros de dichos derechos (STC 227/1999, de 13 de diciembre, FJ 1), a los que confiere un mayor protagonismo en su protección (ampliación del incidente de nulidad de actuaciones), y culminado por el Tribunal Constitucional que, además de garante último, es su máximo intérprete (arts. 53.2 y 123 CE y 1.1 LOTC)”.</w:t>
      </w:r>
    </w:p>
    <w:p w:rsidR="00AC56D6" w:rsidRDefault="00AC56D6" w:rsidP="00AC56D6">
      <w:pPr>
        <w:pStyle w:val="TextoNormal"/>
      </w:pPr>
    </w:p>
    <w:p w:rsidR="00AC56D6" w:rsidRDefault="00AC56D6" w:rsidP="00AC56D6">
      <w:pPr>
        <w:pStyle w:val="TextoNormal"/>
      </w:pPr>
      <w:r>
        <w:t xml:space="preserve">Por tanto, las decisiones de inadmisión del incidente de nulidad de actuaciones, cuando es procedente su planteamiento, implican la preterición del mecanismo de tutela ante la jurisdicción ordinaria, lo cual resulta más grave en supuestos, como el presente, en que estamos ante un proceso de única instancia, por lo que el único mecanismo de tutela ordinaria de los derechos fundamentales vulnerados en el proceso </w:t>
      </w:r>
      <w:r w:rsidRPr="00AC56D6">
        <w:rPr>
          <w:i/>
        </w:rPr>
        <w:t>a quo</w:t>
      </w:r>
      <w:r>
        <w:t>, singularmente las referidas a vicios de la Sentencia, es precisamente el incidente previsto en los arts. 241 de la Ley Orgánica del Poder Judicial (LOPJ) y 228 LEC.</w:t>
      </w:r>
    </w:p>
    <w:p w:rsidR="00AC56D6" w:rsidRDefault="00AC56D6" w:rsidP="00AC56D6">
      <w:pPr>
        <w:pStyle w:val="TextoNormal"/>
      </w:pPr>
    </w:p>
    <w:p w:rsidR="00AC56D6" w:rsidRDefault="00AC56D6" w:rsidP="00AC56D6">
      <w:pPr>
        <w:pStyle w:val="TextoNormal"/>
      </w:pPr>
      <w:r>
        <w:lastRenderedPageBreak/>
        <w:t>En efecto, el protagonismo otorgado por la Ley Orgánica 6/2007, de 24 de mayo, a los Tribunales ordinarios, acentuando su función como primeros garantes de los derechos fundamentales en el ordenamiento jurídico y con el fin de lograr que la tutela y defensa de esos derechos por parte del Tribunal Constitucional sea realmente subsidiaria, debe ser puesta en conexión con la especial trascendencia constitucional a que hizo referencia la STC 43/2010, de 26 de julio, FJ 5, al afirmar que “el incidente de nulidad de actuaciones era un instrumento idóneo para la tutela del derecho fundamental en cuestión, y que su resolución debía tener presente que —de no tener el caso trascendencia constitucional— se trataría de la última vía que permitiría la reparación de la vulneración denunciada”.</w:t>
      </w:r>
    </w:p>
    <w:p w:rsidR="00AC56D6" w:rsidRDefault="00AC56D6" w:rsidP="00AC56D6">
      <w:pPr>
        <w:pStyle w:val="TextoNormal"/>
      </w:pPr>
    </w:p>
    <w:p w:rsidR="00AC56D6" w:rsidRDefault="00AC56D6" w:rsidP="00AC56D6">
      <w:pPr>
        <w:pStyle w:val="TextoNormal"/>
      </w:pPr>
      <w:r>
        <w:t>Así las cosas, el rechazo del incidente de nulidad mediante la diligencia de ordenación recurrida en esta sede, en el entendimiento que la demandante de amparo no era parte del procedimiento de ejecución, implicó la desprotección de esta vertiente del art. 24.1 CE en sede de jurisdicción ordinaria, habida cuenta de que, en el presente caso, el incidente de nulidad de actuaciones era la única vía que tenía la demandante de amparo para reparar la lesión de su derecho fundamental a la tutela judicial efectiva. A ello, cabe añadir que una deficiente protección de los derechos denunciados, en sede judicial, puede dejar a los afectados sin ningún tipo de protección, en aquellos casos que las vulneraciones de los derechos fundamentales en que pudiera haber incurrir la resolución impugnada, a través del incidente de nulidad de actuaciones, carecieran de trascendencia constitucional.</w:t>
      </w:r>
    </w:p>
    <w:p w:rsidR="00AC56D6" w:rsidRDefault="00AC56D6" w:rsidP="00AC56D6">
      <w:pPr>
        <w:pStyle w:val="TextoNormal"/>
      </w:pPr>
    </w:p>
    <w:p w:rsidR="00AC56D6" w:rsidRDefault="00AC56D6" w:rsidP="00AC56D6">
      <w:pPr>
        <w:pStyle w:val="TextoNormal"/>
      </w:pPr>
      <w:r>
        <w:t>En el caso de autos, es patente la vulneración del derecho a la tutela judicial invocada por la recurrente (art. 24.1 CE). En primer lugar, porque el incidente excepcional de nulidad de actuaciones fue rechazado y devuelto al socaire de una motivación irrazonable —no ser parte en el proceso de ejecución—, sin tener en cuenta que el art. 241 LOPJ autoriza la interposición del referido incidente no sólo a quienes sean partes legítimas, sino también a quienes “hubieran debido serlo”. Por otro lado, hay que tener presente que corresponde exclusivamente al órgano judicial (Juez o Tribunal), en el ejercicio de la potestad jurisdiccional (art. 117 CE) y, desde luego, la resolución de los incidentes de nulidad de actuaciones.</w:t>
      </w:r>
    </w:p>
    <w:p w:rsidR="00AC56D6" w:rsidRDefault="00AC56D6" w:rsidP="00AC56D6">
      <w:pPr>
        <w:pStyle w:val="TextoNormal"/>
      </w:pPr>
    </w:p>
    <w:p w:rsidR="00AC56D6" w:rsidRDefault="00AC56D6" w:rsidP="00AC56D6">
      <w:pPr>
        <w:pStyle w:val="TextoNormal"/>
      </w:pPr>
      <w:r>
        <w:t>De manera diáfana, los apartados uno y dos del art. 241 LOPJ atribuyen la competencia para conocer del incidente de nulidad de actuaciones al Juez o Tribunal que dictó la resolución que hubiera adquirido firmeza, incluso cuando proceda la inadmisión a trámite del incidente, pues la resolución que así lo acuerde debe ser una providencia sucintamente motivada. A la vista de lo expuesto, el aspecto verdaderamente relevante, desde el prisma en que se sitúa este Tribunal, no se anuda a la nulidad que comporta resolver mediante diligencia de ordenación cuestiones que, conforme a la Ley, han de ser resueltas por medio de providencia o Auto (art. 228. 6 LEC, en relación con el art. 238.6 LOPJ), sino al hecho de que la actuación desarrollada por el Secretario Judicial ha supuesto, en su manifestación más primaria, una efectiva denegación de la tutela judicial efectiva pues, de hecho, impidió que el Juez pudiera entrar a conocer sobre una pretensión cuya resolución le compete con carácter exclusivo. Somos conscientes de que nuestro enjuiciamiento no se proyecta sobre una actuación jurisdiccional, pero lo cierto es que la actuación material del Secretario Judicial —la devolución de los escritos presentados— extralimitándose en su competencia, impidió que el Juez pudiera desarrollar su función jurisdiccional, lo cual justifica que este Tribunal deba intervenir para reparar la lesión del derecho fundamental a la tutela judicial efectiva sin indefensión, en su variante de acceso a la jurisdicción.</w:t>
      </w:r>
    </w:p>
    <w:p w:rsidR="00AC56D6" w:rsidRDefault="00AC56D6" w:rsidP="00AC56D6">
      <w:pPr>
        <w:pStyle w:val="TextoNormal"/>
      </w:pPr>
    </w:p>
    <w:p w:rsidR="00AC56D6" w:rsidRDefault="00AC56D6" w:rsidP="00AC56D6">
      <w:pPr>
        <w:pStyle w:val="TextoNormal"/>
      </w:pPr>
      <w:r>
        <w:lastRenderedPageBreak/>
        <w:t>Es más, este Tribunal ya tuvo ocasión de pronunciarse respecto de un caso similar, concretamente en la STC 115/1999, de 14 de junio, supuesto este en el que el Secretario Judicial reiteradamente inadmitió, incluso mediante su devolución, los escritos dirigidos al Juez para interesar la revisión de las resoluciones procesales dictadas por aquél. En esa ocasión, en el fundamento jurídico 4 de la citada Sentencia afirmamos que: “… Y ello especialmente, porque, cuando el ahora recurrente insta la revisión que procede contra las diligencias de ordenación, privando a la parte de su derecho a que la diligencia impugnada sea examinada y revisada por quien está investido de jurisdicción, con lo que, además de vulnerarse flagrantemente la citada obligación de dar cuenta al titular del órgano judicial del escrito presentado, se inaplica manifiestamente lo dispuesto en el art. 289 LOPJ. Por ello, nos encontramos ante una actuación procesal, consistente en las referidas diligencias de ordenación, que ha impedido al recurrente obtener una resolución judicial que diera respuesta a sus pretensiones de comparecer en el pleito civil y contestar a la demanda en él formulada, así como a su pretensión de que se declarara la nulidad de actuaciones, sin que, paradójicamente, haya recaído una decisión judicial que pudiera ser impugnada ante los órganos judiciales superiores mediante el sistema de recursos legalmente previsto en las leyes procesales para las resoluciones del Juez de Primera Instancia, lo que constituye una violación del derecho a la tutela judicial efectiva del art. 24.1 CE, que debe ser reparada otorgando el amparo solicitado”.</w:t>
      </w:r>
    </w:p>
    <w:p w:rsidR="00AC56D6" w:rsidRDefault="00AC56D6" w:rsidP="00AC56D6">
      <w:pPr>
        <w:pStyle w:val="TextoNormal"/>
      </w:pPr>
    </w:p>
    <w:p w:rsidR="00AC56D6" w:rsidRDefault="00AC56D6" w:rsidP="00AC56D6">
      <w:pPr>
        <w:pStyle w:val="TextoNormal"/>
      </w:pPr>
      <w:r>
        <w:t>Las anteriores consideraciones permiten concluir que se ha vulnerado el derecho a la tutela judicial efectiva sin indefensión de la recurrente, al no habérsele permitido personarse en el procedimiento de ejecución hipotecaria indicado y, a su vez, por impedir que el órgano judicial haya podido resolver lo procedente respecto del incidente de nulidad que la resolución combatida en el presente recurso inadmitió mediante la devolución del escrito.</w:t>
      </w:r>
    </w:p>
    <w:p w:rsidR="00AC56D6" w:rsidRDefault="00AC56D6" w:rsidP="00AC56D6">
      <w:pPr>
        <w:pStyle w:val="TextoNormal"/>
      </w:pPr>
    </w:p>
    <w:p w:rsidR="00AC56D6" w:rsidRDefault="00AC56D6" w:rsidP="00AC56D6">
      <w:pPr>
        <w:pStyle w:val="TextoNormal"/>
      </w:pPr>
      <w:r w:rsidRPr="00AC56D6">
        <w:rPr>
          <w:rStyle w:val="NumeroAFNegritaCaracter"/>
        </w:rPr>
        <w:t>6</w:t>
      </w:r>
      <w:r>
        <w:t>. De conformidad con lo dispuesto en el art. 55.1 LOTC procede estimar el recurso de amparo y declarar la nulidad de la diligencia de ordenación dictada por el Secretario Judicial del Juzgado de Primera Instancia núm. 4 de Arona, en fecha de 29 de julio de 2014, en el procedimiento de ejecución hipotecaria núm. 49-2012, por vulnerar el derecho del demandante a la tutela judicial efectiva sin indefensión, en su vertiente del derecho de acceso a la jurisdicción (art. 24.1 CE). En cuanto a las medidas necesarias para el restablecimiento del derecho de la demandante, este Tribunal considera que, a la vista de las consideraciones formuladas en el fundamento jurídico anterior, para reparar la lesión causada basta con admitir la legitimación de la recurrente para interponer el incidente de nulidad de actuaciones y, a su vez, incorporar al procedimiento el escrito cuya devolución fue acordada por la diligencia de ordenación combatida en esta sede, a fin de que el órgano judicial resuelva el incidente de nulidad de actuaciones formulado por aquélla.</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lastRenderedPageBreak/>
        <w:t>Ha decidido</w:t>
      </w:r>
    </w:p>
    <w:p w:rsidR="00AC56D6" w:rsidRDefault="00AC56D6" w:rsidP="00AC56D6">
      <w:pPr>
        <w:pStyle w:val="TextoNormalCentrado"/>
        <w:keepNext/>
      </w:pPr>
    </w:p>
    <w:p w:rsidR="00AC56D6" w:rsidRDefault="00AC56D6" w:rsidP="00AC56D6">
      <w:pPr>
        <w:pStyle w:val="TextoNormal"/>
      </w:pPr>
      <w:r>
        <w:t>Estimar el amparo solicitado por la representación procesal de doña Adelaida Londoño Molinares y, en consecuencia:</w:t>
      </w:r>
    </w:p>
    <w:p w:rsidR="00AC56D6" w:rsidRDefault="00AC56D6" w:rsidP="00AC56D6">
      <w:pPr>
        <w:pStyle w:val="TextoNormal"/>
      </w:pPr>
    </w:p>
    <w:p w:rsidR="00AC56D6" w:rsidRDefault="00AC56D6" w:rsidP="00AC56D6">
      <w:pPr>
        <w:pStyle w:val="TextoNormal"/>
      </w:pPr>
      <w:r>
        <w:t>1º Reconocer el derecho de la parte recurrente a la tutela judicial efectiva sin indefensión (art. 24.1 CE).</w:t>
      </w:r>
    </w:p>
    <w:p w:rsidR="00AC56D6" w:rsidRDefault="00AC56D6" w:rsidP="00AC56D6">
      <w:pPr>
        <w:pStyle w:val="TextoNormal"/>
      </w:pPr>
    </w:p>
    <w:p w:rsidR="00AC56D6" w:rsidRDefault="00AC56D6" w:rsidP="00AC56D6">
      <w:pPr>
        <w:pStyle w:val="TextoNormal"/>
      </w:pPr>
      <w:r>
        <w:t>2º Restablecerla en su derecho y, en consecuencia, declarar la nulidad de la diligencia de ordenación de 29 de julio de 2014, dictada por el Juzgado de Primera Instancia núm. 4 de Arona, que devolvió la solicitud de nulidad de actuaciones promovida en el procedimiento de ejecución hipotecaria número 49-2012.</w:t>
      </w:r>
    </w:p>
    <w:p w:rsidR="00AC56D6" w:rsidRDefault="00AC56D6" w:rsidP="00AC56D6">
      <w:pPr>
        <w:pStyle w:val="TextoNormal"/>
      </w:pPr>
    </w:p>
    <w:p w:rsidR="00AC56D6" w:rsidRDefault="00AC56D6" w:rsidP="00AC56D6">
      <w:pPr>
        <w:pStyle w:val="TextoNormal"/>
      </w:pPr>
      <w:r>
        <w:t>3º Retrotraer las actuaciones al momento inmediatamente anterior al dictado de esta última resolución, para que en su lugar se dicte una respetuosa del contenido del derecho fundamental que le ha sido reconocido, en los términos y con el alcance que se concreta en el anterior fundamento jurídico sexto de esta Sentencia.</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cinco de octubre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65" w:name="SENTENCIA_2015_209"/>
      <w:r>
        <w:lastRenderedPageBreak/>
        <w:t>SENTENCIA 209/2015, de 8 de octubre de 2015</w:t>
      </w:r>
    </w:p>
    <w:bookmarkEnd w:id="65"/>
    <w:p w:rsidR="00AC56D6" w:rsidRDefault="00AC56D6" w:rsidP="00AC56D6">
      <w:pPr>
        <w:pStyle w:val="TtuloResolucin"/>
      </w:pPr>
      <w:r>
        <w:t>Pleno</w:t>
      </w:r>
    </w:p>
    <w:p w:rsidR="00AC56D6" w:rsidRDefault="00AC56D6" w:rsidP="00AC56D6">
      <w:pPr>
        <w:pStyle w:val="TtuloBOE"/>
      </w:pPr>
      <w:r>
        <w:t>(BOE núm. 272, de 13 de noviembre de 2015)</w:t>
      </w:r>
    </w:p>
    <w:p w:rsidR="00AC56D6" w:rsidRDefault="00AC56D6" w:rsidP="00AC56D6">
      <w:pPr>
        <w:pStyle w:val="TextoNormalCentrado"/>
      </w:pPr>
      <w:r>
        <w:t>ECLI:ES:TC:2015:209</w:t>
      </w:r>
    </w:p>
    <w:p w:rsidR="00AC56D6" w:rsidRDefault="00AC56D6" w:rsidP="00AC56D6">
      <w:pPr>
        <w:pStyle w:val="TextoNormalCentrado"/>
      </w:pPr>
    </w:p>
    <w:p w:rsidR="00AC56D6" w:rsidRDefault="00AC56D6" w:rsidP="00AC56D6">
      <w:pPr>
        <w:pStyle w:val="SntesisDescriptiva"/>
      </w:pPr>
      <w:r>
        <w:t>Recurso de inconstitucionalidad 1133-2014. Interpuesto por el Presidente del Gobierno en relación con los apartados a) y c) del artículo 4.2 de la Ley 2/2013, de 29 de mayo, de renovación y modernización turística de Canarias.</w:t>
      </w:r>
    </w:p>
    <w:p w:rsidR="00AC56D6" w:rsidRDefault="00AC56D6" w:rsidP="00AC56D6">
      <w:pPr>
        <w:pStyle w:val="SntesisDescriptiva"/>
      </w:pPr>
    </w:p>
    <w:p w:rsidR="00AC56D6" w:rsidRDefault="00AC56D6" w:rsidP="00AC56D6">
      <w:pPr>
        <w:pStyle w:val="SntesisAnaltica"/>
      </w:pPr>
      <w:r>
        <w:t>Competencias sobre ordenación general de la economía, ordenación del territorio y del litoral, turismo, urbanismo y vivienda: nulidad de los preceptos legales autonómicos relativos al régimen de autorizaciones administrativas previas para plazas de alojamiento turístico en Lanzarote, Fuerteventura, Gran Canaria y Tenerife.</w:t>
      </w:r>
    </w:p>
    <w:p w:rsidR="00AC56D6" w:rsidRDefault="00AC56D6" w:rsidP="00AC56D6">
      <w:pPr>
        <w:pStyle w:val="SntesisAnaltica"/>
      </w:pPr>
    </w:p>
    <w:p w:rsidR="00AC56D6" w:rsidRDefault="00AC56D6" w:rsidP="00AC56D6">
      <w:pPr>
        <w:pStyle w:val="Extracto"/>
      </w:pPr>
      <w:r>
        <w:t>1.</w:t>
      </w:r>
      <w:r>
        <w:tab/>
        <w:t>La indebida introducción de un criterio económico para la concesión de autorización para el ejercicio de una actividad de servicios vulneró la norma básica legítimamente establecida por el Estado al amparo del título competencial sobre ordenación económica [FJ 5].</w:t>
      </w:r>
    </w:p>
    <w:p w:rsidR="00AC56D6" w:rsidRDefault="00AC56D6" w:rsidP="00AC56D6">
      <w:pPr>
        <w:pStyle w:val="Extracto"/>
      </w:pPr>
    </w:p>
    <w:p w:rsidR="00AC56D6" w:rsidRDefault="00AC56D6" w:rsidP="00AC56D6">
      <w:pPr>
        <w:pStyle w:val="Extracto"/>
      </w:pPr>
      <w:r>
        <w:t>2.</w:t>
      </w:r>
      <w:r>
        <w:tab/>
        <w:t>La introducción de un requisito de política económica y turística, consistente en la categoría cinco estrellas o superior de los establecimientos turísticos, como condicionante del acceso a una actividad de servicios o de su ejercicio se encuentra vedada por la Ley 17/2009, de 23 de noviembre, sobre el libre acceso a las actividades de servicios y su ejercicio [FJ 5].</w:t>
      </w:r>
    </w:p>
    <w:p w:rsidR="00AC56D6" w:rsidRDefault="00AC56D6" w:rsidP="00AC56D6">
      <w:pPr>
        <w:pStyle w:val="Extracto"/>
      </w:pPr>
    </w:p>
    <w:p w:rsidR="00AC56D6" w:rsidRDefault="00AC56D6" w:rsidP="00AC56D6">
      <w:pPr>
        <w:pStyle w:val="Extracto"/>
      </w:pPr>
      <w:r>
        <w:t>3.</w:t>
      </w:r>
      <w:r>
        <w:tab/>
        <w:t>Los requisitos que supediten el acceso a una actividad de servicios o su ejercicio han de estar justificados en una razón imperiosa de interés general [FJ 4].</w:t>
      </w:r>
    </w:p>
    <w:p w:rsidR="00AC56D6" w:rsidRDefault="00AC56D6" w:rsidP="00AC56D6">
      <w:pPr>
        <w:pStyle w:val="Extracto"/>
      </w:pPr>
    </w:p>
    <w:p w:rsidR="00AC56D6" w:rsidRDefault="00AC56D6" w:rsidP="00AC56D6">
      <w:pPr>
        <w:pStyle w:val="Extracto"/>
      </w:pPr>
      <w:r>
        <w:t>4.</w:t>
      </w:r>
      <w:r>
        <w:tab/>
        <w:t>La protección del medio ambiente, del entorno urbano y la ordenación territorial pueden ser causa justificativa para la imposición del límite que supone la exigencia de autorización para el ejercicio de una actividad de servicios [FJ 5].</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Garcia, don Juan Antonio Xiol Ríos,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lastRenderedPageBreak/>
        <w:t>SENTENCIA</w:t>
      </w:r>
    </w:p>
    <w:p w:rsidR="00AC56D6" w:rsidRDefault="00AC56D6" w:rsidP="00AC56D6">
      <w:pPr>
        <w:pStyle w:val="TextoNormalCentrado"/>
        <w:keepNext/>
      </w:pPr>
    </w:p>
    <w:p w:rsidR="00AC56D6" w:rsidRDefault="00AC56D6" w:rsidP="00AC56D6">
      <w:pPr>
        <w:pStyle w:val="TextoNormal"/>
      </w:pPr>
      <w:r>
        <w:t>En el recurso de inconstitucionalidad núm. 1133-2014 interpuesto por el Presidente del Gobierno contra los apartados a) y c) del art. 4.2 de la Ley 2/2013, de 29 de mayo, de renovación y modernización turística de Canarias. Han comparecido y formulado alegaciones el Parlamento y el Gobierno de Canarias. Ha sido Ponente el Magistrado don Juan Antonio Xiol Ríos,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presentado en el Registro General de este Tribunal Constitucional el día 25 de febrero de 2014 el Abogado del Estado, en nombre del Presidente del Gobierno, interpone recurso de inconstitucionalidad contra los apartados a) y c) del art. 4.2 de la Ley 2/2013, de 29 de mayo, de renovación y modernización turística de Canarias. El Abogado del Estado invocó el art. 161.2 CE, a fin de que se acordase la suspensión de los preceptos impugnados.</w:t>
      </w:r>
    </w:p>
    <w:p w:rsidR="00AC56D6" w:rsidRDefault="00AC56D6" w:rsidP="00AC56D6">
      <w:pPr>
        <w:pStyle w:val="TextoNormal"/>
      </w:pPr>
    </w:p>
    <w:p w:rsidR="00AC56D6" w:rsidRDefault="00AC56D6" w:rsidP="00AC56D6">
      <w:pPr>
        <w:pStyle w:val="TextoNormal"/>
      </w:pPr>
      <w:r>
        <w:t>Los motivos del recurso son, resumidamente expuestos, los siguientes:</w:t>
      </w:r>
    </w:p>
    <w:p w:rsidR="00AC56D6" w:rsidRDefault="00AC56D6" w:rsidP="00AC56D6">
      <w:pPr>
        <w:pStyle w:val="TextoNormal"/>
      </w:pPr>
    </w:p>
    <w:p w:rsidR="00AC56D6" w:rsidRDefault="00AC56D6" w:rsidP="00AC56D6">
      <w:pPr>
        <w:pStyle w:val="TextoNormal"/>
      </w:pPr>
      <w:r>
        <w:t>El Abogado del Estado reproduce los preceptos impugnados, indicando que, conforme al preámbulo de la norma, se dictan al amparo de las competencias autonómicas en materia de ordenación del territorio y del litoral, urbanismo y vivienda y en materia de consumo. Resalta que los preceptos impugnados vulneran la Ley 17/2009, de 23 noviembre, de libre acceso a las actividades de servicios y su ejercicio, dictada al amparo del art. 149.1.13 CE, y, al hacerlo, incurre en inconstitucionalidad mediata o indirecta. El Abogado del Estado no tiene dudas del carácter básico de la mencionada Ley 17/2009, pues así se califica expresamente en su disposición final primera y recoge el común denominador normativo necesario para asegurar la unidad fundamental prevista por las normas del bloque de la constitucionalidad que establecen la distribución de competencias.</w:t>
      </w:r>
    </w:p>
    <w:p w:rsidR="00AC56D6" w:rsidRDefault="00AC56D6" w:rsidP="00AC56D6">
      <w:pPr>
        <w:pStyle w:val="TextoNormal"/>
      </w:pPr>
    </w:p>
    <w:p w:rsidR="00AC56D6" w:rsidRDefault="00AC56D6" w:rsidP="00AC56D6">
      <w:pPr>
        <w:pStyle w:val="TextoNormal"/>
      </w:pPr>
      <w:r>
        <w:t>En el contexto de la Directiva 2006/123/CE, relativa a los servicios en el mercado interior, el art. 4.1 de la Ley 17/2009 consagra en el ordenamiento jurídico interno el principio de libertad de establecimiento en todo el territorio nacional, “sin más limitaciones que las establecidas de acuerdo con lo previsto en esta Ley”. Entre esas limitaciones se encuentra la del artículo 7.3 a) en el que señala que podrán exigirse autorizaciones a determinadas actividades económicas “para cada establecimiento físico cuando sea susceptible de generar daños sobre el medio ambiente y el entorno urbano, la seguridad o la salud pública y el patrimonio histórico-artístico, evaluándose este riesgo de acuerdo con las características de las instalaciones”. Por tanto, siendo cierto que por razones medioambientales o urbanísticas pueden establecerse limitaciones al principio de libertad de establecimiento, también lo es que el artículo 10 e) prohíbe la utilización de requisitos de naturaleza económica.</w:t>
      </w:r>
    </w:p>
    <w:p w:rsidR="00AC56D6" w:rsidRDefault="00AC56D6" w:rsidP="00AC56D6">
      <w:pPr>
        <w:pStyle w:val="TextoNormal"/>
      </w:pPr>
    </w:p>
    <w:p w:rsidR="00AC56D6" w:rsidRDefault="00AC56D6" w:rsidP="00AC56D6">
      <w:pPr>
        <w:pStyle w:val="TextoNormal"/>
      </w:pPr>
      <w:r>
        <w:t xml:space="preserve">El Abogado del Estado defiende que los preceptos impugnados suponen una barrera casi total a la entrada de nuevos operadores contrario a los principios liberalizadores de la Directiva de servicios, pues limitar la autorización de nuevas instalaciones hoteleras en Canarias únicamente a los hoteles (y apartamentos) de cinco estrellas o superior es un requisito de naturaleza económica, en la medida en que la exigencia de una determinada categoría </w:t>
      </w:r>
      <w:r>
        <w:lastRenderedPageBreak/>
        <w:t>hotelera se evalúa en términos de oferta y/o demanda turísticas, estrechamente ligados a pruebas económicas, vulnerando así la prohibición del art. 10 e) de la Ley 17/2009. A lo anterior añade que “el propio preámbulo de la Ley impugnada pone de manifiesto que se están invocando razones imperiosas de interés general que encubren requisitos de planificación económica” así como que “no existe una relación directa entre el criterio aplicado, esto es, el establecimiento de un límite a una determinada categoría hotelera motivada en términos de la potencial demanda que pueda tener, y las razones imperiosas que se pretenden salvaguardar, esto es, la adecuada protección del medio ambiente y el entorno urbano de los núcleos turísticos”. Por ello concluye que los apartados a) y c) del art. 4.2 de la Ley 2/2013 incurren en inconstitucionalidad mediata por contravenir la prohibición de carácter básico de evaluar requisitos económicos para el acceso a actividades de servicios impuesta por el art. 10 e) de la Ley 17/2009, mencionando, a mayor abundamiento, la necesidad de garantizar el principio de proporcionalidad en la intervención pública, establecido en la Ley 2/2011, de 4 de marzo, de economía sostenible y en la Ley 20/2013, de 9 de diciembre, de garantía de la unidad de mercado.</w:t>
      </w:r>
    </w:p>
    <w:p w:rsidR="00AC56D6" w:rsidRDefault="00AC56D6" w:rsidP="00AC56D6">
      <w:pPr>
        <w:pStyle w:val="TextoNormal"/>
      </w:pPr>
    </w:p>
    <w:p w:rsidR="00AC56D6" w:rsidRDefault="00AC56D6" w:rsidP="00AC56D6">
      <w:pPr>
        <w:pStyle w:val="TextoNormal"/>
      </w:pPr>
      <w:r>
        <w:t>A la vista de lo anterior el Abogado del Estado concluye que la exigencia de autorización como requisito necesario para la implantación de nuevos alojamientos turísticos en las Islas Canarias o para la ampliación o renovación de los ya existentes en determinadas partes de su territorio, resulta a priori conforme con el régimen contenido en la Ley estatal. Sin embargo, no sucede así en este caso pues no todos los establecimientos hoteleros y extrahoteleros pueden ser autorizados, sino tan solo los que tengan categoría de cinco estrellas o más. Restricción que no guarda conexión directa con la razón imperiosa de interés general que se invoca como causa justificativa de la exigencia de autorización, la protección del medio ambiente, sino que más bien parece responder al designio del legislador autonómico de garantizar un determinado tipo de turismo, que responda a la planificación o programación que el propio legislador lleva a cabo en la norma, incurriendo así en la prohibición establecida por el art. 10 e) de la Ley 17/2009.</w:t>
      </w:r>
    </w:p>
    <w:p w:rsidR="00AC56D6" w:rsidRDefault="00AC56D6" w:rsidP="00AC56D6">
      <w:pPr>
        <w:pStyle w:val="TextoNormal"/>
      </w:pPr>
    </w:p>
    <w:p w:rsidR="00AC56D6" w:rsidRDefault="00AC56D6" w:rsidP="00AC56D6">
      <w:pPr>
        <w:pStyle w:val="TextoNormal"/>
      </w:pPr>
      <w:r>
        <w:t>Finalmente, el escrito de interposición alude a la doctrina constitucional sobre la Ley 17/2009, citando especialmente la STC 26/2012, FJ 5.</w:t>
      </w:r>
    </w:p>
    <w:p w:rsidR="00AC56D6" w:rsidRDefault="00AC56D6" w:rsidP="00AC56D6">
      <w:pPr>
        <w:pStyle w:val="TextoNormal"/>
      </w:pPr>
    </w:p>
    <w:p w:rsidR="00AC56D6" w:rsidRDefault="00AC56D6" w:rsidP="00AC56D6">
      <w:pPr>
        <w:pStyle w:val="TextoNormal"/>
      </w:pPr>
      <w:r w:rsidRPr="00AC56D6">
        <w:rPr>
          <w:rStyle w:val="NumeroAFNegritaCaracter"/>
        </w:rPr>
        <w:t>2</w:t>
      </w:r>
      <w:r>
        <w:t>. Mediante providencia de 10 de marzo de 2014 el Pleno, a propuesta de la Sección Primera, acordó admitir a trámite el recurso de inconstitucionalidad promovido por el Presidente del Gobierno y, en su representación y defensa, por el Abogado del Estado, contra los apartados a) y c) del art. 4.2 de la Ley 2/2013, de 29 de mayo, de renovación y modernización turística de Canarias; dar traslado de la demanda y documentos presentados, conforme establece el artículo 34 de la Ley Orgánica del Tribunal Constitucional (LOTC), al Congreso de los Diputados y al Senado, por conducto de sus Presidentes, y al Gobierno y al Parlamento de Canarias, al objeto de que, en el plazo de quince días, pudieran personarse en el proceso y formular las alegaciones que estimaren convenientes. Asimismo, se tuvo por invocado por el Presidente del Gobierno el art. 161.2 LOTC, lo que, a su tenor y conforme dispone el art. 30 LOTC, produce la suspensión de la vigencia y aplicación de los preceptos impugnados desde la fecha de interposición del recurso —25 de febrero de 2014— para las partes del proceso y desde el día en que aparezca publicada la suspensión en el “Boletín Oficial del Estado” para los terceros, lo que se comunicó a los Presidentes del Gobierno y del Parlamento de Canarias. Por último se ordenó publicar la incoación del recurso en el “Boletín Oficial del Estado” y en el “Boletín Oficial de Canarias”.</w:t>
      </w:r>
    </w:p>
    <w:p w:rsidR="00AC56D6" w:rsidRDefault="00AC56D6" w:rsidP="00AC56D6">
      <w:pPr>
        <w:pStyle w:val="TextoNormal"/>
      </w:pPr>
    </w:p>
    <w:p w:rsidR="00AC56D6" w:rsidRDefault="00AC56D6" w:rsidP="00AC56D6">
      <w:pPr>
        <w:pStyle w:val="TextoNormal"/>
      </w:pPr>
      <w:r w:rsidRPr="00AC56D6">
        <w:rPr>
          <w:rStyle w:val="NumeroAFNegritaCaracter"/>
        </w:rPr>
        <w:t>3</w:t>
      </w:r>
      <w:r>
        <w:t>. Mediante escrito registrado con fecha 19 de marzo de 2014, el Presidente del Senado comunicó el acuerdo de la Mesa de la Cámara de personarse en el procedimiento y ofrecer su colaboración a los efectos del art. 88.1 LOTC. Lo mismo hizo el Presidente del Congreso de los Diputados por escrito que tuvo entrada en este Tribunal el día 20 de marzo.</w:t>
      </w:r>
    </w:p>
    <w:p w:rsidR="00AC56D6" w:rsidRDefault="00AC56D6" w:rsidP="00AC56D6">
      <w:pPr>
        <w:pStyle w:val="TextoNormal"/>
      </w:pPr>
    </w:p>
    <w:p w:rsidR="00AC56D6" w:rsidRDefault="00AC56D6" w:rsidP="00AC56D6">
      <w:pPr>
        <w:pStyle w:val="TextoNormal"/>
      </w:pPr>
      <w:r w:rsidRPr="00AC56D6">
        <w:rPr>
          <w:rStyle w:val="NumeroAFNegritaCaracter"/>
        </w:rPr>
        <w:t>4</w:t>
      </w:r>
      <w:r>
        <w:t>. Por escrito registrado el 31 de marzo de 2014 la Directora General del Servicio Jurídico del Gobierno de Canarias se personó en el proceso solicitando una prórroga en el plazo para la formulación de alegaciones, prórroga que le fue concedida por providencia del Pleno de 1 de abril.</w:t>
      </w:r>
    </w:p>
    <w:p w:rsidR="00AC56D6" w:rsidRDefault="00AC56D6" w:rsidP="00AC56D6">
      <w:pPr>
        <w:pStyle w:val="TextoNormal"/>
      </w:pPr>
    </w:p>
    <w:p w:rsidR="00AC56D6" w:rsidRDefault="00AC56D6" w:rsidP="00AC56D6">
      <w:pPr>
        <w:pStyle w:val="TextoNormal"/>
      </w:pPr>
      <w:r w:rsidRPr="00AC56D6">
        <w:rPr>
          <w:rStyle w:val="NumeroAFNegritaCaracter"/>
        </w:rPr>
        <w:t>5</w:t>
      </w:r>
      <w:r>
        <w:t>. Las alegaciones presentadas por el Letrado Secretario General del Parlamento de Canarias interesando la desestimación del recurso fueron registradas en este Tribunal el día 4 de abril de 2014.</w:t>
      </w:r>
    </w:p>
    <w:p w:rsidR="00AC56D6" w:rsidRDefault="00AC56D6" w:rsidP="00AC56D6">
      <w:pPr>
        <w:pStyle w:val="TextoNormal"/>
      </w:pPr>
    </w:p>
    <w:p w:rsidR="00AC56D6" w:rsidRDefault="00AC56D6" w:rsidP="00AC56D6">
      <w:pPr>
        <w:pStyle w:val="TextoNormal"/>
      </w:pPr>
      <w:r>
        <w:t>El escrito de alegaciones comienza aludiendo al contenido de la norma impugnada para luego analizar los títulos competenciales autonómicos en materia de urbanismo, ordenación territorial y turismo y su eventual condicionamiento por la competencia estatal para determinar las bases y coordinación de la planificación general de la actividad económica. Recalca el carácter exclusivo de la competencia autonómica sobre ordenación del territorio y urbanismo, lo que determina que no pueda, sin más, establecerse la prevalencia de las competencias estatales con las que se relacione sino que habrá que “examinar de forma casuística cuál sea la competencia ejercida por el Estado, para decidir sobre la legitimidad o ilegitimidad de la norma que pretenda desplazar o limitar la competencia autonómica de ordenación del territorio”. En cuanto a las competencias sobre turismo señala su carácter exclusivo de manera que incumbe a la Comunidad Autónoma “la planificación y ordenación de la actividad e industria turística correspondiéndole articular su oferta turística, disponiendo las necesarias infraestructuras y la dotación de los equipamientos y servicios, previendo el emplazamiento de los distintos establecimientos y cuidando los recursos paisajísticos, ambientales y los atractivos de todo tipo que han de cualificar el producto turístico resultante”. Analiza a continuación la doctrina constitucional en torno al art. 149.1.13 CE, resaltando el carácter no expansivo de su aplicación, que determina en este caso que la fijación de la categoría de los hoteles no precise de una actuación unitaria en todo el territorio del Estado. Carácter limitado de la competencia estatal que también se manifestaría respecto a la autonómica de ordenación del territorio y urbanismo. Por ello concluye que “las medidas que adopte el Estado en uso de sus competencias horizontales, para ser legítimas, se han de ceñir obligadamente a lo estrictamente preciso para lograr el objetivo que se proponen, es decir, han de ceñirse a la finalidad que justifica la competencia estatal, sin que en ningún supuesto puedan expandirse con el propósito de imponer a las Comunidades Autónomas un marco limitativo que suplante o incida directamente sobre el modelo urbanístico autonómico, comprendiendo, claro está, la política turística de índole territorial”.</w:t>
      </w:r>
    </w:p>
    <w:p w:rsidR="00AC56D6" w:rsidRDefault="00AC56D6" w:rsidP="00AC56D6">
      <w:pPr>
        <w:pStyle w:val="TextoNormal"/>
      </w:pPr>
    </w:p>
    <w:p w:rsidR="00AC56D6" w:rsidRDefault="00AC56D6" w:rsidP="00AC56D6">
      <w:pPr>
        <w:pStyle w:val="TextoNormal"/>
      </w:pPr>
      <w:r>
        <w:t xml:space="preserve">El Letrado Secretario General del Parlamento de Canarias se refiere al alcance de las disposiciones de la Directiva 2006/123/CE y de la Ley 17/2009 que la transpone. Niega que ambas normas hayan llevado a cabo una liberalización integral de los servicios turísticos, sino que lo que exigen es un tratamiento igual a los nacionales de los diversos Estados en la aplicación de los controles administrativos, como la licencia turística y no excluyen, como </w:t>
      </w:r>
      <w:r>
        <w:lastRenderedPageBreak/>
        <w:t>parece sostener la demanda, la exigencia de requisitos para operar en el mercado. Por otra parte ni la Directiva de Servicios ni la Ley 17/2009 tendrían una aplicación directa e inmediata en la materia que aquí se trata, pues la autorización turística se relacionaría con la ordenación del territorio, que es un ámbito al que no se aplican las previsiones de ambas. La representación procesal del Parlamento de Canarias sostiene que, incluso admitiendo que este régimen liberalizador fuera de aplicación al ámbito urbanístico, el régimen autorizatorio estaría justificado por las razones de interés general concurrentes en la materia y por integrar el régimen estatutario de la propiedad urbana inmobiliaria. Señala al respecto que “la única novedad que introdujo en su día el legislador canario en uso de sus competencias fue la de desglosar la licencia, diferenciando dos aspectos: el de obras que continuó denominándose licencia urbanística, y, el turístico que pasó a integrar una autorización sectorial concurrente”. El Parlamento de Canarias argumenta también que no concurren aquí requisitos restrictivos que resulten prohibidos por la Directiva de servicios. Reiterando que nos encontramos en el ámbito urbanístico señala que el establecimiento de autorizaciones es un medio idóneo para la consecución de los objetivos de interés general concernientes a la protección del medio ambiente y del entorno urbano, pues no es concebible el mantenimiento de una disciplina urbanística si el impulso de la actividad edificatoria y el desarrollo urbanístico se deja por completo en mano de la iniciativa de los particulares, sin más control que el que pudiera establecerse a posteriori. Alega que no toda planificación es una planificación económica en el sentido prohibido por la Directiva de servicios y que, en todo caso, lo que estaría prohibido sería condicionar el otorgamiento de la autorización a una valoración individualizada caso por caso. Por el contrario “el requerimiento de que los nuevos establecimientos que se incorporen al mercado sean de la máxima categoría turística (cinco estrellas) obedece a criterios objetivos y no supone una evaluación anticipada e individual de la resistencia de la demanda preexistente a la agregación de un nueva unidad marginal de oferta alojativa”. Razón por la que no puede considerarse que el estándar turístico inmobiliario que la norma contiene incurra en una práctica prohibida, pues no hay aquí planificación económica sino cumplimiento de la ordenación territorial aplicable, por lo que obedece a una finalidad de interés general que se compadece con las exigencias del derechos comunitario y respeta el principio de igualdad.</w:t>
      </w:r>
    </w:p>
    <w:p w:rsidR="00AC56D6" w:rsidRDefault="00AC56D6" w:rsidP="00AC56D6">
      <w:pPr>
        <w:pStyle w:val="TextoNormal"/>
      </w:pPr>
    </w:p>
    <w:p w:rsidR="00AC56D6" w:rsidRDefault="00AC56D6" w:rsidP="00AC56D6">
      <w:pPr>
        <w:pStyle w:val="TextoNormal"/>
      </w:pPr>
      <w:r>
        <w:t>El Letrado de la Cámara autonómica señala que en Canarias la planificación sectorial turística queda integrada con la ordenación territorial y urbanística, para así tener en cuenta todos los aspectos que conlleva el fenómeno turístico. Lo anterior entronca con el necesario control de la calidad de los espacios turísticos, especialmente en sus aspectos urbanísticos y medioambientales, otorgando preferencia a la implantación hotelera y dispensando al suelo turístico un tratamiento diferenciado y fijando parámetros sobre infraestructuras y servicios relativos a la urbanización turística. Por ello, estima que “el legislador, al requerir una determinada categoría para los establecimientos turísticos, lo que establece es la necesaria concurrencia de unos estándares que aseguren la cualificación del producto turístico”.</w:t>
      </w:r>
    </w:p>
    <w:p w:rsidR="00AC56D6" w:rsidRDefault="00AC56D6" w:rsidP="00AC56D6">
      <w:pPr>
        <w:pStyle w:val="TextoNormal"/>
      </w:pPr>
    </w:p>
    <w:p w:rsidR="00AC56D6" w:rsidRDefault="00AC56D6" w:rsidP="00AC56D6">
      <w:pPr>
        <w:pStyle w:val="TextoNormal"/>
      </w:pPr>
      <w:r>
        <w:t xml:space="preserve">Destaca la necesidad de modernización y renovación del modelo turístico en Canarias para evitar su declive optando por un inaplazable cambio en el modelo caracterizado por la diversificación y la excelencia turística poniendo su acento en los rasgos cualitativos y redefinido sobre la base de la sostenibilidad, teniendo en cuenta tanto que los espacios turísticos tienen limitadas posibilidades de crecimiento como la necesidad de racionalizar el consumo de los recursos. Por ello, el Letrado del Parlamento de Canarias defiende que “no todos los establecimientos conllevan el mismo nivel de presión y deterioro del entorno, pues </w:t>
      </w:r>
      <w:r>
        <w:lastRenderedPageBreak/>
        <w:t>los de superior categoría propician un negocio que obtiene la misma o superior rentabilidad económica con un número inferior de visitantes y adicionalmente generan un empleo estable y de superior calidad”. Así, para evitar el deterioro de los destinos turísticos, la opción de futuro pasa por incrementar la calidad del destino, y de ahí la coherencia de la exigencia de una mayor categoría de los hoteles.</w:t>
      </w:r>
    </w:p>
    <w:p w:rsidR="00AC56D6" w:rsidRDefault="00AC56D6" w:rsidP="00AC56D6">
      <w:pPr>
        <w:pStyle w:val="TextoNormal"/>
      </w:pPr>
    </w:p>
    <w:p w:rsidR="00AC56D6" w:rsidRDefault="00AC56D6" w:rsidP="00AC56D6">
      <w:pPr>
        <w:pStyle w:val="TextoNormal"/>
      </w:pPr>
      <w:r>
        <w:t>La representación del Parlamento de Canarias niega que las normas impugnadas carezcan de necesidad, razonabilidad y proporcionalidad y que se trate de un supuesto de planificación económica prohibida. Menciona la libertad de configuración del legislador atendiendo a la naturaleza y finalidad de las cuestiones a resolver, sin que la constitucionalidad de la medida guarde relación con su idoneidad o acierto. En todo caso las normas se basan en razones no sólo medioambientales sino relacionadas con la ordenación del territorio y de política turística y su validez no puede depender de un juicio sobre lo conveniente que pueda resultar. En todo caso estima que no es “el legislador canario quien ha de acreditar la idoneidad de las medidas propuestas, sino más bien la parte impugnante la que ha de demostrar que la norma incurre en irracionalidad”, lo que, su juicio, no se ha conseguido en el presente caso pues el legislador canario puede favorecer una correcta estructuración de la oferta y fomentar un tipo de turismo que responda a la planificación y programación que esta actividad lleva a cabo a través de la norma. Señala además que nada impide que en la planificación abstracta y general se tomen en consideración, entre otros muchos, aspectos económicos, pues en la programación de todo sector económico, y el turismo lo es, debe tenerse presente el impacto económico que se pueda derivar de la programación que se establezca.</w:t>
      </w:r>
    </w:p>
    <w:p w:rsidR="00AC56D6" w:rsidRDefault="00AC56D6" w:rsidP="00AC56D6">
      <w:pPr>
        <w:pStyle w:val="TextoNormal"/>
      </w:pPr>
    </w:p>
    <w:p w:rsidR="00AC56D6" w:rsidRDefault="00AC56D6" w:rsidP="00AC56D6">
      <w:pPr>
        <w:pStyle w:val="TextoNormal"/>
      </w:pPr>
      <w:r>
        <w:t>Finalmente el escrito del Parlamento de Canarias niega que resulte aplicable al caso la doctrina constitucional citada por el Abogado del Estado en especial la STC 26/2012 pues entiende que la norma balear que allí se declaraba inconstitucional se conectaba directamente con factores económicos y comerciales, lo que no sucede cuando se exige una categoría turística que alude a las características de excelencia del establecimiento y fija, por remisión a ellas, los requerimientos sobre servicios, dotaciones y equipamientos. No se trata entonces de requisitos de planificación de naturaleza económica, sino simplemente de planificación territorial de carácter turístico.</w:t>
      </w:r>
    </w:p>
    <w:p w:rsidR="00AC56D6" w:rsidRDefault="00AC56D6" w:rsidP="00AC56D6">
      <w:pPr>
        <w:pStyle w:val="TextoNormal"/>
      </w:pPr>
    </w:p>
    <w:p w:rsidR="00AC56D6" w:rsidRDefault="00AC56D6" w:rsidP="00AC56D6">
      <w:pPr>
        <w:pStyle w:val="TextoNormal"/>
      </w:pPr>
      <w:r w:rsidRPr="00AC56D6">
        <w:rPr>
          <w:rStyle w:val="NumeroAFNegritaCaracter"/>
        </w:rPr>
        <w:t>6</w:t>
      </w:r>
      <w:r>
        <w:t>. La Directora General del servicio jurídico del Gobierno de Canarias formuló sus alegaciones el día 21 de abril de 2014.</w:t>
      </w:r>
    </w:p>
    <w:p w:rsidR="00AC56D6" w:rsidRDefault="00AC56D6" w:rsidP="00AC56D6">
      <w:pPr>
        <w:pStyle w:val="TextoNormal"/>
      </w:pPr>
    </w:p>
    <w:p w:rsidR="00AC56D6" w:rsidRDefault="00AC56D6" w:rsidP="00AC56D6">
      <w:pPr>
        <w:pStyle w:val="TextoNormal"/>
      </w:pPr>
      <w:r>
        <w:t xml:space="preserve">El escrito de la representación del Gobierno de Canarias comienza aludiendo al contenido de la Ley 2/2013, recalcando la necesidad de mantener las autorizaciones administrativas previas por razones vinculadas a la ordenación territorial o al medio ambiente como parte de una estrategia de política turística, basada en la promoción de un turismo económica, ambiental y socialmente sostenible que ya contaba con antecedentes en la legislación canaria. A tal efecto alude a diversas normas canarias que, a su juicio, evidencian “la apuesta del legislador canario, competente con carácter exclusivo en materia de turismo y de ordenación del territorio y de urbanismo, por garantizar el desarrollo sostenible del sector, con atención especial a los recursos naturales del archipiélago y a su fragilidad territorial, con preocupación en contener el crecimiento alojativo”. Alega así que desde el año 2001 se limitó la implantación de establecimientos turísticos en razón de sus categorías, sin que ello suscitase reproche alguno. Es claro, por tanto, que las normas impugnadas no establecen un nuevo mecanismo de intervención, sino que el mismo ha quedado básicamente inalterado </w:t>
      </w:r>
      <w:r>
        <w:lastRenderedPageBreak/>
        <w:t>desde la aprobación de la Ley 7/1995, de 6 de abril, de ordenación del turismo de Canarias, buscando un equilibrio entre el desarrollo del turismo y los recursos de las islas.</w:t>
      </w:r>
    </w:p>
    <w:p w:rsidR="00AC56D6" w:rsidRDefault="00AC56D6" w:rsidP="00AC56D6">
      <w:pPr>
        <w:pStyle w:val="TextoNormal"/>
      </w:pPr>
    </w:p>
    <w:p w:rsidR="00AC56D6" w:rsidRDefault="00AC56D6" w:rsidP="00AC56D6">
      <w:pPr>
        <w:pStyle w:val="TextoNormal"/>
      </w:pPr>
      <w:r>
        <w:t>La Directora General del servicio jurídico del Gobierno de Canarias hace referencia a la delimitación competencial en materia de urbanismo y ordenación territorial y en materia de turismo, títulos competenciales en los que se basa la Ley 2/2013.</w:t>
      </w:r>
    </w:p>
    <w:p w:rsidR="00AC56D6" w:rsidRDefault="00AC56D6" w:rsidP="00AC56D6">
      <w:pPr>
        <w:pStyle w:val="TextoNormal"/>
      </w:pPr>
    </w:p>
    <w:p w:rsidR="00AC56D6" w:rsidRDefault="00AC56D6" w:rsidP="00AC56D6">
      <w:pPr>
        <w:pStyle w:val="TextoNormal"/>
      </w:pPr>
      <w:r>
        <w:t>Con respecto al primero, recalca su carácter exclusivo y señala que en Canarias “se ha entendido que en el turismo como sector económico predominante concurría un interés supralocal que justifica su consideración en el marco de la ordenación territorial insular, sin perjuicio de su proyección sobre el modelo urbanístico de cada municipio”. Recuerda también la doctrina constitucional acerca de la concurrencia de competencias en un mismo espacio físico y la necesidad de determinar la competencia prevalente, sin que el conflicto pueda solventarse aduciendo la superioridad del interés estatal sobre el autonómico. En cuanto a las competencias exclusivas de la Comunidad Autónoma en materia de turismo destaca que “la proyección de la política turística sobre el territorio entronca directamente y de forma natural con la ordenación territorial y urbanística pues el turismo es el sector económico que de manera más significada consume terreno como un factor capital de su oferta”. Justifica así el uso de la técnica de la planificación integrada para equilibrar el impacto territorial que supone el turismo, defendiendo que la mayor calidad de los espacios turísticos conlleva un menor impacto ambiental y permite el establecimiento de estándares más exigentes que los aplicables a los desarrollos urbanísticos residenciales, lo que puede hacerse por remisión al sistema de clasificación de establecimientos turísticos por categorías. Destaca a continuación la necesidad de renovación y modernización del modelo turístico canario apostando por un modelo sostenible, de crecimiento limitado o restringido, respetuoso con los recursos naturales y las exigencias medioambientales. En ese contexto resalta la capacidad de absorción limitada de los destinos turísticos, señalando que “no todos los establecimientos conllevan el mismo nivel de presión y deterioro del entorno, pues los de superior categoría propician un negocio que obtiene la misma o superior rentabilidad económica con un número inferior de visitantes y adicionalmente generan un empleo estable y de superior calidad. La explotación menos intensiva que se da en el turismo de excelencia implica, por un lado, una menor demanda proporcional de suministros y servicios, y por otra parte, una mejor calidad ambiental”.</w:t>
      </w:r>
    </w:p>
    <w:p w:rsidR="00AC56D6" w:rsidRDefault="00AC56D6" w:rsidP="00AC56D6">
      <w:pPr>
        <w:pStyle w:val="TextoNormal"/>
      </w:pPr>
    </w:p>
    <w:p w:rsidR="00AC56D6" w:rsidRDefault="00AC56D6" w:rsidP="00AC56D6">
      <w:pPr>
        <w:pStyle w:val="TextoNormal"/>
      </w:pPr>
      <w:r>
        <w:t xml:space="preserve">La representación procesal del Gobierno de Canarias analiza la incidencia del título competencial estatal del art. 149.1.13 CE, aludiendo a la doctrina constitucional que exige para su aplicación una incidencia directa y significativa sobre la actividad económica o una conexión con los objetivos de política económica marcados por el Estado. Conforme a esa doctrina señala que la determinación de la categoría de los establecimientos que han de conformar la oferta turística canaria no afecta a la competencia estatal. Sobre la eventual inconstitucionalidad de los preceptos impugnados señala que la demanda olvida lo dispuesto en el artículo 4.4 que exige a los nuevos establecimientos las máximas exigencias de eficiencia energética y ahorro de agua y su implantación en determinados espacios para después examinar si se produce la denunciada inconstitucionalidad mediata o indirecta. Las objeciones formuladas por el Abogado del Estado parten de una errónea inteligencia de la normativa comunitaria y de su transposición al ordenamiento interno pues “desconoce el real objetivo de la norma autonómica y las razones imperiosas de interés general que justifican limitar el crecimiento de la planta alojativa en Canarias garantizando que se produzca </w:t>
      </w:r>
      <w:r>
        <w:lastRenderedPageBreak/>
        <w:t>en términos de sostenibilidad”, considerando una planificación económica donde hay una medida de acomodo del desarrollo del sector a exigencias medioambientales. La liberalización o desregulación no implica la desaparición de todo mecanismo de intervención de los poderes públicos, pues lo que se exige es que tales controles se establezcan y mantengan de forma neutral respecto a los prestadores de servicios. Resalta también que la Directiva de servicios no afecta a los actos urbanísticos, estando la planificación turística intrínsecamente asociada a la urbanística y siendo el sometimiento de las obras de edificación a una habilitación administrativa previa un elemento definitorio del régimen de la propiedad urbana inmobiliaria. La única novedad sería el desglose de la licencia, diferenciando dos aspectos: el de obras o licencia urbanística, y, el turístico que pasó a integrar una autorización sectorial concurrente, expresiva de una opción por la discriminación de los usos residenciales turísticos de los que no lo eran, a fin de potenciar la calidad del producto turístico, a través de la imposición de unos estándares de calidad más exigentes que los puramente residenciales.</w:t>
      </w:r>
    </w:p>
    <w:p w:rsidR="00AC56D6" w:rsidRDefault="00AC56D6" w:rsidP="00AC56D6">
      <w:pPr>
        <w:pStyle w:val="TextoNormal"/>
      </w:pPr>
    </w:p>
    <w:p w:rsidR="00AC56D6" w:rsidRDefault="00AC56D6" w:rsidP="00AC56D6">
      <w:pPr>
        <w:pStyle w:val="TextoNormal"/>
      </w:pPr>
      <w:r>
        <w:t>La Directora General del servicio jurídico del Gobierno de Canarias niega también que concurran requisitos restrictivos que resulten prohibidos por la Directiva de servicios, los cuales deberían determinarse caso a caso, pues “el requerimiento de que los nuevos establecimientos que se incorporen al mercado sean de la máxima categoría turística (cinco estrellas) obedece a criterios objetivos y no supone una evaluación anticipada e individual de la resistencia de la demanda preexistente a la agregación de un nueva unidad marginal de oferta alojativa” de modo que no se incurriría en la prohibición a la que se refiere el art. 10 e) de la Ley 17/2009. Se cumple así una finalidad de interés general pues “se trata de preservar el territorio, y en garantizar que los nuevos operadores cumplan con requisitos mínimos de sostenibilidad y eficiencia medioambiental que, de acuerdo con la normativa sectorial, sólo los establecimientos de determinadas categorías están en condiciones de cumplir”. Defiende que el juicio de constitucionalidad no es un juicio técnico o de idoneidad, con lo que no pueden aceptarse las alegaciones de la demanda respecto a la carencia de necesidad, razonabilidad y proporcionalidad de las medidas adoptadas, pues las mismas responden a necesidades medioambientales, de ordenación del territorio y de política turística, lo que permite al legislador canario decidir “cómo y dónde se ha de construir y cómo se ha de estructurar la oferta turística, tanto en sus aspectos cuantitativos como cualitativos”.</w:t>
      </w:r>
    </w:p>
    <w:p w:rsidR="00AC56D6" w:rsidRDefault="00AC56D6" w:rsidP="00AC56D6">
      <w:pPr>
        <w:pStyle w:val="TextoNormal"/>
      </w:pPr>
    </w:p>
    <w:p w:rsidR="00AC56D6" w:rsidRDefault="00AC56D6" w:rsidP="00AC56D6">
      <w:pPr>
        <w:pStyle w:val="TextoNormal"/>
      </w:pPr>
      <w:r>
        <w:t>Finalmente, la contestación a la demanda alude a la doctrina constitucional sobre implantación de grandes establecimientos comerciales y la infundada pretensión de aplicarla al caso enjuiciado, ya que “en el caso de Canarias la autorización de nuevos establecimiento alojativos turísticos está basada exclusivamente en razones territoriales o urbanísticas, junto con las derivadas de exigencias medioambientales, al venir referida a los servicios instalaciones, requerimientos, dotaciones y equipamientos turísticos con que cuente el proyecto que se haya de ejecutar. El que estas exigencias vengan referidas a una categoría determinada, que, por remisión, las fija por aplicación de una norma de ordenación y clasificación de los establecimientos, no altera la cuestión”.</w:t>
      </w:r>
    </w:p>
    <w:p w:rsidR="00AC56D6" w:rsidRDefault="00AC56D6" w:rsidP="00AC56D6">
      <w:pPr>
        <w:pStyle w:val="TextoNormal"/>
      </w:pPr>
    </w:p>
    <w:p w:rsidR="00AC56D6" w:rsidRDefault="00AC56D6" w:rsidP="00AC56D6">
      <w:pPr>
        <w:pStyle w:val="TextoNormal"/>
      </w:pPr>
      <w:r w:rsidRPr="00AC56D6">
        <w:rPr>
          <w:rStyle w:val="NumeroAFNegritaCaracter"/>
        </w:rPr>
        <w:t>7</w:t>
      </w:r>
      <w:r>
        <w:t xml:space="preserve">. Próximo a finalizar el plazo de cinco meses que señala el art. 161.2 CE desde que se produjo la suspensión de los apartados a) y c) del art. 4.2 de la Ley 2/2013, de 29 de mayo, de renovación y modernización turística de Canarias, el Pleno, mediante providencia de 22 de abril de 2014, acordó oír a las partes personadas para que, en el plazo de cinco días, expusieran lo que considerasen conveniente acerca del mantenimiento o levantamiento de dicha suspensión. Evacuado el trámite conferido, el Pleno del Tribunal dictó el ATC </w:t>
      </w:r>
      <w:r>
        <w:lastRenderedPageBreak/>
        <w:t>178/2014, de 24 de junio, acordando levantar la suspensión de los apartados a) y c) del art. 4.2 de la Ley 2/2013, de 29 de mayo, de renovación y modernización turística de Canarias.</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6 de octubre de 2015 se señaló para deliberación y votación de la presente Sentencia el día 8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presente recurso de inconstitucionalidad se interpone por el Presidente del Gobierno contra los apartados a) y c) del art. 4.2 de la Ley 2/2013, de 29 de mayo, de renovación y modernización turística de Canarias.</w:t>
      </w:r>
    </w:p>
    <w:p w:rsidR="00AC56D6" w:rsidRDefault="00AC56D6" w:rsidP="00AC56D6">
      <w:pPr>
        <w:pStyle w:val="TextoNormal"/>
      </w:pPr>
    </w:p>
    <w:p w:rsidR="00AC56D6" w:rsidRDefault="00AC56D6" w:rsidP="00AC56D6">
      <w:pPr>
        <w:pStyle w:val="TextoNormal"/>
      </w:pPr>
      <w:r>
        <w:t>El art. 4.2 de la Ley 2/2013, de 29 de mayo, en concordancia con lo dispuesto en el apartado primero de este precepto, establece que solo serán otorgadas autorizaciones previas para plazas de alojamiento turístico en Lanzarote, Fuerteventura, Gran Canaria y Tenerife, como requisito necesario para las consiguientes licencias urbanísticas, cuando tengan por objeto la nueva implantación de establecimientos alojativos en los casos previstos en el mismo y entre ellos se encuentran los apartados ahora impugnados, que disponen lo siguiente: “a) Establecimientos hoteleros con categoría de cinco estrellas o superior. Estos establecimientos deberán acreditar la previa suscripción con los servicios de empleo del Gobierno de Canarias de un convenio para la formación continua de su personal y para facilitar la formación de desempleados, en el marco de la estrategia de empleo de Canarias y su posible incorporación a la plantilla” y “c) Establecimientos extrahoteleros, siempre que el planeamiento territorial no los prohíba expresamente, exigiéndose para los apartamentos la categoría de cinco estrellas o superior.”</w:t>
      </w:r>
    </w:p>
    <w:p w:rsidR="00AC56D6" w:rsidRDefault="00AC56D6" w:rsidP="00AC56D6">
      <w:pPr>
        <w:pStyle w:val="TextoNormal"/>
      </w:pPr>
    </w:p>
    <w:p w:rsidR="00AC56D6" w:rsidRDefault="00AC56D6" w:rsidP="00AC56D6">
      <w:pPr>
        <w:pStyle w:val="TextoNormal"/>
      </w:pPr>
      <w:r>
        <w:t>El Abogado del Estado alega que los preceptos autonómicos vulneran la Ley 17/2009, de 23 de noviembre, sobre el libre acceso a las actividades de servicios y su ejercicio, dictada con el carácter de legislación básica al amparo del art. 149.1.13 CE. Se plantearía así una inconstitucionalidad mediata o indirecta que resultaría del simple contraste de los preceptos impugnados y la citada Ley estatal, ya que los apartados impugnados suponen que los únicos hoteles o apartamentos que se pueden construir en Canarias son los de categoría de cinco estrellas o superior, a no ser que se sitúen en suelo urbano consolidado no turístico, lo que supone un cierre de mercado que es contrario a los principios liberalizadores de la norma estatal. En relación con lo anterior, se afirma que el régimen de autorizaciones se hace depender, siquiera indirectamente, de requisitos de naturaleza económica, en la medida en que se trata de fomentar un determinado tipo de turismo que responda a la planificación o programación de esta actividad llevada a cabo por el legislador autonómico.</w:t>
      </w:r>
    </w:p>
    <w:p w:rsidR="00AC56D6" w:rsidRDefault="00AC56D6" w:rsidP="00AC56D6">
      <w:pPr>
        <w:pStyle w:val="TextoNormal"/>
      </w:pPr>
    </w:p>
    <w:p w:rsidR="00AC56D6" w:rsidRDefault="00AC56D6" w:rsidP="00AC56D6">
      <w:pPr>
        <w:pStyle w:val="TextoNormal"/>
      </w:pPr>
      <w:r>
        <w:t>Por el contrario, las representaciones procesales del Parlamento y del Gobierno de Canarias defienden la constitucionalidad de los preceptos impugnados que consideran dictados en ejercicio de las competencias exclusivas autonómicas en materia de ordenación del territorio y del litoral, urbanismo y vivienda y en materia de turismo (arts. 30.15 y 30.21, respectivamente, del Estatuto de Autonomía de Canarias).</w:t>
      </w:r>
    </w:p>
    <w:p w:rsidR="00AC56D6" w:rsidRDefault="00AC56D6" w:rsidP="00AC56D6">
      <w:pPr>
        <w:pStyle w:val="TextoNormal"/>
      </w:pPr>
    </w:p>
    <w:p w:rsidR="00AC56D6" w:rsidRDefault="00AC56D6" w:rsidP="00AC56D6">
      <w:pPr>
        <w:pStyle w:val="TextoNormal"/>
      </w:pPr>
      <w:r w:rsidRPr="00AC56D6">
        <w:rPr>
          <w:rStyle w:val="NumeroAFNegritaCaracter"/>
        </w:rPr>
        <w:t>2</w:t>
      </w:r>
      <w:r>
        <w:t xml:space="preserve">. Como cuestión previa debemos examinar las modificaciones que han sufrido los dos apartados impugnados del art. 4.2 de la Ley 2/2013 durante la pendencia del proceso, pues, </w:t>
      </w:r>
      <w:r>
        <w:lastRenderedPageBreak/>
        <w:t>manteniendo la exigencia de autorización previa para la implantación de nuevos establecimientos en Lanzarote, Fuerteventura, Gran Canaria y Tenerife, se han modificado los supuestos en los que se precisa dicha autorización. El art. 1.2 de la Ley 9/2015, de 27 de abril, dispone que “los apartados a) y c) del artículo 4.2 quedan redactados de la siguiente forma: a) Establecimientos hoteleros y también extrahoteleros , en este último supuesto cuando el planeamiento territorial no los prohíba expresamente , que deberán cumplir unos estándares de calidad edificatoria y del servicio ofrecido que garanticen el mínimo impacto medioambiental en términos de, al menos, ahorro de agua, contaminación acústica y lumínica y de gestión de residuos, y reunir las condiciones de densidad, equipamiento, infraestructuras y servicios establecidas reglamentariamente para configurar un modelo de excelencia y ecoeficiencia, así como para obtener certificaciones de calidad y gestión medioambiental turística y de máxima eficiencia energética; c) Los establecimientos hoteleros de cinco estrellas o categorías superiores y también los extrahoteleros, en este último supuesto cuando el planeamiento territorial no los prohíba expresamente , de cinco estrellas o categoría superior”.</w:t>
      </w:r>
    </w:p>
    <w:p w:rsidR="00AC56D6" w:rsidRDefault="00AC56D6" w:rsidP="00AC56D6">
      <w:pPr>
        <w:pStyle w:val="TextoNormal"/>
      </w:pPr>
    </w:p>
    <w:p w:rsidR="00AC56D6" w:rsidRDefault="00AC56D6" w:rsidP="00AC56D6">
      <w:pPr>
        <w:pStyle w:val="TextoNormal"/>
      </w:pPr>
      <w:r>
        <w:t>Conforme a la doctrina de este Tribunal [entre otras muchas, STC 104/2015, de 28 de mayo, FJ 3 b)] para determinar la pervivencia del objeto en los recursos de inconstitucionalidad de contenido competencial hemos de contrastar la regulación impugnada con la norma ya modificada a fin de comprobar si con la nueva norma ha cesado o no la controversia competencial. A la vista de la nueva redacción que se ha transcrito hemos de concluir que subsiste la controversia competencial trabada en este proceso. La queja relativa a lo que el Abogado del Estado entendía como un cierre de mercado habría desaparecido con la nueva redacción del apartado a), en cuanto que, a efectos del otorgamiento de la preceptiva autorización, ya no diferencia entre los establecimientos en función de su calificación turística ni la limita a los de una determinada categoría. Subsiste, sin embargo, la segunda, relativa a la utilización de requisitos de naturaleza económica vinculados a la calificación del establecimiento para la concesión de la autorización, dado que la norma, en el apartado c) del artículo 4.2, sigue proporcionando un tratamiento diferenciado a los establecimientos de cinco estrellas o categorías superiores, las cuales, además, no están sometidos a los requisitos previstos en el nuevo artículo 4.2 a).</w:t>
      </w:r>
    </w:p>
    <w:p w:rsidR="00AC56D6" w:rsidRDefault="00AC56D6" w:rsidP="00AC56D6">
      <w:pPr>
        <w:pStyle w:val="TextoNormal"/>
      </w:pPr>
    </w:p>
    <w:p w:rsidR="00AC56D6" w:rsidRDefault="00AC56D6" w:rsidP="00AC56D6">
      <w:pPr>
        <w:pStyle w:val="TextoNormal"/>
      </w:pPr>
      <w:r>
        <w:t>Por tanto debemos concluir que las modificaciones de la Ley 9/2015 no han afectado a la pervivencia del objeto de este proceso constitucional, tal como impone la ya consolidada doctrina constitucional (SSTC 102/2013, de 23 de abril, FJ 2, y 138/2013, de 6 de junio, FJ 2, remitiéndose ambas a la STC 133/2012, de 19 de junio, FJ 2). Sin perjuicio de que una eventual declaración de inconstitucionalidad y nulidad habría de referirse a la redacción originaria de los preceptos impugnados.</w:t>
      </w:r>
    </w:p>
    <w:p w:rsidR="00AC56D6" w:rsidRDefault="00AC56D6" w:rsidP="00AC56D6">
      <w:pPr>
        <w:pStyle w:val="TextoNormal"/>
      </w:pPr>
    </w:p>
    <w:p w:rsidR="00AC56D6" w:rsidRDefault="00AC56D6" w:rsidP="00AC56D6">
      <w:pPr>
        <w:pStyle w:val="TextoNormal"/>
      </w:pPr>
      <w:r w:rsidRPr="00AC56D6">
        <w:rPr>
          <w:rStyle w:val="NumeroAFNegritaCaracter"/>
        </w:rPr>
        <w:t>3</w:t>
      </w:r>
      <w:r>
        <w:t>. También como cuestión previa debe indicarse que, dados los términos en los que el Abogado del Estado plantea la impugnación del apartado a) del art. 4.2 de la Ley 2/2013, de 29 de mayo, hemos de limitarnos a analizar, el primer inciso de este apartado, que es donde se contiene la restricción que se considera contraria al orden constitucional de competencias, sin que proceda, por tanto, pronunciarnos sobre el segundo inciso de este apartado. En ese segundo inciso el precepto impugnado establece que los establecimientos hoteleros a los se refiere el primer inciso —los de cinco estrellas o categoría superior— han de acreditar la previa suscripción con los servicios de empleo del Gobierno de Canarias de un convenio para la formación continua de su personal y para facilitar la formación; previ</w:t>
      </w:r>
      <w:r>
        <w:lastRenderedPageBreak/>
        <w:t>sión que no ha sido específicamente controvertida en el presente recurso de inconstitucionalidad. No obstante, si se llegara a la conclusión de que el inciso primero del apartado a) del artículo 4.2 fuera inconstitucional tal consideración, en virtud de lo establecido en el art. 39.1 LOTC, tendría como consecuencia, la de este apartado en su integridad.</w:t>
      </w:r>
    </w:p>
    <w:p w:rsidR="00AC56D6" w:rsidRDefault="00AC56D6" w:rsidP="00AC56D6">
      <w:pPr>
        <w:pStyle w:val="TextoNormal"/>
      </w:pPr>
    </w:p>
    <w:p w:rsidR="00AC56D6" w:rsidRDefault="00AC56D6" w:rsidP="00AC56D6">
      <w:pPr>
        <w:pStyle w:val="TextoNormal"/>
      </w:pPr>
      <w:r>
        <w:t>Por lo que se refiere al apartado c) del artículo 4.2, la impugnación ha de entenderse limitada a su último inciso, a la parte en la que se exige que los apartamentos sean de categoría de cinco estrellas o superior, pues solo en relación con esta específica previsión el Abogado del Estado fundamenta su inconstitucionalidad.</w:t>
      </w:r>
    </w:p>
    <w:p w:rsidR="00AC56D6" w:rsidRDefault="00AC56D6" w:rsidP="00AC56D6">
      <w:pPr>
        <w:pStyle w:val="TextoNormal"/>
      </w:pPr>
    </w:p>
    <w:p w:rsidR="00AC56D6" w:rsidRDefault="00AC56D6" w:rsidP="00AC56D6">
      <w:pPr>
        <w:pStyle w:val="TextoNormal"/>
      </w:pPr>
      <w:r w:rsidRPr="00AC56D6">
        <w:rPr>
          <w:rStyle w:val="NumeroAFNegritaCaracter"/>
        </w:rPr>
        <w:t>4</w:t>
      </w:r>
      <w:r>
        <w:t>. El Abogado del Estado no discute las competencias autonómicas en que se ampara la Ley 2/2013. Tampoco cuestiona que, como reza el no impugnado artículo 4.1, pueda establecerse, por razones medioambientales o urbanísticas, la exigencia de autorización para la implantación de establecimientos o para la ampliación o renovación de los existentes. Alega específicamente que la Comunidad Autónoma, al ejercerlas dictando los apartados a) y c) del art. 4.2 de la Ley 2/2013, no se ha ajustado a la legislación básica estatal constituida por la Ley 17/2009, de 23 de noviembre, sobre el libre acceso a las actividades de servicios y su ejercicio dictada, al amparo del art. 149.1.13 CE. Esto es, la queja competencial que fundamenta el recurso se plantea en términos de inconstitucionalidad mediata o contradicción del precepto autonómico impugnado con la legislación estatal básica.</w:t>
      </w:r>
    </w:p>
    <w:p w:rsidR="00AC56D6" w:rsidRDefault="00AC56D6" w:rsidP="00AC56D6">
      <w:pPr>
        <w:pStyle w:val="TextoNormal"/>
      </w:pPr>
    </w:p>
    <w:p w:rsidR="00AC56D6" w:rsidRDefault="00AC56D6" w:rsidP="00AC56D6">
      <w:pPr>
        <w:pStyle w:val="TextoNormal"/>
      </w:pPr>
      <w:r>
        <w:t>Para constatar la existencia de una inconstitucionalidad mediata o indirecta es necesario que concurran dos condiciones; por un lado, que la norma estatal infringida por la ley autonómica sea, en el doble sentido material y formal, una norma básica y, por tanto, dictada legítimamente al amparo del correspondiente título competencial que la Constitución haya reservado al Estado; y, por otro, que la contradicción entre ambas normas, estatal y autonómica, sea efectiva e insalvable por vía interpretativa (SSTC 113/2010, de 24 de noviembre, FJ 2, y 171/2014, de 23 de octubre, FJ 5).</w:t>
      </w:r>
    </w:p>
    <w:p w:rsidR="00AC56D6" w:rsidRDefault="00AC56D6" w:rsidP="00AC56D6">
      <w:pPr>
        <w:pStyle w:val="TextoNormal"/>
      </w:pPr>
    </w:p>
    <w:p w:rsidR="00AC56D6" w:rsidRDefault="00AC56D6" w:rsidP="00AC56D6">
      <w:pPr>
        <w:pStyle w:val="TextoNormal"/>
      </w:pPr>
      <w:r>
        <w:t>Una vez identificados los preceptos de la norma estatal básica que deben servir de contraste, habrá que comprobar si son formal y materialmente básicos, pues solo en ese caso, la contradicción de la norma autonómica con la estatal conllevaría la consecuencia de su inconstitucionalidad.</w:t>
      </w:r>
    </w:p>
    <w:p w:rsidR="00AC56D6" w:rsidRDefault="00AC56D6" w:rsidP="00AC56D6">
      <w:pPr>
        <w:pStyle w:val="TextoNormal"/>
      </w:pPr>
    </w:p>
    <w:p w:rsidR="00AC56D6" w:rsidRDefault="00AC56D6" w:rsidP="00AC56D6">
      <w:pPr>
        <w:pStyle w:val="TextoNormal"/>
      </w:pPr>
      <w:r>
        <w:t xml:space="preserve">En la identificación de los preceptos que pudieran servir de parámetro de los impugnados debemos tener presente que la Ley 17/2009, al trasponer la Directiva 2006/123/CE, relativa a los servicios en el mercado interior, consagra en el ordenamiento jurídico interno el principio de libertad de establecimiento en todo el territorio nacional, disponiendo en su artículo 4.1 que “los prestadores podrán establecerse libremente en territorio español para ejercer una actividad de servicios, sin más limitaciones que las establecidas de acuerdo con lo previsto en esta Ley”. Entre tales limitaciones se encuentra la recogida en el artículo 7.3 a), que permite exigir autorizaciones a determinadas actividades económicas “para cada establecimiento físico cuando sea susceptible de generar daños sobre el medio ambiente y el entorno urbano, la seguridad o la salud pública y el patrimonio histórico-artístico, evaluándose este riesgo de acuerdo con las características de las instalaciones”. Cabe entonces establecer limitaciones al principio de libertad de establecimiento mediante la exigencia de autorización a determinadas actividades económicas, pero los requisitos de dicha autorización han de cumplir los principios del artículo 9 y no pueden incurrir en las prohibiciones establecidas </w:t>
      </w:r>
      <w:r>
        <w:lastRenderedPageBreak/>
        <w:t>en el artículo 10. Ya hemos indicado que las partes no discuten que la norma básica permite, en determinadas circunstancias, someter a autorización las actividades de servicios, entre ellas las hoteleras. La discusión se ha centrado en un aspecto mucho más concreto, la definición de los supuestos susceptibles de ser autorizados y los requisitos exigidos para el otorgamiento de esa autorización. Por tanto, los preceptos estatales que debemos tener en cuenta en la resolución del presente recurso son los relativos a los requisitos exigidos para el otorgamiento de una autorización para el acceso a una actividad de servicios. En particular, por lo que a los efectos del presente proceso interesa, debemos tener presente que el artículo 9.2 b) exige que los requisitos que supediten el acceso a una actividad de servicios o su ejercicio estén justificados en una razón imperiosa de interés general, definida en los términos del art. 3.11 de la Ley 17/2009, y el artículo 10 e) impide supeditar el acceso a una actividad de servicios a requisitos de naturaleza económica señalando expresamente que “las razones de interés general que se invoquen no podrán encubrir requisitos de planificación económica”.</w:t>
      </w:r>
    </w:p>
    <w:p w:rsidR="00AC56D6" w:rsidRDefault="00AC56D6" w:rsidP="00AC56D6">
      <w:pPr>
        <w:pStyle w:val="TextoNormal"/>
      </w:pPr>
    </w:p>
    <w:p w:rsidR="00AC56D6" w:rsidRDefault="00AC56D6" w:rsidP="00AC56D6">
      <w:pPr>
        <w:pStyle w:val="TextoNormal"/>
      </w:pPr>
      <w:r>
        <w:t>Ninguna duda cabe del carácter formalmente básico de ambos preceptos estatales, pues con tal carácter se proclaman en la disposición final primera. En cuanto a la perspectiva material es posible trasladar aquí las conclusiones que se alcanzaron en las STC 26/2012, de 1 de marzo, FJ 5, y 193/2013, de 21 de noviembre, FJ 4, respecto a los arts. 5 y 11.1 a) de la Ley 17/2009 y extenderlas a los dos preceptos que se han citado. Los preceptos que ahora consideramos son previsiones básicas en materia económica en cuanto forman parte de la definición de un marco más flexible y transparente para el acceso y ejercicio de las actividades de servicios. Para ello establecen que deben de eliminarse todos aquellos regímenes de autorización que no estén justificados por una razón imperiosa de interés general a fin de asegurar que los controles administrativos previos para el ejercicio de una actividad no constituyan obstáculos indebidos para el acceso al mercado. Se configura así un objetivo genérico de política económica que el Estado puede legítimamente perseguir al amparo de sus competencias, en particular la relativa a la ordenación general de la economía en virtud del art. 149.1.13 CE y lo ha hecho estableciendo un marco normativo unitario que ha de ser concretado por las Comunidades Autónomas en el ejercicio de sus competencias sectoriales en relación con las distintas actividades de servicios.</w:t>
      </w:r>
    </w:p>
    <w:p w:rsidR="00AC56D6" w:rsidRDefault="00AC56D6" w:rsidP="00AC56D6">
      <w:pPr>
        <w:pStyle w:val="TextoNormal"/>
      </w:pPr>
    </w:p>
    <w:p w:rsidR="00AC56D6" w:rsidRDefault="00AC56D6" w:rsidP="00AC56D6">
      <w:pPr>
        <w:pStyle w:val="TextoNormal"/>
      </w:pPr>
      <w:r w:rsidRPr="00AC56D6">
        <w:rPr>
          <w:rStyle w:val="NumeroAFNegritaCaracter"/>
        </w:rPr>
        <w:t>5</w:t>
      </w:r>
      <w:r>
        <w:t>. Sentado el carácter básico de las normas estatales, debemos concluir que constituyen un ejercicio legítimo de la competencia atribuida al Estado por el art. 149.1.13 CE, de manera que el ejercicio de las competencias autonómicas ha de ajustarse a ellas. Por tanto, las disposiciones autonómicas impugnadas solo serán constitucionales en la medida que sean compatibles con dicha legislación básica estatal.</w:t>
      </w:r>
    </w:p>
    <w:p w:rsidR="00AC56D6" w:rsidRDefault="00AC56D6" w:rsidP="00AC56D6">
      <w:pPr>
        <w:pStyle w:val="TextoNormal"/>
      </w:pPr>
    </w:p>
    <w:p w:rsidR="00AC56D6" w:rsidRDefault="00AC56D6" w:rsidP="00AC56D6">
      <w:pPr>
        <w:pStyle w:val="TextoNormal"/>
      </w:pPr>
      <w:r>
        <w:t>La propia norma estatal admite, en su artículo 3.11, que la protección del medio ambiente y del entorno urbano puede ser causa justificativa para la imposición del límite que supone la exigencia de autorización para el ejercicio de una actividad de servicios. Trasladando al presente caso la doctrina de las SSTC 26/2012 y 193/2013, resulta que el Tribunal considera necesario que, dado que se trata de una excepción a la regla general de la libertad de acceso a una actividad de servicio, como es en este caso la hotelera, el legislador autonómico aporte razones que justifiquen que los requisitos a los que sujeta la autorización previa para la implantación de nuevas plazas de alojamiento turístico en Lanzarote, Fuerteventura, Gran Canaria y Tenerife atienden a objetivos de ordenación territorial y urbana y protección ambiental, y no a otros que están prohibidos por predominar en ellos connotaciones económicas.</w:t>
      </w:r>
    </w:p>
    <w:p w:rsidR="00AC56D6" w:rsidRDefault="00AC56D6" w:rsidP="00AC56D6">
      <w:pPr>
        <w:pStyle w:val="TextoNormal"/>
      </w:pPr>
    </w:p>
    <w:p w:rsidR="00AC56D6" w:rsidRDefault="00AC56D6" w:rsidP="00AC56D6">
      <w:pPr>
        <w:pStyle w:val="TextoNormal"/>
      </w:pPr>
      <w:r>
        <w:t>La Ley 2/2013 establece, entre otras cosas, un conjunto de medidas orientadas a la mejora de la calidad de la actividad turística en las Islas Canarias y a garantizar una implantación prudente de nuevas instalaciones de alojamiento o de diferentes actividades complementarias acorde con una política de contención capaz de proteger el medio ambiente y la ordenación territorial y urbana. De entre tales medidas destaca el sometimiento a autorización previa de determinados establecimientos turísticos en la medida en que dicho título habilitante se impone como mecanismo para garantizar un crecimiento controlado de la oferta de establecimientos turísticos que resulte compatible con la protección del medio ambiente y la ordenación del territorio. A esa medida general, que deriva de los no impugnados artículo 4.1 y primer inciso del artículo 4.2, se añade un nuevo requisito, que es el ahora discutido, en cuanto que los apartados a) y c) del artículo 4.2 limitan la posibilidad de obtener tal autorización a los establecimientos hoteleros de categoría de cinco estrellas o superior y en el caso de los extrahoteleros se establece una limitación específica para los apartamentos, a los que se exige tener también categoría de cinco estrellas o superior.</w:t>
      </w:r>
    </w:p>
    <w:p w:rsidR="00AC56D6" w:rsidRDefault="00AC56D6" w:rsidP="00AC56D6">
      <w:pPr>
        <w:pStyle w:val="TextoNormal"/>
      </w:pPr>
    </w:p>
    <w:p w:rsidR="00AC56D6" w:rsidRDefault="00AC56D6" w:rsidP="00AC56D6">
      <w:pPr>
        <w:pStyle w:val="TextoNormal"/>
      </w:pPr>
      <w:r>
        <w:t>El Gobierno y el Parlamento de Canarias sostienen que estos preceptos persiguen la sostenibilidad del modelo turístico canario y por ello pretenden mantener una política de contención de un crecimiento desordenado incompatible con el medio ambiente y con la ordenación del territorio. Por ello, a juicio de las instituciones autonómicas, tales preceptos facilitan la instalación de nuevos establecimientos hoteleros o de apartamentos (los de cinco estrellas o categoría superior), en la búsqueda de una oferta turística exigente desde la perspectiva medioambiental, que redunde en el incremento de la calidad y permita integrar la planificación territorial con la turística.</w:t>
      </w:r>
    </w:p>
    <w:p w:rsidR="00AC56D6" w:rsidRDefault="00AC56D6" w:rsidP="00AC56D6">
      <w:pPr>
        <w:pStyle w:val="TextoNormal"/>
      </w:pPr>
    </w:p>
    <w:p w:rsidR="00AC56D6" w:rsidRDefault="00AC56D6" w:rsidP="00AC56D6">
      <w:pPr>
        <w:pStyle w:val="TextoNormal"/>
      </w:pPr>
      <w:r>
        <w:t>No puede acogerse tal planteamiento. No hay nada en los preceptos impugnados que permita entender que las autorizaciones están vinculadas a objetivos medioambientales o de ordenación territorial. La norma vincula directamente el otorgamiento de las autorizaciones previas para plazas de alojamiento turístico en Lanzarote, Fuerteventura, Gran Canaria y Tenerife a que los establecimientos hoteleros o apartamentos ostenten una determinada clasificación turística, la de cinco estrellas o superior, sin que haya especiales requerimientos ambientales o urbanísticos que diferencien estos establecimientos de otros de inferior categoría. Por lo demás, la clasificación se otorga en virtud de los criterios fijados por el ordenamiento autonómico, en particular el Decreto 142/2010, de 4 de octubre, por el que se aprueba el Reglamento de la actividad turística de alojamiento y se modifica el Decreto 10/2001, de 22 de enero, por el que se regulan los estándares turísticos. Los criterios allí establecidos hacen referencia a cuestiones tales como equipamientos y dotaciones comunes, dimensiones de las zonas destinadas a alojamiento, así como los servicios que deben prestarse, y tampoco aquí se hace mención alguna a exigencias vinculadas al medio ambiente o a la ordenación del territorio que sean predicables específicamente de este tipo de establecimientos en razón de su clasificación. No hay, por lo demás, una vinculación directa con la planificación del territorio o el urbanismo, pues la norma autonómica pone cuidado en diferenciar ambos planos en la medida en que la autorización previa del artículo 4.2 se configura como un requisito necesario para la obtención de las consiguientes licencias urbanísticas.</w:t>
      </w:r>
    </w:p>
    <w:p w:rsidR="00AC56D6" w:rsidRDefault="00AC56D6" w:rsidP="00AC56D6">
      <w:pPr>
        <w:pStyle w:val="TextoNormal"/>
      </w:pPr>
    </w:p>
    <w:p w:rsidR="00AC56D6" w:rsidRDefault="00AC56D6" w:rsidP="00AC56D6">
      <w:pPr>
        <w:pStyle w:val="TextoNormal"/>
      </w:pPr>
      <w:r>
        <w:lastRenderedPageBreak/>
        <w:t>Tampoco la exposición de motivos de la norma explicita las razones por las cuales la consecución de los objetivos medioambientales o de ordenación del territorio hacía necesario limitar las autorizaciones a los establecimientos con la calificación turística más alta. Por el contrario, tras aludir a la importancia del turismo en Canarias y la necesidad de tomar medidas para mantener y mejorar su posición como destino turístico de éxito destaca que “la correcta estructuración de la oferta, la mejora continua del producto y el desarrollo de una adecuada estrategia de promoción exterior, constituyen los principales retos a los que es necesario hacer frente para mejorar la competitividad de las Islas Canarias como destino turístico”. En ese contexto se hace referencia a “una implantación prudente de nuevas instalaciones de alojamiento o de diferentes actividades turísticas complementarias, con alto nivel de calidad, que acompañen a la oferta presente y a la resultante de los procesos de mejora y renovación de las instalaciones obsoletas, para la que se exige una mejora más modesta sobre el nivel de calidad preexistente para hacer viable la renovación”. Idea que se reitera con posterioridad cuando, tras mencionar la preferencia legal por la renovación de instalaciones ya existentes, se alude a la exigencia de gran calidad para las nuevas implantaciones.</w:t>
      </w:r>
    </w:p>
    <w:p w:rsidR="00AC56D6" w:rsidRDefault="00AC56D6" w:rsidP="00AC56D6">
      <w:pPr>
        <w:pStyle w:val="TextoNormal"/>
      </w:pPr>
    </w:p>
    <w:p w:rsidR="00AC56D6" w:rsidRDefault="00AC56D6" w:rsidP="00AC56D6">
      <w:pPr>
        <w:pStyle w:val="TextoNormal"/>
      </w:pPr>
      <w:r>
        <w:t>Se constata así que la introducción de esta restricción, que conlleva que no puedan obtener la autorización previa los hoteles y los apartamentos que no tengan la categoría de cinco estrellas o superior, no guarda conexión directa con las razones imperiosas de interés general que se invocan, esto es, la protección del medio ambiente o la ordenación urbana, pues tal razón regiría para todo tipo de establecimientos, cualquiera que fuera su categoría. Más bien parece responder al designio del legislador autonómico de favorecer un determinado tipo de establecimiento, los que tuvieran la más alta categoría, como medida de política turística, con exclusión de aquellos que tuvieran una categoría inferior. La posibilidad de obtener la autorización previa que de forma inexcusable se exige para poder implantar un nuevo establecimiento turístico queda así sujeta a criterios que no se vinculan necesariamente con la capacidad de tal establecimiento para garantizar la sostenibilidad ambiental o integrarse en la ordenación territorial, sino que al vincularse a su categoría, se está introduciendo un criterio económico para el otorgamiento de la preceptiva autorización, lo que determina la vulneración de la normativa básica estatal.</w:t>
      </w:r>
    </w:p>
    <w:p w:rsidR="00AC56D6" w:rsidRDefault="00AC56D6" w:rsidP="00AC56D6">
      <w:pPr>
        <w:pStyle w:val="TextoNormal"/>
      </w:pPr>
    </w:p>
    <w:p w:rsidR="00AC56D6" w:rsidRDefault="00AC56D6" w:rsidP="00AC56D6">
      <w:pPr>
        <w:pStyle w:val="TextoNormal"/>
      </w:pPr>
      <w:r>
        <w:t>La introducción de este tipo de requisitos como condicionantes del acceso a una actividad de servicios o de su ejercicio se encuentra vedada por la Ley 17/2009, de 23 de noviembre, sobre el libre acceso a las actividades de servicios y su ejercicio, en cuyo artículo 10 e) impide que “las razones imperiosas de interés general que se invoquen puedan encubrir requisitos de planificación económica”.</w:t>
      </w:r>
    </w:p>
    <w:p w:rsidR="00AC56D6" w:rsidRDefault="00AC56D6" w:rsidP="00AC56D6">
      <w:pPr>
        <w:pStyle w:val="TextoNormal"/>
      </w:pPr>
    </w:p>
    <w:p w:rsidR="00AC56D6" w:rsidRDefault="00AC56D6" w:rsidP="00AC56D6">
      <w:pPr>
        <w:pStyle w:val="TextoNormal"/>
      </w:pPr>
      <w:r>
        <w:t>En suma, el objetivo de potenciar la calidad de los establecimientos turísticos de Canarias, fomentando aquellos que se consideran integrados en los niveles más altos de excelencia vulnera la norma básica legítimamente establecida por el Estado al amparo del art. 149.1.13 CE al utilizar un criterio de naturaleza económica relacionado con la clasificación de los establecimientos como determinante para la concesión de la autorización para el ejercicio de una actividad de servicios (en un sentido similar, STC 28/2012, de 1 de marzo, sobre el derecho de adquisición preferente en relación con las ventas de inmuebles no destinados a la actividad turística en un edificio o complejo sujeto a explotación de esta naturaleza y las competencias estatales sobre derecho civil).</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6</w:t>
      </w:r>
      <w:r>
        <w:t xml:space="preserve">. En definitiva, a la vista de los razonamientos expuestos, cabe concluir que el régimen de otorgamiento de autorizaciones previsto en las letras a) y c) del art. 4.2 de la Ley 2/2013, resulta contrario a la regulación contenida en la Ley 17/2009 en la medida en que impone determinadas limitaciones a la libertad de establecimiento de los prestadores de servicios turísticos que, aun estando en términos generales amparadas en una razón imperiosa de interés general que justifica su existencia, se conectan en los supuestos previstos en los mencionados apartados con criterios o requisitos de naturaleza económica, en contra de lo que establece la norma estatal. Se produce así la vulneración de las competencias del estado </w:t>
      </w:r>
      <w:r w:rsidRPr="00AC56D6">
        <w:rPr>
          <w:i/>
        </w:rPr>
        <w:t>ex</w:t>
      </w:r>
      <w:r>
        <w:t xml:space="preserve"> art. 149.1.13 CE y la consiguiente inconstitucionalidad y nulidad de los preceptos autonómicos.</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E</w:t>
      </w:r>
      <w:r w:rsidRPr="00AC56D6">
        <w:rPr>
          <w:i/>
        </w:rPr>
        <w:t>s</w:t>
      </w:r>
      <w:r>
        <w:t>timar el presente recurso de inconstitucionalidad y, en consecuencia, declarar que el apartado a) y el último inciso del apartado c), en la parte que se refiere a los apartamentos de cinco estrellas o superior, del art. 4.2 de la Ley 2/2013, de 29 de mayo, de renovación y modernización turística de Canarias, en su redacción inicial, son contrarios al orden constitucional de distribución de competencias y, por tanto, inconstitucionales y nulos.</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ocho de octubre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66" w:name="SENTENCIA_2015_210"/>
      <w:r>
        <w:lastRenderedPageBreak/>
        <w:t>SENTENCIA 210/2015, de 8 de octubre de 2015</w:t>
      </w:r>
    </w:p>
    <w:bookmarkEnd w:id="66"/>
    <w:p w:rsidR="00AC56D6" w:rsidRDefault="00AC56D6" w:rsidP="00AC56D6">
      <w:pPr>
        <w:pStyle w:val="TtuloResolucin"/>
      </w:pPr>
      <w:r>
        <w:t>Pleno</w:t>
      </w:r>
    </w:p>
    <w:p w:rsidR="00AC56D6" w:rsidRDefault="00AC56D6" w:rsidP="00AC56D6">
      <w:pPr>
        <w:pStyle w:val="TtuloBOE"/>
      </w:pPr>
      <w:r>
        <w:t>(BOE núm. 272, de 13 de noviembre de 2015)</w:t>
      </w:r>
    </w:p>
    <w:p w:rsidR="00AC56D6" w:rsidRDefault="00AC56D6" w:rsidP="00AC56D6">
      <w:pPr>
        <w:pStyle w:val="TextoNormalCentrado"/>
      </w:pPr>
      <w:r>
        <w:t>ECLI:ES:TC:2015:210</w:t>
      </w:r>
    </w:p>
    <w:p w:rsidR="00AC56D6" w:rsidRDefault="00AC56D6" w:rsidP="00AC56D6">
      <w:pPr>
        <w:pStyle w:val="TextoNormalCentrado"/>
      </w:pPr>
    </w:p>
    <w:p w:rsidR="00AC56D6" w:rsidRDefault="00AC56D6" w:rsidP="00AC56D6">
      <w:pPr>
        <w:pStyle w:val="SntesisDescriptiva"/>
      </w:pPr>
      <w:r>
        <w:t>Cuestión de inconstitucionalidad 3123-2014. Planteada por la Sala de lo Contencioso-administrativo del Tribunal Supremo en relación con diversos preceptos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extinción, por pérdida de objeto, de la cuestión de inconstitucionalidad (STC 83/2015).</w:t>
      </w:r>
    </w:p>
    <w:p w:rsidR="00AC56D6" w:rsidRDefault="00AC56D6" w:rsidP="00AC56D6">
      <w:pPr>
        <w:pStyle w:val="SntesisAnaltica"/>
      </w:pPr>
    </w:p>
    <w:p w:rsidR="00AC56D6" w:rsidRDefault="00AC56D6" w:rsidP="00AC56D6">
      <w:pPr>
        <w:pStyle w:val="Extracto"/>
      </w:pPr>
      <w:r>
        <w:t>1.</w:t>
      </w:r>
      <w:r>
        <w:tab/>
        <w:t>La satisfacción extraprocesal de la pretensión deducida en el proceso laboral sobre la que se articula la cuestión de inconstitucionalidad le hace perder su objeto al ser dicha satisfacción uno de los posibles supuestos de extinción de la cuestión de inconstitucionalidad (STC 83/2015) [FJ 3].</w:t>
      </w:r>
    </w:p>
    <w:p w:rsidR="00AC56D6" w:rsidRDefault="00AC56D6" w:rsidP="00AC56D6">
      <w:pPr>
        <w:pStyle w:val="Extracto"/>
      </w:pPr>
    </w:p>
    <w:p w:rsidR="00AC56D6" w:rsidRDefault="00AC56D6" w:rsidP="00AC56D6">
      <w:pPr>
        <w:pStyle w:val="Extracto"/>
      </w:pPr>
      <w:r>
        <w:t>2.</w:t>
      </w:r>
      <w:r>
        <w:tab/>
        <w:t>Doctrina sobre las posibles causas de terminación extraordinaria de las cuestiones de inconstitucionalidad por pérdida sobrevenida de objeto (STC 83/2015) [FJ 3].</w:t>
      </w:r>
    </w:p>
    <w:p w:rsidR="00AC56D6" w:rsidRDefault="00AC56D6" w:rsidP="00AC56D6">
      <w:pPr>
        <w:pStyle w:val="Extracto"/>
      </w:pPr>
    </w:p>
    <w:p w:rsidR="00AC56D6" w:rsidRDefault="00AC56D6" w:rsidP="00AC56D6">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Garcia, don Juan Antonio Xiol Rios,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 xml:space="preserve">En la cuestión de inconstitucionalidad núm. 3123-2014, promovida por la Sala de lo Contencioso-administrativo del Tribunal Supremo, en relación con el art. 2, apartados 1 y 2.1, y el art. 3, apartado 1, del Real Decreto-ley 20/2012, de 13 de julio, de medidas para garantizar la estabilidad presupuestaria y de fomento de la competitividad. Han comparecido y formulado alegaciones el Abogado del Estado y el Procurador de los Tribunales don </w:t>
      </w:r>
      <w:r>
        <w:lastRenderedPageBreak/>
        <w:t>Miguel Torres Álvarez, en nombre y representación de don Jorge Páez Mañá. Ha intervenido el Fiscal General del Estado. Ha sido Ponente el Magistrado don Andrés Ollero Tassara,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día 20 de mayo de 2014 tuvo entrada en el Registro General de este Tribunal oficio de la Sala de lo Contencioso-Administrativo del Tribunal Supremo al que se acompaña, junto con el testimonio del procedimiento correspondiente (recurso ordinario núm. 63-2013), el Auto de 2 de abril de 2014, por el que se acuerda plantear cuestión de inconstitucionalidad respecto del art. 2, apartados 1 y 2.1, y del art. 3, apartado 1, del Real Decreto-ley 20/2012, de 13 de julio, de medidas para garantizar la estabilidad presupuestaria y de fomento de la competitividad, este último precepto en la redacción dada al mismo por la disposición final cuarta.1 de Ley 10/2012, de 20 de noviembre, por posible vulneración del art. 9.3 CE.</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son los siguientes:</w:t>
      </w:r>
    </w:p>
    <w:p w:rsidR="00AC56D6" w:rsidRDefault="00AC56D6" w:rsidP="00AC56D6">
      <w:pPr>
        <w:pStyle w:val="TextoNormal"/>
      </w:pPr>
    </w:p>
    <w:p w:rsidR="00AC56D6" w:rsidRDefault="00AC56D6" w:rsidP="00AC56D6">
      <w:pPr>
        <w:pStyle w:val="TextoNormal"/>
      </w:pPr>
      <w:r>
        <w:t xml:space="preserve">a) Ante la Sala de lo Contencioso-Administrativo del Tribunal Supremo se sigue el procedimiento ordinario núm. 63-2013, en virtud del recurso contencioso-administrativo interpuesto por don Jorge Páez Mañá, funcionario al servicio del Tribunal Constitucional, contra la resolución del Presidente de este Tribunal de 12 de febrero de 2013, que desestima el recurso de alzada de aquél contra la resolución del Secretario General por la que se autoriza el pago de la nómina del personal al servicio del Tribunal Constitucional del mes de diciembre de 2012; el funcionario demandante en el proceso </w:t>
      </w:r>
      <w:r w:rsidRPr="00AC56D6">
        <w:rPr>
          <w:i/>
        </w:rPr>
        <w:t>a quo</w:t>
      </w:r>
      <w:r>
        <w:t xml:space="preserve"> reclama el abono de la paga extraordinaria de diciembre de 2012 no satisfecha en aplicación de lo dispuesto en el Real Decreto-ley 20/2012 o, subsidiariamente, el abono de la cantidad correspondiente a la parte proporcional de dicha paga extra que considera ya devengada antes de la entrada en vigor del Real Decreto-ley 20/2012 (15 de julio de 2012), esto es, desde el 1 de junio hasta el 14 de julio de dicho año (cantidad que asciende a 769,44 €).</w:t>
      </w:r>
    </w:p>
    <w:p w:rsidR="00AC56D6" w:rsidRDefault="00AC56D6" w:rsidP="00AC56D6">
      <w:pPr>
        <w:pStyle w:val="TextoNormal"/>
      </w:pPr>
    </w:p>
    <w:p w:rsidR="00AC56D6" w:rsidRDefault="00AC56D6" w:rsidP="00AC56D6">
      <w:pPr>
        <w:pStyle w:val="TextoNormal"/>
      </w:pPr>
      <w:r>
        <w:t>b) Concluso el procedimiento y dentro del plazo para dictar Sentencia, la Sala dictó providencia de 25 de febrero de 2014 por la que acordó oír a las partes y al Ministerio Fiscal para que alegasen sobre la pertinencia de plantear cuestión de inconstitucionalidad respecto de los arts. 2.1, 2.2.1 y 3.1 del Real Decreto-ley 20/2012, por posible vulneración del art. 9.3 CE, que garantiza la irretroactividad de las disposiciones restrictivas de derechos individuales, en la medida en que el Real Decreto-ley 20/2012 suprime el derecho del funcionarios recurrente a percibir derechos retributivos ya generados antes de su entrada en vigor, desde el 1 de junio de 2012. Por providencia de 17 de marzo de 2014, a instancias del Ministerio Fiscal, la Sala acordó ampliar el trámite de audiencia por diez días más.</w:t>
      </w:r>
    </w:p>
    <w:p w:rsidR="00AC56D6" w:rsidRDefault="00AC56D6" w:rsidP="00AC56D6">
      <w:pPr>
        <w:pStyle w:val="TextoNormal"/>
      </w:pPr>
    </w:p>
    <w:p w:rsidR="00AC56D6" w:rsidRDefault="00AC56D6" w:rsidP="00AC56D6">
      <w:pPr>
        <w:pStyle w:val="TextoNormal"/>
      </w:pPr>
      <w:r>
        <w:t xml:space="preserve">c) El Ministerio Fiscal y el funcionario demandante en el proceso </w:t>
      </w:r>
      <w:r w:rsidRPr="00AC56D6">
        <w:rPr>
          <w:i/>
        </w:rPr>
        <w:t>a quo</w:t>
      </w:r>
      <w:r>
        <w:t xml:space="preserve"> consideraron procedente el planteamiento de la cuestión. El Abogado del Estado se opuso al planteamiento de la misma, razonando que el Real Decreto-ley 20/2012 se acomoda plenamente a la Constitución; considera que no estamos ante una norma restrictiva de derechos individuales en el sentido del art. 9.3 CE, sino ante una norma de contención del gasto público; </w:t>
      </w:r>
      <w:r>
        <w:lastRenderedPageBreak/>
        <w:t>que, aun en la hipótesis de que se entendiera que el Real Decreto-ley 20/2012 sí incorpora una disposición restrictiva de derechos individuales, lo que no existe es una retroactividad constitucionalmente proscrita, pues conforme a lo dispuesto en el art. 33 de la Ley 33/1987 (en relación con el art. 22.4 de la Ley 7/2007, del estatuto básico del empleado público, y el art. 26 de la Ley de presupuestos generales del Estado para 2012), el derecho de los funcionarios a la paga extraordinaria del mes de diciembre de 2012 no nace hasta el 1 de diciembre de 2012, fecha muy posterior a la entrada en vigor del Real Decreto-ley 20/2012, que suspende el derecho al percibo de esa paga extra en 2012; en fin, que, incluso de considerarse que sí existe retroactividad, concurren excepcionales circunstancias de interés público que justificarían esa retroactividad (la necesidad de reducción de los gastos de personal de las Administraciones públicas ante las gravísimas dificultades financieras por las que atravesaba en ese ejercicio el Estado español).</w:t>
      </w:r>
    </w:p>
    <w:p w:rsidR="00AC56D6" w:rsidRDefault="00AC56D6" w:rsidP="00AC56D6">
      <w:pPr>
        <w:pStyle w:val="TextoNormal"/>
      </w:pPr>
    </w:p>
    <w:p w:rsidR="00AC56D6" w:rsidRDefault="00AC56D6" w:rsidP="00AC56D6">
      <w:pPr>
        <w:pStyle w:val="TextoNormal"/>
      </w:pPr>
      <w:r>
        <w:t>d) Por Auto de 2 de abril de 2014 la Sala acordó plantear cuestión de inconstitucionalidad en relación con los arts. 2.1, 2.2.1 y 3.1 del Real Decreto-ley 20/2012, este último precepto en la redacción dada al mismo por la disposición final cuarta.1 de la Ley 10/2012, de 20 de noviembre.</w:t>
      </w:r>
    </w:p>
    <w:p w:rsidR="00AC56D6" w:rsidRDefault="00AC56D6" w:rsidP="00AC56D6">
      <w:pPr>
        <w:pStyle w:val="TextoNormal"/>
      </w:pPr>
    </w:p>
    <w:p w:rsidR="00AC56D6" w:rsidRDefault="00AC56D6" w:rsidP="00AC56D6">
      <w:pPr>
        <w:pStyle w:val="TextoNormal"/>
      </w:pPr>
      <w:r w:rsidRPr="00AC56D6">
        <w:rPr>
          <w:rStyle w:val="NumeroAFNegritaCaracter"/>
        </w:rPr>
        <w:t>3</w:t>
      </w:r>
      <w:r>
        <w:t>. En dicho Auto, la Sala de lo Contencioso-Administrativo del Tribunal Supremo considera que los arts. 2.1, 2.2.1 y 3.1 del Real Decreto-ley 20/2012 podrían vulnerar el principio de irretroactividad de las disposiciones sancionadoras no favorables o restrictivas de derechos individuales, que garantiza el art. 9.3 CE, con fundamento en los razonamientos que a continuación se resumen.</w:t>
      </w:r>
    </w:p>
    <w:p w:rsidR="00AC56D6" w:rsidRDefault="00AC56D6" w:rsidP="00AC56D6">
      <w:pPr>
        <w:pStyle w:val="TextoNormal"/>
      </w:pPr>
    </w:p>
    <w:p w:rsidR="00AC56D6" w:rsidRDefault="00AC56D6" w:rsidP="00AC56D6">
      <w:pPr>
        <w:pStyle w:val="TextoNormal"/>
      </w:pPr>
      <w:r>
        <w:t>a) Tras exponer los antecedentes de hecho de la presente cuestión y el cumplimiento del trámite de audiencia previsto en el art. 35.2 de la Ley Orgánica del Tribunal Constitucional (LOTC), así como el juicio de relevancia, la Sala transcribe las normas de cuya constitucionalidad duda, señalando que su redacción literal no deja resquicio interpretativo alguno respecto a su sentido, pues resulta claro que los arts. 2.1, 2.2.1 y 3.1 del Real Decreto-ley 20/2012 suprimen la percepción de la paga extraordinaria del mes de diciembre del año 2012 para el personal funcionario en su total cuantía, sin excepción respecto a posibles derechos ya devengados en el momento de su entrada en vigor, que tuvo lugar al día siguiente a su publicación oficial, es decir, el 15 de julio de 2012.</w:t>
      </w:r>
    </w:p>
    <w:p w:rsidR="00AC56D6" w:rsidRDefault="00AC56D6" w:rsidP="00AC56D6">
      <w:pPr>
        <w:pStyle w:val="TextoNormal"/>
      </w:pPr>
    </w:p>
    <w:p w:rsidR="00AC56D6" w:rsidRDefault="00AC56D6" w:rsidP="00AC56D6">
      <w:pPr>
        <w:pStyle w:val="TextoNormal"/>
      </w:pPr>
      <w:r>
        <w:t>b) Precisa la Sala de lo Contencioso-Administrativo del Tribunal Supremo que la cuestión que se plantea tiene un alcance limitado, pues no alberga dudas sobre la constitucionalidad de la supresión de la paga extraordinaria del mes de diciembre del año 2012 “hacia el futuro”, sino que la duda de constitucionalidad se ciñe a la retroactividad del Real Decreto-ley 20/2012 (que entró en vigor el 15 de julio de 2012), en cuanto retrotrae al 1 de junio de 2012 los efectos de los cuestionados arts. 2.1, 2.2.1 y 3.1 del Real Decreto-ley 20/2012.</w:t>
      </w:r>
    </w:p>
    <w:p w:rsidR="00AC56D6" w:rsidRDefault="00AC56D6" w:rsidP="00AC56D6">
      <w:pPr>
        <w:pStyle w:val="TextoNormal"/>
      </w:pPr>
    </w:p>
    <w:p w:rsidR="00AC56D6" w:rsidRDefault="00AC56D6" w:rsidP="00AC56D6">
      <w:pPr>
        <w:pStyle w:val="TextoNormal"/>
      </w:pPr>
      <w:r>
        <w:t xml:space="preserve">c) A juicio de la Sala, las pagas extraordinarias son retribuciones de generación duradera o de periodo, de suerte que la paga extraordinaria de diciembre de 2012, suprimida por el Real Decreto-ley 20/2012, constituye un “salario diferido” que se devenga día a día, salario por tanto generado y debido, pero no percibido, de modo que los preceptos cuestionados entrarían en contradicción con lo dispuesto en el art. 9.3 CE, que garantiza la irretroactividad de las disposiciones restrictivas de derechos individuales así como la seguridad jurídica, puesto que se está suprimiendo el derecho a percibir la parte proporcional de la paga extra </w:t>
      </w:r>
      <w:r>
        <w:lastRenderedPageBreak/>
        <w:t>de diciembre de 2012 ya generada antes de la entrada en vigor de la norma con rango de ley cuestionada, esto es, durante el periodo que transcurre entre el 1 de junio de 2012 y el 15 de julio de 2012.</w:t>
      </w:r>
    </w:p>
    <w:p w:rsidR="00AC56D6" w:rsidRDefault="00AC56D6" w:rsidP="00AC56D6">
      <w:pPr>
        <w:pStyle w:val="TextoNormal"/>
      </w:pPr>
    </w:p>
    <w:p w:rsidR="00AC56D6" w:rsidRDefault="00AC56D6" w:rsidP="00AC56D6">
      <w:pPr>
        <w:pStyle w:val="TextoNormal"/>
      </w:pPr>
      <w:r>
        <w:t>Por todo ello, la Sala de lo Contencioso-Administrativo del Tribunal Supremo concluye que los preceptos cuestionados han podido vulnerar el principio de irretroactividad de las disposiciones restrictivas de derechos individuales previsto en el art. 9.3 CE, en relación con el principio de seguridad jurídica del mismo precepto, al no contemplar excepción alguna respecto de las cuantías de la paga extraordinaria de diciembre de 2012 ya devengadas por el empleado público al momento de la entrada en vigor del Real Decreto-ley 20/2012, incurriendo así las normas cuestionadas en una auténtica retroactividad propia o de grado máximo prohibida por el art. 9.3 CE.</w:t>
      </w:r>
    </w:p>
    <w:p w:rsidR="00AC56D6" w:rsidRDefault="00AC56D6" w:rsidP="00AC56D6">
      <w:pPr>
        <w:pStyle w:val="TextoNormal"/>
      </w:pPr>
    </w:p>
    <w:p w:rsidR="00AC56D6" w:rsidRDefault="00AC56D6" w:rsidP="00AC56D6">
      <w:pPr>
        <w:pStyle w:val="TextoNormal"/>
      </w:pPr>
      <w:r w:rsidRPr="00AC56D6">
        <w:rPr>
          <w:rStyle w:val="NumeroAFNegritaCaracter"/>
        </w:rPr>
        <w:t>4</w:t>
      </w:r>
      <w:r>
        <w:t>. Por providencia de 10 de junio de 2014, el Pleno de este Tribunal, a propuesta de la Sección Segunda, acordó admitir a trámite la cuestión de inconstitucionalidad y reservarse para sí su conocimiento, así como dar traslado de la demanda y documentos presentados al Congreso de los Diputados y al Senado, por conducto de sus Presidentes, al Gobierno, a través del Ministro de Justicia, y al Fiscal General del Estado, para que en el improrrogable plazo de quince días pudieran personarse en el procedimiento y formular las alegaciones que estimasen convenientes (art. 37.3 LOTC). Asimismo se ordenó, de un lado, comunicar esa resolución a la Sala de lo Contencioso-Administrativo del Tribunal Supremo a fin de que, de conformidad con el art. 35.3 LOTC, permaneciese suspendido el proceso hasta que este Tribunal resolviese definitivamente la presente cuestión y, de otro, publicar la incoación de la cuestión en el “Boletín Oficial del Estado”, lo que se llevó a efecto en el núm. 143, de 13 de junio de 2014. Por diligencia de ordenación de la Secretaria de Justicia del Pleno de 10 de junio de 2014 se concedió un plazo de quince días a partir de la publicación del referido edicto para que, de conformidad con lo establecido en el art. 37.2 LOTC, quienes fuesen parte en el procedimiento núm. 63-2013 seguido ante la Sala de lo Contencioso-Administrativo del Tribunal Supremo pudieran personarse ante este Tribunal.</w:t>
      </w:r>
    </w:p>
    <w:p w:rsidR="00AC56D6" w:rsidRDefault="00AC56D6" w:rsidP="00AC56D6">
      <w:pPr>
        <w:pStyle w:val="TextoNormal"/>
      </w:pPr>
    </w:p>
    <w:p w:rsidR="00AC56D6" w:rsidRDefault="00AC56D6" w:rsidP="00AC56D6">
      <w:pPr>
        <w:pStyle w:val="TextoNormal"/>
      </w:pPr>
      <w:r w:rsidRPr="00AC56D6">
        <w:rPr>
          <w:rStyle w:val="NumeroAFNegritaCaracter"/>
        </w:rPr>
        <w:t>5</w:t>
      </w:r>
      <w:r>
        <w:t>. Mediante sendos escritos que tuvieron entrada en este Tribunal los días 20 y 23 de junio de 2014, los Presidentes del Senado y Congreso de los Diputados comunicaron los respectivos acuerdos de las Mesas de ambas Cámaras de personarse en el presente proceso constitucional, ofreciendo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6</w:t>
      </w:r>
      <w:r>
        <w:t>. Por escrito registrado en este Tribunal el 27 de junio de 2014, don Miguel Torres Álvarez, Procurador de los Tribunales, se personó en el presente proceso constitucional en nombre y representación de don Jorge Páez Mañá.</w:t>
      </w:r>
    </w:p>
    <w:p w:rsidR="00AC56D6" w:rsidRDefault="00AC56D6" w:rsidP="00AC56D6">
      <w:pPr>
        <w:pStyle w:val="TextoNormal"/>
      </w:pPr>
    </w:p>
    <w:p w:rsidR="00AC56D6" w:rsidRDefault="00AC56D6" w:rsidP="00AC56D6">
      <w:pPr>
        <w:pStyle w:val="TextoNormal"/>
      </w:pPr>
      <w:r>
        <w:t>Por diligencia de ordenación de la Secretaria de Justicia del Pleno de 2 de julio de 2014 se tuvo por personado y parte al referido Procurador en la presente cuestión, en la representación que ostenta y, de conformidad con lo establecido en el art. 37.2 LOTC, se le concedió un plazo de quince días para formular alegaciones.</w:t>
      </w:r>
    </w:p>
    <w:p w:rsidR="00AC56D6" w:rsidRDefault="00AC56D6" w:rsidP="00AC56D6">
      <w:pPr>
        <w:pStyle w:val="TextoNormal"/>
      </w:pPr>
    </w:p>
    <w:p w:rsidR="00AC56D6" w:rsidRDefault="00AC56D6" w:rsidP="00AC56D6">
      <w:pPr>
        <w:pStyle w:val="TextoNormal"/>
      </w:pPr>
      <w:r w:rsidRPr="00AC56D6">
        <w:rPr>
          <w:rStyle w:val="NumeroAFNegritaCaracter"/>
        </w:rPr>
        <w:t>7</w:t>
      </w:r>
      <w:r>
        <w:t>. Por escrito registrado en este Tribunal el 2 de julio de 2014, el Abogado del Estado se personó en el presente proceso constitucional y formuló las alegaciones que a continuación se sintetizan, solicitando la desestimación de la cuestión.</w:t>
      </w:r>
    </w:p>
    <w:p w:rsidR="00AC56D6" w:rsidRDefault="00AC56D6" w:rsidP="00AC56D6">
      <w:pPr>
        <w:pStyle w:val="TextoNormal"/>
      </w:pPr>
    </w:p>
    <w:p w:rsidR="00AC56D6" w:rsidRDefault="00AC56D6" w:rsidP="00AC56D6">
      <w:pPr>
        <w:pStyle w:val="TextoNormal"/>
      </w:pPr>
      <w:r>
        <w:t>Comienza señalando que el Auto de planteamiento no cuestiona la totalidad de los extensos arts. 2 y 3 del Real Decreto-ley 20/2012, sino que se refiere solo a los apartados 1 y 2.1 del art. 2 y al apartado 1 del art. 3; es decir, a la aplicación de la supresión de la paga extraordinaria de diciembre de 2012 al personal funcionario. Además precisa que no se cuestiona genéricamente la referida supresión, sino que tan solo se reprocha al legislador de urgencia que no haya incluido una disposición transitoria por la cual se hubiera exceptuado de la mencionada supresión la parte proporcional de la paga extra que se entiende devengada del 1 de junio al 15 de julio de 2012, fecha esta última de entrada en vigor del Real Decreto-ley 20/2012. En definitiva, entiende que lo que se plantea es una inconstitucionalidad por omisión y que la consecuencia que podría derivarse no sería la declaración de inconstitucionalidad de los apartados 1 y 2.1 del art. 2 y del apartado 1 del art. 3 del Real Decreto-ley 20/2012, sino simplemente la de imponer al legislador, con respeto a su libertad de configuración, el establecimiento de una expresa excepción a la supresión de la paga extraordinaria de diciembre de 2012 (la correspondiente a la parte proporcional de los días 1 de junio al 14 de julio de 2012).</w:t>
      </w:r>
    </w:p>
    <w:p w:rsidR="00AC56D6" w:rsidRDefault="00AC56D6" w:rsidP="00AC56D6">
      <w:pPr>
        <w:pStyle w:val="TextoNormal"/>
      </w:pPr>
    </w:p>
    <w:p w:rsidR="00AC56D6" w:rsidRDefault="00AC56D6" w:rsidP="00AC56D6">
      <w:pPr>
        <w:pStyle w:val="TextoNormal"/>
      </w:pPr>
      <w:r>
        <w:t>Precisado lo anterior, el Abogado del Estado pasa a contestar los puntos argumentales del Auto de planteamiento. Comienza negando que nos encontremos ante una “disposición sancionadora no favorable o restrictiva de derechos individuales” en el sentido del art. 9.3 CE. Indica que una norma que aspira a la contención del gasto de personal (como principal componente del gasto público) no es ni sancionadora, ni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AC56D6" w:rsidRDefault="00AC56D6" w:rsidP="00AC56D6">
      <w:pPr>
        <w:pStyle w:val="TextoNormal"/>
      </w:pPr>
    </w:p>
    <w:p w:rsidR="00AC56D6" w:rsidRDefault="00AC56D6" w:rsidP="00AC56D6">
      <w:pPr>
        <w:pStyle w:val="TextoNormal"/>
      </w:pPr>
      <w:r>
        <w:t>Subsidiariamente, para el caso de que este Tribunal apreciase que sí nos encontramos ante una “disposición restrictiva de derechos individuales”, el Abogado del Estado niega que los preceptos cuestionados establezcan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lo está, por el contrario, la retroactividad “impropia o de grado medio” (que incide en situaciones jurídicas actuales aún no concluidas), pero que puede tener relevancia constitucional desde la perspectiva de la protección de la seguridad jurídica.</w:t>
      </w:r>
    </w:p>
    <w:p w:rsidR="00AC56D6" w:rsidRDefault="00AC56D6" w:rsidP="00AC56D6">
      <w:pPr>
        <w:pStyle w:val="TextoNormal"/>
      </w:pPr>
    </w:p>
    <w:p w:rsidR="00AC56D6" w:rsidRDefault="00AC56D6" w:rsidP="00AC56D6">
      <w:pPr>
        <w:pStyle w:val="TextoNormal"/>
      </w:pPr>
      <w:r>
        <w:t xml:space="preserve">La cuestión radica en determinar si el derecho a la paga extraordinaria de Navidad, en cantidad proporcional a los días 1 de junio al 14 de julio, estaba ya consolidado, asumido e integrado en el patrimonio de los trabajadores cuando entró en vigor el Real Decreto-ley 20/2012, o si se trataba, por el contrario, de una expectativa de derecho o de un derecho futuro o condicionado. La regulación legal de las pagas extraordinarias no ofrece respuesta a esa pregunta, siendo el Tribunal Supremo el que ha hecho referencia a su devengo diario y cobro aplazado en su jurisprudencia. No obstante, a juicio del Abogado del Estado resulta evidente que una determinada interpretación jurisprudencial de un precepto legal no puede erigirse en parámetro de constitucionalidad de otra norma de rango legal. No puede pretenderse la inconstitucionalidad de esta última sobre la base del modo en que la jurisprudencia del Tribunal Supremo ha configurado una determinada partida salarial. Al contrario, es la </w:t>
      </w:r>
      <w:r>
        <w:lastRenderedPageBreak/>
        <w:t>jurisprudencia la que tiene que adaptarse a lo que disponga el legislador. Prosigue diciendo que el art. 2 del Real Decreto-ley 20/2012 ha entendido, precisamente, que las gratificaciones extraordinarias se devengan en el momento del pago. Esta concepción es, por otro lado, perfectamente conforme con los arts. 26 y 31 de la Ley del estatuto de los trabajadores, así como con la doctrina de este Tribunal Constitucional en relación con los tributos de hecho imponible duradero. Respecto a ellos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Más aún, resulta que en el caso del personal funcionario, al que se refiere la presente cuestión, está fijado legalmente el momento en que nace el derecho a las pagas extraordinarias, pues se devengan el primer día hábil de los meses de junio y diciembre, de conformidad con lo dispuesto en el art. 26 de la Ley 2/2012, de 29 de junio, de presupuestos generales del Estado para 2012, en relación con el art. 33 de la Ley 33/1987, de 23 de diciembre, de presupuestos generales del Estado para 1988.</w:t>
      </w:r>
    </w:p>
    <w:p w:rsidR="00AC56D6" w:rsidRDefault="00AC56D6" w:rsidP="00AC56D6">
      <w:pPr>
        <w:pStyle w:val="TextoNormal"/>
      </w:pPr>
    </w:p>
    <w:p w:rsidR="00AC56D6" w:rsidRDefault="00AC56D6" w:rsidP="00AC56D6">
      <w:pPr>
        <w:pStyle w:val="TextoNormal"/>
      </w:pPr>
      <w:r>
        <w:t>Por tanto, el derecho de los funcionarios a la paga extra de diciembre de 2012 no nace hasta el primer día hábil del mes de diciembre, por lo que tal derecho no existía en los meses de junio y julio. En suma, entiende el Abogado del Estado que no hay en este caso una eficacia retroactiva, dado que el Real Decreto-ley 20/2012 incide sobre una paga extraordinaria que todavía no se había devengado ni percibido.</w:t>
      </w:r>
    </w:p>
    <w:p w:rsidR="00AC56D6" w:rsidRDefault="00AC56D6" w:rsidP="00AC56D6">
      <w:pPr>
        <w:pStyle w:val="TextoNormal"/>
      </w:pPr>
    </w:p>
    <w:p w:rsidR="00AC56D6" w:rsidRDefault="00AC56D6" w:rsidP="00AC56D6">
      <w:pPr>
        <w:pStyle w:val="TextoNormal"/>
      </w:pPr>
      <w:r>
        <w:t>Seguidamente sostiene el Abogado del Estado que aún en el caso de que se considerase que los preceptos cuestionados establecen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general”.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los arts. 2 y 3 del Real Decreto-ley 20/2012 una medida extraordinaria de “contención de gastos de personal” que tiene por finalidad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t xml:space="preserve">En tal sentido,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Recuerda, asimismo, que la estabilidad presupuestaria es un principio constitucional que vincula a todos </w:t>
      </w:r>
      <w:r>
        <w:lastRenderedPageBreak/>
        <w:t>los poderes públicos; insiste en que el análisis de la norma cuestionada ha de partir del contexto recesivo descrito.</w:t>
      </w:r>
    </w:p>
    <w:p w:rsidR="00AC56D6" w:rsidRDefault="00AC56D6" w:rsidP="00AC56D6">
      <w:pPr>
        <w:pStyle w:val="TextoNormal"/>
      </w:pPr>
    </w:p>
    <w:p w:rsidR="00AC56D6" w:rsidRDefault="00AC56D6" w:rsidP="00AC56D6">
      <w:pPr>
        <w:pStyle w:val="TextoNormal"/>
      </w:pPr>
      <w:r>
        <w:t>Por todo ello, el Abogado del Estado interesa la desestimación de la cuestión.</w:t>
      </w:r>
    </w:p>
    <w:p w:rsidR="00AC56D6" w:rsidRDefault="00AC56D6" w:rsidP="00AC56D6">
      <w:pPr>
        <w:pStyle w:val="TextoNormal"/>
      </w:pPr>
    </w:p>
    <w:p w:rsidR="00AC56D6" w:rsidRDefault="00AC56D6" w:rsidP="00AC56D6">
      <w:pPr>
        <w:pStyle w:val="TextoNormal"/>
      </w:pPr>
      <w:r w:rsidRPr="00AC56D6">
        <w:rPr>
          <w:rStyle w:val="NumeroAFNegritaCaracter"/>
        </w:rPr>
        <w:t>8</w:t>
      </w:r>
      <w:r>
        <w:t>. Por escrito registrado en este Tribunal el 3 de julio de 2014, el Fiscal General del Estado evacuó el trámite de alegaciones, solicitando la declaración de inconstitucionalidad de los preceptos cuestionados, por considerarlos contrarios al principio de irretroactividad de las disposiciones restrictivas de derechos individuales (art. 9.3 CE).</w:t>
      </w:r>
    </w:p>
    <w:p w:rsidR="00AC56D6" w:rsidRDefault="00AC56D6" w:rsidP="00AC56D6">
      <w:pPr>
        <w:pStyle w:val="TextoNormal"/>
      </w:pPr>
    </w:p>
    <w:p w:rsidR="00AC56D6" w:rsidRDefault="00AC56D6" w:rsidP="00AC56D6">
      <w:pPr>
        <w:pStyle w:val="TextoNormal"/>
      </w:pPr>
      <w:r>
        <w:t>Coincidiendo con lo expuesto en el Auto de planteamiento de la cuestión, considera el Fiscal que los derechos retributivos de los empleados públicos están integrados en la “esfera general de protección de la persona”, que contempla este Tribunal como límite a la eficacia de la norma retroactiva; en concreto, se enmarcarían dentro del derecho al trabajo y a una remuneración suficiente que prevé el art. 35.1 CE. En este sentido prosigue diciendo que, si bien no llegan a comprometerse en este caso derechos fundamentales o libertades públicas, sí se ven concernidos derechos individuales que son expresión directa de la esfera general de protección de la persona. Además, afirma que la idea de sanción resultará robustecida en este caso, dado que se pretende extraer del patrimonio de los ciudadanos, sin indemnización, un bien o un derecho del que ya dispone.</w:t>
      </w:r>
    </w:p>
    <w:p w:rsidR="00AC56D6" w:rsidRDefault="00AC56D6" w:rsidP="00AC56D6">
      <w:pPr>
        <w:pStyle w:val="TextoNormal"/>
      </w:pPr>
    </w:p>
    <w:p w:rsidR="00AC56D6" w:rsidRDefault="00AC56D6" w:rsidP="00AC56D6">
      <w:pPr>
        <w:pStyle w:val="TextoNormal"/>
      </w:pPr>
      <w:r>
        <w:t xml:space="preserve">Llegados a este punto, pasa a analizar si las normas cuestionadas contienen un grado de retroactividad permitido por el art. 9.3 CE, a la luz de la doctrina constitucional que sintetiza. Llega a la conclusión de que resulta obvia la supresión por los arts. 2 y 3 del Real Decreto-ley 20/2012 de un efecto jurídico ya agotado, en tanto que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incorporándose cada jornada al patrimonio del funcionario,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de los protegidos por el art. 9.3 CE. Además, entiende que el criterio del Auto de planteamiento tendría el respaldo de la Sentencia del Tribunal Europeo de Derechos Humanos de 14 de mayo de 2013 (caso </w:t>
      </w:r>
      <w:r w:rsidRPr="00AC56D6">
        <w:rPr>
          <w:i/>
        </w:rPr>
        <w:t>N.K.M. v. Hungría</w:t>
      </w:r>
      <w:r>
        <w:t>). Este declaró la vulneración del art. 1 del Protocolo núm. 1 anexo al Convenio por un acto de privación de la cuantía de una indemnización (cantidad devengada pero no percibida) por cese a una funcionaria, señalándose que “los bienes” en el sentido del citado artículo 1 son “bienes existentes” o activos, en los que el solicitante puede tener por lo menos una “expectativa legítima” de que esta se vería realizada. Entiende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Tal hipótesis no puede suponer, sin embargo, un aval ge</w:t>
      </w:r>
      <w:r>
        <w:lastRenderedPageBreak/>
        <w:t>nérico para que con esa excusa el poder público pueda conducirse apartándose de una expresa previsión legal. Añade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t>El Fiscal General del Estado concluye sus alegaciones precisando que en el Auto de planteamiento no se cuestiona en su integridad el art. 2 del Real Decreto-ley 20/2012, sino sólo sus apartados 1 y 2.1, ni tampoco todo el art. 3 del Real Decreto-ley 20/2012, sino sólo su apartado 1, ya que son estos concretos preceptos los que resultan aplicable para resolver el pleito sometido al conocimiento de la Sala de lo Contencioso-Administrativo del Tribunal Supremo (referido en exclusiva a personal funcionario al servicio del Tribunal Constitucional). Asimismo indica que, tratándose de un supuesto de retroactividad máxima en relación con derechos ya integrados en el patrimonio de sus titulares, el efecto en caso de una eventual declaración de inconstitucionalidad de los preceptos cuestionados habría de limitarse al período comprendido entre las fechas del 1 de junio y el 14 de julio de 2012.</w:t>
      </w:r>
    </w:p>
    <w:p w:rsidR="00AC56D6" w:rsidRDefault="00AC56D6" w:rsidP="00AC56D6">
      <w:pPr>
        <w:pStyle w:val="TextoNormal"/>
      </w:pPr>
    </w:p>
    <w:p w:rsidR="00AC56D6" w:rsidRDefault="00AC56D6" w:rsidP="00AC56D6">
      <w:pPr>
        <w:pStyle w:val="TextoNormal"/>
      </w:pPr>
      <w:r w:rsidRPr="00AC56D6">
        <w:rPr>
          <w:rStyle w:val="NumeroAFNegritaCaracter"/>
        </w:rPr>
        <w:t>9</w:t>
      </w:r>
      <w:r>
        <w:t>. Por escrito registrado en este Tribunal el 25 de julio de 2014, el Procurador de los Tribunales don Miguel Torres Álvarez, en nombre y representación de don Jorge Páez Mañá, presentó sus alegaciones, solicitando la declaración de inconstitucionalidad de los preceptos cuestionados.</w:t>
      </w:r>
    </w:p>
    <w:p w:rsidR="00AC56D6" w:rsidRDefault="00AC56D6" w:rsidP="00AC56D6">
      <w:pPr>
        <w:pStyle w:val="TextoNormal"/>
      </w:pPr>
    </w:p>
    <w:p w:rsidR="00AC56D6" w:rsidRDefault="00AC56D6" w:rsidP="00AC56D6">
      <w:pPr>
        <w:pStyle w:val="TextoNormal"/>
      </w:pPr>
      <w:r>
        <w:t>Comienza recordando que han sido planteadas numerosas cuestiones de inconstitucionalidad similares a la presente sobre el Real Decreto-ley 20/2012.</w:t>
      </w:r>
    </w:p>
    <w:p w:rsidR="00AC56D6" w:rsidRDefault="00AC56D6" w:rsidP="00AC56D6">
      <w:pPr>
        <w:pStyle w:val="TextoNormal"/>
      </w:pPr>
    </w:p>
    <w:p w:rsidR="00AC56D6" w:rsidRDefault="00AC56D6" w:rsidP="00AC56D6">
      <w:pPr>
        <w:pStyle w:val="TextoNormal"/>
      </w:pPr>
      <w:r>
        <w:t>Sostiene, en coincidencia con el Auto de planteamiento, que los preceptos cuestionados, que suprimen para el personal funcionario la paga extraordinaria de diciembre de 2012, vulneran la interdicción de retroactividad de las disposiciones restrictivas de derechos individuales y asimismo el principio de seguridad jurídica, garantizados ambos por el art. 9.3 CE, por afectar a cuantías ya devengadas de dicha paga extra antes de la entrada en vigor del Real Decreto-ley 20/2012.</w:t>
      </w:r>
    </w:p>
    <w:p w:rsidR="00AC56D6" w:rsidRDefault="00AC56D6" w:rsidP="00AC56D6">
      <w:pPr>
        <w:pStyle w:val="TextoNormal"/>
      </w:pPr>
    </w:p>
    <w:p w:rsidR="00AC56D6" w:rsidRDefault="00AC56D6" w:rsidP="00AC56D6">
      <w:pPr>
        <w:pStyle w:val="TextoNormal"/>
      </w:pPr>
      <w:r>
        <w:t xml:space="preserve">Considera además que, en virtud de lo previsto en el art. 39.2 LOTC, el Tribunal Constitucional podría declarar la inconstitucionalidad de los preceptos cuestionados por incurrir en otras infracciones constitucionales, aunque no se contengan en el Auto de planteamiento de la presente cuestión. Así entiende que los preceptos cuestionados vulneran también los derechos de propiedad (art. 33.1 CE) y a no sufrir expropiación de derechos sin indemnización (art. 33.3 CE), pues en el Real Decreto-ley 20/2012 no se contempla una compensación razonablemente proporcionada a la supresión de la paga extra de diciembre de 2012, haciendo soportar a los empleados públicos una carga especial y exorbitante. Igualmente considera que los preceptos cuestionados infringen el derecho a la igualdad en la ley (art. 14 </w:t>
      </w:r>
      <w:r>
        <w:lastRenderedPageBreak/>
        <w:t>CE), en relación con la obligación de contribuir al sostenimiento de los gastos públicos de acuerdo con la capacidad económica del contribuyente (art. 31.1 CE) y con el principio de proporcionalidad, pues la compensación prevista en el Real Decreto-ley 20/2012 por la supresión de la paga extra de diciembre de 2012 (futuras aportaciones al plan de pensiones de los funcionarios) no podrá beneficiar a los beneficiarios jubilados antes de que se produzca esa hipotética compensación futura. Asimismo estima que la supresión de la paga extraordinaria de diciembre de 2012 por el Real Decreto-ley 20/2012 vulnera los derechos al trabajo y a una remuneración suficiente (art. 35.1 CE), en relación con la inviolabilidad de los derechos inherentes a la dignidad de los empleados públicos y al libre desarrollo de su personalidad (</w:t>
      </w:r>
      <w:r w:rsidRPr="00AC56D6">
        <w:rPr>
          <w:i/>
        </w:rPr>
        <w:t>ex</w:t>
      </w:r>
      <w:r>
        <w:t xml:space="preserve"> arts. 10.1 y 103.1 y 3 CE), y también el derecho a la negociación colectiva de los empleados públicos (art. 37.1 CE). En fin, sostiene que el Real Decreto-ley 20/2012 no satisface el presupuesto habilitante de la extraordinaria y urgente necesidad que exige el art. 86.1 CE para que el Gobierno pueda aprobar decretos-leyes, lo que se erige en nuevo motivo de inconstitucionalidad y nulidad de los preceptos cuestionados.</w:t>
      </w:r>
    </w:p>
    <w:p w:rsidR="00AC56D6" w:rsidRDefault="00AC56D6" w:rsidP="00AC56D6">
      <w:pPr>
        <w:pStyle w:val="TextoNormal"/>
      </w:pPr>
    </w:p>
    <w:p w:rsidR="00AC56D6" w:rsidRDefault="00AC56D6" w:rsidP="00AC56D6">
      <w:pPr>
        <w:pStyle w:val="TextoNormal"/>
      </w:pPr>
      <w:r w:rsidRPr="00AC56D6">
        <w:rPr>
          <w:rStyle w:val="NumeroAFNegritaCaracter"/>
        </w:rPr>
        <w:t>10</w:t>
      </w:r>
      <w:r>
        <w:t>. Por providencia de 14 de julio de 2015 el Pleno acordó, de conformidad con lo dispuesto en el art. 88.1 LOTC, requerir al Gerente de este Tribunal a fin de que indique si, en atención a lo previsto en la disposición adicional duodécima de la Ley 36/2014, de 26 de diciembre, de presupuestos generales del Estado para el año 2015, ha satisfecho al funcionario al servicio del Tribunal Constitucional don Jorge Páez Mañá alguna cantidad en concepto de recuperación de la parte proporcional de la paga extraordinaria correspondiente al mes de diciembre de 2012. Habría de especificar, en su caso, el número de días de la citada paga extraordinaria a los que corresponden las cuantías abonadas.</w:t>
      </w:r>
    </w:p>
    <w:p w:rsidR="00AC56D6" w:rsidRDefault="00AC56D6" w:rsidP="00AC56D6">
      <w:pPr>
        <w:pStyle w:val="TextoNormal"/>
      </w:pPr>
    </w:p>
    <w:p w:rsidR="00AC56D6" w:rsidRDefault="00AC56D6" w:rsidP="00AC56D6">
      <w:pPr>
        <w:pStyle w:val="TextoNormal"/>
      </w:pPr>
      <w:r w:rsidRPr="00AC56D6">
        <w:rPr>
          <w:rStyle w:val="NumeroAFNegritaCaracter"/>
        </w:rPr>
        <w:t>11</w:t>
      </w:r>
      <w:r>
        <w:t>. En contestación al referido requerimiento, el Gerente de este Tribunal certifica por escrito de 4 de agosto de 2015 que, en cumplimiento de lo prevenido en la disposición adicional duodécima de la Ley 36/2014, de 26 de diciembre, de presupuestos generales del Estado para el año 2015, se ha procedido a abonar al funcionario al servicio del Tribunal Constitucional don Jorge Páez Mañá, en la nómina del mes de enero de 2015, la cantidad de 769,44 euros, en concepto de recuperación parcial de los importes dejados de percibir como consecuencia de la supresión de la paga extraordinaria de diciembre de 2012, correspondiendo dicha cantidad a cuarenta y cuatro días del periodo a computar a estos efectos (ciento ochenta y tres días).</w:t>
      </w:r>
    </w:p>
    <w:p w:rsidR="00AC56D6" w:rsidRDefault="00AC56D6" w:rsidP="00AC56D6">
      <w:pPr>
        <w:pStyle w:val="TextoNormal"/>
      </w:pPr>
    </w:p>
    <w:p w:rsidR="00AC56D6" w:rsidRDefault="00AC56D6" w:rsidP="00AC56D6">
      <w:pPr>
        <w:pStyle w:val="TextoNormal"/>
      </w:pPr>
      <w:r w:rsidRPr="00AC56D6">
        <w:rPr>
          <w:rStyle w:val="NumeroAFNegritaCaracter"/>
        </w:rPr>
        <w:t>12</w:t>
      </w:r>
      <w:r>
        <w:t>. Por providencia de 6 de octubre de 2015 se señaló para deliberación y votación de la presente Sentencia el día 8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La Sala de lo Contencioso-Administrativo del Tribunal Supremo plantea cuestión de inconstitucionalidad en relación con el art. 2, apartados 1 y 2.1, y el art. 3, apartado 1, del Real Decreto-ley 20/2012, de 13 de julio, de medidas para garantizar la estabilidad presupuestaria y de fomento de la competitividad (Real Decreto-ley 20/2012). Estos preceptos, en lo que aquí importa, disponen para el personal funcionario la supresión de la paga extraordinaria del mes de diciembre de 2012. En síntesis, la Sala entiende que los preceptos cuestionados pueden vulnerar el principio constitucional de interdicción de la retroactividad </w:t>
      </w:r>
      <w:r>
        <w:lastRenderedPageBreak/>
        <w:t>de las disposiciones sancionadoras no favorables o restrictivas de derechos individuales (art. 9.3 CE), al no contemplar excepción alguna respecto de las cuantías ya devengadas por el funcionario al momento de la entrada en vigor del Real Decreto-ley 20/2012, esto es, desde el 1 de junio al 14 de julio de 2012.</w:t>
      </w:r>
    </w:p>
    <w:p w:rsidR="00AC56D6" w:rsidRDefault="00AC56D6" w:rsidP="00AC56D6">
      <w:pPr>
        <w:pStyle w:val="TextoNormal"/>
      </w:pPr>
    </w:p>
    <w:p w:rsidR="00AC56D6" w:rsidRDefault="00AC56D6" w:rsidP="00AC56D6">
      <w:pPr>
        <w:pStyle w:val="TextoNormal"/>
      </w:pPr>
      <w:r>
        <w:t xml:space="preserve">En los términos en que han sido recogidos en los antecedentes de esta Sentencia, el Fiscal General del Estado y la representación procesal del funcionario demandante en el proceso </w:t>
      </w:r>
      <w:r w:rsidRPr="00AC56D6">
        <w:rPr>
          <w:i/>
        </w:rPr>
        <w:t>a quo</w:t>
      </w:r>
      <w:r>
        <w:t xml:space="preserve"> interesan la estimación de la cuestión de inconstitucionalidad, mientras que el Abogado del Estado solicita su desestimación.</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al análisis de la cuestión planteada conviene realizar dos precisiones para acotar debidamente el objeto de la misma y el alcance de nuestro enjuiciamiento.</w:t>
      </w:r>
    </w:p>
    <w:p w:rsidR="00AC56D6" w:rsidRDefault="00AC56D6" w:rsidP="00AC56D6">
      <w:pPr>
        <w:pStyle w:val="TextoNormal"/>
      </w:pPr>
    </w:p>
    <w:p w:rsidR="00AC56D6" w:rsidRDefault="00AC56D6" w:rsidP="00AC56D6">
      <w:pPr>
        <w:pStyle w:val="TextoNormal"/>
      </w:pPr>
      <w:r>
        <w:t>a) En primer lugar, resulta obligado advertir que la Sala de lo Contencioso-Administrativo del Tribunal Supremo ha acotado con precisión en el Auto de planteamiento los concretos preceptos del Real Decreto-ley 20/2012 sobre los que se proyecta la duda de inconstitucionalidad, de tal suerte que no se cuestionan en su integridad los extensos arts. 2 y 3 del Real Decreto-ley 20/2012, sino sólo aquellos apartados de estos preceptos que se refieren a la medida de supresión de la paga extraordinaria del mes de diciembre de 2012 en relación con el personal funcionario. Ello se conecta lógicamente con el juicio de relevancia, que también es correctamente expresado por la Sala. La cuestión de inconstitucionalidad trae causa de un recurso contencioso-administrativo promovido por un funcionario al servicio del Tribunal Constitucional con motivo de la supresión, por aplicación de las previsiones contenidas en el Real Decreto-ley 20/2012, de la paga extra de diciembre de 2012. Lo pretendido por el demandante con carácter subsidiario a la pretensión principal (referida a que no se le aplique la medida de supresión de la paga extra) es justamente que se declare su derecho a percibir la parte proporcional de dicha paga extraordinaria que considera ya devengada al momento de la entrada en vigor del Real Decreto-ley 20/2012, porque, de acuerdo con el art. 9.3 CE, no cabría que la supresión de esa paga extra por dicho Real Decreto-ley tenga efectos retroactivos.</w:t>
      </w:r>
    </w:p>
    <w:p w:rsidR="00AC56D6" w:rsidRDefault="00AC56D6" w:rsidP="00AC56D6">
      <w:pPr>
        <w:pStyle w:val="TextoNormal"/>
      </w:pPr>
    </w:p>
    <w:p w:rsidR="00AC56D6" w:rsidRDefault="00AC56D6" w:rsidP="00AC56D6">
      <w:pPr>
        <w:pStyle w:val="TextoNormal"/>
      </w:pPr>
      <w:r>
        <w:t>En suma, la presente cuestión de inconstitucionalidad se refiere, tal como efectivamente ha sido planteada por la Sala de lo Contencioso-Administrativo del Tribunal Supremo, al apartado 1 del art. 2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también al apartado 2.1 del art. 2 del Real Decreto-ley 20/2012, que se refiere específicamente a la supresión de la paga extraordinaria de diciembre de 2012 o equivalente a todo el personal funcionario, y al apartado 1 del art. 3 del Real Decreto-ley 20/2012, que reitera esta regla para el personal funcionario del sector público estatal.</w:t>
      </w:r>
    </w:p>
    <w:p w:rsidR="00AC56D6" w:rsidRDefault="00AC56D6" w:rsidP="00AC56D6">
      <w:pPr>
        <w:pStyle w:val="TextoNormal"/>
      </w:pPr>
    </w:p>
    <w:p w:rsidR="00AC56D6" w:rsidRDefault="00AC56D6" w:rsidP="00AC56D6">
      <w:pPr>
        <w:pStyle w:val="TextoNormal"/>
      </w:pPr>
      <w:r>
        <w:t xml:space="preserve">b) Por otra parte debe tenerse en cuenta que no se cuestiona por la Sala de lo Contencioso-Administrativo del Tribunal Supremo la medida de supresión de la paga extraordinaria de diciembre de 2012 en sí misma considerada (que es la pretensión principal que se deduce por el demandante en el proceso </w:t>
      </w:r>
      <w:r w:rsidRPr="00AC56D6">
        <w:rPr>
          <w:i/>
        </w:rPr>
        <w:t>a quo</w:t>
      </w:r>
      <w:r>
        <w:t xml:space="preserve">, como se ha dicho); se cuestiona sólo en cuanto su aplicación haya podido suponer la infracción del principio de irretroactividad establecido en el 9.3 CE, al no contemplar excepción alguna respecto de las cuantías que se entienden </w:t>
      </w:r>
      <w:r>
        <w:lastRenderedPageBreak/>
        <w:t xml:space="preserve">ya devengadas de dicha paga extra a la fecha de entrada en vigor del Real Decreto-ley 20/2012 (que tuvo lugar el 15 de julio de 2012, conforme a su disposición final decimoquinta). A esta concreta duda (planteada a partir de la pretensión subsidiaria en el proceso </w:t>
      </w:r>
      <w:r w:rsidRPr="00AC56D6">
        <w:rPr>
          <w:i/>
        </w:rPr>
        <w:t>a quo</w:t>
      </w:r>
      <w:r>
        <w:t>) deberá, pues, ceñirse nuestro enjuiciamiento.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Delimitado el alcance de nuestra decisión, debemos remitirnos a lo dicho recientemente en la STC 83/2015, de 30 de abril, FJ 3, sobre la posible pérdida de objeto de la cuestión de inconstitucionalidad, como consecuencia de la disposición adicional duodécima de la Ley 36/2014, de 26 de diciembre, de presupuestos generales del Estado para 2015. Bajo el epígrafe “Recuperación de la paga extraordinaria y adicional del mes de diciembre de 2012”, se establece, en su apartado 1.1,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cuarenta y cuatro días de la paga extraordinaria suprimida, según establece el apartado Uno.2. El apartado Dos dispone las reglas para el abono de dichas cantidades al personal del sector público estatal definido en las letras que relaciona del apartado Uno del art. 22 de la Ley 2/2012, de 29 de junio, de presupuestos generales del Estado para 2012, entre las que se encuentra la letra e), referida a los órganos constitucionales del Estado. La efectiva aplicación de estas previsiones se ha llevado a cabo en el ámbito del sector público estatal así definido conforme a las instrucciones contenidas en la resolución conjunta de las Secretarías de Estado de Presupuestos y Gastos y de Administraciones Públicas de 29 de diciembre de 2014 (publicada en el “Boletín Oficial del Estado” de 2 de enero de 2015). En ella se precisa: “El reconocimiento del derecho a recuperar las cantidades dejadas de percibir se produce por imperativo de la propia Ley de Presupuestos Generales del Estado para 2015 y produce sus efectos a partir de este último año, por lo que todas las cantidades que se reconozcan en virtud de lo dispuesto en la disposición adicional constituyen percepciones correspondientes al ejercicio de 2015”. En el presente caso ha de estarse a lo dispuesto en el apartado II de la referida instrucción, que contiene las reglas aplicables, entre otros, a los funcionarios civiles del Estado, condición que reúne el demandante en el proceso del que trae causa la presente cuestión de inconstitucionalidad.</w:t>
      </w:r>
    </w:p>
    <w:p w:rsidR="00AC56D6" w:rsidRDefault="00AC56D6" w:rsidP="00AC56D6">
      <w:pPr>
        <w:pStyle w:val="TextoNormal"/>
      </w:pPr>
    </w:p>
    <w:p w:rsidR="00AC56D6" w:rsidRDefault="00AC56D6" w:rsidP="00AC56D6">
      <w:pPr>
        <w:pStyle w:val="TextoNormal"/>
      </w:pPr>
      <w:r>
        <w:t xml:space="preserve">En la STC 83/2015, FJ 3, se recuerda la reiterada doctrina constitucional sobre los efectos extintivos del objeto del proceso en las cuestiones de inconstitucionalidad, como consecuencia de la derogación o modificación de la norma legal cuestionada. Se puso de manifiesto que era innegable la incidencia que tenía la medida contenida en la disposición adicional duodécima de la Ley 36/2014, de presupuestos generales del Estado para 2015, sobre la pretensión deducida en el pleito </w:t>
      </w:r>
      <w:r w:rsidRPr="00AC56D6">
        <w:rPr>
          <w:i/>
        </w:rPr>
        <w:t>a quo</w:t>
      </w:r>
      <w:r>
        <w:t>, “que afecta de modo determinante a la subsistencia del presente proceso constitucional, dada la estrecha vinculación existente entre toda cuestión de inconstitucionalidad y el procedimiento judicial de que dimana.”</w:t>
      </w:r>
    </w:p>
    <w:p w:rsidR="00AC56D6" w:rsidRDefault="00AC56D6" w:rsidP="00AC56D6">
      <w:pPr>
        <w:pStyle w:val="TextoNormal"/>
      </w:pPr>
    </w:p>
    <w:p w:rsidR="00AC56D6" w:rsidRDefault="00AC56D6" w:rsidP="00AC56D6">
      <w:pPr>
        <w:pStyle w:val="TextoNormal"/>
      </w:pPr>
      <w:r>
        <w:t xml:space="preserve">En la presente cuestión de inconstitucionalidad se discute si la supresión del derecho de un funcionario del Estado al servicio del Tribunal Constitucional a percibir la parte proporcional (en concreto, 44 días, por el periodo 1 de junio al 14 de julio de 2012) de la paga extra de diciembre de 2012, por entenderse ya devengada al momento de la entrada en vigor del Real Decreto-ley 20/2012, contraviene el principio de irretroactividad establecido en el 9.3 CE. Planteada la cuestión en esos términos es obligado concluir, como hicimos en la </w:t>
      </w:r>
      <w:r>
        <w:lastRenderedPageBreak/>
        <w:t>STC 83/2015, que la recuperación por este funcionario de la parte proporcional correspondiente a los primeros 44 días de la paga extra de diciembre de 2012, en virtud de lo establecido en la citada disposición adicional duodécima de la Ley 36/2014, de presupuestos generales del Estado para 2015 (recuperación que se hizo efectiva en la nómina del mes de enero de 2015, conforme quedó señalado en el relato de antecedentes de la presente Sentencia), supone la satisfacción extraprocesal de la pretensión deducida en el proceso contencioso-administrativo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(STC 83/2015, FJ 3).</w:t>
      </w:r>
    </w:p>
    <w:p w:rsidR="00AC56D6" w:rsidRDefault="00AC56D6" w:rsidP="00AC56D6">
      <w:pPr>
        <w:pStyle w:val="TextoNormal"/>
      </w:pPr>
    </w:p>
    <w:p w:rsidR="00AC56D6" w:rsidRDefault="00AC56D6" w:rsidP="00AC56D6">
      <w:pPr>
        <w:pStyle w:val="TextoNormal"/>
      </w:pPr>
      <w:r>
        <w:t>En conclusión, “la regulación contenida en la citada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83/2015, FJ 3; y en el mismo sentido AATC 340/2003, de 21 de octubre, FJ único, y 75/2004, de 9 de marzo, FJ único)” (STC 83/2015, FJ 3).</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Declarar la extinción de la presente cuestión de inconstitucionalidad por desaparición sobrevenida de su objeto.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ocho de octubre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67" w:name="SENTENCIA_2015_211"/>
      <w:r>
        <w:lastRenderedPageBreak/>
        <w:t>SENTENCIA 211/2015, de 8 de octubre de 2015</w:t>
      </w:r>
    </w:p>
    <w:bookmarkEnd w:id="67"/>
    <w:p w:rsidR="00AC56D6" w:rsidRDefault="00AC56D6" w:rsidP="00AC56D6">
      <w:pPr>
        <w:pStyle w:val="TtuloResolucin"/>
      </w:pPr>
      <w:r>
        <w:t>Pleno</w:t>
      </w:r>
    </w:p>
    <w:p w:rsidR="00AC56D6" w:rsidRDefault="00AC56D6" w:rsidP="00AC56D6">
      <w:pPr>
        <w:pStyle w:val="TtuloBOE"/>
      </w:pPr>
      <w:r>
        <w:t>(BOE núm. 272, de 13 de noviembre de 2015)</w:t>
      </w:r>
    </w:p>
    <w:p w:rsidR="00AC56D6" w:rsidRDefault="00AC56D6" w:rsidP="00AC56D6">
      <w:pPr>
        <w:pStyle w:val="TextoNormalCentrado"/>
      </w:pPr>
      <w:r>
        <w:t>ECLI:ES:TC:2015:211</w:t>
      </w:r>
    </w:p>
    <w:p w:rsidR="00AC56D6" w:rsidRDefault="00AC56D6" w:rsidP="00AC56D6">
      <w:pPr>
        <w:pStyle w:val="TextoNormalCentrado"/>
      </w:pPr>
    </w:p>
    <w:p w:rsidR="00AC56D6" w:rsidRDefault="00AC56D6" w:rsidP="00AC56D6">
      <w:pPr>
        <w:pStyle w:val="SntesisDescriptiva"/>
      </w:pPr>
      <w:r>
        <w:t>Recurso de inconstitucionalidad 5970-2014. Interpuesto por el Consell de la Generalitat Valenciana respecto del artículo 124 del Real Decreto-ley 8/2014, de 4 de julio, de aprobación de medidas urgentes para el crecimiento, la competitividad y la eficiencia.</w:t>
      </w:r>
    </w:p>
    <w:p w:rsidR="00AC56D6" w:rsidRDefault="00AC56D6" w:rsidP="00AC56D6">
      <w:pPr>
        <w:pStyle w:val="SntesisDescriptiva"/>
      </w:pPr>
    </w:p>
    <w:p w:rsidR="00AC56D6" w:rsidRDefault="00AC56D6" w:rsidP="00AC56D6">
      <w:pPr>
        <w:pStyle w:val="SntesisAnaltica"/>
      </w:pPr>
      <w:r>
        <w:t>Límites a los decretos-leyes: falta de acreditación del presupuesto habilitante para aprobar con carácter urgente una reforma de la regulación del impuesto estatal sobre depósitos en las entidades de crédito. Voto particular.</w:t>
      </w:r>
    </w:p>
    <w:p w:rsidR="00AC56D6" w:rsidRDefault="00AC56D6" w:rsidP="00AC56D6">
      <w:pPr>
        <w:pStyle w:val="SntesisAnaltica"/>
      </w:pPr>
    </w:p>
    <w:p w:rsidR="00AC56D6" w:rsidRDefault="00AC56D6" w:rsidP="00AC56D6">
      <w:pPr>
        <w:pStyle w:val="Extracto"/>
      </w:pPr>
      <w:r>
        <w:t>1.</w:t>
      </w:r>
      <w:r>
        <w:tab/>
        <w:t>No se justificó debidamente la extraordinaria y urgente necesidad de la norma controvertida, habida cuenta que el objetivo de garantizar una tributación armonizada de los depósitos constituidos en las entidades de crédito en todo el territorio español ya se había conseguido con la aprobación de la Ley 16/2012, que estableció el impuesto sobre depósitos estatal a tipo cero precisamente con la finalidad de armonizar los hechos imponibles en esta materia [FJ 7].</w:t>
      </w:r>
    </w:p>
    <w:p w:rsidR="00AC56D6" w:rsidRDefault="00AC56D6" w:rsidP="00AC56D6">
      <w:pPr>
        <w:pStyle w:val="Extracto"/>
      </w:pPr>
    </w:p>
    <w:p w:rsidR="00AC56D6" w:rsidRDefault="00AC56D6" w:rsidP="00AC56D6">
      <w:pPr>
        <w:pStyle w:val="Extracto"/>
      </w:pPr>
      <w:r>
        <w:t>2.</w:t>
      </w:r>
      <w:r>
        <w:tab/>
        <w:t>La habilitación al Gobierno para dictar normas con fuerza de ley está sometida a estrictos requisitos: la necesaria conexión entre la facultad legislativa excepcional y la existencia del presupuesto habilitante de la “extraordinaria y urgente necesidad” (STC 182/1997) [FJ 4].</w:t>
      </w:r>
    </w:p>
    <w:p w:rsidR="00AC56D6" w:rsidRDefault="00AC56D6" w:rsidP="00AC56D6">
      <w:pPr>
        <w:pStyle w:val="Extracto"/>
      </w:pPr>
    </w:p>
    <w:p w:rsidR="00AC56D6" w:rsidRDefault="00AC56D6" w:rsidP="00AC56D6">
      <w:pPr>
        <w:pStyle w:val="Extracto"/>
      </w:pPr>
      <w:r>
        <w:t>3.</w:t>
      </w:r>
      <w:r>
        <w:tab/>
        <w:t>La utilización de la potestad legislativa extraordinaria del Gobierno debe circunscribirse a situaciones de fuerza mayor o de emergencia, que exige la concurrencia de ciertas notas de excepcionalidad, gravedad, relevancia e imprevisibilidad que determinen la necesidad de una acción normativa inmediata en un plazo más breve que el requerido para la tramitación parlamentaria de las leyes, bien sea por el procedimiento ordinario o por el de urgencia (STC 68/2007, STC 137/2011) [FJ 7].</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lastRenderedPageBreak/>
        <w:t>SENTENCIA</w:t>
      </w:r>
    </w:p>
    <w:p w:rsidR="00AC56D6" w:rsidRDefault="00AC56D6" w:rsidP="00AC56D6">
      <w:pPr>
        <w:pStyle w:val="TextoNormalCentrado"/>
        <w:keepNext/>
      </w:pPr>
    </w:p>
    <w:p w:rsidR="00AC56D6" w:rsidRDefault="00AC56D6" w:rsidP="00AC56D6">
      <w:pPr>
        <w:pStyle w:val="TextoNormal"/>
      </w:pPr>
      <w:r>
        <w:t>En el recurso de inconstitucionalidad núm. 5970-2014, interpuesto por el Consell de la Generalitat Valenciana contra el art. 124 del Real Decreto-ley 8/2014, de 4 de julio, de aprobación de medidas urgentes para el crecimiento, la competitividad y la eficiencia. Ha intervenido y formulado alegaciones el Abogado del Estado. Ha sido Ponente el Magistrado don Antonio Narváez Rodríguez,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registrado en este Tribunal el día 3 de octubre de 2014 el Director General de la Abogacía de la Generalitat Valenciana, en la representación que ostenta del Consejo de Gobierno de esa Comunidad Autónoma, interpuso recurso de inconstitucionalidad contra el art. 124 del Real Decreto-ley 8/2014, de 4 de julio, de aprobación de medidas urgentes para el crecimiento, la competitividad y la eficiencia.</w:t>
      </w:r>
    </w:p>
    <w:p w:rsidR="00AC56D6" w:rsidRDefault="00AC56D6" w:rsidP="00AC56D6">
      <w:pPr>
        <w:pStyle w:val="TextoNormal"/>
      </w:pPr>
    </w:p>
    <w:p w:rsidR="00AC56D6" w:rsidRDefault="00AC56D6" w:rsidP="00AC56D6">
      <w:pPr>
        <w:pStyle w:val="TextoNormal"/>
      </w:pPr>
      <w:r>
        <w:t xml:space="preserve">Tras exponer el marco normativo de la norma que se recurre, con extensa referencia a la Ley 16/2012, de 27 de diciembre, por la que se adoptan diversas medidas tributarias dirigidas a la consolidación de las finanzas públicas y al impulso de la actividad económica, por la que se creó el impuesto sobre los depósitos en las entidades de crédito, se refiere a la modificación acometida por el citado art. 124 del Real Decreto-ley 8/2014, para concluir que con la misma altera sustancialmente la mayoría de los elementos esenciales de esta figura impositiva, a saber: el establecimiento de una nueva causa de conclusión del periodo impositivo, la fórmula de cálculo de la base imponible, la forma de presentar la autoliquidación, estableciendo la obligación de desagregar los datos por Comunidades Autónomas, los pagos a cuenta, las medidas de compensación para las Comunidades Autónomas a partir del l de enero de 2014 y la distribución de la recaudación así como el establecimiento </w:t>
      </w:r>
      <w:r w:rsidRPr="00AC56D6">
        <w:rPr>
          <w:i/>
        </w:rPr>
        <w:t>ex novo</w:t>
      </w:r>
      <w:r>
        <w:t xml:space="preserve"> de una cuota tributaria, cuando hasta la modificación operada mediante el Real Decreto-ley que se cuestiona, el impuesto tenía una evidente y palmaria finalidad extrafiscal, dado que el mismo quedó “absolutamente vacío de contenido a los efectos del deber constitucional del deber de contribuir a la Hacienda Pública, en cuanto que el tipo de gravamen se fijó en el 0 por cien y la aplicación de la norma no implicaba ninguna obligación material ni formal para los hipotéticos contribuyentes”.</w:t>
      </w:r>
    </w:p>
    <w:p w:rsidR="00AC56D6" w:rsidRDefault="00AC56D6" w:rsidP="00AC56D6">
      <w:pPr>
        <w:pStyle w:val="TextoNormal"/>
      </w:pPr>
    </w:p>
    <w:p w:rsidR="00AC56D6" w:rsidRDefault="00AC56D6" w:rsidP="00AC56D6">
      <w:pPr>
        <w:pStyle w:val="TextoNormal"/>
      </w:pPr>
      <w:r>
        <w:t>Describe posteriormente el art. 161 de la Ley 5/2013, de 23 de diciembre, de medidas fiscales, de gestión administrativa y financiera, y de organización de la Generalitat, con entrada en vigor desde el 1 de enero de 2014, aprobó en el ámbito de la Comunitat Valenciana, el impuesto sobre depósitos en entidades de crédito, como un impuesto propio de la Comunitat Valenciana, de carácter directo, que grava los depósitos constituidos en las entidades de crédito.</w:t>
      </w:r>
    </w:p>
    <w:p w:rsidR="00AC56D6" w:rsidRDefault="00AC56D6" w:rsidP="00AC56D6">
      <w:pPr>
        <w:pStyle w:val="TextoNormal"/>
      </w:pPr>
    </w:p>
    <w:p w:rsidR="00AC56D6" w:rsidRDefault="00AC56D6" w:rsidP="00AC56D6">
      <w:pPr>
        <w:pStyle w:val="TextoNormal"/>
      </w:pPr>
      <w:r>
        <w:t>El recurso se fundamenta en los tres motivos que se exponen a continuación:</w:t>
      </w:r>
    </w:p>
    <w:p w:rsidR="00AC56D6" w:rsidRDefault="00AC56D6" w:rsidP="00AC56D6">
      <w:pPr>
        <w:pStyle w:val="TextoNormal"/>
      </w:pPr>
    </w:p>
    <w:p w:rsidR="00AC56D6" w:rsidRDefault="00AC56D6" w:rsidP="00AC56D6">
      <w:pPr>
        <w:pStyle w:val="TextoNormal"/>
      </w:pPr>
      <w:r>
        <w:t>a) Infracción del art. 86.1 CE, por no concurrir las notas de la extraordinaria y urgente necesidad, en la medida en que se alteran de forma sustancial los límites del impuesto estatal cuando no existe una urgencia en crear un régimen armonizado en relación con el tributo sobre los depósitos en entidades de crédito.</w:t>
      </w:r>
    </w:p>
    <w:p w:rsidR="00AC56D6" w:rsidRDefault="00AC56D6" w:rsidP="00AC56D6">
      <w:pPr>
        <w:pStyle w:val="TextoNormal"/>
      </w:pPr>
    </w:p>
    <w:p w:rsidR="00AC56D6" w:rsidRDefault="00AC56D6" w:rsidP="00AC56D6">
      <w:pPr>
        <w:pStyle w:val="TextoNormal"/>
      </w:pPr>
      <w:r>
        <w:t>Considera que no concurren los requisitos de “extraordinaria y urgente necesidad” establecidos por el artículo 86.1 de la Constitución Española para que el Gobierno pueda utilizar el instrumento legislativo de decreto-ley para llevar a cabo las mencionadas modificaciones. Si bien la urgente necesidad de establecer un régimen armonizado de tributación en todo el territorio nacional para los depósitos en entidades de crédito pudo existir en el momento de creación de los nuevos impuestos autonómicos de Cataluña y Asturias, que se venían a sumar a otros ya existentes (extremeño y andaluz), con el objeto de evitar la proliferación de impuestos autonómicos, cuya constitucionalidad acaba de ser ratificada por el propio Tribunal Constitucional, tal urgente necesidad, al menos, por el motivo argumentado, había ya desaparecido en el momento posterior en que se aprueba el Real Decreto-ley, utilizándose en fraude constitucional la vía del real decreto-ley para establecer, a través de un procedimiento urgente, y desde el 1 de enero de 2014, un tipo efectivo de gravamen del Impuesto estatal sobre depósitos en entidades de crédito (0,03 por 100) en lugar del anterior tipo cero, y ello con el único fin de dejar sin base los eventuales argumentos de inconstitucionalidad del impuesto estatal y condicionar el fallo del Tribunal Constitucional sobre los recursos de constitucionalidad ya planteados.</w:t>
      </w:r>
    </w:p>
    <w:p w:rsidR="00AC56D6" w:rsidRDefault="00AC56D6" w:rsidP="00AC56D6">
      <w:pPr>
        <w:pStyle w:val="TextoNormal"/>
      </w:pPr>
    </w:p>
    <w:p w:rsidR="00AC56D6" w:rsidRDefault="00AC56D6" w:rsidP="00AC56D6">
      <w:pPr>
        <w:pStyle w:val="TextoNormal"/>
      </w:pPr>
      <w:r>
        <w:t>Añade que las circunstancias esgrimidas que según el Gobierno requerían esta acción normativa, es decir, la aprobación de nuevos impuestos autonómicos y la esgrimida necesidad de garantizar una tributación armonizada de los depósitos constituidos en las entidades de crédito en todo el territorio español, después de que el Gobierno decidiese tramitar y aprobar la Ley 16/2012, que creó el impuesto sobre los depósitos —ya concurrían en el año 2012 y posteriormente en el año 2013, cuando el Estado ya había decidido regular este impuesto con una evidente finalidad extrafiscal—. Por tanto, no concurren circunstancias que hayan requerido esta acción normativa excepcional y urgente, que no existieran ya cuando se aprobó la Ley 16/2012 en los términos en los que ésta se decidió aprobar, ni han surgido nuevas necesidades que hayan requerido una acción legislativa inmediata, en los términos que recoge la doctrina asentada por ese Alto Tribunal (así STC 111/1983, FJ 3). Tampoco se aporta nada, dado que ni siquiera se menciona la nueva regulación del impuesto, en el debate parlamentario de convalidación de la norma cuestionada, recogido en el “Diario de Sesiones del Congreso de los Diputados” de 10 de julio de 2014.</w:t>
      </w:r>
    </w:p>
    <w:p w:rsidR="00AC56D6" w:rsidRDefault="00AC56D6" w:rsidP="00AC56D6">
      <w:pPr>
        <w:pStyle w:val="TextoNormal"/>
      </w:pPr>
    </w:p>
    <w:p w:rsidR="00AC56D6" w:rsidRDefault="00AC56D6" w:rsidP="00AC56D6">
      <w:pPr>
        <w:pStyle w:val="TextoNormal"/>
      </w:pPr>
      <w:r>
        <w:t xml:space="preserve">b) Vulneración del art. 9.3 CE y de la doctrina constitucional sobre la retroactividad de las disposiciones legales en materia tributaria. Expone que el apartado primero del art. 124 del Real Decreto-ley 8/2014, publicado el 5 de julio, fija los efectos de la modificación del art. 19 de la Ley 16/2012, desde el 1 de enero de 2014, declarando con ello, la retroactividad de la nueva regulación del impuesto sobre los depósitos bancarios. Tras recordar la doctrina de este Tribunal (con cita, entre otras, de las SSTC 126/1987, 197/1992 y 173/1996), recalca que dicho principio, aun cuando no pueda erigirse en valor absoluto, pues ello daría lugar a la congelación o petrificación del ordenamiento jurídico existente (STC 126/1987, FJ 11), ni deba entenderse tampoco como un derecho de los ciudadanos al mantenimiento de un determinado régimen fiscal (SSTC 27/1981 y 6/1983), sí protege, en cambio, la confianza de los ciudadanos, que ajustan su conducta económica a la legislación vigente, frente a cambios normativos que no sean razonablemente previsibles, ya que la retroactividad posible de las normas tributarias no puede trascender la interdicción de la arbitrariedad (STC 150/1990, FJ 8), tratándose en fin de una cuestión que sólo puede resolverse caso por caso, teniendo en cuenta de un lado, el grado de retroactividad de la norma cuestionada y, de otro, las </w:t>
      </w:r>
      <w:r>
        <w:lastRenderedPageBreak/>
        <w:t>circunstancias específicas que concurren en cada supuesto, es decir, la finalidad de la medida y las circunstancias relativas a su grado de previsibilidad, su importancia cuantitativa, y otros factores similares (SSTC 126/1987, FFJJ 11 a 13; 197/1992, FJ 4, y 173/1996, FJ 3).</w:t>
      </w:r>
    </w:p>
    <w:p w:rsidR="00AC56D6" w:rsidRDefault="00AC56D6" w:rsidP="00AC56D6">
      <w:pPr>
        <w:pStyle w:val="TextoNormal"/>
      </w:pPr>
    </w:p>
    <w:p w:rsidR="00AC56D6" w:rsidRDefault="00AC56D6" w:rsidP="00AC56D6">
      <w:pPr>
        <w:pStyle w:val="TextoNormal"/>
      </w:pPr>
      <w:r>
        <w:t>A partir de ahí razona que el alcance de la medida es sustancial, por dos razones:</w:t>
      </w:r>
    </w:p>
    <w:p w:rsidR="00AC56D6" w:rsidRDefault="00AC56D6" w:rsidP="00AC56D6">
      <w:pPr>
        <w:pStyle w:val="TextoNormal"/>
      </w:pPr>
    </w:p>
    <w:p w:rsidR="00AC56D6" w:rsidRDefault="00AC56D6" w:rsidP="00AC56D6">
      <w:pPr>
        <w:pStyle w:val="TextoNormal"/>
      </w:pPr>
      <w:r>
        <w:t>En primer lugar, para los propios contribuyentes afectados, porque, en base a la retroactividad que se prevé, se modifica sustancialmente su situación que pasa de no tener que tributar nada por el impuesto estatal, ni declarar por el mismo, a tener que hacerlo e ingresar a cuenta por los depósitos constituidos durante todo el periodo 2014.</w:t>
      </w:r>
    </w:p>
    <w:p w:rsidR="00AC56D6" w:rsidRDefault="00AC56D6" w:rsidP="00AC56D6">
      <w:pPr>
        <w:pStyle w:val="TextoNormal"/>
      </w:pPr>
    </w:p>
    <w:p w:rsidR="00AC56D6" w:rsidRDefault="00AC56D6" w:rsidP="00AC56D6">
      <w:pPr>
        <w:pStyle w:val="TextoNormal"/>
      </w:pPr>
      <w:r>
        <w:t>En segundo lugar considera no se puede argumentar con carácter general un eventual beneficio para los contribuyentes por el menor tipo general estatal respecto de los de la normativa autonómica valenciana y del resto de las Comunidades Autónomas que lo han regulado, (con un tipo de gravamen mínimo del 0,3 por 100, que se incrementa de forma progresiva, en función del volumen de depósitos, hasta un máximo de un 0,5 por cien para las entidades con más de 600 millones de euros en depósitos), porque el impuesto estatal supone, paradójicamente, un mayor gravamen efectivo para las pequeñas entidades de crédito y ahorro valencianas, que, en la mayor parte de los casos, resulta muy significativo.</w:t>
      </w:r>
    </w:p>
    <w:p w:rsidR="00AC56D6" w:rsidRDefault="00AC56D6" w:rsidP="00AC56D6">
      <w:pPr>
        <w:pStyle w:val="TextoNormal"/>
      </w:pPr>
    </w:p>
    <w:p w:rsidR="00AC56D6" w:rsidRDefault="00AC56D6" w:rsidP="00AC56D6">
      <w:pPr>
        <w:pStyle w:val="TextoNormal"/>
      </w:pPr>
      <w:r>
        <w:t>La razón de dicho peor tratamiento es que, aunque el tipo general de gravamen es menor en el caso del tributo estatal que en el del autonómico, sin embargo, en el tributo estatal no existen las bonificaciones en la cuota que en el impuesto valenciano sí favorecen a tales pequeñas entidades, como las deducciones por sedes y sucursales radicadas en la Comunitat, las bonificaciones subjetivas del 75 por 100 de la cuota para las cooperativas de crédito y las cajas de ahorro, y las deducciones del 100 por 100 de las cantidades invertidas en fondos de promoción y educación de las cooperativas de crédito o en la obra social de las cajas de ahorro, o del 50 por 100 de las inversiones en proyectos de utilidad pública o interés social para la Comunitat Valenciana. Ello supone que las pequeñas entidades financieras valencianas pasaran de tributar, con el impuesto valenciano, una media del 2,77 por 100 del volumen agregado de resultados más del 18,6 por 100 de media con el impuesto estatal y su nuevo tipo de gravamen, llegando a superar el 30 por 100 de gravamen sobre resultados en 17 de estas pequeñas entidades, y el 50 por 100, en cuatro de ellas.</w:t>
      </w:r>
    </w:p>
    <w:p w:rsidR="00AC56D6" w:rsidRDefault="00AC56D6" w:rsidP="00AC56D6">
      <w:pPr>
        <w:pStyle w:val="TextoNormal"/>
      </w:pPr>
    </w:p>
    <w:p w:rsidR="00AC56D6" w:rsidRDefault="00AC56D6" w:rsidP="00AC56D6">
      <w:pPr>
        <w:pStyle w:val="TextoNormal"/>
      </w:pPr>
      <w:r>
        <w:t>c) Se produce una vulneración de la autonomía financiera de las Comunidades Autónomas prevista en el art. 157.3 CE; y los artículos 67 y 68 del Estatuto de Autonomía de la Comunitat Valenciana, por cuanto la aplicación retroactiva del tributo junto a la negación de compensación a la Comunidad Autónoma provoca una reducción de ingresos que afecta a la suficiencia financiera autonómica.</w:t>
      </w:r>
    </w:p>
    <w:p w:rsidR="00AC56D6" w:rsidRDefault="00AC56D6" w:rsidP="00AC56D6">
      <w:pPr>
        <w:pStyle w:val="TextoNormal"/>
      </w:pPr>
    </w:p>
    <w:p w:rsidR="00AC56D6" w:rsidRDefault="00AC56D6" w:rsidP="00AC56D6">
      <w:pPr>
        <w:pStyle w:val="TextoNormal"/>
      </w:pPr>
      <w:r>
        <w:t xml:space="preserve">Razona que la mencionada aplicación retroactiva del tipo de gravamen estatal y la no compensación a la Comunitat Valenciana por no incluirse a la misma en el apartado trece del art. 19 de la Ley 16/2012, redundan en la inconstitucionalidad de la norma estatal, al ser contraria al principio de autonomía financiera de las Comunidades Autónomas, consagrado en el art. 157.3 CE y su plasmación en el art. 6.2 de la Ley Orgánica de financiación de las Comunidades Autónomas (LOFCA), aplicando una norma retroactiva desfavorable a un </w:t>
      </w:r>
      <w:r>
        <w:lastRenderedPageBreak/>
        <w:t>sujeto al margen de la relación fiscal, que se ve perjudicado en su capacidad financiera como consecuencia del Real Decreto-ley impugnado.</w:t>
      </w:r>
    </w:p>
    <w:p w:rsidR="00AC56D6" w:rsidRDefault="00AC56D6" w:rsidP="00AC56D6">
      <w:pPr>
        <w:pStyle w:val="TextoNormal"/>
      </w:pPr>
    </w:p>
    <w:p w:rsidR="00AC56D6" w:rsidRDefault="00AC56D6" w:rsidP="00AC56D6">
      <w:pPr>
        <w:pStyle w:val="TextoNormal"/>
      </w:pPr>
      <w:r w:rsidRPr="00AC56D6">
        <w:rPr>
          <w:rStyle w:val="NumeroAFNegritaCaracter"/>
        </w:rPr>
        <w:t>2</w:t>
      </w:r>
      <w:r>
        <w:t>. Por providencia de 21 de octubre de 2014, el Pleno del Tribunal acordó admitir a trámite el recurso de inconstitucionalidad promovido por el Consejo de Gobierno de la Generalitat Valenciana contra el art. 124 del Real Decreto-ley 8/2014, de 4 de julio, de aprobación de medidas urgentes para el crecimiento, la competitividad y la eficiencia. Asimismo, acordó dar traslado de la demanda y documentos presentados, conforme al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estimen convenientes. Por último, se acordó publicar la incoación del proceso en el “BOE”, lo que tuvo efecto en el número 258, de 24 de octubre de 2014.</w:t>
      </w:r>
    </w:p>
    <w:p w:rsidR="00AC56D6" w:rsidRDefault="00AC56D6" w:rsidP="00AC56D6">
      <w:pPr>
        <w:pStyle w:val="TextoNormal"/>
      </w:pPr>
    </w:p>
    <w:p w:rsidR="00AC56D6" w:rsidRDefault="00AC56D6" w:rsidP="00AC56D6">
      <w:pPr>
        <w:pStyle w:val="TextoNormal"/>
      </w:pPr>
      <w:r w:rsidRPr="00AC56D6">
        <w:rPr>
          <w:rStyle w:val="NumeroAFNegritaCaracter"/>
        </w:rPr>
        <w:t>3</w:t>
      </w:r>
      <w:r>
        <w:t>. Mediante escrito presentado en el Registro General de este Tribunal con fecha de 29 de octubre de 2014, el Presidente del Senado comunicó el acuerdo de la Mesa de la Cámara por el que se persona en el procedimiento y ofrece su colaboración a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4</w:t>
      </w:r>
      <w:r>
        <w:t>. Mediante escrito presentado en el Registro General de este Tribunal con fecha de 30 de octubre, el Presidente del Congreso de los Diputados comunicó a este Tribunal el acuerdo de la Mesa de la Cámara de personarse en el procedimiento, ofreciendo su colaboración a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5</w:t>
      </w:r>
      <w:r>
        <w:t>. El mismo día 30 de octubre de 2014 tuvo entrada en el Registro General de este Tribunal el escrito del Abogado del Estado, en la representación que legalmente ostenta, por el que se solicita se le tenga por personado en el proceso y concedida una prórroga por ocho días más en el plazo para formular alegaciones.</w:t>
      </w:r>
    </w:p>
    <w:p w:rsidR="00AC56D6" w:rsidRDefault="00AC56D6" w:rsidP="00AC56D6">
      <w:pPr>
        <w:pStyle w:val="TextoNormal"/>
      </w:pPr>
    </w:p>
    <w:p w:rsidR="00AC56D6" w:rsidRDefault="00AC56D6" w:rsidP="00AC56D6">
      <w:pPr>
        <w:pStyle w:val="TextoNormal"/>
      </w:pPr>
      <w:r w:rsidRPr="00AC56D6">
        <w:rPr>
          <w:rStyle w:val="NumeroAFNegritaCaracter"/>
        </w:rPr>
        <w:t>6</w:t>
      </w:r>
      <w:r>
        <w:t>. El 31 de octubre, el Pleno del Tribunal acuerda incorporar a las actuaciones el escrito que presenta el Abogado del Estado, teniéndole por personado en el proceso y prorrogándole en ocho días más el plazo para presentar alegaciones otorgado en la providencia del día 21 del mismo mes, a contar desde el siguiente al de expiración del ordinario.</w:t>
      </w:r>
    </w:p>
    <w:p w:rsidR="00AC56D6" w:rsidRDefault="00AC56D6" w:rsidP="00AC56D6">
      <w:pPr>
        <w:pStyle w:val="TextoNormal"/>
      </w:pPr>
    </w:p>
    <w:p w:rsidR="00AC56D6" w:rsidRDefault="00AC56D6" w:rsidP="00AC56D6">
      <w:pPr>
        <w:pStyle w:val="TextoNormal"/>
      </w:pPr>
      <w:r w:rsidRPr="00AC56D6">
        <w:rPr>
          <w:rStyle w:val="NumeroAFNegritaCaracter"/>
        </w:rPr>
        <w:t>7</w:t>
      </w:r>
      <w:r>
        <w:t>. El 25 de noviembre de 2014 tiene entrada en el Registro General del Tribunal el escrito de alegaciones que presenta el Abogado del Estado, por el que solicita la desestimación íntegra del recurso, con las mismas alegaciones que las formuladas en el recurso de inconstitucionalidad núm. 5952-2014, que había sido interpuesto por el Consejo de Gobierno del Principado de Asturias contra el mismo art. 124 del Real Decreto-ley 8/2014.</w:t>
      </w:r>
    </w:p>
    <w:p w:rsidR="00AC56D6" w:rsidRDefault="00AC56D6" w:rsidP="00AC56D6">
      <w:pPr>
        <w:pStyle w:val="TextoNormal"/>
      </w:pPr>
    </w:p>
    <w:p w:rsidR="00AC56D6" w:rsidRDefault="00AC56D6" w:rsidP="00AC56D6">
      <w:pPr>
        <w:pStyle w:val="TextoNormal"/>
      </w:pPr>
      <w:r>
        <w:t>Comienza describiendo los elementos esenciales del impuesto sobre depósitos en las entidades de crédito regulado en el art. 19 de la Ley 16/2012, de 27 de diciembre, por la que se adoptan diversas medidas tributarias dirigidas a la consolidación de las finanzas públicas y al impulso de la actividad económica, precepto reformado por el art. 124 del Real Decreto-ley 8/2014, de 4 de julio, de aprobación de medidas urgentes para el crecimiento, la competitividad y la eficiencia, objeto de la impugnación.</w:t>
      </w:r>
    </w:p>
    <w:p w:rsidR="00AC56D6" w:rsidRDefault="00AC56D6" w:rsidP="00AC56D6">
      <w:pPr>
        <w:pStyle w:val="TextoNormal"/>
      </w:pPr>
    </w:p>
    <w:p w:rsidR="00AC56D6" w:rsidRDefault="00AC56D6" w:rsidP="00AC56D6">
      <w:pPr>
        <w:pStyle w:val="TextoNormal"/>
      </w:pPr>
      <w:r>
        <w:t>A partir de ahí, contesta a las alegaciones de inconstitucionalidad con modificación del orden de las impugnaciones de la demanda:</w:t>
      </w:r>
    </w:p>
    <w:p w:rsidR="00AC56D6" w:rsidRDefault="00AC56D6" w:rsidP="00AC56D6">
      <w:pPr>
        <w:pStyle w:val="TextoNormal"/>
      </w:pPr>
    </w:p>
    <w:p w:rsidR="00AC56D6" w:rsidRDefault="00AC56D6" w:rsidP="00AC56D6">
      <w:pPr>
        <w:pStyle w:val="TextoNormal"/>
      </w:pPr>
      <w:r>
        <w:t>a) Tras recordar las reformas que al art. 19 de la Ley 16/2012 introduce el art. 124 del Real Decreto-ley 8/2014, responde en primer lugar a la infracción de los artículos 31.3, 133.1 y 3; y 131 de la Constitución, a partir de la doctrina sobre el principio de reserva de ley contenida entre otras en la STC 100/2012, de 8 mayo, FJ 7, y con referencia al carácter originario de la potestad tributaria estatal consagrada en el art. 6 LOFCA, que dispone que los tributos que establezcan las Comunidades Autónomas no podrán recaer sobre hechos imponibles gravados por el Estado. Se refiere a continuación a las razones de política económica que justificaron el establecimiento inicial de un tipo de gravamen cero para este tributo en el art. 19 de la Ley 16/2012, tipo de gravamen que ahora resulta modificado, y que debe ser tenido en cuenta en el marco de grave crisis de este sector. Añade que el art. 124 del Real Decreto-ley que se impugna supone el ejercicio de la potestad originaria exclusiva del Estado en materia tributaria, sin que se trate, como afirma la demanda, de una imposición aparente o ficticia. Descarta asimismo que exista “ausencia de armonización o auténtico equilibrio en cuanto al deseable desarrollo regional y sectorial”, que el artículo 131 de la Constitución presenta en todo caso como un objetivo constitucional programático. En todo caso, finaliza, la invocación de este precepto en el escrito del recurso resulta tan genérica que tampoco cabe efectuar mayor consideración de contrario.</w:t>
      </w:r>
    </w:p>
    <w:p w:rsidR="00AC56D6" w:rsidRDefault="00AC56D6" w:rsidP="00AC56D6">
      <w:pPr>
        <w:pStyle w:val="TextoNormal"/>
      </w:pPr>
    </w:p>
    <w:p w:rsidR="00AC56D6" w:rsidRDefault="00AC56D6" w:rsidP="00AC56D6">
      <w:pPr>
        <w:pStyle w:val="TextoNormal"/>
      </w:pPr>
      <w:r>
        <w:t xml:space="preserve">b) Tampoco infringe el art. 124 del Real Decreto-ley 8/2014 el art. 6.2 LOFCA, pues no se agrava con el mismo la posición de partida de la hacienda autonómica ya que lo que determina precisamente es que el producto de la recaudación genere ingresos fiscales adicionales en la hacienda autonómica. Añade además que el artículo 124 no crea </w:t>
      </w:r>
      <w:r w:rsidRPr="00AC56D6">
        <w:rPr>
          <w:i/>
        </w:rPr>
        <w:t>ex novo</w:t>
      </w:r>
      <w:r>
        <w:t xml:space="preserve"> un tributo, sino que establece un tipo de gravamen a un tributo previamente existente. En todo caso, la compensación que ha previsto la reforma del art. 19 de la Ley 16/2012 no resulta algo aleatorio y arbitrario como pretende la demanda, sino que se respeta el tenor del art. 6.2 LOFCA que requiere la adopción por parte del Estado de medidas de compensación adecuadas a favor de las Comunidades Autónomas que se hallen en el supuesto de hecho previsto, esto es que experimenten una disminución de ingresos por la creación del impuesto estatal. En este caso, el legislador optó por prever dichas medidas en la misma Ley 16/2012, respecto de las Comunidades Autónomas que hubieran establecido la misma clase de impuesto con anterioridad al 1 de diciembre de 2012. Estas medidas se transforman ahora en destinar el importe de la recaudación de la subida del tipo a las Comunidades Autónomas donde estén radicadas en la sede sus sucursales sujetas a gravamen.</w:t>
      </w:r>
    </w:p>
    <w:p w:rsidR="00AC56D6" w:rsidRDefault="00AC56D6" w:rsidP="00AC56D6">
      <w:pPr>
        <w:pStyle w:val="TextoNormal"/>
      </w:pPr>
    </w:p>
    <w:p w:rsidR="00AC56D6" w:rsidRDefault="00AC56D6" w:rsidP="00AC56D6">
      <w:pPr>
        <w:pStyle w:val="TextoNormal"/>
      </w:pPr>
      <w:r>
        <w:t>c) En tercer lugar, no se ha vulnerado el art. 9.3 CE en los términos que interesa la demanda, pues la norma impugnada entra en vigor en el mismo ejercicio fiscal en el que se promulgaba, de modo que no incurre en una retroactividad contraria al citado precepto constitucional, ya que no prevé la aplicación de sus efectos a situaciones ya consumadas en el pasado, o a ejercicios fiscales anteriores, relativos a impuestos ya devengados. Añade que, en todo caso, la medida introducida en el Decreto-ley era previsible.</w:t>
      </w:r>
    </w:p>
    <w:p w:rsidR="00AC56D6" w:rsidRDefault="00AC56D6" w:rsidP="00AC56D6">
      <w:pPr>
        <w:pStyle w:val="TextoNormal"/>
      </w:pPr>
    </w:p>
    <w:p w:rsidR="00AC56D6" w:rsidRDefault="00AC56D6" w:rsidP="00AC56D6">
      <w:pPr>
        <w:pStyle w:val="TextoNormal"/>
      </w:pPr>
      <w:r>
        <w:t xml:space="preserve">d) Por último, se refiere el alegato al presupuesto de extraordinaria y urgente necesidad que exige el art. 86 de la Constitución, como presupuesto habilitante para este tipo de norma. Se recoge la doctrina constitucional en relación con la urgente y extraordinaria necesidad </w:t>
      </w:r>
      <w:r>
        <w:lastRenderedPageBreak/>
        <w:t>con cita, entre otras, de las SSTC 6/1983 y 111/1983; y, más recientemente, SSTC 137/2011 y 142/2014, de 11 septiembre. A dicha doctrina añade la doctrina acerca de la especial aptitud del Real Decreto-ley para atender a las denominadas coyunturas económicas problemáticas, refiriéndose a la contenida en la STC 23/1993, de 21 de enero, (FJ 5). Añade asimismo una referencia a la doctrina contenida en la STC 39/2013, de 14 febrero, en cuyo fundamento jurídico 5 se afirmó que la valoración de la extraordinaria y urgente necesidad de una medida puede ser independiente de su imprevisibilidad e, incluso, de que tenga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 Finaliza recordando que resulta ajena a la función fiscalizadora de este Tribunal la consideración sobre la mayor o menor bondad técnica de las medidas adoptadas, circunscribiéndose su labor a constatar “la existencia de la necesaria conexión de sentido entre la situación de urgencia definida y las medidas concretas adoptadas para subvenir la misma” (STC 329/2005, de 15 de diciembre, FJ 11).</w:t>
      </w:r>
    </w:p>
    <w:p w:rsidR="00AC56D6" w:rsidRDefault="00AC56D6" w:rsidP="00AC56D6">
      <w:pPr>
        <w:pStyle w:val="TextoNormal"/>
      </w:pPr>
    </w:p>
    <w:p w:rsidR="00AC56D6" w:rsidRDefault="00AC56D6" w:rsidP="00AC56D6">
      <w:pPr>
        <w:pStyle w:val="TextoNormal"/>
      </w:pPr>
      <w:r>
        <w:t>A partir de lo anterior, se refiere a la justificación global del Real Decreto-ley contenida en la exposición de motivos y que se refiere a un paquete de medidas con el objetivo de saneamiento fiscal, destinadas a aumentar la competitividad y fomentar el funcionamiento eficiente de los mercados así como de la financiación. En cuanto al trámite de convalidación del Real Decreto-ley, se recogen en el escrito las afirmaciones de la Vicepresidenta del Gobierno en el debate que tuvo lugar en el Congreso. Por lo que se refiere a la justificación concreta de la reforma que se introduce en el citado Decreto-ley a la Ley 16/2012, transcribe la justificación contenida en la norma que se refiere a la “necesidad de modificación urgente con el objeto de garantizar una tributación armonizada de los depósitos constituidos en las entidades de crédito en todo el territorio español. A tal fin, se establece, con efectos del 1 de enero de 2014, un tipo de gravamen del 0,03 por 100, cuya recaudación será destinada a las Comunidades Autónomas donde radique en la sede central o las sucursales de los contribuyentes en las que se mantengan los fondos de terceros gravados. Además se introducen mejoras técnicas en la configuración de la base imponible del impuesto”. Considera, en consecuencia, justificada la urgente necesidad como presupuesto habilitante del art. 86 CE.</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6 de octubre de 2015, se señaló para la deliberación y votación de la presente Sentencia el día 8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presente recurso de inconstitucionalidad se interpone por el Consejo de Gobierno de la Generalitat Valenciana contra el art. 124 del Real Decreto-ley 8/2014, de 4 de julio, de aprobación de medidas urgentes para el crecimiento, la competitividad y la eficiencia (en adelante, Real Decreto-ley 8/2014), precepto que modifica el art. 19 de la Ley 16/2012, de 27 de diciembre, por la que se adoptan diversas medidas tributarias dirigidas a la consolidación de las finanzas públicas y al impulso de la actividad económica (en adelante, Ley 16/2012), norma que estableció el “impuesto sobre los depósitos en las entidades de crédito”.</w:t>
      </w:r>
    </w:p>
    <w:p w:rsidR="00AC56D6" w:rsidRDefault="00AC56D6" w:rsidP="00AC56D6">
      <w:pPr>
        <w:pStyle w:val="TextoNormal"/>
      </w:pPr>
    </w:p>
    <w:p w:rsidR="00AC56D6" w:rsidRDefault="00AC56D6" w:rsidP="00AC56D6">
      <w:pPr>
        <w:pStyle w:val="TextoNormal"/>
      </w:pPr>
      <w:r>
        <w:lastRenderedPageBreak/>
        <w:t>Como ha quedado expuesto en el antecedente primero, el recurso se fundamenta en tres motivos: la infracción del art. 86.1 CE, por no concurrir las notas de la extraordinaria y urgente necesidad, en la medida en que se alteran de forma sustancial los límites del impuesto estatal cuando no existe una urgencia en crear un régimen armonizado en relación con el tributo sobre los depósitos en entidades de crédito; la vulneración del art. 9.3 CE y de la doctrina constitucional sobre la retroactividad de las disposiciones legales en materia tributaria; y, en tercer lugar, la vulneración de la autonomía financiera de las Comunidades Autónomas prevista en el art. 157.3 CE por cuanto la aplicación retroactiva del tributo junto a la negación de compensación a la Comunidad Autónoma provoca una reducción de ingresos que afecta a la suficiencia financiera autonómica.</w:t>
      </w:r>
    </w:p>
    <w:p w:rsidR="00AC56D6" w:rsidRDefault="00AC56D6" w:rsidP="00AC56D6">
      <w:pPr>
        <w:pStyle w:val="TextoNormal"/>
      </w:pPr>
    </w:p>
    <w:p w:rsidR="00AC56D6" w:rsidRDefault="00AC56D6" w:rsidP="00AC56D6">
      <w:pPr>
        <w:pStyle w:val="TextoNormal"/>
      </w:pPr>
      <w:r>
        <w:t>El Abogado del Estado interesa la desestimación de la demanda con los argumentos recogidos en el antecedente séptimo.</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al examen de fondo, debemos despejar las dudas sobre la pervivencia de su objeto, ya que durante la pendencia de este proceso, el Real Decreto-ley 8/2014 ha sido tramitado como ley, habiendo sido además el precepto parcialmente modificado por el art. 124 de la Ley 18/2014, de 15 de octubre, de aprobación de medidas urgentes para el crecimiento, la competitividad y la eficiencia, una vez fue convalidado por el Congreso de los Diputados.</w:t>
      </w:r>
    </w:p>
    <w:p w:rsidR="00AC56D6" w:rsidRDefault="00AC56D6" w:rsidP="00AC56D6">
      <w:pPr>
        <w:pStyle w:val="TextoNormal"/>
      </w:pPr>
    </w:p>
    <w:p w:rsidR="00AC56D6" w:rsidRDefault="00AC56D6" w:rsidP="00AC56D6">
      <w:pPr>
        <w:pStyle w:val="TextoNormal"/>
      </w:pPr>
      <w:r>
        <w:t>Se ha producido, por tanto, una derogación tácita del art. 124 del Real Decreto-ley 8/2014. Pues bien, de acuerdo con la regla general, en los procesos de inconstitucionalidad carece de sentido que este Tribunal se pronuncie sobre normas que el propio legislador ya ha expulsado del ordenamiento, siquiera de forma tácita (por todas, STC 96/2014, de 2 de junio, FJ 2). Esta regla tiene, sin embargo, algunas excepciones, que determinan que en este proceso perviva parcialmente su objeto, dependiendo del motivo impugnatorio:</w:t>
      </w:r>
    </w:p>
    <w:p w:rsidR="00AC56D6" w:rsidRDefault="00AC56D6" w:rsidP="00AC56D6">
      <w:pPr>
        <w:pStyle w:val="TextoNormal"/>
      </w:pPr>
    </w:p>
    <w:p w:rsidR="00AC56D6" w:rsidRDefault="00AC56D6" w:rsidP="00AC56D6">
      <w:pPr>
        <w:pStyle w:val="TextoNormal"/>
      </w:pPr>
      <w:r>
        <w:t>a) En primer lugar, el motivo que se refiere a la infracción del art. 86.1 CE no pierde objeto ya que, como tantas veces se ha reiterado [entre otras muchas, en las SSTC 47/2015, de 5 de marzo, FJ 2 b); 48/2015, de 5 de marzo, FJ 2; y 137/2011, de 14 de septiembre, FJ 2], la falta de vigencia, en este momento, del precepto recurrido, no impide controlar si el ejercicio de la potestad reconocida al Gobierno por el art. 86.1 CE se realizó siguiendo los requisitos establecidos en dicho precepto constitucional, pues este control tiene por objeto velar por el recto ejercicio de la potestad de dictar decretos-leyes, dentro del marco constitucional, decidiendo la validez o invalidez de las normas impugnadas sin atender a su vigencia o derogación en el momento en que se pronuncia el fallo.</w:t>
      </w:r>
    </w:p>
    <w:p w:rsidR="00AC56D6" w:rsidRDefault="00AC56D6" w:rsidP="00AC56D6">
      <w:pPr>
        <w:pStyle w:val="TextoNormal"/>
      </w:pPr>
    </w:p>
    <w:p w:rsidR="00AC56D6" w:rsidRDefault="00AC56D6" w:rsidP="00AC56D6">
      <w:pPr>
        <w:pStyle w:val="TextoNormal"/>
      </w:pPr>
      <w:r>
        <w:t>b) Tampoco pierde objeto, de acuerdo con nuestra doctrina, [por todas, SSTC 134/2011, de 20 de julio, FJ 2 b); 161/2012, de 20 de septiembre, FJ 2 b); 96/2014, de 2 de junio, FJ 2] la impugnación que viene motivada por la vulneración de la autonomía financiera de las Comunidades Autónomas prevista en el art. 157.3 CE. En este caso, se cumple el doble requisito para que tenga lugar la citada excepción a la pérdida de objeto: primero, el motivo tiene fundamento competencial en tanto que la alegación central es la pérdida de recursos para su hacienda [STC 204/2011, de 15 de diciembre, FJ 2 a)]; y, segundo, la norma tácitamente derogada ha sido sustituida por otra, el vigente art. 124 de la Ley 18/2014, que viene a plantear los mismos problemas competenciales [por todas, con cita de anteriores, SSTC 27/2015, de 19 de febrero, FJ 2; y 134/2011, de 20 de julio, FJ 2 b)].</w:t>
      </w:r>
    </w:p>
    <w:p w:rsidR="00AC56D6" w:rsidRDefault="00AC56D6" w:rsidP="00AC56D6">
      <w:pPr>
        <w:pStyle w:val="TextoNormal"/>
      </w:pPr>
    </w:p>
    <w:p w:rsidR="00AC56D6" w:rsidRDefault="00AC56D6" w:rsidP="00AC56D6">
      <w:pPr>
        <w:pStyle w:val="TextoNormal"/>
      </w:pPr>
      <w:r>
        <w:t>En consecuencia, y de acuerdo con la reiterada doctrina de este Tribunal, cabe concluir también para este motivo la pervivencia del objeto del proceso.</w:t>
      </w:r>
    </w:p>
    <w:p w:rsidR="00AC56D6" w:rsidRDefault="00AC56D6" w:rsidP="00AC56D6">
      <w:pPr>
        <w:pStyle w:val="TextoNormal"/>
      </w:pPr>
    </w:p>
    <w:p w:rsidR="00AC56D6" w:rsidRDefault="00AC56D6" w:rsidP="00AC56D6">
      <w:pPr>
        <w:pStyle w:val="TextoNormal"/>
      </w:pPr>
      <w:r>
        <w:t>c) Finalmente, en tercer lugar, sí pierden objeto las tachas de inconstitucionalidad que se refieren a la vulneración de los principios de irretroactividad de las normas restrictivas de derechos individuales, seguridad jurídica e interdicción de la arbitrariedad (art. 9.3 CE). Su contenido no es competencial, por lo que no concurre en este caso ninguna de las excepciones a la citada regla general, de suerte que desaparece el objeto del recurso de inconstitucionalidad en lo que a estos motivos se refiere (por todas, STC 214/2014, de 18 de diciembre, FJ 2).</w:t>
      </w:r>
    </w:p>
    <w:p w:rsidR="00AC56D6" w:rsidRDefault="00AC56D6" w:rsidP="00AC56D6">
      <w:pPr>
        <w:pStyle w:val="TextoNormal"/>
      </w:pPr>
    </w:p>
    <w:p w:rsidR="00AC56D6" w:rsidRDefault="00AC56D6" w:rsidP="00AC56D6">
      <w:pPr>
        <w:pStyle w:val="TextoNormal"/>
      </w:pPr>
      <w:r w:rsidRPr="00AC56D6">
        <w:rPr>
          <w:rStyle w:val="NumeroAFNegritaCaracter"/>
        </w:rPr>
        <w:t>3</w:t>
      </w:r>
      <w:r>
        <w:t>. Así concretado el objeto de este proceso, debemos comenzar con el examen de las impugnaciones que se refieren al propio instrumento normativo empleado, el real decreto-ley.</w:t>
      </w:r>
    </w:p>
    <w:p w:rsidR="00AC56D6" w:rsidRDefault="00AC56D6" w:rsidP="00AC56D6">
      <w:pPr>
        <w:pStyle w:val="TextoNormal"/>
      </w:pPr>
    </w:p>
    <w:p w:rsidR="00AC56D6" w:rsidRDefault="00AC56D6" w:rsidP="00AC56D6">
      <w:pPr>
        <w:pStyle w:val="TextoNormal"/>
      </w:pPr>
      <w:r>
        <w:t>Con arreglo a nuestra doctrina, el examen de estos motivos ha de ser siempre prioritario en el orden del enjuiciamiento, ya que inciden directamente sobre la validez del precepto, cuestionando la legitimidad constitucional de su inclusión en una norma de urgencia como el Real Decreto-ley 8/2014, de manera que, caso de ser estimados sería innecesario examinar el resto de alegaciones (por todas, SSTC 47/2015, de 5 de marzo, FJ 3, y 137/2011, de 14 de septiembre, FJ 2).</w:t>
      </w:r>
    </w:p>
    <w:p w:rsidR="00AC56D6" w:rsidRDefault="00AC56D6" w:rsidP="00AC56D6">
      <w:pPr>
        <w:pStyle w:val="TextoNormal"/>
      </w:pPr>
    </w:p>
    <w:p w:rsidR="00AC56D6" w:rsidRDefault="00AC56D6" w:rsidP="00AC56D6">
      <w:pPr>
        <w:pStyle w:val="TextoNormal"/>
      </w:pPr>
      <w:r>
        <w:t>La demanda considera que el art. 124 del Real Decreto-ley 8/2014 habría vulnerado el art. 86.1 CE por no estar justificada su aprobación en función de una extraordinaria y urgente necesidad. Frente a estas consideraciones el Abogado del Estado se refiere a la especial aptitud del real decreto-ley para atender a las denominadas coyunturas económicas problemáticas, citando a continuación la justificación global del Real Decreto-Ley 8/2014, a partir de la transcripción de su exposición de motivos, por lo que considera queda justificada la urgente necesidad como presupuesto habilitante del artículo 86 CE.</w:t>
      </w:r>
    </w:p>
    <w:p w:rsidR="00AC56D6" w:rsidRDefault="00AC56D6" w:rsidP="00AC56D6">
      <w:pPr>
        <w:pStyle w:val="TextoNormal"/>
      </w:pPr>
    </w:p>
    <w:p w:rsidR="00AC56D6" w:rsidRDefault="00AC56D6" w:rsidP="00AC56D6">
      <w:pPr>
        <w:pStyle w:val="TextoNormal"/>
      </w:pPr>
      <w:r w:rsidRPr="00AC56D6">
        <w:rPr>
          <w:rStyle w:val="NumeroAFNegritaCaracter"/>
        </w:rPr>
        <w:t>4</w:t>
      </w:r>
      <w:r>
        <w:t>. Planteado en estos términos el debate sobre la concurrencia en el presente caso de los requisitos establecidos por el art. 86.1 CE debemos centrarnos en si concurre o no en el art. 124 del Real Decreto-ley 8/2014, el presupuesto de la extraordinaria y urgente necesidad establecido por aquel precepto constitucional.</w:t>
      </w:r>
    </w:p>
    <w:p w:rsidR="00AC56D6" w:rsidRDefault="00AC56D6" w:rsidP="00AC56D6">
      <w:pPr>
        <w:pStyle w:val="TextoNormal"/>
      </w:pPr>
    </w:p>
    <w:p w:rsidR="00AC56D6" w:rsidRDefault="00AC56D6" w:rsidP="00AC56D6">
      <w:pPr>
        <w:pStyle w:val="TextoNormal"/>
      </w:pPr>
      <w:r>
        <w:t>La doctrina sobre el primer motivo de inconstitucionalidad aducido ha sido recogida, entre muchas otras, en las SSTC 182/1997, de 28 de octubre, FJ 3; 31/2011, de 17 de marzo, 137/2011, de 14 de septiembre, 39/2013, de 14 de febrero, 83/2014, de 29 de mayo, 96/2014, de 12 de junio, FJ 5; 142/2014, de 11 de septiembre, FJ 3; 183/2014, de 6 de noviembre; 12/2015, de 5 de febrero; 27/2015 y 29/2015, ambas de 19 de febrero, y 47/2015 y 48/2015, ambas de 5 de marzo, pudiéndose resumir en los siguientes términos:</w:t>
      </w:r>
    </w:p>
    <w:p w:rsidR="00AC56D6" w:rsidRDefault="00AC56D6" w:rsidP="00AC56D6">
      <w:pPr>
        <w:pStyle w:val="TextoNormal"/>
      </w:pPr>
    </w:p>
    <w:p w:rsidR="00AC56D6" w:rsidRDefault="00AC56D6" w:rsidP="00AC56D6">
      <w:pPr>
        <w:pStyle w:val="TextoNormal"/>
      </w:pPr>
      <w:r>
        <w:t xml:space="preserve">a) El art. 86.1 CE establece una habilitación al Gobierno para dictar normas con fuerza de ley, pero en la medida en que supone sustituir en su función al Parlamento, es una excepción al procedimiento legislativo ordinario y a la participación de las minorías que éste dispensa. Por lo tanto, dicha facultad excepcional está sometida a estrictos requisitos entre </w:t>
      </w:r>
      <w:r>
        <w:lastRenderedPageBreak/>
        <w:t>los que se incluyen, en lo que ahora interesa, la necesaria conexión entre la facultad legislativa excepcional y la existencia del presupuesto habilitante, o lo que es lo mismo, la concurrencia de una situación “de extraordinaria y urgente necesidad”.</w:t>
      </w:r>
    </w:p>
    <w:p w:rsidR="00AC56D6" w:rsidRDefault="00AC56D6" w:rsidP="00AC56D6">
      <w:pPr>
        <w:pStyle w:val="TextoNormal"/>
      </w:pPr>
    </w:p>
    <w:p w:rsidR="00AC56D6" w:rsidRDefault="00AC56D6" w:rsidP="00AC56D6">
      <w:pPr>
        <w:pStyle w:val="TextoNormal"/>
      </w:pPr>
      <w:r>
        <w:t>b) La extraordinaria y urgente necesidad no es una cláusula o expresión vacía de significado, sin perjuicio de que la función de este Tribunal es llevar a cabo un control externo, verificando, pero sin sustituirlo, el juicio político o de oportunidad que corresponde primordialmente al Gobierno y al Congreso de los Diputados en el ejercicio de la función de control parlamentario (art. 86.2 CE). Corresponde así a este Tribunal asegurarse de que en el ejercicio de esta facultad, como de cualquier otra, los poderes públicos se mueven dentro del marco constitucional, pudiendo en consecuencia declarar inconstitucional un real decreto-ley cuando no concurra el presupuesto habilitante, pues con ello se habrán invadido las facultades reservadas a las Cortes Generales por la Constitución.</w:t>
      </w:r>
    </w:p>
    <w:p w:rsidR="00AC56D6" w:rsidRDefault="00AC56D6" w:rsidP="00AC56D6">
      <w:pPr>
        <w:pStyle w:val="TextoNormal"/>
      </w:pPr>
    </w:p>
    <w:p w:rsidR="00AC56D6" w:rsidRDefault="00AC56D6" w:rsidP="00AC56D6">
      <w:pPr>
        <w:pStyle w:val="TextoNormal"/>
      </w:pPr>
      <w:r>
        <w:t>c) En concreto, el citado control externo acerca del cumplimiento de la cláusula de la “extraordinaria y urgente necesidad” ha de superar un doble canon:</w:t>
      </w:r>
    </w:p>
    <w:p w:rsidR="00AC56D6" w:rsidRDefault="00AC56D6" w:rsidP="00AC56D6">
      <w:pPr>
        <w:pStyle w:val="TextoNormal"/>
      </w:pPr>
    </w:p>
    <w:p w:rsidR="00AC56D6" w:rsidRDefault="00AC56D6" w:rsidP="00AC56D6">
      <w:pPr>
        <w:pStyle w:val="TextoNormal"/>
      </w:pPr>
      <w:r>
        <w:t>— El primero consiste en comprobar que el Gobierno ha identificado, de manera explícita y razonada, que concurre una singular situación de extraordinaria y urgente necesidad, lo que exige valorar, de forma conjunta, los factores que se tuvieron en cuenta por parte del Gobierno para dictar la disposición legal excepcional, en la medida en que queden reflejados en la exposición de motivos de la norma, a lo largo del debate parlamentario de convalidación y en el propio expediente de elaboración de la misma.</w:t>
      </w:r>
    </w:p>
    <w:p w:rsidR="00AC56D6" w:rsidRDefault="00AC56D6" w:rsidP="00AC56D6">
      <w:pPr>
        <w:pStyle w:val="TextoNormal"/>
      </w:pPr>
    </w:p>
    <w:p w:rsidR="00AC56D6" w:rsidRDefault="00AC56D6" w:rsidP="00AC56D6">
      <w:pPr>
        <w:pStyle w:val="TextoNormal"/>
      </w:pPr>
      <w:r>
        <w:t>— El segundo, que existe una conexión de sentido entre la situación de necesidad definida y las medidas que en el real decreto-ley, o lo que es lo mismo, que dichas medidas son congruentes y guardan una relación directa con la situación que se trata de afrontar.</w:t>
      </w:r>
    </w:p>
    <w:p w:rsidR="00AC56D6" w:rsidRDefault="00AC56D6" w:rsidP="00AC56D6">
      <w:pPr>
        <w:pStyle w:val="TextoNormal"/>
      </w:pPr>
    </w:p>
    <w:p w:rsidR="00AC56D6" w:rsidRDefault="00AC56D6" w:rsidP="00AC56D6">
      <w:pPr>
        <w:pStyle w:val="TextoNormal"/>
      </w:pPr>
      <w:r w:rsidRPr="00AC56D6">
        <w:rPr>
          <w:rStyle w:val="NumeroAFNegritaCaracter"/>
        </w:rPr>
        <w:t>5</w:t>
      </w:r>
      <w:r>
        <w:t>. A partir de la doctrina anterior, debe ahora analizarse si concurre en la medida a la que se refiere el art. 124 del Real Decreto-ley 8/2014, en el doble sentido señalado, el presupuesto habilitante de la “extraordinaria y urgente necesidad”, exigida por el art. 86.1 CE.</w:t>
      </w:r>
    </w:p>
    <w:p w:rsidR="00AC56D6" w:rsidRDefault="00AC56D6" w:rsidP="00AC56D6">
      <w:pPr>
        <w:pStyle w:val="TextoNormal"/>
      </w:pPr>
    </w:p>
    <w:p w:rsidR="00AC56D6" w:rsidRDefault="00AC56D6" w:rsidP="00AC56D6">
      <w:pPr>
        <w:pStyle w:val="TextoNormal"/>
      </w:pPr>
      <w:r>
        <w:t>Como también hemos reiterado, en el análisis del presupuesto habilitante deben tomarse en consideración, de forma lógicamente sucesiva, primero si concurre la citada extraordinaria y urgente necesidad para la aprobación de la medida; y, de ser positiva la respuesta, si existe, además, una adecuada conexión de sentido, en el sentido de que haya congruencia entre la situación urgente y extraordinaria y las concretas medidas adoptadas para reaccionar frente a ella.</w:t>
      </w:r>
    </w:p>
    <w:p w:rsidR="00AC56D6" w:rsidRDefault="00AC56D6" w:rsidP="00AC56D6">
      <w:pPr>
        <w:pStyle w:val="TextoNormal"/>
      </w:pPr>
    </w:p>
    <w:p w:rsidR="00AC56D6" w:rsidRDefault="00AC56D6" w:rsidP="00AC56D6">
      <w:pPr>
        <w:pStyle w:val="TextoNormal"/>
      </w:pPr>
      <w:r>
        <w:t>Para examinar la concurrencia del citado doble requisito, la extraordinaria y urgente necesidad, de una parte, y la conexión de sentido entre dicha urgencia y la medida adoptada, de otra, han de tenerse en cuenta como ha quedado expuesto las circunstancias que rodearon la adopción del citado precepto, comenzando por los motivos hechos explícitos por el Gobierno, tanto en el momento de la aprobación del propio instrumento normativo como en el debate posterior de convalidación.</w:t>
      </w:r>
    </w:p>
    <w:p w:rsidR="00AC56D6" w:rsidRDefault="00AC56D6" w:rsidP="00AC56D6">
      <w:pPr>
        <w:pStyle w:val="TextoNormal"/>
      </w:pPr>
    </w:p>
    <w:p w:rsidR="00AC56D6" w:rsidRDefault="00AC56D6" w:rsidP="00AC56D6">
      <w:pPr>
        <w:pStyle w:val="TextoNormal"/>
      </w:pPr>
      <w:r>
        <w:t>En primer lugar, en el preámbulo del Real Decreto-ley 8/2014, se contiene una justificación general, en los siguientes términos:</w:t>
      </w:r>
    </w:p>
    <w:p w:rsidR="00AC56D6" w:rsidRDefault="00AC56D6" w:rsidP="00AC56D6">
      <w:pPr>
        <w:pStyle w:val="TextoNormal"/>
      </w:pPr>
    </w:p>
    <w:p w:rsidR="00AC56D6" w:rsidRDefault="00AC56D6" w:rsidP="00AC56D6">
      <w:pPr>
        <w:pStyle w:val="TextoNormal"/>
      </w:pPr>
      <w:r>
        <w:t>“La grave recesión que desde 2008 venía experimentando la economía española, fruto de la acumulación de desequilibrios durante los años anteriores, ha hecho necesaria la adopción de profundas reformas urgentes para recuperar la senda de crecimiento. Reformas que se han insertado dentro de una estrategia de política económica basada en dos pilares: la consolidación fiscal y las reformas estructurales para impulsar la flexibilidad de los mercados y recuperar la competitividad de la economía española perdida desde la entrada en el euro.</w:t>
      </w:r>
    </w:p>
    <w:p w:rsidR="00AC56D6" w:rsidRDefault="00AC56D6" w:rsidP="00AC56D6">
      <w:pPr>
        <w:pStyle w:val="TextoNormal"/>
      </w:pPr>
    </w:p>
    <w:p w:rsidR="00AC56D6" w:rsidRDefault="00AC56D6" w:rsidP="00AC56D6">
      <w:pPr>
        <w:pStyle w:val="TextoNormal"/>
      </w:pPr>
      <w:r>
        <w:t>La intensa agenda reformadora ha permitido a España recuperar su competitividad y con ello la senda de crecimiento y la confianza de los mercados. Los importantes avances en la corrección de los desequilibrios quedan reflejados en la evolución de los principales indicadores macroeconómicos que muestran cómo España ha logrado reducir el déficit público, alcanzar superávit en la cuenta corriente y capacidad de financiación frente al exterior, disminuir el endeudamiento privado y moderar el crecimiento de los precios y los costes laborales.”</w:t>
      </w:r>
    </w:p>
    <w:p w:rsidR="00AC56D6" w:rsidRDefault="00AC56D6" w:rsidP="00AC56D6">
      <w:pPr>
        <w:pStyle w:val="TextoNormal"/>
      </w:pPr>
    </w:p>
    <w:p w:rsidR="00AC56D6" w:rsidRDefault="00AC56D6" w:rsidP="00AC56D6">
      <w:pPr>
        <w:pStyle w:val="TextoNormal"/>
      </w:pPr>
      <w:r>
        <w:t>A partir de ahí, las diferentes medidas incluidas en el Real Decreto-ley 8/2014 tienen su justificación propia en función de su específica naturaleza, pues como se anuncia en el preámbulo, el Real Decreto-ley 8/2014 adopta medidas de muy diversa naturaleza, de suerte que “tiene tres ejes fundamentales: el primero, fomentar la competitividad y el funcionamiento eficiente de los mercados; el segundo, mejorar el acceso a la financiación; y, el tercero, fomentar la empleabilidad y la ocupación. Además se avanzan algunas medidas de la reforma fiscal.”</w:t>
      </w:r>
    </w:p>
    <w:p w:rsidR="00AC56D6" w:rsidRDefault="00AC56D6" w:rsidP="00AC56D6">
      <w:pPr>
        <w:pStyle w:val="TextoNormal"/>
      </w:pPr>
    </w:p>
    <w:p w:rsidR="00AC56D6" w:rsidRDefault="00AC56D6" w:rsidP="00AC56D6">
      <w:pPr>
        <w:pStyle w:val="TextoNormal"/>
      </w:pPr>
      <w:r>
        <w:t>Ahora bien, como ha quedado ampliamente expuesto en los antecedentes, la vulneración del presupuesto de hecho habilitante únicamente se imputa a la regulación del impuesto estatal sobre depósitos en entidades de crédito, pues el Consell de la Generalitat Valenciana no ha impugnado el Real Decreto-ley 8/2014 en su totalidad, sino sólo su artículo 124. En consecuencia, lo relevante en este caso es la justificación específica de las modificaciones que se introducen en el impuesto estatal sobre depósitos en las entidades de crédito es la siguiente:</w:t>
      </w:r>
    </w:p>
    <w:p w:rsidR="00AC56D6" w:rsidRDefault="00AC56D6" w:rsidP="00AC56D6">
      <w:pPr>
        <w:pStyle w:val="TextoNormal"/>
      </w:pPr>
    </w:p>
    <w:p w:rsidR="00AC56D6" w:rsidRDefault="00AC56D6" w:rsidP="00AC56D6">
      <w:pPr>
        <w:pStyle w:val="TextoNormal"/>
      </w:pPr>
      <w:r>
        <w:t>“[l]a aprobación de impuestos autonómicos posteriores al inicio de la tramitación legislativa del precepto por el que en dicha Ley se creó el impuesto sobre los depósitos en las entidades de crédito, hace necesaria esta modificación urgente con el objeto de garantizar una tributación armonizada de los depósitos constituidos en las entidades de crédito en todo el territorio español. A tal fin, se establece, con efectos desde el 1 de enero de 2014, un tipo de gravamen del 0,03 por ciento, cuya recaudación será destinada a las Comunidades Autónomas donde radiquen la sede central o las sucursales de los contribuyentes en las que se mantengan los fondos de terceros gravados. Además, se introducen mejoras técnicas en la configuración de la base imponible del impuesto.”</w:t>
      </w:r>
    </w:p>
    <w:p w:rsidR="00AC56D6" w:rsidRDefault="00AC56D6" w:rsidP="00AC56D6">
      <w:pPr>
        <w:pStyle w:val="TextoNormal"/>
      </w:pPr>
    </w:p>
    <w:p w:rsidR="00AC56D6" w:rsidRDefault="00AC56D6" w:rsidP="00AC56D6">
      <w:pPr>
        <w:pStyle w:val="TextoNormal"/>
      </w:pPr>
      <w:r>
        <w:t xml:space="preserve">Por su parte, en el debate de convalidación del Real Decreto-ley ahora examinado (Cortes Generales. “Diario de Sesiones del Congreso de los Diputados”. Pleno y Diputación Permanente. X Legislatura. Año 2014, núm. 212. Sesión plenaria núm. 199, de 10 de julio, págs. 5 a 35) la Vicepresidenta del Gobierno, en nombre del Gobierno, defendió la necesidad de aprobar el citado Real Decreto-ley con referencia a la situación de crisis; “España ha vivido </w:t>
      </w:r>
      <w:r>
        <w:lastRenderedPageBreak/>
        <w:t>una situación de extraordinaria y urgente necesidad desde que comenzó la crisis, y ahora es de extraordinaria y urgente necesidad encarar la recuperación” (pág. 5).</w:t>
      </w:r>
    </w:p>
    <w:p w:rsidR="00AC56D6" w:rsidRDefault="00AC56D6" w:rsidP="00AC56D6">
      <w:pPr>
        <w:pStyle w:val="TextoNormal"/>
      </w:pPr>
    </w:p>
    <w:p w:rsidR="00AC56D6" w:rsidRDefault="00AC56D6" w:rsidP="00AC56D6">
      <w:pPr>
        <w:pStyle w:val="TextoNormal"/>
      </w:pPr>
      <w:r>
        <w:t>En cuanto a la medida aquí adoptada, su defensa se efectuó en los siguientes términos:</w:t>
      </w:r>
    </w:p>
    <w:p w:rsidR="00AC56D6" w:rsidRDefault="00AC56D6" w:rsidP="00AC56D6">
      <w:pPr>
        <w:pStyle w:val="TextoNormal"/>
      </w:pPr>
    </w:p>
    <w:p w:rsidR="00AC56D6" w:rsidRDefault="00AC56D6" w:rsidP="00AC56D6">
      <w:pPr>
        <w:pStyle w:val="TextoNormal"/>
      </w:pPr>
      <w:r>
        <w:t>“Por otro lado, las Comunidades Autónomas se beneficiarán por la recaudación del impuesto a los depósitos bancarios, que lo anticipamos a este decreto-ley. Pensé que al menos en subir el tipo de los depósitos, aunque discutamos en la cuantía, podrían ustedes estar de acuerdo. Con ello garantizamos la igualdad de trato para todos los ciudadanos españoles y la eficiencia en el sistema financiero.” (pág. 10)</w:t>
      </w:r>
    </w:p>
    <w:p w:rsidR="00AC56D6" w:rsidRDefault="00AC56D6" w:rsidP="00AC56D6">
      <w:pPr>
        <w:pStyle w:val="TextoNormal"/>
      </w:pPr>
    </w:p>
    <w:p w:rsidR="00AC56D6" w:rsidRDefault="00AC56D6" w:rsidP="00AC56D6">
      <w:pPr>
        <w:pStyle w:val="TextoNormal"/>
      </w:pPr>
      <w:r>
        <w:t>Del debate parlamentario posterior no se puede extraer ninguna información adicional que ayude a examinar si concurría en este caso el presupuesto habilitante. Tampoco es posible encontrar ningún elemento o dato suplementario en el expediente de elaboración del Real Decreto-ley 8/2014, del que nada se dice por parte del representante del Gobierno.</w:t>
      </w:r>
    </w:p>
    <w:p w:rsidR="00AC56D6" w:rsidRDefault="00AC56D6" w:rsidP="00AC56D6">
      <w:pPr>
        <w:pStyle w:val="TextoNormal"/>
      </w:pPr>
    </w:p>
    <w:p w:rsidR="00AC56D6" w:rsidRDefault="00AC56D6" w:rsidP="00AC56D6">
      <w:pPr>
        <w:pStyle w:val="TextoNormal"/>
      </w:pPr>
      <w:r>
        <w:t>En conclusión, y a partir de lo expuesto, resulta que del preámbulo de la norma y del posterior debate es posible deducir que la urgente necesidad que el Gobierno apreció como fundamento para la adopción de la medida ahora cuestionada se fundaba en dos órdenes de razones:</w:t>
      </w:r>
    </w:p>
    <w:p w:rsidR="00AC56D6" w:rsidRDefault="00AC56D6" w:rsidP="00AC56D6">
      <w:pPr>
        <w:pStyle w:val="TextoNormal"/>
      </w:pPr>
    </w:p>
    <w:p w:rsidR="00AC56D6" w:rsidRDefault="00AC56D6" w:rsidP="00AC56D6">
      <w:pPr>
        <w:pStyle w:val="TextoNormal"/>
      </w:pPr>
      <w:r>
        <w:t>— En primer lugar, la aprobación de impuestos autonómicos posteriores al inicio de la tramitación legislativa de la Ley por la que se creó el impuesto sobre los depósitos en las entidades de crédito, esto es, la Ley 16/2012, de 27 de diciembre, por la que se adoptan diversas medidas tributarias dirigidas a la consolidación de las finanzas públicas y al impulso de la actividad económica, precisa de una modificación urgente para “garantizar una tributación armonizada de los depósitos constituidos en las entidades de crédito en todo el territorio español”.</w:t>
      </w:r>
    </w:p>
    <w:p w:rsidR="00AC56D6" w:rsidRDefault="00AC56D6" w:rsidP="00AC56D6">
      <w:pPr>
        <w:pStyle w:val="TextoNormal"/>
      </w:pPr>
    </w:p>
    <w:p w:rsidR="00AC56D6" w:rsidRDefault="00AC56D6" w:rsidP="00AC56D6">
      <w:pPr>
        <w:pStyle w:val="TextoNormal"/>
      </w:pPr>
      <w:r>
        <w:t>— En segundo lugar, la existencia de impuestos autonómicos sobre esta misma materia hacía preciso otorgar, para compensar su eventual desplazamiento, una fuente de financiación a las Comunidades Autónomas, lo que justifica el establecimiento del tipo de gravamen, de suerte que la recaudación del impuesto estatal pueda ser repartida entre todas las Comunidades Autónomas por igual, garantizando así tanto la igualdad de trato como la eficiencia del sistema financiero.</w:t>
      </w:r>
    </w:p>
    <w:p w:rsidR="00AC56D6" w:rsidRDefault="00AC56D6" w:rsidP="00AC56D6">
      <w:pPr>
        <w:pStyle w:val="TextoNormal"/>
      </w:pPr>
    </w:p>
    <w:p w:rsidR="00AC56D6" w:rsidRDefault="00AC56D6" w:rsidP="00AC56D6">
      <w:pPr>
        <w:pStyle w:val="TextoNormal"/>
      </w:pPr>
      <w:r w:rsidRPr="00AC56D6">
        <w:rPr>
          <w:rStyle w:val="NumeroAFNegritaCaracter"/>
        </w:rPr>
        <w:t>6</w:t>
      </w:r>
      <w:r>
        <w:t>. Para valorar la concurrencia de la situación de extraordinaria y urgente necesidad que, en los términos que se han expuesto, ha sido apreciada por el Gobierno, debemos partir de que el art. 124 del Real Decreto-ley ha modificado el art. 19 de la Ley 16/2012, precepto que había establecido el impuesto estatal sobre los depósitos en las entidades de crédito.</w:t>
      </w:r>
    </w:p>
    <w:p w:rsidR="00AC56D6" w:rsidRDefault="00AC56D6" w:rsidP="00AC56D6">
      <w:pPr>
        <w:pStyle w:val="TextoNormal"/>
      </w:pPr>
    </w:p>
    <w:p w:rsidR="00AC56D6" w:rsidRDefault="00AC56D6" w:rsidP="00AC56D6">
      <w:pPr>
        <w:pStyle w:val="TextoNormal"/>
      </w:pPr>
      <w:r>
        <w:t>El art. 124 del Real Decreto-ley modifica los siguientes aspectos del impuesto:</w:t>
      </w:r>
    </w:p>
    <w:p w:rsidR="00AC56D6" w:rsidRDefault="00AC56D6" w:rsidP="00AC56D6">
      <w:pPr>
        <w:pStyle w:val="TextoNormal"/>
      </w:pPr>
    </w:p>
    <w:p w:rsidR="00AC56D6" w:rsidRDefault="00AC56D6" w:rsidP="00AC56D6">
      <w:pPr>
        <w:pStyle w:val="TextoNormal"/>
      </w:pPr>
      <w:r>
        <w:t>i. El periodo impositivo (art. 124.1.1), para prever el supuesto de periodo impositivo breve cuando la entidad de crédito sujeta al tributo se extinga (originariamente se preveía solo el supuesto de cese de actividad).</w:t>
      </w:r>
    </w:p>
    <w:p w:rsidR="00AC56D6" w:rsidRDefault="00AC56D6" w:rsidP="00AC56D6">
      <w:pPr>
        <w:pStyle w:val="TextoNormal"/>
      </w:pPr>
    </w:p>
    <w:p w:rsidR="00AC56D6" w:rsidRDefault="00AC56D6" w:rsidP="00AC56D6">
      <w:pPr>
        <w:pStyle w:val="TextoNormal"/>
      </w:pPr>
      <w:r>
        <w:lastRenderedPageBreak/>
        <w:t>ii. La base imponible, para prever también un ajuste para el caso de periodos impositivos cortos (art. 124.1.2).</w:t>
      </w:r>
    </w:p>
    <w:p w:rsidR="00AC56D6" w:rsidRDefault="00AC56D6" w:rsidP="00AC56D6">
      <w:pPr>
        <w:pStyle w:val="TextoNormal"/>
      </w:pPr>
    </w:p>
    <w:p w:rsidR="00AC56D6" w:rsidRDefault="00AC56D6" w:rsidP="00AC56D6">
      <w:pPr>
        <w:pStyle w:val="TextoNormal"/>
      </w:pPr>
      <w:r>
        <w:t>iii. La cuota tributaria, que será el resultado de aplicar a la base imponible el tipo de gravamen del 0,03 por 100, frente al tipo anterior del 0 por 100 (art. 124.1.3).</w:t>
      </w:r>
    </w:p>
    <w:p w:rsidR="00AC56D6" w:rsidRDefault="00AC56D6" w:rsidP="00AC56D6">
      <w:pPr>
        <w:pStyle w:val="TextoNormal"/>
      </w:pPr>
    </w:p>
    <w:p w:rsidR="00AC56D6" w:rsidRDefault="00AC56D6" w:rsidP="00AC56D6">
      <w:pPr>
        <w:pStyle w:val="TextoNormal"/>
      </w:pPr>
      <w:r>
        <w:t>iv. Se establece la obligación de presentar autoliquidación, anudada al establecimiento de tipo de gravamen y que deberán presentar los contribuyentes “en el mes de julio del año siguiente al del periodo impositivo” (art. 124.1.4).</w:t>
      </w:r>
    </w:p>
    <w:p w:rsidR="00AC56D6" w:rsidRDefault="00AC56D6" w:rsidP="00AC56D6">
      <w:pPr>
        <w:pStyle w:val="TextoNormal"/>
      </w:pPr>
    </w:p>
    <w:p w:rsidR="00AC56D6" w:rsidRDefault="00AC56D6" w:rsidP="00AC56D6">
      <w:pPr>
        <w:pStyle w:val="TextoNormal"/>
      </w:pPr>
      <w:r>
        <w:t>v. Se establece la obligación de realizar un pago a cuenta en el mes de julio de cada ejercicio por importe del 50 por 100 de la cuantía resultante de aplicar el tipo de gravamen a la base imponible del periodo impositivo anterior. No obstante la regla general, se establece que para el periodo impositivo de 2014 “el pago a cuenta correspondiente al periodo impositivo de 2014 se presentará en el mes de diciembre de 2014 y su importe será el 50 por ciento de la cuantía resultante de aplicar el tipo de gravamen a la base imponible que derive de las reglas contenidas en el apartado Siete respecto de los estados financieros individuales del contribuyente de 2013” (art. 124.1.5).</w:t>
      </w:r>
    </w:p>
    <w:p w:rsidR="00AC56D6" w:rsidRDefault="00AC56D6" w:rsidP="00AC56D6">
      <w:pPr>
        <w:pStyle w:val="TextoNormal"/>
      </w:pPr>
    </w:p>
    <w:p w:rsidR="00AC56D6" w:rsidRDefault="00AC56D6" w:rsidP="00AC56D6">
      <w:pPr>
        <w:pStyle w:val="TextoNormal"/>
      </w:pPr>
      <w:r>
        <w:t>vi. Se añade un párrafo al art. 19.13 estableciéndose que “[r]especto de los periodos impositivos que se inicien a partir del 1 de enero de 2014, las medidas de compensación en favor de las Comunidades Autónomas establecidas con base en el artículo 6.2 de la Ley Orgánica 8/1980, se minorarán en el importe de la recaudación que se distribuya a las correspondientes Comunidades Autónomas de acuerdo con lo previsto en el apartado siguiente” (art. 124.1.6).</w:t>
      </w:r>
    </w:p>
    <w:p w:rsidR="00AC56D6" w:rsidRDefault="00AC56D6" w:rsidP="00AC56D6">
      <w:pPr>
        <w:pStyle w:val="TextoNormal"/>
      </w:pPr>
    </w:p>
    <w:p w:rsidR="00AC56D6" w:rsidRDefault="00AC56D6" w:rsidP="00AC56D6">
      <w:pPr>
        <w:pStyle w:val="TextoNormal"/>
      </w:pPr>
      <w:r>
        <w:t>vii. Se añade un apartado 14 al art. 19 de la Ley 16/2012 estableciéndose las normas para la distribución de la recaudación (art. 124.1.7).</w:t>
      </w:r>
    </w:p>
    <w:p w:rsidR="00AC56D6" w:rsidRDefault="00AC56D6" w:rsidP="00AC56D6">
      <w:pPr>
        <w:pStyle w:val="TextoNormal"/>
      </w:pPr>
    </w:p>
    <w:p w:rsidR="00AC56D6" w:rsidRDefault="00AC56D6" w:rsidP="00AC56D6">
      <w:pPr>
        <w:pStyle w:val="TextoNormal"/>
      </w:pPr>
      <w:r>
        <w:t>viii. Por último, se establece una disposición transitoria única en la Ley 16/2012 de manera que, mientras no se modifique el sistema de financiación para configura el impuesto sobre depósitos como tributo cedido, el Estado hará llegar el importe de su recaudación a las Comunidad Autónomas sin que se aplique la disposición del art. 21 de la Ley 22/2009, esto es, sin que se modifique a la baja, en correlación con este nuevo ingreso, el importe del fondo de suficiencia global (art. 124.2).</w:t>
      </w:r>
    </w:p>
    <w:p w:rsidR="00AC56D6" w:rsidRDefault="00AC56D6" w:rsidP="00AC56D6">
      <w:pPr>
        <w:pStyle w:val="TextoNormal"/>
      </w:pPr>
    </w:p>
    <w:p w:rsidR="00AC56D6" w:rsidRDefault="00AC56D6" w:rsidP="00AC56D6">
      <w:pPr>
        <w:pStyle w:val="TextoNormal"/>
      </w:pPr>
      <w:r w:rsidRPr="00AC56D6">
        <w:rPr>
          <w:rStyle w:val="NumeroAFNegritaCaracter"/>
        </w:rPr>
        <w:t>7</w:t>
      </w:r>
      <w:r>
        <w:t>. Una vez expuestas las razones exteriorizadas por el Gobierno así como el contenido del art. 124 del Real Decreto-ley 8/2014 puede concluirse, con arreglo a la doctrina consolidada de este Tribunal, que no se ha dado cumplimiento al primero de los elementos exigidos para utilizar este vehículo normativo que exige el art. 86.1 CE, ya que el Gobierno, a quien como hemos reiterado corresponde la carga de acreditar que concurre el presupuesto habilitante del decreto-ley, no ha explicitado de modo suficiente, ni en la exposición de motivos, ni tampoco en el trámite de convalidación parlamentaria del real decreto-ley, una argumentación sobre la necesaria prontitud de la medida. A tal conclusión conducen las siguientes consideraciones:</w:t>
      </w:r>
    </w:p>
    <w:p w:rsidR="00AC56D6" w:rsidRDefault="00AC56D6" w:rsidP="00AC56D6">
      <w:pPr>
        <w:pStyle w:val="TextoNormal"/>
      </w:pPr>
    </w:p>
    <w:p w:rsidR="00AC56D6" w:rsidRDefault="00AC56D6" w:rsidP="00AC56D6">
      <w:pPr>
        <w:pStyle w:val="TextoNormal"/>
      </w:pPr>
      <w:r>
        <w:t xml:space="preserve">a) En primer lugar, y frente a lo que alega el Abogado del Estado, es manifiesto que la justificación de la urgente y extraordinaria necesidad no radica en este caso en las citadas </w:t>
      </w:r>
      <w:r>
        <w:lastRenderedPageBreak/>
        <w:t>“coyunturas económicas problemáticas”. Así lo evidencian tanto el preámbulo como el debate de convalidación de la norma, de cuyo tenor resulta que la modificación del impuesto sobre los depósitos no se vincula ni explícita ni implícitamente con tal situación coyuntural de crisis, sino como ha quedado expuesto, con la finalidad de armonización de este impuesto y la eficiencia de esta modalidad de tributación.</w:t>
      </w:r>
    </w:p>
    <w:p w:rsidR="00AC56D6" w:rsidRDefault="00AC56D6" w:rsidP="00AC56D6">
      <w:pPr>
        <w:pStyle w:val="TextoNormal"/>
      </w:pPr>
    </w:p>
    <w:p w:rsidR="00AC56D6" w:rsidRDefault="00AC56D6" w:rsidP="00AC56D6">
      <w:pPr>
        <w:pStyle w:val="TextoNormal"/>
      </w:pPr>
      <w:r>
        <w:t>b) En segundo lugar, y por lo que se refiere a la justificación específicamente referida al artículo 124, la medida carece del carácter extraordinario que este mecanismo excepcional debe de tener, ya que el citado objetivo de “garantizar una tributación armonizada de los depósitos constituidos en las entidades de crédito en todo el territorio español”, ya se había conseguido con la aprobación de la Ley 16/2012, cuyo artículo 19 estableció el impuesto sobre depósitos estatal a tipo cero precisamente con tal finalidad, la de armonizar los hechos imponibles en esta materia, impidiendo además el establecimiento de otros nuevos sobre los mismos hechos imponibles. Siendo precisamente la armonización de hechos imponibles el objetivo central del citado art. 19 de la Ley 16/2012, es evidente que tal finalidad de armonización no puede, a la vez, erigirse en presupuesto habilitante de la medida adoptada. No enerva la anterior conclusión el hecho de que se hubieran aprobado impuestos autonómicos con posterioridad al inicio de la tramitación legislativa de la Ley 16/2012, ya que ello no impide que se haya cumplido ya la finalidad de armonización con el establecimiento de un tributo estatal sobre este hecho imponible.</w:t>
      </w:r>
    </w:p>
    <w:p w:rsidR="00AC56D6" w:rsidRDefault="00AC56D6" w:rsidP="00AC56D6">
      <w:pPr>
        <w:pStyle w:val="TextoNormal"/>
      </w:pPr>
    </w:p>
    <w:p w:rsidR="00AC56D6" w:rsidRDefault="00AC56D6" w:rsidP="00AC56D6">
      <w:pPr>
        <w:pStyle w:val="TextoNormal"/>
      </w:pPr>
      <w:r>
        <w:t>c) En tercer lugar, tampoco ha quedado acreditado el carácter urgente del establecimiento de un tipo de gravamen efectivo para este tributo. En este sentido, no está de más recordar que de hecho la primera autoliquidación del impuesto estatal sobre depósitos no habría de efectuarse hasta julio de 2015, mientras que el primer pago a cuenta para el ejercicio de 2014, será exigible en el mes de diciembre (art. 124.1.5 del Real Decreto-ley 8/2014, que modifica el art. 19.10 de la Ley 16/2012). En todo caso, y puesto que el establecimiento del tipo de gravamen también se vincula con la finalidad armonizadora de la medida, debe insistirse una vez más en que tal finalidad ya se había conseguido con el propio establecimiento del impuesto estatal sobre los depósitos en entidades de crédito, sin que en este sentido el hecho de que se trate de un impuesto con tipo de gravamen efectivo añada nada desde la perspectiva de la armonización.</w:t>
      </w:r>
    </w:p>
    <w:p w:rsidR="00AC56D6" w:rsidRDefault="00AC56D6" w:rsidP="00AC56D6">
      <w:pPr>
        <w:pStyle w:val="TextoNormal"/>
      </w:pPr>
    </w:p>
    <w:p w:rsidR="00AC56D6" w:rsidRDefault="00AC56D6" w:rsidP="00AC56D6">
      <w:pPr>
        <w:pStyle w:val="TextoNormal"/>
      </w:pPr>
      <w:r>
        <w:t>No se pone en duda que fuera necesario, incluso conveniente, establecer un tipo de gravamen efectivo en el impuesto estatal sobre depósitos bancarios, con la finalidad, cuya idoneidad y necesidad tampoco se controvierte aquí, de otorgar su recaudación a las Comunidades Autónomas. Sin embargo, no se aprecia la citada urgencia, por las razones expuestas, sin que tampoco se hayan hecho explícitas las razones que justificaron la selección, para esta medida concreta, de un plazo más breve que el requerido para la tramitación parlamentaria de las leyes, sea por el procedimiento ordinario o por el de urgencia.</w:t>
      </w:r>
    </w:p>
    <w:p w:rsidR="00AC56D6" w:rsidRDefault="00AC56D6" w:rsidP="00AC56D6">
      <w:pPr>
        <w:pStyle w:val="TextoNormal"/>
      </w:pPr>
    </w:p>
    <w:p w:rsidR="00AC56D6" w:rsidRDefault="00AC56D6" w:rsidP="00AC56D6">
      <w:pPr>
        <w:pStyle w:val="TextoNormal"/>
      </w:pPr>
      <w:r>
        <w:t>Dicho de otro modo, nada hay en el presente caso que permita concluir que la modificación del impuesto sobre depósitos haya tratado de dar respuesta a una situación excepcional ni que respondiera tampoco a una necesidad urgente.</w:t>
      </w:r>
    </w:p>
    <w:p w:rsidR="00AC56D6" w:rsidRDefault="00AC56D6" w:rsidP="00AC56D6">
      <w:pPr>
        <w:pStyle w:val="TextoNormal"/>
      </w:pPr>
    </w:p>
    <w:p w:rsidR="00AC56D6" w:rsidRDefault="00AC56D6" w:rsidP="00AC56D6">
      <w:pPr>
        <w:pStyle w:val="TextoNormal"/>
      </w:pPr>
      <w:r>
        <w:t xml:space="preserve">Cabe así concluir que la justificación que acompaña a la adopción de tan excepcional mecanismo se relaciona como ha quedado expuesto con la adecuación y oportunidad de la medida, que no se pone en duda y que a este Tribunal no corresponde enjuiciar. No se trata </w:t>
      </w:r>
      <w:r>
        <w:lastRenderedPageBreak/>
        <w:t>de cuestionar la necesidad o la conveniencia de las modificaciones adoptadas por el art. 124 del Real Decreto-ley sino únicamente el hecho de que se hayan llevado a cabo mediante este mecanismo extraordinario. En este sentido, la misma finalidad se podría haber atendido mediante el recurso a una ley ordinaria, sin que tampoco se ha hecho alusión alguna a cuáles habrían sido los perjuicios de no haberse llevado a cabo la citada normativa de urgencia. Debe recordarse una vez más que “aun cuando hemos descartado también que la utilización por el Gobierno de su potestad legislativa extraordinaria deba circunscribirse a situaciones de fuerza mayor o de emergencia, es lo cierto que hemos exigido la concurrencia de ciertas notas de excepcionalidad, gravedad, relevancia e imprevisibilidad que determinen la necesidad de una acción normativa inmediata en un plazo más breve que el requerido para la tramitación parlamentaria de las leyes, bien sea por el procedimiento ordinario o por el de urgencia (por todas, STC 68/2007, de 28 de marzo, FJ 10)” (STC 137/2011, de 14 de septiembre, FJ 7).</w:t>
      </w:r>
    </w:p>
    <w:p w:rsidR="00AC56D6" w:rsidRDefault="00AC56D6" w:rsidP="00AC56D6">
      <w:pPr>
        <w:pStyle w:val="TextoNormal"/>
      </w:pPr>
    </w:p>
    <w:p w:rsidR="00AC56D6" w:rsidRDefault="00AC56D6" w:rsidP="00AC56D6">
      <w:pPr>
        <w:pStyle w:val="TextoNormal"/>
      </w:pPr>
      <w:r w:rsidRPr="00AC56D6">
        <w:rPr>
          <w:rStyle w:val="NumeroAFNegritaCaracter"/>
        </w:rPr>
        <w:t>8</w:t>
      </w:r>
      <w:r>
        <w:t>. En suma, a la vista de las circunstancias concurrentes y de las razones expuestas, hemos de concluir que en este caso el Gobierno no ha aportado una justificación suficiente que permita apreciar la existencia del presupuesto habilitante de la extraordinaria y urgente necesidad requerido por el art. 86.1 CE para el uso de la legislación de urgencia en relación con el art. 124 del Real Decreto-ley 8/2014, lo que ha de determinar la declaración de inconstitucionalidad y nulidad de dicho artículo por vulneración del citado precepto constitucional.</w:t>
      </w:r>
    </w:p>
    <w:p w:rsidR="00AC56D6" w:rsidRDefault="00AC56D6" w:rsidP="00AC56D6">
      <w:pPr>
        <w:pStyle w:val="TextoNormal"/>
      </w:pPr>
    </w:p>
    <w:p w:rsidR="00AC56D6" w:rsidRDefault="00AC56D6" w:rsidP="00AC56D6">
      <w:pPr>
        <w:pStyle w:val="TextoNormal"/>
      </w:pPr>
      <w:r>
        <w:t>La estimación de este primer motivo del recurso de inconstitucionalidad convierte en innecesario, como antes hemos señalado, el enjuiciamiento del resto de los motivos impugnatorios, no siendo tampoco preciso profundizar en el examen del segundo aspecto de los presupuestos exigidos por nuestra doctrina para reconocer la adecuación constitucional del uso por el Gobierno de esta modalidad legislativa, esto es si concurre la adecuada conexión entre la situación de urgencia apreciada y su correspondencia con las medidas legislativas adoptadas.</w:t>
      </w:r>
    </w:p>
    <w:p w:rsidR="00AC56D6" w:rsidRDefault="00AC56D6" w:rsidP="00AC56D6">
      <w:pPr>
        <w:pStyle w:val="TextoNormal"/>
      </w:pPr>
    </w:p>
    <w:p w:rsidR="00AC56D6" w:rsidRDefault="00AC56D6" w:rsidP="00AC56D6">
      <w:pPr>
        <w:pStyle w:val="TextoNormal"/>
      </w:pPr>
      <w:r>
        <w:t>Concluida la inobservancia del presupuesto habilitante, ello debe determinar la declaración de inconstitucionalidad y nulidad del art. 124 del Real Decreto-ley 8/2014.</w:t>
      </w:r>
    </w:p>
    <w:p w:rsidR="00AC56D6" w:rsidRDefault="00AC56D6" w:rsidP="00AC56D6">
      <w:pPr>
        <w:pStyle w:val="TextoNormal"/>
      </w:pPr>
    </w:p>
    <w:p w:rsidR="00AC56D6" w:rsidRDefault="00AC56D6" w:rsidP="00AC56D6">
      <w:pPr>
        <w:pStyle w:val="TextoNormal"/>
      </w:pPr>
      <w:r>
        <w:t>No obstante, nuestro pronunciamiento de inconstitucionalidad no afectará a las situaciones jurídicas consolidadas, debiéndose considerar como tales las establecidas mediante actuaciones administrativas firmes o las que, en la vía judicial, hayan sido decididas mediante Sentencia con fuerza de cosa juzgada (art. 40.1 de la Ley Orgánica del Tribunal Constitucional); [por todas, STC 27/2015, FJ 7].</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lastRenderedPageBreak/>
        <w:t>Ha decidido</w:t>
      </w:r>
    </w:p>
    <w:p w:rsidR="00AC56D6" w:rsidRDefault="00AC56D6" w:rsidP="00AC56D6">
      <w:pPr>
        <w:pStyle w:val="TextoNormalCentrado"/>
        <w:keepNext/>
      </w:pPr>
    </w:p>
    <w:p w:rsidR="00AC56D6" w:rsidRDefault="00AC56D6" w:rsidP="00AC56D6">
      <w:pPr>
        <w:pStyle w:val="TextoNormal"/>
      </w:pPr>
      <w:r>
        <w:t>Estimar el recurso de inconstitucionalidad interpuesto por el Consell de la Generalitat Valenciana contra el art. 124 del Real Decreto-ley 8/2014, de 4 de julio, de aprobación de medidas urgentes para el crecimiento, la competitividad y la eficiencia y declarar su inconstitucionalidad y nulidad con los efectos establecidos en el fundamento octavo.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ocho de octubre de dos mil quince.</w:t>
      </w:r>
    </w:p>
    <w:p w:rsidR="00AC56D6" w:rsidRDefault="00AC56D6" w:rsidP="00AC56D6">
      <w:pPr>
        <w:pStyle w:val="ParrafoNormal"/>
      </w:pPr>
    </w:p>
    <w:p w:rsidR="00AC56D6" w:rsidRDefault="00AC56D6" w:rsidP="00AC56D6">
      <w:pPr>
        <w:pStyle w:val="TextoNormalNegritaCentrado"/>
        <w:keepNext/>
      </w:pPr>
      <w:r>
        <w:t>Voto particular concurrente que formula el Magistrado don Juan Antonio Xiol Ríos respecto de la sentencia dictada en el recurso de inconstitucional núm. 5970-2014.</w:t>
      </w:r>
    </w:p>
    <w:p w:rsidR="00AC56D6" w:rsidRDefault="00AC56D6" w:rsidP="00AC56D6">
      <w:pPr>
        <w:pStyle w:val="TextoNormalNegritaCentrado"/>
        <w:keepNext/>
      </w:pPr>
    </w:p>
    <w:p w:rsidR="00AC56D6" w:rsidRDefault="00AC56D6" w:rsidP="00AC56D6">
      <w:pPr>
        <w:pStyle w:val="TextoNormal"/>
      </w:pPr>
      <w:r>
        <w:t>La opinión mayoritaria en la que se sustenta la Sentencia fundamenta la estimación del recurso en la vulneración del art. 86.1 CE por considerar que el Gobierno no está habilitado para promulgar un decreto-ley, pues no concurre la situación de extraordinaria y urgente necesidad de armonizar la regulación del impuesto estatal sobre depósitos bancarios. Se afirma, en efecto, que la armonización tributaria de los depósitos bancarios ya se había conseguido con la aprobación de la Ley 16/2012, de 27 de diciembre.</w:t>
      </w:r>
    </w:p>
    <w:p w:rsidR="00AC56D6" w:rsidRDefault="00AC56D6" w:rsidP="00AC56D6">
      <w:pPr>
        <w:pStyle w:val="TextoNormal"/>
      </w:pPr>
    </w:p>
    <w:p w:rsidR="00AC56D6" w:rsidRDefault="00AC56D6" w:rsidP="00AC56D6">
      <w:pPr>
        <w:pStyle w:val="TextoNormal"/>
      </w:pPr>
      <w:r>
        <w:t>Mediante un voto particular formulado en la STC 26/2015, de 19 de febrero —en que se desestimó el recurso de inconstitucionalidad interpuesto contra la citada Ley 16/2012 por establecer un tipo de gravamen del 0 por 100 al impuesto estatal de depósitos bancarios— expresé mi disconformidad con que esta medida supusiera una armonización respetuosa con el bloque de la constitucionalidad, pues se alcanzaba no gravando, sino inhabilitando materialmente un hecho imponible gravado por una comunidad autónoma.</w:t>
      </w:r>
    </w:p>
    <w:p w:rsidR="00AC56D6" w:rsidRDefault="00AC56D6" w:rsidP="00AC56D6">
      <w:pPr>
        <w:pStyle w:val="TextoNormal"/>
      </w:pPr>
    </w:p>
    <w:p w:rsidR="00AC56D6" w:rsidRDefault="00AC56D6" w:rsidP="00AC56D6">
      <w:pPr>
        <w:pStyle w:val="TextoNormal"/>
      </w:pPr>
      <w:r>
        <w:t>Reconozco que la opinión mayoritaria expresada en la STC 26/2015, que actúa como precedente, es coherente con la sustentada en esta Sentencia. Sin embargo, también en respeto a la coherencia que debo mantener con aquel voto particular, si entonces negué que la Ley 16/2012 hubiera alcanzado aquel fin armonizador fiscal de una manera constitucionalmente legítima, ahora debo manifestar mi opinión en el sentido de que el Real Decreto-ley 8/2014 impugnado en este recurso (que establece, entre otros aspectos, un tipo de gravamen del 0,03 por 100), podía ser susceptible, de acuerdo con la argumentación del Gobierno, de cumplir dicho fin armonizador al fijar un tipo de gravamen diferente de 0 por 100.</w:t>
      </w:r>
    </w:p>
    <w:p w:rsidR="00AC56D6" w:rsidRDefault="00AC56D6" w:rsidP="00AC56D6">
      <w:pPr>
        <w:pStyle w:val="TextoNormal"/>
      </w:pPr>
    </w:p>
    <w:p w:rsidR="00AC56D6" w:rsidRDefault="00AC56D6" w:rsidP="00AC56D6">
      <w:pPr>
        <w:pStyle w:val="TextoNormal"/>
      </w:pPr>
      <w:r>
        <w:t>Madrid, a ocho de octubre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68" w:name="SENTENCIA_2015_212"/>
      <w:r>
        <w:lastRenderedPageBreak/>
        <w:t>SENTENCIA 212/2015, de 8 de octubre de 2015</w:t>
      </w:r>
    </w:p>
    <w:bookmarkEnd w:id="68"/>
    <w:p w:rsidR="00AC56D6" w:rsidRDefault="00AC56D6" w:rsidP="00AC56D6">
      <w:pPr>
        <w:pStyle w:val="TtuloResolucin"/>
      </w:pPr>
      <w:r>
        <w:t>Pleno</w:t>
      </w:r>
    </w:p>
    <w:p w:rsidR="00AC56D6" w:rsidRDefault="00AC56D6" w:rsidP="00AC56D6">
      <w:pPr>
        <w:pStyle w:val="TtuloBOE"/>
      </w:pPr>
      <w:r>
        <w:t>(BOE núm. 272, de 13 de noviembre de 2015)</w:t>
      </w:r>
    </w:p>
    <w:p w:rsidR="00AC56D6" w:rsidRDefault="00AC56D6" w:rsidP="00AC56D6">
      <w:pPr>
        <w:pStyle w:val="TextoNormalCentrado"/>
      </w:pPr>
      <w:r>
        <w:t>ECLI:ES:TC:2015:212</w:t>
      </w:r>
    </w:p>
    <w:p w:rsidR="00AC56D6" w:rsidRDefault="00AC56D6" w:rsidP="00AC56D6">
      <w:pPr>
        <w:pStyle w:val="TextoNormalCentrado"/>
      </w:pPr>
    </w:p>
    <w:p w:rsidR="00AC56D6" w:rsidRDefault="00AC56D6" w:rsidP="00AC56D6">
      <w:pPr>
        <w:pStyle w:val="SntesisDescriptiva"/>
      </w:pPr>
      <w:r>
        <w:t>Cuestión de inconstitucionalidad 1996-2015. Planteada por la Sala de lo Contencioso-Administrativo del Tribunal Superior de Justicia de Madrid respecto de los artículos 8 y 10 del Real Decreto-ley 9/2008, de 28 de noviembre, por el que se crean un fondo estatal de inversión local y un fondo especial del Estado para la dinamización de la economía y el empleo y se aprueban créditos extraordinarios para atender a su financiación.</w:t>
      </w:r>
    </w:p>
    <w:p w:rsidR="00AC56D6" w:rsidRDefault="00AC56D6" w:rsidP="00AC56D6">
      <w:pPr>
        <w:pStyle w:val="SntesisDescriptiva"/>
      </w:pPr>
    </w:p>
    <w:p w:rsidR="00AC56D6" w:rsidRDefault="00AC56D6" w:rsidP="00AC56D6">
      <w:pPr>
        <w:pStyle w:val="SntesisAnaltica"/>
      </w:pPr>
      <w:r>
        <w:t>Competencias sobre ordenación general de la economía: inadmisión de la cuestión de inconstitucionalidad por inadecuada formulación de los juicios de aplicabilidad y relevancia (STC 201/2015).</w:t>
      </w:r>
    </w:p>
    <w:p w:rsidR="00AC56D6" w:rsidRDefault="00AC56D6" w:rsidP="00AC56D6">
      <w:pPr>
        <w:pStyle w:val="SntesisAnaltica"/>
      </w:pPr>
    </w:p>
    <w:p w:rsidR="00AC56D6" w:rsidRDefault="00AC56D6" w:rsidP="00AC56D6">
      <w:pPr>
        <w:pStyle w:val="Extracto"/>
      </w:pPr>
      <w:r>
        <w:t>1.</w:t>
      </w:r>
      <w:r>
        <w:tab/>
        <w:t>Se inadmite la cuestión debido a que el órgano judicial no justificó suficientemente las razones por las que considera que su enjuiciamiento depende de la constitucionalidad de los preceptos de la norma controvertida (art. 35.2 LOTC), sin que la presente inadmisión, al basarse en un motivo estrictamente formal, impida un eventual replanteamiento (AATC 195/2010, 120/1997) [FJ 3].</w:t>
      </w:r>
    </w:p>
    <w:p w:rsidR="00AC56D6" w:rsidRDefault="00AC56D6" w:rsidP="00AC56D6">
      <w:pPr>
        <w:pStyle w:val="Extracto"/>
      </w:pPr>
    </w:p>
    <w:p w:rsidR="00AC56D6" w:rsidRDefault="00AC56D6" w:rsidP="00AC56D6">
      <w:pPr>
        <w:pStyle w:val="Extracto"/>
      </w:pPr>
      <w:r>
        <w:t>2.</w:t>
      </w:r>
      <w:r>
        <w:tab/>
        <w:t>Asunto sustancialmente idéntico al que dieron lugar el ATC 136/2015 y la STC 201/2015 que se remitían en lo esencial a la doctrina sobre la necesidad de la adecuada formulación del juicio de aplicabilidad y relevancia en el planteamiento de cuestiones de inconstitucionalidad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1996-2015, promovida por la Sección Octava de la Sala de lo Contencioso-Administrativo del Tribunal Superior de Justicia de Madrid, en relación con los arts. 8 y 10 del Real Decreto-ley 9/2008, de 28 de noviembre, por el que se crean un fondo estatal de inversión local y un fondo especial del Estado para la dinamización de la economía y el empleo y se aprueban créditos extraordinarios para aten</w:t>
      </w:r>
      <w:r>
        <w:lastRenderedPageBreak/>
        <w:t>der a su financiación, por posible infracción del art. 149.1.13 CE. Han comparecido y formulado alegaciones el Abogado del Estado y la Fiscal General del Estado. Ha sido Ponente la Magistrada doña Adela Asua Batarrita,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registrado en este Tribunal el 9 de abril de 2015, al que se acompaña el correspondiente Auto de 25 de marzo, la Sección Octava de la Sala de lo Contencioso-Administrativo del Tribunal Superior de Justicia de Madrid planteó una cuestión de inconstitucionalidad en relación con los arts. 8 y 10 del Real Decreto-ley 9/2008, de 28 de noviembre, por el que se crean un fondo estatal de inversión local y un fondo especial del Estado para la dinamización de la economía y el empleo y se aprueban créditos extraordinarios para atender a su financiación (en adelante, Real Decreto-ley 9/2008), por posible infracción del art. 149.1.13 de la Constitución.</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son los siguientes:</w:t>
      </w:r>
    </w:p>
    <w:p w:rsidR="00AC56D6" w:rsidRDefault="00AC56D6" w:rsidP="00AC56D6">
      <w:pPr>
        <w:pStyle w:val="TextoNormal"/>
      </w:pPr>
    </w:p>
    <w:p w:rsidR="00AC56D6" w:rsidRDefault="00AC56D6" w:rsidP="00AC56D6">
      <w:pPr>
        <w:pStyle w:val="TextoNormal"/>
      </w:pPr>
      <w:r>
        <w:t xml:space="preserve">a) El Ayuntamiento de Madrid —recurrente en el proceso </w:t>
      </w:r>
      <w:r w:rsidRPr="00AC56D6">
        <w:rPr>
          <w:i/>
        </w:rPr>
        <w:t>a quo</w:t>
      </w:r>
      <w:r>
        <w:t>— recibió una serie de ayudas para la ejecución del proyecto 2544 “Renovación de calzadas en los distritos de la zona oeste” con cargo al fondo estatal de inversión local, creado por el Real Decreto-ley 9/2008.</w:t>
      </w:r>
    </w:p>
    <w:p w:rsidR="00AC56D6" w:rsidRDefault="00AC56D6" w:rsidP="00AC56D6">
      <w:pPr>
        <w:pStyle w:val="TextoNormal"/>
      </w:pPr>
    </w:p>
    <w:p w:rsidR="00AC56D6" w:rsidRDefault="00AC56D6" w:rsidP="00AC56D6">
      <w:pPr>
        <w:pStyle w:val="TextoNormal"/>
      </w:pPr>
      <w:r>
        <w:t>b) A la vista del informe de control financiero de subvenciones y ayudas nacionales elaborado por la Intervención General de la Administración del Estado (Intervención Territorial de Madrid), la Dirección General de Coordinación de las Competencias con las Comunidades Autónomas y las entidades locales (Ministerio de Hacienda y Administraciones públicas) acordó iniciar el procedimiento de reintegro regulado en el art. 10 del Real Decreto-ley 9/2008, confiriendo al Ayuntamiento de Madrid el correspondiente trámite de alegaciones. Las alegaciones formuladas por el Ayuntamiento fueron desestimadas mediante Resolución de 25 de septiembre de 2012 de la citada Dirección General, por la que se declaraba la existencia de un saldo a favor del tesoro público, por incumplimiento de lo dispuesto en el Real Decreto-ley 9/2008.</w:t>
      </w:r>
    </w:p>
    <w:p w:rsidR="00AC56D6" w:rsidRDefault="00AC56D6" w:rsidP="00AC56D6">
      <w:pPr>
        <w:pStyle w:val="TextoNormal"/>
      </w:pPr>
    </w:p>
    <w:p w:rsidR="00AC56D6" w:rsidRDefault="00AC56D6" w:rsidP="00AC56D6">
      <w:pPr>
        <w:pStyle w:val="TextoNormal"/>
      </w:pPr>
      <w:r>
        <w:t>c) Contra dicha resolución, el Ayuntamiento de Madrid interpuso recurso contencioso-administrativo ante la Sala de lo Contencioso-Administrativo del Tribunal Superior de Justicia de Madrid (recurso núm. 372-2013), alegando en la demanda la inconstitucionalidad de los artículos del Real Decreto-ley 9/2008 que habían sido aplicados, a la vista de la STC 150/2012, de 5 de julio, por la que se resolvió el recurso de inconstitucionalidad planteado contra varios preceptos del Real Decreto-ley 13/2009, de 26 de octubre, de creación del fondo estatal para el empleo y la sostenibilidad local (en adelante, Real Decreto-ley 13/2009). El Ayuntamiento demandante solicitó de la Sala el planteamiento de una cuestión de inconstitucionalidad por entender que los artículos aplicados en el procedimiento de reintegro eran equivalentes a los que fueron declarados inconstitucionales por la citada STC 150/2012 e incurrían, por tanto, en el mismo vicio.</w:t>
      </w:r>
    </w:p>
    <w:p w:rsidR="00AC56D6" w:rsidRDefault="00AC56D6" w:rsidP="00AC56D6">
      <w:pPr>
        <w:pStyle w:val="TextoNormal"/>
      </w:pPr>
    </w:p>
    <w:p w:rsidR="00AC56D6" w:rsidRDefault="00AC56D6" w:rsidP="00AC56D6">
      <w:pPr>
        <w:pStyle w:val="TextoNormal"/>
      </w:pPr>
      <w:r>
        <w:lastRenderedPageBreak/>
        <w:t>d) Una vez declarado concluso el procedimiento, mediante providencia de 13 de noviembre de 2014 (completada luego por providencia de 18 de diciembre) se acordó oír a las partes y al Ministerio Fiscal sobre la conveniencia de plantear una cuestión de inconstitucionalidad en relación con los preceptos del Real Decreto-ley 9/2008 objeto de aplicación.</w:t>
      </w:r>
    </w:p>
    <w:p w:rsidR="00AC56D6" w:rsidRDefault="00AC56D6" w:rsidP="00AC56D6">
      <w:pPr>
        <w:pStyle w:val="TextoNormal"/>
      </w:pPr>
    </w:p>
    <w:p w:rsidR="00AC56D6" w:rsidRDefault="00AC56D6" w:rsidP="00AC56D6">
      <w:pPr>
        <w:pStyle w:val="TextoNormal"/>
      </w:pPr>
      <w:r>
        <w:t>e) Por escrito de 16 de diciembre de 2014, el Ayuntamiento recurrente se manifestó a favor del planteamiento de la cuestión, con fundamento en que el art. 10 del mencionado Real Decreto-ley, que a su juicio era aplicable al caso y relevante para el fallo, venía a ser idéntico al art. 6 del Real Decreto-ley 13/2009, que fue declarado inconstitucional dado que el reintegro y su procedimiento de exigencia correspondía a las Comunidades Autónomas, según reiterada doctrina constitucional sobre la distribución de competencias en el ámbito de las subvenciones. Consideraba, por ello, que el art. 10 del Real Decreto-ley 9/2008 era inconstitucional por la misma razón.</w:t>
      </w:r>
    </w:p>
    <w:p w:rsidR="00AC56D6" w:rsidRDefault="00AC56D6" w:rsidP="00AC56D6">
      <w:pPr>
        <w:pStyle w:val="TextoNormal"/>
      </w:pPr>
    </w:p>
    <w:p w:rsidR="00AC56D6" w:rsidRDefault="00AC56D6" w:rsidP="00AC56D6">
      <w:pPr>
        <w:pStyle w:val="TextoNormal"/>
      </w:pPr>
      <w:r>
        <w:t>f) El Abogado del Estado presentó un escrito de alegaciones el 30 de diciembre de 2014 en el que se oponía al planteamiento de la cuestión. Aducía, en apoyo de su pretensión, que la STC 150/2012 no podía servir de fundamento para la formulación de la cuestión porque se refería a otro Real Decreto-ley y, además, anulaba sólo alguno de sus preceptos. Añadía que el planteamiento de la cuestión en nada variaría la solución correspondiente al fondo del asunto porque aquella Sentencia resolvió sólo la competencia para tramitar los expedientes de reintegro, sin afectar a las ayudas ya concedidas. Por otra parte, a la vista del meridiano incumplimiento de los requisitos de la subvención en el caso concreto examinado, si las autoridades autonómicas tramitasen el expediente de reintegro, llegarían a la misma conclusión que la Administración General del Estado.</w:t>
      </w:r>
    </w:p>
    <w:p w:rsidR="00AC56D6" w:rsidRDefault="00AC56D6" w:rsidP="00AC56D6">
      <w:pPr>
        <w:pStyle w:val="TextoNormal"/>
      </w:pPr>
    </w:p>
    <w:p w:rsidR="00AC56D6" w:rsidRDefault="00AC56D6" w:rsidP="00AC56D6">
      <w:pPr>
        <w:pStyle w:val="TextoNormal"/>
      </w:pPr>
      <w:r>
        <w:t>g) El Ministerio Fiscal formuló alegaciones mediante escrito de 21 de enero de 2015, razonando que el art. 10 del Real Decreto-ley 9/2008 era aplicable al caso y relevante para el fallo, pues se refería al reintegro de la ayuda concedida al Ayuntamiento. No se oponía al planteamiento de la cuestión, a la vista de la STC 150/2012 y de que el contenido del citado art. 10 coincidía con uno de los declarados inconstitucionales en dicho pronunciamiento.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El Auto de promoción de la cuestión señala que los procedimientos de control financiero y reintegro cuya resolución constituye el objeto del proceso </w:t>
      </w:r>
      <w:r w:rsidRPr="00AC56D6">
        <w:rPr>
          <w:i/>
        </w:rPr>
        <w:t>a quo</w:t>
      </w:r>
      <w:r>
        <w:t xml:space="preserve"> se fundan en los preceptos controvertidos: arts. 8 y 10 del Real Decreto-ley 9/2008. Tales preceptos son sustancialmente equivalentes a los arts. 5 y 6 del Real Decreto-ley 13/2009, que fueron declarados inconstitucionales por la STC 150/2012. En dicha Sentencia se consideró que el art. 149.1.13 de la Constitución no ampara la regulación contenida en dichos preceptos, habida cuenta de que deben ser las Comunidades Autónomas quienes establezcan el régimen de gestión, control y resolución de las solicitudes de ayudas, así como el procedimiento de reintegro. Los preceptos aplicados en este procedimiento, a juicio del órgano judicial, incurrirían en el mismo vicio de inconstitucionalidad, al otorgar a órganos de la Administración General del Estado las competencias de control y reintegro de las ayudas en una competencia compartida con las Comunidades Autónomas. El Tribunal proponente considera, en consecuencia, que los arts. 8 y 10 del Real Decreto-ley 9/2008 vulneran el art. 149.1.13 de la Constitución, al igual que sucedía con los preceptos equivalentes del Real Decreto-ley 13/2009.</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4</w:t>
      </w:r>
      <w:r>
        <w:t>. Por providencia de 12 de mayo de 2015, el Pleno de este Tribunal acordó admitir a trámite la presente cuestión de inconstitucionalidad, reservar para sí el conocimiento de la misma conforme al art. 10.1 c) de la Ley Orgánica del Tribunal Constitucional (LOTC) y dar traslado de las actuaciones recibidas al Congreso de los Diputados y al Senado, por conducto de sus Presidentes, al Gobierno, a través del Ministro de Justicia, y a la Fiscalía General del Estado, para que en el improrrogable plazo de quince días pudieran personarse en el procedimiento y formular las alegaciones que estimasen convenientes (art. 37.3 LOTC). Asimismo, se ordenaba, de un lado, comunicar esa resolución al órgano promotor a fin de que, de conformidad con el art. 35.3 LOTC, permaneciese suspendido el proceso hasta que este Tribunal resolviese definitivamente la presente cuestión, y de otro lado, publicar la incoación de la cuestión en el “Boletín Oficial del Estado”, lo que se llevó a efecto en el “BOE” núm. 116, de 15 de mayo de 2015.</w:t>
      </w:r>
    </w:p>
    <w:p w:rsidR="00AC56D6" w:rsidRDefault="00AC56D6" w:rsidP="00AC56D6">
      <w:pPr>
        <w:pStyle w:val="TextoNormal"/>
      </w:pPr>
    </w:p>
    <w:p w:rsidR="00AC56D6" w:rsidRDefault="00AC56D6" w:rsidP="00AC56D6">
      <w:pPr>
        <w:pStyle w:val="TextoNormal"/>
      </w:pPr>
      <w:r w:rsidRPr="00AC56D6">
        <w:rPr>
          <w:rStyle w:val="NumeroAFNegritaCaracter"/>
        </w:rPr>
        <w:t>5</w:t>
      </w:r>
      <w:r>
        <w:t>. Por escrito registrado en este Tribunal el 22 de mayo de 2015, el Presidente del Congreso de los Diputados comunicó el acuerdo de dar por personada en el procedimiento a dicha Cámara y por ofrecida su colaboración a los efectos del art. 88.1 LOTC. Igualmente, por escrito registrado el 27 de mayo se recibió una comunicación del Presidente del Senado por la cual se ponía en conocimiento de este Tribunal que dicha Cámara se daba por personada en el procedimiento y por ofrecida su colaboración a los efectos del citado precepto.</w:t>
      </w:r>
    </w:p>
    <w:p w:rsidR="00AC56D6" w:rsidRDefault="00AC56D6" w:rsidP="00AC56D6">
      <w:pPr>
        <w:pStyle w:val="TextoNormal"/>
      </w:pPr>
    </w:p>
    <w:p w:rsidR="00AC56D6" w:rsidRDefault="00AC56D6" w:rsidP="00AC56D6">
      <w:pPr>
        <w:pStyle w:val="TextoNormal"/>
      </w:pPr>
      <w:r w:rsidRPr="00AC56D6">
        <w:rPr>
          <w:rStyle w:val="NumeroAFNegritaCaracter"/>
        </w:rPr>
        <w:t>6</w:t>
      </w:r>
      <w:r>
        <w:t>. El Abogado del Estado presentó un escrito registrado en este Tribunal el 8 de junio de 2015 en el que suplica que se dicte Sentencia por la que se inadmita o, subsidiariamente, se desestime la cuestión planteada. En apoyo de su pretensión, alega, por una parte, que la cuestión no ha tomado una norma de comparación integrante del bloque de la constitucionalidad, sino el contenido del Real Decreto-ley 13/2009, interpretado por la STC 150/2012; por otra, señala que el Auto de planteamiento no identifica la norma atributiva de la competencia autonómica que habría sido vulnerada por el Real Decreto-ley 9/2008.</w:t>
      </w:r>
    </w:p>
    <w:p w:rsidR="00AC56D6" w:rsidRDefault="00AC56D6" w:rsidP="00AC56D6">
      <w:pPr>
        <w:pStyle w:val="TextoNormal"/>
      </w:pPr>
    </w:p>
    <w:p w:rsidR="00AC56D6" w:rsidRDefault="00AC56D6" w:rsidP="00AC56D6">
      <w:pPr>
        <w:pStyle w:val="TextoNormal"/>
      </w:pPr>
      <w:r w:rsidRPr="00AC56D6">
        <w:rPr>
          <w:rStyle w:val="NumeroAFNegritaCaracter"/>
        </w:rPr>
        <w:t>7</w:t>
      </w:r>
      <w:r>
        <w:t>. La Fiscal General del Estado formuló sus alegaciones mediante escrito presentado en este Tribunal el 10 de julio de 2015 en el cual, después de relacionar las circunstancias del caso y transcribir las normas legales cuestionadas, expone, sobre la concurrencia de posibles óbices procesales, que el órgano promotor implícitamente viene a afirmar que, según su criterio, los preceptos cuya constitucionalidad cuestiona resultan aplicables y, aunque la Fiscalía entiende que habría sido deseable un mayor detalle en la explicación de la relevancia de la norma para el fallo del asunto enjuiciado, señala que la validez constitucional de las normas cuestionadas aportaría un valor añadido en el enjuiciamiento del supuesto de hecho y, en tal medida, tiene sentido su planteamiento.</w:t>
      </w:r>
    </w:p>
    <w:p w:rsidR="00AC56D6" w:rsidRDefault="00AC56D6" w:rsidP="00AC56D6">
      <w:pPr>
        <w:pStyle w:val="TextoNormal"/>
      </w:pPr>
    </w:p>
    <w:p w:rsidR="00AC56D6" w:rsidRDefault="00AC56D6" w:rsidP="00AC56D6">
      <w:pPr>
        <w:pStyle w:val="TextoNormal"/>
      </w:pPr>
      <w:r>
        <w:t xml:space="preserve">Considera, en cuanto al fondo, que el paralelismo del Real Decreto-ley 9/2008 con el Real Decreto-ley 13/2009, parcialmente declarado inconstitucional por la STC 150/2012, parece suficiente para sustentar la oportunidad del enjuiciamiento constitucional de las disposiciones controvertidas. A continuación, pasa a identificar el título competencial en el que se fundamenta el citado Real Decreto-ley 9/2008, descartando que quepa ampararlo en los apartados 1, 14 y 18 del art. 149.1 de la Constitución, para terminar concluyendo que el fondo estatal de inversión local es una genuina expresión de la planificación general de la economía, título competencial reconocido en el art. 149.1.13 del Texto Constitucional. Tras recordar la doctrina constitucional recaída al respecto (cita, fundamentalmente, la STC </w:t>
      </w:r>
      <w:r>
        <w:lastRenderedPageBreak/>
        <w:t>13/1992, de 6 de febrero), concluye que el Real Decreto-ley 9/2008 contradice abiertamente el régimen competencial establecido, al atribuir íntegramente a los órganos estatales la tramitación de las subvenciones otorgadas con cargo al fondo estatal de inversión local. Finaliza la Fiscal General del Estado solicitando la estimación de la cuestión, por vulnerarse el art. 149.1.13 de la Constitución, si bien precisando que, al igual que la STC 150/2012, el pronunciamiento de inconstitucionalidad debe tener un carácter meramente declarativo, de modo que no se incida en la situación jurídica concreta que dio lugar al proceso constitucional.</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6 de octubre de 2015 se señaló para deliberación y votación de la presente Sentencia el día 8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presente cuestión de inconstitucionalidad se suscita en relación con los arts. 8 y 10 del Real Decreto-ley 9/2008, de 28 de noviembre, por el que se crean un fondo estatal de inversión local y un fondo especial del estado para la dinamización de la economía y el empleo y se aprueban créditos extraordinarios para atender a su financiación (en adelante, Real Decreto-ley 9/2008), por posible infracción del art. 149.1.13 de la Constitución. Los citados arts. 8 y 10 del Real Decreto-ley 9/2008 atribuyen a órganos del Estado, respectivamente, el control de la correcta aplicación de los recursos obtenidos del Fondo y la tramitación de los expedientes de reintegro de las cantidades no justificadas.</w:t>
      </w:r>
    </w:p>
    <w:p w:rsidR="00AC56D6" w:rsidRDefault="00AC56D6" w:rsidP="00AC56D6">
      <w:pPr>
        <w:pStyle w:val="TextoNormal"/>
      </w:pPr>
    </w:p>
    <w:p w:rsidR="00AC56D6" w:rsidRDefault="00AC56D6" w:rsidP="00AC56D6">
      <w:pPr>
        <w:pStyle w:val="TextoNormal"/>
      </w:pPr>
      <w:r>
        <w:t>La Sección Octava de la Sala de lo Contencioso-Administrativo del Tribunal Superior de Justicia de Madrid considera que tales preceptos son sustancialmente equivalentes a los arts. 5 y 6 del Real Decreto-ley 13/2009, de 26 de octubre, de creación del fondo estatal para el empleo y la sostenibilidad local, que ya fueron declarados inconstitucionales por la STC 150/2012, de 5 de julio. El órgano promotor recuerda que en dicha Sentencia este Tribunal afirmó que el art. 149.1.13 de la Constitución no ampara tal regulación, habida cuenta de que, tratándose de una competencia compartida, deben ser las Comunidades Autónomas quienes asuman, en tanto que actividades ejecutivas, el control financiero de las ayudas concedidas y, en su caso, los expedientes de reintegro. A su juicio, los preceptos cuestionados del Real Decreto-ley 9/2008 incurrirían en esa misma inconstitucionalidad, al otorgar a órganos de la Administración General del Estado las competencias de control y reintegro del fondo estatal de inversión local.</w:t>
      </w:r>
    </w:p>
    <w:p w:rsidR="00AC56D6" w:rsidRDefault="00AC56D6" w:rsidP="00AC56D6">
      <w:pPr>
        <w:pStyle w:val="TextoNormal"/>
      </w:pPr>
    </w:p>
    <w:p w:rsidR="00AC56D6" w:rsidRDefault="00AC56D6" w:rsidP="00AC56D6">
      <w:pPr>
        <w:pStyle w:val="TextoNormal"/>
      </w:pPr>
      <w:r w:rsidRPr="00AC56D6">
        <w:rPr>
          <w:rStyle w:val="NumeroAFNegritaCaracter"/>
        </w:rPr>
        <w:t>2</w:t>
      </w:r>
      <w:r>
        <w:t>. Al examinar esta cuestión es necesario valorar previamente la concurrencia de los requisitos exigidos para el válido planteamiento de la cuestión de inconstitucionalidad, pues nada impide que se pueda apreciar su ausencia en la fase de resolución, esto es, mediante Sentencia, además de hacerlo en el trámite de admisión previsto en el art. 37.1 de la Ley Orgánica del Tribunal Constitucional (SSTC 183/2013, de 23 de octubre, FJ 2; 206/2014, de 15 de diciembre, FJ 2; 10/2015, de 2 de febrero, FJ 2; 79/2015, de 30 de abril, FJ 2; y 110/2015, de 28 de mayo, FJ 3, entre otras).</w:t>
      </w:r>
    </w:p>
    <w:p w:rsidR="00AC56D6" w:rsidRDefault="00AC56D6" w:rsidP="00AC56D6">
      <w:pPr>
        <w:pStyle w:val="TextoNormal"/>
      </w:pPr>
    </w:p>
    <w:p w:rsidR="00AC56D6" w:rsidRDefault="00AC56D6" w:rsidP="00AC56D6">
      <w:pPr>
        <w:pStyle w:val="TextoNormal"/>
      </w:pPr>
      <w:r>
        <w:t xml:space="preserve">Es preciso comenzar recordando, como dijimos en la STC 79/2015, de 30 de abril, FJ 3, que los apartados 1 y 2 del art. 35 de la Ley Orgánica del Tribunal Constitucional (LOTC) exigen, respectivamente, que la norma con rango de ley de la que tenga dudas un Juez o </w:t>
      </w:r>
      <w:r>
        <w:lastRenderedPageBreak/>
        <w:t>Tribunal resulte “aplicable al caso y de cuya validez dependa el fallo” y que el órgano judicial deberá especificar o justificar en el Auto de planteamiento de la cuestión en qué medida la decisión del proceso depende de la validez de la norma de que se trate. En atención a lo expuesto, es exigible que la norma cuestionada supere el llamado juicio de relevancia, que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de 25 de septiembre, FJ 2). De ahí que este Tribunal haya estimado que debe darse una verdadera “dependencia” (STC 189/1991, de 3 de octubre, FJ 2), o un “nexo de subordinación”, entre el fallo del proceso y la validez de la norma cuestionada (STC 157/1990, de 18 de octubre, FJ 1). Así, no basta con que el Tribunal ordinario considere que la norma es aplicable al caso, sino que también ha de satisfacerse el requisito de la relevancia; si bien la aplicabilidad de la norma es condición necesaria para que el fallo dependa de su validez, no es, en modo alguno, condición suficiente (SSTC 17/1981, de 1 de junio, FJ 4; y 156/2014, FJ 2).</w:t>
      </w:r>
    </w:p>
    <w:p w:rsidR="00AC56D6" w:rsidRDefault="00AC56D6" w:rsidP="00AC56D6">
      <w:pPr>
        <w:pStyle w:val="TextoNormal"/>
      </w:pPr>
    </w:p>
    <w:p w:rsidR="00AC56D6" w:rsidRDefault="00AC56D6" w:rsidP="00AC56D6">
      <w:pPr>
        <w:pStyle w:val="TextoNormal"/>
      </w:pPr>
      <w:r>
        <w:t>Asimismo, hemos mantenido que es a los Jueces y Tribunales ordinarios que plantean las cuestiones de inconstitucionalidad a los que corresponde comprobar y exteriorizar dicho juicio de relevancia, sin que este Tribunal pueda “sustituir, rectificar o integrar el criterio de los órganos judiciales proponentes” (por todas, STC 166/2012, de 1 de octubre, FJ 2).</w:t>
      </w:r>
    </w:p>
    <w:p w:rsidR="00AC56D6" w:rsidRDefault="00AC56D6" w:rsidP="00AC56D6">
      <w:pPr>
        <w:pStyle w:val="TextoNormal"/>
      </w:pPr>
    </w:p>
    <w:p w:rsidR="00AC56D6" w:rsidRDefault="00AC56D6" w:rsidP="00AC56D6">
      <w:pPr>
        <w:pStyle w:val="TextoNormal"/>
      </w:pPr>
      <w:r w:rsidRPr="00AC56D6">
        <w:rPr>
          <w:rStyle w:val="NumeroAFNegritaCaracter"/>
        </w:rPr>
        <w:t>3</w:t>
      </w:r>
      <w:r>
        <w:t>. En la cuestión aquí planteada, la Fiscal General del Estado deja constancia de que el órgano judicial implícitamente viene a afirmar que, a su criterio, los preceptos cuya constitucionalidad cuestiona resultan aplicables. Pone de relieve que habría sido deseable un mayor detalle en la explicación de la dependencia del fallo respecto de la validez constitucional de las normas cuestionadas, no obstante lo cual concluye que el citado requisito procesal está suficientemente cumplido.</w:t>
      </w:r>
    </w:p>
    <w:p w:rsidR="00AC56D6" w:rsidRDefault="00AC56D6" w:rsidP="00AC56D6">
      <w:pPr>
        <w:pStyle w:val="TextoNormal"/>
      </w:pPr>
    </w:p>
    <w:p w:rsidR="00AC56D6" w:rsidRDefault="00AC56D6" w:rsidP="00AC56D6">
      <w:pPr>
        <w:pStyle w:val="TextoNormal"/>
      </w:pPr>
      <w:r>
        <w:t xml:space="preserve">Recientemente, la STC 201/2015, de 24 de septiembre, ha tenido ocasión de pronunciarse sobre si cumplía los juicios de aplicabilidad y relevancia un Auto de la misma Sala que planteaba otra cuestión de inconstitucionalidad (la núm. 1796-2015) respecto de los mismos preceptos. Tras descartar que pudieran entenderse convenientemente cumplidos aquellos dos juicios a través de justificaciones meramente “implícitas”, carentes de suficiente argumentación, inadmitió la cuestión por la razón siguiente: “El Auto de planteamiento no va más allá de exponer que los preceptos cuestionados fueron aplicados por los actos administrativos impugnados en el pleito </w:t>
      </w:r>
      <w:r w:rsidRPr="00AC56D6">
        <w:rPr>
          <w:i/>
        </w:rPr>
        <w:t>a quo</w:t>
      </w:r>
      <w:r>
        <w:t>. En estas circunstancias, aunque pudiera admitirse que con ello se justifica la aplicabilidad de los mismos, no es posible reconocer en tal argumento una exteriorización del juicio de relevancia, lo que determina la inadmisión de la presente cuestión de inconstitucionalidad porque el órgano judicial no ha levantado la carga de ‘especificar y justificar’ el juicio de relevancia” (ATC 136/2015, de 21 de julio, FJ 3, citado por la STC 201/2015, FJ 3).</w:t>
      </w:r>
    </w:p>
    <w:p w:rsidR="00AC56D6" w:rsidRDefault="00AC56D6" w:rsidP="00AC56D6">
      <w:pPr>
        <w:pStyle w:val="TextoNormal"/>
      </w:pPr>
    </w:p>
    <w:p w:rsidR="00AC56D6" w:rsidRDefault="00AC56D6" w:rsidP="00AC56D6">
      <w:pPr>
        <w:pStyle w:val="TextoNormal"/>
      </w:pPr>
      <w:r>
        <w:t xml:space="preserve">La presente cuestión de inconstitucionalidad está planteada exactamente en los mismos términos que la inadmitida en la citada Sentencia. Corresponde, en consecuencia, apreciar que el órgano judicial tampoco en este caso ha exteriorizado suficientemente las razones por las que considera que su enjuiciamiento depende de la constitucionalidad de los arts. 8 y 10 del Real Decreto-ley 9/2008 y, con ello, inadmitir la presente cuestión (art. 35.2 </w:t>
      </w:r>
      <w:r>
        <w:lastRenderedPageBreak/>
        <w:t>LOTC), sin que esta inadmisión, al basarse en un motivo estrictamente formal, impida un eventual replanteamiento (entre otros, AATC 120/1997, de 23 de abril, FJ 2, y 195/2010, de 14 de diciembre, FJ 2).</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Inadmitir la presente cuestión de inconstitucionalidad.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ocho de octubre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69" w:name="SENTENCIA_2015_213"/>
      <w:r>
        <w:lastRenderedPageBreak/>
        <w:t>SENTENCIA 213/2015, de 8 de octubre de 2015</w:t>
      </w:r>
    </w:p>
    <w:bookmarkEnd w:id="69"/>
    <w:p w:rsidR="00AC56D6" w:rsidRDefault="00AC56D6" w:rsidP="00AC56D6">
      <w:pPr>
        <w:pStyle w:val="TtuloResolucin"/>
      </w:pPr>
      <w:r>
        <w:t>Pleno</w:t>
      </w:r>
    </w:p>
    <w:p w:rsidR="00AC56D6" w:rsidRDefault="00AC56D6" w:rsidP="00AC56D6">
      <w:pPr>
        <w:pStyle w:val="TtuloBOE"/>
      </w:pPr>
      <w:r>
        <w:t>(BOE núm. 272, de 13 de noviembre de 2015)</w:t>
      </w:r>
    </w:p>
    <w:p w:rsidR="00AC56D6" w:rsidRDefault="00AC56D6" w:rsidP="00AC56D6">
      <w:pPr>
        <w:pStyle w:val="TextoNormalCentrado"/>
      </w:pPr>
      <w:r>
        <w:t>ECLI:ES:TC:2015:213</w:t>
      </w:r>
    </w:p>
    <w:p w:rsidR="00AC56D6" w:rsidRDefault="00AC56D6" w:rsidP="00AC56D6">
      <w:pPr>
        <w:pStyle w:val="TextoNormalCentrado"/>
      </w:pPr>
    </w:p>
    <w:p w:rsidR="00AC56D6" w:rsidRDefault="00AC56D6" w:rsidP="00AC56D6">
      <w:pPr>
        <w:pStyle w:val="SntesisDescriptiva"/>
      </w:pPr>
      <w:r>
        <w:t>Cuestión de inconstitucionalidad 1997-2015. Planteada por la Sala de lo Contencioso-Administrativo del Tribunal Superior de Justicia de Madrid respecto de los artículos 8 y 10 del Real Decreto-ley 9/2008, de 28 de noviembre, por el que se crean un fondo estatal de inversión local y un fondo especial del Estado para la dinamización de la economía y el empleo y se aprueban créditos extraordinarios para atender a su financiación.</w:t>
      </w:r>
    </w:p>
    <w:p w:rsidR="00AC56D6" w:rsidRDefault="00AC56D6" w:rsidP="00AC56D6">
      <w:pPr>
        <w:pStyle w:val="SntesisDescriptiva"/>
      </w:pPr>
    </w:p>
    <w:p w:rsidR="00AC56D6" w:rsidRDefault="00AC56D6" w:rsidP="00AC56D6">
      <w:pPr>
        <w:pStyle w:val="SntesisAnaltica"/>
      </w:pPr>
      <w:r>
        <w:t>Competencias sobre ordenación general de la economía: inadmisión de la cuestión de inconstitucionalidad por inadecuada formulación de los juicios de aplicabilidad y relevancia (STC 201/2015).</w:t>
      </w:r>
    </w:p>
    <w:p w:rsidR="00AC56D6" w:rsidRDefault="00AC56D6" w:rsidP="00AC56D6">
      <w:pPr>
        <w:pStyle w:val="SntesisAnaltica"/>
      </w:pPr>
    </w:p>
    <w:p w:rsidR="00AC56D6" w:rsidRDefault="00AC56D6" w:rsidP="00AC56D6">
      <w:pPr>
        <w:pStyle w:val="Extracto"/>
      </w:pPr>
      <w:r>
        <w:t>1.</w:t>
      </w:r>
      <w:r>
        <w:tab/>
        <w:t>Se inadmite la cuestión debido a que el órgano judicial no justificó suficientemente las razones por las que considera que su enjuiciamiento depende de la constitucionalidad de los preceptos de la norma controvertida (art. 35.2 LOTC), sin que la presente inadmisión, al basarse en un motivo estrictamente formal, impida un eventual replanteamiento (AATC 195/2010, 120/1997) [FJ 3].</w:t>
      </w:r>
    </w:p>
    <w:p w:rsidR="00AC56D6" w:rsidRDefault="00AC56D6" w:rsidP="00AC56D6">
      <w:pPr>
        <w:pStyle w:val="Extracto"/>
      </w:pPr>
    </w:p>
    <w:p w:rsidR="00AC56D6" w:rsidRDefault="00AC56D6" w:rsidP="00AC56D6">
      <w:pPr>
        <w:pStyle w:val="Extracto"/>
      </w:pPr>
      <w:r>
        <w:t>2.</w:t>
      </w:r>
      <w:r>
        <w:tab/>
        <w:t>Asunto sustancialmente idéntico al que dieron lugar el ATC 136/2015 y la STC 201/2015 que se remitían en lo esencial a la doctrina sobre la necesidad de la adecuada formulación del juicio de aplicabilidad y relevancia en el planteamiento de cuestiones de inconstitucionalidad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 xml:space="preserve">En la cuestión de inconstitucionalidad núm. 1997-2015 promovida por la Sección Octava de la Sala de lo Contencioso-Administrativo del Tribunal Superior de Justicia de Madrid, en relación con los arts. 8 y 10 del Real Decreto-ley 9/2008, de 28 de noviembre, por el que se crean un fondo estatal de inversión local y un fondo especial del Estado para la dinamización de la economía y el empleo y se aprueban créditos extraordinarios para atender a su financiación, por posible infracción del art. 149.1.13 CE. Han comparecido y formulado </w:t>
      </w:r>
      <w:r>
        <w:lastRenderedPageBreak/>
        <w:t>alegaciones el Ayuntamiento de Soria —recurrente en el proceso a quo—, el Abogado del Estado y la Fiscal General del Estado. Ha sido Ponente el Magistrado don Antonio Narváez Rodríguez,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registrado en este Tribunal el 9 de abril de 2015, al que se acompaña el correspondiente Auto de 25 de marzo anterior, la Sección Octava de la Sala de lo Contencioso-Administrativo del Tribunal Superior de Justicia de Madrid planteó cuestión de inconstitucionalidad en relación con los arts. 8 y 10 del Real Decreto-ley 9/2008, de 28 de noviembre, por el que se crean un fondo estatal de inversión local y un fondo especial del Estado para la dinamización de la economía y el empleo y se aprueban créditos extraordinarios para atender a su financiación (en adelante, Real Decreto-ley 9/2008), por posible infracción del art. 149.1.13 de la Constitución.</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son los siguientes:</w:t>
      </w:r>
    </w:p>
    <w:p w:rsidR="00AC56D6" w:rsidRDefault="00AC56D6" w:rsidP="00AC56D6">
      <w:pPr>
        <w:pStyle w:val="TextoNormal"/>
      </w:pPr>
    </w:p>
    <w:p w:rsidR="00AC56D6" w:rsidRDefault="00AC56D6" w:rsidP="00AC56D6">
      <w:pPr>
        <w:pStyle w:val="TextoNormal"/>
      </w:pPr>
      <w:r>
        <w:t xml:space="preserve">a) El Ayuntamiento de Soria —recurrente en el proceso </w:t>
      </w:r>
      <w:r w:rsidRPr="00AC56D6">
        <w:rPr>
          <w:i/>
        </w:rPr>
        <w:t>a quo</w:t>
      </w:r>
      <w:r>
        <w:t>— recibió una serie de ayudas para la ejecución del proyecto “Obra de urbanización de viario de zona de equipamiento del polígono industrial Las Casas II 29246” con cargo al fondo estatal de inversión local, creado por el Real Decreto-ley 9/2008.</w:t>
      </w:r>
    </w:p>
    <w:p w:rsidR="00AC56D6" w:rsidRDefault="00AC56D6" w:rsidP="00AC56D6">
      <w:pPr>
        <w:pStyle w:val="TextoNormal"/>
      </w:pPr>
    </w:p>
    <w:p w:rsidR="00AC56D6" w:rsidRDefault="00AC56D6" w:rsidP="00AC56D6">
      <w:pPr>
        <w:pStyle w:val="TextoNormal"/>
      </w:pPr>
      <w:r>
        <w:t>b) A la vista del informe de control financiero de subvenciones y ayudas nacionales elaborado por la Intervención General de la Administración del Estado (Intervención Territorial de Soria), la Dirección General de Coordinación de las Competencias con las Comunidades Autónomas y las entidades locales (Ministerio de Hacienda y Administraciones públicas) acordó iniciar el procedimiento de reintegro regulado en el art. 10 del Real Decreto-ley 9/2008, confiriendo al Ayuntamiento de Soria el correspondiente trámite de alegaciones. Las alegaciones formuladas por el Ayuntamiento fueron desestimadas mediante Resolución de 15 de noviembre de 2012 de la citada Dirección General, por la que se declaraba la existencia de un saldo a favor del tesoro público, por incumplimiento de lo dispuesto en el Real Decreto-ley 9/2008.</w:t>
      </w:r>
    </w:p>
    <w:p w:rsidR="00AC56D6" w:rsidRDefault="00AC56D6" w:rsidP="00AC56D6">
      <w:pPr>
        <w:pStyle w:val="TextoNormal"/>
      </w:pPr>
    </w:p>
    <w:p w:rsidR="00AC56D6" w:rsidRDefault="00AC56D6" w:rsidP="00AC56D6">
      <w:pPr>
        <w:pStyle w:val="TextoNormal"/>
      </w:pPr>
      <w:r>
        <w:t>c) Contra dicha resolución, el Ayuntamiento de Soria interpuso recurso contencioso-administrativo ante la Sala de lo Contencioso-Administrativo del Tribunal Superior de Justicia de Madrid (recurso núm. 71-2013), alegando en la demanda la inconstitucionalidad de los artículos del Real Decreto-ley 9/2008 que habían sido aplicados, a la vista de la STC 150/2012, de 5 de julio, por la que se resolvió el recurso de inconstitucionalidad planteado contra varios preceptos del Real Decreto-ley 13/2009, de 26 de octubre, de creación del fondo estatal para el empleo y la sostenibilidad local (en adelante, Real Decreto-ley 13/2009). El Ayuntamiento demandante solicitó de la Sala el planteamiento de una cuestión de inconstitucionalidad por entender que los artículos aplicados en el procedimiento de reintegro eran equivalentes a los que fueron declarados inconstitucionales por la citada STC 150/2012 e incurrían, por tanto, en el mismo vicio.</w:t>
      </w:r>
    </w:p>
    <w:p w:rsidR="00AC56D6" w:rsidRDefault="00AC56D6" w:rsidP="00AC56D6">
      <w:pPr>
        <w:pStyle w:val="TextoNormal"/>
      </w:pPr>
    </w:p>
    <w:p w:rsidR="00AC56D6" w:rsidRDefault="00AC56D6" w:rsidP="00AC56D6">
      <w:pPr>
        <w:pStyle w:val="TextoNormal"/>
      </w:pPr>
      <w:r>
        <w:lastRenderedPageBreak/>
        <w:t>d) Una vez declarado concluso el procedimiento, mediante providencia de 18 de noviembre de 2014 (completada luego por providencia de 15 de diciembre) se acordó oír a las partes y al Ministerio Fiscal sobre la conveniencia de plantear una cuestión de inconstitucionalidad en relación con los preceptos del Real Decreto-ley 9/2008 objeto de aplicación.</w:t>
      </w:r>
    </w:p>
    <w:p w:rsidR="00AC56D6" w:rsidRDefault="00AC56D6" w:rsidP="00AC56D6">
      <w:pPr>
        <w:pStyle w:val="TextoNormal"/>
      </w:pPr>
    </w:p>
    <w:p w:rsidR="00AC56D6" w:rsidRDefault="00AC56D6" w:rsidP="00AC56D6">
      <w:pPr>
        <w:pStyle w:val="TextoNormal"/>
      </w:pPr>
      <w:r>
        <w:t>e) Por escrito presentado el 15 de diciembre de 2014, el Ayuntamiento recurrente se manifestó a favor del planteamiento de la cuestión, si bien razonaba en primer término que su recurso contencioso-administrativo podría estimarse a partir de las “invocaciones de antijuridicidad ordinaria”, sin necesidad de formular una cuestión de inconstitucionalidad. No obstante, afirmaba que si la Sala consideraba que no cabía estimar su recurso sin despejar el factor de inconstitucionalidad, resultaba procedente su planteamiento. La cuestión tendría fundamento en que el art. 10 del Real Decreto-ley 9/2008 que, a su juicio, era aplicable al caso y relevante para el fallo, venía a ser idéntico al art. 6 del Real Decreto-ley 13/2009, que fue declarado inconstitucional porque el reintegro y su procedimiento de exigencia correspondía a las Comunidades Autónomas, según reiterada doctrina constitucional sobre la distribución de competencias en el ámbito de las subvenciones. Consideraba, por ello, que el art. 10 del Real Decreto-ley 9/2008 era inconstitucional por la misma razón.</w:t>
      </w:r>
    </w:p>
    <w:p w:rsidR="00AC56D6" w:rsidRDefault="00AC56D6" w:rsidP="00AC56D6">
      <w:pPr>
        <w:pStyle w:val="TextoNormal"/>
      </w:pPr>
    </w:p>
    <w:p w:rsidR="00AC56D6" w:rsidRDefault="00AC56D6" w:rsidP="00AC56D6">
      <w:pPr>
        <w:pStyle w:val="TextoNormal"/>
      </w:pPr>
      <w:r>
        <w:t>f) El Abogado del Estado presentó un escrito de alegaciones el 7 de enero de 2015, en el que se oponía al planteamiento de la cuestión. Aducía, en apoyo de su pretensión, que la STC 150/2012 no podía servir de fundamento para la formulación de la cuestión porque se refería a otro Real Decreto-ley y, además, anulaba sólo alguno de sus preceptos. Añadía que el planteamiento de la cuestión en nada variaría la solución correspondiente al fondo del asunto porque aquella Sentencia resolvió sólo la competencia para tramitar los expedientes de reintegro, sin afectar a las ayudas ya concedidas. Por otra parte, a la vista del meridiano incumplimiento de los requisitos de la subvención en el caso concreto examinado, si las autoridades autonómicas tramitasen el expediente de reintegro, llegarían a la misma conclusión que la Administración General del Estado.</w:t>
      </w:r>
    </w:p>
    <w:p w:rsidR="00AC56D6" w:rsidRDefault="00AC56D6" w:rsidP="00AC56D6">
      <w:pPr>
        <w:pStyle w:val="TextoNormal"/>
      </w:pPr>
    </w:p>
    <w:p w:rsidR="00AC56D6" w:rsidRDefault="00AC56D6" w:rsidP="00AC56D6">
      <w:pPr>
        <w:pStyle w:val="TextoNormal"/>
      </w:pPr>
      <w:r>
        <w:t>g) El Ministerio Fiscal formuló alegaciones mediante escrito de 22 de enero de 2015, razonando que el art. 10 del Real Decreto-ley 9/2008 era aplicable al caso y relevante para el fallo, pues se refería al reintegro de la ayuda concedida al Ayuntamiento. No se oponía al planteamiento de la cuestión, a la vista de la STC 150/2012 y de que el contenido del citado art. 10 coincidía con uno de los declarados inconstitucionales en dicho pronunciamiento.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El Auto de promoción de la cuestión señala que los procedimientos de control financiero y reintegro cuya resolución constituye el objeto del proceso </w:t>
      </w:r>
      <w:r w:rsidRPr="00AC56D6">
        <w:rPr>
          <w:i/>
        </w:rPr>
        <w:t>a quo</w:t>
      </w:r>
      <w:r>
        <w:t xml:space="preserve"> se fundan en los preceptos controvertidos: arts. 8 y 10 del Real Decreto-ley 9/2008. Tales preceptos son sustancialmente equivalentes a los arts. 5 y 6 del Real Decreto-ley 13/2009, que fueron declarados inconstitucionales por la STC 150/2012. En dicha Sentencia se consideró que el art. 149.1.13 de la Constitución no ampara la regulación contenida en dichos preceptos, habida cuenta de que deben ser las Comunidades Autónomas quienes establezcan el régimen de gestión, control y resolución de las solicitudes de ayudas, así como el procedimiento de reintegro. Los preceptos aplicados en este procedimiento, a juicio del órgano judicial, incurrirían en el mismo vicio de inconstitucionalidad, al otorgar a órganos de la Administración General del Estado las competencias de control y reintegro de las ayudas en una competencia compartida con las Comunidades Autónomas. El Tribunal proponente considera, en consecuencia, que los arts. 8 y 10 del Real Decreto-ley 9/2008 vulneran el art. 149.1.13 de la </w:t>
      </w:r>
      <w:r>
        <w:lastRenderedPageBreak/>
        <w:t>Constitución, al igual que sucedía con los preceptos equivalentes del Real Decreto-ley 13/2009.</w:t>
      </w:r>
    </w:p>
    <w:p w:rsidR="00AC56D6" w:rsidRDefault="00AC56D6" w:rsidP="00AC56D6">
      <w:pPr>
        <w:pStyle w:val="TextoNormal"/>
      </w:pPr>
    </w:p>
    <w:p w:rsidR="00AC56D6" w:rsidRDefault="00AC56D6" w:rsidP="00AC56D6">
      <w:pPr>
        <w:pStyle w:val="TextoNormal"/>
      </w:pPr>
      <w:r w:rsidRPr="00AC56D6">
        <w:rPr>
          <w:rStyle w:val="NumeroAFNegritaCaracter"/>
        </w:rPr>
        <w:t>4</w:t>
      </w:r>
      <w:r>
        <w:t>. Por providencia de 12 de mayo de 2015, el Pleno de este Tribunal acordó admitir a trámite la presente cuestión de inconstitucionalidad, reservar para sí el conocimiento de la misma conforme al art. 10.1 c) de la Ley Orgánica del Tribunal Constitucional (LOTC) y dar traslado de las actuaciones recibidas al Congreso de los Diputados y al Senado, por conducto de sus Presidentes, al Gobierno, a través del Ministro de Justicia, y a la Fiscalía General del Estado, para que en el improrrogable plazo de quince días pudieran personarse en el procedimiento y formular las alegaciones que estimasen convenientes (art. 37.3 LOTC). Asimismo, se ordenaba, de un lado, comunicar esa resolución al órgano promotor a fin de que, de conformidad con el art. 35.3 LOTC, permaneciese suspendido el proceso hasta que este Tribunal resolviese definitivamente la presente cuestión, y de otro lado, publicar la incoación de la cuestión en el “Boletín Oficial del Estado”, lo que se llevó a efecto en el “BOE” núm. 116, de 15 de mayo de 2015.</w:t>
      </w:r>
    </w:p>
    <w:p w:rsidR="00AC56D6" w:rsidRDefault="00AC56D6" w:rsidP="00AC56D6">
      <w:pPr>
        <w:pStyle w:val="TextoNormal"/>
      </w:pPr>
    </w:p>
    <w:p w:rsidR="00AC56D6" w:rsidRDefault="00AC56D6" w:rsidP="00AC56D6">
      <w:pPr>
        <w:pStyle w:val="TextoNormal"/>
      </w:pPr>
      <w:r w:rsidRPr="00AC56D6">
        <w:rPr>
          <w:rStyle w:val="NumeroAFNegritaCaracter"/>
        </w:rPr>
        <w:t>5</w:t>
      </w:r>
      <w:r>
        <w:t>. Por escrito registrado en este Tribunal el 22 de mayo de 2015, el Presidente del Congreso de los Diputados comunicó el acuerdo de dar por personada en el procedimiento a dicha Cámara y por ofrecida su colaboración a los efectos del art. 88.1 LOTC. Igualmente, por escrito registrado el 27 de mayo se recibió una comunicación del Presidente del Senado por la cual se ponía en conocimiento de este Tribunal que dicha Cámara se daba por personada en el procedimiento y por ofrecida su colaboración a los efectos del citado precepto.</w:t>
      </w:r>
    </w:p>
    <w:p w:rsidR="00AC56D6" w:rsidRDefault="00AC56D6" w:rsidP="00AC56D6">
      <w:pPr>
        <w:pStyle w:val="TextoNormal"/>
      </w:pPr>
    </w:p>
    <w:p w:rsidR="00AC56D6" w:rsidRDefault="00AC56D6" w:rsidP="00AC56D6">
      <w:pPr>
        <w:pStyle w:val="TextoNormal"/>
      </w:pPr>
      <w:r w:rsidRPr="00AC56D6">
        <w:rPr>
          <w:rStyle w:val="NumeroAFNegritaCaracter"/>
        </w:rPr>
        <w:t>6</w:t>
      </w:r>
      <w:r>
        <w:t>. El 29 de mayo de 2015 el Ayuntamiento de Soria presentó un escrito por el que se personaba en el proceso constitucional, solicitando que se entendieran con dicha entidad local las diligencias sucesivas.</w:t>
      </w:r>
    </w:p>
    <w:p w:rsidR="00AC56D6" w:rsidRDefault="00AC56D6" w:rsidP="00AC56D6">
      <w:pPr>
        <w:pStyle w:val="TextoNormal"/>
      </w:pPr>
    </w:p>
    <w:p w:rsidR="00AC56D6" w:rsidRDefault="00AC56D6" w:rsidP="00AC56D6">
      <w:pPr>
        <w:pStyle w:val="TextoNormal"/>
      </w:pPr>
      <w:r w:rsidRPr="00AC56D6">
        <w:rPr>
          <w:rStyle w:val="NumeroAFNegritaCaracter"/>
        </w:rPr>
        <w:t>7</w:t>
      </w:r>
      <w:r>
        <w:t>. El Abogado del Estado presentó un escrito registrado en este Tribunal el 8 de junio de 2015 en el que suplica que se dicte Sentencia por la que se inadmita o, subsidiariamente, se desestime la cuestión planteada. En apoyo de su pretensión, alega, por una parte, que la cuestión no ha tomado una norma de comparación integrante del bloque de la constitucionalidad, sino el contenido del Real Decreto-ley 13/2009, interpretado por la STC 150/2012; por otra, señala que el Auto de planteamiento no identifica la norma atributiva de la competencia autonómica que habría sido vulnerada por el Real Decreto-ley 9/2008.</w:t>
      </w:r>
    </w:p>
    <w:p w:rsidR="00AC56D6" w:rsidRDefault="00AC56D6" w:rsidP="00AC56D6">
      <w:pPr>
        <w:pStyle w:val="TextoNormal"/>
      </w:pPr>
    </w:p>
    <w:p w:rsidR="00AC56D6" w:rsidRDefault="00AC56D6" w:rsidP="00AC56D6">
      <w:pPr>
        <w:pStyle w:val="TextoNormal"/>
      </w:pPr>
      <w:r w:rsidRPr="00AC56D6">
        <w:rPr>
          <w:rStyle w:val="NumeroAFNegritaCaracter"/>
        </w:rPr>
        <w:t>8</w:t>
      </w:r>
      <w:r>
        <w:t xml:space="preserve">. Mediante escrito de 23 de junio de 2015 el Ayuntamiento de Soria presentó alegaciones en las que, remitiéndose a las expuestas en el procedimiento </w:t>
      </w:r>
      <w:r w:rsidRPr="00AC56D6">
        <w:rPr>
          <w:i/>
        </w:rPr>
        <w:t>a quo</w:t>
      </w:r>
      <w:r>
        <w:t>, suplica a este Tribunal que declare la inconstitucionalidad de los artículos 8 y 10 del Real Decreto-ley 9/2008.</w:t>
      </w:r>
    </w:p>
    <w:p w:rsidR="00AC56D6" w:rsidRDefault="00AC56D6" w:rsidP="00AC56D6">
      <w:pPr>
        <w:pStyle w:val="TextoNormal"/>
      </w:pPr>
    </w:p>
    <w:p w:rsidR="00AC56D6" w:rsidRDefault="00AC56D6" w:rsidP="00AC56D6">
      <w:pPr>
        <w:pStyle w:val="TextoNormal"/>
      </w:pPr>
      <w:r w:rsidRPr="00AC56D6">
        <w:rPr>
          <w:rStyle w:val="NumeroAFNegritaCaracter"/>
        </w:rPr>
        <w:t>9</w:t>
      </w:r>
      <w:r>
        <w:t xml:space="preserve">. La Fiscal General del Estado formuló sus alegaciones mediante escrito presentado en este Tribunal el 10 de julio de 2015 en el cual, después de relacionar las circunstancias del caso y transcribir las normas legales cuestionadas, expone, sobre la concurrencia de posibles óbices procesales, que el órgano promotor implícitamente viene a afirmar que, según su criterio, los preceptos cuya constitucionalidad cuestiona resultan aplicables y, aunque la Fiscalía entiende que habría sido deseable un mayor detalle en la explicación de la relevancia de la norma para el fallo del asunto enjuiciado, señala que la validez constitucional de </w:t>
      </w:r>
      <w:r>
        <w:lastRenderedPageBreak/>
        <w:t>las normas cuestionadas aportaría un valor añadido en el enjuiciamiento del supuesto de hecho y, en tal medida, tiene sentido su planteamiento.</w:t>
      </w:r>
    </w:p>
    <w:p w:rsidR="00AC56D6" w:rsidRDefault="00AC56D6" w:rsidP="00AC56D6">
      <w:pPr>
        <w:pStyle w:val="TextoNormal"/>
      </w:pPr>
    </w:p>
    <w:p w:rsidR="00AC56D6" w:rsidRDefault="00AC56D6" w:rsidP="00AC56D6">
      <w:pPr>
        <w:pStyle w:val="TextoNormal"/>
      </w:pPr>
      <w:r>
        <w:t>Considera, en cuanto al fondo, que el paralelismo del Real Decreto-ley 9/2008 con el Real Decreto-ley 13/2009, parcialmente declarado inconstitucional por la STC 150/2012, parece suficiente para sustentar la oportunidad del enjuiciamiento constitucional de las disposiciones controvertidas. A continuación, pasa a identificar el título competencial en el que se fundamenta el citado Real Decreto-ley 9/2008, descartando que quepa ampararlo en los apartados 1, 14 y 18 del art. 149.1 de la Constitución, para terminar concluyendo que el fondo estatal de inversión local es una genuina expresión de la planificación general de la economía, título competencial reconocido en el art. 149.1.13 del texto constitucional. Tras recordar la doctrina constitucional recaída al respecto (cita, fundamentalmente, la STC 13/1992, de 6 de febrero), concluye que el Real Decreto-ley 9/2008 contradice abiertamente el régimen competencial establecido, al atribuir íntegramente a los órganos estatales la tramitación de las subvenciones otorgadas con cargo al fondo estatal de inversión local. Finaliza la Fiscal General del Estado solicitando la estimación de la cuestión, por vulnerarse el art. 149.1.13 de la Constitución, si bien precisando que, al igual que la STC 150/2012, el pronunciamiento de inconstitucionalidad debe tener un carácter meramente declarativo, de modo que no se incida en la situación jurídica concreta que dio lugar al proceso constitucional.</w:t>
      </w:r>
    </w:p>
    <w:p w:rsidR="00AC56D6" w:rsidRDefault="00AC56D6" w:rsidP="00AC56D6">
      <w:pPr>
        <w:pStyle w:val="TextoNormal"/>
      </w:pPr>
    </w:p>
    <w:p w:rsidR="00AC56D6" w:rsidRDefault="00AC56D6" w:rsidP="00AC56D6">
      <w:pPr>
        <w:pStyle w:val="TextoNormal"/>
      </w:pPr>
      <w:r w:rsidRPr="00AC56D6">
        <w:rPr>
          <w:rStyle w:val="NumeroAFNegritaCaracter"/>
        </w:rPr>
        <w:t>10</w:t>
      </w:r>
      <w:r>
        <w:t>. Por providencia de 6 de octubre de 2015, se señaló para deliberación y votación de la presente Sentencia el día 8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presente cuestión de inconstitucionalidad se suscita en relación con los arts. 8 y 10 del Real Decreto-ley 9/2008, de 28 de noviembre, por el que se crean un fondo estatal de inversión local y un fondo especial del Estado para la dinamización de la economía y el empleo y se aprueban créditos extraordinarios para atender a su financiación (en adelante, Real Decreto-ley 9/2008), por posible infracción del art. 149.1.13 de la Constitución. Los citados arts. 8 y 10 del Real Decreto-ley 9/2008 atribuyen a órganos del Estado, respectivamente, el control de la correcta aplicación de los recursos obtenidos del Fondo y la tramitación de los expedientes de reintegro de las cantidades no justificadas.</w:t>
      </w:r>
    </w:p>
    <w:p w:rsidR="00AC56D6" w:rsidRDefault="00AC56D6" w:rsidP="00AC56D6">
      <w:pPr>
        <w:pStyle w:val="TextoNormal"/>
      </w:pPr>
    </w:p>
    <w:p w:rsidR="00AC56D6" w:rsidRDefault="00AC56D6" w:rsidP="00AC56D6">
      <w:pPr>
        <w:pStyle w:val="TextoNormal"/>
      </w:pPr>
      <w:r>
        <w:t>La Sección Octava de la Sala de lo Contencioso-Administrativo del Tribunal Superior de Justicia de Madrid considera que tales preceptos son sustancialmente equivalentes a los arts. 5 y 6 del Real Decreto-ley 13/2009, de 26 de octubre, de creación del fondo estatal para el empleo y la sostenibilidad local, que ya fueron declarados inconstitucionales por la STC 150/2012, de 5 de julio. El órgano promotor recuerda que en dicha Sentencia este Tribunal afirmó que el art. 149.1.13 de la Constitución no ampara tal regulación, habida cuenta de que, tratándose de una competencia compartida, deben ser las Comunidades Autónomas las que asuman, en tanto que actividades ejecutivas, el control financiero de las ayudas concedidas y, en su caso, los expedientes de reintegro. A su juicio, los preceptos cuestionados del Real Decreto-ley 9/2008 incurrirían en esa misma inconstitucionalidad, al otorgar a órganos de la Administración General del Estado las competencias de control y reintegro del fondo estatal de inversión local.</w:t>
      </w:r>
    </w:p>
    <w:p w:rsidR="00AC56D6" w:rsidRDefault="00AC56D6" w:rsidP="00AC56D6">
      <w:pPr>
        <w:pStyle w:val="TextoNormal"/>
      </w:pPr>
    </w:p>
    <w:p w:rsidR="00AC56D6" w:rsidRDefault="00AC56D6" w:rsidP="00AC56D6">
      <w:pPr>
        <w:pStyle w:val="TextoNormal"/>
      </w:pPr>
      <w:r w:rsidRPr="00AC56D6">
        <w:rPr>
          <w:rStyle w:val="NumeroAFNegritaCaracter"/>
        </w:rPr>
        <w:t>2</w:t>
      </w:r>
      <w:r>
        <w:t>. Al examinar esta cuestión es necesario valorar previamente la concurrencia de los requisitos exigidos para el válido planteamiento de la cuestión de inconstitucionalidad, pues nada impide que se pueda apreciar su ausencia en la fase de resolución, esto es, mediante Sentencia, además de hacerlo en el trámite de admisión previsto en el art. 37.1 de la Ley Orgánica del Tribunal Constitucional (SSTC 183/2013, de 23 de octubre, FJ 2; 206/2014, de 15 de diciembre, FJ 2; 10/2015, de 2 de febrero, FJ 2; 79/2015, de 30 de abril, FJ 2; y 110/2015, de 28 de mayo, FJ 3, entre otras).</w:t>
      </w:r>
    </w:p>
    <w:p w:rsidR="00AC56D6" w:rsidRDefault="00AC56D6" w:rsidP="00AC56D6">
      <w:pPr>
        <w:pStyle w:val="TextoNormal"/>
      </w:pPr>
    </w:p>
    <w:p w:rsidR="00AC56D6" w:rsidRDefault="00AC56D6" w:rsidP="00AC56D6">
      <w:pPr>
        <w:pStyle w:val="TextoNormal"/>
      </w:pPr>
      <w:r>
        <w:t>Es preciso comenzar recordando, como dijimos en la STC 79/2015, de 30 de abril, FJ 3, que los apartados 1 y 2 del art. 35 de la Ley Orgánica del Tribunal Constitucional (LOTC) exigen, respectivamente, que la norma con rango de ley de la que tenga dudas un Juez o Tribunal resulte “aplicable al caso y de cuya validez dependa el fallo” y que el órgano judicial deberá especificar o justificar en el Auto de planteamiento de la cuestión en qué medida la decisión del proceso depende de la validez de la norma de que se trate. En atención a lo expuesto, es exigible que la norma cuestionada supere el llamado juicio de relevancia, que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de 25 de septiembre, FJ 2). De ahí que este Tribunal haya estimado que debe darse una verdadera “dependencia” (STC 189/1991, de 3 de octubre, FJ 2), o un “nexo de subordinación”, entre el fallo del proceso y la validez de la norma cuestionada (STC 157/1990, de 18 de octubre, FJ 1). Así, no basta con que el Tribunal ordinario considere que la norma es aplicable al caso, sino que también ha de satisfacerse el requisito de la relevancia; si bien la aplicabilidad de la norma es condición necesaria para que el fallo dependa de su validez, no es, en modo alguno, condición suficiente (SSTC 17/1981, de 1 de junio, FJ 4 y 156/2014, FJ 2).</w:t>
      </w:r>
    </w:p>
    <w:p w:rsidR="00AC56D6" w:rsidRDefault="00AC56D6" w:rsidP="00AC56D6">
      <w:pPr>
        <w:pStyle w:val="TextoNormal"/>
      </w:pPr>
    </w:p>
    <w:p w:rsidR="00AC56D6" w:rsidRDefault="00AC56D6" w:rsidP="00AC56D6">
      <w:pPr>
        <w:pStyle w:val="TextoNormal"/>
      </w:pPr>
      <w:r>
        <w:t>Asimismo, hemos mantenido que es a los Jueces y Tribunales ordinarios que plantean las cuestiones de inconstitucionalidad a los que corresponde comprobar y exteriorizar dicho juicio de relevancia, sin que este Tribunal pueda “sustituir, rectificar o integrar el criterio de los órganos judiciales proponentes” (por todas, STC 166/2012, de 1 de octubre, FJ 2).</w:t>
      </w:r>
    </w:p>
    <w:p w:rsidR="00AC56D6" w:rsidRDefault="00AC56D6" w:rsidP="00AC56D6">
      <w:pPr>
        <w:pStyle w:val="TextoNormal"/>
      </w:pPr>
    </w:p>
    <w:p w:rsidR="00AC56D6" w:rsidRDefault="00AC56D6" w:rsidP="00AC56D6">
      <w:pPr>
        <w:pStyle w:val="TextoNormal"/>
      </w:pPr>
      <w:r w:rsidRPr="00AC56D6">
        <w:rPr>
          <w:rStyle w:val="NumeroAFNegritaCaracter"/>
        </w:rPr>
        <w:t>3</w:t>
      </w:r>
      <w:r>
        <w:t>. En la cuestión aquí planteada, la Fiscal General del Estado deja constancia de que el órgano judicial implícitamente viene a afirmar que, a su criterio, los preceptos cuya constitucionalidad cuestiona resultan aplicables. Pone de relieve que habría sido deseable un mayor detalle en la explicación de la dependencia del fallo respecto de la validez constitucional de las normas cuestionadas, no obstante lo cual concluye que el citado requisito procesal está suficientemente cumplido.</w:t>
      </w:r>
    </w:p>
    <w:p w:rsidR="00AC56D6" w:rsidRDefault="00AC56D6" w:rsidP="00AC56D6">
      <w:pPr>
        <w:pStyle w:val="TextoNormal"/>
      </w:pPr>
    </w:p>
    <w:p w:rsidR="00AC56D6" w:rsidRDefault="00AC56D6" w:rsidP="00AC56D6">
      <w:pPr>
        <w:pStyle w:val="TextoNormal"/>
      </w:pPr>
      <w:r>
        <w:t xml:space="preserve">Sin embargo, en fecha reciente este Tribunal en su STC 201/2015, de 24 de septiembre, ha tenido ocasión de pronunciarse precisamente sobre si cumplía los juicios de aplicabilidad y relevancia un Auto de la misma Sala que planteaba otra cuestión de inconstitucionalidad (la núm. 1796-2015) respecto de los mismos preceptos. Tras descartar que pudieran entenderse convenientemente cumplidos aquellos dos juicios a través de justificaciones meramente “implícitas”, carentes de suficiente argumentación, inadmitió la cuestión por la razón </w:t>
      </w:r>
      <w:r>
        <w:lastRenderedPageBreak/>
        <w:t xml:space="preserve">siguiente: “El Auto de planteamiento no va más allá de exponer que los preceptos cuestionados fueron aplicados por los actos administrativos impugnados en el pleito </w:t>
      </w:r>
      <w:r w:rsidRPr="00AC56D6">
        <w:rPr>
          <w:i/>
        </w:rPr>
        <w:t>a quo</w:t>
      </w:r>
      <w:r>
        <w:t>. En estas circunstancias, aunque pudiera admitirse que con ello se justifica la aplicabilidad de los mismos, no es posible reconocer en tal argumento una exteriorización del juicio de relevancia, lo que determina la inadmisión de la presente cuestión de inconstitucionalidad porque el órgano judicial no ha levantado la carga de ‘especificar y justificar’ el juicio de relevancia” (ATC 136/2015, de 21 de julio, FJ 3, citado por la STC 201/2015, FJ 3).</w:t>
      </w:r>
    </w:p>
    <w:p w:rsidR="00AC56D6" w:rsidRDefault="00AC56D6" w:rsidP="00AC56D6">
      <w:pPr>
        <w:pStyle w:val="TextoNormal"/>
      </w:pPr>
    </w:p>
    <w:p w:rsidR="00AC56D6" w:rsidRDefault="00AC56D6" w:rsidP="00AC56D6">
      <w:pPr>
        <w:pStyle w:val="TextoNormal"/>
      </w:pPr>
      <w:r>
        <w:t>La presente cuestión de inconstitucionalidad está planteada exactamente en los mismos términos que la inadmitida en la citada Sentencia. Corresponde, en consecuencia, apreciar que el órgano judicial tampoco en este caso ha exteriorizado suficientemente las razones por las que considera que su enjuiciamiento depende de la constitucionalidad de los arts. 8 y 10 del Real Decreto-ley 9/2008 y, con ello, inadmitir la presente cuestión (art. 35.2 LOTC).</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Inadmitir la cuestión de inconstitucionalidad núm. 1997-2015, planteada por la Sección Octava de la Sala de lo Contencioso-Administrativo del Tribunal Superior de Justicia de Madrid.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ocho de octubre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70" w:name="SENTENCIA_2015_214"/>
      <w:r>
        <w:lastRenderedPageBreak/>
        <w:t>SENTENCIA 214/2015, de 22 de octubre de 2015</w:t>
      </w:r>
    </w:p>
    <w:bookmarkEnd w:id="70"/>
    <w:p w:rsidR="00AC56D6" w:rsidRDefault="00AC56D6" w:rsidP="00AC56D6">
      <w:pPr>
        <w:pStyle w:val="TtuloResolucin"/>
      </w:pPr>
      <w:r>
        <w:t>Pleno</w:t>
      </w:r>
    </w:p>
    <w:p w:rsidR="00AC56D6" w:rsidRDefault="00AC56D6" w:rsidP="00AC56D6">
      <w:pPr>
        <w:pStyle w:val="TtuloBOE"/>
      </w:pPr>
      <w:r>
        <w:t>(BOE núm. 284, de 27 de noviembre de 2015)</w:t>
      </w:r>
    </w:p>
    <w:p w:rsidR="00AC56D6" w:rsidRDefault="00AC56D6" w:rsidP="00AC56D6">
      <w:pPr>
        <w:pStyle w:val="TextoNormalCentrado"/>
      </w:pPr>
      <w:r>
        <w:t>ECLI:ES:TC:2015:214</w:t>
      </w:r>
    </w:p>
    <w:p w:rsidR="00AC56D6" w:rsidRDefault="00AC56D6" w:rsidP="00AC56D6">
      <w:pPr>
        <w:pStyle w:val="TextoNormalCentrado"/>
      </w:pPr>
    </w:p>
    <w:p w:rsidR="00AC56D6" w:rsidRDefault="00AC56D6" w:rsidP="00AC56D6">
      <w:pPr>
        <w:pStyle w:val="SntesisDescriptiva"/>
      </w:pPr>
      <w:r>
        <w:t>Recurso de inconstitucionalidad 8405-2007. Interpuesto por el Presidente del Gobierno en relación con el artículo 9 de la Ley 3/2007, de 26 de julio, de medidas urgentes de modernización del Gobierno y Administración de la Comunidad de Madrid, que introduce un nuevo primer párrafo en el apartado 3 del artículo 100 de la Ley 16/1995, de 4 de mayo, forestal y de protección de la naturaleza de la Comunidad de Madrid.</w:t>
      </w:r>
    </w:p>
    <w:p w:rsidR="00AC56D6" w:rsidRDefault="00AC56D6" w:rsidP="00AC56D6">
      <w:pPr>
        <w:pStyle w:val="SntesisDescriptiva"/>
      </w:pPr>
    </w:p>
    <w:p w:rsidR="00AC56D6" w:rsidRDefault="00AC56D6" w:rsidP="00AC56D6">
      <w:pPr>
        <w:pStyle w:val="SntesisAnaltica"/>
      </w:pPr>
      <w:r>
        <w:t>Competencias sobre medio ambiente, montes y Administración de justicia: nulidad del precepto legal autonómico que requiere autorización judicial para que los agentes forestales accedan a montes de titularidad privada.</w:t>
      </w:r>
    </w:p>
    <w:p w:rsidR="00AC56D6" w:rsidRDefault="00AC56D6" w:rsidP="00AC56D6">
      <w:pPr>
        <w:pStyle w:val="SntesisAnaltica"/>
      </w:pPr>
    </w:p>
    <w:p w:rsidR="00AC56D6" w:rsidRDefault="00AC56D6" w:rsidP="00AC56D6">
      <w:pPr>
        <w:pStyle w:val="Extracto"/>
      </w:pPr>
      <w:r>
        <w:t>1.</w:t>
      </w:r>
      <w:r>
        <w:tab/>
        <w:t>Se declara la inconstitucionalidad y nulidad de la norma autonómica impugnada que invadió la competencia estatal de dictar la legislación básica sobre montes y aprovechamientos forestales [FJ 6].</w:t>
      </w:r>
    </w:p>
    <w:p w:rsidR="00AC56D6" w:rsidRDefault="00AC56D6" w:rsidP="00AC56D6">
      <w:pPr>
        <w:pStyle w:val="Extracto"/>
      </w:pPr>
    </w:p>
    <w:p w:rsidR="00AC56D6" w:rsidRDefault="00AC56D6" w:rsidP="00AC56D6">
      <w:pPr>
        <w:pStyle w:val="Extracto"/>
      </w:pPr>
      <w:r>
        <w:t>2.</w:t>
      </w:r>
      <w:r>
        <w:tab/>
        <w:t>La exigencia de previa autorización judicial que impone el precepto autonómico impugnado para el acceso de los agentes forestales a montes o terrenos forestales de titularidad privada entra en contradicción con la Ley de montes [FJ 5].</w:t>
      </w:r>
    </w:p>
    <w:p w:rsidR="00AC56D6" w:rsidRDefault="00AC56D6" w:rsidP="00AC56D6">
      <w:pPr>
        <w:pStyle w:val="Extracto"/>
      </w:pPr>
    </w:p>
    <w:p w:rsidR="00AC56D6" w:rsidRDefault="00AC56D6" w:rsidP="00AC56D6">
      <w:pPr>
        <w:pStyle w:val="Extracto"/>
      </w:pPr>
      <w:r>
        <w:t>3.</w:t>
      </w:r>
      <w:r>
        <w:tab/>
        <w:t>La Ley de montes, en cuya virtud los agentes forestales están facultados para entrar sin previo aviso en los montes y terrenos forestales, constituye un legítimo ejercicio por parte del legislador estatal de su competencia para dictar la normativa básica en materia de montes y aprovechamientos forestales, dejando margen suficiente a las Comunidades Autónomas para ejercer su competencia de desarrollo legislativo [FJ 4].</w:t>
      </w:r>
    </w:p>
    <w:p w:rsidR="00AC56D6" w:rsidRDefault="00AC56D6" w:rsidP="00AC56D6">
      <w:pPr>
        <w:pStyle w:val="Extracto"/>
      </w:pPr>
    </w:p>
    <w:p w:rsidR="00AC56D6" w:rsidRDefault="00AC56D6" w:rsidP="00AC56D6">
      <w:pPr>
        <w:pStyle w:val="Extracto"/>
      </w:pPr>
      <w:r>
        <w:t>4.</w:t>
      </w:r>
      <w:r>
        <w:tab/>
        <w:t>Se reitera doctrina sobre la inconstitucionalidad mediata o indirecta para cuya determinación se precisa la concurrencia de dos circunstancias: que la norma estatal infringida por la ley autonómica sea, en el doble sentido material y formal, una norma básica y, por tanto, dictada legítimamente al amparo del correspondiente título competencial que la Constitución haya reservado al Estado; y que la contradicción entre ambas normas, estatal y autonómica, sea efectiva e insalvable por vía interpretativa (SSTC 39/2014, 162/2014) [FJ 2].</w:t>
      </w:r>
    </w:p>
    <w:p w:rsidR="00AC56D6" w:rsidRDefault="00AC56D6" w:rsidP="00AC56D6">
      <w:pPr>
        <w:pStyle w:val="Extracto"/>
      </w:pPr>
    </w:p>
    <w:p w:rsidR="00AC56D6" w:rsidRDefault="00AC56D6" w:rsidP="00AC56D6">
      <w:pPr>
        <w:pStyle w:val="Extracto"/>
      </w:pPr>
      <w:r>
        <w:t>5.</w:t>
      </w:r>
      <w:r>
        <w:tab/>
        <w:t>Para determinar cuál es la materia y, por tanto, el título competencial de referencia es necesario atender tanto a la finalidad como al contenido de la norma o, dicho de otra forma, a las técnicas legislativas utilizadas para alcanzar dicha finalidad (STC 49/2013)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 xml:space="preserve">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w:t>
      </w:r>
      <w:r>
        <w:lastRenderedPageBreak/>
        <w:t>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inconstitucionalidad núm. 8405-2007, interpuesto por el Presidente del Gobierno, representado por el Abogado del Estado, contra el art. 9 de la Ley 3/2007, de 26 de julio, de medidas urgentes de modernización del Gobierno y Administración de la Comunidad de Madrid, que introduce un nuevo primer párrafo en el apartado 3 del art. 100 de la Ley 16/1995, de 4 de mayo, forestal y de protección de la naturaleza de la Comunidad de Madrid. Han intervenido la Asamblea de Madrid, representada por su Secretario General, y el Gobierno de la Comunidad de Madrid, representado por el Letrado de sus servicios jurídicos. Ha sido Ponente el Magistrado don Andrés Ollero Tassara,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29 de octubre de 2007, el Abogado del Estado, en representación del Presidente del Gobierno, interpuso recurso de inconstitucionalidad contra el art. 9 de la Ley 3/2007, de 26 de julio, de medidas urgentes de modernización del Gobierno y Administración de la Comunidad de Madrid, que introduce un nuevo primer párrafo en el apartado 3 del art. 100 de la Ley 16/1995, de 4 de mayo, forestal y de protección de la naturaleza de la Comunidad de Madrid. En el escrito de interposición se invocó expresamente el art. 161.2 CE, a fin de que se produjese la suspensión de la vigencia y aplicación del precepto impugnado.</w:t>
      </w:r>
    </w:p>
    <w:p w:rsidR="00AC56D6" w:rsidRDefault="00AC56D6" w:rsidP="00AC56D6">
      <w:pPr>
        <w:pStyle w:val="TextoNormal"/>
      </w:pPr>
    </w:p>
    <w:p w:rsidR="00AC56D6" w:rsidRDefault="00AC56D6" w:rsidP="00AC56D6">
      <w:pPr>
        <w:pStyle w:val="TextoNormal"/>
      </w:pPr>
      <w:r w:rsidRPr="00AC56D6">
        <w:rPr>
          <w:rStyle w:val="NumeroAFNegritaCaracter"/>
        </w:rPr>
        <w:t>2</w:t>
      </w:r>
      <w:r>
        <w:t>. El recurso se fundamenta en las consideraciones y motivos que se exponen a continuación:</w:t>
      </w:r>
    </w:p>
    <w:p w:rsidR="00AC56D6" w:rsidRDefault="00AC56D6" w:rsidP="00AC56D6">
      <w:pPr>
        <w:pStyle w:val="TextoNormal"/>
      </w:pPr>
    </w:p>
    <w:p w:rsidR="00AC56D6" w:rsidRDefault="00AC56D6" w:rsidP="00AC56D6">
      <w:pPr>
        <w:pStyle w:val="TextoNormal"/>
      </w:pPr>
      <w:r>
        <w:t>a) El precepto impugnado pertenece a la Ley 3/2007 de la Comunidad de Madrid que, según indica su preámbulo, tiene como fin lograr que el Gobierno y la Administración de esa Comunidad Autónoma presten un mejor servicio a los intereses generales, especialmente en lo relativo al principio de eficacia, al que se refiere el art. 103.1 CE. En concreto, el artículo 9 recurrido está contenido en el capítulo IV de dicha Ley, que tiene por rúbrica “Aplicación del principio de seguridad jurídica en la actividad administrativa”, y dispone la modificación del apartado tercero del art. 100 de la Ley 16/1995, de 4 de mayo, forestal y de protección de la naturaleza de la Comunidad de Madrid, en el que inserta un nuevo primer párrafo.</w:t>
      </w:r>
    </w:p>
    <w:p w:rsidR="00AC56D6" w:rsidRDefault="00AC56D6" w:rsidP="00AC56D6">
      <w:pPr>
        <w:pStyle w:val="TextoNormal"/>
      </w:pPr>
    </w:p>
    <w:p w:rsidR="00AC56D6" w:rsidRDefault="00AC56D6" w:rsidP="00AC56D6">
      <w:pPr>
        <w:pStyle w:val="TextoNormal"/>
      </w:pPr>
      <w:r>
        <w:t>La nueva redacción del apartado tercero del art. 100 de la Ley de la Comunidad de Madrid 16/1995, tras ser reformada por la Ley 3/2007, es la siguiente:</w:t>
      </w:r>
    </w:p>
    <w:p w:rsidR="00AC56D6" w:rsidRDefault="00AC56D6" w:rsidP="00AC56D6">
      <w:pPr>
        <w:pStyle w:val="TextoNormal"/>
      </w:pPr>
    </w:p>
    <w:p w:rsidR="00AC56D6" w:rsidRDefault="00AC56D6" w:rsidP="00AC56D6">
      <w:pPr>
        <w:pStyle w:val="TextoNormal"/>
      </w:pPr>
      <w:r>
        <w:lastRenderedPageBreak/>
        <w:t>“3. Los Agentes Forestales requerirán de autorización judicial para acceder a montes o terrenos forestales de titularidad privada, salvo que el acceso se produzca con ocasión de la extinción de incendios forestales.</w:t>
      </w:r>
    </w:p>
    <w:p w:rsidR="00AC56D6" w:rsidRDefault="00AC56D6" w:rsidP="00AC56D6">
      <w:pPr>
        <w:pStyle w:val="TextoNormal"/>
      </w:pPr>
    </w:p>
    <w:p w:rsidR="00AC56D6" w:rsidRDefault="00AC56D6" w:rsidP="00AC56D6">
      <w:pPr>
        <w:pStyle w:val="TextoNormal"/>
      </w:pPr>
      <w:r>
        <w:t>Los Agentes Forestales tendrán la consideración de Agentes de la Autoridad, y podrán acceder a los montes o terrenos forestales con independencia de quien sea su titular. A los efectos de los correspondientes procedimientos para las imposiciones de sanciones, los hechos constatados por este personal que se formalicen en la correspondiente acta tendrán valor probatorio, sin perjuicio de las pruebas [que] en defensa de sus derechos o intereses puedan señalar o aportar los interesados.”</w:t>
      </w:r>
    </w:p>
    <w:p w:rsidR="00AC56D6" w:rsidRDefault="00AC56D6" w:rsidP="00AC56D6">
      <w:pPr>
        <w:pStyle w:val="TextoNormal"/>
      </w:pPr>
    </w:p>
    <w:p w:rsidR="00AC56D6" w:rsidRDefault="00AC56D6" w:rsidP="00AC56D6">
      <w:pPr>
        <w:pStyle w:val="TextoNormal"/>
      </w:pPr>
      <w:r>
        <w:t>El párrafo segundo mantiene la redacción originaria, de modo que puede entenderse que la novedad de la reforma consiste en matizar o limitar las potestades de acceso de los agentes forestales a montes y terrenos forestales de titularidad privada, con excepción del supuesto de acceso para la extinción de incendios forestales, único caso en el que no necesitarán la autorización judicial que ahora se requiere. Según el Abogado de Estado, el nuevo contenido introducido en el art. 100 de la Ley de la Comunidad de Madrid 16/1995 es inconstitucional en la medida en que incide en las competencias estatales reconocidas en el art. 149.1.5 y 23 CE y es contrario a lo establecido por el Estado en la Ley 43/2003, de 21 de noviembre, de montes. Entra en pugna, por tanto, con la legislación básica estatal y no respeta el marco de distribución de competencias entre el Estado y las Comunidades Autónomas.</w:t>
      </w:r>
    </w:p>
    <w:p w:rsidR="00AC56D6" w:rsidRDefault="00AC56D6" w:rsidP="00AC56D6">
      <w:pPr>
        <w:pStyle w:val="TextoNormal"/>
      </w:pPr>
    </w:p>
    <w:p w:rsidR="00AC56D6" w:rsidRDefault="00AC56D6" w:rsidP="00AC56D6">
      <w:pPr>
        <w:pStyle w:val="TextoNormal"/>
      </w:pPr>
      <w:r>
        <w:t>b) El recurso dedica la primera parte de la fundamentación a repasar el marco normativo en materia de montes, aprovechamientos forestales y policía forestal. El precepto capital es el art. 149.1.23 CE, que atribuye al Estado la competencia exclusiva en materia de “legislación básica sobre protección del medio ambiente, sin perjuicio de las facultades de las Comunidades Autónomas de establecer normas adicionales de protección”, así como “la legislación básica sobre montes, aprovechamientos forestales y vías pecuarias”. La Ley de montes 43/2003, dictada al amparo de esta competencia, además de deslindar en detalle las competencias de la Administración del Estado y de las Comunidades Autónomas en materia de montes y aprovechamientos forestales, establece la legislación básica sobre policía y guarda forestal. El artículo 6 q) incluye la definición de agente forestal y el artículo 58 se refiere a las funciones y facultades de esta policía administrativa forestal, entre las que se encuentra la de “entrar libremente en cualquier momento y sin previo aviso en los lugares sujetos a inspección y a permanecer en ellos, con respeto, en todo caso, a la inviolabilidad del domicilio” [art. 58.3 a)].</w:t>
      </w:r>
    </w:p>
    <w:p w:rsidR="00AC56D6" w:rsidRDefault="00AC56D6" w:rsidP="00AC56D6">
      <w:pPr>
        <w:pStyle w:val="TextoNormal"/>
      </w:pPr>
    </w:p>
    <w:p w:rsidR="00AC56D6" w:rsidRDefault="00AC56D6" w:rsidP="00AC56D6">
      <w:pPr>
        <w:pStyle w:val="TextoNormal"/>
      </w:pPr>
      <w:r>
        <w:t>Respecto de las Comunidades Autónomas, el art. 148.1.8 CE les permite asumir competencia en la materia “montes y aprovechamientos forestales”. De acuerdo con esta previsión, el Estatuto de Autonomía de la Comunidad de Madrid (EAM) dispone en su art. 27 que “en el marco de la legislación básica del Estado y, en su caso, en los términos que la misma establezca, corresponde a la Comunidad de Madrid el desarrollo legislativo, la potestad reglamentaria y la ejecución de las siguientes materias: … 3. Régimen de los montes y aprovechamientos forestales, con especial referencia a los montes vecinales en mano común, montes comunales, vías pecuarias y pastos … 7. Protección del medio ambiente, sin perjuicio de la facultad de la Comunidad de Madrid de establecer normas adicionales de protección …”. En el ejercicio de estas competencias se aprobó la Ley 16/1995, forestal y de protección de la naturaleza de la Comunidad de Madrid.</w:t>
      </w:r>
    </w:p>
    <w:p w:rsidR="00AC56D6" w:rsidRDefault="00AC56D6" w:rsidP="00AC56D6">
      <w:pPr>
        <w:pStyle w:val="TextoNormal"/>
      </w:pPr>
    </w:p>
    <w:p w:rsidR="00AC56D6" w:rsidRDefault="00AC56D6" w:rsidP="00AC56D6">
      <w:pPr>
        <w:pStyle w:val="TextoNormal"/>
      </w:pPr>
      <w:r>
        <w:t>Considera el Abogado del Estado que el apartado 3 del art. 100 de la citada Ley de la Comunidad de Madrid 16/1995, en la redacción dada por el art. 9 de la Ley 3/2007, contradice la normativa básica estatal reguladora de las facultades de la policía forestal, al restringir estas facultades para la policía forestal autonómica, lo que supone una vulneración de la distribución constitucional de competencias reconocida en el art. 149.1.23 CE.</w:t>
      </w:r>
    </w:p>
    <w:p w:rsidR="00AC56D6" w:rsidRDefault="00AC56D6" w:rsidP="00AC56D6">
      <w:pPr>
        <w:pStyle w:val="TextoNormal"/>
      </w:pPr>
    </w:p>
    <w:p w:rsidR="00AC56D6" w:rsidRDefault="00AC56D6" w:rsidP="00AC56D6">
      <w:pPr>
        <w:pStyle w:val="TextoNormal"/>
      </w:pPr>
      <w:r>
        <w:t>c) Para justificar la alegación de vulneración del art. 149.1.23 CE, el Abogado del Estado se refiere a continuación a la doctrina de este Tribunal sobre distribución de competencias en materia de medio ambiente y sobre montes. Se detiene en particular en las decisiones orientadas a clarificar lo que implica la atribución al Estado de la competencia exclusiva de la legislación básica en estas materias. Se refiere al respecto a distintas sentencias (cita expresamente las SSTC 170/1989, de 19 de octubre, y 102/1995, de 26 de junio) en las que se afirma que la legislación básica posee la característica técnica de normas mínimas de protección, que permiten “normas adicionales” o un plus de protección. Según esto, la legislación básica del Estado no cumple una función de uniformidad relativa, sino de ordenación mediante mínimos; estos han de respetarse, pero permiten que las Comunidades Autónomas con competencias en la materia establezcan niveles de protección más altos, que no entrarían en contradicción con la normativa básica del Estado. En todo caso, esta, como ha reiterado este Tribunal, para tener tal consideración debe cumplir con unos requisitos de orden formal y material, que actúan como condiciones de constitucionalidad. La Ley 43/2003, de montes, cumple con los citados requisitos. En cuanto a los de carácter formal, se trata de una ley que se califica expresamente de básica y que invoca el título competencial del art. 149.1.23 CE. En cuanto a los requisitos materiales, la Ley 43/2003, de montes, establece unas normas mínimas que garantizan la conservación y preservación del patrimonio forestal y medioambiental; las Comunidades Autónomas podrán, respetando esta normativa básica y mínima, adoptar medidas que mejoren o amplíen los niveles de protección, aunque no aprobar medidas que perjudiquen el nivel de protección establecido en la legislación estatal.</w:t>
      </w:r>
    </w:p>
    <w:p w:rsidR="00AC56D6" w:rsidRDefault="00AC56D6" w:rsidP="00AC56D6">
      <w:pPr>
        <w:pStyle w:val="TextoNormal"/>
      </w:pPr>
    </w:p>
    <w:p w:rsidR="00AC56D6" w:rsidRDefault="00AC56D6" w:rsidP="00AC56D6">
      <w:pPr>
        <w:pStyle w:val="TextoNormal"/>
      </w:pPr>
      <w:r>
        <w:t>Sostiene el Abogado del Estado que la modificación introducida por el art. 9 de la Ley de la Comunidad de Madrid 3/2007 en el art. 100.3 de la Ley 16/1995 supone restringir o limitar las facultades de entrada o acceso a los montes de los agentes forestales en esta Comunidad Autónoma, frente a las que reconoce la legislación estatal. Esta dispone, como antes se ha recordado, que pueden acceder libremente a los lugares que precisen para el correcto desempeño de sus funciones, con la única limitación del respeto a la inviolabilidad del domicilio. La exigencia de previa autorización judicial que introduce la normativa autonómica implica un aparente mayor garantismo que ni la Constitución ni la Ley estatal exigen; en la práctica, ralentiza y dificulta la labor a realizar por los agentes forestales en la Comunidad de Madrid, obstaculizando o haciendo imposible el ejercicio de sus tareas de prevención, vigilancia y protección medioambiental. Se trataría por tanto de una medida que en modo alguno puede verse como refuerzo o mejora de la legislación básica estatal, sino que entra en franca contradicción con esta, de lo que concluye el Abogado del Estado que se produce la lesión del art. 149.1.23 CE.</w:t>
      </w:r>
    </w:p>
    <w:p w:rsidR="00AC56D6" w:rsidRDefault="00AC56D6" w:rsidP="00AC56D6">
      <w:pPr>
        <w:pStyle w:val="TextoNormal"/>
      </w:pPr>
    </w:p>
    <w:p w:rsidR="00AC56D6" w:rsidRDefault="00AC56D6" w:rsidP="00AC56D6">
      <w:pPr>
        <w:pStyle w:val="TextoNormal"/>
      </w:pPr>
      <w:r>
        <w:t xml:space="preserve">Tampoco sería distinta la conclusión, según el Abogado del Estado, si la novedad introducida por la Ley autonómica impugnada se examinara desde la perspectiva de la mejora de la garantía de la inviolabilidad de domicilio, a la que se refiere la norma básica estatal. Según establece el art. 58 de la Ley 43/2003, de montes, los agentes forestales han de actuar </w:t>
      </w:r>
      <w:r>
        <w:lastRenderedPageBreak/>
        <w:t>con pleno respeto a la inviolabilidad de domicilio en el ejercicio de sus facultades de entrada y acceso. Sin embargo, por la propia naturaleza de sus funciones (policía, inspección, vigilancia y control del medio natural, de los montes y del medio ambiente) lo normal es que la mayor parte de ellas se desarrollen en espacios abiertos, sean estos de titularidad pública o privada, siendo limitadas las ocasiones en las que su actividad puede entrar en conflicto con la inviolabilidad de domicilio. De ahí que el requisito de autorización judicial de entrada para acceso a montes o terrenos forestales de titularidad privada, que establece la Ley madrileña impugnada, se considere restrictivo e injustificado. El concepto constitucional de domicilio no coincide ni es correlativo con el concepto de “montes o terrenos de titularidad privada”; entre otras cosas, porque ni hay una correlación entre “domicilio” y “propiedad privada”, ni puede calificarse de domicilio un monte o terreno forestal en cuanto espacio abierto. En apoyo de esta conclusión, el Abogado del Estado recuerda la doctrina constitucional a propósito de la noción de domicilio a efectos de la garantía constitucional de inviolabilidad (art. 18.2 CE); cita, entre otras, la STC 10/2002, de 17 de enero, en la que se afirma que el derecho fundamental a la inviolabilidad de domicilio “no puede confundirse con la protección de propiedad de los inmuebles ni de otras titularidades reales u obligacionales relativas a dichos bienes que puedan otorgar una facultad de exclusión de los terceros”.</w:t>
      </w:r>
    </w:p>
    <w:p w:rsidR="00AC56D6" w:rsidRDefault="00AC56D6" w:rsidP="00AC56D6">
      <w:pPr>
        <w:pStyle w:val="TextoNormal"/>
      </w:pPr>
    </w:p>
    <w:p w:rsidR="00AC56D6" w:rsidRDefault="00AC56D6" w:rsidP="00AC56D6">
      <w:pPr>
        <w:pStyle w:val="TextoNormal"/>
      </w:pPr>
      <w:r>
        <w:t>d) El segundo de los motivos de inconstitucionalidad aducidos es el relativo a la vulneración del art. 149.1.5 CE. En el recurso se expone cómo se ha acogido en la jurisprudencia constitucional la distinción entre “Administración de Justicia” en sentido amplio y en sentido estricto, para circunscribir el ámbito en el que las Comunidades Autónomas pueden asumir competencias. Según esta delimitación, el Estado tiene una competencia exclusiva, inaccesible para las Comunidades Autónomas, en lo relativo al ejercicio de la función jurisdiccional y al autogobierno del Poder Judicial. Corresponde, por tanto, al Estado en exclusiva la regulación de las funciones que hayan de desempeñar Jueces y Magistrados, titulares del Poder Judicial; incluso si se trata de funciones gubernativas, distintas de la jurisdiccional, como afirmó el Tribunal Constitucional en las SSTC 150/1998 y 127/1999. En ejercicio de esta competencia exclusiva, el art. 91.2 de la Ley Orgánica del Poder Judicial establece que corresponde a los Juzgados de lo Contencioso-Administrativo autorizar la entrada a domicilios y restantes edificios o lugares cuyo acceso requiera el consentimiento del titular, “cuando ello proceda para la ejecución forzosa de actos de la Administración”; disposición que se reitera en el art. 8.6 de la Ley reguladora de la jurisdicción contencioso-administrativa. Más allá de esta previsión general, otras leyes estatales contienen regulación específica a propósito de la exigencia de autorización judicial de entrada en relación con actuaciones de la Administración (el escrito del recurso se refiere al art. 51 de la Ley de expropiación forzosa y a la disposición adicional séptima de la Ley 15/2007, de defensa de la competencia). De lo anterior se desprende que los supuestos de exigencia de autorización judicial previa para la entrada en domicilio y otros lugares son regulados por el Estado mediante ley, en la medida en que suponen la atribución a los órganos judiciales de funciones relacionadas con la protección de derechos fundamentales, incardinándose en el núcleo esencial de la materia “Administración de Justicia”, competencia exclusiva del Estado.</w:t>
      </w:r>
    </w:p>
    <w:p w:rsidR="00AC56D6" w:rsidRDefault="00AC56D6" w:rsidP="00AC56D6">
      <w:pPr>
        <w:pStyle w:val="TextoNormal"/>
      </w:pPr>
    </w:p>
    <w:p w:rsidR="00AC56D6" w:rsidRDefault="00AC56D6" w:rsidP="00AC56D6">
      <w:pPr>
        <w:pStyle w:val="TextoNormal"/>
      </w:pPr>
      <w:r>
        <w:t xml:space="preserve">Atendido lo anterior, el Abogado del Estado concluye que, puesto que la Comunidad Autónoma de Madrid carece de competencia para la regulación de un supuesto nuevo de autorización de entrada, no previsto ni regulado en la ley estatal, el art. 9 de la Ley 3/2007, en la medida en que atribuye a los órganos judiciales la nueva función de autorizar el acceso </w:t>
      </w:r>
      <w:r>
        <w:lastRenderedPageBreak/>
        <w:t>de los agentes forestales a los montes y terrenos forestales de titularidad privada en esta Comunidad Autónoma, es inconstitucional por vulnerar el art. 149.1.5 CE.</w:t>
      </w:r>
    </w:p>
    <w:p w:rsidR="00AC56D6" w:rsidRDefault="00AC56D6" w:rsidP="00AC56D6">
      <w:pPr>
        <w:pStyle w:val="TextoNormal"/>
      </w:pPr>
    </w:p>
    <w:p w:rsidR="00AC56D6" w:rsidRDefault="00AC56D6" w:rsidP="00AC56D6">
      <w:pPr>
        <w:pStyle w:val="TextoNormal"/>
      </w:pPr>
      <w:r w:rsidRPr="00AC56D6">
        <w:rPr>
          <w:rStyle w:val="NumeroAFNegritaCaracter"/>
        </w:rPr>
        <w:t>3</w:t>
      </w:r>
      <w:r>
        <w:t>. Por providencia de 20 de noviembre de 2007, el Pleno, a propuesta de la Sección Cuarta, acordó admitir a trámite el recurso de inconstitucionalidad y, conforme establece el art. 34 de la Ley Orgánica del Tribunal Constitucional (LOTC), dar traslado de la demanda para personación y alegaciones al Congreso de los Diputados y al Senado, así como al Gobierno y a la Asamblea de la Comunidad de Madrid. Asimismo acordó tener por invocado por el Presidente del Gobierno el art. 161.2 de la Constitución a los efectos de la suspensión de la vigencia del artículo impugnado. También se ordenó publicar la incoación del recurso en el “Boletín Oficial del Estado” y en el “Boletín Oficial de la Comunidad de Madrid”.</w:t>
      </w:r>
    </w:p>
    <w:p w:rsidR="00AC56D6" w:rsidRDefault="00AC56D6" w:rsidP="00AC56D6">
      <w:pPr>
        <w:pStyle w:val="TextoNormal"/>
      </w:pPr>
    </w:p>
    <w:p w:rsidR="00AC56D6" w:rsidRDefault="00AC56D6" w:rsidP="00AC56D6">
      <w:pPr>
        <w:pStyle w:val="TextoNormal"/>
      </w:pPr>
      <w:r w:rsidRPr="00AC56D6">
        <w:rPr>
          <w:rStyle w:val="NumeroAFNegritaCaracter"/>
        </w:rPr>
        <w:t>4</w:t>
      </w:r>
      <w:r>
        <w:t>. Mediante escrito registrado en este Tribunal el 29 de noviembre de 2007, el Presidente del Congreso de los Diputados comunicó el acuerdo de la Mesa de la Cámara de personarse en el procedimiento y ofrecer su colaboración a los efectos del art. 88.1 LOTC. Lo mismo hizo el Presidente del Senado, por escrito que tuvo entrada en este Tribunal el 5 de diciembre del mismo año.</w:t>
      </w:r>
    </w:p>
    <w:p w:rsidR="00AC56D6" w:rsidRDefault="00AC56D6" w:rsidP="00AC56D6">
      <w:pPr>
        <w:pStyle w:val="TextoNormal"/>
      </w:pPr>
    </w:p>
    <w:p w:rsidR="00AC56D6" w:rsidRDefault="00AC56D6" w:rsidP="00AC56D6">
      <w:pPr>
        <w:pStyle w:val="TextoNormal"/>
      </w:pPr>
      <w:r w:rsidRPr="00AC56D6">
        <w:rPr>
          <w:rStyle w:val="NumeroAFNegritaCaracter"/>
        </w:rPr>
        <w:t>5</w:t>
      </w:r>
      <w:r>
        <w:t>. Por escrito registrado en este Tribunal el 14 de diciembre de 2007, el Secretario General de la Asamblea de Madrid, en representación de la Cámara, se personó en el procedimiento y formuló alegaciones solicitando la desestimación del recurso de inconstitucionalidad.</w:t>
      </w:r>
    </w:p>
    <w:p w:rsidR="00AC56D6" w:rsidRDefault="00AC56D6" w:rsidP="00AC56D6">
      <w:pPr>
        <w:pStyle w:val="TextoNormal"/>
      </w:pPr>
    </w:p>
    <w:p w:rsidR="00AC56D6" w:rsidRDefault="00AC56D6" w:rsidP="00AC56D6">
      <w:pPr>
        <w:pStyle w:val="TextoNormal"/>
      </w:pPr>
      <w:r>
        <w:t xml:space="preserve">Frente al primer bloque de argumentos de la Abogacía del Estado, que sostiene la vulneración del art. 149.1.23 CE por razón de la contradicción entre el art. 100 de la Ley de la Comunidad de Madrid 16/1995 (redactado según el art. 9 de la Ley 3/2007) y lo dispuesto en el art. 58.3 de la Ley estatal de montes, el representante de la Asamblea de Madrid opone que la regulación estatal tomada como parámetro no cumple con los requisitos establecidos por la doctrina constitucional para la legislación básica. A su juicio, la presentación que el Abogado del Estado hace de la distribución competencial no es correcta; se basaría en una determinación de los títulos competenciales inexacta por incompleta, ya que ignora otros títulos también implicados que resultan relevantes a los efectos de la interpretación del alcance de lo básico en relación con la regulación cuestionada. La norma estatal se dicta al amparo del art. 149.1.23 CE, pero, como se advierte en la disposición final segunda de la Ley 43/2003, de montes, también interviene el art. 149.1.18 CE en aspectos específicos. En cuanto a los títulos competenciales autonómicos, además de los mencionados por el Abogado del Estado (art. 27, apartados 3 y 7 EAM), tienen asimismo relevancia los recogidos en los arts. 27.9 (protección de los ecosistemas en los que se desarrolla la pesca, acuicultura y caza. Espacios naturales protegidos) y 26.1.9 (pesca fluvial y lacustre, acuicultura y caza); estos introducen modulaciones en el alcance de la competencia autonómica que no pueden ser obviadas (así, la caza es de competencia exclusiva autonómica). Discrepa también de la interpretación que hace el Abogado del Estado, en relación con la materia de medio ambiente, del alcance de la competencia autonómica a través de la regulación de formas adicionales de protección. Sostiene el representante de la Asamblea de Madrid que esta es una cláusula que permite a las Comunidades Autónomas alterar la legislación básica estatal y que no determina el sentido y el contenido de la legislación de desarrollo que, siempre que respete el marco reservado al Estado, podrá aumentar el nivel de la protección ambiental; o </w:t>
      </w:r>
      <w:r>
        <w:lastRenderedPageBreak/>
        <w:t>bien, por consideración a otros factores relevantes, establecer cautelas o previsiones que ponderen consideraciones de carácter económico o, como es el caso presente, de seguridad jurídica. Por tanto, sería posible una legislación de desarrollo que no buscase necesariamente la protección adicional, siempre que quedaran a salvo los elementos mínimos de protección que han de considerarse básicos.</w:t>
      </w:r>
    </w:p>
    <w:p w:rsidR="00AC56D6" w:rsidRDefault="00AC56D6" w:rsidP="00AC56D6">
      <w:pPr>
        <w:pStyle w:val="TextoNormal"/>
      </w:pPr>
    </w:p>
    <w:p w:rsidR="00AC56D6" w:rsidRDefault="00AC56D6" w:rsidP="00AC56D6">
      <w:pPr>
        <w:pStyle w:val="TextoNormal"/>
      </w:pPr>
      <w:r>
        <w:t>Se refiere a continuación a los criterios generales fijados por la doctrina constitucional para la caracterización de las bases en sentido material. Destaca que, fijado el común denominador, la legislación básica no debe dejar sin contenido las competencias autonómicas. De lo que resulta que el art. 58.3 a) de Ley de montes que se quiere emplear como canon de constitucionalidad impone un modo específico de ejercicio de las competencias autonómicas de ejecución (en concreto, el ejercicio de las facultades de policía, inspección, prevención y protección del monte y de los aprovechamientos agrícolas y forestales), de manera tal que hace prácticamente imposible para la Comunidad de Madrid establecer modulaciones acordes con sus circunstancias. Lo exhaustivo de la descripción estatal de las tareas de los agentes forestales resulta todavía más llamativo si se confronta con la regulación estatal de similares aspectos en otros sectores de la actividad administrativa (menciona al respecto la regulación sobre agentes medioambientales de los organismos de cuenca). Concluye, en suma, que en su redacción actual el art. 58.3 a) de Ley de montes no sirve como parámetro de constitucionalidad, por cuanto resulta excesivo como norma básica y no permite ningún razonable desarrollo por la Comunidad Autónoma.</w:t>
      </w:r>
    </w:p>
    <w:p w:rsidR="00AC56D6" w:rsidRDefault="00AC56D6" w:rsidP="00AC56D6">
      <w:pPr>
        <w:pStyle w:val="TextoNormal"/>
      </w:pPr>
    </w:p>
    <w:p w:rsidR="00AC56D6" w:rsidRDefault="00AC56D6" w:rsidP="00AC56D6">
      <w:pPr>
        <w:pStyle w:val="TextoNormal"/>
      </w:pPr>
      <w:r>
        <w:t xml:space="preserve">Establecido lo anterior, considera esta representación que es necesario mencionar otros títulos que amparan la potestad de la Comunidad de Madrid para regular la exigencia de autorización judicial para la entrada en montes de propiedad privada. A este respecto, se refiere en primer término a la competencia exclusiva de la Comunidad respecto del procedimiento administrativo derivado de las especialidades de la organización propia, prevista en el art. 26.1.3 EAM, como proyección de la autonomía de organización reconocida en el art. 26.1.1 EAM; ha de ejercerse de conformidad con la competencia del Estado </w:t>
      </w:r>
      <w:r w:rsidRPr="00AC56D6">
        <w:rPr>
          <w:i/>
        </w:rPr>
        <w:t>ex</w:t>
      </w:r>
      <w:r>
        <w:t xml:space="preserve"> art. 149.1.18 CE en relación con la regulación del procedimiento administrativo común. Con cita abundante de doctrina constitucional, recuerda que, respetadas las normas de procedimiento establecidas por el Estado en el ámbito de sus competencias, la Comunidad Autónoma la tiene para aprobar las normas de procedimiento destinadas a ejecutar la competencia legislativa propia sobre una materia, ya que la Constitución no reserva en exclusiva al Estado la regulación de los procedimientos administrativos </w:t>
      </w:r>
      <w:r w:rsidRPr="00AC56D6">
        <w:rPr>
          <w:i/>
        </w:rPr>
        <w:t>ratione materiae</w:t>
      </w:r>
      <w:r>
        <w:t>. No sólo esto, sino que, como también confirma la jurisprudencia constitucional, a falta de atribuciones normativas (menciona el caso de la materia de expropiación forzosa), a las Comunidades Autónomas se les ha reconocido capacidad para regular el ejercicio de su competencia de ejecución, al amparo de su capacidad de autoorganización (STC 251/2006). Todo esto llevaría a concluir que la competencia exclusiva de la Comunidad de Madrid para regular las especialidades procedimentales de la actuación de sus agentes forestales en el ejercicio de la policía de montes no está completamente limitada por la normativa estatal que, por otra parte, no es unívoca en relación con el régimen del acceso a espacios de titularidad privada. La concurrencia de títulos competenciales (desarrollo legislativo y ejecución ambientales, desarrollo legislativo y ejecución en materia de montes, y legislación y ejecución del procedimiento administrativo derivado de las especialidades de la organización propia) ofrece, a juicio de esa parte procesal, fundamento suficiente para adoptar este régimen de protección de la propiedad privada.</w:t>
      </w:r>
    </w:p>
    <w:p w:rsidR="00AC56D6" w:rsidRDefault="00AC56D6" w:rsidP="00AC56D6">
      <w:pPr>
        <w:pStyle w:val="TextoNormal"/>
      </w:pPr>
    </w:p>
    <w:p w:rsidR="00AC56D6" w:rsidRDefault="00AC56D6" w:rsidP="00AC56D6">
      <w:pPr>
        <w:pStyle w:val="TextoNormal"/>
      </w:pPr>
      <w:r>
        <w:t>Se precisa a continuación que es este el derecho que pretende salvaguardarse con la autorización judicial prevista, no el de inviolabilidad de domicilio, que ya cuenta con cauces constitucionales suficientes para su protección. La exigencia de un previo control jurisdiccional que determine la necesidad de entrada administrativa en una propiedad privada constituye una medida que facilita la ponderación entre los intereses en juego (generales y de protección de los derechos individuales), sin menoscabo de la eficacia de la actuación de los agentes forestales que, por otra parte, no han de solicitar autorización en caso de urgencia, como sería un incendio.</w:t>
      </w:r>
    </w:p>
    <w:p w:rsidR="00AC56D6" w:rsidRDefault="00AC56D6" w:rsidP="00AC56D6">
      <w:pPr>
        <w:pStyle w:val="TextoNormal"/>
      </w:pPr>
    </w:p>
    <w:p w:rsidR="00AC56D6" w:rsidRDefault="00AC56D6" w:rsidP="00AC56D6">
      <w:pPr>
        <w:pStyle w:val="TextoNormal"/>
      </w:pPr>
      <w:r>
        <w:t>Termina este primer bloque de alegaciones, relativo a la impugnación por vulneración del art. 149.1.23 CE, con una observación a propósito de la errada concepción que considera se trasluce en el recurso a propósito del alcance de la garantía prevista en el art. 18.2 CE, que la demanda parece reducir estrictamente a lo que la jurisprudencia constitucional ha definido como domicilio. Partiendo de la premisa de que el legislador puede interpretar la Constitución, se sostiene que no existe una prohibición de que el legislador extienda las garantías previstas en el art. 18.2 CE a espacios que no constituyen necesariamente domicilio, respetando, en todo caso, las garantías de aquel.</w:t>
      </w:r>
    </w:p>
    <w:p w:rsidR="00AC56D6" w:rsidRDefault="00AC56D6" w:rsidP="00AC56D6">
      <w:pPr>
        <w:pStyle w:val="TextoNormal"/>
      </w:pPr>
    </w:p>
    <w:p w:rsidR="00AC56D6" w:rsidRDefault="00AC56D6" w:rsidP="00AC56D6">
      <w:pPr>
        <w:pStyle w:val="TextoNormal"/>
      </w:pPr>
      <w:r>
        <w:t>En cuanto a la segunda impugnación del recurso, fundada en la vulneración de la competencia exclusiva del Estado en materia de Administración de Justicia (art. 149.1.5 CE), se alega, en primer lugar, que la doctrina constitucional invocada por el Abogado del Estado para respaldar la impugnación (SSTC 150/1998 y 127/1999) no es aplicable al caso, pues se refiere a supuestos en los que el legislador autonómico disponía sobre la participación de miembros del Poder Judicial en órganos administrativos para el ejercicio de competencias no judiciales; lo que no sucede en el presente supuesto. La Ley madrileña 3/2007 no determina cuál ha de ser el juez que haya de conceder la autorización y tampoco establece una función que exceda de las ordinarias de la potestad jurisdiccional según la Constitución y la Ley Orgánica del Poder Judicial. Lo único que hace el legislador autonómico es ejercer su legítima opción de requerir a la Administración autonómica (agentes forestales, en este caso) para que, en garantía de la propiedad privada, recabe del órgano judicial correspondiente una autorización mediante Auto, en los términos regulados por la Constitución y la ley, de manera análoga a como se dispone por la Administración general del Estado para la actuación de sus agentes en algunos casos (se cita como ejemplo el supuesto regulado en el art. 40 de la Ley de defensa de la competencia). Concluye que el precepto recurrido simplemente procura “una protección reforzada de un derecho constitucional del ciudadano, en sus relaciones con la Administración autonómica de Madrid”.</w:t>
      </w:r>
    </w:p>
    <w:p w:rsidR="00AC56D6" w:rsidRDefault="00AC56D6" w:rsidP="00AC56D6">
      <w:pPr>
        <w:pStyle w:val="TextoNormal"/>
      </w:pPr>
    </w:p>
    <w:p w:rsidR="00AC56D6" w:rsidRDefault="00AC56D6" w:rsidP="00AC56D6">
      <w:pPr>
        <w:pStyle w:val="TextoNormal"/>
      </w:pPr>
      <w:r w:rsidRPr="00AC56D6">
        <w:rPr>
          <w:rStyle w:val="NumeroAFNegritaCaracter"/>
        </w:rPr>
        <w:t>6</w:t>
      </w:r>
      <w:r>
        <w:t>. El Letrado de la Comunidad de Madrid, en nombre y representación del Gobierno de la Comunidad, se personó en el proceso y formuló sus alegaciones mediante escrito registrado en este Tribunal el 17 de diciembre de 2007.</w:t>
      </w:r>
    </w:p>
    <w:p w:rsidR="00AC56D6" w:rsidRDefault="00AC56D6" w:rsidP="00AC56D6">
      <w:pPr>
        <w:pStyle w:val="TextoNormal"/>
      </w:pPr>
    </w:p>
    <w:p w:rsidR="00AC56D6" w:rsidRDefault="00AC56D6" w:rsidP="00AC56D6">
      <w:pPr>
        <w:pStyle w:val="TextoNormal"/>
      </w:pPr>
      <w:r>
        <w:t>Comienza su escrito precisando el objeto del recurso y refiriéndose a las dos impugnaciones de distinto carácter que se dirigen contra la modificación introducida por la Ley madrileña 3/2007 en el art. 100.3 de la Ley 16/1995, forestal y de protección de la naturaleza. Se refiere también, como el representante de la Asamblea de Madrid, a los requisitos que ha de cumplir la legislación básica para poder servir como canon de constitucionalidad de la legislación autonómica de desarrollo.</w:t>
      </w:r>
    </w:p>
    <w:p w:rsidR="00AC56D6" w:rsidRDefault="00AC56D6" w:rsidP="00AC56D6">
      <w:pPr>
        <w:pStyle w:val="TextoNormal"/>
      </w:pPr>
    </w:p>
    <w:p w:rsidR="00AC56D6" w:rsidRDefault="00AC56D6" w:rsidP="00AC56D6">
      <w:pPr>
        <w:pStyle w:val="TextoNormal"/>
      </w:pPr>
      <w:r>
        <w:t>A continuación se refiere a la justificación del precepto impugnado, que no es otra que la de cohonestar la protección del medio ambiente con el principio de seguridad jurídica, la inviolabilidad del domicilio (junto a la del derecho fundamental a la intimidad personal y familiar) y el derecho a la propiedad privada. Se detiene a continuación en el examen de la jurisprudencia constitucional sobre el contenido del derecho de propiedad y su función social; pone en conexión los criterios que resultan de esta doctrina con los intereses y finalidades perseguidos por el legislador autonómico a la hora de regular la protección de los montes y terrenos forestales de titularidad privada en la Comunidad de Madrid.</w:t>
      </w:r>
    </w:p>
    <w:p w:rsidR="00AC56D6" w:rsidRDefault="00AC56D6" w:rsidP="00AC56D6">
      <w:pPr>
        <w:pStyle w:val="TextoNormal"/>
      </w:pPr>
    </w:p>
    <w:p w:rsidR="00AC56D6" w:rsidRDefault="00AC56D6" w:rsidP="00AC56D6">
      <w:pPr>
        <w:pStyle w:val="TextoNormal"/>
      </w:pPr>
      <w:r>
        <w:t>Seguidamente, a partir de una exégesis de la jurisprudencia constitucional y europea recaída en materia de protección del domicilio, sostiene la tesis de que nada obsta para que los montes o terrenos de titularidad privada puedan insertarse dentro del concepto de domicilio. Constituirían un ámbito apto para el desarrollo de la vida privada, consustancial a la noción de domicilio, sin que importe la intensidad, habitualidad o periodicidad del uso privado del espacio. Siguiendo la jurisprudencia del Tribunal Europeo de Derechos Humanos, que considera que el concepto de domicilio no depende de una clasificación en virtud de la legislación interna, entiende el Letrado de la Comunidad de Madrid que “no se puede negar que los montes o terrenos forestales de titularidad privada constituyen en la mayoría de los casos domicilio”, un concepto que no depende de la ley, sino que es abierto y flexible, a determinar en cada caso y que “por esa razón exige la previa autorización judicial”.</w:t>
      </w:r>
    </w:p>
    <w:p w:rsidR="00AC56D6" w:rsidRDefault="00AC56D6" w:rsidP="00AC56D6">
      <w:pPr>
        <w:pStyle w:val="TextoNormal"/>
      </w:pPr>
    </w:p>
    <w:p w:rsidR="00AC56D6" w:rsidRDefault="00AC56D6" w:rsidP="00AC56D6">
      <w:pPr>
        <w:pStyle w:val="TextoNormal"/>
      </w:pPr>
      <w:r>
        <w:t xml:space="preserve">Expone a continuación los argumentos dirigidos a rechazar la pretendida vulneración del art. 149.1.23 CE. Al igual que el representante de la Asamblea, afirma que el art. 58.3 de la Ley estatal de montes no cumple los requisitos para ser considerado como norma básica desde el punto de vista material, ya que por su grado de detalle agota la competencia autonómica. Frente a lo que se sostiene en la demanda, resulta que a la vista de su contenido es errado identificar este precepto estatal como una norma básica en materia de protección medioambiental, a lo que añade que tampoco podría considerarse como norma básica del procedimiento común (en virtud de la competencia del Estado </w:t>
      </w:r>
      <w:r w:rsidRPr="00AC56D6">
        <w:rPr>
          <w:i/>
        </w:rPr>
        <w:t>ex</w:t>
      </w:r>
      <w:r>
        <w:t xml:space="preserve"> art. 149.1.18 CE), por su carácter sectorial. Afirma que los problemas de encuadre competencial de la regulación que afecta a las funciones y facultades de los agentes forestales son en buena medida sobrevenidos; se presentan al hilo de reformas de la Ley estatal de montes, en particular la operada en el año 2006. En su redacción anterior, la regulación relativa a la función de policía forestal era mínima y contenía una genérica remisión a la “normativa propia”, de modo que el cambio de regulación e intervención en esta materia del legislador estatal resulta a todas luces llamativo. En todo caso, pese a los argumentos de la demanda, entiende que cabe una interpretación armonizada del art. 58.3 de la Ley estatal de montes y el art. 100.3 de la Ley forestal y de protección de la naturaleza de la Comunidad de Madrid. Llama la atención al respecto sobre lo que dispone el art. 117 de esta Ley en el capítulo de procedimiento, que prevé que los agentes forestales accedan libremente a los terrenos en los que ejercen vigilancia; vuelve sobre la tesis anteriormente expuesta, según la cual es posible asociar la exigencia de autorización judicial para los casos de montes privados con la garantía de la inviolabilidad de domicilio.</w:t>
      </w:r>
    </w:p>
    <w:p w:rsidR="00AC56D6" w:rsidRDefault="00AC56D6" w:rsidP="00AC56D6">
      <w:pPr>
        <w:pStyle w:val="TextoNormal"/>
      </w:pPr>
    </w:p>
    <w:p w:rsidR="00AC56D6" w:rsidRDefault="00AC56D6" w:rsidP="00AC56D6">
      <w:pPr>
        <w:pStyle w:val="TextoNormal"/>
      </w:pPr>
      <w:r>
        <w:t xml:space="preserve">Finalmente expone las razones que conducirían a descartar la vulneración del art. 149.1.5 CE. A juicio del Letrado de la Comunidad de Madrid, el legislador autonómico no invade </w:t>
      </w:r>
      <w:r>
        <w:lastRenderedPageBreak/>
        <w:t>la competencia estatal en materia de Administración de Justicia, puesto que no regula ninguna función judicial nueva; se limita, en el ejercicio de sus competencias en materia de procedimiento administrativo, a prever la aplicación de un mecanismo de garantía diseñado y regulado en el ordenamiento estatal. El recurso a este mecanismo, como viene diciendo, va de la mano de la concreción del concepto constitucional de domicilio por el legislador de que se trate, autonómico o estatal, cada uno en su ámbito de competencias. El límite a esta concreción, sostiene, es de mínimos; según esto, el concepto constitucional de domicilio acepta ampliación por ley, pero no reducción.</w:t>
      </w:r>
    </w:p>
    <w:p w:rsidR="00AC56D6" w:rsidRDefault="00AC56D6" w:rsidP="00AC56D6">
      <w:pPr>
        <w:pStyle w:val="TextoNormal"/>
      </w:pPr>
    </w:p>
    <w:p w:rsidR="00AC56D6" w:rsidRDefault="00AC56D6" w:rsidP="00AC56D6">
      <w:pPr>
        <w:pStyle w:val="TextoNormal"/>
      </w:pPr>
      <w:r w:rsidRPr="00AC56D6">
        <w:rPr>
          <w:rStyle w:val="NumeroAFNegritaCaracter"/>
        </w:rPr>
        <w:t>7</w:t>
      </w:r>
      <w:r>
        <w:t>. Próximo a finalizar el plazo de cinco meses que señala el art. 161.2 CE desde que se produjo la suspensión del precepto impugnado, por providencia de 15 de febrero de 2008, el Pleno acordó oír a las partes personadas para que, en el plazo de cinco días, expusieran lo que considerasen conveniente acerca del mantenimiento o levantamiento de dicha suspensión. Tras oír a las partes, el Tribunal acordó, mediante ATC 88/2008, de 2 de abril, mantener la suspensión de la disposición legal recurrida.</w:t>
      </w:r>
    </w:p>
    <w:p w:rsidR="00AC56D6" w:rsidRDefault="00AC56D6" w:rsidP="00AC56D6">
      <w:pPr>
        <w:pStyle w:val="TextoNormal"/>
      </w:pPr>
    </w:p>
    <w:p w:rsidR="00AC56D6" w:rsidRDefault="00AC56D6" w:rsidP="00AC56D6">
      <w:pPr>
        <w:pStyle w:val="TextoNormal"/>
      </w:pPr>
      <w:r w:rsidRPr="00AC56D6">
        <w:rPr>
          <w:rStyle w:val="NumeroAFNegritaCaracter"/>
        </w:rPr>
        <w:t>8</w:t>
      </w:r>
      <w:r>
        <w:t>. Mediante providencia de 20 de octubre de 2015, se señaló para deliberación y votación de la presente Sentencia el día 22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presente recurso de inconstitucionalidad se dirige contra el art. 9 de la Ley de la Comunidad de Madrid 3/2007, de 26 de julio, de medidas urgentes de modernización del Gobierno y Administración de la Comunidad de Madrid. Introduce en el apartado tercero del art. 100 de la Ley 16/1995, de 4 de mayo, forestal y de protección de la naturaleza de la Comunidad de Madrid, un nuevo primer párrafo, pasando a convertirse el anterior en segundo. El texto añadido dice:</w:t>
      </w:r>
    </w:p>
    <w:p w:rsidR="00AC56D6" w:rsidRDefault="00AC56D6" w:rsidP="00AC56D6">
      <w:pPr>
        <w:pStyle w:val="TextoNormal"/>
      </w:pPr>
    </w:p>
    <w:p w:rsidR="00AC56D6" w:rsidRDefault="00AC56D6" w:rsidP="00AC56D6">
      <w:pPr>
        <w:pStyle w:val="TextoNormal"/>
      </w:pPr>
      <w:r>
        <w:t>“Los Agentes Forestales requerirán de autorización judicial para acceder a montes o terrenos forestales de titularidad privada, salvo que el acceso se produzca con ocasión de la extinción de incendios forestales.”</w:t>
      </w:r>
    </w:p>
    <w:p w:rsidR="00AC56D6" w:rsidRDefault="00AC56D6" w:rsidP="00AC56D6">
      <w:pPr>
        <w:pStyle w:val="TextoNormal"/>
      </w:pPr>
    </w:p>
    <w:p w:rsidR="00AC56D6" w:rsidRDefault="00AC56D6" w:rsidP="00AC56D6">
      <w:pPr>
        <w:pStyle w:val="TextoNormal"/>
      </w:pPr>
      <w:r>
        <w:t>Según el Abogado del Estado, en esta nueva redacción, la norma autonómica impugnada entra en conflicto con lo previsto en la legislación básica: Ley 43/2003, de 21 de noviembre, de montes, en la redacción dada por el artículo único de la Ley 10/2006, de 28 de abril. Expresamente faculta a los funcionarios encargados de la policía administrativa forestal a “entrar libremente en cualquier momento y sin previo aviso en los lugares sujetos a inspección y a permanecer en ellos, con respeto, en todo caso, a la inviolabilidad del domicilio” [art. 58.3 a)]. Estima, en consecuencia, que el precepto resulta contrario al orden constitucional de competencias por vulnerar el art. 149.1.23 CE, que atribuye al Estado la legislación básica sobre protección del medio ambiente, así como sobre montes y aprovechamientos forestales. Considera que, en la medida en que la norma introduce un nuevo supuesto de exigencia de autorización judicial de entrada al margen de lo previsto en la legislación estatal, invade además la competencia sobre Administración de Justicia que el art. 149.1.5 CE atribuye al Estado en exclusiva y resulta, también por este motivo, inconstitucional.</w:t>
      </w:r>
    </w:p>
    <w:p w:rsidR="00AC56D6" w:rsidRDefault="00AC56D6" w:rsidP="00AC56D6">
      <w:pPr>
        <w:pStyle w:val="TextoNormal"/>
      </w:pPr>
    </w:p>
    <w:p w:rsidR="00AC56D6" w:rsidRDefault="00AC56D6" w:rsidP="00AC56D6">
      <w:pPr>
        <w:pStyle w:val="TextoNormal"/>
      </w:pPr>
      <w:r>
        <w:lastRenderedPageBreak/>
        <w:t>Tanto la Asamblea como el Gobierno de la Comunidad de Madrid defienden la plena constitucionalidad del precepto impugnado. Rechazan la interpretación que el Abogado del Estado hace del alcance de la competencia autonómica y consideran errada la identificación del precepto recurrido como una norma básica en materia de protección medioambiental. Sostienen que la norma autonómica introduce una garantía adicional por razones de seguridad jurídica; respeta pues el orden constitucional de distribución de competencias y no afecta al ejercicio por el Estado de las que le corresponden. En este sentido, ambas representaciones coinciden en calificar de excesiva la pretensión reguladora de la Ley estatal de montes cuando impone un modo específico de ejercicio de las competencias autonómicas (en relación con las funciones de policía, inspección, prevención y protección del monte y de los aprovechamientos agrícolas y forestales) sin dejar espacio para que la Comunidad Autónoma pueda adaptarlas a sus circunstancias y regular algunos aspectos del procedimiento. El art. 58.3 a) de la Ley estatal de montes no podría considerarse como norma materialmente básica, pues su contenido resulta excesivo, al impedir al legislador autonómico cualquier tipo de desarrollo razonable. En consecuencia, no podría oponerse como parámetro de constitucionalidad a la norma autonómica impugnada, lo que conduce a descartar la pretendida vulneración de la competencia estatal del art. 149.1.23 CE. En cuanto a la alegada vulneración de la competencia del Estado sobre la Administración de Justicia (art. 149.1.5 CE), las representaciones del legislativo y el ejecutivo autonómicos sostienen, sobre la base de argumentos no totalmente coincidentes, que requerir de los agentes forestales, funcionarios de la Administración autonómica, que recaben la correspondiente autorización judicial para acceder a montes y terrenos forestales de titularidad privada, no supone ni la creación de una función judicial nueva, ni una atribución extraordinaria de competencias a los Jueces y Tribunales más allá de lo previsto en la Constitución y la Ley Orgánica del Poder Judicial.</w:t>
      </w:r>
    </w:p>
    <w:p w:rsidR="00AC56D6" w:rsidRDefault="00AC56D6" w:rsidP="00AC56D6">
      <w:pPr>
        <w:pStyle w:val="TextoNormal"/>
      </w:pPr>
    </w:p>
    <w:p w:rsidR="00AC56D6" w:rsidRDefault="00AC56D6" w:rsidP="00AC56D6">
      <w:pPr>
        <w:pStyle w:val="TextoNormal"/>
      </w:pPr>
      <w:r w:rsidRPr="00AC56D6">
        <w:rPr>
          <w:rStyle w:val="NumeroAFNegritaCaracter"/>
        </w:rPr>
        <w:t>2</w:t>
      </w:r>
      <w:r>
        <w:t>. Como se recoge en el relato de antecedentes de la presente Sentencia, la motivación del recurso de inconstitucionalidad está organizada en dos bloques argumentales referidos a las dos impugnaciones que le sirven de fundamento. La motivación más extensa, que se desarrolla en primer lugar, es la relativa a la denuncia de inconstitucionalidad mediata o indirecta, derivada de la discrepancia entre lo dispuesto por la norma autonómica y lo establecido en la regulación básica estatal a propósito de las facultades de la policía administrativa forestal. También las alegaciones presentadas por la Asamblea y por el Gobierno de la Comunidad de Madrid, siguiendo la estructura del recurso, se ocupan en primer término y con mayor extensión de rebatir esta impugnación. Comenzaremos, pues, por el examen de esta tacha de inconstitucionalidad.</w:t>
      </w:r>
    </w:p>
    <w:p w:rsidR="00AC56D6" w:rsidRDefault="00AC56D6" w:rsidP="00AC56D6">
      <w:pPr>
        <w:pStyle w:val="TextoNormal"/>
      </w:pPr>
    </w:p>
    <w:p w:rsidR="00AC56D6" w:rsidRDefault="00AC56D6" w:rsidP="00AC56D6">
      <w:pPr>
        <w:pStyle w:val="TextoNormal"/>
      </w:pPr>
      <w:r>
        <w:t>Como ha quedado expuesto, se alega por el Abogado del Estado que el art. 9 de la Ley de la Comunidad de Madrid 3/2007, de 26 de julio, que introduce un nuevo primer párrafo en el apartado tercero del art. 100 de la Ley 16/1995, de 4 de mayo, forestal y de protección de la naturaleza de la Comunidad de Madrid, conforme al cual los agentes forestales requerirán de autorización judicial para acceder a montes o terrenos forestales de titularidad privada en dicha Comunidad Autónoma (salvo que el acceso se produzca con ocasión de la extinción de incendios forestales), incurre en un supuesto de inconstitucionalidad mediata o indirecta, por vulneración de la legislación básica dictada al amparo de la competencia estatal en materia de medio ambiente y de montes y aprovechamientos forestales (art. 149.1.23 CE).</w:t>
      </w:r>
    </w:p>
    <w:p w:rsidR="00AC56D6" w:rsidRDefault="00AC56D6" w:rsidP="00AC56D6">
      <w:pPr>
        <w:pStyle w:val="TextoNormal"/>
      </w:pPr>
    </w:p>
    <w:p w:rsidR="00AC56D6" w:rsidRDefault="00AC56D6" w:rsidP="00AC56D6">
      <w:pPr>
        <w:pStyle w:val="TextoNormal"/>
      </w:pPr>
      <w:r>
        <w:lastRenderedPageBreak/>
        <w:t>En relación con la inconstitucionalidad mediata o indirecta, este Tribunal ha venido elaborando una consolidada doctrina: “para que dicha infracción constitucional exista será necesaria la concurrencia de dos circunstancias: que la norma estatal infringida por la ley autonómica sea, en el doble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 (por todas, SSTC 39/2014, de 11 de marzo, FJ 3, y 162/2014, de 7 de octubre, FJ 3).</w:t>
      </w:r>
    </w:p>
    <w:p w:rsidR="00AC56D6" w:rsidRDefault="00AC56D6" w:rsidP="00AC56D6">
      <w:pPr>
        <w:pStyle w:val="TextoNormal"/>
      </w:pPr>
    </w:p>
    <w:p w:rsidR="00AC56D6" w:rsidRDefault="00AC56D6" w:rsidP="00AC56D6">
      <w:pPr>
        <w:pStyle w:val="TextoNormal"/>
      </w:pPr>
      <w:r>
        <w:t>En consecuencia, habremos de comprobar en primer lugar la condición básica de la norma estatal con la que se pone en contraste la norma autonómica impugnada, en este caso el art. 58.3 a) de la Ley 43/2003, de 21 de noviembre, de montes (en la redacción dada por el apartado 34 del art. único de la Ley 10/2006, de 28 de abril). A su tenor los funcionarios que desempeñen funciones de policía administrativa forestal, por atribución legal o por delegación, tienen la condición de agentes de la autoridad y están facultados para “entrar libremente en cualquier momento y sin previo aviso en los lugares sujetos a inspección y a permanecer en ellos, con respeto, en todo caso, a la inviolabilidad del domicilio. Al efectuar una visita de inspección, deberán comunicar su presencia a la persona inspeccionada o a su representante, a menos que consideren que dicha comunicación pueda perjudicar el éxito de sus funciones”. Conviene advertir que este concreto punto del art. 58 de la Ley 43/2003, de montes, no se ha visto afectado por la reforma introducida en ella por la reciente Ley 21/2015, de 20 de julio.</w:t>
      </w:r>
    </w:p>
    <w:p w:rsidR="00AC56D6" w:rsidRDefault="00AC56D6" w:rsidP="00AC56D6">
      <w:pPr>
        <w:pStyle w:val="TextoNormal"/>
      </w:pPr>
    </w:p>
    <w:p w:rsidR="00AC56D6" w:rsidRDefault="00AC56D6" w:rsidP="00AC56D6">
      <w:pPr>
        <w:pStyle w:val="TextoNormal"/>
      </w:pPr>
      <w:r w:rsidRPr="00AC56D6">
        <w:rPr>
          <w:rStyle w:val="NumeroAFNegritaCaracter"/>
        </w:rPr>
        <w:t>3</w:t>
      </w:r>
      <w:r>
        <w:t>. No cabe duda de que la normativa estatal reseñada es básica en sentido formal, pues se aprueba mediante una ley que expresamente le atribuye tal carácter. El apartado 1 de la disposición final segunda de la Ley 43/2003, de montes, determina: “esta Ley se dicta al amparo de lo dispuesto en el artículo 149.1.23 de la Constitución y tiene, por tanto, carácter básico (legislación básica sobre montes, aprovechamientos forestales y protección del medio ambiente), sin perjuicio de lo dispuesto en los dos apartados siguientes”; estos se refieren a otros títulos competenciales, amparados por determinados preceptos de la Ley de montes y que no afectan al presente recurso.</w:t>
      </w:r>
    </w:p>
    <w:p w:rsidR="00AC56D6" w:rsidRDefault="00AC56D6" w:rsidP="00AC56D6">
      <w:pPr>
        <w:pStyle w:val="TextoNormal"/>
      </w:pPr>
    </w:p>
    <w:p w:rsidR="00AC56D6" w:rsidRDefault="00AC56D6" w:rsidP="00AC56D6">
      <w:pPr>
        <w:pStyle w:val="TextoNormal"/>
      </w:pPr>
      <w:r>
        <w:t xml:space="preserve">Para dilucidar si el art. 58.3 a) de la Ley 43/2003, de montes, tiene, además, la condición de norma básica en sentido material (condición que le niegan los representantes procesales de la Asamblea y el Gobierno de la Comunidad de Madrid, como se ha visto), es preciso tener en cuenta que el art. 149.1.23 CE atribuye al Estado la competencia exclusiva sobre dos ámbitos diferenciados, aunque estrechamente conectados entre sí. Por una parte, la legislación básica sobre protección del medio ambiente, sin perjuicio de las facultades de las Comunidades Autónomas de establecer normas adicionales de protección; por otra, la legislación básica sobre montes y aprovechamientos forestales y vías pecuarias. La interacción entre ambos títulos competenciales aparece reflejada tanto en la exposición de motivos de la Ley 43/2003, de montes, como en su objeto y principios inspiradores (artículos 1 y 3) y, particularmente, en su artículo 4, que establece la función social de los montes en los siguientes términos: “Los montes, independientemente de su titularidad, desempeñan una función social relevante, tanto como fuente de recursos naturales como por ser proveedores de múltiples servicios ambientales, entre ellos, de protección del suelo y del ciclo hidrológico; de fijación del carbono atmosférico; de depósito de la diversidad biológica y como elementos fundamentales del paisaje. El reconocimiento de estos recursos y externalidades, </w:t>
      </w:r>
      <w:r>
        <w:lastRenderedPageBreak/>
        <w:t>de los que toda la sociedad se beneficia, obliga a las Administraciones públicas a velar en todos los casos por su conservación, protección, restauración, mejora y ordenado aprovechamiento.”</w:t>
      </w:r>
    </w:p>
    <w:p w:rsidR="00AC56D6" w:rsidRDefault="00AC56D6" w:rsidP="00AC56D6">
      <w:pPr>
        <w:pStyle w:val="TextoNormal"/>
      </w:pPr>
    </w:p>
    <w:p w:rsidR="00AC56D6" w:rsidRDefault="00AC56D6" w:rsidP="00AC56D6">
      <w:pPr>
        <w:pStyle w:val="TextoNormal"/>
      </w:pPr>
      <w:r>
        <w:t xml:space="preserve">Por ello, como ya dijimos en la STC 49/2013, de 28 de febrero, al enjuiciar la impugnación de diversos preceptos de la Ley 43/2003, de montes, “para determinar cuál es la materia y, por tanto, el título competencial de referencia es necesario atender tanto a la finalidad como al contenido de la norma o, dicho de otra forma, a las técnicas legislativas utilizadas para alcanzar dicha finalidad (STC 28/1997, de 13 de febrero, FJ 4). En aplicación de esta doctrina, el título competencial preferente y más específico desde el que ha de juzgarse la ley impugnada, cuyo objeto es la regulación del régimen jurídico de los montes públicos y privados, es el referido a la competencia exclusiva del Estado en materia de legislación básica sobre montes y aprovechamientos forestales (art. 149.1.23 </w:t>
      </w:r>
      <w:r w:rsidRPr="00AC56D6">
        <w:rPr>
          <w:i/>
        </w:rPr>
        <w:t>in fine</w:t>
      </w:r>
      <w:r>
        <w:t xml:space="preserve"> CE), ello sin perjuicio de que exista una vertiente ambiental integrada en este título competencial sectorial” (STC 49/2013, FJ 5; doctrina reiterada por la STC 84/2013, de 11 de abril, FJ 2).</w:t>
      </w:r>
    </w:p>
    <w:p w:rsidR="00AC56D6" w:rsidRDefault="00AC56D6" w:rsidP="00AC56D6">
      <w:pPr>
        <w:pStyle w:val="TextoNormal"/>
      </w:pPr>
    </w:p>
    <w:p w:rsidR="00AC56D6" w:rsidRDefault="00AC56D6" w:rsidP="00AC56D6">
      <w:pPr>
        <w:pStyle w:val="TextoNormal"/>
      </w:pPr>
      <w:r>
        <w:t xml:space="preserve">En suma, en la controversia competencial sometida a nuestro examen resulta título competencial más específico —y por ello prevalente— el que atribuye al Estado la competencia exclusiva en materia de legislación básica sobre montes y aprovechamientos forestales (art. 149.1.23 </w:t>
      </w:r>
      <w:r w:rsidRPr="00AC56D6">
        <w:rPr>
          <w:i/>
        </w:rPr>
        <w:t>in fine</w:t>
      </w:r>
      <w:r>
        <w:t xml:space="preserve"> CE), que integra una vertiente de protección del medio ambiente. A su vez, el art. 148.1.8 CE permite a las Comunidades Autónomas asumir competencia en la materia de “montes y aprovechamientos forestales”. La Comunidad de Madrid ha asumido esta competencia en virtud de lo dispuesto en el art. 27.3 de su Estatuto de Autonomía (EAM), conforme al cual a esta Comunidad le corresponde, “en el marco de la legislación básica del Estado y, en su caso, en los términos que la misma establezca”, “el desarrollo legislativo, la potestad reglamentaria y la ejecución en materia de régimen de los montes y aprovechamientos forestales (con especial referencia a los montes vecinales, en mano común, montes comunales, vías pecuarias y pastos)”. A ello cabe añadir que, en el mismo marco de la legislación básica, a la Comunidad de Madrid le corresponde también, de conformidad con el art. 23.7 EAM, la “protección del medio ambiente, sin perjuicio de la facultad de la Comunidad de Madrid de establecer normas adicionales de protección”. En el ejercicio de estas competencias se aprobó precisamente la Ley 16/1995, forestal y de protección de la naturaleza de la Comunidad de Madrid.</w:t>
      </w:r>
    </w:p>
    <w:p w:rsidR="00AC56D6" w:rsidRDefault="00AC56D6" w:rsidP="00AC56D6">
      <w:pPr>
        <w:pStyle w:val="TextoNormal"/>
      </w:pPr>
    </w:p>
    <w:p w:rsidR="00AC56D6" w:rsidRDefault="00AC56D6" w:rsidP="00AC56D6">
      <w:pPr>
        <w:pStyle w:val="TextoNormal"/>
      </w:pPr>
      <w:r w:rsidRPr="00AC56D6">
        <w:rPr>
          <w:rStyle w:val="NumeroAFNegritaCaracter"/>
        </w:rPr>
        <w:t>4</w:t>
      </w:r>
      <w:r>
        <w:t>. Es notorio, y así se reconoce expresamente en la legislación estatal y autonómica, que los montes, con independencia de su titularidad, revisten un interés general y desempeñan una función social relevante, tanto como fuente de recursos naturales como por ser proveedores de múltiples servicios ambientales, entre ellos la protección del suelo y del ciclo hidrológico, la fijación del carbono atmosférico y la de servir de depósito de la diversidad biológica, además de su valor como elementos fundamentales del paisaje, su importancia cultural y recreativa y de su utilidad económica en la producción de materias primas, entre otras. El reconocimiento de estos valores y utilidades de los ecosistemas forestales, de los que toda la sociedad se beneficia, obliga a las Administraciones públicas a velar por la conservación, protección, restauración, mejora y ordenado aprovechamiento de los montes, como señalan el art. 4 de la Ley 43/2003, de montes y el art. 2.2 de la Ley 16/1995, forestal y de protección de la naturaleza de la Comunidad de Madrid.</w:t>
      </w:r>
    </w:p>
    <w:p w:rsidR="00AC56D6" w:rsidRDefault="00AC56D6" w:rsidP="00AC56D6">
      <w:pPr>
        <w:pStyle w:val="TextoNormal"/>
      </w:pPr>
    </w:p>
    <w:p w:rsidR="00AC56D6" w:rsidRDefault="00AC56D6" w:rsidP="00AC56D6">
      <w:pPr>
        <w:pStyle w:val="TextoNormal"/>
      </w:pPr>
      <w:r>
        <w:lastRenderedPageBreak/>
        <w:t>En el cumplimiento de este inexcusable deber desempeña un papel preponderante la policía administrativa forestal. Los agentes forestales, según establece el art. 6 q) de la Ley 43/2003, de montes, tienen encomendada, entre otras funciones, las de policía y custodia de los bienes jurídicos de naturaleza forestal y la de policía judicial conforme a lo dispuesto en el art. 283.6 de la Ley de enjuiciamiento criminal. Por su parte la Ley 16/1995, forestal y de protección de la naturaleza de la Comunidad de Madrid, determina que la Comunidad velará por el cumplimiento de lo dispuesto en la presente Ley a través del personal a su servicio que tenga atribuidas funciones de vigilancia, y en particular de la guardería forestal (artículo 100.1). A tal efecto la propia Ley 16/1995 (disposición adicional quinta) crea una escala funcionarial específica de agentes forestales, a los que se encomiendan, entre otras funciones, la de custodiar, proteger y vigilar los espacios naturales y los ecosistemas forestales, así como participar en los trabajos de defensa y prevención de los ecosistemas forestales contra incendios, plagas, enfermedades o cualquier otra causa que amenace a dichos ecosistemas. Posteriormente se crea el cuerpo de agentes forestales de la Comunidad de Madrid por la Ley autonómica 1/2002, de 27 de marzo, cuyo artículo 5 enuncia las funciones de policía, custodia y vigilancia para el cumplimiento de la normativa relativa a materia forestal que corresponden a estos funcionarios.</w:t>
      </w:r>
    </w:p>
    <w:p w:rsidR="00AC56D6" w:rsidRDefault="00AC56D6" w:rsidP="00AC56D6">
      <w:pPr>
        <w:pStyle w:val="TextoNormal"/>
      </w:pPr>
    </w:p>
    <w:p w:rsidR="00AC56D6" w:rsidRDefault="00AC56D6" w:rsidP="00AC56D6">
      <w:pPr>
        <w:pStyle w:val="TextoNormal"/>
      </w:pPr>
      <w:r>
        <w:t>Ese interés general de conservación y protección de los ecosistemas forestales se expresa tanto en la legislación estatal sobre montes como en la propia Ley forestal y de protección de la naturaleza de la Comunidad de Madrid. Esta, partiendo de la premisa de la relevante función social que desempeñan los montes y terrenos forestales, pretende articular unas vías eficaces de acción frente a las actuaciones contrarias y los riesgos de todo tipo que amenazan al ecosistema forestal; operan pues como factor disuasorio de tales actuaciones y de prevención de amenazas, así como hacen posible la reparación, en su caso, de los daños provocados en el medio natural. Estas formas de acción, encomendadas a los agentes forestales, no persiguen únicamente una finalidad represiva o sancionadora, sino también preventiva. Utilizan medios que evitan la producción del daño, como la información y orientación a los ciudadanos, la defensa y prevención contra plagas y enfermedades que amenacen el ecosistema forestal, el ejercicio de las funciones relacionadas con la prevención, detección, extinción e investigación de incendios forestales, así como el desarrollo y fomento de la reforestación y regeneración de los montes y terrenos forestales desarbolados o, en fin, el apoyo técnico a las actividades de gestión que la Comunidad de Madrid desarrolla en el medio natural para su aprovechamiento, restauración y mejora continua, actividades todas ellas que pueden entenderse incluidas en lo que al efecto dispone el art. 5 de la citada Ley 1/2002, al establecer las funciones de los agentes forestales.</w:t>
      </w:r>
    </w:p>
    <w:p w:rsidR="00AC56D6" w:rsidRDefault="00AC56D6" w:rsidP="00AC56D6">
      <w:pPr>
        <w:pStyle w:val="TextoNormal"/>
      </w:pPr>
    </w:p>
    <w:p w:rsidR="00AC56D6" w:rsidRDefault="00AC56D6" w:rsidP="00AC56D6">
      <w:pPr>
        <w:pStyle w:val="TextoNormal"/>
      </w:pPr>
      <w:r>
        <w:t xml:space="preserve">En este contexto la regulación establecida en el art. 58.3 a) de la Ley 43/2003, de montes, en cuya virtud los agentes forestales están facultados para entrar libremente en cualquier momento y sin previo aviso en los montes y terrenos forestales, independientemente de su titularidad, y a permanecer en ellos, con respeto, en todo caso, a la inviolabilidad del domicilio, tiene como objetivo último la conservación y protección del ecosistema forestal contra incendios, plagas y enfermedades y uso indebido. La medida persigue facilitar la defensa del interés general de conservación del medio natural, expresado tanto en la legislación estatal sobre montes como en la autonómica. En consecuencia, la finalidad esencialmente preventiva y disuasoria de la medida adoptada en el art. 58.3 a) de la Ley de montes (en su caso también represiva o sancionadora) hace que este precepto encaje sin dificultad en el ámbito </w:t>
      </w:r>
      <w:r>
        <w:lastRenderedPageBreak/>
        <w:t>de la competencia exclusiva estatal para establecer la legislación básica en materia de montes y aprovechamientos forestales (art. 149.1.23 CE).</w:t>
      </w:r>
    </w:p>
    <w:p w:rsidR="00AC56D6" w:rsidRDefault="00AC56D6" w:rsidP="00AC56D6">
      <w:pPr>
        <w:pStyle w:val="TextoNormal"/>
      </w:pPr>
    </w:p>
    <w:p w:rsidR="00AC56D6" w:rsidRDefault="00AC56D6" w:rsidP="00AC56D6">
      <w:pPr>
        <w:pStyle w:val="TextoNormal"/>
      </w:pPr>
      <w:r>
        <w:t>La Asamblea y el Gobierno de la Comunidad de Madrid han sostenido que el art. 58.3 a) de la Ley de montes excede del ámbito material comprendido como legislación básica conforme al art. 149.1.23 CE, pero tal aserto no puede compartirse. La medida contenida en el art. 58.3 a) de la Ley de montes constituye un legítimo ejercicio por parte del legislador estatal de su competencia para dictar la normativa básica en materia de montes y aprovechamientos forestales (art. 149.1.23 CE). La fijación por el Estado de las bases en esta materia, que incluye las reglas relativas a la policía y guardería forestal (art. 58 de la Ley 43/2003, de montes), no agota la regulación de la materia, sino que deja margen suficiente a las Comunidades Autónomas para ejercer su competencia de desarrollo legislativo, como lo evidencian en el caso de la Comunidad de Madrid, sin ir más lejos, la Ley 16/1995, forestal y de protección de la naturaleza, así como la Ley 1/2002, de creación del cuerpo de agentes forestales de esta Comunidad Autónoma.</w:t>
      </w:r>
    </w:p>
    <w:p w:rsidR="00AC56D6" w:rsidRDefault="00AC56D6" w:rsidP="00AC56D6">
      <w:pPr>
        <w:pStyle w:val="TextoNormal"/>
      </w:pPr>
    </w:p>
    <w:p w:rsidR="00AC56D6" w:rsidRDefault="00AC56D6" w:rsidP="00AC56D6">
      <w:pPr>
        <w:pStyle w:val="TextoNormal"/>
      </w:pPr>
      <w:r w:rsidRPr="00AC56D6">
        <w:rPr>
          <w:rStyle w:val="NumeroAFNegritaCaracter"/>
        </w:rPr>
        <w:t>5</w:t>
      </w:r>
      <w:r>
        <w:t>. Constatada la naturaleza básica del art. 58.3 a) de la Ley 43/2003, de montes, es claro que la norma autonómica impugnada sería inconstitucional si resultase contradictoria con aquel precepto de un modo insalvable (por todas, STC 4/2013, de 17 de enero, FJ 3).</w:t>
      </w:r>
    </w:p>
    <w:p w:rsidR="00AC56D6" w:rsidRDefault="00AC56D6" w:rsidP="00AC56D6">
      <w:pPr>
        <w:pStyle w:val="TextoNormal"/>
      </w:pPr>
    </w:p>
    <w:p w:rsidR="00AC56D6" w:rsidRDefault="00AC56D6" w:rsidP="00AC56D6">
      <w:pPr>
        <w:pStyle w:val="TextoNormal"/>
      </w:pPr>
      <w:r>
        <w:t>Como se ha visto, la norma básica faculta a los funcionarios que desempeñen funciones de policía administrativa forestal para acceder sin restricciones a los montes y permanecer en ellos, a efectos del cumplimiento de esa funciones (“entrar libremente en cualquier momento y sin previo aviso en los lugares sujetos a inspección y a permanecer en ellos, con respeto, en todo caso, a la inviolabilidad del domicilio”).</w:t>
      </w:r>
    </w:p>
    <w:p w:rsidR="00AC56D6" w:rsidRDefault="00AC56D6" w:rsidP="00AC56D6">
      <w:pPr>
        <w:pStyle w:val="TextoNormal"/>
      </w:pPr>
    </w:p>
    <w:p w:rsidR="00AC56D6" w:rsidRDefault="00AC56D6" w:rsidP="00AC56D6">
      <w:pPr>
        <w:pStyle w:val="TextoNormal"/>
      </w:pPr>
      <w:r>
        <w:t>La contradicción con la normativa básica surge con el impugnado art. 9 de la Ley 3/2007, de 26 de julio, de medidas urgentes de modernización del Gobierno y Administración de la Comunidad de Madrid, que introduce en el citado art. 100.3 de la Ley 16/1995, forestal y de protección de la naturaleza de la Comunidad de Madrid. De acuerdo con él, “los Agentes Forestales requerirán de autorización judicial para acceder a montes o terrenos forestales de titularidad privada, salvo que el acceso se produzca con ocasión de la extinción de incendios forestales”. Por tanto, de no contar con la correspondiente autorización judicial, el acceso de los agentes forestales madrileños a los montes y terrenos forestales privados (que son la mayor parte en la Comunidad Autónoma de Madrid) para el ejercicio de las funciones que la legislación estatal y autonómica les encomiendan queda absolutamente vedado (salvo para la extinción de incendios).</w:t>
      </w:r>
    </w:p>
    <w:p w:rsidR="00AC56D6" w:rsidRDefault="00AC56D6" w:rsidP="00AC56D6">
      <w:pPr>
        <w:pStyle w:val="TextoNormal"/>
      </w:pPr>
    </w:p>
    <w:p w:rsidR="00AC56D6" w:rsidRDefault="00AC56D6" w:rsidP="00AC56D6">
      <w:pPr>
        <w:pStyle w:val="TextoNormal"/>
      </w:pPr>
      <w:r>
        <w:t xml:space="preserve">La exigencia de previa autorización judicial para el acceso de los agentes forestales a montes o terrenos forestales de titularidad privada que impone el art. 100.3 de la Ley 16/1995, forestal y de protección de la naturaleza de la Comunidad de Madrid (tras su modificación por el art. 9 de la Ley 3/2007) es una medida que entra en franca contradicción con lo establecido por el art. 58.3 a) de la Ley 43/2003, de montes, pues la norma madrileña va más allá del mero respeto a la inviolabilidad domiciliaria reconocida constitucionalmente, que es el concepto recogido en el citado precepto estatal. Perjudica la defensa del interés general de conservación y protección del ecosistema forestal, ya que restringe de forma injustificada las facultades de los agentes forestales para ejercer eficazmente sus facultades. No son solo de carácter represivo o sancionador, vinculadas a las funciones de </w:t>
      </w:r>
      <w:r>
        <w:lastRenderedPageBreak/>
        <w:t>policía administrativa especial que responden al objetivo de vigilancia y protección del medio natural, sino también de carácter preventivo, relacionadas con la defensa y prevención de los ecosistemas forestales contra el riesgo de incendios, las plagas y enfermedades, el uso indebido o cualquier otra causa que amenace a dichos ecosistemas.</w:t>
      </w:r>
    </w:p>
    <w:p w:rsidR="00AC56D6" w:rsidRDefault="00AC56D6" w:rsidP="00AC56D6">
      <w:pPr>
        <w:pStyle w:val="TextoNormal"/>
      </w:pPr>
    </w:p>
    <w:p w:rsidR="00AC56D6" w:rsidRDefault="00AC56D6" w:rsidP="00AC56D6">
      <w:pPr>
        <w:pStyle w:val="TextoNormal"/>
      </w:pPr>
      <w:r>
        <w:t>De acuerdo con la norma básica [art. 58.3 a) de la Ley 43/2003, de montes], en el ejercicio de sus funciones los agentes forestales están facultados para acceder libremente a los montes y terrenos forestales, públicos o privados, debiendo actuar con respeto a la inviolabilidad del domicilio. Esta prevención, referida al concepto constitucional de domicilio, no es irrelevante en el contexto que nos ocupa, por más que, de conformidad con la reiterada doctrina al respecto de este Tribunal, deba afirmarse que, en principio, un monte o terreno forestal, en cuanto espacio abierto o al aire libre, no puede calificarse de domicilio en sentido constitucional: aquel en el que, sin el permiso de quien lo ocupa (y dejando aparte los supuestos de flagrante delito y estado de necesidad), sólo puede entrarse con autorización judicial, de conformidad con el art. 18.2 CE.</w:t>
      </w:r>
    </w:p>
    <w:p w:rsidR="00AC56D6" w:rsidRDefault="00AC56D6" w:rsidP="00AC56D6">
      <w:pPr>
        <w:pStyle w:val="TextoNormal"/>
      </w:pPr>
    </w:p>
    <w:p w:rsidR="00AC56D6" w:rsidRDefault="00AC56D6" w:rsidP="00AC56D6">
      <w:pPr>
        <w:pStyle w:val="TextoNormal"/>
      </w:pPr>
      <w:r>
        <w:t>Con todo, no son enteramente descartables supuestos en los que dentro de un monte o predio forestal, que constituye sin duda un espacio abierto, excluido como tal de la garantía constitucional de inviolabilidad domiciliaria, pueda encontrarse un espacio físico susceptible de merecer la calificación de domicilio a los efectos del art. 18.2 CE; así ocurrirá en cuanto sirva de morada o habitación de una persona física en la que esta desarrolla su vida privada, incluso si es de forma esporádica, en cuyo caso, como establece el art. 58.3 a) de la Ley 43/2003, de montes, el acceso de los agentes forestales a dichos lugares para el ejercicio de sus funciones habrá de hacerse “con respeto, en todo caso, a la inviolabilidad del domicilio”, lo que puede comportar la necesidad de contar con el consentimiento del titular del espacio físico inviolable o bien con una autorización judicial de entrada.</w:t>
      </w:r>
    </w:p>
    <w:p w:rsidR="00AC56D6" w:rsidRDefault="00AC56D6" w:rsidP="00AC56D6">
      <w:pPr>
        <w:pStyle w:val="TextoNormal"/>
      </w:pPr>
    </w:p>
    <w:p w:rsidR="00AC56D6" w:rsidRDefault="00AC56D6" w:rsidP="00AC56D6">
      <w:pPr>
        <w:pStyle w:val="TextoNormal"/>
      </w:pPr>
      <w:r>
        <w:t>En suma, la exigencia en todo caso de autorización judicial para el acceso de los agentes forestales a montes o terrenos forestales de titularidad privada, que impone el precepto autonómico impugnado en el presente proceso constitucional, no se corresponde con la cautela del debido respeto a la inviolabilidad domiciliaria que contiene la norma básica. Conforme a esta y atendiendo a lo dispuesto en el art. 18.2 CE, la autorización judicial para que los agentes forestales puedan acceder a los montes o terrenos forestales, públicos o privados, se precisaría únicamente en aquellos supuestos —sin duda excepcionales— en que así lo exigiere el respeto al derecho a la inviolabilidad del domicilio (siempre que no se contase con el consentimiento del titular). La contradicción del primer párrafo del art. 100.3 de la Ley 16/1995, forestal y de protección de la naturaleza de la Comunidad de Madrid, en la redacción dada por el art. 9 de la Ley 3/2007, con la norma básica [art. 58.3 a) de la Ley 43/2003, de montes] es pues patente y no puede ser salvada por vía interpretativa.</w:t>
      </w:r>
    </w:p>
    <w:p w:rsidR="00AC56D6" w:rsidRDefault="00AC56D6" w:rsidP="00AC56D6">
      <w:pPr>
        <w:pStyle w:val="TextoNormal"/>
      </w:pPr>
    </w:p>
    <w:p w:rsidR="00AC56D6" w:rsidRDefault="00AC56D6" w:rsidP="00AC56D6">
      <w:pPr>
        <w:pStyle w:val="TextoNormal"/>
      </w:pPr>
      <w:r w:rsidRPr="00AC56D6">
        <w:rPr>
          <w:rStyle w:val="NumeroAFNegritaCaracter"/>
        </w:rPr>
        <w:t>6</w:t>
      </w:r>
      <w:r>
        <w:t>. En conclusión, la norma autonómica impugnada ha invadido la competencia estatal para dictar la legislación básica sobre montes y aprovechamientos forestales (art. 149.1.23 CE), lo que conduce a declarar su inconstitucionalidad y nulidad por este motivo. Ello hace innecesario que nos pronunciemos sobre la también alegada vulneración de la competencia exclusiva del Estado en materia de Administración de Justicia (art. 149.1.5 CE).</w:t>
      </w:r>
    </w:p>
    <w:p w:rsidR="00AC56D6" w:rsidRDefault="00AC56D6" w:rsidP="00AC56D6">
      <w:pPr>
        <w:pStyle w:val="TextoNormal"/>
      </w:pPr>
    </w:p>
    <w:p w:rsidR="00AC56D6" w:rsidRDefault="00AC56D6" w:rsidP="00AC56D6">
      <w:pPr>
        <w:pStyle w:val="TextoNormalCentrado"/>
        <w:keepNext/>
      </w:pPr>
      <w:r>
        <w:lastRenderedPageBreak/>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Estimar el presente recurso y, en consecuencia, declarar la inconstitucionalidad y nulidad del art. 9 de la Ley 3/2007, de 26 de julio, de medidas urgentes de modernización del Gobierno y Administración de la Comunidad de Madrid, que introduce un primer párrafo primero en el apartado 3 del art. 100 de la Ley 16/1995, de 4 de mayo, forestal y de protección de la naturaleza de la Comunidad de Madrid.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veintidós de octubre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71" w:name="SENTENCIA_2015_215"/>
      <w:r>
        <w:lastRenderedPageBreak/>
        <w:t>SENTENCIA 215/2015, de 22 de octubre de 2015</w:t>
      </w:r>
    </w:p>
    <w:bookmarkEnd w:id="71"/>
    <w:p w:rsidR="00AC56D6" w:rsidRDefault="00AC56D6" w:rsidP="00AC56D6">
      <w:pPr>
        <w:pStyle w:val="TtuloResolucin"/>
      </w:pPr>
      <w:r>
        <w:t>Pleno</w:t>
      </w:r>
    </w:p>
    <w:p w:rsidR="00AC56D6" w:rsidRDefault="00AC56D6" w:rsidP="00AC56D6">
      <w:pPr>
        <w:pStyle w:val="TtuloBOE"/>
      </w:pPr>
      <w:r>
        <w:t>(BOE núm. 284, de 27 de noviembre de 2015)</w:t>
      </w:r>
    </w:p>
    <w:p w:rsidR="00AC56D6" w:rsidRDefault="00AC56D6" w:rsidP="00AC56D6">
      <w:pPr>
        <w:pStyle w:val="TextoNormalCentrado"/>
      </w:pPr>
      <w:r>
        <w:t>ECLI:ES:TC:2015:215</w:t>
      </w:r>
    </w:p>
    <w:p w:rsidR="00AC56D6" w:rsidRDefault="00AC56D6" w:rsidP="00AC56D6">
      <w:pPr>
        <w:pStyle w:val="TextoNormalCentrado"/>
      </w:pPr>
    </w:p>
    <w:p w:rsidR="00AC56D6" w:rsidRDefault="00AC56D6" w:rsidP="00AC56D6">
      <w:pPr>
        <w:pStyle w:val="SntesisDescriptiva"/>
      </w:pPr>
      <w:r>
        <w:t>Recurso de inconstitucionalidad 5423-2012. Interpuesto por el Gobierno de la Comunidad Autónoma del País Vasco respecto del artículo 2.3 del Real Decreto-ley 20/2011, de 30 de diciembre, de medidas urgentes en materia presupuestaria, tributaria y financiera para la corrección del déficit público.</w:t>
      </w:r>
    </w:p>
    <w:p w:rsidR="00AC56D6" w:rsidRDefault="00AC56D6" w:rsidP="00AC56D6">
      <w:pPr>
        <w:pStyle w:val="SntesisDescriptiva"/>
      </w:pPr>
    </w:p>
    <w:p w:rsidR="00AC56D6" w:rsidRDefault="00AC56D6" w:rsidP="00AC56D6">
      <w:pPr>
        <w:pStyle w:val="SntesisAnaltica"/>
      </w:pPr>
      <w:r>
        <w:t>Límites a los decretos leyes, competencias sobre función pública y ordenación general de la economía; autonomía financiera: constitucionalidad del precepto estatal que impide temporalmente a los entes integrantes del sector público realizar aportaciones a planes de pensiones de empleo o contratos de seguro colectivos que incluyan la cobertura de la contingencia de jubilación.</w:t>
      </w:r>
    </w:p>
    <w:p w:rsidR="00AC56D6" w:rsidRDefault="00AC56D6" w:rsidP="00AC56D6">
      <w:pPr>
        <w:pStyle w:val="SntesisAnaltica"/>
      </w:pPr>
    </w:p>
    <w:p w:rsidR="00AC56D6" w:rsidRDefault="00AC56D6" w:rsidP="00AC56D6">
      <w:pPr>
        <w:pStyle w:val="Extracto"/>
      </w:pPr>
      <w:r>
        <w:t>1.</w:t>
      </w:r>
      <w:r>
        <w:tab/>
        <w:t>La norma estatal que impide temporalmente a los entes integrantes del sector público realizar aportaciones a planes de pensiones de empleo o contractos de seguro colectivos responde a razones de extraordinaria y urgente necesidad [FJ 5].</w:t>
      </w:r>
    </w:p>
    <w:p w:rsidR="00AC56D6" w:rsidRDefault="00AC56D6" w:rsidP="00AC56D6">
      <w:pPr>
        <w:pStyle w:val="Extracto"/>
      </w:pPr>
    </w:p>
    <w:p w:rsidR="00AC56D6" w:rsidRDefault="00AC56D6" w:rsidP="00AC56D6">
      <w:pPr>
        <w:pStyle w:val="Extracto"/>
      </w:pPr>
      <w:r>
        <w:t>2.</w:t>
      </w:r>
      <w:r>
        <w:tab/>
        <w:t>Doctrina sobre la concurrencia de los requisitos de extraordinaria y urgente necesidad y de conexión de sentido entre las medidas a adoptar por la norma y la situación pretendidamente extraordinaria y urgente (SSTC 81/2015, 95/2015) [FF JJ 3 a 5].</w:t>
      </w:r>
    </w:p>
    <w:p w:rsidR="00AC56D6" w:rsidRDefault="00AC56D6" w:rsidP="00AC56D6">
      <w:pPr>
        <w:pStyle w:val="Extracto"/>
      </w:pPr>
    </w:p>
    <w:p w:rsidR="00AC56D6" w:rsidRDefault="00AC56D6" w:rsidP="00AC56D6">
      <w:pPr>
        <w:pStyle w:val="Extracto"/>
      </w:pPr>
      <w:r>
        <w:t>3.</w:t>
      </w:r>
      <w:r>
        <w:tab/>
        <w:t>Las medidas de limitación de las retribuciones adoptadas por el Estado deben analizarse desde la perspectiva de la atribución al Estado de competencia en materia de planificación general de la economía (STC 94/2015) [FJ 6].</w:t>
      </w:r>
    </w:p>
    <w:p w:rsidR="00AC56D6" w:rsidRDefault="00AC56D6" w:rsidP="00AC56D6">
      <w:pPr>
        <w:pStyle w:val="Extracto"/>
      </w:pPr>
    </w:p>
    <w:p w:rsidR="00AC56D6" w:rsidRDefault="00AC56D6" w:rsidP="00AC56D6">
      <w:pPr>
        <w:pStyle w:val="Extracto"/>
      </w:pPr>
      <w:r>
        <w:t>4.</w:t>
      </w:r>
      <w:r>
        <w:tab/>
        <w:t>La incidencia de medidas estatales en la autonomía financiera y presupuestaria de las Comunidades Autónomas está directamente relacionada con la responsabilidad del Estado de garantizar el equilibrio económico general (SSTC 63/1983, 103/1997) [FJ 6].</w:t>
      </w:r>
    </w:p>
    <w:p w:rsidR="00AC56D6" w:rsidRDefault="00AC56D6" w:rsidP="00AC56D6">
      <w:pPr>
        <w:pStyle w:val="Extracto"/>
      </w:pPr>
    </w:p>
    <w:p w:rsidR="00AC56D6" w:rsidRDefault="00AC56D6" w:rsidP="00AC56D6">
      <w:pPr>
        <w:pStyle w:val="Extracto"/>
      </w:pPr>
      <w:r>
        <w:t>5.</w:t>
      </w:r>
      <w:r>
        <w:tab/>
        <w:t>El alcance e intensidad de las restricciones a las retribuciones del personal laboral de las Administraciones públicas adoptadas por el Estado debe ceñirse a aquellos aspectos estrictamente indispensables para la consecución de los fines de política económica que aquéllas persigan (STC 152/1988) [FJ 6].</w:t>
      </w:r>
    </w:p>
    <w:p w:rsidR="00AC56D6" w:rsidRDefault="00AC56D6" w:rsidP="00AC56D6">
      <w:pPr>
        <w:pStyle w:val="Extracto"/>
      </w:pPr>
    </w:p>
    <w:p w:rsidR="00AC56D6" w:rsidRDefault="00AC56D6" w:rsidP="00AC56D6">
      <w:pPr>
        <w:pStyle w:val="Extracto"/>
      </w:pPr>
      <w:r>
        <w:t>6.</w:t>
      </w:r>
      <w:r>
        <w:tab/>
        <w:t>La limitación de las retribuciones del personal laboral de las distintas Administraciones públicas no implica un trato desigual entre éstas, ni supone el establecimiento de diferencias entre las distintas partes del territorio español, dado que se trata de una medida económica de carácter general y que se aplica por igual al conjunto del sector público [FJ 7].</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 xml:space="preserve">El Pleno del Tribunal Constitucional, compuesto por don Francisco Pérez de los Cobos Orihuel, Presidente, doña Adela Asua Batarrita, doña Encarnación Roca Trías, don Andrés </w:t>
      </w:r>
      <w:r>
        <w:lastRenderedPageBreak/>
        <w:t>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inconstitucionalidad núm. 5423-2012, interpuesto por el Gobierno de la Comunidad Autónoma del País Vasco, contra el apartado tres del artículo 2 del Real Decreto-ley 20/2011, de 30 de diciembre, de medidas urgentes en materia presupuestaria, tributaria y financiera para la corrección del déficit público. Ha comparecido y formulado alegaciones el Abogado del Estado. Ha sido Ponente el Magistrado don Pedro José González Trevijano,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presentado en el Registro General de este Tribunal Constitucional el día 27 de septiembre de 2012, el Procurador de los Tribunales, don Felipe Juanas Blanco, actuando en nombre y representación de la Comunidad Autónoma del País Vasco, interpuso recurso de inconstitucionalidad contra el apartado tres del artículo 2 del Real Decreto-ley 20/2011, de 30 de diciembre, de medidas urgentes en materia presupuestaria, tributaria y financiera para la corrección del déficit público.</w:t>
      </w:r>
    </w:p>
    <w:p w:rsidR="00AC56D6" w:rsidRDefault="00AC56D6" w:rsidP="00AC56D6">
      <w:pPr>
        <w:pStyle w:val="TextoNormal"/>
      </w:pPr>
    </w:p>
    <w:p w:rsidR="00AC56D6" w:rsidRDefault="00AC56D6" w:rsidP="00AC56D6">
      <w:pPr>
        <w:pStyle w:val="TextoNormal"/>
      </w:pPr>
      <w:r w:rsidRPr="00AC56D6">
        <w:rPr>
          <w:rStyle w:val="NumeroAFNegritaCaracter"/>
        </w:rPr>
        <w:t>2</w:t>
      </w:r>
      <w:r>
        <w:t>. Los motivos del recurso de inconstitucionalidad interpuesto por el Gobierno de la Comunidad Autónoma del País Vasco son los que, sucintamente, se recogen a continuación:</w:t>
      </w:r>
    </w:p>
    <w:p w:rsidR="00AC56D6" w:rsidRDefault="00AC56D6" w:rsidP="00AC56D6">
      <w:pPr>
        <w:pStyle w:val="TextoNormal"/>
      </w:pPr>
    </w:p>
    <w:p w:rsidR="00AC56D6" w:rsidRDefault="00AC56D6" w:rsidP="00AC56D6">
      <w:pPr>
        <w:pStyle w:val="TextoNormal"/>
      </w:pPr>
      <w:r>
        <w:t>a) El primer motivo de inconstitucionalidad alegado es la vulneración del art. 86.1 CE por no concurrir el presupuesto habilitante de la extraordinaria y urgente necesidad. El precepto impugnado impone la expresa prohibición, dirigida a todas las Administraciones públicas y a las entidades de ellas dependientes, de realizar aportaciones con cargo a fondos públicos a planes de pensiones de empleo o contratos de seguro colectivo que incluyan la cobertura de la contingencia de jubilación. Se indica en el escrito de presentación del recurso que en adelante, y en aras a simplificar la cita, se empleará la expresión “planes de pensiones de empleo” como comprensiva de toda la tipología de instrumentos a que se refiere el precepto cuestionado.</w:t>
      </w:r>
    </w:p>
    <w:p w:rsidR="00AC56D6" w:rsidRDefault="00AC56D6" w:rsidP="00AC56D6">
      <w:pPr>
        <w:pStyle w:val="TextoNormal"/>
      </w:pPr>
    </w:p>
    <w:p w:rsidR="00AC56D6" w:rsidRDefault="00AC56D6" w:rsidP="00AC56D6">
      <w:pPr>
        <w:pStyle w:val="TextoNormal"/>
      </w:pPr>
      <w:r>
        <w:t xml:space="preserve">Considera llamativo el silencio del preámbulo del Real Decreto-ley 20/2011, que no razona específicamente la procedencia de esta medida ni el fin al que sirve, quedando amparada por la genérica motivación que aquél incorpora, cuando alude a los gastos de personal, y que concreta en el mantenimiento de las cuantías de las retribuciones del personal y altos cargos del sector público. Añade que su legitimidad constitucional resulta cuestionable si se </w:t>
      </w:r>
      <w:r>
        <w:lastRenderedPageBreak/>
        <w:t>atiende a la circunstancia de que el art. 2.3 del Real Decreto-ley 20/2011 no sirve realmente al objetivo de mantenimiento de las retribuciones —justamente al que alude el preámbulo cuando se refiere a los gastos de personal—, sino que, apartándose del mismo, impone una eventual medida de reducción del gasto de personal —no de simple contención—, que se concreta en la prohibición de realizar aportaciones a planes de pensiones de empleo.</w:t>
      </w:r>
    </w:p>
    <w:p w:rsidR="00AC56D6" w:rsidRDefault="00AC56D6" w:rsidP="00AC56D6">
      <w:pPr>
        <w:pStyle w:val="TextoNormal"/>
      </w:pPr>
    </w:p>
    <w:p w:rsidR="00AC56D6" w:rsidRDefault="00AC56D6" w:rsidP="00AC56D6">
      <w:pPr>
        <w:pStyle w:val="TextoNormal"/>
      </w:pPr>
      <w:r>
        <w:t>Afirma que el artículo 2.3 elimina de raíz la posibilidad de percibir durante el ejercicio 2012 un concepto retributivo, lo que, aparte de la alteración coyuntural de la estructura retributiva que tuviera definida cada Administración para su personal, incide directamente en la cuantía de las retribuciones que los empleados públicos vinieran percibiendo.</w:t>
      </w:r>
    </w:p>
    <w:p w:rsidR="00AC56D6" w:rsidRDefault="00AC56D6" w:rsidP="00AC56D6">
      <w:pPr>
        <w:pStyle w:val="TextoNormal"/>
      </w:pPr>
    </w:p>
    <w:p w:rsidR="00AC56D6" w:rsidRDefault="00AC56D6" w:rsidP="00AC56D6">
      <w:pPr>
        <w:pStyle w:val="TextoNormal"/>
      </w:pPr>
      <w:r>
        <w:t>Insiste en señalar que el Gobierno, a quien corresponde acreditar la concurrencia del presupuesto habilitante del Decreto-ley, nada ha dicho en su preámbulo —ni tampoco, en fase de convalidación, las intervenciones del Ministro de Hacienda y Administraciones Públicas han arrojado luz al respecto— acerca de la necesidad de excepcionar las retribuciones diferidas de la declarada pretensión de mantenimiento de las retribuciones del personal al servicio del sector público. La omisión absoluta de cualquier justificación desvinculada del control del gasto público, veda cualquier posibilidad de consideración de razones socioeconómicas o de otra índole ajenas a aquel objetivo de contención del gasto en el control externo del presupuesto habilitante y, a la vez, impide su eventual incorporación en trámite del presente recurso. Señala que la intervención parlamentaria del Ministro omite cualquier referencia al efecto que las medidas de equilibrio presupuestario provocan sobre las retribuciones diferidas de los empleados públicos. Congelación salarial, que no reducción, es el mensaje recurrente del Gobierno que se ve contradicho con la prohibición impuesta a todas las Administraciones públicas de aportación a planes de pensiones de empleo.</w:t>
      </w:r>
    </w:p>
    <w:p w:rsidR="00AC56D6" w:rsidRDefault="00AC56D6" w:rsidP="00AC56D6">
      <w:pPr>
        <w:pStyle w:val="TextoNormal"/>
      </w:pPr>
    </w:p>
    <w:p w:rsidR="00AC56D6" w:rsidRDefault="00AC56D6" w:rsidP="00AC56D6">
      <w:pPr>
        <w:pStyle w:val="TextoNormal"/>
      </w:pPr>
      <w:r>
        <w:t>b) El segundo motivo de inconstitucionalidad alegado es la vulneración del art. 149.1.18 CE, art. 10.4 del Estatuto de Autonomía del País Vasco y arts. 21 y 29 de la Ley del estatuto básico del empleado público. Para justificar este motivo de inconstitucionalidad se examinan sucintamente los antecedentes normativos que ofrecen cobertura a la posibilidad de que las Administraciones públicas y las entidades de ellas dependientes realicen aportaciones a planes de pensiones de empleo.</w:t>
      </w:r>
    </w:p>
    <w:p w:rsidR="00AC56D6" w:rsidRDefault="00AC56D6" w:rsidP="00AC56D6">
      <w:pPr>
        <w:pStyle w:val="TextoNormal"/>
      </w:pPr>
    </w:p>
    <w:p w:rsidR="00AC56D6" w:rsidRDefault="00AC56D6" w:rsidP="00AC56D6">
      <w:pPr>
        <w:pStyle w:val="TextoNormal"/>
      </w:pPr>
      <w:r>
        <w:t xml:space="preserve">Tras una breve alusión a la Ley 30/1984, de 2 de agosto, de medidas para la reforma de la función pública, señala que la disposición adicional quinta de la Ley 44/2002, de 22 de noviembre, de medidas de reforma del sistema financiero, que da nueva redacción a la Ley 8/1987, de 8 de junio, de fondos y planes de pensiones y la disposición final segunda del Real Decreto Legislativo 1/2002, de 29 de diciembre, por el que se aprueba el texto refundido de la Ley reguladora de los planes y fondos de pensiones, establecen que las Administraciones públicas podrán promover planes de pensiones de empleo y realizar aportaciones a los mismos, así como a contratos de seguros colectivos, y que las prestaciones abonadas no tendrán la consideración de pensiones públicas a los efectos de la concurrencia de pensiones. Al amparo de este cambio normativo, se incorporan a partir de la Ley 61/2003, de 30 de diciembre, de presupuestos generales del Estado para el año 2004, y en las sucesivas leyes de presupuestos, previsiones explícitas y análogas en lo sustancial, en virtud de las cuales se permite a las Administraciones públicas efectuar aportaciones a planes de pensiones de empleo para su personal. Así, las leyes de presupuestos, asumiendo el papel constitucionalmente reconocido de instrumento de dirección de la política económica, han venido </w:t>
      </w:r>
      <w:r>
        <w:lastRenderedPageBreak/>
        <w:t>promoviendo en el sector público la realización de aportaciones a planes de pensiones de empleo, incluyendo a tal efecto previsiones que conjugan el control del gasto de personal con el impulso de este instrumento de previsión complementaria, pero respetando en todo caso la básica autonomía de las Comunidades Autónomas para ordenar en su presupuesto las previsiones de gastos en el capítulo de personal.</w:t>
      </w:r>
    </w:p>
    <w:p w:rsidR="00AC56D6" w:rsidRDefault="00AC56D6" w:rsidP="00AC56D6">
      <w:pPr>
        <w:pStyle w:val="TextoNormal"/>
      </w:pPr>
    </w:p>
    <w:p w:rsidR="00AC56D6" w:rsidRDefault="00AC56D6" w:rsidP="00AC56D6">
      <w:pPr>
        <w:pStyle w:val="TextoNormal"/>
      </w:pPr>
      <w:r>
        <w:t xml:space="preserve">A continuación señala que en este nuevo escenario jurídico en el que han venido operando las leyes de presupuestos generales del Estado desde el año 2004, se aprueba la Ley del estatuto básico del empleado público (en adelante, LEEP) en el año 2007. Con la LEEP el Estado reinterpreta el alcance de la legislación básica sobre el estatuto del empleado público, con mayor respeto a la doctrina del Tribunal Constitucional en torno al alcance y funcionalidad de la legislación básica como delimitadora del campo legislativo autonómico. Así, aunque la estructura retributiva prevista en la LEEP parte de la tradicional distinción entre retribuciones básicas y complementarias, completa aquella estructura con la incorporación como tercera categoría, de las retribuciones diferidas. Las retribuciones diferidas, al igual que las complementarias, quedan al albur de su definición autonómica que, en nuestro ámbito, se sitúa en el marco de la competencia exclusiva que el Estatuto de Autonomía del País Vasco reconoce en el artículo 10.4. Así, la intervención estatal en materia de derechos retributivos se limita prácticamente a la cuantificación de las retribuciones básicas, en tanto garante de los principios de igualdad y solidaridad y a procurar un control eficaz de los gastos de personal. Señala que es significativo que el capítulo III (arts. 21 a 30) sólo reconozca al Estado la posibilidad de cuantificar las retribuciones básicas de los funcionarios, lo que no obsta a una vigilancia eficaz del gasto público, al amparo de la competencia que el Estado ostenta </w:t>
      </w:r>
      <w:r w:rsidRPr="00AC56D6">
        <w:rPr>
          <w:i/>
        </w:rPr>
        <w:t>ex</w:t>
      </w:r>
      <w:r>
        <w:t xml:space="preserve"> art. 149.1.13 CE, a cuyo efecto define como parámetro de control el incremento de la masa salarial —comprensiva del total de retribuciones— al que expresamente alude la norma básica, y sobre el que han de operar las magnitudes de crecimiento, congelación o reducción que establezcan las respectivas leyes de presupuestos generales del Estado que resultarán vinculantes para todas las Administraciones públicas. Añade que la expresión “incremento de la masa salarial” a que se refiere el art. 21.2 LEEP deja expedita la posibilidad, reconocida a las distintas Comunidades Autónomas, de distribuir los incrementos retributivos entre sus empleados de la manera que estimen más conveniente, siendo aquél ejercicio de su legítima competencia y de la básica autonomía financiera que la Constitución Española les reconoce en su artículo 156.1.</w:t>
      </w:r>
    </w:p>
    <w:p w:rsidR="00AC56D6" w:rsidRDefault="00AC56D6" w:rsidP="00AC56D6">
      <w:pPr>
        <w:pStyle w:val="TextoNormal"/>
      </w:pPr>
    </w:p>
    <w:p w:rsidR="00AC56D6" w:rsidRDefault="00AC56D6" w:rsidP="00AC56D6">
      <w:pPr>
        <w:pStyle w:val="TextoNormal"/>
      </w:pPr>
      <w:r>
        <w:t>Afirma que las leyes de presupuestos generales del Estado han procurado un control riguroso del gasto de personal en todo el sector público a partir del establecimiento de un límite al incremento global sobre el total de retribuciones que deviene infranqueable, pero sin descender, como no puede ser de otra manera, a la cuantificación de ninguna de las retribuciones —más allá de las básicas—, por situarse en un campo de acción que excede de los contornos en que ha de moverse la legislación básica. Señala, asimismo, que la LEEP atribuye dos caracteres esenciales a esta retribución: de un lado, concibe las aportaciones a planes de pensiones de empleo como retribución facultativa; y, de otro, integra esta retribución en el acervo autonómico, de forma que será el legislador autonómico a quien competerá definir su régimen y determinar su cuantía.</w:t>
      </w:r>
    </w:p>
    <w:p w:rsidR="00AC56D6" w:rsidRDefault="00AC56D6" w:rsidP="00AC56D6">
      <w:pPr>
        <w:pStyle w:val="TextoNormal"/>
      </w:pPr>
    </w:p>
    <w:p w:rsidR="00AC56D6" w:rsidRDefault="00AC56D6" w:rsidP="00AC56D6">
      <w:pPr>
        <w:pStyle w:val="TextoNormal"/>
      </w:pPr>
      <w:r>
        <w:t xml:space="preserve">En el ámbito de la Comunidad Autónoma del País Vasco, se afirma que las retribuciones diferidas se mueven en márgenes análogos a los de las retribuciones complementarias, constituyéndose en núcleo genuino de la competencia autonómica prevista en el art. 10.4 del </w:t>
      </w:r>
      <w:r>
        <w:lastRenderedPageBreak/>
        <w:t xml:space="preserve">Estatuto de Autonomía del País Vasco, precepto que responde al esquema bases-desarrollo y que admite de principio únicamente aquellas limitaciones a la competencia autonómica que deriven del legítimo ejercicio por el Estado de su competencia </w:t>
      </w:r>
      <w:r w:rsidRPr="00AC56D6">
        <w:rPr>
          <w:i/>
        </w:rPr>
        <w:t>ex</w:t>
      </w:r>
      <w:r>
        <w:t xml:space="preserve"> art. 149.1.18 CE. Señala que el art. 29 LEEP ha de interpretarse siempre en términos de respeto absoluto a ese núcleo intangible de la competencia que la Comunidad Autónoma del País Vasco ostenta en virtud del art. 10.4 del Estatuto de Autonomía del País Vasco, y que en todo caso integra la capacidad normativa de definir la estructura y condiciones de percepción de las retribuciones complementarias y diferidas, y de establecer, con la coyunturalidad que demanden las circunstancias político-económicas, los parámetros para su cuantificación.</w:t>
      </w:r>
    </w:p>
    <w:p w:rsidR="00AC56D6" w:rsidRDefault="00AC56D6" w:rsidP="00AC56D6">
      <w:pPr>
        <w:pStyle w:val="TextoNormal"/>
      </w:pPr>
    </w:p>
    <w:p w:rsidR="00AC56D6" w:rsidRDefault="00AC56D6" w:rsidP="00AC56D6">
      <w:pPr>
        <w:pStyle w:val="TextoNormal"/>
      </w:pPr>
      <w:r>
        <w:t>Considera que la competencia que ostenta la Comunidad Autónoma del País Vasco sobre las retribuciones diferidas impide que la intervención estatal —fijando anualmente en las correspondientes leyes de presupuestos generales del Estado el porcentaje de la masa salarial que puede destinarse a aportaciones a planes de pensiones de empleo—, vacíe de contenido aquella competencia, impidiendo cualquier margen de maniobra de la Comunidad Autónoma. La limitación de la competencia autonómica que deriva del art. 29 LEEP en modo alguno permite reconocer al Estado capacidad para determinar directa o indirectamente la cuantificación de la retribución diferida de cada empleado público, facultad que escapa absolutamente de su ámbito competencial. Afirma que aunque el cumplimiento de los objetivos de política económica general permite al Estado predeterminar el límite máximo de incremento de las cuantías de las retribuciones del personal de las Comunidades Autónomas, lo cierto es que esta limitación, para ser conforme con la Constitución Española, ha de entenderse referida al volumen total de las retribuciones.</w:t>
      </w:r>
    </w:p>
    <w:p w:rsidR="00AC56D6" w:rsidRDefault="00AC56D6" w:rsidP="00AC56D6">
      <w:pPr>
        <w:pStyle w:val="TextoNormal"/>
      </w:pPr>
    </w:p>
    <w:p w:rsidR="00AC56D6" w:rsidRDefault="00AC56D6" w:rsidP="00AC56D6">
      <w:pPr>
        <w:pStyle w:val="TextoNormal"/>
      </w:pPr>
      <w:r>
        <w:t>Indica, asimismo, que el art. 21.2 LEEP, en tanto opera sobre la magnitud global omnicomprensiva del total de retribuciones, sirve de muro de contención al incremento incontrolado del gasto de personal por la vía de las aportaciones a planes de pensiones de empleo, permitiendo a las Comunidades Autónomas el margen de actuación preciso que subyace a la autonomía financiera constitucionalmente reconocida y que encuentra singular expresión en el reconocimiento ineludible de su autonomía de gasto.</w:t>
      </w:r>
    </w:p>
    <w:p w:rsidR="00AC56D6" w:rsidRDefault="00AC56D6" w:rsidP="00AC56D6">
      <w:pPr>
        <w:pStyle w:val="TextoNormal"/>
      </w:pPr>
    </w:p>
    <w:p w:rsidR="00AC56D6" w:rsidRDefault="00AC56D6" w:rsidP="00AC56D6">
      <w:pPr>
        <w:pStyle w:val="TextoNormal"/>
      </w:pPr>
      <w:r>
        <w:t xml:space="preserve">Desde los parámetros expuestos, señala el Consejo de Gobierno de la Comunidad Autónoma del País Vasco que el contraste del art. 2.3 del Real Decreto-ley 20/2011, con los límites que derivan del art. 149.1.18 CE, del art. 10.4 del Estatuto de Autonomía del País Vasco y de la adecuada interpretación de los arts. 21.2 y 29 LEEP conduce a la conclusión de la inconstitucionalidad del precepto, por incidir ilegítimamente sobre una concreta retribución que se sitúa extramuros de la competencia estatal con fundamento en las siguientes consideraciones: primera, el artículo 2.3 no encuentra amparo en la competencia estatal para regular las bases del régimen estatutario de los funcionarios públicos, porque la Ley del estatuto básico del empleado público, en ejercicio de la competencia </w:t>
      </w:r>
      <w:r w:rsidRPr="00AC56D6">
        <w:rPr>
          <w:i/>
        </w:rPr>
        <w:t>ex</w:t>
      </w:r>
      <w:r>
        <w:t xml:space="preserve"> art. 149.1.18 CE, integra en la estructura retributiva de los empleados públicos la denominadas retribuciones diferidas, al contrario de lo que ocurría con la Ley 30/1984, y este cambio revela la imposibilidad de legitimar desde el art. 149.1.18 CE la prohibición temporal que se impone a las Administraciones públicas de realizar aportaciones a planes de pensiones de empleo; segunda, la prohibición de realizar aportaciones a planes de pensiones de empleo que se impone a todas las Administraciones públicas excede de las fronteras en que ha de moverse el núcleo de lo básico, aquel mínimo común denominador, expresión de los intereses genera</w:t>
      </w:r>
      <w:r>
        <w:lastRenderedPageBreak/>
        <w:t>les, en cuya defensa también están llamadas a participar las Comunidades Autónomas; tercera, el objetivo de política económica dirigido a la contención del gasto de personal —objetivo explicitado en la parte expositiva de la norma— debe instrumentarse necesariamente a partir de magnitudes globales, nunca incidiendo en una concreta retribución como hace el controvertido art. 2.3 del Real Decreto-ley 20/2011; cuarta, el precepto termina por absorber totalmente el espacio sustantivo que deriva de los arts. 10.4 y 44 del Estatuto de Autonomía del País Vasco y que el art. 29 LEEP reconoce a todas las Administraciones públicas para determinar la cuantía de las aportaciones a planes de pensiones de empleo de su personal; quinta, no se advierte razón alguna de política económica o de planificación de la actividad económica que justifique una intervención del legislador estatal sobre una concreta retribución ajena en todo caso a su acervo competencial; y, sexta, el artículo recurrido convierte las retribuciones diferidas de los empleados públicos, bien que coyunturalmente, en una suerte de retribución básica cuyos contornos define el Estado en su totalidad suplantando a la Comunidad Autónoma en una regulación que sólo a ella compete.</w:t>
      </w:r>
    </w:p>
    <w:p w:rsidR="00AC56D6" w:rsidRDefault="00AC56D6" w:rsidP="00AC56D6">
      <w:pPr>
        <w:pStyle w:val="TextoNormal"/>
      </w:pPr>
    </w:p>
    <w:p w:rsidR="00AC56D6" w:rsidRDefault="00AC56D6" w:rsidP="00AC56D6">
      <w:pPr>
        <w:pStyle w:val="TextoNormal"/>
      </w:pPr>
      <w:r>
        <w:t>c) El tercer motivo de inconstitucionalidad alegado es la infracción de los arts. 149.1.13 y 156.1 CE.</w:t>
      </w:r>
    </w:p>
    <w:p w:rsidR="00AC56D6" w:rsidRDefault="00AC56D6" w:rsidP="00AC56D6">
      <w:pPr>
        <w:pStyle w:val="TextoNormal"/>
      </w:pPr>
    </w:p>
    <w:p w:rsidR="00AC56D6" w:rsidRDefault="00AC56D6" w:rsidP="00AC56D6">
      <w:pPr>
        <w:pStyle w:val="TextoNormal"/>
      </w:pPr>
      <w:r>
        <w:t>Tras exponer la doctrina constitucional sobre los arts. 149.1.13 y 156.1 CE considera la representación autonómica que el precepto recurrido vulnera dicha doctrina por las siguientes razones. En primer lugar, la norma recurrida no se aviene a los términos de globalidad que de manera constante exige el Tribunal Constitucional para legitimar la intervención estatal en las retribuciones de los empleados públicos.</w:t>
      </w:r>
    </w:p>
    <w:p w:rsidR="00AC56D6" w:rsidRDefault="00AC56D6" w:rsidP="00AC56D6">
      <w:pPr>
        <w:pStyle w:val="TextoNormal"/>
      </w:pPr>
    </w:p>
    <w:p w:rsidR="00AC56D6" w:rsidRDefault="00AC56D6" w:rsidP="00AC56D6">
      <w:pPr>
        <w:pStyle w:val="TextoNormal"/>
      </w:pPr>
      <w:r>
        <w:t>En segundo lugar, señala que la consecución de objetivos de coordinación presupuestaria no permite una intervención del Estado que termine por anular la competencia autonómica. El precepto sitúa a la Comunidad Autónoma en una posición de mero ejecutor de una medida de política retributiva que sólo a ella corresponde adoptar. Afirma que la prohibición de realizar aportaciones a planes de pensiones de empleo en los términos en que aparece formulada en el art. 2.3 del Real Decreto-ley 20/2011 infringe el principio de autonomía financiera de la Comunidad Autónoma del País Vasco reconocido en el art. 156.1 CE, en relación con la autonomía política proclamada en los arts. 2 y 137 CE, que encuentra proyección en la capacidad de la Comunidad Autónoma de ordenar el gasto en su propio presupuesto, tal y como reconoce el art. 44 del Estatuto de Autonomía del País Vasco.</w:t>
      </w:r>
    </w:p>
    <w:p w:rsidR="00AC56D6" w:rsidRDefault="00AC56D6" w:rsidP="00AC56D6">
      <w:pPr>
        <w:pStyle w:val="TextoNormal"/>
      </w:pPr>
    </w:p>
    <w:p w:rsidR="00AC56D6" w:rsidRDefault="00AC56D6" w:rsidP="00AC56D6">
      <w:pPr>
        <w:pStyle w:val="TextoNormal"/>
      </w:pPr>
      <w:r>
        <w:t>En tercer lugar, considera que la supresión de la retribución diferida durante el ejercicio 2012 aparece absolutamente desconectada del objetivo de mantenimiento de las retribuciones que proclama la exposición de motivos del Real Decreto-ley 20/2011 como medida necesaria para la consecución del objetivo de equilibrio en las cuentas públicas, separándose de cualquier posibilidad constitucionalmente asumible de limitación de la autonomía financiera de la Comunidad Autónoma.</w:t>
      </w:r>
    </w:p>
    <w:p w:rsidR="00AC56D6" w:rsidRDefault="00AC56D6" w:rsidP="00AC56D6">
      <w:pPr>
        <w:pStyle w:val="TextoNormal"/>
      </w:pPr>
    </w:p>
    <w:p w:rsidR="00AC56D6" w:rsidRDefault="00AC56D6" w:rsidP="00AC56D6">
      <w:pPr>
        <w:pStyle w:val="TextoNormal"/>
      </w:pPr>
      <w:r>
        <w:t xml:space="preserve">En cuarto lugar, afirma que la supresión del concepto retributivo que instrumenta el art. 2.3 del Real Decreto-ley 20/2011 provoca un efecto disfuncional y disgregador, contrario a la legítima invocación del art. 149.1.13 CE. La unidad y la consecución de una igualdad sustancial que se hallan en el sustrato del concepto material de legislación básica quiebra en el caso presente, cuando el Real Decreto-ley actúa sobre una retribución que en esencia se presenta desigual en el espectro retributivo de los empleados públicos, al responder a un </w:t>
      </w:r>
      <w:r>
        <w:lastRenderedPageBreak/>
        <w:t xml:space="preserve">principio facultativo. Mientras en el caso de algunas Administraciones la inexistencia de aportaciones a planes de pensiones de empleo en el ejercicio 2011 convierte la prohibición que deriva del artículo 2.3 en inocua y acorde con el mandato de mantenimiento de las retribuciones y de la masa salarial, en otras se produce un efecto bien distinto y contrario al legítimo ejercicio de la competencia estatal </w:t>
      </w:r>
      <w:r w:rsidRPr="00AC56D6">
        <w:rPr>
          <w:i/>
        </w:rPr>
        <w:t>ex</w:t>
      </w:r>
      <w:r>
        <w:t xml:space="preserve"> art. 149.1.13 CE; es el caso, añade, de aquellas Administraciones que el ejercicio 2011 hicieron uso de la previsión del art. 22.3 de la Ley 39/2010, y realizaron aportaciones a planes de empleo para sus empleados, que ahora, por mor del artículo recurrido, se ven compelidas a una reducción automática de la masa salarial, que el Real Decreto-ley 20/2011 no sólo no prevé, sino que, al contrario, hace pública bandera de su “congelación”.</w:t>
      </w:r>
    </w:p>
    <w:p w:rsidR="00AC56D6" w:rsidRDefault="00AC56D6" w:rsidP="00AC56D6">
      <w:pPr>
        <w:pStyle w:val="TextoNormal"/>
      </w:pPr>
    </w:p>
    <w:p w:rsidR="00AC56D6" w:rsidRDefault="00AC56D6" w:rsidP="00AC56D6">
      <w:pPr>
        <w:pStyle w:val="TextoNormal"/>
      </w:pPr>
      <w:r>
        <w:t>En quinto y último lugar, señala que el art. 2.3 del Real Decreto-ley 20/2011 se presenta, además, contrario al principio de solidaridad que ha de inspirar el sacrificio que se exige al conjunto de las Administraciones públicas, de acuerdo con el art. 2 CE.</w:t>
      </w:r>
    </w:p>
    <w:p w:rsidR="00AC56D6" w:rsidRDefault="00AC56D6" w:rsidP="00AC56D6">
      <w:pPr>
        <w:pStyle w:val="TextoNormal"/>
      </w:pPr>
    </w:p>
    <w:p w:rsidR="00AC56D6" w:rsidRDefault="00AC56D6" w:rsidP="00AC56D6">
      <w:pPr>
        <w:pStyle w:val="TextoNormal"/>
      </w:pPr>
      <w:r w:rsidRPr="00AC56D6">
        <w:rPr>
          <w:rStyle w:val="NumeroAFNegritaCaracter"/>
        </w:rPr>
        <w:t>3</w:t>
      </w:r>
      <w:r>
        <w:t>. El Pleno, a propuesta de la Sección Segunda, acordó, por providencia de 16 de octubre de 2012, admitir a trámite el recurso y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estimaran convenientes. Por último, también se ordenó publicar la incoación del recurso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4</w:t>
      </w:r>
      <w:r>
        <w:t>. El Presidente del Congreso de los Diputados, mediante escrito registrado el día 24 de octubre de 2012, comunicó que la Cámara se personaba en el procedimiento ofreciendo su colaboración a los efectos del art. 88.1 LOTC. En el mismo sentido se pronunció el Presidente del Senado por escrito registrado el 31 de octubre de 2012.</w:t>
      </w:r>
    </w:p>
    <w:p w:rsidR="00AC56D6" w:rsidRDefault="00AC56D6" w:rsidP="00AC56D6">
      <w:pPr>
        <w:pStyle w:val="TextoNormal"/>
      </w:pPr>
    </w:p>
    <w:p w:rsidR="00AC56D6" w:rsidRDefault="00AC56D6" w:rsidP="00AC56D6">
      <w:pPr>
        <w:pStyle w:val="TextoNormal"/>
      </w:pPr>
      <w:r w:rsidRPr="00AC56D6">
        <w:rPr>
          <w:rStyle w:val="NumeroAFNegritaCaracter"/>
        </w:rPr>
        <w:t>5</w:t>
      </w:r>
      <w:r>
        <w:t>. Por escrito registrado en el Tribunal el 23 de octubre de 2012, se personó el Abogado del Estado y solicitó prórroga del plazo concedido para la presentación del escrito de alegaciones.</w:t>
      </w:r>
    </w:p>
    <w:p w:rsidR="00AC56D6" w:rsidRDefault="00AC56D6" w:rsidP="00AC56D6">
      <w:pPr>
        <w:pStyle w:val="TextoNormal"/>
      </w:pPr>
    </w:p>
    <w:p w:rsidR="00AC56D6" w:rsidRDefault="00AC56D6" w:rsidP="00AC56D6">
      <w:pPr>
        <w:pStyle w:val="TextoNormal"/>
      </w:pPr>
      <w:r>
        <w:t>El Pleno del Tribunal acordó, por providencia de 24 de octubre de 2012, tener por personado al Abogado del Estado y concederle una prórroga de ocho días en el plazo para realizar alegaciones.</w:t>
      </w:r>
    </w:p>
    <w:p w:rsidR="00AC56D6" w:rsidRDefault="00AC56D6" w:rsidP="00AC56D6">
      <w:pPr>
        <w:pStyle w:val="TextoNormal"/>
      </w:pPr>
    </w:p>
    <w:p w:rsidR="00AC56D6" w:rsidRDefault="00AC56D6" w:rsidP="00AC56D6">
      <w:pPr>
        <w:pStyle w:val="TextoNormal"/>
      </w:pPr>
      <w:r w:rsidRPr="00AC56D6">
        <w:rPr>
          <w:rStyle w:val="NumeroAFNegritaCaracter"/>
        </w:rPr>
        <w:t>6</w:t>
      </w:r>
      <w:r>
        <w:t>. Por escrito registrado el 23 de noviembre de 2012 el Abogado del Estado solicitó la desestimación del recurso interpuesto por las razones que, resumidamente, se exponen a continuación:</w:t>
      </w:r>
    </w:p>
    <w:p w:rsidR="00AC56D6" w:rsidRDefault="00AC56D6" w:rsidP="00AC56D6">
      <w:pPr>
        <w:pStyle w:val="TextoNormal"/>
      </w:pPr>
    </w:p>
    <w:p w:rsidR="00AC56D6" w:rsidRDefault="00AC56D6" w:rsidP="00AC56D6">
      <w:pPr>
        <w:pStyle w:val="TextoNormal"/>
      </w:pPr>
      <w:r>
        <w:t xml:space="preserve">a) Tras exponer el objeto y fundamento del recurso planteado por el Gobierno Vasco, el Abogado del Estado analiza la pretendida infracción del art. 86.1 CE. Señala que del examen de la exposición de motivos del Real Decreto-ley 20/2011 resulta indiscutible la concurrencia de una grave situación que se corresponde con las expresiones “extraordinaria y urgente”. Indica que el Gobierno resultante de las elecciones, tras tomar posesión el 22 de diciembre de 2011, tuvo que llevar a cabo una prórroga ajustada del presupuesto, realizando el ajuste antes de que acabara el año y, por tanto, disponiendo tan sólo de una semana para </w:t>
      </w:r>
      <w:r>
        <w:lastRenderedPageBreak/>
        <w:t>determinar el contenido del Real Decreto-ley que recogiera medidas urgentes para hacer frente a circunstancias graves y en gran parte imprevistas. Y es que el presupuesto de 2011 respondía inicialmente a un objetivo de déficit de las Administraciones públicas del 6 por 100, mientras que el de 2012 debería diseñarse para conseguir un déficit del 4,4 por 100, 1,6 puntos porcentuales menos que el que se debía prorrogar. El Real Decreto-ley 20/2011 que ajusta el presupuesto prorrogado realiza una consolidación fiscal de más de un punto del producto interior bruto (PIB), que incluye el de no disponibilidad de 8.900 millones de euros en los Ministerios.</w:t>
      </w:r>
    </w:p>
    <w:p w:rsidR="00AC56D6" w:rsidRDefault="00AC56D6" w:rsidP="00AC56D6">
      <w:pPr>
        <w:pStyle w:val="TextoNormal"/>
      </w:pPr>
    </w:p>
    <w:p w:rsidR="00AC56D6" w:rsidRDefault="00AC56D6" w:rsidP="00AC56D6">
      <w:pPr>
        <w:pStyle w:val="TextoNormal"/>
      </w:pPr>
      <w:r>
        <w:t>Afirma que las razones de urgencia para la utilización del Real Decreto-ley son las graves razones económico-financieras a las que debe hacer frente el Gobierno entrante. Razones que asimismo fueron puestas de manifiesto por el Ministro de Hacienda y Administraciones Públicas en el debate de convalidación del Real Decreto-ley 20/2011. Señala el Abogado del Estado que el Real Decreto-ley 20/2011 se adopta en el contexto de una crisis económica global sobre cuya gravedad no hace falta abundar en exceso. Así, indica que el Banco de España en el informe de 2009 puso de manifiesto el riesgo de que, tras “la crisis de credibilidad fiscal griega”, se produjera un “contagio hacia otras economías vulnerables”. Ese riesgo se agravó tras la crisis irlandesa y el aumento de los diferenciales de las deudas soberanas de Portugal y España, que finalmente desencadenó la crisis portuguesa. Y sobre la naturaleza de la crisis señala que también se volvió a pronunciar el Banco de España en sus informes de 2010 y 2011, algunos de cuyos párrafos reproduce.</w:t>
      </w:r>
    </w:p>
    <w:p w:rsidR="00AC56D6" w:rsidRDefault="00AC56D6" w:rsidP="00AC56D6">
      <w:pPr>
        <w:pStyle w:val="TextoNormal"/>
      </w:pPr>
    </w:p>
    <w:p w:rsidR="00AC56D6" w:rsidRDefault="00AC56D6" w:rsidP="00AC56D6">
      <w:pPr>
        <w:pStyle w:val="TextoNormal"/>
      </w:pPr>
      <w:r>
        <w:t>Indica que el Tribunal Constitucional no se ha mostrado ajeno a la trascendencia de la crisis económica que atraviesa la zona euro y cita como ejemplo los AATC 95/2011, de 21 de junio, FJ 5; 96/2011, de 21 de junio, FJ 5; 147/2012, de 16 de julio, FJ 6, y 161/2012, de 13 de septiembre, FJ 4. En todos ellos se refiere el Tribunal a la necesidad de preservar la contención del gasto público en el actual contexto económico y financiero de reducción del déficit público.</w:t>
      </w:r>
    </w:p>
    <w:p w:rsidR="00AC56D6" w:rsidRDefault="00AC56D6" w:rsidP="00AC56D6">
      <w:pPr>
        <w:pStyle w:val="TextoNormal"/>
      </w:pPr>
    </w:p>
    <w:p w:rsidR="00AC56D6" w:rsidRDefault="00AC56D6" w:rsidP="00AC56D6">
      <w:pPr>
        <w:pStyle w:val="TextoNormal"/>
      </w:pPr>
      <w:r>
        <w:t>Recuerda, asimismo, que en la senda de consolidación fiscal pactada con los órganos de la Unión Europea, España se ha visto obligada a una fuerte reducción del déficit del 8,5 por 100 del PIB en 2011, al 5,3 por 100 en 2012, lo que ha exigido adoptar importantes medidas de reducción del gasto público. En definitiva, afirma, en una situación como la actual, que obliga cada año a reducciones del déficit entorno al 3 por 100 del PIB, es decir, de aproximadamente 30.000 millones de euros cada año, con una economía que ha entrado en una segunda recesión en poco tiempo y, por tanto, en la que no es previsible que haya una recuperación de los ingresos tributarios, en la que van a seguir en aumento los gastos sociales por prestaciones de desempleo y pensiones y que, además, tiene relativamente cerradas las fuentes externas de financiación vía endeudamiento, parece evidente que existen pocas opciones además de reducir el gasto y buscar nuevas fuentes de ingresos.</w:t>
      </w:r>
    </w:p>
    <w:p w:rsidR="00AC56D6" w:rsidRDefault="00AC56D6" w:rsidP="00AC56D6">
      <w:pPr>
        <w:pStyle w:val="TextoNormal"/>
      </w:pPr>
    </w:p>
    <w:p w:rsidR="00AC56D6" w:rsidRDefault="00AC56D6" w:rsidP="00AC56D6">
      <w:pPr>
        <w:pStyle w:val="TextoNormal"/>
      </w:pPr>
      <w:r>
        <w:t xml:space="preserve">A la vista de lo expuesto, afirma que el escrito del recurso muestra una concepción excesivamente estrecha del presupuesto constitucional habilitante de los decretos-leyes. A su juicio, la correcta interpretación constitucional del art. 86.1 CE obliga a conceder al Gobierno (bajo el control político del Congreso) un amplio margen de apreciación de la situación de necesidad y de sus notas de urgente y extraordinaria, sólo limitado por el abuso o la arbitrariedad manifiestos. Y es que cuando el artículo 86 atribuye al Gobierno la facultad de dictar disposiciones legislativas lo hace para que pueda adoptar medidas urgentes para la </w:t>
      </w:r>
      <w:r>
        <w:lastRenderedPageBreak/>
        <w:t>gobernación del Estado sin los condicionamientos temporales y sustantivos derivados de la tramitación parlamentaria de las leyes, sea ordinaria o urgente.</w:t>
      </w:r>
    </w:p>
    <w:p w:rsidR="00AC56D6" w:rsidRDefault="00AC56D6" w:rsidP="00AC56D6">
      <w:pPr>
        <w:pStyle w:val="TextoNormal"/>
      </w:pPr>
    </w:p>
    <w:p w:rsidR="00AC56D6" w:rsidRDefault="00AC56D6" w:rsidP="00AC56D6">
      <w:pPr>
        <w:pStyle w:val="TextoNormal"/>
      </w:pPr>
      <w:r>
        <w:t>Afirma que, en este supuesto, influye de manera decisiva en la urgencia el que las medidas del Real Decreto-ley 20/2011 se adoptaron por el nuevo Gobierno como actuación de choque dirigida a corregir el desequilibrio presupuestario y controlar el déficit público ante la gravedad de la situación económica y financiera que atraviesa España. Señala que se trataba de actuar de manera inmediata para evitar que el retraso en la adopción de medidas agravase aún más la crisis económica, impidiendo la creación de empleo y la financiación de la economía de nuestro país.</w:t>
      </w:r>
    </w:p>
    <w:p w:rsidR="00AC56D6" w:rsidRDefault="00AC56D6" w:rsidP="00AC56D6">
      <w:pPr>
        <w:pStyle w:val="TextoNormal"/>
      </w:pPr>
    </w:p>
    <w:p w:rsidR="00AC56D6" w:rsidRDefault="00AC56D6" w:rsidP="00AC56D6">
      <w:pPr>
        <w:pStyle w:val="TextoNormal"/>
      </w:pPr>
      <w:r>
        <w:t>A juicio del Abogado del Estado, los argumentos que ofrece la demanda para negar la concurrencia del presupuesto habilitante no pueden acogerse, pues de su argumentación parece deducirse que la concurrencia del presupuesto habilitante habría de razonarse por el Gobierno de forma individualizada respecto de cada uno de los preceptos que conforman el decreto-ley de que se trate. Señala que del art. 86 CE no resulta que el instrumento legal del Gobierno quede limitado a atajar determinadas situaciones con medidas que aisladamente consideradas deban cumplir por sí solas el presupuesto habilitante y respecto de las que resulte obligado justificar individualmente su necesaria adopción. Entiende que la situación excepcional de urgencia puede exigir medidas que sólo conjuntamente resulten eficaces para su corrección, si se adoptan inmediatamente, pudiendo el Gobierno utilizar entonces el cauce del art. 86 CE. Por ello, sostiene que el hecho de que el Consejo de Gobierno del País Vasco haya decidido recurrir sólo una medida de las contenidas en el Real Decreto-ley 20/2011 no puede condicionar el enjuiciamiento del cumplimiento del presupuesto habilitante a ella aisladamente considerada, siendo de plena aplicación la STC de 4 de octubre de 2012. Así, para el Abogado del Estado el análisis del cumplimiento del presupuesto habilitante deberá hacerse tanto de manera aislada en relación con la medida individual recurrida como en su conjunto, incluyendo todas las que recoge el Real Decreto-ley, para lo que deberá tenerse en cuenta que la medida cuestionada se inserta en un conjunto más amplio de medidas, tanto presupuestarias como tributarias y financieras, dirigidas a corregir el déficit público y, en particular, las relativas a los gastos de personal, como son las recogidas en los apartados 2 y 6 del artículo 2.</w:t>
      </w:r>
    </w:p>
    <w:p w:rsidR="00AC56D6" w:rsidRDefault="00AC56D6" w:rsidP="00AC56D6">
      <w:pPr>
        <w:pStyle w:val="TextoNormal"/>
      </w:pPr>
    </w:p>
    <w:p w:rsidR="00AC56D6" w:rsidRDefault="00AC56D6" w:rsidP="00AC56D6">
      <w:pPr>
        <w:pStyle w:val="TextoNormal"/>
      </w:pPr>
      <w:r>
        <w:t xml:space="preserve">A continuación, el Abogado del Estado analiza la conexión de la medida adoptada con el presupuesto apreciado, y afirma que la misma tiene una clara y directa repercusión en la situación económica que el Gobierno quiso manejar con ella. Señala que la disposición adicional segunda del texto refundido de la Ley de planes y fondos de pensiones habilitaba a las entidades del sector público para promover planes de pensiones de empleo y contratos de seguro colectivos a favor de su personal y para hacer aportaciones a los mismos, pero con la expresa salvedad de que todo ello debería entenderse con arreglo a las correspondientes habilitaciones presupuestarias de que dispusieran esas entidades, salvedad que asimismo se venía reflejando en la norma que a tal efecto se incluía en las leyes de presupuestos generales del Estado a partir del año 2004, fijando el importe de la masa salarial hasta el que podía elevarse como máximo el importe de esas aportaciones; y así ha venido sucediendo hasta el Real Decreto-ley 20/2011, en el que se ha prohibido la realización de tales aportaciones. Señala que de lo expuesto resulta que la posibilidad de prohibir la realización de </w:t>
      </w:r>
      <w:r>
        <w:lastRenderedPageBreak/>
        <w:t>aportaciones a planes de pensiones o contratos de seguro colectivos se contempla expresamente en la regulación de los mismos, de lo que se concluye la procedencia de prohibir las referidas aportaciones a través de las correspondientes leyes presupuestarias.</w:t>
      </w:r>
    </w:p>
    <w:p w:rsidR="00AC56D6" w:rsidRDefault="00AC56D6" w:rsidP="00AC56D6">
      <w:pPr>
        <w:pStyle w:val="TextoNormal"/>
      </w:pPr>
    </w:p>
    <w:p w:rsidR="00AC56D6" w:rsidRDefault="00AC56D6" w:rsidP="00AC56D6">
      <w:pPr>
        <w:pStyle w:val="TextoNormal"/>
      </w:pPr>
      <w:r>
        <w:t>Pero junto a la normativa expuesta afirma también que las aportaciones de las entidades del sector público a planes de pensiones de empleo y contratos de seguro colectivo forman parte de las retribuciones de los empleados públicos, con la específica naturaleza de retribuciones diferidas, e indica que así se deriva de los preceptos relativos a esta materia en las sucesivas leyes de presupuestos generales del Estado desde el año 2004 y así se prevé también en el art. 29 LEEP. Añade que al reproducirse en el art. 22.3 de la Ley de presupuestos generales del Estado para 2012, rotulado “Bases y coordinación de la planificación general de la actividad económica en materia de gastos de personal al servicio del sector público”, la norma contenida en el art. 2.3 del Real Decreto-ley 20/2011, se confirma la voluntad del legislador de que en el ejercicio 2012 se aplique un criterio único respecto de todas las aportaciones de las entidades del sector público a planes de pensiones de empleo y contratos de seguro colectivo, cual es el de prohibir totalmente su realización.</w:t>
      </w:r>
    </w:p>
    <w:p w:rsidR="00AC56D6" w:rsidRDefault="00AC56D6" w:rsidP="00AC56D6">
      <w:pPr>
        <w:pStyle w:val="TextoNormal"/>
      </w:pPr>
    </w:p>
    <w:p w:rsidR="00AC56D6" w:rsidRDefault="00AC56D6" w:rsidP="00AC56D6">
      <w:pPr>
        <w:pStyle w:val="TextoNormal"/>
      </w:pPr>
      <w:r>
        <w:t>Finalmente, señala que la medida cuestionada presenta una perfecta conexión con la necesidad de poner inmediato fin a la situación existente de desequilibrio presupuestario, y recuerda que la propia Comunidad Autónoma del País Vasco, en la Ley 6/2011, de 23 de diciembre, de presupuestos para 2012, aprobada con anterioridad al Real Decreto-ley 20/2011, establecía en su artículo 19 sobre gastos de personal, la congelación salarial, excepto en cuanto a la aportación a planes de pensiones que reduce en un 50 por 100, medida reductora que la propia parte hoy demandante no consideró arbitraria sino basada en importantes razones económicas.</w:t>
      </w:r>
    </w:p>
    <w:p w:rsidR="00AC56D6" w:rsidRDefault="00AC56D6" w:rsidP="00AC56D6">
      <w:pPr>
        <w:pStyle w:val="TextoNormal"/>
      </w:pPr>
    </w:p>
    <w:p w:rsidR="00AC56D6" w:rsidRDefault="00AC56D6" w:rsidP="00AC56D6">
      <w:pPr>
        <w:pStyle w:val="TextoNormal"/>
      </w:pPr>
      <w:r>
        <w:t>b) Seguidamente, considera el Abogado del Estado que dado que el principal objetivo que persigue el Real Decreto-ley 20/2011 es reducir con carácter inmediato el desequilibrio presupuestario, el análisis de constitucionalidad de la medida impugnada ha de efectuarse por contraste con lo dispuesto en el art. 149.1.13 CE y, por su específica relación con el título competencial que tal precepto reconoce al Estado, teniendo igualmente presente el principio de coordinación con las Haciendas públicas, consagrado en el art. 156 CE. Recuerda que, con base en los arts. 149.1.13 y 156.1 CE, consolidada doctrina del Tribunal Constitucional (cita las SSTC 148/2006, de 11 de mayo, 195/2006, de 22 de junio, y 297/2006, de 11 de octubre) ha reconocido la capacidad del Estado para establecer con carácter básico y, por tanto, de obligada observancia por todas las Administraciones públicas, límites al incremento global de las retribuciones del personal al servicio del sector público. Por ello, afirma que dado que la limitación de incrementos retributivos del personal del sector público está constitucionalmente fundada no en el art. 149.1.18 CE, sino en la relativa a la dirección y ordenación general de la economía (art. 149.1.13 CE) y en el principio de coordinación financiera (art. 156.1 CE), nos hallamos en este supuesto ante una medida amparada en el art. 149.1.13 CE, que alcanza a todo el personal al servicio de las Administraciones públicas y disfruta de un carácter excepcional cuya aplicación se justifica por la actual coyuntura económica, quedando su vigencia limitada al mantenimiento de las condiciones macroeconómicas que impone un escenario presupuestario de contención del gasto público. De esta forma, señala, siendo la competencia constitucional ejercitada para dictar la medida impugnada la del art. 149.1.13 CE, la violación de los arts. 149.1.18 CE y 10.4 del Estatuto de Autonomía del País Vasco que la demanda le imputa resulta improcedente.</w:t>
      </w:r>
    </w:p>
    <w:p w:rsidR="00AC56D6" w:rsidRDefault="00AC56D6" w:rsidP="00AC56D6">
      <w:pPr>
        <w:pStyle w:val="TextoNormal"/>
      </w:pPr>
    </w:p>
    <w:p w:rsidR="00AC56D6" w:rsidRDefault="00AC56D6" w:rsidP="00AC56D6">
      <w:pPr>
        <w:pStyle w:val="TextoNormal"/>
      </w:pPr>
      <w:r>
        <w:t>c) A continuación, alude el Abogado del Estado al carácter materialmente básico de la medida impugnada. A su juicio, la norma satisface plenamente la doble vertiente material y formal que ha de concurrir en lo básico. Desde el punto de vista formal la norma tiene rango de ley y el carácter formalmente básico del apartado 3 del art. 2 del Real Decreto-ley 20/2011 viene explícitamente declarado en el apartado 7 de igual precepto. Además, considera que la medida cuestionada ha de considerarse materialmente básica, pues si el Tribunal Constitucional ha reconocido la idoneidad de la Ley de presupuestos generales del Estado, como vehículo de dirección y orientación de la política económica del Gobierno para limitar las retribuciones de los funcionarios autonómicos (STC 222/2006, FJ 3), no puede negarse la procedencia de amparo competencial de este Real Decreto-ley en el art. 149.1.13 CE, pues como señala su preámbulo, si bien “el principio del que se parte es el de que se produce la prórroga general de la Ley 39/2010, de 22 de diciembre, de Presupuestos Generales del Estado para el año 2011 a partir del 1 de enero de 2012”, resulta obligado acudir al Decreto-ley para evitar ciertas disfunciones que originaría la prórroga de determinadas materias, tales como repercusiones en el déficit público y en la estabilidad presupuestaria, con las consecuencias que ello podría tener en los compromisos asumidos por España ante la Unión Europea en la reducción del déficit público. Por ello, afirma que la limitación que recoge el art. 2.3 del Real Decreto-ley 20/2011 representa una previsión de política económica general de carácter básico similar a la que integran el contenido constitucionalmente previsto para las leyes de presupuestos. Y dada la naturaleza retributiva de carácter diferido que ostentan las aportaciones a que se refiere el precepto impugnado, su prohibición constituye, a juicio del Abogado del Estado, una reducción de tal concepto retributivo para todos los empleados públicos que venían siendo beneficiarios de ellas, reducción que se superpone a la congelación retributiva prevista en el apartado dos de igual precepto.</w:t>
      </w:r>
    </w:p>
    <w:p w:rsidR="00AC56D6" w:rsidRDefault="00AC56D6" w:rsidP="00AC56D6">
      <w:pPr>
        <w:pStyle w:val="TextoNormal"/>
      </w:pPr>
    </w:p>
    <w:p w:rsidR="00AC56D6" w:rsidRDefault="00AC56D6" w:rsidP="00AC56D6">
      <w:pPr>
        <w:pStyle w:val="TextoNormal"/>
      </w:pPr>
      <w:r>
        <w:t>Señala que la demanda dedica un gran esfuerzo argumentativo al contenido del art. 29 LEEP para concluir ofreciendo una interpretación del mismo que, además de contraria a su propio tenor literal, viene a impedir el ejercicio por el Estado de la competencia que consagra el art. 149.1.13 CE, pareciendo olvidar la parte recurrente que este precepto no producirá efectos sino a partir de la entrada en vigor de las leyes de función pública que se dicten en desarrollo de la Ley del estatuto básico del empleado público. Afirma que el escrito de demanda prescinde de la jurisprudencia constitucional, que afirma que la atribución por los Estatutos de Autonomía de competencias exclusivas sobre una materia no puede afectar a las competencias estatales concurrentes con ella relacionadas en el art. 149.1 CE que requieren de salvaguarda explícita. Por tanto, a su juicio, la intensidad de las competencias autonómicas que destaca el recurrente no sirve para justificar la inconstitucionalidad del precepto impugnado.</w:t>
      </w:r>
    </w:p>
    <w:p w:rsidR="00AC56D6" w:rsidRDefault="00AC56D6" w:rsidP="00AC56D6">
      <w:pPr>
        <w:pStyle w:val="TextoNormal"/>
      </w:pPr>
    </w:p>
    <w:p w:rsidR="00AC56D6" w:rsidRDefault="00AC56D6" w:rsidP="00AC56D6">
      <w:pPr>
        <w:pStyle w:val="TextoNormal"/>
      </w:pPr>
      <w:r>
        <w:t xml:space="preserve">Considera que el art. 29 LEEP se ocupa de concretar, las disposiciones legales en las que se delimitará la cuantía que las Administraciones públicas puedan destinar a financiar aportaciones a planes de pensiones de empleo o contrato de seguro colectivos en los que se incluyera la cobertura de la contingencia de jubilación para el personal incluido en sus ámbitos, de acuerdo con lo establecido en la normativa reguladora de los planes de pensiones, que no son otras que las leyes de presupuestos generales del Estado, al ser en éstas donde se fija el porcentaje de la masa salarial y la forma de cálculo de las cantidades que se destinan a tal fin (un porcentaje de la masa salarial). Para el Abogado del Estado esto no significa que este precepto impida al Estado, en atención a la situación económica-financiera, no fijar </w:t>
      </w:r>
      <w:r>
        <w:lastRenderedPageBreak/>
        <w:t>cuantía alguna por dicho concepto, sino simplemente que las aportaciones a planes de pensiones reciben en la normativa básica un tratamiento diferenciado respecto a las restantes retribuciones.</w:t>
      </w:r>
    </w:p>
    <w:p w:rsidR="00AC56D6" w:rsidRDefault="00AC56D6" w:rsidP="00AC56D6">
      <w:pPr>
        <w:pStyle w:val="TextoNormal"/>
      </w:pPr>
    </w:p>
    <w:p w:rsidR="00AC56D6" w:rsidRDefault="00AC56D6" w:rsidP="00AC56D6">
      <w:pPr>
        <w:pStyle w:val="TextoNormal"/>
      </w:pPr>
      <w:r>
        <w:t>Añade que tampoco la existencia de previa legislación básica de distinto tenor puede admitirse como argumento para razonar la inconstitucionalidad de la medida recurrida. No existe un derecho a la intangibilidad o inmutabilidad de una anterior normativa básica.</w:t>
      </w:r>
    </w:p>
    <w:p w:rsidR="00AC56D6" w:rsidRDefault="00AC56D6" w:rsidP="00AC56D6">
      <w:pPr>
        <w:pStyle w:val="TextoNormal"/>
      </w:pPr>
    </w:p>
    <w:p w:rsidR="00AC56D6" w:rsidRDefault="00AC56D6" w:rsidP="00AC56D6">
      <w:pPr>
        <w:pStyle w:val="TextoNormal"/>
      </w:pPr>
      <w:r>
        <w:t>Respecto al efecto disfuncional y disgregador que, a juicio del recurrente, provoca la congelación de esa retribución diferida, estimándolo contrario a la legítima invocación del art. 149.1.13 CE, señala el Abogado del Estado que la medida impugnada no supone un trato desigual entre Administraciones públicas pues, como tampoco lo suponían anteriores limitaciones, es una medida de carácter general para la contención del gasto que se aplica por igual en el conjunto del sector público. Recuerda así que el principio de autonomía financiera autonómica en relación con el gasto no es absoluto, y puede quedar afectado constitucionalmente por decisiones del Estado en materia de ordenación general de la economía, como es la medida que recoge el art. 2.3 del Real Decreto-ley 20/2011.</w:t>
      </w:r>
    </w:p>
    <w:p w:rsidR="00AC56D6" w:rsidRDefault="00AC56D6" w:rsidP="00AC56D6">
      <w:pPr>
        <w:pStyle w:val="TextoNormal"/>
      </w:pPr>
    </w:p>
    <w:p w:rsidR="00AC56D6" w:rsidRDefault="00AC56D6" w:rsidP="00AC56D6">
      <w:pPr>
        <w:pStyle w:val="TextoNormal"/>
      </w:pPr>
      <w:r>
        <w:t>Por todo ello, afirma que una vez razonado el carácter materialmente básico de la medida recurrida y su correcto amparo competencial en los arts. 149.1.13 y 156 CE, por su íntima conexión con el objetivo de reducción del déficit público, no procede sino rechazar todas las tachas de inconstitucionalidad que la demanda imputa al art. 2.3 del Real Decreto-ley 20/2011.</w:t>
      </w:r>
    </w:p>
    <w:p w:rsidR="00AC56D6" w:rsidRDefault="00AC56D6" w:rsidP="00AC56D6">
      <w:pPr>
        <w:pStyle w:val="TextoNormal"/>
      </w:pPr>
    </w:p>
    <w:p w:rsidR="00AC56D6" w:rsidRDefault="00AC56D6" w:rsidP="00AC56D6">
      <w:pPr>
        <w:pStyle w:val="TextoNormal"/>
      </w:pPr>
      <w:r w:rsidRPr="00AC56D6">
        <w:rPr>
          <w:rStyle w:val="NumeroAFNegritaCaracter"/>
        </w:rPr>
        <w:t>7</w:t>
      </w:r>
      <w:r>
        <w:t>. Por providencia de 20 de octubre de 2015 se señaló para deliberación y votación de la presente Sentencia el día 22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presente recurso de inconstitucionalidad se interpone por el Gobierno de la Comunidad Autónoma del País Vasco contra el apartado 3 del art. 2 del Real Decreto-ley 20/2011, de 30 de diciembre, de medidas urgentes en materia presupuestaria, tributaria y financiera para la corrección del déficit público, que suspende la posibilidad de que las Administraciones, entidades y sociedades públicas puedan realizar aportaciones a planes de pensiones de empleo o contratos de seguro colectivos durante el ejercicio 2012.</w:t>
      </w:r>
    </w:p>
    <w:p w:rsidR="00AC56D6" w:rsidRDefault="00AC56D6" w:rsidP="00AC56D6">
      <w:pPr>
        <w:pStyle w:val="TextoNormal"/>
      </w:pPr>
    </w:p>
    <w:p w:rsidR="00AC56D6" w:rsidRDefault="00AC56D6" w:rsidP="00AC56D6">
      <w:pPr>
        <w:pStyle w:val="TextoNormal"/>
      </w:pPr>
      <w:r>
        <w:t>A juicio del Gobierno Vasco el precepto vulnera el art. 86.1 CE, por no concurrir el presupuesto habilitante de la extraordinaria y urgente necesidad, contemplado en dicho precepto, y los arts. 149.1.18, 149.1.13 y 156.1 CE, por entender que el precepto no encuentra amparo en la competencia estatal para regular las bases del régimen estatutario de los funcionarios públicos, excede las competencias estatales básicas en materia de ordenación general de la economía e infringe el principio de autonomía financiera de la Comunidad Autónoma del País Vasco y el principio constitucional de solidaridad.</w:t>
      </w:r>
    </w:p>
    <w:p w:rsidR="00AC56D6" w:rsidRDefault="00AC56D6" w:rsidP="00AC56D6">
      <w:pPr>
        <w:pStyle w:val="TextoNormal"/>
      </w:pPr>
    </w:p>
    <w:p w:rsidR="00AC56D6" w:rsidRDefault="00AC56D6" w:rsidP="00AC56D6">
      <w:pPr>
        <w:pStyle w:val="TextoNormal"/>
      </w:pPr>
      <w:r>
        <w:t xml:space="preserve">El Abogado del Estado interesa la desestimación del recurso por considerar que la disposición impugnada no ha vulnerado el art. 86.1 CE, al concurrir el presupuesto habilitante y haberse manifestado adecuadamente su concurrencia por el Gobierno, ni los arts. </w:t>
      </w:r>
      <w:r>
        <w:lastRenderedPageBreak/>
        <w:t>149.1.18, 1491.13 y 156.1 CE, al entender que la limitación que recoge el precepto impugnado constituye una previsión de política económica general de carácter básico en íntima conexión con el objetivo de reducción del déficit público.</w:t>
      </w:r>
    </w:p>
    <w:p w:rsidR="00AC56D6" w:rsidRDefault="00AC56D6" w:rsidP="00AC56D6">
      <w:pPr>
        <w:pStyle w:val="TextoNormal"/>
      </w:pPr>
    </w:p>
    <w:p w:rsidR="00AC56D6" w:rsidRDefault="00AC56D6" w:rsidP="00AC56D6">
      <w:pPr>
        <w:pStyle w:val="TextoNormal"/>
      </w:pPr>
      <w:r w:rsidRPr="00AC56D6">
        <w:rPr>
          <w:rStyle w:val="NumeroAFNegritaCaracter"/>
        </w:rPr>
        <w:t>2</w:t>
      </w:r>
      <w:r>
        <w:t>. El precepto impugnado en este recurso de inconstitucionalidad, art. 2.3 del Real Decreto-ley 20/2011, señala:</w:t>
      </w:r>
    </w:p>
    <w:p w:rsidR="00AC56D6" w:rsidRDefault="00AC56D6" w:rsidP="00AC56D6">
      <w:pPr>
        <w:pStyle w:val="TextoNormal"/>
      </w:pPr>
    </w:p>
    <w:p w:rsidR="00AC56D6" w:rsidRDefault="00AC56D6" w:rsidP="00AC56D6">
      <w:pPr>
        <w:pStyle w:val="TextoNormal"/>
      </w:pPr>
      <w:r>
        <w:t>“Durante el ejercicio 2012, las Administraciones, entidades y sociedades a que se refiere el apartado Uno de este artículo, no podrán realizar aportaciones a planes de pensiones de empleo o contratos de seguro colectivos que incluyan la cobertura de la contingencia de jubilación.”</w:t>
      </w:r>
    </w:p>
    <w:p w:rsidR="00AC56D6" w:rsidRDefault="00AC56D6" w:rsidP="00AC56D6">
      <w:pPr>
        <w:pStyle w:val="TextoNormal"/>
      </w:pPr>
    </w:p>
    <w:p w:rsidR="00AC56D6" w:rsidRDefault="00AC56D6" w:rsidP="00AC56D6">
      <w:pPr>
        <w:pStyle w:val="TextoNormal"/>
      </w:pPr>
      <w:r>
        <w:t>El apartado 1 del artículo 2 a que se remite el precepto indica que constituye sector público, a los efectos de lo establecido en este artículo relativo a las retribuciones del personal y altos cargos del sector público: la Administración general del Estado, sus organismos autónomos y agencias estatales y las universidades de su competencia; las Administraciones de las Comunidades Autónomas, los organismos de ellas dependientes y las universidades de su competencia; las corporaciones locales y organismos de ellas dependientes; las entidades gestoras y servicios comunes de la Seguridad Social; los órganos constitucionales del Estado, sin perjuicio de lo establecido en el artículo 72.1 de la Constitución; las sociedades mercantiles públicas; las entidades públicas empresariales y el resto de los organismos públicos y entes del sector público estatal, autonómico y local.</w:t>
      </w:r>
    </w:p>
    <w:p w:rsidR="00AC56D6" w:rsidRDefault="00AC56D6" w:rsidP="00AC56D6">
      <w:pPr>
        <w:pStyle w:val="TextoNormal"/>
      </w:pPr>
    </w:p>
    <w:p w:rsidR="00AC56D6" w:rsidRDefault="00AC56D6" w:rsidP="00AC56D6">
      <w:pPr>
        <w:pStyle w:val="TextoNormal"/>
      </w:pPr>
      <w:r>
        <w:t>A los efectos de situar la disposición impugnada en su contexto legislativo, conviene recordar que la posibilidad de que las Administraciones públicas realicen aportaciones a sistemas complementarios de la Seguridad Social, se contempla en el art. 29 de la Ley del estatuto básico del empleado público, aprobada por la Ley 7/2007, de 12 de abril, (en adelante, LEEP): “Las Administraciones Públicas podrán destinar cantidades hasta el porcentaje de la masa salarial que se fije en las correspondientes Leyes de Presupuestos Generales del Estado a financiar aportaciones a planes de pensiones de empleo o contratos de seguro colectivos que incluyan la cobertura de la contingencia de jubilación, para el personal incluido en sus ámbitos, de acuerdo con lo establecido en la normativa reguladora de los Planes de Pensiones. Las cantidades destinadas a financiar aportaciones a planes de pensiones o contratos de seguros tendrán a todos los efectos la consideración de retribución diferida”.</w:t>
      </w:r>
    </w:p>
    <w:p w:rsidR="00AC56D6" w:rsidRDefault="00AC56D6" w:rsidP="00AC56D6">
      <w:pPr>
        <w:pStyle w:val="TextoNormal"/>
      </w:pPr>
    </w:p>
    <w:p w:rsidR="00AC56D6" w:rsidRDefault="00AC56D6" w:rsidP="00AC56D6">
      <w:pPr>
        <w:pStyle w:val="TextoNormal"/>
      </w:pPr>
      <w:r>
        <w:t>De conformidad con la regulación descrita, las leyes de presupuestos generales del Estado han previsto a partir de la Ley 61/2003, de 30 de diciembre, de presupuestos generales del Estado para el año 2004, que cuando la Administración pública actúe como promotor o tomador de planes de pensiones o contratos de seguro que instrumenten compromisos por pensiones que incluyan la contingencia de jubilación se destine un 0,5 por 100 de la masa salarial a financiar las aportaciones a dichos planes o contratos. Este porcentaje se redujo en el año 2010 al 0,3 por 100 (art. 22.3 de la Ley de presupuestos generales del Estado para el año 2010, Ley 26/2009, de 23 de diciembre); porcentaje que se mantuvo en la Ley de presupuestos generales del Estado para el año 2011 (art. 22.3 de la Ley 39/2010, de 22 de diciembre). En todo caso, las leyes de presupuestos han advertido también que las cantidades destinadas a ese fin “tendrán a todos los efectos la consideración de retribuciones diferidas”.</w:t>
      </w:r>
    </w:p>
    <w:p w:rsidR="00AC56D6" w:rsidRDefault="00AC56D6" w:rsidP="00AC56D6">
      <w:pPr>
        <w:pStyle w:val="TextoNormal"/>
      </w:pPr>
    </w:p>
    <w:p w:rsidR="00AC56D6" w:rsidRDefault="00AC56D6" w:rsidP="00AC56D6">
      <w:pPr>
        <w:pStyle w:val="TextoNormal"/>
      </w:pPr>
      <w:r>
        <w:lastRenderedPageBreak/>
        <w:t>La disolución del Congreso de los Diputados por el Real Decreto 1329/2011, de 26 de septiembre, y la convocatoria de elecciones generales el 20 de noviembre de 2011 hizo que no se aprobara la Ley de presupuestos generales del Estado para el año 2012 y que se consideraran automáticamente prorrogados los presupuestos del año anterior hasta la aprobación de los nuevos (art. 134.4 CE). El nuevo Gobierno resultante de las elecciones consideró que la pura y simple prórroga de la Ley de presupuestos generales del Estado para el año 2011 ocasionaría ciertas disfunciones que era preciso corregir, y por ello aprobó el Real Decreto-ley 20/2011, cuya estructura trata de seguir la de las leyes de presupuestos generales del Estado, y en el que se introducen, básicamente, modificaciones en materia de créditos presupuestarios prorrogados, gastos de personal, pensiones y ayudas públicas, normas tributarias, entes territoriales y cotizaciones sociales.</w:t>
      </w:r>
    </w:p>
    <w:p w:rsidR="00AC56D6" w:rsidRDefault="00AC56D6" w:rsidP="00AC56D6">
      <w:pPr>
        <w:pStyle w:val="TextoNormal"/>
      </w:pPr>
    </w:p>
    <w:p w:rsidR="00AC56D6" w:rsidRDefault="00AC56D6" w:rsidP="00AC56D6">
      <w:pPr>
        <w:pStyle w:val="TextoNormal"/>
      </w:pPr>
      <w:r>
        <w:t>Esta norma prevé, en materia de retribuciones del personal y altos cargos del sector público, que en el año 2012 las retribuciones del personal al servicio del sector público no podrán experimentar ningún incremento respecto a las vigentes a 31 de diciembre de 2011, en términos de homogeneidad para los dos períodos de la comparación, tanto por lo que respecta a efectivos de personal como a la antigüedad del mismo. En consecuencia, a partir del 1 de enero de 2012, no experimentarán ningún incremento las cuantías de las retribuciones y de la masa salarial, en su caso, establecidas en la Ley 39/2010, de 22 de diciembre, de presupuestos generales del Estado para el año 2011. Asimismo, como ya hemos señalado, excluye, durante el ejercicio 2012, la realización de aportaciones a planes de pensiones o contratos de seguros colectivos que incluyan la cobertura de la contingencia de jubilación, y es exclusivamente esta previsión la que es impugnada en el presente recurso de inconstitucionalidad.</w:t>
      </w:r>
    </w:p>
    <w:p w:rsidR="00AC56D6" w:rsidRDefault="00AC56D6" w:rsidP="00AC56D6">
      <w:pPr>
        <w:pStyle w:val="TextoNormal"/>
      </w:pPr>
    </w:p>
    <w:p w:rsidR="00AC56D6" w:rsidRDefault="00AC56D6" w:rsidP="00AC56D6">
      <w:pPr>
        <w:pStyle w:val="TextoNormal"/>
      </w:pPr>
      <w:r w:rsidRPr="00AC56D6">
        <w:rPr>
          <w:rStyle w:val="NumeroAFNegritaCaracter"/>
        </w:rPr>
        <w:t>3</w:t>
      </w:r>
      <w:r>
        <w:t>. El primer motivo de inconstitucionalidad alegado por el Gobierno Vasco es el relativo a la no concurrencia del presupuesto habilitante de la extraordinaria y urgente necesidad contemplado en el art. 86.1 CE, que habilita para la aprobación del precepto impugnado a través del instrumento normativo del decreto-ley. Como hemos señalado en ocasiones anteriores (STC 11/2002, de 17 de enero, FJ 2), en la medida en que esta pretensión impugnatoria incide directamente sobre la validez de la norma impugnada, su examen debe ser prioritario en el orden lógico de nuestro enjuiciamiento, pues, en caso de ser estimada, resultaría innecesario el análisis de las restantes alegaciones. Este Tribunal tiene una doctrina consolidada sobre el presupuesto habilitante que, según el art. 86.1 CE, habilita al Gobierno para dictar la legislación de urgencia que se manifiesta a través de la figura del decreto-ley, y que se encuentra resumida, entre otras, en la STC 12/2015, de 5 de febrero, FJ 3, en los términos que a continuación se señalan.</w:t>
      </w:r>
    </w:p>
    <w:p w:rsidR="00AC56D6" w:rsidRDefault="00AC56D6" w:rsidP="00AC56D6">
      <w:pPr>
        <w:pStyle w:val="TextoNormal"/>
      </w:pPr>
    </w:p>
    <w:p w:rsidR="00AC56D6" w:rsidRDefault="00AC56D6" w:rsidP="00AC56D6">
      <w:pPr>
        <w:pStyle w:val="TextoNormal"/>
      </w:pPr>
      <w:r>
        <w:t>Dicho presupuesto habilitante,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razón por la cual, este Tribunal puede, “en supuestos de uso abusivo o arbitrario, rechazar la definición que los órganos políticos hagan de una situación determinada como de ‘extraordinaria y urgente necesidad’ y, en consecuencia, declarar la inconstitucionalidad por inexistencia del presupuesto habilitante” (SSTC 100/2012, de 8 de mayo, FJ 8; 237/2012, de 13 de diciembre, FJ 4, y 39/2013, de 14 de febrero, FJ 5, entre otras).</w:t>
      </w:r>
    </w:p>
    <w:p w:rsidR="00AC56D6" w:rsidRDefault="00AC56D6" w:rsidP="00AC56D6">
      <w:pPr>
        <w:pStyle w:val="TextoNormal"/>
      </w:pPr>
    </w:p>
    <w:p w:rsidR="00AC56D6" w:rsidRDefault="00AC56D6" w:rsidP="00AC56D6">
      <w:pPr>
        <w:pStyle w:val="TextoNormal"/>
      </w:pPr>
      <w:r>
        <w:lastRenderedPageBreak/>
        <w:t>La apreciación de la concurrencia de la extraordinaria y urgente necesidad constituye un juicio político que corresponde efectuar al Gobierno (titular constitucional de la potestad legislativa de urgencia) y al Congreso (titular de la potestad de convalidar, derogar o tramitar el texto como proyecto de ley). El Tribunal controla que ese juicio político no desborde los límites de lo manifiestamente razonable, pero “el control jurídico de este requisito no debe suplantar a los órganos constitucionales que intervienen en la aprobación y convalidación de los Reales Decretos-Leyes” (SSTC 332/2005, de 15 de diciembre, FJ 5, y 1/2012, de 13 de enero, FJ 6), por lo que la fiscalización de este Órgano constitucional es “un control externo, en el sentido de que debe verificar, pero no sustituir, el juicio político o de oportunidad que corresponde al Gobierno” (STC 182/1997, de 28 de octubre, FJ 3).</w:t>
      </w:r>
    </w:p>
    <w:p w:rsidR="00AC56D6" w:rsidRDefault="00AC56D6" w:rsidP="00AC56D6">
      <w:pPr>
        <w:pStyle w:val="TextoNormal"/>
      </w:pPr>
    </w:p>
    <w:p w:rsidR="00AC56D6" w:rsidRDefault="00AC56D6" w:rsidP="00AC56D6">
      <w:pPr>
        <w:pStyle w:val="TextoNormal"/>
      </w:pPr>
      <w:r>
        <w:t>Este control externo que al Tribunal corresponde realizar se concreta en los siguientes aspectos: en primer lugar, comprobar “que la definición por los órganos políticos de una situación de extraordinaria y urgente necesidad sea explícita y razonada”, y, además “que exista una conexión de sentido o relación de adecuación entre la situación definida que constituye el presupuesto y las medidas que en el Decreto-Ley se adoptan (STC 29/1982, de 31 de mayo, FJ 3), de manera que estas últimas guarden una relación directa o de congruencia con la situación que se trata de afrontar” (STC 182/1997, de 28 de octubre, FJ 3).</w:t>
      </w:r>
    </w:p>
    <w:p w:rsidR="00AC56D6" w:rsidRDefault="00AC56D6" w:rsidP="00AC56D6">
      <w:pPr>
        <w:pStyle w:val="TextoNormal"/>
      </w:pPr>
    </w:p>
    <w:p w:rsidR="00AC56D6" w:rsidRDefault="00AC56D6" w:rsidP="00AC56D6">
      <w:pPr>
        <w:pStyle w:val="TextoNormal"/>
      </w:pPr>
      <w:r>
        <w:t>En cuanto al primero de estos aspectos —la definición de la situación de urgencia—, nuestra doctrina ha precisado que no es necesario que tal definición expresa de la extraordinaria y urgente necesidad haya de contenerse siempre en el propio Real Decreto-ley, sino que tal presupuesto cabe deducirlo igualmente de una pluralidad de elementos. A este respecto, conviene recordar que el examen de la concurrencia del citado presupuesto habilitante de la “extraordinaria y urgente necesidad” siempre se ha de llevar a cabo mediante la valoración conjunta de todos aquellos factores que llevaron al Gobierno a dictar la disposición legal excepcional y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w:t>
      </w:r>
    </w:p>
    <w:p w:rsidR="00AC56D6" w:rsidRDefault="00AC56D6" w:rsidP="00AC56D6">
      <w:pPr>
        <w:pStyle w:val="TextoNormal"/>
      </w:pPr>
    </w:p>
    <w:p w:rsidR="00AC56D6" w:rsidRDefault="00AC56D6" w:rsidP="00AC56D6">
      <w:pPr>
        <w:pStyle w:val="TextoNormal"/>
      </w:pPr>
      <w:r>
        <w:t>En cuanto a la segunda dimensión del presupuesto habilitante de la legislación de urgencia —conexión de sentido entre la situación de necesidad definida y las medidas que en el Real Decreto-ley se adoptan—, nuestra doctrina ha afirmado un doble criterio o perspectiva para valorar su existencia: el contenido, por un lado, y la estructura, por otro, de las disposiciones incluidas en el Real Decreto-ley controvertido. Así, ya en la STC 29/1982, de 31 de mayo, FJ 3, excluimos a este respecto aquellas disposiciones “que, por su contenido y de manera evidente, no guarden relación alguna, directa ni indirecta, con la situación que se trata de afrontar ni, muy especialmente, aquéllas que, por su estructura misma, independientemente de su contenido, no modifican de manera instantánea la situación jurídica existente (STC 39/2013, de 14 de febrero, FJ 9)”.</w:t>
      </w:r>
    </w:p>
    <w:p w:rsidR="00AC56D6" w:rsidRDefault="00AC56D6" w:rsidP="00AC56D6">
      <w:pPr>
        <w:pStyle w:val="TextoNormal"/>
      </w:pPr>
    </w:p>
    <w:p w:rsidR="00AC56D6" w:rsidRDefault="00AC56D6" w:rsidP="00AC56D6">
      <w:pPr>
        <w:pStyle w:val="TextoNormal"/>
      </w:pPr>
      <w:r>
        <w:t>Así pues, debemos examinar, en primer lugar, la situación de urgencia y necesidad que se pretendía afrontar con la aprobación del decreto-ley para, a continuación, abordar el estudio de la medida concretamente impugnada y su conexión de sentido con dicha situación de urgencia y necesidad.</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4</w:t>
      </w:r>
      <w:r>
        <w:t>. Por lo que hace a la definición de la concurrencia del presupuesto habilitante, la exposición de motivos de la norma afirma:</w:t>
      </w:r>
    </w:p>
    <w:p w:rsidR="00AC56D6" w:rsidRDefault="00AC56D6" w:rsidP="00AC56D6">
      <w:pPr>
        <w:pStyle w:val="TextoNormal"/>
      </w:pPr>
    </w:p>
    <w:p w:rsidR="00AC56D6" w:rsidRDefault="00AC56D6" w:rsidP="00AC56D6">
      <w:pPr>
        <w:pStyle w:val="TextoNormal"/>
      </w:pPr>
      <w:r>
        <w:t>“La importante desviación del saldo presupuestario estimada en el momento presente para el conjunto de las Administraciones Públicas para el ejercicio 2011 respecto al objetivo de estabilidad comprometido, obliga al Gobierno a tomar medidas de carácter urgente para su corrección.</w:t>
      </w:r>
    </w:p>
    <w:p w:rsidR="00AC56D6" w:rsidRDefault="00AC56D6" w:rsidP="00AC56D6">
      <w:pPr>
        <w:pStyle w:val="TextoNormal"/>
      </w:pPr>
    </w:p>
    <w:p w:rsidR="00AC56D6" w:rsidRDefault="00AC56D6" w:rsidP="00AC56D6">
      <w:pPr>
        <w:pStyle w:val="TextoNormal"/>
      </w:pPr>
      <w:r>
        <w:t>Estas primeras medidas, que comportan acciones tanto por el lado de los ingresos públicos como por el lado de los gastos, suponen una reducción de carácter inmediato del desequilibrio presupuestario en más de un punto porcentual del Producto Interior Bruto. Con estas acciones se pretende garantizar que el sector público español inicie una senda de reequilibrio que aporte credibilidad a la evolución futura de la deuda y déficit públicos.</w:t>
      </w:r>
    </w:p>
    <w:p w:rsidR="00AC56D6" w:rsidRDefault="00AC56D6" w:rsidP="00AC56D6">
      <w:pPr>
        <w:pStyle w:val="TextoNormal"/>
      </w:pPr>
    </w:p>
    <w:p w:rsidR="00AC56D6" w:rsidRDefault="00AC56D6" w:rsidP="00AC56D6">
      <w:pPr>
        <w:pStyle w:val="TextoNormal"/>
      </w:pPr>
      <w:r>
        <w:t>Sin esta corrección, que inicia un camino de consolidación fiscal que se concretará de forma definitiva en el proyecto de ley de los Presupuestos Generales del Estado para 2012, no se podrían superar las actuales condiciones de escasez de liquidez que impiden un desarrollo adecuado de la actividad económica.”</w:t>
      </w:r>
    </w:p>
    <w:p w:rsidR="00AC56D6" w:rsidRDefault="00AC56D6" w:rsidP="00AC56D6">
      <w:pPr>
        <w:pStyle w:val="TextoNormal"/>
      </w:pPr>
    </w:p>
    <w:p w:rsidR="00AC56D6" w:rsidRDefault="00AC56D6" w:rsidP="00AC56D6">
      <w:pPr>
        <w:pStyle w:val="TextoNormal"/>
      </w:pPr>
      <w:r>
        <w:t>Asimismo recuerda que “el Real Decreto 1329/2011, de 26 de septiembre, de disolución del Congreso de los Diputados y del Senado y de convocatoria de elecciones, publicado en el ‘Boletín Oficial del Estado’ el 27 de septiembre, acordaba la disolución de ambas cámaras y la convocatoria de elecciones generales el 20 de noviembre de 2011”. Como consecuencia del mismo no se aprobó la Ley de presupuestos generales del Estado para el año 2012 y se prorrogó la de 2011. Sin embargo, “la pura y simple prórroga de la Ley de Presupuestos Generales del Estado para el año 2011 ocasionaría ciertas disfunciones que es preciso corregir … porque la situación económica y financiera aconsejan no prorrogar algunas materias que podrían tener repercusiones en el déficit público y en la estabilidad presupuestaria, con las consecuencias que ello podría tener en los compromisos asumidos por España ante la Unión Europea en la reducción del déficit público”; y dado que la constitución del Congreso de los Diputados y del Senado, que se produjo el 13 de diciembre de 2011, “hacen inviable la aprobación no ya de una Ley de Presupuestos Generales del Estado antes del 31 de diciembre de este año, sino de una ley ordinaria aun cuando se utilizase el procedimiento de urgencia”, es por lo que se dicta este Real Decreto-ley.</w:t>
      </w:r>
    </w:p>
    <w:p w:rsidR="00AC56D6" w:rsidRDefault="00AC56D6" w:rsidP="00AC56D6">
      <w:pPr>
        <w:pStyle w:val="TextoNormal"/>
      </w:pPr>
    </w:p>
    <w:p w:rsidR="00AC56D6" w:rsidRDefault="00AC56D6" w:rsidP="00AC56D6">
      <w:pPr>
        <w:pStyle w:val="TextoNormal"/>
      </w:pPr>
      <w:r>
        <w:t xml:space="preserve">En el debate parlamentario de convalidación del Real Decreto-ley 20/2011, cuyo contenido queda reflejado en el “Diario de Sesiones” de la sesión plenaria núm. 4, de 11 de enero de 2012, el Ministro de Hacienda y Administraciones Públicas vino a destacar que las medidas adoptadas “son de carácter urgente porque así lo requiere la situación. Son una respuesta contundente a una situación extraordinariamente difícil como la que está atravesando España, como la que está atravesando nuestra economía. … El final del año pasado se ha caracterizado por esos 5 millones largos de parados que son consecuencia de la peor crisis económica, la más larga crisis económica que ha aparecido en nuestro país. Al tiempo, la economía está parada, está en las puertas de una recesión económica, y las finanzas públicas se encuentran fuertemente desequilibradas, deterioradas como consecuencia de la situación económica del país y también, por supuesto, de la reducción de los ingresos tributarios consecuencia de esa crisis”. Además, añade, “a los pocos días de llegar al Gobierno, de entrar </w:t>
      </w:r>
      <w:r>
        <w:lastRenderedPageBreak/>
        <w:t>en los ministerios, tuvimos acceso a una información relevante en relación con el incumplimiento de los objetivos de déficit público en España, en nuestro país, la desviación de los objetivos comprometidos por el Reino de España en su programa de estabilidad en nada menos que 2 puntos porcentuales de producto interior bruto, es decir, más de 20.000 millones de euros, una desviación en relación con el objetivo inicialmente marcado del 6 por ciento del producto interior bruto, superior a su tercera parte … Ante ello, ... el Gobierno reacciona con este decreto-ley ... Son medidas excepcionales para un tiempo excepcional, medidas excepcionales para recuperar la credibilidad de España, medidas excepcionales para decir a todos, a la sociedad, a los inversores, a nuestros socios europeos, que el Gobierno de España está comprometido con la corrección del déficit público más allá de donde arraigue ese déficit público, porque es responsabilidad del Gobierno de España no solo la supervisión y la tutela presupuestaria del conjunto de las Administraciones públicas, sino la adopción de las medidas correctoras para que esas situaciones de déficit que se puedan producir en otras Administraciones públicas se corrijan y se eviten … Esas decisiones que hemos llevado adelante lo que hacen es promover el ... ajuste presupuestario ... un ajuste que va en mayor proporción a la contención, al ahorro de gasto público ... Había urgencia en hacer ese ajuste; un ajuste que radica en una contención del gasto público de 8.914 millones de euros”.</w:t>
      </w:r>
    </w:p>
    <w:p w:rsidR="00AC56D6" w:rsidRDefault="00AC56D6" w:rsidP="00AC56D6">
      <w:pPr>
        <w:pStyle w:val="TextoNormal"/>
      </w:pPr>
    </w:p>
    <w:p w:rsidR="00AC56D6" w:rsidRDefault="00AC56D6" w:rsidP="00AC56D6">
      <w:pPr>
        <w:pStyle w:val="TextoNormal"/>
      </w:pPr>
      <w:r>
        <w:t>La motivación ofrecida en el preámbulo de la norma y desarrollada por el Ministro en el debate parlamentario de convalidación, permite, por tanto, afirmar que el Gobierno ha justificado de manera suficiente, explícita y razonada, que es la desviación del saldo presupuestario estimado para el conjunto de las Administraciones públicas para el ejercicio 2011, respecto al objetivo de estabilidad comprometido, lo que determina la adopción de las medidas previstas en el Real Decreto-ley 20/2011. La imposibilidad de aprobar la Ley de presupuestos generales del Estado para el año 2012 como consecuencia de la disolución de las Cámaras y la convocatoria de elecciones para noviembre de 2011 justifica la aprobación de una norma de urgencia en una situación económica y financiera en la que la prórroga de algunas materias puede tener repercusiones en el déficit público y en la estabilidad presupuestaria, con las consecuencias que de ello derivan respecto de los compromisos asumidos por España ante la Unión Europea en la reducción del déficit público, como expresamente señala la exposición de motivos de la norma.</w:t>
      </w:r>
    </w:p>
    <w:p w:rsidR="00AC56D6" w:rsidRDefault="00AC56D6" w:rsidP="00AC56D6">
      <w:pPr>
        <w:pStyle w:val="TextoNormal"/>
      </w:pPr>
    </w:p>
    <w:p w:rsidR="00AC56D6" w:rsidRDefault="00AC56D6" w:rsidP="00AC56D6">
      <w:pPr>
        <w:pStyle w:val="TextoNormal"/>
      </w:pPr>
      <w:r>
        <w:t>Se trata, así, de hacer posible el cumplimiento de los objetivos de déficit comprometidos por España y con esta finalidad se adoptan una serie de medidas tanto presupuestarias como tributarias y financieras dirigidas al cumplimiento del mencionado objetivo. Entre esas medidas se incluyen las relativas a la limitación del gasto público, y, en concreto, de los gastos de personal, en cuyo ámbito se inserta la previsión que es objeto del presente recurso.</w:t>
      </w:r>
    </w:p>
    <w:p w:rsidR="00AC56D6" w:rsidRDefault="00AC56D6" w:rsidP="00AC56D6">
      <w:pPr>
        <w:pStyle w:val="TextoNormal"/>
      </w:pPr>
    </w:p>
    <w:p w:rsidR="00AC56D6" w:rsidRDefault="00AC56D6" w:rsidP="00AC56D6">
      <w:pPr>
        <w:pStyle w:val="TextoNormal"/>
      </w:pPr>
      <w:r>
        <w:t xml:space="preserve">En este contexto, y como recordábamos en la reciente STC 183/2014, de 6 de noviembre, FJ 4: “generalmente hemos venido admitiendo el uso del decreto-ley en situaciones que hemos denominado coyunturas económicas problemáticas, para cuyo tratamiento representa un instrumento constitucionalmente lícito, en tanto que pertinente y adecuado para la consecución del fin que justifica la legislación de urgencia, que no es otro que subvenir a situaciones concretas de los objetivos gubernamentales que por razones difíciles de prever requieran de una acción normativa inmediata en un plazo más breve que el requerido por la vía normal o por el procedimiento de urgencia para la tramitación parlamentaria de las leyes </w:t>
      </w:r>
      <w:r>
        <w:lastRenderedPageBreak/>
        <w:t>(SSTC 31/2011, de 17 de marzo, FJ 4; 137/2011, de 14 de septiembre, FJ 6; y 100/2012, de 8 de mayo, FJ 8)”.</w:t>
      </w:r>
    </w:p>
    <w:p w:rsidR="00AC56D6" w:rsidRDefault="00AC56D6" w:rsidP="00AC56D6">
      <w:pPr>
        <w:pStyle w:val="TextoNormal"/>
      </w:pPr>
    </w:p>
    <w:p w:rsidR="00AC56D6" w:rsidRDefault="00AC56D6" w:rsidP="00AC56D6">
      <w:pPr>
        <w:pStyle w:val="TextoNormal"/>
      </w:pPr>
      <w:r>
        <w:t>Cabe afirmar pues —siguiendo lo señalado en la STC 95/2015, de 14 de mayo, FJ 4—, que la definición de la situación de extraordinaria y urgente necesidad que justifica la aprobación de la norma controvertida, es explícita, razonada y concreta, no se realiza mediante fórmulas rituales o genéricas, aplicables de modo intercambiable a todo tipo de realidades, sino por referencia concreta a una situación de recesión y de crisis económica y financiera, real y conocida, y a la exigencia de cumplimiento de unos compromisos internacionales igualmente notorios, que tienen por objeto atender a lo que cabe calificar como una coyuntura económica problemática, —en los términos expresamente aceptados por la doctrina constitucional—, que hace preciso para evitar el crecimiento del déficit, la adopción de medidas de disminución del gasto público, entre las que se insertan la prevista en el precepto que es objeto de la presente impugnación.</w:t>
      </w:r>
    </w:p>
    <w:p w:rsidR="00AC56D6" w:rsidRDefault="00AC56D6" w:rsidP="00AC56D6">
      <w:pPr>
        <w:pStyle w:val="TextoNormal"/>
      </w:pPr>
    </w:p>
    <w:p w:rsidR="00AC56D6" w:rsidRDefault="00AC56D6" w:rsidP="00AC56D6">
      <w:pPr>
        <w:pStyle w:val="TextoNormal"/>
      </w:pPr>
      <w:r w:rsidRPr="00AC56D6">
        <w:rPr>
          <w:rStyle w:val="NumeroAFNegritaCaracter"/>
        </w:rPr>
        <w:t>5</w:t>
      </w:r>
      <w:r>
        <w:t>. En cuanto a la segunda dimensión del presupuesto habilitante de la legislación de urgencia, esto es, la conexión de sentido entre la situación de necesidad definida y las medidas que en el Real Decreto-ley se adoptan, cabe señalar que las medidas instrumentadas por el Real Decreto-ley 20/2011 van dirigidas a corregir la desviación del saldo presupuestario estimado para el conjunto de las Administraciones públicas respecto al objetivo de estabilidad comprometido. Para el cumplimiento de esta finalidad el capítulo II de la norma prevé distintas medidas en materia de gastos de personal, entre ellas, la prohibición de realizar, en el ejercicio de 2012, aportaciones a planes de pensiones de empleo o contratos de seguro colectivos que incluyan la cobertura de la contingencia de jubilación.</w:t>
      </w:r>
    </w:p>
    <w:p w:rsidR="00AC56D6" w:rsidRDefault="00AC56D6" w:rsidP="00AC56D6">
      <w:pPr>
        <w:pStyle w:val="TextoNormal"/>
      </w:pPr>
    </w:p>
    <w:p w:rsidR="00AC56D6" w:rsidRDefault="00AC56D6" w:rsidP="00AC56D6">
      <w:pPr>
        <w:pStyle w:val="TextoNormal"/>
      </w:pPr>
      <w:r>
        <w:t>Esta medida no puede considerarse desconectada de los objetivos perseguidos por la norma de urgencia, pues excluir que las Administraciones, entidades y sociedades públicas pueda realizar aportaciones a planes de pensiones y contratos de seguro, aportaciones que tienen la naturaleza de retribuciones diferidas conforme a lo establecido en las leyes de presupuestos, es una medida que contribuye a la reducción del déficit público y a la consecución del objetivo de estabilidad presupuestaria, por lo que existe una conexión de sentido entre la medida adoptada y la concreta urgencia invocada. Como ya hemos tenido ocasión de señalar reiteradamente, siendo el objetivo principal de la norma introducir determinadas medidas urgentes y extraordinarias para la contención y reducción del déficit público, es evidente que la reducción de una de las principales partidas del gasto público corriente de la ley de presupuestos, como es la retribución de los empleados públicos, guarda la necesaria conexión de sentido con la situación de urgencia definida, tal y como ha sido exigida por la doctrina constitucional (AATC 179/2011, FJ 6, y 180/2011, FJ 6; y SSTC 81/2015, FJ 4).</w:t>
      </w:r>
    </w:p>
    <w:p w:rsidR="00AC56D6" w:rsidRDefault="00AC56D6" w:rsidP="00AC56D6">
      <w:pPr>
        <w:pStyle w:val="TextoNormal"/>
      </w:pPr>
    </w:p>
    <w:p w:rsidR="00AC56D6" w:rsidRDefault="00AC56D6" w:rsidP="00AC56D6">
      <w:pPr>
        <w:pStyle w:val="TextoNormal"/>
      </w:pPr>
      <w:r>
        <w:t xml:space="preserve">Por otro lado, también la estructura de la disposición impugnada, que está dotada de eficacia inmediata por cuanto que, aprobada el 30 de diciembre de 2011, entró en vigor el 1 de enero de 2012 (disposición final vigésima tercera), contribuye a afirmar que hay entre dicha medida y la situación de necesidad descrita, la relación de adecuación exigida para que se entienda concurrente el presupuesto habilitante de la facultad del Gobierno para dictar legislación de urgencia </w:t>
      </w:r>
      <w:r w:rsidRPr="00AC56D6">
        <w:rPr>
          <w:i/>
        </w:rPr>
        <w:t>ex</w:t>
      </w:r>
      <w:r>
        <w:t xml:space="preserve"> art. 86.1 CE.</w:t>
      </w:r>
    </w:p>
    <w:p w:rsidR="00AC56D6" w:rsidRDefault="00AC56D6" w:rsidP="00AC56D6">
      <w:pPr>
        <w:pStyle w:val="TextoNormal"/>
      </w:pPr>
    </w:p>
    <w:p w:rsidR="00AC56D6" w:rsidRDefault="00AC56D6" w:rsidP="00AC56D6">
      <w:pPr>
        <w:pStyle w:val="TextoNormal"/>
      </w:pPr>
      <w:r>
        <w:t xml:space="preserve">A la vista de lo expuesto, cabe dar por satisfecho el requisito de justificación de las razones de extraordinaria y urgente necesidad que han motivado la aprobación del art. 2.3, del </w:t>
      </w:r>
      <w:r>
        <w:lastRenderedPageBreak/>
        <w:t>Real Decreto-ley 20/2011, y, en consecuencia, el cumplimiento de lo dispuesto en el art. 86.1 CE.</w:t>
      </w:r>
    </w:p>
    <w:p w:rsidR="00AC56D6" w:rsidRDefault="00AC56D6" w:rsidP="00AC56D6">
      <w:pPr>
        <w:pStyle w:val="TextoNormal"/>
      </w:pPr>
    </w:p>
    <w:p w:rsidR="00AC56D6" w:rsidRDefault="00AC56D6" w:rsidP="00AC56D6">
      <w:pPr>
        <w:pStyle w:val="TextoNormal"/>
      </w:pPr>
      <w:r w:rsidRPr="00AC56D6">
        <w:rPr>
          <w:rStyle w:val="NumeroAFNegritaCaracter"/>
        </w:rPr>
        <w:t>6</w:t>
      </w:r>
      <w:r>
        <w:t>. El segundo motivo de inconstitucionalidad alegado por el Gobierno Vasco es la infracción de los arts. 149.1.13, 149.1.18 CE, en relación con el art. 10.4 del Estatuto de Autonomía del País Vasco (EAPV), y el art. 156.1 CE.</w:t>
      </w:r>
    </w:p>
    <w:p w:rsidR="00AC56D6" w:rsidRDefault="00AC56D6" w:rsidP="00AC56D6">
      <w:pPr>
        <w:pStyle w:val="TextoNormal"/>
      </w:pPr>
    </w:p>
    <w:p w:rsidR="00AC56D6" w:rsidRDefault="00AC56D6" w:rsidP="00AC56D6">
      <w:pPr>
        <w:pStyle w:val="TextoNormal"/>
      </w:pPr>
      <w:r>
        <w:t>Debemos comenzar rechazando la presunta vulneración del art. 149.1.18 CE, pues desde la temprana STC 63/1986, hemos venido considerando que las medidas de contención de los gastos de personal no se encuadran en el marco de las competencias en materia de régimen estatutario de los funcionarios públicos (art. 149.1.18 CE), sino que se sitúan en el ámbito competencial relativo a las bases y coordinación de la planificación general de la actividad económica (art. 149.1.13 CE); y ello, porque no puede considerarse parte integrante del régimen estatutario de los funcionarios de las Administraciones públicas, “una simple medida coyuntural y de eficacia limitada en el tiempo que, aunque produzca un efecto directo sobre la cuantificación de los derechos económicos de los funcionarios, tiene un fundamento y una finalidad extraños a la relación de servicio, en cuanto constituye una medida económica general de carácter presupuestario dirigida a contener la expansión relativa de uno de los componentes esenciales del gasto público” (STC 63/1986, de 21 de mayo, FJ 11). Así las cosas, su encuadramiento competencial adecuado es el título reservado al Estado por el art. 149.1.13 CE (en particular, STC 96/1990, de 24 de mayo, FJ 3).</w:t>
      </w:r>
    </w:p>
    <w:p w:rsidR="00AC56D6" w:rsidRDefault="00AC56D6" w:rsidP="00AC56D6">
      <w:pPr>
        <w:pStyle w:val="TextoNormal"/>
      </w:pPr>
    </w:p>
    <w:p w:rsidR="00AC56D6" w:rsidRDefault="00AC56D6" w:rsidP="00AC56D6">
      <w:pPr>
        <w:pStyle w:val="TextoNormal"/>
      </w:pPr>
      <w:r>
        <w:t>Esta doctrina se reitera en la reciente STC 81/2015, de 30 de abril, FJ 7, en la que se afirma que “la cuantificación y limitación de las retribuciones del personal al servicio de las Administraciones Públicas no se integra, desde un punto de vista material, en el régimen estatutario de los funcionarios públicos … en primer lugar, porque dichas retribuciones, no sólo alcanzan a los funcionarios públicos, sino también a todo el personal al servicio del sector público; y, en segundo término porque su carácter coyuntural y su eficacia limitada en el tiempo impiden integrarlas en la relación de servicio que delimita dicho régimen estatutario. Todo ello nos ha llevado a limitar la competencia estatal básica reconocida en el art. 149.1.18 CE a la definición de los diversos conceptos retributivo de los funcionarios públicos (STC 148/2006, FJ 6)”.</w:t>
      </w:r>
    </w:p>
    <w:p w:rsidR="00AC56D6" w:rsidRDefault="00AC56D6" w:rsidP="00AC56D6">
      <w:pPr>
        <w:pStyle w:val="TextoNormal"/>
      </w:pPr>
    </w:p>
    <w:p w:rsidR="00AC56D6" w:rsidRDefault="00AC56D6" w:rsidP="00AC56D6">
      <w:pPr>
        <w:pStyle w:val="TextoNormal"/>
      </w:pPr>
      <w:r>
        <w:t>En consecuencia, nuestra doctrina ha señalado la directa relación existente entre la fijación de las retribuciones del personal al servicio de las Administraciones públicas y la fijación de la política económica general por parte del Estado, de manera que este Tribunal ha entendido que las medidas de limitación de las retribuciones adoptadas por el Estado deben analizarse desde la perspectiva de los arts. 149.1.13 y 156.1 CE (STC 94/2015, FJ 3), por lo que debemos rechazar la vulneración de los arts. 149.1.18 CE y 10.4 EAPV que el Gobierno Vasco imputa al precepto recurrido.</w:t>
      </w:r>
    </w:p>
    <w:p w:rsidR="00AC56D6" w:rsidRDefault="00AC56D6" w:rsidP="00AC56D6">
      <w:pPr>
        <w:pStyle w:val="TextoNormal"/>
      </w:pPr>
    </w:p>
    <w:p w:rsidR="00AC56D6" w:rsidRDefault="00AC56D6" w:rsidP="00AC56D6">
      <w:pPr>
        <w:pStyle w:val="TextoNormal"/>
      </w:pPr>
      <w:r>
        <w:t>Desde la perspectiva de lo dispuesto en el art. 156.1 CE, aunque no cabe duda de que la decisión del legislador estatal de excluir para el año 2012 las aportaciones a planes de pensiones y contratos de seguro por parte de las Administraciones, entidades y sociedades públicas, incide en la autonomía presupuestaria de las Comunidades Autónomas, su legitimidad constitucional debe ser admitida, a la luz de la doctrina que este Tribunal ha empleado reiteradamente para defender la facultad del Estado de limitar las retribuciones del personal al servicio de las Administraciones públicas.</w:t>
      </w:r>
    </w:p>
    <w:p w:rsidR="00AC56D6" w:rsidRDefault="00AC56D6" w:rsidP="00AC56D6">
      <w:pPr>
        <w:pStyle w:val="TextoNormal"/>
      </w:pPr>
    </w:p>
    <w:p w:rsidR="00AC56D6" w:rsidRDefault="00AC56D6" w:rsidP="00AC56D6">
      <w:pPr>
        <w:pStyle w:val="TextoNormal"/>
      </w:pPr>
      <w:r>
        <w:t xml:space="preserve">En efecto, “hemos señalado la vinculación directa de estos límites con la fijación de la política económica general por parte del Estado </w:t>
      </w:r>
      <w:r w:rsidRPr="00AC56D6">
        <w:rPr>
          <w:i/>
        </w:rPr>
        <w:t>ex</w:t>
      </w:r>
      <w:r>
        <w:t xml:space="preserve"> art. 149.1.13 CE (STC 96/1990, de 24 de mayo, FJ 3) por cuanto se trata de una medida dirigida a contener la expansión relativa de uno de los componentes esenciales del gasto público (STC 63/1983, de 21 de mayo, FJ 11), sin que quepa olvidar que dicha autonomía financiera de las Comunidades Autónomas la concibe nuestra Constitución ‘con arreglo a los principios de coordinación con la Hacienda estatal y de solidaridad entre todos los españoles’ (art. 156.1 CE), precepto éste desarrollado en el art. 2.1 b) de la Ley Orgánica de Financiación de las Comunidades Autónomas (LOFCA), de modo que la incidencia en la autonomía financiera y presupuestaria de las Comunidades Autónomas está directamente relacionada con la responsabilidad del Estado de garantizar el equilibrio económico general (SSTC 171/1996, de 30 de octubre, FJ 2; y 103/1997, de 22 de mayo, FJ 1). De ello se deriva la idoneidad de que tales límites se contengan en la Ley de presupuestos generales del Estado en cuanto vehículo de dirección y orientación de la política general que corresponde al Gobierno de la Nación (STC 171/1996, de 30 de octubre, FJ 2). Lo cual, en fin, no sólo justifica que el Estado pueda establecer topes máximos a los incrementos retributivos de los funcionarios autonómicos, sino que pueda decantarse por la congelación salarial en un ejercicio concreto” (STC 94/2015, FJ 3).</w:t>
      </w:r>
    </w:p>
    <w:p w:rsidR="00AC56D6" w:rsidRDefault="00AC56D6" w:rsidP="00AC56D6">
      <w:pPr>
        <w:pStyle w:val="TextoNormal"/>
      </w:pPr>
    </w:p>
    <w:p w:rsidR="00AC56D6" w:rsidRDefault="00AC56D6" w:rsidP="00AC56D6">
      <w:pPr>
        <w:pStyle w:val="TextoNormal"/>
      </w:pPr>
      <w:r>
        <w:t>El Tribunal ha admitido pues, la posibilidad de establecer esta suerte de restricciones a la autonomía financiera de las Comunidades Autónomas por fundamentar su carácter básico en el art. 149.1.13 CE y, al mismo tiempo, en el límite a la autonomía financiera que establece el principio de coordinación con la Hacienda estatal del art. 156.1 CE. La adopción de limitaciones a la autonomía financiera de las Comunidades Autónomas no supone, naturalmente, que quede a la entera disponibilidad del Estado el alcance e intensidad de tales restricciones, sino que las decisiones que el Estado adopte con base en el art. 149.1.13 CE deben ceñirse a aquellos aspectos estrictamente indispensables para la consecución de los fines de política económica que aquéllas persigan (entre otras muchas, SSTC 152/1988, FJ 4; y 201/1988, FJ 2). Resulta, por ello, imprescindible “que exista una ‘relación directa’ entre la restricción presupuestaria y la finalidad de política económica perseguida con la misma —pues, de lo contrario, este condicionamiento podría conducir a un total vaciamiento de la autonomía de gasto de las Comunidades Autónomas—” (STC 171/1996, FJ 3).</w:t>
      </w:r>
    </w:p>
    <w:p w:rsidR="00AC56D6" w:rsidRDefault="00AC56D6" w:rsidP="00AC56D6">
      <w:pPr>
        <w:pStyle w:val="TextoNormal"/>
      </w:pPr>
    </w:p>
    <w:p w:rsidR="00AC56D6" w:rsidRDefault="00AC56D6" w:rsidP="00AC56D6">
      <w:pPr>
        <w:pStyle w:val="TextoNormal"/>
      </w:pPr>
      <w:r>
        <w:t>Pues bien, por lo que respecta a la concreta medida impugnada en este recurso, debemos señalar que existe una relación directa entre la misma y la finalidad de política económica perseguida que justifica la limitación de la autonomía financiera de las Comunidades Autónomas. Cabe así destacar que el preámbulo del Real Decreto-ley 20/2011, como ya hemos señalado, justifica las medidas adoptadas en el mismo en la situación económica y financiera que aconseja “no prorrogar algunas materias que podrían tener repercusiones en el déficit público y en la estabilidad presupuestaria, con las consecuencias que ello podría tener en los compromisos asumidos por España ante la Unión Europea en la reducción del déficit público”. Y ello, con el propósito de corregir la “desviación del saldo presupuestario estimada en el momento presente para el conjunto de las Administraciones Públicas para el ejercicio 2011 respecto al objetivo de estabilidad comprometido”, al objeto de iniciar “un camino de consolidación fiscal que se concretará de forma definitiva en el proyecto de Ley de los Presupuestos Generales del Estado para 2012” y tratar así de “superar las actuales condiciones de escasez de liquidez que impiden un desarrollo adecuado de la actividad eco</w:t>
      </w:r>
      <w:r>
        <w:lastRenderedPageBreak/>
        <w:t>nómica”. De donde se deduce que la norma recurrida resulta, de acuerdo con nuestra doctrina, justificada desde el punto de vista de la autonomía financiera, en la medida en que existe una relación evidente entre una medida de contención del gasto de personal, como es la suspensión de las aportaciones a planes de pensiones y contratos de seguros a favor de todo el personal al servicio de las Administraciones públicas y la dirección de la política económica general, concretada en el cumplimiento de los compromisos de estabilidad presupuestaria y reducción del déficit público. Debe pues rechazarse también la pretendida vulneración del art. 156.1 CE.</w:t>
      </w:r>
    </w:p>
    <w:p w:rsidR="00AC56D6" w:rsidRDefault="00AC56D6" w:rsidP="00AC56D6">
      <w:pPr>
        <w:pStyle w:val="TextoNormal"/>
      </w:pPr>
    </w:p>
    <w:p w:rsidR="00AC56D6" w:rsidRDefault="00AC56D6" w:rsidP="00AC56D6">
      <w:pPr>
        <w:pStyle w:val="TextoNormal"/>
      </w:pPr>
      <w:r w:rsidRPr="00AC56D6">
        <w:rPr>
          <w:rStyle w:val="NumeroAFNegritaCaracter"/>
        </w:rPr>
        <w:t>7</w:t>
      </w:r>
      <w:r>
        <w:t>. Finalmente, y situados en la perspectiva competencial que deriva de lo dispuesto en el art. 149.1.13 CE, considera la Comunidad Autónoma que la medida contemplada en el precepto impugnado excede de las fronteras en que ha de moverse el núcleo de lo básico, y afirma que el objetivo de política económica dirigido a la contención del gasto de personal debería instrumentarse a partir de magnitudes globales, excluyendo la posibilidad de incidir en una concreta retribución que, de conformidad con el art. 29 LEEP, formaría parte del acervo competencial autonómico.</w:t>
      </w:r>
    </w:p>
    <w:p w:rsidR="00AC56D6" w:rsidRDefault="00AC56D6" w:rsidP="00AC56D6">
      <w:pPr>
        <w:pStyle w:val="TextoNormal"/>
      </w:pPr>
    </w:p>
    <w:p w:rsidR="00AC56D6" w:rsidRDefault="00AC56D6" w:rsidP="00AC56D6">
      <w:pPr>
        <w:pStyle w:val="TextoNormal"/>
      </w:pPr>
      <w:r>
        <w:t>En orden a determinar si la norma satisface la doble vertiente material y formal que ha de concurrir en la legislación básica estatal, procede señalar, en primer lugar que, desde el punto de vista formal, el art. art. 2.3 Real Decreto-ley 20/2011 tiene rango de ley y el carácter formalmente básico del precepto viene explícitamente declarado en el apartado 7 del propio Real Decreto-ley. Y, en segundo lugar, desde un punto de vista material, la norma también tiene carácter básico, pues impone una medida dirigida a la contención de los gastos del personal en todas las Administraciones públicas; es decir; el precepto impugnado articula un régimen jurídico homogéneo que asegura un tratamiento común en cuanto a las aportaciones a planes de pensiones y contratos de seguros por todas las Administraciones, entidades y empresas públicas, configurando, así, un régimen jurídico homogéneo en todo el territorio del Estado.</w:t>
      </w:r>
    </w:p>
    <w:p w:rsidR="00AC56D6" w:rsidRDefault="00AC56D6" w:rsidP="00AC56D6">
      <w:pPr>
        <w:pStyle w:val="TextoNormal"/>
      </w:pPr>
    </w:p>
    <w:p w:rsidR="00AC56D6" w:rsidRDefault="00AC56D6" w:rsidP="00AC56D6">
      <w:pPr>
        <w:pStyle w:val="TextoNormal"/>
      </w:pPr>
      <w:r>
        <w:t>Por otro lado, la posibilidad de excluir la realización de aportaciones a planes de pensiones o contratos de seguro colectivos, como señala el Abogado del Estado, deriva expresamente de lo dispuesto en la disposición final segunda del texto refundido de la Ley de planes y fondos de pensiones 8/1987, de 8 de junio, y no contradice lo dispuesto en el art. 29 LEEP. La citada disposición final segunda prevé que las aportaciones de las entidades del sector público a esos instrumentos de previsión social “se entenderá sin perjuicio de la correspondiente habilitación presupuestaria de que disponga cada entidad o empresa, así como de las posibles autorizaciones previas a las que pudiesen estar sometidas tales aportaciones tanto de carácter normativo como administrativo, para, en su caso, destinar recursos a la financiación e instrumentación de la previsión social complementaria del personal”, y en análogo sentido el art. 29 LEEP afirma que las aportaciones se realizarán “hasta el porcentaje de la masa salarial que se fije en las correspondientes Leyes de Presupuestos Generales del Estado”. De lo que se concluye que el Estado, en atención a la situación económico financiera, podrá fijar distintos porcentajes de aportación sobre la masa salarial —como en la práctica ha venido haciendo desde el año 2004— o incluso no fijar cuantía alguna por dicho concepto, que es lo que ha sucedido para el año 2012.</w:t>
      </w:r>
    </w:p>
    <w:p w:rsidR="00AC56D6" w:rsidRDefault="00AC56D6" w:rsidP="00AC56D6">
      <w:pPr>
        <w:pStyle w:val="TextoNormal"/>
      </w:pPr>
    </w:p>
    <w:p w:rsidR="00AC56D6" w:rsidRDefault="00AC56D6" w:rsidP="00AC56D6">
      <w:pPr>
        <w:pStyle w:val="TextoNormal"/>
      </w:pPr>
      <w:r>
        <w:t xml:space="preserve">La medida contemplada en el art. 2 apartado 3 del Real Decreto-ley 20/2011, no constituye, por lo demás, una medida aislada que incida sobre un único concepto retributivo, sino </w:t>
      </w:r>
      <w:r>
        <w:lastRenderedPageBreak/>
        <w:t>que se inserta en el ámbito de una decisión general de política económica, que transciende a cada uno de los conceptos retributivos que integran la masa salarial de los empleados públicos, incluidas, por tanto, las retribuciones diferidas que aquí se analizan. Y es esto precisamente —y así lo ha reconocido nuestra doctrina— lo que justifica, no sólo que el Estado pueda establecer topes máximos a los incrementos retributivos de los funcionarios autonómicos, sino que pueda decantarse por la congelación salarial en un ejercicio concreto (supuesto examinado en la STC 94/2015), o por la reducción e incluso la supresión de un determinado concepto retributivo (como se vino a reconocer en la STC 81/2015, de 30 de abril), que es lo que sucede en el presente supuesto. No se produce, en consecuencia, la alegada vulneración del art. 149.1.13 CE.</w:t>
      </w:r>
    </w:p>
    <w:p w:rsidR="00AC56D6" w:rsidRDefault="00AC56D6" w:rsidP="00AC56D6">
      <w:pPr>
        <w:pStyle w:val="TextoNormal"/>
      </w:pPr>
    </w:p>
    <w:p w:rsidR="00AC56D6" w:rsidRDefault="00AC56D6" w:rsidP="00AC56D6">
      <w:pPr>
        <w:pStyle w:val="TextoNormal"/>
      </w:pPr>
      <w:r>
        <w:t>Considera por último el Gobierno Vasco que la medida contemplada en el precepto recurrido puede ser contraria al principio de solidaridad que ha de inspirar el sacrificio que se exige al conjunto de las Administraciones públicas. Hemos de recordar que al Estado le corresponde garantizar, de conformidad con el art. 138 CE, “la realización efectiva del principio de solidaridad consagrado en el art. 2, velando por el establecimiento de un equilibrio económico, adecuado y justo entre las diversas partes del territorio español”. Y la medida impugnada no implica un trato desigual entre Administraciones públicas, como tampoco lo fueron las anteriores limitaciones de los gastos de personal, ni supone el establecimiento de diferencias entre las distintas partes del territorio español, dado que se trata de una medida económica de carácter general y que se aplica por igual al conjunto del sector público, esto es, a todas las Administraciones, entidades y sociedades públicas.</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Desestimar el presente recurso de inconstitucionalidad.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veintidós de octubre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72" w:name="SENTENCIA_2015_216"/>
      <w:r>
        <w:lastRenderedPageBreak/>
        <w:t>SENTENCIA 216/2015, de 22 de octubre de 2015</w:t>
      </w:r>
    </w:p>
    <w:bookmarkEnd w:id="72"/>
    <w:p w:rsidR="00AC56D6" w:rsidRDefault="00AC56D6" w:rsidP="00AC56D6">
      <w:pPr>
        <w:pStyle w:val="TtuloResolucin"/>
      </w:pPr>
      <w:r>
        <w:t>Pleno</w:t>
      </w:r>
    </w:p>
    <w:p w:rsidR="00AC56D6" w:rsidRDefault="00AC56D6" w:rsidP="00AC56D6">
      <w:pPr>
        <w:pStyle w:val="TtuloBOE"/>
      </w:pPr>
      <w:r>
        <w:t>(BOE núm. 284, de 27 de noviembre de 2015)</w:t>
      </w:r>
    </w:p>
    <w:p w:rsidR="00AC56D6" w:rsidRDefault="00AC56D6" w:rsidP="00AC56D6">
      <w:pPr>
        <w:pStyle w:val="TextoNormalCentrado"/>
      </w:pPr>
      <w:r>
        <w:t>ECLI:ES:TC:2015:216</w:t>
      </w:r>
    </w:p>
    <w:p w:rsidR="00AC56D6" w:rsidRDefault="00AC56D6" w:rsidP="00AC56D6">
      <w:pPr>
        <w:pStyle w:val="TextoNormalCentrado"/>
      </w:pPr>
    </w:p>
    <w:p w:rsidR="00AC56D6" w:rsidRDefault="00AC56D6" w:rsidP="00AC56D6">
      <w:pPr>
        <w:pStyle w:val="SntesisDescriptiva"/>
      </w:pPr>
      <w:r>
        <w:t>Recurso de inconstitucionalidad 5108-2013. Interpuesto por más de cincuenta Diputados del Grupo Parlamentario Socialista en relación con la disposición adicional segunda de la Ley 4/2013, de 4 de junio, de medidas de flexibilización y fomento del mercado del alquiler de viviendas.</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garantías del procedimiento expropiatorio y facultades de enmienda del Senado: constitucionalidad del precepto legal que regula la supresión y mantenimiento de ayudas relacionadas con la adquisición o promoción de viviendas y el fomento del alquiler. Voto particular.</w:t>
      </w:r>
    </w:p>
    <w:p w:rsidR="00AC56D6" w:rsidRDefault="00AC56D6" w:rsidP="00AC56D6">
      <w:pPr>
        <w:pStyle w:val="SntesisAnaltica"/>
      </w:pPr>
    </w:p>
    <w:p w:rsidR="00AC56D6" w:rsidRDefault="00AC56D6" w:rsidP="00AC56D6">
      <w:pPr>
        <w:pStyle w:val="Extracto"/>
      </w:pPr>
      <w:r>
        <w:t>1.</w:t>
      </w:r>
      <w:r>
        <w:tab/>
        <w:t>En el ejercicio del derecho de enmienda al articulado, como forma de incidir en la iniciativa legislativa, debe respetarse una conexión mínima de homogeneidad con el texto enmendado, so pena de afectar, de modo contrario a la Constitución, tanto al derecho del autor de la iniciativa (art. 87 CE), como al carácter instrumental del procedimiento legislativo (art. 66.2 CE) y, en consecuencia, a la función y fines asignados al ejercicio de la potestad legislativa por las Cámaras, provocando un vicio en el desarrollo del citado procedimiento que podría alcanzar relevancia constitucional, si alterase de forma sustancial el proceso de formación de voluntad en el seno de las Cámaras [FJ 6].</w:t>
      </w:r>
    </w:p>
    <w:p w:rsidR="00AC56D6" w:rsidRDefault="00AC56D6" w:rsidP="00AC56D6">
      <w:pPr>
        <w:pStyle w:val="Extracto"/>
      </w:pPr>
    </w:p>
    <w:p w:rsidR="00AC56D6" w:rsidRDefault="00AC56D6" w:rsidP="00AC56D6">
      <w:pPr>
        <w:pStyle w:val="Extracto"/>
      </w:pPr>
      <w:r>
        <w:t>2.</w:t>
      </w:r>
      <w:r>
        <w:tab/>
        <w:t>No se aprecia vulneración del principio de irretroactividad en el precepto impugnado de la Ley 4/2013 porque su disposición adicional segunda no proyecta sus efectos hacia el pasado, sino que se proyecta hacia situaciones jurídicas que aún no se han producido [FJ 8].</w:t>
      </w:r>
    </w:p>
    <w:p w:rsidR="00AC56D6" w:rsidRDefault="00AC56D6" w:rsidP="00AC56D6">
      <w:pPr>
        <w:pStyle w:val="Extracto"/>
      </w:pPr>
    </w:p>
    <w:p w:rsidR="00AC56D6" w:rsidRDefault="00AC56D6" w:rsidP="00AC56D6">
      <w:pPr>
        <w:pStyle w:val="Extracto"/>
      </w:pPr>
      <w:r>
        <w:t>3.</w:t>
      </w:r>
      <w:r>
        <w:tab/>
        <w:t>La disposición impugnada no priva de derechos subjetivos o intereses legítimos de carácter patrimonial incorporados al patrimonio jurídico de los beneficiarios de las ayudas y, por tanto, no resultan aplicables las garantías expropiatorias constitucionales [FJ 9].</w:t>
      </w:r>
    </w:p>
    <w:p w:rsidR="00AC56D6" w:rsidRDefault="00AC56D6" w:rsidP="00AC56D6">
      <w:pPr>
        <w:pStyle w:val="Extracto"/>
      </w:pPr>
    </w:p>
    <w:p w:rsidR="00AC56D6" w:rsidRDefault="00AC56D6" w:rsidP="00AC56D6">
      <w:pPr>
        <w:pStyle w:val="Extracto"/>
      </w:pPr>
      <w:r>
        <w:t>4.</w:t>
      </w:r>
      <w:r>
        <w:tab/>
        <w:t>Aplica la doctrina sobre el derecho de enmienda de los parlamentarios contenida en las SSTC 119/2011 y 59/2015 [FJ 5].</w:t>
      </w:r>
    </w:p>
    <w:p w:rsidR="00AC56D6" w:rsidRDefault="00AC56D6" w:rsidP="00AC56D6">
      <w:pPr>
        <w:pStyle w:val="Extracto"/>
      </w:pPr>
    </w:p>
    <w:p w:rsidR="00AC56D6" w:rsidRDefault="00AC56D6" w:rsidP="00AC56D6">
      <w:pPr>
        <w:pStyle w:val="Extracto"/>
      </w:pPr>
      <w:r>
        <w:t>5.</w:t>
      </w:r>
      <w:r>
        <w:tab/>
        <w:t>El órgano al que reglamentariamente corresponda efectuar el análisis de congruencia material de las enmiendas al articulado cuenta con un amplio margen de valoración y debe valorar, siquiera de forma sucinta, si concurre o no una conexión mínima [FJ 6].</w:t>
      </w:r>
    </w:p>
    <w:p w:rsidR="00AC56D6" w:rsidRDefault="00AC56D6" w:rsidP="00AC56D6">
      <w:pPr>
        <w:pStyle w:val="Extracto"/>
      </w:pPr>
    </w:p>
    <w:p w:rsidR="00AC56D6" w:rsidRDefault="00AC56D6" w:rsidP="00AC56D6">
      <w:pPr>
        <w:pStyle w:val="Extracto"/>
      </w:pPr>
      <w:r>
        <w:t>6.</w:t>
      </w:r>
      <w:r>
        <w:tab/>
        <w:t>Cuando se modifican las condiciones de obtención de la renovación o simplemente se suprime esa posibilidad los beneficiarios de ayudas de subsidiación no pueden oponer un derecho subjetivo o un interés legítimo de carácter patrimonial incorporado a su patrimonio [FJ 9].</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inconstitucionalidad núm. 5108-2013, promovido por más de cincuenta Diputados del Grupo Parlamentario Socialista contra la disposición adicional segunda de la Ley 4/2013, de 4 de junio, de medidas de flexibilización y fomento del mercado del alquiler de viviendas. Han intervenido el Senado y el Abogado del Estado. Ha sido Ponente la Magistrada doña Adela Asua Batarrita,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Con fecha 5 de septiembre de 2013, doña Virginia Aragón Segura, Comisionada por más de cincuenta Diputados del Grupo Parlamentario Socialista en el Congreso de los Diputados, interpuso recurso de inconstitucionalidad contra la disposición adicional segunda de la Ley 4/2013, de 4 de junio, de medidas de flexibilización y fomento del mercado del alquiler de viviendas.</w:t>
      </w:r>
    </w:p>
    <w:p w:rsidR="00AC56D6" w:rsidRDefault="00AC56D6" w:rsidP="00AC56D6">
      <w:pPr>
        <w:pStyle w:val="TextoNormal"/>
      </w:pPr>
    </w:p>
    <w:p w:rsidR="00AC56D6" w:rsidRDefault="00AC56D6" w:rsidP="00AC56D6">
      <w:pPr>
        <w:pStyle w:val="TextoNormal"/>
      </w:pPr>
      <w:r w:rsidRPr="00AC56D6">
        <w:rPr>
          <w:rStyle w:val="NumeroAFNegritaCaracter"/>
        </w:rPr>
        <w:t>2</w:t>
      </w:r>
      <w:r>
        <w:t>. En el escrito de interposición del recurso de inconstitucionalidad se aducen tres motivos de inconstitucionalidad, que se resumen a continuación:</w:t>
      </w:r>
    </w:p>
    <w:p w:rsidR="00AC56D6" w:rsidRDefault="00AC56D6" w:rsidP="00AC56D6">
      <w:pPr>
        <w:pStyle w:val="TextoNormal"/>
      </w:pPr>
    </w:p>
    <w:p w:rsidR="00AC56D6" w:rsidRDefault="00AC56D6" w:rsidP="00AC56D6">
      <w:pPr>
        <w:pStyle w:val="TextoNormal"/>
      </w:pPr>
      <w:r>
        <w:t>a) El escrito comienza con unas consideraciones generales sobre las ayudas a la adquisición de viviendas de protección oficial y el mantenimiento de las situaciones jurídicas preexistentes. Por una parte, se refiere al art. 47 CE, que considera la piedra angular sobre la que se construye y se fundamenta el edificio de la acción pública en materia de vivienda, así como al art. 31 de la Carta social europea, al art. 34.2 de la Carta de derechos fundamentales de la Unión Europea y al art. 25.1 de la Declaración universal de los derechos humanos. Afirma que el art. 47 CE contiene, de acuerdo con el art. 53.3 CE, un mandato que ha de informar la actuación de todos los poderes públicos y que les obliga a desarrollar la acción normativa y administrativa necesaria para asegurar su cumplimiento. Aunque se trate de un derecho de configuración legal, en un Estado social debe favorecerse la tutela efectiva del derecho a la vivienda gracias a la actividad prestacional, de fomento y policía de la Administración; las Administraciones públicas no pueden ser abstencionistas.</w:t>
      </w:r>
    </w:p>
    <w:p w:rsidR="00AC56D6" w:rsidRDefault="00AC56D6" w:rsidP="00AC56D6">
      <w:pPr>
        <w:pStyle w:val="TextoNormal"/>
      </w:pPr>
    </w:p>
    <w:p w:rsidR="00AC56D6" w:rsidRDefault="00AC56D6" w:rsidP="00AC56D6">
      <w:pPr>
        <w:pStyle w:val="TextoNormal"/>
      </w:pPr>
      <w:r>
        <w:t xml:space="preserve">Por otra parte, se señala que las ayudas públicas reguladas en los sucesivos planes estatales de vivienda han mantenido a lo largo del tiempo un carácter unitario y constante, tanto </w:t>
      </w:r>
      <w:r>
        <w:lastRenderedPageBreak/>
        <w:t>en su diseño como en su contenido, siendo complementadas por las ayudas adicionales establecidas por las Comunidades Autónomas. En el momento en que se dictó la norma impugnada, la subsidiación de los préstamos para la adquisición de viviendas de protección oficial consistía en una cuantía económica que la entidad prestataria descuenta al beneficiario en la cuota mensual que paga por su préstamo convenido. Ese descuento mensual se evalúa atendiendo a la cuantía del préstamo, del nivel de ingresos familiares del comprador de la vivienda y del tipo de vivienda protegida de que se trate. Las ayudas se conceden por un periodo total de entre quince, diez o cinco años, según lo previsto en la normativa del plan de vivienda que le sea de aplicación. Esta ayuda se instrumenta por un periodo inicial de cinco años, renovable durante otro periodo de igual duración hasta cumplir el periodo total reconocido de origen y por la cuantía que corresponda, atendiendo a unas condiciones económicas del beneficiario y a la presentación de la solicitud en plazo. Los términos en que la Administración debe renovar estas peticiones quedan reflejados en los planes de vivienda y tienen como único criterio la valoración de la renta respecto a los correspondientes indicadores económicos, a efectos de actualizar la cuantía económica que se subsidia. En ningún caso los planes de vivienda reconocen la potestad de la Administración para cancelar o dejar de renovar unilateralmente las ayudas. Los beneficiarios son ciudadanos que han cumplido unas condiciones establecidas en los planes de vivienda para poder optar a las ayudas; a cambio deben cumplir con una serie de limitaciones o servidumbres con la vivienda protegida.</w:t>
      </w:r>
    </w:p>
    <w:p w:rsidR="00AC56D6" w:rsidRDefault="00AC56D6" w:rsidP="00AC56D6">
      <w:pPr>
        <w:pStyle w:val="TextoNormal"/>
      </w:pPr>
    </w:p>
    <w:p w:rsidR="00AC56D6" w:rsidRDefault="00AC56D6" w:rsidP="00AC56D6">
      <w:pPr>
        <w:pStyle w:val="TextoNormal"/>
      </w:pPr>
      <w:r>
        <w:t>El art. 35 del Real Decreto-ley 20/2012, de 13 de julio, de medidas para garantizar la estabilidad presupuestaria y de fomento de la competitividad suprimió las nuevas concesiones de ayudas de subsidiación de préstamos del plan estatal de vivienda y rehabilitación 2009-2012, pero subsistían íntegramente las ayudas concedidas hasta la fecha, por cuanto el precepto se refería claramente a las que no hubieran sido objeto de concesión. Sin embargo, la disposición objeto de este recurso viene a subvertir la situación jurídica de las ayudas ya concedidas: las renovaciones o prórrogas quedan suprimidas y sin efectos y no se admiten en lo sucesivo, a pesar de estar expresamente previstas en la legislación en cuya virtud se reconocieron y en las propias resoluciones de reconocimiento de ayudas. De esta forma se rompe con un criterio constante de mantenimiento de las situaciones jurídicas preexistentes. La eliminación de las ayudas supondrá un incremento en el pago de las cuotas de las hipotecas, alterando la programación económica que realizaron los adquirentes de las viviendas de protección oficial en su momento, que quizá no hubieran suscrito unos préstamos hipotecarios que les iban a vincular durante un largo periodo de tiempo; todo ello, además, en una situación de crisis económica, lo que puede abocar a quienes no puedan hacer frente al pago de las cuotas hipotecarias a ejecuciones hipotecarias con la consiguiente pérdida de las viviendas.</w:t>
      </w:r>
    </w:p>
    <w:p w:rsidR="00AC56D6" w:rsidRDefault="00AC56D6" w:rsidP="00AC56D6">
      <w:pPr>
        <w:pStyle w:val="TextoNormal"/>
      </w:pPr>
    </w:p>
    <w:p w:rsidR="00AC56D6" w:rsidRDefault="00AC56D6" w:rsidP="00AC56D6">
      <w:pPr>
        <w:pStyle w:val="TextoNormal"/>
      </w:pPr>
      <w:r>
        <w:t xml:space="preserve">b) El primer motivo de inconstitucionalidad se refiere a la violación de la interdicción de la retroactividad respecto a situaciones ya perfeccionadas. La prohibición constitucional de retroactividad (art. 9.3 CE) pretende otorgar completa seguridad jurídica al ciudadano de que los derechos subjetivos plenamente adquiridos en el pasado no puedan ser expropiados de su patrimonio jurídico como consecuencia de un cambio normativo. Se prohíbe la retroactividad de grado máximo o “auténtica”, pero no la de grado mínimo o “impropia”, que depende de circunstancias conectadas con la seguridad jurídica y la previsibilidad de actuación futura de cada sujeto en atención a la protección de la confianza legítima (SSTC 42/1986, de 10 de abril, FJ 3; 97/1990, de 24 de mayo, FJ 4; 126/1987, de 16 de julio, FJ </w:t>
      </w:r>
      <w:r>
        <w:lastRenderedPageBreak/>
        <w:t>11; 182/1997, de 28 de octubre, FJ 11, y 112/2006, de 5 de abril, FJ 17). El principio de protección de la confianza protege la confianza de los ciudadanos que ajustan su conducta económica a la legislación vigente frente a cambios normativos que no sean razonablemente previsibles (SSTC 150/1990, de 4 de octubre, y 234/2001, de 13 de diciembre).</w:t>
      </w:r>
    </w:p>
    <w:p w:rsidR="00AC56D6" w:rsidRDefault="00AC56D6" w:rsidP="00AC56D6">
      <w:pPr>
        <w:pStyle w:val="TextoNormal"/>
      </w:pPr>
    </w:p>
    <w:p w:rsidR="00AC56D6" w:rsidRDefault="00AC56D6" w:rsidP="00AC56D6">
      <w:pPr>
        <w:pStyle w:val="TextoNormal"/>
      </w:pPr>
      <w:r>
        <w:t>El escrito considera que la disposición adicional segunda de la Ley 4/2013 establece una retroactividad auténtica o de grado máximo a todos los efectos. En primer lugar, la norma proyecta sus efectos hacia el pasado, impidiendo al beneficiario de las ayudas acogerse a sucesivas renovaciones y prórrogas previstas por las normas que justificaron las ayudas. En segundo lugar, la norma adoptada tiene carácter restrictivo, pues elimina un derecho previamente reconocido por el ordenamiento jurídico. En tercer lugar, afecta a un derecho individual, que se halla incorporado al patrimonio jurídico del beneficiario cada mes, pues la renovación por periodos sucesivos solo requiere la acreditación del mantenimiento de las condiciones socio-económicas que justificaron la concesión (art. 18 del Real Decreto 1/2002, de 11 de enero); derecho que en el presente caso se encuentra además vinculado al derecho constitucionalmente reconocido en el art. 47 CE. El alcance de la categoría de los “derechos individuales” se extiende por lo menos a los derechos constitucionalizados, entre los cuales se encuentra el derecho a disfrutar de una vivienda digna y adecuada.</w:t>
      </w:r>
    </w:p>
    <w:p w:rsidR="00AC56D6" w:rsidRDefault="00AC56D6" w:rsidP="00AC56D6">
      <w:pPr>
        <w:pStyle w:val="TextoNormal"/>
      </w:pPr>
    </w:p>
    <w:p w:rsidR="00AC56D6" w:rsidRDefault="00AC56D6" w:rsidP="00AC56D6">
      <w:pPr>
        <w:pStyle w:val="TextoNormal"/>
      </w:pPr>
      <w:r>
        <w:t xml:space="preserve">c) El segundo motivo de impugnación consiste en la vulneración del art. 33.3 CE. El escrito señala que la norma impugnada tiene contenido expropiatorio: provoca una objetiva privación de bienes y derechos en perjuicio de todos y cada uno de los afectados por la pérdida del derecho a la renovación de las ayudas a la adquisición de vivienda protegida. El derecho a renovar la ayuda concedida es un derecho en sentido estricto, generado y consolidado con anterioridad a la entrada en vigor de la norma, por lo que constituye un derecho subjetivo o interés legítimo de carácter patrimonial (STC 227/1988, de 29 de noviembre, FJ 11). Sin embargo, en la exposición de motivos de la Ley impugnada no figura justificación alguna de la </w:t>
      </w:r>
      <w:r w:rsidRPr="00AC56D6">
        <w:rPr>
          <w:i/>
        </w:rPr>
        <w:t>causa expropiandi</w:t>
      </w:r>
      <w:r>
        <w:t xml:space="preserve"> exigida por el art. 33.3 CE. Tampoco el efecto expropiatorio se ve compensado por “la correspondiente indemnización”. El escrito subraya que la doctrina constitucional sobre la expropiación se aplica también a las llamadas “expropiaciones legislativas”.</w:t>
      </w:r>
    </w:p>
    <w:p w:rsidR="00AC56D6" w:rsidRDefault="00AC56D6" w:rsidP="00AC56D6">
      <w:pPr>
        <w:pStyle w:val="TextoNormal"/>
      </w:pPr>
    </w:p>
    <w:p w:rsidR="00AC56D6" w:rsidRDefault="00AC56D6" w:rsidP="00AC56D6">
      <w:pPr>
        <w:pStyle w:val="TextoNormal"/>
      </w:pPr>
      <w:r>
        <w:t xml:space="preserve">d) El tercer motivo de impugnación reside en la vulneración de la doctrina del Tribunal Constitucional sobre el derecho de enmienda en la tramitación y aprobación parlamentaria de la disposición. Según el escrito, la tramitación y aprobación parlamentaria de la disposición se desarrolló de la siguiente forma. La Ley 4/2013 tuvo su entrada como proyecto de ley en el Registro del Congreso de los Diputados el 31 de agosto de 2012 y su calificación por la Mesa de la Cámara el 4 de septiembre, encomendando su aprobación con competencia legislativa plena, conforme al art. 148 del Reglamento del Congreso de los Diputados, a la Comisión de Fomento. El texto constaba de cinco artículos y dos disposiciones adicionales, una transitoria, una derogatoria y tres finales. Se presentaron un total de 163 enmiendas, tanto a la totalidad como al articulado, por los diferentes grupos parlamentarios. En ninguna de las enmiendas presentadas, especialmente por el grupo parlamentario que apoya al Gobierno (enmiendas 110 a 126), se aprecia la intención de incorporar modificaciones que no atendieran a los objetivos y al contenido específico del proyecto de ley registrado en el Congreso de los Diputados y, más específicamente, una alteración del régimen de ayudas vigente para facilitar el derecho constitucional a la vivienda. Al texto aprobado por la Comisión de Fomento del Congreso de los Diputados el 27 de febrero de 2013 se presentaron </w:t>
      </w:r>
      <w:r>
        <w:lastRenderedPageBreak/>
        <w:t>en el Senado un total de 136 enmiendas. Entre ellas, el Grupo Parlamentario Popular incorporó una —la número 105— que, alterando los objetivos pretendidos y explicitados por el Gobierno y expresamente contenidos tanto en el proyecto como en la documentación anexa que le acompaña, supone una modificación sustancial del régimen de ayudas previsto en el plan estatal de vivienda: esa enmienda da lugar a la disposición adicional segunda de la Ley definitivamente aprobada. La presentación de dicha enmienda motivó que el Grupo Parlamentario Socialista dirigiera un escrito a la Mesa del Senado, solicitando la calificación como “no congruente” con el contenido material del proyecto de ley de la enmienda núm. 105, en aplicación de la reiterada jurisprudencia constitucional en esta materia (STC 119/2011). La solicitud fue rechazada por la Mesa del Senado, y el proyecto de ley de medidas de flexibilización y fomento del mercado del alquiler de viviendas se aprobó en el Senado y definitivamente por el Pleno del Congreso de los Diputados el 29 de mayo de 2013, incorporando sin modificaciones el texto de la mencionada enmienda.</w:t>
      </w:r>
    </w:p>
    <w:p w:rsidR="00AC56D6" w:rsidRDefault="00AC56D6" w:rsidP="00AC56D6">
      <w:pPr>
        <w:pStyle w:val="TextoNormal"/>
      </w:pPr>
    </w:p>
    <w:p w:rsidR="00AC56D6" w:rsidRDefault="00AC56D6" w:rsidP="00AC56D6">
      <w:pPr>
        <w:pStyle w:val="TextoNormal"/>
      </w:pPr>
      <w:r>
        <w:t>Expuesto el origen de la disposición adicional segunda, el escrito se refiere a continuación a la doctrina jurisprudencial sobre la iniciativa legislativa y el derecho de enmienda. En síntesis señala que, según el Tribunal Constitucional, pueden existir válidamente leyes complejas (STC 126/1987, de 16 de julio) y heterogéneas (STC 136/2011, de 13 de septiembre). En cambio, la enmienda no puede servir de mecanismo para dar vida a una realidad nueva (STC 119/2011, de 5 de julio, FJ 4). Los recurrentes consideran que en el procedimiento legislativo previo a la aprobación de la Ley 4/2013 se han vulnerado las reglas relativas a las enmiendas y a la coherencia de éstas con el texto al que se refieren, que dimanan de la jurisprudencia constitucional (STC 119/2011, corroborada por la STC 136/2011). El proyecto de ley tenía por objeto la regulación de los contratos de arrendamiento urbano de viviendas y, como materias conexas, regula el registro de impagos de rentas de alquiler, los instrumentos de colaboración para la obtención de información acerca de las viviendas arrendadas o de los contratos de arrendamiento. El escrito considera que el contenido de la enmienda núm. 105 del Grupo Popular en el Senado, que se refiere a la prórroga de las ayudas previstas en los planes estatales de vivienda para la adquisición de viviendas de protección oficial, nada tiene que ver con el mercado de alquiler o su fomento y flexibilización.</w:t>
      </w:r>
    </w:p>
    <w:p w:rsidR="00AC56D6" w:rsidRDefault="00AC56D6" w:rsidP="00AC56D6">
      <w:pPr>
        <w:pStyle w:val="TextoNormal"/>
      </w:pPr>
    </w:p>
    <w:p w:rsidR="00AC56D6" w:rsidRDefault="00AC56D6" w:rsidP="00AC56D6">
      <w:pPr>
        <w:pStyle w:val="TextoNormal"/>
      </w:pPr>
      <w:r>
        <w:t>Por ello, los recurrentes señalan que la Mesa del Senado debió haber inadmitido la tramitación de la enmienda núm. 105 del Grupo Popular en el Senado, tal como solicitó ante la Mesa en el momento procesal oportuno el Grupo Socialista en el Senado; y que, como no se accedió a ello, se ha producido un vicio de inconstitucionalidad que invalida el procedimiento legislativo a que se refiere el presente recurso, en tanto que se vulnera la proyección del principio constitucional que configura el Estado como democrático (arts. 1.1 y 2 CE) sobre el procedimiento legislativo (arts. 66.1 y 2 CE). Con ello se vulnerarían también, siempre según los recurrentes, los arts. 87.1 (iniciativa legislativa parlamentaria), 88 (procedimiento legislativo ordinario), 89 (proposiciones de ley) y 90.2 CE (relación entre el Congreso y el Senado en el procedimiento legislativo) en relación con los arts. 123 (enmiendas del Senado) y 125 (iniciativas legislativas del Senado) del Reglamento del Congreso de los Diputados y 108 (proposiciones de ley del Senado) del Reglamento del Senado. Los vicios expuestos afectan de forma grave y esencial al proceso de formación de la voluntad de los parlamentarios, que no pueden presentar y defender alternativas a lo que, sorpresivamente, se introdujo como enmienda en el Senado: los senadores vieron hurtada la posibili</w:t>
      </w:r>
      <w:r>
        <w:lastRenderedPageBreak/>
        <w:t>dad de ejercer sus funciones constitucionales correctamente; y los diputados tampoco pudieron desempeñar correctamente su función. En definitiva, la inobservancia de las reglas del procedimiento legislativo, a través de un uso indebido del derecho de enmienda que afecta a los derechos reconocidos por el art. 23 CE, ha alterado de modo sustancial el proceso de formación en el seno de las Cámaras y, en consecuencia, vicia de inconstitucionalidad la ley resultante de dicho proceso.</w:t>
      </w:r>
    </w:p>
    <w:p w:rsidR="00AC56D6" w:rsidRDefault="00AC56D6" w:rsidP="00AC56D6">
      <w:pPr>
        <w:pStyle w:val="TextoNormal"/>
      </w:pPr>
    </w:p>
    <w:p w:rsidR="00AC56D6" w:rsidRDefault="00AC56D6" w:rsidP="00AC56D6">
      <w:pPr>
        <w:pStyle w:val="TextoNormal"/>
      </w:pPr>
      <w:r w:rsidRPr="00AC56D6">
        <w:rPr>
          <w:rStyle w:val="NumeroAFNegritaCaracter"/>
        </w:rPr>
        <w:t>3</w:t>
      </w:r>
      <w:r>
        <w:t>. Por providencia de 8 de octubre de 2013 el Pleno de este Tribunal, a propuesta de la Sección Tercera, acordó admitir a trámite el recurso y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procedimiento y formular alegaciones. Asimismo se acordó publicar la incoación del procedimiento en el “Boletín Oficial del Estado”, lo que se produjo el día 18 de octubre de 2013.</w:t>
      </w:r>
    </w:p>
    <w:p w:rsidR="00AC56D6" w:rsidRDefault="00AC56D6" w:rsidP="00AC56D6">
      <w:pPr>
        <w:pStyle w:val="TextoNormal"/>
      </w:pPr>
    </w:p>
    <w:p w:rsidR="00AC56D6" w:rsidRDefault="00AC56D6" w:rsidP="00AC56D6">
      <w:pPr>
        <w:pStyle w:val="TextoNormal"/>
      </w:pPr>
      <w:r w:rsidRPr="00AC56D6">
        <w:rPr>
          <w:rStyle w:val="NumeroAFNegritaCaracter"/>
        </w:rPr>
        <w:t>4</w:t>
      </w:r>
      <w:r>
        <w:t>. El Abogado del Estado, mediante escrito registrado el 18 de octubre de 2013, se personó en el recurso en nombre del Gobierno, y solicitó una prórroga del plazo otorgado para formalizar el escrito de alegaciones.</w:t>
      </w:r>
    </w:p>
    <w:p w:rsidR="00AC56D6" w:rsidRDefault="00AC56D6" w:rsidP="00AC56D6">
      <w:pPr>
        <w:pStyle w:val="TextoNormal"/>
      </w:pPr>
    </w:p>
    <w:p w:rsidR="00AC56D6" w:rsidRDefault="00AC56D6" w:rsidP="00AC56D6">
      <w:pPr>
        <w:pStyle w:val="TextoNormal"/>
      </w:pPr>
      <w:r>
        <w:t>Por providencia de 21 de octubre de 2013, el Pleno acordó incorporar a las actuaciones el escrito del Abogado del Estado, tenerlo por personado en la representación que ostenta y otorgarle una prórroga de ocho días respecto al plazo concedido por providencia de 20 de septiembre de 2011, a contar desde el siguiente al de expiración del ordinario.</w:t>
      </w:r>
    </w:p>
    <w:p w:rsidR="00AC56D6" w:rsidRDefault="00AC56D6" w:rsidP="00AC56D6">
      <w:pPr>
        <w:pStyle w:val="TextoNormal"/>
      </w:pPr>
    </w:p>
    <w:p w:rsidR="00AC56D6" w:rsidRDefault="00AC56D6" w:rsidP="00AC56D6">
      <w:pPr>
        <w:pStyle w:val="TextoNormal"/>
      </w:pPr>
      <w:r w:rsidRPr="00AC56D6">
        <w:rPr>
          <w:rStyle w:val="NumeroAFNegritaCaracter"/>
        </w:rPr>
        <w:t>5</w:t>
      </w:r>
      <w:r>
        <w:t>. Por escrito registrado el 23 de octubre de 2013, el Presidente del Senado notificó el acuerdo de la Mesa de la Cámara de personarse en el procedimiento, de encomendar la representación y defensa de la Cámara al Letrado de las Cortes Generales y jefe de la asesoría jurídica del Senado don Fernando José Santaolalla López y de comunicar dicho acuerdo al Tribunal Constitucional y al Congreso de los Diputados.</w:t>
      </w:r>
    </w:p>
    <w:p w:rsidR="00AC56D6" w:rsidRDefault="00AC56D6" w:rsidP="00AC56D6">
      <w:pPr>
        <w:pStyle w:val="TextoNormal"/>
      </w:pPr>
    </w:p>
    <w:p w:rsidR="00AC56D6" w:rsidRDefault="00AC56D6" w:rsidP="00AC56D6">
      <w:pPr>
        <w:pStyle w:val="TextoNormal"/>
      </w:pPr>
      <w:r>
        <w:t>Por escrito registrado el día 23 de octubre de 2013, el Presidente del Congreso de los Diputados notificó el acuerdo de la Mesa de la Cámara de personarse en el procedimiento, de ofrecer su colaboración a los efectos del art. 88.1 LOTC y de remitir la documentación a la Dirección de Estudios, Análisis y Publicaciones y a la asesoría jurídica de la Secretaría General.</w:t>
      </w:r>
    </w:p>
    <w:p w:rsidR="00AC56D6" w:rsidRDefault="00AC56D6" w:rsidP="00AC56D6">
      <w:pPr>
        <w:pStyle w:val="TextoNormal"/>
      </w:pPr>
    </w:p>
    <w:p w:rsidR="00AC56D6" w:rsidRDefault="00AC56D6" w:rsidP="00AC56D6">
      <w:pPr>
        <w:pStyle w:val="TextoNormal"/>
      </w:pPr>
      <w:r w:rsidRPr="00AC56D6">
        <w:rPr>
          <w:rStyle w:val="NumeroAFNegritaCaracter"/>
        </w:rPr>
        <w:t>6</w:t>
      </w:r>
      <w:r>
        <w:t>. Por escrito registrado el 4 de noviembre de 2013 el Letrado de las Cortes Generales y jefe de la asesoría jurídica del Senado, en nombre y representación de la Cámara, formuló las siguientes alegaciones:</w:t>
      </w:r>
    </w:p>
    <w:p w:rsidR="00AC56D6" w:rsidRDefault="00AC56D6" w:rsidP="00AC56D6">
      <w:pPr>
        <w:pStyle w:val="TextoNormal"/>
      </w:pPr>
    </w:p>
    <w:p w:rsidR="00AC56D6" w:rsidRDefault="00AC56D6" w:rsidP="00AC56D6">
      <w:pPr>
        <w:pStyle w:val="TextoNormal"/>
      </w:pPr>
      <w:r>
        <w:t>a) Se advierte inicialmente que, según el acuerdo de la Mesa de la Cámara de comparecencia, las alegaciones del representante procesal del Senado se limitan a refutar la imputación de vulneración de la doctrina del Tribunal Constitucional sobre el derecho de enmienda en la tramitación y aprobación parlamentaria de la disposición, sin que el silencio sobre las demás cuestiones deba interpretarse como muestra a favor o en contra de las mismas.</w:t>
      </w:r>
    </w:p>
    <w:p w:rsidR="00AC56D6" w:rsidRDefault="00AC56D6" w:rsidP="00AC56D6">
      <w:pPr>
        <w:pStyle w:val="TextoNormal"/>
      </w:pPr>
    </w:p>
    <w:p w:rsidR="00AC56D6" w:rsidRDefault="00AC56D6" w:rsidP="00AC56D6">
      <w:pPr>
        <w:pStyle w:val="TextoNormal"/>
      </w:pPr>
      <w:r>
        <w:t>b) Tras relatar en detalle los antecedentes de hecho de la citada cuestión, el Letrado de las Cortes Generales en representación del Senado expone, en los siguientes términos, la práctica seguida por el Senado a partir de la STC 119/2011, de 5 de julio, a efectos de su cumplimiento. El Senado ha configurado un procedimiento específico: la Mesa del Senado delega en el Presidente la calificación material de las enmiendas, sin perjuicio de que sus acuerdos en esta materia puedan someterse a la reconsideración de la Mesa en virtud del art. 36.2 del Reglamento del Senado. Todas las enmiendas presentadas son revisadas desde este punto de vista por los Letrados correspondientes, que advierten sobre sus posibles excesos respecto al ámbito material del proyecto. Y la Presidencia decide luego ejerciendo las facultades delegadas de calificación.</w:t>
      </w:r>
    </w:p>
    <w:p w:rsidR="00AC56D6" w:rsidRDefault="00AC56D6" w:rsidP="00AC56D6">
      <w:pPr>
        <w:pStyle w:val="TextoNormal"/>
      </w:pPr>
    </w:p>
    <w:p w:rsidR="00AC56D6" w:rsidRDefault="00AC56D6" w:rsidP="00AC56D6">
      <w:pPr>
        <w:pStyle w:val="TextoNormal"/>
      </w:pPr>
      <w:r>
        <w:t>El escrito de alegaciones señala que son numerosas las enmiendas que han sido inadmitidas desde esta perspectiva tanto en la IX legislatura como en la X y que también se han dado casos de solicitudes de reconsideración de enmiendas inadmitidas que han sido resueltas por la Mesa del Senado. Asimismo, está prevista la comprobación de la congruencia material de las enmiendas que se presenten en fase de ponencia, de comisión y de pleno. El Letrado de las Cortes Generales señala que el Senado es muy consciente de los problemas que pueden producirse con enmiendas que se separen netamente del ámbito regulado en un proyecto o proposición de ley: por ello, concluye, si la enmienda núm. 105 del Grupo Popular y la posterior transaccional fueron admitidas a trámite, fue porque se apreció que las mismas superaban este test de mínima compatibilidad material con el resto del proyecto de ley remitido por el Congreso de los Diputados. Se concluye, por tanto, que el Senado cumplió en todo momento con las consecuencias derivadas de la STC 119/2011.</w:t>
      </w:r>
    </w:p>
    <w:p w:rsidR="00AC56D6" w:rsidRDefault="00AC56D6" w:rsidP="00AC56D6">
      <w:pPr>
        <w:pStyle w:val="TextoNormal"/>
      </w:pPr>
    </w:p>
    <w:p w:rsidR="00AC56D6" w:rsidRDefault="00AC56D6" w:rsidP="00AC56D6">
      <w:pPr>
        <w:pStyle w:val="TextoNormal"/>
      </w:pPr>
      <w:r>
        <w:t>c) El Letrado de las Cortes Generales en representación del Senado señala a continuación que, para examinar la cuestión de la supuesta desconexión material del proyecto de ley entonces en tramitación y la posterior enmienda aprobada en el Senado, debe partirse de su objeto y contenido. La citada Ley tenía y tiene como objetivo fomentar el mercado de alquiler de viviendas, frente al predominio actual de la propiedad inmobiliaria: a tal efecto modifica la Ley de arrendamientos urbanos, la de enjuiciamiento civil y añade nuevas normas sobre la materia. Por su parte, la enmienda en cuestión, se refiere al régimen aplicable a las ayudas de los planes estatales de vivienda y renta básica de emancipación. La disposición adicional segunda cuenta, en los apartados c) y d), con inequívocas referencias al “mantenimiento de las ayudas del programa de inquilinos”, a las “nuevas líneas de ayudas del Plan Estatal de Fomento del Alquiler de viviendas” y al “Plan Estatal de Fomento del Alquiler de viviendas, la rehabilitación edificatoria y la regeneración y renovación urbanas, 2013-2016”. Referencias parecidas al fomento del alquiler de viviendas se encontraban en la justificación de la enmienda original núm. 105, que ha de entenderse que se mantiene en la transaccional que la sustituyó.</w:t>
      </w:r>
    </w:p>
    <w:p w:rsidR="00AC56D6" w:rsidRDefault="00AC56D6" w:rsidP="00AC56D6">
      <w:pPr>
        <w:pStyle w:val="TextoNormal"/>
      </w:pPr>
    </w:p>
    <w:p w:rsidR="00AC56D6" w:rsidRDefault="00AC56D6" w:rsidP="00AC56D6">
      <w:pPr>
        <w:pStyle w:val="TextoNormal"/>
      </w:pPr>
      <w:r>
        <w:t xml:space="preserve">d) Seguidamente, el Letrado de las Cortes Generales recuerda la jurisprudencia constitucional sobre esta materia, la cual solo declara las enmiendas inadmisibles a trámite por incongruencia material cuando se produce una “falta absoluta de conexión” (STC 119/2011, FJ 7) de aquellas con una iniciativa legislativa. Además, la Mesa de la Cámara, como órgano al que reglamentariamente le corresponde efectuar el análisis de las enmiendas presentadas, “debe contar con un amplio margen de apreciación para determinar la existencia de conexión material entre enmienda y proyecto o proposición de ley objeto de debate” (STC </w:t>
      </w:r>
      <w:r>
        <w:lastRenderedPageBreak/>
        <w:t>119/2011, FJ 7). Basta que la Mesa aprecie la existencia de una “conexión mínima” entre aquellas para la admisión a trámite de la enmienda en cuestión, “pues solo cuando sea evidente y manifiesto que no existe tal conexión deberá rechazarse la enmienda”, lo que no ocurre en el presente caso. Esa doctrina se ha visto confirmada por las SSTC 136/2011, de 13 de septiembre, 204/2011, de 15 de diciembre, 209/2012, de 14 de noviembre, 234/2012, de 13 de diciembre, y 132/2013, de 5 de junio.</w:t>
      </w:r>
    </w:p>
    <w:p w:rsidR="00AC56D6" w:rsidRDefault="00AC56D6" w:rsidP="00AC56D6">
      <w:pPr>
        <w:pStyle w:val="TextoNormal"/>
      </w:pPr>
    </w:p>
    <w:p w:rsidR="00AC56D6" w:rsidRDefault="00AC56D6" w:rsidP="00AC56D6">
      <w:pPr>
        <w:pStyle w:val="TextoNormal"/>
      </w:pPr>
      <w:r>
        <w:t>El escrito recuerda que el Grupo Socialista en el Senado admitió en su escrito que “acaso de manera muy tangencial” sí se daba la relación material entre la enmienda 105 y el proyecto de ley, lo que venía a constituir un reconocimiento tácito del mínimo de conexión objetiva que reclama ese Tribunal.</w:t>
      </w:r>
    </w:p>
    <w:p w:rsidR="00AC56D6" w:rsidRDefault="00AC56D6" w:rsidP="00AC56D6">
      <w:pPr>
        <w:pStyle w:val="TextoNormal"/>
      </w:pPr>
    </w:p>
    <w:p w:rsidR="00AC56D6" w:rsidRDefault="00AC56D6" w:rsidP="00AC56D6">
      <w:pPr>
        <w:pStyle w:val="TextoNormal"/>
      </w:pPr>
      <w:r>
        <w:t xml:space="preserve">e) El Letrado de las Cortes Generales en representación del Senado rechaza los supuestos vicios denunciados que habrían afectado de forma grave y esencial al proceso de formación de la voluntad de los parlamentarios, que no podrían presentar y defender alternativas. Señala que la tramitación de las enmiendas se ha hecho de acuerdo con lo que establece el procedimiento legislativo del Senado (arts. 107 y 115 del Reglamento de la Cámara): las enmiendas se atuvieron en tiempo y forma a lo que exige el Reglamento del Senado. Y es manifiestamente inexacta la afirmación de que los parlamentarios no puedan presentar y defender alternativas ante las enmiendas admitidas a trámite o no pudieron desempeñar correctamente su función: durante el debate de cualquier enmienda, en comisión y en pleno, los parlamentarios contrarios a la misma pueden exponer públicamente su oposición, pueden votar en contra y pueden convertir en voto particular el texto anterior a la enmienda, voto particular que puede debatirse y votarse en pleno. Por su parte, el Congreso de los Diputados debe debatir antes de votar sobre las enmiendas del Senado, en el trámite del art. 90.2 CE, lo que ofrece una nueva oportunidad para testimoniar cualquier crítica u oposición. Por ello, concluye el Letrado, lo que pretenden los recurrentes sí que comportaría una lesión del derecho de participación política de los autores de las enmiendas, pues, salvada la conexión material con el proyecto y cumplidos los requisitos formales, los parlamentarios y los grupos parlamentarios tienen una facultad de presentación de enmiendas, sin la cual quedaría mermada la potestad legislativa de la representación popular que el Parlamento encarna (art. 66.2 CE). El </w:t>
      </w:r>
      <w:r w:rsidRPr="00AC56D6">
        <w:rPr>
          <w:i/>
        </w:rPr>
        <w:t>ius enmendandi</w:t>
      </w:r>
      <w:r>
        <w:t xml:space="preserve"> es un instrumento de ejercicio de la función legislativa.</w:t>
      </w:r>
    </w:p>
    <w:p w:rsidR="00AC56D6" w:rsidRDefault="00AC56D6" w:rsidP="00AC56D6">
      <w:pPr>
        <w:pStyle w:val="TextoNormal"/>
      </w:pPr>
    </w:p>
    <w:p w:rsidR="00AC56D6" w:rsidRDefault="00AC56D6" w:rsidP="00AC56D6">
      <w:pPr>
        <w:pStyle w:val="TextoNormal"/>
      </w:pPr>
      <w:r w:rsidRPr="00AC56D6">
        <w:rPr>
          <w:rStyle w:val="NumeroAFNegritaCaracter"/>
        </w:rPr>
        <w:t>7</w:t>
      </w:r>
      <w:r>
        <w:t>. Por escrito registrado el 18 de noviembre de 2013 el Abogado del Estado, en la representación que legalmente ostenta, formuló las siguientes alegaciones:</w:t>
      </w:r>
    </w:p>
    <w:p w:rsidR="00AC56D6" w:rsidRDefault="00AC56D6" w:rsidP="00AC56D6">
      <w:pPr>
        <w:pStyle w:val="TextoNormal"/>
      </w:pPr>
    </w:p>
    <w:p w:rsidR="00AC56D6" w:rsidRDefault="00AC56D6" w:rsidP="00AC56D6">
      <w:pPr>
        <w:pStyle w:val="TextoNormal"/>
      </w:pPr>
      <w:r>
        <w:t>a) La primera alegación razona la inadmisibilidad parcial del recurso de inconstitucionalidad. Señala que en el recurso solo se argumenta la inconstitucionalidad de la modificación del régimen de subsidiación de préstamos, esto es, del apartado a) de la disposición adicional segunda. Ninguna mención se hace al resto de los apartados de la norma impugnada. Como respecto a esos preceptos el recurso no levanta la carga de fundamentar su pretensión y colaborar con la justicia del Tribunal Constitucional en los términos que exige la doctrina constitucional, se solicita la inadmisión del recurso en relación con los apartados b), c) y d) de la disposición adicional segunda.</w:t>
      </w:r>
    </w:p>
    <w:p w:rsidR="00AC56D6" w:rsidRDefault="00AC56D6" w:rsidP="00AC56D6">
      <w:pPr>
        <w:pStyle w:val="TextoNormal"/>
      </w:pPr>
    </w:p>
    <w:p w:rsidR="00AC56D6" w:rsidRDefault="00AC56D6" w:rsidP="00AC56D6">
      <w:pPr>
        <w:pStyle w:val="TextoNormal"/>
      </w:pPr>
      <w:r>
        <w:t xml:space="preserve">b) El Abogado del Estado comienza rechazando la conceptuación de la subsidiación de los préstamos de viviendas de protección oficial que realiza el recurso: dicha subsidiación consiste en una ayuda cuyo importe se descuenta de la cuantía del préstamo hipotecario </w:t>
      </w:r>
      <w:r>
        <w:lastRenderedPageBreak/>
        <w:t xml:space="preserve">convenido que el beneficiario ha formalizado con una entidad de crédito colaboradora con los planes estatales de vivienda. Para poder obtener la ayuda estatal, el beneficiario debe cumplir determinados requisitos relacionados con el nivel de ingresos y situación familiar en la que se encuentre. El periodo de tiempo inicial para poder percibir la ayuda, en cualquiera de los planes estatales de vivienda a los que se refiere el recurso de inconstitucionalidad, es de cinco años: ese periodo “podrá” ser ampliado por el mismo importe inicialmente concedido, por otro periodo de la misma duración mínima (art. 18.2 del Real Decreto 1/2002, de 11 de enero, relativo al plan estatal 2002-2005; art. 23.2 del Real Decreto 801/2005, de 1 de julio, relativo al plan estatal 2005-2008; art. 43.3 del Real Decreto 2066/2008, de 12 de diciembre, por el que se regula el plan estatal de vivienda y rehabilitación 2009-2012). De ello se deduce, según el Abogado del Estado, que la renovación no tiene carácter automático o vinculante para la Administración, sino sustantividad propia y genera un nuevo procedimiento administrativo dirigido a la ampliación del periodo de subsidiación por otros cinco años. De hecho, la renovación debe ser solicitada por el propio beneficiario, quien debe acreditar de nuevo que cumple en ese momento todas las condiciones para poder obtener la prórroga de la subsidiación; en suma, se trata de un nuevo reconocimiento de la ayuda, mediante una nueva resolución, que la Administración puede o no conceder. Configurada así la renovación de la subsidiación del préstamo, la disposición adicional segunda de la Ley 4/2013 solo afecta a aquellos reconocimientos, tanto de nuevas subsidiaciones como de aquellas renovaciones, que deben acreditar </w:t>
      </w:r>
      <w:r w:rsidRPr="00AC56D6">
        <w:rPr>
          <w:i/>
        </w:rPr>
        <w:t>ex novo</w:t>
      </w:r>
      <w:r>
        <w:t xml:space="preserve"> los requisitos que se fijan en cada uno de los planes estatales de vivienda. Por lo tanto, los nuevos reconocimientos de subsidiación y las renovaciones de la subsidiación de préstamos no son derechos adquiridos sino expectativas de derecho. Por esa razón no existe vulneración alguna del principio de interdicción de la retroactividad de las normas ni del art. 33 CE. Lo que sí constituye una situación jurídica consolidada, no afectada por la Ley, es el periodo inicial de cinco años de ayuda de subsidiación reconocida a los adquirentes de viviendas protegidas.</w:t>
      </w:r>
    </w:p>
    <w:p w:rsidR="00AC56D6" w:rsidRDefault="00AC56D6" w:rsidP="00AC56D6">
      <w:pPr>
        <w:pStyle w:val="TextoNormal"/>
      </w:pPr>
    </w:p>
    <w:p w:rsidR="00AC56D6" w:rsidRDefault="00AC56D6" w:rsidP="00AC56D6">
      <w:pPr>
        <w:pStyle w:val="TextoNormal"/>
      </w:pPr>
      <w:r>
        <w:t>c) A continuación el Abogado del Estado analiza la pretendida vulneración del art. 9.3 CE, y señala que no concurren ninguno de los requisitos que sintetiza la demanda. En primer lugar, la norma no es retroactiva o solo es retroactiva en grado mínimo. En segundo lugar, no se restringe ningún derecho subjetivo en general y fundamental, como exige la jurisprudencia, puesto que el derecho a la vivienda no es un derecho fundamental. En tercer lugar, no se afecta a derechos subjetivos incorporados ya al patrimonio jurídico del beneficiario de la ayuda. Cuando termina el periodo inicial de cinco años, la ayuda no se incorpora al patrimonio jurídico del beneficiario. Y es el propio legislador el que ordena que no se produzca la renovación de la subsidiación de los préstamos.</w:t>
      </w:r>
    </w:p>
    <w:p w:rsidR="00AC56D6" w:rsidRDefault="00AC56D6" w:rsidP="00AC56D6">
      <w:pPr>
        <w:pStyle w:val="TextoNormal"/>
      </w:pPr>
    </w:p>
    <w:p w:rsidR="00AC56D6" w:rsidRDefault="00AC56D6" w:rsidP="00AC56D6">
      <w:pPr>
        <w:pStyle w:val="TextoNormal"/>
      </w:pPr>
      <w:r>
        <w:t>d) El Abogado del Estado también rechaza la alegada vulneración del art. 33.3 CE, por cuanto falta el presupuesto de base, la privación de un derecho, en los términos del art. 1 de la Ley de expropiación forzosa. Señala que la jurisprudencia, tanto del Tribunal Constitucional como del Tribunal Supremo, ha admitido la inexistencia de derechos indemnizatorios a cargo de las Administraciones públicas cuando las modificaciones normativas alteran situaciones jurídicas preexistentes no consolidadas, y que no procede indemnización cuando el derecho reconocido por la norma no está aún patrimonializado. Y pone como ejemplo la STC 6/1986, en la que el Tribunal Constitucional sentó el principio de que las normas que establecen exenciones o reducciones tributarias crean ciertamente situaciones jurídicas in</w:t>
      </w:r>
      <w:r>
        <w:lastRenderedPageBreak/>
        <w:t>dividualizadas a favor de los beneficiarios, pero el llamado derecho a la exención o bonificación tributarias es simplemente un elemento de la relación jurídica obligacional que vincula a la Administración y al contribuyente y no un derecho incorporado al patrimonio de los titulares. Partiendo de esa Sentencia, el Tribunal Supremo consolidó una jurisprudencia firme, según la cual no son “derechos adquiridos” las meras condiciones reglamentarias a las situaciones de ventaja que pudieran derivarse potencialmente del derecho objetivo, ya que tales “derechos”, por definición, no pueden ser derechos subjetivos o situaciones jurídicas individualizadas de poder concreto a consecuencia de una norma objetiva, sino a través de un acto jurídico singular que los confiere. Esa doctrina es aplicable a toda la legislación de vivienda protegida (estatal y autonómica) de acuerdo con la cual, en materia de vivienda de protección oficial, los adquirentes de viviendas no tienen derechos individuales, sino solo expectativas de derechos en relación con los beneficios o el estatuto jurídico especial de tales viviendas. Solo existe un acto declarativo de derechos: la concesión inicial de la ayuda. La normativa aplicable no crea un acto declarativo de derecho a la renovación automática de la ayuda.</w:t>
      </w:r>
    </w:p>
    <w:p w:rsidR="00AC56D6" w:rsidRDefault="00AC56D6" w:rsidP="00AC56D6">
      <w:pPr>
        <w:pStyle w:val="TextoNormal"/>
      </w:pPr>
    </w:p>
    <w:p w:rsidR="00AC56D6" w:rsidRDefault="00AC56D6" w:rsidP="00AC56D6">
      <w:pPr>
        <w:pStyle w:val="TextoNormal"/>
      </w:pPr>
      <w:r>
        <w:t>e) Finalmente, el Abogado del Estado examina la alegada vulneración de la doctrina del Tribunal Constitucional sobre el derecho de enmienda en la tramitación y aprobación parlamentaria de la disposición. Tras reproducir la justificación de la enmienda al proyecto de ley introducida en el Senado, rechaza que sea aplicable el criterio seguido en la STC 119/2011 por varios motivos. En primer lugar, por motivos de carácter procedimental, en cuanto que no se ha acreditado el planteamiento de la cuestión de la calificación de la enmienda a la mesa del Senado, sin que los recurrentes, Diputados del Congreso, puedan considerarse legitimados para alegar una vulneración del art. 23.2 CE. En la STC 119/2011 el Tribunal Constitucional dio amparo a los Senadores porque acreditaron que la Mesa del Senado no había apreciado la desconexión entre el objeto de la enmienda y la norma que se estaba tramitando, al concluir que se había vulnerado el art. 23 CE, sin pronunciamiento sobre la constitucionalidad de la norma. En el presente caso se esgrime la inconstitucionalidad de una norma por la alegada falta de conexión, sin acreditar ninguna vulneración del derecho previsto en el artículo 23 a los demandantes y con la pretensión de que esta alegada razón sea suficiente para declarar inconstitucional una ley.</w:t>
      </w:r>
    </w:p>
    <w:p w:rsidR="00AC56D6" w:rsidRDefault="00AC56D6" w:rsidP="00AC56D6">
      <w:pPr>
        <w:pStyle w:val="TextoNormal"/>
      </w:pPr>
    </w:p>
    <w:p w:rsidR="00AC56D6" w:rsidRDefault="00AC56D6" w:rsidP="00AC56D6">
      <w:pPr>
        <w:pStyle w:val="TextoNormal"/>
      </w:pPr>
      <w:r>
        <w:t xml:space="preserve">También se alega que la doctrina constitucional de la STC 119/2011 no es aplicable en este caso, pues existe una conexión entre el objeto del proyecto de ley y la enmienda propuesta y aprobada en el Senado. La Ley tiene por objeto disponer una serie de medidas para favorecer el alquiler, en un contexto de crisis económica en el que la dificultad de obtener financiación y la falta de recursos de las familias dificultan el acceso a las viviendas. Y la justificación de la enmienda se refiere a que los compromisos de gasto y obligaciones en materia de ayudas a la vivienda, provenientes de planes estatales anteriores, por su cuantía y duración —algunas hasta el año 2038— resultan insostenibles en un marco de restricciones presupuestarias y contribuyen al incremento automático del déficit, razones que justifican su limitación con carácter extraordinario. Así pues, el Abogado del Estado señala que el ahorro de recursos, como consecuencia de los ajustes en la subsidiación de préstamos, además de reducir el déficit, permite reorientar la política de vivienda pasando de un modelo que fomentaba la construcción y la adquisición de viviendas hacia otro que pone el énfasis en el alquiler y la rehabilitación de viviendas y edificios. Los ajustes aprobados también tienen en cuenta la bajada sustancial de los tipos de interés hipotecarios y de los precios de los alquileres en España. Los subsidios a los préstamos nacieron en un contexto hipotecario </w:t>
      </w:r>
      <w:r>
        <w:lastRenderedPageBreak/>
        <w:t>y de precios de la vivienda que nada tiene que ver con la situación actual. El plan estatal de vivienda y rehabilitación 2009-2012 y los anteriores se basaban en una lógica de planificación muy rígida que genera compromisos a muy largo plazo, que impide el control del presupuesto, produciendo “herencias” que se trasladan hacia el futuro de forma inflexible. Los ajustes introducidos en la Ley 4/2013 permiten cambiar el estado de cosas, a través del fomento del alquiler.</w:t>
      </w:r>
    </w:p>
    <w:p w:rsidR="00AC56D6" w:rsidRDefault="00AC56D6" w:rsidP="00AC56D6">
      <w:pPr>
        <w:pStyle w:val="TextoNormal"/>
      </w:pPr>
    </w:p>
    <w:p w:rsidR="00AC56D6" w:rsidRDefault="00AC56D6" w:rsidP="00AC56D6">
      <w:pPr>
        <w:pStyle w:val="TextoNormal"/>
      </w:pPr>
      <w:r>
        <w:t>Por todo ello, suplica que se inadmita el recurso respecto a los apartados b), c) y d) de la disposición adicional segunda de la Ley 4/2013, de 4 de junio, desestimándolo en lo demás, o, subsidiariamente, lo desestime en su integridad.</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20 de octubre de 2015, se señaló para deliberación y votación de la presente Sentencia el día 22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objeto del presente recurso de inconstitucionalidad es la disposición adicional segunda de la Ley 4/2013, de 4 de junio, de medidas de flexibilización y fomento del mercado del alquiler de viviendas.</w:t>
      </w:r>
    </w:p>
    <w:p w:rsidR="00AC56D6" w:rsidRDefault="00AC56D6" w:rsidP="00AC56D6">
      <w:pPr>
        <w:pStyle w:val="TextoNormal"/>
      </w:pPr>
    </w:p>
    <w:p w:rsidR="00AC56D6" w:rsidRDefault="00AC56D6" w:rsidP="00AC56D6">
      <w:pPr>
        <w:pStyle w:val="TextoNormal"/>
      </w:pPr>
      <w:r>
        <w:t>Las tachas de inconstitucionalidad que se oponen a la mencionada disposición son de carácter sustantivo y procedimental: vulneración de los arts. 9.3 (principio de irretroactividad de las normas restrictivas de derechos individuales) y 33.3 CE (garantías frente a la expropiación forzosa) e infracción del procedimiento legislativo, al haberse introducido el precepto mediante una enmienda en el Senado sin conexión con las materias contenidas en el proyecto de ley previamente aprobado por el Congreso, que afectaría a diversos preceptos constitucionales (arts. 1.1. 1.2, 23.2, 66.1, 66.2, 87.1, 88, 89 y 90.2 CE) en relación con los arts. 123 y 125 del Reglamento del Congreso de los Diputados y art. 108 del Reglamento del Senado.</w:t>
      </w:r>
    </w:p>
    <w:p w:rsidR="00AC56D6" w:rsidRDefault="00AC56D6" w:rsidP="00AC56D6">
      <w:pPr>
        <w:pStyle w:val="TextoNormal"/>
      </w:pPr>
    </w:p>
    <w:p w:rsidR="00AC56D6" w:rsidRDefault="00AC56D6" w:rsidP="00AC56D6">
      <w:pPr>
        <w:pStyle w:val="TextoNormal"/>
      </w:pPr>
      <w:r w:rsidRPr="00AC56D6">
        <w:rPr>
          <w:rStyle w:val="NumeroAFNegritaCaracter"/>
        </w:rPr>
        <w:t>2</w:t>
      </w:r>
      <w:r>
        <w:t>. Antes de responder a las tachas de inconstitucionalidad planteadas, debemos precisar, por un lado, el objeto de este recurso de inconstitucionalidad y, por otro, el orden de enjuiciamiento de las causas de inconstitucionalidad alegadas en la demanda.</w:t>
      </w:r>
    </w:p>
    <w:p w:rsidR="00AC56D6" w:rsidRDefault="00AC56D6" w:rsidP="00AC56D6">
      <w:pPr>
        <w:pStyle w:val="TextoNormal"/>
      </w:pPr>
    </w:p>
    <w:p w:rsidR="00AC56D6" w:rsidRDefault="00AC56D6" w:rsidP="00AC56D6">
      <w:pPr>
        <w:pStyle w:val="TextoNormal"/>
      </w:pPr>
      <w:r>
        <w:t>a) La delimitación del objeto de este proceso exige una precisión previa, pues la representación procesal del Gobierno sostiene que la impugnación de una parte de los apartados recurridos —en concreto, los apartados b), c) y d)— de la disposición adicional segunda de la Ley 4/2013 ha de ser inadmitida al no haberse levantado debidamente la carga de fundamentar la inconstitucionalidad que se denuncia. Esta objeción no puede ser acogida. Aunque los motivos de inconstitucionalidad de carácter sustantivo que articula el recurso se refieren solo a las ayudas de subsidiación de préstamos convenidos contempladas en el apartado a) de la disposición adicional segunda de la Ley 4/2013, lo cierto es que el vicio de carácter procedimental se imputa a la disposición adicional segunda en su totalidad, pues se le reprocha haber sido incorporada al procedimiento legislativo de forma irregular. Por lo tanto, el objeto del presente recurso se proyecta sobre la disposición adicional segunda de la Ley 4/2013, si bien tendremos en cuenta que la carga alegatoria respecto a los motivos de inconstitucionalidad de carácter sustantivo solo se ha cumplido con respecto a su apartado a).</w:t>
      </w:r>
    </w:p>
    <w:p w:rsidR="00AC56D6" w:rsidRDefault="00AC56D6" w:rsidP="00AC56D6">
      <w:pPr>
        <w:pStyle w:val="TextoNormal"/>
      </w:pPr>
    </w:p>
    <w:p w:rsidR="00AC56D6" w:rsidRDefault="00AC56D6" w:rsidP="00AC56D6">
      <w:pPr>
        <w:pStyle w:val="TextoNormal"/>
      </w:pPr>
      <w:r>
        <w:t>b) En cuanto al orden de enjuiciamiento de los motivos de inconstitucionalidad aducidos, comenzaremos con la pretensión impugnatoria vinculada a la existencia de un vicio en el procedimiento legislativo, ya que su examen es prioritario en el orden de nuestro enjuiciamiento, toda vez que la cuestión de la constitucionalidad formal de la norma impugnada ha de ser previa al enjuiciamiento de su constitucionalidad material, de modo que, si se estimaran las alegaciones relativas al uso indebido del derecho de enmienda, resultaría innecesario el examen de las restantes alegaciones (STC 238/2012, de 13 de diciembre, FJ 3).</w:t>
      </w:r>
    </w:p>
    <w:p w:rsidR="00AC56D6" w:rsidRDefault="00AC56D6" w:rsidP="00AC56D6">
      <w:pPr>
        <w:pStyle w:val="TextoNormal"/>
      </w:pPr>
    </w:p>
    <w:p w:rsidR="00AC56D6" w:rsidRDefault="00AC56D6" w:rsidP="00AC56D6">
      <w:pPr>
        <w:pStyle w:val="TextoNormal"/>
      </w:pPr>
      <w:r w:rsidRPr="00AC56D6">
        <w:rPr>
          <w:rStyle w:val="NumeroAFNegritaCaracter"/>
        </w:rPr>
        <w:t>3</w:t>
      </w:r>
      <w:r>
        <w:t>. Según su exposición de motivos, la Ley 4/2013, de 4 de junio, de medidas de flexibilización y fomento del mercado del alquiler de viviendas tiene “el objetivo fundamental de flexibilizar el mercado del alquiler para lograr la necesaria dinamización del mismo, por medio de la búsqueda del necesario equilibrio entre las necesidades de vivienda en alquiler y las garantías que deben ofrecerse a los arrendadores para su puesta a disposición del mercado arrendaticio”. Para ello modifica un conjunto de preceptos de la Ley 29/1994, de 24 de noviembre, de arrendamientos urbanos, y de la Ley 1/2000, de 7 de enero, de enjuiciamiento civil. Por su parte, la norma impugnada en este proceso —la disposición adicional segunda— contiene el régimen aplicable, a partir de la entrada en vigor de la Ley, a las ayudas de subsidiación de préstamos, ayudas estatales directas a la entrada y subvenciones reguladas en los planes estatales de vivienda cuyos efectos se mantengan a la entrada en vigor de esta Ley y a las ayudas de renta básica de emancipación establecidas por el Real Decreto 1472/2007, de 2 de noviembre. La disposición adicional segunda tiene la siguiente redacción:</w:t>
      </w:r>
    </w:p>
    <w:p w:rsidR="00AC56D6" w:rsidRDefault="00AC56D6" w:rsidP="00AC56D6">
      <w:pPr>
        <w:pStyle w:val="TextoNormal"/>
      </w:pPr>
    </w:p>
    <w:p w:rsidR="00AC56D6" w:rsidRDefault="00AC56D6" w:rsidP="00AC56D6">
      <w:pPr>
        <w:pStyle w:val="TextoNormal"/>
      </w:pPr>
      <w:r>
        <w:t>“a) Se mantienen las ayudas de subsidiación de préstamos convenidos que se vinieran percibiendo.</w:t>
      </w:r>
    </w:p>
    <w:p w:rsidR="00AC56D6" w:rsidRDefault="00AC56D6" w:rsidP="00AC56D6">
      <w:pPr>
        <w:pStyle w:val="TextoNormal"/>
      </w:pPr>
    </w:p>
    <w:p w:rsidR="00AC56D6" w:rsidRDefault="00AC56D6" w:rsidP="00AC56D6">
      <w:pPr>
        <w:pStyle w:val="TextoNormal"/>
      </w:pPr>
      <w:r>
        <w:t>Asimismo se mantienen las ayudas de subsidiación de préstamos convenidos reconocidas, con anterioridad al 15 de julio de 2012, que cuenten con la conformidad del Ministerio de Fomento al préstamo, siempre que éste se formalice por el beneficiario en el plazo máximo de dos meses desde la entrada en vigor de esta Ley.</w:t>
      </w:r>
    </w:p>
    <w:p w:rsidR="00AC56D6" w:rsidRDefault="00AC56D6" w:rsidP="00AC56D6">
      <w:pPr>
        <w:pStyle w:val="TextoNormal"/>
      </w:pPr>
    </w:p>
    <w:p w:rsidR="00AC56D6" w:rsidRDefault="00AC56D6" w:rsidP="00AC56D6">
      <w:pPr>
        <w:pStyle w:val="TextoNormal"/>
      </w:pPr>
      <w:r>
        <w:t>Quedan suprimidas y sin efectos el resto de ayudas de subsidiación al préstamo reconocidas dentro del marco de los Planes Estatales de Vivienda.</w:t>
      </w:r>
    </w:p>
    <w:p w:rsidR="00AC56D6" w:rsidRDefault="00AC56D6" w:rsidP="00AC56D6">
      <w:pPr>
        <w:pStyle w:val="TextoNormal"/>
      </w:pPr>
    </w:p>
    <w:p w:rsidR="00AC56D6" w:rsidRDefault="00AC56D6" w:rsidP="00AC56D6">
      <w:pPr>
        <w:pStyle w:val="TextoNormal"/>
      </w:pPr>
      <w:r>
        <w:t>No se admitirán nuevos reconocimientos de ayudas de subsidiación de préstamos que procedan de concesiones, renovaciones, prórrogas, subrogaciones o de cualquier otra actuación protegida de los planes estatales de vivienda.</w:t>
      </w:r>
    </w:p>
    <w:p w:rsidR="00AC56D6" w:rsidRDefault="00AC56D6" w:rsidP="00AC56D6">
      <w:pPr>
        <w:pStyle w:val="TextoNormal"/>
      </w:pPr>
    </w:p>
    <w:p w:rsidR="00AC56D6" w:rsidRDefault="00AC56D6" w:rsidP="00AC56D6">
      <w:pPr>
        <w:pStyle w:val="TextoNormal"/>
      </w:pPr>
      <w:r>
        <w:t>b) Las Ayudas Estatales Directas a la Entrada que subsisten conforme a la disposición transitoria primera del Real Decreto 1713/2010, de 17 de diciembre, sólo podrán obtenerse cuando cuenten con la conformidad expresa del Ministerio de Fomento a la entrada en vigor de esta Ley, y siempre que el beneficiario formalice el préstamo en un plazo de dos meses desde la entrada en vigor de la misma.</w:t>
      </w:r>
    </w:p>
    <w:p w:rsidR="00AC56D6" w:rsidRDefault="00AC56D6" w:rsidP="00AC56D6">
      <w:pPr>
        <w:pStyle w:val="TextoNormal"/>
      </w:pPr>
    </w:p>
    <w:p w:rsidR="00AC56D6" w:rsidRDefault="00AC56D6" w:rsidP="00AC56D6">
      <w:pPr>
        <w:pStyle w:val="TextoNormal"/>
      </w:pPr>
      <w:r>
        <w:t xml:space="preserve">c) Se mantienen las ayudas del programa de inquilinos, ayudas a las áreas de rehabilitación integral y renovación urbana, rehabilitación aislada y programa RENOVE, acogidas a los Planes Estatales de Vivienda hasta que sean efectivas las nuevas líneas de ayudas del </w:t>
      </w:r>
      <w:r>
        <w:lastRenderedPageBreak/>
        <w:t>Plan Estatal de Fomento del Alquiler de viviendas, la rehabilitación edificatoria y la regeneración y renovación urbanas, 2013-2016. Se suprimen y quedan sin efecto el resto de subvenciones acogidas a los Planes Estatales de Vivienda.</w:t>
      </w:r>
    </w:p>
    <w:p w:rsidR="00AC56D6" w:rsidRDefault="00AC56D6" w:rsidP="00AC56D6">
      <w:pPr>
        <w:pStyle w:val="TextoNormal"/>
      </w:pPr>
    </w:p>
    <w:p w:rsidR="00AC56D6" w:rsidRDefault="00AC56D6" w:rsidP="00AC56D6">
      <w:pPr>
        <w:pStyle w:val="TextoNormal"/>
      </w:pPr>
      <w:r>
        <w:t>d) Las ayudas de Renta Básica de Emancipación reguladas en el Real Decreto 1472/2007, de 2 de noviembre, que subsisten a la supresión realizada por el Real Decreto-ley 20/2011, de 30 de diciembre, y por el Real Decreto-ley 20/2012, de 13 de julio, se mantienen hasta que sean efectivas las nuevas líneas de ayudas, del Plan Estatal de Fomento del Alquiler de viviendas, la rehabilitación edificatoria y la regeneración y renovación urbanas, 2013-2016.”</w:t>
      </w:r>
    </w:p>
    <w:p w:rsidR="00AC56D6" w:rsidRDefault="00AC56D6" w:rsidP="00AC56D6">
      <w:pPr>
        <w:pStyle w:val="TextoNormal"/>
      </w:pPr>
    </w:p>
    <w:p w:rsidR="00AC56D6" w:rsidRDefault="00AC56D6" w:rsidP="00AC56D6">
      <w:pPr>
        <w:pStyle w:val="TextoNormal"/>
      </w:pPr>
      <w:r w:rsidRPr="00AC56D6">
        <w:rPr>
          <w:rStyle w:val="NumeroAFNegritaCaracter"/>
        </w:rPr>
        <w:t>4</w:t>
      </w:r>
      <w:r>
        <w:t>. Tal y como quedó reflejado en los antecedentes de hecho de esta resolución, los Diputados recurrentes sostienen que el contenido de la enmienda núm. 105 del Grupo Parlamentario Popular en el Senado, de la que trae causa la disposición adicional segunda de la Ley 4/2013, nada tiene que ver con el mercado de alquiler o su fomento y flexibilización. En cambio, tanto el Abogado del Estado como el Letrado de las Cortes Generales en representación del Senado rechazan la falta absoluta de conexión, en los términos de la STC 119/2011.</w:t>
      </w:r>
    </w:p>
    <w:p w:rsidR="00AC56D6" w:rsidRDefault="00AC56D6" w:rsidP="00AC56D6">
      <w:pPr>
        <w:pStyle w:val="TextoNormal"/>
      </w:pPr>
    </w:p>
    <w:p w:rsidR="00AC56D6" w:rsidRDefault="00AC56D6" w:rsidP="00AC56D6">
      <w:pPr>
        <w:pStyle w:val="TextoNormal"/>
      </w:pPr>
      <w:r>
        <w:t>A lo anterior el Abogado del Estado añade, por un lado, que no se ha acreditado el planteamiento de la cuestión de la calificación de la enmienda como “no congruente” ante el Senado y, por otro, que los recurrentes —Diputados del Congreso— no pueden considerarse legitimados para alegar una vulneración del art. 23.2 CE. Estas objeciones deben ser examinadas antes de entrar en el fondo de la infracción alegada.</w:t>
      </w:r>
    </w:p>
    <w:p w:rsidR="00AC56D6" w:rsidRDefault="00AC56D6" w:rsidP="00AC56D6">
      <w:pPr>
        <w:pStyle w:val="TextoNormal"/>
      </w:pPr>
    </w:p>
    <w:p w:rsidR="00AC56D6" w:rsidRDefault="00AC56D6" w:rsidP="00AC56D6">
      <w:pPr>
        <w:pStyle w:val="TextoNormal"/>
      </w:pPr>
      <w:r>
        <w:t xml:space="preserve">Las dos mencionadas objeciones del Abogado del Estado deben ser rechazadas. La primera, porque la representación procesal del Senado reconoce —y la documentación aportada así lo corrobora— que tanto el Grupo Parlamentario Socialista en el Senado como el Grupo Parlamentario Catalán en el Senado Convergència i Unió dirigieron diversos escritos a la Mesa del Senado solicitando que se declarase la no congruencia de la enmienda controvertida y su inadmisión a trámite. Y la segunda, porque en nuestro ordenamiento constitucional la legitimación procesal de los Diputados o Senadores para interponer recursos de inconstitucionalidad no está limitada en forma alguna [arts. 162.1 a) CE y 32.1 a) de la Ley Orgánica del Tribunal Constitucional: LOTC]. Este Tribunal realiza una interpretación flexible de la legitimación para interponer recursos de inconstitucionalidad contenida en el art. 32 LOTC, pues dicha legitimación se encuentra fundamentalmente al servicio de la depuración del ordenamiento jurídico (por todas, SSTC 110/2011, de 22 de junio, FJ 2; y 239/2012, de 13 de diciembre, FJ 2), en coherencia con el objeto y finalidad misma del recurso de inconstitucionalidad, de carácter abstracto y orientado a la depuración objetiva del ordenamiento. Por ello, dicha legitimación ha sido entendida en los mismos términos y con la misma amplitud para todos los sujetos contemplados en el art. 32 LOTC, al haberles sido reconocida a cada uno de ellos “no en atención a su interés, sino en virtud de la alta cualificación política que se infiere de su respectivo cometido constitucional” [entre otras, SSTC 5/1981, de 13 de febrero, FJ 3; 180/2000, de 19 de junio, FJ 2 a); 274/2000, de 15 de noviembre, FJ 2, y 96/2002, de 25 de abril, FJ 3]. En fin, de acuerdo con nuestra doctrina contenida en las SSTC 119/2011, de 5 julio, 136/2011, de 13 septiembre, 204/2011, de 15 diciembre, 209/2012 de 14 noviembre, y 59/2015, de 18 de marzo, y atendiendo al citado objeto mismo del recurso de inconstitucionalidad, corresponde aquí garantizar la primacía </w:t>
      </w:r>
      <w:r>
        <w:lastRenderedPageBreak/>
        <w:t>de la Constitución (art. 27.1 LOTC) y asegurar en concreto el correcto funcionamiento del sistema de producción normativa preconizado por la Norma fundamental, depurando y expulsando del ordenamiento las normas impugnadas que se aparten de dicho sistema. Debe así rechazarse la citada objeción de procedibilidad.</w:t>
      </w:r>
    </w:p>
    <w:p w:rsidR="00AC56D6" w:rsidRDefault="00AC56D6" w:rsidP="00AC56D6">
      <w:pPr>
        <w:pStyle w:val="TextoNormal"/>
      </w:pPr>
    </w:p>
    <w:p w:rsidR="00AC56D6" w:rsidRDefault="00AC56D6" w:rsidP="00AC56D6">
      <w:pPr>
        <w:pStyle w:val="TextoNormal"/>
      </w:pPr>
      <w:r w:rsidRPr="00AC56D6">
        <w:rPr>
          <w:rStyle w:val="NumeroAFNegritaCaracter"/>
        </w:rPr>
        <w:t>5</w:t>
      </w:r>
      <w:r>
        <w:t>. Así pues, debemos acudir a la doctrina establecida por este Tribunal sobre el derecho de enmienda de los parlamentarios. Esa doctrina está recogida en las SSTC 119/2011, de 5 julio, FJ 6, y 136/2011, de 13 septiembre, FJ 7 y aplicada en las posteriores SSTC 176/2011, de 8 de noviembre; 209/2012, de 14 de noviembre; 132/2013, de 5 de junio, y 120/2014, de 17 de julio. Todas ellas dieron respuesta a recursos planteados, entre otros motivos, por infracciones del procedimiento legislativo similares a la que aquí interesa. Esa doctrina fue sintetizada en la reciente STC 59/2015, FJ 5, en los siguientes términos:</w:t>
      </w:r>
    </w:p>
    <w:p w:rsidR="00AC56D6" w:rsidRDefault="00AC56D6" w:rsidP="00AC56D6">
      <w:pPr>
        <w:pStyle w:val="TextoNormal"/>
      </w:pPr>
    </w:p>
    <w:p w:rsidR="00AC56D6" w:rsidRDefault="00AC56D6" w:rsidP="00AC56D6">
      <w:pPr>
        <w:pStyle w:val="TextoNormal"/>
      </w:pPr>
      <w:r>
        <w:t>“a) En el ejercicio del derecho de enmienda al articulado, como forma de incidir en la iniciativa legislativa, debe respetarse una conexión mínima de homogeneidad con el texto enmendado, so pena de afectar, de modo contrario a la Constitución, tanto al derecho del autor de la iniciativa (art. 87 CE), como al carácter instrumental del procedimiento legislativo (art. 66.2 CE) y, en consecuencia, a la función y fines asignados al ejercicio de la potestad legislativa por las Cámaras, provocando un vicio en el desarrollo del citado procedimiento que podría alcanzar relevancia constitucional, si alterase de forma sustancial el proceso de formación de voluntad en el seno de las Cámaras.</w:t>
      </w:r>
    </w:p>
    <w:p w:rsidR="00AC56D6" w:rsidRDefault="00AC56D6" w:rsidP="00AC56D6">
      <w:pPr>
        <w:pStyle w:val="TextoNormal"/>
      </w:pPr>
    </w:p>
    <w:p w:rsidR="00AC56D6" w:rsidRDefault="00AC56D6" w:rsidP="00AC56D6">
      <w:pPr>
        <w:pStyle w:val="TextoNormal"/>
      </w:pPr>
      <w:r>
        <w:t>b) Para determinar si concurre tal conexión material u homogeneidad mínima entre la iniciativa legislativa y la enmienda presentada, el órgano al que reglamentariamente corresponda efectuar ese análisis contará en todo caso con un amplio margen de valoración, pues de lo contrario el procedimiento legislativo se vería atrapado en unas reglas tan rígidas que pueden convertir el debate parlamentario en un procedimiento completamente reglado. Esto significa que los órganos de gobierno de las Cámaras deben contar con un amplio margen de apreciación para determinar la existencia de conexión material entre enmienda y proyecto o proposición de ley objeto de debate, debiendo éstos pronunciarse de forma motivada acerca de la conexión, de suerte que ‘sólo cuando sea evidente y manifiesto que no existe tal conexión deberá rechazarse la enmienda, puesto que, en tal caso, se pervertiría la auténtica naturaleza del derecho de enmienda, ya que habría pasado a convertirse en una nueva iniciativa legislativa’ (STC 119/2011, FJ 7).”</w:t>
      </w:r>
    </w:p>
    <w:p w:rsidR="00AC56D6" w:rsidRDefault="00AC56D6" w:rsidP="00AC56D6">
      <w:pPr>
        <w:pStyle w:val="TextoNormal"/>
      </w:pPr>
    </w:p>
    <w:p w:rsidR="00AC56D6" w:rsidRDefault="00AC56D6" w:rsidP="00AC56D6">
      <w:pPr>
        <w:pStyle w:val="TextoNormal"/>
      </w:pPr>
      <w:r w:rsidRPr="00AC56D6">
        <w:rPr>
          <w:rStyle w:val="NumeroAFNegritaCaracter"/>
        </w:rPr>
        <w:t>6</w:t>
      </w:r>
      <w:r>
        <w:t>. Partiendo de las anteriores consideraciones, procede examinar si se ha infringido, como alega la demanda, el procedimiento legislativo por un uso indebido del derecho de enmienda.</w:t>
      </w:r>
    </w:p>
    <w:p w:rsidR="00AC56D6" w:rsidRDefault="00AC56D6" w:rsidP="00AC56D6">
      <w:pPr>
        <w:pStyle w:val="TextoNormal"/>
      </w:pPr>
    </w:p>
    <w:p w:rsidR="00AC56D6" w:rsidRDefault="00AC56D6" w:rsidP="00AC56D6">
      <w:pPr>
        <w:pStyle w:val="TextoNormal"/>
      </w:pPr>
      <w:r>
        <w:t>a) En primer lugar, debemos considerar cuál ha sido la valoración de los grupos parlamentarios y del órgano que reglamentariamente tiene encomendado el examen de las enmiendas.</w:t>
      </w:r>
    </w:p>
    <w:p w:rsidR="00AC56D6" w:rsidRDefault="00AC56D6" w:rsidP="00AC56D6">
      <w:pPr>
        <w:pStyle w:val="TextoNormal"/>
      </w:pPr>
    </w:p>
    <w:p w:rsidR="00AC56D6" w:rsidRDefault="00AC56D6" w:rsidP="00AC56D6">
      <w:pPr>
        <w:pStyle w:val="TextoNormal"/>
      </w:pPr>
      <w:r>
        <w:t>La admisión de la enmienda núm. 105 del Grupo Popular, que dio lugar a que se añadiera la disposición adicional segunda que se impugna, fue objeto de un examen previo y específico por parte del órgano que tiene encomendada esta función, la Mesa del Senado, la cual, como se expone en el escrito de alegaciones de dicha Cámara, ha delegado la calificación material de las enmiendas en su Presidente.</w:t>
      </w:r>
    </w:p>
    <w:p w:rsidR="00AC56D6" w:rsidRDefault="00AC56D6" w:rsidP="00AC56D6">
      <w:pPr>
        <w:pStyle w:val="TextoNormal"/>
      </w:pPr>
    </w:p>
    <w:p w:rsidR="00AC56D6" w:rsidRDefault="00AC56D6" w:rsidP="00AC56D6">
      <w:pPr>
        <w:pStyle w:val="TextoNormal"/>
      </w:pPr>
      <w:r>
        <w:t>Ello es precisamente, como ya señalamos en la STC 59/2015, FJ 6, consecuencia de un nuevo procedimiento aprobado para dar cumplimiento a la doctrina contenida en la STC 119/2011 en relación con la calificación de las enmiendas. Dicho procedimiento se aplica a la presentación de propuestas de modificación a una iniciativa legislativa, una vez concluido el plazo de presentación de enmiendas, recogido en el acta de la reunión de la Mesa del Senado del 9 de octubre de 2012.</w:t>
      </w:r>
    </w:p>
    <w:p w:rsidR="00AC56D6" w:rsidRDefault="00AC56D6" w:rsidP="00AC56D6">
      <w:pPr>
        <w:pStyle w:val="TextoNormal"/>
      </w:pPr>
    </w:p>
    <w:p w:rsidR="00AC56D6" w:rsidRDefault="00AC56D6" w:rsidP="00AC56D6">
      <w:pPr>
        <w:pStyle w:val="TextoNormal"/>
      </w:pPr>
      <w:r>
        <w:t>Por lo que aquí importa, en dicho procedimiento, una vez finalizado el plazo de presentación de enmiendas, el Presidente del Senado, por delegación conferida por la Mesa de la Cámara, procede a calificar e inadmitir de forma motivada las enmiendas que incumplan los requisitos para su tramitación, abriéndose la posibilidad de que los grupos parlamentarios o senadores afectados puedan solicitar la reconsideración del acuerdo correspondiente a la Mesa, en virtud del art. 36.2 del Reglamento del Senado.</w:t>
      </w:r>
    </w:p>
    <w:p w:rsidR="00AC56D6" w:rsidRDefault="00AC56D6" w:rsidP="00AC56D6">
      <w:pPr>
        <w:pStyle w:val="TextoNormal"/>
      </w:pPr>
    </w:p>
    <w:p w:rsidR="00AC56D6" w:rsidRDefault="00AC56D6" w:rsidP="00AC56D6">
      <w:pPr>
        <w:pStyle w:val="TextoNormal"/>
      </w:pPr>
      <w:r>
        <w:t>Durante el proceso dos grupos parlamentarios suscitaron la cuestión de que la enmienda núm. 105 carecía de congruencia material, tal como consta en la documentación adjuntada por el representante procesal del Senado. El Grupo Parlamentario Socialista dirigió con fecha de 22 de abril de 2013 un escrito a la Mesa del Senado solicitando que ésta declarase la no congruencia de la enmienda núm. 105 y por lo tanto fuera inadmitida a trámite. Asimismo, el mismo grupo dirigió una solicitud idéntica el día 24 de abril, ratificándose en su solicitud anterior, ampliándola entonces a la enmienda transaccional formulada sobre la enmienda núm. 105 por el Grupo Parlamentario Popular en el curso de la sesión de la Comisión de Fomento celebrada el día 22 de abril. Igualmente, el Grupo Parlamentario Catalán en el Senado Convergència i Unió solicitó en escrito de 19 de abril de 2013 dirigido al Presidente del Senado la no admisión a trámite de la enmienda núm. 105 “por no cumplir con las exigencia de conexión y homogeneidad entre la enmienda y los textos a enmendar, de acuerdo con el artículo 90.2 de la CE, tal como se deriva de la sentencia 119/2011, de 5 de julio, del Tribunal Constitucional”; en un nuevo escrito de 23 de abril de 2013, este mismo grupo parlamentario solicitó también que no fuera admitida la incorporación del mencionado texto al texto del proyecto de ley aprobado por la Comisión.</w:t>
      </w:r>
    </w:p>
    <w:p w:rsidR="00AC56D6" w:rsidRDefault="00AC56D6" w:rsidP="00AC56D6">
      <w:pPr>
        <w:pStyle w:val="TextoNormal"/>
      </w:pPr>
    </w:p>
    <w:p w:rsidR="00AC56D6" w:rsidRDefault="00AC56D6" w:rsidP="00AC56D6">
      <w:pPr>
        <w:pStyle w:val="TextoNormal"/>
      </w:pPr>
      <w:r>
        <w:t>A la luz de nuestra doctrina (STC 59/2015, FJ 6) son datos de relevancia para nuestro enjuiciamiento tanto el hecho de que dos grupos parlamentarios suscitasen formalmente la cuestión de la carencia de congruencia material de la enmienda núm. 105 del Grupo Parlamentario Popular, como que el presente recurso de inconstitucionalidad haya sido interpuesto por un grupo de parlamentarios aduciendo precisamente el uso indebido del derecho de enmienda como motivo de inconstitucionalidad.</w:t>
      </w:r>
    </w:p>
    <w:p w:rsidR="00AC56D6" w:rsidRDefault="00AC56D6" w:rsidP="00AC56D6">
      <w:pPr>
        <w:pStyle w:val="TextoNormal"/>
      </w:pPr>
    </w:p>
    <w:p w:rsidR="00AC56D6" w:rsidRDefault="00AC56D6" w:rsidP="00AC56D6">
      <w:pPr>
        <w:pStyle w:val="TextoNormal"/>
      </w:pPr>
      <w:r>
        <w:t>Al mismo tiempo este Tribunal Constitucional ha reiterado que el órgano al que reglamentariamente corresponda efectuar el análisis de congruencia material de las enmiendas al articulado cuenta con un amplio margen de valoración y que debe valorar, siquiera de forma sucinta, si concurre o no una conexión mínima, de suerte que “sólo cuando sea evidente y manifiesto que no existe tal conexión deberá rechazarse la enmienda, puesto que, en tal caso, se pervertiría la auténtica naturaleza del derecho de enmienda, ya que habría pasado a convertirse en una nueva iniciativa legislativa” (STC 119/2011, FJ 7).</w:t>
      </w:r>
    </w:p>
    <w:p w:rsidR="00AC56D6" w:rsidRDefault="00AC56D6" w:rsidP="00AC56D6">
      <w:pPr>
        <w:pStyle w:val="TextoNormal"/>
      </w:pPr>
    </w:p>
    <w:p w:rsidR="00AC56D6" w:rsidRDefault="00AC56D6" w:rsidP="00AC56D6">
      <w:pPr>
        <w:pStyle w:val="TextoNormal"/>
      </w:pPr>
      <w:r>
        <w:lastRenderedPageBreak/>
        <w:t>El Letrado de las Cortes Generales en representación del Senado señala que la Mesa de esa Cámara, mediante acuerdo, adoptado por mayoría, resolvió con fecha de 30 de abril desestimar las solicitudes de declaración de no congruencia y de inadmisión a trámite de las enmiendas impugnadas, y que en su motivación se destacó que la enmienda original y la transaccional que la sustituyó se referían claramente al objeto del proyecto de ley y que la inadmisión solo se debería haber producido si mediase una falta absoluta de conexión con dicho objeto, según exige la doctrina del Tribunal Constitucional.</w:t>
      </w:r>
    </w:p>
    <w:p w:rsidR="00AC56D6" w:rsidRDefault="00AC56D6" w:rsidP="00AC56D6">
      <w:pPr>
        <w:pStyle w:val="TextoNormal"/>
      </w:pPr>
    </w:p>
    <w:p w:rsidR="00AC56D6" w:rsidRDefault="00AC56D6" w:rsidP="00AC56D6">
      <w:pPr>
        <w:pStyle w:val="TextoNormal"/>
      </w:pPr>
      <w:r>
        <w:t>Como señalamos en la STC 59/2015, FJ 6, el examen de la práctica seguida en el Senado a partir de la publicación de la citada STC 119/2011 permite comprobar que este órgano tiene en cuenta nuestra doctrina. En el presente caso cabe constatar, además, que la Mesa del Senado ha valorado de forma expresa la congruencia o no de la enmienda núm. 105 con el objeto del proyecto de ley y ha descartado la inadmisión, al apreciar, en aplicación de nuestra doctrina, la inexistencia de una falta absoluta de conexión.</w:t>
      </w:r>
    </w:p>
    <w:p w:rsidR="00AC56D6" w:rsidRDefault="00AC56D6" w:rsidP="00AC56D6">
      <w:pPr>
        <w:pStyle w:val="TextoNormal"/>
      </w:pPr>
    </w:p>
    <w:p w:rsidR="00AC56D6" w:rsidRDefault="00AC56D6" w:rsidP="00AC56D6">
      <w:pPr>
        <w:pStyle w:val="TextoNormal"/>
      </w:pPr>
      <w:r>
        <w:t>b) En segundo lugar, debemos examinar si, pese al control ejercido por la Mesa del Senado, la introducción de la enmienda núm. 105 (que dio lugar a la disposición adicional segunda de la Ley 4/2013) adoleció de una ausencia “mínima” de homogeneidad con el texto enmendado, constituyendo así un uso indebido del derecho de enmienda, lo que podría alcanzar relevancia constitucional si alterase de forma sustancial el proceso de formación de voluntad en el seno de las Cámaras, en los términos establecidos por nuestra doctrina.</w:t>
      </w:r>
    </w:p>
    <w:p w:rsidR="00AC56D6" w:rsidRDefault="00AC56D6" w:rsidP="00AC56D6">
      <w:pPr>
        <w:pStyle w:val="TextoNormal"/>
      </w:pPr>
    </w:p>
    <w:p w:rsidR="00AC56D6" w:rsidRDefault="00AC56D6" w:rsidP="00AC56D6">
      <w:pPr>
        <w:pStyle w:val="TextoNormal"/>
      </w:pPr>
      <w:r>
        <w:t>El proyecto de ley tramitado en las Cortes Generales tenía como objeto una serie de medidas dirigidas a flexibilizar y fomentar el alquiler de viviendas, modificando para ello diversos textos legales (principalmente la legislación de arrendamientos urbanos y la de enjuiciamiento civil).</w:t>
      </w:r>
    </w:p>
    <w:p w:rsidR="00AC56D6" w:rsidRDefault="00AC56D6" w:rsidP="00AC56D6">
      <w:pPr>
        <w:pStyle w:val="TextoNormal"/>
      </w:pPr>
    </w:p>
    <w:p w:rsidR="00AC56D6" w:rsidRDefault="00AC56D6" w:rsidP="00AC56D6">
      <w:pPr>
        <w:pStyle w:val="TextoNormal"/>
      </w:pPr>
      <w:r>
        <w:t xml:space="preserve">Las ayudas financieras contempladas en la enmienda presentada por el Grupo Parlamentario Popular en el Senado tienen, ciertamente, una estructura y un contenido heterogéneo. Abarcan la subsidiación de préstamos hipotecarios (ayudas que pueden aplicarse tanto a la adquisición de vivienda protegida como a la promoción de viviendas para la venta y para el arrendamiento), las subvenciones a la adquisición de viviendas (ayudas a la entrada), a la rehabilitación de viviendas y a los programas de inquilinos, así como la renta básica de emancipación. Con independencia de sus modalidades, todas esas ayudas giran en torno a la vivienda y se dirigen a fomentar ya sea la promoción de vivienda (para venta o arrendamiento), el acceso a la vivienda en régimen de propiedad o de alquiler y su rehabilitación con vistas a su uso o su puesta en el mercado. Su tratamiento conjunto se basa en que en su mayor parte, con la única salvedad de la renta básica de emancipación, estaban previstas en los planes estatales de vivienda vigentes hasta entonces. Ello no es obstáculo, claro está, para que, dependiendo de su mayor o menor coherencia o sintonía con la política de flexibilización y fomento del alquiler de viviendas que quiere articular el proyecto de ley, el tratamiento jurídico que se les dispense sea diferenciado, y que por una parte se opte por suprimir algunas de las ayudas existentes mientras que por otra parte se mantengan otras hasta que se regulen las líneas del nuevo plan estatal que será operativo en el periodo 2013-2016. Al fin y al cabo, tanto la supresión de las ayudas existentes a la adquisición o promoción de viviendas como el mantenimiento de otras refuerzan la opción política de fomento del alquiler que expresa el proyecto de ley presentado en las Cortes Generales, sin que pueda afirmarse la conexión material de la referida enmienda por lo que respecta a las ayudas que </w:t>
      </w:r>
      <w:r>
        <w:lastRenderedPageBreak/>
        <w:t>se mantienen y al mismo tiempo negársela en relación con las ayudas que se suprimen. Todo ello resulta jurídica y políticamente coherente con los objetivos de la Ley, que precisamente pretende revertir una situación del mercado inmobiliario español que, según su exposición de motivos, “se caracteriza por una alta tasa de propiedad y un débil mercado del alquiler”.</w:t>
      </w:r>
    </w:p>
    <w:p w:rsidR="00AC56D6" w:rsidRDefault="00AC56D6" w:rsidP="00AC56D6">
      <w:pPr>
        <w:pStyle w:val="TextoNormal"/>
      </w:pPr>
    </w:p>
    <w:p w:rsidR="00AC56D6" w:rsidRDefault="00AC56D6" w:rsidP="00AC56D6">
      <w:pPr>
        <w:pStyle w:val="TextoNormal"/>
      </w:pPr>
      <w:r>
        <w:t>Nuestra doctrina reconoce a los órganos de gobierno de las Cámaras “un amplio margen de apreciación para determinar la existencia de conexión material entre enmienda y proyecto o proposición de ley objeto de debate”, de suerte que “sólo cuando sea evidente y manifiesto que no existe tal conexión deberá rechazarse la enmienda, puesto que, en tal caso, se pervertiría la auténtica naturaleza del derecho de enmienda, ya que habría pasado a convertirse en una nueva iniciativa legislativa” (STC 119/2011, FJ 7). Asimismo hemos declarado que el examen de la posible vulneración constitucional debe cohonestarse con “la necesaria flexibilidad en el procedimiento legislativo y el papel de control que a los órganos de gobierno corresponde y del que el proceso constitucional es siempre subsidiario” (STC 59/2015, FJ 6). Lo que no exige nuestra doctrina es que las enmiendas deban responder a la misma finalidad concreta que las medidas contenidas en el proyecto de ley presentado en el Senado. En el presente caso y a la luz de lo expuesto, no puede afirmarse que exista una total falta de homogeneidad o desconexión, en los términos alegados por los recurrentes.</w:t>
      </w:r>
    </w:p>
    <w:p w:rsidR="00AC56D6" w:rsidRDefault="00AC56D6" w:rsidP="00AC56D6">
      <w:pPr>
        <w:pStyle w:val="TextoNormal"/>
      </w:pPr>
    </w:p>
    <w:p w:rsidR="00AC56D6" w:rsidRDefault="00AC56D6" w:rsidP="00AC56D6">
      <w:pPr>
        <w:pStyle w:val="TextoNormal"/>
      </w:pPr>
      <w:r>
        <w:t>Al no concurrir el pretendido uso indebido del derecho de enmienda tampoco es necesario ya examinar si, como consecuencia del defecto denunciado, se ha alterado de forma sustancial el proceso de formación de voluntad en el seno de las Cámaras o se ha lesionado el derecho de los parlamentarios a ejercer sus funciones en el marco del procedimiento legislativo establecido por la Constitución.</w:t>
      </w:r>
    </w:p>
    <w:p w:rsidR="00AC56D6" w:rsidRDefault="00AC56D6" w:rsidP="00AC56D6">
      <w:pPr>
        <w:pStyle w:val="TextoNormal"/>
      </w:pPr>
    </w:p>
    <w:p w:rsidR="00AC56D6" w:rsidRDefault="00AC56D6" w:rsidP="00AC56D6">
      <w:pPr>
        <w:pStyle w:val="TextoNormal"/>
      </w:pPr>
      <w:r>
        <w:t>Por todo ello, este primer motivo de inconstitucionalidad debe ser rechazado.</w:t>
      </w:r>
    </w:p>
    <w:p w:rsidR="00AC56D6" w:rsidRDefault="00AC56D6" w:rsidP="00AC56D6">
      <w:pPr>
        <w:pStyle w:val="TextoNormal"/>
      </w:pPr>
    </w:p>
    <w:p w:rsidR="00AC56D6" w:rsidRDefault="00AC56D6" w:rsidP="00AC56D6">
      <w:pPr>
        <w:pStyle w:val="TextoNormal"/>
      </w:pPr>
      <w:r w:rsidRPr="00AC56D6">
        <w:rPr>
          <w:rStyle w:val="NumeroAFNegritaCaracter"/>
        </w:rPr>
        <w:t>7</w:t>
      </w:r>
      <w:r>
        <w:t>. Los Diputados recurrentes alegan también que el contenido del apartado a) de la disposición adicional segunda de la Ley 4/2013 establece una retroactividad auténtica o de grado máximo y que, al afectar a situaciones ya perfeccionadas, vulnera el principio constitucional de irretroactividad de las disposiciones restrictivas de derechos individuales (art. 9.3 CE). Por su parte, el Abogado del Estado señala que no concurre ninguno de los requisitos propios de ese principio constitucional.</w:t>
      </w:r>
    </w:p>
    <w:p w:rsidR="00AC56D6" w:rsidRDefault="00AC56D6" w:rsidP="00AC56D6">
      <w:pPr>
        <w:pStyle w:val="TextoNormal"/>
      </w:pPr>
    </w:p>
    <w:p w:rsidR="00AC56D6" w:rsidRDefault="00AC56D6" w:rsidP="00AC56D6">
      <w:pPr>
        <w:pStyle w:val="TextoNormal"/>
      </w:pPr>
      <w:r>
        <w:t>Para responder a esta tacha de inconstitucionalidad debemos recordar nuestra doctrina sobre el principio contemplado en el art. 9.3 CE, sintetizada en la reciente STC 49/2015, de 5 de marzo, FJ 4:</w:t>
      </w:r>
    </w:p>
    <w:p w:rsidR="00AC56D6" w:rsidRDefault="00AC56D6" w:rsidP="00AC56D6">
      <w:pPr>
        <w:pStyle w:val="TextoNormal"/>
      </w:pPr>
    </w:p>
    <w:p w:rsidR="00AC56D6" w:rsidRDefault="00AC56D6" w:rsidP="00AC56D6">
      <w:pPr>
        <w:pStyle w:val="TextoNormal"/>
      </w:pPr>
      <w:r>
        <w:t>“a) Es doctrina reiterada de este Tribunal la de que el principio de irretroactividad de las leyes consagrado en el art. 9.3 CE ‘no es un principio general sino que está referido exclusivamente a las leyes ex post facto sancionadoras o restrictivas de derechos individuales (SSTC 27/1981, 6/1983, y 150/1990)’ (STC 173/1996, de 31 de octubre, FJ 3). Fuera de estos dos ámbitos, nada impide constitucionalmente al legislador dotar a la ley del grado de retroactividad que considere oportuno, entre otras razones porque la interdicción absoluta de cualquier tipo de retroactividad conduciría a situaciones de congelación o petrificación del ordenamiento jurídico, lo que resulta inadmisible —ello, obviamente, sin perjuicio del debido respeto a otros principios consagrados en el art. 9.3 CE— (SSTC 108/1986, de 29 de julio, FJ 17; 99/1987, de 11 de junio, FJ 6).</w:t>
      </w:r>
    </w:p>
    <w:p w:rsidR="00AC56D6" w:rsidRDefault="00AC56D6" w:rsidP="00AC56D6">
      <w:pPr>
        <w:pStyle w:val="TextoNormal"/>
      </w:pPr>
    </w:p>
    <w:p w:rsidR="00AC56D6" w:rsidRDefault="00AC56D6" w:rsidP="00AC56D6">
      <w:pPr>
        <w:pStyle w:val="TextoNormal"/>
      </w:pPr>
      <w:r>
        <w:t>b) La expresión ‘restricción de derechos individuales’ del art. 9.3 CE ha de equipararse a la idea de sanción, por lo cual el límite de dicho artículo hay que considerar que se refiere a las limitaciones introducidas en el ámbito de los derechos fundamentales y de las libertades públicas (del título I de la Constitución) o en la esfera general de protección de la persona (SSTC 104/2000, de 13 de abril, FJ 6; 131/2001, de 7 de junio, FJ 5; 112/2006, de 5 de abril, FJ 17; 89/2009, de 20 de abril, FJ 4; 90/2009, de 20 de abril, FJ 4; y 100/2012, de 8 de mayo, FJ 10).</w:t>
      </w:r>
    </w:p>
    <w:p w:rsidR="00AC56D6" w:rsidRDefault="00AC56D6" w:rsidP="00AC56D6">
      <w:pPr>
        <w:pStyle w:val="TextoNormal"/>
      </w:pPr>
    </w:p>
    <w:p w:rsidR="00AC56D6" w:rsidRDefault="00AC56D6" w:rsidP="00AC56D6">
      <w:pPr>
        <w:pStyle w:val="TextoNormal"/>
      </w:pPr>
      <w:r>
        <w:t>c) Lo que el art. 9.3 CE prohíbe es ‘la incidencia de la nueva ley en los efectos jurídicos ya producidos de situaciones anteriores, de suerte que la incidencia en los derechos, en cuanto a su proyección hacia el futuro, no pertenece al campo estricto de la irretroactividad’ (STC 42/1986, de 10 de abril). Como ha reiterado este Tribunal ‘la eficacia y protección del derecho individual —nazca de una relación pública o de una privada— dependerá de su naturaleza y de su asunción más o menos plena por el sujeto, de su ingreso en el patrimonio del individuo, de manera que la irretroactividad sólo es aplicable a los derechos consolidados, asumidos e integrados en el patrimonio del sujeto y no a los pendientes, futuros, condicionados y expectativas [por todas, SSTC 99/1987, de 11 de junio, FJ 6 b), o 178/1989, de 2 de noviembre, FJ 9], de lo que se deduce que sólo puede afirmarse que una norma es retroactiva, a los efectos del art. 9.3 CE, cuando incide sobre ‘relaciones consagradas’ y afecta a ‘situaciones agotadas’ [por todas, STC 99/1987, de 11 de junio, FJ 6 b)]’ (STC 112/2006, de 5 de abril, FJ 17).”</w:t>
      </w:r>
    </w:p>
    <w:p w:rsidR="00AC56D6" w:rsidRDefault="00AC56D6" w:rsidP="00AC56D6">
      <w:pPr>
        <w:pStyle w:val="TextoNormal"/>
      </w:pPr>
    </w:p>
    <w:p w:rsidR="00AC56D6" w:rsidRDefault="00AC56D6" w:rsidP="00AC56D6">
      <w:pPr>
        <w:pStyle w:val="TextoNormal"/>
      </w:pPr>
      <w:r w:rsidRPr="00AC56D6">
        <w:rPr>
          <w:rStyle w:val="NumeroAFNegritaCaracter"/>
        </w:rPr>
        <w:t>8</w:t>
      </w:r>
      <w:r>
        <w:t>. Pues bien, no puede prosperar esta denuncia de vulneración del principio de irretroactividad contemplado en el art. 9.3 CE, sustancialmente porque, frente a lo que sostienen los recurrentes, el apartado a) de la disposición adicional segunda no proyecta sus efectos hacia el pasado. De acuerdo con la STC 42/1986, de 10 de abril, FJ 3: “lo que se prohíbe en el art. 9.3 es la retroactividad, entendida como incidencia de la nueva Ley en los efectos jurídicos ya producidos de situaciones anteriores, de suerte que la incidencia en los derechos, en cuanto a su proyección hacia el futuro, no pertenece al campo estricto de la irretroactividad, sino al de la protección que tales derechos, en el supuesto de que experimenten alguna vulneración, hayan de recibir”.</w:t>
      </w:r>
    </w:p>
    <w:p w:rsidR="00AC56D6" w:rsidRDefault="00AC56D6" w:rsidP="00AC56D6">
      <w:pPr>
        <w:pStyle w:val="TextoNormal"/>
      </w:pPr>
    </w:p>
    <w:p w:rsidR="00AC56D6" w:rsidRDefault="00AC56D6" w:rsidP="00AC56D6">
      <w:pPr>
        <w:pStyle w:val="TextoNormal"/>
      </w:pPr>
      <w:r>
        <w:t>Para llegar a esta conclusión debemos examinar brevemente lo que establece el apartado en sus cuatro párrafos, en conexión con el régimen vigente de las ayudas de subsidiación de préstamos convenidos (regulado por el Real Decreto 2066/2008, de 12 de diciembre, por el que se regula el plan estatal de vivienda y rehabilitación 2009-2012).</w:t>
      </w:r>
    </w:p>
    <w:p w:rsidR="00AC56D6" w:rsidRDefault="00AC56D6" w:rsidP="00AC56D6">
      <w:pPr>
        <w:pStyle w:val="TextoNormal"/>
      </w:pPr>
    </w:p>
    <w:p w:rsidR="00AC56D6" w:rsidRDefault="00AC56D6" w:rsidP="00AC56D6">
      <w:pPr>
        <w:pStyle w:val="TextoNormal"/>
      </w:pPr>
      <w:r>
        <w:t>Resulta evidente que lo que establecen los dos primeros párrafos no tiene carácter retroactivo, pues el primero confirma el mantenimiento de las ayudas ya reconocidas que se vinieran percibiendo, y el segundo arbitra un régimen transitorio en relación con las ayudas reconocidas con anterioridad al 15 de julio de 2012 que cuenten con la conformidad del Ministerio de Fomento (a quien le corresponde la competencia, tras la supresión, en octubre de 2010, del Ministerio de la Vivienda) con el préstamo, pero que éste no hubiera sido todavía formalizado por el beneficiario, para que dentro de un plazo de tiempo procedan a formalizarlo.</w:t>
      </w:r>
    </w:p>
    <w:p w:rsidR="00AC56D6" w:rsidRDefault="00AC56D6" w:rsidP="00AC56D6">
      <w:pPr>
        <w:pStyle w:val="TextoNormal"/>
      </w:pPr>
    </w:p>
    <w:p w:rsidR="00AC56D6" w:rsidRDefault="00AC56D6" w:rsidP="00AC56D6">
      <w:pPr>
        <w:pStyle w:val="TextoNormal"/>
      </w:pPr>
      <w:r>
        <w:lastRenderedPageBreak/>
        <w:t>Mediante el tercer párrafo del apartado a) se suprimen el resto de las ayudas reconocidas en el marco de los planes estatales de vivienda. El alcance de las “ayudas reconocidas” que se suprimen debe interpretarse sistemáticamente en el contexto del apartado a) y a la luz de la normativa vigente aplicable a las ayudas de los planes estatales de vivienda: ello permite concluir que las ayudas suprimidas son aquellas que, aun contando con el reconocimiento por el órgano competente de las Comunidades Autónomas, carecen de la conformidad del Ministerio de Fomento con el préstamo. En efecto, la normativa aplicable a las ayudas de los planes estatales de vivienda establece un doble requisito o una doble intervención administrativa para la efectividad de las ayudas: la preceptiva autorización o, en su caso, el reconocimiento previo del derecho a la subsidiación por parte de las Comunidades Autónomas y la conformidad del Ministerio de Fomento a la condición de préstamo convenido. El órgano competente de la Comunidad Autónoma verifica “el cumplimiento de los requisitos que en cada caso habilitan para acceder a dichas ayudas, dentro de las condiciones y límites cuantitativos establecidos en este Real Decreto, y según lo acordado en los correspondientes convenios de colaboración suscritos entre ambas Administraciones” (art. 13.2 del Real Decreto 2066/2008). Pero la ayuda no es efectiva mientras el Ministerio de Fomento no haya dado su conformidad al préstamo convenido, antes o después de la formalización del préstamo (art. 14.5 del Real Decreto 2066/2008). De la normativa aplicable se desprende, por tanto, que el derecho a la subsidiación no nace con el cumplimiento de los requisitos legales ni siquiera con el reconocimiento formal por parte de la autoridad autonómica competente de que se cumplen esos requisitos, sino que exige inexcusablemente la conformidad del Ministerio de Fomento. Lo que establece el párrafo tercero del apartado a) es que, a partir de la entrada en vigor de la Ley, ni las Comunidades Autónomas podrán reconocer nuevas ayudas ni el Ministerio de Fomento podrá ya otorgar su conformidad a préstamos convenidos, con lo cual deberán denegarse tanto las solicitudes de ayudas presentadas ante las Comunidades Autónomas como las solicitudes ya aprobadas (“reconocidas”) por éstas que no cuenten con la conformidad del Ministerio de Fomento al préstamo convenido. Nada de ello implica una regulación de efectos jurídicos ya producidos con anterioridad a la entrada en vigor de la Ley 4/2013.</w:t>
      </w:r>
    </w:p>
    <w:p w:rsidR="00AC56D6" w:rsidRDefault="00AC56D6" w:rsidP="00AC56D6">
      <w:pPr>
        <w:pStyle w:val="TextoNormal"/>
      </w:pPr>
    </w:p>
    <w:p w:rsidR="00AC56D6" w:rsidRDefault="00AC56D6" w:rsidP="00AC56D6">
      <w:pPr>
        <w:pStyle w:val="TextoNormal"/>
      </w:pPr>
      <w:r>
        <w:t>Finalmente, el párrafo cuarto impide el nuevo reconocimiento de ayudas vía concesión, renovación, prórroga, subrogación u otro tipo de actuación contemplada en los planes estatales de vivienda. Los recurrentes se centran especialmente en el supuesto de las renovaciones, y a él dirigiremos nuestra atención. Con arreglo al régimen establecido por la normativa aplicable “[l]a subsidiación se concederá por un período inicial de 5 años, que podrá ser renovado durante otro período de igual duración y por la cuantía que corresponda”, con arreglo a dos condiciones básicas: que el beneficiario de la subsidiación solicite su renovación dentro del quinto año del periodo inicial y que acredite que sigue reuniendo las condiciones requeridas para la concesión de la ayuda, si bien se admite una cierta oscilación de los ingresos familiares en el momento de la solicitud de renovación con respecto a los acreditados inicialmente (art. 43.3 del Real Decreto 2066/2008). Del tenor del citado artículo 43.3 (“podrá”) se deduce que la concesión de la renovación no es un acto reglado y que, en consecuencia, el beneficiario de la ayuda no tiene derecho a su renovación. Pues bien, de acuerdo con la disposición impugnada en este proceso, las solicitudes de renovación presentadas y no resueltas con anterioridad a la entrada en vigor de la Ley 4/2013, así como las solicitudes que se presenten con posterioridad, pasan a regirse por ese nuevo texto legal, que excluye la renovación. El párrafo cuarto del apartado a) regula, por tanto, unas situa</w:t>
      </w:r>
      <w:r>
        <w:lastRenderedPageBreak/>
        <w:t>ciones jurídicas aún no producidas, con una clara vocación de futuro, al no existir un derecho subjetivo a la renovación incorporado al patrimonio del beneficiario de las ayudas de subsidiación con anterioridad a la entrada en vigor de la Ley 4/2013.</w:t>
      </w:r>
    </w:p>
    <w:p w:rsidR="00AC56D6" w:rsidRDefault="00AC56D6" w:rsidP="00AC56D6">
      <w:pPr>
        <w:pStyle w:val="TextoNormal"/>
      </w:pPr>
    </w:p>
    <w:p w:rsidR="00AC56D6" w:rsidRDefault="00AC56D6" w:rsidP="00AC56D6">
      <w:pPr>
        <w:pStyle w:val="TextoNormal"/>
      </w:pPr>
      <w:r>
        <w:t>En suma, procede excluir la presencia de efectos retroactivos constitucionalmente prohibidos en el apartado a) de la disposición impugnada, ya que su regulación se proyecta a los efectos futuros de situaciones jurídicas que aún no se han producido.</w:t>
      </w:r>
    </w:p>
    <w:p w:rsidR="00AC56D6" w:rsidRDefault="00AC56D6" w:rsidP="00AC56D6">
      <w:pPr>
        <w:pStyle w:val="TextoNormal"/>
      </w:pPr>
    </w:p>
    <w:p w:rsidR="00AC56D6" w:rsidRDefault="00AC56D6" w:rsidP="00AC56D6">
      <w:pPr>
        <w:pStyle w:val="TextoNormal"/>
      </w:pPr>
      <w:r>
        <w:t>Al no concurrir el presupuesto de hecho del que parte la alegada vulneración del principio constitucional contemplado en el art. 9.3 CE tampoco es necesario ya examinar si, como consecuencia del pretendido efecto retroactivo de la disposición impugnada, se han restringido derechos individuales incorporados al patrimonio jurídico de los beneficiarios de las ayudas.</w:t>
      </w:r>
    </w:p>
    <w:p w:rsidR="00AC56D6" w:rsidRDefault="00AC56D6" w:rsidP="00AC56D6">
      <w:pPr>
        <w:pStyle w:val="TextoNormal"/>
      </w:pPr>
    </w:p>
    <w:p w:rsidR="00AC56D6" w:rsidRDefault="00AC56D6" w:rsidP="00AC56D6">
      <w:pPr>
        <w:pStyle w:val="TextoNormal"/>
      </w:pPr>
      <w:r>
        <w:t>Por ello, este segundo motivo de inconstitucionalidad debe ser rechazado.</w:t>
      </w:r>
    </w:p>
    <w:p w:rsidR="00AC56D6" w:rsidRDefault="00AC56D6" w:rsidP="00AC56D6">
      <w:pPr>
        <w:pStyle w:val="TextoNormal"/>
      </w:pPr>
    </w:p>
    <w:p w:rsidR="00AC56D6" w:rsidRDefault="00AC56D6" w:rsidP="00AC56D6">
      <w:pPr>
        <w:pStyle w:val="TextoNormal"/>
      </w:pPr>
      <w:r w:rsidRPr="00AC56D6">
        <w:rPr>
          <w:rStyle w:val="NumeroAFNegritaCaracter"/>
        </w:rPr>
        <w:t>9</w:t>
      </w:r>
      <w:r>
        <w:t>. Los Diputados recurrentes alegan también la vulneración del art. 33.3 CE. A su juicio, la disposición impugnada tiene contenido expropiatorio, pues estaría privando del derecho a la renovación de las ayudas de subsidiación. La vulneración denunciada consistiría en la inobservancia de las garantías que el art. 33.3 CE impone a las expropiaciones forzosas, y que este Tribunal ha extendido también a las expropiaciones legislativas. Por su parte, el Abogado del Estado rechaza el punto de partida de la denuncia de la demanda, la pretendida privación de un derecho.</w:t>
      </w:r>
    </w:p>
    <w:p w:rsidR="00AC56D6" w:rsidRDefault="00AC56D6" w:rsidP="00AC56D6">
      <w:pPr>
        <w:pStyle w:val="TextoNormal"/>
      </w:pPr>
    </w:p>
    <w:p w:rsidR="00AC56D6" w:rsidRDefault="00AC56D6" w:rsidP="00AC56D6">
      <w:pPr>
        <w:pStyle w:val="TextoNormal"/>
      </w:pPr>
      <w:r>
        <w:t>También esta alegada vulneración debe descartarse por inexistencia del presupuesto de base imprescindible para que entre en juego la protección que dispensa el precepto constitucional invocado. Tal como hemos señalado antes, de la normativa aplicable se desprende que la renovación de las ayudas de subsidiación no es automática, sino que es preciso que el beneficiario de la subsidiación solicite su renovación dentro del quinto año del periodo inicial y que acredite que sigue reuniendo las condiciones requeridas para la concesión de la ayuda. Quien disfrutaba de una ayuda de subsidiación al amparo del Real Decreto 2066/2008 no tenía un derecho subjetivo a la renovación, sino una mera expectativa de renovación en cuanto que cumpliera las condiciones exigidas por la normativa. Esa mera expectativa se tiene que consolidar mediante el correspondiente acto declarativo de derechos —en este caso la decisión de autorizar la renovación— adoptado por el órgano administrativo competente. En consecuencia, cuando se modifican las condiciones de obtención de la renovación o simplemente se suprime esa posibilidad, los beneficiarios de ayudas de subsidiación no pueden oponer un derecho subjetivo o un interés legítimo de carácter patrimonial incorporado a su patrimonio. Por tanto, debemos declarar que la disposición impugnada no priva de derechos subjetivos o intereses legítimos de carácter patrimonial incorporados al patrimonio jurídico de los beneficiarios de las ayudas y, por tanto, no resulta aplicable la protección constitucional que contempla el art. 33.3 CE.</w:t>
      </w:r>
    </w:p>
    <w:p w:rsidR="00AC56D6" w:rsidRDefault="00AC56D6" w:rsidP="00AC56D6">
      <w:pPr>
        <w:pStyle w:val="TextoNormal"/>
      </w:pPr>
    </w:p>
    <w:p w:rsidR="00AC56D6" w:rsidRDefault="00AC56D6" w:rsidP="00AC56D6">
      <w:pPr>
        <w:pStyle w:val="TextoNormal"/>
      </w:pPr>
      <w:r>
        <w:t>Por ello, este tercer motivo de inconstitucionalidad debe ser rechazado.</w:t>
      </w:r>
    </w:p>
    <w:p w:rsidR="00AC56D6" w:rsidRDefault="00AC56D6" w:rsidP="00AC56D6">
      <w:pPr>
        <w:pStyle w:val="TextoNormal"/>
      </w:pPr>
    </w:p>
    <w:p w:rsidR="00AC56D6" w:rsidRDefault="00AC56D6" w:rsidP="00AC56D6">
      <w:pPr>
        <w:pStyle w:val="TextoNormalCentrado"/>
        <w:keepNext/>
      </w:pPr>
      <w:r>
        <w:lastRenderedPageBreak/>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Desestimar el presente recurso de inconstitucionalidad.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veintidós de octubre de dos mil quince.</w:t>
      </w:r>
    </w:p>
    <w:p w:rsidR="00AC56D6" w:rsidRDefault="00AC56D6" w:rsidP="00AC56D6">
      <w:pPr>
        <w:pStyle w:val="ParrafoNormal"/>
      </w:pPr>
    </w:p>
    <w:p w:rsidR="00AC56D6" w:rsidRDefault="00AC56D6" w:rsidP="00AC56D6">
      <w:pPr>
        <w:pStyle w:val="TextoNormalNegritaCentrado"/>
        <w:keepNext/>
      </w:pPr>
      <w:r>
        <w:t>Voto particular que formula el Magistrado don Juan Antonio Xiol Ríos respecto de la Sentencia dictada en el recurso de inconstitucionalidad núm. 5108-2013.</w:t>
      </w:r>
    </w:p>
    <w:p w:rsidR="00AC56D6" w:rsidRDefault="00AC56D6" w:rsidP="00AC56D6">
      <w:pPr>
        <w:pStyle w:val="TextoNormalNegritaCentrado"/>
        <w:keepNext/>
      </w:pPr>
    </w:p>
    <w:p w:rsidR="00AC56D6" w:rsidRDefault="00AC56D6" w:rsidP="00AC56D6">
      <w:pPr>
        <w:pStyle w:val="TextoNormal"/>
      </w:pPr>
      <w:r>
        <w:t>Con el máximo respeto a la opinión mayoritaria de mis compañeros en la que se sustenta la Sentencia manifiesto mi discrepancia con el fallo, que, en mi opinión, hubiera debido ser parcialmente estimatorio y declarar la inconstitucionalidad del último párrafo de la letra a) de la disposición impugnada, en cuanto elimina la posibilidad de que las ayudas concedidas pudieran ser renovadas.</w:t>
      </w:r>
    </w:p>
    <w:p w:rsidR="00AC56D6" w:rsidRDefault="00AC56D6" w:rsidP="00AC56D6">
      <w:pPr>
        <w:pStyle w:val="TextoNormal"/>
      </w:pPr>
    </w:p>
    <w:p w:rsidR="00AC56D6" w:rsidRDefault="00AC56D6" w:rsidP="00AC56D6">
      <w:pPr>
        <w:pStyle w:val="TextoNormal"/>
      </w:pPr>
      <w:r>
        <w:t>Mi discrepancia no se funda en la argumentación expresa de la Sentencia, que comparto, sino en no haber entrado a analizar si la disposición impugnada podía vulnerar el principio de confianza legítima. La vulneración de este principio fue expresamente alegada por los recurrentes para fundamentar la inconstitucionalidad de la disposición impugnada y por ello considero que el examen de la impugnación por la que se aducía la vulneración del art. 9.3 CE no podía limitarse a examinar si la norma constitucional incurría en la prohibición de retroactividad que este precepto constitucional establece, sino que también debía entrar a analizar si esta norma vulneraba el principio de seguridad jurídica en la vertiente que garantiza la confianza legítima.</w:t>
      </w:r>
    </w:p>
    <w:p w:rsidR="00AC56D6" w:rsidRDefault="00AC56D6" w:rsidP="00AC56D6">
      <w:pPr>
        <w:pStyle w:val="TextoNormal"/>
      </w:pPr>
    </w:p>
    <w:p w:rsidR="00AC56D6" w:rsidRDefault="00AC56D6" w:rsidP="00AC56D6">
      <w:pPr>
        <w:pStyle w:val="TextoNormal"/>
      </w:pPr>
      <w:r>
        <w:t>De acuerdo con la doctrina de este tribunal, el principio de seguridad jurídica “protege la confianza de los ciudadanos que ajustan su conducta económica a la legislación vigente frente a cambios normativos que no sean razonablemente previsibles” (entre otras muchas, STC 82/2009) y según esta doctrina para determinar cuándo una norma puede vulnerar este principio ha de estarse a las circunstancias específicas que concurren en cada caso, tomando en consideración especialmente “la previsibilidad de la medida adoptada, las razones que han llevado a adoptarla y el alcance de la misma”, pues “[s]olo después de una ponderación de los distintos elementos en presencia es posible concluir si el art. 9.3 C.E. ha resultado vulnerado o si, por el contrario, la seguridad jurídica, que, insistimos, no es un valor absoluto, debe ceder ante otros bienes o derechos constitucionalmente protegidos.” (STC 182/1997, de 28 de octubre de 1997, FJ 13).</w:t>
      </w:r>
    </w:p>
    <w:p w:rsidR="00AC56D6" w:rsidRDefault="00AC56D6" w:rsidP="00AC56D6">
      <w:pPr>
        <w:pStyle w:val="TextoNormal"/>
      </w:pPr>
    </w:p>
    <w:p w:rsidR="00AC56D6" w:rsidRDefault="00AC56D6" w:rsidP="00AC56D6">
      <w:pPr>
        <w:pStyle w:val="TextoNormal"/>
      </w:pPr>
      <w:r>
        <w:t xml:space="preserve">Dadas las circunstancias concurrentes en el presente caso, considero que la norma impugnada, al eliminar la posibilidad de que las ayudas concedidas pudieran ser renovadas, ha </w:t>
      </w:r>
      <w:r>
        <w:lastRenderedPageBreak/>
        <w:t>vulnerado esta vertiente del principio de seguridad. La renovación de estas ayudas se encontraba regulada en unos términos que pudieron legítimamente crear la confianza en los ciudadanos en que, si se seguían cumpliendo los requisitos económicos exigidos para poder beneficiarse de las mismas y lo solicitaban, les sería renovada la ayuda concedida, y esta confianza pudo ser determinante para que decidieran a solicitar el préstamo hipotecario cuyos intereses iban a ser en parte subsidiados.</w:t>
      </w:r>
    </w:p>
    <w:p w:rsidR="00AC56D6" w:rsidRDefault="00AC56D6" w:rsidP="00AC56D6">
      <w:pPr>
        <w:pStyle w:val="TextoNormal"/>
      </w:pPr>
    </w:p>
    <w:p w:rsidR="00AC56D6" w:rsidRDefault="00AC56D6" w:rsidP="00AC56D6">
      <w:pPr>
        <w:pStyle w:val="TextoNormal"/>
      </w:pPr>
      <w:r>
        <w:t>Es cierto que la ley no regula la renovación como un acto reglado, pues utiliza el término “podrá” en lugar de “se renovarán”. Pero también es verdad que el término “podrá” puede entenderse tanto en el sentido de que algo depende de la voluntad de otro como en el sentido de que se tienen facultades o poder para hacer alguna cosa. La interpretación de este término, cuando ha sido empleado por las normas, ha dado lugar a discusiones doctrinales relevantes [recuérdese, por ejemplo, la suscitada en torno a la revisión de oficio tal como la regulaba el art. 109 de la Ley de procedimiento administrativo de 1958, pues, dependiendo de cómo se interpretara la palabra “podrá”, la revisión de oficio se configuraba o como un mero cauce que permitía a la Administración, si lo consideraba oportuno, revisar de oficio los actos nulos de pleno derecho o como una auténtica acción de nulidad: esta fue la interpretación que finalmente prosperó], por lo que es claro que no es fácil determinar el sentido del mismo con la seguridad con que lo hace la Sentencia. En todo caso, considero que el mero hecho de que la ley que regulaba estas ayudas utilizara la expresión “podrá ser renovado” [el periodo de cinco años por el que se concedía la subsidiación] no permite presumir que los beneficiarios de estas ayudas no pudieran confiar en que la concesión de las mismas no implicaba también un derecho a su renovación si seguían cumpliendo los requisitos exigidos para ello, pues la norma no contenía ninguna previsión de la que se dedujera directa o indirectamente que la renovación de la ayuda no era más que una expectativa.</w:t>
      </w:r>
    </w:p>
    <w:p w:rsidR="00AC56D6" w:rsidRDefault="00AC56D6" w:rsidP="00AC56D6">
      <w:pPr>
        <w:pStyle w:val="TextoNormal"/>
      </w:pPr>
    </w:p>
    <w:p w:rsidR="00AC56D6" w:rsidRDefault="00AC56D6" w:rsidP="00AC56D6">
      <w:pPr>
        <w:pStyle w:val="TextoNormal"/>
      </w:pPr>
      <w:r>
        <w:t>De este modo, no creo que pueda considerarse que la no-renovación de la ayuda concedida fuera previsible para el beneficiario de la misma y por esta razón entiendo que en este supuesto la norma impugnada afecta al principio de seguridad jurídica en la vertiente que “protege la confianza de los ciudadanos que ajustan su conducta económica a la legislación vigente frente a cambios normativos que no sean razonablemente previsibles”.</w:t>
      </w:r>
    </w:p>
    <w:p w:rsidR="00AC56D6" w:rsidRDefault="00AC56D6" w:rsidP="00AC56D6">
      <w:pPr>
        <w:pStyle w:val="TextoNormal"/>
      </w:pPr>
    </w:p>
    <w:p w:rsidR="00AC56D6" w:rsidRDefault="00AC56D6" w:rsidP="00AC56D6">
      <w:pPr>
        <w:pStyle w:val="TextoNormal"/>
      </w:pPr>
      <w:r>
        <w:t xml:space="preserve">En este caso, por lo demás, no existen derechos o valores constitucionales que puedan entrar en colisión con el principio de confianza legítima que, por ser merecedores de mayor protección, obliguen a limitar los efectos de este principio. La confianza legítima que la norma que regulaba estas ayudas pudo crear en sus beneficiarios en el sentido de que podían obtener su renovación no puede en este caso dejar de protegerse por exigencias macroeconómicas. La situación de crisis económica que podría justificar no otorgar más ayudas por falta de recursos económicos suficientes no puede legitimar que se prive de la renovación de la ayuda a quien ha adoptado una decisión económica, como es la de pedir un préstamo hipotecario, confiando en que iba a obtener un subsidio para pagar parte de los intereses durante diez años (los cinco concedidos más la prórroga, si cumplía los requisitos exigidos para ello). El perjuicio que esto puede ocasionar a los beneficiarios de estas ayudas (va a suponer, en un asunto de gran sensibilidad social, un encarecimiento de un préstamo que no pueden dejar de pagar y va a afectar a ciudadanos cuya situación económica no les va a permitir fácilmente asumir ese incremento de los intereses) no se pueden justificar en las ventajas que para la economía en general va a conllevar no renovar esas concretas ayudas, </w:t>
      </w:r>
      <w:r>
        <w:lastRenderedPageBreak/>
        <w:t>dada la mínima incidencia que la supresión de estas prórrogas puede tener en la mejora de la economía.</w:t>
      </w:r>
    </w:p>
    <w:p w:rsidR="00AC56D6" w:rsidRDefault="00AC56D6" w:rsidP="00AC56D6">
      <w:pPr>
        <w:pStyle w:val="TextoNormal"/>
      </w:pPr>
    </w:p>
    <w:p w:rsidR="00AC56D6" w:rsidRDefault="00AC56D6" w:rsidP="00AC56D6">
      <w:pPr>
        <w:pStyle w:val="TextoNormal"/>
      </w:pPr>
      <w:r>
        <w:t>En consecuencia, creo que en este caso hubiera debido declararse inconstitucional el último apartado de la letra a) de la disposición impugnada por vulnerar el principio de seguridad jurídica (art. 9.3 CE).</w:t>
      </w:r>
    </w:p>
    <w:p w:rsidR="00AC56D6" w:rsidRDefault="00AC56D6" w:rsidP="00AC56D6">
      <w:pPr>
        <w:pStyle w:val="TextoNormal"/>
      </w:pPr>
    </w:p>
    <w:p w:rsidR="00AC56D6" w:rsidRDefault="00AC56D6" w:rsidP="00AC56D6">
      <w:pPr>
        <w:pStyle w:val="TextoNormal"/>
      </w:pPr>
      <w:r>
        <w:t>Madrid, a veintidós de octubre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73" w:name="SENTENCIA_2015_217"/>
      <w:r>
        <w:lastRenderedPageBreak/>
        <w:t>SENTENCIA 217/2015, de 22 de octubre de 2015</w:t>
      </w:r>
    </w:p>
    <w:bookmarkEnd w:id="73"/>
    <w:p w:rsidR="00AC56D6" w:rsidRDefault="00AC56D6" w:rsidP="00AC56D6">
      <w:pPr>
        <w:pStyle w:val="TtuloResolucin"/>
      </w:pPr>
      <w:r>
        <w:t>Pleno</w:t>
      </w:r>
    </w:p>
    <w:p w:rsidR="00AC56D6" w:rsidRDefault="00AC56D6" w:rsidP="00AC56D6">
      <w:pPr>
        <w:pStyle w:val="TtuloBOE"/>
      </w:pPr>
      <w:r>
        <w:t>(BOE núm. 284, de 27 de noviembre de 2015)</w:t>
      </w:r>
    </w:p>
    <w:p w:rsidR="00AC56D6" w:rsidRDefault="00AC56D6" w:rsidP="00AC56D6">
      <w:pPr>
        <w:pStyle w:val="TextoNormalCentrado"/>
      </w:pPr>
      <w:r>
        <w:t>ECLI:ES:TC:2015:217</w:t>
      </w:r>
    </w:p>
    <w:p w:rsidR="00AC56D6" w:rsidRDefault="00AC56D6" w:rsidP="00AC56D6">
      <w:pPr>
        <w:pStyle w:val="TextoNormalCentrado"/>
      </w:pPr>
    </w:p>
    <w:p w:rsidR="00AC56D6" w:rsidRDefault="00AC56D6" w:rsidP="00AC56D6">
      <w:pPr>
        <w:pStyle w:val="SntesisDescriptiva"/>
      </w:pPr>
      <w:r>
        <w:t>Recurso de amparo 5843-2014. Promovido por don Joaquín Rodríguez Rivera en relación con los Autos de la Audiencia Provincial de Cádiz de prórroga de la medida cautelar de prisión provisional.</w:t>
      </w:r>
    </w:p>
    <w:p w:rsidR="00AC56D6" w:rsidRDefault="00AC56D6" w:rsidP="00AC56D6">
      <w:pPr>
        <w:pStyle w:val="SntesisDescriptiva"/>
      </w:pPr>
    </w:p>
    <w:p w:rsidR="00AC56D6" w:rsidRDefault="00AC56D6" w:rsidP="00AC56D6">
      <w:pPr>
        <w:pStyle w:val="SntesisAnaltica"/>
      </w:pPr>
      <w:r>
        <w:t>Vulneración del derecho a la libertad personal: prórroga de la medida cautelar de prisión provisional carente de cobertura legal.</w:t>
      </w:r>
    </w:p>
    <w:p w:rsidR="00AC56D6" w:rsidRDefault="00AC56D6" w:rsidP="00AC56D6">
      <w:pPr>
        <w:pStyle w:val="SntesisAnaltica"/>
      </w:pPr>
    </w:p>
    <w:p w:rsidR="00AC56D6" w:rsidRDefault="00AC56D6" w:rsidP="00AC56D6">
      <w:pPr>
        <w:pStyle w:val="Extracto"/>
      </w:pPr>
      <w:r>
        <w:t>1.</w:t>
      </w:r>
      <w:r>
        <w:tab/>
        <w:t>La medida cautelar de prisión provisional prorrogada que establece la Ley de Enjuiciamiento Criminal no proporciona cobertura legal al internamiento cautelar que la Audiencia Provincial aplicó al demandante de amparo [FJ 4].</w:t>
      </w:r>
    </w:p>
    <w:p w:rsidR="00AC56D6" w:rsidRDefault="00AC56D6" w:rsidP="00AC56D6">
      <w:pPr>
        <w:pStyle w:val="Extracto"/>
      </w:pPr>
    </w:p>
    <w:p w:rsidR="00AC56D6" w:rsidRDefault="00AC56D6" w:rsidP="00AC56D6">
      <w:pPr>
        <w:pStyle w:val="Extracto"/>
      </w:pPr>
      <w:r>
        <w:t>2.</w:t>
      </w:r>
      <w:r>
        <w:tab/>
        <w:t>Existe una incompatibilidad semántica entre lo previsto en la legislación procesal y el supuesto de hecho enjuiciado, en el que el recurrente de amparo no fue condenado al cumplimiento de pena de prisión alguna, sino al de una medida de internamiento en un centro adecuado al tipo de trastorno psiquiátrico que el acusado padecía [FJ 3].</w:t>
      </w:r>
    </w:p>
    <w:p w:rsidR="00AC56D6" w:rsidRDefault="00AC56D6" w:rsidP="00AC56D6">
      <w:pPr>
        <w:pStyle w:val="Extracto"/>
      </w:pPr>
    </w:p>
    <w:p w:rsidR="00AC56D6" w:rsidRDefault="00AC56D6" w:rsidP="00AC56D6">
      <w:pPr>
        <w:pStyle w:val="Extracto"/>
      </w:pPr>
      <w:r>
        <w:t>3.</w:t>
      </w:r>
      <w:r>
        <w:tab/>
        <w:t>La previsión legal de una medida limitativa de derechos fundamentales es condición de su legitimidad constitucional (SSTC 32/1987, 169/2001) [FJ 2].</w:t>
      </w:r>
    </w:p>
    <w:p w:rsidR="00AC56D6" w:rsidRDefault="00AC56D6" w:rsidP="00AC56D6">
      <w:pPr>
        <w:pStyle w:val="Extracto"/>
      </w:pPr>
    </w:p>
    <w:p w:rsidR="00AC56D6" w:rsidRDefault="00AC56D6" w:rsidP="00AC56D6">
      <w:pPr>
        <w:pStyle w:val="Extracto"/>
      </w:pPr>
      <w:r>
        <w:t>4.</w:t>
      </w:r>
      <w:r>
        <w:tab/>
        <w:t>La ley que habilita la injerencia en el derecho a la libertad personal ha de hacer suficientemente previsible la extensión y el contenido de la privación de libertad [FJ 2].</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 xml:space="preserve">En el recurso de amparo avocado núm. 5843-2014, promovido por don Joaquín Rodríguez Rivera, representado por la Procuradora de los Tribunales doña Isabel Soberón García de Enterría y asistido por el Abogado don José Antonio Díaz Garrido, contra el Auto de 30 </w:t>
      </w:r>
      <w:r>
        <w:lastRenderedPageBreak/>
        <w:t>de julio de 2014 dictado por la Audiencia Provincial de Cádiz (Sección Primera), que desestimó el recurso de súplica interpuesto por aquél contra el Auto de 16 de julio de 2014, dictado por el mismo órgano judicial y recaído en el sumario núm. 3-2014. Ha intervenido el Ministerio Fiscal. Ha sido ponente el Magistrado don Antonio Narváez Rodríguez,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Por escrito que tuvo entrada en el Registro General de este Tribunal el día 30 de septiembre de 2014, don Joaquín Rodríguez Rivera, interno en el hospital psiquiátrico penitenciario de Sevilla, manifestó su voluntad de interponer recurso de amparo contra las resoluciones judiciales reseñadas en el encabezamiento de la presente Sentencia, solicitando que le fuesen designados a tal efecto Abogado y Procurador de oficio.</w:t>
      </w:r>
    </w:p>
    <w:p w:rsidR="00AC56D6" w:rsidRDefault="00AC56D6" w:rsidP="00AC56D6">
      <w:pPr>
        <w:pStyle w:val="TextoNormal"/>
      </w:pPr>
    </w:p>
    <w:p w:rsidR="00AC56D6" w:rsidRDefault="00AC56D6" w:rsidP="00AC56D6">
      <w:pPr>
        <w:pStyle w:val="TextoNormal"/>
      </w:pPr>
      <w:r>
        <w:t>Mediante diligencia de ordenación de la Secretaría de Justicia de la Sala Segunda de este Tribunal de 8 de octubre de 2014, se acordó librar despacho al Ilustre Colegio de Abogados de Madrid a fin de que se designara al recurrente Procurador y Abogado del turno de oficio para su representación y defensa en el presente recurso de amparo.</w:t>
      </w:r>
    </w:p>
    <w:p w:rsidR="00AC56D6" w:rsidRDefault="00AC56D6" w:rsidP="00AC56D6">
      <w:pPr>
        <w:pStyle w:val="TextoNormal"/>
      </w:pPr>
    </w:p>
    <w:p w:rsidR="00AC56D6" w:rsidRDefault="00AC56D6" w:rsidP="00AC56D6">
      <w:pPr>
        <w:pStyle w:val="TextoNormal"/>
      </w:pPr>
      <w:r w:rsidRPr="00AC56D6">
        <w:rPr>
          <w:rStyle w:val="NumeroAFNegritaCaracter"/>
        </w:rPr>
        <w:t>2</w:t>
      </w:r>
      <w:r>
        <w:t>. Recibidos los anteriores despachos, por diligencia de ordenación de la Secretaría de Justicia de la Sala Segunda de 24 de octubre de 2014 se tuvieron por designados a la Procuradora de los Tribunales doña Isabel Soberón García de Enterría para la representación del recurrente y al Abogado don José Antonio Díaz Garrido para su defensa, confiriéndose a la citada Procuradora un plazo de veinte días para que, bajo la dirección del Abogado mencionado, presentara la correspondiente demanda de amparo, que tuvo efectivamente su entrada en el Registro General de este Tribunal el día 16 de diciembre de 2014.</w:t>
      </w:r>
    </w:p>
    <w:p w:rsidR="00AC56D6" w:rsidRDefault="00AC56D6" w:rsidP="00AC56D6">
      <w:pPr>
        <w:pStyle w:val="TextoNormal"/>
      </w:pPr>
    </w:p>
    <w:p w:rsidR="00AC56D6" w:rsidRDefault="00AC56D6" w:rsidP="00AC56D6">
      <w:pPr>
        <w:pStyle w:val="TextoNormal"/>
      </w:pPr>
      <w:r w:rsidRPr="00AC56D6">
        <w:rPr>
          <w:rStyle w:val="NumeroAFNegritaCaracter"/>
        </w:rPr>
        <w:t>3</w:t>
      </w:r>
      <w:r>
        <w:t>. Los hechos de los que trae causa la demanda de amparo son, en síntesis, los siguientes:</w:t>
      </w:r>
    </w:p>
    <w:p w:rsidR="00AC56D6" w:rsidRDefault="00AC56D6" w:rsidP="00AC56D6">
      <w:pPr>
        <w:pStyle w:val="TextoNormal"/>
      </w:pPr>
    </w:p>
    <w:p w:rsidR="00AC56D6" w:rsidRDefault="00AC56D6" w:rsidP="00AC56D6">
      <w:pPr>
        <w:pStyle w:val="TextoNormal"/>
      </w:pPr>
      <w:r>
        <w:t>a) Mediante Auto de 15 de julio de 2013, dictado por el Juzgado de Instrucción núm. 1 de Cádiz y recaído en las diligencias previas núm. 852-2013 —posteriormente convertidas en sumario ordinario núm. 3-2014—, se acordó la “prisión preventiva, comunicada y sin fianza” del recurrente de amparo. Dicha resolución precisaba que el ahora demandante debía “ingresar de inmediato en establecimiento psiquiátrico penitenciario a fin de que recibir [</w:t>
      </w:r>
      <w:r w:rsidRPr="00AC56D6">
        <w:rPr>
          <w:i/>
        </w:rPr>
        <w:t>sic</w:t>
      </w:r>
      <w:r>
        <w:t>] el tratamiento que su estado de salud precise, quedando a disposición del Juzgado de Instrucción núm. 1 de Cádiz por la presente causa”.</w:t>
      </w:r>
    </w:p>
    <w:p w:rsidR="00AC56D6" w:rsidRDefault="00AC56D6" w:rsidP="00AC56D6">
      <w:pPr>
        <w:pStyle w:val="TextoNormal"/>
      </w:pPr>
    </w:p>
    <w:p w:rsidR="00AC56D6" w:rsidRDefault="00AC56D6" w:rsidP="00AC56D6">
      <w:pPr>
        <w:pStyle w:val="TextoNormal"/>
      </w:pPr>
      <w:r>
        <w:t>b) Estando el recurrente en dicha situación de privación cautelar de libertad se celebró juicio oral ante la Audiencia Provincial de Cádiz (Sección Primera), que dictó Sentencia, de fecha 18 de junio de 2014, en la que impuso al actor una medida de seguridad de internamiento para tratamiento médico en un establecimiento psiquiátrico penitenciario por un tiempo no superior a siete años. Dicha resolución consideraba probado que el recurrente había realizado un hecho objetivamente constitutivo del delito de incendio tipificado en el art. 351 del Código penal (CP). La Sentencia apreciaba, no obstante, que concurría la eximente completa de alteración psíquica (art. 20.1 CP), por lo que contenía un pronunciamiento absolutorio, al tiempo que imponía al demandante de amparo la medida de seguridad indicada, al concurrir los requisitos fijados en el art. 95 CP.</w:t>
      </w:r>
    </w:p>
    <w:p w:rsidR="00AC56D6" w:rsidRDefault="00AC56D6" w:rsidP="00AC56D6">
      <w:pPr>
        <w:pStyle w:val="TextoNormal"/>
      </w:pPr>
    </w:p>
    <w:p w:rsidR="00AC56D6" w:rsidRDefault="00AC56D6" w:rsidP="00AC56D6">
      <w:pPr>
        <w:pStyle w:val="TextoNormal"/>
      </w:pPr>
      <w:r>
        <w:t>c) Dictada esta Sentencia, el recurrente presentó ante la Audiencia Provincial de Cádiz escrito de preparación del recurso de casación. En “otrosí digo” de dicho escrito el recurrente solicitó “el cese de la prisión provisional” pues, según señalaba, “de conformidad con el art. 861 bis a) párrafo final de la Ley de Enjuiciamiento Criminal, siendo absolutoria la sentencia dictada” procedía su “inmediata puesta en libertad”.</w:t>
      </w:r>
    </w:p>
    <w:p w:rsidR="00AC56D6" w:rsidRDefault="00AC56D6" w:rsidP="00AC56D6">
      <w:pPr>
        <w:pStyle w:val="TextoNormal"/>
      </w:pPr>
    </w:p>
    <w:p w:rsidR="00AC56D6" w:rsidRDefault="00AC56D6" w:rsidP="00AC56D6">
      <w:pPr>
        <w:pStyle w:val="TextoNormal"/>
      </w:pPr>
      <w:r>
        <w:t>d) En Auto de 16 de julio de 2014 la Audiencia tuvo por preparado el recurso de casación, denegando en la misma resolución la petición de libertad formulada “en atención a que la sentencia es absolutoria por estimar que concurre una eximente completa de alteración psíquica, pero se impone al condenado una medida de internamiento en un centro psiquiátrico penitenciario por tiempo no superior a 7 años, por la alta peligrosidad que representa por las ideas paranoicas y delirios relacionados con la obsesión al fuego”. En la misma resolución, aplicando el art. 504.2 de la Ley de enjuiciamiento criminal (LECrim), el Tribunal acordó “la prórroga de la prisión provisional”, debiendo el recurrente “permanecer para su tratamiento médico en el establecimiento psiquiátrico penitenciario”.</w:t>
      </w:r>
    </w:p>
    <w:p w:rsidR="00AC56D6" w:rsidRDefault="00AC56D6" w:rsidP="00AC56D6">
      <w:pPr>
        <w:pStyle w:val="TextoNormal"/>
      </w:pPr>
    </w:p>
    <w:p w:rsidR="00AC56D6" w:rsidRDefault="00AC56D6" w:rsidP="00AC56D6">
      <w:pPr>
        <w:pStyle w:val="TextoNormal"/>
      </w:pPr>
      <w:r>
        <w:t>e) Frente a este resolución, el demandante de amparo presentó recurso de súplica, en el que alegó: (i) vulneración del art. 503 LECrim, en cuanto dicho precepto exige que la prisión provisional se funde en la existencia de indicios de “responsabilidad criminal”, lo que implica que no pueda ser acordada en relación con un sujeto declarado irresponsable; y (ii) violación de los arts. 504.2 y 861 bis a) LECrim, pues el primero de los preceptos citados sólo permite prorrogar la prisión si la sentencia es condenatoria y el segundo señala en su último párrafo lo siguiente: “Si la sentencia recurrida fuera absolutoria y el reo estuviere preso, será puesto en libertad”. La infracción de estos preceptos determinaba, a su vez y a juicio del recurrente, la violación del art. 17 CE, al no existir “motivo ni soporte legal alguno que sustente la prórroga de la prisión acordada”.</w:t>
      </w:r>
    </w:p>
    <w:p w:rsidR="00AC56D6" w:rsidRDefault="00AC56D6" w:rsidP="00AC56D6">
      <w:pPr>
        <w:pStyle w:val="TextoNormal"/>
      </w:pPr>
    </w:p>
    <w:p w:rsidR="00AC56D6" w:rsidRDefault="00AC56D6" w:rsidP="00AC56D6">
      <w:pPr>
        <w:pStyle w:val="TextoNormal"/>
      </w:pPr>
      <w:r>
        <w:t>f) El recurso de súplica fue desestimado por la Audiencia en Auto de 30 de julio de 2014, resolución en la que el tribunal provincial señaló: (i) que, aun siendo absolutoria la Sentencia, en ésta se consideraba probada la realización del hecho punible, por lo que era posible la aplicación de los preceptos aludidos por el recurrente, y (ii) que, tal y como se razonaba en el Auto de prórroga de la medida cautelar, “persistía el cuadro delirante deponiendo los forenses [en el acto del plenario] que es nula la conciencia de su enfermedad [del recurrente] y la adhesión al tratamiento es escasa y no se puede prever la aparición de esos brotes, por lo que es absolutamente necesario que siga sometido al tratamiento médico en régimen de internamiento, privado de libertad, en el Centro Penitenciario Psiquiátrico. Siendo inviable el tratamiento ambulatorio por la alta peligrosidad que representa”.</w:t>
      </w:r>
    </w:p>
    <w:p w:rsidR="00AC56D6" w:rsidRDefault="00AC56D6" w:rsidP="00AC56D6">
      <w:pPr>
        <w:pStyle w:val="TextoNormal"/>
      </w:pPr>
    </w:p>
    <w:p w:rsidR="00AC56D6" w:rsidRDefault="00AC56D6" w:rsidP="00AC56D6">
      <w:pPr>
        <w:pStyle w:val="TextoNormal"/>
      </w:pPr>
      <w:r>
        <w:t>g) Con posterioridad a la presentación de la demanda de amparo, en Auto de 30 de octubre de 2014, la Sala Segunda del Tribunal Supremo acordó “no haber lugar a la admisión del recurso de casación formalizado por el recurrente” contra la Sentencia dictada por la Audiencia Provincial de Cádiz, circunstancia que determinó la firmeza de la sentencia recaída en la instancia y el consiguiente cese de la medida cautelar privativa de libertad adoptada, acordando la Audiencia Provincial de Cádiz (Sección Primera), en Auto de 25 de noviembre de 2014, que se procediera a la ejecución de la Sentencia.</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4</w:t>
      </w:r>
      <w:r>
        <w:t>. En su escrito de demanda, el recurrente considera que las resoluciones impugnadas han vulnerado su derecho fundamental a la libertad (art. 17 CE). Señala el actor, en la escueta fundamentación jurídica de su escrito, que el art. 504.2 LECrim no puede servir de sustento a la prórroga de la prisión provisional ya que (i) sólo puede aplicarse a un “condenado” y no a un acusado que ha resultado absuelto, y (ii) el precepto establece, como alcance temporal máximo de la medida cautelar, “el límite de la mitad de la pena efectivamente impuesta en la sentencia”, siendo evidente, en su opinión, que, en el caso planteado, no se ha impuesto pena alguna sino medida de seguridad. La falta de cobertura legal de la prórroga de la prisión provisional determina, a su parecer, la consiguiente infracción del derecho fundamental a la libertad (art. 17 CE).</w:t>
      </w:r>
    </w:p>
    <w:p w:rsidR="00AC56D6" w:rsidRDefault="00AC56D6" w:rsidP="00AC56D6">
      <w:pPr>
        <w:pStyle w:val="TextoNormal"/>
      </w:pPr>
    </w:p>
    <w:p w:rsidR="00AC56D6" w:rsidRDefault="00AC56D6" w:rsidP="00AC56D6">
      <w:pPr>
        <w:pStyle w:val="TextoNormal"/>
      </w:pPr>
      <w:r>
        <w:t>El demandante estima, en suma, que la Audiencia Provincial de Cádiz ha aplicado la prisión provisional a un supuesto de hecho que el legislador no ha previsto expresamente. En su opinión, la ley procesal vigente no regula el internamiento cautelar de personas que, sin ser criminalmente responsables, estén sujetas al proceso penal a efectos de la imposición eventual de una medida de seguridad. Esta omisión no puede ser suplida en vía interpretativa, torciendo para ello el tenor de los preceptos legales aplicables. Estaríamos ante una práctica interpretativa generalizada, lesiva de la libertad individual e incompatible con la Constitución.</w:t>
      </w:r>
    </w:p>
    <w:p w:rsidR="00AC56D6" w:rsidRDefault="00AC56D6" w:rsidP="00AC56D6">
      <w:pPr>
        <w:pStyle w:val="TextoNormal"/>
      </w:pPr>
    </w:p>
    <w:p w:rsidR="00AC56D6" w:rsidRDefault="00AC56D6" w:rsidP="00AC56D6">
      <w:pPr>
        <w:pStyle w:val="TextoNormal"/>
      </w:pPr>
      <w:r w:rsidRPr="00AC56D6">
        <w:rPr>
          <w:rStyle w:val="NumeroAFNegritaCaracter"/>
        </w:rPr>
        <w:t>5</w:t>
      </w:r>
      <w:r>
        <w:t>. Por providencia de 16 de abril de 2015, la Sala Segunda acordó admitir a trámite la demanda y, en aplicación de lo dispuesto en el art. 51 de la Ley Orgánica del Tribunal Constitucional (LOTC), dirigir atenta comunicación a la Sección Primera de la Audiencia Provincial de Cádiz a fin de que, en plazo que no excediera de diez días, remitiera certificación o fotocopia adverada de las actuaciones correspondientes al sumario ordinario núm. 3-2014, interesándose al propio tiempo del órgano judicial que emplazara a quienes hubieran sido parte en el procedimiento, excepto a la parte recurrente en amparo, para que pudieran comparecer en el plazo de diez días.</w:t>
      </w:r>
    </w:p>
    <w:p w:rsidR="00AC56D6" w:rsidRDefault="00AC56D6" w:rsidP="00AC56D6">
      <w:pPr>
        <w:pStyle w:val="TextoNormal"/>
      </w:pPr>
    </w:p>
    <w:p w:rsidR="00AC56D6" w:rsidRDefault="00AC56D6" w:rsidP="00AC56D6">
      <w:pPr>
        <w:pStyle w:val="TextoNormal"/>
      </w:pPr>
      <w:r>
        <w:t>La aludida providencia aclara que el recurso de amparo “ofrece especial trascendencia constitucional (art. 50.1 LOTC)” porque “puede dar ocasión al Tribunal para aclarar o cambiar su doctrina, como consecuencia de un proceso de reflexión interna [STC 155/2009, FJ 2 b)]”y porque “la posible vulneración del derecho fundamental que se denuncia pudiera provenir de la ley o de otra disposición de carácter general [STC 155/2009, FJ 2 e)]”.</w:t>
      </w:r>
    </w:p>
    <w:p w:rsidR="00AC56D6" w:rsidRDefault="00AC56D6" w:rsidP="00AC56D6">
      <w:pPr>
        <w:pStyle w:val="TextoNormal"/>
      </w:pPr>
    </w:p>
    <w:p w:rsidR="00AC56D6" w:rsidRDefault="00AC56D6" w:rsidP="00AC56D6">
      <w:pPr>
        <w:pStyle w:val="TextoNormal"/>
      </w:pPr>
      <w:r w:rsidRPr="00AC56D6">
        <w:rPr>
          <w:rStyle w:val="NumeroAFNegritaCaracter"/>
        </w:rPr>
        <w:t>6</w:t>
      </w:r>
      <w:r>
        <w:t>. Una vez recibidos los testimonios solicitados y cumplimentados los emplazamientos requeridos, la Sala Segunda, por diligencia de ordenación de su Secretaría de Justicia de fecha 18 de mayo de 2015, acordó dar vista de las actuaciones a la parte recurrente y al Ministerio Fiscal, por plazo común de veinte días, para que formularan las alegaciones que estimaran pertinentes, conforme determina el art. 52.1 LOTC.</w:t>
      </w:r>
    </w:p>
    <w:p w:rsidR="00AC56D6" w:rsidRDefault="00AC56D6" w:rsidP="00AC56D6">
      <w:pPr>
        <w:pStyle w:val="TextoNormal"/>
      </w:pPr>
    </w:p>
    <w:p w:rsidR="00AC56D6" w:rsidRDefault="00AC56D6" w:rsidP="00AC56D6">
      <w:pPr>
        <w:pStyle w:val="TextoNormal"/>
      </w:pPr>
      <w:r w:rsidRPr="00AC56D6">
        <w:rPr>
          <w:rStyle w:val="NumeroAFNegritaCaracter"/>
        </w:rPr>
        <w:t>7</w:t>
      </w:r>
      <w:r>
        <w:t>. La representación del recurrente de amparo presentó sus alegaciones en escrito registrado el día 15 de junio de 2015, en el que se limitó a ratificar las ya efectuadas en la demanda.</w:t>
      </w:r>
    </w:p>
    <w:p w:rsidR="00AC56D6" w:rsidRDefault="00AC56D6" w:rsidP="00AC56D6">
      <w:pPr>
        <w:pStyle w:val="TextoNormal"/>
      </w:pPr>
    </w:p>
    <w:p w:rsidR="00AC56D6" w:rsidRDefault="00AC56D6" w:rsidP="00AC56D6">
      <w:pPr>
        <w:pStyle w:val="TextoNormal"/>
      </w:pPr>
      <w:r w:rsidRPr="00AC56D6">
        <w:rPr>
          <w:rStyle w:val="NumeroAFNegritaCaracter"/>
        </w:rPr>
        <w:t>8</w:t>
      </w:r>
      <w:r>
        <w:t>. El Ministerio Fiscal presentó sus alegaciones mediante escrito de fecha 16 de junio de 2015, en el que ha interesado la íntegra desestimación de la demanda de amparo.</w:t>
      </w:r>
    </w:p>
    <w:p w:rsidR="00AC56D6" w:rsidRDefault="00AC56D6" w:rsidP="00AC56D6">
      <w:pPr>
        <w:pStyle w:val="TextoNormal"/>
      </w:pPr>
    </w:p>
    <w:p w:rsidR="00AC56D6" w:rsidRDefault="00AC56D6" w:rsidP="00AC56D6">
      <w:pPr>
        <w:pStyle w:val="TextoNormal"/>
      </w:pPr>
      <w:r>
        <w:t>Considera, en primer lugar, el Ministerio Fiscal que el recurso plantea un supuesto “que no ha sido objeto de análisis por parte del Tribunal Constitucional en su nada desdeñable doctrina sobre discapacidad y sobre los internamientos de enajenados”, debiendo determinarse si, tal y como afirma el recurrente, la prórroga “hasta la mitad de la condena” de la situación de prisión provisional “tras el dictado de una sentencia absolutoria por habérsele apreciado una eximente de enajenación carece de sustento legal y es por ello vulneradora de su derecho a la libertad”. Dando respuesta anticipada a este interrogante, la Fiscal afirma que, aunque “de la dicción literal del art. 504 LECrim pudiera desprenderse que el mantenimiento del internamiento del ahora demandante en el centro psiquiátrico penitenciario carece de previsión legal de modo estricto”, esa conclusión queda descartada si se atiende a “toda la regulación, procesal y penal” atinente a dicha privación cautelar de libertad.</w:t>
      </w:r>
    </w:p>
    <w:p w:rsidR="00AC56D6" w:rsidRDefault="00AC56D6" w:rsidP="00AC56D6">
      <w:pPr>
        <w:pStyle w:val="TextoNormal"/>
      </w:pPr>
    </w:p>
    <w:p w:rsidR="00AC56D6" w:rsidRDefault="00AC56D6" w:rsidP="00AC56D6">
      <w:pPr>
        <w:pStyle w:val="TextoNormal"/>
      </w:pPr>
      <w:r>
        <w:t>Más concretamente, a juicio del Ministerio Fiscal, la cobertura legal de la prórroga de prisión acordada se deduce de los siguientes elementos de juicio:</w:t>
      </w:r>
    </w:p>
    <w:p w:rsidR="00AC56D6" w:rsidRDefault="00AC56D6" w:rsidP="00AC56D6">
      <w:pPr>
        <w:pStyle w:val="TextoNormal"/>
      </w:pPr>
    </w:p>
    <w:p w:rsidR="00AC56D6" w:rsidRDefault="00AC56D6" w:rsidP="00AC56D6">
      <w:pPr>
        <w:pStyle w:val="TextoNormal"/>
      </w:pPr>
      <w:r>
        <w:t>(i) De la circunstancia de que, en el Código penal en vigor, las medidas de seguridad tengan como fundamento necesario la peligrosidad criminal del sujeto, exteriorizada en la comisión de un hecho previsto como delito “sin que las mismas puedan ser más gravosas ni de mayor duración que la pena abstractamente aplicable al hecho cometido”.</w:t>
      </w:r>
    </w:p>
    <w:p w:rsidR="00AC56D6" w:rsidRDefault="00AC56D6" w:rsidP="00AC56D6">
      <w:pPr>
        <w:pStyle w:val="TextoNormal"/>
      </w:pPr>
    </w:p>
    <w:p w:rsidR="00AC56D6" w:rsidRDefault="00AC56D6" w:rsidP="00AC56D6">
      <w:pPr>
        <w:pStyle w:val="TextoNormal"/>
      </w:pPr>
      <w:r>
        <w:t>(ii) De la “doctrina inconcusa” según la cual “no se puede imponer la medida de seguridad de internamiento en los supuestos de sobreseimiento libre sino que es preciso terminar la causa por sentencia en la que quede acreditada la comisión del hecho delictivo y la necesidad de dicha medida”.</w:t>
      </w:r>
    </w:p>
    <w:p w:rsidR="00AC56D6" w:rsidRDefault="00AC56D6" w:rsidP="00AC56D6">
      <w:pPr>
        <w:pStyle w:val="TextoNormal"/>
      </w:pPr>
    </w:p>
    <w:p w:rsidR="00AC56D6" w:rsidRDefault="00AC56D6" w:rsidP="00AC56D6">
      <w:pPr>
        <w:pStyle w:val="TextoNormal"/>
      </w:pPr>
      <w:r>
        <w:t>(iii) Del art. 381 LECrim, precepto según el cual “si el Juez advirtiese en el procesado indicios de enajenación mental, le someterá inmediatamente a la observación de los médicos forenses en el establecimiento en que estuviese preso, o en otro público si fuere más a propósito o estuviese en libertad”, norma de la que el Ministerio Fiscal deduce que “cabe decretar la prisión provisional de los enajenados”.</w:t>
      </w:r>
    </w:p>
    <w:p w:rsidR="00AC56D6" w:rsidRDefault="00AC56D6" w:rsidP="00AC56D6">
      <w:pPr>
        <w:pStyle w:val="TextoNormal"/>
      </w:pPr>
    </w:p>
    <w:p w:rsidR="00AC56D6" w:rsidRDefault="00AC56D6" w:rsidP="00AC56D6">
      <w:pPr>
        <w:pStyle w:val="TextoNormal"/>
      </w:pPr>
      <w:r>
        <w:t>(iv) De la práctica forense, según la cual el tiempo de prisión provisional sufrido por el enajenado se descuenta de la medida de seguridad impuesta finalmente en Sentencia.</w:t>
      </w:r>
    </w:p>
    <w:p w:rsidR="00AC56D6" w:rsidRDefault="00AC56D6" w:rsidP="00AC56D6">
      <w:pPr>
        <w:pStyle w:val="TextoNormal"/>
      </w:pPr>
    </w:p>
    <w:p w:rsidR="00AC56D6" w:rsidRDefault="00AC56D6" w:rsidP="00AC56D6">
      <w:pPr>
        <w:pStyle w:val="TextoNormal"/>
      </w:pPr>
      <w:r>
        <w:t>(v) Del hecho de que dichas medidas de seguridad, una vez impuestas por Sentencia firme, deban ser “anotadas en los Registros de Penados y Rebeldes”, de acuerdo con el art. 137 CP.</w:t>
      </w:r>
    </w:p>
    <w:p w:rsidR="00AC56D6" w:rsidRDefault="00AC56D6" w:rsidP="00AC56D6">
      <w:pPr>
        <w:pStyle w:val="TextoNormal"/>
      </w:pPr>
    </w:p>
    <w:p w:rsidR="00AC56D6" w:rsidRDefault="00AC56D6" w:rsidP="00AC56D6">
      <w:pPr>
        <w:pStyle w:val="TextoNormal"/>
      </w:pPr>
      <w:r>
        <w:t>(vi) De que, por más que estemos ante una sentencia formalmente absolutoria, “en sentido estricto, de conformidad con lo prevenido en el art. 144 LECrim, la absolución debe entenderse libre en todos sus pronunciamientos, lo que no acontece en el supuesto a examen”.</w:t>
      </w:r>
    </w:p>
    <w:p w:rsidR="00AC56D6" w:rsidRDefault="00AC56D6" w:rsidP="00AC56D6">
      <w:pPr>
        <w:pStyle w:val="TextoNormal"/>
      </w:pPr>
    </w:p>
    <w:p w:rsidR="00AC56D6" w:rsidRDefault="00AC56D6" w:rsidP="00AC56D6">
      <w:pPr>
        <w:pStyle w:val="TextoNormal"/>
      </w:pPr>
      <w:r>
        <w:t>(vii) Del hecho de que la disposición transitoria primera de la reciente Ley Orgánica 1/2015, de 30 de marzo, introduzca “a efectos comparativos, para determinar la ley penal más favorable, no sólo la pena que correspondería al hecho enjuiciado, sino también, en su caso, la posibilidad de imponer medidas de seguridad”.</w:t>
      </w:r>
    </w:p>
    <w:p w:rsidR="00AC56D6" w:rsidRDefault="00AC56D6" w:rsidP="00AC56D6">
      <w:pPr>
        <w:pStyle w:val="TextoNormal"/>
      </w:pPr>
    </w:p>
    <w:p w:rsidR="00AC56D6" w:rsidRDefault="00AC56D6" w:rsidP="00AC56D6">
      <w:pPr>
        <w:pStyle w:val="TextoNormal"/>
      </w:pPr>
      <w:r>
        <w:t>De este bloque legislativo deduce la Fiscal ante el Tribunal Constitucional que “nuestra legislación tanto procesal como penal tiene previsto que se pueda decretar la prisión provisional de los enajenados”, pues los preceptos contenidos en dicha legislación “exigen la celebración del juicio oral para poder imponer una medida de seguridad, la medida de seguridad en ningún caso puede ser más gravosa que la pena que le correspondiera al sujeto si fuere imputable, la prisión provisional se le abona para el incumplimiento [</w:t>
      </w:r>
      <w:r w:rsidRPr="00AC56D6">
        <w:rPr>
          <w:i/>
        </w:rPr>
        <w:t>sic</w:t>
      </w:r>
      <w:r>
        <w:t>] de la medida de seguridad, la prisión provisional sufrida se descuenta de la medida de seguridad privativa de libertad impuesta que debe ser anotada en los registros pertinentes”.</w:t>
      </w:r>
    </w:p>
    <w:p w:rsidR="00AC56D6" w:rsidRDefault="00AC56D6" w:rsidP="00AC56D6">
      <w:pPr>
        <w:pStyle w:val="TextoNormal"/>
      </w:pPr>
    </w:p>
    <w:p w:rsidR="00AC56D6" w:rsidRDefault="00AC56D6" w:rsidP="00AC56D6">
      <w:pPr>
        <w:pStyle w:val="TextoNormal"/>
      </w:pPr>
      <w:r w:rsidRPr="00AC56D6">
        <w:rPr>
          <w:rStyle w:val="NumeroAFNegritaCaracter"/>
        </w:rPr>
        <w:t>9</w:t>
      </w:r>
      <w:r>
        <w:t>. El Pleno de este Tribunal, mediante providencia de 8 de julio de 2015, acordó, de conformidad con el art. 10.1 n) LOTC, a propuesta de la Sala Segunda, recabar para sí el conocimiento de este recurso de amparo.</w:t>
      </w:r>
    </w:p>
    <w:p w:rsidR="00AC56D6" w:rsidRDefault="00AC56D6" w:rsidP="00AC56D6">
      <w:pPr>
        <w:pStyle w:val="TextoNormal"/>
      </w:pPr>
    </w:p>
    <w:p w:rsidR="00AC56D6" w:rsidRDefault="00AC56D6" w:rsidP="00AC56D6">
      <w:pPr>
        <w:pStyle w:val="TextoNormal"/>
      </w:pPr>
      <w:r w:rsidRPr="00AC56D6">
        <w:rPr>
          <w:rStyle w:val="NumeroAFNegritaCaracter"/>
        </w:rPr>
        <w:t>10</w:t>
      </w:r>
      <w:r>
        <w:t>. Por providencia de 20 de octubre de 2015, se señaló para deliberación y votación de la presente Sentencia el día 22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Como ha quedado expuesto en los antecedentes, el demandante de amparo considera que el Auto de 16 de julio de 2014, dictado por la Audiencia Provincial de Cádiz (Sección Primera), ha vulnerado su derecho fundamental a la libertad personal (art. 17 CE). Entiende el actor que dicha resolución prorrogó sin cobertura legal suficiente la medida cautelar de prisión provisional que le había sido previamente impuesta. El Auto de 30 de julio de 2014, dictado por el mismo órgano judicial, habría reincidido en dicha vulneración al desestimar el recurso de súplica presentado por el recurrente. Éste considera, en particular, que los preceptos de la Ley de enjuiciamiento criminal (LECrim) no permiten prorrogar la prisión provisional a quien ha sido absuelto por razón de su enfermedad mental, aunque el órgano de instancia le haya impuesto paralelamente una medida de seguridad de internamiento.</w:t>
      </w:r>
    </w:p>
    <w:p w:rsidR="00AC56D6" w:rsidRDefault="00AC56D6" w:rsidP="00AC56D6">
      <w:pPr>
        <w:pStyle w:val="TextoNormal"/>
      </w:pPr>
    </w:p>
    <w:p w:rsidR="00AC56D6" w:rsidRDefault="00AC56D6" w:rsidP="00AC56D6">
      <w:pPr>
        <w:pStyle w:val="TextoNormal"/>
      </w:pPr>
      <w:r>
        <w:t>El Ministerio Fiscal interesa, por su parte, la desestimación del recurso de amparo por las razones que han quedado expuestas en los antecedentes.</w:t>
      </w:r>
    </w:p>
    <w:p w:rsidR="00AC56D6" w:rsidRDefault="00AC56D6" w:rsidP="00AC56D6">
      <w:pPr>
        <w:pStyle w:val="TextoNormal"/>
      </w:pPr>
    </w:p>
    <w:p w:rsidR="00AC56D6" w:rsidRDefault="00AC56D6" w:rsidP="00AC56D6">
      <w:pPr>
        <w:pStyle w:val="TextoNormal"/>
      </w:pPr>
      <w:r w:rsidRPr="00AC56D6">
        <w:rPr>
          <w:rStyle w:val="NumeroAFNegritaCaracter"/>
        </w:rPr>
        <w:t>2</w:t>
      </w:r>
      <w:r>
        <w:t>. El recurso plantea, como cuestión de fondo, la posible falta de cobertura legal de la prórroga de la prisión provisional cuando ha recaído una Sentencia definitiva que aprecia una eximente completa pero que impone una medida de seguridad de internamiento y dicha Sentencia no ha alcanzado aún su firmeza por haber sido recurrida. En el caso planteado se da, además, la circunstancia de que la Sentencia de referencia únicamente fue impugnada en casación por el recurrente de amparo, habiéndose aquietado, por tanto, la acusación a la declaración de exención de responsabilidad penal del acusado. El problema planteado entronca, así, con la doctrina que este Tribunal ha fijado sobre las garantías de habilitación legal y previsibilidad que deben caracterizar a las medidas cautelares personales susceptibles de ser impuestas en el proceso penal, particularmente en aquellos supuestos, como el presente, en que ha recaído ya un inicial pronunciamiento, en este caso absolutorio, motivado por una causa de exclusión de la culpabilidad penal que ha determinado la apreciación de una circunstancia eximente de responsabilidad criminal.</w:t>
      </w:r>
    </w:p>
    <w:p w:rsidR="00AC56D6" w:rsidRDefault="00AC56D6" w:rsidP="00AC56D6">
      <w:pPr>
        <w:pStyle w:val="TextoNormal"/>
      </w:pPr>
    </w:p>
    <w:p w:rsidR="00AC56D6" w:rsidRDefault="00AC56D6" w:rsidP="00AC56D6">
      <w:pPr>
        <w:pStyle w:val="TextoNormal"/>
      </w:pPr>
      <w:r>
        <w:t>De modo general, hemos señalado que “la previsión legal de una medida limitativa de derechos fundamentales es condición de su legitimidad constitucional”, afirmación que hemos proyectado específicamente sobre el derecho a la intimidad (SSTC 37/1989, de 15 de febrero, FJ 7, y 207/1996, de 16 de diciembre, FJ 4), el derecho a la integridad física [SSTC 120/1990, de 27 de junio, FJ 8; 7/1994, de 17 de enero, FJ 3 B), y 35/1996, de 11 de marzo, FJ 2], el derecho a la libertad de expresión (STC 52/1995, de 23 de febrero, FJ 4), el derecho al secreto de las comunicaciones (SSTC 49/1999, de 5 de abril, FJ 4, y 145/2014, de 22 de septiembre, FJ 7), el derecho a la libertad de elección de residencia y circulación (STC 85/1989, de 10 de mayo, FJ 3) y, muy especialmente, sobre el derecho a la libertad personal (SSTC 32/1987, de 12 de marzo, FJ 3; 86/1996, de 21 de mayo, FJ 2, y 169/2001, de 16 de julio, FJ 6).</w:t>
      </w:r>
    </w:p>
    <w:p w:rsidR="00AC56D6" w:rsidRDefault="00AC56D6" w:rsidP="00AC56D6">
      <w:pPr>
        <w:pStyle w:val="TextoNormal"/>
      </w:pPr>
    </w:p>
    <w:p w:rsidR="00AC56D6" w:rsidRDefault="00AC56D6" w:rsidP="00AC56D6">
      <w:pPr>
        <w:pStyle w:val="TextoNormal"/>
      </w:pPr>
      <w:r>
        <w:t>En el ámbito de este último derecho fundamental, que es el que ahora nos ocupa y, más concretamente, en el específico marco de la medida cautelar de prisión provisional, hemos afirmado que la exigencia general de habilitación legal supone “que la decisión judicial de decretar, mantener o prorrogar la prisión provisional” ha de estar “prevista en uno de los supuestos legales” (uno de los “casos” a que se refiere el art. 17.1 CE) y que ha de adoptarse mediante el procedimiento legalmente regulado (en la “forma” mencionada en el mismo precepto constitucional). De ahí que hayamos dicho reiteradamente que el derecho a la libertad puede verse conculcado, tanto cuando se actúa bajo la cobertura improcedente de la ley, como contra lo que la ley dispone (SSTC 127/1984, de 26 de diciembre, FJ 2; 128/1995, de 26 de julio, FJ 3; 305/2000, de 11 de diciembre, FJ 3, y STC 210/2013, de 16 de diciembre, FJ 2).</w:t>
      </w:r>
    </w:p>
    <w:p w:rsidR="00AC56D6" w:rsidRDefault="00AC56D6" w:rsidP="00AC56D6">
      <w:pPr>
        <w:pStyle w:val="TextoNormal"/>
      </w:pPr>
    </w:p>
    <w:p w:rsidR="00AC56D6" w:rsidRDefault="00AC56D6" w:rsidP="00AC56D6">
      <w:pPr>
        <w:pStyle w:val="TextoNormal"/>
      </w:pPr>
      <w:r>
        <w:t>En suma, la exigencia de habilitación legal supone que la medida cautelar ha de estar prevista en el ordenamiento y se ha de aplicar únicamente a los supuestos expresamente contemplados por la ley.</w:t>
      </w:r>
    </w:p>
    <w:p w:rsidR="00AC56D6" w:rsidRDefault="00AC56D6" w:rsidP="00AC56D6">
      <w:pPr>
        <w:pStyle w:val="TextoNormal"/>
      </w:pPr>
    </w:p>
    <w:p w:rsidR="00AC56D6" w:rsidRDefault="00AC56D6" w:rsidP="00AC56D6">
      <w:pPr>
        <w:pStyle w:val="TextoNormal"/>
      </w:pPr>
      <w:r>
        <w:t>También hemos afirmado en repetidas ocasiones que la mera existencia de la norma legal no cumple plenamente con los mandatos constitucionales que hacen legítima la injerencia en el derecho fundamental. Siguiendo la doctrina del Tribunal Europeo de Derecho Humanos, hemos declarado que el legislador “ha de hacer el ‘máximo esfuerzo posible’ para salvaguardar la expectativa razonablemente fundada del ciudadano en cuál ha de ser la actuación del poder en aplicación del Derecho” (STC 49/1999, de 5 de abril, FJ 4). Profundizando en esa idea, hemos sostenido, en cuanto a las características exigidas por la seguridad jurídica respecto de la calidad de la ley habilitadora de las injerencias, que “la ley debe definir las modalidades y extensión del ejercicio del poder otorgado con la suficiente claridad para aportar al individuo una protección adecuada contra la arbitrariedad” (SSTC 169/2001, 16 de julio, FJ 6, y 145/2014, de 22 de septiembre, FJ 7).</w:t>
      </w:r>
    </w:p>
    <w:p w:rsidR="00AC56D6" w:rsidRDefault="00AC56D6" w:rsidP="00AC56D6">
      <w:pPr>
        <w:pStyle w:val="TextoNormal"/>
      </w:pPr>
    </w:p>
    <w:p w:rsidR="00AC56D6" w:rsidRDefault="00AC56D6" w:rsidP="00AC56D6">
      <w:pPr>
        <w:pStyle w:val="TextoNormal"/>
      </w:pPr>
      <w:r>
        <w:t xml:space="preserve">Trasladando nuevamente esa doctrina general al ámbito específico de la prisión provisional, hemos afirmado que la ley habilitadora de la injerencia ha de hacer suficientemente previsible la extensión y el contenido de la privación de libertad, lo que “encuentra su último fundamento en la seguridad jurídica de los ciudadanos, que con la previsión legal tienen la posibilidad de conocer hasta qué momento puede durar la restricción de su derecho fundamental a la libertad en virtud de la medida cautelar. Las ideas de advertencia y previsibilidad del tope temporal máximo de la prisión provisional cobran así un significado central en el </w:t>
      </w:r>
      <w:r>
        <w:lastRenderedPageBreak/>
        <w:t>cumplimiento del mandato del segundo inciso del art. 17.4 CE” (SSTC 98/1998, de 4 de mayo, FJ 2; 147/2000, de 29 de mayo, FJ 4; 98/2002, de 29 de abril, FJ 4; 95/2007, de 7 de mayo, FJ 5, y 210/2013, de 16 de diciembre, FJ 2 b).</w:t>
      </w:r>
    </w:p>
    <w:p w:rsidR="00AC56D6" w:rsidRDefault="00AC56D6" w:rsidP="00AC56D6">
      <w:pPr>
        <w:pStyle w:val="TextoNormal"/>
      </w:pPr>
    </w:p>
    <w:p w:rsidR="00AC56D6" w:rsidRDefault="00AC56D6" w:rsidP="00AC56D6">
      <w:pPr>
        <w:pStyle w:val="TextoNormal"/>
      </w:pPr>
      <w:r>
        <w:t xml:space="preserve">De acuerdo con la doctrina transcrita, puede concluirse que la existencia de una cobertura legal expresa y clara de la injerencia del poder público en la libertad individual es un requisito previo e insoslayable, de modo que si existe sólo esa previsión legal y si la misma explicita suficientemente la extensión y el contenido de la privación de libertad impuesta puede, después, valorarse si su concreta aplicación resulta proporcionada, ponderando el sacrificio generado en la esfera del recurrente con los fines públicos que se pretenden alcanzar en la regulación aplicada, todo ello de acuerdo con el principio </w:t>
      </w:r>
      <w:r w:rsidRPr="00AC56D6">
        <w:rPr>
          <w:i/>
        </w:rPr>
        <w:t>favor libertatis</w:t>
      </w:r>
      <w:r>
        <w:t xml:space="preserve"> o </w:t>
      </w:r>
      <w:r w:rsidRPr="00AC56D6">
        <w:rPr>
          <w:i/>
        </w:rPr>
        <w:t>in dubio pro libertate</w:t>
      </w:r>
      <w:r>
        <w:t>, que lleva a la “elección y aplicación, en caso de duda, de la norma menos restrictiva de la libertad” (por todas, STC 210/2013, de 16 de diciembre, FJ 2).</w:t>
      </w:r>
    </w:p>
    <w:p w:rsidR="00AC56D6" w:rsidRDefault="00AC56D6" w:rsidP="00AC56D6">
      <w:pPr>
        <w:pStyle w:val="TextoNormal"/>
      </w:pPr>
    </w:p>
    <w:p w:rsidR="00AC56D6" w:rsidRDefault="00AC56D6" w:rsidP="00AC56D6">
      <w:pPr>
        <w:pStyle w:val="TextoNormal"/>
      </w:pPr>
      <w:r>
        <w:t>A la vista de lo expuesto, debemos, por tanto, determinar si, con la vigente regulación legal de la prisión provisional, es posible la aplicación de este instituto a personas inicialmente declaradas como inimputables en virtud de una sentencia, para los que el proceso penal ha proseguido a los solos efectos de dilucidar la pertinencia de una medida de seguridad privativa de libertad; se trata, en definitiva, de determinar si nos hallamos ante un supuesto con cobertura legal suficiente, para comprobar después y sólo en caso de respuesta afirmativa, si dicha norma legal cumple con la exigencia de previsibilidad derivada de nuestra doctrina.</w:t>
      </w:r>
    </w:p>
    <w:p w:rsidR="00AC56D6" w:rsidRDefault="00AC56D6" w:rsidP="00AC56D6">
      <w:pPr>
        <w:pStyle w:val="TextoNormal"/>
      </w:pPr>
    </w:p>
    <w:p w:rsidR="00AC56D6" w:rsidRDefault="00AC56D6" w:rsidP="00AC56D6">
      <w:pPr>
        <w:pStyle w:val="TextoNormal"/>
      </w:pPr>
      <w:r w:rsidRPr="00AC56D6">
        <w:rPr>
          <w:rStyle w:val="NumeroAFNegritaCaracter"/>
        </w:rPr>
        <w:t>3</w:t>
      </w:r>
      <w:r>
        <w:t>. De acuerdo con lo expuesto, nuestra primera tarea consiste, pues, en realizar un juicio de contraste entre la norma legal utilizada por el órgano judicial para prorrogar la prisión provisional y el supuesto de hecho subsumido en ella.</w:t>
      </w:r>
    </w:p>
    <w:p w:rsidR="00AC56D6" w:rsidRDefault="00AC56D6" w:rsidP="00AC56D6">
      <w:pPr>
        <w:pStyle w:val="TextoNormal"/>
      </w:pPr>
    </w:p>
    <w:p w:rsidR="00AC56D6" w:rsidRDefault="00AC56D6" w:rsidP="00AC56D6">
      <w:pPr>
        <w:pStyle w:val="TextoNormal"/>
      </w:pPr>
      <w:r>
        <w:t xml:space="preserve">Para realizar la tarea indicada, hemos de identificar, en primer lugar, la norma aplicada por el órgano judicial, que, en el caso planteado, ha sido el art. 504.2 </w:t>
      </w:r>
      <w:r w:rsidRPr="00AC56D6">
        <w:rPr>
          <w:i/>
        </w:rPr>
        <w:t>in fine</w:t>
      </w:r>
      <w:r>
        <w:t xml:space="preserve"> LECrim, precepto que exige que el imputado “fuere condenado” y que fija como límite máximo de la privación de libertad cautelar el de “la mitad de la pena efectivamente impuesta en la sentencia”. La mera lectura de este precepto pone de relieve su incompatibilidad semántica con el supuesto de hecho que nos ocupa, en el que el recurrente de amparo no fue condenado al cumplimiento de pena de prisión alguna, sino al de una medida de internamiento en un centro adecuado al tipo de trastorno psiquiátrico que el acusado padecía.</w:t>
      </w:r>
    </w:p>
    <w:p w:rsidR="00AC56D6" w:rsidRDefault="00AC56D6" w:rsidP="00AC56D6">
      <w:pPr>
        <w:pStyle w:val="TextoNormal"/>
      </w:pPr>
    </w:p>
    <w:p w:rsidR="00AC56D6" w:rsidRDefault="00AC56D6" w:rsidP="00AC56D6">
      <w:pPr>
        <w:pStyle w:val="TextoNormal"/>
      </w:pPr>
      <w:r>
        <w:t xml:space="preserve">En efecto, el art. 504.2 </w:t>
      </w:r>
      <w:r w:rsidRPr="00AC56D6">
        <w:rPr>
          <w:i/>
        </w:rPr>
        <w:t>in fine</w:t>
      </w:r>
      <w:r>
        <w:t xml:space="preserve"> LECrim permite que la prisión provisional se prorrogue hasta el límite máximo de la mitad “de la pena efectivamente impuesta en la sentencia”, referencia legal que, con toda claridad, limita su aplicación de modo exclusivo al supuesto de hecho en que concurran dos requisitos, la condena del acusado y que la pena a imponer sea la de prisión, sin que se extienda al supuesto de adopción de una medida de seguridad, aunque ésta sea la de internamiento.</w:t>
      </w:r>
    </w:p>
    <w:p w:rsidR="00AC56D6" w:rsidRDefault="00AC56D6" w:rsidP="00AC56D6">
      <w:pPr>
        <w:pStyle w:val="TextoNormal"/>
      </w:pPr>
    </w:p>
    <w:p w:rsidR="00AC56D6" w:rsidRDefault="00AC56D6" w:rsidP="00AC56D6">
      <w:pPr>
        <w:pStyle w:val="TextoNormal"/>
      </w:pPr>
      <w:r>
        <w:t xml:space="preserve">Es, así, evidente que la “sentencia condenatoria” aludida en el art. 504.2 </w:t>
      </w:r>
      <w:r w:rsidRPr="00AC56D6">
        <w:rPr>
          <w:i/>
        </w:rPr>
        <w:t>in fine</w:t>
      </w:r>
      <w:r>
        <w:t xml:space="preserve"> LECrim ha de ser una resolución judicial que, considerando al acusado “responsable criminal” del delito —y confirmando de ese modo el juicio pronóstico contemplado en el art. 503.1.2 LECrim— le imponga una pena privativa de libertad.</w:t>
      </w:r>
    </w:p>
    <w:p w:rsidR="00AC56D6" w:rsidRDefault="00AC56D6" w:rsidP="00AC56D6">
      <w:pPr>
        <w:pStyle w:val="TextoNormal"/>
      </w:pPr>
    </w:p>
    <w:p w:rsidR="00AC56D6" w:rsidRDefault="00AC56D6" w:rsidP="00AC56D6">
      <w:pPr>
        <w:pStyle w:val="TextoNormal"/>
      </w:pPr>
      <w:r>
        <w:lastRenderedPageBreak/>
        <w:t xml:space="preserve">Así resulta, además, de una lectura sistemática de la ley procesal penal, que llega a establecer en párrafos separados del artículo 846 </w:t>
      </w:r>
      <w:r w:rsidRPr="00AC56D6">
        <w:rPr>
          <w:i/>
        </w:rPr>
        <w:t>bis</w:t>
      </w:r>
      <w:r>
        <w:t xml:space="preserve"> b) la legitimación para recurrir que corresponde al “condenado”, distinguiéndola de la que alcanza a quien ha sido absuelto, aclarando la aludida norma que este último también puede presentar recurso “si se le impusiere una medida de seguridad o se declarase su responsabilidad civil conforme a lo dispuesto en el Código Penal”.</w:t>
      </w:r>
    </w:p>
    <w:p w:rsidR="00AC56D6" w:rsidRDefault="00AC56D6" w:rsidP="00AC56D6">
      <w:pPr>
        <w:pStyle w:val="TextoNormal"/>
      </w:pPr>
    </w:p>
    <w:p w:rsidR="00AC56D6" w:rsidRDefault="00AC56D6" w:rsidP="00AC56D6">
      <w:pPr>
        <w:pStyle w:val="TextoNormal"/>
      </w:pPr>
      <w:r>
        <w:t xml:space="preserve">Debemos señalar que a esta interpretación, que es la que naturalmente se desprende de la lectura de las normas legales aludidas, no se opone el tenor del art. 144 LECrim, invocado por el Ministerio Fiscal en sus alegaciones. Dicho precepto no señala que la Sentencia absolutoria lo haya de ser en todos sus pronunciamientos, sino que, de modo literal, lo que dispone es que la absolución será “libre en todos los casos”, expresión que el legislador de 1882 utilizó para desterrar definitivamente del proceso penal español el expediente inquisitivo de “absolución en la instancia”, instituto que permitía sentencias absolutorias sin efecto de cosa juzgada, convirtiendo indebidamente al ciudadano, según las expresivas palabras de la exposición de motivos del texto decimonónico, en “una especie de liberto de por vida, verdadero siervo de la curia marcado con el estigma del deshonor”. Así pues, el precepto no puede obviar el dato incuestionable de que el art. 504.2 </w:t>
      </w:r>
      <w:r w:rsidRPr="00AC56D6">
        <w:rPr>
          <w:i/>
        </w:rPr>
        <w:t>in fine</w:t>
      </w:r>
      <w:r>
        <w:t xml:space="preserve"> LECrim exige en todo caso la imposición de una pena de prisión.</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De acuerdo con lo hasta ahora expuesto, sólo una interpretación analógica —y, por ello, incompatible con las exigencias de nuestra doctrina sobre la habilitación legal de la injerencia en la libertad— podría llevar a pensar que el precepto legal aplicado por la Audiencia Provincial cubre el supuesto de hecho que ahora se nos plantea. La norma utilizada para prorrogar la prisión provisional del actor no contiene ninguna referencia formal a dicho supuesto. Es más, su dicción literal es manifiestamente incompatible con éste, ya que, de acuerdo con el art. 504.2 </w:t>
      </w:r>
      <w:r w:rsidRPr="00AC56D6">
        <w:rPr>
          <w:i/>
        </w:rPr>
        <w:t>in fine</w:t>
      </w:r>
      <w:r>
        <w:t xml:space="preserve"> sólo puede prorrogarse la prisión preventiva cuando la Sentencia dictada y recurrida haya impuesto una pena de prisión. Como afirmamos en la STC 145/2014, de 22 de septiembre, FJ 7, “no estamos por lo tanto ante un defecto por insuficiencia de la ley, ante un juicio sobre la calidad de la ley, sino que se debate el efecto asociado a una ausencia total y completa de ley”.</w:t>
      </w:r>
    </w:p>
    <w:p w:rsidR="00AC56D6" w:rsidRDefault="00AC56D6" w:rsidP="00AC56D6">
      <w:pPr>
        <w:pStyle w:val="TextoNormal"/>
      </w:pPr>
    </w:p>
    <w:p w:rsidR="00AC56D6" w:rsidRDefault="00AC56D6" w:rsidP="00AC56D6">
      <w:pPr>
        <w:pStyle w:val="TextoNormal"/>
      </w:pPr>
      <w:r>
        <w:t>Así lo reconoce el Ministerio Fiscal en sus alegaciones, en las que, en defecto de todo soporte normativo directo, opta por deducir la viabilidad de la prisión provisional en el caso planteado de un conjunto de normas, que a todo lo más que llegan es a reflejar una cierta tendencia legislativa a la armonización del régimen normativo de la medida de seguridad de internamiento con el que es aplicable a la pena de prisión en lo que se refiere al máximo de duración de las medidas de seguridad y a la necesaria celebración de juicio oral para llegar a un determinado pronunciamiento final en sentencia; en estricta interpretación de la legalidad ordinaria, la celebración del juicio oral y el dictado de una sentencia, aun cuando sea absolutoria por reconocimiento de una circunstancia de exención de la responsabilidad criminal, viene, en este caso, justificada por la imposición de una medida de seguridad de internamiento limitada a un determinado período de tiempo máximo y por el pronunciamiento de responsabilidad civil, pero los preceptos invocados nada dicen sobre la posibilidad de utilizar la medida cautelar de prisión provisional prorrogada para los casos de absolución por eximente completa apreciada en sentencia pendiente de recurso.</w:t>
      </w:r>
    </w:p>
    <w:p w:rsidR="00AC56D6" w:rsidRDefault="00AC56D6" w:rsidP="00AC56D6">
      <w:pPr>
        <w:pStyle w:val="TextoNormal"/>
      </w:pPr>
    </w:p>
    <w:p w:rsidR="00AC56D6" w:rsidRDefault="00AC56D6" w:rsidP="00AC56D6">
      <w:pPr>
        <w:pStyle w:val="TextoNormal"/>
      </w:pPr>
      <w:r>
        <w:lastRenderedPageBreak/>
        <w:t>De otro lado, resulta irrelevante, a efectos de dilucidar la cobertura legal de la prisión provisional prorrogada aplicada por la Audiencia Provincial al recurrente, la afirmación de que las medidas de seguridad impuestas en sentencia firme se inscriban en el Registro previsto en el art. 137 del Código penal, pues se trata de un precepto que atiende a finalidad muy distinta (cancelación de la anotación de una medida de seguridad en el Registro Central de Penados y Rebeldes) de la que es ahora objeto de nuestro estudio.</w:t>
      </w:r>
    </w:p>
    <w:p w:rsidR="00AC56D6" w:rsidRDefault="00AC56D6" w:rsidP="00AC56D6">
      <w:pPr>
        <w:pStyle w:val="TextoNormal"/>
      </w:pPr>
    </w:p>
    <w:p w:rsidR="00AC56D6" w:rsidRDefault="00AC56D6" w:rsidP="00AC56D6">
      <w:pPr>
        <w:pStyle w:val="TextoNormal"/>
      </w:pPr>
      <w:r>
        <w:t>Tampoco guarda relación con el caso que nos ocupa la cita de la disposición transitoria primera de la reciente Ley Orgánica 1/2015, de 30 de marzo, cuyo contenido —en cuanto impone la comparación entre legislaciones sucesivas también en lo que se refiere a las medidas de seguridad aplicables— es ajeno a la problemática que ahora se suscita.</w:t>
      </w:r>
    </w:p>
    <w:p w:rsidR="00AC56D6" w:rsidRDefault="00AC56D6" w:rsidP="00AC56D6">
      <w:pPr>
        <w:pStyle w:val="TextoNormal"/>
      </w:pPr>
    </w:p>
    <w:p w:rsidR="00AC56D6" w:rsidRDefault="00AC56D6" w:rsidP="00AC56D6">
      <w:pPr>
        <w:pStyle w:val="TextoNormal"/>
      </w:pPr>
      <w:r>
        <w:t>De todas las normas citadas por el Ministerio Fiscal para sustentar la tesis de que tiene cobertura legal la aplicación de la medida cautelar de prisión provisional prorrogada a quién provisionalmente le haya sido impuesta una medida de seguridad de internamiento, sólo el art. 381 LECrim, merece un análisis más detallado porque guarda cierta relación con el régimen jurídico de la prisión provisional. El referido precepto dispone que “si el Juez advirtiese en el procesado indicios de enajenación mental, le someterá inmediatamente a la observación de los Médicos forenses en el establecimiento en que estuviese preso, o en otro público si fuere más a propósito o estuviese en libertad. Los Médicos darán en tal caso su informe del modo expresado en el capítulo VII de este título”.</w:t>
      </w:r>
    </w:p>
    <w:p w:rsidR="00AC56D6" w:rsidRDefault="00AC56D6" w:rsidP="00AC56D6">
      <w:pPr>
        <w:pStyle w:val="TextoNormal"/>
      </w:pPr>
    </w:p>
    <w:p w:rsidR="00AC56D6" w:rsidRDefault="00AC56D6" w:rsidP="00AC56D6">
      <w:pPr>
        <w:pStyle w:val="TextoNormal"/>
      </w:pPr>
      <w:r>
        <w:t>Sin embargo, tampoco de este precepto puede extraerse conclusión interpretativa alguna de que la norma reproducida proporcione cobertura legal al supuesto de autos; El Ministerio público afirma que el precepto permite “decretar la prisión provisional de los enajenados”, pero, en realidad, sólo dispone que, si existen indicios de enfermedad mental, habrá de recabarse en todo caso un informe médico forense, sometiendo al procesado a observación a efectos de emitir este dictamen. Se trata, en primer lugar, de una norma que se ubica sistemáticamente en la fase de instrucción del sumario, en la que se advierte al Juez instructor que, de apreciar “indicios de enajenación mental” en el procesado (no juzgado aún) deba someterlo a la observación de los médicos forenses, con objeto de precisar una inicial valoración de su estado psíquico; el precepto se halla sistemáticamente encuadrado en el ámbito de las primeras diligencias de investigación sobre la “identidad del delincuente y sus circunstancias personales”, dentro de la fase de instrucción del sumario, habiéndolo introducido el legislador en este capítulo de la norma procesal, de estricta naturaleza investigadora, con el objetivo de que el Juez instructor pueda hacer una primera valoración de la capacidad psíquica del procesado sometido al proceso, con vistas a la ulterior culminación de la fase de investigación y preparación para el juicio oral y la resolución definitiva. En el supuesto de autos, en cambio, el inicialmente acusado ha sido ya enjuiciado y objeto de un pronunciamiento judicial en el que se le ha apreciado, no ya indicios, sino la certeza de tener alterada su capacidad psíquica y por ello ha sido declarado exento de responsabilidad criminal. Además, en segundo término, el precepto cumple una doble finalidad, de una parte asistencial, pues ordena al Juez que curse el mandato oportuno para que el procesado sea sometido “a la observación de los médicos forenses” y, de otro lado, de clara vocación investigadora dentro del sumario, con vistas a perfilar la concurrencia o no de una posible circunstancia modificativa de la responsabilidad criminal en aquél. Este precepto, por tanto, en nada ha</w:t>
      </w:r>
      <w:r>
        <w:lastRenderedPageBreak/>
        <w:t>bilita legalmente para fundamentar la adopción de una medida cautelar de privación de libertad prorrogada, pues el alcance y fines que persigue son distintos de los que ahora analizamos.</w:t>
      </w:r>
    </w:p>
    <w:p w:rsidR="00AC56D6" w:rsidRDefault="00AC56D6" w:rsidP="00AC56D6">
      <w:pPr>
        <w:pStyle w:val="TextoNormal"/>
      </w:pPr>
    </w:p>
    <w:p w:rsidR="00AC56D6" w:rsidRDefault="00AC56D6" w:rsidP="00AC56D6">
      <w:pPr>
        <w:pStyle w:val="TextoNormal"/>
      </w:pPr>
      <w:r>
        <w:t xml:space="preserve">En definitiva, una vez llegados a este punto, hemos de constatar, de una parte, que el art. 504.2 </w:t>
      </w:r>
      <w:r w:rsidRPr="00AC56D6">
        <w:rPr>
          <w:i/>
        </w:rPr>
        <w:t>in fine</w:t>
      </w:r>
      <w:r>
        <w:t xml:space="preserve"> LECrim, que fue el precepto aplicado por la Audiencia Provincial, no contempla la prórroga de la prisión provisional para el supuesto de hecho planteado; y, de otro lado, resulta patente, también, que los diversos preceptos que hemos analizado carecen de la entidad necesaria para sustituir la omisión que se aprecia en aquél precepto, a los efectos de dar cobertura legal directa a la medida cautelar privativa de libertad acordada, por lo que necesariamente hemos de concluir que la medida cautelar de prisión provisional prorrogada que establece el art. 504.2 último párrafo LECrim no proporciona cobertura legal al internamiento cautelar que la Audiencia Provincial había decidido aplicar al ahora demandante de amparo hasta tanto fuera resuelto el recurso de casación formalizado por éste y hasta que la medida seguridad privativa de libertad impuesta en la sentencia hubiere alcanzado, en su caso, la firmeza. Lo que no obsta a la aplicación, en su caso, de otras previsiones contempladas en el ordenamiento procesal que habiliten al órgano judicial para adoptar una medida de internamiento cautelar y no voluntario de una persona por razón de su trastorno psíquico, como la previsión recogida en el art. 763.1 de la Ley de enjuiciamiento civil, u otras que el legislador, en su caso, establezca en cumplimiento de nuestra STC 132/2010, de 2 de diciembre, que declaró aquel precepto inconstitucional aunque no nulo por carencia de rango orgánico, que, sin embargo, le ha sido conferido recientemente por el art. 2, apartado 3, de la Ley Orgánica 8/2015, de 22 de julio, que modificó la disposición adicional primera de la Ley 1/2000, de 7 de enero, de enjuiciamiento civil.</w:t>
      </w:r>
    </w:p>
    <w:p w:rsidR="00AC56D6" w:rsidRDefault="00AC56D6" w:rsidP="00AC56D6">
      <w:pPr>
        <w:pStyle w:val="TextoNormal"/>
      </w:pPr>
    </w:p>
    <w:p w:rsidR="00AC56D6" w:rsidRDefault="00AC56D6" w:rsidP="00AC56D6">
      <w:pPr>
        <w:pStyle w:val="TextoNormal"/>
      </w:pPr>
      <w:r>
        <w:t>Por todo lo expuesto, debe concluirse que la norma aplicada no da cobertura legal al supuesto de hecho que se nos plantea, lo que nos exime de entrar a examinar la previsibilidad del contenido y duración de la injerencia.</w:t>
      </w:r>
    </w:p>
    <w:p w:rsidR="00AC56D6" w:rsidRDefault="00AC56D6" w:rsidP="00AC56D6">
      <w:pPr>
        <w:pStyle w:val="TextoNormal"/>
      </w:pPr>
    </w:p>
    <w:p w:rsidR="00AC56D6" w:rsidRDefault="00AC56D6" w:rsidP="00AC56D6">
      <w:pPr>
        <w:pStyle w:val="TextoNormal"/>
      </w:pPr>
      <w:r w:rsidRPr="00AC56D6">
        <w:rPr>
          <w:rStyle w:val="NumeroAFNegritaCaracter"/>
        </w:rPr>
        <w:t>5</w:t>
      </w:r>
      <w:r>
        <w:t>. Los criterios expuestos conducen, en conclusión, a declarar vulnerado el derecho fundamental a la libertad personal (art. 17.1 CE) del recurrente por haberle sido impuesta la medida cautelar de prisión provisional prorrogada sin haber sido prevista específicamente para este supuesto de hecho por el Legislador. A tal efecto, con el fin de restablecer al demandante en la integridad de su derecho, habrán de ser anulados los Autos de la Audiencia Provincial de Cádiz (Sección Primera) de 16 y 30 de julio de 2014, sin que ello conlleve, sin embargo, modificación alguna de su situación personal, en cuanto al cumplimiento de la medida de seguridad impuesta en sentencia.</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Otorgar el amparo solicitado por don Joaquín Rodríguez Rivera y, en consecuencia:</w:t>
      </w:r>
    </w:p>
    <w:p w:rsidR="00AC56D6" w:rsidRDefault="00AC56D6" w:rsidP="00AC56D6">
      <w:pPr>
        <w:pStyle w:val="TextoNormal"/>
      </w:pPr>
    </w:p>
    <w:p w:rsidR="00AC56D6" w:rsidRDefault="00AC56D6" w:rsidP="00AC56D6">
      <w:pPr>
        <w:pStyle w:val="TextoNormal"/>
      </w:pPr>
      <w:r>
        <w:lastRenderedPageBreak/>
        <w:t>1º Declarar que se ha vulnerado el derecho fundamental a la libertad personal (art. 17.1 CE) del recurrente.</w:t>
      </w:r>
    </w:p>
    <w:p w:rsidR="00AC56D6" w:rsidRDefault="00AC56D6" w:rsidP="00AC56D6">
      <w:pPr>
        <w:pStyle w:val="TextoNormal"/>
      </w:pPr>
    </w:p>
    <w:p w:rsidR="00AC56D6" w:rsidRDefault="00AC56D6" w:rsidP="00AC56D6">
      <w:pPr>
        <w:pStyle w:val="TextoNormal"/>
      </w:pPr>
      <w:r>
        <w:t>2º Restablecerlo en la integridad de su derecho y, a tal fin, anular los Autos de 16 y 30 de julio de 2014 de la Audiencia Provincial de Cádiz (Sección Primera), dictados en el sumario núm. 3-2014.</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veintidós de octubre de dos mil catorce. a veintidós de octubre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74" w:name="SENTENCIA_2015_218"/>
      <w:r>
        <w:lastRenderedPageBreak/>
        <w:t>SENTENCIA 218/2015, de 22 de octubre de 2015</w:t>
      </w:r>
    </w:p>
    <w:bookmarkEnd w:id="74"/>
    <w:p w:rsidR="00AC56D6" w:rsidRDefault="00AC56D6" w:rsidP="00AC56D6">
      <w:pPr>
        <w:pStyle w:val="TtuloResolucin"/>
      </w:pPr>
      <w:r>
        <w:t>Pleno</w:t>
      </w:r>
    </w:p>
    <w:p w:rsidR="00AC56D6" w:rsidRDefault="00AC56D6" w:rsidP="00AC56D6">
      <w:pPr>
        <w:pStyle w:val="TtuloBOE"/>
      </w:pPr>
      <w:r>
        <w:t>(BOE núm. 284, de 27 de noviembre de 2015)</w:t>
      </w:r>
    </w:p>
    <w:p w:rsidR="00AC56D6" w:rsidRDefault="00AC56D6" w:rsidP="00AC56D6">
      <w:pPr>
        <w:pStyle w:val="TextoNormalCentrado"/>
      </w:pPr>
      <w:r>
        <w:t>ECLI:ES:TC:2015:218</w:t>
      </w:r>
    </w:p>
    <w:p w:rsidR="00AC56D6" w:rsidRDefault="00AC56D6" w:rsidP="00AC56D6">
      <w:pPr>
        <w:pStyle w:val="TextoNormalCentrado"/>
      </w:pPr>
    </w:p>
    <w:p w:rsidR="00AC56D6" w:rsidRDefault="00AC56D6" w:rsidP="00AC56D6">
      <w:pPr>
        <w:pStyle w:val="SntesisDescriptiva"/>
      </w:pPr>
      <w:r>
        <w:t>Cuestión de inconstitucionalidad 6059-2014. Planteada por la Sala de lo Contencioso-Administrativo del Tribunal Superior de Justicia de Castilla-La Mancha en relación con diversos preceptos del texto refundido de la Ley de suelo, aprobado por el Real Decreto Legislativo 2/2008, de 20 de junio.</w:t>
      </w:r>
    </w:p>
    <w:p w:rsidR="00AC56D6" w:rsidRDefault="00AC56D6" w:rsidP="00AC56D6">
      <w:pPr>
        <w:pStyle w:val="SntesisDescriptiva"/>
      </w:pPr>
    </w:p>
    <w:p w:rsidR="00AC56D6" w:rsidRDefault="00AC56D6" w:rsidP="00AC56D6">
      <w:pPr>
        <w:pStyle w:val="SntesisAnaltica"/>
      </w:pPr>
      <w:r>
        <w:t>Principio de igualdad y garantías expropiatorias: nulidad del precepto legal que regula la compensación por privación de la facultad de participar en la actuación de primera urbanización sin que los propietarios hayan incumplido sus deberes (STC 141/2014). Votos particulares.</w:t>
      </w:r>
    </w:p>
    <w:p w:rsidR="00AC56D6" w:rsidRDefault="00AC56D6" w:rsidP="00AC56D6">
      <w:pPr>
        <w:pStyle w:val="SntesisAnaltica"/>
      </w:pPr>
    </w:p>
    <w:p w:rsidR="00AC56D6" w:rsidRDefault="00AC56D6" w:rsidP="00AC56D6">
      <w:pPr>
        <w:pStyle w:val="Extracto"/>
      </w:pPr>
      <w:r>
        <w:t>1.</w:t>
      </w:r>
      <w:r>
        <w:tab/>
        <w:t>Reitera la doctrina sobre los criterios para clasificar los distintos tipos de suelo y para valorar el suelo rural de la STC 141/2014 [FFJJ 3 a 6].</w:t>
      </w:r>
    </w:p>
    <w:p w:rsidR="00AC56D6" w:rsidRDefault="00AC56D6" w:rsidP="00AC56D6">
      <w:pPr>
        <w:pStyle w:val="Extracto"/>
      </w:pPr>
    </w:p>
    <w:p w:rsidR="00AC56D6" w:rsidRDefault="00AC56D6" w:rsidP="00AC56D6">
      <w:pPr>
        <w:pStyle w:val="Extracto"/>
      </w:pPr>
      <w:r>
        <w:t>2.</w:t>
      </w:r>
      <w:r>
        <w:tab/>
        <w:t>No es inconstitucional que el legislador clasifique en la situación básica de suelo rural todos los suelos aún no transformados por la actuación urbanizadora y, en función de ello, les aplique un método de valoración consistente en la capitalización de rentas [FJ 3].</w:t>
      </w:r>
    </w:p>
    <w:p w:rsidR="00AC56D6" w:rsidRDefault="00AC56D6" w:rsidP="00AC56D6">
      <w:pPr>
        <w:pStyle w:val="Extracto"/>
      </w:pPr>
    </w:p>
    <w:p w:rsidR="00AC56D6" w:rsidRDefault="00AC56D6" w:rsidP="00AC56D6">
      <w:pPr>
        <w:pStyle w:val="Extracto"/>
      </w:pPr>
      <w:r>
        <w:t>3.</w:t>
      </w:r>
      <w:r>
        <w:tab/>
        <w:t xml:space="preserve">El valor económico del derecho expropiado viene determinado por el contenido que el legislador estatal haya delimitado, quien puede legítimamente optar por desvincular el </w:t>
      </w:r>
      <w:r w:rsidRPr="00AC56D6">
        <w:rPr>
          <w:i/>
        </w:rPr>
        <w:t>ius aedificandi</w:t>
      </w:r>
      <w:r>
        <w:t xml:space="preserve"> del derecho de propiedad y establecer que este no se incorpore a la propiedad del suelo hasta que no se hayan cumplido las cargas inherentes a la actuación urbanizadora [FJ 5].</w:t>
      </w:r>
    </w:p>
    <w:p w:rsidR="00AC56D6" w:rsidRDefault="00AC56D6" w:rsidP="00AC56D6">
      <w:pPr>
        <w:pStyle w:val="Extracto"/>
      </w:pPr>
    </w:p>
    <w:p w:rsidR="00AC56D6" w:rsidRDefault="00AC56D6" w:rsidP="00AC56D6">
      <w:pPr>
        <w:pStyle w:val="Extracto"/>
      </w:pPr>
      <w:r>
        <w:t>4.</w:t>
      </w:r>
      <w:r>
        <w:tab/>
        <w:t>Recurrir a un método de valoración objetivo y no justificado para determinar la compensación debida por la privación de la facultad de participar en la actuación de primera urbanización, cuando los propietarios no han iniciado aún la urbanización pero no han incumplido sus deberes, no garantiza el proporcional equilibrio que debe existir entre la compensación prevista en la ley y el contenido real de la facultad de la que se ve privado el propietario [FJ 5].</w:t>
      </w:r>
    </w:p>
    <w:p w:rsidR="00AC56D6" w:rsidRDefault="00AC56D6" w:rsidP="00AC56D6">
      <w:pPr>
        <w:pStyle w:val="Extracto"/>
      </w:pPr>
    </w:p>
    <w:p w:rsidR="00AC56D6" w:rsidRDefault="00AC56D6" w:rsidP="00AC56D6">
      <w:pPr>
        <w:pStyle w:val="Extracto"/>
      </w:pPr>
      <w:r>
        <w:t>5.</w:t>
      </w:r>
      <w:r>
        <w:tab/>
        <w:t>La valoración de la privación de la facultad de participar en la actuación de urbanización cuando aún no se ha iniciado se obtiene por la aplicación de un porcentaje a la diferencia de valor que tiene el suelo en su situación de origen y el que habría tenido de haberse finalizado la actuación [FJ 5].</w:t>
      </w:r>
    </w:p>
    <w:p w:rsidR="00AC56D6" w:rsidRDefault="00AC56D6" w:rsidP="00AC56D6">
      <w:pPr>
        <w:pStyle w:val="Extracto"/>
      </w:pPr>
    </w:p>
    <w:p w:rsidR="00AC56D6" w:rsidRDefault="00AC56D6" w:rsidP="00AC56D6">
      <w:pPr>
        <w:pStyle w:val="Extracto"/>
      </w:pPr>
      <w:r>
        <w:t>6.</w:t>
      </w:r>
      <w:r>
        <w:tab/>
        <w:t>El legislador, dentro de su discrecionalidad, puede establecer distintos métodos de valoración, aunque debe respetar los límites constitucionales derivados del art. 33.3 CE: que estos criterios, aunque objetivos, se encuentren justificados y que la compensación obtenida en su aplicación guarde proporción con el valor real del bien, aunque éste no sea necesariamente su valor de mercado [FJ 5].</w:t>
      </w:r>
    </w:p>
    <w:p w:rsidR="00AC56D6" w:rsidRDefault="00AC56D6" w:rsidP="00AC56D6">
      <w:pPr>
        <w:pStyle w:val="Extracto"/>
      </w:pPr>
    </w:p>
    <w:p w:rsidR="00AC56D6" w:rsidRDefault="00AC56D6" w:rsidP="00AC56D6">
      <w:pPr>
        <w:pStyle w:val="Extracto"/>
      </w:pPr>
      <w:r>
        <w:lastRenderedPageBreak/>
        <w:t>7.</w:t>
      </w:r>
      <w:r>
        <w:tab/>
        <w:t>Reitera la doctrina sobre la uniformidad normativa en los procedimientos expropiatorios de la STC 251/2006, que impide que los bienes sean evaluados con criterios diferentes en unas y otras partes del territorio nacional [FJ 5].</w:t>
      </w:r>
    </w:p>
    <w:p w:rsidR="00AC56D6" w:rsidRDefault="00AC56D6" w:rsidP="00AC56D6">
      <w:pPr>
        <w:pStyle w:val="Extracto"/>
      </w:pPr>
    </w:p>
    <w:p w:rsidR="00AC56D6" w:rsidRDefault="00AC56D6" w:rsidP="00AC56D6">
      <w:pPr>
        <w:pStyle w:val="Extracto"/>
      </w:pPr>
      <w:r>
        <w:t>8.</w:t>
      </w:r>
      <w:r>
        <w:tab/>
        <w:t>Aunque el legislador estatal no ha dejado en manos de las Comunidades Autónomas el establecimiento del criterio de valoración, ha establecido un criterio que depende única y exclusivamente de lo que cada Comunidad Autónoma establezca como porcentaje de participación en las plusvalías derivadas del planeamiento urbanístico, lo que hace depender la compensación del lugar donde estén ubicados los bienes dentro del territorio nacional [FJ 5].</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6059-2014, promovida por la Sección Segunda de la Sala de lo Contencioso-Administrativo del Tribunal Superior de Justicia de Castilla-La Mancha respecto del art. 23.1 a) y 2 en relación con los arts. 12 y 25 del Real Decreto Legislativo 2/2008, de 20 de junio, que aprueba el texto refundido de la Ley de suelo. Han comparecido el Abogado del Estado, en la representación que ostenta, y el Fiscal General del Estado. Ha sido Ponente el Magistrado don Santiago Martínez-Vares García,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9 de octubre de 2014, tuvo entrada en el Tribunal Constitucional el Auto de la Sección Segunda de la Sala de lo Contencioso-Administrativo del Tribunal Superior de Justicia de Castilla-La Mancha, de fecha 12 de septiembre del mismo año, dictado en el procedimiento ordinario 494-2010, por el que se acuerda el planteamiento de la cuestión de inconstitucionalidad de los apartados 1 a) y 2 del art. 23, ambos en relación a los arts. 12 y 25 del Real Decreto Legislativo 2/2008, de 20 de junio, que aprueba el texto refundido de la Ley de suelo.</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en lo que interesa a este proceso constitucional, son los siguientes:</w:t>
      </w:r>
    </w:p>
    <w:p w:rsidR="00AC56D6" w:rsidRDefault="00AC56D6" w:rsidP="00AC56D6">
      <w:pPr>
        <w:pStyle w:val="TextoNormal"/>
      </w:pPr>
    </w:p>
    <w:p w:rsidR="00AC56D6" w:rsidRDefault="00AC56D6" w:rsidP="00AC56D6">
      <w:pPr>
        <w:pStyle w:val="TextoNormal"/>
      </w:pPr>
      <w:r>
        <w:lastRenderedPageBreak/>
        <w:t>a) En el proceso contencioso-administrativo del que trae causa la presente cuestión, la mercantil Promociones Garquisa, S.L., impugnó la resolución del Jurado Territorial de expropiaciones, que fijaba el justiprecio de la finca 1 del polígono 3 del proyecto de expropiación “Proyecto de Singular Interés Parque industrial y tecnológico de Illescas,” de su propiedad. El Jurado aplicó el método de capitalización de rentas, incrementando la cantidad así obtenida en un 75 por 100, por estar próxima la finca al casco urbano y centros de actividad económica y, por tanto, “con mayores facilidades para su explotación y acceso”. La recurrente solicitaba que la valoración tuviera en cuenta el aprovechamiento urbanístico que su finca tenía atribuido por el planeamiento y del que se había visto privada al haber sido ejecutado el proyecto de singular interés por el sistema de expropiación. Por el contrario, la Administración demandada entendía que aunque la finca estaba clasificada por el proyecto de singular interés como suelo urbanizable delimitado, como éste determinaba como sistema de ejecución el de expropiación, sus propietarios no habían adquirido la facultad de participar en la actuación de transformación urbanística.</w:t>
      </w:r>
    </w:p>
    <w:p w:rsidR="00AC56D6" w:rsidRDefault="00AC56D6" w:rsidP="00AC56D6">
      <w:pPr>
        <w:pStyle w:val="TextoNormal"/>
      </w:pPr>
    </w:p>
    <w:p w:rsidR="00AC56D6" w:rsidRDefault="00AC56D6" w:rsidP="00AC56D6">
      <w:pPr>
        <w:pStyle w:val="TextoNormal"/>
      </w:pPr>
      <w:r>
        <w:t>b) Conclusas las actuaciones y señalada fecha para votación y fallo, la Sala dictó providencia, de 27 de junio de 2014, en la que se acordaba dar traslado a las partes, de acuerdo con lo establecido en el art. 35.2 de la Ley Orgánica del Tribunal Constitucional (LOTC), para que en el plazo común de diez días pudieran alegar sobre la pertinencia de plantear cuestión de inconstitucionalidad sobre los apartados 1 a) y 2 del art. 23, en relación a los arts. 12 y 25 del texto refundido de la Ley de suelo por vulneración de los arts. 33.3 y 14 CE.</w:t>
      </w:r>
    </w:p>
    <w:p w:rsidR="00AC56D6" w:rsidRDefault="00AC56D6" w:rsidP="00AC56D6">
      <w:pPr>
        <w:pStyle w:val="TextoNormal"/>
      </w:pPr>
    </w:p>
    <w:p w:rsidR="00AC56D6" w:rsidRDefault="00AC56D6" w:rsidP="00AC56D6">
      <w:pPr>
        <w:pStyle w:val="TextoNormal"/>
      </w:pPr>
      <w:r>
        <w:t>c) El Ministerio Fiscal presentó sus alegaciones el 4 de julio de 2014. Tras concluir sobre la corrección de la providencia en cuanto a los requisitos formales exigidos por la Ley Orgánica del Tribunal Constitucional, y resumir la doctrina constitucional en materia de privación de la propiedad y la indemnización contemplada en el art. 33.3 CE, afirma que si bien los criterios de valoración impugnados no son, en abstracto considerados, manifiestamente irrazonables, ello no implica que garanticen efectivamente el derecho a percibir la contraprestación económica que corresponde al valor real del bien, pues no es difícil imaginar supuestos en los que la aplicación de los criterios legales pueden conducir a resultados que violenten el adecuado equilibrio entre la indemnización y el valor real del bien. De ahí la conveniencia de plantear cuestión de inconstitucionalidad sobre los preceptos citados en la providencia en relación con el art. 33.3 CE. No llega a la misma conclusión, sin embargo, en el caso del art. 14 CE, pues es claro, en su opinión, que la situación del expropiado no es la de quien puede vender el suelo en el mercado.</w:t>
      </w:r>
    </w:p>
    <w:p w:rsidR="00AC56D6" w:rsidRDefault="00AC56D6" w:rsidP="00AC56D6">
      <w:pPr>
        <w:pStyle w:val="TextoNormal"/>
      </w:pPr>
    </w:p>
    <w:p w:rsidR="00AC56D6" w:rsidRDefault="00AC56D6" w:rsidP="00AC56D6">
      <w:pPr>
        <w:pStyle w:val="TextoNormal"/>
      </w:pPr>
      <w:r>
        <w:t xml:space="preserve">d) La mercantil recurrente hizo lo propio manifestando la pertinencia de plantear la cuestión. La finca expropiada, argumenta, está clasificada como suelo urbanizable. No sólo por el proyecto de singular interés que ya está ejecutado y transformado en suelo urbanizado (la finca ha sido vendida como suelo urbanizado), sino porque ya lo estaba con anterioridad, pues fue incorporada al proyecto de reparcelación aprobado por el ayuntamiento, antes incluso de que se aprobara el proyecto de singular interés. La clasificación urbanística del terreno, prosigue, afecta al valor real del mismo. De hecho, éste fue enajenado por la Administración expropiante a razón de 195 €/m2, una vez urbanizado, mientras que el Jurado valora el metro cuadrado de suelo bruto a 2,0381 €. La compensación opera, concluye la mercantil recurrente, como una garantía frente a la privación del derecho que queda sustituido por su valor económico. La indemnización prevista en el art. 25 del texto refundido </w:t>
      </w:r>
      <w:r>
        <w:lastRenderedPageBreak/>
        <w:t>de la Ley de suelo es insuficiente en relación con el art. 23 del mismo texto legal, en la medida en que establece un porcentaje inferior a la diferencia de valor entre el suelo urbanizado y el suelo urbanizable.</w:t>
      </w:r>
    </w:p>
    <w:p w:rsidR="00AC56D6" w:rsidRDefault="00AC56D6" w:rsidP="00AC56D6">
      <w:pPr>
        <w:pStyle w:val="TextoNormal"/>
      </w:pPr>
    </w:p>
    <w:p w:rsidR="00AC56D6" w:rsidRDefault="00AC56D6" w:rsidP="00AC56D6">
      <w:pPr>
        <w:pStyle w:val="TextoNormal"/>
      </w:pPr>
      <w:r w:rsidRPr="00AC56D6">
        <w:rPr>
          <w:rStyle w:val="NumeroAFNegritaCaracter"/>
        </w:rPr>
        <w:t>3</w:t>
      </w:r>
      <w:r>
        <w:t>. El Auto de la Sala de 12 de septiembre de 2014, de planteamiento de la cuestión, se basa en los razonamientos que a continuación se exponen. Considera, en primer lugar, que los preceptos del texto refundido son aplicables al caso, pues establecen normas imperativas de valoración de suelo. De ser inconstitucionales, recobraría su vigencia la Ley 6/1998 que establecía métodos de valoración que arrojaban resultados muy distintos y no planteaban duda de constitucionalidad. Así, la tasación del Jurado se realizó por aplicación del art. 23 del texto refundido de la Ley de suelo en relación con el art. 12 del mismo texto legal, mientras que los recurrentes solicitan se les aplique también el art. 25 del texto refundido de la Ley de suelo.</w:t>
      </w:r>
    </w:p>
    <w:p w:rsidR="00AC56D6" w:rsidRDefault="00AC56D6" w:rsidP="00AC56D6">
      <w:pPr>
        <w:pStyle w:val="TextoNormal"/>
      </w:pPr>
    </w:p>
    <w:p w:rsidR="00AC56D6" w:rsidRDefault="00AC56D6" w:rsidP="00AC56D6">
      <w:pPr>
        <w:pStyle w:val="TextoNormal"/>
      </w:pPr>
      <w:r>
        <w:t>Las leyes del suelo, continúa, han declarado inaplicable el método estimativo del art. 43 de la Ley de expropiación forzosa, hoy eliminado por la disposición adicional 5.5 del texto refundido de la Ley de suelo. El legislador puede establecer criterios de valoración, el problema es cuando éstos arrojan resultados claramente alejados del valor real del bien, pues impide tener en cuenta elementos que inciden en su precio de mercado. Con ello no se quiere afirmar que el único método posible sea el de comparación, pero sí será inconstitucional cualquier método que, de manera manifiesta, impida dar con un valor real próximo al de mercado. Sólo en circunstancias excepcionales, que no pueden convertirse en regla general, cabe aceptar una reparación no íntegra del valor real del bien (SSTEDH de 8 de junio de 1986, de 9 de diciembre de 1994, de 4 de agosto de 2009, y de 26 de abril de 2011).</w:t>
      </w:r>
    </w:p>
    <w:p w:rsidR="00AC56D6" w:rsidRDefault="00AC56D6" w:rsidP="00AC56D6">
      <w:pPr>
        <w:pStyle w:val="TextoNormal"/>
      </w:pPr>
    </w:p>
    <w:p w:rsidR="00AC56D6" w:rsidRDefault="00AC56D6" w:rsidP="00AC56D6">
      <w:pPr>
        <w:pStyle w:val="TextoNormal"/>
      </w:pPr>
      <w:r>
        <w:t>El art. 12 del texto refundido de la Ley de suelo incluye en la misma situación básica de rural, a efectos de valoraciones, realidades sustancialmente distintas: el suelo clasificado como suelo no urbanizable alejado de la ciudad o de centros productivos, el clasificado de igual forma pero situado en la zona de borde de la ciudad, el urbanizable y el suelo clasificado como suelo urbano cuando le falten algunos servicios para considerarlo suelo urbano consolidado por la urbanización. La igualación de todas estas categorías por el art. 23 del texto refundido de la Ley de suelo a afectos de valoración no permite tener en cuenta los elementos de valor que concurren y es, por tanto, inconstitucional.</w:t>
      </w:r>
    </w:p>
    <w:p w:rsidR="00AC56D6" w:rsidRDefault="00AC56D6" w:rsidP="00AC56D6">
      <w:pPr>
        <w:pStyle w:val="TextoNormal"/>
      </w:pPr>
    </w:p>
    <w:p w:rsidR="00AC56D6" w:rsidRDefault="00AC56D6" w:rsidP="00AC56D6">
      <w:pPr>
        <w:pStyle w:val="TextoNormal"/>
      </w:pPr>
      <w:r>
        <w:t>El Jurado valoró la finca por el método de capitalización de rentas (cereal de secano) que incrementó en un 75 por 100 por proximidad a la ciudad. Aunque hubiera aplicado el tope del doble, el valor máximo habría sido de 2,3 €/m2. El proyecto que clasifica el suelo y motiva la expropiación se refiere a una bolsa de suelo rústico rodeado de suelo urbanizado y en su estudio económico financiero, confeccionado a partir de los precios de mercado, estimaba un valor de suelo de 25 €/m2, antes incluso de que se le reconocieran facultades urbanísticas, que tenía que ver con las expectativas urbanísticas. “se ve pues, que hay elementos suficientes —prosigue el Auto— que conducen a la convicción de la Sala de que sobre el terreno en cuestión, aun antes del reconocimiento de cualquier facultad urbanística, concurrían intensísimas expectativas urbanísticas que producían un notable incremento de su valor puramente agrícola o de capitalización, según se recoge en el proyecto de singular interés”. Ahora bien, el art. 23 del texto refundido de la Ley de suelo impide tomar en consideración estas circunstancias siendo así que esas expectativas son elementos ya existentes y que han tenido su reflejo en el mercado.</w:t>
      </w:r>
    </w:p>
    <w:p w:rsidR="00AC56D6" w:rsidRDefault="00AC56D6" w:rsidP="00AC56D6">
      <w:pPr>
        <w:pStyle w:val="TextoNormal"/>
      </w:pPr>
    </w:p>
    <w:p w:rsidR="00AC56D6" w:rsidRDefault="00AC56D6" w:rsidP="00AC56D6">
      <w:pPr>
        <w:pStyle w:val="TextoNormal"/>
      </w:pPr>
      <w:r>
        <w:t>Como se anticipó, el art. 23 del texto refundido de la Ley de suelo incorpora los suelos clasificados como urbanizables delimitados. En este caso, el art. 25 del texto refundido contempla la posibilidad de valorar la pérdida de la facultad de participar en la actuación urbanizadora, por lo que si este concepto permitiera hallar un valor compatible con el valor real del bien no habría problema de inconstitucionalidad alguno. Ahora bien, esto no es lo que sucede. Un suelo urbanizable recibe una consideración económica en el mercado que le dota de un valor superior. En las leyes anteriores su valor se obtenía a partir de la ponencia de valores catastrales o por el método residual dinámico, con deducción de los gastos de urbanización pendientes. Pero el art. 25 del texto refundido de la Ley de suelo ni reconoce a este suelo valor de mercado, ni su valor catastral, sino un porcentaje entre el 5 y el 15 por 100 de la diferencia del valor que tendrían los terrenos una vez urbanizados y el que tenían en su situación inicial, lo que conduce a que el propietario sea privado de su propiedad con una compensación de 2,0381 €/m2, cuando ese suelo, una vez urbanizado se vende a 195 €/m2. De ahí que el propietario que no es expropiado se quede con el valor íntegro de la propiedad, descontada la participación de la comunidad en las plusvalías, mientras que al expropiado se le abona entre el 5 y 15 por 100 de la diferencia. En la pericial obrante en autos se calcula un valor de suelo urbanizado de 69 €/m2 que, tras descontar los costes de urbanización, quedarían en 44,914 €/m2. Con la aplicación del art. 25 del texto refundido de la Ley de suelo no es posible llegar a valores próximos a los enunciados de manera que no queda garantizado el valor real del bien.</w:t>
      </w:r>
    </w:p>
    <w:p w:rsidR="00AC56D6" w:rsidRDefault="00AC56D6" w:rsidP="00AC56D6">
      <w:pPr>
        <w:pStyle w:val="TextoNormal"/>
      </w:pPr>
    </w:p>
    <w:p w:rsidR="00AC56D6" w:rsidRDefault="00AC56D6" w:rsidP="00AC56D6">
      <w:pPr>
        <w:pStyle w:val="TextoNormal"/>
      </w:pPr>
      <w:r w:rsidRPr="00AC56D6">
        <w:rPr>
          <w:rStyle w:val="NumeroAFNegritaCaracter"/>
        </w:rPr>
        <w:t>4</w:t>
      </w:r>
      <w:r>
        <w:t>. Mediante providencia de 4 de noviembre de 2014, el Pleno del Tribunal Constitucional acordó admitir a trámite la cuestión planteada en relación con los arts. 23.1 a) y 23.2 del texto refundido de la Ley de suelo, ambos en relación con los arts. 12 y 25 del texto refundido de la Ley de suelo, por posible vulneración de los arts. 14 y 33.3 CE reservándose el conocimiento de la cuestión, dar traslado para alegaciones de las actuaciones recibidas en los términos del art. 37.3 LOTC, comunicar la resolución a la Sección proponente de la cuestión y publicar su incoación en el “BOE”.</w:t>
      </w:r>
    </w:p>
    <w:p w:rsidR="00AC56D6" w:rsidRDefault="00AC56D6" w:rsidP="00AC56D6">
      <w:pPr>
        <w:pStyle w:val="TextoNormal"/>
      </w:pPr>
    </w:p>
    <w:p w:rsidR="00AC56D6" w:rsidRDefault="00AC56D6" w:rsidP="00AC56D6">
      <w:pPr>
        <w:pStyle w:val="TextoNormal"/>
      </w:pPr>
      <w:r w:rsidRPr="00AC56D6">
        <w:rPr>
          <w:rStyle w:val="NumeroAFNegritaCaracter"/>
        </w:rPr>
        <w:t>5</w:t>
      </w:r>
      <w:r>
        <w:t>. Por sendos escritos registrados en este Tribunal el 12 y 13 de noviembre de 2014, los Presidentes del Senado y Congreso se personaron en el proceso ofreciendo la colaboración de sus respectivas Cámaras.</w:t>
      </w:r>
    </w:p>
    <w:p w:rsidR="00AC56D6" w:rsidRDefault="00AC56D6" w:rsidP="00AC56D6">
      <w:pPr>
        <w:pStyle w:val="TextoNormal"/>
      </w:pPr>
    </w:p>
    <w:p w:rsidR="00AC56D6" w:rsidRDefault="00AC56D6" w:rsidP="00AC56D6">
      <w:pPr>
        <w:pStyle w:val="TextoNormal"/>
      </w:pPr>
      <w:r w:rsidRPr="00AC56D6">
        <w:rPr>
          <w:rStyle w:val="NumeroAFNegritaCaracter"/>
        </w:rPr>
        <w:t>6</w:t>
      </w:r>
      <w:r>
        <w:t xml:space="preserve">. El 27 de noviembre de 2014 tuvo entrada en el Tribunal Constitucional el escrito de alegaciones del Abogado del Estado, actuando en la representación que legalmente ostenta. Comienza por exponer que la cuestión debe ser inadmitida en relación al art. 25 del texto refundido de la Ley de suelo. En efecto, señala, la forma en que la Sala ha planteado la cuestión de inconstitucionalidad exige determinar si los arts. 12 y 25 se encuentran cuestionados por la Sala. La respuesta es negativa en relación al art. 12 del texto refundido de la Ley de suelo, que define las situaciones básicas del suelo. De hecho, el mismo Auto afirma que nada hay de inconstitucional en esta previsión antes de ponerla en conexión con la forma de valorar cada uno de estos suelos. Ahora bien, conviene retener que en esta situación de suelo rural, a efectos de valoración, se pueden incluir situaciones que desde el punto de vista urbanístico son francamente diversas. Su cita es, pues, instrumental de la inconstitucionalidad del art. 23 del texto refundido de la Ley de suelo, por lo que cabe concluir que no se trata de una impugnación autónoma. Pero la conclusión no es tan clara en relación con el </w:t>
      </w:r>
      <w:r>
        <w:lastRenderedPageBreak/>
        <w:t>art. 25 del texto refundido de la Ley de suelo, que es también objeto de consideraciones sobre su constitucionalidad. En este último caso, el juicio de relevancia no aparece correctamente formulado, pues es obligación del órgano judicial justificar qué precepto legal se cuestiona no pudiéndose plantear, como en este caso, cuestión de inconstitucionalidad de dos preceptos de aplicación alternativa, el art. 23 del texto refundido de la Ley de suelo en el caso de que se trate de un supuesto de suelo en el que no existe incidencia del planeamiento urbanístico, o del art. 25 del texto refundido de la Ley de suelo para un suelo en el que pueda reconocerse una indemnización de la facultad de participar en actuaciones de nueva urbanización. Adicionalmente, lo que cuestionaría la Sala sería el apartado 2 del art. 25 del texto refundido de la Ley de suelo, puesto que no se ofrece explicación alguna sobre el apartado primero. Por ello la cuestión sólo debe admitirse en relación con el artículo 23 partiendo de la consideración del suelo como rural sin ninguna incidencia del planeamiento urbanístico, y debería excluirse también como objeto de la cuestión el apartado 2 del art. 23 del texto refundido de la Ley de suelo que se refiere al suelo sobre el que existe una incidencia urbanística concreta. No se acredita en el expediente, ni razona la Sala, que en el suelo expropiado exista planeamiento urbanístico en vigor, y no puede considerarse sino un error que el proyecto de singular interés atribuya al suelo el carácter de urbanizable, pues incurriría en la prohibición del art. 36.1 de la Ley de expropiación forzosa (LEF) que impide tener en cuenta las plusvalías consecuencia del plan o proyecto de obras que dan lugar al proyecto de expropiación.</w:t>
      </w:r>
    </w:p>
    <w:p w:rsidR="00AC56D6" w:rsidRDefault="00AC56D6" w:rsidP="00AC56D6">
      <w:pPr>
        <w:pStyle w:val="TextoNormal"/>
      </w:pPr>
    </w:p>
    <w:p w:rsidR="00AC56D6" w:rsidRDefault="00AC56D6" w:rsidP="00AC56D6">
      <w:pPr>
        <w:pStyle w:val="TextoNormal"/>
      </w:pPr>
      <w:r>
        <w:t>Esto afirmado, aborda la constitucionalidad del art. 23 del texto refundido de la Ley de suelo insistiendo que el presupuesto del que parte el Auto es el de un suelo en situación de rural no pendiente de transformación urbanística [art. 12 b) del texto refundido de la Ley de suelo]; por ello no es objeto de la cuestión el apartado b) de este precepto que parte de la atribución de un mayor valor a la finca expropiada en cuanto se le han asignado usos por la ordenación territorial o urbanística que no hayan sido aun plenamente realizados, lo que no sucede en este caso en que no estamos ante una actuación urbanística promovida por la Administración local sino por la Junta de Comunidades de Castilla La Mancha. Así, lo que el Auto plantea es si la existencia en la proximidad de la finca valorada de suelo urbano, en concreto, de un polígono industrial, debe tenerse en cuenta para su valoración.</w:t>
      </w:r>
    </w:p>
    <w:p w:rsidR="00AC56D6" w:rsidRDefault="00AC56D6" w:rsidP="00AC56D6">
      <w:pPr>
        <w:pStyle w:val="TextoNormal"/>
      </w:pPr>
    </w:p>
    <w:p w:rsidR="00AC56D6" w:rsidRDefault="00AC56D6" w:rsidP="00AC56D6">
      <w:pPr>
        <w:pStyle w:val="TextoNormal"/>
      </w:pPr>
      <w:r>
        <w:t xml:space="preserve">Explica a continuación el método de valoración por capitalización de rentas tal y como ha sido concebido en la Ley y el reglamento de valoraciones. Un método que tiene en cuenta la renta de explotación, con tipos de capitalización diferentes para explotaciones diferentes, y ello en función del riesgo de cada actividad en suelo rural (arts. 7 a 18 del reglamento), así como el factor de corrección incluido en el párrafo tercero del artículo 23.1 a), como consecuencia de una enmienda incluida en la tramitación del proyecto de ley. Este factor obedece a la consideración de que aunque la renta de posición está implícita en la renta potencial, existen casos en que la singular localización, al margen de la expectativa de desarrollo urbano, aconseja la aplicación de un factor de modulación al alza. Así concebido, este método no vulnera el art. 33.3 CE ni el art. 14 CE. Partiendo de la doctrina sentada en las SSTC 61/1997 y 164/2001, el legislador cuenta con un amplio margen para fijar las distintas modalidades de valoración cuyo único límite es que no se revelen manifiestamente desprovistas de base razonable, lo que no es el caso. El concepto de precio, de acuerdo con el punto 4.2 de las Normas internacionales de valoración de activos elaboradas por el Comité de Normas Internacionales de Valoración (IVSC), es el término usado para designar la cantidad pedida, ofrecida o pagada por un determinado bien. Sin embargo, continúa, debido a los </w:t>
      </w:r>
      <w:r>
        <w:lastRenderedPageBreak/>
        <w:t>intereses de un determinado comprador, el precio que se paga por esos bienes puede no tener relación alguna con el valor que pueden adscribir a estos bienes y servicios otras personas. El concepto económico de valor, prosigue, de acuerdo con el punto 4.5, refleja la visión que se tiene en el mercado de los beneficios que obtiene el que posee los bienes o recibe los servicios en la fecha de efectiva evaluación. Así pues, una vez eliminado el tope del doble, el órgano competente es libre para establecer un coeficiente mayor siempre y cuando no contemple expectativas urbanísticas y en función de otros factores desarrollados por el art. 17 de Reglamento de valoraciones. Este sistema resulta conforme con el art. 33.3 CE y el criterio del razonable equilibrio en el sacrificio del expropiado, pues valora el terreno en situación básica de suelo rural en función de su capacidad de renta real o potencial sin tener en cuenta expectativas incompatibles con esa situación o estado, e impide la compensación por valores especulativos pagados en el mercado con funcionamiento real muy alejado de un mercado perfecto.</w:t>
      </w:r>
    </w:p>
    <w:p w:rsidR="00AC56D6" w:rsidRDefault="00AC56D6" w:rsidP="00AC56D6">
      <w:pPr>
        <w:pStyle w:val="TextoNormal"/>
      </w:pPr>
    </w:p>
    <w:p w:rsidR="00AC56D6" w:rsidRDefault="00AC56D6" w:rsidP="00AC56D6">
      <w:pPr>
        <w:pStyle w:val="TextoNormal"/>
      </w:pPr>
      <w:r>
        <w:t>Todo sistema valorativo engendra aplicaciones que desde la perspectiva micro pueden considerarse injustas o desiguales. Pero en el suelo rural o no urbanizable lo normal es la enajenación voluntaria a precios de mercado y, posteriormente, continúa con una cadena de transmisiones a precios crecientes reveladora del pago de expectativas indebidamente anticipadas. Tomar como referencia precios especulativos en un mercado con un funcionamiento alejado de la competencia perfecta no es conforme con el mandato de evitar la especulación (art. 47 CE). Tampoco puede decirse que haya discriminación, pues no son iguales los propietarios de fincas incluidas en un sector a ejecutar por compensación en el que se han generado costes y riesgos empresariales que los propietarios han tenido que sufragar y el propietario de un ámbito que se va a ejecutar por expropiación, en el que éste sólo se ve privado de la participación en la ejecución cuando aún no se ha iniciado o no se ha concluido.</w:t>
      </w:r>
    </w:p>
    <w:p w:rsidR="00AC56D6" w:rsidRDefault="00AC56D6" w:rsidP="00AC56D6">
      <w:pPr>
        <w:pStyle w:val="TextoNormal"/>
      </w:pPr>
    </w:p>
    <w:p w:rsidR="00AC56D6" w:rsidRDefault="00AC56D6" w:rsidP="00AC56D6">
      <w:pPr>
        <w:pStyle w:val="TextoNormal"/>
      </w:pPr>
      <w:r>
        <w:t>Este sistema de valoración ha sido analizado en la STC 141/2014, de 11 de septiembre, que abordó tanto la valoración de las expectativas urbanísticas como la constitucionalidad de los preceptos cuestionados, tanto desde la perspectiva del art. 33 CE, como del art. 14 CE. Y tras reproducir literalmente lo que denomina su fundamento jurídico 2, afirma que una vez eliminado el límite de la corrección de la valoración del suelo rural, la norma resulta perfectamente hábil para obtener una valoración del bien ajustada a su valoración real, esto es, guarda un proporcional equilibrio con su valor real.</w:t>
      </w:r>
    </w:p>
    <w:p w:rsidR="00AC56D6" w:rsidRDefault="00AC56D6" w:rsidP="00AC56D6">
      <w:pPr>
        <w:pStyle w:val="TextoNormal"/>
      </w:pPr>
    </w:p>
    <w:p w:rsidR="00AC56D6" w:rsidRDefault="00AC56D6" w:rsidP="00AC56D6">
      <w:pPr>
        <w:pStyle w:val="TextoNormal"/>
      </w:pPr>
      <w:r>
        <w:t xml:space="preserve">Finalmente, tras recordar que el art. 25 del texto refundido de la Ley de suelo queda fuera de la cuestión de inconstitucionalidad, señala que el art. 25.2 del texto refundido de la Ley de suelo no puede considerarse inconstitucional. La aplicación de este precepto solo se produciría con un suelo susceptible de transformación en “suelo urbanizable”, en cuyo caso se aplicaría el art. 23.2 del texto refundido de la Ley de suelo, al que habría que sumar la indemnización prevista en el art. 25.2 del texto refundido de la Ley de suelo. Pero el Auto no razona el cumplimiento de los requisitos del art. 25.1 del texto refundido de la Ley de suelo, lo que abunda en la falta del juicio de relevancia. Tras reproducir parcialmente el Auto de planteamiento y afirmar que ningún razonamiento se realiza en relación con el art. 25.1 del texto refundido de la Ley de suelo, señala que cuando se impide la participación en la ejecución de una actuación de urbanización, la valoración de esa facultad realiza un tratamiento ponderado de la situación en que estos se encuentran. Los porcentajes del art. 16 </w:t>
      </w:r>
      <w:r>
        <w:lastRenderedPageBreak/>
        <w:t>del texto refundido de la Ley de suelo, que pueden ser modificados por la legislación autonómica, son razonables en terrenos en los que no ha existido urbanización sino previsiones de urbanización y no pueden compararse con suelos urbanizados. No es, por tanto, inconstitucional el criterio establecido en el art. 25.2 del texto refundido de la Ley de suelo por el hecho de que parezcan inferiores a los que pueden obtenerse por una no acreditada enajenación en el mercado.</w:t>
      </w:r>
    </w:p>
    <w:p w:rsidR="00AC56D6" w:rsidRDefault="00AC56D6" w:rsidP="00AC56D6">
      <w:pPr>
        <w:pStyle w:val="TextoNormal"/>
      </w:pPr>
    </w:p>
    <w:p w:rsidR="00AC56D6" w:rsidRDefault="00AC56D6" w:rsidP="00AC56D6">
      <w:pPr>
        <w:pStyle w:val="TextoNormal"/>
      </w:pPr>
      <w:r>
        <w:t>El Abogado del Estado concluye solicitando la inadmisión parcial de la cuestión de inconstitucionalidad, y su desestimación.</w:t>
      </w:r>
    </w:p>
    <w:p w:rsidR="00AC56D6" w:rsidRDefault="00AC56D6" w:rsidP="00AC56D6">
      <w:pPr>
        <w:pStyle w:val="TextoNormal"/>
      </w:pPr>
    </w:p>
    <w:p w:rsidR="00AC56D6" w:rsidRDefault="00AC56D6" w:rsidP="00AC56D6">
      <w:pPr>
        <w:pStyle w:val="TextoNormal"/>
      </w:pPr>
      <w:r w:rsidRPr="00AC56D6">
        <w:rPr>
          <w:rStyle w:val="NumeroAFNegritaCaracter"/>
        </w:rPr>
        <w:t>7</w:t>
      </w:r>
      <w:r>
        <w:t>. El Fiscal General del Estado presentó sus alegaciones en el Registro General del Tribunal Constitucional el 7 de enero de 2015. Tras exponer extensamente los antecedentes de hecho y los motivos en que se fundamenta el Auto de planteamiento de la cuestión, no opone óbice procesal alguno relativo al trámite de audiencia y al juicio de aplicabilidad y relevancia realizado por el órgano judicial.</w:t>
      </w:r>
    </w:p>
    <w:p w:rsidR="00AC56D6" w:rsidRDefault="00AC56D6" w:rsidP="00AC56D6">
      <w:pPr>
        <w:pStyle w:val="TextoNormal"/>
      </w:pPr>
    </w:p>
    <w:p w:rsidR="00AC56D6" w:rsidRDefault="00AC56D6" w:rsidP="00AC56D6">
      <w:pPr>
        <w:pStyle w:val="TextoNormal"/>
      </w:pPr>
      <w:r>
        <w:t>Recuerda, a seguidas, que la STC 141/2014, de 11 de septiembre, anuló el inciso “hasta el máximo del doble” del art. 22.1 a) de la Ley del suelo (LS) y correlativo 23.1 a) del texto refundido de la Ley de suelo. Considera que la duda de constitucionalidad ahora planteada en relación con el art. 23.1 a) del texto refundido de la Ley de suelo es coincidente con la expresada en los recursos resueltos en aquella Sentencia (FJ 13) siendo así que este Tribunal afirmó entonces que: (i) el art. 33.3 CE no exige que la indemnización sea equivalente al valor de mercado bastando con que exista un proporcional equilibrio entre la indemnización y el valor económico del bien; (ii) la valoración se desvincula de la clasificación del suelo atendiendo a la situación fáctica del terreno, determinando así un valor objetivo que no incluya las expectativas urbanísticas generadas por la acción de los poderes públicos y paliar la especulación; (iii) la ley distingue dos situaciones de suelo rural y urbanizado, siendo así que sólo en el segundo dicha naturaleza integra su destino urbanístico porque dicho destino se ha hecho realidad; (iv) reconoce el derecho de propiedad privada como un conjunto de derechos y obligaciones, función social que no permite anular la utilidad meramente individual del derecho. Termina por reproducir literalmente el fundamento jurídico 13 de la citada Sentencia. De todo ello concluye que la duda de constitucionalidad planteada por el órgano judicial en relación con el art. 23 texto refundido de la Ley de suelo ya ha sido resuelta por el Tribunal Constitucional no estimando razonable el límite de “hasta un máximo del doble”, lo que conllevaría la desaparición sobrevenida de la cuestión en relación con los apartados 1 y 2 del artículo 23.</w:t>
      </w:r>
    </w:p>
    <w:p w:rsidR="00AC56D6" w:rsidRDefault="00AC56D6" w:rsidP="00AC56D6">
      <w:pPr>
        <w:pStyle w:val="TextoNormal"/>
      </w:pPr>
    </w:p>
    <w:p w:rsidR="00AC56D6" w:rsidRDefault="00AC56D6" w:rsidP="00AC56D6">
      <w:pPr>
        <w:pStyle w:val="TextoNormal"/>
      </w:pPr>
      <w:r>
        <w:t xml:space="preserve">Añade, aún, en relación con la valoración de las expectativas urbanísticas, que el derecho de propiedad del suelo delimitado por el texto refundido no integra facultades de urbanización o de edificación, facultades que sólo se adquieren cuando el instrumento de planeamiento ha sido aprobado por la Administración y el propietario ha cumplido con las cargas. Este régimen urbanístico conlleva la adquisición gradual de las facultades urbanísticas que no se consideran inherentes al derecho de propiedad, sino condicionadas al cumplimiento de una serie de deberes, regulación que es conforme con el apartado 2 del art. 23 del texto refundido de la Ley de suelo. Por ello, la libertad estimativa que reclama el órgano judicial proponente de la cuestión está vedada por la doctrina constitucional [SSTC 166/1986, FJ 13 b); y 313/2006, FJ 8 a)] y la jurisprudencia del Tribunal Supremo (STS de 21 de marzo de </w:t>
      </w:r>
      <w:r>
        <w:lastRenderedPageBreak/>
        <w:t>2013, recurso número1884-2010) que declaran que la proporcionalidad que debe existir entre la indemnización expropiatoria y el daño producido al expropiado debe ser determinado por el legislador mediante la fijación de distintas modalidades de valoración, dependientes de la naturaleza de los bienes expropiados debiendo ser respetadas salvo que se revelen manifiestamente desprovistas de base razonable.</w:t>
      </w:r>
    </w:p>
    <w:p w:rsidR="00AC56D6" w:rsidRDefault="00AC56D6" w:rsidP="00AC56D6">
      <w:pPr>
        <w:pStyle w:val="TextoNormal"/>
      </w:pPr>
    </w:p>
    <w:p w:rsidR="00AC56D6" w:rsidRDefault="00AC56D6" w:rsidP="00AC56D6">
      <w:pPr>
        <w:pStyle w:val="TextoNormal"/>
      </w:pPr>
      <w:r>
        <w:t>La exclusión de las expectativas responde a la finalidad legítima y objetiva de evitar la especulación derivada de futuros e hipotéticos usos o destinos del terreno consecuencia de una posible actuación de la Administración sobre el suelo no hecha realidad, y persigue valorar el suelo por lo que es en el momento de la valoración. Insiste en que el art. 23 del texto refundido de la Ley de suelo establece un factor de localización, o renta de posición, que actúa como factor relevante en la determinación del valor del suelo rural, factor de localización que aunque permite considerar factores extrínsecos al valor del suelo, en ningún caso puede comprender expectativas urbanísticas. Es así que, una vez eliminado el tope del doble, y habida cuenta de las modificaciones normativas operadas por la Ley 2/2008, de 23 de diciembre, disposición final 16, y art. 10.2 del Real Decreto-ley 6/2010, de 9 de abril, late en la legislación sobre valoración del suelo el propósito de evitar una infravaloración del suelo rural, al arbitrar una serie de medidas correctoras del posible alejamiento del valor de mercado de este tipo de suelos, pero también para evitar la especulación, para lo que ha excluido las expectativas urbanísticas. La propia STC 141/2014, se habría pronunciado sobre el apartado 2 del art. 23 del texto refundido de la Ley de suelo cuando concluye que procede declarar que el art. 23 del texto refundido de la Ley de suelo no es inconstitucional con la única salvedad del inciso hasta un máximo del doble, para lo que reproduce literal y parcialmente los argumentos de su fundamentación.</w:t>
      </w:r>
    </w:p>
    <w:p w:rsidR="00AC56D6" w:rsidRDefault="00AC56D6" w:rsidP="00AC56D6">
      <w:pPr>
        <w:pStyle w:val="TextoNormal"/>
      </w:pPr>
    </w:p>
    <w:p w:rsidR="00AC56D6" w:rsidRDefault="00AC56D6" w:rsidP="00AC56D6">
      <w:pPr>
        <w:pStyle w:val="TextoNormal"/>
      </w:pPr>
      <w:r>
        <w:t xml:space="preserve">Continúa señalando que el órgano judicial plantea la posible inconstitucionalidad del art. 12 del texto refundido de la Ley de suelo por su conexión con el art. 23 del texto refundido de la Ley de suelo, por considerar que establece dos clases de suelo a efectos valorativos que se desligan de la tradicional clasificación del suelo y atiende a la situación física del suelo en el momento de la expropiación. La Sala no discrepa de la clasificación que hace el artículo 12, pero considera que en la situación única de suelo rural cabe incluir situaciones muy dispares, suelo rústico en un entorno urbano alejado de centros urbanos y dedicados al aprovechamiento agropecuario; suelo rústico o no urbanizable próximo a dichos centros o en zona de crecimiento de la ciudad; suelo clasificado como suelo urbanizable programado que se expropia antes de estar iniciada la urbanización, o antes de su finalización y suelo urbano no consolidado por la urbanización. Al igualar todas las situaciones para su valoración, el artículo 23 no es constitucional pues impide incluir todos los elementos de valor que concurren. El texto refundido explica en su exposición de motivos que no utiliza la técnica urbanística de la clasificación, porque no es necesaria para fijar los criterios legales de valoración del suelo. El art. 13 del texto refundido de la Ley de suelo, hoy derogado por la disposición única tercera de la Ley 8/2013, regulaba el régimen del suelo rural en las dos situaciones en que se puede encontrar, una de las cuales es aquella susceptible de transformación urbanística y que todavía no reúne los requisitos para ser suelo urbano. Lo que la anterior legislación consideraba suelo urbanizable es lo que la ley actual considera suelo rural en proceso de transformación a suelo urbanizado y, una vez que adquiere esta condición, está sujeto al régimen propio de éste. Dada la distribución constitucional de competencias y aun cuando el Estado determina las condiciones básicas de la propiedad, son las Comunidades Autónomas las que determinarán en qué situación se encuentra el suelo. No </w:t>
      </w:r>
      <w:r>
        <w:lastRenderedPageBreak/>
        <w:t>obstante, las situaciones básicas del suelo son las que delimitan el contenido del derecho de propiedad, lo que vendría refrendado por la doctrina constitucional precedente, para lo que cita la STC 61/1997, FJ 14 b) y lo por esta afirmado en relación con la clasificación del suelo, así como la STC 164/2001, FJ 13. En consecuencia, el Estado a través del art. 12 del texto refundido de la Ley de suelo no ha hecho sino de conformidad con el art. 149.1.1 CE configurar la premisa a partir de la cual se fijan las condiciones básicas del suelo y establecer el presupuesto lógico jurídico para la aplicación del sistema de valoraciones.</w:t>
      </w:r>
    </w:p>
    <w:p w:rsidR="00AC56D6" w:rsidRDefault="00AC56D6" w:rsidP="00AC56D6">
      <w:pPr>
        <w:pStyle w:val="TextoNormal"/>
      </w:pPr>
    </w:p>
    <w:p w:rsidR="00AC56D6" w:rsidRDefault="00AC56D6" w:rsidP="00AC56D6">
      <w:pPr>
        <w:pStyle w:val="TextoNormal"/>
      </w:pPr>
      <w:r>
        <w:t>Añade que el órgano judicial proponente señala que la finca es rústica pues el proyecto de singular interés que motiva la expropiación “establecía un precio unitario en la zona de 25 euros/m2 (precio referido al suelo antes de la adquisición de cualquier facultad urbanística propia del suelo urbanizable) y consta convenio entre el Instituto de Finanzas de la Comunidad de Castilla La Mancha y Aernovo Composites, S.A.U., en que se prevé la valoración del suelo urbanizado a razón de 195 euros/m2, además de que en otros autos, se han observado precios de referencia de hasta 215 euros/m2. Así el suelo valorado en octubre de 2008 vale 2,0381 euros/m2 y se enajena tres meses después una vez urbanizado a 195 euros/m2”. Como ya había anticipado, insiste en que el texto refundido prescinde de la categoría de suelo urbanizable a efectos de la valoración, su valor será el del suelo rural sin perjuicio de la indemnización que establece el art. 25 del texto refundido de la Ley de suelo. Este precepto legal reconoce al propietario del suelo la facultad de participar en la ejecución de actuaciones urbanizadoras como facultad independiente de la propiedad del suelo. Este derecho “no formaría parte de la propiedad del suelo sino que pertenecería al propietario del suelo en cuanto titular del derecho sobre el suelo”. En cuanto a los criterios de valoración de la cuantificación de la indemnización debida por este concepto se calcula por los criterios objetivos establecidos en el art. 25.2 del texto refundido de la Ley de suelo. Debe tenerse en cuenta a estos efectos que la STC 141/2014 se refiere a esta indemnización como un “complemento indemnizatorio importante”, pero además viene a coincidir con la participación que le corresponde a la comunidad en las plusvalías generadas por la acción urbanizadora de la administración, lo que hace proporcional y razonable la cantidad que debe percibir el expropiado como consecuencia de la privación de esta facultad, lo que convertiría esta duda de inconstitucionalidad en infundada y no contraria al art. 33.3 CE.</w:t>
      </w:r>
    </w:p>
    <w:p w:rsidR="00AC56D6" w:rsidRDefault="00AC56D6" w:rsidP="00AC56D6">
      <w:pPr>
        <w:pStyle w:val="TextoNormal"/>
      </w:pPr>
    </w:p>
    <w:p w:rsidR="00AC56D6" w:rsidRDefault="00AC56D6" w:rsidP="00AC56D6">
      <w:pPr>
        <w:pStyle w:val="TextoNormal"/>
      </w:pPr>
      <w:r>
        <w:t>Finaliza el Ministerio Fiscal sus alegaciones con el art. 14 CE, para lo que invoca la STC 141/2014, FJ 9 b) que descarta la vulneración del precepto constitucional invocado.</w:t>
      </w:r>
    </w:p>
    <w:p w:rsidR="00AC56D6" w:rsidRDefault="00AC56D6" w:rsidP="00AC56D6">
      <w:pPr>
        <w:pStyle w:val="TextoNormal"/>
      </w:pPr>
    </w:p>
    <w:p w:rsidR="00AC56D6" w:rsidRDefault="00AC56D6" w:rsidP="00AC56D6">
      <w:pPr>
        <w:pStyle w:val="TextoNormal"/>
      </w:pPr>
      <w:r>
        <w:t>Suplica, en definitiva, se declare la pérdida de objeto de la cuestión respecto del art. 23.1 a) del texto refundido de la Ley de suelo; en relación con el apartado 2 del mismo precepto entiende que debe ser rechazada por notoriamente infundada, y finalmente, respecto de los arts. 12 y 25 del texto refundido de la Ley de suelo, entiende que procede rechazar la cuestión de inconstitucionalidad.</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veinte de octubre de 2015, se señaló para deliberación y votación de la presente cuestión el veintidós del mismo mes y año.</w:t>
      </w:r>
    </w:p>
    <w:p w:rsidR="00AC56D6" w:rsidRDefault="00AC56D6" w:rsidP="00AC56D6">
      <w:pPr>
        <w:pStyle w:val="TextoNormal"/>
      </w:pPr>
    </w:p>
    <w:p w:rsidR="00AC56D6" w:rsidRDefault="00AC56D6" w:rsidP="00AC56D6">
      <w:pPr>
        <w:pStyle w:val="TextoNormalNegritaCentrado"/>
        <w:keepNext/>
      </w:pPr>
      <w:r>
        <w:lastRenderedPageBreak/>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Este proceso constitucional tiene por objeto resolver la cuestión de inconstitucionalidad planteada por la Sección Segunda de la Sala de lo Contencioso-Administrativo del Tribunal Superior de Justicia de Castilla-La Mancha respecto del art. 23.1 a) y 2 en relación con los arts. 12 y 25 del Real Decreto Legislativo 2/2008, de 20 de junio, que aprueba el texto refundido de la Ley del suelo. Como se expuso de forma pormenorizada en los antecedentes, la Sala considera que el art. 23.1 a) del texto refundido de la Ley de suelo establece un método de valoración, el mismo para el suelo que se encuentra en situaciones muy diversas, pero en situación básica de suelo rural de acuerdo con el art. 12 del texto refundido de la Ley de suelo, pues sólo se excluye de esta situación básica el suelo urbanizado o suelo urbano consolidado por la urbanización, que impide llegar a una valoración que responda a su valor real, ya que no permite tener en cuenta los factores que inciden en su valor de mercado, y, en especial, las expectativas derivadas de la aprobación del planeamiento o clasificación del suelo como urbanizable delimitado (art. 23.2 del texto refundido de la Ley de suelo). Es cierto, reconoce la Sala, que para este último tipo de suelo, la ley contempla otra indemnización, la prevista en el art. 25 del texto refundido de la Ley de suelo, debida a la privación de la facultad de participar en la actuación urbanizadora. Si esta indemnización correspondiera al valor real del suelo expropiado, nada habría que objetar sobre la constitucionalidad del método de valoración previsto para este tipo de suelo. Pero esta indemnización no se corresponde con el valor real del suelo, pues se limita a reconocer un porcentaje, entre el 5 y el 15 por 100, a determinar por las Comunidades Autónomas, aplicado a la diferencia de valor que tendrían los suelos ya urbanizados y el que tienen en su situación inicial. De no haber sido privados los propietarios de su facultad de participar en la actuación de transformación urbanística, habrían incrementado su patrimonio con la diferencia de valor que habrían adquirido los terrenos, descontada la cesión del aprovechamiento lucrativo prevista en la Ley urbanística. De ello concluye la vulneración del art. 33.3 CE. En directa relación con lo señalado, aduce también la Sala discriminación entre quienes se ven privados de su propiedad y aquellos a quienes se permite continuar con ella y finalizar la transformación urbanística, trato desigual que estima vulnera el art. 14 CE. De ahí que la Sala plantee cuestión de inconstitucionalidad “respecto de los arts. 23, párrafos 1 a) y 2) del Texto Refundido en relación con sus arts. 12 y 25, en los términos que derivan de la presente resolución”.</w:t>
      </w:r>
    </w:p>
    <w:p w:rsidR="00AC56D6" w:rsidRDefault="00AC56D6" w:rsidP="00AC56D6">
      <w:pPr>
        <w:pStyle w:val="TextoNormal"/>
      </w:pPr>
    </w:p>
    <w:p w:rsidR="00AC56D6" w:rsidRDefault="00AC56D6" w:rsidP="00AC56D6">
      <w:pPr>
        <w:pStyle w:val="TextoNormal"/>
      </w:pPr>
      <w:r>
        <w:t>El Abogado del Estado, solicita la inadmisión de la cuestión en lo que se refiere al art. 25 del texto refundido de la Ley de suelo, y, subsidiariamente, en lo que atañe al art. 25.1 del texto refundido de la Ley de suelo. Desde la perspectiva del art. 33.3 CE, sostiene que, una vez declarado inconstitucional por la STC 141/2014, de 11 de septiembre, el inciso “hasta el máximo del doble” del art. 23.1 a) del texto refundido de la Ley de suelo, este apartado no es inconstitucional. Tampoco lo es el apartado 2, sobre el que ya se habría pronunciado el Tribunal en la misma sentencia, ni el art. 25 del texto refundido de la Ley de suelo, que otorga un tratamiento más ponderado de la situación en que se encuentra el suelo sometido a una actuación de transformación urbanística. Considera que no se achaca inconstitucionalidad alguna al art. 12 del texto refundido de la Ley de suelo, salvo por su relación con el art. 23 del texto refundido de la Ley de suelo. Descarta, finalmente, que el tratamiento desigual de los propietarios, según sean o no expropiados, vulnere el art. 14 CE al no tratarse de situaciones iguales.</w:t>
      </w:r>
    </w:p>
    <w:p w:rsidR="00AC56D6" w:rsidRDefault="00AC56D6" w:rsidP="00AC56D6">
      <w:pPr>
        <w:pStyle w:val="TextoNormal"/>
      </w:pPr>
    </w:p>
    <w:p w:rsidR="00AC56D6" w:rsidRDefault="00AC56D6" w:rsidP="00AC56D6">
      <w:pPr>
        <w:pStyle w:val="TextoNormal"/>
      </w:pPr>
      <w:r>
        <w:lastRenderedPageBreak/>
        <w:t>El Fiscal General del Estado, por su parte, no opone óbice procesal alguno, aunque solicita se declare la pérdida de objeto de la cuestión en lo que atañe al art. 23.1 a) del texto refundido de la Ley de suelo, y, por argumentos similares a los expuestos por el Abogado del Estado, se desestime la cuestión de inconstitucionalidad planteada por la Sala para el resto de los preceptos impugnados.</w:t>
      </w:r>
    </w:p>
    <w:p w:rsidR="00AC56D6" w:rsidRDefault="00AC56D6" w:rsidP="00AC56D6">
      <w:pPr>
        <w:pStyle w:val="TextoNormal"/>
      </w:pPr>
    </w:p>
    <w:p w:rsidR="00AC56D6" w:rsidRDefault="00AC56D6" w:rsidP="00AC56D6">
      <w:pPr>
        <w:pStyle w:val="TextoNormal"/>
      </w:pPr>
      <w:r w:rsidRPr="00AC56D6">
        <w:rPr>
          <w:rStyle w:val="NumeroAFNegritaCaracter"/>
        </w:rPr>
        <w:t>2</w:t>
      </w:r>
      <w:r>
        <w:t>. Antes de abordar la cuestión de fondo planteada, debemos dar respuesta al óbice procesal opuesto por el Abogado del Estado relativo a su objeto y a la falta del juicio de aplicabilidad y relevancia. Considera que la forma en que está planteada genera dudas relativas a su objeto, puesto que la cuestión afecta a preceptos que, como el art. 12 del texto refundido de la Ley de suelo no generan por sí solos objeción alguna de constitucionalidad, sino que éstas vienen dadas por su relación con el resto de preceptos cuestionados. A la vez, entiende que el Auto proponente no ha realizado adecuadamente el juicio de aplicabilidad y relevancia del art. 25 del texto refundido de la Ley de suelo. Tal y como se expuso en los antecedentes, razona que no es posible plantear una cuestión de inconstitucionalidad sobre el artículo 23 y el artículo 25, cuando ambos preceptos son de aplicación alternativa. El primero sería aplicable al suelo rural sin incidencia sobre el mismo de una actuación urbanística concreta, mientras que el segundo lo sería para el suelo clasificado por el planeamiento. Es más, dirá, del expediente no deriva, ni razona la Sala, que en el suelo expropiado exista planeamiento urbanístico en vigor cuando no se trata de un proyecto municipal sino autonómico, y no puede considerarse sino un error que el proyecto de singular interés atribuya al suelo el carácter de urbanizable, pues incurriría en la prohibición del art. 36.1 de la Ley de expropiación forzosa (LEF), que impide tener en cuenta las plusvalías consecuencia del plan o proyecto de obras que dan lugar al proyecto de expropiación.</w:t>
      </w:r>
    </w:p>
    <w:p w:rsidR="00AC56D6" w:rsidRDefault="00AC56D6" w:rsidP="00AC56D6">
      <w:pPr>
        <w:pStyle w:val="TextoNormal"/>
      </w:pPr>
    </w:p>
    <w:p w:rsidR="00AC56D6" w:rsidRDefault="00AC56D6" w:rsidP="00AC56D6">
      <w:pPr>
        <w:pStyle w:val="TextoNormal"/>
      </w:pPr>
      <w:r>
        <w:t>Para resolver esta objeción procesal, resulta necesario exponer someramente el sistema que la Ley estatal establece.</w:t>
      </w:r>
    </w:p>
    <w:p w:rsidR="00AC56D6" w:rsidRDefault="00AC56D6" w:rsidP="00AC56D6">
      <w:pPr>
        <w:pStyle w:val="TextoNormal"/>
      </w:pPr>
    </w:p>
    <w:p w:rsidR="00AC56D6" w:rsidRDefault="00AC56D6" w:rsidP="00AC56D6">
      <w:pPr>
        <w:pStyle w:val="TextoNormal"/>
      </w:pPr>
      <w:r>
        <w:t>A diferencia del texto refundido de 1976 y la Ley 6/1998, de régimen del suelo y valoraciones, la Ley 8/2007 y, en consecuencia, el texto refundido de 2008, han desligado la definición de los derechos y deberes de los propietarios y la valoración del suelo de su clasificación urbanística. El nuevo sistema de delimitación del contenido de los distintos estatutos jurídicos de la propiedad del suelo, que sirve a su vez para determinar el método de valoración, no se ha visto alterado por la modificación operada por la Ley 8/2013, de 26 de junio, que se ha limitado a incluir en la situación de suelo urbanizado los suelos urbanos consolidados por la edificación, que no resultan afectados por la presente cuestión, y a reubicar sistemáticamente, renumerando, algunos de sus preceptos. Por ello, en aras de una mayor claridad expositiva, y aun cuando la Ley 8/2013 no estuviera vigente en el momento de dictarse la valoración impugnada en el proceso judicial, nos referiremos, en adelante, a los preceptos del texto refundido de acuerdo con la numeración vigente en el momento de dictarse esta resolución.</w:t>
      </w:r>
    </w:p>
    <w:p w:rsidR="00AC56D6" w:rsidRDefault="00AC56D6" w:rsidP="00AC56D6">
      <w:pPr>
        <w:pStyle w:val="TextoNormal"/>
      </w:pPr>
    </w:p>
    <w:p w:rsidR="00AC56D6" w:rsidRDefault="00AC56D6" w:rsidP="00AC56D6">
      <w:pPr>
        <w:pStyle w:val="TextoNormal"/>
      </w:pPr>
      <w:r>
        <w:t xml:space="preserve">Si antaño los métodos de valoración variaban según la clasificación del suelo, es decir, según se tratase de suelo no urbanizable o suelo urbanizable no delimitado; suelo urbanizable o suelo urbano no consolidado, y suelo urbano consolidado, el texto refundido parte de dos nuevos elementos: la situación básica en que se encuentra el suelo y la actuación de transformación urbanística a la que está sometido. Esto es lo que explica que la ley estatal no mencione ya las tradicionales clasificaciones del suelo para fijar los derechos y deberes </w:t>
      </w:r>
      <w:r>
        <w:lastRenderedPageBreak/>
        <w:t>que integran las condiciones básicas de los distintos derechos de propiedad y, por tanto, tampoco para la determinación de los criterios de valoración, y, de igual forma, es lo que da cumplida razón de que todas las leyes urbanísticas autonómicas sin excepción y el texto refundido de 1976, que sigue siendo directamente aplicable en Ceuta y Melilla, sigan manteniendo la técnica urbanística de la clasificación para determinar los derechos y deberes de los propietarios, pues esta clasificación resulta de la combinación de los dos criterios antes enunciados. Es decir, de la situación básica en que se encuentra el suelo y de las actuaciones de transformación urbanística a las que está sometido.</w:t>
      </w:r>
    </w:p>
    <w:p w:rsidR="00AC56D6" w:rsidRDefault="00AC56D6" w:rsidP="00AC56D6">
      <w:pPr>
        <w:pStyle w:val="TextoNormal"/>
      </w:pPr>
    </w:p>
    <w:p w:rsidR="00AC56D6" w:rsidRDefault="00AC56D6" w:rsidP="00AC56D6">
      <w:pPr>
        <w:pStyle w:val="TextoNormal"/>
      </w:pPr>
      <w:r>
        <w:t>En efecto, de acuerdo con el art. 12 del texto refundido de la Ley de suelo, se encuentran en situación básica de suelo urbanizado los suelos ya transformados por la edificación o la urbanización (suelo urbano), mientras que el resto pertenece a la condición de suelo rural (suelo no urbanizable y urbanizable). A las situaciones básicas en que se encuentra el suelo, se superpone la actuación de transformación urbanística o edificatoria a que estén sometidos (art. 14 del texto refundido de la Ley de suelo). Así, en lo que interesa a la presente cuestión, dentro de los suelos rurales, se encuentran los preservados de la urbanización (suelo no urbanizable de protección y suelo no urbanizable común), aquellos para los que el plan no ha establecido condiciones de ordenación (suelo urbanizable no delimitado, no programado o no sectorizado) y aquellos otros para los que los instrumentos de ordenación territorial y urbanística prevean o permitan su paso a suelo urbanizado hasta que termine la correspondiente actuación de primera urbanización (suelo urbanizable delimitado, programado, o sectorizado).</w:t>
      </w:r>
    </w:p>
    <w:p w:rsidR="00AC56D6" w:rsidRDefault="00AC56D6" w:rsidP="00AC56D6">
      <w:pPr>
        <w:pStyle w:val="TextoNormal"/>
      </w:pPr>
    </w:p>
    <w:p w:rsidR="00AC56D6" w:rsidRDefault="00AC56D6" w:rsidP="00AC56D6">
      <w:pPr>
        <w:pStyle w:val="TextoNormal"/>
      </w:pPr>
      <w:r>
        <w:t>Pues bien, conforme al texto refundido, los suelos en situación básica de suelo rural se valoran por el método de capitalización de la renta anual, potencial o real, conforme a su destino rural, que podrá ser corregido al alza en función de factores objetivos de localización en los términos que reglamentariamente se establezcan (art. 23 del texto refundido de la Ley de suelo). Esta es la única compensación prevista para los propietarios de los suelos rurales no sometidos a una actuación de primera urbanización. Sin embargo, en el caso de los suelos en situación básica rural sometidos a una actuación de primera urbanización, entendiendo por tal la que conlleva el paso de un suelo de la situación básica de suelo rural a la de suelo urbanizado, para crear una o más parcelas aptas para la edificación y conectadas funcionalmente con la red de servicios [art. 14.1 a) 1 del texto refundido de la Ley de suelo], a la compensación obtenida por el método del art. 23.1 del texto refundido de la Ley de suelo, que no tiene en cuenta las plusvalías derivadas del planeamiento aprobado o que pudiera aprobarse en el futuro (art. 23.2 del texto refundido de la Ley de suelo), se le añade la debida por la privación de la facultad de participar en la actuación urbanizadora (art. 25.2 del texto refundido de la Ley de suelo), siempre y cuando se den los requisitos establecidos en el art. 25.1 del texto refundido de la Ley de suelo. Cuando la actuación de primera urbanización en el suelo rural ya estuviera iniciada cuando se procede a expropiar el suelo, la indemnización que corresponde por la privación de esta facultad es la prevista en el art. 26.2 del texto refundido de la Ley de suelo en la que no cabe detenerse en este momento por exceder del objeto de esta cuestión.</w:t>
      </w:r>
    </w:p>
    <w:p w:rsidR="00AC56D6" w:rsidRDefault="00AC56D6" w:rsidP="00AC56D6">
      <w:pPr>
        <w:pStyle w:val="TextoNormal"/>
      </w:pPr>
    </w:p>
    <w:p w:rsidR="00AC56D6" w:rsidRDefault="00AC56D6" w:rsidP="00AC56D6">
      <w:pPr>
        <w:pStyle w:val="TextoNormal"/>
      </w:pPr>
      <w:r>
        <w:t xml:space="preserve">En definitiva, el justiprecio contemplado en el texto refundido por la privación de la propiedad de los suelos que, aun estando en situación básica de suelo rural, están sometidos a una actuación de primera urbanización, es decir, están clasificados como suelos urbanizables delimitados, programados o sectorizados y cuentan con la ordenación necesaria para </w:t>
      </w:r>
      <w:r>
        <w:lastRenderedPageBreak/>
        <w:t>legitimar la actividad urbanística de ejecución cuando ésta aún no se ha iniciado, está compuesto por la suma de dos conceptos indemnizatorios: el que corresponde al suelo sin tener en cuenta el destino que le atribuye el planeamiento (art. 23.1 del texto refundido de la Ley de suelo) y el que le corresponde por la privación de la facultad de participar en la actuación urbanística o primera urbanización (art. 25.2 del texto refundido de la Ley de suelo).</w:t>
      </w:r>
    </w:p>
    <w:p w:rsidR="00AC56D6" w:rsidRDefault="00AC56D6" w:rsidP="00AC56D6">
      <w:pPr>
        <w:pStyle w:val="TextoNormal"/>
      </w:pPr>
    </w:p>
    <w:p w:rsidR="00AC56D6" w:rsidRDefault="00AC56D6" w:rsidP="00AC56D6">
      <w:pPr>
        <w:pStyle w:val="TextoNormal"/>
      </w:pPr>
      <w:r>
        <w:t>Cabe señalar, en primer lugar, que lo que la Sala cuestiona es la inconstitucionalidad del completo sistema de valoración establecido por el texto refundido para los suelos urbanizables delimitados o suelos rurales sometidos a una actuación de primera urbanización, de ahí que incluya en la cuestión todos los preceptos que inciden en la misma: el que descompone las facultades del derecho de propiedad, igualando todos los suelos con diferente clasificación (art. 12 del texto refundido de la Ley de suelo) y determina la aplicación del método de capitalización de rentas, que no permite tener en cuenta las expectativas derivadas del planeamiento [art. 23.1 a) y 2 del texto refundido de la Ley de suelo], así como el que reconoce de forma separada la facultad de participar en la actuación de urbanización y establece para ella un valor que no arroja un valor proporcionado al real del bien expropiado (art. 25 del texto refundido de la Ley de suelo). Aunque la Sala reconoce que el método de comparación no es el único posible, considera que el art. 33.3 CE impide utilizar cualquier método que se aleje del valor del mercado. Y el sistema de valoración establecido para este tipo de suelos lo hace. Su objeto aparece, por tanto, convenientemente precisado sin perjuicio de que su resolución deba partir del análisis de cada uno de los preceptos impugnados.</w:t>
      </w:r>
    </w:p>
    <w:p w:rsidR="00AC56D6" w:rsidRDefault="00AC56D6" w:rsidP="00AC56D6">
      <w:pPr>
        <w:pStyle w:val="TextoNormal"/>
      </w:pPr>
    </w:p>
    <w:p w:rsidR="00AC56D6" w:rsidRDefault="00AC56D6" w:rsidP="00AC56D6">
      <w:pPr>
        <w:pStyle w:val="TextoNormal"/>
      </w:pPr>
      <w:r>
        <w:t>Esto expuesto, resulta manifiesto que la objeción planteada por el Abogado del Estado relativa a que la cuestión se ha promovido en relación con dos preceptos (el art. 23 y el art. 25 del texto refundido de la Ley de suelo) de aplicación alternativa, el primero para el suelo que no se encuentra afectado por una actuación de nueva urbanización, el segundo para aquellos sometidos a ella, es infundada. Cuando se trata de suelos rurales sometidos a una operación de primera urbanización la compensación, como se viene de razonar, se obtiene por la suma de las cantidades obtenidas en aplicación de ambos.</w:t>
      </w:r>
    </w:p>
    <w:p w:rsidR="00AC56D6" w:rsidRDefault="00AC56D6" w:rsidP="00AC56D6">
      <w:pPr>
        <w:pStyle w:val="TextoNormal"/>
      </w:pPr>
    </w:p>
    <w:p w:rsidR="00AC56D6" w:rsidRDefault="00AC56D6" w:rsidP="00AC56D6">
      <w:pPr>
        <w:pStyle w:val="TextoNormal"/>
      </w:pPr>
      <w:r>
        <w:t xml:space="preserve">En cuanto a la alegación según la cual ni del expediente se deriva, ni la Sala razona expresamente que se trate de suelo afectado por una actuación de urbanización, es más, que ello sólo puede proceder de un error, es importante recordar que de acuerdo con la doctrina constitucional, es al órgano judicial al que corresponde comprobar y exteriorizar el juicio de relevancia de modo que el Tribunal Constitucional no puede invadir ámbitos que a éste corresponde, rectificando el criterio de los órganos proponentes, salvo en supuestos en que de manera notoria y sin necesidad de examinar el fondo debatido y en aplicación de principios jurídicos básicos, se desprenda que no existe nexo causal entre la validez de los preceptos jurídicos cuestionados y la decisión a adoptar en el proceso </w:t>
      </w:r>
      <w:r w:rsidRPr="00AC56D6">
        <w:rPr>
          <w:i/>
        </w:rPr>
        <w:t>a quo</w:t>
      </w:r>
      <w:r>
        <w:t xml:space="preserve"> (por todas STC 139/2005, de 26 de mayo, FJ 5).</w:t>
      </w:r>
    </w:p>
    <w:p w:rsidR="00AC56D6" w:rsidRDefault="00AC56D6" w:rsidP="00AC56D6">
      <w:pPr>
        <w:pStyle w:val="TextoNormal"/>
      </w:pPr>
    </w:p>
    <w:p w:rsidR="00AC56D6" w:rsidRDefault="00AC56D6" w:rsidP="00AC56D6">
      <w:pPr>
        <w:pStyle w:val="TextoNormal"/>
      </w:pPr>
      <w:r>
        <w:t>Pues bien, a diferencia de lo alegado por el Abogado del Estado, la Administración demandada reconoce en su contestación a la demanda que el suelo expropiado en la fecha a la que debe referirse la valoración, no sólo estaba clasificado como suelo urbanizable como consecuencia de la aprobación definitiva del proyecto de singular interés, mediante el acuerdo del Consejo de Gobierno de 23 de septiembre de 2008, que obligaba al planeamiento municipal a incorporar sus determinaciones, sino que establecía, además, que la eje</w:t>
      </w:r>
      <w:r>
        <w:lastRenderedPageBreak/>
        <w:t>cución sistemática del planeamiento se llevaría a efecto por el sistema de expropiación forzosa, lo cual, por razones obvias, sólo es posible cuando existe una actuación de urbanización prevista en el planeamiento. No cabe tampoco acoger la alegación del Ministerio Fiscal según la cual el Auto proponente habría afirmado que la finca es rústica pues el proyecto de singular interés que motiva la expropiación “establecía un precio unitario en la zona de 25 euros/m2 (precio referido al suelo antes de la adquisición de cualquier facultad urbanística propia del suelo urbanizable)”. El proyecto de singular interés se refería, y así lo explicita el Auto, a la situación del suelo antes de la aprobación de este instrumento de ordenación, y la alusión a su condición de rústica antes de la aprobación del proyecto se realiza por el Auto para justificar que, incluso antes de su clasificación, el suelo tenía un precio superior en el mercado al que establece la resolución del Jurado territorial impugnada en el proceso del que trae causa esta cuestión.</w:t>
      </w:r>
    </w:p>
    <w:p w:rsidR="00AC56D6" w:rsidRDefault="00AC56D6" w:rsidP="00AC56D6">
      <w:pPr>
        <w:pStyle w:val="TextoNormal"/>
      </w:pPr>
    </w:p>
    <w:p w:rsidR="00AC56D6" w:rsidRDefault="00AC56D6" w:rsidP="00AC56D6">
      <w:pPr>
        <w:pStyle w:val="TextoNormal"/>
      </w:pPr>
      <w:r>
        <w:t>Antes al contrario, el Auto de planteamiento de la cuestión razona que “la definición de suelo rural que hace el art. 12 del texto refundido de la Ley de suelo incluye en su seno el caso de un suelo urbanizable en el que la urbanización aún no se ha iniciado. Ahora bien, la ley pretende introducir una matización valorativa cuando el art. 25 del texto refundido de la Ley de suelo indica la posibilidad de valorar la pérdida de la facultad de participar en las actuaciones urbanizadoras. Si esta matización permitiera hallar un valor comparable al valor real del bien en tales casos, no habría problema alguno de constitucionalidad en este caso”. Como quiera que el Auto explica que “sin ir más lejos, consta por ejemplo, aportado por el demandante, el convenio entre la beneficiaria de la expropiación, Instituto de Finanzas de Castilla-La Mancha, S.A., y Aernova Composites, S.A.U., de 8 de enero de 2009, en el que se prevé la enajenación del suelo urbanizado a razón de 195 euros/m2”, sólo cabe concluir que la Sala ha razonado debidamente, valiéndose de conceptos urbanísticos, la aplicación y relevancia, junto con el art. 23 del texto refundido de la Ley de suelo, del art. 25.2 a) del mismo texto legal. La valoración discutida en el proceso y que genera las dudas de constitucionalidad a la Sala proponente, trae causa, según esta expone, de la expropiación en ejecución del planeamiento de la que fue beneficiaria la mercantil pública, que procedió a venderlos una vez urbanizados. De ahí que la valoración discutida afecte a un suelo rural, condición a la que el Auto se refiere expresamente al señalar que había sido recogida en el proyecto de singular interés, y sometido a una actuación de primera urbanización, que es la que permite que la beneficiaria de la expropiación lo urbanizara en ejecución del planeamiento.</w:t>
      </w:r>
    </w:p>
    <w:p w:rsidR="00AC56D6" w:rsidRDefault="00AC56D6" w:rsidP="00AC56D6">
      <w:pPr>
        <w:pStyle w:val="TextoNormal"/>
      </w:pPr>
    </w:p>
    <w:p w:rsidR="00AC56D6" w:rsidRDefault="00AC56D6" w:rsidP="00AC56D6">
      <w:pPr>
        <w:pStyle w:val="TextoNormal"/>
      </w:pPr>
      <w:r>
        <w:t>Sin duda, no es exigible al Auto de planteamiento que anticipe en este momento procesal todos y cada uno de los motivos de la resolución que finalmente vaya a adoptar. Basta con que establezca la debida conexión entre la cuestión planteada y el objeto del litigio para garantizar el control concreto de constitucionalidad que corresponde a este tipo de proceso constitucional. Y esta conexión ha quedado debidamente acreditada por la Sala.</w:t>
      </w:r>
    </w:p>
    <w:p w:rsidR="00AC56D6" w:rsidRDefault="00AC56D6" w:rsidP="00AC56D6">
      <w:pPr>
        <w:pStyle w:val="TextoNormal"/>
      </w:pPr>
    </w:p>
    <w:p w:rsidR="00AC56D6" w:rsidRDefault="00AC56D6" w:rsidP="00AC56D6">
      <w:pPr>
        <w:pStyle w:val="TextoNormal"/>
      </w:pPr>
      <w:r>
        <w:t xml:space="preserve">A mayor abundamiento, el supuesto error en que habría incurrido el Auto, según el Abogado del Estado, y que justificaría rectificar su razonamiento, se basa en su interpretación de que sólo el planeamiento municipal puede clasificar suelo y no así, sin embargo, la ordenación territorial -lo que contradice palmariamente el tenor literal del art. 12.2 b) del texto refundido de la Ley de suelo, y en que la aplicación del art. 25.2 del texto refundido de la Ley de suelo a este supuesto vulneraría lo dispuesto en la Ley de expropiación forzosa. Esto </w:t>
      </w:r>
      <w:r>
        <w:lastRenderedPageBreak/>
        <w:t>es, meras razones de legalidad ordinaria que no permiten a este Tribunal reemplazar el juicio del órgano judicial sin invadir el ámbito que a éste último corresponde.</w:t>
      </w:r>
    </w:p>
    <w:p w:rsidR="00AC56D6" w:rsidRDefault="00AC56D6" w:rsidP="00AC56D6">
      <w:pPr>
        <w:pStyle w:val="TextoNormal"/>
      </w:pPr>
    </w:p>
    <w:p w:rsidR="00AC56D6" w:rsidRDefault="00AC56D6" w:rsidP="00AC56D6">
      <w:pPr>
        <w:pStyle w:val="TextoNormal"/>
      </w:pPr>
      <w:r>
        <w:t>Por las razones expuestas no podemos dar la razón al Abogado del Estado cuando afirma que la Sala no ha realizado alegación alguna sobre la relevancia del apartado primero del art. 25 del texto refundido de la Ley de suelo, que determina las condiciones del nacimiento para el propietario de la facultad de participar en la actuación de urbanización y de su compensación. En la medida en que ésta parte de que no es posible separar, a efectos de valoración, el suelo del destino que para él contempla el planeamiento y el art. 25 del texto refundido de la Ley de suelo, a pesar de reconocer la facultad de participar, no prevé una indemnización adecuada al valor que realmente tiene un suelo urbanizable delimitado destinado a su transformación, la Sala ha justificado su aplicabilidad y relevancia de la misma forma en que lo ha hecho para el art. 12 del texto refundido de la Ley de suelo cuyo juicio de aplicabilidad y relevancia no plantea, sin embargo, objeción alguna al Abogado del Estado.</w:t>
      </w:r>
    </w:p>
    <w:p w:rsidR="00AC56D6" w:rsidRDefault="00AC56D6" w:rsidP="00AC56D6">
      <w:pPr>
        <w:pStyle w:val="TextoNormal"/>
      </w:pPr>
    </w:p>
    <w:p w:rsidR="00AC56D6" w:rsidRDefault="00AC56D6" w:rsidP="00AC56D6">
      <w:pPr>
        <w:pStyle w:val="TextoNormal"/>
      </w:pPr>
      <w:r>
        <w:t>Cuestión distinta es el art. 25.2. b) del texto refundido de la Ley de suelo, que establece el método de valoración aplicable a los supuestos en que el suelo rural sometido a una actuación de primera urbanización ve modificadas las condiciones de su ejercicio por variación de los usos del suelo o reducción de su edificabilidad, que la Sala descarta implícitamente sea el que concurre en el supuesto que ha dado origen a esta cuestión, en el que el propietario del suelo valorado ha sido privado por completo de su propiedad, a causa de la expropiación en favor de la beneficiaria. De ahí que el art. 25.2 b) del texto refundido de la Ley de suelo deba quedar al margen de nuestro pronunciamiento.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El art. 12 del texto refundido de la Ley de suelo define uno de los elementos que, como se expuso en el fundamento jurídico anterior, sirve para delimitar el contenido de los derechos y deberes de los distintos estatutos de la propiedad, y, en función de ellos, determinar el método de valoración que resultará de aplicación. No es inconstitucional que este precepto incluya en la situación básica de rural todos los suelos aún no transformados, esto es, no incorporados al desarrollo urbano, partiendo de las características físicas en que realmente se encuentran, y sin tener en cuenta el diferente destino que les atribuye el planeamiento urbanístico o de ordenación territorial, y en función de ello sirva para aplicar a todos un mismo método de valoración, el contemplado en el art. 23 del texto refundido de la Ley de suelo. Tampoco lo es, que el legislador, al delimitar el derecho de propiedad, opte por separar las diferentes facultades que este le atribuye, para en función de ello establecer distintos conceptos indemnizatorios (art. 25.1 del texto refundido de la Ley de suelo).</w:t>
      </w:r>
    </w:p>
    <w:p w:rsidR="00AC56D6" w:rsidRDefault="00AC56D6" w:rsidP="00AC56D6">
      <w:pPr>
        <w:pStyle w:val="TextoNormal"/>
      </w:pPr>
    </w:p>
    <w:p w:rsidR="00AC56D6" w:rsidRDefault="00AC56D6" w:rsidP="00AC56D6">
      <w:pPr>
        <w:pStyle w:val="TextoNormal"/>
      </w:pPr>
      <w:r>
        <w:t xml:space="preserve">El legislador puede, en atención a la función social que cumple la propiedad, delimitar su contenido (art. 33.2 CE) definiendo los derechos y deberes que ésta comprende en cada caso —régimen estatutario del derecho de propiedad—. Así, el legislador estatal, al delimitar el derecho de propiedad, bien puede establecer que el </w:t>
      </w:r>
      <w:r w:rsidRPr="00AC56D6">
        <w:rPr>
          <w:i/>
        </w:rPr>
        <w:t>ius aedificandi</w:t>
      </w:r>
      <w:r>
        <w:t xml:space="preserve"> se vaya adquiriendo en función de cumplimiento de los deberes, tal y como dispone el art. 7 del texto refundido de la Ley de suelo, cuando prevé que la patrimonialización de la edificabilidad se produce con su realización efectiva y está condicionada al levantamiento de las cargas. Así lo afirma la STC 141/2014, de 11 de septiembre, FJ 9 b) que concluye que “tampoco se deriva de la Constitución que el método de valoración del suelo haya de atender necesariamente al contenido del plan y, más concretamente, a la clasificación que éste prevea para el terreno. Este </w:t>
      </w:r>
      <w:r>
        <w:lastRenderedPageBreak/>
        <w:t>criterio podría considerarse preferible, como lo entienden en su demanda los diputados recurrentes; pero la controversia se desplazaría entonces desde el terreno de la constitucionalidad al de la oportunidad política”.</w:t>
      </w:r>
    </w:p>
    <w:p w:rsidR="00AC56D6" w:rsidRDefault="00AC56D6" w:rsidP="00AC56D6">
      <w:pPr>
        <w:pStyle w:val="TextoNormal"/>
      </w:pPr>
    </w:p>
    <w:p w:rsidR="00AC56D6" w:rsidRDefault="00AC56D6" w:rsidP="00AC56D6">
      <w:pPr>
        <w:pStyle w:val="TextoNormal"/>
      </w:pPr>
      <w:r>
        <w:t>En otras palabras, la definición del contenido de la propiedad y, en consecuencia, la valoración del suelo puede partir de la clasificación del mismo, pero esta no es la única opción para el legislador de acuerdo con el art. 33 CE, pues ello dependerá del contenido del derecho de propiedad que éste previamente haya delimitado.</w:t>
      </w:r>
    </w:p>
    <w:p w:rsidR="00AC56D6" w:rsidRDefault="00AC56D6" w:rsidP="00AC56D6">
      <w:pPr>
        <w:pStyle w:val="TextoNormal"/>
      </w:pPr>
    </w:p>
    <w:p w:rsidR="00AC56D6" w:rsidRDefault="00AC56D6" w:rsidP="00AC56D6">
      <w:pPr>
        <w:pStyle w:val="TextoNormal"/>
      </w:pPr>
      <w:r>
        <w:t>Por ello cabe afirmar, siguiendo la STC 141/2014, de 11 de septiembre. FJ 9 b), que la definición que realiza el art. 12 del texto refundido de la Ley de suelo de las situaciones en que se encuentra el suelo incluyendo en la situación de rural suelos con distinta clasificación urbanística, no es inconstitucional. No solo porque tiene carácter meramente instrumental para la definición de los derechos y deberes de las distintas propiedades del suelo y, aplicar conforme a éstos, un determinado método de valoración, sino porque, además, la clasificación del suelo, con ser un método posible no es el único que respeta el art. 33 CE. Por las mismas razones, no es inconstitucional que el art. 25.1 del texto refundido de la Ley de suelo establezca las condiciones para que nazca la facultad del propietario de participar en la actuación de urbanización y los requisitos que tienen que concurrir para que su privación sea indemnizada. Se trata de una decisión del legislador estatal, adoptada en el ejercicio de la discrecionalidad que le asiste al determinar las facultades y deberes que garantizan la igualdad del derecho de propiedad, que no ha sido cuestionada en este proceso, y que excede del ámbito de control de constitucionalidad que corresponde a este Tribunal.</w:t>
      </w:r>
    </w:p>
    <w:p w:rsidR="00AC56D6" w:rsidRDefault="00AC56D6" w:rsidP="00AC56D6">
      <w:pPr>
        <w:pStyle w:val="TextoNormal"/>
      </w:pPr>
    </w:p>
    <w:p w:rsidR="00AC56D6" w:rsidRDefault="00AC56D6" w:rsidP="00AC56D6">
      <w:pPr>
        <w:pStyle w:val="TextoNormal"/>
      </w:pPr>
      <w:r>
        <w:t>Si ello es así, tampoco es inconstitucional el art. 23.2 del texto refundido de la Ley de suelo, que se limita a concretar la regla mencionada, descartando que se tengan en cuenta, en el método de capitalización de rentas, las que podrían derivar del destino de transformación urbanística que haya contemplado o pudiera otorgar en el futuro el planeamiento urbanístico o la ordenación territorial: “en ninguno de los casos previstos en el apartado anterior podrán considerarse expectativas derivadas de la asignación de edificabilidades y usos por la ordenación territorial y urbanística que no hayan sido aún plenamente realizados”. Tal y como señala la STC 43/2015, de 2 de marzo, FJ 5, “la regulación de un criterio de valoración que excluya de la compensación debida el incremento del valor que adquiere en el mercado un suelo clasificado como rústico por la confianza en que el planeamiento le reconocerá en su día usos urbanísticos, esto es, propios de los núcleos urbanos, no es inconstitucional, pues pretende evitar que se traslade a la colectividad tanto el coste de los riesgos que corresponde asumir a la propiedad como el resto de elementos subjetivos que intervienen en la formación del precio de mercado. En otras palabras, el art. 33.3 CE no garantiza en todo caso el valor de mercado. No lo hace, sin duda, cuando en su formación intervienen las expectativas derivadas de la futura aprobación del planeamiento, ni siquiera las derivadas de un planeamiento ya aprobado hasta que se hayan cumplido las cargas y deberes legalmente establecidos”.</w:t>
      </w:r>
    </w:p>
    <w:p w:rsidR="00AC56D6" w:rsidRDefault="00AC56D6" w:rsidP="00AC56D6">
      <w:pPr>
        <w:pStyle w:val="TextoNormal"/>
      </w:pPr>
    </w:p>
    <w:p w:rsidR="00AC56D6" w:rsidRDefault="00AC56D6" w:rsidP="00AC56D6">
      <w:pPr>
        <w:pStyle w:val="TextoNormal"/>
      </w:pPr>
      <w:r>
        <w:t>En consecuencia, los arts. 12, 23.2 y 25.1 del texto refundido de la Ley de suelo no son inconstitucionales.</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En cuanto al método de valoración contemplado en el art. 23.1 a) del texto refundido de la Ley de suelo, este Tribunal afirmó en la STC 141/2014, de 11 de septiembre, FJ 9 b) </w:t>
      </w:r>
      <w:r>
        <w:lastRenderedPageBreak/>
        <w:t>y ha reiterado en la STC 43/2015, de 2 de marzo, FJ 5, en cuanto al método contemplado en el art. 23 del texto refundido de la Ley de suelo, que “el método de capitalización de rentas modulado en atención a otros factores objetivos de localización es un sistema que incorpora valores acordes con la idea del valor real o económico del bien, que en abstracto puede ofrecer un proporcional equilibrio entre el daño sufrido y la indemnización. No obstante la propia ley reconoce que, en determinadas ocasiones, este criterio puede no llegar a reflejar correctamente el valor real del bien y prueba de ello es que permite corregir al alza el valor obtenido en función de factores objetivos de localización del terreno. El establecimiento de un tope máximo para este factor de corrección, que no se halla justificado, puede por ello resultar inadecuado para obtener en estos casos una valoración del bien ajustada a su valor real e impedir la determinación de una indemnización acorde con la idea del proporcional equilibrio, razones por las cuales el inciso ‘hasta el máximo del doble’ ha de reputarse contrario al art. 33.3 CE. En conclusión, desde el punto de vista abstracto que corresponde al Tribunal Constitucional, no ha de atenderse a las circunstancias precisas que en el supuesto concreto puedan darse, sino a la existencia de un proporcional equilibrio entre el valor del bien o derecho expropiado y la cuantía ofrecida, de manera que la norma solo podrá considerarse constitucionalmente ilegitima cuando la correspondencia entre aquél y ésta se revele manifiestamente desprovista de base razonable”.</w:t>
      </w:r>
    </w:p>
    <w:p w:rsidR="00AC56D6" w:rsidRDefault="00AC56D6" w:rsidP="00AC56D6">
      <w:pPr>
        <w:pStyle w:val="TextoNormal"/>
      </w:pPr>
    </w:p>
    <w:p w:rsidR="00AC56D6" w:rsidRDefault="00AC56D6" w:rsidP="00AC56D6">
      <w:pPr>
        <w:pStyle w:val="TextoNormal"/>
      </w:pPr>
      <w:r>
        <w:t>Así pues, una vez eliminado del ordenamiento el tope del doble con el que el legislador permite corregir el valor obtenido para los suelos que se encuentran en situación básica de suelo rural por el método de capitalización de rentas reales o potenciales en función de factores objetivos de proximidad, que pueden redundar en el valor real que tiene el suelo de acuerdo con su destino rural, y sin tener en cuenta expectativas urbanísticas, el art. 23.1 a) del texto refundido de la Ley de suelo no es inconstitucional.</w:t>
      </w:r>
    </w:p>
    <w:p w:rsidR="00AC56D6" w:rsidRDefault="00AC56D6" w:rsidP="00AC56D6">
      <w:pPr>
        <w:pStyle w:val="TextoNormal"/>
      </w:pPr>
    </w:p>
    <w:p w:rsidR="00AC56D6" w:rsidRDefault="00AC56D6" w:rsidP="00AC56D6">
      <w:pPr>
        <w:pStyle w:val="TextoNormal"/>
      </w:pPr>
      <w:r w:rsidRPr="00AC56D6">
        <w:rPr>
          <w:rStyle w:val="NumeroAFNegritaCaracter"/>
        </w:rPr>
        <w:t>5</w:t>
      </w:r>
      <w:r>
        <w:t>. El Auto proponente de la presente cuestión alega que el suelo urbanizable delimitado tiene un precio en el mercado en el que incide el destino que le atribuye el planeamiento. Los propietarios ostentan la facultad de participar en la actuación urbanística obteniendo las plusvalías derivadas del planeamiento aunque deben hacer frente a los costes de producción del suelo y a la cesión del aprovechamiento lucrativo correspondiente a la participación de la comunidad. Si el art. 25 del texto refundido de la Ley de suelo estableciera una compensación que se acercara al precio de mercado, ningún problema de constitucionalidad existiría, pero ni el art. 23 del texto refundido de la Ley de suelo lo permite, al excluir en el método de capitalización de rentas las plusvalías derivadas del planeamiento, ni tampoco el art. 25 del texto refundido de la Ley de suelo cuya aplicación arroja cantidades bien alejadas del valor de mercado, como intenta demostrar a partir de los precios establecidos en la pericial judicial y el precio de venta del suelo expropiado una vez urbanizado en ejecución del planeamiento.</w:t>
      </w:r>
    </w:p>
    <w:p w:rsidR="00AC56D6" w:rsidRDefault="00AC56D6" w:rsidP="00AC56D6">
      <w:pPr>
        <w:pStyle w:val="TextoNormal"/>
      </w:pPr>
    </w:p>
    <w:p w:rsidR="00AC56D6" w:rsidRDefault="00AC56D6" w:rsidP="00AC56D6">
      <w:pPr>
        <w:pStyle w:val="TextoNormal"/>
      </w:pPr>
      <w:r>
        <w:t xml:space="preserve">La STC 141/2014, de 11 de septiembre, FJ 9 b) afirma que: “pues bien, esta regulación (arts. 25 y 26 del texto refundido de 2008) que prevé un complemento indemnizatorio importante, no ha sido objeto de impugnación y sobre su conformidad o no al texto constitucional tampoco han realizado los recurrentes argumentación específica alguna si quiera por su relación con el art. 22 de la Ley del suelo 2007 y 23 del texto refundido de 2008. Por tanto este Tribunal tampoco tiene que entrar ahora a enjuiciar la constitucionalidad ni de estas reglas adicionales concretas, ni tampoco del sistema de valoración completo”. En consecuencia, este Tribunal no se pronunció sobre la constitucionalidad del art. 25 del texto </w:t>
      </w:r>
      <w:r>
        <w:lastRenderedPageBreak/>
        <w:t>refundido de la Ley de suelo y a ello debemos ahora dar respuesta ciñéndonos al objeto de la cuestión en los términos en que anteriormente ha sido delimitado.</w:t>
      </w:r>
    </w:p>
    <w:p w:rsidR="00AC56D6" w:rsidRDefault="00AC56D6" w:rsidP="00AC56D6">
      <w:pPr>
        <w:pStyle w:val="TextoNormal"/>
      </w:pPr>
    </w:p>
    <w:p w:rsidR="00AC56D6" w:rsidRDefault="00AC56D6" w:rsidP="00AC56D6">
      <w:pPr>
        <w:pStyle w:val="TextoNormal"/>
      </w:pPr>
      <w:r>
        <w:t>Para ello, debemos partir, una vez más, de lo afirmado en la STC 141/2014, de 11 de septiembre. Esta señala, en primer lugar, que el art. 33.3 CE garantiza una indemnización que guarde un proporcional equilibrio con el valor económico del bien expropiado, aun cuando éste no es necesariamente el valor que el mercado está dispuesto a pagar por él: “la Constitución no exige, pues, que la indemnización correspondiente por la privación de bienes y derechos sea equivalente al valor de mercado de éstos, consintiendo así pues al legislador estatal un margen de apreciación para instituir distintas modalidades de valoración” [FJ 9 b)]. Pero, a la vez, establece un límite a este margen de apreciación, pues la determinación de criterios objetivos no justificados, en concreto, el establecimiento de un máximo o tope a la corrección a aplicar al valor obtenido por capitalización de rentas en función de factores objetivos puede impedir, en determinados casos, que la compensación guarde proporción con el valor real del bien y, en consecuencia, puede dificultar una determinación de la indemnización acorde con la idea del proporcional equilibrio. Por esta razón este Tribunal declaró inconstitucional el inciso “como máximo del doble” del art. 23.1 a) del texto refundido de la Ley de suelo: “no obstante, respecto de dichos factores, el art. 23.1 prevé un máximo o límite a la corrección de la valoración del suelo, que incorpora un tope máximo que no se halla justificado, que puede resultar inadecuado para obtener en estos casos una valoración del bien ajustada a su valor real”.</w:t>
      </w:r>
    </w:p>
    <w:p w:rsidR="00AC56D6" w:rsidRDefault="00AC56D6" w:rsidP="00AC56D6">
      <w:pPr>
        <w:pStyle w:val="TextoNormal"/>
      </w:pPr>
    </w:p>
    <w:p w:rsidR="00AC56D6" w:rsidRDefault="00AC56D6" w:rsidP="00AC56D6">
      <w:pPr>
        <w:pStyle w:val="TextoNormal"/>
      </w:pPr>
      <w:r>
        <w:t xml:space="preserve">Señaló esta Sentencia, también, que el valor económico del derecho viene determinado por el contenido que el legislador estatal haya delimitado. Para ello goza de una amplia discrecionalidad. Así, puede legítimamente optar por desvincular el </w:t>
      </w:r>
      <w:r w:rsidRPr="00AC56D6">
        <w:rPr>
          <w:i/>
        </w:rPr>
        <w:t>ius aedificandi</w:t>
      </w:r>
      <w:r>
        <w:t xml:space="preserve"> del derecho de propiedad y establecer que este no se incorpore a la propiedad del suelo, que no se adquiera, hasta que no se hayan cumplido las cargas inherentes a la actuación urbanizadora: “así lo dispone el art. 7 del texto refundido de la Ley de suelo 2008 que dice que la ‘previsión de edificabilidad por la ordenación territorial y urbanística, por si misma no la integra en el contenido de la propiedad del suelo’. La patrimonialización de la edificabilidad, sigue explicando el precepto, ‘se produce únicamente con su realización efectiva y está condicionada en todo caso al cumplimiento de los deberes y levantamiento de las cargas propias del régimen que le corresponda’. La edificabilidad no es, pues, una cualidad del suelo mismo, sino un contenido que le otorga la ley y el plan a cambio del cumplimiento de determinadas obligaciones y es indudable que esta configuración legítima del derecho de propiedad urbanística tiene lógicamente una incidencia y traducción en el régimen de valoración del suelo cuando ya está transformado, esto es, en el suelo urbanizado, mientras que en el suelo rural la indemnización de la simple expectativa urbanística se condiciona a la concurrencia de determinadas circunstancias establecidas en la Ley”. A ello debemos añadir aún, que este Tribunal nada señaló en relación con el complemento indemnizatorio que contempla el art. 25 del texto refundido de la Ley de suelo, al que a continuación nos referiremos, ni tampoco respecto al sistema completo que, a la vista de este precepto, establece la ley para la valoración del suelo.</w:t>
      </w:r>
    </w:p>
    <w:p w:rsidR="00AC56D6" w:rsidRDefault="00AC56D6" w:rsidP="00AC56D6">
      <w:pPr>
        <w:pStyle w:val="TextoNormal"/>
      </w:pPr>
    </w:p>
    <w:p w:rsidR="00AC56D6" w:rsidRDefault="00AC56D6" w:rsidP="00AC56D6">
      <w:pPr>
        <w:pStyle w:val="TextoNormal"/>
      </w:pPr>
      <w:r>
        <w:t xml:space="preserve">Pues bien, el art. 25 del texto refundido de la Ley de suelo contempla la indemnización por la privación de la facultad de participar en la actuación de primera urbanización. Conforme al art. 8.3 c) del texto refundido de la Ley de suelo, entre las facultades que comprende </w:t>
      </w:r>
      <w:r>
        <w:lastRenderedPageBreak/>
        <w:t>la propiedad del “suelo en situación rural para el que los instrumentos de ordenación territorial y urbanística prevean o permitan el paso a la situación de suelo urbanizado”, se encuentra la de “participar en la ejecución de las actuaciones de urbanización a que se refiere el apartado 1 del art. 14 —actuaciones de primera urbanización— en un régimen de equitativa distribución de beneficios y cargas entre todos los propietarios afectados en proporción a su aportación”. Esto es, a diferencia de la facultad de iniciativa que sólo se reconoce al propietario cuando la Administración no se la haya reservado o cuando se la haya atribuido al propietario [arts. 6.4 y 5, y 8.3 b) del texto refundido de la Ley de suelo], el texto refundido atribuye al propietario de este tipo de suelo, con independencia del sistema de ejecución, público o privado, por el que se opte, la facultad de urbanizar sus terrenos y a quedarse con las fincas de resultado en función de su aportación, con la carga de costear la urbanización y realizar las cesiones correspondientes en esta misma proporción. Se trata, en definitiva, de una facultad que el legislador, al delimitar el derecho de propiedad, ha incluido en el derecho cuando se dan las condiciones por éste establecidas. De ahí que, a diferencia de la facultad de iniciativa, la Administración no puede reservarse, excluyéndola del derecho de propiedad, la facultad de participar en la actuación urbanizadora, ni tampoco es necesario que un acto administrativo se la atribuya al propietario. Lo hace directamente la ley. Dicho sea esto sin perjuicio de que se le pueda privar de ella mediante su expropiación ya sea porque la Administración opte por un sistema de ejecución urbanística que elimine de ella a los propietarios —expropiación urbanística—, o bien porque los terrenos que ya incorporan esta facultad son necesarios para el cumplimiento de otros fines de utilidad pública o interés social ante los que debe ceder el derecho de propiedad —expropiación no urbanística—.</w:t>
      </w:r>
    </w:p>
    <w:p w:rsidR="00AC56D6" w:rsidRDefault="00AC56D6" w:rsidP="00AC56D6">
      <w:pPr>
        <w:pStyle w:val="TextoNormal"/>
      </w:pPr>
    </w:p>
    <w:p w:rsidR="00AC56D6" w:rsidRDefault="00AC56D6" w:rsidP="00AC56D6">
      <w:pPr>
        <w:pStyle w:val="TextoNormal"/>
      </w:pPr>
      <w:r>
        <w:t>Es el art. 25.1 del texto refundido de la Ley de suelo el que concreta cuándo nace esta facultad, esto es, cuando los terrenos rurales se encuentran incluidos en un ámbito delimitado que cuenta con todas las condiciones de ordenación necesarias para iniciar la actuación de nueva urbanización. Y determina las tres condiciones que deben darse para la compensación prevista en el artículo 25.2. En primer lugar, que la disposición o acto que motiva la valoración impida o altere las condiciones de su ejercicio, cuando esta alteración consista en la modificación de los usos del suelo inicialmente contemplados o en la reducción de edificabilidad. En segundo lugar, que la privación se produzca antes del inicio de la actuación y del vencimiento de los plazos establecidos para llevarla a efecto o, después, cuando la ejecución no se hubiera llevado a cabo por causas imputables a la administración. En tercer lugar, que el propietario no haya incumplido sus deberes.</w:t>
      </w:r>
    </w:p>
    <w:p w:rsidR="00AC56D6" w:rsidRDefault="00AC56D6" w:rsidP="00AC56D6">
      <w:pPr>
        <w:pStyle w:val="TextoNormal"/>
      </w:pPr>
    </w:p>
    <w:p w:rsidR="00AC56D6" w:rsidRDefault="00AC56D6" w:rsidP="00AC56D6">
      <w:pPr>
        <w:pStyle w:val="TextoNormal"/>
      </w:pPr>
      <w:r>
        <w:t xml:space="preserve">De esta forma, el legislador ha previsto una compensación, precisamente, para cuando el propietario, que ya es titular de la facultad de participar en la actuación de nueva urbanización, que no ha incurrido en incumplimiento, pero no ha cumplimentado aún carga alguna inherente a la actuación urbanizadora pues ésta aún no se ha iniciado, se ve privado de ella. Por mandato del art. 25 del texto refundido de la Ley de suelo, una vez nacida la facultad de participación en la actuación urbanizadora, y dándose las condiciones establecidas para su compensación, su privación, ya sea porque el planeamiento se ejecute por el sistema de expropiación, o porque el suelo sea objeto de una expropiación no urbanística, debe ser indemnizada. Ello resulta coherente con un sistema urbanístico, en el que, a diferencia de otros modelos urbanísticos comparados, el propietario no tiene que adquirir onerosamente una facultad que pertenece a la Administración, ni siquiera tiene que hacerlo sin contraprestación, pues la ley se la atribuye directa y gratuitamente cuando se delimita la actuación y </w:t>
      </w:r>
      <w:r>
        <w:lastRenderedPageBreak/>
        <w:t>se aprueba la ordenación necesaria para proceder a la ejecución urbanística (arts. 8 y 25.1 del texto refundido de la Ley de suelo), todo ello sin perjuicio de la obligación que se le impone de cumplir los deberes que son inherentes a la actuación de urbanización para la completa patrimonialización de la edificabilidad (art. 7 del texto refundido de la Ley de suelo) entre los que figura la obligación de cesión al municipio del aprovechamiento lucrativo.</w:t>
      </w:r>
    </w:p>
    <w:p w:rsidR="00AC56D6" w:rsidRDefault="00AC56D6" w:rsidP="00AC56D6">
      <w:pPr>
        <w:pStyle w:val="TextoNormal"/>
      </w:pPr>
    </w:p>
    <w:p w:rsidR="00AC56D6" w:rsidRDefault="00AC56D6" w:rsidP="00AC56D6">
      <w:pPr>
        <w:pStyle w:val="TextoNormal"/>
      </w:pPr>
      <w:r>
        <w:t>Esta facultad de participar en la actuación urbanizadora en régimen de equidistribución de beneficios y cargas que define el art. 8.3 c) del texto refundido de la Ley de suelo al delimitar el derecho de propiedad, aún pendiente del cumplimiento de los deberes que le son inherentes, obra, pues, incorporada al patrimonio del propietario, cuando se dan las condiciones establecidas en el art. 25.1 del texto refundido de la Ley de suelo. En caso contrario, el legislador no podría haber previsto indemnización alguna por su privación, ya que no son objeto de compensación las meras expectativas no incorporadas al derecho de propiedad, sino, solo y únicamente, las que ya lo están. Y esta facultad, cuya privación debe ser compensada por mandato del legislador, tiene un valor económico real, acorde con el contenido con que la ha definido el legislador, que es, conforme al art. 33.3 CE, el que debe ser indemnizado.</w:t>
      </w:r>
    </w:p>
    <w:p w:rsidR="00AC56D6" w:rsidRDefault="00AC56D6" w:rsidP="00AC56D6">
      <w:pPr>
        <w:pStyle w:val="TextoNormal"/>
      </w:pPr>
    </w:p>
    <w:p w:rsidR="00AC56D6" w:rsidRDefault="00AC56D6" w:rsidP="00AC56D6">
      <w:pPr>
        <w:pStyle w:val="TextoNormal"/>
      </w:pPr>
      <w:r>
        <w:t>El valor económico de la facultad que incorpora el derecho de propiedad que se expropia no tiene que ser necesariamente un valor de mercado tal y como señaló el Tribunal Constitucional en la STC 141/2014, de 11 de septiembre, FJ 9 b). El legislador, dentro de su discrecionalidad, puede establecer distintos métodos de valoración, tanto más cuanto el mercado está sujeto a tensiones especulativas que el legislador debe tender a evitar por mandato constitucional. Pero, a la hora de establecerlos, debe respetar los límites constitucionales derivados del art. 33.3 CE, límites que también precisó la STC 141/2014, de 11 de septiembre, FJ 9 b): que estos criterios, aunque objetivos, se encuentren justificados, y que la compensación obtenida en su aplicación guarde proporción con el valor real del bien, valor real que no es el que en cada caso determina el legislador, sino el que realmente tiene, límites cuya infracción llevó al Tribunal a declarar inconstitucional el tope del doble contemplado en el art. 23.1 a) del texto refundido de la Ley de suelo.</w:t>
      </w:r>
    </w:p>
    <w:p w:rsidR="00AC56D6" w:rsidRDefault="00AC56D6" w:rsidP="00AC56D6">
      <w:pPr>
        <w:pStyle w:val="TextoNormal"/>
      </w:pPr>
    </w:p>
    <w:p w:rsidR="00AC56D6" w:rsidRDefault="00AC56D6" w:rsidP="00AC56D6">
      <w:pPr>
        <w:pStyle w:val="TextoNormal"/>
      </w:pPr>
      <w:r>
        <w:t xml:space="preserve">La valoración prevista por el apartado 2 letra a) del art. 25 del texto refundido de la Ley de suelo, de la privación de la facultad de participar en la actuación de urbanización cuando aún no se ha iniciado, se obtiene por la aplicación de un porcentaje (art. 25.2) a la diferencia de valor que tiene el suelo en su situación de origen —el obtenido por capitalización de rentas conforme a su situación rural incrementado en función de factores objetivos de localización— y el que habría tenido de haberse finalizado la actuación [art. 25.2 a)], esto es el valor de mercado que tienen en el momento de la expropiación los suelos ya urbanizados de las mismas características del que es objeto de expropiación. Este porcentaje fijo, lejos de estar relacionado con el contenido económico de la facultad de la que el propietario se ha visto privado, la que le hubiera permitido desarrollar la urbanización en régimen de equistribución de beneficios y cargas, viene dado por un elemento objetivo, a establecer por el legislador autonómico dentro del margen permitido por la legislación estatal, que sirve una finalidad bien distinta, la de determinar la prestación patrimonial pública de naturaleza no tributaria impuesta por el art. 47 CE cuando contempla la participación de la comunidad en las plusvalías derivadas de la acción urbanística de los poderes públicos. Un porcentaje que oscila, como regla general, entre el 5 y 15 por 100, excepcionalmente entre el 0 y el 20 por </w:t>
      </w:r>
      <w:r>
        <w:lastRenderedPageBreak/>
        <w:t>100 cuando el valor de las parcelas resultantes sea sensiblemente inferior o superior al medio de los restantes en su misma categoría de suelo [art. 16.1 b) del texto refundido de la Ley de suelo].</w:t>
      </w:r>
    </w:p>
    <w:p w:rsidR="00AC56D6" w:rsidRDefault="00AC56D6" w:rsidP="00AC56D6">
      <w:pPr>
        <w:pStyle w:val="TextoNormal"/>
      </w:pPr>
    </w:p>
    <w:p w:rsidR="00AC56D6" w:rsidRDefault="00AC56D6" w:rsidP="00AC56D6">
      <w:pPr>
        <w:pStyle w:val="TextoNormal"/>
      </w:pPr>
      <w:r>
        <w:t>Al igual que en las prestaciones patrimoniales públicas de carácter tributario, el tipo impositivo no determina el valor del bien, servicio o actividad económica gravados, el porcentaje de cesión del aprovechamiento urbanístico aplicado a la diferencia del valor del suelo urbanizado y el que tenía inicialmente por capitalización de rentas, no guarda relación alguna con el valor real de la facultad de la que se ve privado el propietario, la que le habría permitido participar en la actuación de urbanización en régimen de equidistribución de beneficios y cargas. Tanto es así que, en aquellas Comunidades Autónomas en que los resultados económicos netos derivados del ejercicio por el propietario de la facultad de participación en la actuación urbanizadora de la que se ha visto privado hubieran sido menores, por ser mayor el porcentaje de cesión al municipio, el valor del suelo expropiado será mayor por ser mayor el porcentaje aplicado, mientras que en aquellas otras en que el porcentaje de cesión es menor, y por tanto, mayores los beneficios netos del propietario, la aplicación del criterio establecido por el art. 25.2 a) del texto refundido de la Ley de suelo arroja un precio de suelo inferior.</w:t>
      </w:r>
    </w:p>
    <w:p w:rsidR="00AC56D6" w:rsidRDefault="00AC56D6" w:rsidP="00AC56D6">
      <w:pPr>
        <w:pStyle w:val="TextoNormal"/>
      </w:pPr>
    </w:p>
    <w:p w:rsidR="00AC56D6" w:rsidRDefault="00AC56D6" w:rsidP="00AC56D6">
      <w:pPr>
        <w:pStyle w:val="TextoNormal"/>
      </w:pPr>
      <w:r>
        <w:t>Cierto es que la aplicación de este método de valoración responde a una lógica que no es otra que cuando el desarrollo del planeamiento se realiza por los propietarios, la comunidad, a través del municipio, participa en las plusvalías urbanísticas con la cesión de suelo ya urbanizado, por lo tanto, cuando el propietario es expropiado de esta facultad sin haber iniciado siquiera el cumplimiento de sus deberes, debe participar en las plusvalías urbanísticas de la misma forma que la comunidad. Pero, conforme a la STC 141/2014, de 11 de septiembre, el método de valoración del suelo, aun cuando pueda tener en cuenta intereses públicos de relevancia constitucional, como es el mandato de los poderes públicos de evitar la especulación, debe garantizar un adecuado equilibrio entre la compensación obtenida y el valor real del bien, en este caso, de la facultad que se expropia, adecuado equilibrio que no se garantiza con la aplicación del porcentaje fijo con que el legislador ha determinado la participación de la comunidad en la plusvalía generada por el planeamiento y costeada por los propietarios del suelo.</w:t>
      </w:r>
    </w:p>
    <w:p w:rsidR="00AC56D6" w:rsidRDefault="00AC56D6" w:rsidP="00AC56D6">
      <w:pPr>
        <w:pStyle w:val="TextoNormal"/>
      </w:pPr>
    </w:p>
    <w:p w:rsidR="00AC56D6" w:rsidRDefault="00AC56D6" w:rsidP="00AC56D6">
      <w:pPr>
        <w:pStyle w:val="TextoNormal"/>
      </w:pPr>
      <w:r>
        <w:t>Frente a lo hasta aquí expuesto, la justificación que ofrece el texto refundido, a la que se remiten tanto el Abogado del Estado como el Fiscal General del Estado, para afirmar que existe un proporcional equilibrio entre la compensación por la privación de la facultad que comprende la propiedad del suelo rural sometido a una actuación de nueva urbanización, es la siguiente: “en todo caso, cuando éste está sometido a una actuación de transformación urbanizadora o edificatoria, se indemniza los gastos e inversiones acometidos junto con una prima razonable que retribuya el riesgo asumido y se eliminan saltos valorativos difícilmente entendibles en el curso del proceso de ordenación y ejecución urbanística. En los casos en que una decisión administrativa impide participar en una actuación de urbanización o altera las condiciones de ésta, sin que medie incumplimiento por parte del propietario, se valora la privación de la facultad en sí misma, lo que contribuye a un tratamiento más ponderado de la situación en que se encuentran aquellos. En definitiva un régimen que sin valorar expectativas generadas exclusivamente por la actividad administrativa de ordenación de los usos del suelo, retribuye e incentiva la actividad urbanizadora o edificatoria empren</w:t>
      </w:r>
      <w:r>
        <w:lastRenderedPageBreak/>
        <w:t>dida en cumplimiento de aquella y de la función social de la propiedad”. Pues bien, la exposición de motivos no da razón alguna, más allá de afirmar que se trata de un tratamiento ponderado, de porqué este valor objetivo y fijo que se impone a partir de la aplicación de un porcentaje establecido con otra finalidad, y no otro, permite hallar una compensación que guarde un proporcionado equilibrio con el valor real de la facultad expropiada.</w:t>
      </w:r>
    </w:p>
    <w:p w:rsidR="00AC56D6" w:rsidRDefault="00AC56D6" w:rsidP="00AC56D6">
      <w:pPr>
        <w:pStyle w:val="TextoNormal"/>
      </w:pPr>
    </w:p>
    <w:p w:rsidR="00AC56D6" w:rsidRDefault="00AC56D6" w:rsidP="00AC56D6">
      <w:pPr>
        <w:pStyle w:val="TextoNormal"/>
      </w:pPr>
      <w:r>
        <w:t>A mayor abundamiento, tal y como este Tribunal tiene afirmado en la STC 251/2006, de 25 de julio, FJ 5 a), “en tanto que institución de garantía de los intereses económicos privados, la expropiación forzosa implica la obligación de los poderes públicos de indemnizar a quien resulta privado de sus bienes y derechos por legítimas razones de interés general con un equivalente económico, que ha de establecerse conforme a criterios objetivos de valoración prefijados por la ley, a través de un procedimiento … Sin duda la uniformidad normativa impuesta por la Constitución supone la igual configuración y aplicación de las mencionadas garantías expropiatorias en todo el territorio del Estado, y por ende el estricto respeto y cumplimiento de los criterios y sistema de valoración del justiprecio y del procedimiento expropiatorio establecidos por la ley para las diferentes modalidades de expropiación. De este modo, la competencia exclusiva que al Estado reserva el art. 149.1.18 CE impide que los bienes sean evaluados con criterios diferentes en unas y otras partes del territorio nacional y que se prive algún ciudadano de alguna de las garantías que comporta el procedimiento expropiatorio”.</w:t>
      </w:r>
    </w:p>
    <w:p w:rsidR="00AC56D6" w:rsidRDefault="00AC56D6" w:rsidP="00AC56D6">
      <w:pPr>
        <w:pStyle w:val="TextoNormal"/>
      </w:pPr>
    </w:p>
    <w:p w:rsidR="00AC56D6" w:rsidRDefault="00AC56D6" w:rsidP="00AC56D6">
      <w:pPr>
        <w:pStyle w:val="TextoNormal"/>
      </w:pPr>
      <w:r>
        <w:t>Cierto es que, en este caso, el legislador estatal no ha dejado en manos de las Comunidades Autónomas el establecimiento del criterio de valoración por la privación de la facultad de participación en la actuación de primera urbanización cuando ésta aún no ha sido iniciada, pero ha establecido un criterio que depende única y exclusivamente de lo que cada Comunidad Autónoma establezca como porcentaje de participación de la comunidad en las plusvalías derivadas del planeamiento urbanístico. De esta manera, resulta que la compensación debida por la privación de esta facultad dependerá de dónde estén ubicados los bienes dentro del territorio nacional sin que, a estos efectos, se garantice la uniformidad normativa a la que, como este Tribunal ha afirmado, sirve la expropiación forzosa y las garantías que ésta debe observar a los efectos de garantizar el contenido del derecho de propieda</w:t>
      </w:r>
      <w:r w:rsidRPr="00AC56D6">
        <w:rPr>
          <w:i/>
        </w:rPr>
        <w:t xml:space="preserve">d </w:t>
      </w:r>
      <w:r>
        <w:t>ex art. 33.3 CE.</w:t>
      </w:r>
    </w:p>
    <w:p w:rsidR="00AC56D6" w:rsidRDefault="00AC56D6" w:rsidP="00AC56D6">
      <w:pPr>
        <w:pStyle w:val="TextoNormal"/>
      </w:pPr>
    </w:p>
    <w:p w:rsidR="00AC56D6" w:rsidRDefault="00AC56D6" w:rsidP="00AC56D6">
      <w:pPr>
        <w:pStyle w:val="TextoNormal"/>
      </w:pPr>
      <w:r>
        <w:t>Por lo hasta aquí expuesto, al igual que en la STC 141/2014, de 11 de septiembre, debemos afirmar ahora que el método de valoración objetivo y no justificado que establece el art. 25.2 a) del texto refundido de la Ley de suelo para determinar la compensación debida por la privación de la facultad de participar en la actuación de primera urbanización, cuando los propietarios no han iniciado aún la urbanización pero no han incumplido sus deberes, no garantiza en todo caso el proporcional equilibrio que debe existir entre la compensación prevista en la ley y el contenido real de la facultad de la que se ve privado el propietario. En consecuencia la compensación contemplada en el art. 25.2 a) del texto refundido de la Ley de suelo es inconstitucional.</w:t>
      </w:r>
    </w:p>
    <w:p w:rsidR="00AC56D6" w:rsidRDefault="00AC56D6" w:rsidP="00AC56D6">
      <w:pPr>
        <w:pStyle w:val="TextoNormal"/>
      </w:pPr>
    </w:p>
    <w:p w:rsidR="00AC56D6" w:rsidRDefault="00AC56D6" w:rsidP="00AC56D6">
      <w:pPr>
        <w:pStyle w:val="TextoNormal"/>
      </w:pPr>
      <w:r w:rsidRPr="00AC56D6">
        <w:rPr>
          <w:rStyle w:val="NumeroAFNegritaCaracter"/>
        </w:rPr>
        <w:t>6</w:t>
      </w:r>
      <w:r>
        <w:t xml:space="preserve">. Declarada la inconstitucionalidad del art. 25.2 a) del texto refundido de la Ley de suelo, corresponde al legislador establecer el método de valoración de la facultad del derecho de propiedad definida en el art. 8.3 c) del texto refundido de la Ley de suelo, sin que competa, a este Tribunal sustituirle en su discrecionalidad, debiéndonos limitar, en consecuencia, a declarar inconstitucional y nulo el método establecido en el art. 25.2 a) del texto </w:t>
      </w:r>
      <w:r>
        <w:lastRenderedPageBreak/>
        <w:t>refundido de la Ley de suelo, dejando señalado que la valoración del suelo en situación básica de suelo rural sometido a una actuación de primera urbanización cuando ha nacido para los propietarios la facultad de participar de la actuación y se dan el resto de requisitos establecidos en el art. 25.1 del texto refundido de la Ley de suelo, requiere de un complemento indemnizatorio que responda al valor real de la facultad de la que los propietarios se han visto privados, con respeto al art. 33.3 CE.</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1º Estimar parcialmente la presente cuestión de inconstitucionalidad y declarar inconstitucional y nulo el art. 25.2 a) del Real Decreto Legislativo 2/2008, de 20 de junio, que aprueba el texto refundido de la Ley de suelo.</w:t>
      </w:r>
    </w:p>
    <w:p w:rsidR="00AC56D6" w:rsidRDefault="00AC56D6" w:rsidP="00AC56D6">
      <w:pPr>
        <w:pStyle w:val="TextoNormal"/>
      </w:pPr>
    </w:p>
    <w:p w:rsidR="00AC56D6" w:rsidRDefault="00AC56D6" w:rsidP="00AC56D6">
      <w:pPr>
        <w:pStyle w:val="TextoNormal"/>
      </w:pPr>
      <w:r>
        <w:t>2º Desestimar la cuestión en todo lo demás.</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veintidós de octubre de dos mil quince.</w:t>
      </w:r>
    </w:p>
    <w:p w:rsidR="00AC56D6" w:rsidRDefault="00AC56D6" w:rsidP="00AC56D6">
      <w:pPr>
        <w:pStyle w:val="ParrafoNormal"/>
      </w:pPr>
    </w:p>
    <w:p w:rsidR="00AC56D6" w:rsidRDefault="00AC56D6" w:rsidP="00AC56D6">
      <w:pPr>
        <w:pStyle w:val="TextoNormalNegritaCentrado"/>
        <w:keepNext/>
      </w:pPr>
      <w:r>
        <w:t>Voto particular que formulan la Magistrada doña Adela Asua Batarrita y el Magistrado don Fernando Valdés Dal-Ré a la Sentencia dictada en la cuestión de inconstitucionalidad núm. 6059-2014.</w:t>
      </w:r>
    </w:p>
    <w:p w:rsidR="00AC56D6" w:rsidRDefault="00AC56D6" w:rsidP="00AC56D6">
      <w:pPr>
        <w:pStyle w:val="TextoNormalNegritaCentrado"/>
        <w:keepNext/>
      </w:pPr>
    </w:p>
    <w:p w:rsidR="00AC56D6" w:rsidRDefault="00AC56D6" w:rsidP="00AC56D6">
      <w:pPr>
        <w:pStyle w:val="TextoNormal"/>
      </w:pPr>
      <w:r>
        <w:t>En ejercicio de la facultad que me confiere el art. 90.2 de la Ley Orgánica del Tribunal Constitucional (LOTC) y con pleno respeto a la opinión de la mayoría del Pleno, expreso mi discrepancia con el fallo de la Sentencia y con la argumentación que lo sustenta en el fundamento jurídico 5, en virtud de los argumentos que defendí en la deliberación del Pleno y que expongo a continuación.</w:t>
      </w:r>
    </w:p>
    <w:p w:rsidR="00AC56D6" w:rsidRDefault="00AC56D6" w:rsidP="00AC56D6">
      <w:pPr>
        <w:pStyle w:val="TextoNormal"/>
      </w:pPr>
    </w:p>
    <w:p w:rsidR="00AC56D6" w:rsidRDefault="00AC56D6" w:rsidP="00AC56D6">
      <w:pPr>
        <w:pStyle w:val="TextoNormal"/>
      </w:pPr>
      <w:r>
        <w:t>El órgano judicial promotor de la cuestión de inconstitucionalidad cuestiona el sistema general de valoración de la compensación que articula el texto refundido de la Ley de suelo (aprobado por el Real Decreto Legislativo 2/2008) en los supuestos de expropiación de la propiedad del suelo rural, porque a su juicio dicho sistema no se corresponde con el precio de mercado.</w:t>
      </w:r>
    </w:p>
    <w:p w:rsidR="00AC56D6" w:rsidRDefault="00AC56D6" w:rsidP="00AC56D6">
      <w:pPr>
        <w:pStyle w:val="TextoNormal"/>
      </w:pPr>
    </w:p>
    <w:p w:rsidR="00AC56D6" w:rsidRDefault="00AC56D6" w:rsidP="00AC56D6">
      <w:pPr>
        <w:pStyle w:val="TextoNormal"/>
      </w:pPr>
      <w:r>
        <w:t xml:space="preserve">Con la generalidad y laxitud con que se formula, la premisa que late en esa duda de constitucionalidad tendría que haber sido rechazada categóricamente, pues nuestra doctrina constitucional excluye el valor de mercado como directriz constitucional de la indemnización garantizada por el art. 33.3 CE. En la STC 141/2014, de 11 de septiembre (FJ 9 B), que versa sobre el mismo texto legal que aquí enjuiciamos, este Tribunal afirmó —–en continuidad con la pionera STC 166/1986, de 19 de diciembre (FJ 13)— que la Constitución no exige que la indemnización correspondiente por la privación de bienes y derechos sea equivalente a su valor de mercado; que el legislador estatal, dentro de su discrecionalidad, puede </w:t>
      </w:r>
      <w:r>
        <w:lastRenderedPageBreak/>
        <w:t>establecer distintas modalidades de valoración; y que la valoración obtenida debe permitir obtener una compensación que guarde un proporcional equilibrio con el valor real. Así, apreciamos que “el sistema de valoración a efectos indemnizatorios que parte del criterio de la capitalización de rentas, modulado en atención a otros factores, es un sistema que incorpora criterios acordes con la idea del valor real o económico del bien y que, en principio y en abstracto, puede ofrecer un proporcional equilibrio entre el daño sufrido y la indemnización correspondiente, en línea con la doctrina del Tribunal Europeo de Derechos Humanos”. En la citada Sentencia reiteramos que “desde el punto de vista abstracto que corresponde al Tribunal Constitucional, no ha de atenderse a las circunstancias precisas que en el supuesto concreto puedan darse, sino a la existencia de un proporcional equilibrio entre el valor del bien o derecho expropiado y la cuantía ofrecida, de manera que la norma solo podrá considerarse constitucionalmente ilegítima cuando la correspondencia entre aquél y ésta se revele manifiestamente desprovista de base razonable”.</w:t>
      </w:r>
    </w:p>
    <w:p w:rsidR="00AC56D6" w:rsidRDefault="00AC56D6" w:rsidP="00AC56D6">
      <w:pPr>
        <w:pStyle w:val="TextoNormal"/>
      </w:pPr>
    </w:p>
    <w:p w:rsidR="00AC56D6" w:rsidRDefault="00AC56D6" w:rsidP="00AC56D6">
      <w:pPr>
        <w:pStyle w:val="TextoNormal"/>
      </w:pPr>
      <w:r>
        <w:t>Aunque la Sentencia de la que discrepo cita reiteradamente la STC 141/2014 y su discurso pretende ofrecer una imagen de continuidad y coherencia con ella, creando la impresión de que se limita a completarla, parece percibirse en ella un cambio jurisprudencial, que se infiere tanto de la perspectiva del control que se ejerce como del resultado que finalmente se alcanza.</w:t>
      </w:r>
    </w:p>
    <w:p w:rsidR="00AC56D6" w:rsidRDefault="00AC56D6" w:rsidP="00AC56D6">
      <w:pPr>
        <w:pStyle w:val="TextoNormal"/>
      </w:pPr>
    </w:p>
    <w:p w:rsidR="00AC56D6" w:rsidRDefault="00AC56D6" w:rsidP="00AC56D6">
      <w:pPr>
        <w:pStyle w:val="TextoNormal"/>
      </w:pPr>
      <w:r>
        <w:t>En primer lugar, la declaración de inconstitucionalidad que contiene la Sentencia es el resultado de dos operaciones combinadas de reformulación implícita de la cuestión de inconstitucionalidad promovida por el órgano judicial. Por un lado, la duda de constitucionalidad giraba, como ya he dicho, en torno a la correspondencia de los criterios de valoración con el valor de mercado del bien o derecho expropiado. Sin embargo, la Sentencia de la que disiento la reformula en términos distintos a los planteados por el órgano judicial: la tacha de inconstitucionalidad se transforma en una desviación con respecto al “proporcional equilibrio” entre el valor del bien o derecho expropiado y la compensación ofrecida. Por otro lado, el objeto de la duda de inconstitucionalidad que promueve el órgano judicial es el sistema de valoración en su conjunto —–se cuestionan los apartados 1 a) y 2 del art. 23, ambos con relación a los arts. 12 y 25 del Real Decreto Legislativo 2/2008—–. Pues bien, la Sentencia redirige el enjuiciamiento al criterio previsto por el legislador en el art. 25.2.a) del Real Decreto Legislativo 2/2008 para valorar “la facultad de participar” en la actuación de urbanización, esto es, a uno de los dos conceptos indemnizatorios que contempla la legislación del suelo en relación con la expropiación del suelo urbanizable delimitado. Como consecuencia, el criterio de valoración previsto en el art. 25.2.a) del Real Decreto Legislativo 2/2008 se convierte en un objeto autónomo del presente control incidental de constitucionalidad, apoyándose en el argumento reiterado —–pero irrelevante a mi juicio—– de que la STC 141/2014 excluyó expresamente de su control de constitucionalidad al art. 25 del citado texto refundido y que, por tanto, la conformidad constitucional de dicho precepto legal estaba todavía imprejuzgada.</w:t>
      </w:r>
    </w:p>
    <w:p w:rsidR="00AC56D6" w:rsidRDefault="00AC56D6" w:rsidP="00AC56D6">
      <w:pPr>
        <w:pStyle w:val="TextoNormal"/>
      </w:pPr>
    </w:p>
    <w:p w:rsidR="00AC56D6" w:rsidRDefault="00AC56D6" w:rsidP="00AC56D6">
      <w:pPr>
        <w:pStyle w:val="TextoNormal"/>
      </w:pPr>
      <w:r>
        <w:t xml:space="preserve">En segundo lugar, incluso con las mencionadas reformulaciones no creo que la Sentencia argumente debidamente la declaración de inconstitucionalidad y nulidad que recoge su fallo. La justificación que aporta la Sentencia para fundamentar la inconstitucionalidad del específico criterio de valoración de la facultad de participar en la actuación de urbanización previsto por el legislador, es que dicho criterio no se relaciona con el contenido económico de la facultad de la que el propietario se ha visto privado. Se considera, por un lado, que la </w:t>
      </w:r>
      <w:r>
        <w:lastRenderedPageBreak/>
        <w:t>aplicación del porcentaje fijo con que el legislador ha determinado la participación de la comunidad en la plusvalía generada por el planeamiento “no garantiza en todo caso un adecuado equilibrio” con el contenido económico de la facultad de la que se priva al propietario y, por otro lado, que “la exposición de motivos no da razón alguna de por qué ese valor objetivo y fijo … y no otro, permite hallar una compensación que guarde un proporcionado equilibrio con el valor real de la facultad expropiada”.</w:t>
      </w:r>
    </w:p>
    <w:p w:rsidR="00AC56D6" w:rsidRDefault="00AC56D6" w:rsidP="00AC56D6">
      <w:pPr>
        <w:pStyle w:val="TextoNormal"/>
      </w:pPr>
    </w:p>
    <w:p w:rsidR="00AC56D6" w:rsidRDefault="00AC56D6" w:rsidP="00AC56D6">
      <w:pPr>
        <w:pStyle w:val="TextoNormal"/>
      </w:pPr>
      <w:r>
        <w:t>En mi opinión, el criterio de compensación establecido por el legislador podrá ser considerado más o menos acertado u oportuno desde una perspectiva técnica, pero que incurra en inconstitucionalidad es una cuestión muy distinta. Este Tribunal puso de manifiesto en la STC 141/2014 que la compensación que ofrezca el legislador no tiene que reflejar o corresponderse con el valor de mercado del bien en cuestión y declaró que una “norma solo podrá considerarse constitucionalmente ilegítima cuando la correspondencia entre [el valor del bien o derecho expropiado y la cuantía ofrecida] se revele manifiestamente desprovista de base razonable”. Sin embargo, la Sentencia de la que disiento no razona en ningún momento por qué, o en qué medida, existe una falta de correspondencia entre el valor económico de la facultad de participar en la actuación de urbanización y la compensación legalmente prevista, ni argumenta por qué esa pretendida falta de correspondencia se revela “manifiestamente desprovista de base razonable”.</w:t>
      </w:r>
    </w:p>
    <w:p w:rsidR="00AC56D6" w:rsidRDefault="00AC56D6" w:rsidP="00AC56D6">
      <w:pPr>
        <w:pStyle w:val="TextoNormal"/>
      </w:pPr>
    </w:p>
    <w:p w:rsidR="00AC56D6" w:rsidRDefault="00AC56D6" w:rsidP="00AC56D6">
      <w:pPr>
        <w:pStyle w:val="TextoNormal"/>
      </w:pPr>
      <w:r>
        <w:t>En lugar de ofrecer ella misma, como corresponde, las razones que deben sustentar el pronunciamiento sobre la inconstitucionalidad y nulidad del art. 25.2 a), la Sentencia de la que discrepo le reprocha al legislador que no haya justificado por qué el método de valoración que ha previsto “permite hallar una compensación que guarde un proporcionado equilibrio con el valor real de la facultad expropiada”. Con ello se trastoca, a mi juicio, el canon de enjuiciamiento y, en último término, la función de la justicia constitucional, que no consiste en expulsar del ordenamiento jurídico las normas que el legislador no haya justificado, sino estrictamente las que incurren en una contradicción insalvable con el texto constitucional. Es la sentencia que enjuicia la constitucionalidad de una ley la que debe aceptar o rechazar de forma argumentada la hipótesis de contradicción insalvable que formula el órgano judicial.</w:t>
      </w:r>
    </w:p>
    <w:p w:rsidR="00AC56D6" w:rsidRDefault="00AC56D6" w:rsidP="00AC56D6">
      <w:pPr>
        <w:pStyle w:val="TextoNormal"/>
      </w:pPr>
    </w:p>
    <w:p w:rsidR="00AC56D6" w:rsidRDefault="00AC56D6" w:rsidP="00AC56D6">
      <w:pPr>
        <w:pStyle w:val="TextoNormal"/>
      </w:pPr>
      <w:r>
        <w:t xml:space="preserve">Para ello, primero habría que esclarecer si con carácter general se puede precisar o acotar de alguna forma el “contenido económico” o “real” que cabe atribuir a la facultad de participar en la actuación de urbanización. Una facultad que, en todo caso, según la propia Sentencia, no pertenecería al contenido constitucional del derecho de propiedad, sino que constituiría un mero contenido adicional, al tratarse de una facultad que la Ley atribuye “directa y gratuitamente” al propietario del suelo. En suma, el legislador podría suprimir plenamente esa facultad de participación sin infracción alguna del texto constitucional, con la consiguiente desaparición del deber legal de indemnización. Pues bien, una vez que el legislador ha reconocido esa facultad de participación y ha configurado en torno a ella un “complemento indemnizatorio importante” (STC 141/2014), que, tal como afirma la exposición de motivos del texto refundido de 2008 y subrayamos en la STC 141/2014, “contribuye a un tratamiento más ponderado de la situación en la que se encuentran” los propietarios, ¿puede declararse inconstitucional la norma que establece un criterio objetivo de valoración de esa facultad desde el entendimiento de que no refleja un pretendido contenido económico que no hemos podido precisar? Por otra parte, la Sentencia diferencia el plano del reconocimiento legal de la facultad de participar en la actividad de urbanización y el plano de la </w:t>
      </w:r>
      <w:r>
        <w:lastRenderedPageBreak/>
        <w:t>compensación ofrecida a quien se ve privado de su propiedad y, con ello, de dicha facultad, pero ambos planos no son estancos, sino los dos lados de la misma moneda: la facultad se reconoce en los concretos términos que establece el legislador, no con un indeterminado “contenido económico”, sino hasta donde alcanza el contenido indemnizatorio previsto en el art. 25.2 a) del texto refundido.</w:t>
      </w:r>
    </w:p>
    <w:p w:rsidR="00AC56D6" w:rsidRDefault="00AC56D6" w:rsidP="00AC56D6">
      <w:pPr>
        <w:pStyle w:val="TextoNormal"/>
      </w:pPr>
    </w:p>
    <w:p w:rsidR="00AC56D6" w:rsidRDefault="00AC56D6" w:rsidP="00AC56D6">
      <w:pPr>
        <w:pStyle w:val="TextoNormal"/>
      </w:pPr>
      <w:r>
        <w:t>Por último, tampoco comparto el argumento que “a mayor abundamiento” se desliza al final del fundamento jurídico 5 para reforzar la tesis de la inconstitucionalidad del art. 25.2 a). Aunque apenas esboza el argumento, la Sentencia apunta que el criterio de valoración controvertido no garantiza la uniformidad normativa que exigiría la configuración de la institución de la expropiación forzosa, e insinúa —pues no pasa de ahí— que ello podría constituir una infracción del art. 149.1.18 CE que atribuye al legislador estatal la competencia legislativa plena sobre esa materia. Como resulta indiscutible que el art. 25.2 a) del texto refundido contiene una regulación uniforme en materia de valoración de la facultad de participar en la actuación de valoración, en este punto parece que la Sentencia confunde uniformidad normativa con existencia de una valoración única e idéntica, para todo el territorio del Estado, de la facultad de participar en la actuación de urbanización.</w:t>
      </w:r>
    </w:p>
    <w:p w:rsidR="00AC56D6" w:rsidRDefault="00AC56D6" w:rsidP="00AC56D6">
      <w:pPr>
        <w:pStyle w:val="TextoNormal"/>
      </w:pPr>
    </w:p>
    <w:p w:rsidR="00AC56D6" w:rsidRDefault="00AC56D6" w:rsidP="00AC56D6">
      <w:pPr>
        <w:pStyle w:val="TextoNormal"/>
      </w:pPr>
      <w:r>
        <w:t>Por todo ello, en mi opinión la Sentencia debió desestimar la presente cuestión de inconstitucionalidad.</w:t>
      </w:r>
    </w:p>
    <w:p w:rsidR="00AC56D6" w:rsidRDefault="00AC56D6" w:rsidP="00AC56D6">
      <w:pPr>
        <w:pStyle w:val="TextoNormal"/>
      </w:pPr>
    </w:p>
    <w:p w:rsidR="00AC56D6" w:rsidRDefault="00AC56D6" w:rsidP="00AC56D6">
      <w:pPr>
        <w:pStyle w:val="TextoNormal"/>
      </w:pPr>
      <w:r>
        <w:t>Madrid, a veintidós de octubre de dos mil quince.</w:t>
      </w:r>
    </w:p>
    <w:p w:rsidR="00AC56D6" w:rsidRDefault="00AC56D6" w:rsidP="00AC56D6">
      <w:pPr>
        <w:pStyle w:val="TextoNormal"/>
      </w:pPr>
    </w:p>
    <w:p w:rsidR="00AC56D6" w:rsidRDefault="00AC56D6" w:rsidP="00AC56D6">
      <w:pPr>
        <w:pStyle w:val="TextoNormalNegritaCentrado"/>
        <w:keepNext/>
      </w:pPr>
      <w:r>
        <w:t>Voto particular que formula el Magistrado don Juan José González Rivas, respecto a la Sentencia del Pleno de fecha 22 de octubre de 2015, dictada en la cuestión de inconstitucionalidad núm. 6059-2014.</w:t>
      </w:r>
    </w:p>
    <w:p w:rsidR="00AC56D6" w:rsidRDefault="00AC56D6" w:rsidP="00AC56D6">
      <w:pPr>
        <w:pStyle w:val="TextoNormalNegritaCentrado"/>
        <w:keepNext/>
      </w:pPr>
    </w:p>
    <w:p w:rsidR="00AC56D6" w:rsidRDefault="00AC56D6" w:rsidP="00AC56D6">
      <w:pPr>
        <w:pStyle w:val="TextoNormal"/>
      </w:pPr>
      <w:r>
        <w:t>En ejercicio de la facultad que nos confiere el art. 90.2 de de la Ley Orgánica del Tribunal Constitucional y con el máximo respeto a la tesis mayoritaria disiento de esta Sentencia, en el punto concreto que declara la constitucionalidad del art. 23.1 a) y 2 del texto refundido de la Ley de suelo, compartiendo el resto del fallo.</w:t>
      </w:r>
    </w:p>
    <w:p w:rsidR="00AC56D6" w:rsidRDefault="00AC56D6" w:rsidP="00AC56D6">
      <w:pPr>
        <w:pStyle w:val="TextoNormal"/>
      </w:pPr>
    </w:p>
    <w:p w:rsidR="00AC56D6" w:rsidRDefault="00AC56D6" w:rsidP="00AC56D6">
      <w:pPr>
        <w:pStyle w:val="TextoNormal"/>
      </w:pPr>
      <w:r>
        <w:t>Como ya dije en el Voto particular respecto de la Sentencia del Pleno de fecha 11 de septiembre de 2014, dictada en el recurso de inconstitucionalidad núm. 6963-2007 y acumulados y remitiéndome sustancialmente a su contenido, formulo los siguientes razonamientos en los que concreto mi discrepancia:</w:t>
      </w:r>
    </w:p>
    <w:p w:rsidR="00AC56D6" w:rsidRDefault="00AC56D6" w:rsidP="00AC56D6">
      <w:pPr>
        <w:pStyle w:val="TextoNormal"/>
      </w:pPr>
    </w:p>
    <w:p w:rsidR="00AC56D6" w:rsidRDefault="00AC56D6" w:rsidP="00AC56D6">
      <w:pPr>
        <w:pStyle w:val="TextoNormal"/>
      </w:pPr>
      <w:r>
        <w:t>1. El valor de mercado es el valor real y está ligado inescindiblemente a la equivalencia entre daño expropiatorio-reparación, no siendo aceptable, desde la perspectiva constitucional, que un bien tenga un precio determinado cuando se adquiera por particulares y otro distinto cuando sea adquirido forzosamente por el instituto de la expropiación, lo que puede generar desigualdad.</w:t>
      </w:r>
    </w:p>
    <w:p w:rsidR="00AC56D6" w:rsidRDefault="00AC56D6" w:rsidP="00AC56D6">
      <w:pPr>
        <w:pStyle w:val="TextoNormal"/>
      </w:pPr>
    </w:p>
    <w:p w:rsidR="00AC56D6" w:rsidRDefault="00AC56D6" w:rsidP="00AC56D6">
      <w:pPr>
        <w:pStyle w:val="TextoNormal"/>
      </w:pPr>
      <w:r>
        <w:t xml:space="preserve">En este punto, no puede compartirse la disociación que se realiza entre valor de mercado y valor a efectos expropiatorios, pues parece contradecir la equivalencia entre valor real del bien e indemnización expropiatoria, lo que se infiere de la doctrina constitucional e incluso de la doctrina del Tribunal Europeo de Derechos Humanos, pues parece innegable que el </w:t>
      </w:r>
      <w:r>
        <w:lastRenderedPageBreak/>
        <w:t>valor real de un bien es lo que vale en el mercado, y por ello los métodos de valoración a efectos expropiatorios deberían ser aptos para aproximarse al valor que tiene el bien en el mercado.</w:t>
      </w:r>
    </w:p>
    <w:p w:rsidR="00AC56D6" w:rsidRDefault="00AC56D6" w:rsidP="00AC56D6">
      <w:pPr>
        <w:pStyle w:val="TextoNormal"/>
      </w:pPr>
    </w:p>
    <w:p w:rsidR="00AC56D6" w:rsidRDefault="00AC56D6" w:rsidP="00AC56D6">
      <w:pPr>
        <w:pStyle w:val="TextoNormal"/>
      </w:pPr>
      <w:r>
        <w:t>2. Sobre este punto, la doctrina constitucional ha expresado la identidad entre los conceptos “indemnización” y “valor real” del bien expropiado desde la perspectiva del art. 33.3 CE. Así, la STC 166/1986, de 19 de diciembre, FJ 13, señala que lo que garantiza la Constitución es el “razonable equilibrio entre el daño expropiatorio y su reparación” y este mismo criterio se reitera en las posteriores SSTC 61/1997, de 20 de marzo, y 164/2001, de 11 de julio.</w:t>
      </w:r>
    </w:p>
    <w:p w:rsidR="00AC56D6" w:rsidRDefault="00AC56D6" w:rsidP="00AC56D6">
      <w:pPr>
        <w:pStyle w:val="TextoNormal"/>
      </w:pPr>
    </w:p>
    <w:p w:rsidR="00AC56D6" w:rsidRDefault="00AC56D6" w:rsidP="00AC56D6">
      <w:pPr>
        <w:pStyle w:val="TextoNormal"/>
      </w:pPr>
      <w:r>
        <w:t xml:space="preserve">3. El Tribunal Europeo de Derechos Humanos ha utilizado la expresión “equilibrio justo” entre las exigencias del interés general y los imperativos de los derechos fundamentales de la persona (así, en STEDH de 9 de octubre de 2003, asunto </w:t>
      </w:r>
      <w:r w:rsidRPr="00AC56D6">
        <w:rPr>
          <w:i/>
        </w:rPr>
        <w:t>Federici c. Italia</w:t>
      </w:r>
      <w:r>
        <w:t>).</w:t>
      </w:r>
    </w:p>
    <w:p w:rsidR="00AC56D6" w:rsidRDefault="00AC56D6" w:rsidP="00AC56D6">
      <w:pPr>
        <w:pStyle w:val="TextoNormal"/>
      </w:pPr>
    </w:p>
    <w:p w:rsidR="00AC56D6" w:rsidRDefault="00AC56D6" w:rsidP="00AC56D6">
      <w:pPr>
        <w:pStyle w:val="TextoNormal"/>
      </w:pPr>
      <w:r>
        <w:t>4. El método de capitalización de rentas, aplicado al suelo rural y sometido a una actuación de urbanización, no tiene en cuenta la naturaleza del bien y su utilidad, por lo que estimo que los criterios de corrección establecidos en el art. 23 del texto refundido de la Ley de suelo son insuficientes y no guardan relación alguna con el valor real del que el propietario se ve privado, pues debemos tener en cuenta que el suelo se valora como rural no sólo cuando sus instrumentos de desarrollo no han sido aprobados (plan parcial, plan especial, estudio de detalle, etc.), sino incluso con los instrumentos de gestión sí han sido aprobados, pero no han sido ejecutados en plazo por causas imputables a la Administración.</w:t>
      </w:r>
    </w:p>
    <w:p w:rsidR="00AC56D6" w:rsidRDefault="00AC56D6" w:rsidP="00AC56D6">
      <w:pPr>
        <w:pStyle w:val="TextoNormal"/>
      </w:pPr>
    </w:p>
    <w:p w:rsidR="00AC56D6" w:rsidRDefault="00AC56D6" w:rsidP="00AC56D6">
      <w:pPr>
        <w:pStyle w:val="TextoNormal"/>
      </w:pPr>
      <w:r>
        <w:t>5. Por tanto, los arts. 22.1 y 2 de la Ley 8/2007, de 28 de mayo, del suelo y 23.1 y 23.2 del Real Decreto Legislativo 2/2008, de 20 de junio, al fijar un método de valoración del suelo rural con expectativas urbanísticas cerrado, donde se proscribe tanto la valoración de dichas expectativas, como la utilización de métodos de valoración alternativos o subsidiarios como puede ser el de comparación, en abstracto, no es conforme a la garantía de indemnidad del art. 33.3 CE, lo que, a mi juicio, debería haber concluido en el reconocimiento por la sentencia mayoritaria de la inconstitucionalidad de tales preceptos.</w:t>
      </w:r>
    </w:p>
    <w:p w:rsidR="00AC56D6" w:rsidRDefault="00AC56D6" w:rsidP="00AC56D6">
      <w:pPr>
        <w:pStyle w:val="TextoNormal"/>
      </w:pPr>
    </w:p>
    <w:p w:rsidR="00AC56D6" w:rsidRDefault="00AC56D6" w:rsidP="00AC56D6">
      <w:pPr>
        <w:pStyle w:val="TextoNormal"/>
      </w:pPr>
      <w:r>
        <w:t>Así expreso mi Voto particular discrepante del mayoritario, que firmo en Madrid, a veintidós de octubre de dos mil quince.</w:t>
      </w:r>
    </w:p>
    <w:p w:rsidR="00AC56D6" w:rsidRDefault="00AC56D6" w:rsidP="00AC56D6">
      <w:pPr>
        <w:pStyle w:val="TextoNormal"/>
      </w:pPr>
    </w:p>
    <w:p w:rsidR="00AC56D6" w:rsidRDefault="00AC56D6" w:rsidP="00AC56D6">
      <w:pPr>
        <w:pStyle w:val="TextoNormalNegritaCentrado"/>
        <w:keepNext/>
      </w:pPr>
      <w:r>
        <w:t>Voto particular que formula el Magistrado don Juan Antonio Xiol Ríos de la Sentencia dictada en la cuestión de inconstitucionalidad núm. 6059-2014.</w:t>
      </w:r>
    </w:p>
    <w:p w:rsidR="00AC56D6" w:rsidRDefault="00AC56D6" w:rsidP="00AC56D6">
      <w:pPr>
        <w:pStyle w:val="TextoNormalNegritaCentrado"/>
        <w:keepNext/>
      </w:pPr>
    </w:p>
    <w:p w:rsidR="00AC56D6" w:rsidRDefault="00AC56D6" w:rsidP="00AC56D6">
      <w:pPr>
        <w:pStyle w:val="TextoNormal"/>
      </w:pPr>
      <w:r>
        <w:t>Con el máximo respeto a la opinión mayoritaria de mis compañeros en la que se sustenta la Sentencia, manifiesto mi discrepancia con la fundamentación jurídica y con el fallo, que, en mi opinión, hubiera debido ser desestimatorio.</w:t>
      </w:r>
    </w:p>
    <w:p w:rsidR="00AC56D6" w:rsidRDefault="00AC56D6" w:rsidP="00AC56D6">
      <w:pPr>
        <w:pStyle w:val="TextoNormal"/>
      </w:pPr>
    </w:p>
    <w:p w:rsidR="00AC56D6" w:rsidRDefault="00AC56D6" w:rsidP="00AC56D6">
      <w:pPr>
        <w:pStyle w:val="TextoNormal"/>
      </w:pPr>
      <w:r>
        <w:t xml:space="preserve">1. La Sentencia se funda en que el criterio de valoración establecido en el art. 25.2 a) del texto refundido de la Ley de suelo para determinar la indemnización que debe otorgarse en los casos en los que se impida el ejercicio de participar en la urbanización es contraria al art. 33.3 CE. Con apoyo en la doctrina establecida en la STC 141/2014, se considera que la aplicación del porcentaje fijo que establece ese precepto no garantiza un proporcionado equilibrio con el valor real de la facultad expropiada. Citando la STC 251/2005, se afirma </w:t>
      </w:r>
      <w:r>
        <w:lastRenderedPageBreak/>
        <w:t>que la compensación debida por la privación de esta facultad depende según la Ley impugnada de dónde estén ubicados los bienes dentro del territorio nacional, por lo que no se garantiza la uniformidad normativa a la que sirve la expropiación forzosa y las garantías que esta debe observar a los efectos de garantizar el derecho de propiedad reconocido en el art. 33 CE.</w:t>
      </w:r>
    </w:p>
    <w:p w:rsidR="00AC56D6" w:rsidRDefault="00AC56D6" w:rsidP="00AC56D6">
      <w:pPr>
        <w:pStyle w:val="TextoNormal"/>
      </w:pPr>
    </w:p>
    <w:p w:rsidR="00AC56D6" w:rsidRDefault="00AC56D6" w:rsidP="00AC56D6">
      <w:pPr>
        <w:pStyle w:val="TextoNormal"/>
      </w:pPr>
      <w:r>
        <w:t>En mi opinión, estas conclusiones ni se derivan de la doctrina constitucional ni del art. 33 CE. El valor real de la facultad de urbanización solo puede ser el que la ley establece. La atribución de esta facultad al propietario del suelo rural es una decisión del legislador [art. 8.3 c) del texto refundido de la Ley de suelo ]. Es la Ley la que, al atribuir la facultad de urbanizar al propietario del suelo, crea el derecho que esta facultad conlleva, define su contenido y, al establecer el criterio para determinar la indemnización que corresponde al propietario en el caso de que tal facultad sea expropiada, determina su valor.</w:t>
      </w:r>
    </w:p>
    <w:p w:rsidR="00AC56D6" w:rsidRDefault="00AC56D6" w:rsidP="00AC56D6">
      <w:pPr>
        <w:pStyle w:val="TextoNormal"/>
      </w:pPr>
    </w:p>
    <w:p w:rsidR="00AC56D6" w:rsidRDefault="00AC56D6" w:rsidP="00AC56D6">
      <w:pPr>
        <w:pStyle w:val="TextoNormal"/>
      </w:pPr>
      <w:r>
        <w:t>El método de valoración establecido en el art. 25.2 del texto refundido de la Ley de suelo es, a mi juicio, un medio adecuado para definir el valor de esta facultad. En contra de la opinión en que se funda la Sentencia, es mi parecer que el método previsto en este precepto está relacionado aceptablemente con el contenido de la facultad de participar en la urbanización. En efecto, lo que esta facultad otorga al propietario de suelo rural es la posibilidad de llevar a cabo el proceso de urbanización. Valorar esa facultad aplicando el mismo porcentaje que el que resulta de aplicación a las cesiones que los propietarios de suelo deben efectuar a la comunidad con el fin de compensar las plusvalías que les ha proporcionado la acción urbanizadora, es, a mi juicio, una forma coherente de indemnizarles cuando se les impida su ejercicio.</w:t>
      </w:r>
    </w:p>
    <w:p w:rsidR="00AC56D6" w:rsidRDefault="00AC56D6" w:rsidP="00AC56D6">
      <w:pPr>
        <w:pStyle w:val="TextoNormal"/>
      </w:pPr>
    </w:p>
    <w:p w:rsidR="00AC56D6" w:rsidRDefault="00AC56D6" w:rsidP="00AC56D6">
      <w:pPr>
        <w:pStyle w:val="TextoNormal"/>
      </w:pPr>
      <w:r>
        <w:t>La aplicación del mismo porcentaje en ambos casos conlleva, en efecto, un tratamiento similar de supuestos que, aunque son distintos, responden a la misma exigencia: valorar la plusvalía del suelo rural como consecuencia del proceso de urbanización y determinar qué parte de la misma corresponde, bien al propietario de este suelo, al integrar la facultad de urbanización el derecho de propiedad del suelo rural [art. 8.3 c) del texto refundido de la Ley de suelo], bien a la comunidad, a la que deben revertir parte de las plusvalías generadas por la actividad administrativa de ordenación del uso suelo (art. 47 CE).</w:t>
      </w:r>
    </w:p>
    <w:p w:rsidR="00AC56D6" w:rsidRDefault="00AC56D6" w:rsidP="00AC56D6">
      <w:pPr>
        <w:pStyle w:val="TextoNormal"/>
      </w:pPr>
    </w:p>
    <w:p w:rsidR="00AC56D6" w:rsidRDefault="00AC56D6" w:rsidP="00AC56D6">
      <w:pPr>
        <w:pStyle w:val="TextoNormal"/>
      </w:pPr>
      <w:r>
        <w:t>Determinar el valor que tiene la facultad de participar en la urbanización aplicando el referido porcentaje a la diferencia entre el valor del suelo rural y el valor del suelo urbanizado supone entender que esta facultad, en sí misma considerada, no incluye todas las plusvalías que tienen su origen en el proceso de urbanización, sino solamente la parte de la mismas comprendidas en ese porcentaje. Las demás se consideran meras expectativas que no integran el contenido de esta facultad en tanto no se haya iniciado su ejercicio.</w:t>
      </w:r>
    </w:p>
    <w:p w:rsidR="00AC56D6" w:rsidRDefault="00AC56D6" w:rsidP="00AC56D6">
      <w:pPr>
        <w:pStyle w:val="TextoNormal"/>
      </w:pPr>
    </w:p>
    <w:p w:rsidR="00AC56D6" w:rsidRDefault="00AC56D6" w:rsidP="00AC56D6">
      <w:pPr>
        <w:pStyle w:val="TextoNormal"/>
      </w:pPr>
      <w:r>
        <w:t xml:space="preserve">A mi juicio, la facultad de participar en la urbanización no forma parte del contenido esencial del derecho de propiedad que garantiza el art. 33 CE. Del mismo modo en que entra dentro del amplio margen de configuración del legislador el atribuir esta facultad a los propietarios de suelo rural y establecer las condiciones de su ejercicio, entra también dentro su margen de configuración determinar en qué casos resulta indemnizable la privación de la facultad y cómo ha de determinarse el alcance de esa indemnización. Aunque pueden existir otros métodos que permitan determinar el valor de la facultad de participar en la urbanización, el método por el que ha optado el legislador, en cuanto no incurre en arbitrariedad ni </w:t>
      </w:r>
      <w:r>
        <w:lastRenderedPageBreak/>
        <w:t>en manifiesta irrazonabilidad, establece un equilibrio, en abstracto no desproporcionado, entre el valor reconocido a esta facultad y la compensación prevista para los casos en los que se impida su ejercicio.</w:t>
      </w:r>
    </w:p>
    <w:p w:rsidR="00AC56D6" w:rsidRDefault="00AC56D6" w:rsidP="00AC56D6">
      <w:pPr>
        <w:pStyle w:val="TextoNormal"/>
      </w:pPr>
    </w:p>
    <w:p w:rsidR="00AC56D6" w:rsidRDefault="00AC56D6" w:rsidP="00AC56D6">
      <w:pPr>
        <w:pStyle w:val="TextoNormal"/>
      </w:pPr>
      <w:r>
        <w:t>Tampoco estoy de acuerdo con la opinión en que se sustenta la Sentencia cuando argumenta que, como el porcentaje que se va a aplicar para determinar la indemnización que se otorgue por la privación de esta facultad va a ser el establecido en la legislación autonómica en relación con las cesiones obligatorias de suelo, no se respeta la garantía de uniformidad, que, según se sostiene, exige el art. 33.3 CE. A mi juicio, esta uniformidad no se deriva del art. 33.3 CE, pues este precepto se limita a garantizar que nadie pueda ser privado de sus bienes y derechos sino por causa justificada de utilidad o interés social y de conformidad con lo dispuesto en las leyes. Tampoco puede deducirse del art. 149.1.18 CE, en el que parece fundamentarse la opinión de la que discrepo al referirse a las garantías expropiatorias e invocar la doctrina establecida en la STC 251/2006, de 25 de julio, FJ 5 a). Este precepto no tiene más alcance que el de atribuir al Estado en exclusiva la competencia en materia de legislación forzosa. El art. 25.2 a) del texto refundido de la Ley de suelo, norma estatal, no incide en las garantías expropiatorias, pues, como he explicado, este precepto, al establecer el método de valoración de la facultad de urbanizar, está definiendo su propio contenido cuando el titular de la misma no puede ejercerla.</w:t>
      </w:r>
    </w:p>
    <w:p w:rsidR="00AC56D6" w:rsidRDefault="00AC56D6" w:rsidP="00AC56D6">
      <w:pPr>
        <w:pStyle w:val="TextoNormal"/>
      </w:pPr>
    </w:p>
    <w:p w:rsidR="00AC56D6" w:rsidRDefault="00AC56D6" w:rsidP="00AC56D6">
      <w:pPr>
        <w:pStyle w:val="TextoNormal"/>
      </w:pPr>
      <w:r>
        <w:t>La uniformidad a la que apela la opinión de la que discrepo no es, a mi juicio, una exigencia constitucional. Como tantas veces ha afirmado este Tribunal, “la igualdad de derechos y obligaciones de todos los españoles en cualquier punto del territorio nacional no puede ser entendida como rigurosa uniformidad del ordenamiento” [SSTC 76/1983, de 5 de agosto, FJ 2 a); 247/2007, de 12 de diciembre, FJ 4 c), entre otras muchas], pues “el principio de igualdad no impone que todas las Comunidades Autónomas ostenten las mismas competencias, ni, menos aún, que tengan que ejercerlas de una manera o con un contenido y unos resultados idénticos o semejantes”. Por esta razón este Tribunal ha entendido que las desigualdades en la posición jurídica de los ciudadanos residentes en cada una de las distintas comunidades autónomas no son contrarias a la Constitución cuando no afectan a las posiciones jurídicas fundamentales (SSTC 37/1987, 247/2007, FJ 13; 150/200, FJ 4; 6/2005, FJ 4; 90/2004, FJ 4, entre otras). En relación con las facultades dominicales en el ámbito urbanístico este tribunal ha sostenido que el art. 149.1.1 CE no permite la delimitación completa y acabada de dichas facultades, “pues ello excedería por definición de lo que son condiciones básicas de ejercicio, único título que, desde la óptica del Derecho público, le permite al Estado intervenir en los términos ya conocidos sobre esta concreta forma de dominio” (SSTC 61/1997, FJ 17, y 178/2004, FJ 8).</w:t>
      </w:r>
    </w:p>
    <w:p w:rsidR="00AC56D6" w:rsidRDefault="00AC56D6" w:rsidP="00AC56D6">
      <w:pPr>
        <w:pStyle w:val="TextoNormal"/>
      </w:pPr>
    </w:p>
    <w:p w:rsidR="00AC56D6" w:rsidRDefault="00AC56D6" w:rsidP="00AC56D6">
      <w:pPr>
        <w:pStyle w:val="TextoNormal"/>
      </w:pPr>
      <w:r>
        <w:t xml:space="preserve">2. Las consideraciones que acabo de exponer son las que, a mi juicio, hubieran debido llevar a desestimar la duda de constitucionalidad formulada en relación con el art. 25.2 a) del texto refundido de la Ley de suelo. No obstante, consciente de que la polémica sobre la inclusión de los derechos de urbanización y edificación en el contenido esencial del derecho de propiedad arrastra importantes connotaciones ideológicas, y partiendo de que el proceso deliberativo jurisdiccional tiene en los Tribunales carácter colectivo y de que en él reviste una importancia pragmática el consenso, he estado en disposición, con el fin de llegar a un acuerdo con la mayoría, de reconsiderar mi opinión, aceptando incluso que se declare la inconstitucionalidad del precepto controvertido. Para ello hubiera sido preciso (i) que la Sentencia hubiera diferido los efectos de la declaración de inconstitucionalidad durante un </w:t>
      </w:r>
      <w:r>
        <w:lastRenderedPageBreak/>
        <w:t>tiempo prudencial con el fin de que el legislador pudiera establecer otro criterio de valoración y (ii) que de su argumentación se dedujera con claridad que de la Constitución no se deriva exigencia alguna, salvo la de la racionalidad y proporcionalidad, que obligue al legislador a valorar la referida facultad tomando en consideración las expectativas derivadas del proceso urbanizador.</w:t>
      </w:r>
    </w:p>
    <w:p w:rsidR="00AC56D6" w:rsidRDefault="00AC56D6" w:rsidP="00AC56D6">
      <w:pPr>
        <w:pStyle w:val="TextoNormal"/>
      </w:pPr>
    </w:p>
    <w:p w:rsidR="00AC56D6" w:rsidRDefault="00AC56D6" w:rsidP="00AC56D6">
      <w:pPr>
        <w:pStyle w:val="TextoNormal"/>
      </w:pPr>
      <w:r>
        <w:t>La solución propuesta (i) hubiera sido coherente con la decisión del legislador de integrar esta facultad dentro del derecho de propiedad del suelo rural y, al mismo tiempo, de determinar su valor sin tomar en consideración elementos especulativos; (ii) hubiera permitido al legislador resolver algunas incoherencias en el sistema de valoración que, especialmente en los casos de expropiación forzosa, han sido denunciadas por la doctrina; y (iii) hubiera permitido establecer una conexión razonable entre el artículo 33 de la Constitución, en relación con el llamado valor real de la propiedad, y el deber del legislador de seguir un principio de coherencia en la fijación de cualesquiera valoraciones que tengan que ver con el proceso urbano. Vanamente consideré que esta propuesta podía facilitar el hallazgo de una solución jurídica e ideológicamente equilibrada.</w:t>
      </w:r>
    </w:p>
    <w:p w:rsidR="00AC56D6" w:rsidRDefault="00AC56D6" w:rsidP="00AC56D6">
      <w:pPr>
        <w:pStyle w:val="TextoNormal"/>
      </w:pPr>
    </w:p>
    <w:p w:rsidR="00AC56D6" w:rsidRDefault="00AC56D6" w:rsidP="00AC56D6">
      <w:pPr>
        <w:pStyle w:val="TextoNormal"/>
      </w:pPr>
      <w:r>
        <w:t>3. La Sentencia, al declarar la inconstitucionalidad y nulidad del art. 25.2 a) del texto refundido de la Ley de suelo en términos absolutos y no diferir sus efectos para que el legislador pueda establecer otro criterio capaz de hallar el valor real de esta facultad, hace difícil evitar la consecuencia de que, hasta que el legislador establezca el nuevo criterio, si es capaz de hacerlo, sean los aplicadores del Derecho los que tengan que valorar esta facultad y determinar su “valor real”. En estas circunstancias, es también difícil eludir la aceptación como valor real de esa facultad del valor de mercado obtenido mediante el cálculo del valor de repercusión del suelo o, cosa todavía más preocupante, mediante el método de comparación.</w:t>
      </w:r>
    </w:p>
    <w:p w:rsidR="00AC56D6" w:rsidRDefault="00AC56D6" w:rsidP="00AC56D6">
      <w:pPr>
        <w:pStyle w:val="TextoNormal"/>
      </w:pPr>
    </w:p>
    <w:p w:rsidR="00AC56D6" w:rsidRDefault="00AC56D6" w:rsidP="00AC56D6">
      <w:pPr>
        <w:pStyle w:val="TextoNormal"/>
      </w:pPr>
      <w:r>
        <w:t>La propiedad del suelo la define el legislador. Son la ley y los planes de urbanismo los que definen su concreto contenido y en esta tarea el legislador dispone, como ya he expuesto, de un amplio margen de configuración, que no tiene más límites que el de respetar el contenido que la naturaleza otorga al suelo (contenido natural, que se corresponde con el llamado suelo rural y que, a su vez, constituye el contenido esencial del derecho de propiedad —art. 53.1 CE—) y el de regular su uso de acuerdo con su función social y evitando la especulación (arts. 33. 2 y 47 CE). La edificabilidad no es, por tanto, una cualidad del suelo, sino un contenido que otorga la ley y los planes de urbanismo a los propietarios de suelo que cumplan las obligaciones que la normativa urbanística les imponga. El derecho a edificar y las facultades que integran este derecho, entre las que se encuentra la de participar en la urbanización, no tienen un contenido “real” más allá del que el legislador quiera otorgarle. A falta de esta previa determinación legal de su valor, el aplicador del Derecho difícilmente puede acudir a otro criterio que el derivado de los valores de mercado. De ahí que la Sentencia de la que disiento, al anular este precepto y no diferir sus efectos hasta que el legislador pueda cumplir su función de definir el contenido de esta facultad, ha introducido por esta vía un criterio de valoración que expresamente el legislador había descartado. Por ello considero que la declaración de inconstitucionalidad provoca en este caso un efecto perverso, al tener como consecuencia que, por una vía indirecta no confesada, se instaure un criterio de valoración contrario a la la voluntad expresa del legislador, que es a quien la Constitución atribuye esta decisión, favoreciendo valores especulativos en un terreno tan sensible social y económicamente como el de la propiedad urbana.</w:t>
      </w:r>
    </w:p>
    <w:p w:rsidR="00AC56D6" w:rsidRDefault="00AC56D6" w:rsidP="00AC56D6">
      <w:pPr>
        <w:pStyle w:val="TextoNormal"/>
      </w:pPr>
    </w:p>
    <w:p w:rsidR="00AC56D6" w:rsidRDefault="00AC56D6" w:rsidP="00AC56D6">
      <w:pPr>
        <w:pStyle w:val="TextoNormal"/>
      </w:pPr>
      <w:r>
        <w:t>Esta circunstancia, unida al hecho de que la introducción del valor de mercado como criterio de valoración de una de las facultades que integra el derecho a edificar no constituye una medida que tienda a evitar la especulación ni a garantizar la participación de la comunidad en las plusvalías que genere la acción urbanística de los poderes públicos, tal y como establece el art. 47 CE, conlleva que tampoco desde la perspectiva del análisis económico del Derecho pueda compartirse la decisión adoptada en esta sentencia. Esta decisión, por otra parte, es difícil que deje de afectar no solo a los supuestos regulados en el art. 25 2 a) del texto refundido de la Ley de suelo, sino también a los casos en los que la ejecución de la actuación ya se ha iniciado (art. 26.2 del texto refundido de la Ley de suelo), por lo que puede conllevar, en la práctica, una importante alteración del sistema de valoraciones establecido por el legislador, por no hablar francamente de su demolición, realizada sobre unos presupuestos que hacen difícil reconstruirlo si este tribunal persiste en la doctrina de esta sentencia.</w:t>
      </w:r>
    </w:p>
    <w:p w:rsidR="00AC56D6" w:rsidRDefault="00AC56D6" w:rsidP="00AC56D6">
      <w:pPr>
        <w:pStyle w:val="TextoNormal"/>
      </w:pPr>
    </w:p>
    <w:p w:rsidR="00AC56D6" w:rsidRDefault="00AC56D6" w:rsidP="00AC56D6">
      <w:pPr>
        <w:pStyle w:val="TextoNormal"/>
      </w:pPr>
      <w:r>
        <w:t>Esto abre negativas consecuencias desde la perspectiva de la seguridad jurídica, incrementadas por el hecho de que la opinión por la que he sido doblemente vencido (en mi opinión principal y en mi propuesta de transacción) implica un giro copernicano (tampoco confesado) respecto de la doctrina mantenida en la STC 141/2014, en la que se aceptó la constitucionalidad de los principios de (i) estimación del valor real del suelo rural por el método de capitalización y (ii) prohibición de inclusión en la valoración, más allá de las previsiones expresas del legislador, de las expectativas urbanísticas. Para convencerse de ello basta comprobar que los votos aquí concurrentes fueron discrepantes en aquella resolución y advertir cómo la nueva argumentación (mediante un tropo digno de estudio desde el punto de vista retórico) proyecta incondicionalmente el concepto de “valor real”, que solo tiene sentido abstracto en relación con el contenido esencial de la propiedad, sobre las facultades de urbanización y edificación reconocidas por la ley al propietario.</w:t>
      </w:r>
    </w:p>
    <w:p w:rsidR="00AC56D6" w:rsidRDefault="00AC56D6" w:rsidP="00AC56D6">
      <w:pPr>
        <w:pStyle w:val="TextoNormal"/>
      </w:pPr>
    </w:p>
    <w:p w:rsidR="00AC56D6" w:rsidRDefault="00AC56D6" w:rsidP="00AC56D6">
      <w:pPr>
        <w:pStyle w:val="TextoNormal"/>
      </w:pPr>
      <w:r>
        <w:t>Madrid, a veintidós de octubre de dos mil quince.</w:t>
      </w:r>
    </w:p>
    <w:p w:rsidR="00AC56D6" w:rsidRDefault="00AC56D6" w:rsidP="00AC56D6">
      <w:pPr>
        <w:pStyle w:val="TextoNormal"/>
      </w:pPr>
    </w:p>
    <w:p w:rsidR="00AC56D6" w:rsidRDefault="00AC56D6" w:rsidP="00AC56D6">
      <w:pPr>
        <w:pStyle w:val="TextoNormalNegritaCentrado"/>
        <w:keepNext/>
      </w:pPr>
      <w:r>
        <w:t>Voto particular concurrente que formula el Magistrado don Pedro José González-Trevijano Sánchez, al que se adhiere el Magistrado don Andrés Ollero Tassara, respecto a la Sentencia del Pleno de fecha 22 de octubre de 2015, dictada en la cuestión de inconstitucionalidad núm. 6059-2014.</w:t>
      </w:r>
    </w:p>
    <w:p w:rsidR="00AC56D6" w:rsidRDefault="00AC56D6" w:rsidP="00AC56D6">
      <w:pPr>
        <w:pStyle w:val="TextoNormalNegritaCentrado"/>
        <w:keepNext/>
      </w:pPr>
    </w:p>
    <w:p w:rsidR="00AC56D6" w:rsidRDefault="00AC56D6" w:rsidP="00AC56D6">
      <w:pPr>
        <w:pStyle w:val="TextoNormal"/>
      </w:pPr>
      <w:r>
        <w:t>En ejercicio de la facultad que me confiere el art. 90.2 de la Ley Orgánica del Tribunal Constitucional, formulo Voto particular concurrente respecto de la Sentencia citada en el encabezamiento.</w:t>
      </w:r>
    </w:p>
    <w:p w:rsidR="00AC56D6" w:rsidRDefault="00AC56D6" w:rsidP="00AC56D6">
      <w:pPr>
        <w:pStyle w:val="TextoNormal"/>
      </w:pPr>
    </w:p>
    <w:p w:rsidR="00AC56D6" w:rsidRDefault="00AC56D6" w:rsidP="00AC56D6">
      <w:pPr>
        <w:pStyle w:val="TextoNormal"/>
      </w:pPr>
      <w:r>
        <w:t>Estoy de acuerdo con el sentido del fallo aprobado por la mayoría del Pleno, pero, por las razones que ya expuse en el Voto particular que formulé a la STC 141/2014, de 11 de septiembre (que resolvió los recursos de inconstitucionalidad acumulados, interpuestos en contra de la Ley 8/2007, de 28 de mayo, del suelo; y contra el texto refundido de la Ley del suelo, aprobado por Real Decreto Legislativo 2/2008, de 20 de junio) al cual me remito, debo formular ahora el presente Voto particular.</w:t>
      </w:r>
    </w:p>
    <w:p w:rsidR="00AC56D6" w:rsidRDefault="00AC56D6" w:rsidP="00AC56D6">
      <w:pPr>
        <w:pStyle w:val="TextoNormal"/>
      </w:pPr>
    </w:p>
    <w:p w:rsidR="00AC56D6" w:rsidRDefault="00AC56D6" w:rsidP="00AC56D6">
      <w:pPr>
        <w:pStyle w:val="TextoNormal"/>
      </w:pPr>
      <w:r>
        <w:lastRenderedPageBreak/>
        <w:t>Considero que la Sentencia tendría que haber afirmado, además, la inconstitucionalidad del art. 25.2 a) del Real Decreto Legislativo 2/2008, por vulneración del art. 33.3 CE. Como ya tuve ocasión de exponer, lo que garantiza el art. 33.3 CE es el principio de indemnidad, esto es, el propietario tiene que quedar en la misma situación que si se le hubiera permitido continuar con la propiedad, de manera que el método de valoración debe garantizar ese contenido constitucional del derecho de propiedad que exige, al menos, la compensación con el valor en renta. Es decir, el que hubiera obtenido por el ejercicio de la facultad que la ley le atribuye de participar en la ejecución de las actuaciones de urbanización en un régimen de equidistribución de beneficios y cargas de no haber sido privado del bien; indemnidad que el precepto controvertido no garantiza.</w:t>
      </w:r>
    </w:p>
    <w:p w:rsidR="00AC56D6" w:rsidRDefault="00AC56D6" w:rsidP="00AC56D6">
      <w:pPr>
        <w:pStyle w:val="TextoNormal"/>
      </w:pPr>
    </w:p>
    <w:p w:rsidR="00AC56D6" w:rsidRDefault="00AC56D6" w:rsidP="00AC56D6">
      <w:pPr>
        <w:pStyle w:val="TextoNormal"/>
      </w:pPr>
      <w:r>
        <w:t>En este sentido emito mi Voto particular.</w:t>
      </w:r>
    </w:p>
    <w:p w:rsidR="00AC56D6" w:rsidRDefault="00AC56D6" w:rsidP="00AC56D6">
      <w:pPr>
        <w:pStyle w:val="TextoNormal"/>
      </w:pPr>
    </w:p>
    <w:p w:rsidR="00AC56D6" w:rsidRDefault="00AC56D6" w:rsidP="00AC56D6">
      <w:pPr>
        <w:pStyle w:val="TextoNormal"/>
      </w:pPr>
      <w:r>
        <w:t>Madrid, a veintidós de octubre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75" w:name="SENTENCIA_2015_219"/>
      <w:r>
        <w:lastRenderedPageBreak/>
        <w:t>SENTENCIA 219/2015, de 22 de octubre de 2015</w:t>
      </w:r>
    </w:p>
    <w:bookmarkEnd w:id="75"/>
    <w:p w:rsidR="00AC56D6" w:rsidRDefault="00AC56D6" w:rsidP="00AC56D6">
      <w:pPr>
        <w:pStyle w:val="TtuloResolucin"/>
      </w:pPr>
      <w:r>
        <w:t>Pleno</w:t>
      </w:r>
    </w:p>
    <w:p w:rsidR="00AC56D6" w:rsidRDefault="00AC56D6" w:rsidP="00AC56D6">
      <w:pPr>
        <w:pStyle w:val="TtuloBOE"/>
      </w:pPr>
      <w:r>
        <w:t>(BOE núm. 284, de 27 de noviembre de 2015)</w:t>
      </w:r>
    </w:p>
    <w:p w:rsidR="00AC56D6" w:rsidRDefault="00AC56D6" w:rsidP="00AC56D6">
      <w:pPr>
        <w:pStyle w:val="TextoNormalCentrado"/>
      </w:pPr>
      <w:r>
        <w:t>ECLI:ES:TC:2015:219</w:t>
      </w:r>
    </w:p>
    <w:p w:rsidR="00AC56D6" w:rsidRDefault="00AC56D6" w:rsidP="00AC56D6">
      <w:pPr>
        <w:pStyle w:val="TextoNormalCentrado"/>
      </w:pPr>
    </w:p>
    <w:p w:rsidR="00AC56D6" w:rsidRDefault="00AC56D6" w:rsidP="00AC56D6">
      <w:pPr>
        <w:pStyle w:val="SntesisDescriptiva"/>
      </w:pPr>
      <w:r>
        <w:t>Cuestión de inconstitucionalidad 2208-2015. Planteada por la Sala de lo Contencioso-Administrativo del Tribunal Superior de Justicia de Madrid en relación con los artículos 8 y 10 del Real Decreto-ley 9/2008, de 28 de noviembre, por el que se crean un fondo estatal de inversión local y un fondo especial del Estado para la dinamización de la economía y el empleo y se aprueban créditos extraordinarios para atender a su financiación.</w:t>
      </w:r>
    </w:p>
    <w:p w:rsidR="00AC56D6" w:rsidRDefault="00AC56D6" w:rsidP="00AC56D6">
      <w:pPr>
        <w:pStyle w:val="SntesisDescriptiva"/>
      </w:pPr>
    </w:p>
    <w:p w:rsidR="00AC56D6" w:rsidRDefault="00AC56D6" w:rsidP="00AC56D6">
      <w:pPr>
        <w:pStyle w:val="SntesisAnaltica"/>
      </w:pPr>
      <w:r>
        <w:t>Competencias sobre ordenación general de la economía: inadmisión de la cuestión por inadecuada formulación del juicio de aplicabilidad y relevancia (STC 201/2015).</w:t>
      </w:r>
    </w:p>
    <w:p w:rsidR="00AC56D6" w:rsidRDefault="00AC56D6" w:rsidP="00AC56D6">
      <w:pPr>
        <w:pStyle w:val="SntesisAnaltica"/>
      </w:pPr>
    </w:p>
    <w:p w:rsidR="00AC56D6" w:rsidRDefault="00AC56D6" w:rsidP="00AC56D6">
      <w:pPr>
        <w:pStyle w:val="Extracto"/>
      </w:pPr>
      <w:r>
        <w:t>1.</w:t>
      </w:r>
      <w:r>
        <w:tab/>
        <w:t>Asunto sustancialmente idéntico al resuelto por la STC 201/2015, relativo a la doctrina sobre la adecuada formulación del juicio de aplicabilidad y relevancia en el planteamiento de cuestiones de inconstitucionalidad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2208-2015, promovida por la Sección Octava de la Sala de lo Contencioso-Administrativo del Tribunal Superior de Justicia de Madrid, en relación con los arts. 8 y 10 del Real Decreto-ley 9/2008, de 28 de noviembre, por el que se crean un fondo estatal de inversión local y un fondo especial del Estado para la dinamización de la economía y el empleo y se aprueban créditos extraordinarios para atender a su financiación, por posible infracción del art. 149.1.13 CE. Han comparecido y formulado alegaciones el Abogado del Estado y la Fiscal General del Estado. Ha sido Ponente el Magistrado don Juan Antonio Xiol Ríos, quien expresa el parecer del Tribunal.</w:t>
      </w:r>
    </w:p>
    <w:p w:rsidR="00AC56D6" w:rsidRDefault="00AC56D6" w:rsidP="00AC56D6">
      <w:pPr>
        <w:pStyle w:val="TextoNormal"/>
      </w:pPr>
    </w:p>
    <w:p w:rsidR="00AC56D6" w:rsidRDefault="00AC56D6" w:rsidP="00AC56D6">
      <w:pPr>
        <w:pStyle w:val="TextoNormalNegritaCentrado"/>
        <w:keepNext/>
      </w:pPr>
      <w:r>
        <w:lastRenderedPageBreak/>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registrado en este Tribunal el 20 de abril de 2015, al que se acompaña el correspondiente Auto de 6 del mismo mes, la Sección Octava de la Sala de lo Contencioso-Administrativo del Tribunal Superior de Justicia de Madrid planteó una cuestión de inconstitucionalidad en relación con los arts. 8 y 10 del Real Decreto-ley 9/2008, de 28 de noviembre, por el que se crean un fondo estatal de inversión local y un fondo especial del Estado para la dinamización de la economía y el empleo y se aprueban créditos extraordinarios para atender a su financiación (en adelante, Real Decreto-ley 9/2008), por posible infracción del art. 149.1.13 de la Constitución.</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son los siguientes:</w:t>
      </w:r>
    </w:p>
    <w:p w:rsidR="00AC56D6" w:rsidRDefault="00AC56D6" w:rsidP="00AC56D6">
      <w:pPr>
        <w:pStyle w:val="TextoNormal"/>
      </w:pPr>
    </w:p>
    <w:p w:rsidR="00AC56D6" w:rsidRDefault="00AC56D6" w:rsidP="00AC56D6">
      <w:pPr>
        <w:pStyle w:val="TextoNormal"/>
      </w:pPr>
      <w:r>
        <w:t xml:space="preserve">a) El Ayuntamiento de Madrid —recurrente en el proceso </w:t>
      </w:r>
      <w:r w:rsidRPr="00AC56D6">
        <w:rPr>
          <w:i/>
        </w:rPr>
        <w:t>a quo</w:t>
      </w:r>
      <w:r>
        <w:t>— recibió una serie de ayudas para la ejecución del proyecto “Construcción de vías Ciclistas en el Distrito de Latina 2486” con cargo al fondo estatal de inversión local, creado por el Real Decreto-ley 9/2008.</w:t>
      </w:r>
    </w:p>
    <w:p w:rsidR="00AC56D6" w:rsidRDefault="00AC56D6" w:rsidP="00AC56D6">
      <w:pPr>
        <w:pStyle w:val="TextoNormal"/>
      </w:pPr>
    </w:p>
    <w:p w:rsidR="00AC56D6" w:rsidRDefault="00AC56D6" w:rsidP="00AC56D6">
      <w:pPr>
        <w:pStyle w:val="TextoNormal"/>
      </w:pPr>
      <w:r>
        <w:t>b) A la vista del informe de control financiero de subvenciones y ayudas nacionales elaborado por la Intervención General de la Administración del Estado (Intervención Territorial de Madrid), la Dirección General de Coordinación de las Competencias con las Comunidades Autónomas y las entidades locales (Ministerio de Hacienda y Administraciones Públicas) acordó iniciar el procedimiento de reintegro regulado en el art. 10 del Real Decreto-ley 9/2008, confiriendo al Ayuntamiento de Madrid el correspondiente trámite de alegaciones. Las alegaciones formuladas por el ayuntamiento fueron desestimadas mediante resolución de 15 de noviembre de 2012 de la citada Dirección General, por la que se declaraba la existencia de un saldo a favor del tesoro público, por incumplimiento de lo dispuesto en el Real Decreto-ley 9/2008.</w:t>
      </w:r>
    </w:p>
    <w:p w:rsidR="00AC56D6" w:rsidRDefault="00AC56D6" w:rsidP="00AC56D6">
      <w:pPr>
        <w:pStyle w:val="TextoNormal"/>
      </w:pPr>
    </w:p>
    <w:p w:rsidR="00AC56D6" w:rsidRDefault="00AC56D6" w:rsidP="00AC56D6">
      <w:pPr>
        <w:pStyle w:val="TextoNormal"/>
      </w:pPr>
      <w:r>
        <w:t>c) Contra dicha resolución, el Ayuntamiento de Madrid interpuso un recurso contencioso-administrativo ante la Sala de lo Contencioso-Administrativo del Tribunal Superior de Justicia de Madrid (recurso núm. 626-2013) alegando en la demanda la inconstitucionalidad de los artículos del Real Decreto-ley 9/2008 que habían sido aplicados, a la vista de la STC 150/2012, de 5 de julio, por la que se resolvió el recurso de inconstitucionalidad planteado contra varios preceptos del Real Decreto-ley 13/2009, de 26 de octubre, de creación del fondo estatal para el empleo y la sostenibilidad local (en adelante, Real Decreto-ley 13/2009). El ayuntamiento demandante solicitó de la Sala el planteamiento de una cuestión de inconstitucionalidad por entender que los artículos aplicados en el procedimiento de reintegro eran equivalentes a los que fueron declarados inconstitucionales por la citada STC 150/2012 e incurrían, por tanto, en el mismo vicio.</w:t>
      </w:r>
    </w:p>
    <w:p w:rsidR="00AC56D6" w:rsidRDefault="00AC56D6" w:rsidP="00AC56D6">
      <w:pPr>
        <w:pStyle w:val="TextoNormal"/>
      </w:pPr>
    </w:p>
    <w:p w:rsidR="00AC56D6" w:rsidRDefault="00AC56D6" w:rsidP="00AC56D6">
      <w:pPr>
        <w:pStyle w:val="TextoNormal"/>
      </w:pPr>
      <w:r>
        <w:t>d) Una vez declarado concluso el procedimiento, mediante providencia de 28 de enero de 2015 se acordó oír a las partes y al Ministerio Fiscal sobre la conveniencia de plantear una cuestión de inconstitucionalidad en relación con los preceptos del Real Decreto-ley 9/2008 objeto de aplicación.</w:t>
      </w:r>
    </w:p>
    <w:p w:rsidR="00AC56D6" w:rsidRDefault="00AC56D6" w:rsidP="00AC56D6">
      <w:pPr>
        <w:pStyle w:val="TextoNormal"/>
      </w:pPr>
    </w:p>
    <w:p w:rsidR="00AC56D6" w:rsidRDefault="00AC56D6" w:rsidP="00AC56D6">
      <w:pPr>
        <w:pStyle w:val="TextoNormal"/>
      </w:pPr>
      <w:r>
        <w:lastRenderedPageBreak/>
        <w:t>e) El Abogado del Estado presentó su escrito de alegaciones el 5 de febrero de 2015, en el que se oponía al planteamiento de la cuestión. Aducía, en apoyo de su pretensión, que la STC 150/2012 no podía servir de fundamento para la formulación de la cuestión porque se refería a otro real decreto-ley y, además, anulaba solo alguno de sus preceptos. Añadía que el planteamiento de la cuestión en nada variaría la solución correspondiente al fondo del asunto porque aquella Sentencia resolvió solo la competencia para tramitar los expedientes de reintegro, sin afectar a las ayudas ya concedidas. Por otra parte, a la vista del meridiano incumplimiento de los requisitos de la subvención en el caso concreto examinado, si las autoridades autonómicas tramitasen el expediente de reintegro, llegarían a la misma conclusión que la Administración general del Estado.</w:t>
      </w:r>
    </w:p>
    <w:p w:rsidR="00AC56D6" w:rsidRDefault="00AC56D6" w:rsidP="00AC56D6">
      <w:pPr>
        <w:pStyle w:val="TextoNormal"/>
      </w:pPr>
    </w:p>
    <w:p w:rsidR="00AC56D6" w:rsidRDefault="00AC56D6" w:rsidP="00AC56D6">
      <w:pPr>
        <w:pStyle w:val="TextoNormal"/>
      </w:pPr>
      <w:r>
        <w:t>f) El Ministerio Fiscal presentó sus alegaciones el 11 de febrero de 2015, razonando que los arts. 8 y 10 del Real Decreto-ley 9/2008 son aplicables al caso y relevantes para el fallo, pues se referían al control y reintegro de la ayuda concedida al Ayuntamiento. No se oponía al planteamiento de la cuestión, a la vista de lo declarado en la STC 150/2012 y de que el contenido de los citados artículos 8 y 10 coinciden con dos de los declarados inconstitucionales en dicho pronunciamiento.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El Auto de promoción de la cuestión señala que los procedimientos de control financiero y reintegro cuya resolución constituye el objeto del proceso </w:t>
      </w:r>
      <w:r w:rsidRPr="00AC56D6">
        <w:rPr>
          <w:i/>
        </w:rPr>
        <w:t>a quo</w:t>
      </w:r>
      <w:r>
        <w:t xml:space="preserve"> se fundan en los preceptos controvertidos: arts. 8 y 10 del Real Decreto-ley 9/2008. Tales preceptos son sustancialmente equivalentes a los arts. 5 y 6 del Real Decreto-ley 13/2009, que fueron declarados inconstitucionales por la STC 150/2012. En dicha Sentencia se consideró que el art. 149.1.13 de la Constitución no ampara la regulación contenida en dichos preceptos, habida cuenta de que deben ser las Comunidades Autónomas quienes establezcan el régimen de gestión, control y resolución de las solicitudes de ayudas, así como el procedimiento de reintegro. Los preceptos aplicados en este procedimiento, a juicio del órgano judicial, incurrirían en el mismo vicio de inconstitucionalidad, al otorgar a órganos de la Administración general del Estado las competencias de control y reintegro de las ayudas en una competencia compartida con las Comunidades Autónomas. El Tribunal proponente considera, en consecuencia, que los arts. 8 y 10 del Real Decreto-ley 9/2008 vulneran el art. 149.1.13 de la Constitución, al igual que sucedía con los preceptos equivalentes del Real Decreto-ley 13/2009.</w:t>
      </w:r>
    </w:p>
    <w:p w:rsidR="00AC56D6" w:rsidRDefault="00AC56D6" w:rsidP="00AC56D6">
      <w:pPr>
        <w:pStyle w:val="TextoNormal"/>
      </w:pPr>
    </w:p>
    <w:p w:rsidR="00AC56D6" w:rsidRDefault="00AC56D6" w:rsidP="00AC56D6">
      <w:pPr>
        <w:pStyle w:val="TextoNormal"/>
      </w:pPr>
      <w:r w:rsidRPr="00AC56D6">
        <w:rPr>
          <w:rStyle w:val="NumeroAFNegritaCaracter"/>
        </w:rPr>
        <w:t>4</w:t>
      </w:r>
      <w:r>
        <w:t>. Por providencia de 9 de junio de 2015, el Pleno de este Tribunal acordó admitir a trámite la presente cuestión de inconstitucionalidad, reservar para sí el conocimiento de la misma conforme al art. 10.1 c) de la Ley Orgánica del Tribunal Constitucional (LOTC) y dar traslado de las actuaciones recibidas al Congreso de los Diputados y al Senado, por conducto de sus Presidentes, al Gobierno, a través del Ministro de Justicia, y a la Fiscalía General del Estado, para que en el improrrogable plazo de quince días pudieran personarse en el procedimiento y formular las alegaciones que estimasen convenientes (art. 37.3 LOTC). Asimismo, se ordenaba, de un lado, comunicar esa resolución al órgano promotor a fin de que, de conformidad con el art. 35.3 LOTC, permaneciese suspendido el proceso hasta que este Tribunal resolviese definitivamente la presente cuestión y, de otro lado, publicar la incoación de la cuestión en el “Boletín Oficial del Estado”, lo que se llevó a efecto en el “BOE” núm. 144, de 17 de junio de 2015.</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5</w:t>
      </w:r>
      <w:r>
        <w:t>. Por escrito registrado en este Tribunal el 18 de junio de 2015, el Presidente del Congreso de los Diputados comunicó el acuerdo de dar por personada en el procedimiento a dicha Cámara y por ofrecida su colaboración a los efectos del art. 88.1 LOTC. Igualmente, por escrito registrado el 24 de junio se recibió una comunicación del Presidente del Senado por la cual se ponía en conocimiento de este Tribunal que dicha Cámara se daba por personada en el procedimiento y por ofrecida su colaboración a los efectos del citado precepto.</w:t>
      </w:r>
    </w:p>
    <w:p w:rsidR="00AC56D6" w:rsidRDefault="00AC56D6" w:rsidP="00AC56D6">
      <w:pPr>
        <w:pStyle w:val="TextoNormal"/>
      </w:pPr>
    </w:p>
    <w:p w:rsidR="00AC56D6" w:rsidRDefault="00AC56D6" w:rsidP="00AC56D6">
      <w:pPr>
        <w:pStyle w:val="TextoNormal"/>
      </w:pPr>
      <w:r w:rsidRPr="00AC56D6">
        <w:rPr>
          <w:rStyle w:val="NumeroAFNegritaCaracter"/>
        </w:rPr>
        <w:t>6</w:t>
      </w:r>
      <w:r>
        <w:t>. El Abogado del Estado presentó un escrito registrado en este Tribunal el 30 de junio de 2015 en el que suplica que se dicte Sentencia por la que se inadmita o, subsidiariamente, se desestime la cuestión planteada. En apoyo de su pretensión, alega, por una parte, que la cuestión no ha tomado una norma de comparación integrante del bloque de la constitucionalidad, sino el contenido del Real Decreto-ley 13/2009, interpretado por la STC 150/2012; por otra, señala que el Auto de planteamiento no identifica la norma atributiva de la competencia autonómica que habría sido vulnerada por el Real Decreto-ley 9/2008.</w:t>
      </w:r>
    </w:p>
    <w:p w:rsidR="00AC56D6" w:rsidRDefault="00AC56D6" w:rsidP="00AC56D6">
      <w:pPr>
        <w:pStyle w:val="TextoNormal"/>
      </w:pPr>
    </w:p>
    <w:p w:rsidR="00AC56D6" w:rsidRDefault="00AC56D6" w:rsidP="00AC56D6">
      <w:pPr>
        <w:pStyle w:val="TextoNormal"/>
      </w:pPr>
      <w:r w:rsidRPr="00AC56D6">
        <w:rPr>
          <w:rStyle w:val="NumeroAFNegritaCaracter"/>
        </w:rPr>
        <w:t>7</w:t>
      </w:r>
      <w:r>
        <w:t>. La Fiscal General del Estado formuló sus alegaciones mediante escrito presentado en este Tribunal el 17 de julio de 2015 en el cual, después de relacionar las circunstancias del caso y transcribir las normas legales cuestionadas, expone, sobre la concurrencia de posibles óbices procesales, que el órgano promotor implícitamente viene a afirmar que, según su criterio, los preceptos cuya constitucionalidad cuestiona resultan aplicables y, aunque la Fiscalía entiende que habría sido deseable un mayor detalle en la explicación de la relevancia de la norma para el fallo del asunto enjuiciado, señala que la validez constitucional de las normas cuestionadas aportaría un valor añadido en el enjuiciamiento del supuesto de hecho y, en tal medida, tiene sentido su planteamiento.</w:t>
      </w:r>
    </w:p>
    <w:p w:rsidR="00AC56D6" w:rsidRDefault="00AC56D6" w:rsidP="00AC56D6">
      <w:pPr>
        <w:pStyle w:val="TextoNormal"/>
      </w:pPr>
    </w:p>
    <w:p w:rsidR="00AC56D6" w:rsidRDefault="00AC56D6" w:rsidP="00AC56D6">
      <w:pPr>
        <w:pStyle w:val="TextoNormal"/>
      </w:pPr>
      <w:r>
        <w:t>Considera, en cuanto al fondo, que el paralelismo del Real Decreto-ley 9/2008 con el Real Decreto-ley 13/2009, parcialmente declarado inconstitucional por la STC 150/2012, parece suficiente para sustentar la oportunidad del enjuiciamiento constitucional de las disposiciones controvertidas. A continuación, pasa a identificar el título competencial en el que se fundamenta el citado Real Decreto-ley 9/2008, descartando que quepa ampararlo en los apartados 1, 14 y 18 del art. 149.1 de la Constitución, para terminar concluyendo que el fondo estatal de inversión local es una genuina expresión de la planificación general de la economía, título competencial reconocido en el art. 149.1.13 del texto constitucional. Tras recordar la doctrina constitucional recaída al respecto (cita, fundamentalmente, la STC 13/1992, de 6 de febrero), concluye que el Real Decreto-ley 9/2008 contradice abiertamente el régimen competencial establecido, al atribuir íntegramente a los órganos estatales la tramitación de las subvenciones otorgadas con cargo al fondo estatal de inversión local. La Fiscal General del Estado finaliza solicitando la estimación de la cuestión por vulnerarse el art. 149.1.13 de la Constitución, si bien precisando que, al igual que la STC 150/2012, el pronunciamiento de inconstitucionalidad debe tener un carácter meramente declarativo, de modo que no se incida en la situación jurídica concreta que dio lugar al proceso constitucional.</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20 de octubre de 2015 se señaló para deliberación y votación de la presente Sentencia el día 22 del mismo mes y año.</w:t>
      </w:r>
    </w:p>
    <w:p w:rsidR="00AC56D6" w:rsidRDefault="00AC56D6" w:rsidP="00AC56D6">
      <w:pPr>
        <w:pStyle w:val="TextoNormal"/>
      </w:pPr>
    </w:p>
    <w:p w:rsidR="00AC56D6" w:rsidRDefault="00AC56D6" w:rsidP="00AC56D6">
      <w:pPr>
        <w:pStyle w:val="TextoNormalNegritaCentrado"/>
        <w:keepNext/>
      </w:pPr>
      <w:r>
        <w:lastRenderedPageBreak/>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presente cuestión de inconstitucionalidad se suscita en relación con los arts. 8 y 10 del Real Decreto-ley 9/2008, de 28 de noviembre, por el que se crean un fondo estatal de inversión local y un fondo especial del Estado para la dinamización de la economía y el empleo y se aprueban créditos extraordinarios para atender a su financiación (en adelante, Real Decreto-ley 9/2008), por posible infracción del art. 149.1.13 de la Constitución. Los citados arts. 8 y 10 del Real Decreto-ley 9/2008 atribuyen a órganos del Estado, respectivamente, el control de la correcta aplicación de los recursos obtenidos del fondo y la tramitación de los expedientes de reintegro de las cantidades no justificadas.</w:t>
      </w:r>
    </w:p>
    <w:p w:rsidR="00AC56D6" w:rsidRDefault="00AC56D6" w:rsidP="00AC56D6">
      <w:pPr>
        <w:pStyle w:val="TextoNormal"/>
      </w:pPr>
    </w:p>
    <w:p w:rsidR="00AC56D6" w:rsidRDefault="00AC56D6" w:rsidP="00AC56D6">
      <w:pPr>
        <w:pStyle w:val="TextoNormal"/>
      </w:pPr>
      <w:r>
        <w:t>La Sección Octava de la Sala de lo Contencioso-Administrativo del Tribunal Superior de Justicia de Madrid considera que tales preceptos son sustancialmente equivalentes a los arts. 5 y 6 del Real Decreto-ley 13/2009, de 26 de octubre, de creación del fondo estatal para el empleo y la sostenibilidad local, que ya fueron declarados inconstitucionales por la STC 150/2012, de 5 de julio. El órgano promotor recuerda que en dicha Sentencia este Tribunal afirmó que el art. 149.1.13 de la Constitución no ampara tal regulación, habida cuenta de que, tratándose de una competencia compartida, deben ser las Comunidades Autónomas quienes asuman, en tanto que actividades ejecutivas, el control financiero de las ayudas concedidas y, en su caso, los expedientes de reintegro. A su juicio, los preceptos cuestionados del Real Decreto-ley 9/2008 incurrirían en esa misma inconstitucionalidad, al otorgar a órganos de la Administración general del Estado las competencias de control y reintegro del fondo estatal de inversión local.</w:t>
      </w:r>
    </w:p>
    <w:p w:rsidR="00AC56D6" w:rsidRDefault="00AC56D6" w:rsidP="00AC56D6">
      <w:pPr>
        <w:pStyle w:val="TextoNormal"/>
      </w:pPr>
    </w:p>
    <w:p w:rsidR="00AC56D6" w:rsidRDefault="00AC56D6" w:rsidP="00AC56D6">
      <w:pPr>
        <w:pStyle w:val="TextoNormal"/>
      </w:pPr>
      <w:r w:rsidRPr="00AC56D6">
        <w:rPr>
          <w:rStyle w:val="NumeroAFNegritaCaracter"/>
        </w:rPr>
        <w:t>2</w:t>
      </w:r>
      <w:r>
        <w:t>. Al examinar esta cuestión es necesario valorar previamente la concurrencia de los requisitos exigidos para el válido planteamiento de la cuestión de inconstitucionalidad, pues nada impide que se pueda apreciar su ausencia en la fase de resolución, esto es, mediante Sentencia, además de hacerlo en el trámite de admisión previsto en el art. 37.1 de la Ley Orgánica del Tribunal Constitucional (LOTC; SSTC 183/2013, de 23 de octubre, FJ 2; 206/2014, de 15 de diciembre, FJ 2; 10/2015, de 2 de febrero, FJ 2; 79/2015, de 30 de abril, FJ 2, y 110/2015, de 28 de mayo, FJ 3, entre otras).</w:t>
      </w:r>
    </w:p>
    <w:p w:rsidR="00AC56D6" w:rsidRDefault="00AC56D6" w:rsidP="00AC56D6">
      <w:pPr>
        <w:pStyle w:val="TextoNormal"/>
      </w:pPr>
    </w:p>
    <w:p w:rsidR="00AC56D6" w:rsidRDefault="00AC56D6" w:rsidP="00AC56D6">
      <w:pPr>
        <w:pStyle w:val="TextoNormal"/>
      </w:pPr>
      <w:r>
        <w:t xml:space="preserve">Es preciso comenzar recordando, como dijimos en la STC 79/2015, de 30 de abril, FJ 3, que los apartados 1 y 2 del art. 35 LOTC exigen, respectivamente, que la norma con rango de ley de la que tenga dudas un Juez o Tribunal resulte “aplicable al caso y de cuya validez dependa el fallo” y que el órgano judicial deberá especificar o justificar en el Auto de planteamiento de la cuestión en qué medida la decisión del proceso depende de la validez de la norma de que se trate. En atención a lo expuesto, es exigible que la norma cuestionada supere el llamado juicio de relevancia, que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de 25 de septiembre, FJ 2). De ahí que este Tribunal haya estimado que debe darse una verdadera “dependencia” (STC 189/1991, de 3 de octubre, FJ 2), o un “nexo de subordinación”, entre el fallo del proceso y la validez de la norma cuestionada (STC 157/1990, de 18 de octubre, FJ 1). Así, no basta con que el Tribunal ordinario considere que la norma es aplicable al caso, sino que también </w:t>
      </w:r>
      <w:r>
        <w:lastRenderedPageBreak/>
        <w:t>ha de satisfacerse el requisito de la relevancia; si bien la aplicabilidad de la norma es condición necesaria para que el fallo dependa de su validez, no es, en modo alguno, condición suficiente (SSTC 17/1981, de 1 de junio, FJ 4, y 156/2014, FJ 2).</w:t>
      </w:r>
    </w:p>
    <w:p w:rsidR="00AC56D6" w:rsidRDefault="00AC56D6" w:rsidP="00AC56D6">
      <w:pPr>
        <w:pStyle w:val="TextoNormal"/>
      </w:pPr>
    </w:p>
    <w:p w:rsidR="00AC56D6" w:rsidRDefault="00AC56D6" w:rsidP="00AC56D6">
      <w:pPr>
        <w:pStyle w:val="TextoNormal"/>
      </w:pPr>
      <w:r>
        <w:t>Asimismo, hemos mantenido que es a los Jueces y Tribunales ordinarios que plantean las cuestiones de inconstitucionalidad a los que corresponde comprobar y exteriorizar dicho juicio de relevancia, sin que este Tribunal pueda “sustituir, rectificar o integrar el criterio de los órganos judiciales proponentes” (por todas, STC 166/2012, de 1 de octubre, FJ 2).</w:t>
      </w:r>
    </w:p>
    <w:p w:rsidR="00AC56D6" w:rsidRDefault="00AC56D6" w:rsidP="00AC56D6">
      <w:pPr>
        <w:pStyle w:val="TextoNormal"/>
      </w:pPr>
    </w:p>
    <w:p w:rsidR="00AC56D6" w:rsidRDefault="00AC56D6" w:rsidP="00AC56D6">
      <w:pPr>
        <w:pStyle w:val="TextoNormal"/>
      </w:pPr>
      <w:r w:rsidRPr="00AC56D6">
        <w:rPr>
          <w:rStyle w:val="NumeroAFNegritaCaracter"/>
        </w:rPr>
        <w:t>3</w:t>
      </w:r>
      <w:r>
        <w:t>. En la cuestión aquí planteada, la Fiscal General del Estado deja constancia de que el órgano judicial implícitamente viene a afirmar que, a su criterio, los preceptos cuya constitucionalidad cuestiona resultan aplicables. Pone de relieve que habría sido deseable un mayor detalle en la explicación de la dependencia del fallo respecto de la validez constitucional de las normas cuestionadas, no obstante lo cual concluye que el citado requisito procesal está suficientemente cumplido.</w:t>
      </w:r>
    </w:p>
    <w:p w:rsidR="00AC56D6" w:rsidRDefault="00AC56D6" w:rsidP="00AC56D6">
      <w:pPr>
        <w:pStyle w:val="TextoNormal"/>
      </w:pPr>
    </w:p>
    <w:p w:rsidR="00AC56D6" w:rsidRDefault="00AC56D6" w:rsidP="00AC56D6">
      <w:pPr>
        <w:pStyle w:val="TextoNormal"/>
      </w:pPr>
      <w:r>
        <w:t xml:space="preserve">Recientemente, la STC 201/2015, de 24 de septiembre, ha tenido ocasión de pronunciarse sobre si cumplía los juicios de aplicabilidad y relevancia un Auto de la misma Sala que planteaba otra cuestión de inconstitucionalidad (la núm. 1796-2015) respecto de los mismos preceptos. Tras descartar que pudieran entenderse convenientemente cumplidos aquellos dos juicios a través de justificaciones meramente “implícitas”, carentes de suficiente argumentación, inadmitió la cuestión por la razón siguiente: “El Auto de planteamiento no va más allá de exponer que los preceptos cuestionados fueron aplicados por los actos administrativos impugnados el pleito </w:t>
      </w:r>
      <w:r w:rsidRPr="00AC56D6">
        <w:rPr>
          <w:i/>
        </w:rPr>
        <w:t>a quo</w:t>
      </w:r>
      <w:r>
        <w:t>. En estas circunstancias, aunque pudiera admitirse que con ello se justifica la aplicabilidad de los mismos, no es posible reconocer en tal argumento una exteriorización del juicio de relevancia, lo que determina la inadmisión de la presente cuestión de inconstitucionalidad porque el órgano judicial no ha levantado la carga de ‘especificar y justificar’ el juicio de relevancia” (ATC 136/2015, FJ 3, citado por la STC 201/2015, FJ 3).</w:t>
      </w:r>
    </w:p>
    <w:p w:rsidR="00AC56D6" w:rsidRDefault="00AC56D6" w:rsidP="00AC56D6">
      <w:pPr>
        <w:pStyle w:val="TextoNormal"/>
      </w:pPr>
    </w:p>
    <w:p w:rsidR="00AC56D6" w:rsidRDefault="00AC56D6" w:rsidP="00AC56D6">
      <w:pPr>
        <w:pStyle w:val="TextoNormal"/>
      </w:pPr>
      <w:r>
        <w:t>La presente cuestión de inconstitucionalidad está planteada exactamente en los mismos términos que la inadmitida en la citada Sentencia. Corresponde, en consecuencia, apreciar que el órgano judicial tampoco en este caso ha exteriorizado suficientemente las razones por las que considera que su enjuiciamiento depende de la constitucionalidad de los arts. 8 y 10 del Real Decreto-ley 9/2008 y, con ello, inadmitir la presente cuestión (art. 35.2 LOTC), sin que esta inadmisión, al basarse en un motivo estrictamente formal, impida un eventual replanteamiento (entre otros, AATC 120/1997, de 23 de abril, FJ 2, y 195/2010, de 14 de diciembre, FJ 2).</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lastRenderedPageBreak/>
        <w:t>Ha decidido</w:t>
      </w:r>
    </w:p>
    <w:p w:rsidR="00AC56D6" w:rsidRDefault="00AC56D6" w:rsidP="00AC56D6">
      <w:pPr>
        <w:pStyle w:val="TextoNormalCentrado"/>
        <w:keepNext/>
      </w:pPr>
    </w:p>
    <w:p w:rsidR="00AC56D6" w:rsidRDefault="00AC56D6" w:rsidP="00AC56D6">
      <w:pPr>
        <w:pStyle w:val="TextoNormal"/>
      </w:pPr>
      <w:r>
        <w:t>Inadmitir la cuestión de inconstitucionalidad núm. 2208-2015, planteada por la Sección Octava de la Sala de lo Contencioso-Administrativo del Tribunal Superior de Justicia de Madrid.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veintidós de octubre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76" w:name="SENTENCIA_2015_220"/>
      <w:r>
        <w:lastRenderedPageBreak/>
        <w:t>SENTENCIA 220/2015, de 22 de octubre de 2015</w:t>
      </w:r>
    </w:p>
    <w:bookmarkEnd w:id="76"/>
    <w:p w:rsidR="00AC56D6" w:rsidRDefault="00AC56D6" w:rsidP="00AC56D6">
      <w:pPr>
        <w:pStyle w:val="TtuloResolucin"/>
      </w:pPr>
      <w:r>
        <w:t>Pleno</w:t>
      </w:r>
    </w:p>
    <w:p w:rsidR="00AC56D6" w:rsidRDefault="00AC56D6" w:rsidP="00AC56D6">
      <w:pPr>
        <w:pStyle w:val="TtuloBOE"/>
      </w:pPr>
      <w:r>
        <w:t>(BOE núm. 284, de 27 de noviembre de 2015)</w:t>
      </w:r>
    </w:p>
    <w:p w:rsidR="00AC56D6" w:rsidRDefault="00AC56D6" w:rsidP="00AC56D6">
      <w:pPr>
        <w:pStyle w:val="TextoNormalCentrado"/>
      </w:pPr>
      <w:r>
        <w:t>ECLI:ES:TC:2015:220</w:t>
      </w:r>
    </w:p>
    <w:p w:rsidR="00AC56D6" w:rsidRDefault="00AC56D6" w:rsidP="00AC56D6">
      <w:pPr>
        <w:pStyle w:val="TextoNormalCentrado"/>
      </w:pPr>
    </w:p>
    <w:p w:rsidR="00AC56D6" w:rsidRDefault="00AC56D6" w:rsidP="00AC56D6">
      <w:pPr>
        <w:pStyle w:val="SntesisDescriptiva"/>
      </w:pPr>
      <w:r>
        <w:t>Cuestión de inconstitucionalidad 3449-2015. Planteada por la Sala de lo Contencioso-Administrativo del Tribunal Superior de Justicia de Madrid en relación con los artículos 8 y 10 del Real Decreto-ley 9/2008, de 28 de noviembre, por el que se crean un fondo estatal de inversión local y un fondo especial del Estado para la dinamización de la economía y el empleo y se aprueban créditos extraordinarios para atender a su financiación.</w:t>
      </w:r>
    </w:p>
    <w:p w:rsidR="00AC56D6" w:rsidRDefault="00AC56D6" w:rsidP="00AC56D6">
      <w:pPr>
        <w:pStyle w:val="SntesisDescriptiva"/>
      </w:pPr>
    </w:p>
    <w:p w:rsidR="00AC56D6" w:rsidRDefault="00AC56D6" w:rsidP="00AC56D6">
      <w:pPr>
        <w:pStyle w:val="SntesisAnaltica"/>
      </w:pPr>
      <w:r>
        <w:t>Competencias sobre ordenación general de la economía: inadmisión de la cuestión por inadecuada formulación del juicio de aplicabilidad y relevancia (STC 201/2015).</w:t>
      </w:r>
    </w:p>
    <w:p w:rsidR="00AC56D6" w:rsidRDefault="00AC56D6" w:rsidP="00AC56D6">
      <w:pPr>
        <w:pStyle w:val="SntesisAnaltica"/>
      </w:pPr>
    </w:p>
    <w:p w:rsidR="00AC56D6" w:rsidRDefault="00AC56D6" w:rsidP="00AC56D6">
      <w:pPr>
        <w:pStyle w:val="Extracto"/>
      </w:pPr>
      <w:r>
        <w:t>1.</w:t>
      </w:r>
      <w:r>
        <w:tab/>
        <w:t>Asunto sustancialmente idéntico al resuelto por la STC 201/2015, relativo a la doctrina sobre la adecuada formulación del juicio de aplicabilidad y relevancia en el planteamiento de cuestiones de inconstitucionalidad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3449-2015 promovida por la Sección Octava de la Sala de lo Contencioso-Administrativo del Tribunal Superior de Justicia de Madrid, en relación con los arts. 8 y 10 del Real Decreto-ley 9/2008, de 28 de noviembre, por el que se crean un fondo estatal de inversión local y un fondo especial del Estado para la dinamización de la economía y el empleo y se aprueban créditos extraordinarios para atender a su financiación, por posible infracción del art. 149.1.13 CE. Han comparecido y formulado alegaciones el Abogado del Estado y la Fiscal General del Estado. Ha sido Ponente el Magistrado don Pedro José González-Trevijano Sánchez, quien expresa el parecer del Tribunal.</w:t>
      </w:r>
    </w:p>
    <w:p w:rsidR="00AC56D6" w:rsidRDefault="00AC56D6" w:rsidP="00AC56D6">
      <w:pPr>
        <w:pStyle w:val="TextoNormal"/>
      </w:pPr>
    </w:p>
    <w:p w:rsidR="00AC56D6" w:rsidRDefault="00AC56D6" w:rsidP="00AC56D6">
      <w:pPr>
        <w:pStyle w:val="TextoNormalNegritaCentrado"/>
        <w:keepNext/>
      </w:pPr>
      <w:r>
        <w:lastRenderedPageBreak/>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registrado en este Tribunal el 12 de junio de 2015, al que se acompaña el correspondiente Auto de 20 de mayo, la Sección Octava de la Sala de lo Contencioso-Administrativo del Tribunal Superior de Justicia de Madrid planteó una cuestión de inconstitucionalidad en relación con los arts. 8 y 10 del Real Decreto-ley 9/2008, de 28 de noviembre, por el que se crean un fondo estatal de inversión local y un fondo especial del Estado para la dinamización de la economía y el empleo y se aprueban créditos extraordinarios para atender a su financiación (en adelante, Real Decreto-ley 9/2008), por posible infracción del art. 149.1.13 de la Constitución.</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son los siguientes:</w:t>
      </w:r>
    </w:p>
    <w:p w:rsidR="00AC56D6" w:rsidRDefault="00AC56D6" w:rsidP="00AC56D6">
      <w:pPr>
        <w:pStyle w:val="TextoNormal"/>
      </w:pPr>
    </w:p>
    <w:p w:rsidR="00AC56D6" w:rsidRDefault="00AC56D6" w:rsidP="00AC56D6">
      <w:pPr>
        <w:pStyle w:val="TextoNormal"/>
      </w:pPr>
      <w:r>
        <w:t xml:space="preserve">a) El Ayuntamiento de Las Palmas de Gran Canaria —recurrente en el proceso </w:t>
      </w:r>
      <w:r w:rsidRPr="00AC56D6">
        <w:rPr>
          <w:i/>
        </w:rPr>
        <w:t>a quo</w:t>
      </w:r>
      <w:r>
        <w:t>— recibió una serie de ayudas para la ejecución del proyecto “Reposición del saneamiento en las calles Batalla de Brunete y Batalla de Teruel” con cargo al fondo estatal de inversión local, creado por el Real Decreto-ley 9/2008.</w:t>
      </w:r>
    </w:p>
    <w:p w:rsidR="00AC56D6" w:rsidRDefault="00AC56D6" w:rsidP="00AC56D6">
      <w:pPr>
        <w:pStyle w:val="TextoNormal"/>
      </w:pPr>
    </w:p>
    <w:p w:rsidR="00AC56D6" w:rsidRDefault="00AC56D6" w:rsidP="00AC56D6">
      <w:pPr>
        <w:pStyle w:val="TextoNormal"/>
      </w:pPr>
      <w:r>
        <w:t>b) A la vista del informe de control financiero de subvenciones y ayudas nacionales elaborado por la Intervención General de la Administración del Estado (Intervención Territorial de Las Palmas), la Dirección General de Coordinación de las Competencias con las Comunidades Autónomas y las entidades locales (Ministerio de Hacienda y Administraciones Públicas) acordó iniciar el procedimiento de reintegro regulado en el art. 10 del Real Decreto-ley 9/2008, confiriendo al Ayuntamiento de Las Palmas de Gran Canaria el correspondiente trámite de alegaciones. Las alegaciones formuladas por el ayuntamiento fueron desestimadas mediante resolución de 6 de febrero de 2013 de la citada Dirección General, por la que se declaraba la existencia de un saldo a favor del tesoro público, por incumplimiento de lo dispuesto en el Real Decreto-ley 9/2008.</w:t>
      </w:r>
    </w:p>
    <w:p w:rsidR="00AC56D6" w:rsidRDefault="00AC56D6" w:rsidP="00AC56D6">
      <w:pPr>
        <w:pStyle w:val="TextoNormal"/>
      </w:pPr>
    </w:p>
    <w:p w:rsidR="00AC56D6" w:rsidRDefault="00AC56D6" w:rsidP="00AC56D6">
      <w:pPr>
        <w:pStyle w:val="TextoNormal"/>
      </w:pPr>
      <w:r>
        <w:t>c) Contra dicha resolución, el Ayuntamiento de Las Palmas de Gran Canaria interpuso un recurso contencioso-administrativo ante la Sala de lo Contencioso-Administrativo del Tribunal Superior de Justicia de Madrid (recurso núm. 559-2013) alegando en la demanda que la auditoría practicada por la Intervención General de la Administración del Estado excedía de las atribuciones que tiene dicho organismo en virtud del Real Decreto-ley 9/2008.</w:t>
      </w:r>
    </w:p>
    <w:p w:rsidR="00AC56D6" w:rsidRDefault="00AC56D6" w:rsidP="00AC56D6">
      <w:pPr>
        <w:pStyle w:val="TextoNormal"/>
      </w:pPr>
    </w:p>
    <w:p w:rsidR="00AC56D6" w:rsidRDefault="00AC56D6" w:rsidP="00AC56D6">
      <w:pPr>
        <w:pStyle w:val="TextoNormal"/>
      </w:pPr>
      <w:r>
        <w:t>d) Una vez declarado concluso el procedimiento, mediante providencia de 11 de marzo de 2015 se acordó oír a las partes y al Ministerio Fiscal sobre la conveniencia de plantear una cuestión de inconstitucionalidad en relación con los preceptos del Real Decreto-ley 9/2008 objeto de aplicación.</w:t>
      </w:r>
    </w:p>
    <w:p w:rsidR="00AC56D6" w:rsidRDefault="00AC56D6" w:rsidP="00AC56D6">
      <w:pPr>
        <w:pStyle w:val="TextoNormal"/>
      </w:pPr>
    </w:p>
    <w:p w:rsidR="00AC56D6" w:rsidRDefault="00AC56D6" w:rsidP="00AC56D6">
      <w:pPr>
        <w:pStyle w:val="TextoNormal"/>
      </w:pPr>
      <w:r>
        <w:t xml:space="preserve">e) El Ministerio Fiscal presentó sus alegaciones el 1 de abril de 2015, razonando que los arts. 8 y 10 del Real Decreto-ley 9/2008 son aplicables al caso y relevantes para el fallo, pues se referían al control y reintegro de la ayuda concedida al ayuntamiento. No se oponía al planteamiento de la cuestión, a la vista de lo declarado en la STC 150/2012, de 5 de julio, </w:t>
      </w:r>
      <w:r>
        <w:lastRenderedPageBreak/>
        <w:t>y de que el contenido de los citados arts. 8 y 10 coinciden con dos de los declarados inconstitucionales en dicho pronunciamiento.</w:t>
      </w:r>
    </w:p>
    <w:p w:rsidR="00AC56D6" w:rsidRDefault="00AC56D6" w:rsidP="00AC56D6">
      <w:pPr>
        <w:pStyle w:val="TextoNormal"/>
      </w:pPr>
    </w:p>
    <w:p w:rsidR="00AC56D6" w:rsidRDefault="00AC56D6" w:rsidP="00AC56D6">
      <w:pPr>
        <w:pStyle w:val="TextoNormal"/>
      </w:pPr>
      <w:r>
        <w:t>f) El Abogado del Estado presentó su escrito de alegaciones el 9 de abril de 2015, en el que se oponía al planteamiento de la cuestión. Aducía, en apoyo de su pretensión, que la STC 150/2012 no podía servir de fundamento para la formulación de la cuestión porque se refería a otro real decreto-ley. Añadía que el planteamiento de la cuestión en nada variaría la solución correspondiente al fondo del asunto porque aquella Sentencia resolvió sólo la competencia para tramitar los expedientes de reintegro, sin afectar a las ayudas ya concedidas. Por otra parte, a la vista del meridiano incumplimiento de los requisitos de la subvención en el caso concreto examinado, si las autoridades autonómicas tramitasen el expediente de reintegro, llegarían a la misma conclusión que la Administración general del Estado.</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El Auto de promoción de la cuestión señala que los procedimientos de control financiero y reintegro cuya resolución constituye el objeto del proceso </w:t>
      </w:r>
      <w:r w:rsidRPr="00AC56D6">
        <w:rPr>
          <w:i/>
        </w:rPr>
        <w:t>a quo</w:t>
      </w:r>
      <w:r>
        <w:t xml:space="preserve"> se fundan en los preceptos controvertidos: arts. 8 y 10 del Real Decreto-ley 9/2008. Tales preceptos son sustancialmente equivalentes a los arts. 5 y 6 del Real Decreto-ley 13/2009, que fueron declarados inconstitucionales por la STC 150/2012. En dicha Sentencia se consideró que el art. 149.1.13 de la Constitución no ampara la regulación contenida en dichos preceptos, habida cuenta de que deben ser las Comunidades Autónomas quienes establezcan el régimen de gestión, control y resolución de las solicitudes de ayudas, así como el procedimiento de reintegro. Los preceptos aplicados en este procedimiento, a juicio del órgano judicial, incurrirían en el mismo vicio de inconstitucionalidad, al otorgar a órganos de la Administración general del Estado las competencias de control y reintegro de las ayudas en una competencia compartida con las Comunidades Autónomas. El Tribunal proponente considera, en consecuencia, que los arts. 8 y 10 del Real Decreto-ley 9/2008 vulneran el art. 149.1.13 de la Constitución, al igual que sucedía con los preceptos equivalentes del Real Decreto-ley 13/2009.</w:t>
      </w:r>
    </w:p>
    <w:p w:rsidR="00AC56D6" w:rsidRDefault="00AC56D6" w:rsidP="00AC56D6">
      <w:pPr>
        <w:pStyle w:val="TextoNormal"/>
      </w:pPr>
    </w:p>
    <w:p w:rsidR="00AC56D6" w:rsidRDefault="00AC56D6" w:rsidP="00AC56D6">
      <w:pPr>
        <w:pStyle w:val="TextoNormal"/>
      </w:pPr>
      <w:r w:rsidRPr="00AC56D6">
        <w:rPr>
          <w:rStyle w:val="NumeroAFNegritaCaracter"/>
        </w:rPr>
        <w:t>4</w:t>
      </w:r>
      <w:r>
        <w:t>. Por providencia de 7 de julio de 2015, el Pleno de este Tribunal acordó admitir a trámite la presente cuestión de inconstitucionalidad, reservar para sí el conocimiento de la misma conforme al art. 10.1 c) de la Ley Orgánica del Tribunal Constitucional (LOTC) y dar traslado de las actuaciones recibidas al Congreso de los Diputados y al Senado, por conducto de sus Presidentes, al Gobierno, a través del Ministro de Justicia, y a la Fiscalía General del Estado, para que en el improrrogable plazo de quince días pudieran personarse en el procedimiento y formular las alegaciones que estimasen convenientes (art. 37.3 LOTC). Asimismo, se ordenaba, de un lado, comunicar esa resolución al órgano promotor a fin de que, de conformidad con el art. 35.3 LOTC, permaneciese suspendido el proceso hasta que este Tribunal resolviese definitivamente la presente cuestión y, de otro lado, publicar la incoación de la cuestión en el “Boletín Oficial del Estado”, lo que se llevó a efecto en el “BOE” núm. 165, de 11 de julio de 2015.</w:t>
      </w:r>
    </w:p>
    <w:p w:rsidR="00AC56D6" w:rsidRDefault="00AC56D6" w:rsidP="00AC56D6">
      <w:pPr>
        <w:pStyle w:val="TextoNormal"/>
      </w:pPr>
    </w:p>
    <w:p w:rsidR="00AC56D6" w:rsidRDefault="00AC56D6" w:rsidP="00AC56D6">
      <w:pPr>
        <w:pStyle w:val="TextoNormal"/>
      </w:pPr>
      <w:r w:rsidRPr="00AC56D6">
        <w:rPr>
          <w:rStyle w:val="NumeroAFNegritaCaracter"/>
        </w:rPr>
        <w:t>5</w:t>
      </w:r>
      <w:r>
        <w:t xml:space="preserve">. Por escrito registrado en este Tribunal el 16 de julio de 2015, el Presidente del Congreso de los Diputados comunicó el acuerdo de dar por personada en el procedimiento a dicha Cámara y por ofrecida su colaboración a los efectos del art. 88.1 LOTC. Igualmente, por escrito registrado el 20 de julio se recibió una comunicación del Presidente del Senado </w:t>
      </w:r>
      <w:r>
        <w:lastRenderedPageBreak/>
        <w:t>por la cual se ponía en conocimiento de este Tribunal que dicha Cámara se daba por personada en el procedimiento y por ofrecida su colaboración a los efectos del citado precepto.</w:t>
      </w:r>
    </w:p>
    <w:p w:rsidR="00AC56D6" w:rsidRDefault="00AC56D6" w:rsidP="00AC56D6">
      <w:pPr>
        <w:pStyle w:val="TextoNormal"/>
      </w:pPr>
    </w:p>
    <w:p w:rsidR="00AC56D6" w:rsidRDefault="00AC56D6" w:rsidP="00AC56D6">
      <w:pPr>
        <w:pStyle w:val="TextoNormal"/>
      </w:pPr>
      <w:r w:rsidRPr="00AC56D6">
        <w:rPr>
          <w:rStyle w:val="NumeroAFNegritaCaracter"/>
        </w:rPr>
        <w:t>6</w:t>
      </w:r>
      <w:r>
        <w:t>. El Abogado del Estado presentó un escrito registrado en este Tribunal el 30 de junio de 2015 en el que suplica que se dicte Sentencia por la que se inadmita o, subsidiariamente, se desestime la cuestión planteada. En apoyo de su pretensión, alega, por una parte, que la cuestión no ha tomado una norma de comparación integrante del bloque de la constitucionalidad, sino el contenido del Real Decreto-ley 13/2009, interpretado por la STC 150/2012; por otra, señala que el Auto de planteamiento no identifica la norma atributiva de la competencia autonómica que habría sido vulnerada por el Real Decreto-ley 9/2008.</w:t>
      </w:r>
    </w:p>
    <w:p w:rsidR="00AC56D6" w:rsidRDefault="00AC56D6" w:rsidP="00AC56D6">
      <w:pPr>
        <w:pStyle w:val="TextoNormal"/>
      </w:pPr>
    </w:p>
    <w:p w:rsidR="00AC56D6" w:rsidRDefault="00AC56D6" w:rsidP="00AC56D6">
      <w:pPr>
        <w:pStyle w:val="TextoNormal"/>
      </w:pPr>
      <w:r w:rsidRPr="00AC56D6">
        <w:rPr>
          <w:rStyle w:val="NumeroAFNegritaCaracter"/>
        </w:rPr>
        <w:t>7</w:t>
      </w:r>
      <w:r>
        <w:t>. La Fiscal General del Estado formuló sus alegaciones mediante escrito presentado en este Tribunal el 16 de septiembre de 2015 en el cual, después de relacionar las circunstancias del caso y transcribir las normas legales cuestionadas, expone, sobre la concurrencia de posibles óbices procesales, que el ATC 136/2015, de 21 de julio (recaído en la cuestión de inconstitucionalidad núm. 2210-2015, sustancialmente igual a la aquí planteada), concluyó que no se había exteriorizado el juicio de relevancia. A la vista de que la presente cuestión se ha formulado en los mismos términos que la inadmitida por dicho Auto, la Fiscal General del Estado interesa su inadmisión.</w:t>
      </w:r>
    </w:p>
    <w:p w:rsidR="00AC56D6" w:rsidRDefault="00AC56D6" w:rsidP="00AC56D6">
      <w:pPr>
        <w:pStyle w:val="TextoNormal"/>
      </w:pPr>
    </w:p>
    <w:p w:rsidR="00AC56D6" w:rsidRDefault="00AC56D6" w:rsidP="00AC56D6">
      <w:pPr>
        <w:pStyle w:val="TextoNormal"/>
      </w:pPr>
      <w:r>
        <w:t>Subsidiariamente, para el caso de que no se apreciara la concurrencia del citado óbice procesal, considera, en cuanto al fondo, que el paralelismo del Real Decreto-ley 9/2008 con el Real Decreto-ley 13/2009, parcialmente declarado inconstitucional por la STC 150/2012, debe llevar a concluir que el Real Decreto-ley 9/2008 contradice abiertamente el régimen competencial establecido, al atribuir íntegramente a los órganos estatales la tramitación de las subvenciones otorgadas con cargo al fondo estatal de inversión local. Por ello, entiende que, si se entra en el fondo, la cuestión debe estimarse, si bien precisando que, al igual que la STC 150/2012, el pronunciamiento de inconstitucionalidad debe tener un carácter meramente declarativo, de modo que no se incida en la situación jurídica concreta que dio lugar al proceso constitucional.</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20 de octubre de 2015 se señaló para deliberación y votación de la presente Sentencia el día 22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presente cuestión de inconstitucionalidad se suscita en relación con los arts. 8 y 10 del Real Decreto-ley 9/2008, de 28 de noviembre, por el que se crean un fondo estatal de inversión local y un fondo especial del Estado para la dinamización de la economía y el empleo y se aprueban créditos extraordinarios para atender a su financiación (en adelante, Real Decreto-ley 9/2008), por posible infracción del art. 149.1.13 de la Constitución. Los citados arts. 8 y 10 del Real Decreto-ley 9/2008 atribuyen a órganos del Estado, respectivamente, el control de la correcta aplicación de los recursos obtenidos del fondo y la tramitación de los expedientes de reintegro de las cantidades no justificadas.</w:t>
      </w:r>
    </w:p>
    <w:p w:rsidR="00AC56D6" w:rsidRDefault="00AC56D6" w:rsidP="00AC56D6">
      <w:pPr>
        <w:pStyle w:val="TextoNormal"/>
      </w:pPr>
    </w:p>
    <w:p w:rsidR="00AC56D6" w:rsidRDefault="00AC56D6" w:rsidP="00AC56D6">
      <w:pPr>
        <w:pStyle w:val="TextoNormal"/>
      </w:pPr>
      <w:r>
        <w:lastRenderedPageBreak/>
        <w:t>La Sección Octava de la Sala de lo Contencioso-Administrativo del Tribunal Superior de Justicia de Madrid considera que tales preceptos son sustancialmente equivalentes a los arts. 5 y 6 del Real Decreto-ley 13/2009, de 26 de octubre, de creación del fondo estatal para el empleo y la sostenibilidad local, que ya fueron declarados inconstitucionales por la STC 150/2012, de 5 de julio. El órgano promotor recuerda que en dicha Sentencia este Tribunal afirmó que el art. 149.1.13 de la Constitución no ampara tal regulación, habida cuenta de que, tratándose de una competencia compartida, deben ser las Comunidades Autónomas quienes asuman, en tanto que actividades ejecutivas, el control financiero de las ayudas concedidas y, en su caso, los expedientes de reintegro. A su juicio, los preceptos cuestionados del Real Decreto-ley 9/2008 incurrirían en esa misma inconstitucionalidad, al otorgar a órganos de la Administración general del Estado las competencias de control y reintegro del fondo estatal de inversión local.</w:t>
      </w:r>
    </w:p>
    <w:p w:rsidR="00AC56D6" w:rsidRDefault="00AC56D6" w:rsidP="00AC56D6">
      <w:pPr>
        <w:pStyle w:val="TextoNormal"/>
      </w:pPr>
    </w:p>
    <w:p w:rsidR="00AC56D6" w:rsidRDefault="00AC56D6" w:rsidP="00AC56D6">
      <w:pPr>
        <w:pStyle w:val="TextoNormal"/>
      </w:pPr>
      <w:r w:rsidRPr="00AC56D6">
        <w:rPr>
          <w:rStyle w:val="NumeroAFNegritaCaracter"/>
        </w:rPr>
        <w:t>2</w:t>
      </w:r>
      <w:r>
        <w:t>. Al examinar esta cuestión es necesario valorar previamente la concurrencia de los requisitos exigidos para el válido planteamiento de la cuestión de inconstitucionalidad, pues nada impide que se pueda apreciar su ausencia en la fase de resolución, esto es, mediante Sentencia, además de hacerlo en el trámite de admisión previsto en el art. 37.1 de la Ley Orgánica del Tribunal Constitucional (LOTC; SSTC 183/2013, de 23 de octubre, FJ 2; 206/2014, de 15 de diciembre, FJ 2; 10/2015, de 2 de febrero, FJ 2; 79/2015, de 30 de abril, FJ 2, y 110/2015, de 28 de mayo, FJ 3, entre otras).</w:t>
      </w:r>
    </w:p>
    <w:p w:rsidR="00AC56D6" w:rsidRDefault="00AC56D6" w:rsidP="00AC56D6">
      <w:pPr>
        <w:pStyle w:val="TextoNormal"/>
      </w:pPr>
    </w:p>
    <w:p w:rsidR="00AC56D6" w:rsidRDefault="00AC56D6" w:rsidP="00AC56D6">
      <w:pPr>
        <w:pStyle w:val="TextoNormal"/>
      </w:pPr>
      <w:r>
        <w:t>Es preciso comenzar recordando, como dijimos en la STC 79/2015, de 30 de abril, FJ 3, que los apartados 1 y 2 del art. 35 LOTC exigen, respectivamente, que la norma con rango de ley de la que tenga dudas un Juez o Tribunal resulte “aplicable al caso y de cuya validez dependa el fallo” y que el órgano judicial deberá especificar o justificar en el Auto de planteamiento de la cuestión en qué medida la decisión del proceso depende de la validez de la norma de que se trate. En atención a lo expuesto, es exigible que la norma cuestionada supere el llamado juicio de relevancia, que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de 25 de septiembre, FJ 2). De ahí que este Tribunal haya estimado que debe darse una verdadera “dependencia” (STC 189/1991, de 3 de octubre, FJ 2), o un “nexo de subordinación”, entre el fallo del proceso y la validez de la norma cuestionada (STC 157/1990, de 18 de octubre, FJ 1). Así, no basta con que el Tribunal ordinario considere que la norma es aplicable al caso, sino que también ha de satisfacerse el requisito de la relevancia; si bien la aplicabilidad de la norma es condición necesaria para que el fallo dependa de su validez, no es, en modo alguno, condición suficiente (SSTC 17/1981, de 1 de junio, FJ 4, y 156/2014, FJ 2).</w:t>
      </w:r>
    </w:p>
    <w:p w:rsidR="00AC56D6" w:rsidRDefault="00AC56D6" w:rsidP="00AC56D6">
      <w:pPr>
        <w:pStyle w:val="TextoNormal"/>
      </w:pPr>
    </w:p>
    <w:p w:rsidR="00AC56D6" w:rsidRDefault="00AC56D6" w:rsidP="00AC56D6">
      <w:pPr>
        <w:pStyle w:val="TextoNormal"/>
      </w:pPr>
      <w:r>
        <w:t>Asimismo, hemos mantenido que es a los Jueces y Tribunales ordinarios que plantean las cuestiones de inconstitucionalidad a los que corresponde comprobar y exteriorizar dicho juicio de relevancia, sin que este Tribunal pueda “sustituir, rectificar o integrar el criterio de los órganos judiciales proponentes” (por todas, STC 166/2012, de 1 de octubre, FJ 2).</w:t>
      </w:r>
    </w:p>
    <w:p w:rsidR="00AC56D6" w:rsidRDefault="00AC56D6" w:rsidP="00AC56D6">
      <w:pPr>
        <w:pStyle w:val="TextoNormal"/>
      </w:pPr>
    </w:p>
    <w:p w:rsidR="00AC56D6" w:rsidRDefault="00AC56D6" w:rsidP="00AC56D6">
      <w:pPr>
        <w:pStyle w:val="TextoNormal"/>
      </w:pPr>
      <w:r w:rsidRPr="00AC56D6">
        <w:rPr>
          <w:rStyle w:val="NumeroAFNegritaCaracter"/>
        </w:rPr>
        <w:t>3</w:t>
      </w:r>
      <w:r>
        <w:t>. En la cuestión aquí planteada, la Fiscal General del Estado deja constancia de que el órgano judicial solo hace una formulación implícita del juicio de relevancia.</w:t>
      </w:r>
    </w:p>
    <w:p w:rsidR="00AC56D6" w:rsidRDefault="00AC56D6" w:rsidP="00AC56D6">
      <w:pPr>
        <w:pStyle w:val="TextoNormal"/>
      </w:pPr>
    </w:p>
    <w:p w:rsidR="00AC56D6" w:rsidRDefault="00AC56D6" w:rsidP="00AC56D6">
      <w:pPr>
        <w:pStyle w:val="TextoNormal"/>
      </w:pPr>
      <w:r>
        <w:lastRenderedPageBreak/>
        <w:t xml:space="preserve">Recientemente, la STC 201/2015, de 24 de septiembre, ha tenido ocasión de pronunciarse sobre si cumplía los juicios de aplicabilidad y relevancia un Auto de la misma Sala que planteaba otra cuestión de inconstitucionalidad (la núm. 1796-2015) respecto de los mismos preceptos. Tras descartar que pudieran entenderse convenientemente cumplidos aquellos dos juicios a través de justificaciones meramente “implícitas”, carentes de suficiente argumentación, inadmitió la cuestión por la razón siguiente: “El Auto de planteamiento no va más allá de exponer que los preceptos cuestionados fueron aplicados por los actos administrativos impugnados el pleito </w:t>
      </w:r>
      <w:r w:rsidRPr="00AC56D6">
        <w:rPr>
          <w:i/>
        </w:rPr>
        <w:t>a quo</w:t>
      </w:r>
      <w:r>
        <w:t>. En estas circunstancias, aunque pudiera admitirse que con ello se justifica la aplicabilidad de los mismos, no es posible reconocer en tal argumento una exteriorización del juicio de relevancia, lo que determina la inadmisión de la presente cuestión de inconstitucionalidad porque el órgano judicial no ha levantado la carga de ‘especificar y justificar’ el juicio de relevancia” (ATC 136/2015, FJ 3, citado por la STC 201/2015, FJ 3).</w:t>
      </w:r>
    </w:p>
    <w:p w:rsidR="00AC56D6" w:rsidRDefault="00AC56D6" w:rsidP="00AC56D6">
      <w:pPr>
        <w:pStyle w:val="TextoNormal"/>
      </w:pPr>
    </w:p>
    <w:p w:rsidR="00AC56D6" w:rsidRDefault="00AC56D6" w:rsidP="00AC56D6">
      <w:pPr>
        <w:pStyle w:val="TextoNormal"/>
      </w:pPr>
      <w:r>
        <w:t>La presente cuestión de inconstitucionalidad está planteada exactamente en los mismos términos que la inadmitida en la citada Sentencia. Corresponde, en consecuencia, apreciar que el órgano judicial tampoco en este caso ha exteriorizado suficientemente las razones por las que considera que su enjuiciamiento depende de la constitucionalidad de los arts. 8 y 10 del Real Decreto-ley 9/2008 y, con ello, inadmitir la presente cuestión (art. 35.2 LOTC), sin que esta inadmisión, al basarse en un motivo estrictamente formal, impida un eventual replanteamiento (entre otros, AATC 120/1997, de 23 de abril, FJ 2, y 195/2010, de 14 de diciembre, FJ 2).</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Inadmitir la cuestión de inconstitucionalidad núm. 3449-2015, planteada por la Sección Octava de la Sala de lo Contencioso-Administrativo del Tribunal Superior de Justicia de Madrid.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veintidós de octubre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77" w:name="SENTENCIA_2015_221"/>
      <w:r>
        <w:lastRenderedPageBreak/>
        <w:t>SENTENCIA 221/2015, de 22 de octubre de 2015</w:t>
      </w:r>
    </w:p>
    <w:bookmarkEnd w:id="77"/>
    <w:p w:rsidR="00AC56D6" w:rsidRDefault="00AC56D6" w:rsidP="00AC56D6">
      <w:pPr>
        <w:pStyle w:val="TtuloResolucin"/>
      </w:pPr>
      <w:r>
        <w:t>Pleno</w:t>
      </w:r>
    </w:p>
    <w:p w:rsidR="00AC56D6" w:rsidRDefault="00AC56D6" w:rsidP="00AC56D6">
      <w:pPr>
        <w:pStyle w:val="TtuloBOE"/>
      </w:pPr>
      <w:r>
        <w:t>(BOE núm. 284, de 27 de noviembre de 2015)</w:t>
      </w:r>
    </w:p>
    <w:p w:rsidR="00AC56D6" w:rsidRDefault="00AC56D6" w:rsidP="00AC56D6">
      <w:pPr>
        <w:pStyle w:val="TextoNormalCentrado"/>
      </w:pPr>
      <w:r>
        <w:t>ECLI:ES:TC:2015:221</w:t>
      </w:r>
    </w:p>
    <w:p w:rsidR="00AC56D6" w:rsidRDefault="00AC56D6" w:rsidP="00AC56D6">
      <w:pPr>
        <w:pStyle w:val="TextoNormalCentrado"/>
      </w:pPr>
    </w:p>
    <w:p w:rsidR="00AC56D6" w:rsidRDefault="00AC56D6" w:rsidP="00AC56D6">
      <w:pPr>
        <w:pStyle w:val="SntesisDescriptiva"/>
      </w:pPr>
      <w:r>
        <w:t>Cuestión de inconstitucionalidad 3669-2015. Planteada por la Sala de lo Contencioso-Administrativo del Tribunal Superior de Justicia de Madrid en relación con los artículos 8 y 10 del Real Decreto-ley 9/2008, de 28 de noviembre, por el que se crean un fondo estatal de inversión local y un fondo especial del Estado para la dinamización de la economía y el empleo y se aprueban créditos extraordinarios para atender a su financiación.</w:t>
      </w:r>
    </w:p>
    <w:p w:rsidR="00AC56D6" w:rsidRDefault="00AC56D6" w:rsidP="00AC56D6">
      <w:pPr>
        <w:pStyle w:val="SntesisDescriptiva"/>
      </w:pPr>
    </w:p>
    <w:p w:rsidR="00AC56D6" w:rsidRDefault="00AC56D6" w:rsidP="00AC56D6">
      <w:pPr>
        <w:pStyle w:val="SntesisAnaltica"/>
      </w:pPr>
      <w:r>
        <w:t>Competencias sobre ordenación general de la economía: inadmisión de la cuestión por inadecuada formulación del juicio de aplicabilidad y relevancia (STC 201/2015).</w:t>
      </w:r>
    </w:p>
    <w:p w:rsidR="00AC56D6" w:rsidRDefault="00AC56D6" w:rsidP="00AC56D6">
      <w:pPr>
        <w:pStyle w:val="SntesisAnaltica"/>
      </w:pPr>
    </w:p>
    <w:p w:rsidR="00AC56D6" w:rsidRDefault="00AC56D6" w:rsidP="00AC56D6">
      <w:pPr>
        <w:pStyle w:val="Extracto"/>
      </w:pPr>
      <w:r>
        <w:t>1.</w:t>
      </w:r>
      <w:r>
        <w:tab/>
        <w:t>Asunto sustancialmente idéntico al resuelto por la STC 201/2015, relativo a la doctrina sobre la adecuada formulación del juicio de aplicabilidad y relevancia en el planteamiento de cuestiones de inconstitucionalidad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3669-2015 promovida por la Sección Octava de la Sala de lo Contencioso-Administrativo del Tribunal Superior de Justicia de Madrid, en relación con los arts. 8 y 10 del Real Decreto-ley 9/2008, de 28 de noviembre, por el que se crean un fondo estatal de inversión local y un fondo especial del Estado para la dinamización de la economía y el empleo y se aprueban créditos extraordinarios para atender a su financiación, por posible infracción del art. 149.1.13 CE. Han comparecido y formulado alegaciones el Abogado del Estado y la Fiscal General del Estado. Ha sido Ponente el Magistrado don Ricardo Enríquez Sancho,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registrado en este Tribunal el 23 de junio de 2015, al que se acompaña el correspondiente Auto de 8 de junio, la Sección Octava de la Sala de lo Contencioso-</w:t>
      </w:r>
      <w:r>
        <w:lastRenderedPageBreak/>
        <w:t>Administrativo del Tribunal Superior de Justicia de Madrid planteó una cuestión de inconstitucionalidad en relación con los arts. 8 y 10 del Real Decreto-ley 9/2008, de 28 de noviembre, por el que se crean un fondo estatal de inversión local y un fondo especial del Estado para la dinamización de la economía y el empleo y se aprueban créditos extraordinarios para atender a su financiación (en adelante, Real Decreto-ley 9/2008), por posible infracción del art. 149.1.13 de la Constitución.</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son los siguientes:</w:t>
      </w:r>
    </w:p>
    <w:p w:rsidR="00AC56D6" w:rsidRDefault="00AC56D6" w:rsidP="00AC56D6">
      <w:pPr>
        <w:pStyle w:val="TextoNormal"/>
      </w:pPr>
    </w:p>
    <w:p w:rsidR="00AC56D6" w:rsidRDefault="00AC56D6" w:rsidP="00AC56D6">
      <w:pPr>
        <w:pStyle w:val="TextoNormal"/>
      </w:pPr>
      <w:r>
        <w:t xml:space="preserve">a) El Ayuntamiento de Las Pedroñeras (Cuenca) —recurrente en el proceso </w:t>
      </w:r>
      <w:r w:rsidRPr="00AC56D6">
        <w:rPr>
          <w:i/>
        </w:rPr>
        <w:t>a quo</w:t>
      </w:r>
      <w:r>
        <w:t>— recibió una serie de ayudas para la ejecución del proyecto “Mejora de la accesibilidad y actuaciones complementarias 23858” con cargo al fondo estatal de inversión local, creado por el Real Decreto-ley 9/2008.</w:t>
      </w:r>
    </w:p>
    <w:p w:rsidR="00AC56D6" w:rsidRDefault="00AC56D6" w:rsidP="00AC56D6">
      <w:pPr>
        <w:pStyle w:val="TextoNormal"/>
      </w:pPr>
    </w:p>
    <w:p w:rsidR="00AC56D6" w:rsidRDefault="00AC56D6" w:rsidP="00AC56D6">
      <w:pPr>
        <w:pStyle w:val="TextoNormal"/>
      </w:pPr>
      <w:r>
        <w:t>b) A la vista del informe de control financiero de subvenciones y ayudas nacionales elaborado por la Intervención General de la Administración del Estado (Intervención Territorial de Cuenca), la Dirección General de Coordinación de las Competencias con las Comunidades Autónomas y las entidades locales (Ministerio de Hacienda y Administraciones Públicas) acordó iniciar el procedimiento de reintegro regulado en el art. 10 del Real Decreto-ley 9/2008, confiriendo al Ayuntamiento de Las Pedroñeras el correspondiente trámite de alegaciones. Las alegaciones formuladas por el Ayuntamiento fueron desestimadas mediante resolución de 27 de febrero de 2013 de la citada Dirección General, por la que se declaraba la existencia de un saldo a favor del Tesoro público, por incumplimiento de lo dispuesto en el Real Decreto-ley 9/2008. Mediante resolución de 12 de junio de 2013, el citado centro directivo desestimó el requerimiento que le había formulado el Ayuntamiento de Las Pedroñeras para que revocara la resolución de 27 de febrero.</w:t>
      </w:r>
    </w:p>
    <w:p w:rsidR="00AC56D6" w:rsidRDefault="00AC56D6" w:rsidP="00AC56D6">
      <w:pPr>
        <w:pStyle w:val="TextoNormal"/>
      </w:pPr>
    </w:p>
    <w:p w:rsidR="00AC56D6" w:rsidRDefault="00AC56D6" w:rsidP="00AC56D6">
      <w:pPr>
        <w:pStyle w:val="TextoNormal"/>
      </w:pPr>
      <w:r>
        <w:t>c) Contra la resolución de 12 de junio de 2013, el Ayuntamiento de Las Pedroñeras interpuso un recurso contencioso-administrativo ante la Sala de lo Contencioso-Administrativo del Tribunal Superior de Justicia de Madrid (recurso núm. 1263-2013) alegando en la demanda que la ejecución del proyecto observó todas las prescripciones del Real Decreto-ley 9/2008.</w:t>
      </w:r>
    </w:p>
    <w:p w:rsidR="00AC56D6" w:rsidRDefault="00AC56D6" w:rsidP="00AC56D6">
      <w:pPr>
        <w:pStyle w:val="TextoNormal"/>
      </w:pPr>
    </w:p>
    <w:p w:rsidR="00AC56D6" w:rsidRDefault="00AC56D6" w:rsidP="00AC56D6">
      <w:pPr>
        <w:pStyle w:val="TextoNormal"/>
      </w:pPr>
      <w:r>
        <w:t>d) Una vez declarado concluso el procedimiento, mediante providencia de 6 de mayo de 2015 se acordó oír a las partes y al Ministerio Fiscal sobre la conveniencia de plantear una cuestión de inconstitucionalidad en relación con los preceptos del Real Decreto-ley 9/2008 objeto de aplicación.</w:t>
      </w:r>
    </w:p>
    <w:p w:rsidR="00AC56D6" w:rsidRDefault="00AC56D6" w:rsidP="00AC56D6">
      <w:pPr>
        <w:pStyle w:val="TextoNormal"/>
      </w:pPr>
    </w:p>
    <w:p w:rsidR="00AC56D6" w:rsidRDefault="00AC56D6" w:rsidP="00AC56D6">
      <w:pPr>
        <w:pStyle w:val="TextoNormal"/>
      </w:pPr>
      <w:r>
        <w:t>e) El Ministerio Fiscal presentó sus alegaciones el 19 de mayo de 2015, razonando que los arts. 8 y 10 del Real Decreto-ley 9/2008 son aplicables al caso y relevantes para el fallo, pues se referían al control y reintegro de la ayuda concedida al ayuntamiento. No se oponía al planteamiento de la cuestión, a la vista de lo declarado en la STC 150/2012, de 5 de julio, y de que el contenido de los citados arts. 8 y 10 coinciden con dos de los declarados inconstitucionales en dicho pronunciamiento.</w:t>
      </w:r>
    </w:p>
    <w:p w:rsidR="00AC56D6" w:rsidRDefault="00AC56D6" w:rsidP="00AC56D6">
      <w:pPr>
        <w:pStyle w:val="TextoNormal"/>
      </w:pPr>
    </w:p>
    <w:p w:rsidR="00AC56D6" w:rsidRDefault="00AC56D6" w:rsidP="00AC56D6">
      <w:pPr>
        <w:pStyle w:val="TextoNormal"/>
      </w:pPr>
      <w:r>
        <w:lastRenderedPageBreak/>
        <w:t>f) El Ayuntamiento de Las Pedroñeras, a través de un escrito presentado el 27 de mayo de 2015, señala que los artículos aplicados en el procedimiento podrían ser inconstitucionales a la vista de la STC 150/2012, por lo que apoya el planteamiento de la cuestión.</w:t>
      </w:r>
    </w:p>
    <w:p w:rsidR="00AC56D6" w:rsidRDefault="00AC56D6" w:rsidP="00AC56D6">
      <w:pPr>
        <w:pStyle w:val="TextoNormal"/>
      </w:pPr>
    </w:p>
    <w:p w:rsidR="00AC56D6" w:rsidRDefault="00AC56D6" w:rsidP="00AC56D6">
      <w:pPr>
        <w:pStyle w:val="TextoNormal"/>
      </w:pPr>
      <w:r>
        <w:t>g) El Abogado del Estado también presentó su escrito de alegaciones el 27 de mayo de 2015, oponiéndose al planteamiento de la cuestión. Aducía, en apoyo de su pretensión, que la STC 150/2012 no podía servir de fundamento para la formulación de la cuestión porque se refería a otro Real Decreto-ley. Añadía que el planteamiento de la cuestión en nada variaría la solución correspondiente al fondo del asunto porque aquella Sentencia resolvió sólo la competencia para tramitar los expedientes de reintegro, sin afectar a las ayudas ya concedidas. Por otra parte, a la vista del meridiano incumplimiento de los requisitos de la subvención en el caso concreto examinado, si las autoridades autonómicas tramitasen el expediente de reintegro, llegarían a la misma conclusión que la Administración General del Estado.</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El Auto de promoción de la cuestión señala que los procedimientos de control financiero y reintegro cuya resolución constituye el objeto del proceso </w:t>
      </w:r>
      <w:r w:rsidRPr="00AC56D6">
        <w:rPr>
          <w:i/>
        </w:rPr>
        <w:t>a quo</w:t>
      </w:r>
      <w:r>
        <w:t xml:space="preserve"> se fundan en los preceptos controvertidos: arts. 8 y 10 del Real Decreto-ley 9/2008. Tales preceptos son sustancialmente equivalentes a los arts. 5 y 6 del Real Decreto-ley 13/2009, que fueron declarados inconstitucionales por la STC 150/2012. En dicha Sentencia se consideró que el art. 149.1.13 de la Constitución no ampara la regulación contenida en dichos preceptos, habida cuenta de que deben ser las Comunidades Autónomas quienes establezcan el régimen de gestión, control y resolución de las solicitudes de ayudas, así como el procedimiento de reintegro. Los preceptos aplicados en este procedimiento, a juicio del órgano judicial, incurrirían en el mismo vicio de inconstitucionalidad, al otorgar a órganos de la Administración general del Estado las competencias de control y reintegro de las ayudas en una competencia compartida con las Comunidades Autónomas. El Tribunal proponente considera, en consecuencia, que los arts. 8 y 10 del Real Decreto-ley 9/2008 vulneran el art. 149.1.13 de la Constitución, al igual que sucedía con los preceptos equivalentes del Real Decreto-ley 13/2009.</w:t>
      </w:r>
    </w:p>
    <w:p w:rsidR="00AC56D6" w:rsidRDefault="00AC56D6" w:rsidP="00AC56D6">
      <w:pPr>
        <w:pStyle w:val="TextoNormal"/>
      </w:pPr>
    </w:p>
    <w:p w:rsidR="00AC56D6" w:rsidRDefault="00AC56D6" w:rsidP="00AC56D6">
      <w:pPr>
        <w:pStyle w:val="TextoNormal"/>
      </w:pPr>
      <w:r w:rsidRPr="00AC56D6">
        <w:rPr>
          <w:rStyle w:val="NumeroAFNegritaCaracter"/>
        </w:rPr>
        <w:t>4</w:t>
      </w:r>
      <w:r>
        <w:t>. Por providencia de 7 de julio de 2015, el Pleno de este Tribunal acordó admitir a trámite la presente cuestión de inconstitucionalidad, reservar para sí el conocimiento de la misma conforme al art. 10.1 c) de la Ley Orgánica del Tribunal Constitucional (LOTC) y dar traslado de las actuaciones recibidas al Congreso de los Diputados y al Senado, por conducto de sus Presidentes, al Gobierno, a través del Ministro de Justicia, y a la Fiscalía General del Estado, para que en el improrrogable plazo de quince días pudieran personarse en el procedimiento y formular las alegaciones que estimasen convenientes (art. 37.3 LOTC). Asimismo, se ordenaba, de un lado, comunicar esa resolución al órgano promotor a fin de que, de conformidad con el art. 35.3 LOTC, permaneciese suspendido el proceso hasta que este Tribunal resolviese definitivamente la presente cuestión y, de otro lado, publicar la incoación de la cuestión en el “Boletín Oficial del Estado”, lo que se llevó a efecto en el “BOE” núm. 165, de 11 de julio de 2015.</w:t>
      </w:r>
    </w:p>
    <w:p w:rsidR="00AC56D6" w:rsidRDefault="00AC56D6" w:rsidP="00AC56D6">
      <w:pPr>
        <w:pStyle w:val="TextoNormal"/>
      </w:pPr>
    </w:p>
    <w:p w:rsidR="00AC56D6" w:rsidRDefault="00AC56D6" w:rsidP="00AC56D6">
      <w:pPr>
        <w:pStyle w:val="TextoNormal"/>
      </w:pPr>
      <w:r w:rsidRPr="00AC56D6">
        <w:rPr>
          <w:rStyle w:val="NumeroAFNegritaCaracter"/>
        </w:rPr>
        <w:t>5</w:t>
      </w:r>
      <w:r>
        <w:t xml:space="preserve">. Por escrito registrado en este Tribunal el 16 de julio de 2015, el Presidente del Congreso de los Diputados comunicó el acuerdo de dar por personada en el procedimiento a dicha Cámara y por ofrecida su colaboración a los efectos del art. 88.1 LOTC. Igualmente, </w:t>
      </w:r>
      <w:r>
        <w:lastRenderedPageBreak/>
        <w:t>por escrito registrado el 20 de julio se recibió una comunicación del Presidente del Senado por la cual se ponía en conocimiento de este Tribunal que dicha Cámara se daba por personada en el procedimiento y por ofrecida su colaboración a los efectos del citado precepto.</w:t>
      </w:r>
    </w:p>
    <w:p w:rsidR="00AC56D6" w:rsidRDefault="00AC56D6" w:rsidP="00AC56D6">
      <w:pPr>
        <w:pStyle w:val="TextoNormal"/>
      </w:pPr>
    </w:p>
    <w:p w:rsidR="00AC56D6" w:rsidRDefault="00AC56D6" w:rsidP="00AC56D6">
      <w:pPr>
        <w:pStyle w:val="TextoNormal"/>
      </w:pPr>
      <w:r w:rsidRPr="00AC56D6">
        <w:rPr>
          <w:rStyle w:val="NumeroAFNegritaCaracter"/>
        </w:rPr>
        <w:t>6</w:t>
      </w:r>
      <w:r>
        <w:t>. El Abogado del Estado presentó un escrito registrado en este Tribunal el 30 de junio de 2015 en el que suplica que se dicte Sentencia por la que se inadmita o, subsidiariamente, se desestime la cuestión planteada. En apoyo de su pretensión, alega, por una parte, que la cuestión no ha tomado una norma de comparación integrante del bloque de la constitucionalidad, sino el contenido del Real Decreto-ley 13/2009, interpretado por la STC 150/2012; por otra, señala que el Auto de planteamiento no identifica la norma atributiva de la competencia autonómica que habría sido vulnerada por el Real Decreto-ley 9/2008.</w:t>
      </w:r>
    </w:p>
    <w:p w:rsidR="00AC56D6" w:rsidRDefault="00AC56D6" w:rsidP="00AC56D6">
      <w:pPr>
        <w:pStyle w:val="TextoNormal"/>
      </w:pPr>
    </w:p>
    <w:p w:rsidR="00AC56D6" w:rsidRDefault="00AC56D6" w:rsidP="00AC56D6">
      <w:pPr>
        <w:pStyle w:val="TextoNormal"/>
      </w:pPr>
      <w:r w:rsidRPr="00AC56D6">
        <w:rPr>
          <w:rStyle w:val="NumeroAFNegritaCaracter"/>
        </w:rPr>
        <w:t>7</w:t>
      </w:r>
      <w:r>
        <w:t>. La Fiscal General del Estado formuló sus alegaciones mediante escrito presentado en este Tribunal el 16 de septiembre de 2015 en el cual, después de relacionar las circunstancias del caso y transcribir las normas legales cuestionadas, expone, sobre la concurrencia de posibles óbices procesales, que el ATC 136/2015, de 21 de julio (recaído en la cuestión de inconstitucionalidad núm. 2210-2015, sustancialmente igual a la aquí planteada), concluyó que no se había exteriorizado el juicio de relevancia. A la vista de que la presente cuestión se ha formulado en los mismos términos que la inadmitida por dicho Auto, la Fiscal General del Estado interesa su inadmisión.</w:t>
      </w:r>
    </w:p>
    <w:p w:rsidR="00AC56D6" w:rsidRDefault="00AC56D6" w:rsidP="00AC56D6">
      <w:pPr>
        <w:pStyle w:val="TextoNormal"/>
      </w:pPr>
    </w:p>
    <w:p w:rsidR="00AC56D6" w:rsidRDefault="00AC56D6" w:rsidP="00AC56D6">
      <w:pPr>
        <w:pStyle w:val="TextoNormal"/>
      </w:pPr>
      <w:r>
        <w:t>Subsidiariamente, para el caso de que no se apreciara la concurrencia del citado óbice procesal, considera, en cuanto al fondo, que el paralelismo del Real Decreto-ley 9/2008 con el Real Decreto-ley 13/2009, parcialmente declarado inconstitucional por la STC 150/2012, debe llevar a concluir que el Real Decreto-ley 9/2008 contradice abiertamente el régimen competencial establecido, al atribuir íntegramente a los órganos estatales la tramitación de las subvenciones otorgadas con cargo al fondo estatal de inversión local. Por ello, entiende que, si se entra en el fondo, la cuestión debe estimarse, si bien precisando que, al igual que la STC 150/2012, el pronunciamiento de inconstitucionalidad debe tener un carácter meramente declarativo, de modo que no se incida en la situación jurídica concreta que dio lugar al proceso constitucional.</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20 de Octubre de 2015 se señaló para deliberación y votación de la presente Sentencia el día 22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presente cuestión de inconstitucionalidad se suscita en relación con los arts. 8 y 10 del Real Decreto-ley 9/2008, de 28 de noviembre, por el que se crean un fondo estatal de inversión local y un fondo especial del Estado para la dinamización de la economía y el empleo y se aprueban créditos extraordinarios para atender a su financiación (en adelante, Real Decreto-ley 9/2008), por posible infracción del art. 149.1.13 de la Constitución. Los citados arts. 8 y 10 del Real Decreto-ley 9/2008 atribuyen a órganos del Estado, respectivamente, el control de la correcta aplicación de los recursos obtenidos del fondo y la tramitación de los expedientes de reintegro de las cantidades no justificadas.</w:t>
      </w:r>
    </w:p>
    <w:p w:rsidR="00AC56D6" w:rsidRDefault="00AC56D6" w:rsidP="00AC56D6">
      <w:pPr>
        <w:pStyle w:val="TextoNormal"/>
      </w:pPr>
    </w:p>
    <w:p w:rsidR="00AC56D6" w:rsidRDefault="00AC56D6" w:rsidP="00AC56D6">
      <w:pPr>
        <w:pStyle w:val="TextoNormal"/>
      </w:pPr>
      <w:r>
        <w:lastRenderedPageBreak/>
        <w:t>La Sección Octava de la Sala de lo Contencioso-Administrativo del Tribunal Superior de Justicia de Madrid considera que tales preceptos son sustancialmente equivalentes a los arts. 5 y 6 del Real Decreto-ley 13/2009, de 26 de octubre, de creación del fondo estatal para el empleo y la sostenibilidad local, que ya fueron declarados inconstitucionales por la STC 150/2012, de 5 de julio. El órgano promotor recuerda que en dicha Sentencia este Tribunal afirmó que el art. 149.1.13 de la Constitución no ampara tal regulación, habida cuenta de que, tratándose de una competencia compartida, deben ser las Comunidades Autónomas quienes asuman, en tanto que actividades ejecutivas, el control financiero de las ayudas concedidas y, en su caso, los expedientes de reintegro. A su juicio, los preceptos cuestionados del Real Decreto-ley 9/2008 incurrirían en esa misma inconstitucionalidad, al otorgar a órganos de la Administración general del Estado las competencias de control y reintegro del fondo estatal de inversión local.</w:t>
      </w:r>
    </w:p>
    <w:p w:rsidR="00AC56D6" w:rsidRDefault="00AC56D6" w:rsidP="00AC56D6">
      <w:pPr>
        <w:pStyle w:val="TextoNormal"/>
      </w:pPr>
    </w:p>
    <w:p w:rsidR="00AC56D6" w:rsidRDefault="00AC56D6" w:rsidP="00AC56D6">
      <w:pPr>
        <w:pStyle w:val="TextoNormal"/>
      </w:pPr>
      <w:r w:rsidRPr="00AC56D6">
        <w:rPr>
          <w:rStyle w:val="NumeroAFNegritaCaracter"/>
        </w:rPr>
        <w:t>2</w:t>
      </w:r>
      <w:r>
        <w:t>. Al examinar esta cuestión es necesario valorar previamente la concurrencia de los requisitos exigidos para el válido planteamiento de la cuestión de inconstitucionalidad, pues nada impide que se pueda apreciar su ausencia en la fase de resolución, esto es, mediante Sentencia, además de hacerlo en el trámite de admisión previsto en el art. 37.1 de la Ley Orgánica del Tribunal Constitucional (LOTC; SSTC 183/2013, de 23 de octubre, FJ 2; 206/2014, de 15 de diciembre, FJ 2; 10/2015, de 2 de febrero, FJ 2; 79/2015, de 30 de abril, FJ 2, y 110/2015, de 28 de mayo, FJ 3, entre otras).</w:t>
      </w:r>
    </w:p>
    <w:p w:rsidR="00AC56D6" w:rsidRDefault="00AC56D6" w:rsidP="00AC56D6">
      <w:pPr>
        <w:pStyle w:val="TextoNormal"/>
      </w:pPr>
    </w:p>
    <w:p w:rsidR="00AC56D6" w:rsidRDefault="00AC56D6" w:rsidP="00AC56D6">
      <w:pPr>
        <w:pStyle w:val="TextoNormal"/>
      </w:pPr>
      <w:r>
        <w:t>Es preciso comenzar recordando, como dijimos en la STC 79/2015, de 30 de abril, FJ 3, que los apartados 1 y 2 del art. 35 LOTC exigen, respectivamente, que la norma con rango de ley de la que tenga dudas un Juez o Tribunal resulte “aplicable al caso y de cuya validez dependa el fallo” y que el órgano judicial deberá especificar o justificar en el Auto de planteamiento de la cuestión en qué medida la decisión del proceso depende de la validez de la norma de que se trate. En atención a lo expuesto, es exigible que la norma cuestionada supere el llamado juicio de relevancia, que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de 25 de septiembre, FJ 2). De ahí que este Tribunal haya estimado que debe darse una verdadera “dependencia” (STC 189/1991, de 3 de octubre, FJ 2), o un “nexo de subordinación”, entre el fallo del proceso y la validez de la norma cuestionada (STC 157/1990, de 18 de octubre, FJ 1). Así, no basta con que el Tribunal ordinario considere que la norma es aplicable al caso, sino que también ha de satisfacerse el requisito de la relevancia; si bien la aplicabilidad de la norma es condición necesaria para que el fallo dependa de su validez, no es, en modo alguno, condición suficiente (SSTC 17/1981, de 1 de junio, FJ 4, y 156/2014, FJ 2).</w:t>
      </w:r>
    </w:p>
    <w:p w:rsidR="00AC56D6" w:rsidRDefault="00AC56D6" w:rsidP="00AC56D6">
      <w:pPr>
        <w:pStyle w:val="TextoNormal"/>
      </w:pPr>
    </w:p>
    <w:p w:rsidR="00AC56D6" w:rsidRDefault="00AC56D6" w:rsidP="00AC56D6">
      <w:pPr>
        <w:pStyle w:val="TextoNormal"/>
      </w:pPr>
      <w:r>
        <w:t>Asimismo, hemos mantenido que es a los Jueces y Tribunales ordinarios que plantean las cuestiones de inconstitucionalidad a los que corresponde comprobar y exteriorizar dicho juicio de relevancia, sin que este Tribunal pueda “sustituir, rectificar o integrar el criterio de los órganos judiciales proponentes” (por todas, STC 166/2012, de 1 de octubre, FJ 2).</w:t>
      </w:r>
    </w:p>
    <w:p w:rsidR="00AC56D6" w:rsidRDefault="00AC56D6" w:rsidP="00AC56D6">
      <w:pPr>
        <w:pStyle w:val="TextoNormal"/>
      </w:pPr>
    </w:p>
    <w:p w:rsidR="00AC56D6" w:rsidRDefault="00AC56D6" w:rsidP="00AC56D6">
      <w:pPr>
        <w:pStyle w:val="TextoNormal"/>
      </w:pPr>
      <w:r w:rsidRPr="00AC56D6">
        <w:rPr>
          <w:rStyle w:val="NumeroAFNegritaCaracter"/>
        </w:rPr>
        <w:t>3</w:t>
      </w:r>
      <w:r>
        <w:t>. En la cuestión aquí planteada, la Fiscal General del Estado deja constancia de que el órgano judicial solo hace una formulación implícita del juicio de relevancia.</w:t>
      </w:r>
    </w:p>
    <w:p w:rsidR="00AC56D6" w:rsidRDefault="00AC56D6" w:rsidP="00AC56D6">
      <w:pPr>
        <w:pStyle w:val="TextoNormal"/>
      </w:pPr>
    </w:p>
    <w:p w:rsidR="00AC56D6" w:rsidRDefault="00AC56D6" w:rsidP="00AC56D6">
      <w:pPr>
        <w:pStyle w:val="TextoNormal"/>
      </w:pPr>
      <w:r>
        <w:lastRenderedPageBreak/>
        <w:t xml:space="preserve">Recientemente, la STC 201/2015, de 24 de septiembre, ha tenido ocasión de pronunciarse sobre si cumplía los juicios de aplicabilidad y relevancia un Auto de la misma Sala que planteaba otra cuestión de inconstitucionalidad (la núm. 1796-2015) respecto de los mismos preceptos. Tras descartar que pudieran entenderse convenientemente cumplidos aquellos dos juicios a través de justificaciones meramente “implícitas”, carentes de suficiente argumentación, inadmitió la cuestión por la razón siguiente: “El Auto de planteamiento no va más allá de exponer que los preceptos cuestionados fueron aplicados por los actos administrativos impugnados [en] el pleito </w:t>
      </w:r>
      <w:r w:rsidRPr="00AC56D6">
        <w:rPr>
          <w:i/>
        </w:rPr>
        <w:t>a quo</w:t>
      </w:r>
      <w:r>
        <w:t>. En estas circunstancias, aunque pudiera admitirse que con ello se justifica la aplicabilidad de los mismos, no es posible reconocer en tal argumento una exteriorización del juicio de relevancia, lo que determina la inadmisión de la presente cuestión de inconstitucionalidad porque el órgano judicial no ha levantado la carga de ‘especificar y justificar’ el juicio de relevancia” (ATC 136/2015, FJ 3, citado por la STC 201/2015, FJ 3).</w:t>
      </w:r>
    </w:p>
    <w:p w:rsidR="00AC56D6" w:rsidRDefault="00AC56D6" w:rsidP="00AC56D6">
      <w:pPr>
        <w:pStyle w:val="TextoNormal"/>
      </w:pPr>
    </w:p>
    <w:p w:rsidR="00AC56D6" w:rsidRDefault="00AC56D6" w:rsidP="00AC56D6">
      <w:pPr>
        <w:pStyle w:val="TextoNormal"/>
      </w:pPr>
      <w:r>
        <w:t>La presente cuestión de inconstitucionalidad está planteada exactamente en los mismos términos que la inadmitida en la citada Sentencia. Corresponde, en consecuencia, apreciar que el órgano judicial tampoco en este caso ha exteriorizado suficientemente las razones por las que considera que su enjuiciamiento depende de la constitucionalidad de los arts. 8 y 10 del Real Decreto-ley 9/2008 y, con ello, inadmitir la presente cuestión (art. 35.2 LOTC), sin que esta inadmisión, al basarse en un motivo estrictamente formal, impida un eventual replanteamiento (entre otros, AATC 120/1997, de 23 de abril, FJ 2, y 195/2010, de 14 de diciembre, FJ 2).</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Inadmitir la cuestión de inconstitucionalidad núm. 3669-2015, planteada por la Sección Octava de la Sala de lo Contencioso-Administrativo del Tribunal Superior de Justicia de Madrid.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veintidós de octubre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78" w:name="SENTENCIA_2015_222"/>
      <w:r>
        <w:lastRenderedPageBreak/>
        <w:t>SENTENCIA 222/2015, de 2 de noviembre de 2015</w:t>
      </w:r>
    </w:p>
    <w:bookmarkEnd w:id="78"/>
    <w:p w:rsidR="00AC56D6" w:rsidRDefault="00AC56D6" w:rsidP="00AC56D6">
      <w:pPr>
        <w:pStyle w:val="TtuloResolucin"/>
      </w:pPr>
      <w:r>
        <w:t>Sala Primera</w:t>
      </w:r>
    </w:p>
    <w:p w:rsidR="00AC56D6" w:rsidRDefault="00AC56D6" w:rsidP="00AC56D6">
      <w:pPr>
        <w:pStyle w:val="TtuloBOE"/>
      </w:pPr>
      <w:r>
        <w:t>(BOE núm. 296, de 11 de diciembre de 2015)</w:t>
      </w:r>
    </w:p>
    <w:p w:rsidR="00AC56D6" w:rsidRDefault="00AC56D6" w:rsidP="00AC56D6">
      <w:pPr>
        <w:pStyle w:val="TextoNormalCentrado"/>
      </w:pPr>
      <w:r>
        <w:t>ECLI:ES:TC:2015:222</w:t>
      </w:r>
    </w:p>
    <w:p w:rsidR="00AC56D6" w:rsidRDefault="00AC56D6" w:rsidP="00AC56D6">
      <w:pPr>
        <w:pStyle w:val="TextoNormalCentrado"/>
      </w:pPr>
    </w:p>
    <w:p w:rsidR="00AC56D6" w:rsidRDefault="00AC56D6" w:rsidP="00AC56D6">
      <w:pPr>
        <w:pStyle w:val="SntesisDescriptiva"/>
      </w:pPr>
      <w:r>
        <w:t>Recurso de amparo 7238-2012. Promovido por doña María Josefa Garmendia Larrañaga respecto de la Sentencia de la Sala de lo Contencioso-Administrativo del Tribunal Superior de Justicia del País Vasco sobre liquidación del impuesto sobre el patrimonio.</w:t>
      </w:r>
    </w:p>
    <w:p w:rsidR="00AC56D6" w:rsidRDefault="00AC56D6" w:rsidP="00AC56D6">
      <w:pPr>
        <w:pStyle w:val="SntesisDescriptiva"/>
      </w:pPr>
    </w:p>
    <w:p w:rsidR="00AC56D6" w:rsidRDefault="00AC56D6" w:rsidP="00AC56D6">
      <w:pPr>
        <w:pStyle w:val="SntesisAnaltica"/>
      </w:pPr>
      <w:r>
        <w:t>Vulneración del derecho a la tutela judicial efectiva (resolución fundada en Derecho): Sentencia que no entra a conocer de los vicios de inconstitucionalidad imputados a una norma foral, ni plantea cuestión prejudicial de validez ante el Tribunal Constitucional, fundándose en la falta de jurisdicción del órgano sentenciador para examinar la validez de las normas forales fiscales.</w:t>
      </w:r>
    </w:p>
    <w:p w:rsidR="00AC56D6" w:rsidRDefault="00AC56D6" w:rsidP="00AC56D6">
      <w:pPr>
        <w:pStyle w:val="SntesisAnaltica"/>
      </w:pPr>
    </w:p>
    <w:p w:rsidR="00AC56D6" w:rsidRDefault="00AC56D6" w:rsidP="00AC56D6">
      <w:pPr>
        <w:pStyle w:val="Extracto"/>
      </w:pPr>
      <w:r>
        <w:t>1.</w:t>
      </w:r>
      <w:r>
        <w:tab/>
        <w:t>Se ha vulnerado el derecho a la tutela judicial efectiva sin indefensión, en la medida en que el órgano judicial ha evitado pronunciarse sobre el fondo del asunto sometido a su consideración, so pretexto de su propia incompetencia, con fundamento en una motivación irrazonable [FJ 4].</w:t>
      </w:r>
    </w:p>
    <w:p w:rsidR="00AC56D6" w:rsidRDefault="00AC56D6" w:rsidP="00AC56D6">
      <w:pPr>
        <w:pStyle w:val="Extracto"/>
      </w:pPr>
    </w:p>
    <w:p w:rsidR="00AC56D6" w:rsidRDefault="00AC56D6" w:rsidP="00AC56D6">
      <w:pPr>
        <w:pStyle w:val="Extracto"/>
      </w:pPr>
      <w:r>
        <w:t>2.</w:t>
      </w:r>
      <w:r>
        <w:tab/>
        <w:t>El órgano judicial debió entrar a controlar la validez constitucional de la norma foral impugnada para concluir, bien su validez, bien su eventual invalidez y, en consecuencia, para poder no aplicarla, suscitar la correspondiente cuestión de validez [FJ 3].</w:t>
      </w:r>
    </w:p>
    <w:p w:rsidR="00AC56D6" w:rsidRDefault="00AC56D6" w:rsidP="00AC56D6">
      <w:pPr>
        <w:pStyle w:val="Extracto"/>
      </w:pPr>
    </w:p>
    <w:p w:rsidR="00AC56D6" w:rsidRDefault="00AC56D6" w:rsidP="00AC56D6">
      <w:pPr>
        <w:pStyle w:val="Extracto"/>
      </w:pPr>
      <w:r>
        <w:t>3.</w:t>
      </w:r>
      <w:r>
        <w:tab/>
        <w:t>Aun cuando las normas forales fiscales son disposiciones normativas que carecen de rango de ley, desde la reforma operada por la Ley Orgánica 1/2010, de 19 de febrero, de modificación de las leyes orgánicas del Tribunal Constitucional y del Poder Judicial, su eventual declaración de inconstitucionalidad le corresponde en exclusiva al Tribunal Constitucional [FJ 2].</w:t>
      </w:r>
    </w:p>
    <w:p w:rsidR="00AC56D6" w:rsidRDefault="00AC56D6" w:rsidP="00AC56D6">
      <w:pPr>
        <w:pStyle w:val="Extracto"/>
      </w:pPr>
    </w:p>
    <w:p w:rsidR="00AC56D6" w:rsidRDefault="00AC56D6" w:rsidP="00AC56D6">
      <w:pPr>
        <w:pStyle w:val="Extracto"/>
      </w:pPr>
      <w:r>
        <w:t>4.</w:t>
      </w:r>
      <w:r>
        <w:tab/>
        <w:t>Si un órgano judicial estima que una norma foral fiscal adolece de posibles vicios de inconstitucionalidad viene obligado a suscitar la correspondiente cuestión prejudicial ante el Tribunal Constitucional; de lo contrario, debe limitarse a aplicarla [FJ 2].</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lastRenderedPageBreak/>
        <w:t>SENTENCIA</w:t>
      </w:r>
    </w:p>
    <w:p w:rsidR="00AC56D6" w:rsidRDefault="00AC56D6" w:rsidP="00AC56D6">
      <w:pPr>
        <w:pStyle w:val="TextoNormalCentrado"/>
        <w:keepNext/>
      </w:pPr>
    </w:p>
    <w:p w:rsidR="00AC56D6" w:rsidRDefault="00AC56D6" w:rsidP="00AC56D6">
      <w:pPr>
        <w:pStyle w:val="TextoNormal"/>
      </w:pPr>
      <w:r>
        <w:t>En el recurso de amparo núm. 7238-2012, promovido por doña María Josefa Garmendia Larrañaga, representada por el Procurador de los Tribunales don Ramiro Reynolds Martínez, bajo la dirección de la Letrada doña María del Carmen Muñoz López, contra la Sentencia núm. 486/2012 de la Sección Primera de la Sala de lo Contencioso-Administrativo del Tribunal Superior de Justicia del País Vasco de fecha 19 de junio de 2012, por la que se desestima el recurso contencioso-administrativo núm. 649-2011 interpuesto contra el Acuerdo del Tribunal Económico-Administrativo Foral de Guipúzcoa de fecha 27 de enero de 2011, desestimatorio, a su vez, de la reclamación económico-administrativa núm. 240-2010 promovida contra el acuerdo del Servicio de Gestión de Impuestos Directos de fecha 10 de febrero de 2010, que rechazaba la solicitud de rectificación de la autoliquidación formulada por el impuesto sobre el patrimonio correspondiente al ejercicio 2008. Han intervenido la Procuradora de los Tribunales doña Rocío Martín Echagüe, en nombre y representación de la Excma. Diputación Foral de Guipúzcoa, y el Ministerio Fiscal. Ha sido Ponente el Magistrado don Santiago Martínez-Vares García,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Por escrito registrado en este Tribunal el día 26 de diciembre de 2012, don Ramiro Reynolds Martínez, Procurador de los Tribunales, en nombre y representación de doña María Josefa Garmendia Larrañaga, interpuso un recurso de amparo contra la resolución judicial que se indica en el encabezamiento de esta Sentencia. Los hechos de los que trae causa la demanda de amparo son, en síntesis, los siguientes:</w:t>
      </w:r>
    </w:p>
    <w:p w:rsidR="00AC56D6" w:rsidRDefault="00AC56D6" w:rsidP="00AC56D6">
      <w:pPr>
        <w:pStyle w:val="TextoNormal"/>
      </w:pPr>
    </w:p>
    <w:p w:rsidR="00AC56D6" w:rsidRDefault="00AC56D6" w:rsidP="00AC56D6">
      <w:pPr>
        <w:pStyle w:val="TextoNormal"/>
      </w:pPr>
      <w:r>
        <w:t>a) La recurrente, residente en Guipúzcoa, presentó la autoliquidación del impuesto sobre el patrimonio correspondiente al ejercicio 2008, instando a continuación su rectificación con solicitud de devolución del importe ingresado, al considerar que puesto que la obligación de contribuir por el citado tributo había sido suprimida en el resto del Estado, incluidos los territorios forales de Vizcaya y Álava, la normativa foral que daba cobertura a su obligación tributaria (la Norma Foral de Guipúzcoa 14/1991) había devenido ilegal, al discriminar a los residentes en el territorio de Guipúzcoa, obligándoles a soportar una obligación tributaria que era inexistente en el resto del territorio nacional (por obra de la Ley 4/2008, de 23 de diciembre).</w:t>
      </w:r>
    </w:p>
    <w:p w:rsidR="00AC56D6" w:rsidRDefault="00AC56D6" w:rsidP="00AC56D6">
      <w:pPr>
        <w:pStyle w:val="TextoNormal"/>
      </w:pPr>
    </w:p>
    <w:p w:rsidR="00AC56D6" w:rsidRDefault="00AC56D6" w:rsidP="00AC56D6">
      <w:pPr>
        <w:pStyle w:val="TextoNormal"/>
      </w:pPr>
      <w:r>
        <w:t>b) Con fecha de 10 de febrero de 2010 se dictó acuerdo por el Servicio de gestión de impuestos directos de la Hacienda Foral de Guipúzcoa rechazando tanto la rectificación promovida como la devolución solicitada.</w:t>
      </w:r>
    </w:p>
    <w:p w:rsidR="00AC56D6" w:rsidRDefault="00AC56D6" w:rsidP="00AC56D6">
      <w:pPr>
        <w:pStyle w:val="TextoNormal"/>
      </w:pPr>
    </w:p>
    <w:p w:rsidR="00AC56D6" w:rsidRDefault="00AC56D6" w:rsidP="00AC56D6">
      <w:pPr>
        <w:pStyle w:val="TextoNormal"/>
      </w:pPr>
      <w:r>
        <w:t>c) Contra el anterior acuerdo se presentó una reclamación económico-administrativa ante el Tribunal Económico-Administrativo Foral de Guipúzcoa (núm. 240-2010) quien por resolución de fecha 27 de enero de 2011 la desestimó.</w:t>
      </w:r>
    </w:p>
    <w:p w:rsidR="00AC56D6" w:rsidRDefault="00AC56D6" w:rsidP="00AC56D6">
      <w:pPr>
        <w:pStyle w:val="TextoNormal"/>
      </w:pPr>
    </w:p>
    <w:p w:rsidR="00AC56D6" w:rsidRDefault="00AC56D6" w:rsidP="00AC56D6">
      <w:pPr>
        <w:pStyle w:val="TextoNormal"/>
      </w:pPr>
      <w:r>
        <w:t xml:space="preserve">d) Contra la anterior resolución se interpuso un recurso contencioso-administrativo (núm. 649-2011) ante la Sala de lo Contencioso-Administrativo del Tribunal Superior de Justicia del País Vasco, quien por Sentencia núm. 486/2012, de 19 de junio, de su Sección Primera acordó desestimar el recurso, al considerar que carecía de la competencia necesaria para </w:t>
      </w:r>
      <w:r>
        <w:lastRenderedPageBreak/>
        <w:t>pronunciarse sobre el objeto del recurso, en la medida que la disposición adicional quinta de la Ley Orgánica 2/1979, de 3 de octubre, del Tribunal Constitucional (en la redacción dada por la Ley Orgánica 1/2010), había atribuido al Tribunal Constitucional el conocimiento de los recursos interpuestos contra las normas forales fiscales. A juicio del órgano judicial, aunque es competente para conocer de los recursos contra los actos administrativos y de revisión económico-administrativa, sin embargo, no puede enjuiciar la validez de las normas forales fiscales de forma indirecta ni adoptar pronunciamientos anulatorios de los actos de aplicación con fundamento en la invalidez de tales normas. Y puesto que la parte recurrente invoca la vulneración, por la norma foral reguladora del impuesto sobre el patrimonio, del derecho a la igualdad de los arts. 14 y 31.1, ambos de la Constitución, fruto de la diferencia territorial de trato que genera, dicho planteamiento es ajeno a la jurisdicción contencioso-administrativa que carece, por cualquier medio o procedimiento, de la potestad de conocer de pretensiones en contra de normas forales fiscales. Y, por los mismos motivos, rechaza el órgano judicial el planteamiento de una cuestión de inconstitucionalidad sobre la norma foral controvertida.</w:t>
      </w:r>
    </w:p>
    <w:p w:rsidR="00AC56D6" w:rsidRDefault="00AC56D6" w:rsidP="00AC56D6">
      <w:pPr>
        <w:pStyle w:val="TextoNormal"/>
      </w:pPr>
    </w:p>
    <w:p w:rsidR="00AC56D6" w:rsidRDefault="00AC56D6" w:rsidP="00AC56D6">
      <w:pPr>
        <w:pStyle w:val="TextoNormal"/>
      </w:pPr>
      <w:r>
        <w:t>e) Promovido un incidente de nulidad de actuaciones contra la anterior Sentencia al considerar la parte recurrente que se había vulnerado su derecho a la tutela judicial efectiva ante la negativa del órgano judicial al planteamiento de la cuestión de inconstitucionalidad, mediante providencia de fecha 27 de septiembre de 2012 se inadmite a trámite al considerar que la pretensión de planteamiento de la citada cuestión carecía de todo fundamento legítimo, pues aspiraba a imponer el ejercicio de una facultad atribuida a los Jueces y Tribunales por el art. 5.2 de la Ley Orgánica 6/1985, de 1 de julio.</w:t>
      </w:r>
    </w:p>
    <w:p w:rsidR="00AC56D6" w:rsidRDefault="00AC56D6" w:rsidP="00AC56D6">
      <w:pPr>
        <w:pStyle w:val="TextoNormal"/>
      </w:pPr>
    </w:p>
    <w:p w:rsidR="00AC56D6" w:rsidRDefault="00AC56D6" w:rsidP="00AC56D6">
      <w:pPr>
        <w:pStyle w:val="TextoNormal"/>
      </w:pPr>
      <w:r w:rsidRPr="00AC56D6">
        <w:rPr>
          <w:rStyle w:val="NumeroAFNegritaCaracter"/>
        </w:rPr>
        <w:t>2</w:t>
      </w:r>
      <w:r>
        <w:t>. La recurrente en amparo imputa a la resolución judicial impugnada la vulneración del derecho a la tutela judicial efectiva (art. 24.1 CE) por falta de motivación, por arbitrariedad y por haberle causado indefensión, al habérsele negado el planteamiento de la cuestión de inconstitucionalidad solicitada, sin un solo argumento, impidiéndosele con ello el derecho a obtener una resolución sobre el fondo del asunto. Para la recurrente, la Sentencia niega el planteamiento de la cuestión de inconstitucionalidad sin fundamentación alguna, cuando lo cierto es que su planteamiento no es una cuestión discrecional para el órgano judicial cuando el fallo del litigio dependa de la validez de la norma aplicada. Al haber rechazado apriorística e inmotivadamente el planteamiento solicitado, la decisión del órgano judicial ha incurrido en arbitrariedad causándole indefensión, sobre todo porque la pretensión esgrimida se dirigía precisamente a que la Sala ejerciese su jurisdicción, en el marco de las atribuciones que le corresponden, entrando a valorar circunstanciadamente la procedencia o no de plantear la cuestión de inconstitucionalidad, tras un análisis sustantivo, adoptando a continuación una decisión fundada, favorable o no a dicho planteamiento. Sin embargo, la Sentencia incurre en arbitrariedad cuando reconoce su propia incompetencia para resolver sobre la nulidad de la norma aplicada y, no obstante ello, rechaza suscitar la pretendida cuestión dejando de este modo al recurso privado de todo objeto o contenido.</w:t>
      </w:r>
    </w:p>
    <w:p w:rsidR="00AC56D6" w:rsidRDefault="00AC56D6" w:rsidP="00AC56D6">
      <w:pPr>
        <w:pStyle w:val="TextoNormal"/>
      </w:pPr>
    </w:p>
    <w:p w:rsidR="00AC56D6" w:rsidRDefault="00AC56D6" w:rsidP="00AC56D6">
      <w:pPr>
        <w:pStyle w:val="TextoNormal"/>
      </w:pPr>
      <w:r>
        <w:t>Finalmente, la demandante de amparo precisa que, para evitar reiteraciones inútiles, en orden a justificar la invalidez sobrevenida de la Norma Foral de Guipúzcoa 14/1991, de 27 de diciembre, reguladora del impuesto sobre el patrimonio, por vulneración del artículo 2 de la Ley 12/2002, del concierto económico, y del art. 41.2 c) de la Ley Orgánica 3/1979, del Estatuto de Autonomía del País Vasco, se remite a lo manifestado en el cuerpo del escrito del recurso contencioso-administrativo.</w:t>
      </w:r>
    </w:p>
    <w:p w:rsidR="00AC56D6" w:rsidRDefault="00AC56D6" w:rsidP="00AC56D6">
      <w:pPr>
        <w:pStyle w:val="TextoNormal"/>
      </w:pPr>
    </w:p>
    <w:p w:rsidR="00AC56D6" w:rsidRDefault="00AC56D6" w:rsidP="00AC56D6">
      <w:pPr>
        <w:pStyle w:val="TextoNormal"/>
      </w:pPr>
      <w:r>
        <w:t>En virtud de lo anterior, solicita la recurrente en amparo que se estime el recurso, se le reconozca su derecho a la tutela judicial efectiva y, de conformidad con el art. 55.2 de la Ley Orgánica del Tribunal Constitucional (LOTC), se eleve al Pleno del Tribunal Constitucional una cuestión de inconstitucionalidad contra la Norma Foral 14/1991, de 27 de diciembre, reguladora del impuesto sobre el patrimonio, o, subsidiariamente, se anule y deje sin efecto la Sentencia dictada con retroacción de las actuaciones al momento anterior al dictado de la Sentencia para que por la Sala juzgadora se eleve una cuestión de inconstitucionalidad respecto de la norma foral identificada.</w:t>
      </w:r>
    </w:p>
    <w:p w:rsidR="00AC56D6" w:rsidRDefault="00AC56D6" w:rsidP="00AC56D6">
      <w:pPr>
        <w:pStyle w:val="TextoNormal"/>
      </w:pPr>
    </w:p>
    <w:p w:rsidR="00AC56D6" w:rsidRDefault="00AC56D6" w:rsidP="00AC56D6">
      <w:pPr>
        <w:pStyle w:val="TextoNormal"/>
      </w:pPr>
      <w:r w:rsidRPr="00AC56D6">
        <w:rPr>
          <w:rStyle w:val="NumeroAFNegritaCaracter"/>
        </w:rPr>
        <w:t>3</w:t>
      </w:r>
      <w:r>
        <w:t>. Por providencia con fecha de 7 de abril de 2014, la Sala Primera de este Tribunal acordó la admisión a trámite del recurso de amparo. Asimismo, y en aplicación de lo previsto en el art. 51 de la Ley Orgánica de este Tribunal, acordó dirigir comunicación a la Sala de lo Contencioso-Administrativo del Tribunal Superior de Justicia del País Vasco a fin de que, en el plazo de diez días, remitiese certificación o fotocopia adverada de las actuaciones correspondientes al recurso contencioso-administrativo núm. 649-2011, interesándose al mismo tiempo que se emplazara a quienes hubiesen sido parte en el procedimiento, excepto a la parte recurrente en amparo, para que en el plazo de diez días pudieran comparecer ante este Tribunal si así lo desearan. Igualmente, se acordó dirigir atenta comunicación al Tribunal Económico-Administrativo Foral de Guipúzcoa a fin de que, en el plazo de diez días, remitiese certificación o fotocopia adverada de las actuaciones correspondientes al expediente de la reclamación económico-administrativa núm. 240-2010.</w:t>
      </w:r>
    </w:p>
    <w:p w:rsidR="00AC56D6" w:rsidRDefault="00AC56D6" w:rsidP="00AC56D6">
      <w:pPr>
        <w:pStyle w:val="TextoNormal"/>
      </w:pPr>
    </w:p>
    <w:p w:rsidR="00AC56D6" w:rsidRDefault="00AC56D6" w:rsidP="00AC56D6">
      <w:pPr>
        <w:pStyle w:val="TextoNormal"/>
      </w:pPr>
      <w:r w:rsidRPr="00AC56D6">
        <w:rPr>
          <w:rStyle w:val="NumeroAFNegritaCaracter"/>
        </w:rPr>
        <w:t>4</w:t>
      </w:r>
      <w:r>
        <w:t>. Por escrito presentado en el Registro General de este Tribunal el día 30 de abril de 2014 la Procuradora de los Tribunales doña Rocío Martín Echagüe, actuando en nombre y representación de la Excma. Diputación Foral de Guipúzcoa, solicitó que se la tuviese por comparecida en el presente proceso constitucional en la representación citada.</w:t>
      </w:r>
    </w:p>
    <w:p w:rsidR="00AC56D6" w:rsidRDefault="00AC56D6" w:rsidP="00AC56D6">
      <w:pPr>
        <w:pStyle w:val="TextoNormal"/>
      </w:pPr>
    </w:p>
    <w:p w:rsidR="00AC56D6" w:rsidRDefault="00AC56D6" w:rsidP="00AC56D6">
      <w:pPr>
        <w:pStyle w:val="TextoNormal"/>
      </w:pPr>
      <w:r w:rsidRPr="00AC56D6">
        <w:rPr>
          <w:rStyle w:val="NumeroAFNegritaCaracter"/>
        </w:rPr>
        <w:t>5</w:t>
      </w:r>
      <w:r>
        <w:t>. Mediante diligencia de ordenación con fecha de 16 de mayo de 2014 la Sección Segunda de este Tribunal acordó tener por personada y parte en nombre y representación de la Excma. Diputación Foral de Guipúzcoa a la Procuradora de los Tribunales doña Rocío Martín Echagüe, así como dar vista de las actuaciones recibidas a las partes personadas y al Ministerio Fiscal, por plazo común de veinte días, para que, conforme determina el art. 52.1 de la Ley Orgánica de este Tribunal, presentasen las alegaciones que a su derecho convinieren.</w:t>
      </w:r>
    </w:p>
    <w:p w:rsidR="00AC56D6" w:rsidRDefault="00AC56D6" w:rsidP="00AC56D6">
      <w:pPr>
        <w:pStyle w:val="TextoNormal"/>
      </w:pPr>
    </w:p>
    <w:p w:rsidR="00AC56D6" w:rsidRDefault="00AC56D6" w:rsidP="00AC56D6">
      <w:pPr>
        <w:pStyle w:val="TextoNormal"/>
      </w:pPr>
      <w:r w:rsidRPr="00AC56D6">
        <w:rPr>
          <w:rStyle w:val="NumeroAFNegritaCaracter"/>
        </w:rPr>
        <w:t>6</w:t>
      </w:r>
      <w:r>
        <w:t>. La Procuradora de los Tribunales, doña Rocío Martín Echagüe, en nombre y representación de la Excma. Diputación Foral de Guipúzcoa, presentó su escrito de alegaciones el día 18 de junio de 2014 suplicando se dictase Sentencia por la que se declarase no haber lugar al amparo solicitado. A su juicio, las partes en un proceso judicial no tienen derecho a plantear cuestiones de inconstitucionalidad al ser una potestad exclusiva de los órganos judiciales en aquellos casos en los que puedan albergar una duda sobre la constitucionalidad de la norma aplicable al caso y de cuya validez dependa el fallo (SSTC 148/1986, 23/1988 y 159/1997). Por esta razón, la decisión de un órgano judicial de no elevar al Tribunal Constitucional una cuestión de inconstitucionalidad no viola el derecho a la tutela judicial efectiva (STC 159/1997, FJ 5).</w:t>
      </w:r>
    </w:p>
    <w:p w:rsidR="00AC56D6" w:rsidRDefault="00AC56D6" w:rsidP="00AC56D6">
      <w:pPr>
        <w:pStyle w:val="TextoNormal"/>
      </w:pPr>
    </w:p>
    <w:p w:rsidR="00AC56D6" w:rsidRDefault="00AC56D6" w:rsidP="00AC56D6">
      <w:pPr>
        <w:pStyle w:val="TextoNormal"/>
      </w:pPr>
      <w:r>
        <w:lastRenderedPageBreak/>
        <w:t>Para la Diputación Foral de Guipúzcoa no puede apreciarse la lesión denunciada pues la Sentencia impugnada está suficientemente motivada, en la medida que la Sala sentenciadora se reconoce competente para conocer y resolver acerca del acto impugnado (denegación de la solicitud de rectificación de la autoliquidación del impuesto sobre el patrimonio correspondiente al ejercicio 2008), pero no puede declarar la invalidez de la liquidación con base en la inconstitucionalidad de la Norma Foral 14/1991. A su juicio, el órgano judicial está cumpliendo con los dos requisitos que exige la doctrina del Tribunal Constitucional para motivar la no elevación de una cuestión de inconstitucionalidad (ATC 129/2014): que la resolución esté suficientemente motivada en el sentido de contener los elementos y razones de juicio que permiten conocer cuáles han sido los criterios jurídicos que han fundamentado la decisión, y que la motivación contenga una fundamentación en Derecho, lo que conlleva la garantía de que la decisión no sea consecuencia de una aplicación arbitraria de la legalidad.</w:t>
      </w:r>
    </w:p>
    <w:p w:rsidR="00AC56D6" w:rsidRDefault="00AC56D6" w:rsidP="00AC56D6">
      <w:pPr>
        <w:pStyle w:val="TextoNormal"/>
      </w:pPr>
    </w:p>
    <w:p w:rsidR="00AC56D6" w:rsidRDefault="00AC56D6" w:rsidP="00AC56D6">
      <w:pPr>
        <w:pStyle w:val="TextoNormal"/>
      </w:pPr>
      <w:r w:rsidRPr="00AC56D6">
        <w:rPr>
          <w:rStyle w:val="NumeroAFNegritaCaracter"/>
        </w:rPr>
        <w:t>7</w:t>
      </w:r>
      <w:r>
        <w:t>. Mediante escrito registrado en este Tribunal el día 24 de junio de 2014, doña María Josefa Garmendia Larrañaga, representada por el Procurador don Ramiro Reynolds Martínez y defendida por la Letrada doña María del Carmen Muñoz López, evacuó el trámite de alegaciones conferido suplicando se dictase Sentencia estimatoria del amparo pretendido, insistiendo para ello en los mismos argumentos que en su escrito de demanda.</w:t>
      </w:r>
    </w:p>
    <w:p w:rsidR="00AC56D6" w:rsidRDefault="00AC56D6" w:rsidP="00AC56D6">
      <w:pPr>
        <w:pStyle w:val="TextoNormal"/>
      </w:pPr>
    </w:p>
    <w:p w:rsidR="00AC56D6" w:rsidRDefault="00AC56D6" w:rsidP="00AC56D6">
      <w:pPr>
        <w:pStyle w:val="TextoNormal"/>
      </w:pPr>
      <w:r>
        <w:t>Además, la parte actora fundamenta la nulidad e inconstitucionalidad de la Norma Foral de Guipúzcoa 14/1991, de 27 de diciembre, reguladora del impuesto sobre el patrimonio, por falta de potestad del territorio histórico de Guipúzcoa para mantener la vigencia del impuesto sobre el patrimonio que había sido suprimido por parte del Estado (por la Ley 4/2008, de 23 de diciembre), contradiciendo así lo previsto en el art. 41.2 c) de la Ley Orgánica 3/1979, del Estatuto de Autonomía, y en los arts. 1 a 3 de la Ley 12/2012, del concierto con el País Vasco, que obliga a los territorios históricos a mantener, dentro de su territorio, un régimen de tributos concertados, siguiendo la estructura general impositiva del Estado y adoptando las medidas normativas necesarias para aplicar las medidas fiscales de carácter excepcional y coyuntural que el Estado decida. Sin embargo, Guipúzcoa ha mantenido en su territorio un impuesto, el del patrimonio, que había sido suprimido en el ordenamiento nacional, cuando lo que debía haber hecho era haber procedido también a su eliminación coetánea como así hicieron los territorios de Álava (Norma Foral 22/2008, de 22 de diciembre) y Vizcaya (Norma Foral 7/2007, de 20 de diciembre).</w:t>
      </w:r>
    </w:p>
    <w:p w:rsidR="00AC56D6" w:rsidRDefault="00AC56D6" w:rsidP="00AC56D6">
      <w:pPr>
        <w:pStyle w:val="TextoNormal"/>
      </w:pPr>
    </w:p>
    <w:p w:rsidR="00AC56D6" w:rsidRDefault="00AC56D6" w:rsidP="00AC56D6">
      <w:pPr>
        <w:pStyle w:val="TextoNormal"/>
      </w:pPr>
      <w:r w:rsidRPr="00AC56D6">
        <w:rPr>
          <w:rStyle w:val="NumeroAFNegritaCaracter"/>
        </w:rPr>
        <w:t>8</w:t>
      </w:r>
      <w:r>
        <w:t>. El día 3 de julio de 2014 presentó su escrito de alegaciones el Ministerio Fiscal solicitando la estimación del recurso al considerar que se ha lesionado el derecho de la actora tanto a la tutela judicial efectiva sin indefensión (art. 24.1 CE) como a un proceso con todas las garantías (art. 24.2 CE), procediéndose, en orden al restablecimiento de los derechos fundamentales lesionados, a retrotraerse las actuaciones al momento anterior a dictar sentencia, con el fin de que se dicte una resolución fundada en Derecho respecto de la procedencia de plantear al Tribunal Constitucional una cuestión de inconstitucionalidad sobre la Norma Foral 14/1991, reguladora del impuesto sobre el patrimonio en Guipúzcoa.</w:t>
      </w:r>
    </w:p>
    <w:p w:rsidR="00AC56D6" w:rsidRDefault="00AC56D6" w:rsidP="00AC56D6">
      <w:pPr>
        <w:pStyle w:val="TextoNormal"/>
      </w:pPr>
    </w:p>
    <w:p w:rsidR="00AC56D6" w:rsidRDefault="00AC56D6" w:rsidP="00AC56D6">
      <w:pPr>
        <w:pStyle w:val="TextoNormal"/>
      </w:pPr>
      <w:r>
        <w:t>Tras precisar los hechos que han dado lugar a la presente demanda de amparo concreta la Fiscal el núcleo del recurso contencioso-administrativo, que lo constituía la eventual ilegalidad sobrevenida de la Norma Foral 14/1991, reguladora del impuesto sobre el patrimo</w:t>
      </w:r>
      <w:r>
        <w:lastRenderedPageBreak/>
        <w:t>nio en Guipúzcoa, que sustentaba la exacción del impuesto en el ejercicio 2008, como consecuencia de la aprobación de la Ley 4/2008, de 23 de diciembre, cuyo art. 3 suprimía el impuesto sobre el patrimonio, con efectos del 1 de enero de 2008, mediante una bonificación en cuota del 100 por 100. Señala la Fiscal que para la recurrente la norma foral no sólo violaba el principio de igualdad en relación con el deber de contribuir (arts. 14 y 31.1 CE), al discriminar en función del territorio de residencia, sino que contradecía la Ley 12/2002, del concierto económico, y la Ley del Parlamento Vasco 3/1989, de armonización, coordinación y colaboración fiscal. Se trataba, pues, de un recurso indirecto contra la Norma Foral 14/1991, como señalaba la propia Diputación Foral de Guipúzcoa en la contestación a la demanda, lo que suponía la falta de competencia de la jurisdicción contencioso-administrativa para conocer de la pretensión deducida [</w:t>
      </w:r>
      <w:r w:rsidRPr="00AC56D6">
        <w:rPr>
          <w:i/>
        </w:rPr>
        <w:t>ex</w:t>
      </w:r>
      <w:r>
        <w:t xml:space="preserve"> art. 3 d) de la Ley reguladora de la jurisdicción contencioso-administrativa (LJCA) y disposición adicional quinta LOTC] y la necesidad de plantear una cuestión ante el Tribunal Constitucional.</w:t>
      </w:r>
    </w:p>
    <w:p w:rsidR="00AC56D6" w:rsidRDefault="00AC56D6" w:rsidP="00AC56D6">
      <w:pPr>
        <w:pStyle w:val="TextoNormal"/>
      </w:pPr>
    </w:p>
    <w:p w:rsidR="00AC56D6" w:rsidRDefault="00AC56D6" w:rsidP="00AC56D6">
      <w:pPr>
        <w:pStyle w:val="TextoNormal"/>
      </w:pPr>
      <w:r>
        <w:t>Por su parte, la Sala de lo Contencioso-Administrativo del Tribunal Superior de Justicia del País Vasco, en la Sentencia impugnada, reconoce que tanto el art. 3 d) LJCA como la disposición adicional quinta LOTC, han excluido la competencia de la jurisdicción contencioso-administrativa para pronunciarse sobre la validez de las normas forales fiscales o para declarar la invalidez de los actos dictados en su aplicación con fundamento en la ilegalidad de las mismas; esos preceptos legales confieren a los Tribunales la facultad de elevar al Tribunal Constitucional una cuestión prejudicial sobre la validez de las normas forales, cuando de ella dependa el fallo del litigio, pero le impiden inaplicar dichas normas; la eventual nulidad sobrevenida de la Norma Foral 14/1991, por su contradicción con la Ley 12/2002, del concierto económico, está excluida de la jurisdicción contencioso-administrativa y corresponde a la jurisdicción constitucional, al tratarse de una norma que integra el bloque de la constitucionalidad (art. 28 LOTC); no procede plantear una cuestión de inconstitucionalidad al haberse confundido por la parte recurrente el mecanismo de depuración del ordenamiento jurídico de la cuestión de inconstitucionalidad con el de la cuestión de ilegalidad de normas que no tienen rango de ley (arts. 123 a 126 LJCA).</w:t>
      </w:r>
    </w:p>
    <w:p w:rsidR="00AC56D6" w:rsidRDefault="00AC56D6" w:rsidP="00AC56D6">
      <w:pPr>
        <w:pStyle w:val="TextoNormal"/>
      </w:pPr>
    </w:p>
    <w:p w:rsidR="00AC56D6" w:rsidRDefault="00AC56D6" w:rsidP="00AC56D6">
      <w:pPr>
        <w:pStyle w:val="TextoNormal"/>
      </w:pPr>
      <w:r>
        <w:t>Para la Fiscal los anteriores razonamientos del órgano judicial no pueden considerarse como una motivación razonable y suficiente por los siguientes motivos. En primer lugar, porque si bien es cierto que la pretensión esgrimida en el recurso contencioso-administrativo era la de anular los actos administrativos que rechazaron la solicitud de rectificación de la autoliquidación del impuesto sobre el patrimonio, con fundamento en la ilegalidad sobrevenida de la Norma Foral 14/1991, lo que excluía el conocimiento de la eventual inconstitucionalidad de esta norma por parte de la jurisdicción contencioso-administrativa al corresponder su conocimiento en exclusiva al Tribunal Constitucional, sin embargo, la Sentencia impugnada no hace ningún tipo de valoración o razonamiento que permita conocer por qué no es procedente el planteamiento de la cuestión de inconstitucionalidad, al margen de que la solicitud hecha por la parte pudiera haber sido incorrecta jurídicamente. En segundo lugar, aunque el órgano judicial subraya que el planteamiento de las cuestiones de inconstitucionalidad corresponde en exclusiva a los órganos jurisdiccionales y no a las partes, resulta incoherente luego cuando se limita a rechazar el planteamiento sin pronunciamiento alguno sobre la necesidad para resolver la cuestión ante él planteada, sin incorporar ningún razonamiento sobre la validez de la norma foral, que el órgano judicial termina aplicándola implícitamente al resolver desestimando el recurso.</w:t>
      </w:r>
    </w:p>
    <w:p w:rsidR="00AC56D6" w:rsidRDefault="00AC56D6" w:rsidP="00AC56D6">
      <w:pPr>
        <w:pStyle w:val="TextoNormal"/>
      </w:pPr>
    </w:p>
    <w:p w:rsidR="00AC56D6" w:rsidRDefault="00AC56D6" w:rsidP="00AC56D6">
      <w:pPr>
        <w:pStyle w:val="TextoNormal"/>
      </w:pPr>
      <w:r>
        <w:lastRenderedPageBreak/>
        <w:t>En suma, para la Fiscal, la falta de planteamiento de la cuestión de inconstitucionalidad de manera incoherente y arbitraria supone una lesión del derecho a la tutela judicial efectiva sin indefensión del art. 24.1 CE (SSTC 182/2012 y 177/2013). El órgano judicial, pese a tener obligación de plantear una cuestión de inconstitucionalidad por depender de la validez de la Norma Foral 14/1991, impugnada indirectamente y aplicable al caso, el fallo a adoptar, sin embargo, elude pronunciarse, no constituyendo una motivación suficiente el incorrecto planteamiento efectuado por la parte recurrente en su demanda, pues, como bien dice el órgano judicial, si la decisión del planteamiento no depende de la voluntad de la parte, al ser una decisión exclusiva de éste, debe realizar su propia valoración de la norma aplicable para resolver la cuestión planteada. Así las cosas, al desestimar el órgano judicial el recurso contencioso-administrativo con confirmación de los actos administrativos impugnados, ha incurrido en un exceso de jurisdicción, pues ha resuelto de manera implícita el recurso indirecto contra la Norma Foral 14/1991, sin plantear una cuestión de inconstitucionalidad ante el Tribunal Constitucional.</w:t>
      </w:r>
    </w:p>
    <w:p w:rsidR="00AC56D6" w:rsidRDefault="00AC56D6" w:rsidP="00AC56D6">
      <w:pPr>
        <w:pStyle w:val="TextoNormal"/>
      </w:pPr>
    </w:p>
    <w:p w:rsidR="00AC56D6" w:rsidRDefault="00AC56D6" w:rsidP="00AC56D6">
      <w:pPr>
        <w:pStyle w:val="TextoNormal"/>
      </w:pPr>
      <w:r>
        <w:t>Por otra parte, considera la Fiscal que la providencia de 27 de septiembre de 2012 que inadmitió el incidente de nulidad de actuaciones, con fundamento en que el planteamiento de las cuestiones de inconstitucionalidad son una facultad exclusiva de los Tribunales, no es una respuesta fundada en Derecho, careciendo de una verdadera motivación y, por tanto, es igualmente lesiva del derecho a la tutela judicial efectiva tanto desde la perspectiva del derecho a obtener una resolución fundada en Derecho como desde la del derecho al recurso.</w:t>
      </w:r>
    </w:p>
    <w:p w:rsidR="00AC56D6" w:rsidRDefault="00AC56D6" w:rsidP="00AC56D6">
      <w:pPr>
        <w:pStyle w:val="TextoNormal"/>
      </w:pPr>
    </w:p>
    <w:p w:rsidR="00AC56D6" w:rsidRDefault="00AC56D6" w:rsidP="00AC56D6">
      <w:pPr>
        <w:pStyle w:val="TextoNormal"/>
      </w:pPr>
      <w:r w:rsidRPr="00AC56D6">
        <w:rPr>
          <w:rStyle w:val="NumeroAFNegritaCaracter"/>
        </w:rPr>
        <w:t>9</w:t>
      </w:r>
      <w:r>
        <w:t>. Por providencia de veintinueve de octubre de 2015 se señaló para deliberación y votación de la presente Sentencia el día dos de noviembre del mismo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presente recurso de amparo se dirige contra la Sentencia núm. 486/2012 de la Sección Primera de la Sala de lo Contencioso-Administrativo del Tribunal Superior de Justicia del País Vasco de fecha 19 de junio de 2012, por la que se desestima el recurso contencioso-administrativo núm. 649-2011 interpuesto contra el Acuerdo del Tribunal Económico-Administrativo Foral de Guipúzcoa de fecha 27 de enero de 2011, desestimatorio, a su vez, de la reclamación económico-administrativa núm. 240-2010 promovida contra el acuerdo del Servicio de gestión de impuestos directos de fecha 10 de febrero de 2010, que rechazaba la solicitud de rectificación de la autoliquidación formulada por el impuesto sobre el patrimonio correspondiente al ejercicio 2008.</w:t>
      </w:r>
    </w:p>
    <w:p w:rsidR="00AC56D6" w:rsidRDefault="00AC56D6" w:rsidP="00AC56D6">
      <w:pPr>
        <w:pStyle w:val="TextoNormal"/>
      </w:pPr>
    </w:p>
    <w:p w:rsidR="00AC56D6" w:rsidRDefault="00AC56D6" w:rsidP="00AC56D6">
      <w:pPr>
        <w:pStyle w:val="TextoNormal"/>
      </w:pPr>
      <w:r>
        <w:t xml:space="preserve">Como ha quedado expuesto con mayor detalle en los antecedentes, la recurrente en amparo solicitaba la rectificación de su autoliquidación del impuesto sobre el patrimonio correspondiente al ejercicio 2008 por considerar que la Norma Foral 14/1991, de 27 de diciembre, del impuesto sobre el patrimonio, que le daba cobertura, era inconstitucional, no sólo por establecer una discriminación por razón de la residencia contraria a los arts. 14 y 31.1, ambos de la Constitución, sino por contradecir tanto el art. 2 de la Ley 12/2002, de 23 de mayo, por la que se aprueba el concierto económico con la Comunidad Autónoma del País Vasco, como el art. 41.2 c) de la Ley Orgánica 3/1979, de 18 de diciembre, de Estatuto de Autonomía del País Vasco. Rechazada dicha solicitud en vía administrativa, en el recurso contencioso-administrativo articulado ante la Sala de lo Contencioso-Administrativo del </w:t>
      </w:r>
      <w:r>
        <w:lastRenderedPageBreak/>
        <w:t>Tribunal Superior de Justicia del País Vasco, se cuestionaba nuevamente la constitucionalidad de la citada Norma Foral 14/1991 que daba cobertura a la autoliquidación presentada. Sin embargo, la Sala desestimó el recurso al considerar que, puesto que el conocimiento de la constitucionalidad de las normas forales fiscales le corresponde en exclusiva al Tribunal Constitucional tras la reforma operada por la Ley Orgánica 1/2010, de 19 de febrero, de modificación de las leyes orgánicas del Tribunal Constitucional y del Poder Judicial, carecía de competencia tanto para enjuiciar la validez de las normas forales fiscales como para adoptar pronunciamientos anulatorios de los actos de aplicación con fundamento en la invalidez de tales normas, razón por la cual, rechazó el planteamiento de una cuestión de inconstitucionalidad sobre su validez.</w:t>
      </w:r>
    </w:p>
    <w:p w:rsidR="00AC56D6" w:rsidRDefault="00AC56D6" w:rsidP="00AC56D6">
      <w:pPr>
        <w:pStyle w:val="TextoNormal"/>
      </w:pPr>
    </w:p>
    <w:p w:rsidR="00AC56D6" w:rsidRDefault="00AC56D6" w:rsidP="00AC56D6">
      <w:pPr>
        <w:pStyle w:val="TextoNormal"/>
      </w:pPr>
      <w:r>
        <w:t>El Ministerio Fiscal ha solicitado el otorgamiento del amparo por entender producida la lesión del derecho a la tutela judicial efectiva sin indefensión (art. 24.1 CE), al haberse rechazado de forma incoherente y arbitraria el planteamiento de una cuestión de inconstitucionalidad sobre la validez de la Norma Foral 14/1991. En cambio, la Excma. Diputación Foral de Guipúzcoa considera que no puede apreciarse la lesión denunciada al no existir un derecho de las partes de un proceso judicial al planteamiento de cuestiones de inconstitucionalidad, siendo esta una potestad exclusiva de los órganos judiciales en aquellos casos en los que puedan albergar una duda sobre la constitucionalidad de la norma aplicable al caso y de cuya validez dependa el fallo.</w:t>
      </w:r>
    </w:p>
    <w:p w:rsidR="00AC56D6" w:rsidRDefault="00AC56D6" w:rsidP="00AC56D6">
      <w:pPr>
        <w:pStyle w:val="TextoNormal"/>
      </w:pPr>
    </w:p>
    <w:p w:rsidR="00AC56D6" w:rsidRDefault="00AC56D6" w:rsidP="00AC56D6">
      <w:pPr>
        <w:pStyle w:val="TextoNormal"/>
      </w:pPr>
      <w:r w:rsidRPr="00AC56D6">
        <w:rPr>
          <w:rStyle w:val="NumeroAFNegritaCaracter"/>
        </w:rPr>
        <w:t>2</w:t>
      </w:r>
      <w:r>
        <w:t xml:space="preserve">. La Sentencia de la Sección Tercera del Tribunal Europeo de Derechos Humanos de 20 de enero de 2015 (asunto </w:t>
      </w:r>
      <w:r w:rsidRPr="00AC56D6">
        <w:rPr>
          <w:i/>
        </w:rPr>
        <w:t>Arribas Antón c. España</w:t>
      </w:r>
      <w:r>
        <w:t>) exige que en los asuntos admitidos a trámite por este Tribunal Constitucional se explicite la razón de su especial trascendencia constitucional (§ 46, en la versión oficial en francés del Tribunal de Estrasburgo; § 37 en la traducción española del Ministerio de Justicia). Pues bien, de conformidad con lo previsto en el art. 50.1 b) de la Ley Orgánica 2/1979, de 3 de octubre, del Tribunal Constitucional, y de acuerdo con los criterios explicitados en la STC 155/2009, de 25 de junio, FJ 2, debe señalarse que la cuestión planteada en el presente proceso de amparo permite precisar a este Tribunal, tras el cambio normativo producido con la aprobación de la Ley Orgánica 1/2010, de 19 de febrero, de modificación de las leyes orgánicas del Tribunal Constitucional y del Poder Judicial, su doctrina sobre el derecho a la tutela judicial efectiva (art. 24.1. CE) en relación con la facultad de los órganos judiciales de controlar la validez constitucional de las normas forales fiscales en orden a su eventual inaplicación previo planteamiento de una cuestión prejudicial de validez ante este Tribunal Constitucional.</w:t>
      </w:r>
    </w:p>
    <w:p w:rsidR="00AC56D6" w:rsidRDefault="00AC56D6" w:rsidP="00AC56D6">
      <w:pPr>
        <w:pStyle w:val="TextoNormal"/>
      </w:pPr>
    </w:p>
    <w:p w:rsidR="00AC56D6" w:rsidRDefault="00AC56D6" w:rsidP="00AC56D6">
      <w:pPr>
        <w:pStyle w:val="TextoNormal"/>
      </w:pPr>
      <w:r>
        <w:t xml:space="preserve">Una vez hecha la precisión que antecede es importante señalar que la única cuestión que se somete a nuestra consideración, desde la óptica del derecho a la tutela judicial efectiva del art. 24.1 CE es, si la negativa del órgano judicial a controlar la constitucionalidad de la Norma Foral 14/1991 es o no lesiva del citado derecho fundamental. Eso sí, debe precisarse, antes que nada, que en el presente proceso constitucional no se ventila la eventual constitucionalidad de la Norma Foral 14/1991 sino, única y exclusivamente, si la negativa del órgano judicial a aplicar la norma o a plantear una cuestión prejudicial ante este Tribunal Constitucional sobre la misma es contraria a aquel derecho fundamental, pues “el recurso de amparo no es un cauce idóneo para efectuar juicios abstractos de constitucionalidad de la Ley, sino un medio reparador de lesiones concretas y efectivas de derechos fundamentales (SSTC 206/1990, de 17 de diciembre, FJ 5; 119/1991, de 3 de junio, FJ 4; 31/1994, de 31 de enero, FJ 4; 120/1998, de 15 de junio, FJ 1), salvo cuando ello resulte imprescindible </w:t>
      </w:r>
      <w:r>
        <w:lastRenderedPageBreak/>
        <w:t>para corregir la lesión del derecho fundamental que sea achacable directamente a la aplicación del precepto legal que se reputa contrario a la Constitución (entre otras, SSTC 223/2001, de 5 de noviembre, FJ 7; 222/2004, de 29 de noviembre, FJ 3)” (STC 47/2007, de 12 de marzo, FJ 4). Y puesto que el objeto del presente proceso constitucional consiste en determinar, como se ha dicho, si la negativa de la Sala juzgadora a aplicar la norma o a plantear una cuestión prejudicial ante este Tribunal Constitucional es o no lesiva del art. 24.1 CE, hay que excluir ya en este momento el análisis de la eventual contradicción entre la norma foral fiscal que da cobertura a los actos administrativos impugnados y la Constitución, el Estatuto de Autonomía del País Vasco o la Ley del concierto.</w:t>
      </w:r>
    </w:p>
    <w:p w:rsidR="00AC56D6" w:rsidRDefault="00AC56D6" w:rsidP="00AC56D6">
      <w:pPr>
        <w:pStyle w:val="TextoNormal"/>
      </w:pPr>
    </w:p>
    <w:p w:rsidR="00AC56D6" w:rsidRDefault="00AC56D6" w:rsidP="00AC56D6">
      <w:pPr>
        <w:pStyle w:val="TextoNormal"/>
      </w:pPr>
      <w:r>
        <w:t>A este respecto debe señalarse que, aun cuando las normas forales fiscales son disposiciones normativas que carecen de rango de ley, desde la reforma operada por la Ley Orgánica 1/2010, de 19 de febrero, de modificación de las leyes orgánicas del Tribunal Constitucional y del Poder Judicial, su eventual declaración de inconstitucionalidad le corresponde en exclusiva al Tribunal Constitucional. En efecto, quedan excluidos del conocimiento de los Tribunales del orden contencioso-administrativo “los recursos directos o indirectos que se interpongan contra las Normas Forales fiscales de las Juntas Generales de los Territorios Históricos de Álava, Guipúzcoa y Vizcaya, que corresponderán, en exclusiva, al Tribunal Constitucional” [arts. 9.4 de la Ley Orgánica 6/1985, de 1 de julio, del Poder Judicial (en lo sucesivo, LOPJ), y 3 d) de la Ley 29/1998, de 13 de julio, reguladora de la jurisdicción contencioso-administrativa (en lo sucesivo, LJCA)]. Y ello porque, desde la entrada en vigor de esa Ley Orgánica 1/2010, corresponde al Tribunal Constitucional no sólo “el conocimiento de los recursos interpuestos contra las Normas Forales fiscales de los Territorios de Álava, Guipúzcoa y Vizcaya”, sino también resolver “las cuestiones que se susciten con carácter prejudicial por los órganos jurisdiccionales sobre la validez de las referidas disposiciones, cuando de ella dependa el fallo del litigio principal” [apartado 1 de la disposición adicional quinta de la Ley Orgánica 2/1979, de 3 de octubre, del Tribunal Constitucional (en adelante, LOTC)].</w:t>
      </w:r>
    </w:p>
    <w:p w:rsidR="00AC56D6" w:rsidRDefault="00AC56D6" w:rsidP="00AC56D6">
      <w:pPr>
        <w:pStyle w:val="TextoNormal"/>
      </w:pPr>
    </w:p>
    <w:p w:rsidR="00AC56D6" w:rsidRDefault="00AC56D6" w:rsidP="00AC56D6">
      <w:pPr>
        <w:pStyle w:val="TextoNormal"/>
      </w:pPr>
      <w:r>
        <w:t xml:space="preserve">Según lo que antecede, desde la entrada en vigor de la Ley Orgánica 1/2010, de 19 de febrero, aunque los órganos jurisdiccionales pueden fiscalizar la validez de las normas forales fiscales, no les es dado, caso de considerarlas contrarias a las normas que integran el bloque de la constitucionalidad, expulsarlas del ordenamiento jurídico, al haber querido sustraer el legislador orgánico al juez ordinario la posibilidad de no aplicar una norma foral fiscal ante un eventual juicio de incompatibilidad con aquel bloque. La depuración de este tipo de normas corresponde de forma exclusiva, a partir de aquella disposición orgánica, al Tribunal Constitucional, que tiene la competencia y la jurisdicción para declarar, con eficacia </w:t>
      </w:r>
      <w:r w:rsidRPr="00AC56D6">
        <w:rPr>
          <w:i/>
        </w:rPr>
        <w:t>erga omnes</w:t>
      </w:r>
      <w:r>
        <w:t>, su eventual inconstitucionalidad. De esta manera, forma parte de las garantías consustanciales a todo proceso judicial en nuestro Ordenamiento, entonces, el que la norma foral fiscal que, según el juzgador, resulta aplicable en aquel proceso no pueda dejar de serlo, por causa de su posible invalidez, sino a través de la promoción de la cuestión prejudicial de validez prevista en la disposición adicional quinta LOTC.</w:t>
      </w:r>
    </w:p>
    <w:p w:rsidR="00AC56D6" w:rsidRDefault="00AC56D6" w:rsidP="00AC56D6">
      <w:pPr>
        <w:pStyle w:val="TextoNormal"/>
      </w:pPr>
    </w:p>
    <w:p w:rsidR="00AC56D6" w:rsidRDefault="00AC56D6" w:rsidP="00AC56D6">
      <w:pPr>
        <w:pStyle w:val="TextoNormal"/>
      </w:pPr>
      <w:r>
        <w:t xml:space="preserve">No obstante lo anterior, es indudable que forma parte del conjunto de las facultades inherentes a la potestad de juzgar, privativa de los Jueces y Tribunales del Poder Judicial por mandato de la propia Constitución (art. 117.3), la de seleccionar la norma jurídica aplicable al caso concreto, su interpretación y la subsunción en ella de los hechos (SSTC 76/1995, de 22 de mayo, FJ 5, y 173/2002, de 9 de octubre, FJ 10). Eso sí, una vez seleccionada la norma </w:t>
      </w:r>
      <w:r>
        <w:lastRenderedPageBreak/>
        <w:t>aplicable al caso concreto, si existiesen dudas sobre su eventual contradicción con las normas que integran el bloque de la constitucionalidad definido en el art. 28 LOTC, al Juez le asisten dos opciones: bien despejar esas dudas mediante la realización, de forma fundada, de un juicio de validez de la norma aplicable; bien, en caso contrario, plantear una cuestión prejudicial sobre su eventual invalidez al Tribunal Constitucional. De este modo, si un órgano judicial estima que una norma foral fiscal adolece de posibles vicios de inconstitucionalidad, viene obligado a suscitar la correspondiente cuestión prejudicial ante el Tribunal Constitucional, y, si no lo estima así, supuesto en el que obviamente no está compelido a plantear la cuestión, debe limitarse a aplicarla, eso sí, razonando los motivos por los cuales considera, en contra de la opinión del recurrente, que la disposición cuestionada no adolece de los vicios que se le imputan, resultando plenamente conforme con el Ordenamiento constitucional.</w:t>
      </w:r>
    </w:p>
    <w:p w:rsidR="00AC56D6" w:rsidRDefault="00AC56D6" w:rsidP="00AC56D6">
      <w:pPr>
        <w:pStyle w:val="TextoNormal"/>
      </w:pPr>
    </w:p>
    <w:p w:rsidR="00AC56D6" w:rsidRDefault="00AC56D6" w:rsidP="00AC56D6">
      <w:pPr>
        <w:pStyle w:val="TextoNormal"/>
      </w:pPr>
      <w:r>
        <w:t>A semejanza de lo que acontece en las cuestiones de inconstitucionalidad, la decisión sobre el planteamiento de una cuestión prejudicial sobre normas forales fiscales prevista en la disposición adicional quinta LOTC corresponde, de forma exclusiva e irrevisable, al órgano judicial que resuelve el litigio, por lo que ninguna vulneración existe de los derechos garantizados por el art. 24.1 CE cuando el Juez o Tribunal no alberga dudas sobre la constitucionalidad de la norma foral fiscal aplicable al caso concreto y decide por ello, en contra de la opinión del justiciable, no plantear la cuestión al Tribunal Constitucional que se le solicita (SSTC 58/2004, de 19 de abril, FJ 10; 84/2008, de 21 de julio, FJ 5; 26/2009, de 26 de enero, FJ 2, y 212/2014, de 18 de diciembre, FJ 3). Ahora bien, “el que esta potestad de los Jueces y Tribunales esté configurada de manera exclusiva no significa, en modo alguno, que no deba ser exteriorizado, de manera suficiente y adecuada, el razonamiento que, desde la perspectiva tanto fáctica como jurídica, ha llevado al órgano judicial a la decisión de plantear o no dicha cuestión de inconstitucionalidad, pues no cabe olvidar que la exigencia de motivación de las Sentencias tiene rango constitucional (art. 120 CE)” (STC 35/2002, de 11 de febrero, FJ 3).</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La Sentencia núm. 486/2012 de la Sección Primera de la Sala de lo Contencioso-Administrativo del Tribunal Superior de Justicia del País Vasco de fecha 19 de junio de 2012, objeto del presente proceso constitucional, rechaza tanto entrar a conocer los vicios de inconstitucionalidad que la parte recurrente imputaba a la Norma Foral 14/1991, de 27 de diciembre, del impuesto sobre el patrimonio, como plantear una cuestión prejudicial de validez ante el Tribunal Constitucional respecto de la misma, con fundamento en su falta de competencia para conocer sobre la validez de las normas forales fiscales </w:t>
      </w:r>
      <w:r w:rsidRPr="00AC56D6">
        <w:rPr>
          <w:i/>
        </w:rPr>
        <w:t>ex</w:t>
      </w:r>
      <w:r>
        <w:t xml:space="preserve"> art. 3 d) LJCA (tras la redacción dada por la Ley Orgánica 1/2010).</w:t>
      </w:r>
    </w:p>
    <w:p w:rsidR="00AC56D6" w:rsidRDefault="00AC56D6" w:rsidP="00AC56D6">
      <w:pPr>
        <w:pStyle w:val="TextoNormal"/>
      </w:pPr>
    </w:p>
    <w:p w:rsidR="00AC56D6" w:rsidRDefault="00AC56D6" w:rsidP="00AC56D6">
      <w:pPr>
        <w:pStyle w:val="TextoNormal"/>
      </w:pPr>
      <w:r>
        <w:t>A la vista de lo expuesto es claro que hubo una dejación de funciones por parte del órgano judicial, el cual debió entrar a controlar la validez constitucional de la Norma Foral 14/1991, indirectamente impugnada, para concluir, bien su validez y, con fundamento, en la misma, considerar innecesario plantear una cuestión prejudicial ante este Tribunal Constitucional, bien su eventual invalidez y, en consecuencia para poder no aplicarla, la obligación de suscitar la correspondiente cuestión de validez. Sin embargo, el órgano judicial soslaya cualquier pronunciamiento sobre la validez de la Norma Foral 14/1991 y, sin más fundamento, inadmite (aunque formalmente desestima) el recurso articulado por la parte actora, dejando así su pretensión sin juzgar.</w:t>
      </w:r>
    </w:p>
    <w:p w:rsidR="00AC56D6" w:rsidRDefault="00AC56D6" w:rsidP="00AC56D6">
      <w:pPr>
        <w:pStyle w:val="TextoNormal"/>
      </w:pPr>
    </w:p>
    <w:p w:rsidR="00AC56D6" w:rsidRDefault="00AC56D6" w:rsidP="00AC56D6">
      <w:pPr>
        <w:pStyle w:val="TextoNormal"/>
      </w:pPr>
      <w:r>
        <w:lastRenderedPageBreak/>
        <w:t>Es obligado recordar que aun cuando los derechos y garantías previstos en el artículo 24 CE ni garantizan la justicia de la decisión o la corrección jurídica de la actuación o interpretación llevada a cabo por los órganos judiciales comunes, pues no existe un derecho al acierto, ni tampoco aseguran la satisfacción de la pretensión de ninguna de las partes del proceso, lo que en todo caso sí aseguran es el derecho a que las pretensiones se desenvuelvan y conozcan en el proceso establecido al efecto, con observancia de las garantías constitucionales que permitan el derecho de defensa, y a que finalice con una resolución fundada en Derecho, la cual podrá ser favorable o adversa a las pretensiones ejercitadas (STC 173/2002, de 9 de octubre, FJ 8). El art. 24 CE impone a los órganos judiciales la obligación de dictar resoluciones fundadas en Derecho, no pudiendo considerarse cumplida esta exigencia con la mera emisión de una declaración de voluntad en un sentido u otro, sino que debe ser consecuencia de una exégesis racional del ordenamiento y no fruto de la arbitrariedad. No basta, pues, con obtener una respuesta motivada, sino que, además, ésta ha tener contenido jurídico y no resultar arbitraria. Y una resolución judicial puede tacharse de arbitraria cuando, aun constatada la existencia formal de una argumentación, la misma no es expresión de la administración de justicia sino simple apariencia de la misma por ser fruto de un mero voluntarismo judicial o expresar un proceso deductivo irracional o absurdo (SSTC 148/1994, de 12 de mayo, FJ 4; 244/1994, de 15 de septiembre, FJ 2; 54/1997, de 17 de marzo, FJ 3; 160/1997, de 2 de octubre, FJ 7, y 173/2002, de 9 de octubre, FJ 6).</w:t>
      </w:r>
    </w:p>
    <w:p w:rsidR="00AC56D6" w:rsidRDefault="00AC56D6" w:rsidP="00AC56D6">
      <w:pPr>
        <w:pStyle w:val="TextoNormal"/>
      </w:pPr>
    </w:p>
    <w:p w:rsidR="00AC56D6" w:rsidRDefault="00AC56D6" w:rsidP="00AC56D6">
      <w:pPr>
        <w:pStyle w:val="TextoNormal"/>
      </w:pPr>
      <w:r>
        <w:t>Pues bien, no cabe duda, como denuncia la parte demandante y aprecia el Ministerio Fiscal, que la resolución judicial impugnada, aunque cuenta formalmente con una motivación, carece de contenido jurídico al expresar un proceso deductivo irracional.</w:t>
      </w:r>
    </w:p>
    <w:p w:rsidR="00AC56D6" w:rsidRDefault="00AC56D6" w:rsidP="00AC56D6">
      <w:pPr>
        <w:pStyle w:val="TextoNormal"/>
      </w:pPr>
    </w:p>
    <w:p w:rsidR="00AC56D6" w:rsidRDefault="00AC56D6" w:rsidP="00AC56D6">
      <w:pPr>
        <w:pStyle w:val="TextoNormal"/>
      </w:pPr>
      <w:r w:rsidRPr="00AC56D6">
        <w:rPr>
          <w:rStyle w:val="NumeroAFNegritaCaracter"/>
        </w:rPr>
        <w:t>4</w:t>
      </w:r>
      <w:r>
        <w:t>. Habiendo evitado el órgano judicial pronunciarse sobre el fondo del asunto sometido a su consideración, so pretexto de su propia incompetencia, con fundamento en una motivación irrazonable, es obligado concluir que la decisión judicial cuestionada, como señala el Ministerio Fiscal, ha vulnerado el derecho de la parte demandante de amparo a la tutela judicial efectiva sin indefensión (art. 24.1 CE) y, por tanto, ello ha de conducir a la estimación del presente recurso de amparo.</w:t>
      </w:r>
    </w:p>
    <w:p w:rsidR="00AC56D6" w:rsidRDefault="00AC56D6" w:rsidP="00AC56D6">
      <w:pPr>
        <w:pStyle w:val="TextoNormal"/>
      </w:pPr>
    </w:p>
    <w:p w:rsidR="00AC56D6" w:rsidRDefault="00AC56D6" w:rsidP="00AC56D6">
      <w:pPr>
        <w:pStyle w:val="TextoNormal"/>
      </w:pPr>
      <w:r>
        <w:t xml:space="preserve">La parte actora ha impugnado en el presente proceso constitucional exclusivamente la Sentencia de la Sección Primera de la Sala de lo Contencioso-Administrativo del Tribunal Superior de Justicia del País Vasco de fecha 19 de junio de 2012, que es la que le imputa la lesión de su derecho a la tutela judicial efectiva sin indefensión. No obstante, fruto de la exigencia del art. 44.1 a) LOTC relativa a la necesidad de que se hayan agotado todos los medios de impugnación previstos por las normas procesales para el caso concreto dentro de la vía judicial, promovió contra esa resolución judicial un incidente de nulidad de actuaciones que fue rechazado, </w:t>
      </w:r>
      <w:r w:rsidRPr="00AC56D6">
        <w:rPr>
          <w:i/>
        </w:rPr>
        <w:t>a limine</w:t>
      </w:r>
      <w:r>
        <w:t>, por providencia de la misma Sala y Sección de fecha 27 de septiembre de 2012.</w:t>
      </w:r>
    </w:p>
    <w:p w:rsidR="00AC56D6" w:rsidRDefault="00AC56D6" w:rsidP="00AC56D6">
      <w:pPr>
        <w:pStyle w:val="TextoNormal"/>
      </w:pPr>
    </w:p>
    <w:p w:rsidR="00AC56D6" w:rsidRDefault="00AC56D6" w:rsidP="00AC56D6">
      <w:pPr>
        <w:pStyle w:val="TextoNormal"/>
      </w:pPr>
      <w:r>
        <w:t xml:space="preserve">La constatación de la vulneración del derecho a la tutela judicial efectiva sin indefensión y, por tanto, la estimación del recurso de amparo interpuesto debe conducir necesariamente, en orden a la restitución de la recurrente en el pleno ejercicio de su derecho, a la anulación tanto de la Sentencia núm. 486/2012 de la Sección Primera de la Sala de lo Contencioso-Administrativo del Tribunal Superior de Justicia del País Vasco de fecha 19 de junio de 2012, recaída en el recurso contencioso-administrativo núm. 649-2011, así como de la providencia del mismo órgano judicial de fecha 27 de septiembre de 2012, que inadmitió el </w:t>
      </w:r>
      <w:r>
        <w:lastRenderedPageBreak/>
        <w:t>incidente de nulidad de actuaciones promovido contra la anterior, con retroacción de las actuaciones al momento inmediatamente anterior al dictado de la referida Sentencia, para que por el órgano judicial se pronuncie una nueva resolución que sea respetuosa con el derecho fundamental vulnerado.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Estimar la demanda de amparo promovida por doña María Josefa Garmendia Larrañaga, y, en consecuencia:</w:t>
      </w:r>
    </w:p>
    <w:p w:rsidR="00AC56D6" w:rsidRDefault="00AC56D6" w:rsidP="00AC56D6">
      <w:pPr>
        <w:pStyle w:val="TextoNormal"/>
      </w:pPr>
    </w:p>
    <w:p w:rsidR="00AC56D6" w:rsidRDefault="00AC56D6" w:rsidP="00AC56D6">
      <w:pPr>
        <w:pStyle w:val="TextoNormal"/>
      </w:pPr>
      <w:r>
        <w:t>1º Declarar vulnerado el derecho fundamental de la recurrente a la tutela judicial efectiva sin indefensión (art. 24.1 CE).</w:t>
      </w:r>
    </w:p>
    <w:p w:rsidR="00AC56D6" w:rsidRDefault="00AC56D6" w:rsidP="00AC56D6">
      <w:pPr>
        <w:pStyle w:val="TextoNormal"/>
      </w:pPr>
    </w:p>
    <w:p w:rsidR="00AC56D6" w:rsidRDefault="00AC56D6" w:rsidP="00AC56D6">
      <w:pPr>
        <w:pStyle w:val="TextoNormal"/>
      </w:pPr>
      <w:r>
        <w:t>2º Restablecerla en su derecho y, a tal fin, declarar la nulidad de la Sentencia núm. 486/2012 de la Sección Primera de la Sala de lo Contencioso-Administrativo del Tribunal Superior de Justicia del País Vasco de fecha 19 de junio de 2012, dictada en el recurso contencioso-administrativo núm. 649-2011, así como de la providencia del mismo órgano judicial de fecha 27 de septiembre de 2012, que inadmitió el incidente de nulidad de actuaciones promovido contra la anterior.</w:t>
      </w:r>
    </w:p>
    <w:p w:rsidR="00AC56D6" w:rsidRDefault="00AC56D6" w:rsidP="00AC56D6">
      <w:pPr>
        <w:pStyle w:val="TextoNormal"/>
      </w:pPr>
    </w:p>
    <w:p w:rsidR="00AC56D6" w:rsidRDefault="00AC56D6" w:rsidP="00AC56D6">
      <w:pPr>
        <w:pStyle w:val="TextoNormal"/>
      </w:pPr>
      <w:r>
        <w:t>3º Retrotraer las actuaciones al momento inmediatamente anterior al pronunciamiento de la primera de dichas resoluciones judiciales, para que por el citado órgano judicial se dicte otra resolución que resulte respetuosa con el derecho fundamental vulnerado.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dos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79" w:name="SENTENCIA_2015_223"/>
      <w:r>
        <w:lastRenderedPageBreak/>
        <w:t>SENTENCIA 223/2015, de 2 de noviembre de 2015</w:t>
      </w:r>
    </w:p>
    <w:bookmarkEnd w:id="79"/>
    <w:p w:rsidR="00AC56D6" w:rsidRDefault="00AC56D6" w:rsidP="00AC56D6">
      <w:pPr>
        <w:pStyle w:val="TtuloResolucin"/>
      </w:pPr>
      <w:r>
        <w:t>Sala Segunda</w:t>
      </w:r>
    </w:p>
    <w:p w:rsidR="00AC56D6" w:rsidRDefault="00AC56D6" w:rsidP="00AC56D6">
      <w:pPr>
        <w:pStyle w:val="TtuloBOE"/>
      </w:pPr>
      <w:r>
        <w:t>(BOE núm. 296, de 11 de diciembre de 2015)</w:t>
      </w:r>
    </w:p>
    <w:p w:rsidR="00AC56D6" w:rsidRDefault="00AC56D6" w:rsidP="00AC56D6">
      <w:pPr>
        <w:pStyle w:val="TextoNormalCentrado"/>
      </w:pPr>
      <w:r>
        <w:t>ECLI:ES:TC:2015:223</w:t>
      </w:r>
    </w:p>
    <w:p w:rsidR="00AC56D6" w:rsidRDefault="00AC56D6" w:rsidP="00AC56D6">
      <w:pPr>
        <w:pStyle w:val="TextoNormalCentrado"/>
      </w:pPr>
    </w:p>
    <w:p w:rsidR="00AC56D6" w:rsidRDefault="00AC56D6" w:rsidP="00AC56D6">
      <w:pPr>
        <w:pStyle w:val="SntesisDescriptiva"/>
      </w:pPr>
      <w:r>
        <w:t>Recurso de amparo 1167-2013. Promovido por don Adolfo Córdoba Vargas respecto de la Sentencia dictada por la Audiencia Provincial de Baleares que le condenó por un delito de robo con violencia o intimidación y una falta de lesiones.</w:t>
      </w:r>
    </w:p>
    <w:p w:rsidR="00AC56D6" w:rsidRDefault="00AC56D6" w:rsidP="00AC56D6">
      <w:pPr>
        <w:pStyle w:val="SntesisDescriptiva"/>
      </w:pPr>
    </w:p>
    <w:p w:rsidR="00AC56D6" w:rsidRDefault="00AC56D6" w:rsidP="00AC56D6">
      <w:pPr>
        <w:pStyle w:val="SntesisAnaltica"/>
      </w:pPr>
      <w:r>
        <w:t>Vulneración del derecho a la tutela judicial efectiva (reforma peyorativa): Sentencia que, estimando parcialmente el recurso de apelación interpuesto exclusivamente por el acusado, agrava la pena impuesta.</w:t>
      </w:r>
    </w:p>
    <w:p w:rsidR="00AC56D6" w:rsidRDefault="00AC56D6" w:rsidP="00AC56D6">
      <w:pPr>
        <w:pStyle w:val="SntesisAnaltica"/>
      </w:pPr>
    </w:p>
    <w:p w:rsidR="00AC56D6" w:rsidRDefault="00AC56D6" w:rsidP="00AC56D6">
      <w:pPr>
        <w:pStyle w:val="Extracto"/>
      </w:pPr>
      <w:r>
        <w:t>1.</w:t>
      </w:r>
      <w:r>
        <w:tab/>
        <w:t>En virtud del recurso de apelación único del condenado, en que solicitaba que se le absolviera del delito de robo con fuerza en las cosas y se mantuviera sólo la condena por un único delito de robo con violencia o intimidación atenuado, el apelante resultó condenado por el tipo básico de este último con una pena que doblaba la inicialmente impuesta, por lo que obtuvo una agravación de la calificación jurídica no solicitada en segunda instancia que lesionó la interdicción de reforma peyorativa como parte del derecho a la tutela judicial efectiva [FJ 5].</w:t>
      </w:r>
    </w:p>
    <w:p w:rsidR="00AC56D6" w:rsidRDefault="00AC56D6" w:rsidP="00AC56D6">
      <w:pPr>
        <w:pStyle w:val="Extracto"/>
      </w:pPr>
    </w:p>
    <w:p w:rsidR="00AC56D6" w:rsidRDefault="00AC56D6" w:rsidP="00AC56D6">
      <w:pPr>
        <w:pStyle w:val="Extracto"/>
      </w:pPr>
      <w:r>
        <w:t>2.</w:t>
      </w:r>
      <w:r>
        <w:tab/>
        <w:t xml:space="preserve">En el marco de la apelación, el Tribunal </w:t>
      </w:r>
      <w:r w:rsidRPr="00AC56D6">
        <w:rPr>
          <w:i/>
        </w:rPr>
        <w:t xml:space="preserve">ad quem </w:t>
      </w:r>
      <w:r>
        <w:t>está limitado a ejercitar su actividad jurisdiccional sujetándose a las peticiones de los recurrentes, por lo que si existe un único apelante no cabe modificar la resolución recurrida empeorando su situación, sino que únicamente podrá ser confirmada o reformada en beneficio del recurrente [FJ 4].</w:t>
      </w:r>
    </w:p>
    <w:p w:rsidR="00AC56D6" w:rsidRDefault="00AC56D6" w:rsidP="00AC56D6">
      <w:pPr>
        <w:pStyle w:val="Extracto"/>
      </w:pPr>
    </w:p>
    <w:p w:rsidR="00AC56D6" w:rsidRDefault="00AC56D6" w:rsidP="00AC56D6">
      <w:pPr>
        <w:pStyle w:val="Extracto"/>
      </w:pPr>
      <w:r>
        <w:t>3.</w:t>
      </w:r>
      <w:r>
        <w:tab/>
        <w:t>Ni siquiera la evidencia de una errónea calificación autoriza a los órganos judiciales ante los que se recurre a optar por la calificación correcta si ésta resulta en perjuicio de quien impugna en solitario, salvo que concurran razones de orden público procesal [FJ 4].</w:t>
      </w:r>
    </w:p>
    <w:p w:rsidR="00AC56D6" w:rsidRDefault="00AC56D6" w:rsidP="00AC56D6">
      <w:pPr>
        <w:pStyle w:val="Extracto"/>
      </w:pPr>
    </w:p>
    <w:p w:rsidR="00AC56D6" w:rsidRDefault="00AC56D6" w:rsidP="00AC56D6">
      <w:pPr>
        <w:pStyle w:val="Extracto"/>
      </w:pPr>
      <w:r>
        <w:t>4.</w:t>
      </w:r>
      <w:r>
        <w:tab/>
        <w:t xml:space="preserve">La interdicción de la reforma peyorativa constituye una proyección de la congruencia en el segundo o posterior grado jurisdiccional, que impide al órgano judicial </w:t>
      </w:r>
      <w:r w:rsidRPr="00AC56D6">
        <w:rPr>
          <w:i/>
        </w:rPr>
        <w:t xml:space="preserve">ad quem </w:t>
      </w:r>
      <w:r>
        <w:t>exceder los límites en que se plantee el recurso; de admitirse que los órganos judiciales pueden modificar de oficio en perjuicio del recurrente la resolución por él impugnada, se introduciría un elemento disuasorio para el ejercicio del derecho a los recursos legalmente establecidos en la ley incompatible con la tutela judicial efectiva (SSTC 39/2014, 162/2014) [FJ 2].</w:t>
      </w:r>
    </w:p>
    <w:p w:rsidR="00AC56D6" w:rsidRDefault="00AC56D6" w:rsidP="00AC56D6">
      <w:pPr>
        <w:pStyle w:val="Extracto"/>
      </w:pPr>
    </w:p>
    <w:p w:rsidR="00AC56D6" w:rsidRDefault="00AC56D6" w:rsidP="00AC56D6">
      <w:pPr>
        <w:pStyle w:val="Extracto"/>
      </w:pPr>
      <w:r>
        <w:t>5.</w:t>
      </w:r>
      <w:r>
        <w:tab/>
        <w:t xml:space="preserve">La especial trascendencia constitucional del recurso de amparo reside en la necesidad de aclarar la doctrina constitucional sobre el alcance de la interdicción de </w:t>
      </w:r>
      <w:r w:rsidRPr="00AC56D6">
        <w:rPr>
          <w:i/>
        </w:rPr>
        <w:t>reformatio in peius,</w:t>
      </w:r>
      <w:r>
        <w:t xml:space="preserve"> pues se trata de un supuesto no coincidente con los que anteriormente habían sido objeto de tratamiento en el Tribunal Constitucional [FJ 2].</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 xml:space="preserve">La Sala Segunda del Tribunal Constitucional, compuesta por doña Adela Asua Batarrita, Presidenta, don Fernando Valdés Dal-Ré, don Juan José González Rivas, don Pedro José </w:t>
      </w:r>
      <w:r>
        <w:lastRenderedPageBreak/>
        <w:t>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amparo núm. 1167-2013, promovido por don Adolfo Córdoba Vargas, representado por el Procurador de los Tribunales don José Fernando Lozano Moreno y asistido por el Abogado don José Javier García Oliver, contra el Auto de la Audiencia Provincial de Baleares (Sección Segunda) de 22 de enero de 2013, que no admitió a trámite el incidente de nulidad de actuaciones promovido frente a la Sentencia de 13 de noviembre de 2012, dictada en el rollo de apelación núm. 373-2011, que revocó parcialmente la Sentencia del Juzgado de lo Penal núm. 6 de Palma de Mallorca de 14 de julio de 2011, dictada en el procedimiento abreviado núm. 23-2011, condenando al recurrente como autor de un delito de robo con violencia o intimidación y una falta de lesiones. Ha intervenido el Ministerio Fiscal. Ha sido Ponente la Magistrada doña Adela Asua Batarrita,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registrado en este Tribunal el 7 de junio de 2013, el Procurador de los Tribunales don José Fernando Lozano Moreno, en nombre y representación de don Adolfo Córdoba Vargas, interpuso recurso de amparo contra las resoluciones judiciales que se citan en el encabezamiento. Por otrosí solicitó la suspensión de la ejecución de la pena.</w:t>
      </w:r>
    </w:p>
    <w:p w:rsidR="00AC56D6" w:rsidRDefault="00AC56D6" w:rsidP="00AC56D6">
      <w:pPr>
        <w:pStyle w:val="TextoNormal"/>
      </w:pPr>
    </w:p>
    <w:p w:rsidR="00AC56D6" w:rsidRDefault="00AC56D6" w:rsidP="00AC56D6">
      <w:pPr>
        <w:pStyle w:val="TextoNormal"/>
      </w:pPr>
      <w:r w:rsidRPr="00AC56D6">
        <w:rPr>
          <w:rStyle w:val="NumeroAFNegritaCaracter"/>
        </w:rPr>
        <w:t>2</w:t>
      </w:r>
      <w:r>
        <w:t>. Los hechos de los que trae causa la demanda de amparo son, en síntesis, los siguientes:</w:t>
      </w:r>
    </w:p>
    <w:p w:rsidR="00AC56D6" w:rsidRDefault="00AC56D6" w:rsidP="00AC56D6">
      <w:pPr>
        <w:pStyle w:val="TextoNormal"/>
      </w:pPr>
    </w:p>
    <w:p w:rsidR="00AC56D6" w:rsidRDefault="00AC56D6" w:rsidP="00AC56D6">
      <w:pPr>
        <w:pStyle w:val="TextoNormal"/>
      </w:pPr>
      <w:r>
        <w:t>a) El recurrente fue condenado por Sentencia del Juzgado de lo Penal núm. 6 de Palma de Mallorca de 14 de julio de 2011, dictada en el procedimiento abreviado núm. 23-2011, como autor de un delito de robo con violencia o intimidación [arts. 237 y 242.1 del Código penal (CP)], de un delito de robo con fuerza (arts. 237, 238.5 y 239 CP) y de una falta de maltrato de obra (art. 617 CP), con la concurrencia respecto a los delitos de robo de la circunstancia agravante de reincidencia del art. 22.8 CP y la circunstancia atenuante de drogadicción del art. 21.2 CP en relación con el art. 20.2 CP, a las penas de un año y dos meses de prisión, con la accesoria legal de inhabilitación especial para el ejercicio del derecho de sufragio pasivo durante el tiempo de la condena, por cada uno de los delitos de robo, y a la pena de dos días de localización permanente por la falta.</w:t>
      </w:r>
    </w:p>
    <w:p w:rsidR="00AC56D6" w:rsidRDefault="00AC56D6" w:rsidP="00AC56D6">
      <w:pPr>
        <w:pStyle w:val="TextoNormal"/>
      </w:pPr>
    </w:p>
    <w:p w:rsidR="00AC56D6" w:rsidRDefault="00AC56D6" w:rsidP="00AC56D6">
      <w:pPr>
        <w:pStyle w:val="TextoNormal"/>
      </w:pPr>
      <w:r>
        <w:t xml:space="preserve">Los hechos probados refieren que el acusado, sobre las 20:30 horas del día 26 de septiembre de 2.009 y con ánimo de enriquecimiento ilícito, abordó por la espalda a la víctima en la calle “y, cogiéndole su cartilla, le dijo ‘necesito 20,00 euros para quitarme el mono’, accediendo ella a lo anterior por temor, acudiendo a diversos cajeros … no logrando sacar </w:t>
      </w:r>
      <w:r>
        <w:lastRenderedPageBreak/>
        <w:t>dinero, motivo por el cual el acusado finalmente se abalanzó [sobre la víctima], arrebatándole así la cartilla, extrayendo posteriormente la suma de 500,00 euros, dado que había antes descubierto el número PIN de la referida cartilla”.</w:t>
      </w:r>
    </w:p>
    <w:p w:rsidR="00AC56D6" w:rsidRDefault="00AC56D6" w:rsidP="00AC56D6">
      <w:pPr>
        <w:pStyle w:val="TextoNormal"/>
      </w:pPr>
    </w:p>
    <w:p w:rsidR="00AC56D6" w:rsidRDefault="00AC56D6" w:rsidP="00AC56D6">
      <w:pPr>
        <w:pStyle w:val="TextoNormal"/>
      </w:pPr>
      <w:r>
        <w:t>En el fundamento primero se califican jurídicamente los hechos como un delito de robo con violencia o intimidación del art. 242.3 CP, de una falta de maltrato de obra del art. 617.2 CP y de un delito de robo con fuerza de los arts. 238.5 y 239 CP. La Juzgadora razona que los hechos son constitutivos del delito de robo con violencia o intimidación del art. 242.3 CP (en su redacción previa a la reforma introducida por la Ley Orgánica 5/2010), “atendida la intimidación ejercida primero y la violencia, con empujón, empleada después, de modo que el estado de temor y de limitación de la libertad para la perjudicada presidió toda la escena, y fue ese y no otro el motivo de que primero accediese a la introducción de la libreta, arrebatándosela finalmente el acusado haciendo uso de violencia, dejándola tirada en plena vía pública”, “sin perjuicio de que, atendida la falta de parte objetivo de lesiones que acredite su entidad, considere que los hechos debe[n] quedar incardinados en el artículo 242, apartado 3 CP”. En el fundamento jurídico 3, tras constatar que concurre respecto a los delitos de robo una circunstancia agravante (reincidencia) y una circunstancia atenuante (drogadicción), se motiva la individualización de la pena como sigue: “en atención a lo dispuesto en los artículos 242.3 y 66.1.6 CP, considerando que no son irrelevantes las circunstancias personales del delincuente y que no son de especial gravedad las del hecho, considero que procede imponer, por el primer delito, la pena de un año y dos meses de prisión, por la falta, la de localización permanente de dos días y, por el segundo delito, la de un año y dos meses de prisión, en ambos casos con la accesoria de inhabilitación especial para el derecho de sufragio pasivo durante el mismo tiempo”.</w:t>
      </w:r>
    </w:p>
    <w:p w:rsidR="00AC56D6" w:rsidRDefault="00AC56D6" w:rsidP="00AC56D6">
      <w:pPr>
        <w:pStyle w:val="TextoNormal"/>
      </w:pPr>
    </w:p>
    <w:p w:rsidR="00AC56D6" w:rsidRDefault="00AC56D6" w:rsidP="00AC56D6">
      <w:pPr>
        <w:pStyle w:val="TextoNormal"/>
      </w:pPr>
      <w:r>
        <w:t>b) La defensa del recurrente interpuso recurso de apelación planteando (i) la nulidad de actuaciones; (ii) en su defecto, la vulneración del derecho a la presunción de inocencia; (iii) y, con carácter subsidiario a los dos motivos anteriores, la aplicación indebida del delito de robo con fuerza, al estimar que debía quedar absorbido por el delito de robo con violencia o intimidación por el que ha sido condenado por cuanto “no pueden diferenciarse las dos acciones de la sustracción de la cartilla y la extracción del dinero como si de dos hechos diferentes y relevantes penalmente se trataran”. En el suplico se consigna de forma subsidiaria que se acuerde “estimar el motivo tercero del recurso de apelación, anulando la condena del Sr. Córdoba por el delito de robo con fuerza, manteniendo la condena por el delito de robo con violencia o intimidación y la falta de maltrato de obras, en los términos referidos en la Sentencia de instancia”.</w:t>
      </w:r>
    </w:p>
    <w:p w:rsidR="00AC56D6" w:rsidRDefault="00AC56D6" w:rsidP="00AC56D6">
      <w:pPr>
        <w:pStyle w:val="TextoNormal"/>
      </w:pPr>
    </w:p>
    <w:p w:rsidR="00AC56D6" w:rsidRDefault="00AC56D6" w:rsidP="00AC56D6">
      <w:pPr>
        <w:pStyle w:val="TextoNormal"/>
      </w:pPr>
      <w:r>
        <w:t>El Ministerio Fiscal, por escrito de 24 de octubre de 2011, impugna el recurso de apelación “y dice que procede la confirmación de la Sentencia recurrida por sus propios fundamentos y recoger la petición de este Ministerio, si bien modifica la extensión de la pena, introduciendo una circunstancia atenuante, extremo al que no tenemos nada que objetar”.</w:t>
      </w:r>
    </w:p>
    <w:p w:rsidR="00AC56D6" w:rsidRDefault="00AC56D6" w:rsidP="00AC56D6">
      <w:pPr>
        <w:pStyle w:val="TextoNormal"/>
      </w:pPr>
    </w:p>
    <w:p w:rsidR="00AC56D6" w:rsidRDefault="00AC56D6" w:rsidP="00AC56D6">
      <w:pPr>
        <w:pStyle w:val="TextoNormal"/>
      </w:pPr>
      <w:r>
        <w:t xml:space="preserve">El recurso de apelación fue tramitado con el núm. de rollo 373-2011 por la Sección Segunda de la Audiencia Provincial de Baleares y se estimó parcialmente por Sentencia de 13 de noviembre de 2012, que condenó al ahora demandante de amparo como autor un delito de robo con violencia o intimidación, con la concurrencia de las circunstancias agravante de reincidencia y atenuante de drogadicción, a la pena de dos años y cuatro meses de prisión </w:t>
      </w:r>
      <w:r>
        <w:lastRenderedPageBreak/>
        <w:t>e inhabilitación especial para el ejercicio del derecho de sufragio pasivo durante el tiempo de la condena, dejando inalterados el resto de pronunciamientos.</w:t>
      </w:r>
    </w:p>
    <w:p w:rsidR="00AC56D6" w:rsidRDefault="00AC56D6" w:rsidP="00AC56D6">
      <w:pPr>
        <w:pStyle w:val="TextoNormal"/>
      </w:pPr>
    </w:p>
    <w:p w:rsidR="00AC56D6" w:rsidRDefault="00AC56D6" w:rsidP="00AC56D6">
      <w:pPr>
        <w:pStyle w:val="TextoNormal"/>
      </w:pPr>
      <w:r>
        <w:t>Tras rechazar los motivos de nulidad del procedimiento y de lesión del derecho a la presunción de inocencia, la Sentencia aquí impugnada dice en el fundamento jurídico segundo: “Distinta suerte debe correr sin embargo el motivo relativo a la incorrecta calificación jurídica de los hechos por cuanto esta Sala considera que en el proceder del sujeto activo se aprecia una progresión delictiva que nos debe llevar a entender producido lo que, en términos jurídicos, sería una única acción, por la proximidad temporal y espacial en la que fueron perpetrados, primero, el robo con violencia de la cartilla bancaria y después, las dos sustracciones de dinero previa introducción del número PIN en distintos cajeros automáticos, tanto esa misma noche y como al día siguiente, teniendo la acción un mismo sujeto pasivo y finalidad criminal consistente en el apoderamiento del dinero de la denunciante, no obstante lo cual debe permanecer inalterada la pena global de PRISIÓN recaída en la sentencia de DOS AÑOS Y CUATRO MESES, en la medida en que los referidos hechos se encuentran castigados en el artículo 242 del Código Penal con la pena de prisión de dos a cinco años, habiendo quedado aquélla concretada en términos de razonabilidad, tal y como exige el artículo 66.7 del Código Penal cuando, como sucede en el caso de Autos, concurren agravantes y atenuantes … sin que la pena pueda ser rebajada en un grado como pretende la defensa por aplicación del subtipo atenuado del artículo 242.3 toda vez que la violencia o intimidación ejercida sobre la víctima, que fue llevada a varios cajeros para intentar sacar dinero obligada por una persona que sufría un síndrome de abstinencia, no puede recibir la consideración de menor entidad”.</w:t>
      </w:r>
    </w:p>
    <w:p w:rsidR="00AC56D6" w:rsidRDefault="00AC56D6" w:rsidP="00AC56D6">
      <w:pPr>
        <w:pStyle w:val="TextoNormal"/>
      </w:pPr>
    </w:p>
    <w:p w:rsidR="00AC56D6" w:rsidRDefault="00AC56D6" w:rsidP="00AC56D6">
      <w:pPr>
        <w:pStyle w:val="TextoNormal"/>
      </w:pPr>
      <w:r>
        <w:t>c) El recurrente interpuso incidente de nulidad de actuaciones contra la Sentencia de la Audiencia Provincial por vulneración del derecho fundamental a la tutela judicial efectiva, en su vertiente de no padecer una reforma peyorativa.</w:t>
      </w:r>
    </w:p>
    <w:p w:rsidR="00AC56D6" w:rsidRDefault="00AC56D6" w:rsidP="00AC56D6">
      <w:pPr>
        <w:pStyle w:val="TextoNormal"/>
      </w:pPr>
    </w:p>
    <w:p w:rsidR="00AC56D6" w:rsidRDefault="00AC56D6" w:rsidP="00AC56D6">
      <w:pPr>
        <w:pStyle w:val="TextoNormal"/>
      </w:pPr>
      <w:r>
        <w:t>El incidente de nulidad fue inadmitido por la Sección Segunda de la Audiencia Provincial de Baleares por providencia de 16 de enero de 2013 y luego por Auto de 22 de enero de 2013, con idéntica motivación en ambas resoluciones: “toda vez que los motivos aducidos al efecto no son causa de nulidad de actuaciones sino en cualquier caso de recurso de amparo para cuyo acceso no es preceptivo agotar el previo incidente de nulidad, además de no ajustarse los argumentos de la defensa a los términos de lo dictaminado en sentencia, en la que el tipo de robo con violencia o intimidación por el que resultó condenado el encausado, fue el básico del 242.1 y no el de menor entidad del párrafo tercero del precepto penal de referencia, de modo que la pena impuesta en sentencia ha sido determinada conforme a Derecho”.</w:t>
      </w:r>
    </w:p>
    <w:p w:rsidR="00AC56D6" w:rsidRDefault="00AC56D6" w:rsidP="00AC56D6">
      <w:pPr>
        <w:pStyle w:val="TextoNormal"/>
      </w:pPr>
    </w:p>
    <w:p w:rsidR="00AC56D6" w:rsidRDefault="00AC56D6" w:rsidP="00AC56D6">
      <w:pPr>
        <w:pStyle w:val="TextoNormal"/>
      </w:pPr>
      <w:r w:rsidRPr="00AC56D6">
        <w:rPr>
          <w:rStyle w:val="NumeroAFNegritaCaracter"/>
        </w:rPr>
        <w:t>3</w:t>
      </w:r>
      <w:r>
        <w:t>. El recurrente aduce en su demanda de amparo que se ha vulnerado su derecho a la tutela judicial efectiva reconocido en el art. 24.1 CE, en su vertiente de no padecer una reforma peyorativa, para lo que invoca la doctrina de este Tribunal con cita de las SSTC 84/1985, de 8 de julio, y 126/2010, de 29 de noviembre.</w:t>
      </w:r>
    </w:p>
    <w:p w:rsidR="00AC56D6" w:rsidRDefault="00AC56D6" w:rsidP="00AC56D6">
      <w:pPr>
        <w:pStyle w:val="TextoNormal"/>
      </w:pPr>
    </w:p>
    <w:p w:rsidR="00AC56D6" w:rsidRDefault="00AC56D6" w:rsidP="00AC56D6">
      <w:pPr>
        <w:pStyle w:val="TextoNormal"/>
      </w:pPr>
      <w:r>
        <w:t xml:space="preserve">El recurso, tras esas referencias, describe la actuación de la Audiencia Provincial, que estimó el motivo del recurso en el sentido de entender que los hechos son constitutivos de un solo delito de robo con violencia o intimidación, pero aplicó el tipo básico previsto en el art. 242.1 CP y no la modalidad atenuada del art. 242.3 CP que había aplicado la Juzgadora </w:t>
      </w:r>
      <w:r>
        <w:lastRenderedPageBreak/>
        <w:t>e impuso una pena por tal delito de dos años y cuatro meses de prisión cuando la pena en instancia, conforme al art. 242.3 CP, se fijó en un año y dos meses de prisión. Concluye que “el Juzgado consideró aplicable el subtipo atenuado que en segunda instancia se niega, lo que supone una agravación de la situación del recurrente producida por su propio recurso, ya que el Ministerio Fiscal no impugnó la Sentencia”.</w:t>
      </w:r>
    </w:p>
    <w:p w:rsidR="00AC56D6" w:rsidRDefault="00AC56D6" w:rsidP="00AC56D6">
      <w:pPr>
        <w:pStyle w:val="TextoNormal"/>
      </w:pPr>
    </w:p>
    <w:p w:rsidR="00AC56D6" w:rsidRDefault="00AC56D6" w:rsidP="00AC56D6">
      <w:pPr>
        <w:pStyle w:val="TextoNormal"/>
      </w:pPr>
      <w:r>
        <w:t>El demandante recuerda que la aplicación del tipo atenuado fue decisión de la Sentencia de instancia, pues, aunque no se refleje así en el fallo, a él se apela en el fundamento tercero al individualizar la pena, que sólo desde su aplicación se entiende, pues, una vez compensadas las circunstancias modificativas de reincidencia y drogadicción, la pena mínima prevista en el tipo básico del art. 242.1 CP sería de dos años, mientras que la Juzgadora impuso la pena de un año y dos meses de prisión que corresponde al marco penal del tipo atenuado del art. 242.3 CP —uno a dos años de prisión como pena inferior en grado a la del tipo básico—. Puntualiza el demandante, con cita de la STC 203/2007, que no se sostiene el argumento de que no hay un empeoramiento en tanto que la pena global se mantiene, pues se ha revisado de oficio la aplicación de la atenuación penal cuando el único recurrente —él mismo— solicitaba su mantenimiento.</w:t>
      </w:r>
    </w:p>
    <w:p w:rsidR="00AC56D6" w:rsidRDefault="00AC56D6" w:rsidP="00AC56D6">
      <w:pPr>
        <w:pStyle w:val="TextoNormal"/>
      </w:pPr>
    </w:p>
    <w:p w:rsidR="00AC56D6" w:rsidRDefault="00AC56D6" w:rsidP="00AC56D6">
      <w:pPr>
        <w:pStyle w:val="TextoNormal"/>
      </w:pPr>
      <w:r w:rsidRPr="00AC56D6">
        <w:rPr>
          <w:rStyle w:val="NumeroAFNegritaCaracter"/>
        </w:rPr>
        <w:t>4</w:t>
      </w:r>
      <w:r>
        <w:t>. La Sala Segunda de este Tribunal, por providencia de 10 de junio de 2014, acordó admitir a trámite la demanda de amparo y, en aplicación de lo dispuesto en el art. 51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w:t>
      </w:r>
    </w:p>
    <w:p w:rsidR="00AC56D6" w:rsidRDefault="00AC56D6" w:rsidP="00AC56D6">
      <w:pPr>
        <w:pStyle w:val="TextoNormal"/>
      </w:pPr>
    </w:p>
    <w:p w:rsidR="00AC56D6" w:rsidRDefault="00AC56D6" w:rsidP="00AC56D6">
      <w:pPr>
        <w:pStyle w:val="TextoNormal"/>
      </w:pPr>
      <w:r>
        <w:t>Asimismo se acordó la formación de pieza separada de suspensión. Por Auto de 21 de julio de 2014 la Sala Segunda de este Tribunal acordó denegar la suspensión de la ejecución de la pena privativa de libertad.</w:t>
      </w:r>
    </w:p>
    <w:p w:rsidR="00AC56D6" w:rsidRDefault="00AC56D6" w:rsidP="00AC56D6">
      <w:pPr>
        <w:pStyle w:val="TextoNormal"/>
      </w:pPr>
    </w:p>
    <w:p w:rsidR="00AC56D6" w:rsidRDefault="00AC56D6" w:rsidP="00AC56D6">
      <w:pPr>
        <w:pStyle w:val="TextoNormal"/>
      </w:pPr>
      <w:r w:rsidRPr="00AC56D6">
        <w:rPr>
          <w:rStyle w:val="NumeroAFNegritaCaracter"/>
        </w:rPr>
        <w:t>5</w:t>
      </w:r>
      <w:r>
        <w:t>. La Secretaría de Justicia de la Sala Segunda de este Tribunal, por diligencia de 1 de septiembre de 2014, acordó dar vista de las actuaciones a la parte recurrente y al Ministerio Fiscal por plazo común de veinte días para presentar las alegaciones que estimasen pertinentes, de conformidad con el art. 52 LOTC.</w:t>
      </w:r>
    </w:p>
    <w:p w:rsidR="00AC56D6" w:rsidRDefault="00AC56D6" w:rsidP="00AC56D6">
      <w:pPr>
        <w:pStyle w:val="TextoNormal"/>
      </w:pPr>
    </w:p>
    <w:p w:rsidR="00AC56D6" w:rsidRDefault="00AC56D6" w:rsidP="00AC56D6">
      <w:pPr>
        <w:pStyle w:val="TextoNormal"/>
      </w:pPr>
      <w:r w:rsidRPr="00AC56D6">
        <w:rPr>
          <w:rStyle w:val="NumeroAFNegritaCaracter"/>
        </w:rPr>
        <w:t>6</w:t>
      </w:r>
      <w:r>
        <w:t>. El recurrente, en escrito registrado el 24 de septiembre de 2014, presentó alegaciones ratificando las expuestas en el escrito de interposición de la demanda.</w:t>
      </w:r>
    </w:p>
    <w:p w:rsidR="00AC56D6" w:rsidRDefault="00AC56D6" w:rsidP="00AC56D6">
      <w:pPr>
        <w:pStyle w:val="TextoNormal"/>
      </w:pPr>
    </w:p>
    <w:p w:rsidR="00AC56D6" w:rsidRDefault="00AC56D6" w:rsidP="00AC56D6">
      <w:pPr>
        <w:pStyle w:val="TextoNormal"/>
      </w:pPr>
      <w:r w:rsidRPr="00AC56D6">
        <w:rPr>
          <w:rStyle w:val="NumeroAFNegritaCaracter"/>
        </w:rPr>
        <w:t>7</w:t>
      </w:r>
      <w:r>
        <w:t>. El Ministerio Fiscal, en escrito registrado el 29 de septiembre de 2014, interesó que se otorgara el amparo por vulneración del derecho a la tutela judicial efectiva y del principio acusatorio (arts. 24.1 y 2 CE), con anulación de las resoluciones impugnadas y retroacción de las actuaciones al momento inmediatamente anterior al dictado de la Sentencia de la Audiencia Provincial a fin de que se dicte nueva sentencia respetuosa con los derechos fundamentales del demandante vulnerados.</w:t>
      </w:r>
    </w:p>
    <w:p w:rsidR="00AC56D6" w:rsidRDefault="00AC56D6" w:rsidP="00AC56D6">
      <w:pPr>
        <w:pStyle w:val="TextoNormal"/>
      </w:pPr>
    </w:p>
    <w:p w:rsidR="00AC56D6" w:rsidRDefault="00AC56D6" w:rsidP="00AC56D6">
      <w:pPr>
        <w:pStyle w:val="TextoNormal"/>
      </w:pPr>
      <w:r>
        <w:t xml:space="preserve">Tras una amplia exposición de los antecedentes, del contenido de la demanda de amparo y de las argumentaciones de las distintas resoluciones judiciales, el Ministerio Fiscal expone la doctrina de este Tribunal Constitucional sobre la prohibición de reforma peyorativa en </w:t>
      </w:r>
      <w:r>
        <w:lastRenderedPageBreak/>
        <w:t>materia de recursos con relación a los derechos a la tutela judicial efectiva y a un proceso con todas las garantías (principio acusatorio), con cita de la STC 126/2010, FJ 3, invocada en el recurso, y de la STC 133/2014, FJ 7. A la luz de tales elementos defiende que procede el otorgamiento del amparo, al ser ciertos tanto los hechos como las argumentaciones jurídicas en que se sustenta la demanda. En particular, considera el Ministerio Fiscal que la Sección Segunda de la Audiencia Provincial de Baleares se atuvo para doblar la extensión de la pena impuesta en la instancia por el delito de robo con violencia o intimidación a que en el fallo de la Sentencia de instancia se omitió toda referencia al tipo atenuado del art. 242.3 CP; pero —contrapone— con ello obvió tanto que la Magistrada de lo Penal en el fundamento jurídico 3 afirmó de modo rotundo y motivado que el tipo aplicable era el tipo atenuado del art. 242.3 CP, como que sólo esa aplicación explica las penas impuestas.</w:t>
      </w:r>
    </w:p>
    <w:p w:rsidR="00AC56D6" w:rsidRDefault="00AC56D6" w:rsidP="00AC56D6">
      <w:pPr>
        <w:pStyle w:val="TextoNormal"/>
      </w:pPr>
    </w:p>
    <w:p w:rsidR="00AC56D6" w:rsidRDefault="00AC56D6" w:rsidP="00AC56D6">
      <w:pPr>
        <w:pStyle w:val="TextoNormal"/>
      </w:pPr>
      <w:r>
        <w:t>Desde tal premisa, fija como situación de partida que el Tribunal de apelación condenó al demandante como autor del tipo básico del delito de robo con violencia o intimidación cuando en la sentencia de instancia se le había considerado autor de un delito de robo con violencia o intimidación atenuado, sin que la acusación pública hubiera cuestionado tal calificación jurídica ni discrepado de las circunstancias fácticas y personales del condenado tenidas en cuenta por la Juzgadora para realizar esa calificación. Ello, termina afirmando el Ministerio Fiscal, supone que “el ahora demandante vio modificada la calificación jurídica de los hechos por los que había sido condenado, lo que le supuso que la pena privativa de libertad impuesta fuese el doble de la que se le había impuesto por el Juzgado de lo Penal, sin que hubiera petición de parte acusadora, y ello con ocasión de examinar su propio recurso de apelación, lo que está vedado por los derechos fundamentales esgrimidos en la demanda”.</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29 de octubre de 2015, se señaló para deliberación y votación de la presente Sentencia el día 2 de noviembre del mismo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Se impugna en el recurso de amparo la Sentencia de la Audiencia Provincial de Baleares (Sección Segunda) de 13 de noviembre de 2012 (rollo de apelación núm. 373-2011), que revocó parcialmente la Sentencia del Juzgado de lo Penal núm. 6 de Palma de Mallorca de 14 de julio de 2011 y condenó al demandante como autor de un delito de robo con violencia o intimidación y una falta de lesiones sin alterar la pena global impuesta por el Juzgado de lo Penal, donde también se había condenado por el delito de robo con fuerza. La impugnación se extiende al Auto de 22 de enero de 2013 dictado por la misma Sección, por el que se inadmite el incidente de nulidad de actuaciones promovido frente a la Sentencia recurrida.</w:t>
      </w:r>
    </w:p>
    <w:p w:rsidR="00AC56D6" w:rsidRDefault="00AC56D6" w:rsidP="00AC56D6">
      <w:pPr>
        <w:pStyle w:val="TextoNormal"/>
      </w:pPr>
    </w:p>
    <w:p w:rsidR="00AC56D6" w:rsidRDefault="00AC56D6" w:rsidP="00AC56D6">
      <w:pPr>
        <w:pStyle w:val="TextoNormal"/>
      </w:pPr>
      <w:r>
        <w:t xml:space="preserve">El actor, con invocación de jurisprudencia constitucional, considera vulnerado su derecho a la tutela judicial efectiva en su vertiente de interdicción de reforma peyorativa en fase de recursos (art. 24.1 CE), ya que la Audiencia anuló la condena impuesta por el delito de robo con fuerza y mantuvo la condena por el delito de robo con violencia o intimidación, pero dobló la extensión de la pena impuesta por tal ilícito —un año y dos meses— hasta alcanzar la pena global impuesta en la instancia por ambos delitos —dos años y cuatro meses—, al aplicar el tipo básico del delito de robo con violencia o intimidación previsto en el </w:t>
      </w:r>
      <w:r>
        <w:lastRenderedPageBreak/>
        <w:t>art. 242.1 del Código penal (CP) y no el tipo atenuado previsto en el art. 242.3 CP (en su redacción previa a la reforma operada por la Ley Orgánica 5/2010) que había sido el aplicado en primera instancia. El Fiscal había interesado la confirmación de la Sentencia apelada.</w:t>
      </w:r>
    </w:p>
    <w:p w:rsidR="00AC56D6" w:rsidRDefault="00AC56D6" w:rsidP="00AC56D6">
      <w:pPr>
        <w:pStyle w:val="TextoNormal"/>
      </w:pPr>
    </w:p>
    <w:p w:rsidR="00AC56D6" w:rsidRDefault="00AC56D6" w:rsidP="00AC56D6">
      <w:pPr>
        <w:pStyle w:val="TextoNormal"/>
      </w:pPr>
      <w:r>
        <w:t xml:space="preserve">El Ministerio Fiscal interesa que se otorgue el amparo solicitado por entender que el Tribunal </w:t>
      </w:r>
      <w:r w:rsidRPr="00AC56D6">
        <w:rPr>
          <w:i/>
        </w:rPr>
        <w:t>ad quem</w:t>
      </w:r>
      <w:r>
        <w:t>, al imponer una pena por el delito de robo con violencia o intimidación que doblaba la extensión de la recaída en primera instancia sin mediar petición del Ministerio Fiscal, que se había aquietado con la Sentencia de instancia, vulneró el derecho a la tutela judicial efectiva y el principio acusatorio (arts. 24.1 y 2 CE).</w:t>
      </w:r>
    </w:p>
    <w:p w:rsidR="00AC56D6" w:rsidRDefault="00AC56D6" w:rsidP="00AC56D6">
      <w:pPr>
        <w:pStyle w:val="TextoNormal"/>
      </w:pPr>
    </w:p>
    <w:p w:rsidR="00AC56D6" w:rsidRDefault="00AC56D6" w:rsidP="00AC56D6">
      <w:pPr>
        <w:pStyle w:val="TextoNormal"/>
      </w:pPr>
      <w:r w:rsidRPr="00AC56D6">
        <w:rPr>
          <w:rStyle w:val="NumeroAFNegritaCaracter"/>
        </w:rPr>
        <w:t>2</w:t>
      </w:r>
      <w:r>
        <w:t xml:space="preserve">. La doctrina de este Tribunal Constitucional ha identificado la </w:t>
      </w:r>
      <w:r w:rsidRPr="00AC56D6">
        <w:rPr>
          <w:i/>
        </w:rPr>
        <w:t>reformatio in peius</w:t>
      </w:r>
      <w:r>
        <w:t xml:space="preserve"> con el empeoramiento o agravación de la situación jurídica del recurrente declarada en la resolución impugnada en virtud de su propio recurso, de modo que la decisión judicial que lo resuelve conduce a un efecto contrario al perseguido por el recurrente, cual es anular o suavizar la sanción aplicada en la resolución objeto de impugnación (entre muchas, SSTC 9/1998, de 13 de enero, FJ 2; 196/1999, de 25 de octubre, FJ 3; 203/2007, de 24 de septiembre, FJ 2, o 126/2010, de 20 de noviembre, FJ 3).</w:t>
      </w:r>
    </w:p>
    <w:p w:rsidR="00AC56D6" w:rsidRDefault="00AC56D6" w:rsidP="00AC56D6">
      <w:pPr>
        <w:pStyle w:val="TextoNormal"/>
      </w:pPr>
    </w:p>
    <w:p w:rsidR="00AC56D6" w:rsidRDefault="00AC56D6" w:rsidP="00AC56D6">
      <w:pPr>
        <w:pStyle w:val="TextoNormal"/>
      </w:pPr>
      <w:r>
        <w:t xml:space="preserve">Desde las primeras resoluciones de este Tribunal se afirmó que la prohibición de la reforma peyorativa ostenta dimensión constitucional aunque no se encuentre expresamente enunciada en el art. 24 CE. De un lado, se pone el acento en que representa un principio procesal que forma parte del derecho a la tutela judicial efectiva a través del régimen de garantías legales de los recursos, que deriva en todo caso de la prohibición constitucional de indefensión (entre otras, SSTC 54/1985, de 18 de abril, FJ 7; 141/2008, de 30 de octubre, FJ 5, y 126/2010, de 29 de noviembre, FJ 3) y que, en ocasiones, se ha vinculado al principio dispositivo (STC 28/2003, de 10 de febrero, FJ 2) y al principio de rogación (STC 54/1985, FJ 7). De otro lado, se identifica la prohibición de empeoramiento como “una proyección de la congruencia en el segundo o posterior grado jurisdiccional, que impide al órgano judicial </w:t>
      </w:r>
      <w:r w:rsidRPr="00AC56D6">
        <w:rPr>
          <w:i/>
        </w:rPr>
        <w:t>ad quem</w:t>
      </w:r>
      <w:r>
        <w:t xml:space="preserve"> exceder los límites en que esté planteado el recurso, acordando una agravación de la sentencia impugnada que tenga origen exclusivo en la propia interposición de éste (STC 17/2000, de 31 de enero, FJ 4), pues, de admitirse que los órganos judiciales pueden modificar de oficio en perjuicio del recurrente la resolución por él impugnada, se introduciría un elemento disuasorio para el ejercicio del derecho a los recursos legalmente establecidos en la ley incompatible con la tutela judicial efectiva que vienen obligados a prestar los órganos judiciales (SSTC 114/2001, de 7 de mayo, FJ 4; 28/2003, de 10 de febrero, FJ 3)” (STC 310/2005, de 12 de diciembre, FJ 2, por todas).</w:t>
      </w:r>
    </w:p>
    <w:p w:rsidR="00AC56D6" w:rsidRDefault="00AC56D6" w:rsidP="00AC56D6">
      <w:pPr>
        <w:pStyle w:val="TextoNormal"/>
      </w:pPr>
    </w:p>
    <w:p w:rsidR="00AC56D6" w:rsidRDefault="00AC56D6" w:rsidP="00AC56D6">
      <w:pPr>
        <w:pStyle w:val="TextoNormal"/>
      </w:pPr>
      <w:r>
        <w:t xml:space="preserve">Por lo que atañe al orden penal, ese anclaje constitucional al derecho a la tutela judicial efectiva se completa en algunas resoluciones con el respaldo del principio acusatorio, de modo que la exclusión de la </w:t>
      </w:r>
      <w:r w:rsidRPr="00AC56D6">
        <w:rPr>
          <w:i/>
        </w:rPr>
        <w:t>reformatio in peius</w:t>
      </w:r>
      <w:r>
        <w:t xml:space="preserve"> entronca con el destierro de toda actuación inquisitiva por parte del Tribunal de segunda instancia. Conforme a esa jurisprudencia, es trasladable al recurso de apelación contra sentencias penales lo dispuesto en el art. 902 de la Ley de enjuiciamiento criminal para el recurso de casación, a fin de preservar el principio acusatorio y evitar el agravamiento de la situación del condenado apelante por su solo recurso cuando ejercita el derecho a la segunda instancia en el orden penal, que es producto de la conexión de los arts. 24.1 y 10.2 CE (SSTC 54/1985, FJ 7; 16/2000, de 31 de enero, </w:t>
      </w:r>
      <w:r>
        <w:lastRenderedPageBreak/>
        <w:t>FJ 5; 200/2000, de 24 de julio, FJ 2; 310/2005, de 12 de diciembre, FJ 2, y 141/2008, de 30 de octubre, FJ 5).</w:t>
      </w:r>
    </w:p>
    <w:p w:rsidR="00AC56D6" w:rsidRDefault="00AC56D6" w:rsidP="00AC56D6">
      <w:pPr>
        <w:pStyle w:val="TextoNormal"/>
      </w:pPr>
    </w:p>
    <w:p w:rsidR="00AC56D6" w:rsidRDefault="00AC56D6" w:rsidP="00AC56D6">
      <w:pPr>
        <w:pStyle w:val="TextoNormal"/>
      </w:pPr>
      <w:r>
        <w:t>Con ello, se destaca también en nuestra doctrina, se agrega a la prohibición general de reforma peyorativa el nuevo matiz, constitucionalmente relevante, de la seguridad jurídica del condenado sobre la inmutabilidad de la Sentencia en su perjuicio si no media recurso de parte contraria, estando vedada la agravación de oficio aunque fuera absolutamente evidente su procedencia legal, pues las garantías constitucionales deben prevalecer sobre el principio de estricta sumisión del Juez a la ley, incluso para corregir de oficio en la alzada errores evidentes en la aplicación de la misma en la instancia (SSTC 153/1990, de 15 de octubre, FJ 5; 70/1999, de 26 de abril, FJ 8; 28/2003, de 10 de febrero, FJ 5; y 310/2005, de 12 de diciembre, FJ 2; 141/2008, de 30 de octubre, FJ 5; 124/2010, de 29 de noviembre, FJ 2, y 246/2010, de 10 de octubre, FJ 5). En otras palabras, “lo que juega, con relevancia constitucional, es la agravación del resultado que tal decisión de oficio determina, aunque fuere absolutamente evidente su procedencia legal, de suerte que queda así constitucionalizado el principio de la no reforma peyorativa y fundado no sólo en el juego del principio acusatorio sino en el de la garantía procesal derivada de una Sentencia penal no impugnada de contrario” (SSTC 153/1990, de 15 de octubre, FJ 5; 17/2000, de 31 de enero, FJ 5; 124/2010, de 29 de noviembre, FJ 2, y 246/2010, de 10 de octubre, FJ 5).</w:t>
      </w:r>
    </w:p>
    <w:p w:rsidR="00AC56D6" w:rsidRDefault="00AC56D6" w:rsidP="00AC56D6">
      <w:pPr>
        <w:pStyle w:val="TextoNormal"/>
      </w:pPr>
    </w:p>
    <w:p w:rsidR="00AC56D6" w:rsidRDefault="00AC56D6" w:rsidP="00AC56D6">
      <w:pPr>
        <w:pStyle w:val="TextoNormal"/>
      </w:pPr>
      <w:r>
        <w:t>En tal sentido, para que pueda apreciarse la existencia de reforma peyorativa, constitucionalmente prohibida, el empeoramiento de la situación del recurrente ha de resultar de su propio recurso, sin mediación de pretensión impugnatoria de otra parte, y con excepción del daño que derive de la aplicación de normas de orden público procesal (por todas, SSTC 15/1987, de 11 de febrero, FJ 4; 17/1989, de 30 de enero, FJ 7, y 70/1999, de 26 de abril, FJ 5), “cuya recta aplicación es siempre deber del Juez, con independencia de que sea o no pedida por las partes” (SSTC 214/2000, de 16 de octubre, FJ 3; 28/2003, de 10 de febrero, FJ 3; y 249/2005, de 15 de noviembre, FJ 5, y 126/2010, FJ 3).</w:t>
      </w:r>
    </w:p>
    <w:p w:rsidR="00AC56D6" w:rsidRDefault="00AC56D6" w:rsidP="00AC56D6">
      <w:pPr>
        <w:pStyle w:val="TextoNormal"/>
      </w:pPr>
    </w:p>
    <w:p w:rsidR="00AC56D6" w:rsidRDefault="00AC56D6" w:rsidP="00AC56D6">
      <w:pPr>
        <w:pStyle w:val="TextoNormal"/>
      </w:pPr>
      <w:r>
        <w:t xml:space="preserve">A partir de esa reiterada proclamación, la jurisprudencia constitucional ha ido perfilando el alcance de la interdicción de </w:t>
      </w:r>
      <w:r w:rsidRPr="00AC56D6">
        <w:rPr>
          <w:i/>
        </w:rPr>
        <w:t>reformatio in peius</w:t>
      </w:r>
      <w:r>
        <w:t xml:space="preserve"> de la mano de su anclaje en la prohibición de indefensión contraria a la tutela judicial efectiva (art. 24.1 CE) y el principio acusatorio en el marco del derecho a un proceso con todas las garantías (art. 24.2 CE). En concreto, en las SSTC 123/2005, de 12 de mayo; 183/2005, de 4 de julio; y 203/2007, de 24 de septiembre, se puso el acento en la distinción entre la interdicción de la reforma peyorativa y el alcance del principio acusatorio en la segunda instancia, que se modula respecto a su proyección en la primera instancia, pero encuentra su límite precisamente en el empeoramiento de la situación del recurrente con origen en su propio recurso. En las mencionadas resoluciones, este Tribunal ha defendido que lo relevante no es si existe una </w:t>
      </w:r>
      <w:r w:rsidRPr="00AC56D6">
        <w:rPr>
          <w:i/>
        </w:rPr>
        <w:t>reformatio</w:t>
      </w:r>
      <w:r>
        <w:t xml:space="preserve">, sino si es </w:t>
      </w:r>
      <w:r w:rsidRPr="00AC56D6">
        <w:rPr>
          <w:i/>
        </w:rPr>
        <w:t>in peius</w:t>
      </w:r>
      <w:r>
        <w:t>, y ha especificado que “los términos de comparación para ponderar si la reforma ha sido peyorativa han de ser, en el caso, las respectivas condenas: es decir, si la recaída en segunda instancia empeora la situación que establece el fallo condenatorio de la dictada por el juzgador a quo, y no la relación existente entre la pretensión absolutoria del actor recurrente y el sentido del fallo condenatorio derivado del recurso” (STC 183/2005, FJ 3; 203/2007, FJ 2).</w:t>
      </w:r>
    </w:p>
    <w:p w:rsidR="00AC56D6" w:rsidRDefault="00AC56D6" w:rsidP="00AC56D6">
      <w:pPr>
        <w:pStyle w:val="TextoNormal"/>
      </w:pPr>
    </w:p>
    <w:p w:rsidR="00AC56D6" w:rsidRDefault="00AC56D6" w:rsidP="00AC56D6">
      <w:pPr>
        <w:pStyle w:val="TextoNormal"/>
      </w:pPr>
      <w:r>
        <w:lastRenderedPageBreak/>
        <w:t>El presente recurso de amparo ha sido precisamente admitido por su especial trascendencia constitucional en tanto que da ocasión a este Tribunal para aclarar nuestra doctrina conforme a lo previsto en la STC 155/2009, FJ 2 b), ya que se trata de un supuesto no coincidente en su totalidad con los que anteriormente han sido objeto de tratamiento en este Tribunal. El hecho de que concurran una pluralidad de delitos que dan lugar a varias penas, estimándose la apelación en términos de declarar cometido uno solo de ellos, pero manteniendo la extensión total de la pena impuesta en primera instancia, presenta rasgos de suficiente importancia como para merecer un pronunciamiento específico en cuanto a la aplicación de doctrina que ha quedado expuesta.</w:t>
      </w:r>
    </w:p>
    <w:p w:rsidR="00AC56D6" w:rsidRDefault="00AC56D6" w:rsidP="00AC56D6">
      <w:pPr>
        <w:pStyle w:val="TextoNormal"/>
      </w:pPr>
    </w:p>
    <w:p w:rsidR="00AC56D6" w:rsidRDefault="00AC56D6" w:rsidP="00AC56D6">
      <w:pPr>
        <w:pStyle w:val="TextoNormal"/>
      </w:pPr>
      <w:r w:rsidRPr="00AC56D6">
        <w:rPr>
          <w:rStyle w:val="NumeroAFNegritaCaracter"/>
        </w:rPr>
        <w:t>3</w:t>
      </w:r>
      <w:r>
        <w:t>. Con carácter previo al análisis de fondo del caso a la luz de la jurisprudencia expuesta, conviene aclarar algunos aspectos confusos sobre las calificaciones manejadas en el procedimiento que nos ocupa y, con ello, los términos del debate y del devenir de calificaciones. Al respecto resulta oportuno recordar que el tipo básico del delito de robo con violencia o intimidación se prevé en el art. 242.1 CP, conforme al cual, “el culpable de robo con violencia o intimidación en las personas será castigado con la pena de prisión de dos a cinco años”; y que el art. 242.3 CP, en su redacción previa a la reforma introducida por la Ley Orgánica 5/2010, contenía el tipo atenuado, según el cual, “en atención a la menor entidad de la violencia o intimidación ejercidas y valorando además las restantes circunstancias del hecho, podrá imponerse la pena inferior en grado a la prevista en el apartado primero de este artículo”; es decir, la pena a imponer sería la de prisión de uno a dos años.</w:t>
      </w:r>
    </w:p>
    <w:p w:rsidR="00AC56D6" w:rsidRDefault="00AC56D6" w:rsidP="00AC56D6">
      <w:pPr>
        <w:pStyle w:val="TextoNormal"/>
      </w:pPr>
    </w:p>
    <w:p w:rsidR="00AC56D6" w:rsidRDefault="00AC56D6" w:rsidP="00AC56D6">
      <w:pPr>
        <w:pStyle w:val="TextoNormal"/>
      </w:pPr>
      <w:r>
        <w:t>Desde tal recordatorio hay que señalar, en primer lugar, que si bien en el fallo de la Sentencia del Juzgado de lo Penal se condena por un delito de robo con violencia o intimidación previsto y penado en el art. 242.1 CP, esa mención al apartado primero del art. 242 CP debe entenderse como un error material por dos razones. De un lado, porque en la justificación de la calificación jurídica por parte de la Juzgadora en el fundamento jurídico primero de la Sentencia recurrida se afirma expresamente que los hechos se incardinan en el art. 242.3 CP, dada la falta de acreditación de la entidad de las lesiones. De otro lado, porque en la motivación de la concreta pena impuesta efectuada en el fundamento jurídico tercero se cita el art. 242.3 CP para llegar a una pena que, como destacan tanto el recurrente como el Ministerio Fiscal, solo es compatible con el marco penal de ese tipo atenuado, habida cuenta de que se compensan las circunstancias modificativas concurrentes y no se mantiene una atenuación cualificada por la drogadicción que hubiera conducido a una pena inferior. Los anteriores datos evidencian que el razonamiento de la Sentencia discurre de forma acorde a la prevista en el tipo atenuado en cuanto a su marco punitivo y con explícita cita al art. 242.3 CP, sin que en ningún momento se refiera al tipo más grave del art. 242.1 CP. Lo cual el demandante puso de manifiesto a la Sala cuando planteó el incidente de nulidad de actuaciones.</w:t>
      </w:r>
    </w:p>
    <w:p w:rsidR="00AC56D6" w:rsidRDefault="00AC56D6" w:rsidP="00AC56D6">
      <w:pPr>
        <w:pStyle w:val="TextoNormal"/>
      </w:pPr>
    </w:p>
    <w:p w:rsidR="00AC56D6" w:rsidRDefault="00AC56D6" w:rsidP="00AC56D6">
      <w:pPr>
        <w:pStyle w:val="TextoNormal"/>
      </w:pPr>
      <w:r>
        <w:t xml:space="preserve">Al hilo de esta primera puntualización resulta preciso aclarar a su vez que el escrito de impugnación del Ministerio Fiscal frente al recurso de apelación, al tiempo que solicita la confirmación de la Sentencia de condena por sus propios fundamentos, da a entender que esa Sentencia ha acogido su pretensión de que se condenara por el tipo básico del delito de robo con violencia o intimidación del art. 242.1 CP, pero añadiendo una circunstancia atenuante para rebajar la pena solicitada. Con ello, sin embargo, se aquieta sin advertir que esa rebaja obedece a que la calificación jurídica se corresponde con el tipo atenuado de robo con violencia o intimidación y no con la estimación de la atenuante de drogadicción en su </w:t>
      </w:r>
      <w:r>
        <w:lastRenderedPageBreak/>
        <w:t>forma muy cualificada, como se evidencia por la duración de la pena impuesta para el delito de robo con fuerza en las cosas respecto al cual concurría idéntica circunstancia atenuante, en su modalidad genérica.</w:t>
      </w:r>
    </w:p>
    <w:p w:rsidR="00AC56D6" w:rsidRDefault="00AC56D6" w:rsidP="00AC56D6">
      <w:pPr>
        <w:pStyle w:val="TextoNormal"/>
      </w:pPr>
    </w:p>
    <w:p w:rsidR="00AC56D6" w:rsidRDefault="00AC56D6" w:rsidP="00AC56D6">
      <w:pPr>
        <w:pStyle w:val="TextoNormal"/>
      </w:pPr>
      <w:r>
        <w:t xml:space="preserve">Sentado lo anterior, cabe fijar que, en el presente caso y en lo que aquí interesa, la Sentencia de instancia condenó al demandante a sendas penas de un año y dos meses de prisión como autor de un delito de robo con fuerza en las cosas y de un delito de robo con violencia o intimidación en su modalidad atenuada prevista en el art. 242.3 CP. La Sentencia de apelación estimó parcialmente el recurso del condenado que denunciaba la aplicación indebida del delito de robo con fuerza, ya que los actos de apropiación formaban lo que se denomina una “unidad jurídica de acción”, dado el contexto espacio-temporal y la identidad de sujeto pasivo y finalidad criminal, lo cual impide fragmentar la concreta conducta en dos delitos distintos. Es decir, solo cabía calificar los hechos como un único delito de robo con violencia o intimidación. No obstante, la Sala impuso la pena de dos años y cuatro meses de prisión, porque calificó los hechos como un delito de robo con violencia o intimidación en su modalidad básica del art. 242.1 CP, pese a que no hubo petición de modificación de la calificación por parte del Ministerio Fiscal. Ese cambio de calificación —al estimar concurrente el supuesto del art. 242.1 CP en lugar del supuesto del art. 242.3 CP— se justificó por el Tribunal </w:t>
      </w:r>
      <w:r w:rsidRPr="00AC56D6">
        <w:rPr>
          <w:i/>
        </w:rPr>
        <w:t>ad quem</w:t>
      </w:r>
      <w:r>
        <w:t xml:space="preserve"> en su entendimiento de que la intimidación ejercida no podía entenderse como de menor entidad y, por tanto, no procedía su tipificación conforme al subtipo atenuado del art. 242.3 CP.</w:t>
      </w:r>
    </w:p>
    <w:p w:rsidR="00AC56D6" w:rsidRDefault="00AC56D6" w:rsidP="00AC56D6">
      <w:pPr>
        <w:pStyle w:val="TextoNormal"/>
      </w:pPr>
    </w:p>
    <w:p w:rsidR="00AC56D6" w:rsidRDefault="00AC56D6" w:rsidP="00AC56D6">
      <w:pPr>
        <w:pStyle w:val="TextoNormal"/>
      </w:pPr>
      <w:r w:rsidRPr="00AC56D6">
        <w:rPr>
          <w:rStyle w:val="NumeroAFNegritaCaracter"/>
        </w:rPr>
        <w:t>4</w:t>
      </w:r>
      <w:r>
        <w:t>. Una vez sentadas las anteriores premisas, coincidentes con lo expuesto en la demanda y en las alegaciones del Ministerio Fiscal, el acontecer procesal al que se atribuye la lesión de la prohibición de reforma peyorativa viene dado por la estimación parcial del recurso de apelación interpuesto por el condenado, que por un lado admite que es erróneo calificar los hechos como un concurso de dos delitos de robo (con violencia y con fuerza en las cosas) y acoge la solución de la unidad de acción, pero que por otro lado subsume la conducta en el marco del delito de robo más grave previsto en el art. 242.1 CP. Modificación de la subsunción típica que corrige, sin que se le haya instado a ello, la valoración que hizo el órgano jurisdiccional de instancia al estimar entonces que aquella intimidación utilizada para el robo fue de “menor entidad”.</w:t>
      </w:r>
    </w:p>
    <w:p w:rsidR="00AC56D6" w:rsidRDefault="00AC56D6" w:rsidP="00AC56D6">
      <w:pPr>
        <w:pStyle w:val="TextoNormal"/>
      </w:pPr>
    </w:p>
    <w:p w:rsidR="00AC56D6" w:rsidRDefault="00AC56D6" w:rsidP="00AC56D6">
      <w:pPr>
        <w:pStyle w:val="TextoNormal"/>
      </w:pPr>
      <w:r>
        <w:t>Sin necesidad de entrar en el debate comparativo de gravedades entre dos magnitudes penológicas diversas (dos penas de un año y dos meses frente a una pena de dos años y cuatro meses), resulta indudable que en el marco del recurso de apelación único del condenado se ha reintroducido una calificación jurídica más grave, con un marco penal de dos a cinco años de prisión en vez del marco del tipo atenuado de uno a dos años, calificación que no fue recurrida por el Ministerio Fiscal en la segunda instancia. Una calificación que conduce a imponer una pena que excede del máximo punitivo de dos años previsto en el art. 242.3 CP preterido.</w:t>
      </w:r>
    </w:p>
    <w:p w:rsidR="00AC56D6" w:rsidRDefault="00AC56D6" w:rsidP="00AC56D6">
      <w:pPr>
        <w:pStyle w:val="TextoNormal"/>
      </w:pPr>
    </w:p>
    <w:p w:rsidR="00AC56D6" w:rsidRDefault="00AC56D6" w:rsidP="00AC56D6">
      <w:pPr>
        <w:pStyle w:val="TextoNormal"/>
      </w:pPr>
      <w:r>
        <w:t xml:space="preserve">Dado que en el marco de la apelación el Tribunal </w:t>
      </w:r>
      <w:r w:rsidRPr="00AC56D6">
        <w:rPr>
          <w:i/>
        </w:rPr>
        <w:t>ad quem</w:t>
      </w:r>
      <w:r>
        <w:t xml:space="preserve"> está limitado a ejercitar su actividad jurisdiccional sujetándose a las peticiones de los recurrentes, en el caso de un único apelante no cabe modificar la resolución recurrida en su perjuicio. Únicamente podrá confirmarla o reformarla en beneficio del apelante, pero no revocarla para empeorar su situación. En el presente caso, la Sala afirma, al final del fundamento jurídico segundo, que “la violencia o intimidación ejercida sobre la víctima, que fue llevada a varios cajeros para </w:t>
      </w:r>
      <w:r>
        <w:lastRenderedPageBreak/>
        <w:t xml:space="preserve">intentar sacar dinero obligada por una persona que sufría síndrome de abstinencia, no puede recibir la consideración de menor entidad”. A pesar de que se apele a la cuantía de la pena única impuesta en apelación respecto a las dos penas fijadas en la instancia como prueba de la ausencia de reforma peyorativa para el recurrente único, lo cierto es que hay una </w:t>
      </w:r>
      <w:r w:rsidRPr="00AC56D6">
        <w:rPr>
          <w:i/>
        </w:rPr>
        <w:t>reformatio</w:t>
      </w:r>
      <w:r>
        <w:t xml:space="preserve"> y es </w:t>
      </w:r>
      <w:r w:rsidRPr="00AC56D6">
        <w:rPr>
          <w:i/>
        </w:rPr>
        <w:t>in peius</w:t>
      </w:r>
      <w:r>
        <w:t xml:space="preserve">. El Tribunal </w:t>
      </w:r>
      <w:r w:rsidRPr="00AC56D6">
        <w:rPr>
          <w:i/>
        </w:rPr>
        <w:t>ad quem</w:t>
      </w:r>
      <w:r>
        <w:t xml:space="preserve"> modifica la pena condenando a dos años y cuatro meses por un delito de robo con violencia o intimidación, a partir de la previa tipificación de los hechos en base a una nueva valoración de la entidad de la intimidación ejercida y la consiguiente subsunción de los hechos en un tipo penal más grave que contempla como pena la prisión de dos a cinco años. Tal modificación excede de la competencia del Tribunal </w:t>
      </w:r>
      <w:r w:rsidRPr="00AC56D6">
        <w:rPr>
          <w:i/>
        </w:rPr>
        <w:t>ad quem</w:t>
      </w:r>
      <w:r>
        <w:t>. Como insiste la doctrina de este Tribunal más arriba citada, ni siquiera la evidencia de una errónea calificación autoriza a los órganos judiciales ante los que se recurre a optar por la calificación correcta si esta conduce a un empeoramiento de la situación de quien impugna en solitario, salvo que concurran razones de orden público procesal, que no se hallan presentes aquí.</w:t>
      </w:r>
    </w:p>
    <w:p w:rsidR="00AC56D6" w:rsidRDefault="00AC56D6" w:rsidP="00AC56D6">
      <w:pPr>
        <w:pStyle w:val="TextoNormal"/>
      </w:pPr>
    </w:p>
    <w:p w:rsidR="00AC56D6" w:rsidRDefault="00AC56D6" w:rsidP="00AC56D6">
      <w:pPr>
        <w:pStyle w:val="TextoNormal"/>
      </w:pPr>
      <w:r>
        <w:t>Dados los términos en que se planteó el recurso, su estimación total o parcial debiera haber conducido a un reflejo respecto a la pena impuesta en la primera instancia. Sin embargo, la disminución de pena no se produce en este caso pese a que debiera haber sido la consecuencia lógica de la estimación del tercer motivo del recurso de apelación interpuesto por el condenado. El recurrente se encuentra tras la apelación con una calificación jurídica más grave, en una especie de retorno a la petición de la acusación en primera instancia, petición que fue entonces rechazada en sentencia y que ahora reaparece como efecto sorpresivo de su propio recurso, pues no hubo pretensión impugnatoria de la otra parte que activara aquella acusación de nuevo. En consecuencia, el recurrente no tuvo oportunidad efectiva de debatir en fase de apelación ese cambio de calificación. En conclusión, la estimación parcial del recurso, que debiera haber conducido a una rebaja de la pena, se asocia por el órgano de apelación a una respuesta penológica cuantitativamente pareja en el mejor de los casos, y que se asienta en una revisión sobre extremos valorados en la instancia, concretamente, la entidad de la violencia e intimidación, que no fueron objeto del recurso y que se consintieron por la parte que no recurrió.</w:t>
      </w:r>
    </w:p>
    <w:p w:rsidR="00AC56D6" w:rsidRDefault="00AC56D6" w:rsidP="00AC56D6">
      <w:pPr>
        <w:pStyle w:val="TextoNormal"/>
      </w:pPr>
    </w:p>
    <w:p w:rsidR="00AC56D6" w:rsidRDefault="00AC56D6" w:rsidP="00AC56D6">
      <w:pPr>
        <w:pStyle w:val="TextoNormal"/>
      </w:pPr>
      <w:r w:rsidRPr="00AC56D6">
        <w:rPr>
          <w:rStyle w:val="NumeroAFNegritaCaracter"/>
        </w:rPr>
        <w:t>5</w:t>
      </w:r>
      <w:r>
        <w:t>. En definitiva, en virtud del recurso de apelación único del condenado, en que solicitaba que se le absolviera del delito de robo con fuerza en las cosas y se mantuviera sólo la condena por un único delito de robo con violencia o intimidación atenuado (art. 242.3 CP), el apelante resultó condenado por el tipo básico del delito de robo con violencia o intimidación (art. 242.1 CP) con una pena que doblaba la inicialmente impuesta. Ello supone una agravación de la calificación jurídica en segunda instancia no solicitada por los acusadores que lesiona la interdicción de reforma peyorativa como parte del derecho a la tutela judicial efectiva del art. 24.1 CE.</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lastRenderedPageBreak/>
        <w:t>Ha decidido</w:t>
      </w:r>
    </w:p>
    <w:p w:rsidR="00AC56D6" w:rsidRDefault="00AC56D6" w:rsidP="00AC56D6">
      <w:pPr>
        <w:pStyle w:val="TextoNormalCentrado"/>
        <w:keepNext/>
      </w:pPr>
    </w:p>
    <w:p w:rsidR="00AC56D6" w:rsidRDefault="00AC56D6" w:rsidP="00AC56D6">
      <w:pPr>
        <w:pStyle w:val="TextoNormal"/>
      </w:pPr>
      <w:r>
        <w:t>Estimar el recurso de amparo interpuesto por don Adolfo Córdoba Vargas y, en su virtud:</w:t>
      </w:r>
    </w:p>
    <w:p w:rsidR="00AC56D6" w:rsidRDefault="00AC56D6" w:rsidP="00AC56D6">
      <w:pPr>
        <w:pStyle w:val="TextoNormal"/>
      </w:pPr>
    </w:p>
    <w:p w:rsidR="00AC56D6" w:rsidRDefault="00AC56D6" w:rsidP="00AC56D6">
      <w:pPr>
        <w:pStyle w:val="TextoNormal"/>
      </w:pPr>
      <w:r>
        <w:t>1º Declarar que ha sido vulnerado el derecho fundamental del demandante de amparo a la tutela judicial efectiva (art. 24.1 CE).</w:t>
      </w:r>
    </w:p>
    <w:p w:rsidR="00AC56D6" w:rsidRDefault="00AC56D6" w:rsidP="00AC56D6">
      <w:pPr>
        <w:pStyle w:val="TextoNormal"/>
      </w:pPr>
    </w:p>
    <w:p w:rsidR="00AC56D6" w:rsidRDefault="00AC56D6" w:rsidP="00AC56D6">
      <w:pPr>
        <w:pStyle w:val="TextoNormal"/>
      </w:pPr>
      <w:r>
        <w:t>2º Restablecerle en su derecho y, en consecuencia, declarar la nulidad de la Sentencia de la Audiencia Provincial de Baleares (Sección Segunda) de 13 de noviembre de 2012, dictada en el rollo de apelación núm. 373-2011, así como del Auto de 22 de enero de 2013 que resolvió del incidente de nulidad promovido contra dicha Sentencia.</w:t>
      </w:r>
    </w:p>
    <w:p w:rsidR="00AC56D6" w:rsidRDefault="00AC56D6" w:rsidP="00AC56D6">
      <w:pPr>
        <w:pStyle w:val="TextoNormal"/>
      </w:pPr>
    </w:p>
    <w:p w:rsidR="00AC56D6" w:rsidRDefault="00AC56D6" w:rsidP="00AC56D6">
      <w:pPr>
        <w:pStyle w:val="TextoNormal"/>
      </w:pPr>
      <w:r>
        <w:t>3º Retrotraer las actuaciones al momento inmediatamente anterior al pronunciamiento de la primera de las citadas resoluciones para que el órgano judicial dicte una nueva sentencia respetuosa con el derecho fundamental vulnerado.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dos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80" w:name="SENTENCIA_2015_224"/>
      <w:r>
        <w:lastRenderedPageBreak/>
        <w:t>SENTENCIA 224/2015, de 2 de noviembre de 2015</w:t>
      </w:r>
    </w:p>
    <w:bookmarkEnd w:id="80"/>
    <w:p w:rsidR="00AC56D6" w:rsidRDefault="00AC56D6" w:rsidP="00AC56D6">
      <w:pPr>
        <w:pStyle w:val="TtuloResolucin"/>
      </w:pPr>
      <w:r>
        <w:t>Sala Segunda</w:t>
      </w:r>
    </w:p>
    <w:p w:rsidR="00AC56D6" w:rsidRDefault="00AC56D6" w:rsidP="00AC56D6">
      <w:pPr>
        <w:pStyle w:val="TtuloBOE"/>
      </w:pPr>
      <w:r>
        <w:t>(BOE núm. 296, de 11 de diciembre de 2015)</w:t>
      </w:r>
    </w:p>
    <w:p w:rsidR="00AC56D6" w:rsidRDefault="00AC56D6" w:rsidP="00AC56D6">
      <w:pPr>
        <w:pStyle w:val="TextoNormalCentrado"/>
      </w:pPr>
      <w:r>
        <w:t>ECLI:ES:TC:2015:224</w:t>
      </w:r>
    </w:p>
    <w:p w:rsidR="00AC56D6" w:rsidRDefault="00AC56D6" w:rsidP="00AC56D6">
      <w:pPr>
        <w:pStyle w:val="TextoNormalCentrado"/>
      </w:pPr>
    </w:p>
    <w:p w:rsidR="00AC56D6" w:rsidRDefault="00AC56D6" w:rsidP="00AC56D6">
      <w:pPr>
        <w:pStyle w:val="SntesisDescriptiva"/>
      </w:pPr>
      <w:r>
        <w:t>Cuestión de inconstitucionalidad 7124-2013. Planteada por la Sala de lo Social de la Audiencia Nacional en relación con el artículo  2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extinción, por pérdida de objeto, de la cuestión de inconstitucionalidad (STC 83/2015).</w:t>
      </w:r>
    </w:p>
    <w:p w:rsidR="00AC56D6" w:rsidRDefault="00AC56D6" w:rsidP="00AC56D6">
      <w:pPr>
        <w:pStyle w:val="SntesisAnaltica"/>
      </w:pPr>
    </w:p>
    <w:p w:rsidR="00AC56D6" w:rsidRDefault="00AC56D6" w:rsidP="00AC56D6">
      <w:pPr>
        <w:pStyle w:val="Extracto"/>
      </w:pPr>
      <w:r>
        <w:t>1.</w:t>
      </w:r>
      <w:r>
        <w:tab/>
        <w:t>La satisfacción extraprocesal de la pretensión deducida en el proceso laboral sobre la que se articula la cuestión de inconstitucionalidad le hace perder su objeto, al ser tal satisfacción extraprocesal uno de los posibles supuestos de extinción de la cuestión de inconstitucionalidad (STC 83/2015) [FJ 4].</w:t>
      </w:r>
    </w:p>
    <w:p w:rsidR="00AC56D6" w:rsidRDefault="00AC56D6" w:rsidP="00AC56D6">
      <w:pPr>
        <w:pStyle w:val="Extracto"/>
      </w:pPr>
    </w:p>
    <w:p w:rsidR="00AC56D6" w:rsidRDefault="00AC56D6" w:rsidP="00AC56D6">
      <w:pPr>
        <w:pStyle w:val="Extracto"/>
      </w:pPr>
      <w:r>
        <w:t>2.</w:t>
      </w:r>
      <w:r>
        <w:tab/>
        <w:t>Doctrina sobre las posibles causas de terminación extraordinaria de las cuestiones de inconstitucionalidad por pérdida sobrevenida de objeto (STC 83/2015) [FJ 3].</w:t>
      </w:r>
    </w:p>
    <w:p w:rsidR="00AC56D6" w:rsidRDefault="00AC56D6" w:rsidP="00AC56D6">
      <w:pPr>
        <w:pStyle w:val="Extracto"/>
      </w:pPr>
    </w:p>
    <w:p w:rsidR="00AC56D6" w:rsidRDefault="00AC56D6" w:rsidP="00AC56D6">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4].</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7124-2013, promovida por la Sala de lo Social de la Audiencia Nacional contra el art. 2 del Real Decreto-ley 20/2012, de 13 de julio, de medidas para garantizar la estabilidad presupuestaria y de fomento de la competitividad, por posible vulneración del art. 9.3 CE. Han formulado alegaciones el Fiscal General del Estado y el Abogado del Estado. Ha sido Ponente el Magistrado don Juan José González Rivas, quien expresa el parecer del Tribunal.</w:t>
      </w:r>
    </w:p>
    <w:p w:rsidR="00AC56D6" w:rsidRDefault="00AC56D6" w:rsidP="00AC56D6">
      <w:pPr>
        <w:pStyle w:val="TextoNormal"/>
      </w:pPr>
    </w:p>
    <w:p w:rsidR="00AC56D6" w:rsidRDefault="00AC56D6" w:rsidP="00AC56D6">
      <w:pPr>
        <w:pStyle w:val="TextoNormalNegritaCentrado"/>
        <w:keepNext/>
      </w:pPr>
      <w:r>
        <w:lastRenderedPageBreak/>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5 de diciembre de 2013 tuvo entrada en el Registro General de este Tribunal un oficio de la Sala de lo Social de la Audiencia Nacional al que se acompaña, junto con el testimonio del procedimiento núm. 193-2013, el Auto de 18 de septiembre de 2013, por el que se acuerda plantear cuestión de inconstitucionalidad en relación con el art. 2 del Real Decreto-ley 20/2012, de 13 de julio, de medidas para garantizar la estabilidad presupuestaria y de fomento de la competitividad, en su aplicación al personal laboral del sector público, por posible lesión del art. 9.3 CE, sobre el principio de irretroactividad de disposiciones restrictivas de derechos individuales.</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procesales de la cuestión de inconstitucionalidad planteada son, sucintamente expuestos, los siguientes:</w:t>
      </w:r>
    </w:p>
    <w:p w:rsidR="00AC56D6" w:rsidRDefault="00AC56D6" w:rsidP="00AC56D6">
      <w:pPr>
        <w:pStyle w:val="TextoNormal"/>
      </w:pPr>
    </w:p>
    <w:p w:rsidR="00AC56D6" w:rsidRDefault="00AC56D6" w:rsidP="00AC56D6">
      <w:pPr>
        <w:pStyle w:val="TextoNormal"/>
      </w:pPr>
      <w:r>
        <w:t>a) Ante la Sala de lo Social de la Audiencia Nacional se formuló por la Confederación General del Trabajo (CGT), el Sindicato de Circulación Ferroviario (SCF), la federación de servicios a la ciudadanía de Comisiones Obreras (FSC-CCOO) y la federación estatal de servicios de la Unión General de Trabajadores (UGT), demanda de conflicto colectivo que dio lugar a los autos núm. 193-2013. Las citadas organizaciones sindicales interpusieron demanda de conflicto colectivo contra RENFE-Operadora y el comité general de empresa de RENFE-Operadora, suplicando que se reconociese el derecho de los trabajadores afectados (todos los trabajadores de RENFE-Operadora, incluidos los subrogados que provienen de la empresa FEVE) a que RENFE-Operadora les restituyese en su integridad la paga extraordinaria del mes de diciembre de 2012 dejada de abonar, así como que restituyese a los trabajadores que no perciben pagas extra (una parte del personal laboral de RENFE-Operadora percibe las cuantías correspondientes a las pagas extraordinarias prorrateadas en las doce pagas mensuales) la catorceava parte de la retribución total anual que les había sido descontada en las nóminas correspondientes a los meses comprendidos entre julio y diciembre de 2012; subsidiariamente, que se les reconozca a los trabajadores a los que se le ha dejado de abonar la paga extra del mes de diciembre de 2012 el derecho a percibir la parte proporcional de dicha paga extra correspondiente al periodo devengado desde el 1 de enero al 14 de julio de 2012, y a quienes no perciben pagas extra se les reconozca el derecho a que no se les descuente cantidad alguna por el periodo transcurrido desde el 1 de enero al 14 de julio de 2012. Entre otros argumentos, los demandantes invocaron la inconstitucionalidad del art. 2 del Real Decreto-ley 20/2012, por infracción del principio de irretroactividad de las disposiciones restrictivas de derechos individuales, al entender que se priva a los trabajadores del sector público de la totalidad de la paga extraordinaria de diciembre que se devenga desde el 1 de enero.</w:t>
      </w:r>
    </w:p>
    <w:p w:rsidR="00AC56D6" w:rsidRDefault="00AC56D6" w:rsidP="00AC56D6">
      <w:pPr>
        <w:pStyle w:val="TextoNormal"/>
      </w:pPr>
    </w:p>
    <w:p w:rsidR="00AC56D6" w:rsidRDefault="00AC56D6" w:rsidP="00AC56D6">
      <w:pPr>
        <w:pStyle w:val="TextoNormal"/>
      </w:pPr>
      <w:r>
        <w:t xml:space="preserve">b) Concluso el procedimiento y dentro del plazo para dictar Sentencia, la Sala dictó providencia el 4 de julio de 2013 dando traslado a las partes y al Ministerio Fiscal para alegaciones en el plazo común de diez días sobre la pertinencia de presentar una cuestión de inconstitucionalidad sobre el art. 2 del Real Decreto-ley 20/2012. La duda de constitucionalidad se concreta en que el citado precepto, al establecer la reducción de retribuciones en la cuantía que correspondería percibir en concepto de paga extraordinaria del mes de diciembre de 2012 o, cuando no se perciben pagas extraordinarias, en la catorceava parte de la retribución total anual, sin prever en ninguno de los dos casos excepción alguna respecto </w:t>
      </w:r>
      <w:r>
        <w:lastRenderedPageBreak/>
        <w:t>de la parte ya devengada a la fecha de entrada en vigor del Real Decreto-ley 20/2012, el 15 de julio de 2012, podría vulnerar el principio de irretroactividad de las normas restrictivas de derechos individuales (art. 9.3 CE), al ser la paga extraordinaria una manifestación del salario diferido que se devenga día a día.</w:t>
      </w:r>
    </w:p>
    <w:p w:rsidR="00AC56D6" w:rsidRDefault="00AC56D6" w:rsidP="00AC56D6">
      <w:pPr>
        <w:pStyle w:val="TextoNormal"/>
      </w:pPr>
    </w:p>
    <w:p w:rsidR="00AC56D6" w:rsidRDefault="00AC56D6" w:rsidP="00AC56D6">
      <w:pPr>
        <w:pStyle w:val="TextoNormal"/>
      </w:pPr>
      <w:r>
        <w:t>c) Con fecha 10 de julio de 2013 el Ministerio Fiscal presentó escrito de alegaciones, en el que optó por no entrar en el fondo de la cuestión, limitándose a señalar que el juicio de relevancia está correctamente planteado, por lo que corresponde a la Sala resolver sobre el planteamiento de la cuestión en los términos previstos en el art. 35 de la Ley Orgánica del Tribunal Constitucional (LOTC). El 23 del mismo mes y año los demandantes presentaron escrito de alegaciones solicitando que se plantease la cuestión de inconstitucionalidad. Por su parte, la representación procesal de RENFE-Operadora, que presentó sus alegaciones el 24 de julio de 2013, se opuso al planteamiento de la cuestión.</w:t>
      </w:r>
    </w:p>
    <w:p w:rsidR="00AC56D6" w:rsidRDefault="00AC56D6" w:rsidP="00AC56D6">
      <w:pPr>
        <w:pStyle w:val="TextoNormal"/>
      </w:pPr>
    </w:p>
    <w:p w:rsidR="00AC56D6" w:rsidRDefault="00AC56D6" w:rsidP="00AC56D6">
      <w:pPr>
        <w:pStyle w:val="TextoNormal"/>
      </w:pPr>
      <w:r w:rsidRPr="00AC56D6">
        <w:rPr>
          <w:rStyle w:val="NumeroAFNegritaCaracter"/>
        </w:rPr>
        <w:t>3</w:t>
      </w:r>
      <w:r>
        <w:t>. Por Auto de 18 de septiembre de 2013, la Sala de lo Social de la Audiencia Nacional acordó plantear la presente cuestión de inconstitucionalidad y del análisis de su contenido interesa destacar los siguientes puntos:</w:t>
      </w:r>
    </w:p>
    <w:p w:rsidR="00AC56D6" w:rsidRDefault="00AC56D6" w:rsidP="00AC56D6">
      <w:pPr>
        <w:pStyle w:val="TextoNormal"/>
      </w:pPr>
    </w:p>
    <w:p w:rsidR="00AC56D6" w:rsidRDefault="00AC56D6" w:rsidP="00AC56D6">
      <w:pPr>
        <w:pStyle w:val="TextoNormal"/>
      </w:pPr>
      <w:r>
        <w:t>a) Tras una síntesis de los antecedentes de hecho y la transcripción del art. 2 del Real Decreto-ley 20/2012, se señala que está claro que tal disposición suprime la percepción de la paga extraordinaria del mes de diciembre del año 2012 para el personal laboral del sector público y asimismo que establece que en aquellos casos en que no se contemple expresamente la percepción de pagas extras o se perciban más de dos al año (lo que acontece con parte de los trabajadores de RENFE-Operadora) las retribuciones anuales totales se reducen en una catorceava parte. Esa supresión y reducción retributiva se hace efectiva a partir de la entrada en vigor del Real Decreto-ley 20/2012 (15 de julio de 2012), sin precisar excepciones por derechos ya devengados. Estima la Sala que el Gobierno es plenamente consciente de la posibilidad de que haya comenzado a devengarse la paga extraordinaria o equivalente cuya percepción se suprime, en tanto que en el apartado 1 del art. 2 del Real Decreto-ley 20/2012 se indica que la medida afecta a las cuantías “que corresponda percibir”, en tiempo verbal no condicional, admitiendo que el derecho ya se habría generado, no obstante lo cual cierra la puerta a su abono.</w:t>
      </w:r>
    </w:p>
    <w:p w:rsidR="00AC56D6" w:rsidRDefault="00AC56D6" w:rsidP="00AC56D6">
      <w:pPr>
        <w:pStyle w:val="TextoNormal"/>
      </w:pPr>
    </w:p>
    <w:p w:rsidR="00AC56D6" w:rsidRDefault="00AC56D6" w:rsidP="00AC56D6">
      <w:pPr>
        <w:pStyle w:val="TextoNormal"/>
      </w:pPr>
      <w:r>
        <w:t>Desde esa perspectiva, entiende la Sala que no es posible interpretar el art. 2 del Real Decreto-ley 20/2012 considerando que cabe abonar aquella parte de la paga extraordinaria de diciembre que ya se hubiera devengado a la fecha de la entrada en vigor de la citada norma. Así, “por mucho que ya se hubiera devengado la parte proporcional a catorce días (desde el 1 de julio al 14)”, la aplicación del citado art. 2 impediría su abono. Lo mismo acontece con el descuento de la catorceava parte de la retribución anual. Atendiendo a la jurisprudencia de la Sala de lo Social del Tribunal Supremo que se cita, según la cual las pagas extraordinarias son salario diferido y se devengan día a día, entiende la Sala que el art. 2 del Real Decreto-ley 20/2012 podría considerarse contrario al art. 9.3 CE, que garantiza la irretroactividad de las disposiciones restrictivas de derechos individuales y la seguridad jurídica, puesto que se estaría suprimiendo el derecho ya generado a percibir la parte proporcional de la paga extraordinaria devengada antes de la entrada en vigor del Real Decreto-ley 20/2012.</w:t>
      </w:r>
    </w:p>
    <w:p w:rsidR="00AC56D6" w:rsidRDefault="00AC56D6" w:rsidP="00AC56D6">
      <w:pPr>
        <w:pStyle w:val="TextoNormal"/>
      </w:pPr>
    </w:p>
    <w:p w:rsidR="00AC56D6" w:rsidRDefault="00AC56D6" w:rsidP="00AC56D6">
      <w:pPr>
        <w:pStyle w:val="TextoNormal"/>
      </w:pPr>
      <w:r>
        <w:lastRenderedPageBreak/>
        <w:t>Expuesto lo que precede, indica la Sala que la norma cuestionada es determinante para el resultado del litigio y no admite una interpretación que la acomode a la Constitución. Una de las pretensiones formuladas por los demandantes es, justamente, que se mantenga incólume la percepción de la parte ya devengada de la paga extra de diciembre de 2012, o que no se descuente la catorceava parte de la retribución anual, en su caso, a pesar de lo dispuesto en el art. 2 del Real Decreto-ley 20/2012. Posteriormente se hace referencia a las alegaciones realizadas por las partes y el Ministerio Fiscal en el trámite de audiencia, y se señala que tras ellas subsiste la duda de inconstitucionalidad.</w:t>
      </w:r>
    </w:p>
    <w:p w:rsidR="00AC56D6" w:rsidRDefault="00AC56D6" w:rsidP="00AC56D6">
      <w:pPr>
        <w:pStyle w:val="TextoNormal"/>
      </w:pPr>
    </w:p>
    <w:p w:rsidR="00AC56D6" w:rsidRDefault="00AC56D6" w:rsidP="00AC56D6">
      <w:pPr>
        <w:pStyle w:val="TextoNormal"/>
      </w:pPr>
      <w:r>
        <w:t>b) Seguidamente se refiere la Sala a la doctrina constitucional sobre la prohibición de retroactividad de las disposiciones sancionadoras no favorables o restrictivas de derechos individuales (art. 9.3 CE). Señala que, conforme a dicha doctrina, solo puede afirmarse que una norma es retroactiva a los efectos del citado precepto cuando incide sobre “relaciones consagradas” y afecta a “situaciones agotadas”. El espíritu restrictivo que impregna el art. 9.3 CE queda plasmado en la STC 89/2009, de 20 de abril, que ha aclarado que la mención de ese precepto constitucional a la “restricción de derechos individuales” ha de entenderse referido a las limitaciones introducidas en el ámbito de los derechos fundamentales y de las libertades públicas. A la vista de lo anterior, lo primero que hay que preguntarse es si en este caso estamos ante un derecho individual en el sentido apuntado desde esa consideración restrictiva, lo que entiende la Sala que merece una respuesta positiva. En tal sentido, se prosigue afirmando que los derechos retributivos del personal del sector público pertenecen a la esfera general de protección de la persona consagrados en el art. 35.1 CE, que reconoce el derecho a la remuneración suficiente (lo que, en principio, se correspondería sólo con el salario mínimo interprofesional) y también el derecho al trabajo (una de cuyas notas esenciales es su carácter remunerado). Por su parte el estatuto de los trabajadores, aprobado por el legislador en cumplimiento del mandato contenido en el art. 35.2 CE, reconoce en su art. 31 el derecho del trabajador a dos gratificaciones extraordinarias al año, una en Navidad y otra en el mes que se determine por convenio colectivo o por acuerdo entre el empresario y los representantes de los trabajadores. A su vez, el art. 27 de la Ley 7/2007, de 12 de abril, del estatuto básico del empleado público, dispone que “las retribuciones del personal laboral se determinarán de acuerdo con la legislación laboral, el convenio colectivo que sea aplicable y el contrato de trabajo, respetando en todo caso lo establecido en el art. 21 del presente Estatuto”; precepto este último —concluye la Sala— que vincula las retribuciones de los funcionarios y del personal laboral del sector público a los límites fijados en las leyes de presupuestos del Estado.</w:t>
      </w:r>
    </w:p>
    <w:p w:rsidR="00AC56D6" w:rsidRDefault="00AC56D6" w:rsidP="00AC56D6">
      <w:pPr>
        <w:pStyle w:val="TextoNormal"/>
      </w:pPr>
    </w:p>
    <w:p w:rsidR="00AC56D6" w:rsidRDefault="00AC56D6" w:rsidP="00AC56D6">
      <w:pPr>
        <w:pStyle w:val="TextoNormal"/>
      </w:pPr>
      <w:r>
        <w:t xml:space="preserve">Partiendo de este enfoque, se señala que el Tribunal Constitucional ha venido admitiendo con naturalidad el encaje en el supuesto de hecho del art. 9.3 CE en el caso de normas que, como la cuestionada, se inspiran en la finalidad de la contención del gasto público mediante la reducción retributiva. En este sentido se citan la STC 330/2005, de 15 de diciembre (en la que se niega que la regulación de la retribución para el personal de una Administración autonómica vulnere el art. 9.3 CE pero por motivos distintos a su no consideración como derechos individuales a los que alude el precepto) y el ATC 162/2012, de 13 de septiembre (que rechaza que la reducción de las retribuciones impuesta legalmente afecte al art. 9.3 CE, pero no por no tratarse de derechos individuales protegibles sino por no poseer efectos retroactivos al examinarse una regulación </w:t>
      </w:r>
      <w:r w:rsidRPr="00AC56D6">
        <w:rPr>
          <w:i/>
        </w:rPr>
        <w:t>pro futuro</w:t>
      </w:r>
      <w:r>
        <w:t>). A la vista de todo ello, se considera que en el presente caso nos encontraríamos ante derechos individuales amparables por el principio de interdicción de retroactividad (art. 9.3 CE).</w:t>
      </w:r>
    </w:p>
    <w:p w:rsidR="00AC56D6" w:rsidRDefault="00AC56D6" w:rsidP="00AC56D6">
      <w:pPr>
        <w:pStyle w:val="TextoNormal"/>
      </w:pPr>
    </w:p>
    <w:p w:rsidR="00AC56D6" w:rsidRDefault="00AC56D6" w:rsidP="00AC56D6">
      <w:pPr>
        <w:pStyle w:val="TextoNormal"/>
      </w:pPr>
      <w:r>
        <w:t>c) A continuación analiza la Sala si el art. 2 del Real Decreto-ley 20/2012, al establecer la supresión de la paga extraordinaria de diciembre de 2012 para el personal laboral del sector público o, en su caso, el descuento de la catorceava parte del total de la retribución anual, supone una retroactividad prohibida por el art. 9.3 CE; esto es, la que incide sobre los efectos jurídicos ya producidos al amparo de una norma anteriormente vigente. Para ello, considera preciso determinar si el derecho a la paga extraordinaria de diciembre de 2012 o equivalente estaba ya consolidado, asumido e integrado en el patrimonio de los trabajadores cuando entró en vigor el Real Decreto-ley 20/2012 o si, por el contrario, se trataba de una expectativa de derecho, o de un derecho futuro o condicionado.</w:t>
      </w:r>
    </w:p>
    <w:p w:rsidR="00AC56D6" w:rsidRDefault="00AC56D6" w:rsidP="00AC56D6">
      <w:pPr>
        <w:pStyle w:val="TextoNormal"/>
      </w:pPr>
    </w:p>
    <w:p w:rsidR="00AC56D6" w:rsidRDefault="00AC56D6" w:rsidP="00AC56D6">
      <w:pPr>
        <w:pStyle w:val="TextoNormal"/>
      </w:pPr>
      <w:r>
        <w:t>Indica la Sala que, dado que la regulación legal de las pagas extraordinarias no ofrece respuesta a este interrogante (se limita a fijar el momento de su percepción), se ha de tener en cuenta la jurisprudencia de la Sala de lo Social del Tribunal Supremo en unificación de doctrina que se cita, que configura la paga extraordinaria como de devengo diario y de cobro aplazado. Tras ello, se pregunta la Sala si la posible inconstitucionalidad del art. 2 del Real Decreto-ley 20/2012 puede operar tomando como referencia un criterio jurisprudencial y llega a la conclusión de que la configuración normativa del derecho a las pagas extraordinarias se ve complementada por su configuración jurisprudencial, por lo que la respuesta habría de ser afirmativa. Se añade a este respecto que no estamos ante un pronunciamiento aislado de un tribunal menor, sino ante jurisprudencia, que, además, ha sido dictada en unificación de doctrina. Por ello, el criterio jurisprudencial del Tribunal Supremo sobre el devengo diario de las pagas extraordinarias “se alza con valor normativo complementario, salvaguardando la pureza de la ley, de modo que forma una unidad con la misma como parámetro de inconstitucionalidad del art. 2 del Real Decreto-ley 20/2012”.</w:t>
      </w:r>
    </w:p>
    <w:p w:rsidR="00AC56D6" w:rsidRDefault="00AC56D6" w:rsidP="00AC56D6">
      <w:pPr>
        <w:pStyle w:val="TextoNormal"/>
      </w:pPr>
    </w:p>
    <w:p w:rsidR="00AC56D6" w:rsidRDefault="00AC56D6" w:rsidP="00AC56D6">
      <w:pPr>
        <w:pStyle w:val="TextoNormal"/>
      </w:pPr>
      <w:r>
        <w:t>Teniendo en cuenta todo lo anterior, concluye la Sala que “estamos ante un derecho que se genera día a día, incorporándose como tal al acervo patrimonial de los trabajadores”. “En el caso examinado, al ser la paga extra de diciembre de 2012 de devengo semestral a partir del 1 de julio, por disponerlo así el Convenio colectivo de aplicación”, a la fecha de entrada en vigor del Real Decreto-ley 20/2012 “ya se había devengado y generado el derecho a la parte proporcional a catorce días de trabajo”, que sin embargo el art. 2 del Real Decreto-ley 20/2012 suprime, operando con ello “una retroactividad auténtica o de grado máximo”.</w:t>
      </w:r>
    </w:p>
    <w:p w:rsidR="00AC56D6" w:rsidRDefault="00AC56D6" w:rsidP="00AC56D6">
      <w:pPr>
        <w:pStyle w:val="TextoNormal"/>
      </w:pPr>
    </w:p>
    <w:p w:rsidR="00AC56D6" w:rsidRDefault="00AC56D6" w:rsidP="00AC56D6">
      <w:pPr>
        <w:pStyle w:val="TextoNormal"/>
      </w:pPr>
      <w:r>
        <w:t xml:space="preserve">d) Se pregunta a continuación la Sala en su Auto de planteamiento de la cuestión si, aun siendo esa retroactividad de grado máximo, puede resultar justificada por concurrir exigencias cualificadas del bien común que podrían imponerse excepcionalmente (STC 197/1992, de 19 de noviembre). La Abogacía del Estado alegó, en este sentido, la exigencia de unos fuertes ajustes presupuestarios provocados por la situación de crisis económica. Sostiene que la necesidad de reducir el déficit público que inspira la norma cuestionada constituiría ese objetivo de procurar el bien común y proteger el interés general, lo que permitiría exceptuar la interdicción de retroactividad. Discrepa la Sala de esta conclusión, porque considera que la crisis económica podría acaso justificar determinadas medidas restrictivas de derechos individuales como la cuestionada, pero no puede abrir la puerta, sin más, a que esas restricciones operen de modo retroactivo. Entiende la Sala que la excepción a la irretroactividad recogida en la doctrina constitucional debe interpretarse de forma restrictiva y que no cabe extenderla a toda medida de interés general. En otras palabras, estima la Sala que la reducción del déficit público puede justificar muchas medidas; no reúne sin embargo </w:t>
      </w:r>
      <w:r>
        <w:lastRenderedPageBreak/>
        <w:t>la nota de cualificación absolutamente excepcional que sería necesaria para sacrificar el principio constitucional de seguridad jurídica que sustenta la irretroactividad, en aras del bien común. Es el interés general lo que se ataca cuando se niega a quienes han prestado sus servicios al sector público el derecho a percibir el salario correspondiente. Se hace referencia también en el Auto de planteamiento a algunos pronunciamientos del Tribunal Europeo de Derechos Humanos en los que —según la Sala— este Tribunal mantiene una concepción cualificada del “interés general” y descarta que la pretensión de reducir el gasto público, por muy urgente y necesaria que sea, constituya sin más un “bien común”, que abra la puerta a exceptuar los principios constitucionales de irretroactividad y seguridad jurídica, principios que sí cabría identificar, en cambio, con el interés general de los ciudadanos.</w:t>
      </w:r>
    </w:p>
    <w:p w:rsidR="00AC56D6" w:rsidRDefault="00AC56D6" w:rsidP="00AC56D6">
      <w:pPr>
        <w:pStyle w:val="TextoNormal"/>
      </w:pPr>
    </w:p>
    <w:p w:rsidR="00AC56D6" w:rsidRDefault="00AC56D6" w:rsidP="00AC56D6">
      <w:pPr>
        <w:pStyle w:val="TextoNormal"/>
      </w:pPr>
      <w:r>
        <w:t>e) Finalmente, la Sala se plantea la posibilidad de que estemos ante una expropiación legislativa de derechos, pero rechaza tal posibilidad en tanto que la previsión de una hipotética compensación o devolución futura de cantidades en modo alguno resultaría asimilable al justo precio al que alude la Ley de expropiación forzosa. Añade que ni está garantizada, ni es propiamente una devolución, puesto que las cuantías detraídas se transformarían en aportaciones a planes de pensiones o contratos de seguro en los términos que establezca el legislador, sujetas, además, al previo cumplimiento de los objetivos de estabilidad presupuestaria. Por otra parte, el carácter meramente hipotético y condicionado de la devolución de las cantidades detraídas a raíz de la supresión de la paga extraordinaria de diciembre de 2012, “diluye cualquier brizna de proporcionalidad de la compensación que pudiera alegarse para justificar la injerencia retroactiva y se aleja del todo del concepto de expropiación legislativa de derechos”.</w:t>
      </w:r>
    </w:p>
    <w:p w:rsidR="00AC56D6" w:rsidRDefault="00AC56D6" w:rsidP="00AC56D6">
      <w:pPr>
        <w:pStyle w:val="TextoNormal"/>
      </w:pPr>
    </w:p>
    <w:p w:rsidR="00AC56D6" w:rsidRDefault="00AC56D6" w:rsidP="00AC56D6">
      <w:pPr>
        <w:pStyle w:val="TextoNormal"/>
      </w:pPr>
      <w:r>
        <w:t>f) Añade la Sala que en el específico caso de los trabajadores para los que se establece (art. 2.5 del Real Decreto-ley 20/2012) la reducción de retribuciones anuales totales en una catorceava parte, en aquellos casos en que no se contemple expresamente la percepción de pagas extras o se perciban más de dos al año, se plantea también la posibilidad de que la medida afecte a salarios ya devengados a la entrada en vigor del Real Decreto-ley 20/2012, con posible vulneración igualmente del principio de interdicción de retroactividad (art. 9.3 CE).</w:t>
      </w:r>
    </w:p>
    <w:p w:rsidR="00AC56D6" w:rsidRDefault="00AC56D6" w:rsidP="00AC56D6">
      <w:pPr>
        <w:pStyle w:val="TextoNormal"/>
      </w:pPr>
    </w:p>
    <w:p w:rsidR="00AC56D6" w:rsidRDefault="00AC56D6" w:rsidP="00AC56D6">
      <w:pPr>
        <w:pStyle w:val="TextoNormal"/>
      </w:pPr>
      <w:r>
        <w:t>Por todo lo expuesto, la Sala de lo Social de la Audiencia Nacional concluye que el art. 2 del Real Decreto-ley 20/2012, en su aplicación al personal laboral del sector público, ha podido vulnerar el principio de irretroactividad de las disposiciones restrictivas de derechos individuales previsto en el art. 9.3 CE, al no contemplar excepción alguna respecto de las cuantías ya devengadas al momento de la entrada en vigor del Real Decreto-ley 20/2012.</w:t>
      </w:r>
    </w:p>
    <w:p w:rsidR="00AC56D6" w:rsidRDefault="00AC56D6" w:rsidP="00AC56D6">
      <w:pPr>
        <w:pStyle w:val="TextoNormal"/>
      </w:pPr>
    </w:p>
    <w:p w:rsidR="00AC56D6" w:rsidRDefault="00AC56D6" w:rsidP="00AC56D6">
      <w:pPr>
        <w:pStyle w:val="TextoNormal"/>
      </w:pPr>
      <w:r w:rsidRPr="00AC56D6">
        <w:rPr>
          <w:rStyle w:val="NumeroAFNegritaCaracter"/>
        </w:rPr>
        <w:t>4</w:t>
      </w:r>
      <w:r>
        <w:t>. El Pleno de este Tribunal, a propuesta de la Sección Tercera, acordó admitir a trámite la cuestión mediante providencia de 28 de enero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 la Audiencia Nacional, a fin de que, de conformidad con lo dispuesto en el art. 35 LOTC, permaneciese suspendido el proceso hasta que este Tribunal resolviese efectivamente la cuestión; y publicar la incoación de la cuestión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Por escrito registrado el 5 de febrero de 2014 la Vicepresidenta Primera y Presidenta en funciones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AC56D6" w:rsidRDefault="00AC56D6" w:rsidP="00AC56D6">
      <w:pPr>
        <w:pStyle w:val="TextoNormal"/>
      </w:pPr>
    </w:p>
    <w:p w:rsidR="00AC56D6" w:rsidRDefault="00AC56D6" w:rsidP="00AC56D6">
      <w:pPr>
        <w:pStyle w:val="TextoNormal"/>
      </w:pPr>
      <w:r>
        <w:t>Mediante escrito registrado el 12 de febrero de 2014, el Presidente del Senado comunicó a este Tribunal el acuerdo de la Mesa para que se diera por personada a la Cámara y por ofrecida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6</w:t>
      </w:r>
      <w:r>
        <w:t>. El Abogado del Estado, mediante escrito de alegaciones registrado el 20 de febrero de 2014, se personó interesando la desestimación de la cuestión de inconstitucionalidad por las razones que, resumidamente, se exponen a continuación.</w:t>
      </w:r>
    </w:p>
    <w:p w:rsidR="00AC56D6" w:rsidRDefault="00AC56D6" w:rsidP="00AC56D6">
      <w:pPr>
        <w:pStyle w:val="TextoNormal"/>
      </w:pPr>
    </w:p>
    <w:p w:rsidR="00AC56D6" w:rsidRDefault="00AC56D6" w:rsidP="00AC56D6">
      <w:pPr>
        <w:pStyle w:val="TextoNormal"/>
      </w:pPr>
      <w:r>
        <w:t>Comienza señalando que el Juzgado no se cuestiona genéricamente la supresión de la paga extra al personal funcionario, sino que tan solo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00AC56D6" w:rsidRDefault="00AC56D6" w:rsidP="00AC56D6">
      <w:pPr>
        <w:pStyle w:val="TextoNormal"/>
      </w:pPr>
    </w:p>
    <w:p w:rsidR="00AC56D6" w:rsidRDefault="00AC56D6" w:rsidP="00AC56D6">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AC56D6" w:rsidRDefault="00AC56D6" w:rsidP="00AC56D6">
      <w:pPr>
        <w:pStyle w:val="TextoNormal"/>
      </w:pPr>
    </w:p>
    <w:p w:rsidR="00AC56D6" w:rsidRDefault="00AC56D6" w:rsidP="00AC56D6">
      <w:pPr>
        <w:pStyle w:val="TextoNormal"/>
      </w:pPr>
      <w: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w:t>
      </w:r>
      <w:r>
        <w:lastRenderedPageBreak/>
        <w:t>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00AC56D6" w:rsidRDefault="00AC56D6" w:rsidP="00AC56D6">
      <w:pPr>
        <w:pStyle w:val="TextoNormal"/>
      </w:pPr>
    </w:p>
    <w:p w:rsidR="00AC56D6" w:rsidRDefault="00AC56D6" w:rsidP="00AC56D6">
      <w:pPr>
        <w:pStyle w:val="TextoNormal"/>
      </w:pPr>
      <w:r>
        <w:t>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00AC56D6" w:rsidRDefault="00AC56D6" w:rsidP="00AC56D6">
      <w:pPr>
        <w:pStyle w:val="TextoNormal"/>
      </w:pPr>
    </w:p>
    <w:p w:rsidR="00AC56D6" w:rsidRDefault="00AC56D6" w:rsidP="00AC56D6">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w:t>
      </w:r>
      <w:r>
        <w:lastRenderedPageBreak/>
        <w:t>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AC56D6" w:rsidRDefault="00AC56D6" w:rsidP="00AC56D6">
      <w:pPr>
        <w:pStyle w:val="TextoNormal"/>
      </w:pPr>
    </w:p>
    <w:p w:rsidR="00AC56D6" w:rsidRDefault="00AC56D6" w:rsidP="00AC56D6">
      <w:pPr>
        <w:pStyle w:val="TextoNormal"/>
      </w:pPr>
      <w:r>
        <w:t>Por todo ello, se interesa la desestimación de la cuestión.</w:t>
      </w:r>
    </w:p>
    <w:p w:rsidR="00AC56D6" w:rsidRDefault="00AC56D6" w:rsidP="00AC56D6">
      <w:pPr>
        <w:pStyle w:val="TextoNormal"/>
      </w:pPr>
    </w:p>
    <w:p w:rsidR="00AC56D6" w:rsidRDefault="00AC56D6" w:rsidP="00AC56D6">
      <w:pPr>
        <w:pStyle w:val="TextoNormal"/>
      </w:pPr>
      <w:r w:rsidRPr="00AC56D6">
        <w:rPr>
          <w:rStyle w:val="NumeroAFNegritaCaracter"/>
        </w:rPr>
        <w:t>7</w:t>
      </w:r>
      <w:r>
        <w:t>. El Fiscal General del Estado presentó escrito de alegaciones ante este Tribunal el 25 de febrero de 2014 interesando la estimación de la presente cuestión de inconstitucionalidad.</w:t>
      </w:r>
    </w:p>
    <w:p w:rsidR="00AC56D6" w:rsidRDefault="00AC56D6" w:rsidP="00AC56D6">
      <w:pPr>
        <w:pStyle w:val="TextoNormal"/>
      </w:pPr>
    </w:p>
    <w:p w:rsidR="00AC56D6" w:rsidRDefault="00AC56D6" w:rsidP="00AC56D6">
      <w:pPr>
        <w:pStyle w:val="TextoNormal"/>
      </w:pPr>
      <w:r>
        <w:t>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AC56D6" w:rsidRDefault="00AC56D6" w:rsidP="00AC56D6">
      <w:pPr>
        <w:pStyle w:val="TextoNormal"/>
      </w:pPr>
    </w:p>
    <w:p w:rsidR="00AC56D6" w:rsidRDefault="00AC56D6" w:rsidP="00AC56D6">
      <w:pPr>
        <w:pStyle w:val="TextoNormal"/>
      </w:pPr>
      <w: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w:t>
      </w:r>
      <w:r w:rsidRPr="00AC56D6">
        <w:rPr>
          <w:i/>
        </w:rPr>
        <w:t>N.K.M. v.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lastRenderedPageBreak/>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t>El Fiscal General del Estado concluye sus alegaciones precisando que en el Auto de planteamiento no se cuestiona todo el art. 2 del Real Decreto-ley 20/2012 sino en concreto, su apartado 2.2 ya que es éste el que resulta aplicable para resolver el pleito sometido a su conocimiento y relevante en cuánto la demanda del proceso subyacente se refiere exclusivamente al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29 de octubre de 2015 se señaló para deliberación y votación de la presente Sentencia el día 2 de noviembre del mismo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Sala de lo Social de la Audiencia Nacional plantea cuestión de inconstitucionalidad respecto del art. 2 del Real Decreto-ley 20/2012, de 13 de julio, de medidas para garantizar la estabilidad presupuestaria y de fomento de la competitividad. Este precepto, en lo que aquí importa, dispone para el personal del sector público definido en el art. 22.1 de la Ley 2/2012, de 29 de junio, de presupuestos generales del Estado para 2012, la supresión de la paga extraordinaria (o equivalente) del mes de diciembre de 2012. En síntesis, la Sala entiende que el art. 2 del Real Decreto-ley 20/2012, en su aplicación al personal laboral del sector público,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(15 de julio de 2012).</w:t>
      </w:r>
    </w:p>
    <w:p w:rsidR="00AC56D6" w:rsidRDefault="00AC56D6" w:rsidP="00AC56D6">
      <w:pPr>
        <w:pStyle w:val="TextoNormal"/>
      </w:pPr>
    </w:p>
    <w:p w:rsidR="00AC56D6" w:rsidRDefault="00AC56D6" w:rsidP="00AC56D6">
      <w:pPr>
        <w:pStyle w:val="TextoNormal"/>
      </w:pPr>
      <w:r>
        <w:lastRenderedPageBreak/>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al análisis de la cuestión planteada conviene realizar una serie de precisiones para acotar debidamente el objeto de la misma y el alcance de nuestro enjuiciamiento.</w:t>
      </w:r>
    </w:p>
    <w:p w:rsidR="00AC56D6" w:rsidRDefault="00AC56D6" w:rsidP="00AC56D6">
      <w:pPr>
        <w:pStyle w:val="TextoNormal"/>
      </w:pPr>
    </w:p>
    <w:p w:rsidR="00AC56D6" w:rsidRDefault="00AC56D6" w:rsidP="00AC56D6">
      <w:pPr>
        <w:pStyle w:val="TextoNormal"/>
      </w:pPr>
      <w:r>
        <w:t>a) En primer lugar, resulta obligado advertir, en consonancia con lo manifestado en sus alegaciones respectivas por el Fiscal General del Estado y el Abogado del Estado, que, si bien la Sala de lo Social de la Audiencia Nacional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al personal laboral del sector público” (como se precisa expresamente en la parte dispositiva del Auto). Ello se conecta lógicamente con el juicio de relevancia, correctamente expresado por el órgano judicial.</w:t>
      </w:r>
    </w:p>
    <w:p w:rsidR="00AC56D6" w:rsidRDefault="00AC56D6" w:rsidP="00AC56D6">
      <w:pPr>
        <w:pStyle w:val="TextoNormal"/>
      </w:pPr>
    </w:p>
    <w:p w:rsidR="00AC56D6" w:rsidRDefault="00AC56D6" w:rsidP="00AC56D6">
      <w:pPr>
        <w:pStyle w:val="TextoNormal"/>
      </w:pPr>
      <w:r>
        <w:t>La cuestión de inconstitucionalidad trae causa de un proceso de conflicto colectivo promovido por varios sindicatos con motivo de la supresión, por aplicación de las previsiones contenidas en el Real Decreto-ley 20/2012, de la paga extra de diciembre de 2012 al personal laboral de una entidad pública estatal (RENFE-Operadora), así como del descuento de la catorceava parte de las retribuciones anuales, efectuado en aplicación de la misma norma, a los trabajadores de la misma entidad cuyo régimen retributivo no contempla el concepto de paga extraordinaria; proceso en el que lo pretendido por los demandantes con carácter subsidiario a la pretensión principal (referida a que no se apliquen en esa entidad pública las medidas de supresión o reducción de retribuciones previstas por el Real Decreto-ley 20/2012) es justamente que se declare el derecho de los trabajadores de esa entidad a percibir la parte proporcional de la paga extra de diciembre de 2012 o equivalente que consideran ya devengada al momento de la entrada en vigor del Real Decreto-ley 20/2012, porque, de acuerdo con el art. 9.3 CE, no cabe que la supresión de esa paga extra tenga efectos retroactivos; lo mismo se predica del descuento de la catorceava parte de las retribuciones anuales al personal cuyo sistema retributivo no contempla el concepto de paga extraordinaria, por entender la Sala que la medida afecta a salarios ya devengados a la entrada en vigor del Real Decreto-ley 20/2012, con posible vulneración igualmente del principio de interdicción de la retroactividad de las disposiciones restrictivas de derechos individuales (art. 9.3 CE).</w:t>
      </w:r>
    </w:p>
    <w:p w:rsidR="00AC56D6" w:rsidRDefault="00AC56D6" w:rsidP="00AC56D6">
      <w:pPr>
        <w:pStyle w:val="TextoNormal"/>
      </w:pPr>
    </w:p>
    <w:p w:rsidR="00AC56D6" w:rsidRDefault="00AC56D6" w:rsidP="00AC56D6">
      <w:pPr>
        <w:pStyle w:val="TextoNormal"/>
      </w:pPr>
      <w:r>
        <w:t xml:space="preserve">De este modo, en los términos en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también al apartado 2.2 del art. 2 del Real Decreto-ley 20/2012, que se refiere específicamente a la supresión de la paga o gratificación extraordinaria de diciembre de 2012, o equivalente, al personal laboral del sector público; y al apartado 5 del art. 2 del Real Decreto-ley 20/2012, que establece la reducción de una catorceava parte de las retribuciones totales anuales a los trabajadores del sector público cuyo régimen retributivo no </w:t>
      </w:r>
      <w:r>
        <w:lastRenderedPageBreak/>
        <w:t>contemple expresamente la percepción de pagas extraordinarias o que perciban más de dos pagas extraordinarias al año.</w:t>
      </w:r>
    </w:p>
    <w:p w:rsidR="00AC56D6" w:rsidRDefault="00AC56D6" w:rsidP="00AC56D6">
      <w:pPr>
        <w:pStyle w:val="TextoNormal"/>
      </w:pPr>
    </w:p>
    <w:p w:rsidR="00AC56D6" w:rsidRDefault="00AC56D6" w:rsidP="00AC56D6">
      <w:pPr>
        <w:pStyle w:val="TextoNormal"/>
      </w:pPr>
      <w:r>
        <w:t xml:space="preserve">b) Por otra parte debe tenerse en cuenta que no se cuestiona por la Sala de lo Social de la Audiencia Nacional la medida de supresión de la paga extraordinaria de diciembre de 2012 en sí misma considerada (que es la pretensión principal que se deduce por los sindicatos demandantes en el proceso </w:t>
      </w:r>
      <w:r w:rsidRPr="00AC56D6">
        <w:rPr>
          <w:i/>
        </w:rPr>
        <w:t>a quo</w:t>
      </w:r>
      <w:r>
        <w:t xml:space="preserve">, como se ha dicho); sino sólo en cuanto su aplicación haya podido suponer la infracción del principio de irretroactividad establecido en el 9.3 CE, al no contemplar excepción alguna respecto de las cuantías que se entienden ya devengadas de dicha paga extra a la fecha de entrada en vigor del Real Decreto-ley 20/2012 (que tuvo lugar el 15 de julio de 2012, conforme a su disposición final decimoquinta); y lo mismo en cuanto al descuento de la catorceava parte de las retribuciones anuales efectuado en aplicación del art. 2.5 del Real Decreto-ley 20/2012 al personal de RENFE-Operadora cuyo sistema retributivo no contempla el concepto de paga extraordinaria. A esta concreta duda (planteada a partir de las pretensiones subsidiarias en el proceso </w:t>
      </w:r>
      <w:r w:rsidRPr="00AC56D6">
        <w:rPr>
          <w:i/>
        </w:rPr>
        <w:t>a quo</w:t>
      </w:r>
      <w:r>
        <w:t>) deberá, pues, ceñirse nuestro enjuiciamiento.</w:t>
      </w:r>
    </w:p>
    <w:p w:rsidR="00AC56D6" w:rsidRDefault="00AC56D6" w:rsidP="00AC56D6">
      <w:pPr>
        <w:pStyle w:val="TextoNormal"/>
      </w:pPr>
    </w:p>
    <w:p w:rsidR="00AC56D6" w:rsidRDefault="00AC56D6" w:rsidP="00AC56D6">
      <w:pPr>
        <w:pStyle w:val="TextoNormal"/>
      </w:pPr>
      <w:r>
        <w:t>c) Conviene asimismo advertir que la Sala de lo Social de la Audiencia Nacional no cuestiona el art. 3.2 del Real Decreto-ley 20/2012. Este reitera, para el personal laboral del sector público estatal incluido en el art. 27 de la Ley 2/2012, de presupuestos generales del Estado para 2012 (personal en el que se cuentan los trabajadores de la entidad pública empresarial estatal RENFE-Operadora), la regla de la supresión de la paga extraordinaria de diciembre de 2012 establecida en el art. 2 del Real Decreto-ley 20/2012. Tampoco cuestiona la Sala el art. 6 del Real Decreto-ley 20/2012, que, en consonancia con esa misma regla, suprime durante el año 2012 para el personal laboral del sector público “la percepción de la gratificación extraordinaria con ocasión de las fiestas de Navidad contenida en el art. 31 del Estatuto de los Trabajadores”. Por tanto, las previsiones contenidas en los arts. 3.2 y 6 del Real Decreto-ley 20/2012 quedan fuera de nuestro pronunciamiento.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Delimitado el alcance de nuestra decisión, debemos remitirnos a lo dicho recientemente en la STC 83/2015, de 30 de abril, FJ 3, sobre la posible pérdida de objeto de la cuestión de inconstitucionalidad, como consecuencia de lo establecido en la disposición adicional duodécima de la Ley 36/2014, de 26 de diciembre, de presupuestos generales del Estado para 2015. Bajo el epígrafe “Recuperación de la paga extraordinaria y adicional del mes de diciembre de 2012”, se establece, en su apartado 1.1,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según establece el apartado 1.2. En su apartado 2 dispone las reglas para el abono de dichas cantidades al personal del sector público estatal (entre el que se encuentran los trabajadores de la entidad pública empresarial RENFE-Operadora), previsiones cuya aplicación efectiva se ha llevado a cabo en el ámbito del sector público estatal conforme a las instrucciones contenidas en la resolución conjunta de las Secretarías de Estado de Presupuestos y Gastos y de Administraciones Públicas de 29 de diciembre de 2014 (publicada en el “Boletín Oficial del Estado” de 2 de enero de 2015). En ella se precisa: “El reconocimiento del derecho a recuperar las cantidades dejadas de percibir se produce por imperativo de la propia Ley de Presupuestos Generales del Estado para </w:t>
      </w:r>
      <w:r>
        <w:lastRenderedPageBreak/>
        <w:t>2015 y produce sus efectos a partir de este último año, por lo que todas las cantidades que se reconozcan en virtud de lo dispuesto en la disposición adicional constituyen percepciones correspondientes al ejercicio de 2015”.</w:t>
      </w:r>
    </w:p>
    <w:p w:rsidR="00AC56D6" w:rsidRDefault="00AC56D6" w:rsidP="00AC56D6">
      <w:pPr>
        <w:pStyle w:val="TextoNormal"/>
      </w:pPr>
    </w:p>
    <w:p w:rsidR="00AC56D6" w:rsidRDefault="00AC56D6" w:rsidP="00AC56D6">
      <w:pPr>
        <w:pStyle w:val="TextoNormal"/>
      </w:pPr>
      <w:r>
        <w:t xml:space="preserve">En el presente caso ha de estarse a lo dispuesto en el apartado III de las referidas Instrucciones, que contiene las reglas aplicables al personal laboral del sector público estatal al que no le resulte de aplicación el III convenio colectivo único del personal laboral al servicio de la Administración General del Estado; en esta situación se encuentra el personal incluido en el ámbito de aplicación de los convenios colectivos de RENFE y de la extinta FEVE en los que se fundamentan las pretensiones deducidas en el proceso </w:t>
      </w:r>
      <w:r w:rsidRPr="00AC56D6">
        <w:rPr>
          <w:i/>
        </w:rPr>
        <w:t>a quo</w:t>
      </w:r>
      <w:r>
        <w:t>.</w:t>
      </w:r>
    </w:p>
    <w:p w:rsidR="00AC56D6" w:rsidRDefault="00AC56D6" w:rsidP="00AC56D6">
      <w:pPr>
        <w:pStyle w:val="TextoNormal"/>
      </w:pPr>
    </w:p>
    <w:p w:rsidR="00AC56D6" w:rsidRDefault="00AC56D6" w:rsidP="00AC56D6">
      <w:pPr>
        <w:pStyle w:val="TextoNormal"/>
      </w:pPr>
      <w:r>
        <w:t>En la STC 83/2015, FJ 3, se recuerda la reiterada doctrina constitucional sobre los efectos extintivos del objeto del proceso en las cuestiones de inconstitucionalidad, como consecuencia de la derogación o modificación de la norma legal cuestionada y esto acontece en el presente caso.</w:t>
      </w:r>
    </w:p>
    <w:p w:rsidR="00AC56D6" w:rsidRDefault="00AC56D6" w:rsidP="00AC56D6">
      <w:pPr>
        <w:pStyle w:val="TextoNormal"/>
      </w:pPr>
    </w:p>
    <w:p w:rsidR="00AC56D6" w:rsidRDefault="00AC56D6" w:rsidP="00AC56D6">
      <w:pPr>
        <w:pStyle w:val="TextoNormal"/>
      </w:pPr>
      <w:r w:rsidRPr="00AC56D6">
        <w:rPr>
          <w:rStyle w:val="NumeroAFNegritaCaracter"/>
        </w:rPr>
        <w:t>4</w:t>
      </w:r>
      <w:r>
        <w:t>. Así, en el conflicto colectivo del que trae causa la presente cuestión de inconstitucionalidad se discute el derecho de los trabajadores de una entidad pública empresarial del sector estatal (RENFE-Operadora) a percibir la parte proporcional de la paga extra de diciembre de 2012 ya devengada al momento de la entrada en vigor del Real Decreto-ley 20/2012, que suprimió el derecho a su percepción; así como el derecho a percibir la parte proporcional correspondiente al descuento de la catorceava parte de las retribuciones anuales totales efectuado en aplicación de la misma norma al personal cuyo sistema retributivo no contempla el concepto de paga extraordinaria.</w:t>
      </w:r>
    </w:p>
    <w:p w:rsidR="00AC56D6" w:rsidRDefault="00AC56D6" w:rsidP="00AC56D6">
      <w:pPr>
        <w:pStyle w:val="TextoNormal"/>
      </w:pPr>
    </w:p>
    <w:p w:rsidR="00AC56D6" w:rsidRDefault="00AC56D6" w:rsidP="00AC56D6">
      <w:pPr>
        <w:pStyle w:val="TextoNormal"/>
      </w:pPr>
      <w:r>
        <w:t>Planteada la cuestión es obligado concluir como hicimos en la STC 83/2015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00AC56D6" w:rsidRDefault="00AC56D6" w:rsidP="00AC56D6">
      <w:pPr>
        <w:pStyle w:val="TextoNormal"/>
      </w:pPr>
    </w:p>
    <w:p w:rsidR="00AC56D6" w:rsidRDefault="00AC56D6" w:rsidP="00AC56D6">
      <w:pPr>
        <w:pStyle w:val="TextoNormal"/>
      </w:pPr>
      <w:r>
        <w:t>En conclusión, “la regulación contenida en la citada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83/2015, FJ 3; y en el mismo sentido AATC 340/2003, de 21 de octubre, FJ único; y 75/2004, de 9 de marzo, FJ único)” (STC 83/2015, FJ 3).</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Declarar la extinción de la presente cuestión de inconstitucionalidad por desaparición sobrevenida de su objeto.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dos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81" w:name="SENTENCIA_2015_225"/>
      <w:r>
        <w:lastRenderedPageBreak/>
        <w:t>SENTENCIA 225/2015, de 2 de noviembre de 2015</w:t>
      </w:r>
    </w:p>
    <w:bookmarkEnd w:id="81"/>
    <w:p w:rsidR="00AC56D6" w:rsidRDefault="00AC56D6" w:rsidP="00AC56D6">
      <w:pPr>
        <w:pStyle w:val="TtuloResolucin"/>
      </w:pPr>
      <w:r>
        <w:t>Sala Primera</w:t>
      </w:r>
    </w:p>
    <w:p w:rsidR="00AC56D6" w:rsidRDefault="00AC56D6" w:rsidP="00AC56D6">
      <w:pPr>
        <w:pStyle w:val="TtuloBOE"/>
      </w:pPr>
      <w:r>
        <w:t>(BOE núm. 296, de 11 de diciembre de 2015)</w:t>
      </w:r>
    </w:p>
    <w:p w:rsidR="00AC56D6" w:rsidRDefault="00AC56D6" w:rsidP="00AC56D6">
      <w:pPr>
        <w:pStyle w:val="TextoNormalCentrado"/>
      </w:pPr>
      <w:r>
        <w:t>ECLI:ES:TC:2015:225</w:t>
      </w:r>
    </w:p>
    <w:p w:rsidR="00AC56D6" w:rsidRDefault="00AC56D6" w:rsidP="00AC56D6">
      <w:pPr>
        <w:pStyle w:val="TextoNormalCentrado"/>
      </w:pPr>
    </w:p>
    <w:p w:rsidR="00AC56D6" w:rsidRDefault="00AC56D6" w:rsidP="00AC56D6">
      <w:pPr>
        <w:pStyle w:val="SntesisDescriptiva"/>
      </w:pPr>
      <w:r>
        <w:t>Cuestión de inconstitucionalidad 584-2014. Planteada por la Sala de lo Social del Tribunal Superior de Justicia de Asturias, en relación con el artículos 2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extinción, por pérdida de objeto, de la cuestión de inconstitucionalidad (STC 83/2015).</w:t>
      </w:r>
    </w:p>
    <w:p w:rsidR="00AC56D6" w:rsidRDefault="00AC56D6" w:rsidP="00AC56D6">
      <w:pPr>
        <w:pStyle w:val="SntesisAnaltica"/>
      </w:pPr>
    </w:p>
    <w:p w:rsidR="00AC56D6" w:rsidRDefault="00AC56D6" w:rsidP="00AC56D6">
      <w:pPr>
        <w:pStyle w:val="Extracto"/>
      </w:pPr>
      <w:r>
        <w:t>1.</w:t>
      </w:r>
      <w:r>
        <w:tab/>
        <w:t>La satisfacción extraprocesal de la pretensión deducida en el proceso laboral sobre la que se articula la cuestión de inconstitucionalidad le hace perder su objeto, al ser tal satisfacción extraprocesal uno de los posibles supuestos de extinción de la cuestión de inconstitucionalidad (STC 184/2015) [FJ 3].</w:t>
      </w:r>
    </w:p>
    <w:p w:rsidR="00AC56D6" w:rsidRDefault="00AC56D6" w:rsidP="00AC56D6">
      <w:pPr>
        <w:pStyle w:val="Extracto"/>
      </w:pPr>
    </w:p>
    <w:p w:rsidR="00AC56D6" w:rsidRDefault="00AC56D6" w:rsidP="00AC56D6">
      <w:pPr>
        <w:pStyle w:val="Extracto"/>
      </w:pPr>
      <w:r>
        <w:t>2.</w:t>
      </w:r>
      <w:r>
        <w:tab/>
        <w:t>Doctrina sobre las posibles causas de terminación extraordinaria de las cuestiones de inconstitucionalidad por pérdida sobrevenida de objeto (STC 83/2015) [FJ 3].</w:t>
      </w:r>
    </w:p>
    <w:p w:rsidR="00AC56D6" w:rsidRDefault="00AC56D6" w:rsidP="00AC56D6">
      <w:pPr>
        <w:pStyle w:val="Extracto"/>
      </w:pPr>
    </w:p>
    <w:p w:rsidR="00AC56D6" w:rsidRDefault="00AC56D6" w:rsidP="00AC56D6">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75/2004)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584-2014, promovida por la Sala de lo Social del Tribunal Superior de Justicia de Asturias, en relación con el art. 2 del Real Decreto-ley 20/2012, de 13 de julio, de medidas para garantizar la estabilidad presupuestaria y de fomento de la competitividad. Ha comparecido y formulado alegaciones el Abogado del Estado. Ha intervenido el Fiscal General del Estado. Ha sido Ponente el Presidente don Francisco Pérez de los Cobos Orihuel, quien expresa el parecer del Tribunal.</w:t>
      </w:r>
    </w:p>
    <w:p w:rsidR="00AC56D6" w:rsidRDefault="00AC56D6" w:rsidP="00AC56D6">
      <w:pPr>
        <w:pStyle w:val="TextoNormal"/>
      </w:pPr>
    </w:p>
    <w:p w:rsidR="00AC56D6" w:rsidRDefault="00AC56D6" w:rsidP="00AC56D6">
      <w:pPr>
        <w:pStyle w:val="TextoNormalNegritaCentrado"/>
        <w:keepNext/>
      </w:pPr>
      <w:r>
        <w:lastRenderedPageBreak/>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30 de enero de 2014 se registró en este Tribunal un oficio de la Sala de lo Social del Tribunal Superior de Justicia de Asturias al que se acompaña, junto al testimonio del correspondiente procedimiento, el Auto de 10 de enero de 2014, por el que se acuerda plantear cuestión de inconstitucionalidad en relación con el art. 2 del Real Decreto-ley 20/2012, de 13 de julio, de medidas para garantizar la estabilidad presupuestaria y de fomento de la competitividad, en su aplicación al personal laboral del sector público, por posible vulneración del principio de irretroactividad de las disposiciones restrictivas de derechos individuales contemplado en el art. 9.3 CE.</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son los siguientes:</w:t>
      </w:r>
    </w:p>
    <w:p w:rsidR="00AC56D6" w:rsidRDefault="00AC56D6" w:rsidP="00AC56D6">
      <w:pPr>
        <w:pStyle w:val="TextoNormal"/>
      </w:pPr>
    </w:p>
    <w:p w:rsidR="00AC56D6" w:rsidRDefault="00AC56D6" w:rsidP="00AC56D6">
      <w:pPr>
        <w:pStyle w:val="TextoNormal"/>
      </w:pPr>
      <w:r>
        <w:t>a) La Unión de Sindicatos Independientes del Principado de Asturias interpuso demanda de conflicto colectivo frente al Ayuntamiento de Corvera como consecuencia de que, tras la aprobación del Real Decreto-ley 20/2012, dicho Ayuntamiento no había abonado a su personal laboral la paga extraordinaria de Navidad de diciembre de 2012. En dicha demanda se reclamaba el reconocimiento del derecho del citado personal laboral a percibir las cantidades que, en concepto de paga extraordinaria de Navidad de 2012, correspondiera por los servicios prestados con carácter previo a la entrada en vigor del Real Decreto-ley 20/2012 —esto es, el período comprendido entre el 1 de diciembre de 2011 y el 14 de julio de 2012—; subsidiariamente, para el caso de considerarse semestral el devengo de las pagas extraordinarias, se solicitaba el derecho al abono de las cantidades correspondientes al período comprendido entre el 1 de junio y el 14 de julio de 2012.</w:t>
      </w:r>
    </w:p>
    <w:p w:rsidR="00AC56D6" w:rsidRDefault="00AC56D6" w:rsidP="00AC56D6">
      <w:pPr>
        <w:pStyle w:val="TextoNormal"/>
      </w:pPr>
    </w:p>
    <w:p w:rsidR="00AC56D6" w:rsidRDefault="00AC56D6" w:rsidP="00AC56D6">
      <w:pPr>
        <w:pStyle w:val="TextoNormal"/>
      </w:pPr>
      <w:r>
        <w:t>b) Por Sentencia de 4 de septiembre de 2013, el Juzgado de lo Social núm. 1 de Avilés estimó parcialmente la demanda y declaró el derecho de los trabajadores a “ser repuestos en el abono de la paga extraordinaria de diciembre de 2012, devengada hasta la entrada en vigor del RDL 20/2012, es decir, del período devengado del 1 de julio al 14 de julio de 2012”, condenando a la demandada a estar y pasar por esta declaración.</w:t>
      </w:r>
    </w:p>
    <w:p w:rsidR="00AC56D6" w:rsidRDefault="00AC56D6" w:rsidP="00AC56D6">
      <w:pPr>
        <w:pStyle w:val="TextoNormal"/>
      </w:pPr>
    </w:p>
    <w:p w:rsidR="00AC56D6" w:rsidRDefault="00AC56D6" w:rsidP="00AC56D6">
      <w:pPr>
        <w:pStyle w:val="TextoNormal"/>
      </w:pPr>
      <w:r>
        <w:t>c) Interpuesto recurso de suplicación frente a la indicada Sentencia, la Sala de lo Social del Tribunal Superior de Justicia de Asturias dictó providencia, de fecha 21 de noviembre de 2013, por la que acordó oír a las partes y al Ministerio Fiscal, en el plazo de diez días, para que alegasen sobre la pertinencia de plantear cuestión de inconstitucionalidad o sobre el fondo de la misma, en relación con el art. 2 del Real Decreto-ley 20/2012, por posible vulneración del principio de irretroactividad de las disposiciones restrictivas de derechos individuales reconocido en el art. 9.3 CE, dado que el precepto suprime el derecho de los trabajadores a percibir cuantías correspondientes a la paga extraordinaria de diciembre de 2012 ya devengadas e incorporadas a su patrimonio.</w:t>
      </w:r>
    </w:p>
    <w:p w:rsidR="00AC56D6" w:rsidRDefault="00AC56D6" w:rsidP="00AC56D6">
      <w:pPr>
        <w:pStyle w:val="TextoNormal"/>
      </w:pPr>
    </w:p>
    <w:p w:rsidR="00AC56D6" w:rsidRDefault="00AC56D6" w:rsidP="00AC56D6">
      <w:pPr>
        <w:pStyle w:val="TextoNormal"/>
      </w:pPr>
      <w:r>
        <w:t>d) Mediante escrito de 11 de diciembre de 2013, el Ministerio Fiscal consideró pertinente el planteamiento de la cuestión de inconstitucionalidad. Las partes en el proceso no formularon alegaciones.</w:t>
      </w:r>
    </w:p>
    <w:p w:rsidR="00AC56D6" w:rsidRDefault="00AC56D6" w:rsidP="00AC56D6">
      <w:pPr>
        <w:pStyle w:val="TextoNormal"/>
      </w:pPr>
    </w:p>
    <w:p w:rsidR="00AC56D6" w:rsidRDefault="00AC56D6" w:rsidP="00AC56D6">
      <w:pPr>
        <w:pStyle w:val="TextoNormal"/>
      </w:pPr>
      <w:r>
        <w:lastRenderedPageBreak/>
        <w:t>e) Por Auto de 10 de enero de 2014, la Sala de lo Social del Tribunal Superior de Justicia de Asturias acordó plantear cuestión de inconstitucionalidad en relación con el art 2 del Real Decreto-ley 20/2012.</w:t>
      </w:r>
    </w:p>
    <w:p w:rsidR="00AC56D6" w:rsidRDefault="00AC56D6" w:rsidP="00AC56D6">
      <w:pPr>
        <w:pStyle w:val="TextoNormal"/>
      </w:pPr>
    </w:p>
    <w:p w:rsidR="00AC56D6" w:rsidRDefault="00AC56D6" w:rsidP="00AC56D6">
      <w:pPr>
        <w:pStyle w:val="TextoNormal"/>
      </w:pPr>
      <w:r w:rsidRPr="00AC56D6">
        <w:rPr>
          <w:rStyle w:val="NumeroAFNegritaCaracter"/>
        </w:rPr>
        <w:t>3</w:t>
      </w:r>
      <w:r>
        <w:t>. En el citado Auto de 10 de enero de 2014, y tras repasar los antecedentes del caso, el órgano judicial afirma hacer suyos los razonamientos plasmados en el Auto 16/2013, de 1 de marzo, dictado por la Sala de lo Social de la Audiencia Nacional, mediante el que, según indica, se elevó cuestión de inconstitucionalidad idéntica a la ahora planteada. A partir de esta afirmación, se procede a transcribir tales razonamientos del citado Auto 16/2013, reproduciendo, en síntesis, los siguientes argumentos.</w:t>
      </w:r>
    </w:p>
    <w:p w:rsidR="00AC56D6" w:rsidRDefault="00AC56D6" w:rsidP="00AC56D6">
      <w:pPr>
        <w:pStyle w:val="TextoNormal"/>
      </w:pPr>
    </w:p>
    <w:p w:rsidR="00AC56D6" w:rsidRDefault="00AC56D6" w:rsidP="00AC56D6">
      <w:pPr>
        <w:pStyle w:val="TextoNormal"/>
      </w:pPr>
      <w:r>
        <w:t>a) Para la Sala está claro que el art. 2 del Real Decreto-ley 20/2012 suprime la percepción de la paga extraordinaria del mes de diciembre del año 2012 para el personal laboral del sector público, y que lo hace a partir de su entrada en vigor (día 15 de julio de 2012), sin precisar excepciones por derechos ya devengados. A su entender, el legislador es plenamente consciente de la posibilidad de que haya comenzado a devengarse la paga extraordinaria cuya percepción se suprime, en tanto que indica que la medida afecta a cuantías “que corresponda percibir”, en tiempo verbal no condicional, admitiendo así que el derecho ya se ha generado; no obstante lo cual cierra la puerta a su abono. Desde esa perspectiva, entiende la Sala que no es posible interpretar el art. 2 del Real Decreto-ley 20/2012 considerando que cabe abonar aquella parte de la paga extraordinaria de diciembre que ya se hubiera devengado a la fecha de entrada en vigor de la citada norma. En definitiva, añade, por mucho que ya se hubiera devengado la paga extraordinaria correspondiente a catorce días (del 1 al 14 de julio), la aplicación del citado art. 2 no daría lugar a su abono. Pues bien, atendiendo a la consolidada jurisprudencia según la cual las pagas extraordinarias son salario diferido que se devenga día a día, aquella norma podría considerarse contraria al art. 9.3 CE, que garantiza la irretroactividad de las disposiciones restrictivas de derechos individuales y la seguridad jurídica, puesto que se estaría suprimiendo el derecho ya generado a percibir la parte proporcional de la paga extraordinaria devengada antes de la entrada en vigor de la norma. Expuesto lo que precede, indica la Sala que la norma cuestionada no admite una interpretación que la acomode a la Constitución y que su validez es determinante para el resultado del litigio, puesto que una de las pretensiones formuladas en la demanda es, justamente, que se mantenga incólume la percepción de la parte ya devengada de la paga extraordinaria de diciembre de 2012.</w:t>
      </w:r>
    </w:p>
    <w:p w:rsidR="00AC56D6" w:rsidRDefault="00AC56D6" w:rsidP="00AC56D6">
      <w:pPr>
        <w:pStyle w:val="TextoNormal"/>
      </w:pPr>
    </w:p>
    <w:p w:rsidR="00AC56D6" w:rsidRDefault="00AC56D6" w:rsidP="00AC56D6">
      <w:pPr>
        <w:pStyle w:val="TextoNormal"/>
      </w:pPr>
      <w:r>
        <w:t xml:space="preserve">b) Tras recordar la doctrina constitucional sobre la prohibición de retroactividad de las disposiciones sancionadoras no favorables o restrictivas de derechos individuales prevista en el art. 9.3 CE (SSTC 112/2006 y 89/2009), y a efectos de proceder a su aplicación, el Auto sienta el presupuesto de que estamos ante un derecho individual en el sentido dado por el Tribunal Constitucional a esta expresión, y ello, porque los derechos retributivos pertenecen a la esfera general de protección de la persona y se consagran en el art. 35 CE, en que se reconoce el derecho a la remuneración suficiente (lo que en principio se correspondería con el salario mínimo interprofesional), pero también el derecho al trabajo, siendo una de las notas esenciales su carácter remunerado. De hecho, señala que, en coherencia con esa concepción de la retribución como derecho que pertenece a la esfera general de protección de la persona más allá de su cuantía mínima interprofesional, el Tribunal Constitucional ha admitido su encaje en el supuesto de hecho del art. 9.3 CE, haciendo referencia al respecto a la STC 330/2005 y al ATC 162/2012. Por lo dicho, concluye que en el caso se cumple el </w:t>
      </w:r>
      <w:r>
        <w:lastRenderedPageBreak/>
        <w:t>presupuesto del art. 9.3 CE de que nos encontremos ante derechos individuales amparables por el principio de interdicción de retroactividad.</w:t>
      </w:r>
    </w:p>
    <w:p w:rsidR="00AC56D6" w:rsidRDefault="00AC56D6" w:rsidP="00AC56D6">
      <w:pPr>
        <w:pStyle w:val="TextoNormal"/>
      </w:pPr>
    </w:p>
    <w:p w:rsidR="00AC56D6" w:rsidRDefault="00AC56D6" w:rsidP="00AC56D6">
      <w:pPr>
        <w:pStyle w:val="TextoNormal"/>
      </w:pPr>
      <w:r>
        <w:t>c) Seguidamente alcanza también la conclusión de que el art. 2 del Real Decreto-ley 20/2012, al suprimir la paga extraordinaria de diciembre de 2012 para el personal laboral del sector público, establece una retroactividad prohibida por el art. 9.3 CE, al incidir sobre los efectos jurídicos ya producidos al amparo de una norma anteriormente vigente. En tal sentido, y ante el silencio de la regulación legal de las pagas extraordinarias —que se limita a fijar el momento de su percepción—, la Sala toma en consideración la jurisprudencia dictada en unificación de doctrina por el Tribunal Supremo, que configura la paga extra como de devengo diario y cobro aplazado. Por ello, señala que estamos ante un derecho que se genera día a día, incorporándose como tal al acervo patrimonial de los trabajadores, de ahí que, “[e]n el caso examinado, al ser la paga extra de diciembre de 2012 de devengo semestral a partir del 1 de julio, por disponerlo así el Convenio colectivo de aplicación, a la fecha de entrada en vigor del Real Decreto-Ley 20/2012 ya se había devengado y generado el derecho a la parte proporcional a catorce días de trabajo”, que, sin embargo, el art. 2 de la norma suprime, operando una retroactividad auténtica o de grado máximo.</w:t>
      </w:r>
    </w:p>
    <w:p w:rsidR="00AC56D6" w:rsidRDefault="00AC56D6" w:rsidP="00AC56D6">
      <w:pPr>
        <w:pStyle w:val="TextoNormal"/>
      </w:pPr>
    </w:p>
    <w:p w:rsidR="00AC56D6" w:rsidRDefault="00AC56D6" w:rsidP="00AC56D6">
      <w:pPr>
        <w:pStyle w:val="TextoNormal"/>
      </w:pPr>
      <w:r>
        <w:t>d) Asimismo, el Auto considera que dicha retroactividad carece de justificación habilitante, no apreciando exigencias cualificadas del bien común que, según la doctrina constitucional, podrían imponerse excepcionalmente (STC 197/1992). Al respecto considera que esa excepción a la prohibición de retroactividad debe interpretarse de forma restrictiva y que no cabe extenderla a toda medida de interés general. En particular, entiende que la reducción del déficit público no reúne la nota de cualificación absolutamente excepcional que sería necesaria para sacrificar el principio constitucional de seguridad jurídica que sustenta la irretroactividad, en aras del bien común, y que es el interés general lo que se ataca cuando se niega, a quienes han prestado sus servicios, el derecho a percibir el salario correspondiente. Hace referencia, igualmente, a algunos pronunciamientos del Tribunal Constitucional (SSTC 247/2007 y 89/2009) y del Tribunal Europeo de Derechos Humanos, en los que considera que se mantiene una concepción realmente cualificada del “interés general”, y señala que la pretensión de reducir el gasto público, por muy urgente y necesaria que sea, no constituye sin más un “bien común” que abra la puerta a exceptuar los básicos principios constitucionales de irretroactividad y seguridad jurídica; principios constitucionales que sí cabe identificar, en cambio, con el interés general de los ciudadanos.</w:t>
      </w:r>
    </w:p>
    <w:p w:rsidR="00AC56D6" w:rsidRDefault="00AC56D6" w:rsidP="00AC56D6">
      <w:pPr>
        <w:pStyle w:val="TextoNormal"/>
      </w:pPr>
    </w:p>
    <w:p w:rsidR="00AC56D6" w:rsidRDefault="00AC56D6" w:rsidP="00AC56D6">
      <w:pPr>
        <w:pStyle w:val="TextoNormal"/>
      </w:pPr>
      <w:r>
        <w:t>e) Finalmente, la Sala se plantea la posibilidad de que estemos ante una expropiación legislativa de derechos, pero rechaza tal hipótesis en cuanto que, tras aludir al tenor del art. 2.4 del Real Decreto-ley 20/2012, señala que la formulación condicionada en este caso de una hipotética compensación o devolución futura de cantidades en modo alguno resultaría asimilable al justo precio al que alude la Ley de expropiación forzosa: ni siquiera está garantizada y no es propiamente una devolución, puesto que las cuantías detraídas se transformarían en aportaciones a planes de pensiones o contratos de seguro en los términos que establezca el legislador, sujetas además al previo cumplimiento de los objetivos de estabilidad presupuestaria. A su parecer, el carácter meramente hipotético y condicionado de la devolución de las cantidades detraídas a raíz de la supresión de la paga extraordinaria de diciembre de 2012 diluye cualquier brizna de proporcionalidad de la compensación que pudiera alegarse para justificar la injerencia retroactiva y se aleja del concepto de expropiación legislativa de derechos.</w:t>
      </w:r>
    </w:p>
    <w:p w:rsidR="00AC56D6" w:rsidRDefault="00AC56D6" w:rsidP="00AC56D6">
      <w:pPr>
        <w:pStyle w:val="TextoNormal"/>
      </w:pPr>
    </w:p>
    <w:p w:rsidR="00AC56D6" w:rsidRDefault="00AC56D6" w:rsidP="00AC56D6">
      <w:pPr>
        <w:pStyle w:val="TextoNormal"/>
      </w:pPr>
      <w:r>
        <w:t>f) Por todo lo expuesto, la Sala concluye que el art. 2 del Real Decreto-ley 20/2012, en su aplicación al personal laboral del sector público, ha podido vulnerar el principio de irretroactividad de las disposiciones restrictivas de derechos individuales, previsto en el art. 9.3 CE, dado que establece la supresión de la paga extraordinaria de diciembre de 2012, “sin introducir excepción alguna respecto de las cuantías ya devengadas al momento de su entrada en vigor (en nuestro caso, desde el 1 de julio de 2012)”. Por parte del Auto se añade que se plantea tal duda de constitucionalidad porque el citado precepto es aplicable al caso y el fallo depende de su validez.</w:t>
      </w:r>
    </w:p>
    <w:p w:rsidR="00AC56D6" w:rsidRDefault="00AC56D6" w:rsidP="00AC56D6">
      <w:pPr>
        <w:pStyle w:val="TextoNormal"/>
      </w:pPr>
    </w:p>
    <w:p w:rsidR="00AC56D6" w:rsidRDefault="00AC56D6" w:rsidP="00AC56D6">
      <w:pPr>
        <w:pStyle w:val="TextoNormal"/>
      </w:pPr>
      <w:r w:rsidRPr="00AC56D6">
        <w:rPr>
          <w:rStyle w:val="NumeroAFNegritaCaracter"/>
        </w:rPr>
        <w:t>4</w:t>
      </w:r>
      <w:r>
        <w:t>. Por providencia de 25 de febrero de 2014, el Pleno de este Tribunal acordó admitir a trámite la cuestión de inconstitucionalidad, deferir el conocimiento de la misma conforme al art. 10.1 c) de la Ley Orgánica del Tribunal Constitucional (LOTC) a la Sala Primera, y dar traslado de las actuaciones al Congreso de los Diputados y al Senado, por conducto de sus Presidentes, al Gobierno, a través del Ministro de Justicia, y al Fiscal General del Estado, para que en el improrrogable plazo de quince días pudieran personarse en el proceso y formular las alegaciones que estimasen convenientes (art. 37.3 LOTC). Asimismo se ordenó, de un lado, comunicar esa resolución a la Sala de lo Social del Tribunal Superior de Justicia de Asturias a fin de que, de conformidad con el art. 35.3 LOTC, permaneciese suspendido el proceso hasta que este Tribunal resolviese definitivamente la presente cuestión, y de otro lado, publicar la incoación de la cuestión en el “Boletín Oficial del Estado”, lo que se llevó a efecto en el núm. 55, de 5 de marzo de 2014. Por diligencia de ordenación de la Secretaría de Justicia del Pleno de 25 de febrero de 2014 se concedió un plazo de quince días a partir de la publicación del edicto en el “Boletín Oficial del Estado” para que, de conformidad con lo establecido en el art. 37.2 LOTC, quienes fuesen parte en el procedimiento (recurso de suplicación núm. 2013-2013), pudieran personarse ante este Tribunal.</w:t>
      </w:r>
    </w:p>
    <w:p w:rsidR="00AC56D6" w:rsidRDefault="00AC56D6" w:rsidP="00AC56D6">
      <w:pPr>
        <w:pStyle w:val="TextoNormal"/>
      </w:pPr>
    </w:p>
    <w:p w:rsidR="00AC56D6" w:rsidRDefault="00AC56D6" w:rsidP="00AC56D6">
      <w:pPr>
        <w:pStyle w:val="TextoNormal"/>
      </w:pPr>
      <w:r w:rsidRPr="00AC56D6">
        <w:rPr>
          <w:rStyle w:val="NumeroAFNegritaCaracter"/>
        </w:rPr>
        <w:t>5</w:t>
      </w:r>
      <w:r>
        <w:t>. Por escrito presentado en el Registro General de este Tribunal el 7 de marzo de 2014, el Presidente del Congreso de los Diputados comunicó la decisión de la Mesa de que se diera por personada a la Cámara y por ofrecida su colaboración a los efectos del art. 88.1 LOTC, con remisión a la Dirección de Estudios, Análisis y Publicaciones, y a la asesoría jurídica de la Secretaría General.</w:t>
      </w:r>
    </w:p>
    <w:p w:rsidR="00AC56D6" w:rsidRDefault="00AC56D6" w:rsidP="00AC56D6">
      <w:pPr>
        <w:pStyle w:val="TextoNormal"/>
      </w:pPr>
    </w:p>
    <w:p w:rsidR="00AC56D6" w:rsidRDefault="00AC56D6" w:rsidP="00AC56D6">
      <w:pPr>
        <w:pStyle w:val="TextoNormal"/>
      </w:pPr>
      <w:r>
        <w:t>Mediante escrito registrado el 12 de marzo de 2014, el Presidente del Senado comunicó el acuerdo de la Mesa para que se diera por personada a la Cámara y por ofrecida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6</w:t>
      </w:r>
      <w:r>
        <w:t>. Por escrito registrado en este Tribunal el 13 de marzo de 2014, el Fiscal General del Estado evacuó el trámite de alegaciones, interesando la declaración de que el art. 2, apartado 2.2, del Real Decreto-ley 20/2012 es contrario al art. 9.3 CE.</w:t>
      </w:r>
    </w:p>
    <w:p w:rsidR="00AC56D6" w:rsidRDefault="00AC56D6" w:rsidP="00AC56D6">
      <w:pPr>
        <w:pStyle w:val="TextoNormal"/>
      </w:pPr>
    </w:p>
    <w:p w:rsidR="00AC56D6" w:rsidRDefault="00AC56D6" w:rsidP="00AC56D6">
      <w:pPr>
        <w:pStyle w:val="TextoNormal"/>
      </w:pPr>
      <w:r>
        <w:t xml:space="preserve">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w:t>
      </w:r>
      <w:r>
        <w:lastRenderedPageBreak/>
        <w:t>esfera general de protección de la persona. Además, afirma que la idea de sanción resultará robustecida en este caso desde el momento en que se pretende extraer del patrimonio de los ciudadanos, y sin indemnización, un bien o un derecho del que ya dispone.</w:t>
      </w:r>
    </w:p>
    <w:p w:rsidR="00AC56D6" w:rsidRDefault="00AC56D6" w:rsidP="00AC56D6">
      <w:pPr>
        <w:pStyle w:val="TextoNormal"/>
      </w:pPr>
    </w:p>
    <w:p w:rsidR="00AC56D6" w:rsidRDefault="00AC56D6" w:rsidP="00AC56D6">
      <w:pPr>
        <w:pStyle w:val="TextoNormal"/>
      </w:pPr>
      <w: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la cuantía de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Derechos Humanos de 14 de mayo de 2013 (caso </w:t>
      </w:r>
      <w:r w:rsidRPr="00AC56D6">
        <w:rPr>
          <w:i/>
        </w:rPr>
        <w:t>N.K.M. c.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ésta se realizará. Y entiende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lastRenderedPageBreak/>
        <w:t>El Fiscal General del Estado concluye sus alegaciones precisando que en el Auto de planteamiento no se cuestiona todo el art. 2 del Real Decreto-ley 20/2012 sino sólo su apartado 2.2, ya que es el que resulta aplicable para resolver el pleito sometido al conocimiento de la Sala de lo Social del Tribunal Superior de Justicia de Asturias (referido en exclusiva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00AC56D6" w:rsidRDefault="00AC56D6" w:rsidP="00AC56D6">
      <w:pPr>
        <w:pStyle w:val="TextoNormal"/>
      </w:pPr>
    </w:p>
    <w:p w:rsidR="00AC56D6" w:rsidRDefault="00AC56D6" w:rsidP="00AC56D6">
      <w:pPr>
        <w:pStyle w:val="TextoNormal"/>
      </w:pPr>
      <w:r w:rsidRPr="00AC56D6">
        <w:rPr>
          <w:rStyle w:val="NumeroAFNegritaCaracter"/>
        </w:rPr>
        <w:t>7</w:t>
      </w:r>
      <w:r>
        <w:t>. Mediante escrito registrado en este Tribunal el 17 de marzo de 2014, el Abogado del Estado se personó en el presente proceso constitucional y formuló las alegaciones que a continuación se sintetizan.</w:t>
      </w:r>
    </w:p>
    <w:p w:rsidR="00AC56D6" w:rsidRDefault="00AC56D6" w:rsidP="00AC56D6">
      <w:pPr>
        <w:pStyle w:val="TextoNormal"/>
      </w:pPr>
    </w:p>
    <w:p w:rsidR="00AC56D6" w:rsidRDefault="00AC56D6" w:rsidP="00AC56D6">
      <w:pPr>
        <w:pStyle w:val="TextoNormal"/>
      </w:pPr>
      <w:r>
        <w:t>Comienza señalando que aunque el Auto de planteamiento cuestiona la totalidad del extenso art. 2 del Real Decreto-ley 20/2012, sin embargo se refiere en realidad sólo al apartado 2.2 del art. 2, es decir, a la aplicación de la supresión de la paga extraordinaria de diciembre al personal laboral del sector público. Además, precisa que no se cuestiona genéricamente la referida supresión, sino que tan sólo se reprocha al legislador el que no haya incluido una disposición transitoria por la cual se hubiera exceptuado de la mencionada supresión la parte proporcional de la paga extraordinaria que se entiende devengada del 1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respeto a su libertad de configuración, el establecimiento de una expresa excepción a la supresión de la paga extraordinaria de Navidad (la correspondiente a la parte proporcional de los días 1 al 15 de julio de 2012).</w:t>
      </w:r>
    </w:p>
    <w:p w:rsidR="00AC56D6" w:rsidRDefault="00AC56D6" w:rsidP="00AC56D6">
      <w:pPr>
        <w:pStyle w:val="TextoNormal"/>
      </w:pPr>
    </w:p>
    <w:p w:rsidR="00AC56D6" w:rsidRDefault="00AC56D6" w:rsidP="00AC56D6">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uno de los principales componentes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AC56D6" w:rsidRDefault="00AC56D6" w:rsidP="00AC56D6">
      <w:pPr>
        <w:pStyle w:val="TextoNormal"/>
      </w:pPr>
    </w:p>
    <w:p w:rsidR="00AC56D6" w:rsidRDefault="00AC56D6" w:rsidP="00AC56D6">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w:t>
      </w:r>
      <w:r>
        <w:lastRenderedPageBreak/>
        <w:t>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al 15 de julio, “estaba ya consolidado, asumido e integrado en el patrimonio de los trabajadores cuando entró en vigor” el Real Decreto-ley 20/2012, o si, por el contrario, se trataba de una expectativa de derecho o de un derecho futuro o condicionado.</w:t>
      </w:r>
    </w:p>
    <w:p w:rsidR="00AC56D6" w:rsidRDefault="00AC56D6" w:rsidP="00AC56D6">
      <w:pPr>
        <w:pStyle w:val="TextoNormal"/>
      </w:pPr>
    </w:p>
    <w:p w:rsidR="00AC56D6" w:rsidRDefault="00AC56D6" w:rsidP="00AC56D6">
      <w:pPr>
        <w:pStyle w:val="TextoNormal"/>
      </w:pPr>
      <w:r>
        <w:t>Señala el Abogado del Estado que la propia Sala reconoce en el Auto de planteamiento de la cuestión que la regulación legal de las pagas extraordinarias no ofrece respuesta a esa pregunta, siendo el Tribunal Supremo el que ha hecho referencia a su devengo diario y cobro aplazado en su jurisprudencia. No obstante, a juicio del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ésta, por otro lado, perfectamente conforme con los arts. 26 y 31 de la Ley del estatuto de los trabajadores. Recuerda asimismo la doctrina de este Tribunal Constitucional en relación con los tributos con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00AC56D6" w:rsidRDefault="00AC56D6" w:rsidP="00AC56D6">
      <w:pPr>
        <w:pStyle w:val="TextoNormal"/>
      </w:pPr>
    </w:p>
    <w:p w:rsidR="00AC56D6" w:rsidRDefault="00AC56D6" w:rsidP="00AC56D6">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conformes con la Constitución modificaciones con cualquier grado de retroactividad cuando existieran claras exigencias de “interés general”.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lastRenderedPageBreak/>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w:t>
      </w:r>
    </w:p>
    <w:p w:rsidR="00AC56D6" w:rsidRDefault="00AC56D6" w:rsidP="00AC56D6">
      <w:pPr>
        <w:pStyle w:val="TextoNormal"/>
      </w:pPr>
    </w:p>
    <w:p w:rsidR="00AC56D6" w:rsidRDefault="00AC56D6" w:rsidP="00AC56D6">
      <w:pPr>
        <w:pStyle w:val="TextoNormal"/>
      </w:pPr>
      <w:r>
        <w:t>Así las cosas, el Abogado del Estado afirma que, dada la situación descrita de grave crisis económica, no existe razón para negar la concurrencia de un “interés general” que justifique la medida cuestionada, y asimismo niega que las Sentencias del Tribunal Europeo de Derechos Humanos citadas por el Auto de planteamiento puedan servir para avalar la tesis mantenida en el mismo, ya que a diferencia de lo que ocurre en el presente caso, en tales supuestos se alegaron intereses difusos para proceder a la aplicación retroactiva de una medida que no la justificaban desde la perspectiva de la proporcionalidad. Se recuerda que, por el contrario, en el presente caso existía un motivo concreto de interés general —evitar que España tuviera que ser objeto de un rescate financiero por la Unión Europea—, y que en realidad no asistimos a una reducción del sueldo de los empleados públicos, sino a una “congelación” de la paga extra de diciembre con previsión de su satisfacción en ejercicios futuros a través de aportaciones a planes de pensiones o contratos de seguro colectivo que cubran la contingencia de jubilación. En definitiva, se concluye diciendo que ante el interés público a que se trata de atender, resulta absolutamente proporcionado que únicamente se exija como sacrificio a los particulares el aplazamiento temporal del abono de la parte proporcional de la paga extraordinaria correspondiente a los días 1 a 15 de julio.</w:t>
      </w:r>
    </w:p>
    <w:p w:rsidR="00AC56D6" w:rsidRDefault="00AC56D6" w:rsidP="00AC56D6">
      <w:pPr>
        <w:pStyle w:val="TextoNormal"/>
      </w:pPr>
    </w:p>
    <w:p w:rsidR="00AC56D6" w:rsidRDefault="00AC56D6" w:rsidP="00AC56D6">
      <w:pPr>
        <w:pStyle w:val="TextoNormal"/>
      </w:pPr>
      <w:r>
        <w:t>Por todo ello, se interesa la desestimación de la cuestión.</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28 de mayo de 2015 la Sala Primera acordó, de conformidad con lo dispuesto en el art. 88.1 LOTC, dirigir atenta comunicación al Ayuntamiento de Corvera, a fin de que indique si, en atención a lo previsto en la disposición adicional duodécima de la Ley 36/2014, de presupuestos generales del Estado para el año 2015, o por cualquier otra circunstancia, ha satisfecho al personal laboral de ese Ayuntamiento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AC56D6" w:rsidRDefault="00AC56D6" w:rsidP="00AC56D6">
      <w:pPr>
        <w:pStyle w:val="TextoNormal"/>
      </w:pPr>
    </w:p>
    <w:p w:rsidR="00AC56D6" w:rsidRDefault="00AC56D6" w:rsidP="00AC56D6">
      <w:pPr>
        <w:pStyle w:val="TextoNormal"/>
      </w:pPr>
      <w:r w:rsidRPr="00AC56D6">
        <w:rPr>
          <w:rStyle w:val="NumeroAFNegritaCaracter"/>
        </w:rPr>
        <w:t>9</w:t>
      </w:r>
      <w:r>
        <w:t>. Por escrito presentado en el Registro General de este Tribunal el 12 de junio de 2015, el Alcalde de Corvera comunicó que, según informe de la interventora accidental, en la nómina correspondiente al mes de abril de 2015 se abonó al personal laboral 22 de los 44 días reconocidos en la disposición adicional duodécima de la Ley 36/2014, en concepto de recuperación de la paga extraordinaria de diciembre de 2012.</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10</w:t>
      </w:r>
      <w:r>
        <w:t>. Por acuerdo del Pleno de fecha 26 de octubre de 2015, el Presidente del Tribunal Constitucional y de conformidad con lo dispuesto en el ejercicio de las competencias del art. 15 de la Ley Orgánica 6/2007, y con base en el Acuerdo del Pleno del Tribunal Constitucional de 20 de enero de 2005 asume la Ponencia el Sr. Presidente de la presente cuestión de inconstitucionalidad en sustitución del Magistrado Excmo. Sr. Don Luis Ignacio Ortega Álvarez, por fallecimiento del mismo.</w:t>
      </w:r>
    </w:p>
    <w:p w:rsidR="00AC56D6" w:rsidRDefault="00AC56D6" w:rsidP="00AC56D6">
      <w:pPr>
        <w:pStyle w:val="TextoNormal"/>
      </w:pPr>
    </w:p>
    <w:p w:rsidR="00AC56D6" w:rsidRDefault="00AC56D6" w:rsidP="00AC56D6">
      <w:pPr>
        <w:pStyle w:val="TextoNormal"/>
      </w:pPr>
      <w:r w:rsidRPr="00AC56D6">
        <w:rPr>
          <w:rStyle w:val="NumeroAFNegritaCaracter"/>
        </w:rPr>
        <w:t>11</w:t>
      </w:r>
      <w:r>
        <w:t>. Por providencia de 29 de octubre de 2015 se señaló para deliberación y votación de la presente Sentencia el día 2 de noviembre de 2015.</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Sala de lo Social del Tribunal Superior de Justicia de Asturias plantea cuestión de inconstitucionalidad respecto del art. 2 del Real Decreto-ley 20/2012, de 13 de julio, de medidas para garantizar la estabilidad presupuestaria y de fomento de la competitividad, precepto que, en lo que aquí importa, dispone para el personal del sector público definido en el art. 22.1 de la Ley 2/2012, de 29 de junio, de presupuestos generales del Estado para 2012, la supresión de la paga extraordinaria (o equivalente) del mes de diciembre de 2012. En síntesis, la Sala entiende que el art. 2 del Real Decreto-ley 20/2012, en su aplicación al personal laboral del sector público,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citado Real Decreto-ley (esto es, y según el Auto de planteamiento, desde el 1 al 14 de julio de 2012).</w:t>
      </w:r>
    </w:p>
    <w:p w:rsidR="00AC56D6" w:rsidRDefault="00AC56D6" w:rsidP="00AC56D6">
      <w:pPr>
        <w:pStyle w:val="TextoNormal"/>
      </w:pPr>
    </w:p>
    <w:p w:rsidR="00AC56D6" w:rsidRDefault="00AC56D6" w:rsidP="00AC56D6">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al análisis de la cuestión planteada conviene realizar una serie de precisiones para acotar debidamente el objeto de la misma y el alcance de nuestro enjuiciamiento.</w:t>
      </w:r>
    </w:p>
    <w:p w:rsidR="00AC56D6" w:rsidRDefault="00AC56D6" w:rsidP="00AC56D6">
      <w:pPr>
        <w:pStyle w:val="TextoNormal"/>
      </w:pPr>
    </w:p>
    <w:p w:rsidR="00AC56D6" w:rsidRDefault="00AC56D6" w:rsidP="00AC56D6">
      <w:pPr>
        <w:pStyle w:val="TextoNormal"/>
      </w:pPr>
      <w:r>
        <w:t xml:space="preserve">a) Así, en primer lugar, resulta obligado advertir que, si bien la Sala de lo Social del Tribunal Superior de Justicia de Asturias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al personal laboral del sector público” (como se precisa expresamente en la parte dispositiva del Auto). Ello resulta coherente con el juicio de aplicabilidad y relevancia, pues la cuestión de inconstitucionalidad trae causa de un proceso de conflicto colectivo promovido con motivo de la supresión, por aplicación de las previsiones contenidas en el Real Decreto-ley 20/2012, de la paga o gratificación extraordinaria de diciembre de 2012 al personal laboral del Ayuntamiento de Corvera. De este modo, en los términos en que ha sido planteada, la presente cuestión de inconstitucionalidad debe entenderse referida al apartado 1 del art. 2 del Real Decreto-ley 20/2012, que </w:t>
      </w:r>
      <w:r>
        <w:lastRenderedPageBreak/>
        <w:t>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2.2 del art. 2 del Real Decreto-ley 20/2012, que se refiere específicamente a la supresión de la paga o gratificación extraordinaria de diciembre de 2012 o equivalente al personal laboral del sector público.</w:t>
      </w:r>
    </w:p>
    <w:p w:rsidR="00AC56D6" w:rsidRDefault="00AC56D6" w:rsidP="00AC56D6">
      <w:pPr>
        <w:pStyle w:val="TextoNormal"/>
      </w:pPr>
    </w:p>
    <w:p w:rsidR="00AC56D6" w:rsidRDefault="00AC56D6" w:rsidP="00AC56D6">
      <w:pPr>
        <w:pStyle w:val="TextoNormal"/>
      </w:pPr>
      <w:r>
        <w:t>b) Por otra parte debe tenerse en cuenta que no se cuestiona por la Sala de lo Social del Tribunal Superior de Justicia de Asturias la medida de supresión de la paga extraordinaria de diciembre de 2012 en sí misma considerada, sino sólo en cuanto su aplicación haya podido suponer la infracción del principio de irretroactividad establecido en el 9.3 CE, al no contemplar excepción alguna respecto de las cuantías que se entienden ya devengadas de dicha paga extra al momento de entrar en vigor el Real Decreto-ley 20/2012 (el 15 de julio de 2012, conforme a su disposición final decimoquinta): en concreto, en el Auto de planteamiento de la presente cuestión de inconstitucionalidad se afirma que “[e]n el caso examinado, al ser la paga extra de diciembre de 2012 de devengo semestral a partir del 1 de julio, por disponerlo así el Convenio colectivo de aplicación, a la fecha de entrada en vigor del Real Decreto-ley 20/2012 ya se había devengado y generado el derecho a la parte proporcional a catorce días de trabajo”. Así pues, a esta concreta duda de constitucionalidad deberá ceñirse nuestro enjuiciamiento.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La disposición adicional duodécima de la Ley 36/2014, de 26 de diciembre, de presupuestos generales del Estado para 2015, bajo el epígrafe “Recuperación de la paga extraordinaria y adicional del mes de diciembre de 2012”, establece,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00AC56D6" w:rsidRDefault="00AC56D6" w:rsidP="00AC56D6">
      <w:pPr>
        <w:pStyle w:val="TextoNormal"/>
      </w:pPr>
    </w:p>
    <w:p w:rsidR="00AC56D6" w:rsidRDefault="00AC56D6" w:rsidP="00AC56D6">
      <w:pPr>
        <w:pStyle w:val="TextoNormal"/>
      </w:pPr>
      <w:r>
        <w:t>Como consta en los antecedentes de esta resolución, de conformidad con lo dispuesto en el art. 88.1 de la Ley Orgánica del Tribunal Constitucional la Sala Primera de este Tribunal dirigió comunicación al Ayuntamiento de Corvera a fin de que indicara si, en atención a lo dispuesto en la disposición adicional duodécima de la Ley 36/2014, de presupuestos generales del Estado para el año 2015, o por cualquier otra circunstancia, ha satisfecho al personal laboral de ese Ayuntamiento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 En contestación a dicha comunicación, mediante escrito del Alcalde de Corvera remitido a este Tribunal se ha hecho constar que, según informe de la interventora accidental, el referido Ayuntamiento ha abonado al personal laboral en la nómina correspondiente a abril de 2015 veintidós de los cuarenta y cuatro días reconocidos en la disposición adicional duodécima de la Ley 36/2014, en concepto de recuperación de la paga extraordinaria de diciembre de 2012.</w:t>
      </w:r>
    </w:p>
    <w:p w:rsidR="00AC56D6" w:rsidRDefault="00AC56D6" w:rsidP="00AC56D6">
      <w:pPr>
        <w:pStyle w:val="TextoNormal"/>
      </w:pPr>
    </w:p>
    <w:p w:rsidR="00AC56D6" w:rsidRDefault="00AC56D6" w:rsidP="00AC56D6">
      <w:pPr>
        <w:pStyle w:val="TextoNormal"/>
      </w:pPr>
      <w:r>
        <w:t xml:space="preserve">Como consecuencia del abono de las cantidades señaladas al personal laboral del Ayuntamiento de Corvera, debemos remitirnos en esta resolución a lo dicho en nuestra STC </w:t>
      </w:r>
      <w:r>
        <w:lastRenderedPageBreak/>
        <w:t>83/2015, de 30 de abril, sobre la posible pérdida de objeto de la cuestión de inconstitucionalidad, y en concreto, como hicimos en su fundamento jurídico 3, también ahora hemos de poner de relieve la innegable incidencia que la medida contenida en la disposición adicional duodécima de la Ley 36/2014, de presupuestos generales del Estado para 2015, tiene sobre la subsistencia del presente proceso constitucional.</w:t>
      </w:r>
    </w:p>
    <w:p w:rsidR="00AC56D6" w:rsidRDefault="00AC56D6" w:rsidP="00AC56D6">
      <w:pPr>
        <w:pStyle w:val="TextoNormal"/>
      </w:pPr>
    </w:p>
    <w:p w:rsidR="00AC56D6" w:rsidRDefault="00AC56D6" w:rsidP="00AC56D6">
      <w:pPr>
        <w:pStyle w:val="TextoNormal"/>
      </w:pPr>
      <w:r>
        <w:t xml:space="preserve">Al respecto hemos de partir de que en el conflicto colectivo del que trae causa esta cuestión de inconstitucionalidad se discute el derecho del personal laboral del Ayuntamiento de Corvera a percibir la parte que se entiende devengada de la paga extra de diciembre de 2012. En dicho contexto, la pretensión traída ante este Tribunal, necesariamente relacionada con la que se discute en el proceso </w:t>
      </w:r>
      <w:r w:rsidRPr="00AC56D6">
        <w:rPr>
          <w:i/>
        </w:rPr>
        <w:t>a quo</w:t>
      </w:r>
      <w:r>
        <w:t>, se vincula a las cuantías de la citada paga extra que se consideran devengadas y dejadas de percibir por dicho personal a la fecha de entrada en vigor del Real Decreto-ley 20/2012 y que el Auto de planteamiento concreta en las correspondientes a catorce días. Por ello, planteada así la cuestión, es obligado concluir que la recuperación por esos trabajadores de la parte proporcional correspondiente a veintidós días de la paga extra de diciembre de 2012 —según ha comunicado el citado Ayuntamiento— conduce a que, igual que hemos afirmado en la STC 184/2015, de 10 de septiembre, FJ 3, también aquí hayamos de declarar que “desde la lógica argumental del órgano promotor de la cuestión, el objeto de la presente cuestión ha desaparecido teniendo en cuenta los términos en los que la duda se plantea y la diferencia entre el procedimiento que está en el origen de la presente cuestión y el proceso constitucional a través del que se ventila la misma (en el mismo sentido, STC 222/2012, de 27 de noviembre, FJ 4)”.</w:t>
      </w:r>
    </w:p>
    <w:p w:rsidR="00AC56D6" w:rsidRDefault="00AC56D6" w:rsidP="00AC56D6">
      <w:pPr>
        <w:pStyle w:val="TextoNormal"/>
      </w:pPr>
    </w:p>
    <w:p w:rsidR="00AC56D6" w:rsidRDefault="00AC56D6" w:rsidP="00AC56D6">
      <w:pPr>
        <w:pStyle w:val="TextoNormal"/>
      </w:pPr>
      <w:r>
        <w:t>En consecuencia, el referido abono por parte del Ayuntamiento de Corvera en concepto de recuperación de la paga extraordinaria de diciembre de 2012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Declarar la extinción de la presente cuestión de inconstitucionalidad por desaparición sobrevenida de su objeto.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dos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82" w:name="SENTENCIA_2015_226"/>
      <w:r>
        <w:lastRenderedPageBreak/>
        <w:t>SENTENCIA 226/2015, de 2 de noviembre de 2015</w:t>
      </w:r>
    </w:p>
    <w:bookmarkEnd w:id="82"/>
    <w:p w:rsidR="00AC56D6" w:rsidRDefault="00AC56D6" w:rsidP="00AC56D6">
      <w:pPr>
        <w:pStyle w:val="TtuloResolucin"/>
      </w:pPr>
      <w:r>
        <w:t>Sala Segunda</w:t>
      </w:r>
    </w:p>
    <w:p w:rsidR="00AC56D6" w:rsidRDefault="00AC56D6" w:rsidP="00AC56D6">
      <w:pPr>
        <w:pStyle w:val="TtuloBOE"/>
      </w:pPr>
      <w:r>
        <w:t>(BOE núm. 296, de 11 de diciembre de 2015)</w:t>
      </w:r>
    </w:p>
    <w:p w:rsidR="00AC56D6" w:rsidRDefault="00AC56D6" w:rsidP="00AC56D6">
      <w:pPr>
        <w:pStyle w:val="TextoNormalCentrado"/>
      </w:pPr>
      <w:r>
        <w:t>ECLI:ES:TC:2015:226</w:t>
      </w:r>
    </w:p>
    <w:p w:rsidR="00AC56D6" w:rsidRDefault="00AC56D6" w:rsidP="00AC56D6">
      <w:pPr>
        <w:pStyle w:val="TextoNormalCentrado"/>
      </w:pPr>
    </w:p>
    <w:p w:rsidR="00AC56D6" w:rsidRDefault="00AC56D6" w:rsidP="00AC56D6">
      <w:pPr>
        <w:pStyle w:val="SntesisDescriptiva"/>
      </w:pPr>
      <w:r>
        <w:t>Recurso de amparo 1324-2014. Promovido por don Fernando Gómez Aura en relación con los Autos dictados por la Sala de lo Penal de la Audiencia Nacional y el Juzgado Central de Menores sobre denegación de la apertura del trámite de concesión de indulto particular.</w:t>
      </w:r>
    </w:p>
    <w:p w:rsidR="00AC56D6" w:rsidRDefault="00AC56D6" w:rsidP="00AC56D6">
      <w:pPr>
        <w:pStyle w:val="SntesisDescriptiva"/>
      </w:pPr>
    </w:p>
    <w:p w:rsidR="00AC56D6" w:rsidRDefault="00AC56D6" w:rsidP="00AC56D6">
      <w:pPr>
        <w:pStyle w:val="SntesisAnaltica"/>
      </w:pPr>
      <w:r>
        <w:t>Supuesta vulneración de los derechos a la libertad personal y a la tutela judicial efectiva (motivación): resoluciones judiciales que satisfacen el deber reforzado de motivación (STC 163/2002).</w:t>
      </w:r>
    </w:p>
    <w:p w:rsidR="00AC56D6" w:rsidRDefault="00AC56D6" w:rsidP="00AC56D6">
      <w:pPr>
        <w:pStyle w:val="SntesisAnaltica"/>
      </w:pPr>
    </w:p>
    <w:p w:rsidR="00AC56D6" w:rsidRDefault="00AC56D6" w:rsidP="00AC56D6">
      <w:pPr>
        <w:pStyle w:val="Extracto"/>
      </w:pPr>
      <w:r>
        <w:t>1.</w:t>
      </w:r>
      <w:r>
        <w:tab/>
        <w:t>La sentencia firme condenatoria constituye un título legítimo de privación del derecho fundamental a la libertad establecido en el art. 17 CE y la denegación de un beneficio penitenciario no puede suponer, en sentido propio, una lesión del mencionado derecho (STC 79/1998) [FJ 4].</w:t>
      </w:r>
    </w:p>
    <w:p w:rsidR="00AC56D6" w:rsidRDefault="00AC56D6" w:rsidP="00AC56D6">
      <w:pPr>
        <w:pStyle w:val="Extracto"/>
      </w:pPr>
    </w:p>
    <w:p w:rsidR="00AC56D6" w:rsidRDefault="00AC56D6" w:rsidP="00AC56D6">
      <w:pPr>
        <w:pStyle w:val="Extracto"/>
      </w:pPr>
      <w:r>
        <w:t>2.</w:t>
      </w:r>
      <w:r>
        <w:tab/>
        <w:t>No se ha vulnerado el derecho fundamental del recurrente a obtener tutela judicial efectiva, en su vertiente particular a obtener una resolución motivada, pues se ha respetado el canon constitucional aplicable en los procedimientos de indulto [FJ 7].</w:t>
      </w:r>
    </w:p>
    <w:p w:rsidR="00AC56D6" w:rsidRDefault="00AC56D6" w:rsidP="00AC56D6">
      <w:pPr>
        <w:pStyle w:val="Extracto"/>
      </w:pPr>
    </w:p>
    <w:p w:rsidR="00AC56D6" w:rsidRDefault="00AC56D6" w:rsidP="00AC56D6">
      <w:pPr>
        <w:pStyle w:val="Extracto"/>
      </w:pPr>
      <w:r>
        <w:t>3.</w:t>
      </w:r>
      <w:r>
        <w:tab/>
        <w:t>La denegación de la petición de indulto queda perfectamente exteriorizada en relación con datos fácticos que se corresponden, inequívocamente, con las circunstancias previstas en el artículo 206.1 del Reglamento penitenciario, que exige, en un grado que se pueda calificar de extraordinario, una participación en actividades de reeducación y reinserción social [FJ 7].</w:t>
      </w:r>
    </w:p>
    <w:p w:rsidR="00AC56D6" w:rsidRDefault="00AC56D6" w:rsidP="00AC56D6">
      <w:pPr>
        <w:pStyle w:val="Extracto"/>
      </w:pPr>
    </w:p>
    <w:p w:rsidR="00AC56D6" w:rsidRDefault="00AC56D6" w:rsidP="00AC56D6">
      <w:pPr>
        <w:pStyle w:val="Extracto"/>
      </w:pPr>
      <w:r>
        <w:t>4.</w:t>
      </w:r>
      <w:r>
        <w:tab/>
        <w:t>Aplica la doctrina de la STC 163/2002 sobre el deber reforzado de motivación, derivado de la afectación del valor de la libertad, en los procedimientos de indulto [FFJJ 4, 5].</w:t>
      </w:r>
    </w:p>
    <w:p w:rsidR="00AC56D6" w:rsidRDefault="00AC56D6" w:rsidP="00AC56D6">
      <w:pPr>
        <w:pStyle w:val="Extracto"/>
      </w:pPr>
    </w:p>
    <w:p w:rsidR="00AC56D6" w:rsidRDefault="00AC56D6" w:rsidP="00AC56D6">
      <w:pPr>
        <w:pStyle w:val="Extracto"/>
      </w:pPr>
      <w:r>
        <w:t>5.</w:t>
      </w:r>
      <w:r>
        <w:tab/>
        <w:t>Concurre un esfuerzo argumental que permite al Tribunal ubicar la causa de especial trascendencia constitucional, consistente en perfilar y consolidar la doctrina sobre la exigencia de un deber reforzado de motivación en el supuesto de proposición de indulto que ya fuera esbozada en la previa STC 163/2002 (SSTC 17/2011; 212/2013; 77/2015)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lastRenderedPageBreak/>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amparo núm. 1324-2014, promovido por don Fernando Gómez Aura, representado por la Procuradora de los Tribunales doña Patricia Martín López y asistido por el Abogado don José Ramón Tartas Díez, contra el Auto de 5 de febrero de 2014 dictado por la Sala de lo Penal de la Audiencia Nacional (Sección Primera) en el rollo de Sala núm. 816-2013, que desestimó el recurso de apelación interpuesto por aquél contra el Auto de 30 de octubre de 2013, dictado por el Juzgado Central de Menores (con funciones de vigilancia penitenciaria) en el expediente núm. 365-2006, resolutorio del recurso de reforma a su vez interpuesto contra el Auto de 25 de junio de 2013, dictado por el mismo órgano judicial en el mismo procedimiento. Ha intervenido el Ministerio Fiscal. Ha sido ponente el Magistrado don Antonio Narváez Rodríguez,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Por escrito que tuvo entrada en el Registro General de este Tribunal el día 24 de febrero de 2014, don Fernando Gómez Aura manifestó su voluntad de interponer recurso de amparo contra las resoluciones judiciales reseñadas en el encabezamiento de la presente Sentencia, solicitando que le fuesen designados a tal efecto Abogado y Procurador de oficio.</w:t>
      </w:r>
    </w:p>
    <w:p w:rsidR="00AC56D6" w:rsidRDefault="00AC56D6" w:rsidP="00AC56D6">
      <w:pPr>
        <w:pStyle w:val="TextoNormal"/>
      </w:pPr>
    </w:p>
    <w:p w:rsidR="00AC56D6" w:rsidRDefault="00AC56D6" w:rsidP="00AC56D6">
      <w:pPr>
        <w:pStyle w:val="TextoNormal"/>
      </w:pPr>
      <w:r>
        <w:t>Mediante diligencia de ordenación de la Secretaría de Justicia de la Sala Segunda de este Tribunal de 12 de marzo de 2014, se acordó librar despacho al Colegio de Abogados de Madrid a fin de que, de resultar procedente, se designara al recurrente Procurador y Abogado del turno de oficio para su representación y defensa en el presente recurso de amparo.</w:t>
      </w:r>
    </w:p>
    <w:p w:rsidR="00AC56D6" w:rsidRDefault="00AC56D6" w:rsidP="00AC56D6">
      <w:pPr>
        <w:pStyle w:val="TextoNormal"/>
      </w:pPr>
    </w:p>
    <w:p w:rsidR="00AC56D6" w:rsidRDefault="00AC56D6" w:rsidP="00AC56D6">
      <w:pPr>
        <w:pStyle w:val="TextoNormal"/>
      </w:pPr>
      <w:r>
        <w:t>En fecha 30 de abril de 2014 tuvo entrada en el Registro de este Tribunal la resolución de 25 de abril de 2014 de la comisión central de asistencia jurídica gratuita, por la que se acordaba denegar al recurrente de amparo el derecho a la asistencia jurídica gratuita. Recibida dicha resolución, la Sección Cuarta de este Tribunal acordó por providencia de 6 de mayo de 2014 conferir al recurrente un plazo de diez días a efectos de que pudiera comparecer en forma por medio de Procurador y asistido de Abogado, ambos de su libre designación y a su costa, lo que efectivamente hizo el actor el 9 de junio de 2014, fecha en la que tuvo entrada en este Tribunal la demanda de amparo interpuesta, en nombre y representación de don Fernando Gómez Aura, por la Procuradora de los Tribunales doña Patricia Martín López.</w:t>
      </w:r>
    </w:p>
    <w:p w:rsidR="00AC56D6" w:rsidRDefault="00AC56D6" w:rsidP="00AC56D6">
      <w:pPr>
        <w:pStyle w:val="TextoNormal"/>
      </w:pPr>
    </w:p>
    <w:p w:rsidR="00AC56D6" w:rsidRDefault="00AC56D6" w:rsidP="00AC56D6">
      <w:pPr>
        <w:pStyle w:val="TextoNormal"/>
      </w:pPr>
      <w:r w:rsidRPr="00AC56D6">
        <w:rPr>
          <w:rStyle w:val="NumeroAFNegritaCaracter"/>
        </w:rPr>
        <w:t>2</w:t>
      </w:r>
      <w:r>
        <w:t>. Los hechos de los que trae causa la demanda de amparo son, en síntesis, los siguientes:</w:t>
      </w:r>
    </w:p>
    <w:p w:rsidR="00AC56D6" w:rsidRDefault="00AC56D6" w:rsidP="00AC56D6">
      <w:pPr>
        <w:pStyle w:val="TextoNormal"/>
      </w:pPr>
    </w:p>
    <w:p w:rsidR="00AC56D6" w:rsidRDefault="00AC56D6" w:rsidP="00AC56D6">
      <w:pPr>
        <w:pStyle w:val="TextoNormal"/>
      </w:pPr>
      <w:r>
        <w:t xml:space="preserve">a) El demandante de amparo, en situación de libertad condicional desde el 17 de junio de 2011 y sujeto desde entonces a seguimiento de los servicios sociales penitenciarios, presentó en fecha 18 de diciembre de 2012 ante el Juzgado Central de Menores (con funciones de </w:t>
      </w:r>
      <w:r>
        <w:lastRenderedPageBreak/>
        <w:t>vigilancia penitenciaria) solicitud de indulto parcial dirigida al Ministro de Justicia. Por providencia de 18 de febrero de 2013, el Juzgado dio traslado de la solicitud formulada a la junta de tratamiento del centro penitenciario “para que estudie la posibilidad de proposición del indulto parcial solicitado”, dándole, por tanto, la tramitación prevenida en el art. 206.1 del Reglamento penitenciario (en adelante RP).</w:t>
      </w:r>
    </w:p>
    <w:p w:rsidR="00AC56D6" w:rsidRDefault="00AC56D6" w:rsidP="00AC56D6">
      <w:pPr>
        <w:pStyle w:val="TextoNormal"/>
      </w:pPr>
    </w:p>
    <w:p w:rsidR="00AC56D6" w:rsidRDefault="00AC56D6" w:rsidP="00AC56D6">
      <w:pPr>
        <w:pStyle w:val="TextoNormal"/>
      </w:pPr>
      <w:r>
        <w:t>b) En fecha 4 de marzo de 2013 tuvo entrada en el Juzgado el informe de seguimiento elaborado por el trabajador social del servicio social penitenciario acompañado de un escrito del propio penado, de fecha 1 de marzo de 2013, en el que solicitaba el auxilio de dicho servicio social a efecto de lograr la concesión del indulto. Dado traslado al Ministerio Fiscal, éste interesó, en escrito de 21 de marzo de 2013, que se recabara de la junta de tratamiento informe sobre la proposición de indulto, en los términos prevenidos en el art. 206.1 RP, acordándolo así nuevamente el órgano judicial en providencia de 30 de abril de 2013.</w:t>
      </w:r>
    </w:p>
    <w:p w:rsidR="00AC56D6" w:rsidRDefault="00AC56D6" w:rsidP="00AC56D6">
      <w:pPr>
        <w:pStyle w:val="TextoNormal"/>
      </w:pPr>
    </w:p>
    <w:p w:rsidR="00AC56D6" w:rsidRDefault="00AC56D6" w:rsidP="00AC56D6">
      <w:pPr>
        <w:pStyle w:val="TextoNormal"/>
      </w:pPr>
      <w:r>
        <w:t>c) En fecha 5 de junio de 2013 tuvo entrada en el Juzgado un escrito de la dirección del centro penitenciario con el siguiente contenido:</w:t>
      </w:r>
    </w:p>
    <w:p w:rsidR="00AC56D6" w:rsidRDefault="00AC56D6" w:rsidP="00AC56D6">
      <w:pPr>
        <w:pStyle w:val="TextoNormal"/>
      </w:pPr>
    </w:p>
    <w:p w:rsidR="00AC56D6" w:rsidRDefault="00AC56D6" w:rsidP="00AC56D6">
      <w:pPr>
        <w:pStyle w:val="TextoNormal"/>
      </w:pPr>
      <w:r>
        <w:t>“En contestación a su solicitud de información relativa al asunto de referencia, significar a V.I. que reunida la Junta de Tratamiento de este centro en su sesión de fecha 23.05.13, previo estudio y deliberación de sus miembros, ha acordado que en el informado Fernando Gómez Aura no concurren ‘en grado extraordinario’ las circunstancias a que alude el precepto invocado (art. 206 RP).”</w:t>
      </w:r>
    </w:p>
    <w:p w:rsidR="00AC56D6" w:rsidRDefault="00AC56D6" w:rsidP="00AC56D6">
      <w:pPr>
        <w:pStyle w:val="TextoNormal"/>
      </w:pPr>
    </w:p>
    <w:p w:rsidR="00AC56D6" w:rsidRDefault="00AC56D6" w:rsidP="00AC56D6">
      <w:pPr>
        <w:pStyle w:val="TextoNormal"/>
      </w:pPr>
      <w:r>
        <w:t>d) Dado traslado de dicho escrito al Ministerio Fiscal, éste informó en fecha 18 de junio de 2013 que no procedía “la concesión del indulto al no concurrir las circunstancias exigidas en el art. 206 RP”. Mediante Auto de 25 de junio de 2013, el Juzgado acordó desestimar “la queja del interno Fernando Gómez Aura del Centro Penitenciario CIS VICTORIA KENT” consignando en su fundamento de derecho segundo los dos argumentos en que había basado su decisión:</w:t>
      </w:r>
    </w:p>
    <w:p w:rsidR="00AC56D6" w:rsidRDefault="00AC56D6" w:rsidP="00AC56D6">
      <w:pPr>
        <w:pStyle w:val="TextoNormal"/>
      </w:pPr>
    </w:p>
    <w:p w:rsidR="00AC56D6" w:rsidRDefault="00AC56D6" w:rsidP="00AC56D6">
      <w:pPr>
        <w:pStyle w:val="TextoNormal"/>
      </w:pPr>
      <w:r>
        <w:t>“1º. En primer lugar la Junta de Tratamiento tiene la facultad y no la obligación de proponer la tramitación de indulto particular, y</w:t>
      </w:r>
    </w:p>
    <w:p w:rsidR="00AC56D6" w:rsidRDefault="00AC56D6" w:rsidP="00AC56D6">
      <w:pPr>
        <w:pStyle w:val="TextoNormal"/>
      </w:pPr>
    </w:p>
    <w:p w:rsidR="00AC56D6" w:rsidRDefault="00AC56D6" w:rsidP="00AC56D6">
      <w:pPr>
        <w:pStyle w:val="TextoNormal"/>
      </w:pPr>
      <w:r>
        <w:t>2º. En el interno solicitante no concurren los requisitos exigidos en el citado art. 206 del Reglamento penitenciario en el grado extraordinario requerido, según la evaluación de las actividades realizadas por dicho interno.”</w:t>
      </w:r>
    </w:p>
    <w:p w:rsidR="00AC56D6" w:rsidRDefault="00AC56D6" w:rsidP="00AC56D6">
      <w:pPr>
        <w:pStyle w:val="TextoNormal"/>
      </w:pPr>
    </w:p>
    <w:p w:rsidR="00AC56D6" w:rsidRDefault="00AC56D6" w:rsidP="00AC56D6">
      <w:pPr>
        <w:pStyle w:val="TextoNormal"/>
      </w:pPr>
      <w:r>
        <w:t>e) Frente a dicho Auto presentó el recurrente de amparo, en fecha 31 de julio de 2013, recurso de reforma y subsidiario de apelación. En el escrito de impugnación el recurrente: (i) ponía de manifiesto que “únicamente” había presentado una solicitud de indulto, y no un recurso de queja, señalando asimismo que la solicitud de indulto efectuada había sido presentada y registrada directamente ante el Ministerio de Justicia; (ii) solicitaba que se recabara diversa documentación sobre las actividades, salud, trabajos, conducta y evolución durante el tiempo pasado por el recurrente como interno del centro penitenciario; (iii) afirmaba que gozaba de medios lícitos de vida, que era pensionista, que tenía arraigo familiar, que había desarrollado una conducta intachable en los diez años que había permanecido interno en el centro penitenciario y que tenía una enfermedad crónica y una edad muy avanzada, circunstancias todas que, a su juicio, le hacían acreedor de la medida de gracia solicitada.</w:t>
      </w:r>
    </w:p>
    <w:p w:rsidR="00AC56D6" w:rsidRDefault="00AC56D6" w:rsidP="00AC56D6">
      <w:pPr>
        <w:pStyle w:val="TextoNormal"/>
      </w:pPr>
    </w:p>
    <w:p w:rsidR="00AC56D6" w:rsidRDefault="00AC56D6" w:rsidP="00AC56D6">
      <w:pPr>
        <w:pStyle w:val="TextoNormal"/>
      </w:pPr>
      <w:r>
        <w:t>f) Presentado el referido recurso, el órgano judicial recabó en fecha 30 de septiembre de 2013 del centro penitenciario “informe ampliatorio en el que se detallen las actividades laborales y de reeducación y reinserción social realizadas por el interno en un período mínimo de dos años, así como la evolución del mismo, indicando cuándo se considera por esa Junta de Tratamiento que la valoración realizada puede calificarse de ‘grado extraordinario’ a los efectos del art. 206 del Reglamento Penitenciario”.</w:t>
      </w:r>
    </w:p>
    <w:p w:rsidR="00AC56D6" w:rsidRDefault="00AC56D6" w:rsidP="00AC56D6">
      <w:pPr>
        <w:pStyle w:val="TextoNormal"/>
      </w:pPr>
    </w:p>
    <w:p w:rsidR="00AC56D6" w:rsidRDefault="00AC56D6" w:rsidP="00AC56D6">
      <w:pPr>
        <w:pStyle w:val="TextoNormal"/>
      </w:pPr>
      <w:r>
        <w:t>g) En fecha 25 de octubre de 2013 se recibieron en el Juzgado, los siguientes documentos:</w:t>
      </w:r>
    </w:p>
    <w:p w:rsidR="00AC56D6" w:rsidRDefault="00AC56D6" w:rsidP="00AC56D6">
      <w:pPr>
        <w:pStyle w:val="TextoNormal"/>
      </w:pPr>
    </w:p>
    <w:p w:rsidR="00AC56D6" w:rsidRDefault="00AC56D6" w:rsidP="00AC56D6">
      <w:pPr>
        <w:pStyle w:val="TextoNormal"/>
      </w:pPr>
      <w:r>
        <w:t>(i) Un informe del educador del centro penitenciario en el que ponía de relieve que el recurrente de amparo había realizado actividades de forma continuada, durante todo el tiempo de privación de libertad, en áreas de labores auxiliares, culturales, formativas laborales y deportivas (no así en áreas terapéuticas, que no eran requeridas ni por la tipología delictiva ni por sus circunstancias personales). El informe añadía que en todas esas actividades el interno había obtenido “notas meritorias”, no constando en su expediente notas desfavorables. También señalaba que el interno había disfrutado sin incidencias de permisos de salida desde 2009 y que ya había asumido su responsabilidad declarando formalmente su arrepentimiento por los hechos delictivos cometidos.</w:t>
      </w:r>
    </w:p>
    <w:p w:rsidR="00AC56D6" w:rsidRDefault="00AC56D6" w:rsidP="00AC56D6">
      <w:pPr>
        <w:pStyle w:val="TextoNormal"/>
      </w:pPr>
    </w:p>
    <w:p w:rsidR="00AC56D6" w:rsidRDefault="00AC56D6" w:rsidP="00AC56D6">
      <w:pPr>
        <w:pStyle w:val="TextoNormal"/>
      </w:pPr>
      <w:r>
        <w:t>Al informe se acompañaban los listados de actividades y recompensas del interno, incluyendo las evaluaciones, en las que constaban catorce valoraciones de “excelente”, cuatro de “destacada” y tres de “normal”.</w:t>
      </w:r>
    </w:p>
    <w:p w:rsidR="00AC56D6" w:rsidRDefault="00AC56D6" w:rsidP="00AC56D6">
      <w:pPr>
        <w:pStyle w:val="TextoNormal"/>
      </w:pPr>
    </w:p>
    <w:p w:rsidR="00AC56D6" w:rsidRDefault="00AC56D6" w:rsidP="00AC56D6">
      <w:pPr>
        <w:pStyle w:val="TextoNormal"/>
      </w:pPr>
      <w:r>
        <w:t>(ii) Una certificación del acuerdo adoptado por la junta de tratamiento el 17 de octubre de 2013 en el que se señala que el criterio de dicho órgano “es desestimar esta solicitud por no ser procedente (art. 206.1 Reglamento penitenciario) ‘…para los penados en que concurra’ instrucción 17/2007 de la Subd. Gral. de Tratamiento y Gestión Penitenciaria punto 2 ‘Principios de aplicación’ apartado a</w:t>
      </w:r>
      <w:r w:rsidRPr="00AC56D6">
        <w:rPr>
          <w:i/>
        </w:rPr>
        <w:t>) s</w:t>
      </w:r>
      <w:r>
        <w:t>ic”.</w:t>
      </w:r>
    </w:p>
    <w:p w:rsidR="00AC56D6" w:rsidRDefault="00AC56D6" w:rsidP="00AC56D6">
      <w:pPr>
        <w:pStyle w:val="TextoNormal"/>
      </w:pPr>
    </w:p>
    <w:p w:rsidR="00AC56D6" w:rsidRDefault="00AC56D6" w:rsidP="00AC56D6">
      <w:pPr>
        <w:pStyle w:val="TextoNormal"/>
      </w:pPr>
      <w:r>
        <w:t>h) Mediante Auto de 30 de octubre de 2013, el Juzgado desestimó el recurso de reforma interpuesto reiterando que “el interno no cumple la exigencia de concurrencia de los requisitos en grado extraordinario y que requiere una valoración de las actividades durante el período contemplado, igual a ‘excelente’ y nunca inferior a ‘destacada’ por lo que procede mantener lo acordado”.</w:t>
      </w:r>
    </w:p>
    <w:p w:rsidR="00AC56D6" w:rsidRDefault="00AC56D6" w:rsidP="00AC56D6">
      <w:pPr>
        <w:pStyle w:val="TextoNormal"/>
      </w:pPr>
    </w:p>
    <w:p w:rsidR="00AC56D6" w:rsidRDefault="00AC56D6" w:rsidP="00AC56D6">
      <w:pPr>
        <w:pStyle w:val="TextoNormal"/>
      </w:pPr>
      <w:r>
        <w:t>i) Frente a la resolución dictada interpuso el ahora demandante de amparo recurso de apelación. Tanto en su primer escrito de impugnación, realizado sin dirección letrada, como en el finalmente presentado con asistencia de Abogado en fecha 21 de noviembre de 2013, el demandante puso de manifiesto que las resoluciones dictadas por el órgano judicial carecían de motivación suficiente y suponían, por ello, la vulneración del derecho a la tutela judicial efectiva por falta de motivación de la resolución impugnada (art. 24.1 CE) en relación con la libertad como valor superior del ordenamiento jurídico (art. 17.1 CE) y con los derechos fundamentales y principios que derivan del art. 25.2 CE, ya que se basaban en una pura afirmación apodíctica que le impedía “conocer las razones concretas que justifican la denegación”.</w:t>
      </w:r>
    </w:p>
    <w:p w:rsidR="00AC56D6" w:rsidRDefault="00AC56D6" w:rsidP="00AC56D6">
      <w:pPr>
        <w:pStyle w:val="TextoNormal"/>
      </w:pPr>
    </w:p>
    <w:p w:rsidR="00AC56D6" w:rsidRDefault="00AC56D6" w:rsidP="00AC56D6">
      <w:pPr>
        <w:pStyle w:val="TextoNormal"/>
      </w:pPr>
      <w:r>
        <w:lastRenderedPageBreak/>
        <w:t>En su recurso el actor invocaba expresamente la STC 163/2002, de 16 de septiembre —que aportaba como documento adjunto—, en la que se había resuelto un caso que consideraba “casi exactamente [igual] al ocurrido”. También señalaba que en su expediente existían numerosas actividades calificadas de “excelente” y que también le habían dado esa calificación en las actividades de voluntariado que había desarrollado en una asociación entre junio de 2010 y octubre de 2011.</w:t>
      </w:r>
    </w:p>
    <w:p w:rsidR="00AC56D6" w:rsidRDefault="00AC56D6" w:rsidP="00AC56D6">
      <w:pPr>
        <w:pStyle w:val="TextoNormal"/>
      </w:pPr>
    </w:p>
    <w:p w:rsidR="00AC56D6" w:rsidRDefault="00AC56D6" w:rsidP="00AC56D6">
      <w:pPr>
        <w:pStyle w:val="TextoNormal"/>
      </w:pPr>
      <w:r>
        <w:t>j) Finalmente, mediante Auto de 5 de febrero de 2014, la Sala de lo Penal de la Audiencia Nacional (Sección Primera) desestimó el recurso de apelación interpuesto señalando que “cabe indicar que no concurren en el interno los requisitos establecidos en dicha normativa en el grado extraordinario requerido, conforme a lo previsto en el art. 206.1 del Reglamento penitenciario, apreciándose que la documentación complementaria presenta un grado normal en la conducta del penado, sin que se advierta ese plus que recoge la normativa citada, máxime teniendo en cuenta la situación de libertad condicional del penado desde 17 de junio de 2011”.</w:t>
      </w:r>
    </w:p>
    <w:p w:rsidR="00AC56D6" w:rsidRDefault="00AC56D6" w:rsidP="00AC56D6">
      <w:pPr>
        <w:pStyle w:val="TextoNormal"/>
      </w:pPr>
    </w:p>
    <w:p w:rsidR="00AC56D6" w:rsidRDefault="00AC56D6" w:rsidP="00AC56D6">
      <w:pPr>
        <w:pStyle w:val="TextoNormal"/>
      </w:pPr>
      <w:r w:rsidRPr="00AC56D6">
        <w:rPr>
          <w:rStyle w:val="NumeroAFNegritaCaracter"/>
        </w:rPr>
        <w:t>3</w:t>
      </w:r>
      <w:r>
        <w:t>. En su escrito de demanda, el recurrente considera que tanto los Autos de 25 de junio y 30 de octubre de 2013 del Juzgado Central de Menores (en funciones de vigilancia penitenciaria) como el posterior Auto de apelación dictado el 5 de febrero de 2014 por la Sala de lo Penal de la Audiencia Nacional, vulneraron su derecho a la tutela judicial efectiva del art. 24.1 CE, “en este caso relacionado con la desprotección de la libertad, valor superior del ordenamiento jurídico del art. 17 CE”. Las referidas resoluciones también habrían ignorado, a juicio del recurrente, “la orientación a la reeducación y la reinserción social que tiene toda pena privativa de libertad” de acuerdo con el art. 25.2 CE.</w:t>
      </w:r>
    </w:p>
    <w:p w:rsidR="00AC56D6" w:rsidRDefault="00AC56D6" w:rsidP="00AC56D6">
      <w:pPr>
        <w:pStyle w:val="TextoNormal"/>
      </w:pPr>
    </w:p>
    <w:p w:rsidR="00AC56D6" w:rsidRDefault="00AC56D6" w:rsidP="00AC56D6">
      <w:pPr>
        <w:pStyle w:val="TextoNormal"/>
      </w:pPr>
      <w:r>
        <w:t>Para fundar su tesis, el recurrente invoca expresamente la STC 163/2002, de 16 de septiembre, que, según glosa, puso de manifiesto que la concesión del indulto particular tiene, de acuerdo con el art. 202.2 RP, la naturaleza de “beneficio penitenciario”. Esta circunstancia hace que la decisión que al respecto pueda tomar el órgano judicial afecte a “la libertad como valor superior del ordenamiento”. La decisión del Poder Judicial ha de cumplir, por ello, con un “reforzado deber de motivación”. El actor entiende que dicho deber fue incumplido por las resoluciones impugnadas.</w:t>
      </w:r>
    </w:p>
    <w:p w:rsidR="00AC56D6" w:rsidRDefault="00AC56D6" w:rsidP="00AC56D6">
      <w:pPr>
        <w:pStyle w:val="TextoNormal"/>
      </w:pPr>
    </w:p>
    <w:p w:rsidR="00AC56D6" w:rsidRDefault="00AC56D6" w:rsidP="00AC56D6">
      <w:pPr>
        <w:pStyle w:val="TextoNormal"/>
      </w:pPr>
      <w:r>
        <w:t>Según se afirma en la demanda, el sistema de cumplimiento de penas se funda en el principio de “individualización científica”, sin que resulte admisible “que algo tan importante como es la posible concesión de un indulto particular no esté basada en un estudio técnico-pericial que la Administración penitenciaria debió realizar”. Lejos de efectuar un examen circunstanciado del caso, las resoluciones judiciales se limitaron a constatar de forma apodíctica que no concurrían en el penado los requisitos del indulto particular en el “grado extraordinario” requerido en el art. 206 RP, afirmación que la citada STC 163/2002 ya consideró insuficiente a efectos de cumplir con el deber de motivación reforzada que pesa sobre el órgano judicial en materia de beneficios penitenciarios.</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Por providencia de 16 de abril de 2015, la Sala Segunda de este Tribunal acordó admitir a trámite la demanda, y, en aplicación de lo dispuesto en el art. 51 de la Ley Orgánica del Tribunal Constitucional (LOTC), dirigir atenta comunicación a la Sala de lo Penal de la Audiencia Nacional (Sección Primera) y al Juzgado Central de Menores (con funciones de vigilancia penitenciaria) a fin de que, en plazo que no excediera de diez días, remitieran, </w:t>
      </w:r>
      <w:r>
        <w:lastRenderedPageBreak/>
        <w:t>respectivamente, certificación o fotocopia adverada de las actuaciones correspondientes al Rollo de Sala núm. 816-2013 y al expediente 365-2006, interesándose al propio tiempo del Juzgado Central que emplazara a quienes hubieran sido parte en el procedimiento, excepto a la parte recurrente en amparo, para que pudieran comparecer en el plazo de diez días.</w:t>
      </w:r>
    </w:p>
    <w:p w:rsidR="00AC56D6" w:rsidRDefault="00AC56D6" w:rsidP="00AC56D6">
      <w:pPr>
        <w:pStyle w:val="TextoNormal"/>
      </w:pPr>
    </w:p>
    <w:p w:rsidR="00AC56D6" w:rsidRDefault="00AC56D6" w:rsidP="00AC56D6">
      <w:pPr>
        <w:pStyle w:val="TextoNormal"/>
      </w:pPr>
      <w:r>
        <w:t>La aludida providencia aclara que el recurso de amparo “ofrece especial trascendencia constitucional (art. 50.1 LOTC)” porque “puede dar ocasión al Tribunal para aclarar o cambiar su doctrina, como consecuencia de un proceso de reflexión interna [STC 155/2009, FJ 2 b)]”.</w:t>
      </w:r>
    </w:p>
    <w:p w:rsidR="00AC56D6" w:rsidRDefault="00AC56D6" w:rsidP="00AC56D6">
      <w:pPr>
        <w:pStyle w:val="TextoNormal"/>
      </w:pPr>
    </w:p>
    <w:p w:rsidR="00AC56D6" w:rsidRDefault="00AC56D6" w:rsidP="00AC56D6">
      <w:pPr>
        <w:pStyle w:val="TextoNormal"/>
      </w:pPr>
      <w:r w:rsidRPr="00AC56D6">
        <w:rPr>
          <w:rStyle w:val="NumeroAFNegritaCaracter"/>
        </w:rPr>
        <w:t>5</w:t>
      </w:r>
      <w:r>
        <w:t>. Una vez recibidos los testimonios solicitados y cumplimentados los emplazamientos requeridos, la Sala Segunda, por diligencia de ordenación de su Secretaría de Justicia de fecha 20 de mayo de 2015, acordó dar vista de las actuaciones a la parte recurrente y al Ministerio Fiscal, por plazo común de veinte días, para que formularan las alegaciones que estimaran pertinentes, conforme determina el art. 52.1 LOTC.</w:t>
      </w:r>
    </w:p>
    <w:p w:rsidR="00AC56D6" w:rsidRDefault="00AC56D6" w:rsidP="00AC56D6">
      <w:pPr>
        <w:pStyle w:val="TextoNormal"/>
      </w:pPr>
    </w:p>
    <w:p w:rsidR="00AC56D6" w:rsidRDefault="00AC56D6" w:rsidP="00AC56D6">
      <w:pPr>
        <w:pStyle w:val="TextoNormal"/>
      </w:pPr>
      <w:r w:rsidRPr="00AC56D6">
        <w:rPr>
          <w:rStyle w:val="NumeroAFNegritaCaracter"/>
        </w:rPr>
        <w:t>6</w:t>
      </w:r>
      <w:r>
        <w:t>. El Ministerio Fiscal presentó sus alegaciones mediante escrito de fecha 18 de junio de 2015, en el que interesa que se otorgue el amparo solicitado por vulneración “del derecho a la tutela judicial efectiva sin indefensión del demandante”, al considerar que las resoluciones judiciales impugnadas no están “debidamente motivadas, lesionando el derecho a la libertad y los principios de reeducación y reinserción social a los que deben responder las penas privativas de libertad”.</w:t>
      </w:r>
    </w:p>
    <w:p w:rsidR="00AC56D6" w:rsidRDefault="00AC56D6" w:rsidP="00AC56D6">
      <w:pPr>
        <w:pStyle w:val="TextoNormal"/>
      </w:pPr>
    </w:p>
    <w:p w:rsidR="00AC56D6" w:rsidRDefault="00AC56D6" w:rsidP="00AC56D6">
      <w:pPr>
        <w:pStyle w:val="TextoNormal"/>
      </w:pPr>
      <w:r>
        <w:t xml:space="preserve">Como cuestión previa al examen de fondo, la Fiscal ante el Tribunal Constitucional advierte del posible incumplimiento por parte del demandante de amparo del deber de justificar debidamente la especial trascendencia constitucional del recurso. A su juicio, la demanda no contiene ninguna argumentación específica “distinta de la relativa a la lesión del derecho fundamental que se invoca, sobre la concurrencia de alguno de los supuestos de la especial trascendencia constitucional, en el caso concreto al que se refiere la demanda”. No se habría cumplido, pues, con lo dispuesto en los arts. 49.1 </w:t>
      </w:r>
      <w:r w:rsidRPr="00AC56D6">
        <w:rPr>
          <w:i/>
        </w:rPr>
        <w:t>in fine</w:t>
      </w:r>
      <w:r>
        <w:t xml:space="preserve"> y 50.1., a) LOTC. No obstante, la Fiscal no plantea formalmente este óbice de admisibilidad, pues no interesa en el suplico la inadmisión del recurso.</w:t>
      </w:r>
    </w:p>
    <w:p w:rsidR="00AC56D6" w:rsidRDefault="00AC56D6" w:rsidP="00AC56D6">
      <w:pPr>
        <w:pStyle w:val="TextoNormal"/>
      </w:pPr>
    </w:p>
    <w:p w:rsidR="00AC56D6" w:rsidRDefault="00AC56D6" w:rsidP="00AC56D6">
      <w:pPr>
        <w:pStyle w:val="TextoNormal"/>
      </w:pPr>
      <w:r>
        <w:t>Aclara a continuación el Ministerio Fiscal que el objeto del amparo lo constituyen las resoluciones judiciales dictadas por el Juzgado Central y la Sala de lo Penal de la Audiencia Nacional y no la decisión adoptada por la Administración penitenciaria. La relación entre dichas resoluciones judiciales y la actuación administrativa resulta, además, peculiar, en el caso planteado, pues, según pone de relieve la Fiscal, fue el Juzgado Central de Menores el que, actuando en funciones de vigilancia penitenciaria, decidió tramitar como queja del interno lo que constituía, en realidad, una petición formal de indulto dirigida al Ministerio de Justicia. Fue, así, el propio órgano judicial el que suscitó un pronunciamiento de la junta de tratamiento sobre la petición de indulto particular conforme al art. 206 RP. Ahora bien, según el Ministerio Fiscal, esta particularidad fáctica no obsta a la resolución del amparo interesado, pues una vez que la junta de tratamiento resolvió de forma desfavorable sobre la propuesta de indulto, el recurrente utilizó los medios de impugnación que estaban a su alcance. Con este proceder hizo suya la petición de dar al indulto el cauce del art. 206 RP, quedando, así, claramente fijados los términos del debate en el ámbito normativo de dicho beneficio penitenciario.</w:t>
      </w:r>
    </w:p>
    <w:p w:rsidR="00AC56D6" w:rsidRDefault="00AC56D6" w:rsidP="00AC56D6">
      <w:pPr>
        <w:pStyle w:val="TextoNormal"/>
      </w:pPr>
    </w:p>
    <w:p w:rsidR="00AC56D6" w:rsidRDefault="00AC56D6" w:rsidP="00AC56D6">
      <w:pPr>
        <w:pStyle w:val="TextoNormal"/>
      </w:pPr>
      <w:r>
        <w:t xml:space="preserve">Entrando ya en el fondo del asunto, el Ministerio Fiscal pone de manifiesto que el caso planteado es “similar” al suscitado ante este Tribunal en la STC 163/2002, de 16 de septiembre. Como en aquel supuesto, estamos también ante un recurso de amparo exclusivamente dirigido contra las resoluciones judiciales, subsumible pues en el art. 44 LOTC. Dichas resoluciones se caracterizan por contener la misma </w:t>
      </w:r>
      <w:r w:rsidRPr="00AC56D6">
        <w:rPr>
          <w:i/>
        </w:rPr>
        <w:t>ratio decidendi</w:t>
      </w:r>
      <w:r>
        <w:t xml:space="preserve"> que fuera examinada en la referida Sentencia de 2002. En particular, el Auto de 25 de junio de 2013 deniega formular la propuesta de indulto por no concurrir “en grado extraordinario las circunstancias que se establecen en el art. 206.1 del Reglamento Penitenciario” y por ser dicha proposición “una facultad y no una obligación”. Se trata de dos razonamientos que ya fueron considerados incompatibles con el deber de motivación reforzada exigible al órgano judicial en la STC 163/2002.</w:t>
      </w:r>
    </w:p>
    <w:p w:rsidR="00AC56D6" w:rsidRDefault="00AC56D6" w:rsidP="00AC56D6">
      <w:pPr>
        <w:pStyle w:val="TextoNormal"/>
      </w:pPr>
    </w:p>
    <w:p w:rsidR="00AC56D6" w:rsidRDefault="00AC56D6" w:rsidP="00AC56D6">
      <w:pPr>
        <w:pStyle w:val="TextoNormal"/>
      </w:pPr>
      <w:r>
        <w:t>Según constata la Fiscal, la única particularidad del caso estriba en que el recurrente fue excarcelado el 17 de junio de 2011, circunstancia que, a su juicio, “no supone que no se encontrara sujeto a las restricciones de libertad impuestas bajo el régimen de la condicional (</w:t>
      </w:r>
      <w:r w:rsidRPr="00AC56D6">
        <w:rPr>
          <w:i/>
        </w:rPr>
        <w:t>sic</w:t>
      </w:r>
      <w:r>
        <w:t>), ni que el indulto parcial cuya tramitación se le deniega, no tenga el carácter de beneficio penitenciario”. En el parecer del Ministerio Fiscal, la condición de liberado condicional no exime al órgano judicial de aplicar el canon de motivación reforzada que deriva de los arts. 17 y 25.2 CE, pues el otorgamiento del indulto supondría “el acortamiento de la pena privativa de libertad que le quedaba pendiente de extinguir y que dejaría definitivamente cumplida en abril de 2020”.</w:t>
      </w:r>
    </w:p>
    <w:p w:rsidR="00AC56D6" w:rsidRDefault="00AC56D6" w:rsidP="00AC56D6">
      <w:pPr>
        <w:pStyle w:val="TextoNormal"/>
      </w:pPr>
    </w:p>
    <w:p w:rsidR="00AC56D6" w:rsidRDefault="00AC56D6" w:rsidP="00AC56D6">
      <w:pPr>
        <w:pStyle w:val="TextoNormal"/>
      </w:pPr>
      <w:r>
        <w:t>Sentado que el canon aplicable era el de motivación reforzada propio de los beneficios penitenciarios y que el núcleo de la respuesta jurisdiccional resultaba contrario al mismo, de conformidad con lo ya señalado en la STC 163/2002, de 16 de septiembre, la Fiscal ante el Tribunal Constitucional analiza las argumentaciones adicionales contenidas en los Autos de 30 de octubre de 2013 y 5 de febrero de 2014.</w:t>
      </w:r>
    </w:p>
    <w:p w:rsidR="00AC56D6" w:rsidRDefault="00AC56D6" w:rsidP="00AC56D6">
      <w:pPr>
        <w:pStyle w:val="TextoNormal"/>
      </w:pPr>
    </w:p>
    <w:p w:rsidR="00AC56D6" w:rsidRDefault="00AC56D6" w:rsidP="00AC56D6">
      <w:pPr>
        <w:pStyle w:val="TextoNormal"/>
      </w:pPr>
      <w:r>
        <w:t>El primero de ellos, resolutorio del recurso de reforma, añadió a la argumentación ya contenida en la resolución inicialmente dictada, que la tramitación del indulto particular exigía una valoración de actividades en el período contemplado igual a excelente y nunca inferior a destacada. No obstante, según constata la Fiscal, el informe de conducta de 17 de octubre de 2013 señalaba que el penado había recibido “notas meritorias” por las actividades realizadas. Asimismo, destaca la Fiscal que “el histórico de actividades realizadas consta en cuanto a la puntuación otorgada en muchos de los casos a esas actividades la de ‘excelente’”. Concluye por ello la representante del Ministerio Fiscal que ese argumento adicional tampoco se ajusta al canon aplicable de “motivación reforzada”.</w:t>
      </w:r>
    </w:p>
    <w:p w:rsidR="00AC56D6" w:rsidRDefault="00AC56D6" w:rsidP="00AC56D6">
      <w:pPr>
        <w:pStyle w:val="TextoNormal"/>
      </w:pPr>
    </w:p>
    <w:p w:rsidR="00AC56D6" w:rsidRDefault="00AC56D6" w:rsidP="00AC56D6">
      <w:pPr>
        <w:pStyle w:val="TextoNormal"/>
      </w:pPr>
      <w:r>
        <w:t xml:space="preserve">La resolución de 5 de febrero de 2014 dictada en apelación por la Sala de lo Penal de la Audiencia Nacional (Sección Primera) estima, a su vez, que los requisitos del indulto particular concurren únicamente “en grado normal” —lo que, para la Fiscal, es tanto como reiterar que no concurren en grado extraordinario— y añade como dato decisivo que el penado se halla en situación de libertad condicional. El Ministerio Fiscal considera que este nuevo argumento tampoco resulta aceptable desde la óptica del deber de motivación reforzada, pues la decisión adoptada no expresa “los motivos por los que esta situación de libertad condicional es considerada como negativa a los efectos de valorar el cumplimiento de lo dispuesto en la citada norma, sobre todo porque en los informes aportados por el centro </w:t>
      </w:r>
      <w:r>
        <w:lastRenderedPageBreak/>
        <w:t>penitenciario se pone de manifiesto que el liberado condicional ha observado las obligaciones impuestas bajo este régimen y que durante el mismo ha observado una conducta personal acorde con los postulados de reinserción social”.</w:t>
      </w:r>
    </w:p>
    <w:p w:rsidR="00AC56D6" w:rsidRDefault="00AC56D6" w:rsidP="00AC56D6">
      <w:pPr>
        <w:pStyle w:val="TextoNormal"/>
      </w:pPr>
    </w:p>
    <w:p w:rsidR="00AC56D6" w:rsidRDefault="00AC56D6" w:rsidP="00AC56D6">
      <w:pPr>
        <w:pStyle w:val="TextoNormal"/>
      </w:pPr>
      <w:r>
        <w:t>Concluye, pues, el Ministerio Fiscal que las resoluciones dictadas “no cumplen el estándar de motivación reforzada que era exigible, teniendo en cuenta el objeto sobre el que se pronuncian”. En consecuencia interesa que se estime la demanda de amparo, se declare la nulidad de las resoluciones judiciales impugnadas y se retrotraigan las actuaciones “al momento anterior a dictarse el Auto de fecha 25 de junio de 2013” para que se dicte una nueva resolución respetuosa con el derecho fundamental a la tutela judicial efectiva (art. 24.1 CE).</w:t>
      </w:r>
    </w:p>
    <w:p w:rsidR="00AC56D6" w:rsidRDefault="00AC56D6" w:rsidP="00AC56D6">
      <w:pPr>
        <w:pStyle w:val="TextoNormal"/>
      </w:pPr>
    </w:p>
    <w:p w:rsidR="00AC56D6" w:rsidRDefault="00AC56D6" w:rsidP="00AC56D6">
      <w:pPr>
        <w:pStyle w:val="TextoNormal"/>
      </w:pPr>
      <w:r w:rsidRPr="00AC56D6">
        <w:rPr>
          <w:rStyle w:val="NumeroAFNegritaCaracter"/>
        </w:rPr>
        <w:t>7</w:t>
      </w:r>
      <w:r>
        <w:t>. El recurrente de amparo dejó transcurrir el plazo conferido sin presentar alegaciones.</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29 de octubre de 2015, se señaló para deliberación y votación de la presente Sentencia el día 2 de noviembre del mismo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Como ha quedado expuesto en los antecedentes, el demandante de amparo considera que los Autos de 25 de junio y 30 de octubre de 2013, dictados por el Juzgado Central de Menores (con funciones de vigilancia penitenciaria), y el Auto de 5 de febrero de 2014, dictado en apelación por la Sala de lo Penal de la Audiencia Nacional (Sección Primera), han vulnerado su derecho fundamental a la tutela judicial efectiva (art. 24.1 CE). Entiende el actor que las resoluciones impugnadas no cumplen el especial deber de motivación que es exigible al órgano judicial cuando, al pronunciarse sobre la procedencia de un beneficio penitenciario, quedan afectadas la libertad personal (art. 17 CE) y la finalidad de reeducación y reinserción de las penas privativas de libertad (art. 25.2 CE).</w:t>
      </w:r>
    </w:p>
    <w:p w:rsidR="00AC56D6" w:rsidRDefault="00AC56D6" w:rsidP="00AC56D6">
      <w:pPr>
        <w:pStyle w:val="TextoNormal"/>
      </w:pPr>
    </w:p>
    <w:p w:rsidR="00AC56D6" w:rsidRDefault="00AC56D6" w:rsidP="00AC56D6">
      <w:pPr>
        <w:pStyle w:val="TextoNormal"/>
      </w:pPr>
      <w:r>
        <w:t>El Ministerio Fiscal interesa, por su parte, la estimación del recurso de amparo por las razones que han quedado expuestas en los antecedentes.</w:t>
      </w:r>
    </w:p>
    <w:p w:rsidR="00AC56D6" w:rsidRDefault="00AC56D6" w:rsidP="00AC56D6">
      <w:pPr>
        <w:pStyle w:val="TextoNormal"/>
      </w:pPr>
    </w:p>
    <w:p w:rsidR="00AC56D6" w:rsidRDefault="00AC56D6" w:rsidP="00AC56D6">
      <w:pPr>
        <w:pStyle w:val="TextoNormal"/>
      </w:pPr>
      <w:r w:rsidRPr="00AC56D6">
        <w:rPr>
          <w:rStyle w:val="NumeroAFNegritaCaracter"/>
        </w:rPr>
        <w:t>2</w:t>
      </w:r>
      <w:r>
        <w:t>. Antes de abordar el examen de las cuestiones que son objeto de debate, debemos hacer dos precisiones previas.</w:t>
      </w:r>
    </w:p>
    <w:p w:rsidR="00AC56D6" w:rsidRDefault="00AC56D6" w:rsidP="00AC56D6">
      <w:pPr>
        <w:pStyle w:val="TextoNormal"/>
      </w:pPr>
    </w:p>
    <w:p w:rsidR="00AC56D6" w:rsidRDefault="00AC56D6" w:rsidP="00AC56D6">
      <w:pPr>
        <w:pStyle w:val="TextoNormal"/>
      </w:pPr>
      <w:r>
        <w:t>En primer lugar, debe advertirse, como ya se hizo en la previa STC 163/2002, de 16 de septiembre, relativa a un asunto que comparte alguna semejanza con el que ahora nos ocupa, que el objeto de impugnación en este proceso constitucional no es la decisión inicialmente adoptada por la junta de tratamiento, sino las resoluciones judiciales posteriores que acordaron que no había lugar a tramitar el indulto por la vía del art. 206 del Reglamento penitenciario (en adelante RP). Estamos, pues, ante un recurso de amparo plenamente subsumible en el art. 44 de la Ley Orgánica del Tribunal Constitucional (en adelante LOTC).</w:t>
      </w:r>
    </w:p>
    <w:p w:rsidR="00AC56D6" w:rsidRDefault="00AC56D6" w:rsidP="00AC56D6">
      <w:pPr>
        <w:pStyle w:val="TextoNormal"/>
      </w:pPr>
    </w:p>
    <w:p w:rsidR="00AC56D6" w:rsidRDefault="00AC56D6" w:rsidP="00AC56D6">
      <w:pPr>
        <w:pStyle w:val="TextoNormal"/>
      </w:pPr>
      <w:r>
        <w:t xml:space="preserve">De otro lado, debemos coincidir con el Ministerio Fiscal en que es intrascendente que, en un primer momento, el ahora recurrente de amparo no dirigiera una verdadera queja al Juzgado para dar lugar a la referida proposición de indulto, ya que, una vez que el órgano </w:t>
      </w:r>
      <w:r>
        <w:lastRenderedPageBreak/>
        <w:t>judicial decidió recabar al efecto un informe de la junta de tratamiento, el objeto de la controversia quedó claramente fijado, pues el penado pasó a reclamar al Juzgado, de forma inequívoca, que elevara la referida propuesta.</w:t>
      </w:r>
    </w:p>
    <w:p w:rsidR="00AC56D6" w:rsidRDefault="00AC56D6" w:rsidP="00AC56D6">
      <w:pPr>
        <w:pStyle w:val="TextoNormal"/>
      </w:pPr>
    </w:p>
    <w:p w:rsidR="00AC56D6" w:rsidRDefault="00AC56D6" w:rsidP="00AC56D6">
      <w:pPr>
        <w:pStyle w:val="TextoNormal"/>
      </w:pPr>
      <w:r w:rsidRPr="00AC56D6">
        <w:rPr>
          <w:rStyle w:val="NumeroAFNegritaCaracter"/>
        </w:rPr>
        <w:t>3</w:t>
      </w:r>
      <w:r>
        <w:t>. Hechas las precisiones anteriores, debemos pronunciarnos, en primer lugar, sobre la causa de inadmisibilidad puesta de manifiesto por el Ministerio Fiscal en sus alegaciones. Aunque es cierto que la Fiscal ante el Tribunal Constitucional no plantea formalmente el óbice de los arts. 49.1 y 50.1 a) LOTC sí pone de relieve que, en su opinión, el actor podría haber incumplido la carga argumentativa que dicho precepto le impone y que constituye un requisito de admisibilidad de la demanda. Tratándose de un requisito de orden público, que puede ser apreciado por el Tribunal en cualquier momento, incluso en el propio trámite de dictar Sentencia, debemos despejar, antes de abordar el fondo del asunto, la duda suscitada por el defensor de la legalidad.</w:t>
      </w:r>
    </w:p>
    <w:p w:rsidR="00AC56D6" w:rsidRDefault="00AC56D6" w:rsidP="00AC56D6">
      <w:pPr>
        <w:pStyle w:val="TextoNormal"/>
      </w:pPr>
    </w:p>
    <w:p w:rsidR="00AC56D6" w:rsidRDefault="00AC56D6" w:rsidP="00AC56D6">
      <w:pPr>
        <w:pStyle w:val="TextoNormal"/>
      </w:pPr>
      <w:r>
        <w:t>La Fiscal ante el Tribunal Constitucional afirma en sus alegaciones que, a su parecer, los argumentos consignados en la demanda no disocian suficientemente, tal y como exige la doctrina de este Tribunal (STC 17/2011, de 28 de febrero, FJ 2), la especial trascendencia del recurso de los razonamientos relativos a la mera existencia de una vulneración de un derecho fundamental. La lectura de la demanda pone de relieve, sin embargo, que tal disociación sí se ha llevado a cabo.</w:t>
      </w:r>
    </w:p>
    <w:p w:rsidR="00AC56D6" w:rsidRDefault="00AC56D6" w:rsidP="00AC56D6">
      <w:pPr>
        <w:pStyle w:val="TextoNormal"/>
      </w:pPr>
    </w:p>
    <w:p w:rsidR="00AC56D6" w:rsidRDefault="00AC56D6" w:rsidP="00AC56D6">
      <w:pPr>
        <w:pStyle w:val="TextoNormal"/>
      </w:pPr>
      <w:r>
        <w:t>Puede advertirse, en primer lugar, que la demanda dedica un apartado específico a ubicar la especial trascendencia constitucional en uno de los supuestos establecidos en la STC 155/2009, de 25 de junio. Entiende, en concreto, el actor que el Tribunal ha de perfilar y consolidar su doctrina sobre la exigencia de un deber reforzado de motivación en el supuesto concreto de proposición de indulto del art. 206 RP.</w:t>
      </w:r>
    </w:p>
    <w:p w:rsidR="00AC56D6" w:rsidRDefault="00AC56D6" w:rsidP="00AC56D6">
      <w:pPr>
        <w:pStyle w:val="TextoNormal"/>
      </w:pPr>
    </w:p>
    <w:p w:rsidR="00AC56D6" w:rsidRDefault="00AC56D6" w:rsidP="00AC56D6">
      <w:pPr>
        <w:pStyle w:val="TextoNormal"/>
      </w:pPr>
      <w:r>
        <w:t>En segundo lugar, resulta significativo que, al ubicar la especial trascendencia constitucional en el supuesto b) del fundamento jurídico 2 de la STC 155/2009, el recurrente señale certeramente cuál ha sido la resolución de este Tribunal que ha fijado la única doctrina sobre el problema planteado —la STC 163/2002, de 16 de septiembre—. Acto seguido, el actor alude expresamente a la necesidad de consolidar la doctrina fijada en dicha resolución que, dictada hace ya más de una década, debe, a su juicio, perfilarse aprovechando las circunstancias particulares que concurren en su caso.</w:t>
      </w:r>
    </w:p>
    <w:p w:rsidR="00AC56D6" w:rsidRDefault="00AC56D6" w:rsidP="00AC56D6">
      <w:pPr>
        <w:pStyle w:val="TextoNormal"/>
      </w:pPr>
    </w:p>
    <w:p w:rsidR="00AC56D6" w:rsidRDefault="00AC56D6" w:rsidP="00AC56D6">
      <w:pPr>
        <w:pStyle w:val="TextoNormal"/>
      </w:pPr>
      <w:r>
        <w:t>Por parca que pueda considerarse esta justificación, es claro que el demandante realiza un esfuerzo argumental que permite al Tribunal ubicar la causa de especial trascendencia y la doctrina constitucional que, en opinión del actor, necesita ser perfilada. Existe, pues, un esfuerzo argumental suficiente, dándose además la circunstancia de que la causa de especial trascendencia señalada por el recurrente coincide con la apreciada por el Tribunal, que, como se refleja en la providencia de admisión de 16 de abril de 2015, ha admitido el presente recurso de amparo precisamente a efectos de perfilar la doctrina que fuera esbozada en la previa STC 163/2002, de 16 de septiembre.</w:t>
      </w:r>
    </w:p>
    <w:p w:rsidR="00AC56D6" w:rsidRDefault="00AC56D6" w:rsidP="00AC56D6">
      <w:pPr>
        <w:pStyle w:val="TextoNormal"/>
      </w:pPr>
    </w:p>
    <w:p w:rsidR="00AC56D6" w:rsidRDefault="00AC56D6" w:rsidP="00AC56D6">
      <w:pPr>
        <w:pStyle w:val="TextoNormal"/>
      </w:pPr>
      <w:r>
        <w:t xml:space="preserve">Se ha cumplido, pues, la finalidad instrumental propia del óbice aludido, ya que la única función del mismo es asegurar que el recurrente proporcione al Tribunal “elementos de juicio para decidir sobre la admisibilidad de la demanda” (SSTC 17/2011, de 28 de febrero, FJ </w:t>
      </w:r>
      <w:r>
        <w:lastRenderedPageBreak/>
        <w:t>2; 212/2013, de 16 de diciembre, FJ 2, y 77/2015, de 27 de abril, FJ 1). No concurre, pues, el óbice sobre el que el Ministerio Fiscal llama la atención del Tribunal.</w:t>
      </w:r>
    </w:p>
    <w:p w:rsidR="00AC56D6" w:rsidRDefault="00AC56D6" w:rsidP="00AC56D6">
      <w:pPr>
        <w:pStyle w:val="TextoNormal"/>
      </w:pPr>
    </w:p>
    <w:p w:rsidR="00AC56D6" w:rsidRDefault="00AC56D6" w:rsidP="00AC56D6">
      <w:pPr>
        <w:pStyle w:val="TextoNormal"/>
      </w:pPr>
      <w:r w:rsidRPr="00AC56D6">
        <w:rPr>
          <w:rStyle w:val="NumeroAFNegritaCaracter"/>
        </w:rPr>
        <w:t>4</w:t>
      </w:r>
      <w:r>
        <w:t>. Entrando ya en el fondo del asunto, debemos aclarar, en primer lugar, cuál es el canon constitucional aplicable a la vulneración denunciada por el recurrente, relativa a la existencia de un déficit de motivación en una resolución concerniente a un beneficio penitenciario, en concreto a la propuesta de indulto regulada en el art. 206 RP.</w:t>
      </w:r>
    </w:p>
    <w:p w:rsidR="00AC56D6" w:rsidRDefault="00AC56D6" w:rsidP="00AC56D6">
      <w:pPr>
        <w:pStyle w:val="TextoNormal"/>
      </w:pPr>
    </w:p>
    <w:p w:rsidR="00AC56D6" w:rsidRDefault="00AC56D6" w:rsidP="00AC56D6">
      <w:pPr>
        <w:pStyle w:val="TextoNormal"/>
      </w:pPr>
      <w:r>
        <w:t>Debe descartarse, en primer lugar, que estemos ante una lesión del derecho fundamental a la libertad establecido en el art. 17 CE. Como este Tribunal ha tenido la oportunidad de señalar en repetidas ocasiones, la denegación de un beneficio penitenciario no puede suponer “en sentido propio, una lesión del derecho fundamental a la libertad consagrado en el art. 17.2 CE … pues es la Sentencia firme condenatoria la que constituye título legítimo de privación de ese derecho fundamental” (por todas, STC 79/1998, de 1 de abril, FJ 4). No cabe, pues, acudir, para examinar la queja formulada, al canon de proporcionalidad reservado a la vulneración del derecho fundamental sustantivo.</w:t>
      </w:r>
    </w:p>
    <w:p w:rsidR="00AC56D6" w:rsidRDefault="00AC56D6" w:rsidP="00AC56D6">
      <w:pPr>
        <w:pStyle w:val="TextoNormal"/>
      </w:pPr>
    </w:p>
    <w:p w:rsidR="00AC56D6" w:rsidRDefault="00AC56D6" w:rsidP="00AC56D6">
      <w:pPr>
        <w:pStyle w:val="TextoNormal"/>
      </w:pPr>
      <w:r>
        <w:t>Ahora bien, que la decisión del órgano judicial no pueda reputarse directamente lesiva del derecho fundamental previsto en el art. 17 CE no significa que la afectación del valor superior de la libertad no tenga un importante influjo en el examen de la eventual lesión del derecho a obtener tutela judicial efectiva (art. 24.1 CE), pues, según hemos declarado, hay resoluciones judiciales que, sin lesionar dicho derecho, afectan a la libertad como valor superior del ordenamiento constitucional en cuanto “modalizan la forma en que la ejecución de una restricción de libertad se llevará a cabo” (STC 320/2006, de 15 de noviembre, FJ 4).</w:t>
      </w:r>
    </w:p>
    <w:p w:rsidR="00AC56D6" w:rsidRDefault="00AC56D6" w:rsidP="00AC56D6">
      <w:pPr>
        <w:pStyle w:val="TextoNormal"/>
      </w:pPr>
    </w:p>
    <w:p w:rsidR="00AC56D6" w:rsidRDefault="00AC56D6" w:rsidP="00AC56D6">
      <w:pPr>
        <w:pStyle w:val="TextoNormal"/>
      </w:pPr>
      <w:r>
        <w:t>En esos casos cualificados de afectación del valor superior de la libertad, entre los que se encuentran las decisiones relativas a la concesión de beneficios penitenciarios, hemos afirmado que debe “entenderse reforzado el canon normalmente exigible en relación con el derecho contenido en el art. 24.1 CE” (SSTC 147/1999, de 4 de agosto, FJ 3; y 43/2008, de 10 de marzo, FJ 4) “de manera que la motivación exigible a cualquier resolución judicial que afecte a ese valor superior no se reduce a la mera expresión de las razones que permitan conocer cuáles han sido los criterios jurídicos esenciales, fundamentadores de la decisión ... sino que debe extenderse a las circunstancias que constitucionalmente justifican la situación de privación de libertad. Por decirlo en otros términos: en la medida en que está en juego el valor superior de la libertad, el derecho a la tutela judicial efectiva sin indefensión no sólo exige resoluciones judiciales motivadas, sino motivaciones concordantes con los supuestos en los que la Constitución permite la afectación de ese valor superior…” (STC 2/1997, de 13 de enero, FJ 3). Esta exigencia se hace aún más evidente desde la perspectiva resocializadora que debe presidir la ejecución de las penas privativas de libertad de acuerdo con el art. 25.2 CE (STC 43/2008, de 10 de marzo, FJ 4).</w:t>
      </w:r>
    </w:p>
    <w:p w:rsidR="00AC56D6" w:rsidRDefault="00AC56D6" w:rsidP="00AC56D6">
      <w:pPr>
        <w:pStyle w:val="TextoNormal"/>
      </w:pPr>
    </w:p>
    <w:p w:rsidR="00AC56D6" w:rsidRDefault="00AC56D6" w:rsidP="00AC56D6">
      <w:pPr>
        <w:pStyle w:val="TextoNormal"/>
      </w:pPr>
      <w:r>
        <w:t xml:space="preserve">Para verificar, por tanto, si una resolución que afecta al valor libertad está motivada en los términos requeridos por el art. 24.1 CE, este Tribunal no debe limitarse a constatar que el órgano judicial ha exteriorizado una razón sin incurrir en arbitrariedad, irrazonabilidad o error patente. Sin abandonar el plano externo de enjuiciamiento que caracteriza el examen constitucional de la motivación de las resoluciones judiciales, debemos, antes bien, asegurarnos de que el órgano judicial ha cumplido el deber reforzado de motivación que sobre él </w:t>
      </w:r>
      <w:r>
        <w:lastRenderedPageBreak/>
        <w:t>pesaba plasmando en su resolución razones acordes a la regulación legal del beneficio penitenciario solicitado y específicamente ligadas al concreto supuesto de hecho planteado, de modo que pueda comprobarse “la relación directa y manifiesta existente entre la norma que el juzgador declara aplicable y el fallo de la resolución, exteriorizada en la argumentación jurídica de la misma” (STC 112/1996, de 24 de junio, FJ 2).</w:t>
      </w:r>
    </w:p>
    <w:p w:rsidR="00AC56D6" w:rsidRDefault="00AC56D6" w:rsidP="00AC56D6">
      <w:pPr>
        <w:pStyle w:val="TextoNormal"/>
      </w:pPr>
    </w:p>
    <w:p w:rsidR="00AC56D6" w:rsidRDefault="00AC56D6" w:rsidP="00AC56D6">
      <w:pPr>
        <w:pStyle w:val="TextoNormal"/>
      </w:pPr>
      <w:r>
        <w:t>Dicho en otros términos, la resolución judicial cumple con el canon de motivación reforzada si su mera lectura evidencia, sin necesidad de mayor indagación, que el órgano judicial ha ponderado las circunstancias particulares del recurrente de las que legalmente depende la concesión o denegación del beneficio penitenciario en juego. El deber de motivación reforzada no es, así, sino una manifestación cualificada del test de razonabilidad que es propio, con carácter general, del deber de motivación resultante del art. 24.1 CE, ya que se trata, en definitiva, de “comprobar la razonabilidad de la fundamentación de las resoluciones recurridas … desde la perspectiva del derecho fundamental a la libertad (art. 17.1 CE)” (STC 31/1999, de 8 de marzo, FJ 3).</w:t>
      </w:r>
    </w:p>
    <w:p w:rsidR="00AC56D6" w:rsidRDefault="00AC56D6" w:rsidP="00AC56D6">
      <w:pPr>
        <w:pStyle w:val="TextoNormal"/>
      </w:pPr>
    </w:p>
    <w:p w:rsidR="00AC56D6" w:rsidRDefault="00AC56D6" w:rsidP="00AC56D6">
      <w:pPr>
        <w:pStyle w:val="TextoNormal"/>
      </w:pPr>
      <w:r>
        <w:t>En este sentido, hemos tomado como paradigma de resolución que infringe el deber reforzado de motivación aquella que se limita a incluir una motivación estereotipada, inadecuada, por definición, para plasmar las circunstancias particulares propias del caso (SSTC 112/1996, de 24 de junio, FJ 5; y 2/1997, de 13 de enero, FJ 4). Hemos afirmado, en particular, que incumple el canon de motivación reforzada la mera constatación apodíctica de que “no se cumplen las circunstancias” que la ley exige (SSTC 112/1996, de 24 de junio, FJ 5). Y en el caso específico de propuesta de indulto del art. 206 RP, que es el que ahora nos ocupa, hemos afirmado inequívocamente que el órgano judicial no puede limitarse a aseverar que las circunstancias legales no concurren “en el grado extraordinario requerido” por el precepto aplicado (STC 163/2002, de 16 de septiembre, FJ 4).</w:t>
      </w:r>
    </w:p>
    <w:p w:rsidR="00AC56D6" w:rsidRDefault="00AC56D6" w:rsidP="00AC56D6">
      <w:pPr>
        <w:pStyle w:val="TextoNormal"/>
      </w:pPr>
    </w:p>
    <w:p w:rsidR="00AC56D6" w:rsidRDefault="00AC56D6" w:rsidP="00AC56D6">
      <w:pPr>
        <w:pStyle w:val="TextoNormal"/>
      </w:pPr>
      <w:r>
        <w:t xml:space="preserve">Hemos añadido, finalmente, que el órgano del Poder Judicial tampoco puede escudarse, para justificar sus déficits de argumentación, en el carácter discrecional de la potestad que ejerce (SSTC 320/2006, de 15 de noviembre, FJ 4; y 76/2007, de 16 de abril, FJ 8), pues las potestades discrecionales deben también ejercerse motivadamente, lo que exige en todo caso exteriorizar de algún modo la </w:t>
      </w:r>
      <w:r w:rsidRPr="00AC56D6">
        <w:rPr>
          <w:i/>
        </w:rPr>
        <w:t>ratio decidendi</w:t>
      </w:r>
      <w:r>
        <w:t xml:space="preserve"> que ha llevado a actuar en un determinado sentido (STC 202/2004, de 15 de noviembre, FJ 3). Hemos trasladado, igualmente, esta afirmación al ámbito específico que ahora nos ocupa, que es el de la propuesta de indulto que corresponde formular al Juzgado de Vigilancia Penitenciaria conforme al citado art. 206 RP (STC 163/2002, de 16 de septiembre, FJ 4).</w:t>
      </w:r>
    </w:p>
    <w:p w:rsidR="00AC56D6" w:rsidRDefault="00AC56D6" w:rsidP="00AC56D6">
      <w:pPr>
        <w:pStyle w:val="TextoNormal"/>
      </w:pPr>
    </w:p>
    <w:p w:rsidR="00AC56D6" w:rsidRDefault="00AC56D6" w:rsidP="00AC56D6">
      <w:pPr>
        <w:pStyle w:val="TextoNormal"/>
      </w:pPr>
      <w:r w:rsidRPr="00AC56D6">
        <w:rPr>
          <w:rStyle w:val="NumeroAFNegritaCaracter"/>
        </w:rPr>
        <w:t>5</w:t>
      </w:r>
      <w:r>
        <w:t>. De acuerdo con la doctrina transcrita, resulta evidente que las dos razones genéricas —que las circunstancias requeridas no concurren “en grado extraordinario” y que el órgano judicial tiene la facultad, y no la obligación, de proponer la concesión del indulto— comprendidas en el Auto de 25 de junio de 2013, dictado por el Juzgado Central de Menores (con funciones de vigilancia penitenciaria), no pueden considerarse suficientes por sí mismas para cumplir con el deber reforzado de motivación derivado de la afectación del valor libertad tal y como manifestamos ya en la STC 163/2002, de 16 de septiembre (FJ 4). Debemos, por ello, coincidir con el recurrente en que el citado Auto no se ajusta al deber cualificado de motivación derivado de la lectura conjunta de los arts. 24.1, 17.1 y 25.2 CE.</w:t>
      </w:r>
    </w:p>
    <w:p w:rsidR="00AC56D6" w:rsidRDefault="00AC56D6" w:rsidP="00AC56D6">
      <w:pPr>
        <w:pStyle w:val="TextoNormal"/>
      </w:pPr>
    </w:p>
    <w:p w:rsidR="00AC56D6" w:rsidRDefault="00AC56D6" w:rsidP="00AC56D6">
      <w:pPr>
        <w:pStyle w:val="TextoNormal"/>
      </w:pPr>
      <w:r>
        <w:lastRenderedPageBreak/>
        <w:t>Descartado, pues, por remisión a lo resuelto en la STC 163/2002, de 16 de septiembre, que las dos razones aludidas en el Auto de 25 de junio de 2013 puedan considerarse compatibles con el art. 24.1 CE, hemos de examinar, a continuación, si los argumentos adicionales puestos de manifiesto en los posteriores Autos de 30 de octubre de 2013 y de 5 de febrero de 2014, resolutorios de los recursos de reforma y de apelación, cumplieron, en cambio, con las exigencias derivadas del canon constitucional aludido, subsanando la omisión detectada en la resolución recaída en un principio.</w:t>
      </w:r>
    </w:p>
    <w:p w:rsidR="00AC56D6" w:rsidRDefault="00AC56D6" w:rsidP="00AC56D6">
      <w:pPr>
        <w:pStyle w:val="TextoNormal"/>
      </w:pPr>
    </w:p>
    <w:p w:rsidR="00AC56D6" w:rsidRDefault="00AC56D6" w:rsidP="00AC56D6">
      <w:pPr>
        <w:pStyle w:val="TextoNormal"/>
      </w:pPr>
      <w:r>
        <w:t>Debemos advertir, en este punto, que es la presencia de esas razones adicionales la que confiere al asunto su especial trascendencia constitucional, pues nos da la oportunidad de perfilar la doctrina que iniciamos en la STC 163/2002, de 16 de septiembre, sobre la aplicación del deber reforzado de motivación al supuesto concreto de la proposición discrecional de indulto. A estos efectos, teniendo en cuenta que, como se ha expuesto, dicho canon de motivación reforzada constituye, en esencia, un test cualificado de razonabilidad que exige comprobar la “concordancia de las razones” dadas por el órgano judicial con los “fines” de la norma aplicada, debemos ahora profundizar en el régimen normativo en el que se asienta la decisión judicial, pues ésta presenta particularidades que inciden, desde la óptica constitucional, en el tipo de argumentación que resulta exigible para cumplir con el deber reforzado de motivación.</w:t>
      </w:r>
    </w:p>
    <w:p w:rsidR="00AC56D6" w:rsidRDefault="00AC56D6" w:rsidP="00AC56D6">
      <w:pPr>
        <w:pStyle w:val="TextoNormal"/>
      </w:pPr>
    </w:p>
    <w:p w:rsidR="00AC56D6" w:rsidRDefault="00AC56D6" w:rsidP="00AC56D6">
      <w:pPr>
        <w:pStyle w:val="TextoNormal"/>
      </w:pPr>
      <w:r w:rsidRPr="00AC56D6">
        <w:rPr>
          <w:rStyle w:val="NumeroAFNegritaCaracter"/>
        </w:rPr>
        <w:t>6</w:t>
      </w:r>
      <w:r>
        <w:t>. El art. 206 RP regula la propuesta de indulto particular que puede realizar el Juzgado de Vigilancia Penitenciaria a instancias del centro penitenciario. En dicha regulación la Administración se limita a iniciar el trámite y el Juzgado ha de decidir, después, si efectúa o no la propuesta de indulto al Ministerio de Justicia. Resulta evidente que la norma en cuestión no contempla un supuesto en el que el órgano judicial resuelva directamente sobre la pervivencia o el cese de la situación de privación de libertad sufrida por el penado. Es patente, en realidad, que, en el art. 206 RP, el órgano judicial no es prestador directo de una tutela que el justiciable pueda impetrarle a efectos de obtener su libertad. El referido precepto sólo contempla un cauce específico de tramitación del derecho de gracia, en el que hay un solo legitimado para iniciar el trámite —la junta de tratamiento a instancia del equipo técnico— del mismo modo que hay un solo legitimado —el Juzgado de Vigilancia— para formular la propuesta de indulto al Ministerio de Justicia. En suma, la norma regula un cauce procedimental que es completamente ajeno a la petición de indulto que, por su propia iniciativa, puede promover el penado, en cualquier momento, ante el órgano competente del Gobierno.</w:t>
      </w:r>
    </w:p>
    <w:p w:rsidR="00AC56D6" w:rsidRDefault="00AC56D6" w:rsidP="00AC56D6">
      <w:pPr>
        <w:pStyle w:val="TextoNormal"/>
      </w:pPr>
    </w:p>
    <w:p w:rsidR="00AC56D6" w:rsidRDefault="00AC56D6" w:rsidP="00AC56D6">
      <w:pPr>
        <w:pStyle w:val="TextoNormal"/>
      </w:pPr>
      <w:r>
        <w:t>Se advierte, así, que la función que cumple el órgano judicial en la regulación del art. 206 RP es la de decidir por sí mismo si existen razones cualificadas que aconsejan su intervención activa en la concesión del derecho de gracia. Se trata, en definitiva, de que el juez evalúe si debe convertirse en promotor de una petición que, de ordinario, puede realizar el propio afectado. Es obvio, en este punto, que una solicitud del penado tendente a que el juez promueva esta vía singular de indulto no altera el régimen normativo a que acaba de aludirse. Excluido el penado del régimen de legitimación y tratándose de una actuación de naturaleza discrecional, la incitación al órgano judicial a conducirse de un modo u otro se basa, en realidad, en la posibilidad general de dirigir peticiones al poder público competente, peticiones que, conforme a nuestra doctrina, no pueden ir acompañadas de un derecho paralelo a obtener una respuesta favorable (STC 108/2011, de 20 de junio, FJ 2).</w:t>
      </w:r>
    </w:p>
    <w:p w:rsidR="00AC56D6" w:rsidRDefault="00AC56D6" w:rsidP="00AC56D6">
      <w:pPr>
        <w:pStyle w:val="TextoNormal"/>
      </w:pPr>
    </w:p>
    <w:p w:rsidR="00AC56D6" w:rsidRDefault="00AC56D6" w:rsidP="00AC56D6">
      <w:pPr>
        <w:pStyle w:val="TextoNormal"/>
      </w:pPr>
      <w:r>
        <w:lastRenderedPageBreak/>
        <w:t>Estas peculiaridades de la normativa aplicable deben, pues, tenerse en cuenta a la hora de evaluar el deber reforzado de motivación exigible al órgano judicial, que debe entenderse cumplido si éste consigna la circunstancia concreta del asunto planteado que, de acuerdo con la regulación contenida en el art. 206 RP, le lleva a descartar, según su propia discreción, su intervención activa ante el Ministerio de Justicia, dejando que sea el penado el que asuma por sí solo la iniciativa en la petición de indulto.</w:t>
      </w:r>
    </w:p>
    <w:p w:rsidR="00AC56D6" w:rsidRDefault="00AC56D6" w:rsidP="00AC56D6">
      <w:pPr>
        <w:pStyle w:val="TextoNormal"/>
      </w:pPr>
    </w:p>
    <w:p w:rsidR="00AC56D6" w:rsidRDefault="00AC56D6" w:rsidP="00AC56D6">
      <w:pPr>
        <w:pStyle w:val="TextoNormal"/>
      </w:pPr>
      <w:r w:rsidRPr="00AC56D6">
        <w:rPr>
          <w:rStyle w:val="NumeroAFNegritaCaracter"/>
        </w:rPr>
        <w:t>7</w:t>
      </w:r>
      <w:r>
        <w:t>. Una vez establecido el canon constitucional aplicable y perfiladas las singularidades de la regulación de la proposición discrecional de indulto, estamos en condiciones de examinar si las razones adicionales que dieron los órganos judiciales en los Autos de 30 de octubre de 2013 y 5 de febrero de 2014 resultan compatibles con el derecho fundamental a la tutela judicial efectiva contenido en el art. 24.1 CE.</w:t>
      </w:r>
    </w:p>
    <w:p w:rsidR="00AC56D6" w:rsidRDefault="00AC56D6" w:rsidP="00AC56D6">
      <w:pPr>
        <w:pStyle w:val="TextoNormal"/>
      </w:pPr>
    </w:p>
    <w:p w:rsidR="00AC56D6" w:rsidRDefault="00AC56D6" w:rsidP="00AC56D6">
      <w:pPr>
        <w:pStyle w:val="TextoNormal"/>
      </w:pPr>
      <w:r>
        <w:t>De un lado, el Auto de 30 de octubre de 2013 aclara que no procede formular la petición de indulto porque el rendimiento del penado en el ejercicio de las actividades desarrolladas durante un período de más de dos años, no puede calificarse de extraordinario. Se afirma, en particular, para avalar esta apreciación, que las calificaciones obtenidas no fueron “igual a ‘excelente’ y nunca inferior a ‘destacada’”. La razón de la denegación queda, así, claramente exteriorizada en relación con datos fácticos que se corresponden inequívocamente con una de las circunstancias previstas en el art. 206.1 RP, que exige “en un grado que se pueda calificar de extraordinario” una “participación en actividades de reeducación y reinserción social” [letra c)].</w:t>
      </w:r>
    </w:p>
    <w:p w:rsidR="00AC56D6" w:rsidRDefault="00AC56D6" w:rsidP="00AC56D6">
      <w:pPr>
        <w:pStyle w:val="TextoNormal"/>
      </w:pPr>
    </w:p>
    <w:p w:rsidR="00AC56D6" w:rsidRDefault="00AC56D6" w:rsidP="00AC56D6">
      <w:pPr>
        <w:pStyle w:val="TextoNormal"/>
      </w:pPr>
      <w:r>
        <w:t>El argumento conecta, además, con la propia actividad indagatoria realizada por el órgano judicial, ya que éste solicitó al centro penitenciario que concretara las razones por las que había descartado instar al Juzgado la proposición del indulto, remitiéndole entonces la junta de tratamiento una certificación de su acuerdo de 17 de octubre de 2013. En dicho acuerdo, la junta se remite expresamente a la instrucción 17/2007 de la Dirección General de Instituciones Penitenciarias, que versa sobre el beneficio penitenciario de indulto particular y que, en su apartado 2 (principios de aplicación), letra d), señala que “se considerará que el penado ha participado en actividades de reeducación y reinserción social en grado extraordinario cuando, dentro del período considerado, la evaluación global de sus actividades prioritarias haya sido ‘excelente’ al menos durante un año y nunca inferior a ‘destacada’”, certificación a la que el centro penitenciario acompañaba de un listado de actividades del penado en el que figuraban tres calificaciones de “normal”.</w:t>
      </w:r>
    </w:p>
    <w:p w:rsidR="00AC56D6" w:rsidRDefault="00AC56D6" w:rsidP="00AC56D6">
      <w:pPr>
        <w:pStyle w:val="TextoNormal"/>
      </w:pPr>
    </w:p>
    <w:p w:rsidR="00AC56D6" w:rsidRDefault="00AC56D6" w:rsidP="00AC56D6">
      <w:pPr>
        <w:pStyle w:val="TextoNormal"/>
      </w:pPr>
      <w:r>
        <w:t>De otro lado, la Sala de lo Penal de la Audiencia Nacional (Sección Primera) añadió en su Auto de 5 de febrero de 2014 otro argumento concreto y es que el penado ya disfrutaba anticipadamente del beneficio de libertad condicional, o, lo que es lo mismo, que la Administración penitenciaria ya estaba llevando a efecto una actividad concretamente encaminada a cumplir la finalidad resocializadora de la pena impuesta, encontrándose, de hecho, el solicitante en una situación material de libertad. En otras palabras, el órgano judicial puso de manifiesto que ya se había evaluado con anterioridad cuál era el medio idóneo para conseguir la plena reinserción del penado, que disfrutaba, pues, de un mecanismo de resocialización cualificado.</w:t>
      </w:r>
    </w:p>
    <w:p w:rsidR="00AC56D6" w:rsidRDefault="00AC56D6" w:rsidP="00AC56D6">
      <w:pPr>
        <w:pStyle w:val="TextoNormal"/>
      </w:pPr>
    </w:p>
    <w:p w:rsidR="00AC56D6" w:rsidRDefault="00AC56D6" w:rsidP="00AC56D6">
      <w:pPr>
        <w:pStyle w:val="TextoNormal"/>
      </w:pPr>
      <w:r>
        <w:lastRenderedPageBreak/>
        <w:t>No siendo la labor de este Tribunal sustituir a los órganos del Poder Judicial en el ejercicio de sus funciones jurisdiccionales, sino salvaguardar el respeto a los derechos fundamentales de los ciudadanos, hemos de concluir, por ello, que ni el Juzgado Central ni la Sala de lo Penal de la Audiencia Nacional vulneraron el derecho fundamental del recurrente a obtener tutela judicial efectiva, en su vertiente particular del derecho a obtener una resolución motivada.</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Desestimar el amparo solicitado por don Fernando Gómez Aura en el presente proceso.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dos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83" w:name="SENTENCIA_2015_227"/>
      <w:r>
        <w:lastRenderedPageBreak/>
        <w:t>SENTENCIA 227/2015, de 2 de noviembre de 2015</w:t>
      </w:r>
    </w:p>
    <w:bookmarkEnd w:id="83"/>
    <w:p w:rsidR="00AC56D6" w:rsidRDefault="00AC56D6" w:rsidP="00AC56D6">
      <w:pPr>
        <w:pStyle w:val="TtuloResolucin"/>
      </w:pPr>
      <w:r>
        <w:t>Sala Segunda</w:t>
      </w:r>
    </w:p>
    <w:p w:rsidR="00AC56D6" w:rsidRDefault="00AC56D6" w:rsidP="00AC56D6">
      <w:pPr>
        <w:pStyle w:val="TtuloBOE"/>
      </w:pPr>
      <w:r>
        <w:t>(BOE núm. 296, de 11 de diciembre de 2015)</w:t>
      </w:r>
    </w:p>
    <w:p w:rsidR="00AC56D6" w:rsidRDefault="00AC56D6" w:rsidP="00AC56D6">
      <w:pPr>
        <w:pStyle w:val="TextoNormalCentrado"/>
      </w:pPr>
      <w:r>
        <w:t>ECLI:ES:TC:2015:227</w:t>
      </w:r>
    </w:p>
    <w:p w:rsidR="00AC56D6" w:rsidRDefault="00AC56D6" w:rsidP="00AC56D6">
      <w:pPr>
        <w:pStyle w:val="TextoNormalCentrado"/>
      </w:pPr>
    </w:p>
    <w:p w:rsidR="00AC56D6" w:rsidRDefault="00AC56D6" w:rsidP="00AC56D6">
      <w:pPr>
        <w:pStyle w:val="SntesisDescriptiva"/>
      </w:pPr>
      <w:r>
        <w:t>Cuestión de inconstitucionalidad 3664-2014. Planteada por el Juzgado de lo Contencioso-Administrativo núm. 1 de Santander en relación con diversos preceptos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extinción, por pérdida de objeto, de la cuestión de inconstitucionalidad (STC 83/2015).</w:t>
      </w:r>
    </w:p>
    <w:p w:rsidR="00AC56D6" w:rsidRDefault="00AC56D6" w:rsidP="00AC56D6">
      <w:pPr>
        <w:pStyle w:val="SntesisAnaltica"/>
      </w:pPr>
    </w:p>
    <w:p w:rsidR="00AC56D6" w:rsidRDefault="00AC56D6" w:rsidP="00AC56D6">
      <w:pPr>
        <w:pStyle w:val="Extracto"/>
      </w:pPr>
      <w:r>
        <w:t>1.</w:t>
      </w:r>
      <w:r>
        <w:tab/>
        <w:t>La satisfacción extraprocesal de la pretensión deducida en el proceso laboral sobre la que se articula la cuestión de inconstitucionalidad le hace perder su objeto, al ser tal satisfacción extraprocesal uno de los posibles supuestos de extinción de la cuestión de inconstitucionalidad (SSTC 6/2010, 83/2015) [FJ 3].</w:t>
      </w:r>
    </w:p>
    <w:p w:rsidR="00AC56D6" w:rsidRDefault="00AC56D6" w:rsidP="00AC56D6">
      <w:pPr>
        <w:pStyle w:val="Extracto"/>
      </w:pPr>
    </w:p>
    <w:p w:rsidR="00AC56D6" w:rsidRDefault="00AC56D6" w:rsidP="00AC56D6">
      <w:pPr>
        <w:pStyle w:val="Extracto"/>
      </w:pPr>
      <w:r>
        <w:t>2.</w:t>
      </w:r>
      <w:r>
        <w:tab/>
        <w:t>Doctrina sobre las posibles causas de terminación extraordinaria de las cuestiones de inconstitucionalidad por pérdida sobrevenida de objeto (STC 83/2015) [FJ 3].</w:t>
      </w:r>
    </w:p>
    <w:p w:rsidR="00AC56D6" w:rsidRDefault="00AC56D6" w:rsidP="00AC56D6">
      <w:pPr>
        <w:pStyle w:val="Extracto"/>
      </w:pPr>
    </w:p>
    <w:p w:rsidR="00AC56D6" w:rsidRDefault="00AC56D6" w:rsidP="00AC56D6">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3664-2014, promovida por el Juzgado de lo Contencioso-Administrativo núm. 1 de Santander contra los arts. 2.1, 2.2.1 y 3.1 del Real Decreto-ley 20/2012, de 13 de julio, de medidas para garantizar la estabilidad presupuestaria y de fomento de la competitividad, por posible lesión del art. 9.3 CE. Han formulado alegaciones el Fiscal General del Estado y el Abogado del Estado. Ha sido Ponente el Magistrado don Juan José González Rivas, quien expresa el parecer del Tribunal.</w:t>
      </w:r>
    </w:p>
    <w:p w:rsidR="00AC56D6" w:rsidRDefault="00AC56D6" w:rsidP="00AC56D6">
      <w:pPr>
        <w:pStyle w:val="TextoNormal"/>
      </w:pPr>
    </w:p>
    <w:p w:rsidR="00AC56D6" w:rsidRDefault="00AC56D6" w:rsidP="00AC56D6">
      <w:pPr>
        <w:pStyle w:val="TextoNormalNegritaCentrado"/>
        <w:keepNext/>
      </w:pPr>
      <w:r>
        <w:lastRenderedPageBreak/>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día 10 de junio de 2014 tuvo entrada en el Registro General de este Tribunal un oficio del Juzgado de lo Contencioso-Administrativo núm. 1 de Santander al que se acompaña, junto con el testimonio del procedimiento correspondiente (procedimiento abreviado núm. 353-2013), el Auto de 19 de mayo de 2014, por el que se acuerda plantear cuestión de inconstitucionalidad respecto de los arts. 2.1, 2.2.1 y 3.1 del Real Decreto-ley 20/2012, de 13 de julio, de medidas para garantizar la estabilidad presupuestaria y de fomento de la competitividad, por posible lesión del art. 9.3 CE, en tanto que consagra los principios de seguridad jurídica e irretroactividad de disposiciones restrictivas de derechos individuales.</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procesales de la cuestión de inconstitucionalidad planteada son, sucintamente expuestos, los siguientes:</w:t>
      </w:r>
    </w:p>
    <w:p w:rsidR="00AC56D6" w:rsidRDefault="00AC56D6" w:rsidP="00AC56D6">
      <w:pPr>
        <w:pStyle w:val="TextoNormal"/>
      </w:pPr>
    </w:p>
    <w:p w:rsidR="00AC56D6" w:rsidRDefault="00AC56D6" w:rsidP="00AC56D6">
      <w:pPr>
        <w:pStyle w:val="TextoNormal"/>
      </w:pPr>
      <w:r>
        <w:t>a) Seis trabajadores, invocando su condición de personal estatutario del Servicio Cántabro de Salud, interpusieron bajo una misma representación y dirección letrada recurso contencioso-administrativo “contra la desestimación por silencio del recurso administrativo contra la supresión del abono de la paga extraordinaria a abonar en el mes de diciembre de 2012”, solicitando al órgano judicial que “declare la nulidad de pleno derecho de dicha resolución presunta” y que “en su virtud, se ordene el pago de la paga extraordinaria y demás pagas suprimidas por el Real Decreto-ley 20/2012, de 13 de julio, así como la parte correspondiente del complemento específico y demás cantidades que deberían abonarse junto con la extraordinaria”.</w:t>
      </w:r>
    </w:p>
    <w:p w:rsidR="00AC56D6" w:rsidRDefault="00AC56D6" w:rsidP="00AC56D6">
      <w:pPr>
        <w:pStyle w:val="TextoNormal"/>
      </w:pPr>
    </w:p>
    <w:p w:rsidR="00AC56D6" w:rsidRDefault="00AC56D6" w:rsidP="00AC56D6">
      <w:pPr>
        <w:pStyle w:val="TextoNormal"/>
      </w:pPr>
      <w:r>
        <w:t>Más precisamente, los recurrentes reclaman el pago de la paga extraordinaria de Navidad no abonada o, subsidiariamente, el abono de la cantidad correspondiente a la parte proporcional de la misma devengada antes de la entrada en vigor del citado Real Decreto-ley 20/2012 (15 de julio de 2012), esto es, desde el 1 de junio hasta el 14 de julio de dicho año. Los recurrentes en el acto de la vista desisten de la pretensión principal.</w:t>
      </w:r>
    </w:p>
    <w:p w:rsidR="00AC56D6" w:rsidRDefault="00AC56D6" w:rsidP="00AC56D6">
      <w:pPr>
        <w:pStyle w:val="TextoNormal"/>
      </w:pPr>
    </w:p>
    <w:p w:rsidR="00AC56D6" w:rsidRDefault="00AC56D6" w:rsidP="00AC56D6">
      <w:pPr>
        <w:pStyle w:val="TextoNormal"/>
      </w:pPr>
      <w:r>
        <w:t>b) Concluso el procedimiento y dentro del plazo para dictar Sentencia, el órgano judicial dictó providencia de 21 de abril de 2014 por la que acordó oír a las partes y al Ministerio Fiscal para que alegasen sobre la pertinencia de plantear cuestión de inconstitucionalidad respecto de los arts. 2.1, 2.2.1 y 3.1 del citado Real Decreto-ley 20/2012, por posible vulneración del art. 9.3 CE, que consagra los principios de seguridad jurídica y de irretroactividad de las disposiciones restrictivas de derechos individuales, en la medida en que la norma suprime el derecho de los funcionarios recurrentes a percibir derechos retributivos ya generados desde el 1 de junio de 2012.</w:t>
      </w:r>
    </w:p>
    <w:p w:rsidR="00AC56D6" w:rsidRDefault="00AC56D6" w:rsidP="00AC56D6">
      <w:pPr>
        <w:pStyle w:val="TextoNormal"/>
      </w:pPr>
    </w:p>
    <w:p w:rsidR="00AC56D6" w:rsidRDefault="00AC56D6" w:rsidP="00AC56D6">
      <w:pPr>
        <w:pStyle w:val="TextoNormal"/>
      </w:pPr>
      <w:r>
        <w:t>c) El Ministerio Fiscal y los demandantes consideraron procedente el planteamiento de la cuestión. Estos últimos lo hicieron en un segundo escrito de alegaciones de 12 de mayo de 2014 y como consecuencia de que el ATS de 2 de febrero de 2014 (que ha dado lugar a la cuestión de inconstitucionalidad 3123-2014), recaído en un pleito similar, rechazase que dichos preceptos pudieran ser objeto de una interpretación conforme de constitucionalidad, interpretación conforme que ellos inicialmente en un primer escrito de alegaciones (30 de abril de 2014) creyeron posible, y por ello en aquel escrito inicial pidieron el no planteamiento de la cuestión.</w:t>
      </w:r>
    </w:p>
    <w:p w:rsidR="00AC56D6" w:rsidRDefault="00AC56D6" w:rsidP="00AC56D6">
      <w:pPr>
        <w:pStyle w:val="TextoNormal"/>
      </w:pPr>
    </w:p>
    <w:p w:rsidR="00AC56D6" w:rsidRDefault="00AC56D6" w:rsidP="00AC56D6">
      <w:pPr>
        <w:pStyle w:val="TextoNormal"/>
      </w:pPr>
      <w:r>
        <w:t>La Letrada del Servicio Jurídico del Gobierno de Cantabria se opuso al planteamiento de la misma, razonando que el Real Decreto-ley 20/2012 se acomoda plenamente a la Constitución; considera que no existe una retroactividad constitucionalmente proscrita, pues conforme a lo dispuesto en los arts. 31 y 34 de la Ley 4/2011, de 29 de diciembre, general de presupuestos, y el art. 59 de la Ley 9/2010, de 23 de diciembre, de personal estatutario de instituciones sanitarias de la Comunidad de Cantabria, el derecho de los demandantes a la paga extraordinaria del mes de diciembre de 2012 no nace hasta el 1 de diciembre de 2012, fecha muy posterior a la entrada en vigor del Real Decreto-ley 20/2012, que es el momento en que se suspende el derecho al percibo de esa paga extra en 2012.</w:t>
      </w:r>
    </w:p>
    <w:p w:rsidR="00AC56D6" w:rsidRDefault="00AC56D6" w:rsidP="00AC56D6">
      <w:pPr>
        <w:pStyle w:val="TextoNormal"/>
      </w:pPr>
    </w:p>
    <w:p w:rsidR="00AC56D6" w:rsidRDefault="00AC56D6" w:rsidP="00AC56D6">
      <w:pPr>
        <w:pStyle w:val="TextoNormal"/>
      </w:pPr>
      <w:r w:rsidRPr="00AC56D6">
        <w:rPr>
          <w:rStyle w:val="NumeroAFNegritaCaracter"/>
        </w:rPr>
        <w:t>3</w:t>
      </w:r>
      <w:r>
        <w:t>. Por Auto de 19 de mayo de 2014, el Juzgado de lo Contencioso-Administrativo núm. 1 de Santander acordó plantear la presente cuestión de inconstitucionalidad. De su contenido interesa destacar que, tras exponer los antecedentes de hecho de la presente cuestión y los términos en que se ha dado cumplimiento al trámite de audiencia previsto en el art. 35.2 de la Ley Orgánica del Tribunal Constitucional (LOTC), el órgano judicial transcribe las normas de cuya constitucionalidad duda. Sobre la aplicabilidad de estos preceptos dice que “en el presente caso al tratarse de personal de un organismo autónomo de la Comunidad sería aplicable el art. 22.1 b) de la Ley 2/2012, y por ello los arts. 2.1 y 2.2.1 del RDley” y también dice —en el razonamiento jurídico tercero— que “por aplicación de los arts. 2 y 3 [del Real Decreto-ley] la Administración ha dejado de abonar toda cuantía correspondiente a la paga extraordinaria del segundo semestre de 2012”.</w:t>
      </w:r>
    </w:p>
    <w:p w:rsidR="00AC56D6" w:rsidRDefault="00AC56D6" w:rsidP="00AC56D6">
      <w:pPr>
        <w:pStyle w:val="TextoNormal"/>
      </w:pPr>
    </w:p>
    <w:p w:rsidR="00AC56D6" w:rsidRDefault="00AC56D6" w:rsidP="00AC56D6">
      <w:pPr>
        <w:pStyle w:val="TextoNormal"/>
      </w:pPr>
      <w:r>
        <w:t>Desarrolla, a continuación, la argumentación de la inconstitucionalidad, que se articula en tres fases. Primero, afirma que la eliminación del abono de la paga extra por lo que hace al mes de junio y los días de julio previos a la entrada en vigor del Real Decreto-ley 20/2012 es una disposición restrictiva de derechos, los cuales merecen el calificativo de individuales en el sentido que el Tribunal Constitucional ha dado a esta expresión del art. 9.3 CE, pues se conectan con el derecho de todo trabajador a ser remunerado por sus servicios (art. 35 CE) y también con el derecho de propiedad (art. 33 CE).</w:t>
      </w:r>
    </w:p>
    <w:p w:rsidR="00AC56D6" w:rsidRDefault="00AC56D6" w:rsidP="00AC56D6">
      <w:pPr>
        <w:pStyle w:val="TextoNormal"/>
      </w:pPr>
    </w:p>
    <w:p w:rsidR="00AC56D6" w:rsidRDefault="00AC56D6" w:rsidP="00AC56D6">
      <w:pPr>
        <w:pStyle w:val="TextoNormal"/>
      </w:pPr>
      <w:r>
        <w:t>Segundo, apunta que los artículos impugnados dejan sin efecto la parte proporcional de la paga extra que nos ocupa con efecto retroactivo, pues, como razona el ATS de 2 de febrero de 2014 (que ha dado lugar a la cuestión de inconstitucionalidad 3123-2014), es doctrina reiterada que la paga extra es un salario que se devenga día a día aun cuando se pague de un modo diferido en el tiempo. Y añade en este contexto que “el trabajador tiene derecho a que se remunere su trabajo efectivo pero no solo eso. Tiene derecho a que se remunere en una cantidad cierta conocida de antemano, esto es, antes de esa prestación, sin que quepa pretender que la cuantificación de la remuneración del trabajo ya prestado pueda ser algo indeterminado para el prestador del servicio. Ello afectaría a la propia naturaleza de esa relación pues la misma ha de ser consentida y no lo sería si faltasen los datos de uno de los elementos esenciales de tal relación, o el servicio a prestar o la remuneración. Y es este aspecto el que afecta al principio de seguridad jurídica del art. 9.3 CE que quedaría vulnerado por la norma cuestionada”.</w:t>
      </w:r>
    </w:p>
    <w:p w:rsidR="00AC56D6" w:rsidRDefault="00AC56D6" w:rsidP="00AC56D6">
      <w:pPr>
        <w:pStyle w:val="TextoNormal"/>
      </w:pPr>
    </w:p>
    <w:p w:rsidR="00AC56D6" w:rsidRDefault="00AC56D6" w:rsidP="00AC56D6">
      <w:pPr>
        <w:pStyle w:val="TextoNormal"/>
      </w:pPr>
      <w:r>
        <w:t xml:space="preserve">En tercer lugar, rechaza que sea posible interpretar los preceptos cuestionados como que suprimen solo la parte proporcional de la paga extra correspondiente a los servicios posteriores a la entrada en vigor del Real Decreto-ley 20/2012. Hacerlo así, sostiene, no sería </w:t>
      </w:r>
      <w:r>
        <w:lastRenderedPageBreak/>
        <w:t>tanto una labor hermenéutica sino de modificación del texto, pues el texto legal es claro y la voluntad del legislador también.</w:t>
      </w:r>
    </w:p>
    <w:p w:rsidR="00AC56D6" w:rsidRDefault="00AC56D6" w:rsidP="00AC56D6">
      <w:pPr>
        <w:pStyle w:val="TextoNormal"/>
      </w:pPr>
    </w:p>
    <w:p w:rsidR="00AC56D6" w:rsidRDefault="00AC56D6" w:rsidP="00AC56D6">
      <w:pPr>
        <w:pStyle w:val="TextoNormal"/>
      </w:pPr>
      <w:r w:rsidRPr="00AC56D6">
        <w:rPr>
          <w:rStyle w:val="NumeroAFNegritaCaracter"/>
        </w:rPr>
        <w:t>4</w:t>
      </w:r>
      <w:r>
        <w:t>. El Pleno de este Tribunal, a propuesta de la Sección Tercera, acordó admitir a trámite la cuestión mediante providencia de 9 de septiembre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de lo Contencioso-Administrativo núm. 1 de Santander, a fin de que, de conformidad con lo dispuesto en el art. 35 LOTC, permaneciese suspendido el proceso hasta que este Tribunal resolviese efectivamente la cuestión; y publicar la incoación de la cuestión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Por escrito registrado el 17 de septiembre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AC56D6" w:rsidRDefault="00AC56D6" w:rsidP="00AC56D6">
      <w:pPr>
        <w:pStyle w:val="TextoNormal"/>
      </w:pPr>
    </w:p>
    <w:p w:rsidR="00AC56D6" w:rsidRDefault="00AC56D6" w:rsidP="00AC56D6">
      <w:pPr>
        <w:pStyle w:val="TextoNormal"/>
      </w:pPr>
      <w:r>
        <w:t>Mediante escrito registrado el 23 de septiembre de 2014, el Presidente del Senado comunicó a este Tribunal el acuerdo de la Mesa para que se diera por personada a la Cámara y por ofrecida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6</w:t>
      </w:r>
      <w:r>
        <w:t>. El Abogado del Estado, mediante escrito de alegaciones registrado el 25 de septiembre de 2014, se personó interesando la desestimación de la cuestión de inconstitucionalidad por las razones que, resumidamente, se exponen a continuación.</w:t>
      </w:r>
    </w:p>
    <w:p w:rsidR="00AC56D6" w:rsidRDefault="00AC56D6" w:rsidP="00AC56D6">
      <w:pPr>
        <w:pStyle w:val="TextoNormal"/>
      </w:pPr>
    </w:p>
    <w:p w:rsidR="00AC56D6" w:rsidRDefault="00AC56D6" w:rsidP="00AC56D6">
      <w:pPr>
        <w:pStyle w:val="TextoNormal"/>
      </w:pPr>
      <w:r>
        <w:t>Comienza destacando que el Auto de planteamiento se limita a cuestionar expresamente los arts. 2.1, 2.2.1 y 3.1 del Real Decreto-ley 20/2012.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00AC56D6" w:rsidRDefault="00AC56D6" w:rsidP="00AC56D6">
      <w:pPr>
        <w:pStyle w:val="TextoNormal"/>
      </w:pPr>
    </w:p>
    <w:p w:rsidR="00AC56D6" w:rsidRDefault="00AC56D6" w:rsidP="00AC56D6">
      <w:pPr>
        <w:pStyle w:val="TextoNormal"/>
      </w:pPr>
      <w: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w:t>
      </w:r>
      <w:r>
        <w:lastRenderedPageBreak/>
        <w:t>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AC56D6" w:rsidRDefault="00AC56D6" w:rsidP="00AC56D6">
      <w:pPr>
        <w:pStyle w:val="TextoNormal"/>
      </w:pPr>
    </w:p>
    <w:p w:rsidR="00AC56D6" w:rsidRDefault="00AC56D6" w:rsidP="00AC56D6">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00AC56D6" w:rsidRDefault="00AC56D6" w:rsidP="00AC56D6">
      <w:pPr>
        <w:pStyle w:val="TextoNormal"/>
      </w:pPr>
    </w:p>
    <w:p w:rsidR="00AC56D6" w:rsidRDefault="00AC56D6" w:rsidP="00AC56D6">
      <w:pPr>
        <w:pStyle w:val="TextoNormal"/>
      </w:pPr>
      <w: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w:t>
      </w:r>
      <w:r>
        <w:lastRenderedPageBreak/>
        <w:t>extraordinaria de diciembre de 2012, en la cuantía prevista en las respectivas leyes de presupuestos, nacería el primer día hábil de diciembre de 2012. Por ello, durante los meses de junio y julio de 2012 este derecho no había nacido, no existía.</w:t>
      </w:r>
    </w:p>
    <w:p w:rsidR="00AC56D6" w:rsidRDefault="00AC56D6" w:rsidP="00AC56D6">
      <w:pPr>
        <w:pStyle w:val="TextoNormal"/>
      </w:pPr>
    </w:p>
    <w:p w:rsidR="00AC56D6" w:rsidRDefault="00AC56D6" w:rsidP="00AC56D6">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AC56D6" w:rsidRDefault="00AC56D6" w:rsidP="00AC56D6">
      <w:pPr>
        <w:pStyle w:val="TextoNormal"/>
      </w:pPr>
    </w:p>
    <w:p w:rsidR="00AC56D6" w:rsidRDefault="00AC56D6" w:rsidP="00AC56D6">
      <w:pPr>
        <w:pStyle w:val="TextoNormal"/>
      </w:pPr>
      <w:r w:rsidRPr="00AC56D6">
        <w:rPr>
          <w:rStyle w:val="NumeroAFNegritaCaracter"/>
        </w:rPr>
        <w:t>7</w:t>
      </w:r>
      <w:r>
        <w:t>. El Fiscal General del Estado presentó escrito de alegaciones ante este Tribunal el 30 de septiembre de 2014 interesando la estimación de la presente cuestión de inconstitucionalidad.</w:t>
      </w:r>
    </w:p>
    <w:p w:rsidR="00AC56D6" w:rsidRDefault="00AC56D6" w:rsidP="00AC56D6">
      <w:pPr>
        <w:pStyle w:val="TextoNormal"/>
      </w:pPr>
    </w:p>
    <w:p w:rsidR="00AC56D6" w:rsidRDefault="00AC56D6" w:rsidP="00AC56D6">
      <w:pPr>
        <w:pStyle w:val="TextoNormal"/>
      </w:pPr>
      <w:r>
        <w:t>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AC56D6" w:rsidRDefault="00AC56D6" w:rsidP="00AC56D6">
      <w:pPr>
        <w:pStyle w:val="TextoNormal"/>
      </w:pPr>
    </w:p>
    <w:p w:rsidR="00AC56D6" w:rsidRDefault="00AC56D6" w:rsidP="00AC56D6">
      <w:pPr>
        <w:pStyle w:val="TextoNormal"/>
      </w:pPr>
      <w:r>
        <w:lastRenderedPageBreak/>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w:t>
      </w:r>
      <w:r w:rsidRPr="00AC56D6">
        <w:rPr>
          <w:i/>
        </w:rPr>
        <w:t>N.K.M. v.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artículo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t xml:space="preserve">El Fiscal General del Estado concluye sus alegaciones precisando que en el Auto de planteamiento no se cuestiona todo el art. 2 del Real Decreto-ley 20/2012 sino en concreto, sus apartados 2.1 y 2.2.1 ya que éstos son los que resultan aplicables para resolver el pleito sometido a su conocimiento y relevante en cuánto el recurso del proceso subyacente se refiere exclusivamente al personal funcionario o estatutario. Asimismo, en cuanto a los efectos </w:t>
      </w:r>
      <w:r>
        <w:lastRenderedPageBreak/>
        <w:t>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 en tanto, con respecto a los funcionarios la paga extraordinaria correspondiente al mes de diciembre se comienza a devengar en la fecha de 1 de junio de tal período.</w:t>
      </w:r>
    </w:p>
    <w:p w:rsidR="00AC56D6" w:rsidRDefault="00AC56D6" w:rsidP="00AC56D6">
      <w:pPr>
        <w:pStyle w:val="TextoNormal"/>
      </w:pPr>
    </w:p>
    <w:p w:rsidR="00AC56D6" w:rsidRDefault="00AC56D6" w:rsidP="00AC56D6">
      <w:pPr>
        <w:pStyle w:val="TextoNormal"/>
      </w:pPr>
      <w:r w:rsidRPr="00AC56D6">
        <w:rPr>
          <w:rStyle w:val="NumeroAFNegritaCaracter"/>
        </w:rPr>
        <w:t>8</w:t>
      </w:r>
      <w:r>
        <w:t>. La Sala Segunda de este Tribunal acordó mediante providencia de 12 de junio de 2015, y de conformidad con el art. 88.1 LOTC, dirigir atenta comunicación a la Consejería de Sanidad y Servicios Sociales de la Comunidad Autónoma de Cantabria, a fin de que indique a este Tribunal si, en atención a lo previsto en la disposición adicional duodécima de la Ley 36/2014, de presupuestos generales del Estado para el año 2015, o por cualquier otra circunstancia, ha satisfecho a doña M.J.R.O, doña M.F.V., doña M.A.A.S., don J.M.C.V., doña M.J.R.G. y don J.M.F.C., todos ellos personal estatutario del Servicio Cántabro de Salud, cantidad en concepto de recuperación de la parte proporcional de la paga extraordinaria, de la paga adicional de complemento específico o de la pagas adicionales equivalentes, todas ellas correspondientes al mes de diciembre de 2012; especificando, en su caso, el número de días de la citada paga a los que corresponden las cuantías abonadas.</w:t>
      </w:r>
    </w:p>
    <w:p w:rsidR="00AC56D6" w:rsidRDefault="00AC56D6" w:rsidP="00AC56D6">
      <w:pPr>
        <w:pStyle w:val="TextoNormal"/>
      </w:pPr>
    </w:p>
    <w:p w:rsidR="00AC56D6" w:rsidRDefault="00AC56D6" w:rsidP="00AC56D6">
      <w:pPr>
        <w:pStyle w:val="TextoNormal"/>
      </w:pPr>
      <w:r>
        <w:t>Mediante escrito registrado en el Tribunal Constitucional el día 28 de julio de 2015, la Secretaria General de la Consejería de Sanidad y Servicios Sociales de la Comunidad Autónoma de Cantabria evacuó el referido traslado, adjuntando a este escrito informe remitido por el Servicio Cántabro de Salud. En este informe se certifica que “el personal estatutario que se relaciona, en atención a lo previsto en el Acuerdo del Consejo de Gobierno de 25 de septiembre de 2014, ha percibido en concepto de recuperación de la parte proporcional de la paga extraordinaria del mes de diciembre de 2012, correspondiente a 44 días (del 1/6/2012 a 14/7/2012), las siguientes cantidades: doña M.J.R.O.: 545,69 €; doña M.F.V.: 550,60; doña M.A.A.S.: 232,62 €; don J.M.C.V.: 288,12 €; doña M.J.R.G.:389,93 €; y don J.M.F.C.: 250,21 €”. Además, a este informe acompaña justificante de la notificación a la Consejería de Sanidad y Servicios Sociales del acuerdo del Consejo de Gobierno de 25 de septiembre de 2014, por el cual, ratificando la decisión de 23 de septiembre de 2014 de la Mesa General de Negociación prevista en el art. 36.3 de la ley 7/2007, de 12 de abril, del estatuto básico del empleado público, se acuerda que la Comunidad Autónoma de Cantabria procederá al abono de los 44 días devengados de la paga extraordinaria de diciembre de 2012, de 13 de julio, de medidas para garantizar la estabilidad presupuestaria y de fomento de la competitividad.</w:t>
      </w:r>
    </w:p>
    <w:p w:rsidR="00AC56D6" w:rsidRDefault="00AC56D6" w:rsidP="00AC56D6">
      <w:pPr>
        <w:pStyle w:val="TextoNormal"/>
      </w:pPr>
    </w:p>
    <w:p w:rsidR="00AC56D6" w:rsidRDefault="00AC56D6" w:rsidP="00AC56D6">
      <w:pPr>
        <w:pStyle w:val="TextoNormal"/>
      </w:pPr>
      <w:r w:rsidRPr="00AC56D6">
        <w:rPr>
          <w:rStyle w:val="NumeroAFNegritaCaracter"/>
        </w:rPr>
        <w:t>9</w:t>
      </w:r>
      <w:r>
        <w:t>. Por providencia de 29 de octubre de 2015 se señaló para deliberación y votación de la presente Sentencia el día 2 de noviembre del mismo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El Juzgado de lo Contencioso-Administrativo núm. 1 de Santander plantea cuestión de inconstitucionalidad respecto de los arts. 2.1, 2.2.1 y 3.1 del Real Decreto-ley 20/2012, de 13 de julio, de medidas para garantizar la estabilidad presupuestaria y de fomento de la competitividad, preceptos que, en lo que aquí importa, disponen para el personal funcionario de todas las Administraciones públicas la supresión de la paga extraordinaria y de la paga </w:t>
      </w:r>
      <w:r>
        <w:lastRenderedPageBreak/>
        <w:t>adicional de complemento específico o pagas adicionales equivalentes del mes de diciembre de 2012. En síntesis, el Juzgado entiende que los arts. 2.1, 2.2.1 y 3.1 del Real Decreto-ley 20/2012, en su aplicación al personal funcionario, pueden vulnerar los principios constitucionales de seguridad jurídica y de interdicción de la retroactividad de las disposiciones sancionadoras no favorables o restrictivas de derechos individuales, ambos consagrados en el art. 9.3 CE, al no contemplar excepción alguna respecto de las cuantías ya devengadas al momento de la entrada en vigor del Real Decreto-ley 20/2012 (esto es, desde el 1de junio al 14 de julio de 2012).</w:t>
      </w:r>
    </w:p>
    <w:p w:rsidR="00AC56D6" w:rsidRDefault="00AC56D6" w:rsidP="00AC56D6">
      <w:pPr>
        <w:pStyle w:val="TextoNormal"/>
      </w:pPr>
    </w:p>
    <w:p w:rsidR="00AC56D6" w:rsidRDefault="00AC56D6" w:rsidP="00AC56D6">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al análisis de la cuestión planteada conviene realizar una serie de precisiones para acotar debidamente el objeto de la misma y el alcance de nuestro enjuiciamiento.</w:t>
      </w:r>
    </w:p>
    <w:p w:rsidR="00AC56D6" w:rsidRDefault="00AC56D6" w:rsidP="00AC56D6">
      <w:pPr>
        <w:pStyle w:val="TextoNormal"/>
      </w:pPr>
    </w:p>
    <w:p w:rsidR="00AC56D6" w:rsidRDefault="00AC56D6" w:rsidP="00AC56D6">
      <w:pPr>
        <w:pStyle w:val="TextoNormal"/>
      </w:pPr>
      <w:r>
        <w:t>a) Así, en primer lugar, resulta obligado advertir que, si bien el Juzgado de lo Contencioso-Administrativo núm. 1 de Santander plantea la cuestión de inconstitucionalidad respecto de los arts. 2.1, 2.2.1 y 3.1 del Real Decreto-ley 20/2012, lo cierto es que el juicio de aplicabilidad y relevancia solo se verifica respecto de los arts. 2.1, 2.2.1 referidos. No ocurre lo mismo con el art. 3.1 del Real Decreto-ley 20/2012, pues como la rúbrica inicial de ese precepto indica se refiere exclusivamente al “personal del sector público estatal” y en este caso los demandantes forman parte, como personal estatutario del Servicio Cántabro de Salud, del sector público regional. Es cierto que dicho art. 3.1 se refiere al art. 32 de la Ley 2/2012 de presupuestos generales del Estado, y que éste alude al personal de la Seguridad Social y del Insalud, pero en estas categorías de personal del sector público estatal no se integra el personal de los servicios autonómicos de salud, que forma parte del sector público autonómico. En conclusión, el art. 3.1 del Real Decreto-ley 20/2012 no es aplicable a este litigio, por lo que falta un presupuesto esencial para que se pueda resolver el fondo de esta cuestión de inconstitucionalidad en relación a este precepto.</w:t>
      </w:r>
    </w:p>
    <w:p w:rsidR="00AC56D6" w:rsidRDefault="00AC56D6" w:rsidP="00AC56D6">
      <w:pPr>
        <w:pStyle w:val="TextoNormal"/>
      </w:pPr>
    </w:p>
    <w:p w:rsidR="00AC56D6" w:rsidRDefault="00AC56D6" w:rsidP="00AC56D6">
      <w:pPr>
        <w:pStyle w:val="TextoNormal"/>
      </w:pPr>
      <w:r>
        <w:t>De este modo, en los términos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2.1 del art. 2 del Real Decreto-ley 20/2012, que se refiere específicamente a la supresión de la paga o gratificación extraordinaria de diciembre de 2012 o equivalente al personal funcionario.</w:t>
      </w:r>
    </w:p>
    <w:p w:rsidR="00AC56D6" w:rsidRDefault="00AC56D6" w:rsidP="00AC56D6">
      <w:pPr>
        <w:pStyle w:val="TextoNormal"/>
      </w:pPr>
    </w:p>
    <w:p w:rsidR="00AC56D6" w:rsidRDefault="00AC56D6" w:rsidP="00AC56D6">
      <w:pPr>
        <w:pStyle w:val="TextoNormal"/>
      </w:pPr>
      <w:r>
        <w:t xml:space="preserve">b) Por otra parte debe tenerse en cuenta que no se cuestiona por el Juzgado de lo Contencioso-Administrativo núm. 1 de Santander la medida de supresión de la paga extraordinaria de diciembre de 2012 en sí misma considerada (que es la pretensión principal que se deduce por los demandantes en el proceso </w:t>
      </w:r>
      <w:r w:rsidRPr="00AC56D6">
        <w:rPr>
          <w:i/>
        </w:rPr>
        <w:t>a quo</w:t>
      </w:r>
      <w:r>
        <w:t xml:space="preserve">, como se ha dicho), sino sólo en cuanto su aplicación haya podido suponer la infracción de los principios de seguridad jurídica y de irretroactividad establecidos en el art. 9.3 CE, al no contemplar excepción alguna respecto </w:t>
      </w:r>
      <w:r>
        <w:lastRenderedPageBreak/>
        <w:t>de las cuantías que se entienden ya devengadas de dicha paga extra (en concreto, 44 días correspondientes a los servicios prestados entre el 1 de junio de 2012 y el 14 de julio de 2012) a la fecha de entrada en vigor del Real Decreto-ley 20/2012 (que tuvo lugar el 15 de julio de 2012, conforme a su disposición final decimoquinta), ni fijar indemnización alguna por la supresión de un derecho patrimonial. A esta concreta duda de constitucionalidad deberá, pues, ceñirse nuestro enjuiciamiento.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Antes de enjuiciar el fondo de la cuestión planteada, tal como la hemos delimitado en el fundamento jurídico precedente, procede examinar si su objeto pervive. Constatamos, a partir de los datos suministrados por la Consejería de Sanidad y Servicios Sociales de la Comunidad Autónoma de Cantabria evacuando el requerimiento que le hizo este Tribunal </w:t>
      </w:r>
      <w:r w:rsidRPr="00AC56D6">
        <w:rPr>
          <w:i/>
        </w:rPr>
        <w:t>ex</w:t>
      </w:r>
      <w:r>
        <w:t xml:space="preserve"> art. 88.1 LOTC, que mediante acuerdo del Consejo de Gobierno de 25 de septiembre de 2014, se decidió, ratificando el Acuerdo de 23 de septiembre de 2014 de la mesa general de negociación prevista en el art. 36.3 de la ley 7/2007, de 12 de abril, del estatuto básico del empleado público, que la Comunidad Autónoma de Cantabria “procederá al abono de los cuarenta y cuatro días devengados de la paga extraordinaria de diciembre de 2012, de 13 de julio, de medidas para garantizar la estabilidad presupuestaria y de fomento de la competitividad”. Y también que “el pago de los cuarenta y cuatro días citados en el párrafo anterior se producirá mediante nómina confeccionada por parte de los distintos órganos con competencia en la materia dentro de la Comunidad Autónoma”.</w:t>
      </w:r>
    </w:p>
    <w:p w:rsidR="00AC56D6" w:rsidRDefault="00AC56D6" w:rsidP="00AC56D6">
      <w:pPr>
        <w:pStyle w:val="TextoNormal"/>
      </w:pPr>
    </w:p>
    <w:p w:rsidR="00AC56D6" w:rsidRDefault="00AC56D6" w:rsidP="00AC56D6">
      <w:pPr>
        <w:pStyle w:val="TextoNormal"/>
      </w:pPr>
      <w:r>
        <w:t xml:space="preserve">Tal y como se desprende de la certificación de 13 de julio de 2015 firmada por el Director Gerente del Servicio Cántabro de Salud, comunicada al Tribunal Constitucional en cumplimiento del requerimiento </w:t>
      </w:r>
      <w:r w:rsidRPr="00AC56D6">
        <w:rPr>
          <w:i/>
        </w:rPr>
        <w:t>ex</w:t>
      </w:r>
      <w:r>
        <w:t xml:space="preserve"> art. 88.1 de la Ley Orgánica del Tribunal Constitucional (LOTC) referido, “el personal estatutario que se relaciona, en atención a lo previsto en el Acuerdo del Consejo de Gobierno de 25 de septiembre de 2014, ha percibido en concepto de recuperación de la parte proporcional de la paga extraordinaria del mes de diciembre de 2012, correspondiente a 44 días (del 1/6/2012 a 14/7/2012), las siguientes cantidades: Dª M.J.R.O. : 545,69 €; Dª M.F.V.: 550,60; Dª M.A.A.S.: 232,62 €; D. J.M.C.V.:288,12 €; Dª M.J.R.G.:389,93 €; y D. J.M.F.C.: 250,21 €”.</w:t>
      </w:r>
    </w:p>
    <w:p w:rsidR="00AC56D6" w:rsidRDefault="00AC56D6" w:rsidP="00AC56D6">
      <w:pPr>
        <w:pStyle w:val="TextoNormal"/>
      </w:pPr>
    </w:p>
    <w:p w:rsidR="00AC56D6" w:rsidRDefault="00AC56D6" w:rsidP="00AC56D6">
      <w:pPr>
        <w:pStyle w:val="TextoNormal"/>
      </w:pPr>
      <w:r>
        <w:t>Este Tribunal aprecia igualmente que la disposición adicional duodécima de la Ley 36/2014, de 26 de diciembre, de presupuestos generales del Estado para 2015, bajo el epígrafe “recuperación de la paga extraordinaria y adicional del mes de diciembre de 2012”, establece,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00AC56D6" w:rsidRDefault="00AC56D6" w:rsidP="00AC56D6">
      <w:pPr>
        <w:pStyle w:val="TextoNormal"/>
      </w:pPr>
    </w:p>
    <w:p w:rsidR="00AC56D6" w:rsidRDefault="00AC56D6" w:rsidP="00AC56D6">
      <w:pPr>
        <w:pStyle w:val="TextoNormal"/>
      </w:pPr>
      <w:r>
        <w:t>Como consecuencia de lo dispuesto en el acuerdo y normativa citados, debemos remitirnos a lo dicho recientemente en nuestra STC 83/2015, de 30 de abril, sobre la posible pérdida de objeto de la cuestión de inconstitucionalidad.</w:t>
      </w:r>
    </w:p>
    <w:p w:rsidR="00AC56D6" w:rsidRDefault="00AC56D6" w:rsidP="00AC56D6">
      <w:pPr>
        <w:pStyle w:val="TextoNormal"/>
      </w:pPr>
    </w:p>
    <w:p w:rsidR="00AC56D6" w:rsidRDefault="00AC56D6" w:rsidP="00AC56D6">
      <w:pPr>
        <w:pStyle w:val="TextoNormal"/>
      </w:pPr>
      <w:r>
        <w:t xml:space="preserve">En el fundamento jurídico tercero de la STC 83/2015, tras recordar la reiterada doctrina constitucional sobre los efectos extintivos del objeto del proceso constitucional en las cuestiones de inconstitucionalidad como consecuencia de la derogación o modificación de la </w:t>
      </w:r>
      <w:r>
        <w:lastRenderedPageBreak/>
        <w:t xml:space="preserve">norma legal cuestionada, pusimos de manifiesto que en dicho proceso —y lo mismo sucede en el presente— ni se había producido la extinción del procedimiento </w:t>
      </w:r>
      <w:r w:rsidRPr="00AC56D6">
        <w:rPr>
          <w:i/>
        </w:rPr>
        <w:t>a quo</w:t>
      </w:r>
      <w:r>
        <w:t xml:space="preserve">, ni tampoco nos encontrábamos ante un supuesto de pérdida de vigencia del precepto legal cuestionado, ello no obstante era innegable la incidencia que tenía la medida contenida en la disposición adicional duodécima de la Ley 36/2014, de presupuestos generales del Estado para 2015, sobre la pretensión deducida en el pleito </w:t>
      </w:r>
      <w:r w:rsidRPr="00AC56D6">
        <w:rPr>
          <w:i/>
        </w:rPr>
        <w:t>a quo</w:t>
      </w:r>
      <w:r>
        <w:t>, “que afecta de modo determinante a la subsistencia del presente proceso constitucional, dada la estrecha vinculación existente entre toda cuestión de inconstitucionalidad y el procedimiento judicial de que dimana”.</w:t>
      </w:r>
    </w:p>
    <w:p w:rsidR="00AC56D6" w:rsidRDefault="00AC56D6" w:rsidP="00AC56D6">
      <w:pPr>
        <w:pStyle w:val="TextoNormal"/>
      </w:pPr>
    </w:p>
    <w:p w:rsidR="00AC56D6" w:rsidRDefault="00AC56D6" w:rsidP="00AC56D6">
      <w:pPr>
        <w:pStyle w:val="TextoNormal"/>
      </w:pPr>
      <w:r>
        <w:t>En la presente cuestión de inconstitucionalidad se plantea si la supresión del derecho de seis trabajadores del Servicio Cántabro de Salud, todos ellos personal laboral, a percibir la parte proporcional (en concreto, 44 días) de la paga extra de diciembre de 2012 contraviene, por entenderse ya devengada al momento de la entrada en vigor del Real Decreto-ley 20/2012, el art. 9.3 CE. En esos términos planteada la cuestión es obligado concluir como hicimos en la STC 83/2015 que “la recuperación por esos trabajadores de la parte proporcional correspondiente a los primeros 44 días de la paga extra de diciembre de 2012”, en virtud de lo establecido en el citado Acuerdo del Consejo de Gobierno de 25 de septiembre de 2014,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00AC56D6" w:rsidRDefault="00AC56D6" w:rsidP="00AC56D6">
      <w:pPr>
        <w:pStyle w:val="TextoNormal"/>
      </w:pPr>
    </w:p>
    <w:p w:rsidR="00AC56D6" w:rsidRDefault="00AC56D6" w:rsidP="00AC56D6">
      <w:pPr>
        <w:pStyle w:val="TextoNormal"/>
      </w:pPr>
      <w:r>
        <w:t xml:space="preserve">Conforme a lo expuesto, lo dispuesto en el referido Acuerdo del Consejo de Gobierno de 25 de septiembre de 2014 y su aplicación efectiva respecto de los seis trabajadores del Servicio Cántabro de Salud que aparecen como demandantes en el pleito </w:t>
      </w:r>
      <w:r w:rsidRPr="00AC56D6">
        <w:rPr>
          <w:i/>
        </w:rPr>
        <w:t>a quo</w:t>
      </w:r>
      <w:r>
        <w:t>, y sobre cuya pretensión se articula la duda de constitucionalidad, determinan la extinción de la presente cuestión de inconstitucionalidad, pues, “aun cuando el enjuiciamiento constitucional de la norma cuestionada sigue siendo posible y ésta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340/2013, de 21 de octubre, FJ único, y 75/2004, de 9 de marzo, FJ único).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Declarar la extinción de la presente causa de inconstitucionalidad por pérdida sobrevenida de su objeto.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dos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84" w:name="SENTENCIA_2015_228"/>
      <w:r>
        <w:lastRenderedPageBreak/>
        <w:t>SENTENCIA 228/2015, de 2 de noviembre de 2015</w:t>
      </w:r>
    </w:p>
    <w:bookmarkEnd w:id="84"/>
    <w:p w:rsidR="00AC56D6" w:rsidRDefault="00AC56D6" w:rsidP="00AC56D6">
      <w:pPr>
        <w:pStyle w:val="TtuloResolucin"/>
      </w:pPr>
      <w:r>
        <w:t>Sala Segunda</w:t>
      </w:r>
    </w:p>
    <w:p w:rsidR="00AC56D6" w:rsidRDefault="00AC56D6" w:rsidP="00AC56D6">
      <w:pPr>
        <w:pStyle w:val="TtuloBOE"/>
      </w:pPr>
      <w:r>
        <w:t>(BOE núm. 296, de 11 de diciembre de 2015)</w:t>
      </w:r>
    </w:p>
    <w:p w:rsidR="00AC56D6" w:rsidRDefault="00AC56D6" w:rsidP="00AC56D6">
      <w:pPr>
        <w:pStyle w:val="TextoNormalCentrado"/>
      </w:pPr>
      <w:r>
        <w:t>ECLI:ES:TC:2015:228</w:t>
      </w:r>
    </w:p>
    <w:p w:rsidR="00AC56D6" w:rsidRDefault="00AC56D6" w:rsidP="00AC56D6">
      <w:pPr>
        <w:pStyle w:val="TextoNormalCentrado"/>
      </w:pPr>
    </w:p>
    <w:p w:rsidR="00AC56D6" w:rsidRDefault="00AC56D6" w:rsidP="00AC56D6">
      <w:pPr>
        <w:pStyle w:val="SntesisDescriptiva"/>
      </w:pPr>
      <w:r>
        <w:t>Cuestión de inconstitucionalidad 7623-2014. Planteada por la Sala de lo Social del Tribunal Superior de Justicia de Murcia respecto de los artículos 2 del Real Decreto-ley 20/2012, de 13 de julio, de medidas para garantizar la estabilidad presupuestaria y de fomento de la competitividad y 2.1 de la Ley de la Comunidad Autónoma de Murcia 9/2012, de 8 de noviembre, de adaptación de la normativa regional en materia de función pública al Real Decreto-ley 20/2012.</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extinción, por pérdida de objeto, de la cuestión de inconstitucionalidad (STC 83/2015).</w:t>
      </w:r>
    </w:p>
    <w:p w:rsidR="00AC56D6" w:rsidRDefault="00AC56D6" w:rsidP="00AC56D6">
      <w:pPr>
        <w:pStyle w:val="SntesisAnaltica"/>
      </w:pPr>
    </w:p>
    <w:p w:rsidR="00AC56D6" w:rsidRDefault="00AC56D6" w:rsidP="00AC56D6">
      <w:pPr>
        <w:pStyle w:val="Extracto"/>
      </w:pPr>
      <w:r>
        <w:t>1.</w:t>
      </w:r>
      <w:r>
        <w:tab/>
        <w:t>La satisfacción extraprocesal de la pretensión deducida en el proceso laboral sobre la que se articula la cuestión de inconstitucionalidad le hace perder su objeto, al ser tal satisfacción extraprocesal uno de los posibles supuestos de extinción de la cuestión de inconstitucionalidad (SSTC 6/2010, 83/2015) [FJ 3].</w:t>
      </w:r>
    </w:p>
    <w:p w:rsidR="00AC56D6" w:rsidRDefault="00AC56D6" w:rsidP="00AC56D6">
      <w:pPr>
        <w:pStyle w:val="Extracto"/>
      </w:pPr>
    </w:p>
    <w:p w:rsidR="00AC56D6" w:rsidRDefault="00AC56D6" w:rsidP="00AC56D6">
      <w:pPr>
        <w:pStyle w:val="Extracto"/>
      </w:pPr>
      <w:r>
        <w:t>2.</w:t>
      </w:r>
      <w:r>
        <w:tab/>
        <w:t>Doctrina sobre las posibles causas de terminación extraordinaria de las cuestiones de inconstitucionalidad por pérdida sobrevenida de objeto (STC 83/2015) [FJ 3].</w:t>
      </w:r>
    </w:p>
    <w:p w:rsidR="00AC56D6" w:rsidRDefault="00AC56D6" w:rsidP="00AC56D6">
      <w:pPr>
        <w:pStyle w:val="Extracto"/>
      </w:pPr>
    </w:p>
    <w:p w:rsidR="00AC56D6" w:rsidRDefault="00AC56D6" w:rsidP="00AC56D6">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 xml:space="preserve">En la cuestión de inconstitucionalidad núm.7623-2014, promovida por la Sala de lo Social del Tribunal Superior de Justicia de Murcia contra el art. 2 del Real Decreto-ley 20/2012, de 13 de julio, de medidas para garantizar la estabilidad presupuestaria y de fomento de la competitividad y el art. 2.1 de la Ley de la Comunidad Autónoma de Murcia 9/2012, de 8 de noviembre, de adaptación de la normativa regional en materia de función </w:t>
      </w:r>
      <w:r>
        <w:lastRenderedPageBreak/>
        <w:t>pública al Real Decreto-ley 20/2012, por posible vulneración del art. 9.3 CE. Han formulado alegaciones el Fiscal General del Estado, el Abogado del Estado y la Letrada de la Comunidad Autónoma de la Región de Murcia. Ha sido Ponente la Magistrada doña Adela Asua Batarrita,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18 de diciembre de 2014 tuvo entrada en el Registro General de este Tribunal un oficio de la Sala de lo Social del Tribunal Superior de Justicia de Murcia al que se acompaña, junto con el testimonio del procedimiento núm. 6-2014, el Auto de 3 de noviembre de 2014, por el que se acuerda plantear cuestión de inconstitucionalidad en relación con el art. 2 del Real Decreto-ley 20/2012, de 13 de julio, de medidas para garantizar la estabilidad presupuestaria y de fomento de la competitividad, y el art. 2.1 de la Ley de la Comunidad Autónoma de Murcia 9/2012, de 8 de noviembre, de adaptación de la normativa regional en materia de función pública al Real Decreto-ley 20/2012, por posible lesión del art. 9.3 CE.</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procesales de la cuestión de inconstitucionalidad planteada son, sucintamente expuestos, los siguientes:</w:t>
      </w:r>
    </w:p>
    <w:p w:rsidR="00AC56D6" w:rsidRDefault="00AC56D6" w:rsidP="00AC56D6">
      <w:pPr>
        <w:pStyle w:val="TextoNormal"/>
      </w:pPr>
    </w:p>
    <w:p w:rsidR="00AC56D6" w:rsidRDefault="00AC56D6" w:rsidP="00AC56D6">
      <w:pPr>
        <w:pStyle w:val="TextoNormal"/>
      </w:pPr>
      <w:r>
        <w:t>a) La sección sindical de Comisiones Obreras en Onda Regional de Murcia planteó demanda de conflicto colectivo frente a la empresa pública Radiotelevisión de la Región de Murcia y a Onda Regional de Murcia en relación con la supresión de la paga extraordinaria de diciembre de 2012. Mediante escrito registrado el 30 de enero de 2014, la sección sindical solicitó ante el Juzgado de lo Social núm. 1 de Murcia el abono de la totalidad de la paga extraordinaria o, con carácter subsidiario, la parte proporcional de la misma devengada a 16 de julio de 2012, fecha de entrada en vigor del Real Decreto-ley 20/2012, toda vez que en ese momento se había devengado ya el importe de 15 días de la paga.</w:t>
      </w:r>
    </w:p>
    <w:p w:rsidR="00AC56D6" w:rsidRDefault="00AC56D6" w:rsidP="00AC56D6">
      <w:pPr>
        <w:pStyle w:val="TextoNormal"/>
      </w:pPr>
    </w:p>
    <w:p w:rsidR="00AC56D6" w:rsidRDefault="00AC56D6" w:rsidP="00AC56D6">
      <w:pPr>
        <w:pStyle w:val="TextoNormal"/>
      </w:pPr>
      <w:r>
        <w:t>Por Auto de 21 de abril de 2014, el Juzgado de lo Social núm. 1 de Murcia se abstuvo de conocer del conflicto colectivo por afectar a trabajadores de todo el territorio de la Región de Murcia y no solo de los Juzgados de Cartagena, y acordó remitir los Autos a la Sala de lo Social del Tribunal Superior de Justicia de Murcia.</w:t>
      </w:r>
    </w:p>
    <w:p w:rsidR="00AC56D6" w:rsidRDefault="00AC56D6" w:rsidP="00AC56D6">
      <w:pPr>
        <w:pStyle w:val="TextoNormal"/>
      </w:pPr>
    </w:p>
    <w:p w:rsidR="00AC56D6" w:rsidRDefault="00AC56D6" w:rsidP="00AC56D6">
      <w:pPr>
        <w:pStyle w:val="TextoNormal"/>
      </w:pPr>
      <w:r>
        <w:t>b) Por Auto de 23 de junio de 2014, la Sala de lo Social del Tribunal Superior de Justicia señaló que, aunque en casos esencialmente iguales entró en el fondo del asunto, el hecho de que el Tribunal Constitucional haya admitido a trámite cuestiones de inconstitucionalidad sobre el particular condiciona que la Sala, siguiendo el trámite de los arts. 35 y ss, de la Ley Orgánica del Tribunal Constitucional (LOTC), deba oír a las partes y al Ministerio Fiscal sobre si procede plantear cuestión de inconstitucionalidad en relación con el art. 2 del Real Decreto-ley 20/2012 que acuerda suprimir la paga extra de diciembre de 2012 y el art. 2.1 de la Ley autonómica 9/2012, por ser contrarios al art. 9.3 CE. A este efecto se concede a las partes y al Ministerio Fiscal un plazo común e improrrogable de diez días para que aleguen lo que a su derecho convenga.</w:t>
      </w:r>
    </w:p>
    <w:p w:rsidR="00AC56D6" w:rsidRDefault="00AC56D6" w:rsidP="00AC56D6">
      <w:pPr>
        <w:pStyle w:val="TextoNormal"/>
      </w:pPr>
    </w:p>
    <w:p w:rsidR="00AC56D6" w:rsidRDefault="00AC56D6" w:rsidP="00AC56D6">
      <w:pPr>
        <w:pStyle w:val="TextoNormal"/>
      </w:pPr>
      <w:r>
        <w:t xml:space="preserve">Por providencia de 17 de julio de 2014 se admite la personación del comité de empresa de Radiotelevisión de la Región de Murcia y se le notifica el Auto de 23 de junio de 2014, </w:t>
      </w:r>
      <w:r>
        <w:lastRenderedPageBreak/>
        <w:t>a fin de que en el plazo de diez días pueda efectuar alegaciones sobre la cuestión de inconstitucionalidad.</w:t>
      </w:r>
    </w:p>
    <w:p w:rsidR="00AC56D6" w:rsidRDefault="00AC56D6" w:rsidP="00AC56D6">
      <w:pPr>
        <w:pStyle w:val="TextoNormal"/>
      </w:pPr>
    </w:p>
    <w:p w:rsidR="00AC56D6" w:rsidRDefault="00AC56D6" w:rsidP="00AC56D6">
      <w:pPr>
        <w:pStyle w:val="TextoNormal"/>
      </w:pPr>
      <w:r>
        <w:t>c) Mediante escrito fechado el 14 de agosto de 2014, el Fiscal, despachando el traslado conferido, dice que procede plantear cuestión de inconstitucionalidad en relación con el art. 2 del Real Decreto-ley 20/2012 y el art. 2.1 de la Ley autonómica 9/2012, en atención a la posible vulneración del principio de seguridad jurídica e irretroactividad de las normas sancionadoras o restrictivas de derechos individuales consagrado por el art. 9.3 CE.</w:t>
      </w:r>
    </w:p>
    <w:p w:rsidR="00AC56D6" w:rsidRDefault="00AC56D6" w:rsidP="00AC56D6">
      <w:pPr>
        <w:pStyle w:val="TextoNormal"/>
      </w:pPr>
    </w:p>
    <w:p w:rsidR="00AC56D6" w:rsidRDefault="00AC56D6" w:rsidP="00AC56D6">
      <w:pPr>
        <w:pStyle w:val="TextoNormal"/>
      </w:pPr>
      <w:r>
        <w:t>Las partes no realizan alegaciones en relación con el planteamiento de la cuestión de inconstitucionalidad.</w:t>
      </w:r>
    </w:p>
    <w:p w:rsidR="00AC56D6" w:rsidRDefault="00AC56D6" w:rsidP="00AC56D6">
      <w:pPr>
        <w:pStyle w:val="TextoNormal"/>
      </w:pPr>
    </w:p>
    <w:p w:rsidR="00AC56D6" w:rsidRDefault="00AC56D6" w:rsidP="00AC56D6">
      <w:pPr>
        <w:pStyle w:val="TextoNormal"/>
      </w:pPr>
      <w:r w:rsidRPr="00AC56D6">
        <w:rPr>
          <w:rStyle w:val="NumeroAFNegritaCaracter"/>
        </w:rPr>
        <w:t>3</w:t>
      </w:r>
      <w:r>
        <w:t>. Por Auto de 3 de noviembre de 2014, la Sala de lo Social del Tribunal Superior de Justicia de Murcia acordó plantear la presente cuestión de inconstitucionalidad y, del análisis de su contenido, interesa destacar los siguientes puntos.</w:t>
      </w:r>
    </w:p>
    <w:p w:rsidR="00AC56D6" w:rsidRDefault="00AC56D6" w:rsidP="00AC56D6">
      <w:pPr>
        <w:pStyle w:val="TextoNormal"/>
      </w:pPr>
    </w:p>
    <w:p w:rsidR="00AC56D6" w:rsidRDefault="00AC56D6" w:rsidP="00AC56D6">
      <w:pPr>
        <w:pStyle w:val="TextoNormal"/>
      </w:pPr>
      <w:r>
        <w:t>La Sala señala que en sentencias anteriores, dictadas en procesos con objeto similar, estimó que la retroactividad dispuesta por el Real Decreto-ley 20/2012 no era expresa, por lo que rechazó el planteamiento de la cuestión de inconstitucionalidad y condenó a la parte demandada a abonar la parte proporcional de la paga extraordinaria de 2012 ya devengada. No obstante, el hecho de que el Tribunal Constitucional haya admitido a trámite cuestiones de inconstitucionalidad en relación con el art. 2 del Real Decreto-ley 20/2012 promovidas por distintas Salas de lo Social y por la Audiencia Nacional, así como, recientemente, por la Sala Tercera del Tribunal Supremo en relación con los funcionarios, “determina que, con el fin de garantizar la igualdad en la aplicación de la ley, esta Sala deba cambiar de criterio”.</w:t>
      </w:r>
    </w:p>
    <w:p w:rsidR="00AC56D6" w:rsidRDefault="00AC56D6" w:rsidP="00AC56D6">
      <w:pPr>
        <w:pStyle w:val="TextoNormal"/>
      </w:pPr>
    </w:p>
    <w:p w:rsidR="00AC56D6" w:rsidRDefault="00AC56D6" w:rsidP="00AC56D6">
      <w:pPr>
        <w:pStyle w:val="TextoNormal"/>
      </w:pPr>
      <w:r>
        <w:t>A continuación se exponen los términos en los que se promueve la cuestión de inconstitucionalidad:</w:t>
      </w:r>
    </w:p>
    <w:p w:rsidR="00AC56D6" w:rsidRDefault="00AC56D6" w:rsidP="00AC56D6">
      <w:pPr>
        <w:pStyle w:val="TextoNormal"/>
      </w:pPr>
    </w:p>
    <w:p w:rsidR="00AC56D6" w:rsidRDefault="00AC56D6" w:rsidP="00AC56D6">
      <w:pPr>
        <w:pStyle w:val="TextoNormal"/>
      </w:pPr>
      <w:r>
        <w:t>a) El art. 9.3 CE garantiza la irretroactividad de las disposiciones sancionadoras no favorables o las restrictivas de derechos individuales.</w:t>
      </w:r>
    </w:p>
    <w:p w:rsidR="00AC56D6" w:rsidRDefault="00AC56D6" w:rsidP="00AC56D6">
      <w:pPr>
        <w:pStyle w:val="TextoNormal"/>
      </w:pPr>
    </w:p>
    <w:p w:rsidR="00AC56D6" w:rsidRDefault="00AC56D6" w:rsidP="00AC56D6">
      <w:pPr>
        <w:pStyle w:val="TextoNormal"/>
      </w:pPr>
      <w:r>
        <w:t>b) La retribución denominada “paga extraordinaria” que se regula en el art. 31 de la Ley del estatuto de los trabajadores (en adelante LET), tiene naturaleza salarial (art. 26 LET). La jurisprudencia del Tribunal Supremo (con cita de diversas sentencias) interpreta la paga extra como de devengo diario y cobro aplazado.</w:t>
      </w:r>
    </w:p>
    <w:p w:rsidR="00AC56D6" w:rsidRDefault="00AC56D6" w:rsidP="00AC56D6">
      <w:pPr>
        <w:pStyle w:val="TextoNormal"/>
      </w:pPr>
    </w:p>
    <w:p w:rsidR="00AC56D6" w:rsidRDefault="00AC56D6" w:rsidP="00AC56D6">
      <w:pPr>
        <w:pStyle w:val="TextoNormal"/>
      </w:pPr>
      <w:r>
        <w:t>c) El derecho del trabajador a percibir la parte proporcional de la paga extraordinaria devengada y no pagada debe calificarse como derecho individual. La doctrina del Tribunal Constitucional ha establecido que los derechos a una retribución ya generada, aunque no percibida, son derechos individuales a los efectos del art. 9.3 CE (AATC 179/2011 y 8/2013).</w:t>
      </w:r>
    </w:p>
    <w:p w:rsidR="00AC56D6" w:rsidRDefault="00AC56D6" w:rsidP="00AC56D6">
      <w:pPr>
        <w:pStyle w:val="TextoNormal"/>
      </w:pPr>
    </w:p>
    <w:p w:rsidR="00AC56D6" w:rsidRDefault="00AC56D6" w:rsidP="00AC56D6">
      <w:pPr>
        <w:pStyle w:val="TextoNormal"/>
      </w:pPr>
      <w:r>
        <w:t xml:space="preserve">d) Los términos del art. 2 del Real Decreto-ley 20/2012 son claros en cuanto que viene a suprimir la percepción de la paga extraordinaria del mes de diciembre del año 2012 para el personal laboral del sector público. Ello se confirma en el art. 6, donde además se afirma que la supresión se refiere a todo el año 2012, corroborando la naturaleza retroactiva de la supresión acordada por el art. 2 y excluyendo la interpretación de que la supresión tan solo </w:t>
      </w:r>
      <w:r>
        <w:lastRenderedPageBreak/>
        <w:t>alcanza a la parte de la paga extraordinaria devengada con posterioridad a la entrada en vigor del Real Decreto-ley 20/2012. La supresión alcanza también a la parte devengada durante el año 2012 por lo que procede plantear la cuestión de inconstitucionalidad de los arts. 2 Real Decreto-ley 20/2012 y 2.1 de la Ley autonómica 9/2012, por posible infracción del de la prohibición de retroactividad de las normas restrictivas de derechos individuales que garantiza el art. 9.3 CE y del principio de seguridad jurídica.</w:t>
      </w:r>
    </w:p>
    <w:p w:rsidR="00AC56D6" w:rsidRDefault="00AC56D6" w:rsidP="00AC56D6">
      <w:pPr>
        <w:pStyle w:val="TextoNormal"/>
      </w:pPr>
    </w:p>
    <w:p w:rsidR="00AC56D6" w:rsidRDefault="00AC56D6" w:rsidP="00AC56D6">
      <w:pPr>
        <w:pStyle w:val="TextoNormal"/>
      </w:pPr>
      <w:r w:rsidRPr="00AC56D6">
        <w:rPr>
          <w:rStyle w:val="NumeroAFNegritaCaracter"/>
        </w:rPr>
        <w:t>4</w:t>
      </w:r>
      <w:r>
        <w:t>. El Pleno de este Tribunal, a propuesta de la Sección Tercera, acordó admitir a trámite la cuestión mediante providencia de 17 de febrero de 2015; deferir a la Sala Segunda su conocimiento; dar traslado de las actuaciones recibidas al Congreso de los Diputados y al Senado, por conducto de sus Presidentes, al Gobierno, por conducto del Ministro de Justicia, y al Fiscal General del Estado, así como al Gobierno de la Comunidad Autónoma de la Región de Murcia y a la Asamblea Regional de Murcia, por conducto de sus Presidentes, al objeto de que, en el improrrogable plazo de quince días, pudieran personarse en el procedimiento y formular las alegaciones que estimasen convenientes; comunicar la resolución a la Sala de lo Social del Tribunal Superior de Justicia de Murcia, a fin de que, de conformidad con lo dispuesto en el art. 35 LOTC, permaneciese suspendido el proceso hasta que este Tribunal resolviese efectivamente la cuestión; y publicar la incoación de la cuestión en el “Boletín Oficial del Estado” y en el Boletín Oficial de la Región de Murcia.</w:t>
      </w:r>
    </w:p>
    <w:p w:rsidR="00AC56D6" w:rsidRDefault="00AC56D6" w:rsidP="00AC56D6">
      <w:pPr>
        <w:pStyle w:val="TextoNormal"/>
      </w:pPr>
    </w:p>
    <w:p w:rsidR="00AC56D6" w:rsidRDefault="00AC56D6" w:rsidP="00AC56D6">
      <w:pPr>
        <w:pStyle w:val="TextoNormal"/>
      </w:pPr>
      <w:r w:rsidRPr="00AC56D6">
        <w:rPr>
          <w:rStyle w:val="NumeroAFNegritaCaracter"/>
        </w:rPr>
        <w:t>5</w:t>
      </w:r>
      <w:r>
        <w:t>. Por escrito registrado el 27 de febrero de 2015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AC56D6" w:rsidRDefault="00AC56D6" w:rsidP="00AC56D6">
      <w:pPr>
        <w:pStyle w:val="TextoNormal"/>
      </w:pPr>
    </w:p>
    <w:p w:rsidR="00AC56D6" w:rsidRDefault="00AC56D6" w:rsidP="00AC56D6">
      <w:pPr>
        <w:pStyle w:val="TextoNormal"/>
      </w:pPr>
      <w:r>
        <w:t>Mediante escrito registrado el 4 de marzo de 2015, el Presidente del Senado comunicó a este Tribunal el acuerdo de la Mesa para que se diera por personada a la Cámara y por ofrecida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6</w:t>
      </w:r>
      <w:r>
        <w:t>. El Abogado del Estado, mediante escrito de alegaciones registrado el 9 de marzo de 2015, se personó interesando la desestimación de la cuestión de inconstitucionalidad por las razones que, resumidamente, se exponen a continuación.</w:t>
      </w:r>
    </w:p>
    <w:p w:rsidR="00AC56D6" w:rsidRDefault="00AC56D6" w:rsidP="00AC56D6">
      <w:pPr>
        <w:pStyle w:val="TextoNormal"/>
      </w:pPr>
    </w:p>
    <w:p w:rsidR="00AC56D6" w:rsidRDefault="00AC56D6" w:rsidP="00AC56D6">
      <w:pPr>
        <w:pStyle w:val="TextoNormal"/>
      </w:pPr>
      <w:r>
        <w:t>Comienza señalando que aunque el Auto de planteamiento cuestiona la totalidad del extenso art. 2 del Real Decreto-ley 20/2012, sin embargo se refiere en realidad solo al apartado 2.2 del art. 2, es decir, a la aplicación de la supresión de la paga extraordinaria de diciembre al personal laboral del sector público.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w:t>
      </w:r>
      <w:r>
        <w:lastRenderedPageBreak/>
        <w:t>guración, el establecimiento de una expresa excepción a la supresión de la paga extraordinaria de Navidad (la correspondiente a la parte proporcional de los días 1 al 15 de julio de 2012).</w:t>
      </w:r>
    </w:p>
    <w:p w:rsidR="00AC56D6" w:rsidRDefault="00AC56D6" w:rsidP="00AC56D6">
      <w:pPr>
        <w:pStyle w:val="TextoNormal"/>
      </w:pPr>
    </w:p>
    <w:p w:rsidR="00AC56D6" w:rsidRDefault="00AC56D6" w:rsidP="00AC56D6">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AC56D6" w:rsidRDefault="00AC56D6" w:rsidP="00AC56D6">
      <w:pPr>
        <w:pStyle w:val="TextoNormal"/>
      </w:pPr>
    </w:p>
    <w:p w:rsidR="00AC56D6" w:rsidRDefault="00AC56D6" w:rsidP="00AC56D6">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al 15 de julio, “estaba ya consolidado, asumido e integrado en el patrimonio de los trabajadores cuando entró en vigor” el Real Decreto-ley 20/2012, o si, por el contrario, se trataba de una expectativa de derecho o de un derecho futuro o condicionado.</w:t>
      </w:r>
    </w:p>
    <w:p w:rsidR="00AC56D6" w:rsidRDefault="00AC56D6" w:rsidP="00AC56D6">
      <w:pPr>
        <w:pStyle w:val="TextoNormal"/>
      </w:pPr>
    </w:p>
    <w:p w:rsidR="00AC56D6" w:rsidRDefault="00AC56D6" w:rsidP="00AC56D6">
      <w:pPr>
        <w:pStyle w:val="TextoNormal"/>
      </w:pPr>
      <w: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w:t>
      </w:r>
      <w:r>
        <w:lastRenderedPageBreak/>
        <w:t>una eficacia retroactiva, dado que el Real Decreto-ley 20/2012 incide sobre una paga extraordinaria que todavía no se ha percibido.</w:t>
      </w:r>
    </w:p>
    <w:p w:rsidR="00AC56D6" w:rsidRDefault="00AC56D6" w:rsidP="00AC56D6">
      <w:pPr>
        <w:pStyle w:val="TextoNormal"/>
      </w:pPr>
    </w:p>
    <w:p w:rsidR="00AC56D6" w:rsidRDefault="00AC56D6" w:rsidP="00AC56D6">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AC56D6" w:rsidRDefault="00AC56D6" w:rsidP="00AC56D6">
      <w:pPr>
        <w:pStyle w:val="TextoNormal"/>
      </w:pPr>
    </w:p>
    <w:p w:rsidR="00AC56D6" w:rsidRDefault="00AC56D6" w:rsidP="00AC56D6">
      <w:pPr>
        <w:pStyle w:val="TextoNormal"/>
      </w:pPr>
      <w:r>
        <w:t>Por todo ello, se interesa la desestimación de la cuestión.</w:t>
      </w:r>
    </w:p>
    <w:p w:rsidR="00AC56D6" w:rsidRDefault="00AC56D6" w:rsidP="00AC56D6">
      <w:pPr>
        <w:pStyle w:val="TextoNormal"/>
      </w:pPr>
    </w:p>
    <w:p w:rsidR="00AC56D6" w:rsidRDefault="00AC56D6" w:rsidP="00AC56D6">
      <w:pPr>
        <w:pStyle w:val="TextoNormal"/>
      </w:pPr>
      <w:r w:rsidRPr="00AC56D6">
        <w:rPr>
          <w:rStyle w:val="NumeroAFNegritaCaracter"/>
        </w:rPr>
        <w:t>7</w:t>
      </w:r>
      <w:r>
        <w:t>. Por escrito registrado el 13 de marzo de 2015, el Presidente de la Asamblea Regional de Murcia comunicó a este Tribunal la decisión de la Asamblea de personarse, sin formular alegaciones, ofreciendo la colaboración de la Cámara, de conformidad con lo previsto en el art. 88.1 LOTC.</w:t>
      </w:r>
    </w:p>
    <w:p w:rsidR="00AC56D6" w:rsidRDefault="00AC56D6" w:rsidP="00AC56D6">
      <w:pPr>
        <w:pStyle w:val="TextoNormal"/>
      </w:pPr>
    </w:p>
    <w:p w:rsidR="00AC56D6" w:rsidRDefault="00AC56D6" w:rsidP="00AC56D6">
      <w:pPr>
        <w:pStyle w:val="TextoNormal"/>
      </w:pPr>
      <w:r w:rsidRPr="00AC56D6">
        <w:rPr>
          <w:rStyle w:val="NumeroAFNegritaCaracter"/>
        </w:rPr>
        <w:t>8</w:t>
      </w:r>
      <w:r>
        <w:t>. La Letrada de la Comunidad Autónoma de Murcia presentó su escrito de alegaciones el 18 de marzo de 2015.</w:t>
      </w:r>
    </w:p>
    <w:p w:rsidR="00AC56D6" w:rsidRDefault="00AC56D6" w:rsidP="00AC56D6">
      <w:pPr>
        <w:pStyle w:val="TextoNormal"/>
      </w:pPr>
    </w:p>
    <w:p w:rsidR="00AC56D6" w:rsidRDefault="00AC56D6" w:rsidP="00AC56D6">
      <w:pPr>
        <w:pStyle w:val="TextoNormal"/>
      </w:pPr>
      <w:r>
        <w:t xml:space="preserve">Señala la Letrada que en la demanda de conflicto colectivo, origen de la presente cuestión de inconstitucionalidad, única y exclusivamente se plantea la cuestión de la irretroactividad o no del Real Decreto-ley 20/2012 y no de la Ley autonómica 9/2012. Por el contrario, la Sala de lo Social del Tribunal Superior de Justicia de Murcia, en el Auto de planteamiento de la cuestión de inconstitucionalidad, de manera incomprensible e inmotivada, extiende el planteamiento de la cuestión no sólo al art. 2 del Real Decreto-ley 20/2012, sino también al art. 2.1 de la Ley autonómica 9/2012. Afirma que no puede pretender la Sala de lo Social </w:t>
      </w:r>
      <w:r>
        <w:lastRenderedPageBreak/>
        <w:t>del Tribunal Superior de Justicia de Murcia, so pretexto de la posible inconstitucionalidad de la norma directamente aplicable al asunto que se pretende resolver, extender dicha cuestión a otra norma, en este caso autonómica, cuya aplicación no ha sido suscitada en el procedimiento. Por ello considera que el Auto no cumple la exigencia de razonar la relevancia que impone el art. 35.1 LOTC: “especificar y justificar en qué medida la decisión del proceso depende de la validez de la norma en cuestión”.</w:t>
      </w:r>
    </w:p>
    <w:p w:rsidR="00AC56D6" w:rsidRDefault="00AC56D6" w:rsidP="00AC56D6">
      <w:pPr>
        <w:pStyle w:val="TextoNormal"/>
      </w:pPr>
    </w:p>
    <w:p w:rsidR="00AC56D6" w:rsidRDefault="00AC56D6" w:rsidP="00AC56D6">
      <w:pPr>
        <w:pStyle w:val="TextoNormal"/>
      </w:pPr>
      <w:r>
        <w:t>Asimismo señala que en desarrollo de la disposición adicional décima segunda de la Ley 36/2014, de 26 de diciembre, de presupuestos generales del Estado para 2015, la disposición adicional vigesimoséptima de la Ley 13/2014, de 23 de diciembre, de presupuestos generales de la Comunidad Autónoma de la Región de Murcia para el ejercicio 2015, ha previsto el abono de las cantidades equivalentes a la parte proporcional correspondiente a 44 días de la paga extraordinaria de diciembre de 2012 en el sector público regional. De ahí deduce que la cuestión de inconstitucionalidad ha quedado sin objeto al haber sido derogados, tácitamente, tanto el art. 2 del Real Decreto-ley 20/2012, como el art. 2.1 de la Ley autonómica 9/2012, al haberse procedido por parte de la Administración autonómica a la devolución, en el mes de marzo de 2015, de las retribuciones correspondientes a 44 días dejados de percibir de la paga extraordinaria de diciembre de 2012.</w:t>
      </w:r>
    </w:p>
    <w:p w:rsidR="00AC56D6" w:rsidRDefault="00AC56D6" w:rsidP="00AC56D6">
      <w:pPr>
        <w:pStyle w:val="TextoNormal"/>
      </w:pPr>
    </w:p>
    <w:p w:rsidR="00AC56D6" w:rsidRDefault="00AC56D6" w:rsidP="00AC56D6">
      <w:pPr>
        <w:pStyle w:val="TextoNormal"/>
      </w:pPr>
      <w:r>
        <w:t>No obstante, la Letrada pasa a analizar el contenido del art. 9.3 CE y llega a la conclusión de que el Real Decreto-ley 20/2012, no establece una norma restrictiva de derechos individuales, pues esa expresión se refiere, exclusivamente, a aquellas que afecten a los derechos fundamentales y las libertades públicas recogidas en la sección primera del capítulo II del título I de la Constitución.</w:t>
      </w:r>
    </w:p>
    <w:p w:rsidR="00AC56D6" w:rsidRDefault="00AC56D6" w:rsidP="00AC56D6">
      <w:pPr>
        <w:pStyle w:val="TextoNormal"/>
      </w:pPr>
    </w:p>
    <w:p w:rsidR="00AC56D6" w:rsidRDefault="00AC56D6" w:rsidP="00AC56D6">
      <w:pPr>
        <w:pStyle w:val="TextoNormal"/>
      </w:pPr>
      <w:r>
        <w:t>A continuación recuerda que no existe infracción del art. 9.3 CE cuando la retroactividad de la norma es la de grado mínimo, entendida cuando la norma se aplica a situaciones nacidas con anterioridad a su vigencia pero respecto a efectos jurídicos que surgen después de haber entrado en vigor la norma. Y, a su juicio, cuando entró en vigor el Real Decreto-ley 20/2012, los trabajadores de la Comunidad Autónoma de la Región de Murcia aún no habían incorporado a su patrimonio el derecho al percibo de la paga extraordinaria de diciembre de 2012, es decir, no habían perfeccionado su derecho al cobro de tal complemento. De esta manera, entiende que hasta el 1 de diciembre de 2012 los trabajadores sólo contaban con una expectativa de derecho. En consecuencia, considera que el Real Decreto-ley 20/2012 no tuvo efectos retroactivos, si tenemos en cuenta que cuando entró en vigor el mismo, los trabajadores de la Comunidad Autónoma de la Región de Murcia no había aún incorporado a su patrimonio de forma efectiva, el derecho al cobro de la paga extraordinaria, dado que su devengo estaba previsto para el 1 de diciembre de 2012.</w:t>
      </w:r>
    </w:p>
    <w:p w:rsidR="00AC56D6" w:rsidRDefault="00AC56D6" w:rsidP="00AC56D6">
      <w:pPr>
        <w:pStyle w:val="TextoNormal"/>
      </w:pPr>
    </w:p>
    <w:p w:rsidR="00AC56D6" w:rsidRDefault="00AC56D6" w:rsidP="00AC56D6">
      <w:pPr>
        <w:pStyle w:val="TextoNormal"/>
      </w:pPr>
      <w:r w:rsidRPr="00AC56D6">
        <w:rPr>
          <w:rStyle w:val="NumeroAFNegritaCaracter"/>
        </w:rPr>
        <w:t>9</w:t>
      </w:r>
      <w:r>
        <w:t>. El Fiscal General del Estado presentó escrito de alegaciones ante este Tribunal el 18 de marzo de 2015 interesando la estimación de la presente cuestión de inconstitucionalidad.</w:t>
      </w:r>
    </w:p>
    <w:p w:rsidR="00AC56D6" w:rsidRDefault="00AC56D6" w:rsidP="00AC56D6">
      <w:pPr>
        <w:pStyle w:val="TextoNormal"/>
      </w:pPr>
    </w:p>
    <w:p w:rsidR="00AC56D6" w:rsidRDefault="00AC56D6" w:rsidP="00AC56D6">
      <w:pPr>
        <w:pStyle w:val="TextoNormal"/>
      </w:pPr>
      <w: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w:t>
      </w:r>
      <w:r>
        <w:lastRenderedPageBreak/>
        <w:t>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AC56D6" w:rsidRDefault="00AC56D6" w:rsidP="00AC56D6">
      <w:pPr>
        <w:pStyle w:val="TextoNormal"/>
      </w:pPr>
    </w:p>
    <w:p w:rsidR="00AC56D6" w:rsidRDefault="00AC56D6" w:rsidP="00AC56D6">
      <w:pPr>
        <w:pStyle w:val="TextoNormal"/>
      </w:pPr>
      <w: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w:t>
      </w:r>
      <w:r w:rsidRPr="00AC56D6">
        <w:rPr>
          <w:i/>
        </w:rPr>
        <w:t>N.K.M. v.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t xml:space="preserve">El Fiscal General del Estado concluye sus alegaciones precisando que en el Auto de planteamiento no se cuestiona todo el art. 2 del Real Decreto-ley sino sólo su apartado 2.2, </w:t>
      </w:r>
      <w:r>
        <w:lastRenderedPageBreak/>
        <w:t>ya que es el que resulta aplicable para resolver el pleito sometido al conocimiento de la Sala de lo Social del Tribunal Superior de Justicia de Murcia (referido en exclusiva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14 de julio de 2012.</w:t>
      </w:r>
    </w:p>
    <w:p w:rsidR="00AC56D6" w:rsidRDefault="00AC56D6" w:rsidP="00AC56D6">
      <w:pPr>
        <w:pStyle w:val="TextoNormal"/>
      </w:pPr>
    </w:p>
    <w:p w:rsidR="00AC56D6" w:rsidRDefault="00AC56D6" w:rsidP="00AC56D6">
      <w:pPr>
        <w:pStyle w:val="TextoNormal"/>
      </w:pPr>
      <w:r w:rsidRPr="00AC56D6">
        <w:rPr>
          <w:rStyle w:val="NumeroAFNegritaCaracter"/>
        </w:rPr>
        <w:t>10</w:t>
      </w:r>
      <w:r>
        <w:t>. Por providencia de 29 de septiembre de 2015 la Sala Segunda acordó, de conformidad con lo dispuesto en el art. 88.1 LOTC, dirigir atenta comunicación a las empresas Onda Regional de Murcia y empresa pública regional de Radiotelevisión Región de Murcia, S.A., a fin de que indiquen a este Tribunal si, en atención a los previsto en la disposición adicional duodécima de la Ley 36/2014, de presupuestos generales del Estado para el año 2015, o por cualquier otra circunstancia, han satisfecho al personal laboral de esas empresas,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AC56D6" w:rsidRDefault="00AC56D6" w:rsidP="00AC56D6">
      <w:pPr>
        <w:pStyle w:val="TextoNormal"/>
      </w:pPr>
    </w:p>
    <w:p w:rsidR="00AC56D6" w:rsidRDefault="00AC56D6" w:rsidP="00AC56D6">
      <w:pPr>
        <w:pStyle w:val="TextoNormal"/>
      </w:pPr>
      <w:r w:rsidRPr="00AC56D6">
        <w:rPr>
          <w:rStyle w:val="NumeroAFNegritaCaracter"/>
        </w:rPr>
        <w:t>11</w:t>
      </w:r>
      <w:r>
        <w:t>. En contestación a dicho requerimiento, por escrito registrado en este Tribunal el 15 de octubre de 2015, el Director General de Radiotelevisión de la Región de Murcia ha informado que, en cumplimiento de lo dispuesto en la disposición adicional vigesimoséptima de la Ley 13/2014, de 23 de diciembre, de presupuestos generales de la Comunidad Autónoma de la Región de Murcia para el ejercicio 2015 y en el acuerdo del Consejo de Gobierno de la Comunidad Autónoma de la Región de Murcia de 6 de febrero de 2015, la empresa pública regional Radiotelevisión de la Región de Murcia abonó a todo el personal laboral de la misma en el mes de marzo de 2015 el importe correspondiente a 44 días de la paga extraordinaria de diciembre de 2012.</w:t>
      </w:r>
    </w:p>
    <w:p w:rsidR="00AC56D6" w:rsidRDefault="00AC56D6" w:rsidP="00AC56D6">
      <w:pPr>
        <w:pStyle w:val="TextoNormal"/>
      </w:pPr>
    </w:p>
    <w:p w:rsidR="00AC56D6" w:rsidRDefault="00AC56D6" w:rsidP="00AC56D6">
      <w:pPr>
        <w:pStyle w:val="TextoNormal"/>
      </w:pPr>
      <w:r w:rsidRPr="00AC56D6">
        <w:rPr>
          <w:rStyle w:val="NumeroAFNegritaCaracter"/>
        </w:rPr>
        <w:t>12</w:t>
      </w:r>
      <w:r>
        <w:t>. Por providencia de 29 de octubre de 2015 se señaló para deliberación y votación de la presente Sentencia el día 2 de noviembre del mismo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La Sala de lo Social del Tribunal Superior de Justicia de Murcia plantea cuestión de inconstitucionalidad respecto del art. 2 del Real Decreto-ley 20/2012, de 13 de julio, de medidas para garantizar la estabilidad presupuestaria y de fomento de la competitividad, y el art. 2.1 Ley 9/2012, de 8 de noviembre, de la Comunidad Autónoma de la Región de Murcia, de adaptación de la normativa regional en materia de función pública al Real Decreto-ley 20/2012, de 13 de julio, por posible lesión del art. 9.3 CE. El art. 2 del Real Decreto-ley 20/2012, en lo que aquí importa, dispone para el personal del sector público definido en el art. 22.1de la Ley 2/2012, de 29 de junio, de presupuestos generales del Estado para 2012, la supresión de la paga extraordinaria (o equivalente) del mes de diciembre de 2012, y el art. 2.1 Ley de la Comunidad de Murcia 9/2012, establece la misma medida para el personal al servicio del sector público regional definido en el artículo 22.1 de la Ley </w:t>
      </w:r>
      <w:r>
        <w:lastRenderedPageBreak/>
        <w:t>6/2011, de 26 de diciembre, de presupuestos generales de la Comunidad Autónoma de la Región de Murcia para el ejercicio 2012.</w:t>
      </w:r>
    </w:p>
    <w:p w:rsidR="00AC56D6" w:rsidRDefault="00AC56D6" w:rsidP="00AC56D6">
      <w:pPr>
        <w:pStyle w:val="TextoNormal"/>
      </w:pPr>
    </w:p>
    <w:p w:rsidR="00AC56D6" w:rsidRDefault="00AC56D6" w:rsidP="00AC56D6">
      <w:pPr>
        <w:pStyle w:val="TextoNormal"/>
      </w:pPr>
      <w:r>
        <w:t>En síntesis, la Sala entiende que los arts. 2 del Real Decreto-ley 20/2012 y 2.1 de la Ley autonómica 9/2012, en su aplicación al personal laboral del sector público, pueden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w:t>
      </w:r>
    </w:p>
    <w:p w:rsidR="00AC56D6" w:rsidRDefault="00AC56D6" w:rsidP="00AC56D6">
      <w:pPr>
        <w:pStyle w:val="TextoNormal"/>
      </w:pPr>
    </w:p>
    <w:p w:rsidR="00AC56D6" w:rsidRDefault="00AC56D6" w:rsidP="00AC56D6">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y la Letrada de la Comunidad Autónoma de Murcia solicitan su desestimación.</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al análisis de la cuestión planteada conviene realizar una serie de precisiones para acotar debidamente el objeto de la misma y el alcance de nuestro enjuiciamiento.</w:t>
      </w:r>
    </w:p>
    <w:p w:rsidR="00AC56D6" w:rsidRDefault="00AC56D6" w:rsidP="00AC56D6">
      <w:pPr>
        <w:pStyle w:val="TextoNormal"/>
      </w:pPr>
    </w:p>
    <w:p w:rsidR="00AC56D6" w:rsidRDefault="00AC56D6" w:rsidP="00AC56D6">
      <w:pPr>
        <w:pStyle w:val="TextoNormal"/>
      </w:pPr>
      <w:r>
        <w:t>a) Así, en primer lugar, resulta obligado advertir, en consonancia con lo manifestado en sus alegaciones respectivas por el Fiscal General del Estado y el Abogado del Estado, que si bien la Sala de lo Social del Tribunal Superior de Justicia de Murcia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al personal laboral del sector público”. Ello se conecta lógicamente con el juicio de relevancia, correctamente expresado por el órgano judicial, pues la cuestión de inconstitucionalidad trae causa de un proceso de conflicto colectivo promovido por la sección sindical de Comisiones Obreras en Onda Regional de Murcia, con motivo de la supresión, por aplicación de las previsiones contenidas en el Real Decreto-ley 20/2012, de la paga o gratificación extraordinaria de diciembre de 2012; proceso en el que lo pretendido por la sección sindical demandante con carácter subsidiario a la pretensión principal (referida a que no se apliquen en esa entidad pública las medidas de supresión o reducción de retribuciones previstas por el Real Decreto-ley 20/2012) es justamente que se declare el derecho de los trabajadores de esa entidad a percibir la parte proporcional de la paga extra de diciembre de 2012 o equivalente que consideran ya devengada al momento de la entrada en vigor del Real Decreto-ley 20/2012 (en concreto, 15 días), porque, de acuerdo con el art. 9.3 CE, no cabe que la supresión de esa paga extra tenga efectos retroactivos.</w:t>
      </w:r>
    </w:p>
    <w:p w:rsidR="00AC56D6" w:rsidRDefault="00AC56D6" w:rsidP="00AC56D6">
      <w:pPr>
        <w:pStyle w:val="TextoNormal"/>
      </w:pPr>
    </w:p>
    <w:p w:rsidR="00AC56D6" w:rsidRDefault="00AC56D6" w:rsidP="00AC56D6">
      <w:pPr>
        <w:pStyle w:val="TextoNormal"/>
      </w:pPr>
      <w:r>
        <w:t>De este modo, en los términos que ha sido planteada, la presente cuestión de inconstitucionalidad debe entenderse referida al apartado 1 del art. 2 del Real Decreto-ley 20/2012, que establece la reducción de retribuciones en 2012 para todo el personal del sector público definido en el art. 22.Uno de la Ley 2/2012, de presupuestos generales del Estado para 2012, como consecuencia de la supresión de la paga o gratificación extraordinaria de diciembre de 2012, y al apartado 2.2 del art. 2 del Real Decreto-ley 20/2012, que se refiere específicamente a la supresión de la paga o gratificación extraordinaria de diciembre de 2012 o equivalente al personal laboral del sector público.</w:t>
      </w:r>
    </w:p>
    <w:p w:rsidR="00AC56D6" w:rsidRDefault="00AC56D6" w:rsidP="00AC56D6">
      <w:pPr>
        <w:pStyle w:val="TextoNormal"/>
      </w:pPr>
    </w:p>
    <w:p w:rsidR="00AC56D6" w:rsidRDefault="00AC56D6" w:rsidP="00AC56D6">
      <w:pPr>
        <w:pStyle w:val="TextoNormal"/>
      </w:pPr>
      <w:r>
        <w:t xml:space="preserve">b) Por otra parte debe tenerse en cuenta que no se cuestiona por la Sala de lo Social del Tribunal Superior de Justicia de Murcia la medida de supresión de la paga extraordinaria de diciembre de 2012 en sí misma considerada (que es la pretensión principal que se deduce por la sección sindical demandante en el proceso </w:t>
      </w:r>
      <w:r w:rsidRPr="00AC56D6">
        <w:rPr>
          <w:i/>
        </w:rPr>
        <w:t>a quo</w:t>
      </w:r>
      <w:r>
        <w:t xml:space="preserve">, como se ha dicho), sino sólo en cuanto su aplicación haya podido suponer la infracción del principio de irretroactividad establecido en el 9.3 CE, al no contemplar excepción alguna respecto de las cuantías que se entienden ya devengadas de dicha paga extra a la fecha de entrada en vigor del Real Decreto-ley 20/2012. A esta concreta duda de constitucionalidad (planteada a partir de la pretensión subsidiaria en el proceso </w:t>
      </w:r>
      <w:r w:rsidRPr="00AC56D6">
        <w:rPr>
          <w:i/>
        </w:rPr>
        <w:t>a quo</w:t>
      </w:r>
      <w:r>
        <w:t>) deberá, pues, ceñirse nuestro enjuiciamiento.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La disposición adicional duodécima de la Ley 36/2014, de 26 de diciembre, de presupuestos generales del Estado para 2015, bajo el epígrafe “Recuperación de la paga extraordinaria y adicional del mes de diciembre de 2012”, establece, en su apartado Uno,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00AC56D6" w:rsidRDefault="00AC56D6" w:rsidP="00AC56D6">
      <w:pPr>
        <w:pStyle w:val="TextoNormal"/>
      </w:pPr>
    </w:p>
    <w:p w:rsidR="00AC56D6" w:rsidRDefault="00AC56D6" w:rsidP="00AC56D6">
      <w:pPr>
        <w:pStyle w:val="TextoNormal"/>
      </w:pPr>
      <w:r>
        <w:t>Como consta en los antecedentes de esta resolución, de conformidad con lo dispuesto en el art. 88.1 LOTC, la Sala Segunda de este Tribunal dirigió comunicación a las empresas Onda Regional de Murcia y empresa pública Regional de Radiotelevisión Región de Murcia, a fin de que informaran a este Tribunal si, en atención a los previsto en la disposición adicional duodécima de la Ley 36/2014, de presupuestos generales del Estado para el año 2015, o por cualquier otra circunstancia, han satisfecho a sus trabajadores,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 En contestación a dicho requerimiento el Director General de Radiotelevisión de la Región de Murcia (Onda Regional de Murcia ha quedado extinguida en enero de 2013 y Radiotelevisión de la Región de Murcia se ha subrogado en las obligaciones y derechos de dicha sociedad) ha informado que en cumplimiento de lo dispuesto en la disposición adicional vigesimoséptima de la Ley 13/2014, de 23 de diciembre, de presupuestos generales de la Comunidad Autónoma de la Región de Murcia para el ejercicio 2015 y en el acuerdo del Consejo de Gobierno de la Comunidad Autónoma de la Región de Murcia de 6 de febrero de 2015, se ha abonado a todo el personal laboral, en el mes de marzo de 2015, el importe correspondiente a 44 días de la paga extraordinaria de diciembre de 2012.</w:t>
      </w:r>
    </w:p>
    <w:p w:rsidR="00AC56D6" w:rsidRDefault="00AC56D6" w:rsidP="00AC56D6">
      <w:pPr>
        <w:pStyle w:val="TextoNormal"/>
      </w:pPr>
    </w:p>
    <w:p w:rsidR="00AC56D6" w:rsidRDefault="00AC56D6" w:rsidP="00AC56D6">
      <w:pPr>
        <w:pStyle w:val="TextoNormal"/>
      </w:pPr>
      <w:r>
        <w:t>Como consecuencia del abono de la parte proporcional de la paga extraordinaria de diciembre de 2012, debemos remitirnos a lo dicho recientemente en nuestra STC 83/2015, de 30 de abril, sobre la posible pérdida de objeto de la cuestión de inconstitucionalidad.</w:t>
      </w:r>
    </w:p>
    <w:p w:rsidR="00AC56D6" w:rsidRDefault="00AC56D6" w:rsidP="00AC56D6">
      <w:pPr>
        <w:pStyle w:val="TextoNormal"/>
      </w:pPr>
    </w:p>
    <w:p w:rsidR="00AC56D6" w:rsidRDefault="00AC56D6" w:rsidP="00AC56D6">
      <w:pPr>
        <w:pStyle w:val="TextoNormal"/>
      </w:pPr>
      <w:r>
        <w:t xml:space="preserve">En el fundamento jurídico 3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 y lo mismo sucede en el </w:t>
      </w:r>
      <w:r>
        <w:lastRenderedPageBreak/>
        <w:t xml:space="preserve">presente—, ni se había producido la extinción del procedimiento laboral </w:t>
      </w:r>
      <w:r w:rsidRPr="00AC56D6">
        <w:rPr>
          <w:i/>
        </w:rPr>
        <w:t>a quo</w:t>
      </w:r>
      <w:r>
        <w:t xml:space="preserve">, ni tampoco nos encontrábamos ante un supuesto de pérdida de vigencia del precepto legal cuestionado, ello no obstante, era innegable la incidencia que tenía la medida contenida en la disposición adicional duodécima de la Ley 36/2014, de presupuestos generales del Estado para 2015 sobre la pretensión deducida en el pleito </w:t>
      </w:r>
      <w:r w:rsidRPr="00AC56D6">
        <w:rPr>
          <w:i/>
        </w:rPr>
        <w:t>a quo</w:t>
      </w:r>
      <w:r>
        <w:t>, “que afecta de modo determinante a la subsistencia del presente proceso constitucional, dada la estrecha vinculación existente entre toda cuestión de inconstitucionalidad y el procedimiento judicial de que dimana.”</w:t>
      </w:r>
    </w:p>
    <w:p w:rsidR="00AC56D6" w:rsidRDefault="00AC56D6" w:rsidP="00AC56D6">
      <w:pPr>
        <w:pStyle w:val="TextoNormal"/>
      </w:pPr>
    </w:p>
    <w:p w:rsidR="00AC56D6" w:rsidRDefault="00AC56D6" w:rsidP="00AC56D6">
      <w:pPr>
        <w:pStyle w:val="TextoNormal"/>
      </w:pPr>
      <w:r>
        <w:t xml:space="preserve">En el conflicto colectivo del que trae causa esta cuestión de inconstitucionalidad se discute el derecho del personal laboral de las empresas Onda Regional de Murcia y empresa pública regional de Radiotelevisión Región de Murcia, S.A., a percibir la parte que se entiende devengada de la paga extra de diciembre de 2012 (en concreto, según plantean 15 días) al momento de la entrada en vigor del Real Decreto-ley 20/2012, que suprimió el derecho a su percepción. Ello por estimar la sección sindical demandante en el proceso </w:t>
      </w:r>
      <w:r w:rsidRPr="00AC56D6">
        <w:rPr>
          <w:i/>
        </w:rPr>
        <w:t>a quo</w:t>
      </w:r>
      <w:r>
        <w:t xml:space="preserve"> que la supresión de esa paga extra por la citada norma no puede tener efectos retroactivos por imperativo de lo dispuesto en el art. 9.3 CE. Al suscitarse sobre este extremo la duda de constitucionalidad que plantea el órgano judicial, es obligado constatar la recuperación por esos trabajadores de la parte proporcional correspondiente a los primeros 44 días de la paga extraordinaria correspondiente al mes de diciembre de 2012, en virtud de lo establecido en la citada disposición adicional duodécima de la Ley 36/2014, de presupuestos generales del Estado para 2015 y en la disposición adicional vigesimoséptima de la Ley 13/2014, de 23 de diciembre, de presupuestos generales de la Comunidad Autónoma de la Región de Murcia para el ejercicio 2015. Esa recuperación se hizo efectiva en la nómina del mes de marzo de 2015, como se pone de manifiesto por dicha empresa pública en su contestación al requerimiento formulado al efecto por este Tribunal. Todo ello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(STC 83/2015, FJ 3).</w:t>
      </w:r>
    </w:p>
    <w:p w:rsidR="00AC56D6" w:rsidRDefault="00AC56D6" w:rsidP="00AC56D6">
      <w:pPr>
        <w:pStyle w:val="TextoNormal"/>
      </w:pPr>
    </w:p>
    <w:p w:rsidR="00AC56D6" w:rsidRDefault="00AC56D6" w:rsidP="00AC56D6">
      <w:pPr>
        <w:pStyle w:val="TextoNormal"/>
      </w:pPr>
      <w:r>
        <w:t>En conclusión, la regulación contenida en la citada disposición adicional duodécima de la Ley 36/2014, de presupuestos generales del Estado para 2015, y en la disposición adicional vigesimoséptima de la Ley 13/2014, de 23 de diciembre, de presupuestos generales de la Comunidad Autónoma de la Región de Murcia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83/2015, FJ 3; y en el mismo sentido AATC 340/2003, de 21 de octubre, FJ único; y 75/2004, de 9 de marzo, FJ único)” (STC 83/2015, FJ 3).</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lastRenderedPageBreak/>
        <w:t>Ha decidido</w:t>
      </w:r>
    </w:p>
    <w:p w:rsidR="00AC56D6" w:rsidRDefault="00AC56D6" w:rsidP="00AC56D6">
      <w:pPr>
        <w:pStyle w:val="TextoNormalCentrado"/>
        <w:keepNext/>
      </w:pPr>
    </w:p>
    <w:p w:rsidR="00AC56D6" w:rsidRDefault="00AC56D6" w:rsidP="00AC56D6">
      <w:pPr>
        <w:pStyle w:val="TextoNormal"/>
      </w:pPr>
      <w:r>
        <w:t>Declarar la extinción de la presente cuestión de inconstitucionalidad por desaparición sobrevenida de su objeto.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dos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85" w:name="SENTENCIA_2015_229"/>
      <w:r>
        <w:lastRenderedPageBreak/>
        <w:t>SENTENCIA 229/2015, de 2 de noviembre de 2015</w:t>
      </w:r>
    </w:p>
    <w:bookmarkEnd w:id="85"/>
    <w:p w:rsidR="00AC56D6" w:rsidRDefault="00AC56D6" w:rsidP="00AC56D6">
      <w:pPr>
        <w:pStyle w:val="TtuloResolucin"/>
      </w:pPr>
      <w:r>
        <w:t>Sala Segunda</w:t>
      </w:r>
    </w:p>
    <w:p w:rsidR="00AC56D6" w:rsidRDefault="00AC56D6" w:rsidP="00AC56D6">
      <w:pPr>
        <w:pStyle w:val="TtuloBOE"/>
      </w:pPr>
      <w:r>
        <w:t>(BOE núm. 296, de 11 de diciembre de 2015)</w:t>
      </w:r>
    </w:p>
    <w:p w:rsidR="00AC56D6" w:rsidRDefault="00AC56D6" w:rsidP="00AC56D6">
      <w:pPr>
        <w:pStyle w:val="TextoNormalCentrado"/>
      </w:pPr>
      <w:r>
        <w:t>ECLI:ES:TC:2015:229</w:t>
      </w:r>
    </w:p>
    <w:p w:rsidR="00AC56D6" w:rsidRDefault="00AC56D6" w:rsidP="00AC56D6">
      <w:pPr>
        <w:pStyle w:val="TextoNormalCentrado"/>
      </w:pPr>
    </w:p>
    <w:p w:rsidR="00AC56D6" w:rsidRDefault="00AC56D6" w:rsidP="00AC56D6">
      <w:pPr>
        <w:pStyle w:val="SntesisDescriptiva"/>
      </w:pPr>
      <w:r>
        <w:t>Cuestión de inconstitucionalidad 3215-2015. Planteada por la Sala de lo Contencioso-Administrativo del Tribunal Superior de Justicia de Castilla y León, con sede en Burgos, en relación con el segundo inciso del artículo 16.2 de la Ley 8/1997, de 8 de julio, de colegios profesionales de Castilla y León.</w:t>
      </w:r>
    </w:p>
    <w:p w:rsidR="00AC56D6" w:rsidRDefault="00AC56D6" w:rsidP="00AC56D6">
      <w:pPr>
        <w:pStyle w:val="SntesisDescriptiva"/>
      </w:pPr>
    </w:p>
    <w:p w:rsidR="00AC56D6" w:rsidRDefault="00AC56D6" w:rsidP="00AC56D6">
      <w:pPr>
        <w:pStyle w:val="SntesisAnaltica"/>
      </w:pPr>
      <w:r>
        <w:t>Competencias sobre colegios profesionales: nulidad del precepto legal autonómico relativo a las obligaciones de colegiación de los empleados públicos (STC 3/2013).</w:t>
      </w:r>
    </w:p>
    <w:p w:rsidR="00AC56D6" w:rsidRDefault="00AC56D6" w:rsidP="00AC56D6">
      <w:pPr>
        <w:pStyle w:val="SntesisAnaltica"/>
      </w:pPr>
    </w:p>
    <w:p w:rsidR="00AC56D6" w:rsidRDefault="00AC56D6" w:rsidP="00AC56D6">
      <w:pPr>
        <w:pStyle w:val="Extracto"/>
      </w:pPr>
      <w:r>
        <w:t>1.</w:t>
      </w:r>
      <w:r>
        <w:tab/>
        <w:t>Se declara la inconstitucionalidad y nulidad del inciso impugnado pues, al eximir de la colegiación obligatoria a los empleados públicos cuando ejercen la profesión por cuenta de la Administración autonómica, establece una excepción no contemplada en la Ley estatal de colegios profesionales y, por tanto, vulnera las competencias estatales en la materia [FJ 7].</w:t>
      </w:r>
    </w:p>
    <w:p w:rsidR="00AC56D6" w:rsidRDefault="00AC56D6" w:rsidP="00AC56D6">
      <w:pPr>
        <w:pStyle w:val="Extracto"/>
      </w:pPr>
    </w:p>
    <w:p w:rsidR="00AC56D6" w:rsidRDefault="00AC56D6" w:rsidP="00AC56D6">
      <w:pPr>
        <w:pStyle w:val="Extracto"/>
      </w:pPr>
      <w:r>
        <w:t>2.</w:t>
      </w:r>
      <w:r>
        <w:tab/>
        <w:t>Siendo competente el Estado para establecer la colegiación obligatoria, lo es también para establecer las excepciones que afectan a los empleados públicos a la vista de los concretos intereses generales que puedan verse afectados (SSTC 3/2013, 150/2014) [FJ 7].</w:t>
      </w:r>
    </w:p>
    <w:p w:rsidR="00AC56D6" w:rsidRDefault="00AC56D6" w:rsidP="00AC56D6">
      <w:pPr>
        <w:pStyle w:val="Extracto"/>
      </w:pPr>
    </w:p>
    <w:p w:rsidR="00AC56D6" w:rsidRDefault="00AC56D6" w:rsidP="00AC56D6">
      <w:pPr>
        <w:pStyle w:val="Extracto"/>
      </w:pPr>
      <w:r>
        <w:t>3.</w:t>
      </w:r>
      <w:r>
        <w:tab/>
        <w:t>La competencia del Estado para regular los colegios profesionales incluye la fijación de los principios y reglas básicas de este tipo de entidades corporativas, entre las que se incluyen las reglas básicas a que los colegios profesionales han de ajustar su organización y competencias, aunque con menor extensión e intensidad que cuando se refiere a las Administraciones públicas en sentido estricto (SSTC 31/2010, 3/2013) [FJ 5].</w:t>
      </w:r>
    </w:p>
    <w:p w:rsidR="00AC56D6" w:rsidRDefault="00AC56D6" w:rsidP="00AC56D6">
      <w:pPr>
        <w:pStyle w:val="Extracto"/>
      </w:pPr>
    </w:p>
    <w:p w:rsidR="00AC56D6" w:rsidRDefault="00AC56D6" w:rsidP="00AC56D6">
      <w:pPr>
        <w:pStyle w:val="Extracto"/>
      </w:pPr>
      <w:r>
        <w:t>4.</w:t>
      </w:r>
      <w:r>
        <w:tab/>
        <w:t>La doctrina constitucional sobre el carácter básico de la determinación del régimen de colegiación no vacía las competencias estatutariamente asumidas por la Comunidad Autónoma en materia de función pública, que pueden desplegarse respetando plenamente aquella base estatal [FJ 7].</w:t>
      </w:r>
    </w:p>
    <w:p w:rsidR="00AC56D6" w:rsidRDefault="00AC56D6" w:rsidP="00AC56D6">
      <w:pPr>
        <w:pStyle w:val="Extracto"/>
      </w:pPr>
    </w:p>
    <w:p w:rsidR="00AC56D6" w:rsidRDefault="00AC56D6" w:rsidP="00AC56D6">
      <w:pPr>
        <w:pStyle w:val="Extracto"/>
      </w:pPr>
      <w:r>
        <w:t>5.</w:t>
      </w:r>
      <w:r>
        <w:tab/>
        <w:t>La exigencia de colegiación obligatoria para el ejercicio de determinadas profesiones, además de una base del régimen jurídico de las Administración públicas, constituye también una condición básica que garantiza la igualdad en el ejercicio de los derechos y deberes constitucionales, por afectar al contenido primario del derecho al trabajo [FJ 6].</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lastRenderedPageBreak/>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3215-2015, promovida por la Sala de lo Contencioso-Administrativo del Tribunal Superior de Justicia de Castilla y León, con sede en Burgos, en relación con el segundo inciso del art. 16.2 de la Ley 8/1997, de 8 de julio, de colegios profesionales de Castilla y León. Han intervenido y formulado alegaciones el Abogado del Estado, la Junta de Castilla y León, así como el Fiscal General del Estado. Ha sido Ponente la Magistrada doña Adela Asua Batarrita,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3 de junio de 2015 tuvo entrada en el Registro General de este Tribunal oficio de la Sala de lo Contencioso-Administrativo del Tribunal Superior de Justicia de Castilla y León, con sede en Burgos, al que se acompaña, junto con el testimonio del recurso de apelación núm. 9/2015 que se tramita ante dicho órgano judicial, el Auto de 25 de mayo de 2015, por el que se acuerda plantear cuestión de inconstitucionalidad respecto del segundo inciso del art. 16.2 de la Ley 8/1997, de 8 de julio, de colegios profesionales de Castilla y León, por posible vulneración de los arts. 36, 149.1.1 y 149.1.18 CE.</w:t>
      </w:r>
    </w:p>
    <w:p w:rsidR="00AC56D6" w:rsidRDefault="00AC56D6" w:rsidP="00AC56D6">
      <w:pPr>
        <w:pStyle w:val="TextoNormal"/>
      </w:pPr>
    </w:p>
    <w:p w:rsidR="00AC56D6" w:rsidRDefault="00AC56D6" w:rsidP="00AC56D6">
      <w:pPr>
        <w:pStyle w:val="TextoNormal"/>
      </w:pPr>
      <w:r w:rsidRPr="00AC56D6">
        <w:rPr>
          <w:rStyle w:val="NumeroAFNegritaCaracter"/>
        </w:rPr>
        <w:t>2</w:t>
      </w:r>
      <w:r>
        <w:t>. La cuestión de inconstitucionalidad trae causa de un proceso contencioso-administrativo en el que se impugna la Orden del Consejero de Sanidad de la Junta de Castilla y León de 18 de agosto de 2014, por la que se desestimó el recurso de alzada interpuesto por el Colegio Oficial de Veterinarios de Segovia contra la lista única provincial del Cuerpo facultativo superior, escala sanitaria (Veterinarios), con carácter interino, aprobada por la comisión de evaluación del Servicio Territorial de Sanidad y Bienestar Social de Segovia. La resolución administrativa desestimó el recurso de alzada y confirmó la lista por entender que la obligación de colegiación, como requisito indispensable para la inclusión en la lista de interinos y establecido en el art. 5.3 c) de la Orden de 7 de julio de 1988, es una exigencia que debe entenderse derogada en virtud del art. 16.2 de la Ley 8/1997 de colegios profesionales de Castilla y León.</w:t>
      </w:r>
    </w:p>
    <w:p w:rsidR="00AC56D6" w:rsidRDefault="00AC56D6" w:rsidP="00AC56D6">
      <w:pPr>
        <w:pStyle w:val="TextoNormal"/>
      </w:pPr>
    </w:p>
    <w:p w:rsidR="00AC56D6" w:rsidRDefault="00AC56D6" w:rsidP="00AC56D6">
      <w:pPr>
        <w:pStyle w:val="TextoNormal"/>
      </w:pPr>
      <w:r>
        <w:t>En el recurso contencioso-administrativo interpuesto contra la citada Orden la entidad recurrente alegó la inconstitucionalidad de la norma autonómica que exime de la colegiación obligatoria a los profesionales que prestan servicios para la Administración pública. Por Sentencia de 18 de diciembre de 2014 el Juzgado de lo Contencioso-Administrativo núm. 1 de Segovia desestimó el recurso contencioso-administrativo. El referido motivo de impugnación fue rechazado en atención al ATC 268/2002, de 10 de diciembre, en el cual el Tribunal Constitucional había rechazado, por notoriamente infundada, la cuestión de inconstitucionalidad promovida en relación con el art. 16.2 de la Ley 8/1997, de 8 de julio, de colegios profesionales de Castilla y León.</w:t>
      </w:r>
    </w:p>
    <w:p w:rsidR="00AC56D6" w:rsidRDefault="00AC56D6" w:rsidP="00AC56D6">
      <w:pPr>
        <w:pStyle w:val="TextoNormal"/>
      </w:pPr>
    </w:p>
    <w:p w:rsidR="00AC56D6" w:rsidRDefault="00AC56D6" w:rsidP="00AC56D6">
      <w:pPr>
        <w:pStyle w:val="TextoNormal"/>
      </w:pPr>
      <w:r>
        <w:t xml:space="preserve">Contra la citada Sentencia, el Colegio Oficial de Veterinarios de Segovia interpuso el recurso de apelación 9-2015 ante el Tribunal Superior de Justicia de Castilla y León, con un único motivo de apelación dirigido contra el pronunciamiento de la Sentencia relativo a la inexigibilidad de la colegiación obligatoria. En dicho motivo de apelación se alega que, con posterioridad al ATC 268/2002, el Tribunal Constitucional ha adoptado ocho Sentencias (SSTC 3/2013, 46/2013, 50/2013, 63/2013, 89/2013, 123/2013, 201/2013 y 150/2014) en las que ha establecido de forma definitiva, unánime e incuestionable el carácter básico del art. 3.2 de la Ley 2/1974, de colegios profesionales, en la redacción dada por la Ley 25/2009, de 22 de diciembre, de manera que la exigencia de tal colegiación para el ejercicio de una profesión y, en consecuencia, sus excepciones forman parte de la competencia estatal del art. 149.1.18 CE y constituye una condición básica que garantiza la igualdad en el ejercicio de los derechos y deberes constitucionales </w:t>
      </w:r>
      <w:r w:rsidRPr="00AC56D6">
        <w:rPr>
          <w:i/>
        </w:rPr>
        <w:t>ex</w:t>
      </w:r>
      <w:r>
        <w:t xml:space="preserve"> art. 149.1.1 CE. El recurrente alega que el art. 16.2 de la Ley 8/1997 es nulo por inconstitucional, y nunca debió ser aplicado por la Administración demandada ni por el Juzgado </w:t>
      </w:r>
      <w:r w:rsidRPr="00AC56D6">
        <w:rPr>
          <w:i/>
        </w:rPr>
        <w:t>a quo</w:t>
      </w:r>
      <w:r>
        <w:t>, pues infringe el art. 3.2 de la Ley 2/1974, de 13 de febrero, de colegios profesionales, en la redacción dada por la Ley 25/2009, de 22 de diciembre. Defiende que el órgano judicial, al resolver el recurso de apelación, inaplique la norma autonómica por considerarla inconstitucional, ya sea incompatible con la norma estatal ya derogada por la disposición derogatoria de la “ley ómnibus”. Solo para el hipotético caso de que el órgano judicial tuviera alguna duda de la nulidad por inconstitucionalidad del art. 16.2 mencionado, procedería el planteamiento de la correspondiente cuestión de inconstitucionalidad por vulneración de los arts. 36 y 149.1.18 CE, en relación con el art. 149.1.1 CE y con los arts. 1.3 y 3.2 de la Ley 2/1974, de 13 de febrero, de colegios profesionales.</w:t>
      </w:r>
    </w:p>
    <w:p w:rsidR="00AC56D6" w:rsidRDefault="00AC56D6" w:rsidP="00AC56D6">
      <w:pPr>
        <w:pStyle w:val="TextoNormal"/>
      </w:pPr>
    </w:p>
    <w:p w:rsidR="00AC56D6" w:rsidRDefault="00AC56D6" w:rsidP="00AC56D6">
      <w:pPr>
        <w:pStyle w:val="TextoNormal"/>
      </w:pPr>
      <w:r>
        <w:t>Concluso el procedimiento, y dentro del plazo para dictar Sentencia, la Sala de lo Contencioso-Administrativo del Tribunal Superior de Justicia de Castilla y León, con sede en Burgos, dictó providencia de fecha 17 de abril de 2015 por la que, de conformidad con lo dispuesto en el art. 35.2 de la Ley Orgánica del Tribunal Constitucional (LOTC), daba traslado al Ministerio Fiscal y a las partes personadas para que en el término común de diez días pudieran formular alegaciones en relación con la pertinencia de plantear cuestión de inconstitucionalidad sobre el segundo inciso del art. 16.2 de la Ley 8/1997, de 8 de julio, de colegios profesionales de Castilla y León. Por la parte apelante y por el Ministerio Fiscal se evacuó el trámite apoyando el planteamiento de la cuestión de inconstitucionalidad. La Administración demandada se opuso al planteamiento.</w:t>
      </w:r>
    </w:p>
    <w:p w:rsidR="00AC56D6" w:rsidRDefault="00AC56D6" w:rsidP="00AC56D6">
      <w:pPr>
        <w:pStyle w:val="TextoNormal"/>
      </w:pPr>
    </w:p>
    <w:p w:rsidR="00AC56D6" w:rsidRDefault="00AC56D6" w:rsidP="00AC56D6">
      <w:pPr>
        <w:pStyle w:val="TextoNormal"/>
      </w:pPr>
      <w:r w:rsidRPr="00AC56D6">
        <w:rPr>
          <w:rStyle w:val="NumeroAFNegritaCaracter"/>
        </w:rPr>
        <w:t>3</w:t>
      </w:r>
      <w:r>
        <w:t>. Por Auto de 25 de mayo de 2015 la Sala de lo Contencioso-Administrativo del Tribunal Superior de Justicia de Castilla y León, con sede en Burgos, acordó plantear cuestión de inconstitucionalidad respecto del segundo inciso del art. 16.2 de la Ley 8/1997, de 8 de julio, de colegios profesionales de Castilla y León, por violación de los arts. 36, 149.1.1 y 149.1.18 CE.</w:t>
      </w:r>
    </w:p>
    <w:p w:rsidR="00AC56D6" w:rsidRDefault="00AC56D6" w:rsidP="00AC56D6">
      <w:pPr>
        <w:pStyle w:val="TextoNormal"/>
      </w:pPr>
    </w:p>
    <w:p w:rsidR="00AC56D6" w:rsidRDefault="00AC56D6" w:rsidP="00AC56D6">
      <w:pPr>
        <w:pStyle w:val="TextoNormal"/>
      </w:pPr>
      <w:r>
        <w:t xml:space="preserve">El órgano judicial considera que, si bien el ATC 268/2012, de 10 de diciembre, inadmitió la cuestión de inconstitucionalidad planteada por el Juzgado de lo Social núm. 2 de León promovida sobre el mismo precepto autonómico —pronunciamientos que fueron reiterados en los AATC 240/2002, 241/2002, 242/2002, 243/2002, 244/2002, 245/2002; 247/2002, de 26 de noviembre; 32/2003, de 28 de enero, y 101/2003, de 25 de marzo—, el art. 1.3 de la Ley 2/1974 fue modificado por el art. 5 de la Ley 25/2009, de 22 de diciembre, de modificación de diversas leyes para su adaptación a la Ley sobre el libre acceso a las actividades </w:t>
      </w:r>
      <w:r>
        <w:lastRenderedPageBreak/>
        <w:t xml:space="preserve">de servicios y su ejercicio. La Sala promotora de la cuestión considera que, con base en la nueva redacción del citado precepto estatal, las SSTC 3/2013, 46/2013, 50/2013, 63/2013, 89/2013, 123/2013, 201/2013 y 150/2014 han declarado la inconstitucionalidad y nulidad de otras normas autonómicas que, de modo similar al inciso segundo del art. 16.2, establecían la inexigibilidad de la colegiación obligatoria para los profesionales vinculados con la Administración pública por una relación funcionarial, estatutaria o laboral: todas esas Sentencias se pronuncian sobre el art. 3.2 de la Ley 2/1974 en la redacción dada por el art. 5 de la Ley 25/2009 y afirman que la exigencia de la colegiación obligatoria para el ejercicio de una determinada profesión y, en consecuencia, sus excepciones, forman parte de la competencia estatal del art. 149.1.18 CE y constituye, además, la condición básica que garantiza la igualdad en el ejercicio de los derechos y deberes constitucionales </w:t>
      </w:r>
      <w:r w:rsidRPr="00AC56D6">
        <w:rPr>
          <w:i/>
        </w:rPr>
        <w:t>ex</w:t>
      </w:r>
      <w:r>
        <w:t xml:space="preserve"> art. 149.1.1 CE.</w:t>
      </w:r>
    </w:p>
    <w:p w:rsidR="00AC56D6" w:rsidRDefault="00AC56D6" w:rsidP="00AC56D6">
      <w:pPr>
        <w:pStyle w:val="TextoNormal"/>
      </w:pPr>
    </w:p>
    <w:p w:rsidR="00AC56D6" w:rsidRDefault="00AC56D6" w:rsidP="00AC56D6">
      <w:pPr>
        <w:pStyle w:val="TextoNormal"/>
      </w:pPr>
      <w:r w:rsidRPr="00AC56D6">
        <w:rPr>
          <w:rStyle w:val="NumeroAFNegritaCaracter"/>
        </w:rPr>
        <w:t>4</w:t>
      </w:r>
      <w:r>
        <w:t>. Mediante providencia de 23 de junio de 2015, el Pleno de este Tribunal acordó admitir a trámite la presente cuestión de inconstitucionalidad, deferir su conocimiento de conformidad con el art. 10.1 c) LOTC a la Sala Segunda, a la que por turno objetivo le correspondía y, de conformidad con lo dispuesto en el art. 37.3 LOTC, dar traslado de las actuaciones recibidas al Congreso de Diputados y al Senado, por conducto de sus Presidentes, al Gobierno, por conducto del Ministro de Justicia, y al Fiscal General del Estado, así como a la Junta de Castilla y León y a las Cortes de Castilla y León, por conducto de sus Presidentes, al objeto de que, en el improrrogable plazo de quince días, pudieran personarse en el proceso y formular las alegaciones que estimasen convenientes. En la misma providencia se acordó publicar la incoación de la cuestión en el “Boletín Oficial del Estado” y en el “Boletín Oficial de Castilla y León”, lo que se produjo, respecto del primero, en el del día 26 de junio de 2015.</w:t>
      </w:r>
    </w:p>
    <w:p w:rsidR="00AC56D6" w:rsidRDefault="00AC56D6" w:rsidP="00AC56D6">
      <w:pPr>
        <w:pStyle w:val="TextoNormal"/>
      </w:pPr>
    </w:p>
    <w:p w:rsidR="00AC56D6" w:rsidRDefault="00AC56D6" w:rsidP="00AC56D6">
      <w:pPr>
        <w:pStyle w:val="TextoNormal"/>
      </w:pPr>
      <w:r w:rsidRPr="00AC56D6">
        <w:rPr>
          <w:rStyle w:val="NumeroAFNegritaCaracter"/>
        </w:rPr>
        <w:t>5</w:t>
      </w:r>
      <w:r>
        <w:t>. Con fecha de 1 de julio de 2015 tuvo entrada en este Tribunal escrito del Presidente del Senado por el que pone en su conocimiento el acuerdo de la Mesa de la Cámara de personación en el procedimiento y de ofrecimiento de su colaboración a los efectos del art. 88.1 LOTC.</w:t>
      </w:r>
    </w:p>
    <w:p w:rsidR="00AC56D6" w:rsidRDefault="00AC56D6" w:rsidP="00AC56D6">
      <w:pPr>
        <w:pStyle w:val="TextoNormal"/>
      </w:pPr>
    </w:p>
    <w:p w:rsidR="00AC56D6" w:rsidRDefault="00AC56D6" w:rsidP="00AC56D6">
      <w:pPr>
        <w:pStyle w:val="TextoNormal"/>
      </w:pPr>
      <w:r>
        <w:t>En escrito recibido el día 3 de julio de 2015 el Presidente del Congreso de los Diputados transmitió el acuerdo adoptado por la Mesa de la Cámara de personación en el procedimiento y de ofrecimiento de su colaboración a los efectos del art. 88.1 LOTC, con remisión del recurso a la Dirección de Estudios, Análisis y Publicaciones y a la asesoría jurídica de la Secretaría General.</w:t>
      </w:r>
    </w:p>
    <w:p w:rsidR="00AC56D6" w:rsidRDefault="00AC56D6" w:rsidP="00AC56D6">
      <w:pPr>
        <w:pStyle w:val="TextoNormal"/>
      </w:pPr>
    </w:p>
    <w:p w:rsidR="00AC56D6" w:rsidRDefault="00AC56D6" w:rsidP="00AC56D6">
      <w:pPr>
        <w:pStyle w:val="TextoNormal"/>
      </w:pPr>
      <w:r w:rsidRPr="00AC56D6">
        <w:rPr>
          <w:rStyle w:val="NumeroAFNegritaCaracter"/>
        </w:rPr>
        <w:t>6</w:t>
      </w:r>
      <w:r>
        <w:t xml:space="preserve">. Mediante escrito registrado en este Tribunal el día 15 julio de 2015 el Abogado del Estado formuló alegaciones, en las cuales solicitó la estimación de la cuestión planteada y la declaración de inconstitucionalidad y nulidad de la disposición cuestionada por contravenir la normativa básica del Estado. A tal efecto razona que la presente cuestión de inconstitucionalidad guarda casi identidad con el objeto de anteriores recursos de inconstitucionalidad planteados frente a preceptos de leyes autonómicas de muy parecido tenor con el precepto ahora cuestionado y que concluyeron en pronunciamientos favorables a la competencia estatal (SSTC 3/2013, de 17 de enero; 46/2103 y 50/2013, ambas de 28 de febrero; 63/2013, de 14 marzo; 123/2013, de 23 de mayo, y 150/2014, de 22 de septiembre). El Abogado del Estado señala que el inciso cuestionado, en cuanto que exime de la colegiación </w:t>
      </w:r>
      <w:r>
        <w:lastRenderedPageBreak/>
        <w:t>obligatoria a los empleados públicos que realizan actividades propias de una profesión colegiada por cuenta de las Administraciones públicas, vulnera la competencia estatal para determinar los supuestos de colegiación obligatoria y sus excepciones, así como la regulación estatal dictada en esta materia. La norma básica vulnerada es el art. 3.2 de la Ley 2/1974, de 13 de febrero, sobre colegios profesionales, en la redacción dada por la Ley 25/2009, de 22 de diciembre, sobre modificación de diversas leyes para su adaptación a la Ley sobre el libre acceso a las actividades de servicios y su ejercicio.</w:t>
      </w:r>
    </w:p>
    <w:p w:rsidR="00AC56D6" w:rsidRDefault="00AC56D6" w:rsidP="00AC56D6">
      <w:pPr>
        <w:pStyle w:val="TextoNormal"/>
      </w:pPr>
    </w:p>
    <w:p w:rsidR="00AC56D6" w:rsidRDefault="00AC56D6" w:rsidP="00AC56D6">
      <w:pPr>
        <w:pStyle w:val="TextoNormal"/>
      </w:pPr>
      <w:r>
        <w:t>El Abogado del Estado afirma que la fijación del requisito de la colegiación obligatoria y, en consecuencia, la de sus excepciones constituyen un aspecto básico del régimen jurídico general sobre los colegios profesionales (SSTC 3/2013, de 17 de enero, FJ 3, y 150/2014, de 22 de septiembre, FJ 3) y que, conforme a la disposición final primera de la Ley 25/2009, de 22 de diciembre, la referida modificación de la Ley de colegios profesionales se realiza al amparo del art. 149.1.18 y 30 CE.</w:t>
      </w:r>
    </w:p>
    <w:p w:rsidR="00AC56D6" w:rsidRDefault="00AC56D6" w:rsidP="00AC56D6">
      <w:pPr>
        <w:pStyle w:val="TextoNormal"/>
      </w:pPr>
    </w:p>
    <w:p w:rsidR="00AC56D6" w:rsidRDefault="00AC56D6" w:rsidP="00AC56D6">
      <w:pPr>
        <w:pStyle w:val="TextoNormal"/>
      </w:pPr>
      <w:r w:rsidRPr="00AC56D6">
        <w:rPr>
          <w:rStyle w:val="NumeroAFNegritaCaracter"/>
        </w:rPr>
        <w:t>7</w:t>
      </w:r>
      <w:r>
        <w:t>. La representación procesal de la Junta de Castilla y León formuló alegaciones mediante escrito registrado en este Tribunal el 20 de julio de 2015.</w:t>
      </w:r>
    </w:p>
    <w:p w:rsidR="00AC56D6" w:rsidRDefault="00AC56D6" w:rsidP="00AC56D6">
      <w:pPr>
        <w:pStyle w:val="TextoNormal"/>
      </w:pPr>
    </w:p>
    <w:p w:rsidR="00AC56D6" w:rsidRDefault="00AC56D6" w:rsidP="00AC56D6">
      <w:pPr>
        <w:pStyle w:val="TextoNormal"/>
      </w:pPr>
      <w:r>
        <w:t>En primer lugar, alude a los preceptos constitucionales que se reputan infringidos en el Auto de planteamiento de la cuestión y a los preceptos estatutarios que sustentan la competencia autonómica para dictar la disposición cuestionada. El Letrado autonómico afirma que la regulación del ejercicio de las profesiones, incluso las susceptibles de colegiación, es competencia de la Comunidad Autónoma en virtud de lo dispuesto en el Estatuto de Autonomía de Castilla y León (art. 71.1.14), pudiendo el legislador autonómico prescindir de la acreditación de tal extremo respecto del personal al servicio de las Administraciones públicas autonómicas, tal como lo ha entendido el Tribunal Constitucional en la STC 76/2003. La STC 131/1989 y los AATC 239/2002 y 243/2002 inadmiten a trámite cuestiones de inconstitucionalidad planteadas contra el art. 16.2 de la Ley de Castilla y León 8/1997.</w:t>
      </w:r>
    </w:p>
    <w:p w:rsidR="00AC56D6" w:rsidRDefault="00AC56D6" w:rsidP="00AC56D6">
      <w:pPr>
        <w:pStyle w:val="TextoNormal"/>
      </w:pPr>
    </w:p>
    <w:p w:rsidR="00AC56D6" w:rsidRDefault="00AC56D6" w:rsidP="00AC56D6">
      <w:pPr>
        <w:pStyle w:val="TextoNormal"/>
      </w:pPr>
      <w:r>
        <w:t>En segundo lugar, se considera que la disposición cuestionada es de carácter organizativo de la función pública, y que la regulación de la colegiación de los empleados públicos no solo reside en el título competencial sobre colegios profesionales, sino también en el de función pública: al legislador autonómico le corresponde decidir sobre la colegiación del personal al servicio de la Comunidad Autónoma, dentro del respeto a las bases del régimen jurídico de los empleados públicos, en las que no se encuentra referencia alguna a la colegiación obligatoria para ninguna profesión. Asimismo se afirma que la doctrina del Tribunal Constitucional en las SSTC 3/2013, 63/2013 y 123/2013 sobre el ámbito de aplicación de la normativa básica estatal vacía y vulnera las competencias de la Comunidad Autónoma de Castilla y León en materia de función pública, y que resulta excesivo el alcance que la STC 3/2013 otorga al primer inciso del art. 3.2 de la Ley 2/1974, al impedir que las Comunidades Autónomas establezcan excepciones a la obligatoriedad de colegiación para el ejercicio de las funciones de que se trate dentro de su propia organización.</w:t>
      </w:r>
    </w:p>
    <w:p w:rsidR="00AC56D6" w:rsidRDefault="00AC56D6" w:rsidP="00AC56D6">
      <w:pPr>
        <w:pStyle w:val="TextoNormal"/>
      </w:pPr>
    </w:p>
    <w:p w:rsidR="00AC56D6" w:rsidRDefault="00AC56D6" w:rsidP="00AC56D6">
      <w:pPr>
        <w:pStyle w:val="TextoNormal"/>
      </w:pPr>
      <w:r>
        <w:t xml:space="preserve">En consonancia con lo argumentado, defiende una interpretación integradora de la disposición cuestionada que no vulnere la Constitución. Interpretación que se apoya en la circunstancia de que la Ley 25/2009, de 22 de diciembre, de modificación de diversas leyes para su adaptación a la Ley sobre el libre acceso a las actividades de servicios y su ejercicio, que modifica la Ley 2/1974, pretende adaptar la normativa estatal a lo dispuesto en la Ley </w:t>
      </w:r>
      <w:r>
        <w:lastRenderedPageBreak/>
        <w:t>17/2009, de 23 de noviembre, sobre el libre acceso a las actividades de servicios y su ejercicio: se trata de servicios profesionales que conciernen a los colegios profesionales, sin que la norma pretenda incidir en la colegiación de los empleados públicos.</w:t>
      </w:r>
    </w:p>
    <w:p w:rsidR="00AC56D6" w:rsidRDefault="00AC56D6" w:rsidP="00AC56D6">
      <w:pPr>
        <w:pStyle w:val="TextoNormal"/>
      </w:pPr>
    </w:p>
    <w:p w:rsidR="00AC56D6" w:rsidRDefault="00AC56D6" w:rsidP="00AC56D6">
      <w:pPr>
        <w:pStyle w:val="TextoNormal"/>
      </w:pPr>
      <w:r w:rsidRPr="00AC56D6">
        <w:rPr>
          <w:rStyle w:val="NumeroAFNegritaCaracter"/>
        </w:rPr>
        <w:t>8</w:t>
      </w:r>
      <w:r>
        <w:t>. Mediante escrito registrado en este Tribunal el 8 de septiembre de 2015, el Fiscal General del Estado interesó de este Tribunal la estimación de la cuestión planteada y que, en su virtud, se declare inconstitucional y nulo el apartado “ni para la realización de actividades propias de una profesión por cuenta de aquellas” del inciso segundo del art. 16.2 de la Ley 8/1997, de 8 de julio, de colegios profesionales de Castilla y León.</w:t>
      </w:r>
    </w:p>
    <w:p w:rsidR="00AC56D6" w:rsidRDefault="00AC56D6" w:rsidP="00AC56D6">
      <w:pPr>
        <w:pStyle w:val="TextoNormal"/>
      </w:pPr>
    </w:p>
    <w:p w:rsidR="00AC56D6" w:rsidRDefault="00AC56D6" w:rsidP="00AC56D6">
      <w:pPr>
        <w:pStyle w:val="TextoNormal"/>
      </w:pPr>
      <w:r>
        <w:t>El Fiscal General considera que la cuestión de inconstitucionalidad guarda clara conexión con los recursos de inconstitucionalidad que dieron lugar a las sentencias del Tribunal Constitucional que son expresamente citadas por el órgano judicial proponente de la cuestión. Tras analizar el cumplimiento de los requisitos procesales exigidos por el art. 35.2 LOTC, afirma que la inconstitucionalidad del precepto legal autonómico tiene su fundamento en la contradicción entre la ley autonómica y la ley estatal (inconstitucionalidad de carácter mediato) y que la duda planteada por el órgano judicial es netamente competencial: si el inciso segundo del art. 16.2 de la Ley 8/1997, de 8 de julio, de colegios profesionales de Castilla y León es respetuoso con el art. 3.2 de la Ley estatal 2/1974, de 13 de febrero, en la redacción dada por el art. 5 de la Ley 25/2009, de 22 de diciembre.</w:t>
      </w:r>
    </w:p>
    <w:p w:rsidR="00AC56D6" w:rsidRDefault="00AC56D6" w:rsidP="00AC56D6">
      <w:pPr>
        <w:pStyle w:val="TextoNormal"/>
      </w:pPr>
    </w:p>
    <w:p w:rsidR="00AC56D6" w:rsidRDefault="00AC56D6" w:rsidP="00AC56D6">
      <w:pPr>
        <w:pStyle w:val="TextoNormal"/>
      </w:pPr>
      <w:r>
        <w:t>El Fiscal General señala que el Tribunal Constitucional ha declarado como básica la normativa estatal relativa a la determinación de los supuestos en que la colegiación es obligatoria (SSTC 3/2013, de 17 de enero, FFJJ 7 y 8; y 91/2013, de 22 de abril, FJ 2); que la disposición cuestionada es coincidente con normas autonómicas ya enjuiciadas por el Tribunal Constitucional, como el art. 4 de la Ley 10/2003, de 6 de noviembre, reguladora de los colegios profesionales de Andalucía; y que, por tanto, basta reproducir, con las adaptaciones necesarias, el fundamento jurídico 2 de la STC 63/2013 que resuelve el recurso de inconstitucionalidad núm. 1022-2014 interpuesto contra dicho artículo 4.</w:t>
      </w:r>
    </w:p>
    <w:p w:rsidR="00AC56D6" w:rsidRDefault="00AC56D6" w:rsidP="00AC56D6">
      <w:pPr>
        <w:pStyle w:val="TextoNormal"/>
      </w:pPr>
    </w:p>
    <w:p w:rsidR="00AC56D6" w:rsidRDefault="00AC56D6" w:rsidP="00AC56D6">
      <w:pPr>
        <w:pStyle w:val="TextoNormal"/>
      </w:pPr>
      <w:r w:rsidRPr="00AC56D6">
        <w:rPr>
          <w:rStyle w:val="NumeroAFNegritaCaracter"/>
        </w:rPr>
        <w:t>9</w:t>
      </w:r>
      <w:r>
        <w:t>. Por providencia del día 29 de octubre de 2015 se señaló, para deliberación y votación de la presente Sentencia, el día 2 de noviembre del mismo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presente cuestión de inconstitucionalidad se suscita por la Sala de lo Contencioso-Administrativo del Tribunal Superior de Justicia de Castilla y León, con sede en Burgos, en relación con el segundo inciso del art. 16.2 de la Ley 8/1997, de 8 de julio, de colegios profesionales de Castilla y León, precepto de cuya aplicación depende el fallo del recurso de apelación núm. 9-2015, en el cual se impugna la Sentencia del Juzgado de lo Contencioso-Administrativo núm. 1 de Segovia, por la que se desestima el recurso contencioso-administrativo interpuesto frente a la Orden del Consejero de Sanidad de la Junta de Castilla y León de 18 de agosto de 2014, que a su vez había desestimado el recurso de alzada interpuesto por el Colegio Oficial de Veterinarios de Segovia contra la lista única provincial del Cuerpo facultativo superior, escala sanitaria (Veterinarios), con carácter interino, aprobada por la comisión de evaluación del Servicio Territorial de Sanidad y Bienestar Social de Segovia.</w:t>
      </w:r>
    </w:p>
    <w:p w:rsidR="00AC56D6" w:rsidRDefault="00AC56D6" w:rsidP="00AC56D6">
      <w:pPr>
        <w:pStyle w:val="TextoNormal"/>
      </w:pPr>
    </w:p>
    <w:p w:rsidR="00AC56D6" w:rsidRDefault="00AC56D6" w:rsidP="00AC56D6">
      <w:pPr>
        <w:pStyle w:val="TextoNormal"/>
      </w:pPr>
      <w:r>
        <w:t>La norma legal cuya constitucionalidad se cuestiona tiene el siguiente tenor:</w:t>
      </w:r>
    </w:p>
    <w:p w:rsidR="00AC56D6" w:rsidRDefault="00AC56D6" w:rsidP="00AC56D6">
      <w:pPr>
        <w:pStyle w:val="TextoNormal"/>
      </w:pPr>
    </w:p>
    <w:p w:rsidR="00AC56D6" w:rsidRDefault="00AC56D6" w:rsidP="00AC56D6">
      <w:pPr>
        <w:pStyle w:val="TextoNormal"/>
      </w:pPr>
      <w:r>
        <w:t>“Los funcionarios y el personal laboral de las Administraciones Públicas en Castilla y León no necesitarán estar colegiados para el ejercicio de sus funciones administrativas, ni para la realización de actividades propias de una profesión por cuenta de aquéllas, cuando el destinatario inmediato de tales actividades sea la Administración.”</w:t>
      </w:r>
    </w:p>
    <w:p w:rsidR="00AC56D6" w:rsidRDefault="00AC56D6" w:rsidP="00AC56D6">
      <w:pPr>
        <w:pStyle w:val="TextoNormal"/>
      </w:pPr>
    </w:p>
    <w:p w:rsidR="00AC56D6" w:rsidRDefault="00AC56D6" w:rsidP="00AC56D6">
      <w:pPr>
        <w:pStyle w:val="TextoNormal"/>
      </w:pPr>
      <w:r w:rsidRPr="00AC56D6">
        <w:rPr>
          <w:rStyle w:val="NumeroAFNegritaCaracter"/>
        </w:rPr>
        <w:t>2</w:t>
      </w:r>
      <w:r>
        <w:t>. La delimitación del objeto de este proceso exige una precisión previa. Aunque el objeto del presente recurso se proyecta sobre la totalidad del segundo inciso del art. 16.2 de la Ley 8/1997, la tacha de inconstitucionalidad que razona el Auto de planteamiento y sobre la que han versado las alegaciones de las partes concierne a la parte del inciso que exime de la colegiación para la realización de actividades propias de una profesión por cuenta de una Administración pública a los funcionarios y al personal laboral de las Administraciones públicas en Castilla y León.</w:t>
      </w:r>
    </w:p>
    <w:p w:rsidR="00AC56D6" w:rsidRDefault="00AC56D6" w:rsidP="00AC56D6">
      <w:pPr>
        <w:pStyle w:val="TextoNormal"/>
      </w:pPr>
    </w:p>
    <w:p w:rsidR="00AC56D6" w:rsidRDefault="00AC56D6" w:rsidP="00AC56D6">
      <w:pPr>
        <w:pStyle w:val="TextoNormal"/>
      </w:pPr>
      <w:r w:rsidRPr="00AC56D6">
        <w:rPr>
          <w:rStyle w:val="NumeroAFNegritaCaracter"/>
        </w:rPr>
        <w:t>3</w:t>
      </w:r>
      <w:r>
        <w:t>. El órgano judicial considera que el inciso cuestionado traspasa el límite de las normas básicas del Estado contenidas en el art. 3.2 de la Ley 2/1974, de 13 de febrero, de Colegios Profesionales —en la redacción dada por la Ley 25/2009, de 22 de diciembre, de modificación de diversas leyes para su adaptación a la Ley sobre el libre acceso a las actividades de servicios y su ejercicio—, que establecen la colegiación obligatoria sin excepciones para el ejercicio de las profesiones cuando así lo establezca una ley estatal.</w:t>
      </w:r>
    </w:p>
    <w:p w:rsidR="00AC56D6" w:rsidRDefault="00AC56D6" w:rsidP="00AC56D6">
      <w:pPr>
        <w:pStyle w:val="TextoNormal"/>
      </w:pPr>
    </w:p>
    <w:p w:rsidR="00AC56D6" w:rsidRDefault="00AC56D6" w:rsidP="00AC56D6">
      <w:pPr>
        <w:pStyle w:val="TextoNormal"/>
      </w:pPr>
      <w:r>
        <w:t>Tanto el Abogado del Estado como el Ministerio Fiscal interesan que se estime la cuestión por vulneración mediata del art. 149.1.18 CE. Por su parte, la Junta de Castilla y León solicita la desestimación, argumentando que la Comunidad Autónoma de Castilla y León tiene competencia en materia de colegios profesionales y de función pública para dictar la norma cuestionada.</w:t>
      </w:r>
    </w:p>
    <w:p w:rsidR="00AC56D6" w:rsidRDefault="00AC56D6" w:rsidP="00AC56D6">
      <w:pPr>
        <w:pStyle w:val="TextoNormal"/>
      </w:pPr>
    </w:p>
    <w:p w:rsidR="00AC56D6" w:rsidRDefault="00AC56D6" w:rsidP="00AC56D6">
      <w:pPr>
        <w:pStyle w:val="TextoNormal"/>
      </w:pPr>
      <w:r w:rsidRPr="00AC56D6">
        <w:rPr>
          <w:rStyle w:val="NumeroAFNegritaCaracter"/>
        </w:rPr>
        <w:t>4</w:t>
      </w:r>
      <w:r>
        <w:t>. Entrando en el examen del fondo del asunto, y tratándose de una cuestión de carácter fundamentalmente competencial, debemos comenzar por el encuadramiento material del precepto controvertido. El órgano judicial promotor de la cuestión y las partes personadas en este proceso coinciden en considerar que la materia regulada se inserta en el ámbito de las competencias sobre “colegios profesionales”, si bien la Comunidad Autónoma afirma, además, que dicho título se complementa con el referente a la “función pública”. En efecto, la Junta de Castilla y León sostiene que la excepción de la colegiación obligatoria constituiría una especificidad organizativa propia que la Comunidad Autónoma podría establecer en el ejercicio de sus competencias en materia de función pública reconocidas en el art. 34.1 del Estatuto de Autonomía.</w:t>
      </w:r>
    </w:p>
    <w:p w:rsidR="00AC56D6" w:rsidRDefault="00AC56D6" w:rsidP="00AC56D6">
      <w:pPr>
        <w:pStyle w:val="TextoNormal"/>
      </w:pPr>
    </w:p>
    <w:p w:rsidR="00AC56D6" w:rsidRDefault="00AC56D6" w:rsidP="00AC56D6">
      <w:pPr>
        <w:pStyle w:val="TextoNormal"/>
      </w:pPr>
      <w:r>
        <w:t xml:space="preserve">Pues bien, sobre el encuadramiento material de una norma semejante a la ahora cuestionada ya se pronunció este Tribunal en las SSTC 3/2013, de 17 de enero, y 50/2013, de 28 de febrero, cuya doctrina y conclusiones son de plena aplicación al presente supuesto. En ellas afirmamos que la excepción de la colegiación forzosa para los funcionarios y el personal estatutario y laboral que realizan su actividad profesional al servicio exclusivo de las Administraciones autonómicas es “una excepción a una regla general que sirve como elemento definitorio de la institución colegial a la que se pertenece en razón de la actividad </w:t>
      </w:r>
      <w:r>
        <w:lastRenderedPageBreak/>
        <w:t>profesional que se realiza. Por ello debe quedar encuadrado en el título competencial al que responde dicha normativa, es decir, el de colegios profesionales”. En consecuencia, rechazamos el encuadramiento material propuesto alternativamente por la entidad demandada: “el título competencial sobre función pública debe considerarse meramente incidental, no sólo porque, como es jurisprudencia de este Tribunal, debe primar la regla competencial específica sobre la más genérica (SSTC 87/1987, de 2 de junio, FJ 2; 152/2003, de 17 de julio FJ 7, y 212/2005, de 21 de julio, FJ 3, entre otras) —si bien a este criterio no se le puede atribuir un valor absoluto (SSTC 197/1996, de 28 de noviembre, FJ 4; y 14/2004, de 13 de febrero, FJ 5)—, sino también porque el título de función pública solo sería de aplicación preferente en el caso de los colegios profesionales integrados exclusivamente por funcionarios públicos o por quienes ejercen funciones públicas”, lo que no ocurre en este supuesto (SSTC 3/2013, FJ 5, y 50/2013, FJ 4).</w:t>
      </w:r>
    </w:p>
    <w:p w:rsidR="00AC56D6" w:rsidRDefault="00AC56D6" w:rsidP="00AC56D6">
      <w:pPr>
        <w:pStyle w:val="TextoNormal"/>
      </w:pPr>
    </w:p>
    <w:p w:rsidR="00AC56D6" w:rsidRDefault="00AC56D6" w:rsidP="00AC56D6">
      <w:pPr>
        <w:pStyle w:val="TextoNormal"/>
      </w:pPr>
      <w:r>
        <w:t>Debemos resaltar, por lo demás, que así lo ha considerado también el propio legislador autonómico, pues el inciso impugnado se contiene en la Ley 8/1997, de 8 de julio, de colegios profesionales de Castilla y León, cuya exposición de motivos hace referencia únicamente a la materia de colegios profesionales y al correlativo título competencial.</w:t>
      </w:r>
    </w:p>
    <w:p w:rsidR="00AC56D6" w:rsidRDefault="00AC56D6" w:rsidP="00AC56D6">
      <w:pPr>
        <w:pStyle w:val="TextoNormal"/>
      </w:pPr>
    </w:p>
    <w:p w:rsidR="00AC56D6" w:rsidRDefault="00AC56D6" w:rsidP="00AC56D6">
      <w:pPr>
        <w:pStyle w:val="TextoNormal"/>
      </w:pPr>
      <w:r>
        <w:t>En consecuencia, se debe concluir que la disposición cuestionada pertenece a la materia “colegios profesionales” y no a la de “función pública”.</w:t>
      </w:r>
    </w:p>
    <w:p w:rsidR="00AC56D6" w:rsidRDefault="00AC56D6" w:rsidP="00AC56D6">
      <w:pPr>
        <w:pStyle w:val="TextoNormal"/>
      </w:pPr>
    </w:p>
    <w:p w:rsidR="00AC56D6" w:rsidRDefault="00AC56D6" w:rsidP="00AC56D6">
      <w:pPr>
        <w:pStyle w:val="TextoNormal"/>
      </w:pPr>
      <w:r w:rsidRPr="00AC56D6">
        <w:rPr>
          <w:rStyle w:val="NumeroAFNegritaCaracter"/>
        </w:rPr>
        <w:t>5</w:t>
      </w:r>
      <w:r>
        <w:t xml:space="preserve">. Sentado lo anterior debemos precisar el encuadramiento competencial, que debe partir, según doctrina reiterada, de la delimitación competencial vigente en el momento en que se plantea la cuestión de inconstitucionalidad en el proceso </w:t>
      </w:r>
      <w:r w:rsidRPr="00AC56D6">
        <w:rPr>
          <w:i/>
        </w:rPr>
        <w:t>a quo</w:t>
      </w:r>
      <w:r>
        <w:t>. De acuerdo con el art. 71.1.14 de la Ley Orgánica 14/2007, de 30 de noviembre, de reforma del Estatuto de Autonomía de Castilla y León, en el marco de la legislación básica del Estado y, en su caso, en los términos que ella establezca, es competencia de la Comunidad de Castilla y León el desarrollo legislativo y la ejecución de la legislación del Estado en materia de “colegios profesionales y ejercicio de profesiones tituladas”. Por su parte, la competencia del Estado para regular los colegios profesionales le viene dada por el art. 149.1.18 CE, que le permite fijar los principios y reglas básicas de este tipo de entidades corporativas, entre las que se incluyen las reglas básicas a que los colegios profesionales han de ajustar su organización y competencias, aunque con menor extensión e intensidad que cuando se refiere a las Administraciones públicas en sentido estricto (SSTC 31/2010, de 28 de junio, FJ 71, y 3/2013, FJ 5).</w:t>
      </w:r>
    </w:p>
    <w:p w:rsidR="00AC56D6" w:rsidRDefault="00AC56D6" w:rsidP="00AC56D6">
      <w:pPr>
        <w:pStyle w:val="TextoNormal"/>
      </w:pPr>
    </w:p>
    <w:p w:rsidR="00AC56D6" w:rsidRDefault="00AC56D6" w:rsidP="00AC56D6">
      <w:pPr>
        <w:pStyle w:val="TextoNormal"/>
      </w:pPr>
      <w:r w:rsidRPr="00AC56D6">
        <w:rPr>
          <w:rStyle w:val="NumeroAFNegritaCaracter"/>
        </w:rPr>
        <w:t>6</w:t>
      </w:r>
      <w:r>
        <w:t xml:space="preserve">. Tratándose de un supuesto de inconstitucionalidad mediata o de contradicción de la norma autonómica con la legislación del Estado, procede ahora examinar la norma estatal que el órgano judicial promotor de la cuestión nos propone como norma de contraste y verificar si responde al ejercicio legítimo de la competencia estatal en materia de colegios profesionales. Pues bien, no cabe duda de que el art. 3.2 de la Ley 2/1974, en la redacción dada por el art. 5 de la Ley 25/2009, ha de conformar nuestro parámetro de control de constitucionalidad mediata en el presente proceso constitucional, al ser una norma básica desde una doble perspectiva. Por un lado, el carácter formalmente básico de las modificaciones introducidas en la Ley 2/1974 por el art. 5 de la Ley 25/2009 </w:t>
      </w:r>
      <w:r w:rsidRPr="00AC56D6">
        <w:rPr>
          <w:i/>
        </w:rPr>
        <w:t>ex</w:t>
      </w:r>
      <w:r>
        <w:t xml:space="preserve"> art. 149.1.18 y 30 CE se desprende de la disposición final primera de dicha ley. Por otro lado, este Tribunal ha reconocido en numerosas ocasiones el carácter materialmente básico de la determinación del </w:t>
      </w:r>
      <w:r>
        <w:lastRenderedPageBreak/>
        <w:t xml:space="preserve">régimen de colegiación (forzoso o voluntario) (por todas, STC 330/1994, de 15 de diciembre, FJ 9). Más precisamente, en la Sentencia que resolvió el recurso de inconstitucionalidad núm. 6851-2010 interpuesto por la Generalitat de Cataluña frente al art. 5.5 de la Ley 25/2009 este Tribunal reconoció el carácter de la Ley 25/2009 como parámetro básico de contraste de las competencias autonómicas en materia de colegios profesionales (STC 89/2013, de 22 de abril, FJ 3, en aplicación de la doctrina contenida en la STC 3/2013, de 17 de enero, después reiterada por las SSTC 46/2013 y 50/2013, de 28 de enero; 63/2013, de 14 de marzo; 123/2013, de 23 de mayo, y 150/2014, de 22 de septiembre). A lo anterior cabe añadir que la exigencia de colegiación obligatoria para el ejercicio de determinadas profesiones, además de una base del régimen jurídico de las Administración públicas (art. 149.1.18 CE), constituye también una condición básica que garantiza la igualdad en el ejercicio de los derechos y deberes constitucionales </w:t>
      </w:r>
      <w:r w:rsidRPr="00AC56D6">
        <w:rPr>
          <w:i/>
        </w:rPr>
        <w:t>ex</w:t>
      </w:r>
      <w:r>
        <w:t xml:space="preserve"> art. 149.1.1 CE, por afectar al contenido primario del derecho constitucional reconocido en el art. 35.1 CE (STC 3/2013, FJ 8).</w:t>
      </w:r>
    </w:p>
    <w:p w:rsidR="00AC56D6" w:rsidRDefault="00AC56D6" w:rsidP="00AC56D6">
      <w:pPr>
        <w:pStyle w:val="TextoNormal"/>
      </w:pPr>
    </w:p>
    <w:p w:rsidR="00AC56D6" w:rsidRDefault="00AC56D6" w:rsidP="00AC56D6">
      <w:pPr>
        <w:pStyle w:val="TextoNormal"/>
      </w:pPr>
      <w:r w:rsidRPr="00AC56D6">
        <w:rPr>
          <w:rStyle w:val="NumeroAFNegritaCaracter"/>
        </w:rPr>
        <w:t>7</w:t>
      </w:r>
      <w:r>
        <w:t xml:space="preserve">. Establecido el carácter básico de la norma estatal que el órgano judicial promotor de la cuestión propone como norma de contraste, la disputa competencial que encierra la presente cuestión de inconstitucionalidad ha de reputarse resuelta con la doctrina que este Tribunal ha establecido en Sentencias anteriores. En efecto, como de forma coincidente han subrayado el recurrente en el proceso </w:t>
      </w:r>
      <w:r w:rsidRPr="00AC56D6">
        <w:rPr>
          <w:i/>
        </w:rPr>
        <w:t>a quo</w:t>
      </w:r>
      <w:r>
        <w:t>, el órgano judicial promotor de la cuestión, el Abogado del Estado y el Fiscal General del Estado, el contenido de la disposición objeto de la presente cuestión es sustancialmente idéntico al de otras disposiciones autonómicas que este Tribunal ha declarado inconstitucionales y nulas, por contradicción del mismo precepto estatal: en concreto, en las SSTC 3/2013, de 17 de enero, relativa a una norma andaluza; 46/2013, de 28 de febrero, relativa a una norma extremeña; 50/2013, de 28 de febrero, relativa a una norma asturiana; 63/2013, de 14 de marzo, relativa a otra norma andaluza; 123/2013, de 23 de mayo, relativa a una norma canaria, y 150/2014, de 22 de septiembre, relativa a una norma vasca. Las cinco primeras Sentencias citadas se pronunciaron sobre la contradicción de una norma autonómica con respecto al art. 3.2 de la Ley 2/1974, en la redacción dada por el art. 5 de la Ley 25/2009; y la sexta Sentencia citada se pronunció sobre la contradicción con respecto al mismo art. 3.2 de la Ley 2/1974, en la redacción dada por el art. 39 del Real Decreto-ley 6/2000, de 23 de junio, de medidas urgentes de intensificación de la competencia en mercados de bienes y servicios.</w:t>
      </w:r>
    </w:p>
    <w:p w:rsidR="00AC56D6" w:rsidRDefault="00AC56D6" w:rsidP="00AC56D6">
      <w:pPr>
        <w:pStyle w:val="TextoNormal"/>
      </w:pPr>
    </w:p>
    <w:p w:rsidR="00AC56D6" w:rsidRDefault="00AC56D6" w:rsidP="00AC56D6">
      <w:pPr>
        <w:pStyle w:val="TextoNormal"/>
      </w:pPr>
      <w:r>
        <w:t>Por consiguiente, una vez advertido que la presente impugnación plantea la misma controversia competencial resuelta previamente en los citados procesos constitucionales, debemos concluir, con remisión a lo dicho entonces, que “el inciso impugnado, al eximir de la colegiación obligatoria a los empleados públicos, cuando ejercen la profesión por cuenta de la Administración, establece una excepción no contemplada en la Ley estatal de colegios profesionales”. Pues, “siendo competente el Estado para establecer la colegiación obligatoria [con arreglo a los arts. 149.1.18 y 30 CE, en relación con el art. 149.1.1 CE], lo es también para establecer las excepciones que afectan a los empleados públicos a la vista de los concretos intereses generales que puedan verse afectados” (por todas, SSTC 3/2013, FJ 8, y 150/2014, FJ 3).</w:t>
      </w:r>
    </w:p>
    <w:p w:rsidR="00AC56D6" w:rsidRDefault="00AC56D6" w:rsidP="00AC56D6">
      <w:pPr>
        <w:pStyle w:val="TextoNormal"/>
      </w:pPr>
    </w:p>
    <w:p w:rsidR="00AC56D6" w:rsidRDefault="00AC56D6" w:rsidP="00AC56D6">
      <w:pPr>
        <w:pStyle w:val="TextoNormal"/>
      </w:pPr>
      <w:r>
        <w:t xml:space="preserve">Si bien el alcance de la exención de colegiación obligatoria que se deriva de la disposición autonómica aquí cuestionada es más restringido que el de la exención que se contenía en las disposiciones autonómicas examinadas en procesos anteriores, en cuanto que establece que la colegiación no es necesaria “para la realización de actividades propias de una </w:t>
      </w:r>
      <w:r>
        <w:lastRenderedPageBreak/>
        <w:t>profesión por cuenta de aquéllas, cuando el destinatario inmediato de tales actividades sea la Administración”, procede igualmente declarar su inconstitucionalidad y nulidad, pues la inconstitucionalidad de una exención autonómica de colegiación no depende de su mayor o menor alcance, sino de la falta de competencia autonómica para determinar el régimen de colegiación obligatoria y sus excepciones.</w:t>
      </w:r>
    </w:p>
    <w:p w:rsidR="00AC56D6" w:rsidRDefault="00AC56D6" w:rsidP="00AC56D6">
      <w:pPr>
        <w:pStyle w:val="TextoNormal"/>
      </w:pPr>
    </w:p>
    <w:p w:rsidR="00AC56D6" w:rsidRDefault="00AC56D6" w:rsidP="00AC56D6">
      <w:pPr>
        <w:pStyle w:val="TextoNormal"/>
      </w:pPr>
      <w:r>
        <w:t>La anterior conclusión no puede verse enervada por los argumentos esgrimidos por la representación procesal de la Junta de Castilla y León. En primer lugar, nuestra doctrina constitucional sobre el carácter básico de la determinación del régimen de colegiación no vacía las competencias estatutariamente asumidas por esa Comunidad Autónoma en materia de función pública, que pueden desplegarse respetando plenamente aquella base estatal. En segundo lugar, no es cierto, como se afirma, que la norma estatal utilizada como norma de contraste no pretenda incidir en la colegiación de los empleados públicos sino solo en las actividades de servicios, pues viene a reiterar la misma regla de colegiación obligatoria, sin excepciones, que normas estatales habían establecido con anterioridad (así, el art. 3.2 de la Ley 2/1974, en la redacción dada por el art. 39 del Real Decreto-ley 6/2000, de 23 de junio, de medidas urgentes de intensificación de la competencia en mercados de bienes y servicios, precepto considerado como básico en las SSTC 91/2013, de 22 de abril, FJ 2, y 150/2014, FJ 2). Finalmente, la interpretación integradora que sugiere el Letrado autonómico no permite resolver la cuestión competencial suscitada en este proceso, que se ciñe exclusivamente a determinar el legislador competente para establecer la regla de la colegiación obligatoria y sus correspondientes excepciones (en sentido parecido, STC 159/2014, FJ 3).</w:t>
      </w:r>
    </w:p>
    <w:p w:rsidR="00AC56D6" w:rsidRDefault="00AC56D6" w:rsidP="00AC56D6">
      <w:pPr>
        <w:pStyle w:val="TextoNormal"/>
      </w:pPr>
    </w:p>
    <w:p w:rsidR="00AC56D6" w:rsidRDefault="00AC56D6" w:rsidP="00AC56D6">
      <w:pPr>
        <w:pStyle w:val="TextoNormal"/>
      </w:pPr>
      <w:r>
        <w:t>De acuerdo con lo señalado en el fundamento jurídico 2 de esta Sentencia, la declaración de inconstitucionalidad y nulidad debe limitarse a una parte del segundo inciso del art. 16.2 de la Ley 8/1997, en concreto a las palabras “ni para la realización de actividades propias de una profesión por cuenta de aquéllas, cuando el destinatario inmediato de tales actividades sea la Administración”, pues en ellas se contiene la excepción a la regla básica de colegiación obligatoria que vulnera las competencias estatales.</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Estimar la presente cuestión de inconstitucionalidad y, en consecuencia, declarar la inconstitucionalidad y nulidad del inciso “ni para la realización de actividades propias de una profesión por cuenta de aquéllas, cuando el destinatario inmediato de tales actividades sea la Administración” del art. 16.2 de la Ley 8/1997, de 8 de julio, de colegios profesionales de Castilla y León.</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dos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86" w:name="SENTENCIA_2015_230"/>
      <w:r>
        <w:lastRenderedPageBreak/>
        <w:t>SENTENCIA 230/2015, de 5 de noviembre de 2015</w:t>
      </w:r>
    </w:p>
    <w:bookmarkEnd w:id="86"/>
    <w:p w:rsidR="00AC56D6" w:rsidRDefault="00AC56D6" w:rsidP="00AC56D6">
      <w:pPr>
        <w:pStyle w:val="TtuloResolucin"/>
      </w:pPr>
      <w:r>
        <w:t>Pleno</w:t>
      </w:r>
    </w:p>
    <w:p w:rsidR="00AC56D6" w:rsidRDefault="00AC56D6" w:rsidP="00AC56D6">
      <w:pPr>
        <w:pStyle w:val="TtuloBOE"/>
      </w:pPr>
      <w:r>
        <w:t>(BOE núm. 296, de 11 de diciembre de 2015)</w:t>
      </w:r>
    </w:p>
    <w:p w:rsidR="00AC56D6" w:rsidRDefault="00AC56D6" w:rsidP="00AC56D6">
      <w:pPr>
        <w:pStyle w:val="TextoNormalCentrado"/>
      </w:pPr>
      <w:r>
        <w:t>ECLI:ES:TC:2015:230</w:t>
      </w:r>
    </w:p>
    <w:p w:rsidR="00AC56D6" w:rsidRDefault="00AC56D6" w:rsidP="00AC56D6">
      <w:pPr>
        <w:pStyle w:val="TextoNormalCentrado"/>
      </w:pPr>
    </w:p>
    <w:p w:rsidR="00AC56D6" w:rsidRDefault="00AC56D6" w:rsidP="00AC56D6">
      <w:pPr>
        <w:pStyle w:val="SntesisDescriptiva"/>
      </w:pPr>
      <w:r>
        <w:t>Recurso de inconstitucionalidad 7686-2010. Interpuesto por más de cincuenta diputados del Grupo Parlamentario Popular en el Congreso en relación con diversos preceptos del Decreto-ley de Andalucía 5/2010, de 27 de julio, por el que se aprueban medidas urgentes en materia de reordenación del sector público.</w:t>
      </w:r>
    </w:p>
    <w:p w:rsidR="00AC56D6" w:rsidRDefault="00AC56D6" w:rsidP="00AC56D6">
      <w:pPr>
        <w:pStyle w:val="SntesisDescriptiva"/>
      </w:pPr>
    </w:p>
    <w:p w:rsidR="00AC56D6" w:rsidRDefault="00AC56D6" w:rsidP="00AC56D6">
      <w:pPr>
        <w:pStyle w:val="SntesisAnaltica"/>
      </w:pPr>
      <w:r>
        <w:t>Límites a los decretos-leyes, igualdad en el acceso a las funciones públicas y competencias sobre función pública: nulidad de los preceptos legales autonómicos que establecen el régimen jurídico y ejercicio de potestades administrativas, la sujeción a Derecho laboral del personal al servicio de las fundaciones del sector público andaluz y el régimen de nombramiento del personal no directivo.</w:t>
      </w:r>
    </w:p>
    <w:p w:rsidR="00AC56D6" w:rsidRDefault="00AC56D6" w:rsidP="00AC56D6">
      <w:pPr>
        <w:pStyle w:val="SntesisAnaltica"/>
      </w:pPr>
    </w:p>
    <w:p w:rsidR="00AC56D6" w:rsidRDefault="00AC56D6" w:rsidP="00AC56D6">
      <w:pPr>
        <w:pStyle w:val="Extracto"/>
      </w:pPr>
      <w:r>
        <w:t>1.</w:t>
      </w:r>
      <w:r>
        <w:tab/>
        <w:t>La supresión de centros directivos de consejerías y entidades instrumentales conecta directamente con los objetivos de contención del déficit público, que justifican la aprobación del Decreto-ley, por lo que procede descartar la vulneración del presupuesto de la extraordinaria y urgente necesidad [FJ 5].</w:t>
      </w:r>
    </w:p>
    <w:p w:rsidR="00AC56D6" w:rsidRDefault="00AC56D6" w:rsidP="00AC56D6">
      <w:pPr>
        <w:pStyle w:val="Extracto"/>
      </w:pPr>
    </w:p>
    <w:p w:rsidR="00AC56D6" w:rsidRDefault="00AC56D6" w:rsidP="00AC56D6">
      <w:pPr>
        <w:pStyle w:val="Extracto"/>
      </w:pPr>
      <w:r>
        <w:t>2.</w:t>
      </w:r>
      <w:r>
        <w:tab/>
        <w:t>La sujeción a derecho laboral del personal al servicio de las fundaciones del sector público andaluz y el régimen de nombramiento del personal no directivo, no tienen una relación directa con el objetivo de reducción del déficit público; por tanto, al no existir una justificación específica de las medidas impugnadas es preciso estimar la impugnación de los recurrentes [FJ 5].</w:t>
      </w:r>
    </w:p>
    <w:p w:rsidR="00AC56D6" w:rsidRDefault="00AC56D6" w:rsidP="00AC56D6">
      <w:pPr>
        <w:pStyle w:val="Extracto"/>
      </w:pPr>
    </w:p>
    <w:p w:rsidR="00AC56D6" w:rsidRDefault="00AC56D6" w:rsidP="00AC56D6">
      <w:pPr>
        <w:pStyle w:val="Extracto"/>
      </w:pPr>
      <w:r>
        <w:t>3.</w:t>
      </w:r>
      <w:r>
        <w:tab/>
        <w:t>Los decretos-leyes autonómicos no son a radice inconstitucionales más que en el supuesto de que no respeten los límites formales y materiales que se imponen a su aprobación [FJ 4].</w:t>
      </w:r>
    </w:p>
    <w:p w:rsidR="00AC56D6" w:rsidRDefault="00AC56D6" w:rsidP="00AC56D6">
      <w:pPr>
        <w:pStyle w:val="Extracto"/>
      </w:pPr>
    </w:p>
    <w:p w:rsidR="00AC56D6" w:rsidRDefault="00AC56D6" w:rsidP="00AC56D6">
      <w:pPr>
        <w:pStyle w:val="Extracto"/>
      </w:pPr>
      <w:r>
        <w:t>4.</w:t>
      </w:r>
      <w:r>
        <w:tab/>
        <w:t>El Tribunal Constitucional podrá, aplicando directamente el parámetro constitucional ínsito en el principio democrático, controlar la constitucionalidad de la legislación de urgencia que adopte el Consejo de Gobierno (STC 93/2015) [FJ 4].</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lastRenderedPageBreak/>
        <w:t>SENTENCIA</w:t>
      </w:r>
    </w:p>
    <w:p w:rsidR="00AC56D6" w:rsidRDefault="00AC56D6" w:rsidP="00AC56D6">
      <w:pPr>
        <w:pStyle w:val="TextoNormalCentrado"/>
        <w:keepNext/>
      </w:pPr>
    </w:p>
    <w:p w:rsidR="00AC56D6" w:rsidRDefault="00AC56D6" w:rsidP="00AC56D6">
      <w:pPr>
        <w:pStyle w:val="TextoNormal"/>
      </w:pPr>
      <w:r>
        <w:t>En el recurso de inconstitucionalidad número 7686-2010, interpuesto por el Letrado don Arturo García-Tizón López comisionado por más de cincuenta Diputados del Grupo Parlamentario Popular en el Congreso de los Diputados, contra la disposición adicional cuarta y los arts. 1, apartados 9 y 12, 3 a 12, 18, 19 y 22 a 24 del Decreto-ley de Andalucía 5/2010, de 27 de julio, por el que se aprueban medidas urgentes en materia de reordenación del sector público. Han comparecido y formulado alegaciones la Junta de Andalucía y el Parlamento de Andalucía. Ha sido ponente el Magistrado don Andrés Ollero Tassara,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27 de octubre de 2010, tuvo entrada en el Registro General del Tribunal Constitucional, un escrito del Letrado Arturo García-Tizón López, que, comisionado por sesenta y seis Diputados del Grupo Parlamentario Popular en el Congreso, interpone recurso de inconstitucionalidad contra determinados preceptos del Decreto-ley de Andalucía 5/2010, de 27 de julio, por el que se aprueban medidas urgentes en materia de reordenación del sector público, en concreto contra los arts. 1, apartados 9 y 12; 3 a 12; 18, 19, 22, 23, 24 y disposición adicional cuarta. De forma genérica se impugnan los antedichos preceptos por considerar que infringen los arts. 14, 23.2, 37, 86 y 149.1.18, todos ellos de la Constitución Española, así como algunas otras disposiciones integrantes del bloque de la constitucionalidad que se detallan en la exposición de los motivos concretos de impugnación.</w:t>
      </w:r>
    </w:p>
    <w:p w:rsidR="00AC56D6" w:rsidRDefault="00AC56D6" w:rsidP="00AC56D6">
      <w:pPr>
        <w:pStyle w:val="TextoNormal"/>
      </w:pPr>
    </w:p>
    <w:p w:rsidR="00AC56D6" w:rsidRDefault="00AC56D6" w:rsidP="00AC56D6">
      <w:pPr>
        <w:pStyle w:val="TextoNormal"/>
      </w:pPr>
      <w:r>
        <w:t>Los argumentos que sustentan la impugnación de la norma autonómica son los siguientes:</w:t>
      </w:r>
    </w:p>
    <w:p w:rsidR="00AC56D6" w:rsidRDefault="00AC56D6" w:rsidP="00AC56D6">
      <w:pPr>
        <w:pStyle w:val="TextoNormal"/>
      </w:pPr>
    </w:p>
    <w:p w:rsidR="00AC56D6" w:rsidRDefault="00AC56D6" w:rsidP="00AC56D6">
      <w:pPr>
        <w:pStyle w:val="TextoNormal"/>
      </w:pPr>
      <w:r>
        <w:t xml:space="preserve">a) Los Diputados recurrentes entienden que el Decreto-ley autonómico adolece de vicios de inconstitucionalidad formal y material a causa de la inexistencia de la negociación colectiva previa a la aprobación de la norma, exigida por el art. 37.1 del estatuto básico del empleado público (LEEP), aprobado mediante Ley 7/2007, de 12 de abril. Este precepto exige que sean objeto de negociación —en su ámbito respectivo y en relación con las competencias de cada Administración pública y con el alcance que legalmente proceda en cada caso— un elenco de materias sobre algunas de las cuales inciden, a decir de los recurrentes, los arts. 1.9 y la disposición adicional cuarta del Decreto-ley andaluz 5/2010. Así, estos preceptos afectan a cuestiones relativas a las condiciones de trabajo de los funcionarios; a normas que fijan criterios generales en materia de acceso, carrera y provisión de puestos de funcionarios; a reglas que fijan los criterios generales en materia de sistemas de clasificación de puestos de trabajo; a disposiciones referidas a calendario laboral, horarios, jornadas, vacaciones, permisos, movilidad funcional y geográfica en aquellos aspectos relativos a condiciones de trabajo de los empleados públicos y a normas que fijan criterios y mecanismos generales en materia de evaluación del trabajo. Todas estas cuestiones, </w:t>
      </w:r>
      <w:r w:rsidRPr="00AC56D6">
        <w:rPr>
          <w:i/>
        </w:rPr>
        <w:t>ratione materiae</w:t>
      </w:r>
      <w:r>
        <w:t>, deberían haber sido objeto de negociación colectiva con carácter previo a la aprobación del Decreto-ley, en aplicación del ya citado art. 37.1 LEEP.</w:t>
      </w:r>
    </w:p>
    <w:p w:rsidR="00AC56D6" w:rsidRDefault="00AC56D6" w:rsidP="00AC56D6">
      <w:pPr>
        <w:pStyle w:val="TextoNormal"/>
      </w:pPr>
    </w:p>
    <w:p w:rsidR="00AC56D6" w:rsidRDefault="00AC56D6" w:rsidP="00AC56D6">
      <w:pPr>
        <w:pStyle w:val="TextoNormal"/>
      </w:pPr>
      <w:r>
        <w:t xml:space="preserve">Sentado lo anterior, el recurso plantea si las materias que según el art. 37. 1 LEEP han de ser objeto de negociación colectiva lo han de ser también cuando su regulación se lleve </w:t>
      </w:r>
      <w:r>
        <w:lastRenderedPageBreak/>
        <w:t xml:space="preserve">a cabo por un Decreto-ley y no por una disposición reglamentaria o por un acuerdo, para concluir afirmando que, también en estos casos sería preceptiva la negociación colectiva pre-normativa, en relación con aquellos aspectos que incidan sobre las materias mencionadas; la LEEP no establece distinciones que excepcionen las normas con rango de ley de la obligación de negociación colectiva previa y, por otra parte, no es oponible a esta conclusión una eventual virtud derogatoria de la norma autonómica impugnada, precisamente porque la LEEP tendría carácter básico y habría sido dictada en ejercicio de la competencia estatal exclusiva </w:t>
      </w:r>
      <w:r w:rsidRPr="00AC56D6">
        <w:rPr>
          <w:i/>
        </w:rPr>
        <w:t>ex</w:t>
      </w:r>
      <w:r>
        <w:t xml:space="preserve"> art. 149.1.18 CE. Concluye este argumento, reforzando la idea de la inconstitucionalidad material del art. 1.9 y de la disposición adicional cuarta del Decreto-ley 5/2010, por el intento de derogar el art. 37.1 LEEP obviando la negociación colectiva y la competencia estatal que respalda al art. 37.1 LEEP, así como la inconstitucionalidad formal por la mera ausencia del trámite al que obliga una norma de carácter básico, la demanda evoca las SSTC 33/1983 y 137/2003, que, estimando sendos recursos de inconstitucionalidad, declararan nulos los artículos de los Reales Decretos-leyes controvertidos por haberse omitido en aquellos casos el preceptivo trámite de audiencia a la Comunidad Autónoma de Canarias, en aplicación de la disposición adicional tercera de la Constitución y del art. 46 del Estatuto de Autonomía. Entienden los recurrentes que el mismo razonamiento desarrollado en aquellas sentencias debe hacerse extensible al presente caso, para llevar al Tribunal a entender que la “extraordinaria y urgente necesidad” eventualmente concurrente en este caso, no debería haber impedido al ejecutivo autonómico completar el obligado trámite de la negociación colectiva respecto de los preceptos ahora recurridos.</w:t>
      </w:r>
    </w:p>
    <w:p w:rsidR="00AC56D6" w:rsidRDefault="00AC56D6" w:rsidP="00AC56D6">
      <w:pPr>
        <w:pStyle w:val="TextoNormal"/>
      </w:pPr>
    </w:p>
    <w:p w:rsidR="00AC56D6" w:rsidRDefault="00AC56D6" w:rsidP="00AC56D6">
      <w:pPr>
        <w:pStyle w:val="TextoNormal"/>
      </w:pPr>
      <w:r>
        <w:t>b) El art. 1.9 del Decreto-ley 5/2010, al introducir un apartado 3 en el art. 69 de la Ley 9/2007, de 22 octubre, de la Administración de la Junta de Andalucía, chocaría con el art. 9.2 LEEP, en la medida en que aquel permite encomendar, contra el criterio del precepto estatal básico, a las agencias públicas empresariales, cuyo personal, según el art. 70 de la Ley 9/2007 del 22 octubre, se rige por el derecho laboral las potestades de autotutela y recuperación del dominio público, sancionadora, expropiatoria, y de fe pública y todas aquellas reservadas a personal funcionario. En otras palabras, la norma autonómica impugnada no respeta a los funcionarios el ámbito de actuación que les asigna la normativa básica estatal, relativo al ejercicio de las potestades públicas y la salvaguarda de los intereses generales; y este no puede ser alterado siquiera por las leyes de las respectivas Administraciones públicas, que además habrán de respetar la atribución a los funcionarios de las tareas necesarias, directa o indirectamente, para el ejercicio de tales potestades.</w:t>
      </w:r>
    </w:p>
    <w:p w:rsidR="00AC56D6" w:rsidRDefault="00AC56D6" w:rsidP="00AC56D6">
      <w:pPr>
        <w:pStyle w:val="TextoNormal"/>
      </w:pPr>
    </w:p>
    <w:p w:rsidR="00AC56D6" w:rsidRDefault="00AC56D6" w:rsidP="00AC56D6">
      <w:pPr>
        <w:pStyle w:val="TextoNormal"/>
      </w:pPr>
      <w:r>
        <w:t>A juicio de los Diputados recurrentes la norma autonómica posibilita que el personal de las agencias públicas empresariales lleve a cabo funciones complementarias y de investigación y auxilio de las potestades públicas atribuidas a tales agencias.</w:t>
      </w:r>
    </w:p>
    <w:p w:rsidR="00AC56D6" w:rsidRDefault="00AC56D6" w:rsidP="00AC56D6">
      <w:pPr>
        <w:pStyle w:val="TextoNormal"/>
      </w:pPr>
    </w:p>
    <w:p w:rsidR="00AC56D6" w:rsidRDefault="00AC56D6" w:rsidP="00AC56D6">
      <w:pPr>
        <w:pStyle w:val="TextoNormal"/>
      </w:pPr>
      <w:r>
        <w:t xml:space="preserve">Como complemento a este argumento afirman los recurrentes que una correcta interpretación del art. 9.2 LEEP en relación con el art. 15.1 de la Ley 30/1992, de 26 de noviembre, de régimen jurídico de las Administraciones públicas y del procedimiento administrativo común (LPC), obliga a considerar que aquel precepto establece una atribución de la titularidad de las funciones propias de la función pública, impidiendo que sean externalizadas hacia entidades instrumentales que se rigen por el derecho privado, aunque se configuren y sean consideradas como medios propios de la administración; que es el caso de las agencias públicas empresariales a que se refiere la norma autonómica. Por las anteriores razones, se afirma en la demanda que los apartados 1 y 2 del art. 69, en la nueva redacción que les da </w:t>
      </w:r>
      <w:r>
        <w:lastRenderedPageBreak/>
        <w:t>el art. 1.9 del Decreto-ley 5/2010, también incurrirían en el mismo vicio de inconstitucionalidad señalado para el apartado 3. En síntesis, la queja de los recurrentes se cifra en la consideración de que la nueva redacción del art. 69 de la Ley 9/2007 habilita la atribución a las agencias públicas empresariales de régimen privado de funciones complementarias y de investigación y auxilio de las potestades públicas, así como el desplazamiento hacia dichas agencias (y a las de régimen público) de las potestades públicas en sí mismas consideradas; algo vedado por el art. 15.1 LPC.</w:t>
      </w:r>
    </w:p>
    <w:p w:rsidR="00AC56D6" w:rsidRDefault="00AC56D6" w:rsidP="00AC56D6">
      <w:pPr>
        <w:pStyle w:val="TextoNormal"/>
      </w:pPr>
    </w:p>
    <w:p w:rsidR="00AC56D6" w:rsidRDefault="00AC56D6" w:rsidP="00AC56D6">
      <w:pPr>
        <w:pStyle w:val="TextoNormal"/>
      </w:pPr>
      <w:r>
        <w:t>Se resume finalmente la queja planteada en este segundo apartado de la demanda, expresando que el Decreto-ley impugnado pretende modificar la gestión ordinaria de la actuación administrativa autonómica, derivando a las nuevas agencias públicas empresariales sometidas a derecho público —que la demanda califica como entes instrumentales cuyo personal está sometido íntegramente a Derecho laboral—, las potestades públicas y las funciones a ellas asociadas, dejando para los funcionarios una mera tarea de refrendo del trabajo realizado por el personal perteneciente a las agencias públicas empresariales; lo que sería contrario al art. 9.2 LEEP.</w:t>
      </w:r>
    </w:p>
    <w:p w:rsidR="00AC56D6" w:rsidRDefault="00AC56D6" w:rsidP="00AC56D6">
      <w:pPr>
        <w:pStyle w:val="TextoNormal"/>
      </w:pPr>
    </w:p>
    <w:p w:rsidR="00AC56D6" w:rsidRDefault="00AC56D6" w:rsidP="00AC56D6">
      <w:pPr>
        <w:pStyle w:val="TextoNormal"/>
      </w:pPr>
      <w:r>
        <w:t>c) El tercer argumento que se opone a la constitucionalidad del Decreto-ley autonómico se refiere a la vulneración, por parte de la disposición adicional cuarta y los arts. 3 al 12, 18 y 19, 22 a 24 del Decreto-ley 5/2010, del contenido esencial de los arts. 14 y 23.2 CE, en lo relativo al acceso en condiciones de igualdad a la función pública.</w:t>
      </w:r>
    </w:p>
    <w:p w:rsidR="00AC56D6" w:rsidRDefault="00AC56D6" w:rsidP="00AC56D6">
      <w:pPr>
        <w:pStyle w:val="TextoNormal"/>
      </w:pPr>
    </w:p>
    <w:p w:rsidR="00AC56D6" w:rsidRDefault="00AC56D6" w:rsidP="00AC56D6">
      <w:pPr>
        <w:pStyle w:val="TextoNormal"/>
      </w:pPr>
      <w:r>
        <w:t>Los recurrentes no reconducen su queja a la vulneración de los límites materiales del decreto-ley, a pesar de asumir que los preceptos impugnados afectan a derechos fundamentales. Por una parte, consideran que los límites contenidos en el art. 86.1 CE, y perfilados por la jurisprudencia constitucional (con cita de la STC 137/2003, FJ 6) han sido formulados en relación con los decretos-leyes dictados por el Gobierno de la Nación, y no por los ejecutivos autonómicos. Por otra, que los límites materiales a los decretos-leyes andaluces, contenidos en el art. 110.1 del Estatuto de Autonomía para Andalucía (EAA), no excluyen la necesidad de que la norma autonómica respete todos los preceptos de la Constitución. Por último, se afirma que la manera en que ha de ser interpretada la “afectación” de un derecho fundamental por un decreto-ley estatal, no tiene necesariamente que ser la misma en la que ha de ser interpretada su “afectación” por un Decreto-ley autonómico.</w:t>
      </w:r>
    </w:p>
    <w:p w:rsidR="00AC56D6" w:rsidRDefault="00AC56D6" w:rsidP="00AC56D6">
      <w:pPr>
        <w:pStyle w:val="TextoNormal"/>
      </w:pPr>
    </w:p>
    <w:p w:rsidR="00AC56D6" w:rsidRDefault="00AC56D6" w:rsidP="00AC56D6">
      <w:pPr>
        <w:pStyle w:val="TextoNormal"/>
      </w:pPr>
      <w:r>
        <w:t>El recurso de inconstitucionalidad denuncia, en primer lugar, que el régimen asociado a la reestructuración del sector público andaluz, prevé la integración del personal al servicio de entidades instrumentales públicas o privadas en las agencias públicas empresariales o de régimen especial que asuman el objeto y fines de aquellas. Conforma con esto un sistema privilegiado de acceso directo al empleo en las nuevas entidades instrumentales públicas, para el personal no funcionario anteriormente integrado en empresas participadas por la Junta de Andalucía. Ello supondría una desigualdad en el acceso a la función pública atentatorio de lo previsto en los arts. 14 y 23.2 CE. La vulneración de la igualdad se produce en relación con los funcionarios que tuvieron que superar una oposición para trabajar en la Administración pública andaluza, así como en relación con los terceros (opositores y ciudadanos en general) a los que no se les permite tal acceso privilegiado —por integración— que se concede a quienes venían trabajando en las citadas entidades sometidas a un régimen de Derecho privado.</w:t>
      </w:r>
    </w:p>
    <w:p w:rsidR="00AC56D6" w:rsidRDefault="00AC56D6" w:rsidP="00AC56D6">
      <w:pPr>
        <w:pStyle w:val="TextoNormal"/>
      </w:pPr>
    </w:p>
    <w:p w:rsidR="00AC56D6" w:rsidRDefault="00AC56D6" w:rsidP="00AC56D6">
      <w:pPr>
        <w:pStyle w:val="TextoNormal"/>
      </w:pPr>
      <w:r>
        <w:lastRenderedPageBreak/>
        <w:t>Los recurrentes niegan, en segundo lugar, el carácter potestativo de la integración “voluntaria” del personal funcionario en las agencias públicas laborales de nueva creación, puesto que la alternativa planteada en el Decreto-ley (perder su plaza de funcionario o permanecer en su puesto cuando todas las tareas y potestades han sido externalizadas) no es tal; se resolverá aplicando imperiosamente lo previsto en el nuevo art. 69 de la Ley 9/2007, sin las ventajas atribuidas a quienes “faciliten” la tarea, siendo ambas opciones atentatorias del principio de igualdad previsto en los arts. 14 y 23.2 CE. Se denuncia también la situación del personal laboral procedente de la Administración general de la Junta de Andalucía o de agencias administrativas, que habrá de integrarse en ambos casos “de acuerdo con las normas reguladoras de la sucesión de empresas”, desconociendo el régimen de Derecho público que rigió sus procesos selectivos. Además sólo a los primeros se les permitirá, durante los cinco años siguientes a la fecha de la integración forzosa en la nueva entidad, participar en las convocatorias de concursos de traslados que se realicen para personal laboral al que le sea de aplicación el convenio colectivo del personal laboral de la Administración general de la Junta de Andalucía. Ello supondría un elemento más de trato no igualitario entre quienes han accedido al empleo público siguiendo los mismos procedimientos que vulnera el contenido del art. 23.2 CE.</w:t>
      </w:r>
    </w:p>
    <w:p w:rsidR="00AC56D6" w:rsidRDefault="00AC56D6" w:rsidP="00AC56D6">
      <w:pPr>
        <w:pStyle w:val="TextoNormal"/>
      </w:pPr>
    </w:p>
    <w:p w:rsidR="00AC56D6" w:rsidRDefault="00AC56D6" w:rsidP="00AC56D6">
      <w:pPr>
        <w:pStyle w:val="TextoNormal"/>
      </w:pPr>
      <w:r>
        <w:t>En tercer término, esta parte considera que el Decreto-ley concede una serie de ventajas a los funcionarios que quieran integrarse como personal laboral en las nuevas agencias creadas por la norma. Quedan en situación administrativa de servicios en entidades del sector público andaluz y se les considera como mérito el trabajo desarrollado en las mismas cuando participen en convocatorias futuras. Igualmente se les reconoce por la agencia de destino el tiempo de servicios prestados en la Administración a efectos de la retribución que les corresponda por antigüedad; así como, cuando supuestamente reingresen al servicio activo, el tiempo de permanencia en la agencia a efectos de reconocimiento de trienios. No se conceden a los funcionarios que sin verse afectados por la reordenación quisieran integrarse en entidades instrumentales de la Junta de Andalucía. El recurso expone diversos ejemplos relativos a las diferencias entre el personal procedente de distintas Administraciones, el personal de la Administración que ha pasado a integrarse como personal laboral en entidades instrumentales de la Junta de Andalucía, y el personal funcionario de la Administración autonómica que permanece en ella, poniendo de relieve las diferencias injustificadas de régimen entre unos y otros.</w:t>
      </w:r>
    </w:p>
    <w:p w:rsidR="00AC56D6" w:rsidRDefault="00AC56D6" w:rsidP="00AC56D6">
      <w:pPr>
        <w:pStyle w:val="TextoNormal"/>
      </w:pPr>
    </w:p>
    <w:p w:rsidR="00AC56D6" w:rsidRDefault="00AC56D6" w:rsidP="00AC56D6">
      <w:pPr>
        <w:pStyle w:val="TextoNormal"/>
      </w:pPr>
      <w:r>
        <w:t>En cuarto lugar, los recurrentes denuncian que, conforme a la letra d) de la disposición adicional cuarta del Decreto-ley 5/2010, a quienes permanecen en sus puestos, por no verse afectados por la integración, se les va a seguir aplicando el mismo convenio colectivo vigente, mientras que a quienes son integrados sólo les resultará aplicable en tanto se apruebe uno nuevo. Por último, entienden que la letra e) de la disposición adicional cuarta, provocará en el futuro desigualdades, dado que su aplicación llevará aparejada una homogeneización de salarios que obligará a reducir los más elevados del personal laboral que resulte integrado, mientas que no sufrirán esa reducción los salarios de los no afectados por la reordenación.</w:t>
      </w:r>
    </w:p>
    <w:p w:rsidR="00AC56D6" w:rsidRDefault="00AC56D6" w:rsidP="00AC56D6">
      <w:pPr>
        <w:pStyle w:val="TextoNormal"/>
      </w:pPr>
    </w:p>
    <w:p w:rsidR="00AC56D6" w:rsidRDefault="00AC56D6" w:rsidP="00AC56D6">
      <w:pPr>
        <w:pStyle w:val="TextoNormal"/>
      </w:pPr>
      <w:r>
        <w:t xml:space="preserve">En síntesis, afirman los recurrentes que el límite que supone la aplicación de los arts. 14 y 23.2 CE al trato desigual dentro de la Administración, basado en la capacidad de auto-organización de las Comunidades Autónomas </w:t>
      </w:r>
      <w:r w:rsidRPr="00AC56D6">
        <w:rPr>
          <w:i/>
        </w:rPr>
        <w:t>ex</w:t>
      </w:r>
      <w:r>
        <w:t xml:space="preserve"> art. 147.2 c) y 148.1.1 CE, ha sido sobre</w:t>
      </w:r>
      <w:r>
        <w:lastRenderedPageBreak/>
        <w:t>pasado por el legislador autonómico. Configura en la disposición adicional cuarta del Decreto-ley el régimen de integración del personal que se ve afectado por la reordenación del sector público andaluz; en realidad no sólo afecta a quienes tienen que integrarse en las nuevas agencias, sino también, desde el punto de vista del derecho a acceder y ejercer las funciones y cargos públicos en condiciones de igualdad, al conjunto de los empleados públicos de la Junta de Andalucía y a todos los ciudadanos en general, que son titulares de esos mismos derechos.</w:t>
      </w:r>
    </w:p>
    <w:p w:rsidR="00AC56D6" w:rsidRDefault="00AC56D6" w:rsidP="00AC56D6">
      <w:pPr>
        <w:pStyle w:val="TextoNormal"/>
      </w:pPr>
    </w:p>
    <w:p w:rsidR="00AC56D6" w:rsidRDefault="00AC56D6" w:rsidP="00AC56D6">
      <w:pPr>
        <w:pStyle w:val="TextoNormal"/>
      </w:pPr>
      <w:r>
        <w:t>d) Por último, los Diputados que interponen el recurso de inconstitucionalidad denuncian la inexistencia del presupuesto habilitante para algunas de las medidas contenidas en el Decreto-ley. En apoyo de este argumento la demanda invoca el art. 110.1 EAA, que permite al Consejo de Gobierno dictar decretos leyes “en caso de extraordinaria y urgente necesidad”, recogiendo así como presupuesto de la válida aprobación de este tipo de disposiciones con rango de ley el mismo concepto jurídico indeterminado contenido en el art. 86.1 CE.</w:t>
      </w:r>
    </w:p>
    <w:p w:rsidR="00AC56D6" w:rsidRDefault="00AC56D6" w:rsidP="00AC56D6">
      <w:pPr>
        <w:pStyle w:val="TextoNormal"/>
      </w:pPr>
    </w:p>
    <w:p w:rsidR="00AC56D6" w:rsidRDefault="00AC56D6" w:rsidP="00AC56D6">
      <w:pPr>
        <w:pStyle w:val="TextoNormal"/>
      </w:pPr>
      <w:r>
        <w:t>En relación con la interpretación del alcance del presupuesto habilitante, el recurso invoca una consolidada doctrina constitucional, citando por todas las SSTC 23/1993, de 21 de enero; 182/1997, de 28 de octubre; 11/2002, de 17 de enero, y 137/2003, y aceptando la aplicación extensiva de la misma a la interpretación del art. 110.1 EAA. En esa línea los recurrentes entienden que aunque podrían existir razones de urgencia, vinculadas a una “coyuntura económica problemática”, que legitimaran con carácter general la utilización del decreto-ley, tales razones no concurren en este caso. Las medidas de verdadero contenido económico recogidas en el Decreto-ley 5/2010 no van a hacerse efectivas hasta que no sea aprobada la Ley de presupuestos de la Comunidad Autónoma correspondiente al ejercicio 2011. A mayor abundamiento los recurrentes afirman que la exposición de motivos del Decreto-ley justifica la extraordinaria y urgente necesidad en la situación de inestabilidad financiera existente, que obliga a reducir los objetivos de déficit al 3 por 100 del PIB en el año 2013, utilizando la reestructuración del sector público de forma que puedan obtenerse ganancias de eficiencia, contención del gasto y ahorro orientados a la mejora de los servicios públicos; entienden sin embargo que esa justificación no es aplicable a todas las medidas impugnadas.</w:t>
      </w:r>
    </w:p>
    <w:p w:rsidR="00AC56D6" w:rsidRDefault="00AC56D6" w:rsidP="00AC56D6">
      <w:pPr>
        <w:pStyle w:val="TextoNormal"/>
      </w:pPr>
    </w:p>
    <w:p w:rsidR="00AC56D6" w:rsidRDefault="00AC56D6" w:rsidP="00AC56D6">
      <w:pPr>
        <w:pStyle w:val="TextoNormal"/>
      </w:pPr>
      <w:r>
        <w:t xml:space="preserve">De los cuatro grupos de medidas que contiene el Decreto-ley impugnado, los recurrentes afirman que el primero (la modificación de la Ley de la Administración de la Junta de Andalucía en determinados preceptos relativos a la ordenación de las entidades instrumentales y de forma muy especial a las agencias públicas empresariales) no responde a los motivos declarados en relación con el presupuesto habilitante. Se justifica en la exposición de motivos con la pretensión de crear un esquema organizativo más eficaz en la realización de sus funciones y de facilitar la adaptación a la normativa básica estatal, fundamentalmente en materia de contratos Ley 30/2007, de contratos del sector público, de 30 de octubre y empleo público. Entienden los recurrentes que siendo la Ley de contratos del sector público, como la LEEP, normas del 2007 —año en que se aprobó la Ley de la Administración de la Junta de Andalucía— no se da el presupuesto habilitante para ese bloque concreto de medidas, ni tienen sustento en la coyuntura económica actual. Completan su argumentación afirmando que, en realidad, la verdadera motivación que lleva el Gobierno autonómico a aprobar estas disposiciones normativas, es el número creciente de pronunciamientos judiciales desfavorables que ha venido recibiendo en los últimos tiempos, como consecuencia de los recursos </w:t>
      </w:r>
      <w:r>
        <w:lastRenderedPageBreak/>
        <w:t>contencioso-administrativos planteados por algunas organizaciones sindicales contra las encomiendas de gestión realizadas a entes instrumentales de la Junta de Andalucía en las que se les atribuían potestades públicas sobrepasando los límites del art. 9.2 LEEP (con cita del Auto de 19 de octubre de 2009 y de 22 de junio de 2010, del Tribunal Superior de Justicia de Andalucía).</w:t>
      </w:r>
    </w:p>
    <w:p w:rsidR="00AC56D6" w:rsidRDefault="00AC56D6" w:rsidP="00AC56D6">
      <w:pPr>
        <w:pStyle w:val="TextoNormal"/>
      </w:pPr>
    </w:p>
    <w:p w:rsidR="00AC56D6" w:rsidRDefault="00AC56D6" w:rsidP="00AC56D6">
      <w:pPr>
        <w:pStyle w:val="TextoNormal"/>
      </w:pPr>
      <w:r>
        <w:t>En este orden de ideas, los Diputados recurrentes denuncian también la inexistencia del presupuesto habilitante para modificar el art. 78.2 de la Ley 9/2007. La modificación introducida no hace más que posibilitar el nombramiento del personal directivo de las fundaciones del sector público de forma discrecional; nada tendría que ver esta medida ni con la crisis económica ni con las modificaciones recientes de la Ley de contratos del sector público, ni con las de la LEEP, sino con un puro interés político que no justifica la utilización de la figura del decreto-ley.</w:t>
      </w:r>
    </w:p>
    <w:p w:rsidR="00AC56D6" w:rsidRDefault="00AC56D6" w:rsidP="00AC56D6">
      <w:pPr>
        <w:pStyle w:val="TextoNormal"/>
      </w:pPr>
    </w:p>
    <w:p w:rsidR="00AC56D6" w:rsidRDefault="00AC56D6" w:rsidP="00AC56D6">
      <w:pPr>
        <w:pStyle w:val="TextoNormal"/>
      </w:pPr>
      <w:r>
        <w:t>Finalmente la demanda de inconstitucionalidad hace referencia a la disposición adicional cuarta del Decreto-ley 5/2010, que excedería el presupuesto habilitante por incluir algunas reglas de integración del personal de los “centros directivos” de Consejerías, cuando el Decreto-ley no los suprime; sólo cabe interpretarlo como una posibilidad futura en los casos en que se produzca la supresión, de donde se deriva que tampoco se da la extraordinaria y urgente necesidad de la medida.</w:t>
      </w:r>
    </w:p>
    <w:p w:rsidR="00AC56D6" w:rsidRDefault="00AC56D6" w:rsidP="00AC56D6">
      <w:pPr>
        <w:pStyle w:val="TextoNormal"/>
      </w:pPr>
    </w:p>
    <w:p w:rsidR="00AC56D6" w:rsidRDefault="00AC56D6" w:rsidP="00AC56D6">
      <w:pPr>
        <w:pStyle w:val="TextoNormal"/>
      </w:pPr>
      <w:r>
        <w:t>En síntesis se afirma en la demanda que ninguno de los casos expuestos cumple el requisito de la conexión entre la concreta medida adoptada y la situación de urgencia definida por la exposición de motivos del Decreto-ley; no encuentran explicación alguna que permita concluir que las disposiciones anteriores vengan motivadas por una situación extraordinaria y urgente necesidad, ni en la exposición de motivos, ni en el trámite de convalidación de la norma.</w:t>
      </w:r>
    </w:p>
    <w:p w:rsidR="00AC56D6" w:rsidRDefault="00AC56D6" w:rsidP="00AC56D6">
      <w:pPr>
        <w:pStyle w:val="TextoNormal"/>
      </w:pPr>
    </w:p>
    <w:p w:rsidR="00AC56D6" w:rsidRDefault="00AC56D6" w:rsidP="00AC56D6">
      <w:pPr>
        <w:pStyle w:val="TextoNormal"/>
      </w:pPr>
      <w:r w:rsidRPr="00AC56D6">
        <w:rPr>
          <w:rStyle w:val="NumeroAFNegritaCaracter"/>
        </w:rPr>
        <w:t>2</w:t>
      </w:r>
      <w:r>
        <w:t>. Mediante providencia de 23 de noviembre de 2010, el Pleno del Tribunal Constitucional, a propuesta de la Sección Cuarta, acordó admitir a trámite el recurso de inconstitucionalidad y dar traslado de la demanda y documentos presentados, conforme establece el art. 34 LOTC, al Congreso de los Diputados y al Senado, por conducto de sus Presidentes; al Gobierno, a través del Ministro de Justicia, así como a la Junta de Andalucía y al Parlamento de Andalucía, por conducto de sus Presidentes, al objeto de que en el plazo de quince días, puedan personarse en el proceso y formular alegaciones. Por último, se adoptó la decisión de publicar la incoación del recurso en el “Boletín Oficial del Estado” y en el “Boletín Oficial de la Junta de Andalucía”.</w:t>
      </w:r>
    </w:p>
    <w:p w:rsidR="00AC56D6" w:rsidRDefault="00AC56D6" w:rsidP="00AC56D6">
      <w:pPr>
        <w:pStyle w:val="TextoNormal"/>
      </w:pPr>
    </w:p>
    <w:p w:rsidR="00AC56D6" w:rsidRDefault="00AC56D6" w:rsidP="00AC56D6">
      <w:pPr>
        <w:pStyle w:val="TextoNormal"/>
      </w:pPr>
      <w:r w:rsidRPr="00AC56D6">
        <w:rPr>
          <w:rStyle w:val="NumeroAFNegritaCaracter"/>
        </w:rPr>
        <w:t>3</w:t>
      </w:r>
      <w:r>
        <w:t>. Con fecha de 3 de diciembre de 2010, la Letrada de la Junta de Andalucía, en la representación que por su cargo ostenta, comparece ante el Tribunal Constitucional solicitando que se la tenga por personada en el recurso de inconstitucionalidad y resuelva conceder una prórroga del plazo establecido para formular sus alegaciones.</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El 10 de diciembre de 2010, se registra en el Tribunal Constitucional escrito del Letrado del Parlamento de Andalucía, quien, de conformidad con el art. 5.1 del Estatuto de personal del Parlamento ostenta la representación de dicho órgano. Informa de la decisión de la Mesa del Parlamento de Andalucía, de 9 de diciembre de 2010, de personarse en el </w:t>
      </w:r>
      <w:r>
        <w:lastRenderedPageBreak/>
        <w:t>recurso de inconstitucionalidad y formular alegaciones, solicitando la prórroga del plazo de presentación de alegaciones en ocho días.</w:t>
      </w:r>
    </w:p>
    <w:p w:rsidR="00AC56D6" w:rsidRDefault="00AC56D6" w:rsidP="00AC56D6">
      <w:pPr>
        <w:pStyle w:val="TextoNormal"/>
      </w:pPr>
    </w:p>
    <w:p w:rsidR="00AC56D6" w:rsidRDefault="00AC56D6" w:rsidP="00AC56D6">
      <w:pPr>
        <w:pStyle w:val="TextoNormal"/>
      </w:pPr>
      <w:r w:rsidRPr="00AC56D6">
        <w:rPr>
          <w:rStyle w:val="NumeroAFNegritaCaracter"/>
        </w:rPr>
        <w:t>5</w:t>
      </w:r>
      <w:r>
        <w:t>. El Pleno, mediante providencia de 13 de diciembre de 2010, acordó tener por personadas tanto a la representación de la Junta de Andalucía como a la del Parlamento de Andalucía, y concederles una prórroga de ocho días adicionales para presentar sus alegaciones.</w:t>
      </w:r>
    </w:p>
    <w:p w:rsidR="00AC56D6" w:rsidRDefault="00AC56D6" w:rsidP="00AC56D6">
      <w:pPr>
        <w:pStyle w:val="TextoNormal"/>
      </w:pPr>
    </w:p>
    <w:p w:rsidR="00AC56D6" w:rsidRDefault="00AC56D6" w:rsidP="00AC56D6">
      <w:pPr>
        <w:pStyle w:val="TextoNormal"/>
      </w:pPr>
      <w:r w:rsidRPr="00AC56D6">
        <w:rPr>
          <w:rStyle w:val="NumeroAFNegritaCaracter"/>
        </w:rPr>
        <w:t>6</w:t>
      </w:r>
      <w:r>
        <w:t>. El 14 de diciembre se registra en el Tribunal escrito del Presidente del Congreso de los Diputados en el que se comunicaba que dicha Cámara solicitaba que se la tuviera por personada en el procedimiento y por ofrecida su colaboración a los efectos del art. 88.1 LOTC. En idénticos términos se manifiesta el escrito del Presidente del Senado, de 13 de diciembre de 2010, registrado en el Tribunal Constitucional el 14 de diciembre.</w:t>
      </w:r>
    </w:p>
    <w:p w:rsidR="00AC56D6" w:rsidRDefault="00AC56D6" w:rsidP="00AC56D6">
      <w:pPr>
        <w:pStyle w:val="TextoNormal"/>
      </w:pPr>
    </w:p>
    <w:p w:rsidR="00AC56D6" w:rsidRDefault="00AC56D6" w:rsidP="00AC56D6">
      <w:pPr>
        <w:pStyle w:val="TextoNormal"/>
      </w:pPr>
      <w:r w:rsidRPr="00AC56D6">
        <w:rPr>
          <w:rStyle w:val="NumeroAFNegritaCaracter"/>
        </w:rPr>
        <w:t>7</w:t>
      </w:r>
      <w:r>
        <w:t>. El Abogado del Estado, mediante escrito registrado en el Tribunal el 20 de diciembre de 2010, manifiesta su voluntad de personarse en el recurso en nombre del Gobierno y de no formular alegaciones.</w:t>
      </w:r>
    </w:p>
    <w:p w:rsidR="00AC56D6" w:rsidRDefault="00AC56D6" w:rsidP="00AC56D6">
      <w:pPr>
        <w:pStyle w:val="TextoNormal"/>
      </w:pPr>
    </w:p>
    <w:p w:rsidR="00AC56D6" w:rsidRDefault="00AC56D6" w:rsidP="00AC56D6">
      <w:pPr>
        <w:pStyle w:val="TextoNormal"/>
      </w:pPr>
      <w:r w:rsidRPr="00AC56D6">
        <w:rPr>
          <w:rStyle w:val="NumeroAFNegritaCaracter"/>
        </w:rPr>
        <w:t>8</w:t>
      </w:r>
      <w:r>
        <w:t>. Las alegaciones presentadas por la Letrada de la Junta de Andalucía, son registradas en el Tribunal Constitucional con fecha de 29 de diciembre de 2010 y se estructuran en torno a cuatro bloques de alegaciones, correspondientes a cada uno de los motivos de inconstitucionalidad invocados por los recurrentes.</w:t>
      </w:r>
    </w:p>
    <w:p w:rsidR="00AC56D6" w:rsidRDefault="00AC56D6" w:rsidP="00AC56D6">
      <w:pPr>
        <w:pStyle w:val="TextoNormal"/>
      </w:pPr>
    </w:p>
    <w:p w:rsidR="00AC56D6" w:rsidRDefault="00AC56D6" w:rsidP="00AC56D6">
      <w:pPr>
        <w:pStyle w:val="TextoNormal"/>
      </w:pPr>
      <w:r>
        <w:t>a) En relación con los dos motivos que sostienen la inconstitucionalidad formal y material del Decreto-ley autonómico, por inexistencia de previa negociación colectiva, la Letrada de la Junta de Andalucía alega lo siguiente.</w:t>
      </w:r>
    </w:p>
    <w:p w:rsidR="00AC56D6" w:rsidRDefault="00AC56D6" w:rsidP="00AC56D6">
      <w:pPr>
        <w:pStyle w:val="TextoNormal"/>
      </w:pPr>
    </w:p>
    <w:p w:rsidR="00AC56D6" w:rsidRDefault="00AC56D6" w:rsidP="00AC56D6">
      <w:pPr>
        <w:pStyle w:val="TextoNormal"/>
      </w:pPr>
      <w:r>
        <w:t xml:space="preserve">Respecto de la vulneración del art. 37.1 LEEP en que incurriría el Decreto-ley controvertido, la Junta de Andalucía no cuestiona el carácter básico del indicado artículo, asumiendo la delimitación competencial de la cuestión realizada por los recurrentes y que incardina los preceptos impugnados en la materia “ordenación administrativa” u “organización propia de la Comunidad Autónoma” (art. 47.1.1 EAA). Desde tal encuadre competencial, la Junta afirma que la norma básica de referencia no ha de ser el primer apartado del art. 37 LEEP, relativo a la función pública, sino el segundo, que expresamente excluye “las decisiones de las Administraciones públicas que afecten a las potestades de organización” del ámbito de la negociación colectiva preceptiva, por lo que no serían atendibles los razonamientos de los recurrentes sobre la infracción del art. 37.1 LEEP. El escrito de alegaciones se detiene luego en el examen de si es aplicable al caso la contra-excepción del párrafo 2 del art. 37.2 LEEP, en los siguientes términos: “cuando las consecuencias de las decisiones de la Administraciones públicas que afecten a sus potestades de organización tengan repercusión sobre las condiciones de trabajo de los funcionarios públicos contempladas en el apartado anterior, procederá la negociación de dichas condiciones con las organizaciones sindicales a que se refiere este Estatuto”. El examen arroja un resultado negativo. La Letrada de la Junta de Andalucía considera que no es preciso negociar las decisiones adoptadas en el ámbito autoorganizativo, sino exclusivamente las posibles repercusiones que dichas decisiones puedan tener en las condiciones laborales de los trabajadores. Habrá de tenerse en cuenta que tales condiciones se modularán, vía negociación colectiva, en el momento aplicativo de la norma; esto es, en la fase posterior de plasmación normativa de los concretos </w:t>
      </w:r>
      <w:r>
        <w:lastRenderedPageBreak/>
        <w:t>cambios que deben operarse en las condiciones trabajo de los funcionarios públicos para llevar a cabo la nueva organización prevista.</w:t>
      </w:r>
    </w:p>
    <w:p w:rsidR="00AC56D6" w:rsidRDefault="00AC56D6" w:rsidP="00AC56D6">
      <w:pPr>
        <w:pStyle w:val="TextoNormal"/>
      </w:pPr>
    </w:p>
    <w:p w:rsidR="00AC56D6" w:rsidRDefault="00AC56D6" w:rsidP="00AC56D6">
      <w:pPr>
        <w:pStyle w:val="TextoNormal"/>
      </w:pPr>
      <w:r>
        <w:t>Por otro lado, y por dar respuesta al argumento utilizado en el recurso de que la obligación de negociación colectiva se aplicaría también a la norma de rango legal, y no sólo a la norma de rango reglamentario, la Letrada de la Junta de Andalucía afirma que dicho razonamiento es defectuoso desde dos puntos de vista: en la medida en que se equipara la naturaleza jurídica de la norma legal con la de una mera norma reglamentaria y al extrapolar indebidamente la doctrina del Tribunal Constitucional a supuestos que no son equiparables; lo que trata de demostrarse con la exposición detallada del contenido de las SSTC 35/1984 y 137/2003.</w:t>
      </w:r>
    </w:p>
    <w:p w:rsidR="00AC56D6" w:rsidRDefault="00AC56D6" w:rsidP="00AC56D6">
      <w:pPr>
        <w:pStyle w:val="TextoNormal"/>
      </w:pPr>
    </w:p>
    <w:p w:rsidR="00AC56D6" w:rsidRDefault="00AC56D6" w:rsidP="00AC56D6">
      <w:pPr>
        <w:pStyle w:val="TextoNormal"/>
      </w:pPr>
      <w:r>
        <w:t>Para concluir el razonamiento relativo a este punto, la representación procesal de la Junta de Andalucía afirma que un Decreto-ley, por su propia naturaleza, no puede quedar sujeto a la exigencia de negociación previa so pena de desnaturalizar su esencia como instrumento normativo que responde a situaciones de extraordinaria y urgente necesidad. Por último, y pese a todos los argumentos vertidos en relación con esta alegación, la Letrada de la Junta de Andalucía reconoce que, con fecha de 23 de noviembre de 2010, fue aprobado el nuevo Decreto-ley 6/2010, de medidas complementarias del Decreto-ley 5/2010, de 27 de julio, por el que se aprueban medidas urgentes en materia de reordenación del sector público; reproduce íntegramente el Decreto-ley anterior salvo en los arts. 69.3 y la disposición adicional cuarta, a los que modifica de acuerdo con la negociación habida con las organizaciones sindicales, por lo que si algún defecto hubiera existido, habría quedado subsanado.</w:t>
      </w:r>
    </w:p>
    <w:p w:rsidR="00AC56D6" w:rsidRDefault="00AC56D6" w:rsidP="00AC56D6">
      <w:pPr>
        <w:pStyle w:val="TextoNormal"/>
      </w:pPr>
    </w:p>
    <w:p w:rsidR="00AC56D6" w:rsidRDefault="00AC56D6" w:rsidP="00AC56D6">
      <w:pPr>
        <w:pStyle w:val="TextoNormal"/>
      </w:pPr>
      <w:r>
        <w:t>b) En relación con la impugnación del art. 1.9 del Decreto-ley 5/2010, que da nueva redacción al art. 69 de la Ley de la Administración de la Junta de Andalucía, la Letrada de esta parte introduce sus alegaciones afirmando que la impugnación de los apartados 1 y 2 del art. 69 citado es —por su extemporaneidad— procesalmente inadmisible; en la medida en que el nuevo Decreto-ley 5/2010 no innova el ordenamiento jurídico cuando reproduce literalmente los apartados 1 y 2 del art. 69 de la Ley 9/2007, en la redacción que les fuera dada en el año 2007.</w:t>
      </w:r>
    </w:p>
    <w:p w:rsidR="00AC56D6" w:rsidRDefault="00AC56D6" w:rsidP="00AC56D6">
      <w:pPr>
        <w:pStyle w:val="TextoNormal"/>
      </w:pPr>
    </w:p>
    <w:p w:rsidR="00AC56D6" w:rsidRDefault="00AC56D6" w:rsidP="00AC56D6">
      <w:pPr>
        <w:pStyle w:val="TextoNormal"/>
      </w:pPr>
      <w:r>
        <w:t>Limitándose a responder a la impugnación del nuevo art. 69.3 de la Ley 9/2007, la representación procesal de la Junta desarrolla dos argumentos, uno vinculado a la pretendida vulneración del art. 9.2 LEEP y otro a la eventual contradicción entre la disposición impugnada y el art. 15 LPC.</w:t>
      </w:r>
    </w:p>
    <w:p w:rsidR="00AC56D6" w:rsidRDefault="00AC56D6" w:rsidP="00AC56D6">
      <w:pPr>
        <w:pStyle w:val="TextoNormal"/>
      </w:pPr>
    </w:p>
    <w:p w:rsidR="00AC56D6" w:rsidRDefault="00AC56D6" w:rsidP="00AC56D6">
      <w:pPr>
        <w:pStyle w:val="TextoNormal"/>
      </w:pPr>
      <w:r>
        <w:t xml:space="preserve">Por lo que hace al alcance del art. 9.2 LEEP, el escrito de alegaciones niega la interpretación literal del mismo que realizan los recurrentes. Plantea como alternativa una interpretación del precepto en clave de Derecho comunitario, evocando el art. 453 de la versión consolidada del Tratado de la Unión Europea y de funcionamiento de la Unión Europea que consagra la libertad circulación de los trabajadores dentro de la Unión, con la sola excepción de los empleos en la Administración pública. Esta excepción ha sido interpretada por el Tribunal de Justicia de la Unión Europea en un sentido restrictivo, considerando que sólo cabe la reserva de empleo público a los nacionales de cada Estado de puestos de trabajo que impliquen “una participación directa o indirecta en el ejercicio de la potestad pública y en la salvaguarda de los intereses generales del Estado y demás Entidades Públicas” (con cita de las Sentencias </w:t>
      </w:r>
      <w:r w:rsidRPr="00AC56D6">
        <w:rPr>
          <w:i/>
        </w:rPr>
        <w:t>Sotgiu</w:t>
      </w:r>
      <w:r>
        <w:t xml:space="preserve"> de 12 de febrero 1974; Sentencia de 17 diciembre 1980, asunto </w:t>
      </w:r>
      <w:r>
        <w:lastRenderedPageBreak/>
        <w:t xml:space="preserve">149/79, </w:t>
      </w:r>
      <w:r w:rsidRPr="00AC56D6">
        <w:rPr>
          <w:i/>
        </w:rPr>
        <w:t>Comisión vs. Bélgica</w:t>
      </w:r>
      <w:r>
        <w:t xml:space="preserve">, FJ 10; sentencia de 3 junio 1986, asunto 307/84, </w:t>
      </w:r>
      <w:r w:rsidRPr="00AC56D6">
        <w:rPr>
          <w:i/>
        </w:rPr>
        <w:t>Comisión vs. Francia</w:t>
      </w:r>
      <w:r>
        <w:t>, FJ 12). Interpreta la Letrada de la Junta que el art. 9.2 LEEP integra esta interpretación jurisprudencial de la excepción al principio comunitario de libre circulación de trabajadores, lo que implica que cualquier interpretación de dicho precepto no puede hacerse en un sentido extensivo sino restrictivo, al aceptar que se trata de una excepción al principio general de Derecho comunitario de libre circulación de trabajadores.</w:t>
      </w:r>
    </w:p>
    <w:p w:rsidR="00AC56D6" w:rsidRDefault="00AC56D6" w:rsidP="00AC56D6">
      <w:pPr>
        <w:pStyle w:val="TextoNormal"/>
      </w:pPr>
    </w:p>
    <w:p w:rsidR="00AC56D6" w:rsidRDefault="00AC56D6" w:rsidP="00AC56D6">
      <w:pPr>
        <w:pStyle w:val="TextoNormal"/>
      </w:pPr>
      <w:r>
        <w:t>Desde esta interpretación restrictiva del art. 9.2 LEEP, no existiría contradicción entre este y el art. 69.3 de la Ley 9/2007 cuando señala la posibilidad de que el personal de las agencias públicas empresariales “lleve a cabo funciones complementarias y de investigación y auxilio” de las potestades públicas. Habría que tener en cuenta que lo único reservado a los funcionarios (empleos inaccesibles a los nacionales de otros estados miembros) serían las funciones que encarnan la soberanía del estado, otorgando a sus titulares la facultad de ejercitar prerrogativas que sobrepasan el ámbito del Derecho común. En cualquier caso el art. 69.3 impugnado, ha sido derogado en la redacción atacada por el recurso por el Decreto-ley 6/2010, que ha hecho desaparecer el último párrafo controvertido; lo que implicaría la pérdida sobrevenida del objeto del recurso de inconstitucionalidad en este punto. Por último se afirma que no se infringe el art. 9.2 LEEP cuando se atribuyen potestades públicas a las agencias públicas empresariales, puesto que una cosa es la titularidad de la potestad y otra el ejercicio de la misma, así, en este caso, la titularidad de la potestad la ostentará la agencia pública empresarial, si bien su ejercicio se deberá realizar a través del personal funcionario que dicha agencia tendrá adscrito y bajo cuya dirección funcional desempeña sus funciones públicas.</w:t>
      </w:r>
    </w:p>
    <w:p w:rsidR="00AC56D6" w:rsidRDefault="00AC56D6" w:rsidP="00AC56D6">
      <w:pPr>
        <w:pStyle w:val="TextoNormal"/>
      </w:pPr>
    </w:p>
    <w:p w:rsidR="00AC56D6" w:rsidRDefault="00AC56D6" w:rsidP="00AC56D6">
      <w:pPr>
        <w:pStyle w:val="TextoNormal"/>
      </w:pPr>
      <w:r>
        <w:t>En segundo término, la pretendida vulneración del art. 15 LPC por el art. 69.3 del Decreto-ley andaluz es rechazada por la representación procesal de la Junta de Andalucía bajo los siguientes argumentos: el presupuesto de hecho del art. 15 LPC nada tiene que ver con lo que dispone el art. 69 de la Ley 9/2007, ya que aquel parte de la contemplación de entidades que no tienen atribuidas dichas potestades; de ahí que sea necesario “encomendar” su ejercicio, al atribuir la norma impugnada por Ley las potestades en liza a las agencias públicas empresariales. En síntesis, la prohibición que contiene el art. 15.5 LPC ha de entenderse referida al ámbito propio de las encomiendas, no de las atribuciones, y respecto de las entidades sujetas exclusivamente al derecho privado. Se trata de que la encomienda de gestión que regula el precepto básico recaiga, respecto de las actividades a que hace referencia el apartado primero, en personas de derecho público; puesto que si lo hiciera en personas de derecho privado estaríamos ante un contrato en sentido estricto, posibilidad que niega no sólo el art. 15.5 LPC sino también el art. 4 de la Ley de contratos del sector público.</w:t>
      </w:r>
    </w:p>
    <w:p w:rsidR="00AC56D6" w:rsidRDefault="00AC56D6" w:rsidP="00AC56D6">
      <w:pPr>
        <w:pStyle w:val="TextoNormal"/>
      </w:pPr>
    </w:p>
    <w:p w:rsidR="00AC56D6" w:rsidRDefault="00AC56D6" w:rsidP="00AC56D6">
      <w:pPr>
        <w:pStyle w:val="TextoNormal"/>
      </w:pPr>
      <w:r>
        <w:t>c) El tercer bloque argumental que estructura el escrito de alegaciones de la Junta de Andalucía, se refiere a la infracción de los arts. 14 y 23.2 CE en que incurriría la disposición adicional cuarta y los arts. 3 a 12, 18, 19 y 22 a 24 del Decreto-ley 5/2010. Esta parte responde a las impugnaciones del recurso de inconstitucionalidad centrándose en mostrar su oposición a la invocación relativa a que los preceptos impugnados son contrarios al contenido esencial del art. 23.2 CE. Parte para ello de la definición de tal contenido esencial elaborada por la STC 30/2008, de 25 de febrero. Reagrupa la invocación de los arts. 14 y 23.2 CE, recurriendo a la idea de que, de acuerdo con una reiterada doctrina constitucional, cuando la queja por desigualdad se plantea respecto de los supuestos comprendidos en el art. 23.2 CE no es necesaria la invocación del art. 14 CE.</w:t>
      </w:r>
    </w:p>
    <w:p w:rsidR="00AC56D6" w:rsidRDefault="00AC56D6" w:rsidP="00AC56D6">
      <w:pPr>
        <w:pStyle w:val="TextoNormal"/>
      </w:pPr>
    </w:p>
    <w:p w:rsidR="00AC56D6" w:rsidRDefault="00AC56D6" w:rsidP="00AC56D6">
      <w:pPr>
        <w:pStyle w:val="TextoNormal"/>
      </w:pPr>
      <w:r>
        <w:t>La Letrada de la Junta, invocando la STC 30/2008, afirma que el problema que plantean los recurrentes no se refiere al acceso a la función pública, sino al régimen de integración del personal al servicio del sector público dentro de cada una de las agencias; es decir, a la provisión de puestos de trabajo entre personas que ya han accedido a la función pública. Por tanto, en este ámbito material, se pueden tener en cuenta criterios distintos a los que orientan el acceso a la función pública, destinados a lograr una mayor eficacia en la organización y prestación de los servicios públicos o a satisfacer otros bienes constitucionalmente protegidos. Esto es, una vez que los principios de mérito y capacidad en el acceso en condiciones de igualdad al empleo público —contenido esencial del art. 23.2 CE, garantizado por la LEEP—, se han tenido en cuenta en las oportunas convocatorias (ya se trate de personal proveniente de Consejerías, agencias administrativas especiales o agencias públicas empresariales que se rijan por el Derecho administrativo, ya sea el régimen de su personal funcionario o laboral), ahora se trata de determinar si en la “integración” del personal que resulta de la reestructuración administrativa se han respetado también las exigencias del art. 23.2 CE, siendo para ello necesario descender al estudio de la disposición adicional cuarta impugnada. Esta perspectiva exige realizar una observación preliminar relativa a la pérdida de objeto del recurso, dado que la disposición adicional cuarta ha sido parcialmente derogada por el Decreto-ley 6/2010, de 23 noviembre; se ha introducido un apartado 2 a dicha disposición que expresamente elimina la posibilidad de integración de personal entre una sociedad mercantil y una agencia administrativa. A partir de ahí, la Letrada de la Junta afirma, respecto de la previsión de integración voluntaria del personal funcionario como personal laboral, que los recurrentes no han aportado el preceptivo término de comparación con el que pueda constatarse la diferencia de trato, por lo que no es posible apreciar la desigualdad denunciada. Esta observación no impide considerar que no existe un derecho inamovible al puesto de trabajo. Respecto de la situación del personal que no se ve afectado por la reordenación y, por tanto, que no se beneficia de las ventajas que ofrece la disposición adicional cuarta en los supuestos de laboralización voluntaria, la Letrada de la Junta entiende que la impugnación es prematura, por cuanto se desconoce a la fecha quiénes serán los funcionarios afectados o si va a haber personal excluido. Un protocolo posterior especificará esta previsión, previa consulta y negociación con los órganos de representación del personal e informe de los órganos correspondientes de la Consejería competente en materia de hacienda. Por último, respecto del resto de los artículos que se dicen impugnados por relación con la disposición adicional cuarta, la Junta de Andalucía evita pronunciarse al entender que los recurrentes no han desplegado una mínima actividad técnico-jurídica en sentido impugnatorio.</w:t>
      </w:r>
    </w:p>
    <w:p w:rsidR="00AC56D6" w:rsidRDefault="00AC56D6" w:rsidP="00AC56D6">
      <w:pPr>
        <w:pStyle w:val="TextoNormal"/>
      </w:pPr>
    </w:p>
    <w:p w:rsidR="00AC56D6" w:rsidRDefault="00AC56D6" w:rsidP="00AC56D6">
      <w:pPr>
        <w:pStyle w:val="TextoNormal"/>
      </w:pPr>
      <w:r>
        <w:t>d) Por último, dando respuesta al argumento de que el Decreto-ley 5/2010 se dictó sin la concurrencia del presupuesto habilitante, la Letrada de la Junta de Andalucía afirma que sí se da justificación de la extraordinaria y urgente necesidad del Decreto-ley. Se trataba de que, en la fecha de aprobación de la Ley de presupuestos de la Comunidad Autónoma, pudiera contarse con un organigrama administrativo que reflejase en la Ley de presupuestos la efectiva reducción del gasto público, en ejecución de los compromisos adquiridos en el seno del Consejo de política fiscal y financiera de 15 de junio de 2010. Se resaltó la necesidad de utilizar la reestructuración del sector público para obtener ganancias en eficiencia, contención del gasto y ahorro orientadas a la mejora de los servicios públicos, con el objetivo de avanzar en el compromiso de sostenibilidad de las finanzas públicas para el período 2010-2013.</w:t>
      </w:r>
    </w:p>
    <w:p w:rsidR="00AC56D6" w:rsidRDefault="00AC56D6" w:rsidP="00AC56D6">
      <w:pPr>
        <w:pStyle w:val="TextoNormal"/>
      </w:pPr>
    </w:p>
    <w:p w:rsidR="00AC56D6" w:rsidRDefault="00AC56D6" w:rsidP="00AC56D6">
      <w:pPr>
        <w:pStyle w:val="TextoNormal"/>
      </w:pPr>
      <w:r>
        <w:t>Se insiste en que la tramitación sumaria del Decreto-ley es el único procedimiento que permitía cumplir el compromiso adquirido en el Consejo de política fiscal y financiera. Debe tenerse en cuenta que existían objetivos parciales que cumplimentar en el ejercicio presupuestario de 2010 y que las medidas contenidas en el Decreto-ley habían de ser desarrolladas; el mismo no es directamente aplicable en la profunda modificación estructural que propone, sino que se limita a crear un marco general que es preciso ampliar para poder entender efectivamente realizado el nuevo modelo de organización administrativa y que encuentre reflejo en la Ley de presupuestos para 2011. Por todo lo anterior, la Letrada de la Junta entiende que una norma con naturaleza de marco general como la impugnada debe ser dictada con al menos 6 meses de antelación a la aprobación de los presupuestos generales para que en estos últimos pudieran verse reflejados los cambios operados.</w:t>
      </w:r>
    </w:p>
    <w:p w:rsidR="00AC56D6" w:rsidRDefault="00AC56D6" w:rsidP="00AC56D6">
      <w:pPr>
        <w:pStyle w:val="TextoNormal"/>
      </w:pPr>
    </w:p>
    <w:p w:rsidR="00AC56D6" w:rsidRDefault="00AC56D6" w:rsidP="00AC56D6">
      <w:pPr>
        <w:pStyle w:val="TextoNormal"/>
      </w:pPr>
      <w:r w:rsidRPr="00AC56D6">
        <w:rPr>
          <w:rStyle w:val="NumeroAFNegritaCaracter"/>
        </w:rPr>
        <w:t>9</w:t>
      </w:r>
      <w:r>
        <w:t>. El Letrado del Parlamento de Andalucía presenta, en nombre de la cámara autonómica, su escrito de alegaciones ante el registro del Tribunal Constitucional el 7 de enero de 2011. Con carácter previo esta parte plantea dos óbices procesales: uno relativo a la ausencia de legitimación para interponer el recurso y otro vinculado a la pérdida de objeto del mismo.</w:t>
      </w:r>
    </w:p>
    <w:p w:rsidR="00AC56D6" w:rsidRDefault="00AC56D6" w:rsidP="00AC56D6">
      <w:pPr>
        <w:pStyle w:val="TextoNormal"/>
      </w:pPr>
    </w:p>
    <w:p w:rsidR="00AC56D6" w:rsidRDefault="00AC56D6" w:rsidP="00AC56D6">
      <w:pPr>
        <w:pStyle w:val="TextoNormal"/>
      </w:pPr>
      <w:r>
        <w:t xml:space="preserve">Por lo que hace a la primera cuestión, el letrado del Parlamento de Andalucía afirma que, según la doctrina del Tribunal Constitucional (con cita de la STC 42/1985), el acuerdo al que se refiere el art. 32.2 LOTC, previo a la interposición del recurso, es exigible cuando este es interpuesto por un mínimo de cincuenta Diputados y se adopta para interponer un concreto recurso de inconstitucionalidad contra una concreta ley o disposición con rango de ley. De esta consideración deriva esta parte que no se “es” comisionado para cualquier proceso constitucional, sino que se “está” comisionado a ciertos efectos; razón por la cual es imprescindible que el sujeto legitimado adopte la decisión de promover el proceso constitucional y que el representante procesal, el comisionado en este caso, acredite documentalmente de modo fehaciente la adopción de esta decisión </w:t>
      </w:r>
      <w:r w:rsidRPr="00AC56D6">
        <w:rPr>
          <w:i/>
        </w:rPr>
        <w:t>ad casum</w:t>
      </w:r>
      <w:r>
        <w:t xml:space="preserve"> (con cita de la STC 42/1985 y del ATC 24/1990). A lo anterior añade el Parlamento de Andalucía que el acuerdo para la interposición de un concreto recurso de inconstitucionalidad debe tener un determinado contenido, que permita garantizar que son los sujetos legitimados y no sus representantes procesales los que deciden el alcance y objeto del recurso; esto es, cuáles son los preceptos con rango de ley del ordenamiento jurídico que consideran inconstitucionales (en este caso con cita de la STC 61/1997, de 20 de marzo).</w:t>
      </w:r>
    </w:p>
    <w:p w:rsidR="00AC56D6" w:rsidRDefault="00AC56D6" w:rsidP="00AC56D6">
      <w:pPr>
        <w:pStyle w:val="TextoNormal"/>
      </w:pPr>
    </w:p>
    <w:p w:rsidR="00AC56D6" w:rsidRDefault="00AC56D6" w:rsidP="00AC56D6">
      <w:pPr>
        <w:pStyle w:val="TextoNormal"/>
      </w:pPr>
      <w:r>
        <w:t xml:space="preserve">Partiendo de los anteriores presupuestos jurisprudenciales, entiende el Parlamento de Andalucía que en el presente recurso de inconstitucionalidad no ha existido un acuerdo válido previo a la interposición. No se especifican los preceptos objeto del recurso en el poder general para pleitos otorgado por los Diputados que figuran como recurrentes en el que facultan al Abogado don Arturo García-Tizón para que actúe como comisionado en recursos de inconstitucionalidad. Tampoco se especifican en la certificación del Secretario general del Congreso de los Diputados de la que se deriva que quienes figuran como recurrentes son en efecto Diputados del Grupo Parlamentario Popular, ni en la certificación del Secretario General del Grupo Parlamentario Popular en el Congreso en la que indica la fecha de adopción del acuerdo de apoderamiento e interposición del recurso de inconstitucionalidad; ni en el escrito firmado por los Diputados que figuran como recurrentes en el que se expone la voluntad de interponer recurso de inconstitucionalidad. El Letrado autonómico considera </w:t>
      </w:r>
      <w:r>
        <w:lastRenderedPageBreak/>
        <w:t xml:space="preserve">que los Diputados del Grupo Parlamentario Popular en el Congreso que figuran como recurrentes no determinaron en modo alguno los preceptos del Decreto-ley 5/2010 que consideraban inconstitucionales y que, en consecuencia, debían ser objeto del presente recurso de inconstitucionalidad; se limitaron a delegar en el comisionado que nombraban la determinación de los concretos preceptos del Decreto-ley que iban a ser impugnados. El Letrado del Parlamento autonómico considera que el comisionado es quien determina e identifica por sí solo los concretos preceptos del Decreto-ley 5/2010 frente a los que se interponen recurso de inconstitucionalidad, lo que implica que concurre la causa de inadmisión consistente en la falta de legitimación para interponer el presente recurso de inconstitucionalidad. Habida cuenta de que el Tribunal Constitucional ha declarado el carácter insubsanable de la causa de inadmisión señalada, una vez que ha transcurrido el plazo de tres meses para interposición del recurso de inconstitucionalidad (con cita del ATC 459/2004, de 16 de noviembre, FJ 2 </w:t>
      </w:r>
      <w:r w:rsidRPr="00AC56D6">
        <w:rPr>
          <w:i/>
        </w:rPr>
        <w:t>in fine</w:t>
      </w:r>
      <w:r>
        <w:t>), no resultaría procedente el examen de los motivos impugnatorios aducidos, debiendo el Tribunal declarar la inadmisibilidad del presente recurso de inconstitucionalidad, en su integridad, por falta de legitimación para su interposición.</w:t>
      </w:r>
    </w:p>
    <w:p w:rsidR="00AC56D6" w:rsidRDefault="00AC56D6" w:rsidP="00AC56D6">
      <w:pPr>
        <w:pStyle w:val="TextoNormal"/>
      </w:pPr>
    </w:p>
    <w:p w:rsidR="00AC56D6" w:rsidRDefault="00AC56D6" w:rsidP="00AC56D6">
      <w:pPr>
        <w:pStyle w:val="TextoNormal"/>
      </w:pPr>
      <w:r>
        <w:t>En lo relativo a la cuestión de la pérdida del objeto del proceso constitucional, el Letrado del Parlamento de Andalucía constata que todos los preceptos impugnados en el presente proceso han sido afectados por la disposición derogatoria única del Decreto-ley 6/2010, de 23 de noviembre, de medidas complementarias del Decreto-ley 5/2010. Esta establece que “quedan sin efecto todos los preceptos contenidos en otras normas y cuyo tenor se reproduce en el presente Decreto-ley, así como cuantas normas contradigan o se opongan a lo dispuesto en el mismo”. Así pues, el Decreto-ley 6/2010 ha derogado desde su entrada en vigor, que tuvo lugar el día 27 de noviembre de 2010, el Decreto-ley 5/2010 y cada uno de los preceptos impugnados del mismo que, o bien han sido reproducidos en el Decreto-ley 6/2010, o bien han sido modificados en diversos aspectos por este. Al estar en presencia de un recurso de inconstitucionalidad, la derogación de los preceptos impugnados implica, según consolidada doctrina constitucional (con cita, por todas de la STC 68/2007, de 28 de marzo, FJ 4) la pérdida de objeto del proceso respecto de los motivos de inconstitucionalidad que sean distintos de la invocación del art. 86.1 CE. Con respecto a este motivo en concreto el Letrado del Parlamento de Andalucía sostiene también la pérdida de objeto, amparándose en la circunstancia de que el Decreto-ley impugnado ha sido derogado precisamente por otro Decreto-ley que reproduce en gran parte el contenido del primero, introduciendo modificaciones menores y respondiendo al mismo presupuesto habilitante; de ello se derivaría que el interés constitucional y estatutario de velar por el recto ejercicio de la potestad de dictar decretos leyes, pueda y deba conseguirse mediante la impugnación del Decreto-ley 6/2010.</w:t>
      </w:r>
    </w:p>
    <w:p w:rsidR="00AC56D6" w:rsidRDefault="00AC56D6" w:rsidP="00AC56D6">
      <w:pPr>
        <w:pStyle w:val="TextoNormal"/>
      </w:pPr>
    </w:p>
    <w:p w:rsidR="00AC56D6" w:rsidRDefault="00AC56D6" w:rsidP="00AC56D6">
      <w:pPr>
        <w:pStyle w:val="TextoNormal"/>
      </w:pPr>
      <w:r>
        <w:t xml:space="preserve">En tercer término, antes responder con carácter subsidiario a los motivos de inconstitucionalidad planteados en el recurso, el Letrado del Parlamento de Andalucía se refiere a la ausencia de fundamentación de la inconstitucionalidad de determinados preceptos. Se refiere concretamente a la impugnación de los arts. 3 a 12, 18, 19, 22, 23 y 24 del Decreto-ley 5/2010. En relación con estos preceptos no se hace más referencia a su eventual inconstitucionalidad que la derivada de su conexión con lo previsto en la disposición adicional cuarta, respecto de cuya hipotética inconstitucionalidad sí se desarrolla una argumentación completa. Estima el Letrado autonómico que es imposible saber a qué se refieren los recurrentes cuando aluden a la concordancia mutua entre los preceptos referidos y la disposición adicional cuarta máxime si se examina el contenido de dichos artículos y se aprecia la pluralidad de medidas que adoptan. También sería imposible conocer las concretas razones de la </w:t>
      </w:r>
      <w:r>
        <w:lastRenderedPageBreak/>
        <w:t>supuesta inconstitucionalidad material de esos artículos, porque la impugnación por inconstitucionalidad formal por inexistencia del presupuesto habilitante se refiere a otros preceptos, no a los arriba citados. A resultas de estas observaciones, entiende el Letrado, en aplicación de la consolidada jurisprudencia constitucional sobre la materia (con cita, por todas de la STC 112/2006, de 5 de abril, FJ 19), que deben considerarse estos preceptos como no recurridos, al no haberse desarrollado una mínima fundamentación o argumentación respecto de los motivos que debieran sustentar la inconstitucionalidad denunciada.</w:t>
      </w:r>
    </w:p>
    <w:p w:rsidR="00AC56D6" w:rsidRDefault="00AC56D6" w:rsidP="00AC56D6">
      <w:pPr>
        <w:pStyle w:val="TextoNormal"/>
      </w:pPr>
    </w:p>
    <w:p w:rsidR="00AC56D6" w:rsidRDefault="00AC56D6" w:rsidP="00AC56D6">
      <w:pPr>
        <w:pStyle w:val="TextoNormal"/>
      </w:pPr>
      <w:r>
        <w:t>Por último, y siempre de forma subsidiaria, para el caso de que el Tribunal no admita los óbices procesales expuestos, el Letrado del Parlamento de Andalucía da respuesta a los cuatro motivos de inconstitucionalidad planteados en el recurso.</w:t>
      </w:r>
    </w:p>
    <w:p w:rsidR="00AC56D6" w:rsidRDefault="00AC56D6" w:rsidP="00AC56D6">
      <w:pPr>
        <w:pStyle w:val="TextoNormal"/>
      </w:pPr>
    </w:p>
    <w:p w:rsidR="00AC56D6" w:rsidRDefault="00AC56D6" w:rsidP="00AC56D6">
      <w:pPr>
        <w:pStyle w:val="TextoNormal"/>
      </w:pPr>
      <w:r>
        <w:t>a) Al argumento de inconstitucionalidad mediata resultante de la contradicción entre el art. 1.9 del Decreto-ley 5/2010 (que da nueva redacción al art. 69 de la Ley 9/2007 de la Administración de la Junta de Andalucía) y el art. 37.1 LEEP, se responde afirmando que los recurrentes no acreditan de manera adecuada que no se ha dado la negociación exigida, tampoco explican qué forma debería haber tomado la negociación que reclaman y a su ausencia anudan el vicio de inconstitucionalidad de la norma con rango de ley impugnada. Los recurrentes concretan su impugnación afirmando que debería haberse producido una negociación colectiva en “la Mesa Sectorial de Negociación correspondiente a la función pública”, pero la representación procesal del Parlamento autonómico estima que esta concreción es insuficiente; no se detalla cual “sea esa supuesta Mesa Sectorial, ni cuál su composición, ni cuáles las razones jurídicas, con apoyo en el sistema diseñado en la LEEP, que determinarían que sería en esa, repetimos, supuesta Mesa Sectorial donde debería haberse producido la negociación cuya inexistencia denuncian como motivo de inconstitucionalidad de dos preceptos del Decreto-ley 5/2010”. Esta parte, dando continuidad a una línea argumental basada en la ausencia de fundamentación suficiente del recurso de inconstitucionalidad en este punto, observa que los preceptos impugnados por este motivo, y muy en especial la disposición adicional cuarta del Decreto-ley 5/2010, se refieren al personal tanto funcionario como laboral; esto determina exigencias distintas en relación con las características de la negociación colectiva a la que se refiere la LEEP, que habrían exigido mayor concreción en los argumentos expuestos por los recurrentes. Afirma el Letrado del Parlamento autonómico que no es posible pedir al Tribunal Constitucional una decisión sobre la supuesta inconstitucionalidad alegada por los recurrentes en este punto, habida cuenta de su radical incumplimiento de la carga de fundamentación de sus pretensiones.</w:t>
      </w:r>
    </w:p>
    <w:p w:rsidR="00AC56D6" w:rsidRDefault="00AC56D6" w:rsidP="00AC56D6">
      <w:pPr>
        <w:pStyle w:val="TextoNormal"/>
      </w:pPr>
    </w:p>
    <w:p w:rsidR="00AC56D6" w:rsidRDefault="00AC56D6" w:rsidP="00AC56D6">
      <w:pPr>
        <w:pStyle w:val="TextoNormal"/>
      </w:pPr>
      <w:r>
        <w:t>Más allá de lo anterior, se asegura que no era exigible dicha negociación colectiva previa a la aprobación del Decreto-ley 5/2010, como se deriva de la lectura del art. 37.2 a) LEEP que excluye de la obligatoriedad de la negociación las decisiones de las Administraciones públicas que afecten a sus potestades de organización, al entender que el art. 1.9 del Decreto-ley 5/2010 y su disposición adicional cuarta responden, precisamente, al ejercicio por la Junta de Andalucía de sus potestades de organización, en cuanto que vienen a determinar los elementos esenciales de su estructura administrativa.</w:t>
      </w:r>
    </w:p>
    <w:p w:rsidR="00AC56D6" w:rsidRDefault="00AC56D6" w:rsidP="00AC56D6">
      <w:pPr>
        <w:pStyle w:val="TextoNormal"/>
      </w:pPr>
    </w:p>
    <w:p w:rsidR="00AC56D6" w:rsidRDefault="00AC56D6" w:rsidP="00AC56D6">
      <w:pPr>
        <w:pStyle w:val="TextoNormal"/>
      </w:pPr>
      <w:r>
        <w:t>Partiendo de este planteamiento general, el Parlamento de Andalucía analiza en detalle en su escrito de alegaciones los preceptos del Decreto-ley 5/2010 que los recurrentes im</w:t>
      </w:r>
      <w:r>
        <w:lastRenderedPageBreak/>
        <w:t>pugnan dentro de este motivo de inconstitucionalidad, para verificar si se trata o no de normas relativas a la auto-organización administrativa que puedan tener repercusiones en las condiciones de trabajo de los empleados públicos.</w:t>
      </w:r>
    </w:p>
    <w:p w:rsidR="00AC56D6" w:rsidRDefault="00AC56D6" w:rsidP="00AC56D6">
      <w:pPr>
        <w:pStyle w:val="TextoNormal"/>
      </w:pPr>
    </w:p>
    <w:p w:rsidR="00AC56D6" w:rsidRDefault="00AC56D6" w:rsidP="00AC56D6">
      <w:pPr>
        <w:pStyle w:val="TextoNormal"/>
      </w:pPr>
      <w:r>
        <w:t>Los dos primeros párrafos del art. 69.3 de la Ley 9/2007 (en la redacción que le da el art. 1.9 del Decreto-ley 5/2010) determinan los supuestos en que, por razón de determinadas funciones que se ejercen en las agencias públicas empresariales reservadas a los funcionarios públicos, se establecerá un sistema de dependencia funcional de tales funcionarios respecto de la agencia pública empresarial. Estas disposiciones se centran, por tanto, en cuestiones de organización, que deberán concretar sus efectos sobre las condiciones de trabajo de los funcionarios cuando se aprueben los estatutos de cada agencia mediante los correspondientes decretos. Estas normas podrían precisar de la negociación colectiva previa en función de su contenido concreto. El párrafo tercero del art. 69.3 de la Ley 9/2007 (en la redacción que le daba el Decreto-ley 5/2010, por lo demás derogado por el Decreto-ley 6/2010), también adopta una decisión que afecta a la potestad de organización de la Junta de Andalucía. Establecía determinadas funciones que podían ser desarrolladas por las agencias públicas empresariales, en razón de sus características, a través de su personal. Por su parte, la disposición adicional cuarta del Decreto-ley 5/2010, parcialmente reformada por el Decreto-ley 6/2010, contendría también una decisión que afecta a las potestades de organización de la Administración pública, al establecer reglas sobre integración del personal para hacer viable organizativamente la modificación en la estructura organizativa del sector público andaluz que llevaba a cabo el propio Decreto-ley 5/2010. Estas reglas habrían de ser concretadas por la Consejería competente en materia de Administración pública a través de protocolos concretos sobre el régimen de integración del personal, previa consulta y negociación con los órganos de representación del personal, tal como establece expresamente la letra f) de la disposición adicional cuarta del Decreto-ley impugnado.</w:t>
      </w:r>
    </w:p>
    <w:p w:rsidR="00AC56D6" w:rsidRDefault="00AC56D6" w:rsidP="00AC56D6">
      <w:pPr>
        <w:pStyle w:val="TextoNormal"/>
      </w:pPr>
    </w:p>
    <w:p w:rsidR="00AC56D6" w:rsidRDefault="00AC56D6" w:rsidP="00AC56D6">
      <w:pPr>
        <w:pStyle w:val="TextoNormal"/>
      </w:pPr>
      <w:r>
        <w:t>El último argumento contra las alegaciones del recurso de inconstitucionalidad en este punto tiene que ver con la propia naturaleza de la norma impugnada. El Letrado del Parlamento de Andalucía afirma que, aun en el supuesto de entender necesaria la negociación previa, lo que en este caso no sucede, parece evidente que la extraordinaria y urgente necesidad de aprobar las normas objeto del Decreto-ley 5/2010 no era compatible con la apertura de un proceso negociador que dilatara la adopción de sus medidas. Afirma también que el supuesto en presencia difiere de los invocados por los recurrentes, que en su día resolvió el Tribunal Constitucional considerando que en paralelo a la aprobación de un decreto-ley deberían cumplirse determinados trámites, señaladamente informes preceptivos, “porque los informes en cuestión se encuentren reconocidos al máximo nivel, en el marco de decisiones que se adoptan que pueden incidir sobre el sistema constitucional y estatutario de distribución territorial del poder”.</w:t>
      </w:r>
    </w:p>
    <w:p w:rsidR="00AC56D6" w:rsidRDefault="00AC56D6" w:rsidP="00AC56D6">
      <w:pPr>
        <w:pStyle w:val="TextoNormal"/>
      </w:pPr>
    </w:p>
    <w:p w:rsidR="00AC56D6" w:rsidRDefault="00AC56D6" w:rsidP="00AC56D6">
      <w:pPr>
        <w:pStyle w:val="TextoNormal"/>
      </w:pPr>
      <w:r>
        <w:t xml:space="preserve">b) En respuesta a los argumentos de inconstitucionalidad vinculados al “carácter básico de las funciones reservadas a los funcionarios y del concepto de potestades públicas” y a la imposibilidad de derivar tales funciones y potestades a las agencias públicas, el Parlamento de Andalucía parte de cuatro afirmaciones iniciales: 1) en primer lugar, las agencias públicas empresariales son entidades instrumentales de la Administración de la Junta de Andalucía (art. 52.1 de la Ley 9/2007), con personalidad jurídica pública y consideración de Administración institucional (art. 52.2 de la Ley 9/2007), de manera que pueden realizar actividades competencia de la Comunidad Autónoma en régimen de descentralización funcional (art. </w:t>
      </w:r>
      <w:r>
        <w:lastRenderedPageBreak/>
        <w:t>54.1 de la Ley 9/2007), pudiendo, por tanto, tener atribuidas potestades administrativas [arts. 55, 57.1 b) y 64.1 de la Ley 9/2007]. 2) Cuando las agencias públicas empresariales ejercen potestades administrativas deben ajustar su actuación al mismo régimen jurídico de Derecho público que cualquier otra Administración pública; régimen establecido en la normativa básica (art. 2 LPC). 3) El ejercicio de la potestad se realizará cuando el ordenamiento de aplicación atribuya a la agencia pública empresarial expresa y específicamente la competencia, con sujeción a las normas de Derecho público o administrativo que resulten de aplicación. Por eso, cuando ejerce tales potestades no se aplica el régimen jurídico de la encomienda de gestión, al que se refiere el art. 15 LPC, que parte precisamente de la realización de actividades que se enmarcan en el ámbito de la competencia de la que es titular otro órgano o entidad. 4) El art. 9.2 LEEP garantiza que las funciones relacionadas con el ejercicio de potestades públicas, cualquiera que sea la entidad pública que las tenga atribuidas, sean ejercidas por funcionarios públicos, remitiendo la determinación del régimen concreto que garantice que así sea y las características del mismo a los términos que establezca la ley de desarrollo de cada Administración pública.</w:t>
      </w:r>
    </w:p>
    <w:p w:rsidR="00AC56D6" w:rsidRDefault="00AC56D6" w:rsidP="00AC56D6">
      <w:pPr>
        <w:pStyle w:val="TextoNormal"/>
      </w:pPr>
    </w:p>
    <w:p w:rsidR="00AC56D6" w:rsidRDefault="00AC56D6" w:rsidP="00AC56D6">
      <w:pPr>
        <w:pStyle w:val="TextoNormal"/>
      </w:pPr>
      <w:r>
        <w:t>La contraposición de estas cuatro ideas a los argumentos de los recurrentes son la base para oponerse a la estimación de este motivo de inconstitucionalidad. Afirma la representación procesal del Parlamento de Andalucía que el derogado párrafo 3 del art. 69.3 de la Ley 9/2007 (en la redacción que le da el art. 1.9 del Decreto-ley 5/2010) no se opone al art. 9.2 LEEP. Reproduce sus términos, reservando al personal funcionario todas las funciones “que deban corresponder exclusivamente a personal funcionario de acuerdo con la legislación aplicable en materia de función pública”. Habría que entender, por tanto, que el párrafo 3 del art. 69.3 de la Ley 9/2007 se refiere a funciones distintas de las previstas en el art. 9.2 LEEP y en el propio párrafo 1 del citado art. 69.3. El Letrado del Parlamento andaluz afirma que, en caso de encontrarnos ante una de las funciones previstas en el art. 9.2 LEEP, el precepto autonómico que resultaría de aplicación a las mismas sería el párrafo 1 del art. 69.3 de la Ley 9/2007, no el 3. Por lo demás, la opción acogida por el citado párrafo 1 de que las funciones reservadas a funcionarios públicos por el art. 9.2 LEEP sean ejercidas por personal funcionario funcionalmente integrado en la estructura de la agencia pública empresarial, que ejercerá tales funciones bajo la dirección de la agencia pública empresarial, es una opción organizativa plenamente legítima que, respetando el art. 9.2 LEEP , viene a incardinarse en las amplias posibilidades de configuración organizativa que en la materia tiene cada Administración pública (con cita al respecto de la STC 330/2005, de 15 de diciembre, FJ4 y del ATC 254/2006, de 4 de julio, FJ 4).</w:t>
      </w:r>
    </w:p>
    <w:p w:rsidR="00AC56D6" w:rsidRDefault="00AC56D6" w:rsidP="00AC56D6">
      <w:pPr>
        <w:pStyle w:val="TextoNormal"/>
      </w:pPr>
    </w:p>
    <w:p w:rsidR="00AC56D6" w:rsidRDefault="00AC56D6" w:rsidP="00AC56D6">
      <w:pPr>
        <w:pStyle w:val="TextoNormal"/>
      </w:pPr>
      <w:r>
        <w:t xml:space="preserve">c) Frente a los argumentos de los recurrentes relativos al quebrantamiento, por parte de la norma impugnada, del derecho de acceso a las funciones públicas en condiciones de igualdad contenido en los arts. 23 y 14 CE, el Letrado autonómico insiste en que todas las denuncias de inconstitucionalidad planteadas se refieren a la disposición adicional cuarta, puesto que, al haber sido modificada por el Decreto-ley 6/2010, ha desparecido el objeto del recurso en este punto. En todo caso, tras recordar la doctrina constitucional relativa al juicio de igualdad y a la denominada discriminación por indiferenciación, reproduciendo algunos de los fundamentos de las SSTC 330/2005 (FJ 4), 120/2010, (FJ 3) y 30/2008 (FJ 7 </w:t>
      </w:r>
      <w:r w:rsidRPr="00AC56D6">
        <w:rPr>
          <w:i/>
        </w:rPr>
        <w:t>in fine</w:t>
      </w:r>
      <w:r>
        <w:t>), responde, con carácter subsidiario, a los argumentos del recurso de inconstitucionalidad. Afirma, desde la consideración genérica de la adecuación o ausencia del término de comparación aducido por los recurrentes:</w:t>
      </w:r>
    </w:p>
    <w:p w:rsidR="00AC56D6" w:rsidRDefault="00AC56D6" w:rsidP="00AC56D6">
      <w:pPr>
        <w:pStyle w:val="TextoNormal"/>
      </w:pPr>
    </w:p>
    <w:p w:rsidR="00AC56D6" w:rsidRDefault="00AC56D6" w:rsidP="00AC56D6">
      <w:pPr>
        <w:pStyle w:val="TextoNormal"/>
      </w:pPr>
      <w:r>
        <w:lastRenderedPageBreak/>
        <w:t>1) No existe desigualdad entre el personal procedente de agencias administrativas y de sociedades mercantiles del sector público andaluz a extinguir, que se integrarán indistintamente en las nuevas agencias públicas empresariales o de régimen especial a pesar de haberse incorporado a sus entidades de origen mediante distintos sistemas de acceso. Existe una justificación objetiva y razonable de esta medida, derivada del margen de actuación de que se dispone a la hora de determinar las estructuras administrativas y de configurar organizativamente el estatus del personal al servicio de las Administraciones públicas. El Letrado autonómico considera que la perspectiva de los recurrentes plantea de un supuesto de discriminación por indiferenciación carente de toda relevancia constitucional, según la jurisprudencia del Alto Tribunal. Idéntica conclusión se extrae al referirse al personal que presta sus servicios en entidades con personalidad jurídica privada pertenecientes al sector público andaluz, especialmente si se tiene en cuenta la doctrina constitucional (ATC 254/2006 y SSTC 14/1986 y 52/1994). Por lo que hace a la eventual discriminación que plantearía el modelo de integración en relación con terceros ajenos a las entidades pertenecientes al sector público andaluz, el Letrado entiende que tal argumento “adolece de las mínimas dosis de razonabilidad exigibles para un comentario más detallado que el que estamos realizando y el que hemos expuesto sobre la plena razonabilidad y justificación de la integración del personal de las entidades extinguidas en las nuevas entidades que asumen su objeto y fines, sin que ello, por supuesto, pudiera sostenerse de esos otros ciudadanos ajenos a las entidades extinguidas”.</w:t>
      </w:r>
    </w:p>
    <w:p w:rsidR="00AC56D6" w:rsidRDefault="00AC56D6" w:rsidP="00AC56D6">
      <w:pPr>
        <w:pStyle w:val="TextoNormal"/>
      </w:pPr>
    </w:p>
    <w:p w:rsidR="00AC56D6" w:rsidRDefault="00AC56D6" w:rsidP="00AC56D6">
      <w:pPr>
        <w:pStyle w:val="TextoNormal"/>
      </w:pPr>
      <w:r>
        <w:t>2) La pretensión impugnatoria, además de haber perdido objeto por la reforma introducida por el Decreto-ley 6/2010, resulta irrazonable porque nada tiene que ver con el principio de igualdad la voluntariedad o no de la integración del personal funcionario en las agencias públicas empresariales, y porque no se propone término de comparación al efecto. Refiriéndose al hecho, que podría estar detrás de los argumentos del recurso, de que como consecuencia de la reestructuración se puede producir un cambio en la situación del personal funcionario afectado, el Letrado del Parlamento andaluz reconoce que ello es consecuencia del régimen estatutario en el que los funcionarios se encuentran y que es una alteración legítima como ha reconocido el propio Tribunal Constitucional en la STC 126/2008, de 27 de octubre, FJ 5. Descarta igualmente la inconstitucionalidad de la previsión de aplicar el régimen laboral de la sucesión de empresas al personal laboral, en aquellos casos en que se produce la extinción de la entidad en la que prestaban sus servicios o cuando se trate de personal laboral de la Administración de la Junta de Andalucía que ocupaba puestos de trabajo en las Consejerías afectadas por la reestructuración realizada por el Decreto-ley y que desempeñe funciones que sean asumidas por la entidad resultante que será siempre una entidad con personalidad jurídica pública; dicho personal laboral continuará prestando en ella sus servicios como tal personal laboral. Asimismo descarta la inconstitucionalidad, por inadecuación del término de comparación, de la medida referida a la posibilidad otorgada al personal laboral de participar en las convocatorias de concursos de traslados en la Administración general de la Junta de Andalucía en los términos que preveía la letra c) de la disposición adicional cuarta del Decreto-ley 5/2010. Por la misma razón —inadecuación del término de comparación— se opone a los argumentos relativos al efecto discriminatorio de las ventajas concedidas a los funcionarios que se integren como personal laboral en las agencias públicas empresariales por no haberse extendido a quienes fueron transferidos a la Administración de la Junta de Andalucía o a los funcionarios de esta que con anterioridad pasaron a prestar sus servicios como personal laboral en entidades instrumentales de la Junta de Andalucía.</w:t>
      </w:r>
    </w:p>
    <w:p w:rsidR="00AC56D6" w:rsidRDefault="00AC56D6" w:rsidP="00AC56D6">
      <w:pPr>
        <w:pStyle w:val="TextoNormal"/>
      </w:pPr>
    </w:p>
    <w:p w:rsidR="00AC56D6" w:rsidRDefault="00AC56D6" w:rsidP="00AC56D6">
      <w:pPr>
        <w:pStyle w:val="TextoNormal"/>
      </w:pPr>
      <w:r>
        <w:t>3) No cabe analizar la contradicción con el principio de igualdad por la distinta situación en que se encontrarían los funcionarios públicos no afectados por la reestructuración del sector público andaluz llevada a cabo por el Decreto-ley 5/2010 (a los que no les resultaría de aplicación lo establecido en su disposición adicional cuarta) y los funcionarios afectados. No cabe establecer un juicio de igualdad en relación con colectivos que se hallan en diferentes situaciones. Esta diferente situación justifica el establecimiento de las reglas de la disposición adicional cuarta del Decreto-ley 5/2010. Dicho de otro modo, el Letrado autonómico rechaza como elemento de comparación del juicio de igualdad el recurso al personal ajeno a la reestructuración del sector público a la hora de valorar las medidas que afectan a quienes sí se verán afectados por ella.</w:t>
      </w:r>
    </w:p>
    <w:p w:rsidR="00AC56D6" w:rsidRDefault="00AC56D6" w:rsidP="00AC56D6">
      <w:pPr>
        <w:pStyle w:val="TextoNormal"/>
      </w:pPr>
    </w:p>
    <w:p w:rsidR="00AC56D6" w:rsidRDefault="00AC56D6" w:rsidP="00AC56D6">
      <w:pPr>
        <w:pStyle w:val="TextoNormal"/>
      </w:pPr>
      <w:r>
        <w:t>4) La solución adoptada por la letra d) de la disposición adicional cuarta del Decreto-ley 5/2010 (que establece un especial régimen de convenios colectivos para el personal laboral procedente de las entidades extinguidas o transformadas o de la Administración general de la Junta de Andalucía y el personal laboral no afectado por la reestructuración) es razonable en relación con el personal laboral afectado por la reestructuración, mantiene provisionalmente que sus derechos y obligaciones se rijan por los mismos convenios colectivos, en tanto que su régimen sea adecuadamente adaptado a la nueva situación creada, mediante la aprobación de un nuevo convenio colectivo de aplicación a las nuevas entidades resultantes del proceso de reestructuración.</w:t>
      </w:r>
    </w:p>
    <w:p w:rsidR="00AC56D6" w:rsidRDefault="00AC56D6" w:rsidP="00AC56D6">
      <w:pPr>
        <w:pStyle w:val="TextoNormal"/>
      </w:pPr>
    </w:p>
    <w:p w:rsidR="00AC56D6" w:rsidRDefault="00AC56D6" w:rsidP="00AC56D6">
      <w:pPr>
        <w:pStyle w:val="TextoNormal"/>
      </w:pPr>
      <w:r>
        <w:t>5) Carece de todo sentido imputar a la letra e) de la disposición adicional cuarta del Decreto-ley 5/2010 la vulneración del principio de igualdad, por establecer límites al aumento salarial del personal laboral afectado por la reestructuración, y no al resto. La finalidad del Decreto-ley es evitar que la reestructuración del sector público andaluz suponga un incremento del gasto público; en este caso el relativo a la masa salarial del personal laboral.</w:t>
      </w:r>
    </w:p>
    <w:p w:rsidR="00AC56D6" w:rsidRDefault="00AC56D6" w:rsidP="00AC56D6">
      <w:pPr>
        <w:pStyle w:val="TextoNormal"/>
      </w:pPr>
    </w:p>
    <w:p w:rsidR="00AC56D6" w:rsidRDefault="00AC56D6" w:rsidP="00AC56D6">
      <w:pPr>
        <w:pStyle w:val="TextoNormal"/>
      </w:pPr>
      <w:r>
        <w:t>d) En último término el Letrado del Parlamento de Andalucía responde al reproche de ausencia del presupuesto habilitante del Decreto-ley 5/2010, cuestionando, ante todo, la coherencia de los argumentos del recurso, que no identificaría adecuadamente las razones que sustentan el motivo impugnatorio ni los preceptos recurridos. Esta parte afirma que concurre la situación de extraordinaria y urgente necesidad para aprobar todas las medidas contenidas en el Decreto-ley 5/2010. Los motivos de justificación de esa concurrencia se recogen en el preámbulo y en el debate parlamentario de convalidación llevado a cabo en la Diputación permanente del Parlamento de Andalucía el día 29 de julio de 2010, que ofrecen una información suficiente aunque poco desarrollada al respecto.</w:t>
      </w:r>
    </w:p>
    <w:p w:rsidR="00AC56D6" w:rsidRDefault="00AC56D6" w:rsidP="00AC56D6">
      <w:pPr>
        <w:pStyle w:val="TextoNormal"/>
      </w:pPr>
    </w:p>
    <w:p w:rsidR="00AC56D6" w:rsidRDefault="00AC56D6" w:rsidP="00AC56D6">
      <w:pPr>
        <w:pStyle w:val="TextoNormal"/>
      </w:pPr>
      <w:r>
        <w:t>El elemento esencial del que deriva la situación de extraordinaria y urgente necesidad, reconocido por los propios recurrentes, fue la circunstancia de que el Consejo de política fiscal y financiera, en su sesión del 22 de marzo de 2010, aprobara el acuerdo marco con las Comunidades Autónomas y las Ciudades con Estatuto de Autonomía (modificado el 15 de junio de 2010) sobre “Sostenibilidad de las Finanzas Públicas para el periodo 2010-2013”, plasmando el compromiso presupuestario de que el déficit de las Administraciones públicas se situara en el 3 por 100 del PIB en el año 2013. Dicho acuerdo marco establecía que en el plazo de tres meses las Comunidades Autónomas aprobarían un plan de racionalización de las estructuras de sus respectivos sectores público, administrativo y empresarial, con el ob</w:t>
      </w:r>
      <w:r>
        <w:lastRenderedPageBreak/>
        <w:t>jetivo de mejorar la eficiencia y reducir el gasto. Esas circunstancias, expuestas en el preámbulo y en el trámite de convalidación del Decreto-ley, justifican una norma de este tipo, sin que pudiese esperarse al transcurso del plazo exigido para la tramitación parlamentaria de una ley.</w:t>
      </w:r>
    </w:p>
    <w:p w:rsidR="00AC56D6" w:rsidRDefault="00AC56D6" w:rsidP="00AC56D6">
      <w:pPr>
        <w:pStyle w:val="TextoNormal"/>
      </w:pPr>
    </w:p>
    <w:p w:rsidR="00AC56D6" w:rsidRDefault="00AC56D6" w:rsidP="00AC56D6">
      <w:pPr>
        <w:pStyle w:val="TextoNormal"/>
      </w:pPr>
      <w:r>
        <w:t>En este contexto, el Letrado del Parlamento entiende que carece de sentido la posición de los recurrentes, que, reconociendo la concurrencia de la situación de extraordinaria y urgente necesidad en relación con las medidas específicas concretas que se adoptan para la efectiva reordenación del sector público andaluz, afirman que dicha situación no concurre respecto de las medidas de carácter general que posibilitan la adopción de esas medidas concretas. Afirma el escrito de alegaciones que los recurrentes manifiestan a través de este motivo impugnatorio su desacuerdo con el contenido de las medidas adoptadas en el art. 1.9 del Decreto-ley, pero que ello nada tiene que ver con la concurrencia o no de una situación de extraordinaria y urgente necesidad o con la conexión de sentido de esta con las medidas adoptadas. Asimismo afirma que no existe obstáculo para que los problemas judiciales planteados por los recurrentes en su escrito de interposición del recurso de inconstitucionalidad sean los determinantes de algunas de las medidas adoptadas; precisamente porque se considera que las reformas acometidas va a contribuir a que la actuación de las entidades públicas se desarrolle de manera más eficiente, colaborando en la consecución de los objetivos últimos que se persiguen con la reestructuración o reordenación del sector público andaluz.</w:t>
      </w:r>
    </w:p>
    <w:p w:rsidR="00AC56D6" w:rsidRDefault="00AC56D6" w:rsidP="00AC56D6">
      <w:pPr>
        <w:pStyle w:val="TextoNormal"/>
      </w:pPr>
    </w:p>
    <w:p w:rsidR="00AC56D6" w:rsidRDefault="00AC56D6" w:rsidP="00AC56D6">
      <w:pPr>
        <w:pStyle w:val="TextoNormal"/>
      </w:pPr>
      <w:r>
        <w:t>El art. 1.12 establece una modificación normativa con el único fin de reconocer la existencia, en las fundaciones del sector público andaluz, de personal directivo que no tiene que someterse a las mismas exigencias para su selección que el personal no directivo. Perseguiría el objetivo de mejorar el funcionamiento de las fundaciones en todos los aspectos, insertándose así plenamente en la finalidad del Decreto-ley 5/2010 de lograr una actuación más eficiente de las entidades instrumentales. Se trata de una medida puntual que se enmarca en la globalidad de las adoptadas, sin que pueda hacerse un examen aislado de la misma en términos de presencia del presupuesto habilitante.</w:t>
      </w:r>
    </w:p>
    <w:p w:rsidR="00AC56D6" w:rsidRDefault="00AC56D6" w:rsidP="00AC56D6">
      <w:pPr>
        <w:pStyle w:val="TextoNormal"/>
      </w:pPr>
    </w:p>
    <w:p w:rsidR="00AC56D6" w:rsidRDefault="00AC56D6" w:rsidP="00AC56D6">
      <w:pPr>
        <w:pStyle w:val="TextoNormal"/>
      </w:pPr>
      <w:r>
        <w:t>Finalmente, se descarta también la impugnación de la disposición adicional cuarta del Decreto-ley 5/2010, denuncia consistente en que no existiría situación de extraordinaria y urgente necesidad para la regulación que establece la citada disposición adicional en relación con el supuesto que prevé la supresión de centros directivos de Consejerías, por cuanto esta extinción no se ha producido con el Decreto-ley sino que este solo la prevé y tendrá lugar con posterioridad. A este respecto el Letrado del Parlamento de Andalucía reconoce que, no solo la disposición concretamente impugnada, sino la totalidad del Decreto-ley 5/2010 prevé la extinción de tales entidades instrumentales, constituyendo el punto de partida de un proceso que debía culminar antes del 31 de diciembre de 2010, de acuerdo con lo previsto en su disposición adicional tercera, tanto para las entidades instrumentales como para lo relativo a las estructuras orgánicas de las Consejerías. Pero asume también que no puede negarse que la situación de extraordinaria y urgente necesidad da cobertura a la previsión de las reglas a seguir cuando, como consecuencia de esa reestructuración o reordenación que se establece, se produzca la supresión de centros directivos de Consejerías, careciendo de toda lógica pretender que dichas reglas deban esperar a establecerse al momento en que dicha extinción tenga efectivamente lugar.</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10</w:t>
      </w:r>
      <w:r>
        <w:t>. Por providencia de 3 de noviembre de 2015 se señaló para deliberación y votación del presente recurso de inconstitucionalidad el día 5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objeto de este proceso es resolver el recurso de inconstitucionalidad promovido por más de cincuenta Diputados del Grupo Parlamentario Popular en el Congreso, que comisionan para su interposición al Letrado don Arturo García-Tizón López, contra la disposición adicional cuarta y los arts. 1, apartados 9 y 12, 3 a 12, 18, 19 y 22 a 24 del Decreto-ley de Andalucía 5/2010, de 27 de julio, por el que se aprueban medidas urgentes en materia de reordenación del sector público (en adelante, Decreto-ley 5/2010).</w:t>
      </w:r>
    </w:p>
    <w:p w:rsidR="00AC56D6" w:rsidRDefault="00AC56D6" w:rsidP="00AC56D6">
      <w:pPr>
        <w:pStyle w:val="TextoNormal"/>
      </w:pPr>
    </w:p>
    <w:p w:rsidR="00AC56D6" w:rsidRDefault="00AC56D6" w:rsidP="00AC56D6">
      <w:pPr>
        <w:pStyle w:val="TextoNormal"/>
      </w:pPr>
      <w:r>
        <w:t>En los términos recogidos en el antecedente primero, la demanda interesa la declaración de inconstitucionalidad de los preceptos impugnados porque: 1º) la aprobación del Decreto-ley 5/2010 no habría respetado la exigencia de negociación previa de la norma contenida en el art. 37.1 de la Ley 7/2007, de 12 de abril del estatuto básico del empleado público (LEEP), que se incluye hoy en el art. 37.1 del texto refundido de la Ley del estatuto básico del empleado público aprobado por Real Decreto Legislativo 5/2015, de 30 de octubre; 2º) el art. 1.9 del Decreto-ley 5/2010 incurriría en inconstitucionalidad mediata por contradecir el art. 9.2 LEEP (hoy art. 9.2 del texto refundido); la norma autonómica no respetaría la reserva de un ámbito de actuación a los funcionarios (relativo al ejercicio de las potestades públicas y la salvaguarda de los intereses generales) que establece la normativa básica estatal; 3º) la disposición adicional cuarta y los arts. 3 a 12, 18 y 19, 22 a 24 del Decreto-ley 5/2010, atentan contra el contenido esencial de los arts. 14 y 23.2 CE, en lo relativo al acceso en condiciones de igualdad a la función pública, en virtud del contenido que se da a las fórmulas de reordenación y reasignación del personal al servicio de la administración pública autonómica; y 4º) el art. 1, apartados 9 y 12, y la disposición adicional cuarta no respetarían las condiciones de aprobación de los decretos-leyes autonómicos, al no concurrir el presupuesto habilitante de su aprobación, esto es, la condición de extrema y urgente necesidad.</w:t>
      </w:r>
    </w:p>
    <w:p w:rsidR="00AC56D6" w:rsidRDefault="00AC56D6" w:rsidP="00AC56D6">
      <w:pPr>
        <w:pStyle w:val="TextoNormal"/>
      </w:pPr>
    </w:p>
    <w:p w:rsidR="00AC56D6" w:rsidRDefault="00AC56D6" w:rsidP="00AC56D6">
      <w:pPr>
        <w:pStyle w:val="TextoNormal"/>
      </w:pPr>
      <w:r>
        <w:t>Como ha quedado recogido en los antecedentes, los Abogados de la Junta de Andalucía y del Parlamento de Andalucía interesan la íntegra desestimación del presente recurso, rechazando la totalidad de los argumentos expuestos y añadiendo algunas alegaciones adicionales.</w:t>
      </w:r>
    </w:p>
    <w:p w:rsidR="00AC56D6" w:rsidRDefault="00AC56D6" w:rsidP="00AC56D6">
      <w:pPr>
        <w:pStyle w:val="TextoNormal"/>
      </w:pPr>
    </w:p>
    <w:p w:rsidR="00AC56D6" w:rsidRDefault="00AC56D6" w:rsidP="00AC56D6">
      <w:pPr>
        <w:pStyle w:val="TextoNormal"/>
      </w:pPr>
      <w:r>
        <w:t>La Letrada de la Junta niega que sea aplicable a la aprobación del Decreto-ley el art. 37.1 LEEP (hoy art. 37.1 del texto refundido), refiriendo como parámetro de constitucionalidad mediata el apartado 2 de ese mismo precepto, que expresamente excluye “las decisiones de las Administraciones públicas que afecten a las potestades de organización” del ámbito de la negociación colectiva preceptiva; además restringe la impugnación al art. 69.3 de la Ley andaluza 9/2007 (en la redacción dada por el art. 1.9 del Decreto-ley 5/2010), señalando que ha sido derogado en la redacción atacada por el recurso por el Decreto-ley 6/2010, lo que implica la pérdida sobrevenida del objeto del recurso de inconstitucionalidad en este punto; seguidamente rechaza que la disposición adicional cuarta y los arts. 3 a 12, 18, 19 y 22 a 24 del Decreto-ley 5/2010 vulneren el contenido esencial del art. 23.2 CE y niega, por último, la ausencia de presupuesto habilitante para dictar el Decreto-ley, acudiendo a las exigencias impuestas por el acuerdo de 15 de junio de 2010 del Consejo de Política Fiscal y Financiera.</w:t>
      </w:r>
    </w:p>
    <w:p w:rsidR="00AC56D6" w:rsidRDefault="00AC56D6" w:rsidP="00AC56D6">
      <w:pPr>
        <w:pStyle w:val="TextoNormal"/>
      </w:pPr>
    </w:p>
    <w:p w:rsidR="00AC56D6" w:rsidRDefault="00AC56D6" w:rsidP="00AC56D6">
      <w:pPr>
        <w:pStyle w:val="TextoNormal"/>
      </w:pPr>
      <w:r>
        <w:t>Por su parte, el Letrado del Parlamento de Andalucía niega como argumento inicial la legitimación de los recurrentes, alegando que no existe un acuerdo válido previo a la interposición del recurso porque el presentado no tenía un contenido determinado, de modo que son los representantes procesales de los Diputados los que han decidido el alcance y objeto de la demanda. Afirma, a su vez, que el recurso ha perdido objeto porque todos los preceptos impugnados han sido derogados por la disposición derogatoria única del Decreto-ley 6/2010, de 23 de noviembre y que, en cualquier caso, no se ha cumplido la carga argumental imprescindible relativa a la impugnación de los arts. 3 a 12, 18, 19 y 22 a 24 del Decreto-ley 5/2010. Finalmente, y de forma subsidiaria, rechaza todos y cada uno de los motivos expuestos por los recurrentes para sustentar la inconstitucionalidad de los preceptos impugnados con argumentos sustancialmente coincidentes con los expresados por la Letrada de la Junta de Andalucía.</w:t>
      </w:r>
    </w:p>
    <w:p w:rsidR="00AC56D6" w:rsidRDefault="00AC56D6" w:rsidP="00AC56D6">
      <w:pPr>
        <w:pStyle w:val="TextoNormal"/>
      </w:pPr>
    </w:p>
    <w:p w:rsidR="00AC56D6" w:rsidRDefault="00AC56D6" w:rsidP="00AC56D6">
      <w:pPr>
        <w:pStyle w:val="TextoNormal"/>
      </w:pPr>
      <w:r w:rsidRPr="00AC56D6">
        <w:rPr>
          <w:rStyle w:val="NumeroAFNegritaCaracter"/>
        </w:rPr>
        <w:t>2</w:t>
      </w:r>
      <w:r>
        <w:t>. Antes de delimitar el objeto del proceso y analizar el fondo de las cuestiones planteadas, es preciso examinar el óbice procesal planteado por el Letrado del Parlamento de Andalucía. Si llegásemos a apreciar la falta de legitimación de los recurrentes por incumplimiento de los requisitos vinculados a la formulación de voluntad expresa de impugnar, habríamos de inadmitir directamente la demanda, aunque en su día fuera admitida a trámite (SSTC 42/1985, de 15 de marzo, FJ 1 y 47/2005, de 3 de marzo, FJ 3, entre otras), sin necesidad de delimitar el objeto del proceso y sin entrar en el fondo de las impugnaciones.</w:t>
      </w:r>
    </w:p>
    <w:p w:rsidR="00AC56D6" w:rsidRDefault="00AC56D6" w:rsidP="00AC56D6">
      <w:pPr>
        <w:pStyle w:val="TextoNormal"/>
      </w:pPr>
    </w:p>
    <w:p w:rsidR="00AC56D6" w:rsidRDefault="00AC56D6" w:rsidP="00AC56D6">
      <w:pPr>
        <w:pStyle w:val="TextoNormal"/>
      </w:pPr>
      <w:r>
        <w:t xml:space="preserve">Como expone el antecedente primero, 66 Diputados del Grupo Parlamentario Popular en el Congreso interponen el recurso, actuando como comisionado don Arturo García-Tizón López, cumpliéndose así lo establecido en los arts. 81 y 82 LOTC. La demanda se acompaña de un poder general otorgado por, entre otros, los 66 Diputados recurrentes a favor de una serie de personas entre las que se encuentra el citado comisionado, facultándole “para interponer y contestar recursos de inconstitucionalidad ante el Tribunal Constitucional cualesquiera que fuesen sus clases, usando facultades de las antes consignadas, confiriendo asimismo y específicamente, poder especial para que, cualquiera de ellos con carácter solidario, actúe como apoderado y comisionado a tenor de lo dispuesto en el artículo 82 de la Ley Orgánica del Tribunal Constitucional, para plantear y seguir o desistir por todos sus trámites los recursos de inconstitucionalidad que en nombre de los poderdantes, todos ellos Diputados del Congreso y pertenecientes al Grupo Parlamentario Popular, puedan plantearse”. Asimismo se adjuntan a la demanda, en el mismo instante en que esta es registrada ante el Tribunal Constitucional, los documentos acreditativos de la concurrencia de voluntades de los 66 Diputados recurrentes para impugnar específicamente el Decreto-ley 5/2010, de 27 de julio, por el que se aprueban medidas urgentes en materia de reordenación del sector público, apoderando expresamente para ello al ya citado Comisionado. Dicha documentación está integrada: por certificación del 26 de octubre de 2010, expedida por el Secretario general del Grupo Parlamentario Popular en el Congreso, relativa a la suscripción en su presencia de la declaración de voluntad y apoderamiento al efecto para la interposición del presente recurso de inconstitucionalidad; por una relación de los Diputados integrantes del referido Grupo Parlamentario, fechada el 26 de octubre de 2010, en la que constan las firmas de quienes encabezan el escrito de interposición y que recoge de forma expresa la voluntad de los firmantes de interponer recurso de inconstitucionalidad contra los preceptos “que más adelante se determinarán” del Decreto-ley 5/2010, de 27 de julio; por último, se adjunta una certificación expedida por el Secretario General del Congreso, de 26 de octubre de 2010, </w:t>
      </w:r>
      <w:r>
        <w:lastRenderedPageBreak/>
        <w:t>relativa a los Diputados pertenecientes al citado Grupo Parlamentario y entre los que se encuentran los relacionados en el encabezamiento del recurso.</w:t>
      </w:r>
    </w:p>
    <w:p w:rsidR="00AC56D6" w:rsidRDefault="00AC56D6" w:rsidP="00AC56D6">
      <w:pPr>
        <w:pStyle w:val="TextoNormal"/>
      </w:pPr>
    </w:p>
    <w:p w:rsidR="00AC56D6" w:rsidRDefault="00AC56D6" w:rsidP="00AC56D6">
      <w:pPr>
        <w:pStyle w:val="TextoNormal"/>
      </w:pPr>
      <w:r>
        <w:t>El óbice de admisibilidad del recurso se centra en argumentar que la determinación “a futuro” de los preceptos concretamente impugnados confiere a la manifestación de voluntad de los recurrentes un carácter insuficiente, a la hora de entender adecuadamente conformada la decisión de recurrir el Decreto-ley 5/2010.</w:t>
      </w:r>
    </w:p>
    <w:p w:rsidR="00AC56D6" w:rsidRDefault="00AC56D6" w:rsidP="00AC56D6">
      <w:pPr>
        <w:pStyle w:val="TextoNormal"/>
      </w:pPr>
    </w:p>
    <w:p w:rsidR="00AC56D6" w:rsidRDefault="00AC56D6" w:rsidP="00AC56D6">
      <w:pPr>
        <w:pStyle w:val="TextoNormal"/>
      </w:pPr>
      <w:r>
        <w:t>Si bien es cierto que este Tribunal ha establecido que “siendo la legitimación para el ejercicio de la acción de inconstitucionalidad una potestad atribuida por la Constitución a determinados órganos o miembros de órganos representativos, la decisión de impugnar no puede ser adoptada en términos genéricos, habilitando a delegados, apoderados o mandatarios la facultad de interponerla, según su propio criterio, contra las Leyes que en el futuro se vayan promulgando” (STC 47/2005, de 3 de marzo, FJ 3; con cita del ATC 459/2004, de 16 de noviembre, FJ 2 y las SSTC 42/1985, de 15 de marzo, FJ 2; y 150/1990, de 4 de octubre, FJ 1), no se ha señalado, en ningún caso, que la decisión de impugnar deba referirse a los preceptos concretos de la ley o norma con rango de ley de cuya adecuación constitucional se duda. Se exige para cada impugnación un previo acuerdo adoptado al efecto (art. 32.2 LOTC); ese acuerdo, en supuestos como el actual en que los legitimados son un grupo de Diputados, “constituye la expresión necesaria de una agrupación ocasional que surge sólo de la concurrencia de voluntades en la decisión impugnatoria y que sólo tiene existencia jurídica como parte en el proceso que con esa impugnación se inicia, de donde se sigue, con mayor razón, que el acuerdo de recurrir por un número suficiente de Diputados o Senadores, debe acreditarse en cada caso documentalmente” (STC 47/2005, de 3 de marzo, FJ 3).</w:t>
      </w:r>
    </w:p>
    <w:p w:rsidR="00AC56D6" w:rsidRDefault="00AC56D6" w:rsidP="00AC56D6">
      <w:pPr>
        <w:pStyle w:val="TextoNormal"/>
      </w:pPr>
    </w:p>
    <w:p w:rsidR="00AC56D6" w:rsidRDefault="00AC56D6" w:rsidP="00AC56D6">
      <w:pPr>
        <w:pStyle w:val="TextoNormal"/>
      </w:pPr>
      <w:r>
        <w:t>Dicho en otros términos, este Tribunal tiene la obligación de garantizar la existencia de la voluntad impugnatoria que se manifiesta en el recurso de inconstitucionalidad; por eso se impone el análisis de los documentos acreditativos de tal voluntad, que debe ser expresa y concreta en relación con la impugnación de una norma con rango de ley determinada. El ATC 98/2011, de 22 de junio, FJ 3, declaró que “es de esperar que quienes se hallan constitucionalmente legitimados para interponer el recurso de inconstitucionalidad, posibilitando con ello que el Tribunal Constitucional desarrolle su función de intérprete supremo de la Constitución mediante el control de la ley impugnada, extremen el cuidado en el cumplimiento de los requisitos formales exigidos para la correcta y oportuna acreditación ante este Tribunal de la voluntad de recurrir la ley de que se trate, en el sentido de que, de los documentos que se acompañen para acreditar la voluntad impugnatoria, se desprenda con toda claridad que los Diputados (o Senadores) recurrentes han sido plenamente conscientes de la impugnación producida y de su alcance, de tal suerte que de su simple apariencia resulte excluido todo recelo de un recurso de inconstitucionalidad interpuesto sin que los parlamentarios firmantes se percaten de la trascendencia de su actuación”. En este sentido, el Tribunal ha de verificar la concurrencia de la voluntad expresa y previa a la interposición del recurso de recurrir la norma que conforma el objeto de dicho recurso de inconstitucionalidad, voluntad que ha de estar debidamente documentada.</w:t>
      </w:r>
    </w:p>
    <w:p w:rsidR="00AC56D6" w:rsidRDefault="00AC56D6" w:rsidP="00AC56D6">
      <w:pPr>
        <w:pStyle w:val="TextoNormal"/>
      </w:pPr>
    </w:p>
    <w:p w:rsidR="00AC56D6" w:rsidRDefault="00AC56D6" w:rsidP="00AC56D6">
      <w:pPr>
        <w:pStyle w:val="TextoNormal"/>
      </w:pPr>
      <w:r>
        <w:t xml:space="preserve">Nunca hemos exigido que la expresión de la voluntad impugnatoria descienda hasta los concretos preceptos objeto del recurso, ni a los argumentos que han de servirle de sustento. Sí hemos advertido de que, en el trámite conciliatorio previo a recursos de inconstitucionalidad regulado en el art. 33.2 LOTC y en el requerimiento de incompetencia previo a la </w:t>
      </w:r>
      <w:r>
        <w:lastRenderedPageBreak/>
        <w:t>formalización de un conflicto de competencias por parte de un ejecutivo (art. 63.3 LOTC), la discrepancia debe quedar cumplidamente acotada [por todas, SSTC 45/2015, de 5 de marzo, FJ 2 a), 197/2015, de 24 de septiembre, FJ 2 c)]. Lo contrario incurriría en un rigorismo formal excesivo del que debemos huir, porque podría “frustrar el interés público objetivo en que este Tribunal desarrolle su función de garante supremo de la Constitución mediante el enjuiciamiento de la ley impugnada (SSTC 86/1982, de 23 de diciembre, FJ 2; 42/1985, de 15 de marzo, FJ 2; y 17/1990, de 7 de febrero, FJ 1, por todas), una vez ha sido puesta de manifiesto la voluntad impugnatoria por quienes constitucionalmente tienen atribuida tal legitimación” (STC 47/2005, de 3 de marzo, FJ 3). En este caso, este Tribunal entiende acreditada, en tiempo y forma, la manifestación de voluntad de recurrir por parte de los Diputados firmantes del recurso y considera que dicha voluntad se refiere específicamente al Decreto-ley 5/2010, por lo que no cabe apreciar la concurrencia del óbice procesal referido a la falta de legitimación de quienes hacen uso de la constitucionalmente reconocida para impugnar una norma con rango de ley.</w:t>
      </w:r>
    </w:p>
    <w:p w:rsidR="00AC56D6" w:rsidRDefault="00AC56D6" w:rsidP="00AC56D6">
      <w:pPr>
        <w:pStyle w:val="TextoNormal"/>
      </w:pPr>
    </w:p>
    <w:p w:rsidR="00AC56D6" w:rsidRDefault="00AC56D6" w:rsidP="00AC56D6">
      <w:pPr>
        <w:pStyle w:val="TextoNormal"/>
      </w:pPr>
      <w:r w:rsidRPr="00AC56D6">
        <w:rPr>
          <w:rStyle w:val="NumeroAFNegritaCaracter"/>
        </w:rPr>
        <w:t>3</w:t>
      </w:r>
      <w:r>
        <w:t>. Corresponde determinar los efectos que sobre el objeto de este proceso han tenido las modificaciones normativas posteriores a la interposición del recurso.</w:t>
      </w:r>
    </w:p>
    <w:p w:rsidR="00AC56D6" w:rsidRDefault="00AC56D6" w:rsidP="00AC56D6">
      <w:pPr>
        <w:pStyle w:val="TextoNormal"/>
      </w:pPr>
    </w:p>
    <w:p w:rsidR="00AC56D6" w:rsidRDefault="00AC56D6" w:rsidP="00AC56D6">
      <w:pPr>
        <w:pStyle w:val="TextoNormal"/>
      </w:pPr>
      <w:r>
        <w:t xml:space="preserve">Respecto de la legislación estatal aducida por los diputados recurrentes como parámetro de contraste de algunos preceptos impugnados, ha entrado en vigor el texto refundido de la Ley del estatuto básico del empleado público aprobado por Real Decreto Legislativo 5/2015, de 30 de octubre. De acuerdo con nuestra doctrina sobre el </w:t>
      </w:r>
      <w:r w:rsidRPr="00AC56D6">
        <w:rPr>
          <w:i/>
        </w:rPr>
        <w:t>ius superveniens</w:t>
      </w:r>
      <w:r>
        <w:t xml:space="preserve"> [por todas, SSTC 34/2014, de 27 de febrero, FJ 2 c), y 154/2015, de 9 de julio, FJ 2], en el presente proceso constitucional corresponde tomar en consideración ese texto refundido.</w:t>
      </w:r>
    </w:p>
    <w:p w:rsidR="00AC56D6" w:rsidRDefault="00AC56D6" w:rsidP="00AC56D6">
      <w:pPr>
        <w:pStyle w:val="TextoNormal"/>
      </w:pPr>
    </w:p>
    <w:p w:rsidR="00AC56D6" w:rsidRDefault="00AC56D6" w:rsidP="00AC56D6">
      <w:pPr>
        <w:pStyle w:val="TextoNormal"/>
      </w:pPr>
      <w:r>
        <w:t>En cuanto a las reformas que afectan a la norma impugnada, el Decreto-ley andaluz 5/2010, después de ser convalidado por la Diputación permanente del Parlamento de Andalucía, en sesión habida el 29 de julio de 2010 (“BOJA” núm. 154 de 6 de agosto de 2010), fue modificado por el Decreto-ley 6/2010, de 23 de noviembre, de medidas complementarias del Decreto-ley 5/2010, de 27 de julio, por el que se aprueban medidas urgentes en materia de reordenación del sector público. Según el Gobierno autonómico, esta reforma respondía a la necesidad de aplicar las medidas derivadas de Decreto-ley con el mayor grado de consenso posible, dada su repercusión, de modo que establece innovaciones surgidas del diálogo social permanente con las organizaciones sindicales Unión General de Trabajadores de Andalucía y Comisiones Obreras de Andalucía y del diálogo habido en el seno de la mesa general de negociación del empleado público de la Administración de la Junta de Andalucía. El mencionado Decreto-ley 6/2010 dio nueva redacción a: 1º) los arts. 69 y 78.2 de la Ley 9/2007, de 22 de octubre, de la Administración de la Junta de Andalucía, sustituyendo las modificaciones introducidas por el art. 1, apartados 9 y 12, del Decreto-ley 5/2010; y 2º) la disposición adicional cuarta y los arts. 3 a 12, 18, 19, 22 a 24 del Decreto-ley 5/2010. A su vez, el apartado 1 de la disposición derogatoria única del Decreto-ley 6/2010 establece: “Quedan sin efecto todos los preceptos contenidos en otras normas y cuyo tenor se reproduce en el presente Decreto-ley, así como cuantas normas contradigan o se opongan a lo dispuesto en el mismo”.</w:t>
      </w:r>
    </w:p>
    <w:p w:rsidR="00AC56D6" w:rsidRDefault="00AC56D6" w:rsidP="00AC56D6">
      <w:pPr>
        <w:pStyle w:val="TextoNormal"/>
      </w:pPr>
    </w:p>
    <w:p w:rsidR="00AC56D6" w:rsidRDefault="00AC56D6" w:rsidP="00AC56D6">
      <w:pPr>
        <w:pStyle w:val="TextoNormal"/>
      </w:pPr>
      <w:r>
        <w:t xml:space="preserve">El Decreto-ley 6/2010, fue sometido a debate y votación de totalidad por el Parlamento de Andalucía en su sesión de los días 9 y 10 de diciembre de 2010, en la que se acordó su </w:t>
      </w:r>
      <w:r>
        <w:lastRenderedPageBreak/>
        <w:t>convalidación, así como su tramitación como proyecto de ley por el procedimiento de urgencia previsto en el art. 99 del Reglamento de la Cámara, con exclusión del debate de totalidad. La Ley fue aprobada finalmente por el Pleno del Parlamento el 18 de febrero de 2011 y publicada en el “BOJA” núm. 36, de 21 de febrero de 2011 como Ley 1/2011, de 17 de febrero, de reordenación del sector público de Andalucía. En el mismo sentido que lo hiciera el Decreto-ley 6/2010, la disposición derogatoria única de la Ley 1/2011 determina que “quedan sin efecto todos los preceptos contenidos en otras normas y cuyo tenor se reproduce en la presente Ley, así como cuantas normas contradigan o se opongan a lo dispuesto en la misma”. Ello supone que la totalidad de preceptos impugnados, quedan derogados o sustituidos, en primer término, por el Decreto-ley 6/2010, y seguidamente por la Ley 1/2011 que reproduce la cláusula derogatoria de aquel, ya que todos ellos se contienen en esta disposición, con idéntica o distinta redacción, según los casos.</w:t>
      </w:r>
    </w:p>
    <w:p w:rsidR="00AC56D6" w:rsidRDefault="00AC56D6" w:rsidP="00AC56D6">
      <w:pPr>
        <w:pStyle w:val="TextoNormal"/>
      </w:pPr>
    </w:p>
    <w:p w:rsidR="00AC56D6" w:rsidRDefault="00AC56D6" w:rsidP="00AC56D6">
      <w:pPr>
        <w:pStyle w:val="TextoNormal"/>
      </w:pPr>
      <w:r>
        <w:t>En este contexto normativo es preciso recordar los criterios de la doctrina de este Tribunal respecto a la pérdida de objeto en los recursos de inconstitucionalidad. La pérdida sobrevenida de la vigencia del precepto legal impugnado a través de un recurso de inconstitucionalidad “habrá de ser tenida en cuenta por este Tribunal para apreciar si la misma conlleva ...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199/1987, FJ 3). De esta consideración se extrae la regla general de que la derogación de una norma con rango de ley deriva en la pérdida de objeto del recurso de inconstitucionalidad planteado frente a ella, puesto que carece de sentido pronunciarse sobre normas que el mismo legislador ha expulsado ya del ordenamiento “de modo total, sin ultraactividad” (SSTC 160/1987, FJ 6; 150/1990, FJ 8; 385/1993, FJ 2). Ahora bien, esta regla general conoce excepciones.</w:t>
      </w:r>
    </w:p>
    <w:p w:rsidR="00AC56D6" w:rsidRDefault="00AC56D6" w:rsidP="00AC56D6">
      <w:pPr>
        <w:pStyle w:val="TextoNormal"/>
      </w:pPr>
    </w:p>
    <w:p w:rsidR="00AC56D6" w:rsidRDefault="00AC56D6" w:rsidP="00AC56D6">
      <w:pPr>
        <w:pStyle w:val="TextoNormal"/>
      </w:pPr>
      <w:r>
        <w:t xml:space="preserve">a) En primer lugar, la derogación de normas aprobadas en virtud de facultades legislativas de urgencia que tiene lugar durante la pendencia del recurso de inconstitucionalidad no excluye el control de este Tribunal sobre si al dictarlas se desbordaron los límites constitucionales </w:t>
      </w:r>
      <w:r w:rsidRPr="00AC56D6">
        <w:rPr>
          <w:i/>
        </w:rPr>
        <w:t>ex</w:t>
      </w:r>
      <w:r>
        <w:t xml:space="preserve"> art. 86.1 CE y, en lo que aquí interesa, sobre si concurría el presupuesto habilitante de la norma de urgencia (por todas, las SSTC 155/2005, de 9 de junio, FJ 2, 329/2005, de 15 de diciembre, FJ 4, y 68/2007, de 28 de marzo, FJ 4). De este modo, este Tribunal puede velar por el recto ejercicio de la potestad de dictar decretos-leyes, dentro del marco constitucional, decidiendo la validez o invalidez de las normas impugnadas, sin atender a su vigencia o derogación en el momento en que se pronuncia el fallo [por todas, STC 183/2014, de 6 de noviembre, FJ 2 c)].</w:t>
      </w:r>
    </w:p>
    <w:p w:rsidR="00AC56D6" w:rsidRDefault="00AC56D6" w:rsidP="00AC56D6">
      <w:pPr>
        <w:pStyle w:val="TextoNormal"/>
      </w:pPr>
    </w:p>
    <w:p w:rsidR="00AC56D6" w:rsidRDefault="00AC56D6" w:rsidP="00AC56D6">
      <w:pPr>
        <w:pStyle w:val="TextoNormal"/>
      </w:pPr>
      <w:r>
        <w:t>Esta doctrina supone que la vulneración del art. 86.1 CE que denuncian los Diputados recurrentes no se ve afectada por la regla general de la pérdida del objeto. La derogación de la norma no impedirá, por tanto, que podamos controlar si el ejercicio de la potestad reconocida al Gobierno andaluz se realizó siguiendo las condiciones que le imponen la Constitución y el Estatuto de Autonomía de Andalucía.</w:t>
      </w:r>
    </w:p>
    <w:p w:rsidR="00AC56D6" w:rsidRDefault="00AC56D6" w:rsidP="00AC56D6">
      <w:pPr>
        <w:pStyle w:val="TextoNormal"/>
      </w:pPr>
    </w:p>
    <w:p w:rsidR="00AC56D6" w:rsidRDefault="00AC56D6" w:rsidP="00AC56D6">
      <w:pPr>
        <w:pStyle w:val="TextoNormal"/>
      </w:pPr>
      <w:r>
        <w:t xml:space="preserve">b) La derogación del precepto impugnado no implica necesariamente la pérdida de objeto del recurso de inconstitucionalidad cuando la controversia suscitada tiene carácter competencial. En tal caso, este Tribunal ha de determinar si pervive la controversia competencial </w:t>
      </w:r>
      <w:r>
        <w:lastRenderedPageBreak/>
        <w:t>trabada sobre los preceptos impugnados, tomando en consideración la normativa que sustituyó a la impugnada [por todas, STC 204/2011, de 15 de diciembre, FJ 2 a)].</w:t>
      </w:r>
    </w:p>
    <w:p w:rsidR="00AC56D6" w:rsidRDefault="00AC56D6" w:rsidP="00AC56D6">
      <w:pPr>
        <w:pStyle w:val="TextoNormal"/>
      </w:pPr>
    </w:p>
    <w:p w:rsidR="00AC56D6" w:rsidRDefault="00AC56D6" w:rsidP="00AC56D6">
      <w:pPr>
        <w:pStyle w:val="TextoNormal"/>
      </w:pPr>
      <w:r>
        <w:t>La demanda razona que el art. 1.9 del Decreto-ley 5/2010 incurre en inconstitucionalidad mediata, invadiendo la competencia estatal sobre función pública (art. 149.1.18 CE), al contradecir el art. 9.2 LEEP. La norma autonómica no respetaría la reserva del ámbito de actuación a los funcionarios (relativo al ejercicio de las potestades públicas y la salvaguarda de los intereses generales) establecida por la normativa básica estatal. En este caso, la controversia competencial persiste, sin que decaiga el objeto del proceso constitucional, habida cuenta de que la Ley 1/2011, de 17 de febrero, de reordenación del sector público de Andalucía, mantiene la redacción dada al precepto impugnado en idénticos términos.</w:t>
      </w:r>
    </w:p>
    <w:p w:rsidR="00AC56D6" w:rsidRDefault="00AC56D6" w:rsidP="00AC56D6">
      <w:pPr>
        <w:pStyle w:val="TextoNormal"/>
      </w:pPr>
    </w:p>
    <w:p w:rsidR="00AC56D6" w:rsidRDefault="00AC56D6" w:rsidP="00AC56D6">
      <w:pPr>
        <w:pStyle w:val="TextoNormal"/>
      </w:pPr>
      <w:r>
        <w:t>Por otra parte, la demanda razona que la elaboración del Decreto-ley 5/2010 no se ajustó a la exigencia de negociación colectiva previa contenida en el art. 37.1 LEEP (hoy 37.1 del texto refundido), necesaria en razón de las materias sobre las que inciden el art. 1.9 y la disposición adicional cuarta del Decreto-ley, por lo que se daría también una causa de inconstitucionalidad mediata. En este caso, se da la particularidad de que el Decreto-ley controvertido fue modificado precisamente para reflejar los acuerdos alcanzados entre la Administración andaluza y las organizaciones sindicales en la mesa general de negociación del empleado público de la Administración de la Junta de Andalucía sobre las referidas materias. La exposición de motivos del Decreto-ley 6/2010 señala en este sentido que la especial repercusión de las medidas contenidas en el Decreto-ley 5/2010 exige que “su aplicación sea expresiva de un elevado grado de consenso” y que, por tal razón, “el Gobierno de la Junta de Andalucía, en el marco del diálogo social permanente, alcanzó el día 29 de octubre de 2010 un acuerdo con las organizaciones sindicales Unión General de Trabajadores de Andalucía y Comisiones Obreras de Andalucía”. Añade que “posteriormente, en la reunión de la Mesa General de Negociación del Empleado Público de la Administración de la Junta de Andalucía, celebrada el día 18 de noviembre de 2010, se adoptó un acuerdo con el mismo contenido, que entre otras actuaciones contempla la propuesta de modificación de determinados aspectos del Decreto-ley 5/2010, de 27 de julio, con objeto de concretar los procedimientos de integración del personal funcionario y laboral que pudiera verse afectado por la aplicación de las medidas contempladas en la citada norma”. Finalmente se indica que el presente Decreto-ley [6/2010] opta por la reproducción del Decreto-ley 5/2010, de 27 de julio, integrando en el mismo las modificaciones que se realizan, procedentes del Acuerdo alcanzado en la mesa general de negociación del empleado público de la Administración de la Junta de Andalucía.</w:t>
      </w:r>
    </w:p>
    <w:p w:rsidR="00AC56D6" w:rsidRDefault="00AC56D6" w:rsidP="00AC56D6">
      <w:pPr>
        <w:pStyle w:val="TextoNormal"/>
      </w:pPr>
    </w:p>
    <w:p w:rsidR="00AC56D6" w:rsidRDefault="00AC56D6" w:rsidP="00AC56D6">
      <w:pPr>
        <w:pStyle w:val="TextoNormal"/>
      </w:pPr>
      <w:r>
        <w:t>Al haberse producido el diálogo social que reclamaban los diputados recurrentes, corresponde apreciar que la controversia competencial ha decaído por lo que también en este punto ha perdido objeto el recurso de inconstitucionalidad.</w:t>
      </w:r>
    </w:p>
    <w:p w:rsidR="00AC56D6" w:rsidRDefault="00AC56D6" w:rsidP="00AC56D6">
      <w:pPr>
        <w:pStyle w:val="TextoNormal"/>
      </w:pPr>
    </w:p>
    <w:p w:rsidR="00AC56D6" w:rsidRDefault="00AC56D6" w:rsidP="00AC56D6">
      <w:pPr>
        <w:pStyle w:val="TextoNormal"/>
      </w:pPr>
      <w:r>
        <w:t>Por último, los Diputados recurrentes imputan a la disposición adicional cuarta y a los arts. 3 a 12, 18, 19 y 22 a 24 del Decreto-ley 5/2010 la vulneración del contenido esencial de los arts. 14 y 23.2 CE. El recurso ha perdido objeto también en lo que afecta a estas impugnaciones, pues se refieren a preceptos derogados y respecto de ellos se plantea una controversia de carácter no competencial.</w:t>
      </w:r>
    </w:p>
    <w:p w:rsidR="00AC56D6" w:rsidRDefault="00AC56D6" w:rsidP="00AC56D6">
      <w:pPr>
        <w:pStyle w:val="TextoNormal"/>
      </w:pPr>
    </w:p>
    <w:p w:rsidR="00AC56D6" w:rsidRDefault="00AC56D6" w:rsidP="00AC56D6">
      <w:pPr>
        <w:pStyle w:val="TextoNormal"/>
      </w:pPr>
      <w:r>
        <w:lastRenderedPageBreak/>
        <w:t>El objeto del presente proceso se contrae, por tanto, al análisis de la vulneración de los límites formales previstos en el art. 86.1 CE en que ha podido incurrir el Decreto-ley 5/2010 así como el vicio de inconstitucionalidad mediata atribuido al art. 1.9, por contradicción con el art. 9.2 del texto refundido de la Ley del estatuto del empleado público.</w:t>
      </w:r>
    </w:p>
    <w:p w:rsidR="00AC56D6" w:rsidRDefault="00AC56D6" w:rsidP="00AC56D6">
      <w:pPr>
        <w:pStyle w:val="TextoNormal"/>
      </w:pPr>
    </w:p>
    <w:p w:rsidR="00AC56D6" w:rsidRDefault="00AC56D6" w:rsidP="00AC56D6">
      <w:pPr>
        <w:pStyle w:val="TextoNormal"/>
      </w:pPr>
      <w:r>
        <w:t>El análisis sobre la concurrencia del presupuesto habilitante del Decreto-ley no afectará a la totalidad de la norma, ni siquiera a la totalidad de los preceptos impugnados, puesto que la demanda solo se refiere, de forma específica, a la falta de presupuesto habilitante en relación con la disposición adicional cuarta y los arts. 1.9 (que modifica el art. 69 de la Ley 9/2007, de 22 de octubre, de la Administración de la Junta de Andalucía) y 1.12 (que da nueva redacción al art. 78.2 de la misma Ley 9/2007). A estos tres preceptos debemos ceñir nuestro el análisis, ajustándonos a las alegaciones contenidas en el escrito que interpone el recurso de inconstitucionalidad, conforme a consolidada doctrina constitucional: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(STC 233/1999, de 16 de diciembre, FJ 2). Para levantar esa carga no basta la mera invocación formal de los preceptos en la demanda ni la existencia en la misma de una solicitud expresa de su declaración de inconstitucionalidad; es preciso que el escrito del recurso “contenga la argumentación específica o razonamientos que fundamenten la presunta contradicción de éstos con la Norma fundamental” [SSTC 146/1994, de 12 de mayo, FJ 7 B); 214/1994, de 14 de julio, FJ 3; y 195/1998, de 1 de octubre, FJ 1]. Solo así será posible el ejercicio del “derecho de defensa” por quien sostenga la constitucionalidad de la norma legal impugnada y permitirá a este Tribunal conocer las razones por las que los recurrentes entienden que las disposiciones impugnadas transgreden el orden constitucional (STC 96/2013, de 23 de abril, FJ 3, entre otras).</w:t>
      </w:r>
    </w:p>
    <w:p w:rsidR="00AC56D6" w:rsidRDefault="00AC56D6" w:rsidP="00AC56D6">
      <w:pPr>
        <w:pStyle w:val="TextoNormal"/>
      </w:pPr>
    </w:p>
    <w:p w:rsidR="00AC56D6" w:rsidRDefault="00AC56D6" w:rsidP="00AC56D6">
      <w:pPr>
        <w:pStyle w:val="TextoNormal"/>
      </w:pPr>
      <w:r w:rsidRPr="00AC56D6">
        <w:rPr>
          <w:rStyle w:val="NumeroAFNegritaCaracter"/>
        </w:rPr>
        <w:t>4</w:t>
      </w:r>
      <w:r>
        <w:t>. Una vez delimitado el objeto de nuestro pronunciamiento abordaremos en primer lugar la cuestión del respeto a los mandatos contenidos en el art. 86.1 CE, en la medida en que esta impugnación engloba también la totalidad de los preceptos a los que se imputan otros vicios, en este caso de índole competencial. Si estimáramos la inconstitucionalidad por falta del presupuesto habilitante de los preceptos impugnados, sería innecesario nuestro pronunciamiento sobre la impugnación del art. 1.9, por contradicción con el art. 9.2 del texto refundido de la Ley del estatuto del empleado público. Así debemos centrarnos en resolver si, en el caso que nos ocupa, y respecto del Decreto-ley 5/2010, concurría o no el presupuesto habilitante que exige a la aprobación por el ejecutivo autonómico de legislación de urgencia.</w:t>
      </w:r>
    </w:p>
    <w:p w:rsidR="00AC56D6" w:rsidRDefault="00AC56D6" w:rsidP="00AC56D6">
      <w:pPr>
        <w:pStyle w:val="TextoNormal"/>
      </w:pPr>
    </w:p>
    <w:p w:rsidR="00AC56D6" w:rsidRDefault="00AC56D6" w:rsidP="00AC56D6">
      <w:pPr>
        <w:pStyle w:val="TextoNormal"/>
      </w:pPr>
      <w:r>
        <w:t>A este respecto hemos de partir de la jurisprudencia fijada en la reciente STC 93/2015, de 14 de mayo, por ser esta resolución la primera que se pronuncia sobre el ajuste constitucional de los decretos-leyes aprobados por un ejecutivo autonómico. Establecimos allí que si bien “el decreto-ley autonómico es una fuente normativa con rango legal no prevista por la Constitución cuando define la organización territorial del Estado en su título VIII”, esta imprevisión “no puede verse como una prohibición sino como un espacio entregado a la libre configuración del legislador estatutario, a quien, al ordenar las instituciones de la Comunidad Autónoma, le cabrá optar por una separación más o menos rígida entre legislativo y ejecutivo, atribuyendo en su caso a este último la facultad de, en concretos supuestos, aprobar normas provisionales con rango de ley que adopten la forma de decreto-ley autonó</w:t>
      </w:r>
      <w:r>
        <w:lastRenderedPageBreak/>
        <w:t xml:space="preserve">mico” (FJ 3). Es decir los decretos-leyes autonómicos, como categoría normativa introducida en las modificaciones de los Estatutos de Autonomía habidas a partir del año 2006, no son </w:t>
      </w:r>
      <w:r w:rsidRPr="00AC56D6">
        <w:rPr>
          <w:i/>
        </w:rPr>
        <w:t>a radice</w:t>
      </w:r>
      <w:r>
        <w:t xml:space="preserve"> inconstitucionales más que en el supuesto de que no respeten los límites formales y materiales que se imponen a su aprobación.</w:t>
      </w:r>
    </w:p>
    <w:p w:rsidR="00AC56D6" w:rsidRDefault="00AC56D6" w:rsidP="00AC56D6">
      <w:pPr>
        <w:pStyle w:val="TextoNormal"/>
      </w:pPr>
    </w:p>
    <w:p w:rsidR="00AC56D6" w:rsidRDefault="00AC56D6" w:rsidP="00AC56D6">
      <w:pPr>
        <w:pStyle w:val="TextoNormal"/>
      </w:pPr>
      <w:r>
        <w:t>Esos límites, que el fundamento jurídico 5 de la STC 93/2015 define como “severos” y reputa introducidos en razón del principio democrático (art. 1.1 CE), por lo que son también exigibles a las instituciones autonómicas, se reflejan “en el art. 86.1 CE y son (a) que su uso se justifique por “un caso de extraordinaria y urgente necesidad” (art. 86.1 CE) relativo “a los objetivos marcados para la gobernación del país” (por todas, 96/2014, de 12 de junio), (b) que no afecte a las materias más definidoras de nuestro sistema constitucional (ordenamiento de las instituciones básicas del Estado; derechos, deberes y libertades de los ciudadanos regulados en el título I, régimen de las Comunidades Autónomas, Derecho electoral general, y otras materias reservadas a una ley formal específica) y (c) que se disponga un control parlamentario posterior, a fin de que el órgano legislativo conserve una influencia decisiva sobre los contenidos normativos que se integran definitivamente en el ordenamiento jurídico” (STC 93/2015, FJ 5).</w:t>
      </w:r>
    </w:p>
    <w:p w:rsidR="00AC56D6" w:rsidRDefault="00AC56D6" w:rsidP="00AC56D6">
      <w:pPr>
        <w:pStyle w:val="TextoNormal"/>
      </w:pPr>
    </w:p>
    <w:p w:rsidR="00AC56D6" w:rsidRDefault="00AC56D6" w:rsidP="00AC56D6">
      <w:pPr>
        <w:pStyle w:val="TextoNormal"/>
      </w:pPr>
      <w:r>
        <w:t>Por tanto “un Estatuto de Autonomía no puede atribuir al Consejo de Gobierno autonómico poderes de legislación de urgencia que no estén sujetos, en lo que corresponda, a los límites consignados en el art. 86.1 CE como garantía del principio democrático. En todo caso el Tribunal Constitucional podrá, aplicando directamente el parámetro constitucional ínsito en dicho principio, controlar la constitucionalidad de la legislación de urgencia que pueda adoptar el citado Consejo de Gobierno”, y se añade que “a la hora de enjuiciar la concurrencia del presupuesto habilitante del art. 86.1 CE, esto es, la extraordinaria y urgente necesidad del decreto-ley autonómico, este Tribunal deberá ponderar la competencia autonómica ejercida al efecto, pues la naturaleza y alcance de las competencias autonómicas hacen, en principio, menos necesario el recurso a la aprobación de normas legales de urgencia” (STC 93/2015, FJ 5).</w:t>
      </w:r>
    </w:p>
    <w:p w:rsidR="00AC56D6" w:rsidRDefault="00AC56D6" w:rsidP="00AC56D6">
      <w:pPr>
        <w:pStyle w:val="TextoNormal"/>
      </w:pPr>
    </w:p>
    <w:p w:rsidR="00AC56D6" w:rsidRDefault="00AC56D6" w:rsidP="00AC56D6">
      <w:pPr>
        <w:pStyle w:val="TextoNormal"/>
      </w:pPr>
      <w:r>
        <w:t xml:space="preserve">El art. 110 del Estatuto de Autonomía de Andalucía recoge el requisito de la extraordinaria y urgente necesidad en los mismos términos que el art. 86.1 CE: “En caso de extraordinaria y urgente necesidad el Consejo de Gobierno podrá dictar medidas legislativas provisionales en forma de decretos-leyes…”. En lo que hace a la valoración, por parte del Tribunal Constitucional, de la concurrencia de este presupuesto habilitante, hemos establecido que “el carácter unicameral de las Asambleas Legislativas, así como su más reducido tamaño y menor actividad parlamentaria en comparación con la que se lleva a cabo en las Cortes Generales, determina que, incluso aun cuando cuente dicho procedimiento con trámites que no existen en las Cortes Generales, como la comparecencia de los agentes sociales (art. 112 del Reglamento del Parlamento de Andalucía), las medidas legislativas requeridas para solventar situaciones de necesidad podrán ser acordadas a través de leyes de un modo más rápido en las cámaras autonómicas” (STC 93/2015, FJ 5). Lo anterior supone que el Gobierno autonómico debe describir, como se le exige al ejecutivo estatal, “la situación de necesidad de modo explícito y razonado”, sin necesidad de que “se refiera expresamente a todos y cada uno de los elementos determinantes de la misma, lo que no sería coherente con que la citada doctrina constitucional califique la decisión gubernativa de dictar un decreto-ley de ‘juicio político o de oportunidad’ y defina la verificación de esta decisión que atañe al Tribunal como ‘control externo’ a realizar mediante una ‘valoración conjunta de todos </w:t>
      </w:r>
      <w:r>
        <w:lastRenderedPageBreak/>
        <w:t>aquellos factores que determinaron al Gobierno a dictar la disposición legal excepcional’” (STC 93/2015, FJ 5).</w:t>
      </w:r>
    </w:p>
    <w:p w:rsidR="00AC56D6" w:rsidRDefault="00AC56D6" w:rsidP="00AC56D6">
      <w:pPr>
        <w:pStyle w:val="TextoNormal"/>
      </w:pPr>
    </w:p>
    <w:p w:rsidR="00AC56D6" w:rsidRDefault="00AC56D6" w:rsidP="00AC56D6">
      <w:pPr>
        <w:pStyle w:val="TextoNormal"/>
      </w:pPr>
      <w:r>
        <w:t>Finalmente el Tribunal recuerda que, también en relación con los decretos-leyes autonómicos, es potestad del Tribunal valorar, de acuerdo al control externo referido, la concurrencia del presupuesto habilitante en términos más exigentes que los expresados en relación con los decretos-leyes estatales, a la hora de valorar la necesidad de “una acción legislativa que se materialice ‘en un plazo más breve que el requerido para la tramitación de las Leyes’ (por todas, STC 111/1983, de 2 de diciembre, FJ 6)” y a la hora de encuadrar el ejercicio de la potestad normativa autonómica dentro del haz de competencias que son propias de la Comunidad Autónoma.</w:t>
      </w:r>
    </w:p>
    <w:p w:rsidR="00AC56D6" w:rsidRDefault="00AC56D6" w:rsidP="00AC56D6">
      <w:pPr>
        <w:pStyle w:val="TextoNormal"/>
      </w:pPr>
    </w:p>
    <w:p w:rsidR="00AC56D6" w:rsidRDefault="00AC56D6" w:rsidP="00AC56D6">
      <w:pPr>
        <w:pStyle w:val="TextoNormal"/>
      </w:pPr>
      <w:r w:rsidRPr="00AC56D6">
        <w:rPr>
          <w:rStyle w:val="NumeroAFNegritaCaracter"/>
        </w:rPr>
        <w:t>5</w:t>
      </w:r>
      <w:r>
        <w:t>. Entramos ya a valorar si, con los matices expuestos y siempre dentro del “control externo” que nos compete, concurría el presupuesto habilitante de extraordinaria y urgente necesidad al momento de ser aprobado el Decreto-ley 5/2010 de Andalucía.</w:t>
      </w:r>
    </w:p>
    <w:p w:rsidR="00AC56D6" w:rsidRDefault="00AC56D6" w:rsidP="00AC56D6">
      <w:pPr>
        <w:pStyle w:val="TextoNormal"/>
      </w:pPr>
    </w:p>
    <w:p w:rsidR="00AC56D6" w:rsidRDefault="00AC56D6" w:rsidP="00AC56D6">
      <w:pPr>
        <w:pStyle w:val="TextoNormal"/>
      </w:pPr>
      <w:r>
        <w:t>Esa valoración exige acudir a un doble canon (por todas, STC 39/2013, de 14 de diciembre, FJ 5, y Sentencias allí citadas), aplicable también en el caso de los decretos-leyes autonómicos; consiste en la identificación, por un lado, en este caso por el Gobierno autonómico, de manera explícita y razonada de la concurrencia de esa singular situación, la extraordinaria y urgente necesidad, determinante de la aparición del presupuesto que le habilita para dictar con carácter excepcional una normas dotadas de los atributos, del rango y la fuerza propios de las leyes formales (STC 237/2012, de 13 de diciembre). Por otro lado, en la verificación de la existencia de una conexión de sentido o relación de adecuación entre ese presupuesto habilitante y las medidas contenidas en la norma de urgencia, de modo que éstas han de guardar una relación directa o de congruencia con la situación que se trata de afrontar.</w:t>
      </w:r>
    </w:p>
    <w:p w:rsidR="00AC56D6" w:rsidRDefault="00AC56D6" w:rsidP="00AC56D6">
      <w:pPr>
        <w:pStyle w:val="TextoNormal"/>
      </w:pPr>
    </w:p>
    <w:p w:rsidR="00AC56D6" w:rsidRDefault="00AC56D6" w:rsidP="00AC56D6">
      <w:pPr>
        <w:pStyle w:val="TextoNormal"/>
      </w:pPr>
      <w:r>
        <w:t>En cuanto al primero de estos aspectos, la definición de la situación de urgencia está razonada en la exposición de motivos del Decreto-ley. Vendría a dar respuesta “al Acuerdo Marco con las Comunidades Autónomas y Ciudades con Estatuto de Autonomía sobre Sostenibilidad de las Finanzas Públicas para el periodo 2010-2013, adoptado en el seno del Consejo de Política Fiscal y Financiera el 22 de marzo de 2010, a raíz de la Actualización del Plan de Estabilidad y Crecimiento 2010-2013. Un Acuerdo Marco en el que se plasma el compromiso presupuestario de las Comunidades Autónomas de que el déficit del conjunto de las Administraciones públicas se sitúe en el 3 por 100 del PIB en el año 2013. La situación de inestabilidad financiera observada en los mercados obligó, asimismo, a adelantar la reducción de los objetivos de déficit y a adoptar medidas adicionales de consolidación fiscal al objeto de restaurar el nivel de confianza y reforzar el compromiso del conjunto del Estado con la reconducción de los desequilibrios fiscales. En este sentido se pronunció el Consejo de Política Fiscal y Financiera el pasado 15 de junio aprobando la modificación del Acuerdo Marco del 22 de marzo, resaltando la necesidad de avanzar en este compromiso y utilizar la reestructuración el sector público de forma que pudieran obtenerse ganancias de eficiencia, contención del gasto y ahorro orientados a la mejora de los servicios públicos. En el conjunto y en cada una de las medidas que se adoptan concurren, por la naturaleza y finalidad de las mismas, las circunstancias de extraordinaria y urgente necesidad que exige el artículo 110 del Estatuto de Autonomía para Andalucía como presupuesto habilitante para la aprobación de un decreto-ley”.</w:t>
      </w:r>
    </w:p>
    <w:p w:rsidR="00AC56D6" w:rsidRDefault="00AC56D6" w:rsidP="00AC56D6">
      <w:pPr>
        <w:pStyle w:val="TextoNormal"/>
      </w:pPr>
    </w:p>
    <w:p w:rsidR="00AC56D6" w:rsidRDefault="00AC56D6" w:rsidP="00AC56D6">
      <w:pPr>
        <w:pStyle w:val="TextoNormal"/>
      </w:pPr>
      <w:r>
        <w:lastRenderedPageBreak/>
        <w:t>En la misma línea, de justificación genérica, se manifiesta la Consejera de Hacienda y Administración Pública, Srª. Martínez Aguayo, en el trámite de convalidación del Decreto-ley ante la Diputación Permanente, publicado en el “Diario de Sesiones del Parlamento de Andalucía”, Diputación Permanente, núm. 11, VIII Legislatura, año 2010. Al referirse a las medidas de reordenación del sector público, afirma que se acometen en el Decreto-ley actuaciones sobre veinte de las entidades instrumentales afectadas por esta reordenación que, dada su naturaleza jurídico-pública, exigen la aprobación de una norma con rango de ley según los arts. 56 y 59 de la Ley de la Administración de la Junta de Andalucía, y que “teniendo en cuenta que la tramitación ordinaria de tal proyecto de ley hubiera impedido cumplir en plazo con los requerimientos contenidos por el referido Consejo de Política Fiscal y Financiera”, se opta por tramitar la norma como decreto-ley, en los términos establecidos por el art. 110 EAA.</w:t>
      </w:r>
    </w:p>
    <w:p w:rsidR="00AC56D6" w:rsidRDefault="00AC56D6" w:rsidP="00AC56D6">
      <w:pPr>
        <w:pStyle w:val="TextoNormal"/>
      </w:pPr>
    </w:p>
    <w:p w:rsidR="00AC56D6" w:rsidRDefault="00AC56D6" w:rsidP="00AC56D6">
      <w:pPr>
        <w:pStyle w:val="TextoNormal"/>
      </w:pPr>
      <w:r>
        <w:t>La justificación contenida en la exposición de motivos de la norma manifestada en el trámite de convalidación se refiere a la necesidad de articular el acuerdo adoptado en el Consejo de política fiscal y financiera de 22 de marzo de 2010, actualizado el 15 de junio de 2010 (acuerdo 14/2010, de 15 de junio) “sobre sostenibilidad de las finanzas públicas 2010-2013, así como del compromiso sobre la senda de déficit para dichos ejercicios”. Este acuerdo, a su vez se justifica en la situación de deterioro, desde el mes de abril, de la “confianza sobre la situación financiera de algunos de los países de la zona euro. La desconfianza sobre la solución adoptada para la crisis griega se contagió a otros mercados de deuda soberana de la zona euro, para finalmente ponerse en riesgo la estabilidad de toda ella y, por extensión, el orden financiero internacional. Por ello, el pasado 8 de mayo los países que conforman el Eurogrupo decidieron conjugar la acción concertada del Mecanismo Europeo de Estabilización y del Banco Central Europeo con acciones individuales de los países destinadas a reforzar la sostenibilidad fiscal de la zona euro y de cada uno de ellos. Estas acciones son particularmente necesarias en aquellos países que, por distintas circunstancias en cada uno de ellos, se están viendo sometidos a la presión de los mercados financieros. España es uno de ellos. En coherencia con lo anterior, el Gobierno ha adoptado un compromiso de acelerar la reducción inicialmente prevista, asumiendo un recorte adicional sobre el inicialmente previsto por valor equivalente a medio punto del PIB en 2010 y de otro punto adicional en 2011. Se trata de un esfuerzo considerable que implica pasar, en tan sólo dos años, de un déficit del 11,2 a uno del 6 por 100 del Producto Interior Bruto, reduciendo el déficit en 5,2 puntos de PIB en dos años, lo que equivale a dos terceras partes del compromiso asumido en la actualización del programa de estabilidad para cuatro años. Para ello, el Gobierno ha aprobado un paquete de medidas de austeridad en el ejercicio de sus competencias que, para alcanzar la mayor eficacia precisa de ser completado, en el ámbito de las Comunidades Autónomas, por medidas también adicionales”. En este contexto se adopta el compromiso de recortar adicionalmente el déficit, sobre el inicialmente previsto, en medio punto del PIB en 2010.</w:t>
      </w:r>
    </w:p>
    <w:p w:rsidR="00AC56D6" w:rsidRDefault="00AC56D6" w:rsidP="00AC56D6">
      <w:pPr>
        <w:pStyle w:val="TextoNormal"/>
      </w:pPr>
    </w:p>
    <w:p w:rsidR="00AC56D6" w:rsidRDefault="00AC56D6" w:rsidP="00AC56D6">
      <w:pPr>
        <w:pStyle w:val="TextoNormal"/>
      </w:pPr>
      <w:r>
        <w:t>En síntesis, la totalidad de las medidas contenidas en el Decreto-ley objeto del recurso de inconstitucionalidad se justifican en el cumplimiento de los objetivos de déficit contenido en el acuerdo del Consejo de Política Fiscal y Financiera.</w:t>
      </w:r>
    </w:p>
    <w:p w:rsidR="00AC56D6" w:rsidRDefault="00AC56D6" w:rsidP="00AC56D6">
      <w:pPr>
        <w:pStyle w:val="TextoNormal"/>
      </w:pPr>
    </w:p>
    <w:p w:rsidR="00AC56D6" w:rsidRDefault="00AC56D6" w:rsidP="00AC56D6">
      <w:pPr>
        <w:pStyle w:val="TextoNormal"/>
      </w:pPr>
      <w:r>
        <w:t xml:space="preserve">Reconociéndose que el ejecutivo autonómico expone de manera explícita y razonada la concurrencia de una singular situación de extraordinaria y urgente necesidad, no podemos obviar que este Tribunal también ha exigido que, cuando se denuncia la vulneración del </w:t>
      </w:r>
      <w:r>
        <w:lastRenderedPageBreak/>
        <w:t xml:space="preserve">presupuesto habilitante, no de la totalidad de la norma, sino únicamente en relación con uno o alguno de sus preceptos, ha de analizarse la concurrencia de la necesaria justificación </w:t>
      </w:r>
      <w:r w:rsidRPr="00AC56D6">
        <w:rPr>
          <w:i/>
        </w:rPr>
        <w:t>ad casum</w:t>
      </w:r>
      <w:r>
        <w:t xml:space="preserve"> de la extraordinaria y urgente necesidad, en relación con los preceptos concretamente impugnados (SSTC 31/2011, de 17 de marzo, FJ 4; 137/2011, de 14 de septiembre, FJ 6; 170/2012, de 4 de octubre, FJ 5, y 29/2015, de 19 de febrero, FJ 3). Este argumento nos lleva a preguntarnos si existe una justificación de la concurrencia del presupuesto habilitante relativa al art. 1, apartados 9 y 12, y a la disposición adicional cuarta del Decreto-ley 5/2010, y la respuesta más inmediata es que no existe la justificación </w:t>
      </w:r>
      <w:r w:rsidRPr="00AC56D6">
        <w:rPr>
          <w:i/>
        </w:rPr>
        <w:t>ad casum</w:t>
      </w:r>
      <w:r>
        <w:t>, puesto que el único alegato presente es aquel al que ya hemos hecho referencia, que es absolutamente genérico.</w:t>
      </w:r>
    </w:p>
    <w:p w:rsidR="00AC56D6" w:rsidRDefault="00AC56D6" w:rsidP="00AC56D6">
      <w:pPr>
        <w:pStyle w:val="TextoNormal"/>
      </w:pPr>
    </w:p>
    <w:p w:rsidR="00AC56D6" w:rsidRDefault="00AC56D6" w:rsidP="00AC56D6">
      <w:pPr>
        <w:pStyle w:val="TextoNormal"/>
      </w:pPr>
      <w:r>
        <w:t>Cabría plantearse si la justificación expuesta da cobertura específica a las medidas contenidas en los preceptos a que se limita nuestro examen; para ello es preciso analizar, siquiera de forma somera, el contenido de los artículos impugnados. El art. 1.9 del Decreto-ley 5/2010 da nueva redacción al art. 69 de la Ley de la Administración de la Junta de Andalucía. Establece el régimen de Derecho público o de Derecho privado a que se someten las agencias públicas empresariales, según cuál sea el objeto principal de su actividad; también el tipo de potestades administrativas que ejercerán y el modo en que habrán de hacerlo. A su vez, el art. 1.12 da nueva redacción al art. 78.2 de la Ley 9/2007, para referirse al régimen de Derecho laboral que se aplicará al personal al servicio de las fundaciones del sector público andaluz, así como al régimen de nombramiento del personal no directivo. Por último, la disposición adicional cuarta se refiere al régimen de integración del personal en las agencias públicas empresariales o de régimen especial en los casos en que, como consecuencia de la reestructuración del sector público andaluz, se produzca la supresión de centros directivos de Consejerías o la extinción de entidades instrumentales públicas o privadas. Se establece específicamente la previsión de que “la masa salarial del personal laboral al servicio de la nueva entidad no podrá superar, como consecuencia de la reordenación regulada por este Decreto-ley, la del personal de las entidades que se extingan o se transformen”.</w:t>
      </w:r>
    </w:p>
    <w:p w:rsidR="00AC56D6" w:rsidRDefault="00AC56D6" w:rsidP="00AC56D6">
      <w:pPr>
        <w:pStyle w:val="TextoNormal"/>
      </w:pPr>
    </w:p>
    <w:p w:rsidR="00AC56D6" w:rsidRDefault="00AC56D6" w:rsidP="00AC56D6">
      <w:pPr>
        <w:pStyle w:val="TextoNormal"/>
      </w:pPr>
      <w:r>
        <w:t>Esta disposición adicional cuarta, al referirse a la reestructuración del sector público andaluz y, en particular, a la supresión o extinción de centros directivos de consejerías y entidades instrumentales, conecta directamente con los objetivos de contención del déficit público, que son los que justifican —según la exposición de motivos y el trámite de convalidación, y por referencia a los acuerdos del Consejo de Política Fiscal y Financiera de 15 de junio de 2010— la aprobación del Decreto-ley. En consecuencia, procede descartar respecto de ella la vulneración del presupuesto de la extraordinaria y urgente necesidad (arts. 110 EAA y 86.1 CE).</w:t>
      </w:r>
    </w:p>
    <w:p w:rsidR="00AC56D6" w:rsidRDefault="00AC56D6" w:rsidP="00AC56D6">
      <w:pPr>
        <w:pStyle w:val="TextoNormal"/>
      </w:pPr>
    </w:p>
    <w:p w:rsidR="00AC56D6" w:rsidRDefault="00AC56D6" w:rsidP="00AC56D6">
      <w:pPr>
        <w:pStyle w:val="TextoNormal"/>
      </w:pPr>
      <w:r>
        <w:t>El resto de medidas puede de algún modo conectarse con la reforma del sector público, pero no tienen una relación inmediata y directa con el objetivo de reducción del déficit público. No existiendo, por tanto, una justificación específica relativa a las medidas impugnadas, ni pudiendo entenderse implícitamente justificada la concurrencia del presupuesto habilitante por subsunción en la justificación genérica expuesta, es preciso estimar la impugnación de los recurrentes. Consecuentemente, corresponde declarar que, no habiendo sido adecuadamente justificado el presupuesto habilitante de la extraordinaria y urgente necesidad que se deriva de la aplicación conjunta de los arts. 86 CE y 110 EAA, el art. 1, apartados 9 y 12 del Decreto-ley 5/2010, es inconstitucional y nulo.</w:t>
      </w:r>
    </w:p>
    <w:p w:rsidR="00AC56D6" w:rsidRDefault="00AC56D6" w:rsidP="00AC56D6">
      <w:pPr>
        <w:pStyle w:val="TextoNormal"/>
      </w:pPr>
    </w:p>
    <w:p w:rsidR="00AC56D6" w:rsidRDefault="00AC56D6" w:rsidP="00AC56D6">
      <w:pPr>
        <w:pStyle w:val="TextoNormalCentrado"/>
        <w:keepNext/>
      </w:pPr>
      <w:r>
        <w:lastRenderedPageBreak/>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Estimar parcialmente el recurso de inconstitucionalidad y en consecuencia:</w:t>
      </w:r>
    </w:p>
    <w:p w:rsidR="00AC56D6" w:rsidRDefault="00AC56D6" w:rsidP="00AC56D6">
      <w:pPr>
        <w:pStyle w:val="TextoNormal"/>
      </w:pPr>
    </w:p>
    <w:p w:rsidR="00AC56D6" w:rsidRDefault="00AC56D6" w:rsidP="00AC56D6">
      <w:pPr>
        <w:pStyle w:val="TextoNormal"/>
      </w:pPr>
      <w:r>
        <w:t>1º Declarar la extinción del recurso por desaparición sobrevenida del objeto respecto de los arts. 3 a 12, 18, 19 y 22 a 24 del Decreto-ley de Andalucía 5/2010, de 27 de julio, por el que se aprueban medidas urgentes en materia de reordenación del sector público.</w:t>
      </w:r>
    </w:p>
    <w:p w:rsidR="00AC56D6" w:rsidRDefault="00AC56D6" w:rsidP="00AC56D6">
      <w:pPr>
        <w:pStyle w:val="TextoNormal"/>
      </w:pPr>
    </w:p>
    <w:p w:rsidR="00AC56D6" w:rsidRDefault="00AC56D6" w:rsidP="00AC56D6">
      <w:pPr>
        <w:pStyle w:val="TextoNormal"/>
      </w:pPr>
      <w:r>
        <w:t>2º Declarar la inconstitucionalidad y nulidad del art. 1, apartados 9 y 12, del indicado Decreto-ley.</w:t>
      </w:r>
    </w:p>
    <w:p w:rsidR="00AC56D6" w:rsidRDefault="00AC56D6" w:rsidP="00AC56D6">
      <w:pPr>
        <w:pStyle w:val="TextoNormal"/>
      </w:pPr>
    </w:p>
    <w:p w:rsidR="00AC56D6" w:rsidRDefault="00AC56D6" w:rsidP="00AC56D6">
      <w:pPr>
        <w:pStyle w:val="TextoNormal"/>
      </w:pPr>
      <w:r>
        <w:t>3º Desestimar el recurso en todo lo demás.</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cinco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87" w:name="SENTENCIA_2015_231"/>
      <w:r>
        <w:lastRenderedPageBreak/>
        <w:t>SENTENCIA 231/2015, de 5 de noviembre de 2015</w:t>
      </w:r>
    </w:p>
    <w:bookmarkEnd w:id="87"/>
    <w:p w:rsidR="00AC56D6" w:rsidRDefault="00AC56D6" w:rsidP="00AC56D6">
      <w:pPr>
        <w:pStyle w:val="TtuloResolucin"/>
      </w:pPr>
      <w:r>
        <w:t>Pleno</w:t>
      </w:r>
    </w:p>
    <w:p w:rsidR="00AC56D6" w:rsidRDefault="00AC56D6" w:rsidP="00AC56D6">
      <w:pPr>
        <w:pStyle w:val="TtuloBOE"/>
      </w:pPr>
      <w:r>
        <w:t>(BOE núm. 296, de 11 de diciembre de 2015)</w:t>
      </w:r>
    </w:p>
    <w:p w:rsidR="00AC56D6" w:rsidRDefault="00AC56D6" w:rsidP="00AC56D6">
      <w:pPr>
        <w:pStyle w:val="TextoNormalCentrado"/>
      </w:pPr>
      <w:r>
        <w:t>ECLI:ES:TC:2015:231</w:t>
      </w:r>
    </w:p>
    <w:p w:rsidR="00AC56D6" w:rsidRDefault="00AC56D6" w:rsidP="00AC56D6">
      <w:pPr>
        <w:pStyle w:val="TextoNormalCentrado"/>
      </w:pPr>
    </w:p>
    <w:p w:rsidR="00AC56D6" w:rsidRDefault="00AC56D6" w:rsidP="00AC56D6">
      <w:pPr>
        <w:pStyle w:val="SntesisDescriptiva"/>
      </w:pPr>
      <w:r>
        <w:t>Cuestión de inconstitucionalidad 1066-2012. Planteada por la Sección Quinta de la Sala de lo Contencioso-Administrativo del Tribunal Supremo en relación con la disposición adicional decimoquinta de la Ley 22/2011, de 28 de julio, de residuos y suelos contaminados.</w:t>
      </w:r>
    </w:p>
    <w:p w:rsidR="00AC56D6" w:rsidRDefault="00AC56D6" w:rsidP="00AC56D6">
      <w:pPr>
        <w:pStyle w:val="SntesisDescriptiva"/>
      </w:pPr>
    </w:p>
    <w:p w:rsidR="00AC56D6" w:rsidRDefault="00AC56D6" w:rsidP="00AC56D6">
      <w:pPr>
        <w:pStyle w:val="SntesisAnaltica"/>
      </w:pPr>
      <w:r>
        <w:t>Principio de interdicción de la arbitrariedad de los poderes públicos, derecho a la tutela judicial efectiva (ejecución) y garantías del procedimiento expropiatorio: constitucionalidad del precepto legal que convalida obras de ordenación de recursos hídricos derivadas de la ejecución de un reglamento anulado por Sentencia del Tribunal Supremo. Voto particular.</w:t>
      </w:r>
    </w:p>
    <w:p w:rsidR="00AC56D6" w:rsidRDefault="00AC56D6" w:rsidP="00AC56D6">
      <w:pPr>
        <w:pStyle w:val="SntesisAnaltica"/>
      </w:pPr>
    </w:p>
    <w:p w:rsidR="00AC56D6" w:rsidRDefault="00AC56D6" w:rsidP="00AC56D6">
      <w:pPr>
        <w:pStyle w:val="Extracto"/>
      </w:pPr>
      <w:r>
        <w:t>1.</w:t>
      </w:r>
      <w:r>
        <w:tab/>
        <w:t>La tutela judicial efectiva, en su vertiente de derecho a la ejecución de las resoluciones judiciales, no impide al legislador regular ni estabilizar, en su caso, las situaciones jurídicas surgidas en aplicación de una norma reglamentaria declarada nula sobre las que el Poder judicial no se pronunció con firmeza, al dictar aquella anulación [FJ 12].</w:t>
      </w:r>
    </w:p>
    <w:p w:rsidR="00AC56D6" w:rsidRDefault="00AC56D6" w:rsidP="00AC56D6">
      <w:pPr>
        <w:pStyle w:val="Extracto"/>
      </w:pPr>
    </w:p>
    <w:p w:rsidR="00AC56D6" w:rsidRDefault="00AC56D6" w:rsidP="00AC56D6">
      <w:pPr>
        <w:pStyle w:val="Extracto"/>
      </w:pPr>
      <w:r>
        <w:t>2.</w:t>
      </w:r>
      <w:r>
        <w:tab/>
        <w:t>Los principios constitucionales de seguridad jurídica y de interdicción de la arbitrariedad de los poderes públicos no cubren una eventual expectativa de que los poderes públicos permanezcan pasivos ante la concurrencia de un vicio procedimental que afecte a una norma cuya aplicación pueda favorecer la consecución de un interés general (STC 273/2000) [FJ 4].</w:t>
      </w:r>
    </w:p>
    <w:p w:rsidR="00AC56D6" w:rsidRDefault="00AC56D6" w:rsidP="00AC56D6">
      <w:pPr>
        <w:pStyle w:val="Extracto"/>
      </w:pPr>
    </w:p>
    <w:p w:rsidR="00AC56D6" w:rsidRDefault="00AC56D6" w:rsidP="00AC56D6">
      <w:pPr>
        <w:pStyle w:val="Extracto"/>
      </w:pPr>
      <w:r>
        <w:t>3.</w:t>
      </w:r>
      <w:r>
        <w:tab/>
        <w:t>Sólo es posible percibir incompatibilidad entre el pronunciamiento judicial firme y la norma de ley sobrevenida cuando resulte incontestable que la ley ha venido a hacer imposible el cumplimiento del fallo y que lo ha hecho, además, al margen de todo fin legítimo o con desproporcionado sacrificio del interés tutelado por el pronunciamiento judicial (SSTC 73/2000, 312/2006) [FJ 11].</w:t>
      </w:r>
    </w:p>
    <w:p w:rsidR="00AC56D6" w:rsidRDefault="00AC56D6" w:rsidP="00AC56D6">
      <w:pPr>
        <w:pStyle w:val="Extracto"/>
      </w:pPr>
    </w:p>
    <w:p w:rsidR="00AC56D6" w:rsidRDefault="00AC56D6" w:rsidP="00AC56D6">
      <w:pPr>
        <w:pStyle w:val="Extracto"/>
      </w:pPr>
      <w:r>
        <w:t>4.</w:t>
      </w:r>
      <w:r>
        <w:tab/>
        <w:t>El principio de la preeminencia del Derecho y la noción de proceso equitativo se oponen a toda interferencia del legislador en la administración de justicia que persiga influir en el desenlace judicial de un litigio, a salvo que ello venga justificado por imperiosos motivos de interés general (STEDH Arras y otros c. Italia; STEDH Azienda Agricola Silverfunghi S.A.S. y otros c. Italia) [FJ 10].</w:t>
      </w:r>
    </w:p>
    <w:p w:rsidR="00AC56D6" w:rsidRDefault="00AC56D6" w:rsidP="00AC56D6">
      <w:pPr>
        <w:pStyle w:val="Extracto"/>
      </w:pPr>
    </w:p>
    <w:p w:rsidR="00AC56D6" w:rsidRDefault="00AC56D6" w:rsidP="00AC56D6">
      <w:pPr>
        <w:pStyle w:val="Extracto"/>
      </w:pPr>
      <w:r>
        <w:t>5.</w:t>
      </w:r>
      <w:r>
        <w:tab/>
        <w:t>La mejora de la calidad ambiental de las aguas constituía un interés de relevancia constitucional que justificaba la intervención del legislador autonómico para elevar retroactivamente de rango unas disposiciones reglamentarias que contenían normas relativas al canon de saneamiento (STC 273/2000) [FJ 6].</w:t>
      </w:r>
    </w:p>
    <w:p w:rsidR="00AC56D6" w:rsidRDefault="00AC56D6" w:rsidP="00AC56D6">
      <w:pPr>
        <w:pStyle w:val="Extracto"/>
      </w:pPr>
    </w:p>
    <w:p w:rsidR="00AC56D6" w:rsidRDefault="00AC56D6" w:rsidP="00AC56D6">
      <w:pPr>
        <w:pStyle w:val="Extracto"/>
      </w:pPr>
      <w:r>
        <w:t>6.</w:t>
      </w:r>
      <w:r>
        <w:tab/>
        <w:t>No puede reprocharse una falta de justificación objetiva a la voluntad del legislador de que las diversas obras y actuaciones de ordenación de los recursos hídricos realizadas durante un periodo de cuatro años en el ámbito territorial de tres con</w:t>
      </w:r>
      <w:r>
        <w:lastRenderedPageBreak/>
        <w:t>federaciones hidrográficas adquirieran plena validez y eficacia procurando arbitrar, dentro del margen de discrecionalidad propio del legislador, “una solución adecuada, a una situación singular (STC 166/1986) [FJ 6].</w:t>
      </w:r>
    </w:p>
    <w:p w:rsidR="00AC56D6" w:rsidRDefault="00AC56D6" w:rsidP="00AC56D6">
      <w:pPr>
        <w:pStyle w:val="Extracto"/>
      </w:pPr>
    </w:p>
    <w:p w:rsidR="00AC56D6" w:rsidRDefault="00AC56D6" w:rsidP="00AC56D6">
      <w:pPr>
        <w:pStyle w:val="Extracto"/>
      </w:pPr>
      <w:r>
        <w:t>7.</w:t>
      </w:r>
      <w:r>
        <w:tab/>
        <w:t>Las leyes singulares no son inconstitucionales, si bien, al no constituir un ejercicio normal de la potestad legislativa, están sujetas a una serie de límites contenidos en la propia Constitución (STC 129/2013) [FJ 3].</w:t>
      </w:r>
    </w:p>
    <w:p w:rsidR="00AC56D6" w:rsidRDefault="00AC56D6" w:rsidP="00AC56D6">
      <w:pPr>
        <w:pStyle w:val="Extracto"/>
      </w:pPr>
    </w:p>
    <w:p w:rsidR="00AC56D6" w:rsidRDefault="00AC56D6" w:rsidP="00AC56D6">
      <w:pPr>
        <w:pStyle w:val="Extracto"/>
      </w:pPr>
      <w:r>
        <w:t>8.</w:t>
      </w:r>
      <w:r>
        <w:tab/>
        <w:t>Este Tribunal no debe sobreponer su juicio al de las Cámaras para depurar supuestas irregularidades de procedimiento que no levantaron protesta o queja alguna en sede parlamentaria, a no ser que nuestro control viniera exigido por imperiosas razones jurídico-constitucionales [FJ 8].</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y don Ricardo Enríquez Sancho,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1066-2012, planteada por la Sección Quinta de la Sala de lo Contencioso-Administrativo del Tribunal Supremo en relación con la disposición adicional decimoquinta de la Ley 22/2011, de 28 de julio, de residuos y suelos contaminados, por posible infracción de los artículos 24.1, en relación con el artículo 117.3, en su vertiente de derecho a la ejecución de las resoluciones judiciales; 9.3, en cuanto enuncia el principio de interdicción de la arbitrariedad de los poderes públicos, y 33.3, todos de la Constitución. Han formulado alegaciones el Abogado del Estado y el Fiscal General del Estado y se han personado el Congreso de los Diputados y el Senado. Ha sido Ponente la Magistrada doña Adela Asua Batarrita,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El día 24 de febrero de 2012 tuvo entrada en el Registro General de este Tribunal oficio de la Secretaría de Justicia de la Sección Quinta de la Sala Tercera de lo Contencioso-Administrativo del Tribunal Supremo al que se acompañan Auto de 18 de enero de 2012, de dicho órgano jurisdiccional, por el que se plantea cuestión de inconstitucionalidad sobre el precepto legal citado en el encabezamiento que antecede y por las posibles infracciones allí mismo referidas, así como testimonio de las actuaciones principales y de las alegaciones </w:t>
      </w:r>
      <w:r>
        <w:lastRenderedPageBreak/>
        <w:t>de las partes y del Ministerio Fiscal sobre la pertinencia de plantear la presente cuestión de inconstitucionalidad.</w:t>
      </w:r>
    </w:p>
    <w:p w:rsidR="00AC56D6" w:rsidRDefault="00AC56D6" w:rsidP="00AC56D6">
      <w:pPr>
        <w:pStyle w:val="TextoNormal"/>
      </w:pPr>
    </w:p>
    <w:p w:rsidR="00AC56D6" w:rsidRDefault="00AC56D6" w:rsidP="00AC56D6">
      <w:pPr>
        <w:pStyle w:val="TextoNormal"/>
      </w:pPr>
      <w:r>
        <w:t>Los antecedentes relevantes de la actual cuestión, según resulta del Auto de planteamiento y de la documentación adjunta, son, en síntesis, los siguientes:</w:t>
      </w:r>
    </w:p>
    <w:p w:rsidR="00AC56D6" w:rsidRDefault="00AC56D6" w:rsidP="00AC56D6">
      <w:pPr>
        <w:pStyle w:val="TextoNormal"/>
      </w:pPr>
    </w:p>
    <w:p w:rsidR="00AC56D6" w:rsidRDefault="00AC56D6" w:rsidP="00AC56D6">
      <w:pPr>
        <w:pStyle w:val="TextoNormal"/>
      </w:pPr>
      <w:r>
        <w:t>a) Con fecha 24 de noviembre de 2009, la Sala y Sección promotora de esta cuestión dictó Sentencia estimatoria en recurso contencioso-administrativo interpuesto por el Ayuntamiento de Almenar y cuatro entidades mercantiles contra el Real Decreto 1419/2005, de 25 de noviembre, por el que se adoptaron medidas administrativas excepcionales para la gestión de los recursos hidráulicos y para corregir los efectos de la sequía en las cuencas hidrográficas de los ríos Guadiana, Guadalquivir y Ebro. Se declaró en el fallo de dicha Sentencia la nulidad de pleno Derecho del referido Real Decreto, nulidad fundamentada en no haberse dado audiencia previa, en el procedimiento de elaboración del mismo, a los organismos de cuenca; en haberse prescindido del preceptivo informe del Ministerio para las Administraciones Públicas y del dictamen del Consejo de Estado y en la carencia de una adecuada memoria económica.</w:t>
      </w:r>
    </w:p>
    <w:p w:rsidR="00AC56D6" w:rsidRDefault="00AC56D6" w:rsidP="00AC56D6">
      <w:pPr>
        <w:pStyle w:val="TextoNormal"/>
      </w:pPr>
    </w:p>
    <w:p w:rsidR="00AC56D6" w:rsidRDefault="00AC56D6" w:rsidP="00AC56D6">
      <w:pPr>
        <w:pStyle w:val="TextoNormal"/>
      </w:pPr>
      <w:r>
        <w:t xml:space="preserve">b) Con fecha 9 de marzo de 2010, la asociación Plataforma para la Defensa del Río Castril Siglo XXI solicitó ante el Tribunal sentenciador ser tenida como afectada por el fallo y pidió, asimismo, vista de lo actuado y que se entendieran con ella las sucesivas actuaciones de ejecución. Por providencia del día 24 del mismo mes, la Sala tuvo por personado al Procurador de la referida asociación y, al haberse publicado el fallo de la Sentencia en el “Boletín Oficial del Estado”, ordenó se le hiciera entrega del testimonio de aquélla. Con posterioridad, el 19 de mayo de 2010, la asociación así personada en las actuaciones presentó nuevo escrito ante la Sala en el que manifestó que, una vez firme la Sentencia dictada, se había dirigido a la Confederación Hidrográfica del Guadalquivir para que procediera a ejecutarla, pidiendo se paralizaran de inmediato tanto determinadas obras de abastecimiento de agua a Baza como las expropiaciones de fincas afectadas por dichas obras, así como la demolición de las ya ejecutadas y la reposición de los terrenos a su estado primitivo, petición que fue desestimada por la citada Confederación Hidrográfica. Requirió también dicha asociación al Ministerio de Medio Ambiente y Medio Rural y Marino para que ejecutase voluntariamente el fallo de la Sentencia en los mismos términos ya expresados, sin recibir respuesta de dicho Ministerio. La misma asociación, en fin, se dirigió, a determinados Ayuntamientos afectados por las obras en solicitud, asimismo, de ejecución de la repetida Sentencia, solicitudes que quedaron sin respuesta, si bien uno de los Ayuntamientos requeridos sí ordenó la paralización de las obras, decisión impugnada en vía jurisdiccional por la Administración del Estado, que pidió la suspensión cautelar del referido acuerdo. Todo ello, junto a la orden de la Administración General del Estado para que se reanudaran las obras en otro municipio, evidenciaba para la asociación compareciente la decisión de no cumplir el fallo de la Sentencia, razón por la que promovió incidente de ejecución </w:t>
      </w:r>
      <w:r w:rsidRPr="00AC56D6">
        <w:rPr>
          <w:i/>
        </w:rPr>
        <w:t>ex</w:t>
      </w:r>
      <w:r>
        <w:t xml:space="preserve"> artículo 109 de la Ley reguladora de la jurisdicción contencioso-administrativa (LJCA) en solicitud de que se requiriera al Ministerio de Medio Ambiente ordenase a la Confederación Hidrográfica del Guadalquivir lo ya previamente interesado por la asociación. Incoado y tramitado este incidente, el 4 de febrero de 2011 se dictó Auto por la Sala parcialmente estimatorio de las pretensiones deducidas por la asociación y así se ordenó la inmediata paralización de determinadas obras de emergencia para la conducción de abastecimiento a Baza y la paralización, también inmediata, de los expedientes de expropiación de las fincas afectadas por tales </w:t>
      </w:r>
      <w:r>
        <w:lastRenderedPageBreak/>
        <w:t>obras, a cuyo fin se ordenó se dirigiera la pertinente comunicación a la Administración del Estado demandada, a la que se le requirió informarse de la situación en que se encontraban las obras a fin de que la Sala se pronunciase, en su caso, sobre el resto de las pretensiones formuladas en la solicitud de ejecución de Sentencia. Este mismo Auto afirmó la legitimación procesal de la asociación promotora del incidente, que había sido negada en sus alegaciones por el Abogado del Estado.</w:t>
      </w:r>
    </w:p>
    <w:p w:rsidR="00AC56D6" w:rsidRDefault="00AC56D6" w:rsidP="00AC56D6">
      <w:pPr>
        <w:pStyle w:val="TextoNormal"/>
      </w:pPr>
    </w:p>
    <w:p w:rsidR="00AC56D6" w:rsidRDefault="00AC56D6" w:rsidP="00AC56D6">
      <w:pPr>
        <w:pStyle w:val="TextoNormal"/>
      </w:pPr>
      <w:r>
        <w:t>c) El Auto de 4 de febrero fue recurrido en reposición por la Abogacía del Estado con base en los siguientes argumentos: la cobertura de las obras paralizadas por el Auto no se encuentra en el Real Decreto anulado por la Sentencia, pues no se declaran en su anexo, sino en el Acuerdo de la Ministra de Medio Ambiente de 21 de noviembre de 2006, acto administrativo firme y consentido que se basta por sí solo para justificar el interés general de la obra hidráulica en cuestión y que de acuerdo con lo previsto en el art. 73 LJCA no está afectado por la declaración de nulidad del Real Decreto 1419/2005; las obras en cuestión son de interés general con arreglo al art. 46.1, letras a) y b), del texto refundido de la Ley de aguas; las obras están incluidas en la planificación hidrológica; el posterior Real Decreto-ley 9/2006, de 15 de septiembre, que prorrogó la vigencia del Real Decreto 1419/2005 hasta el 30 de noviembre de 2007 es una norma con rango de ley formal que sanciona y hace suyas, al ordenar expresamente su prórroga, las medidas excepcionales para corregir los efectos de la sequía en las cuencas hidrográficas del Guadalquivir establecidas en aquel Real Decreto. El recurso de reposición fue desestimado por nuevo Auto de 13 de abril de 2011.</w:t>
      </w:r>
    </w:p>
    <w:p w:rsidR="00AC56D6" w:rsidRDefault="00AC56D6" w:rsidP="00AC56D6">
      <w:pPr>
        <w:pStyle w:val="TextoNormal"/>
      </w:pPr>
    </w:p>
    <w:p w:rsidR="00AC56D6" w:rsidRDefault="00AC56D6" w:rsidP="00AC56D6">
      <w:pPr>
        <w:pStyle w:val="TextoNormal"/>
      </w:pPr>
      <w:r>
        <w:t>d) Con fecha 7 de junio de 2011, la Administración del Estado comunicó al órgano judicial que las obras concernidas se hallaban totalmente ejecutadas en un 94 por 100, quedando dos meses para la finalización del resto.</w:t>
      </w:r>
    </w:p>
    <w:p w:rsidR="00AC56D6" w:rsidRDefault="00AC56D6" w:rsidP="00AC56D6">
      <w:pPr>
        <w:pStyle w:val="TextoNormal"/>
      </w:pPr>
    </w:p>
    <w:p w:rsidR="00AC56D6" w:rsidRDefault="00AC56D6" w:rsidP="00AC56D6">
      <w:pPr>
        <w:pStyle w:val="TextoNormal"/>
      </w:pPr>
      <w:r>
        <w:t>e) El 26 de julio de 2011 la Abogacía del Estado remitió escrito en el que ponía en conocimiento de la Sala que las Cortes Generales habían aprobado la Ley 22/2011, de 29 de junio, de residuos y suelos contaminados, Ley que incluía una disposición adicional decimoquinta que afectaba al incidente en tramitación. Mediante escrito posterior, de 29 de julio, la Abogacía del Estado interesó que, publicada ya oficialmente la Ley, se dispusiera, con arreglo a su disposición adicional decimoquinta, la conservación de las obras y actuaciones.</w:t>
      </w:r>
    </w:p>
    <w:p w:rsidR="00AC56D6" w:rsidRDefault="00AC56D6" w:rsidP="00AC56D6">
      <w:pPr>
        <w:pStyle w:val="TextoNormal"/>
      </w:pPr>
    </w:p>
    <w:p w:rsidR="00AC56D6" w:rsidRDefault="00AC56D6" w:rsidP="00AC56D6">
      <w:pPr>
        <w:pStyle w:val="TextoNormal"/>
      </w:pPr>
      <w:r>
        <w:t>f) Por providencia de 4 de noviembre de 2011, el órgano judicial acordó oír a las partes y al Ministerio Fiscal sobre la pertinencia de plantear cuestión de inconstitucionalidad respecto a la disposición adicional decimoquinta de la Ley 22/2011, de 28 de julio, de residuos y suelos contaminados, por posible vulneración de los artículos 9.3, 24.1, en relación con el 117.3, y 33.3 CE.</w:t>
      </w:r>
    </w:p>
    <w:p w:rsidR="00AC56D6" w:rsidRDefault="00AC56D6" w:rsidP="00AC56D6">
      <w:pPr>
        <w:pStyle w:val="TextoNormal"/>
      </w:pPr>
    </w:p>
    <w:p w:rsidR="00AC56D6" w:rsidRDefault="00AC56D6" w:rsidP="00AC56D6">
      <w:pPr>
        <w:pStyle w:val="TextoNormal"/>
      </w:pPr>
      <w:r>
        <w:t>La representación procesal de los actores en el proceso principal y la de la comparecida en el incidente de ejecución manifestaron su conformidad con el planteamiento de la cuestión. El Abogado del Estado se opuso a la misma. Por su parte, el Ministerio Fiscal propugnó de modo principal que no se plantease la cuestión de inconstitucionalidad por entender que podría resultar manifiestamente infundada; si bien, de modo subsidiario, estimó que la disposición legal suscitaba dudas de inconstitucionalidad por su eventual contradicción con el artículo 24.1 CE y, por las mismas razones, con los artículos 9.3 y 33.3 CE.</w:t>
      </w:r>
    </w:p>
    <w:p w:rsidR="00AC56D6" w:rsidRDefault="00AC56D6" w:rsidP="00AC56D6">
      <w:pPr>
        <w:pStyle w:val="TextoNormal"/>
      </w:pPr>
    </w:p>
    <w:p w:rsidR="00AC56D6" w:rsidRDefault="00AC56D6" w:rsidP="00AC56D6">
      <w:pPr>
        <w:pStyle w:val="TextoNormal"/>
      </w:pPr>
      <w:r>
        <w:lastRenderedPageBreak/>
        <w:t>El órgano judicial dictó Auto de 18 de enero de 2012 planteando cuestión de inconstitucionalidad sobre la disposición adicional decimoquinta de la Ley 22/2011, de 28 de julio, de residuos y suelos contaminados, por posible vulneración de los artículos 24.1, en relación con el 117.3, en su vertiente del derecho a la ejecución de las resoluciones judiciales; 9.3, en cuanto enuncia el principio de interdicción de la arbitrariedad de los poderes públicos, y 33.3, todos de la Constitución. El Auto cuenta con un Voto de uno de los Magistrados integrantes de la Sección, que entiende que no concurre duda alguna de constitucionalidad de la disposición cuestionada.</w:t>
      </w:r>
    </w:p>
    <w:p w:rsidR="00AC56D6" w:rsidRDefault="00AC56D6" w:rsidP="00AC56D6">
      <w:pPr>
        <w:pStyle w:val="TextoNormal"/>
      </w:pPr>
    </w:p>
    <w:p w:rsidR="00AC56D6" w:rsidRDefault="00AC56D6" w:rsidP="00AC56D6">
      <w:pPr>
        <w:pStyle w:val="TextoNormal"/>
      </w:pPr>
      <w:r w:rsidRPr="00AC56D6">
        <w:rPr>
          <w:rStyle w:val="NumeroAFNegritaCaracter"/>
        </w:rPr>
        <w:t>2</w:t>
      </w:r>
      <w:r>
        <w:t>. El Auto de planteamiento de la cuestión de inconstitucionalidad tiene, en síntesis, el siguiente contenido:</w:t>
      </w:r>
    </w:p>
    <w:p w:rsidR="00AC56D6" w:rsidRDefault="00AC56D6" w:rsidP="00AC56D6">
      <w:pPr>
        <w:pStyle w:val="TextoNormal"/>
      </w:pPr>
    </w:p>
    <w:p w:rsidR="00AC56D6" w:rsidRDefault="00AC56D6" w:rsidP="00AC56D6">
      <w:pPr>
        <w:pStyle w:val="TextoNormal"/>
      </w:pPr>
      <w:r>
        <w:t>a) Tras exponer los antecedentes del caso, en especial en relación con el procedimiento de ejecución de la Sentencia, y recoger las alegaciones de las partes en el preceptivo trámite de audiencia, inicia el Auto sus razonamientos jurídicos señalando que concurren los presupuestos formales para el planteamiento de la cuestión, resaltando especialmente que la disposición cuestionada es aplicable al caso y que de su validez depende la decisión sobre el incidente de ejecución y la propia ejecución de aquella Sentencia. Así, señala que el precepto legal cuestionado tiene por objeto confeso y declarado convalidar la norma reglamentaria que fue declarada nula, habiendo acudido el Abogado del Estado a dicha disposición adicional decimoquinta para pedir que se deje sin efecto lo acordado en la Sentencia y en el propio incidente de ejecución y se disponga la conservación de las obras realizadas al amparo de aquel reglamento, a lo que se oponen las demás partes por entender que la norma legal no tiene más objeto que eludir y frustrar la ejecución de una Sentencia judicial firme y de los Autos dictados en el incidente de ejecución. Por ello recalca el Auto que, al ser estos los términos del debate, es claro que el juicio sobre la validez y aplicabilidad de la disposición adicional resulta trascendental y determinante para la resolución que haya de dictarse.</w:t>
      </w:r>
    </w:p>
    <w:p w:rsidR="00AC56D6" w:rsidRDefault="00AC56D6" w:rsidP="00AC56D6">
      <w:pPr>
        <w:pStyle w:val="TextoNormal"/>
      </w:pPr>
    </w:p>
    <w:p w:rsidR="00AC56D6" w:rsidRDefault="00AC56D6" w:rsidP="00AC56D6">
      <w:pPr>
        <w:pStyle w:val="TextoNormal"/>
      </w:pPr>
      <w:r>
        <w:t>Se rechazan, a continuación, las razones aportadas por el Ministerio Fiscal para no plantear la cuestión por entender que la misma podía resultar notoriamente infundada, dado que la declaración de nulidad del Real Decreto 1419/2005 se basó en consideraciones meramente formales, sin que se dirigiera reproche alguno a dicho reglamento desde la perspectiva del tema de fondo. El Auto afirma al respecto que, en el caso examinado, se prescindió de todos los informes que pudieran garantizar la legalidad, acierto, oportunidad y viabilidad económica de la norma, omisiones que adquieren una relevancia cualitativa que trasciende del simple defecto formal para devenir en uno de naturaleza sustantiva.</w:t>
      </w:r>
    </w:p>
    <w:p w:rsidR="00AC56D6" w:rsidRDefault="00AC56D6" w:rsidP="00AC56D6">
      <w:pPr>
        <w:pStyle w:val="TextoNormal"/>
      </w:pPr>
    </w:p>
    <w:p w:rsidR="00AC56D6" w:rsidRDefault="00AC56D6" w:rsidP="00AC56D6">
      <w:pPr>
        <w:pStyle w:val="TextoNormal"/>
      </w:pPr>
      <w:r>
        <w:t xml:space="preserve">b) Señalado lo anterior, el Auto argumenta sobre la inconstitucionalidad de la disposición adicional decimoquinta, que entiende dictada con la única y deliberada intención de eludir la declaración de nulidad del Real Decreto 1419/2005, como establece, de forma prácticamente explícita, la propia norma cuestionada y la justificación de la enmienda que estuvo en su origen, enmienda que se introdujo en el Senado de forma subrepticia, con ocasión de la tramitación de un proyecto de ley cuyo título y contenido no guarda relación con aquélla y sin que en ningún momento de su ulterior tramitación parlamentaria se explicitasen las razones de su inclusión. Por ello, considera el Auto que se infringe el derecho a la tutela judicial efectiva consagrado en el artículo 24.1 CE en la vertiente del derecho a la ejecución de sentencias y demás resoluciones judiciales firmes. En apoyo de esa consideración el Auto </w:t>
      </w:r>
      <w:r>
        <w:lastRenderedPageBreak/>
        <w:t>de planteamiento hace detalladas referencias a la doctrina constitucional, con citas de las SSTC 73/2000, 273/2000 y 312/2006. Cita, asimismo, la doctrina del Tribunal Europeo de Derechos Humanos y del Tribunal de Justicia de la Unión Europea que estima relevante. Dicha jurisprudencia, conjuntamente valorada y proyectada sobre las circunstancias del caso, permite al Auto concluir que existen sólidas razones para cuestionar la constitucionalidad de la disposición adicional decimoquinta por su contradicción con los artículos 24.1 y 117.3 CE.</w:t>
      </w:r>
    </w:p>
    <w:p w:rsidR="00AC56D6" w:rsidRDefault="00AC56D6" w:rsidP="00AC56D6">
      <w:pPr>
        <w:pStyle w:val="TextoNormal"/>
      </w:pPr>
    </w:p>
    <w:p w:rsidR="00AC56D6" w:rsidRDefault="00AC56D6" w:rsidP="00AC56D6">
      <w:pPr>
        <w:pStyle w:val="TextoNormal"/>
      </w:pPr>
      <w:r>
        <w:t xml:space="preserve">En primer lugar, en efecto, se trata de un precepto aprobado </w:t>
      </w:r>
      <w:r w:rsidRPr="00AC56D6">
        <w:rPr>
          <w:i/>
        </w:rPr>
        <w:t>ad casum</w:t>
      </w:r>
      <w:r>
        <w:t xml:space="preserve"> que carece de cualquier pretensión de generalidad y solo busca despejar un problema concreto, cual es el de dar cobertura legislativa a actuaciones administrativas declaradas nulas por Sentencia firme, siendo una ley de caso singular y único. Norma que además, en segundo lugar, se ha introducido en una ley cuyo título y contenido no guarda relación con ella, sin que apenas se haya justificado ni explicado la </w:t>
      </w:r>
      <w:r w:rsidRPr="00AC56D6">
        <w:rPr>
          <w:i/>
        </w:rPr>
        <w:t>ratio</w:t>
      </w:r>
      <w:r>
        <w:t xml:space="preserve"> de tal inclusión y sin que la enmienda que la originó en el Senado venga precedida ni acompañada de ninguna clase de informes o estudios técnicos que permitan suplir lo que no se hizo en el procedimiento reglamentario. La exigencia de acompañar los antecedentes necesarios viene impuesta para los proyectos de ley por el art. 88 CE, sin que haya razón para excepcionarla —se dice— en las enmiendas introducidas en la Cámara alta.</w:t>
      </w:r>
    </w:p>
    <w:p w:rsidR="00AC56D6" w:rsidRDefault="00AC56D6" w:rsidP="00AC56D6">
      <w:pPr>
        <w:pStyle w:val="TextoNormal"/>
      </w:pPr>
    </w:p>
    <w:p w:rsidR="00AC56D6" w:rsidRDefault="00AC56D6" w:rsidP="00AC56D6">
      <w:pPr>
        <w:pStyle w:val="TextoNormal"/>
      </w:pPr>
      <w:r>
        <w:t>En tercer lugar se afirma que con la disposición cuestionada se pretende eludir o sortear la Sentencia del Tribunal Supremo, pues reconoce expresamente su condición de norma convalidadora de una disposición reglamentaria nula, para dejar así sin efectos prácticos la declaración judicial de ilegalidad de dicho reglamento, a fin de que permanezca en el ordenamiento. Se excluye también la fiscalización judicial de la actuación administrativa de ejecución de la Sentencia de 24 de noviembre de 2009, desde el momento en que, a través de la norma legal, se dota de fuerza de ley a un reglamento ilegal mediante una elevación de rango normativo que implica la imposibilidad de control jurisdiccional de lo convalidado. Así, el Auto considera que de lo que se trata es de impedir que la ejecución de la mencionada Sentencia pueda conllevar algún grado de afección sobre obras públicas, ya terminadas o en trance de terminar, que se levantaron al amparo del reglamento que el Tribunal Supremo anuló.</w:t>
      </w:r>
    </w:p>
    <w:p w:rsidR="00AC56D6" w:rsidRDefault="00AC56D6" w:rsidP="00AC56D6">
      <w:pPr>
        <w:pStyle w:val="TextoNormal"/>
      </w:pPr>
    </w:p>
    <w:p w:rsidR="00AC56D6" w:rsidRDefault="00AC56D6" w:rsidP="00AC56D6">
      <w:pPr>
        <w:pStyle w:val="TextoNormal"/>
      </w:pPr>
      <w:r>
        <w:t xml:space="preserve">Considera el órgano judicial, en cuarto lugar, que la disposición cuestionada se ha aprobado más de año y medio después de la Sentencia anulatoria del Tribunal Supremo, sin que conste que en el ínterin la Administración hiciera nada eficaz para reconducir en sede administrativa las deficiencias en que se basó el fallo de aquélla. Bien pudo la Administración —se dice— haber repuesto las actuaciones procedimentales al expediente de elaboración del reglamento a fin de sustanciarlo en debida forma y no consta que así lo hiciera. Al contrario, aún tras la notificación de la Sentencia, la Administración siguió con la ejecución material de las obras públicas afectadas y sólo suscitada la ejecución forzosa ha pretendido evitar una posible actuación del Tribunal Supremo, en ejecución de Sentencia, mediante el ardid de convalidar legislativamente lo mal hecho. Se añade que la disposición cuestionada afecta a derechos e intereses reconocidos en Sentencia firme, con la consiguiente infracción del artículo 24, en la relación con el artículo 117.3, ambos de la Constitución. Estima la Sala que la elevación de rango de la disposición reglamentaria, en la medida en que pretende sustraer el conocimiento del asunto del Tribunal competente para la ejecución de la Sentencia, vulnera el derecho fundamental a la tutela judicial efectiva, en la vertiente del derecho </w:t>
      </w:r>
      <w:r>
        <w:lastRenderedPageBreak/>
        <w:t>a la ejecución de sentencias, e infringe, asimismo, la reserva de jurisdicción que otorga a los Juzgados y Tribunales el artículo 117.3 CE, en tanto que trata de impedir que el Tribunal que ha juzgado el caso pueda apurar la correcta y completa ejecución de lo fallado. Por último, el órgano judicial indica que la convalidación así efectuada no puede considerarse justificada en atención al bien jurídico protegido o a la proporcionalidad de la iniciativa legislativa, señalándose al respecto que en el procedimiento legislativo que ha culminado en la disposición cuestionada no se presentó ninguna documentación o información técnica que pudiera salvar la total ausencia de los imprescindibles informes de la que adoleció el reglamento anulado. Por ello, las obras públicas realizadas al amparo de aquél —ahora convalidado mediante su elevación de rango— carecen de cualesquiera antecedentes que permitan valorar su adecuación a Derecho y su racionalidad desde la perspectiva del artículo 45 CE.</w:t>
      </w:r>
    </w:p>
    <w:p w:rsidR="00AC56D6" w:rsidRDefault="00AC56D6" w:rsidP="00AC56D6">
      <w:pPr>
        <w:pStyle w:val="TextoNormal"/>
      </w:pPr>
    </w:p>
    <w:p w:rsidR="00AC56D6" w:rsidRDefault="00AC56D6" w:rsidP="00AC56D6">
      <w:pPr>
        <w:pStyle w:val="TextoNormal"/>
      </w:pPr>
      <w:r>
        <w:t>c) Según se afirma en el Auto de planteamiento, las mismas razones permiten fundar la inconstitucionalidad de la disposición adicional decimoquinta en la infracción del principio constitucional de interdicción de la arbitrariedad de los poderes públicos del artículo 9.3 CE, por ejercicio abusivo de la potestad legislativa. La convalidación legislativa tuvo lugar cuando la Sentencia anulatoria se había dictado ya, cuando la Administración no había hecho nada útil para reconducir las cosas a la vista del fallo y cuando se suscitó su ejecución, justamente con la intención de frenar un nuevo pronunciamiento desfavorable para la Administración en la pieza de ejecución. La razón del fallo anulatorio fue que en el procedimiento reglamentario no se solicitaron los informes que pudieran avalar la legalidad, acierto y oportunidad de la disposición y en el procedimiento legislativo que culminó en la disposición cuestionada tampoco se acreditó nada de ello, de manera que las obras públicas realizadas al amparo de aquel reglamento ahora convalidado mediante su elevación de rango carecen de antecedentes que permitan valorar su racionalidad.</w:t>
      </w:r>
    </w:p>
    <w:p w:rsidR="00AC56D6" w:rsidRDefault="00AC56D6" w:rsidP="00AC56D6">
      <w:pPr>
        <w:pStyle w:val="TextoNormal"/>
      </w:pPr>
    </w:p>
    <w:p w:rsidR="00AC56D6" w:rsidRDefault="00AC56D6" w:rsidP="00AC56D6">
      <w:pPr>
        <w:pStyle w:val="TextoNormal"/>
      </w:pPr>
      <w:r>
        <w:t xml:space="preserve">d) El órgano judicial cierra su argumentación señalando que también concurre la tercera causa de inconstitucionalidad por infracción del artículo 33.3 CE, en cuanto consagra la garantía patrimonial expropiatoria, ya que la disposición adicional decimoquinta introduce una convalidación retroactiva del Real Decreto 1419/2005 en claro perjuicio de los derechos e intereses legítimos de los expropiados como consecuencia de las obras públicas previstas al amparo del Real Decreto 1419/2005, quienes se ven imposibilitados de defenderlos en el curso del procedimiento expropiatorio y después ante el orden jurisdiccional contencioso-administrativo. Anulado el Real Decreto 1419/2005, las actuaciones expropiatorias por él propiciadas quedaron totalmente desprovistas de título legitimador y por ello la Sala, en el incidente de ejecución, ordenó la inmediata paralización de las obras y correlativamente de los expedientes de expropiación de las fincas por ellas afectadas. Sin embargo, la Administración, lejos de acatar lo ordenado, siguió realizando las obras de una forma que puede calificarse de vía de hecho y, más aun, ha promovido fraudulentamente una cobertura legal tardía para los hechos consumados mediante una convalidación legislativa que opera con carácter retroactivo y que pretende sanar </w:t>
      </w:r>
      <w:r w:rsidRPr="00AC56D6">
        <w:rPr>
          <w:i/>
        </w:rPr>
        <w:t>ope legis</w:t>
      </w:r>
      <w:r>
        <w:t xml:space="preserve"> la vía de hecho en que ha incurrido.</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Por providencia de 17 de abril de 2012, el Pleno del Tribunal acordó, a propuesta de la Sección Primera, admitir a trámite la cuestión de inconstitucionalidad; reservar para sí el conocimiento de la misma; dar traslado de las actuaciones recibidas, conforme al artículo 37.3 de la Ley Orgánica del Tribunal Constitucional (LOTC), al Congreso de los Diputados, al Senado, al Gobierno y al Fiscal General del Estado para que, en el plazo de quince días, </w:t>
      </w:r>
      <w:r>
        <w:lastRenderedPageBreak/>
        <w:t>pudieran personarse en el proceso y formular las alegaciones que estimasen convenientes; comunicar la propia providencia a la Sección Quinta de la Sala de lo Contencioso-Administrativo del Tribunal Supremo a fin de que, de conformidad con el artículo 35.3 LOTC, permanezca suspendido el proceso hasta que el Tribunal resolviera definitivamente la presente cuestión y, en fin, publicar su incoación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4</w:t>
      </w:r>
      <w:r>
        <w:t>. Mediante escrito de 3 de mayo de 2012, registrado en el Tribunal el siguiente día, el Presidente en funciones del Senado comunicó el acuerdo de la Mesa de la Cámara en orden a que se la tuviera por personada en este procedimiento y por ofrecida su colaboración a efectos de lo dispuesto en el artículo 88.1 LOTC.</w:t>
      </w:r>
    </w:p>
    <w:p w:rsidR="00AC56D6" w:rsidRDefault="00AC56D6" w:rsidP="00AC56D6">
      <w:pPr>
        <w:pStyle w:val="TextoNormal"/>
      </w:pPr>
    </w:p>
    <w:p w:rsidR="00AC56D6" w:rsidRDefault="00AC56D6" w:rsidP="00AC56D6">
      <w:pPr>
        <w:pStyle w:val="TextoNormal"/>
      </w:pPr>
      <w:r w:rsidRPr="00AC56D6">
        <w:rPr>
          <w:rStyle w:val="NumeroAFNegritaCaracter"/>
        </w:rPr>
        <w:t>5</w:t>
      </w:r>
      <w:r>
        <w:t>. Por escrito de 8 de mayo de 2012, registrado en el Tribunal el siguiente día diez, el Presidente del Congreso de los Diputados comunicó el acuerdo de la Mesa de la Cámara en orden a que se la tuviera por personada en este procedimiento y por ofrecida su colaboración a efectos de lo previsto en el artículo 88.1 LOTC, remitiendo a la Dirección de Estudios, Análisis y Publicaciones y a la asesoría jurídica de la Secretaría General.</w:t>
      </w:r>
    </w:p>
    <w:p w:rsidR="00AC56D6" w:rsidRDefault="00AC56D6" w:rsidP="00AC56D6">
      <w:pPr>
        <w:pStyle w:val="TextoNormal"/>
      </w:pPr>
    </w:p>
    <w:p w:rsidR="00AC56D6" w:rsidRDefault="00AC56D6" w:rsidP="00AC56D6">
      <w:pPr>
        <w:pStyle w:val="TextoNormal"/>
      </w:pPr>
      <w:r w:rsidRPr="00AC56D6">
        <w:rPr>
          <w:rStyle w:val="NumeroAFNegritaCaracter"/>
        </w:rPr>
        <w:t>6</w:t>
      </w:r>
      <w:r>
        <w:t>. Por escrito de 11 de mayo de 2012, registrado en el Tribunal el mismo día, presentó sus alegaciones, en nombre del Gobierno, el Abogado del Estado. El contenido de este escrito es, en síntesis, el siguiente:</w:t>
      </w:r>
    </w:p>
    <w:p w:rsidR="00AC56D6" w:rsidRDefault="00AC56D6" w:rsidP="00AC56D6">
      <w:pPr>
        <w:pStyle w:val="TextoNormal"/>
      </w:pPr>
    </w:p>
    <w:p w:rsidR="00AC56D6" w:rsidRDefault="00AC56D6" w:rsidP="00AC56D6">
      <w:pPr>
        <w:pStyle w:val="TextoNormal"/>
      </w:pPr>
      <w:r>
        <w:t>a) Tras referirse al objeto de la cuestión de inconstitucionalidad, observa el Abogado del Estado que la providencia con la que se abrió el incidente de planteamiento de la misma no identificó de manera precisa la resolución jurisdiccional cuyo fallo dependía de la validez o invalidez de la disposición adicional decimoquinta de la Ley 22/2011, resolución que en el Auto de planteamiento se da a entender es el incidente de ejecución abierto mediante providencia de 24 de junio de 2011, incidente cuyos antecedentes inmediatos y tramitación describe el Abogado del Estado, tras de lo cual señala que el artículo 109.1 LJCA configura los incidentes de ejecución como rogados, es decir, promovidos por la Administración pública, las demás partes procesales y las personas afectadas por el fallo. Es claro —observa el Abogado del Estado— que, al examinar las condiciones procesales de la cuestión, ha de admitirse la calificación procesal dada por el Tribunal Supremo al trámite con ocasión del cual se suscita la misma y, habida cuenta de que, con arreglo al precepto citado, los incidentes de ejecución han de resolverse por Auto, no cabe dudar de que de la validez o invalidez de la disposición cuestionada puede depender el fallo acerca de las opuestas pretensiones, demolitoria y conservatoria, de las obras públicas hidráulicas de abastecimiento de agua a Baza. Si dicha disposición respeta la Constitución, deberá rechazarse la pretensión demolitoria; aunque si la misma fuera inconstitucional, no por ello sería forzoso imponer la demolición de las obras públicas. Pero bastaría esta suerte de “dependencia atenuada” —se dice— para entender bien apreciada la relevancia del precepto legal cuestionado con arreglo al artículo 35.2 LOTC.</w:t>
      </w:r>
    </w:p>
    <w:p w:rsidR="00AC56D6" w:rsidRDefault="00AC56D6" w:rsidP="00AC56D6">
      <w:pPr>
        <w:pStyle w:val="TextoNormal"/>
      </w:pPr>
    </w:p>
    <w:p w:rsidR="00AC56D6" w:rsidRDefault="00AC56D6" w:rsidP="00AC56D6">
      <w:pPr>
        <w:pStyle w:val="TextoNormal"/>
      </w:pPr>
      <w:r>
        <w:t xml:space="preserve">Ahora bien —se añade—, la aceptación de la existencia de un incidente de ejecución para cuya resolución es relevante la constitucionalidad y validez de la norma cuestionada se ciñe exclusivamente al examen de los presupuestos procesales del presente proceso constitucional y por ningún concepto debería llevarse más allá. Ni el Tribunal ni, por supuesto, el </w:t>
      </w:r>
      <w:r>
        <w:lastRenderedPageBreak/>
        <w:t>Abogado del Estado quedarían vinculados por esta reflexión sobre los presupuestos procesales de la cuestión hasta tal punto de que a la representación del Gobierno no le fuera dable negar, una vez que se entre a estudiar el fondo del asunto, que la paralización o demolición de las obras de abastecimiento de agua a Baza sean actuaciones necesarias para realizar el contenido del fallo de la Sentencia del Tribunal Supremo de 24 de noviembre de 2009 y que la intervención legislativa para evitarlo lesione el derecho a la ejecución de la asociación “Plataforma para la Defensa del Río Castril Siglo XXI”, asociación que, se señala, no recurrió el Real Decreto 1419/2005.</w:t>
      </w:r>
    </w:p>
    <w:p w:rsidR="00AC56D6" w:rsidRDefault="00AC56D6" w:rsidP="00AC56D6">
      <w:pPr>
        <w:pStyle w:val="TextoNormal"/>
      </w:pPr>
    </w:p>
    <w:p w:rsidR="00AC56D6" w:rsidRDefault="00AC56D6" w:rsidP="00AC56D6">
      <w:pPr>
        <w:pStyle w:val="TextoNormal"/>
      </w:pPr>
      <w:r>
        <w:t>b) No sería de apreciar, en primer lugar, la infracción del artículo 9.3 CE en punto al principio de interdicción de la arbitrariedad. Tras citar la jurisprudencia constitucional que estima relevante, alega el Abogado del Estado que la disposición cuestionada no se propone neutralizar y dejar sin efecto la Sentencia del Tribunal Supremo de 24 de noviembre de 2009, que invalidó el Real Decreto 1419/2005 —calificado por la Sala cuestionante de “reglamento ejecutivo” de la Ley de aguas— por vicios en su procedimiento de elaboración. Por el contrario, la disposición cuestionada partiría de los plenos efectos constitutivos (invalidatorios) de la citada Sentencia, pues aunque esta resolución judicial es formalmente declarativa (declara la nulidad de pleno derecho del Real Decreto), en realidad genera la invalidez de una disposición reglamentaria con independencia de cuáles deban ser sus efectos en el tiempo. La disposición adicional decimoquinta de la Ley 22/2011 no convalida el Real Decreto 1419/2005 ni lo eleva de rango. Esta disposición reglamentaria fue declarada inválida e inválida queda para siempre. La disposición adicional decimoquinta convalida —da validez jurídica— a “todas las obras y actuaciones” llevadas a cabo en las tres cuencas hidrográficas al amparo del Real Decreto 1419/2005 (y no sólo a las obras de abastecimiento a Baza, en las que se ha polarizado la pieza de ejecución), así como, complementariamente, las califica como obras de emergencia a los efectos de la legislación de contratos públicos y declara aplicable a tales obras lo dispuesto en el artículo 58 de la Ley de aguas para las expropiaciones.</w:t>
      </w:r>
    </w:p>
    <w:p w:rsidR="00AC56D6" w:rsidRDefault="00AC56D6" w:rsidP="00AC56D6">
      <w:pPr>
        <w:pStyle w:val="TextoNormal"/>
      </w:pPr>
    </w:p>
    <w:p w:rsidR="00AC56D6" w:rsidRDefault="00AC56D6" w:rsidP="00AC56D6">
      <w:pPr>
        <w:pStyle w:val="TextoNormal"/>
      </w:pPr>
      <w:r>
        <w:t xml:space="preserve">Se reprocha también al precepto cuestionado que pretende frenar un nuevo pronunciamiento desfavorable en la llamada pieza de ejecución. Pero ese “nuevo pronunciamiento” se refiere exclusivamente a las obras de emergencia para la conducción de abastecimiento a Baza desde el embalse del Portillo. El alcance de la disposición adicional decimoquinta es, se observa, muy superior. Abarca no sólo las obras de abastecimiento a Baza, sino todas las que se hubieran ejecutado al amparo del Real Decreto 1419/2005, que cubren tres cuencas hidrográficas, cuya superficie agregada suma unos 210.000 km2, dos quintas partes del territorio nacional. Ciertamente, la paralización de las obras de abastecimiento de agua a Baza, ya decretada, y la eventual demolición de las ya ejecutadas que se pretende en la llamada pieza de ejecución resultan, por sí solas, alarmantes desde todos los puntos de vista, incluido el ambiental, pues la demolición —aparte de dejar a Baza sin la mejora del abastecimiento— supondría excavar y remover más de 40 km de tubería de fundición de medio metro de diámetro o un poco menos y demoler las obras de una estación de bombeo. El legislador general, representante del pueblo español (art. 66.1 CE), no está obligado a aceptar pasivamente el riesgo de que obras públicas hidráulicas ya construidas o casi a punto de serlo —y que son necesarias para paliar recurrentes situaciones de sequía— queden paralizadas y puedan llegar a ser demolidas, malgastando así recursos públicos, sólo porque en el procedimiento de elaboración de una disposición reglamentaria que contenía medidas administrativas excepcionales en materia hidráulica no se hubiera oído a los organismos de </w:t>
      </w:r>
      <w:r>
        <w:lastRenderedPageBreak/>
        <w:t xml:space="preserve">cuenca (posteriores ejecutores de las obras); faltara el informe expreso o presunto del Ministerio de Administraciones públicas (cuyo titular asistió a la reunión del Consejo de Ministros en que se aprobó el Real Decreto 1419/2005); no contuviera una memoria económica lo suficientemente precisa en la determinación del coste de las obras (a juicio de la Sección cuestionante) o, en fin, se hubiera omitido el informe del Consejo de Estado (exigible por cuanto la Sentencia de 24 de noviembre de 2009 calificó como “reglamento ejecutivo” de la Ley de aguas un Real Decreto de medidas excepcionales). La motivación de la enmienda de la que nació la disposición cuestionada deja en claro que las Cortes Generales no pretenden interferir en la potestad jurisdiccional, sino preservar el interés público de las obras ya ejecutadas y no esterilizar “una gran inversión económica”, razones todas de evidente interés público y perfectamente armónicas con el mandato constitucional de “eficiencia y economía” en el gasto público (art. 31.2 CE), que supone “asignación racional de recursos escasos” (STC 13/1992). Y razones, además, plenamente atendibles para formular un juicio constitucional de proporcionalidad. Sería claramente incompatible con cualquier criterio de eficiencia, economía y racionalidad en el gasto que fuera forzoso demoler una obra pública de emergencia realizada para abastecer de agua a una población en las recurrentes situaciones de sequía por la exclusiva razón de que, cuando se elaboró la disposición reglamentaria invocada para calificar esa obra como de emergencia a los efectos de contratación pública, no se incorporaron diversos informes; y que esa demolición se llevara a término a fin de que se tramitara correctamente la elaboración de la misma disposición reglamentaria (un quinquenio después de apreciada la situación de sequía) y se volvieran a invertir más recursos públicos en ejecutar, por segunda vez, la misma obra pública. </w:t>
      </w:r>
      <w:r w:rsidRPr="00AC56D6">
        <w:rPr>
          <w:i/>
        </w:rPr>
        <w:t>Ouvrage public mal planté ne se détruit pas</w:t>
      </w:r>
      <w:r>
        <w:t xml:space="preserve"> es máxima tradicional del contencioso-administrativo francés, que debe entenderse —se observa— también implícita en nuestra jurisprudencia contencioso-administrativa, que sanciona las vías de hecho en la construcción de obras públicas con una indemnización complementaria del 25 por 100 del justo precio expropiatorio cuando la restitución </w:t>
      </w:r>
      <w:r w:rsidRPr="00AC56D6">
        <w:rPr>
          <w:i/>
        </w:rPr>
        <w:t>in natura</w:t>
      </w:r>
      <w:r>
        <w:t xml:space="preserve"> se ha hecho imposible, precisamente porque sobre el terreno ocupado se levanta una obra pública que debe permanecer. Se cita al respecto jurisprudencia del Tribunal Supremo.</w:t>
      </w:r>
    </w:p>
    <w:p w:rsidR="00AC56D6" w:rsidRDefault="00AC56D6" w:rsidP="00AC56D6">
      <w:pPr>
        <w:pStyle w:val="TextoNormal"/>
      </w:pPr>
    </w:p>
    <w:p w:rsidR="00AC56D6" w:rsidRDefault="00AC56D6" w:rsidP="00AC56D6">
      <w:pPr>
        <w:pStyle w:val="TextoNormal"/>
      </w:pPr>
      <w:r>
        <w:t xml:space="preserve">Para la Sección proponente, en el procedimiento legislativo faltan “antecedentes” que permitan valorar la “racionalidad” de la obra. Pero ninguna norma de la Constitución ni del Reglamento del Senado exige que una enmienda en esta Cámara deba ir acompañada de un conjunto de informes o estudios, similares a los que puede exigir la elaboración de una disposición reglamentaria. La enmienda es un derecho de </w:t>
      </w:r>
      <w:r w:rsidRPr="00AC56D6">
        <w:rPr>
          <w:i/>
        </w:rPr>
        <w:t>status</w:t>
      </w:r>
      <w:r>
        <w:t xml:space="preserve"> de los senadores, que el artículo 23 CE no permite someter a mayores restricciones de las que figuren en los reglamentos parlamentarios (art. 89.1 CE) y el artículo 107.2 del Reglamento del Senado se limita a disponer que las enmiendas deberán formalizarse “por escrito y con justificación explicativa”, lo que sobradamente cumple la enmienda que originó la disposición cuestionada. En consecuencia, no puede acusarse de arbitrario y abusivo un ejercicio del derecho de enmienda ajustado al reglamento del Senado sólo porque no esté respaldado por “antecedentes”. El artículo 88 CE exige, es verdad, que los proyectos de ley vengan acompañados de antecedentes; pero no se impone la misma exigencia al ejercicio del derecho de enmienda por diputados y senadores, además de que la ausencia de un determinado antecedente sólo tendrá trascendencia si se hubiere privado a las Cámaras de un elemento de juicio necesario para su decisión, pero, en este caso, el defecto, que tuvo que ser conocido de inmediato, hubiese debido ser denunciado ante las mismas Cámaras, como requiere la jurisprudencia constitucional. En cualquier caso, el propio Auto de planteamiento recuerda el nulo valor </w:t>
      </w:r>
      <w:r>
        <w:lastRenderedPageBreak/>
        <w:t>que la STC 73/2000 da a las declaraciones de ciertos representantes políticos así como a las iniciativas parlamentarias emprendidas por éstos, debiendo recordarse que en el control constitucional de la supuesta arbitrariedad legislativa no es pertinente un análisis a fondo de todas las motivaciones posibles de la norma y de todas sus eventuales consecuencias.</w:t>
      </w:r>
    </w:p>
    <w:p w:rsidR="00AC56D6" w:rsidRDefault="00AC56D6" w:rsidP="00AC56D6">
      <w:pPr>
        <w:pStyle w:val="TextoNormal"/>
      </w:pPr>
    </w:p>
    <w:p w:rsidR="00AC56D6" w:rsidRDefault="00AC56D6" w:rsidP="00AC56D6">
      <w:pPr>
        <w:pStyle w:val="TextoNormal"/>
      </w:pPr>
      <w:r>
        <w:t>No cabría, por ello, concluir que el precepto legal cuestionado violó la interdicción de la arbitrariedad contenida en el artículo 9.3 CE.</w:t>
      </w:r>
    </w:p>
    <w:p w:rsidR="00AC56D6" w:rsidRDefault="00AC56D6" w:rsidP="00AC56D6">
      <w:pPr>
        <w:pStyle w:val="TextoNormal"/>
      </w:pPr>
    </w:p>
    <w:p w:rsidR="00AC56D6" w:rsidRDefault="00AC56D6" w:rsidP="00AC56D6">
      <w:pPr>
        <w:pStyle w:val="TextoNormal"/>
      </w:pPr>
      <w:r>
        <w:t>c) Tampoco cabría apreciar que el precepto cuestionado contravenga la garantía expropiatoria recogida en el artículo 33.3 CE.</w:t>
      </w:r>
    </w:p>
    <w:p w:rsidR="00AC56D6" w:rsidRDefault="00AC56D6" w:rsidP="00AC56D6">
      <w:pPr>
        <w:pStyle w:val="TextoNormal"/>
      </w:pPr>
    </w:p>
    <w:p w:rsidR="00AC56D6" w:rsidRDefault="00AC56D6" w:rsidP="00AC56D6">
      <w:pPr>
        <w:pStyle w:val="TextoNormal"/>
      </w:pPr>
      <w:r>
        <w:t xml:space="preserve">El Real Decreto 1419/2005 se publicó el 17 de diciembre de 2005. El recurso directo contra el mismo se interpuso a principios de 2006. La Sentencia que invalidó el Real Decreto 1419/2005 es casi cuatro años posterior a la publicación de aquél: 24 de noviembre de 2009; y su fallo se publicó en el “BOE” de 1 de marzo de 2010. El Real Decreto 1419/2005 no estuvo suspendido durante la tramitación del proceso contencioso-administrativo, de manera que las obras de emergencia ejecutadas a su amparo en las tres cuencas hidrográficas se iniciaron y prosiguieron lícitamente antes de que se dictara y publicara la Sentencia declaratoria de nulidad y algunas incluso, verosímilmente, se concluyeron. La ocupación de los terrenos expropiados, por lo general, tuvo lugar antes de marzo de 2010. Por lo tanto, lo que viene a sostener la Sección cuestionante es que aquella Sentencia de 24 de noviembre de 2009 despojó retroactivamente de “título legitimador” a expropiaciones urgentes ya concluidas en cuanto a la ocupación material. Sin embargo, el artículo 73 LJCA dispone que las sentencias firmes que anulen un precepto de una disposición general no afectarán por sí mismas a la eficacia de las sentencias o actos administrativos firmes que lo hayan aplicado antes de que la anulación alcanzara efectos generales. En muchos procedimientos expropiatorios pueden haberse emitido Sentencias y actos administrativos firmes e inatacables, y hasta pueden existir expropiados que prefieran retener el justiprecio antes que recobrar </w:t>
      </w:r>
      <w:r w:rsidRPr="00AC56D6">
        <w:rPr>
          <w:i/>
        </w:rPr>
        <w:t>in natura</w:t>
      </w:r>
      <w:r>
        <w:t xml:space="preserve"> el terreno que se les expropió, es decir, que valoren el justiprecio convenido o el acuerdo del Jurado como declarativo de derechos.</w:t>
      </w:r>
    </w:p>
    <w:p w:rsidR="00AC56D6" w:rsidRDefault="00AC56D6" w:rsidP="00AC56D6">
      <w:pPr>
        <w:pStyle w:val="TextoNormal"/>
      </w:pPr>
    </w:p>
    <w:p w:rsidR="00AC56D6" w:rsidRDefault="00AC56D6" w:rsidP="00AC56D6">
      <w:pPr>
        <w:pStyle w:val="TextoNormal"/>
      </w:pPr>
      <w:r>
        <w:t xml:space="preserve">En segundo término, señala el Abogado del Estado, la paralización de obras acordada en la pieza de ejecución no se refiere a todas las ejecutadas al amparo del Real Decreto 1419/2005, sino a unas bien concretas y determinadas, las de abastecimiento a Baza, paralización que no fue firme hasta la desestimación de la reposición contra el Auto de 4 de febrero de 2011 por otro de 13 de abril de 2011, notificado al Abogado del Estado el 16 de mayo de 2011 y comunicado al Ministerio el 25 de mayo de 2011, cuando las obras de abastecimiento a Baza estaban prácticamente concluidas. No consta que entre la fecha de la comunicación del Auto de 13 de abril de 2011 y la de entrada en vigor de la disposición adicional decimoquinta de la Ley 22/2011 la Administración siguiera ejecutando las obras que, en el momento de paralizarse, estaban presupuestariamente ya ejecutadas en un 94 por 100 con plena licitud. El Tribunal Constitucional apreciará si, en este contexto, hay razón bastante para acusar a la Administración hidráulica del Estado de actuar en “vía de hecho” y “fraudulentamente”, que son graves imputaciones. Por otro lado, la Sección parece perder de vista que está cuestionando la constitucionalidad de un precepto legal y no enjuiciando una actividad administrativa, por lo que la referencia a la supuesta actuación de la Administración en vía de hecho, o su obediencia o desobediencia a la resolución jurisdiccional de paralización de las obras, nada tiene que ver con la constitucionalidad o inconstitucionalidad </w:t>
      </w:r>
      <w:r>
        <w:lastRenderedPageBreak/>
        <w:t>de la disposición adicional decimoquinta. Tampoco concuerda con los hechos acusar a la “Administración” de haber promovido una “cobertura legal tardía”, cuando la disposición cuestionada es fruto del derecho de enmienda de los senadores de un grupo parlamentario.</w:t>
      </w:r>
    </w:p>
    <w:p w:rsidR="00AC56D6" w:rsidRDefault="00AC56D6" w:rsidP="00AC56D6">
      <w:pPr>
        <w:pStyle w:val="TextoNormal"/>
      </w:pPr>
    </w:p>
    <w:p w:rsidR="00AC56D6" w:rsidRDefault="00AC56D6" w:rsidP="00AC56D6">
      <w:pPr>
        <w:pStyle w:val="TextoNormal"/>
      </w:pPr>
      <w:r>
        <w:t>Pero, sobre todo, no existiría razón suficiente para censurar a la disposición cuestionada por impedir a los expropiados defender sus derechos e intereses en el curso del procedimiento expropiatorio y después ante el orden jurisdiccional contencioso-administrativo. Como es bien sabido, la garantía expropiatoria del artículo 33.3 CE comprende la garantía de que exista una causa justificada de utilidad pública o interés social que puede ser apreciada y declarada por el legislador (</w:t>
      </w:r>
      <w:r w:rsidRPr="00AC56D6">
        <w:rPr>
          <w:i/>
        </w:rPr>
        <w:t>causa expropriandi</w:t>
      </w:r>
      <w:r>
        <w:t>); la de una indemnización razonablemente equilibrada; y la procedimental, es decir, el derecho de configuración legal (“de conformidad con lo dispuesto en las leyes”) que ostenta el expropiado a defenderse y discutir la expropiación (por todas, SSTC 166/1986 y 48/2005). El precepto legal cuestionado, en su incidencia sobre los procedimientos expropiatorios, se limita exclusivamente a proclamar que “las actuaciones aprobadas al amparo del Real Decreto 1419/2005” respondían a una situación excepcional de las descritas en el artículo 58 de la Ley de aguas y que, por ello y en los estrictos términos de este último precepto legal, llevan implícita la declaración de utilidad pública y la de urgente ocupación. La declaración de utilidad pública puede llevarla a cabo el legislador, y así lo prevé el artículo 11 de la Ley de expropiación forzosa (STC 166/1986). No habría en este punto ninguna violación de la garantía constitucional relativa a la</w:t>
      </w:r>
      <w:r w:rsidRPr="00AC56D6">
        <w:rPr>
          <w:i/>
        </w:rPr>
        <w:t xml:space="preserve"> causa expropiand</w:t>
      </w:r>
      <w:r>
        <w:t>i.</w:t>
      </w:r>
    </w:p>
    <w:p w:rsidR="00AC56D6" w:rsidRDefault="00AC56D6" w:rsidP="00AC56D6">
      <w:pPr>
        <w:pStyle w:val="TextoNormal"/>
      </w:pPr>
    </w:p>
    <w:p w:rsidR="00AC56D6" w:rsidRDefault="00AC56D6" w:rsidP="00AC56D6">
      <w:pPr>
        <w:pStyle w:val="TextoNormal"/>
      </w:pPr>
      <w:r>
        <w:t>El pronunciamiento convalidatorio contenido en el párrafo primero del apartado 1 de la disposición cuestionada carece de toda incidencia sobre la garantía indemnizatoria. Los derechos de los expropiados a celebrar acuerdos para fijar el justiprecio, a presentar su hoja de aprecio o a impugnar jurisdiccionalmente el acuerdo del Jurado no resultan afectados en lo más mínimo por el citado pronunciamiento. Por otro lado, ningún expropiado como tal se ha personado en la llamada pieza de ejecución. Y si se entiende que la asociación Plataforma para la Defensa del Río Castril Siglo XXI defiende intereses de los expropiados (lo que no se deduciría de sus estatutos), habría que señalar que esa asociación tiene la oportunidad procesal de comparecer y alegar en la presente cuestión de inconstitucionalidad (art. 37.2 LOTC).</w:t>
      </w:r>
    </w:p>
    <w:p w:rsidR="00AC56D6" w:rsidRDefault="00AC56D6" w:rsidP="00AC56D6">
      <w:pPr>
        <w:pStyle w:val="TextoNormal"/>
      </w:pPr>
    </w:p>
    <w:p w:rsidR="00AC56D6" w:rsidRDefault="00AC56D6" w:rsidP="00AC56D6">
      <w:pPr>
        <w:pStyle w:val="TextoNormal"/>
      </w:pPr>
      <w:r>
        <w:t xml:space="preserve">Tampoco impide la citada decisión legislativa convalidatoria que los tribunales contencioso-administrativos puedan entender que con ella no se elimina la calificación como vía de hecho respecto a las ocupaciones anteriores a la entrada en vigor de la disposición cuestionada, ni en consecuencia que tales ocupaciones no puedan ser compensadas con el 25 por 100 adicional al justiprecio, si el estado de los procedimientos jurisdiccionales lo permite. La verdadera virtualidad del pronunciamiento convalidatorio es declarar la intangibilidad de las obras y actuaciones de ordenación de los recursos hídricos amparadas en el Real Decreto 1419/2005 o, si se prefiere, la imposibilidad de restitución </w:t>
      </w:r>
      <w:r w:rsidRPr="00AC56D6">
        <w:rPr>
          <w:i/>
        </w:rPr>
        <w:t>in natura</w:t>
      </w:r>
      <w:r>
        <w:t xml:space="preserve"> de los bienes expropiados. Pero hasta esto podría discutirse en la presente cuestión de inconstitucionalidad.</w:t>
      </w:r>
    </w:p>
    <w:p w:rsidR="00AC56D6" w:rsidRDefault="00AC56D6" w:rsidP="00AC56D6">
      <w:pPr>
        <w:pStyle w:val="TextoNormal"/>
      </w:pPr>
    </w:p>
    <w:p w:rsidR="00AC56D6" w:rsidRDefault="00AC56D6" w:rsidP="00AC56D6">
      <w:pPr>
        <w:pStyle w:val="TextoNormal"/>
      </w:pPr>
      <w:r>
        <w:t>Por todo ello, no podría entenderse que el precepto legal cuestionado viole el artículo 33.3 CE ni, en particular, que impida a los afectados por las expropiaciones defender sus derechos e intereses en vía administrativa y ante los tribunales contencioso-administrativos.</w:t>
      </w:r>
    </w:p>
    <w:p w:rsidR="00AC56D6" w:rsidRDefault="00AC56D6" w:rsidP="00AC56D6">
      <w:pPr>
        <w:pStyle w:val="TextoNormal"/>
      </w:pPr>
    </w:p>
    <w:p w:rsidR="00AC56D6" w:rsidRDefault="00AC56D6" w:rsidP="00AC56D6">
      <w:pPr>
        <w:pStyle w:val="TextoNormal"/>
      </w:pPr>
      <w:r>
        <w:lastRenderedPageBreak/>
        <w:t xml:space="preserve">d) En cuanto a la supuesta infracción de los artículos 24 y 117.3 CE, y tras resumir los argumentos sobre este extremo del Auto de planteamiento, señala el Abogado del Estado que ninguno de tales argumentos puede compartirse. En primer lugar, del Real Decreto 1419/2005 dijo la Sentencia de 24 de noviembre de 2009 que resultaba innegable su carácter de reglamento ejecutivo en desarrollo de lo establecido en el texto refundido de la Ley de aguas, y si el carácter general y abstracto del Real Decreto 1419/2005, como “reglamento ejecutivo” de la Ley de aguas, no levantaba dudas, ninguna puede ofrecer el carácter general de la disposición cuestionada, cuyo ámbito territorial y material es exactamente el mismo que el del Real Decreto 1419/2005, pues se aplica a “todas las obras y actuaciones relativas a la ordenación de recursos hídricos en las cuencas del Guadiana, Guadalquivir y Ebro, derivadas de la ejecución del Real Decreto 1419/2005, de 25 de noviembre”. Desde este punto de vista, no está justificada su conceptuación como precepto </w:t>
      </w:r>
      <w:r w:rsidRPr="00AC56D6">
        <w:rPr>
          <w:i/>
        </w:rPr>
        <w:t>ad casum</w:t>
      </w:r>
      <w:r>
        <w:t xml:space="preserve">. Desde luego no se puede decir que el precepto legal cuestionado afecte exclusivamente ni a la asociación Plataforma para la Defensa del Río Castril Siglo XXI (tercero no recurrente que ha promovido la llamada pieza de ejecución), ni que se ciña a las obras de abastecimiento de agua a Baza (se cita la Sentencia del Tribunal Europeo de Derechos Humanos de 27 de abril de 2004, </w:t>
      </w:r>
      <w:r w:rsidRPr="00AC56D6">
        <w:rPr>
          <w:i/>
        </w:rPr>
        <w:t>Gorraiz Lizarraga y otros c. España</w:t>
      </w:r>
      <w:r>
        <w:t>). Su alcance y vocación de generalidad serían evidentes, pues tiene exactamente los mismos que la Sentencia de 24 de noviembre de 2009 apreció en el Real Decreto 1419/2005 para calificarlo como “reglamento ejecutivo” de la Ley de aguas.</w:t>
      </w:r>
    </w:p>
    <w:p w:rsidR="00AC56D6" w:rsidRDefault="00AC56D6" w:rsidP="00AC56D6">
      <w:pPr>
        <w:pStyle w:val="TextoNormal"/>
      </w:pPr>
    </w:p>
    <w:p w:rsidR="00AC56D6" w:rsidRDefault="00AC56D6" w:rsidP="00AC56D6">
      <w:pPr>
        <w:pStyle w:val="TextoNormal"/>
      </w:pPr>
      <w:r>
        <w:t>Tampoco puede compartirse que la Sentencia del Tribunal Supremo declarara nulas las obras y actuaciones relativas a la ordenación de recursos hídricos en las cuencas de los ríos Guadiana, Guadalquivir y Ebro, derivadas de la ejecución del Real Decreto 1419/2005, que es a lo que el Auto de planteamiento parece referirse con la expresión “actuaciones administrativas”. La citada Sentencia declaró nulo el Real Decreto 1419/2005, no todas y cada una de las obras y actuaciones ejecutadas a su amparo antes de que alcanzara efectos generales la propia Sentencia declaratoria de tal nulidad, recordándose, de nuevo, el artículo 73 LJCA, conforme al cual las Sentencias firmes que anulen un precepto de una disposición general no afectarán por sí mismas a la eficacia de los actos administrativos firmes que lo hayan aplicado antes de que la anulación alcanzara efectos generales. De acuerdo con este precepto, la Sentencia de 24 de noviembre de 2009 alcanzó efectos generales el día 1 de marzo de 2010, fecha en que fue publicada en el “BOE”. Luego subsistirían los actos administrativos firmes que aplicaron el Real Decreto 1419/2005 —presuntamente válido— antes de esa fecha, sin que corresponda a este proceso constitucional elucidar si el acto administrativo dictado por la Ministra de Medio Ambiente y Medio Rural y Marino el 21 de noviembre de 2006 puede o no considerarse firme a los efectos del artículo 73 LJCA. Bastaría con recordar lo dispuesto en este precepto de la Ley reguladora de la jurisdicción contencioso-administrativa para negar que la Sentencia de 24 de noviembre de 2009 implique forzosamente la nulidad de cuantos actos administrativos de aplicación del Real Decreto 1419/2005 se dictaran con anterioridad a 1 de marzo de 2010.</w:t>
      </w:r>
    </w:p>
    <w:p w:rsidR="00AC56D6" w:rsidRDefault="00AC56D6" w:rsidP="00AC56D6">
      <w:pPr>
        <w:pStyle w:val="TextoNormal"/>
      </w:pPr>
    </w:p>
    <w:p w:rsidR="00AC56D6" w:rsidRDefault="00AC56D6" w:rsidP="00AC56D6">
      <w:pPr>
        <w:pStyle w:val="TextoNormal"/>
      </w:pPr>
      <w:r>
        <w:t xml:space="preserve">Negadas así las premisas, quedaría refutada la conclusión. Pero aun aceptando que la disposición cuestionada hubiera de considerarse precepto </w:t>
      </w:r>
      <w:r w:rsidRPr="00AC56D6">
        <w:rPr>
          <w:i/>
        </w:rPr>
        <w:t>ad casum</w:t>
      </w:r>
      <w:r>
        <w:t xml:space="preserve"> (es decir, una “medida” para afrontar un concreto problema o situación creada), sería de recordar que el dogma de la generalidad de la ley no es obstáculo insalvable que impida al legislador dictar, con valor de ley, preceptos específicos para supuestos únicos o sujetos concretos (STC 166/1986). No habría razón constitucional para sostener que, por el simple carácter de “medida” </w:t>
      </w:r>
      <w:r w:rsidRPr="00AC56D6">
        <w:rPr>
          <w:i/>
        </w:rPr>
        <w:t>ad casum</w:t>
      </w:r>
      <w:r>
        <w:t xml:space="preserve"> </w:t>
      </w:r>
      <w:r>
        <w:lastRenderedPageBreak/>
        <w:t>que revista un precepto legislativo, haya de concluirse que es inconstitucional. Dependerá de si la medida está justificada y es proporcionada, respecto a lo que se remite a ulteriores consideraciones.</w:t>
      </w:r>
    </w:p>
    <w:p w:rsidR="00AC56D6" w:rsidRDefault="00AC56D6" w:rsidP="00AC56D6">
      <w:pPr>
        <w:pStyle w:val="TextoNormal"/>
      </w:pPr>
    </w:p>
    <w:p w:rsidR="00AC56D6" w:rsidRDefault="00AC56D6" w:rsidP="00AC56D6">
      <w:pPr>
        <w:pStyle w:val="TextoNormal"/>
      </w:pPr>
      <w:r>
        <w:t xml:space="preserve">El Auto de planteamiento de la cuestión señala, en otro orden de cosas, que la enmienda que dio lugar a la disposición cuestionada no guarda relación con el título y contenido de la Ley en la que se incluye y que no se justificó en ninguna clase de informes o estudios técnicos. Con ello —observa el Abogado del Estado— se denuncian implícitamente vicios en el procedimiento legislativo y, en concreto, en el ejercicio del derecho de enmienda, aunque sin citar precepto alguno de la Constitución o del Reglamento del Senado ni dar razón de cuál pueda ser la conexión entre tal vicio del procedimiento legislativo y la infracción de los artículos 24.1 y 117.3 CE, preceptos constitucionales estos cuya supuesta violación se habría de imputar a la eficacia inherente a la disposición cuestionada, nunca a los hipotéticos vicios en el ejercicio de la facultad de enmienda de los senadores, lo que, en principio, pertenece a la esfera de los </w:t>
      </w:r>
      <w:r w:rsidRPr="00AC56D6">
        <w:rPr>
          <w:i/>
        </w:rPr>
        <w:t>interna corporis</w:t>
      </w:r>
      <w:r>
        <w:t xml:space="preserve"> de la Cámara. Pero, aun prescindiendo de ello, se señala que, con arreglo al artículo 107.2 del Reglamento del Senado, las enmiendas deben presentarse por escrito y con “justificación explicativa”, sin que ni la Constitución ni dicho Reglamento exijan que vayan respaldadas con informes o estudios técnicos. El artículo 88 CE se refiere a los proyectos de ley, no a las enmiendas, sin que exista el más mínimo fundamento o razón de analogía para aplicarlo a las segundas, sin perjuicio de que la relevancia que pueda adquirir la infracción del artículo 88 CE depende de su influjo efectivo en la formación de la voluntad legislativa, algo sobre lo que nada dice la Sección cuestionante. En fin, no se alcanzaría a entender bien la razón constitucional de que en el procedimiento legislativo deban existir trámites similares a los que se prevén en el procedimiento de elaboración de los reglamentos a fin de garantizar su legalidad, oportunidad, acierto o viabilidad económico-financiera. Un reglamento es producto de una potestad normativa subordinada no sólo a la Constitución, sino a la ley, norma primaria sólo sujeta a los límites constitucionales (art. 97 CE: “de acuerdo con la Constitución y las leyes”). No tiene sentido garantizar la “legalidad” de una ley; y su oportunidad, acierto y viabilidad económica quedan entregados al juicio político de los representantes populares, sin que la Constitución imponga que en el procedimiento legislativo se inserten informes técnicos o económicos.</w:t>
      </w:r>
    </w:p>
    <w:p w:rsidR="00AC56D6" w:rsidRDefault="00AC56D6" w:rsidP="00AC56D6">
      <w:pPr>
        <w:pStyle w:val="TextoNormal"/>
      </w:pPr>
    </w:p>
    <w:p w:rsidR="00AC56D6" w:rsidRDefault="00AC56D6" w:rsidP="00AC56D6">
      <w:pPr>
        <w:pStyle w:val="TextoNormal"/>
      </w:pPr>
      <w:r>
        <w:t xml:space="preserve">Ya en lo que se refiere a la heterogeneidad de la disposición adicional decimoquinta con el título y contenido de la Ley 22/2011, señala el Abogado del Estado que, aunque el Auto de planteamiento no las considere, las SSTC 119/2011 y 136/2011 han establecido una nueva doctrina limitativa de la facultad de enmienda senatorial, exigiendo una mínima relación de homogeneidad material con los proyectos de ley remitidos por el Congreso, cuyo control —con un amplio margen de valoración— corresponde a la Mesa de la Cámara. La enmienda que no guarde esa mínima conexión material puede alcanzar trascendencia invalidatoria si alterase de forma sustancial el proceso de formación de voluntad en el seno de las Cámaras por afectar a la participación de las minorías en el procedimiento, lesionando así el contenido de su derecho de participación y violando el artículo 23.2 CE. Como es obvio, este posible vicio de inconstitucionalidad nada tiene que ver —se dice— con el artículo 24.1 CE ni con el artículo 117.3 CE. En nuestro caso, ningún senador ajeno al grupo parlamentario enmendante se ha quejado del menoscabo de su función representativa invocando una violación del artículo 23.2 CE, precepto constitucional tampoco citado en el Auto de planteamiento como infringido. La enmienda originadora de la disposición cuestionada se presentó antes de que se publicara la STC 119/2011, cuando aún regía la doctrina de las </w:t>
      </w:r>
      <w:r>
        <w:lastRenderedPageBreak/>
        <w:t>SSTC 99/1987 y 194/2000, que amparaban este tipo de ejercicio de la facultad parlamentaria de enmienda. En fin, podría advertirse una conexión material mínima entre la disposición adicional decimoquinta y el objeto de la Ley 22/2011, de residuos y suelos contaminados, en cuanto las obras y actuaciones mencionadas en la primera tienen como una de sus finalidades “buscar un equilibrio entre los aprovechamientos y el mantenimiento de los valores ambientales de los ecosistemas afectados” (así lo declara el preámbulo del Real Decreto 1419/2005), finalidad ambiental que es evidente en la Ley 22/2011, pues su artículo 1 le asigna la finalidad de mitigar “los impactos adversos sobre la salud humana y el medio ambiente asociados” a la generación y gestión de los residuos, y en particular no generar riesgos para el agua.</w:t>
      </w:r>
    </w:p>
    <w:p w:rsidR="00AC56D6" w:rsidRDefault="00AC56D6" w:rsidP="00AC56D6">
      <w:pPr>
        <w:pStyle w:val="TextoNormal"/>
      </w:pPr>
    </w:p>
    <w:p w:rsidR="00AC56D6" w:rsidRDefault="00AC56D6" w:rsidP="00AC56D6">
      <w:pPr>
        <w:pStyle w:val="TextoNormal"/>
      </w:pPr>
      <w:r>
        <w:t>Se dice también en el Auto de planteamiento que la disposición adicional decimoquinta pretende eludir o sortear una Sentencia firme del Tribunal Supremo con el propósito de impedir que la ejecución de la misma pueda conllevar algún grado de afección sobre obras públicas terminadas, o en trance de terminar, que se levantaron al amparo del reglamento que el Tribunal Supremo anuló en dicha Sentencia. Este sería el problema constitucional central, para cuyo examen comienza el Abogado del Estado por considerar la doctrina de este Tribunal, del Tribunal Europeo de Derechos Humanos y del Tribunal de Justicia de la Unión Europea que el Auto de planteamiento cita.</w:t>
      </w:r>
    </w:p>
    <w:p w:rsidR="00AC56D6" w:rsidRDefault="00AC56D6" w:rsidP="00AC56D6">
      <w:pPr>
        <w:pStyle w:val="TextoNormal"/>
      </w:pPr>
    </w:p>
    <w:p w:rsidR="00AC56D6" w:rsidRDefault="00AC56D6" w:rsidP="00AC56D6">
      <w:pPr>
        <w:pStyle w:val="TextoNormal"/>
      </w:pPr>
      <w:r>
        <w:t xml:space="preserve">La imposibilidad legal sobrevenida de ejecutar en sus propios términos una Sentencia contencioso-administrativa es un supuesto legalmente típico que recoge el artículo 105.2 LJCA. Se señala, tras ello, que el planteamiento de un litigio contencioso-administrativo no da a quien lo promueve, y menos aún a un tercero que no fue parte inicialmente, el derecho a que se mantenga invariable o petrificado el marco normativo de referencia para la pretensión de tutela judicial deducida (STC 312/2006) y que el control de la constitucionalidad sobre la ley que sobrevenidamente determine la imposibilidad de ejecución de una Sentencia previa exige, de acuerdo con las SSTC 73/2000 y 312/2006, verificar que la finalidad de dicha ley sobrevenida es constitucionalmente legítima y formular un juicio de proporcionalidad entre el interés que la ley pretende proteger y el tutelado por el fallo judicial. Por otro lado, la Sentencia del Tribunal Europeo de Derechos Humanos de 27 de abril de 2004, </w:t>
      </w:r>
      <w:r w:rsidRPr="00AC56D6">
        <w:rPr>
          <w:i/>
        </w:rPr>
        <w:t>Gorraiz Lizarraga y otros c. España</w:t>
      </w:r>
      <w:r>
        <w:t>, aceptó que la interferencia del poder legislativo en el resultado del litigio alegada por los demandantes no vulneró el carácter equitativo del procedimiento. El mismo Tribunal reputa contraria al artículo 6.1 del Convenio aquella intervención legislativa que trata o bien de influir en el resultado de procesos judiciales en curso, o de poner trabas a la incoación de procedimientos, o de dejar sin efecto sentencias judiciales firmes y ejecutorias que reconocen derechos personales del acreedor, pues mientras los titulares de derechos económicos pueden, por lo general, aprovecharse de derechos firmes e intangibles, no sucede lo mismo en materia de urbanismo o de ordenación del territorio (o, cabría añadir, de ordenación de recursos hídricos), campos en los que el margen de apreciación del Estado es mayor que cuando están en juego unos derechos exclusivamente civiles.</w:t>
      </w:r>
    </w:p>
    <w:p w:rsidR="00AC56D6" w:rsidRDefault="00AC56D6" w:rsidP="00AC56D6">
      <w:pPr>
        <w:pStyle w:val="TextoNormal"/>
      </w:pPr>
    </w:p>
    <w:p w:rsidR="00AC56D6" w:rsidRDefault="00AC56D6" w:rsidP="00AC56D6">
      <w:pPr>
        <w:pStyle w:val="TextoNormal"/>
      </w:pPr>
      <w:r>
        <w:t xml:space="preserve">Poco o nada tendría que ver con este caso, por lo demás, la doctrina </w:t>
      </w:r>
      <w:r w:rsidRPr="00AC56D6">
        <w:rPr>
          <w:i/>
        </w:rPr>
        <w:t>Boxus</w:t>
      </w:r>
      <w:r>
        <w:t xml:space="preserve"> (Sentencia del Tribunal de Justicia de la Unión Europea de 18 de octubre de 2011, reiterada en la posterior de 16 de febrero de 2012, asunto </w:t>
      </w:r>
      <w:r w:rsidRPr="00AC56D6">
        <w:rPr>
          <w:i/>
        </w:rPr>
        <w:t>Solvay y otros</w:t>
      </w:r>
      <w:r>
        <w:t xml:space="preserve">). Estas Sentencias resuelven cuestiones prejudiciales relativas a la interpretación del artículo 1.5 de la Directiva 85/337/CEE, modificada por la Directiva 2003/35/CE. Según ese artículo 1.5, “(l)a presente Directiva no </w:t>
      </w:r>
      <w:r>
        <w:lastRenderedPageBreak/>
        <w:t xml:space="preserve">se aplicará a los proyectos detallados adoptados mediante un acto legislativo nacional específico, dado que los objetivos perseguidos por la presente Directiva, incluido el objetivo de la disponibilidad de informaciones, se consiguen a través del procedimiento legislativo”. La Sentencia </w:t>
      </w:r>
      <w:r w:rsidRPr="00AC56D6">
        <w:rPr>
          <w:i/>
        </w:rPr>
        <w:t>Boxus</w:t>
      </w:r>
      <w:r>
        <w:t xml:space="preserve"> precisa qué es lo que significa “específico” en la expresión “acto legislativo nacional específico” y qué es lo que significa “proyecto detallado” que se adopta mediante acto legislativo específico. El acto legislativo es “específico” si presenta “las mismas características que una autorización” y en particular confiere “al titular del proyecto el derecho a realizarlo”. El proyecto que adopta el acto legislativo es detallado si contiene “todos los datos pertinentes para la evaluación de sus repercusiones sobre el medio ambiente”, acreditando que “los objetivos de la Directiva 85/337 se han alcanzado en lo que respecta al proyecto en cuestión”, por lo que el legislador “debe disponer de información suficiente en el momento de aprobar el proyecto”, para lo que puede servirse de la información recopilada en el marco de un procedimiento administrativo previo. Por ello, un acto legislativo que no haga sino ratificar pura y simplemente un acto administrativo preexistente (en el caso, el Parlamento valón había “ratificado” diversas licencias urbanísticas, medioambientales y de obras, confiriéndoles valor legislativo), limitándose a invocar la existencia de razones imperiosas de interés general sin la previa apertura de un procedimiento legislativo de fondo que permita cumplir dichos requisitos, no puede considerarse acto legislativo específico que satisfaga las exigencias del citado artículo 1.5 para que no se aplique al proyecto la Directiva 85/337/CEE. Nada tiene que ver, por consiguiente, la doctrina </w:t>
      </w:r>
      <w:r w:rsidRPr="00AC56D6">
        <w:rPr>
          <w:i/>
        </w:rPr>
        <w:t>Boxus</w:t>
      </w:r>
      <w:r>
        <w:t xml:space="preserve"> con el presente asunto, en el que no se debate si el precepto cuestionado es o no “un acto legislativo específico” que adopta un “proyecto detallado”, con la consecuencia de excluirlo de la aplicación de la citada norma europea.</w:t>
      </w:r>
    </w:p>
    <w:p w:rsidR="00AC56D6" w:rsidRDefault="00AC56D6" w:rsidP="00AC56D6">
      <w:pPr>
        <w:pStyle w:val="TextoNormal"/>
      </w:pPr>
    </w:p>
    <w:p w:rsidR="00AC56D6" w:rsidRDefault="00AC56D6" w:rsidP="00AC56D6">
      <w:pPr>
        <w:pStyle w:val="TextoNormal"/>
      </w:pPr>
      <w:r>
        <w:t>En cuanto a si la disposición adicional decimoquinta de la Ley 22/2011 se adoptó con el propósito de “eludir” o “sortear” la Sentencia del Tribunal Supremo de 24 de noviembre de 2009, en violación del artículo 24.1 CE, en relación con el artículo 117.3 CE, sería preciso —se dice— despejar algunas cuestiones preliminares.</w:t>
      </w:r>
    </w:p>
    <w:p w:rsidR="00AC56D6" w:rsidRDefault="00AC56D6" w:rsidP="00AC56D6">
      <w:pPr>
        <w:pStyle w:val="TextoNormal"/>
      </w:pPr>
    </w:p>
    <w:p w:rsidR="00AC56D6" w:rsidRDefault="00AC56D6" w:rsidP="00AC56D6">
      <w:pPr>
        <w:pStyle w:val="TextoNormal"/>
      </w:pPr>
      <w:r>
        <w:t xml:space="preserve">Se pregunta el Abogado del Estado cómo habría de ejecutarse una Sentencia que declara nula de pleno derecho una disposición reglamentaria por vicios en su procedimiento de elaboración y que alcanza efectos generales desde la publicación del fallo, señalando que la Sentencia de 24 de noviembre de 2009 no contiene ningún pronunciamiento que pueda considerarse como condena a dar, hacer o no hacer a cargo de la Administración. Innecesario sería recordar lo que dispone el artículo 521 de la Ley de enjuiciamiento civil —supletoria en el orden contencioso-administrativo—, que prohíbe despachar ejecución de las Sentencias meramente declarativas y de las constitutivas, sin perjuicio de tomar razón de ellas en los registros públicos. Según esto, la ejecución de la Sentencia de 24 de noviembre de 2009 concluía con la publicación del fallo anulatorio en el “BOE” de 1 de marzo de 2010. Desde luego, no cabe sostener que la pura y simple anulación obligara a la Administración a volver a tramitar el procedimiento de elaboración del Real Decreto 1419/2005 o supusiera la prohibición absoluta de una intervención legislativa para hacer frente a posibles consecuencias de la invalidación de la citada disposición reglamentaria. Como recuerdan las SSTC 73/2000 y 273/2000, no resulta en principio contrario a la Constitución que el legislador asuma una tarea que antes había encomendado al poder reglamentario, puesto que nuestro sistema constitucional desconoce algo parecido a una reserva reglamentaria inaccesible al poder legislativo, de suerte que, dentro del marco de la Constitución y respetando sus específicas limitaciones, la ley puede tener en nuestro Ordenamiento cualquier contenido y en </w:t>
      </w:r>
      <w:r>
        <w:lastRenderedPageBreak/>
        <w:t>modo alguno le está vedada la regulación de materias antes atribuidas al poder reglamentario. La tesis de que la Sentencia de 24 de noviembre de 2009 quedaba “ejecutada” con la publicación del fallo anulatorio del Real Decreto 1419/2005 fue aceptada por la propia Sección cuestionante, que plasmó sucesivamente dos concepciones, incompatibles entre sí, sobre la “ejecución” de aquélla. En efecto, en las actuaciones principales del recurso contencioso-administrativo, figura un escrito de la asociación Plataforma para la Defensa del Río Castril Siglo XXI, fechado el 8 de marzo de 2010, en el que como “persona afectada por el fallo” pide que se le dé vista de lo actuado y se entiendan con ella “las sucesivas actuaciones de ejecución”. Proveyendo este escrito, la Sección proponente dictó la providencia de 24 de marzo de 2010, en la que se dispuso que, habiéndose publicado la parte dispositiva de la Sentencia en el “Boletín Oficial del Estado”, la ejecutoria estaba concluida, de manera que no había lugar a tener por personado y parte al procurador en nombre y representación de la asociación Plataforma para la Defensa del Río Castril Siglo XXI, si bien se acordó se le hiciera entrega a dicho procurador de testimonio de la referida Sentencia con la diligencia de su publicación en el “Boletín Oficial del Estado”. Esta providencia se notificó a la representación de la mencionada asociación el 6 de abril de 2010 y ganó firmeza, puesto que contra ella no se interpuso el recurso de súplica ofrecido. En consecuencia, el rollo se archivó. Poco tiempo después de que viera denegada su personación porque, según la referida providencia firme, la ejecutoria estaba concluida con la publicación en el “BOE” del fallo anulatorio, la asociación Plataforma para la Defensa del Río Castril Siglo XXI presentó un nuevo escrito, el 19 de mayo de 2010, en el que solicitaba que se le tuviera por comparecida y parte en calidad de “persona afectada por el fallo” y promovía “incidente de ejecución”, pidiendo la paralización de las obras de abastecimiento de agua a Baza, la paralización de los expedientes expropiatorios, la demolición de las obras y la condena del Ministerio al pago de todos los gastos y la indemnización de los daños y perjuicios ocasionados y que se ocasionen por el retraso en el cumplimiento de la Sentencia. Con la oposición del Abogado del Estado, la Sección dictó providencia de 25 de noviembre de 2010 en la que, conforme solicitaba la asociación Plataforma para la Defensa del Río Castril Siglo XXI, se ordenaba la incoación del incidente de ejecución que culmina en el Auto de planteamiento de la presente cuestión de inconstitucionalidad. No parece caber duda de que lo resuelto en la providencia de 25 de noviembre de 2010 es difícilmente compatible con lo decidido en la providencia firme de 24 de marzo de 2010, cuya intangibilidad no se ha respetado. E igualmente patente resulta cuánto divergen las concepciones de “ejecución” subyacentes en la providencia de 24 de marzo de 2010 y en los posteriores Autos de 4 de febrero de 2011, 13 de abril de 2011 y en el propio Auto de planteamiento de la cuestión. La Abogacía del Estado considera correcta la concepción plasmada en la providencia de 24 de marzo de 2010, es decir, que la “ejecutoria” de una Sentencia declarativa de la nulidad de una disposición reglamentaria quedaba concluida con la publicación en el “BOE” del fallo anulatorio. Ahora bien, si esta tesis es correcta, falla íntegramente la premisa de la que parte el Auto de planteamiento de la cuestión y no podría entenderse violado el derecho a la ejecución de quien ni siquiera fue recurrente (art. 24.1 CE) o la reserva de jurisdicción (art. 117.3 CE).</w:t>
      </w:r>
    </w:p>
    <w:p w:rsidR="00AC56D6" w:rsidRDefault="00AC56D6" w:rsidP="00AC56D6">
      <w:pPr>
        <w:pStyle w:val="TextoNormal"/>
      </w:pPr>
    </w:p>
    <w:p w:rsidR="00AC56D6" w:rsidRDefault="00AC56D6" w:rsidP="00AC56D6">
      <w:pPr>
        <w:pStyle w:val="TextoNormal"/>
      </w:pPr>
      <w:r>
        <w:t xml:space="preserve">Si se aceptara, sin embargo, que la Sentencia del Tribunal Supremo de 24 de noviembre de 2009 permitiera una ejecución del tipo de la que se ha emprendido en la pieza separada, no por ello cabría considerar, sin más, que por la anulación del Real Decreto 1419/2005 quedaron inválidos cuantos actos administrativos se hayan dictado en su ejecución. Para graduar el alcance de la posible propagación de la invalidez del reglamento anulado a sus actos aplicativos lo primero que habría de plantearse el Tribunal contencioso-administrativo </w:t>
      </w:r>
      <w:r>
        <w:lastRenderedPageBreak/>
        <w:t>es un juicio acerca de la firmeza de aquéllos, algo que no se ha hecho con los múltiples actos administrativos dictados en relación con las obras de abastecimiento de agua a Baza, por no hablar de los demás actos aplicativos del Real Decreto 1419/2005 en las tres cuencas hidrográficas. Todos estos actos administrativos, firmes o no firmes, han servido para crear verdaderas constelaciones de terceros interesados, además de los expropiados, comenzando por los contratistas de las obras y sus empleados, siguiendo con los expropiados que prefieran retener el justiprecio y terminando por los vecinos de Baza, que seguramente verán ventajas en la mejora del abastecimiento de agua a su ciudad. Desde este punto de vista, no merece reproche que el legislador intervenga de manera general mediante la disposición cuestionada para proteger los intereses públicos (preservación de las obras públicas que han supuesto una gran inversión de recursos públicos) y de terceros en las obras y actuaciones llevadas a cabo a título de medidas excepcionales contra la sequía en tres cuencas hidrográficas que suponen las dos quintas partes del territorio nacional.</w:t>
      </w:r>
    </w:p>
    <w:p w:rsidR="00AC56D6" w:rsidRDefault="00AC56D6" w:rsidP="00AC56D6">
      <w:pPr>
        <w:pStyle w:val="TextoNormal"/>
      </w:pPr>
    </w:p>
    <w:p w:rsidR="00AC56D6" w:rsidRDefault="00AC56D6" w:rsidP="00AC56D6">
      <w:pPr>
        <w:pStyle w:val="TextoNormal"/>
      </w:pPr>
      <w:r>
        <w:t>Aun suponiendo, polémicamente, que el modo de ejecutar la Sentencia de 24 de noviembre de 2009 plasmado en la providencia de 24 de marzo de 2010 y en las demás resoluciones que la han seguido es el correcto y que, además, la invalidación del Real Decreto 1419/2005 por vicios de procedimiento llevaba aparejada la insanable nulidad de todos los actos administrativos relativos a la contratación de las obras, expedientes expropiatorios y cualesquiera otros procedimientos administrativos que tengan la más mínima relación con la disposición reglamentaria írrita (de manera que las obras habrían de demolerse y restituirse los terrenos expropiados en las tres cuencas hidrográficas), no por ello tiene prohibido el legislador intervenir para preservar intereses públicos (conservación de las obras públicas ejecutadas, evitar el despilfarro de recursos públicos) y de terceros (contratistas, vecinos de Baza, etc.). Se pregunta el Abogado del Estado si acaso debe permanecer impasible el legislador mientras se demuelen obras hidráulicas de abastecimiento a poblaciones, simplemente porque en el expediente de elaboración de una disposición reglamentaria faltaban informes o la memoria económica podía haber sido mejor redactada e insiste en que las obras y actuaciones amparadas en el Real Decreto 1419/2005 se ejecutaron con total licitud entre 2005 y, al menos, 2010, puesto que no se suspendió cautelarmente la vigencia de la citada disposición.</w:t>
      </w:r>
    </w:p>
    <w:p w:rsidR="00AC56D6" w:rsidRDefault="00AC56D6" w:rsidP="00AC56D6">
      <w:pPr>
        <w:pStyle w:val="TextoNormal"/>
      </w:pPr>
    </w:p>
    <w:p w:rsidR="00AC56D6" w:rsidRDefault="00AC56D6" w:rsidP="00AC56D6">
      <w:pPr>
        <w:pStyle w:val="TextoNormal"/>
      </w:pPr>
      <w:r>
        <w:t>La finalidad de la disposición adicional decimoquinta sería, de modo patente, constitucionalmente legítima. El legislador trata de evitar que una cuantiosa inversión pública pueda verse destruida por la evolución seguida en la llamada ejecución de una Sentencia que había anulado una disposición reglamentaria por vicios de procedimiento, y ello está en plena armonía con el mandato de economía y eficiencia del gasto público que contiene el artículo 31.2 CE. El legislador no pretende de ningún modo eludir o restringir la eficacia inherente a la Sentencia de 24 de noviembre de 2009. Por el contrario, la disposición cuestionada sólo se explica sobre la base del pleno reconocimiento de la eficacia propia de esa Sentencia, la anulación del Real Decreto 1419/2005, y —elemento añadido— a la vista de cómo viene entendiendo la Sección las consecuencias de tal anulación en la pieza de ejecución abierta. Como bien dice la STC 273/2000, ni la seguridad jurídica ni la interdicción de la arbitrariedad cubren una eventual expectativa de que los poderes públicos permanezcan pasivos ante la concurrencia de un vicio procedimental que afecte a una norma cuya aplicación pueda favorecer la consecución de un interés general, en el caso la preservación de obras y actuaciones llevadas a cabo en tres cuencas hidrográficas al amparo del Real Decreto 1419/2005.</w:t>
      </w:r>
    </w:p>
    <w:p w:rsidR="00AC56D6" w:rsidRDefault="00AC56D6" w:rsidP="00AC56D6">
      <w:pPr>
        <w:pStyle w:val="TextoNormal"/>
      </w:pPr>
    </w:p>
    <w:p w:rsidR="00AC56D6" w:rsidRDefault="00AC56D6" w:rsidP="00AC56D6">
      <w:pPr>
        <w:pStyle w:val="TextoNormal"/>
      </w:pPr>
      <w:r>
        <w:lastRenderedPageBreak/>
        <w:t>No es del todo correcto afirmar —se añade— que la disposición cuestionada pretenda “transformar lo inválido en válido”. Por el contrario, la misma parte justamente de la invalidez declarada y lo que hace es convalidar no el Real Decreto (que nulo se queda), sino las obras y actuaciones relativas a la ordenación de recursos hídricos ejecutadas a su amparo, algo que posiblemente podía haber resultado de la simple aplicación del artículo 73 LJCA. Además de preservar la inversión de recursos públicos, que tal es su finalidad sustancial, la disposición adicional decimoquinta sirve también a la seguridad jurídica de los terceros cuyos derechos o intereses pudieran quedar afectados si se entendiera que todas las citadas obras y actuaciones debían paralizarse y destruirse. No es la pervivencia del contenido normativo del Real Decreto 1419/2005 lo que se persigue, sino la conservación de obras y actuaciones de ordenación hidráulica. Tampoco puede decirse que se proponga excluir la fiscalización judicial de la actuación administrativa de ejecución de la Sentencia. La disposición adicional decimoquinta no afecta a la validez y eficacia de las resoluciones judiciales ya dictadas en la llamada pieza de ejecución de la Sentencia de 24 de noviembre de 2009. Simplemente pretende conservar las obras y actuaciones ya realizadas en tres cuencas hidrográficas de manera totalmente legítima, puesto que el Real Decreto 1419/2005 no fue objeto de medida cautelar alguna. La fiscalización judicial de la ejecución de la Sentencia debe llevarse a cabo con arreglo a la ley que resulte aplicable, incluida la ley sobrevenida tras dictarse la Sentencia, siempre que el legislador haya respetado los límites constitucionales.</w:t>
      </w:r>
    </w:p>
    <w:p w:rsidR="00AC56D6" w:rsidRDefault="00AC56D6" w:rsidP="00AC56D6">
      <w:pPr>
        <w:pStyle w:val="TextoNormal"/>
      </w:pPr>
    </w:p>
    <w:p w:rsidR="00AC56D6" w:rsidRDefault="00AC56D6" w:rsidP="00AC56D6">
      <w:pPr>
        <w:pStyle w:val="TextoNormal"/>
      </w:pPr>
      <w:r>
        <w:t xml:space="preserve">La disposición cuestionada es perfectamente proporcionada. El interés público que protege (la preservación de la obra pública, el evitar que se malgasten fondos públicos ya invertidos) es de entidad muy superior que la preservación de la regularidad de los procedimientos de elaboración de disposiciones reglamentarias, </w:t>
      </w:r>
      <w:r w:rsidRPr="00AC56D6">
        <w:rPr>
          <w:i/>
        </w:rPr>
        <w:t>ratio decidendi</w:t>
      </w:r>
      <w:r>
        <w:t xml:space="preserve"> de la Sentencia de 24 de noviembre de 2009 para invalidar el Real Decreto 1419/2005. Es exacto lo que se lee al respecto en el Auto de planteamiento. El legislador de la disposición adicional decimoquinta quiere evitar que las actuaciones de la llamada pieza de ejecución de la Sentencia de 24 de noviembre de 2009 puedan conllevar “algún grado de afección” (paralización y demolición, nada menos) sobre obras públicas terminadas o en trance de terminar, que se levantaron al amparo del reglamento que el Tribunal Supremo anuló en dicha Sentencia. Que se levantaron, habría que precisar, con total legitimidad, porque el Real Decreto 1419/2005 no fue suspendido, y nadie podía sospechar que la Sentencia de 24 de noviembre de 2009 pudiera dar lugar a un curso de ejecución que amenazara la preservación física de las obras ejecutadas. La propia providencia firme de 24 de marzo de 2010 era concorde con tales expectativas: con la publicación del fallo anulatorio, “la ejecutoria está concluida”. Se destaca, además, que el fallo de la Sentencia de 24 de noviembre de 2009 no protege derechos personales de acreedores o derechos económicos firmes e intangibles, ni siquiera intereses difusos medioambientales. Tutela exclusivamente el interés legítimo en que las disposiciones reglamentarias se elaboren según un procedimiento en que figuren determinados documentos que garanticen que son legales, oportunas y acertadas, porque, empleando los propios términos del Auto de planteamiento, la razón del fallo anulatorio del Real Decreto 1419/2005 fue exclusivamente que no quedó acreditada la bondad del reglamento ni desde el plano de la adecuación a derecho ni desde el acierto y oportunidad de sus previsiones.</w:t>
      </w:r>
    </w:p>
    <w:p w:rsidR="00AC56D6" w:rsidRDefault="00AC56D6" w:rsidP="00AC56D6">
      <w:pPr>
        <w:pStyle w:val="TextoNormal"/>
      </w:pPr>
    </w:p>
    <w:p w:rsidR="00AC56D6" w:rsidRDefault="00AC56D6" w:rsidP="00AC56D6">
      <w:pPr>
        <w:pStyle w:val="TextoNormal"/>
      </w:pPr>
      <w:r>
        <w:t xml:space="preserve">Se señala, por último en cuanto a este punto, que el legislador no intervino mientras el recurso 11-2006 estuvo pendiente para intentar inclinarlo a favor del Gobierno, autor del reglamento recurrido. La Sentencia de 24 de noviembre de 2009 es año y medio anterior a </w:t>
      </w:r>
      <w:r>
        <w:lastRenderedPageBreak/>
        <w:t>la disposición adicional decimoquinta. El legislador ha reaccionado solamente ante el cariz que iba tomando la llamada pieza de ejecución de esta Sentencia.</w:t>
      </w:r>
    </w:p>
    <w:p w:rsidR="00AC56D6" w:rsidRDefault="00AC56D6" w:rsidP="00AC56D6">
      <w:pPr>
        <w:pStyle w:val="TextoNormal"/>
      </w:pPr>
    </w:p>
    <w:p w:rsidR="00AC56D6" w:rsidRDefault="00AC56D6" w:rsidP="00AC56D6">
      <w:pPr>
        <w:pStyle w:val="TextoNormal"/>
      </w:pPr>
      <w:r>
        <w:t>Se dice también en el Auto por el que la cuestión se promueve que la disposición legal se ha aprobado año y medio después de la Sentencia del Tribunal Supremo, sin que la Administración hiciera nada eficaz para reconducir en sede administrativa las deficiencias procedimentales determinantes de la invalidación del Real Decreto 1419/2005. Pero lo que la Administración hiciera, pudiera hacer o dejara de hacer es irrelevante para enjuiciar si una intervención del legislador es o no conforme con la Constitución. Es cierto que, como se indica en el mismo Auto, pudo la Administración haber repuesto las actuaciones procedimentales correspondientes al procedimiento de elaboración de aquel reglamento a fin de sustanciarlo en la debida forma, evacuando los trámites que el Tribunal Supremo echó en falta, y así acreditar en el procedimiento reglamentario la legalidad, acierto, oportunidad y viabilidad económico-financiera de la norma. Pero esta es simplemente una opción que, entre otras, podía seguir la Administración. Parece evidente que una Sentencia con el fallo de la de 24 de noviembre de 2009 no entraña ninguna obligación —positiva y exigible judicialmente— de que, cuatro años después, la Administración vuelva a confeccionar un expediente de elaboración de la disposición relativa a medidas excepcionales adoptadas por la sequía existente cuatro años antes.</w:t>
      </w:r>
    </w:p>
    <w:p w:rsidR="00AC56D6" w:rsidRDefault="00AC56D6" w:rsidP="00AC56D6">
      <w:pPr>
        <w:pStyle w:val="TextoNormal"/>
      </w:pPr>
    </w:p>
    <w:p w:rsidR="00AC56D6" w:rsidRDefault="00AC56D6" w:rsidP="00AC56D6">
      <w:pPr>
        <w:pStyle w:val="TextoNormal"/>
      </w:pPr>
      <w:r>
        <w:t xml:space="preserve">Se argumenta en el Auto que la disposición adicional decimoquinta afecta a derechos e intereses reconocidos en una Sentencia firme, pues los recurrentes tienen “derecho </w:t>
      </w:r>
      <w:r w:rsidRPr="00AC56D6">
        <w:rPr>
          <w:i/>
        </w:rPr>
        <w:t>ex</w:t>
      </w:r>
      <w:r>
        <w:t xml:space="preserve"> art. 24 CE a que esa Sentencia firme se ejecute”. Pero precisamente los recurrentes —se observa— no han pedido la ejecución de la Sentencia de 24 de noviembre de 2009. Ha sido un tercero, amparado en lo dispuesto por los artículos 104.2 y 109.1 LJCA, en relación con los artículos 22 y 23.1 de la Ley 27/2006 de 18 de julio —a saber, la asociación Plataforma para la Defensa del Río Castril Siglo XXI—, quien ha promovido un incidente de “ejecución” de la citada Sentencia, que no reconoce derecho alguno a nadie y que como mucho tutela el interés legítimo en que las disposiciones reglamentarias se elaboren según un procedimiento en que figuren determinados documentos que garanticen que son legales, oportunas y acertadas. De ahí a la paralización o demolición de obras públicas o a la indemnización de supuestos gastos, daños y perjuicios hay una gran distancia.</w:t>
      </w:r>
    </w:p>
    <w:p w:rsidR="00AC56D6" w:rsidRDefault="00AC56D6" w:rsidP="00AC56D6">
      <w:pPr>
        <w:pStyle w:val="TextoNormal"/>
      </w:pPr>
    </w:p>
    <w:p w:rsidR="00AC56D6" w:rsidRDefault="00AC56D6" w:rsidP="00AC56D6">
      <w:pPr>
        <w:pStyle w:val="TextoNormal"/>
      </w:pPr>
      <w:r>
        <w:t>Tampoco cabría acoger el razonamiento del Auto de planteamiento según el cual la enmienda que dio lugar a la disposición cuestionada no vino acompañada de ninguna clase de documentación o información técnica que pudiera salvar de algún modo la total ausencia de los imprescindibles informes técnicos que debieron elaborarse en el procedimiento reglamentario, de manera que las obras públicas realizadas al amparo de aquel reglamento, ahora convalidado mediante su elevación de rango, carecerían de cualesquiera antecedentes que permitieran valorar su adecuación a derecho y su racionalidad desde la perspectiva del art. 45 CE, cuestión que ya habría sido contestada con anterioridad en estas mismas alegaciones.</w:t>
      </w:r>
    </w:p>
    <w:p w:rsidR="00AC56D6" w:rsidRDefault="00AC56D6" w:rsidP="00AC56D6">
      <w:pPr>
        <w:pStyle w:val="TextoNormal"/>
      </w:pPr>
    </w:p>
    <w:p w:rsidR="00AC56D6" w:rsidRDefault="00AC56D6" w:rsidP="00AC56D6">
      <w:pPr>
        <w:pStyle w:val="TextoNormal"/>
      </w:pPr>
      <w:r>
        <w:t>Se concluyó con la súplica de que se dictara Sentencia por la que desestimara la cuestión planteada.</w:t>
      </w:r>
    </w:p>
    <w:p w:rsidR="00AC56D6" w:rsidRDefault="00AC56D6" w:rsidP="00AC56D6">
      <w:pPr>
        <w:pStyle w:val="TextoNormal"/>
      </w:pPr>
    </w:p>
    <w:p w:rsidR="00AC56D6" w:rsidRDefault="00AC56D6" w:rsidP="00AC56D6">
      <w:pPr>
        <w:pStyle w:val="TextoNormal"/>
      </w:pPr>
      <w:r w:rsidRPr="00AC56D6">
        <w:rPr>
          <w:rStyle w:val="NumeroAFNegritaCaracter"/>
        </w:rPr>
        <w:t>7</w:t>
      </w:r>
      <w:r>
        <w:t>. Mediante escrito de 22 de mayo de 2012, registrado en el Tribunal el siguiente día 25, el Fiscal General del Estado presentó sus alegaciones, que pueden resumirse como sigue:</w:t>
      </w:r>
    </w:p>
    <w:p w:rsidR="00AC56D6" w:rsidRDefault="00AC56D6" w:rsidP="00AC56D6">
      <w:pPr>
        <w:pStyle w:val="TextoNormal"/>
      </w:pPr>
    </w:p>
    <w:p w:rsidR="00AC56D6" w:rsidRDefault="00AC56D6" w:rsidP="00AC56D6">
      <w:pPr>
        <w:pStyle w:val="TextoNormal"/>
      </w:pPr>
      <w:r>
        <w:lastRenderedPageBreak/>
        <w:t>a) La cuestión de inconstitucionalidad cumple los presupuestos procesales para su admisibilidad, de modo que estas alegaciones se centran en si la disposición cuestionada infringe los artículos 24.1 (derecho a la ejecución de las resoluciones judiciales firmes), 9.3 (interdicción de la arbitrariedad de los poderes públicos) y 33.3 (garantía patrimonial expropiatoria) de la Constitución.</w:t>
      </w:r>
    </w:p>
    <w:p w:rsidR="00AC56D6" w:rsidRDefault="00AC56D6" w:rsidP="00AC56D6">
      <w:pPr>
        <w:pStyle w:val="TextoNormal"/>
      </w:pPr>
    </w:p>
    <w:p w:rsidR="00AC56D6" w:rsidRDefault="00AC56D6" w:rsidP="00AC56D6">
      <w:pPr>
        <w:pStyle w:val="TextoNormal"/>
      </w:pPr>
      <w:r>
        <w:t xml:space="preserve">b) Por lo que se refiere a la afirmada infracción del artículo 24.1, en relación con el artículo 117.3, ambos de la Constitución, y tras resumir lo que al efecto se dice en el Auto de planteamiento de la cuestión, comienza por señalar el Fiscal General del Estado que es dudoso que la Sentencia que, en este caso, declaró la nulidad de una disposición general por vicios de procedimiento, sin pronunciamientos de condena, pueda comprender ordenar la paralización o demolición de las obras y actuaciones concretas realizadas en aplicación de la referida norma. La consideración que hace el Tribunal </w:t>
      </w:r>
      <w:r w:rsidRPr="00AC56D6">
        <w:rPr>
          <w:i/>
        </w:rPr>
        <w:t>a quo</w:t>
      </w:r>
      <w:r>
        <w:t xml:space="preserve"> acerca de que las obras y actuaciones convalidadas por la disposición cuestionada impiden la ejecución de la Sentencia dictada en su día excede de lo que puede estimarse es el alcance de la ejecución de Sentencia meramente declarativa de nulidad por vicios de procedimiento. El propio Tribunal Supremo admite en su Auto que la Sentencia habría sido debidamente cumplida si el Gobierno, en uso de su potestad, hubiera elaborado una nueva norma reglamentaria cumpliendo los trámites omitidos por la declarada nula, quedando así bajo la cobertura de la legalidad las actuaciones ejecutadas al amparo de esta última. Por ello, se reitera lo alegado por la Fiscalía en el trámite </w:t>
      </w:r>
      <w:r w:rsidRPr="00AC56D6">
        <w:rPr>
          <w:i/>
        </w:rPr>
        <w:t>ex</w:t>
      </w:r>
      <w:r>
        <w:t xml:space="preserve"> art. 35.2 LOTC en orden a la carencia de fundamento de la presente cuestión, dado que la misma se apoya en el entendimiento de que la disposición cuestionada impide el adecuado cumplimiento de una Sentencia meramente declarativa (arts. 107.2 y 108 LJCA).</w:t>
      </w:r>
    </w:p>
    <w:p w:rsidR="00AC56D6" w:rsidRDefault="00AC56D6" w:rsidP="00AC56D6">
      <w:pPr>
        <w:pStyle w:val="TextoNormal"/>
      </w:pPr>
    </w:p>
    <w:p w:rsidR="00AC56D6" w:rsidRDefault="00AC56D6" w:rsidP="00AC56D6">
      <w:pPr>
        <w:pStyle w:val="TextoNormal"/>
      </w:pPr>
      <w:r>
        <w:t>Subsidiariamente, para el supuesto de que el Tribunal no compartiera lo anterior, se alega que el hecho de que la ejecución de una Sentencia firme devenga legal o materialmente imposible no implica necesariamente la infracción del derecho a la tutela judicial efectiva, en su vertiente del derecho a la ejecución de las resoluciones judiciales firmes, conforme a la doctrina del Tribunal Constitucional. La apreciación de la supuesta inconstitucionalidad de una norma legal que, de manera sobrevenida, impide el cumplimiento de una Sentencia firme ha de ser valorada teniendo en cuenta las circunstancias del caso y a la luz de la doctrina establecida por el Tribunal Constitucional y por el Tribunal Europeo de Derechos Humanos. Se citan, a este respecto, las SSTC 73/2000, 273/2000 y 312/2006.</w:t>
      </w:r>
    </w:p>
    <w:p w:rsidR="00AC56D6" w:rsidRDefault="00AC56D6" w:rsidP="00AC56D6">
      <w:pPr>
        <w:pStyle w:val="TextoNormal"/>
      </w:pPr>
    </w:p>
    <w:p w:rsidR="00AC56D6" w:rsidRDefault="00AC56D6" w:rsidP="00AC56D6">
      <w:pPr>
        <w:pStyle w:val="TextoNormal"/>
      </w:pPr>
      <w:r>
        <w:t xml:space="preserve">Se añade que es posible encontrar en la disposición cuestionada elementos que permiten, en principio, atribuirle la configuración de norma </w:t>
      </w:r>
      <w:r w:rsidRPr="00AC56D6">
        <w:rPr>
          <w:i/>
        </w:rPr>
        <w:t>ad casum</w:t>
      </w:r>
      <w:r>
        <w:t xml:space="preserve">. Es una disposición que se incorpora a la Ley de residuos y suelos contaminados, cuyo objeto y contenido no guarda ninguna relación con el contenido de la disposición cuestionada y que no es una norma con vocación de generalidad. Se trata de una norma singular que viene a dar solución al problema de la falta de cobertura normativa que se ha producido por la declaración de nulidad del Real Decreto a cuyo amparo se realizaron determinadas actuaciones. Sin embargo, se discrepa del argumento que el Tribunal </w:t>
      </w:r>
      <w:r w:rsidRPr="00AC56D6">
        <w:rPr>
          <w:i/>
        </w:rPr>
        <w:t>a quo</w:t>
      </w:r>
      <w:r>
        <w:t xml:space="preserve"> expone para reforzar la idea de que se está ante una norma </w:t>
      </w:r>
      <w:r w:rsidRPr="00AC56D6">
        <w:rPr>
          <w:i/>
        </w:rPr>
        <w:t>ad casum</w:t>
      </w:r>
      <w:r>
        <w:t xml:space="preserve">, relativo al tiempo y forma en que la disposición adicional se incorporó a la Ley 22/2011. Entiende el Fiscal General del Estado que la incorporación vía enmienda adicional en la tramitación del proyecto de aquella Ley en el Senado a propuesta del Grupo Parlamentario Socialista, y el hecho de que tal enmienda no produjera un debate parlamentario expreso en ambas Cámaras sobre la misma, no infringe el procedimiento legal </w:t>
      </w:r>
      <w:r>
        <w:lastRenderedPageBreak/>
        <w:t xml:space="preserve">de tramitación parlamentaria de las normas legales, no pudiendo ser considerado elemento relevante para justificar por sí mismo la naturaleza </w:t>
      </w:r>
      <w:r w:rsidRPr="00AC56D6">
        <w:rPr>
          <w:i/>
        </w:rPr>
        <w:t>ad casum</w:t>
      </w:r>
      <w:r>
        <w:t xml:space="preserve"> de esta disposición adicional. La STC 73/2000 se pronuncia sobre la irrelevancia de las manifestaciones de los representantes políticos acerca de la intención de la norma y de las iniciativas parlamentarias que estos emprendan para sustentar sólo en ellos la consideración de una norma </w:t>
      </w:r>
      <w:r w:rsidRPr="00AC56D6">
        <w:rPr>
          <w:i/>
        </w:rPr>
        <w:t>ad casum</w:t>
      </w:r>
      <w:r>
        <w:t xml:space="preserve"> con la única finalidad de impedir la ejecución de una Sentencia firme. Se añade que la doctrina constitucional establece que el derecho a la ejecución de las resoluciones firmes, como parte del derecho a la tutela judicial efectiva, está sometido a las limitaciones y condiciones legales, resaltando también la importante capacidad de intervención que se reconoce al poder legislativo en la configuración de ese derecho fundamental, por más que tal potestad no sea ilimitada, pues el legislador no puede ni incurrir en arbitrariedad (artículo 9.3 CE) ni dejar de respetar la igualdad ni, en lo que al derecho a la tutela judicial se refiere, y en su vertiente al derecho a la ejecución, restringirlo de modo desproporcionada, citándose por extenso la STC 73/2000, así como la Sentencia del Tribunal Europeo de Derechos Humanos de 27 de abril de 2004.</w:t>
      </w:r>
    </w:p>
    <w:p w:rsidR="00AC56D6" w:rsidRDefault="00AC56D6" w:rsidP="00AC56D6">
      <w:pPr>
        <w:pStyle w:val="TextoNormal"/>
      </w:pPr>
    </w:p>
    <w:p w:rsidR="00AC56D6" w:rsidRDefault="00AC56D6" w:rsidP="00AC56D6">
      <w:pPr>
        <w:pStyle w:val="TextoNormal"/>
      </w:pPr>
      <w:r>
        <w:t>No es cierto, además, que la elevación a rango legal de la norma anulada impida toda fiscalización jurisdiccional, puesto que, como ha señalado el Tribunal Constitucional, los Tribunales podrán hacer uso, como aquí se ha hecho, de lo previsto en el artículo 163 CE.</w:t>
      </w:r>
    </w:p>
    <w:p w:rsidR="00AC56D6" w:rsidRDefault="00AC56D6" w:rsidP="00AC56D6">
      <w:pPr>
        <w:pStyle w:val="TextoNormal"/>
      </w:pPr>
    </w:p>
    <w:p w:rsidR="00AC56D6" w:rsidRDefault="00AC56D6" w:rsidP="00AC56D6">
      <w:pPr>
        <w:pStyle w:val="TextoNormal"/>
      </w:pPr>
      <w:r>
        <w:t>c) La doctrina jurisprudencial recordada en punto a la necesidad de ponderar la finalidad legítima y la proporcionalidad de la norma cuestionada en orden a lo que impone el artículo 24.1 CE a efectos del derecho a la ejecución de resoluciones firmes conduciría a poner de manifiesto lo siguiente. En primer lugar, que la pretensión deducida por los recurrentes en el proceso principal fue la de obtener la nulidad del Real Decreto 1419/2005; nulidad declarada por el Tribunal Supremo, sin que en la Sentencia se declararan o reconocieran derechos concretos de los recurrentes. En segundo lugar, que esta cuestión de inconstitucionalidad se plantea en fase de ejecución forzosa, al promover incidente de ejecución una asociación que no fue parte en el proceso y a la que el Tribunal Supremo tuvo por personada en fase de ejecución en concepto de persona afectada por el fallo. En relación con lo anterior, y a efectos de valorar la finalidad legítima y proporcionalidad de la disposición cuestionada, se señala que sólo de manera indirecta cabe considerar que la declaración de nulidad del Real Decreto pudiera afectar a la esfera de los posibles derechos o intereses económicos de los recurrentes en cuanto titulares de terrenos o concesiones afectados por las expropiaciones necesarias para la ejecución de las obras, siendo también posible considerar que la nulidad del Real Decreto pudiera afectar, de modo indirecto, a un interés general difuso, como es la protección del medio ambiente; interés difuso que, sin duda, justificó la admisión por el Tribunal Supremo de la personación de la asociación Plataforma en Defensa del Río Castril Siglo XXI como persona afectada por el fallo (art. 104.2 LJCA y arts. 22 y 23 de la Ley 27/2006).</w:t>
      </w:r>
    </w:p>
    <w:p w:rsidR="00AC56D6" w:rsidRDefault="00AC56D6" w:rsidP="00AC56D6">
      <w:pPr>
        <w:pStyle w:val="TextoNormal"/>
      </w:pPr>
    </w:p>
    <w:p w:rsidR="00AC56D6" w:rsidRDefault="00AC56D6" w:rsidP="00AC56D6">
      <w:pPr>
        <w:pStyle w:val="TextoNormal"/>
      </w:pPr>
      <w:r>
        <w:t xml:space="preserve">El Tribunal </w:t>
      </w:r>
      <w:r w:rsidRPr="00AC56D6">
        <w:rPr>
          <w:i/>
        </w:rPr>
        <w:t>a quo</w:t>
      </w:r>
      <w:r>
        <w:t xml:space="preserve"> estima que la convalidación realizada por la disposición cuya constitucionalidad cuestiona no está justificada en atención al bien jurídico protegido y a la proporcionalidad de la iniciativa legislativa, pero considera el Fiscal General del Estado que el Auto de planteamiento de la cuestión no ofrece, en este punto, un razonamiento sobre la finalidad y proporcionalidad dichas, sino sobre la forma en la que el propio Tribunal Supremo entiende debía haberse cumplido adecuadamente su Sentencia, ya mediante la elaboración de una nueva norma reglamentaria que observara los trámites incumplidos (ejecución </w:t>
      </w:r>
      <w:r>
        <w:lastRenderedPageBreak/>
        <w:t>propia); ya, caso de acudir a la iniciativa legislativa, aportando en la tramitación parlamentaria los informes técnicos que permitieran subsanar los defectos de procedimiento que motivaron la nulidad de la norma reglamentaria y constatar la adecuación a Derecho y racionalidad de las actuaciones y obras convalidadas desde la perspectiva del artículo 45 CE (ejecución impropia). Entiende, frente a ello, el Fiscal General del Estado que la finalidad y justificación de la disposición cuestionada es evitar la demolición de unas obras ya ejecutadas en su casi totalidad que supusieron una importante inversión de fondos públicos y, de otra parte, asegurar el interés general de abastecimiento de agua en las poblaciones comprendidas en las cuencas de los ríos Guadiana, Guadalquivir y Ebro, donde se produjo el problema de sequía que dio lugar a las medidas extraordinarias del Real Decreto 1419/2005. La finalidad que se expresa en la justificación a la introducción de la disposición adicional decimoquinta debe considerarse legítima, sin que, por otra parte, exista constancia objetiva de que las obras y actuaciones convalidadas infringieran la normativa de protección de medio ambiente, pues la Sentencia de 24 de noviembre de 2009 no se pronunció sobre el contenido o regulación material del Real Decreto ni sobre las obras de emergencia que en él se contemplaban. En lo que se refiere al juicio de proporcionalidad entre la finalidad legítima y el sacrificio que la misma comporta para el derecho a la ejecución de la Sentencia, se señala que los intereses personales y patrimoniales legítimos de las entidades recurrentes, que el Tribunal Supremo considera afectados, no aparecen concretados en su naturaleza y entidad, ni tampoco existe un reconocimiento expreso en la Sentencia de tales derechos e intereses. Los recurrentes, por otra parte, no instaron la ejecución forzosa de la Sentencia, aquietándose con la realización de las obras y actuaciones que contemplaba el Real Decreto y que supuestamente incidían en la esfera de sus derechos e intereses, y tampoco alegaron en el incidente de ejecución. Por ello, el posible sacrificio causado por la disposición cuestionada en unos intereses no concretados ni reclamados debe estimarse proporcionado en relación con la finalidad legítima de dicha norma (abastecimiento de agua a poblaciones afectadas por la sequía y conservación de obras en las que se habían invertido importantes cantidades de fondos públicos).</w:t>
      </w:r>
    </w:p>
    <w:p w:rsidR="00AC56D6" w:rsidRDefault="00AC56D6" w:rsidP="00AC56D6">
      <w:pPr>
        <w:pStyle w:val="TextoNormal"/>
      </w:pPr>
    </w:p>
    <w:p w:rsidR="00AC56D6" w:rsidRDefault="00AC56D6" w:rsidP="00AC56D6">
      <w:pPr>
        <w:pStyle w:val="TextoNormal"/>
      </w:pPr>
      <w:r>
        <w:t xml:space="preserve">En relación con los intereses de la entidad Plataforma para la Defensa del Río Castril Siglo XXI, promotora del incidente de ejecución, se señala que esta asociación tan sólo solicitó una ejecución parcial en cuanto a las actuaciones realizadas al amparo del Real Decreto anulado (conducción de abastecimiento a Baza desde el embalse del Portillo), obras de emergencia que no figuraban en el Anexo del repetido Real Decreto, sino que fueron aprobadas por Orden Ministerial de 21 de noviembre de 2006, de la Ministra de Medio Ambiente, a solicitud de la Confederación Hidrográfica del Guadalquivir y de conformidad con el artículo 6 del mismo Real Decreto. La asociación citada solicitó la paralización y demolición de tales obras por razones medioambientales que supuestamente afectaban al entorno del río Castril, según se desprende de las actuaciones, y fue con posterioridad a que se sobreseyeran provisionalmente las diligencias previas incoadas por la misma asociación por delito contra la ordenación del territorio en relación con la ejecución de tales obras cuando dicha entidad trató de impedir la continuación de las mismas mediante incidente de ejecución de la Sentencia de 24 de noviembre de 2009. Frente al interés de protección medioambiental, así supuestamente afectado por algunas de las obras de emergencia, debe oponerse la finalidad legítima de la disposición cuestionada de garantizar el abastecimiento de agua y evitar el coste que para los fondos públicos supone la demolición de unas obras ya efectuadas en un 94 por 100 en junio de 2011 y con un presupuesto asignado de 10.500.000 euros, según se desprende de la Orden Ministerial de 21 de noviembre de 2006, antes citada. </w:t>
      </w:r>
      <w:r>
        <w:lastRenderedPageBreak/>
        <w:t>Se observa, junto a ello, que las obras de emergencia de abastecimiento a Baza son sólo una parte de las realizadas al amparo del Real Decreto 1419/2005 y que es de suponer que las autorizadas con anterioridad a las de Baza estarían ejecutadas en su totalidad incluso antes de que se dictara la Sentencia del Tribunal Supremo de 24 de noviembre de 2009, que quedó firme en marzo de 2010 y cuyo costo es sensiblemente superior a las de conducción del abastecimiento a Baza. Por otro lado, la disposición adicional cuestionada convalidó la totalidad de las obras y actuaciones de emergencia realizadas al amparo del Real Decreto 1419/2005 y no sólo las relativas al abastecimiento a Baza, por lo que debe contraponerse el interés de la protección medioambiental del río Castril, supuestamente afectado, con la finalidad legítima de asegurar el abastecimiento de agua a todas las poblaciones afectadas por la sequía en el ámbito territorial de las cuencas de los ríos Guadiana, Guadalquivir y Ebro, teniendo en cuenta que el abastecimiento de agua a las poblaciones se reconoce como el primer uso prioritario de los recursos hidráulicos (art. 60.3 del texto refundido de la Ley de aguas). Por todo lo expuesto, en el presente caso concurre una adecuada proporcionalidad entre la finalidad legítima de interés general, ya señalada, y la restricción del derecho a la ejecución de la Sentencia de 24 de noviembre de 2009, en cuanto que dicho incumplimiento supondría la afectación de unos derechos personales de los recurrentes que no aparecen reconocidos ni concretados en la propia Sentencia y desde la perspectiva del interés de protección medioambiental, que no consta por lo actuado que hubiera sido infringido por las obras y actuaciones convalidadas.</w:t>
      </w:r>
    </w:p>
    <w:p w:rsidR="00AC56D6" w:rsidRDefault="00AC56D6" w:rsidP="00AC56D6">
      <w:pPr>
        <w:pStyle w:val="TextoNormal"/>
      </w:pPr>
    </w:p>
    <w:p w:rsidR="00AC56D6" w:rsidRDefault="00AC56D6" w:rsidP="00AC56D6">
      <w:pPr>
        <w:pStyle w:val="TextoNormal"/>
      </w:pPr>
      <w:r>
        <w:t xml:space="preserve">d) La desestimación de la existencia de infracción del artículo 24.1 CE determinaría necesariamente la desestimación de que la norma cuestionada haya infringido el principio de interdicción de la arbitrariedad y la garantía patrimonial expropiatoria (arts. 9.3 y 33.3 CE), siendo el propio Tribunal </w:t>
      </w:r>
      <w:r w:rsidRPr="00AC56D6">
        <w:rPr>
          <w:i/>
        </w:rPr>
        <w:t>a quo</w:t>
      </w:r>
      <w:r>
        <w:t xml:space="preserve"> el que vincula el fundamento de tales infracciones a los argumentos relativos a la lesión del derecho a la ejecución de las resoluciones judiciales firmes (art. 24.1 CE). En lo que se refiere a la interdicción constitucional de la arbitrariedad, se señala, tras hacer referencia a la jurisprudencia constitucional al respecto, que tal infracción ha de descartarse por todas las razones por las que se ha puesto de manifiesto que no nos encontramos ante una norma </w:t>
      </w:r>
      <w:r w:rsidRPr="00AC56D6">
        <w:rPr>
          <w:i/>
        </w:rPr>
        <w:t>ad casum</w:t>
      </w:r>
      <w:r>
        <w:t xml:space="preserve">, dictada con el exclusivo propósito de eludir la ejecución de la Sentencia firme de 24 de noviembre de 2009. La disposición cuestionada no revalida el Real Decreto anulado eludiendo los trámites formales infringidos por éste, sino que convalida las obras y actuaciones de emergencia realizadas a su amparo, dado que la Sentencia supuestamente eludida no se pronunció sobre la regulación material de la norma anulada ni declaró la irregularidad de las actuaciones en ella contempladas. Esta norma legal es ejercicio de la potestad legislativa dentro del amplio margen de opción constitucional del legislador y en atención a una finalidad legítima de interés general. No supone un sacrificio desproporcionado en relación con los intereses supuestamente afectados como consecuencia de sobrevenir la imposibilidad legal de cumplir el fallo que declaró la nulidad del Real Decreto 1419/2005. Los mismos razonamientos deben llevar a desestimar la duda de constitucionalidad respecto de la infracción de la garantía patrimonial expropiatoria de los recurrentes. Se reitera que la Sentencia de 24 de noviembre de 2009 no contenía un reconocimiento expreso de titularidad de los recurrentes que pudieran verse afectados por la convalidación legal de las obras y actuaciones de emergencia. Se añade que, dado que los expedientes de expropiación realizados y convalidados por la norma legal responden a una finalidad legítima de interés general, no puede en ningún caso considerarse que se haya infringido la garantía </w:t>
      </w:r>
      <w:r w:rsidRPr="00AC56D6">
        <w:rPr>
          <w:i/>
        </w:rPr>
        <w:t>ex</w:t>
      </w:r>
      <w:r>
        <w:t xml:space="preserve"> artículo 33.3 CE.</w:t>
      </w:r>
    </w:p>
    <w:p w:rsidR="00AC56D6" w:rsidRDefault="00AC56D6" w:rsidP="00AC56D6">
      <w:pPr>
        <w:pStyle w:val="TextoNormal"/>
      </w:pPr>
    </w:p>
    <w:p w:rsidR="00AC56D6" w:rsidRDefault="00AC56D6" w:rsidP="00AC56D6">
      <w:pPr>
        <w:pStyle w:val="TextoNormal"/>
      </w:pPr>
      <w:r>
        <w:lastRenderedPageBreak/>
        <w:t>Se concluyó con la solicitud de que se desestimara la cuestión de inconstitucionalidad.</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3 de noviembre de 2015, se señaló para deliberación y votación de la presente Sentencia el día 5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Sección Quinta de la Sala de lo Contencioso-administrativo del Tribunal Supremo ha promovido esta cuestión de inconstitucionalidad en el curso del incidente de ejecución de la Sentencia del mismo órgano judicial, de 24 de noviembre de 2009, resolución que, con estimación del recurso entonces interpuesto por un Ayuntamiento y cuatro entidades mercantiles, declaró nulo de pleno derecho el Real Decreto 1419/2005, de 25 de noviembre, por el que se adoptaron medidas administrativas excepcionales para la gestión de los recursos hidráulicos y para corregir los efectos de la sequía en la cuencas hidrográficas de los ríos Guadiana, Guadalquivir y Ebro. Este reglamento, dictado según su artículo 1 al amparo del art. 58 de la Ley de aguas (Real Decreto Legislativo 1/2001, de 20 de julio), fue declarado nulo por el Tribunal Supremo —como en los antecedentes se ha expuesto— por los vicios de carácter procedimental en que se incurrió al elaborarlo: falta tanto de la audiencia previa a los organismos de cuenca (artículo 58, recién citado, de la Ley de aguas) como del preceptivo informe del Ministerio para las Administraciones públicas (art. 67.4 de la Ley 6/1997, de 14 de abril, de organización y funcionamiento de la Administración General del Estado) y, en fin, de dictamen del Consejo de Estado (art. 24.2 de la Ley 50/1997, de 27 de noviembre, del Gobierno, y art. 22.3 de la Ley Orgánica 3/1980, de 22 de abril, del Consejo de Estado). Apreció también el Tribunal sentenciador que, además de las carencias reseñadas, la memoria económica del Real Decreto impugnado, exigible conforme al artículo 24.1 a) de la citada Ley 50/1997, no era sino una fórmula vacía de contenido, que impedía conocer, por lo tanto, el coste estimado de las medidas excepcionales a adoptar. Por todo ello, en suma, estimó el Tribunal Supremo, y lo recuerda así en su Auto de planteamiento de la cuestión, que el Real Decreto se dictó en su día prescindiendo, prácticamente, de todos los informes que pudieran garantizar su legalidad, acierto, oportunidad y viabilidad económica, lo que fue determinante de su invalidez e impuso la consiguiente declaración de nulidad de pleno derecho de la disposición reglamentaria.</w:t>
      </w:r>
    </w:p>
    <w:p w:rsidR="00AC56D6" w:rsidRDefault="00AC56D6" w:rsidP="00AC56D6">
      <w:pPr>
        <w:pStyle w:val="TextoNormal"/>
      </w:pPr>
    </w:p>
    <w:p w:rsidR="00AC56D6" w:rsidRDefault="00AC56D6" w:rsidP="00AC56D6">
      <w:pPr>
        <w:pStyle w:val="TextoNormal"/>
      </w:pPr>
      <w:r>
        <w:t xml:space="preserve">Firme y ya con efectos generales aquella Sentencia de anulación, el Tribunal que hoy promueve la cuestión incoó, por providencia de 25 de noviembre de 2010, incidente de ejecución de la misma a solicitud de la Plataforma para la Defensa del Río Castril Siglo XXI, asociación que —como también queda dicho en los antecedentes— pidió, al amparo del artículo 109 de la Ley de la jurisdicción contencioso-administrativa (LJCA), que se requiriera al entonces Ministerio de Medio Ambiente y Medio Rural y Marino ordenara a la Confederación Hidrográfica del Guadalquivir la inmediata paralización de la ejecución de las obras para la conducción de abastecimiento de agua a Baza (Granada) desde el embalse del Portillo; que se paralizaran, asimismo, los expedientes de expropiación forzosa de las fincas afectadas por tales obras públicas y, en fin, que se demolieran éstas con reposición de los terrenos a su estado primitivo. Con fecha 4 de febrero de 2011 dictó Auto la Sección Quinta en el que, acogiendo en parte lo interesado, ordenó la inmediata paralización tanto de determinadas obras de emergencia para la conducción de abastecimiento a Baza desde el embalse del Portillo como de los expedientes de expropiación de las fincas afectadas por </w:t>
      </w:r>
      <w:r>
        <w:lastRenderedPageBreak/>
        <w:t>dichas obras, ello sobre la base de que, anulado el Real Decreto 1419/2005, tales actuaciones administrativas carecían ya de toda cobertura normativa. Se acordó también en este Auto que se requiriera a la Administración del Estado para que informara al Tribunal de la situación en que las obras se encontraban con vistas a decidir, en su caso, sobre las demás pretensiones formuladas por la asociación personada en ejecución. Este Auto, recurrido en reposición por el Abogado del Estado, fue confirmado por otro de 13 de abril de 2011, que reiteró, en lo sustancial, sus argumentos.</w:t>
      </w:r>
    </w:p>
    <w:p w:rsidR="00AC56D6" w:rsidRDefault="00AC56D6" w:rsidP="00AC56D6">
      <w:pPr>
        <w:pStyle w:val="TextoNormal"/>
      </w:pPr>
    </w:p>
    <w:p w:rsidR="00AC56D6" w:rsidRDefault="00AC56D6" w:rsidP="00AC56D6">
      <w:pPr>
        <w:pStyle w:val="TextoNormal"/>
      </w:pPr>
      <w:r>
        <w:t>Así en curso el incidente de ejecución, la Abogacía del Estado puso en conocimiento de la Sala, en julio de 2011, la aprobación por las Cortes Generales, y posterior publicación en el “Boletín Oficial del Estado”, de la Ley 22/2011, de 28 de julio, de residuos y suelos contaminados, y pidió que, con arreglo a lo establecido en su disposición adicional decimoquinta, se acordara la conservación de las actuaciones objeto de controversia en la pieza de ejecución. La regla legal que así fue invocada por la representación de la Administración es, en definitiva, la que ha sido objeto de la actual cuestión de inconstitucionalidad. Su contenido (bajo la rúbrica Convalidación de actuaciones realizadas al amparo del Real Decreto 1419/2005, de 25 de noviembre) es el siguiente:</w:t>
      </w:r>
    </w:p>
    <w:p w:rsidR="00AC56D6" w:rsidRDefault="00AC56D6" w:rsidP="00AC56D6">
      <w:pPr>
        <w:pStyle w:val="TextoNormal"/>
      </w:pPr>
    </w:p>
    <w:p w:rsidR="00AC56D6" w:rsidRDefault="00AC56D6" w:rsidP="00AC56D6">
      <w:pPr>
        <w:pStyle w:val="TextoNormal"/>
      </w:pPr>
      <w:r>
        <w:t>“1. Se convalidan todas las obras y actuaciones relativas a la ordenación de los recursos hídricos en las cuencas del Guadiana, Guadalquivir y Ebro, derivadas de la ejecución del Real Decreto 1419/2005, de 25 de noviembre, declarado nulo por sentencia del Tribunal Supremo de 24 de noviembre de 2009.</w:t>
      </w:r>
    </w:p>
    <w:p w:rsidR="00AC56D6" w:rsidRDefault="00AC56D6" w:rsidP="00AC56D6">
      <w:pPr>
        <w:pStyle w:val="TextoNormal"/>
      </w:pPr>
    </w:p>
    <w:p w:rsidR="00AC56D6" w:rsidRDefault="00AC56D6" w:rsidP="00AC56D6">
      <w:pPr>
        <w:pStyle w:val="TextoNormal"/>
      </w:pPr>
      <w:r>
        <w:t>Dichas actuaciones tendrán la consideración de emergencia a los efectos prevenidos en el artículo 97 de la Ley 30/2007, de 30 de octubre, de Contratos del Sector Público.</w:t>
      </w:r>
    </w:p>
    <w:p w:rsidR="00AC56D6" w:rsidRDefault="00AC56D6" w:rsidP="00AC56D6">
      <w:pPr>
        <w:pStyle w:val="TextoNormal"/>
      </w:pPr>
    </w:p>
    <w:p w:rsidR="00AC56D6" w:rsidRDefault="00AC56D6" w:rsidP="00AC56D6">
      <w:pPr>
        <w:pStyle w:val="TextoNormal"/>
      </w:pPr>
      <w:r>
        <w:t>2. De conformidad con lo dispuesto en el artículo 58 del texto refundido de la Ley de Aguas, aprobado por el Real Decreto Legislativo 1/2001, de 20 de julio, las actuaciones aprobadas al amparo del Real Decreto 1419/2005, de 25 de noviembre, cuyo régimen jurídico se convalida por la presente disposición, llevan implícita la declaración de utilidad pública, a los efectos de la ocupación temporal y expropiación forzosa de bienes y derechos, así como la de urgente necesidad de la ocupación.”</w:t>
      </w:r>
    </w:p>
    <w:p w:rsidR="00AC56D6" w:rsidRDefault="00AC56D6" w:rsidP="00AC56D6">
      <w:pPr>
        <w:pStyle w:val="TextoNormal"/>
      </w:pPr>
    </w:p>
    <w:p w:rsidR="00AC56D6" w:rsidRDefault="00AC56D6" w:rsidP="00AC56D6">
      <w:pPr>
        <w:pStyle w:val="TextoNormal"/>
      </w:pPr>
      <w:r>
        <w:t xml:space="preserve">Como ya hubo ocasión de exponer con más detalle —y sobre ello se habrá de volver en lo que sigue—, el Tribunal </w:t>
      </w:r>
      <w:r w:rsidRPr="00AC56D6">
        <w:rPr>
          <w:i/>
        </w:rPr>
        <w:t>a quo</w:t>
      </w:r>
      <w:r>
        <w:t xml:space="preserve"> entiende que el precepto transcrito puede ser inconstitucional tanto por infringir el derecho a la ejecución de las resoluciones judiciales firmes (art. 24.1 CE) y, en relación con ello, la exclusiva potestad jurisdiccional para hacer ejecutar lo juzgado (art. 117.3 CE), como por vulnerar la interdicción de la arbitrariedad en el actuar de los poderes públicos (art. 9.3 de la norma fundamental), dudas o tachas de inconstitucionalidad, una y otra, que se argumentan en el Auto de planteamiento con una fundamentación en lo esencial común, cifrada en lo que la transcrita disposición adicional entrañaría de “ejercicio abusivo” del poder legislativo al intentar eludir o sortear, por vía de convalidación, lo resuelto por la Sentencia anulatoria del Real Decreto 1419/2005, con la consiguiente lesión del derecho fundamental a la debida ejecución de aquella resolución judicial por el propio Tribunal que la dictó. Para el juzgador </w:t>
      </w:r>
      <w:r w:rsidRPr="00AC56D6">
        <w:rPr>
          <w:i/>
        </w:rPr>
        <w:t>a quo</w:t>
      </w:r>
      <w:r>
        <w:t xml:space="preserve">, además, la disposición adicional decimoquinta de la Ley 22/2011 depararía una infracción de la garantía patrimonial de los bienes y derechos que la Constitución dispone en su artículo 33.3, pues esta convalidación por ley </w:t>
      </w:r>
      <w:r>
        <w:lastRenderedPageBreak/>
        <w:t>de las actuaciones expropiatorias llevadas a cabo al amparo del reglamento anulado impediría a los afectados —viene a decirse— defender sus derechos e intereses en plenitud y, en su caso, ante el orden jurisdiccional contencioso-administrativo.</w:t>
      </w:r>
    </w:p>
    <w:p w:rsidR="00AC56D6" w:rsidRDefault="00AC56D6" w:rsidP="00AC56D6">
      <w:pPr>
        <w:pStyle w:val="TextoNormal"/>
      </w:pPr>
    </w:p>
    <w:p w:rsidR="00AC56D6" w:rsidRDefault="00AC56D6" w:rsidP="00AC56D6">
      <w:pPr>
        <w:pStyle w:val="TextoNormal"/>
      </w:pPr>
      <w:r>
        <w:t xml:space="preserve">Las censuras de inconstitucionalidad que así sintetizamos se acompañan, en el Auto de planteamiento, de consideraciones críticas tanto respecto al procedimiento de adopción como sobre la forma misma de la disposición cuestionada, regla esta, observa el Tribunal Supremo, que se incorporó al texto legal finalmente aprobado mediante una enmienda del Senado carente de estudios o informes técnicos que la avalasen y que resultó, además, enteramente ajena, por su objeto, a la materia sobre la que versaba el proyecto del Gobierno que estuvo en el origen de la actual Ley 22/2011. La disposición adicional decimoquinta se presentaría, en fin, como un precepto </w:t>
      </w:r>
      <w:r w:rsidRPr="00AC56D6">
        <w:rPr>
          <w:i/>
        </w:rPr>
        <w:t>ad hoc</w:t>
      </w:r>
      <w:r>
        <w:t>, lo que haría evidente —cabe entender— su propósito de eludir la plena y debida ejecución de la Sentencia que anuló el reglamento que ahora se dice convalidado.</w:t>
      </w:r>
    </w:p>
    <w:p w:rsidR="00AC56D6" w:rsidRDefault="00AC56D6" w:rsidP="00AC56D6">
      <w:pPr>
        <w:pStyle w:val="TextoNormal"/>
      </w:pPr>
    </w:p>
    <w:p w:rsidR="00AC56D6" w:rsidRDefault="00AC56D6" w:rsidP="00AC56D6">
      <w:pPr>
        <w:pStyle w:val="TextoNormal"/>
      </w:pPr>
      <w:r w:rsidRPr="00AC56D6">
        <w:rPr>
          <w:rStyle w:val="NumeroAFNegritaCaracter"/>
        </w:rPr>
        <w:t>2</w:t>
      </w:r>
      <w:r>
        <w:t>. Antes de abordar el examen de las dudas de constitucionalidad así planteadas son procedentes unas primeras precisiones sobre el objeto y relevancia de la cuestión misma, así como acerca del ámbito del enjuiciamiento que para resolverla nos corresponde:</w:t>
      </w:r>
    </w:p>
    <w:p w:rsidR="00AC56D6" w:rsidRDefault="00AC56D6" w:rsidP="00AC56D6">
      <w:pPr>
        <w:pStyle w:val="TextoNormal"/>
      </w:pPr>
    </w:p>
    <w:p w:rsidR="00AC56D6" w:rsidRDefault="00AC56D6" w:rsidP="00AC56D6">
      <w:pPr>
        <w:pStyle w:val="TextoNormal"/>
      </w:pPr>
      <w:r>
        <w:t>a) La disposición adicional decimoquinta de la Ley 22/2011, aquí cuestionada, viene a convalidar, según su expreso dictado, actuaciones realizadas al amparo del Real Decreto 1419/2005 y extiende por tanto su ámbito de aplicación —como lo hizo el reglamento anulado— a medidas “relativas a la ordenación de los recursos hídricos en las cuencas del Guadiana, Guadalquivir y Ebro” (número 1 de la propia disposición). La circunstancia de que el incidente de ejecución en cuyo curso se ha promovido la cuestión de inconstitucionalidad se haya iniciado y se tramite respecto de unas muy concretas actuaciones llevadas a cabo sólo en una de tales cuencas hidrográficas (la del Guadalquivir) ha sido puesta de manifiesto por la Abogacía del Estado y por la Fiscalía en sus alegaciones, pero el que esto sea así no impide, desde luego, que esta disposición adicional, de enunciado inescindible para todas y cada una de las actuaciones a las que afecta, sea cuestionada y enjuiciada ahora en la plenitud de su alcance normativo y no sólo por referencia a la convalidación de las singulares actuaciones —obras y expropiaciones— respecto de las que se promovió y se sigue el incidente de ejecución del que trae causa esta cuestión de inconstitucionalidad.</w:t>
      </w:r>
    </w:p>
    <w:p w:rsidR="00AC56D6" w:rsidRDefault="00AC56D6" w:rsidP="00AC56D6">
      <w:pPr>
        <w:pStyle w:val="TextoNormal"/>
      </w:pPr>
    </w:p>
    <w:p w:rsidR="00AC56D6" w:rsidRDefault="00AC56D6" w:rsidP="00AC56D6">
      <w:pPr>
        <w:pStyle w:val="TextoNormal"/>
      </w:pPr>
      <w:r>
        <w:t xml:space="preserve">b) La cuestión, por lo demás, se plantea, y así es correcto, antes de dictar la resolución final que procediere en la pieza de ejecución [art. 35.2 de la Ley Orgánica del Tribunal Constitucional (LOTC)], sin que quepa ahora dudar, a los efectos del enjuiciamiento que se nos pide, de la relevancia inicial de la constitucionalidad o inconstitucionalidad de la disposición cuestionada a efectos de la decisión, en un sentido u otro, del incidente en suspenso (STC 50/2015, de 5 de marzo, FJ 2). El órgano </w:t>
      </w:r>
      <w:r w:rsidRPr="00AC56D6">
        <w:rPr>
          <w:i/>
        </w:rPr>
        <w:t>a quo</w:t>
      </w:r>
      <w:r>
        <w:t xml:space="preserve"> considera, en efecto, que la norma legal de cuya validez duda mediatiza o traba el derecho a la plena ejecución de la Sentencia que dictó en su día y le sustrae, en la misma medida, la exclusiva potestad que la Constitución le atribuye para llevar a término esa ejecución, apreciaciones estas que —sean o no de compartir— no pueden estimarse </w:t>
      </w:r>
      <w:r w:rsidRPr="00AC56D6">
        <w:rPr>
          <w:i/>
        </w:rPr>
        <w:t>ab initio</w:t>
      </w:r>
      <w:r>
        <w:t xml:space="preserve">, visto el contenido de la regla cuestionada, carentes, desde luego, de todo fundamento en punto al condicionamiento por la validez o invalidez de la ley de la resolución a dictar. Ello sin perjuicio, como después se dirá, de la concurrencia o no de tal inexcusable presupuesto de la relevancia de la propia cuestión (art. </w:t>
      </w:r>
      <w:r>
        <w:lastRenderedPageBreak/>
        <w:t>163 CE y art. 35.1 y 2 LOTC) respecto de alguna de las otras vulneraciones constitucionales en las que, a decir del Auto de planteamiento, habría incurrido aquí el legislador.</w:t>
      </w:r>
    </w:p>
    <w:p w:rsidR="00AC56D6" w:rsidRDefault="00AC56D6" w:rsidP="00AC56D6">
      <w:pPr>
        <w:pStyle w:val="TextoNormal"/>
      </w:pPr>
    </w:p>
    <w:p w:rsidR="00AC56D6" w:rsidRDefault="00AC56D6" w:rsidP="00AC56D6">
      <w:pPr>
        <w:pStyle w:val="TextoNormal"/>
      </w:pPr>
      <w:r>
        <w:t xml:space="preserve">c) Objeto exclusivo del enjuiciamiento que en lo que sigue haremos es en fin, como corresponde a este proceso constitucional, la validez o invalidez constitucional de la norma legal cuestionada, sin que, por lo tanto, debamos hacer valoración jurídica alguna en esta Sentencia sobre unas u otras de las actuaciones realizadas o enjuiciadas en el procedimiento del que la cuestión emana, por más que a tales actuaciones se hayan referido, para ilustrar a este Tribunal sobre los antecedentes del caso, tanto el propio Auto de planteamiento de la cuestión como el Abogado del Estado y el Fiscal General del Estado en sus alegaciones. Si una cuestión de inconstitucionalidad cumple, como aquí es de ver, los presupuestos iniciales para su admisibilidad, el enjuiciamiento al que ha de dar lugar es tan abstracto como el que corresponde realizar en un recurso de inconstitucionalidad (STC 92/2013, de 22 de abril, FJ 3), ya que “en este proceso constitucional se enjuicia, estrictamente, la conformidad a la Constitución de uno o varios enunciados legales, sin tomar en consideración, salvo en lo relativo a la viabilidad de la cuestión, las concretas circunstancias del supuesto planteado en el proceso del que aquélla deriva, sobre las que nada podemos decir y que en nada, tampoco, han de condicionar nuestro enjuiciamiento” [STC 238/1992, de 17 de diciembre, FJ 1 b)]. Ello sin perjuicio, como se verá, de que, al censurarse aquí un precepto legal por desvirtuar lo dispuesto en un pronunciamiento judicial e impedir su plena ejecución, este Tribunal deba, para cumplir el cometido que le es propio, contrastar, a los solos efectos del enjuiciamiento de la ley, lo dispuesto en ella y lo resuelto en el fallo que así se dice contrariado. Tal hipotética colisión entre la norma legal y el </w:t>
      </w:r>
      <w:r w:rsidRPr="00AC56D6">
        <w:rPr>
          <w:i/>
        </w:rPr>
        <w:t>dictum</w:t>
      </w:r>
      <w:r>
        <w:t xml:space="preserve"> de la resolución judicial se constituye como presupuesto, en efecto, de la eventual afectación —lesiva o no— del derecho enunciado en el artículo 24.1 CE (SSTC 73/2000, de 14 de marzo, FJ 9, y 312/2006, de 12 de diciembre, FJ 5).</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Estima el Tribunal Supremo, en primer lugar, que la disposición legal que ha cuestionado infringe el principio constitucional de interdicción de la arbitrariedad (art. 9.3 CE) por haber sido “aprobada </w:t>
      </w:r>
      <w:r w:rsidRPr="00AC56D6">
        <w:rPr>
          <w:i/>
        </w:rPr>
        <w:t>ad casum</w:t>
      </w:r>
      <w:r>
        <w:t xml:space="preserve"> y sin justificación suficiente”, lo que, con otras palabras, supondría, ya se dijo, un “ejercicio abusivo” de la potestad legislativa de las Cortes Generales (art. 66.2 CE).</w:t>
      </w:r>
    </w:p>
    <w:p w:rsidR="00AC56D6" w:rsidRDefault="00AC56D6" w:rsidP="00AC56D6">
      <w:pPr>
        <w:pStyle w:val="TextoNormal"/>
      </w:pPr>
    </w:p>
    <w:p w:rsidR="00AC56D6" w:rsidRDefault="00AC56D6" w:rsidP="00AC56D6">
      <w:pPr>
        <w:pStyle w:val="TextoNormal"/>
      </w:pPr>
      <w:r>
        <w:t>Con esta primera alegación el órgano judicial promotor de la cuestión suscita explícitamente, a propósito de la norma legal cuestionada, el problema de la conformidad de las leyes singulares con determinados preceptos constitucionales. Por ello, debemos comenzar recordando la doctrina de este Tribunal al respecto. Según nuestra doctrina, las leyes singulares no son, por este mero hecho, inconstitucionales, si bien, al no constituir un ejercicio normal de la potestad legislativa, están sujetas a una serie de límites contenidos en la propia Constitución (por todas, STC 129/2013, de 4 de junio, FJ 4). Por ello, cuando la ley o la disposición legal objeto del proceso es calificada como “ley singular” por alguna de las partes, antes que nada debe examinarse su naturaleza, pues solo establecida su verdadera naturaleza estaremos en condiciones de pronunciarnos sobre las vulneraciones de preceptos constitucionales que se le reprochan (STC 50/2015, FJ 3).</w:t>
      </w:r>
    </w:p>
    <w:p w:rsidR="00AC56D6" w:rsidRDefault="00AC56D6" w:rsidP="00AC56D6">
      <w:pPr>
        <w:pStyle w:val="TextoNormal"/>
      </w:pPr>
    </w:p>
    <w:p w:rsidR="00AC56D6" w:rsidRDefault="00AC56D6" w:rsidP="00AC56D6">
      <w:pPr>
        <w:pStyle w:val="TextoNormal"/>
      </w:pPr>
      <w:r>
        <w:t xml:space="preserve">Tal y como hicimos en la citada STC 50/2015 (FJ 3), en el examen de la naturaleza de la ley impugnada debemos atender a los tipos de leyes singulares diferenciados por nuestra doctrina, que fue sistematizada en la STC 203/2013, FJ 3. Un primer tipo de ley singular es </w:t>
      </w:r>
      <w:r>
        <w:lastRenderedPageBreak/>
        <w:t>la ley autoaplicativa, “término este que hace alusión a las leyes que contienen una actividad, típicamente ejecutiva, de aplicación de la norma al caso concreto” (STC 203/2013, FJ 3, por referencia a los supuestos contemplados en las SSTC 48/2005, de 3 de marzo, y 129/2013, de 4 de junio). En segundo lugar, una ley también puede calificarse de singular en atención a los destinatarios a los que va dirigida, entendiendo que las leyes de destinatario único serían “otro de los supuestos que nuestra doctrina ha calificado como ley singular” (STC 203/2013, FJ 3, por referencia a la STC 166/1986, de 19 de diciembre). Finalmente, también son leyes singulares “‘[a]quellas dictadas en atención a un supuesto de hecho concreto y singular, que agotan su contenido y eficacia en la adopción y ejecución de la medida tomada por el legislador ante ese supuesto de hecho, aislado en la Ley singular y no comunicable con ningún otro’ (STC 166/1986, de 19 de diciembre, FJ 10), de modo que una ley que no fuera de destinatario único, ni autoaplicativa, adolece de tal naturaleza si ha sido dictada en atención a un supuesto de hecho concreto, esto es, a una situación singular o excepcional” (STC 129/2013, FJ 4).</w:t>
      </w:r>
    </w:p>
    <w:p w:rsidR="00AC56D6" w:rsidRDefault="00AC56D6" w:rsidP="00AC56D6">
      <w:pPr>
        <w:pStyle w:val="TextoNormal"/>
      </w:pPr>
    </w:p>
    <w:p w:rsidR="00AC56D6" w:rsidRDefault="00AC56D6" w:rsidP="00AC56D6">
      <w:pPr>
        <w:pStyle w:val="TextoNormal"/>
      </w:pPr>
      <w:r>
        <w:t>Conforme a tales criterios procede examinar el contenido de la disposición adicional decimoquinta de la Ley 22/2011, de 28 de julio, de residuos y suelos contaminados. Dicha norma, según se dijo, convalida “todas las obras y actuaciones relativas a la ordenación de los recursos hídricos en las cuencas del Guadiana, Guadalquivir y Ebro, derivadas de la ejecución del Real Decreto 1419/2005, de 25 de noviembre, declarado nulo por Sentencia del Tribunal Supremo de 24 de noviembre de 2009”; y, además, precisa que dichas actuaciones tendrán la consideración de emergencia a los efectos del art. 97 de la Ley 30/2007, de 30 de octubre, de contratos del sector público, y que, de conformidad con lo dispuesto en el art. 58 del texto refundido de la Ley de aguas, llevarán implícita la declaración de utilidad pública, a los efectos de la ocupación temporal y expropiación forzosa de bienes y derechos, así como la de urgente necesidad de la ocupación. Las obras y actuaciones convalidadas son las realizadas al amparo de la norma reglamentaria anulada por varias Administraciones (confederaciones hidrográficas, Ministerio de Medio Ambiente), durante un periodo de cuatro años (2005-2009) y en el ámbito territorial definido por tres cuencas hidrográficas (Guadiana, Guadalquivir y Ebro).</w:t>
      </w:r>
    </w:p>
    <w:p w:rsidR="00AC56D6" w:rsidRDefault="00AC56D6" w:rsidP="00AC56D6">
      <w:pPr>
        <w:pStyle w:val="TextoNormal"/>
      </w:pPr>
    </w:p>
    <w:p w:rsidR="00AC56D6" w:rsidRDefault="00AC56D6" w:rsidP="00AC56D6">
      <w:pPr>
        <w:pStyle w:val="TextoNormal"/>
      </w:pPr>
      <w:r>
        <w:t>De entre los supuestos sistematizados en la STC 203/2013, la norma cuestionada se diferencia de la categoría de ley de destinatario único: aunque el círculo de afectados por el efecto convalidante de la norma esté cerrado y su identidad pueda ser de alguna forma determinable —por ejemplo, mediante un cotejo más o menos laborioso de los expedientes tramitados al amparo del Real Decreto 1419/2005 por las diversas entidades facultadas—, resulta notorio que la identidad de los destinatarios de la disposición cuestionada no ha sido tenida en cuenta como factor determinante del contenido de su regulación ni constituye en sí un dato obvio o que se aprecie con su simple lectura.</w:t>
      </w:r>
    </w:p>
    <w:p w:rsidR="00AC56D6" w:rsidRDefault="00AC56D6" w:rsidP="00AC56D6">
      <w:pPr>
        <w:pStyle w:val="TextoNormal"/>
      </w:pPr>
    </w:p>
    <w:p w:rsidR="00AC56D6" w:rsidRDefault="00AC56D6" w:rsidP="00AC56D6">
      <w:pPr>
        <w:pStyle w:val="TextoNormal"/>
      </w:pPr>
      <w:r>
        <w:t xml:space="preserve">Ciertamente, la disposición aquí cuestionada presenta al mismo tiempo caracteres de ley autoaplicativa y de ley de supuesto de hecho concreto. Por una parte, al proyectarse sus efectos sobre actuaciones administrativas realizadas en el pasado, es evidente que la disposición cuestionada no es susceptible de ser aplicada a nuevos supuestos de hecho. Tampoco requiere de actos administrativos de aplicación, pues la convalidación legislativa realizada es autosuficiente. Estas características aproximan la disposición legal cuestionada a una ley autoaplicativa. Más dudoso, no obstante, es que toda ley de convalidación conlleve siempre “una actividad, típicamente ejecutiva, de aplicación de la norma al caso concreto” como </w:t>
      </w:r>
      <w:r>
        <w:lastRenderedPageBreak/>
        <w:t>nuestra doctrina caracteriza a las leyes autoaplicativas (STC 203/2013, FJ 3), esto es, que implique necesariamente la adopción de medidas material y típicamente administrativas bajo la veste de ley. Así se pone de manifiesto en el caso concreto de la disposición cuestionada. En efecto, mediante la convalidación que dispone, el legislador trata de resolver un concreto problema planteado a las Administraciones afectadas con la anulación del Real Decreto 1419/2005 por la Sentencia del Tribunal Supremo de 24 de noviembre de 2009; en otras palabras, la disposición cuestionada busca un objetivo concreto y determinado, remediar las posibles consecuencias jurídicas invalidantes derivadas de una Sentencia declaratoria de la nulidad de una disposición administrativa de carácter general. Por tanto, la utilización de la ley no responde en el presente caso al ejercicio normal de la potestad legislativa, sino a una situación excepcional que ha de justificar el recurso a una norma de ese rango. Desde esta perspectiva, la calificación de la norma cuestionada como ley de supuesto de hecho concreto tampoco es inadecuada.</w:t>
      </w:r>
    </w:p>
    <w:p w:rsidR="00AC56D6" w:rsidRDefault="00AC56D6" w:rsidP="00AC56D6">
      <w:pPr>
        <w:pStyle w:val="TextoNormal"/>
      </w:pPr>
    </w:p>
    <w:p w:rsidR="00AC56D6" w:rsidRDefault="00AC56D6" w:rsidP="00AC56D6">
      <w:pPr>
        <w:pStyle w:val="TextoNormal"/>
      </w:pPr>
      <w:r>
        <w:t>De lo anterior se puede concluir que las disposiciones legales que, como la cuestionada en este proceso, convalidan actuaciones administrativas realizadas al amparo de una disposición administrativa de carácter general anulada mediante Sentencia firme revisten al mismo tiempo caracteres de ley autoaplicativa y de ley de supuesto de hecho concreto. En consecuencia, deberemos aplicar a la norma cuestionada de forma sucesiva el canon que según nuestra doctrina rige para cada uno de esos tipos de leyes singulares, con las particularidades que derivan de esta modalidad de leyes singulares y que aludiremos más adelante. Ese doble canon es, en síntesis, el siguiente:</w:t>
      </w:r>
    </w:p>
    <w:p w:rsidR="00AC56D6" w:rsidRDefault="00AC56D6" w:rsidP="00AC56D6">
      <w:pPr>
        <w:pStyle w:val="TextoNormal"/>
      </w:pPr>
    </w:p>
    <w:p w:rsidR="00AC56D6" w:rsidRDefault="00AC56D6" w:rsidP="00AC56D6">
      <w:pPr>
        <w:pStyle w:val="TextoNormal"/>
      </w:pPr>
      <w:r>
        <w:t>- Por un lado, de la caracterización de la norma cuestionada como ley de supuesto de hecho concreto se desprende la aplicabilidad del canon elaborado en la STC 129/2013 para las leyes singulares y que ha sido aplicado en las SSTC 203/2013 y 50/2015. En la STC 129/2013, FJ 4 señalamos que “el canon de constitucionalidad que debe utilizar este Tribunal al ejercer su función de control de este tipo de leyes es el de la razonabilidad, proporcionalidad y adecuación”. Así pues, al tratarse de una ley singular hemos de comprobar si el supuesto de hecho que contempla la norma cuestionada tiene una justificación objetiva y, de ser así, si la utilización de la ley es proporcionada a la excepcionalidad que se trata de atender y que ha justificado su aprobación (SSTC 203/2013, FJ 4, y 50/2015, FJ 5).</w:t>
      </w:r>
    </w:p>
    <w:p w:rsidR="00AC56D6" w:rsidRDefault="00AC56D6" w:rsidP="00AC56D6">
      <w:pPr>
        <w:pStyle w:val="TextoNormal"/>
      </w:pPr>
    </w:p>
    <w:p w:rsidR="00AC56D6" w:rsidRDefault="00AC56D6" w:rsidP="00AC56D6">
      <w:pPr>
        <w:pStyle w:val="TextoNormal"/>
      </w:pPr>
      <w:r>
        <w:t xml:space="preserve">- Por otro lado, de la caracterización de la norma cuestionada como ley autoaplicativa se desprende también la aplicabilidad del canon fijado en la STC 129/2013. En dicha Sentencia afirmamos que “las leyes singulares no constituyen un ejercicio normal de la potestad legislativa” y que, en consecuencia, “están sujetas a una serie de límites contenidos en la propia Constitución”, entre los que destacamos el principio de igualdad; la prohibición de condicionamiento del ejercicio de los derechos fundamentales, materia reservada a leyes generales; y la restricción a “aquellos casos excepcionales que, por su extraordinaria trascendencia y complejidad, no son remediables por los instrumentos normales de que dispone la Administración, constreñida a actuar con sujeción al principio de legalidad, ni por los instrumentos normativos ordinarios”. A lo anterior añadimos que todas las leyes autoaplicativas, sean o no expropiatorias, deben confrontarse con la garantía de la tutela judicial establecida en el art. 24.1 CE, pues aunque las leyes autoaplicativas expropiatorias “ostentan la peculiaridad de ir dirigidas directamente a la privación de un derecho constitucional, las autoaplicativas no expropiatorias son también susceptibles de lesionar derechos e intereses legítimos”. </w:t>
      </w:r>
      <w:r>
        <w:lastRenderedPageBreak/>
        <w:t>En consecuencia, concluimos que, como “el art. 24.1 CE protege todos los derechos e intereses legítimos que reconoce el ordenamiento jurídico y no sólo aquellos expresamente consagrados por la Constitución”, “el canon de constitucionalidad del art. 24.1 CE debe necesariamente operar cuando la ley singular que encierra una actividad materialmente administrativa de aplicación de la norma al caso concreto, afecte a los derechos o intereses legítimos a los que el precepto constitucional antes citado presta cobertura” (STC 129/2013, FJ 4).</w:t>
      </w:r>
    </w:p>
    <w:p w:rsidR="00AC56D6" w:rsidRDefault="00AC56D6" w:rsidP="00AC56D6">
      <w:pPr>
        <w:pStyle w:val="TextoNormal"/>
      </w:pPr>
    </w:p>
    <w:p w:rsidR="00AC56D6" w:rsidRDefault="00AC56D6" w:rsidP="00AC56D6">
      <w:pPr>
        <w:pStyle w:val="TextoNormal"/>
      </w:pPr>
      <w:r>
        <w:t>La enunciación del canon que deriva de la naturaleza de ley singular de la norma cuestionada se solapa en el presente caso en gran parte con el parámetro de enjuiciamiento aplicable al examen de dos de las tachas de inconstitucionalidad aducidas por el órgano judicial promotor de esta cuestión de inconstitucionalidad.</w:t>
      </w:r>
    </w:p>
    <w:p w:rsidR="00AC56D6" w:rsidRDefault="00AC56D6" w:rsidP="00AC56D6">
      <w:pPr>
        <w:pStyle w:val="TextoNormal"/>
      </w:pPr>
    </w:p>
    <w:p w:rsidR="00AC56D6" w:rsidRDefault="00AC56D6" w:rsidP="00AC56D6">
      <w:pPr>
        <w:pStyle w:val="TextoNormal"/>
      </w:pPr>
      <w:r w:rsidRPr="00AC56D6">
        <w:rPr>
          <w:rStyle w:val="NumeroAFNegritaCaracter"/>
        </w:rPr>
        <w:t>4</w:t>
      </w:r>
      <w:r>
        <w:t>. Por tanto, una vez afirmada la naturaleza de ley singular de la norma cuestionada, el enjuiciamiento de la primera duda de constitucionalidad que aduce el Auto de planteamiento, la tacha de arbitrariedad proscrita por el art. 9.3 CE, requiere específicamente examinar si el supuesto de hecho que contempla la disposición adicional decimoquinta de la Ley 22/2011 tiene una justificación objetiva y, de ser así, si la utilización de la ley es proporcionada a la excepcionalidad que se trata de atender y que ha justificado su aprobación. A tal fin, como advertíamos anteriormente, deben tenerse en cuenta las particularidades que derivan de las llamadas “leyes de convalidación” o “convalidaciones legislativas”, pues el presente proceso es el primero en el que este Tribunal enjuicia un supuesto explícito de convalidación legislativa, aunque en el pasado se ha ocupado de supuestos que guardan alguna semejanza (SSTC 73/2000, de 14 de marzo, y 273/2000, de 15 de noviembre).</w:t>
      </w:r>
    </w:p>
    <w:p w:rsidR="00AC56D6" w:rsidRDefault="00AC56D6" w:rsidP="00AC56D6">
      <w:pPr>
        <w:pStyle w:val="TextoNormal"/>
      </w:pPr>
    </w:p>
    <w:p w:rsidR="00AC56D6" w:rsidRDefault="00AC56D6" w:rsidP="00AC56D6">
      <w:pPr>
        <w:pStyle w:val="TextoNormal"/>
      </w:pPr>
      <w:r>
        <w:t>Bajo la expresión “convalidaciones legislativas” pueden cobijarse en la práctica fenómenos muy diversos. En lo que sigue únicamente prestaremos atención a aquellas intervenciones del legislador o del Gobierno que, mediante la aprobación de una norma con rango de ley, pretenden eliminar los efectos prácticos, en todo o en parte, de una declaración judicial de ilegalidad ya recaída. Las normas convalidantes comparten con las demás leyes singulares algunas características (su carácter singular) y algunos problemas constitucionales comunes (la posibilidad de que supongan un ejercicio arbitrario de la potestad legislativa), y presentan a su vez perfiles específicos (su típico efecto retroactivo). Aunque en una primera aproximación la problemática constitucional de las convalidaciones legislativas parece situarse en la encrucijada de grandes principios constitucionales (la división de poderes, el principio democrático, la reserva de jurisdicción y, en particular, la indemnidad absoluta de las decisiones judiciales firmes, y la seguridad jurídica), conviene comenzar nuestro análisis por un nivel más modesto, para no incurrir en formulaciones huecas y demasiado abstractas a partir de aquellos principios, prestando atención a las formas que prevé el ordenamiento para remediar los vicios que pueden aquejar a los actos y las normas administrativas a fin de situar el problema de las convalidaciones legislativas en su justo término.</w:t>
      </w:r>
    </w:p>
    <w:p w:rsidR="00AC56D6" w:rsidRDefault="00AC56D6" w:rsidP="00AC56D6">
      <w:pPr>
        <w:pStyle w:val="TextoNormal"/>
      </w:pPr>
    </w:p>
    <w:p w:rsidR="00AC56D6" w:rsidRDefault="00AC56D6" w:rsidP="00AC56D6">
      <w:pPr>
        <w:pStyle w:val="TextoNormal"/>
      </w:pPr>
      <w:r>
        <w:t xml:space="preserve">La subsanación y consiguiente convalidación de actos y normas constituye, como es conocido, una institución que no es ajena al Derecho administrativo (regulada en el art. 67 de la Ley de régimen jurídico de las Administraciones públicas y del procedimiento administrativo común por lo que se refiere a los actos administrativos anulables), sin que ello implique una forma de dejar sin sanción la infracción de ciertas normas jurídicas, sino todo lo </w:t>
      </w:r>
      <w:r>
        <w:lastRenderedPageBreak/>
        <w:t>contrario, pues la subsanación pretende cumplir y hacer valer la norma jurídica que se infringió cuando se dictó el acto subsanable. Como ha afirmado este Tribunal, los principios constitucionales de seguridad jurídica y de interdicción de la arbitrariedad de los poderes públicos “no cubren una eventual expectativa de que los poderes públicos permanezcan pasivos ante la concurrencia de un vicio procedimental que afecte a una norma cuya aplicación pueda favorecer la consecución de un interés general” (STC 273/2000, FJ 12). No obstante, determinados vicios pueden resultar insubsanables en sí, o su subsanación puede devenir imposible, por ejemplo tras una declaración de nulidad por Sentencia firme. Entonces la Administración puede no tener otra opción, si quiere poner remedio a la infracción y perseguir la consecución del interés general concernido, que dictar un nuevo acto o un nuevo reglamento. Si el contenido de la disposición anulada es en sí mismo legal, la Administración siempre podrá volver a establecerla mediante una nueva declaración de voluntad libre de cualquier vicio procedimental, conservando incluso los trámites válidos empleados en la elaboración del declarado nulo. Cuando la Administración obra así, no comete desacato respecto a la Sentencia que ha anulado el acto ni vulnera el derecho fundamental a la tutela judicial efectiva de la persona física o jurídica que solicitó y obtuvo esa anulación. Esto es algo que el propio órgano judicial promovente de la cuestión de inconstitucionalidad también admite, pues sostiene que los vicios de procedimiento que aquejaban al Real Decreto anulado eran subsanables, si bien discrepa de la forma empleada a tal fin por el legislador y sostiene que solo cabía la elaboración de una nueva norma reglamentaria que observara los trámites incumplidos o bien la tramitación parlamentaria que incluyese los informes técnicos que permitieran subsanar los referidos defectos de procedimiento y constatar la adecuación a Derecho y racionalidad de las actuaciones y obras.</w:t>
      </w:r>
    </w:p>
    <w:p w:rsidR="00AC56D6" w:rsidRDefault="00AC56D6" w:rsidP="00AC56D6">
      <w:pPr>
        <w:pStyle w:val="TextoNormal"/>
      </w:pPr>
    </w:p>
    <w:p w:rsidR="00AC56D6" w:rsidRDefault="00AC56D6" w:rsidP="00AC56D6">
      <w:pPr>
        <w:pStyle w:val="TextoNormal"/>
      </w:pPr>
      <w:r w:rsidRPr="00AC56D6">
        <w:rPr>
          <w:rStyle w:val="NumeroAFNegritaCaracter"/>
        </w:rPr>
        <w:t>5</w:t>
      </w:r>
      <w:r>
        <w:t>. Las observaciones anteriores, aunque básicas y fragmentarias, permiten enmarcar el alcance de la intervención que, en el presente supuesto, deriva de la norma convalidante.</w:t>
      </w:r>
    </w:p>
    <w:p w:rsidR="00AC56D6" w:rsidRDefault="00AC56D6" w:rsidP="00AC56D6">
      <w:pPr>
        <w:pStyle w:val="TextoNormal"/>
      </w:pPr>
    </w:p>
    <w:p w:rsidR="00AC56D6" w:rsidRDefault="00AC56D6" w:rsidP="00AC56D6">
      <w:pPr>
        <w:pStyle w:val="TextoNormal"/>
      </w:pPr>
      <w:r>
        <w:t>Mediante la cuestionada convalidación legislativa, el legislador pretende abordar un supuesto de hecho excepcional. Con la anulación por Sentencia firme del Real Decreto 1419/2005 por vicios relativos al procedimiento de elaboración al cabo de casi cuatro años de aplicación, una serie de obras públicas, expropiaciones y actuaciones de ordenación de los recursos hídricos realizadas durante casi cuatro años pudieron quedar en cierta incertidumbre, al menos a los ojos de algunos ciudadanos, al desaparecer la cobertura jurídica que formalmente les proporcionaba aquella norma, sin que, a efectos de nuestro juicio de constitucionalidad, tengamos que determinar hasta qué punto esa cobertura les era o no imprescindible como presupuesto de validez o podía extraerse también de otros elementos normativos y administrativos, o de qué forma la declaración judicial de nulidad de una disposición administrativa de carácter general afecta a los actos administrativos dictados a su amparo, sean o no firmes.</w:t>
      </w:r>
    </w:p>
    <w:p w:rsidR="00AC56D6" w:rsidRDefault="00AC56D6" w:rsidP="00AC56D6">
      <w:pPr>
        <w:pStyle w:val="TextoNormal"/>
      </w:pPr>
    </w:p>
    <w:p w:rsidR="00AC56D6" w:rsidRDefault="00AC56D6" w:rsidP="00AC56D6">
      <w:pPr>
        <w:pStyle w:val="TextoNormal"/>
      </w:pPr>
      <w:r>
        <w:t xml:space="preserve">A su vez, el propio Real Decreto anulado trae causa de una situación excepcional: la situación de extrema escasez de agua en que se encontraba en el otoño de 2005 el ámbito territorial definido en los planes hidrológicos de las confederaciones hidrográficas del Guadiana, Guadalquivir y Ebro, situación que motivó que, con base en el art. 58 del texto refundido de la Ley de aguas, se establecieran mediante Real Decreto una serie de medidas para paliarla (art. 1 del Real Decreto 1419/2005). Situación excepcional que se mantuvo en los años posteriores y que condujo a prorrogar la vigencia del Real Decreto 1419/2005, </w:t>
      </w:r>
      <w:r>
        <w:lastRenderedPageBreak/>
        <w:t>inicialmente prevista hasta el 30 de noviembre de 2006, hasta el 30 de noviembre de 2009 mediante sucesivos decretos-ley (Reales Decretos-ley 9/2006, 9/2007 y 8/2008).</w:t>
      </w:r>
    </w:p>
    <w:p w:rsidR="00AC56D6" w:rsidRDefault="00AC56D6" w:rsidP="00AC56D6">
      <w:pPr>
        <w:pStyle w:val="TextoNormal"/>
      </w:pPr>
    </w:p>
    <w:p w:rsidR="00AC56D6" w:rsidRDefault="00AC56D6" w:rsidP="00AC56D6">
      <w:pPr>
        <w:pStyle w:val="TextoNormal"/>
      </w:pPr>
      <w:r>
        <w:t>A la vista de las circunstancias del caso interesa destacar varios hechos.</w:t>
      </w:r>
    </w:p>
    <w:p w:rsidR="00AC56D6" w:rsidRDefault="00AC56D6" w:rsidP="00AC56D6">
      <w:pPr>
        <w:pStyle w:val="TextoNormal"/>
      </w:pPr>
    </w:p>
    <w:p w:rsidR="00AC56D6" w:rsidRDefault="00AC56D6" w:rsidP="00AC56D6">
      <w:pPr>
        <w:pStyle w:val="TextoNormal"/>
      </w:pPr>
      <w:r>
        <w:t>En primer lugar, la adopción por el Gobierno de medidas para superar una situación de extrema escasez de agua no fue producto de una autoatribución llevada a cabo por el Real Decreto anulado. Tanto la potestad en sí como su régimen jurídico estaban —y siguen estando— expresamente previstos con carácter general en la norma de rango legal —el art. 58 del texto refundido de la Ley de aguas— al amparo de la cual se dictó el Real Decreto 1419/2005; norma de rango legal que, por lo tanto, era conocida por los ciudadanos afectados. Debe resaltarse que en dicha norma legal se prevé el régimen jurídico de las actuaciones a desarrollar: en lo que aquí importa, se dice que la aprobación de las medidas necesarias “llevará implícita la declaración de utilidad pública de las obras, sondeos y estudios necesarios para desarrollarlos, a efectos de la ocupación temporal y expropiación forzosa de bienes y derechos, así como la de urgente necesidad de la ocupación”. De igual forma, el entonces vigente art. 72 de la Ley del texto refundido de la Ley de contratos de las Administraciones públicas facultaba directamente a seguir la tramitación de emergencia de los contratos administrativos “cuando la Administración tenga que actuar de manera inmediata a causa de acontecimientos catastróficos, de situaciones que supongan grave peligro o de necesidades que afecten a la defensa nacional” (en los mismos términos lo establece ahora el vigente art. 113 del texto refundido de la Ley de contratos del sector público, aprobado por el Real Decreto Legislativo 3/2011, de 14 de noviembre). Además, los sucesivos Decretos-ley que prorrogaron la vigencia temporal del Real Decreto 1419/2005 hasta el 30 de noviembre de 2009 confirmaron la vigencia del supuesto de hecho y las consecuencias de dicha norma reglamentaria, esto es, la situación de sequía y la necesidad de adoptar justamente las medidas excepcionales para corregir los efectos de la sequía en las cuencas hidrográficas del Guadalquivir establecidas en el Real Decreto 1419/2005. Unas obras y actuaciones excepcionales que, sorpresivamente, se vieron privados de la cobertura jurídica que les ofrecía el citado Real Decreto —si ese Real Decreto constituía su único fundamento jurídico es algo, ya se dijo, que no nos corresponde decidir—, pero cuya validez no fue discutida en el proceso contencioso-administrativo que concluyó con la Sentencia del Tribunal Supremo de 24 de noviembre de 2009.</w:t>
      </w:r>
    </w:p>
    <w:p w:rsidR="00AC56D6" w:rsidRDefault="00AC56D6" w:rsidP="00AC56D6">
      <w:pPr>
        <w:pStyle w:val="TextoNormal"/>
      </w:pPr>
    </w:p>
    <w:p w:rsidR="00AC56D6" w:rsidRDefault="00AC56D6" w:rsidP="00AC56D6">
      <w:pPr>
        <w:pStyle w:val="TextoNormal"/>
      </w:pPr>
      <w:r>
        <w:t xml:space="preserve">Pues bien, ese mismo régimen jurídico de las obras y actuaciones realizadas al amparo del Real Decreto 1419/2005 es el que se confirma una vez más, por expresa remisión a las citadas normas legales, en la disposición adicional decimoquinta de la Ley 22/2011. Así pues, en la medida en que reitera el régimen jurídico expresamente previsto en el artículo 58 del texto refundido de la Ley de aguas y en el artículo 72 del texto refundido de la Ley de contratos de las Administraciones públicas, la disposición adicional decimoquinta de la Ley 22/2011 no viene a innovar el ordenamiento, sino que se limita a reiterar unas consecuencias jurídicas que se hallaban establecidas en preceptos legales existentes con anterioridad al comienzo de las obras y actuaciones de emergencia previstas en el Real Decreto. Utilizando los términos que utilizó este Tribunal en la STC 273/2000 (FJ 12), podemos afirmar que “el precepto cuestionado carece de efectos constitutivos, en el sentido de que no introduce retroactivamente una modificación respecto de una situación que ya venía regida por la reiterada norma”. En otras palabras, la norma legal no introduce cambio alguno </w:t>
      </w:r>
      <w:r>
        <w:lastRenderedPageBreak/>
        <w:t>respecto de la ordenación jurídica previa de las obras y actuaciones de ordenación de los recursos hídricos en situaciones de escasez de agua.</w:t>
      </w:r>
    </w:p>
    <w:p w:rsidR="00AC56D6" w:rsidRDefault="00AC56D6" w:rsidP="00AC56D6">
      <w:pPr>
        <w:pStyle w:val="TextoNormal"/>
      </w:pPr>
    </w:p>
    <w:p w:rsidR="00AC56D6" w:rsidRDefault="00AC56D6" w:rsidP="00AC56D6">
      <w:pPr>
        <w:pStyle w:val="TextoNormal"/>
      </w:pPr>
      <w:r>
        <w:t>En segundo lugar, debemos reparar en el tipo de infracción que fundamentó la declaración de nulidad del Real Decreto 1419/2005, ya que resulta de aplicación lo que este Tribunal afirmó en un supuesto que guarda semejanza con el presente: “la anulación de las normas reglamentarias mencionadas tuvo por causa exclusiva la concurrencia de un defecto de procedimiento, sin que en ningún momento las resoluciones judiciales apreciaran la existencia de un vicio de carácter sustantivo” (STC 273/2000, FJ 12).</w:t>
      </w:r>
    </w:p>
    <w:p w:rsidR="00AC56D6" w:rsidRDefault="00AC56D6" w:rsidP="00AC56D6">
      <w:pPr>
        <w:pStyle w:val="TextoNormal"/>
      </w:pPr>
    </w:p>
    <w:p w:rsidR="00AC56D6" w:rsidRDefault="00AC56D6" w:rsidP="00AC56D6">
      <w:pPr>
        <w:pStyle w:val="TextoNormal"/>
      </w:pPr>
      <w:r>
        <w:t>En tercer lugar, mediante la convalidación legislativa explícita que contiene la norma cuestionada no se dicta un nuevo acto que sustituya al declarado nulo por Sentencia firme; esto es, frente a lo que parece sostenerse en el Auto de planteamiento la disposición legal cuestionada no pretende resucitar retroactivamente al Real Decreto declarado nulo, dotándole de fuerza de ley mediante una elevación de su rango normativo. Es notorio que la norma cuestionada “no reproduce casi miméticamente una regulación reglamentaria previamente declarada nula” (como, en cambio, ocurría en el supuesto abordado por la STC 50/2015, lo que determinó entonces que se apreciara la vulneración del art. 24.1 CE) y que no pretende elevar retroactivamente de rango el contenido de las disposiciones del reglamento declarado nulo (como, en cambio, ocurría en el supuesto abordado por la STC 273/2000, en la que, no obstante, se descartó la vulneración del art. 9.3 CE).</w:t>
      </w:r>
    </w:p>
    <w:p w:rsidR="00AC56D6" w:rsidRDefault="00AC56D6" w:rsidP="00AC56D6">
      <w:pPr>
        <w:pStyle w:val="TextoNormal"/>
      </w:pPr>
    </w:p>
    <w:p w:rsidR="00AC56D6" w:rsidRDefault="00AC56D6" w:rsidP="00AC56D6">
      <w:pPr>
        <w:pStyle w:val="TextoNormal"/>
      </w:pPr>
      <w:r>
        <w:t>En definitiva, la convalidación que dispone la disposición adicional decimoquinta no es fruto de una modificación del ordenamiento dirigida a proporcionar encaje jurídico a unas obras y actuaciones administrativas ya realizadas que habían carecido de él, ni consecuencia de una modificación del ordenamiento para articular de modo diferente los intereses que el legislador considere dignos de protección por ley, posibilidad esta que, dentro de los límites constitucionales que el legislador debe siempre respetar, no vendría tampoco vedada de forma absoluta, según nuestra jurisprudencia, por la exigencia constitucional de la efectividad de las Sentencias firmes (STC 312/2006, FJ 4).</w:t>
      </w:r>
    </w:p>
    <w:p w:rsidR="00AC56D6" w:rsidRDefault="00AC56D6" w:rsidP="00AC56D6">
      <w:pPr>
        <w:pStyle w:val="TextoNormal"/>
      </w:pPr>
    </w:p>
    <w:p w:rsidR="00AC56D6" w:rsidRDefault="00AC56D6" w:rsidP="00AC56D6">
      <w:pPr>
        <w:pStyle w:val="TextoNormal"/>
      </w:pPr>
      <w:r w:rsidRPr="00AC56D6">
        <w:rPr>
          <w:rStyle w:val="NumeroAFNegritaCaracter"/>
        </w:rPr>
        <w:t>6</w:t>
      </w:r>
      <w:r>
        <w:t>. Sentado lo anterior estamos en condiciones de indagar si la norma convalidante cuestionada tiene una justificación objetiva y proporcionada a la excepcionalidad del supuesto de hecho que se quiere atender y que ha justificado su aprobación.</w:t>
      </w:r>
    </w:p>
    <w:p w:rsidR="00AC56D6" w:rsidRDefault="00AC56D6" w:rsidP="00AC56D6">
      <w:pPr>
        <w:pStyle w:val="TextoNormal"/>
      </w:pPr>
    </w:p>
    <w:p w:rsidR="00AC56D6" w:rsidRDefault="00AC56D6" w:rsidP="00AC56D6">
      <w:pPr>
        <w:pStyle w:val="TextoNormal"/>
      </w:pPr>
      <w:r>
        <w:t>Aunque la exposición de motivos de la Ley 22/2011 no incluye una justificación específica de la disposición adicional decimoquinta, debemos tener presente que la regla aquí enjuiciada fue incorporada al texto del entonces proyecto de ley mediante una enmienda en el Senado —aceptada después por el Congreso de los Diputados— que se formalizó, como exige el artículo 107.2 del Reglamento del Senado, con la pertinente “justificación explicativa”, motivación esta en la que se hizo pormenorizada referencia, para dar razón de la convalidación propuesta, a las inversiones ya realizadas, al interés general en el mantenimiento de unas obras casi del todo ejecutadas y a la garantía del abastecimiento de agua potable a las poblaciones afectadas por la sequía.</w:t>
      </w:r>
    </w:p>
    <w:p w:rsidR="00AC56D6" w:rsidRDefault="00AC56D6" w:rsidP="00AC56D6">
      <w:pPr>
        <w:pStyle w:val="TextoNormal"/>
      </w:pPr>
    </w:p>
    <w:p w:rsidR="00AC56D6" w:rsidRDefault="00AC56D6" w:rsidP="00AC56D6">
      <w:pPr>
        <w:pStyle w:val="TextoNormal"/>
      </w:pPr>
      <w:r>
        <w:t xml:space="preserve">En la STC 273/2000 (FJ 12) este Tribunal consideró que la mejora de la calidad ambiental de las aguas constituía un interés de relevancia constitucional amparado por el art. 45 CE que justificaba la intervención del legislador autonómico para elevar retroactivamente de </w:t>
      </w:r>
      <w:r>
        <w:lastRenderedPageBreak/>
        <w:t xml:space="preserve">rango unas disposiciones reglamentarias que contenían unas normas relativas al canon de saneamiento. </w:t>
      </w:r>
      <w:r w:rsidRPr="00AC56D6">
        <w:rPr>
          <w:i/>
        </w:rPr>
        <w:t>A fortiori</w:t>
      </w:r>
      <w:r>
        <w:t>, resulta indudable en el presente caso la concurrencia de claras exigencias de interés público que fundamenten la medida convalidatoria adoptada, pues el legislador estatal ha tratado de garantizar la plena eficacia de unas obras y actuaciones que se dirigían a la efectiva consecución de intereses de no menor relevancia constitucional y que pueden conectarse con bienes constitucionalmente protegidos en los arts. 15, 31.2, 40, 43 y 45 CE, como son la cobertura de las necesidades de agua de la población, para satisfacer tanto sus necesidades más básicas como las derivadas de la actividad económica, ante la constatación de las “extremadamente bajas reservas hídricas existentes en el ámbito territorial de las citadas Confederaciones Hidrográficas” (preámbulo del Real Decreto 1419/2005), y el mantenimiento de las inversiones efectuadas en las diversas obras e infraestructuras puestas en marcha e incluso finalizadas. Los mencionados intereses de relevancia constitucional podrían quedar desamparados durante el periodo que media entre la fecha de entrada en vigor del Real Decreto declarado nulo y el momento en que se publica la disposición adicional decimoquinta de la Ley 22/2011. Así pues, no puede reprocharse una falta de justificación objetiva a la voluntad del legislador de que las diversas obras y actuaciones de ordenación de los recursos hídricos realizadas durante un periodo de cuatro años en el ámbito territorial de tres confederaciones hidrográficas adquirieran plena validez y eficacia, procurando arbitrar, dentro del margen de discrecionalidad propio del legislador, “una solución adecuada, a una situación singular” (STC 166/1986, de 19 de diciembre, FJ 11).</w:t>
      </w:r>
    </w:p>
    <w:p w:rsidR="00AC56D6" w:rsidRDefault="00AC56D6" w:rsidP="00AC56D6">
      <w:pPr>
        <w:pStyle w:val="TextoNormal"/>
      </w:pPr>
    </w:p>
    <w:p w:rsidR="00AC56D6" w:rsidRDefault="00AC56D6" w:rsidP="00AC56D6">
      <w:pPr>
        <w:pStyle w:val="TextoNormal"/>
      </w:pPr>
      <w:r>
        <w:t>Y por lo que respecta a la proporcionalidad de la medida adoptada, conviene recordar el significado que hemos atribuido a este elemento del canon de constitucionalidad: “la adopción de Leyes singulares debe estar circunscrita a aquellos casos excepcionales que, por su extraordinaria trascendencia y complejidad, no son remediables por los instrumentos normales de que dispone la Administración, constreñida a actuar con sujeción al principio de legalidad, ni por los instrumentos normativos ordinarios, haciéndose por ello necesario que el legislador intervenga singularmente, al objeto exclusivo de arbitrar solución adecuada, a una situación singular” [STC 166/1986, de 19 de diciembre, FJ 11 b), doctrina reiterada en las SSTC 203/2013, FJ 8, y 50/2015, FJ 7].</w:t>
      </w:r>
    </w:p>
    <w:p w:rsidR="00AC56D6" w:rsidRDefault="00AC56D6" w:rsidP="00AC56D6">
      <w:pPr>
        <w:pStyle w:val="TextoNormal"/>
      </w:pPr>
    </w:p>
    <w:p w:rsidR="00AC56D6" w:rsidRDefault="00AC56D6" w:rsidP="00AC56D6">
      <w:pPr>
        <w:pStyle w:val="TextoNormal"/>
      </w:pPr>
      <w:r>
        <w:t>En el presente caso este Tribunal no aprecia la existencia de medidas administrativas igualmente idóneas para remediar la pérdida sobrevenida de la cobertura jurídica que podría aquejar a las obras y actuaciones realizadas al amparo del Real Decreto anulado. La tramitación de un nuevo procedimiento de elaboración de disposiciones generales con vistas a la adopción de un nuevo reglamento que sustituyera retroactivamente al declarado nulo podría considerarse jurídicamente inviable debido al contenido de algunas de las medidas allí establecidas; e incluso, en el caso de que ello se considerara jurídicamente viable, no resultaba una solución por sí misma adecuada a la situación singular existente, pues el problema que el legislador quiso remediar, una vez finalizada la situación de sequía, no era la desaparición del marco jurídico dispuesto en el Real Decreto 1419/2005, sino la incertidumbre jurídica que podía pender sobre la validez de la multitud de obras y actuaciones realizadas a su amparo. Por ello, no puede decirse que la convalidación que lleva a cabo la disposición adicional decimoquinta —convalidación de actos dictados en aplicación de un reglamento declarado nulo de pleno derecho— sea, en ningún sentido de la palabra, cosa típica o normal de la función administrativa, ni, en suma, un ejercicio arbitrario de la potestad legislativa.</w:t>
      </w:r>
    </w:p>
    <w:p w:rsidR="00AC56D6" w:rsidRDefault="00AC56D6" w:rsidP="00AC56D6">
      <w:pPr>
        <w:pStyle w:val="TextoNormal"/>
      </w:pPr>
    </w:p>
    <w:p w:rsidR="00AC56D6" w:rsidRDefault="00AC56D6" w:rsidP="00AC56D6">
      <w:pPr>
        <w:pStyle w:val="TextoNormal"/>
      </w:pPr>
      <w:r>
        <w:lastRenderedPageBreak/>
        <w:t>Dada la trascendencia de las obras y actuaciones realizadas para la satisfacción de intereses de relevancia constitucional y la incertidumbre que podía aquejar a la validez de dichas obras y actuaciones tras la anulación del Real Decreto 1419/2005, por una parte, y la inexistencia de remedios alternativos para conseguir con igual eficacia la preservación de aquellas obras y actuaciones, por otra, se puede concluir que la utilización de la ley para su convalidación era una medida razonable y proporcionada a la situación excepcional que se trataba de remediar con su aprobación.</w:t>
      </w:r>
    </w:p>
    <w:p w:rsidR="00AC56D6" w:rsidRDefault="00AC56D6" w:rsidP="00AC56D6">
      <w:pPr>
        <w:pStyle w:val="TextoNormal"/>
      </w:pPr>
    </w:p>
    <w:p w:rsidR="00AC56D6" w:rsidRDefault="00AC56D6" w:rsidP="00AC56D6">
      <w:pPr>
        <w:pStyle w:val="TextoNormal"/>
      </w:pPr>
      <w:r w:rsidRPr="00AC56D6">
        <w:rPr>
          <w:rStyle w:val="NumeroAFNegritaCaracter"/>
        </w:rPr>
        <w:t>7</w:t>
      </w:r>
      <w:r>
        <w:t xml:space="preserve">. Se dice también en el Auto de planteamiento de la cuestión que la enmienda que dio lugar a la disposición ahora enjuiciada “no vino acompañada de ninguna clase de documentación o información técnica que pudiera salvar de algún modo la total ausencia de los imprescindibles informes técnicos que debieron elaborarse en el procedimiento reglamentario” que dio lugar al anulado Real Decreto 1419/2005. Esta observación no es, en cuanto tal, discutible en este cauce, pero si hubiera de entenderse dirigida —como parece— a fundamentar, desde otro enfoque, la arbitrariedad de la disposición cuestionada no hay sino que señalar que a semejante conclusión no cabe en modo alguno llegar a partir de aquella constatación. Las Cortes Generales no han incurrido en arbitrariedad al convertir en disposición de ley la enmienda senatorial que queda dicha sólo porque la misma se presentara, en su momento, sin unas informaciones o documentaciones de orden técnico que de ninguna manera el Ordenamiento —ni la Constitución ni el Reglamento del Senado— exigen para su presentación y tramitación, siendo del todo evidente, por lo demás, que la norma constitucional que impone que los proyectos de ley aprobados en Consejo de Ministros sean sometidos al Congreso de los Diputados con los “antecedentes necesarios” para que la Cámara se pronuncie sobre ellos (art. 88) nada dice —frente a lo que se viene a afirmar en el Auto de planteamiento— sobre las condiciones de presentación de enmiendas en las Cámaras parlamentarias. Este Tribunal ya ha tenido ocasión de advertir, al respecto, que no cabe proyectar sobre la facultad de enmienda parlamentaria exigencias y requisitos exigidos sólo por el Ordenamiento para los proyectos de ley del Gobierno [SSTC 36/2013, de 14 de febrero, FJ 4, y 111/2013, de 9 de mayo, FJ 2 b), relativas ambas a la intervención, mediante informe, del Consejo de Estado]. Las disposiciones legales que traen causa, como aquí fue el caso, de enmiendas parlamentarias de adición no resultan inconstitucionales, en suma, por el mero hecho de que se hayan adoptado por las Cámaras sin otros requisitos documentales que los exigidos por el bloque de la constitucionalidad, ello sin perjuicio —ya en un orden de cosas muy distinto y ajeno al caso actual— de lo que pudiera venir exigido por normas que son condición no de la validez constitucional, sino de la aplicabilidad, de los preceptos legales [por todas, SSTC 145/2012, de 2 de julio, FJ 2, y 215/2014, ya citada, FJ 3 a)]. Entiéndase esta salvedad por referencia a la cita que el Auto de planteamiento hace, sin ulterior glosa o desarrollo específicos, de la Sentencia de 18 de octubre de 2011, del Tribunal de Justicia de la Unión Europea, en el asunto </w:t>
      </w:r>
      <w:r w:rsidRPr="00AC56D6">
        <w:rPr>
          <w:i/>
        </w:rPr>
        <w:t>Boxus c. Région wallone</w:t>
      </w:r>
      <w:r>
        <w:t>, resolución a la que, por lo demás, nos hemos referido en la STC 129/2013, de 4 de junio, FJ 7.</w:t>
      </w:r>
    </w:p>
    <w:p w:rsidR="00AC56D6" w:rsidRDefault="00AC56D6" w:rsidP="00AC56D6">
      <w:pPr>
        <w:pStyle w:val="TextoNormal"/>
      </w:pPr>
    </w:p>
    <w:p w:rsidR="00AC56D6" w:rsidRDefault="00AC56D6" w:rsidP="00AC56D6">
      <w:pPr>
        <w:pStyle w:val="TextoNormal"/>
      </w:pPr>
      <w:r>
        <w:t>De lo hasta aquí examinado no cabe, en consecuencia, concluir que la disposición cuestionada haya incurrido en la arbitrariedad proscrita por el art. 9.3 CE.</w:t>
      </w:r>
    </w:p>
    <w:p w:rsidR="00AC56D6" w:rsidRDefault="00AC56D6" w:rsidP="00AC56D6">
      <w:pPr>
        <w:pStyle w:val="TextoNormal"/>
      </w:pPr>
    </w:p>
    <w:p w:rsidR="00AC56D6" w:rsidRDefault="00AC56D6" w:rsidP="00AC56D6">
      <w:pPr>
        <w:pStyle w:val="TextoNormal"/>
      </w:pPr>
      <w:r w:rsidRPr="00AC56D6">
        <w:rPr>
          <w:rStyle w:val="NumeroAFNegritaCaracter"/>
        </w:rPr>
        <w:t>8</w:t>
      </w:r>
      <w:r>
        <w:t xml:space="preserve">. Con lo anterior no acaban, sin embargo, las consideraciones críticas del Auto de planteamiento sobre el procedimiento parlamentario al cabo del que fue aprobada la regla de cuya validez se duda. Observa el Tribunal Supremo, en efecto, que la enmienda que terminó por dar lugar a la disposición adicional decimoquinta no guardaba relación alguna, por su </w:t>
      </w:r>
      <w:r>
        <w:lastRenderedPageBreak/>
        <w:t>objeto, con el contenido y finalidad del proyecto del ley así modificado, heterogeneidad obviamente predicable de la disposición finalmente aprobada respecto al cuerpo legal en que hoy se inscribe. La Ley 22/2011 se intitula, vale recordar, “de residuos y suelos contaminados” y el objeto de su ordenación sería del todo ajeno, por lo tanto, al contenido dispositivo del precepto cuestionado.</w:t>
      </w:r>
    </w:p>
    <w:p w:rsidR="00AC56D6" w:rsidRDefault="00AC56D6" w:rsidP="00AC56D6">
      <w:pPr>
        <w:pStyle w:val="TextoNormal"/>
      </w:pPr>
    </w:p>
    <w:p w:rsidR="00AC56D6" w:rsidRDefault="00AC56D6" w:rsidP="00AC56D6">
      <w:pPr>
        <w:pStyle w:val="TextoNormal"/>
      </w:pPr>
      <w:r>
        <w:t xml:space="preserve">Es claro que lo que así se señala en el Auto de planteamiento ha de considerarse no como un nuevo y específico motivo de inconstitucionalidad (distinto a los expuestos con cita de los artículos 9.3, 24.1, 117.3 y 33.3 CE), sino, más bien, como argumento añadido por el Tribunal </w:t>
      </w:r>
      <w:r w:rsidRPr="00AC56D6">
        <w:rPr>
          <w:i/>
        </w:rPr>
        <w:t>a quo</w:t>
      </w:r>
      <w:r>
        <w:t xml:space="preserve"> para fundamentar la invalidez que aprecia en el precepto legal, argumento adicional que parece indudable se ha de entender en conexión, estando a los términos del propio Auto, con la supuesta infracción por la disposición cuestionada del artículo 24.1 CE, en relación con el artículo 117.3 de la misma norma fundamental. La valoración jurídica del contenido dispar o heterogéneo que así se dice incorporado por la enmienda del Senado al proyecto de ley se habría de poner en relación objetiva, por ello, con las censuras o críticas que el Auto de planteamiento expone en punto a la que llama introducción “subrepticia” o “de soslayo”, en la tramitación parlamentaria, de lo que terminaría siendo una disposición de ley que, en criterio del juzgador </w:t>
      </w:r>
      <w:r w:rsidRPr="00AC56D6">
        <w:rPr>
          <w:i/>
        </w:rPr>
        <w:t>a quo</w:t>
      </w:r>
      <w:r>
        <w:t xml:space="preserve">, infringiría lo dispuesto en los ya citados arts. 24.1 y 117.3 CE. Al poner de relieve esta que llama “apresurada actuación” parlamentaria, el Tribunal Supremo, así lo entendemos, viene a subrayar, implícitamente, lo que de imprevisible habría tenido esta convalidación legislativa para quienes ante él pidieron la ejecución de la Sentencia anulatoria del Real Decreto 1419/2005, imprevisibilidad que —cabe colegir— abonaría la conculcación del derecho a la ejecución de dicha resolución judicial por el propio órgano que la dictó. Que tal es la comprensión más correcta de lo que en este extremo expone el Auto queda corroborado, en fin, por la circunstancia de que el propio Tribunal Europeo de Derechos Humanos ha tenido en cuenta en algunos de sus pronunciamientos relativos al artículo 6 del Convenio Europeo (“derecho a un proceso equitativo”), junto a otros elementos de juicio, el hecho de que la disposición legal que ante él se tachara de transgresora de tal derecho, por interferencia del legislativo en la jurisdicción, se hubiera adoptado a raíz de una enmienda parlamentaria de un proyecto de ley sin relación con ella y en contra, por tanto, de lo que para el justiciable resultaría previsible (SSTEDH de 22 de octubre de 1997, </w:t>
      </w:r>
      <w:r w:rsidRPr="00AC56D6">
        <w:rPr>
          <w:i/>
        </w:rPr>
        <w:t>Papageorgiou c. Grecia</w:t>
      </w:r>
      <w:r>
        <w:t xml:space="preserve">, § 38; y de 28 de octubre de 1999, </w:t>
      </w:r>
      <w:r w:rsidRPr="00AC56D6">
        <w:rPr>
          <w:i/>
        </w:rPr>
        <w:t>Zielinski y Pradal &amp; González y otros c. Francia</w:t>
      </w:r>
      <w:r>
        <w:t>, §§ 58 y 59).</w:t>
      </w:r>
    </w:p>
    <w:p w:rsidR="00AC56D6" w:rsidRDefault="00AC56D6" w:rsidP="00AC56D6">
      <w:pPr>
        <w:pStyle w:val="TextoNormal"/>
      </w:pPr>
    </w:p>
    <w:p w:rsidR="00AC56D6" w:rsidRDefault="00AC56D6" w:rsidP="00AC56D6">
      <w:pPr>
        <w:pStyle w:val="TextoNormal"/>
      </w:pPr>
      <w:r>
        <w:t xml:space="preserve">Así entendido en este punto el Auto de planteamiento, no es preciso ahora, sin embargo, entrar a determinar si la enmienda que dio origen a la disposición cuestionada resultó enteramente ajena, como dice el Tribunal </w:t>
      </w:r>
      <w:r w:rsidRPr="00AC56D6">
        <w:rPr>
          <w:i/>
        </w:rPr>
        <w:t>a quo</w:t>
      </w:r>
      <w:r>
        <w:t>, al objeto del proyecto de ley modificado de este modo. Incluso si esta apreciación fuera de compartir, en efecto, no cabría derivar sin más de ella la consecuencia de que, por tal posible heterogeneidad, los artículos 24.1 y 117.3 CE resultaron ya vulnerados, pues ni tales preceptos constitucionales prescriben cosa alguna, en sí mismos, sobre la tramitación de las leyes que los desarrollen o que puedan afectar al ámbito por ellos preservado ni aquella heterogeneidad, de constatarse, supondría otra cosa, en lo que hace ahora al caso, que un hipotético criterio —entre otros— para ponderar, en su momento, la incidencia del precepto cuestionado sobre lo que queda garantizado en las citadas normas constitucionales. Condición para tal ponderación es, desde luego, que la disposición de cuya validez se duda haya incidido efectivamente en dichos ámbitos garantizados por la Constitución, algo que examinaremos en fundamentos sucesivos.</w:t>
      </w:r>
    </w:p>
    <w:p w:rsidR="00AC56D6" w:rsidRDefault="00AC56D6" w:rsidP="00AC56D6">
      <w:pPr>
        <w:pStyle w:val="TextoNormal"/>
      </w:pPr>
    </w:p>
    <w:p w:rsidR="00AC56D6" w:rsidRDefault="00AC56D6" w:rsidP="00AC56D6">
      <w:pPr>
        <w:pStyle w:val="TextoNormal"/>
      </w:pPr>
      <w:r>
        <w:lastRenderedPageBreak/>
        <w:t xml:space="preserve">Queda decir, por último en cuanto a este extremo, que tampoco procede hacer ahora valoración constitucional alguna acerca de si la enmienda que así se dice enteramente ajena al proyecto de ley tuvo alguna incidencia, al tramitarse y aprobarse, sobre un aspecto de la regularidad del procedimiento legislativo que tendría que ver con las facultades de los parlamentarios —diputados y senadores— </w:t>
      </w:r>
      <w:r w:rsidRPr="00AC56D6">
        <w:rPr>
          <w:i/>
        </w:rPr>
        <w:t>ex</w:t>
      </w:r>
      <w:r>
        <w:t xml:space="preserve"> art. 23 CE, aspecto éste al que se ha referido en sus alegaciones, para excluir tal afectación, el Abogado del Estado. La más reciente jurisprudencia constitucional tiene establecido, cierto es, que el respeto en el procedimiento legislativo de aquellas facultades —de las minorías, en particular— y la preservación, incluso, de las atribuciones en orden a la iniciativa legislativa (art. 87 CE) exigen que las enmiendas parlamentarias guarden una conexión mínima de homogeneidad con el texto cuya modificación pretenden [SSTC 119/2011, de 5 de julio, FJ 9, 136/2011, de 13 de septiembre, FJ 8, 204/2011, de 15 de diciembre, FJ 5, 209/2012, de 14 de noviembre, FJ 4 b) y, entre otras, 132/2013, de 5 de junio, FJ 3]. Si así no fuera, en efecto, y sin perjuicio de otras posibles infracciones constitucionales, podrían constreñirse los derechos de participación de los representantes en el procedimiento legislativo, lo que depararía, en el caso extremo de una eventual alteración sustancial del proceso de formación de la voluntad en el seno de las Cámaras, el consiguiente vicio </w:t>
      </w:r>
      <w:r w:rsidRPr="00AC56D6">
        <w:rPr>
          <w:i/>
        </w:rPr>
        <w:t>in procedendo</w:t>
      </w:r>
      <w:r>
        <w:t xml:space="preserve"> del precepto legal así adoptado.</w:t>
      </w:r>
    </w:p>
    <w:p w:rsidR="00AC56D6" w:rsidRDefault="00AC56D6" w:rsidP="00AC56D6">
      <w:pPr>
        <w:pStyle w:val="TextoNormal"/>
      </w:pPr>
    </w:p>
    <w:p w:rsidR="00AC56D6" w:rsidRDefault="00AC56D6" w:rsidP="00AC56D6">
      <w:pPr>
        <w:pStyle w:val="TextoNormal"/>
      </w:pPr>
      <w:r>
        <w:t xml:space="preserve">Con todo, tal hipotética vulneración constitucional no es, como decimos, de procedente enjuiciamiento ahora y ello en atención a un doble orden de consideraciones. El Auto de planteamiento, en primer lugar, no hace referencia ni alusión alguna a tales facultades y atribuciones comprometidas en el procedimiento legislativo y aun siendo claro que la inconstitucionalidad puede fundarse, también en esta vía procesal, en la infracción de cualquier precepto constitucional, haya sido o no invocado en el curso del proceso (art. 39.2 LOTC y SSTC 113/1989, de 22 de junio, FJ 2, y 179/2006, de 13 de junio, FJ 2, por todas), no lo es menos que este Tribunal debe cuidarse, al resolver cuestiones promovidas por juzgados o tribunales, de no desnaturalizar, en general, la conexión entre el proceso constitucional y el judicial [SSTC 92/2013, antes citada, FJ 3, y 82/2014, de 28 de mayo, FJ 2 b)], conexión que se pondría ahora en riesgo si, con innovación patente de lo expuesto en el Auto de planteamiento, introdujéramos aquí un asunto —el del respeto de las atribuciones y facultades que están en juego en el procedimiento legislativo— enteramente ajeno a lo discutido en el proceso </w:t>
      </w:r>
      <w:r w:rsidRPr="00AC56D6">
        <w:rPr>
          <w:i/>
        </w:rPr>
        <w:t>a quo</w:t>
      </w:r>
      <w:r>
        <w:t xml:space="preserve">. Por lo demás —y esta es la segunda consideración antes apuntada—, no consta en la documentación parlamentaria relativa al procedimiento de adopción de la disposición cuestionada que la presentación y votación de la enmienda de la que la misma trae causa suscitara entonces protesta de tipo alguno o llamada a la observancia del Reglamento (arts. 72.1 del Reglamento del Congreso de los Diputados y 90.1 del Reglamento del Senado) con fundamento en la falta de homogeneidad entre la enmienda y el proyecto de ley en tramitación. La enmienda se presentó y votó sin reparos de este género y se compadecería mal con el principio de seguridad jurídica (art. 9.3 CE), así como con el amplio margen de apreciación del que disponen en este ámbito los órganos de gobierno de las Cámaras (STC 204/2011, FJ 4, por todas), el que se pusiera en entredicho la constitucionalidad procedimental de la ley por una hipotética merma de las facultades de los representantes (art. 23.2 CE) o de las atribuciones </w:t>
      </w:r>
      <w:r w:rsidRPr="00AC56D6">
        <w:rPr>
          <w:i/>
        </w:rPr>
        <w:t>ex</w:t>
      </w:r>
      <w:r>
        <w:t xml:space="preserve"> artículo 87 CE que no fueron objeto de protesta en su momento. Procede, en suma, trasladar aquí lo que respecto de otras controversias —ciertamente distintas— sobre la regularidad de los procedimientos parlamentarios hemos advertido en casos anteriores en punto a supuestas infracciones cometidas en el </w:t>
      </w:r>
      <w:r w:rsidRPr="00AC56D6">
        <w:rPr>
          <w:i/>
        </w:rPr>
        <w:t>iter</w:t>
      </w:r>
      <w:r>
        <w:t xml:space="preserve"> legislativo, pero no denunciadas ante la propia Cámara [SSTC 136/2011, FJ 10.e), 176/2011, de 8 de noviembre, FJ 4, 209/2012, FJ 4 c), y 120/2014, de 17 de julio, FJ 2 e)]. Cuando las </w:t>
      </w:r>
      <w:r>
        <w:lastRenderedPageBreak/>
        <w:t>decisiones parlamentarias no están, como ahora es el caso, enteramente regladas por la Constitución o por los Reglamentos de las Cámaras, este Tribunal no debe sobreponer su juicio al de estas últimas para depurar supuestas irregularidades de procedimiento que no levantaron, en su momento, protesta o queja alguna en sede parlamentaria, a no ser que nuestro control viniera exigido por imperiosas razones jurídico-constitucionales, que aquí no concurren.</w:t>
      </w:r>
    </w:p>
    <w:p w:rsidR="00AC56D6" w:rsidRDefault="00AC56D6" w:rsidP="00AC56D6">
      <w:pPr>
        <w:pStyle w:val="TextoNormal"/>
      </w:pPr>
    </w:p>
    <w:p w:rsidR="00AC56D6" w:rsidRDefault="00AC56D6" w:rsidP="00AC56D6">
      <w:pPr>
        <w:pStyle w:val="TextoNormal"/>
      </w:pPr>
      <w:r w:rsidRPr="00AC56D6">
        <w:rPr>
          <w:rStyle w:val="NumeroAFNegritaCaracter"/>
        </w:rPr>
        <w:t>9</w:t>
      </w:r>
      <w:r>
        <w:t xml:space="preserve">. El núcleo de esta cuestión de inconstitucionalidad se encuentra, como es claro, en la posible infracción del artículo 24.1 de la Constitución, en su vertiente de derecho a la ejecución de las resoluciones judiciales firmes, por la disposición adicional decimoquinta de la Ley 22/2011, vulneración que el juzgador </w:t>
      </w:r>
      <w:r w:rsidRPr="00AC56D6">
        <w:rPr>
          <w:i/>
        </w:rPr>
        <w:t>a quo</w:t>
      </w:r>
      <w:r>
        <w:t xml:space="preserve"> pone en relación con la exclusiva potestad que la Constitución le atribuye para hacer ejecutar lo juzgado (art. 117.3 CE) en el proceso al que puso término su Sentencia de 24 de noviembre de 2009. Tales infracciones de la Constitución, según el Tribunal Supremo, se habrían efectivamente verificado, pues —a decir del Auto de planteamiento— la convalidación operada por la norma legal que se cuestiona vendría a “neutralizar y dejar sin efecto” el fallo de aquella Sentencia, con la frustración consiguiente del derecho </w:t>
      </w:r>
      <w:r w:rsidRPr="00AC56D6">
        <w:rPr>
          <w:i/>
        </w:rPr>
        <w:t>ex</w:t>
      </w:r>
      <w:r>
        <w:t xml:space="preserve"> artículo 24.1 CE a que la misma se ejecute y con la ilegítima exclusión, asimismo, de toda fiscalización judicial del actuar administrativo en el incidente de ejecución forzosa aún pendiente.</w:t>
      </w:r>
    </w:p>
    <w:p w:rsidR="00AC56D6" w:rsidRDefault="00AC56D6" w:rsidP="00AC56D6">
      <w:pPr>
        <w:pStyle w:val="TextoNormal"/>
      </w:pPr>
    </w:p>
    <w:p w:rsidR="00AC56D6" w:rsidRDefault="00AC56D6" w:rsidP="00AC56D6">
      <w:pPr>
        <w:pStyle w:val="TextoNormal"/>
      </w:pPr>
      <w:r>
        <w:t>Esta es la duda de constitucionalidad que hemos de considerar y resolver en lo que sigue, no sin antes dejar hechas dos puntualizaciones iniciales para el mejor entendimiento de lo que se dirá:</w:t>
      </w:r>
    </w:p>
    <w:p w:rsidR="00AC56D6" w:rsidRDefault="00AC56D6" w:rsidP="00AC56D6">
      <w:pPr>
        <w:pStyle w:val="TextoNormal"/>
      </w:pPr>
    </w:p>
    <w:p w:rsidR="00AC56D6" w:rsidRDefault="00AC56D6" w:rsidP="00AC56D6">
      <w:pPr>
        <w:pStyle w:val="TextoNormal"/>
      </w:pPr>
      <w:r>
        <w:t>a) La admisión y la resolución de las cuestiones de inconstitucionalidad requieren, como es conocido, la utilización de parámetros distintos, pues si fuera de otra manera no tendría sentido diferenciar ambas fases del proceso y toda admisión supondría un fallo anticipado. Como veremos en lo que sigue, el canon aplicable a la alegada vulneración del art. 24.1, en relación con el art. 117.3, ambos de la Constitución, atiende estrictamente a la existencia o no de una contradicción entre la norma cuestionada y el pronunciamiento contenido en el fallo de una resolución judicial firme, mientras que el juicio de relevancia exigido para la admisión de la presente cuestión (arts. 163 CE y 35 LOTC) atiende a la relevancia del pronunciamiento que en su día adopte este Tribunal para la resolución que debe adoptar el órgano judicial en el procedimiento de ejecución de la Sentencia que declaró nulo el Real Decreto 1419/2005. Por tanto, la admisión de la presente cuestión por lo que se refiere a la vulneración del art. 24.1 CE, en conexión con el art. 117.3 CE, obedece única y exclusivamente a que la argumentación desplegada por el órgano judicial que la ha promovido supera el juicio de relevancia y no carece de consistencia de manera notoria: sólo implica la aceptación, a efectos estrictamente procesales, del razonamiento del órgano judicial promotor acerca de la relevancia de la norma cuestionada para resolver el incidente de ejecución que ha de resolver. Ello, claro está, no supone que, una vez que se proceda a examinar el fondo de la cuestión, con arreglo al específico parámetro de control aplicable a la vulneración alegada, este Tribunal deba concluir necesariamente que dicha tacha de inconstitucionalidad está provista del sustento suficiente para declarar la invalidez de la norma cuestionada.</w:t>
      </w:r>
    </w:p>
    <w:p w:rsidR="00AC56D6" w:rsidRDefault="00AC56D6" w:rsidP="00AC56D6">
      <w:pPr>
        <w:pStyle w:val="TextoNormal"/>
      </w:pPr>
    </w:p>
    <w:p w:rsidR="00AC56D6" w:rsidRDefault="00AC56D6" w:rsidP="00AC56D6">
      <w:pPr>
        <w:pStyle w:val="TextoNormal"/>
      </w:pPr>
      <w:r>
        <w:t xml:space="preserve">b) El Auto de planteamiento cita como precepto constitucional quizá infringido el artículo 24.1 CE, en cuanto integra el derecho a la ejecución de las resoluciones judiciales firmes, y añade que tal posible vulneración sería de apreciar “en relación” con lo dispuesto </w:t>
      </w:r>
      <w:r>
        <w:lastRenderedPageBreak/>
        <w:t xml:space="preserve">en el artículo 117.3 de la misma norma fundamental, que atribuye a los órganos judiciales la potestad exclusiva para juzgar y —en lo que ahora importa— hacer ejecutar lo juzgado. La conexión entre normas constitucionales que así establece el juzgador </w:t>
      </w:r>
      <w:r w:rsidRPr="00AC56D6">
        <w:rPr>
          <w:i/>
        </w:rPr>
        <w:t>a quo</w:t>
      </w:r>
      <w:r>
        <w:t xml:space="preserve"> es, en su consideración abstracta o general, sin la menor duda correcta, pues al menos desde la STC 4/1988, de 21 de enero, hemos destacado, con unas palabras u otras, que los referidos preceptos constitucionales “vienen a significar una misma cosa, merecedora, sin embargo, de calificaciones diversas como principio y como derecho constitucional” (FJ 5 de la resolución citada). La unidad de sentido que así es de ver entre los artículos 24.1 y 117.3 CE no puede llevar a desconocer, sin embargo, que en un supuesto, como el actual, en el que está en curso un concreto incidente de ejecución de Sentencia que se dice interferido ilegítimamente por el legislador, es el derecho fundamental a la ejecución de las resoluciones judiciales firmes el que se debe tomar como exclusiva referencia o medida de validez para enjuiciar la regla cuestionada, ello sin perjuicio de que al servicio de la plenitud y efectividad de tal derecho esté siempre —también, por tanto, en este caso— la insuprimible garantía en que consiste la exclusividad judicial para hacer ejecutar lo juzgado.</w:t>
      </w:r>
    </w:p>
    <w:p w:rsidR="00AC56D6" w:rsidRDefault="00AC56D6" w:rsidP="00AC56D6">
      <w:pPr>
        <w:pStyle w:val="TextoNormal"/>
      </w:pPr>
    </w:p>
    <w:p w:rsidR="00AC56D6" w:rsidRDefault="00AC56D6" w:rsidP="00AC56D6">
      <w:pPr>
        <w:pStyle w:val="TextoNormal"/>
      </w:pPr>
      <w:r w:rsidRPr="00AC56D6">
        <w:rPr>
          <w:rStyle w:val="NumeroAFNegritaCaracter"/>
        </w:rPr>
        <w:t>10</w:t>
      </w:r>
      <w:r>
        <w:t>. En el acervo de nuestra jurisprudencia está, desde el principio, que el derecho a la tutela judicial efectiva (art. 24.1 CE) integra, como uno de sus elementos naturales y más propios, la garantía de que las resoluciones judiciales firmes sean ejecutadas “en sus propios términos” [por todas, SSTC 109/1984, de 26 de noviembre, FJ 4 E), y 211/2013, de 16 de diciembre, FFJJ 1 y 4], pues, si así no fuera, tales decisiones y los derechos que en ellas se reconocen quedarían en meras declaraciones de intenciones (por todas, SSTC 139/2005, de 26 de mayo, FJ 3, y 10/2013, de 28 de enero, FJ 2), con daño intolerable para quienes hubieran obtenido aquéllas y, desde luego, para el mismo Estado de Derecho [art. 1.1 CE y STC 166/1998, de 15 de julio, FJ 5 A)]. Este derecho a la ejecución tiene un carácter objetivo, en cuanto se refiere al cumplimiento de lo establecido y previsto en el fallo, sin alteración (STC 219/1994, de 18 de julio, FJ 3), y no está exento desde luego, como cualquier otro de los que tienen la condición de fundamentales, de modulaciones y de límites. No hemos dejado así de puntualizar, por ejemplo, la singularidad, a este respecto, de las Sentencias meramente declarativas [SSTC 109/1984, FJ 2 a), y 92/1999, de 26 de mayo, FJ 4] o de advertir —ya en otro orden de cosas— que los órganos judiciales deberán ponderar la totalidad de los intereses en conflicto a la hora de hacer ejecutar sus resoluciones, sin que quepa descartar que tal ponderación pueda llevar al juzgador a acomodar el ritmo de la ejecución a las concretas circunstancias de cada caso (SSTC 92/2013, de 22 de abril, FJ 6, y 82/2014, de 28 de mayo, FJ 3). Por lo que a los límites se refiere, hemos señalado, asimismo, que el derecho no es absoluto ni incondicionado (STC 166/1998, antes citada, ibídem); no ya sólo porque el Ordenamiento puede prever supuestos en los que las resoluciones judiciales firmes devengan objetivamente inejecutables, como así hace, para el orden jurisdiccional contencioso-administrativo, el artículo 105.2 de su Ley reguladora [SSTC 139/2005, citada, FJ 3, 312/2006, de 8 de noviembre, FJ 4 b), y 22/2009, de 26 de enero, FJ 2], sino también —sin agotar las hipótesis— porque la ejecución del pronunciamiento firme puede quedar afectada o impedida, sin merecer reproche constitucional, por la modificación sobrevenida de la normativa aplicable o, más ampliamente, por una alteración de los términos en los que fue planteada y resuelta la disputa procesal (por todas las resoluciones en este sentido, STC 73/2000, ya citada, FJ 9).</w:t>
      </w:r>
    </w:p>
    <w:p w:rsidR="00AC56D6" w:rsidRDefault="00AC56D6" w:rsidP="00AC56D6">
      <w:pPr>
        <w:pStyle w:val="TextoNormal"/>
      </w:pPr>
    </w:p>
    <w:p w:rsidR="00AC56D6" w:rsidRDefault="00AC56D6" w:rsidP="00AC56D6">
      <w:pPr>
        <w:pStyle w:val="TextoNormal"/>
      </w:pPr>
      <w:r>
        <w:t xml:space="preserve">Este derecho lo es también, como todos los fundamentales, frente al legislador. No podrá la ley, por ello, ni desfigurarlo con carácter general ni —en lo que ya interesa al actual </w:t>
      </w:r>
      <w:r>
        <w:lastRenderedPageBreak/>
        <w:t>proceso— inmiscuirse de modo singular en lo resuelto para alterar o cancelar la eficacia de un determinado pronunciamiento judicial firme, a no ser que tal afectación venga justificada, ponderadas las circunstancias del caso, en atención a la consecución y protección de fines y bienes constitucionales y que el sacrificio que comporte para quienes obtuvieren un fallo firme a su favor resulte, además, proporcionado con arreglo a tales finalidades y bienes de relevancia constitucional [SSTC 73/2000, FFJJ 10 a) y 11; 312/2006, FJ 4, y 50/2015, FJ 8]. Al margen de estas prevenciones, o con menosprecio de ellas, no tiene cabida en nuestro Ordenamiento, por lo tanto, la ley cuyo efecto directo fuera impedir que se cumpla un determinado fallo judicial o, más precisamente, “el pronunciamiento contenido en el fallo de una resolución judicial firme” (STC 73/2000, FJ 11). Esto es —importa subrayarlo, en relación con lo que se dirá— lo que en casos de este género resulta estrictamente intangible para la acción del legislador.</w:t>
      </w:r>
    </w:p>
    <w:p w:rsidR="00AC56D6" w:rsidRDefault="00AC56D6" w:rsidP="00AC56D6">
      <w:pPr>
        <w:pStyle w:val="TextoNormal"/>
      </w:pPr>
    </w:p>
    <w:p w:rsidR="00AC56D6" w:rsidRDefault="00AC56D6" w:rsidP="00AC56D6">
      <w:pPr>
        <w:pStyle w:val="TextoNormal"/>
      </w:pPr>
      <w:r>
        <w:t xml:space="preserve">Las conclusiones, así resumidas, a las que en este punto llega nuestra jurisprudencia resultan por lo demás coincidentes —lo que es de la mayor relevancia, conforme al artículo 10.2 CE— con la doctrina del Tribunal Europeo de Derechos Humanos que ha interpretado los límites que para el legislador depara el respeto del derecho al proceso justo o equitativo (art. 6 del Convenio europeo) por referencia a un concreto proceso judicial pendiente de iniciación, en curso o ya resuelto. Si están comprometidos, en lo que ahora importa, “derechos y obligaciones de carácter civil” (art. 6.1), el Tribunal de Estrasburgo tiene dicho, con reiteración, que si bien el derecho de referencia no impide, sin más, cualquier intromisión del poder público en un proceso judicial en el que sea parte (STEDH de 23 de octubre de 1997, </w:t>
      </w:r>
      <w:r w:rsidRPr="00AC56D6">
        <w:rPr>
          <w:i/>
        </w:rPr>
        <w:t>National &amp; Provincial Building Society, Leeds Permanent Building Society y Yorkshire Building Society c. Reino Unido</w:t>
      </w:r>
      <w:r>
        <w:t xml:space="preserve">, § 112, por todas), el principio de la preeminencia del Derecho y la noción de proceso equitativo sí se oponen a toda interferencia del legislador en la administración de justicia que persiga influir en el desenlace judicial de un litigio, a salvo que ello venga justificado, examinadas todas las circunstancias del caso, por imperiosos motivos de interés general (por todas las resoluciones en este sentido, de entre las más recientes, SSTEDH de 14 de febrero de 2012, </w:t>
      </w:r>
      <w:r w:rsidRPr="00AC56D6">
        <w:rPr>
          <w:i/>
        </w:rPr>
        <w:t>Arras y otros c. Italia</w:t>
      </w:r>
      <w:r>
        <w:t xml:space="preserve">, § 42, y de 24 de junio de 2014, </w:t>
      </w:r>
      <w:r w:rsidRPr="00AC56D6">
        <w:rPr>
          <w:i/>
        </w:rPr>
        <w:t>Azienda Agricola Silverfunghi S.A.S. y otros c. Italia</w:t>
      </w:r>
      <w:r>
        <w:t xml:space="preserve">, § 76), intereses generales no identificables, tan sólo, porque se invoquen por el Estado razones de orden financiero (por todas, STEDH de 25 de noviembre de 2010, </w:t>
      </w:r>
      <w:r w:rsidRPr="00AC56D6">
        <w:rPr>
          <w:i/>
        </w:rPr>
        <w:t>Lilly France c. Francia</w:t>
      </w:r>
      <w:r>
        <w:t>, § 51).</w:t>
      </w:r>
    </w:p>
    <w:p w:rsidR="00AC56D6" w:rsidRDefault="00AC56D6" w:rsidP="00AC56D6">
      <w:pPr>
        <w:pStyle w:val="TextoNormal"/>
      </w:pPr>
    </w:p>
    <w:p w:rsidR="00AC56D6" w:rsidRDefault="00AC56D6" w:rsidP="00AC56D6">
      <w:pPr>
        <w:pStyle w:val="TextoNormal"/>
      </w:pPr>
      <w:r>
        <w:t xml:space="preserve">Por el contrario, cuando no están comprometidos “derechos y obligaciones de carácter civil”, como ocurre por ejemplo en materia de urbanismo o de ordenación del territorio, el Tribunal Europeo reconoce a los Estados miembros un mayor margen de maniobra: “En efecto, si bien los titulares de derechos económicos pueden, por lo general, aprovecharse de derechos firmes e intangibles, no sucede lo mismo en materia de urbanismo o de ordenación del territorio, ámbitos que tratan sobre derechos de naturaleza distinta y que, por definición, son esencialmente evolutivos. Las políticas de urbanismo y de ordenación del territorio dependen por excelencia de los ámbitos de intervención estatales por medio, concretamente, de la reglamentación de los bienes con una finalidad de interés general o de utilidad pública. En tales casos, en los que el interés general ocupa un lugar preeminente, el Tribunal considera que el margen de apreciación del Estado es mayor que cuando están en juego unos derechos exclusivamente civiles” (STEDH de 27 de abril de 2004, </w:t>
      </w:r>
      <w:r w:rsidRPr="00AC56D6">
        <w:rPr>
          <w:i/>
        </w:rPr>
        <w:t>Gorraiz Lizarraga c. España</w:t>
      </w:r>
      <w:r>
        <w:t>, § 70).</w:t>
      </w:r>
    </w:p>
    <w:p w:rsidR="00AC56D6" w:rsidRDefault="00AC56D6" w:rsidP="00AC56D6">
      <w:pPr>
        <w:pStyle w:val="TextoNormal"/>
      </w:pPr>
    </w:p>
    <w:p w:rsidR="00AC56D6" w:rsidRDefault="00AC56D6" w:rsidP="00AC56D6">
      <w:pPr>
        <w:pStyle w:val="TextoNormal"/>
      </w:pPr>
      <w:r>
        <w:lastRenderedPageBreak/>
        <w:t>En el marco de esta jurisprudencia debe situarse el actual caso, para cuya resolución proceden aún, junto a una recapitulación de lo dicho, determinadas precisiones últimas.</w:t>
      </w:r>
    </w:p>
    <w:p w:rsidR="00AC56D6" w:rsidRDefault="00AC56D6" w:rsidP="00AC56D6">
      <w:pPr>
        <w:pStyle w:val="TextoNormal"/>
      </w:pPr>
    </w:p>
    <w:p w:rsidR="00AC56D6" w:rsidRDefault="00AC56D6" w:rsidP="00AC56D6">
      <w:pPr>
        <w:pStyle w:val="TextoNormal"/>
      </w:pPr>
      <w:r w:rsidRPr="00AC56D6">
        <w:rPr>
          <w:rStyle w:val="NumeroAFNegritaCaracter"/>
        </w:rPr>
        <w:t>11</w:t>
      </w:r>
      <w:r>
        <w:t>. Es pertinente, en efecto, recordar y puntualizar lo siguiente:</w:t>
      </w:r>
    </w:p>
    <w:p w:rsidR="00AC56D6" w:rsidRDefault="00AC56D6" w:rsidP="00AC56D6">
      <w:pPr>
        <w:pStyle w:val="TextoNormal"/>
      </w:pPr>
    </w:p>
    <w:p w:rsidR="00AC56D6" w:rsidRDefault="00AC56D6" w:rsidP="00AC56D6">
      <w:pPr>
        <w:pStyle w:val="TextoNormal"/>
      </w:pPr>
      <w:r>
        <w:t>a) La disposición adicional decimoquinta de la Ley 22/2011, según dijimos, no convalida el Real Decreto 1419/2005, anulado por Sentencia del Tribunal Supremo, ni tampoco lo eleva de rango. Por un lado, confirma, como igualmente hemos observado, concretas consecuencias jurídicas previstas no solo en el artículo 6 del Real Decreto anulado (números 1, párrafo segundo, y 2 de la regla legal cuestionada) sino también en los artículos 58 del texto refundido de la Ley de aguas y 72 del texto refundido de la Ley de contratos del sector público; y, por otro lado, convalida, en relación con ello, las “actuaciones”, o “todas las obras y actuaciones”, “realizadas” o “aprobadas”, dice la norma, “al amparo” de aquel reglamento o “derivadas de la ejecución” del mismo, actuaciones, se añade, “cuyo régimen jurídico se convalida por la presente disposición”. El precepto cuestionado se refiere junto a ello y de manera expresa —según también reseñamos— a la anulación del repetido Real Decreto por la Sentencia del Tribunal Supremo de 24 de noviembre de 2009, resolución judicial ésta que, por otro lado, es anterior en muy pocas fechas al que fuera previsto término de vigencia del propio Real Decreto (su disposición final segunda fijó dicho término en el 30 de noviembre de 2006 y, tras prórrogas sucesivas por los Reales Decretos-leyes 9/2006 y 9/2007, el reglamento habría perdido plenamente su vigencia el 30 de noviembre de 2009, conforme a lo establecido en el número 5 de la disposición final primera del Real Decreto-ley 8/2008, de 24 de octubre, que prorrogó aquélla hasta esa fecha, con las condiciones entonces fijadas, “a excepción del artículo 6.1”, apartado, este último, relativo a la declaración de “emergencia” a efectos de la legislación de contratos públicos).</w:t>
      </w:r>
    </w:p>
    <w:p w:rsidR="00AC56D6" w:rsidRDefault="00AC56D6" w:rsidP="00AC56D6">
      <w:pPr>
        <w:pStyle w:val="TextoNormal"/>
      </w:pPr>
    </w:p>
    <w:p w:rsidR="00AC56D6" w:rsidRDefault="00AC56D6" w:rsidP="00AC56D6">
      <w:pPr>
        <w:pStyle w:val="TextoNormal"/>
      </w:pPr>
      <w:r>
        <w:t>Es necesario tener presentes, sobre la base de lo que queda dicho, dos consideraciones de relieve.</w:t>
      </w:r>
    </w:p>
    <w:p w:rsidR="00AC56D6" w:rsidRDefault="00AC56D6" w:rsidP="00AC56D6">
      <w:pPr>
        <w:pStyle w:val="TextoNormal"/>
      </w:pPr>
    </w:p>
    <w:p w:rsidR="00AC56D6" w:rsidRDefault="00AC56D6" w:rsidP="00AC56D6">
      <w:pPr>
        <w:pStyle w:val="TextoNormal"/>
      </w:pPr>
      <w:r>
        <w:t xml:space="preserve">La convalidación así operada por la regla que se cuestiona lo es, en primer lugar, de actuaciones administrativas pasadas, como es obvio, pero sólo en conjunción con la confirmación que esta regla hace, como hemos dicho, de determinadas consecuencias jurídicas previstas tanto en el artículo 6 del Real Decreto anulado como en el artículo 58 del texto refundido de la Ley de aguas y en el artículo 72 del texto refundido de la Ley de contratos de las administraciones públicas. La norma es ciertamente retroactiva, pero ni pretende ni podría afirmar, por su sola fuerza de ley, la incondicionada validez jurídica, actual o pretérita, de todas y cada una de las actuaciones, sin distinción, llevadas a cabo con invocación o a resultas de aquel reglamento, cualquiera fuese el criterio o la medida de esa validez, y zanjando así, impropiamente, todo posible debate procesal sobre las mismas. Lo que determina la disposición adicional decimoquinta es, estrictamente, que las actuaciones que hubieran sido adoptadas “al amparo” del Real Decreto 1419/2005 han de considerarse, en lo sucesivo, convalidadas por la propia Ley. Sea o no conforme el precepto cuestionado al derecho fundamental a la ejecución de las resoluciones judiciales firmes, no cabe reprocharle al legislador, en consecuencia, que al adoptar esta disposición, y por decirlo con palabras del Tribunal de Estrasburgo, haya sustituido a los órganos judiciales en la definición de controversias pendientes ante ellos (STEDH de 24 de junio de 2014, </w:t>
      </w:r>
      <w:r w:rsidRPr="00AC56D6">
        <w:rPr>
          <w:i/>
        </w:rPr>
        <w:t>Azienda Agricola Silverfunghi S.A.S. y otros c. Italia</w:t>
      </w:r>
      <w:r>
        <w:t xml:space="preserve">, antes citada, § 82). El legislador, dicho aún de otro </w:t>
      </w:r>
      <w:r>
        <w:lastRenderedPageBreak/>
        <w:t>modo, no ha usurpado, con ello, la exclusiva potestad de los órganos judiciales para decir el Derecho con firmeza.</w:t>
      </w:r>
    </w:p>
    <w:p w:rsidR="00AC56D6" w:rsidRDefault="00AC56D6" w:rsidP="00AC56D6">
      <w:pPr>
        <w:pStyle w:val="TextoNormal"/>
      </w:pPr>
    </w:p>
    <w:p w:rsidR="00AC56D6" w:rsidRDefault="00AC56D6" w:rsidP="00AC56D6">
      <w:pPr>
        <w:pStyle w:val="TextoNormal"/>
      </w:pPr>
      <w:r>
        <w:t>La intención de eludir o sortear el cumplimiento del fallo de la Sentencia dictada por el Tribunal Supremo se configura por la Sala que promueve la presente cuestión como un presupuesto de la argumentación que le conduce, como consecuencia, a la duda de inconstitucionalidad. Y si bien el cometido de determinar el sentido y el alcance de un fallo judicial “incumbe a los Jueces y Tribunales ex art. 117.3 CE, en cuanto constituye, como declaró la STC 135/1994, una función netamente jurisdiccional, sin que corresponda a la jurisdicción constitucional sustituir a la autoridad judicial en este cometido (SSTC 125/1987, 148/1989, 194/1993, 240/1998 y 48/1999, entre otras)” (STC 106/1999, de 14 de junio, FJ 3), sin embargo, a los solos fines del enjuiciamiento de la presente cuestión de inconstitucionalidad —esta es la segunda consideración que apuntábamos— es preciso determinar si existe o no el presupuesto del que parte la Sala al exponer la duda de constitucionalidad. Pues basta advertir que, si no existiera tal presupuesto, sería infundada la consecuencia a la que llega la Sala promotora de la presente cuestión, esto es, la eventual vulneración del art. 24.1 CE (STC 73/2000, FJ 9). Por tanto, será preciso considerar el significado y el alcance de la norma legal cuestionada para poder confrontarla con el mandato que deriva del art. 24.1, en relación con el art. 117.3, ambos de la Constitución.</w:t>
      </w:r>
    </w:p>
    <w:p w:rsidR="00AC56D6" w:rsidRDefault="00AC56D6" w:rsidP="00AC56D6">
      <w:pPr>
        <w:pStyle w:val="TextoNormal"/>
      </w:pPr>
    </w:p>
    <w:p w:rsidR="00AC56D6" w:rsidRDefault="00AC56D6" w:rsidP="00AC56D6">
      <w:pPr>
        <w:pStyle w:val="TextoNormal"/>
      </w:pPr>
      <w:r>
        <w:t xml:space="preserve">b) Sin duda el precepto legal cuestionado habría de tener efectos en el incidente de ejecución forzosa hoy en suspenso. No obstante, la disposición adicional decimoquinta no da “cobertura legislativa a actuaciones administrativas declaradas nulas”, como se dice en el Auto de planteamiento, si por tales se entienden las adoptadas sobre la base del Real Decreto, pues la Sentencia cuya ejecución se tramita no se pronunció, al menos no expresamente, sobre los actos de aplicación y ejecución de la norma reglamentaria que anuló. Lo que sí establece esta disposición adicional es que esas actuaciones han de tenerse, en su virtud, por convalidadas y es manifiesto que esta determinación legal incide, de modo directo, en lo discutido en este procedimiento de ejecución, que no es otra cosa sino el mantenimiento o no de aquellas actuaciones a resultas del pronunciamiento judicial que, al anular el Real Decreto 1419/2005, las habría privado de todo sustento normativo. Igualmente claro es, como quedó dicho, que esta incidencia de la norma de Ley en el procedimiento de ejecución no determina, por sí sola, su inconstitucionalidad, pues lo que al legislador se le reprocha aquí es el haber venido a contrariar, impidiendo su ejecución, un determinado fallo judicial firme, con la consiguiente infracción del derecho fundamental </w:t>
      </w:r>
      <w:r w:rsidRPr="00AC56D6">
        <w:rPr>
          <w:i/>
        </w:rPr>
        <w:t>ex</w:t>
      </w:r>
      <w:r>
        <w:t xml:space="preserve"> artículo 24.1 CE de quienes han comparecido en el incidente del que la cuestión emana como personas afectadas por ese pronunciamiento (arts. 72.2 y 104.2 LJCA). Este es el enjuiciamiento que se nos pide y a ello, por tanto, debe ceñirse nuestro examen.</w:t>
      </w:r>
    </w:p>
    <w:p w:rsidR="00AC56D6" w:rsidRDefault="00AC56D6" w:rsidP="00AC56D6">
      <w:pPr>
        <w:pStyle w:val="TextoNormal"/>
      </w:pPr>
    </w:p>
    <w:p w:rsidR="00AC56D6" w:rsidRDefault="00AC56D6" w:rsidP="00AC56D6">
      <w:pPr>
        <w:pStyle w:val="TextoNormal"/>
      </w:pPr>
      <w:r>
        <w:t xml:space="preserve">Es muy cierto, desde luego, que el órgano judicial </w:t>
      </w:r>
      <w:r w:rsidRPr="00AC56D6">
        <w:rPr>
          <w:i/>
        </w:rPr>
        <w:t>a quo</w:t>
      </w:r>
      <w:r>
        <w:t xml:space="preserve"> viene entendiendo que la anulación por su Sentencia del Real Decreto 1419/2005 tiene una incidencia en principio general sobre las actuaciones administrativas —expropiaciones y obras— que le dieron aplicación y curso ejecutivo, actuaciones que habrían de considerarse, anulado el reglamento del que traen causa, carentes ya de soporte normativo, y que esa apreciación es, además, susceptible de ser llevada a efecto dentro del procedimiento de ejecución de aquella Sentencia. También lo es que nuestra jurisprudencia de amparo tiene dicho, de manera constante, que la interpretación del sentido del fallo de las resoluciones judiciales es una función estricta</w:t>
      </w:r>
      <w:r>
        <w:lastRenderedPageBreak/>
        <w:t>mente jurisdiccional que, como tal, corresponde en exclusiva a los órganos judiciales, limitándose nuestro control a examinar —en los recursos de amparo— si tal entendimiento es razonablemente coherente con el contenido de la resolución que se ejecuta (por todas, de entre las más recientes, SSTC 139/2012, de 2 de julio, FJ 3, y 211/2013, de 16 de diciembre, FJ 3).</w:t>
      </w:r>
    </w:p>
    <w:p w:rsidR="00AC56D6" w:rsidRDefault="00AC56D6" w:rsidP="00AC56D6">
      <w:pPr>
        <w:pStyle w:val="TextoNormal"/>
      </w:pPr>
    </w:p>
    <w:p w:rsidR="00AC56D6" w:rsidRDefault="00AC56D6" w:rsidP="00AC56D6">
      <w:pPr>
        <w:pStyle w:val="TextoNormal"/>
      </w:pPr>
      <w:r>
        <w:t>Sin embargo, cuando, como aquí ocurre, se pone en duda la validez de la ley por causa de su afirmada contradicción con un fallo judicial firme y su infracción, con ello, del derecho a la ejecución de ese pronunciamiento (art. 24.1 CE), nuestro control no consiste en revisar la razonabilidad de la aplicación de la Ley que realiza el órgano judicial, al dictar Sentencia o al ejecutarla, sino en comprobar si, visto el contenido del fallo que así se dice contrariado, la norma de ley controvertida ha venido en efecto a desvirtuarlo y a impedir, en consecuencia, su ejecución. Sólo si se percibiera tal incompatibilidad entre el pronunciamiento judicial firme y la norma de ley sobrevenida sería también identificable, en efecto, el presupuesto para enjuiciar si la contradicción de aquél por ésta se realizó, por carente de finalidad legítima o por desproporcionada, con daño para el derecho fundamental enunciado en el artículo 24.1 CE. Así lo entiende una jurisprudencia constitucional a la que ya nos hemos referido y a la que ahora, de nuevo, debemos remitirnos (SSTC 73/2000, FJ 9, y 312/2006, FJ 5, citadas antes una y otra), jurisprudencia que viene a preservar, como es notorio, que la validez de las disposiciones adoptadas por la representación popular no sea negada, por esta causa, sino cuando resulte incontestable que la ley ha venido a hacer imposible el cumplimiento del fallo y que lo ha hecho además —en examen ulterior— al margen de todo fin legítimo o con desproporcionado sacrificio del interés tutelado por el pronunciamiento judicial. Así, en la STC 73/2000 (FJ 9) este Tribunal apreció la imposibilidad legal de ejecutar una Sentencia como consecuencia de la modificación del marco normativo de referencia que fue aplicado por el órgano jurisdiccional. Y en la STC 312/2006 (FJ 5) consideró que la norma legal que facultaba a otorgar autorizaciones provisionales a las oficinas de farmacia cuyas autorizaciones previas hubieran sido impugnadas jurisdiccionalmente o anuladas por Sentencia se erigía en “obstáculo a la ejecución provisional en sus propios términos de la Sentencia contraria a la apertura de la oficina de farmacia”. Con arreglo a esta doctrina jurisprudencial hemos de enjuiciar, pues, la constitucionalidad de la norma ahora cuestionada.</w:t>
      </w:r>
    </w:p>
    <w:p w:rsidR="00AC56D6" w:rsidRDefault="00AC56D6" w:rsidP="00AC56D6">
      <w:pPr>
        <w:pStyle w:val="TextoNormal"/>
      </w:pPr>
    </w:p>
    <w:p w:rsidR="00AC56D6" w:rsidRDefault="00AC56D6" w:rsidP="00AC56D6">
      <w:pPr>
        <w:pStyle w:val="TextoNormal"/>
      </w:pPr>
      <w:r w:rsidRPr="00AC56D6">
        <w:rPr>
          <w:rStyle w:val="NumeroAFNegritaCaracter"/>
        </w:rPr>
        <w:t>12</w:t>
      </w:r>
      <w:r>
        <w:t>. En consideración a cuanto antecede, el Tribunal no puede compartir que el precepto de Ley que se cuestiona haya deparado la infracción del derecho fundamental a la ejecución —en sus propios términos, como nuestra jurisprudencia subraya— de la Sentencia de 24 de noviembre de 2009, anulatoria del Real Decreto 1419/2005 (art. 24.1, en relación, según se dice en el Auto de planteamiento, con el art. 117.3, ambos de la Constitución).</w:t>
      </w:r>
    </w:p>
    <w:p w:rsidR="00AC56D6" w:rsidRDefault="00AC56D6" w:rsidP="00AC56D6">
      <w:pPr>
        <w:pStyle w:val="TextoNormal"/>
      </w:pPr>
    </w:p>
    <w:p w:rsidR="00AC56D6" w:rsidRDefault="00AC56D6" w:rsidP="00AC56D6">
      <w:pPr>
        <w:pStyle w:val="TextoNormal"/>
      </w:pPr>
      <w:r>
        <w:t xml:space="preserve">La disposición adicional decimoquinta de la Ley 22/2011 confirma, como venimos recordando, determinadas consecuencias jurídicas previstas tanto en el reglamento anulado (en su artículo 6, más en concreto) como en diversos preceptos legales (en particular, en el art. 58 del texto refundido de la Ley de aguas, del que el Real Decreto anulado era aplicación), y convalida expresamente las actuaciones administrativas realizadas a su amparo, pero en modo alguno puede decirse que, con ello, esta previsión legal desvirtúe de manera frontal, inmediata e inequívoca el “contenido del fallo” (SSTC 73/2000, FJ 9, y 312/2006, </w:t>
      </w:r>
      <w:r>
        <w:lastRenderedPageBreak/>
        <w:t>FJ 4, ya citadas) de aquella resolución judicial, pronunciamiento que —estando, como hemos de estar ahora, a su enunciado— se contrajo a declarar la nulidad de pleno derecho del repetido Real Decreto 1419/2005.</w:t>
      </w:r>
    </w:p>
    <w:p w:rsidR="00AC56D6" w:rsidRDefault="00AC56D6" w:rsidP="00AC56D6">
      <w:pPr>
        <w:pStyle w:val="TextoNormal"/>
      </w:pPr>
    </w:p>
    <w:p w:rsidR="00AC56D6" w:rsidRDefault="00AC56D6" w:rsidP="00AC56D6">
      <w:pPr>
        <w:pStyle w:val="TextoNormal"/>
      </w:pPr>
      <w:r>
        <w:t xml:space="preserve">Estima al juzgador </w:t>
      </w:r>
      <w:r w:rsidRPr="00AC56D6">
        <w:rPr>
          <w:i/>
        </w:rPr>
        <w:t>a quo</w:t>
      </w:r>
      <w:r>
        <w:t>, ciertamente, que la norma cuestionada deja “sin efectos prácticos” la anulación del Real Decreto 1419/2005. Pero lo que ante todo se ha de considerar cuando se discute, como aquí es el caso, la compatibilidad de una disposición de ley con el derecho a la ejecución de las resoluciones judiciales firmes es —vale reiterar— si el fallo mismo ha devenido inejecutable o ha sido contradicho por obra directa del precepto legal, sólo tras de lo cual procedería enjuiciar si a tal resultado se llegó para alcanzar un fin legítimo y sin incurrir en desproporción. No otra cosa examinamos en su día, por ese mismo orden, en las SSTC 73/2000 y 312/2006, a las que nos venimos refiriendo y que el Auto de planteamiento también cita.</w:t>
      </w:r>
    </w:p>
    <w:p w:rsidR="00AC56D6" w:rsidRDefault="00AC56D6" w:rsidP="00AC56D6">
      <w:pPr>
        <w:pStyle w:val="TextoNormal"/>
      </w:pPr>
    </w:p>
    <w:p w:rsidR="00AC56D6" w:rsidRDefault="00AC56D6" w:rsidP="00AC56D6">
      <w:pPr>
        <w:pStyle w:val="TextoNormal"/>
      </w:pPr>
      <w:r>
        <w:t xml:space="preserve">Lo que en supuestos como el actual no podemos escrutar —por lo que se refiere al primero de los pasos señalados— es si alguna de las posibles consecuencias mediatas, segundas o derivadas que puedan llegar a inferirse por el juzgador de un cierto fallo ha sido, en cualquier sentido o aspecto, afectada por la ley sobrevenida, pues si tal hiciéramos perdería toda objetividad el control de la norma legal, cuya constitucionalidad, como bien se comprende, quedaría a merced, en cada singular caso, del entendimiento judicial de cuáles fueran todas y cada una de tales consecuencias y cuál la específica incidencia, sobre ellas, de lo dispuesto por el legislador. La seguridad jurídica (art. 9.3 CE), y no sólo el derecho </w:t>
      </w:r>
      <w:r w:rsidRPr="00AC56D6">
        <w:rPr>
          <w:i/>
        </w:rPr>
        <w:t>ex</w:t>
      </w:r>
      <w:r>
        <w:t xml:space="preserve"> artículo 24.1 de la misma norma fundamental, exige, sin duda, que la firmeza de las resoluciones judiciales sea respetada; pero también impide, con igual vigor, que la ley sea censurada por inconstitucional sólo porque su dictado salga al paso de posibles resultados o consecuencias del fallo que no deriven de él de modo directo, inmediato e inequívoco, aunque sí puedan, legítimamente, llegar a argumentarse por el juzgador. Este Tribunal debe velar porque no se ponga en riesgo la concordancia práctica (por todas, SSTC 199/1987, de 16 de diciembre, FJ 7, y 60/1991, de 14 de marzo, FJ 5) entre uno y otro de estos requerimientos constitucionales y aquí no podemos sino concluir, en mérito de ello, que la disposición adicional decimoquinta no ha hecho imposible la ejecución o el cumplimiento de la Sentencia que anuló el Real Decreto 1419/2005.</w:t>
      </w:r>
    </w:p>
    <w:p w:rsidR="00AC56D6" w:rsidRDefault="00AC56D6" w:rsidP="00AC56D6">
      <w:pPr>
        <w:pStyle w:val="TextoNormal"/>
      </w:pPr>
    </w:p>
    <w:p w:rsidR="00AC56D6" w:rsidRDefault="00AC56D6" w:rsidP="00AC56D6">
      <w:pPr>
        <w:pStyle w:val="TextoNormal"/>
      </w:pPr>
      <w:r>
        <w:t xml:space="preserve">No estamos, pues, ante un caso de imposibilidad legal sobrevenida de ejecución del fallo judicial en sí mismo (SSTC 73/2000, FJ 9; 312/2006, FJ 5, está en relación con una ejecución provisional; y 162/2014, de 7 de octubre, FJ 2), de modo que el derecho </w:t>
      </w:r>
      <w:r w:rsidRPr="00AC56D6">
        <w:rPr>
          <w:i/>
        </w:rPr>
        <w:t>ex</w:t>
      </w:r>
      <w:r>
        <w:t xml:space="preserve"> artículo 24.1 CE no ha sido infringido, ni afectado siquiera, por este precepto legal.</w:t>
      </w:r>
    </w:p>
    <w:p w:rsidR="00AC56D6" w:rsidRDefault="00AC56D6" w:rsidP="00AC56D6">
      <w:pPr>
        <w:pStyle w:val="TextoNormal"/>
      </w:pPr>
    </w:p>
    <w:p w:rsidR="00AC56D6" w:rsidRDefault="00AC56D6" w:rsidP="00AC56D6">
      <w:pPr>
        <w:pStyle w:val="TextoNormal"/>
      </w:pPr>
      <w:r>
        <w:t xml:space="preserve">Basta con constatar, para confirmar lo anterior, que el pronunciamiento de la Sentencia de 24 de noviembre de 2009 fue estrictamente anulatorio de una disposición de carácter general, sin que se contuviera en ella —ni en el propio fallo ni en el razonamiento que condujo a él— cosa alguna sobre las actuaciones realizadas sobre la base de aquel reglamento, hoy convalidadas por ley; actuaciones que ni siquiera podrían decirse censuradas entonces de manera implícita, por reproducir, reiterar o aplicar lo establecido en el Real Decreto, pues éste fue enjuiciado y considerado inválido por los vicios de procedimiento en que se incurrió al adoptarlo, no en atención a un contenido preceptivo que no fue en absoluto —en congruencia con la demanda— enjuiciado en la ocasión por el Tribunal Supremo. Tampoco se pronunció esta Sentencia sobre ninguna situación jurídica individualizada de </w:t>
      </w:r>
      <w:r>
        <w:lastRenderedPageBreak/>
        <w:t>los entonces recurrentes —que no han instado, por lo demás la ejecución— o de otros sujetos [arts. 31.2 y 71.1 b) LJCA]. Dicho con los términos que emplea la jurisprudencia del Tribunal Europeo de Derechos Humanos antes referida, en ningún momento el fallo reconoció “derechos y obligaciones de carácter civil” de naturaleza firme e intangible frente a la intervención del legislador. En consecuencia, no es posible reprocharle a la Ley haber obviado el reconocimiento judicial de lo que correspondiera o fuera atribuido por el fallo al patrimonio jurídico de personas determinadas.</w:t>
      </w:r>
    </w:p>
    <w:p w:rsidR="00AC56D6" w:rsidRDefault="00AC56D6" w:rsidP="00AC56D6">
      <w:pPr>
        <w:pStyle w:val="TextoNormal"/>
      </w:pPr>
    </w:p>
    <w:p w:rsidR="00AC56D6" w:rsidRDefault="00AC56D6" w:rsidP="00AC56D6">
      <w:pPr>
        <w:pStyle w:val="TextoNormal"/>
      </w:pPr>
      <w:r>
        <w:t xml:space="preserve">Es muy cierto, en fin, que la asociación que promueve, como persona afectada, la ejecución de la Sentencia ha pedido y obtenido en ese incidente una paralización de las actuaciones administrativas controvertidas que ahora, en virtud del precepto cuestionado, quedaría sin efecto, al igual que la pretendida demolición de las obras públicas realizadas. Pero lo así obtenido del Tribunal </w:t>
      </w:r>
      <w:r w:rsidRPr="00AC56D6">
        <w:rPr>
          <w:i/>
        </w:rPr>
        <w:t>a quo</w:t>
      </w:r>
      <w:r>
        <w:t xml:space="preserve"> lo ha sido, exclusivamente, en ejecución de una Sentencia anulatoria por vicios de procedimiento; no sobre la base, en otras palabras, de una hipotética demanda de declaración de ilegalidades inherentes a las actuaciones mismas, sino con fundamento en su falta de sustento normativo tras la anulación del Real Decreto. Lo hasta ahora resuelto en ejecución se basa, pues, en esa afirmada carencia de soporte normativo, una vez anulado el reglamento, no en otras premisas legales o constitucionales y tampoco, en particular, en una eventual contravención de lo dispuesto en el art. 45 CE —al que hace una alusión el Auto de planteamiento—, precepto este que protege unos bienes cuya supuesta afectación sustantiva en el caso no fue apreciada, ni considerada siquiera, en la Sentencia que se ejecuta. Lo que obviamente no ostenta quien ha pedido la ejecución es un derecho a que el legislador no aporte </w:t>
      </w:r>
      <w:r w:rsidRPr="00AC56D6">
        <w:rPr>
          <w:i/>
        </w:rPr>
        <w:t>ex post</w:t>
      </w:r>
      <w:r>
        <w:t xml:space="preserve"> el fundamento normativo que echa en falta.</w:t>
      </w:r>
    </w:p>
    <w:p w:rsidR="00AC56D6" w:rsidRDefault="00AC56D6" w:rsidP="00AC56D6">
      <w:pPr>
        <w:pStyle w:val="TextoNormal"/>
      </w:pPr>
    </w:p>
    <w:p w:rsidR="00AC56D6" w:rsidRDefault="00AC56D6" w:rsidP="00AC56D6">
      <w:pPr>
        <w:pStyle w:val="TextoNormal"/>
      </w:pPr>
      <w:r>
        <w:t xml:space="preserve">No cabe, así las cosas, sino rechazar que la disposición cuestionada haya menoscabado el derecho fundamental a la ejecución de las resoluciones judiciales firmes, derecho no afectado siquiera, reiteramos, por este precepto legal. Ni la disposición adicional decimoquinta, en efecto, contradice abierta o frontalmente el fallo de la Sentencia de 24 de noviembre de 2009, ni cabría argüir, en consecuencia, que los ejecutantes hayan visto malograda, en su virtud, una certeza o expectativa de buen derecho en orden a que las actuaciones administrativas cuya pervivencia controvierten sean removidas. Tales certezas o expectativas, de abrigarse, no provendrían inmediatamente del fallo de aquella Sentencia, por más que hayan podido ser inicialmente acogidas por el juzgador </w:t>
      </w:r>
      <w:r w:rsidRPr="00AC56D6">
        <w:rPr>
          <w:i/>
        </w:rPr>
        <w:t>a quo</w:t>
      </w:r>
      <w:r>
        <w:t xml:space="preserve"> en el ejercicio, ahora infiscalizable, de la jurisdicción que ejerce y sobre la base de su interpretación, igualmente ajena a nuestro control, de aquel pronunciamiento, no desvirtuado ni contradicho de manera directa —esto es lo que aquí importa— por la regla legal. La disposición adicional decimoquinta, por lo demás, ha confirmado unas consecuencias jurídicas que, aunque dispuestas en el reglamento anulado, estaban previstas por la propia Ley (en concreto, por los arts. 58 del texto refundido de la Ley de aguas y 72 del texto refundido de la Ley de contratos de las Administraciones públicas) y que la Constitución no le impide volver a ordenar (por todas, STC 203/2013, FJ 3, y jurisprudencia allí citada); y, junto a ello, ha convalidado y preservado actuaciones realizadas en ejecución de un Real Decreto no suspendido durante su enjuiciamiento —como observa con pertinencia el Abogado del Estado—, aunque sí anulado, al cabo, por no haberse observado en su elaboración unos trámites que sobre el legislador no pesan, por más que sí deban ser satisfechos, como es obvio, en el ejercicio de la potestad reglamentaria y ello tanto por lo que la legalidad impone como en virtud de lo que cabe deducir de los principios de seguridad jurídica e interdicción de la arbitrariedad (art. 9.3 CE), según deja</w:t>
      </w:r>
      <w:r>
        <w:lastRenderedPageBreak/>
        <w:t>mos dicho en la STC 273/2000, de 15 de noviembre. Aunque tales principios constitucionales —añadimos en esa Sentencia y así es procedente reiterarlo— no cubren una eventual expectativa de que los poderes públicos permanezcan pasivos ante la concurrencia de un vicio procedimental que afecte a una norma cuya aplicación pueda favorecer la consecución de un interés general (FJ 12). El artículo 24.1 CE, en la vertiente que aquí interesa, no le impide al legislador regular ni estabilizar, en su caso, las situaciones jurídicas surgidas en aplicación de una norma reglamentaria declarada nula sobre las que no se pronunció con firmeza, al dictar aquella anulación, el Poder judicial. Tanto menos si tal declaración lo fue por vicios de procedimiento.</w:t>
      </w:r>
    </w:p>
    <w:p w:rsidR="00AC56D6" w:rsidRDefault="00AC56D6" w:rsidP="00AC56D6">
      <w:pPr>
        <w:pStyle w:val="TextoNormal"/>
      </w:pPr>
    </w:p>
    <w:p w:rsidR="00AC56D6" w:rsidRDefault="00AC56D6" w:rsidP="00AC56D6">
      <w:pPr>
        <w:pStyle w:val="TextoNormal"/>
      </w:pPr>
      <w:r>
        <w:t>El derecho a la ejecución de las resoluciones judiciales firmes no ha sido menoscabado, en definitiva, por la disposición cuestionada.</w:t>
      </w:r>
    </w:p>
    <w:p w:rsidR="00AC56D6" w:rsidRDefault="00AC56D6" w:rsidP="00AC56D6">
      <w:pPr>
        <w:pStyle w:val="TextoNormal"/>
      </w:pPr>
    </w:p>
    <w:p w:rsidR="00AC56D6" w:rsidRDefault="00AC56D6" w:rsidP="00AC56D6">
      <w:pPr>
        <w:pStyle w:val="TextoNormal"/>
      </w:pPr>
      <w:r w:rsidRPr="00AC56D6">
        <w:rPr>
          <w:rStyle w:val="NumeroAFNegritaCaracter"/>
        </w:rPr>
        <w:t>13</w:t>
      </w:r>
      <w:r>
        <w:t xml:space="preserve">. Se dice, por último, en el Auto de planteamiento que la disposición adicional decimoquinta de la Ley 22/2011 es también contraria a la garantía constitucional expropiatoria </w:t>
      </w:r>
      <w:r w:rsidRPr="00AC56D6">
        <w:rPr>
          <w:i/>
        </w:rPr>
        <w:t>ex</w:t>
      </w:r>
      <w:r>
        <w:t xml:space="preserve"> artículo 33.3 CE, ya que el precepto cuestionado “produce una convalidación retroactiva del Real Decreto 1419/2005, en claro perjuicio de los derechos e intereses legítimos de los expropiados como consecuencia de las obras públicas previstas” en el reglamento anulado, supuesta infracción constitucional ésta que se concreta con la observación de que, anulado aquel Real Decreto y ordenada por el juzgador </w:t>
      </w:r>
      <w:r w:rsidRPr="00AC56D6">
        <w:rPr>
          <w:i/>
        </w:rPr>
        <w:t>a quo</w:t>
      </w:r>
      <w:r>
        <w:t>, en vía de ejecución, la paralización de los expedientes de expropiación, la Administración, lejos de acatar lo ordenado, habría seguido actuando por vía de hecho, actuación para la que se habría procurado una “cobertura legal tardía” mediante la norma que se cuestiona. Todo ello —se concluye en cuanto a este extremo— con evidente perjuicio de los derechos e intereses de los afectados por las expropiaciones, que “se ven imposibilitados de defender esos derechos e intereses en el curso del procedimiento expropiatorio y después ante este Orden jurisdiccional contencioso-administrativo”. Tanto la fiscalía como la Abogacía del Estado han argumentado en sus alegaciones en contra de esta tacha de inconstitucionalidad.</w:t>
      </w:r>
    </w:p>
    <w:p w:rsidR="00AC56D6" w:rsidRDefault="00AC56D6" w:rsidP="00AC56D6">
      <w:pPr>
        <w:pStyle w:val="TextoNormal"/>
      </w:pPr>
    </w:p>
    <w:p w:rsidR="00AC56D6" w:rsidRDefault="00AC56D6" w:rsidP="00AC56D6">
      <w:pPr>
        <w:pStyle w:val="TextoNormal"/>
      </w:pPr>
      <w:r>
        <w:t xml:space="preserve">La disposición adicional decimoquinta determina, en su número 2, que “(d)e conformidad con lo dispuesto en el artículo 58 de la Ley de aguas (…), las actuaciones aprobadas al amparo del Real Decreto 1419/2005, de 25 de noviembre, cuyo régimen jurídico se convalida por la presente disposición, llevan implícita la declaración de utilidad pública, a los efectos de la ocupación temporal y expropiación forzosa de bienes y derechos, así como la de urgente necesidad de la ocupación”. Aunque es claro que, con este dictado, la norma cuestionada no dispone, en rigor, nuevas expropiaciones, sino que convalida, más bien, las que traen causa del Real Decreto 1419/2005, también lo es que la Ley presta aquí su fuerza propia a las determinaciones reglamentarias que reitera, lo que, en apariencia, suscitaría —como se hace en el Auto de planteamiento— la problemática de las llamadas expropiaciones legislativas y, en particular, la de su incidencia en los derechos </w:t>
      </w:r>
      <w:r w:rsidRPr="00AC56D6">
        <w:rPr>
          <w:i/>
        </w:rPr>
        <w:t>ex</w:t>
      </w:r>
      <w:r>
        <w:t xml:space="preserve"> artículo 24.1 CE, asunto sobre el que ya existe, como es conocido, jurisprudencia consolidada de este Tribunal (por todas, STC 48/2005, de 3 de marzo, </w:t>
      </w:r>
      <w:r w:rsidRPr="00AC56D6">
        <w:rPr>
          <w:i/>
        </w:rPr>
        <w:t>in toto</w:t>
      </w:r>
      <w:r>
        <w:t>, y resoluciones allí citadas; asimismo, STC 129/2013, citada, FJ 4). No es procedente, sin embargo, abordar ahora esta problemática respecto del precepto cuestionado, pues la cuestión de inconstitucionalidad resulta, en cuanto a este extremo, manifiestamente irrelevante (art. 163 CE y art. 35.1 y 2 LOTC). Así podemos apreciarlo en Sentencia, conforme a muy reiterada doctrina jurisprudencial (STC 127/2014, de 21 de julio, FJ 2, de entre las más recientes).</w:t>
      </w:r>
    </w:p>
    <w:p w:rsidR="00AC56D6" w:rsidRDefault="00AC56D6" w:rsidP="00AC56D6">
      <w:pPr>
        <w:pStyle w:val="TextoNormal"/>
      </w:pPr>
    </w:p>
    <w:p w:rsidR="00AC56D6" w:rsidRDefault="00AC56D6" w:rsidP="00AC56D6">
      <w:pPr>
        <w:pStyle w:val="TextoNormal"/>
      </w:pPr>
      <w:r>
        <w:lastRenderedPageBreak/>
        <w:t xml:space="preserve">El carácter prejudicial que en general tiene la cuestión de inconstitucionalidad (ATC 220/2012, de 27 de noviembre, FJ 3) supone —por lo que ahora importa— que el órgano judicial sólo debe promoverla sobre preceptos legales que, aplicables en el proceso, resulten determinantes, según su validez o invalidez, para resolver el caso ante él pendiente de uno u otro modo, pues sólo en tal hipótesis “a la vista del objeto del proceso en curso, la alternativa que encierra la duda de constitucionalidad lo es también, idealmente pero de modo necesario, para resolver aquél en uno u otro sentido” (STC 106/1986, de 24 de julio, FJ 3). La relevancia, como presupuesto procesal, se cifra en esta “relación necesaria entre el fallo del proceso judicial y la norma cuestionada" (ATC 243/2013, de 22 de octubre, FJ 3), relación que sólo se dará si la norma de ley aplicable está no meramente incursa, acaso, en inconstitucionalidad, sino afectada, además, por un posible vicio de invalidez que condicione, precisamente, la resolución del juzgador [STC 3/2015, de 19 de enero, FJ 2 b)] a la vista del objeto del procedimiento en curso. Si así no fuera, si este Tribunal entrara a depurar eventuales infracciones legislativas de la Constitución no determinantes para la resolución del procedimiento judicial, la cuestión de inconstitucionalidad se convertiría en una vía para la discusión, en general y en abstracto, sobre la validez de normas con rango de ley en toda su extensión, función esta que la Constitución reserva, principalmente, al recurso de inconstitucionalidad (ATC 221/2014, de 9 de septiembre, FJ 3). Por ello mismo, por advertir que la hipotética inconstitucionalidad de una disposición de ley no resultaría, de confirmarse, determinante para la resolución del procedimiento </w:t>
      </w:r>
      <w:r w:rsidRPr="00AC56D6">
        <w:rPr>
          <w:i/>
        </w:rPr>
        <w:t>a quo</w:t>
      </w:r>
      <w:r>
        <w:t>, atendido su objeto propio, no hemos dejado de excluir por irrelevante, en ocasiones anteriores, el enjuiciamiento constitucional que por esta vía se nos planteaba (STC 319/1993, de 27 de octubre, FJ 5).</w:t>
      </w:r>
    </w:p>
    <w:p w:rsidR="00AC56D6" w:rsidRDefault="00AC56D6" w:rsidP="00AC56D6">
      <w:pPr>
        <w:pStyle w:val="TextoNormal"/>
      </w:pPr>
    </w:p>
    <w:p w:rsidR="00AC56D6" w:rsidRDefault="00AC56D6" w:rsidP="00AC56D6">
      <w:pPr>
        <w:pStyle w:val="TextoNormal"/>
      </w:pPr>
      <w:r>
        <w:t xml:space="preserve">En esta falta de relevancia incurre la duda del juzgador </w:t>
      </w:r>
      <w:r w:rsidRPr="00AC56D6">
        <w:rPr>
          <w:i/>
        </w:rPr>
        <w:t>a quo</w:t>
      </w:r>
      <w:r>
        <w:t xml:space="preserve"> sobre la conformidad o no al artículo 33.3 CE de la disposición adicional decimoquinta de la Ley 22/2011. Si esta regla legal respeta o contraviene dicho precepto constitucional, en sí mismo o en conexión con el artículo 24.1 CE, es algo cuya determinación no habría de tener repercusión alguna en el incidente de ejecución hoy en suspenso, en el que, como es notorio, no se juzga —conforme a su objeto propio— de la acomodación o no a Derecho de actos singulares en procedimientos de expropiación forzosa y con arreglo a la normativa, constitucional y legal, ordenadora de esta institución; actos cuyo enjuiciamiento puede tal vez estar en curso o quizá aún emprenderse, si a ello hubiere lugar, ante la jurisdicción, únicos procesos en los que, llegado el caso, podría resultar relevante, en pura hipótesis, una duda de constitucionalidad como la aquí planteada. El mismo Auto de planteamiento muestra bien a las claras la irrelevancia, en cuanto a este extremo, de la cuestión de inconstitucionalidad al exponer cómo, en virtud de la norma controvertida, los afectados por las expropiaciones convalidadas no podrían defender sus derechos e intereses “ante este Orden jurisdiccional contencioso-administrativo”. Pero la cuestión sólo sería relevante si tal defensa estuviera aquí planteada respecto de concretas actuaciones expropiatorias. Esto es, ante el propio Tribunal Supremo y en el incidente de ejecución del que conoce. No es este el caso.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lastRenderedPageBreak/>
        <w:t>Ha decidido</w:t>
      </w:r>
    </w:p>
    <w:p w:rsidR="00AC56D6" w:rsidRDefault="00AC56D6" w:rsidP="00AC56D6">
      <w:pPr>
        <w:pStyle w:val="TextoNormalCentrado"/>
        <w:keepNext/>
      </w:pPr>
    </w:p>
    <w:p w:rsidR="00AC56D6" w:rsidRDefault="00AC56D6" w:rsidP="00AC56D6">
      <w:pPr>
        <w:pStyle w:val="TextoNormal"/>
      </w:pPr>
      <w:r>
        <w:t>Desestimar la presente cuestión de inconstitucionalidad.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cinco de noviembre de dos mil quince.</w:t>
      </w:r>
    </w:p>
    <w:p w:rsidR="00AC56D6" w:rsidRDefault="00AC56D6" w:rsidP="00AC56D6">
      <w:pPr>
        <w:pStyle w:val="ParrafoNormal"/>
      </w:pPr>
    </w:p>
    <w:p w:rsidR="00AC56D6" w:rsidRDefault="00AC56D6" w:rsidP="00AC56D6">
      <w:pPr>
        <w:pStyle w:val="TextoNormalNegritaCentrado"/>
        <w:keepNext/>
      </w:pPr>
      <w:r>
        <w:t>Voto particular parcialmente concurrente que formula el Presidente, don Francisco Pérez de los Cobos Orihuel, a la Sentencia que resuelve la cuestión de inconstitucionalidad núm. 1066-2012 y al que se adhiere el Magistrado don Pedro José González-Trevijano Sánchez.</w:t>
      </w:r>
    </w:p>
    <w:p w:rsidR="00AC56D6" w:rsidRDefault="00AC56D6" w:rsidP="00AC56D6">
      <w:pPr>
        <w:pStyle w:val="TextoNormalNegritaCentrado"/>
        <w:keepNext/>
      </w:pPr>
    </w:p>
    <w:p w:rsidR="00AC56D6" w:rsidRDefault="00AC56D6" w:rsidP="00AC56D6">
      <w:pPr>
        <w:pStyle w:val="TextoNormal"/>
      </w:pPr>
      <w:r>
        <w:t>Con el debido respeto hacia la mayoría del Pleno del Tribunal Constitucional, a través de este Voto parcialmente concurrente, quiero poner de manifiesto que, compartiendo en lo sustancial el análisis sobre la infracción del artículo 24 CE, considero que la Sentencia obvia que, con el actual pronunciamiento, el Tribunal se separa de la doctrina que acababa de establecer en su Sentencia 50/2015, de 5 de marzo, respecto al alcance del derecho a la ejecución de Sentencias cuando éstas contienen un fallo meramente anulatorio de normas reglamentarias. Doctrina respecto de la que ya expresé mi disenso en el Voto particular que formulé a aquella Sentencia.</w:t>
      </w:r>
    </w:p>
    <w:p w:rsidR="00AC56D6" w:rsidRDefault="00AC56D6" w:rsidP="00AC56D6">
      <w:pPr>
        <w:pStyle w:val="TextoNormal"/>
      </w:pPr>
    </w:p>
    <w:p w:rsidR="00AC56D6" w:rsidRDefault="00AC56D6" w:rsidP="00AC56D6">
      <w:pPr>
        <w:pStyle w:val="TextoNormal"/>
      </w:pPr>
      <w:r>
        <w:t>En efecto, en su Sentencia 50/2015, el Tribunal consideró que la ley afectaba al derecho a la ejecución de la Sentencia pese a tratarse de una Sentencia meramente anulatoria de una disposición reglamentaria, en la medida en que la ley tenía un impacto sobre el alcance práctico y la efectividad del fallo (FJ 8). Ahora, por el contrario, se sostiene que aunque la ley produzca efectos sobre las consecuencias de la anulación del reglamento, ello no interfiere en sentido estricto con el fallo de la Sentencia en la medida en que ésta tiene un alcance puramente anulatorio y la ley ni convalida, ni rehabilita el reglamento ya expulsado del ordenamiento jurídico.</w:t>
      </w:r>
    </w:p>
    <w:p w:rsidR="00AC56D6" w:rsidRDefault="00AC56D6" w:rsidP="00AC56D6">
      <w:pPr>
        <w:pStyle w:val="TextoNormal"/>
      </w:pPr>
    </w:p>
    <w:p w:rsidR="00AC56D6" w:rsidRDefault="00AC56D6" w:rsidP="00AC56D6">
      <w:pPr>
        <w:pStyle w:val="TextoNormal"/>
      </w:pPr>
      <w:r>
        <w:t>Esto se afirma, además, pese a que, en el presente caso, a diferencia de lo que ocurría en el asunto anterior, sí ha habido un pronunciamiento del órgano judicial en fase de ejecución ordenando la paralización tanto de las obras como de los procedimientos expropiatorios y requiriendo a la Administración para que manifieste en qué estado se encuentran las obras a efectos de poder pronunciarse sobre la demolición solicitada por la parte. Las diferencias, tanto en la argumentación como en las conclusiones, entre esta Sentencia y la STC 50/2015 son, por tanto, manifiestas.</w:t>
      </w:r>
    </w:p>
    <w:p w:rsidR="00AC56D6" w:rsidRDefault="00AC56D6" w:rsidP="00AC56D6">
      <w:pPr>
        <w:pStyle w:val="TextoNormal"/>
      </w:pPr>
    </w:p>
    <w:p w:rsidR="00AC56D6" w:rsidRDefault="00AC56D6" w:rsidP="00AC56D6">
      <w:pPr>
        <w:pStyle w:val="TextoNormal"/>
      </w:pPr>
      <w:r>
        <w:t>Es cierto que, en la presente Sentencia, se insiste en que la anulación del reglamento ha respondido a vicios procedimentales, pero ello no elimina la disparidad con la doctrina anteriormente establecida, porque me parece que el argumento del tipo de vicio que llevó a la anulación del reglamento es un argumento secundario que no oculta que el fundamento principal de la Sentencia es otro: que no hay afectación al fallo por el mero hecho de que se vean interferidas consecuencias o efectos prácticos del mismo; que el órgano judicial no se pronunció en el fallo sobre medidas concretas; que el fallo se ejecutó mediante la expulsión del reglamento del ordenamiento jurídico; y que el problema que suscita la ley es un problema distinto al que planteó el Decreto.</w:t>
      </w:r>
    </w:p>
    <w:p w:rsidR="00AC56D6" w:rsidRDefault="00AC56D6" w:rsidP="00AC56D6">
      <w:pPr>
        <w:pStyle w:val="TextoNormal"/>
      </w:pPr>
    </w:p>
    <w:p w:rsidR="00AC56D6" w:rsidRDefault="00AC56D6" w:rsidP="00AC56D6">
      <w:pPr>
        <w:pStyle w:val="TextoNormal"/>
      </w:pPr>
      <w:r>
        <w:t>Una opinión que suscribo y que coincide con la que ya expresé en el Voto particular a la STC 50/2015. En relación con aquel asunto sostuve, además, que hubiera procedido la inadmisión porque al no existir pronunciamiento alguno del órgano judicial en fase de ejecución sobre medidas concretas, el planteamiento de la cuestión de inconstitucionalidad convertía a ésta virtualmente en un recurso de inconstitucionalidad para la que el órgano judicial carecía de legitimación.</w:t>
      </w:r>
    </w:p>
    <w:p w:rsidR="00AC56D6" w:rsidRDefault="00AC56D6" w:rsidP="00AC56D6">
      <w:pPr>
        <w:pStyle w:val="TextoNormal"/>
      </w:pPr>
    </w:p>
    <w:p w:rsidR="00AC56D6" w:rsidRDefault="00AC56D6" w:rsidP="00AC56D6">
      <w:pPr>
        <w:pStyle w:val="TextoNormal"/>
      </w:pPr>
      <w:r>
        <w:t xml:space="preserve">En el presente asunto, la argumentación ha de ser más matizada, pues, en la medida en que el órgano judicial ordenó en incidente de ejecución la paralización de las obras y solicitó a la Administración información a efectos de una eventual reposición de las cosas a su estado anterior, la cuestión de inconstitucionalidad planteada no podía considerarse notoriamente infundada y merecedora de una inadmisión </w:t>
      </w:r>
      <w:r w:rsidRPr="00AC56D6">
        <w:rPr>
          <w:i/>
        </w:rPr>
        <w:t>a limine ex</w:t>
      </w:r>
      <w:r>
        <w:t xml:space="preserve"> art. 37.1 LOTC.</w:t>
      </w:r>
    </w:p>
    <w:p w:rsidR="00AC56D6" w:rsidRDefault="00AC56D6" w:rsidP="00AC56D6">
      <w:pPr>
        <w:pStyle w:val="TextoNormal"/>
      </w:pPr>
    </w:p>
    <w:p w:rsidR="00AC56D6" w:rsidRDefault="00AC56D6" w:rsidP="00AC56D6">
      <w:pPr>
        <w:pStyle w:val="TextoNormal"/>
      </w:pPr>
      <w:r>
        <w:t>Ahora bien, la doctrina sobre el alcance del derecho a la ejecución de las sentencias anulatorias de normas reglamentarias es necesariamente la misma en este caso y en el resuelto en la STC 50/2015 y es mi opinión, ya expresada en mi anterior Voto particular, que la mera interferencia de una ley con las consecuencias o efectos de la anulación del reglamento no es suficiente para considerar infringido el art. 24 CE, ya que el fallo de la Sentencia ha de entenderse cumplido con la expulsión del ordenamiento jurídico de la norma reglamentaria.</w:t>
      </w:r>
    </w:p>
    <w:p w:rsidR="00AC56D6" w:rsidRDefault="00AC56D6" w:rsidP="00AC56D6">
      <w:pPr>
        <w:pStyle w:val="TextoNormal"/>
      </w:pPr>
    </w:p>
    <w:p w:rsidR="00AC56D6" w:rsidRDefault="00AC56D6" w:rsidP="00AC56D6">
      <w:pPr>
        <w:pStyle w:val="TextoNormal"/>
      </w:pPr>
      <w:r>
        <w:t xml:space="preserve">Siendo esto así es evidente que la desestimación en el caso que ahora nos ocupa de la supuesta infracción del derecho a la tutela judicial efectiva en su vertiente de derecho a la ejecución de sentencias es materialmente una inadmisión pues responde a la idea de que la ley cuestionada no afecta a la ejecución de la Sentencia en el proceso </w:t>
      </w:r>
      <w:r w:rsidRPr="00AC56D6">
        <w:rPr>
          <w:i/>
        </w:rPr>
        <w:t>a quo</w:t>
      </w:r>
      <w:r>
        <w:t xml:space="preserve"> y, por tanto, no es ni aplicable ni relevante para el mismo. Por ello, precisamente, considero que el Tribunal no debería haber entrado a analizar —como hace en la Sentencia— si concurría o no la vulneración del art. 9.3 CE, ya que al no ser la ley aplicable al caso —por no afectar a la ejecución del fallo— ese análisis se convierte en un examen abstracto de la ley impropio de una cuestión de inconstitucionalidad y característico, de nuevo, de un recurso de inconstitucionalidad para cuya interposición el órgano judicial carece de legitimación.</w:t>
      </w:r>
    </w:p>
    <w:p w:rsidR="00AC56D6" w:rsidRDefault="00AC56D6" w:rsidP="00AC56D6">
      <w:pPr>
        <w:pStyle w:val="TextoNormal"/>
      </w:pPr>
    </w:p>
    <w:p w:rsidR="00AC56D6" w:rsidRDefault="00AC56D6" w:rsidP="00AC56D6">
      <w:pPr>
        <w:pStyle w:val="TextoNormal"/>
      </w:pPr>
      <w:r>
        <w:t>Quede pues constancia de que mi coincidencia parcial con la Sentencia que ahora se dicta es coherente con el Voto particular que en su día formulé a la Sentencia 50/2015, en la medida en que —aún sin reconocerlo expresamente— el Tribunal se aparta, con su presente resolución, de aquella doctrina y establece una bien distinta que, en mi opinión, es la correcta.</w:t>
      </w:r>
    </w:p>
    <w:p w:rsidR="00AC56D6" w:rsidRDefault="00AC56D6" w:rsidP="00AC56D6">
      <w:pPr>
        <w:pStyle w:val="TextoNormal"/>
      </w:pPr>
    </w:p>
    <w:p w:rsidR="00AC56D6" w:rsidRDefault="00AC56D6" w:rsidP="00AC56D6">
      <w:pPr>
        <w:pStyle w:val="TextoNormal"/>
      </w:pPr>
      <w:r>
        <w:t>Madrid, a cinco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88" w:name="SENTENCIA_2015_232"/>
      <w:r>
        <w:lastRenderedPageBreak/>
        <w:t>SENTENCIA 232/2015, de 5 de noviembre de 2015</w:t>
      </w:r>
    </w:p>
    <w:bookmarkEnd w:id="88"/>
    <w:p w:rsidR="00AC56D6" w:rsidRDefault="00AC56D6" w:rsidP="00AC56D6">
      <w:pPr>
        <w:pStyle w:val="TtuloResolucin"/>
      </w:pPr>
      <w:r>
        <w:t>Pleno</w:t>
      </w:r>
    </w:p>
    <w:p w:rsidR="00AC56D6" w:rsidRDefault="00AC56D6" w:rsidP="00AC56D6">
      <w:pPr>
        <w:pStyle w:val="TtuloBOE"/>
      </w:pPr>
      <w:r>
        <w:t>(BOE núm. 296, de 11 de diciembre de 2015)</w:t>
      </w:r>
    </w:p>
    <w:p w:rsidR="00AC56D6" w:rsidRDefault="00AC56D6" w:rsidP="00AC56D6">
      <w:pPr>
        <w:pStyle w:val="TextoNormalCentrado"/>
      </w:pPr>
      <w:r>
        <w:t>ECLI:ES:TC:2015:232</w:t>
      </w:r>
    </w:p>
    <w:p w:rsidR="00AC56D6" w:rsidRDefault="00AC56D6" w:rsidP="00AC56D6">
      <w:pPr>
        <w:pStyle w:val="TextoNormalCentrado"/>
      </w:pPr>
    </w:p>
    <w:p w:rsidR="00AC56D6" w:rsidRDefault="00AC56D6" w:rsidP="00AC56D6">
      <w:pPr>
        <w:pStyle w:val="SntesisDescriptiva"/>
      </w:pPr>
      <w:r>
        <w:t>Recurso de amparo 1709-2013. Promovido por don Epifanio Quirós Tejado respecto de la Sentencia dictada por la Sala de lo Contencioso-Administrativo del Tribunal Superior de Justicia de Madrid confirmatoria de la resolución administrativa de denegación del reconocimiento de los sexenios solicitados.</w:t>
      </w:r>
    </w:p>
    <w:p w:rsidR="00AC56D6" w:rsidRDefault="00AC56D6" w:rsidP="00AC56D6">
      <w:pPr>
        <w:pStyle w:val="SntesisDescriptiva"/>
      </w:pPr>
    </w:p>
    <w:p w:rsidR="00AC56D6" w:rsidRDefault="00AC56D6" w:rsidP="00AC56D6">
      <w:pPr>
        <w:pStyle w:val="SntesisAnaltica"/>
      </w:pPr>
      <w:r>
        <w:t>Vulneración del derecho a la tutela judicial efectiva: infracción del principio de primacía del Derecho de la Unión Europea al inaplicar una Directiva sin motivar la oportunidad o conveniencia de plantear una nueva cuestión prejudicial en un supuesto idéntico al resuelto por el Tribunal de Justicia de la Unión Europea en el asunto Lorenzo Martínez (STC 145/2012).</w:t>
      </w:r>
    </w:p>
    <w:p w:rsidR="00AC56D6" w:rsidRDefault="00AC56D6" w:rsidP="00AC56D6">
      <w:pPr>
        <w:pStyle w:val="SntesisAnaltica"/>
      </w:pPr>
    </w:p>
    <w:p w:rsidR="00AC56D6" w:rsidRDefault="00AC56D6" w:rsidP="00AC56D6">
      <w:pPr>
        <w:pStyle w:val="Extracto"/>
      </w:pPr>
      <w:r>
        <w:t>1.</w:t>
      </w:r>
      <w:r>
        <w:tab/>
        <w:t>La inaplicación de la Directiva 1999/70/CE por la resolución judicial objeto de amparo, sin motivar la oportunidad de plantear una nueva cuestión prejudicial, infringió el principio de primacía del Derecho de la Unión, el cual obligaba a aplicar la cláusula invocada por el recurrente tal y como había sido interpretada por el Tribunal de Justicia de la Unión Europea para asuntos semejantes, con preferencia sobre el Derecho interno incompatible [FJ 6.b].</w:t>
      </w:r>
    </w:p>
    <w:p w:rsidR="00AC56D6" w:rsidRDefault="00AC56D6" w:rsidP="00AC56D6">
      <w:pPr>
        <w:pStyle w:val="Extracto"/>
      </w:pPr>
    </w:p>
    <w:p w:rsidR="00AC56D6" w:rsidRDefault="00AC56D6" w:rsidP="00AC56D6">
      <w:pPr>
        <w:pStyle w:val="Extracto"/>
      </w:pPr>
      <w:r>
        <w:t>2.</w:t>
      </w:r>
      <w:r>
        <w:tab/>
        <w:t>La resolución judicial objeto de amparo incurrió, al infringir el principio de primacía, en una selección irrazonable y arbitraria de una norma aplicada al proceso y, consiguientemente, vulneró el derecho a la tutela judicial efectiva del recurrente [FJ 6.b].</w:t>
      </w:r>
    </w:p>
    <w:p w:rsidR="00AC56D6" w:rsidRDefault="00AC56D6" w:rsidP="00AC56D6">
      <w:pPr>
        <w:pStyle w:val="Extracto"/>
      </w:pPr>
    </w:p>
    <w:p w:rsidR="00AC56D6" w:rsidRDefault="00AC56D6" w:rsidP="00AC56D6">
      <w:pPr>
        <w:pStyle w:val="Extracto"/>
      </w:pPr>
      <w:r>
        <w:t>3.</w:t>
      </w:r>
      <w:r>
        <w:tab/>
        <w:t>Ni el fenómeno de la integración europea, ni el art. 93 de la Constitución a través del que ésta se instrumenta, ni el principio de primacía del Derecho de la Unión que rige las relaciones entre ambos ordenamientos, han dotado a las normas del Derecho de la Unión Europea “de rango y fuerza constitucionales” (STC 215/2014) [FJ 4].</w:t>
      </w:r>
    </w:p>
    <w:p w:rsidR="00AC56D6" w:rsidRDefault="00AC56D6" w:rsidP="00AC56D6">
      <w:pPr>
        <w:pStyle w:val="Extracto"/>
      </w:pPr>
    </w:p>
    <w:p w:rsidR="00AC56D6" w:rsidRDefault="00AC56D6" w:rsidP="00AC56D6">
      <w:pPr>
        <w:pStyle w:val="Extracto"/>
      </w:pPr>
      <w:r>
        <w:t>4.</w:t>
      </w:r>
      <w:r>
        <w:tab/>
        <w:t xml:space="preserve">El derecho a la tutela judicial efectiva comprende el derecho a una resolución congruente, una congruencia que debe referirse no solo a las pretensiones oportunamente deducidas, conformadas por el </w:t>
      </w:r>
      <w:r w:rsidRPr="00AC56D6">
        <w:rPr>
          <w:i/>
        </w:rPr>
        <w:t>petitum</w:t>
      </w:r>
      <w:r>
        <w:t xml:space="preserve"> y la </w:t>
      </w:r>
      <w:r w:rsidRPr="00AC56D6">
        <w:rPr>
          <w:i/>
        </w:rPr>
        <w:t>causa petendi</w:t>
      </w:r>
      <w:r>
        <w:t>, sino también, muy especialmente, a todas las alegaciones sustanciales deducidas por las partes (STC 204/2009) [FJ 4].</w:t>
      </w:r>
    </w:p>
    <w:p w:rsidR="00AC56D6" w:rsidRDefault="00AC56D6" w:rsidP="00AC56D6">
      <w:pPr>
        <w:pStyle w:val="Extracto"/>
      </w:pPr>
    </w:p>
    <w:p w:rsidR="00AC56D6" w:rsidRDefault="00AC56D6" w:rsidP="00AC56D6">
      <w:pPr>
        <w:pStyle w:val="Extracto"/>
      </w:pPr>
      <w:r>
        <w:t>5.</w:t>
      </w:r>
      <w:r>
        <w:tab/>
        <w:t>La obligación de plantear la cuestión prejudicial desaparece, aun tratándose de decisiones de órganos jurisdiccionales nacionales que no son susceptibles de un recurso judicial conforme al Derecho interno, tanto cuando la cuestión planteada fuese materialmente idéntica a otra que haya sido objeto de una decisión prejudicial en caso análogo, como cuando la correcta aplicación del Derecho comunitario puede imponerse con tal evidencia que no deje lugar a ninguna duda razonable sobre la solución de la cuestión planteada [FJ 4].</w:t>
      </w:r>
    </w:p>
    <w:p w:rsidR="00AC56D6" w:rsidRDefault="00AC56D6" w:rsidP="00AC56D6">
      <w:pPr>
        <w:pStyle w:val="Extracto"/>
      </w:pPr>
    </w:p>
    <w:p w:rsidR="00AC56D6" w:rsidRDefault="00AC56D6" w:rsidP="00AC56D6">
      <w:pPr>
        <w:pStyle w:val="Extracto"/>
      </w:pPr>
      <w:r>
        <w:lastRenderedPageBreak/>
        <w:t>6.</w:t>
      </w:r>
      <w:r>
        <w:tab/>
        <w:t>La especial trascendencia constitucional reside en la oportunidad de desarrollar la doctrina sobre la relevancia constitucional del incumplimiento del Derecho de la Unión Europea, así como de valorar la procedencia de mantener o matizar nuestra doctrina acerca de la proyección del derecho a la igualdad entre situaciones funcionariales [FJ 2].</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amparo núm. 1709-2013, promovido por don Epifanio Quirós Tejado, representado por el Procurador de los Tribunales don José Antonio Sandín Fernández y asistido por el Letrado don Alfredo Sepúlveda Sánchez, contra la Sentencia dictada por la Sala de lo Contencioso-Administrativo del Tribunal Superior de Justicia de Madrid (Sección Séptima) en fecha 7 de diciembre de 2012 (recurso de apelación núm. 246-2012), por la que se deniega al recurrente, funcionario interino, el reconocimiento de los sexenios solicitados, y contra la providencia de 21 de febrero de 2013 por la que se inadmite el incidente de nulidad de actuaciones promovido frente a la anterior resolución. Ha sido parte la Comunidad Autónoma de Madrid; ha intervenido el Ministerio Fiscal, y ha sido Ponente el Magistrado don Ricardo Enríquez Sancho,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Por escrito presentado en el Registro General de este Tribunal el día 21 de marzo de 2013, la representación de don Epifanio Quirós Tejado interpuso recurso de amparo contra las resoluciones judiciales que se citan en el encabezamiento.</w:t>
      </w:r>
    </w:p>
    <w:p w:rsidR="00AC56D6" w:rsidRDefault="00AC56D6" w:rsidP="00AC56D6">
      <w:pPr>
        <w:pStyle w:val="TextoNormal"/>
      </w:pPr>
    </w:p>
    <w:p w:rsidR="00AC56D6" w:rsidRDefault="00AC56D6" w:rsidP="00AC56D6">
      <w:pPr>
        <w:pStyle w:val="TextoNormal"/>
      </w:pPr>
      <w:r w:rsidRPr="00AC56D6">
        <w:rPr>
          <w:rStyle w:val="NumeroAFNegritaCaracter"/>
        </w:rPr>
        <w:t>2</w:t>
      </w:r>
      <w:r>
        <w:t>. La demanda de amparo tiene su origen en los siguientes antecedentes:</w:t>
      </w:r>
    </w:p>
    <w:p w:rsidR="00AC56D6" w:rsidRDefault="00AC56D6" w:rsidP="00AC56D6">
      <w:pPr>
        <w:pStyle w:val="TextoNormal"/>
      </w:pPr>
    </w:p>
    <w:p w:rsidR="00AC56D6" w:rsidRDefault="00AC56D6" w:rsidP="00AC56D6">
      <w:pPr>
        <w:pStyle w:val="TextoNormal"/>
      </w:pPr>
      <w:r>
        <w:t>a) El Sr. Quirós ha trabajado como funcionario interino para la Administración desempeñando las funciones propias del cuerpo de profesores de secundaria desde el 1 de diciembre de 1991, y en la fecha de la demanda ante el orden jurisdiccional contencioso-administrativo prestaba sus servicios en tal condición en el instituto de educación secundaria “El Olivo” de Parla.</w:t>
      </w:r>
    </w:p>
    <w:p w:rsidR="00AC56D6" w:rsidRDefault="00AC56D6" w:rsidP="00AC56D6">
      <w:pPr>
        <w:pStyle w:val="TextoNormal"/>
      </w:pPr>
    </w:p>
    <w:p w:rsidR="00AC56D6" w:rsidRDefault="00AC56D6" w:rsidP="00AC56D6">
      <w:pPr>
        <w:pStyle w:val="TextoNormal"/>
      </w:pPr>
      <w:r>
        <w:lastRenderedPageBreak/>
        <w:t>b) Mediante escrito presentado ante la Comunidad Autónoma de Madrid el 11 de diciembre de 2009, el recurrente solicitó de la Consejería de Educación el reconocimiento del derecho a percibir el complemento específico por formación permanente asociado a la permanencia por periodos de seis años como funcionario de carrera en la función pública establecido por acuerdo del Consejo de Ministros de 11 de octubre de 1991 (complementos popularmente conocidos y a los que en adelante nos referiremos como “sexenios”). En esa solicitud invocaba la normativa nacional o interna que consideraba aplicable al caso y, sobre todo, la Directiva 1999/70/CE, del Consejo, de 28 de junio de 1999, relativa al acuerdo marco de la Confederación Europea de Sindicatos, la Unión de Confederaciones de la Industria Europea y el Centro Europeo de la Empresa Pública sobre el trabajo de duración determinada, que, a su juicio, obligaba a reconocer a un funcionario interino como él un complemento salarial como el reclamado —establecido solo para “funcionarios de carrera” en el citado acuerdo— en aplicación del “principio de no discriminación” establecido en la cláusula 4, punto 1, del acuerdo marco incluido en el anexo de la citada Directiva, que establece:</w:t>
      </w:r>
    </w:p>
    <w:p w:rsidR="00AC56D6" w:rsidRDefault="00AC56D6" w:rsidP="00AC56D6">
      <w:pPr>
        <w:pStyle w:val="TextoNormal"/>
      </w:pPr>
    </w:p>
    <w:p w:rsidR="00AC56D6" w:rsidRDefault="00AC56D6" w:rsidP="00AC56D6">
      <w:pPr>
        <w:pStyle w:val="TextoNormal"/>
      </w:pPr>
      <w:r>
        <w:t>“Por lo que respecta a las condiciones de trabajo, no podrá tratarse a los trabajadores con un contrato de duración determinada de una manera menos favorable que a los trabajadores fijos comparables por el mero hecho de tener un contrato de duración determinada, a menos que se justifique un trato diferente por razones objetivas.”</w:t>
      </w:r>
    </w:p>
    <w:p w:rsidR="00AC56D6" w:rsidRDefault="00AC56D6" w:rsidP="00AC56D6">
      <w:pPr>
        <w:pStyle w:val="TextoNormal"/>
      </w:pPr>
    </w:p>
    <w:p w:rsidR="00AC56D6" w:rsidRDefault="00AC56D6" w:rsidP="00AC56D6">
      <w:pPr>
        <w:pStyle w:val="TextoNormal"/>
      </w:pPr>
      <w:r>
        <w:t>c) Transcurridos más de tres meses desde la presentación de su solicitud, y por entender que la misma había sido desestimada por silencio administrativo de conformidad con las normas aplicables, el día 16 de abril de 2010 el interesado interpuso contra la citada desestimación presunta recurso “de alzada”. Dicho recurso, que la Administración calificó y tramitó como “recurso potestativo de reposición”, fue desestimado por la Orden núm. 5330-2010, de 20 de octubre, de la Consejería de Educación de la Comunidad de Madrid. Según la citada resolución, el acuerdo del Consejo de Ministros de 11 de octubre de 1991 que creó el complemento salarial reclamado identifica como titulares de ese derecho solamente a los “funcionarios de carrera”, de modo que los funcionarios interinos no tienen derecho al mismo. Y lo mismo hace la normativa correspondiente de la Comunidad de Madrid. En consecuencia, la condición de funcionario interino del solicitante impide reconocerle el derecho al complemento salarial solicitado.</w:t>
      </w:r>
    </w:p>
    <w:p w:rsidR="00AC56D6" w:rsidRDefault="00AC56D6" w:rsidP="00AC56D6">
      <w:pPr>
        <w:pStyle w:val="TextoNormal"/>
      </w:pPr>
    </w:p>
    <w:p w:rsidR="00AC56D6" w:rsidRDefault="00AC56D6" w:rsidP="00AC56D6">
      <w:pPr>
        <w:pStyle w:val="TextoNormal"/>
      </w:pPr>
      <w:r>
        <w:t>d) Contra la citada resolución administrativa, el interesado interpuso recurso contencioso-administrativo que fue turnado al Juzgado núm. 24 del citado orden jurisdiccional de los de Madrid, el cual, con fecha 21 de septiembre de 2011 dictó Sentencia estimando en parte el recurso interpuesto, anulando el acto impugnado y reconociendo el derecho del recurrente “a que le sean reconocidos los sexenios perfeccionados a efectos administrativos y económicos”.</w:t>
      </w:r>
    </w:p>
    <w:p w:rsidR="00AC56D6" w:rsidRDefault="00AC56D6" w:rsidP="00AC56D6">
      <w:pPr>
        <w:pStyle w:val="TextoNormal"/>
      </w:pPr>
    </w:p>
    <w:p w:rsidR="00AC56D6" w:rsidRDefault="00AC56D6" w:rsidP="00AC56D6">
      <w:pPr>
        <w:pStyle w:val="TextoNormal"/>
      </w:pPr>
      <w:r>
        <w:t xml:space="preserve">La Sentencia alcanza esa conclusión con cita del art. 25 de la Ley 7/2007, de 12 de abril, por la que se regula el estatuto básico del empleado público (LEEP), que regula las retribuciones de los funcionarios interinos, y de la Sentencia del entonces denominado Tribunal de Justicia de las Comunidades Europeas de 13 de septiembre de 2007 en el asunto C-307/05 (asunto </w:t>
      </w:r>
      <w:r w:rsidRPr="00AC56D6">
        <w:rPr>
          <w:i/>
        </w:rPr>
        <w:t>del Cerro Alonso</w:t>
      </w:r>
      <w:r>
        <w:t xml:space="preserve">), que declaró que “[e]l concepto de ‘condiciones de trabajo’ a que se refiere la cláusula 4, punto 1, del Acuerdo marco sobre el trabajo de duración determinada, celebrado el 18 de marzo de 1999, que figura como Anexo en la Directiva 1999/70/CE </w:t>
      </w:r>
      <w:r>
        <w:lastRenderedPageBreak/>
        <w:t>del Consejo, de 28 de junio de 1999 … debe interpretarse en el sentido de que puede servir de fundamento a una pretensión como la controvertida en el procedimiento principal, dirigida a que se asigne a un trabajador con un contrato de duración determinada una prima de antigüedad reservada por el derecho nacional únicamente a los trabajadores fijos” y que esa misma cláusula “debe interpretarse en el sentido de que se opone al establecimiento de una diferencia de trato entre trabajadores con un contrato de duración determinada y trabajadores fijos que esté justificada por la mera circunstancia de que esté prevista por una disposición legal o reglamentaria de un estado miembro o por un convenio colectivo celebrado entre la representación sindical del personal y el empleador”.</w:t>
      </w:r>
    </w:p>
    <w:p w:rsidR="00AC56D6" w:rsidRDefault="00AC56D6" w:rsidP="00AC56D6">
      <w:pPr>
        <w:pStyle w:val="TextoNormal"/>
      </w:pPr>
    </w:p>
    <w:p w:rsidR="00AC56D6" w:rsidRDefault="00AC56D6" w:rsidP="00AC56D6">
      <w:pPr>
        <w:pStyle w:val="TextoNormal"/>
      </w:pPr>
      <w:r>
        <w:t>“En consecuencia”, remata la Sentencia del Juzgado, “no existiendo ninguna distinción en la normativa de aplicación para el complemento reclamado entre funcionarios de carrera o funcionarios interinos, que el art. 25 [LEEP] reconoce a los funcionarios interinos las retribuciones y que la Directiva 1999/70/CE proscribe la discriminación entre funcionarios de carrera e interinos, procede reconocer al recurrente el derecho a que le sea reconocido y abonado el complemento de formación continuada o sexenios, para evitar la discriminación entre trabajadores fijos e interinos, salvo por razones objetivas que no se producen en este caso”.</w:t>
      </w:r>
    </w:p>
    <w:p w:rsidR="00AC56D6" w:rsidRDefault="00AC56D6" w:rsidP="00AC56D6">
      <w:pPr>
        <w:pStyle w:val="TextoNormal"/>
      </w:pPr>
    </w:p>
    <w:p w:rsidR="00AC56D6" w:rsidRDefault="00AC56D6" w:rsidP="00AC56D6">
      <w:pPr>
        <w:pStyle w:val="TextoNormal"/>
      </w:pPr>
      <w:r>
        <w:t>En definitiva, la Sentencia del Juzgado estimaba el recurso en aplicación de la normativa y jurisprudencia comunitaria expuesta, aunque la citada estimación era solo parcial porque la Sentencia no estimaba la reclamación de cantidad efectuada por el actor en su demanda, al no haber aportado documentación justificativa del “número” y “perfeccionamiento de dichos sexenios”, y por tanto se limitaba a declarar el derecho a “solicitar su abono de la Administración una vez reconocido el derecho a ello”.</w:t>
      </w:r>
    </w:p>
    <w:p w:rsidR="00AC56D6" w:rsidRDefault="00AC56D6" w:rsidP="00AC56D6">
      <w:pPr>
        <w:pStyle w:val="TextoNormal"/>
      </w:pPr>
    </w:p>
    <w:p w:rsidR="00AC56D6" w:rsidRDefault="00AC56D6" w:rsidP="00AC56D6">
      <w:pPr>
        <w:pStyle w:val="TextoNormal"/>
      </w:pPr>
      <w:r>
        <w:t>e) El Letrado de la Comunidad de Madrid interpuso contra la citada Sentencia recurso de apelación ante la Sala de lo Contencioso-Administrativo del Tribunal Superior de Justicia de Madrid. En su escrito, ponía de manifiesto que el acuerdo del Consejo de Ministros de 11 de octubre de 1991 tenía como exclusivo ámbito de aplicación a los “funcionarios de carrera”, y que el art. 25 LEEP y la normativa de desarrollo de la Comunidad Autónoma solamente reconocen el derecho de los funcionarios interinos a cobrar los “trienios correspondientes a los servicios prestados” (art. 25.2 LEEP), sin hacer ninguna mención a los denominados “sexenios”. Por consiguiente, no era posible hacer la equiparación que hacía la Sentencia recurrida.</w:t>
      </w:r>
    </w:p>
    <w:p w:rsidR="00AC56D6" w:rsidRDefault="00AC56D6" w:rsidP="00AC56D6">
      <w:pPr>
        <w:pStyle w:val="TextoNormal"/>
      </w:pPr>
    </w:p>
    <w:p w:rsidR="00AC56D6" w:rsidRDefault="00AC56D6" w:rsidP="00AC56D6">
      <w:pPr>
        <w:pStyle w:val="TextoNormal"/>
      </w:pPr>
      <w:r>
        <w:t>El interesado presentó escrito impugnando el recurso de apelación interpuesto de contrario, tras lo cual el Juzgado, de conformidad con lo dispuesto en el art. 85.5 de la Ley reguladora de la jurisdicción contencioso-administrativa, elevó los autos a la Sala de lo Contencioso-Administrativo del Tribunal Superior de Justicia de Madrid, órgano competente para su resolución, que turnó dicho recurso a la Sección Séptima de conformidad con las normas de reparto.</w:t>
      </w:r>
    </w:p>
    <w:p w:rsidR="00AC56D6" w:rsidRDefault="00AC56D6" w:rsidP="00AC56D6">
      <w:pPr>
        <w:pStyle w:val="TextoNormal"/>
      </w:pPr>
    </w:p>
    <w:p w:rsidR="00AC56D6" w:rsidRDefault="00AC56D6" w:rsidP="00AC56D6">
      <w:pPr>
        <w:pStyle w:val="TextoNormal"/>
      </w:pPr>
      <w:r>
        <w:t>Estando pendiente de resolución el recurso ante la referida Sección, y señalada la votación y fallo para el día 28 de noviembre de 2012, la representación procesal del Sr. Quirós presentó un escrito ante la Sala el día 18 de septiembre de 2012 junto con el que aportaba “a título ilustrativo” copia del Auto del Tribunal de Justicia de la Unión Europea de 9 de febrero de 2012, asunto C-556/11 (</w:t>
      </w:r>
      <w:r w:rsidRPr="00AC56D6">
        <w:rPr>
          <w:i/>
        </w:rPr>
        <w:t>Lorenzo Martínez</w:t>
      </w:r>
      <w:r>
        <w:t xml:space="preserve">), que se refiere a un caso idéntico al </w:t>
      </w:r>
      <w:r>
        <w:lastRenderedPageBreak/>
        <w:t>suyo y considera contrario a la cláusula 4.1 de la Directiva 1999/70/CE la normativa nacional española “que reserva, sin ninguna justificación por razones objetivas, el derecho a percibir el complemento retributivo por formación permanente únicamente a los profesores funcionarios de carrera, excluyendo a los profesores funcionarios interinos, cuando, en relación con la percepción de dicho complemento, ambas categorías de trabajadores se hallan en situaciones comparables”.</w:t>
      </w:r>
    </w:p>
    <w:p w:rsidR="00AC56D6" w:rsidRDefault="00AC56D6" w:rsidP="00AC56D6">
      <w:pPr>
        <w:pStyle w:val="TextoNormal"/>
      </w:pPr>
    </w:p>
    <w:p w:rsidR="00AC56D6" w:rsidRDefault="00AC56D6" w:rsidP="00AC56D6">
      <w:pPr>
        <w:pStyle w:val="TextoNormal"/>
      </w:pPr>
      <w:r>
        <w:t>Por providencia de 26 de septiembre de 2012 la Sección Séptima tuvo por recibido el escrito presentado por la representación del Sr. Quirós, lo unió al recurso y dio copia a la parte contraria.</w:t>
      </w:r>
    </w:p>
    <w:p w:rsidR="00AC56D6" w:rsidRDefault="00AC56D6" w:rsidP="00AC56D6">
      <w:pPr>
        <w:pStyle w:val="TextoNormal"/>
      </w:pPr>
    </w:p>
    <w:p w:rsidR="00AC56D6" w:rsidRDefault="00AC56D6" w:rsidP="00AC56D6">
      <w:pPr>
        <w:pStyle w:val="TextoNormal"/>
      </w:pPr>
      <w:r>
        <w:t>El 7 de diciembre de 2012, la Sección dictó Sentencia estimando el recurso de apelación interpuesto por el Letrado de la Comunidad de Madrid, revocando la Sentencia apelada y declarando conforme a derecho la resolución administrativa recurrida en la instancia. La Sentencia se remite a otros pronunciamientos anteriores de la misma Sala, y en concreto a la Sentencia de la Sección Tercera de 16 de enero de 2010 (recurso núm. 283-2010), para razonar, por lo que aquí importa, que sí existen “razones objetivas” que justifican, de conformidad con lo establecido en la citada Directiva, el trato diferente dispensado al recurrente, profesor interino, respecto a los profesores que son funcionarios de carrera. Así lo explica la citada Sentencia:</w:t>
      </w:r>
    </w:p>
    <w:p w:rsidR="00AC56D6" w:rsidRDefault="00AC56D6" w:rsidP="00AC56D6">
      <w:pPr>
        <w:pStyle w:val="TextoNormal"/>
      </w:pPr>
    </w:p>
    <w:p w:rsidR="00AC56D6" w:rsidRDefault="00AC56D6" w:rsidP="00AC56D6">
      <w:pPr>
        <w:pStyle w:val="TextoNormal"/>
      </w:pPr>
      <w:r>
        <w:t>“Múltiples Sentencias del Tribunal Supremo señalan que desvanecida la primera impresión de afinidad entre quienes son funcionarios de carrera y quienes no lo son, que provocan las notas de ser personal incorporado a la Administración a través de la relación de servicios profesionales retribuidos sometida al Derecho Administrativo, son muchas las diferencias existentes entre ambos (sistema de selección, acceso, traslados, procedimiento organizativo interno, régimen de permanencia, etc.); diferencias de régimen jurídico existentes ya desde la Ley de Funcionarios Civiles del Estado, Texto Articulado aprobado por Decreto 315/1964, de 7 de Febrero y mantenida por la legislación posterior, que establecen al funcionario interino como una especie funcionarial diferenciada sustancialmente del funcionario de carrera, lo que va a incidir necesariamente en el marco de sus derechos.</w:t>
      </w:r>
    </w:p>
    <w:p w:rsidR="00AC56D6" w:rsidRDefault="00AC56D6" w:rsidP="00AC56D6">
      <w:pPr>
        <w:pStyle w:val="TextoNormal"/>
      </w:pPr>
    </w:p>
    <w:p w:rsidR="00AC56D6" w:rsidRDefault="00AC56D6" w:rsidP="00AC56D6">
      <w:pPr>
        <w:pStyle w:val="TextoNormal"/>
      </w:pPr>
      <w:r>
        <w:t>Dicha singularidad de los funcionarios interinos respecto a los de carrera ni es contraria al principio de igualdad ni vulnera, en principio, la Directiva Comunitaria al existir razones objetivas que pueden justificar la diferencia de trato, y eso es lo que ocurre en el supuesto debatido, por cuanto que el componente de formación permanente está íntimamente vinculado con la carrera profesional del funcionario, y tiene por finalidad reconocer el interés del funcionario, en seguir formándose con posterioridad a su ingreso en la función pública tras la superación de los procesos de selección correspondientes.</w:t>
      </w:r>
    </w:p>
    <w:p w:rsidR="00AC56D6" w:rsidRDefault="00AC56D6" w:rsidP="00AC56D6">
      <w:pPr>
        <w:pStyle w:val="TextoNormal"/>
      </w:pPr>
    </w:p>
    <w:p w:rsidR="00AC56D6" w:rsidRDefault="00AC56D6" w:rsidP="00AC56D6">
      <w:pPr>
        <w:pStyle w:val="TextoNormal"/>
      </w:pPr>
      <w:r>
        <w:t>Pues bien, aplicando dichos razonamientos al presente caso, es evidente la procedencia de estimar el presente recurso de apelación y declarar conforme a derecho la Orden de 20 de octubre de 2010 de la Consejería de Educación que desestimaba el recurso de reposición formulado contra la desestimación por silencio de la reclamación de solicitud de complemento de formación (sexenios) efectuada por el hoy apelado.”</w:t>
      </w:r>
    </w:p>
    <w:p w:rsidR="00AC56D6" w:rsidRDefault="00AC56D6" w:rsidP="00AC56D6">
      <w:pPr>
        <w:pStyle w:val="TextoNormal"/>
      </w:pPr>
    </w:p>
    <w:p w:rsidR="00AC56D6" w:rsidRDefault="00AC56D6" w:rsidP="00AC56D6">
      <w:pPr>
        <w:pStyle w:val="TextoNormal"/>
      </w:pPr>
      <w:r>
        <w:t xml:space="preserve">f) Notificada la anterior Sentencia, la representación del recurrente promovió frente a la misma el incidente excepcional de nulidad de actuaciones previsto y regulado en el art. </w:t>
      </w:r>
      <w:r>
        <w:lastRenderedPageBreak/>
        <w:t>241.1 de la Ley Orgánica del Poder Judicial (LOPJ), denunciando que la Sentencia entrañaba la infracción de los siguientes derechos fundamentales:</w:t>
      </w:r>
    </w:p>
    <w:p w:rsidR="00AC56D6" w:rsidRDefault="00AC56D6" w:rsidP="00AC56D6">
      <w:pPr>
        <w:pStyle w:val="TextoNormal"/>
      </w:pPr>
    </w:p>
    <w:p w:rsidR="00AC56D6" w:rsidRDefault="00AC56D6" w:rsidP="00AC56D6">
      <w:pPr>
        <w:pStyle w:val="TextoNormal"/>
      </w:pPr>
      <w:r>
        <w:t>En primer lugar, del derecho a la igualdad y no discriminación establecido en el art. 14 CE. Según la parte, la inaplicación de la Directiva 1999/70/CE, establecida con el objeto de garantizar el principio de no discriminación, suponía por sí sola la vulneración del referido principio, y por tanto del art. 14 CE.</w:t>
      </w:r>
    </w:p>
    <w:p w:rsidR="00AC56D6" w:rsidRDefault="00AC56D6" w:rsidP="00AC56D6">
      <w:pPr>
        <w:pStyle w:val="TextoNormal"/>
      </w:pPr>
    </w:p>
    <w:p w:rsidR="00AC56D6" w:rsidRDefault="00AC56D6" w:rsidP="00AC56D6">
      <w:pPr>
        <w:pStyle w:val="TextoNormal"/>
      </w:pPr>
      <w:r>
        <w:t xml:space="preserve">En segundo lugar, del derecho a la tutela judicial efectiva sin indefensión (art. 24.1 CE) y del derecho a un proceso con todas las garantías (art. 24.2 CE), en relación con los principios de seguridad jurídica, interdicción de la arbitrariedad y responsabilidad de los poderes públicos (art. 9.3 CE). Para la parte, al haberse apartado la Sala sentenciadora de determinados precedentes favorables a la aplicación directa de la Directiva 1999/70/CE y anteriores además a la fecha señalada para la votación y fallo de su recurso, singularmente, la Sentencia del Tribunal de Justicia de la Unión Europea de 22 de diciembre de 2010 dictada en los asuntos acumulados C-444/09 y C-456/09, </w:t>
      </w:r>
      <w:r w:rsidRPr="00AC56D6">
        <w:rPr>
          <w:i/>
        </w:rPr>
        <w:t>Gavieiro Gavieiro e Iglesias Torres</w:t>
      </w:r>
      <w:r>
        <w:t xml:space="preserve">; el Auto del Tribunal de Justicia de la Unión Europea de 9 de febrero de 2012, dictado en el asunto C-556/11, </w:t>
      </w:r>
      <w:r w:rsidRPr="00AC56D6">
        <w:rPr>
          <w:i/>
        </w:rPr>
        <w:t>Lorenzo Martínez</w:t>
      </w:r>
      <w:r>
        <w:t>; y las Sentencias de la Sala Tercera del Tribunal Supremo de 7 de abril de 2011 y 22 de octubre de 2012, dictadas en los recursos de casación en interés de la ley núms. 39-2009 y 5303-2011, respectivamente, se había quebrado la previsibilidad del orden jurídico, esto es, el principio de seguridad jurídica, dando lugar así a una Sentencia irrazonable y arbitraria. Dentro de este mismo apartado se denunciaba asimismo la vulneración de los referidos derechos fundamentales causada por la decisión de la Sala de no plantear la cuestión prejudicial ante el Tribunal de Justicia de la Unión Europea, como debía haber hecho, según la parte, de conformidad con el art. 267 del Tratado de funcionamiento de la Unión Europea (TFUE).</w:t>
      </w:r>
    </w:p>
    <w:p w:rsidR="00AC56D6" w:rsidRDefault="00AC56D6" w:rsidP="00AC56D6">
      <w:pPr>
        <w:pStyle w:val="TextoNormal"/>
      </w:pPr>
    </w:p>
    <w:p w:rsidR="00AC56D6" w:rsidRDefault="00AC56D6" w:rsidP="00AC56D6">
      <w:pPr>
        <w:pStyle w:val="TextoNormal"/>
      </w:pPr>
      <w:r>
        <w:t>En tercer y último lugar, se denunciaba en el incidente que esa misma omisión de la cuestión prejudicial, si no había supuesto la vulneración de los derechos fundamentales invocados en el anterior apartado, sí debía entrañar al menos la infracción del derecho a la tutela judicial efectiva (art. 24.1 CE) en su vertiente de derecho a obtener de los órganos jurisdiccionales una resolución razonada y fundada en Derecho.</w:t>
      </w:r>
    </w:p>
    <w:p w:rsidR="00AC56D6" w:rsidRDefault="00AC56D6" w:rsidP="00AC56D6">
      <w:pPr>
        <w:pStyle w:val="TextoNormal"/>
      </w:pPr>
    </w:p>
    <w:p w:rsidR="00AC56D6" w:rsidRDefault="00AC56D6" w:rsidP="00AC56D6">
      <w:pPr>
        <w:pStyle w:val="TextoNormal"/>
      </w:pPr>
      <w:r>
        <w:t>g) La Sala sentenciadora, mediante providencia de 21 de febrero de 2013, decidió no admitir a trámite el incidente de nulidad de actuaciones promovido por la parte apelada. Con cita del Auto del Tribunal Supremo de 14 de febrero de 2000 se razonó en la indicada providencia que el incidente del art. 241.1 LOPJ es un incidente “excepcional y que ha de limitarse al examen de posibles defectos de forma que hubiesen causado indefensión o la incongruencia del fallo. Pues bien, ninguno de esos posibles vicios es de apreciar en el supuesto que nos ocupa. Lo que se alega es, en realidad, una cuestión de fondo que pone de manifiesto una discrepancia de la accionante con el propio contenido jurídico de la Sentencia de 7 de diciembre de 2012 y en tales circunstancias surge la clara improcedencia del cauce a través del cual se denuncia la referida nulidad, ya que lo único que se pretende en este incidente es la revisión de una Sentencia contra la que, por imperativo legal, no cabe recurso ordinario alguno”.</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La demanda de amparo atribuye a las resoluciones judiciales recurridas la vulneración de los derechos fundamentales a la igualdad (art. 14 CE), a la tutela judicial efectiva (art. </w:t>
      </w:r>
      <w:r>
        <w:lastRenderedPageBreak/>
        <w:t>24.1 CE), a un proceso con todas las garantías (art. 24.2) y al juez ordinario predeterminado por la ley (también art. 24.2 CE). Pero antes de adentrarse en el desarrollo argumental de las infracciones, dedica un apartado específico a justificar la especial trascendencia constitucional de su recurso.</w:t>
      </w:r>
    </w:p>
    <w:p w:rsidR="00AC56D6" w:rsidRDefault="00AC56D6" w:rsidP="00AC56D6">
      <w:pPr>
        <w:pStyle w:val="TextoNormal"/>
      </w:pPr>
    </w:p>
    <w:p w:rsidR="00AC56D6" w:rsidRDefault="00AC56D6" w:rsidP="00AC56D6">
      <w:pPr>
        <w:pStyle w:val="TextoNormal"/>
      </w:pPr>
      <w:r>
        <w:t xml:space="preserve">Al respecto, argumenta que su caso puede servir para aclarar la doctrina constitucional existente sobre la correcta aplicación del derecho comunitario y sobre la trascendencia de su inaplicación cuando existe una jurisprudencia reiterada del Tribunal de Justicia de la Unión Europea que, además, considera no deja lugar a dudas sobre su interpretación (cita en su apoyo la solución de la STEDH de 20 de septiembre de 2011, caso </w:t>
      </w:r>
      <w:r w:rsidRPr="00AC56D6">
        <w:rPr>
          <w:i/>
        </w:rPr>
        <w:t>Ullens de Schooten y Rezabek contra Belgica</w:t>
      </w:r>
      <w:r>
        <w:t>, apartados 57 a 61), y también sobre el alcance y trascendencia de la Carta de los derechos fundamentales de la Unión Europea, que con la entrada en vigor del Tratado de Lisboa ha adquirido carácter vinculante para los Estados miembros, como dispone su artículo 51, y en concreto sobre sus artículos 21 (igualdad ante la ley) y 47 (tutela judicial efectiva y juez imparcial).</w:t>
      </w:r>
    </w:p>
    <w:p w:rsidR="00AC56D6" w:rsidRDefault="00AC56D6" w:rsidP="00AC56D6">
      <w:pPr>
        <w:pStyle w:val="TextoNormal"/>
      </w:pPr>
    </w:p>
    <w:p w:rsidR="00AC56D6" w:rsidRDefault="00AC56D6" w:rsidP="00AC56D6">
      <w:pPr>
        <w:pStyle w:val="TextoNormal"/>
      </w:pPr>
      <w:r>
        <w:t>Justificado de este modo el requisito de la “especial trascendencia constitucional” de su recurso pasa a adentrarse en la cuestión de fondo suscitada, imputando a las resoluciones judiciales recurridas las siguientes vulneraciones constitucionales:</w:t>
      </w:r>
    </w:p>
    <w:p w:rsidR="00AC56D6" w:rsidRDefault="00AC56D6" w:rsidP="00AC56D6">
      <w:pPr>
        <w:pStyle w:val="TextoNormal"/>
      </w:pPr>
    </w:p>
    <w:p w:rsidR="00AC56D6" w:rsidRDefault="00AC56D6" w:rsidP="00AC56D6">
      <w:pPr>
        <w:pStyle w:val="TextoNormal"/>
      </w:pPr>
      <w:r>
        <w:t xml:space="preserve">a) Infracción del derecho a la igualdad y no discriminación garantizado en el art. 14 CE; queja que a su vez se desdobla en dos. Por un lado, se argumenta que la inaplicación de la Directiva 1999/70/CE, dictada con el fin de garantizar el principio de no discriminación según la cláusula 4.1 del acuerdo marco incorporado como anexo a la citada Directiva, entraña </w:t>
      </w:r>
      <w:r w:rsidRPr="00AC56D6">
        <w:rPr>
          <w:i/>
        </w:rPr>
        <w:t>per se</w:t>
      </w:r>
      <w:r>
        <w:t xml:space="preserve"> la vulneración del referido principio, y por consiguiente del art. 14 CE. Y por otro, se denuncia que la Sentencia recurrida se haya apartado del criterio seguido por el mismo órgano jurisdiccional en ocasiones anteriores, en concreto en la Sentencia de la misma Sección Séptima de 29 de marzo de 2011, dictada en el recurso núm. 534-2010 y con la misma Magistrada ponente. En esta Sentencia, entiende el recurrente, se hizo una correcta aplicación de la doctrina contenida en los precedentes del Tribunal Supremo y Tribunal de Justicia de la Unión Europea ya citados en el incidente excepcional de nulidad de actuaciones [v. antecedente 2 f) de esta misma Sentencia] y se concluyó de acuerdo con ello que la Directiva 1999/70/CE era directamente aplicable; una aplicación que, sin embargo, a él se le ha negado por el mismo órgano jurisdiccional.</w:t>
      </w:r>
    </w:p>
    <w:p w:rsidR="00AC56D6" w:rsidRDefault="00AC56D6" w:rsidP="00AC56D6">
      <w:pPr>
        <w:pStyle w:val="TextoNormal"/>
      </w:pPr>
    </w:p>
    <w:p w:rsidR="00AC56D6" w:rsidRDefault="00AC56D6" w:rsidP="00AC56D6">
      <w:pPr>
        <w:pStyle w:val="TextoNormal"/>
      </w:pPr>
      <w:r>
        <w:t>b) Infracción del derecho a la tutela judicial efectiva y prohibición de indefensión (art. 24.1 CE), en su vertiente de derecho a obtener una resolución motivada y fundada en derecho. Considera el recurrente en amparo que ningún juez nacional puede inaplicar por su propia autoridad normas comunitarias, sino que para hacerlo debe plantear la cuestión prejudicial ante el Tribunal de Justicia de la Unión Europea, según el art. 267 TFUE. De no hacerlo así, como aquí ha ocurrido, se cercena el derecho fundamental antes invocado.</w:t>
      </w:r>
    </w:p>
    <w:p w:rsidR="00AC56D6" w:rsidRDefault="00AC56D6" w:rsidP="00AC56D6">
      <w:pPr>
        <w:pStyle w:val="TextoNormal"/>
      </w:pPr>
    </w:p>
    <w:p w:rsidR="00AC56D6" w:rsidRDefault="00AC56D6" w:rsidP="00AC56D6">
      <w:pPr>
        <w:pStyle w:val="TextoNormal"/>
      </w:pPr>
      <w:r>
        <w:t>A mayor abundamiento, se remarca que la Sala sentenciadora se ha apartado arbitrariamente de la jurisprudencia dictada tanto por el Tribunal Supremo como por el Tribunal de Justicia en aplicación de la citada Directiva 1999/70/CE (Sentencias y Auto ya citados).</w:t>
      </w:r>
    </w:p>
    <w:p w:rsidR="00AC56D6" w:rsidRDefault="00AC56D6" w:rsidP="00AC56D6">
      <w:pPr>
        <w:pStyle w:val="TextoNormal"/>
      </w:pPr>
    </w:p>
    <w:p w:rsidR="00AC56D6" w:rsidRDefault="00AC56D6" w:rsidP="00AC56D6">
      <w:pPr>
        <w:pStyle w:val="TextoNormal"/>
      </w:pPr>
      <w:r>
        <w:t xml:space="preserve">c) En tercer lugar, infracción del derecho a un proceso con todas las garantías (art. 24.2 CE), en relación con los principios de seguridad jurídica, interdicción de la arbitrariedad y </w:t>
      </w:r>
      <w:r>
        <w:lastRenderedPageBreak/>
        <w:t>responsabilidad de los poderes públicos consagrados en el art. 9.3 CE. Sostiene el demandante de amparo que la premisa de la que parte la Sentencia recurrida, que el contenido de la Directiva no es suficientemente preciso para ser invocado frente al Estado, es errónea y choca y contradice lo previamente declarado por el Tribunal Supremo y el Tribunal de Justicia de la Unión Europea en los precedentes tan repetidamente citados, todos ellos anteriores además a la fecha de votación y fallo de su recurso. Y una resolución judicial que se aparta y contradice esos precedentes, destinados a proporcionar certeza, confianza y previsibilidad en el orden jurídico, no puede considerarse respetuosa con el derecho fundamental invocado.</w:t>
      </w:r>
    </w:p>
    <w:p w:rsidR="00AC56D6" w:rsidRDefault="00AC56D6" w:rsidP="00AC56D6">
      <w:pPr>
        <w:pStyle w:val="TextoNormal"/>
      </w:pPr>
    </w:p>
    <w:p w:rsidR="00AC56D6" w:rsidRDefault="00AC56D6" w:rsidP="00AC56D6">
      <w:pPr>
        <w:pStyle w:val="TextoNormal"/>
      </w:pPr>
      <w:r>
        <w:t>Dentro del mismo apartado del recurso, pero con cita de un derecho diferente (el de la tutela judicial efectiva del art. 24.1 CE), se denuncia la quiebra constitucional que supuso no plantear la cuestión prejudicial ante el Tribunal de Justicia de la Unión Europea, tal y como debió hacerse de conformidad con el art. 267 TFUE. No puede un tribunal nacional, dice la parte, alcanzar su propia, autónoma y exclusiva convicción sobre la forma correcta de interpretar el Derecho de la unión, sin expresar los razonamientos que le conducen a esa conclusión y siempre dentro de los permitidos por la doctrina del Tribunal de Justicia de la Unión Europea (improcedencia de la cuestión, acto claro, o acto aclarado). Al no haberlo hecho en este caso, la Sala sentenciadora ha infringido el art. 24.1 CE y también el derecho al juez ordinario predeterminado por la ley (art. 24.2 CE).</w:t>
      </w:r>
    </w:p>
    <w:p w:rsidR="00AC56D6" w:rsidRDefault="00AC56D6" w:rsidP="00AC56D6">
      <w:pPr>
        <w:pStyle w:val="TextoNormal"/>
      </w:pPr>
    </w:p>
    <w:p w:rsidR="00AC56D6" w:rsidRDefault="00AC56D6" w:rsidP="00AC56D6">
      <w:pPr>
        <w:pStyle w:val="TextoNormal"/>
      </w:pPr>
      <w:r>
        <w:t>d) Finalmente, denuncia la infracción del derecho a la tutela judicial efectiva en su vertiente de derecho a obtener una resolución fundada en Derecho (art. 24.1 CE) producida por la providencia de inadmisión del incidente de nulidad de actuaciones. El precepto aplicado por la providencia no es el que estaba en vigor cuando se dictó —art. 241.1 LOPJ, según la redacción dada por la Ley Orgánica 6/2007, de 24 de mayo— sino el anterior, que limitaba la viabilidad del incidente a los quebrantamientos de forma. De modo que esa resolución de inadmisión basada en un artículo derogado supone una quiebra del citado art. 24.1 CE.</w:t>
      </w:r>
    </w:p>
    <w:p w:rsidR="00AC56D6" w:rsidRDefault="00AC56D6" w:rsidP="00AC56D6">
      <w:pPr>
        <w:pStyle w:val="TextoNormal"/>
      </w:pPr>
    </w:p>
    <w:p w:rsidR="00AC56D6" w:rsidRDefault="00AC56D6" w:rsidP="00AC56D6">
      <w:pPr>
        <w:pStyle w:val="TextoNormal"/>
      </w:pPr>
      <w:r w:rsidRPr="00AC56D6">
        <w:rPr>
          <w:rStyle w:val="NumeroAFNegritaCaracter"/>
        </w:rPr>
        <w:t>4</w:t>
      </w:r>
      <w:r>
        <w:t>. La Sección Cuarta de este Tribunal acordó, mediante providencia de 26 de junio de 2014, admitir a trámite el recurso presentado y, en aplicación de lo previsto en el art. 51 de la Ley Orgánica del Tribunal Constitucional (LOTC), dirigir atenta comunicación a la Sección Séptima de la Sala de lo Contencioso-Administrativo del Tribunal Superior de Justicia de Madrid y al Juzgado de lo Contencioso-Administrativo núm. 24 de Madrid a fin de que remitieran certificación o fotocopia adverada de las actuaciones, y para que este último emplazara a quienes hubieran sido parte en el procedimiento excepto a la recurrente en amparo para que en el plazo de diez días pudieran comparecer, si lo deseaban, en el presente recurso de amparo.</w:t>
      </w:r>
    </w:p>
    <w:p w:rsidR="00AC56D6" w:rsidRDefault="00AC56D6" w:rsidP="00AC56D6">
      <w:pPr>
        <w:pStyle w:val="TextoNormal"/>
      </w:pPr>
    </w:p>
    <w:p w:rsidR="00AC56D6" w:rsidRDefault="00AC56D6" w:rsidP="00AC56D6">
      <w:pPr>
        <w:pStyle w:val="TextoNormal"/>
      </w:pPr>
      <w:r w:rsidRPr="00AC56D6">
        <w:rPr>
          <w:rStyle w:val="NumeroAFNegritaCaracter"/>
        </w:rPr>
        <w:t>5</w:t>
      </w:r>
      <w:r>
        <w:t>. Por diligencia de ordenación de la Secretaría de Justicia de la Sala Segunda de este Tribunal de 9 de octubre de 2014 se tuvo por personado y parte en el procedimiento al Letrado de la Comunidad Autónoma de Madrid y, conforme determina el art. 52.1 LOTC, se acordó dar vista de las actuaciones testimoniadas y recibidas a las partes personadas y al Ministerio Fiscal por plazo común de veinte días para que pudieran presentar alegaciones.</w:t>
      </w:r>
    </w:p>
    <w:p w:rsidR="00AC56D6" w:rsidRDefault="00AC56D6" w:rsidP="00AC56D6">
      <w:pPr>
        <w:pStyle w:val="TextoNormal"/>
      </w:pPr>
    </w:p>
    <w:p w:rsidR="00AC56D6" w:rsidRDefault="00AC56D6" w:rsidP="00AC56D6">
      <w:pPr>
        <w:pStyle w:val="TextoNormal"/>
      </w:pPr>
      <w:r w:rsidRPr="00AC56D6">
        <w:rPr>
          <w:rStyle w:val="NumeroAFNegritaCaracter"/>
        </w:rPr>
        <w:t>6</w:t>
      </w:r>
      <w:r>
        <w:t xml:space="preserve">. Por escrito presentado en el Registro General de este Tribunal en fecha 27 de octubre de 2014 la representación del recurrente presentó sus alegaciones, en las que se limitó a </w:t>
      </w:r>
      <w:r>
        <w:lastRenderedPageBreak/>
        <w:t xml:space="preserve">ratificarse íntegramente en la demanda interpuesta. No obstante, y a título meramente ilustrativo, cita la Sentencia de la Sala de lo Social del Tribunal Supremo de 7 de julio de 2014, que desestima el recurso de casación núm. 204-2013 y confirma por consiguiente la Sentencia de la Sala de lo Social del Tribunal Superior de Justicia de Madrid de 20 de junio de 2013 (recurso núm. 1479-2013), que reconoce el derecho al complemento específico a los profesores de religión de la Comunidad de Madrid “en las condiciones y cuantía que corresponda a los funcionarios interinos docentes” de la Comunidad. Hace esa cita porque le parece paradójico que esos profesores tengan derecho al complemento específico de formación y que sin embargo la Sentencia recurrida se lo niegue a quien forma parte del </w:t>
      </w:r>
      <w:r w:rsidRPr="00AC56D6">
        <w:rPr>
          <w:i/>
        </w:rPr>
        <w:t>tertium comparationis</w:t>
      </w:r>
      <w:r>
        <w:t xml:space="preserve"> establecido en la citada Sentencia.</w:t>
      </w:r>
    </w:p>
    <w:p w:rsidR="00AC56D6" w:rsidRDefault="00AC56D6" w:rsidP="00AC56D6">
      <w:pPr>
        <w:pStyle w:val="TextoNormal"/>
      </w:pPr>
    </w:p>
    <w:p w:rsidR="00AC56D6" w:rsidRDefault="00AC56D6" w:rsidP="00AC56D6">
      <w:pPr>
        <w:pStyle w:val="TextoNormal"/>
      </w:pPr>
      <w:r w:rsidRPr="00AC56D6">
        <w:rPr>
          <w:rStyle w:val="NumeroAFNegritaCaracter"/>
        </w:rPr>
        <w:t>7</w:t>
      </w:r>
      <w:r>
        <w:t>. El Ministerio Fiscal presentó sus alegaciones por escrito registrado el 7 de noviembre de 2014. En ellas, tras hacer un detallado resumen de los antecedentes que han traído al recurrente hasta aquí, concluye que se ha producido la lesión al derecho a la igualdad ante la ley denunciada en el recurso y apoya, por consiguiente, el otorgamiento del amparo solicitado.</w:t>
      </w:r>
    </w:p>
    <w:p w:rsidR="00AC56D6" w:rsidRDefault="00AC56D6" w:rsidP="00AC56D6">
      <w:pPr>
        <w:pStyle w:val="TextoNormal"/>
      </w:pPr>
    </w:p>
    <w:p w:rsidR="00AC56D6" w:rsidRDefault="00AC56D6" w:rsidP="00AC56D6">
      <w:pPr>
        <w:pStyle w:val="TextoNormal"/>
      </w:pPr>
      <w:r>
        <w:t>De modo previo, expone el orden que va a seguir en sus alegaciones: le parece obvio que deben ser examinadas en primer lugar las vulneraciones imputadas a la Sentencia y solo después, si es el caso, la concreta vulneración que se atribuye a la providencia de inadmisión del incidente de nulidad de actuaciones. A su vez, entre las primeras, considera que debe otorgarse preferencia a la denuncia de vulneración del derecho a la igualdad del art. 14 CE, por constituir el núcleo central del problema planteado, dejándose para un momento posterior el examen de las restantes lesiones aducidas, todas ellas del art. 24 CE, que le parecen a todas luces subordinadas a esa primera y principal. Por consiguiente, de acuerdo con esta sistemática, aborda el examen del recurso.</w:t>
      </w:r>
    </w:p>
    <w:p w:rsidR="00AC56D6" w:rsidRDefault="00AC56D6" w:rsidP="00AC56D6">
      <w:pPr>
        <w:pStyle w:val="TextoNormal"/>
      </w:pPr>
    </w:p>
    <w:p w:rsidR="00AC56D6" w:rsidRDefault="00AC56D6" w:rsidP="00AC56D6">
      <w:pPr>
        <w:pStyle w:val="TextoNormal"/>
      </w:pPr>
      <w:r>
        <w:t>a) Como queda dicho, el Fiscal considera que la denuncia de vulneración del art. 14 CE debe prosperar. Aclara que la vertiente del derecho fundamental reconocido en ese precepto invocada por el recurrente es, según se desprende de la lectura de la demanda, la del derecho a la igualdad “ante la ley… por la interpretación que de las disposiciones aplicables al caso ha efectuado la Sección Séptima de la Sala de lo Contencioso-Administrativo del Tribunal Superior de Justicia de Madrid, que es lo que le habría deparado un trato diferenciado injustificado”. En este sentido, el argumento principal del recurrente, prosigue el Fiscal, consiste en que debe reputarse contrario al principio de igualdad del art. 14 CE denegar el reconocimiento de sexenios a los funcionarios interinos docentes sobre la única base de que la naturaleza de dicha retribución, la compensación de actividades de perfeccionamiento posterior al ingreso en la función pública, impide su extensión a los funcionarios interinos, por no tratarse de funcionarios de carrera, argumento este que la parte recurrente refuerza invocando lo establecido en la Directiva y en la jurisprudencia recaída en su aplicación antes citadas.</w:t>
      </w:r>
    </w:p>
    <w:p w:rsidR="00AC56D6" w:rsidRDefault="00AC56D6" w:rsidP="00AC56D6">
      <w:pPr>
        <w:pStyle w:val="TextoNormal"/>
      </w:pPr>
    </w:p>
    <w:p w:rsidR="00AC56D6" w:rsidRDefault="00AC56D6" w:rsidP="00AC56D6">
      <w:pPr>
        <w:pStyle w:val="TextoNormal"/>
      </w:pPr>
      <w:r>
        <w:t xml:space="preserve">Pasando ahora al examen de ese alegato desde la jurisprudencia constitucional, reconoce que la doctrina establecida por este Tribunal acerca el derecho a la igualdad del art. 14 CE y su posible aplicación a las categorías de funcionarios públicos establecidas en las leyes, funcionarios de carrera y funcionarios interinos, hace difícil apreciar en sede constitucional la infracción del principio de igualdad por no aplicar a los segundos derechos o normas reconocidas a los primeros. Y así, recuerda que según este Tribunal (cita la STC 9/1995, de </w:t>
      </w:r>
      <w:r>
        <w:lastRenderedPageBreak/>
        <w:t>16 de enero, FJ 3; y el ATC 63/1996, de 12 de marzo, FJ 5) las categorías funcionariales son creaciones del derecho basadas en principios singulares y propios (relación permanente y sistemas de acceso propios para funcionarios de carrera, y relación transitoria constituida por razones de urgencia para los funcionarios interinos), lo cual permite que esas razones y principios puedan ser lícitamente tomadas en consideración por el legislador para no equiparar el contenido de una y otra categoría (o sus retribuciones, por lo que aquí importa). Sin embargo, considera que las singulares circunstancias de este caso permiten alcanzar la conclusión contraria, siendo aquí, añade, donde de modo indiscutible estriba la especial trascendencia constitucional del presente recurso de amparo.</w:t>
      </w:r>
    </w:p>
    <w:p w:rsidR="00AC56D6" w:rsidRDefault="00AC56D6" w:rsidP="00AC56D6">
      <w:pPr>
        <w:pStyle w:val="TextoNormal"/>
      </w:pPr>
    </w:p>
    <w:p w:rsidR="00AC56D6" w:rsidRDefault="00AC56D6" w:rsidP="00AC56D6">
      <w:pPr>
        <w:pStyle w:val="TextoNormal"/>
      </w:pPr>
      <w:r>
        <w:t xml:space="preserve">Continúa el Fiscal argumentando que los precedentes jurisprudenciales del Tribunal Supremo y sobre todo del Tribunal de Justicia, que pueden ser valorados por este Tribunal Constitucional al amparo del art. 10.2 CE (así, STC 61/2013, de 14 de marzo, FJ 5), y que fueron ya invocados por la parte en la vía administrativa y en la posterior contencioso-administrativa, y singularmente el Auto del Tribunal de Justicia de la Unión Europea </w:t>
      </w:r>
      <w:r w:rsidRPr="00AC56D6">
        <w:rPr>
          <w:i/>
        </w:rPr>
        <w:t>Lorenzo Martínez</w:t>
      </w:r>
      <w:r>
        <w:t>, de 9 de febrero de 2012 (asunto C-556/11), dictado en relación con la normativa española y el mismo complemento aquí negado al recurrente (sexenios del profesorado), permiten afirmar que la Directiva era aplicable y que por consiguiente la pretensión del recurrente estaba “perfectamente justificada”, por lo que procede reconocer y declarar la vulneración del art. 14 CE, acordando así la nulidad de la Sentencia dictada en apelación y reconociendo la plena eficacia de la Sentencia dictada en primera instancia que declaró el derecho del recurrente a los sexenios reclamados.</w:t>
      </w:r>
    </w:p>
    <w:p w:rsidR="00AC56D6" w:rsidRDefault="00AC56D6" w:rsidP="00AC56D6">
      <w:pPr>
        <w:pStyle w:val="TextoNormal"/>
      </w:pPr>
    </w:p>
    <w:p w:rsidR="00AC56D6" w:rsidRDefault="00AC56D6" w:rsidP="00AC56D6">
      <w:pPr>
        <w:pStyle w:val="TextoNormal"/>
      </w:pPr>
      <w:r>
        <w:t xml:space="preserve">b) Para el hipotético caso de que este Tribunal no considerase justificada la lesión del art. 14 CE, el Fiscal informa igualmente sobre las restantes vulneraciones alegadas, todas ellas del art. 24 CE, no encontrando justificada ninguna de ellas. Así, en primer lugar, las denuncias efectuadas en los motivos segundo y tercero del recurso consistentes en la vulneración del derecho a la tutela judicial efectiva por haberse dictado una resolución arbitraria y no fundada en derecho y en la vulneración del derecho a un proceso con todas las garantías por haberse apartado de la doctrina del Tribunal de Justicia de la Unión Europea le parecen “reformulaciones” del motivo primero principal, ya tratado (vulneración del art. 14 CE). Además, la segunda vertiente de la denuncia del derecho a la igualdad efectuada en el primer motivo, consistente en haberse apartado el órgano jurisdiccional del criterio seguido en un asunto anterior, le parece igualmente infundada en cuanto que el precedente citado no se refería a un asunto idéntico, sino a un complemento distinto (trienios, no sexenios), por lo que no es válido el </w:t>
      </w:r>
      <w:r w:rsidRPr="00AC56D6">
        <w:rPr>
          <w:i/>
        </w:rPr>
        <w:t>tertium comparationis</w:t>
      </w:r>
      <w:r>
        <w:t xml:space="preserve"> aportado. En tercer lugar, la decisión de la Sala de no plantear cuestión prejudicial ante el Tribunal de Justicia de la Unión Europea, denunciada también en el tercer motivo del recurso, le parece asimismo que no puede prosperar, pues en este caso precisamente existía jurisprudencia del Tribunal de Justicia de la Unión Europea sobre la misma cuestión, por lo que no procedía ese planteamiento (doctrina del acto “claro”, en terminología de la Sentencia </w:t>
      </w:r>
      <w:r w:rsidRPr="00AC56D6">
        <w:rPr>
          <w:i/>
        </w:rPr>
        <w:t>Cilfit</w:t>
      </w:r>
      <w:r>
        <w:t xml:space="preserve"> de 6 de octubre de 1982). Y por último, la inadecuada o errónea motivación de la providencia de inadmisión también denunciada como motivo de amparo (cuarto motivo del recurso) le parece irrelevante por cuanto que la verdadera razón de decidir de la providencia fue que la parte planteaba en el incidente una simple discrepancia con la Sentencia cuestionada, y no ninguna vulneración de derechos fundamentales, razonamiento igualmente válido tras la reforma del art. 241.1 LOPJ por la Ley Orgánica 6/2007.</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8</w:t>
      </w:r>
      <w:r>
        <w:t>. El Letrado de la Comunidad de Madrid presentó sus alegaciones el 12 de noviembre de 2014, interesando la desestimación del presente recurso de amparo.</w:t>
      </w:r>
    </w:p>
    <w:p w:rsidR="00AC56D6" w:rsidRDefault="00AC56D6" w:rsidP="00AC56D6">
      <w:pPr>
        <w:pStyle w:val="TextoNormal"/>
      </w:pPr>
    </w:p>
    <w:p w:rsidR="00AC56D6" w:rsidRDefault="00AC56D6" w:rsidP="00AC56D6">
      <w:pPr>
        <w:pStyle w:val="TextoNormal"/>
      </w:pPr>
      <w:r>
        <w:t>Por lo que respecta a la primera vulneración denunciada, recuerda que la infracción del derecho a la igualdad en la aplicación de la ley (art. 14 CE) requiere, según constante doctrina de este Tribunal (cita las SSTC 24/1990, de 15 de febrero, y 339/2006, de 11 de diciembre), que exista identidad del órgano judicial. De este modo, no aprecia vulneración constitucional de ningún tipo por el hecho de que la Sala sentenciadora no haya seguido el mismo criterio que otros órganos jurisdiccionales, y considera que la única Sentencia susceptible de ser invocada a estos efectos en un recurso de amparo sería la previa Sentencia de la misma Sala y Sección de 29 de marzo de 2011, la cual, si bien procede del mismo órgano jurisdiccional, no resuelve sin embargo un supuesto sustancialmente igual al resuelto en la Sentencia recurrida (reconocimiento de trienios a personal interino frente a reconocimiento de sexenios). Y así, señala entre uno y otro complemento las siguientes diferencias: (i) los trienios los tienen reconocidos los funcionarios en el art. 25.2 LEEP a partir de la entrada en vigor de esta Ley, mientras los sexenios no solo no se mencionan en la Ley sino que son además excluidos en el acuerdo del Consejo de Ministros de 11 de octubre de 1991 que los instituyó; (ii) los trienios se devengan automáticamente por el hecho de la permanencia en la Administración, mientras que los sexenios se devengan por previa acreditación de actividades de formación. Y de esas diferencias colige que la finalidad retributiva de uno y otro complemento es distinta, pues los trienios retribuyen la pura antigüedad mientras que los sexenios compensan la actividad de formación y perfeccionamiento posterior al ingreso en la función pública, según el propio acuerdo del Consejo de Ministros de 11 de octubre de 1991. Por todo ello, considera que no ha habido vulneración del art. 14 CE.</w:t>
      </w:r>
    </w:p>
    <w:p w:rsidR="00AC56D6" w:rsidRDefault="00AC56D6" w:rsidP="00AC56D6">
      <w:pPr>
        <w:pStyle w:val="TextoNormal"/>
      </w:pPr>
    </w:p>
    <w:p w:rsidR="00AC56D6" w:rsidRDefault="00AC56D6" w:rsidP="00AC56D6">
      <w:pPr>
        <w:pStyle w:val="TextoNormal"/>
      </w:pPr>
      <w:r>
        <w:t>El escrito niega además las restantes vulneraciones denunciadas. Recuerda que la Sentencia recurrida que ha resuelto el litigio ha identificado correctamente la controversia y la ha decidido con arreglo a criterios jurídicos claramente expuestos. En particular ha interpretado y ponderado la aplicación al caso de la Directiva 1999/70/CE, que ha descartado porque le parece que concurre una razón objetiva que justifica la diferencia de trato entre el recurrente y los funcionarios de carrera. Todo ello satisface el derecho de la actora a obtener una resolución motivada y fundada en Derecho. Le parece lógico que la actora discrepe de esta interpretación, pero ello no convierte a la Sentencia en infundada y arbitraria.</w:t>
      </w:r>
    </w:p>
    <w:p w:rsidR="00AC56D6" w:rsidRDefault="00AC56D6" w:rsidP="00AC56D6">
      <w:pPr>
        <w:pStyle w:val="TextoNormal"/>
      </w:pPr>
    </w:p>
    <w:p w:rsidR="00AC56D6" w:rsidRDefault="00AC56D6" w:rsidP="00AC56D6">
      <w:pPr>
        <w:pStyle w:val="TextoNormal"/>
      </w:pPr>
      <w:r>
        <w:t>Finalmente, por lo que atañe a la providencia de inadmisión del incidente de nulidad de actuaciones, le parece que esa resolución judicial aplica correctamente el art. 241.1 LOPJ posterior a la reforma operada por la Ley Orgánica 6/2007. Tal y como le permite hacer ese precepto, la providencia inadmitió el incidente porque se pretendía en él reabrir el fondo del asunto ya resuelto por Sentencia firme. No ha habido por tanto aplicación de un precepto derogado ni actuación torticera o arbitraria de la Sala sentenciadora. La inadmisión contiene una motivación suficiente y ésta es ajustada a la naturaleza del incidente de nulidad de actuaciones.</w:t>
      </w:r>
    </w:p>
    <w:p w:rsidR="00AC56D6" w:rsidRDefault="00AC56D6" w:rsidP="00AC56D6">
      <w:pPr>
        <w:pStyle w:val="TextoNormal"/>
      </w:pPr>
    </w:p>
    <w:p w:rsidR="00AC56D6" w:rsidRDefault="00AC56D6" w:rsidP="00AC56D6">
      <w:pPr>
        <w:pStyle w:val="TextoNormal"/>
      </w:pPr>
      <w:r w:rsidRPr="00AC56D6">
        <w:rPr>
          <w:rStyle w:val="NumeroAFNegritaCaracter"/>
        </w:rPr>
        <w:t>9</w:t>
      </w:r>
      <w:r>
        <w:t>. Por diligencia de ordenación de 3 de marzo de 2014, la Secretaría de la Sala Segunda de este Tribunal requirió a la Comunidad de Madrid la remisión de copia adverada del expediente administrativo.</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10</w:t>
      </w:r>
      <w:r>
        <w:t>. Mediante providencia de fecha 26 de mayo de 2015 el Pleno, en su reunión de esa fecha y conforme establece el artículo 10.1 n) de la Ley Orgánica del Tribunal, a propuesta de la Sala Segunda, acordó recabar para sí el conocimiento del recurso de amparo.</w:t>
      </w:r>
    </w:p>
    <w:p w:rsidR="00AC56D6" w:rsidRDefault="00AC56D6" w:rsidP="00AC56D6">
      <w:pPr>
        <w:pStyle w:val="TextoNormal"/>
      </w:pPr>
    </w:p>
    <w:p w:rsidR="00AC56D6" w:rsidRDefault="00AC56D6" w:rsidP="00AC56D6">
      <w:pPr>
        <w:pStyle w:val="TextoNormal"/>
      </w:pPr>
      <w:r w:rsidRPr="00AC56D6">
        <w:rPr>
          <w:rStyle w:val="NumeroAFNegritaCaracter"/>
        </w:rPr>
        <w:t>11</w:t>
      </w:r>
      <w:r>
        <w:t>. Por providencia de 3 de noviembre de 2015 se acordó señalar para deliberación y votación de la presente Sentencia el día 5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cuestión que debemos resolver en este amparo es si la decisión de no reconocer al recurrente, que es profesor interino, el derecho a percibir los complementos específicos de formación popularmente conocidos como “sexenios” a los que habría tenido derecho de ser funcionario de carrera en lugar de funcionario interino es o no conforme con los arts. 14 y 24 CE.</w:t>
      </w:r>
    </w:p>
    <w:p w:rsidR="00AC56D6" w:rsidRDefault="00AC56D6" w:rsidP="00AC56D6">
      <w:pPr>
        <w:pStyle w:val="TextoNormal"/>
      </w:pPr>
    </w:p>
    <w:p w:rsidR="00AC56D6" w:rsidRDefault="00AC56D6" w:rsidP="00AC56D6">
      <w:pPr>
        <w:pStyle w:val="TextoNormal"/>
      </w:pPr>
      <w:r>
        <w:t>Tal y como ha quedado expuesto en los antecedentes, el aquí recurrente ha trabajado como profesor interino desde 1991. A finales de 2009 solicitó de la Administración competente, que es la Comunidad de Madrid, el reconocimiento de los citados complementos específicos de formación permanente del profesorado regulados en el acuerdo del Consejo de Ministros de 11 de octubre de 1991 (los denominados “sexenios”) que según ese mismo acuerdo están reservados para los “funcionarios de carrera”. Invocaba en apoyo de esta solicitud la Directiva 1999/70/CE, del Consejo, de 28 de junio de 1999, relativa al acuerdo marco de la Confederación Europea de Sindicatos (CES), la Unión de Confederaciones de la Industria Europea (UNICE) y el Centro Europeo de la Empresa Pública (CEEP), sobre el trabajo de duración determinada, que bajo la rúbrica “principio de no discriminación” establece (cláusula 4, punto 1, del acuerdo marco, incluido como anexo en la citada Directiva):</w:t>
      </w:r>
    </w:p>
    <w:p w:rsidR="00AC56D6" w:rsidRDefault="00AC56D6" w:rsidP="00AC56D6">
      <w:pPr>
        <w:pStyle w:val="TextoNormal"/>
      </w:pPr>
    </w:p>
    <w:p w:rsidR="00AC56D6" w:rsidRDefault="00AC56D6" w:rsidP="00AC56D6">
      <w:pPr>
        <w:pStyle w:val="TextoNormal"/>
      </w:pPr>
      <w:r>
        <w:t>“Por lo que respecta a las condiciones de trabajo, no podrá tratarse a los trabajadores con un contrato de duración determinada de una manera menos favorable que a los trabajadores fijos comparables por el mero hecho de tener un contrato de duración determinada, a menos que se justifique un trato diferente por razones objetivas.”</w:t>
      </w:r>
    </w:p>
    <w:p w:rsidR="00AC56D6" w:rsidRDefault="00AC56D6" w:rsidP="00AC56D6">
      <w:pPr>
        <w:pStyle w:val="TextoNormal"/>
      </w:pPr>
    </w:p>
    <w:p w:rsidR="00AC56D6" w:rsidRDefault="00AC56D6" w:rsidP="00AC56D6">
      <w:pPr>
        <w:pStyle w:val="TextoNormal"/>
      </w:pPr>
      <w:r>
        <w:t xml:space="preserve">La Administración denegó esa solicitud por no reunir el interesado los requisitos exigidos por el citado acuerdo del Consejo de Ministros, esto es, por no ser “funcionario de carrera”. Frente a esta resolución, el interesado interpuso recurso contencioso-administrativo, que fue estimado en primera instancia por el Juzgado de este orden jurisdiccional núm. 24 de Madrid (Sentencia de 21 de septiembre de 2011), que fundamentó esa estimación precisamente en la citada Directiva y en la Sentencia del Tribunal de Justicia de las Comunidades Europeas de 13 de septiembre de 2007 (asunto C-307/05), asunto </w:t>
      </w:r>
      <w:r w:rsidRPr="00AC56D6">
        <w:rPr>
          <w:i/>
        </w:rPr>
        <w:t>del Cerro Alonso</w:t>
      </w:r>
      <w:r>
        <w:t>, pero que fue finalmente desestimado en segunda y última instancia por la Sentencia de la Sala de lo Contencioso-Administrativo del Tribunal Superior de Justicia de Madrid (Sección Séptima) de 7 de diciembre de 2012, dictada con ocasión del recurso de apelación interpuesto contra la primera por el Letrado de la Comunidad de Madrid.</w:t>
      </w:r>
    </w:p>
    <w:p w:rsidR="00AC56D6" w:rsidRDefault="00AC56D6" w:rsidP="00AC56D6">
      <w:pPr>
        <w:pStyle w:val="TextoNormal"/>
      </w:pPr>
    </w:p>
    <w:p w:rsidR="00AC56D6" w:rsidRDefault="00AC56D6" w:rsidP="00AC56D6">
      <w:pPr>
        <w:pStyle w:val="TextoNormal"/>
      </w:pPr>
      <w:r>
        <w:t xml:space="preserve">Considera el recurrente que la citada decisión vulnera sus derechos a la igualdad ante la ley (art. 14 CE), a la tutela judicial efectiva sin indefensión (art. 24.1 CE) y a un proceso con todas las garantías y al juez ordinario predeterminado por la ley (art. 24.2 CE), de </w:t>
      </w:r>
      <w:r>
        <w:lastRenderedPageBreak/>
        <w:t>acuerdo con los argumentos que han quedado expuestos en el lugar correspondiente [antecedentes 2 y 3 de esta Sentencia]. Además, y según se ha expuesto en ese mismo lugar, entiende que la posterior providencia de inadmisión del incidente de nulidad de actuaciones promovido frente a la Sentencia de segunda instancia al amparo del art. 241.1 de la Ley Orgánica del Poder Judicial le ha ocasionado una vulneración autónoma de ese mismo derecho del art. 24.1 CE, al responder esa decisión de inadmisión a la redacción del precepto anterior a la última reforma del mismo realizada por la Ley Orgánica 6/2007, de 24 de mayo, es decir, a una norma derogada.</w:t>
      </w:r>
    </w:p>
    <w:p w:rsidR="00AC56D6" w:rsidRDefault="00AC56D6" w:rsidP="00AC56D6">
      <w:pPr>
        <w:pStyle w:val="TextoNormal"/>
      </w:pPr>
    </w:p>
    <w:p w:rsidR="00AC56D6" w:rsidRDefault="00AC56D6" w:rsidP="00AC56D6">
      <w:pPr>
        <w:pStyle w:val="TextoNormal"/>
      </w:pPr>
      <w:r>
        <w:t xml:space="preserve">El Fiscal se muestra favorable a la estimación de la primera de las vulneraciones denunciadas, la del derecho a la igualdad ante la ley del art. 14 CE, como consecuencia de la, a su juicio, defectuosa respuesta recibida por el recurrente de los órganos jurisdiccionales, teniendo en cuenta la jurisprudencia existente sobre el particular favorable al reconocimiento de esos sexenios a los funcionarios interinos (singularmente, Sentencia de la Sala Tercera del Tribunal Supremo de 22 de octubre de 2012, dictada en el recurso de casación en interés de la ley núm. 5303-2011, y Auto del Tribunal de Justicia de la Unión Europea de 9 de febrero de 2012, asunto C-556/11, asunto </w:t>
      </w:r>
      <w:r w:rsidRPr="00AC56D6">
        <w:rPr>
          <w:i/>
        </w:rPr>
        <w:t>Lorenzo Martínez</w:t>
      </w:r>
      <w:r>
        <w:t>, ambas resoluciones favorables a la equiparación de los profesores funcionarios interinos con los profesores funcionarios de carrera a estos concretos efectos de reconocimiento del derecho a percibir los llamados “sexenios”). Sin embargo, para el caso de que este Tribunal considerase que no existe esta vulneración del art. 14 CE, le parecen injustificadas las restantes vulneraciones alegadas.</w:t>
      </w:r>
    </w:p>
    <w:p w:rsidR="00AC56D6" w:rsidRDefault="00AC56D6" w:rsidP="00AC56D6">
      <w:pPr>
        <w:pStyle w:val="TextoNormal"/>
      </w:pPr>
    </w:p>
    <w:p w:rsidR="00AC56D6" w:rsidRDefault="00AC56D6" w:rsidP="00AC56D6">
      <w:pPr>
        <w:pStyle w:val="TextoNormal"/>
      </w:pPr>
      <w:r>
        <w:t>Por su parte, el Letrado de la Comunidad de Madrid se opone a la estimación de cualquiera de los motivos de amparo.</w:t>
      </w:r>
    </w:p>
    <w:p w:rsidR="00AC56D6" w:rsidRDefault="00AC56D6" w:rsidP="00AC56D6">
      <w:pPr>
        <w:pStyle w:val="TextoNormal"/>
      </w:pPr>
    </w:p>
    <w:p w:rsidR="00AC56D6" w:rsidRDefault="00AC56D6" w:rsidP="00AC56D6">
      <w:pPr>
        <w:pStyle w:val="TextoNormal"/>
      </w:pPr>
      <w:r w:rsidRPr="00AC56D6">
        <w:rPr>
          <w:rStyle w:val="NumeroAFNegritaCaracter"/>
        </w:rPr>
        <w:t>2</w:t>
      </w:r>
      <w:r>
        <w:t xml:space="preserve">. Aunque ninguna de las partes comparecidas ha puesto en duda la especial trascendencia constitucional de este recurso, que es requisito para su admisión de conformidad con los arts. 49.1 y 50.1 b) de nuestra Ley Orgánica reguladora, esta condición de requisito de admisión y por consiguiente de orden público procesal (entre otras, STC 113/2012, de 24 de mayo, FJ 2, y las allí citadas) así como exigencias de certeza y buena administración de justicia (STEDH de 20 de enero de 2015, caso </w:t>
      </w:r>
      <w:r w:rsidRPr="00AC56D6">
        <w:rPr>
          <w:i/>
        </w:rPr>
        <w:t>Arribas Antón contra España</w:t>
      </w:r>
      <w:r>
        <w:t>, apartado 46) obligan a explicitar el cumplimiento de ese requisito para hacer así recognoscibles los criterios empleados al efecto por este Tribunal.</w:t>
      </w:r>
    </w:p>
    <w:p w:rsidR="00AC56D6" w:rsidRDefault="00AC56D6" w:rsidP="00AC56D6">
      <w:pPr>
        <w:pStyle w:val="TextoNormal"/>
      </w:pPr>
    </w:p>
    <w:p w:rsidR="00AC56D6" w:rsidRDefault="00AC56D6" w:rsidP="00AC56D6">
      <w:pPr>
        <w:pStyle w:val="TextoNormal"/>
      </w:pPr>
      <w:r>
        <w:t>En el presente caso, este Tribunal decidió admitir este recurso de amparo porque, en primer lugar, sus circunstancias podían permitir desarrollar nuestra doctrina sobre la relevancia constitucional del incumplimiento del Derecho de la Unión Europea [supuesto a) de los enunciados en la STC 155/2009, de 25 de junio, FJ 2], y además, en segundo lugar, porque esas mismas circunstancias permitían a este Tribunal valorar si procede mantener o matizar nuestra doctrina acerca de la proyección del derecho a la igualdad entre situaciones funcionariales, y en concreto entre los funcionarios de carrera y los funcionarios interinos, establecida desde la STC7/1984, de 7 de enero [supuesto b) de la STC 155/2009, FJ 2, antes citada]. Lo cual no significa necesariamente que esos dos factores relevantes para decidir la admisión del recurso deban trasladarse al núcleo de nuestra razón de decidir sobre el fondo del recurso, pues como ya tuvimos ocasión de aclarar en la STC 9/2015, de 2 de febrero, FJ 3, la estructura del razonamiento, el orden conforme al cual han de estudiarse las quejas ante nosotros esgrimidas u otras razones pueden impedirlo.</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3</w:t>
      </w:r>
      <w:r>
        <w:t>. Pese a que son varios los motivos de amparo, el presente recurso plantea en realidad una única y exclusiva vulneración, la de los derechos a la tutela judicial efectiva y a un proceso con todas las garantías, que pueden ser tratados conjuntamente (en el mismo sentido, SSTC 78/2010, de 20 de octubre, FJ 1; 58/2004, de 19 de abril, FJ 7, y 173/2002, de 9 de octubre, FJ 6).</w:t>
      </w:r>
    </w:p>
    <w:p w:rsidR="00AC56D6" w:rsidRDefault="00AC56D6" w:rsidP="00AC56D6">
      <w:pPr>
        <w:pStyle w:val="TextoNormal"/>
      </w:pPr>
    </w:p>
    <w:p w:rsidR="00AC56D6" w:rsidRDefault="00AC56D6" w:rsidP="00AC56D6">
      <w:pPr>
        <w:pStyle w:val="TextoNormal"/>
      </w:pPr>
      <w:r>
        <w:t xml:space="preserve">La queja principal que da sustento a todo el recurso es la que se dirige contra la Sala de lo Contencioso-Administrativo del Tribunal Superior de Justicia de Madrid a la que el recurrente reprocha no haber resuelto su caso de forma adecuada, esto es, aplicando directamente la Directiva 1999/70/CE tal y como había sido ya interpretada por el Tribunal de Justicia de la Unión Europea, entre otros, en el citado Auto </w:t>
      </w:r>
      <w:r w:rsidRPr="00AC56D6">
        <w:rPr>
          <w:i/>
        </w:rPr>
        <w:t>Lorenzo Martínez</w:t>
      </w:r>
      <w:r>
        <w:t xml:space="preserve"> de 9 de febrero de 2012, en el que el Tribunal comunitario había considerado ya que esa Directiva se oponía a una normativa como la española que limitaba el reconocimiento de sexenios a los profesores funcionarios de carrera, sin extenderlo a los interinos. Los diferentes motivos de amparo se acaban refiriendo a este hecho último y basilar, que valoran desde diferentes perspectivas. Así, en concreto, por lo que se refiere al primer motivo de amparo, en el que se denuncia la vulneración del art. 14 CE, el citado motivo no pasa de ser en realidad una reformulación o anticipación de los otros dos, pues el recurrente sitúa esa lesión en el hecho mismo de no haber aplicado el órgano jurisdiccional la citada Directiva 1999/70/CE, pero sin añadir explicación alguna de por qué el principio de no discriminación de trabajadores allí contenido (cláusula 4.1, antes transcrita) debe quedar garantizado por el art. 14 CE y ser además proyectado sobre las categorías funcionariales desde una perspectiva estrictamente constitucional (no comunitaria), o lo que es lo mismo, por qué esa disposición de Derecho derivado debe alcanzar rango constitucional en contra de nuestra doctrina ya comentada (STC 7/1984, de 7 de enero, reiterada por ejemplo en el más reciente ATC 99/2009, de 23 de marzo).</w:t>
      </w:r>
    </w:p>
    <w:p w:rsidR="00AC56D6" w:rsidRDefault="00AC56D6" w:rsidP="00AC56D6">
      <w:pPr>
        <w:pStyle w:val="TextoNormal"/>
      </w:pPr>
    </w:p>
    <w:p w:rsidR="00AC56D6" w:rsidRDefault="00AC56D6" w:rsidP="00AC56D6">
      <w:pPr>
        <w:pStyle w:val="TextoNormal"/>
      </w:pPr>
      <w:r>
        <w:t>En el mismo sentido, aunque el Fiscal sitúa el motivo principal en ese primer motivo de amparo (art. 14 CE), en sus alegaciones termina razonando que ese motivo debe ser estimado “por no haber tomado en consideración [la Sala de Madrid] a la hora de formar su convicción ni la Directiva 1999/70/CE, ni la posible aplicación directa de ésta, ni la STJUE (Sala Segunda) de 13 de septiembre de 2007, dictada en el asunto C-307/05, ni la STJUE (Sala Segunda) de 22 de diciembre de 2010, dictada en los asuntos acumulados C-444/09 y C-456/09, ni el ATJUE (Sala Sexta) de 9 de febrero de 2012, dictado en el asunto C-556/11, ni la Sentencia dictada por la Sección Séptima de la Sala Tercera del Tribunal Supremo en el recurso de casación en interés de la ley número 39/2009 con fecha 7 de abril de 2011, ni la Sentencia dictada por la Sección Séptima de la Sala Tercera del Tribunal Supremo en el recurso de casación en interés de la ley número 5303/2011 con fecha 22 de octubre de 2012, de cuyo cuerpo normativo y jurisprudencial resultaba a todas luces que la pretensión deducida por el demandante en amparo ante la Administración educativa de la Comunidad de Madrid se encontraba perfectamente justificada”. Es decir, que aunque el Fiscal considera que debe estimarse el amparo por vulneración del art. 14 CE, al final termina reconociendo que la verdadera razón para hacerlo es la defectuosa respuesta judicial recibida por el recurrente (art. 24 CE), no porque el principio de no discriminación definido en la cláusula 4.1 de la Directiva forme parte del derecho constitucional a la igualdad ante la ley del art. 14 CE. El Fiscal tampoco razona nada a este respecto.</w:t>
      </w:r>
    </w:p>
    <w:p w:rsidR="00AC56D6" w:rsidRDefault="00AC56D6" w:rsidP="00AC56D6">
      <w:pPr>
        <w:pStyle w:val="TextoNormal"/>
      </w:pPr>
    </w:p>
    <w:p w:rsidR="00AC56D6" w:rsidRDefault="00AC56D6" w:rsidP="00AC56D6">
      <w:pPr>
        <w:pStyle w:val="TextoNormal"/>
      </w:pPr>
      <w:r>
        <w:lastRenderedPageBreak/>
        <w:t>En definitiva, si el actor sitúa la lesión padecida en el modo en que resolvió la Sala de Madrid, la perspectiva de nuestro examen ha de ser la del art. 24 CE, y no la del art. 14 CE. Por lo que respecta a la vulneración del art. 24.1 CE que se imputa a la providencia de inadmisión del incidente de nulidad de actuaciones, el análisis de este segundo motivo debe postergarse para el caso de ser desestimado el primero y principal, conforme al criterio de “mayor retroacción” habitual en este Tribunal (STC 180/2015, de 7 de septiembre, FJ 3).</w:t>
      </w:r>
    </w:p>
    <w:p w:rsidR="00AC56D6" w:rsidRDefault="00AC56D6" w:rsidP="00AC56D6">
      <w:pPr>
        <w:pStyle w:val="TextoNormal"/>
      </w:pPr>
    </w:p>
    <w:p w:rsidR="00AC56D6" w:rsidRDefault="00AC56D6" w:rsidP="00AC56D6">
      <w:pPr>
        <w:pStyle w:val="TextoNormal"/>
      </w:pPr>
      <w:r w:rsidRPr="00AC56D6">
        <w:rPr>
          <w:rStyle w:val="NumeroAFNegritaCaracter"/>
        </w:rPr>
        <w:t>4</w:t>
      </w:r>
      <w:r>
        <w:t>. En el examen de este motivo principal hemos de comenzar recordando que, según ha reiterado este Tribunal, ni el fenómeno de la integración europea, ni el art. 93 CE a través del que ésta se instrumenta, ni el principio de primacía del Derecho de la Unión que rige las relaciones entre ambos ordenamientos, han dotado a las normas del Derecho de la Unión Europea, originario o derivado, “de rango y fuerza constitucionales” [por todas, STC 215/2014, de 18 de diciembre, FJ 3 a), con cita de otras].</w:t>
      </w:r>
    </w:p>
    <w:p w:rsidR="00AC56D6" w:rsidRDefault="00AC56D6" w:rsidP="00AC56D6">
      <w:pPr>
        <w:pStyle w:val="TextoNormal"/>
      </w:pPr>
    </w:p>
    <w:p w:rsidR="00AC56D6" w:rsidRDefault="00AC56D6" w:rsidP="00AC56D6">
      <w:pPr>
        <w:pStyle w:val="TextoNormal"/>
      </w:pPr>
      <w:r>
        <w:t>Ahora bien, ello no significa, obviamente, que este Tribunal deba abstenerse de cualquier valoración sobre un acto de los poderes públicos ante él recurrido cuando el mismo aplica Derecho de la Unión Europea o, al contrario, se plantee su posible contradicción con éste, pues ello implicaría una abdicación de nuestra función señalada en los arts. 53.2 y 161.1 b) CE. Significa, mucho más simplemente, que cuando ello sucede debemos abordar esa denuncia desde la perspectiva que nos es propia, valorando si con ese acto de los poderes públicos recurrido ante la jurisdicción constitucional se ha ocasionado o no alguna vulneración a los derechos fundamentales y libertades públicas cuya tutela tenemos encomendada, de conformidad con los preceptos constitucionales antes citados, que son los únicos que vinculan a este Tribunal como recuerda el art. 1.1 de la Ley Orgánica del Tribunal Constitucional (LOTC). En este sentido, STC 58/2004, FJ 11, con cita de la STC 64/1991, de 22 de marzo, FJ 4 a).</w:t>
      </w:r>
    </w:p>
    <w:p w:rsidR="00AC56D6" w:rsidRDefault="00AC56D6" w:rsidP="00AC56D6">
      <w:pPr>
        <w:pStyle w:val="TextoNormal"/>
      </w:pPr>
    </w:p>
    <w:p w:rsidR="00AC56D6" w:rsidRDefault="00AC56D6" w:rsidP="00AC56D6">
      <w:pPr>
        <w:pStyle w:val="TextoNormal"/>
      </w:pPr>
      <w:r>
        <w:t>Desde esta perspectiva, esta jurisdicción constitucional debe operar con un doble canon de enjuiciamiento:</w:t>
      </w:r>
    </w:p>
    <w:p w:rsidR="00AC56D6" w:rsidRDefault="00AC56D6" w:rsidP="00AC56D6">
      <w:pPr>
        <w:pStyle w:val="TextoNormal"/>
      </w:pPr>
    </w:p>
    <w:p w:rsidR="00AC56D6" w:rsidRDefault="00AC56D6" w:rsidP="00AC56D6">
      <w:pPr>
        <w:pStyle w:val="TextoNormal"/>
      </w:pPr>
      <w:r>
        <w:t>a) Por un lado, el general del derecho a la tutela judicial efectiva sin indefensión, que comprende, por lo que aquí importa, el derecho a obtener de los jueces y tribunales una resolución motivada y fundada en derecho sobre el fondo de las pretensiones oportunamente deducidas en el proceso, sin que por esta vía pueda llegar a examinarse el acierto o desacierto último de la decisión, ámbito éste último ajeno a esta jurisdicción constitucional (así, para un caso semejante, STC 27/2013, de 11 de febrero, FJ 5).</w:t>
      </w:r>
    </w:p>
    <w:p w:rsidR="00AC56D6" w:rsidRDefault="00AC56D6" w:rsidP="00AC56D6">
      <w:pPr>
        <w:pStyle w:val="TextoNormal"/>
      </w:pPr>
    </w:p>
    <w:p w:rsidR="00AC56D6" w:rsidRDefault="00AC56D6" w:rsidP="00AC56D6">
      <w:pPr>
        <w:pStyle w:val="TextoNormal"/>
      </w:pPr>
      <w:r>
        <w:t xml:space="preserve">Por lo que a este caso igualmente importa, este derecho a la tutela judicial efectiva del art. 24.1 CE también comprende el derecho a una resolución congruente (por todas, STC 3/2011, de 14 de febrero, FJ 3), una congruencia que debe referirse no solo a esas pretensiones oportunamente deducidas, conformadas por el </w:t>
      </w:r>
      <w:r w:rsidRPr="00AC56D6">
        <w:rPr>
          <w:i/>
        </w:rPr>
        <w:t>petitum</w:t>
      </w:r>
      <w:r>
        <w:t xml:space="preserve"> y la </w:t>
      </w:r>
      <w:r w:rsidRPr="00AC56D6">
        <w:rPr>
          <w:i/>
        </w:rPr>
        <w:t>causa petendi</w:t>
      </w:r>
      <w:r>
        <w:t>, sino también, muy especialmente, a todas las alegaciones sustanciales deducidas por las partes (así, entre otras muchas, STC 204/2009, de 23 de noviembre, FJ 3).</w:t>
      </w:r>
    </w:p>
    <w:p w:rsidR="00AC56D6" w:rsidRDefault="00AC56D6" w:rsidP="00AC56D6">
      <w:pPr>
        <w:pStyle w:val="TextoNormal"/>
      </w:pPr>
    </w:p>
    <w:p w:rsidR="00AC56D6" w:rsidRDefault="00AC56D6" w:rsidP="00AC56D6">
      <w:pPr>
        <w:pStyle w:val="TextoNormal"/>
      </w:pPr>
      <w:r>
        <w:t xml:space="preserve">b) Por otro lado, este Tribunal debe valorar también el canon más específico del derecho a un proceso con todas las garantías, del que forma parte el derecho a que los jueces y tribunales resuelvan “conforme al sistema de fuentes establecido” (STC 58/2004, FJ 14, y, en el mismo sentido, STC 173/2002, de 9 de octubre, FJ 10). Porque como recuerda STC </w:t>
      </w:r>
      <w:r>
        <w:lastRenderedPageBreak/>
        <w:t xml:space="preserve">58/2004 primeramente citada, “no cabe duda de que, conforme al art. 96 de nuestra Constitución, el Tratado de la Comunidad Europea —y concretamente, en este caso, su art. 234 [actual art. 267 TFUE]— forma parte del Ordenamiento interno; por ello la cuestión prejudicial prevista en dicho precepto configura un instrumento más al servicio de los Jueces y Tribunales para la depuración del Ordenamiento jurídico” (STC 58/2004, FJ 10), y de conformidad con ese instrumento, “ante una duda en la aplicación del Derecho comunitario, el Juez o Tribunal interno está facultado para consultar al Tribunal de Justicia de las Comunidades Europeas, salvo que se trate de un órgano judicial cuya resolución no sea susceptible de recurso ordinario en la vía interna, en cuyo caso, la facultad se torna, en principio, en obligación, en orden a preterir un Derecho en beneficio del otro”. “Ahora bien”, matizábamos inmediatamente, “esta obligación de plantear la cuestión prejudicial desaparece, aun tratándose de decisiones de órganos jurisdiccionales nacionales que no son susceptibles de un recurso judicial conforme al Derecho interno, tanto cuando la cuestión planteada fuese materialmente idéntica a otra que haya sido objeto de una decisión prejudicial en caso análogo (SSTJCE de 27 de marzo de 1963, asuntos </w:t>
      </w:r>
      <w:r w:rsidRPr="00AC56D6">
        <w:rPr>
          <w:i/>
        </w:rPr>
        <w:t>Da Costa</w:t>
      </w:r>
      <w:r>
        <w:t xml:space="preserve"> y acumulados, 28 a 30/62; y de 19 de noviembre de 1991, asunto </w:t>
      </w:r>
      <w:r w:rsidRPr="00AC56D6">
        <w:rPr>
          <w:i/>
        </w:rPr>
        <w:t>Francovich y Bonifaci</w:t>
      </w:r>
      <w:r>
        <w:t xml:space="preserve">, C-6 y 9/90), como cuando la correcta aplicación del Derecho comunitario puede imponerse con tal evidencia que no deje lugar a ninguna duda razonable sobre la solución de la cuestión planteada (STJCE de 6 de octubre de 1982, asunto </w:t>
      </w:r>
      <w:r w:rsidRPr="00AC56D6">
        <w:rPr>
          <w:i/>
        </w:rPr>
        <w:t>Cilfit</w:t>
      </w:r>
      <w:r>
        <w:t xml:space="preserve">, 283/81)” [STC 58/2004, FJ 9; y, en el mismo sentido, STC Pleno 78/2010, FJ 2 b)]. Y esto era, justamente, lo que sucedía en el presente caso, podemos avanzar ya para una mayor claridad expositiva, pues la cláusula 4.1 de la Directiva 1999/70/CE preterida por la resolución judicial recurrida en amparo había sido ya interpretada por el Tribunal de Justicia de la Unión Europea en el sentido de que se opone a una normativa como la española en materia de “sexenios” que reserva sin ninguna justificación por razones objetivas este complemento salarial a los funcionarios de carrera excluyendo a los funcionarios interinos en general (Sentencias asunto </w:t>
      </w:r>
      <w:r w:rsidRPr="00AC56D6">
        <w:rPr>
          <w:i/>
        </w:rPr>
        <w:t>del Cerro Alonso</w:t>
      </w:r>
      <w:r>
        <w:t xml:space="preserve"> de 13 de septiembre de 2007 y asunto </w:t>
      </w:r>
      <w:r w:rsidRPr="00AC56D6">
        <w:rPr>
          <w:i/>
        </w:rPr>
        <w:t>Gavieiro Gavieiro e Iglesias Torres</w:t>
      </w:r>
      <w:r>
        <w:t xml:space="preserve"> de 22 de diciembre de 2010) y a los profesores de educación secundaria interinos en particular (Auto asunto </w:t>
      </w:r>
      <w:r w:rsidRPr="00AC56D6">
        <w:rPr>
          <w:i/>
        </w:rPr>
        <w:t>Lorenzo Martínez</w:t>
      </w:r>
      <w:r>
        <w:t xml:space="preserve"> de 9 de febrero de 2012), tal y como inmediatamente se verá.</w:t>
      </w:r>
    </w:p>
    <w:p w:rsidR="00AC56D6" w:rsidRDefault="00AC56D6" w:rsidP="00AC56D6">
      <w:pPr>
        <w:pStyle w:val="TextoNormal"/>
      </w:pPr>
    </w:p>
    <w:p w:rsidR="00AC56D6" w:rsidRDefault="00AC56D6" w:rsidP="00AC56D6">
      <w:pPr>
        <w:pStyle w:val="TextoNormal"/>
      </w:pPr>
      <w:r w:rsidRPr="00AC56D6">
        <w:rPr>
          <w:rStyle w:val="NumeroAFNegritaCaracter"/>
        </w:rPr>
        <w:t>5</w:t>
      </w:r>
      <w:r>
        <w:t>. En aplicación de estas premisas, este Tribunal ya ha tenido ocasión de resolver:</w:t>
      </w:r>
    </w:p>
    <w:p w:rsidR="00AC56D6" w:rsidRDefault="00AC56D6" w:rsidP="00AC56D6">
      <w:pPr>
        <w:pStyle w:val="TextoNormal"/>
      </w:pPr>
    </w:p>
    <w:p w:rsidR="00AC56D6" w:rsidRDefault="00AC56D6" w:rsidP="00AC56D6">
      <w:pPr>
        <w:pStyle w:val="TextoNormal"/>
      </w:pPr>
      <w:r>
        <w:t>a) Que dejar de aplicar una ley interna, sin plantear cuestión de inconstitucionalidad, por entender un órgano jurisdiccional que esa ley es contraria al Derecho de la Unión Europea, sin plantear tampoco cuestión prejudicial ante el Tribunal de Justicia de la Unión Europea, es contrario al derecho a un proceso con todas las garantías (art. 24.2 CE) si existe una “duda objetiva, clara y terminante” sobre esa supuesta contradicción (STC 58/2004, FFJJ 9 a 14).</w:t>
      </w:r>
    </w:p>
    <w:p w:rsidR="00AC56D6" w:rsidRDefault="00AC56D6" w:rsidP="00AC56D6">
      <w:pPr>
        <w:pStyle w:val="TextoNormal"/>
      </w:pPr>
    </w:p>
    <w:p w:rsidR="00AC56D6" w:rsidRDefault="00AC56D6" w:rsidP="00AC56D6">
      <w:pPr>
        <w:pStyle w:val="TextoNormal"/>
      </w:pPr>
      <w:r>
        <w:t>b) Sin embargo, dejar de plantear la cuestión prejudicial y aplicar una ley nacional supuestamente contraria al Derecho de la Unión (según la parte) no vulnera el derecho a la tutela judicial efectiva si esa decisión es fruto de una exégesis racional de la legalidad ordinaria, pues solo estos parámetros tan elevados forman parte de los derechos consagrados en el art. 24 CE (así, SSTC 27/2013, de 11 de febrero, FJ 7; 212/2014, de 18 de diciembre, FJ 3, y 99/2015, de 25 de mayo, FJ 3).</w:t>
      </w:r>
    </w:p>
    <w:p w:rsidR="00AC56D6" w:rsidRDefault="00AC56D6" w:rsidP="00AC56D6">
      <w:pPr>
        <w:pStyle w:val="TextoNormal"/>
      </w:pPr>
    </w:p>
    <w:p w:rsidR="00AC56D6" w:rsidRDefault="00AC56D6" w:rsidP="00AC56D6">
      <w:pPr>
        <w:pStyle w:val="TextoNormal"/>
      </w:pPr>
      <w:r>
        <w:t xml:space="preserve">c) Ahora bien, sí corresponde a este Tribunal velar por el respeto del principio de primacía del Derecho de la Unión cuando, como aquí ocurre según hemos avanzado ya, exista </w:t>
      </w:r>
      <w:r>
        <w:lastRenderedPageBreak/>
        <w:t>una interpretación auténtica efectuada por el propio Tribunal de Justicia de la Unión Europea. En estos casos, el desconocimiento y preterición de esa norma de Derecho de la Unión, tal y como ha sido interpretada por el Tribunal de Justicia, puede suponer una “selección irrazonable y arbitraria de una norma aplicable al proceso”, lo cual puede dar lugar a una vulneración del derecho a la tutela judicial efectiva (STC 145/2012, de 2 de julio, FFJJ 5 y 6).</w:t>
      </w:r>
    </w:p>
    <w:p w:rsidR="00AC56D6" w:rsidRDefault="00AC56D6" w:rsidP="00AC56D6">
      <w:pPr>
        <w:pStyle w:val="TextoNormal"/>
      </w:pPr>
    </w:p>
    <w:p w:rsidR="00AC56D6" w:rsidRDefault="00AC56D6" w:rsidP="00AC56D6">
      <w:pPr>
        <w:pStyle w:val="TextoNormal"/>
      </w:pPr>
      <w:r>
        <w:t xml:space="preserve">Efectivamente, este Tribunal ya ha declarado que “el Tribunal de Justicia de la Unión Europea ha desarrollado hasta la fecha una consolidada jurisprudencia que abunda en la obligación que tienen los órganos jurisdiccionales de los Estados miembros de garantizar que dichas Sentencias se lleven a efecto (Sentencia de 14 de diciembre de 1982, asunto </w:t>
      </w:r>
      <w:r w:rsidRPr="00AC56D6">
        <w:rPr>
          <w:i/>
        </w:rPr>
        <w:t>Waterkeyn</w:t>
      </w:r>
      <w:r>
        <w:t xml:space="preserve">, 314-316/81 y 83/82, Rec. 1982 p. 4337)… el Tribunal de Justicia de la Unión Europea ha declarado reiteradamente que ‘los órganos jurisdiccionales de [los Estados miembros] están obligados, con arreglo al art. 234 del Tratado constitutivo de la Comunidad Europea [art. 267 del Tratado de funcionamiento de la Unión Europea], a deducir las consecuencias de la Sentencia del Tribunal de Justicia de las Comunidades Europeas, bien entendido sin embargo que los derechos que corresponden a los particulares no derivan de esta sentencia sino de las disposiciones mismas del Derecho comunitario que tienen efecto directo en el ordenamiento jurídico interno’ (Sentencias de 14 de diciembre de 1982, asunto </w:t>
      </w:r>
      <w:r w:rsidRPr="00AC56D6">
        <w:rPr>
          <w:i/>
        </w:rPr>
        <w:t>Waterkeyn</w:t>
      </w:r>
      <w:r>
        <w:t xml:space="preserve">, antes citada, apartado 16, y de 5 de marzo de 1996, asuntos </w:t>
      </w:r>
      <w:r w:rsidRPr="00AC56D6">
        <w:rPr>
          <w:i/>
        </w:rPr>
        <w:t>Brasserie du pêcheur y Factortame</w:t>
      </w:r>
      <w:r>
        <w:t xml:space="preserve">, C-46/93 y C-48/93, Rec. p. I-1029, apartado 95)… [C]omo consecuencia de todo lo anterior, los Jueces y Tribunales ordinarios de los Estados miembros, al enfrentarse con una norma nacional incompatible con el Derecho de la Unión, tienen la obligación de inaplicar la disposición nacional, ya sea posterior o anterior a la norma de Derecho de la Unión (véanse, entre otras, las Sentencias de 9 de marzo de 1978, asunto </w:t>
      </w:r>
      <w:r w:rsidRPr="00AC56D6">
        <w:rPr>
          <w:i/>
        </w:rPr>
        <w:t>Simmenthal</w:t>
      </w:r>
      <w:r>
        <w:t xml:space="preserve">, 106/77, Rec. p. 629, apartado 24; de 22 de junio de 2010, asunto </w:t>
      </w:r>
      <w:r w:rsidRPr="00AC56D6">
        <w:rPr>
          <w:i/>
        </w:rPr>
        <w:t>Melki y Abdeli</w:t>
      </w:r>
      <w:r>
        <w:t xml:space="preserve">, C-188/10 y C-189/10, Rec. p. I-5667, apartado 43; y de 5 de octubre de 2010, asunto </w:t>
      </w:r>
      <w:r w:rsidRPr="00AC56D6">
        <w:rPr>
          <w:i/>
        </w:rPr>
        <w:t>Elchinov</w:t>
      </w:r>
      <w:r>
        <w:t xml:space="preserve">, C-173/09, apartado 31). Esta obligación, cuya existencia es inherente al principio de primacía antes enunciado, recae sobre los Jueces y Tribunales de los Estados miembros con independencia del rango de la norma nacional, permitiendo así un control desconcentrado, en sede judicial ordinaria, de la conformidad del Derecho interno con el Derecho de la Unión Europea [véanse las Sentencias de 17 de diciembre de 1970, asunto </w:t>
      </w:r>
      <w:r w:rsidRPr="00AC56D6">
        <w:rPr>
          <w:i/>
        </w:rPr>
        <w:t>Internationale Handelsgesellschaft</w:t>
      </w:r>
      <w:r>
        <w:t xml:space="preserve">, 11/70, Rec. p. 1125, apartado 3; y de 16 de diciembre de 2008, asunto </w:t>
      </w:r>
      <w:r w:rsidRPr="00AC56D6">
        <w:rPr>
          <w:i/>
        </w:rPr>
        <w:t>Michaniki</w:t>
      </w:r>
      <w:r>
        <w:t xml:space="preserve"> (C-213/07, Rec. p. I-9999, apartados 5 y 51)]” (STC 145/2012, de 2 de julio, FJ 5).</w:t>
      </w:r>
    </w:p>
    <w:p w:rsidR="00AC56D6" w:rsidRDefault="00AC56D6" w:rsidP="00AC56D6">
      <w:pPr>
        <w:pStyle w:val="TextoNormal"/>
      </w:pPr>
    </w:p>
    <w:p w:rsidR="00AC56D6" w:rsidRDefault="00AC56D6" w:rsidP="00AC56D6">
      <w:pPr>
        <w:pStyle w:val="TextoNormal"/>
      </w:pPr>
      <w:r w:rsidRPr="00AC56D6">
        <w:rPr>
          <w:rStyle w:val="NumeroAFNegritaCaracter"/>
        </w:rPr>
        <w:t>6</w:t>
      </w:r>
      <w:r>
        <w:t>. Continuando con la resolución de este recurso que ahora nos ocupa, conviene resaltar la importancia capital que tienen aquí las dos siguientes circunstancias del caso:</w:t>
      </w:r>
    </w:p>
    <w:p w:rsidR="00AC56D6" w:rsidRDefault="00AC56D6" w:rsidP="00AC56D6">
      <w:pPr>
        <w:pStyle w:val="TextoNormal"/>
      </w:pPr>
    </w:p>
    <w:p w:rsidR="00AC56D6" w:rsidRDefault="00AC56D6" w:rsidP="00AC56D6">
      <w:pPr>
        <w:pStyle w:val="TextoNormal"/>
      </w:pPr>
      <w:r>
        <w:t xml:space="preserve">a) En primer lugar, que como ya se anticipó, el Tribunal de Justicia de la Unión Europea se había pronunciado ya antes de la deliberación y fallo del recurso por la Sala de lo Contencioso-Administrativo del Tribunal Superior de Justicia de Madrid sobre cuál era la interpretación correcta del principio de no discriminación contenido en la cláusula 4.1 de la Directiva 1999/70/CE. Lo había hecho en diversas sentencias dictadas con ocasión de cuestiones prejudiciales planteadas por jueces españoles (entre otras, STJUE asunto </w:t>
      </w:r>
      <w:r w:rsidRPr="00AC56D6">
        <w:rPr>
          <w:i/>
        </w:rPr>
        <w:t>del Cerro Alonso</w:t>
      </w:r>
      <w:r>
        <w:t xml:space="preserve">, de 13 de septiembre de 2007, y STJUE asunto </w:t>
      </w:r>
      <w:r w:rsidRPr="00AC56D6">
        <w:rPr>
          <w:i/>
        </w:rPr>
        <w:t>Gavieiro Gavieiro e Iglesias Torres</w:t>
      </w:r>
      <w:r>
        <w:t xml:space="preserve">, de 22 de diciembre de 2010, ambas sobre funcionarios interinos y trienios) y, singularmente, en el Auto asunto </w:t>
      </w:r>
      <w:r w:rsidRPr="00AC56D6">
        <w:rPr>
          <w:i/>
        </w:rPr>
        <w:t>Lorenzo Martínez</w:t>
      </w:r>
      <w:r>
        <w:t xml:space="preserve"> de 9 de febrero de 2012, dictado con ocasión de una cuestión prejudicial planteada también por un juez español con ocasión de una reclamación </w:t>
      </w:r>
      <w:r>
        <w:lastRenderedPageBreak/>
        <w:t>del todo idéntica a la subyacente a este amparo (planteada por una profesora de enseñanza no universitaria interina reclamando el reconocimiento y cobro de los citados “sexenios” que la normativa interna española solo reconoce a los profesores funcionarios de carrera) y en el que el Tribunal de Justicia resolvió:</w:t>
      </w:r>
    </w:p>
    <w:p w:rsidR="00AC56D6" w:rsidRDefault="00AC56D6" w:rsidP="00AC56D6">
      <w:pPr>
        <w:pStyle w:val="TextoNormal"/>
      </w:pPr>
    </w:p>
    <w:p w:rsidR="00AC56D6" w:rsidRDefault="00AC56D6" w:rsidP="00AC56D6">
      <w:pPr>
        <w:pStyle w:val="TextoNormal"/>
      </w:pPr>
      <w:r>
        <w:t>“La cláusula 4, apartado 1, del Acuerdo marco sobre el trabajo de duración determinada, celebrado el 18 de marzo de 1999, que figura como anexo de la Directiva 1999/70/CE del Consejo, de 28 de junio de 1999, relativa al Acuerdo marco de la CES, la UNICE y el CEEP sobre el trabajo de duración determinada, debe interpretarse en el sentido de que se opone a una normativa nacional, como la controvertida en el litigio principal, que reserva, sin ninguna justificación por razones objetivas, el derecho a percibir el complemento retributivo por formación permanente únicamente a los profesores funcionarios de carrera, excluyendo a los profesores funcionarios interinos, cuando, en relación con la percepción de dicho complemento, ambas categorías de trabajadores se hallan en situaciones comparables.”</w:t>
      </w:r>
    </w:p>
    <w:p w:rsidR="00AC56D6" w:rsidRDefault="00AC56D6" w:rsidP="00AC56D6">
      <w:pPr>
        <w:pStyle w:val="TextoNormal"/>
      </w:pPr>
    </w:p>
    <w:p w:rsidR="00AC56D6" w:rsidRDefault="00AC56D6" w:rsidP="00AC56D6">
      <w:pPr>
        <w:pStyle w:val="TextoNormal"/>
      </w:pPr>
      <w:r>
        <w:t xml:space="preserve">b) Y en segundo lugar, que esa jurisprudencia del Tribunal de Justicia de la Unión Europea había sido introducida y formaba parte del objeto del debate. Era conocida, por tanto, por la Sala de lo Contencioso-Administrativo del Tribunal Superior de Justicia de Madrid (sobre la relevancia de este dato, véase, por todas, la STC 145/2012, de 2 de julio, FJ 4). Por un lado, porque la Sentencia del Juzgado de lo Contencioso-Administrativo núm. 24 de Madrid, objeto del recurso de apelación que debía resolver la Sala de Madrid, se basaba en la Sentencia asunto </w:t>
      </w:r>
      <w:r w:rsidRPr="00AC56D6">
        <w:rPr>
          <w:i/>
        </w:rPr>
        <w:t>del Cerro Alonso</w:t>
      </w:r>
      <w:r>
        <w:t xml:space="preserve"> antes citada. Y por otro, porque al conocer la parte el posterior Auto asunto </w:t>
      </w:r>
      <w:r w:rsidRPr="00AC56D6">
        <w:rPr>
          <w:i/>
        </w:rPr>
        <w:t>Lorenzo Martínez</w:t>
      </w:r>
      <w:r>
        <w:t xml:space="preserve"> igualmente citado, procedió a aportar a la Sala una copia del mismo a fin de que fuera conocido y valorado por ella en la resolución de la apelación. Y consta la providencia que tiene por recibido ese escrito. Todo ello, además, antes de la fecha señalada para la votación y fallo de esa apelación.</w:t>
      </w:r>
    </w:p>
    <w:p w:rsidR="00AC56D6" w:rsidRDefault="00AC56D6" w:rsidP="00AC56D6">
      <w:pPr>
        <w:pStyle w:val="TextoNormal"/>
      </w:pPr>
    </w:p>
    <w:p w:rsidR="00AC56D6" w:rsidRDefault="00AC56D6" w:rsidP="00AC56D6">
      <w:pPr>
        <w:pStyle w:val="TextoNormal"/>
      </w:pPr>
      <w:r>
        <w:t xml:space="preserve">Frente a todo ello, la Sentencia de la Sala de lo Contencioso-Administrativo del Tribunal Superior de Justicia de Madrid (i) ni cita ni valora la jurisprudencia del Tribunal de Justicia de la Unión Europea mencionada, (ii) ni, lo que es verdaderamente relevante, cita o valora el Auto asunto </w:t>
      </w:r>
      <w:r w:rsidRPr="00AC56D6">
        <w:rPr>
          <w:i/>
        </w:rPr>
        <w:t>Lorenzo Martínez</w:t>
      </w:r>
      <w:r>
        <w:t xml:space="preserve"> de 9 de febrero de 2012, sino que se limita a remitirse a un pronunciamiento anterior de la Sección Tercera de la misma Sala (de 16 de enero de 2010) y a motivar así, por referencia o remisión, que no consideraba discriminatoria la denegación de los sexenios acordada por la Administración por la singularidad de los funcionarios interinos respecto a los de carrera, cuando esa circunstancia había sido ya precisamente excluida por el Tribunal de Justicia como una “razón objetiva” válida para el trato diferente permitido bajo ciertas condiciones por la cláusula 4.1 de la Directiva 1999/70/CE.</w:t>
      </w:r>
    </w:p>
    <w:p w:rsidR="00AC56D6" w:rsidRDefault="00AC56D6" w:rsidP="00AC56D6">
      <w:pPr>
        <w:pStyle w:val="TextoNormal"/>
      </w:pPr>
    </w:p>
    <w:p w:rsidR="00AC56D6" w:rsidRDefault="00AC56D6" w:rsidP="00AC56D6">
      <w:pPr>
        <w:pStyle w:val="TextoNormal"/>
      </w:pPr>
      <w:r>
        <w:t>Pues bien, con tal decisión (y motivación), la Sala dejó de razonar sobre un alegato sustancial de la parte apelada, como era la existencia de ese precedente dictado en un caso idéntico al que era objeto de resolución y proveniente además del Tribunal de Justicia de la Unión Europea encargado de resolver de manera vinculante las dudas sobre la interpretación de la Directiva invocada por la parte; y al no hacerlo, resolvió además el recurso de apelación con una “selección irrazonable y arbitraria de una norma aplicada al proceso” (STC 145/2012, FJ 6), en la medida en que prescindió por su propia, autónoma y exclusiva decisión, de la interpretación de la cláusula 4.1 de la Directiva 1999/70/CE impuesta y señalada por el órgano competente para hacerlo con carácter vinculante (STC 145/2012, FJ 5) vulnerando con ello el principio de primacía del Derecho de la Unión Europea.</w:t>
      </w:r>
    </w:p>
    <w:p w:rsidR="00AC56D6" w:rsidRDefault="00AC56D6" w:rsidP="00AC56D6">
      <w:pPr>
        <w:pStyle w:val="TextoNormal"/>
      </w:pPr>
    </w:p>
    <w:p w:rsidR="00AC56D6" w:rsidRDefault="00AC56D6" w:rsidP="00AC56D6">
      <w:pPr>
        <w:pStyle w:val="TextoNormal"/>
      </w:pPr>
      <w:r>
        <w:t xml:space="preserve">Según hemos recordado más arriba, este principio de primacía del Derecho de la Unión obligaba a aplicar la cláusula 4.1 de la Directiva 1999/70/CE invocada por el recurrente tal y como había sido interpretada por el Tribunal de Justicia de la Unión Europea para asuntos semejantes (Sentencias asunto </w:t>
      </w:r>
      <w:r w:rsidRPr="00AC56D6">
        <w:rPr>
          <w:i/>
        </w:rPr>
        <w:t>del Cerro Alonso</w:t>
      </w:r>
      <w:r>
        <w:t xml:space="preserve"> de 13 de septiembre de 2007 y asuntos </w:t>
      </w:r>
      <w:r w:rsidRPr="00AC56D6">
        <w:rPr>
          <w:i/>
        </w:rPr>
        <w:t>Gavieiro Gavieiro e Iglesias Torres</w:t>
      </w:r>
      <w:r>
        <w:t xml:space="preserve"> de 22 de diciembre de 2010, antes citadas) y, sobre todo, para un caso idéntico al que la Sala de Madrid debía resolver, como era el asunto </w:t>
      </w:r>
      <w:r w:rsidRPr="00AC56D6">
        <w:rPr>
          <w:i/>
        </w:rPr>
        <w:t>Lorenzo Martínez</w:t>
      </w:r>
      <w:r>
        <w:t xml:space="preserve">, igualmente mencionado (Auto de 9 de febrero de 2012), con preferencia sobre el Derecho interno incompatible. Una aplicación directa que no precisaba además de una cuestión prejudicial ante el Tribunal de Justicia de la Unión Europea, ya que se trataba de un acto “aclarado” por el propio Tribunal al resolver con anterioridad una cuestión prejudicial “materialmente idéntica” planteada en un “asunto análogo” (Sentencia asunto </w:t>
      </w:r>
      <w:r w:rsidRPr="00AC56D6">
        <w:rPr>
          <w:i/>
        </w:rPr>
        <w:t>Cilfit</w:t>
      </w:r>
      <w:r>
        <w:t xml:space="preserve"> de 6 de octubre de 1982, apartado 13). Por consiguiente, en ese contexto, la inaplicación de la citada Directiva por la resolución judicial objeto de amparo, sin motivar la oportunidad o conveniencia de plantear una nueva cuestión prejudicial, como igualmente autoriza a hacer la misma Sentencia asunto </w:t>
      </w:r>
      <w:r w:rsidRPr="00AC56D6">
        <w:rPr>
          <w:i/>
        </w:rPr>
        <w:t>Cilfit</w:t>
      </w:r>
      <w:r>
        <w:t>, apartado 15, (i) infringió el citado principio de primacía; (ii) incurrió, por ello, en una “selección irrazonable y arbitraria de una norma aplicada al proceso”; (iii) y, consiguientemente, vulneró, de este modo, el derecho a la tutela judicial efectiva del recurrente (art. 24.1 CE) en los términos ya señalados por la jurisprudencia de este Tribunal (SSTC 145/2012, de 2 de julio, y 290/2006, de 9 de octubre).</w:t>
      </w:r>
    </w:p>
    <w:p w:rsidR="00AC56D6" w:rsidRDefault="00AC56D6" w:rsidP="00AC56D6">
      <w:pPr>
        <w:pStyle w:val="TextoNormal"/>
      </w:pPr>
    </w:p>
    <w:p w:rsidR="00AC56D6" w:rsidRDefault="00AC56D6" w:rsidP="00AC56D6">
      <w:pPr>
        <w:pStyle w:val="TextoNormal"/>
      </w:pPr>
      <w:r>
        <w:t>Y ello obliga, en consecuencia, a estimar el presente amparo. Estimación que hace innecesario el examen del segundo motivo de amparo, que se imputa a la providencia de inadmisión del incidente de nulidad de actuaciones.</w:t>
      </w:r>
    </w:p>
    <w:p w:rsidR="00AC56D6" w:rsidRDefault="00AC56D6" w:rsidP="00AC56D6">
      <w:pPr>
        <w:pStyle w:val="TextoNormal"/>
      </w:pPr>
    </w:p>
    <w:p w:rsidR="00AC56D6" w:rsidRDefault="00AC56D6" w:rsidP="00AC56D6">
      <w:pPr>
        <w:pStyle w:val="TextoNormal"/>
      </w:pPr>
      <w:r w:rsidRPr="00AC56D6">
        <w:rPr>
          <w:rStyle w:val="NumeroAFNegritaCaracter"/>
        </w:rPr>
        <w:t>7</w:t>
      </w:r>
      <w:r>
        <w:t>. El otorgamiento del amparo al demandante por vulneración del derecho a la tutela judicial efectiva (art. 24.1 CE) debe comportar, conforme al art. 55.1 LOTC, el reconocimiento del derecho fundamental vulnerado y, asimismo, la declaración de nulidad de la Sentencia y providencia recurridas, con retroacción de actuaciones al momento inmediatamente anterior a dictarse la primera de las citadas resoluciones para que por la Sección Séptima de la Sala de lo Contencioso-Administrativo del Tribunal Superior de Justicia de Madrid se dicte otra resolución que resulte respetuosa con el derecho fundamental vulnerado.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Estimar el recurso de amparo interpuesto por don Epifanio Quirós Tejado y, en su virtud:</w:t>
      </w:r>
    </w:p>
    <w:p w:rsidR="00AC56D6" w:rsidRDefault="00AC56D6" w:rsidP="00AC56D6">
      <w:pPr>
        <w:pStyle w:val="TextoNormal"/>
      </w:pPr>
    </w:p>
    <w:p w:rsidR="00AC56D6" w:rsidRDefault="00AC56D6" w:rsidP="00AC56D6">
      <w:pPr>
        <w:pStyle w:val="TextoNormal"/>
      </w:pPr>
      <w:r>
        <w:t>1º Declarar que ha sido vulnerado el derecho fundamental del demandante de amparo a la tutela judicial efectiva sin indefensión (art. 24.1 CE).</w:t>
      </w:r>
    </w:p>
    <w:p w:rsidR="00AC56D6" w:rsidRDefault="00AC56D6" w:rsidP="00AC56D6">
      <w:pPr>
        <w:pStyle w:val="TextoNormal"/>
      </w:pPr>
    </w:p>
    <w:p w:rsidR="00AC56D6" w:rsidRDefault="00AC56D6" w:rsidP="00AC56D6">
      <w:pPr>
        <w:pStyle w:val="TextoNormal"/>
      </w:pPr>
      <w:r>
        <w:lastRenderedPageBreak/>
        <w:t>2º Restablecerle en su derecho y, en consecuencia, declarar la nulidad de la Sentencia dictada por la Sala de lo Contencioso-Administrativo (Sección Séptima) del Tribunal Superior de Justicia de Madrid en fecha 7 de diciembre de 2012, en el recurso de apelación núm. 246-2012, y de la providencia de 21 de febrero de 2013 que inadmitió el incidente de nulidad de actuaciones deducido frente a la anterior resolución.</w:t>
      </w:r>
    </w:p>
    <w:p w:rsidR="00AC56D6" w:rsidRDefault="00AC56D6" w:rsidP="00AC56D6">
      <w:pPr>
        <w:pStyle w:val="TextoNormal"/>
      </w:pPr>
    </w:p>
    <w:p w:rsidR="00AC56D6" w:rsidRDefault="00AC56D6" w:rsidP="00AC56D6">
      <w:pPr>
        <w:pStyle w:val="TextoNormal"/>
      </w:pPr>
      <w:r>
        <w:t>3º Retrotraer las actuaciones al momento inmediatamente anterior al pronunciamiento de la primera de las citadas resoluciones para que el órgano judicial dicte una nueva respetuosa con el derecho fundamental vulnerado.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cinco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89" w:name="SENTENCIA_2015_233"/>
      <w:r>
        <w:lastRenderedPageBreak/>
        <w:t>SENTENCIA 233/2015, de 5 de noviembre de 2015</w:t>
      </w:r>
    </w:p>
    <w:bookmarkEnd w:id="89"/>
    <w:p w:rsidR="00AC56D6" w:rsidRDefault="00AC56D6" w:rsidP="00AC56D6">
      <w:pPr>
        <w:pStyle w:val="TtuloResolucin"/>
      </w:pPr>
      <w:r>
        <w:t>Pleno</w:t>
      </w:r>
    </w:p>
    <w:p w:rsidR="00AC56D6" w:rsidRDefault="00AC56D6" w:rsidP="00AC56D6">
      <w:pPr>
        <w:pStyle w:val="TtuloBOE"/>
      </w:pPr>
      <w:r>
        <w:t>(BOE núm. 296, de 11 de diciembre de 2015)</w:t>
      </w:r>
    </w:p>
    <w:p w:rsidR="00AC56D6" w:rsidRDefault="00AC56D6" w:rsidP="00AC56D6">
      <w:pPr>
        <w:pStyle w:val="TextoNormalCentrado"/>
      </w:pPr>
      <w:r>
        <w:t>ECLI:ES:TC:2015:233</w:t>
      </w:r>
    </w:p>
    <w:p w:rsidR="00AC56D6" w:rsidRDefault="00AC56D6" w:rsidP="00AC56D6">
      <w:pPr>
        <w:pStyle w:val="TextoNormalCentrado"/>
      </w:pPr>
    </w:p>
    <w:p w:rsidR="00AC56D6" w:rsidRDefault="00AC56D6" w:rsidP="00AC56D6">
      <w:pPr>
        <w:pStyle w:val="SntesisDescriptiva"/>
      </w:pPr>
      <w:r>
        <w:t>Recurso de inconstitucionalidad 5012-2013. Interpuesto por más de cincuenta diputados del Grupo Parlamentario Socialista del Congreso en relación con diversos preceptos de la Ley 2/2013, de 29 de mayo, de protección y uso sostenible del litoral y de modificación de la Ley 22/1988, de 28 de julio, de costas.</w:t>
      </w:r>
    </w:p>
    <w:p w:rsidR="00AC56D6" w:rsidRDefault="00AC56D6" w:rsidP="00AC56D6">
      <w:pPr>
        <w:pStyle w:val="SntesisDescriptiva"/>
      </w:pPr>
    </w:p>
    <w:p w:rsidR="00AC56D6" w:rsidRDefault="00AC56D6" w:rsidP="00AC56D6">
      <w:pPr>
        <w:pStyle w:val="SntesisAnaltica"/>
      </w:pPr>
      <w:r>
        <w:t>Principios de irretroactividad, seguridad jurídica, interdicción de la arbitrariedad y protección ambiental; régimen de los bienes demaniales: nulidad de los preceptos legales que excluyen del dominio público marítimo-terrestre los terrenos inundados artificial y controladamente, establecen un régimen específico de deslinde para la isla de Formentera e introducen una garantía del funcionamiento de determinadas instalaciones de depuración; interpretación conforme con la Constitución de la disposición que excluye determinados núcleos de población del dominio público marítimo-terrestre (STC 149/1991).</w:t>
      </w:r>
    </w:p>
    <w:p w:rsidR="00AC56D6" w:rsidRDefault="00AC56D6" w:rsidP="00AC56D6">
      <w:pPr>
        <w:pStyle w:val="SntesisAnaltica"/>
      </w:pPr>
    </w:p>
    <w:p w:rsidR="00AC56D6" w:rsidRDefault="00AC56D6" w:rsidP="00AC56D6">
      <w:pPr>
        <w:pStyle w:val="Extracto"/>
      </w:pPr>
      <w:r>
        <w:t>1.</w:t>
      </w:r>
      <w:r>
        <w:tab/>
        <w:t>Un hipotético exceso reglamentario no empaña el juicio de constitucionalidad de la reforma del art. 3.1 a) de la Ley de Costas, que se limita a incorporar una precisión que encaja sin ninguna dificultad en el ámbito admisible de la colaboración reglamentaria [FJ 3.a)].</w:t>
      </w:r>
    </w:p>
    <w:p w:rsidR="00AC56D6" w:rsidRDefault="00AC56D6" w:rsidP="00AC56D6">
      <w:pPr>
        <w:pStyle w:val="Extracto"/>
      </w:pPr>
    </w:p>
    <w:p w:rsidR="00AC56D6" w:rsidRDefault="00AC56D6" w:rsidP="00AC56D6">
      <w:pPr>
        <w:pStyle w:val="Extracto"/>
      </w:pPr>
      <w:r>
        <w:t>2.</w:t>
      </w:r>
      <w:r>
        <w:tab/>
        <w:t>Constatado que la reforma de 2013 no afecta a la consideración demanial de las zonas naturalmente inundables, la alteración de los criterios de delimitación del dominio público de configuración legal puede desde luego ser motivo de legítima discrepancia, pero no de infracción del art. 132.2 CE [FJ 3.b)].</w:t>
      </w:r>
    </w:p>
    <w:p w:rsidR="00AC56D6" w:rsidRDefault="00AC56D6" w:rsidP="00AC56D6">
      <w:pPr>
        <w:pStyle w:val="Extracto"/>
      </w:pPr>
    </w:p>
    <w:p w:rsidR="00AC56D6" w:rsidRDefault="00AC56D6" w:rsidP="00AC56D6">
      <w:pPr>
        <w:pStyle w:val="Extracto"/>
      </w:pPr>
      <w:r>
        <w:t>3.</w:t>
      </w:r>
      <w:r>
        <w:tab/>
        <w:t>Respecto a la delimitación de la playa, puede extrapolarse aquí lo sentado en la STC 149/1991 a propósito de la delimitación de la zona marítimo-terrestre: que la nueva Ley utilice para su delimitación una definición distinta de un concepto ya utilizado por leyes anteriores sobre la materia, no es, ciertamente, razón alguna que abone su inconstitucionalidad [FJ 3.c)].</w:t>
      </w:r>
    </w:p>
    <w:p w:rsidR="00AC56D6" w:rsidRDefault="00AC56D6" w:rsidP="00AC56D6">
      <w:pPr>
        <w:pStyle w:val="Extracto"/>
      </w:pPr>
    </w:p>
    <w:p w:rsidR="00AC56D6" w:rsidRDefault="00AC56D6" w:rsidP="00AC56D6">
      <w:pPr>
        <w:pStyle w:val="Extracto"/>
      </w:pPr>
      <w:r>
        <w:t>4.</w:t>
      </w:r>
      <w:r>
        <w:tab/>
        <w:t>La fijación de la zona de servidumbre de protección en 100 metros como regla general era y es compatible con el establecimiento, en más, pero también en menos, de márgenes de flexibilidad que tengan en cuenta la realidad preexistente o las diversas características físicas de cada tramo de la costa [FJ 4].</w:t>
      </w:r>
    </w:p>
    <w:p w:rsidR="00AC56D6" w:rsidRDefault="00AC56D6" w:rsidP="00AC56D6">
      <w:pPr>
        <w:pStyle w:val="Extracto"/>
      </w:pPr>
    </w:p>
    <w:p w:rsidR="00AC56D6" w:rsidRDefault="00AC56D6" w:rsidP="00AC56D6">
      <w:pPr>
        <w:pStyle w:val="Extracto"/>
      </w:pPr>
      <w:r>
        <w:t>5.</w:t>
      </w:r>
      <w:r>
        <w:tab/>
        <w:t>La nueva regulación no desprotege en su integridad los yacimientos de áridos, al mantener la prohibición de las actividades que impliquen la destrucción de los naturales o no consolidados; por otra parte, para determinar el alcance de la prohibición recogida tanto en la regulación anterior como en la vigente, ha de repararse en que la prohibición recogida en la norma controvertida se predica de la destrucción, pero no impide toda actividad extractiva [FJ 5].</w:t>
      </w:r>
    </w:p>
    <w:p w:rsidR="00AC56D6" w:rsidRDefault="00AC56D6" w:rsidP="00AC56D6">
      <w:pPr>
        <w:pStyle w:val="Extracto"/>
      </w:pPr>
    </w:p>
    <w:p w:rsidR="00AC56D6" w:rsidRDefault="00AC56D6" w:rsidP="00AC56D6">
      <w:pPr>
        <w:pStyle w:val="Extracto"/>
      </w:pPr>
      <w:r>
        <w:lastRenderedPageBreak/>
        <w:t>6.</w:t>
      </w:r>
      <w:r>
        <w:tab/>
        <w:t>Respecto a la publicidad de las instalaciones o actividades permitidas en la zona de servidumbre de protección, ha de concluirse que tales opciones están comprendidas en la libertad de configuración del legislador, que se proyecta con mayor intensidad cuando se trata de regular, no ya el régimen de los bienes de dominio público marítimo-terrestre que en sus líneas maestras figura en el art. 132 CE como límite infranqueable, sino las limitaciones que afectan a los predios sitos en la franja adyacente [FJ 5].</w:t>
      </w:r>
    </w:p>
    <w:p w:rsidR="00AC56D6" w:rsidRDefault="00AC56D6" w:rsidP="00AC56D6">
      <w:pPr>
        <w:pStyle w:val="Extracto"/>
      </w:pPr>
    </w:p>
    <w:p w:rsidR="00AC56D6" w:rsidRDefault="00AC56D6" w:rsidP="00AC56D6">
      <w:pPr>
        <w:pStyle w:val="Extracto"/>
      </w:pPr>
      <w:r>
        <w:t>7.</w:t>
      </w:r>
      <w:r>
        <w:tab/>
        <w:t>Las prohibiciones que rigen en la zona de servidumbre de protección admiten un desarrollo reglamentario cuya delimitación queda predeterminada adecuadamente en el precepto legal al exigir que concurran dos requisitos: la existencia de actividades o instalaciones previamente permitidas y la imposición de una restricción adicional por remisión a un criterio sin duda alguna abierto o indeterminado (la compatibilidad con la finalidad de la servidumbre), que resulta susceptible de desarrollo reglamentario [FJ 5].</w:t>
      </w:r>
    </w:p>
    <w:p w:rsidR="00AC56D6" w:rsidRDefault="00AC56D6" w:rsidP="00AC56D6">
      <w:pPr>
        <w:pStyle w:val="Extracto"/>
      </w:pPr>
    </w:p>
    <w:p w:rsidR="00AC56D6" w:rsidRDefault="00AC56D6" w:rsidP="00AC56D6">
      <w:pPr>
        <w:pStyle w:val="Extracto"/>
      </w:pPr>
      <w:r>
        <w:t>8.</w:t>
      </w:r>
      <w:r>
        <w:tab/>
        <w:t>No puede calificarse de irrazonable que la determinación de los usos admisibles en las playas tenga en cuenta el grado de urbanización del entorno en el que se desenvuelven, y module en consecuencia el régimen de ocupación y uso atendiendo a su naturaleza, dotando a los tramos naturales de las playas de un elevado nivel de protección que restrinja su ocupación [FJ 6].</w:t>
      </w:r>
    </w:p>
    <w:p w:rsidR="00AC56D6" w:rsidRDefault="00AC56D6" w:rsidP="00AC56D6">
      <w:pPr>
        <w:pStyle w:val="Extracto"/>
      </w:pPr>
    </w:p>
    <w:p w:rsidR="00AC56D6" w:rsidRDefault="00AC56D6" w:rsidP="00AC56D6">
      <w:pPr>
        <w:pStyle w:val="Extracto"/>
      </w:pPr>
      <w:r>
        <w:t>9.</w:t>
      </w:r>
      <w:r>
        <w:tab/>
        <w:t>En cuanto a la inseguridad jurídica provocada por la distinción inconcreta de dos categorías de playas, según sean tramos urbanos o naturales, la inclusión de esta precisión o descripción en la exposición de motivos no es motivo suficiente para que el precepto pueda ser tachado de inconstitucional [FJ 6].</w:t>
      </w:r>
    </w:p>
    <w:p w:rsidR="00AC56D6" w:rsidRDefault="00AC56D6" w:rsidP="00AC56D6">
      <w:pPr>
        <w:pStyle w:val="Extracto"/>
      </w:pPr>
    </w:p>
    <w:p w:rsidR="00AC56D6" w:rsidRDefault="00AC56D6" w:rsidP="00AC56D6">
      <w:pPr>
        <w:pStyle w:val="Extracto"/>
      </w:pPr>
      <w:r>
        <w:t>10.</w:t>
      </w:r>
      <w:r>
        <w:tab/>
        <w:t xml:space="preserve">El legislador dispone de margen de configuración para decidir acerca del régimen jurídico de los terrenos que, no perteneciendo a la ribera del mar, hubieran sido inundados mediante técnicas artificiales y controladas; pero procede asimismo afirmar, </w:t>
      </w:r>
      <w:r w:rsidRPr="00AC56D6">
        <w:rPr>
          <w:i/>
        </w:rPr>
        <w:t>contrario sensu</w:t>
      </w:r>
      <w:r>
        <w:t>, que la pretensión de excluir porciones del dominio público natural en atención a su transformación artificial y al tipo de explotación resulta constitucionalmente inadmisible, ya que la naturaleza demanial de estas categorías de bienes no es disponible para el legislador, puesto que está determinada directamente por el art. 132.2 CE [FJ 7].</w:t>
      </w:r>
    </w:p>
    <w:p w:rsidR="00AC56D6" w:rsidRDefault="00AC56D6" w:rsidP="00AC56D6">
      <w:pPr>
        <w:pStyle w:val="Extracto"/>
      </w:pPr>
    </w:p>
    <w:p w:rsidR="00AC56D6" w:rsidRDefault="00AC56D6" w:rsidP="00AC56D6">
      <w:pPr>
        <w:pStyle w:val="Extracto"/>
      </w:pPr>
      <w:r>
        <w:t>11.</w:t>
      </w:r>
      <w:r>
        <w:tab/>
        <w:t>Descartado que la mera comparación con lo dispuesto en la Ley de costas de 1988 constituya un soporte válido para fundamentar un quebrantamiento de la Constitución, se constata que las modificaciones que introduce dicha ley recaen sobre obras o instalaciones existentes o autorizadas con anterioridad a su entrada en vigor, no se consiente el aumento de su volumen, altura o superficie, y no se altera la duración de las concesiones en zona de dominio público, la garantía de la servidumbre de tránsito o el régimen general vigente en la zona de servidumbre de protección, por lo que no se desborda el margen de configuración de que dispone el legislador [FJ 8].</w:t>
      </w:r>
    </w:p>
    <w:p w:rsidR="00AC56D6" w:rsidRDefault="00AC56D6" w:rsidP="00AC56D6">
      <w:pPr>
        <w:pStyle w:val="Extracto"/>
      </w:pPr>
    </w:p>
    <w:p w:rsidR="00AC56D6" w:rsidRDefault="00AC56D6" w:rsidP="00AC56D6">
      <w:pPr>
        <w:pStyle w:val="Extracto"/>
      </w:pPr>
      <w:r>
        <w:lastRenderedPageBreak/>
        <w:t>12.</w:t>
      </w:r>
      <w:r>
        <w:tab/>
        <w:t>Sólo los terrenos naturalmente inundables forman parte del dominio público preservado por el art. 132.2 CE, en tanto que en el caso de las urbanizaciones marítimo-terrestres, el elemento decisivo para desestimar el vicio de inconstitucionalidad denunciado radica en que estas urbanizaciones no se ubican en la franja demanial preservada por el citado precepto constitucional, sino que se caracterizan por conformarse a partir de la inundación artificial de terrenos privados [FJ 9].</w:t>
      </w:r>
    </w:p>
    <w:p w:rsidR="00AC56D6" w:rsidRDefault="00AC56D6" w:rsidP="00AC56D6">
      <w:pPr>
        <w:pStyle w:val="Extracto"/>
      </w:pPr>
    </w:p>
    <w:p w:rsidR="00AC56D6" w:rsidRDefault="00AC56D6" w:rsidP="00AC56D6">
      <w:pPr>
        <w:pStyle w:val="Extracto"/>
      </w:pPr>
      <w:r>
        <w:t>13.</w:t>
      </w:r>
      <w:r>
        <w:tab/>
        <w:t>La normativa impugnada no incurre en retroactividad constitucionalmente prohibida, puesto que ni siquiera existe una colisión con cualesquiera derechos subjetivos, pues fácilmente se advierte que el efecto es precisamente el opuesto, la ampliación de la esfera patrimonial de los particulares que, en su momento, fueron titulares registrales de los terrenos afectados, o de sus causahabientes [FJ 9].</w:t>
      </w:r>
    </w:p>
    <w:p w:rsidR="00AC56D6" w:rsidRDefault="00AC56D6" w:rsidP="00AC56D6">
      <w:pPr>
        <w:pStyle w:val="Extracto"/>
      </w:pPr>
    </w:p>
    <w:p w:rsidR="00AC56D6" w:rsidRDefault="00AC56D6" w:rsidP="00AC56D6">
      <w:pPr>
        <w:pStyle w:val="Extracto"/>
      </w:pPr>
      <w:r>
        <w:t>14.</w:t>
      </w:r>
      <w:r>
        <w:tab/>
        <w:t>No podemos acoger la tacha relativa a la inseguridad jurídica contraria al artículo 9.3 CE que, según se aduce, deriva de la falta de clarificación del restante régimen jurídico de las urbanizaciones marítimo-terrestres, porque la serie de interrogantes que abre la demanda para apoyar su pretensión habrán de hallar respuesta bien en la propia legislación de ordenación territorial y urbanística de las Comunidades Autónomas, bien en el régimen general establecido en la propia legislación de costas [FJ 9].</w:t>
      </w:r>
    </w:p>
    <w:p w:rsidR="00AC56D6" w:rsidRDefault="00AC56D6" w:rsidP="00AC56D6">
      <w:pPr>
        <w:pStyle w:val="Extracto"/>
      </w:pPr>
    </w:p>
    <w:p w:rsidR="00AC56D6" w:rsidRDefault="00AC56D6" w:rsidP="00AC56D6">
      <w:pPr>
        <w:pStyle w:val="Extracto"/>
      </w:pPr>
      <w:r>
        <w:t>15.</w:t>
      </w:r>
      <w:r>
        <w:tab/>
        <w:t>Una vez descartado el carácter perpetuo del uso privativo del dominio público, la determinación del plazo de duración de las concesiones demaniales y de sus prórrogas está comprendida en la remisión que el art. 132.1 CE hace a la ley para la regulación del régimen jurídico de los bienes de dominio público [FJ 10.a)].</w:t>
      </w:r>
    </w:p>
    <w:p w:rsidR="00AC56D6" w:rsidRDefault="00AC56D6" w:rsidP="00AC56D6">
      <w:pPr>
        <w:pStyle w:val="Extracto"/>
      </w:pPr>
    </w:p>
    <w:p w:rsidR="00AC56D6" w:rsidRDefault="00AC56D6" w:rsidP="00AC56D6">
      <w:pPr>
        <w:pStyle w:val="Extracto"/>
      </w:pPr>
      <w:r>
        <w:t>16.</w:t>
      </w:r>
      <w:r>
        <w:tab/>
        <w:t>La extinción de una concesión no implica necesariamente la recuperación del uso general del dominio público, y la prórroga es condición necesaria, pero no suficiente, para la continuación de la actividad, por lo que no cabe anudar a lo dispuesto en el art. 2 de la Ley 2/2013 los efectos que señalan los recurrentes en cuanto a la integridad y uso del dominio público, no habiéndose aportado una argumentación convincente que pueda servir de base para estimar que el precepto es contrario al principio de interdicción de la arbitrariedad [FJ 10.b)].</w:t>
      </w:r>
    </w:p>
    <w:p w:rsidR="00AC56D6" w:rsidRDefault="00AC56D6" w:rsidP="00AC56D6">
      <w:pPr>
        <w:pStyle w:val="Extracto"/>
      </w:pPr>
    </w:p>
    <w:p w:rsidR="00AC56D6" w:rsidRDefault="00AC56D6" w:rsidP="00AC56D6">
      <w:pPr>
        <w:pStyle w:val="Extracto"/>
      </w:pPr>
      <w:r>
        <w:t>17.</w:t>
      </w:r>
      <w:r>
        <w:tab/>
        <w:t>Respecto a la alegada restricción a la libre competencia y, con ella, a la libertad de empresa, ni la opinión de la Comisión Nacional de los Mercados y la Competencia ni el modo en el que el legislador ordinario ha disciplinado el sector portuario pueden fundar una infracción constitucional; y en cuanto al Derecho de la Unión Europea, la tarea de garantizar su recta aplicación por los poderes públicos nacionales es una cuestión de carácter infraconstitucional y, por ello, excluida tanto del ámbito del proceso de amparo como de los demás procesos constitucionales (STC 41/2002) [FJ 10.c)].</w:t>
      </w:r>
    </w:p>
    <w:p w:rsidR="00AC56D6" w:rsidRDefault="00AC56D6" w:rsidP="00AC56D6">
      <w:pPr>
        <w:pStyle w:val="Extracto"/>
      </w:pPr>
    </w:p>
    <w:p w:rsidR="00AC56D6" w:rsidRDefault="00AC56D6" w:rsidP="00AC56D6">
      <w:pPr>
        <w:pStyle w:val="Extracto"/>
      </w:pPr>
      <w:r>
        <w:t>18.</w:t>
      </w:r>
      <w:r>
        <w:tab/>
        <w:t>Respecto del deslinde de la isla de Formentera, carente de justificación racional, ha de reputarse inconstitucional [FJ 12].</w:t>
      </w:r>
    </w:p>
    <w:p w:rsidR="00AC56D6" w:rsidRDefault="00AC56D6" w:rsidP="00AC56D6">
      <w:pPr>
        <w:pStyle w:val="Extracto"/>
      </w:pPr>
    </w:p>
    <w:p w:rsidR="00AC56D6" w:rsidRDefault="00AC56D6" w:rsidP="00AC56D6">
      <w:pPr>
        <w:pStyle w:val="Extracto"/>
      </w:pPr>
      <w:r>
        <w:t>19.</w:t>
      </w:r>
      <w:r>
        <w:tab/>
        <w:t xml:space="preserve">Sobre el reintegro del dominio de los terrenos que, en virtud de la reforma legal, dejen de formar parte del dominio público, sólo en el caso de que la exclusión de </w:t>
      </w:r>
      <w:r>
        <w:lastRenderedPageBreak/>
        <w:t>determinados bienes del dominio público terrestre incurra en infracción del art. 132.2 CE será constitucionalmente ilegítimo su reintegro a manos privadas [FJ 13].</w:t>
      </w:r>
    </w:p>
    <w:p w:rsidR="00AC56D6" w:rsidRDefault="00AC56D6" w:rsidP="00AC56D6">
      <w:pPr>
        <w:pStyle w:val="Extracto"/>
      </w:pPr>
    </w:p>
    <w:p w:rsidR="00AC56D6" w:rsidRDefault="00AC56D6" w:rsidP="00AC56D6">
      <w:pPr>
        <w:pStyle w:val="Extracto"/>
      </w:pPr>
      <w:r>
        <w:t>20.</w:t>
      </w:r>
      <w:r>
        <w:tab/>
        <w:t xml:space="preserve">Las consecuencias jurídicas de la norma controvertida no se extienden a la regulación del completo régimen jurídico sino que su virtualidad radica en la identificación, </w:t>
      </w:r>
      <w:r w:rsidRPr="00AC56D6">
        <w:rPr>
          <w:i/>
        </w:rPr>
        <w:t>ope legis</w:t>
      </w:r>
      <w:r>
        <w:t>, de unos terrenos que notoriamente han perdido por obra de la acción del hombre las características de dominio público natural, excluyéndose la necesidad de esa justificación, que según la norma no implica la efectividad inmediata de la exclusión, siendo solo el presupuesto para la iniciación del expediente que, en su caso, puede terminar con su desafectación [FJ 14].</w:t>
      </w:r>
    </w:p>
    <w:p w:rsidR="00AC56D6" w:rsidRDefault="00AC56D6" w:rsidP="00AC56D6">
      <w:pPr>
        <w:pStyle w:val="Extracto"/>
      </w:pPr>
    </w:p>
    <w:p w:rsidR="00AC56D6" w:rsidRDefault="00AC56D6" w:rsidP="00AC56D6">
      <w:pPr>
        <w:pStyle w:val="Extracto"/>
      </w:pPr>
      <w:r>
        <w:t>21.</w:t>
      </w:r>
      <w:r>
        <w:tab/>
        <w:t>Doctrina constitucional sobre la interpretación conforme (STC 148/2011) [FJ 14].</w:t>
      </w:r>
    </w:p>
    <w:p w:rsidR="00AC56D6" w:rsidRDefault="00AC56D6" w:rsidP="00AC56D6">
      <w:pPr>
        <w:pStyle w:val="Extracto"/>
      </w:pPr>
    </w:p>
    <w:p w:rsidR="00AC56D6" w:rsidRDefault="00AC56D6" w:rsidP="00AC56D6">
      <w:pPr>
        <w:pStyle w:val="Extracto"/>
      </w:pPr>
      <w:r>
        <w:t>22.</w:t>
      </w:r>
      <w:r>
        <w:tab/>
        <w:t>La regulación sobre garantía de funcionamiento temporal de determinadas instalaciones de depuración, que deben ser reubicadas en cumplimiento de resoluciones judiciales, vulnera la potestad de Jueces y Tribunales para hacer ejecutar lo juzgado al desplazar esta decisión a la Administración y, con ello, vulnera también el derecho a la ejecución de las resoluciones judiciales firmes, al obstaculizar de forma indebida y desproporcionada el cumplimiento del fallo judicial [FJ 15].</w:t>
      </w:r>
    </w:p>
    <w:p w:rsidR="00AC56D6" w:rsidRDefault="00AC56D6" w:rsidP="00AC56D6">
      <w:pPr>
        <w:pStyle w:val="Extracto"/>
      </w:pPr>
    </w:p>
    <w:p w:rsidR="00AC56D6" w:rsidRDefault="00AC56D6" w:rsidP="00AC56D6">
      <w:pPr>
        <w:pStyle w:val="Extracto"/>
      </w:pPr>
      <w:r>
        <w:t>23.</w:t>
      </w:r>
      <w:r>
        <w:tab/>
        <w:t>Doctrina constitucional sobre las leyes singulares (SSTC 166/1986, 48/2005, 129/2013, 203/2013, 50/2015) [FJ 15].</w:t>
      </w:r>
    </w:p>
    <w:p w:rsidR="00AC56D6" w:rsidRDefault="00AC56D6" w:rsidP="00AC56D6">
      <w:pPr>
        <w:pStyle w:val="Extracto"/>
      </w:pPr>
    </w:p>
    <w:p w:rsidR="00AC56D6" w:rsidRDefault="00AC56D6" w:rsidP="00AC56D6">
      <w:pPr>
        <w:pStyle w:val="Extracto"/>
      </w:pPr>
      <w:r>
        <w:t>24.</w:t>
      </w:r>
      <w:r>
        <w:tab/>
        <w:t>No hay vulneración de las competencias autonómicas en materia de ordenación territorial y urbanística, de acuerdo con lo declarado en la STC 149/1991 [FJ 16].</w:t>
      </w:r>
    </w:p>
    <w:p w:rsidR="00AC56D6" w:rsidRDefault="00AC56D6" w:rsidP="00AC56D6">
      <w:pPr>
        <w:pStyle w:val="Extracto"/>
      </w:pPr>
    </w:p>
    <w:p w:rsidR="00AC56D6" w:rsidRDefault="00AC56D6" w:rsidP="00AC56D6">
      <w:pPr>
        <w:pStyle w:val="Extracto"/>
      </w:pPr>
      <w:r>
        <w:t>25.</w:t>
      </w:r>
      <w:r>
        <w:tab/>
        <w:t>Doctrina constitucional sobre los bienes de</w:t>
      </w:r>
      <w:r w:rsidRPr="00AC56D6">
        <w:rPr>
          <w:i/>
        </w:rPr>
        <w:t xml:space="preserve"> demanio natural </w:t>
      </w:r>
      <w:r>
        <w:t>(SSTC 227/1988, 149/1991) [FJ 2. a)].</w:t>
      </w:r>
    </w:p>
    <w:p w:rsidR="00AC56D6" w:rsidRDefault="00AC56D6" w:rsidP="00AC56D6">
      <w:pPr>
        <w:pStyle w:val="Extracto"/>
      </w:pPr>
    </w:p>
    <w:p w:rsidR="00AC56D6" w:rsidRDefault="00AC56D6" w:rsidP="00AC56D6">
      <w:pPr>
        <w:pStyle w:val="Extracto"/>
      </w:pPr>
      <w:r>
        <w:t>26.</w:t>
      </w:r>
      <w:r>
        <w:tab/>
        <w:t>Nexo teleológico entre los arts. 45 y 132 CE (STC 227/1988) [FJ. 2.b)].</w:t>
      </w:r>
    </w:p>
    <w:p w:rsidR="00AC56D6" w:rsidRDefault="00AC56D6" w:rsidP="00AC56D6">
      <w:pPr>
        <w:pStyle w:val="Extracto"/>
      </w:pPr>
    </w:p>
    <w:p w:rsidR="00AC56D6" w:rsidRDefault="00AC56D6" w:rsidP="00AC56D6">
      <w:pPr>
        <w:pStyle w:val="Extracto"/>
      </w:pPr>
      <w:r>
        <w:t>27.</w:t>
      </w:r>
      <w:r>
        <w:tab/>
        <w:t>El deber constitucional se proyecta sobre el medio físico, en tanto que el principio de no regresión se predica del ordenamiento jurídico, lo que significa que la norma no es intangible, y que por tanto la apreciación del potencial impacto negativo de su modificación sobre la conservación del medio ambiente requiere una cuidadosa ponderación, en la que, como uno más entre otros factores, habrá de tomarse en consideración la regulación preexistente [FJ 2.d)].</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lastRenderedPageBreak/>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inconstitucionalidad núm. 5012-2013, interpuesto por ciento seis Diputados del Grupo Parlamentario Socialista del Congreso de los Diputados contra los arts. 1, apartados 2, 3, 10, 11, 12, 39, 40 y 41, y 2; las disposiciones adicionales segunda, cuarta, quinta, sexta, séptima y novena; la disposición transitoria primera, y el anexo de la Ley 2/2013, de 29 de mayo, de protección y uso sostenible del litoral y de modificación de la Ley 22/1988, de 28 de julio, de costas. Ha comparecido y formulado alegaciones el Abogado del Estado. Ha sido ponente el Magistrado don Fernando Valdés Dal-Ré,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presentado en el Registro General de este Tribunal Constitucional el día 30 de agosto de 2013, la Procuradora de los Tribunales doña Virginia Aragón Segura, actuando como comisionada de ciento seis diputados integrantes del Grupo Parlamentario Socialista en el Congreso de los Diputados, interpuso recurso de inconstitucionalidad contra los arts. 1, apartados 2, 3, 10, 11, 12, 39, 40 y 41, y 2; las disposiciones adicionales segunda, cuarta, quinta, sexta, séptima y novena; la disposición transitoria primera, y el anexo de la Ley 2/2013, de 29 de mayo, de protección y uso sostenible del litoral y de modificación de la Ley 22/1988, de 28 de julio, de costas (en lo sucesivo, LC). La impugnación se fundamenta en los motivos que se resumen a continuación.</w:t>
      </w:r>
    </w:p>
    <w:p w:rsidR="00AC56D6" w:rsidRDefault="00AC56D6" w:rsidP="00AC56D6">
      <w:pPr>
        <w:pStyle w:val="TextoNormal"/>
      </w:pPr>
    </w:p>
    <w:p w:rsidR="00AC56D6" w:rsidRDefault="00AC56D6" w:rsidP="00AC56D6">
      <w:pPr>
        <w:pStyle w:val="TextoNormal"/>
      </w:pPr>
      <w:r>
        <w:t>a) Al interpretar el art. 132.2 CE, la STC 149/1991, de 4 de julio, dejó sentado que la facultad del legislador estatal, para definir el dominio público estatal y establecer el régimen jurídico de todos los bienes que lo integran, “está constitucionalmente sujeta a condicionamientos que la propia Constitución establece de modo explícito o que implícita, pero necesariamente, resultan de la interpretación sistemática de la Norma fundamental” (FJ 1). Tratándose del dominio público natural en general, y en particular del marítimo-terrestre, dicha interpretación sistemática debe hacerse a la luz de la Constitución ambiental y, en particular, del artículo 45 que la preside. La costa, como bien jurídico, debe interpretarse constitucionalmente como un concepto sistemático y eminentemente ambiental; en suma, como un ecosistema que ha merecido como tal una especial consideración del constituyente.</w:t>
      </w:r>
    </w:p>
    <w:p w:rsidR="00AC56D6" w:rsidRDefault="00AC56D6" w:rsidP="00AC56D6">
      <w:pPr>
        <w:pStyle w:val="TextoNormal"/>
      </w:pPr>
    </w:p>
    <w:p w:rsidR="00AC56D6" w:rsidRDefault="00AC56D6" w:rsidP="00AC56D6">
      <w:pPr>
        <w:pStyle w:val="TextoNormal"/>
      </w:pPr>
      <w:r>
        <w:t xml:space="preserve">Por lo que hace a la determinación de los bienes que conforman el dominio público costero, la Constitución incluye directamente y por su propio imperio dentro de dicha categoría (mediante la expresión “en todo caso”) al menos a dos géneros de bienes en lo que aquí importa: la zona marítimo-terrestre y las playas. Al definirlos, el legislador no ejerce una función de desarrollo constitucional, sino que se limita a ejecutar un mandato constitucional (STC 149/1991), sin libertad alguna de configuración, pudiendo todo lo más precisar, en lo estrictamente necesario, un concepto constitucionalmente preestablecido, a los efectos de facilitar las operaciones concretas de deslinde. El legislador no puede excluir del dominio </w:t>
      </w:r>
      <w:r>
        <w:lastRenderedPageBreak/>
        <w:t>público a ninguno de dichos bienes genéricos ni a las partes, los bienes singulares o los elementos que los integran. Rige aquí una reserva de ley particularmente estricta, que persigue excluir la colaboración del reglamento en la concreta operación de ultimación de la determinación de los bienes del dominio público marítimo-terrestre. La Ley no puede deslegalizar esta función, ni tampoco volver a utilizar conceptos genéricos o indeterminados como los de la misma Constitución para remitir de seguido su precisión al reglamento.</w:t>
      </w:r>
    </w:p>
    <w:p w:rsidR="00AC56D6" w:rsidRDefault="00AC56D6" w:rsidP="00AC56D6">
      <w:pPr>
        <w:pStyle w:val="TextoNormal"/>
      </w:pPr>
    </w:p>
    <w:p w:rsidR="00AC56D6" w:rsidRDefault="00AC56D6" w:rsidP="00AC56D6">
      <w:pPr>
        <w:pStyle w:val="TextoNormal"/>
      </w:pPr>
      <w:r>
        <w:t>Como es propio de un bien demanial natural, la zona marítimo-terrestre se define primariamente por un simple hecho físico, al ser el espacio en el que entran en contacto el mar y la tierra. Allí donde se produzca ese contacto, aunque sea cambiante por las mareas u otros fenómenos naturales o artificiales, se estará necesariamente en la zona marítimo-terrestre y, por ende, en el dominio público estatal, por directa determinación constitucional. Su extensión no puede ser libremente configurada por el legislador, sino que debe llegar hasta donde lo hace la zona de interacción o influencia recíproca entre el mar y la tierra. No depende, en suma, de la libre voluntad del legislador, sino de hechos físicos definidos o precisados mediante datos de la observación o la experiencia, y del conocimiento científico. El legislador ha de trasladar la más adecuada apreciación de los datos empíricos interpretados a la luz del conocimiento científico disponible en cada momento. Estas últimas afirmaciones encuentran confirmación tanto en el Derecho internacional como en el comparado (Protocolo relativo a la gestión integrada de las zonas costeras del Mediterráneo, ratificado por España el 20 de mayo de 2010, y art. L.2111-4 del Código general de la propiedad de las personas públicas francés).</w:t>
      </w:r>
    </w:p>
    <w:p w:rsidR="00AC56D6" w:rsidRDefault="00AC56D6" w:rsidP="00AC56D6">
      <w:pPr>
        <w:pStyle w:val="TextoNormal"/>
      </w:pPr>
    </w:p>
    <w:p w:rsidR="00AC56D6" w:rsidRDefault="00AC56D6" w:rsidP="00AC56D6">
      <w:pPr>
        <w:pStyle w:val="TextoNormal"/>
      </w:pPr>
      <w:r>
        <w:t>La zona marítimo-terrestre ya fue definida por la Ley de costas de 1988 en cumplimiento de lo dispuesto en el art. 132.2 CE, y la constitucionalidad de tal operación fue confirmada por la STC 149/1991. Esto no significa que dicha definición deba entenderse permanente ni inmutable, pero sí que, para cambiarla, el legislador deberá encontrar motivación en datos empíricos o en constataciones científicas. En este sentido, sin duda la más relevante constatación científica aparecida desde 1988 es la del cambio climático, que en todo caso apela en sus consecuencias a la ampliación del dominio público marítimo-terrestre, no desde luego a una reducción como la practicada por esta reforma legal. El grupo de expertos sobre cambio climático de Naciones Unidas (IPCC, 2007. “Cambio climático 2007: informe de síntesis”) ha constatado que el calentamiento global es inequívoco y duradero, como evidencia entre otros el aumento del nivel del mar, siendo probable que algunos sistemas, entre ellos los de tipo mediterráneo y las costas bajas, resulten especialmente afectados. Existe ya un consenso básico en torno a la certidumbre científica sobre el cambio climático, del que la propia Ley impugnada es un reflejo paradójico, porque, de un lado, adopta medidas para prevenir los riesgos asociados de regresión del litoral e inundaciones y, de otro, sin ofrecer una justificación mínimamente aceptable, adopta medidas de sentido contrario, como la reducción de la extensión del dominio público marítimo-terrestre (y de la extensión y las limitaciones de usos de su zona de protección), que aumentarán gravemente la vulnerabilidad de la costa a los daños ambientales, personales y patrimoniales asociados al cambio climático.</w:t>
      </w:r>
    </w:p>
    <w:p w:rsidR="00AC56D6" w:rsidRDefault="00AC56D6" w:rsidP="00AC56D6">
      <w:pPr>
        <w:pStyle w:val="TextoNormal"/>
      </w:pPr>
    </w:p>
    <w:p w:rsidR="00AC56D6" w:rsidRDefault="00AC56D6" w:rsidP="00AC56D6">
      <w:pPr>
        <w:pStyle w:val="TextoNormal"/>
      </w:pPr>
      <w:r>
        <w:t xml:space="preserve">El legislador cuenta con mayor libertad de configuración para establecer el régimen jurídico del espacio costero, pero ésta no es absoluta ni tampoco homogénea. Según la STC 149/1991, el legislador no sólo ha de inspirarse en los principios de inalienabilidad, imprescriptibilidad e inembargabilidad, sino que además ha de adoptar todas las medidas que crea </w:t>
      </w:r>
      <w:r>
        <w:lastRenderedPageBreak/>
        <w:t>necesarias para preservar sus características propias. El legislador estatal no sólo está facultado, sino obligado, a proteger el demanio marítimo-terrestre a fin de asegurar tanto el mantenimiento de su integridad física y jurídica como su uso público y sus valores paisajísticos, finalidades amparadas por el art. 45 CE.</w:t>
      </w:r>
    </w:p>
    <w:p w:rsidR="00AC56D6" w:rsidRDefault="00AC56D6" w:rsidP="00AC56D6">
      <w:pPr>
        <w:pStyle w:val="TextoNormal"/>
      </w:pPr>
    </w:p>
    <w:p w:rsidR="00AC56D6" w:rsidRDefault="00AC56D6" w:rsidP="00AC56D6">
      <w:pPr>
        <w:pStyle w:val="TextoNormal"/>
      </w:pPr>
      <w:r>
        <w:t>La protección del dominio público exige asimismo incidir sobre otros bienes colindantes o próximos, sin cuya afectación no se podría asegurar el acceso a aquél ni preservar su valor paisajístico. Para ello, el legislador puede ampliar la calificación de dominio público a todos o algunos de esos bienes, y delimitar en los demás el contenido de la propiedad privada conforme a su función social. El interés general de la protección de la costa y su disfrute por los ciudadanos debe ponderarse con otros bienes jurídicos que tienen asimismo tutela constitucional, en particular con el derecho de la propiedad privada consagrado en el art. 33 CE.</w:t>
      </w:r>
    </w:p>
    <w:p w:rsidR="00AC56D6" w:rsidRDefault="00AC56D6" w:rsidP="00AC56D6">
      <w:pPr>
        <w:pStyle w:val="TextoNormal"/>
      </w:pPr>
    </w:p>
    <w:p w:rsidR="00AC56D6" w:rsidRDefault="00AC56D6" w:rsidP="00AC56D6">
      <w:pPr>
        <w:pStyle w:val="TextoNormal"/>
      </w:pPr>
      <w:r>
        <w:t>Por los motivos generales que han quedado expuestos, deben reputarse inconstitucionales los siguientes preceptos de la Ley 2/2013:</w:t>
      </w:r>
    </w:p>
    <w:p w:rsidR="00AC56D6" w:rsidRDefault="00AC56D6" w:rsidP="00AC56D6">
      <w:pPr>
        <w:pStyle w:val="TextoNormal"/>
      </w:pPr>
    </w:p>
    <w:p w:rsidR="00AC56D6" w:rsidRDefault="00AC56D6" w:rsidP="00AC56D6">
      <w:pPr>
        <w:pStyle w:val="TextoNormal"/>
      </w:pPr>
      <w:r>
        <w:t>i) El inciso “de acuerdo con los criterios técnicos que se establezcan reglamentariamente”, de la nueva redacción que el art. 1.2 de la Ley 2/2013 da al párrafo primero del art. 3.1 a) LC, infringe la reserva de ley particularmente estricta en esta materia. No cabe aquí aducir la doctrina general, según la cual la fijación de aspectos técnicos es una de las funciones que cabe desempeñar al reglamento en su colaboración con la ley. El límite hasta donde alcancen las olas en los mayores temporales conocidos no es un concepto científico, sino un dato de la experiencia, por lo que no cabe establecer criterios técnicos para determinarlo, sino sólo su constatación caso a caso sobre el lugar.</w:t>
      </w:r>
    </w:p>
    <w:p w:rsidR="00AC56D6" w:rsidRDefault="00AC56D6" w:rsidP="00AC56D6">
      <w:pPr>
        <w:pStyle w:val="TextoNormal"/>
      </w:pPr>
    </w:p>
    <w:p w:rsidR="00AC56D6" w:rsidRDefault="00AC56D6" w:rsidP="00AC56D6">
      <w:pPr>
        <w:pStyle w:val="TextoNormal"/>
      </w:pPr>
      <w:r>
        <w:t>ii) El nuevo párrafo tercero del art. 3.1 a) LC, incorporado por el art. 1.2 de la Ley 2/2013, excluye del dominio público marítimo-terrestre “aquellos terrenos que sean inundados artificial y controladamente, como consecuencia de obras o instalaciones realizadas al efecto”. A partir de la definición de la zona marítimo-terrestre como un hecho físico, estos terrenos forman parte de la misma, siendo irrelevante que su inundación haya sido natural o artificial.</w:t>
      </w:r>
    </w:p>
    <w:p w:rsidR="00AC56D6" w:rsidRDefault="00AC56D6" w:rsidP="00AC56D6">
      <w:pPr>
        <w:pStyle w:val="TextoNormal"/>
      </w:pPr>
    </w:p>
    <w:p w:rsidR="00AC56D6" w:rsidRDefault="00AC56D6" w:rsidP="00AC56D6">
      <w:pPr>
        <w:pStyle w:val="TextoNormal"/>
      </w:pPr>
      <w:r>
        <w:t xml:space="preserve">El propio tenor del precepto revela su inconstitucionalidad, porque la definición que hace de la zona marítimo-terrestre incluye necesariamente a los terrenos en cuestión y, “no obstante”, los excluye, no ya de dicha zona a la que pertenecen </w:t>
      </w:r>
      <w:r w:rsidRPr="00AC56D6">
        <w:rPr>
          <w:i/>
        </w:rPr>
        <w:t>per se</w:t>
      </w:r>
      <w:r>
        <w:t>, sino sólo “del dominio público marítimo-terrestre”.</w:t>
      </w:r>
    </w:p>
    <w:p w:rsidR="00AC56D6" w:rsidRDefault="00AC56D6" w:rsidP="00AC56D6">
      <w:pPr>
        <w:pStyle w:val="TextoNormal"/>
      </w:pPr>
    </w:p>
    <w:p w:rsidR="00AC56D6" w:rsidRDefault="00AC56D6" w:rsidP="00AC56D6">
      <w:pPr>
        <w:pStyle w:val="TextoNormal"/>
      </w:pPr>
      <w:r>
        <w:t xml:space="preserve">La incongruencia del legislador hace evidente la arbitrariedad de esta exclusión, pues el art. 4.2 LC, que no ha sido modificado, se ocupa de los terrenos ganados al mar como consecuencia directa o indirecta de obras y de los terrenos desecados en su ribera, integrantes asimismo del dominio público, pese a que lo sean por causa artificial. Confirma asimismo la arbitrariedad la exigencia según la cual la obra o instalación de inundación tiene que haberse practicado “artificial y controladamente”, lo que parece significar, </w:t>
      </w:r>
      <w:r w:rsidRPr="00AC56D6">
        <w:rPr>
          <w:i/>
        </w:rPr>
        <w:t>sensu contrario</w:t>
      </w:r>
      <w:r>
        <w:t>, que si ha sido artificial pero no controlada, no quedaría impedido su ingreso en el demanio.</w:t>
      </w:r>
    </w:p>
    <w:p w:rsidR="00AC56D6" w:rsidRDefault="00AC56D6" w:rsidP="00AC56D6">
      <w:pPr>
        <w:pStyle w:val="TextoNormal"/>
      </w:pPr>
    </w:p>
    <w:p w:rsidR="00AC56D6" w:rsidRDefault="00AC56D6" w:rsidP="00AC56D6">
      <w:pPr>
        <w:pStyle w:val="TextoNormal"/>
      </w:pPr>
      <w:r>
        <w:t>iii) La nueva redacción del art. 4.3 LC, incorporada por el art. 1.3 de la Ley 2/2013, incurre en inconstitucionalidad por las mismas razones que el anterior, con el que está ínti</w:t>
      </w:r>
      <w:r>
        <w:lastRenderedPageBreak/>
        <w:t>mamente conectado, al tratar de circunscribir la calificación demanial de los terrenos inundados a que “sean navegables”, pues la navegabilidad nada dice sobre la pertenencia o no al dominio público marítimo-terrestre.</w:t>
      </w:r>
    </w:p>
    <w:p w:rsidR="00AC56D6" w:rsidRDefault="00AC56D6" w:rsidP="00AC56D6">
      <w:pPr>
        <w:pStyle w:val="TextoNormal"/>
      </w:pPr>
    </w:p>
    <w:p w:rsidR="00AC56D6" w:rsidRDefault="00AC56D6" w:rsidP="00AC56D6">
      <w:pPr>
        <w:pStyle w:val="TextoNormal"/>
      </w:pPr>
      <w:r>
        <w:t>iv) El inciso final del art. 3.1 b) LC, modificado por el art. 1.2 de la Ley 2/2013, referido a las dunas, a cuyo tenor “estas últimas se incluirán hasta el límite que resulte necesario para garantizar la estabilidad de la playa y la defensa de la costa”. Su objetivo es restringir el alcance de la anterior Ley y anular la consideración demanial de todas las cadenas de dunas litorales. Para ello se incluye la locución entrecomillada, elevando de rango lo que fue aprobado en el Reglamento de desarrollo de 1989, que según reiterada jurisprudencia restringía el concepto legal.</w:t>
      </w:r>
    </w:p>
    <w:p w:rsidR="00AC56D6" w:rsidRDefault="00AC56D6" w:rsidP="00AC56D6">
      <w:pPr>
        <w:pStyle w:val="TextoNormal"/>
      </w:pPr>
    </w:p>
    <w:p w:rsidR="00AC56D6" w:rsidRDefault="00AC56D6" w:rsidP="00AC56D6">
      <w:pPr>
        <w:pStyle w:val="TextoNormal"/>
      </w:pPr>
      <w:r>
        <w:t xml:space="preserve">Con ello se limita indebidamente el ámbito del dominio público al excluir espacios que forman parte de un único ecosistema. Entre otras funciones de insustituible valor ambiental, las dunas actúan como grandes reservas de arena frente a temporales, ayudan a reequilibrar la playa, albergan especies de alto valor ecológico y son un componente irreemplazable del paisaje litoral. El inciso impugnado añade al concepto determinado de duna otro indeterminado, de manera que las dunas ya no se protegen </w:t>
      </w:r>
      <w:r w:rsidRPr="00AC56D6">
        <w:rPr>
          <w:i/>
        </w:rPr>
        <w:t>per se</w:t>
      </w:r>
      <w:r>
        <w:t xml:space="preserve"> sino sólo </w:t>
      </w:r>
      <w:r w:rsidRPr="00AC56D6">
        <w:rPr>
          <w:i/>
        </w:rPr>
        <w:t>per relationem</w:t>
      </w:r>
      <w:r>
        <w:t xml:space="preserve"> con otros elementos del litoral.</w:t>
      </w:r>
    </w:p>
    <w:p w:rsidR="00AC56D6" w:rsidRDefault="00AC56D6" w:rsidP="00AC56D6">
      <w:pPr>
        <w:pStyle w:val="TextoNormal"/>
      </w:pPr>
    </w:p>
    <w:p w:rsidR="00AC56D6" w:rsidRDefault="00AC56D6" w:rsidP="00AC56D6">
      <w:pPr>
        <w:pStyle w:val="TextoNormal"/>
      </w:pPr>
      <w:r>
        <w:t>Este cambio de una protección absoluta a otra sólo relativa infringe el art. 9.3 CE por violación del principio elemental de seguridad jurídica, e igualmente resulta contrario al art. 132.2 CE, interpretado a la luz del protocolo relativo a la gestión integrada de las zonas costeras del Mediterráneo, ya citado, pues la interacción entre la parte marina y la parte terrestre se produce de forma indubitada en las dunas.</w:t>
      </w:r>
    </w:p>
    <w:p w:rsidR="00AC56D6" w:rsidRDefault="00AC56D6" w:rsidP="00AC56D6">
      <w:pPr>
        <w:pStyle w:val="TextoNormal"/>
      </w:pPr>
    </w:p>
    <w:p w:rsidR="00AC56D6" w:rsidRDefault="00AC56D6" w:rsidP="00AC56D6">
      <w:pPr>
        <w:pStyle w:val="TextoNormal"/>
      </w:pPr>
      <w:r>
        <w:t>v) El nuevo apartado 6 del art. 33 LC, añadido por el art. 1.12 de la Ley 2/2013, realiza nuevamente una remisión reglamentaria prohibida y una categorización indebida de las partes de un bien de dominio público de especial protección, como es la playa, al que art. 132 CE se refiere en su integridad. En función de una nueva división de las playas, la Ley exigiría un elevado nivel de protección si estamos ante un “tramo natural”, pero no exige ese mismo rigor a la defensa de los “tramos urbanos”. Con ello produce una desprotección parcial o gradual de los tramos urbanos, en los que prevé prestaciones de servicios y la autorización para la celebración de eventos de interés general.</w:t>
      </w:r>
    </w:p>
    <w:p w:rsidR="00AC56D6" w:rsidRDefault="00AC56D6" w:rsidP="00AC56D6">
      <w:pPr>
        <w:pStyle w:val="TextoNormal"/>
      </w:pPr>
    </w:p>
    <w:p w:rsidR="00AC56D6" w:rsidRDefault="00AC56D6" w:rsidP="00AC56D6">
      <w:pPr>
        <w:pStyle w:val="TextoNormal"/>
      </w:pPr>
      <w:r>
        <w:t>A la indefinición de los conceptos que incorpora el artículo (pues sólo la exposición de motivos ofrece algo parecido a la definición de tramo natural y tramo urbano), hay que sumar la de las ocupaciones susceptibles de autorización en los tramos naturales. Se introducen así nuevos conceptos jurídicos indeterminados que serán de muy difícil concreción y claramente incompatibles con la obligación constitucional de protección integral de los bienes demaniales.</w:t>
      </w:r>
    </w:p>
    <w:p w:rsidR="00AC56D6" w:rsidRDefault="00AC56D6" w:rsidP="00AC56D6">
      <w:pPr>
        <w:pStyle w:val="TextoNormal"/>
      </w:pPr>
    </w:p>
    <w:p w:rsidR="00AC56D6" w:rsidRDefault="00AC56D6" w:rsidP="00AC56D6">
      <w:pPr>
        <w:pStyle w:val="TextoNormal"/>
      </w:pPr>
      <w:r>
        <w:t xml:space="preserve">vi) El nuevo apartado 5 de la disposición transitoria primera LC, añadido por el art. 1.39 de la Ley 2/2013, excluye del dominio público marítimo-terrestre determinados terrenos que el propio precepto, al remitirse a los apartados anteriores, reconoce que pertenecen de suyo a dicha categoría. Infringe directamente el art. 132 CE, que impide la exclusión de partes de los géneros de bienes calificados como demanio natural. Todos y cada uno de los </w:t>
      </w:r>
      <w:r>
        <w:lastRenderedPageBreak/>
        <w:t xml:space="preserve">concretos bienes que reúnan las características naturales o físicas pertinentes son, </w:t>
      </w:r>
      <w:r w:rsidRPr="00AC56D6">
        <w:rPr>
          <w:i/>
        </w:rPr>
        <w:t>ex Constitutione</w:t>
      </w:r>
      <w:r>
        <w:t>, dominio público, sin que puedan prevalecer alteraciones (como las ocupaciones y obras) que no sean resultado de la acción de la misma naturaleza.</w:t>
      </w:r>
    </w:p>
    <w:p w:rsidR="00AC56D6" w:rsidRDefault="00AC56D6" w:rsidP="00AC56D6">
      <w:pPr>
        <w:pStyle w:val="TextoNormal"/>
      </w:pPr>
    </w:p>
    <w:p w:rsidR="00AC56D6" w:rsidRDefault="00AC56D6" w:rsidP="00AC56D6">
      <w:pPr>
        <w:pStyle w:val="TextoNormal"/>
      </w:pPr>
      <w:r>
        <w:t>Esa exclusión es incongruente y, por ello, claramente irrazonable y arbitraria, por obedecer exclusivamente a una indebida sobrevaloración de intereses privados pues, conforme a la nueva redacción del art. 3.1 LC, son de dominio público los terrenos que se inundan por efecto del mar, con la sola excepción de los que lo sean por consecuencia de obras efectuadas en terrenos que eran previamente de propiedad privada, requisito este último que no concurre en el supuesto ahora contemplado.</w:t>
      </w:r>
    </w:p>
    <w:p w:rsidR="00AC56D6" w:rsidRDefault="00AC56D6" w:rsidP="00AC56D6">
      <w:pPr>
        <w:pStyle w:val="TextoNormal"/>
      </w:pPr>
    </w:p>
    <w:p w:rsidR="00AC56D6" w:rsidRDefault="00AC56D6" w:rsidP="00AC56D6">
      <w:pPr>
        <w:pStyle w:val="TextoNormal"/>
      </w:pPr>
      <w:r>
        <w:t>vii) La nueva disposición adicional décima LC incorporada por el art. 1.41 de la Ley 2/2013 y, por conexión, la disposición adicional sexta de esta última norma, relativas a las llamadas urbanizaciones marítimo-terrestres, que suponen la alteración de las características naturales del dominio público.</w:t>
      </w:r>
    </w:p>
    <w:p w:rsidR="00AC56D6" w:rsidRDefault="00AC56D6" w:rsidP="00AC56D6">
      <w:pPr>
        <w:pStyle w:val="TextoNormal"/>
      </w:pPr>
    </w:p>
    <w:p w:rsidR="00AC56D6" w:rsidRDefault="00AC56D6" w:rsidP="00AC56D6">
      <w:pPr>
        <w:pStyle w:val="TextoNormal"/>
      </w:pPr>
      <w:r>
        <w:t>Implican la admisión legal de la alteración del ecosistema y de la mutación demanial por mano del hombre, así como la exclusión del dominio público de la columna de agua de los llamados estacionamientos náuticos privados. Ello es contrario a la directa demanialización constitucional, pues aquella columna de agua forma parte naturalmente, en virtud de la inundación, de las aguas interiores y, por tanto, del mar territorial. Aunque el inciso final del apartado 5 de la disposición adicional décima LC establece una excepción a la denunciada alteración, queda indebidamente deslegalizada.</w:t>
      </w:r>
    </w:p>
    <w:p w:rsidR="00AC56D6" w:rsidRDefault="00AC56D6" w:rsidP="00AC56D6">
      <w:pPr>
        <w:pStyle w:val="TextoNormal"/>
      </w:pPr>
    </w:p>
    <w:p w:rsidR="00AC56D6" w:rsidRDefault="00AC56D6" w:rsidP="00AC56D6">
      <w:pPr>
        <w:pStyle w:val="TextoNormal"/>
      </w:pPr>
      <w:r>
        <w:t>La ya aludida alteración no da lugar a la reestructuración consiguiente del dominio público y su protección, sino simplemente a la permanencia de la servidumbre de protección preexistente; no así de la de tránsito, cuya función es sustituida por los viales resultantes de la urbanización. Además, la propiedad privada de parcelas parece llegar al límite del mar. Esta solución es injustificada, irrazonable y arbitraria por desproporcionada, al no responder a una adecuada ponderación de los bienes constitucionales en presencia.</w:t>
      </w:r>
    </w:p>
    <w:p w:rsidR="00AC56D6" w:rsidRDefault="00AC56D6" w:rsidP="00AC56D6">
      <w:pPr>
        <w:pStyle w:val="TextoNormal"/>
      </w:pPr>
    </w:p>
    <w:p w:rsidR="00AC56D6" w:rsidRDefault="00AC56D6" w:rsidP="00AC56D6">
      <w:pPr>
        <w:pStyle w:val="TextoNormal"/>
      </w:pPr>
      <w:r>
        <w:t>El reintegro de la propiedad en el supuesto de legalización de urbanizaciones preexistentes, regulado en la disposición adicional sexta de la Ley 2/2013, es indebidamente retroactivo al aplicarse a situaciones jurídicas individualizadas perfeccionadas y consumadas antes de su entrada en vigor. Es además injustificada, irrazonable y arbitraria, en la medida en que tiene carácter general, con independencia de la legalidad originaria o no de tales situaciones. Comporta una indebida disposición de mera liberalidad de bienes demaniales, incongruente con el art. 4.5 LC, no modificado por la Ley 2/2013, conforme al cual dichos bienes, aunque queden fuera del dominio natural, permanecen indisponibles, salvo por desafectación aquí no prevista.</w:t>
      </w:r>
    </w:p>
    <w:p w:rsidR="00AC56D6" w:rsidRDefault="00AC56D6" w:rsidP="00AC56D6">
      <w:pPr>
        <w:pStyle w:val="TextoNormal"/>
      </w:pPr>
    </w:p>
    <w:p w:rsidR="00AC56D6" w:rsidRDefault="00AC56D6" w:rsidP="00AC56D6">
      <w:pPr>
        <w:pStyle w:val="TextoNormal"/>
      </w:pPr>
      <w:r>
        <w:t>Genera además incertidumbre y, por tanto, inseguridad jurídica en términos reprobables constitucionalmente, porque el contenido prescriptivo de la disposición deja sin clarificar cuestiones conflictivas, como el derecho a la promoción de estas actuaciones urbanísticas y su régimen jurídico, las potestades de la Administración de costas en el ámbito mismo de estas urbanizaciones, o la clasificación urbanística del suelo así transformado y su reversibilidad.</w:t>
      </w:r>
    </w:p>
    <w:p w:rsidR="00AC56D6" w:rsidRDefault="00AC56D6" w:rsidP="00AC56D6">
      <w:pPr>
        <w:pStyle w:val="TextoNormal"/>
      </w:pPr>
    </w:p>
    <w:p w:rsidR="00AC56D6" w:rsidRDefault="00AC56D6" w:rsidP="00AC56D6">
      <w:pPr>
        <w:pStyle w:val="TextoNormal"/>
      </w:pPr>
      <w:r>
        <w:lastRenderedPageBreak/>
        <w:t>Implica además la indebida traslación a la Administración urbanística de la competencia para la decisión, que se entrega a los instrumentos de ordenación territorial y urbanística, reservándose a la Administración estatal únicamente el otorgamiento del pertinente título habilitante, con infracción del deber constitucional que atribuye al gestor estatal del dominio público la garantía de su integridad y protección.</w:t>
      </w:r>
    </w:p>
    <w:p w:rsidR="00AC56D6" w:rsidRDefault="00AC56D6" w:rsidP="00AC56D6">
      <w:pPr>
        <w:pStyle w:val="TextoNormal"/>
      </w:pPr>
    </w:p>
    <w:p w:rsidR="00AC56D6" w:rsidRDefault="00AC56D6" w:rsidP="00AC56D6">
      <w:pPr>
        <w:pStyle w:val="TextoNormal"/>
      </w:pPr>
      <w:r>
        <w:t>viii) El apartado 1 de la disposición adicional cuarta de la Ley 2/2013, al establecer una determinación singular del dominio público marítimo-terrestre para la isla de Formentera en violación frontal del art. 132 CE, que determina dicho dominio directamente y de forma única, sin admitir variaciones en las características naturales tenidas en cuenta, pues toda variación de éstas implica de suyo variación indebida del género correspondiente. La excepción introducida aquí supone una quiebra de la unidad indivisible del ecosistema marítimo-terrestre conforme a su determinación constitucional, por cuanto se alteran y excluyen indebidamente conceptos y nociones recogidas con carácter general en el art. 3 LC.</w:t>
      </w:r>
    </w:p>
    <w:p w:rsidR="00AC56D6" w:rsidRDefault="00AC56D6" w:rsidP="00AC56D6">
      <w:pPr>
        <w:pStyle w:val="TextoNormal"/>
      </w:pPr>
    </w:p>
    <w:p w:rsidR="00AC56D6" w:rsidRDefault="00AC56D6" w:rsidP="00AC56D6">
      <w:pPr>
        <w:pStyle w:val="TextoNormal"/>
      </w:pPr>
      <w:r>
        <w:t>Esta operación carece en todo caso de justificación objetiva y es irrazonable y, por ello, arbitraria, ya que no se aduce (ni siquiera en el preámbulo o exposición de motivos, como tampoco en los debates parlamentarios) razón alguna de la especial configuración geomorfológica de la isla, ni es posible inferirla racionalmente del texto legal. La única diferencia apreciable entre las muy próximas islas de Ibiza y Formentera es la escasa extensión de esta última, reflejando la mera voluntad legislativa de ampliar sin más la superficie susceptible de aprovechamientos privados, en las antípodas de la voluntad objetiva de la norma constitucional. Constituye, por lo dicho, una indebida dispensa singular basada en la mera voluntad de volver a definiciones de la Ley de costas de 1969, justamente superadas por la Constitución de 1978.</w:t>
      </w:r>
    </w:p>
    <w:p w:rsidR="00AC56D6" w:rsidRDefault="00AC56D6" w:rsidP="00AC56D6">
      <w:pPr>
        <w:pStyle w:val="TextoNormal"/>
      </w:pPr>
    </w:p>
    <w:p w:rsidR="00AC56D6" w:rsidRDefault="00AC56D6" w:rsidP="00AC56D6">
      <w:pPr>
        <w:pStyle w:val="TextoNormal"/>
      </w:pPr>
      <w:r>
        <w:t>ix) La disposición adicional quinta de la Ley 2/2013, en la medida en que prescribe directamente el reintegro a manos privadas de los bienes que pasaron a formar parte del dominio público marítimo-terrestre por aplicación de la Ley de costas de 1988. El mandato de “reintegro” en titularidades preexistentes a la Ley de costas de 1988 implica la descalificación de todos los procesos de aplicación de ésta, con modificación de situaciones jurídicas perfeccionadas y consumadas válidamente (conforme a la STC 149/1991 y numerosas sentencias judiciales firmes). Incurre así en retroactividad constitucionalmente prohibida y, en su caso, en infracción del art. 117.2 CE (como emanación del principio de separación de poderes del Estado de Derecho en relación con la santidad de la cosa juzgada). Lo hace, además, de modo incongruente, pues conforme al art. 4.5 LC, incluso aceptando la hipótesis de que dejen de formar parte del dominio público por naturaleza, procedería la desafectación.</w:t>
      </w:r>
    </w:p>
    <w:p w:rsidR="00AC56D6" w:rsidRDefault="00AC56D6" w:rsidP="00AC56D6">
      <w:pPr>
        <w:pStyle w:val="TextoNormal"/>
      </w:pPr>
    </w:p>
    <w:p w:rsidR="00AC56D6" w:rsidRDefault="00AC56D6" w:rsidP="00AC56D6">
      <w:pPr>
        <w:pStyle w:val="TextoNormal"/>
      </w:pPr>
      <w:r>
        <w:t>x) La disposición adicional séptima de la Ley 2/2013 y, por conexión, el correspondiente anexo infringen la directa determinación constitucional del dominio público marítimo-terrestre por géneros completos de bienes según sus características físicas, que impide cualquier operación de exclusión de cualesquiera bienes que presenten tales características, aun cuando hayan sido alterados por hechos o actos del hombre. Su efecto es una desafectación, por la sola voluntad del legislador ordinario, de bienes de suyo demaniales. Afecta a la proporcionalidad, por ausencia de justificación expresa de la medida y por imposibilidad de su inferencia del texto legal, desbordando la relación debida entre el fin perseguido y los medios empleados para alcanzarlo.</w:t>
      </w:r>
    </w:p>
    <w:p w:rsidR="00AC56D6" w:rsidRDefault="00AC56D6" w:rsidP="00AC56D6">
      <w:pPr>
        <w:pStyle w:val="TextoNormal"/>
      </w:pPr>
    </w:p>
    <w:p w:rsidR="00AC56D6" w:rsidRDefault="00AC56D6" w:rsidP="00AC56D6">
      <w:pPr>
        <w:pStyle w:val="TextoNormal"/>
      </w:pPr>
      <w:r>
        <w:t>Se infringe asimismo el art. 14 CE, en relación con la garantía de la igualdad en el ejercicio de los derechos y el cumplimiento de los deberes constitucionales y del derecho de todos al disfrute de los recursos naturales demaniales a la que está obligado el legislador estata</w:t>
      </w:r>
      <w:r w:rsidRPr="00AC56D6">
        <w:rPr>
          <w:i/>
        </w:rPr>
        <w:t xml:space="preserve">l </w:t>
      </w:r>
      <w:r>
        <w:t>ex arts. 45, 53.3 y 149.1.1 CE.</w:t>
      </w:r>
    </w:p>
    <w:p w:rsidR="00AC56D6" w:rsidRDefault="00AC56D6" w:rsidP="00AC56D6">
      <w:pPr>
        <w:pStyle w:val="TextoNormal"/>
      </w:pPr>
    </w:p>
    <w:p w:rsidR="00AC56D6" w:rsidRDefault="00AC56D6" w:rsidP="00AC56D6">
      <w:pPr>
        <w:pStyle w:val="TextoNormal"/>
      </w:pPr>
      <w:r>
        <w:t>La previsión de la transmisión directa de terrenos pertenecientes al demanio natural, un procedimiento de enajenación que en la legislación general del patrimonio es excepcional, supone la infracción del art. 24.1 CE, en tanto que excluye la posibilidad de cuestionar la decisión de transmisión en vía administrativa y contencioso-administrativa.</w:t>
      </w:r>
    </w:p>
    <w:p w:rsidR="00AC56D6" w:rsidRDefault="00AC56D6" w:rsidP="00AC56D6">
      <w:pPr>
        <w:pStyle w:val="TextoNormal"/>
      </w:pPr>
    </w:p>
    <w:p w:rsidR="00AC56D6" w:rsidRDefault="00AC56D6" w:rsidP="00AC56D6">
      <w:pPr>
        <w:pStyle w:val="TextoNormal"/>
      </w:pPr>
      <w:r>
        <w:t>xi) Los apartados 2 y 3 de la disposición transitoria primera LC, modificados por el art. 1.39 de la Ley 2/2013, en relación con el art. 2 de ésta. La referencia al momento de “entrada en vigor de esta Ley” provoca inseguridad jurídica al no despejar la cuestión decisiva de si dicho momento es el previsto por la versión inicial de 1988 o, por el contrario, el de entrada en vigor de la Ley 2/2013, por más que pueda interpretarse que la solución procedente es la primera. En esta hipótesis, tal modificación debe reputarse inconstitucional por incursión en retroactividad prohibida.</w:t>
      </w:r>
    </w:p>
    <w:p w:rsidR="00AC56D6" w:rsidRDefault="00AC56D6" w:rsidP="00AC56D6">
      <w:pPr>
        <w:pStyle w:val="TextoNormal"/>
      </w:pPr>
    </w:p>
    <w:p w:rsidR="00AC56D6" w:rsidRDefault="00AC56D6" w:rsidP="00AC56D6">
      <w:pPr>
        <w:pStyle w:val="TextoNormal"/>
      </w:pPr>
      <w:r>
        <w:t>En la hipótesis contraria, si la modificación fuera de aplicación sólo a partir de la entrada en vigor de la Ley 2/2013, se impone idéntico juicio de inconstitucionalidad, por cuanto la compensación indemnizatoria prevista en los dos primeros apartados de la disposición transitoria se amplía y mejora sustantivamente. Por combinación con el art. 2 de la Ley 2/2013, permite situaciones de ocupación y aprovechamiento irregulares del dominio público que podrían alcanzar una duración bastante superior a los cien años, superior al instituto tradicional de la prescripción inmemorial y, en todo caso, superior al plazo máximo concesional establecido con carácter general en la legislación de patrimonio de la Administración general del Estado (art. 93.3 de la Ley 33/2003, de 3 de noviembre). Se contraviene con ello el deber constitucional de garantía de la efectividad y uso general del dominio público, dando prevalencia al interés privado frente al general en contra del art. 128.1 en relación con los arts. 45 y 132 CE.</w:t>
      </w:r>
    </w:p>
    <w:p w:rsidR="00AC56D6" w:rsidRDefault="00AC56D6" w:rsidP="00AC56D6">
      <w:pPr>
        <w:pStyle w:val="TextoNormal"/>
      </w:pPr>
    </w:p>
    <w:p w:rsidR="00AC56D6" w:rsidRDefault="00AC56D6" w:rsidP="00AC56D6">
      <w:pPr>
        <w:pStyle w:val="TextoNormal"/>
      </w:pPr>
      <w:r>
        <w:t xml:space="preserve">Estas modificaciones carecen de justificación objetiva y son arbitrarias (como pone de relieve la comparación con la exclusión de toda prórroga en un supuesto de menor o idéntica trascendencia, como el de la zona de servicio de cualesquiera de los puertos); representan una nueva valoración irrazonable (al no existir criterio alguno sobre la correlación con el valor de amortización de las ocupaciones y aprovechamientos existentes), y tienen el efecto retroactivo prohibido de una compensación indemnizatoria muy por encima del estándar europeo determinado por el Convenio para la protección de los derechos humanos y las libertades fundamentales (SSTEDH </w:t>
      </w:r>
      <w:r w:rsidRPr="00AC56D6">
        <w:rPr>
          <w:i/>
        </w:rPr>
        <w:t>Depalle c. Francia</w:t>
      </w:r>
      <w:r>
        <w:t xml:space="preserve"> y </w:t>
      </w:r>
      <w:r w:rsidRPr="00AC56D6">
        <w:rPr>
          <w:i/>
        </w:rPr>
        <w:t>Brosset-Triboulet y otros c. Francia</w:t>
      </w:r>
      <w:r>
        <w:t>, ambas de 29 de marzo de 2010).</w:t>
      </w:r>
    </w:p>
    <w:p w:rsidR="00AC56D6" w:rsidRDefault="00AC56D6" w:rsidP="00AC56D6">
      <w:pPr>
        <w:pStyle w:val="TextoNormal"/>
      </w:pPr>
    </w:p>
    <w:p w:rsidR="00AC56D6" w:rsidRDefault="00AC56D6" w:rsidP="00AC56D6">
      <w:pPr>
        <w:pStyle w:val="TextoNormal"/>
      </w:pPr>
      <w:r>
        <w:t xml:space="preserve">Las concesiones destinadas a actividades empresariales con aprovechamiento lucrativo son diferentes en su naturaleza de las que derivan de la expropiación </w:t>
      </w:r>
      <w:r w:rsidRPr="00AC56D6">
        <w:rPr>
          <w:i/>
        </w:rPr>
        <w:t>ex lege</w:t>
      </w:r>
      <w:r>
        <w:t xml:space="preserve"> de los derechos de los antiguos titulares de terrenos calificados como demaniales por la Ley de costas. Esta distinción es relevante porque en las actividades empresariales, sometidas a un procedimiento de licitación, el plazo se utiliza como criterio de adjudicación, mientras que en las concesiones otorgadas al amparo de la disposición transitoria primera LC el plazo está en </w:t>
      </w:r>
      <w:r>
        <w:lastRenderedPageBreak/>
        <w:t xml:space="preserve">directa relación con el </w:t>
      </w:r>
      <w:r w:rsidRPr="00AC56D6">
        <w:rPr>
          <w:i/>
        </w:rPr>
        <w:t>quantum</w:t>
      </w:r>
      <w:r>
        <w:t xml:space="preserve"> de la indemnización o compensación. Por ello, la prórroga por setenta y cinco años del plazo de las concesiones para actividades empresariales carece de la debida valoración y ponderación de su oportunidad y procedencia, y omite además la necesidad de amortización de las obras. La comparación con el plazo de vigencia de treinta y cinco años de las concesiones portuarias, al considerar que es tiempo más que suficiente para amortizar la inversión necesaria —que supera con creces la de aquellas otras que se realizan en el resto del dominio público marítimo-terrestre—, deja nuevamente en evidencia que en la Ley de costas la ampliación a setenta y cinco años no favorece el interés público, sino el interés del concesionario.</w:t>
      </w:r>
    </w:p>
    <w:p w:rsidR="00AC56D6" w:rsidRDefault="00AC56D6" w:rsidP="00AC56D6">
      <w:pPr>
        <w:pStyle w:val="TextoNormal"/>
      </w:pPr>
    </w:p>
    <w:p w:rsidR="00AC56D6" w:rsidRDefault="00AC56D6" w:rsidP="00AC56D6">
      <w:pPr>
        <w:pStyle w:val="TextoNormal"/>
      </w:pPr>
      <w:r>
        <w:t xml:space="preserve">La ampliación de este tipo de concesiones choca además frontalmente con lo previsto en la Directiva 2006/123/CE, del Parlamento Europeo y del Consejo, de 12 de diciembre de 2006 relativa a los servicios en el mercado interior (considerando núm. 62), impidiendo el desarrollo de una efectiva competencia. Así, la aplicación de este régimen </w:t>
      </w:r>
      <w:r w:rsidRPr="00AC56D6">
        <w:rPr>
          <w:i/>
        </w:rPr>
        <w:t>ad hoc</w:t>
      </w:r>
      <w:r>
        <w:t xml:space="preserve"> de prórroga no solamente sería inconstitucional por arbitrario y desproporcionado, sino que también supone una restricción de la libertad de empresa recogida por el art. 38 CE, por restringir la libre competencia, que de acuerdo con el Tribunal Constitucional, constituye un presupuesto y un límite de aquella libertad (SSTC 1/1982, de 28 de enero, 88/1986, de 1 de julio, y 208/1999, de 11 de noviembre).</w:t>
      </w:r>
    </w:p>
    <w:p w:rsidR="00AC56D6" w:rsidRDefault="00AC56D6" w:rsidP="00AC56D6">
      <w:pPr>
        <w:pStyle w:val="TextoNormal"/>
      </w:pPr>
    </w:p>
    <w:p w:rsidR="00AC56D6" w:rsidRDefault="00AC56D6" w:rsidP="00AC56D6">
      <w:pPr>
        <w:pStyle w:val="TextoNormal"/>
      </w:pPr>
      <w:r>
        <w:t xml:space="preserve">b) La Ley 2/2013 incurre en infracción del art. 45 CE, en relación con los arts. 53 y 132, por constituir una rebaja arbitraria del nivel de protección del ecosistema litoral. La incuestionable potestad del legislador de modificar el marco regulador del mismo (dominio público y servidumbres de protección y tránsito) debe ejercerse de acuerdo con ciertos límites y en el respeto a ciertos principios constitucionales, internacionales y europeos, tanto explícitos como implícitos. Entre ellos, los que derivan de la lectura combinada de los arts. 45 y 53 CE. Del primero, que conecta con el art. 10.1 CE, se desprende la exigencia de ir a más en la protección ambiental, salvo que existan razones poderosas basadas en bienes y valores constitucionales de entidad suficiente. Esto vale especialmente para el dominio público natural, en tanto que conjunto de recursos naturales excluidos </w:t>
      </w:r>
      <w:r w:rsidRPr="00AC56D6">
        <w:rPr>
          <w:i/>
        </w:rPr>
        <w:t>ex Constitutione</w:t>
      </w:r>
      <w:r>
        <w:t xml:space="preserve"> del tráfico jurídico ordinario por su importancia para la colectividad y, por tanto, para la calidad de vida, el libre desarrollo en sociedad al que se refiere el art. 10.1 CE, al que todos los poderes públicos están jurídicamente obligados a servir activamente, por imperativo del art. 9.2 CE. En cumplimiento de este mismo deber, el art. 53.3 CE impone que la legislación ambiental sea presidida por el principio rector del art. 45 CE, en búsqueda permanente de la “mejora” del entorno, no permitiendo su degradación o deterioro.</w:t>
      </w:r>
    </w:p>
    <w:p w:rsidR="00AC56D6" w:rsidRDefault="00AC56D6" w:rsidP="00AC56D6">
      <w:pPr>
        <w:pStyle w:val="TextoNormal"/>
      </w:pPr>
    </w:p>
    <w:p w:rsidR="00AC56D6" w:rsidRDefault="00AC56D6" w:rsidP="00AC56D6">
      <w:pPr>
        <w:pStyle w:val="TextoNormal"/>
      </w:pPr>
      <w:r>
        <w:t>Como argumento adicional, es de pertinente invocación el art. 37 de la Carta de los Derechos Fundamentales de la Unión Europea, que forma parte del ordenamiento español a través de la Ley Orgánica 1/2008, de 30 de julio, por la que se autoriza la ratificación por España del Tratado de Lisboa. Este precepto se aplica no sólo a la Unión, sino también a los Estados miembros cuando apliquen el derecho de la Unión, lo que en el ámbito del ecosistema litoral es relevante porque entran en escena varias disposiciones, como las Directivas de aves (79/409/CEE), aguas, (2000/60/CE), riesgos de inundación (2007/60/CE), política del medio marino (2008/56/CE) y aves silvestres (2009/147/CE).</w:t>
      </w:r>
    </w:p>
    <w:p w:rsidR="00AC56D6" w:rsidRDefault="00AC56D6" w:rsidP="00AC56D6">
      <w:pPr>
        <w:pStyle w:val="TextoNormal"/>
      </w:pPr>
    </w:p>
    <w:p w:rsidR="00AC56D6" w:rsidRDefault="00AC56D6" w:rsidP="00AC56D6">
      <w:pPr>
        <w:pStyle w:val="TextoNormal"/>
      </w:pPr>
      <w:r>
        <w:lastRenderedPageBreak/>
        <w:t xml:space="preserve">Existe, pues, en nuestro sistema constitucional una suerte de principio </w:t>
      </w:r>
      <w:r w:rsidRPr="00AC56D6">
        <w:rPr>
          <w:i/>
        </w:rPr>
        <w:t>stand still</w:t>
      </w:r>
      <w:r>
        <w:t xml:space="preserve"> o de “no retorno” en el estándar de protección ambiental, que se desprende de las disposiciones invocadas, y que además se deduce con facilidad del análisis en perspectiva histórica de la evolución de la legislación ambiental española y europea, de la que la primera es trasunto. Durante los últimos cuarenta años, dicha legislación ha supuesto una elevación clara, constante y permanente del nivel de protección del medio ambiente, en ningún caso su regresión o rebaja, tal y como entronizan los apartados de la Ley 2/2013 combatidos en este alegato. Ello no quiere decir que de la Constitución Española se derive una suerte de “petrificación” absoluta del ordenamiento jurídico-ambiental, que hurtaría al legislador estatal una esquirla de su soberanía esencial. Pero sí significa que cualquier medida legislativa que reduzca o diluya los instrumentos de protección del dominio público marítimo-terrestre ha de estar justificada en argumentos objetivos y razonables, en datos empíricos contrastables y de suficiente persuasión. Dichas justificaciones objetivas no han sido suministradas por el Gobierno ni resultan de los debates parlamentarios, por lo que las reformas legales aquí combatidas aparecen desprovistas de fundamentación o razonabilidad constitucional, conculcándose de ese modo el principio de interdicción de la arbitrariedad de los poderes públicos (art. 9.3 CE). En todo caso, infringen el orden constitucional </w:t>
      </w:r>
      <w:r w:rsidRPr="00AC56D6">
        <w:rPr>
          <w:i/>
        </w:rPr>
        <w:t>ex</w:t>
      </w:r>
      <w:r>
        <w:t xml:space="preserve"> art. 132 CE, por incumplimiento del deber de garantizar efectivamente la integridad del dominio público y el derecho constitucional a su uso y disfrute por todos.</w:t>
      </w:r>
    </w:p>
    <w:p w:rsidR="00AC56D6" w:rsidRDefault="00AC56D6" w:rsidP="00AC56D6">
      <w:pPr>
        <w:pStyle w:val="TextoNormal"/>
      </w:pPr>
    </w:p>
    <w:p w:rsidR="00AC56D6" w:rsidRDefault="00AC56D6" w:rsidP="00AC56D6">
      <w:pPr>
        <w:pStyle w:val="TextoNormal"/>
      </w:pPr>
      <w:r>
        <w:t>Transgreden incluso la interdicción constitucional de la verdadera retroactividad, en tanto que modifican situaciones plenamente perfeccionadas bajo la vigencia de la Ley de costas de 1988. La reforma legal ha sido efectuada, pues, de forma inmotivada, irrazonable y, por tanto, sin causa jurídica, lo que vale decir arbitraria, con infracción del principio de subordinación de toda la riqueza al interés general (art. 128.1 CE).</w:t>
      </w:r>
    </w:p>
    <w:p w:rsidR="00AC56D6" w:rsidRDefault="00AC56D6" w:rsidP="00AC56D6">
      <w:pPr>
        <w:pStyle w:val="TextoNormal"/>
      </w:pPr>
    </w:p>
    <w:p w:rsidR="00AC56D6" w:rsidRDefault="00AC56D6" w:rsidP="00AC56D6">
      <w:pPr>
        <w:pStyle w:val="TextoNormal"/>
      </w:pPr>
      <w:r>
        <w:t>En este contexto, resultan inconstitucionales los siguientes preceptos:</w:t>
      </w:r>
    </w:p>
    <w:p w:rsidR="00AC56D6" w:rsidRDefault="00AC56D6" w:rsidP="00AC56D6">
      <w:pPr>
        <w:pStyle w:val="TextoNormal"/>
      </w:pPr>
    </w:p>
    <w:p w:rsidR="00AC56D6" w:rsidRDefault="00AC56D6" w:rsidP="00AC56D6">
      <w:pPr>
        <w:pStyle w:val="TextoNormal"/>
      </w:pPr>
      <w:r>
        <w:t>i) El nuevo apartado 3 del art. 23 LC, introducido mediante el art. 1.10 de la Ley 2/2013, posibilita una reducción significativa de la servidumbre de protección en las rías, que son zona marítimo-terrestre, infringiendo el deber constitucional de protección del correspondiente bien demanial como un todo único en función de sus características típicas, y lesionando el principio rector ambiental derivado sistemáticamente del conjunto que forman los arts. 45, 53.3 y 132, en relación con el art. 149.1.23, todos ellos del texto constitucional. No existen razones objetivas específicas que avalen esta posibilidad, sino razones contrarias, como el cambio climático, siendo, por ello mismo, irrazonable y contraria al principio, implícito en este bloque constitucional, de “no regresión” del estándar de protección ambiental, según el cual cualquier “paso atrás” del legislador en el nivel de protección ambiental debe estar basado, para ser constitucionalmente legítimo, en fundadas razones objetivas, en cambios sobrevenidos en las circunstancias físico-geográficas del bien ambiental protegido, pero no basado en la libre disposición del legislador.</w:t>
      </w:r>
    </w:p>
    <w:p w:rsidR="00AC56D6" w:rsidRDefault="00AC56D6" w:rsidP="00AC56D6">
      <w:pPr>
        <w:pStyle w:val="TextoNormal"/>
      </w:pPr>
    </w:p>
    <w:p w:rsidR="00AC56D6" w:rsidRDefault="00AC56D6" w:rsidP="00AC56D6">
      <w:pPr>
        <w:pStyle w:val="TextoNormal"/>
      </w:pPr>
      <w:r>
        <w:t xml:space="preserve">La reforma legal adolece de incongruencia interna e irrazonabilidad o arbitrariedad, agravada por la ausencia de justificación o argumentación, ya que no se han elaborado o suministrado argumentos, datos, estadísticas o casos que acrediten o justifiquen su adopción, al recortar deliberada y explícitamente una extensión de la servidumbre de protección por la sola aparente consideración de parecer “excesiva” al legislador. Es además arbitraria, al </w:t>
      </w:r>
      <w:r>
        <w:lastRenderedPageBreak/>
        <w:t xml:space="preserve">ligarse a circunstancias genéricas e imprecisas que no guardan relación alguna con las únicas circunstancias determinantes, por constitucionalmente tenidas en cuenta: las que definen </w:t>
      </w:r>
      <w:r w:rsidRPr="00AC56D6">
        <w:rPr>
          <w:i/>
        </w:rPr>
        <w:t>ex Constitutione</w:t>
      </w:r>
      <w:r>
        <w:t xml:space="preserve"> el correspondiente demanio afectado. Esta forma de operar recurriendo a circunstancias improcedentes aboca a una defraudación objetiva de la protección que la Constitución quiere que disfrute el entero género de bien demanial como un todo.</w:t>
      </w:r>
    </w:p>
    <w:p w:rsidR="00AC56D6" w:rsidRDefault="00AC56D6" w:rsidP="00AC56D6">
      <w:pPr>
        <w:pStyle w:val="TextoNormal"/>
      </w:pPr>
    </w:p>
    <w:p w:rsidR="00AC56D6" w:rsidRDefault="00AC56D6" w:rsidP="00AC56D6">
      <w:pPr>
        <w:pStyle w:val="TextoNormal"/>
      </w:pPr>
      <w:r>
        <w:t>La posibilidad de que se lleve a cabo la reducción de la zona de servidumbre se remite a los términos del futuro desarrollo reglamentario, una deslegalización que defrauda las exigencias del art. 132 CE. Las circunstancias habilitantes establecidas son, por su carácter genérico e impreciso, tan escasamente significantes, que la remisión a lo que se disponga reglamentariamente no es otra cosa que una habilitación en blanco carente de cualquier directriz legal suficiente para subordinar de modo mínimamente efectivo la norma reglamentaria al texto legal.</w:t>
      </w:r>
    </w:p>
    <w:p w:rsidR="00AC56D6" w:rsidRDefault="00AC56D6" w:rsidP="00AC56D6">
      <w:pPr>
        <w:pStyle w:val="TextoNormal"/>
      </w:pPr>
    </w:p>
    <w:p w:rsidR="00AC56D6" w:rsidRDefault="00AC56D6" w:rsidP="00AC56D6">
      <w:pPr>
        <w:pStyle w:val="TextoNormal"/>
      </w:pPr>
      <w:r>
        <w:t>La doctrina constitucional avala el carácter uniforme de la anchura de la servidumbre de protección, porque, entre otras causas, garantiza “las condiciones de igualdad el ejercicio del derecho de propiedad en todo el territorio” (SSTC 87/2012 y 149/1991). La reforma viola el art. 149.1.1 CE al quebrar por la base esa identidad en el contenido de la propiedad colindante con el dominio público marítimo-terrestre, quedando al albur de la lotería de la reducción de la servidumbre de protección, en los casos, en el momento y en los lugares que determinen, tramo a tramo, las Administraciones que custodian el ecosistema litoral.</w:t>
      </w:r>
    </w:p>
    <w:p w:rsidR="00AC56D6" w:rsidRDefault="00AC56D6" w:rsidP="00AC56D6">
      <w:pPr>
        <w:pStyle w:val="TextoNormal"/>
      </w:pPr>
    </w:p>
    <w:p w:rsidR="00AC56D6" w:rsidRDefault="00AC56D6" w:rsidP="00AC56D6">
      <w:pPr>
        <w:pStyle w:val="TextoNormal"/>
      </w:pPr>
      <w:r>
        <w:t>ii) La modificación del art. 25 LC llevada a cabo por el art. 1.11 de la Ley 2/2013 comparte con el precepto anterior su patente falta de justificación o fundamentación, ausente tanto en la exposición de motivos como en los debates parlamentarios. Son de aplicación por tanto las consideraciones efectuadas a propósito del art. 1.10 de la Ley 2/2013.</w:t>
      </w:r>
    </w:p>
    <w:p w:rsidR="00AC56D6" w:rsidRDefault="00AC56D6" w:rsidP="00AC56D6">
      <w:pPr>
        <w:pStyle w:val="TextoNormal"/>
      </w:pPr>
    </w:p>
    <w:p w:rsidR="00AC56D6" w:rsidRDefault="00AC56D6" w:rsidP="00AC56D6">
      <w:pPr>
        <w:pStyle w:val="TextoNormal"/>
      </w:pPr>
      <w:r>
        <w:t>Tras esta reforma, sólo quedan prohibidas las actividades que impliquen la destrucción de un tipo concreto de yacimientos de áridos, los “naturales o no consolidados”. Se permiten así actividades minero-extractivas (básicamente canteras) hasta ahora prohibidas en los terrenos afectados por la servidumbre de protección, con una importante afección negativa sobre el medio ambiente y el paisaje. Constituye un nuevo supuesto de rebaja del estándar de protección del ecosistema litoral, injustificada, irrazonable y, por ello, arbitraria.</w:t>
      </w:r>
    </w:p>
    <w:p w:rsidR="00AC56D6" w:rsidRDefault="00AC56D6" w:rsidP="00AC56D6">
      <w:pPr>
        <w:pStyle w:val="TextoNormal"/>
      </w:pPr>
    </w:p>
    <w:p w:rsidR="00AC56D6" w:rsidRDefault="00AC56D6" w:rsidP="00AC56D6">
      <w:pPr>
        <w:pStyle w:val="TextoNormal"/>
      </w:pPr>
      <w:r>
        <w:t>El nuevo art. 25.4 LC permite indebidamente ciertos supuestos de publicidad, en un nuevo ejemplo de degradación o disminución del estándar de protección de la servidumbre de protección y del espacio litoral, por el evidente impacto visual y paisajístico de la publicidad, que va en el sentido opuesto a la dirección de la legislación ambiental más actual. La redacción excesivamente general y vaga de los requisitos determina que la previsión legal merezca la calificación de incongruente y, por ello, irrazonable y arbitraria, al convertir materialmente la publicidad en actividad permisible sin más. Implica además una indebida deslegalización ya que el contenido prescriptivo significante de los requisitos legales es prácticamente nulo, sin que el reglamento quede efectivamente subordinado, en lo necesario, a la Ley.</w:t>
      </w:r>
    </w:p>
    <w:p w:rsidR="00AC56D6" w:rsidRDefault="00AC56D6" w:rsidP="00AC56D6">
      <w:pPr>
        <w:pStyle w:val="TextoNormal"/>
      </w:pPr>
    </w:p>
    <w:p w:rsidR="00AC56D6" w:rsidRDefault="00AC56D6" w:rsidP="00AC56D6">
      <w:pPr>
        <w:pStyle w:val="TextoNormal"/>
      </w:pPr>
      <w:r>
        <w:t xml:space="preserve">iii) El art. 1.40 de la Ley 2/2013 modifica la disposición transitoria cuarta LC, que en su día abordó la existencia de gran número de obras e instalaciones que ocupaban espacios del </w:t>
      </w:r>
      <w:r>
        <w:lastRenderedPageBreak/>
        <w:t>dominio público marítimo-terrestre o de las servidumbres de protección y tránsito, en situación de mayor o menor compatibilidad con las determinaciones legales. Como en otros aspectos de la Ley 2/2013, no hay motivación o justificación sobre la bondad o necesidad de la reforma acometida.</w:t>
      </w:r>
    </w:p>
    <w:p w:rsidR="00AC56D6" w:rsidRDefault="00AC56D6" w:rsidP="00AC56D6">
      <w:pPr>
        <w:pStyle w:val="TextoNormal"/>
      </w:pPr>
    </w:p>
    <w:p w:rsidR="00AC56D6" w:rsidRDefault="00AC56D6" w:rsidP="00AC56D6">
      <w:pPr>
        <w:pStyle w:val="TextoNormal"/>
      </w:pPr>
      <w:r>
        <w:t xml:space="preserve">Respecto de las construcciones y edificaciones enclavadas en el dominio público marítimo-terrestre, se admiten determinadas obras mientras dure la concesión, aunque al término de éste su destino siga siendo la demolición sin indemnización [STC 149/1991, FJ 8 E)]. El impacto es mayor porque, en virtud del art. 2 de la Ley 2/2013, cabe extender la vigencia de estas concesiones hasta los setenta y cinco años, y el efecto se multiplica por cuanto ahora estas concesiones son transmisibles </w:t>
      </w:r>
      <w:r w:rsidRPr="00AC56D6">
        <w:rPr>
          <w:i/>
        </w:rPr>
        <w:t>mortis causa</w:t>
      </w:r>
      <w:r>
        <w:t xml:space="preserve"> e </w:t>
      </w:r>
      <w:r w:rsidRPr="00AC56D6">
        <w:rPr>
          <w:i/>
        </w:rPr>
        <w:t>inter vivos</w:t>
      </w:r>
      <w:r>
        <w:t xml:space="preserve"> (modificación del art. 70 LC). El resultado combinado de estos tres vectores constituye un nuevo ejemplo de rebaja en el estándar de protección del ecosistema litoral, dado que tales construcciones y edificaciones, que tendrían que haber sido demolidas a partir de 2018, quedan ahora en situación de “fuera de ordenación” cualificada, ampliada y mejorada, pudiendo permanecer por lo menos hasta el año 2063.</w:t>
      </w:r>
    </w:p>
    <w:p w:rsidR="00AC56D6" w:rsidRDefault="00AC56D6" w:rsidP="00AC56D6">
      <w:pPr>
        <w:pStyle w:val="TextoNormal"/>
      </w:pPr>
    </w:p>
    <w:p w:rsidR="00AC56D6" w:rsidRDefault="00AC56D6" w:rsidP="00AC56D6">
      <w:pPr>
        <w:pStyle w:val="TextoNormal"/>
      </w:pPr>
      <w:r>
        <w:t>Las mismas consideraciones son aplicables a las obras realizables en las construcciones e instalaciones ubicadas en la servidumbre de tránsito. Además, la autorización estatal se sustituye por un informe favorable, modificación que sólo puede obedecer a criterios de oportunidad política, dado que el texto original no fue objeto de reproche de inconstitucionalidad por la STC 149/1991. Al aligerar los controles administrativos previos, se produce un nuevo supuesto de rebaja o reducción del estándar de protección de un elemento esencial de protección del ecosistema litoral, como es la servidumbre de tránsito. Establecer una suerte de “silencio administrativo positivo” para dichos informes es incompatible con una tutela eficaz del medio ambiente, y no encaja en el modelo institucional de los informes preceptivos y vinculantes de carácter interadministrativo, que en este caso, además de un contenido jurídico, tienen un contenido técnico (la garantía de la servidumbre de tránsito), que no puede ser nunca presunto.</w:t>
      </w:r>
    </w:p>
    <w:p w:rsidR="00AC56D6" w:rsidRDefault="00AC56D6" w:rsidP="00AC56D6">
      <w:pPr>
        <w:pStyle w:val="TextoNormal"/>
      </w:pPr>
    </w:p>
    <w:p w:rsidR="00AC56D6" w:rsidRDefault="00AC56D6" w:rsidP="00AC56D6">
      <w:pPr>
        <w:pStyle w:val="TextoNormal"/>
      </w:pPr>
      <w:r>
        <w:t>En cuanto a las obras que pueden realizarse en las construcciones e instalaciones situadas en la servidumbre de protección, se amplía el elenco a las obras de consolidación y modernización, por lo que se dan por reproducidas las consideraciones antes vertidas.</w:t>
      </w:r>
    </w:p>
    <w:p w:rsidR="00AC56D6" w:rsidRDefault="00AC56D6" w:rsidP="00AC56D6">
      <w:pPr>
        <w:pStyle w:val="TextoNormal"/>
      </w:pPr>
    </w:p>
    <w:p w:rsidR="00AC56D6" w:rsidRDefault="00AC56D6" w:rsidP="00AC56D6">
      <w:pPr>
        <w:pStyle w:val="TextoNormal"/>
      </w:pPr>
      <w:r>
        <w:t>El nuevo apartado 3 de la disposición transitoria cuarta LC establece una serie de requisitos comunes a todas las obras mencionadas que, pareciendo a simple vista un plus o mejora en la protección ambiental, no equilibran o neutralizan suficientemente la reducción de protección a la que se ha hecho previa referencia. Para acreditar su cumplimiento, se opta por el modelo de declaración responsable por motivos de reducción de cargas administrativas, que resultan improcedentes en este caso, dada la importancia de los valores constitucionales en juego.</w:t>
      </w:r>
    </w:p>
    <w:p w:rsidR="00AC56D6" w:rsidRDefault="00AC56D6" w:rsidP="00AC56D6">
      <w:pPr>
        <w:pStyle w:val="TextoNormal"/>
      </w:pPr>
    </w:p>
    <w:p w:rsidR="00AC56D6" w:rsidRDefault="00AC56D6" w:rsidP="00AC56D6">
      <w:pPr>
        <w:pStyle w:val="TextoNormal"/>
      </w:pPr>
      <w:r>
        <w:t>c) La Ley 2/2013 viola los principios de seguridad jurídica y proporcionalidad, de interdicción de la arbitrariedad y de irretroactividad respecto de situaciones ya perfeccionadas.</w:t>
      </w:r>
    </w:p>
    <w:p w:rsidR="00AC56D6" w:rsidRDefault="00AC56D6" w:rsidP="00AC56D6">
      <w:pPr>
        <w:pStyle w:val="TextoNormal"/>
      </w:pPr>
    </w:p>
    <w:p w:rsidR="00AC56D6" w:rsidRDefault="00AC56D6" w:rsidP="00AC56D6">
      <w:pPr>
        <w:pStyle w:val="TextoNormal"/>
      </w:pPr>
      <w:r>
        <w:t xml:space="preserve">La referencia de la exposición de motivos a la supuesta producción por la Ley de costas de 1988 de una situación de inseguridad jurídica carece de fundamento, una vez que (en lo que ahora importa) ha sido declarada plenamente constitucional por la STC 149/1991 y </w:t>
      </w:r>
      <w:r>
        <w:lastRenderedPageBreak/>
        <w:t xml:space="preserve">validada en sus consecuencias por numerosas Sentencias del Tribunal Supremo. El legislador de 2013 hace prevalecer el interés privado de unos pocos sobre el interés general y, al hacerlo, prescinde y desatiende las condiciones de estabilidad y certidumbre jurídicas ya generadas y asentadas por una copiosa jurisprudencia constitucional y ordinaria. Prueba de ello es que invoca un informe del Parlamento Europeo de 2009, un pronunciamiento de un órgano político con criterios ajenos a lo jurídico y sin las garantías propias de los enjuiciamientos judiciales, que se entiende suficiente para defraudar objetivamente el estado jurídico derivado de pronunciamientos firmes internos. La Ley de costas de 1988 incidió desde luego sobre situaciones jurídico-privadas preexistentes, contemplando en su derecho transitorio la compensación procedente </w:t>
      </w:r>
      <w:r w:rsidRPr="00AC56D6">
        <w:rPr>
          <w:i/>
        </w:rPr>
        <w:t>ex</w:t>
      </w:r>
      <w:r>
        <w:t xml:space="preserve"> art. 33.3 CE, en una solución cuya constitucionalidad fue declarada por la STC 149/1991, FJ 8 B). Del conjunto de ese derecho transitorio deriva una conclusión claramente establecida por el Tribunal Supremo: son las propias características naturales de los bienes las que, por virtud de la Constitución Española y no de la Ley, determinan su calificación jurídica; y son ellas las que han de ser tenidas en cuenta al trazar el deslinde, lo cual no excluye el eventual reconocimiento de los derechos establecidos a modo de compensación por la incidencia de esta declaración en situaciones jurídicas anteriores. Una vez consumada la expropiación material de los derechos privados preexistentes, y no habiendo sobrevenido ninguna circunstancia capaz de alterar la situación resultante, no hay causa legítima alguna para que el poder público mejore la compensación o añada cualquier otra distinta a la ya recibida directamente de la Ley en 1988.</w:t>
      </w:r>
    </w:p>
    <w:p w:rsidR="00AC56D6" w:rsidRDefault="00AC56D6" w:rsidP="00AC56D6">
      <w:pPr>
        <w:pStyle w:val="TextoNormal"/>
      </w:pPr>
    </w:p>
    <w:p w:rsidR="00AC56D6" w:rsidRDefault="00AC56D6" w:rsidP="00AC56D6">
      <w:pPr>
        <w:pStyle w:val="TextoNormal"/>
      </w:pPr>
      <w:r>
        <w:t>La litigiosidad consecuente a la aplicación de la Ley de costas de 1988 en modo alguno puede ser valorada como incertidumbre e inseguridad, sino sencillamente como la expresión de la tutela judicial en defensa de lo que los actores creen que es su derecho. En muchos casos, se trata de conflictos ya resueltos, cuya pacificación jurídica viene ahora el legislador a reabrir e incluso desconocer, mediante una suerte de convalidación legislativa intempestiva que llega incluso a la “reintegración”, como si la aplicación de la Ley de 1988 hubiera sido confiscatoria. Esto es, precisamente, lo que contraviene la seguridad jurídica proclamada en el art. 9.3 CE y, a su través, el principio mismo del Estado de Derecho del art. 1.1 CE. La doctrina del Tribunal Supremo ha dejado sentado que la finalidad de la Ley de costas de 1988 no fue solo la de conformar hacia el futuro una regulación eficaz para la protección del dominio público marítimo-terrestre, sino la de imponer un remedio activo frente a las situaciones consumadas del pasado, en defensa de unos bienes constitucionalmente protegidos (art. 132 CE), como se infiere de su sistema transitorio. En este contexto, la Ley 2/2013 reabre injustificadamente la tarea ya efectuada de precisión de la determinación constitucional del dominio público y, sobre tal base, la de la incidencia pretérita en situaciones jurídico-privadas. Se trata así de una norma legal dictada con quebranto del principio constitucional de seguridad jurídica, entendido como previsibilidad, estabilidad y certeza del Derecho (SSTC 118/1996, de 27 de junio, FJ 8; y 130/1999, de 1 de julio, FJ 8).</w:t>
      </w:r>
    </w:p>
    <w:p w:rsidR="00AC56D6" w:rsidRDefault="00AC56D6" w:rsidP="00AC56D6">
      <w:pPr>
        <w:pStyle w:val="TextoNormal"/>
      </w:pPr>
    </w:p>
    <w:p w:rsidR="00AC56D6" w:rsidRDefault="00AC56D6" w:rsidP="00AC56D6">
      <w:pPr>
        <w:pStyle w:val="TextoNormal"/>
      </w:pPr>
      <w:r>
        <w:t>La Ley 2/2013 ha infringido también el principio de interdicción de la arbitrariedad (SSTC 73/2000, de 14 de marzo, y 181/2000, de 29 de junio), pues las decisiones normativas adoptadas no son la consecuencia lógica, meditada y reposada de los elementos de juicio científicos y de la experiencia, ni de la aplicación de los procedentes criterios técnicos, como exige la ordenación constitucional del litoral. Antes al contrario, responden, única y exclusivamente, según se dice de manera reiterada en el mismo preámbulo, a una supuesta situación de inseguridad jurídica creada por el propio legislador de costas del año 1988, de la que no aparece dato, estadística o rastro alguno que haya sido acreditado y contrastado.</w:t>
      </w:r>
    </w:p>
    <w:p w:rsidR="00AC56D6" w:rsidRDefault="00AC56D6" w:rsidP="00AC56D6">
      <w:pPr>
        <w:pStyle w:val="TextoNormal"/>
      </w:pPr>
    </w:p>
    <w:p w:rsidR="00AC56D6" w:rsidRDefault="00AC56D6" w:rsidP="00AC56D6">
      <w:pPr>
        <w:pStyle w:val="TextoNormal"/>
      </w:pPr>
      <w:r>
        <w:t>No se ofrece ninguna justificación sobre la decisión legislativa de otorgar, graciosamente, una nueva prórroga de hasta 75 años a las concesiones otorgadas al amparo de la normativa anterior, prórroga extraordinaria y selectiva, en palabras del preámbulo.</w:t>
      </w:r>
    </w:p>
    <w:p w:rsidR="00AC56D6" w:rsidRDefault="00AC56D6" w:rsidP="00AC56D6">
      <w:pPr>
        <w:pStyle w:val="TextoNormal"/>
      </w:pPr>
    </w:p>
    <w:p w:rsidR="00AC56D6" w:rsidRDefault="00AC56D6" w:rsidP="00AC56D6">
      <w:pPr>
        <w:pStyle w:val="TextoNormal"/>
      </w:pPr>
      <w:r>
        <w:t>El mismo juicio de arbitrariedad cabe predicar tanto del deslinde de la isla de Formentera (disposición adicional cuarta de la Ley 2/2013), calificado asimismo de excepcional, como de la exclusión de determinados núcleos de población del dominio público marítimo-terrestre (disposición adicional séptima y anexo de la Ley 2/2013). Está ayuna de cualquier dato, aunque fuera simplemente aproximado, sobre la sedicente “especial configuración geomorfológica”, que diferencia de manera caprichosa e injustificada realidades absolutamente iguales en el conjunto de las Islas Baleares. Esta excepcionalidad en modo alguno es inocua, pues se traduce en una reducción muy considerable del dominio público y, por tanto, de la debida protección y conservación del litoral de Formentera. Tampoco nada se dice o explica sobre las razones que justifican la relación de los 13 núcleos de población que se excluyen del dominio público marítimo-terrestre. Simplemente se afirman. La Ley 2/2013 sacrifica así arbitrariamente los valores vinculados al art. 45 CE, toda vez que el principio de protección y mejora del medio ambiente adecuado al que sirve el dominio público del litoral pierde todo su vigor en aquellas zonas excluidas por la exclusiva voluntad del legislador. Sin apoyatura en los elementos de juicio mínimamente indispensables, supone una infracción del orden constitucional analizado justamente por inexistencia de cualquier motivación o justificación. Ello determina la infracción del principio de interdicción de la arbitrariedad. Como quedó establecido en las SSTC 102/1995, de 31 de julio, y 196/1996, de 28 de noviembre, el orden medioambiental se construye de manera progresiva en los índices y técnicas de protección de los recursos naturales, de tal suerte que las diversas instancias de poder comprometidas en esta política pública no pueden introducir rebajas sobre las medidas establecidas en el escalón previo y anterior. Desde esta perspectiva, estas decisiones legislativas suponen un injustificado paso atrás por reducción apreciable e indiscriminada de las zonas sujetas a la protección propia del dominio público. Este sacrifico gratuito de la defensa y mejora del medio ambiente, proclamado en el art. 45 CE, es en cualquier caso radical y manifiestamente desproporcionado, ausente de toda explicación racional, y suma de capricho, inconsecuencia o incoherencia (SSTC 66/1985, de 23 de mayo; 108/1986, de 29 de julio; 99/1987, de 11 de junio, y 73/2000, de 14 de marzo).</w:t>
      </w:r>
    </w:p>
    <w:p w:rsidR="00AC56D6" w:rsidRDefault="00AC56D6" w:rsidP="00AC56D6">
      <w:pPr>
        <w:pStyle w:val="TextoNormal"/>
      </w:pPr>
    </w:p>
    <w:p w:rsidR="00AC56D6" w:rsidRDefault="00AC56D6" w:rsidP="00AC56D6">
      <w:pPr>
        <w:pStyle w:val="TextoNormal"/>
      </w:pPr>
      <w:r>
        <w:t xml:space="preserve">La Ley 2/2013 infringe asimismo el art. 9.3 CE, al incurrir en retroactividad constitucionalmente prohibida. Como manifestó la STC 27/1981, de 10 de julio, FJ 10, difícilmente una norma puede evitar que la regla de futuro que incorpora incida sobre situaciones jurídicas preexistentes, que constituyen el basamento de las relaciones venideras. La entrada en vigor de una nueva normativa exige un pronunciamiento expreso del legislador sobre el régimen de las situaciones ya consumadas, las ya perfeccionadas que continúan produciendo efectos conforme a la Ley anterior y las que están aún en proceso de perfeccionamiento. En última instancia, los regímenes transitorios se justifican por la necesidad de garantizar un mínimo de seguridad jurídica, impidiendo que la aparición sobrevenida de una norma conduzca a una situación de trastocamiento o indebida alteración de situaciones jurídicas consolidadas, todo ello con el límite del art. 9.3 CE, cuyo ámbito restrictivo ha precisado la jurisprudencia constitucional. Así, se entiende que hay retroactividad cuando se aplica una normativa nueva a situaciones nacidas y agotadas bajo una normativa anterior, siendo el </w:t>
      </w:r>
      <w:r>
        <w:lastRenderedPageBreak/>
        <w:t>agotamiento de las situaciones la clave para entender que nos encontramos ante una disposición con efectos retroactivos (STC 227/1988, de 29 de noviembre, FJ 9). Ahora bien, no toda retroactividad está constitucionalmente vedada, alcanzando la proscripción tan sólo a las disposiciones restrictivas de derechos individuales y las sancionadoras no favorables (STC 7/1990, de 24 de mayo), exigiéndose además que los derechos estén consolidados, asumidos e integrados en el patrimonio del sujeto; es decir, que no se trata de modifica</w:t>
      </w:r>
      <w:r w:rsidRPr="00AC56D6">
        <w:rPr>
          <w:i/>
        </w:rPr>
        <w:t>r a posterio</w:t>
      </w:r>
      <w:r>
        <w:t>ri situaciones aún en curso o simples expectativas, (STC 70/1988, de 19 de abril, FJ 4).</w:t>
      </w:r>
    </w:p>
    <w:p w:rsidR="00AC56D6" w:rsidRDefault="00AC56D6" w:rsidP="00AC56D6">
      <w:pPr>
        <w:pStyle w:val="TextoNormal"/>
      </w:pPr>
    </w:p>
    <w:p w:rsidR="00AC56D6" w:rsidRDefault="00AC56D6" w:rsidP="00AC56D6">
      <w:pPr>
        <w:pStyle w:val="TextoNormal"/>
      </w:pPr>
      <w:r>
        <w:t xml:space="preserve">La tensión entre el interés de la Ley 2/2013 en su más pronta plena efectividad y la exigencia de salvaguarda de las situaciones jurídicas consolidadas o en vías de consolidación a su entrada en vigor es claramente perceptible en la previsión de la revisión de los deslindes ya ejecutados (disposición adicional segunda), así como en la decisión de “reintegro” de la propiedad y/o posesión a sus supuestos legítimos propietarios anteriores. La regulación legal analizada se sitúa en el terreno, constitucionalmente prohibido, de la “retroactividad auténtica” (SSTC 126/87, de 16 de julio, FJ 11, y 197/92, de 19 de noviembre, FJ 4). Es cierto que no se infringe el principio de seguridad jurídica por el mero hecho de la modificación legislativa, incidiendo con ello en las relaciones o situaciones jurídicas preexistentes [SSTC 99/1987, FJ 6 c); 70/1988, FJ 4, y 210/90, FJ 3, entre otras]. Surge la retroactividad vedada cuando la Ley regula de manera diferente y </w:t>
      </w:r>
      <w:r w:rsidRPr="00AC56D6">
        <w:rPr>
          <w:i/>
        </w:rPr>
        <w:t>pro futuro</w:t>
      </w:r>
      <w:r>
        <w:t xml:space="preserve"> situaciones jurídicas creadas con anterioridad a su entrada en vigor y cuyos efectos ya se encuentran consumados (STC 210/90, de 20 de diciembre, FJ 3), operando entonces la prohibición de la retroactividad plenamente, de modo que “sólo exigencias cualificadas del bien común” podrían imponerse excepcionalmente al principio de seguridad jurídica (STC 126/87, de 16 de julio, FJ 11; y ATC 84/2013, de 23 de abril, FJ 3). Esas exigencias cualificadas del bien común no se encuentran presentes en la regulación impugnada. Por más que el principio constitucional de seguridad jurídica no pueda erigirse en valor absoluto, porque ello daría lugar a la congelación o petrificación del ordenamiento jurídico existente, consecuencia contraria a la concepción que fluye del propio art. 9.3 CE (SSTC 126/1987, de 16 de julio, FJ 11; 182/1997, de 28 de octubre, FJ 11, y 332/2005, de 15 de diciembre, FJ 17), tampoco puede obviarse que este principio protege la confianza de los ciudadanos que ajustan su conducta económica a la legislación vigente, frente a cambios normativos que no sean razonablemente previsibles, resaltando que serían las circunstancias específicas que concurriesen en cada caso y el grado de retroactividad de la norma cuestionada los elementos determinantes de la ponderación a realizar (SSTC 150/90, de 4 de octubre; FJ 8; y 273/2000, de 15 de noviembre, FJ 6).</w:t>
      </w:r>
    </w:p>
    <w:p w:rsidR="00AC56D6" w:rsidRDefault="00AC56D6" w:rsidP="00AC56D6">
      <w:pPr>
        <w:pStyle w:val="TextoNormal"/>
      </w:pPr>
    </w:p>
    <w:p w:rsidR="00AC56D6" w:rsidRDefault="00AC56D6" w:rsidP="00AC56D6">
      <w:pPr>
        <w:pStyle w:val="TextoNormal"/>
      </w:pPr>
      <w:r>
        <w:t xml:space="preserve">Todo régimen transitorio ha de garantizar, con el límite último de la interdicción constitucional de la verdadera retroactividad, el mantenimiento de la aplicación de la normativa sobrevenidamente innovada. Sobre todo, cuando lo que debe primar es el interés público en el mantenimiento de la integridad del recurso natural costero de cara a hacer efectivo el derecho constitucional de todos al disfrute del dominio público marítimo-terrestre, en consonancia con el art. 45 CE, frente a los derechos privados verdaderamente protegidos por la Ley 2/2013. De ésta y de su exposición de motivos se desprende con claridad que se ha establecido errónea y desproporcionadamente a favor de precisos y concretos intereses privados, que el legislador, infundadamente y en contra de lo exigido por el principio del Estado de Derecho, reputa legítimos en origen y, por ello, implícitamente lesionados por el </w:t>
      </w:r>
      <w:r>
        <w:lastRenderedPageBreak/>
        <w:t>legislador de 1988, con desconsideración del cualificado y prevalente interés general consistente en la integridad y protección del dominio público marítimo-terrestre. De ello resulta: (i) la infracción misma de los arts. 128.1 y 132 CE; (ii) el vicio de irrazonabilidad y arbitrariedad, determinante de una situación de injustificada diferencia de trato entre el derecho constitucional de todos y determinadas situaciones jurídico-privadas, con reintegración incluso de la titularidad de aquéllas consideradas retroactivamente legítimas a pesar de la plena consumación de su extinción legal, compensada en los términos constitucionalmente requeridos; (iii) la frontal infracción, por ello, del principio de proporcionalidad inscrito también en el art. 9.3 CE, por inexistencia de la debida y necesaria relación entre la medida adoptada, el resultado producido y la finalidad pretendida por el legislador (SSTC 110/1993, de 25 de marzo, FJ 4, y 340/1993, de 16 de noviembre, FJ 4) y iv) la lesión por la discriminación, ayuna de toda justificación objetiva y razonable, entre el derecho constitucional de todos y las situaciones jurídico-privadas antes aludidas del mínimo de igualdad de trato requerido por el art. 14 CE.</w:t>
      </w:r>
    </w:p>
    <w:p w:rsidR="00AC56D6" w:rsidRDefault="00AC56D6" w:rsidP="00AC56D6">
      <w:pPr>
        <w:pStyle w:val="TextoNormal"/>
      </w:pPr>
    </w:p>
    <w:p w:rsidR="00AC56D6" w:rsidRDefault="00AC56D6" w:rsidP="00AC56D6">
      <w:pPr>
        <w:pStyle w:val="TextoNormal"/>
      </w:pPr>
      <w:r>
        <w:t>Cuando lo que ha decidido el legislador de 2013 es la “recuperación” (reintegro de su titularidad) de situaciones jurídico-privadas extinguidas y reconvertidas en otras distintas por la Ley de costas de 1988, confirmadas por resoluciones judiciales firmes, a estos motivos de inconstitucionalidad debe añadirse la infracción frontal del principio de seguridad jurídica, que reclama la intangibilidad de las situaciones jurídicas consolidadas; no sólo las decididas con fuerza de cosa juzgada, sino también las situaciones administrativas firmes (STC 131/2013, de 5 de junio, FJ 10). La clara y flagrante violación del principio constitucional de seguridad jurídica (art. 9.3 CE) ahora denunciada genera una situación de incertidumbre jurídica en términos proscritos por la doctrina sentada en la STC 46/1990, de 15 de marzo, FJ 4.</w:t>
      </w:r>
    </w:p>
    <w:p w:rsidR="00AC56D6" w:rsidRDefault="00AC56D6" w:rsidP="00AC56D6">
      <w:pPr>
        <w:pStyle w:val="TextoNormal"/>
      </w:pPr>
    </w:p>
    <w:p w:rsidR="00AC56D6" w:rsidRDefault="00AC56D6" w:rsidP="00AC56D6">
      <w:pPr>
        <w:pStyle w:val="TextoNormal"/>
      </w:pPr>
      <w:r>
        <w:t>Concretamente, incurren en los vicios de inconstitucionalidad que han quedado expuestos los siguientes preceptos:</w:t>
      </w:r>
    </w:p>
    <w:p w:rsidR="00AC56D6" w:rsidRDefault="00AC56D6" w:rsidP="00AC56D6">
      <w:pPr>
        <w:pStyle w:val="TextoNormal"/>
      </w:pPr>
    </w:p>
    <w:p w:rsidR="00AC56D6" w:rsidRDefault="00AC56D6" w:rsidP="00AC56D6">
      <w:pPr>
        <w:pStyle w:val="TextoNormal"/>
      </w:pPr>
      <w:r>
        <w:t>i) El art. 2 de la Ley 2/2013, en la medida en que prorroga, sin causa justificada, las concesiones otorgadas al amparo de la Ley de costas de 1988, afectando a la plena efectividad de la integridad del dominio público marítimo-terrestre y, por tanto, del acceso a su disfrute por parte de todos, en beneficio indebido de los beneficiarios de la medida.</w:t>
      </w:r>
    </w:p>
    <w:p w:rsidR="00AC56D6" w:rsidRDefault="00AC56D6" w:rsidP="00AC56D6">
      <w:pPr>
        <w:pStyle w:val="TextoNormal"/>
      </w:pPr>
    </w:p>
    <w:p w:rsidR="00AC56D6" w:rsidRDefault="00AC56D6" w:rsidP="00AC56D6">
      <w:pPr>
        <w:pStyle w:val="TextoNormal"/>
      </w:pPr>
      <w:r>
        <w:t>ii) La disposición adicional segunda de la Ley 2/2013, al obligar a la Administración general del Estado a iniciar la revisión de los deslindes ya ejecutados, incidiendo así no solo en situaciones jurídicas individualizadas y consolidadas, fruto incluso de decisiones judiciales firmes, sino en la integridad del dominio público natural ya establecido.</w:t>
      </w:r>
    </w:p>
    <w:p w:rsidR="00AC56D6" w:rsidRDefault="00AC56D6" w:rsidP="00AC56D6">
      <w:pPr>
        <w:pStyle w:val="TextoNormal"/>
      </w:pPr>
    </w:p>
    <w:p w:rsidR="00AC56D6" w:rsidRDefault="00AC56D6" w:rsidP="00AC56D6">
      <w:pPr>
        <w:pStyle w:val="TextoNormal"/>
      </w:pPr>
      <w:r>
        <w:t xml:space="preserve">iii) Las disposiciones adicionales cuarta.4 y quinta de la Ley 2/2013, en cuanto retrotraen la situación jurídica de los bienes inmuebles a la inmediatamente anterior a la entrada en vigor de la Ley de costas de 1988 mediante la ficción de una inexistente ilegalidad de ésta (a pesar de su declaración de constitucionalidad) y de su aplicación en los correspondientes deslindes practicados en su período de vigencia, con evidente defraudación tanto de la STC 149/1991, como de las numerosas sentencias judiciales firmes ya recaídas resolviendo sobre los deslindes practicados. Esta eficacia retroactiva es más grave aún, si cabe, en el caso de la isla de Formentera (disposición adicional cuarta.4), porque la retroacción se remonta aquí a la Ley de 1969, al establecerse el reintegro de la correspondiente titularidad a aquellas </w:t>
      </w:r>
      <w:r>
        <w:lastRenderedPageBreak/>
        <w:t>personas propietarias con título inscrito en el Registro antes de la entrada en vigor de la Ley de costas de 1988.</w:t>
      </w:r>
    </w:p>
    <w:p w:rsidR="00AC56D6" w:rsidRDefault="00AC56D6" w:rsidP="00AC56D6">
      <w:pPr>
        <w:pStyle w:val="TextoNormal"/>
      </w:pPr>
    </w:p>
    <w:p w:rsidR="00AC56D6" w:rsidRDefault="00AC56D6" w:rsidP="00AC56D6">
      <w:pPr>
        <w:pStyle w:val="TextoNormal"/>
      </w:pPr>
      <w:r>
        <w:t>En todos los casos se obvia el dato decisivo de que el bien a reintegrar a sus supuestos legítimos propietarios forma parte del dominio público.</w:t>
      </w:r>
    </w:p>
    <w:p w:rsidR="00AC56D6" w:rsidRDefault="00AC56D6" w:rsidP="00AC56D6">
      <w:pPr>
        <w:pStyle w:val="TextoNormal"/>
      </w:pPr>
    </w:p>
    <w:p w:rsidR="00AC56D6" w:rsidRDefault="00AC56D6" w:rsidP="00AC56D6">
      <w:pPr>
        <w:pStyle w:val="TextoNormal"/>
      </w:pPr>
      <w:r>
        <w:t>iv) La disposición adicional sexta de la Ley 2/2013, en cuanto que “legaliza” indebidamente urbanizaciones que materialmente son marítimo-terrestres y que, sin embargo, por ser anteriores a la entrada en vigor de esta reforma, han debido ejecutarse bien en flagrante ilegalidad, bien aceptando expresamente las condiciones legales. La decisión del legislador pasa, también aquí, por ordenar el reintegro de los bienes que se dicen inscritos en el Registro, a pesar de que dichos bienes han sido deslindados o han debido serlo como dominio público, lo que se confirma por el hecho de que ese reintegro se ordena “una vez sean revisados los correspondientes deslindes”, de acuerdo con la disposición adicional segunda.</w:t>
      </w:r>
    </w:p>
    <w:p w:rsidR="00AC56D6" w:rsidRDefault="00AC56D6" w:rsidP="00AC56D6">
      <w:pPr>
        <w:pStyle w:val="TextoNormal"/>
      </w:pPr>
    </w:p>
    <w:p w:rsidR="00AC56D6" w:rsidRDefault="00AC56D6" w:rsidP="00AC56D6">
      <w:pPr>
        <w:pStyle w:val="TextoNormal"/>
      </w:pPr>
      <w:r>
        <w:t>v) La disposición adicional séptima de la Ley 2/2013, en la medida en que, provocando incertidumbre e inseguridad, reconoce la posibilidad de transmisión directa a los ocupantes de los terrenos en los núcleos de población indebidamente excluidos del dominio público que se enumeran en el anexo de la Ley, sin precisión de titularidad de derecho legítimo alguno y sin causa legítima alguna.</w:t>
      </w:r>
    </w:p>
    <w:p w:rsidR="00AC56D6" w:rsidRDefault="00AC56D6" w:rsidP="00AC56D6">
      <w:pPr>
        <w:pStyle w:val="TextoNormal"/>
      </w:pPr>
    </w:p>
    <w:p w:rsidR="00AC56D6" w:rsidRDefault="00AC56D6" w:rsidP="00AC56D6">
      <w:pPr>
        <w:pStyle w:val="TextoNormal"/>
      </w:pPr>
      <w:r>
        <w:t>vi) La disposición transitoria primera de la Ley 2/2013, por legalizar la situación de los núcleos o áreas que, a la entrada en vigor de la Ley de costas de 1988, no estuvieran clasificados como suelo urbano, extendiendo la aplicación de la disposición transitoria tercera LC 1988 bajo condiciones nuevas que entrañan, además de una evidente invasión competencial (desde el punto de vista de la ordenación territorial y urbanística), un escenario de futura litigiosidad e incertidumbre.</w:t>
      </w:r>
    </w:p>
    <w:p w:rsidR="00AC56D6" w:rsidRDefault="00AC56D6" w:rsidP="00AC56D6">
      <w:pPr>
        <w:pStyle w:val="TextoNormal"/>
      </w:pPr>
    </w:p>
    <w:p w:rsidR="00AC56D6" w:rsidRDefault="00AC56D6" w:rsidP="00AC56D6">
      <w:pPr>
        <w:pStyle w:val="TextoNormal"/>
      </w:pPr>
      <w:r>
        <w:t xml:space="preserve">vii) La nueva disposición adicional décima que se introduce en la Ley de costas de 1988 por el art. 1.41 de la Ley 2/2013 con el ánimo de legalizar, en una suerte de “amnistía normativa”, la situación de las llamadas urbanizaciones marítimo-terrestres y que conduce, por mor de ese deslinde </w:t>
      </w:r>
      <w:r w:rsidRPr="00AC56D6">
        <w:rPr>
          <w:i/>
        </w:rPr>
        <w:t>ope legis</w:t>
      </w:r>
      <w:r>
        <w:t>, al resultado de dejar fuera del dominio público marítimo-terrestre “los terrenos de propiedad privada colindantes a la vivienda y retranqueados respecto del canal navegable que se destinen a estacionamiento náutico individual y privado”, así como “los terrenos de titularidad privada colindantes con el canal navegable e inundados como consecuencia de excavaciones, que se destinen a estacionamiento náutico colectivo y privado”.</w:t>
      </w:r>
    </w:p>
    <w:p w:rsidR="00AC56D6" w:rsidRDefault="00AC56D6" w:rsidP="00AC56D6">
      <w:pPr>
        <w:pStyle w:val="TextoNormal"/>
      </w:pPr>
    </w:p>
    <w:p w:rsidR="00AC56D6" w:rsidRDefault="00AC56D6" w:rsidP="00AC56D6">
      <w:pPr>
        <w:pStyle w:val="TextoNormal"/>
      </w:pPr>
      <w:r>
        <w:t xml:space="preserve">d) La disposición adicional novena de la Ley 2/2013, por establecer un régimen-medida de caso concreto para las instalaciones de depuración de aguas residuales construidas en dominio público marítimo-terrestre que deban ser reubicadas en cumplimiento de una resolución judicial. En su totalidad, esta regulación es inconstitucional por diversos motivos: (i) establece una excepción de contornos temporales más que imprecisos de la efectiva integridad del dominio público marítimo-terrestre, no permitida por el art. 132 CE; (ii) es constitutiva de una ley singular merecedora de reproche en los términos de la doctrina sentada en la STC 129/2013, de 4 de junio; (iii) carece de cualquier justificación razonable expresa o inferible del texto legal, que incurre, así, en arbitrariedad prohibida al legislador conforme </w:t>
      </w:r>
      <w:r>
        <w:lastRenderedPageBreak/>
        <w:t>a lo previamente razonado. Prueba de ello es la excepción relativa a las instalaciones situadas en espacios protegidos o incluidos en la Red Natura 2000, que desde el punto de vista de las circunstancias de índole puramente económica que se aducen, no constituye razón válida para la discriminación que supone respecto del resto del dominio público natural y (iv) supone tanto la inejecución de sentencias firmes por tiempo indefinido, como su ejecución conforme a reglas específicas, aunque indeterminadas, que quedan a la disposición discrecional del Gobierno y la Administración general del Estado, con abierta infracción del principio del Estado de Derecho (art. 1.1 CE) y sus corolarios: el derecho fundamental a la tutela judicial efectiva (art. 24.1 CE), en los términos de la citada STC 129/2013, y la reserva constitucional exclusiva y total de la ejecución de lo juzgado y, por tanto, de sus términos sustantivos y temporales, a los órganos del Poder Judicial (art. 117.3 CE).</w:t>
      </w:r>
    </w:p>
    <w:p w:rsidR="00AC56D6" w:rsidRDefault="00AC56D6" w:rsidP="00AC56D6">
      <w:pPr>
        <w:pStyle w:val="TextoNormal"/>
      </w:pPr>
    </w:p>
    <w:p w:rsidR="00AC56D6" w:rsidRDefault="00AC56D6" w:rsidP="00AC56D6">
      <w:pPr>
        <w:pStyle w:val="TextoNormal"/>
      </w:pPr>
      <w:r w:rsidRPr="00AC56D6">
        <w:rPr>
          <w:rStyle w:val="NumeroAFNegritaCaracter"/>
        </w:rPr>
        <w:t>2</w:t>
      </w:r>
      <w:r>
        <w:t>. Por providencia de 8 de octubre de 2013, el Pleno, a propuesta de la Sección Cuarta, acordó admitir a trámite el recurso y, de conformidad con lo establecido en el art. 34 de la Ley Orgánica del Tribunal Constitucional (LOTC), dar traslado de la demanda al Congreso de los Diputados, al Senado y al Gobierno, al objeto de personarse en el proceso y formular alegaciones en el plazo de quince días. Asimismo se ordenó publicar la incoación del recurso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3</w:t>
      </w:r>
      <w:r>
        <w:t>. El día 18 de octubre de 2013, el Abogado del Estado se personó en el proceso en nombre del Gobierno, solicitando una prórroga en el plazo para formular alegaciones, que le fue concedida por providencia de 21 de octubre de 2013.</w:t>
      </w:r>
    </w:p>
    <w:p w:rsidR="00AC56D6" w:rsidRDefault="00AC56D6" w:rsidP="00AC56D6">
      <w:pPr>
        <w:pStyle w:val="TextoNormal"/>
      </w:pPr>
    </w:p>
    <w:p w:rsidR="00AC56D6" w:rsidRDefault="00AC56D6" w:rsidP="00AC56D6">
      <w:pPr>
        <w:pStyle w:val="TextoNormal"/>
      </w:pPr>
      <w:r w:rsidRPr="00AC56D6">
        <w:rPr>
          <w:rStyle w:val="NumeroAFNegritaCaracter"/>
        </w:rPr>
        <w:t>4</w:t>
      </w:r>
      <w:r>
        <w:t>. Los días 23 y 25 de octubre de 2013, se presentaron en el Registro General de este Tribunal sendos escritos del Presidente del Senado y del Presidente del Congreso de los Diputados, comunicando que las respectivas Cámaras se personaban en el proceso, y ofrecían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5</w:t>
      </w:r>
      <w:r>
        <w:t>. El Abogado del Estado presentó su escrito de alegaciones el día 18 de noviembre de 2013, instando la desestimación del recurso en atención a la argumentación que se sintetiza seguidamente.</w:t>
      </w:r>
    </w:p>
    <w:p w:rsidR="00AC56D6" w:rsidRDefault="00AC56D6" w:rsidP="00AC56D6">
      <w:pPr>
        <w:pStyle w:val="TextoNormal"/>
      </w:pPr>
    </w:p>
    <w:p w:rsidR="00AC56D6" w:rsidRDefault="00AC56D6" w:rsidP="00AC56D6">
      <w:pPr>
        <w:pStyle w:val="TextoNormal"/>
      </w:pPr>
      <w:r>
        <w:t>a) El recurso se basa en una concepción constitucionalmente autosuficiente del dominio público marítimo-terrestre; en realidad, de las partes de éste que enumera el art. 132.2 CE, comúnmente conocido como dominio público marítimo-terrestre natural o necesario. No puede compartirse que la ley en este terreno se deba limitar a una mera constatación, sino que ha de establecer criterios detallados que dotan de contenido jurídico a los conceptos constitucionales, como ha sido avalado por la STC 149/1991, FJ 2. Las diferencias existentes entre las definiciones del diccionario de la Real Academia y los conceptos legales confirman que la mención constitucional no es suficiente para fijar sobre el terreno la extensión de la playa o de la zona marítimo-terrestre. La ley debe concretar su alcance material, sin separarse ni distorsionar su acepción común. No sirve aquí la definición utilizada por el protocolo relativo a la gestión integrada de las zonas costeras del Mediterráneo, porque su finalidad no es la de delimitar el dominio público, ni determinar ninguna categoría jurídica o técnica de protección concreta para integrar o proteger lo que denomina “zona costera”.</w:t>
      </w:r>
    </w:p>
    <w:p w:rsidR="00AC56D6" w:rsidRDefault="00AC56D6" w:rsidP="00AC56D6">
      <w:pPr>
        <w:pStyle w:val="TextoNormal"/>
      </w:pPr>
    </w:p>
    <w:p w:rsidR="00AC56D6" w:rsidRDefault="00AC56D6" w:rsidP="00AC56D6">
      <w:pPr>
        <w:pStyle w:val="TextoNormal"/>
      </w:pPr>
      <w:r>
        <w:lastRenderedPageBreak/>
        <w:t>Los arts. 3 y 4 LC, y concretamente el tratamiento de los bienes que por cualquier causa hayan perdido sus características naturales (art. 4.5 LC), evidencian la falta de inmutabilidad de la extensión del dominio público marítimo-terrestre natural. No son las condiciones físicas sino la determinación del legislador lo decisivo para la permanencia dentro del dominio público, lo que no es sino constatación de la doctrina constitucional (STC 149/1991, FJ 2).</w:t>
      </w:r>
    </w:p>
    <w:p w:rsidR="00AC56D6" w:rsidRDefault="00AC56D6" w:rsidP="00AC56D6">
      <w:pPr>
        <w:pStyle w:val="TextoNormal"/>
      </w:pPr>
    </w:p>
    <w:p w:rsidR="00AC56D6" w:rsidRDefault="00AC56D6" w:rsidP="00AC56D6">
      <w:pPr>
        <w:pStyle w:val="TextoNormal"/>
      </w:pPr>
      <w:r>
        <w:t>Debe pues descartarse que la Constitución ampare la petrificación de la extensión del dominio público marítimo-terrestre natural, que, como ya postulara el Estado en sus alegaciones a los recursos interpuestos en su día contra la Ley de costas de 1988, carece de toda razón de ser. En el mero uso de los términos zona marítimo-terrestre o playa, dentro de la reserva de ley del art. 132.2 CE, va implícito un cierto margen de libertad para que el legislador determine estos conceptos del modo razonablemente más adecuado a los fines y objetivos que lícitamente se proponga o a las necesidades sociales que hayan de satisfacerse. Los conceptos constitucionales tienen una real fuerza restrictiva que impide al legislador definirlos caprichosa o arbitrariamente, pero no se puede dar por supuesto que hayan de tener por fuerza un significado único, ni tampoco cabe restringir su campo semántico haciendo de mejor condición a un legislador determinado por contingencias de la historia.</w:t>
      </w:r>
    </w:p>
    <w:p w:rsidR="00AC56D6" w:rsidRDefault="00AC56D6" w:rsidP="00AC56D6">
      <w:pPr>
        <w:pStyle w:val="TextoNormal"/>
      </w:pPr>
    </w:p>
    <w:p w:rsidR="00AC56D6" w:rsidRDefault="00AC56D6" w:rsidP="00AC56D6">
      <w:pPr>
        <w:pStyle w:val="TextoNormal"/>
      </w:pPr>
      <w:r>
        <w:t xml:space="preserve">b) Los recurrentes pretenden erigir el principio de no regresión ambiental (o cláusula </w:t>
      </w:r>
      <w:r w:rsidRPr="00AC56D6">
        <w:rPr>
          <w:i/>
        </w:rPr>
        <w:t>stand still</w:t>
      </w:r>
      <w:r>
        <w:t>), que impediría que se rebajasen los estándares medioambientales vigentes, en canon de constitucionalidad. La invocación de este principio, que supone una extraña vinculación del legislador futuro al presente, debe ser desestimada, pues nunca ha sido reconocido como tal canon por la jurisprudencia constitucional, ni existe en ningún tratado internacional, y ni tan siquiera puede inferirse como norma consuetudinaria de Derecho internacional.</w:t>
      </w:r>
    </w:p>
    <w:p w:rsidR="00AC56D6" w:rsidRDefault="00AC56D6" w:rsidP="00AC56D6">
      <w:pPr>
        <w:pStyle w:val="TextoNormal"/>
      </w:pPr>
    </w:p>
    <w:p w:rsidR="00AC56D6" w:rsidRDefault="00AC56D6" w:rsidP="00AC56D6">
      <w:pPr>
        <w:pStyle w:val="TextoNormal"/>
      </w:pPr>
      <w:r>
        <w:t xml:space="preserve">El recurso no razona con exactitud en qué texto normativo ha quedado positivado este principio. La vinculación que hace en este punto al art. 45 CE desfigura su dicción literal, puesto que el término “mejorar” se refiere a la calidad de vida, no al entorno. En cuanto al art. 37 de la Carta de derechos fundamentales de la Unión Europea, no establece un derecho, sino que enuncia un principio que nunca podría servir como canon de constitucionalidad, según ha señalado el Tribunal Constitucional y se desprende del art. 52.5 de la propia Carta. El principio de no regresión tampoco se establece en ningún texto internacional, ni siquiera en ningún instrumento de </w:t>
      </w:r>
      <w:r w:rsidRPr="00AC56D6">
        <w:rPr>
          <w:i/>
        </w:rPr>
        <w:t>soft law</w:t>
      </w:r>
      <w:r>
        <w:t>. Así lo avala la apelación a los gobiernos nacionales efectuada por el Congreso mundial de la naturaleza de la Unión Internacional para la Conservación de la Naturaleza (UICN), celebrado en septiembre de 2012, que descarta que exista una norma internacional que establezca inequívocamente este principio.</w:t>
      </w:r>
    </w:p>
    <w:p w:rsidR="00AC56D6" w:rsidRDefault="00AC56D6" w:rsidP="00AC56D6">
      <w:pPr>
        <w:pStyle w:val="TextoNormal"/>
      </w:pPr>
    </w:p>
    <w:p w:rsidR="00AC56D6" w:rsidRDefault="00AC56D6" w:rsidP="00AC56D6">
      <w:pPr>
        <w:pStyle w:val="TextoNormal"/>
      </w:pPr>
      <w:r>
        <w:t xml:space="preserve">El principio de no regresión no es pues canon válido de constitucionalidad, pero tampoco puede sostenerse que la Ley 2/2013 suponga una regresión ambiental, puesto que garantiza la protección ambiental del litoral y en algunos aspectos incluso la incrementa (arts. 3, 13 </w:t>
      </w:r>
      <w:r w:rsidRPr="00AC56D6">
        <w:rPr>
          <w:i/>
        </w:rPr>
        <w:t>ter</w:t>
      </w:r>
      <w:r>
        <w:t>, 11.2, 12.2 y 4, 13.2 y 119.2, y disposición adicional duodécima). Los razonamientos de los recurrentes sobre la regresión no se detienen en aspectos cualitativos, porque sencillamente no se encuentran en la Ley 2/2013, y se limitan a un examen mecánicamente cuantitativo a la luz ya no de la cláusula de no regresión, sino de una particular e ideológica concepción de la protección progresiva del medio ambiente.</w:t>
      </w:r>
    </w:p>
    <w:p w:rsidR="00AC56D6" w:rsidRDefault="00AC56D6" w:rsidP="00AC56D6">
      <w:pPr>
        <w:pStyle w:val="TextoNormal"/>
      </w:pPr>
    </w:p>
    <w:p w:rsidR="00AC56D6" w:rsidRDefault="00AC56D6" w:rsidP="00AC56D6">
      <w:pPr>
        <w:pStyle w:val="TextoNormal"/>
      </w:pPr>
      <w:r>
        <w:lastRenderedPageBreak/>
        <w:t>c) De una u otra manera, todos los argumentos del recurso alegan la vulneración de los principios del art. 9.3 CE, por lo que es necesario delimitar con carácter general su alcance, según la jurisprudencia constitucional.</w:t>
      </w:r>
    </w:p>
    <w:p w:rsidR="00AC56D6" w:rsidRDefault="00AC56D6" w:rsidP="00AC56D6">
      <w:pPr>
        <w:pStyle w:val="TextoNormal"/>
      </w:pPr>
    </w:p>
    <w:p w:rsidR="00AC56D6" w:rsidRDefault="00AC56D6" w:rsidP="00AC56D6">
      <w:pPr>
        <w:pStyle w:val="TextoNormal"/>
      </w:pPr>
      <w:r>
        <w:t>La alegada vulneración del principio de irretroactividad, basada en una menor defensa de los intereses generales, comparte un juicio valorativo sobre la ponderación que el legislador, al innovar el ordenamiento jurídico, realiza entre los distintos intereses en juego, generales y particulares, sin que implique una limitación de los derechos fundamentales y libertades públicas (por todas, SSTC 90/2009, de 20 de abril, FJ 4; y 100/2012, de 8 de mayo, FJ 10). Tampoco cabe identificar arbitrariedad con una determinada visión del legislador sobre la realidad que pretende regular, siempre que su opción no signifique discriminación (STC 128/2009, de 1 de junio, FJ 3). Por último, el significado constitucional del principio de seguridad jurídica en referencia al ejercicio de la potestad legislativa está explicado en la STC 90/2009, FJ 4.</w:t>
      </w:r>
    </w:p>
    <w:p w:rsidR="00AC56D6" w:rsidRDefault="00AC56D6" w:rsidP="00AC56D6">
      <w:pPr>
        <w:pStyle w:val="TextoNormal"/>
      </w:pPr>
    </w:p>
    <w:p w:rsidR="00AC56D6" w:rsidRDefault="00AC56D6" w:rsidP="00AC56D6">
      <w:pPr>
        <w:pStyle w:val="TextoNormal"/>
      </w:pPr>
      <w:r>
        <w:t>Con arreglo a la doctrina invocada, la reforma de la Ley de costas realizada por la Ley 2/2013 no es arbitraria ni afecta al principio de seguridad jurídica; es una opción legítima que responde a las finalidades de protección del litoral e, íntimamente vinculada, de seguridad jurídica, explicitadas en la exposición de motivos.</w:t>
      </w:r>
    </w:p>
    <w:p w:rsidR="00AC56D6" w:rsidRDefault="00AC56D6" w:rsidP="00AC56D6">
      <w:pPr>
        <w:pStyle w:val="TextoNormal"/>
      </w:pPr>
    </w:p>
    <w:p w:rsidR="00AC56D6" w:rsidRDefault="00AC56D6" w:rsidP="00AC56D6">
      <w:pPr>
        <w:pStyle w:val="TextoNormal"/>
      </w:pPr>
      <w:r>
        <w:t>d) Se aborda separadamente la impugnación de diversos aspectos de la modificación de los arts. 3.1 a) y b) y 4.3 LC.</w:t>
      </w:r>
    </w:p>
    <w:p w:rsidR="00AC56D6" w:rsidRDefault="00AC56D6" w:rsidP="00AC56D6">
      <w:pPr>
        <w:pStyle w:val="TextoNormal"/>
      </w:pPr>
    </w:p>
    <w:p w:rsidR="00AC56D6" w:rsidRDefault="00AC56D6" w:rsidP="00AC56D6">
      <w:pPr>
        <w:pStyle w:val="TextoNormal"/>
      </w:pPr>
      <w:r>
        <w:t>(i) El reproche dirigido al art. 3.1 a), por infringir la reserva de ley del art. 132 CE, parte de una premisa que no es correcta. Conforme a la legislación anterior, la delimitación de la zona marítimo-terrestre no se hacía de modo automático, sencillamente porque no es posible. La realidad fáctica del lugar hasta donde alcanzan las olas en los mayores temporales conocidos no se determina con facilidad. Al amparo de la legislación anterior, se aplicaban criterios que no se explicitaban en ninguna norma jurídica, sino que se tomaban en consideración caso por caso, en cada uno de los deslindes.</w:t>
      </w:r>
    </w:p>
    <w:p w:rsidR="00AC56D6" w:rsidRDefault="00AC56D6" w:rsidP="00AC56D6">
      <w:pPr>
        <w:pStyle w:val="TextoNormal"/>
      </w:pPr>
    </w:p>
    <w:p w:rsidR="00AC56D6" w:rsidRDefault="00AC56D6" w:rsidP="00AC56D6">
      <w:pPr>
        <w:pStyle w:val="TextoNormal"/>
      </w:pPr>
      <w:r>
        <w:t>El Reglamento es el instrumento idóneo para fijar criterios técnicos, que por su complejidad no es materia propia de la ley. De hecho, el Reglamento de costas aprobado por Real Decreto 1471/1989, de 1 de diciembre, ya los fijó en su artículo 4 a), y esta remisión reglamentaría fue avalada por la STC 198/1991, FJ 1, que se remite a la STC 149/1991, FJ 2. En términos de constitucionalidad, la modificación garantiza mayor seguridad jurídica, pues los criterios reglamentarios vinculan a la Administración al realizar cada uno de los deslindes, unos y otros sometidos al control de la jurisdicción ordinaria.</w:t>
      </w:r>
    </w:p>
    <w:p w:rsidR="00AC56D6" w:rsidRDefault="00AC56D6" w:rsidP="00AC56D6">
      <w:pPr>
        <w:pStyle w:val="TextoNormal"/>
      </w:pPr>
    </w:p>
    <w:p w:rsidR="00AC56D6" w:rsidRDefault="00AC56D6" w:rsidP="00AC56D6">
      <w:pPr>
        <w:pStyle w:val="TextoNormal"/>
      </w:pPr>
      <w:r>
        <w:t>La reforma no modifica la definición de zona marítimo-terrestre en este punto, sino que, a la luz de la experiencia, trata de establecer unas cautelas para que su plasmación en los deslindes responda a criterios uniformes. La STC 1491/991, FJ 2, acepta que el legislador “pueda modificar las definiciones o los criterios definitorios de realidades naturales, no jurídicas, a las que la Constitución alude”.</w:t>
      </w:r>
    </w:p>
    <w:p w:rsidR="00AC56D6" w:rsidRDefault="00AC56D6" w:rsidP="00AC56D6">
      <w:pPr>
        <w:pStyle w:val="TextoNormal"/>
      </w:pPr>
    </w:p>
    <w:p w:rsidR="00AC56D6" w:rsidRDefault="00AC56D6" w:rsidP="00AC56D6">
      <w:pPr>
        <w:pStyle w:val="TextoNormal"/>
      </w:pPr>
      <w:r>
        <w:t xml:space="preserve">(ii) En cuanto a los arts. 3.1 a), párrafo 3, y 4.3, el mero contacto del agua del mar con la tierra no lleva consigo la incorporación a la zona marítimo-terrestre a la que se refiere el art. </w:t>
      </w:r>
      <w:r>
        <w:lastRenderedPageBreak/>
        <w:t>132 CE. El precepto constitucional remite al concepto de dominio público natural o necesario, ajeno a la circunstancia de que, tras una inundación artificial y controlada, el mar entre en contacto con terrenos que nunca antes fueron demaniales.</w:t>
      </w:r>
    </w:p>
    <w:p w:rsidR="00AC56D6" w:rsidRDefault="00AC56D6" w:rsidP="00AC56D6">
      <w:pPr>
        <w:pStyle w:val="TextoNormal"/>
      </w:pPr>
    </w:p>
    <w:p w:rsidR="00AC56D6" w:rsidRDefault="00AC56D6" w:rsidP="00AC56D6">
      <w:pPr>
        <w:pStyle w:val="TextoNormal"/>
      </w:pPr>
      <w:r>
        <w:t>La reforma resuelve las dudas que suscitaba la anterior regulación sobre los terrenos que no son naturalmente inundables, en el mismo sentido determinado por el Tribunal Supremo. Y no puede calificarse de incongruente con el art. 4.2 LC, que incluye en el dominio público los terrenos ganados al mar como consecuencia directa o indirecta de obras o desecado de la ribera, ya que en este caso sí existe una ocupación de lo que es dominio público natural, sea zona marítimo-terrestre o mar territorial.</w:t>
      </w:r>
    </w:p>
    <w:p w:rsidR="00AC56D6" w:rsidRDefault="00AC56D6" w:rsidP="00AC56D6">
      <w:pPr>
        <w:pStyle w:val="TextoNormal"/>
      </w:pPr>
    </w:p>
    <w:p w:rsidR="00AC56D6" w:rsidRDefault="00AC56D6" w:rsidP="00AC56D6">
      <w:pPr>
        <w:pStyle w:val="TextoNormal"/>
      </w:pPr>
      <w:r>
        <w:t>(iii) Del contraste de la legislación precedente con la definición de duna incorporada por la Ley 2/2013 al art. 3.1 b) LC, modificado, se deduce que no existe restricción alguna en la reforma respecto de los conceptos de playa o duna utilizados por la legislación anterior.</w:t>
      </w:r>
    </w:p>
    <w:p w:rsidR="00AC56D6" w:rsidRDefault="00AC56D6" w:rsidP="00AC56D6">
      <w:pPr>
        <w:pStyle w:val="TextoNormal"/>
      </w:pPr>
    </w:p>
    <w:p w:rsidR="00AC56D6" w:rsidRDefault="00AC56D6" w:rsidP="00AC56D6">
      <w:pPr>
        <w:pStyle w:val="TextoNormal"/>
      </w:pPr>
      <w:r>
        <w:t xml:space="preserve">Más bien al contrario, se incorpora a la ley el criterio, que hasta ahora aparecía en el art. 4 d) del Reglamento de 1989, de que las dunas formarán parte de la playa “hasta el límite que resulte necesario para garantizar la estabilidad de la playa”. A lo que hay que añadir que el concepto de duna sigue incluyendo a las que tengan o no vegetación, y a las que se formen por cualquier causa, ya que la definición acaba con la expresión “por otras causas”, que no es más que un </w:t>
      </w:r>
      <w:r w:rsidRPr="00AC56D6">
        <w:rPr>
          <w:i/>
        </w:rPr>
        <w:t>numerus apertus</w:t>
      </w:r>
      <w:r>
        <w:t>. El razonamiento de la recurrente no se compadece con el propio texto normativo que impugna, que en este punto es perfectamente respetuoso con el texto constitucional.</w:t>
      </w:r>
    </w:p>
    <w:p w:rsidR="00AC56D6" w:rsidRDefault="00AC56D6" w:rsidP="00AC56D6">
      <w:pPr>
        <w:pStyle w:val="TextoNormal"/>
      </w:pPr>
    </w:p>
    <w:p w:rsidR="00AC56D6" w:rsidRDefault="00AC56D6" w:rsidP="00AC56D6">
      <w:pPr>
        <w:pStyle w:val="TextoNormal"/>
      </w:pPr>
      <w:r>
        <w:t>e) El art. 23.3 prevé la posibilidad de que se reduzca la servidumbre de protección hasta un mínimo de 20 metros en los tramos alejados de la desembocadura, por las razones justificadas en la exposición de motivos, cuyo valor jurídico (STC 31/2010, FJ 7) descarta un comportamiento del legislador arbitrario e injustificado. Las condiciones que se establecen garantizan la protección de lugares especialmente valiosos o vulnerables, de modo que no afecta a los valores ambientales susceptibles de protección, y el acuerdo interadministrativo asegura la correcta ponderación de todos los intereses en presencia.</w:t>
      </w:r>
    </w:p>
    <w:p w:rsidR="00AC56D6" w:rsidRDefault="00AC56D6" w:rsidP="00AC56D6">
      <w:pPr>
        <w:pStyle w:val="TextoNormal"/>
      </w:pPr>
    </w:p>
    <w:p w:rsidR="00AC56D6" w:rsidRDefault="00AC56D6" w:rsidP="00AC56D6">
      <w:pPr>
        <w:pStyle w:val="TextoNormal"/>
      </w:pPr>
      <w:r>
        <w:t>Tal regulación no es incongruente con la definición del dominio público marítimo-terrestre, ya que se trata de los terrenos colindantes al mismo, en los que el Estado delimita los mecanismos de protección. La STC 198/1991, FJ 8, que se remite al FJ 8 D) de la STC 149/1991, valida la remisión reglamentaria en la regulación de la servidumbre de protección, incluso en aquellos casos en que se produce una reducción de ésta (en terrenos calificados como urbanos).</w:t>
      </w:r>
    </w:p>
    <w:p w:rsidR="00AC56D6" w:rsidRDefault="00AC56D6" w:rsidP="00AC56D6">
      <w:pPr>
        <w:pStyle w:val="TextoNormal"/>
      </w:pPr>
    </w:p>
    <w:p w:rsidR="00AC56D6" w:rsidRDefault="00AC56D6" w:rsidP="00AC56D6">
      <w:pPr>
        <w:pStyle w:val="TextoNormal"/>
      </w:pPr>
      <w:r>
        <w:t>f) Del régimen de usos y prohibiciones en la zona de servidumbre de protección, regulado en el art. 25 LC, el recurso no ofrece argumento alguno respecto de la impugnación del art. 25.2 (régimen de actividades y usos permitidos), que en todo caso carece de sentido, pues lo único que ha hecho el legislador de 2013 es ampliar una numeración meramente ejemplificativa.</w:t>
      </w:r>
    </w:p>
    <w:p w:rsidR="00AC56D6" w:rsidRDefault="00AC56D6" w:rsidP="00AC56D6">
      <w:pPr>
        <w:pStyle w:val="TextoNormal"/>
      </w:pPr>
    </w:p>
    <w:p w:rsidR="00AC56D6" w:rsidRDefault="00AC56D6" w:rsidP="00AC56D6">
      <w:pPr>
        <w:pStyle w:val="TextoNormal"/>
      </w:pPr>
      <w:r>
        <w:t xml:space="preserve">En cuanto a los arts. 25.1 c) y 4, lo crucial para que se permita la obra, instalación o actividad es que “por su naturaleza no pueda tener otra ubicación”. Respecto del resto, el argumento de los recurrentes vuelve a ser en este punto meramente cuantitativo, bajo el </w:t>
      </w:r>
      <w:r>
        <w:lastRenderedPageBreak/>
        <w:t>presupuesto de que cuantas más prohibiciones existan, mejor estará protegido el dominio público marítimo-terrestre. No explican si los tipos de explotación de áridos no prohibidos pueden afectar de algún modo a la dinámica litoral, o por qué la admisión excepcional de publicidad puede afectar a la protección del litoral.</w:t>
      </w:r>
    </w:p>
    <w:p w:rsidR="00AC56D6" w:rsidRDefault="00AC56D6" w:rsidP="00AC56D6">
      <w:pPr>
        <w:pStyle w:val="TextoNormal"/>
      </w:pPr>
    </w:p>
    <w:p w:rsidR="00AC56D6" w:rsidRDefault="00AC56D6" w:rsidP="00AC56D6">
      <w:pPr>
        <w:pStyle w:val="TextoNormal"/>
      </w:pPr>
      <w:r>
        <w:t>g) El nuevo art. 33.6 diferencia entre los tramos urbanos y naturales de las playas a los efectos de regular su ocupación, de modo que ésta responda a sus particularidades. Tal clasificación no afecta a las potestades de ordenación del litoral ni de urbanismo de las Comunidades Autónomas. Como explica la exposición de motivos —con el ya expresado valor jurídico que les ha conferido la jurisprudencia constitucional—, será la clasificación del suelo contiguo a las playas la que determinará la condición de éstas a efectos de la regulación de usos que prevea la normativa de costas.</w:t>
      </w:r>
    </w:p>
    <w:p w:rsidR="00AC56D6" w:rsidRDefault="00AC56D6" w:rsidP="00AC56D6">
      <w:pPr>
        <w:pStyle w:val="TextoNormal"/>
      </w:pPr>
    </w:p>
    <w:p w:rsidR="00AC56D6" w:rsidRDefault="00AC56D6" w:rsidP="00AC56D6">
      <w:pPr>
        <w:pStyle w:val="TextoNormal"/>
      </w:pPr>
      <w:r>
        <w:t>Lo esencial de la clasificación de los tramos de playa en urbanos y naturales es que se hace a efectos de ordenar y proteger dominio público marítimo-terrestre, correspondiendo al reglamento señalar su régimen de ocupación. A falta de este desarrollo reglamentario, cuyo enjuiciamiento en su caso corresponderá a la jurisdicción ordinaria, la Ley tolera una ocupación más intensa en las playas urbanas con plena garantía del uso común y restringiendo las ocupaciones de las playas naturales. La inconstitucionalidad que se le imputa derivaría de una eventual falta de concreción legal, que no puede fundar la inconstitucionalidad del precepto.</w:t>
      </w:r>
    </w:p>
    <w:p w:rsidR="00AC56D6" w:rsidRDefault="00AC56D6" w:rsidP="00AC56D6">
      <w:pPr>
        <w:pStyle w:val="TextoNormal"/>
      </w:pPr>
    </w:p>
    <w:p w:rsidR="00AC56D6" w:rsidRDefault="00AC56D6" w:rsidP="00AC56D6">
      <w:pPr>
        <w:pStyle w:val="TextoNormal"/>
      </w:pPr>
      <w:r>
        <w:t xml:space="preserve">h) Mediante la modificación de los apartados 2 y 3 de la disposición transitoria primera LC 1988, se reconoce un derecho de concesión </w:t>
      </w:r>
      <w:r w:rsidRPr="00AC56D6">
        <w:rPr>
          <w:i/>
        </w:rPr>
        <w:t>ex lege</w:t>
      </w:r>
      <w:r>
        <w:t xml:space="preserve"> a los titulares de terrenos en zona marítimo-terrestre o playa (enclaves privados), que mantenían su propiedad al amparo del art. 6.3 de la Ley de costas de 1969.</w:t>
      </w:r>
    </w:p>
    <w:p w:rsidR="00AC56D6" w:rsidRDefault="00AC56D6" w:rsidP="00AC56D6">
      <w:pPr>
        <w:pStyle w:val="TextoNormal"/>
      </w:pPr>
    </w:p>
    <w:p w:rsidR="00AC56D6" w:rsidRDefault="00AC56D6" w:rsidP="00AC56D6">
      <w:pPr>
        <w:pStyle w:val="TextoNormal"/>
      </w:pPr>
      <w:r>
        <w:t>La reforma corrige en parte la diferencia entre terrenos de propiedad particular en virtud de sentencia firme (apartado 1) o adquiridos al amparo del art. 34 de la Ley hipotecaria (apartado 2), pero respetando la consideración que en su momento hizo la STC 149/1991, FJ 8, dando por bueno el diferente trato a uno y otro supuesto.</w:t>
      </w:r>
    </w:p>
    <w:p w:rsidR="00AC56D6" w:rsidRDefault="00AC56D6" w:rsidP="00AC56D6">
      <w:pPr>
        <w:pStyle w:val="TextoNormal"/>
      </w:pPr>
    </w:p>
    <w:p w:rsidR="00AC56D6" w:rsidRDefault="00AC56D6" w:rsidP="00AC56D6">
      <w:pPr>
        <w:pStyle w:val="TextoNormal"/>
      </w:pPr>
      <w:r>
        <w:t xml:space="preserve">Esta modificación no es arbitraria ni afecta a la seguridad jurídica, puesto que se hace a través de la modificación de la disposición transitoria primera LC 1988, lo que permite entender que los titulares de estos terrenos son titulares de este derecho de ocupación y aprovechamiento desde la entrada en vigor de la Ley de costas de 1988, momento en el que ha de fijarse el </w:t>
      </w:r>
      <w:r w:rsidRPr="00AC56D6">
        <w:rPr>
          <w:i/>
        </w:rPr>
        <w:t>dies a quo</w:t>
      </w:r>
      <w:r>
        <w:t xml:space="preserve"> de la concesión que esta disposición les otorga. Se trata de una aplicación favorable a quienes, bajo el régimen jurídico anterior, no pudieron beneficiarse de un derecho de ocupación, pero que tampoco les coloca en una situación más favorable que a quienes se les aplicó aquella regla.</w:t>
      </w:r>
    </w:p>
    <w:p w:rsidR="00AC56D6" w:rsidRDefault="00AC56D6" w:rsidP="00AC56D6">
      <w:pPr>
        <w:pStyle w:val="TextoNormal"/>
      </w:pPr>
    </w:p>
    <w:p w:rsidR="00AC56D6" w:rsidRDefault="00AC56D6" w:rsidP="00AC56D6">
      <w:pPr>
        <w:pStyle w:val="TextoNormal"/>
      </w:pPr>
      <w:r>
        <w:t>Tampoco se altera el carácter compensatorio con que el Tribunal Constitucional ha caracterizado a las concesiones dimanantes de esta disposición transitoria.</w:t>
      </w:r>
    </w:p>
    <w:p w:rsidR="00AC56D6" w:rsidRDefault="00AC56D6" w:rsidP="00AC56D6">
      <w:pPr>
        <w:pStyle w:val="TextoNormal"/>
      </w:pPr>
    </w:p>
    <w:p w:rsidR="00AC56D6" w:rsidRDefault="00AC56D6" w:rsidP="00AC56D6">
      <w:pPr>
        <w:pStyle w:val="TextoNormal"/>
      </w:pPr>
      <w:r>
        <w:t xml:space="preserve">La STEDH de 29 de marzo de 2010, caso </w:t>
      </w:r>
      <w:r w:rsidRPr="00AC56D6">
        <w:rPr>
          <w:i/>
        </w:rPr>
        <w:t>Depalle vs. Francia</w:t>
      </w:r>
      <w:r>
        <w:t xml:space="preserve">, citada por los recurrentes, lejos de indicar lo que éstos señalan, fija unos criterios que validan el contenido de la disposición impugnada: (i) considera que el derecho de uso o aprovechamiento sobre el dominio público se integra dentro del concepto de “bienes” del art. 1 del Protocolo (62 y 68); (ii) </w:t>
      </w:r>
      <w:r>
        <w:lastRenderedPageBreak/>
        <w:t>reconoce que es competencia del Estado la fijación de la política de protección del medio ambiente (81); (iii) desestima la queja por considerar que el demandante conocía el régimen jurídico que regulaba su derecho, en este caso el carácter de dominio público del terreno ocupado y la avocación a la desaparición de su derecho (79 y 86) y (iv) se trataba de una concesión de antigüedad superior a un siglo, sin que la larga duración varíe el carácter demanial del bien y su avocación a ser reintegrado en el dominio público, ni su régimen jurídico sometido a lo que, en cada momento histórico, fije el legislador (80).</w:t>
      </w:r>
    </w:p>
    <w:p w:rsidR="00AC56D6" w:rsidRDefault="00AC56D6" w:rsidP="00AC56D6">
      <w:pPr>
        <w:pStyle w:val="TextoNormal"/>
      </w:pPr>
    </w:p>
    <w:p w:rsidR="00AC56D6" w:rsidRDefault="00AC56D6" w:rsidP="00AC56D6">
      <w:pPr>
        <w:pStyle w:val="TextoNormal"/>
      </w:pPr>
      <w:r>
        <w:t>i) Los recurrentes consideran que el nuevo apartado 5 de la disposición transitoria primera LC 1988 vulnera el art. 132 CE, por excluir terrenos “aun cuando sean naturalmente inundables”, que en su criterio forman parte del dominio público natural o necesario, al formar parte de la zona marítimo-terrestre.</w:t>
      </w:r>
    </w:p>
    <w:p w:rsidR="00AC56D6" w:rsidRDefault="00AC56D6" w:rsidP="00AC56D6">
      <w:pPr>
        <w:pStyle w:val="TextoNormal"/>
      </w:pPr>
    </w:p>
    <w:p w:rsidR="00AC56D6" w:rsidRDefault="00AC56D6" w:rsidP="00AC56D6">
      <w:pPr>
        <w:pStyle w:val="TextoNormal"/>
      </w:pPr>
      <w:r>
        <w:t>La interpretación del inciso es otra: la exclusión del dominio público se producirá aunque después de las obras e instalaciones artificiales los terrenos se inunden naturalmente. Se trata de aclarar que, tras la deliberada y autorizada actuación del hombre dirigida a inundar unos terrenos, una vez que esta inundación se produce, no cabe aplicar la regla de la penetración natural del agua para convertirlos en demaniales.</w:t>
      </w:r>
    </w:p>
    <w:p w:rsidR="00AC56D6" w:rsidRDefault="00AC56D6" w:rsidP="00AC56D6">
      <w:pPr>
        <w:pStyle w:val="TextoNormal"/>
      </w:pPr>
    </w:p>
    <w:p w:rsidR="00AC56D6" w:rsidRDefault="00AC56D6" w:rsidP="00AC56D6">
      <w:pPr>
        <w:pStyle w:val="TextoNormal"/>
      </w:pPr>
      <w:r>
        <w:t>Estas exclusiones no afectan al concepto natural o necesario de dominio público porque tanto la regla general [arts. 3.1 a) y 4.3] como la transitoria se refieren a terrenos que nunca fueron de dominio público; en el supuesto de la disposición transitoria, nunca antes del 29 de julio de 1988. En cualquier caso, una vez que se produzca la exclusión, estos bienes dejarán de ser de dominio público, no estarán en la zona marítimo-terrestre, y deberán deslindarse adecuadamente; por consiguiente, no pueden considerarse enclaves privados dentro del dominio público, a la luz del art. 9.1 LC.</w:t>
      </w:r>
    </w:p>
    <w:p w:rsidR="00AC56D6" w:rsidRDefault="00AC56D6" w:rsidP="00AC56D6">
      <w:pPr>
        <w:pStyle w:val="TextoNormal"/>
      </w:pPr>
    </w:p>
    <w:p w:rsidR="00AC56D6" w:rsidRDefault="00AC56D6" w:rsidP="00AC56D6">
      <w:pPr>
        <w:pStyle w:val="TextoNormal"/>
      </w:pPr>
      <w:r>
        <w:t>j) La nueva redacción de la disposición transitoria cuarta LC 1988 permite realizar obras de reparación, mejora, consolidación y modernización en las obras que hayan sido legalizadas, construidas o que hayan podido construirse al amparo de licencia municipal otorgada con anterioridad a la entrada en vigor de la Ley de costas de 1988, siempre que no impliquen un aumento de volumen, altura ni superficie.</w:t>
      </w:r>
    </w:p>
    <w:p w:rsidR="00AC56D6" w:rsidRDefault="00AC56D6" w:rsidP="00AC56D6">
      <w:pPr>
        <w:pStyle w:val="TextoNormal"/>
      </w:pPr>
    </w:p>
    <w:p w:rsidR="00AC56D6" w:rsidRDefault="00AC56D6" w:rsidP="00AC56D6">
      <w:pPr>
        <w:pStyle w:val="TextoNormal"/>
      </w:pPr>
      <w:r>
        <w:t>Este cambio normativo no puede observarse en términos de una mayor relajación de la protección, ni de prevalencia del interés privado o particular frente al general. Tanto antes como después de la reforma, las edificaciones en dominio público iban a permanecer hasta la finalización del plazo de concesión, y las situadas en servidumbre de protección (dominio particular), de manera indefinida. La diferencia es que podrán realizarse más obras que las permitidas por la Ley de costas antes de la reforma. Pero esta nueva posibilidad no afecta a la protección del dominio público marítimo-terrestre ni a la garantía de su uso público, puesto que en los bienes que ocupan el dominio público subsiste en todo caso la limitación del plazo concesional.</w:t>
      </w:r>
    </w:p>
    <w:p w:rsidR="00AC56D6" w:rsidRDefault="00AC56D6" w:rsidP="00AC56D6">
      <w:pPr>
        <w:pStyle w:val="TextoNormal"/>
      </w:pPr>
    </w:p>
    <w:p w:rsidR="00AC56D6" w:rsidRDefault="00AC56D6" w:rsidP="00AC56D6">
      <w:pPr>
        <w:pStyle w:val="TextoNormal"/>
      </w:pPr>
      <w:r>
        <w:t>La mera discrepancia con el criterio del legislador de 2013, en cuanto concierne al tipo de obras permitidas y al instrumento de intervención administrativa elegido, no constituye motivo para declarar la inconstitucionalidad de la norma.</w:t>
      </w:r>
    </w:p>
    <w:p w:rsidR="00AC56D6" w:rsidRDefault="00AC56D6" w:rsidP="00AC56D6">
      <w:pPr>
        <w:pStyle w:val="TextoNormal"/>
      </w:pPr>
    </w:p>
    <w:p w:rsidR="00AC56D6" w:rsidRDefault="00AC56D6" w:rsidP="00AC56D6">
      <w:pPr>
        <w:pStyle w:val="TextoNormal"/>
      </w:pPr>
      <w:r>
        <w:lastRenderedPageBreak/>
        <w:t>Debe subrayarse, igualmente, que el apartado 3 introduce un mecanismo de protección ambiental, ya que exige que estas obras impliquen una mejora en la eficiencia energética y ahorro de agua, requisitos que claramente constituyen una mejor protección del dominio público marítimo-terrestre.</w:t>
      </w:r>
    </w:p>
    <w:p w:rsidR="00AC56D6" w:rsidRDefault="00AC56D6" w:rsidP="00AC56D6">
      <w:pPr>
        <w:pStyle w:val="TextoNormal"/>
      </w:pPr>
    </w:p>
    <w:p w:rsidR="00AC56D6" w:rsidRDefault="00AC56D6" w:rsidP="00AC56D6">
      <w:pPr>
        <w:pStyle w:val="TextoNormal"/>
      </w:pPr>
      <w:r>
        <w:t xml:space="preserve">k) Las urbanizaciones marítimo-terrestres estaban reguladas anteriormente por el art. 43.6 del Reglamento de la Ley de costas de 1989 y ahora por la disposición adicional décima LC, introducida por el art. 1.41 de la Ley 2/2013. Se declara expresamente que los canales navegables serán de dominio público, en coherencia con el art. 4.3 a) LC. En lo demás, la Ley no introduce cambios sustanciales, salvo la exclusión del dominio público de los llamados garajes o estacionamientos náuticos, sean individuales o colectivos. Esta exclusión no es incompatible con la </w:t>
      </w:r>
      <w:r w:rsidRPr="00AC56D6">
        <w:rPr>
          <w:i/>
        </w:rPr>
        <w:t>ratio</w:t>
      </w:r>
      <w:r>
        <w:t xml:space="preserve"> en virtud de la cual los canales navegables se declaran demaniales, puesto que en los espacios excluidos no se navega y en consecuencia, no son de uso público.</w:t>
      </w:r>
    </w:p>
    <w:p w:rsidR="00AC56D6" w:rsidRDefault="00AC56D6" w:rsidP="00AC56D6">
      <w:pPr>
        <w:pStyle w:val="TextoNormal"/>
      </w:pPr>
    </w:p>
    <w:p w:rsidR="00AC56D6" w:rsidRDefault="00AC56D6" w:rsidP="00AC56D6">
      <w:pPr>
        <w:pStyle w:val="TextoNormal"/>
      </w:pPr>
      <w:r>
        <w:t>A su vez, el reconocimiento de un derecho de uso de los amarres situados frente a las viviendas contiguas a los canales navegables, vinculado a la propiedad de éstas, no afecta ni interfiere con la navegación y el uso público de los canales, puesto que implica sólo un aprovechamiento privativo mínimo de la superficie navegable del canal. Este derecho de uso pretende garantizar el funcionamiento ordenado de las urbanizaciones marítimo-terrestres, que por su propia naturaleza exigen que las casas colindantes puedan usar los amarres. El derecho de uso parte de la naturaleza demanial del canal navegable y de la ocupación de una parte del mismo para poder sujetar una embarcación. Se trata de un derecho accesorio a la propiedad de la vivienda colindante al canal navegable, con un aprovechamiento privativo de una parte mínima del mismo. No se entrega un bien de dominio público al tráfico jurídico-privado, puesto que no se excluye su carácter demanial.</w:t>
      </w:r>
    </w:p>
    <w:p w:rsidR="00AC56D6" w:rsidRDefault="00AC56D6" w:rsidP="00AC56D6">
      <w:pPr>
        <w:pStyle w:val="TextoNormal"/>
      </w:pPr>
    </w:p>
    <w:p w:rsidR="00AC56D6" w:rsidRDefault="00AC56D6" w:rsidP="00AC56D6">
      <w:pPr>
        <w:pStyle w:val="TextoNormal"/>
      </w:pPr>
      <w:r>
        <w:t>En todo caso, esta regulación no prejuzga la situación jurídica de las urbanizaciones marítimo-terrestres que puedan existir. Sólo se aplicará a las construidas sobre terrenos que no eran de dominio público, puesto que los terrenos demaniales ocupados en virtud del correspondiente título no perderán esa condición.</w:t>
      </w:r>
    </w:p>
    <w:p w:rsidR="00AC56D6" w:rsidRDefault="00AC56D6" w:rsidP="00AC56D6">
      <w:pPr>
        <w:pStyle w:val="TextoNormal"/>
      </w:pPr>
    </w:p>
    <w:p w:rsidR="00AC56D6" w:rsidRDefault="00AC56D6" w:rsidP="00AC56D6">
      <w:pPr>
        <w:pStyle w:val="TextoNormal"/>
      </w:pPr>
      <w:r>
        <w:t>La regulación tampoco agota la disciplina de esta figura urbanística, sino que su desarrollo corresponderá a las Comunidades Autónomas en virtud de sus competencias en materia de ordenación del territorio y urbanismo y de puertos que no sean de interés general. La construcción de estas urbanizaciones se sujetará a la legislación aplicable, incluida la correspondiente evaluación ambiental. No se trasladan indebidamente competencias a la Administración urbanística, pues se determina la necesaria intervención de la Administración de costas para autorizar las obras y otorgar, si fuera necesario, el título de ocupación.</w:t>
      </w:r>
    </w:p>
    <w:p w:rsidR="00AC56D6" w:rsidRDefault="00AC56D6" w:rsidP="00AC56D6">
      <w:pPr>
        <w:pStyle w:val="TextoNormal"/>
      </w:pPr>
    </w:p>
    <w:p w:rsidR="00AC56D6" w:rsidRDefault="00AC56D6" w:rsidP="00AC56D6">
      <w:pPr>
        <w:pStyle w:val="TextoNormal"/>
      </w:pPr>
      <w:r>
        <w:t>l) La prórroga de las concesiones y de los derechos de ocupación y aprovechamiento, prevista en el art. 2 de la Ley 2/2013, está detalladamente justificada en la exposición de motivos, lo que impide que la medida pueda ser calificada de arbitraria.</w:t>
      </w:r>
    </w:p>
    <w:p w:rsidR="00AC56D6" w:rsidRDefault="00AC56D6" w:rsidP="00AC56D6">
      <w:pPr>
        <w:pStyle w:val="TextoNormal"/>
      </w:pPr>
    </w:p>
    <w:p w:rsidR="00AC56D6" w:rsidRDefault="00AC56D6" w:rsidP="00AC56D6">
      <w:pPr>
        <w:pStyle w:val="TextoNormal"/>
      </w:pPr>
      <w:r>
        <w:t xml:space="preserve">Los recurrentes consideran que la Ley de costas de 1988 dijo la última palabra sobre el régimen jurídico de la costa española, de suerte que no cabe admitir que se varíe la duración de las ocupaciones y el régimen jurídico al que las sometió. Esta concepción no puede admitirse porque, por pura lógica, una ley no puede vincular al legislador futuro, que siempre </w:t>
      </w:r>
      <w:r>
        <w:lastRenderedPageBreak/>
        <w:t>será libre de introducir las modificaciones que estime, dentro del respeto a la Constitución. Existen precedentes legislativos (v.gr. la Ley 48/2003, de 26 de noviembre, de régimen económico y de prestación de servicios de los puertos de interés general).</w:t>
      </w:r>
    </w:p>
    <w:p w:rsidR="00AC56D6" w:rsidRDefault="00AC56D6" w:rsidP="00AC56D6">
      <w:pPr>
        <w:pStyle w:val="TextoNormal"/>
      </w:pPr>
    </w:p>
    <w:p w:rsidR="00AC56D6" w:rsidRDefault="00AC56D6" w:rsidP="00AC56D6">
      <w:pPr>
        <w:pStyle w:val="TextoNormal"/>
      </w:pPr>
      <w:r>
        <w:t>Conviene destacar la garantía ambiental que se incorpora, puesto que la prórroga de las concesiones que amparen ocupaciones para usos destinados a las instalaciones e industrias incluidas en el ámbito de aplicación de la Ley 16/2002, de 1 de julio, de prevención y control integrados de la contaminación, se someterán a un informe ambiental determinante, que deberá pronunciarse sobre los efectos que la ocupación tiene para el medio ambiente, pudiendo incluir las condiciones que debe contemplar la concesión para garantizar una adecuada protección del medio.</w:t>
      </w:r>
    </w:p>
    <w:p w:rsidR="00AC56D6" w:rsidRDefault="00AC56D6" w:rsidP="00AC56D6">
      <w:pPr>
        <w:pStyle w:val="TextoNormal"/>
      </w:pPr>
    </w:p>
    <w:p w:rsidR="00AC56D6" w:rsidRDefault="00AC56D6" w:rsidP="00AC56D6">
      <w:pPr>
        <w:pStyle w:val="TextoNormal"/>
      </w:pPr>
      <w:r>
        <w:t>El recurso no discute tanto la existencia de la prórroga como su duración. El plazo máximo de la prórroga se iguala al plazo máximo de las concesiones, que tras la reforma operada por la Ley 2/2013 pasa a ser de setenta y cinco años, igual que el plazo previsto en la Ley de patrimonio de las Administraciones públicas (artículo 93.3) o en el texto refundido de la Ley de aguas (artículo 59.4), respecto del que se ha pronunciado la STC 227/1988, FJ 11. Es este plazo máximo el que debe ser enjuiciado aisladamente, puesto que no cabe sumarle los plazos de la concesión prevista en la disposición transitoria primera LC en compensación por la privación de la propiedad privada que supuso la Ley de costas de 1988. El artículo 2.5 confirma que, saldada ya la compensación por el Estado, pasarán a ser concesiones de régimen general, y entre otras cosas estarán obligadas a pagar el correspondiente canon.</w:t>
      </w:r>
    </w:p>
    <w:p w:rsidR="00AC56D6" w:rsidRDefault="00AC56D6" w:rsidP="00AC56D6">
      <w:pPr>
        <w:pStyle w:val="TextoNormal"/>
      </w:pPr>
    </w:p>
    <w:p w:rsidR="00AC56D6" w:rsidRDefault="00AC56D6" w:rsidP="00AC56D6">
      <w:pPr>
        <w:pStyle w:val="TextoNormal"/>
      </w:pPr>
      <w:r>
        <w:t xml:space="preserve">No se aprecia la infracción del art. 38 CE, que el recurso conecta a la Directiva 2006/123, relativa a los servicios en el mercado interior, porque las concesiones demaniales no comparten la naturaleza de las autorizaciones de actividad. Las concesiones previstas en la Ley de costas, prorrogadas o no, constituyen un título para ocupar el dominio público, que </w:t>
      </w:r>
      <w:r w:rsidRPr="00AC56D6">
        <w:rPr>
          <w:i/>
        </w:rPr>
        <w:t>per se</w:t>
      </w:r>
      <w:r>
        <w:t xml:space="preserve"> no autoriza ninguna actividad; simplemente habilita a ocupar privativamente el dominio público. La Ley de costas diferencia claramente el régimen de ocupación, sujeto a concesión, de las autorizaciones o concesiones propias de la actividad (arts. 8.2, 65, 70.2). Debe señalarse también que las ocupaciones amparadas por una concesión no se destinan siempre a actividades lucrativas o a la prestación de servicios, sino que en muchos casos su fin es residencial.</w:t>
      </w:r>
    </w:p>
    <w:p w:rsidR="00AC56D6" w:rsidRDefault="00AC56D6" w:rsidP="00AC56D6">
      <w:pPr>
        <w:pStyle w:val="TextoNormal"/>
      </w:pPr>
    </w:p>
    <w:p w:rsidR="00AC56D6" w:rsidRDefault="00AC56D6" w:rsidP="00AC56D6">
      <w:pPr>
        <w:pStyle w:val="TextoNormal"/>
      </w:pPr>
      <w:r>
        <w:t>El régimen general previsto en la Ley de costas configura la concesión como un acto discrecional (art. 67) y no como acto reglado, sin que exista un derecho subjetivo a obtener una concesión en dominio público. La Ley de costas prevé como potestativa la convocatoria de un procedimiento de concurrencia competitiva para otorgar concesiones y autorizaciones (art. 75.1).</w:t>
      </w:r>
    </w:p>
    <w:p w:rsidR="00AC56D6" w:rsidRDefault="00AC56D6" w:rsidP="00AC56D6">
      <w:pPr>
        <w:pStyle w:val="TextoNormal"/>
      </w:pPr>
    </w:p>
    <w:p w:rsidR="00AC56D6" w:rsidRDefault="00AC56D6" w:rsidP="00AC56D6">
      <w:pPr>
        <w:pStyle w:val="TextoNormal"/>
      </w:pPr>
      <w:r>
        <w:t>El aumento de la duración de la concesión no supone por sí mismo la preterición del interés público o general en favor de intereses particulares. Lo impide la propia naturaleza del dominio público, que no desaparece por su uso privativo. El derecho de ocupación puede extinguirse si concurrieran las causas previstas en el art. 78 LC, que corroboran que el interés público se encuentra debidamente tutelado; en el bien entendido de que el interés público no siempre es el uso común y general, pues no es ésta la concepción que deriva del art. 128 CE, ni de la conocida como Constitución económica.</w:t>
      </w:r>
    </w:p>
    <w:p w:rsidR="00AC56D6" w:rsidRDefault="00AC56D6" w:rsidP="00AC56D6">
      <w:pPr>
        <w:pStyle w:val="TextoNormal"/>
      </w:pPr>
    </w:p>
    <w:p w:rsidR="00AC56D6" w:rsidRDefault="00AC56D6" w:rsidP="00AC56D6">
      <w:pPr>
        <w:pStyle w:val="TextoNormal"/>
      </w:pPr>
      <w:r>
        <w:t>m) Las disposiciones adicionales segunda, cuarta.4, quinta y sexta de la Ley 2/2013, impugnadas por vulneración del art. 9.3 CE, regulan la práctica de nuevos deslindes conforme a las modificaciones sobre el dominio público marítimo-terrestre que surgen a raíz de la Ley 2/2013, así como el reintegro a los propietarios originarios de los terrenos que, como consecuencia de estas modificaciones, pierdan su condición demanial.</w:t>
      </w:r>
    </w:p>
    <w:p w:rsidR="00AC56D6" w:rsidRDefault="00AC56D6" w:rsidP="00AC56D6">
      <w:pPr>
        <w:pStyle w:val="TextoNormal"/>
      </w:pPr>
    </w:p>
    <w:p w:rsidR="00AC56D6" w:rsidRDefault="00AC56D6" w:rsidP="00AC56D6">
      <w:pPr>
        <w:pStyle w:val="TextoNormal"/>
      </w:pPr>
      <w:r>
        <w:t>El art. 9.3 CE proscribe la retroactividad de las disposiciones sancionadoras no favorables o restrictivas de derechos individuales. Ahora bien, los recurrentes no explican en qué sentido estas disposiciones restringen derechos individuales, meramente se limitan a afirmar que es una disposición retroactiva inconstitucional.</w:t>
      </w:r>
    </w:p>
    <w:p w:rsidR="00AC56D6" w:rsidRDefault="00AC56D6" w:rsidP="00AC56D6">
      <w:pPr>
        <w:pStyle w:val="TextoNormal"/>
      </w:pPr>
    </w:p>
    <w:p w:rsidR="00AC56D6" w:rsidRDefault="00AC56D6" w:rsidP="00AC56D6">
      <w:pPr>
        <w:pStyle w:val="TextoNormal"/>
      </w:pPr>
      <w:r>
        <w:t xml:space="preserve">Las disposiciones recurridas regulan los efectos que se producen como consecuencia de la modificación de un deslinde que afecte a terrenos que, antes de la Ley de costas de 1988, eran de propiedad privada, inscrita en el Registro de la Propiedad. En estos casos, el legislador de 2013 ha optado por mantener la propiedad privada previa que había enervado la declaración de dominio público hecha por la Ley de costas 1988, y concretada en el correspondiente deslinde. Esta opción es constitucionalmente legítima, porque la Ley de costas de 1988, apoyándose en el art. 132.2 CE, reconoció las propiedades privadas preexistentes en la zona marítimo-terrestre y las playas. Lo hizo hasta el punto de considerar que la declaración de dominio sobre esos terrenos debía compensarse con el otorgamiento de un derecho de ocupación sobre los mismos, mecanismo que la STC 149/1991 consideró válido y suficiente como pago a la expropiación </w:t>
      </w:r>
      <w:r w:rsidRPr="00AC56D6">
        <w:rPr>
          <w:i/>
        </w:rPr>
        <w:t>ex lege</w:t>
      </w:r>
      <w:r>
        <w:t xml:space="preserve"> que produjo la Ley de costas de 1988. Si se considerase que el dominio público preexistía, no sólo sería innecesaria la indemnización, sino que sería improcedente, porque la Administración simplemente habría recuperado una propiedad que nunca había dejado de ser suya. No debe perderse de vista que la Ley de costas de 1969, que reconocía los enclaves privados en dominio público marítimo-terrestre, estuvo vigente durante diez años después de la promulgación de la Constitución de 1978. Así las cosas, el reconocimiento pacífico de la preexistencia de propiedades privadas en dominio público marítimo-terrestre por la Ley de costas de 1988 permite que el legislador, ahora, haya tomado la decisión de reintegrar a los antiguos dueños en su propiedad, siempre y cuando tales terrenos hayan sido previamente deslindados; esto es, que la Administración considere que ya no son dominio público.</w:t>
      </w:r>
    </w:p>
    <w:p w:rsidR="00AC56D6" w:rsidRDefault="00AC56D6" w:rsidP="00AC56D6">
      <w:pPr>
        <w:pStyle w:val="TextoNormal"/>
      </w:pPr>
    </w:p>
    <w:p w:rsidR="00AC56D6" w:rsidRDefault="00AC56D6" w:rsidP="00AC56D6">
      <w:pPr>
        <w:pStyle w:val="TextoNormal"/>
      </w:pPr>
      <w:r>
        <w:t>Tampoco se entiende muy bien el razonamiento de los recurrentes al señalar que este reintegro es un acto de liberalidad, una transferencia injustificada de lo público a lo privado. Tal razonamiento rompe con la lógica compensatoria; si esos bienes siguieran en dominio público, sobre ellos existiría un derecho de ocupación otorgado por la propia Ley de costas de 1988 en su disposición transitoria primera, que traería causa precisamente de su derecho dominical, que es justo reintegrar cuando los bienes dejan de ser dominio público.</w:t>
      </w:r>
    </w:p>
    <w:p w:rsidR="00AC56D6" w:rsidRDefault="00AC56D6" w:rsidP="00AC56D6">
      <w:pPr>
        <w:pStyle w:val="TextoNormal"/>
      </w:pPr>
    </w:p>
    <w:p w:rsidR="00AC56D6" w:rsidRDefault="00AC56D6" w:rsidP="00AC56D6">
      <w:pPr>
        <w:pStyle w:val="TextoNormal"/>
      </w:pPr>
      <w:r>
        <w:t>En caso de que, como consecuencia de la revisión de los deslindes, haya terrenos que dejen de ser dominio público sin que antes nadie ostentara su titularidad registral, siguiendo la regla general pasarán a ser bienes patrimoniales del Estado. Y si fueran necesarios para la protección o utilización del dominio público, podrán afectarse a ese uso, tal y como prevé el art. 17 LC.</w:t>
      </w:r>
    </w:p>
    <w:p w:rsidR="00AC56D6" w:rsidRDefault="00AC56D6" w:rsidP="00AC56D6">
      <w:pPr>
        <w:pStyle w:val="TextoNormal"/>
      </w:pPr>
    </w:p>
    <w:p w:rsidR="00AC56D6" w:rsidRDefault="00AC56D6" w:rsidP="00AC56D6">
      <w:pPr>
        <w:pStyle w:val="TextoNormal"/>
      </w:pPr>
      <w:r>
        <w:lastRenderedPageBreak/>
        <w:t>En suma, el reintegro en la propiedad privada de quienes tenían un título inscrito sobre terrenos que han dejado de ser dominio público marítimo-terrestre no se aparta de la lógica de la propia Ley de costas de 1988 ni se opone a la Constitución.</w:t>
      </w:r>
    </w:p>
    <w:p w:rsidR="00AC56D6" w:rsidRDefault="00AC56D6" w:rsidP="00AC56D6">
      <w:pPr>
        <w:pStyle w:val="TextoNormal"/>
      </w:pPr>
    </w:p>
    <w:p w:rsidR="00AC56D6" w:rsidRDefault="00AC56D6" w:rsidP="00AC56D6">
      <w:pPr>
        <w:pStyle w:val="TextoNormal"/>
      </w:pPr>
      <w:r>
        <w:t>n) La disposición adicional cuarta.1 de la Ley 2/2013 fija las reglas para realizar el deslinde de la isla de Formentera, en función de su especial configuración geomorfológica, cuya justificación se especifica en el informe que se adjunta a las alegaciones como documento núm. 1.</w:t>
      </w:r>
    </w:p>
    <w:p w:rsidR="00AC56D6" w:rsidRDefault="00AC56D6" w:rsidP="00AC56D6">
      <w:pPr>
        <w:pStyle w:val="TextoNormal"/>
      </w:pPr>
    </w:p>
    <w:p w:rsidR="00AC56D6" w:rsidRDefault="00AC56D6" w:rsidP="00AC56D6">
      <w:pPr>
        <w:pStyle w:val="TextoNormal"/>
      </w:pPr>
      <w:r>
        <w:t>Esta circunstancia, por sí sola, no implica una vulneración del art. 132.2 CE, puesto que se cumple con la prescripción de que la zona marítimo-terrestre y la playa se incluyan en el dominio público marítimo-terrestre.</w:t>
      </w:r>
    </w:p>
    <w:p w:rsidR="00AC56D6" w:rsidRDefault="00AC56D6" w:rsidP="00AC56D6">
      <w:pPr>
        <w:pStyle w:val="TextoNormal"/>
      </w:pPr>
    </w:p>
    <w:p w:rsidR="00AC56D6" w:rsidRDefault="00AC56D6" w:rsidP="00AC56D6">
      <w:pPr>
        <w:pStyle w:val="TextoNormal"/>
      </w:pPr>
      <w:r>
        <w:t>ñ) La disposición adicional séptima y el anexo de la Ley 2/2013 se impugnan por vulneración del art. 9.3 CE, con escasa argumentación.</w:t>
      </w:r>
    </w:p>
    <w:p w:rsidR="00AC56D6" w:rsidRDefault="00AC56D6" w:rsidP="00AC56D6">
      <w:pPr>
        <w:pStyle w:val="TextoNormal"/>
      </w:pPr>
    </w:p>
    <w:p w:rsidR="00AC56D6" w:rsidRDefault="00AC56D6" w:rsidP="00AC56D6">
      <w:pPr>
        <w:pStyle w:val="TextoNormal"/>
      </w:pPr>
      <w:r>
        <w:t>Las razones de la exclusión aparecen fijadas en la exposición de motivos, cuyo valor jurídico (STC 31/2010) tiene la virtualidad de descartar un comportamiento abusivo o arbitrario e injustificado por parte del Estado. La acreditación de la concurrencia de los requisitos que se deducen de la exposición de motivos en los núcleos de población excluidos se especifica en el informe que se adjunta a las alegaciones como documento núm. 2.</w:t>
      </w:r>
    </w:p>
    <w:p w:rsidR="00AC56D6" w:rsidRDefault="00AC56D6" w:rsidP="00AC56D6">
      <w:pPr>
        <w:pStyle w:val="TextoNormal"/>
      </w:pPr>
    </w:p>
    <w:p w:rsidR="00AC56D6" w:rsidRDefault="00AC56D6" w:rsidP="00AC56D6">
      <w:pPr>
        <w:pStyle w:val="TextoNormal"/>
      </w:pPr>
      <w:r>
        <w:t>El art. 18 LC prevé un procedimiento administrativo de desafectación respecto de los terrenos que hayan perdido las características naturales de playa, acantilado, o zona marítimo- terrestre. Ello prueba que la protección constitucional del dominio público marítimo-terrestre no garantiza, como es lógico, su inmutabilidad física, siendo constitucionalmente posible su exclusión de ese concepto.</w:t>
      </w:r>
    </w:p>
    <w:p w:rsidR="00AC56D6" w:rsidRDefault="00AC56D6" w:rsidP="00AC56D6">
      <w:pPr>
        <w:pStyle w:val="TextoNormal"/>
      </w:pPr>
    </w:p>
    <w:p w:rsidR="00AC56D6" w:rsidRDefault="00AC56D6" w:rsidP="00AC56D6">
      <w:pPr>
        <w:pStyle w:val="TextoNormal"/>
      </w:pPr>
      <w:r>
        <w:t>o) La disposición adicional novena de la Ley 2/2013 se impugna por infracción de los arts. 24 y 117 CE, al considerar que incluye una ley singular, a la que sería de aplicación la doctrina sentada por la STC 129/2013, de 4 de junio.</w:t>
      </w:r>
    </w:p>
    <w:p w:rsidR="00AC56D6" w:rsidRDefault="00AC56D6" w:rsidP="00AC56D6">
      <w:pPr>
        <w:pStyle w:val="TextoNormal"/>
      </w:pPr>
    </w:p>
    <w:p w:rsidR="00AC56D6" w:rsidRDefault="00AC56D6" w:rsidP="00AC56D6">
      <w:pPr>
        <w:pStyle w:val="TextoNormal"/>
      </w:pPr>
      <w:r>
        <w:t>Si bien el derecho a la ejecución de sentencias está integrado en el art. 24 CE, no es un derecho absoluto e incondicionado (STC 166/1998, de 15 de julio, FJ 5). El legislador estatal puede establecer, en el marco de su competencia sobre legislación procesal (art. 149.1.6 CE) una causa de suspensión o aplazamiento de la ejecución de sentencias, condicionando la efectividad de la ejecución judicialmente acordada a la finalización de las circunstancias económicas adversas, sin que aquélla escape al control judicial (ATC 92/2013, de 22 de abril, FJ 6).</w:t>
      </w:r>
    </w:p>
    <w:p w:rsidR="00AC56D6" w:rsidRDefault="00AC56D6" w:rsidP="00AC56D6">
      <w:pPr>
        <w:pStyle w:val="TextoNormal"/>
      </w:pPr>
    </w:p>
    <w:p w:rsidR="00AC56D6" w:rsidRDefault="00AC56D6" w:rsidP="00AC56D6">
      <w:pPr>
        <w:pStyle w:val="TextoNormal"/>
      </w:pPr>
      <w:r>
        <w:t>La disposición impugnada permite que las instalaciones de depuración de aguas residuales de interés general, que deban ser reubicadas en cumplimiento de una resolución judicial, puedan continuar temporalmente su actividad en el mismo emplazamiento. No compromete la ejecución de los fallos judiciales, sino que simplemente arbitra una suspensión temporal, en atención a las circunstancias económicas.</w:t>
      </w:r>
    </w:p>
    <w:p w:rsidR="00AC56D6" w:rsidRDefault="00AC56D6" w:rsidP="00AC56D6">
      <w:pPr>
        <w:pStyle w:val="TextoNormal"/>
      </w:pPr>
    </w:p>
    <w:p w:rsidR="00AC56D6" w:rsidRDefault="00AC56D6" w:rsidP="00AC56D6">
      <w:pPr>
        <w:pStyle w:val="TextoNormal"/>
      </w:pPr>
      <w:r>
        <w:t xml:space="preserve">La norma difiere la ejecución del fallo, pero asegura su cumplimiento. Y permite que sean los tribunales competentes en la ejecución quienes puedan controlar si ya se dan las </w:t>
      </w:r>
      <w:r>
        <w:lastRenderedPageBreak/>
        <w:t>circunstancias para que pueda levantarse la suspensión, que se funda en razones de interés general explicitadas en el propio enunciado normativo, al aludir a las “actuales y extraordinarias circunstancias económicas que fuerzan la restricción del gasto público y las inversiones”, y al aplicar esta suspensión únicamente a las instalaciones que tienen la cualificación legal de interés general.</w:t>
      </w:r>
    </w:p>
    <w:p w:rsidR="00AC56D6" w:rsidRDefault="00AC56D6" w:rsidP="00AC56D6">
      <w:pPr>
        <w:pStyle w:val="TextoNormal"/>
      </w:pPr>
    </w:p>
    <w:p w:rsidR="00AC56D6" w:rsidRDefault="00AC56D6" w:rsidP="00AC56D6">
      <w:pPr>
        <w:pStyle w:val="TextoNormal"/>
      </w:pPr>
      <w:r>
        <w:t>De estas razones expresas se deduce otra no menos importante por estar implícita, que es el riesgo que se padece de que la ejecución del fallo impida la depuración, con las consecuencias ambientales, sociales, jurídicas y económicas que se podrían producir.</w:t>
      </w:r>
    </w:p>
    <w:p w:rsidR="00AC56D6" w:rsidRDefault="00AC56D6" w:rsidP="00AC56D6">
      <w:pPr>
        <w:pStyle w:val="TextoNormal"/>
      </w:pPr>
    </w:p>
    <w:p w:rsidR="00AC56D6" w:rsidRDefault="00AC56D6" w:rsidP="00AC56D6">
      <w:pPr>
        <w:pStyle w:val="TextoNormal"/>
      </w:pPr>
      <w:r>
        <w:t>La STC 129/2013, invocada por el recurso, no tiene nada que ver con un supuesto de suspensión temporal de la ejecución de una sentencia por motivos de interés público.</w:t>
      </w:r>
    </w:p>
    <w:p w:rsidR="00AC56D6" w:rsidRDefault="00AC56D6" w:rsidP="00AC56D6">
      <w:pPr>
        <w:pStyle w:val="TextoNormal"/>
      </w:pPr>
    </w:p>
    <w:p w:rsidR="00AC56D6" w:rsidRDefault="00AC56D6" w:rsidP="00AC56D6">
      <w:pPr>
        <w:pStyle w:val="TextoNormal"/>
      </w:pPr>
      <w:r>
        <w:t>p) La disposición transitoria primera de la Ley 2/2013, impugnada por vulneración del art. 9.3 CE, tiene como antecedentes la disposición transitoria tercera LC, desarrollada por la disposición adicional novena del Reglamento de 1989, validadas respectivamente por las SSTC 149/1991, FJ 8 c) y 198/1991, FJ 8 a).</w:t>
      </w:r>
    </w:p>
    <w:p w:rsidR="00AC56D6" w:rsidRDefault="00AC56D6" w:rsidP="00AC56D6">
      <w:pPr>
        <w:pStyle w:val="TextoNormal"/>
      </w:pPr>
    </w:p>
    <w:p w:rsidR="00AC56D6" w:rsidRDefault="00AC56D6" w:rsidP="00AC56D6">
      <w:pPr>
        <w:pStyle w:val="TextoNormal"/>
      </w:pPr>
      <w:r>
        <w:t>Es criterio jurisprudencial consolidado el que entiende que el carácter urbano de un terreno es una cuestión de carácter fáctico, no jurídico (STS de 17 de noviembre de 2003, FJ 2). La disposición impugnada eleva de rango una previsión ya existente en el reglamento, ampliándola para asegurar la adecuada igualdad entre los particulares afectados por situaciones que expresamente no se encontraban incorporadas a la norma, manteniendo la necesaria delimitación por la Administración urbanística competente, como ya preveía la normativa anterior, que la jurisprudencia constitucional ha considerado respetuosa con el orden constitucional de distribución de competencias.</w:t>
      </w:r>
    </w:p>
    <w:p w:rsidR="00AC56D6" w:rsidRDefault="00AC56D6" w:rsidP="00AC56D6">
      <w:pPr>
        <w:pStyle w:val="TextoNormal"/>
      </w:pPr>
    </w:p>
    <w:p w:rsidR="00AC56D6" w:rsidRDefault="00AC56D6" w:rsidP="00AC56D6">
      <w:pPr>
        <w:pStyle w:val="TextoNormal"/>
      </w:pPr>
      <w:r>
        <w:t xml:space="preserve">Los requisitos que impone esta disposición, orientados a garantizar que se trata de suelo plenamente consolidado por la edificación en 1988, no se hacen a efectos urbanísticos, sino con la finalidad de reducir la servidumbre de protección, y por ello, son de competencia estatal. La disposición atribuye a las Administraciones urbanísticas la facultad de delimitar, en el planeamiento o mediante un acto </w:t>
      </w:r>
      <w:r w:rsidRPr="00AC56D6">
        <w:rPr>
          <w:i/>
        </w:rPr>
        <w:t>ad hoc</w:t>
      </w:r>
      <w:r>
        <w:t>, los núcleos o áreas a los que se les va a aplicar. La Ley distingue claramente las facultades urbanísticas, en este caso las relativas al planeamiento y a la gestión, de las relativas a la protección del dominio público y al estatuto jurídico de la propiedad privada que corresponde ejercer al Estado, como se concluye con toda claridad del papel que la disposición reserva al informe estatal, que deberá únicamente pronunciarse sobre la delimitación y compatibilidad de tales núcleos o áreas con la integridad y defensa del dominio público marítimo-terrestre.</w:t>
      </w:r>
    </w:p>
    <w:p w:rsidR="00AC56D6" w:rsidRDefault="00AC56D6" w:rsidP="00AC56D6">
      <w:pPr>
        <w:pStyle w:val="TextoNormal"/>
      </w:pPr>
    </w:p>
    <w:p w:rsidR="00AC56D6" w:rsidRDefault="00AC56D6" w:rsidP="00AC56D6">
      <w:pPr>
        <w:pStyle w:val="TextoNormal"/>
      </w:pPr>
      <w:r w:rsidRPr="00AC56D6">
        <w:rPr>
          <w:rStyle w:val="NumeroAFNegritaCaracter"/>
        </w:rPr>
        <w:t>6</w:t>
      </w:r>
      <w:r>
        <w:t>. Por providencia de 3 de noviembre de 2015, se señaló para deliberación y votación del presente recurso el día 5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El presente recurso de inconstitucionalidad se interpone por ciento seis diputados del grupo parlamentario Socialista del Congreso de los Diputados contra el art. 1, apartados 2, 3, 10, 11, 12, 39, 40 y 41; el art. 2; las disposiciones adicionales segunda, cuarta, quinta, </w:t>
      </w:r>
      <w:r>
        <w:lastRenderedPageBreak/>
        <w:t>sexta, séptima y novena; la disposición transitoria primera, y el anexo de la Ley 2/2013, de 29 de mayo, de protección y uso sostenible del litoral y de modificación de la Ley 22/1988, de 28 de julio, de costas.</w:t>
      </w:r>
    </w:p>
    <w:p w:rsidR="00AC56D6" w:rsidRDefault="00AC56D6" w:rsidP="00AC56D6">
      <w:pPr>
        <w:pStyle w:val="TextoNormal"/>
      </w:pPr>
    </w:p>
    <w:p w:rsidR="00AC56D6" w:rsidRDefault="00AC56D6" w:rsidP="00AC56D6">
      <w:pPr>
        <w:pStyle w:val="TextoNormal"/>
      </w:pPr>
      <w:r>
        <w:t>En lo sucesivo, las disposiciones afectadas se citarán como Ley 2/2013, LC 1988 (cuando hagamos referencia al texto anterior a la reforma) y LC (cuando se trate del texto vigente tras la reforma).</w:t>
      </w:r>
    </w:p>
    <w:p w:rsidR="00AC56D6" w:rsidRDefault="00AC56D6" w:rsidP="00AC56D6">
      <w:pPr>
        <w:pStyle w:val="TextoNormal"/>
      </w:pPr>
    </w:p>
    <w:p w:rsidR="00AC56D6" w:rsidRDefault="00AC56D6" w:rsidP="00AC56D6">
      <w:pPr>
        <w:pStyle w:val="TextoNormal"/>
      </w:pPr>
      <w:r>
        <w:t>Una exacta delimitación de este proceso exige efectuar dos precisiones.</w:t>
      </w:r>
    </w:p>
    <w:p w:rsidR="00AC56D6" w:rsidRDefault="00AC56D6" w:rsidP="00AC56D6">
      <w:pPr>
        <w:pStyle w:val="TextoNormal"/>
      </w:pPr>
    </w:p>
    <w:p w:rsidR="00AC56D6" w:rsidRDefault="00AC56D6" w:rsidP="00AC56D6">
      <w:pPr>
        <w:pStyle w:val="TextoNormal"/>
      </w:pPr>
      <w:r>
        <w:t>a) Como se desprende del escrito de demanda, las impugnaciones relativas a los apartados de la Ley 2/2013 que modifican la LC 1988 no afectan al íntegro contenido de los preceptos afectados —que como es propio de las leyes modificativas incorporan también la parte no alterada—, sino precisamente a las innovaciones introducidas por esta reforma legal. El objeto de nuestro enjuiciamiento, que necesariamente habrá de coincidir con el alcance de la impugnación, será delimitado en el momento de abordar el análisis pormenorizado de cada precepto.</w:t>
      </w:r>
    </w:p>
    <w:p w:rsidR="00AC56D6" w:rsidRDefault="00AC56D6" w:rsidP="00AC56D6">
      <w:pPr>
        <w:pStyle w:val="TextoNormal"/>
      </w:pPr>
    </w:p>
    <w:p w:rsidR="00AC56D6" w:rsidRDefault="00AC56D6" w:rsidP="00AC56D6">
      <w:pPr>
        <w:pStyle w:val="TextoNormal"/>
      </w:pPr>
      <w:r>
        <w:t>b) En el suplico del escrito de demanda, la impugnación de la disposición adicional cuarta de la Ley 2/2013 se contrae a su apartado 1. No obstante, a la vista de las alegaciones formuladas, tendremos asimismo por impugnado el apartado 4 de esta disposición, en aplicación de la doctrina sentada en la STC 236/2007, de 7 de noviembre, FJ 10: “en relación con el objeto de impugnación de los recursos, este Tribunal afirmó en la STC 233/1999, de 16 de diciembre, que el suplico ‘es la parte decisiva para reconocer y concretar el objeto de todo recurso’ (STC 195/1998, FJ 1), de manera que, en principio, nuestro examen debe contraerse exclusivamente a las disposiciones que en él se contienen. En una interpretación del art. 33 LOTC alejada de rigorismos formales, sin embargo, hemos puntualizado reiteradamente que la no reproducción de un precepto en el suplico no debe constituir obstáculo alguno para entender que ha sido recurrido si dicha omisión puede achacarse a un simple error (SSTC 178/1989, FJ 9; 214/1994, FJ 3), lo que sucederá cuando de las alegaciones expuestas en el cuerpo del recurso se desprenda con toda claridad la voluntad de su impugnación (SSTC 214/1994, FJ 3; 68/1996, FJ 1; 118/1996, FJ 23)” (fundamento jurídico 2).</w:t>
      </w:r>
    </w:p>
    <w:p w:rsidR="00AC56D6" w:rsidRDefault="00AC56D6" w:rsidP="00AC56D6">
      <w:pPr>
        <w:pStyle w:val="TextoNormal"/>
      </w:pPr>
    </w:p>
    <w:p w:rsidR="00AC56D6" w:rsidRDefault="00AC56D6" w:rsidP="00AC56D6">
      <w:pPr>
        <w:pStyle w:val="TextoNormal"/>
      </w:pPr>
      <w:r w:rsidRPr="00AC56D6">
        <w:rPr>
          <w:rStyle w:val="NumeroAFNegritaCaracter"/>
        </w:rPr>
        <w:t>2</w:t>
      </w:r>
      <w:r>
        <w:t>. Las tachas de inconstitucionalidad dirigidas por los recurrentes contra la Ley 2/2013 gravitan principalmente sobre tres preceptos constitucionales: los arts. 132, 45 y 9.3 CE. Por ello procede comenzar fijando las líneas maestras que posteriormente guiarán el examen individualizado de cada impugnación.</w:t>
      </w:r>
    </w:p>
    <w:p w:rsidR="00AC56D6" w:rsidRDefault="00AC56D6" w:rsidP="00AC56D6">
      <w:pPr>
        <w:pStyle w:val="TextoNormal"/>
      </w:pPr>
    </w:p>
    <w:p w:rsidR="00AC56D6" w:rsidRDefault="00AC56D6" w:rsidP="00AC56D6">
      <w:pPr>
        <w:pStyle w:val="TextoNormal"/>
      </w:pPr>
      <w:r>
        <w:t xml:space="preserve">a) Conforme ha razonado la jurisprudencia de este Tribunal, el art. 132.2 CE ha dispuesto “que algunos de los tipos de bienes que doctrinalmente se han definido como pertenecientes al demanio ‘natural’ [la zona marítimo-terrestre, las playas, el mar territorial y los recursos naturales de la zona económica y la plataforma continental] formen parte del dominio público del Estado … la Constitución se está refiriendo no a bienes específicos o singularmente identificados, que pueden ser o no de dominio público en virtud de una afectación singular, sino a tipos o categorías genéricas de bienes definidos según sus características naturales homogéneas … [de modo que] la incorporación de un bien al dominio público supone no tanto una forma específica de apropiación por parte de los poderes públicos, sino una técnica </w:t>
      </w:r>
      <w:r>
        <w:lastRenderedPageBreak/>
        <w:t xml:space="preserve">dirigida primordialmente a excluir el bien afectado del tráfico jurídico privado, protegiéndolo de esta exclusión mediante una serie de reglas exorbitantes de las que son comunes en dicho tráfico </w:t>
      </w:r>
      <w:r w:rsidRPr="00AC56D6">
        <w:rPr>
          <w:i/>
        </w:rPr>
        <w:t>iure privato</w:t>
      </w:r>
      <w:r>
        <w:t>.” (STC 227/1988, de 29 de noviembre, FJ 14).</w:t>
      </w:r>
    </w:p>
    <w:p w:rsidR="00AC56D6" w:rsidRDefault="00AC56D6" w:rsidP="00AC56D6">
      <w:pPr>
        <w:pStyle w:val="TextoNormal"/>
      </w:pPr>
    </w:p>
    <w:p w:rsidR="00AC56D6" w:rsidRDefault="00AC56D6" w:rsidP="00AC56D6">
      <w:pPr>
        <w:pStyle w:val="TextoNormal"/>
      </w:pPr>
      <w:r>
        <w:t>Profundizando en esta idea, la STC 149/1991, de 4 de julio, FJ 1 C) y D) resaltó que la facultad de legislador estatal para definir el dominio público y establecer su régimen jurídico está sujeta a condicionamientos que la propia Constitución establece de modo explícito o que implícita, pero necesariamente, resultan de su interpretación sistemática: “en lo que toca al régimen jurídico de los bienes que integran el dominio público marítimo-terrestre, el legislador no sólo ha de inspirarse en los principios de inalienabilidad, imprescriptibilidad e inembargabilidad, sino que además ha de adoptar todas las medidas que crea necesarias para preservar sus características propias ... En el caso del dominio público marítimo-terrestre se trata además, sin embargo, de una expresa necesidad jurídico-positiva, constitucional, pues como es obvio, el mandato del constituyente quedaría burlado si el legislador obrase de modo tal que, aun reteniendo físicamente en el dominio público del Estado la zona marítimo-terrestre, tolerase que su naturaleza y sus características fueran destruidas o alteradas … Esta naturaleza y estas características de la zona marítimo-terrestre no se reducen, como es bien sabido, al simple hecho físico de ser esa zona el espacio en el que entran en contacto el mar y la tierra. De esa situación derivan una serie de funciones sociales que la Carta Europea del Litoral resume, en el primero de sus apartados, señalando que es esencial para el mantenimiento de los equilibrios naturales que condicionan la vida humana, ocupa un lugar estratégico en el desarrollo económico y en la reestructuración de la economía mundial, es soporte de las actividades económicas y sociales que crean empleo para la población residente, es indispensable para el recreo físico y psíquico de las poblaciones sometidas a la presión creciente de la vida urbana y ocupa un lugar esencial en las satisfacciones estéticas y culturales de la persona humana. Para servir a estas funciones el legislador estatal no sólo está facultado, sino obligado, a proteger el demanio marítimo-terrestre a fin de asegurar tanto el mantenimiento de su integridad física y jurídica, como su uso público y sus valores paisajísticos”.</w:t>
      </w:r>
    </w:p>
    <w:p w:rsidR="00AC56D6" w:rsidRDefault="00AC56D6" w:rsidP="00AC56D6">
      <w:pPr>
        <w:pStyle w:val="TextoNormal"/>
      </w:pPr>
    </w:p>
    <w:p w:rsidR="00AC56D6" w:rsidRDefault="00AC56D6" w:rsidP="00AC56D6">
      <w:pPr>
        <w:pStyle w:val="TextoNormal"/>
      </w:pPr>
      <w:r>
        <w:t>b) Las expresadas finalidades y obligaciones hallan asimismo justificación en el art. 45 CE, cuya singular importancia ha sido puesta de relieve por este Tribunal en numerosas resoluciones (entre otras, SSTC 64/1982, de 2 de noviembre, FJ 2; 199/1996, de 3 de diciembre, FJ 2; 102/1995, de 26 de junio, FFJJ 4 y 7; 73/2000, de 14 de marzo, FJ 12; 247/2007, de 12 de diciembre, FJ 20; 149/2011, de 28 de septiembre, FJ 3; 84/2013, de 11 de abril, FJ 6, y 45/2015, de 5 de marzo, FJ 5).</w:t>
      </w:r>
    </w:p>
    <w:p w:rsidR="00AC56D6" w:rsidRDefault="00AC56D6" w:rsidP="00AC56D6">
      <w:pPr>
        <w:pStyle w:val="TextoNormal"/>
      </w:pPr>
    </w:p>
    <w:p w:rsidR="00AC56D6" w:rsidRDefault="00AC56D6" w:rsidP="00AC56D6">
      <w:pPr>
        <w:pStyle w:val="TextoNormal"/>
      </w:pPr>
      <w:r>
        <w:t xml:space="preserve">El nexo teleológico que une a los arts. 45 y 132 CE fue ya apreciado en la citada STC 227/1988: “a la inclusión genérica de categorías enteras de bienes en el demanio, es decir, en la determinación del llamado dominio público natural, subyacen prioritariamente otros fines constitucionalmente legítimos, vinculados en última instancia a la satisfacción de necesidades colectivas primarias, como, por ejemplo, la que garantiza el art. 45 de la Constitución, o bien a la defensa y utilización racional de la ‘riqueza del país’, en cuanto que subordinada al interés general (art. 128.1 de la Constitución)” (FJ 14). Como igualmente expresamos en la STC 149/1991 y hemos reiterado en la más reciente STC 87/2012, de 18 de abril, “las funciones atribuidas por la Carta europea del litoral a las zonas costeras no sólo facultan, sino que obligan, al legislador estatal a proteger el demanio marítimo-terrestre, a fin de asegurar tanto el mantenimiento de su integridad física y jurídica, como su uso </w:t>
      </w:r>
      <w:r>
        <w:lastRenderedPageBreak/>
        <w:t>público y sus valores paisajísticos (tal y como exigiría el propio art. 45 CE)” (FJ 4). Hemos apreciado esta misma conexión sistemática desde la perspectiva opuesta —la protección del medio ambiente— al resaltar “la importancia de estos bienes [entre ellos, las riberas del mar] para el interés general, valor colectivo donde estriba el fundamento de su calificación jurídica como públicos y de la adscripción de su dominio al Estado” (STC 102/1995, FJ 20).</w:t>
      </w:r>
    </w:p>
    <w:p w:rsidR="00AC56D6" w:rsidRDefault="00AC56D6" w:rsidP="00AC56D6">
      <w:pPr>
        <w:pStyle w:val="TextoNormal"/>
      </w:pPr>
    </w:p>
    <w:p w:rsidR="00AC56D6" w:rsidRDefault="00AC56D6" w:rsidP="00AC56D6">
      <w:pPr>
        <w:pStyle w:val="TextoNormal"/>
      </w:pPr>
      <w:r>
        <w:t>En suma, por imperativo del criterio de unidad de la Constitución, que exige dotar de la mayor fuerza normativa a cada uno de sus preceptos, este Tribunal ha de tener en cuenta también el conjunto de los principios constitucionales de orden material que atañen, directa o indirectamente, a la ordenación y gestión de recursos naturales, que se condensan en el mandato de su utilización racional. Por esta razón, la vinculación entre ambos preceptos constitucionales impone que, entre las diversas interpretaciones posibles del art. 132 CE, debamos respaldar aquellas que razonablemente permitan cumplir el mandato del art. 45 CE y alcanzar los objetivos de protección y mejora de la calidad de vida y defensa y restauración del medio ambiente a los que aquél está inseparablemente vinculado. Así lo señalamos en la STC 227/1988 respecto de la tarea interpretativa de las normas competenciales establecidas en la Constitución y en los Estatutos de Autonomía [FJ 13; reiterada en la STC 30/2011, de 16 de marzo, FJ 5 c)], doctrina que debemos extender ahora a la interpretación sistemática de los arts. 45 y 132 CE, que se erige en paradigma de la estrategia de protección ambiental consistente en sustraer del tráfico privado los bienes que conforman el dominio público marítimo-terrestre natural.</w:t>
      </w:r>
    </w:p>
    <w:p w:rsidR="00AC56D6" w:rsidRDefault="00AC56D6" w:rsidP="00AC56D6">
      <w:pPr>
        <w:pStyle w:val="TextoNormal"/>
      </w:pPr>
    </w:p>
    <w:p w:rsidR="00AC56D6" w:rsidRDefault="00AC56D6" w:rsidP="00AC56D6">
      <w:pPr>
        <w:pStyle w:val="TextoNormal"/>
      </w:pPr>
      <w:r>
        <w:t>c) Ahora bien, el art. 45 CE “enuncia un principio rector, no un derecho fundamental. Los Tribunales deben velar por el respeto al medio ambiente, sin duda, pero ‘de acuerdo con lo que dispongan las leyes’ que desarrollen el precepto constitucional (art. 53.3 CE, SSTC 32/1983, fundamento jurídico 2, 149/1991, fundamento jurídico 1, y 102/1995, fundamentos jurídicos 4-7)’” (STC 199/1996, FJ 3). Conforme a su carácter informador, es el legislador quien ha de determinar las técnicas apropiadas para llevar a cabo la plasmación de ese principio rector en el que la protección del medio ambiente consiste (STC 84/2013, de 11 de abril, FJ 6, y las allí citadas).</w:t>
      </w:r>
    </w:p>
    <w:p w:rsidR="00AC56D6" w:rsidRDefault="00AC56D6" w:rsidP="00AC56D6">
      <w:pPr>
        <w:pStyle w:val="TextoNormal"/>
      </w:pPr>
    </w:p>
    <w:p w:rsidR="00AC56D6" w:rsidRDefault="00AC56D6" w:rsidP="00AC56D6">
      <w:pPr>
        <w:pStyle w:val="TextoNormal"/>
      </w:pPr>
      <w:r>
        <w:t>Tempranamente advirtió este Tribunal que ello no significa que estemos ante normas meramente programáticas, sino que el “reconocimiento, respeto y protección” de los principios rectores de la política social y económica del capítulo III del título I, informarán “la legislación positiva, la práctica judicial y la actuación de los poderes públicos”, según ordena el art. 53.3 de la Constitución. Esta declaración constitucional impide considerar a tales principios como normas sin contenido y obliga a tenerlos presentes en la interpretación tanto de las restantes normas constitucionales como de las leyes (STC 19/1982, de 5 de mayo, FJ 6). O, en otros términos, “al margen de su mayor o menor generalidad de contenido, enuncian proposiciones vinculantes en términos que se desprenden inequívocamente de los arts. 9 y 53 CE” (STC 14/1992, de 10 de febrero, FJ 11).</w:t>
      </w:r>
    </w:p>
    <w:p w:rsidR="00AC56D6" w:rsidRDefault="00AC56D6" w:rsidP="00AC56D6">
      <w:pPr>
        <w:pStyle w:val="TextoNormal"/>
      </w:pPr>
    </w:p>
    <w:p w:rsidR="00AC56D6" w:rsidRDefault="00AC56D6" w:rsidP="00AC56D6">
      <w:pPr>
        <w:pStyle w:val="TextoNormal"/>
      </w:pPr>
      <w:r>
        <w:t>La exégesis de la obligación constitucional de defender y restaurar el medio ambiente o, dicho en otras palabras, la tarea de velar por la garantía del cumplimiento de las obligaciones que dimanan de este precepto constitucional se presenta siempre compleja cuando, como es el caso en este proceso, se alega regresión o involución de los estándares de protección medioambiental previamente establecidos en la esfera de la legislación ordinaria.</w:t>
      </w:r>
    </w:p>
    <w:p w:rsidR="00AC56D6" w:rsidRDefault="00AC56D6" w:rsidP="00AC56D6">
      <w:pPr>
        <w:pStyle w:val="TextoNormal"/>
      </w:pPr>
    </w:p>
    <w:p w:rsidR="00AC56D6" w:rsidRDefault="00AC56D6" w:rsidP="00AC56D6">
      <w:pPr>
        <w:pStyle w:val="TextoNormal"/>
      </w:pPr>
      <w:r>
        <w:lastRenderedPageBreak/>
        <w:t>En términos de la STC 102/1995, de 26 de junio: “[e]l medio ambiente, tal y como ha sido descrito, es un concepto nacido para reconducir a la unidad los diversos componentes de una realidad en peligro. Si éste no se hubiera presentado resultaría inimaginable su aparición por meras razones teóricas, científicas o filosóficas, ni por tanto jurídicas. … Diagnosticada como grave, además, la amenaza que suponen tales agresiones y frente al reto que implica, la reacción ha provocado inmediatamente una simétrica actitud defensiva que en todos los planos jurídicos constitucional, europeo y universal se identifica con la palabra ‘protección’, sustrato de una función cuya finalidad primera ha de ser la ‘conservación’ de lo existente, pero con una vertiente dinámica tendente al ‘mejoramiento’, ambas contempladas en el texto constitucional (art. 45.2 CE), como también en el Acta Única Europea (art. 130 R) y en las Declaraciones de Estocolmo y de Río” (FJ 7).</w:t>
      </w:r>
    </w:p>
    <w:p w:rsidR="00AC56D6" w:rsidRDefault="00AC56D6" w:rsidP="00AC56D6">
      <w:pPr>
        <w:pStyle w:val="TextoNormal"/>
      </w:pPr>
    </w:p>
    <w:p w:rsidR="00AC56D6" w:rsidRDefault="00AC56D6" w:rsidP="00AC56D6">
      <w:pPr>
        <w:pStyle w:val="TextoNormal"/>
      </w:pPr>
      <w:r>
        <w:t>Ya constatamos en la temprana STC 64/1982, de 4 de noviembre, que “el art. 45 [CE] recoge la preocupación ecológica surgida en las últimas décadas en amplios sectores de opinión que ha plasmado también en numerosos documentos internacionales. En su virtud no puede considerarse como objetivo primordial y excluyente la explotación al máximo de los recursos naturales, el aumento de la producción a toda costa, sino que se ha de armonizar la ‘utilización racional’ de esos recursos con la protección de la naturaleza, todo ello para el mejor desarrollo de la persona y para asegurar una mejor calidad de la vida” (FJ 3).</w:t>
      </w:r>
    </w:p>
    <w:p w:rsidR="00AC56D6" w:rsidRDefault="00AC56D6" w:rsidP="00AC56D6">
      <w:pPr>
        <w:pStyle w:val="TextoNormal"/>
      </w:pPr>
    </w:p>
    <w:p w:rsidR="00AC56D6" w:rsidRDefault="00AC56D6" w:rsidP="00AC56D6">
      <w:pPr>
        <w:pStyle w:val="TextoNormal"/>
      </w:pPr>
      <w:r>
        <w:t>En definitiva, el ordenamiento medioambiental no es neutro, no se entiende si se olvida que nace con esta impronta, con el sello de identidad de esta finalidad tuitiva, para hacer frente a los fenómenos de degradación y a las amenazas de todo género que pueden comprometer la supervivencia del patrimonio natural, de las especies y, en último término, afectar negativamente a la propia calidad de vida en los hábitats humanos, dada la interdependencia entre unos y otros.</w:t>
      </w:r>
    </w:p>
    <w:p w:rsidR="00AC56D6" w:rsidRDefault="00AC56D6" w:rsidP="00AC56D6">
      <w:pPr>
        <w:pStyle w:val="TextoNormal"/>
      </w:pPr>
    </w:p>
    <w:p w:rsidR="00AC56D6" w:rsidRDefault="00AC56D6" w:rsidP="00AC56D6">
      <w:pPr>
        <w:pStyle w:val="TextoNormal"/>
      </w:pPr>
      <w:r>
        <w:t xml:space="preserve">El momento presente no se caracteriza por la desaparición o reducción drástica de los riesgos detectados en el momento de dictar las resoluciones citadas; antes bien, se caracteriza por la emergencia de nuevas preocupaciones concentradas en los efectos del cambio climático. Así lo reconoce la propia Ley 2/2013 en la reforma del art. 2 a) LC, que plasma entre los objetivos de la Ley el de adaptación al cambio climático, traducido en medidas como las recogidas en los arts. 13 </w:t>
      </w:r>
      <w:r w:rsidRPr="00AC56D6">
        <w:rPr>
          <w:i/>
        </w:rPr>
        <w:t>ter</w:t>
      </w:r>
      <w:r>
        <w:t>, 44.2, 76 m) LC, o en la disposición adicional octava de la Ley 2/2013.</w:t>
      </w:r>
    </w:p>
    <w:p w:rsidR="00AC56D6" w:rsidRDefault="00AC56D6" w:rsidP="00AC56D6">
      <w:pPr>
        <w:pStyle w:val="TextoNormal"/>
      </w:pPr>
    </w:p>
    <w:p w:rsidR="00AC56D6" w:rsidRDefault="00AC56D6" w:rsidP="00AC56D6">
      <w:pPr>
        <w:pStyle w:val="TextoNormal"/>
      </w:pPr>
      <w:r>
        <w:t xml:space="preserve">En este contexto, el principio de no regresión del Derecho medioambiental (también conocido como cláusula </w:t>
      </w:r>
      <w:r w:rsidRPr="00AC56D6">
        <w:rPr>
          <w:i/>
        </w:rPr>
        <w:t>stand-still</w:t>
      </w:r>
      <w:r>
        <w:t xml:space="preserve">) entronca con el propio fundamento originario de este sector del ordenamiento, y enuncia una estrategia sin duda plausible en orden a la conservación y utilización racional de los recursos naturales, que con distintas técnicas y denominaciones ha tenido ya recepción en algunas normas de carácter sectorial del Derecho internacional, europeo o nacional (STC 45/2015, de 5 de marzo, FJ 4) o en la jurisprudencia internacional o de los países de nuestro entorno, cuyo detalle no viene al caso porque se trata de referencias sectoriales que no afectan específicamente al dominio público marítimo-terrestre. En la vocación de aplicación universal con la que dicho principio se enuncia, es hoy por hoy a lo sumo una </w:t>
      </w:r>
      <w:r w:rsidRPr="00AC56D6">
        <w:rPr>
          <w:i/>
        </w:rPr>
        <w:t>lex non scripta</w:t>
      </w:r>
      <w:r>
        <w:t xml:space="preserve"> en el Derecho internacional ambiental y, sin duda, constituye una formulación doctrinal avanzada que ya ha alumbrado una aspiración política de la que, por citar un documento significativo, se ha hecho eco la Resolución del Parlamento Europeo, </w:t>
      </w:r>
      <w:r>
        <w:lastRenderedPageBreak/>
        <w:t>de 29 de septiembre de 2011, sobre la elaboración de una posición común de la UE ante la Conferencia de las Naciones Unidas sobre el Desarrollo Sostenible, “Río+20” (apartado 97).</w:t>
      </w:r>
    </w:p>
    <w:p w:rsidR="00AC56D6" w:rsidRDefault="00AC56D6" w:rsidP="00AC56D6">
      <w:pPr>
        <w:pStyle w:val="TextoNormal"/>
      </w:pPr>
    </w:p>
    <w:p w:rsidR="00AC56D6" w:rsidRDefault="00AC56D6" w:rsidP="00AC56D6">
      <w:pPr>
        <w:pStyle w:val="TextoNormal"/>
      </w:pPr>
      <w:r>
        <w:t>Así las cosas, el interrogante que debemos despejar es si cabe extraer directamente tal principio de los postulados recogidos en el art. 45 CE. Ciertamente, como ya advertimos en las citadas SSTC 149/1991 y 102/1995, las nociones de conservación, defensa y restauración del medio ambiente, explícitas en los apartados 1 y 2 de este precepto constitucional, comportan tanto la preservación de lo existente como una vertiente dinámica tendente a su mejoramiento que, en lo que particularmente concierne a la protección del demanio marítimo-terrestre, obligan al legislador a asegurar el mantenimiento de su integridad física y jurídica, su uso público y sus valores paisajísticos. En particular, el deber de conservación que incumbe a los poderes públicos tiene una dimensión, la de no propiciar la destrucción o degradación del medio ambiente, que no consentiría la adopción de medidas, carentes de justificación objetiva, de tal calibre que supusieran un patente retroceso en el grado de protección que se ha alcanzado tras décadas de intervención tuitiva. Esta dimensión inevitablemente evoca la idea de “no regresión”, aunque los conceptos que estamos aquí contrastando no admiten una identificación mecánica, pues es también de notar que el deber constitucional se proyecta sobre el medio físico, en tanto que el principio de no regresión se predica del ordenamiento jurídico. En términos constitucionales, esta relevante diferencia significa que la norma no es intangible, y que por tanto la apreciación del potencial impacto negativo de su modificación sobre la conservación del medio ambiente requiere una cuidadosa ponderación, en la que, como uno más entre otros factores, habrá de tomarse en consideración la regulación preexistente.</w:t>
      </w:r>
    </w:p>
    <w:p w:rsidR="00AC56D6" w:rsidRDefault="00AC56D6" w:rsidP="00AC56D6">
      <w:pPr>
        <w:pStyle w:val="TextoNormal"/>
      </w:pPr>
    </w:p>
    <w:p w:rsidR="00AC56D6" w:rsidRDefault="00AC56D6" w:rsidP="00AC56D6">
      <w:pPr>
        <w:pStyle w:val="TextoNormal"/>
      </w:pPr>
      <w:r>
        <w:t>Ir más allá de esta noción requeriría, como premisa mínima, atribuir al derecho al medio ambiente un contenido intangible para el legislador. Esta construcción encuentra, en nuestro sistema constitucional, las dificultades intrínsecas a la propia extensión y abstracción de la noción de “medio ambiente”, y a la ausencia de parámetros previos que contribuyan a la identificación del contenido de ese instituto jurídico. Ante tales dificultades, no se antoja casual que el principal reconocimiento de los derechos subjetivos en materia de medio ambiente se haya plasmado, hasta el presente, en el Convenio de Aarhus a través de los llamados “derechos procedimentales” (información, participación y acceso a la Justicia).</w:t>
      </w:r>
    </w:p>
    <w:p w:rsidR="00AC56D6" w:rsidRDefault="00AC56D6" w:rsidP="00AC56D6">
      <w:pPr>
        <w:pStyle w:val="TextoNormal"/>
      </w:pPr>
    </w:p>
    <w:p w:rsidR="00AC56D6" w:rsidRDefault="00AC56D6" w:rsidP="00AC56D6">
      <w:pPr>
        <w:pStyle w:val="TextoNormal"/>
      </w:pPr>
      <w:r>
        <w:t xml:space="preserve">d) En razón de no poder identificar el deber de conservar el medio ambiente con el deber de conservar la norma, el control objetivo y externo que corresponde efectuar a este Tribunal habrá de ejercerse fraguando un equilibrio entre estos dos polos: (i) como hemos señalado en otro contexto, como principio, “la reversibilidad de las decisiones normativas es inherente a la idea de democracia” (STC 31/2010, 28 junio, FJ 6); (ii) esta noción, consustancial al principio democrático, otorga al legislador un margen de configuración plenamente legítimo, amplio pero no ilimitado, pues está supeditado a los deberes que emanan del conjunto de la Constitución. Señaladamente, de la interpretación sistemática de los arts. 45 y 132 CE, que delimitan el contorno de la discrecionalidad del legislador, lógicamente más reducido cuando afecta al núcleo de los bienes demanializados </w:t>
      </w:r>
      <w:r w:rsidRPr="00AC56D6">
        <w:rPr>
          <w:i/>
        </w:rPr>
        <w:t>ex</w:t>
      </w:r>
      <w:r>
        <w:t xml:space="preserve"> art. 132.2 CE y más extenso cuando se trata de definir el dominio público de configuración legal o el régimen general de uso de los bienes de dominio público.</w:t>
      </w:r>
    </w:p>
    <w:p w:rsidR="00AC56D6" w:rsidRDefault="00AC56D6" w:rsidP="00AC56D6">
      <w:pPr>
        <w:pStyle w:val="TextoNormal"/>
      </w:pPr>
    </w:p>
    <w:p w:rsidR="00AC56D6" w:rsidRDefault="00AC56D6" w:rsidP="00AC56D6">
      <w:pPr>
        <w:pStyle w:val="TextoNormal"/>
      </w:pPr>
      <w:r>
        <w:t xml:space="preserve">Resta añadir que, como es evidente, la solución no vendrá dada por la mera comparación entre la Ley de costas de 1988 y la Ley 2/2013 objeto de este recurso, pues la primera no </w:t>
      </w:r>
      <w:r>
        <w:lastRenderedPageBreak/>
        <w:t xml:space="preserve">constituye parámetro jurídico válido para determinar la constitucionalidad de la segunda. A lo sumo, la Ley de costas de 1988 es un hito importante en cuanto fue la primera norma que desarrolló las previsiones del art. 132.2 CE sobre el dominio público marítimo-terrestre, objeto de amplia atención en nuestra STC 149/1991. Como tal, puede contribuir a la interpretación de la evolución legislativa y del grado de alteración del </w:t>
      </w:r>
      <w:r w:rsidRPr="00AC56D6">
        <w:rPr>
          <w:i/>
        </w:rPr>
        <w:t>statu quo</w:t>
      </w:r>
      <w:r>
        <w:t xml:space="preserve"> que supone su reforma, pero en ningún caso puede erigirse en un factor de petrificación, que en tantas ocasiones hemos rechazado por contrariar el legítimo margen de configuración del legislador democrático y el propio carácter dinámico del ordenamiento jurídico (por todas, STC 141/2014, de 11 de septiembre, FJ 9).</w:t>
      </w:r>
    </w:p>
    <w:p w:rsidR="00AC56D6" w:rsidRDefault="00AC56D6" w:rsidP="00AC56D6">
      <w:pPr>
        <w:pStyle w:val="TextoNormal"/>
      </w:pPr>
    </w:p>
    <w:p w:rsidR="00AC56D6" w:rsidRDefault="00AC56D6" w:rsidP="00AC56D6">
      <w:pPr>
        <w:pStyle w:val="TextoNormal"/>
      </w:pPr>
      <w:r>
        <w:t>e) Como advierte el Abogado del Estado, de una u otra manera todos los argumentos del recurso alegan la vulneración de los principios de irretroactividad, seguridad jurídica e interdicción de la arbitrariedad consagrados por el art. 9.3 CE, si bien también dedican a este precepto constitucional un apartado específico de sus alegaciones que concentra las tachas por este motivo (o motivos) en un grupo más reducido de preceptos impugnados.</w:t>
      </w:r>
    </w:p>
    <w:p w:rsidR="00AC56D6" w:rsidRDefault="00AC56D6" w:rsidP="00AC56D6">
      <w:pPr>
        <w:pStyle w:val="TextoNormal"/>
      </w:pPr>
    </w:p>
    <w:p w:rsidR="00AC56D6" w:rsidRDefault="00AC56D6" w:rsidP="00AC56D6">
      <w:pPr>
        <w:pStyle w:val="TextoNormal"/>
      </w:pPr>
      <w:r>
        <w:t>Para evitar reiteraciones innecesarias, y por la directa conexión de todas o algunas de las vertientes de los principios del art. 9.3 CE con el contenido de cada una de las impugnaciones, esta dimensión del recurso será abordada en el análisis de cada precepto, que iniciamos seguidamente.</w:t>
      </w:r>
    </w:p>
    <w:p w:rsidR="00AC56D6" w:rsidRDefault="00AC56D6" w:rsidP="00AC56D6">
      <w:pPr>
        <w:pStyle w:val="TextoNormal"/>
      </w:pPr>
    </w:p>
    <w:p w:rsidR="00AC56D6" w:rsidRDefault="00AC56D6" w:rsidP="00AC56D6">
      <w:pPr>
        <w:pStyle w:val="TextoNormal"/>
      </w:pPr>
      <w:r w:rsidRPr="00AC56D6">
        <w:rPr>
          <w:rStyle w:val="NumeroAFNegritaCaracter"/>
        </w:rPr>
        <w:t>3</w:t>
      </w:r>
      <w:r>
        <w:t>. Los arts. 1.2 y 1.3 de la Ley 2/2013 modifican los arts. 3 y 4 LC, que respectivamente definen los géneros de bienes demanializados directamente por el art. 132.2 CE y aquellos otros que han entrado en esta categoría demanial por decisión del legislador ordinario.</w:t>
      </w:r>
    </w:p>
    <w:p w:rsidR="00AC56D6" w:rsidRDefault="00AC56D6" w:rsidP="00AC56D6">
      <w:pPr>
        <w:pStyle w:val="TextoNormal"/>
      </w:pPr>
    </w:p>
    <w:p w:rsidR="00AC56D6" w:rsidRDefault="00AC56D6" w:rsidP="00AC56D6">
      <w:pPr>
        <w:pStyle w:val="TextoNormal"/>
      </w:pPr>
      <w:r>
        <w:t>a) La extensión de la zona marítimo-terrestre se estableció en el art. 3.1 a) LC 1988 por referencia al alcance de las olas en los mayores temporales conocidos, criterio que fija el límite interior de la zona. La modificación introducida en el primer párrafo de este precepto por el art. 1.2 de la Ley 2/2013 consiste únicamente en remitir tal alcance a “los criterios técnicos que se establezcan reglamentariamente”, la cual se impugna por entender que se trata de una deslegalización contraria al art. 132.2 CE.</w:t>
      </w:r>
    </w:p>
    <w:p w:rsidR="00AC56D6" w:rsidRDefault="00AC56D6" w:rsidP="00AC56D6">
      <w:pPr>
        <w:pStyle w:val="TextoNormal"/>
      </w:pPr>
    </w:p>
    <w:p w:rsidR="00AC56D6" w:rsidRDefault="00AC56D6" w:rsidP="00AC56D6">
      <w:pPr>
        <w:pStyle w:val="TextoNormal"/>
      </w:pPr>
      <w:r>
        <w:t>Es doctrina consolidada de este Tribunal que “la reserva de ley no impide que las leyes ‘contengan remisiones a normas reglamentarias, pero sí que tales remisiones hagan posible una regulación independiente y no claramente subordinada a la Ley, lo que supondría una degradación de la reserva formulada por la Constitución a favor del legislador’ (SSTC 83/1984, de 24 de julio, FJ 4, y 292/2000, de 30 de noviembre, FJ 14, por todas). Ahora bien, las habilitaciones a la potestad reglamentaria deben, según nuestra doctrina, restringir el ejercicio de dicha potestad ‘a un complemento de la regulación legal que sea indispensable por motivos técnicos o para optimizar el cumplimiento de las finalidades propuestas por la Constitución o por la propia ley, de modo que no se llegue a una total abdicación por parte del legislador de su facultad para establecer reglas limitativas, transfiriendo esa facultad al titular de la potestad reglamentaria, sin fijar ni siquiera cuáles son los fines u objetivos que la reglamentación ha de perseguir’ (SSTC 83/1984, de 24 de julio, FJ 4; y 1/2003, de 16 de enero, FJ 3, por todas)” (STC 18/2011, de 3 de marzo, FJ 9).</w:t>
      </w:r>
    </w:p>
    <w:p w:rsidR="00AC56D6" w:rsidRDefault="00AC56D6" w:rsidP="00AC56D6">
      <w:pPr>
        <w:pStyle w:val="TextoNormal"/>
      </w:pPr>
    </w:p>
    <w:p w:rsidR="00AC56D6" w:rsidRDefault="00AC56D6" w:rsidP="00AC56D6">
      <w:pPr>
        <w:pStyle w:val="TextoNormal"/>
      </w:pPr>
      <w:r>
        <w:lastRenderedPageBreak/>
        <w:t>La reforma del art. 3.1 a) LC no contraviene esta doctrina, porque no altera en modo alguno el criterio sustantivo que sirve para fijar el límite interior de la zona marítimo-terrestre por referencia al alcance de las olas en los mayores temporales conocidos. Se limita a remitir la concreción de este criterio decisor, netamente empírico y, por definición, variable tanto en el espacio como en el tiempo, a una normativa que responda al conocimiento técnico, en constante evolución. Con ello no hace sino incrementar las garantías de rigor, objetividad y homogeneidad en la práctica de los deslindes, coadyuvando asimismo al control jurisdiccional de la legalidad de la actuación administrativa. Tales criterios técnicos, regulados actualmente en el art. 4 a) del Reglamento general de costas aprobado por Real Decreto 876/2014, de 10 de octubre, se basan en la utilización de los registros de boyas y satélites, así como en los datos oceanográficos o meteorológicos, para determinar las variaciones del nivel del mar debidas a las mareas y al oleaje, durante al menos cinco ocasiones en un periodo de cinco años, salvo los casos excepcionales en que la mejor evidencia científica disponible demuestre la necesidad de utilizar otro criterio. No es misión de este Tribunal examinar la legalidad de estas previsiones, cuyo control corresponde a la jurisdicción ordinaria. Ya recordamos en la citada STC 18/2011 que, de estimarse que ese desarrollo reglamentario se ha producido invadiendo el ámbito de lo constitucionalmente reservado a la ley, puede ser instado su control a través de los instrumentos que nuestro ordenamiento tiene previstos al efecto (fundamento jurídico 9).</w:t>
      </w:r>
    </w:p>
    <w:p w:rsidR="00AC56D6" w:rsidRDefault="00AC56D6" w:rsidP="00AC56D6">
      <w:pPr>
        <w:pStyle w:val="TextoNormal"/>
      </w:pPr>
    </w:p>
    <w:p w:rsidR="00AC56D6" w:rsidRDefault="00AC56D6" w:rsidP="00AC56D6">
      <w:pPr>
        <w:pStyle w:val="TextoNormal"/>
      </w:pPr>
      <w:r>
        <w:t>Lo que interesa destacar en esta resolución es que un hipotético exceso reglamentario no empaña el juicio de constitucionalidad de la reforma del art. 3.1 a) LC, que se limita a incorporar una precisión que encaja sin ninguna dificultad en el ámbito admisible de la colaboración reglamentaria.</w:t>
      </w:r>
    </w:p>
    <w:p w:rsidR="00AC56D6" w:rsidRDefault="00AC56D6" w:rsidP="00AC56D6">
      <w:pPr>
        <w:pStyle w:val="TextoNormal"/>
      </w:pPr>
    </w:p>
    <w:p w:rsidR="00AC56D6" w:rsidRDefault="00AC56D6" w:rsidP="00AC56D6">
      <w:pPr>
        <w:pStyle w:val="TextoNormal"/>
      </w:pPr>
      <w:r>
        <w:t>b) El nuevo párrafo tercero del art. 3.1 a) LC excluye de la zona marítimo-terrestre los “terrenos que sean inundados artificial y controladamente, como consecuencia de obras o instalaciones realizadas al efecto, siempre que antes de la inundación no fueran de dominio público”. En consonancia con lo anterior, el art. 1.3 de la Ley 2/2013 modifica el art. 4.3 LC. Si para la Ley de costas de 1988 eran demaniales los terrenos invadidos por el mar que pasen a formar parte de su lecho por cualquier causa, ahora quedan excluidos los que reúnan los requisitos establecidos en el art. 3.1 a), salvo que fueran navegables.</w:t>
      </w:r>
    </w:p>
    <w:p w:rsidR="00AC56D6" w:rsidRDefault="00AC56D6" w:rsidP="00AC56D6">
      <w:pPr>
        <w:pStyle w:val="TextoNormal"/>
      </w:pPr>
    </w:p>
    <w:p w:rsidR="00AC56D6" w:rsidRDefault="00AC56D6" w:rsidP="00AC56D6">
      <w:pPr>
        <w:pStyle w:val="TextoNormal"/>
      </w:pPr>
      <w:r>
        <w:t>Los recurrentes fundan la vulneración del principio de interdicción de la arbitrariedad del art. 9.3 CE y del art. 132.2 CE en la concepción de la zona marítimo-terrestre como un hecho físico, por lo que los terrenos excluidos por estos preceptos forman parte de la misma, siendo irrelevante que su inundación haya sido natural o artificial. Respecto del art. 4.3, añaden que la navegabilidad nada dice sobre la pertenencia o no al demanio.</w:t>
      </w:r>
    </w:p>
    <w:p w:rsidR="00AC56D6" w:rsidRDefault="00AC56D6" w:rsidP="00AC56D6">
      <w:pPr>
        <w:pStyle w:val="TextoNormal"/>
      </w:pPr>
    </w:p>
    <w:p w:rsidR="00AC56D6" w:rsidRDefault="00AC56D6" w:rsidP="00AC56D6">
      <w:pPr>
        <w:pStyle w:val="TextoNormal"/>
      </w:pPr>
      <w:r>
        <w:t xml:space="preserve">La reforma legal no infringe el art. 132.2 CE. El inciso “siempre que antes de la inundación no fueran de dominio público” acota de forma significativa la reforma y salva su constitucionalidad, porque supone que no quedan afectados por la exclusión los terrenos naturalmente inundables, que son en todo caso zona marítimo-terrestre, de dominio público por imperativo constitucional. Los terrenos inundados o inundables por causas naturales —o, en términos del párrafo segundo de este mismo precepto legal, cuya redacción permanece inalterada, “en general, los terrenos bajos que se inundan como consecuencia del flujo y reflujo de las mareas, de las olas o de la filtración del agua del mar”— son los que forman parte del demanio natural o de “la noción genérica de la zona marítimo-terrestre como zona </w:t>
      </w:r>
      <w:r>
        <w:lastRenderedPageBreak/>
        <w:t>en donde el mar entra en contacto con la tierra emergida” [STC 149/1991, FJ 2 A)], cuya intangibilidad está asegurada por el art. 132.2 CE. Preservada esta categoría en el art. 3 LC antes y después de la reforma de 2013, es de advertir que el art. 4 incluyó los terrenos inundados “por cualquier causa” (</w:t>
      </w:r>
      <w:r w:rsidRPr="00AC56D6">
        <w:rPr>
          <w:i/>
        </w:rPr>
        <w:t>rectius</w:t>
      </w:r>
      <w:r>
        <w:t>: por cualquier otra causa distinta a las naturales) en el ámbito del dominio público de configuración legal, si bien los terrenos inundados mediante técnicas artificiales, cuya cota sea superior a la de la mayor pleamar, ya quedaron excluidos del demanio por el art. 6.2 del Reglamento de la Ley de costas de 1989. Constatado que la reforma de 2013 no afecta a la consideración demanial de las zonas naturalmente inundables, la alteración de los criterios de delimitación del dominio público de configuración legal puede desde luego ser motivo de legítima discrepancia, pero no de infracción del art. 132.2 CE.</w:t>
      </w:r>
    </w:p>
    <w:p w:rsidR="00AC56D6" w:rsidRDefault="00AC56D6" w:rsidP="00AC56D6">
      <w:pPr>
        <w:pStyle w:val="TextoNormal"/>
      </w:pPr>
    </w:p>
    <w:p w:rsidR="00AC56D6" w:rsidRDefault="00AC56D6" w:rsidP="00AC56D6">
      <w:pPr>
        <w:pStyle w:val="TextoNormal"/>
      </w:pPr>
      <w:r>
        <w:t>Para los recurrentes, la arbitrariedad del legislador se hace evidente por la incongruencia en la que ha incurrido: (i) al no modificar el art. 4.2 LC, a cuyo tenor pertenecen al dominio público marítimo-terrestre los terrenos ganados al mar como consecuencia directa o indirecta de obras, y los desecados en su ribera; y (ii) al exigir que la inundación sea artificial y controlada, lo que permite deducir que la inundación artificial pero no controlada no impide el ingreso de los terrenos en el demanio. La eventual incongruencia con el artículo 4.2 (que también delimita una porción del dominio público de configuración legal) habría quedado aclarada mediante la reforma del artículo 4.3, por lo que esta objeción no pasa de constituir una apreciación crítica que se adentra en el terreno propio de la técnica normativa, cuya valoración no es misión de este Tribunal. Las dudas que por este motivo hayan podido suscitarse pueden resolverse a través de las reglas de interpretación admisibles en Derecho, y no permiten fundar una apreciación de arbitrariedad. Por lo que se refiere al carácter controlado de la inundación artificial, estamos ante una exigencia derivada de la propia inalterabilidad demanial de las zonas naturalmente inundables. La inundación artificial y controlada, conviene insistir, ha de producirse sobre terrenos que con anterioridad no fueran de dominio público. Pero es que, además, requiere de obras o instalaciones que, disponiendo del correspondiente título administrativo, deben a su finalización impedir o controlar la comunicación permanente de los terrenos con el mar [art. 3.1 a) del Reglamento de costas de 2014]. Todo ello, al asegurar en definitiva la preservación de la integridad física y jurídica de las zonas naturalmente inundables, descarta la arbitrariedad, al tiempo que corrobora que el legislador no ha incurrido en vulneración del art. 132.2 CE.</w:t>
      </w:r>
    </w:p>
    <w:p w:rsidR="00AC56D6" w:rsidRDefault="00AC56D6" w:rsidP="00AC56D6">
      <w:pPr>
        <w:pStyle w:val="TextoNormal"/>
      </w:pPr>
    </w:p>
    <w:p w:rsidR="00AC56D6" w:rsidRDefault="00AC56D6" w:rsidP="00AC56D6">
      <w:pPr>
        <w:pStyle w:val="TextoNormal"/>
      </w:pPr>
      <w:r>
        <w:t>c) Del concepto de playa recogido en el art. 3.1 b) LC, la modificación introducida por el art. 1.2 de la Ley 2/2013 afecta a las dunas. Éstas tienen ahora carácter demanial solamente “hasta el límite que resulte necesario para garantizar la estabilidad de la playa y la defensa de la costa”. El nuevo apartado 4 del artículo 3, que no ha sido impugnado, incluye la definición de dunas en los términos siguientes: “depósitos sedimentarios, constituidos por montículos de arena tengan o no vegetación que se alimenten de la arena transportada por la acción del mar, del viento marino o por otras causas”.</w:t>
      </w:r>
    </w:p>
    <w:p w:rsidR="00AC56D6" w:rsidRDefault="00AC56D6" w:rsidP="00AC56D6">
      <w:pPr>
        <w:pStyle w:val="TextoNormal"/>
      </w:pPr>
    </w:p>
    <w:p w:rsidR="00AC56D6" w:rsidRDefault="00AC56D6" w:rsidP="00AC56D6">
      <w:pPr>
        <w:pStyle w:val="TextoNormal"/>
      </w:pPr>
      <w:r>
        <w:t xml:space="preserve">Alegan los recurrentes que, al anularse la consideración demanial de todas las cadenas de dunas litorales, se limita indebidamente el ámbito del dominio público, excluyendo espacios que forman parte de un único ecosistema, que sólo quedarán protegidos </w:t>
      </w:r>
      <w:r w:rsidRPr="00AC56D6">
        <w:rPr>
          <w:i/>
        </w:rPr>
        <w:t>per relationem</w:t>
      </w:r>
      <w:r>
        <w:t xml:space="preserve"> con otros elementos del litoral (la garantía de la estabilidad de la playa y la defensa de la costa), infringiendo con ello el principio de seguridad jurídica del art. 9.3 CE, y el art. 132.2 CE.</w:t>
      </w:r>
    </w:p>
    <w:p w:rsidR="00AC56D6" w:rsidRDefault="00AC56D6" w:rsidP="00AC56D6">
      <w:pPr>
        <w:pStyle w:val="TextoNormal"/>
      </w:pPr>
    </w:p>
    <w:p w:rsidR="00AC56D6" w:rsidRDefault="00AC56D6" w:rsidP="00AC56D6">
      <w:pPr>
        <w:pStyle w:val="TextoNormal"/>
      </w:pPr>
      <w:r>
        <w:t>Estamos ante una delimitación de la playa, dependencia demanial por imperativo del art. 132.2 CE. Puede extrapolarse aquí lo que dijéramos en la STC 149/1991 a propósito de la delimitación de la zona marítimo-terrestre: que la nueva Ley utilice para su delimitación “una definición distinta de un concepto ya utilizado por leyes anteriores sobre la materia, no es, ciertamente, razón alguna que abone su inconstitucionalidad. Una cosa es que las instituciones públicas o los institutos de Derecho privado constitucionalmente garantizados no pueden ser modificados en términos que afecten a su contenido esencial, de manera que, aun conservándose la antigua denominación, ésta venga a designar un contenido en el que la conciencia social no reconoce ya la institución garantizada y otra bien distinta que el legislador no pueda modificar las definiciones o los criterios definitorios de realidades naturales, no jurídicas, a las que la Constitución alude” [(FJ 2 A)].</w:t>
      </w:r>
    </w:p>
    <w:p w:rsidR="00AC56D6" w:rsidRDefault="00AC56D6" w:rsidP="00AC56D6">
      <w:pPr>
        <w:pStyle w:val="TextoNormal"/>
      </w:pPr>
    </w:p>
    <w:p w:rsidR="00AC56D6" w:rsidRDefault="00AC56D6" w:rsidP="00AC56D6">
      <w:pPr>
        <w:pStyle w:val="TextoNormal"/>
      </w:pPr>
      <w:r>
        <w:t>En la interpretación sistemática de los arts. 132.2 y 45 CE que hemos fijado como canon en el fundamento jurídico 2, esta libertad del legislador debe acomodarse a su deber de preservar la integridad no sólo jurídica, sino también física del demanio natural. Por ello habremos de analizar si la nueva delimitación del dominio público, en cuanto afecta a las dunas, es o no compatible con est</w:t>
      </w:r>
      <w:r w:rsidRPr="00AC56D6">
        <w:rPr>
          <w:i/>
        </w:rPr>
        <w:t>a rat</w:t>
      </w:r>
      <w:r>
        <w:t>io.</w:t>
      </w:r>
    </w:p>
    <w:p w:rsidR="00AC56D6" w:rsidRDefault="00AC56D6" w:rsidP="00AC56D6">
      <w:pPr>
        <w:pStyle w:val="TextoNormal"/>
      </w:pPr>
    </w:p>
    <w:p w:rsidR="00AC56D6" w:rsidRDefault="00AC56D6" w:rsidP="00AC56D6">
      <w:pPr>
        <w:pStyle w:val="TextoNormal"/>
      </w:pPr>
      <w:r>
        <w:t>Lo primero que hemos de constatar es que se trata de una innovación relativa, porque ya el art. 4 d) del Reglamento de la Ley de costas de 1989, tras incluir en la delimitación de la playa las cadenas de dunas que estén en desarrollo, desplazamiento o evolución debida a la acción del mar o del viento marino, modulaba la inclusión de las restantes dunas limitándolas a las “fijadas por vegetación hasta el límite que resulte necesario para garantizar la estabilidad de la playa y la defensa de la costa”. Sobre esta previsión reglamentaria se ha pronunciado el Tribunal Supremo, advirtiendo que, para excluir una duna del dominio público estatal, se precisa una prueba específica y contundente de que la duna ha sido fijada por la vegetación hasta el punto de que no resulta necesaria para garantizar la estabilidad de la playa y la defensa de la costa. En definitiva, que se haya convertido en un elemento geológico muerto, sin actividad alguna para el entorno ni para sí misma, de forma tal que nada recibe de su periferia, ni ésta nada de aquélla (por todas, STS de 5 de diciembre de 2013). Cumple añadir que el antedicho criterio jurisprudencial es plenamente congruente con el designio de proteger la integridad del demanio natural que debe guiar al legislador por imperativo de los arts. 45 y 132.2 CE y con los propios objetivos de integridad, conservación, protección, restauración y adaptación del dominio público marítimo-terrestre, teniendo en cuenta los efectos del cambio climático, según dispone el art. 2 a) LC. Pues en efecto, así entendida, la exigencia de garantizar la estabilidad de la playa y la defensa de la costa impide la exclusión de las dunas móviles o en evolución, y no puede ser de otro modo pues su preservación resulta indispensable para garantizar la integridad de las playas, en su doble consideración de demanio natural y de ecosistema vulnerable. Máxime en un escenario global de calentamiento de los océanos y subida del nivel del mar, que en nuestro país abre el riesgo de pérdida de cadenas de dunas debido a la erosión y regresión del litoral, fenómeno pronosticado por organismos acreditados como el grupo intergubernamental de expertos sobre el cambio climático, creado por Naciones Unidas y la Organización Meteorológica Mundial (“Informe IPCC 2014") o la Agencia Europea de Medio Ambiente (“Informe AEMA 2015”), y que es ya un hecho incontrovertido para la comunidad internacional (apartados 165 y 190 de la Declaración “Río+20” de la Conferencia de las Naciones Unidas sobre el Desarrollo Sostenible, 2012).</w:t>
      </w:r>
    </w:p>
    <w:p w:rsidR="00AC56D6" w:rsidRDefault="00AC56D6" w:rsidP="00AC56D6">
      <w:pPr>
        <w:pStyle w:val="TextoNormal"/>
      </w:pPr>
    </w:p>
    <w:p w:rsidR="00AC56D6" w:rsidRDefault="00AC56D6" w:rsidP="00AC56D6">
      <w:pPr>
        <w:pStyle w:val="TextoNormal"/>
      </w:pPr>
      <w:r>
        <w:t>En estos términos, la elevación de rango del expresado criterio del Reglamento de costas de 1989 admite perfectamente la misma interpretación, que por lo demás aparece confirmada en su actual desarrollo reglamentario. Junto a la definición de los distintos tipos de dunas recogida en su art. 3.4 c), el art. 4 c) del Reglamento de costas de 2014 incluye en el dominio público, por cumplir la función recogida en el precepto legal, las dunas en desarrollo, desplazamiento o evolución debida a la acción del mar o del viento marino, así como las dunas primarias y secundarias (en función de su grado de cobertura vegetal) hasta su borde interior. No formarán parte del dominio público, por no ser necesarias para garantizar dicha función, las dunas relictas (formadas en otro tiempo geológico, aisladas tierra adentro o colgadas sobre una costa rocosa, sin vinculación con ninguna playa) y las dunas estabilizadas (las que cuentan con un 75 por 100 de cobertura vegetal leñosa), salvo en aquellos casos excepcionales en que la mejor evidencia científica disponible demuestre la necesidad de incluir estas últimas.</w:t>
      </w:r>
    </w:p>
    <w:p w:rsidR="00AC56D6" w:rsidRDefault="00AC56D6" w:rsidP="00AC56D6">
      <w:pPr>
        <w:pStyle w:val="TextoNormal"/>
      </w:pPr>
    </w:p>
    <w:p w:rsidR="00AC56D6" w:rsidRDefault="00AC56D6" w:rsidP="00AC56D6">
      <w:pPr>
        <w:pStyle w:val="TextoNormal"/>
      </w:pPr>
      <w:r>
        <w:t>En consecuencia, no es posible apreciar que la nueva regulación de las dunas suponga la incorporación de criterios de delimitación del dominio público natural que puedan poner en riesgo su integridad, lo que conlleva la desestimación de la impugnación.</w:t>
      </w:r>
    </w:p>
    <w:p w:rsidR="00AC56D6" w:rsidRDefault="00AC56D6" w:rsidP="00AC56D6">
      <w:pPr>
        <w:pStyle w:val="TextoNormal"/>
      </w:pPr>
    </w:p>
    <w:p w:rsidR="00AC56D6" w:rsidRDefault="00AC56D6" w:rsidP="00AC56D6">
      <w:pPr>
        <w:pStyle w:val="TextoNormal"/>
      </w:pPr>
      <w:r w:rsidRPr="00AC56D6">
        <w:rPr>
          <w:rStyle w:val="NumeroAFNegritaCaracter"/>
        </w:rPr>
        <w:t>4</w:t>
      </w:r>
      <w:r>
        <w:t>. El art. 23 LC regula la extensión de la zona de servidumbre de protección, fijando con carácter general su anchura en 100 metros, medida tierra adentro desde el límite interior de la ribera del mar, aunque pueda ser ampliada hasta un máximo de otros 100 metros cuando sea necesario para asegurar la efectividad de la servidumbre, en atención a las peculiaridades del tramo de costa de que se trate. El art. 1.10 de la Ley 2/2013 introduce un nuevo apartado 3 que posibilita su reducción hasta 20 metros en determinados supuestos.</w:t>
      </w:r>
    </w:p>
    <w:p w:rsidR="00AC56D6" w:rsidRDefault="00AC56D6" w:rsidP="00AC56D6">
      <w:pPr>
        <w:pStyle w:val="TextoNormal"/>
      </w:pPr>
    </w:p>
    <w:p w:rsidR="00AC56D6" w:rsidRDefault="00AC56D6" w:rsidP="00AC56D6">
      <w:pPr>
        <w:pStyle w:val="TextoNormal"/>
      </w:pPr>
      <w:r>
        <w:t>En la STC 149/1991 ratificamos la constitucionalidad del art. 23 LC 1988, al considerar que la fijación de una banda de anchura uniforme es el modo tradicional de establecer la delimitación de la zona de servidumbre contigua a la marítimo-terrestre, con independencia de cuál sea la anchura que a la misma se asigna, lo que no puede ser tachado de carencia de racionalidad, dado el procedimiento seguido para determinar el límite interior de la ribera del mar. Añadimos que es seguramente el procedimiento más eficaz para asegurar la igualdad en el contenido del derecho de propiedad sobre los terrenos colindantes con la zona marítimo-terrestre, aunque ello no constituye impedimento para su posible ampliación, adoptando la decisión más adecuada y conveniente a fin de asegurar la efectividad de la servidumbre según las posibilidades del tramo de costa de que se trate [FJ 3 D a)].</w:t>
      </w:r>
    </w:p>
    <w:p w:rsidR="00AC56D6" w:rsidRDefault="00AC56D6" w:rsidP="00AC56D6">
      <w:pPr>
        <w:pStyle w:val="TextoNormal"/>
      </w:pPr>
    </w:p>
    <w:p w:rsidR="00AC56D6" w:rsidRDefault="00AC56D6" w:rsidP="00AC56D6">
      <w:pPr>
        <w:pStyle w:val="TextoNormal"/>
      </w:pPr>
      <w:r>
        <w:t xml:space="preserve">La misma </w:t>
      </w:r>
      <w:r w:rsidRPr="00AC56D6">
        <w:rPr>
          <w:i/>
        </w:rPr>
        <w:t>ratio</w:t>
      </w:r>
      <w:r>
        <w:t xml:space="preserve"> nos conduce derechamente ahora a descartar que el nuevo art. 23.3 LC incurra en inconstitucionalidad. La fijación de la zona de servidumbre de protección en 100 metros como regla general era y es compatible con el establecimiento, en más, pero también en menos, de márgenes de flexibilidad que tengan en cuenta la realidad preexistente (disposición transitoria tercera LC) o las diversas características físicas de cada tramo de la costa. En los propios términos de la STC 149/1991, “la variedad de las condiciones físicas de la costa hace razonable, e incluso impone, que no sean idénticas las normas que hayan de aplicarse en uno u otro sitio para la protección del medio ambiente litoral y para asegurar la utilización del demanio, o tal vez, más precisamente, que la estructura jurídicamente uniforme de la protección y de la libertad de acceso (limitaciones a la propiedad, servidumbres </w:t>
      </w:r>
      <w:r>
        <w:lastRenderedPageBreak/>
        <w:t xml:space="preserve">de acceso y tránsito) se haga compatible con una acomodación de las determinaciones normativas a la diversidad natural” [FJ 3 C)]. No hay que olvidar, por otra parte, que la regulación de la extensión de la zona de servidumbre de protección se encuadra materialmente en el ámbito de la legislación básica de protección del medio ambiente dictada </w:t>
      </w:r>
      <w:r w:rsidRPr="00AC56D6">
        <w:rPr>
          <w:i/>
        </w:rPr>
        <w:t>ex</w:t>
      </w:r>
      <w:r>
        <w:t xml:space="preserve"> art. 149.1.23 CE (STC 149/1991, FJ 3) que, como hemos confirmado en la STC 146/2013, de 11 de julio, se trata de un “marco no necesaria y exactamente uniforme para todas las áreas geográficas del territorio nacional” (FJ 4).</w:t>
      </w:r>
    </w:p>
    <w:p w:rsidR="00AC56D6" w:rsidRDefault="00AC56D6" w:rsidP="00AC56D6">
      <w:pPr>
        <w:pStyle w:val="TextoNormal"/>
      </w:pPr>
    </w:p>
    <w:p w:rsidR="00AC56D6" w:rsidRDefault="00AC56D6" w:rsidP="00AC56D6">
      <w:pPr>
        <w:pStyle w:val="TextoNormal"/>
      </w:pPr>
      <w:r>
        <w:t>Las mismas razones sirven para descartar la tacha de inconstitucionalidad que los recurrentes basan en el principio de no regresión del estándar de protección ambiental, que entienden implícito en el bloque constitucional, debiendo remitirnos a lo ya dicho en el fundamento jurídico 2.</w:t>
      </w:r>
    </w:p>
    <w:p w:rsidR="00AC56D6" w:rsidRDefault="00AC56D6" w:rsidP="00AC56D6">
      <w:pPr>
        <w:pStyle w:val="TextoNormal"/>
      </w:pPr>
    </w:p>
    <w:p w:rsidR="00AC56D6" w:rsidRDefault="00AC56D6" w:rsidP="00AC56D6">
      <w:pPr>
        <w:pStyle w:val="TextoNormal"/>
      </w:pPr>
      <w:r>
        <w:t>Tampoco cabe apreciar una deslegalización contraria a la reserva de ley del art. 132.1 CE para la determinación del régimen jurídico de los bienes de dominio público. La norma impugnada, que no forma parte de este núcleo estricto, sino de las limitaciones de la propiedad sobre los terrenos contiguos a la ribera del mar, proporciona, bien que de modo genérico, criterios suficientes, todos ellos basados en circunstancias físicas (características geomorfológicas, ambientes de vegetación, y distancia respecto de la desembocadura), para hacer posible un desarrollo que, ciñéndonos siempre al enjuiciamiento de la ley que nos compete, no desborda el ámbito de la ordinaria colaboración ley-reglamento.</w:t>
      </w:r>
    </w:p>
    <w:p w:rsidR="00AC56D6" w:rsidRDefault="00AC56D6" w:rsidP="00AC56D6">
      <w:pPr>
        <w:pStyle w:val="TextoNormal"/>
      </w:pPr>
    </w:p>
    <w:p w:rsidR="00AC56D6" w:rsidRDefault="00AC56D6" w:rsidP="00AC56D6">
      <w:pPr>
        <w:pStyle w:val="TextoNormal"/>
      </w:pPr>
      <w:r w:rsidRPr="00AC56D6">
        <w:rPr>
          <w:rStyle w:val="NumeroAFNegritaCaracter"/>
        </w:rPr>
        <w:t>5</w:t>
      </w:r>
      <w:r>
        <w:t>. El art. 1.11 de la Ley 2/2013 modifica los apartados 1 c) y 2, e introduce un nuevo apartado 4 en el art. 25 LC.</w:t>
      </w:r>
    </w:p>
    <w:p w:rsidR="00AC56D6" w:rsidRDefault="00AC56D6" w:rsidP="00AC56D6">
      <w:pPr>
        <w:pStyle w:val="TextoNormal"/>
      </w:pPr>
    </w:p>
    <w:p w:rsidR="00AC56D6" w:rsidRDefault="00AC56D6" w:rsidP="00AC56D6">
      <w:pPr>
        <w:pStyle w:val="TextoNormal"/>
      </w:pPr>
      <w:r>
        <w:t>Como señala el Abogado del Estado, los recurrentes nada alegan en relación con el art. 25.2, por lo que queda excluido de nuestro enjuiciamiento.</w:t>
      </w:r>
    </w:p>
    <w:p w:rsidR="00AC56D6" w:rsidRDefault="00AC56D6" w:rsidP="00AC56D6">
      <w:pPr>
        <w:pStyle w:val="TextoNormal"/>
      </w:pPr>
    </w:p>
    <w:p w:rsidR="00AC56D6" w:rsidRDefault="00AC56D6" w:rsidP="00AC56D6">
      <w:pPr>
        <w:pStyle w:val="TextoNormal"/>
      </w:pPr>
      <w:r>
        <w:t>La nueva redacción del art. 25.1 c) LC cambia el régimen de prohibición de las actividades que impliquen la destrucción de yacimientos de áridos. La prohibición general anterior a la reforma se limita ahora a los “yacimientos de áridos naturales o no consolidados, entendiéndose por tales los lugares donde existen acumulaciones de materiales detríticos tipo arenas o gravas”. Como excepción a la prohibición del art. 25.1 f), el nuevo apartado 4 del art. 25 LC remite al reglamento el establecimiento de las condiciones en las que se podrá autorizar la publicidad, “siempre que sea parte integrante o acompañe a instalaciones o actividades permitidas y no sea incompatible con la finalidad de la servidumbre de protección”.</w:t>
      </w:r>
    </w:p>
    <w:p w:rsidR="00AC56D6" w:rsidRDefault="00AC56D6" w:rsidP="00AC56D6">
      <w:pPr>
        <w:pStyle w:val="TextoNormal"/>
      </w:pPr>
    </w:p>
    <w:p w:rsidR="00AC56D6" w:rsidRDefault="00AC56D6" w:rsidP="00AC56D6">
      <w:pPr>
        <w:pStyle w:val="TextoNormal"/>
      </w:pPr>
      <w:r>
        <w:t xml:space="preserve">La impugnación de ambas reformas se basa en la vulneración del principio de no regresión, que ha sido objeto de análisis general en el fundamento jurídico 2 de esta resolución. En ese contexto, la primera consideración a formular es que la nueva regulación no desprotege en su integridad los yacimientos de áridos, al mantener la prohibición de las actividades que impliquen la destrucción de los naturales o no consolidados. Por otra parte, para determinar el alcance de la prohibición recogida en este precepto, tanto en la redacción anterior como en la vigente, ha de repararse en que la prohibición recogida en el art. 25 LC se predica de la destrucción, pero no impide toda actividad extractiva. Así se deduce de lo establecido en el art. 63 LC, que no ha sido objeto de modificación por la Ley 2/2013, y que precisamente regula la autorización de las extracciones de áridos y dragados. Se trata pues de una </w:t>
      </w:r>
      <w:r>
        <w:lastRenderedPageBreak/>
        <w:t>actividad lícita antes y después de la reforma legal, si bien sometida a importantes restricciones a fin de evaluar debidamente sus efectos en el dominio público marítimo-terrestre y, en particular, para salvaguardar la integridad de la playa.</w:t>
      </w:r>
    </w:p>
    <w:p w:rsidR="00AC56D6" w:rsidRDefault="00AC56D6" w:rsidP="00AC56D6">
      <w:pPr>
        <w:pStyle w:val="TextoNormal"/>
      </w:pPr>
    </w:p>
    <w:p w:rsidR="00AC56D6" w:rsidRDefault="00AC56D6" w:rsidP="00AC56D6">
      <w:pPr>
        <w:pStyle w:val="TextoNormal"/>
      </w:pPr>
      <w:r>
        <w:t>Algo parecido sucede con la publicidad de las instalaciones o actividades permitidas en la zona de servidumbre de protección. La reforma de 2013 no supone una novedad absoluta, ya que la publicidad admitida, para casos contados, tiene un claro antecedente en el art. 45.5 del Reglamento de la Ley de costas de 1989, que ya contemplaba una excepción para los rótulos indicadores de establecimientos, siempre que se coloquen en su fachada y no supongan una reducción del campo visual.</w:t>
      </w:r>
    </w:p>
    <w:p w:rsidR="00AC56D6" w:rsidRDefault="00AC56D6" w:rsidP="00AC56D6">
      <w:pPr>
        <w:pStyle w:val="TextoNormal"/>
      </w:pPr>
    </w:p>
    <w:p w:rsidR="00AC56D6" w:rsidRDefault="00AC56D6" w:rsidP="00AC56D6">
      <w:pPr>
        <w:pStyle w:val="TextoNormal"/>
      </w:pPr>
      <w:r>
        <w:t>Desde la perspectiva del control objetivo de constitucionalidad que corresponde a este Tribunal, que excluye toda valoración política o de conveniencia u oportunidad, ha de concluirse por tanto que tales opciones están comprendidas en la libertad de configuración del legislador, que se proyecta con mayor intensidad cuando se trata de regular no ya el régimen de los bienes de dominio público marítimo-terrestre, que en sus líneas maestras figura en el art. 132 CE como límite infranqueable, sino las limitaciones que afectan a los predios sitos en la franja adyacente; los terrenos contiguos a la ribera del mar.</w:t>
      </w:r>
    </w:p>
    <w:p w:rsidR="00AC56D6" w:rsidRDefault="00AC56D6" w:rsidP="00AC56D6">
      <w:pPr>
        <w:pStyle w:val="TextoNormal"/>
      </w:pPr>
    </w:p>
    <w:p w:rsidR="00AC56D6" w:rsidRDefault="00AC56D6" w:rsidP="00AC56D6">
      <w:pPr>
        <w:pStyle w:val="TextoNormal"/>
      </w:pPr>
      <w:r>
        <w:t>Por último, hemos de descartar que el nuevo art. 25.4 LC incurra en infracción de la reserva de ley instituida por el art. 132.1 CE. Las prohibiciones que rigen en la zona de servidumbre de protección admiten un desarrollo reglamentario cuya delimitación queda predeterminada en el precepto legal de modo adecuado, al exigir la concurrencia de dos requisitos: el primero se refiere a un dato objetivo y de sencillo contraste, como es la existencia de actividades o instalaciones previamente permitidas; el segundo impone una restricción adicional por remisión a un criterio sin duda alguna abierto o indeterminado (la compatibilidad con la finalidad de la servidumbre), pero que resulta susceptible de desarrollo reglamentario, justificado por la casuística propia de la heterogeneidad de espacios físicos e instalaciones o actividades sobre las que recae. Todo ello queda sometido, en última instancia, al control de la jurisdicción ordinaria.</w:t>
      </w:r>
    </w:p>
    <w:p w:rsidR="00AC56D6" w:rsidRDefault="00AC56D6" w:rsidP="00AC56D6">
      <w:pPr>
        <w:pStyle w:val="TextoNormal"/>
      </w:pPr>
    </w:p>
    <w:p w:rsidR="00AC56D6" w:rsidRDefault="00AC56D6" w:rsidP="00AC56D6">
      <w:pPr>
        <w:pStyle w:val="TextoNormal"/>
      </w:pPr>
      <w:r w:rsidRPr="00AC56D6">
        <w:rPr>
          <w:rStyle w:val="NumeroAFNegritaCaracter"/>
        </w:rPr>
        <w:t>6</w:t>
      </w:r>
      <w:r>
        <w:t xml:space="preserve">. El art. 1.12 de la Ley 2/2013 introduce un nuevo apartado 6 en el art. 33 LC, a fin de regular el régimen de ocupación y uso de las playas. Los argumentos en los que los recurrentes apoyan la tacha de inconstitucionalidad por infracción del art. 132.2 CE no pueden ser acogidos. Aunque este precepto constitucional se refiera a las playas como categoría unitaria, la distinción que introduce el nuevo art. 33.6 LC entre tramos naturales y urbanos no afecta a su naturaleza demanial, sino al régimen de uso de estos bienes. En este campo, el legislador goza de un mayor margen de apreciación a la hora de adoptar las medidas que crea necesarias para preservar las características propias de estos bienes, estando obligado en virtud de los arts. 45 y 132.2 CE, como hemos señalado en el fundamento jurídico 2, a proteger el demanio marítimo-terrestre a fin de asegurar tanto el mantenimiento de su integridad física y jurídica, como su uso público y sus valores paisajísticos [STC 149/1991, FJ 1 C) y D)]. En atención a estos deberes constitucionales, no puede calificarse de irrazonable que la determinación de los usos admisibles en las playas tenga en cuenta el grado de urbanización del entorno en el que se desenvuelven, y module en consecuencia el régimen de ocupación y uso atendiendo a su naturaleza, dotando a los tramos naturales de las playas de un elevado nivel de protección que restrinja su ocupación. Tampoco cabe apreciar que esta reforma suponga un giro copernicano, si atendemos a lo dispuesto en el art. 33 LC 1988, </w:t>
      </w:r>
      <w:r>
        <w:lastRenderedPageBreak/>
        <w:t>que fijó criterios indistintos para el uso y ocupación del conjunto de las playas, con un considerable margen de flexibilidad (tales como el libre acceso público a las instalaciones, salvo razones de policía, de economía u otras de interés público; la ubicación preferente, que no exclusiva, de las instalaciones de servicio fuera de la playa; o la ocupación admisible de la playa hasta la mitad de su superficie en pleamar), con la salvedad de la prohibición absoluta de estacionamiento, circulación no autorizada de vehículos, campamentos y acampadas, que no se ha visto alterada en la reforma de 2013.</w:t>
      </w:r>
    </w:p>
    <w:p w:rsidR="00AC56D6" w:rsidRDefault="00AC56D6" w:rsidP="00AC56D6">
      <w:pPr>
        <w:pStyle w:val="TextoNormal"/>
      </w:pPr>
    </w:p>
    <w:p w:rsidR="00AC56D6" w:rsidRDefault="00AC56D6" w:rsidP="00AC56D6">
      <w:pPr>
        <w:pStyle w:val="TextoNormal"/>
      </w:pPr>
      <w:r>
        <w:t>La remisión reglamentaria recogida en el precepto no constituye una deslegalización susceptible de reproche constitucional, sino que estamos, una vez más, ante una fórmula admisible de colaboración entre la ley y el reglamento, ya que el apartado impugnado recoge de forma suficiente los criterios que habrán de observarse en su desarrollo.</w:t>
      </w:r>
    </w:p>
    <w:p w:rsidR="00AC56D6" w:rsidRDefault="00AC56D6" w:rsidP="00AC56D6">
      <w:pPr>
        <w:pStyle w:val="TextoNormal"/>
      </w:pPr>
    </w:p>
    <w:p w:rsidR="00AC56D6" w:rsidRDefault="00AC56D6" w:rsidP="00AC56D6">
      <w:pPr>
        <w:pStyle w:val="TextoNormal"/>
      </w:pPr>
      <w:r>
        <w:t>En cuanto a la inseguridad jurídica provocada por la distinción inconcreta de dos categorías de playas, según sean tramos urbanos o naturales, la inclusión de esta precisión o descripción en la exposición de motivos no es motivo suficiente para que el precepto pueda ser tachado de inconstitucional. En todo caso, la fórmula recogida en la exposición de motivos para distinguir los tramos de playa urbanos, los contiguos con suelos urbanizados, y naturales, los contiguos a espacios protegidos o suelo rural, proporciona una pauta interpretativa para el desarrollo reglamentario, cuya concreción requiere de la inexcusable participación de las Administraciones competentes en materia de ordenación del territorio y urbanismo, a las que corresponde tanto la clasificación urbanística del suelo como la declaración de espacios protegidos, incluidos los que contengan bienes pertenecientes a la ribera del mar (STC 102/1995, FJ 20), salvedad hecha de la singularidad de los parques nacionales.</w:t>
      </w:r>
    </w:p>
    <w:p w:rsidR="00AC56D6" w:rsidRDefault="00AC56D6" w:rsidP="00AC56D6">
      <w:pPr>
        <w:pStyle w:val="TextoNormal"/>
      </w:pPr>
    </w:p>
    <w:p w:rsidR="00AC56D6" w:rsidRDefault="00AC56D6" w:rsidP="00AC56D6">
      <w:pPr>
        <w:pStyle w:val="TextoNormal"/>
      </w:pPr>
      <w:r w:rsidRPr="00AC56D6">
        <w:rPr>
          <w:rStyle w:val="NumeroAFNegritaCaracter"/>
        </w:rPr>
        <w:t>7</w:t>
      </w:r>
      <w:r>
        <w:t>. El art. 1.39 de la Ley 2/2013 modifica la disposición transitoria primera LC. Son objeto de impugnación sus apartados 2, 3 y 5. La modificación de los dos primeros se impugna en relación con el art. 2 de la Ley 2/2013, que regula la prórroga de las concesiones otorgadas al amparo de la normativa anteriormente en vigor, por lo que serán objeto de examen conjunto más adelante.</w:t>
      </w:r>
    </w:p>
    <w:p w:rsidR="00AC56D6" w:rsidRDefault="00AC56D6" w:rsidP="00AC56D6">
      <w:pPr>
        <w:pStyle w:val="TextoNormal"/>
      </w:pPr>
    </w:p>
    <w:p w:rsidR="00AC56D6" w:rsidRDefault="00AC56D6" w:rsidP="00AC56D6">
      <w:pPr>
        <w:pStyle w:val="TextoNormal"/>
      </w:pPr>
      <w:r>
        <w:t>Fijando pues la atención en el nuevo apartado 5 de la disposición transitoria primera LC, hay que comenzar recordando que la misma, en su versión de 1988, abordó la problemática de los denominados enclaves privados en el dominio público marítimo-terrestre, como consecuencia de la existencia de títulos de propiedad sobre terrenos que, o bien eran ya demaniales antes de la promulgación de la Ley de costas de 1988, o bien pasaron a serlo como consecuencia de los nuevos criterios que en esa fecha incorporó el legislador para la delimitación de los bienes de dominio público. Como excepción al tratamiento que la disposición transitoria primera confiere a estos enclaves, su nuevo apartado 5 excluye del dominio público marítimo-terrestre a los terrenos que hubieran sido inundados artificial y controladamente como consecuencia de obras o instalaciones realizadas al efecto y estuvieran destinados a actividades de cultivo marino o a salinas marítimas.</w:t>
      </w:r>
    </w:p>
    <w:p w:rsidR="00AC56D6" w:rsidRDefault="00AC56D6" w:rsidP="00AC56D6">
      <w:pPr>
        <w:pStyle w:val="TextoNormal"/>
      </w:pPr>
    </w:p>
    <w:p w:rsidR="00AC56D6" w:rsidRDefault="00AC56D6" w:rsidP="00AC56D6">
      <w:pPr>
        <w:pStyle w:val="TextoNormal"/>
      </w:pPr>
      <w:r>
        <w:t xml:space="preserve">Nos hemos ocupado previamente del tratamiento legal que el art. 3.1 a) párrafo tercero LC confiere a los terrenos inundados artificial y controladamente, “que antes de la inundación no fueran de dominio público”, concluyendo que su exclusión del demanio no infringe el art. 132.2 CE, precisamente porque no afecta a los terrenos naturalmente inundables. Aquí estriba la diferencia sustancial entre ambos preceptos. Los terrenos afectados por el nuevo </w:t>
      </w:r>
      <w:r>
        <w:lastRenderedPageBreak/>
        <w:t>apartado 5 de la disposición transitoria primera LC se delimitan por remisión a los apartados anteriores (esto es, se trata de terrenos ubicados en la zona marítimo-terrestre o la playa, según especifican los apartados 1 y 2). Y la precisión de su inciso final (“aun cuando sean naturalmente inundables”) confirma sin lugar a dudas que la excepción que aquí se contempla sí afecta a terrenos sitos en la franja integrada en el dominio público por imperativo del art. 132.2 CE. Estamos así ante el anverso y el reverso del mismo fenómeno de inundación artificial y controlada de terrenos: frente al art. 3.1 a), párrafo tercero, que sólo permite la exclusión de los situados en cota superior a la de la mayor pleamar, el apartado 5 de la disposición transitoria primera excluye terrenos sitos en la playa o la zona marítimo-terrestre, terrenos “naturalmente inundables” (o, en términos del art. 3.1 a), párrafo segundo “terrenos bajos que se inundan como consecuencia del flujo y reflujo de las mareas, de la olas o de la filtración del agua del mar”).</w:t>
      </w:r>
    </w:p>
    <w:p w:rsidR="00AC56D6" w:rsidRDefault="00AC56D6" w:rsidP="00AC56D6">
      <w:pPr>
        <w:pStyle w:val="TextoNormal"/>
      </w:pPr>
    </w:p>
    <w:p w:rsidR="00AC56D6" w:rsidRDefault="00AC56D6" w:rsidP="00AC56D6">
      <w:pPr>
        <w:pStyle w:val="TextoNormal"/>
      </w:pPr>
      <w:r>
        <w:t xml:space="preserve">Por ello, retomamos el hilo conductor del fundamento jurídico 3 b) para reiterar que el legislador dispone de margen de configuración para decidir acerca del régimen jurídico de los terrenos que, no perteneciendo a la ribera del mar, hubieran sido inundados mediante técnicas artificiales y controladas. Pero procede asimismo afirmar, </w:t>
      </w:r>
      <w:r w:rsidRPr="00AC56D6">
        <w:rPr>
          <w:i/>
        </w:rPr>
        <w:t>contrario sensu</w:t>
      </w:r>
      <w:r>
        <w:t>, que la pretensión de excluir porciones del dominio público natural en atención a su transformación artificial y al tipo de explotación resulta constitucionalmente inadmisible. La naturaleza demanial de estas categorías de bienes no es disponible para el legislador, puesto que está determinada directamente por el art. 132.2. CE. Ya en la STC 227/1988, este Tribunal sostuvo que la Constitución ha incorporado directamente al dominio público estatal en el artículo 132.2 determinados tipos de bienes, entre ellos la zona marítimo-terrestre, que constituyen categorías o géneros enteros definidos por sus características físicas o naturales homogéneas. Estamos ante una inclusión genérica e indivisible: “tratándose del ‘demanio natural’, es lógico que la potestad de demanializar se reserve al Estado en exclusiva y que los géneros naturales de bienes que unitariamente lo integran se incluyan, asimismo, como unidad indivisible en el dominio público estatal” (fundamento jurídico 14).</w:t>
      </w:r>
    </w:p>
    <w:p w:rsidR="00AC56D6" w:rsidRDefault="00AC56D6" w:rsidP="00AC56D6">
      <w:pPr>
        <w:pStyle w:val="TextoNormal"/>
      </w:pPr>
    </w:p>
    <w:p w:rsidR="00AC56D6" w:rsidRDefault="00AC56D6" w:rsidP="00AC56D6">
      <w:pPr>
        <w:pStyle w:val="TextoNormal"/>
      </w:pPr>
      <w:r>
        <w:t xml:space="preserve">Sin variación de estas premisas, la STC 149/1991, FJ 2 A) analizó los cambios conceptuales introducidos por la Ley de costas de 1988, cuya constitucionalidad quedó ratificada admitiendo un margen de modificación compatible con el valor léxico de los conceptos constitucionales y con las antedichas características de inclusión genérica, unitaria e indivisible de categorías de bienes. Por ello, al abordar el problema de los enclaves privados en la zona delimitada por el art. 132.2 CE, la misma STC 149/1991 advierte: “La rotundidad de este enunciado, que utiliza sólo conceptos referidos a la realidad física y no categorías jurídicas, hace imposible otra determinación que no sea la de entender que, desde el momento mismo de la promulgación del texto constitucional, todos los espacios enumerados en el art. 132.2 se integran en el dominio público del Estado, aunque se encomiende al legislador el establecimiento de su régimen jurídico y, por supuesto, a actuaciones ulteriores de la Administración la delimitación de sus confines. Dejando de lado esto último para reducirnos sólo a la tarea constitucionalmente encomendada al legislador, es evidente que éste, al ejecutar el mandato contenido en el apartado primero del art. 132, no sólo habrá de establecer el régimen de dominio público inspirándose en los principios de inalienabilidad, imprescriptibilidad e inembargabilidad, sino también ofrecer soluciones concordes con tales principios (y con los derechos que simultáneamente la Constitución consagra, entre los que ahora merece especial atención el de propiedad) para los problemas que plantea la eventual </w:t>
      </w:r>
      <w:r>
        <w:lastRenderedPageBreak/>
        <w:t>existencia de titularidades dominicales sobre zonas que, por mandato constitucional, quedan integradas en el dominio público estatal” [(fundamento jurídico 8 A)].</w:t>
      </w:r>
    </w:p>
    <w:p w:rsidR="00AC56D6" w:rsidRDefault="00AC56D6" w:rsidP="00AC56D6">
      <w:pPr>
        <w:pStyle w:val="TextoNormal"/>
      </w:pPr>
    </w:p>
    <w:p w:rsidR="00AC56D6" w:rsidRDefault="00AC56D6" w:rsidP="00AC56D6">
      <w:pPr>
        <w:pStyle w:val="TextoNormal"/>
      </w:pPr>
      <w:r>
        <w:t>De la anterior doctrina se desprende que la libertad del legislador a la que se hace referencia en la STC 149/1991 no es absoluta, pues no consiente una exclusión de terrenos que, por decisión del propio constituyente, gozan de la máxima protección, por resultar contraria a la concepción unitaria e indivisible que resulta inherente a la propia categoría completa de los bienes que conforman el demanio natural. Ante la decisión del constituyente, es claro que las titularidades dominicales privadas preexistentes “recaen sobre unos bienes —zona marítimo-terrestre y playas— que por sus propias características físicas y naturales eran y son de dominio público y, por tanto, se trata de unas titularidades que por imperativo constitucional deben cesar” [STC 149/1991, FJ 8 B a)], sin perjuicio de que de ello derive el régimen de concesiones compensatorias regulado en esta misma disposición transitoria, que fue objeto de detallado análisis en la citada resolución. Es asimismo evidente que la circunstancia accidental de que los terrenos demaniales afectados hayan sido objeto de inundación artificial para dedicarlos a actividades de cultivos marinos o salinas puede explicar que se permita la ocupación por tratarse de actividades o instalaciones que, por su naturaleza, no puedan tener otra ubicación (art. 32.1 LC), pero no proporciona base alguna para introducir una excepción a la titularidad demanial de las zonas naturalmente inundables.</w:t>
      </w:r>
    </w:p>
    <w:p w:rsidR="00AC56D6" w:rsidRDefault="00AC56D6" w:rsidP="00AC56D6">
      <w:pPr>
        <w:pStyle w:val="TextoNormal"/>
      </w:pPr>
    </w:p>
    <w:p w:rsidR="00AC56D6" w:rsidRDefault="00AC56D6" w:rsidP="00AC56D6">
      <w:pPr>
        <w:pStyle w:val="TextoNormal"/>
      </w:pPr>
      <w:r>
        <w:t>En atención a lo expuesto, el art. 1.39 de la Ley 2/2013, en cuanto introduce un nuevo apartado 5 a la disposición transitoria primera LC, infringe el art. 132.2 CE y por ello resulta inconstitucional y nulo.</w:t>
      </w:r>
    </w:p>
    <w:p w:rsidR="00AC56D6" w:rsidRDefault="00AC56D6" w:rsidP="00AC56D6">
      <w:pPr>
        <w:pStyle w:val="TextoNormal"/>
      </w:pPr>
    </w:p>
    <w:p w:rsidR="00AC56D6" w:rsidRDefault="00AC56D6" w:rsidP="00AC56D6">
      <w:pPr>
        <w:pStyle w:val="TextoNormal"/>
      </w:pPr>
      <w:r w:rsidRPr="00AC56D6">
        <w:rPr>
          <w:rStyle w:val="NumeroAFNegritaCaracter"/>
        </w:rPr>
        <w:t>8</w:t>
      </w:r>
      <w:r>
        <w:t>. El art. 1.40 de la Ley 2/2013 modifica la disposición transitoria cuarta LC, que abordó la problemática derivada de las obras e instalaciones construidas o autorizadas con anterioridad a la entrada en vigor de la Ley de costas de 1988. Se modifica su apartado 2, letras a), b) y c), y se introduce un nuevo apartado 3.</w:t>
      </w:r>
    </w:p>
    <w:p w:rsidR="00AC56D6" w:rsidRDefault="00AC56D6" w:rsidP="00AC56D6">
      <w:pPr>
        <w:pStyle w:val="TextoNormal"/>
      </w:pPr>
    </w:p>
    <w:p w:rsidR="00AC56D6" w:rsidRDefault="00AC56D6" w:rsidP="00AC56D6">
      <w:pPr>
        <w:pStyle w:val="TextoNormal"/>
      </w:pPr>
      <w:r>
        <w:t>En sustancia, la modificación de esta disposición transitoria consiste en la admisión de obras de reparación, mejora, consolidación y reparación, siempre que no impliquen aumento de volumen, altura ni superficie de las construcciones existentes. En contraste con la regulación vigente hasta 2013, la reforma implica: (i) la admisión por primera vez de este tipo de obras en zona de dominio público [apartado 2 a)]; (ii) la considerable ampliación de las obras admitidas en la zona de servidumbre de tránsito, que con anterioridad sólo contemplaba la posibilidad de las pequeñas reparaciones que exija la higiene, ornato y conservación [apartado 2 b)]; y (iii) la regulación de las obras admisibles en la zona de servidumbre de protección, en sustitución de la redacción anterior, considerada inconstitucional y nula por la STC 149/1991, FJ 8 E), por invadir las competencias ejecutivas de las Comunidades Autónomas en materia de urbanismo [apartado 2 c)]. El nuevo apartado 3 incorpora requisitos comunes a todas estas obras, consistentes en establecer una serie de exigencias tendentes a mejorar la eficiencia energética y el ahorro efectivo del consumo de agua, y en sustituir la autorización por la técnica de la declaración responsable a efectos de manifestar el cumplimiento de los requisitos legales.</w:t>
      </w:r>
    </w:p>
    <w:p w:rsidR="00AC56D6" w:rsidRDefault="00AC56D6" w:rsidP="00AC56D6">
      <w:pPr>
        <w:pStyle w:val="TextoNormal"/>
      </w:pPr>
    </w:p>
    <w:p w:rsidR="00AC56D6" w:rsidRDefault="00AC56D6" w:rsidP="00AC56D6">
      <w:pPr>
        <w:pStyle w:val="TextoNormal"/>
      </w:pPr>
      <w:r>
        <w:t xml:space="preserve">En atención a lo razonado en el fundamento jurídico 2, no puede prosperar esta impugnación, basada en la tesis sustentada por los recurrentes en torno al principio de no regresión del Derecho medioambiental. Una vez que ha quedado descartado que la mera comparación </w:t>
      </w:r>
      <w:r>
        <w:lastRenderedPageBreak/>
        <w:t>con lo dispuesto en la Ley de costas de 1988 constituya un soporte válido para fundamentar un quebrantamiento de la Constitución, ha de constatarse que las modificaciones introducidas en la disposición transitoria cuarta de dicha Ley recaen sobre obras o instalaciones existentes o autorizadas con anterioridad a su entrada en vigor, bien porque contaran con previa autorización o concesión conforme a la Ley de costas de 1969, bien porque, sin disponer de dichos títulos, hayan sido legalizadas por razones de interés público, según lo dispuesto en el apartado 1 de esta disposición, que no experimenta modificación. No se consiente el aumento de su volumen, altura o superficie, y no se altera la duración de las concesiones en zona de dominio público, la garantía de la servidumbre de tránsito o, en fin, el régimen general vigente en la zona de servidumbre de protección. Al margen de la valoración que merezca esta regulación desde vertientes diferentes a la estricta perspectiva jurídico-constitucional, no cabe pues apreciar que en modo alguno se desborde el margen de configuración del que dispone el legislador. Cabe añadir que los requisitos adicionales del nuevo apartado 3 (eficiencia energética y ahorro efectivo en el consumo de agua) están claramente orientados a mejorar aspectos medioambientales de estas obras e instalaciones, aunque su hipotética ausencia no enervaría la conclusión anterior. Y, como nada dice la Constitución acerca de las técnicas de intervención administrativa adecuadas para verificar la aplicación de la norma, ningún reproche de constitucionalidad cabe formular a las elegidas; esto es, el informe favorable en la zona de servidumbre de tránsito o la declaración responsable a efectos del cumplimiento de los requisitos técnicos de las obras.</w:t>
      </w:r>
    </w:p>
    <w:p w:rsidR="00AC56D6" w:rsidRDefault="00AC56D6" w:rsidP="00AC56D6">
      <w:pPr>
        <w:pStyle w:val="TextoNormal"/>
      </w:pPr>
    </w:p>
    <w:p w:rsidR="00AC56D6" w:rsidRDefault="00AC56D6" w:rsidP="00AC56D6">
      <w:pPr>
        <w:pStyle w:val="TextoNormal"/>
      </w:pPr>
      <w:r w:rsidRPr="00AC56D6">
        <w:rPr>
          <w:rStyle w:val="NumeroAFNegritaCaracter"/>
        </w:rPr>
        <w:t>9</w:t>
      </w:r>
      <w:r>
        <w:t>. Se impugnan el art 1.41 de la Ley 2/2013, que introduce una nueva disposición adicional décima LC, al objeto de regular las urbanizaciones marítimo-terrestres, y, por conexión, la disposición adicional sexta de la Ley 2/2013, que reintegra el dominio de los terrenos de estas urbanizaciones que pierdan su condición demanial a los titulares que los tuvieran inscritos en el Registro de la Propiedad.</w:t>
      </w:r>
    </w:p>
    <w:p w:rsidR="00AC56D6" w:rsidRDefault="00AC56D6" w:rsidP="00AC56D6">
      <w:pPr>
        <w:pStyle w:val="TextoNormal"/>
      </w:pPr>
    </w:p>
    <w:p w:rsidR="00AC56D6" w:rsidRDefault="00AC56D6" w:rsidP="00AC56D6">
      <w:pPr>
        <w:pStyle w:val="TextoNormal"/>
      </w:pPr>
      <w:r>
        <w:t>La alegada infracción del art. 132 CE se funda en que la alteración del ecosistema y de la mutación demanial por mano del hombre, así como la exclusión de los estacionamientos náuticos, son contrarios a la directa demanialización constitucional. Sin embargo, como ya advertimos en el fundamento jurídico 3 b) al analizar la problemática de los terrenos inundados artificial y controladamente, sólo los terrenos naturalmente inundables forman parte del dominio público preservado por el art. 132.2 CE. En el caso de las urbanizaciones marítimo-terrestres, el elemento decisivo para desestimar el vicio de inconstitucionalidad denunciado radica en que estas urbanizaciones no se ubican en la franja demanial preservada por el citado precepto constitucional, sino que se caracterizan por conformarse a partir de la inundación artificial de terrenos privados, regulándose las obras de construcción de canales navegables en terrenos que, previamente, no fueran de dominio público marítimo-terrestre, ni estuvieran afectadas por la servidumbre de protección (apartados 1 y 3 de la disposición adicional décima). En la STC 149/1991, al referirnos a los bienes incluidos en el dominio público no ya por decisión constitucional, sino en virtud de la facultad concedida al legislador para determinar qué otras categorías de bienes integran el dominio público, ya señalamos que “[a]unque esa facultad no aparece acompañada, en el art. 132.2 que la otorga, de limitación expresa alguna, es evidente que de los principios y derechos que la Constitución consagra cabe deducir sin esfuerzo que se trata de una facultad limitada, que no puede ser utilizada para situar fuera del comercio cualquier bien o género de bienes si no es para servir de este modo a finalidades lícitas que no podrían ser atendidas eficazmente con otras medidas” [fundamento jurídico 2 B)].</w:t>
      </w:r>
    </w:p>
    <w:p w:rsidR="00AC56D6" w:rsidRDefault="00AC56D6" w:rsidP="00AC56D6">
      <w:pPr>
        <w:pStyle w:val="TextoNormal"/>
      </w:pPr>
    </w:p>
    <w:p w:rsidR="00AC56D6" w:rsidRDefault="00AC56D6" w:rsidP="00AC56D6">
      <w:pPr>
        <w:pStyle w:val="TextoNormal"/>
      </w:pPr>
      <w:r>
        <w:t>El legislador de 2013 ha optado por delimitar el dominio público de configuración legal en estas urbanizaciones marítimo-terrestres en los términos que figuran en el apartado 3 a) de la disposición adicional décima LC, incorporando al dominio público los terrenos que, siendo de titularidad privada, quedaran inundados, a excepción de los destinados a estacionamiento náutico individual y privado, excepción ésta que constituye la principal novedad respecto de la regulación contenida en su momento en el art. 43.6 del Reglamento de la Ley de costas de 1989. Se trata por tanto de una regulación que preserva en lo fundamental el carácter demanial de los terrenos inundados que, por su condición de canales navegables, presentan una necesaria continuidad física con el dominio público preservado por el art. 132.2 CE al quedar en comunicación permanente con la zona marítimo-terrestre y el mar territorial, lo que los hace sensibles a los fenómenos naturales propios de la dinámica litoral. La limitada excepción de los estacionamientos náuticos no desborda el margen de configuración legal del que dispone el legislador, y puede considerarse acorde con la citada doctrina.</w:t>
      </w:r>
    </w:p>
    <w:p w:rsidR="00AC56D6" w:rsidRDefault="00AC56D6" w:rsidP="00AC56D6">
      <w:pPr>
        <w:pStyle w:val="TextoNormal"/>
      </w:pPr>
    </w:p>
    <w:p w:rsidR="00AC56D6" w:rsidRDefault="00AC56D6" w:rsidP="00AC56D6">
      <w:pPr>
        <w:pStyle w:val="TextoNormal"/>
      </w:pPr>
      <w:r>
        <w:t>El apartado 2 exige que las urbanizaciones marítimo-terrestres cuenten con un instrumento de ordenación territorial o urbanística que se ajuste a las prescripciones que en materia de dominio público marítimo-terrestre se establecen en esta disposición y en sus normas de desarrollo. No se puede compartir que ello implique una indebida traslación de la decisión a la Administración urbanística autonómica, sino que es reflejo de la concurrencia de potestades estatal y autonómica sobre el mismo espacio físico. Como ya señalara la STC 149/1991, las “facultades dominicales sólo pueden ser legítimamente utilizadas en atención a los fines públicos que justifican la existencia del dominio público, esto es, para asegurar la protección de la integridad del demanio, la preservación de sus características naturales y la libre utilización pública y gratuita, no para condicionar abusivamente la utilización de competencias ajenas y en lo que aquí más directamente nos ocupa, de la competencia autonómica para la ordenación territorial” [FJ 4 A)]. De un lado, la potestad de autorizar los usos permitidos en la zona de servidumbre de protección corresponde “a los pertinentes órganos de las Comunidades Autónomas o, en su caso, a los Ayuntamientos, que, como es obvio, deberán ajustarse a la normativa estatal, incluida la que se dicte para la protección de determinados tramos de costa prevista en el art. 22 de la Ley, así como a la que, en su caso, resulte de la legislación autonómica y de los correspondientes instrumentos de ordenación” [FJ 3 D) d)].</w:t>
      </w:r>
    </w:p>
    <w:p w:rsidR="00AC56D6" w:rsidRDefault="00AC56D6" w:rsidP="00AC56D6">
      <w:pPr>
        <w:pStyle w:val="TextoNormal"/>
      </w:pPr>
    </w:p>
    <w:p w:rsidR="00AC56D6" w:rsidRDefault="00AC56D6" w:rsidP="00AC56D6">
      <w:pPr>
        <w:pStyle w:val="TextoNormal"/>
      </w:pPr>
      <w:r>
        <w:t>Tampoco cabe apreciar que el apartado 5 incurra en deslegalización. Las obras para la construcción de los canales navegables y los estacionamientos náuticos quedan vedadas en tramos de costa que constituyan playa o espacios protegidos, y se exige el correspondiente título administrativo para su realización en los restantes casos, debiendo entenderse que, en ausencia de regulación legal específica para las urbanizaciones marítimo-terrestres, serán de aplicación las disposiciones legales que con carácter general disciplinan las obras en las zonas de dominio público y servidumbre, contenidas en los títulos II y III LC.</w:t>
      </w:r>
    </w:p>
    <w:p w:rsidR="00AC56D6" w:rsidRDefault="00AC56D6" w:rsidP="00AC56D6">
      <w:pPr>
        <w:pStyle w:val="TextoNormal"/>
      </w:pPr>
    </w:p>
    <w:p w:rsidR="00AC56D6" w:rsidRDefault="00AC56D6" w:rsidP="00AC56D6">
      <w:pPr>
        <w:pStyle w:val="TextoNormal"/>
      </w:pPr>
      <w:r>
        <w:t>Ni la disposición adicional décima LC ni la disposición adicional sexta de la Ley 2/2013 incurren en vulneración del art. 9.3 CE, fundada en el entendimiento de los recurrentes del concepto de retroactividad constitucionalmente prohibida. La doctrina de este Tribunal, sintetizada en la STC 112/2006, de 5 de abril, recuerda que “la interdicción absoluta de cual</w:t>
      </w:r>
      <w:r>
        <w:lastRenderedPageBreak/>
        <w:t xml:space="preserve">quier tipo de retroactividad conduciría a situaciones congeladoras del ordenamiento contrarias al art. 9.2 CE (por todas, SSTC 6/1983, de 4 de febrero, FJ 3; y 126/1987, de 16 de julio, FJ 11) y que dicha regla de irretroactividad no supone la imposibilidad de dotar de efectos retroactivos a las leyes que colisionen con derechos subjetivos de cualquier tipo, sino que se refiere a las limitaciones introducidas en el ámbito de los derechos fundamentales y de las libertades públicas o en la esfera general de protección de la persona (por todas, STC 42/1986, de 10 de abril, FJ 3)” (FJ 17). A efectos del análisis de esta disposición, no es necesario traer a colación los restantes criterios doctrinales sobre los límites de la retroactividad </w:t>
      </w:r>
      <w:r w:rsidRPr="00AC56D6">
        <w:rPr>
          <w:i/>
        </w:rPr>
        <w:t>in peius</w:t>
      </w:r>
      <w:r>
        <w:t xml:space="preserve"> de las leyes, toda vez que el mandato de reintegro que contiene no introduce limitación alguna en el ámbito constitucionalmente vedado al legislador. Ni siquiera existe una colisión con cualesquiera derechos subjetivos, pues fácilmente se advierte que el efecto es precisamente el opuesto, la ampliación de la esfera patrimonial de los particulares que, en su momento, fueron titulares registrales de los terrenos afectados, o de sus causahabientes. Ausente así la premisa —en este caso, la disposición restrictiva de derechos individuales, puesto que no existe nexo alguno entre esta regulación y la comisión de un ilícito—, decae por este solo motivo la vulneración del principio de irretroactividad del art. 9.3 CE.</w:t>
      </w:r>
    </w:p>
    <w:p w:rsidR="00AC56D6" w:rsidRDefault="00AC56D6" w:rsidP="00AC56D6">
      <w:pPr>
        <w:pStyle w:val="TextoNormal"/>
      </w:pPr>
    </w:p>
    <w:p w:rsidR="00AC56D6" w:rsidRDefault="00AC56D6" w:rsidP="00AC56D6">
      <w:pPr>
        <w:pStyle w:val="TextoNormal"/>
      </w:pPr>
      <w:r>
        <w:t>Ninguno de los restantes argumentos que aportan los recurrentes son suficientes para considerar fundada la vulneración de los principios de seguridad jurídica o interdicción de la arbitrariedad del art. 9.3 CE. No se alcanza a comprender la invocación del art. 4.5 LC, pues, al margen de que la incongruencia, de existir, no pasa de ser una cuestión de interpretación de la legalidad ordinaria en el ámbito del dominio público de configuración legal, este precepto se refiere a terrenos demaniales que por cualquier causa han perdido sus características naturales de playa, acantilado, o zona marítimo-terrestre, mientras que la regulación aquí examinada afecta a terrenos privados objeto de inundación artificial.</w:t>
      </w:r>
    </w:p>
    <w:p w:rsidR="00AC56D6" w:rsidRDefault="00AC56D6" w:rsidP="00AC56D6">
      <w:pPr>
        <w:pStyle w:val="TextoNormal"/>
      </w:pPr>
    </w:p>
    <w:p w:rsidR="00AC56D6" w:rsidRDefault="00AC56D6" w:rsidP="00AC56D6">
      <w:pPr>
        <w:pStyle w:val="TextoNormal"/>
      </w:pPr>
      <w:r>
        <w:t xml:space="preserve">En cuanto a la queja de la arbitrariedad, basada en que el precepto no diferencia el régimen jurídico en función de la legalidad originaria de estas urbanizaciones marítimo-terrestres, conviene recordar que esta figura no surge </w:t>
      </w:r>
      <w:r w:rsidRPr="00AC56D6">
        <w:rPr>
          <w:i/>
        </w:rPr>
        <w:t>ex novo</w:t>
      </w:r>
      <w:r>
        <w:t xml:space="preserve"> en la Ley 2/2013, sino que aparecía ya regulada en el Reglamento de la Ley de costas de 1989. Por esta razón, si alguna de las urbanizaciones ya existentes estuviera fuera de ordenación con arreglo al ordenamiento anterior de costas, o no cumpliera las exigencias de la legalidad urbanística, será la jurisdicción ordinaria la que deba pronunciarse sobre las consecuencias. A efectos del enjuiciamiento que nos compete, no pasa de ser una mera hipótesis ajena al examen propio de un recurso de inconstitucionalidad, proceso abstracto y dirigido a la depuración objetiva del ordenamiento, como tantas veces ha señalado este Tribunal.</w:t>
      </w:r>
    </w:p>
    <w:p w:rsidR="00AC56D6" w:rsidRDefault="00AC56D6" w:rsidP="00AC56D6">
      <w:pPr>
        <w:pStyle w:val="TextoNormal"/>
      </w:pPr>
    </w:p>
    <w:p w:rsidR="00AC56D6" w:rsidRDefault="00AC56D6" w:rsidP="00AC56D6">
      <w:pPr>
        <w:pStyle w:val="TextoNormal"/>
      </w:pPr>
      <w:r>
        <w:t>Por último, no podemos acoger la tacha relativa a la inseguridad jurídica contraria al artículo 9.3 que, según se aduce, deriva de la falta de clarificación del restante régimen jurídico de las urbanizaciones marítimo-terrestres. La serie de interrogantes que abre la demanda para apoyar su pretensión habrán de hallar respuesta bien en la propia legislación de ordenación territorial y urbanística de las Comunidades Autónomas (derecho de promoción urbanística, clasificación del suelo, disciplina urbanística), bien en el régimen general establecido en la propia legislación de costas (policía demanial, informes sobre planes de ordenación territorial y urbanística de las Comunidades Autónomas). El complejo entrecruzamiento, consustancial a los fenómenos de concurrencia de competencias en un mismo espa</w:t>
      </w:r>
      <w:r>
        <w:lastRenderedPageBreak/>
        <w:t>cio físico, fue objeto de detenida consideración en la STC 149/1991, a cuyos pronunciamientos sobre los arts. 110 c), 112 y 117 LC, que serían aquí de aplicación, procede remitirse [FFJJ 7 A) c) y 7 D) a)].</w:t>
      </w:r>
    </w:p>
    <w:p w:rsidR="00AC56D6" w:rsidRDefault="00AC56D6" w:rsidP="00AC56D6">
      <w:pPr>
        <w:pStyle w:val="TextoNormal"/>
      </w:pPr>
    </w:p>
    <w:p w:rsidR="00AC56D6" w:rsidRDefault="00AC56D6" w:rsidP="00AC56D6">
      <w:pPr>
        <w:pStyle w:val="TextoNormal"/>
      </w:pPr>
      <w:r w:rsidRPr="00AC56D6">
        <w:rPr>
          <w:rStyle w:val="NumeroAFNegritaCaracter"/>
        </w:rPr>
        <w:t>10</w:t>
      </w:r>
      <w:r>
        <w:t>. El art. 2 de la Ley 2/2013 establece el régimen de prórroga de las concesiones otorgadas al amparo de la normativa anterior. Se impugnan en conexión los apartados 2 y 3 de la disposición transitoria primera LC, en la redacción dada por el art. 1.39 de la Ley 2/2013.</w:t>
      </w:r>
    </w:p>
    <w:p w:rsidR="00AC56D6" w:rsidRDefault="00AC56D6" w:rsidP="00AC56D6">
      <w:pPr>
        <w:pStyle w:val="TextoNormal"/>
      </w:pPr>
    </w:p>
    <w:p w:rsidR="00AC56D6" w:rsidRDefault="00AC56D6" w:rsidP="00AC56D6">
      <w:pPr>
        <w:pStyle w:val="TextoNormal"/>
      </w:pPr>
      <w:r>
        <w:t>a) Para enmarcar debidamente el análisis de los distintos motivos de impugnación que recaen sobre este conjunto de preceptos, procede recordar que, en la STC 227/1988, este Tribunal advirtió que “los derechos de aprovechamiento privativo a perpetuidad no son compatibles, en el plano de la efectividad no puramente formal de las normas jurídicas, con los principios de inalienabilidad e imprescriptibilidad de los bienes de dominio público que el art. 132.1 de la Constitución consagra, pues el significado y el alcance de estos principios no puede quedar reducido a la finalidad de preservar en manos de los poderes públicos la nuda titularidad sobre los bienes demaniales, sino que se extienden en sentido sustantivo a asegurar una ordenación racional y socialmente aceptable de su uso y disfrute, cuya incongruencia con la cesión ilimitada en el tiempo del dominio útil o aprovechamiento privativo resulta patente” (FJ 11).</w:t>
      </w:r>
    </w:p>
    <w:p w:rsidR="00AC56D6" w:rsidRDefault="00AC56D6" w:rsidP="00AC56D6">
      <w:pPr>
        <w:pStyle w:val="TextoNormal"/>
      </w:pPr>
    </w:p>
    <w:p w:rsidR="00AC56D6" w:rsidRDefault="00AC56D6" w:rsidP="00AC56D6">
      <w:pPr>
        <w:pStyle w:val="TextoNormal"/>
      </w:pPr>
      <w:r>
        <w:t>Ahora bien, una vez descartado el carácter perpetuo del uso privativo del dominio público, la determinación del plazo de duración de las concesiones demaniales y de sus prórrogas está comprendida en la remisión que el art. 132.1 CE hace a la ley para la regulación del régimen jurídico de los bienes de dominio público. Los principios de inalienabilidad e imprescriptibilidad son, en términos de dicho precepto constitucional, inspiración de esa regulación, y desde luego constituyen un límite impuesto al legislador de acuerdo con la citada doctrina constitucional. Pero no puede negarse al legislador su legítimo margen de configuración, debiendo limitarse este Tribunal a examinar si la opción legislativa se ha desenvuelto dentro del respeto a tales principios y al resto de bienes y valores constitucionales cuya infracción denuncian los recurrentes, como analizaremos seguidamente.</w:t>
      </w:r>
    </w:p>
    <w:p w:rsidR="00AC56D6" w:rsidRDefault="00AC56D6" w:rsidP="00AC56D6">
      <w:pPr>
        <w:pStyle w:val="TextoNormal"/>
      </w:pPr>
    </w:p>
    <w:p w:rsidR="00AC56D6" w:rsidRDefault="00AC56D6" w:rsidP="00AC56D6">
      <w:pPr>
        <w:pStyle w:val="TextoNormal"/>
      </w:pPr>
      <w:r>
        <w:t>b) Los recurrentes imputan al artículo 2 vicio de arbitrariedad, por entender que prorroga, sin causa justificada, las concesiones otorgadas al amparo de la Ley de costas de 1988, afectando con ello a la plena efectividad de la integridad del dominio público marítimo-terrestre y, por tanto, al acceso a su disfrute por parte de todos.</w:t>
      </w:r>
    </w:p>
    <w:p w:rsidR="00AC56D6" w:rsidRDefault="00AC56D6" w:rsidP="00AC56D6">
      <w:pPr>
        <w:pStyle w:val="TextoNormal"/>
      </w:pPr>
    </w:p>
    <w:p w:rsidR="00AC56D6" w:rsidRDefault="00AC56D6" w:rsidP="00AC56D6">
      <w:pPr>
        <w:pStyle w:val="TextoNormal"/>
      </w:pPr>
      <w:r>
        <w:t xml:space="preserve">Según la exposición de motivos, que califica esta prórroga de extraordinaria, la finalidad de la medida legal es dar respuesta, entre otras situaciones, a la extinción de las concesiones que comenzarían a expirar en 2018, buscando la estabilización de derechos y su adaptación a un horizonte temporal semejante al nuevo plazo máximo de duración de las concesiones demaniales, que pasa de treinta a setenta y cinco años (art. 66.2 LC, en la redacción dada por el art. 1.21 de la Ley 2/2013, que no ha sido impugnado en este proceso). La exposición de motivos subraya que no se trata de una prórroga indiscriminada, dado que para las concesiones que amparen usos destinados a instalaciones e industrias incluidas en el ámbito de aplicación de la Ley 16/2002, de 1 de julio, de prevención y control integrados de la contaminación, se exige el informe del órgano ambiental autonómico. Lo resalta así como “ejemplo donde la seguridad jurídica que supone la continuidad de la ocupación se conjuga con </w:t>
      </w:r>
      <w:r>
        <w:lastRenderedPageBreak/>
        <w:t>la protección del litoral, que podrá conllevar la expulsión efectiva de todas aquellas concesiones que no sean ambientalmente sostenibles”.</w:t>
      </w:r>
    </w:p>
    <w:p w:rsidR="00AC56D6" w:rsidRDefault="00AC56D6" w:rsidP="00AC56D6">
      <w:pPr>
        <w:pStyle w:val="TextoNormal"/>
      </w:pPr>
    </w:p>
    <w:p w:rsidR="00AC56D6" w:rsidRDefault="00AC56D6" w:rsidP="00AC56D6">
      <w:pPr>
        <w:pStyle w:val="TextoNormal"/>
      </w:pPr>
      <w:r>
        <w:t>Dejando por el momento al margen la conexión de este precepto con el Derecho transitorio establecido por la Ley de costas de 1988, sobre el que luego se volverá, es de advertir que la prórroga de las concesiones prevista en el artículo 2, en el contexto del régimen de uso privativo regulado en la Ley de costas antes y después de la reforma de 2013, no implica necesariamente las consecuencias que aducen los recurrentes en lo que concierne a la integridad del dominio público marítimo-terrestre o a su régimen de uso general o privativo. Y ello por cuanto la prórroga recogida en la nueva regulación: (i) sólo puede afectar a las actividades o instalaciones que, por su naturaleza, no puedan tener otra ubicación (art. 32.1 LC); (ii) llegado el momento de la extinción de la concesión, es la Administración la que decide sobre el levantamiento o mantenimiento de las obras e instalaciones, pudiendo dar continuidad a su explotación o utilización (art. 72.1 y 3); (iii) las exigencias medioambientales no sólo quedan cubiertas por el informe autonómico exigido por este precepto, pues, de acuerdo con las competencias asumidas por las Comunidades Autónomas para el desarrollo legislativo y ejecución en materia de medio ambiente, les corresponde el otorgamiento de la autorización ambiental integrada y su revisión, según dispone la citada Ley 16/2002; y (iv) en último término, la concesión demanial está configurada como un “título de ocupación del dominio público, no como medida de intervención en garantía de leyes sectoriales que recaigan sobre la actividad”, lo que impide que “la Administración del Estado pueda ejercer su facultad de concesión demanial para interferir o perturbar el ejercicio de las potestades de las Comunidades Autónomas en aquellos ámbitos materiales sobre los que ostentan competencias de ejecución, de acuerdo con los parámetros que expuso la STC 77/1984” [STC 149/1991, FJ 4 G) a), con cita del art. 65 LC].</w:t>
      </w:r>
    </w:p>
    <w:p w:rsidR="00AC56D6" w:rsidRDefault="00AC56D6" w:rsidP="00AC56D6">
      <w:pPr>
        <w:pStyle w:val="TextoNormal"/>
      </w:pPr>
    </w:p>
    <w:p w:rsidR="00AC56D6" w:rsidRDefault="00AC56D6" w:rsidP="00AC56D6">
      <w:pPr>
        <w:pStyle w:val="TextoNormal"/>
      </w:pPr>
      <w:r>
        <w:t>Se desprende de todo ello que la extinción de una concesión no implica necesariamente la recuperación del uso general del dominio público, y que la prórroga es condición necesaria, pero no suficiente, para la continuación de la actividad. No cabe pues anudar a lo dispuesto en el art. 2 de la Ley 2/2013 los efectos que señalan los recurrentes en cuanto a la integridad y uso del dominio público, por lo que no se ha aportado una argumentación convincente que pueda servir de base para estimar que el precepto es contrario al principio de interdicción de la arbitrariedad del art. 9.3 CE.</w:t>
      </w:r>
    </w:p>
    <w:p w:rsidR="00AC56D6" w:rsidRDefault="00AC56D6" w:rsidP="00AC56D6">
      <w:pPr>
        <w:pStyle w:val="TextoNormal"/>
      </w:pPr>
    </w:p>
    <w:p w:rsidR="00AC56D6" w:rsidRDefault="00AC56D6" w:rsidP="00AC56D6">
      <w:pPr>
        <w:pStyle w:val="TextoNormal"/>
      </w:pPr>
      <w:r>
        <w:t xml:space="preserve">c) Despejada esta primera objeción, hemos de valorar si, como aducen los recurrentes, la prórroga supone una restricción a la libre competencia y, con ella, a la libertad de empresa consagrada en el art. 38 CE. Desde esta perspectiva, la impugnación queda circunscrita a la prórroga de las concesiones demaniales que constituyen el soporte físico de actividades empresariales, por lo que queda al margen de lo aquí enjuiciado la prórroga de las concesiones que desarrollan actividades diferentes a las empresariales, así como las que derivan de la expropiación </w:t>
      </w:r>
      <w:r w:rsidRPr="00AC56D6">
        <w:rPr>
          <w:i/>
        </w:rPr>
        <w:t>ex lege</w:t>
      </w:r>
      <w:r>
        <w:t xml:space="preserve"> de los derechos de los antiguos titulares de terrenos calificados como dominio público por la Ley de costas de 1988.</w:t>
      </w:r>
    </w:p>
    <w:p w:rsidR="00AC56D6" w:rsidRDefault="00AC56D6" w:rsidP="00AC56D6">
      <w:pPr>
        <w:pStyle w:val="TextoNormal"/>
      </w:pPr>
    </w:p>
    <w:p w:rsidR="00AC56D6" w:rsidRDefault="00AC56D6" w:rsidP="00AC56D6">
      <w:pPr>
        <w:pStyle w:val="TextoNormal"/>
      </w:pPr>
      <w:r>
        <w:t xml:space="preserve">No podemos acoger la argumentación de los recurrentes, basada en la presunta contradicción de la norma con la Directiva 2006/123/CE, del Parlamento Europeo y del Consejo, de 12 de diciembre de 2006, relativa a los servicios en el mercado interior, otras leyes (la demanda cita el texto refundido de la Ley de puertos del Estado y de la marina mercante aprobado por Real Decreto Legislativo 2/2011, de 5 de septiembre), o los criterios que haya </w:t>
      </w:r>
      <w:r>
        <w:lastRenderedPageBreak/>
        <w:t>podido mantener la Comisión Nacional de los Mercados y la Competencia, pues obvio resulta que ninguno de ellos puede servir como parámetro válido para determinar la constitucionalidad de esta Ley.</w:t>
      </w:r>
    </w:p>
    <w:p w:rsidR="00AC56D6" w:rsidRDefault="00AC56D6" w:rsidP="00AC56D6">
      <w:pPr>
        <w:pStyle w:val="TextoNormal"/>
      </w:pPr>
    </w:p>
    <w:p w:rsidR="00AC56D6" w:rsidRDefault="00AC56D6" w:rsidP="00AC56D6">
      <w:pPr>
        <w:pStyle w:val="TextoNormal"/>
      </w:pPr>
      <w:r>
        <w:t>Ni la opinión de la Comisión Nacional de los Mercados y la Competencia ni el modo en el que el legislador ordinario haya disciplinado el sector portuario pueden fundar una infracción constitucional. En cuanto al Derecho comunitario europeo, la tarea de garantizar su recta aplicación por los poderes públicos nacionales es “una cuestión de carácter infraconstitucional, y por ello excluida tanto del ámbito del proceso de amparo como de los demás procesos constitucionales” (por todas, STC 41/2002, de 25 de febrero, FJ 2), si bien también hemos manifestado que “[l]as exigencias derivadas del Derecho de la Unión no pueden ser irrelevantes a la hora de establecer los márgenes constitucionalmente admisibles de libertad de apreciación política de que gozan los órganos constitucionales” (STC 1/2012, de 13 de enero, FJ 9). Teniendo esto último en cuenta, es de advertir que la más reciente Directiva 2014/23/UE, del Parlamento Europeo y del Consejo, de 26 de febrero de 2014, relativa a la adjudicación de contratos de concesión, cuyo objetivo es precisamente el de “instaurar un marco jurídico adecuado, equilibrado y flexible en el ámbito de la adjudicación de concesiones que garantice a todos los operadores económicos de la Unión un acceso efectivo y no discriminatorio al mercado y que afiance la seguridad jurídica, favoreciendo así la inversión pública en infraestructuras y servicios estratégicos para el ciudadano”, no incluye en su ámbito aquellos “acuerdos cuyo objeto es el derecho de un operador económico a explotar determinados parajes o recursos de carácter público, con arreglo al Derecho privado o público, como es el caso de terrenos o cualquier propiedad pública, especialmente en el sector de los puertos marítimos e interiores o aeroportuario, en los que el Estado, poder adjudicador o entidad adjudicadora establece únicamente sus condiciones generales de utilización, sin contratar obras o servicios específicos.” (Considerandos 1 y 15).</w:t>
      </w:r>
    </w:p>
    <w:p w:rsidR="00AC56D6" w:rsidRDefault="00AC56D6" w:rsidP="00AC56D6">
      <w:pPr>
        <w:pStyle w:val="TextoNormal"/>
      </w:pPr>
    </w:p>
    <w:p w:rsidR="00AC56D6" w:rsidRDefault="00AC56D6" w:rsidP="00AC56D6">
      <w:pPr>
        <w:pStyle w:val="TextoNormal"/>
      </w:pPr>
      <w:r>
        <w:t>Cabe además reiterar que la concesión demanial está configurada como un “título de ocupación del dominio público, no como medida de intervención en garantía de leyes sectoriales que recaigan sobre la actividad” [STC 149/1991, FJ 4 G) a)]. Será pues esta legislación sectorial la que discipline las actividades empresariales de las que la concesión demanial resulta ser únicamente el soporte físico y, señaladamente, la legislación “ordenada a la defensa de la libertad de competencia, mediante la prevención y, en su caso, la represión de las situaciones que constituyen obstáculos creados por decisiones empresariales para el desarrollo de la competencia en el mercado” (STC 108/2014, de 26 de junio, FJ 3, y las allí citadas).</w:t>
      </w:r>
    </w:p>
    <w:p w:rsidR="00AC56D6" w:rsidRDefault="00AC56D6" w:rsidP="00AC56D6">
      <w:pPr>
        <w:pStyle w:val="TextoNormal"/>
      </w:pPr>
    </w:p>
    <w:p w:rsidR="00AC56D6" w:rsidRDefault="00AC56D6" w:rsidP="00AC56D6">
      <w:pPr>
        <w:pStyle w:val="TextoNormal"/>
      </w:pPr>
      <w:r>
        <w:t>d) El apartado 2 de la disposición transitoria primera LC 1988 estableció el régimen de las titularidades de terrenos en la zona marítimo-terrestre o las playas, que estuvieran amparadas por el art. 34 de la Ley hipotecaria, aunque no declaradas por sentencia judicial firme. Tales terrenos quedaron sujetos al régimen legal de utilización del dominio público, pudiendo los titulares solicitar en el plazo de un año la legalización de usos existentes, mediante la correspondiente concesión, en los términos de la disposición transitoria cuarta. Se les reconoció asimismo un derecho de preferencia, durante un período de diez años, para la obtención de los derechos de ocupación o aprovechamiento que, en su caso, puedan otorgarse sobre dichos terrenos.</w:t>
      </w:r>
    </w:p>
    <w:p w:rsidR="00AC56D6" w:rsidRDefault="00AC56D6" w:rsidP="00AC56D6">
      <w:pPr>
        <w:pStyle w:val="TextoNormal"/>
      </w:pPr>
    </w:p>
    <w:p w:rsidR="00AC56D6" w:rsidRDefault="00AC56D6" w:rsidP="00AC56D6">
      <w:pPr>
        <w:pStyle w:val="TextoNormal"/>
      </w:pPr>
      <w:r>
        <w:lastRenderedPageBreak/>
        <w:t>La modificación de este apartado 2, introducida por el art. 1.39 de la Ley 2/2013, consiste esencialmente en conceder directamente a los titulares de estos terrenos un derecho de ocupación y aprovechamiento por treinta años, respetando los usos y aprovechamientos existentes, e incorporando determinadas cautelas para las instalaciones e industrias incluidas en el ámbito de aplicación de la Ley 16/2002, de 1 de julio, de prevención y control integrados de la contaminación. Se aproxima así este régimen transitorio al aplicable a los titulares de terrenos declarados de propiedad particular por sentencia judicial firme (apartado 1 de la disposición transitoria primera LC), salvo en lo relativo a la prórroga y a la exención de canon.</w:t>
      </w:r>
    </w:p>
    <w:p w:rsidR="00AC56D6" w:rsidRDefault="00AC56D6" w:rsidP="00AC56D6">
      <w:pPr>
        <w:pStyle w:val="TextoNormal"/>
      </w:pPr>
    </w:p>
    <w:p w:rsidR="00AC56D6" w:rsidRDefault="00AC56D6" w:rsidP="00AC56D6">
      <w:pPr>
        <w:pStyle w:val="TextoNormal"/>
      </w:pPr>
      <w:r>
        <w:t>Conviene tener presente que en la STC 149/1991 este Tribunal ya manifestó algunas reservas sobre la diferencia de trato conferido por la Ley de costas de 1988 a los dos supuestos, señalando que, pudiendo hallar justificación en la mayor debilidad de la inscripción registral, no podía colocar a su titular en situación más desfavorable como consecuencia de la inactividad de la Administración. En atención a ello, concluimos entonces afirmando que: “las dudas que esta consideración jurídica pudiera hacer nacer en cuanto a la constitucionalidad de este apartado, dada la menor compensación que en este caso se ofrece a los titulares de las inscripciones registrales, quedan despejadas, no obstante por el inciso final del propio apartado, en el que expresamente se salva el derecho de estos titulares para acudir a las acciones civiles en defensa de sus derechos. Es evidente, en efecto, que de acuerdo con esa salvedad, los titulares registrales, como aquellos titulares de derechos en zonas hasta ahora no deslindadas, cuando el deslinde se efectúe, podrán ejercitar las acciones dirigidas a obtener la declaración de su propiedad y que si la Sentencia, así lo hiciese, les sería de aplicación lo dispuesto en el apartado primero de esta misma Disposición transitoria” [FJ 8 B) c)].</w:t>
      </w:r>
    </w:p>
    <w:p w:rsidR="00AC56D6" w:rsidRDefault="00AC56D6" w:rsidP="00AC56D6">
      <w:pPr>
        <w:pStyle w:val="TextoNormal"/>
      </w:pPr>
    </w:p>
    <w:p w:rsidR="00AC56D6" w:rsidRDefault="00AC56D6" w:rsidP="00AC56D6">
      <w:pPr>
        <w:pStyle w:val="TextoNormal"/>
      </w:pPr>
      <w:r>
        <w:t>Este pronunciamiento no cierra el paso a una aproximación normativa entre los regímenes transitorios de los enclaves privados declarados por sentencia firme o amparados por una inscripción registral. Antes al contrario, la decisión del legislador de 2013 despeja las dudas de constitucionalidad que apuntó este Tribunal en su momento ante la diferencia de compensación prevista en 1988.</w:t>
      </w:r>
    </w:p>
    <w:p w:rsidR="00AC56D6" w:rsidRDefault="00AC56D6" w:rsidP="00AC56D6">
      <w:pPr>
        <w:pStyle w:val="TextoNormal"/>
      </w:pPr>
    </w:p>
    <w:p w:rsidR="00AC56D6" w:rsidRDefault="00AC56D6" w:rsidP="00AC56D6">
      <w:pPr>
        <w:pStyle w:val="TextoNormal"/>
      </w:pPr>
      <w:r>
        <w:t>La modificación no genera la vulneración del art. 9.3 CE por inseguridad jurídica, que los recurrentes imputan a la referencia a “la entrada en vigor de esta Ley”, que a su juicio no aclara si se trata de la entrada en vigor de la Ley de costas de 1988 o de la Ley 2/2013. Dicha expresión, que ya figuraba recogida en la redacción original del apartado, ha de entenderse referida al momento de entrada en vigor de la Ley de costas de 1988, puesto que se inserta como modificación en el propio Derecho transitorio de la misma, y así lo ha corroborado la disposición transitoria segunda del Reglamento de costas de 2014, que en su apartado 1 precisa que se trata de la “entrada en vigor de la Ley 22/1988, de 28 de julio”.</w:t>
      </w:r>
    </w:p>
    <w:p w:rsidR="00AC56D6" w:rsidRDefault="00AC56D6" w:rsidP="00AC56D6">
      <w:pPr>
        <w:pStyle w:val="TextoNormal"/>
      </w:pPr>
    </w:p>
    <w:p w:rsidR="00AC56D6" w:rsidRDefault="00AC56D6" w:rsidP="00AC56D6">
      <w:pPr>
        <w:pStyle w:val="TextoNormal"/>
      </w:pPr>
      <w:r>
        <w:t>Tampoco puede prosperar la tacha de vulneración del principio de irretroactividad de las disposiciones restrictivas de los derechos individuales del art. 9.3 CE. La modificación de esta disposición no produce una restricción, sino una ampliación, de los derechos de los titulares de terrenos inscritos en el Registro de la Propiedad y amparados por el art. 34 de la Ley hipotecaria, y por esta razón, como ya ha sido expuesto en el fundamento jurídico 9, no entra en el ámbito de lo constitucionalmente prohibido.</w:t>
      </w:r>
    </w:p>
    <w:p w:rsidR="00AC56D6" w:rsidRDefault="00AC56D6" w:rsidP="00AC56D6">
      <w:pPr>
        <w:pStyle w:val="TextoNormal"/>
      </w:pPr>
    </w:p>
    <w:p w:rsidR="00AC56D6" w:rsidRDefault="00AC56D6" w:rsidP="00AC56D6">
      <w:pPr>
        <w:pStyle w:val="TextoNormal"/>
      </w:pPr>
      <w:r>
        <w:lastRenderedPageBreak/>
        <w:t>En cuanto a la duración de las concesiones y el régimen aplicable a las destinadas a instalaciones e industrias incluidas en el ámbito de aplicación de la Ley 16/2002, de 1 de julio, de prevención y control integrados de la contaminación, resulta de aplicación lo ya señalado en los apartados a) y b) de este fundamento jurídico.</w:t>
      </w:r>
    </w:p>
    <w:p w:rsidR="00AC56D6" w:rsidRDefault="00AC56D6" w:rsidP="00AC56D6">
      <w:pPr>
        <w:pStyle w:val="TextoNormal"/>
      </w:pPr>
    </w:p>
    <w:p w:rsidR="00AC56D6" w:rsidRDefault="00AC56D6" w:rsidP="00AC56D6">
      <w:pPr>
        <w:pStyle w:val="TextoNormal"/>
      </w:pPr>
      <w:r>
        <w:t>e) El art. 1.39 de la Ley 2/2013, al modificar el apartado 3 de la disposición transitoria primera LC, no hace sino recoger la salvedad de lo regulado en el apartado anterior para los titulares registrales de los terrenos amparados por el art. 34 de la Ley hipotecaria, por lo que merece idéntico juicio que la modificación del apartado 2.</w:t>
      </w:r>
    </w:p>
    <w:p w:rsidR="00AC56D6" w:rsidRDefault="00AC56D6" w:rsidP="00AC56D6">
      <w:pPr>
        <w:pStyle w:val="TextoNormal"/>
      </w:pPr>
    </w:p>
    <w:p w:rsidR="00AC56D6" w:rsidRDefault="00AC56D6" w:rsidP="00AC56D6">
      <w:pPr>
        <w:pStyle w:val="TextoNormal"/>
      </w:pPr>
      <w:r w:rsidRPr="00AC56D6">
        <w:rPr>
          <w:rStyle w:val="NumeroAFNegritaCaracter"/>
        </w:rPr>
        <w:t>11</w:t>
      </w:r>
      <w:r>
        <w:t>. La tacha dirigida contra la disposición adicional segunda de la Ley 2/2013 se funda en que la obligada revisión de los deslindes incide no sólo en situaciones jurídicas individualizadas y consolidadas, fruto incluso de decisiones judiciales firmes, sino también en la integridad del dominio público natural ya establecido. Este argumento se enmarca en el alegato común a las infracciones del art. 9.3 CE, sin que los recurrentes identifiquen el principio o principios cuyo quebrantamiento denuncian, como fuera de rigor.</w:t>
      </w:r>
    </w:p>
    <w:p w:rsidR="00AC56D6" w:rsidRDefault="00AC56D6" w:rsidP="00AC56D6">
      <w:pPr>
        <w:pStyle w:val="TextoNormal"/>
      </w:pPr>
    </w:p>
    <w:p w:rsidR="00AC56D6" w:rsidRDefault="00AC56D6" w:rsidP="00AC56D6">
      <w:pPr>
        <w:pStyle w:val="TextoNormal"/>
      </w:pPr>
      <w:r>
        <w:t>En cualquier caso, la impugnación no puede prosperar. La modificación de los deslindes es una actividad ordinaria, que ya estaba prevista en el art. 12.6 LC 1988 cuando por cualquier causa se alterare la configuración del dominio público marítimo-terrestre, precepto sustituido en la reforma de 2013 por el nuevo art. 13.bis LC, al que los recurrentes no dirigen reproche alguno.</w:t>
      </w:r>
    </w:p>
    <w:p w:rsidR="00AC56D6" w:rsidRDefault="00AC56D6" w:rsidP="00AC56D6">
      <w:pPr>
        <w:pStyle w:val="TextoNormal"/>
      </w:pPr>
    </w:p>
    <w:p w:rsidR="00AC56D6" w:rsidRDefault="00AC56D6" w:rsidP="00AC56D6">
      <w:pPr>
        <w:pStyle w:val="TextoNormal"/>
      </w:pPr>
      <w:r>
        <w:t>Tras esta reforma legal, la alteración de la configuración del dominio público marítimo-terrestre, como resultado de la modificación de las normas que fijan tanto su delimitación como los efectos jurídicos anudados a la misma, forzosamente ha de incidir en la práctica de los deslindes, sean éstos de nuevo cuño o de modificación por revisión. Por esta razón el vicio de inconstitucionalidad, de existir, estará localizado en esas normas, que de haber sido impugnadas quedan enjuiciadas en otros pasajes de esta resolución. Pero en ningún caso arrastraría como consecuencia la inconstitucionalidad de la disposición adicional segunda de la Ley 2/2013, pues, considerado en sí mismo, el mandato dirigido a la Administración no es sino consecuencia de su vinculación al ordenamiento jurídico (arts. 9.1 y 103.1 CE).</w:t>
      </w:r>
    </w:p>
    <w:p w:rsidR="00AC56D6" w:rsidRDefault="00AC56D6" w:rsidP="00AC56D6">
      <w:pPr>
        <w:pStyle w:val="TextoNormal"/>
      </w:pPr>
    </w:p>
    <w:p w:rsidR="00AC56D6" w:rsidRDefault="00AC56D6" w:rsidP="00AC56D6">
      <w:pPr>
        <w:pStyle w:val="TextoNormal"/>
      </w:pPr>
      <w:r w:rsidRPr="00AC56D6">
        <w:rPr>
          <w:rStyle w:val="NumeroAFNegritaCaracter"/>
        </w:rPr>
        <w:t>12</w:t>
      </w:r>
      <w:r>
        <w:t>. La disposición adicional cuarta de la Ley 2/2013 regula el deslinde de la isla de Formentera, impugnándose sus apartados 1 y 4.</w:t>
      </w:r>
    </w:p>
    <w:p w:rsidR="00AC56D6" w:rsidRDefault="00AC56D6" w:rsidP="00AC56D6">
      <w:pPr>
        <w:pStyle w:val="TextoNormal"/>
      </w:pPr>
    </w:p>
    <w:p w:rsidR="00AC56D6" w:rsidRDefault="00AC56D6" w:rsidP="00AC56D6">
      <w:pPr>
        <w:pStyle w:val="TextoNormal"/>
      </w:pPr>
      <w:r>
        <w:t xml:space="preserve">Esta disposición adicional se discute por establecer una determinación singular del dominio público marítimo terrestre que, a juicio de los recurrentes, supone la infracción del art. 132.2 CE, que no admite variaciones en las características naturales a tener en cuenta. Los apartados recurridos delimitan la zona marítimo-terrestre y las playas con criterios diferentes a los recogidos en el art. 3.1, apartados a) y b) LC, diferencia ésta que, ya a simple vista, reduce significativamente la porción del demanio natural en la isla de Formentera, al reproducir prácticamente de forma literal los criterios más restrictivos utilizados por el art. 1 de la vieja Ley de costas de 1969. Ninguna explicación ofrece la exposición de motivos sobre esta disposición, y tampoco el informe de la Dirección General de Sostenibilidad de la Costa y del Mar que acompaña a las alegaciones del Abogado del Estado permite deducir, más allá de la breve descripción de la geomorfología insular, cuáles serían los elementos basados en datos científicos, objetivos y contrastados, que diferencian este territorio del </w:t>
      </w:r>
      <w:r>
        <w:lastRenderedPageBreak/>
        <w:t>resto del archipiélago balear, o del resto de la costa española. Por referencia al mismo informe, cabe añadir que las alusiones a la desproporción que supone la parte de superficie demanial respecto de otras islas, o su innecesariedad para garantizar la defensa de la costa, no son argumentos válidos para alterar conceptos constitucionales referidos a una realidad física delimitada en atención a sus características naturales, y no a categorías jurídicas (STC 149/1991, FJ 8), ni tampoco, cabe añadir ahora, a su mayor o menor funcionalidad.</w:t>
      </w:r>
    </w:p>
    <w:p w:rsidR="00AC56D6" w:rsidRDefault="00AC56D6" w:rsidP="00AC56D6">
      <w:pPr>
        <w:pStyle w:val="TextoNormal"/>
      </w:pPr>
    </w:p>
    <w:p w:rsidR="00AC56D6" w:rsidRDefault="00AC56D6" w:rsidP="00AC56D6">
      <w:pPr>
        <w:pStyle w:val="TextoNormal"/>
      </w:pPr>
      <w:r>
        <w:t>Carente pues de justificación racional, y con base en lo ya dicho en el fundamento jurídico 7, que se da aquí por reproducido, esta disposición ha de reputarse inconstitucional. Por imperativo del art. 132.2 CE, los elementos abstractos definitorios de la zona marítimo-terrestre o las playas forzosamente han de ser los mismos en el conjunto del territorio, peninsular o insular, pues la libertad de configuración del legislador tiene, entre otros límites, el que deriva de la concepción unitaria e indivisible de las categorías genéricas de los bienes que conforman el demanio natural. Admitir lo contrario implicaría vaciar de contenido el mandato del citado precepto constitucional, al abrir la puerta a tratamientos y soluciones dispares para distintas partes del territorio nacional, en claro detrimento de la integridad física y jurídica de los bienes que, por designio del constituyente, son en todo caso de dominio público. Cuestión distinta es que su aplicación a cada franja concreta sea delimitada a través de los correspondientes deslindes, cuyo resultado será tan diverso como venga dado por las características físicas de las distintas porciones del territorio.</w:t>
      </w:r>
    </w:p>
    <w:p w:rsidR="00AC56D6" w:rsidRDefault="00AC56D6" w:rsidP="00AC56D6">
      <w:pPr>
        <w:pStyle w:val="TextoNormal"/>
      </w:pPr>
    </w:p>
    <w:p w:rsidR="00AC56D6" w:rsidRDefault="00AC56D6" w:rsidP="00AC56D6">
      <w:pPr>
        <w:pStyle w:val="TextoNormal"/>
      </w:pPr>
      <w:r>
        <w:t>No es por tanto admisible la vía de excepción que la propia disposición adicional cuarta de la Ley 2/2013 confiesa emplear, y que consagra un exorbitante privilegio proscrito por el propio art. 132.2 CE. Por este sólo motivo, el apartado 1 de esta disposición resulta inconstitucional y nulo, apreciación que nos exime de entrar a valorar la incidencia de otros principios o valores constitucionales que pudieran estar en juego.</w:t>
      </w:r>
    </w:p>
    <w:p w:rsidR="00AC56D6" w:rsidRDefault="00AC56D6" w:rsidP="00AC56D6">
      <w:pPr>
        <w:pStyle w:val="TextoNormal"/>
      </w:pPr>
    </w:p>
    <w:p w:rsidR="00AC56D6" w:rsidRDefault="00AC56D6" w:rsidP="00AC56D6">
      <w:pPr>
        <w:pStyle w:val="TextoNormal"/>
      </w:pPr>
      <w:r>
        <w:t>Esta decisión comporta la inconstitucionalidad y nulidad del apartado 4, por instituir la consecuencia del reintegro al dominio privado de los bienes sobrantes, que ilegítimamente habrían perdido su condición demanial, y se extiende, por conexión (art. 39.1 de la Ley Orgánica del Tribunal Constitucional: LOTC), al apartado 2, que ordena la práctica del deslinde de la isla de Formentera de acuerdo con el apartado 1.</w:t>
      </w:r>
    </w:p>
    <w:p w:rsidR="00AC56D6" w:rsidRDefault="00AC56D6" w:rsidP="00AC56D6">
      <w:pPr>
        <w:pStyle w:val="TextoNormal"/>
      </w:pPr>
    </w:p>
    <w:p w:rsidR="00AC56D6" w:rsidRDefault="00AC56D6" w:rsidP="00AC56D6">
      <w:pPr>
        <w:pStyle w:val="TextoNormal"/>
      </w:pPr>
      <w:r w:rsidRPr="00AC56D6">
        <w:rPr>
          <w:rStyle w:val="NumeroAFNegritaCaracter"/>
        </w:rPr>
        <w:t>13</w:t>
      </w:r>
      <w:r>
        <w:t>. La disposición adicional quinta de la Ley 2/2013 regula el reintegro del dominio de los terrenos que, en virtud de la reforma legal, dejan de formar parte del dominio público marítimo-terrestre. El carácter abstracto del mandato de reintegro de “los bienes que por aplicación de la presente Ley dejen de formar parte del dominio público marítimo-terrestre” impide que apreciemos la infracción del art. 132.2 CE. Como ya hemos señalado al analizar la disposición adicional segunda de la Ley 2/2013, la denunciada infracción, de existir, estará localizada en los preceptos que delimitan el dominio público marítimo-terrestre, que, en la medida en que han sido objeto de impugnación, se analizan de manera diferenciada en esta resolución. Dicho de otro modo, sólo en el caso de que la exclusión de determinados bienes del dominio público terrestre incurra en infracción del art. 132.2 CE será constitucionalmente ilegítimo su reintegro a manos privadas. Pero tal hipótesis no quedaría afectada por esta disposición, pues el reintegro no podría ser el resultado de la aplicación de preceptos considerados inconstitucionales y, por consiguiente, anulados por este Tribunal.</w:t>
      </w:r>
    </w:p>
    <w:p w:rsidR="00AC56D6" w:rsidRDefault="00AC56D6" w:rsidP="00AC56D6">
      <w:pPr>
        <w:pStyle w:val="TextoNormal"/>
      </w:pPr>
    </w:p>
    <w:p w:rsidR="00AC56D6" w:rsidRDefault="00AC56D6" w:rsidP="00AC56D6">
      <w:pPr>
        <w:pStyle w:val="TextoNormal"/>
      </w:pPr>
      <w:r>
        <w:lastRenderedPageBreak/>
        <w:t>Tampoco es dable apreciar la alegada vulneración del principio de irretroactividad recogido asimismo en el art. 9.3 CE, por lo ya razonado en el fundamento jurídico 9, al que nos remitimos para evitar reiteraciones innecesarias.</w:t>
      </w:r>
    </w:p>
    <w:p w:rsidR="00AC56D6" w:rsidRDefault="00AC56D6" w:rsidP="00AC56D6">
      <w:pPr>
        <w:pStyle w:val="TextoNormal"/>
      </w:pPr>
    </w:p>
    <w:p w:rsidR="00AC56D6" w:rsidRDefault="00AC56D6" w:rsidP="00AC56D6">
      <w:pPr>
        <w:pStyle w:val="TextoNormal"/>
      </w:pPr>
      <w:r>
        <w:t>Por último, los recurrentes aducen la infracción del art. 117.3 CE, al considerar que el mandato de reintegro contenido en esta disposición afecta a la institución de la cosa juzgada. Sin embargo, como ya hemos apreciado previamente (STC 139/2005, de 26 de mayo, FJ 3), debe examinarse si la decisión legislativa conlleva por sí sola e inexcusablemente, dados sus términos y su contenido, la revisión de las resoluciones judiciales que hayan ganado firmeza. No es esto lo que acontece con el derecho al reintegro de terrenos sobrantes en aplicación de la Ley 2/2013, que nace de una reconfiguración del dominio público por determinación legal y que, en todo caso, requiere la revisión del deslinde administrativo previamente practicado. Las consecuencias de este acto declarativo no tienen por qué coincidir necesariamente con las pretensiones que hayan podido quedar afectadas por la cosa juzgada, porque no han de implicar necesariamente su satisfacción integral. Y, en último término, como cualquier otro acto administrativo, quedan sometidos al control de la jurisdicción ordinaria. De lo dispuesto en este precepto, no deriva de modo automático la identidad con el objeto de un proceso en el que haya recaído una sentencia firme, nota característica de la cosa juzgada material.</w:t>
      </w:r>
    </w:p>
    <w:p w:rsidR="00AC56D6" w:rsidRDefault="00AC56D6" w:rsidP="00AC56D6">
      <w:pPr>
        <w:pStyle w:val="TextoNormal"/>
      </w:pPr>
    </w:p>
    <w:p w:rsidR="00AC56D6" w:rsidRDefault="00AC56D6" w:rsidP="00AC56D6">
      <w:pPr>
        <w:pStyle w:val="TextoNormal"/>
      </w:pPr>
      <w:r w:rsidRPr="00AC56D6">
        <w:rPr>
          <w:rStyle w:val="NumeroAFNegritaCaracter"/>
        </w:rPr>
        <w:t>14</w:t>
      </w:r>
      <w:r>
        <w:t>. El escrito de demanda imputa a la disposición adicional séptima de la Ley 2/2013 que, al excluir a determinados núcleos de población del dominio público marítimo terrestre, habría lesionado el art. 132.2 CE, que impediría la operación de exclusión de bienes del demanio natural aunque hayan sido alterados por mano del hombre. Se denuncia asimismo la infracción de los artículos 9.3 (interdicción de la arbitrariedad), 14 (en relación con los arts. 45, 53.3 y 149.1.1 CE) y 24.1 (al excluir la posibilidad de control de la decisión en vía contencioso-administrativa) de la Constitución.</w:t>
      </w:r>
    </w:p>
    <w:p w:rsidR="00AC56D6" w:rsidRDefault="00AC56D6" w:rsidP="00AC56D6">
      <w:pPr>
        <w:pStyle w:val="TextoNormal"/>
      </w:pPr>
    </w:p>
    <w:p w:rsidR="00AC56D6" w:rsidRDefault="00AC56D6" w:rsidP="00AC56D6">
      <w:pPr>
        <w:pStyle w:val="TextoNormal"/>
      </w:pPr>
      <w:r>
        <w:t>Los núcleos de población a los que se refiere esta disposición se especifican en el anexo, asimismo impugnado por conexión.</w:t>
      </w:r>
    </w:p>
    <w:p w:rsidR="00AC56D6" w:rsidRDefault="00AC56D6" w:rsidP="00AC56D6">
      <w:pPr>
        <w:pStyle w:val="TextoNormal"/>
      </w:pPr>
    </w:p>
    <w:p w:rsidR="00AC56D6" w:rsidRDefault="00AC56D6" w:rsidP="00AC56D6">
      <w:pPr>
        <w:pStyle w:val="TextoNormal"/>
      </w:pPr>
      <w:r>
        <w:t>En el juicio de inconstitucionalidad de las leyes este Tribunal viene declarando repetidamente que, en atención al principio de conservación de la ley, antes de declarar su inconstitucionalidad, han de apurarse todas las posibilidades de interpretación de las que hayan sido impugnadas para encontrar alguna que se ajuste a la Constitución (por todas, STC 148/2011, de 28 de septiembre, FJ 7). En tal inexcusable operación es posible constatar que la pretensión deducida por la parte demandante se apoya en una interpretación de la disposición adicional séptima que no es la única que cabe de dicha norma.</w:t>
      </w:r>
    </w:p>
    <w:p w:rsidR="00AC56D6" w:rsidRDefault="00AC56D6" w:rsidP="00AC56D6">
      <w:pPr>
        <w:pStyle w:val="TextoNormal"/>
      </w:pPr>
    </w:p>
    <w:p w:rsidR="00AC56D6" w:rsidRDefault="00AC56D6" w:rsidP="00AC56D6">
      <w:pPr>
        <w:pStyle w:val="TextoNormal"/>
      </w:pPr>
      <w:r>
        <w:t>En esta tarea hemos de partir de una doble constatación: de un lado, el art. 132.2 CE dispone que son bienes de dominio público estatal los que determine la ley y, en todo caso, los que reúnan las características físicas que los califiquen como zona marítimo-terrestre o playa, y, de otro, los principios de inalienabilidad e imprescriptibilidad que han de presidir la regulación del régimen jurídico de los bienes de dominio público según el art. 132.1 CE no impiden, como el mismo precepto admite, su desafectación.</w:t>
      </w:r>
    </w:p>
    <w:p w:rsidR="00AC56D6" w:rsidRDefault="00AC56D6" w:rsidP="00AC56D6">
      <w:pPr>
        <w:pStyle w:val="TextoNormal"/>
      </w:pPr>
    </w:p>
    <w:p w:rsidR="00AC56D6" w:rsidRDefault="00AC56D6" w:rsidP="00AC56D6">
      <w:pPr>
        <w:pStyle w:val="TextoNormal"/>
      </w:pPr>
      <w:r>
        <w:t xml:space="preserve">En desarrollo de estos preceptos, el art. 4.5 LC establece que pertenecen al dominio público marítimo-terrestre los terrenos deslindados como dominio público que por cualquier </w:t>
      </w:r>
      <w:r>
        <w:lastRenderedPageBreak/>
        <w:t>causa han perdido sus características naturales, pero en estos casos queda a salvo la posibilidad de acordar su desafectación, previa instrucción de un expediente en el que, tras recabar informe del Ayuntamiento y de la Comunidad Autónoma afectados, se declare que dichos terrenos no resultan ya necesarios para la protección o utilización de dicho demanio, tal como establece el art. 18 LC.</w:t>
      </w:r>
    </w:p>
    <w:p w:rsidR="00AC56D6" w:rsidRDefault="00AC56D6" w:rsidP="00AC56D6">
      <w:pPr>
        <w:pStyle w:val="TextoNormal"/>
      </w:pPr>
    </w:p>
    <w:p w:rsidR="00AC56D6" w:rsidRDefault="00AC56D6" w:rsidP="00AC56D6">
      <w:pPr>
        <w:pStyle w:val="TextoNormal"/>
      </w:pPr>
      <w:r>
        <w:t>Este expediente comienza, como es obvio, con la identificación de los bienes calificados como dominio público natural en algún deslinde anterior y termina, previa acreditación, no solo de que han perdido sus características naturales de playa, acantilado o zona marítimo-terrestre, en cuya virtud fueron deslindados como dominio público, sino también de que resultan en este momento innecesarios para la protección o utilización de dicho demanio, con una resolución que es susceptible de control por la jurisdicción contencioso-administrativa.</w:t>
      </w:r>
    </w:p>
    <w:p w:rsidR="00AC56D6" w:rsidRDefault="00AC56D6" w:rsidP="00AC56D6">
      <w:pPr>
        <w:pStyle w:val="TextoNormal"/>
      </w:pPr>
    </w:p>
    <w:p w:rsidR="00AC56D6" w:rsidRDefault="00AC56D6" w:rsidP="00AC56D6">
      <w:pPr>
        <w:pStyle w:val="TextoNormal"/>
      </w:pPr>
      <w:r>
        <w:t xml:space="preserve">El recto entendimiento de la disposición adicional séptima de la Ley 2/2013 de acuerdo con la Constitución permite considerar que sus consecuencias jurídicas no se extienden a la regulación del completo régimen jurídico que deriva de que los núcleos de población enumerados en el anexo de la Ley han perdido las características naturales que determinaron su inclusión en el dominio público marítimo-terrestre en virtud de deslindes anteriores. Por el contrario, su virtualidad radica en la identificación, </w:t>
      </w:r>
      <w:r w:rsidRPr="00AC56D6">
        <w:rPr>
          <w:i/>
        </w:rPr>
        <w:t>ope legis</w:t>
      </w:r>
      <w:r>
        <w:t xml:space="preserve">, de unos terrenos que notoriamente han perdido por obra de la acción del hombre las características de dominio público natural, excluyéndose la necesidad de esa justificación, que según su propio apartado 4 no implica la efectividad inmediata de la exclusión, siendo solo el presupuesto para la iniciación del expediente que, en su caso, puede terminar con su desafectación. Hemos de atender asimismo a lo dispuesto en el art. 18.2 LC, a cuyo tenor tal desafectación deberá ser expresa y, antes de proceder a ella, habrán de practicarse los correspondientes deslindes, que según el art. 26.1 del Reglamento de costas de 2014 deben especificar los planos que se aprueban, que han de permitir georreferenciar en la cartografía catastral el límite interior del dominio público marítimo-terrestre, así como el de la ribera del mar cuando no coincida con aquel, además de hacer constar la geolocalización de las servidumbres impuestas a los terrenos colindantes. La disposición impugnada no excluye la aplicación, caso por caso, de todos estos requisitos, que constituyen una exigencia previa e imprescindible para que la situación jurídica registral tanto de los bienes de dominio público como de las fincas colindantes no perturbe la seguridad jurídica garantizada por el art. 9.3 CE. Del mismo modo, la identificación </w:t>
      </w:r>
      <w:r w:rsidRPr="00AC56D6">
        <w:rPr>
          <w:i/>
        </w:rPr>
        <w:t>ope legis</w:t>
      </w:r>
      <w:r>
        <w:t xml:space="preserve"> de los terrenos que han perdido sus características naturales no se extiende a excluir la verificación, en cada caso, de que dicha pérdida determina también que ya no son necesarios para la protección o utilización del dominio público, según lo previsto en el art. 17 LC, que exige la previa declaración de innecesariedad. Todas estas operaciones, lógicamente, requieren la adopción de las correspondientes resoluciones administrativas, siempre susceptibles como ya hemos dicho de control en vía jurisdiccional, como impone el art. 106.1 CE.</w:t>
      </w:r>
    </w:p>
    <w:p w:rsidR="00AC56D6" w:rsidRDefault="00AC56D6" w:rsidP="00AC56D6">
      <w:pPr>
        <w:pStyle w:val="TextoNormal"/>
      </w:pPr>
    </w:p>
    <w:p w:rsidR="00AC56D6" w:rsidRDefault="00AC56D6" w:rsidP="00AC56D6">
      <w:pPr>
        <w:pStyle w:val="TextoNormal"/>
      </w:pPr>
      <w:r>
        <w:t>Interpretada así, la disposición adicional séptima resulta conforme con la Constitución, y así se hará constar en el fallo.</w:t>
      </w:r>
    </w:p>
    <w:p w:rsidR="00AC56D6" w:rsidRDefault="00AC56D6" w:rsidP="00AC56D6">
      <w:pPr>
        <w:pStyle w:val="TextoNormal"/>
      </w:pPr>
    </w:p>
    <w:p w:rsidR="00AC56D6" w:rsidRDefault="00AC56D6" w:rsidP="00AC56D6">
      <w:pPr>
        <w:pStyle w:val="TextoNormal"/>
      </w:pPr>
      <w:r w:rsidRPr="00AC56D6">
        <w:rPr>
          <w:rStyle w:val="NumeroAFNegritaCaracter"/>
        </w:rPr>
        <w:t>15</w:t>
      </w:r>
      <w:r>
        <w:t xml:space="preserve">. La disposición adicional novena de la Ley 2/2013 regula la garantía de funcionamiento temporal de determinadas instalaciones de depuración, que deben ser reubicadas en </w:t>
      </w:r>
      <w:r>
        <w:lastRenderedPageBreak/>
        <w:t>cumplimiento de resoluciones judiciales. Se impugna por vulnerar el art. 132 CE, al establecer una excepción temporal imprecisa que afecta negativamente a la integridad del dominio público. Asimismo, los recurrentes entienden que estamos ante una ley singular que no reúne las exigencias de la doctrina constitucional, incurriendo en arbitrariedad al carecer de una justificación objetiva e irrazonable, como prueba la excepción recogida en el apartado 3. Por suponer la inejecución de sentencias firmes por tiempo indefinido, o su ejecución conforme a la discrecionalidad administrativa, aducen la infracción de los arts. 1.1 (Estado de Derecho), 24 y 117.3 CE.</w:t>
      </w:r>
    </w:p>
    <w:p w:rsidR="00AC56D6" w:rsidRDefault="00AC56D6" w:rsidP="00AC56D6">
      <w:pPr>
        <w:pStyle w:val="TextoNormal"/>
      </w:pPr>
    </w:p>
    <w:p w:rsidR="00AC56D6" w:rsidRDefault="00AC56D6" w:rsidP="00AC56D6">
      <w:pPr>
        <w:pStyle w:val="TextoNormal"/>
      </w:pPr>
      <w:r>
        <w:t>La tacha de inconstitucionalidad basada en el art. 132 CE no puede prosperar, toda vez que el régimen de uso del dominio público es de configuración legal. Aunque el legislador está sometido al deber de asegurar su integridad física o jurídica, es pacífico que tal exigencia no excluye de modo radical cualquier tipo de instalación o infraestructura, pues, llevado al extremo, tal argumento impediría los usos privativos, o la construcción de puertos o vías de transporte. El equilibrio entre la integridad del dominio público, sobre todo del natural, y el régimen jurídico de su uso u ocupación es cuestión que corresponde sopesar al legislador ordinario, y aunque en última instancia pueda ser objeto de control por este Tribunal, en este proceso no está en entredicho el título III LC que lo regula.</w:t>
      </w:r>
    </w:p>
    <w:p w:rsidR="00AC56D6" w:rsidRDefault="00AC56D6" w:rsidP="00AC56D6">
      <w:pPr>
        <w:pStyle w:val="TextoNormal"/>
      </w:pPr>
    </w:p>
    <w:p w:rsidR="00AC56D6" w:rsidRDefault="00AC56D6" w:rsidP="00AC56D6">
      <w:pPr>
        <w:pStyle w:val="TextoNormal"/>
      </w:pPr>
      <w:r>
        <w:t>La cuestión que se somete a enjuiciamiento es por tanto otra bien distinta. Ante la existencia de determinadas sentencias firmes que han ordenado la demolición de las depuradoras construidas en contra de lo establecido en la Ley de costas, el artículo 32.1 solo permite la ocupación del dominio público marítimo-terrestre para aquellas actividades o instalaciones que, por su naturaleza, no puedan tener otra ubicación, y el artículo 44.6 fija su emplazamiento fuera de la ribera del mar y de los primeros veinte metros de la zona de servidumbre de protección, se trata de determinar si la suspensión temporal de estas resoluciones judiciales vulnera los arts. 9.3, 24 y 117.3 CE, en atención a la doctrina constitucional relativa a las leyes singulares.</w:t>
      </w:r>
    </w:p>
    <w:p w:rsidR="00AC56D6" w:rsidRDefault="00AC56D6" w:rsidP="00AC56D6">
      <w:pPr>
        <w:pStyle w:val="TextoNormal"/>
      </w:pPr>
    </w:p>
    <w:p w:rsidR="00AC56D6" w:rsidRDefault="00AC56D6" w:rsidP="00AC56D6">
      <w:pPr>
        <w:pStyle w:val="TextoNormal"/>
      </w:pPr>
      <w:r>
        <w:t>Con arreglo al canon relativo a las leyes singulares fijado por la doctrina de este Tribunal (SSTC 166/1986, de 19 de diciembre, 48/2005, de 3 de marzo, 129/2013, de 4 de junio, 203/2013, de 5 de diciembre, y 50/2015, de 5 de marzo), aunque la Constitución no impide su existencia, no constituyen un ejercicio normal de la potestad legislativa, por lo que están sujetas a límites constitucionales específicos.</w:t>
      </w:r>
    </w:p>
    <w:p w:rsidR="00AC56D6" w:rsidRDefault="00AC56D6" w:rsidP="00AC56D6">
      <w:pPr>
        <w:pStyle w:val="TextoNormal"/>
      </w:pPr>
    </w:p>
    <w:p w:rsidR="00AC56D6" w:rsidRDefault="00AC56D6" w:rsidP="00AC56D6">
      <w:pPr>
        <w:pStyle w:val="TextoNormal"/>
      </w:pPr>
      <w:r>
        <w:t xml:space="preserve">El primer límite radica en el principio de igualdad, que exige que la ley singular responda a una situación excepcional igualmente singular. La previsión por una ley singular de una regulación material distinta para un determinado supuesto de hecho no sólo debe tener una justificación objetiva y razonable sino que, en atención al contenido de la norma, debe ser proporcionada a la situación excepcional que justifica la regulación singular. Esto equivale a decir que la prohibición de desigualdad arbitraria o injustificada no se refiere al alcance subjetivo de la norma, sino a su contenido y, en su virtud, que la ley singular debe responder a una situación excepcional igualmente singular. La ley singular sólo será compatible con el principio de igualdad cuando la singularidad de la situación resulte inmediatamente de los hechos, de manera que el supuesto de la norma venga dado por ellos y sólo quepa al legislador establecer las consecuencias jurídicas necesarias para alcanzar el fin que se propone. El control de constitucionalidad opera así en un doble plano: para excluir la creación </w:t>
      </w:r>
      <w:r>
        <w:lastRenderedPageBreak/>
        <w:t>arbitraria de supuestos de hecho, que sólo resultarían singulares en razón de esa arbitrariedad, y para asegurar la razonabilidad, en función del fin propuesto, de las medidas adoptadas.</w:t>
      </w:r>
    </w:p>
    <w:p w:rsidR="00AC56D6" w:rsidRDefault="00AC56D6" w:rsidP="00AC56D6">
      <w:pPr>
        <w:pStyle w:val="TextoNormal"/>
      </w:pPr>
    </w:p>
    <w:p w:rsidR="00AC56D6" w:rsidRDefault="00AC56D6" w:rsidP="00AC56D6">
      <w:pPr>
        <w:pStyle w:val="TextoNormal"/>
      </w:pPr>
      <w:r>
        <w:t>La disposición impugnada satisface este primer límite y no puede calificarse como arbitraria, puesto que sí obedece a una situación excepcional y singular. A la costosa inversión aparejada al cambio de emplazamiento de una instalación de estas características, con demolición de lo construido, debe añadirse que los trabajos preparatorios, el proyecto, construcción y puesta en funcionamiento de una nueva depuradora requieren un proceso complejo y largo, incluyendo su evaluación ambiental. Incluso sin atender al factor presupuestario, las exigencias medioambientales y de salud pública obligan a considerar que en ese ínterin es razonable y proporcionado mantener en funcionamiento las depuradoras existentes, sin perjuicio de que proceda en todo caso su demolición y la restauración del daño ambiental una vez que desaparezca la causa de suspensión.</w:t>
      </w:r>
    </w:p>
    <w:p w:rsidR="00AC56D6" w:rsidRDefault="00AC56D6" w:rsidP="00AC56D6">
      <w:pPr>
        <w:pStyle w:val="TextoNormal"/>
      </w:pPr>
    </w:p>
    <w:p w:rsidR="00AC56D6" w:rsidRDefault="00AC56D6" w:rsidP="00AC56D6">
      <w:pPr>
        <w:pStyle w:val="TextoNormal"/>
      </w:pPr>
      <w:r>
        <w:t>Tampoco incurre en arbitrariedad la excepción recogida en el apartado 3, que refleja la voluntad del legislador de atender prioritariamente los daños medioambientales causados en zonas que, además del régimen propio del dominio público, gozan de la condición de espacios naturales merecedores de alguna figura de protección.</w:t>
      </w:r>
    </w:p>
    <w:p w:rsidR="00AC56D6" w:rsidRDefault="00AC56D6" w:rsidP="00AC56D6">
      <w:pPr>
        <w:pStyle w:val="TextoNormal"/>
      </w:pPr>
    </w:p>
    <w:p w:rsidR="00AC56D6" w:rsidRDefault="00AC56D6" w:rsidP="00AC56D6">
      <w:pPr>
        <w:pStyle w:val="TextoNormal"/>
      </w:pPr>
      <w:r>
        <w:t xml:space="preserve">Una vez apreciado que estamos ante una situación excepcional, procede examinar la disposición controvertida desde el segundo límite fijado por la doctrina constitucional, que predica que la adopción de las leyes singulares debe estar circunscrita a aquellos casos excepcionales que, por su extraordinaria trascendencia y complejidad, no son remediables por los instrumentos normales de que dispone la Administración, constreñida a actuar con sujeción al principio de legalidad, ni por los instrumentos normativos ordinarios, haciéndose por ello necesario que el legislador intervenga singularmente, al objeto exclusivo de arbitrar solución adecuada, a una situación singular. La disposición no supera este examen, porque aunque el legislador pueda introducir causas de suspensión de la ejecución de las resoluciones judiciales, ha de hacerlo respetando siempre el monopolio de Jueces y Tribunales para juzgar y hacer ejecutar lo juzgado, pues en él radica la quintaesencia de la potestad jurisdiccional que les corresponde en exclusiva (art. 117.3 CE). Frente a lo que aduce el Abogado del Estado, no se trata un problema de índole competencial que pueda resolverse </w:t>
      </w:r>
      <w:r w:rsidRPr="00AC56D6">
        <w:rPr>
          <w:i/>
        </w:rPr>
        <w:t>ex</w:t>
      </w:r>
      <w:r>
        <w:t xml:space="preserve"> art. 149.1.6 CE, por la sencilla y evidente razón de que el legislador estatal, al ejercer su competencia exclusiva en materia de legislación procesal, está obligado a respetar los imperativos constitucionales, entre otros, los que derivan de los arts. 24, 117 y 118 CE. Como recordamos en la STC 92/2013, “en el sistema constitucional que deriva de los arts. 117.3 y 118 CE, corresponde a los Juzgados y Tribunales, con carácter exclusivo, la función de ejecutar lo juzgado ‘en todo tipo de procesos’, esto es, también en los procesos contencioso-administrativos, rompiéndose así con situaciones precedentes en las que la Administración retenía la potestad de ejecución. De este modo, mientras que, cuando de la ejecución de un acto administrativo se trata, la Administración ejercita potestades propias de autotutela administrativa que le permiten llevar a efecto sus propias determinaciones, cuando se encuentra dando cumplimiento a una resolución judicial, su actuación se justifica en la obligación de cumplir las Sentencias y demás resoluciones judiciales (art. 118 CE), así como en el auxilio, debido y jurídicamente ordenado, a los órganos judiciales para el ejercicio de su potestad exclusiva de hacer ejecutar lo juzgado (art. 117.3 CE)” (fundamento jurídico 6).</w:t>
      </w:r>
    </w:p>
    <w:p w:rsidR="00AC56D6" w:rsidRDefault="00AC56D6" w:rsidP="00AC56D6">
      <w:pPr>
        <w:pStyle w:val="TextoNormal"/>
      </w:pPr>
    </w:p>
    <w:p w:rsidR="00AC56D6" w:rsidRDefault="00AC56D6" w:rsidP="00AC56D6">
      <w:pPr>
        <w:pStyle w:val="TextoNormal"/>
      </w:pPr>
      <w:r>
        <w:lastRenderedPageBreak/>
        <w:t>La disposición impugnada no respeta esta determinación constitucional, como pone de manifiesto su apartado 2, que desplaza indebidamente la decisión de ejecutar lo juzgado a la Administración, al supeditar el inicio de las actuaciones tendentes a la adecuada sustitución de las instalaciones a que las “circunstancias económicas lo permitan”, a criterios de sostenibilidad y a la garantía del cumplimiento de otras inversiones conexas.</w:t>
      </w:r>
    </w:p>
    <w:p w:rsidR="00AC56D6" w:rsidRDefault="00AC56D6" w:rsidP="00AC56D6">
      <w:pPr>
        <w:pStyle w:val="TextoNormal"/>
      </w:pPr>
    </w:p>
    <w:p w:rsidR="00AC56D6" w:rsidRDefault="00AC56D6" w:rsidP="00AC56D6">
      <w:pPr>
        <w:pStyle w:val="TextoNormal"/>
      </w:pPr>
      <w:r>
        <w:t xml:space="preserve">Ciertamente, en el proceso de ejecución “los órganos judiciales deberán ponderar la totalidad de los intereses en conflicto a la hora de hacer ejecutar sus resoluciones y que no cabe descartar que tal ponderación pudiera llevar al órgano judicial a acomodar el ritmo de la ejecución material de las demoliciones que hayan de tener lugar a las circunstancias concretas de cada caso” (STC 92/2013, de 22 de abril, FJ 6). Puede citarse como caso paradigmático que acredita que los órganos judiciales realizan esta ponderación la STS de 26 de octubre de 2005, que anuló el acuerdo del Consejo de Ministros por el que se declaró como zona de reserva una parcela de terreno de dominio público marítimo terrestre y ordenó la demolición de la depuradora allí instalada. En la pieza separada de ejecución, ante la invocación por el Abogado del Estado de la disposición adicional novena de la Ley 2013 como causa de paralización </w:t>
      </w:r>
      <w:r w:rsidRPr="00AC56D6">
        <w:rPr>
          <w:i/>
        </w:rPr>
        <w:t>ex lege</w:t>
      </w:r>
      <w:r>
        <w:t>, el ATS de 13 de noviembre de 2013 rechaza esta mera invocación formal y ratifica que procede la ejecución en la forma en su día propuesta por la propia Administración del Estado, que previó que la demolición no tendría lugar hasta transcurridos siete años desde el inicio de la ejecución forzosa ordenada.</w:t>
      </w:r>
    </w:p>
    <w:p w:rsidR="00AC56D6" w:rsidRDefault="00AC56D6" w:rsidP="00AC56D6">
      <w:pPr>
        <w:pStyle w:val="TextoNormal"/>
      </w:pPr>
    </w:p>
    <w:p w:rsidR="00AC56D6" w:rsidRDefault="00AC56D6" w:rsidP="00AC56D6">
      <w:pPr>
        <w:pStyle w:val="TextoNormal"/>
      </w:pPr>
      <w:r>
        <w:t>Procede añadir que, una vez conocido el citado fallo de 2005, resulta difícil concebir que la Administración, sometida al principio de legalidad, haya persistido a sabiendas en la adopción de decisiones frontalmente contrarias al criterio del Tribunal Supremo, “último y superior intérprete de la legalidad ordinaria, sin perjuicio de las competencias del Tribunal Constitucional (arts. 123.1 CE)” (STC 93/2012, de 7 de mayo, FJ 2). Tal hipótesis en ningún caso podría justificar una suspensión como la recogida en la disposición adicional novena de la Ley 2/2013, que deviene en atención a lo hasta aquí dicho irrazonable y desproporcionada al fin perseguido.</w:t>
      </w:r>
    </w:p>
    <w:p w:rsidR="00AC56D6" w:rsidRDefault="00AC56D6" w:rsidP="00AC56D6">
      <w:pPr>
        <w:pStyle w:val="TextoNormal"/>
      </w:pPr>
    </w:p>
    <w:p w:rsidR="00AC56D6" w:rsidRDefault="00AC56D6" w:rsidP="00AC56D6">
      <w:pPr>
        <w:pStyle w:val="TextoNormal"/>
      </w:pPr>
      <w:r>
        <w:t xml:space="preserve">La disposición adicional novena de la Ley 2/2013 sacrifica también el derecho a la ejecución de las resoluciones judiciales firmes que dimana del art. 24.1 CE. La reciente STC 50/2015 ha ratificado “que una de las proyecciones del derecho reconocido en el art. 24.1 CE es el derecho a que las resoluciones judiciales alcancen la efectividad otorgada por el Ordenamiento, lo que implica, de un lado, el derecho a que las resoluciones judiciales firmes se ejecuten en sus propios términos y, de otro, el respeto a su firmeza y a la intangibilidad de las situaciones jurídicas en ellas declaradas (SSTC 171/1991, de 16 de septiembre, FJ 3; 198/1994, de 4 de julio, FJ 3; 197/2000, de 24 de julio, FJ 2; 83/2001, de 26 de marzo, FJ 4, entre otras muchas). Así, en la STC 312/2006, de 8 de noviembre, ya señalamos ‘que podría producirse una lesión del art. 24.1 CE en aquellos supuestos en los que los efectos obstativos de una ley o del régimen jurídico en ella establecido para una concreta materia fuesen precisamente hacer imposible de forma desproporcionada que un determinado fallo judicial se cumpla, pues siendo indudable que la Constitución reconoce al legislador un amplio margen de libertad al configurar sus opciones, no es menos cierto que también le somete a determinados límites, entre ellos el que se deriva del art. 24.1 CE’. Por tanto, señalamos en la misma Sentencia y fundamento jurídico que no tiene cabida en nuestra Constitución aquella ley o el concreto régimen jurídico en ella establecido cuyo efecto sea el de </w:t>
      </w:r>
      <w:r>
        <w:lastRenderedPageBreak/>
        <w:t>sacrificar, de forma desproporcionada, el pronunciamiento contenido en el fallo de una resolución judicial firme. Si se quiere, dicho en otros términos, cuando de forma patente o manifiesta no exista la debida proporción entre el interés encarnado en la Ley y el concreto interés tutelado por el fallo a ejecutar”.</w:t>
      </w:r>
    </w:p>
    <w:p w:rsidR="00AC56D6" w:rsidRDefault="00AC56D6" w:rsidP="00AC56D6">
      <w:pPr>
        <w:pStyle w:val="TextoNormal"/>
      </w:pPr>
    </w:p>
    <w:p w:rsidR="00AC56D6" w:rsidRDefault="00AC56D6" w:rsidP="00AC56D6">
      <w:pPr>
        <w:pStyle w:val="TextoNormal"/>
      </w:pPr>
      <w:r>
        <w:t>En suma, de lo hasta aquí razonado se desprende que esta disposición vulnera la potestad de Jueces y Tribunales para hacer ejecutar lo juzgado (arts. 117.3 y 118 CE) al desplazar esta decisión a la Administración y, con ello, vulnera también el derecho a la ejecución de las resoluciones judiciales firmes (art. 24.1 CE), al obstaculizar de forma indebida y desproporcionada el cumplimiento del fallo judicial.</w:t>
      </w:r>
    </w:p>
    <w:p w:rsidR="00AC56D6" w:rsidRDefault="00AC56D6" w:rsidP="00AC56D6">
      <w:pPr>
        <w:pStyle w:val="TextoNormal"/>
      </w:pPr>
    </w:p>
    <w:p w:rsidR="00AC56D6" w:rsidRDefault="00AC56D6" w:rsidP="00AC56D6">
      <w:pPr>
        <w:pStyle w:val="TextoNormal"/>
      </w:pPr>
      <w:r>
        <w:t>En aplicación de esta consolidada doctrina, resulta forzoso concluir que la disposición adicional novena de la Ley 2/2013 vulnera la Constitución desde ambas perspectivas, por lo que resulta inconstitucional y nula.</w:t>
      </w:r>
    </w:p>
    <w:p w:rsidR="00AC56D6" w:rsidRDefault="00AC56D6" w:rsidP="00AC56D6">
      <w:pPr>
        <w:pStyle w:val="TextoNormal"/>
      </w:pPr>
    </w:p>
    <w:p w:rsidR="00AC56D6" w:rsidRDefault="00AC56D6" w:rsidP="00AC56D6">
      <w:pPr>
        <w:pStyle w:val="TextoNormal"/>
      </w:pPr>
      <w:r w:rsidRPr="00AC56D6">
        <w:rPr>
          <w:rStyle w:val="NumeroAFNegritaCaracter"/>
        </w:rPr>
        <w:t>16</w:t>
      </w:r>
      <w:r>
        <w:t>. La disposición transitoria primera de la Ley 2/2013 establece el régimen de aplicación de la disposición transitoria tercera.3 LC 1988, que a su vez determinó el régimen aplicable a los terrenos que a su entrada en vigor estaban clasificados como suelo urbano.</w:t>
      </w:r>
    </w:p>
    <w:p w:rsidR="00AC56D6" w:rsidRDefault="00AC56D6" w:rsidP="00AC56D6">
      <w:pPr>
        <w:pStyle w:val="TextoNormal"/>
      </w:pPr>
    </w:p>
    <w:p w:rsidR="00AC56D6" w:rsidRDefault="00AC56D6" w:rsidP="00AC56D6">
      <w:pPr>
        <w:pStyle w:val="TextoNormal"/>
      </w:pPr>
      <w:r>
        <w:t xml:space="preserve">En esencia, el régimen transitorio previsto en la disposición transitoria tercera.3 LC 1988 pretendió acomodar las limitaciones de la propiedad sobre los terrenos contiguos a la ribera del mar a los tramos de costa que ya estaban urbanizados. Concretamente dispuso, para los terrenos que estuvieran clasificados como suelo urbano a su entrada en vigor, la reducción de la anchura de la servidumbre de protección a veinte metros y la inaplicación de las determinaciones relativas a la zona de influencia. Con la reforma de 2013, dicho </w:t>
      </w:r>
      <w:r w:rsidRPr="00AC56D6">
        <w:rPr>
          <w:i/>
        </w:rPr>
        <w:t>status</w:t>
      </w:r>
      <w:r>
        <w:t xml:space="preserve"> se extiende a aquellos otros terrenos que, sin haber sido clasificados como suelo urbano, cumplieran en la misma fecha de entrada en vigor de la Ley de costas de 1988 uno de estos dos requisitos: (i) contaran con servicios urbanísticos (acceso rodado, abastecimiento de agua, evacuación de aguas residuales y suministro de energía eléctrica) y estuvieran consolidados por la edificación en al menos un tercio de su superficie; o (ii) estuvieran comprendidos en áreas consolidadas por la edificación como mínimo en dos terceras partes de su superficie en municipios con planeamiento, que se reduce a la mitad en municipios sin planeamiento. Se cierra la norma estableciendo que a las nuevas construcciones en estos núcleos o áreas resultan de aplicación las prohibiciones recogidas en el art. 25 de la Ley.</w:t>
      </w:r>
    </w:p>
    <w:p w:rsidR="00AC56D6" w:rsidRDefault="00AC56D6" w:rsidP="00AC56D6">
      <w:pPr>
        <w:pStyle w:val="TextoNormal"/>
      </w:pPr>
    </w:p>
    <w:p w:rsidR="00AC56D6" w:rsidRDefault="00AC56D6" w:rsidP="00AC56D6">
      <w:pPr>
        <w:pStyle w:val="TextoNormal"/>
      </w:pPr>
      <w:r>
        <w:t>El primer motivo de impugnación consiste en la infracción del art. 9.3 CE, en la medida en que legaliza la situación de núcleos o áreas que, a la entrada en vigor de la Ley de costas de 1988, no estuvieran clasificados como suelo urbano, bajo condiciones nuevas que entrañan un escenario de futura litigiosidad e incertidumbre. Pese a que los recurrentes no lo especifican, cabe deducir que consideran vulnerado el principio de seguridad jurídica, objeción que no procede admitir, pues ni la existencia de condiciones nuevas (que en cualquier caso no lo son tanto, si se repara en lo dispuesto por la disposición adicional novena.3 del Reglamento de la Ley de costas de 1989) ni la eventual litigiosidad a que dé lugar la norma constituyen parámetros válidos para una censura de inconstitucionalidad.</w:t>
      </w:r>
    </w:p>
    <w:p w:rsidR="00AC56D6" w:rsidRDefault="00AC56D6" w:rsidP="00AC56D6">
      <w:pPr>
        <w:pStyle w:val="TextoNormal"/>
      </w:pPr>
    </w:p>
    <w:p w:rsidR="00AC56D6" w:rsidRDefault="00AC56D6" w:rsidP="00AC56D6">
      <w:pPr>
        <w:pStyle w:val="TextoNormal"/>
      </w:pPr>
      <w:r>
        <w:t xml:space="preserve">Por otra parte, los requisitos que la disposición impugnada exige para asimilar el régimen transitorio del suelo urbano clasificado y no clasificado coinciden con los que estaban vigentes a la entrada en vigor de la Ley de costas 1988 para otorgar al suelo tal carácter urbano </w:t>
      </w:r>
      <w:r>
        <w:lastRenderedPageBreak/>
        <w:t>(arts. 78 y 81.2 del texto refundido de la Ley sobre régimen del suelo y ordenación urbana aprobado por Real Decreto 1346/1976, de 9 de abril). Y, como recuerda el Abogado del Estado, la reforma es plenamente coherente con la jurisprudencia del Tribunal Supremo, que ha consagrado el criterio de la fuerza normativa de lo fáctico para imponer la obligada consideración de un suelo como urbano, atendiendo a la existencia de los mismos servicios urbanísticos enumerados en la disposición impugnada y a la realidad de las áreas consolidadas por la edificación.</w:t>
      </w:r>
    </w:p>
    <w:p w:rsidR="00AC56D6" w:rsidRDefault="00AC56D6" w:rsidP="00AC56D6">
      <w:pPr>
        <w:pStyle w:val="TextoNormal"/>
      </w:pPr>
    </w:p>
    <w:p w:rsidR="00AC56D6" w:rsidRDefault="00AC56D6" w:rsidP="00AC56D6">
      <w:pPr>
        <w:pStyle w:val="TextoNormal"/>
      </w:pPr>
      <w:r>
        <w:t>Sirve en suma para descartar la vulneración del principio de seguridad jurídica el mismo razonamiento que utilizó la STC 227/1988: “es obvio que las normas a las que se imputa la inseguridad no son normas inciertas o faltas de la indispensable claridad, no obstante la inevitable exégesis que de las mismas haya de hacerse; tampoco contradicen la jerarquía normativa y han sido formalmente publicadas; no inciden en irretroactividad desfavorable a los derechos individuales, aunque dispongan un nuevo régimen más restrictivo aplicable en lo porvenir a situaciones jurídicas preexistentes, cuyo respeto no puede producir una congelación del ordenamiento jurídico o impedir toda modificación del mismo, como ya se ha expuesto, y, por último, no incurren en arbitrariedad ni carecen de razonabilidad por relación a los lícitos propósitos con que el legislador pretende dar respuesta a la cambiante realidad social. De todo ello se sigue que la Ley no conculca el principio de seguridad jurídica, el cual, debe insistirse, no ampara la necesidad de preservar indefinidamente el régimen jurídico que se establece en un momento histórico dado en relación con derechos o situaciones determinadas” (fundamento jurídico 10).</w:t>
      </w:r>
    </w:p>
    <w:p w:rsidR="00AC56D6" w:rsidRDefault="00AC56D6" w:rsidP="00AC56D6">
      <w:pPr>
        <w:pStyle w:val="TextoNormal"/>
      </w:pPr>
    </w:p>
    <w:p w:rsidR="00AC56D6" w:rsidRDefault="00AC56D6" w:rsidP="00AC56D6">
      <w:pPr>
        <w:pStyle w:val="TextoNormal"/>
      </w:pPr>
      <w:r>
        <w:t xml:space="preserve">Tampoco puede prosperar el segundo motivo de impugnación, basado en la vulneración de las competencias autonómicas en materia de ordenación territorial y urbanística. Ya en la STC 149/1991, nos pronunciamos sobre esta cuestión, afirmando como incuestionable que “la incidencia que todo ello tiene en las competencias urbanísticas de las Administraciones autonómicas y municipales correspondientes queda plenamente justificada en la medida en que, como ya se ha visto, también lo están las prohibiciones y limitaciones que, en relación al uso del suelo por razones medioambientales (art. 149.1.23 C.E.), se imponen en las zonas de servidumbre de protección y de influencia. Cabe aun añadir que este régimen transitorio encuentra además complementaria cobertura en la competencia que al Estado reserva el art. 149.1.1 CE, ya que con él se garantiza que las limitaciones y servidumbres que establece la Ley no tengan una proyección desigual sobre las facultades de los propietarios según las diversas situaciones urbanísticas de los terrenos e inmuebles de su titularidad.” [FJ 8 D)]. Y así lo hemos ratificado en las posteriores STC 198/1991, de 17 de octubre, 87/2012, de 18 de abril, 137/2012, de 19 de junio, 34/2014, de 27 de febrero, y 5/2015, de 22 de enero. Como recuerda la más reciente de las citadas, la doctrina de la STC 87/2012 determina que “las Comunidades Autónomas no pueden establecer disposición alguna al respecto, ni siquiera para reproducir con exactitud las previsiones estatales, operación que quedaría vedada por la doctrina sobre la </w:t>
      </w:r>
      <w:r w:rsidRPr="00AC56D6">
        <w:rPr>
          <w:i/>
        </w:rPr>
        <w:t>lex repetita</w:t>
      </w:r>
      <w:r>
        <w:t xml:space="preserve"> sistematizada por la STC 341/2005, de 21 de diciembre, FJ 9, y cuyo origen último está en la STC 10/1982, de 23 de marzo, FJ 8, según la cual la reproducción de normas estatales en normas autonómicas es inconstitucional cuando la Comunidad Autónoma carece de la correspondiente competencia, salvo que —lo que no es el caso— la reiteración de la norma estatal sea imprescindible para el entendimiento del precepto (STC 47/2004, de 25 de marzo, FJ 8)” (FJ 5).</w:t>
      </w:r>
    </w:p>
    <w:p w:rsidR="00AC56D6" w:rsidRDefault="00AC56D6" w:rsidP="00AC56D6">
      <w:pPr>
        <w:pStyle w:val="TextoNormal"/>
      </w:pPr>
    </w:p>
    <w:p w:rsidR="00AC56D6" w:rsidRDefault="00AC56D6" w:rsidP="00AC56D6">
      <w:pPr>
        <w:pStyle w:val="TextoNormal"/>
      </w:pPr>
      <w:r>
        <w:lastRenderedPageBreak/>
        <w:t>En la citada STC 5/2015 determinamos asimismo que, más allá de la elaboración de un censo autonómico de edificaciones “a efectos meramente informativos, la norma autonómica no puede asociar consecuencia alguna a la inclusión de una determinada obra o instalación en el censo, pues ello sería tanto como intervenir, de forma indirecta, en el régimen de protección del dominio público marítimo-terrestre y de sus servidumbres, régimen que corresponde, como venimos diciendo hasta el momento, en exclusiva, al Estado” (FJ 7). En ejercicio de esta competencia exclusiva, la norma estatal que ahora examinamos respeta el marco competencial tanto en su dimensión normativa como ejecutiva, al fijar el completo régimen jurídico transitorio, deferir a las competencias urbanísticas de las Comunidades Autónomas únicamente la delimitación o clasificación del suelo que en estos núcleos o áreas pueda ser considerado como urbano, y preservar la competencia estatal a través de la técnica del informe favorable en lo concerniente a la integridad y defensa del dominio público marítimo-terrestre.</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1º Estimar parcialmente el recurso de inconstitucionalidad núm. 5012-2013 interpuesto contra la Ley 2/2013, de 29 de mayo, de protección y uso sostenible del litoral y de modificación de la Ley 22/1988, de 28 de julio, de costas y, en consecuencia, declarar inconstitucionales y nulos: el artículo 1.39, en cuanto introduce un nuevo apartado 5 en la disposición transitoria primera de la Ley 22/1988; la disposición adicional cuarta, apartados 1, 2 y 4; y la disposición adicional novena.</w:t>
      </w:r>
    </w:p>
    <w:p w:rsidR="00AC56D6" w:rsidRDefault="00AC56D6" w:rsidP="00AC56D6">
      <w:pPr>
        <w:pStyle w:val="TextoNormal"/>
      </w:pPr>
    </w:p>
    <w:p w:rsidR="00AC56D6" w:rsidRDefault="00AC56D6" w:rsidP="00AC56D6">
      <w:pPr>
        <w:pStyle w:val="TextoNormal"/>
      </w:pPr>
      <w:r>
        <w:t>2º Declarar que la disposición adicional séptima y, por conexión, el anexo, no son inconstitucionales siempre que se interpreten en los términos establecidos en el fundamento jurídico 14.</w:t>
      </w:r>
    </w:p>
    <w:p w:rsidR="00AC56D6" w:rsidRDefault="00AC56D6" w:rsidP="00AC56D6">
      <w:pPr>
        <w:pStyle w:val="TextoNormal"/>
      </w:pPr>
    </w:p>
    <w:p w:rsidR="00AC56D6" w:rsidRDefault="00AC56D6" w:rsidP="00AC56D6">
      <w:pPr>
        <w:pStyle w:val="TextoNormal"/>
      </w:pPr>
      <w:r>
        <w:t>3º Desestimar el recurso en todo lo demás.</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cinco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90" w:name="SENTENCIA_2015_234"/>
      <w:r>
        <w:lastRenderedPageBreak/>
        <w:t>SENTENCIA 234/2015, de 5 de noviembre de 2015</w:t>
      </w:r>
    </w:p>
    <w:bookmarkEnd w:id="90"/>
    <w:p w:rsidR="00AC56D6" w:rsidRDefault="00AC56D6" w:rsidP="00AC56D6">
      <w:pPr>
        <w:pStyle w:val="TtuloResolucin"/>
      </w:pPr>
      <w:r>
        <w:t>Pleno</w:t>
      </w:r>
    </w:p>
    <w:p w:rsidR="00AC56D6" w:rsidRDefault="00AC56D6" w:rsidP="00AC56D6">
      <w:pPr>
        <w:pStyle w:val="TtuloBOE"/>
      </w:pPr>
      <w:r>
        <w:t>(BOE núm. 296, de 11 de diciembre de 2015)</w:t>
      </w:r>
    </w:p>
    <w:p w:rsidR="00AC56D6" w:rsidRDefault="00AC56D6" w:rsidP="00AC56D6">
      <w:pPr>
        <w:pStyle w:val="TextoNormalCentrado"/>
      </w:pPr>
      <w:r>
        <w:t>ECLI:ES:TC:2015:234</w:t>
      </w:r>
    </w:p>
    <w:p w:rsidR="00AC56D6" w:rsidRDefault="00AC56D6" w:rsidP="00AC56D6">
      <w:pPr>
        <w:pStyle w:val="TextoNormalCentrado"/>
      </w:pPr>
    </w:p>
    <w:p w:rsidR="00AC56D6" w:rsidRDefault="00AC56D6" w:rsidP="00AC56D6">
      <w:pPr>
        <w:pStyle w:val="SntesisDescriptiva"/>
      </w:pPr>
      <w:r>
        <w:t>Cuestión de inconstitucionalidad 6518-2014. Planteada por la Sala de lo Contencioso-Administrativo del Tribunal Superior de Justicia de Andalucía, con sede en Sevilla, en relación con el artículo 17.8 de la Ley 17/2012, de 27 de diciembre, de presupuestos generales del Estado para el año 2013.</w:t>
      </w:r>
    </w:p>
    <w:p w:rsidR="00AC56D6" w:rsidRDefault="00AC56D6" w:rsidP="00AC56D6">
      <w:pPr>
        <w:pStyle w:val="SntesisDescriptiva"/>
      </w:pPr>
    </w:p>
    <w:p w:rsidR="00AC56D6" w:rsidRDefault="00AC56D6" w:rsidP="00AC56D6">
      <w:pPr>
        <w:pStyle w:val="SntesisAnaltica"/>
      </w:pPr>
      <w:r>
        <w:t>Límites materiales de las leyes de presupuestos, reserva de ley orgánica: inadmisión de la cuestión de inconstitucionalidad por inadecuada formulación del juicio de relevancia.</w:t>
      </w:r>
    </w:p>
    <w:p w:rsidR="00AC56D6" w:rsidRDefault="00AC56D6" w:rsidP="00AC56D6">
      <w:pPr>
        <w:pStyle w:val="SntesisAnaltica"/>
      </w:pPr>
    </w:p>
    <w:p w:rsidR="00AC56D6" w:rsidRDefault="00AC56D6" w:rsidP="00AC56D6">
      <w:pPr>
        <w:pStyle w:val="Extracto"/>
      </w:pPr>
      <w:r>
        <w:t>1.</w:t>
      </w:r>
      <w:r>
        <w:tab/>
        <w:t>Teniendo presente lo dispuesto por la Ley Orgánica para la mejora de la calidad educativa y el silencio del órgano judicial al respecto, no puede asegurarse que el pronunciamiento de este Tribunal acerca del art. 17.8 de la Ley 17/2012, de 27 de diciembre, objeto de la presente cuestión, fuera necesario e imprescindible para resolver el caso sometido a la consideración de la Sala cuestionante, de manera que el juicio de constitucionalidad solicitado sobre el precepto podría quedar desconectado de su aplicación al proceso a quo [FJ 2].</w:t>
      </w:r>
    </w:p>
    <w:p w:rsidR="00AC56D6" w:rsidRDefault="00AC56D6" w:rsidP="00AC56D6">
      <w:pPr>
        <w:pStyle w:val="Extracto"/>
      </w:pPr>
    </w:p>
    <w:p w:rsidR="00AC56D6" w:rsidRDefault="00AC56D6" w:rsidP="00AC56D6">
      <w:pPr>
        <w:pStyle w:val="Extracto"/>
      </w:pPr>
      <w:r>
        <w:t>2.</w:t>
      </w:r>
      <w:r>
        <w:tab/>
        <w:t xml:space="preserve">La relevancia de la norma impugnada para el proceso </w:t>
      </w:r>
      <w:r w:rsidRPr="00AC56D6">
        <w:rPr>
          <w:i/>
        </w:rPr>
        <w:t>a quo</w:t>
      </w:r>
      <w:r>
        <w:t xml:space="preserve"> es condición anterior desde un punto de vista lógico al requisito de la argumentación suficiente de la duda de constitucionalidad, pues asegura el carácter concreto del control de constitucionalidad que informa este tipo de procesos constitucionales, de manera que un defecto en su adecuada formulación debe conducir a excluir todo enjuiciamiento de fondo por este Tribunal [FJ 2].</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 xml:space="preserve">En la cuestión de inconstitucionalidad núm. 6518-2014 promovida por la Sala de lo Contencioso-Administrativo del Tribunal Superior de Justicia de Andalucía, con sede en Sevilla, en relación con el art. 17.8 de la Ley 17/2012, de 27 de diciembre, de presupuestos generales </w:t>
      </w:r>
      <w:r>
        <w:lastRenderedPageBreak/>
        <w:t>del Estado para el año 2013. Ha comparecido y formulado alegaciones el Abogado del Estado. Ha intervenido el Fiscal General del Estado. Ha sido Ponente la Magistrada doña Encarnación Roca Trías,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día 31 de octubre de 2014 tuvo entrada en el Registro General de este Tribunal escrito de la Sección Tercera de la Sala de lo Contencioso-Administrativo del Tribunal Superior de Justicia de Andalucía, con sede en Sevilla, al que se acompaña, junto con el testimonio del procedimiento correspondiente, el Auto de 14 de octubre de 2014, en el que se acuerda plantear cuestión de inconstitucionalidad sobre el art. 17.8 de la Ley 17/2012, de 27 de diciembre, de presupuestos generales del Estado para el año 2013, por posible vulneración de los arts. 81.1 y 134.2 CE. El precepto cuestionado establece lo siguiente:</w:t>
      </w:r>
    </w:p>
    <w:p w:rsidR="00AC56D6" w:rsidRDefault="00AC56D6" w:rsidP="00AC56D6">
      <w:pPr>
        <w:pStyle w:val="TextoNormal"/>
      </w:pPr>
    </w:p>
    <w:p w:rsidR="00AC56D6" w:rsidRDefault="00AC56D6" w:rsidP="00AC56D6">
      <w:pPr>
        <w:pStyle w:val="TextoNormal"/>
      </w:pPr>
      <w:r>
        <w:t>“Lo establecido en este artículo será plenamente aplicable a la financiación de todos los centros concertados incluidos los de educación diferenciada que escolarizan alumnos de un solo sexo, y ello, con independencia del modelo de agrupamiento de alumnos que realicen los centros docentes en el ejercicio de sus competencias.”</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son, sucintamente expuestos, los siguientes:</w:t>
      </w:r>
    </w:p>
    <w:p w:rsidR="00AC56D6" w:rsidRDefault="00AC56D6" w:rsidP="00AC56D6">
      <w:pPr>
        <w:pStyle w:val="TextoNormal"/>
      </w:pPr>
    </w:p>
    <w:p w:rsidR="00AC56D6" w:rsidRDefault="00AC56D6" w:rsidP="00AC56D6">
      <w:pPr>
        <w:pStyle w:val="TextoNormal"/>
      </w:pPr>
      <w:r>
        <w:t>a) La Federación de Escuelas Agrarias de Andalucía, titular de un centro docente privado, interpuso recurso contencioso-administrativo contra la Orden de 27 de febrero de 2013, de la Consejería de Educación de la Junta de Andalucía, por la que se resuelve la solicitud de renovación del concierto educativo con el centro docente privado “Yucatal” de Posadas (Córdoba), a partir del curso académico 2013-2014. Dicha Orden denegaba el concierto educativo para el centro de su titularidad, por no cumplir con lo establecido en el art. 84.3 de la Ley Orgánica 2/2006, de 3 de mayo, de Educación (LOE), en lo que se refiere a la no discriminación por razón de sexo, al no comprometerse a escolarizar alumnado de ambos sexos.</w:t>
      </w:r>
    </w:p>
    <w:p w:rsidR="00AC56D6" w:rsidRDefault="00AC56D6" w:rsidP="00AC56D6">
      <w:pPr>
        <w:pStyle w:val="TextoNormal"/>
      </w:pPr>
    </w:p>
    <w:p w:rsidR="00AC56D6" w:rsidRDefault="00AC56D6" w:rsidP="00AC56D6">
      <w:pPr>
        <w:pStyle w:val="TextoNormal"/>
      </w:pPr>
      <w:r>
        <w:t>b) La citada resolución fue recurrida en vía contencioso-administrativa ante la Sala antes citada del Tribunal Superior de Justicia, por cuanto se entendía, entre otros motivos de ilegalidad e inconstitucionalidad, que la Administración había incumplido el mandato establecido en el art. 17.8 de la Ley 17/2012, de 27 de diciembre, que había entrado en vigor el 1 de enero de 2013. El Letrado de la Junta de Andalucía, en la contestación a la demanda, alegaba la inconstitucionalidad del citado art. 17.8 por vulneración de la reserva de ley orgánica del art. 81 CE y por exceder del contenido admisible para una ley de presupuestos con vulneración, además, del principio de igualdad de los arts. 9.3 y 14 CE, solicitando el planteamiento de la cuestión de inconstitucionalidad.</w:t>
      </w:r>
    </w:p>
    <w:p w:rsidR="00AC56D6" w:rsidRDefault="00AC56D6" w:rsidP="00AC56D6">
      <w:pPr>
        <w:pStyle w:val="TextoNormal"/>
      </w:pPr>
    </w:p>
    <w:p w:rsidR="00AC56D6" w:rsidRDefault="00AC56D6" w:rsidP="00AC56D6">
      <w:pPr>
        <w:pStyle w:val="TextoNormal"/>
      </w:pPr>
      <w:r>
        <w:t>c) Estando conclusas las actuaciones y señalado para votación y fallo el día 25 de junio de 2014, se dictó providencia de 25 del mismo mes y año dando plazo común para alegaciones a las partes y al Ministerio Fiscal, por considerar la Sala que el art. 17.8 de la Ley 17/2012, de 27 de diciembre, de cuya validez depende el fallo, podría ser contrario a la Constitución.</w:t>
      </w:r>
    </w:p>
    <w:p w:rsidR="00AC56D6" w:rsidRDefault="00AC56D6" w:rsidP="00AC56D6">
      <w:pPr>
        <w:pStyle w:val="TextoNormal"/>
      </w:pPr>
    </w:p>
    <w:p w:rsidR="00AC56D6" w:rsidRDefault="00AC56D6" w:rsidP="00AC56D6">
      <w:pPr>
        <w:pStyle w:val="TextoNormal"/>
      </w:pPr>
      <w:r>
        <w:t>d) Habiendo alegado el Ministerio Fiscal que la providencia citada no cumplía las exigencias del art. 35.2 de la Ley Orgánica del Tribunal Constitucional (LOTC) por no mencionar la norma constitucional cuya vulneración se cuestionaba, y no justificar en qué medida la decisión del proceso dependía de su validez, se dictó nueva providencia de 8 de septiembre de 2014, dando nuevo plazo de alegaciones sobre la inconstitucionalidad en que podría incurrir el art. 17.8 de la Ley 17/2012, de 27 de diciembre, de cuya validez depende el fallo, por vulneración de los arts. 81.1 y 134.2 CE. Considera la nueva providencia que, tras el dictado del precepto mencionado, la administración no puede seguir aplicando la doctrina dictada en interpretación de la Ley Orgánica de educación. Entiende que este precepto invade tanto la reserva de ley orgánica como excede del contenido que la Constitución contempla para las leyes de presupuestos.</w:t>
      </w:r>
    </w:p>
    <w:p w:rsidR="00AC56D6" w:rsidRDefault="00AC56D6" w:rsidP="00AC56D6">
      <w:pPr>
        <w:pStyle w:val="TextoNormal"/>
      </w:pPr>
    </w:p>
    <w:p w:rsidR="00AC56D6" w:rsidRDefault="00AC56D6" w:rsidP="00AC56D6">
      <w:pPr>
        <w:pStyle w:val="TextoNormal"/>
      </w:pPr>
      <w:r>
        <w:t>e) Mediante escrito de 23 de septiembre de 2014, sin pronunciarse sobre el fondo de la cuestión planteada y teniendo en cuenta los aspectos formales, el Ministerio Fiscal expresó la procedencia de interponer la cuestión. La parte, mediante escrito de 1 de octubre de 2014, solicitó a la Sala que adoptase la decisión que en derecho proceda. Por su parte, el Letrado de la Junta de Andalucía mediante escrito de 7 de octubre de 2014, consideró que procedía el planteamiento de la cuestión de inconstitucionalidad considerando que el art. 17.8 de la Ley 17/2012, de 27 de diciembre, infringe el art. 81.1 CE, así como los arts. 9.3, 14, 66.2 y 134 CE.</w:t>
      </w:r>
    </w:p>
    <w:p w:rsidR="00AC56D6" w:rsidRDefault="00AC56D6" w:rsidP="00AC56D6">
      <w:pPr>
        <w:pStyle w:val="TextoNormal"/>
      </w:pPr>
    </w:p>
    <w:p w:rsidR="00AC56D6" w:rsidRDefault="00AC56D6" w:rsidP="00AC56D6">
      <w:pPr>
        <w:pStyle w:val="TextoNormal"/>
      </w:pPr>
      <w:r>
        <w:t>f) El órgano judicial dictó Auto de 14 de octubre de 2014, en el que acuerda plantear cuestión de inconstitucionalidad respecto al art. 17.8 de la Ley 17/2012, de 27 de diciembre, de presupuestos Generales del Estado para el año 2013, por posible vulneración de los arts. 81.1 y 134.2 CE.</w:t>
      </w:r>
    </w:p>
    <w:p w:rsidR="00AC56D6" w:rsidRDefault="00AC56D6" w:rsidP="00AC56D6">
      <w:pPr>
        <w:pStyle w:val="TextoNormal"/>
      </w:pPr>
    </w:p>
    <w:p w:rsidR="00AC56D6" w:rsidRDefault="00AC56D6" w:rsidP="00AC56D6">
      <w:pPr>
        <w:pStyle w:val="TextoNormal"/>
      </w:pPr>
      <w:r w:rsidRPr="00AC56D6">
        <w:rPr>
          <w:rStyle w:val="NumeroAFNegritaCaracter"/>
        </w:rPr>
        <w:t>3</w:t>
      </w:r>
      <w:r>
        <w:t>. Del contenido del Auto interesa destacar lo siguiente:</w:t>
      </w:r>
    </w:p>
    <w:p w:rsidR="00AC56D6" w:rsidRDefault="00AC56D6" w:rsidP="00AC56D6">
      <w:pPr>
        <w:pStyle w:val="TextoNormal"/>
      </w:pPr>
    </w:p>
    <w:p w:rsidR="00AC56D6" w:rsidRDefault="00AC56D6" w:rsidP="00AC56D6">
      <w:pPr>
        <w:pStyle w:val="TextoNormal"/>
      </w:pPr>
      <w:r>
        <w:t>El órgano judicial razona que tras la entrada en vigor de la LOE resultaba conforme a derecho, de acuerdo con la jurisprudencia del Tribunal Supremo, que la Administración rechazase celebrar conciertos educativos con centros docentes privados donde no se escolarizan alumnos de ambos sexos. El estado de la cuestión, prosigue, ha cambiado con la Ley 17/2012, cuyo art. 17 relativo al “módulo económico de distribución de fondos públicos para sostenimiento de centros concertados” estableció, en su apartado 8, que dicha norma es plenamente aplicable a la financiación de centros concertados, incluidos los de educación diferenciada que escolarizan alumnos de un solo sexo y ello con independencia del modelo de agrupamiento de alumnos que realicen los centros docentes en el ejercicio de sus competencias. De esta manera, si de acuerdo con la Ley Orgánica de educación los centros con educación diferenciada no podían acogerse a la financiación pública, tras la ley de presupuestos la regla es la contraria. Este precepto habría sido vulnerado por la resolución impugnada en el pleito principal, de modo que en su aplicación habría que dar razón a la recurrente en el pleito. No obstante, expresa dos dudas sobre su constitucionalidad:</w:t>
      </w:r>
    </w:p>
    <w:p w:rsidR="00AC56D6" w:rsidRDefault="00AC56D6" w:rsidP="00AC56D6">
      <w:pPr>
        <w:pStyle w:val="TextoNormal"/>
      </w:pPr>
    </w:p>
    <w:p w:rsidR="00AC56D6" w:rsidRDefault="00AC56D6" w:rsidP="00AC56D6">
      <w:pPr>
        <w:pStyle w:val="TextoNormal"/>
      </w:pPr>
      <w:r>
        <w:t xml:space="preserve">a) Relativa a la reserva a ley orgánica de la regulación de los aspectos esenciales de un derecho fundamental. Entiende el órgano judicial que no se había puesto en duda el sistema de la educación diferenciada hasta la entrada en vigor de la Ley Orgánica de educación en </w:t>
      </w:r>
      <w:r>
        <w:lastRenderedPageBreak/>
        <w:t>cuyo art. 84.3 se prohíbe expresamente en el régimen de admisión de alumnos la discriminación por razón de sexo. Dicho precepto, conforme a la interpretación realizada por el Tribunal Supremo comporta que la educación separada por sexos dejó de estar autorizada para los centros docentes sostenidos con fondos públicos. Asimismo pone de relieve que en la reforma de la Ley Orgánica de educación se ha introducido, en el art. 84.3 lo siguiente: “No constituye discriminación la admisión de alumnos y alumnas o la organización de la enseñanza diferenciadas por sexos, siempre que la enseñanza que impartan se desarrolle conforme a lo dispuesto en el artículo 2 de la Convención relativa a la lucha contra las discriminaciones en la esfera de la enseñanza, aprobada por la Conferencia General de la UNESCO el 14 de diciembre de 1960”.</w:t>
      </w:r>
    </w:p>
    <w:p w:rsidR="00AC56D6" w:rsidRDefault="00AC56D6" w:rsidP="00AC56D6">
      <w:pPr>
        <w:pStyle w:val="TextoNormal"/>
      </w:pPr>
    </w:p>
    <w:p w:rsidR="00AC56D6" w:rsidRDefault="00AC56D6" w:rsidP="00AC56D6">
      <w:pPr>
        <w:pStyle w:val="TextoNormal"/>
      </w:pPr>
      <w:r>
        <w:t>b) Relativa a los límites constitucionales de la ley de presupuestos. La doctrina constitucional (STC 76/1992), establece los límites de las leyes de presupuestos, distinguiendo entre (i) el contenido necesario y (ii) el eventual, posible y no necesario, para el que se requiere la relación directa con los gastos e ingresos que integran el presupuesto o con los criterios de política económica de la que el presupuesto es instrumento. El precepto impugnado podría no cumplir los límites establecidos, en cuanto no contiene una previsión de gastos e ingresos, y es dudoso que, aun cuando pueda tener una relación directa con los ingresos o gastos del Estado, sea complemento necesario para su mejor inteligencia.</w:t>
      </w:r>
    </w:p>
    <w:p w:rsidR="00AC56D6" w:rsidRDefault="00AC56D6" w:rsidP="00AC56D6">
      <w:pPr>
        <w:pStyle w:val="TextoNormal"/>
      </w:pPr>
    </w:p>
    <w:p w:rsidR="00AC56D6" w:rsidRDefault="00AC56D6" w:rsidP="00AC56D6">
      <w:pPr>
        <w:pStyle w:val="TextoNormal"/>
      </w:pPr>
      <w:r w:rsidRPr="00AC56D6">
        <w:rPr>
          <w:rStyle w:val="NumeroAFNegritaCaracter"/>
        </w:rPr>
        <w:t>4</w:t>
      </w:r>
      <w:r>
        <w:t>. Mediante providencia de 16 de diciembre de 2014, el Pleno, a propuesta de la Sección Primera, acuerda admitir a trámite la presente cuestión y reservarse para sí el conocimiento de la misma; dar traslado de las actuaciones recibidas, conforme establece el artículo 37.3 de la Ley Orgánica del Tribunal Constitucional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la presente resolución a la Sección Tercera de la Sala de lo Contencioso-Administrativo del Tribunal Superior de Andalucía, con sede en Sevilla, a fin de que, de conformidad con lo dispuesto en el art. 35.3 LOTC, permanezca suspendido el proceso hasta que este Tribunal resuelva definitivamente la presente cuestión. Finalmente se ordenó publicar la incoación de la cuestión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El Presidente del Congreso de los Diputados, en escrito registrado en fecha 15 de enero de 2015, comunicó a este Tribunal que la Mesa de la Cámara adoptó el acuerdo de personarse en el proceso, ofreciendo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6</w:t>
      </w:r>
      <w:r>
        <w:t>. El 15 de enero de 2015 se personó en el proceso el Abogado del Estado, en nombre del Gobierno, e interesó la desestimación de la cuestión por las razones que a continuación se resumen.</w:t>
      </w:r>
    </w:p>
    <w:p w:rsidR="00AC56D6" w:rsidRDefault="00AC56D6" w:rsidP="00AC56D6">
      <w:pPr>
        <w:pStyle w:val="TextoNormal"/>
      </w:pPr>
    </w:p>
    <w:p w:rsidR="00AC56D6" w:rsidRDefault="00AC56D6" w:rsidP="00AC56D6">
      <w:pPr>
        <w:pStyle w:val="TextoNormal"/>
      </w:pPr>
      <w:r>
        <w:t>Tras exponer los antecedentes del caso precisa que, a su juicio, la duda de constitucionalidad planteada se limita a la posible vulneración de los arts. 81.1 y 134.2 CE. A continuación, expone el sistema de conciertos educativos previsto en la Ley Orgánica de educación, señalando que dicha norma no establece prohibición expresa alguna de la no financiación de centros privados que practiquen la educación diferenciada.</w:t>
      </w:r>
    </w:p>
    <w:p w:rsidR="00AC56D6" w:rsidRDefault="00AC56D6" w:rsidP="00AC56D6">
      <w:pPr>
        <w:pStyle w:val="TextoNormal"/>
      </w:pPr>
    </w:p>
    <w:p w:rsidR="00AC56D6" w:rsidRDefault="00AC56D6" w:rsidP="00AC56D6">
      <w:pPr>
        <w:pStyle w:val="TextoNormal"/>
      </w:pPr>
      <w:r>
        <w:lastRenderedPageBreak/>
        <w:t>El Abogado del Estado parte de la consideración de que el Auto de planteamiento de la cuestión no desarrolla sino de manera mínima la vulneración del art. 81.1 CE. A su juicio, no puede sostenerse que el artículo 17.8 de la Ley 17/2012 suponga una innovación normativa que afecte al núcleo esencial del derecho fundamental a la educación, conforme a la doctrina constitucional.</w:t>
      </w:r>
    </w:p>
    <w:p w:rsidR="00AC56D6" w:rsidRDefault="00AC56D6" w:rsidP="00AC56D6">
      <w:pPr>
        <w:pStyle w:val="TextoNormal"/>
      </w:pPr>
    </w:p>
    <w:p w:rsidR="00AC56D6" w:rsidRDefault="00AC56D6" w:rsidP="00AC56D6">
      <w:pPr>
        <w:pStyle w:val="TextoNormal"/>
      </w:pPr>
      <w:r>
        <w:t xml:space="preserve">En su opinión, el artículo 17 de la Ley 17/2012 lo que hace es concretar, para el ejercicio 2013, las previsiones de los artículos 116 y siguientes Ley Orgánica de educación, preceptos que no tienen carácter orgánico, por lo que menos pueden tenerlo las previsiones dictadas en su desarrollo que, además tienen un carácter temporal limitado al ejercicio 2013. El artículo 17.8 cuestionado establece una concreción necesaria del ámbito subjetivo de los conciertos para la aplicación de las previsiones presupuestarias. Si bien admite que es cierto que la ley se dicta en un momento en que la jurisprudencia del Tribunal Supremo entendió que los centros con educación diferenciada contrarían el principio de igualdad en su vertiente relativa a la no discriminación por razón de sexo, </w:t>
      </w:r>
      <w:r w:rsidRPr="00AC56D6">
        <w:rPr>
          <w:i/>
        </w:rPr>
        <w:t>ex</w:t>
      </w:r>
      <w:r>
        <w:t xml:space="preserve"> artículo 84.3 LOE y no podían ser beneficiarios de conciertos educativos, entiende que la Ley Orgánica de educación no contenía una previsión expresa al respecto. En su opinión, el artículo 17.8 no introduce una previsión sustantiva contraria o diferente al artículo 84.3 LOE, aunque lo interprete de una manera diferente al Tribunal Supremo. Esta diferente interpretación, al entender dentro del ámbito subjetivo de los conciertos los centros con educación diferenciada, no invade el ámbito de Ley Orgánica, en cuanto no supone el desarrollo del núcleo esencial del derecho a la educación. Finalmente, alega que la modificación de la Ley Orgánica de educación por la Ley Orgánica 8/2013, de 9 de diciembre, que precisa que no se puede entender por discriminación por razón de sexo la escuela diferenciada y afirma que los centros de educación diferenciada tienen derecho, si cumplen con las condiciones legales, a concierto para su financiación, sólo aclara o interpreta las previsiones de la redacción anterior del artículo 84.3 LOE, concluyendo que la previsión del artículo 17.8 de la Ley 17/2012 no afecta a la reserva de Ley Orgánica, por lo que este motivo debe ser rechazado.</w:t>
      </w:r>
    </w:p>
    <w:p w:rsidR="00AC56D6" w:rsidRDefault="00AC56D6" w:rsidP="00AC56D6">
      <w:pPr>
        <w:pStyle w:val="TextoNormal"/>
      </w:pPr>
    </w:p>
    <w:p w:rsidR="00AC56D6" w:rsidRDefault="00AC56D6" w:rsidP="00AC56D6">
      <w:pPr>
        <w:pStyle w:val="TextoNormal"/>
      </w:pPr>
      <w:r>
        <w:t>En segundo lugar, el Abogado del Estado rechaza, asimismo, que el artículo cuestionado vulnere el art. 134.2 CE, atendiendo a la doctrina constitucional sobre el contenido de la Ley de presupuestos. Partiendo de la misma, entiende que el art. 17.8 integra el denominado “contenido eventual” de la Ley de presupuestos y que no constituye una modificación sustantiva del ordenamiento jurídico; tiene un carácter limitado en el ámbito temporal, y tiene una conexión económica o presupuestaria evidente que fundamenta en la remisión que el art. 117 LOE realiza a las leyes de presupuestos generales del Estado. La concreción del ámbito subjetivo de los centros beneficiarios de conciertos educativos es un elemento esencial para poder prever las habilitaciones presupuestarias necesarias. La incidencia en la ordenación del programa anual de gastos es necesaria y principal y por ello suficiente para legitimar su inclusión en la Ley de Presupuestos. Se trata de una conexión con el objeto del presupuesto (habilitación de gastos) directa, inmediata y querida por la norma. La inclusión de los centros concertados en los módulos de concierto tiene relación con los estados de gasto de los presupuestos generales del Estado al tratar sobre la financiación de centros docentes concertados con cargo a los presupuestos de las administraciones públicas.</w:t>
      </w:r>
    </w:p>
    <w:p w:rsidR="00AC56D6" w:rsidRDefault="00AC56D6" w:rsidP="00AC56D6">
      <w:pPr>
        <w:pStyle w:val="TextoNormal"/>
      </w:pPr>
    </w:p>
    <w:p w:rsidR="00AC56D6" w:rsidRDefault="00AC56D6" w:rsidP="00AC56D6">
      <w:pPr>
        <w:pStyle w:val="TextoNormal"/>
      </w:pPr>
      <w:r w:rsidRPr="00AC56D6">
        <w:rPr>
          <w:rStyle w:val="NumeroAFNegritaCaracter"/>
        </w:rPr>
        <w:t>7</w:t>
      </w:r>
      <w:r>
        <w:t>. El Presidente del Senado mediante escrito registrado en este Tribunal el día 27 de enero de 2015 comunicó a este Tribunal que la Mesa de la Cámara adoptó el acuerdo de personarse en el proceso, ofreciendo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8</w:t>
      </w:r>
      <w:r>
        <w:t>. El 30 de enero de 2015 presentó su escrito de alegaciones el Fiscal General del Estado, interesando la desestimación de la cuestión por las razones que se resumen a continuación.</w:t>
      </w:r>
    </w:p>
    <w:p w:rsidR="00AC56D6" w:rsidRDefault="00AC56D6" w:rsidP="00AC56D6">
      <w:pPr>
        <w:pStyle w:val="TextoNormal"/>
      </w:pPr>
    </w:p>
    <w:p w:rsidR="00AC56D6" w:rsidRDefault="00AC56D6" w:rsidP="00AC56D6">
      <w:pPr>
        <w:pStyle w:val="TextoNormal"/>
      </w:pPr>
      <w:r>
        <w:t>Expone, en primer lugar, los antecedentes de hecho de la cuestión así como el contenido del art. 17 y de los anexos IV y V de la Ley 17/2012, de 27 de diciembre, y del propio Auto de planteamiento de la cuestión.</w:t>
      </w:r>
    </w:p>
    <w:p w:rsidR="00AC56D6" w:rsidRDefault="00AC56D6" w:rsidP="00AC56D6">
      <w:pPr>
        <w:pStyle w:val="TextoNormal"/>
      </w:pPr>
    </w:p>
    <w:p w:rsidR="00AC56D6" w:rsidRDefault="00AC56D6" w:rsidP="00AC56D6">
      <w:pPr>
        <w:pStyle w:val="TextoNormal"/>
      </w:pPr>
      <w:r>
        <w:t>Antes de abordar el examen de las cuestiones planteadas en el Auto, analiza la pervivencia del objeto, dado que las previsiones anteriormente citadas se limitaban al ejercicio presupuestario de 2013, si bien llega a la conclusión de que, conforme a la doctrina de este Tribunal, no se ha producido la pérdida de objeto del proceso, por lo que no deduce ninguna consecuencia de dicho planteamiento para este proceso.</w:t>
      </w:r>
    </w:p>
    <w:p w:rsidR="00AC56D6" w:rsidRDefault="00AC56D6" w:rsidP="00AC56D6">
      <w:pPr>
        <w:pStyle w:val="TextoNormal"/>
      </w:pPr>
    </w:p>
    <w:p w:rsidR="00AC56D6" w:rsidRDefault="00AC56D6" w:rsidP="00AC56D6">
      <w:pPr>
        <w:pStyle w:val="TextoNormal"/>
      </w:pPr>
      <w:r>
        <w:t>En cuanto al fondo del asunto, considera, en primer lugar, que el art. 17.8 de la Ley 17/2012 no vulnera el art. 134. 2 CE, conforme a la doctrina constitucional. A su juicio, la regulación prevista en el citado precepto no puede ser escindida de su contexto, constituido no sólo por los números 1 a 7 del art. 17, sino también por los anexos IV y V de esa misma ley. Y, así considerada, la norma cuestionada, en cuanto dispone que la regulación de los números 1 a 7 del art. 17 en relación con los Anexos IV y V, es plenamente aplicable a la financiación de todos los centros concertados, también a los de educación diferenciada que escolarizan alumnos de un solo sexo, no hace sino extender a éstos una serie de disposiciones que, tal y como se ha justificado, obedecen sin ningún género de dudas al “contenido propio” o “núcleo esencial” del presupuesto.</w:t>
      </w:r>
    </w:p>
    <w:p w:rsidR="00AC56D6" w:rsidRDefault="00AC56D6" w:rsidP="00AC56D6">
      <w:pPr>
        <w:pStyle w:val="TextoNormal"/>
      </w:pPr>
    </w:p>
    <w:p w:rsidR="00AC56D6" w:rsidRDefault="00AC56D6" w:rsidP="00AC56D6">
      <w:pPr>
        <w:pStyle w:val="TextoNormal"/>
      </w:pPr>
      <w:r>
        <w:t xml:space="preserve">En segundo lugar, considera que el precepto cuestionado tampoco vulnera el art. 81.1 CE. Partiendo de la doctrina establecida en la STC 86/1985, afirma que el art. 27.9 CE ni enuncia un derecho fundamental a la prestación pública, ni encierra un derecho subjetivo a la prestación pública. Si, además, tal prestación pública habrá de ser dispuesta por la Ley, parece obvio concluir que esta materia no forma parte esencial del derecho consagrado en el art. 27.9 CE y, siendo esto así, resulta igualmente obvio que no existe un deber </w:t>
      </w:r>
      <w:r w:rsidRPr="00AC56D6">
        <w:rPr>
          <w:i/>
        </w:rPr>
        <w:t>ex Constitutione</w:t>
      </w:r>
      <w:r>
        <w:t xml:space="preserve"> de regular tal materia mediante Ley Orgánica.</w:t>
      </w:r>
    </w:p>
    <w:p w:rsidR="00AC56D6" w:rsidRDefault="00AC56D6" w:rsidP="00AC56D6">
      <w:pPr>
        <w:pStyle w:val="TextoNormal"/>
      </w:pPr>
    </w:p>
    <w:p w:rsidR="00AC56D6" w:rsidRDefault="00AC56D6" w:rsidP="00AC56D6">
      <w:pPr>
        <w:pStyle w:val="TextoNormal"/>
      </w:pPr>
      <w:r w:rsidRPr="00AC56D6">
        <w:rPr>
          <w:rStyle w:val="NumeroAFNegritaCaracter"/>
        </w:rPr>
        <w:t>9</w:t>
      </w:r>
      <w:r>
        <w:t>. Por providencia de 3 de noviembre de 2015 se señaló para deliberación y votación de la presente Sentencia el día 5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Sección Tercera de la Sala de lo Contencioso-Administrativo del Tribunal Superior de Justicia de Andalucía, con sede en Sevilla, plantea cuestión de inconstitucionalidad sobre el art. 17.8 de la Ley 17/2012, de 27 de diciembre, de presupuestos generales del Estado para el año 2013 (en adelante, Ley 17/2012).</w:t>
      </w:r>
    </w:p>
    <w:p w:rsidR="00AC56D6" w:rsidRDefault="00AC56D6" w:rsidP="00AC56D6">
      <w:pPr>
        <w:pStyle w:val="TextoNormal"/>
      </w:pPr>
    </w:p>
    <w:p w:rsidR="00AC56D6" w:rsidRDefault="00AC56D6" w:rsidP="00AC56D6">
      <w:pPr>
        <w:pStyle w:val="TextoNormal"/>
      </w:pPr>
      <w:r>
        <w:t xml:space="preserve">El art. 17 de la citada ley regula el módulo económico de distribución de fondos públicos para sostenimiento de centros concertados, en cumplimiento, conforme a su primer apartado, de lo dispuesto en el art. 117 de la Ley Orgánica 2/2006, de 3 de mayo, de Educación (LOE). Este precepto determina que se fijará anualmente en los presupuestos generales del </w:t>
      </w:r>
      <w:r>
        <w:lastRenderedPageBreak/>
        <w:t>Estado el importe del módulo económico por unidad escolar, a efectos de distribución de la cuantía global de los fondos públicos destinados al sostenimiento de los centros privados concertados para hacer efectiva la gratuidad de las enseñanzas objeto de concierto,. Asimismo, establece los diferentes conceptos que integran dicho módulo (salarios del personal docente, cantidades asignadas a otros gastos y cantidades para atender al pago de diferentes conceptos como los de antigüedad, sustituciones o ejercicio de la función directiva).</w:t>
      </w:r>
    </w:p>
    <w:p w:rsidR="00AC56D6" w:rsidRDefault="00AC56D6" w:rsidP="00AC56D6">
      <w:pPr>
        <w:pStyle w:val="TextoNormal"/>
      </w:pPr>
    </w:p>
    <w:p w:rsidR="00AC56D6" w:rsidRDefault="00AC56D6" w:rsidP="00AC56D6">
      <w:pPr>
        <w:pStyle w:val="TextoNormal"/>
      </w:pPr>
      <w:r>
        <w:t>El apartado 8 del art. 17 de la Ley 17/2012, objeto del presente proceso constitucional, determina lo siguiente:</w:t>
      </w:r>
    </w:p>
    <w:p w:rsidR="00AC56D6" w:rsidRDefault="00AC56D6" w:rsidP="00AC56D6">
      <w:pPr>
        <w:pStyle w:val="TextoNormal"/>
      </w:pPr>
    </w:p>
    <w:p w:rsidR="00AC56D6" w:rsidRDefault="00AC56D6" w:rsidP="00AC56D6">
      <w:pPr>
        <w:pStyle w:val="TextoNormal"/>
      </w:pPr>
      <w:r>
        <w:t>“Lo establecido en este artículo será plenamente aplicable a la financiación de todos los centros concertados incluidos los de educación diferenciada que escolarizan alumnos de un solo sexo, y ello, con independencia del modelo de agrupamiento de alumnos que realicen los centros docentes en el ejercicio de sus competencias.”</w:t>
      </w:r>
    </w:p>
    <w:p w:rsidR="00AC56D6" w:rsidRDefault="00AC56D6" w:rsidP="00AC56D6">
      <w:pPr>
        <w:pStyle w:val="TextoNormal"/>
      </w:pPr>
    </w:p>
    <w:p w:rsidR="00AC56D6" w:rsidRDefault="00AC56D6" w:rsidP="00AC56D6">
      <w:pPr>
        <w:pStyle w:val="TextoNormal"/>
      </w:pPr>
      <w:r>
        <w:t>En síntesis, entiende el órgano judicial que el art. 17.8 de la Ley 17/2012 podría vulnerar tanto el art. 81.1 CE, pues está reservado a Ley Orgánica regular aspectos esenciales de un derecho fundamental, como el art. 134.2 CE, por no poder considerarse dicho párrafo contenido ni necesario ni eventual de la ley de presupuestos, conforme a la doctrina constitucional.</w:t>
      </w:r>
    </w:p>
    <w:p w:rsidR="00AC56D6" w:rsidRDefault="00AC56D6" w:rsidP="00AC56D6">
      <w:pPr>
        <w:pStyle w:val="TextoNormal"/>
      </w:pPr>
    </w:p>
    <w:p w:rsidR="00AC56D6" w:rsidRDefault="00AC56D6" w:rsidP="00AC56D6">
      <w:pPr>
        <w:pStyle w:val="TextoNormal"/>
      </w:pPr>
      <w:r>
        <w:t>Como se ha dejado constancia en los antecedentes, tanto el Abogado del Estado como el Fiscal General del Estado interesan la desestimación de la cuestión, por considerar que no concurren las vulneraciones constitucionales apreciadas por el órgano judicial.</w:t>
      </w:r>
    </w:p>
    <w:p w:rsidR="00AC56D6" w:rsidRDefault="00AC56D6" w:rsidP="00AC56D6">
      <w:pPr>
        <w:pStyle w:val="TextoNormal"/>
      </w:pPr>
    </w:p>
    <w:p w:rsidR="00AC56D6" w:rsidRDefault="00AC56D6" w:rsidP="00AC56D6">
      <w:pPr>
        <w:pStyle w:val="TextoNormal"/>
      </w:pPr>
      <w:r w:rsidRPr="00AC56D6">
        <w:rPr>
          <w:rStyle w:val="NumeroAFNegritaCaracter"/>
        </w:rPr>
        <w:t>2</w:t>
      </w:r>
      <w:r>
        <w:t>. Antes de entrar en el examen del fondo de esta cuestión, es necesario valorar previamente la concurrencia de los requisitos exigidos para el válido planteamiento de la cuestión de inconstitucionalidad. Dado que la tramitación específica establecida en el art. 37.1 LOTC no tiene carácter preclusivo y cabe apreciar en Sentencia la ausencia de los requisitos, tanto procesales como de fundamentación, requeridos para el válido planteamiento de la cuestión de inconstitucionalidad en la fase de resolución, además de hacerlo en el trámite de admisión previsto en el art. 37.1 de la Ley Orgánica del Tribunal Constitucional (LOTC; por todas STC 201/2015, de 24 de septiembre, FJ 2).</w:t>
      </w:r>
    </w:p>
    <w:p w:rsidR="00AC56D6" w:rsidRDefault="00AC56D6" w:rsidP="00AC56D6">
      <w:pPr>
        <w:pStyle w:val="TextoNormal"/>
      </w:pPr>
    </w:p>
    <w:p w:rsidR="00AC56D6" w:rsidRDefault="00AC56D6" w:rsidP="00AC56D6">
      <w:pPr>
        <w:pStyle w:val="TextoNormal"/>
      </w:pPr>
      <w:r>
        <w:t xml:space="preserve">Es preciso recordar, de acuerdo con la STC 79/2015, de 30 de abril, FJ 3, que los apartados 1 y 2 del art. 35 LOTC exigen, respectivamente, que la norma con rango de ley cuya constitucionalidad ofrezca dudas a un Juez o Tribunal debe resultar “aplicable al caso y de cuya validez dependa el fallo” y que el órgano judicial deberá especificar o justificar en el Auto de planteamiento de la cuestión en qué medida la decisión del proceso depende de dicha validez. En atención a lo expuesto, es exigible que la norma cuestionada supere el llamado juicio de relevancia, que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de 25 de septiembre, FJ 2). De ahí que este Tribunal haya estimado que debe darse una verdadera “dependencia” (STC 189/1991, de 3 de octubre, FJ 2), o un “nexo de subordinación”, entre el fallo del proceso y la validez de la norma cuestionada (STC 157/1990, de 18 de octubre, FJ 1). No basta con que el Tribunal </w:t>
      </w:r>
      <w:r>
        <w:lastRenderedPageBreak/>
        <w:t>ordinario considere que la norma es aplicable al caso, sino que también ha de satisfacerse el requisito de la relevancia ya que la aplicabilidad de la norma es condición necesaria para que el fallo dependa de su validez, pero no es, en modo alguno, condición suficiente (SSTC 17/1981, de 1 de junio, FJ 4, y 156/2014, FJ 2). Igualmente este Tribunal tiene declarado que no le corresponde sustituir o rectificar el criterio del órgano judicial al respecto, salvo en los casos en que de manera notoria, sin necesidad de examinar el fondo debatido y en aplicación de principios jurídicos básicos, se advierta que la argumentación judicial en relación con dicho juicio de relevancia carece de consistencia (por todas, STC 60/2013, de 13 de marzo, FJ 1, y doctrina allí citada).</w:t>
      </w:r>
    </w:p>
    <w:p w:rsidR="00AC56D6" w:rsidRDefault="00AC56D6" w:rsidP="00AC56D6">
      <w:pPr>
        <w:pStyle w:val="TextoNormal"/>
      </w:pPr>
    </w:p>
    <w:p w:rsidR="00AC56D6" w:rsidRDefault="00AC56D6" w:rsidP="00AC56D6">
      <w:pPr>
        <w:pStyle w:val="TextoNormal"/>
      </w:pPr>
      <w:r>
        <w:t xml:space="preserve">La relevancia de la norma impugnada para el proceso </w:t>
      </w:r>
      <w:r w:rsidRPr="00AC56D6">
        <w:rPr>
          <w:i/>
        </w:rPr>
        <w:t>a quo</w:t>
      </w:r>
      <w:r>
        <w:t xml:space="preserve"> es, por tanto, condición anterior desde un punto de vista lógico al requisito de la argumentación suficiente de la duda de constitucionalidad, pues asegura el carácter concreto del control de constitucionalidad que informa este tipo de procesos constitucionales, de manera que un defecto en su adecuada formulación en los términos exigidos por nuestra doctrina debería conducir a excluir todo enjuiciamiento de fondo por este Tribunal.</w:t>
      </w:r>
    </w:p>
    <w:p w:rsidR="00AC56D6" w:rsidRDefault="00AC56D6" w:rsidP="00AC56D6">
      <w:pPr>
        <w:pStyle w:val="TextoNormal"/>
      </w:pPr>
    </w:p>
    <w:p w:rsidR="00AC56D6" w:rsidRDefault="00AC56D6" w:rsidP="00AC56D6">
      <w:pPr>
        <w:pStyle w:val="TextoNormal"/>
      </w:pPr>
      <w:r>
        <w:t>En la cuestión aquí planteada se aprecia que en la explicación de la dependencia del fallo respecto de la validez constitucional de las normas cuestionadas que realiza el órgano judicial, no ha tenido en cuenta lo dispuesto en la disposición transitoria segunda de la Ley Orgánica 8/2013, de 9 de diciembre, para la mejora de la calidad educativa (LOMCE), en relación con la aplicación temporal de la redacción dada al art. 84.3 de la Ley Orgánica 2/2006, de 3 de mayo, de Educación (LOE), por el artículo único, 61 LOMCE. Conforme a esta disposición transitoria “Los centros privados a los que en 2013 se les haya denegado la renovación del concierto educativo o reducido las unidades escolares concertadas por el único motivo de ofrecer educación diferenciada por sexos podrán solicitar que se les aplique lo indicado en el artículo 84.3 de esta Ley Orgánica para el resto del actual período de conciertos en el plazo de dos meses desde su entrada en vigor”. En relación con ello la nueva redacción del art. 84.3 LOE señala expresamente que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w:t>
      </w:r>
    </w:p>
    <w:p w:rsidR="00AC56D6" w:rsidRDefault="00AC56D6" w:rsidP="00AC56D6">
      <w:pPr>
        <w:pStyle w:val="TextoNormal"/>
      </w:pPr>
    </w:p>
    <w:p w:rsidR="00AC56D6" w:rsidRDefault="00AC56D6" w:rsidP="00AC56D6">
      <w:pPr>
        <w:pStyle w:val="TextoNormal"/>
      </w:pPr>
      <w:r>
        <w:t>Dado el tenor de tales preceptos, es claro que pudieran resultar directamente aplicables a un supuesto de hecho como el considerado en el caso a quo, cuyo objeto es una orden autonómica de 27 de febrero de 2013, por la que se deniega la solicitud de renovación del concierto educativo con un centro docente privado, a partir del curso académico 2013-2014, precisamente por no cumplir con lo establecido en la redacción anterior del art. 84.3 LOE, en lo que se refiere a la no discriminación por razón de sexo al no comprometerse a escolarizar alumnado de ambos sexos. Pese a que la Ley Orgánica para la mejora de la calidad educativa entró en vigor a los veinte días de su publicación en el “Boletín Oficial del Estado”, que tuvo lugar el 10 de diciembre de 2013, y, por tanto, ya estaba vigente el 14 de octubre de 2014, momento en el que se acuerda plantear la cuestión dictando el correspon</w:t>
      </w:r>
      <w:r>
        <w:lastRenderedPageBreak/>
        <w:t>diente Auto, el órgano judicial no hace referencia alguna a este precepto en su argumentación, ni tampoco a las razones por las que, en su defecto, entiende que no es de aplicación al caso que ha de resolver.</w:t>
      </w:r>
    </w:p>
    <w:p w:rsidR="00AC56D6" w:rsidRDefault="00AC56D6" w:rsidP="00AC56D6">
      <w:pPr>
        <w:pStyle w:val="TextoNormal"/>
      </w:pPr>
    </w:p>
    <w:p w:rsidR="00AC56D6" w:rsidRDefault="00AC56D6" w:rsidP="00AC56D6">
      <w:pPr>
        <w:pStyle w:val="TextoNormal"/>
      </w:pPr>
      <w:r>
        <w:t>Dicha omisión condiciona ineludiblemente la valoración acerca de la adecuada formulación de los juicios de aplicabilidad y relevancia exigidos para el planteamiento de la cuestión de inconstitucionalidad por el art. 35 LOTC. Tampoco, aun tratándose de un supuesto diferente, podemos ignorar el criterio seguido en recientes pronunciamientos constitucionales, en los que, ante el carácter dudoso y discutible de la aplicabilidad de la norma cuestionada en el proceso a quo, hemos exigido un pronunciamiento específico del órgano judicial sobre la aplicación de la norma al caso, a efectos de garantizar que la resolución del litigio depende realmente de la solución que este Tribunal ofrezca sobre la constitucionalidad de la norma [por todas, SSTC 50/2015, de 5 de marzo, FJ 2 c) y 18/2014, de 30 de enero, FJ 4 y las allí citadas]. Es, por tanto, exigible que la norma cuestionada supere el llamado juicio de relevancia, tal como se ha expuesto más arriba.</w:t>
      </w:r>
    </w:p>
    <w:p w:rsidR="00AC56D6" w:rsidRDefault="00AC56D6" w:rsidP="00AC56D6">
      <w:pPr>
        <w:pStyle w:val="TextoNormal"/>
      </w:pPr>
    </w:p>
    <w:p w:rsidR="00AC56D6" w:rsidRDefault="00AC56D6" w:rsidP="00AC56D6">
      <w:pPr>
        <w:pStyle w:val="TextoNormal"/>
      </w:pPr>
      <w:r>
        <w:t xml:space="preserve">Eso es lo que podría ocurrir en el presente caso. En el supuesto que consideramos, teniendo presente lo dispuesto por la Ley Orgánica para la mejora de la calidad educativa y el silencio del órgano judicial al respecto, no puede asegurarse, en este momento, que el pronunciamiento de este Tribunal acerca del art. 17.8 de la Ley 17/2012, de 27 de diciembre, objeto de la presente cuestión, fuera necesario e imprescindible para resolver el caso sometido a la consideración de la Sala cuestionante, de manera que el juicio de constitucionalidad que se nos solicita sobre el precepto podría quedar desconectado de su aplicación al proceso a quo. Es decir, se correría el riesgo de que el juicio a la ley se desarrollara ante este Tribunal sin necesidad ni pertinencia alguna, pues, realizado el enjuiciamiento y pronunciado el fallo que correspondiere, el proceso </w:t>
      </w:r>
      <w:r w:rsidRPr="00AC56D6">
        <w:rPr>
          <w:i/>
        </w:rPr>
        <w:t>a quo</w:t>
      </w:r>
      <w:r>
        <w:t xml:space="preserve"> podría concluir sin aplicar el precepto cuestionado y en atención a razones jurídicas ajenas a su conformidad o no a la Constitución. Ese sería el caso si el órgano judicial optase, una vez resulta la cuestión, por aplicar la disposición transitoria segunda LOMCE.</w:t>
      </w:r>
    </w:p>
    <w:p w:rsidR="00AC56D6" w:rsidRDefault="00AC56D6" w:rsidP="00AC56D6">
      <w:pPr>
        <w:pStyle w:val="TextoNormal"/>
      </w:pPr>
    </w:p>
    <w:p w:rsidR="00AC56D6" w:rsidRDefault="00AC56D6" w:rsidP="00AC56D6">
      <w:pPr>
        <w:pStyle w:val="TextoNormal"/>
      </w:pPr>
      <w:r>
        <w:t>En suma, es indiscutible que el precepto cuestionado es aplicable para la resolución del pleito sometido a la consideración del órgano judicial, pero podría no ser el único relevante a la vista de lo regulado por la disposición transitoria segunda LOMCE en relación con el art. 84.3 LOE, reflexión que no aparece en el Auto de planteamiento que guarda silencio respecto a la relación entre esta norma y la que ha cuestionado.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00AC56D6" w:rsidRDefault="00AC56D6" w:rsidP="00AC56D6">
      <w:pPr>
        <w:pStyle w:val="TextoNormal"/>
      </w:pPr>
    </w:p>
    <w:p w:rsidR="00AC56D6" w:rsidRDefault="00AC56D6" w:rsidP="00AC56D6">
      <w:pPr>
        <w:pStyle w:val="TextoNormal"/>
      </w:pPr>
      <w:r>
        <w:t xml:space="preserve">Nada impide que esta circunstancia se pueda apreciar en esta fase, esto es, mediante Sentencia, además de hacerlo en el trámite de admisión previsto en el art. 37.1 de la Ley Orgánica del Tribunal Constitucional (SSTC 183/2013, de 23 de octubre, FJ 2; 206/2014, de 15 de diciembre, FJ 2; 10/2015, de 2 de febrero, FJ 2; 79/2015, de 30 de abril, FJ 2, y 110/2015, </w:t>
      </w:r>
      <w:r>
        <w:lastRenderedPageBreak/>
        <w:t>de 28 de mayo, FJ 3, entre otras), Así pues, dada la conexión que debe existir entre el pronunciamiento de este Tribunal y el proceso en que la cuestión se plantea, procede inadmitir a trámite la presente cuestión de inconstitucionalidad.</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Inadmitir la presente cuestión de inconstitucionalidad.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cinco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91" w:name="SENTENCIA_2015_235"/>
      <w:r>
        <w:lastRenderedPageBreak/>
        <w:t>SENTENCIA 235/2015, de 5 de noviembre de 2015</w:t>
      </w:r>
    </w:p>
    <w:bookmarkEnd w:id="91"/>
    <w:p w:rsidR="00AC56D6" w:rsidRDefault="00AC56D6" w:rsidP="00AC56D6">
      <w:pPr>
        <w:pStyle w:val="TtuloResolucin"/>
      </w:pPr>
      <w:r>
        <w:t>Pleno</w:t>
      </w:r>
    </w:p>
    <w:p w:rsidR="00AC56D6" w:rsidRDefault="00AC56D6" w:rsidP="00AC56D6">
      <w:pPr>
        <w:pStyle w:val="TtuloBOE"/>
      </w:pPr>
      <w:r>
        <w:t>(BOE núm. 296, de 11 de diciembre de 2015)</w:t>
      </w:r>
    </w:p>
    <w:p w:rsidR="00AC56D6" w:rsidRDefault="00AC56D6" w:rsidP="00AC56D6">
      <w:pPr>
        <w:pStyle w:val="TextoNormalCentrado"/>
      </w:pPr>
      <w:r>
        <w:t>ECLI:ES:TC:2015:235</w:t>
      </w:r>
    </w:p>
    <w:p w:rsidR="00AC56D6" w:rsidRDefault="00AC56D6" w:rsidP="00AC56D6">
      <w:pPr>
        <w:pStyle w:val="TextoNormalCentrado"/>
      </w:pPr>
    </w:p>
    <w:p w:rsidR="00AC56D6" w:rsidRDefault="00AC56D6" w:rsidP="00AC56D6">
      <w:pPr>
        <w:pStyle w:val="SntesisDescriptiva"/>
      </w:pPr>
      <w:r>
        <w:t>Cuestión de inconstitucionalidad 2194-2015. Planteada por la Sección Cuarta de la Sala de lo Contencioso-Administrativo del Tribunal Supremo respecto del artículo 47 de la Ley 13/2005, de 27 de diciembre, de medidas tributarias y administrativas de la Comunidad Autónoma de Illes Balears.</w:t>
      </w:r>
    </w:p>
    <w:p w:rsidR="00AC56D6" w:rsidRDefault="00AC56D6" w:rsidP="00AC56D6">
      <w:pPr>
        <w:pStyle w:val="SntesisDescriptiva"/>
      </w:pPr>
    </w:p>
    <w:p w:rsidR="00AC56D6" w:rsidRDefault="00AC56D6" w:rsidP="00AC56D6">
      <w:pPr>
        <w:pStyle w:val="SntesisAnaltica"/>
      </w:pPr>
      <w:r>
        <w:t>Competencias sobre medio ambiente y minas: nulidad del precepto legal autonómico que declara todo el territorio de las Illes Balears zona no registrable a los efectos de concesión de exploración, investigación y explotación de yacimientos minerales y recursos geológicos incluidos en la sección c) de la Ley de minas.</w:t>
      </w:r>
    </w:p>
    <w:p w:rsidR="00AC56D6" w:rsidRDefault="00AC56D6" w:rsidP="00AC56D6">
      <w:pPr>
        <w:pStyle w:val="SntesisAnaltica"/>
      </w:pPr>
    </w:p>
    <w:p w:rsidR="00AC56D6" w:rsidRDefault="00AC56D6" w:rsidP="00AC56D6">
      <w:pPr>
        <w:pStyle w:val="Extracto"/>
      </w:pPr>
      <w:r>
        <w:t>1.</w:t>
      </w:r>
      <w:r>
        <w:tab/>
        <w:t xml:space="preserve">El precepto controvertido, al configurar como irregistrable la totalidad del territorio autonómico, infringe la regla básica </w:t>
      </w:r>
      <w:r w:rsidRPr="00AC56D6">
        <w:rPr>
          <w:i/>
        </w:rPr>
        <w:t>ex</w:t>
      </w:r>
      <w:r>
        <w:t xml:space="preserve"> art. 149.1.25 CE sobre el orden constitucional de distribución de competencias [FJ 5].</w:t>
      </w:r>
    </w:p>
    <w:p w:rsidR="00AC56D6" w:rsidRDefault="00AC56D6" w:rsidP="00AC56D6">
      <w:pPr>
        <w:pStyle w:val="Extracto"/>
      </w:pPr>
    </w:p>
    <w:p w:rsidR="00AC56D6" w:rsidRDefault="00AC56D6" w:rsidP="00AC56D6">
      <w:pPr>
        <w:pStyle w:val="Extracto"/>
      </w:pPr>
      <w:r>
        <w:t>2.</w:t>
      </w:r>
      <w:r>
        <w:tab/>
        <w:t>Se evidencia la insalvable contradicción existente entre la base estatal y la norma balear, pues excluir con carácter general que el territorio de la Comunidad Autónoma pueda ser considerado registrable supone limitar el otorgamiento de permisos de investigación y concesiones de explotación en contra de lo dispuesto en la Ley estatal, que admite este tipo de limitaciones sólo para determinadas zonas en las que concurra una razón de interés general que lo justifique [FJ 5].</w:t>
      </w:r>
    </w:p>
    <w:p w:rsidR="00AC56D6" w:rsidRDefault="00AC56D6" w:rsidP="00AC56D6">
      <w:pPr>
        <w:pStyle w:val="Extracto"/>
      </w:pPr>
    </w:p>
    <w:p w:rsidR="00AC56D6" w:rsidRDefault="00AC56D6" w:rsidP="00AC56D6">
      <w:pPr>
        <w:pStyle w:val="Extracto"/>
      </w:pPr>
      <w:r>
        <w:t>3.</w:t>
      </w:r>
      <w:r>
        <w:tab/>
        <w:t>Doctrina sobre noción material la legislación básica (SSTC 80/1988, 48/1988, 147/1991, 1/1982 y 49/1988) [FJ 4].</w:t>
      </w:r>
    </w:p>
    <w:p w:rsidR="00AC56D6" w:rsidRDefault="00AC56D6" w:rsidP="00AC56D6">
      <w:pPr>
        <w:pStyle w:val="Extracto"/>
      </w:pPr>
    </w:p>
    <w:p w:rsidR="00AC56D6" w:rsidRDefault="00AC56D6" w:rsidP="00AC56D6">
      <w:pPr>
        <w:pStyle w:val="Extracto"/>
      </w:pPr>
      <w:r>
        <w:t>4.</w:t>
      </w:r>
      <w:r>
        <w:tab/>
        <w:t>Los preceptos de la Ley 22/1973 han de considerarse materialmente básicos</w:t>
      </w:r>
      <w:r w:rsidRPr="00AC56D6">
        <w:rPr>
          <w:i/>
        </w:rPr>
        <w:t>ex</w:t>
      </w:r>
      <w:r>
        <w:t>art. 149.1.25 CE, pues constituyen un marco o denominador común de necesaria vigencia en el territorio nacional, que determina la fijación por el Estado de unos criterios uniformes a la hora de proceder a la ordenación de la explotación de determinados recursos mineros [FJ 4].</w:t>
      </w:r>
    </w:p>
    <w:p w:rsidR="00AC56D6" w:rsidRDefault="00AC56D6" w:rsidP="00AC56D6">
      <w:pPr>
        <w:pStyle w:val="Extracto"/>
      </w:pPr>
    </w:p>
    <w:p w:rsidR="00AC56D6" w:rsidRDefault="00AC56D6" w:rsidP="00AC56D6">
      <w:pPr>
        <w:pStyle w:val="Extracto"/>
      </w:pPr>
      <w:r>
        <w:t>5.</w:t>
      </w:r>
      <w:r>
        <w:tab/>
        <w:t>La declaración genérica de todo el territorio de una Comunidad Autónoma como no registrable no es una medida proporcionada que permita armonizar la protección del medio ambiente con la explotación de los recursos económicos (STC 64/1982) [FJ 4].</w:t>
      </w:r>
    </w:p>
    <w:p w:rsidR="00AC56D6" w:rsidRDefault="00AC56D6" w:rsidP="00AC56D6">
      <w:pPr>
        <w:pStyle w:val="Extracto"/>
      </w:pPr>
    </w:p>
    <w:p w:rsidR="00AC56D6" w:rsidRDefault="00AC56D6" w:rsidP="00AC56D6">
      <w:pPr>
        <w:pStyle w:val="Extracto"/>
      </w:pPr>
      <w:r>
        <w:t>6.</w:t>
      </w:r>
      <w:r>
        <w:tab/>
        <w:t>Si bien se admite que las Comunidades Autónomas puedan imponer deberes y cargas para el otorgamiento de autorizaciones permisos y concesiones mineras con la finalidad de proteger el medio ambiente, siempre que las mismas sean razonables y proporcionadas al fin propuesto, se considera contrario al orden constitucional de distribución de competencias que deriva de lo dispuesto en el art. 149.1.23 CE el establecimiento de prohibiciones genéricas, absolutas e incondicionadas, como son las que se contemplan el precepto controvertido (SSTC 64/1982, 106/2014, 134/2014 y 208/2014) [FJ 6].</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2194-2015, planteada por la Sección Cuarta de la Sala de lo Contencioso-Administrativo del Tribunal Supremo respecto al art. 47 de la Ley 13/2005, de 27 de diciembre, de medidas tributarias y administrativas de la Comunidad Autónoma de Illes Balears. Han comparecido y formulado alegaciones la Abogada del Estado, la Fiscal General del Estado, la Abogada de la Comunidad Autónoma de las Illes Balears y las representaciones procesales de dos de las partes del proceso a quo. Ha sido Ponente el Magistrado don Pedro José González-Trevijano Sánchez,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Por escrito registrado en este Tribunal el 17 de abril de 2015, la Sección Cuarta de la Sala de lo Contencioso-Administrativo del Tribunal Supremo remite testimonio del Auto de 5 de marzo de 2015 por el que acuerda plantear cuestión de inconstitucionalidad en relación con el art. 47 de la Ley 13/2005, de 27 de diciembre, de medidas tributarias y administrativas de la Comunidad Autónoma de Illes Balears, por vulneración de los arts. 149.1.23 y 149.1.25, en relación con el 128.1, todos ellos de la Constitución.</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la presente cuestión de inconstitucionalidad son los siguientes:</w:t>
      </w:r>
    </w:p>
    <w:p w:rsidR="00AC56D6" w:rsidRDefault="00AC56D6" w:rsidP="00AC56D6">
      <w:pPr>
        <w:pStyle w:val="TextoNormal"/>
      </w:pPr>
    </w:p>
    <w:p w:rsidR="00AC56D6" w:rsidRDefault="00AC56D6" w:rsidP="00AC56D6">
      <w:pPr>
        <w:pStyle w:val="TextoNormal"/>
      </w:pPr>
      <w:r>
        <w:t xml:space="preserve">a) Por Sentencia de 29 de octubre de 2012 la Sala de lo Contencioso-Administrativo del Tribunal Superior de Justicia de Illes Balears desestimó el recurso 709/2009 interpuesto contra la resolución de 18 de agosto de 2008, de la Consejería de Comercio, Industria y Energía, por la que se desestima el recurso de alzada que había sido formulado por una entidad mercantil contra la resolución adoptada por el Director General de Industria el 1 de agosto de 2008, en la que se deniega la solicitud de concesión directa, por reclasificación de la sección A) a la sección C), de la unidad de explotación minera denominada “Can Alou”. Considera la Sentencia que para la concesión directa de explotación, los recursos mineros deberían cumplir los requisitos exigidos para la sección C), y, entre ellos, el contemplado </w:t>
      </w:r>
      <w:r>
        <w:lastRenderedPageBreak/>
        <w:t>en el art. 37.2 de la Ley 22/1973, de 21 de julio, de minas; esto es, que los terrenos “reúnan las condiciones de francos y registrables”, lo que no concurre en el supuesto examinado.</w:t>
      </w:r>
    </w:p>
    <w:p w:rsidR="00AC56D6" w:rsidRDefault="00AC56D6" w:rsidP="00AC56D6">
      <w:pPr>
        <w:pStyle w:val="TextoNormal"/>
      </w:pPr>
    </w:p>
    <w:p w:rsidR="00AC56D6" w:rsidRDefault="00AC56D6" w:rsidP="00AC56D6">
      <w:pPr>
        <w:pStyle w:val="TextoNormal"/>
      </w:pPr>
      <w:r>
        <w:t>b) Contra la referida resolución se formalizó recurso de casación ante la Sala de lo Contencioso-Administrativo del Tribunal Supremo. El recurso se fundamentó en la infracción del art. 122 de la Ley 22/1973, de 21 de julio, de minas, la disposición derogatoria única de la Ley 12/2007, de 2 de julio, por la que se modifica la Ley 34/1998, de 7 de octubre, del sector de hidrocarburos, y los arts. 9, 45, 128.1 y 149.1.25 CE. Con carácter subsidiario, se solicita que se dicte auto de planteamiento de cuestión de inconstitucionalidad, en relación con el art. 47 de la Ley 13/2005, de 27 de diciembre.</w:t>
      </w:r>
    </w:p>
    <w:p w:rsidR="00AC56D6" w:rsidRDefault="00AC56D6" w:rsidP="00AC56D6">
      <w:pPr>
        <w:pStyle w:val="TextoNormal"/>
      </w:pPr>
    </w:p>
    <w:p w:rsidR="00AC56D6" w:rsidRDefault="00AC56D6" w:rsidP="00AC56D6">
      <w:pPr>
        <w:pStyle w:val="TextoNormal"/>
      </w:pPr>
      <w:r>
        <w:t>c) De lo anterior se dio traslado a las partes recurridas para que formalizaran sus escritos de oposición; extremo que todas ellas verificaron, oponiéndose al recurso.</w:t>
      </w:r>
    </w:p>
    <w:p w:rsidR="00AC56D6" w:rsidRDefault="00AC56D6" w:rsidP="00AC56D6">
      <w:pPr>
        <w:pStyle w:val="TextoNormal"/>
      </w:pPr>
    </w:p>
    <w:p w:rsidR="00AC56D6" w:rsidRDefault="00AC56D6" w:rsidP="00AC56D6">
      <w:pPr>
        <w:pStyle w:val="TextoNormal"/>
      </w:pPr>
      <w:r>
        <w:t>d) Conclusas las actuaciones, se dictó providencia de 18 de diciembre de 2014 en la que, al amparo del art. 35 de la Ley Orgánica del Tribunal Constitucional (en adelante, LOTC), se acuerda oír a las partes y al Ministerio Fiscal, sobre la procedencia de plantear cuestión de inconstitucionalidad en relación con el art. 47 de la Ley 13/2005, por posible vulneración del principio de interdicción de arbitrariedad de los poderes públicos (art. 9.3 CE) en relación con el art. 128 CE, así como de los arts. 149.1.23 y 149.1.25 CE. Oídas las partes personadas, la Sección Cuarta de la Sala de lo Contencioso-Administrativo del Tribunal Supremo acordó plantear cuestión de inconstitucionalidad en relación con el art. 47 de la Ley balear 13/2005.</w:t>
      </w:r>
    </w:p>
    <w:p w:rsidR="00AC56D6" w:rsidRDefault="00AC56D6" w:rsidP="00AC56D6">
      <w:pPr>
        <w:pStyle w:val="TextoNormal"/>
      </w:pPr>
    </w:p>
    <w:p w:rsidR="00AC56D6" w:rsidRDefault="00AC56D6" w:rsidP="00AC56D6">
      <w:pPr>
        <w:pStyle w:val="TextoNormal"/>
      </w:pPr>
      <w:r w:rsidRPr="00AC56D6">
        <w:rPr>
          <w:rStyle w:val="NumeroAFNegritaCaracter"/>
        </w:rPr>
        <w:t>3</w:t>
      </w:r>
      <w:r>
        <w:t>. El Auto de 5 de marzo de la Sección Cuarta de la Sala de lo Contencioso-Administrativo del Tribunal Supremo presenta la cuestión de inconstitucionalidad en los siguientes términos:</w:t>
      </w:r>
    </w:p>
    <w:p w:rsidR="00AC56D6" w:rsidRDefault="00AC56D6" w:rsidP="00AC56D6">
      <w:pPr>
        <w:pStyle w:val="TextoNormal"/>
      </w:pPr>
    </w:p>
    <w:p w:rsidR="00AC56D6" w:rsidRDefault="00AC56D6" w:rsidP="00AC56D6">
      <w:pPr>
        <w:pStyle w:val="TextoNormal"/>
      </w:pPr>
      <w:r>
        <w:t>Comienza efectuando una exposición de los hechos que han dado lugar a la presente cuestión de inconstitucionalidad, señalando al respecto que en la instancia se impugnó la denegación de concesión directa de explotación de recursos mineros de la sección C) de la Ley de minas, por reclasificación desde la sección A), de la unidad de explotación “Can Alou”, siendo la cuestión litigiosa la relativa a la aplicabilidad del art. 47 de la Ley Balear 13/2005, de 27 de diciembre, de medidas tributarias y administrativas, que declara no registrable todo el territorio de la Comunidad Autónoma, y que se dictó al amparo del art. 39.3 de la Ley de minas.</w:t>
      </w:r>
    </w:p>
    <w:p w:rsidR="00AC56D6" w:rsidRDefault="00AC56D6" w:rsidP="00AC56D6">
      <w:pPr>
        <w:pStyle w:val="TextoNormal"/>
      </w:pPr>
    </w:p>
    <w:p w:rsidR="00AC56D6" w:rsidRDefault="00AC56D6" w:rsidP="00AC56D6">
      <w:pPr>
        <w:pStyle w:val="TextoNormal"/>
      </w:pPr>
      <w:r>
        <w:t xml:space="preserve">La parte recurrente en casación pretende que se le otorgue la concesión directa </w:t>
      </w:r>
      <w:r w:rsidRPr="00AC56D6">
        <w:rPr>
          <w:i/>
        </w:rPr>
        <w:t>ex</w:t>
      </w:r>
      <w:r>
        <w:t xml:space="preserve"> arts. 63 y ss. de la Ley de minas, prescindiendo de la exigencia de la registrabilidad, y por tanto, que no se le aplique el art. 47 de la Ley balear, y, subsidiariamente, plantea que se conceda la reclasificación al margen de que se deniegue la concesión directa. En cuanto a lo primero, considera que el art. 47 es inaplicable en los supuestos de reclasificación, de conformidad con el Real Decreto 107/1995, bien por haber sido derogado por el art. 122 de la Ley de minas, en la reforma introducida por Ley 12/2007, de 2 de julio, porque dicho precepto es inconstitucional.</w:t>
      </w:r>
    </w:p>
    <w:p w:rsidR="00AC56D6" w:rsidRDefault="00AC56D6" w:rsidP="00AC56D6">
      <w:pPr>
        <w:pStyle w:val="TextoNormal"/>
      </w:pPr>
    </w:p>
    <w:p w:rsidR="00AC56D6" w:rsidRDefault="00AC56D6" w:rsidP="00AC56D6">
      <w:pPr>
        <w:pStyle w:val="TextoNormal"/>
      </w:pPr>
      <w:r>
        <w:t>El juicio de aplicabilidad y relevancia de la norma se formula en los términos siguientes:</w:t>
      </w:r>
    </w:p>
    <w:p w:rsidR="00AC56D6" w:rsidRDefault="00AC56D6" w:rsidP="00AC56D6">
      <w:pPr>
        <w:pStyle w:val="TextoNormal"/>
      </w:pPr>
    </w:p>
    <w:p w:rsidR="00AC56D6" w:rsidRDefault="00AC56D6" w:rsidP="00AC56D6">
      <w:pPr>
        <w:pStyle w:val="TextoNormal"/>
      </w:pPr>
      <w:r>
        <w:lastRenderedPageBreak/>
        <w:t>a) La registrabilidad es una exigencia para el otorgamiento de permisos de investigación y concesiones directas de explotación de recursos de la sección C). La posibilidad que concede el art. 39.3 de la Ley de minas hay que entender que afecta a solicitudes de suyo registrables, pero que, por razones de interés superior, se declaran no registrables; y en materia de registrabilidad resulta de aplicación insoslayable al supuesto examinado, el art. 47 de la Ley balear, que no está derogado.</w:t>
      </w:r>
    </w:p>
    <w:p w:rsidR="00AC56D6" w:rsidRDefault="00AC56D6" w:rsidP="00AC56D6">
      <w:pPr>
        <w:pStyle w:val="TextoNormal"/>
      </w:pPr>
    </w:p>
    <w:p w:rsidR="00AC56D6" w:rsidRDefault="00AC56D6" w:rsidP="00AC56D6">
      <w:pPr>
        <w:pStyle w:val="TextoNormal"/>
      </w:pPr>
      <w:r>
        <w:t>b) La registrabilidad es exigible en los supuestos de reclasificación, conforme al Real Decreto 107/1995. Esa reclasificación de recursos de sección A) a sección C) afecta a los de más relevancia económica, y su explotación se fomenta mediante un régimen de beneficios fiscales en el mencionado Real Decreto, que se limita a aclarar cuáles son los recursos que se mantienen en la sección A) y, por exclusión, los que se reclasificarían en la sección C). A juicio del Auto, fuera de ese componente de fomento, la normativa de minas no resulta afectada por este Real Decreto, dado que el mismo no puede ir en contra de la Ley de minas, que exige para los recursos de la sección C) que los terrenos sean francos y registrables; exigencia que se configura como sustancial, tanto por razón del título de explotación —concesión frente a autorización al dueño del terreno—, como por su relevancia económica, y por la razón de ser de la registrabilidad a efectos de la viabilidad económica, envergadura de la explotación y mayor intervención administrativa.</w:t>
      </w:r>
    </w:p>
    <w:p w:rsidR="00AC56D6" w:rsidRDefault="00AC56D6" w:rsidP="00AC56D6">
      <w:pPr>
        <w:pStyle w:val="TextoNormal"/>
      </w:pPr>
    </w:p>
    <w:p w:rsidR="00AC56D6" w:rsidRDefault="00AC56D6" w:rsidP="00AC56D6">
      <w:pPr>
        <w:pStyle w:val="TextoNormal"/>
      </w:pPr>
      <w:r>
        <w:t>c) El art. 47 de la Ley balear 13/2005 no ha sido derogado por el art. 122 de la Ley de minas, en la reforma introducida por la Ley 12/2007, pues el presupuesto de hecho de este precepto se refiere a la elaboración de instrumentos de ordenación urbanística, en tanto que la no registrabilidad se insertaría en el ejercicio de potestades de ordenación minera. Además, ese efecto derogatorio del art. 122 de la Ley de minas equivaldría a sostener que habría derogado el art. 39.3 de la propia ley, lo que no cabe y viene a confirmar que tales preceptos regulan supuestos distintos.</w:t>
      </w:r>
    </w:p>
    <w:p w:rsidR="00AC56D6" w:rsidRDefault="00AC56D6" w:rsidP="00AC56D6">
      <w:pPr>
        <w:pStyle w:val="TextoNormal"/>
      </w:pPr>
    </w:p>
    <w:p w:rsidR="00AC56D6" w:rsidRDefault="00AC56D6" w:rsidP="00AC56D6">
      <w:pPr>
        <w:pStyle w:val="TextoNormal"/>
      </w:pPr>
      <w:r>
        <w:t xml:space="preserve">d) Actualmente la Ley 10/2014, de 1 de octubre, de ordenación minera de las Islas Baleares, en su art. 23.3, prevé que, excepcionalmente, pueda declararse la registrabilidad de estos recursos. Afirma el Auto que dicho precepto no ha derogado el art. 47 de la Ley 13/2005, y, si se admitiera dicha hipótesis, la no registrabilidad </w:t>
      </w:r>
      <w:r w:rsidRPr="00AC56D6">
        <w:rPr>
          <w:i/>
        </w:rPr>
        <w:t>ex</w:t>
      </w:r>
      <w:r>
        <w:t xml:space="preserve"> art. 47 habría estado vigente al menos hasta la promulgación de la Ley 10/2014.</w:t>
      </w:r>
    </w:p>
    <w:p w:rsidR="00AC56D6" w:rsidRDefault="00AC56D6" w:rsidP="00AC56D6">
      <w:pPr>
        <w:pStyle w:val="TextoNormal"/>
      </w:pPr>
    </w:p>
    <w:p w:rsidR="00AC56D6" w:rsidRDefault="00AC56D6" w:rsidP="00AC56D6">
      <w:pPr>
        <w:pStyle w:val="TextoNormal"/>
      </w:pPr>
      <w:r>
        <w:t>e) En cuanto a la posibilidad de obtener la reclasificación sin necesidad de obtener la concesión directa, entiende que no es factible, pues el Real Decreto 107/1995 no excluye la aplicación de la normativa general de la Ley de minas, fuera de los concretos aspectos contemplados en el mismo. Al contemplar medidas de fomento, se exige para acceder a las mismas, reunir los requisitos de la sección C), por lo que cumplir dichos requisitos es una exigencia lógica para pasar de explotar recursos de la sección A) a la C), y que la explotación de éstos sea efectiva.</w:t>
      </w:r>
    </w:p>
    <w:p w:rsidR="00AC56D6" w:rsidRDefault="00AC56D6" w:rsidP="00AC56D6">
      <w:pPr>
        <w:pStyle w:val="TextoNormal"/>
      </w:pPr>
    </w:p>
    <w:p w:rsidR="00AC56D6" w:rsidRDefault="00AC56D6" w:rsidP="00AC56D6">
      <w:pPr>
        <w:pStyle w:val="TextoNormal"/>
      </w:pPr>
      <w:r>
        <w:t xml:space="preserve">Entrando en el examen de fondo de las razones por los que el órgano judicial cuestiona la constitucionalidad del art. 47 de la Ley balear, el Auto señala que, tras el trámite de audiencia a las partes, se abandona la duda sobre la vulneración del art. 9.3 CE, en la vertiente de interdicción de la arbitrariedad de los poderes públicos, dado que cabe entender que implícitamente serían razones medioambientales las que inspiran el art. 47 de la Ley balear, y se centra la cuestión de inconstitucionalidad en la infracción de los arts. 149.1.23 y 149.1.25, </w:t>
      </w:r>
      <w:r>
        <w:lastRenderedPageBreak/>
        <w:t>en relación con el 128.1, todos ellos de la CE, que se sustenta en la doctrina constitucional contenida en la STC 64/1982 y, más recientemente, en las SSTC 106, 134 y 2018/2014, que se basan en la anterior. En menor medida —afirma el Auto— cabe citar la STC 170/1989.</w:t>
      </w:r>
    </w:p>
    <w:p w:rsidR="00AC56D6" w:rsidRDefault="00AC56D6" w:rsidP="00AC56D6">
      <w:pPr>
        <w:pStyle w:val="TextoNormal"/>
      </w:pPr>
    </w:p>
    <w:p w:rsidR="00AC56D6" w:rsidRDefault="00AC56D6" w:rsidP="00AC56D6">
      <w:pPr>
        <w:pStyle w:val="TextoNormal"/>
      </w:pPr>
      <w:r>
        <w:t>La STC 64/1982 dio prevalencia al art. 128.1 CE, considerando contrario a lo dispuesto en el mismo y en el art. 45 CE, la prohibición genérica de las actividades extractivas, por sustraerse de la riqueza nacional los recursos mineros, admitiendo que las Comunidades Autónomas impongan cargas adicionales para proteger el medio ambiente, pero no la prohibición general de las actividades extractivas de las secciones C) y D), que son las de mayor importancia económica. Esta doctrina fue aplicada en la STC 170/1989, que desestimó el recurso, precisamente, porque la prohibición quedaba limitada a unos terrenos muy concretos, y destinada, fundamentalmente, a las secciones A) y B), y se entendió que estaba implícito un interés público prioritario.</w:t>
      </w:r>
    </w:p>
    <w:p w:rsidR="00AC56D6" w:rsidRDefault="00AC56D6" w:rsidP="00AC56D6">
      <w:pPr>
        <w:pStyle w:val="TextoNormal"/>
      </w:pPr>
    </w:p>
    <w:p w:rsidR="00AC56D6" w:rsidRDefault="00AC56D6" w:rsidP="00AC56D6">
      <w:pPr>
        <w:pStyle w:val="TextoNormal"/>
      </w:pPr>
      <w:r>
        <w:t xml:space="preserve">Las SSTC 106/2014, 134/2014 y 208/2014 parten de que la finalidad de las distintas leyes impugnadas es la protección medioambiental y entienden que la prohibición absoluta e incondicionada del uso de la fractura hidráulica como técnica de explotación y extracción de gas no convencional, en todo el territorio autonómico, contradice el art. 9.5 de la Ley del sector de hidrocarburos, precepto formal y materialmente básico </w:t>
      </w:r>
      <w:r w:rsidRPr="00AC56D6">
        <w:rPr>
          <w:i/>
        </w:rPr>
        <w:t>ex</w:t>
      </w:r>
      <w:r>
        <w:t xml:space="preserve"> arts. 149.1.13 y 149.1.25 CE.</w:t>
      </w:r>
    </w:p>
    <w:p w:rsidR="00AC56D6" w:rsidRDefault="00AC56D6" w:rsidP="00AC56D6">
      <w:pPr>
        <w:pStyle w:val="TextoNormal"/>
      </w:pPr>
    </w:p>
    <w:p w:rsidR="00AC56D6" w:rsidRDefault="00AC56D6" w:rsidP="00AC56D6">
      <w:pPr>
        <w:pStyle w:val="TextoNormal"/>
      </w:pPr>
      <w:r>
        <w:t>Considera el Auto que, en el presente supuesto, a efectos de la vulneración de la legislación básica estatal dictada al amparo del art. 149.1.23 CE, la norma básica que se toma en consideración es la Ley 42/2007, de 13 de diciembre, del patrimonio natural y de la biodiversidad, si bien, al tiempo de dictarse la Ley balear 13/2005, estaba vigente la Ley 4/1989, de 27 de marzo, de conservación de espacios naturales y flora y fauna silvestre. Cita, además, la Ley 21/2013, de 9 de diciembre, de evaluación ambiental, normas todas ellas que tienen la consideración formal y material de normas básicas. Y a los efectos del art. 149.1.25 CE, la norma básica estatal vulnerada es la Ley de minas.</w:t>
      </w:r>
    </w:p>
    <w:p w:rsidR="00AC56D6" w:rsidRDefault="00AC56D6" w:rsidP="00AC56D6">
      <w:pPr>
        <w:pStyle w:val="TextoNormal"/>
      </w:pPr>
    </w:p>
    <w:p w:rsidR="00AC56D6" w:rsidRDefault="00AC56D6" w:rsidP="00AC56D6">
      <w:pPr>
        <w:pStyle w:val="TextoNormal"/>
      </w:pPr>
      <w:r>
        <w:t>El art. 47 de la Ley balear 13/2005, al declarar todo el territorio de las Islas Baleares como no registrable, impide el desarrollo de actividades extractivas de los recursos de la sección C), e incurre en extralimitación de la norma básica —art. 39.3 de la Ley de minas—, que contempla la declaración de no registrabilidad para zonas determinadas y por razones de interés público, estableciendo una medida, por su generalidad, carente de proporcionalidad y con una justificación medioambiental meramente intuida. Por lo tanto, las previsiones del art. 47 vendrían a producir un efecto equivalente a inaplicar un aspecto relevante de la Ley de minas a una parte del territorio nacional, en el que de forma indefinida y sólo por razones que se presumen, se excluye la investigación y explotación de unos recursos, que son los de mayor relevancia económica. La vigente normativa minera balear —la Ley 10/2014— no incurre en una previsión impeditiva genérica, sino que establece la regla general de no registrabilidad, aunque excepcionalmente podrá permitirse.</w:t>
      </w:r>
    </w:p>
    <w:p w:rsidR="00AC56D6" w:rsidRDefault="00AC56D6" w:rsidP="00AC56D6">
      <w:pPr>
        <w:pStyle w:val="TextoNormal"/>
      </w:pPr>
    </w:p>
    <w:p w:rsidR="00AC56D6" w:rsidRDefault="00AC56D6" w:rsidP="00AC56D6">
      <w:pPr>
        <w:pStyle w:val="TextoNormal"/>
      </w:pPr>
      <w:r>
        <w:t xml:space="preserve">A efectos del art. 149.1.23 CE, afirma el Auto que el art. 47 de la Ley 13/2005 contempla, en cambio, una medida genérica, identificando como “zona determinada” todo el territorio de las Islas Baleares, pudiendo deducirse que el interés general se refiere a razones medioambientales. De la normativa básica medioambiental antes citada, cabe deducir, por el </w:t>
      </w:r>
      <w:r>
        <w:lastRenderedPageBreak/>
        <w:t>contrario, que la imposición, tanto de prohibiciones como de concretas limitaciones, dependerá de lo que en cada caso se decida de forma individualizada, en planes de ordenación de recursos naturales o en la normativa reguladora de espacios naturales; y desde el punto de vista del sistema de evaluación ambiental, también hay que referirla a la evaluación de concretos proyectos, sin excluir la posibilidad de explotación general y por tiempo indefinido de toda una clase de actividad extractiva.</w:t>
      </w:r>
    </w:p>
    <w:p w:rsidR="00AC56D6" w:rsidRDefault="00AC56D6" w:rsidP="00AC56D6">
      <w:pPr>
        <w:pStyle w:val="TextoNormal"/>
      </w:pPr>
    </w:p>
    <w:p w:rsidR="00AC56D6" w:rsidRDefault="00AC56D6" w:rsidP="00AC56D6">
      <w:pPr>
        <w:pStyle w:val="TextoNormal"/>
      </w:pPr>
      <w:r>
        <w:t>Las anteriores consideraciones llevan al órgano judicial a plantear cuestión de inconstitucionalidad en relación con el art. 47 de la Ley balear 13/2005, por infracción de los arts. 149.1.23 y 149.1.25, en relación con el 128.1, todos ellos de la Constitución.</w:t>
      </w:r>
    </w:p>
    <w:p w:rsidR="00AC56D6" w:rsidRDefault="00AC56D6" w:rsidP="00AC56D6">
      <w:pPr>
        <w:pStyle w:val="TextoNormal"/>
      </w:pPr>
    </w:p>
    <w:p w:rsidR="00AC56D6" w:rsidRDefault="00AC56D6" w:rsidP="00AC56D6">
      <w:pPr>
        <w:pStyle w:val="TextoNormal"/>
      </w:pPr>
      <w:r w:rsidRPr="00AC56D6">
        <w:rPr>
          <w:rStyle w:val="NumeroAFNegritaCaracter"/>
        </w:rPr>
        <w:t>4</w:t>
      </w:r>
      <w:r>
        <w:t>. Por providencia del Pleno de 26 de mayo de 2015 se acordó admitir a trámite la cuestión que plantea la Sección Cuarta de la Sala de lo Contencioso-Administrativo del Tribunal Supremo en relación con el art. 47 de la Ley 13/2005, de 27 de diciembre, de medidas tributarias y administrativas de las Illes Balears, por posible vulneración de los arts. 149.1.23 y 149.1.25, en relación con el 128.1, todos ellos de la Constitución; de conformidad con lo dispuesto en el artículo 10.1 c) LOTC, reservar para sí el conocimiento de la presente cuestión; dar traslado de las actuaciones recibidas, conforme establece el artículo 37.3 LOTC, al Congreso de los Diputados y al Senado, por conducto de sus Presidentes, al Gobierno, por conducto del Ministro de Justicia, y al Fiscal General del Estado, así como al Gobierno y al Parlamento de las Islas Baleares, por conducto de sus Presidentes, al objeto de que, en el improrrogable plazo de quince días, puedan personarse en el proceso y formular las alegaciones que estimen convenientes; comunicar la presente resolución a la Sección Cuarta de la Sala de lo Contencioso-Administrativo del Tribunal Supremo a fin de que, de conformidad con lo dispuesto en el art. 35.3 LOTC, permanezca suspendido el proceso hasta que este Tribunal resuelva definitivamente la presente cuestión y publicar la incoación de la cuestión en el “Boletín Oficial del Estado” y en el de la Comunidad Autónoma de las Illes Balears.</w:t>
      </w:r>
    </w:p>
    <w:p w:rsidR="00AC56D6" w:rsidRDefault="00AC56D6" w:rsidP="00AC56D6">
      <w:pPr>
        <w:pStyle w:val="TextoNormal"/>
      </w:pPr>
    </w:p>
    <w:p w:rsidR="00AC56D6" w:rsidRDefault="00AC56D6" w:rsidP="00AC56D6">
      <w:pPr>
        <w:pStyle w:val="TextoNormal"/>
      </w:pPr>
      <w:r w:rsidRPr="00AC56D6">
        <w:rPr>
          <w:rStyle w:val="NumeroAFNegritaCaracter"/>
        </w:rPr>
        <w:t>5</w:t>
      </w:r>
      <w:r>
        <w:t>. Mediante escrito registrado con fecha 5 de junio de 2015, el Presidente del Congreso de los Diputados comunicó el acuerdo de la Mesa de la Cámara de personarse en el procedimiento y ofrecer su colaboración a los efectos del art. 88.1 LOTC. Lo mismo hizo el Presidente del Senado por escrito que tuvo entrada en este Tribunal el día 10 de junio de 2015.</w:t>
      </w:r>
    </w:p>
    <w:p w:rsidR="00AC56D6" w:rsidRDefault="00AC56D6" w:rsidP="00AC56D6">
      <w:pPr>
        <w:pStyle w:val="TextoNormal"/>
      </w:pPr>
    </w:p>
    <w:p w:rsidR="00AC56D6" w:rsidRDefault="00AC56D6" w:rsidP="00AC56D6">
      <w:pPr>
        <w:pStyle w:val="TextoNormal"/>
      </w:pPr>
      <w:r w:rsidRPr="00AC56D6">
        <w:rPr>
          <w:rStyle w:val="NumeroAFNegritaCaracter"/>
        </w:rPr>
        <w:t>6</w:t>
      </w:r>
      <w:r>
        <w:t xml:space="preserve">. Por escrito registrado el día 9 de junio de 2015, la representación procesal de D. PVV y de Dª. MMC, en su condición de parte recurrida en el proceso </w:t>
      </w:r>
      <w:r w:rsidRPr="00AC56D6">
        <w:rPr>
          <w:i/>
        </w:rPr>
        <w:t>a quo</w:t>
      </w:r>
      <w:r>
        <w:t xml:space="preserve">, solicitó que se le tuviera por personado y parte. En esa misma condición la representación procesal del D. BMO solicitó se le tuviera por personado en el proceso por escrito registrado el día 12 de junio de 2015. Finalmente, el 17 de junio de 2015, se personó la representación procesal de la mercantil demandante en el proceso </w:t>
      </w:r>
      <w:r w:rsidRPr="00AC56D6">
        <w:rPr>
          <w:i/>
        </w:rPr>
        <w:t>a quo</w:t>
      </w:r>
      <w:r>
        <w:t>.</w:t>
      </w:r>
    </w:p>
    <w:p w:rsidR="00AC56D6" w:rsidRDefault="00AC56D6" w:rsidP="00AC56D6">
      <w:pPr>
        <w:pStyle w:val="TextoNormal"/>
      </w:pPr>
    </w:p>
    <w:p w:rsidR="00AC56D6" w:rsidRDefault="00AC56D6" w:rsidP="00AC56D6">
      <w:pPr>
        <w:pStyle w:val="TextoNormal"/>
      </w:pPr>
      <w:r w:rsidRPr="00AC56D6">
        <w:rPr>
          <w:rStyle w:val="NumeroAFNegritaCaracter"/>
        </w:rPr>
        <w:t>7</w:t>
      </w:r>
      <w:r>
        <w:t>. Las alegaciones presentadas por la Abogada del Estado interesando la estimación de la cuestión fueron registradas en este Tribunal el día 22 de junio de 2015.</w:t>
      </w:r>
    </w:p>
    <w:p w:rsidR="00AC56D6" w:rsidRDefault="00AC56D6" w:rsidP="00AC56D6">
      <w:pPr>
        <w:pStyle w:val="TextoNormal"/>
      </w:pPr>
    </w:p>
    <w:p w:rsidR="00AC56D6" w:rsidRDefault="00AC56D6" w:rsidP="00AC56D6">
      <w:pPr>
        <w:pStyle w:val="TextoNormal"/>
      </w:pPr>
      <w:r>
        <w:t xml:space="preserve">Alude en primer lugar a la delimitación del objeto de la cuestión de inconstitucionalidad, señalando que en la misma se plantea la contradicción del art. 47 de la Ley 13/2005, de 27 de diciembre, de medidas tributarias y administrativas de Illes Balears, con las competencias exclusivas del Estado en materia de bases del régimen minero y energético del art. 149.1.25 </w:t>
      </w:r>
      <w:r>
        <w:lastRenderedPageBreak/>
        <w:t>CE y en materia de legislación básica sobre protección del medio ambiente del art. 149.1.23 CE. Respecto a las competencias estatales en materia minera indica que, mientras que en la legislación básica estatal de minas se establecen como requisitos para la explotación de los recursos mineros de la Sección C que los terrenos sean francos y registrables, y como regla general la registrabilidad de los terrenos (art 39.3 de la Ley 22/1973), en la norma balear cuestionada se establece como regla general la no registrabilidad de los terrenos de todo el territorio de la Comunidad Autónoma de Baleares. En la legislación básica sobre protección de medio ambiente las limitaciones y prohibiciones tienen además que contemplarse individualmente para cada caso en concreto, sin prohibiciones generales que impidan la explotación general de la actividad económica o de un sector de la misma. En el artículo cuestionado se establece la limitación general o prohibición de la actividad minera a efectos de solicitar permisos de investigación y concesiones extractivas de la sección C de la Ley de minas estatal, siendo precisamente la explotación de los recursos de la sección C el que mayor relevancia económica tiene, lo que también hace que se conecte dicha cuestión con el art 128 CE.</w:t>
      </w:r>
    </w:p>
    <w:p w:rsidR="00AC56D6" w:rsidRDefault="00AC56D6" w:rsidP="00AC56D6">
      <w:pPr>
        <w:pStyle w:val="TextoNormal"/>
      </w:pPr>
    </w:p>
    <w:p w:rsidR="00AC56D6" w:rsidRDefault="00AC56D6" w:rsidP="00AC56D6">
      <w:pPr>
        <w:pStyle w:val="TextoNormal"/>
      </w:pPr>
      <w:r>
        <w:t>Tras considerar correcto el juicio de relevancia contenido en el Auto de planteamiento, alega que la cuestión ha de estimarse por incurrir el precepto cuestionado en vulneración de la legislación básica estatal en materia minera y medio ambiental.</w:t>
      </w:r>
    </w:p>
    <w:p w:rsidR="00AC56D6" w:rsidRDefault="00AC56D6" w:rsidP="00AC56D6">
      <w:pPr>
        <w:pStyle w:val="TextoNormal"/>
      </w:pPr>
    </w:p>
    <w:p w:rsidR="00AC56D6" w:rsidRDefault="00AC56D6" w:rsidP="00AC56D6">
      <w:pPr>
        <w:pStyle w:val="TextoNormal"/>
      </w:pPr>
      <w:r>
        <w:t xml:space="preserve">Sobre lo primero entiende infringido el art. 39.3 de la Ley de minas, precepto que, pese a su carácter preconstitucional, entiende formal y materialmente básico. Alude a la doctrina constitucional acerca de las bases en normas preconstitucionales según la cual una norma, por el mero hecho de ser preconstitucional, no debe ser considerada inepta para ser portadora de bases, pues respecto de la normativa anterior a la Constitución, las bases deben ser inferidas en función del contenido que tengan en cada caso. Para la Abogada del Estado el art. 39.3 en relación con el 37 de la Ley de minas cumple con los requisitos para poder ser considerado básico, cuando establece con carácter general, salvo razones de interés público, la registrabilidad de los terrenos y permitiendo excepcionar dicha registrabilidad cuando haya razones de interés público. La condición básica de la norma estatal supone que la norma autonómica la haya superado al establecer una prohibición absoluta (o limitación </w:t>
      </w:r>
      <w:r w:rsidRPr="00AC56D6">
        <w:rPr>
          <w:i/>
        </w:rPr>
        <w:t>ex lege</w:t>
      </w:r>
      <w:r>
        <w:t>) de registrabilidad en todo el territorio de la Comunidad Autónoma, lo que impide en la práctica, sin haber justificado razones de interés general o público, y con ello, vulnerando el principio de proporcionalidad, impedir la concesión de recursos mineros de la sección C) en todo el territorio autonómico. A mayor abundamiento la Abogada del Estado cita el art. 149.1.13 CE como fundamento de la norma estatal, así como la doctrina de la STC 64/1982, respecto a la vinculación de las actividades extractivas con el art. 128 CE y su vinculación con el art. 133.2 CE.</w:t>
      </w:r>
    </w:p>
    <w:p w:rsidR="00AC56D6" w:rsidRDefault="00AC56D6" w:rsidP="00AC56D6">
      <w:pPr>
        <w:pStyle w:val="TextoNormal"/>
      </w:pPr>
    </w:p>
    <w:p w:rsidR="00AC56D6" w:rsidRDefault="00AC56D6" w:rsidP="00AC56D6">
      <w:pPr>
        <w:pStyle w:val="TextoNormal"/>
      </w:pPr>
      <w:r>
        <w:t xml:space="preserve">En cuanto a la infracción de la legislación básica estatal en materia de medio ambiente señala que tanto la actualmente vigente Ley 42/2007, de 13 de diciembre, del patrimonio natural y de la biodiversidad, como la que lo estaba en el momento de dictarse la Ley balear, la Ley 41/1989, de 27 de marzo, de conservación de espacios naturales y flora y fauna silvestre, así como la Ley 21/2013, de 9 de diciembre, de evaluación ambiental, norma que deroga el Real Decreto Legislativo 112008, de 11 de enero, de evaluación de impacto ambiental y éste el Real Decreto Legislativo 1302/1986, de 28 de junio, son normas formal y materialmente básicas. Alude a la doctrina de la STC 64/1982 para indicar que es posible </w:t>
      </w:r>
      <w:r>
        <w:lastRenderedPageBreak/>
        <w:t xml:space="preserve">que las Comunidades Autónomas impongan cargas adicionales para proteger el medio ambiente, pero no la prohibición general de las actividades extractivas de las secciones C) y D) que son las de mayor importancia económica. Cita además la doctrina de las SSTC 106, 134 y 208/2014, en las que el Tribunal declaró inconstitucional la prohibición absoluta de utilización de la técnica del </w:t>
      </w:r>
      <w:r w:rsidRPr="00AC56D6">
        <w:rPr>
          <w:i/>
        </w:rPr>
        <w:t>fracking</w:t>
      </w:r>
      <w:r>
        <w:t xml:space="preserve"> que habían establecido diversas normas autonómicas; señalando que, al igual que los casos allí enjuiciados, se produce una falta de proporcionalidad de la prohibición absoluta de la explotación de los recursos mineros de la sección C) en todo el territorio de la Comunidad Autónoma, especialmente considerando que la propia normativa básica dispone la exigencia de evaluación de impacto ambiental previa a la aprobación de los proyectos, que es además revisable en vía jurisdiccional. Para la Abogada del Estado en el art. 47 de la Ley balear ello es aún más notorio que respecto de las normas autonómicas examinadas en las Sentencias citadas, por cuanto ni siquiera se justifican las razones medioambientales de la prohibición.</w:t>
      </w:r>
    </w:p>
    <w:p w:rsidR="00AC56D6" w:rsidRDefault="00AC56D6" w:rsidP="00AC56D6">
      <w:pPr>
        <w:pStyle w:val="TextoNormal"/>
      </w:pPr>
    </w:p>
    <w:p w:rsidR="00AC56D6" w:rsidRDefault="00AC56D6" w:rsidP="00AC56D6">
      <w:pPr>
        <w:pStyle w:val="TextoNormal"/>
      </w:pPr>
      <w:r w:rsidRPr="00AC56D6">
        <w:rPr>
          <w:rStyle w:val="NumeroAFNegritaCaracter"/>
        </w:rPr>
        <w:t>8</w:t>
      </w:r>
      <w:r>
        <w:t xml:space="preserve">. Por diligencia de ordenación de la Secretaría del Pleno de 23 de junio de 2015 se acordó unir a las actuaciones los escritos presentados por las partes del proceso </w:t>
      </w:r>
      <w:r w:rsidRPr="00AC56D6">
        <w:rPr>
          <w:i/>
        </w:rPr>
        <w:t>a quo</w:t>
      </w:r>
      <w:r>
        <w:t xml:space="preserve"> y, tenerles por personados y parte en la presente cuestión de inconstitucionalidad, acordándose entender con ellos las sucesivas actuaciones, y, conforme establece el art. 37.2 LOTC, concederles un plazo de quince días para que formulen las alegaciones que estimen convenientes.</w:t>
      </w:r>
    </w:p>
    <w:p w:rsidR="00AC56D6" w:rsidRDefault="00AC56D6" w:rsidP="00AC56D6">
      <w:pPr>
        <w:pStyle w:val="TextoNormal"/>
      </w:pPr>
    </w:p>
    <w:p w:rsidR="00AC56D6" w:rsidRDefault="00AC56D6" w:rsidP="00AC56D6">
      <w:pPr>
        <w:pStyle w:val="TextoNormal"/>
      </w:pPr>
      <w:r w:rsidRPr="00AC56D6">
        <w:rPr>
          <w:rStyle w:val="NumeroAFNegritaCaracter"/>
        </w:rPr>
        <w:t>9</w:t>
      </w:r>
      <w:r>
        <w:t>. La Presidenta del Parlamento de las Illes Balears, por escrito registrado el día 24 de junio de 2015, comunicó que la Cámara no se personaba en el proceso ni formulaba alegaciones.</w:t>
      </w:r>
    </w:p>
    <w:p w:rsidR="00AC56D6" w:rsidRDefault="00AC56D6" w:rsidP="00AC56D6">
      <w:pPr>
        <w:pStyle w:val="TextoNormal"/>
      </w:pPr>
    </w:p>
    <w:p w:rsidR="00AC56D6" w:rsidRDefault="00AC56D6" w:rsidP="00AC56D6">
      <w:pPr>
        <w:pStyle w:val="TextoNormal"/>
      </w:pPr>
      <w:r w:rsidRPr="00AC56D6">
        <w:rPr>
          <w:rStyle w:val="NumeroAFNegritaCaracter"/>
        </w:rPr>
        <w:t>10</w:t>
      </w:r>
      <w:r>
        <w:t>. La Abogada de la Comunidad Autónoma de las Illes Balears, en la representación que ostenta del Consejo de Gobierno de esa Comunidad Autónoma, formuló sus alegaciones por escrito registrado el día 6 de julio de 2015, interesando la desestimación de la cuestión por las razones que se resumen a continuación.</w:t>
      </w:r>
    </w:p>
    <w:p w:rsidR="00AC56D6" w:rsidRDefault="00AC56D6" w:rsidP="00AC56D6">
      <w:pPr>
        <w:pStyle w:val="TextoNormal"/>
      </w:pPr>
    </w:p>
    <w:p w:rsidR="00AC56D6" w:rsidRDefault="00AC56D6" w:rsidP="00AC56D6">
      <w:pPr>
        <w:pStyle w:val="TextoNormal"/>
      </w:pPr>
      <w:r>
        <w:t>Tras exponer los antecedentes de la presente cuestión alude a los arts. 47 y 48 de la Ley 13/2005, señalando que este último muestra la tutela por parte del legislador del único recurso minero existente en las islas, con una disposición de finalidad muy similar a la que después se expresaría en el art. 122 de la Ley de minas. En cuanto al art. 47 indica que su pretensión no era en absoluto la prohibición de las actividades mineras, sino la de acotar el ámbito de la principal actividad que se desarrolla en el territorio balear, esto es la explotación de recursos de la sección A) en los yacimientos denominados canteras. Señala asimismo que el aprovechamiento de los minerales propiamente dichos sigue normalmente un orden secuencial que comienza con el permiso de exploración, sigue con el de investigación (arts. 43 a 59), y culmina con la concesión de explotación (arts. 60 a 81). Reconoce también que la limitación de la actividad minera de investigación suponía también una limitación de las posibles (pero inciertas) concesiones de explotación que pudieran derivarse de los correspondientes permisos de investigación.</w:t>
      </w:r>
    </w:p>
    <w:p w:rsidR="00AC56D6" w:rsidRDefault="00AC56D6" w:rsidP="00AC56D6">
      <w:pPr>
        <w:pStyle w:val="TextoNormal"/>
      </w:pPr>
    </w:p>
    <w:p w:rsidR="00AC56D6" w:rsidRDefault="00AC56D6" w:rsidP="00AC56D6">
      <w:pPr>
        <w:pStyle w:val="TextoNormal"/>
      </w:pPr>
      <w:r>
        <w:t xml:space="preserve">Ahora bien, entiende la Abogada de las Illes Balears que dicha limitación de las concesiones directas de explotación derivada del art. 47 de la Ley 13/2005 en modo alguno se </w:t>
      </w:r>
      <w:r>
        <w:lastRenderedPageBreak/>
        <w:t>puede calificar como una prohibición general de las actividades mineras en la Comunidad Autónoma de las Illes Balears, rechazando así que el precepto vulnere el art. 128.1 CE.</w:t>
      </w:r>
    </w:p>
    <w:p w:rsidR="00AC56D6" w:rsidRDefault="00AC56D6" w:rsidP="00AC56D6">
      <w:pPr>
        <w:pStyle w:val="TextoNormal"/>
      </w:pPr>
    </w:p>
    <w:p w:rsidR="00AC56D6" w:rsidRDefault="00AC56D6" w:rsidP="00AC56D6">
      <w:pPr>
        <w:pStyle w:val="TextoNormal"/>
      </w:pPr>
      <w:r>
        <w:t>En cuanto a la vulneración del orden constitucional de distribución de competencias señala que en materia medioambiental la Comunidad Autónoma puede dictar normas adicionales de protección respetando la legislación básica estatal, que cumple una función de ordenación mediante mínimos, de manera que las normas autonómicas pueden también complementar o reforzar los niveles de protección previstos en esa legislación básica, siempre que esas medidas legales autonómicas sean compatibles, no contradigan, ignoren, reduzcan o limiten la protección establecida en la legislación básica del Estado. Indica así que tanto a la luz de la Ley 4/1989, de 27 de marzo, de conservación de los espacios naturales y de la flora y fauna silvestres, como de la Ley 42/2007, de 13 de diciembre, del patrimonio natural y de la biodiversidad, se concluye que la legislación básica del Estado no admite la prohibición genérica de ninguna actividad económica concreta, sino que remite, en relación con el régimen de las actividades en cada zona del espacio natural, a la planificación que al respecto establezca el plan de ordenación de los recursos naturales, cuya finalidad es, en esencia, zonificar el espacio natural determinando el régimen de usos y actividades dentro de cada zona.</w:t>
      </w:r>
    </w:p>
    <w:p w:rsidR="00AC56D6" w:rsidRDefault="00AC56D6" w:rsidP="00AC56D6">
      <w:pPr>
        <w:pStyle w:val="TextoNormal"/>
      </w:pPr>
    </w:p>
    <w:p w:rsidR="00AC56D6" w:rsidRDefault="00AC56D6" w:rsidP="00AC56D6">
      <w:pPr>
        <w:pStyle w:val="TextoNormal"/>
      </w:pPr>
      <w:r>
        <w:t>La Abogada de la Comunidad Autónoma alega que la norma estatal no impide la actuación autonómica, afirma que la intensidad de protección medioambiental frente a la actividad minera puede ser máxima, conforme a la doctrina de la STC 64/1982, señalando que “lo que el Tribunal Constitucional dice es que con carácter general, y para todo el territorio del Estado o de una Comunidad Autónoma, no se puede prohibir toda la actividad minera, o dificultarla de tal manera que haga imposible la utilización de los recursos naturales, lo que no es el caso, insistimos, del artículo 47 de la ley autonómica”.</w:t>
      </w:r>
    </w:p>
    <w:p w:rsidR="00AC56D6" w:rsidRDefault="00AC56D6" w:rsidP="00AC56D6">
      <w:pPr>
        <w:pStyle w:val="TextoNormal"/>
      </w:pPr>
    </w:p>
    <w:p w:rsidR="00AC56D6" w:rsidRDefault="00AC56D6" w:rsidP="00AC56D6">
      <w:pPr>
        <w:pStyle w:val="TextoNormal"/>
      </w:pPr>
      <w:r>
        <w:t>Finalmente indica que las referencias al “Gobierno” del art. 39 de la Ley de minas han de entenderse referidas al Consejo de Gobierno de la Comunidad Autónoma, por lo que se trata del ejercicio de una competencia que corresponde a la Comunidad Autónoma. En el presente caso, por tanto, la Comunidad Autónoma ejerció su competencia legislativa con respeto a las bases o normas básicas estatales, haciendo uso de la posibilidad de declaración de no registrabilidad por razones de interés público que la norma estatal le brinda, no existiendo por ello vulneración alguna del reparto competencial que resulta del art. 149.1.25 CE.</w:t>
      </w:r>
    </w:p>
    <w:p w:rsidR="00AC56D6" w:rsidRDefault="00AC56D6" w:rsidP="00AC56D6">
      <w:pPr>
        <w:pStyle w:val="TextoNormal"/>
      </w:pPr>
    </w:p>
    <w:p w:rsidR="00AC56D6" w:rsidRDefault="00AC56D6" w:rsidP="00AC56D6">
      <w:pPr>
        <w:pStyle w:val="TextoNormal"/>
      </w:pPr>
      <w:r w:rsidRPr="00AC56D6">
        <w:rPr>
          <w:rStyle w:val="NumeroAFNegritaCaracter"/>
        </w:rPr>
        <w:t>11</w:t>
      </w:r>
      <w:r>
        <w:t>. La Fiscal General del Estado presentó escrito de alegaciones el 7 de julio de 2015, en el que solicitó la estimación de la cuestión de constitucionalidad por los motivos siguientes.</w:t>
      </w:r>
    </w:p>
    <w:p w:rsidR="00AC56D6" w:rsidRDefault="00AC56D6" w:rsidP="00AC56D6">
      <w:pPr>
        <w:pStyle w:val="TextoNormal"/>
      </w:pPr>
    </w:p>
    <w:p w:rsidR="00AC56D6" w:rsidRDefault="00AC56D6" w:rsidP="00AC56D6">
      <w:pPr>
        <w:pStyle w:val="TextoNormal"/>
      </w:pPr>
      <w:r>
        <w:t xml:space="preserve">Expone, en primer lugar, los antecedentes de la presente cuestión indicando la correcta formulación de los juicios de aplicabilidad y relevancia. En cuanto al fondo señala que “resulta necesario poner de manifiesto que lo establecido por la norma cuestionada es la no registrabilidad de todo el territorio de la Comunidad Autónoma de Baleares, a los efectos de explotación de los recursos comprendidos en la sección C) de la Ley 22/1973, de Minas”, cuando el art 37.2 de la Ley 22/1973 de minas exige para la concesión de permisos de investigación y concesiones directas de explotación de recursos de la sección C), que los terrenos sean francos y registrables. Se trata, entonces, de una cuestión en la que las dudas de </w:t>
      </w:r>
      <w:r>
        <w:lastRenderedPageBreak/>
        <w:t>constitucionalidad que se plantean se refieren a la distribución constitucional de competencias, en materia de medio ambiente y en materia de régimen minero y energético.</w:t>
      </w:r>
    </w:p>
    <w:p w:rsidR="00AC56D6" w:rsidRDefault="00AC56D6" w:rsidP="00AC56D6">
      <w:pPr>
        <w:pStyle w:val="TextoNormal"/>
      </w:pPr>
    </w:p>
    <w:p w:rsidR="00AC56D6" w:rsidRDefault="00AC56D6" w:rsidP="00AC56D6">
      <w:pPr>
        <w:pStyle w:val="TextoNormal"/>
      </w:pPr>
      <w:r>
        <w:t>Señala que el precepto legal cuestionado forma parte de una ley de las denominadas de acompañamiento, que no tiene como objetivo específico el régimen minero, sin que exista pues constancia de cuál sea la motivación concreta del precepto, si bien parece que hay que entender que la finalidad implícita de la disposición cuestionada es la protección medioambiental. Recuerda al respecto que las competencias autonómicas en materia de minería y de medio ambiente están subordinadas a la competencia estatal para establecer la legislación básica en ambos casos, por lo que para apreciar la vulneración competencial es necesario confrontar el precepto cuestionado con las normas básicas estatales en materia de protección del medio ambiente y del régimen de la minería. Las normas básicas estatales a examinar serían: respecto al art. 149.1.23 CE, la Ley 42/2007, de 13 diciembre, de patrimonio natural y de la biodiversidad, aunque al tiempo de dictarse la norma autonómica cuestionada estaba en vigor la Ley 4/1989, de 27 marzo de espacios naturales y de flora y fauna silvestre, y la Ley 21/2013, de 9 diciembre, de evaluación ambiental; y respecto al art. 149.1.25 CE, la norma básica que debe ser tenida en consideración es la Ley 22/1973, de 21 de julio de minas.</w:t>
      </w:r>
    </w:p>
    <w:p w:rsidR="00AC56D6" w:rsidRDefault="00AC56D6" w:rsidP="00AC56D6">
      <w:pPr>
        <w:pStyle w:val="TextoNormal"/>
      </w:pPr>
    </w:p>
    <w:p w:rsidR="00AC56D6" w:rsidRDefault="00AC56D6" w:rsidP="00AC56D6">
      <w:pPr>
        <w:pStyle w:val="TextoNormal"/>
      </w:pPr>
      <w:r>
        <w:t>Con respecto a la doctrina constitucional que entiende aplicable, alude a la STC 64/1982, en la que se analizó la posible infracción del art 149.1.23 CE por extralimitación competencial de la Comunidad de Cataluña, considerando entonces el Tribunal Constitucional que la prohibición genérica de las actividades extractivas de recursos de las secciones C) y D) de la Ley de minas, que establecía la norma autonómica, suponía una extralimitación de la facultad de establecer normas adicionales de protección del medio ambiente y resultaba contrario a lo dispuesto en los arts. 48 y 128 CE. Cita también las SSTC 106/2014,134/2014 y 208/2014 sobre leyes autonómicas que prohibían la utilización en sus respectivos territorios de la técnica de fractura hidráulica en la investigación y extracción de hidrocarburos no convencionales, prohibición que se consideró asimismo contraria a las competencias estatales de los arts. 149.1.13, 23 y 25 CE.</w:t>
      </w:r>
    </w:p>
    <w:p w:rsidR="00AC56D6" w:rsidRDefault="00AC56D6" w:rsidP="00AC56D6">
      <w:pPr>
        <w:pStyle w:val="TextoNormal"/>
      </w:pPr>
    </w:p>
    <w:p w:rsidR="00AC56D6" w:rsidRDefault="00AC56D6" w:rsidP="00AC56D6">
      <w:pPr>
        <w:pStyle w:val="TextoNormal"/>
      </w:pPr>
      <w:r>
        <w:t xml:space="preserve">Trasladando la anterior doctrina al supuesto cuestionado, la Fiscal General del Estado indica, respecto a la vulneración de las competencias estatales en materia de minería, que el art. 39.3 de la Ley 22/1973 establece la facultad del Gobierno para declarar como no registrables zonas determinadas por razón de interés público. El cuestionado art. 47 de la Ley 13/2005, determina el ejercicio por la Comunidad de las Islas Baleares de esa facultad. Sin embargo, la declaración genérica de no registrabilidad supone una prohibición de carácter absoluto en esta Comunidad de las actividades de investigación y explotación de los recursos mineros incluidos en la sección C), puesto que el art. 37.2 de la Ley 22/1973 exige como requisitos para el otorgamiento de los permisos de investigación y de concesiones de explotación de los recursos incluidos en la citada sección C), que los terrenos sean francos y registrables. Esta prohibición está en contradicción con la norma estatal que atribuye al Gobierno una facultad de declarar como no registrables “zonas determinadas” y “por razones de interés público”. Además considera que la exclusión de la actividad de explotación de recursos mineros de la sección C), que resulta de la declaración general de no registrabilidad, se opone al aprovechamiento de este tipo de recursos que se regula en los arts. 37 y ss. de la Ley de minas. En el precepto cuestionado la declaración de no registrabilidad no solo es hecha, además, para todo el territorio de la Comunidad y no para una determinada zona </w:t>
      </w:r>
      <w:r>
        <w:lastRenderedPageBreak/>
        <w:t>del mismo, sino que tampoco se identifica el concreto interés público que motiva esa declaración. Todo ello lleva a la Fiscal General del Estado a concluir que el precepto legal autonómico contradice la base estatal sin que quepa una interpretación que permita excluir la extralimitación competencial.</w:t>
      </w:r>
    </w:p>
    <w:p w:rsidR="00AC56D6" w:rsidRDefault="00AC56D6" w:rsidP="00AC56D6">
      <w:pPr>
        <w:pStyle w:val="TextoNormal"/>
      </w:pPr>
    </w:p>
    <w:p w:rsidR="00AC56D6" w:rsidRDefault="00AC56D6" w:rsidP="00AC56D6">
      <w:pPr>
        <w:pStyle w:val="TextoNormal"/>
      </w:pPr>
      <w:r>
        <w:t xml:space="preserve">El escrito del Ministerio público examina también la contradicción del art. 47 con la legislación básica en materia de medio ambiente, la Ley 42/2007, de 13 diciembre, de patrimonio natural y de la biodiversidad, y la Ley 21/2013, de 9 diciembre, de evaluación ambiental. Se trata en ambos casos de leyes básicas, tanto desde el punto de vista formal de su declaración expresa como normas básicas por la propia ley, como desde el punto de vista material, en cuanto al contenido de su regulación. Las normas básicas contemplan como requisito para los proyectos de extracción de los recursos incluidos en la sección C) de la Ley de minas, la previa evaluación de impacto ambiental, previsión que se ve contradicha por la norma autonómica, puesto que la declaración genérica e incondicionada del carácter de no registrable de todo el territorio de la comunidad supone la exclusión total de las actividades extractivas de estos recursos, excediendo así de la competencia autonómica para fijar normas adicionales de protección en materia medioambiental. Por eso la Fiscal General del Estado entiende de aplicación la doctrina de las ya mencionadas SSTC 106, 134 y 208/2014 sobre la prohibición de la técnica denominada </w:t>
      </w:r>
      <w:r w:rsidRPr="00AC56D6">
        <w:rPr>
          <w:i/>
        </w:rPr>
        <w:t>fracking</w:t>
      </w:r>
      <w:r>
        <w:t xml:space="preserve">, de las que concluye que la declaración de la norma autonómica “está en oposición con la legislación básica dictada por el Estado </w:t>
      </w:r>
      <w:r w:rsidRPr="00AC56D6">
        <w:rPr>
          <w:i/>
        </w:rPr>
        <w:t>ex</w:t>
      </w:r>
      <w:r>
        <w:t xml:space="preserve"> art 149. 1 23 y 25, puesta en relación con el art. 128.1 de la Constitución, que contempla la subordinación de la riqueza del país cualquiera que sea su titularidad al interés general, al sustraer de la riqueza nacional la explotación de los recursos mineros de la sección C) de especial importancia económica, lo que podría aun tener un mayor impacto si dicha previsión legal se aplicara en el territorio de otras Comunidades”.</w:t>
      </w:r>
    </w:p>
    <w:p w:rsidR="00AC56D6" w:rsidRDefault="00AC56D6" w:rsidP="00AC56D6">
      <w:pPr>
        <w:pStyle w:val="TextoNormal"/>
      </w:pPr>
    </w:p>
    <w:p w:rsidR="00AC56D6" w:rsidRDefault="00AC56D6" w:rsidP="00AC56D6">
      <w:pPr>
        <w:pStyle w:val="TextoNormal"/>
      </w:pPr>
      <w:r>
        <w:t>Finalmente señala que no existe un interés público concreto que haya sido puesto de manifiesto por la norma, así como que el reconocimiento de la extralimitación competencial puede entenderse implícito en la propia Ley 10/2014, de 1 de octubre, de Minas de las Islas Baleares, vigente en la actualidad, que no excluye con carácter absoluto la registrabilidad de los terrenos a efectos de aprovechamiento de los recursos mineros de la sección C), como se desprende de su art 23, sin que, por ello, haya perdido objeto la cuestión de inconstitucionalidad.</w:t>
      </w:r>
    </w:p>
    <w:p w:rsidR="00AC56D6" w:rsidRDefault="00AC56D6" w:rsidP="00AC56D6">
      <w:pPr>
        <w:pStyle w:val="TextoNormal"/>
      </w:pPr>
    </w:p>
    <w:p w:rsidR="00AC56D6" w:rsidRDefault="00AC56D6" w:rsidP="00AC56D6">
      <w:pPr>
        <w:pStyle w:val="TextoNormal"/>
      </w:pPr>
      <w:r w:rsidRPr="00AC56D6">
        <w:rPr>
          <w:rStyle w:val="NumeroAFNegritaCaracter"/>
        </w:rPr>
        <w:t>12</w:t>
      </w:r>
      <w:r>
        <w:t xml:space="preserve">. La representación procesal de la mercantil demandante en el proceso </w:t>
      </w:r>
      <w:r w:rsidRPr="00AC56D6">
        <w:rPr>
          <w:i/>
        </w:rPr>
        <w:t>a quo</w:t>
      </w:r>
      <w:r>
        <w:t xml:space="preserve"> cumplimentó el trámite de alegaciones conferido el día 15 de junio de 2015, interesando la estimación de la cuestión de inconstitucionalidad.</w:t>
      </w:r>
    </w:p>
    <w:p w:rsidR="00AC56D6" w:rsidRDefault="00AC56D6" w:rsidP="00AC56D6">
      <w:pPr>
        <w:pStyle w:val="TextoNormal"/>
      </w:pPr>
    </w:p>
    <w:p w:rsidR="00AC56D6" w:rsidRDefault="00AC56D6" w:rsidP="00AC56D6">
      <w:pPr>
        <w:pStyle w:val="TextoNormal"/>
      </w:pPr>
      <w:r>
        <w:t xml:space="preserve">Alega al respecto que el precepto cuestionado infringe los arts. 149.1.23 y 149.1.25, en relación con el art. 128.1 CE, al prohibir el otorgamiento de los derechos mineros de mayor relevancia económica, pues el art. 39.3 de la Ley de Minas no habilita a una Comunidad Autónoma a prohibir en todo su territorio las actividades mineras de mayor importancia económica, tal como se desprende de la doctrina de las SSTC 170/1989 y 64/1982. Señala que el art. 39.3 de la Ley de minas goza del carácter de normativa básica estatal tanto desde un punto de vista formal como material, que ha de respetarse por la Comunidad Autónoma, conforme al reparto competencial que ha diseñado la Constitución en el que corresponde al Estado el establecimiento de las bases en materia minera y medioambiental, de tal manera </w:t>
      </w:r>
      <w:r>
        <w:lastRenderedPageBreak/>
        <w:t>que las normas estatales delimitan indirectamente las competencias autonómicas de desarrollo. Pese a que la Ley 13/2005 no especifica el carácter competencial en cuya virtud se dicta, ni tampoco el art. 47 indica cual es el interés general que pretende salvaguardar mediante la prohibición que contiene, todo apunta a que o nos encontramos ante una competencia minera o de protección al medio ambiente, señalando, respecto a este último aspecto, que la norma autonómica no introduce un plus de protección, sino que directamente establece una regulación distinta y contraria a la normativa estatal básica, que debe reputarse inconstitucional.</w:t>
      </w:r>
    </w:p>
    <w:p w:rsidR="00AC56D6" w:rsidRDefault="00AC56D6" w:rsidP="00AC56D6">
      <w:pPr>
        <w:pStyle w:val="TextoNormal"/>
      </w:pPr>
    </w:p>
    <w:p w:rsidR="00AC56D6" w:rsidRDefault="00AC56D6" w:rsidP="00AC56D6">
      <w:pPr>
        <w:pStyle w:val="TextoNormal"/>
      </w:pPr>
      <w:r w:rsidRPr="00AC56D6">
        <w:rPr>
          <w:rStyle w:val="NumeroAFNegritaCaracter"/>
        </w:rPr>
        <w:t>13</w:t>
      </w:r>
      <w:r>
        <w:t>. D. PVV y Dª. MMC formularon sus alegaciones mediante escrito registrado el día 15 de julio de 2015 solicitando la desestimación de la cuestión.</w:t>
      </w:r>
    </w:p>
    <w:p w:rsidR="00AC56D6" w:rsidRDefault="00AC56D6" w:rsidP="00AC56D6">
      <w:pPr>
        <w:pStyle w:val="TextoNormal"/>
      </w:pPr>
    </w:p>
    <w:p w:rsidR="00AC56D6" w:rsidRDefault="00AC56D6" w:rsidP="00AC56D6">
      <w:pPr>
        <w:pStyle w:val="TextoNormal"/>
      </w:pPr>
      <w:r>
        <w:t>Argumentan que el art. 47 no invade la legislación básica en relación a la protección de medio ambiente, ni la legislación básica establecida en la ley de Minas, en cuanto atiende a la protección del interés general determinado por la Comunidad Autónoma, de acuerdo con las especificidades y características territoriales y económicas, y englobado en una amplia visión de lo que supone la actividad extractiva en el territorio balear y su repercusión en el resto del territorio español. Al mismo tiempo, el art. 47 no repercute negativamente en el interés general de la nación, pues la restricción que plantea el artículo enjuiciado no afecta ni merma la aportación a la riqueza de todo el país, como demuestran los hechos y la realidad de las islas, sus recursos y sus circunstancias. Este precepto recoge la preocupación de la Comunidad Autónoma balear sobre la protección del medio ambiente, estableciendo un equilibrio con la industria extractiva tradicional y prácticamente exclusiva de las islas, que se ha desarrollado en las llamadas canteras, de la sección A).</w:t>
      </w:r>
    </w:p>
    <w:p w:rsidR="00AC56D6" w:rsidRDefault="00AC56D6" w:rsidP="00AC56D6">
      <w:pPr>
        <w:pStyle w:val="TextoNormal"/>
      </w:pPr>
    </w:p>
    <w:p w:rsidR="00AC56D6" w:rsidRDefault="00AC56D6" w:rsidP="00AC56D6">
      <w:pPr>
        <w:pStyle w:val="TextoNormal"/>
      </w:pPr>
      <w:r>
        <w:t>El precepto cuestionado se ha aprobado pues en el ejercicio de las competencias autonómicas y no vulnera la legislación básica estatal. En relación a la legislación estatal en materia de medio ambiente, se sostiene que tienen la consideración formal y material de normas básicas la Ley 42/2007, de 13 de diciembre, del patrimonio y de la biodiversidad junto con la Ley 21/2013, de 9 de diciembre, de evaluación ambiental. Entiende el Tribunal Supremo que la medida cuestionada no supondría una carga o medida adicional para la protección del medio ambiente concretada en impedir la actividad minera, sino un impedimento general con efecto equivalente a una prohibición de la misma de naturaleza general y de duración indefinida. El escrito rechaza este argumento por dos razones: el art. 47 limita un tipo de explotación por sus características incompatibles con las de las islas. Así, no impide ni rebasa la competencia básica del Estado, cuyo objetivo es, precisamente, la introducción de una nueva medida de protección, acorde con las características de la industria extractiva insular, las características del territorio, y sin que esa medida incida en la actividad minera tradicionalmente desarrollada en las islas. En el mismo sentido hay que entender que el art. 47 no invade competencia alguna, en relación a lo dispuesto en la vigente Ley 21/2013, de 9 de diciembre, de evaluación ambiental, pues no incide en dicha técnica.</w:t>
      </w:r>
    </w:p>
    <w:p w:rsidR="00AC56D6" w:rsidRDefault="00AC56D6" w:rsidP="00AC56D6">
      <w:pPr>
        <w:pStyle w:val="TextoNormal"/>
      </w:pPr>
    </w:p>
    <w:p w:rsidR="00AC56D6" w:rsidRDefault="00AC56D6" w:rsidP="00AC56D6">
      <w:pPr>
        <w:pStyle w:val="TextoNormal"/>
      </w:pPr>
      <w:r>
        <w:t xml:space="preserve">En cuanto al art. 149.1.25 CE señala que la norma básica es la Ley 22/1973, de 21 de julio, de Minas, en particular su art. 39.3. El art. 47 de la Ley 13/2005 en puridad no contempla una prohibición a toda la actividad extractiva, pero sí una previsión normativa que, al declarar a todo el territorio de las Islas Baleares como no registrable, elimina un presupuesto necesario para un tipo de explotación minera que se clasifica en la sección C); previsión que puede adoptar el legislador autonómico, en cuanto lo que pretende es que no </w:t>
      </w:r>
      <w:r>
        <w:lastRenderedPageBreak/>
        <w:t>existan explotaciones de una determinada dimensión o envergadura en atención a su impacto sobre el territorio, el medio natural y el turismo. Supone así una decisión limitadora de las explotaciones para compatibilizar esta actividad con los intereses económicos generales de la Comunidad Autónoma. Por ello, “cuando la Comunidad Autónoma aprueba el art. 47 de la Ley 13/2005, lo que está haciendo es proteger el territorio insular de un tipo de actividad no prioritaria ni necesaria en este momento cuya envergadura no es compatible ni con las características del territorio ni con las características económicas del mismo, por lo que el interés general deriva en una mayor protección del territorio” en conjunción con “la apuesta decidida del gobierno balear por el impulso de otros sectores económicos, estos si claves para el desarrollo de las islas, en conjunción con la defensa y protección medioambiental”. Por ello se sostiene que, manteniendo las explotaciones de la sección A), no se limita ni se restringe la explotación minera de las islas, tradicionalmente basada en las canteras, sin que por las características de la Comunidad Autónoma, formada por el territorio insular, la restricción de la explotación en la sección C), no afecta en absoluto a la necesaria solidaridad que debe preceder la legislación y tratamiento de las explotaciones y recursos mineros, excluyendo así la vulneración del art. 128.1 CE.</w:t>
      </w:r>
    </w:p>
    <w:p w:rsidR="00AC56D6" w:rsidRDefault="00AC56D6" w:rsidP="00AC56D6">
      <w:pPr>
        <w:pStyle w:val="TextoNormal"/>
      </w:pPr>
    </w:p>
    <w:p w:rsidR="00AC56D6" w:rsidRDefault="00AC56D6" w:rsidP="00AC56D6">
      <w:pPr>
        <w:pStyle w:val="TextoNormal"/>
      </w:pPr>
      <w:r>
        <w:t>Finalmente descarta que resulte de aplicación la doctrina de las SSTC 106, 134 y 208/2014, y alude a la Ley 10/2014, de 1 de octubre, de ordenación minera de las Illes Balears, describiendo su tramitación y las modificaciones introducidas en el régimen de no registrabilidad, y que, a su juicio, al no existir prohibición absoluta alguna, disiparían las dudas de constitucionalidad de la norma.</w:t>
      </w:r>
    </w:p>
    <w:p w:rsidR="00AC56D6" w:rsidRDefault="00AC56D6" w:rsidP="00AC56D6">
      <w:pPr>
        <w:pStyle w:val="TextoNormal"/>
      </w:pPr>
    </w:p>
    <w:p w:rsidR="00AC56D6" w:rsidRDefault="00AC56D6" w:rsidP="00AC56D6">
      <w:pPr>
        <w:pStyle w:val="TextoNormal"/>
      </w:pPr>
      <w:r w:rsidRPr="00AC56D6">
        <w:rPr>
          <w:rStyle w:val="NumeroAFNegritaCaracter"/>
        </w:rPr>
        <w:t>14</w:t>
      </w:r>
      <w:r>
        <w:t>. Por escrito registrado en este Tribunal el día 15 de julio de 2015 la representación procesal de D. BMM se personó en el proceso sin formular alegaciones.</w:t>
      </w:r>
    </w:p>
    <w:p w:rsidR="00AC56D6" w:rsidRDefault="00AC56D6" w:rsidP="00AC56D6">
      <w:pPr>
        <w:pStyle w:val="TextoNormal"/>
      </w:pPr>
    </w:p>
    <w:p w:rsidR="00AC56D6" w:rsidRDefault="00AC56D6" w:rsidP="00AC56D6">
      <w:pPr>
        <w:pStyle w:val="TextoNormal"/>
      </w:pPr>
      <w:r w:rsidRPr="00AC56D6">
        <w:rPr>
          <w:rStyle w:val="NumeroAFNegritaCaracter"/>
        </w:rPr>
        <w:t>15</w:t>
      </w:r>
      <w:r>
        <w:t>. Mediante providencia de fecha de 3 de noviembre de 2015 se señaló para deliberación y votación de la presente Sentencia el 5 de noviembre del mismo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Sección Cuarta de la Sala de lo Contencioso-Administrativo del Tribunal Supremo plantea cuestión de inconstitucionalidad sobre el art. 47 de la Ley 13/2005, de 27 de diciembre, de medidas tributarias y administrativas de la Comunidad Autónoma de Illes Balears, por vulneración de los arts. 149.1.23 y 149.1.25, en relación con el 128.1, todos ellos de la Constitución.</w:t>
      </w:r>
    </w:p>
    <w:p w:rsidR="00AC56D6" w:rsidRDefault="00AC56D6" w:rsidP="00AC56D6">
      <w:pPr>
        <w:pStyle w:val="TextoNormal"/>
      </w:pPr>
    </w:p>
    <w:p w:rsidR="00AC56D6" w:rsidRDefault="00AC56D6" w:rsidP="00AC56D6">
      <w:pPr>
        <w:pStyle w:val="TextoNormal"/>
      </w:pPr>
      <w:r>
        <w:t>El precepto cuestionado establece lo siguiente:</w:t>
      </w:r>
    </w:p>
    <w:p w:rsidR="00AC56D6" w:rsidRDefault="00AC56D6" w:rsidP="00AC56D6">
      <w:pPr>
        <w:pStyle w:val="TextoNormal"/>
      </w:pPr>
    </w:p>
    <w:p w:rsidR="00AC56D6" w:rsidRDefault="00AC56D6" w:rsidP="00AC56D6">
      <w:pPr>
        <w:pStyle w:val="TextoNormal"/>
      </w:pPr>
      <w:r>
        <w:t>“Artículo 47. Declaración de zona no registrable.</w:t>
      </w:r>
    </w:p>
    <w:p w:rsidR="00AC56D6" w:rsidRDefault="00AC56D6" w:rsidP="00AC56D6">
      <w:pPr>
        <w:pStyle w:val="TextoNormal"/>
      </w:pPr>
    </w:p>
    <w:p w:rsidR="00AC56D6" w:rsidRDefault="00AC56D6" w:rsidP="00AC56D6">
      <w:pPr>
        <w:pStyle w:val="TextoNormal"/>
      </w:pPr>
      <w:r>
        <w:t>Por razones de interés público, se declara todo el territorio de las Illes Balears como zona no registrable a los efectos de lo establecido en el art. 39.3 de la Ley 22/1973, de 21 de julio, de Minas, y en el art. 57.3 del Real Decreto 2857/1978, de 25 de agosto, por el que se aprueba el reglamento general para el régimen de la minería.”</w:t>
      </w:r>
    </w:p>
    <w:p w:rsidR="00AC56D6" w:rsidRDefault="00AC56D6" w:rsidP="00AC56D6">
      <w:pPr>
        <w:pStyle w:val="TextoNormal"/>
      </w:pPr>
    </w:p>
    <w:p w:rsidR="00AC56D6" w:rsidRDefault="00AC56D6" w:rsidP="00AC56D6">
      <w:pPr>
        <w:pStyle w:val="TextoNormal"/>
      </w:pPr>
      <w:r>
        <w:lastRenderedPageBreak/>
        <w:t>El órgano judicial considera que la prohibición genérica de actividades extractivas y de explotación de recursos mineros, que deriva de lo dispuesto en el art. 47 de la Ley 13/2005, en la medida en que viene a declarar todo el territorio autonómico como no registrable a efectos de la explotación de determinados recursos mineros, incurriría en vulneración de las competencias estatales de los arts. 149.1.23 y 149.1.25 CE en relación con el art. 128.1 CE, tal como esas competencias han sido ejercidas en la legislación minera y medioambiental del Estado.</w:t>
      </w:r>
    </w:p>
    <w:p w:rsidR="00AC56D6" w:rsidRDefault="00AC56D6" w:rsidP="00AC56D6">
      <w:pPr>
        <w:pStyle w:val="TextoNormal"/>
      </w:pPr>
    </w:p>
    <w:p w:rsidR="00AC56D6" w:rsidRDefault="00AC56D6" w:rsidP="00AC56D6">
      <w:pPr>
        <w:pStyle w:val="TextoNormal"/>
      </w:pPr>
      <w:r>
        <w:t xml:space="preserve">La Abogada del Estado, la Fiscal General del Estado y una de las partes comparecidas han interesado la estimación de la cuestión, al estimar que el precepto es contrario a las competencias del Estado en materia de bases del régimen minero y energético del art. 149.1.25 CE y de legislación básica sobre protección del medio ambiente del art. 149.1.23 CE. La representación procesal del Gobierno de la Comunidad Autónoma, por el contrario, ha defendido que se trata de una norma de carácter medioambiental adoptada en el ejercicio de las competencias autonómicas en la materia, extremo en el que ha coincido con otras de las partes del proceso </w:t>
      </w:r>
      <w:r w:rsidRPr="00AC56D6">
        <w:rPr>
          <w:i/>
        </w:rPr>
        <w:t>a quo</w:t>
      </w:r>
      <w:r>
        <w:t>, que ha formulado alegaciones en el presente proceso.</w:t>
      </w:r>
    </w:p>
    <w:p w:rsidR="00AC56D6" w:rsidRDefault="00AC56D6" w:rsidP="00AC56D6">
      <w:pPr>
        <w:pStyle w:val="TextoNormal"/>
      </w:pPr>
    </w:p>
    <w:p w:rsidR="00AC56D6" w:rsidRDefault="00AC56D6" w:rsidP="00AC56D6">
      <w:pPr>
        <w:pStyle w:val="TextoNormal"/>
      </w:pPr>
      <w:r w:rsidRPr="00AC56D6">
        <w:rPr>
          <w:rStyle w:val="NumeroAFNegritaCaracter"/>
        </w:rPr>
        <w:t>2</w:t>
      </w:r>
      <w:r>
        <w:t>. Previamente al enjuiciamiento de la cuestión planteada han de hacerse dos precisiones.</w:t>
      </w:r>
    </w:p>
    <w:p w:rsidR="00AC56D6" w:rsidRDefault="00AC56D6" w:rsidP="00AC56D6">
      <w:pPr>
        <w:pStyle w:val="TextoNormal"/>
      </w:pPr>
    </w:p>
    <w:p w:rsidR="00AC56D6" w:rsidRDefault="00AC56D6" w:rsidP="00AC56D6">
      <w:pPr>
        <w:pStyle w:val="TextoNormal"/>
      </w:pPr>
      <w:r>
        <w:t xml:space="preserve">La primera se refiere a que, durante la pendencia del proceso judicial </w:t>
      </w:r>
      <w:r w:rsidRPr="00AC56D6">
        <w:rPr>
          <w:i/>
        </w:rPr>
        <w:t>a quo</w:t>
      </w:r>
      <w:r>
        <w:t>, el precepto legal cuestionado se ha visto, en cierta medida, afectado por lo dispuesto en el art. 23 de la Ley 10/2014, de 1 de octubre, de ordenación minera de las Illes Balears, el cual, excepcionalmente, permite declarar la registrabilidad para los recursos mineros de la sección C) a solicitud del interesado, acreditando la disponibilidad de los terrenos y el cumplimiento del resto de condiciones exigidas en el precepto.</w:t>
      </w:r>
    </w:p>
    <w:p w:rsidR="00AC56D6" w:rsidRDefault="00AC56D6" w:rsidP="00AC56D6">
      <w:pPr>
        <w:pStyle w:val="TextoNormal"/>
      </w:pPr>
    </w:p>
    <w:p w:rsidR="00AC56D6" w:rsidRDefault="00AC56D6" w:rsidP="00AC56D6">
      <w:pPr>
        <w:pStyle w:val="TextoNormal"/>
      </w:pPr>
      <w:r>
        <w:t xml:space="preserve">Como advierte el Auto de planteamiento, no es indiscutible que esta regulación, dado su carácter excepcional, se oponga a lo establecido en el cuestionado art. 47 de la Ley 13/2005, precepto que, por lo demás, tampoco es expresamente derogado por la Ley 10/2014. En todo caso, es indudable que la regulación de la Ley 10/2014 no afecta a la pervivencia del objeto de la presente cuestión, que solamente se hubiera visto afectado, si la norma cuestionada dejara de ser aplicable o no fuera ya relevante para la resolución del proceso judicial en el que ha sido planteada. El art. 47 de la Ley 13/2005 es relevante para la resolución del proceso judicial en el que la cuestión ha sido formulada (por todas, STC 73/2014, de 8 de mayo, FJ 2), pues, habida cuenta de que en el recurso contencioso-administrativo se impugna una resolución administrativa dictada en aplicación de la disposición legal cuestionada, su constitucionalidad o inconstitucionalidad incidirá necesariamente en la validez de los actos dictados en su aplicación, como el recurrido en el proceso judicial </w:t>
      </w:r>
      <w:r w:rsidRPr="00AC56D6">
        <w:rPr>
          <w:i/>
        </w:rPr>
        <w:t>a quo</w:t>
      </w:r>
      <w:r>
        <w:t>.</w:t>
      </w:r>
    </w:p>
    <w:p w:rsidR="00AC56D6" w:rsidRDefault="00AC56D6" w:rsidP="00AC56D6">
      <w:pPr>
        <w:pStyle w:val="TextoNormal"/>
      </w:pPr>
    </w:p>
    <w:p w:rsidR="00AC56D6" w:rsidRDefault="00AC56D6" w:rsidP="00AC56D6">
      <w:pPr>
        <w:pStyle w:val="TextoNormal"/>
      </w:pPr>
      <w:r>
        <w:t xml:space="preserve">En segundo lugar debemos recordar que en las cuestiones de inconstitucionalidad (por todas, SSTC 4/2011, de 4 febrero, FJ 3; 175/2011, de 8 de noviembre, FJ 2, y 191/2012, de 29 de octubre, FJ 2) el control de los preceptos que pudieren haber incurrido en un exceso competencial ha de efectuarse con arreglo a las normas del bloque constitucional, vigentes en el momento en que fue planteada la cuestión en el proceso </w:t>
      </w:r>
      <w:r w:rsidRPr="00AC56D6">
        <w:rPr>
          <w:i/>
        </w:rPr>
        <w:t>a quo</w:t>
      </w:r>
      <w:r>
        <w:t xml:space="preserve">, así como aquellas otras que, en su caso, operen como parámetro de enjuiciamiento del precepto cuestionado. Eso significa que, en lo que resulte procedente, debemos tomar en consideración lo dispuesto en la Ley Orgánica 1/2007, de 28 de febrero, de reforma del Estatuto de Autonomía de las Illes </w:t>
      </w:r>
      <w:r>
        <w:lastRenderedPageBreak/>
        <w:t>Balears, así como, en los términos que a continuación se exponen, la Ley 22/1973, de 21 de julio, de minas.</w:t>
      </w:r>
    </w:p>
    <w:p w:rsidR="00AC56D6" w:rsidRDefault="00AC56D6" w:rsidP="00AC56D6">
      <w:pPr>
        <w:pStyle w:val="TextoNormal"/>
      </w:pPr>
    </w:p>
    <w:p w:rsidR="00AC56D6" w:rsidRDefault="00AC56D6" w:rsidP="00AC56D6">
      <w:pPr>
        <w:pStyle w:val="TextoNormal"/>
      </w:pPr>
      <w:r w:rsidRPr="00AC56D6">
        <w:rPr>
          <w:rStyle w:val="NumeroAFNegritaCaracter"/>
        </w:rPr>
        <w:t>3</w:t>
      </w:r>
      <w:r>
        <w:t>. Del examen del Auto de planteamiento se deduce que nos encontramos ante una cuestión de inconstitucionalidad de contenido esencialmente competencial; la aducida vulneración del art. 128.1 CE tiene un carácter accesorio, y de refuerzo de los argumentos relacionados con la invasión del orden de distribución de competencias que aprecia el órgano judicial.</w:t>
      </w:r>
    </w:p>
    <w:p w:rsidR="00AC56D6" w:rsidRDefault="00AC56D6" w:rsidP="00AC56D6">
      <w:pPr>
        <w:pStyle w:val="TextoNormal"/>
      </w:pPr>
    </w:p>
    <w:p w:rsidR="00AC56D6" w:rsidRDefault="00AC56D6" w:rsidP="00AC56D6">
      <w:pPr>
        <w:pStyle w:val="TextoNormal"/>
      </w:pPr>
      <w:r>
        <w:t>Resulta necesario pues, en primer lugar, dilucidar el encuadramiento de la cuestión controvertida, a efectos de identificar los títulos competenciales en concurso, para lo cual es precisa una referencia siquiera sucinta al régimen de registrabilidad al que alude la norma cuestionada por referencia a la Ley 22/1973 y sus disposiciones de desarrollo.</w:t>
      </w:r>
    </w:p>
    <w:p w:rsidR="00AC56D6" w:rsidRDefault="00AC56D6" w:rsidP="00AC56D6">
      <w:pPr>
        <w:pStyle w:val="TextoNormal"/>
      </w:pPr>
    </w:p>
    <w:p w:rsidR="00AC56D6" w:rsidRDefault="00AC56D6" w:rsidP="00AC56D6">
      <w:pPr>
        <w:pStyle w:val="TextoNormal"/>
      </w:pPr>
      <w:r>
        <w:t>La Ley 22/1973 regula así el régimen jurídico de la investigación y aprovechamiento de los yacimientos minerales y demás recursos geológicos, cualesquiera que fuere su origen y estado físico, clasificando los recursos mineros en cuatro secciones, A), B), C) y D). Pertenecen a la sección A) los yacimientos minerales y demás recursos geológicos de escaso valor económico y comercialización geográficamente restringida, así como aquellos cuyo aprovechamiento único sea el de obtener fragmentos de tamaño y forma apropiados para su utilización directa en obras de infraestructura, construcción y otros usos que no exigen más operaciones que las de arranque, quebrantado y calibrado. La sección B) incluye las aguas minerales, las termales, las estructuras subterráneas y los yacimientos formados como consecuencia de operaciones reguladas por esta Ley. La sección C) la integran cuantos yacimientos minerales y recursos geológicos no estén incluidos en las anteriores y sean objeto de aprovechamiento conforme a esta Ley, finalmente, forman parte de la sección D) los carbones, los minerales radiactivos, los recursos geotérmicos, las rocas bituminosas y cualesquiera otros yacimientos minerales o recursos geológicos de interés energético, que el Gobierno acuerde incluir en esta sección, a propuesta del Ministro de Industria y Energía, previo informe del Instituto Geológico y Minero de España.</w:t>
      </w:r>
    </w:p>
    <w:p w:rsidR="00AC56D6" w:rsidRDefault="00AC56D6" w:rsidP="00AC56D6">
      <w:pPr>
        <w:pStyle w:val="TextoNormal"/>
      </w:pPr>
    </w:p>
    <w:p w:rsidR="00AC56D6" w:rsidRDefault="00AC56D6" w:rsidP="00AC56D6">
      <w:pPr>
        <w:pStyle w:val="TextoNormal"/>
      </w:pPr>
      <w:r>
        <w:t>En particular, los recursos de las secciones C) y D) pueden ser investigados o explotados mediante los correspondientes y sucesivos permisos de exploración, permisos de investigación y concesiones de explotación. Para otorgar estos, y otros derechos mineros, es condición indispensable que los terrenos sobre los que recaigan reúnan las condiciones de francos y registrables, salvo los permisos de exploración, que se otorgan sin excluir de su perímetro los terrenos que no sean francos y registrables. A estos efectos, el art. 39 de la Ley de minas considera que para ser registrable un terreno, además de ser franco, ha de tener la extensión mínima que sea exigible y que se determina reglamentariamente.</w:t>
      </w:r>
    </w:p>
    <w:p w:rsidR="00AC56D6" w:rsidRDefault="00AC56D6" w:rsidP="00AC56D6">
      <w:pPr>
        <w:pStyle w:val="TextoNormal"/>
      </w:pPr>
    </w:p>
    <w:p w:rsidR="00AC56D6" w:rsidRDefault="00AC56D6" w:rsidP="00AC56D6">
      <w:pPr>
        <w:pStyle w:val="TextoNormal"/>
      </w:pPr>
      <w:r>
        <w:t xml:space="preserve">No obstante la incidencia que los recursos mineros y su explotación tienen sobre otras materias, en especial la protección del medio ambiente, hemos de entender, dado el contenido del precepto cuestionado, relativo a la irregistrabilidad de todo el territorio de las Illes Balears a afectos de la explotación de los recursos mineros de la sección C), que la cuestión controvertida se encuadra en el ámbito material del régimen minero. La registrabilidad es un concepto propio de este específico sector cuya regulación, en sí misma, no tiene por objeto atajar las repercusiones negativas sobre el entorno y la biodiversidad de la actividad minera (en el mismo sentido, STC 45/2015, de 5 de marzo, FJ 3). Se trata de una exigencia </w:t>
      </w:r>
      <w:r>
        <w:lastRenderedPageBreak/>
        <w:t>para el otorgamiento de permisos de investigación y concesiones directas de explotación de recursos de la sección C), que no tiene que ver con requerimientos medioambientales, sino con la demarcación de un perímetro concreto de terreno en el que se realicen estudios y trabajos encaminados a poner de manifiesto y definir uno o varios recursos de la sección C), de manera que una vez definidos, se pueda proceder a su explotación, previo el otorgamiento de la correspondiente concesión.</w:t>
      </w:r>
    </w:p>
    <w:p w:rsidR="00AC56D6" w:rsidRDefault="00AC56D6" w:rsidP="00AC56D6">
      <w:pPr>
        <w:pStyle w:val="TextoNormal"/>
      </w:pPr>
    </w:p>
    <w:p w:rsidR="00AC56D6" w:rsidRDefault="00AC56D6" w:rsidP="00AC56D6">
      <w:pPr>
        <w:pStyle w:val="TextoNormal"/>
      </w:pPr>
      <w:r>
        <w:t>En esta materia el Estado ostenta competencia exclusiva para dictar las “bases de régimen minero” (art. 149.1.25 CE). A su vez, todas las Comunidades Autónomas tienen atribuidas por sus respectivos Estatutos de Autonomía competencias de desarrollo legislativo y ejecución en esta materia. Así sucede en el caso de la Comunidad Autónoma de Illes Balears, cuyo Estatuto le atribuye “el desarrollo legislativo y la ejecución” en materia de “régimen minero y energético”, “en el marco de la legislación básica del Estado” (art. 31.15 del Estatuto de Autonomía para Illes Balears).</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Encuadrada así la cuestión, resulta que se fundamenta, esencialmente, en la inconstitucionalidad mediata en que incurriría el precepto impugnado, al entrar en contradicción insalvable con la normativa básica estatal, en este caso, los arts. 37 a 39 de la Ley 22/1973 que, dentro de la regulación de los aprovechamientos de recursos de la sección C, establecen el régimen aplicable a los terrenos francos y a los terrenos registrables. De este encuadre competencial se desprende que la cuestión central para decidir la presente controversia es, conforme a la reiterada doctrina de este Tribunal sobre la inconstitucionalidad de carácter mediato o indirecto (por todas, STC 103/2015, de 28 de mayo, FJ 3) determinar si el régimen jurídico de la registrabilidad de los terrenos a efectos mineros contemplado en la Ley 22/1973 es formal y materialmente básico conforme a nuestra doctrina pues, si lo fuera, constituiría un ejercicio legítimo de la competencia estatal </w:t>
      </w:r>
      <w:r w:rsidRPr="00AC56D6">
        <w:rPr>
          <w:i/>
        </w:rPr>
        <w:t>ex</w:t>
      </w:r>
      <w:r>
        <w:t xml:space="preserve"> art. 149.1.25 CE, lo que supondría que el precepto autonómico solo sería constitucional, si resultase compatible con dicha legislación básica.</w:t>
      </w:r>
    </w:p>
    <w:p w:rsidR="00AC56D6" w:rsidRDefault="00AC56D6" w:rsidP="00AC56D6">
      <w:pPr>
        <w:pStyle w:val="TextoNormal"/>
      </w:pPr>
    </w:p>
    <w:p w:rsidR="00AC56D6" w:rsidRDefault="00AC56D6" w:rsidP="00AC56D6">
      <w:pPr>
        <w:pStyle w:val="TextoNormal"/>
      </w:pPr>
      <w:r>
        <w:t>A los efectos que aquí interesan, cabe destacar que el art. 37.2 exige, para el otorgamiento de los permisos de investigación y de las concesiones directas de explotación de recursos de la sección C), “que los terrenos sobre los que recaigan reúnan las condiciones de francos y registrables”. De conformidad con el artículo 38.1, “se considerará que un terreno es franco si no estuviera comprendido dentro del perímetro de una zona de reserva del Estado, propuesta o declarada para toda clase de recursos de la sección C, o de los perímetros solicitados o ya otorgados de un permiso de exploración, un permiso de investigación o una concesión de explotación”. El art. 39, por su parte, declara que “se considerará que un terreno es registrable si, además de ser franco, tiene la extensión mínima exigible”, extensión concretada en el mínimo de una cuadrícula minera, definida en los términos del art. 98 del Real Decreto 2857/1978, de 25 de agosto, por el que se aprueba el Reglamento general para el régimen de la minería. El apartado 3 del art. 39 precisa que, “sin perjuicio de todo lo anterior, el Gobierno podrá declarar no registrables zonas determinadas por razones de interés público, a propuesta conjunta del Departamento o Departamentos ministeriales interesados y del de Industria, previo informe de la Organización Sindical”.</w:t>
      </w:r>
    </w:p>
    <w:p w:rsidR="00AC56D6" w:rsidRDefault="00AC56D6" w:rsidP="00AC56D6">
      <w:pPr>
        <w:pStyle w:val="TextoNormal"/>
      </w:pPr>
    </w:p>
    <w:p w:rsidR="00AC56D6" w:rsidRDefault="00AC56D6" w:rsidP="00AC56D6">
      <w:pPr>
        <w:pStyle w:val="TextoNormal"/>
      </w:pPr>
      <w:r>
        <w:t xml:space="preserve">El carácter preconstitucional de los preceptos legales que se han expuesto no excluye </w:t>
      </w:r>
      <w:r w:rsidRPr="00AC56D6">
        <w:rPr>
          <w:i/>
        </w:rPr>
        <w:t>a radice</w:t>
      </w:r>
      <w:r>
        <w:t xml:space="preserve"> su relevancia en este proceso constitucional, ya que “es doctrina consolidada que la </w:t>
      </w:r>
      <w:r>
        <w:lastRenderedPageBreak/>
        <w:t>dimensión material de las normas básicas permite que pueda extraerse de las normas preconstitucionales (que, obviamente, no pueden atender a la exigencia de explicitación formal como normas básicas) los principios o criterios que pudieran tener tal carácter … sirviendo, así, de parámetro de contraste con la norma objeto de la presente cuestión” (STC 251/2006, de 25 de julio, FJ 9). No obstante y en esta misma Sentencia hemos advertido que “la operación de deducir bases normativas de la legislación preconstitucional ha de realizarse con suma cautela y teniendo siempre presentes las categorías contenidas en la Constitución respecto del reparto constitucional y el alcance de las mismas” [FJ 10 b)]. En consecuencia, no cabe excluir de antemano que los preceptos citados integren el bloque normativo que ha de servir como parámetro de la constitucionalidad mediata del art. 47 de la Ley 13/2005, sin perjuicio de lo que resulte de su análisis material.</w:t>
      </w:r>
    </w:p>
    <w:p w:rsidR="00AC56D6" w:rsidRDefault="00AC56D6" w:rsidP="00AC56D6">
      <w:pPr>
        <w:pStyle w:val="TextoNormal"/>
      </w:pPr>
    </w:p>
    <w:p w:rsidR="00AC56D6" w:rsidRDefault="00AC56D6" w:rsidP="00AC56D6">
      <w:pPr>
        <w:pStyle w:val="TextoNormal"/>
      </w:pPr>
      <w:r>
        <w:t>En relación con la noción material de las bases, su delimitación por este Tribunal tiene como finalidad esencial procurar que la definición de lo básico no quede en cada caso a la libre disposición del legislador estatal, “pues ello permitiría dejar sin contenido las competencias autonómicas” (STC 80/1988, de 28 de abril, FJ 5). Cabe recordar que lo que ha de considerarse como bases o legislación básica es “el común denominador normativo necesario para asegurar la unidad fundamental prevista por las normas del bloque de la constitucionalidad que establecen la distribución de competencias” (STC 48/1988, de 22 de marzo, FJ 3). Esto es, un marco normativo unitario, de aplicación a todo el territorio nacional (STC 147/1991, de 4 de julio, FJ 4), dirigido a asegurar los intereses generales y dotado de estabilidad, ya que con las bases se atiende a aspectos más estructurales que coyunturales (STC 1/1982, de 28 de enero, FJ 1); a partir de él podrá “cada Comunidad, en defensa de su propio interés, introducir las peculiaridades que estime convenientes dentro del marco competencial que en la materia correspondiente le asigne su Estatuto” (STC 49/1988, de 22 de marzo, FJ 16).</w:t>
      </w:r>
    </w:p>
    <w:p w:rsidR="00AC56D6" w:rsidRDefault="00AC56D6" w:rsidP="00AC56D6">
      <w:pPr>
        <w:pStyle w:val="TextoNormal"/>
      </w:pPr>
    </w:p>
    <w:p w:rsidR="00AC56D6" w:rsidRDefault="00AC56D6" w:rsidP="00AC56D6">
      <w:pPr>
        <w:pStyle w:val="TextoNormal"/>
      </w:pPr>
      <w:r>
        <w:t xml:space="preserve">Estas condiciones, con la salvedad a la que inmediatamente se aludirá, concurren en los señalados preceptos de la Ley 22/1973 que han de considerarse materialmente básicos </w:t>
      </w:r>
      <w:r w:rsidRPr="00AC56D6">
        <w:rPr>
          <w:i/>
        </w:rPr>
        <w:t>ex</w:t>
      </w:r>
      <w:r>
        <w:t xml:space="preserve"> art. 149.1.25 CE, pues constituyen un marco o denominador común de necesaria vigencia en el territorio nacional, que determina la fijación por el Estado de unos criterios uniformes a la hora de proceder a la ordenación de la explotación de determinados recursos mineros. La única excepción viene dada por la facultad prevista en el art. 39.3 de la Ley estatal para declarar no registrables determinadas zonas, la cual debe entenderse atribuida a los Consejos de Gobierno de las Comunidades Autónomas, cuando hayan asumido las competencias correspondientes, como es el caso (en el mismo sentido, entre otras, STS de 20 de junio de 2007).</w:t>
      </w:r>
    </w:p>
    <w:p w:rsidR="00AC56D6" w:rsidRDefault="00AC56D6" w:rsidP="00AC56D6">
      <w:pPr>
        <w:pStyle w:val="TextoNormal"/>
      </w:pPr>
    </w:p>
    <w:p w:rsidR="00AC56D6" w:rsidRDefault="00AC56D6" w:rsidP="00AC56D6">
      <w:pPr>
        <w:pStyle w:val="TextoNormal"/>
      </w:pPr>
      <w:r w:rsidRPr="00AC56D6">
        <w:rPr>
          <w:rStyle w:val="NumeroAFNegritaCaracter"/>
        </w:rPr>
        <w:t>5</w:t>
      </w:r>
      <w:r>
        <w:t xml:space="preserve">. Señalado el carácter básico de las normas estatales es patente que el art. 47 de la Ley 13/2005 incurre en una contradicción insalvable por vía interpretativa, pues el criterio de la Ley 22/1973 es, precisamente, que cualquier terreno pueda ser, en principio, considerado como registrable, admitiéndose como excepción a esta regla general, que dicha condición se altere cuando concurran razones de interés general debidamente apreciadas. Puesto que la Comunidad Autónoma de las Illes Balears tiene reconocida la competencia de desarrollo legislativo y ejecución en materia de régimen minero y energético, es claro que puede ejercer la facultad de declaración de determinados terrenos como no registrables consagrada en el art. 39.3 de la norma estatal, pero esa competencia ha de ejercerse “en el marco de la legislación básica del Estado”, y que, por tanto, queda condicionada por lo que en ella se </w:t>
      </w:r>
      <w:r>
        <w:lastRenderedPageBreak/>
        <w:t>establezca. Y sucede que lo que la norma básica estatal establece es justo lo contrario de la prohibición absoluta incluida en la norma autonómica, pues no otra cosa se desprende del art. 39.3, que configura una excepción a una regla general implícita de “registrabilidad” de todos los terrenos.</w:t>
      </w:r>
    </w:p>
    <w:p w:rsidR="00AC56D6" w:rsidRDefault="00AC56D6" w:rsidP="00AC56D6">
      <w:pPr>
        <w:pStyle w:val="TextoNormal"/>
      </w:pPr>
    </w:p>
    <w:p w:rsidR="00AC56D6" w:rsidRDefault="00AC56D6" w:rsidP="00AC56D6">
      <w:pPr>
        <w:pStyle w:val="TextoNormal"/>
      </w:pPr>
      <w:r>
        <w:t>La simple comparación de ambas previsiones evidencia así la insalvable contradicción existente entre la base estatal y la norma balear, pues excluir con carácter general que el territorio de la Comunidad Autónoma pueda ser considerado registrable a efectos del régimen de aprovechamiento de los recursos de la sección C), supone limitar el otorgamiento de permisos de investigación y concesiones de explotación en contra de lo dispuesto en la Ley 22/1973, que admite este tipo de limitaciones sólo para determinadas zonas en las que concurra una razón de interés general que lo justifique. De este modo el art. 47 de la Ley 13/2005, al configurar como irregistrable la totalidad del territorio autonómico altera el régimen de explotación de los recursos de la sección C), elimina un presupuesto necesario para su explotación y la impide totalmente en la práctica, contraviniendo con ello la regla básica ex art. 149.1.25 CE e infringiendo el orden constitucional de distribución de competencias.</w:t>
      </w:r>
    </w:p>
    <w:p w:rsidR="00AC56D6" w:rsidRDefault="00AC56D6" w:rsidP="00AC56D6">
      <w:pPr>
        <w:pStyle w:val="TextoNormal"/>
      </w:pPr>
    </w:p>
    <w:p w:rsidR="00AC56D6" w:rsidRDefault="00AC56D6" w:rsidP="00AC56D6">
      <w:pPr>
        <w:pStyle w:val="TextoNormal"/>
      </w:pPr>
      <w:r w:rsidRPr="00AC56D6">
        <w:rPr>
          <w:rStyle w:val="NumeroAFNegritaCaracter"/>
        </w:rPr>
        <w:t>6</w:t>
      </w:r>
      <w:r>
        <w:t>. Esta conclusión no puede verse enervada por la consideración de que la norma balear responda a la necesidad de garantizar el medio ambiente. No hay duda alguna acerca de la necesidad de adoptar las medidas necesarias para garantizar que el ejercicio de los derechos mineros se realice sin menoscabo del medio ambiente y en condiciones tales que no produzca un grave detrimento de los terrenos afectados. De hecho, como resalta la STC 45/2015, una de las pocas Sentencias constitucionales que se pronuncia sobre la legislación minera —la STC 64/1982, de 4 noviembre— ya examinó alguno de los aspectos de dicha legislación (en particular, el margen autonómico para la fijación de requisitos y cargas para el otorgamiento de las autorizaciones, permisos y concesiones) desde la perspectiva del art. 149.1.23 CE.</w:t>
      </w:r>
    </w:p>
    <w:p w:rsidR="00AC56D6" w:rsidRDefault="00AC56D6" w:rsidP="00AC56D6">
      <w:pPr>
        <w:pStyle w:val="TextoNormal"/>
      </w:pPr>
    </w:p>
    <w:p w:rsidR="00AC56D6" w:rsidRDefault="00AC56D6" w:rsidP="00AC56D6">
      <w:pPr>
        <w:pStyle w:val="TextoNormal"/>
      </w:pPr>
      <w:r>
        <w:t>No obstante, además de que tal finalidad medio ambiental no aparece explicitada como tal en la norma, la declaración genérica de todo el territorio de una Comunidad Autónoma como no registrable no es una medida proporcionada, y que permita “armonizar la protección del medio ambiente con la explotación de los recursos económicos”, como ha exigido nuestra doctrina, precisamente, en la citada STC 64/1982. Por tanto, si bien este Tribunal (STC 64/1982, FFJJ 5 y 6; SSTC 106/2014, de 24 de junio; 134/2014, de 22 de julio; y 208/2014, de 15 de diciembre) ha venido admitiendo que las Comunidades Autónomas puedan imponer deberes y cargas para el otorgamiento de autorizaciones permisos y concesiones mineras, con la finalidad de proteger el medio ambiente, siempre que las mismas sea razonables y proporcionadas al fin propuesto, ha considerado contrario al orden constitucional de distribución de competencias que deriva de lo dispuesto en el art. 149.1.23 CE, el establecimiento de prohibiciones genéricas, absolutas e incondicionadas, como son las que se contemplan el precepto controvertido En ese sentido, la STC 106/2014, FJ 8 a), recuerda que “De la doctrina constitucional se infiere sin dificultad que, con la finalidad de protección del medio ambiente, la Comunidad Autónoma puede imponer requisitos y cargas para el otorgamiento de autorizaciones y concesiones no previstos por la legislación estatal, pero sin alterar el ordenamiento básico en materia de régimen minero y energético”, que es lo que ha sucedido en el presente caso.</w:t>
      </w:r>
    </w:p>
    <w:p w:rsidR="00AC56D6" w:rsidRDefault="00AC56D6" w:rsidP="00AC56D6">
      <w:pPr>
        <w:pStyle w:val="TextoNormal"/>
      </w:pPr>
    </w:p>
    <w:p w:rsidR="00AC56D6" w:rsidRDefault="00AC56D6" w:rsidP="00AC56D6">
      <w:pPr>
        <w:pStyle w:val="TextoNormalCentrado"/>
        <w:keepNext/>
      </w:pPr>
      <w:r>
        <w:lastRenderedPageBreak/>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Estimar la presente cuestión de inconstitucionalidad y, en consecuencia, declarar inconstitucional y nulo el art. 47 de la Ley 13/2005, de 27 de diciembre, de Medidas Tributarias y Administrativas de la Comunidad Autónoma de Illes Balears.</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cinco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92" w:name="SENTENCIA_2015_236"/>
      <w:r>
        <w:lastRenderedPageBreak/>
        <w:t>SENTENCIA 236/2015, de 19 de noviembre de 2015</w:t>
      </w:r>
    </w:p>
    <w:bookmarkEnd w:id="92"/>
    <w:p w:rsidR="00AC56D6" w:rsidRDefault="00AC56D6" w:rsidP="00AC56D6">
      <w:pPr>
        <w:pStyle w:val="TtuloResolucin"/>
      </w:pPr>
      <w:r>
        <w:t>Pleno</w:t>
      </w:r>
    </w:p>
    <w:p w:rsidR="00AC56D6" w:rsidRDefault="00AC56D6" w:rsidP="00AC56D6">
      <w:pPr>
        <w:pStyle w:val="TtuloBOE"/>
      </w:pPr>
      <w:r>
        <w:t>(BOE núm. 312, de 30 de diciembre de 2015)</w:t>
      </w:r>
    </w:p>
    <w:p w:rsidR="00AC56D6" w:rsidRDefault="00AC56D6" w:rsidP="00AC56D6">
      <w:pPr>
        <w:pStyle w:val="TextoNormalCentrado"/>
      </w:pPr>
      <w:r>
        <w:t>ECLI:ES:TC:2015:236</w:t>
      </w:r>
    </w:p>
    <w:p w:rsidR="00AC56D6" w:rsidRDefault="00AC56D6" w:rsidP="00AC56D6">
      <w:pPr>
        <w:pStyle w:val="TextoNormalCentrado"/>
      </w:pPr>
    </w:p>
    <w:p w:rsidR="00AC56D6" w:rsidRDefault="00AC56D6" w:rsidP="00AC56D6">
      <w:pPr>
        <w:pStyle w:val="SntesisDescriptiva"/>
      </w:pPr>
      <w:r>
        <w:t>Recurso de inconstitucionalidad 2733-2011. Interpuesto por más de cincuenta diputados del Grupo Parlamentario Popular en el Congreso de los Diputados respecto de la Ley 1/2011, de 17 de febrero, de reordenación del sector público de Andalucía.</w:t>
      </w:r>
    </w:p>
    <w:p w:rsidR="00AC56D6" w:rsidRDefault="00AC56D6" w:rsidP="00AC56D6">
      <w:pPr>
        <w:pStyle w:val="SntesisDescriptiva"/>
      </w:pPr>
    </w:p>
    <w:p w:rsidR="00AC56D6" w:rsidRDefault="00AC56D6" w:rsidP="00AC56D6">
      <w:pPr>
        <w:pStyle w:val="SntesisAnaltica"/>
      </w:pPr>
      <w:r>
        <w:t>Principios de seguridad jurídica y de legalidad de la Administración, derecho a la igualdad en el acceso a las funciones públicas; competencias sobre función pública: constitucionalidad de los preceptos legales que establecen el régimen de actuación de la Administración de la Junta de Andalucía. Voto particular.</w:t>
      </w:r>
    </w:p>
    <w:p w:rsidR="00AC56D6" w:rsidRDefault="00AC56D6" w:rsidP="00AC56D6">
      <w:pPr>
        <w:pStyle w:val="SntesisAnaltica"/>
      </w:pPr>
    </w:p>
    <w:p w:rsidR="00AC56D6" w:rsidRDefault="00AC56D6" w:rsidP="00AC56D6">
      <w:pPr>
        <w:pStyle w:val="Extracto"/>
      </w:pPr>
      <w:r>
        <w:t>1.</w:t>
      </w:r>
      <w:r>
        <w:tab/>
        <w:t>La Ley impugnada no implica un vaciamiento de funciones de los servicios centrales y periféricos de la Administración, pues el Estatuto de Autonomía no impone un límite a la creación de entidades instrumentales dependientes de la Administración autonómica sino que, como norma de organización interna, la autoriza a dotarse de una estructura periférica propia [FJ 3].</w:t>
      </w:r>
    </w:p>
    <w:p w:rsidR="00AC56D6" w:rsidRDefault="00AC56D6" w:rsidP="00AC56D6">
      <w:pPr>
        <w:pStyle w:val="Extracto"/>
      </w:pPr>
    </w:p>
    <w:p w:rsidR="00AC56D6" w:rsidRDefault="00AC56D6" w:rsidP="00AC56D6">
      <w:pPr>
        <w:pStyle w:val="Extracto"/>
      </w:pPr>
      <w:r>
        <w:t>2.</w:t>
      </w:r>
      <w:r>
        <w:tab/>
        <w:t>La prelación de principios de actuación de la Administración autonómica fijada en el Estatuto de Autonomía no se ha sido alterada, ya que estos principios tienen distinto alcance, y el legislador, al reordenar el sector público, puede otorgar un valor informante superior a determinados principios en detrimento de otros de carácter técnico o instrumental [FJ 4].</w:t>
      </w:r>
    </w:p>
    <w:p w:rsidR="00AC56D6" w:rsidRDefault="00AC56D6" w:rsidP="00AC56D6">
      <w:pPr>
        <w:pStyle w:val="Extracto"/>
      </w:pPr>
    </w:p>
    <w:p w:rsidR="00AC56D6" w:rsidRDefault="00AC56D6" w:rsidP="00AC56D6">
      <w:pPr>
        <w:pStyle w:val="Extracto"/>
      </w:pPr>
      <w:r>
        <w:t>3.</w:t>
      </w:r>
      <w:r>
        <w:tab/>
        <w:t>La disposición que regula las atribuciones de los funcionarios no contraviene el Estatuto básico del empleado público sino que pretende garantizar su efectivo cumplimiento: la normativa básica reserva al personal funcionario el ejercicio de ciertas funciones de manera genérica y atribuye a las leyes autonómicas la fijación de las modalidades de ejercicio [FJ 5 a)].</w:t>
      </w:r>
    </w:p>
    <w:p w:rsidR="00AC56D6" w:rsidRDefault="00AC56D6" w:rsidP="00AC56D6">
      <w:pPr>
        <w:pStyle w:val="Extracto"/>
      </w:pPr>
    </w:p>
    <w:p w:rsidR="00AC56D6" w:rsidRDefault="00AC56D6" w:rsidP="00AC56D6">
      <w:pPr>
        <w:pStyle w:val="Extracto"/>
      </w:pPr>
      <w:r>
        <w:t>4.</w:t>
      </w:r>
      <w:r>
        <w:tab/>
        <w:t>El régimen de adscripción funcional previsto no implica remoción o cambio de puesto de trabajo y, por tanto, no es un caso de movilidad forzosa; en consecuencia, la Ley impugnada no afecta el carácter básico de las condiciones de movilidad de los funcionarios ni vulnera las garantías en materia de movilidad forzosa [FJ 6].</w:t>
      </w:r>
    </w:p>
    <w:p w:rsidR="00AC56D6" w:rsidRDefault="00AC56D6" w:rsidP="00AC56D6">
      <w:pPr>
        <w:pStyle w:val="Extracto"/>
      </w:pPr>
    </w:p>
    <w:p w:rsidR="00AC56D6" w:rsidRDefault="00AC56D6" w:rsidP="00AC56D6">
      <w:pPr>
        <w:pStyle w:val="Extracto"/>
      </w:pPr>
      <w:r>
        <w:t>5.</w:t>
      </w:r>
      <w:r>
        <w:tab/>
        <w:t>Toda vez que no existe una indiscriminada apertura legal de los puestos de trabajo de las agencias de régimen especial al personal contratado sino una mera constatación de que en las agencias andaluzas pueden prestar servicios dos tipos de personal, funcionarial y contratado, la regulación del personal de las agencias andaluzas no vulnera la preferencia constitucional por el régimen funcionarial [FJ 7].</w:t>
      </w:r>
    </w:p>
    <w:p w:rsidR="00AC56D6" w:rsidRDefault="00AC56D6" w:rsidP="00AC56D6">
      <w:pPr>
        <w:pStyle w:val="Extracto"/>
      </w:pPr>
    </w:p>
    <w:p w:rsidR="00AC56D6" w:rsidRDefault="00AC56D6" w:rsidP="00AC56D6">
      <w:pPr>
        <w:pStyle w:val="Extracto"/>
      </w:pPr>
      <w:r>
        <w:t>6.</w:t>
      </w:r>
      <w:r>
        <w:tab/>
        <w:t xml:space="preserve">Las reglas para la integración del personal funcionario o laboral en las nuevas agencias cumplen con la exigencia de predeterminación normativa y no abren la puerta a la asignación de puestos de trabajo con desprecio de los principios de </w:t>
      </w:r>
      <w:r>
        <w:lastRenderedPageBreak/>
        <w:t>mérito y capacidad, por lo que no se ha vulnerado el derecho a la igualdad en el acceso a las funciones públicas [FJ 9 b)].</w:t>
      </w:r>
    </w:p>
    <w:p w:rsidR="00AC56D6" w:rsidRDefault="00AC56D6" w:rsidP="00AC56D6">
      <w:pPr>
        <w:pStyle w:val="Extracto"/>
      </w:pPr>
    </w:p>
    <w:p w:rsidR="00AC56D6" w:rsidRDefault="00AC56D6" w:rsidP="00AC56D6">
      <w:pPr>
        <w:pStyle w:val="Extracto"/>
      </w:pPr>
      <w:r>
        <w:t>7.</w:t>
      </w:r>
      <w:r>
        <w:tab/>
        <w:t>Incluso aunque la integración fuera forzosa, no constituiría un supuesto de movilidad forzosa, pues la eventual integración forzosa del personal funcionario en las agencias de régimen especial no traería consigo la pérdida de la condición de funcionario de carrera ni afectaría a su estatus, pues el personal funcionario de las agencias de régimen especial se seguirá rigiendo en todo caso por la normativa aplicable en materia de función pública [FJ 9 d)].</w:t>
      </w:r>
    </w:p>
    <w:p w:rsidR="00AC56D6" w:rsidRDefault="00AC56D6" w:rsidP="00AC56D6">
      <w:pPr>
        <w:pStyle w:val="Extracto"/>
      </w:pPr>
    </w:p>
    <w:p w:rsidR="00AC56D6" w:rsidRDefault="00AC56D6" w:rsidP="00AC56D6">
      <w:pPr>
        <w:pStyle w:val="Extracto"/>
      </w:pPr>
      <w:r>
        <w:t>8.</w:t>
      </w:r>
      <w:r>
        <w:tab/>
        <w:t>Una norma autonómica no puede derogar una norma estatal básica, ni de forma directa, ni mediante el expediente de derogar la norma autonómica que la reproduce, porque las relaciones entre el ordenamiento jurídico estatal y el autonómico no se rigen por el principio de jerarquía, sino por el principio de competencia [FJ 10 b)].</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inconstitucionalidad núm. 2733-2011, promovido por más de cincuenta diputados del Grupo Parlamentario Popular en el Congreso de los Diputados contra la Ley 1/2011, de 17 de febrero, de reordenación del sector público de Andalucía. Han intervenido la Junta de Andalucía y el Abogado del Estado. Ha sido Ponente la Magistrada doña Adela Asua Batarrita,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Con fecha 11 de mayo de 2011, don Arturo García-Tizón López, comisionado por más de cincuenta Diputados del Grupo Parlamentario Popular en el Congreso de los Diputados, interpuso recurso de inconstitucionalidad contra la totalidad de la Ley 1/2011, de 17 de febrero, de reordenación del sector público de Andalucía.</w:t>
      </w:r>
    </w:p>
    <w:p w:rsidR="00AC56D6" w:rsidRDefault="00AC56D6" w:rsidP="00AC56D6">
      <w:pPr>
        <w:pStyle w:val="TextoNormal"/>
      </w:pPr>
    </w:p>
    <w:p w:rsidR="00AC56D6" w:rsidRDefault="00AC56D6" w:rsidP="00AC56D6">
      <w:pPr>
        <w:pStyle w:val="TextoNormal"/>
      </w:pPr>
      <w:r w:rsidRPr="00AC56D6">
        <w:rPr>
          <w:rStyle w:val="NumeroAFNegritaCaracter"/>
        </w:rPr>
        <w:t>2</w:t>
      </w:r>
      <w:r>
        <w:t xml:space="preserve">. En el escrito de interposición del recurso de inconstitucionalidad, una vez indicada la concurrencia de los requisitos formales relativos al planteamiento en plazo del recurso y a la legitimación de los recurrentes, se precisa que el recurso se interpone contra la Ley 1/2011 </w:t>
      </w:r>
      <w:r>
        <w:lastRenderedPageBreak/>
        <w:t>en su totalidad, por el vaciamiento de funciones de los servicios centrales y periféricos de la Administración andaluza (art. 133.2 del Estatuto de Autonomía para Andalucía: EAAnd), y en particular contra los arts. 1.1, 1.2.9, 1.2.10, 1.2.12, 3, 4, 5, 6, 7, 8, 9, 10, 11, 12, 18, 19, 20, 21, 22, 23 y 24, las disposiciones adicionales cuarta y sexta y la disposición derogatoria única, por considerarlos contrarios a los arts. 9.3, 14, 23.2, 53.1, 103.1 y 3 y 149.1.18 CE y 33.1, 76.1 y 2 y 133.2 EAAnd. A continuación se exponen sucintamente los motivos de impugnación.</w:t>
      </w:r>
    </w:p>
    <w:p w:rsidR="00AC56D6" w:rsidRDefault="00AC56D6" w:rsidP="00AC56D6">
      <w:pPr>
        <w:pStyle w:val="TextoNormal"/>
      </w:pPr>
    </w:p>
    <w:p w:rsidR="00AC56D6" w:rsidRDefault="00AC56D6" w:rsidP="00AC56D6">
      <w:pPr>
        <w:pStyle w:val="TextoNormal"/>
      </w:pPr>
      <w:r>
        <w:t>a) Los Diputados recurrentes señalan en primer lugar que la Ley impugnada vulnera el art. 133.2 EAAnd, que prescribe que “la Administración de la Junta de Andalucía desarrollará la gestión ordinaria de sus actividades a través de sus servicios centrales y periféricos”, por cuanto que la finalidad real de la Ley 1/2011 sería realizar los cambios normativos oportunos para poder desarrollar la gestión ordinaria de las actividades administrativas desde una “Administración paralela”: primero, mediante la creación de ocho “macroagencias” —que se corresponden desde un punto de vista material con otras tantas Consejerías de la Administración autonómica andaluza—; segundo, mediante la atribución a las mismas de potestades públicas o administrativas; y tercero, mediante un trasvase masivo de personal desde los servicios centrales y periféricos hasta esas entidades instrumentales, a través de una integración sólo nominalmente voluntaria y a través de una adscripción funcional forzosa. Para los recurrentes, se pretende instaurar de manera genérica un modelo de gestión administrativa que aproveche las ventajas del sometimiento al Derecho privado propio de las sociedades mercantiles y las fundaciones públicas (especialmente en lo que se refiere al régimen de contratación y despido de su personal) y los beneficios de las potestades y prerrogativas del Derecho público. Ese objetivo y el modelo administrativo resultante chocan radicalmente con la concepción estatutaria de lo que debe ser la Administración de la Junta de Andalucía.</w:t>
      </w:r>
    </w:p>
    <w:p w:rsidR="00AC56D6" w:rsidRDefault="00AC56D6" w:rsidP="00AC56D6">
      <w:pPr>
        <w:pStyle w:val="TextoNormal"/>
      </w:pPr>
    </w:p>
    <w:p w:rsidR="00AC56D6" w:rsidRDefault="00AC56D6" w:rsidP="00AC56D6">
      <w:pPr>
        <w:pStyle w:val="TextoNormal"/>
      </w:pPr>
      <w:r>
        <w:t>Los recurrentes consideran que la declaración de inconstitucionalidad de la Ley 1/2011 debe traer como consecuencia la restauración de la legalidad vigente con anterioridad, no ya a la impugnada Ley 1/2011, sino al Decreto-ley 5/2010, pues la Ley 1/2011 trae causa del Decreto-ley 6/2010 y éste a su vez es reproducción integral del Decreto-ley 5/2010.</w:t>
      </w:r>
    </w:p>
    <w:p w:rsidR="00AC56D6" w:rsidRDefault="00AC56D6" w:rsidP="00AC56D6">
      <w:pPr>
        <w:pStyle w:val="TextoNormal"/>
      </w:pPr>
    </w:p>
    <w:p w:rsidR="00AC56D6" w:rsidRDefault="00AC56D6" w:rsidP="00AC56D6">
      <w:pPr>
        <w:pStyle w:val="TextoNormal"/>
      </w:pPr>
      <w:r>
        <w:t>b) Los recurrentes alegan, en segundo lugar, que el art. 1.1 de la Ley impugnada contiene una prelación de principios de actuación de la Administración de la Junta de Andalucía que resulta contraria al art. 133.1 EAAnd. Subrayan que el art. 1.1 no limita su alcance a un único acto legislativo, sino a toda “la reordenación o reestructuración, presente o futura, del Sector Público de Andalucía”. En suma, toda la actuación de la Administración andaluza dirigida a la reordenación del sector público habrá de llevarse a cabo supeditando unos principios a otros en contravención del Estatuto de Autonomía para Andalucía.</w:t>
      </w:r>
    </w:p>
    <w:p w:rsidR="00AC56D6" w:rsidRDefault="00AC56D6" w:rsidP="00AC56D6">
      <w:pPr>
        <w:pStyle w:val="TextoNormal"/>
      </w:pPr>
    </w:p>
    <w:p w:rsidR="00AC56D6" w:rsidRDefault="00AC56D6" w:rsidP="00AC56D6">
      <w:pPr>
        <w:pStyle w:val="TextoNormal"/>
      </w:pPr>
      <w:r>
        <w:t xml:space="preserve">c) En tercer lugar, los Diputados recurrentes argumentan que las modificaciones que el art. 1.2.9 de la Ley 1/2011 introduce en el art. 69 de la Ley 9/2007, de 22 de octubre, de la Administración de la Junta de Andalucía afectan al carácter básico de las funciones reservadas a los funcionarios </w:t>
      </w:r>
      <w:r w:rsidRPr="00AC56D6">
        <w:rPr>
          <w:i/>
        </w:rPr>
        <w:t>ex</w:t>
      </w:r>
      <w:r>
        <w:t xml:space="preserve"> art. 9.2 de la Ley 7/2007, de 12 de abril, del estatuto básico del empleado público (LEEP).</w:t>
      </w:r>
    </w:p>
    <w:p w:rsidR="00AC56D6" w:rsidRDefault="00AC56D6" w:rsidP="00AC56D6">
      <w:pPr>
        <w:pStyle w:val="TextoNormal"/>
      </w:pPr>
    </w:p>
    <w:p w:rsidR="00AC56D6" w:rsidRDefault="00AC56D6" w:rsidP="00AC56D6">
      <w:pPr>
        <w:pStyle w:val="TextoNormal"/>
      </w:pPr>
      <w:r>
        <w:lastRenderedPageBreak/>
        <w:t>La modificación de la de la Ley 9/2007 por la Ley 1/2011 persigue, según los recurrentes, encomendar potestades públicas a entes instrumentales, cuyo personal estará sometido íntegramente al Derecho laboral, para que, bajo su dirección, se ejerzan todo tipo de “funciones que impliquen la participación directa o indirecta en el ejercicio de potestades públicas”, bien a través del personal propio de la entidad instrumental, bien a través de funcionarios pertenecientes a la Consejería, pero residenciando el control del ejercicio de la potestad pública en la entidad instrumental.</w:t>
      </w:r>
    </w:p>
    <w:p w:rsidR="00AC56D6" w:rsidRDefault="00AC56D6" w:rsidP="00AC56D6">
      <w:pPr>
        <w:pStyle w:val="TextoNormal"/>
      </w:pPr>
    </w:p>
    <w:p w:rsidR="00AC56D6" w:rsidRDefault="00AC56D6" w:rsidP="00AC56D6">
      <w:pPr>
        <w:pStyle w:val="TextoNormal"/>
      </w:pPr>
      <w:r>
        <w:t>Los recurrentes señalan que la habilitación contenida en el art. 9.2 LEEP implica que las leyes autonómicas de desarrollo pueden regular en qué términos, de qué forma, les corresponde a los funcionarios ejercitar las funciones que tienen reservadas, siempre que sea de manera compatible con su efectivo ejercicio, pero no qué funciones les corresponde ejercitar en exclusiva, pues éstas han de ser siempre las que impliquen la participación directa o indirecta en el ejercicio de las potestades públicas o en la salvaguardia de los intereses generales: éstas en exclusiva, pero no exclusivamente éstas (STC 99/1987, FJ 3). Y debe entenderse que la ley a la que hace referencia el art. 9.2 LEEP no es la Ley reguladora de la Administración autonómica, sino la ley reguladora de la función pública autonómica: esto es, en Andalucía la Ley 6/1985, de 28 de noviembre, de ordenación de la función pública de la Junta de Andalucía.</w:t>
      </w:r>
    </w:p>
    <w:p w:rsidR="00AC56D6" w:rsidRDefault="00AC56D6" w:rsidP="00AC56D6">
      <w:pPr>
        <w:pStyle w:val="TextoNormal"/>
      </w:pPr>
    </w:p>
    <w:p w:rsidR="00AC56D6" w:rsidRDefault="00AC56D6" w:rsidP="00AC56D6">
      <w:pPr>
        <w:pStyle w:val="TextoNormal"/>
      </w:pPr>
      <w:r>
        <w:t>Los recurrentes consideran que son dos los elementos a tener en cuenta a la hora de analizar la constitucionalidad del art. 1.2.9 de la Ley 1/2011: de un lado, si el ejercicio de las potestades públicas quedan en el ámbito de la Administración, en los términos que prevé la Ley 30/1992; de otro, si el ejercicio de las funciones que impliquen la participación directa o indirecta en el ejercicio de tales potestades queda realmente reservado en exclusiva a los funcionarios con el modelo administrativo resultante.</w:t>
      </w:r>
    </w:p>
    <w:p w:rsidR="00AC56D6" w:rsidRDefault="00AC56D6" w:rsidP="00AC56D6">
      <w:pPr>
        <w:pStyle w:val="TextoNormal"/>
      </w:pPr>
    </w:p>
    <w:p w:rsidR="00AC56D6" w:rsidRDefault="00AC56D6" w:rsidP="00AC56D6">
      <w:pPr>
        <w:pStyle w:val="TextoNormal"/>
      </w:pPr>
      <w:r>
        <w:t xml:space="preserve">Los recurrentes argumentan que, con arreglo a los arts. 2.2 de la Ley 30/1992, de régimen jurídico de las Administraciones públicas y del procedimiento administrativo común (LPC) y 9.2 LEEP, solo aquellas entidades de derecho público que cuenten con personal funcionario podrán tener atribuidas potestades administrativas, porque de lo contrario resultará imposible sujetar su actuación a la Ley 30/1992 con todas las garantías que conlleva para los administrados (art. 103.3 CE) y porque cualquiera de las funciones conducentes al ejercicio de dichas potestades habrán de ser ejercidas exclusivamente por funcionarios públicos, por más que las restantes actividades de la entidad no relacionadas con el ejercicio de dichas potestades puedan corresponder a personal contratado de derecho privado. En todo caso, el ámbito reservado a funcionarios públicos no puede quedar reducido a la decisión final plasmada en un acto administrativo, pues lo que la Ley del estatuto básico del empleado público reserva a los funcionarios no son las potestades en sí mismas (por ejemplo, la imposición de una sanción) sino las funciones que implican la participación en el ejercicio de dichas potestades, es decir, el control de todo el proceso. Pues bien, el art. 1.2.9 de la Ley 1/2011 da una nueva redacción al art. 69.1 de la Ley 9/2007, que habilita para atribuir potestades administrativas a agencias públicas empresariales cuyo personal se regirá por el derecho privado: ello contradice la citada normativa básica. La distinción que efectúan el párrafo primero y el párrafo segundo del citado art. 69.1 de la Ley 9/2007 entre agencias públicas empresariales que se rigen por el Derecho privado y agencias públicas empresariales que se rigen por el derecho público no es más que nominal. La única diferencia parece estribar en </w:t>
      </w:r>
      <w:r>
        <w:lastRenderedPageBreak/>
        <w:t xml:space="preserve">que para el segundo tipo de agencias públicas empresariales el régimen jurídico de aplicación al margen de las cuestiones citadas queda en la más absoluta indeterminación, lo que resulta contrario al art. 9.3 CE, por cuanto que parece posibilitarse que el régimen jurídico aplicable se determine </w:t>
      </w:r>
      <w:r w:rsidRPr="00AC56D6">
        <w:rPr>
          <w:i/>
        </w:rPr>
        <w:t>ad casum</w:t>
      </w:r>
      <w:r>
        <w:t xml:space="preserve"> según la conveniencia de la agencia. En consecuencia, solicitan la declaración de inconstitucionalidad del inciso “y con el ejercicio de las potestades administrativas que tengan atribuidas” contenido tanto en el párrafo primero como en el párrafo segundo de la redacción dada al art. 69.1 de la Ley 9/2007 por el art. 1.2.9, por contravenir los arts. 2.2 LPC y 9.2 LEEP y, en consecuencia, el art. 149.1.18 CE, dado que determina por exclusión que el personal de las agencias se rija por el Derecho privado. Por la misma razón se solicita la declaración de inconstitucionalidad del art. 1.2.10, en la redacción que da al art. 70.1 de la Ley 9/2007.</w:t>
      </w:r>
    </w:p>
    <w:p w:rsidR="00AC56D6" w:rsidRDefault="00AC56D6" w:rsidP="00AC56D6">
      <w:pPr>
        <w:pStyle w:val="TextoNormal"/>
      </w:pPr>
    </w:p>
    <w:p w:rsidR="00AC56D6" w:rsidRDefault="00AC56D6" w:rsidP="00AC56D6">
      <w:pPr>
        <w:pStyle w:val="TextoNormal"/>
      </w:pPr>
      <w:r>
        <w:t>Los recurrentes aducen que la solución ideada por el legislador autonómico de recurrir a funcionarios adscritos tampoco resulta válida, porque supone un fraude al art. 133.2 EAAnd que aboga por una gestión de lo público desde la Administración general de la Junta de Andalucía y no desde la Administración institucional (art. 52.2 de la Ley 9/2007).</w:t>
      </w:r>
    </w:p>
    <w:p w:rsidR="00AC56D6" w:rsidRDefault="00AC56D6" w:rsidP="00AC56D6">
      <w:pPr>
        <w:pStyle w:val="TextoNormal"/>
      </w:pPr>
    </w:p>
    <w:p w:rsidR="00AC56D6" w:rsidRDefault="00AC56D6" w:rsidP="00AC56D6">
      <w:pPr>
        <w:pStyle w:val="TextoNormal"/>
      </w:pPr>
      <w:r>
        <w:t>Igualmente deben considerarse inconstitucionales la redacción del art. 69.2 de la Ley 9/2007, al menos en su primer inciso, por cuanto parte de un planteamiento contrario a la normativa básica estatal para regular simplemente las condiciones en que habrá de llevarse a cabo, así como la redacción dada al art. 69.3 de la Ley 9/2007, pues la posibilidad allí configurada no se ajusta al art. 9.2 LEEP, por mucho que la disposición adicional sexta de la Ley 1/2011 reitere el contenido del art. 9.2 LEEP.</w:t>
      </w:r>
    </w:p>
    <w:p w:rsidR="00AC56D6" w:rsidRDefault="00AC56D6" w:rsidP="00AC56D6">
      <w:pPr>
        <w:pStyle w:val="TextoNormal"/>
      </w:pPr>
    </w:p>
    <w:p w:rsidR="00AC56D6" w:rsidRDefault="00AC56D6" w:rsidP="00AC56D6">
      <w:pPr>
        <w:pStyle w:val="TextoNormal"/>
      </w:pPr>
      <w:r>
        <w:t>En definitiva, los tres apartados que conforman el art. 69 de la Ley 9/2007, en la redacción dada por el art. 1.2.9 de la Ley 1/2011, resultan inconstitucionales por vulnerar los arts. 9.3 y 149.1.18 CE y 76.1 y 2 EAAnd.</w:t>
      </w:r>
    </w:p>
    <w:p w:rsidR="00AC56D6" w:rsidRDefault="00AC56D6" w:rsidP="00AC56D6">
      <w:pPr>
        <w:pStyle w:val="TextoNormal"/>
      </w:pPr>
    </w:p>
    <w:p w:rsidR="00AC56D6" w:rsidRDefault="00AC56D6" w:rsidP="00AC56D6">
      <w:pPr>
        <w:pStyle w:val="TextoNormal"/>
      </w:pPr>
      <w:r>
        <w:t>d) En cuarto lugar, los recurrentes argumentan que la Ley impugnada afecta al carácter básico de las condiciones de movilidad de los funcionarios.</w:t>
      </w:r>
    </w:p>
    <w:p w:rsidR="00AC56D6" w:rsidRDefault="00AC56D6" w:rsidP="00AC56D6">
      <w:pPr>
        <w:pStyle w:val="TextoNormal"/>
      </w:pPr>
    </w:p>
    <w:p w:rsidR="00AC56D6" w:rsidRDefault="00AC56D6" w:rsidP="00AC56D6">
      <w:pPr>
        <w:pStyle w:val="TextoNormal"/>
      </w:pPr>
      <w:r>
        <w:t>La inamovilidad del funcionario de carrera (calificada como “conquista histórica” por la STC 81/1983, FJ 2) ha sido garantizada por los arts. 1.3 e) y 14 a) LEEP. Esta garantía enlaza con el derecho a ejercer el cargo público al que se ha accedido en condiciones de igualdad (art. 23.2 CE). Junto a ello, se reconoce un derecho del funcionario a la movilidad, al cambio en el punto de trabajo, concebido como una movilidad voluntaria (art. 81.1 LEEP) y muy excepcionalmente como una movilidad forzosa (art. 81.2 LEEP), sin pérdida de la condición de funcionario de carrera.</w:t>
      </w:r>
    </w:p>
    <w:p w:rsidR="00AC56D6" w:rsidRDefault="00AC56D6" w:rsidP="00AC56D6">
      <w:pPr>
        <w:pStyle w:val="TextoNormal"/>
      </w:pPr>
    </w:p>
    <w:p w:rsidR="00AC56D6" w:rsidRDefault="00AC56D6" w:rsidP="00AC56D6">
      <w:pPr>
        <w:pStyle w:val="TextoNormal"/>
      </w:pPr>
      <w:r>
        <w:t>Frente a ello, la redacción que da el art. 1.2.9 de la Ley 1/2011 al art. 69.3 de la Ley 9/2007 instaura un régimen de dependencia funcional que implica para funcionarios de carrera una movilidad forzosa del puesto de trabajo, pues bajo la apariencia de mantenimiento en el mismo puesto de trabajo del que se sigue dependiendo orgánicamente existe en realidad un traslado encubierto en el que sus condiciones laborales se podrán cambiar a través del decreto que apruebe los estatutos de cada agencia, sin respetar las condiciones que se tuvieran en el puesto de origen ni los demás derechos que les reconoce el art. 81.2 LEEP.</w:t>
      </w:r>
    </w:p>
    <w:p w:rsidR="00AC56D6" w:rsidRDefault="00AC56D6" w:rsidP="00AC56D6">
      <w:pPr>
        <w:pStyle w:val="TextoNormal"/>
      </w:pPr>
    </w:p>
    <w:p w:rsidR="00AC56D6" w:rsidRDefault="00AC56D6" w:rsidP="00AC56D6">
      <w:pPr>
        <w:pStyle w:val="TextoNormal"/>
      </w:pPr>
      <w:r>
        <w:lastRenderedPageBreak/>
        <w:t>Para el caso de que se entendiera que, en virtud de lo señalado en la disposición final cuarta LEEP, el art. 81.2 LEEP no está aún vigente en Andalucía, al no haberse procedido a la aprobación de una nueva Ley de función pública, los recurrentes sostienen que habría que acudir a los arts. 27 y 30 de la Ley 6/1985, de 28 de noviembre, de ordenación de la función pública de la Junta de Andalucía. La adscripción forzosa del art. 69.3 de la Ley 9/2007 no encuentra tampoco apoyo en ninguno de los supuestos previstos en el art. 27 de la Ley 6/1985. La competencia que conforme al art. 76 EAAnd ostenta la Comunidad Autónoma en materia de función pública no puede ir contra lo previsto en la LEEP, con el argumento de que el art. 81 no estaría en vigor en dicha Comunidad Autónoma, pues constituye un límite a la legislación autonómica.</w:t>
      </w:r>
    </w:p>
    <w:p w:rsidR="00AC56D6" w:rsidRDefault="00AC56D6" w:rsidP="00AC56D6">
      <w:pPr>
        <w:pStyle w:val="TextoNormal"/>
      </w:pPr>
    </w:p>
    <w:p w:rsidR="00AC56D6" w:rsidRDefault="00AC56D6" w:rsidP="00AC56D6">
      <w:pPr>
        <w:pStyle w:val="TextoNormal"/>
      </w:pPr>
      <w:r>
        <w:t>e) En quinto lugar, los recurrentes sostienen que, en cuanto al estatuto del personal de las agencias, la Ley impugnada obvia la preferencia constitucional por el régimen funcionarial por cuanto introduce modelos basados en el régimen de derecho privado para su personal. La preferencia constitucional por el régimen funcionarial se fundamenta en el art. 103.3 CE, se recoge en la STC 99/1987, FJ 3, y se regula en el art. 15.1 c) de la Ley 30/1984, de 2 de agosto, de medidas para la reforma de la función pública. Tanto el art. 2 LPC como el art. 3.2 de la Ley 30/2007, de 30 de octubre, de contratos del sector público ilustran la interpretación que da el legislador estatal básico al concepto de administración pública.</w:t>
      </w:r>
    </w:p>
    <w:p w:rsidR="00AC56D6" w:rsidRDefault="00AC56D6" w:rsidP="00AC56D6">
      <w:pPr>
        <w:pStyle w:val="TextoNormal"/>
      </w:pPr>
    </w:p>
    <w:p w:rsidR="00AC56D6" w:rsidRDefault="00AC56D6" w:rsidP="00AC56D6">
      <w:pPr>
        <w:pStyle w:val="TextoNormal"/>
      </w:pPr>
      <w:r>
        <w:t>Por todo ello, los recurrentes deducen que todas las agencias previstas en la normativa autonómica habrían de sujetar su régimen de personal a lo dispuesto en el art. 15.1 c) de la Ley 30/1984 y optar por un modelo preferente funcionarial de acuerdo con lo expresado en la STC 99/1987 y con lo dispuesto en los arts. 103.3 y 149.1.18 CE. Sin embargo, la redacción que da tanto el art. 1.2.10 de la Ley 1/2011 al art. 70.1 de la Ley 9/2007 como el art. 1.2.12 al art. 74.1 de la Ley 9/2007 disponen un régimen de Derecho privado para su personal y un régimen mixto no preponderante para los funcionarios, respectivamente.</w:t>
      </w:r>
    </w:p>
    <w:p w:rsidR="00AC56D6" w:rsidRDefault="00AC56D6" w:rsidP="00AC56D6">
      <w:pPr>
        <w:pStyle w:val="TextoNormal"/>
      </w:pPr>
    </w:p>
    <w:p w:rsidR="00AC56D6" w:rsidRDefault="00AC56D6" w:rsidP="00AC56D6">
      <w:pPr>
        <w:pStyle w:val="TextoNormal"/>
      </w:pPr>
      <w:r>
        <w:t>f) En sexto lugar, los recurrentes imputan a la disposición adicional cuarta y a los preceptos que son concordantes con ella (arts. 3, 4, 5, 6, 7, 8, 9, 10, 11, 12, 18, 19, 20, 21, 22, 23 y 24) la lesión del contenido esencial de los derechos fundamentales reconocidos en los arts. 14 y 23.2 CE, por no determinar el régimen de integración del personal que se ve afectado por la reordenación del sector público andaluz. Se subraya que quedarán integrados en las mismas entidades instrumentales personal procedente, por ejemplo, de las agencias administrativas del art. 65 de la Ley 9/2007 (es decir, entidades públicas que se rigen por el derecho administrativo) y personal procedente de sociedad mercantiles participadas por la Junta de Andalucía del art. 75 de la Ley 9/2007. Con esta integración se logra el acceso directo al empleo en entidades instrumentales públicas —consideradas Administración pública— de personal perteneciente a empresas participadas por la Junta de Andalucía cuyo personal siempre ha sido contratado de acuerdo con el derecho privado. Este acceso directo se produce mediante la técnica de la sucesión de empresas [letra b) de la disposición adicional cuarta]. Por tanto, los recurrentes consideran que se vulnera el acceso “en condiciones de igualdad a los cargos y funciones públicas” que forma parte del contenido esencial del derecho reconocido en el art. 23.2 CE y del principio de igualdad recogido en el art. 14 CE.</w:t>
      </w:r>
    </w:p>
    <w:p w:rsidR="00AC56D6" w:rsidRDefault="00AC56D6" w:rsidP="00AC56D6">
      <w:pPr>
        <w:pStyle w:val="TextoNormal"/>
      </w:pPr>
    </w:p>
    <w:p w:rsidR="00AC56D6" w:rsidRDefault="00AC56D6" w:rsidP="00AC56D6">
      <w:pPr>
        <w:pStyle w:val="TextoNormal"/>
      </w:pPr>
      <w:r>
        <w:t xml:space="preserve">Por otro lado, los recurrentes excluyen el componente de voluntariedad en el personal funcionario que opta por integrarse en la agencia pública empresarial en la letra a) de la </w:t>
      </w:r>
      <w:r>
        <w:lastRenderedPageBreak/>
        <w:t>disposición adicional cuarta, pues una vez que todas sus tareas y potestades hayan sido externalizadas les será de aplicación lo previsto en el art. 69 de la Ley 9/2007. Cuando menos, la integración de funcionarios en las agencias de régimen especial (arts. 8 y 11 de la Ley 1/2011) es forzosa y, como tal, contraria al art. 23.2 CE, al art. 81 LEEP —en consecuencia, al art. 149.1.18 CE— y a la inamovilidad relativa que deriva del art. 103.3 CE.</w:t>
      </w:r>
    </w:p>
    <w:p w:rsidR="00AC56D6" w:rsidRDefault="00AC56D6" w:rsidP="00AC56D6">
      <w:pPr>
        <w:pStyle w:val="TextoNormal"/>
      </w:pPr>
    </w:p>
    <w:p w:rsidR="00AC56D6" w:rsidRDefault="00AC56D6" w:rsidP="00AC56D6">
      <w:pPr>
        <w:pStyle w:val="TextoNormal"/>
      </w:pPr>
      <w:r>
        <w:t>Los recurrentes también alegan que las ventajas que la disposición adicional cuarta concede a quienes voluntariamente se integren en las nuevas agencias suponen asimismo una vulneración de las condiciones de igualdad en las que debe desarrollarse el ejercicio de las funciones y cargos públicos, puesto que en ningún caso se conceden a otros funcionarios que se encuentran en idéntica situación. Y lo mismo ocurre con las ventajas concedidas al personal laboral de la Administración general de la Junta de Andalucía afectado por la reordenación y que, sin embargo, no se reconocen a quienes en anteriores o futuras ocasiones hayan decidido o decidieran integrarse voluntariamente en una agencia pública empresarial, estableciendo una diferencia de trato que no es constitucionalmente admisible conforme a los arts. 14 y 23.2 CE. Todo ello, alegan los recurrentes, para que las integraciones voluntarias se produzcan masivamente.</w:t>
      </w:r>
    </w:p>
    <w:p w:rsidR="00AC56D6" w:rsidRDefault="00AC56D6" w:rsidP="00AC56D6">
      <w:pPr>
        <w:pStyle w:val="TextoNormal"/>
      </w:pPr>
    </w:p>
    <w:p w:rsidR="00AC56D6" w:rsidRDefault="00AC56D6" w:rsidP="00AC56D6">
      <w:pPr>
        <w:pStyle w:val="TextoNormal"/>
      </w:pPr>
      <w:r>
        <w:t>También podría existir un trato no igualitario por cuanto a los que permanecen en sus puestos por no verse afectados por la integración se les va a seguir aplicando el mismo convenio colectivo vigente, mientras que a quienes se integran en las agencias públicas empresariales solo les resultará aplicable en tanto no se apruebe uno nuevo. En cambio, no sucede lo mismo cuando la integración se produce en agencias de régimen especial, pues en ese caso seguirá aplicándoseles el convenio colectivo de personal laboral de la Administración.</w:t>
      </w:r>
    </w:p>
    <w:p w:rsidR="00AC56D6" w:rsidRDefault="00AC56D6" w:rsidP="00AC56D6">
      <w:pPr>
        <w:pStyle w:val="TextoNormal"/>
      </w:pPr>
    </w:p>
    <w:p w:rsidR="00AC56D6" w:rsidRDefault="00AC56D6" w:rsidP="00AC56D6">
      <w:pPr>
        <w:pStyle w:val="TextoNormal"/>
      </w:pPr>
      <w:r>
        <w:t>Por último, se alega que la letra f) de la disposición adicional cuarta provocará en el futuro una desigualdad, por producir una homogeneización de salarios que obligará a reducir los más elevados del personal laboral que resulte integrado, mientras que no lo será el del personal laboral que accedió al empleo público de la misma forma y que ejerce las mismas funciones pero que no se ve afectado por la reordenación.</w:t>
      </w:r>
    </w:p>
    <w:p w:rsidR="00AC56D6" w:rsidRDefault="00AC56D6" w:rsidP="00AC56D6">
      <w:pPr>
        <w:pStyle w:val="TextoNormal"/>
      </w:pPr>
    </w:p>
    <w:p w:rsidR="00AC56D6" w:rsidRDefault="00AC56D6" w:rsidP="00AC56D6">
      <w:pPr>
        <w:pStyle w:val="TextoNormal"/>
      </w:pPr>
      <w:r>
        <w:t>g) Finalmente, los recurrentes alegan que la disposición derogatoria única, como consecuencia de su redacción y de su relación con la disposición adicional sexta, produce la derogación expresa de la normativa básica, en concreto el art. 9.2 LEEP, en cuanto que se trata de un precepto contenido en otra norma y cuyo tenor se reproduce en la Ley 1/2011. Y si el tenor de la disposición adicional sexta no fuera el mismo que el art. 9.2 LEEP, habría que declarar su inconstitucionalidad a la vista de la jurisprudencia constitucional (SSTC 154/1989, 61/1991, 61/1993 y 62/1993).</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Por providencia de 7 de junio de 2011 el Pleno de este Tribunal, a propuesta de la Sección Primera, acordó admitir a trámite el recurso y dar traslado de la demanda y documentos presentados, conforme establece el art. 34 de la Ley Orgánica del Tribunal Constitucional (LOTC), al Congreso de los Diputados y al Senado, por conducto de sus Presidentes, y al Gobierno, a través del Ministro de Justicia, así como a la Junta de Andalucía y al Parlamento de Andalucía, por conducto de sus Presidentes, al objeto de que, en el plazo de quince días, pudieran personarse en el procedimiento y formular alegaciones. Asimismo se acordó publicar la incoación del procedimiento en el “Boletín Oficial del Estado” y en el </w:t>
      </w:r>
      <w:r>
        <w:lastRenderedPageBreak/>
        <w:t>“Boletín Oficial de la Junta de Andalucía”, lo que se produjo en el primero el día 16 de junio de 2011.</w:t>
      </w:r>
    </w:p>
    <w:p w:rsidR="00AC56D6" w:rsidRDefault="00AC56D6" w:rsidP="00AC56D6">
      <w:pPr>
        <w:pStyle w:val="TextoNormal"/>
      </w:pPr>
    </w:p>
    <w:p w:rsidR="00AC56D6" w:rsidRDefault="00AC56D6" w:rsidP="00AC56D6">
      <w:pPr>
        <w:pStyle w:val="TextoNormal"/>
      </w:pPr>
      <w:r w:rsidRPr="00AC56D6">
        <w:rPr>
          <w:rStyle w:val="NumeroAFNegritaCaracter"/>
        </w:rPr>
        <w:t>4</w:t>
      </w:r>
      <w:r>
        <w:t>. El Abogado del Estado, mediante escrito registrado el 17 de junio de 2011, se personó en el recurso en nombre del Gobierno, y solicitó una prórroga del plazo otorgado para formalizar el escrito de alegaciones, habida cuenta del número de asuntos que pendían ante la Abogacía del Estado.</w:t>
      </w:r>
    </w:p>
    <w:p w:rsidR="00AC56D6" w:rsidRDefault="00AC56D6" w:rsidP="00AC56D6">
      <w:pPr>
        <w:pStyle w:val="TextoNormal"/>
      </w:pPr>
    </w:p>
    <w:p w:rsidR="00AC56D6" w:rsidRDefault="00AC56D6" w:rsidP="00AC56D6">
      <w:pPr>
        <w:pStyle w:val="TextoNormal"/>
      </w:pPr>
      <w:r>
        <w:t>Por providencia de 21 de junio de 2011, el Pleno acordó incorporar a las actuaciones el escrito del Abogado del Estado, tenerle por personado en la representación que ostenta y otorgarle una prórroga de ocho días respecto al plazo concedido por providencia de 7 de junio de 2011, a contar desde el siguiente al de expiración del ordinario.</w:t>
      </w:r>
    </w:p>
    <w:p w:rsidR="00AC56D6" w:rsidRDefault="00AC56D6" w:rsidP="00AC56D6">
      <w:pPr>
        <w:pStyle w:val="TextoNormal"/>
      </w:pPr>
    </w:p>
    <w:p w:rsidR="00AC56D6" w:rsidRDefault="00AC56D6" w:rsidP="00AC56D6">
      <w:pPr>
        <w:pStyle w:val="TextoNormal"/>
      </w:pPr>
      <w:r w:rsidRPr="00AC56D6">
        <w:rPr>
          <w:rStyle w:val="NumeroAFNegritaCaracter"/>
        </w:rPr>
        <w:t>5</w:t>
      </w:r>
      <w:r>
        <w:t>. Por escrito registrado el 22 de junio de 2011, el Presidente del Senado notificó el acuerdo de la Mesa de la Cámara de personarse en el procedimiento y de ofrecer su colaboración a los efectos del art. 88.1 LOTC. Por escrito registrado el mismo día, el Presidente del Congreso de los Diputados notificó el acuerdo de la Mesa de la Cámara de personarse en el procedimiento, de ofrecer su colaboración a los efectos del art. 88.1 LOTC y de remitir la documentación a la Dirección de Estudios, Análisis y Publicaciones y a la asesoría jurídica de la Secretaría General.</w:t>
      </w:r>
    </w:p>
    <w:p w:rsidR="00AC56D6" w:rsidRDefault="00AC56D6" w:rsidP="00AC56D6">
      <w:pPr>
        <w:pStyle w:val="TextoNormal"/>
      </w:pPr>
    </w:p>
    <w:p w:rsidR="00AC56D6" w:rsidRDefault="00AC56D6" w:rsidP="00AC56D6">
      <w:pPr>
        <w:pStyle w:val="TextoNormal"/>
      </w:pPr>
      <w:r w:rsidRPr="00AC56D6">
        <w:rPr>
          <w:rStyle w:val="NumeroAFNegritaCaracter"/>
        </w:rPr>
        <w:t>6</w:t>
      </w:r>
      <w:r>
        <w:t>. Por escrito registrado el 24 de junio de 2011 el Letrado del Parlamento de Andalucía, en la representación que ostenta, solicitó que se tuviera por personado al Parlamento de Andalucía, de conformidad con el acuerdo de la Mesa del Parlamento de Andalucía, en sesión celebrada el día 22 de junio de 2011, de personarse en el proceso y formular alegaciones, y que se le otorgara prórroga del plazo para formular alegaciones en el mismo.</w:t>
      </w:r>
    </w:p>
    <w:p w:rsidR="00AC56D6" w:rsidRDefault="00AC56D6" w:rsidP="00AC56D6">
      <w:pPr>
        <w:pStyle w:val="TextoNormal"/>
      </w:pPr>
    </w:p>
    <w:p w:rsidR="00AC56D6" w:rsidRDefault="00AC56D6" w:rsidP="00AC56D6">
      <w:pPr>
        <w:pStyle w:val="TextoNormal"/>
      </w:pPr>
      <w:r>
        <w:t>Por providencia de 27 de junio de 2011, el Pleno acordó incorporar a las actuaciones el escrito del Letrado del Parlamento de Andalucía, tenerle por personado en la representación que ostenta y otorgarle una prórroga de ocho días respecto al plazo concedido por providencia de 7 de junio de 2011, a contar desde el siguiente al de expiración del ordinario.</w:t>
      </w:r>
    </w:p>
    <w:p w:rsidR="00AC56D6" w:rsidRDefault="00AC56D6" w:rsidP="00AC56D6">
      <w:pPr>
        <w:pStyle w:val="TextoNormal"/>
      </w:pPr>
    </w:p>
    <w:p w:rsidR="00AC56D6" w:rsidRDefault="00AC56D6" w:rsidP="00AC56D6">
      <w:pPr>
        <w:pStyle w:val="TextoNormal"/>
      </w:pPr>
      <w:r w:rsidRPr="00AC56D6">
        <w:rPr>
          <w:rStyle w:val="NumeroAFNegritaCaracter"/>
        </w:rPr>
        <w:t>7</w:t>
      </w:r>
      <w:r>
        <w:t>. Por escrito registrado el 27 de junio de 2011 la Letrada de la Junta de Andalucía, en la representación que ostenta, solicitó que se tuviera por personada y se admitiera su escrito, y se le otorgara ampliación del plazo para formular alegaciones en el presente recurso de inconstitucionalidad.</w:t>
      </w:r>
    </w:p>
    <w:p w:rsidR="00AC56D6" w:rsidRDefault="00AC56D6" w:rsidP="00AC56D6">
      <w:pPr>
        <w:pStyle w:val="TextoNormal"/>
      </w:pPr>
    </w:p>
    <w:p w:rsidR="00AC56D6" w:rsidRDefault="00AC56D6" w:rsidP="00AC56D6">
      <w:pPr>
        <w:pStyle w:val="TextoNormal"/>
      </w:pPr>
      <w:r>
        <w:t>Por providencia de 28 de junio de 2011, el Pleno acordó incorporar a las actuaciones el escrito de la Letrada de la Junta de Andalucía, tenerle por personada en la representación que ostenta y otorgarle una prórroga de ocho días respecto al plazo concedido por providencia de 7 de junio de 2011, a contar desde el siguiente al de expiración del ordinario.</w:t>
      </w:r>
    </w:p>
    <w:p w:rsidR="00AC56D6" w:rsidRDefault="00AC56D6" w:rsidP="00AC56D6">
      <w:pPr>
        <w:pStyle w:val="TextoNormal"/>
      </w:pPr>
    </w:p>
    <w:p w:rsidR="00AC56D6" w:rsidRDefault="00AC56D6" w:rsidP="00AC56D6">
      <w:pPr>
        <w:pStyle w:val="TextoNormal"/>
      </w:pPr>
      <w:r w:rsidRPr="00AC56D6">
        <w:rPr>
          <w:rStyle w:val="NumeroAFNegritaCaracter"/>
        </w:rPr>
        <w:t>8</w:t>
      </w:r>
      <w:r>
        <w:t>. Por escrito registrado el 8 de julio de 2011, el Abogado del Estado, en la representación que ostenta, manifestó su intención de no formular alegaciones, si bien se persona por medio de dicho escrito a los efectos de que en su día se le notifiquen las resoluciones que en él se dicten.</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9</w:t>
      </w:r>
      <w:r>
        <w:t>. El 13 de julio de 2011 tuvo entrada en este Tribunal el escrito de alegaciones de la Letrada de la Junta de Andalucía.</w:t>
      </w:r>
    </w:p>
    <w:p w:rsidR="00AC56D6" w:rsidRDefault="00AC56D6" w:rsidP="00AC56D6">
      <w:pPr>
        <w:pStyle w:val="TextoNormal"/>
      </w:pPr>
    </w:p>
    <w:p w:rsidR="00AC56D6" w:rsidRDefault="00AC56D6" w:rsidP="00AC56D6">
      <w:pPr>
        <w:pStyle w:val="TextoNormal"/>
      </w:pPr>
      <w:r>
        <w:t>a) El escrito comienza oponiéndose al primer motivo de impugnación —el vaciamiento de funciones de los servicios centrales y periféricos—, que considera que requería un mínimo esfuerzo argumentativo. Se alega que las nuevas ocho agencias son el resultado de la transformación y extinción de entidades instrumentales preexistentes. Rechaza que se critique la atribución de potestades administrativas a las agencias públicas empresariales y especiales, pues por definición tal asunción forma parte de la propia esencia de esta tipología de entes públicos. Lo contradictorio, se alega, sería crear tales entes y no atribuirles funciones y potestades administrativas. También se rechaza la interpretación del precepto estatutario que se considera infringido —art. 133.2 EAAnd—: primero, porque las entidades instrumentales no forman parte de las Administraciones matrices de las que dependen, al tener personalidad jurídica separada e independiente; segundo, porque la preferencia por la gestión directa no excluye la gestión indirecta ni que la gestión ordinaria directa pueda realizarse a través de entes instrumentales; y tercero, porque supone negar las competencias propias de autoorganización de la Junta de Andalucía (art. 47.1.1 EAAnd).</w:t>
      </w:r>
    </w:p>
    <w:p w:rsidR="00AC56D6" w:rsidRDefault="00AC56D6" w:rsidP="00AC56D6">
      <w:pPr>
        <w:pStyle w:val="TextoNormal"/>
      </w:pPr>
    </w:p>
    <w:p w:rsidR="00AC56D6" w:rsidRDefault="00AC56D6" w:rsidP="00AC56D6">
      <w:pPr>
        <w:pStyle w:val="TextoNormal"/>
      </w:pPr>
      <w:r>
        <w:t>b) La Letrada de la Junta rechaza el segundo motivo, esgrimido contra el art. 1.1 de la Ley impugnada y relativo a la prelación de los principios de actuación, por manifiesta falta de idoneidad técnica, al extraerse conclusiones que no se deducen de una interpretación del precepto legal ajustada al art. 3 del Código civil (CC).</w:t>
      </w:r>
    </w:p>
    <w:p w:rsidR="00AC56D6" w:rsidRDefault="00AC56D6" w:rsidP="00AC56D6">
      <w:pPr>
        <w:pStyle w:val="TextoNormal"/>
      </w:pPr>
    </w:p>
    <w:p w:rsidR="00AC56D6" w:rsidRDefault="00AC56D6" w:rsidP="00AC56D6">
      <w:pPr>
        <w:pStyle w:val="TextoNormal"/>
      </w:pPr>
      <w:r>
        <w:t>c) La Letrada de la Junta señala que el propio escrito de los recurrentes desecha parte del tercer motivo, relativo a la vulneración del art. 9.2 LEEP, pues se acepta que conforme al art. 2.2 LPC “podría mantenerse” que, además de las Administraciones públicas, las entidades de derecho público también pueden ejercer potestades administrativas. En cuanto a la segunda parte del motivo, se alega que, si bien es pacífico que el ejercicio de las funciones que impliquen la participación directa o indirecta en el ejercicio de tales potestades queda reservado en exclusiva a los funcionarios conforme al art. 9.2 LEEP, los recurrentes dan un salto cualitativo al afirmar que “solo aquellas entidades de derecho público que cuenten con personal funcionario podrán tener atribuidas potestades administrativas” y al considerar que “contar con” equivale necesariamente a la dependencia orgánica del funcionario de la agencia o entidad en cuestión. La Letrada considera que el escrito de impugnación no aporta las razones para concluir que esa sea la única fórmula jurídica válida. También se rechaza, por falta de justificación, la alegada inconstitucionalidad de la modificación del art. 69.2 de la Ley 9/2007 operada por el art. 1.2.9 de la Ley 1/2011, que además se basa en un presupuesto erróneo. En cuanto a la pretensión de inconstitucionalidad del art. 69.3 de la Ley 9/2007, que se desglosa en dos elementos, se rechaza el primero por basarse en una interpretación asistemática del precepto y el segundo porque no es contrario a la Ley del estatuto básico del empleado público que la legislación autonómica de desarrollo determine qué funciones deben corresponder exclusivamente al personal funcionario.</w:t>
      </w:r>
    </w:p>
    <w:p w:rsidR="00AC56D6" w:rsidRDefault="00AC56D6" w:rsidP="00AC56D6">
      <w:pPr>
        <w:pStyle w:val="TextoNormal"/>
      </w:pPr>
    </w:p>
    <w:p w:rsidR="00AC56D6" w:rsidRDefault="00AC56D6" w:rsidP="00AC56D6">
      <w:pPr>
        <w:pStyle w:val="TextoNormal"/>
      </w:pPr>
      <w:r>
        <w:t xml:space="preserve">d) La Letrada de la Junta realiza diversas consideraciones respecto a la vulneración de las condiciones básicas de la movilidad de los funcionarios: la primera es que no es jurídicamente admisible confundir los conceptos de inamovilidad funcionarial con el de promoción profesional; la segunda, que la inamovilidad no se aplica a la permanencia en un puesto </w:t>
      </w:r>
      <w:r>
        <w:lastRenderedPageBreak/>
        <w:t>de trabajo determinado, pues el llamado derecho al cargo es un derecho relativo, condicionado a lo que en cada caso dispongan las leyes, en atención no solo a la estabilidad en el empleo y la promoción profesional, sino también a las necesidades del servicio y a los procesos de reorganización administrativa.</w:t>
      </w:r>
    </w:p>
    <w:p w:rsidR="00AC56D6" w:rsidRDefault="00AC56D6" w:rsidP="00AC56D6">
      <w:pPr>
        <w:pStyle w:val="TextoNormal"/>
      </w:pPr>
    </w:p>
    <w:p w:rsidR="00AC56D6" w:rsidRDefault="00AC56D6" w:rsidP="00AC56D6">
      <w:pPr>
        <w:pStyle w:val="TextoNormal"/>
      </w:pPr>
      <w:r>
        <w:t>La Letrada señala que los recurrentes no explican de dónde viene la idea de traslados forzosos que abrogan los procedimientos de promoción profesional establecidos en la Ley del estatuto básico del empleado público, cuando precisamente el art. 69.3 de la Ley 9/2007 remite a las relaciones de puestos de trabajo que se configuren en el futuro y a los decretos por los que se aprueben los estatutos de las agencias, pero sin que en ningún momento se imponga en la norma desde este momento movilidad forzosa alguna y sin que tampoco se prevea ningún procedimiento de traslados.</w:t>
      </w:r>
    </w:p>
    <w:p w:rsidR="00AC56D6" w:rsidRDefault="00AC56D6" w:rsidP="00AC56D6">
      <w:pPr>
        <w:pStyle w:val="TextoNormal"/>
      </w:pPr>
    </w:p>
    <w:p w:rsidR="00AC56D6" w:rsidRDefault="00AC56D6" w:rsidP="00AC56D6">
      <w:pPr>
        <w:pStyle w:val="TextoNormal"/>
      </w:pPr>
      <w:r>
        <w:t>e) En cuanto a la vulneración de la preferencia constitucional por el régimen funcionarial, la Letrada de la Junta señala que el art. 15 de la Ley 30/1984 no constituye legislación básica y, por lo tanto, no forma parte del bloque de constitucionalidad, y que una cosa es la preferencia “con carácter general” por el modelo funcionarial expresada en la STC 99/1987, de 11 de junio, y otra que el Tribunal Constitucional considere ilegítima la contratación de empleados públicos con sujeción al derecho laboral. Además, se señala que la determinación legal de las funciones reservadas a funcionarios fue flexibilizada por el Tribunal Constitucional en la STC 37/2002, FJ 6, en relación con el art. 92.2 de la Ley reguladora de las bases de régimen local.</w:t>
      </w:r>
    </w:p>
    <w:p w:rsidR="00AC56D6" w:rsidRDefault="00AC56D6" w:rsidP="00AC56D6">
      <w:pPr>
        <w:pStyle w:val="TextoNormal"/>
      </w:pPr>
    </w:p>
    <w:p w:rsidR="00AC56D6" w:rsidRDefault="00AC56D6" w:rsidP="00AC56D6">
      <w:pPr>
        <w:pStyle w:val="TextoNormal"/>
      </w:pPr>
      <w:r>
        <w:t>f) En relación con la impugnación del régimen de integración contrario al acceso a las funciones públicas en condiciones de igualdad, la Letrada de la Junta señala que, de acuerdo con la doctrina constitucional, el art. 23.2 CE especifica el derecho a la igualdad en el acceso a las funciones y cargos públicos y, por tanto, no es necesaria la invocación del art. 14 CE (SSTC 24/1989, de 2 de febrero, FJ 2; 154/2003, de 17 de julio, FJ 5, y 192/2007, de 10 de septiembre). Por lo que respecta al contenido esencial del art. 23.2 CE, se reproduce la doctrina de la STC 30/2008, de 25 de febrero.</w:t>
      </w:r>
    </w:p>
    <w:p w:rsidR="00AC56D6" w:rsidRDefault="00AC56D6" w:rsidP="00AC56D6">
      <w:pPr>
        <w:pStyle w:val="TextoNormal"/>
      </w:pPr>
    </w:p>
    <w:p w:rsidR="00AC56D6" w:rsidRDefault="00AC56D6" w:rsidP="00AC56D6">
      <w:pPr>
        <w:pStyle w:val="TextoNormal"/>
      </w:pPr>
      <w:r>
        <w:t xml:space="preserve">La Letrada destaca que en el presente supuesto se pretende una reorganización administrativa, que afecta al personal al servicio del sector público, pero no en su acceso al empleo público, y que en modo alguno se cuestiona que la Junta de Andalucía, en virtud de sus potestades de autoorganización, pueda reorganizar su administración institucional y reducir el número de sus entes. Lo que se discute son las consecuencias en el ámbito del empleo público: es aquí donde comienza la confusión de términos. Así, no es lo mismo acceso al empleo público que modificación del régimen de prestación de la relación de servicio por los empleados públicos, que no pierden su condición por el hecho de que haya una reordenación administrativa. Cuestión distinta es la de quienes sin tener la condición de empleados públicos, en virtud de un fenómeno de sucesión empresarial </w:t>
      </w:r>
      <w:r w:rsidRPr="00AC56D6">
        <w:rPr>
          <w:i/>
        </w:rPr>
        <w:t>ex</w:t>
      </w:r>
      <w:r>
        <w:t xml:space="preserve"> art. 44 de la Ley del estatuto de los trabajadores, pasan a prestar sus servicios en otra empresa distinta: este grupo de trabajadores no adquiere por ello la condición de empleados públicos conforme a los principios de mérito y capacidad. Por ello, las nuevas agencias reúnen empleados públicos sujetos la Ley del estatuto básico del empleado público (ya sean funcionarios o laborales) y empleados privados sometidos a la Ley del estatuto de los trabajadores. En definitiva, no existe la desigualdad denunciada por no ser idénticos los supuestos objeto de comparación, </w:t>
      </w:r>
      <w:r>
        <w:lastRenderedPageBreak/>
        <w:t>ni se pretende el acceso de personal privado de forma encubierta a la condición de empleado público.</w:t>
      </w:r>
    </w:p>
    <w:p w:rsidR="00AC56D6" w:rsidRDefault="00AC56D6" w:rsidP="00AC56D6">
      <w:pPr>
        <w:pStyle w:val="TextoNormal"/>
      </w:pPr>
    </w:p>
    <w:p w:rsidR="00AC56D6" w:rsidRDefault="00AC56D6" w:rsidP="00AC56D6">
      <w:pPr>
        <w:pStyle w:val="TextoNormal"/>
      </w:pPr>
      <w:r>
        <w:t>Por otra parte, se descarta el argumento de que no hay voluntariedad en la integración del personal funcionario y del peligro de desdotación de la plaza abandonada por el funcionario que opta por ingresar en la agencia: porque la condición de funcionario solo se pierde por las causas previstas en la Ley (en el art. 63 LEEP); porque, que el funcionario decida pasar a excedencia voluntaria, por optar por incorporarse en virtud de contrato laboral a una agencia, constituye un derecho del funcionario, que además no implica pérdida de la condición funcionarial; y porque el llamado “peligro” de desdotación de plaza no es más que el ejercicio de las facultades de autoorganización de la Administración, lo que puede ocurrir incluso cuando el funcionario se encuentra en servicio activo.</w:t>
      </w:r>
    </w:p>
    <w:p w:rsidR="00AC56D6" w:rsidRDefault="00AC56D6" w:rsidP="00AC56D6">
      <w:pPr>
        <w:pStyle w:val="TextoNormal"/>
      </w:pPr>
    </w:p>
    <w:p w:rsidR="00AC56D6" w:rsidRDefault="00AC56D6" w:rsidP="00AC56D6">
      <w:pPr>
        <w:pStyle w:val="TextoNormal"/>
      </w:pPr>
      <w:r>
        <w:t>En cuanto a la discriminación en las condiciones del personal que se integra en las agencias de régimen especial respecto del que se integra en las agencias empresariales, la Letrada de la Junta señala que los términos de comparación que se ofrecen no son adecuados, pues la diferencia de trato obedece al tipo de agencia en el que se integran y su diferente régimen jurídico, de mayor intensidad pública en las agencias de régimen especial.</w:t>
      </w:r>
    </w:p>
    <w:p w:rsidR="00AC56D6" w:rsidRDefault="00AC56D6" w:rsidP="00AC56D6">
      <w:pPr>
        <w:pStyle w:val="TextoNormal"/>
      </w:pPr>
    </w:p>
    <w:p w:rsidR="00AC56D6" w:rsidRDefault="00AC56D6" w:rsidP="00AC56D6">
      <w:pPr>
        <w:pStyle w:val="TextoNormal"/>
      </w:pPr>
      <w:r>
        <w:t>g) Finalmente, la Letrada de la Junta rechaza la impugnación de la disposición derogatoria única pues descarta la voluntad del legislador autonómico de derogar el art. 9.2 LEEP, al que la propia Ley 1/2011 se remite en dos ocasiones (artículo 1.9, que modifica el artículo 69.3, y la disposición adicional sexta); además, no entiende cómo una norma autonómica de desarrollo podría derogar una norma básica, cuando las relaciones entre ambos ordenamientos jurídicos no se rigen por el principio de jerarquía, sino por el principio de competencia.</w:t>
      </w:r>
    </w:p>
    <w:p w:rsidR="00AC56D6" w:rsidRDefault="00AC56D6" w:rsidP="00AC56D6">
      <w:pPr>
        <w:pStyle w:val="TextoNormal"/>
      </w:pPr>
    </w:p>
    <w:p w:rsidR="00AC56D6" w:rsidRDefault="00AC56D6" w:rsidP="00AC56D6">
      <w:pPr>
        <w:pStyle w:val="TextoNormal"/>
      </w:pPr>
      <w:r w:rsidRPr="00AC56D6">
        <w:rPr>
          <w:rStyle w:val="NumeroAFNegritaCaracter"/>
        </w:rPr>
        <w:t>10</w:t>
      </w:r>
      <w:r>
        <w:t>. El 26 de julio de 2011 tuvo entrada en este Tribunal el escrito de alegaciones del Letrado del Parlamento de Andalucía.</w:t>
      </w:r>
    </w:p>
    <w:p w:rsidR="00AC56D6" w:rsidRDefault="00AC56D6" w:rsidP="00AC56D6">
      <w:pPr>
        <w:pStyle w:val="TextoNormal"/>
      </w:pPr>
    </w:p>
    <w:p w:rsidR="00AC56D6" w:rsidRDefault="00AC56D6" w:rsidP="00AC56D6">
      <w:pPr>
        <w:pStyle w:val="TextoNormal"/>
      </w:pPr>
      <w:r>
        <w:t>a) El escrito comienza solicitando que se declare la inadmisibilidad del recurso de inconstitucionalidad por falta de legitimación para su interposición, con la única excepción de la impugnación de la Ley 1/2011 en su totalidad que se realiza por el motivo referido al vaciamiento de funciones de los servicios centrales y periféricos de la Administración andaluza.</w:t>
      </w:r>
    </w:p>
    <w:p w:rsidR="00AC56D6" w:rsidRDefault="00AC56D6" w:rsidP="00AC56D6">
      <w:pPr>
        <w:pStyle w:val="TextoNormal"/>
      </w:pPr>
    </w:p>
    <w:p w:rsidR="00AC56D6" w:rsidRDefault="00AC56D6" w:rsidP="00AC56D6">
      <w:pPr>
        <w:pStyle w:val="TextoNormal"/>
      </w:pPr>
      <w:r>
        <w:t>El Letrado del Parlamento recuerda que conforme a la doctrina del Tribunal Constitucional es preciso, también en los recursos de inconstitucionalidad interpuestos por diputados, que en el “previo acuerdo adoptado al efecto” por estos se identifiquen con claridad y precisión los preceptos de la ley o disposición con rango de ley que se pretenden recurrir por ser considerados inconstitucionales, sin que resulte posible que la determinación de tales preceptos se delegue en su representante procesal, en este caso el Comisionado. Y se remite a las SSTC 42/1985, de 15 de marzo, FJ 2, y 61/1997, de 20 de marzo, FJ 4, para conocer la doctrina constitucional sobre el contenido necesario del “previo acuerdo adoptado al efecto” al que se refiere expresamente el art. 32.2 LOTC.</w:t>
      </w:r>
    </w:p>
    <w:p w:rsidR="00AC56D6" w:rsidRDefault="00AC56D6" w:rsidP="00AC56D6">
      <w:pPr>
        <w:pStyle w:val="TextoNormal"/>
      </w:pPr>
    </w:p>
    <w:p w:rsidR="00AC56D6" w:rsidRDefault="00AC56D6" w:rsidP="00AC56D6">
      <w:pPr>
        <w:pStyle w:val="TextoNormal"/>
      </w:pPr>
      <w:r>
        <w:t xml:space="preserve">El Letrado del Parlamento sostiene que, en el presente caso, los preceptos de la Ley a recurrir no han sido identificados por los sujetos legitimados para interponer el presente </w:t>
      </w:r>
      <w:r>
        <w:lastRenderedPageBreak/>
        <w:t>recurso, los diputados del Grupo Parlamentario Popular en el Congreso, sino por su comisionado, quien carece de toda legitimación para decidir sobre tales elementos o aspectos esenciales del acuerdo de interposición. Los diputados que figuran como recurrentes no determinaron ni identificaron, en forma alguna, los concretos preceptos de la Ley 1/2011 que consideraban inconstitucionales y que, en consecuencia, debían ser objeto del presente recurso de inconstitucionalidad.</w:t>
      </w:r>
    </w:p>
    <w:p w:rsidR="00AC56D6" w:rsidRDefault="00AC56D6" w:rsidP="00AC56D6">
      <w:pPr>
        <w:pStyle w:val="TextoNormal"/>
      </w:pPr>
    </w:p>
    <w:p w:rsidR="00AC56D6" w:rsidRDefault="00AC56D6" w:rsidP="00AC56D6">
      <w:pPr>
        <w:pStyle w:val="TextoNormal"/>
      </w:pPr>
      <w:r>
        <w:t xml:space="preserve">En los documentos acreditativos de la concurrencia de voluntades para impugnar se incluye un escrito firmado por los diputados que figuran como recurrentes, fechado el día 11 de mayo de 2011, en el que se hace constar que “los diputados del Grupo Parlamentario Popular en el Congreso abajo firmantes, de manera conjunta ratifican su voluntad de interponer recurso de inconstitucionalidad contra la Ley 1/2011, de 17 de febrero, de reordenación del sector público de Andalucía, publicada en el ‘Boletín Oficial de la Junta de Andalucía’ de 21 de febrero de 2011 y contra los preceptos de la misma que más adelante se determinarán, apoderando a dicho efecto como Comisionado a D. Arturo García-Tizón López”. Asimismo se incluye una certificación del Secretario General del Grupo Popular en el Congreso con fecha de 11 de mayo de 2011 en el que se señala que “la declaración de voluntad y apoderamiento al efecto para la interposición del recurso de inconstitucionalidad, contra la Ley 1/2011, de 17 de febrero, de reordenación del sector público de Andalucía, publicada en el ‘Boletín Oficial de la Junta de Andalucía’ de 21 de febrero de 2011 y contra los preceptos de la misma que más adelante se determinarán, ha sido suscrita ante mí con esta fecha”. El Letrado del Parlamento de Andalucía alega que con la expresión “contra los preceptos de la misma que más adelante se determinarán”, por un lado, los diputados estaban reconociendo que no era su voluntad interponer el recurso de inconstitucionalidad contra la Ley 1/2011, salvo en relación con aquel motivo o aquellos motivos de inconstitucionalidad que pudieran afectar a la Ley 1/2011 en su conjunto y, por otro, estaban pretendiendo delegar en el Comisionado que nombraban la determinación de esos otros concretos preceptos de la Ley 1/2011 que iban a ser impugnados en el recurso de inconstitucionalidad. Ese Comisionado, en efecto, en el escrito de interposición del recurso de inconstitucionalidad, suscrito solo por él y que es posterior al acuerdo de los referidos diputados, procede a determinar e identificar, por sí solo, los concretos preceptos de la Ley 1/2011 frente a los que se interpone el recurso de inconstitucionalidad, por considerarlos inconstitucionales. Y, lógicamente, </w:t>
      </w:r>
      <w:r w:rsidRPr="00AC56D6">
        <w:rPr>
          <w:i/>
        </w:rPr>
        <w:t>sensu contrario</w:t>
      </w:r>
      <w:r>
        <w:t>, determina los preceptos de la Ley 1/2011 que, a su juicio, no son inconstitucionales.</w:t>
      </w:r>
    </w:p>
    <w:p w:rsidR="00AC56D6" w:rsidRDefault="00AC56D6" w:rsidP="00AC56D6">
      <w:pPr>
        <w:pStyle w:val="TextoNormal"/>
      </w:pPr>
    </w:p>
    <w:p w:rsidR="00AC56D6" w:rsidRDefault="00AC56D6" w:rsidP="00AC56D6">
      <w:pPr>
        <w:pStyle w:val="TextoNormal"/>
      </w:pPr>
      <w:r>
        <w:t>Para el Letrado del Parlamento, la única interpretación posible es que la intención de los Diputados recurrentes era que se recurriera, por un lado, la Ley 1/2011 en su conjunto y, por otro, algunos preceptos de la misma, que no se determinan ni identifican. Esto es, que consideraban que existían determinados motivos de inconstitucionalidad que afectaban precisamente a la totalidad de los preceptos de la Ley 1/2011 y que determinados preceptos de la misma, que no determinaban ni identificaban, estaban incursos en otros motivos de inconstitucionalidad distintos y que solo provocarían, cada uno de ellos —caso de haber más de uno de ellos—, la inconstitucionalidad de algunos o de todos esos preceptos de la Ley 1/2011, pero no la de la totalidad de la Ley 1/2011.</w:t>
      </w:r>
    </w:p>
    <w:p w:rsidR="00AC56D6" w:rsidRDefault="00AC56D6" w:rsidP="00AC56D6">
      <w:pPr>
        <w:pStyle w:val="TextoNormal"/>
      </w:pPr>
    </w:p>
    <w:p w:rsidR="00AC56D6" w:rsidRDefault="00AC56D6" w:rsidP="00AC56D6">
      <w:pPr>
        <w:pStyle w:val="TextoNormal"/>
      </w:pPr>
      <w:r>
        <w:t xml:space="preserve">Por todo ello, el Letrado del Parlamento señala que las alegaciones que efectúa a continuación en relación con los motivos de inconstitucionalidad relativos a los concretos preceptos de la Ley 1/2011 que se invocan en el recurso de inconstitucionalidad son a título </w:t>
      </w:r>
      <w:r>
        <w:lastRenderedPageBreak/>
        <w:t>subsidiario, para el caso de que el Tribunal Constitucional no aprecie la causa de inadmisibilidad expuesta.</w:t>
      </w:r>
    </w:p>
    <w:p w:rsidR="00AC56D6" w:rsidRDefault="00AC56D6" w:rsidP="00AC56D6">
      <w:pPr>
        <w:pStyle w:val="TextoNormal"/>
      </w:pPr>
    </w:p>
    <w:p w:rsidR="00AC56D6" w:rsidRDefault="00AC56D6" w:rsidP="00AC56D6">
      <w:pPr>
        <w:pStyle w:val="TextoNormal"/>
      </w:pPr>
      <w:r>
        <w:t>b) El Letrado del Parlamento señala que el recurso no fundamenta suficientemente las razones que conducirían a la inconstitucionalidad de los arts. 3 a 12 y 18 a 24 de la Ley 1/2011. La única referencia se contiene en el sexto de los motivos de inconstitucionalidad que plantean los recurrentes, que se dirige contra la disposición adicional cuarta de la Ley 1/2011 por supuesta vulneración del principio o derecho de igualdad. La pretendida inconstitucionalidad de los referidos preceptos se basaría en la inconstitucionalidad del régimen de integración del personal como consecuencia de la reordenación llevada a cabo por la Ley 1/2011 y en la medida en que dichos artículos son concordantes entre sí y con lo previsto en la disposición adicional cuarta. El Letrado sostiene que no se ha intentado fundamentar su irregularidad constitucional. Si se declarara inconstitucional la disposición adicional cuarta, la efectiva implantación de la reordenación de las entidades instrumentales no podría llevarse a cabo de acuerdo con las específicas previsiones de dicha disposición adicional cuarta; pero ello no impediría que continuara vigente el régimen de reordenación diseñado por la Ley 1/2011, ni impediría que se adoptaran las medidas precisas para resolver la situación planteada en relación con el personal afectado y, en su caso, en relación con su integración en las nuevas entidades instrumentales.</w:t>
      </w:r>
    </w:p>
    <w:p w:rsidR="00AC56D6" w:rsidRDefault="00AC56D6" w:rsidP="00AC56D6">
      <w:pPr>
        <w:pStyle w:val="TextoNormal"/>
      </w:pPr>
    </w:p>
    <w:p w:rsidR="00AC56D6" w:rsidRDefault="00AC56D6" w:rsidP="00AC56D6">
      <w:pPr>
        <w:pStyle w:val="TextoNormal"/>
      </w:pPr>
      <w:r>
        <w:t>En consecuencia, siguiendo reiterada doctrina del Tribunal Constitucional (STC 112/2006, de 5 de abril, FJ 19), solicita que se tengan por no recurridos los arts. 3, 4, 5, 6, 7, 8, 9, 10, 11, 12, 18, 19, 20, 21, 22, 23 y 24 de la Ley 1/2011.</w:t>
      </w:r>
    </w:p>
    <w:p w:rsidR="00AC56D6" w:rsidRDefault="00AC56D6" w:rsidP="00AC56D6">
      <w:pPr>
        <w:pStyle w:val="TextoNormal"/>
      </w:pPr>
    </w:p>
    <w:p w:rsidR="00AC56D6" w:rsidRDefault="00AC56D6" w:rsidP="00AC56D6">
      <w:pPr>
        <w:pStyle w:val="TextoNormal"/>
      </w:pPr>
      <w:r>
        <w:t>c) Ciñéndose al orden y numeración de los motivos de impugnación en el escrito de interposición, el Letrado del Parlamento comienza analizando el primero, que afecta a la totalidad de la Ley 1/2011 y que consiste en el vaciamiento de funciones de los servicios centrales y periféricos de la Administración andaluza.</w:t>
      </w:r>
    </w:p>
    <w:p w:rsidR="00AC56D6" w:rsidRDefault="00AC56D6" w:rsidP="00AC56D6">
      <w:pPr>
        <w:pStyle w:val="TextoNormal"/>
      </w:pPr>
    </w:p>
    <w:p w:rsidR="00AC56D6" w:rsidRDefault="00AC56D6" w:rsidP="00AC56D6">
      <w:pPr>
        <w:pStyle w:val="TextoNormal"/>
      </w:pPr>
      <w:r>
        <w:t>El Letrado del Parlamento de Andalucía considera que se trata de una impugnación indiscriminada e indiferenciada, pues ese motivo de inconstitucionalidad determinaría la nulidad e inconstitucionalidad de todos y cada uno de los preceptos de la Ley 1/2011, esto es, de sus treinta y seis artículos, sus catorce disposiciones adicionales, su disposición transitoria, su disposición derogatoria y sus dos disposiciones finales. Sin embargo, un simple examen de los preceptos basta para comprobar que muchos de ellos nada tienen que ver con el supuesto vaciamiento de funciones, por ejemplo los preceptos que se limitan a disciplinar aspectos concretos del régimen jurídico de las entidades instrumentales o los que establecen “medidas para la dinamización del patrimonio agrario de Andalucía” (rúbrica de uno de los tres capítulos en los que se divide la Ley 1/2011 y que comprende los arts. 25 a 36), pues la Ley impugnada constituye una regulación de carácter general y abstracto que ofrece amparo a la nueva estructura organizativa del sector público andaluz.</w:t>
      </w:r>
    </w:p>
    <w:p w:rsidR="00AC56D6" w:rsidRDefault="00AC56D6" w:rsidP="00AC56D6">
      <w:pPr>
        <w:pStyle w:val="TextoNormal"/>
      </w:pPr>
    </w:p>
    <w:p w:rsidR="00AC56D6" w:rsidRDefault="00AC56D6" w:rsidP="00AC56D6">
      <w:pPr>
        <w:pStyle w:val="TextoNormal"/>
      </w:pPr>
      <w:r>
        <w:t xml:space="preserve">El Letrado considera que, conforme a la doctrina del Tribunal Constitucional (se invocan las SSTC 118/1996, de 27 de junio, y 112/2006), no resulta posible la consideración y análisis del motivo de inconstitucionalidad. Por lo demás, señala que tampoco las afirmaciones que realizan los recurrentes para justificar el motivo de inconstitucionalidad satisfacen la carga de la necesaria fundamentación, pues se alega que el supuesto “vaciamiento de funciones de los servicios centrales y periféricos de la Administración andaluza” se produce </w:t>
      </w:r>
      <w:r>
        <w:lastRenderedPageBreak/>
        <w:t>mediante tres instrumentos: la creación de ocho “macroagencias”, la atribución a las mismas de potestades públicas o administrativas, y el trasvase masivo de personal hacia esas entidades instrumentales. Así pues, sería la suma de esos tres instrumentos lo que haría que la Ley 1/2011 fuera inconstitucional por el motivo indicado. Sin embargo, sostiene el Letrado, ninguno de los tres instrumentos, ni su suma, guarda conexión alguna, a la hora de determinar el supuesto vaciamiento de funciones, con los preceptos de la Ley 1/2011. Ningún esfuerzo argumental se desarrolla para establecer alguna suerte de conexión. Por todo ello, se estima que el Tribunal Constitucional debería declarar la imposibilidad de enjuiciar el presente motivo de inconstitucionalidad.</w:t>
      </w:r>
    </w:p>
    <w:p w:rsidR="00AC56D6" w:rsidRDefault="00AC56D6" w:rsidP="00AC56D6">
      <w:pPr>
        <w:pStyle w:val="TextoNormal"/>
      </w:pPr>
    </w:p>
    <w:p w:rsidR="00AC56D6" w:rsidRDefault="00AC56D6" w:rsidP="00AC56D6">
      <w:pPr>
        <w:pStyle w:val="TextoNormal"/>
      </w:pPr>
      <w:r>
        <w:t>Seguidamente el Letrado del Parlamento ofrece diversas consideraciones, con carácter estrictamente subsidiario, para el caso de que ese Tribunal Constitucional no apreciara aquella imposibilidad de enjuiciamiento.</w:t>
      </w:r>
    </w:p>
    <w:p w:rsidR="00AC56D6" w:rsidRDefault="00AC56D6" w:rsidP="00AC56D6">
      <w:pPr>
        <w:pStyle w:val="TextoNormal"/>
      </w:pPr>
    </w:p>
    <w:p w:rsidR="00AC56D6" w:rsidRDefault="00AC56D6" w:rsidP="00AC56D6">
      <w:pPr>
        <w:pStyle w:val="TextoNormal"/>
      </w:pPr>
      <w:r>
        <w:t xml:space="preserve">Según los recurrentes, el supuesto vaciamiento de funciones sería inconstitucional por vulnerar el art. 133.2 EAAnd, que interpretan que se refiere al concepto estricto, desde una perspectiva subjetiva, de “Administración de la Junta de Andalucía”, distinta de las demás entidades de derecho público vinculadas o dependientes de ella, dotadas de personalidad jurídica pública, y de las entidades privadas creadas, participadas mayoritariamente o controladas por la Administración. En opinión de los recurrentes, a tenor del art. 133.2 EAAnd las funciones públicas materialmente administrativas deberían ser desarrolladas en principio por la “Administración de la Junta de Andalucía </w:t>
      </w:r>
      <w:r w:rsidRPr="00AC56D6">
        <w:rPr>
          <w:i/>
        </w:rPr>
        <w:t>stricto sensu</w:t>
      </w:r>
      <w:r>
        <w:t>”, mientras que las entidades instrumentales de esa Administración solo podrían actuar en supuestos en que concurrieran circunstancias extraordinarias, de manera que su gestión tendría que tener un carácter extraordinario.</w:t>
      </w:r>
    </w:p>
    <w:p w:rsidR="00AC56D6" w:rsidRDefault="00AC56D6" w:rsidP="00AC56D6">
      <w:pPr>
        <w:pStyle w:val="TextoNormal"/>
      </w:pPr>
    </w:p>
    <w:p w:rsidR="00AC56D6" w:rsidRDefault="00AC56D6" w:rsidP="00AC56D6">
      <w:pPr>
        <w:pStyle w:val="TextoNormal"/>
      </w:pPr>
      <w:r>
        <w:t xml:space="preserve">Sin embargo, el Letrado del Parlamento alega, por una parte, que los recurrentes ocultan la existencia de otros preceptos estatutarios que privan de razón de ser a la referida interpretación y, por otra, que esa interpretación se aparta rotundamente de las declaraciones del Tribunal Constitucional sobre el papel de las entidades instrumentales de la Administración pública en el sistema administrativo español y que son aplicables tanto a la Administración del Estado como a la de las Comunidades Autónomas (SSTC 14/1986, de 31 de enero, FJ 8; y 52/1994, de 24 de febrero, FJ 5; ATC 254/2006, de 4 de julio, FJ 4). En cuanto a lo primero, señala que, con arreglo a los arts. 133.3 y 158 EAAnd, los entes instrumentales son Administración de la Comunidad Autónoma de Andalucía y pueden ejecutar las funciones propias de su competencia con plena normalidad y carácter ordinario, de modo que decae inmediatamente toda la argumentación de los recurrentes. El art. 133.2 EAAnd contiene una norma de organización interna de la “Administración de la Junta de Andalucía </w:t>
      </w:r>
      <w:r w:rsidRPr="00AC56D6">
        <w:rPr>
          <w:i/>
        </w:rPr>
        <w:t>stricto sensu</w:t>
      </w:r>
      <w:r>
        <w:t xml:space="preserve">”, pero ello no significa que pretenda establecer un sistema de relaciones entre esa Administración y sus entes instrumentales, ni quiere regular cuáles han de ser las funciones de la “Administración de la Junta de Andalucía </w:t>
      </w:r>
      <w:r w:rsidRPr="00AC56D6">
        <w:rPr>
          <w:i/>
        </w:rPr>
        <w:t>stricto sensu</w:t>
      </w:r>
      <w:r>
        <w:t>”. Aunque el contenido del art. 133.2 EAAnd es demasiado obvio en el momento actual de desarrollo de nuestro sistema administrativo y resulta quizá innecesario en un texto estatutario, mediante dicha norma el Estatuto de Autonomía de 2007 quiso corregir lo que prescribía el art. 4.4 del Estatuto de Autonomía de 1981, que obligaba a articular la gestión ordinaria de los servicios periféricos de la Comunidad Autónoma a través de las Diputaciones provinciales. En suma, el art. 133.2 EAAnd no tiene nada que ver con la regulación que aborda la Ley 1/2011.</w:t>
      </w:r>
    </w:p>
    <w:p w:rsidR="00AC56D6" w:rsidRDefault="00AC56D6" w:rsidP="00AC56D6">
      <w:pPr>
        <w:pStyle w:val="TextoNormal"/>
      </w:pPr>
    </w:p>
    <w:p w:rsidR="00AC56D6" w:rsidRDefault="00AC56D6" w:rsidP="00AC56D6">
      <w:pPr>
        <w:pStyle w:val="TextoNormal"/>
      </w:pPr>
      <w:r>
        <w:lastRenderedPageBreak/>
        <w:t xml:space="preserve">El Letrado del Parlamento afirma que, incluso aunque se aceptara la interpretación que los recurrentes realizan del art. 133.2 EAAnd, ninguno de sus razonamientos permiten acreditar que la entidad de las funciones y actividades que se atribuyen a los entes instrumentales a que se refiere la Ley 1/2011 suponga, no ya un “vaciamiento de funciones” de la “Administración de la Junta de Andalucía </w:t>
      </w:r>
      <w:r w:rsidRPr="00AC56D6">
        <w:rPr>
          <w:i/>
        </w:rPr>
        <w:t>stricto sensu</w:t>
      </w:r>
      <w:r>
        <w:t>”, sino que ésta no continúa desarrollando el grueso de las funciones materialmente administrativas de la Junta de Andalucía. Tampoco analizan con detenimiento las funciones de las nuevas entidades instrumentales y el régimen jurídico al que se someten en su desarrollo cada una de ellas, que presentan sustanciales diferencias entre sí, todo lo cual sería exigible para demostrar que la Ley 1/2011 produce el efecto que se denuncia.</w:t>
      </w:r>
    </w:p>
    <w:p w:rsidR="00AC56D6" w:rsidRDefault="00AC56D6" w:rsidP="00AC56D6">
      <w:pPr>
        <w:pStyle w:val="TextoNormal"/>
      </w:pPr>
    </w:p>
    <w:p w:rsidR="00AC56D6" w:rsidRDefault="00AC56D6" w:rsidP="00AC56D6">
      <w:pPr>
        <w:pStyle w:val="TextoNormal"/>
      </w:pPr>
      <w:r>
        <w:t xml:space="preserve">El Letrado del Parlamento recuerda la doctrina del Tribunal Constitucional sobre el muy amplio margen de actuación con que cuentan las Administraciones públicas, en ejercicio de su potestad de organización, a la hora de consolidar, modificar o completar sus estructuras (por todas, SSTC 57/1990, de 29 de marzo, FJ 2 </w:t>
      </w:r>
      <w:r w:rsidRPr="00AC56D6">
        <w:rPr>
          <w:i/>
        </w:rPr>
        <w:t>in fine</w:t>
      </w:r>
      <w:r>
        <w:t>; y 126/2008, de 27 de octubre, FJ 5). Ese amplio margen de actuación debe predicarse con mayor intensidad aun cuando el legislador procede a regular tales materias. Y concluye que la exigencia de acreditar que la decisión organizativa adoptada por la Ley 1/2011 excede del amplio margen de actuación que existe para configurar el sistema administrativo, máxime cuando el mismo se establece en una Ley, dotada de presunción de constitucionalidad, adquiere una intensidad agravada que no satisfacen los recurrentes, ni siquiera intentan hacerlo, limitándose a afirmaciones apodícticas y desprovistas de toda fundamentación.</w:t>
      </w:r>
    </w:p>
    <w:p w:rsidR="00AC56D6" w:rsidRDefault="00AC56D6" w:rsidP="00AC56D6">
      <w:pPr>
        <w:pStyle w:val="TextoNormal"/>
      </w:pPr>
    </w:p>
    <w:p w:rsidR="00AC56D6" w:rsidRDefault="00AC56D6" w:rsidP="00AC56D6">
      <w:pPr>
        <w:pStyle w:val="TextoNormal"/>
      </w:pPr>
      <w:r>
        <w:t>d) Respecto al segundo motivo de inconstitucionalidad, el Letrado del Parlamento de Andalucía señala que basta un simple examen del contenido del art. 1.1 de la Ley 1/2011 para comprobar que nada dice que vaya en contra de lo que prevé el art. 133.1 EAAnd. La supeditación de los principios de simplificación y racionalización de la estructura organizativa a las exigencias de la atención a la ciudadanía, del interés general y de la calidad de los servicios públicos, así como a la consecución del objetivo de garantizar los derechos e intereses de los ciudadanos, actuando en beneficio de estos y del interés general, no está en modo alguno pretendiendo que dichos principios puedan ser desconocidos. Precisamente la finalidad de la Ley es llevar a cabo una reordenación o restructuración del sector público andaluz, para conseguir, en lo posible, una simplificación y una racionalización de la estructura organizativa. Y, por otra parte, siempre ha de procurarse que todos los principios alcancen el mayor nivel de realización posible, cuya articulación en cada supuesto corresponde en todo caso al legislador (STC 22/1984, de 17 de febrero, FJ 4).</w:t>
      </w:r>
    </w:p>
    <w:p w:rsidR="00AC56D6" w:rsidRDefault="00AC56D6" w:rsidP="00AC56D6">
      <w:pPr>
        <w:pStyle w:val="TextoNormal"/>
      </w:pPr>
    </w:p>
    <w:p w:rsidR="00AC56D6" w:rsidRDefault="00AC56D6" w:rsidP="00AC56D6">
      <w:pPr>
        <w:pStyle w:val="TextoNormal"/>
      </w:pPr>
      <w:r>
        <w:t xml:space="preserve">e) El Letrado del Parlamento considera que el tercer motivo de inconstitucionalidad plantea cuestiones diversas y heterogéneas, que implican una incorrecta comprensión de las bases del sistema de organización administrativa. A tal efecto expone el contenido de, entre otros, los arts. 52, 54, 57, 55, 68 y 69 de la Ley 9/2007 y 2.2 LPC. Por otra parte, recuerda que el art. 9.2 LEEP se limita a reservar a los funcionarios públicos, en los términos que en la ley de desarrollo de cada Administración pública se establezca, el ejercicio de las funciones que impliquen la participación directa o indirecta en el ejercicio de las potestades públicas o en la salvaguardia de los intereses generales del Estado y de las Administraciones públicas. Además, señala que el precepto no se refiere a las entidades públicas que ejercen dichas potestades ni al régimen de integración en las mismas de los funcionarios públicos, ni remite necesariamente a una específica ley de función pública autonómica, posibilidad </w:t>
      </w:r>
      <w:r>
        <w:lastRenderedPageBreak/>
        <w:t>por otra parte que excedería de las posibilidades de actuación de una norma básica, pues tales límites solo podrían derivarse de la Constitución o del Estatuto de Autonomía (SSTC 5/1982, de 8 de febrero, FJ 1, y 72/1984, de 14 de junio).</w:t>
      </w:r>
    </w:p>
    <w:p w:rsidR="00AC56D6" w:rsidRDefault="00AC56D6" w:rsidP="00AC56D6">
      <w:pPr>
        <w:pStyle w:val="TextoNormal"/>
      </w:pPr>
    </w:p>
    <w:p w:rsidR="00AC56D6" w:rsidRDefault="00AC56D6" w:rsidP="00AC56D6">
      <w:pPr>
        <w:pStyle w:val="TextoNormal"/>
      </w:pPr>
      <w:r>
        <w:t xml:space="preserve">Respecto de la vulneración del principio de seguridad jurídica por el art. 69.1 de la Ley 9/2007 en la redacción dada por el art. 1.2.9 de la Ley 1/2011, al posibilitar que el régimen jurídico aplicable se determine </w:t>
      </w:r>
      <w:r w:rsidRPr="00AC56D6">
        <w:rPr>
          <w:i/>
        </w:rPr>
        <w:t>ad casum</w:t>
      </w:r>
      <w:r>
        <w:t xml:space="preserve"> según la conveniencia de la agencia, el Letrado destaca la densidad normativa que la Ley 9/2007 dedica al régimen de actuación de las agencias públicas empresariales, y que su actuación vendrá determinada en todo caso por lo que dispongan la Ley 9/2007, sus respectivas leyes de creación y sus estatutos, además de otras normas que les puedan resultar de aplicación. Y respecto al controvertido inciso “podrá llevarlas a cabo” del art. 69.3 de la Ley 9/2007 en la redacción dada por el art. 1.2.9 de la Ley 1/2011, señala que las funciones podrán ser ejercidas bien por el personal funcionario perteneciente a la Consejería, bien por el personal funcionario perteneciente a la agencia administrativa a la que esté adscrita la Consejería.</w:t>
      </w:r>
    </w:p>
    <w:p w:rsidR="00AC56D6" w:rsidRDefault="00AC56D6" w:rsidP="00AC56D6">
      <w:pPr>
        <w:pStyle w:val="TextoNormal"/>
      </w:pPr>
    </w:p>
    <w:p w:rsidR="00AC56D6" w:rsidRDefault="00AC56D6" w:rsidP="00AC56D6">
      <w:pPr>
        <w:pStyle w:val="TextoNormal"/>
      </w:pPr>
      <w:r>
        <w:t xml:space="preserve">Asimismo, en relación con la inconstitucionalidad de la disposición adicional sexta por reproducir normativa básica estatal, se alude a la moderna doctrina del Tribunal Constitucional sobre las </w:t>
      </w:r>
      <w:r w:rsidRPr="00AC56D6">
        <w:rPr>
          <w:i/>
        </w:rPr>
        <w:t>leges repetitae</w:t>
      </w:r>
      <w:r>
        <w:t xml:space="preserve"> (SSTC 342/2005, de 21 de diciembre, FJ 9; y 18/2011, de 3 de marzo). En el presente caso la reproducción solo favorece la inteligibilidad de la Ley 1/2011 y el correcto desarrollo de sus previsiones. Además, es difícil congeniar lógicamente que los recurrentes dirijan gran parte de sus reproches a denunciar que, de modo subrepticio, la Ley 1/2011 pretende obviar ese precepto estatal y luego pretendan la inconstitucionalidad de la disposición adicional sexta por reproducir su contenido.</w:t>
      </w:r>
    </w:p>
    <w:p w:rsidR="00AC56D6" w:rsidRDefault="00AC56D6" w:rsidP="00AC56D6">
      <w:pPr>
        <w:pStyle w:val="TextoNormal"/>
      </w:pPr>
    </w:p>
    <w:p w:rsidR="00AC56D6" w:rsidRDefault="00AC56D6" w:rsidP="00AC56D6">
      <w:pPr>
        <w:pStyle w:val="TextoNormal"/>
      </w:pPr>
      <w:r>
        <w:t xml:space="preserve">f) El Letrado del Parlamento de Andalucía rechaza la impugnación relativa a la vulneración de las condiciones básicas de movilidad de los funcionarios, con los siguientes argumentos. El art. 69.3 de la Ley 9/2007, en la redacción dada por el art.1.2.9 de la Ley 1/2011, ha previsto un régimen de integración o adscripción funcional a las agencias públicas empresariales de funcionarios públicos de una Consejería o de una agencia administrativa, con la finalidad de que, en cumplimiento de lo previsto en el art. 9.2 LEEP, puedan ejercer, en el ámbito de las potestades administrativas atribuidas a las agencias públicas empresariales, aquellas funciones que impliquen la participación directa o indirecta en el ejercicio de las potestades públicas o en la salvaguarda de los intereses generales. Ello exige la modificación de la relación de puestos de trabajo de la correspondiente Consejería o agencia administrativa, de manera que se introduzcan las unidades administrativas precisas, que cuenten con los correspondientes puestos de trabajo adscritos a personal funcionario. De esta forma se atribuirá a determinados puestos de trabajo ya existentes en la estructura orgánica nuevas funciones precisas para el desarrollo de sus competencias y potestades por las agencias públicas empresariales: la única novedad será el dato de quién es la entidad titular de las competencias a las que se refieren las funciones que se ejercen, la agencia pública empresarial, porque materialmente las funciones coincidirán exactamente con las que venían desempeñando. El personal afectado por esa modificación continuará dependiendo orgánicamente de su Consejería o agencia administrativa —y por ello se les aplica, como hasta entonces, el acuerdo de condiciones de trabajo del personal funcionario de la Junta—, pero dependerá funcionalmente de la correspondiente agencia pública empresarial. Todo ello, señala el Letrado, constituye una opción organizativa plenamente legítima que respeta el art. 9.2 LEEP, </w:t>
      </w:r>
      <w:r>
        <w:lastRenderedPageBreak/>
        <w:t>en consonancia con la jurisprudencia constitucional (STC 293/1993, de 18 de octubre, FJ 3, y el ya aludido ATC 254/2006).</w:t>
      </w:r>
    </w:p>
    <w:p w:rsidR="00AC56D6" w:rsidRDefault="00AC56D6" w:rsidP="00AC56D6">
      <w:pPr>
        <w:pStyle w:val="TextoNormal"/>
      </w:pPr>
    </w:p>
    <w:p w:rsidR="00AC56D6" w:rsidRDefault="00AC56D6" w:rsidP="00AC56D6">
      <w:pPr>
        <w:pStyle w:val="TextoNormal"/>
      </w:pPr>
      <w:r>
        <w:t>Ese supuesto de integración funcional —prosigue el Letrado del Parlamento— nada tiene que ver con las previsiones en materia de movilidad que establece el art. 81.2 LEEP, que se refiere a supuestos de traslado de funcionarios a otras unidades, departamentos, organismos públicos o entidades distintos a los de su destino. Con arreglo al art. 69.3 de la Ley 9/2007, lo que cambia en la relación de puestos de trabajo es, por un lado, las funciones del funcionario afectado, de forma que pueda participar en el ejercicio de las potestades públicas atribuidas a una determinada agencia pública empresarial o en la salvaguarda de los intereses generales que le corresponden, y, por otro lado, la creación de nuevas unidades administrativas dentro de la correspondiente Consejería o agencia administrativa, de manera que queden adscritos a esas unidades administrativas todos los puestos de trabajo que se encuentran en la indicada situación.</w:t>
      </w:r>
    </w:p>
    <w:p w:rsidR="00AC56D6" w:rsidRDefault="00AC56D6" w:rsidP="00AC56D6">
      <w:pPr>
        <w:pStyle w:val="TextoNormal"/>
      </w:pPr>
    </w:p>
    <w:p w:rsidR="00AC56D6" w:rsidRDefault="00AC56D6" w:rsidP="00AC56D6">
      <w:pPr>
        <w:pStyle w:val="TextoNormal"/>
      </w:pPr>
      <w:r>
        <w:t>El Letrado del Parlamento argumenta que, en cualquier caso, incluso considerando que el art. 81.2 LEEP es aplicable a la integración funcional, ésta satisfaría plenamente sus exigencias de motivación y de respeto de las retribuciones correspondientes. Además, el art. 81.2 LEEP solo es aplicable “a partir de la entrada en vigor de las Leyes de Función Pública que se dicten en desarrollo de este Estatuto” (disposición final cuarta LEEP), Ley que no se ha aprobado todavía en la Comunidad Autónoma de Andalucía, descartándose cualquier otra vinculación hasta entonces.</w:t>
      </w:r>
    </w:p>
    <w:p w:rsidR="00AC56D6" w:rsidRDefault="00AC56D6" w:rsidP="00AC56D6">
      <w:pPr>
        <w:pStyle w:val="TextoNormal"/>
      </w:pPr>
    </w:p>
    <w:p w:rsidR="00AC56D6" w:rsidRDefault="00AC56D6" w:rsidP="00AC56D6">
      <w:pPr>
        <w:pStyle w:val="TextoNormal"/>
      </w:pPr>
      <w:r>
        <w:t xml:space="preserve">g) El Letrado del Parlamento descarta asimismo el quinto motivo de inconstitucionalidad. Tanto la legislación estatal (art. 55.1 y 5 de la Ley 6/1997, de 14 de abril, de organización y funcionamiento de la Administración general del Estado) como la doctrina del Tribunal Constitucional (SSTC 14/1986 y 52/1994 y ATC 254/2006) avalan la plena legitimidad constitucional de que la Administración pública acuda a técnicas o fórmulas de actuación en régimen de derecho privado. También la configuración del estatus del personal que presta sus servicios en las Administraciones públicas es una decisión organizativa de éstas, para lo que cuentan con un amplio margen de actuación (STC 57/1990, de 29 de marzo, FJ </w:t>
      </w:r>
      <w:r w:rsidRPr="00AC56D6">
        <w:rPr>
          <w:i/>
        </w:rPr>
        <w:t>2 in fi</w:t>
      </w:r>
      <w:r>
        <w:t>ne).</w:t>
      </w:r>
    </w:p>
    <w:p w:rsidR="00AC56D6" w:rsidRDefault="00AC56D6" w:rsidP="00AC56D6">
      <w:pPr>
        <w:pStyle w:val="TextoNormal"/>
      </w:pPr>
    </w:p>
    <w:p w:rsidR="00AC56D6" w:rsidRDefault="00AC56D6" w:rsidP="00AC56D6">
      <w:pPr>
        <w:pStyle w:val="TextoNormal"/>
      </w:pPr>
      <w:r>
        <w:t xml:space="preserve">h) También rechaza el Letrado del Parlamento el sexto motivo de impugnación, bajo el cual los recurrentes plantean una serie de supuestas vulneraciones del derecho o principio de igualdad, realizando sucesivas comparaciones de la situación de diversas parejas de grupos o colectivos de empleados públicos. Para ello recuerda la doctrina constitucional tanto sobre el juicio de igualdad (SSTC 330/2005, FJ 4, y 120/2010, FJ 3) como sobre la denominada discriminación por indiferenciación (STC 30/2008, FJ 7), y señala la improcedencia de establecer un juicio de igualdad en relación con colectivos que se encuentran en tan diferentes situaciones (y sin precisar el término de comparación o proponiendo un término inidóneo) hasta el punto de que es precisamente esa diferente situación la que justifica el establecimiento de las reglas que prevé la disposición adicional cuarta de la Ley 1/2011. Para el Letrado, todas las medidas tienen una justificación objetiva y razonable, que atiende a la excepcionalidad del proceso de profunda restructuración del sector público andaluz que se adopta y que los recurrentes no discuten. También afirma que la integración del personal es voluntaria, salvo con respecto a las agencias de régimen especial, lo cual es de por sí legítimo de acuerdo con la STC 126/2008, de 27 de octubre, FJ 5; esa diferencia de trato, </w:t>
      </w:r>
      <w:r>
        <w:lastRenderedPageBreak/>
        <w:t>además, se basa en las distintas consecuencias que tiene la integración, la distinta naturaleza de las agencias concernidas y el distinto régimen jurídico que se les aplica.</w:t>
      </w:r>
    </w:p>
    <w:p w:rsidR="00AC56D6" w:rsidRDefault="00AC56D6" w:rsidP="00AC56D6">
      <w:pPr>
        <w:pStyle w:val="TextoNormal"/>
      </w:pPr>
    </w:p>
    <w:p w:rsidR="00AC56D6" w:rsidRDefault="00AC56D6" w:rsidP="00AC56D6">
      <w:pPr>
        <w:pStyle w:val="TextoNormal"/>
      </w:pPr>
      <w:r>
        <w:t>i) Finalmente, el Letrado del Parlamento de Andalucía descarta el séptimo y último motivo de inconstitucionalidad. Reconoce que la técnica normativa empleada en el apartado 1 de la disposición derogatoria única no es la más adecuada y correcta, aunque ello no implica por sí mismo que sea inconstitucional. Por otra parte, señala que los propios recurrentes exponen acertadamente las razones por las que la disposición impugnada presenta el controvertido contenido: procede de la disposición derogatoria única del Decreto-ley 6/2010, que tenía como finalidad derogar las previsiones del Decreto-ley 5/2010 y sustituirlas por las suyas. La Ley 1/2011, que supone la conversión del Decreto-ley 6/2010 en ley, ha optado por mantener la redacción literal de la referida disposición. Por todo ello, el Letrado concluye que la disposición derogatoria única no pretende derogar o dejar sin efecto lo previsto en la normativa estatal, en concreto en el art. 9.2 LEEP. Además, rechaza que la disposición adicional sexta de la Ley 1/2011 reproduzca el art. 9.2 LEEP, pues mientras que este artículo remite a la correspondiente “ley de desarrollo de cada Administración Pública”, la disposición adicional sexta se refiere a los términos establecidos en la “legislación en materia de función pública” que solo puede ser la que dicte la Comunidad Autónoma de Andalucía. En suma, no hay reproducción alguna, por no ser el mismo el tenor, ni literal ni de sentido (carácter básico y de remisión en la norma estatal, concreción autonómica en la norma andaluza). Incluso aceptando la tesis de los recurrentes, ello no llevaría a declarar inconstitucional y nula la frase primera del apartado 1 de la disposición derogatoria única, sino a declarar que la disposición es inconstitucional tan solo en cuanto vendría a dejar sin efecto al art. 9.2 LEEP, manteniéndose la validez y constitucionalidad de la frase en todo lo demás. Por lo demás, se recuerda que la declaración de nulidad de una norma no hace surgir una nueva norma de contenido contrario, ni resucita los preceptos tácitamente derogados por aquella.</w:t>
      </w:r>
    </w:p>
    <w:p w:rsidR="00AC56D6" w:rsidRDefault="00AC56D6" w:rsidP="00AC56D6">
      <w:pPr>
        <w:pStyle w:val="TextoNormal"/>
      </w:pPr>
    </w:p>
    <w:p w:rsidR="00AC56D6" w:rsidRDefault="00AC56D6" w:rsidP="00AC56D6">
      <w:pPr>
        <w:pStyle w:val="TextoNormal"/>
      </w:pPr>
      <w:r w:rsidRPr="00AC56D6">
        <w:rPr>
          <w:rStyle w:val="NumeroAFNegritaCaracter"/>
        </w:rPr>
        <w:t>11</w:t>
      </w:r>
      <w:r>
        <w:t>. Por providencia de 18 de noviembre de 2015, se señaló el día 19 del mismo mes y año para deliberación y votación de la presente Sentencia.</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objeto del presente recurso de inconstitucionalidad es analizar la constitucionalidad de la Ley 1/2011, de 17 de febrero, de reordenación del sector público de Andalucía. Como se ha dejado constancia en los antecedentes, los Diputados recurrentes impugnan la Ley en su totalidad por vulneración del art. 133.2 del Estatuo de Autonomía para Andalucía (EAAnd) y los arts. 1.1, 1.2.9, 1.2.10, 1.2.12, 3, 4, 5, 6, 7, 8, 9, 10, 11, 12, 18, 19, 20, 21, 22, 23 y 24, las disposiciones adicionales cuarta y sexta y la disposición derogatoria única de la misma Ley por infracción de los arts. 9.3, 14, 23.2, 53.1, 103.1 y 3 y 149.1.18 CE y 33.1, 76.1 y 2 y 133.2 EAAnd.</w:t>
      </w:r>
    </w:p>
    <w:p w:rsidR="00AC56D6" w:rsidRDefault="00AC56D6" w:rsidP="00AC56D6">
      <w:pPr>
        <w:pStyle w:val="TextoNormal"/>
      </w:pPr>
    </w:p>
    <w:p w:rsidR="00AC56D6" w:rsidRDefault="00AC56D6" w:rsidP="00AC56D6">
      <w:pPr>
        <w:pStyle w:val="TextoNormal"/>
      </w:pPr>
      <w:r>
        <w:t>Por su parte, las representaciones procesales del Parlamento y de la Junta de Andalucía defienden la plena constitucionalidad de la Ley impugnada con los argumentos que se detallan en los antecedentes.</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2</w:t>
      </w:r>
      <w:r>
        <w:t>. Antes de entrar a analizar las cuestiones sometidas a la consideración de este Tribunal por los Diputados recurrentes, debemos efectuar algunas precisiones preliminares.</w:t>
      </w:r>
    </w:p>
    <w:p w:rsidR="00AC56D6" w:rsidRDefault="00AC56D6" w:rsidP="00AC56D6">
      <w:pPr>
        <w:pStyle w:val="TextoNormal"/>
      </w:pPr>
    </w:p>
    <w:p w:rsidR="00AC56D6" w:rsidRDefault="00AC56D6" w:rsidP="00AC56D6">
      <w:pPr>
        <w:pStyle w:val="TextoNormal"/>
      </w:pPr>
      <w:r>
        <w:t>En primer lugar, debemos resolver con carácter previo el óbice procesal a la admisión de parte del recurso de inconstitucionalidad que nos plantea una de las partes. En efecto, el Letrado del Parlamento de Andalucía solicita la inadmisibilidad del recurso por falta de legitimación del Comisionado para interponer el recurso salvo en lo que respecta a la impugnación de la Ley en su totalidad. El reproche que sustenta tal petición afecta en realidad a dos cuestiones conectadas: por un lado, se denuncia que el previo acuerdo impugnatorio de los Diputados del Grupo Parlamentario Popular no especifica por sí mismo los concretos preceptos que se recurren, sino que su determinación se deja a un acto posterior, que resulta ser el escrito de recurso del comisionado elegido a tal afecto por los Diputados recurrentes; por otro, se queja de que sea el escrito de recurso del comisionado el que precise la lista de infracciones que se les reprocha a los preceptos impugnados.</w:t>
      </w:r>
    </w:p>
    <w:p w:rsidR="00AC56D6" w:rsidRDefault="00AC56D6" w:rsidP="00AC56D6">
      <w:pPr>
        <w:pStyle w:val="TextoNormal"/>
      </w:pPr>
    </w:p>
    <w:p w:rsidR="00AC56D6" w:rsidRDefault="00AC56D6" w:rsidP="00AC56D6">
      <w:pPr>
        <w:pStyle w:val="TextoNormal"/>
      </w:pPr>
      <w:r>
        <w:t xml:space="preserve">Atendiendo tanto a las disposiciones de la Ley Orgánica del Tribunal Constitucional (LOTC) como a nuestra jurisprudencia, debemos señalar que la referida solicitud del Parlamento de Andalucía no diferencia dos planos netamente diferenciables, como son la legitimación para el ejercicio del recurso de inconstitucionalidad y la motivación del escrito por el que se inicia el proceso constitucional correspondiente. Este Tribunal ha declarado que la legitimación, esto es, la capacidad suficiente para ejercer la acción de inconstitucionalidad prevista en el art. 32.1 LOTC, se enlaza en el art. 32.2 LOTC con la existencia del “previo acuerdo adoptado al efecto”, de tal forma que la legitimación no puede ser negada, ni, en consecuencia, puede ser rehusado el pronunciamiento sobre el fondo de la pretensión deducida, salvo por inexistencia de la voluntad que se manifiesta. En efecto, con respecto a quien tiene la legitimación para ello, como es el caso del conjunto de cincuenta Diputados de acuerdo con el art. 32.1 c) LOTC, “el ejercicio de la acción requiere la previa formación de la voluntad impugnatoria de acuerdo con las reglas de procedimiento interno propias del órgano en cuestión, y el recurso no será admisible cuando no se acredite la preexistencia de tal voluntad”, pues la agrupación ocasional o </w:t>
      </w:r>
      <w:r w:rsidRPr="00AC56D6">
        <w:rPr>
          <w:i/>
        </w:rPr>
        <w:t>ad hoc</w:t>
      </w:r>
      <w:r>
        <w:t xml:space="preserve"> de cincuenta Diputados o cincuenta Senadores, que se unen al solo efecto de impugnar la validez constitucional de una ley, “surge sólo de la concurrencia de voluntades en la decisión impugnatoria y sólo tiene existencia jurídica como parte en el proceso que con esa impugnación se inicia”. Por tanto, una vez conformada y acreditada la voluntad impugnatoria contra la validez de una disposición de rango legal, la agrupación ocasional de cincuenta Diputados se constituye en parte procesal.</w:t>
      </w:r>
    </w:p>
    <w:p w:rsidR="00AC56D6" w:rsidRDefault="00AC56D6" w:rsidP="00AC56D6">
      <w:pPr>
        <w:pStyle w:val="TextoNormal"/>
      </w:pPr>
    </w:p>
    <w:p w:rsidR="00AC56D6" w:rsidRDefault="00AC56D6" w:rsidP="00AC56D6">
      <w:pPr>
        <w:pStyle w:val="TextoNormal"/>
      </w:pPr>
      <w:r>
        <w:t xml:space="preserve">Pues bien, en el escrito de 11 de mayo de 2011 los Diputados que figuran como recurrentes ratifican su voluntad de interponer recurso de inconstitucionalidad contra la Ley 1/2011, de 17 de febrero, de reordenación del sector público de Andalucía. Ello debe considerarse suficiente desde la perspectiva del ejercicio de la acción de inconstitucionalidad, pues la Ley Orgánica de este Tribunal Constitucional no contiene a este respecto exigencias adicionales, por ejemplo exigencias relacionadas con la identificación de los motivos de impugnación que se reprochan a la Ley que se recurre o a algunos de sus preceptos. Y dado que, según nuestra Ley Orgánica, el conjunto de Diputados que concurren en la voluntad impugnatoria deben necesariamente actuar en el proceso representados, en concreto por el miembro o miembros que designen o por un comisionado nombrado al efecto (art. 82.1 LOTC), será a ese miembro o miembros o a ese comisionado a quien le corresponderá por </w:t>
      </w:r>
      <w:r>
        <w:lastRenderedPageBreak/>
        <w:t>tanto formular el escrito que inicie el proceso constitucional, escrito que nuestra Ley Orgánica exige que sea “fundado” y que en él se fije “con precisión y claridad lo que se pida” (art. 85.1 LOTC).</w:t>
      </w:r>
    </w:p>
    <w:p w:rsidR="00AC56D6" w:rsidRDefault="00AC56D6" w:rsidP="00AC56D6">
      <w:pPr>
        <w:pStyle w:val="TextoNormal"/>
      </w:pPr>
    </w:p>
    <w:p w:rsidR="00AC56D6" w:rsidRDefault="00AC56D6" w:rsidP="00AC56D6">
      <w:pPr>
        <w:pStyle w:val="TextoNormal"/>
      </w:pPr>
      <w:r>
        <w:t>Por todo ello, debemos descartar la incidencia pretendida de la falta de identificación por la agrupación de Diputados de los concretos preceptos que se impugnan y de las infracciones que se les reprocha.</w:t>
      </w:r>
    </w:p>
    <w:p w:rsidR="00AC56D6" w:rsidRDefault="00AC56D6" w:rsidP="00AC56D6">
      <w:pPr>
        <w:pStyle w:val="TextoNormal"/>
      </w:pPr>
    </w:p>
    <w:p w:rsidR="00AC56D6" w:rsidRDefault="00AC56D6" w:rsidP="00AC56D6">
      <w:pPr>
        <w:pStyle w:val="TextoNormal"/>
      </w:pPr>
      <w:r>
        <w:t>En segundo lugar, la delimitación del objeto de este proceso exige algunas precisiones, pues la representación procesal del Parlamento de Andalucía sostiene que la impugnación de una parte de los preceptos recurridos —en concreto, los arts. 3 a 12 y 18 a 24— ha de ser desestimada de plano al no haberse levantado debidamente la carga de fundamentar la inconstitucionalidad que se denuncia.</w:t>
      </w:r>
    </w:p>
    <w:p w:rsidR="00AC56D6" w:rsidRDefault="00AC56D6" w:rsidP="00AC56D6">
      <w:pPr>
        <w:pStyle w:val="TextoNormal"/>
      </w:pPr>
    </w:p>
    <w:p w:rsidR="00AC56D6" w:rsidRDefault="00AC56D6" w:rsidP="00AC56D6">
      <w:pPr>
        <w:pStyle w:val="TextoNormal"/>
      </w:pPr>
      <w:r>
        <w:t>Los recurrentes imputan a los arts. 3, 4, 5, 6, 7, 8, 9, 10, 11, 12, 18, 19, 20, 21, 22, 23 y 24 la lesión del contenido esencial de derechos fundamentales reconocidos en los arts. 14 y 23.2 CE, por no determinar el régimen de integración del personal que se ve afectado por la reordenación del sector público andaluz. Es cierto que los recurrentes no anudan a la impugnación de cada uno de esos preceptos las razones concretas que abonan su pretendida inconstitucionalidad, sino que han articulado la impugnación de esos diecisiete preceptos alrededor de un mismo motivo de inconstitucionalidad, pero lo relevante es que los recurrentes sí desarrollan argumentalmente ese motivo con alguna extensión. Por tanto, en el presente proceso se puede considerar levantada la carga alegatoria que pesa sobre los recurrentes, si bien, a la vista del carácter no individualizado de la impugnación, nuestro enjuiciamiento tampoco requerirá un examen individualizado de cada uno de los preceptos impugnados.</w:t>
      </w:r>
    </w:p>
    <w:p w:rsidR="00AC56D6" w:rsidRDefault="00AC56D6" w:rsidP="00AC56D6">
      <w:pPr>
        <w:pStyle w:val="TextoNormal"/>
      </w:pPr>
    </w:p>
    <w:p w:rsidR="00AC56D6" w:rsidRDefault="00AC56D6" w:rsidP="00AC56D6">
      <w:pPr>
        <w:pStyle w:val="TextoNormal"/>
      </w:pPr>
      <w:r>
        <w:t>En tercer lugar, resulta pertinente aclarar que la Ley 1/2011, de 17 de febrero, de reordenación del sector público de Andalucía ha sido modificada con posterioridad a la formalización del recurso de inconstitucionalidad, por último por la Ley 6/2014, de 30 de diciembre, del presupuesto de la Comunidad Autónoma de Andalucía para el año 2015, sin que ninguna de esas modificaciones afecten a los preceptos impugnados en el presente proceso constitucional.</w:t>
      </w:r>
    </w:p>
    <w:p w:rsidR="00AC56D6" w:rsidRDefault="00AC56D6" w:rsidP="00AC56D6">
      <w:pPr>
        <w:pStyle w:val="TextoNormal"/>
      </w:pPr>
    </w:p>
    <w:p w:rsidR="00AC56D6" w:rsidRDefault="00AC56D6" w:rsidP="00AC56D6">
      <w:pPr>
        <w:pStyle w:val="TextoNormal"/>
      </w:pPr>
      <w:r>
        <w:t xml:space="preserve">Finalmente, respecto de la legislación estatal aducida por los Diputados recurrentes como parámetro de contraste de algunos preceptos impugnados, procede indicar que con posterioridad a la interposición del presente recurso de inconstitucionalidad ha entrado en vigor el texto refundido de la Ley del estatuto básico del empleado público aprobado por el Real Decreto Legislativo 5/2015, de 30 de octubre. De acuerdo con nuestra doctrina sobre el </w:t>
      </w:r>
      <w:r w:rsidRPr="00AC56D6">
        <w:rPr>
          <w:i/>
        </w:rPr>
        <w:t>ius superveniens</w:t>
      </w:r>
      <w:r>
        <w:t xml:space="preserve"> [por todas, SSTC 34/2014, de 27 de febrero, FJ 2 c), y 154/2015, de 9 de julio, FJ 2], debemos utilizar ese texto refundido, en lugar de la Ley 7/2007, de 12 de abril, del estatuto básico del empleado público, si bien, como se verá posteriormente, aquella no modifica el contenido de los concretos preceptos alegados como parámetro de contraste.</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Expuesto lo anterior podemos iniciar el examen de los motivos de inconstitucionalidad alegados en el orden y la extensión con los que se formulan en el escrito de interposición. De acuerdo con ello procede, en primer lugar, comenzar con la impugnación que se dirige </w:t>
      </w:r>
      <w:r>
        <w:lastRenderedPageBreak/>
        <w:t>contra la totalidad de la Ley 1/2011 por el vaciamiento de funciones de los servicios centrales y periféricos de la Administración que establece el art. 133.2 EAAnd. Los Diputados recurrentes señalan que la finalidad real de la Ley 1/2011 sería realizar los cambios normativos oportunos para poder desarrollar la gestión ordinaria de las actividades administrativas desde una “Administración paralela”.</w:t>
      </w:r>
    </w:p>
    <w:p w:rsidR="00AC56D6" w:rsidRDefault="00AC56D6" w:rsidP="00AC56D6">
      <w:pPr>
        <w:pStyle w:val="TextoNormal"/>
      </w:pPr>
    </w:p>
    <w:p w:rsidR="00AC56D6" w:rsidRDefault="00AC56D6" w:rsidP="00AC56D6">
      <w:pPr>
        <w:pStyle w:val="TextoNormal"/>
      </w:pPr>
      <w:r>
        <w:t>Las representaciones procesales del Parlamento y de la Junta de Andalucía se oponen al motivo de impugnación, que consideran indiscriminado, por rechazar la interpretación que se realiza del precepto estatutario que se pretende infringido y por estimar que los recurrentes no desarrollan esfuerzo argumental alguno para establecer alguna conexión entre, por un lado, la creación de macroagencias, la atribución de potestades públicas y el trasvase masivo de personal y, por otro, el pretendido vaciamiento de funciones de los servicios centrales y periféricos de la Administración andaluza.</w:t>
      </w:r>
    </w:p>
    <w:p w:rsidR="00AC56D6" w:rsidRDefault="00AC56D6" w:rsidP="00AC56D6">
      <w:pPr>
        <w:pStyle w:val="TextoNormal"/>
      </w:pPr>
    </w:p>
    <w:p w:rsidR="00AC56D6" w:rsidRDefault="00AC56D6" w:rsidP="00AC56D6">
      <w:pPr>
        <w:pStyle w:val="TextoNormal"/>
      </w:pPr>
      <w:r>
        <w:t>Nuestro examen debe comenzar por analizar el contenido del art. 133.2 EAAnd que se considera infringido, pues las partes discrepan acerca de su entendimiento. El art. 133.2 EAAnd señala lo siguiente: “La Administración de la Junta de Andalucía desarrollará la gestión ordinaria de sus actividades a través de sus servicios centrales y periféricos”. Los recurrentes atribuyen a este precepto estatutario un significado que rechazan los Letrados del Parlamento y de la Junta de Andalucía: una especie de reserva de funciones administrativas que necesariamente deben ser atendidas mediante los servicios centrales y periféricos de la Administración de la Junta de Andalucía y que implicaría la imposibilidad de su traslado a entidades de derecho público o privado vinculadas o controladas por la Administración.</w:t>
      </w:r>
    </w:p>
    <w:p w:rsidR="00AC56D6" w:rsidRDefault="00AC56D6" w:rsidP="00AC56D6">
      <w:pPr>
        <w:pStyle w:val="TextoNormal"/>
      </w:pPr>
    </w:p>
    <w:p w:rsidR="00AC56D6" w:rsidRDefault="00AC56D6" w:rsidP="00AC56D6">
      <w:pPr>
        <w:pStyle w:val="TextoNormal"/>
      </w:pPr>
      <w:r>
        <w:t xml:space="preserve">El sentido de este precepto estatutario no puede ser analizado con abstracción de su precedente normativo así como de otros enunciados estatutarios. En primer lugar, debe tenerse en cuenta que el directo precedente del art. 133.2, el art. 4.4 del Estatuto de Autonomía de Andalucía de 1981, establecía que “la Comunidad Autónoma </w:t>
      </w:r>
      <w:r w:rsidRPr="00AC56D6">
        <w:rPr>
          <w:i/>
        </w:rPr>
        <w:t>articulará</w:t>
      </w:r>
      <w:r>
        <w:t xml:space="preserve"> la gestión ordinaria de sus servicios periféricos propios a través de las diputaciones provinciales”, lo que condicionaba la posibilidad de establecer una estructura administrativa periférica. Es claro que el vigente precepto estatutario se dirige a eliminar esa limitación, pues con similar terminología atribuye ahora la gestión ordinaria de las actividades de la Administración de la Junta de Andalucía a “sus servicios centrales y periféricos”. En segundo lugar, el artículo 133.3 dispone que “[t]odos los órganos encargados de la prestación de servicios o de la gestión de competencias y atribuciones de la Comunidad Autónoma dependen de ésta y se integran en su Administración”, y el artículo 158 establece que “[l]a Comunidad Autónoma podrá constituir empresas públicas y otros entes instrumentales, con personalidad jurídica propia, para la ejecución de funciones de su competencia”. De los tres preceptos citados se pueden extraer varias conclusiones. La primera es que el Estatuto de Autonomía de Andalucía parte, como es tradicional en el Derecho administrativo español, de una concepción amplia de Administración autonómica de la que forman parte tanto la Administración territorial autonómica —que el Estatuto denomina “Administración de la Junta de Andalucía”— como los entes instrumentales creados por la Comunidad Autónoma para ejercer funciones de su competencia.</w:t>
      </w:r>
    </w:p>
    <w:p w:rsidR="00AC56D6" w:rsidRDefault="00AC56D6" w:rsidP="00AC56D6">
      <w:pPr>
        <w:pStyle w:val="TextoNormal"/>
      </w:pPr>
    </w:p>
    <w:p w:rsidR="00AC56D6" w:rsidRDefault="00AC56D6" w:rsidP="00AC56D6">
      <w:pPr>
        <w:pStyle w:val="TextoNormal"/>
      </w:pPr>
      <w:r>
        <w:t xml:space="preserve">En consecuencia, el apartado segundo del art. 133 EAAnd —cuya rúbrica es “principios de actuación y gestión de competencias”— no puede interpretarse como una disposición </w:t>
      </w:r>
      <w:r>
        <w:lastRenderedPageBreak/>
        <w:t xml:space="preserve">que establezca límites a la creación de entidades instrumentales o a la atribución de funciones a dichas entidades. Como se desprende del contraste con el precedente estatutario de 1981, constituye más bien una norma de organización interna que autoriza a la Administración de la Junta de Andalucía a dotarse de una estructura periférica propia. Nada se dice en el art. 133.2 EAAnd sobre la naturaleza o el </w:t>
      </w:r>
      <w:r w:rsidRPr="00AC56D6">
        <w:rPr>
          <w:i/>
        </w:rPr>
        <w:t>quantum</w:t>
      </w:r>
      <w:r>
        <w:t xml:space="preserve"> de funciones cuya realización tenga que reservarse la Administración de la Junta de Andalucía y no pueda encomendar a los entes instrumentales creados por la Comunidad Autónoma.</w:t>
      </w:r>
    </w:p>
    <w:p w:rsidR="00AC56D6" w:rsidRDefault="00AC56D6" w:rsidP="00AC56D6">
      <w:pPr>
        <w:pStyle w:val="TextoNormal"/>
      </w:pPr>
    </w:p>
    <w:p w:rsidR="00AC56D6" w:rsidRDefault="00AC56D6" w:rsidP="00AC56D6">
      <w:pPr>
        <w:pStyle w:val="TextoNormal"/>
      </w:pPr>
      <w:r>
        <w:t>Al no tener el precepto el contenido pretendido por los recurrentes, no se puede verificar la infracción que, sobre esa base, los recurrentes reprochan al conjunto de la Ley. Por todo ello, sin que sea necesario examinar todos y cada uno de los preceptos y de las disposiciones de la Ley impugnada, debemos desestimar este primer motivo de impugnación.</w:t>
      </w:r>
    </w:p>
    <w:p w:rsidR="00AC56D6" w:rsidRDefault="00AC56D6" w:rsidP="00AC56D6">
      <w:pPr>
        <w:pStyle w:val="TextoNormal"/>
      </w:pPr>
    </w:p>
    <w:p w:rsidR="00AC56D6" w:rsidRDefault="00AC56D6" w:rsidP="00AC56D6">
      <w:pPr>
        <w:pStyle w:val="TextoNormal"/>
      </w:pPr>
      <w:r w:rsidRPr="00AC56D6">
        <w:rPr>
          <w:rStyle w:val="NumeroAFNegritaCaracter"/>
        </w:rPr>
        <w:t>4</w:t>
      </w:r>
      <w:r>
        <w:t>. El segundo motivo de inconstitucionalidad consiste en la vulneración del art. 133.1 EAAnd por el art. 1.1 de la Ley impugnada. Según los recurrentes, el precepto impugnado altera la prelación de principios de actuación de la Administración de la Junta de Andalucía fijada en el art. 133.1 EAAnd. Por su parte, el Letrado del Parlamento de Andalucía descarta que el art. 1.1 pretenda desconocer los principios enumerados en la citada norma estatutaria.</w:t>
      </w:r>
    </w:p>
    <w:p w:rsidR="00AC56D6" w:rsidRDefault="00AC56D6" w:rsidP="00AC56D6">
      <w:pPr>
        <w:pStyle w:val="TextoNormal"/>
      </w:pPr>
    </w:p>
    <w:p w:rsidR="00AC56D6" w:rsidRDefault="00AC56D6" w:rsidP="00AC56D6">
      <w:pPr>
        <w:pStyle w:val="TextoNormal"/>
      </w:pPr>
      <w:r>
        <w:t>El art. 1.1 de la Ley impugnada establece lo siguiente:</w:t>
      </w:r>
    </w:p>
    <w:p w:rsidR="00AC56D6" w:rsidRDefault="00AC56D6" w:rsidP="00AC56D6">
      <w:pPr>
        <w:pStyle w:val="TextoNormal"/>
      </w:pPr>
    </w:p>
    <w:p w:rsidR="00AC56D6" w:rsidRDefault="00AC56D6" w:rsidP="00AC56D6">
      <w:pPr>
        <w:pStyle w:val="TextoNormal"/>
      </w:pPr>
      <w:r>
        <w:t>“Los ejes de la reordenación o reestructuración, presente o futura, del Sector Público de Andalucía serán la atención a la ciudadanía, el interés general y la calidad de los servicios públicos. En base a ello, los principios de simplificación y racionalización de la estructura organizativa estarán supeditados a los mismos, y a la consecución del objetivo de garantizar los derechos e intereses de los ciudadanos, actuando en beneficio de estos y del interés general.”</w:t>
      </w:r>
    </w:p>
    <w:p w:rsidR="00AC56D6" w:rsidRDefault="00AC56D6" w:rsidP="00AC56D6">
      <w:pPr>
        <w:pStyle w:val="TextoNormal"/>
      </w:pPr>
    </w:p>
    <w:p w:rsidR="00AC56D6" w:rsidRDefault="00AC56D6" w:rsidP="00AC56D6">
      <w:pPr>
        <w:pStyle w:val="TextoNormal"/>
      </w:pPr>
      <w:r>
        <w:t>Por otra parte, el art. 133.1 EAAnd, que los recurrentes nos proponen como parámetro de validez constitucional de la Ley impugnada, tiene el siguiente contenido:</w:t>
      </w:r>
    </w:p>
    <w:p w:rsidR="00AC56D6" w:rsidRDefault="00AC56D6" w:rsidP="00AC56D6">
      <w:pPr>
        <w:pStyle w:val="TextoNormal"/>
      </w:pPr>
    </w:p>
    <w:p w:rsidR="00AC56D6" w:rsidRDefault="00AC56D6" w:rsidP="00AC56D6">
      <w:pPr>
        <w:pStyle w:val="TextoNormal"/>
      </w:pPr>
      <w:r>
        <w:t>“La Administración de la Junta de Andalucía sirve con objetividad al interés general y actúa de acuerdo con los principios de eficacia, eficiencia, racionalidad organizativa, jerarquía, simplificación de procedimientos, desconcentración, coordinación, cooperación, imparcialidad, transparencia, lealtad institucional, buena fe, protección de la confianza legítima, no discriminación y proximidad a los ciudadanos, con sujeción a la Constitución, al Estatuto y al resto del ordenamiento jurídico.”</w:t>
      </w:r>
    </w:p>
    <w:p w:rsidR="00AC56D6" w:rsidRDefault="00AC56D6" w:rsidP="00AC56D6">
      <w:pPr>
        <w:pStyle w:val="TextoNormal"/>
      </w:pPr>
    </w:p>
    <w:p w:rsidR="00AC56D6" w:rsidRDefault="00AC56D6" w:rsidP="00AC56D6">
      <w:pPr>
        <w:pStyle w:val="TextoNormal"/>
      </w:pPr>
      <w:r>
        <w:t xml:space="preserve">Resulta evidente que el art. 133.1 EAAnd contiene un largo elenco de principios de distinto alcance y naturaleza (principios de actuación administrativa </w:t>
      </w:r>
      <w:r w:rsidRPr="00AC56D6">
        <w:rPr>
          <w:i/>
        </w:rPr>
        <w:t>stricto sensu</w:t>
      </w:r>
      <w:r>
        <w:t xml:space="preserve">, principios de funcionamiento de la Administración, principios de organización administrativa, principios de relación con los ciudadanos, principios de relación con otras Administraciones públicas, etc.) y que, por tanto, cada uno de ellos tiene una distinta capacidad de proyección sobre las diversas parcelas de actuación de la Administración. Del precepto estatutario no se deduce una obligación de la Administración autonómica o de los poderes públicos andaluces de realizar todos y cada uno de los principios al mismo tiempo y con la misma intensidad, pues mientras hay principios que son taxativos y alegables en sede jurisdiccional (sujeción a la Constitución, al Estatuto de Autonomía y al resto del ordenamiento jurídico), </w:t>
      </w:r>
      <w:r>
        <w:lastRenderedPageBreak/>
        <w:t>otros admiten diversos grados de realización, constituyen más bien directrices normativas y deben conciliarse con otros principios constitucionales y estatutarios, como por ejemplo los principios de mérito y capacidad en el acceso al empleo público (arts. 103 CE y 136 EAAnd), los principios rectores de las políticas públicas (arts. 39 a 52 CE y 37 EAAnd) —entre los que cabe destacar, desde la perspectiva de la presente impugnación, el principio estatutario relativo a la prestación de servicios públicos de calidad (art. 37.1.1 EAAnd)— o, más en general, la consecución de los objetivos básicos de la Comunidad Autónoma (art. 10.4 EAAnd).</w:t>
      </w:r>
    </w:p>
    <w:p w:rsidR="00AC56D6" w:rsidRDefault="00AC56D6" w:rsidP="00AC56D6">
      <w:pPr>
        <w:pStyle w:val="TextoNormal"/>
      </w:pPr>
    </w:p>
    <w:p w:rsidR="00AC56D6" w:rsidRDefault="00AC56D6" w:rsidP="00AC56D6">
      <w:pPr>
        <w:pStyle w:val="TextoNormal"/>
      </w:pPr>
      <w:r>
        <w:t>Por otro lado, debemos recordar que la Comunidad Autónoma dispone de la competencia exclusiva sobre “la organización y estructura de sus instituciones de gobierno” (art. 46.1 EAAnd), por lo que el legislador andaluz tiene una amplia libertad de opción para configurar la organización administrativa de la Comunidad Autónoma y, en consecuencia, le corresponde también un amplio margen de maniobra para concretar y conciliar entre sí los muy diversos principios que inciden en la materia cuando adopta decisiones de reestructuración administrativa como las que contempla la Ley impugnada.</w:t>
      </w:r>
    </w:p>
    <w:p w:rsidR="00AC56D6" w:rsidRDefault="00AC56D6" w:rsidP="00AC56D6">
      <w:pPr>
        <w:pStyle w:val="TextoNormal"/>
      </w:pPr>
    </w:p>
    <w:p w:rsidR="00AC56D6" w:rsidRDefault="00AC56D6" w:rsidP="00AC56D6">
      <w:pPr>
        <w:pStyle w:val="TextoNormal"/>
      </w:pPr>
      <w:r>
        <w:t>En suma, la circunstancia de que el legislador andaluz, al acometer una importante tarea de organización administrativa como es la reordenación del sector público, haya querido otorgar en el art. 1.1 de la Ley 1/2011 un valor informante superior a determinados principios —a los que califica de “ejes de la reordenación o reestructuración, presente o futura, del Sector Público de Andalucía”—, como son la atención a la ciudadanía, el interés general y la calidad de los servicios públicos, en detrimento de otros principios de carácter técnico o instrumental también implicados en tal tarea, como son los principios de racionalización y de simplificación, se ajusta al margen de configuración legal de que dispone el legislador autonómico para definir y reordenar el modelo organizativo de la Administración autonómica, dentro de los límites fijados por las disposiciones constitucionales y estatutarias.</w:t>
      </w:r>
    </w:p>
    <w:p w:rsidR="00AC56D6" w:rsidRDefault="00AC56D6" w:rsidP="00AC56D6">
      <w:pPr>
        <w:pStyle w:val="TextoNormal"/>
      </w:pPr>
    </w:p>
    <w:p w:rsidR="00AC56D6" w:rsidRDefault="00AC56D6" w:rsidP="00AC56D6">
      <w:pPr>
        <w:pStyle w:val="TextoNormal"/>
      </w:pPr>
      <w:r>
        <w:t>Por todo ello, debemos desestimar este segundo motivo de impugnación.</w:t>
      </w:r>
    </w:p>
    <w:p w:rsidR="00AC56D6" w:rsidRDefault="00AC56D6" w:rsidP="00AC56D6">
      <w:pPr>
        <w:pStyle w:val="TextoNormal"/>
      </w:pPr>
    </w:p>
    <w:p w:rsidR="00AC56D6" w:rsidRDefault="00AC56D6" w:rsidP="00AC56D6">
      <w:pPr>
        <w:pStyle w:val="TextoNormal"/>
      </w:pPr>
      <w:r w:rsidRPr="00AC56D6">
        <w:rPr>
          <w:rStyle w:val="NumeroAFNegritaCaracter"/>
        </w:rPr>
        <w:t>5</w:t>
      </w:r>
      <w:r>
        <w:t xml:space="preserve">. En tercer lugar, los Diputados recurrentes argumentan que las modificaciones que el art. 1.2.9 de la Ley 1/2011 introduce en el art. 69 de la Ley 9/2007, de 22 de octubre, de la Administración de la Junta de Andalucía afectan al carácter básico de las funciones reservadas a los funcionarios </w:t>
      </w:r>
      <w:r w:rsidRPr="00AC56D6">
        <w:rPr>
          <w:i/>
        </w:rPr>
        <w:t>ex</w:t>
      </w:r>
      <w:r>
        <w:t xml:space="preserve"> art. 9.2 de la Ley 7/2007, de 12 de abril, del estatuto básico del empleado público (LEEP), precepto que con el mismo contenido se encuentra ahora recogido en el art. 9.2 del texto refundido de la Ley del estatuto básico del empleado público aprobado por el Real Decreto Legislativo 5/2015, de 30 de octubre. Sostienen que los tres apartados que conforman el art. 69 de la Ley 9/2007, en la redacción dada por el art. 1.2.9 de la Ley 1/2011, resultan inconstitucionales por vulnerar los arts. 9.3 y 149.1.18 CE y 76.1 y 2 EAAnd. Por su parte, los Letrados de la Junta y del Parlamento de Andalucía defienden la conformidad constitucional del precepto impugnado.</w:t>
      </w:r>
    </w:p>
    <w:p w:rsidR="00AC56D6" w:rsidRDefault="00AC56D6" w:rsidP="00AC56D6">
      <w:pPr>
        <w:pStyle w:val="TextoNormal"/>
      </w:pPr>
    </w:p>
    <w:p w:rsidR="00AC56D6" w:rsidRDefault="00AC56D6" w:rsidP="00AC56D6">
      <w:pPr>
        <w:pStyle w:val="TextoNormal"/>
      </w:pPr>
      <w:r>
        <w:t>El art. 1.2.9 de la Ley 1/2011 da nueva redacción al art. 69 de la Ley 9/2007 en los siguientes términos:</w:t>
      </w:r>
    </w:p>
    <w:p w:rsidR="00AC56D6" w:rsidRDefault="00AC56D6" w:rsidP="00AC56D6">
      <w:pPr>
        <w:pStyle w:val="TextoNormal"/>
      </w:pPr>
    </w:p>
    <w:p w:rsidR="00AC56D6" w:rsidRDefault="00AC56D6" w:rsidP="00AC56D6">
      <w:pPr>
        <w:pStyle w:val="TextoNormal"/>
      </w:pPr>
      <w:r>
        <w:t>“Artículo 69. Régimen jurídico y ejercicio de potestades administrativas.</w:t>
      </w:r>
    </w:p>
    <w:p w:rsidR="00AC56D6" w:rsidRDefault="00AC56D6" w:rsidP="00AC56D6">
      <w:pPr>
        <w:pStyle w:val="TextoNormal"/>
      </w:pPr>
    </w:p>
    <w:p w:rsidR="00AC56D6" w:rsidRDefault="00AC56D6" w:rsidP="00AC56D6">
      <w:pPr>
        <w:pStyle w:val="TextoNormal"/>
      </w:pPr>
      <w:r>
        <w:lastRenderedPageBreak/>
        <w:t>1. Las agencias públicas empresariales a que hace referencia la letra a del apartado 1 del artículo 68 de esta Ley se rigen por el Derecho Privado, excepto en las cuestiones relacionadas con la formación de la voluntad de sus órganos y con el ejercicio de las potestades administrativas que tengan atribuidas y en los aspectos específicamente regulados en esta Ley, en sus estatutos, en la Ley General de la Hacienda Pública de la Junta de Andalucía y demás disposiciones de general aplicación.</w:t>
      </w:r>
    </w:p>
    <w:p w:rsidR="00AC56D6" w:rsidRDefault="00AC56D6" w:rsidP="00AC56D6">
      <w:pPr>
        <w:pStyle w:val="TextoNormal"/>
      </w:pPr>
    </w:p>
    <w:p w:rsidR="00AC56D6" w:rsidRDefault="00AC56D6" w:rsidP="00AC56D6">
      <w:pPr>
        <w:pStyle w:val="TextoNormal"/>
      </w:pPr>
      <w:r>
        <w:t>Las agencias públicas empresariales a que hace referencia la letra b del apartado 1 del artículo 68 de esta Ley se rigen por el Derecho Administrativo en las cuestiones relacionadas con la formación de la voluntad de sus órganos y con el ejercicio de las potestades administrativas que tengan atribuidas y en los aspectos específicamente regulados en esta Ley, en sus estatutos, en la Ley General de la Hacienda Pública de la Junta de Andalucía y demás disposiciones de general aplicación. En los restantes aspectos se regirán por el Derecho Administrativo o por el Derecho Privado según su particular gestión empresarial así lo requiera.</w:t>
      </w:r>
    </w:p>
    <w:p w:rsidR="00AC56D6" w:rsidRDefault="00AC56D6" w:rsidP="00AC56D6">
      <w:pPr>
        <w:pStyle w:val="TextoNormal"/>
      </w:pPr>
    </w:p>
    <w:p w:rsidR="00AC56D6" w:rsidRDefault="00AC56D6" w:rsidP="00AC56D6">
      <w:pPr>
        <w:pStyle w:val="TextoNormal"/>
      </w:pPr>
      <w:r>
        <w:t>2. Las agencias públicas empresariales ejercerán únicamente las potestades administrativas que expresamente se les atribuyan y solo pueden ser ejercidas por aquellos órganos a los que en los estatutos se les asigne expresamente esta facultad. No obstante, a los efectos de esta Ley, los órganos de las agencias públicas empresariales no son asimilables en cuanto a su rango administrativo al de los órganos de la Administración de la Junta de Andalucía, salvo las excepciones que, a determinados efectos, se fijen, en cada caso, en sus estatutos.</w:t>
      </w:r>
    </w:p>
    <w:p w:rsidR="00AC56D6" w:rsidRDefault="00AC56D6" w:rsidP="00AC56D6">
      <w:pPr>
        <w:pStyle w:val="TextoNormal"/>
      </w:pPr>
    </w:p>
    <w:p w:rsidR="00AC56D6" w:rsidRDefault="00AC56D6" w:rsidP="00AC56D6">
      <w:pPr>
        <w:pStyle w:val="TextoNormal"/>
      </w:pPr>
      <w:r>
        <w:t>3. En el caso de que se trate de funciones que impliquen la participación directa o indirecta en el ejercicio de las potestades públicas o en la salvaguarda de los intereses generales que deban corresponder exclusivamente a personal funcionario de acuerdo con la legislación aplicable en materia de función pública, podrá llevarlas a cabo, bajo la dirección funcional de la agencia pública empresarial, el personal funcionario perteneciente a la Consejería o la agencia administrativa a la que esté adscrita. A tal fin, se configurarán en la relación de puestos de trabajo correspondiente las unidades administrativas precisas, que dependerán funcionalmente de la agencia pública empresarial.</w:t>
      </w:r>
    </w:p>
    <w:p w:rsidR="00AC56D6" w:rsidRDefault="00AC56D6" w:rsidP="00AC56D6">
      <w:pPr>
        <w:pStyle w:val="TextoNormal"/>
      </w:pPr>
    </w:p>
    <w:p w:rsidR="00AC56D6" w:rsidRDefault="00AC56D6" w:rsidP="00AC56D6">
      <w:pPr>
        <w:pStyle w:val="TextoNormal"/>
      </w:pPr>
      <w:r>
        <w:t>La dependencia de este personal supondrá su integración funcional en la estructura de la agencia, con sujeción a las instrucciones y órdenes de servicio de los órganos directivos de la misma, quienes ejercerán las potestades que a tal efecto establece la normativa general. El decreto por el que se aprueben los estatutos de la agencia contendrá las prescripciones necesarias para concretar el régimen de dependencia funcional, el horario de trabajo y las retribuciones en concepto de evaluación por desempeño y las relativas al sistema de recursos administrativos que procedan contra los actos que se dicten en ejercicio de las potestades administrativas atribuidas a la agencia.”</w:t>
      </w:r>
    </w:p>
    <w:p w:rsidR="00AC56D6" w:rsidRDefault="00AC56D6" w:rsidP="00AC56D6">
      <w:pPr>
        <w:pStyle w:val="TextoNormal"/>
      </w:pPr>
    </w:p>
    <w:p w:rsidR="00AC56D6" w:rsidRDefault="00AC56D6" w:rsidP="00AC56D6">
      <w:pPr>
        <w:pStyle w:val="TextoNormal"/>
      </w:pPr>
      <w:r>
        <w:t xml:space="preserve">El art. 69 de la Ley 9/2007 es objeto de impugnación por varios conceptos heterogéneos y entremezclados (motivos competenciales, no competenciales y de inconstitucionalidad mediata), aunque en todos los casos no se satisface en los mismos términos la carga alegatoria. Así, la afirmación de la vulneración de los arts. 76.1 y 76.2 EAAnd, que establecen las competencias de la Comunidad Autónoma de Andalucía en materia de función pública, no puede ser admitida pues tal afirmación no viene acompañada de argumentación alguna que permita considerar que en este punto se haya levantado la carga alegatoria que pesa sobre el recurrente: los recurrentes no han precisado de qué forma el art. 69 de la Ley 9/2007 </w:t>
      </w:r>
      <w:r>
        <w:lastRenderedPageBreak/>
        <w:t>vulnera las competencias autonómicas recogidas en esos preceptos estatutarios. Por tanto, a continuación nos limitaremos a examinar los demás motivos impugnatorios, respecto a los cuales los recurrentes han levantado la carga alegatoria.</w:t>
      </w:r>
    </w:p>
    <w:p w:rsidR="00AC56D6" w:rsidRDefault="00AC56D6" w:rsidP="00AC56D6">
      <w:pPr>
        <w:pStyle w:val="TextoNormal"/>
      </w:pPr>
    </w:p>
    <w:p w:rsidR="00AC56D6" w:rsidRDefault="00AC56D6" w:rsidP="00AC56D6">
      <w:pPr>
        <w:pStyle w:val="TextoNormal"/>
      </w:pPr>
      <w:r>
        <w:t>a) El principal argumento que dirigen los recurrentes contra el precepto impugnado es la vulneración del art. 9.2 del Real Decreto Legislativo 5/2015 por el párrafo primero del apartado 3 del art. 69 de la Ley 9/2007. El art. 9.2 del Real Decreto Legislativo 5/2015 establece lo siguiente:</w:t>
      </w:r>
    </w:p>
    <w:p w:rsidR="00AC56D6" w:rsidRDefault="00AC56D6" w:rsidP="00AC56D6">
      <w:pPr>
        <w:pStyle w:val="TextoNormal"/>
      </w:pPr>
    </w:p>
    <w:p w:rsidR="00AC56D6" w:rsidRDefault="00AC56D6" w:rsidP="00AC56D6">
      <w:pPr>
        <w:pStyle w:val="TextoNormal"/>
      </w:pPr>
      <w:r>
        <w:t>“En todo caso, el ejercicio de las funciones que impliquen la participación directa o indirecta en el ejercicio de las potestades públicas o en la salvaguardia de los intereses generales del Estado y de las Administraciones Públicas corresponden exclusivamente a los funcionarios públicos, en los términos que en la ley de desarrollo de cada Administración Pública se establezca.”</w:t>
      </w:r>
    </w:p>
    <w:p w:rsidR="00AC56D6" w:rsidRDefault="00AC56D6" w:rsidP="00AC56D6">
      <w:pPr>
        <w:pStyle w:val="TextoNormal"/>
      </w:pPr>
    </w:p>
    <w:p w:rsidR="00AC56D6" w:rsidRDefault="00AC56D6" w:rsidP="00AC56D6">
      <w:pPr>
        <w:pStyle w:val="TextoNormal"/>
      </w:pPr>
      <w:r>
        <w:t>El art. 9.2 del Real Decreto Legislativo 5/2015 tiene carácter básico en el doble sentido, formal y material, exigido por nuestra doctrina. En efecto, por un lado, se contiene en una norma de rango legal y su carácter básico se desprende de la disposición final primera del Real Decreto Legislativo 5/2015 que específica los títulos competenciales en los que se fundamenta la norma legal en su conjunto; por otro, es indiscutible que su contenido goza de carácter básico, pues constituye un mínimo común denominador normativo dirigido a asegurar los intereses generales.</w:t>
      </w:r>
    </w:p>
    <w:p w:rsidR="00AC56D6" w:rsidRDefault="00AC56D6" w:rsidP="00AC56D6">
      <w:pPr>
        <w:pStyle w:val="TextoNormal"/>
      </w:pPr>
    </w:p>
    <w:p w:rsidR="00AC56D6" w:rsidRDefault="00AC56D6" w:rsidP="00AC56D6">
      <w:pPr>
        <w:pStyle w:val="TextoNormal"/>
      </w:pPr>
      <w:r>
        <w:t>El art. 9.2 del Real Decreto Legislativo 5/2015 se limita a reservar al personal funcionario el ejercicio de determinadas funciones, que se delimitan mediante cláusulas generales —“funciones que impliquen la participación directa o indirecta en el ejercicio de las potestades públicas o en la salvaguarda de los intereses generales del Estado o de las Administraciones Públicas”—, y atribuye a las leyes autonómicas de desarrollo de cada Administración pública la fijación de los “términos” en los que se lleve a cabo ese ejercicio. Esta habilitación para el desarrollo legislativo del precepto se puede entender que incluye tanto la precisión de las concretas funciones que debe corresponder exclusivamente al personal funcionario como la determinación de las modalidades según las cuales los funcionarios pueden desarrollar las referidas funciones.</w:t>
      </w:r>
    </w:p>
    <w:p w:rsidR="00AC56D6" w:rsidRDefault="00AC56D6" w:rsidP="00AC56D6">
      <w:pPr>
        <w:pStyle w:val="TextoNormal"/>
      </w:pPr>
    </w:p>
    <w:p w:rsidR="00AC56D6" w:rsidRDefault="00AC56D6" w:rsidP="00AC56D6">
      <w:pPr>
        <w:pStyle w:val="TextoNormal"/>
      </w:pPr>
      <w:r>
        <w:t xml:space="preserve">La mera lectura del párrafo primero del apartado 3 del art. 69 de la Ley 9/2007 permite descartar la existencia de la vulneración alegada del art. 9.2 del Real Decreto Legislativo 5/2015. El precepto impugnado se limita a prever que, en el caso de que las agencias públicas empresariales realicen “funciones que impliquen la participación directa o indirecta en el ejercicio de las potestades públicas o en la salvaguarda de los intereses generales que deban corresponder exclusivamente a personal funcionario de acuerdo con la legislación aplicable en materia de función pública”, esas funciones las podrá llevar a cabo “bajo la dirección funcional de la agencia pública empresarial, el personal funcionario perteneciente a la Consejería o la agencia administrativa a la que esté adscrita”. Así pues, el precepto impugnado contiene una previsión normativa que se dirige precisamente a garantizar el efectivo cumplimiento de lo dispuesto en el art. 9.2 del Real Decreto Legislativo 5/2015, de forma que el ejercicio de las funciones que impliquen la participación directa o indirecta en el ejercicio de las potestades públicas o en la salvaguardia de los intereses generales del Estado y de las Administraciones públicas corresponda exclusivamente a los funcionarios </w:t>
      </w:r>
      <w:r>
        <w:lastRenderedPageBreak/>
        <w:t>públicos. En otras palabras, el precepto autonómico no altera la reserva al personal funcionario de las funciones relacionadas con el ejercicio de potestades públicas o la salvaguarda de los intereses generales que establece la norma básica estatal.</w:t>
      </w:r>
    </w:p>
    <w:p w:rsidR="00AC56D6" w:rsidRDefault="00AC56D6" w:rsidP="00AC56D6">
      <w:pPr>
        <w:pStyle w:val="TextoNormal"/>
      </w:pPr>
    </w:p>
    <w:p w:rsidR="00AC56D6" w:rsidRDefault="00AC56D6" w:rsidP="00AC56D6">
      <w:pPr>
        <w:pStyle w:val="TextoNormal"/>
      </w:pPr>
      <w:r>
        <w:t>b) Asimismo, se impugna el apartado primero del art. 69 de la Ley 9/2007 por vulnerar los arts. 2.2 de la Ley de régimen jurídico de las Administraciones públicas y del procedimiento administrativo común (LPC) y 9.2 del Real Decreto Legislativo 5/2015, en cuanto que aquél habilita para atribuir potestades administrativas a agencias públicas empresariales cuyo personal se regirá por el derecho privado. Esta impugnación tampoco puede acogerse. El art. 2.2 LPC —precepto vigente en tanto no entren en vigor la Ley 39/2015, de 1 de octubre, del procedimiento administrativo común de las Administraciones públicas y la Ley 40/2015, de 1 de octubre, de régimen jurídico del sector público— tiene ciertamente carácter básico en sentido formal y material, por las mismas razones antes indicadas en relación con el art. 9.2 del Real Decreto Legislativo 5/2015. Sin embargo, no tiene el contenido pretendido por los recurrentes. En efecto, en lo que interesa a efectos de la presente impugnación, es claro, por una parte, que el art. 2.2 LPC no cierra el paso a la atribución de potestades administrativas a las entidades instrumentales vinculadas o dependientes de las Administraciones públicas territoriales y que, por otra, el citado precepto se limita a exigir que las entidades de derecho público con personalidad jurídica propia vinculadas o dependientes de cualquiera de las Administraciones públicas sujeten su actividad a la Ley 30/1992 “cuando ejerzan potestades administrativas, sometiéndose en el resto de su actividad a lo que dispongan sus normas de creación”. En otras palabras, el art. 2.2 LPC no prejuzga el régimen de organización y funcionamiento de las entidades de derecho público cuando no ejerzan potestades administrativas. Pues bien, el apartado primero del art. 69 de la Ley 9/2007 no contradice el mandato normativo del art. 2.2 LPC, pues expresamente excluye del régimen de derecho privado de las agencias públicas empresariales a las que se refiere “las cuestiones relacionadas … con el ejercicio de las potestades administrativas que tengan atribuidas”. Por ello, no se puede acceder a la petición de los recurrentes de declarar la inconstitucionalidad del inciso “y con el ejercicio de las potestades administrativas que tengan atribuidas” que se contiene en los dos párrafos del apartado 1 del art. 69 de la Ley 9/2007.</w:t>
      </w:r>
    </w:p>
    <w:p w:rsidR="00AC56D6" w:rsidRDefault="00AC56D6" w:rsidP="00AC56D6">
      <w:pPr>
        <w:pStyle w:val="TextoNormal"/>
      </w:pPr>
    </w:p>
    <w:p w:rsidR="00AC56D6" w:rsidRDefault="00AC56D6" w:rsidP="00AC56D6">
      <w:pPr>
        <w:pStyle w:val="TextoNormal"/>
      </w:pPr>
      <w:r>
        <w:t>En cuanto a la alegada vulneración del art. 9.2 del Real Decreto Legislativo 5/2015 por el apartado primero del art. 69 de la Ley 9/2007, tampoco puede acogerse, pues el objeto de regulación es diferente en ambos casos: mientras el art. 9.2 del Real Decreto Legislativo 5/2015 se limita a reservar determinadas funciones al personal funcionario, el precepto autonómico se refiere al régimen jurídico de las agencias públicas empresariales.</w:t>
      </w:r>
    </w:p>
    <w:p w:rsidR="00AC56D6" w:rsidRDefault="00AC56D6" w:rsidP="00AC56D6">
      <w:pPr>
        <w:pStyle w:val="TextoNormal"/>
      </w:pPr>
    </w:p>
    <w:p w:rsidR="00AC56D6" w:rsidRDefault="00AC56D6" w:rsidP="00AC56D6">
      <w:pPr>
        <w:pStyle w:val="TextoNormal"/>
      </w:pPr>
      <w:r>
        <w:t>c) En tercer lugar, los recurrentes alegan que sólo se puede atribuir potestades administrativas a las entidades de Derecho público que cuenten con personal funcionario propio, pues solo así será posible sujetar su actuación a la Ley 30/1992 con todas las garantías que conlleva para los administrados, invocando a este respecto el art. 103.1 CE. En otras palabras, consideran que los funcionarios que deben realizar las funciones implicadas en el ejercicio de potestades administrativas deben pertenecer orgánicamente a la propia entidad instrumental a la que se le hayan atribuido tales potestades, y rechazan implícitamente la solución diseñada por el legislador autonómico de que el personal funcionario que se requiera para el desarrollo de esas funciones dependa funcionalmente de la entidad instrumental aunque orgánicamente de la Administración pública a la que está adscrita la entidad instrumental.</w:t>
      </w:r>
    </w:p>
    <w:p w:rsidR="00AC56D6" w:rsidRDefault="00AC56D6" w:rsidP="00AC56D6">
      <w:pPr>
        <w:pStyle w:val="TextoNormal"/>
      </w:pPr>
    </w:p>
    <w:p w:rsidR="00AC56D6" w:rsidRDefault="00AC56D6" w:rsidP="00AC56D6">
      <w:pPr>
        <w:pStyle w:val="TextoNormal"/>
      </w:pPr>
      <w:r>
        <w:t>Los recurrentes parten de un precepto —el art. 9.2 del Real Decreto Legislativo 5/2015— que ciertamente reserva a los funcionarios la realización de determinadas funciones para deducir algo bien distinto, que solo a las entidades que cuenten con personal funcionario se les puede atribuir potestades administrativas y que el personal funcionario que desempeñe esas funciones debe depender orgánicamente de la propia entidad en la que realizan su actividad.</w:t>
      </w:r>
    </w:p>
    <w:p w:rsidR="00AC56D6" w:rsidRDefault="00AC56D6" w:rsidP="00AC56D6">
      <w:pPr>
        <w:pStyle w:val="TextoNormal"/>
      </w:pPr>
    </w:p>
    <w:p w:rsidR="00AC56D6" w:rsidRDefault="00AC56D6" w:rsidP="00AC56D6">
      <w:pPr>
        <w:pStyle w:val="TextoNormal"/>
      </w:pPr>
      <w:r>
        <w:t>La interpretación que defienden los recurrentes puede sin duda resultar razonable, pero eso no significa que sea la única posible. Cuando menos, los recurrentes no aportan razones que permitan concluir que la única fórmula jurídica posible de acuerdo con los arts. 2.2 LPC y 9.2 del Real Decreto Legislativo 5/2015 sea la que ellos defienden. Respetando el contenido de tales normas básicas, y dentro del margen de desarrollo legislativo que en esta materia le reconocen expresamente el Estatuto de Autonomía de Andalucía (art. 76.1 EAAnd) y el propio art. 9.2 del Real Decreto Legislativo 5/2015, el legislador autonómico ha previsto la posibilidad de la adscripción funcional de funcionarios dependientes orgánicamente de la Administración pública territorial como fórmula para proporcionar a las agencias públicas empresariales autonómicas el personal funcionario legalmente necesario para realizar las funciones anteriormente mencionadas. Los recurrentes no han levantado en este punto la carga argumental exigible para desvirtuar la presunción de constitucionalidad de que gozan las normas con valor de ley (por todas, STC 76/2014, de 8 de mayo, FJ 2).</w:t>
      </w:r>
    </w:p>
    <w:p w:rsidR="00AC56D6" w:rsidRDefault="00AC56D6" w:rsidP="00AC56D6">
      <w:pPr>
        <w:pStyle w:val="TextoNormal"/>
      </w:pPr>
    </w:p>
    <w:p w:rsidR="00AC56D6" w:rsidRDefault="00AC56D6" w:rsidP="00AC56D6">
      <w:pPr>
        <w:pStyle w:val="TextoNormal"/>
      </w:pPr>
      <w:r>
        <w:t>d) Adicionalmente, los recurrentes alegan la vulneración del principio de seguridad jurídica (art. 9.3 CE) en relación con dos concretos incisos del precepto impugnado. Por un lado, se quejan de la ambigüedad del inciso “podrá llevarlas a cabo” que se utiliza en el apartado 3 del art. 69 de la Ley 9/2007. Sin perjuicio de recordar nuestra doctrina reiterada de que los defectos de técnica legislativa no acarrean necesariamente un vicio de inconstitucionalidad y de que no corresponde a la jurisdicción constitucional pronunciarse sobre la perfección técnica de las leyes (por todas, STC 53/2014, de 10 de abril, FJ 8), en este mismo fundamento jurídico ya hemos indicado que el art. 69.3 de la Ley 9/2007 asume el contenido de la norma básica estatal prevista en el art. 9.2 del Real Decreto Legislativo 5/2015, según la cual el ejercicio de las funciones que impliquen la participación directa o indirecta en el ejercicio de las potestades públicas o en la salvaguarda de los intereses generales debe corresponder exclusivamente a personal funcionario. Lo único que añade el precepto impugnado es la previsión de que, en relación con las agencias públicas empresariales, ese personal funcionario puede pertenecer a la Consejería o bien a la correspondiente agencia administrativa adscrita a la Consejería; a ello se circunscribe la apertura del inciso que impugnan los recurrentes. Como ya hemos indicado anteriormente, ninguna de esas dos soluciones vulnera las normas estatales básicas aducidas por los recurrentes.</w:t>
      </w:r>
    </w:p>
    <w:p w:rsidR="00AC56D6" w:rsidRDefault="00AC56D6" w:rsidP="00AC56D6">
      <w:pPr>
        <w:pStyle w:val="TextoNormal"/>
      </w:pPr>
    </w:p>
    <w:p w:rsidR="00AC56D6" w:rsidRDefault="00AC56D6" w:rsidP="00AC56D6">
      <w:pPr>
        <w:pStyle w:val="TextoNormal"/>
      </w:pPr>
      <w:r>
        <w:t xml:space="preserve">Por otro lado, se reprocha la indeterminación del régimen jurídico previsto en el art. 69.1 de la Ley 9/2007 para las agencias públicas empresariales a que hace referencia el art. 68.1 b) de la Ley 9/2007. Sin embargo, no es cierto que se posibilite que el régimen jurídico aplicable se determine </w:t>
      </w:r>
      <w:r w:rsidRPr="00AC56D6">
        <w:rPr>
          <w:i/>
        </w:rPr>
        <w:t>ad casum</w:t>
      </w:r>
      <w:r>
        <w:t xml:space="preserve"> según la conveniencia de cada agencia, ni la alegada indeterminación absoluta es tal, sino que está acotada a lo no previsto expresamente por la normativa general aplicable. En efecto, el precepto señala que dichas agencias públicas empresariales “se rigen por el Derecho Administrativo en las cuestiones relacionadas con la formación de la voluntad de sus órganos y con el ejercicio de las potestades administrativas </w:t>
      </w:r>
      <w:r>
        <w:lastRenderedPageBreak/>
        <w:t>que tengan atribuidas y en los aspectos específicamente regulados en esta Ley, en sus estatutos, en la Ley General de la Hacienda Pública de la Junta de Andalucía y demás disposiciones de general aplicación”, y solamente para las demás cuestiones —esto es, para las cuestiones no específicamente reguladas en las normas que se mencionan expresamente o en otras normas de aplicación general— se establece un cláusula residual parcialmente abierta: “En los restantes aspectos se regirán por el Derecho Administrativo o por el Derecho Privado según su particular gestión empresarial así lo requiera”.</w:t>
      </w:r>
    </w:p>
    <w:p w:rsidR="00AC56D6" w:rsidRDefault="00AC56D6" w:rsidP="00AC56D6">
      <w:pPr>
        <w:pStyle w:val="TextoNormal"/>
      </w:pPr>
    </w:p>
    <w:p w:rsidR="00AC56D6" w:rsidRDefault="00AC56D6" w:rsidP="00AC56D6">
      <w:pPr>
        <w:pStyle w:val="TextoNormal"/>
      </w:pPr>
      <w:r>
        <w:t>e) Finalmente, los recurrentes también impugnan el art. 70.1 de la Ley 9/2007, introducido por el art. 1.2.10 de la Ley 1/2011, por razones idénticas a las de la impugnación del apartado 1 del art. 69 de la Ley 9/2007. No obstante, aquel precepto se refiere a una cuestión bien distinta, el régimen de derecho laboral del personal de las agencias públicas empresariales. El apartado 1 del art. 70 de la Ley 9/2007 establece lo siguiente:</w:t>
      </w:r>
    </w:p>
    <w:p w:rsidR="00AC56D6" w:rsidRDefault="00AC56D6" w:rsidP="00AC56D6">
      <w:pPr>
        <w:pStyle w:val="TextoNormal"/>
      </w:pPr>
    </w:p>
    <w:p w:rsidR="00AC56D6" w:rsidRDefault="00AC56D6" w:rsidP="00AC56D6">
      <w:pPr>
        <w:pStyle w:val="TextoNormal"/>
      </w:pPr>
      <w:r>
        <w:t>“1. El personal de las agencias públicas empresariales se rige en todo caso por el Derecho Laboral, así como por lo que le sea de aplicación en la Ley 7/2007, de 12 de abril, del Estatuto Básico del Empleado Público. Será seleccionado mediante convocatoria pública en medios oficiales, basada en los principios de igualdad, mérito y capacidad.”</w:t>
      </w:r>
    </w:p>
    <w:p w:rsidR="00AC56D6" w:rsidRDefault="00AC56D6" w:rsidP="00AC56D6">
      <w:pPr>
        <w:pStyle w:val="TextoNormal"/>
      </w:pPr>
    </w:p>
    <w:p w:rsidR="00AC56D6" w:rsidRDefault="00AC56D6" w:rsidP="00AC56D6">
      <w:pPr>
        <w:pStyle w:val="TextoNormal"/>
      </w:pPr>
      <w:r>
        <w:t>Dado que, por una parte, ya hemos rechazado las razones esgrimidas frente el apartado 1 del art. 69 de la Ley 9/2007 y de que, por otra, los recurrentes no han aportado argumentos que expliquen por qué las mismas razones fundamentarían la impugnación de la previsión contenida en el apartado 1 del art. 70 de la Ley 9/2007, que se refiere a una cuestión distinta de abordada en el precepto anterior, debemos proceder a rechazar también la impugnación del art. 70.1 de la Ley 9/2007.</w:t>
      </w:r>
    </w:p>
    <w:p w:rsidR="00AC56D6" w:rsidRDefault="00AC56D6" w:rsidP="00AC56D6">
      <w:pPr>
        <w:pStyle w:val="TextoNormal"/>
      </w:pPr>
    </w:p>
    <w:p w:rsidR="00AC56D6" w:rsidRDefault="00AC56D6" w:rsidP="00AC56D6">
      <w:pPr>
        <w:pStyle w:val="TextoNormal"/>
      </w:pPr>
      <w:r>
        <w:t>Por todo ello, debemos rechazar la impugnación de los arts. 69 y 70.1 de la Ley 9/2007 en la redacción introducida por los arts. 1.2.9 y 1.2.10 de la Ley 1/2011.</w:t>
      </w:r>
    </w:p>
    <w:p w:rsidR="00AC56D6" w:rsidRDefault="00AC56D6" w:rsidP="00AC56D6">
      <w:pPr>
        <w:pStyle w:val="TextoNormal"/>
      </w:pPr>
    </w:p>
    <w:p w:rsidR="00AC56D6" w:rsidRDefault="00AC56D6" w:rsidP="00AC56D6">
      <w:pPr>
        <w:pStyle w:val="TextoNormal"/>
      </w:pPr>
      <w:r w:rsidRPr="00AC56D6">
        <w:rPr>
          <w:rStyle w:val="NumeroAFNegritaCaracter"/>
        </w:rPr>
        <w:t>6</w:t>
      </w:r>
      <w:r>
        <w:t>. En cuarto lugar, los recurrentes argumentan que la Ley impugnada afecta al carácter básico de las condiciones de movilidad de los funcionarios. Sostienen que la redacción que da el art. 1.2.9 de la Ley 1/2011 al art. 69.2 de la Ley 9/2007 instaura un régimen de dependencia funcional que implica para los funcionarios de carrera una movilidad forzosa del puesto de trabajo, al producirse un traslado encubierto hacia las agencias públicas empresariales con alteración de las condiciones esenciales de trabajo con respecto al puesto de origen. Los Letrados de la Junta y del Parlamento de Andalucía rechazan esa impugnación.</w:t>
      </w:r>
    </w:p>
    <w:p w:rsidR="00AC56D6" w:rsidRDefault="00AC56D6" w:rsidP="00AC56D6">
      <w:pPr>
        <w:pStyle w:val="TextoNormal"/>
      </w:pPr>
    </w:p>
    <w:p w:rsidR="00AC56D6" w:rsidRDefault="00AC56D6" w:rsidP="00AC56D6">
      <w:pPr>
        <w:pStyle w:val="TextoNormal"/>
      </w:pPr>
      <w:r>
        <w:t xml:space="preserve">Desde otra perspectiva, el presente motivo de impugnación se dirige de nuevo contra la posibilidad prevista por el legislador autonómico de adscribir funcionalmente a funcionarios dependientes orgánicamente de la Administración autonómica a las agencias públicas empresariales. Llegados a este punto debemos afirmar que la disociación entre dependencia orgánica y dependencia funcional del personal funcionario no es extraña en nuestro ordenamiento jurídico-administrativo: esa disociación se puede producir en el seno de la misma Administración pública, entre Administraciones públicas distintas (por ejemplo, la adscripción de unidades completas del Cuerpo Nacional de Policía a las Comunidades Autónomas, art. 47 de la Ley Orgánica de las fuerzas y cuerpos de seguridad: LOFCS) e incluso entre poderes jurídicos distintos (por ejemplo, la adscripción de policías a las unidades de policía judicial dependientes funcionalmente de jueces y fiscales, arts. 10.3 y 33 a 35 LOFCS). La </w:t>
      </w:r>
      <w:r>
        <w:lastRenderedPageBreak/>
        <w:t>disociación prevista en la norma autonómica afecta a funcionarios concretos que dependerán orgánicamente de la correspondiente Consejería o agencia administrativa y funcionalmente de una agencia pública empresarial.</w:t>
      </w:r>
    </w:p>
    <w:p w:rsidR="00AC56D6" w:rsidRDefault="00AC56D6" w:rsidP="00AC56D6">
      <w:pPr>
        <w:pStyle w:val="TextoNormal"/>
      </w:pPr>
    </w:p>
    <w:p w:rsidR="00AC56D6" w:rsidRDefault="00AC56D6" w:rsidP="00AC56D6">
      <w:pPr>
        <w:pStyle w:val="TextoNormal"/>
      </w:pPr>
      <w:r>
        <w:t>No obstante, mediante el presente motivo los recurrentes no cuestionan la posibilidad de disociar dependencia funcional y orgánica, sino que consideran que, bajo esa aparente disociación, se está encubriendo en realidad una movilidad forzosa del personal funcionario que se adscribe funcionalmente a las agencias públicas empresariales. Ello, según los recurrentes, contradiría las normas básicas estatales relativas a la movilidad de los funcionarios así como las normas legales andaluzas de ordenación de la función pública.</w:t>
      </w:r>
    </w:p>
    <w:p w:rsidR="00AC56D6" w:rsidRDefault="00AC56D6" w:rsidP="00AC56D6">
      <w:pPr>
        <w:pStyle w:val="TextoNormal"/>
      </w:pPr>
    </w:p>
    <w:p w:rsidR="00AC56D6" w:rsidRDefault="00AC56D6" w:rsidP="00AC56D6">
      <w:pPr>
        <w:pStyle w:val="TextoNormal"/>
      </w:pPr>
      <w:r>
        <w:t>Debemos descartar las normas legales autonómicas de ordenación de la función pública como canon de constitucionalidad de la Ley impugnada en este proceso constitucional. En cuanto a la eventual vulneración las normas básicas estatales sobre movilidad forzosa del personal funcionario, debemos verificar primero si nos encontramos efectivamente ante un supuesto de movilidad forzosa, pues las partes discrepan sobre este punto.</w:t>
      </w:r>
    </w:p>
    <w:p w:rsidR="00AC56D6" w:rsidRDefault="00AC56D6" w:rsidP="00AC56D6">
      <w:pPr>
        <w:pStyle w:val="TextoNormal"/>
      </w:pPr>
    </w:p>
    <w:p w:rsidR="00AC56D6" w:rsidRDefault="00AC56D6" w:rsidP="00AC56D6">
      <w:pPr>
        <w:pStyle w:val="TextoNormal"/>
      </w:pPr>
      <w:r>
        <w:t>La movilidad de los funcionarios de carrera se hace efectiva mediante los procedimientos ordinarios de provisión de puestos de trabajo o por medio de otros sistemas contemplados en el ordenamiento jurídico. La característica básica de la movilidad —ya sea voluntaria o forzosa— es el traslado del funcionario a una unidad, un departamento, un organismo o una entidad distinta de la de destino, y la correspondiente modificación de su adscripción al puesto de trabajo. Entre Administraciones distintas la movilidad solo puede tener carácter voluntario: el funcionario abandona su destino inicial y obtiene un destino distinto, sin perjuicio de que se mantenga respecto a la Administración de origen en la situación administrativa de servicio en otras Administraciones (art. 84.3 del Real Decreto Legislativo 5/2015). En cuanto a la movilidad forzosa, constituye un supuesto excepcional de provisión de puestos de trabajo. La legislación estatal básica establece que sólo de forma motivada y por necesidades de servicio o funcionales podrán las Administraciones públicas trasladar a sus funcionarios a unidades, departamentos u organismos públicos o entidades distintos a los de su destino, respetando sus retribuciones, condiciones esenciales de trabajo, modificando, en su caso, la adscripción de los puestos de trabajo de los que sean titulares (art. 81.2 del Real Decreto Legislativo 5/2015).</w:t>
      </w:r>
    </w:p>
    <w:p w:rsidR="00AC56D6" w:rsidRDefault="00AC56D6" w:rsidP="00AC56D6">
      <w:pPr>
        <w:pStyle w:val="TextoNormal"/>
      </w:pPr>
    </w:p>
    <w:p w:rsidR="00AC56D6" w:rsidRDefault="00AC56D6" w:rsidP="00AC56D6">
      <w:pPr>
        <w:pStyle w:val="TextoNormal"/>
      </w:pPr>
      <w:r>
        <w:t>En el régimen de adscripción funcional previsto en la Ley impugnada, en cambio, el funcionario permanece en su puesto de trabajo y únicamente se le atribuyen las funciones precisas para poder participar en el ejercicio de las potestades públicas atribuidas a una determinada agencia pública empresarial o en la salvaguardia de los intereses generales cuya tutela le haya sido encomendada. Así pues, a diferencia de la movilidad forzosa, no hay aquí remoción o cambio de puesto de trabajo. Los cambios se circunscriben a la relación de puestos de trabajo. Por otra parte, la decisión de adscripción funcional no es más que un aspecto parcial dentro de un proceso más amplio de reorganización administrativa, por medio de la cual, en primer lugar, se atribuyen determinadas competencias y potestades a las agencias públicas empresariales; y, en segundo lugar, en las Consejerías o agencias administrativas a las que están adscritas esas agencias públicas empresariales se modifican las relaciones de puestos de trabajo a fin de agrupar en unidades administrativas a todos los puestos de trabajo que se encuentran en esa situación. En el marco de ese proceso de reor</w:t>
      </w:r>
      <w:r>
        <w:lastRenderedPageBreak/>
        <w:t>ganización administrativa, la Administración puede alterar determinados aspectos de la relación estatutaria con arreglo a su potestad de organización de los servicios, sin que ello afecte a la inamovilidad de los funcionarios.</w:t>
      </w:r>
    </w:p>
    <w:p w:rsidR="00AC56D6" w:rsidRDefault="00AC56D6" w:rsidP="00AC56D6">
      <w:pPr>
        <w:pStyle w:val="TextoNormal"/>
      </w:pPr>
    </w:p>
    <w:p w:rsidR="00AC56D6" w:rsidRDefault="00AC56D6" w:rsidP="00AC56D6">
      <w:pPr>
        <w:pStyle w:val="TextoNormal"/>
      </w:pPr>
      <w:r>
        <w:t>En suma, dado que el régimen de adscripción funcional previsto en la Ley impugnada no puede considerarse como un supuesto de movilidad forzosa, no es necesario examinar la alegada contradicción que los demandantes anudan a dicha premisa, esto es, la vulneración de las garantías que en materia de movilidad forzosa establece el art. 81.2 Real Decreto Legislativo 5/2015.</w:t>
      </w:r>
    </w:p>
    <w:p w:rsidR="00AC56D6" w:rsidRDefault="00AC56D6" w:rsidP="00AC56D6">
      <w:pPr>
        <w:pStyle w:val="TextoNormal"/>
      </w:pPr>
    </w:p>
    <w:p w:rsidR="00AC56D6" w:rsidRDefault="00AC56D6" w:rsidP="00AC56D6">
      <w:pPr>
        <w:pStyle w:val="TextoNormal"/>
      </w:pPr>
      <w:r>
        <w:t>Por lo demás, la impugnación se sustenta en particular en la hipótesis de que la norma impugnada abriría la puerta a que sea el decreto que apruebe los estatutos de cada agencia el que concrete las condiciones esenciales de trabajo sin respetar las que se tuvieran en el puesto de origen. Puesto que se trata de un presupuesto hipotético, basado en una mera conjetura interpretativa, carece de capacidad suficiente para fundamentar tal impugnación (STC 214/1989, de 21 de diciembre, FJ 8).</w:t>
      </w:r>
    </w:p>
    <w:p w:rsidR="00AC56D6" w:rsidRDefault="00AC56D6" w:rsidP="00AC56D6">
      <w:pPr>
        <w:pStyle w:val="TextoNormal"/>
      </w:pPr>
    </w:p>
    <w:p w:rsidR="00AC56D6" w:rsidRDefault="00AC56D6" w:rsidP="00AC56D6">
      <w:pPr>
        <w:pStyle w:val="TextoNormal"/>
      </w:pPr>
      <w:r w:rsidRPr="00AC56D6">
        <w:rPr>
          <w:rStyle w:val="NumeroAFNegritaCaracter"/>
        </w:rPr>
        <w:t>7</w:t>
      </w:r>
      <w:r>
        <w:t>. El quinto motivo de impugnación se dirige contra la pretendida vulneración de la preferencia constitucional por el régimen funcionarial en que incurrirían los arts. 70.1 y 74.1 de la Ley 9/2007 en la redacción que les dan los arts. 1.2.10 y 1.2.12 de la Ley 1/2011, al regular el estatuto del personal de las agencias. Los arts. 70.1 y 74.1 de la Ley 9/2007, respectivamente, establecen la siguiente regulación del personal de las agencias:</w:t>
      </w:r>
    </w:p>
    <w:p w:rsidR="00AC56D6" w:rsidRDefault="00AC56D6" w:rsidP="00AC56D6">
      <w:pPr>
        <w:pStyle w:val="TextoNormal"/>
      </w:pPr>
    </w:p>
    <w:p w:rsidR="00AC56D6" w:rsidRDefault="00AC56D6" w:rsidP="00AC56D6">
      <w:pPr>
        <w:pStyle w:val="TextoNormal"/>
      </w:pPr>
      <w:r>
        <w:t>Artículo 70.1. “el personal de las agencias públicas empresariales se rige en todo caso por el Derecho Laboral, así como por lo que le sea de aplicación en la Ley 7/2007, de 12 de abril, del Estatuto Básico del Empleado Público. Será seleccionado mediante convocatoria pública en medios oficiales, basada en los principios de igualdad, mérito y capacidad”.</w:t>
      </w:r>
    </w:p>
    <w:p w:rsidR="00AC56D6" w:rsidRDefault="00AC56D6" w:rsidP="00AC56D6">
      <w:pPr>
        <w:pStyle w:val="TextoNormal"/>
      </w:pPr>
    </w:p>
    <w:p w:rsidR="00AC56D6" w:rsidRDefault="00AC56D6" w:rsidP="00AC56D6">
      <w:pPr>
        <w:pStyle w:val="TextoNormal"/>
      </w:pPr>
      <w:r>
        <w:t>Artículo 74.1. “el personal de las agencias de régimen especial podrá ser funcionario, que se regirá por la normativa aplicable en materia de función pública, y personal sujeto a Derecho Laboral. Las funciones que impliquen ejercicio de autoridad serán desempeñadas por personal funcionario”.</w:t>
      </w:r>
    </w:p>
    <w:p w:rsidR="00AC56D6" w:rsidRDefault="00AC56D6" w:rsidP="00AC56D6">
      <w:pPr>
        <w:pStyle w:val="TextoNormal"/>
      </w:pPr>
    </w:p>
    <w:p w:rsidR="00AC56D6" w:rsidRDefault="00AC56D6" w:rsidP="00AC56D6">
      <w:pPr>
        <w:pStyle w:val="TextoNormal"/>
      </w:pPr>
      <w:r>
        <w:t>Los recurrentes consideran que la previsión legal de que el personal de las agencias sea personal contratado (en las agencias públicas empresariales), o pueda ser tanto funcionario como personal laboral (en las agencias de régimen especial), vulnera la preferencia constitucional por el régimen funcionarial.</w:t>
      </w:r>
    </w:p>
    <w:p w:rsidR="00AC56D6" w:rsidRDefault="00AC56D6" w:rsidP="00AC56D6">
      <w:pPr>
        <w:pStyle w:val="TextoNormal"/>
      </w:pPr>
    </w:p>
    <w:p w:rsidR="00AC56D6" w:rsidRDefault="00AC56D6" w:rsidP="00AC56D6">
      <w:pPr>
        <w:pStyle w:val="TextoNormal"/>
      </w:pPr>
      <w:r>
        <w:t>Ciertamente, en la STC 99/1987, de 11 de junio, FJ 3, destacamos “la opción genérica de la Constitución (arts. 103.3 y 149.1.18) en favor de un régimen estatutario para los servidores públicos y … la consiguiente exigencia de que las normas que permitan excepcionar tal previsión constitucional sean dispuestas por el legislador, garantizándose, de este modo, una efectiva sujeción de los órganos administrativos, a la hora de decidir qué puestos concretos de trabajo puedan ser cubiertos por quienes no posean la condición de funcionario”.</w:t>
      </w:r>
    </w:p>
    <w:p w:rsidR="00AC56D6" w:rsidRDefault="00AC56D6" w:rsidP="00AC56D6">
      <w:pPr>
        <w:pStyle w:val="TextoNormal"/>
      </w:pPr>
    </w:p>
    <w:p w:rsidR="00AC56D6" w:rsidRDefault="00AC56D6" w:rsidP="00AC56D6">
      <w:pPr>
        <w:pStyle w:val="TextoNormal"/>
      </w:pPr>
      <w:r>
        <w:t xml:space="preserve">Ahora bien, el art. 74.1 de la Ley 9/2007 no establece una preferencia por el régimen laboral del personal al servicio de las agencias andaluzas. El precepto enuncia dos normas: una regla general de autorización indistinta de personal tanto funcionario como contratado </w:t>
      </w:r>
      <w:r>
        <w:lastRenderedPageBreak/>
        <w:t>en las agencias de régimen especial y una regla especial que reserva al personal funcionario las funciones que impliquen ejercicio de autoridad. No existe por tanto una indiscriminada apertura legal de los puestos de trabajo de las agencias de régimen especial al personal contratado, como parecen argumentar los recurrentes, sino una mera constatación de que en las agencias andaluzas pueden prestar servicios dos tipos de personal, funcionarial y contratado, que se regirán en cada caso por sus propias normas reguladoras. Nada distinto ocurre en el resto de las Administraciones públicas.</w:t>
      </w:r>
    </w:p>
    <w:p w:rsidR="00AC56D6" w:rsidRDefault="00AC56D6" w:rsidP="00AC56D6">
      <w:pPr>
        <w:pStyle w:val="TextoNormal"/>
      </w:pPr>
    </w:p>
    <w:p w:rsidR="00AC56D6" w:rsidRDefault="00AC56D6" w:rsidP="00AC56D6">
      <w:pPr>
        <w:pStyle w:val="TextoNormal"/>
      </w:pPr>
      <w:r>
        <w:t>En suma, si los preceptos impugnados no establecen una preferencia por el régimen laboral del personal al servicio de las agencias andaluzas, difícilmente pueden vulnerar esos preceptos la preferencia por el régimen funcionarial que alegan los recurrentes. Al faltar la premisa lógica en la que se sustenta la tacha de inconstitucionalidad alegada, la resolución de la presente impugnación no requiere que entremos a examinar el fundamento y el contenido de la preferencia constitucional por el régimen funcionarial que alegan los recurrentes.</w:t>
      </w:r>
    </w:p>
    <w:p w:rsidR="00AC56D6" w:rsidRDefault="00AC56D6" w:rsidP="00AC56D6">
      <w:pPr>
        <w:pStyle w:val="TextoNormal"/>
      </w:pPr>
    </w:p>
    <w:p w:rsidR="00AC56D6" w:rsidRDefault="00AC56D6" w:rsidP="00AC56D6">
      <w:pPr>
        <w:pStyle w:val="TextoNormal"/>
      </w:pPr>
      <w:r>
        <w:t>Por todo ello, debemos desestimar la impugnación de los arts. 70.1 y 74.1 de la Ley 9/2007 en la redacción dada por los arts. 1.2.10 y 1.2.12 de la Ley 1/2011.</w:t>
      </w:r>
    </w:p>
    <w:p w:rsidR="00AC56D6" w:rsidRDefault="00AC56D6" w:rsidP="00AC56D6">
      <w:pPr>
        <w:pStyle w:val="TextoNormal"/>
      </w:pPr>
    </w:p>
    <w:p w:rsidR="00AC56D6" w:rsidRDefault="00AC56D6" w:rsidP="00AC56D6">
      <w:pPr>
        <w:pStyle w:val="TextoNormal"/>
      </w:pPr>
      <w:r w:rsidRPr="00AC56D6">
        <w:rPr>
          <w:rStyle w:val="NumeroAFNegritaCaracter"/>
        </w:rPr>
        <w:t>8</w:t>
      </w:r>
      <w:r>
        <w:t>. En sexto lugar, los recurrentes imputan a la disposición adicional cuarta y a los preceptos que son concordantes con ella (arts. 3, 4, 5, 6, 7, 8, 9, 10, 11, 12, 18, 19, 20, 21, 22, 23 y 24) la lesión del contenido esencial de los derechos fundamentales reconocidos en los arts. 14 y 23.2 CE, por no determinar el régimen de integración del personal que se ve afectado por la reordenación del sector público andaluz. Junto al reproche genérico se dirigen otros más específicos contra aspectos concretos de la regulación.</w:t>
      </w:r>
    </w:p>
    <w:p w:rsidR="00AC56D6" w:rsidRDefault="00AC56D6" w:rsidP="00AC56D6">
      <w:pPr>
        <w:pStyle w:val="TextoNormal"/>
      </w:pPr>
    </w:p>
    <w:p w:rsidR="00AC56D6" w:rsidRDefault="00AC56D6" w:rsidP="00AC56D6">
      <w:pPr>
        <w:pStyle w:val="TextoNormal"/>
      </w:pPr>
      <w:r>
        <w:t>Antes de analizar la impugnación principal debemos realizar algunas precisiones sobre el objeto de impugnación y sobre el canon que debemos aplicar.</w:t>
      </w:r>
    </w:p>
    <w:p w:rsidR="00AC56D6" w:rsidRDefault="00AC56D6" w:rsidP="00AC56D6">
      <w:pPr>
        <w:pStyle w:val="TextoNormal"/>
      </w:pPr>
    </w:p>
    <w:p w:rsidR="00AC56D6" w:rsidRDefault="00AC56D6" w:rsidP="00AC56D6">
      <w:pPr>
        <w:pStyle w:val="TextoNormal"/>
      </w:pPr>
      <w:r>
        <w:t>a) Aunque los recurrentes impugnan los referidos diecisiete artículos y la disposición adicional cuarta, en realidad es en esta disposición donde se sitúa la pretendida vulneración. Los arts. 3 a 12 y 18 a 24 se limitan a autorizar bien la creación de nuevas agencias públicas empresariales o de régimen especial, bien la conversión en tales agencias de diversas entidades u organismos preexistentes, y determinan su personalidad jurídica, adscripción, régimen jurídico, fines, recursos económicos y subrogación en las relaciones jurídicas, bienes, derechos y obligaciones de los que eran titulares las entidades convertidas o los organismos llamados a extinguirse con la creación de las nuevas agencias.</w:t>
      </w:r>
    </w:p>
    <w:p w:rsidR="00AC56D6" w:rsidRDefault="00AC56D6" w:rsidP="00AC56D6">
      <w:pPr>
        <w:pStyle w:val="TextoNormal"/>
      </w:pPr>
    </w:p>
    <w:p w:rsidR="00AC56D6" w:rsidRDefault="00AC56D6" w:rsidP="00AC56D6">
      <w:pPr>
        <w:pStyle w:val="TextoNormal"/>
      </w:pPr>
      <w:r>
        <w:t>Las reglas relativas a la integración del personal funcionario o laboral en las agencias de régimen especial o públicas empresariales o en la Administración autonómica se establecen propiamente en el apartado 1 de la disposición adicional cuarta. Nuestro enjuiciamiento ha de ceñirse por tanto a dicho apartado 1, que establece lo siguiente:</w:t>
      </w:r>
    </w:p>
    <w:p w:rsidR="00AC56D6" w:rsidRDefault="00AC56D6" w:rsidP="00AC56D6">
      <w:pPr>
        <w:pStyle w:val="TextoNormal"/>
      </w:pPr>
    </w:p>
    <w:p w:rsidR="00AC56D6" w:rsidRDefault="00AC56D6" w:rsidP="00AC56D6">
      <w:pPr>
        <w:pStyle w:val="TextoNormal"/>
      </w:pPr>
      <w:r>
        <w:t xml:space="preserve">“1. En los casos en que, como consecuencia de la reordenación del sector público andaluz, se produzca la supresión de centros directivos de Consejerías o la extinción de entidades instrumentales públicas o privadas en las que sea mayoritaria la representación y la participación directa o indirecta de la Administración de la Junta de Andalucía y sus agencias, la integración del personal en las agencias públicas empresariales o de régimen especial que asuman el objeto y fines de aquellas se realizará de acuerdo con un protocolo que se adoptará </w:t>
      </w:r>
      <w:r>
        <w:lastRenderedPageBreak/>
        <w:t>por la Consejería competente en materia de Administración Pública y que aplicará las siguientes reglas:</w:t>
      </w:r>
    </w:p>
    <w:p w:rsidR="00AC56D6" w:rsidRDefault="00AC56D6" w:rsidP="00AC56D6">
      <w:pPr>
        <w:pStyle w:val="TextoNormal"/>
      </w:pPr>
    </w:p>
    <w:p w:rsidR="00AC56D6" w:rsidRDefault="00AC56D6" w:rsidP="00AC56D6">
      <w:pPr>
        <w:pStyle w:val="TextoNormal"/>
      </w:pPr>
      <w:r>
        <w:t>a) Al personal funcionario que se integre orgánicamente en una agencia de régimen especial o se adscriba funcionalmente a una agencia pública empresarial le será de aplicación el Acuerdo de Condiciones de Trabajo del Personal Funcionario de la Junta de Andalucía.</w:t>
      </w:r>
    </w:p>
    <w:p w:rsidR="00AC56D6" w:rsidRDefault="00AC56D6" w:rsidP="00AC56D6">
      <w:pPr>
        <w:pStyle w:val="TextoNormal"/>
      </w:pPr>
    </w:p>
    <w:p w:rsidR="00AC56D6" w:rsidRDefault="00AC56D6" w:rsidP="00AC56D6">
      <w:pPr>
        <w:pStyle w:val="TextoNormal"/>
      </w:pPr>
      <w:r>
        <w:t>La integración del personal funcionario en una agencia pública empresarial será voluntaria. El tipo de contrato y las condiciones de este personal se negociarán con las organizaciones sindicales más representativas. El personal funcionario que se integre como laboral quedará en sus cuerpos en la situación administrativa de excedencia voluntaria por prestación de servicios en el sector público andaluz. En caso contrario permanecerá en servicio activo.</w:t>
      </w:r>
    </w:p>
    <w:p w:rsidR="00AC56D6" w:rsidRDefault="00AC56D6" w:rsidP="00AC56D6">
      <w:pPr>
        <w:pStyle w:val="TextoNormal"/>
      </w:pPr>
    </w:p>
    <w:p w:rsidR="00AC56D6" w:rsidRDefault="00AC56D6" w:rsidP="00AC56D6">
      <w:pPr>
        <w:pStyle w:val="TextoNormal"/>
      </w:pPr>
      <w:r>
        <w:t>Al personal funcionario que se integre en una agencia pública empresarial como personal laboral se le considerará como mérito el trabajo desarrollado en la misma cuando participe en convocatorias de concursos de méritos para la provisión de puestos de trabajo en la Administración General de la Junta de Andalucía.</w:t>
      </w:r>
    </w:p>
    <w:p w:rsidR="00AC56D6" w:rsidRDefault="00AC56D6" w:rsidP="00AC56D6">
      <w:pPr>
        <w:pStyle w:val="TextoNormal"/>
      </w:pPr>
    </w:p>
    <w:p w:rsidR="00AC56D6" w:rsidRDefault="00AC56D6" w:rsidP="00AC56D6">
      <w:pPr>
        <w:pStyle w:val="TextoNormal"/>
      </w:pPr>
      <w:r>
        <w:t>A dicho personal se le reconocerá por la agencia de destino el tiempo de servicios prestados en la Administración a efectos de la retribución que le corresponda por antigüedad.</w:t>
      </w:r>
    </w:p>
    <w:p w:rsidR="00AC56D6" w:rsidRDefault="00AC56D6" w:rsidP="00AC56D6">
      <w:pPr>
        <w:pStyle w:val="TextoNormal"/>
      </w:pPr>
    </w:p>
    <w:p w:rsidR="00AC56D6" w:rsidRDefault="00AC56D6" w:rsidP="00AC56D6">
      <w:pPr>
        <w:pStyle w:val="TextoNormal"/>
      </w:pPr>
      <w:r>
        <w:t>Asimismo, cuando reingrese al servicio activo, el tiempo de permanencia en la agencia se le computará a efectos de reconocimiento de trienios y, en su caso, se le considerará en su carrera profesional.</w:t>
      </w:r>
    </w:p>
    <w:p w:rsidR="00AC56D6" w:rsidRDefault="00AC56D6" w:rsidP="00AC56D6">
      <w:pPr>
        <w:pStyle w:val="TextoNormal"/>
      </w:pPr>
    </w:p>
    <w:p w:rsidR="00AC56D6" w:rsidRDefault="00AC56D6" w:rsidP="00AC56D6">
      <w:pPr>
        <w:pStyle w:val="TextoNormal"/>
      </w:pPr>
      <w:r>
        <w:t>b) El personal laboral procedente de las entidades instrumentales suprimidas se integrará en la nueva entidad resultante de acuerdo con las normas reguladoras de la sucesión de empresas, en las condiciones que establezca el citado protocolo de integración, y tendrá la consideración de personal laboral de la agencia pública empresarial o de la agencia de régimen especial. El acceso, en su caso, de este personal a la condición de personal funcionario o laboral de la Administración General de la Junta de Andalucía solo podrá efectuarse mediante la participación en las correspondientes pruebas selectivas de acceso libre convocadas en ejecución de las ofertas de empleo público.</w:t>
      </w:r>
    </w:p>
    <w:p w:rsidR="00AC56D6" w:rsidRDefault="00AC56D6" w:rsidP="00AC56D6">
      <w:pPr>
        <w:pStyle w:val="TextoNormal"/>
      </w:pPr>
    </w:p>
    <w:p w:rsidR="00AC56D6" w:rsidRDefault="00AC56D6" w:rsidP="00AC56D6">
      <w:pPr>
        <w:pStyle w:val="TextoNormal"/>
      </w:pPr>
      <w:r>
        <w:t>c) La integración del personal laboral de la Administración General de la Junta de Andalucía en una agencia pública empresarial será voluntaria. Este personal mantendrá su condición de personal laboral de dicha Administración, siéndole de aplicación el Convenio Colectivo del Personal Laboral de la Administración de la Junta de Andalucía hasta que exista un nuevo convenio colectivo. En dicho momento pasará a la situación del tipo de excedencia que determine el convenio colectivo de procedencia.</w:t>
      </w:r>
    </w:p>
    <w:p w:rsidR="00AC56D6" w:rsidRDefault="00AC56D6" w:rsidP="00AC56D6">
      <w:pPr>
        <w:pStyle w:val="TextoNormal"/>
      </w:pPr>
    </w:p>
    <w:p w:rsidR="00AC56D6" w:rsidRDefault="00AC56D6" w:rsidP="00AC56D6">
      <w:pPr>
        <w:pStyle w:val="TextoNormal"/>
      </w:pPr>
      <w:r>
        <w:t>Al personal laboral procedente de la Administración General de la Junta de Andalucía que se integre en una agencia pública empresarial se le valorará como experiencia laboral el trabajo desarrollado en la misma cuando participe en convocatorias de concursos de traslados para la provisión de puestos de trabajo o promoción interna en la Administración General de la Junta de Andalucía.</w:t>
      </w:r>
    </w:p>
    <w:p w:rsidR="00AC56D6" w:rsidRDefault="00AC56D6" w:rsidP="00AC56D6">
      <w:pPr>
        <w:pStyle w:val="TextoNormal"/>
      </w:pPr>
    </w:p>
    <w:p w:rsidR="00AC56D6" w:rsidRDefault="00AC56D6" w:rsidP="00AC56D6">
      <w:pPr>
        <w:pStyle w:val="TextoNormal"/>
      </w:pPr>
      <w:r>
        <w:lastRenderedPageBreak/>
        <w:t>A dicho personal se le reconocerá por la agencia de destino el tiempo de servicios prestados en la Administración a efectos de la retribución que le corresponda por antigüedad.</w:t>
      </w:r>
    </w:p>
    <w:p w:rsidR="00AC56D6" w:rsidRDefault="00AC56D6" w:rsidP="00AC56D6">
      <w:pPr>
        <w:pStyle w:val="TextoNormal"/>
      </w:pPr>
    </w:p>
    <w:p w:rsidR="00AC56D6" w:rsidRDefault="00AC56D6" w:rsidP="00AC56D6">
      <w:pPr>
        <w:pStyle w:val="TextoNormal"/>
      </w:pPr>
      <w:r>
        <w:t>Asimismo, cuando reingrese al servicio activo en la Administración General de la Junta de Andalucía, el tiempo de permanencia en la agencia se le computará a efectos de reconocimiento de antigüedad y, en su caso, se le considerará en su carrera profesional.</w:t>
      </w:r>
    </w:p>
    <w:p w:rsidR="00AC56D6" w:rsidRDefault="00AC56D6" w:rsidP="00AC56D6">
      <w:pPr>
        <w:pStyle w:val="TextoNormal"/>
      </w:pPr>
    </w:p>
    <w:p w:rsidR="00AC56D6" w:rsidRDefault="00AC56D6" w:rsidP="00AC56D6">
      <w:pPr>
        <w:pStyle w:val="TextoNormal"/>
      </w:pPr>
      <w:r>
        <w:t>d) El personal laboral de las agencias de régimen especial procedente de la Administración General de la Junta de Andalucía se integra orgánicamente, manteniendo su condición de personal laboral de dicha Administración, siéndole de aplicación el Convenio Colectivo del Personal Laboral de la Administración de la Junta de Andalucía.</w:t>
      </w:r>
    </w:p>
    <w:p w:rsidR="00AC56D6" w:rsidRDefault="00AC56D6" w:rsidP="00AC56D6">
      <w:pPr>
        <w:pStyle w:val="TextoNormal"/>
      </w:pPr>
    </w:p>
    <w:p w:rsidR="00AC56D6" w:rsidRDefault="00AC56D6" w:rsidP="00AC56D6">
      <w:pPr>
        <w:pStyle w:val="TextoNormal"/>
      </w:pPr>
      <w:r>
        <w:t>e) Los convenios colectivos, así como los acuerdos derivados de la interpretación de los mismos, aplicables a las entidades extinguidas o transformadas y a la Administración General de la Junta de Andalucía seguirán rigiendo los derechos y obligaciones del personal laboral procedente de dichas entidades o de la citada Administración, en tanto se apruebe un nuevo convenio aplicable al mismo, sin perjuicio de lo establecido en la letra d de este apartado.</w:t>
      </w:r>
    </w:p>
    <w:p w:rsidR="00AC56D6" w:rsidRDefault="00AC56D6" w:rsidP="00AC56D6">
      <w:pPr>
        <w:pStyle w:val="TextoNormal"/>
      </w:pPr>
    </w:p>
    <w:p w:rsidR="00AC56D6" w:rsidRDefault="00AC56D6" w:rsidP="00AC56D6">
      <w:pPr>
        <w:pStyle w:val="TextoNormal"/>
      </w:pPr>
      <w:r>
        <w:t>f) La masa salarial del personal laboral al servicio de la nueva entidad no podrá superar, como consecuencia de la reordenación regulada por esta Ley, la del personal de las entidades que se extingan o se transformen.</w:t>
      </w:r>
    </w:p>
    <w:p w:rsidR="00AC56D6" w:rsidRDefault="00AC56D6" w:rsidP="00AC56D6">
      <w:pPr>
        <w:pStyle w:val="TextoNormal"/>
      </w:pPr>
    </w:p>
    <w:p w:rsidR="00AC56D6" w:rsidRDefault="00AC56D6" w:rsidP="00AC56D6">
      <w:pPr>
        <w:pStyle w:val="TextoNormal"/>
      </w:pPr>
      <w:r>
        <w:t>g) El referido protocolo de integración se aprobará previa consulta y negociación con los órganos de representación del personal y se someterá a informe de los órganos correspondientes de la Consejería competente en materia de Hacienda.”</w:t>
      </w:r>
    </w:p>
    <w:p w:rsidR="00AC56D6" w:rsidRDefault="00AC56D6" w:rsidP="00AC56D6">
      <w:pPr>
        <w:pStyle w:val="TextoNormal"/>
      </w:pPr>
    </w:p>
    <w:p w:rsidR="00AC56D6" w:rsidRDefault="00AC56D6" w:rsidP="00AC56D6">
      <w:pPr>
        <w:pStyle w:val="TextoNormal"/>
      </w:pPr>
      <w:r>
        <w:t>b) A continuación debemos precisar el ámbito de aplicación de los arts. 14 y 23.2 CE invocados por los recurrentes y cuál es el canon que dimana de esos preceptos.</w:t>
      </w:r>
    </w:p>
    <w:p w:rsidR="00AC56D6" w:rsidRDefault="00AC56D6" w:rsidP="00AC56D6">
      <w:pPr>
        <w:pStyle w:val="TextoNormal"/>
      </w:pPr>
    </w:p>
    <w:p w:rsidR="00AC56D6" w:rsidRDefault="00AC56D6" w:rsidP="00AC56D6">
      <w:pPr>
        <w:pStyle w:val="TextoNormal"/>
      </w:pPr>
      <w:r>
        <w:t>Aunque en el recurso, junto al art. 23.2 CE, se invoca también el art. 14 CE, ha de recordarse que, de acuerdo con una reiterada doctrina constitucional emanada en procesos de amparo y que es extensible a los procesos de inconstitucionalidad, “cuando la queja por desigualdad se plantea respecto de los supuestos comprendidos en el art. 23.2 CE no es necesaria la invocación del art. 14 CE, porque el propio art. 23.2 CE especifica el derecho a la igualdad en el acceso a las funciones y cargos públicos y es éste, por tanto, el precepto que habrá de ser considerado de modo directo para apreciar si el acto o la resolución impugnados han desconocido el principio de igualdad” (SSTC 24/1989, de 2 de febrero, FJ 2; 154/2003, de 17 de julio, FJ 5, y 192/2007, de 10 de septiembre, FJ 3); cuando menos, siempre que la diferenciación no se deba a algunos de los criterios de discriminación expresamente impedidos por el art. 14 CE.</w:t>
      </w:r>
    </w:p>
    <w:p w:rsidR="00AC56D6" w:rsidRDefault="00AC56D6" w:rsidP="00AC56D6">
      <w:pPr>
        <w:pStyle w:val="TextoNormal"/>
      </w:pPr>
    </w:p>
    <w:p w:rsidR="00AC56D6" w:rsidRDefault="00AC56D6" w:rsidP="00AC56D6">
      <w:pPr>
        <w:pStyle w:val="TextoNormal"/>
      </w:pPr>
      <w:r>
        <w:t>El ámbito subjetivo y objetivo de aplicación del art. 23.2 CE, el contenido del derecho fundamental reconocido en dicho precepto y el canon de enjuiciamiento aplicable a las injerencias en ese derecho, conforme a nuestra jurisprudencia, pueden sintetizarse en los siguientes puntos:</w:t>
      </w:r>
    </w:p>
    <w:p w:rsidR="00AC56D6" w:rsidRDefault="00AC56D6" w:rsidP="00AC56D6">
      <w:pPr>
        <w:pStyle w:val="TextoNormal"/>
      </w:pPr>
    </w:p>
    <w:p w:rsidR="00AC56D6" w:rsidRDefault="00AC56D6" w:rsidP="00AC56D6">
      <w:pPr>
        <w:pStyle w:val="TextoNormal"/>
      </w:pPr>
      <w:r>
        <w:lastRenderedPageBreak/>
        <w:t>— En primer lugar, el derecho fundamental reconocido en el art. 23.2 CE no solo se proyecta sobre los cargos de representación política sino también sobre los funcionariales (STC 30/2008, de 25 de febrero, FJ 5). En cambio, no es aplicable al personal laboral o al personal que se rija bajo otra forma contractual.</w:t>
      </w:r>
    </w:p>
    <w:p w:rsidR="00AC56D6" w:rsidRDefault="00AC56D6" w:rsidP="00AC56D6">
      <w:pPr>
        <w:pStyle w:val="TextoNormal"/>
      </w:pPr>
    </w:p>
    <w:p w:rsidR="00AC56D6" w:rsidRDefault="00AC56D6" w:rsidP="00AC56D6">
      <w:pPr>
        <w:pStyle w:val="TextoNormal"/>
      </w:pPr>
      <w:r>
        <w:t>— En segundo lugar, el art. 23.2 CE no garantiza la igualdad durante toda la vigencia de la relación funcionarial, sino en situaciones muy precisas dentro de esa relación: en el acceso a la función pública, en la promoción y la carrera profesional, y en el momento del cese. En efecto, según nuestra jurisprudencia el art. 23.2 CE es aplicable, además de en los procedimientos de acceso, a la carrera administrativa y a los actos relativos a la propia provisión de puestos de trabajo (SSTC 192/1991, de 14 de octubre, FJ 4; 365/1993, de 13 de diciembre, FJ 7, y 156/1998, de 13 de junio, FJ 3).</w:t>
      </w:r>
    </w:p>
    <w:p w:rsidR="00AC56D6" w:rsidRDefault="00AC56D6" w:rsidP="00AC56D6">
      <w:pPr>
        <w:pStyle w:val="TextoNormal"/>
      </w:pPr>
    </w:p>
    <w:p w:rsidR="00AC56D6" w:rsidRDefault="00AC56D6" w:rsidP="00AC56D6">
      <w:pPr>
        <w:pStyle w:val="TextoNormal"/>
      </w:pPr>
      <w:r>
        <w:t>En aplicación de dicho criterio hemos admitido que cabe alegar la vulneración del art. 23.2 CE en la integración de los antiguos profesores agregados en el cuerpo de Catedráticos de universidad (STC 148/1986, de 25 de noviembre, FFJJ 8-10), en los procedimientos de libre designación (STC 221/2004, de 29 de noviembre, FJ 3), en los concursos de traslados (STC 30/2008, de 25 de febrero, FJ 5) o respecto a las condiciones de incorporación a una nueva escala única fijadas por el legislador competente, incorporación que si bien resulta automática para los que provienen de la escala superior se encuentra supeditada a la superación de un curso de formación para los que procedan de la escala inferior (STC 38/2014, de 11 de marzo, FJ 6).</w:t>
      </w:r>
    </w:p>
    <w:p w:rsidR="00AC56D6" w:rsidRDefault="00AC56D6" w:rsidP="00AC56D6">
      <w:pPr>
        <w:pStyle w:val="TextoNormal"/>
      </w:pPr>
    </w:p>
    <w:p w:rsidR="00AC56D6" w:rsidRDefault="00AC56D6" w:rsidP="00AC56D6">
      <w:pPr>
        <w:pStyle w:val="TextoNormal"/>
      </w:pPr>
      <w:r>
        <w:t>Igualmente hemos declarado que el art. 23.2 CE es aplicable a las normas que regulan el cese en la condición de funcionario (STC 73/1994, de 3 de marzo, FJ 2).</w:t>
      </w:r>
    </w:p>
    <w:p w:rsidR="00AC56D6" w:rsidRDefault="00AC56D6" w:rsidP="00AC56D6">
      <w:pPr>
        <w:pStyle w:val="TextoNormal"/>
      </w:pPr>
    </w:p>
    <w:p w:rsidR="00AC56D6" w:rsidRDefault="00AC56D6" w:rsidP="00AC56D6">
      <w:pPr>
        <w:pStyle w:val="TextoNormal"/>
      </w:pPr>
      <w:r>
        <w:t xml:space="preserve">— En tercer lugar, el art. 23.2 CE no confiere derecho sustantivo alguno a la ocupación de cargos ni a desempeñar funciones determinadas (STC 353/1993, de 29 de noviembre, FJ 6), sino que proporciona a los ciudadanos una importante serie de garantías en relación con los procesos de acceso a la función pública (STC 30/2008, de 25 de febrero, FJ 5). En este momento interesa destacar las garantías que rigen </w:t>
      </w:r>
      <w:r w:rsidRPr="00AC56D6">
        <w:rPr>
          <w:i/>
        </w:rPr>
        <w:t>ex ante</w:t>
      </w:r>
      <w:r>
        <w:t>, esto es, en el establecimiento de los requisitos de acceso a la función pública: por un lado, la predeterminación normativa del procedimiento de acceso como garantía del principio de igualdad; por otro lado, la igualdad material en las normas que regulen los procedimientos selectivos.</w:t>
      </w:r>
    </w:p>
    <w:p w:rsidR="00AC56D6" w:rsidRDefault="00AC56D6" w:rsidP="00AC56D6">
      <w:pPr>
        <w:pStyle w:val="TextoNormal"/>
      </w:pPr>
    </w:p>
    <w:p w:rsidR="00AC56D6" w:rsidRDefault="00AC56D6" w:rsidP="00AC56D6">
      <w:pPr>
        <w:pStyle w:val="TextoNormal"/>
      </w:pPr>
      <w:r>
        <w:t xml:space="preserve">Mediante la exigencia de predeterminación normativa se garantiza que sea la ley —sin perjuicio de que pueda requerir la colaboración del reglamento en esta tarea— la que determine con carácter general los requisitos de acceso al empleo público o —aunque con un rigor y una intensidad inferiores, como indicaremos después— de promoción interna e integración en organismos distintos, impidiendo con ello que la Administración pueda exigir requisitos distintos de los previstos con carácter general por la ley —o por el reglamento que los desarrolle— y establecer de este modo diferencias que quiebren el criterio igualitario previsto en la norma general. En la STC 138/2000, de 29 de mayo, FJ 6 a), señalamos lo siguiente: “la Constitución reserva a la Ley y, en todo caso, al principio de legalidad, entendido como existencia de norma jurídica previa, la regulación de las condiciones de ejercicio del derecho, lo que entraña una garantía de orden material que se traduce en la imperativa exigencia de predeterminar cuáles hayan de ser las condiciones para acceder a la función pública de conformidad con los principios constitucionales de igualdad, mérito y capacidad, </w:t>
      </w:r>
      <w:r>
        <w:lastRenderedPageBreak/>
        <w:t>que sólo pueden preservarse y, aun antes, establecerse mediante la intervención positiva del legislador, resultando esta exigencia más patente y de mayor rigor e intensidad en el caso de acceso a la función pública que cuando, dentro ya de la misma, se trata del desarrollo y promoción de la carrera administrativa. Una verdadera predeterminación ha de asegurar que el órgano administrativo encargado de valorar a los candidatos no pueda actuar con un indiscriminado arbitrio, sino con el prudente y razonable que requiere el art. 23.2 CE, lo cual, por otra parte, es lo que hace posible, en su caso, el ulterior control jurisdiccional, puesto que el Juez —que lo es de la legalidad— tendrá así un criterio con el que contrastar si la actuación administrativa se ha ajustado o no a las condiciones de igualdad, mérito y capacidad previamente establecidas” [doctrina reiterada en la STC 30/2008, FJ 6 a)].</w:t>
      </w:r>
    </w:p>
    <w:p w:rsidR="00AC56D6" w:rsidRDefault="00AC56D6" w:rsidP="00AC56D6">
      <w:pPr>
        <w:pStyle w:val="TextoNormal"/>
      </w:pPr>
    </w:p>
    <w:p w:rsidR="00AC56D6" w:rsidRDefault="00AC56D6" w:rsidP="00AC56D6">
      <w:pPr>
        <w:pStyle w:val="TextoNormal"/>
      </w:pPr>
      <w:r>
        <w:t>Y la exigencia de igualdad material en la ley supone que “las normas reguladoras del proceso selectivo han de asegurar a los ciudadanos una situación jurídica de igualdad en el acceso a las funciones públicas, con la inmediata interdicción de requisitos de acceso que tengan carácter discriminatorio (SSTC 193/1987, de 9 de diciembre, 47/1990, de 20 de marzo, o 353/1993, de 29 de noviembre), o de referencias individualizadas (STC 67/1989, de 18 de abril)” [STC 30/2008, FJ 6 b)]. El art. 23.2 CE no proscribe toda desigualdad de trato, sino aquella en la que la diferencia introducida por la norma carece de una justificación objetiva y razonable y resulta desproporcionada (STC 46/1999, FJ 2).</w:t>
      </w:r>
    </w:p>
    <w:p w:rsidR="00AC56D6" w:rsidRDefault="00AC56D6" w:rsidP="00AC56D6">
      <w:pPr>
        <w:pStyle w:val="TextoNormal"/>
      </w:pPr>
    </w:p>
    <w:p w:rsidR="00AC56D6" w:rsidRDefault="00AC56D6" w:rsidP="00AC56D6">
      <w:pPr>
        <w:pStyle w:val="TextoNormal"/>
      </w:pPr>
      <w:r>
        <w:t>— En cuarto lugar, la densidad de nuestro canon de enjuiciamiento depende del tipo de decisiones sobre las que se proyecta. En el momento del acceso a la función pública no hay más canon que los principios constitucionales de mérito y capacidad, pero con posterioridad otros criterios pueden acompañar a dichos principios. En efecto, según nuestra jurisprudencia “es diferente el rigor e intensidad con que operan los principios de mérito y capacidad según se trate del inicial ingreso en la función pública o del ulterior desarrollo o promoción de la propia carrera administrativa, pues en el supuesto de provisión de puestos de trabajo entre personas que ya han accedido a la función pública y, por ende, acreditado los requisitos de mérito y capacidad, cabe tener en cuenta otros criterios distintos enderezados a lograr una mayor eficacia en la organización y prestación de los servicios públicos o a satisfacer otros bienes constitucionalmente protegidos (SSTC 192/1991 y 200/1991)” (STC 365/1993, FJ 7). Y en la STC 156/1998, de 13 de junio, señalamos que “al ser constitucionalmente legítimo que en materia de provisión de puestos de trabajo puedan valorarse criterios independientes de los que, en sentido estricto, derivarían del principio de igualdad que consagra el art. 23.2, y encontrarnos, por otra parte, ante un derecho que es de configuración legal (SSTC 24/1990, 25/1990, 26/1990, 149/1990), es al legislador al que corresponde determinar en qué casos pueden tomarse en consideración esos otros criterios; criterios que, como se han indicado, siempre que se encuentren justificados en la mejor prestación de los servicios o en la protección de otros bienes constitucionales y no introduzcan discriminaciones personales constitucionalmente proscritas, serán compatibles con el derecho fundamental que garantiza el art. 23.2 CE.” (FJ 3).</w:t>
      </w:r>
    </w:p>
    <w:p w:rsidR="00AC56D6" w:rsidRDefault="00AC56D6" w:rsidP="00AC56D6">
      <w:pPr>
        <w:pStyle w:val="TextoNormal"/>
      </w:pPr>
    </w:p>
    <w:p w:rsidR="00AC56D6" w:rsidRDefault="00AC56D6" w:rsidP="00AC56D6">
      <w:pPr>
        <w:pStyle w:val="TextoNormal"/>
      </w:pPr>
      <w:r>
        <w:t xml:space="preserve">En aplicación de dicha doctrina hemos considerado que son conformes con el art. 23.2 CE la previsión de un derecho de adjudicación preferente a favor de aquel que, por razón de su puesto de trabajo, reside en una localidad distinta a la de su cónyuge (SSTC 192/1991, de 14 de octubre, FJ 4; y 200/1981, de 28 de octubre, FJ 3), la decisión de una Administración autonómica de reservar la provisión de determinadas plazas para sus propios funcionarios (STC 156/1998, de 13 de junio, FJ 4) o el amplio margen de valoración característico </w:t>
      </w:r>
      <w:r>
        <w:lastRenderedPageBreak/>
        <w:t>de los procedimientos de libre designación en relación con las aptitudes de los candidatos para desempeñar un determinado puesto de trabajo (STC 221/2004, FJ 4).</w:t>
      </w:r>
    </w:p>
    <w:p w:rsidR="00AC56D6" w:rsidRDefault="00AC56D6" w:rsidP="00AC56D6">
      <w:pPr>
        <w:pStyle w:val="TextoNormal"/>
      </w:pPr>
    </w:p>
    <w:p w:rsidR="00AC56D6" w:rsidRDefault="00AC56D6" w:rsidP="00AC56D6">
      <w:pPr>
        <w:pStyle w:val="TextoNormal"/>
      </w:pPr>
      <w:r>
        <w:t>Asimismo nuestra jurisprudencia ha señalado que “el derecho a acceder en condiciones de igualdad a las funciones públicas consagrado en el art. 23.2 CE no sólo integra el derecho de acceso en tales condiciones y sin otro canon que los principios de mérito y capacidad, sino también el derecho al mantenimiento de la condición de funcionario y, en consecuencia, exige que las leyes que regulan el cese en la misma, sean generales, abstractas y, en principio, de similar alcance para todos los funcionarios, sin que puedan existir más diferencias al respecto que aquéllas que tengan una justificación objetiva y razonable” (STC 73/1994, FJ 2).</w:t>
      </w:r>
    </w:p>
    <w:p w:rsidR="00AC56D6" w:rsidRDefault="00AC56D6" w:rsidP="00AC56D6">
      <w:pPr>
        <w:pStyle w:val="TextoNormal"/>
      </w:pPr>
    </w:p>
    <w:p w:rsidR="00AC56D6" w:rsidRDefault="00AC56D6" w:rsidP="00AC56D6">
      <w:pPr>
        <w:pStyle w:val="TextoNormal"/>
      </w:pPr>
      <w:r>
        <w:t>c) Si bien las mencionadas garantías del art. 23.2 CE solo se dispensan a los ciudadanos que acceden a las funciones públicas que se ejercen a través de una relación de servicio con la Administración de carácter estatutario, nuestra jurisprudencia reconoce que el art. 14 CE también garantiza a los ciudadanos una situación jurídica de igualdad en el acceso al empleo público no funcionarial, con la consiguiente imposibilidad de establecer requisitos para acceder a él que tengan carácter discriminatorio (SSTC 86/2004, de 10 de mayo, FJ 4; 132/2005, de 23 de mayo, FJ 2; 38/2007, de 15 de febrero, FJ 8, y 128/2007, de 4 de junio, FJ 4). Protección que debe entenderse también aplicable a cualesquiera normas y actos que afecten al personal laboral durante la vigencia de la relación laboral que les vincula con la Administración.</w:t>
      </w:r>
    </w:p>
    <w:p w:rsidR="00AC56D6" w:rsidRDefault="00AC56D6" w:rsidP="00AC56D6">
      <w:pPr>
        <w:pStyle w:val="TextoNormal"/>
      </w:pPr>
    </w:p>
    <w:p w:rsidR="00AC56D6" w:rsidRDefault="00AC56D6" w:rsidP="00AC56D6">
      <w:pPr>
        <w:pStyle w:val="TextoNormal"/>
      </w:pPr>
      <w:r>
        <w:t>En suma, ya sea a partir del art. 23.2 CE o del art. 14 CE resulta aplicable un canon parcialmente equivalente de enjuiciamiento, con independencia del carácter funcionarial o laboral del personal afectado, en la medida en que la igualdad que garantiza el art. 23.2 CE en el acceso a las funciones públicas que desempeña el personal estatutario constituye una especificación del principio de igualdad que garantiza el art. 14 CE en el conjunto de las funciones públicas. A partir de ese canon común, quienes tengan la condición de funcionario disfrutan además de la protección que ofrece la garantía de la predeterminación normativa que consagra el art. 23.2 CE.</w:t>
      </w:r>
    </w:p>
    <w:p w:rsidR="00AC56D6" w:rsidRDefault="00AC56D6" w:rsidP="00AC56D6">
      <w:pPr>
        <w:pStyle w:val="TextoNormal"/>
      </w:pPr>
    </w:p>
    <w:p w:rsidR="00AC56D6" w:rsidRDefault="00AC56D6" w:rsidP="00AC56D6">
      <w:pPr>
        <w:pStyle w:val="TextoNormal"/>
      </w:pPr>
      <w:r w:rsidRPr="00AC56D6">
        <w:rPr>
          <w:rStyle w:val="NumeroAFNegritaCaracter"/>
        </w:rPr>
        <w:t>9</w:t>
      </w:r>
      <w:r>
        <w:t>. Una vez sentado lo anterior podemos aplicar el canon expuesto a la disposición adicional cuarta.</w:t>
      </w:r>
    </w:p>
    <w:p w:rsidR="00AC56D6" w:rsidRDefault="00AC56D6" w:rsidP="00AC56D6">
      <w:pPr>
        <w:pStyle w:val="TextoNormal"/>
      </w:pPr>
    </w:p>
    <w:p w:rsidR="00AC56D6" w:rsidRDefault="00AC56D6" w:rsidP="00AC56D6">
      <w:pPr>
        <w:pStyle w:val="TextoNormal"/>
      </w:pPr>
      <w:r>
        <w:t xml:space="preserve">a) En el presente caso no se trata de enjuiciar cómo se han aplicado las normas que regulan un determinado procedimiento de integración, sino de examinar la constitucionalidad de una serie de reglas generales y abstractas destinadas a regir un proceso complejo de integración de personal funcionario y contratado en agencias de nueva creación o surgidas de la adaptación de entidades instrumentales existentes. Dichas reglas no precisan los criterios concretos de integración pues todavía necesitan ser concretadas por la Administración en un protocolo, previa consulta y negociación con los órganos de representación del personal y tras recabar el informe de diversos órganos administrativos. Lo anterior no excluye, claro está, que si en la configuración final del procedimiento de integración o en su aplicación se tomaran en consideración circunstancias incompatibles con los principios de mérito y capacidad o se produjeran acepciones o pretericiones </w:t>
      </w:r>
      <w:r w:rsidRPr="00AC56D6">
        <w:rPr>
          <w:i/>
        </w:rPr>
        <w:t>ad personam</w:t>
      </w:r>
      <w:r>
        <w:t xml:space="preserve"> o cualquier otra quiebra re</w:t>
      </w:r>
      <w:r>
        <w:lastRenderedPageBreak/>
        <w:t>levante que lleve a la preterición de un aspirante, tales irregularidades podrán ser denunciadas por quien se sienta afectado, llegado el caso recabando el amparo de este Tribunal (STC 353/1993, FJ 6).</w:t>
      </w:r>
    </w:p>
    <w:p w:rsidR="00AC56D6" w:rsidRDefault="00AC56D6" w:rsidP="00AC56D6">
      <w:pPr>
        <w:pStyle w:val="TextoNormal"/>
      </w:pPr>
    </w:p>
    <w:p w:rsidR="00AC56D6" w:rsidRDefault="00AC56D6" w:rsidP="00AC56D6">
      <w:pPr>
        <w:pStyle w:val="TextoNormal"/>
      </w:pPr>
      <w:r>
        <w:t>Debemos comenzar afirmando que la doctrina expuesta en el fundamento jurídico 8 b) es aplicable a las normas que regulan la integración de funcionarios públicos en organismos públicos o entidades privadas distintos de los de su destino. Tales procesos tienen sobre los funcionarios un impacto similar a las normas que regulan la promoción interna e, incluso, a las que regulan el cese, si por ejemplo las normas de integración impusieran a determinados funcionarios la integración en una agencia en régimen de derecho laboral y el consiguiente pase a la situación administrativa de excedencia que corresponda, etc. En suma, dependiendo de su concreto contenido, las normas reguladoras de la integración de funcionarios en organismos distintos son susceptibles no solo de afectar a la situación jurídica de igualdad de los funcionarios al servicio de la Administración, sino también de incidir en el propio derecho al mantenimiento de la condición de funcionario. Por ello, completando nuestra doctrina sobre la materia debemos ahora declarar que el ámbito de protección del art. 23.2 CE también debe proyectarse sobre los procesos de integración de funcionarios en organismos públicos o entidades privadas distintos de los de su destino.</w:t>
      </w:r>
    </w:p>
    <w:p w:rsidR="00AC56D6" w:rsidRDefault="00AC56D6" w:rsidP="00AC56D6">
      <w:pPr>
        <w:pStyle w:val="TextoNormal"/>
      </w:pPr>
    </w:p>
    <w:p w:rsidR="00AC56D6" w:rsidRDefault="00AC56D6" w:rsidP="00AC56D6">
      <w:pPr>
        <w:pStyle w:val="TextoNormal"/>
      </w:pPr>
      <w:r>
        <w:t>En consecuencia, las leyes que regulen la integración de funcionarios deben ser generales, abstractas y, en principio, de similar alcance para todos los funcionarios, sin que puedan existir más diferencias al respecto que aquéllas que tengan una justificación objetiva y razonable. Solo así se satisfarán las exigencias de predeterminación normativa y de igualdad en la ley que derivan del art. 23.2 CE.</w:t>
      </w:r>
    </w:p>
    <w:p w:rsidR="00AC56D6" w:rsidRDefault="00AC56D6" w:rsidP="00AC56D6">
      <w:pPr>
        <w:pStyle w:val="TextoNormal"/>
      </w:pPr>
    </w:p>
    <w:p w:rsidR="00AC56D6" w:rsidRDefault="00AC56D6" w:rsidP="00AC56D6">
      <w:pPr>
        <w:pStyle w:val="TextoNormal"/>
      </w:pPr>
      <w:r>
        <w:t>Mediante la presente impugnación se ataca la integración en las nuevas agencias tanto de funcionarios como de personal contratado con arreglo a los arts. 23.2 y 14 CE, respectivamente. De acuerdo con nuestra jurisprudencia nuestro canon de enjuiciamiento consistirá en verificar si los criterios previstos en la disposición adicional cuarta están orientados a la consecución de la situación jurídica de igualdad que consagran los arts. 14 y 23.2 CE así como en comprobar, en la medida en que dichos criterios se refieren a la integración de funcionarios públicos, si esas normas cumplen además con la garantía de la predeterminación normativa que dimana del art. 23.2 CE, teniendo presente a este respecto que, al tratarse de procesos que afectan a quienes ya son funcionarios públicos, la garantía de predeterminación normativa del art. 23.2 CE debe aplicarse con menor rigor e intensidad que en relación con los procedimientos de acceso a las funciones públicas.</w:t>
      </w:r>
    </w:p>
    <w:p w:rsidR="00AC56D6" w:rsidRDefault="00AC56D6" w:rsidP="00AC56D6">
      <w:pPr>
        <w:pStyle w:val="TextoNormal"/>
      </w:pPr>
    </w:p>
    <w:p w:rsidR="00AC56D6" w:rsidRDefault="00AC56D6" w:rsidP="00AC56D6">
      <w:pPr>
        <w:pStyle w:val="TextoNormal"/>
      </w:pPr>
      <w:r>
        <w:t xml:space="preserve">b) Los recurrentes no alegan ningún indicio o elemento que permita fundamentar el juicio de que los criterios establecidos en la disposición adicional cuarta para la integración del personal funcionario o laboral en las nuevas agencias no sean constitucionalmente adecuados. En primer lugar, la disposición adicional cuarta cumple suficientemente la exigencia de predeterminación normativa que dimana del art. 23.2 CE, al determinar con carácter general y de forma previa los requisitos de integración de los funcionarios públicos en las nuevas agencias que deberá aplicar la Administración. En segundo lugar, las reglas que se establecen en la disposición adicional cuarta son objetivas, no tienen en cuenta situaciones individuales ni incluyen referencias individualizadas o </w:t>
      </w:r>
      <w:r w:rsidRPr="00AC56D6">
        <w:rPr>
          <w:i/>
        </w:rPr>
        <w:t>ad personam</w:t>
      </w:r>
      <w:r>
        <w:t xml:space="preserve"> y no abren la puerta a la asignación de puestos de trabajo con desprecio de los principios de mérito y capacidad. En definitiva, no se aprecia norma alguna capaz de quebrar la igualdad o que se desvíe de </w:t>
      </w:r>
      <w:r>
        <w:lastRenderedPageBreak/>
        <w:t>la consecución de la situación jurídica de igualdad de los empleados públicos (funcionarios y contratados) respecto a la integración en las nuevas agencias. Por ello, debemos rechazar la impugnación genérica, por vulneración de los arts. 14 y 23.2 CE, que se formula contra la disposición adicional cuarta.</w:t>
      </w:r>
    </w:p>
    <w:p w:rsidR="00AC56D6" w:rsidRDefault="00AC56D6" w:rsidP="00AC56D6">
      <w:pPr>
        <w:pStyle w:val="TextoNormal"/>
      </w:pPr>
    </w:p>
    <w:p w:rsidR="00AC56D6" w:rsidRDefault="00AC56D6" w:rsidP="00AC56D6">
      <w:pPr>
        <w:pStyle w:val="TextoNormal"/>
      </w:pPr>
      <w:r>
        <w:t>c) De forma específica los recurrentes alegan vulneración del principio de igualdad por el pretendido trato desigual ofrecido a quienes voluntariamente se integren en las nuevas agencias frente a quienes no se integren, o a quienes se integren voluntariamente en unas agencias frente a los que se integren en otras. El canon de la igualdad en la ley dimana tanto del art. 23.2 CE como del art. 14 CE, por lo que resulta aplicable por igual al personal funcionario y al personal contratado. Sin embargo, el reproche debe ser descartado, además de por la insuficiente argumentación en que se sustenta, básicamente porque las normas impugnadas tienen como destinatarios a quienes deciden integrarse en las nuevas agencias, lo que supone un criterio objetivo y no arbitrario y un estatus claramente diferenciado respecto a quienes deciden no hacerlo. No pueden utilizarse ambas situaciones como términos a comparar e igualar, pues no se puede dar carácter general y prevalente a unas normas singulares dictadas para un grupo de personas, funcionarios o personal laboral, al servicio de unos determinados entes públicos frente a quienes o no gozan de esta condición y se rigen por otra normativa diferente, o aun gozando de la misma condición deciden no integrarse en aquéllos. Tampoco existe diferencia de trato proscrito por la Constitución si la diferencia de trato obedece al tipo de agencia en el que los empleados públicos se integran. El legislador tiene que atender debidamente la diversidad de situaciones para el buen fin del proceso de reorganización administrativa, lo que obliga a ofrecer tratamientos singulares y distintos por su misma naturaleza a quienes deciden integrarse en unas y otras agencias: todo ello, como afirmamos en la STC 148/1990, de 1 de octubre, FJ 3, “impide establecer entre ellos un igualitarismo jurídico sobre un determinado punto, ignorando las diferencias y desigualdades que en sus amplias y complejas configuraciones jurídicas existen”.</w:t>
      </w:r>
    </w:p>
    <w:p w:rsidR="00AC56D6" w:rsidRDefault="00AC56D6" w:rsidP="00AC56D6">
      <w:pPr>
        <w:pStyle w:val="TextoNormal"/>
      </w:pPr>
    </w:p>
    <w:p w:rsidR="00AC56D6" w:rsidRDefault="00AC56D6" w:rsidP="00AC56D6">
      <w:pPr>
        <w:pStyle w:val="TextoNormal"/>
      </w:pPr>
      <w:r>
        <w:t>Por las mismas razones debemos descartar la pretendida desigualdad —ahora en sentido inverso, esto es, en detrimento de quienes se integren en las nuevas agencias— que se provocará en el futuro, según los recurrentes, debido a la homogeneización de salarios que se derivaría de la letra f) de la disposición adicional cuarta. Por lo demás, dicha letra f) se limita en realidad a establecer que la masa salarial del personal laboral no se verá incrementada como consecuencia de la reordenación regulada en la Ley, sin que los recurrentes hayan razonado suficientemente la pertinencia de la premisa de la que parte su impugnación, esto es, no han acreditado cuándo y cómo se producirá efectivamente la pretendida homogeneización salarial; circunstancia que, desde la perspectiva actual, no deja de ser una mera hipótesis.</w:t>
      </w:r>
    </w:p>
    <w:p w:rsidR="00AC56D6" w:rsidRDefault="00AC56D6" w:rsidP="00AC56D6">
      <w:pPr>
        <w:pStyle w:val="TextoNormal"/>
      </w:pPr>
    </w:p>
    <w:p w:rsidR="00AC56D6" w:rsidRDefault="00AC56D6" w:rsidP="00AC56D6">
      <w:pPr>
        <w:pStyle w:val="TextoNormal"/>
      </w:pPr>
      <w:r>
        <w:t>d) Por último, los recurrentes alegan que la integración de funcionarios en las agencias de régimen especial (arts. 8 y 11 de la Ley 1/2011) es forzosa y, como tal, contraria al art. 23.2 CE, al art. 81 LEEP (esto es, en la actualidad al art. 81 del Real Decreto Legislativo 5/2015) —en consecuencia, al art. 149.1.18 CE— y a la inamovilidad relativa que deriva del art. 103.3 CE. Dado que el reproche relativo al art. 103.3 CE ya ha sido abordado en el fundamento jurídico 6 de esta Sentencia, nos centraremos en la alegada vulneración del art. 23.2 CE.</w:t>
      </w:r>
    </w:p>
    <w:p w:rsidR="00AC56D6" w:rsidRDefault="00AC56D6" w:rsidP="00AC56D6">
      <w:pPr>
        <w:pStyle w:val="TextoNormal"/>
      </w:pPr>
    </w:p>
    <w:p w:rsidR="00AC56D6" w:rsidRDefault="00AC56D6" w:rsidP="00AC56D6">
      <w:pPr>
        <w:pStyle w:val="TextoNormal"/>
      </w:pPr>
      <w:r>
        <w:lastRenderedPageBreak/>
        <w:t>Ciertamente, la disposición adicional cuarta declara que “la integración del personal funcionario en una agencia pública empresarial será voluntaria” y deja abierta la posibilidad de que la integración en las agencias de régimen especial no sea voluntaria. La integración no voluntaria de determinados funcionarios en las agencias de régimen especial no constituye más que una posibilidad legal, no un mandato. Como ya hemos indicado al inicio de este fundamento jurídico, las reglas de la disposición adicional cuarta requieren todavía un desarrollo normativo que las concrete. Cuando se precisen los términos y criterios de integración, se estará en condiciones de proceder a examinar si las reglas que desarrollan la disposición adicional cuarta vulneran el principio de igualdad que dimana del art 23.2 CE.</w:t>
      </w:r>
    </w:p>
    <w:p w:rsidR="00AC56D6" w:rsidRDefault="00AC56D6" w:rsidP="00AC56D6">
      <w:pPr>
        <w:pStyle w:val="TextoNormal"/>
      </w:pPr>
    </w:p>
    <w:p w:rsidR="00AC56D6" w:rsidRDefault="00AC56D6" w:rsidP="00AC56D6">
      <w:pPr>
        <w:pStyle w:val="TextoNormal"/>
      </w:pPr>
      <w:r>
        <w:t>Por lo demás, incluso aunque la integración fuera forzosa, no constituiría un supuesto de movilidad forzosa: en efecto, la eventual integración forzosa del personal funcionario en las agencias de régimen especial no traería consigo la pérdida de la condición de funcionario de carrera ni afectaría a su estatus, pues, como establece explícitamente el art. 74.1 de la Ley 9/2007, el personal funcionario de las agencias de régimen especial se seguirá rigiendo en todo caso por la normativa aplicable en materia de función pública.</w:t>
      </w:r>
    </w:p>
    <w:p w:rsidR="00AC56D6" w:rsidRDefault="00AC56D6" w:rsidP="00AC56D6">
      <w:pPr>
        <w:pStyle w:val="TextoNormal"/>
      </w:pPr>
    </w:p>
    <w:p w:rsidR="00AC56D6" w:rsidRDefault="00AC56D6" w:rsidP="00AC56D6">
      <w:pPr>
        <w:pStyle w:val="TextoNormal"/>
      </w:pPr>
      <w:r>
        <w:t>Por todo ello, debemos desestimar este motivo de impugnación.</w:t>
      </w:r>
    </w:p>
    <w:p w:rsidR="00AC56D6" w:rsidRDefault="00AC56D6" w:rsidP="00AC56D6">
      <w:pPr>
        <w:pStyle w:val="TextoNormal"/>
      </w:pPr>
    </w:p>
    <w:p w:rsidR="00AC56D6" w:rsidRDefault="00AC56D6" w:rsidP="00AC56D6">
      <w:pPr>
        <w:pStyle w:val="TextoNormal"/>
      </w:pPr>
      <w:r w:rsidRPr="00AC56D6">
        <w:rPr>
          <w:rStyle w:val="NumeroAFNegritaCaracter"/>
        </w:rPr>
        <w:t>10</w:t>
      </w:r>
      <w:r>
        <w:t>. Finalmente, se impugnan la disposición derogatoria única, por derogar expresamente una norma básica, en concreto el art. 9.2 LEEP (sustituido en la actualidad, con el mismo contenido, por el art. 9.2 del Real Decreto Legislativo 5/2015), y, subsidiariamente, la disposición adicional sexta por contradecirla. El contenido singular de esta impugnación obedece a la peculiar redacción de la disposición derogatoria única, la cual deroga los preceptos contenidos en otras normas y cuyo contenido se reproduce en la Ley 1/2011. Los recurrentes consideran que, si se entendiera que la Ley 1/2011 reproduce el contenido del art. 9.2 LEEP (en la disposición adicional sexta), por efecto de la disposición derogatoria única se produciría la derogación de dicho precepto estatal; y, en el caso de que el Tribunal Constitucional estime que no existe una reproducción exacta y que en consecuencia no se produce la referida derogación, solicitan que se declare inconstitucional la norma autonómica por vulnerar aquel precepto estatal. Nuestro control seguirá un orden lógico distinto, pues comenzaremos por la disposición adicional sexta y luego abordaremos la disposición derogatoria única.</w:t>
      </w:r>
    </w:p>
    <w:p w:rsidR="00AC56D6" w:rsidRDefault="00AC56D6" w:rsidP="00AC56D6">
      <w:pPr>
        <w:pStyle w:val="TextoNormal"/>
      </w:pPr>
    </w:p>
    <w:p w:rsidR="00AC56D6" w:rsidRDefault="00AC56D6" w:rsidP="00AC56D6">
      <w:pPr>
        <w:pStyle w:val="TextoNormal"/>
      </w:pPr>
      <w:r>
        <w:t>a) La disposición adicional sexta (“Ejercicio de potestades públicas”) establece lo siguiente:</w:t>
      </w:r>
    </w:p>
    <w:p w:rsidR="00AC56D6" w:rsidRDefault="00AC56D6" w:rsidP="00AC56D6">
      <w:pPr>
        <w:pStyle w:val="TextoNormal"/>
      </w:pPr>
    </w:p>
    <w:p w:rsidR="00AC56D6" w:rsidRDefault="00AC56D6" w:rsidP="00AC56D6">
      <w:pPr>
        <w:pStyle w:val="TextoNormal"/>
      </w:pPr>
      <w:r>
        <w:t>“El ejercicio de las funciones que impliquen la participación directa o indirecta en el ejercicio de las potestades públicas o en la salvaguardia de los intereses generales corresponde exclusivamente a los funcionarios públicos, en los términos establecidos en la legislación en materia de función pública.”</w:t>
      </w:r>
    </w:p>
    <w:p w:rsidR="00AC56D6" w:rsidRDefault="00AC56D6" w:rsidP="00AC56D6">
      <w:pPr>
        <w:pStyle w:val="TextoNormal"/>
      </w:pPr>
    </w:p>
    <w:p w:rsidR="00AC56D6" w:rsidRDefault="00AC56D6" w:rsidP="00AC56D6">
      <w:pPr>
        <w:pStyle w:val="TextoNormal"/>
      </w:pPr>
      <w:r>
        <w:t>La disposición adicional sexta de la Ley 9/2007 y el art. 9.2 del Real Decreto Legislativo 5/2015, cuyo tenor literal ha sido transcrito en el fundamento jurídico 5, contienen una redacción casi idéntica. La única diferencia estriba en el inciso final. Mientras el art. 9.2 del Real Decreto Legislativo 5/2015 se refiere a “en los términos que en la ley de desarrollo de cada Administración Pública se establezca”, la disposición adicional sexta de la Ley 9/2007 habla de “en los términos establecidos en la legislación en materia de función pública”.</w:t>
      </w:r>
    </w:p>
    <w:p w:rsidR="00AC56D6" w:rsidRDefault="00AC56D6" w:rsidP="00AC56D6">
      <w:pPr>
        <w:pStyle w:val="TextoNormal"/>
      </w:pPr>
    </w:p>
    <w:p w:rsidR="00AC56D6" w:rsidRDefault="00AC56D6" w:rsidP="00AC56D6">
      <w:pPr>
        <w:pStyle w:val="TextoNormal"/>
      </w:pPr>
      <w:r>
        <w:lastRenderedPageBreak/>
        <w:t>Constituyendo el art. 9.2 del Real Decreto Legislativo 5/2015 una norma básica dictada por el Estado con arreglo al título competencial “bases del régimen de los funcionarios públicos” previsto en el art. 149.1.18 CE, como declara la disposición final primera del Real Decreto Legislativo 5/2015, cualquier norma que una Comunidad Autónoma adopte para su desarrollo debe ser considerada legislación de desarrollo en materia de función pública: esto es precisamente lo que afirma el inciso final de la disposición adicional sexta de la Ley 9/2007. Por lo demás, aunque incorpore el contenido de la norma básica en términos literales, la norma autonómica constituye una norma de desarrollo legislativo de aquélla. Desde esta perspectiva no se aprecia una contradicción material entre dicha disposición y lo que dispone el art. 9.2 del Real Decreto Legislativo 5/2015, pues a cada Comunidad Autónoma le corresponde efectivamente desarrollar para cada una de las Administraciones públicas de su ámbito territorial la reserva mínima de funciones que ha establecido el Estado con carácter básico.</w:t>
      </w:r>
    </w:p>
    <w:p w:rsidR="00AC56D6" w:rsidRDefault="00AC56D6" w:rsidP="00AC56D6">
      <w:pPr>
        <w:pStyle w:val="TextoNormal"/>
      </w:pPr>
    </w:p>
    <w:p w:rsidR="00AC56D6" w:rsidRDefault="00AC56D6" w:rsidP="00AC56D6">
      <w:pPr>
        <w:pStyle w:val="TextoNormal"/>
      </w:pPr>
      <w:r>
        <w:t>Por todo ello, debe rechazarse la impugnación de la disposición adicional sexta.</w:t>
      </w:r>
    </w:p>
    <w:p w:rsidR="00AC56D6" w:rsidRDefault="00AC56D6" w:rsidP="00AC56D6">
      <w:pPr>
        <w:pStyle w:val="TextoNormal"/>
      </w:pPr>
    </w:p>
    <w:p w:rsidR="00AC56D6" w:rsidRDefault="00AC56D6" w:rsidP="00AC56D6">
      <w:pPr>
        <w:pStyle w:val="TextoNormal"/>
      </w:pPr>
      <w:r>
        <w:t>b) En cuanto a la disposición derogatoria única, nuestro control debe ceñirse al apartado 1, que es contra el que propiamente se dirige la tacha de inconstitucionalidad. El apartado 1 establece que “[q]uedan sin efecto todos los preceptos contenidos en otras normas y cuyo tenor se reproduce en la presente Ley, así como cuantas normas contradigan o se opongan a lo dispuesto en la misma”.</w:t>
      </w:r>
    </w:p>
    <w:p w:rsidR="00AC56D6" w:rsidRDefault="00AC56D6" w:rsidP="00AC56D6">
      <w:pPr>
        <w:pStyle w:val="TextoNormal"/>
      </w:pPr>
    </w:p>
    <w:p w:rsidR="00AC56D6" w:rsidRDefault="00AC56D6" w:rsidP="00AC56D6">
      <w:pPr>
        <w:pStyle w:val="TextoNormal"/>
      </w:pPr>
      <w:r>
        <w:t>La impugnación de los recurrentes se basa en una interpretación literal del precepto que, ciertamente, tiene un contenido algo peculiar, como reconoce el Letrado del Parlamento de Andalucía. Esa interpretación literal no es correcta, lo que no parecen ignorar los propios recurrentes, que expresamente exponen las razones de su controvertido contenido. En efecto, el contenido de la disposición derogatoria única de la Ley 1/2011 procede de la disposición derogatoria única del Decreto-ley 6/2010, el cual a su vez tenía como finalidad derogar las previsiones del Decreto-ley 5/2010 y sustituirlas por las suyas. La Ley 1/2011, que supone la conversión del Decreto-ley 6/2010 en Ley, optó por mantener la redacción literal de la referida disposición, aunque en buena técnica legislativa hubiera sido más claro y sencillo derogar lisa y llanamente el Decreto-ley 6/2010. Por todo ello, se puede concluir que mediante la disposición derogatoria única no se pretendía derogar lo previsto en la normativa estatal, ni en concreto en el art. 9.2 LEEP, cuyo tenor literal se reproduce en dos ocasiones a lo largo de la propia Ley 1/2011 (en el art. 1.9 que da nueva redacción al art. 69.3 de la Ley 9/2007 y en la disposición adicional sexta).</w:t>
      </w:r>
    </w:p>
    <w:p w:rsidR="00AC56D6" w:rsidRDefault="00AC56D6" w:rsidP="00AC56D6">
      <w:pPr>
        <w:pStyle w:val="TextoNormal"/>
      </w:pPr>
    </w:p>
    <w:p w:rsidR="00AC56D6" w:rsidRDefault="00AC56D6" w:rsidP="00AC56D6">
      <w:pPr>
        <w:pStyle w:val="TextoNormal"/>
      </w:pPr>
      <w:r>
        <w:t>En cualquier caso, la interpretación que realizan los recurrentes resulta asistemática. Es evidente que una norma autonómica no puede derogar una norma estatal básica, ni de forma directa, ni mediante el expediente de derogar la norma autonómica que la reproduce. Las relaciones entre el ordenamiento jurídico estatal y el autonómico no se rigen por el principio de jerarquía, sino por el principio de competencia. Todo lo más, una norma autonómica puede contradecir una norma estatal básica, incurriendo con ello en inconstitucionalidad mediata, siempre que la norma estatal sea efectivamente básica en el doble sentido, formal y material, requerido por la doctrina constitucional. Pero, como ya hemos indicado, eso no ocurre en el presente caso con respecto al art. 9.2 del Real Decreto Legislativo 5/2015.</w:t>
      </w:r>
    </w:p>
    <w:p w:rsidR="00AC56D6" w:rsidRDefault="00AC56D6" w:rsidP="00AC56D6">
      <w:pPr>
        <w:pStyle w:val="TextoNormal"/>
      </w:pPr>
    </w:p>
    <w:p w:rsidR="00AC56D6" w:rsidRDefault="00AC56D6" w:rsidP="00AC56D6">
      <w:pPr>
        <w:pStyle w:val="TextoNormal"/>
      </w:pPr>
      <w:r>
        <w:t>Por todo ello, debe rechazarse la impugnación de la disposición derogatoria única.</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Desestimar el recurso de inconstitucionalidad.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diecinueve de noviembre de dos mil quince.</w:t>
      </w:r>
    </w:p>
    <w:p w:rsidR="00AC56D6" w:rsidRDefault="00AC56D6" w:rsidP="00AC56D6">
      <w:pPr>
        <w:pStyle w:val="ParrafoNormal"/>
      </w:pPr>
    </w:p>
    <w:p w:rsidR="00AC56D6" w:rsidRDefault="00AC56D6" w:rsidP="00AC56D6">
      <w:pPr>
        <w:pStyle w:val="TextoNormalNegritaCentrado"/>
        <w:keepNext/>
      </w:pPr>
      <w:r>
        <w:t>Voto particular que formula el Magistrado don Pedro José González-Trevijano Sánchez, al que se adhiere el Magistrado don Juan José González Rivas, a la Sentencia dictada en el recurso de inconstitucionalidad núm. 2733-2011.</w:t>
      </w:r>
    </w:p>
    <w:p w:rsidR="00AC56D6" w:rsidRDefault="00AC56D6" w:rsidP="00AC56D6">
      <w:pPr>
        <w:pStyle w:val="TextoNormalNegritaCentrado"/>
        <w:keepNext/>
      </w:pPr>
    </w:p>
    <w:p w:rsidR="00AC56D6" w:rsidRDefault="00AC56D6" w:rsidP="00AC56D6">
      <w:pPr>
        <w:pStyle w:val="TextoNormal"/>
      </w:pPr>
      <w:r>
        <w:t>En ejercicio de la facultad que me confiere el art. 90.2 de la Ley Orgánica del Tribunal Constitucional, y con pleno respeto a la opinión de la mayoría, expreso mi discrepancia con la fundamentación jurídica de la Sentencia dictada en el recurso de inconstitucionalidad mencionado, en los términos que expuse en la deliberación realizada en el Pleno.</w:t>
      </w:r>
    </w:p>
    <w:p w:rsidR="00AC56D6" w:rsidRDefault="00AC56D6" w:rsidP="00AC56D6">
      <w:pPr>
        <w:pStyle w:val="TextoNormal"/>
      </w:pPr>
    </w:p>
    <w:p w:rsidR="00AC56D6" w:rsidRDefault="00AC56D6" w:rsidP="00AC56D6">
      <w:pPr>
        <w:pStyle w:val="TextoNormal"/>
      </w:pPr>
      <w:r>
        <w:t>Como tuve ocasión de señalar, la Ley 1/2011, de 17 de febrero, de reordenación del sector público de Andalucía, constituye la mayor reforma que se ha hecho de la Administración pública andaluza desde su creación, y es además, en sí misma, una operación de gran envergadura y calado, político y jurídico, dado que viene a permitir la atribución de la gestión ordinaria de las funciones administrativas propias de la Administración pública, a entes instrumentales regidos fundamentalmente por el derecho privado y servidos por personal en régimen de derecho laboral.</w:t>
      </w:r>
    </w:p>
    <w:p w:rsidR="00AC56D6" w:rsidRDefault="00AC56D6" w:rsidP="00AC56D6">
      <w:pPr>
        <w:pStyle w:val="TextoNormal"/>
      </w:pPr>
    </w:p>
    <w:p w:rsidR="00AC56D6" w:rsidRDefault="00AC56D6" w:rsidP="00AC56D6">
      <w:pPr>
        <w:pStyle w:val="TextoNormal"/>
      </w:pPr>
      <w:r>
        <w:t xml:space="preserve">Constituye así esta norma la manifestación más contundente de un fenómeno que ha sido objeto de abundante debate y crítica por la doctrina más autorizada y por la jurisprudencia administrativa, y que se conoce con el nombre de “huida del Derecho Administrativo”, y que no es sino la tendencia creciente en todas las Administraciones públicas configuradas en torno a modelo del Derecho administrativo de corte continental-napoleónico, de recurrir de manera indiscriminada a órganos, procedimientos y técnicas de Derecho privado para el desarrollo de sus funciones, y que, alegando razones de pretendida “eficacia” en la actuación, pueden eludir </w:t>
      </w:r>
      <w:r w:rsidRPr="00AC56D6">
        <w:rPr>
          <w:i/>
        </w:rPr>
        <w:t>de facto o de iure</w:t>
      </w:r>
      <w:r>
        <w:t xml:space="preserve"> los controles y garantías propios del Derecho administrativo.</w:t>
      </w:r>
    </w:p>
    <w:p w:rsidR="00AC56D6" w:rsidRDefault="00AC56D6" w:rsidP="00AC56D6">
      <w:pPr>
        <w:pStyle w:val="TextoNormal"/>
      </w:pPr>
    </w:p>
    <w:p w:rsidR="00AC56D6" w:rsidRDefault="00AC56D6" w:rsidP="00AC56D6">
      <w:pPr>
        <w:pStyle w:val="TextoNormal"/>
      </w:pPr>
      <w:r>
        <w:t xml:space="preserve">La proliferación de este fenómeno, tanto en la Administración del Estado como en la de las Comunidades Autónomas y los entes locales, ha sido reiteradamente denunciada por la doctrina, tanto por los peligros y posibles excesos que conlleva —pues la elusión de los controles puede favorecer la impunidad— como, sobre todo, porque pone en cuestión la propia esencia de la Administración, como organización al servicio de los intereses generales, y del concepto de Derecho administrativo, como </w:t>
      </w:r>
      <w:r w:rsidRPr="00AC56D6">
        <w:rPr>
          <w:i/>
        </w:rPr>
        <w:t>corpus jurídico</w:t>
      </w:r>
      <w:r>
        <w:t xml:space="preserve"> dirigido a someter al </w:t>
      </w:r>
      <w:r>
        <w:lastRenderedPageBreak/>
        <w:t>principio de legalidad a un sujeto privilegiado —la Administración— que asume el encargo de gestionar los intereses colectivos de la sociedad.</w:t>
      </w:r>
    </w:p>
    <w:p w:rsidR="00AC56D6" w:rsidRDefault="00AC56D6" w:rsidP="00AC56D6">
      <w:pPr>
        <w:pStyle w:val="TextoNormal"/>
      </w:pPr>
    </w:p>
    <w:p w:rsidR="00AC56D6" w:rsidRDefault="00AC56D6" w:rsidP="00AC56D6">
      <w:pPr>
        <w:pStyle w:val="TextoNormal"/>
      </w:pPr>
      <w:r>
        <w:t xml:space="preserve">Esta fuga viene pues, en última instancia, a quebrar el llamado </w:t>
      </w:r>
      <w:r w:rsidRPr="00AC56D6">
        <w:rPr>
          <w:i/>
        </w:rPr>
        <w:t>régime administratif</w:t>
      </w:r>
      <w:r>
        <w:t xml:space="preserve">, que nace —en expresión de Garrido Falla— como un tercer camino en el intento de someter los actos de la Administración al Estado de Derecho, equidistante tanto de la </w:t>
      </w:r>
      <w:r w:rsidRPr="00AC56D6">
        <w:rPr>
          <w:i/>
        </w:rPr>
        <w:t>Fiskuslehre</w:t>
      </w:r>
      <w:r>
        <w:t xml:space="preserve"> como del </w:t>
      </w:r>
      <w:r w:rsidRPr="00AC56D6">
        <w:rPr>
          <w:i/>
        </w:rPr>
        <w:t>rule of law</w:t>
      </w:r>
      <w:r>
        <w:t>, y en el cual se reconocen a la Administración determinadas prerrogativas o poderes exorbitantes, pero paralelamente, se somete a esa Administración a una vinculación jurídica más estrecha que a los sujetos privados, y al control de una jurisdicción especializada.</w:t>
      </w:r>
    </w:p>
    <w:p w:rsidR="00AC56D6" w:rsidRDefault="00AC56D6" w:rsidP="00AC56D6">
      <w:pPr>
        <w:pStyle w:val="TextoNormal"/>
      </w:pPr>
    </w:p>
    <w:p w:rsidR="00AC56D6" w:rsidRDefault="00AC56D6" w:rsidP="00AC56D6">
      <w:pPr>
        <w:pStyle w:val="TextoNormal"/>
      </w:pPr>
      <w:r>
        <w:t>La Constitución española de 1978 no se limita a establecer la organización de los poderes del Estado y a garantizar los derechos fundamentales y libertades públicas de los ciudadanos, sino que consagra también una serie de principios rectores de la acción pública y una serie de garantías y controles del Gobierno y de la Administración. Nuestro Texto fundamental contempla expresamente una reserva constitucional al Derecho administrativo en los artículos 103, 106 y 153, preceptos de los que cabe deducir la imposición de una serie límites al legislador a la hora de someter la actuación administrativa al Derecho privado.</w:t>
      </w:r>
    </w:p>
    <w:p w:rsidR="00AC56D6" w:rsidRDefault="00AC56D6" w:rsidP="00AC56D6">
      <w:pPr>
        <w:pStyle w:val="TextoNormal"/>
      </w:pPr>
    </w:p>
    <w:p w:rsidR="00AC56D6" w:rsidRDefault="00AC56D6" w:rsidP="00AC56D6">
      <w:pPr>
        <w:pStyle w:val="TextoNormal"/>
      </w:pPr>
      <w:r>
        <w:t>No deja de ser cierto que la Constitución no contiene un criterio con validez general, que señale la frontera entre las actividades de la Administración sujetas necesariamente al Derecho administrativo, y aquellas otras que pueden organizarse y prestarse en régimen de Derecho privado, pero ello tampoco significa que las Administraciones públicas dispongan de una “incondicionada” libertad de elección entre el Derecho administrativo y el Derecho privado, pues la actividad pública constituida por funciones típicamente administrativas, en las que concurre el ejercicio de potestades públicas, ha de ser desarrollada en régimen de Derecho administrativo.</w:t>
      </w:r>
    </w:p>
    <w:p w:rsidR="00AC56D6" w:rsidRDefault="00AC56D6" w:rsidP="00AC56D6">
      <w:pPr>
        <w:pStyle w:val="TextoNormal"/>
      </w:pPr>
    </w:p>
    <w:p w:rsidR="00AC56D6" w:rsidRDefault="00AC56D6" w:rsidP="00AC56D6">
      <w:pPr>
        <w:pStyle w:val="TextoNormal"/>
      </w:pPr>
      <w:r>
        <w:t>El principio de eficacia que consagra el art. 103 CE es sin duda un criterio de actuación que no debe subestimarse. La propia Constitución lo sitúa a la cabeza de los principios que deben guiar la función administrativa al servicio de los intereses generales. Pero la eficacia no constituye un valor absoluto, ante el que hayan de ceder todos los demás, pues el sometimiento pleno a la legalidad, “a la ley y al derecho”, como afirma expresamente el art. 103.1 CE, es el principio sustantivo sobre el que se ordena nuestro sistema administrativo. Ese sometimiento no es a cualquier derecho, sino al Derecho administrativo, y va acompañado de una serie de instrumentos que lo protegen: la igualdad ante la ley, la seguridad jurídica, la interdicción de arbitrariedad, el control del gasto público, etc. En definitiva, todos aquellos que se engloban bajo la búsqueda del interés general.</w:t>
      </w:r>
    </w:p>
    <w:p w:rsidR="00AC56D6" w:rsidRDefault="00AC56D6" w:rsidP="00AC56D6">
      <w:pPr>
        <w:pStyle w:val="TextoNormal"/>
      </w:pPr>
    </w:p>
    <w:p w:rsidR="00AC56D6" w:rsidRDefault="00AC56D6" w:rsidP="00AC56D6">
      <w:pPr>
        <w:pStyle w:val="TextoNormal"/>
      </w:pPr>
      <w:r>
        <w:t xml:space="preserve">En este contexto, la Ley 1/2011 [art. 68.1 b)] tiene como principal novedad la modificación del concepto de “agencias públicas empresariales”, para abrir a las mismas la posibilidad de realizar actividades de “promoción pública, prestaciones y de gestión de servicios o de producción de bienes de interés público, sean o no susceptibles de contraprestación, sin actuar en régimen de libre mercado”, y en ejecución “de competencias propias o de programas específicos de una o varias Consejerías”. Y todo ello, en régimen de Derecho administrativo o de Derecho privado “según su particular gestión empresarial así lo requiera”, salvo en las cuestiones relacionadas con la formación de voluntad de sus órganos y con el ejercicio </w:t>
      </w:r>
      <w:r>
        <w:lastRenderedPageBreak/>
        <w:t>de potestades administrativas que tengan atribuidas, que se someterán al Derecho administrativo (artículo 69.2, segundo párrafo).</w:t>
      </w:r>
    </w:p>
    <w:p w:rsidR="00AC56D6" w:rsidRDefault="00AC56D6" w:rsidP="00AC56D6">
      <w:pPr>
        <w:pStyle w:val="TextoNormal"/>
      </w:pPr>
    </w:p>
    <w:p w:rsidR="00AC56D6" w:rsidRDefault="00AC56D6" w:rsidP="00AC56D6">
      <w:pPr>
        <w:pStyle w:val="TextoNormal"/>
      </w:pPr>
      <w:r>
        <w:t>La enunciación que acaba de transcribirse —y las varias macro-agencias que la propia Ley contempla— abren una posibilidad cierta de transferencia de la gestión ordinaria de la Administración de la Junta de Andalucía a estas denominadas agencias públicas empresariales, mediante el diseño de un sistema administrativo que viene a conceder preferencia a entidades que, aún bajo formas de personificación pública, actúan fundamentalmente en régimen de derecho privado y con personal sometido a derecho laboral.</w:t>
      </w:r>
    </w:p>
    <w:p w:rsidR="00AC56D6" w:rsidRDefault="00AC56D6" w:rsidP="00AC56D6">
      <w:pPr>
        <w:pStyle w:val="TextoNormal"/>
      </w:pPr>
    </w:p>
    <w:p w:rsidR="00AC56D6" w:rsidRDefault="00AC56D6" w:rsidP="00AC56D6">
      <w:pPr>
        <w:pStyle w:val="TextoNormal"/>
      </w:pPr>
      <w:r>
        <w:t>Resulta oportuno recordar aquí, por ejemplo, el pronunciamiento del Tribunal Superior de Justicia de Andalucía que, en Sentencia de 25 de febrero de 2011, recaída en relación con el Decreto 324/2009, por el que se aprueba el estatuto de la Agencia Tributaria de Andalucía, vino a señalar que “efectivamente, la fuga del derecho administrativo, tan criticada doctrinalmente, se viene produciendo en las últimas décadas de manera silenciosa y muchas veces oculta en normas auto-organizativas que … no se someten a los filtros previos a los que se sujetan otras normas ejecutivas de menor transcendencia para el desarrollo y funcionamiento de la vida administrativa.… La doctrina científica e instituciones como el Defensor del Pueblo insisten en que la mayor eficacia y agilidad en la gestión de los servicios públicos a través de formas jurídico privadas, no puede suponer un quebranto en las garantías de los derechos de los ciudadanos. El riesgo de merma de esos derechos se plasma en la cada vez mayor asunción por parte de entes públicos instrumentales, bajo formas privadas, de actuaciones y servicios públicos sin el pleno control de las normas administrativas y de la jurisdicción contencioso-administrativa, que precisamente tiene por función esencial revisar la actuación de la Administración. No puede olvidarse que tales entes instrumentales siguen teniendo, con independencia de su forma jurídica, naturaleza de poderes públicos (STC 35/1983, de 11 de mayo) y por ello están sometidos a los principios constitucionales a los que se debe escrupulosamente ajustar la Administración: arts. 9.3, 53.1, 103,1 y 6, 105.e) de la Constitución, entre otros”.</w:t>
      </w:r>
    </w:p>
    <w:p w:rsidR="00AC56D6" w:rsidRDefault="00AC56D6" w:rsidP="00AC56D6">
      <w:pPr>
        <w:pStyle w:val="TextoNormal"/>
      </w:pPr>
    </w:p>
    <w:p w:rsidR="00AC56D6" w:rsidRDefault="00AC56D6" w:rsidP="00AC56D6">
      <w:pPr>
        <w:pStyle w:val="TextoNormal"/>
      </w:pPr>
      <w:r>
        <w:t>El propio legislador andaluz parece, por otra parte, contradecirse a sí mismo, cuando, por ejemplo, en la Ley 5/2010, de 11 de junio, de autonomía local de Andalucía, establece en términos categóricos que las entidades locales “no podrán crear agencias públicas empresariales para el ejercicio de actividades administrativas” (artículo 35.1). Es decir, en el mismo ordenamiento andaluz se excepciona a la Administración autonómica de la prohibición que impone a las Administraciones locales, y no sólo eso, sino que convierte a la agencia pública empresarial en el eje para la gestión ordinaria de las actividades administrativas de la Comunidad Autónoma.</w:t>
      </w:r>
    </w:p>
    <w:p w:rsidR="00AC56D6" w:rsidRDefault="00AC56D6" w:rsidP="00AC56D6">
      <w:pPr>
        <w:pStyle w:val="TextoNormal"/>
      </w:pPr>
    </w:p>
    <w:p w:rsidR="00AC56D6" w:rsidRDefault="00AC56D6" w:rsidP="00AC56D6">
      <w:pPr>
        <w:pStyle w:val="TextoNormal"/>
      </w:pPr>
      <w:r>
        <w:t>Por su parte, el art. 2.2 de la Ley 30/1992, dispone que las entidades de derecho público, vinculadas o dependientes de cualquiera de las Administraciones públicas, tienen la consideración de Administraciones públicas y están sometidas a la propia Ley cuando ejerzan potestades administrativas. El precepto consagra pues una reserva expresa al Derecho administrativo para el ejercicio de potestades administrativas, que pone en cuestión la posibilidad de sometimiento generalizado a derecho privado, de las entidades jurídico-públicas que tienen atribuido el ejercicio de potestades administrativas.</w:t>
      </w:r>
    </w:p>
    <w:p w:rsidR="00AC56D6" w:rsidRDefault="00AC56D6" w:rsidP="00AC56D6">
      <w:pPr>
        <w:pStyle w:val="TextoNormal"/>
      </w:pPr>
    </w:p>
    <w:p w:rsidR="00AC56D6" w:rsidRDefault="00AC56D6" w:rsidP="00AC56D6">
      <w:pPr>
        <w:pStyle w:val="TextoNormal"/>
      </w:pPr>
      <w:r>
        <w:lastRenderedPageBreak/>
        <w:t>A mi juicio, y sin prejuzgar cuál habría debido ser el sentido del fallo, la Sentencia de la que discrepo debería —al menos— haberse planteado una legítima duda sobre la constitucionalidad de una ley que apuesta por una gestión generalizada de las competencias ordinarias de la Administración de la Junta de Andalucía a través de entidades instrumentales de naturaleza empresarial, que cumplen funciones propias de las Administraciones públicas, mediante la regulación de una figura híbrida que, a través de una confusa referencia a la doctrina de los actos separables, no viene sino a elaborar en favor de estas entidades una especie de “traje a medida”, que pretende aunar las ventajas de la atribución de potestades propias del poder público, sin los inconvenientes de la sujeción plena a las garantías del Derecho público, y, con ello, a remodelar las instituciones hasta hacerlas irreconocibles. La mera referencia apodíctica al art. 103.1 CE, que se realiza en el fundamento jurídico 5 c), resulta a todas luces insuficiente y obvia el necesario examen doctrinal que, en mi opinión, debería haberse realizado.</w:t>
      </w:r>
    </w:p>
    <w:p w:rsidR="00AC56D6" w:rsidRDefault="00AC56D6" w:rsidP="00AC56D6">
      <w:pPr>
        <w:pStyle w:val="TextoNormal"/>
      </w:pPr>
    </w:p>
    <w:p w:rsidR="00AC56D6" w:rsidRDefault="00AC56D6" w:rsidP="00AC56D6">
      <w:pPr>
        <w:pStyle w:val="TextoNormal"/>
      </w:pPr>
      <w:r>
        <w:t>Por todo ello emito mi Voto particular.</w:t>
      </w:r>
    </w:p>
    <w:p w:rsidR="00AC56D6" w:rsidRDefault="00AC56D6" w:rsidP="00AC56D6">
      <w:pPr>
        <w:pStyle w:val="TextoNormal"/>
      </w:pPr>
    </w:p>
    <w:p w:rsidR="00AC56D6" w:rsidRDefault="00AC56D6" w:rsidP="00AC56D6">
      <w:pPr>
        <w:pStyle w:val="TextoNormal"/>
      </w:pPr>
      <w:r>
        <w:t>Madrid, a diecinueve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93" w:name="SENTENCIA_2015_237"/>
      <w:r>
        <w:lastRenderedPageBreak/>
        <w:t>SENTENCIA 237/2015, de 19 de noviembre de 2015</w:t>
      </w:r>
    </w:p>
    <w:bookmarkEnd w:id="93"/>
    <w:p w:rsidR="00AC56D6" w:rsidRDefault="00AC56D6" w:rsidP="00AC56D6">
      <w:pPr>
        <w:pStyle w:val="TtuloResolucin"/>
      </w:pPr>
      <w:r>
        <w:t>Pleno</w:t>
      </w:r>
    </w:p>
    <w:p w:rsidR="00AC56D6" w:rsidRDefault="00AC56D6" w:rsidP="00AC56D6">
      <w:pPr>
        <w:pStyle w:val="TtuloBOE"/>
      </w:pPr>
      <w:r>
        <w:t>(BOE núm. 312, de 30 de diciembre de 2015)</w:t>
      </w:r>
    </w:p>
    <w:p w:rsidR="00AC56D6" w:rsidRDefault="00AC56D6" w:rsidP="00AC56D6">
      <w:pPr>
        <w:pStyle w:val="TextoNormalCentrado"/>
      </w:pPr>
      <w:r>
        <w:t>ECLI:ES:TC:2015:237</w:t>
      </w:r>
    </w:p>
    <w:p w:rsidR="00AC56D6" w:rsidRDefault="00AC56D6" w:rsidP="00AC56D6">
      <w:pPr>
        <w:pStyle w:val="TextoNormalCentrado"/>
      </w:pPr>
    </w:p>
    <w:p w:rsidR="00AC56D6" w:rsidRDefault="00AC56D6" w:rsidP="00AC56D6">
      <w:pPr>
        <w:pStyle w:val="SntesisDescriptiva"/>
      </w:pPr>
      <w:r>
        <w:t>Recurso de inconstitucionalidad 6720-2011. Interpuesto por el Presidente del Gobierno contra diversos preceptos de la Ley 3/2011, de 24 de febrero, de las Cortes de Aragón, de medidas en materia de contratos del sector público de Aragón.</w:t>
      </w:r>
    </w:p>
    <w:p w:rsidR="00AC56D6" w:rsidRDefault="00AC56D6" w:rsidP="00AC56D6">
      <w:pPr>
        <w:pStyle w:val="SntesisDescriptiva"/>
      </w:pPr>
    </w:p>
    <w:p w:rsidR="00AC56D6" w:rsidRDefault="00AC56D6" w:rsidP="00AC56D6">
      <w:pPr>
        <w:pStyle w:val="SntesisAnaltica"/>
      </w:pPr>
      <w:r>
        <w:t>Competencias sobre contratos administrativos: nulidad de los preceptos legales autonómicos relativos a la documentación, publicación del anuncio licitación y plazo de presentación de ofertas en los procedimientos simplificados.</w:t>
      </w:r>
    </w:p>
    <w:p w:rsidR="00AC56D6" w:rsidRDefault="00AC56D6" w:rsidP="00AC56D6">
      <w:pPr>
        <w:pStyle w:val="SntesisAnaltica"/>
      </w:pPr>
    </w:p>
    <w:p w:rsidR="00AC56D6" w:rsidRDefault="00AC56D6" w:rsidP="00AC56D6">
      <w:pPr>
        <w:pStyle w:val="Extracto"/>
      </w:pPr>
      <w:r>
        <w:t>1.</w:t>
      </w:r>
      <w:r>
        <w:tab/>
        <w:t>Es inconstitucional el precepto que permite a los licitadores entregar una declaración responsable en lugar de la documentación acreditativa de los requisitos previos, en la parte referida a los procedimientos simplificados en los que se haya optado por no constituir Mesa de contratación [FJ 5 b)].</w:t>
      </w:r>
    </w:p>
    <w:p w:rsidR="00AC56D6" w:rsidRDefault="00AC56D6" w:rsidP="00AC56D6">
      <w:pPr>
        <w:pStyle w:val="Extracto"/>
      </w:pPr>
    </w:p>
    <w:p w:rsidR="00AC56D6" w:rsidRDefault="00AC56D6" w:rsidP="00AC56D6">
      <w:pPr>
        <w:pStyle w:val="Extracto"/>
      </w:pPr>
      <w:r>
        <w:t>2.</w:t>
      </w:r>
      <w:r>
        <w:tab/>
        <w:t>El precepto que fija en cinco días hábiles el plazo para la aportación de la documentación acreditativa de los requisitos previos es inconstitucional por su contradicción con la base estatal que establece un plazo de diez días hábiles; las normas autonómicas de desarrollo pueden modificarlo siempre que fijen un plazo mayor al previsto en la legislación básica estatal y sin exceder el de veinte días hábiles [FJ 6].</w:t>
      </w:r>
    </w:p>
    <w:p w:rsidR="00AC56D6" w:rsidRDefault="00AC56D6" w:rsidP="00AC56D6">
      <w:pPr>
        <w:pStyle w:val="Extracto"/>
      </w:pPr>
    </w:p>
    <w:p w:rsidR="00AC56D6" w:rsidRDefault="00AC56D6" w:rsidP="00AC56D6">
      <w:pPr>
        <w:pStyle w:val="Extracto"/>
      </w:pPr>
      <w:r>
        <w:t>3.</w:t>
      </w:r>
      <w:r>
        <w:tab/>
        <w:t>El precepto autonómico que, en el procedimiento simplificado, establece que el  plazo para la presentación de proposiciones no podrá ser inferior a 10 días ni superior a 20 días naturales es contrario a la base estatal que fija un mínimo de 15 y un máximo de 26 días, así como a su finalidad: facilitar el acceso de los interesados a la licitación pública, mediante plazos idóneos para satisfacer adecuadamente tanto el interés público en la gestión diligente del expediente como el interés general en la libertad de acceso a la contratación pública [FJ 9].</w:t>
      </w:r>
    </w:p>
    <w:p w:rsidR="00AC56D6" w:rsidRDefault="00AC56D6" w:rsidP="00AC56D6">
      <w:pPr>
        <w:pStyle w:val="Extracto"/>
      </w:pPr>
    </w:p>
    <w:p w:rsidR="00AC56D6" w:rsidRDefault="00AC56D6" w:rsidP="00AC56D6">
      <w:pPr>
        <w:pStyle w:val="Extracto"/>
      </w:pPr>
      <w:r>
        <w:t>4.</w:t>
      </w:r>
      <w:r>
        <w:tab/>
        <w:t>El precepto autonómico que regula la tramitación simplificada de procedimiento abierto de adjudicación de los contractos públicos constituye un desarrollo normativo de la base estatal orientado a lograr una tramitación más ágil y eficaz de dicho procedimiento de adjudicación, y que incide sobre aspectos no esenciales de este procedimiento [FJ 7].</w:t>
      </w:r>
    </w:p>
    <w:p w:rsidR="00AC56D6" w:rsidRDefault="00AC56D6" w:rsidP="00AC56D6">
      <w:pPr>
        <w:pStyle w:val="Extracto"/>
      </w:pPr>
    </w:p>
    <w:p w:rsidR="00AC56D6" w:rsidRDefault="00AC56D6" w:rsidP="00AC56D6">
      <w:pPr>
        <w:pStyle w:val="Extracto"/>
      </w:pPr>
      <w:r>
        <w:t>5.</w:t>
      </w:r>
      <w:r>
        <w:tab/>
        <w:t>El precepto autonómico que establece que, en el procedimiento simplificado, el anuncio de licitación del contrato se hará únicamente en el perfil de contratante del poder adjudicador es contrario a la base estatal que impone su publicación en el diario oficial, con las garantías no solo de difusión y transparencia que este lleva aparejadas, sino también de oficialidad y autenticidad de su contenido [FJ 8].</w:t>
      </w:r>
    </w:p>
    <w:p w:rsidR="00AC56D6" w:rsidRDefault="00AC56D6" w:rsidP="00AC56D6">
      <w:pPr>
        <w:pStyle w:val="Extracto"/>
      </w:pPr>
    </w:p>
    <w:p w:rsidR="00AC56D6" w:rsidRDefault="00AC56D6" w:rsidP="00AC56D6">
      <w:pPr>
        <w:pStyle w:val="Extracto"/>
      </w:pPr>
      <w:r>
        <w:t>6.</w:t>
      </w:r>
      <w:r>
        <w:tab/>
        <w:t>Doctrina sobre la perdida de objeto en los recursos de inconstitucionalidad (SSTC 204/2011, 96/2014, 106/2015) [FJ 3 c)].</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inconstitucionalidad núm. 6720-2011, interpuesto por el Presidente del Gobierno contra diversos preceptos de la Ley 3/2011, de 24 de febrero, de las Cortes de Aragón, de medidas en materia de contratos del sector público de Aragón. Han comparecido y formulado alegaciones el Gobierno y las Cortes de Aragón. Ha sido Ponente el Magistrado don Antonio Narváez Rodríguez,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presentado en el Registro General de este Tribunal Constitucional el 9 de diciembre de 2011, el Abogado del Estado, actuando en la representación que legalmente ostenta del Presidente del Gobierno, interpuso recurso de inconstitucionalidad contra los arts. 6.1 y 2 y 10, así como sus apartados 2 c), d) y f) de la Ley 3/2011, de 24 de febrero, de las Cortes de Aragón, de medidas en materia de contratos del sector público de Aragón (“Boletín Oficial de Aragón” núm. 50, de 10 de marzo). El Abogado del Estado hizo invocación expresa de los arts. 161.2 CE y 30 de la Ley Orgánica del Tribunal Constitucional (LOTC).</w:t>
      </w:r>
    </w:p>
    <w:p w:rsidR="00AC56D6" w:rsidRDefault="00AC56D6" w:rsidP="00AC56D6">
      <w:pPr>
        <w:pStyle w:val="TextoNormal"/>
      </w:pPr>
    </w:p>
    <w:p w:rsidR="00AC56D6" w:rsidRDefault="00AC56D6" w:rsidP="00AC56D6">
      <w:pPr>
        <w:pStyle w:val="TextoNormal"/>
      </w:pPr>
      <w:r>
        <w:t>El presente recurso de inconstitucionalidad se sustenta sobre los siguientes argumentos:</w:t>
      </w:r>
    </w:p>
    <w:p w:rsidR="00AC56D6" w:rsidRDefault="00AC56D6" w:rsidP="00AC56D6">
      <w:pPr>
        <w:pStyle w:val="TextoNormal"/>
      </w:pPr>
    </w:p>
    <w:p w:rsidR="00AC56D6" w:rsidRDefault="00AC56D6" w:rsidP="00AC56D6">
      <w:pPr>
        <w:pStyle w:val="TextoNormal"/>
      </w:pPr>
      <w:r>
        <w:t>a) Como antecedentes recuerda el Abogado del Estado que, antes de que finalizara el plazo de tres meses desde la publicación de la Ley en el “Boletín Oficial de Aragón”, la comisión bilateral de cooperación Aragón-Estado decidió, en la reunión celebrada el día 18 de mayo de 2011, aplicar el procedimiento previsto en el art. 33.2 LOTC, acuerdo que fue comunicado al Tribunal Constitucional y publicado el día 24 de junio de 2011 en el “Boletín Oficial del Estado” y en el “Boletín Oficial de Aragón”. Habiendo resultado infructuoso el proceso negociador, el Presidente del Gobierno decidió interponer el presente recurso de inconstitucionalidad, luego de que la comisión permanente del Consejo de Estado hubiere emitido dictamen el día 17 de noviembre de 2011.</w:t>
      </w:r>
    </w:p>
    <w:p w:rsidR="00AC56D6" w:rsidRDefault="00AC56D6" w:rsidP="00AC56D6">
      <w:pPr>
        <w:pStyle w:val="TextoNormal"/>
      </w:pPr>
    </w:p>
    <w:p w:rsidR="00AC56D6" w:rsidRDefault="00AC56D6" w:rsidP="00AC56D6">
      <w:pPr>
        <w:pStyle w:val="TextoNormal"/>
      </w:pPr>
      <w:r>
        <w:t xml:space="preserve">b) Tras precisar el objeto del recurso, se refiere el Abogado del Estado a las “competencias del Estado y de la Comunidad Autónoma” consignadas en los arts. 149.1.18 CE y 75 </w:t>
      </w:r>
      <w:r>
        <w:lastRenderedPageBreak/>
        <w:t xml:space="preserve">del Estatuto de Autonomía de Aragón (EAAr). Los preceptos legales impugnados regulan la documentación exigida en los procedimientos negociados y simplificados (artículo 6) y el procedimiento simplificado de adjudicación de contratos (artículo 10) y, a juicio del recurrente, contravienen los arts. 138, 142, 146, 151 y 159 del texto refundido de la Ley estatal de contratos del sector público, aprobado por Real Decreto Legislativo 3/2011, de 14 de noviembre, todos ellos declarados básicos </w:t>
      </w:r>
      <w:r w:rsidRPr="00AC56D6">
        <w:rPr>
          <w:i/>
        </w:rPr>
        <w:t>ex</w:t>
      </w:r>
      <w:r>
        <w:t xml:space="preserve"> art. 149.1.18 CE (disposición final segunda.3 de este mismo texto refundido). Cita, igualmente, las SSTC 141/1993, de 22 de abril; 331/1993, de 12 de noviembre, y 162/2009, de 29 de junio.</w:t>
      </w:r>
    </w:p>
    <w:p w:rsidR="00AC56D6" w:rsidRDefault="00AC56D6" w:rsidP="00AC56D6">
      <w:pPr>
        <w:pStyle w:val="TextoNormal"/>
      </w:pPr>
    </w:p>
    <w:p w:rsidR="00AC56D6" w:rsidRDefault="00AC56D6" w:rsidP="00AC56D6">
      <w:pPr>
        <w:pStyle w:val="TextoNormal"/>
      </w:pPr>
      <w:r>
        <w:t>c) Precedida de una sucinta reflexión sobre la doctrina general acerca de la noción de lo básico, pasa el Abogado del Estado a examinar la “doctrina en relación con las bases del régimen jurídico de las Administraciones públicas y, en particular, en materia de contratación administrativa”; examen que arranca de la STC 50/1999, de 6 de abril, FJ 3. De esta resolución infiere que “en este ámbito … la finalidad principal de lo básico es garantizar a los ciudadanos un tratamiento común ante las distintas Administraciones, por lo que tendrá mayor intensidad cuando se trate de regular actividades de eficacia externa, que cuando se trate de cuestiones puramente organizativas de incidencia exclusivamente interna”. Según refiere, la STC 141/1993 aclara, en su fundamento jurídico 5, los requisitos generales que debe reunir una norma para que pueda considerarse básica: “la normativa básica en materia de contratación tiene principalmente por objeto, aparte de otros fines de interés general, proporcionar las garantías de publicidad, igualdad, libre concurrencia y seguridad jurídica que aseguren a los ciudadanos un tratamiento común por parte de todas las Administraciones públicas”; por el contrario, excederán lo básico “otras prescripciones de detalle o de procedimiento que, sin merma de la eficacia de tales principios básicos, pudieran ser sustituidas por otras regulaciones asimismo complementarias o de detalle, elaboradas por las Comunidades Autónomas con competencia para ello”.</w:t>
      </w:r>
    </w:p>
    <w:p w:rsidR="00AC56D6" w:rsidRDefault="00AC56D6" w:rsidP="00AC56D6">
      <w:pPr>
        <w:pStyle w:val="TextoNormal"/>
      </w:pPr>
    </w:p>
    <w:p w:rsidR="00AC56D6" w:rsidRDefault="00AC56D6" w:rsidP="00AC56D6">
      <w:pPr>
        <w:pStyle w:val="TextoNormal"/>
      </w:pPr>
      <w:r>
        <w:t>En esa misma Sentencia, añade, se entendió que excedían de lo básico los preceptos que atribuían al órgano de contratación la facultad de recabar del empresario aclaraciones sobre la documentación presentada [fundamento jurídico 6 a)]; los que determinaban la forma de acreditar la existencia de una agrupación temporal [fundamento jurídico 6 d)]; o los que especificaban el contenido de detalle de los pliegos de prescripciones técnicas, siempre que no tuvieran conexión directa con el principio de igualdad [fundamento jurídico 6 e)]. Por el contrario, se consideraron básicos los preceptos que regulaban el contenido de los anuncios de licitación que han de remitirse al “Diario Oficial de las Comunidades Europeas” y al “Boletín Oficial del Estado” en el procedimiento abierto, al estar “íntimamente ligado al principio de publicidad, uno de los fundamentales de la contratación administrativa” [fundamento jurídico 6 g)]; o los que regulaban el contenido de los anuncios de licitación que deban ser remitidos al “BOE”, cuan no proceda la publicación en el “DOCE” [fundamento jurídico 6 i)]; destaca, también, el Abogado del Estado que la misma Sentencia consideró “indiscutiblemente” básico el precepto que especificaba la cuantía máxima que faculta la adjudicación directa del contrato de suministro [fundamento jurídico 6 p)].</w:t>
      </w:r>
    </w:p>
    <w:p w:rsidR="00AC56D6" w:rsidRDefault="00AC56D6" w:rsidP="00AC56D6">
      <w:pPr>
        <w:pStyle w:val="TextoNormal"/>
      </w:pPr>
    </w:p>
    <w:p w:rsidR="00AC56D6" w:rsidRDefault="00AC56D6" w:rsidP="00AC56D6">
      <w:pPr>
        <w:pStyle w:val="TextoNormal"/>
      </w:pPr>
      <w:r>
        <w:t xml:space="preserve">A continuación, el recurrente señala que, por su parte, la STC 331/1993 consideró básicas las normas reguladoras de la clasificación de los contratistas, en cuanto afectan a los intereses de éstos y, más en general, a las condiciones de contratación administrativa y al desarrollo de las actividades económicas privadas en régimen de libre competencia. También </w:t>
      </w:r>
      <w:r>
        <w:lastRenderedPageBreak/>
        <w:t>calificó como básica la decisión de aplicar a los contratos de suministro las normas de clasificación de los contratos de obras, incluida la posibilidad de exigir esta misma clasificación.</w:t>
      </w:r>
    </w:p>
    <w:p w:rsidR="00AC56D6" w:rsidRDefault="00AC56D6" w:rsidP="00AC56D6">
      <w:pPr>
        <w:pStyle w:val="TextoNormal"/>
      </w:pPr>
    </w:p>
    <w:p w:rsidR="00AC56D6" w:rsidRDefault="00AC56D6" w:rsidP="00AC56D6">
      <w:pPr>
        <w:pStyle w:val="TextoNormal"/>
      </w:pPr>
      <w:r>
        <w:t>d) Hechas las anteriores precisiones, aborda el Abogado del Estado la “inconstitucionalidad de los preceptos recurridos”.</w:t>
      </w:r>
    </w:p>
    <w:p w:rsidR="00AC56D6" w:rsidRDefault="00AC56D6" w:rsidP="00AC56D6">
      <w:pPr>
        <w:pStyle w:val="TextoNormal"/>
      </w:pPr>
    </w:p>
    <w:p w:rsidR="00AC56D6" w:rsidRDefault="00AC56D6" w:rsidP="00AC56D6">
      <w:pPr>
        <w:pStyle w:val="TextoNormal"/>
      </w:pPr>
      <w:r>
        <w:t>Los apartados primero y segundo del art. 6 de la Ley recurrida se impugnan por su incompatibilidad con los arts. 146.1 y 151.2 del texto refundido de la Ley de contratos del sector público dado que la legislación básica estatal en ningún caso permite justificar el cumplimiento de los requisitos de capacidad, representación y clasificación mediante simple declaración responsable, aplazando al momento previo a la contratación su efectiva acreditación. Sin embargo, el art. 6.1 de la Ley autonómica altera el contenido de las bases estatales al permitir la sustitución de aquella documentación por esta declaración responsable. En apoyo de su impugnación, el Abogado del Estado reproduce un pasaje del dictamen de la comisión permanente del Consejo de Estado núm. 1827-2011, de 17 de noviembre de 2011. Por su parte, el artículo 6.2 establece un plazo de cinco días para la aportación, por el adjudicatario que vaya a ser propuesto, de la documentación acreditativa de su capacidad, representación y solvencia, siendo así que el artículo 151.2 del texto refundido de la Ley de contratos del sector público fija en diez días hábiles el plazo para la presentación de la documentación justificativa de hallarse al corriente en el cumplimiento de las obligaciones tributarias y con la Seguridad Social. El precepto estatal permite que las normas autonómicas fijen un plazo distinto, pero siempre más extenso. De modo que el plazo de diez días hábiles es el mínimo razonable para que quien haya presentado la oferta económicamente más ventajosa pueda justificar documentalmente el cumplimiento de los requisitos para contratar y, sin embargo, el legislador autonómico aragonés lo ha reducido a la mitad.</w:t>
      </w:r>
    </w:p>
    <w:p w:rsidR="00AC56D6" w:rsidRDefault="00AC56D6" w:rsidP="00AC56D6">
      <w:pPr>
        <w:pStyle w:val="TextoNormal"/>
      </w:pPr>
    </w:p>
    <w:p w:rsidR="00AC56D6" w:rsidRDefault="00AC56D6" w:rsidP="00AC56D6">
      <w:pPr>
        <w:pStyle w:val="TextoNormal"/>
      </w:pPr>
      <w:r>
        <w:t xml:space="preserve">El Abogado del Estado se detiene, a continuación, a defender el carácter básico de la legislación estatal de contraste; sobre el cumplimiento de los requisitos formales no puede caber duda alguna a la vista de su calificación expresa como básicos en el apartado tercero de la disposición final segunda del texto refundido de la Ley de contratos del sector público. Apunta además que “como primer indicio del carácter materialmente básico de esta normativa, debe destacarse que la diversidad de régimen entre los requisitos directamente vinculados con la capacidad del empresario y los relativos al cumplimiento de sus obligaciones tributarias o con la Seguridad Social ya se contemplaba, exactamente en los mismos términos, en la anterior legislación de contratos”; ni esa normativa anterior ni la vigente al momento de promoverse este recurso de inconstitucionalidad ha sido controvertida “por no reunir la doble dimensión de las bases”. La acreditación inicial de la personalidad, capacidad y solvencia del contratista mediante la documentación que relaciona el art. 146 del texto refundido de la Ley de contratos del sector público es “sin duda, un elemento básico de la legislación de contratos ya que constituye un medio que tiende a proporcionar las garantías de publicidad, igualdad, libre concurrencia y seguridad jurídica necesarias para otorgar un tratamiento común de todos los contratistas frente a las distintas Administraciones públicas”. “En efecto, la legislación básica estatal, en este punto, se limita a establecer una distinción absolutamente razonable de régimen jurídico entre los requisitos previos directamente conectados con la capacidad y personalidad del empresario y respecto de las que nada obsta a su justificación </w:t>
      </w:r>
      <w:r w:rsidRPr="00AC56D6">
        <w:rPr>
          <w:i/>
        </w:rPr>
        <w:t>a posteriori</w:t>
      </w:r>
      <w:r>
        <w:t xml:space="preserve">.” En definitiva, el legislador básico exige que el licitador presente la documentación directamente vinculada con su capacidad —en sentido amplio— </w:t>
      </w:r>
      <w:r>
        <w:lastRenderedPageBreak/>
        <w:t>para formular válidamente una oferta jurídicamente vinculante para quien la realiza o persona en cuyo nombre se formula, en tanto que admite la postergación del cumplimiento de los requisitos de relevancia puramente formal. En cuanto al plazo mínimo de diez días hábiles para satisfacer esos requisitos puramente formales, destaca el Abogado del Estado que el propio precepto básico permite a los legisladores autonómicos ampliar, nunca reducir, dicho plazo.</w:t>
      </w:r>
    </w:p>
    <w:p w:rsidR="00AC56D6" w:rsidRDefault="00AC56D6" w:rsidP="00AC56D6">
      <w:pPr>
        <w:pStyle w:val="TextoNormal"/>
      </w:pPr>
    </w:p>
    <w:p w:rsidR="00AC56D6" w:rsidRDefault="00AC56D6" w:rsidP="00AC56D6">
      <w:pPr>
        <w:pStyle w:val="TextoNormal"/>
      </w:pPr>
      <w:r>
        <w:t>En cuanto al art. 10 de la Ley recurrida, señala el Abogado del Estado que se impugna principalmente por prever un procedimiento de adjudicación totalmente al margen de la legislación básica estatal y también de la normativa de la Unión Europea. Para el caso de que el Tribunal desestime la impugnación íntegra del precepto, se añade el recurso específico contra sus apartados 2 c), d) y f).</w:t>
      </w:r>
    </w:p>
    <w:p w:rsidR="00AC56D6" w:rsidRDefault="00AC56D6" w:rsidP="00AC56D6">
      <w:pPr>
        <w:pStyle w:val="TextoNormal"/>
      </w:pPr>
    </w:p>
    <w:p w:rsidR="00AC56D6" w:rsidRDefault="00AC56D6" w:rsidP="00AC56D6">
      <w:pPr>
        <w:pStyle w:val="TextoNormal"/>
      </w:pPr>
      <w:r>
        <w:t>El precepto legal autonómico regula un nuevo procedimiento de adjudicación aplicable a las entidades que, a efectos de la normativa sobre contratación, tengan la consideración de Administraciones públicas, respecto de los contratos de suministro y servicios de valor estimado inferior a 150.000 € y de los contratos de obras de importe inferior a 2.000.000 €. Se opone así a lo establecido en el art. 138 del texto refundido de la Ley de contratos del sector público, declarado básico por el apartado segundo de la disposición final segunda al amparo del art. 149.1.18 CE, que entronca con el art. 28 de la Directiva 2004/18/CE, del Parlamento y del Consejo, de 31 de marzo de 2004, sobre coordinación de los procedimientos de adjudicación de los contratos públicos de obras, de suministro y de servicios. De la lectura de estos preceptos resulta que los procedimientos de licitación previstos en el art. 138 del texto refundido son los únicos que pueden existir. Las Comunidades Autónomas pueden introducir novedades orientadas a lograr una tramitación más ágil y eficaz, pero no regular por entero nuevos procedimientos de licitación.</w:t>
      </w:r>
    </w:p>
    <w:p w:rsidR="00AC56D6" w:rsidRDefault="00AC56D6" w:rsidP="00AC56D6">
      <w:pPr>
        <w:pStyle w:val="TextoNormal"/>
      </w:pPr>
    </w:p>
    <w:p w:rsidR="00AC56D6" w:rsidRDefault="00AC56D6" w:rsidP="00AC56D6">
      <w:pPr>
        <w:pStyle w:val="TextoNormal"/>
      </w:pPr>
      <w:r>
        <w:t>El art. 10.2 c) prevé que en el procedimiento simplificado “el anuncio de licitación del contrato únicamente precisará de publicación en el perfil de contratante del poder adjudicador”, lo que contrasta con el art. 142.1 del texto refundido de la Ley de contratos, que exige que los contratos de las Comunidades Autónomas se anuncien, sin excepción, en el “Boletín Oficial del Estado” o en los diarios autonómicos o provinciales a fin de garantizar adecuadamente el principio de publicidad.</w:t>
      </w:r>
    </w:p>
    <w:p w:rsidR="00AC56D6" w:rsidRDefault="00AC56D6" w:rsidP="00AC56D6">
      <w:pPr>
        <w:pStyle w:val="TextoNormal"/>
      </w:pPr>
    </w:p>
    <w:p w:rsidR="00AC56D6" w:rsidRDefault="00AC56D6" w:rsidP="00AC56D6">
      <w:pPr>
        <w:pStyle w:val="TextoNormal"/>
      </w:pPr>
      <w:r>
        <w:t>El art. 10.2 d) establece que “el plazo para la presentación de proposiciones no podrá ser inferior a diez ni superior a veinte días naturales, a contar desde el siguiente al de la publicación en el perfil de contratante”, previsión contraria al art. 159 del texto refundido. En la legislación básica, el plazo de presentación de proposiciones en procedimientos de adjudicación de contratos sujetos a regulación armonizada no podrá ser inferior a 52 días con carácter general y salvo que concurran circunstancias excepcionales; en los contratos no sujetos a regulación armonizada el plazo no será inferior a 15 días, 26 en los contratos de obras públicas. El art. 10.2 d) de la Ley recurrida establece un plazo común, que podrá afectar a contratos sujetos a regulación armonizada. Pero incluso respecto de aquellos no sujetos a regulación armonizada, la disposición autonómica entra en clara discrepancia con la legislación básica estatal.</w:t>
      </w:r>
    </w:p>
    <w:p w:rsidR="00AC56D6" w:rsidRDefault="00AC56D6" w:rsidP="00AC56D6">
      <w:pPr>
        <w:pStyle w:val="TextoNormal"/>
      </w:pPr>
    </w:p>
    <w:p w:rsidR="00AC56D6" w:rsidRDefault="00AC56D6" w:rsidP="00AC56D6">
      <w:pPr>
        <w:pStyle w:val="TextoNormal"/>
      </w:pPr>
      <w:r>
        <w:lastRenderedPageBreak/>
        <w:t>El art. 10.2 f) se limita a hacer aplicación al procedimiento simplificado de la regla general del art. 6, de modo que, al ser esta contraria al orden constitucional de distribución de competencias, su concreción al caso también resultará inconstitucional.</w:t>
      </w:r>
    </w:p>
    <w:p w:rsidR="00AC56D6" w:rsidRDefault="00AC56D6" w:rsidP="00AC56D6">
      <w:pPr>
        <w:pStyle w:val="TextoNormal"/>
      </w:pPr>
    </w:p>
    <w:p w:rsidR="00AC56D6" w:rsidRDefault="00AC56D6" w:rsidP="00AC56D6">
      <w:pPr>
        <w:pStyle w:val="TextoNormal"/>
      </w:pPr>
      <w:r>
        <w:t>Defiende el Abogado del Estado el carácter básico de los arts. 138, 142.1 y 159 del texto refundido de la Ley de contratos. En relación con el primero de ellos, recuerda que la STC 141/1993 ya consideró “indiscutiblemente” básico el precepto que especificaba el límite cuantitativo máximo para acudir a la adjudicación directa del contrato de suministros; se trata de un precepto directa e inmediatamente relacionado con la garantía de los principios básicos de publicidad, igualdad, libre concurrencia y seguridad jurídica. Respecto del art. 142.1 del texto refundido, la publicidad mínima entronca con los principios esenciales de publicidad, igualdad y libre concurrencia, sobre los que ya se pronunció la STC 141/1993. Por último, el art. 159 se limita a establecer plazos mínimos para que los eventuales licitadores puedan presentar sus proposiciones, garantía directamente conectada con el respeto a los esenciales principios de igualdad, libre concurrencia y seguridad jurídica.</w:t>
      </w:r>
    </w:p>
    <w:p w:rsidR="00AC56D6" w:rsidRDefault="00AC56D6" w:rsidP="00AC56D6">
      <w:pPr>
        <w:pStyle w:val="TextoNormal"/>
      </w:pPr>
    </w:p>
    <w:p w:rsidR="00AC56D6" w:rsidRDefault="00AC56D6" w:rsidP="00AC56D6">
      <w:pPr>
        <w:pStyle w:val="TextoNormal"/>
      </w:pPr>
      <w:r w:rsidRPr="00AC56D6">
        <w:rPr>
          <w:rStyle w:val="NumeroAFNegritaCaracter"/>
        </w:rPr>
        <w:t>2</w:t>
      </w:r>
      <w:r>
        <w:t>. Mediante providencia de 20 de diciembre de 2011, el Pleno de este Tribunal acordó admitir a trámite el presente recurso de inconstitucionalidad, así como dar traslado, conforme establece el artículo 34 de la Ley Orgánica del Tribunal Constitucional (LOTC), al Congreso de los Diputados y al Senado por conducto de sus Presidentes, así como a la Diputación General de Aragón y a las Cortes de Aragón, por conducto de sus Presidentes, al objeto de que en el plazo de quince días pudiesen personarse en el proceso y formular las alegaciones que estimaran convenientes; y publicar la incoación del recurso en el “Boletín Oficial del Estado”, lo que se llevó a efecto en el núm. 313, de 29 de diciembre de 2011, y en el “Boletín Oficial de Aragón” núm. 88, de 9 de mayo de 2012.</w:t>
      </w:r>
    </w:p>
    <w:p w:rsidR="00AC56D6" w:rsidRDefault="00AC56D6" w:rsidP="00AC56D6">
      <w:pPr>
        <w:pStyle w:val="TextoNormal"/>
      </w:pPr>
    </w:p>
    <w:p w:rsidR="00AC56D6" w:rsidRDefault="00AC56D6" w:rsidP="00AC56D6">
      <w:pPr>
        <w:pStyle w:val="TextoNormal"/>
      </w:pPr>
      <w:r w:rsidRPr="00AC56D6">
        <w:rPr>
          <w:rStyle w:val="NumeroAFNegritaCaracter"/>
        </w:rPr>
        <w:t>3</w:t>
      </w:r>
      <w:r>
        <w:t>. El 2 de enero de 2012 el Presidente del Congreso de los Diputados comunicó que la Mesa había tomado el acuerdo de dar personada a la Cámara en este proceso constitucional y por ofrecida su colaboración a los efectos del art. 88.1 LOTC. El día 18 de ese mismo mes y año el Presidente del Senado hizo lo propio en relación con esta Cámara.</w:t>
      </w:r>
    </w:p>
    <w:p w:rsidR="00AC56D6" w:rsidRDefault="00AC56D6" w:rsidP="00AC56D6">
      <w:pPr>
        <w:pStyle w:val="TextoNormal"/>
      </w:pPr>
    </w:p>
    <w:p w:rsidR="00AC56D6" w:rsidRDefault="00AC56D6" w:rsidP="00AC56D6">
      <w:pPr>
        <w:pStyle w:val="TextoNormal"/>
      </w:pPr>
      <w:r w:rsidRPr="00AC56D6">
        <w:rPr>
          <w:rStyle w:val="NumeroAFNegritaCaracter"/>
        </w:rPr>
        <w:t>4</w:t>
      </w:r>
      <w:r>
        <w:t>. Ese mismo día 18 de enero de 2012, la Letrada Mayor de las Cortes de Aragón, actuando en representación de la Asamblea Legislativa autonómica, presentó escrito dándose por personada en el proceso y solicitando la concesión de una prórroga del plazo para formular alegaciones por ocho días más.</w:t>
      </w:r>
    </w:p>
    <w:p w:rsidR="00AC56D6" w:rsidRDefault="00AC56D6" w:rsidP="00AC56D6">
      <w:pPr>
        <w:pStyle w:val="TextoNormal"/>
      </w:pPr>
    </w:p>
    <w:p w:rsidR="00AC56D6" w:rsidRDefault="00AC56D6" w:rsidP="00AC56D6">
      <w:pPr>
        <w:pStyle w:val="TextoNormal"/>
      </w:pPr>
      <w:r>
        <w:t>Por proveído de 18 de enero de 2012 se accedió a lo interesado por la representación procesal de las Cortes de Aragón.</w:t>
      </w:r>
    </w:p>
    <w:p w:rsidR="00AC56D6" w:rsidRDefault="00AC56D6" w:rsidP="00AC56D6">
      <w:pPr>
        <w:pStyle w:val="TextoNormal"/>
      </w:pPr>
    </w:p>
    <w:p w:rsidR="00AC56D6" w:rsidRDefault="00AC56D6" w:rsidP="00AC56D6">
      <w:pPr>
        <w:pStyle w:val="TextoNormal"/>
      </w:pPr>
      <w:r w:rsidRPr="00AC56D6">
        <w:rPr>
          <w:rStyle w:val="NumeroAFNegritaCaracter"/>
        </w:rPr>
        <w:t>5</w:t>
      </w:r>
      <w:r>
        <w:t>. La Letrada de la Comunidad Autónoma de Aragón, actuando en representación del Gobierno de Aragón, se personó en este proceso constitucional ese mismo día 18 de enero de 2012 y formuló las alegaciones que ahora se sintetizan.</w:t>
      </w:r>
    </w:p>
    <w:p w:rsidR="00AC56D6" w:rsidRDefault="00AC56D6" w:rsidP="00AC56D6">
      <w:pPr>
        <w:pStyle w:val="TextoNormal"/>
      </w:pPr>
    </w:p>
    <w:p w:rsidR="00AC56D6" w:rsidRDefault="00AC56D6" w:rsidP="00AC56D6">
      <w:pPr>
        <w:pStyle w:val="TextoNormal"/>
      </w:pPr>
      <w:r>
        <w:t>a) Estas alegaciones arrancan con un epígrafe rubricado “Distribución competencial Estado-Comunidad Autónoma en materia de contratación. Alcance respectivo de la legislación básica estatal y del desarrollo de la misma por la Comunidad Autónoma”. Al respecto in</w:t>
      </w:r>
      <w:r>
        <w:lastRenderedPageBreak/>
        <w:t>voca el art. 75 del Estatuto de Autonomía de Aragón, que permitiría a la Comunidad Autónoma “desarrollar una política propia en materia de contratación, lo que supone que el contenido de la legislación básica estatal no podrá ser tan detallada que vacíe el desarrollo de una política diferenciada” (STC 50/1999, de 6 de abril). El alcance de lo básico en materia de contratación pública ha sido definido en las SSTC 141/1993 y 331/1993. No discute la Letrada autonómica el carácter básico de la normativa estatal que se dice vulnerada por los preceptos legales autonómicos (arts. 146.1, 151.2, 138.2, 142.1 y 159 del texto refundido de la Ley de contratos del sector público). Sentado esto, subraya que los preceptos legales controvertidos se limitan a completar la normativa básica estatal con ciertas novedades destinadas a dotar de una mayor agilidad a la tramitación procedimental.</w:t>
      </w:r>
    </w:p>
    <w:p w:rsidR="00AC56D6" w:rsidRDefault="00AC56D6" w:rsidP="00AC56D6">
      <w:pPr>
        <w:pStyle w:val="TextoNormal"/>
      </w:pPr>
    </w:p>
    <w:p w:rsidR="00AC56D6" w:rsidRDefault="00AC56D6" w:rsidP="00AC56D6">
      <w:pPr>
        <w:pStyle w:val="TextoNormal"/>
      </w:pPr>
      <w:r>
        <w:t>En opinión de la Letrada autonómica, “parece competencialmente viable, a la vista de los preceptos estatutarios vigentes, que la Comunidad Autónoma de Aragón adopte estrategias normativas que den adecuada respuesta a las exigencias de la Directiva 2004/18, de contratación del Sector Público y de la jurisprudencia que el TJCE ha venido dictando en los últimos años que ha subrayado con insistencia los principales: publicidad, concurrencia, objetividad, igualdad de trato y eficiencia de los recursos públicos. Sobre esta base, la ley autonómica sobre (</w:t>
      </w:r>
      <w:r w:rsidRPr="00AC56D6">
        <w:rPr>
          <w:i/>
        </w:rPr>
        <w:t>sic</w:t>
      </w:r>
      <w:r>
        <w:t>) cuestiones propias de la tramitación en los procedimientos de adjudicación de contratos públicos implicaría un ejercicio de las competencias recogidas en nuestro Estatuto de Autonomía de tal modo que se refuerzan las garantías de las que se revisten estos principios en la legislación básica estatal.”</w:t>
      </w:r>
    </w:p>
    <w:p w:rsidR="00AC56D6" w:rsidRDefault="00AC56D6" w:rsidP="00AC56D6">
      <w:pPr>
        <w:pStyle w:val="TextoNormal"/>
      </w:pPr>
    </w:p>
    <w:p w:rsidR="00AC56D6" w:rsidRDefault="00AC56D6" w:rsidP="00AC56D6">
      <w:pPr>
        <w:pStyle w:val="TextoNormal"/>
      </w:pPr>
      <w:r>
        <w:t>b) Aborda seguidamente el estudio de los “principios de la política propia de contratación pública de la Comunidad Autónoma. Ámbito y límites”. En ejercicio de la competencia autonómica, las Cortes de Aragón establecieron en la Ley recurrida una serie de medidas de simplificación en la tramitación de los procedimientos. Se trata de unas medidas que resultan obligadas en virtud del art. 5 de la Directiva 2006/123/CE, de 12 de diciembre, relativa a los servicios en el mercado interior, conocida como “Directiva de servicios”. Esta Directiva proclama una serie de principios del procedimiento administrativo que necesariamente deben inspirar la regulación de desarrollo procedimental autonómica. A este respecto identifica una serie de medidas de simplificación administrativa que se contienen en la propuesta de Directiva sobre contratación pública COM (2011) 896 final.</w:t>
      </w:r>
    </w:p>
    <w:p w:rsidR="00AC56D6" w:rsidRDefault="00AC56D6" w:rsidP="00AC56D6">
      <w:pPr>
        <w:pStyle w:val="TextoNormal"/>
      </w:pPr>
    </w:p>
    <w:p w:rsidR="00AC56D6" w:rsidRDefault="00AC56D6" w:rsidP="00AC56D6">
      <w:pPr>
        <w:pStyle w:val="TextoNormal"/>
      </w:pPr>
      <w:r>
        <w:t>c) Dicho esto, pasa la Letrada autonómica a defender la constitucionalidad de los preceptos legales impugnados.</w:t>
      </w:r>
    </w:p>
    <w:p w:rsidR="00AC56D6" w:rsidRDefault="00AC56D6" w:rsidP="00AC56D6">
      <w:pPr>
        <w:pStyle w:val="TextoNormal"/>
      </w:pPr>
    </w:p>
    <w:p w:rsidR="00AC56D6" w:rsidRDefault="00AC56D6" w:rsidP="00AC56D6">
      <w:pPr>
        <w:pStyle w:val="TextoNormal"/>
      </w:pPr>
      <w:r>
        <w:t xml:space="preserve">Respecto del art. 6 de la Ley de las Cortes de Aragón 3/2011, de medidas en materia de contratos del sector público de Aragón, señala que la posibilidad de sustituir la presentación inicial de documentación —cuando se opte por la no existencia de mesa de contratación— por una declaración responsable no altera el elenco mínimo de requisitos del art. 146.1 del texto refundido de la Ley de contratos del sector público ni tampoco el momento de exigencia de su concurrencia efectiva. El legislador autonómico hace uso de la posibilidad introducida en el art. 71 </w:t>
      </w:r>
      <w:r w:rsidRPr="00AC56D6">
        <w:rPr>
          <w:i/>
        </w:rPr>
        <w:t>bis</w:t>
      </w:r>
      <w:r>
        <w:t xml:space="preserve"> de la Ley 30/1992 por la Directiva de servicios. La Letrada autonómica defiende que la previsión del artículo 6 es perfectamente legítima por tratarse de un ámbito organizativo de la tramitación procedimental y porque sigue las pautas y exigencias marcadas de simplificación administrativa previstas en la Directiva de servicios. A mayor abundamiento, esta misma solución ha sido recogida en la Ley Foral 6/2006, de contratos públicos de Navarra, frente a la que no se han alzado reproches de inconstitucionalidad.</w:t>
      </w:r>
    </w:p>
    <w:p w:rsidR="00AC56D6" w:rsidRDefault="00AC56D6" w:rsidP="00AC56D6">
      <w:pPr>
        <w:pStyle w:val="TextoNormal"/>
      </w:pPr>
    </w:p>
    <w:p w:rsidR="00AC56D6" w:rsidRDefault="00AC56D6" w:rsidP="00AC56D6">
      <w:pPr>
        <w:pStyle w:val="TextoNormal"/>
      </w:pPr>
      <w:r>
        <w:t>Los requisitos establecidos en el art. 146.1 del texto refundido de la Ley de contratos del sector público lo son para contratar y no para licitar, de modo que parece razonable permitir la sustitución de la presentación de la documentación que acredite su cumplimiento por una simple declaración responsable, sin perjuicio de la posterior aportación de los documentos por quien resulte finalmente adjudicatario. Se pretende simplificar la presentación de ofertas, garantizando el mayor impulso y fomento de la concurrencia. Nada dice la Directiva de contratos de 2004 sobre la obligatoriedad de la aportación documental aquí discutida. A mayor abundamiento, lo dispuesto en el precepto legal controvertido es una simple posibilidad para los procedimientos negociados y simplificados en los que no se constituya mesa de contratación, lo que supone una enorme descarga burocrática.</w:t>
      </w:r>
    </w:p>
    <w:p w:rsidR="00AC56D6" w:rsidRDefault="00AC56D6" w:rsidP="00AC56D6">
      <w:pPr>
        <w:pStyle w:val="TextoNormal"/>
      </w:pPr>
    </w:p>
    <w:p w:rsidR="00AC56D6" w:rsidRDefault="00AC56D6" w:rsidP="00AC56D6">
      <w:pPr>
        <w:pStyle w:val="TextoNormal"/>
      </w:pPr>
      <w:r>
        <w:t>Por lo que hace al art. 6.2 de la Ley impugnada, recurrida al contravenir lo dispuesto en el art. 151.2 del texto refundido de la Ley de contratos del sector público, señala la Letrada autonómica que ambos preceptos están regulando plazos distintos: el plazo de cinco días de la Ley aragonesa no es el resultado de la reducción a la mitad del plazo fijado por el legislador estatal sino un nuevo plazo a contar desde la propuesta de adjudicación para que el licitador propuesto pueda presentar la documentación acreditativa del cumplimiento de los requisitos establecidos en el art. 146.1 del texto refundido.</w:t>
      </w:r>
    </w:p>
    <w:p w:rsidR="00AC56D6" w:rsidRDefault="00AC56D6" w:rsidP="00AC56D6">
      <w:pPr>
        <w:pStyle w:val="TextoNormal"/>
      </w:pPr>
    </w:p>
    <w:p w:rsidR="00AC56D6" w:rsidRDefault="00AC56D6" w:rsidP="00AC56D6">
      <w:pPr>
        <w:pStyle w:val="TextoNormal"/>
      </w:pPr>
      <w:r>
        <w:t>Sobre la impugnación del art. 10 de la Ley autonómica en su conjunto, señala la representación letrada del Gobierno de Aragón que, en rigor, dicho precepto no crea un nuevo procedimiento sino que completa y desarrolla la regulación del procedimiento abierto con una tramitación simplificada en ciertos aspectos para una serie de contratos de obras, suministros y servicios limitados por razón de la cuantía. En apoyo de esta interpretación se reproduce una pasaje del preámbulo de la Ley y del informe de la Junta Consultiva de Contratación de la Comunidad Autónoma 15/2011. El precepto es similar a los arts. 64 a 66 de la Ley Foral de contratos públicos de Navarra, cuya constitucionalidad no se ha discutido.</w:t>
      </w:r>
    </w:p>
    <w:p w:rsidR="00AC56D6" w:rsidRDefault="00AC56D6" w:rsidP="00AC56D6">
      <w:pPr>
        <w:pStyle w:val="TextoNormal"/>
      </w:pPr>
    </w:p>
    <w:p w:rsidR="00AC56D6" w:rsidRDefault="00AC56D6" w:rsidP="00AC56D6">
      <w:pPr>
        <w:pStyle w:val="TextoNormal"/>
      </w:pPr>
      <w:r>
        <w:t>Sobre la impugnación del art. 10.2 c) de la Ley, recuerda la Letrada autonómica que se recurre por su oposición con el art. 142 del texto refundido de la Ley de contratos del sector público, relativo a la publicidad de determinados contratos. La doctrina constitucional ya ha afirmado que la regulación de la publicidad de las licitaciones tiene carácter básico al ser esencial para garantizar la igualdad entre todos los licitadores. Pero ello no incluye la forma concreta de publicidad ni la exigencia de una sola modalidad de publicación. Pues bien, la Ley recurrida no está suprimiendo ni variando el contenido de esa publicidad sino “únicamente atendiendo a la especialidad concurrente en la Comunidad Autónoma en la publicación telemática del ‘Boletín Oficial de Aragón’, tanto en la sede misma del Boletín como en la propia sede del perfil del contratante, esto es, de la página web del Gobierno de Aragón”. En opinión de la Letrada autonómica, el cambio resultaría intrascendente en sí mismo y “muy beneficioso en el ámbito de las cargas procedimentales en la presentación de ofertas por los licitadores, que resultan del carácter gratuito de tal publicidad en el perfil del contratante frente a la publicidad en el ‘BOA’”. En defensa de su tesis, cita el informe 15/2011 de la Junta Consultiva de Contratación de Aragón, en el que se afirma que la publicidad únicamente en el perfil del contratante no quiebra la garantía de la transparencia sino que genera una publicidad por medios electrónicos inmediata, gratuita y que permite aumentar la concurrencia mediante un portal específico que tiene los mismos efectos que la publicidad insertada en el “Boletín Oficial de Aragón”.</w:t>
      </w:r>
    </w:p>
    <w:p w:rsidR="00AC56D6" w:rsidRDefault="00AC56D6" w:rsidP="00AC56D6">
      <w:pPr>
        <w:pStyle w:val="TextoNormal"/>
      </w:pPr>
    </w:p>
    <w:p w:rsidR="00AC56D6" w:rsidRDefault="00AC56D6" w:rsidP="00AC56D6">
      <w:pPr>
        <w:pStyle w:val="TextoNormal"/>
      </w:pPr>
      <w:r>
        <w:t>El art. 10.2 d) se impugna por vulneración del art. 159 del texto refundido de la Ley de contratos del sector público, que fija, para los procedimientos abiertos de adjudicación de contratos sujetos a regulación armonizada, un plazo de presentación de ofertas que no podrá ser inferior a 52 días, computados desde la fecha del envío del anuncio a la Comisión Europea. Subraya la Letrada autonómica que el precepto legal no afecta a los contratos sujetos a una regulación armonizada, que son justamente aquellos sobre los que incide la base estatal. El Abogado del Estado cita en defensa de su pretensión anulatoria del precepto autonómico la previsión del último inciso del art. 13.1 del texto refundido de la Ley de contratos del sector público, relativo a la calificación como sujetos a regulación armonizada de los contratos subvencionados a los que se refiere el art. 17. Sin embargo, el procedimiento simplificado al que se aplica el art. 10.2 d) de la Ley aragonesa no se vería en ningún caso afectado por la previsión básica estatal al situarse por debajo de los umbrales establecidos en el texto refundido de la Ley de contratos del sector público. Se trata, por tanto, de una medida tendente a agilizar la tramitación administrativa de unos procedimientos de escasa complejidad. Se ha respetado como plazo mínimo el previsto en el art. 112 del texto refundido de la Ley de contratos del sector público para la tramitación urgente del procedimiento abierto.</w:t>
      </w:r>
    </w:p>
    <w:p w:rsidR="00AC56D6" w:rsidRDefault="00AC56D6" w:rsidP="00AC56D6">
      <w:pPr>
        <w:pStyle w:val="TextoNormal"/>
      </w:pPr>
    </w:p>
    <w:p w:rsidR="00AC56D6" w:rsidRDefault="00AC56D6" w:rsidP="00AC56D6">
      <w:pPr>
        <w:pStyle w:val="TextoNormal"/>
      </w:pPr>
      <w:r>
        <w:t>El art. 10.2 f) de la Ley recurrida reproduce lo dispuesto en el art. 6.2 del mismo texto legal, ahora en relación con el procedimiento simplificado. En aras de esta identidad, la Letrada autonómica se remite a lo alegado en defensa de la constitucionalidad del segundo de los preceptos legales citados.</w:t>
      </w:r>
    </w:p>
    <w:p w:rsidR="00AC56D6" w:rsidRDefault="00AC56D6" w:rsidP="00AC56D6">
      <w:pPr>
        <w:pStyle w:val="TextoNormal"/>
      </w:pPr>
    </w:p>
    <w:p w:rsidR="00AC56D6" w:rsidRDefault="00AC56D6" w:rsidP="00AC56D6">
      <w:pPr>
        <w:pStyle w:val="TextoNormal"/>
      </w:pPr>
      <w:r>
        <w:t>El escrito de alegaciones se cierra con la petición de desestimación íntegra del recurso y la solicitud, formulada en otrosí, de apertura del incidente de levantamiento o mantenimiento de la suspensión de los preceptos legales recurridos.</w:t>
      </w:r>
    </w:p>
    <w:p w:rsidR="00AC56D6" w:rsidRDefault="00AC56D6" w:rsidP="00AC56D6">
      <w:pPr>
        <w:pStyle w:val="TextoNormal"/>
      </w:pPr>
    </w:p>
    <w:p w:rsidR="00AC56D6" w:rsidRDefault="00AC56D6" w:rsidP="00AC56D6">
      <w:pPr>
        <w:pStyle w:val="TextoNormal"/>
      </w:pPr>
      <w:r w:rsidRPr="00AC56D6">
        <w:rPr>
          <w:rStyle w:val="NumeroAFNegritaCaracter"/>
        </w:rPr>
        <w:t>6</w:t>
      </w:r>
      <w:r>
        <w:t>. La Letrada Mayor de las Cortes de Aragón, actuando en nombre de esta Asamblea Legislativa, presentó sus alegaciones el 31 de enero de 2012.</w:t>
      </w:r>
    </w:p>
    <w:p w:rsidR="00AC56D6" w:rsidRDefault="00AC56D6" w:rsidP="00AC56D6">
      <w:pPr>
        <w:pStyle w:val="TextoNormal"/>
      </w:pPr>
    </w:p>
    <w:p w:rsidR="00AC56D6" w:rsidRDefault="00AC56D6" w:rsidP="00AC56D6">
      <w:pPr>
        <w:pStyle w:val="TextoNormal"/>
      </w:pPr>
      <w:r>
        <w:t xml:space="preserve">a) Rubrica su primera alegación “Doctrina constitucional sobre el equilibrio de las competencias estatales sobre legislación básica y de las competencias de desarrollo normativo de las Comunidades Autónomas. Aplicación a la materia de contratación pública”. El art. 149.1.18 CE atribuye al Estado la competencia exclusiva en materia de procedimiento administrativo común y sobre legislación básica de contratos y concesiones administrativas, en tanto que el art. 75 del Estatuto de Autonomía de Aragón atribuye a la Comunidad Autónoma las competencias de desarrollo de las bases fijadas por el Estado </w:t>
      </w:r>
      <w:r w:rsidRPr="00AC56D6">
        <w:rPr>
          <w:i/>
        </w:rPr>
        <w:t>ex</w:t>
      </w:r>
      <w:r>
        <w:t xml:space="preserve"> art. 149.1.18 CE (apartado 11) y de desarrollo del régimen jurídico, procedimiento, contratación y responsabilidad de las Administraciones públicas (apartado 12).</w:t>
      </w:r>
    </w:p>
    <w:p w:rsidR="00AC56D6" w:rsidRDefault="00AC56D6" w:rsidP="00AC56D6">
      <w:pPr>
        <w:pStyle w:val="TextoNormal"/>
      </w:pPr>
    </w:p>
    <w:p w:rsidR="00AC56D6" w:rsidRDefault="00AC56D6" w:rsidP="00AC56D6">
      <w:pPr>
        <w:pStyle w:val="TextoNormal"/>
      </w:pPr>
      <w:r>
        <w:t xml:space="preserve">Al respecto, la Letrada autonómica cita diversas resoluciones de este Tribunal, destacadamente la SSTC 109/2003, relativa a los elementos formal y material de lo básico; 141/1993, que delimitó el alcance de lo básico en materia de contratación pública, y 61/1997, en cuanto señala que “en la dinámica bases-desarrollo siempre ha de restar un espacio normativo para las Comunidades Autónomas”. Desde el punto de vista formal, no hay duda de la suficiencia de la disposición final segunda del texto refundido de la Ley de contratos del sector público para establecer lo básico. Desde el material, la Letrada parlamentaria reprocha al escrito rector de este proceso constitucional que venga a negar lo que </w:t>
      </w:r>
      <w:r>
        <w:lastRenderedPageBreak/>
        <w:t>aparentemente afirma pues, tras proclamar que la Comunidad Autónoma “puede, sin duda, en ejercicio de su facultad de desarrollo, simplificar trámites en aquellas regulaciones que puedan considerarse complementarias o de detalle”, se controvierten seguidamente previsiones de detalle y procedimiento, como son las relativas a los plazos, obligaciones y cargas documentales o económicas de los licitadores en los procedimientos de adjudicación.</w:t>
      </w:r>
    </w:p>
    <w:p w:rsidR="00AC56D6" w:rsidRDefault="00AC56D6" w:rsidP="00AC56D6">
      <w:pPr>
        <w:pStyle w:val="TextoNormal"/>
      </w:pPr>
    </w:p>
    <w:p w:rsidR="00AC56D6" w:rsidRDefault="00AC56D6" w:rsidP="00AC56D6">
      <w:pPr>
        <w:pStyle w:val="TextoNormal"/>
      </w:pPr>
      <w:r>
        <w:t>b) Defiende a continuación la Letrada Mayor de las Cortes de Aragón que el art. 6 de la Ley recurrida se ampara en las competencias autonómicas en materia de contratos, respetando en su integridad los principios básicos en la materia. Señala, al respecto que, el texto refundido de la Ley de contratos del sector público ya prevé la sustitución de la acreditación de los requisitos diferentes de la capacidad de obrar, representación y solvencia por la declaración responsable.</w:t>
      </w:r>
    </w:p>
    <w:p w:rsidR="00AC56D6" w:rsidRDefault="00AC56D6" w:rsidP="00AC56D6">
      <w:pPr>
        <w:pStyle w:val="TextoNormal"/>
      </w:pPr>
    </w:p>
    <w:p w:rsidR="00AC56D6" w:rsidRDefault="00AC56D6" w:rsidP="00AC56D6">
      <w:pPr>
        <w:pStyle w:val="TextoNormal"/>
      </w:pPr>
      <w:r>
        <w:t xml:space="preserve">Rechaza la Letrada parlamentaria que la forma de acreditación del requisito diga nada sobre su relevancia y que mediante la declaración responsable el empresario asume una responsabilidad cierta ante la Administración contratante, pues la falsedad da lugar a la sanción más grave que pueda imponerse: la prohibición de contratar con esa misma Administración. El precepto legal controvertido sigue la senda de flexibilización abierta por el propio legislador estatal, entre otras en la Ley 25/2009, de adaptación a la Directiva de servicios, que introduce específicamente en nuestro Derecho —mediante el nuevo art. 71 </w:t>
      </w:r>
      <w:r w:rsidRPr="00AC56D6">
        <w:rPr>
          <w:i/>
        </w:rPr>
        <w:t>bis</w:t>
      </w:r>
      <w:r>
        <w:t xml:space="preserve"> de la Ley 30/1992— la figura de la comunicación y la declaración responsable en una gran variedad de ámbitos. En el de la contratación administrativa, esta tendencia a la simplificación se refleja en el Libro Verde de la Comisión sobre modernización de la política de contratación pública de la Unión Europea, “Hacia un mercado europeo de la contratación pública más eficiente” y en el informe de la Comisión de Mercado Interior y Protección del Consumidor sobre nuevos aspectos de la política de contratación pública [2009/2175 (INI)]. También ha apostado por la flexibilización el Comité de las Regiones y la propuesta de Directiva del Parlamento Europeo y del Consejo relativa a la contratación pública [COM (2011) 896 al final]. Algunas Comunidades Autónomas han legislado en esta dirección, como ha sucedido en el art. 54.4 de la Ley Foral 6/2006, de contratos de Navarra.</w:t>
      </w:r>
    </w:p>
    <w:p w:rsidR="00AC56D6" w:rsidRDefault="00AC56D6" w:rsidP="00AC56D6">
      <w:pPr>
        <w:pStyle w:val="TextoNormal"/>
      </w:pPr>
    </w:p>
    <w:p w:rsidR="00AC56D6" w:rsidRDefault="00AC56D6" w:rsidP="00AC56D6">
      <w:pPr>
        <w:pStyle w:val="TextoNormal"/>
      </w:pPr>
      <w:r>
        <w:t>Hace hincapié la Letrada parlamentaria en que la acreditación de que el empresario no se halla incurso en ninguna de las prohibiciones para contratar no es una obligación “puramente formal”, como vendría a sostener el Abogado del Estado en el escrito de demanda, pues su incumplimiento lleva aparejada la sanción de prohibición de contratar. El propio legislador estatal permite la sustitución de la acreditación por la declaración responsable. Por tanto, “la decisión legal de optar por una u otra forma de acreditación no parece responder a una decisión anclada en los principios básicos de contratación administrativa ni en la relevancia intrínseca del requisito considerado en cada caso … sino probablemente en distinciones de orden más práctico, como puede ser la de distinguir aquellos elementos a disposición directa del empresario (escrituras de constitución y poder, o elementos de solvencia provenientes de su propia actividad empresarial) de aquellos otros que dependen de la formación de un expediente en la Administración tributaria o de la Seguridad Social y por tanto, de persona jurídica distinta al propio empresario”. De modo que la sustitución de la forma y momento de acreditación de los requisitos a los que atañe la regulación del precepto legal recurrido es una cuestión de orden puramente procedimental, que se enmarca dentro de las capacidades de desarrollo normativo que ostenta la Comunidad Autónoma en materia de contratación pública y que no vulnera las bases estatales.</w:t>
      </w:r>
    </w:p>
    <w:p w:rsidR="00AC56D6" w:rsidRDefault="00AC56D6" w:rsidP="00AC56D6">
      <w:pPr>
        <w:pStyle w:val="TextoNormal"/>
      </w:pPr>
    </w:p>
    <w:p w:rsidR="00AC56D6" w:rsidRDefault="00AC56D6" w:rsidP="00AC56D6">
      <w:pPr>
        <w:pStyle w:val="TextoNormal"/>
      </w:pPr>
      <w:r>
        <w:t>En relación con el plazo para la acreditación de la posesión y validez de los documentos elegidos, sostiene la Letrada parlamentaria que el plazo de cinco días fijado por el legislador aragonés no puede considerarse inadecuado simplemente porque no coincida con el establecido en el art. 151.2 del texto refundido de la Ley de contratos del sector público. El precepto legal autonómico se refiere a la acreditación de extremos diferentes del cumplimiento de las obligaciones tributarias y de la Seguridad Social, que es el ámbito de la norma básica estatal, por lo que no puede haber contradicción entre ambas disposiciones.</w:t>
      </w:r>
    </w:p>
    <w:p w:rsidR="00AC56D6" w:rsidRDefault="00AC56D6" w:rsidP="00AC56D6">
      <w:pPr>
        <w:pStyle w:val="TextoNormal"/>
      </w:pPr>
    </w:p>
    <w:p w:rsidR="00AC56D6" w:rsidRDefault="00AC56D6" w:rsidP="00AC56D6">
      <w:pPr>
        <w:pStyle w:val="TextoNormal"/>
      </w:pPr>
      <w:r>
        <w:t>c) En relación con el art. 10 de la Ley, señala que “el precepto no regula un nuevo procedimiento de adjudicación y se ampara en las competencias autonómicas en materia de contratos, respetando en sus previsiones los principios básicos de la normativa estatal”.</w:t>
      </w:r>
    </w:p>
    <w:p w:rsidR="00AC56D6" w:rsidRDefault="00AC56D6" w:rsidP="00AC56D6">
      <w:pPr>
        <w:pStyle w:val="TextoNormal"/>
      </w:pPr>
    </w:p>
    <w:p w:rsidR="00AC56D6" w:rsidRDefault="00AC56D6" w:rsidP="00AC56D6">
      <w:pPr>
        <w:pStyle w:val="TextoNormal"/>
      </w:pPr>
      <w:r>
        <w:t>Tras exponer sucintamente el contenido del precepto legal recurrido, concluye la Letrada parlamentaria que en él “no se está regulando … un nuevo procedimiento de adjudicación … ya que … las especialidades contenidas en él se refieren a elementos de detalle en el procedimiento abierto, sin alterarlo en ninguna de sus fases”. La innovación autonómica sobre formas de adjudicación de los contratos ha sido descartada por la STC 162/2009, FJ 4, referida precisamente a una ley aragonesa —la Ley 7/1999, de 9 de abril, de Administración local de Aragón— que primaba el concurso sobre la subasta. Ahora bien, en esa misma Sentencia el Tribunal ya precisó que el legislador autonómico puede llevar a cabo “desarrollos normativos que, sin detrimento de la eficacia de la norma estatal básica, contengan prescripciones y peculiaridades de detalle o de procedimiento”. Esa es justamente la labor que desempeña el art. 10 de la Ley aragonesa impugnada, que se limita a simplificar el procedimiento abierto, respetando sus fases y características básicas y permitiendo su utilización, siempre potestativa y previamente establecida en los pliegos, en aquellos casos en los que podría optarse por el procedimiento negociado por razón de la cuantía, pero en los que no se considera adecuado o necesario por el órgano de contratación iniciar una fase de negociación con los licitadores. En respuesta a las dudas suscitadas por la terminología originalmente empleada, la Ley 3/2012, de 8 de marzo, de medidas fiscales y administrativas de la Comunidad Autónoma de Aragón, modificó la rúbrica del precepto, que pasó a ser “trámite simplificado” y especificó su contenido mediante las modificaciones legales al efecto pertinentes.</w:t>
      </w:r>
    </w:p>
    <w:p w:rsidR="00AC56D6" w:rsidRDefault="00AC56D6" w:rsidP="00AC56D6">
      <w:pPr>
        <w:pStyle w:val="TextoNormal"/>
      </w:pPr>
    </w:p>
    <w:p w:rsidR="00AC56D6" w:rsidRDefault="00AC56D6" w:rsidP="00AC56D6">
      <w:pPr>
        <w:pStyle w:val="TextoNormal"/>
      </w:pPr>
      <w:r>
        <w:t>El artículo 10.2 c) prevé la publicación del anuncio de licitación de los contratos afectados en el perfil del contratante de la Administración autonómica, medio considerado adecuado y suficiente por la Comisión Europea en la comunicación COM 2006/C 179/02 toda vez que “la publicación en el sitio web de la entidad adjudicadora es un sistema flexible y con una buena relación coste-eficacia”. Tras la aprobación de la Ley 3/2012 queda claro que la publicación lo es en la misma sede electrónica del “Boletín Oficial de Aragón”, lo que garantiza el acceso inmediato de los licitadores a los procedimientos puestos en marcha por la Administración autonómica. Se trata, en todo caso, de una previsión aplicable exclusivamente a contratos no susceptibles de regulación armonizada.</w:t>
      </w:r>
    </w:p>
    <w:p w:rsidR="00AC56D6" w:rsidRDefault="00AC56D6" w:rsidP="00AC56D6">
      <w:pPr>
        <w:pStyle w:val="TextoNormal"/>
      </w:pPr>
    </w:p>
    <w:p w:rsidR="00AC56D6" w:rsidRDefault="00AC56D6" w:rsidP="00AC56D6">
      <w:pPr>
        <w:pStyle w:val="TextoNormal"/>
      </w:pPr>
      <w:r>
        <w:t xml:space="preserve">El artículo 10.2 d) permite reducir el plazo de presentación de proposiciones en línea con la evolución del Derecho de la Unión Europea en la materia, como demuestra la propuesta de Directiva del Parlamento Europeo y del Consejo [COM (2011) 896 final]. Una previsión similar figura en la Ley Foral 6/2006, de contratos de Navarra. Siempre que se garantice el </w:t>
      </w:r>
      <w:r>
        <w:lastRenderedPageBreak/>
        <w:t>respeto a los principios de publicidad, igualdad y concurrencia, y siempre que la decisión del legislador supere el juicio de proporcionalidad, es posible que una Comunidad Autónoma establezca especialidades procedimentales como las introducidas por la Ley recurrida. Entender lo contrario sería tanto como vaciar de contenido la competencia autonómica de desarrollo de las bases estatales. Descarta la Letrada parlamentaria que la norma cuestionada vulnere los principios de igualdad, publicidad y seguridad jurídica.</w:t>
      </w:r>
    </w:p>
    <w:p w:rsidR="00AC56D6" w:rsidRDefault="00AC56D6" w:rsidP="00AC56D6">
      <w:pPr>
        <w:pStyle w:val="TextoNormal"/>
      </w:pPr>
    </w:p>
    <w:p w:rsidR="00AC56D6" w:rsidRDefault="00AC56D6" w:rsidP="00AC56D6">
      <w:pPr>
        <w:pStyle w:val="TextoNormal"/>
      </w:pPr>
      <w:r>
        <w:t>El artículo 10.2 f) permite sustituir la documentación acreditativa de la capacidad, representación y solvencia por una declaración responsable. Amén de remitirse a lo expuesto respecto del art. 6 de la Ley autonómica 3/2011, recuera la Letrada parlamentaria que estamos ante un contrato no sujeto a regulación armonizada.</w:t>
      </w:r>
    </w:p>
    <w:p w:rsidR="00AC56D6" w:rsidRDefault="00AC56D6" w:rsidP="00AC56D6">
      <w:pPr>
        <w:pStyle w:val="TextoNormal"/>
      </w:pPr>
    </w:p>
    <w:p w:rsidR="00AC56D6" w:rsidRDefault="00AC56D6" w:rsidP="00AC56D6">
      <w:pPr>
        <w:pStyle w:val="TextoNormal"/>
      </w:pPr>
      <w:r>
        <w:t>La representación letrada de las Cortes de Aragón concluye su escrito de alegaciones postulando la desestimación del recurso de inconstitucionalidad.</w:t>
      </w:r>
    </w:p>
    <w:p w:rsidR="00AC56D6" w:rsidRDefault="00AC56D6" w:rsidP="00AC56D6">
      <w:pPr>
        <w:pStyle w:val="TextoNormal"/>
      </w:pPr>
    </w:p>
    <w:p w:rsidR="00AC56D6" w:rsidRDefault="00AC56D6" w:rsidP="00AC56D6">
      <w:pPr>
        <w:pStyle w:val="TextoNormal"/>
      </w:pPr>
      <w:r w:rsidRPr="00AC56D6">
        <w:rPr>
          <w:rStyle w:val="NumeroAFNegritaCaracter"/>
        </w:rPr>
        <w:t>7</w:t>
      </w:r>
      <w:r>
        <w:t>. 7. Mediante providencia de 28 de febrero de 2012, el Pleno del Tribunal acordó dar audiencia a las partes personadas para que, en el plazo de cinco días expusieran lo que considerasen conveniente acerca del mantenimiento o levantamiento de la suspensión de los preceptos legales recurridos.</w:t>
      </w:r>
    </w:p>
    <w:p w:rsidR="00AC56D6" w:rsidRDefault="00AC56D6" w:rsidP="00AC56D6">
      <w:pPr>
        <w:pStyle w:val="TextoNormal"/>
      </w:pPr>
    </w:p>
    <w:p w:rsidR="00AC56D6" w:rsidRDefault="00AC56D6" w:rsidP="00AC56D6">
      <w:pPr>
        <w:pStyle w:val="TextoNormal"/>
      </w:pPr>
      <w:r>
        <w:t>Cumplimentado el trámite conferido a las partes se dictó el ATC 69/2012, de 17 abril, por el que se acordó el levantamiento de la suspensión de la vigencia de los arts. 6 y 10 de la Ley 3/2011 recurrida.</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18 de noviembre de 2015, se señaló para deliberación y votación de la presente Sentencia el día 19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Según se ha expuesto con mayor detalle en los antecedentes de esta resolución, son objeto del presente proceso constitucional los arts. 6.1 y 2 y 10 —en su integridad y, subsidiariamente las letras c), d) y f) de su apartado segundo— de la Ley de las Cortes de Aragón 3/2011, de 24 de febrero, de medidas en materia de contratos del sector público de Aragón. A estos preceptos legales reprocha el Presidente del Gobierno inconstitucionalidad mediata por contravención de la normativa básica estatal en materia de contratación pública contenida en el texto refundido de la Ley de contratos del sector público, aprobado por el Real Decreto Legislativo 3/2011, de 14 de noviembre. Concretamente, los apartados primero y segundo del art. 6 de la Ley aragonesa se impugnan por su incompatibilidad con los arts. 146 y 151.2 de este texto refundido, en tanto que al art. 10 se le achaca, además, la contravención de lo dispuesto en los arts. 138, 142.1 y 159, siempre del texto refundido de la Ley de contratos del sector público.</w:t>
      </w:r>
    </w:p>
    <w:p w:rsidR="00AC56D6" w:rsidRDefault="00AC56D6" w:rsidP="00AC56D6">
      <w:pPr>
        <w:pStyle w:val="TextoNormal"/>
      </w:pPr>
    </w:p>
    <w:p w:rsidR="00AC56D6" w:rsidRDefault="00AC56D6" w:rsidP="00AC56D6">
      <w:pPr>
        <w:pStyle w:val="TextoNormal"/>
      </w:pPr>
      <w:r w:rsidRPr="00AC56D6">
        <w:rPr>
          <w:rStyle w:val="NumeroAFNegritaCaracter"/>
        </w:rPr>
        <w:t>2</w:t>
      </w:r>
      <w:r>
        <w:t xml:space="preserve">. Conforme resulta de la somera exposición de su objeto contenida en el anterior fundamento jurídico, el presente proceso constitucional reviste carácter competencial. Resulta por ello pertinente recordar ahora la doctrina elaborada por este Tribunal acerca del régimen </w:t>
      </w:r>
      <w:r>
        <w:lastRenderedPageBreak/>
        <w:t>de distribución de competencias sobre contratación pública, materia en la que las partes personadas convienen en encuadrar los preceptos legales controvertidos.</w:t>
      </w:r>
    </w:p>
    <w:p w:rsidR="00AC56D6" w:rsidRDefault="00AC56D6" w:rsidP="00AC56D6">
      <w:pPr>
        <w:pStyle w:val="TextoNormal"/>
      </w:pPr>
    </w:p>
    <w:p w:rsidR="00AC56D6" w:rsidRDefault="00AC56D6" w:rsidP="00AC56D6">
      <w:pPr>
        <w:pStyle w:val="TextoNormal"/>
      </w:pPr>
      <w:r>
        <w:t>A este respecto, debe comenzarse recordando, como ya hiciéramos en la STC 56/2014, de 10 de abril, FJ 3 a), que “el art. 149.1.18 CE atribuye al Estado, entre otras, la competencia exclusiva para dictar ‘la legislación básica sobre contratos y concesiones administrativas’. En términos de la STC 141/1993, de 22 de abril, FJ 5, ‘la normativa básica en materia de contratación administrativa tiene principalmente por objeto, aparte de otros fines de interés general, proporcionar las garantías de publicidad, igualdad, libre concurrencia y seguridad jurídica que aseguren a los ciudadanos un tratamiento común por parte de todas las Administraciones públicas’ (en el mismo sentido, SSTC 331/1993, de 12 de noviembre, FJ 6, y 162/2009, de 29 de junio, FJ 4).”</w:t>
      </w:r>
    </w:p>
    <w:p w:rsidR="00AC56D6" w:rsidRDefault="00AC56D6" w:rsidP="00AC56D6">
      <w:pPr>
        <w:pStyle w:val="TextoNormal"/>
      </w:pPr>
    </w:p>
    <w:p w:rsidR="00AC56D6" w:rsidRDefault="00AC56D6" w:rsidP="00AC56D6">
      <w:pPr>
        <w:pStyle w:val="TextoNormal"/>
      </w:pPr>
      <w:r>
        <w:t>Añadíamos entonces que “en el marco de lo dispuesto por el art. 149.1.18 CE, las Comunidades Autónomas han podido asumir la competencia de desarrollo legislativo de la legislación básica estatal en materia de contratos administrativos.” Y debemos especificar ahora que la Comunidad Autónoma de Aragón ha ejercido esa posibilidad al asumir en su Estatuto de Autonomía reformado por la Ley Orgánica 5/2007, de 20 de abril, la competencia genérica de “desarrollo de las bases del Estado previstas en el artículo 149.1.18 de la Constitución para las Administraciones Públicas aragonesas, incluidas las Entidades Locales” y específica sobre “régimen jurídico, procedimiento, contratación y responsabilidad de la Administración Pública de la Comunidad Autónoma” (art. 75.11 y 12), títulos ambos que el propio texto estatutario caracteriza como “competencias compartidas”.</w:t>
      </w:r>
    </w:p>
    <w:p w:rsidR="00AC56D6" w:rsidRDefault="00AC56D6" w:rsidP="00AC56D6">
      <w:pPr>
        <w:pStyle w:val="TextoNormal"/>
      </w:pPr>
    </w:p>
    <w:p w:rsidR="00AC56D6" w:rsidRDefault="00AC56D6" w:rsidP="00AC56D6">
      <w:pPr>
        <w:pStyle w:val="TextoNormal"/>
      </w:pPr>
      <w:r>
        <w:t>Por último, en la reciente STC 84/2015, de 30 de abril, hemos reafirmado esta misma línea doctrinal, al afirmar que los “dos elementos, subjetivo —quién contrata— y objetivo —lo que se contrata—, sirven para determinar qué reglas del texto refundido de la Ley de contratos del sector público resultan de aplicación al contrato de gestión de servicio público, es decir, tanto las que regulan los actos de preparación y adjudicación, como las que disciplinan los derechos y deberes de las partes en el mismo. Las primeras garantizan, tal y como señala el art. 1 del Real Decreto Legislativo 3/2011, que la contratación se ajusta a los principios de libertad de acceso a las licitaciones, publicidad y transparencia de los procedimientos, y no discriminación e igualdad de trato entre los candidatos, y aseguran, en conexión con el objetivo de estabilidad presupuestaria y control del gasto, una eficiente utilización de los fondos destinados a la realización de obras, la adquisición de bienes y la contratación de servicios mediante la exigencia de la definición previa de las necesidades a satisfacer, la salvaguarda de la libre competencia y la selección de la oferta económicamente más ventajosa. En definitiva, estas reglas pueden considerarse materialmente básicas, pues constituyen el mínimo común uniforme que permite garantizar, de un lado, la igualdad de los licitadores y su tratamiento común ante las Administraciones [SSTC 141/1993, de 22 de abril, FFJJ 5 y 6 b); 56/2014, de 10 de abril, FJ 3] y, de otro, la eficiente utilización de los fondos públicos.” [FJ 5 a)].</w:t>
      </w:r>
    </w:p>
    <w:p w:rsidR="00AC56D6" w:rsidRDefault="00AC56D6" w:rsidP="00AC56D6">
      <w:pPr>
        <w:pStyle w:val="TextoNormal"/>
      </w:pPr>
    </w:p>
    <w:p w:rsidR="00AC56D6" w:rsidRDefault="00AC56D6" w:rsidP="00AC56D6">
      <w:pPr>
        <w:pStyle w:val="TextoNormal"/>
      </w:pPr>
      <w:r w:rsidRPr="00AC56D6">
        <w:rPr>
          <w:rStyle w:val="NumeroAFNegritaCaracter"/>
        </w:rPr>
        <w:t>3</w:t>
      </w:r>
      <w:r>
        <w:t>. Recordado lo anterior y antes de proceder al examen de la compatibilidad de las normas estatales, cuyo carácter básico defiende el recurrente, y las disposiciones autonómicas, cuya adecuación al orden constitucional de distribución de competencias sostienen las re</w:t>
      </w:r>
      <w:r>
        <w:lastRenderedPageBreak/>
        <w:t>presentaciones procesales del Gobierno y de las Cortes de Aragón, es preciso dejar constancia de las modificaciones legislativas acaecidas durante la pendencia de este proceso constitucional que son relevantes para su adecuada resolución.</w:t>
      </w:r>
    </w:p>
    <w:p w:rsidR="00AC56D6" w:rsidRDefault="00AC56D6" w:rsidP="00AC56D6">
      <w:pPr>
        <w:pStyle w:val="TextoNormal"/>
      </w:pPr>
    </w:p>
    <w:p w:rsidR="00AC56D6" w:rsidRDefault="00AC56D6" w:rsidP="00AC56D6">
      <w:pPr>
        <w:pStyle w:val="TextoNormal"/>
      </w:pPr>
      <w:r>
        <w:t>a) En primer lugar, debemos hacer notar que el art. 33 de la Ley 3/2012, de 8 de marzo, de medidas fiscales y administrativas de la Comunidad Autónoma de Aragón ha dado una nueva redacción a los artículos 6 y 10 de la Ley 3/2011, de 24 de febrero, de medidas en materia de contratos del sector público de Aragón.</w:t>
      </w:r>
    </w:p>
    <w:p w:rsidR="00AC56D6" w:rsidRDefault="00AC56D6" w:rsidP="00AC56D6">
      <w:pPr>
        <w:pStyle w:val="TextoNormal"/>
      </w:pPr>
    </w:p>
    <w:p w:rsidR="00AC56D6" w:rsidRDefault="00AC56D6" w:rsidP="00AC56D6">
      <w:pPr>
        <w:pStyle w:val="TextoNormal"/>
      </w:pPr>
      <w:r>
        <w:t>Por lo que hace al art. 6, esta reforma ha supuesto, en primer término, la modificación de la rúbrica del precepto —“Documentación exigida en procedimientos negociados y en la tramitación simplificada del procedimiento abierto”, en lugar de “Documentación exigida en procedimientos negociados y simplificados”—. Paralelamente, se ha modificado el inicio del apartado primero de este artículo, quedando redactado del siguiente modo:</w:t>
      </w:r>
    </w:p>
    <w:p w:rsidR="00AC56D6" w:rsidRDefault="00AC56D6" w:rsidP="00AC56D6">
      <w:pPr>
        <w:pStyle w:val="TextoNormal"/>
      </w:pPr>
    </w:p>
    <w:p w:rsidR="00AC56D6" w:rsidRDefault="00AC56D6" w:rsidP="00AC56D6">
      <w:pPr>
        <w:pStyle w:val="TextoNormal"/>
      </w:pPr>
      <w:r>
        <w:t>“En los procedimientos negociados y en la tramitación simplificada del procedimiento abierto, los licitadores podrán sustituir la documentación acreditativa del cumplimiento de los requisitos previos por la presentación de una declaración responsable suscrita por el licitador o su representante, reconociendo que cumple los requisitos de capacidad, representación y solvencia exigidos y comprometiéndose a acreditarlos en caso de que vaya a ser propuesto como adjudicatario.”</w:t>
      </w:r>
    </w:p>
    <w:p w:rsidR="00AC56D6" w:rsidRDefault="00AC56D6" w:rsidP="00AC56D6">
      <w:pPr>
        <w:pStyle w:val="TextoNormal"/>
      </w:pPr>
    </w:p>
    <w:p w:rsidR="00AC56D6" w:rsidRDefault="00AC56D6" w:rsidP="00AC56D6">
      <w:pPr>
        <w:pStyle w:val="TextoNormal"/>
      </w:pPr>
      <w:r>
        <w:t>En la redacción originaria del precepto, el inciso inicial decía “en los procedimientos negociados y simplificados en los que se haya optado por no constituir Mesa de contratación, el pliego de cláusulas administrativas particulares o documento equivalente podrá permitir a” frente al ahora vigente que establece “en los procedimientos negociados y en la tramitación simplificada del procedimiento abierto” El resto del precepto se mantiene inalterado.</w:t>
      </w:r>
    </w:p>
    <w:p w:rsidR="00AC56D6" w:rsidRDefault="00AC56D6" w:rsidP="00AC56D6">
      <w:pPr>
        <w:pStyle w:val="TextoNormal"/>
      </w:pPr>
    </w:p>
    <w:p w:rsidR="00AC56D6" w:rsidRDefault="00AC56D6" w:rsidP="00AC56D6">
      <w:pPr>
        <w:pStyle w:val="TextoNormal"/>
      </w:pPr>
      <w:r>
        <w:t>Con respecto al artículo 10, se ha alterado igualmente su rúbrica, habiendo sido sustituida la de “procedimiento simplificado de adjudicación de contratos” por la de “trámite simplificado”.</w:t>
      </w:r>
    </w:p>
    <w:p w:rsidR="00AC56D6" w:rsidRDefault="00AC56D6" w:rsidP="00AC56D6">
      <w:pPr>
        <w:pStyle w:val="TextoNormal"/>
      </w:pPr>
    </w:p>
    <w:p w:rsidR="00AC56D6" w:rsidRDefault="00AC56D6" w:rsidP="00AC56D6">
      <w:pPr>
        <w:pStyle w:val="TextoNormal"/>
      </w:pPr>
      <w:r>
        <w:t>Además de esto, se ha modificado el apartado primero. En su redacción originaria, este precepto disponía que “las entidades comprendidas en el apartado 1 del artículo 2 de esta Ley [es decir, poderes adjudicadores] que, a efectos de contratación, tengan la consideración de Administraciones Públicas podrán utilizar un procedimiento simplificado en todo contrato de suministro y servicios de valor estimado inferior a 150.000 euros, Impuesto sobre el Valor Añadido excluido, y de obras inferior a 2.000.000 de euros, Impuesto sobre el Valor Añadido excluido.” Tras la reforma, su redacción queda del siguiente modo:</w:t>
      </w:r>
    </w:p>
    <w:p w:rsidR="00AC56D6" w:rsidRDefault="00AC56D6" w:rsidP="00AC56D6">
      <w:pPr>
        <w:pStyle w:val="TextoNormal"/>
      </w:pPr>
    </w:p>
    <w:p w:rsidR="00AC56D6" w:rsidRDefault="00AC56D6" w:rsidP="00AC56D6">
      <w:pPr>
        <w:pStyle w:val="TextoNormal"/>
      </w:pPr>
      <w:r>
        <w:t>“Con la finalidad de aunar la necesaria concurrencia con una más eficiente gestión que facilite una mayor rapidez de respuesta a las necesidades de contratación, se habilita una tramitación simplificada del procedimiento abierto para todo contrato de suministro y servicios de valor estimado inferior a 150.000 euros, Impuesto sobre el Valor Añadido excluido, y de obras inferior a 2.000.000 de euros, Impuesto sobre el Valor Añadido excluido.”</w:t>
      </w:r>
    </w:p>
    <w:p w:rsidR="00AC56D6" w:rsidRDefault="00AC56D6" w:rsidP="00AC56D6">
      <w:pPr>
        <w:pStyle w:val="TextoNormal"/>
      </w:pPr>
    </w:p>
    <w:p w:rsidR="00AC56D6" w:rsidRDefault="00AC56D6" w:rsidP="00AC56D6">
      <w:pPr>
        <w:pStyle w:val="TextoNormal"/>
      </w:pPr>
      <w:r>
        <w:lastRenderedPageBreak/>
        <w:t>Han sido igualmente objeto de modificación las letras c), d) y f) del apartado segundo de este mismo artículo.</w:t>
      </w:r>
    </w:p>
    <w:p w:rsidR="00AC56D6" w:rsidRDefault="00AC56D6" w:rsidP="00AC56D6">
      <w:pPr>
        <w:pStyle w:val="TextoNormal"/>
      </w:pPr>
    </w:p>
    <w:p w:rsidR="00AC56D6" w:rsidRDefault="00AC56D6" w:rsidP="00AC56D6">
      <w:pPr>
        <w:pStyle w:val="TextoNormal"/>
      </w:pPr>
      <w:r>
        <w:t>En cuanto a la letra c), se ha ampliado la publicidad del anuncio de licitación del contrato, pues si en el texto originario se disponía su publicación únicamente “en el perfil de contratante del poder adjudicador”, tras la reforma de 2012 esa publicación ha de hacerse “en el perfil de contratante de la Comunidad Autónoma de Aragón”.</w:t>
      </w:r>
    </w:p>
    <w:p w:rsidR="00AC56D6" w:rsidRDefault="00AC56D6" w:rsidP="00AC56D6">
      <w:pPr>
        <w:pStyle w:val="TextoNormal"/>
      </w:pPr>
    </w:p>
    <w:p w:rsidR="00AC56D6" w:rsidRDefault="00AC56D6" w:rsidP="00AC56D6">
      <w:pPr>
        <w:pStyle w:val="TextoNormal"/>
      </w:pPr>
      <w:r>
        <w:t>La letra d), en su redacción originaria, establecía que “el plazo para la presentación de proposiciones no podrá ser inferior a diez ni superior a veinte días naturales, a contar desde el siguiente al de la publicación en el perfil del contratante” y tras la reforma dispone que “el plazo para la presentación de proposiciones, respetando los plazos mínimos recogidos en la legislación básica para la tramitación urgente, no podrá ser inferior a diez ni superior a veinte días naturales, a contar desde el siguiente al de la publicación en el perfil del contratante.”</w:t>
      </w:r>
    </w:p>
    <w:p w:rsidR="00AC56D6" w:rsidRDefault="00AC56D6" w:rsidP="00AC56D6">
      <w:pPr>
        <w:pStyle w:val="TextoNormal"/>
      </w:pPr>
    </w:p>
    <w:p w:rsidR="00AC56D6" w:rsidRDefault="00AC56D6" w:rsidP="00AC56D6">
      <w:pPr>
        <w:pStyle w:val="TextoNormal"/>
      </w:pPr>
      <w:r>
        <w:t>Finalmente, tras la inclusión de una mención expresa al “respeto a las exigencias contenidas en la legislación básica”, que no figuraba en la dicción inicial, la letra f) queda redactada del siguiente modo:</w:t>
      </w:r>
    </w:p>
    <w:p w:rsidR="00AC56D6" w:rsidRDefault="00AC56D6" w:rsidP="00AC56D6">
      <w:pPr>
        <w:pStyle w:val="TextoNormal"/>
      </w:pPr>
    </w:p>
    <w:p w:rsidR="00AC56D6" w:rsidRDefault="00AC56D6" w:rsidP="00AC56D6">
      <w:pPr>
        <w:pStyle w:val="TextoNormal"/>
      </w:pPr>
      <w:r>
        <w:t>“En el caso de que el licitador a cuyo favor recaiga la propuesta de adjudicación hubiera sustituido la presentación de la documentación relativa a la capacidad, representación y solvencia por una declaración responsable, deberá acreditar, con respeto a las exigencias contenidas en la legislación básica en el plazo de cinco días hábiles, la posesión y validez de los documentos exigidos.”</w:t>
      </w:r>
    </w:p>
    <w:p w:rsidR="00AC56D6" w:rsidRDefault="00AC56D6" w:rsidP="00AC56D6">
      <w:pPr>
        <w:pStyle w:val="TextoNormal"/>
      </w:pPr>
    </w:p>
    <w:p w:rsidR="00AC56D6" w:rsidRDefault="00AC56D6" w:rsidP="00AC56D6">
      <w:pPr>
        <w:pStyle w:val="TextoNormal"/>
      </w:pPr>
      <w:r>
        <w:t>b) Por su parte, el art. 146 del texto refundido de la Ley de contratos del sector público se reformó por la Ley 14/2013, de 27 de septiembre, de apoyo a los emprendedores y su internacionalización. En el preámbulo de esta Ley expresamente se señala que “para reducir las cargas administrativas que tienen que soportar las empresas en los procedimientos de contratación administrativa, se prevé que los licitadores puedan aportar una declaración responsable indicando que cumple las condiciones legalmente establecidas para contratar con la Administración. Así, solo el licitador a cuyo favor recaiga la propuesta de adjudicación deberá presentar toda la documentación que acredite que cumple las mencionadas condiciones.”</w:t>
      </w:r>
    </w:p>
    <w:p w:rsidR="00AC56D6" w:rsidRDefault="00AC56D6" w:rsidP="00AC56D6">
      <w:pPr>
        <w:pStyle w:val="TextoNormal"/>
      </w:pPr>
    </w:p>
    <w:p w:rsidR="00AC56D6" w:rsidRDefault="00AC56D6" w:rsidP="00AC56D6">
      <w:pPr>
        <w:pStyle w:val="TextoNormal"/>
      </w:pPr>
      <w:r>
        <w:t>Esta reforma se concreta en la introducción de dos nuevos apartados —cuarto y quinto—, redactados del siguiente modo:</w:t>
      </w:r>
    </w:p>
    <w:p w:rsidR="00AC56D6" w:rsidRDefault="00AC56D6" w:rsidP="00AC56D6">
      <w:pPr>
        <w:pStyle w:val="TextoNormal"/>
      </w:pPr>
    </w:p>
    <w:p w:rsidR="00AC56D6" w:rsidRDefault="00AC56D6" w:rsidP="00AC56D6">
      <w:pPr>
        <w:pStyle w:val="TextoNormal"/>
      </w:pPr>
      <w:r>
        <w:t>“4. El órgano de contratación, si lo estima conveniente, podrá establecer en el pliego de cláusulas administrativas particulares que la aportación inicial de la documentación establecida en el apartado 1 se sustituya por una declaración responsable del licitador indicando que cumple las condiciones establecidas legalmente para contratar con la Administración. En tal caso, el licitador a cuyo favor recaiga la propuesta de adjudicación, deberá acreditar ante el órgano de contratación, previamente a la adjudicación del contrato, la posesión y validez de los documentos exigidos. En todo caso bastará con esta declaración responsable en los contratos de obras con valor estimado inferior a 1.000.000 euros y de suministros y servicios con valor estimado inferior a 90.000 euros.</w:t>
      </w:r>
    </w:p>
    <w:p w:rsidR="00AC56D6" w:rsidRDefault="00AC56D6" w:rsidP="00AC56D6">
      <w:pPr>
        <w:pStyle w:val="TextoNormal"/>
      </w:pPr>
    </w:p>
    <w:p w:rsidR="00AC56D6" w:rsidRDefault="00AC56D6" w:rsidP="00AC56D6">
      <w:pPr>
        <w:pStyle w:val="TextoNormal"/>
      </w:pPr>
      <w:r>
        <w:t>En todo caso el órgano de contratación, en orden a garantizar el buen fin del procedimiento, podrá recabar, en cualquier momento anterior a la adopción de la propuesta de adjudicación, que los licitadores aporten documentación acreditativa del cumplimiento de las condiciones establecidas para ser adjudicatario del contrato.</w:t>
      </w:r>
    </w:p>
    <w:p w:rsidR="00AC56D6" w:rsidRDefault="00AC56D6" w:rsidP="00AC56D6">
      <w:pPr>
        <w:pStyle w:val="TextoNormal"/>
      </w:pPr>
    </w:p>
    <w:p w:rsidR="00AC56D6" w:rsidRDefault="00AC56D6" w:rsidP="00AC56D6">
      <w:pPr>
        <w:pStyle w:val="TextoNormal"/>
      </w:pPr>
      <w:r>
        <w:t>5. El momento decisivo para apreciar la concurrencia de los requisitos de capacidad y solvencia exigidos para contratar con la Administración será el de finalización del plazo de presentación de las proposiciones.”</w:t>
      </w:r>
    </w:p>
    <w:p w:rsidR="00AC56D6" w:rsidRDefault="00AC56D6" w:rsidP="00AC56D6">
      <w:pPr>
        <w:pStyle w:val="TextoNormal"/>
      </w:pPr>
    </w:p>
    <w:p w:rsidR="00AC56D6" w:rsidRDefault="00AC56D6" w:rsidP="00AC56D6">
      <w:pPr>
        <w:pStyle w:val="TextoNormal"/>
      </w:pPr>
      <w:r>
        <w:t>Los demás preceptos del texto refundido de la Ley de contratos del sector público invocados como contraste por la parte actora —arts. 138, “procedimiento de adjudicación” de los contratos; 142, “convocatoria de licitaciones”; 151, “clasificación de las ofertas, adjudicación del contrato y notificación de la adjudicación”, y 159, “plazos para la presentación de proposiciones” en el procedimiento abierto— no han sufrido modificaciones en el transcurso de este proceso constitucional.</w:t>
      </w:r>
    </w:p>
    <w:p w:rsidR="00AC56D6" w:rsidRDefault="00AC56D6" w:rsidP="00AC56D6">
      <w:pPr>
        <w:pStyle w:val="TextoNormal"/>
      </w:pPr>
    </w:p>
    <w:p w:rsidR="00AC56D6" w:rsidRDefault="00AC56D6" w:rsidP="00AC56D6">
      <w:pPr>
        <w:pStyle w:val="TextoNormal"/>
      </w:pPr>
      <w:r>
        <w:t>c) La modificación de los preceptos legales autonómicos específicamente controvertidos plantea el problema de la pervivencia de este proceso constitucional.</w:t>
      </w:r>
    </w:p>
    <w:p w:rsidR="00AC56D6" w:rsidRDefault="00AC56D6" w:rsidP="00AC56D6">
      <w:pPr>
        <w:pStyle w:val="TextoNormal"/>
      </w:pPr>
    </w:p>
    <w:p w:rsidR="00AC56D6" w:rsidRDefault="00AC56D6" w:rsidP="00AC56D6">
      <w:pPr>
        <w:pStyle w:val="TextoNormal"/>
      </w:pPr>
      <w:r>
        <w:t>Al respecto, conviene recordar con la reciente STC 106/2015, de 28 de mayo, que “la STC 96/2014, de 2 de junio, FJ 2 expone los criterios de la doctrina de este Tribunal respecto a la pérdida de objeto en los recursos de inconstitucionalidad. Tras señalar que la regla general en el ámbito de los recursos de inconstitucionalidad es que la derogación de la norma impugnada extingue su objeto, indica que no cabe dar una respuesta unívoca a esta cuestión, ya que, citando la STC 124/2003, de 19 de junio, FJ 3, señala que ‘en el ámbito del recurso de inconstitucionalidad, recurso abstracto y orientado a la depuración objetiva del ordenamiento, la pérdida sobrevenida de la vigencia del precepto legal impugnado habrá de ser tenida en cuenta por este Tribunal para apreciar si la misma conlleva ...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199/1987, FJ 3). Por ello, carece de sentido, tratándose de un recurso de inconstitucionalidad, pronunciarse sobre normas que el mismo legislador ha expulsado ya de dicho ordenamiento... de modo total, sin ultraactividad (SSTC 160/1987, FJ 6; 150/1990, FJ 8; 385/1993, FJ 2). Por idéntica razón, para excluir toda aplicación posterior de la disposición legal controvertida, privándola así del vestigio de vigencia que pudiera conservar, puede resultar útil —conveniente— su enjuiciamiento, aun cuando haya sido derogada (SSTC 160/1987, FJ 6; 385/1993, FJ 2)’.” (FJ 2, comillas interiores suprimidas).</w:t>
      </w:r>
    </w:p>
    <w:p w:rsidR="00AC56D6" w:rsidRDefault="00AC56D6" w:rsidP="00AC56D6">
      <w:pPr>
        <w:pStyle w:val="TextoNormal"/>
      </w:pPr>
    </w:p>
    <w:p w:rsidR="00AC56D6" w:rsidRDefault="00AC56D6" w:rsidP="00AC56D6">
      <w:pPr>
        <w:pStyle w:val="TextoNormal"/>
      </w:pPr>
      <w:r>
        <w:t xml:space="preserve">En esta misma resolución y lugar se identifican dos excepciones a la regla general que acaba de exponerse: de un lado, la eventual denuncia de vulneración del art. 86.1 CE, supuesto en el que “la derogación de la norma no impide controlar si el ejercicio de la potestad reconocida al Gobierno se realizó siguiendo los requisitos establecidos en dicho precepto constitucional, pues al hacerlo se trata de velar por el recto ejercicio de la potestad de dictar decretos-leyes, dentro del marco constitucional, decidiendo la validez o invalidez de las </w:t>
      </w:r>
      <w:r>
        <w:lastRenderedPageBreak/>
        <w:t>normas impugnadas, sin atender a su vigencia o derogación en el momento en que se pronuncia el fallo [por todas, STC 183/2014, de 6 de noviembre, FJ 2 c)].” y, de otro, aquellos supuestos en los que lo que se plantea “en realidad es una controversia competencial, el Tribunal habrá de pronunciarse sobre su titularidad en la medida en que se trate de una competencia controvertida o de que la disputa esté todavía viva [por todas, STC 204/2011, de 15 de diciembre, FJ 2 a)]. Esta circunstancia exige analizar si pervive la controversia competencial trabada sobre alguno de los preceptos impugnados en el recurso de inconstitucionalidad, tomando en consideración a este efecto la normativa que sustituyó a la impugnada.” (Ibídem). Siendo este el caso, debemos examinar la pervivencia de la controversia competencial, tomando en consideración a este efecto la redacción que a los preceptos impugnados dio la Ley 3/2012, de 8 de marzo, de medidas fiscales y administrativas de la Comunidad Autónoma de Aragón.</w:t>
      </w:r>
    </w:p>
    <w:p w:rsidR="00AC56D6" w:rsidRDefault="00AC56D6" w:rsidP="00AC56D6">
      <w:pPr>
        <w:pStyle w:val="TextoNormal"/>
      </w:pPr>
    </w:p>
    <w:p w:rsidR="00AC56D6" w:rsidRDefault="00AC56D6" w:rsidP="00AC56D6">
      <w:pPr>
        <w:pStyle w:val="TextoNormal"/>
      </w:pPr>
      <w:r>
        <w:t>En efecto, la Ley 3/2012, de 8 de marzo, de medidas fiscales y administrativas de la Comunidad Autónoma de Aragón ha dado una nueva redacción a los dos preceptos impugnados, el art. 6 y el art. 10 de la Ley 3/2011, de 24 de febrero. La incidencia de la citada reforma sobre el objeto del presente recurso debe ser enjuiciada teniendo en cuenta si con la derogación de los preceptos impugnados ha cesado o no la controversia competencial. De modo que si la normativa en torno a la cual se trabó el conflicto resulta sustituida por otra que viene a plantear los mismos problemas competenciales la consecuencia será la no desaparición del conflicto.</w:t>
      </w:r>
    </w:p>
    <w:p w:rsidR="00AC56D6" w:rsidRDefault="00AC56D6" w:rsidP="00AC56D6">
      <w:pPr>
        <w:pStyle w:val="TextoNormal"/>
      </w:pPr>
    </w:p>
    <w:p w:rsidR="00AC56D6" w:rsidRDefault="00AC56D6" w:rsidP="00AC56D6">
      <w:pPr>
        <w:pStyle w:val="TextoNormal"/>
      </w:pPr>
      <w:r>
        <w:t xml:space="preserve">Por otro lado, en coherencia con nuestra doctrina sobre el </w:t>
      </w:r>
      <w:r w:rsidRPr="00AC56D6">
        <w:rPr>
          <w:i/>
        </w:rPr>
        <w:t>ius superveniens</w:t>
      </w:r>
      <w:r>
        <w:t xml:space="preserve"> aplicable a procesos de contenido competencial, como es el presente, deberemos enjuiciar las normas a las que se achaca un posible exceso competencial conforme a las normas básicas estatales supuestamente quebrantadas que se hallen vigentes en el momento de dictar sentencia [por todas, STC 108/2015, de 28 de mayo, FJ 2 b)]. Consecuentemente, habremos de tomar en consideración la redacción del art. 146 del texto refundido de la Ley de contratos del sector público resultante de la reforma llevada a cabo por la Ley 14/2013, de 27 de septiembre, de apoyo a los emprendedores y su internacionalización.</w:t>
      </w:r>
    </w:p>
    <w:p w:rsidR="00AC56D6" w:rsidRDefault="00AC56D6" w:rsidP="00AC56D6">
      <w:pPr>
        <w:pStyle w:val="TextoNormal"/>
      </w:pPr>
    </w:p>
    <w:p w:rsidR="00AC56D6" w:rsidRDefault="00AC56D6" w:rsidP="00AC56D6">
      <w:pPr>
        <w:pStyle w:val="TextoNormal"/>
      </w:pPr>
      <w:r w:rsidRPr="00AC56D6">
        <w:rPr>
          <w:rStyle w:val="NumeroAFNegritaCaracter"/>
        </w:rPr>
        <w:t>4</w:t>
      </w:r>
      <w:r>
        <w:t>. En este proceso constitucional se controvierte, en primer lugar, la validez del art. 6 de la Ley 3/2011, de 24 de febrero, de medidas en materia de contratos del sector público de Aragón, dictado al amparo de las competencias compartidas asumidas por el art. 75.11 y 12 del Estatuto de Autonomía de esta Comunidad Autónoma. Los preceptos legales impugnados regulan, de un lado, la documentación exigida a los licitadores en los procedimientos negociados y simplificados, y, de otro lado el procedimiento simplificado de adjudicación de contratos.</w:t>
      </w:r>
    </w:p>
    <w:p w:rsidR="00AC56D6" w:rsidRDefault="00AC56D6" w:rsidP="00AC56D6">
      <w:pPr>
        <w:pStyle w:val="TextoNormal"/>
      </w:pPr>
    </w:p>
    <w:p w:rsidR="00AC56D6" w:rsidRDefault="00AC56D6" w:rsidP="00AC56D6">
      <w:pPr>
        <w:pStyle w:val="TextoNormal"/>
      </w:pPr>
      <w:r>
        <w:t>El Abogado del Estado, según la argumentación que se detalla en los antecedentes, ha impugnado el art. 6 de la Ley autonómica en su integridad, por entender que resulta incompatible con los arts. 146.1 y 151.2 del texto refundido de la Ley de contratos del sector público (a cuyo doble carácter formal y materialmente básico se dedica una cierta atención en el escrito rector de este proceso). Discrepan de esta tesis las representaciones letradas del Gobierno de Aragón y de las Cortes de dicha Comunidad Autónoma, al considerar que el precepto, en su conjunto, es respetuoso con la normativa básica, con fundamento en la argumentación que se contiene en el relato de antecedentes.</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5</w:t>
      </w:r>
      <w:r>
        <w:t>. Respecto del art. 6.1 de la Ley aragonesa 3/2011, para determinar si pervive o no la controversia competencial, habrá que contrastar lo dispuesto en este precepto legal autonómico con el art. 146.4 del texto refundido de la Ley de contratos del sector público, introducido por la Ley 14/2013, de 27 de septiembre, de apoyo a los emprendedores y su internacionalización, que se configura como básico, pues se sitúa en el marco de las garantías de publicidad, igualdad, libre concurrencia y seguridad jurídica en el ámbito de la contratación administrativa.</w:t>
      </w:r>
    </w:p>
    <w:p w:rsidR="00AC56D6" w:rsidRDefault="00AC56D6" w:rsidP="00AC56D6">
      <w:pPr>
        <w:pStyle w:val="TextoNormal"/>
      </w:pPr>
    </w:p>
    <w:p w:rsidR="00AC56D6" w:rsidRDefault="00AC56D6" w:rsidP="00AC56D6">
      <w:pPr>
        <w:pStyle w:val="TextoNormal"/>
      </w:pPr>
      <w:r>
        <w:t>a) En lo que ahora interesa, el nuevo art. 146.4 del texto refundido de la Ley de contratos del sector público contiene dos reglas diferentes: en su primer inciso hallamos una habilitación al órgano de contratación para que permita, en el pliego de cláusulas administrativas particulares, sustituir la aportación inicial de la documentación a la que se hace referencia en el apartado 1 por una declaración responsable del licitador, y en el inciso final, una generalización de esta sustitución para todos los contratos de obras con valor estimado inferior a 1.000.000 € y de suministros y servicios con valor estimado inferior a 90.000 €.</w:t>
      </w:r>
    </w:p>
    <w:p w:rsidR="00AC56D6" w:rsidRDefault="00AC56D6" w:rsidP="00AC56D6">
      <w:pPr>
        <w:pStyle w:val="TextoNormal"/>
      </w:pPr>
    </w:p>
    <w:p w:rsidR="00AC56D6" w:rsidRDefault="00AC56D6" w:rsidP="00AC56D6">
      <w:pPr>
        <w:pStyle w:val="TextoNormal"/>
      </w:pPr>
      <w:r>
        <w:t xml:space="preserve">Ambos preceptos —el estatal y el autonómico— hacen uso de la figura de la “declaración responsable”, introducida en nuestro Derecho interno por el art. 3.9 de la Ley 17/2009, de 23 de noviembre, sobre el libre acceso a las actividades de servicios y su ejercicio. Esta Ley define la “declaración responsable” como “el documento suscrito por la persona titular de una actividad empresarial o profesional en el que declara, bajo su responsabilidad, que cumple con los requisitos establecidos en la normativa vigente, que dispone de la documentación que así lo acredita y que se compromete a mantener su cumplimiento durante la vigencia de la actividad.” Apenas un mes después, la Ley 25/2009, de 22 de diciembre, de modificación de diversas leyes para su adaptación a la Ley sobre el libre acceso a las actividades de servicios y su ejercicio, introdujo un nuevo art. 71 </w:t>
      </w:r>
      <w:r w:rsidRPr="00AC56D6">
        <w:rPr>
          <w:i/>
        </w:rPr>
        <w:t>bis</w:t>
      </w:r>
      <w:r>
        <w:t xml:space="preserve"> en la Ley 30/1992, de 26 de noviembre, de régimen jurídico de las Administraciones públicas y del procedimiento administrativo común, donde, en coherencia con lo dispuesto en el art. 3.9 de la Ley 17/2009, si bien ampliando notablemente el ámbito subjetivo de aplicación, hallamos la siguiente definición de “declaración responsable”: “documento suscrito por un interesado en el que manifiesta, bajo su responsabilidad, que cumple con los requisitos establecidos en la normativa vigente para acceder al reconocimiento de un derecho o facultad o para su ejercicio, que dispone de la documentación que así lo acredita y que se compromete a mantener su cumplimiento durante el período de tiempo inherente a dicho reconocimiento o ejercicio.”</w:t>
      </w:r>
    </w:p>
    <w:p w:rsidR="00AC56D6" w:rsidRDefault="00AC56D6" w:rsidP="00AC56D6">
      <w:pPr>
        <w:pStyle w:val="TextoNormal"/>
      </w:pPr>
    </w:p>
    <w:p w:rsidR="00AC56D6" w:rsidRDefault="00AC56D6" w:rsidP="00AC56D6">
      <w:pPr>
        <w:pStyle w:val="TextoNormal"/>
      </w:pPr>
      <w:r>
        <w:t>Como bien puede apreciarse, más allá de la generalización de la declaración responsable como forma de cumplimiento —siquiera provisional— de las obligaciones documentales para los contratos de obras con valor estimado inferior a 1.000.000 € y los contratos de suministros y servicios con valor estimado inferior a 90.000 €, la norma básica estatal (art. 146.4 del texto refundido de la Ley de contratos del sector público) remite la elección a los pliegos de cláusulas administrativas particulares. De modo que la reforma de la base estatal en 2013 se ha traducido en la apertura de la posibilidad de sustitución del cumplimiento inicial de las obligaciones documentales de los licitadores por la presentación de una declaración responsable, modalidad de cumplimiento que anteriormente contemplaba la Ley aragonesa impugnada, pero que no figuraba en el texto refundido de la Ley de contratos del sector público.</w:t>
      </w:r>
    </w:p>
    <w:p w:rsidR="00AC56D6" w:rsidRDefault="00AC56D6" w:rsidP="00AC56D6">
      <w:pPr>
        <w:pStyle w:val="TextoNormal"/>
      </w:pPr>
    </w:p>
    <w:p w:rsidR="00AC56D6" w:rsidRDefault="00AC56D6" w:rsidP="00AC56D6">
      <w:pPr>
        <w:pStyle w:val="TextoNormal"/>
      </w:pPr>
      <w:r>
        <w:lastRenderedPageBreak/>
        <w:t>b) Queda así salvada la contradicción frontal y absoluta entre la norma básica estatal y la autonómica de desarrollo sobre la que se sustentaba principalmente la impugnación del art. 6.1 de la Ley de las Cortes de Aragón 3/2011.</w:t>
      </w:r>
    </w:p>
    <w:p w:rsidR="00AC56D6" w:rsidRDefault="00AC56D6" w:rsidP="00AC56D6">
      <w:pPr>
        <w:pStyle w:val="TextoNormal"/>
      </w:pPr>
    </w:p>
    <w:p w:rsidR="00AC56D6" w:rsidRDefault="00AC56D6" w:rsidP="00AC56D6">
      <w:pPr>
        <w:pStyle w:val="TextoNormal"/>
      </w:pPr>
      <w:r>
        <w:t>Ahora bien, salvada esta primera contradicción, la reforma de la norma básica estatal de 2013 plantea una nueva, por lo que se debe afirmar que pervive la controversia competencial. En efecto, por una parte, la base estatal permite acudir a la declaración responsable en todos los procedimientos contractuales en los que, superando los valores estimados antes señalados —1.000.000 € para los contratos de obras y 90.000 € para los de suministros y servicios— así se haya previsto en el correspondiente pliego de cláusulas administrativas particulares. Por otra, la norma autonómica resultante de la lectura conjunta de los arts. 6.1 y 10.1 de la Ley aragonesa en la redacción impugnada no contempla —tampoco en la redacción de estos preceptos dada por la Ley 3/2012, de 8 de marzo— esta posibilidad de cumplimiento para los contratos de suministro y servicio de valor estimado igual o superior a 150.000 € y los contratos de obras de valor estimado igual o superior a 2.000.000 €, IVA siempre excluido.</w:t>
      </w:r>
    </w:p>
    <w:p w:rsidR="00AC56D6" w:rsidRDefault="00AC56D6" w:rsidP="00AC56D6">
      <w:pPr>
        <w:pStyle w:val="TextoNormal"/>
      </w:pPr>
    </w:p>
    <w:p w:rsidR="00AC56D6" w:rsidRDefault="00AC56D6" w:rsidP="00AC56D6">
      <w:pPr>
        <w:pStyle w:val="TextoNormal"/>
      </w:pPr>
      <w:r>
        <w:t>Nos enfrentamos así a una doble contradicción: De una parte, la que se da en los contratos de suministro y servicio y contratos de obras cuyo valor se sitúe entre los 90.000 y los 150.000 € y 1.000.000 y 2.000.000 €, respectivamente; para estos contratos la norma aragonesa generaliza la utilización de la declaración responsable, en tanto que la base estatal opta por remitir a lo dispuesto en los correspondientes pliegos de cláusulas administrativas particulares de cada contrato. De otra, y en sentido inverso, la que se daría en los contratos que superen los valores límites señalados por el legislador aragonés pues la norma autonómica excluye la posibilidad de acudir a la declaración responsable como forma de cumplimiento de las obligaciones documentales, en tanto que la base estatal, en línea con lo antes indicado, se remite a lo establecido en cada pliego de cláusulas administrativas particulares.</w:t>
      </w:r>
    </w:p>
    <w:p w:rsidR="00AC56D6" w:rsidRDefault="00AC56D6" w:rsidP="00AC56D6">
      <w:pPr>
        <w:pStyle w:val="TextoNormal"/>
      </w:pPr>
    </w:p>
    <w:p w:rsidR="00AC56D6" w:rsidRDefault="00AC56D6" w:rsidP="00AC56D6">
      <w:pPr>
        <w:pStyle w:val="TextoNormal"/>
      </w:pPr>
      <w:r>
        <w:t>Esta doble contradicción resulta del contraste entre la base estatal —el art. 146.4 del texto refundido de la Ley de contratos del sector público— y su desarrollo autonómico —el art. 6.1 de la Ley de medidas en materia de contratos del sector público de Aragón—, toda vez que para aquilatar adecuadamente el ámbito objetivo de aplicación de este precepto legal autonómico es preciso acudir a lo establecido en el art. 10.1 de la Ley de las Cortes de Aragón 3/2011 —en la redacción impugnada—, a la que implícitamente se remite el art. 6.1 en su inciso inicial, conforme al cual lo establecido en este artículo es de aplicación “en los procedimientos negociados y simplificados en los que se haya optado por no constituir Mesa de contratación ”. A esta se dedica el art. 10 de la Ley, en cuyo primer apartado —en la redacción impugnada— “las entidades comprendidas en el apartado 1 del artículo 2 de esta Ley que, a efectos de contratación, tengan la consideración de Administraciones Públicas podrán utilizar un procedimiento simplificado en todo contrato de suministro y servicios de valor estimado inferior a 150.000 euros, Impuesto sobre el Valor Añadido excluido, y de obras inferior a 2.000.000 de euros, Impuesto sobre el Valor Añadido excluido.”</w:t>
      </w:r>
    </w:p>
    <w:p w:rsidR="00AC56D6" w:rsidRDefault="00AC56D6" w:rsidP="00AC56D6">
      <w:pPr>
        <w:pStyle w:val="TextoNormal"/>
      </w:pPr>
    </w:p>
    <w:p w:rsidR="00AC56D6" w:rsidRDefault="00AC56D6" w:rsidP="00AC56D6">
      <w:pPr>
        <w:pStyle w:val="TextoNormal"/>
      </w:pPr>
      <w:r>
        <w:t xml:space="preserve">Para salvar esa doble contradicción es preciso declarar la inconstitucionalidad y nulidad del precepto autonómico, bien que contraída esa declaración exclusivamente al inciso “y simplificados en los que se haya optado por no constituir Mesa de contratación” del art. 6.1 de la Ley 3/2011, de 24 de febrero, de medidas en materia de contratos del sector público de Aragón, pues la delimitación objetiva de los procedimientos contractuales susceptibles </w:t>
      </w:r>
      <w:r>
        <w:lastRenderedPageBreak/>
        <w:t>de tramitación simplificada que figura en el art. 10.1 de esa misma Ley, y a la que se remite el artículo 6.1 cuando delimita los procedimientos en los que se permite declaración responsable, no resulta compatible con lo establecido por el art. 146.4 del texto refundido de la Ley de contratos del sector público. Concretamente, impide que los correspondientes pliegos de cláusulas administrativas particulares propios de cada contrato hagan uso de la habilitación que les confiere la norma básica estatal en punto al cumplimiento de las obligaciones documentales mediante el recurso a una declaración responsable.</w:t>
      </w:r>
    </w:p>
    <w:p w:rsidR="00AC56D6" w:rsidRDefault="00AC56D6" w:rsidP="00AC56D6">
      <w:pPr>
        <w:pStyle w:val="TextoNormal"/>
      </w:pPr>
    </w:p>
    <w:p w:rsidR="00AC56D6" w:rsidRDefault="00AC56D6" w:rsidP="00AC56D6">
      <w:pPr>
        <w:pStyle w:val="TextoNormal"/>
      </w:pPr>
      <w:r w:rsidRPr="00AC56D6">
        <w:rPr>
          <w:rStyle w:val="NumeroAFNegritaCaracter"/>
        </w:rPr>
        <w:t>6</w:t>
      </w:r>
      <w:r>
        <w:t>. En cuanto al art. 6.2 de la Ley de medidas en materia de contratos del sector público de Aragón, se le achaca vulneración del art. 151.2 del texto refundido de la Ley de contratos del sector público. La Ley 3/2012, de 8 de marzo, de medidas fiscales y administrativas de la Comunidad Autónoma de Aragón ha reproducido la redacción anterior de este apartado por lo que pervive la controversia competencial en este punto.</w:t>
      </w:r>
    </w:p>
    <w:p w:rsidR="00AC56D6" w:rsidRDefault="00AC56D6" w:rsidP="00AC56D6">
      <w:pPr>
        <w:pStyle w:val="TextoNormal"/>
      </w:pPr>
    </w:p>
    <w:p w:rsidR="00AC56D6" w:rsidRDefault="00AC56D6" w:rsidP="00AC56D6">
      <w:pPr>
        <w:pStyle w:val="TextoNormal"/>
      </w:pPr>
      <w:r>
        <w:t>De acuerdo con el precepto estatal, el órgano de contratación requerirá “al licitador que haya presentado la oferta económicamente más ventajosa” para que “en el plazo de diez días hábiles … presente la documentación justificativa de hallarse al corriente en el cumplimiento de sus obligaciones tributarias y con la Seguridad Social o autorice al órgano de contratación para obtener de forma directa la acreditación de ello, de disponer efectivamente de los medios que se hubiese comprometido a dedicar o adscribir a la ejecución del contrato conforme al artículo 64.2 [relativo a la concreción de las condiciones de la solvencia], y de haber constituido la garantía definitiva que sea procedente. Los correspondientes certificados podrán ser expedidos por medios electrónicos, informáticos o telemáticos, salvo que se establezca otra cosa en los pliegos.” Este mismo precepto faculta a las normas autonómicas de desarrollo para que fijen “un plazo mayor al previsto en este párrafo, sin que se exceda el de veinte días hábiles”.</w:t>
      </w:r>
    </w:p>
    <w:p w:rsidR="00AC56D6" w:rsidRDefault="00AC56D6" w:rsidP="00AC56D6">
      <w:pPr>
        <w:pStyle w:val="TextoNormal"/>
      </w:pPr>
    </w:p>
    <w:p w:rsidR="00AC56D6" w:rsidRDefault="00AC56D6" w:rsidP="00AC56D6">
      <w:pPr>
        <w:pStyle w:val="TextoNormal"/>
      </w:pPr>
      <w:r>
        <w:t>Pocas dudas cabe albergar acerca del carácter básico de la norma estatal, en la medida en que afecta a la acreditación de los requisitos para la formalización definitiva de los contratos con el sector público. Repárese, en particular, en que, de acuerdo con lo dispuesto en el art. 60.1 d) del texto refundido de la Ley de contratos del sector público, “no hallarse al corriente en el cumplimiento de las obligaciones tributarias o de Seguridad Social impuestas por las disposiciones vigentes” constituye una causa de prohibición de contratación con el sector público.</w:t>
      </w:r>
    </w:p>
    <w:p w:rsidR="00AC56D6" w:rsidRDefault="00AC56D6" w:rsidP="00AC56D6">
      <w:pPr>
        <w:pStyle w:val="TextoNormal"/>
      </w:pPr>
    </w:p>
    <w:p w:rsidR="00AC56D6" w:rsidRDefault="00AC56D6" w:rsidP="00AC56D6">
      <w:pPr>
        <w:pStyle w:val="TextoNormal"/>
      </w:pPr>
      <w:r>
        <w:t xml:space="preserve">No es del todo cierto, por tanto, que, como sostienen los representantes procesales del Gobierno y de las Cortes de Aragón, los arts. 151.2 del texto refundido de la Ley de contratos del sector público y 6.2 de la Ley aragonesa hagan referencia a obligaciones documentales de objeto diverso. El plazo de diez días hábiles —susceptible de ampliación hasta el doble por los legisladores autonómicos— del art. 151.2 del texto refundido se establece para la satisfacción de las obligaciones documentales en él específica y expresamente consignadas: cumplimiento de las obligaciones tributarias y de Seguridad Social, concreción de las condiciones de solvencia y constitución efectiva de la garantía definitiva. Por su parte, el art. 6.2 de la Ley aragonesa fija un plazo de cinco días hábiles para la aportación de la “documentación acreditativa de [la] capacidad, representación y solvencia”. Como ya se ha indicado anteriormente, la acreditación de que el empresario se halla al corriente en el cumplimiento de las obligaciones tributarias o de Seguridad Social representa una obligación documental que atañe directamente a su capacidad para contratar; además, el propio art. </w:t>
      </w:r>
      <w:r>
        <w:lastRenderedPageBreak/>
        <w:t>151.2 del texto refundido menciona de manera expresa un supuesto de acreditación de la solvencia del empresario, como es la exigencia de que los licitadores “se comprometan a dedicar o adscribir a la ejecución del contrato los medios personales o materiales suficientes para ellos” prevista en el art. 64.2 de ese mismo texto refundido.</w:t>
      </w:r>
    </w:p>
    <w:p w:rsidR="00AC56D6" w:rsidRDefault="00AC56D6" w:rsidP="00AC56D6">
      <w:pPr>
        <w:pStyle w:val="TextoNormal"/>
      </w:pPr>
    </w:p>
    <w:p w:rsidR="00AC56D6" w:rsidRDefault="00AC56D6" w:rsidP="00AC56D6">
      <w:pPr>
        <w:pStyle w:val="TextoNormal"/>
      </w:pPr>
      <w:r>
        <w:t>No siendo posible diferenciar claramente el alcance de la norma autonómica de desarrollo, procede la declaración de inconstitucionalidad y nulidad de esta por su contradicción con la base estatal, constituida en esta ocasión por el art. 151.2 del texto refundido de la Ley de contratos del sector público. Esta declaración se contraerá al inciso final del art. 6.2 de la Ley autonómica, “en el plazo de cinco días hábiles”, al ser en dicho términos en los que se concreta la infracción constitucional mediata por contravención de la base estatal en la materia.</w:t>
      </w:r>
    </w:p>
    <w:p w:rsidR="00AC56D6" w:rsidRDefault="00AC56D6" w:rsidP="00AC56D6">
      <w:pPr>
        <w:pStyle w:val="TextoNormal"/>
      </w:pPr>
    </w:p>
    <w:p w:rsidR="00AC56D6" w:rsidRDefault="00AC56D6" w:rsidP="00AC56D6">
      <w:pPr>
        <w:pStyle w:val="TextoNormal"/>
      </w:pPr>
      <w:r w:rsidRPr="00AC56D6">
        <w:rPr>
          <w:rStyle w:val="NumeroAFNegritaCaracter"/>
        </w:rPr>
        <w:t>7</w:t>
      </w:r>
      <w:r>
        <w:t>. El art. 10 de la Ley 3/2011, de 24 de febrero, de medidas en materia de contratos del sector público de Aragón, se impugna en su totalidad y además, específicamente y de modo subsidiario, las letras c), d) y f) de su apartado segundo.</w:t>
      </w:r>
    </w:p>
    <w:p w:rsidR="00AC56D6" w:rsidRDefault="00AC56D6" w:rsidP="00AC56D6">
      <w:pPr>
        <w:pStyle w:val="TextoNormal"/>
      </w:pPr>
    </w:p>
    <w:p w:rsidR="00AC56D6" w:rsidRDefault="00AC56D6" w:rsidP="00AC56D6">
      <w:pPr>
        <w:pStyle w:val="TextoNormal"/>
      </w:pPr>
      <w:r>
        <w:t>La impugnación íntegra del precepto legal autonómico la fundamenta el Abogado del Estado en la consideración de que su contenido regula un procedimiento de adjudicación de contratos administrativos que ignora lo establecido en el art. 138 del texto refundido de la Ley de contratos del sector público, declarado básico por el apartado segundo de la disposición final segunda al amparo del art. 149.1.18 CE. Esta base estatal, redactada en desarrollo del art. 28 de la Directiva 2004/18/CE, del Parlamento y del Consejo, de 31 de marzo de 2004, sobre coordinación de los procedimientos de adjudicación de los contratos públicos de obras, de suministro y de servicios, hace que en nuestro Derecho interno únicamente quepan cuatro procedimientos de adjudicación: abierto, restringido, negociado y diálogo competitivo. Las Comunidades Autónomas pueden introducir novedades orientadas a lograr una tramitación más ágil y eficaz, pero lo que en ningún caso pueden hacer es abordar una regulación completa de nuevos procedimientos de licitación.</w:t>
      </w:r>
    </w:p>
    <w:p w:rsidR="00AC56D6" w:rsidRDefault="00AC56D6" w:rsidP="00AC56D6">
      <w:pPr>
        <w:pStyle w:val="TextoNormal"/>
      </w:pPr>
    </w:p>
    <w:p w:rsidR="00AC56D6" w:rsidRDefault="00AC56D6" w:rsidP="00AC56D6">
      <w:pPr>
        <w:pStyle w:val="TextoNormal"/>
      </w:pPr>
      <w:r>
        <w:t>Las representaciones del Gobierno y de las Cortes de Aragón defienden de consuno la constitucionalidad del precepto al sostener que en él no se crea ningún procedimiento nuevo sino que únicamente se completa y desarrolla la regulación del procedimiento abierto incidiendo sobre aspectos no esenciales de este procedimiento.</w:t>
      </w:r>
    </w:p>
    <w:p w:rsidR="00AC56D6" w:rsidRDefault="00AC56D6" w:rsidP="00AC56D6">
      <w:pPr>
        <w:pStyle w:val="TextoNormal"/>
      </w:pPr>
    </w:p>
    <w:p w:rsidR="00AC56D6" w:rsidRDefault="00AC56D6" w:rsidP="00AC56D6">
      <w:pPr>
        <w:pStyle w:val="TextoNormal"/>
      </w:pPr>
      <w:r>
        <w:t>Planteada la cuestión en estos términos, constatamos, en primer lugar, que, a pesar de la reforma del precepto llevada a cabo por el art. 33 de la Ley 3/2012, de 8 de marzo, de medidas fiscales y administrativas, los términos de la controversia perviven, pues se refieren a la posibilidad de que la norma autonómica establezca nuevos procedimientos de licitación; y, en segundo lugar que debe desestimarse el presente motivo impugnatorio.</w:t>
      </w:r>
    </w:p>
    <w:p w:rsidR="00AC56D6" w:rsidRDefault="00AC56D6" w:rsidP="00AC56D6">
      <w:pPr>
        <w:pStyle w:val="TextoNormal"/>
      </w:pPr>
    </w:p>
    <w:p w:rsidR="00AC56D6" w:rsidRDefault="00AC56D6" w:rsidP="00AC56D6">
      <w:pPr>
        <w:pStyle w:val="TextoNormal"/>
      </w:pPr>
      <w:r>
        <w:t xml:space="preserve">En efecto, el recurrente no sólo no ha demostrado que el precepto legal autonómico controvertido regule efectivamente </w:t>
      </w:r>
      <w:r w:rsidRPr="00AC56D6">
        <w:rPr>
          <w:i/>
        </w:rPr>
        <w:t>ex novo</w:t>
      </w:r>
      <w:r>
        <w:t xml:space="preserve"> un procedimiento de adjudicación de contratos administrativos, sino que ni tan siquiera ha tratado de acreditar tal extremo, más allá de una genérica referencia a la rúbrica del precepto en su redacción originaria “Procedimiento simplificado de adjudicación de contratos”, ciertamente poco afortunada y que ha sido sustituida, en la reforma llevada a cabo por la Ley de las Cortes de Aragón 3/2012, por la de “Trámite simplificado”.</w:t>
      </w:r>
    </w:p>
    <w:p w:rsidR="00AC56D6" w:rsidRDefault="00AC56D6" w:rsidP="00AC56D6">
      <w:pPr>
        <w:pStyle w:val="TextoNormal"/>
      </w:pPr>
    </w:p>
    <w:p w:rsidR="00AC56D6" w:rsidRDefault="00AC56D6" w:rsidP="00AC56D6">
      <w:pPr>
        <w:pStyle w:val="TextoNormal"/>
      </w:pPr>
      <w:r>
        <w:t>Trascendiendo las cuestiones estrictamente semánticas y entrando en el fondo de la regulación jurídica controvertida, importa recordar, una vez más, que ese trámite simplificado se “habilita” en relación con el “procedimiento abierto para todo contrato de suministro y servicios de valor estimado inferior a 150.000 euros, Impuesto sobre el Valor Añadido excluido, y de obras inferior a 2.000.000 de euros, Impuesto sobre el Valor Añadido excluido”. Estamos, por tanto, ante un desarrollo normativo de la base estatal que no merece un reproche como el que se le dirige, sin perjuicio de que alguno de los extremos de ese desarrollo normativo pueda, en efecto, estar viciado de inconstitucionalidad, cuestión a cuya resolución dedicaremos los siguientes fundamentos jurídicos.</w:t>
      </w:r>
    </w:p>
    <w:p w:rsidR="00AC56D6" w:rsidRDefault="00AC56D6" w:rsidP="00AC56D6">
      <w:pPr>
        <w:pStyle w:val="TextoNormal"/>
      </w:pPr>
    </w:p>
    <w:p w:rsidR="00AC56D6" w:rsidRDefault="00AC56D6" w:rsidP="00AC56D6">
      <w:pPr>
        <w:pStyle w:val="TextoNormal"/>
      </w:pPr>
      <w:r>
        <w:t>Por las razones expuestas, procede la desestimación de la impugnación íntegra del art. 10 de la Ley recurrida.</w:t>
      </w:r>
    </w:p>
    <w:p w:rsidR="00AC56D6" w:rsidRDefault="00AC56D6" w:rsidP="00AC56D6">
      <w:pPr>
        <w:pStyle w:val="TextoNormal"/>
      </w:pPr>
    </w:p>
    <w:p w:rsidR="00AC56D6" w:rsidRDefault="00AC56D6" w:rsidP="00AC56D6">
      <w:pPr>
        <w:pStyle w:val="TextoNormal"/>
      </w:pPr>
      <w:r w:rsidRPr="00AC56D6">
        <w:rPr>
          <w:rStyle w:val="NumeroAFNegritaCaracter"/>
        </w:rPr>
        <w:t>8</w:t>
      </w:r>
      <w:r>
        <w:t>. El art. 10.2 c), en la redacción impugnada, prevé que en el procedimiento simplificado “el anuncio de licitación del contrato únicamente precisará de publicación en el perfil de contratante del poder adjudicador”. El art. 33 de la Ley 3/2012, de 8 de marzo, de medidas fiscales y administrativas de la Comunidad Autónoma de Aragón ha dado una nueva redacción a la letra c del apartado 2 del artículo 10 de la Ley 3/2011, de 24 de febrero, de medidas en materia de contratos del sector público de Aragón. Así, tras la reforma de 2012, esa publicación ha de hacerse “en el perfil de contratante de la Comunidad Autónoma de Aragón”, por lo que pervive la controversia competencial en su día trabada frente a aquel apartado y referida a la contradicción del lugar de publicación del anuncio de licitación con las bases del Estado.</w:t>
      </w:r>
    </w:p>
    <w:p w:rsidR="00AC56D6" w:rsidRDefault="00AC56D6" w:rsidP="00AC56D6">
      <w:pPr>
        <w:pStyle w:val="TextoNormal"/>
      </w:pPr>
    </w:p>
    <w:p w:rsidR="00AC56D6" w:rsidRDefault="00AC56D6" w:rsidP="00AC56D6">
      <w:pPr>
        <w:pStyle w:val="TextoNormal"/>
      </w:pPr>
      <w:r>
        <w:t>Para el recurrente, la previsión del lugar de publicación entra en contradicción frontal con el art. 142.1 del texto refundido de la Ley de contratos del sector público, conforme al cual, con la sola excepción de los procedimientos negociados distintos de los contemplados en el art. 177.1 y 2, todos los procedimientos para la adjudicación de contratos de las Administraciones públicas deberán anunciarse en el “Boletín Oficial del Estado” o en los correspondientes diarios oficiales autonómicos o provinciales (en el caso de los contratos sujetos a regulación armonizada, la publicación ha de hacerse, además, en el “Diario Oficial de la Unión Europea”).</w:t>
      </w:r>
    </w:p>
    <w:p w:rsidR="00AC56D6" w:rsidRDefault="00AC56D6" w:rsidP="00AC56D6">
      <w:pPr>
        <w:pStyle w:val="TextoNormal"/>
      </w:pPr>
    </w:p>
    <w:p w:rsidR="00AC56D6" w:rsidRDefault="00AC56D6" w:rsidP="00AC56D6">
      <w:pPr>
        <w:pStyle w:val="TextoNormal"/>
      </w:pPr>
      <w:r>
        <w:t>Para las Letradas del Gobierno y de las Cortes de Aragón nada habría que objetar a la previsión autonómica controvertida. La primera de ellas apunta que, si bien la publicidad de las licitaciones tiene carácter básico, este mismo carácter no puede predicarse de las concretas modalidades de publicidad y que en este caso, al efectuarse la publicación en la misma página web —la institucional del Gobierno de Aragón—, la modificación resulta en sí misma intrascendente. En similares términos se pronuncia la Letrada Mayor de las Cortes de Aragón, quien se apoya, además, en la Comunicación interpretativa de la Comisión 2006/C 179/02, donde se afirma que “la publicación en el sitio web de la entidad adjudicadora es un sistema flexible y con una buena relación coste-eficacia”.</w:t>
      </w:r>
    </w:p>
    <w:p w:rsidR="00AC56D6" w:rsidRDefault="00AC56D6" w:rsidP="00AC56D6">
      <w:pPr>
        <w:pStyle w:val="TextoNormal"/>
      </w:pPr>
    </w:p>
    <w:p w:rsidR="00AC56D6" w:rsidRDefault="00AC56D6" w:rsidP="00AC56D6">
      <w:pPr>
        <w:pStyle w:val="TextoNormal"/>
      </w:pPr>
      <w:r>
        <w:t xml:space="preserve">A juicio de este Tribunal, el precepto autonómico en la redacción impugnada no se adecua a las exigencias de publicidad establecidas en la base estatal. En aras de los principios de publicidad de la actividad contractual sostenida con fondos públicos y de transparencia de la actuación administrativa, el art. 142.1 del texto refundido de la Ley de contratos del </w:t>
      </w:r>
      <w:r>
        <w:lastRenderedPageBreak/>
        <w:t>sector público ha impuesto la inserción obligatoria —con la sola excepción de los procedimientos negociados distintos de los previstos en el art. 177.1 y 2— de los correspondientes anuncios en los diarios oficiales: “Boletín Oficial del Estado”, diarios autonómicos o provinciales, según sea el caso. Así, el precepto referido tiene carácter básico pues al fijar el lugar de publicación de la actividad contractual está estableciendo unas reglas tendentes al mantenimiento de la igualdad y la libre concurrencia en la actividad contractual de las Administraciones públicas. No se trata, por tanto, de un mandato de publicidad cuya definitiva concreción quede en manos de los legisladores autonómicos al actuar sus competencias estatutarias de desarrollo legislativo de las bases estatales en materia de contratación administrativa, sino del establecimiento de un concreto y bien perfilado modelo de publicidad de las actuaciones administrativas.</w:t>
      </w:r>
    </w:p>
    <w:p w:rsidR="00AC56D6" w:rsidRDefault="00AC56D6" w:rsidP="00AC56D6">
      <w:pPr>
        <w:pStyle w:val="TextoNormal"/>
      </w:pPr>
    </w:p>
    <w:p w:rsidR="00AC56D6" w:rsidRDefault="00AC56D6" w:rsidP="00AC56D6">
      <w:pPr>
        <w:pStyle w:val="TextoNormal"/>
      </w:pPr>
      <w:r>
        <w:t>Nótese, además, que, conforme a lo previsto en el art. 53 del texto refundido de la Ley de contratos del sector público, declarado básico por la disposición final segunda de este mismo cuerpo legal, la inserción de determinadas actuaciones contractuales en el denominado “perfil de contratante” tiene carácter subsidiario de la utilización de otros medios de publicidad. Concretamente, el apartado primero de este precepto se abre con la declaración de que “con el fin de asegurar la transparencia y el acceso público a la información relativa a su actividad contractual, y sin perjuicio de la utilización de otros medios de publicidad en los casos exigidos por esta Ley o por las normas autonómicas de desarrollo o en los que así se decida voluntariamente, los órganos de contratación difundirán, a través de Internet, su perfil de contratante.” Pues bien, uno de esos casos en los que el propio texto refundido establece, con carácter básico, un plus de publicidad, es el anuncio de licitación que, de acuerdo con el artículo 142.1, deberá insertarse en las páginas del diario oficial correspondiente.</w:t>
      </w:r>
    </w:p>
    <w:p w:rsidR="00AC56D6" w:rsidRDefault="00AC56D6" w:rsidP="00AC56D6">
      <w:pPr>
        <w:pStyle w:val="TextoNormal"/>
      </w:pPr>
    </w:p>
    <w:p w:rsidR="00AC56D6" w:rsidRDefault="00AC56D6" w:rsidP="00AC56D6">
      <w:pPr>
        <w:pStyle w:val="TextoNormal"/>
      </w:pPr>
      <w:r>
        <w:t>No puede considerarse, por tanto, que la inserción de los anuncios de licitación “únicamente” en el perfil de contratante del poder adjudicador se conforme con la base estatal en la materia, que impone su publicación en el diario oficial, con las garantías no solo de difusión y transparencia que este lleva aparejadas, sino también de oficialidad y autenticidad de su contenido. Lo expuesto determina la estimación del recurso y la declaración de inconstitucionalidad y nulidad del art. 10.2 c) de la Ley controvertida.</w:t>
      </w:r>
    </w:p>
    <w:p w:rsidR="00AC56D6" w:rsidRDefault="00AC56D6" w:rsidP="00AC56D6">
      <w:pPr>
        <w:pStyle w:val="TextoNormal"/>
      </w:pPr>
    </w:p>
    <w:p w:rsidR="00AC56D6" w:rsidRDefault="00AC56D6" w:rsidP="00AC56D6">
      <w:pPr>
        <w:pStyle w:val="TextoNormal"/>
      </w:pPr>
      <w:r w:rsidRPr="00AC56D6">
        <w:rPr>
          <w:rStyle w:val="NumeroAFNegritaCaracter"/>
        </w:rPr>
        <w:t>9</w:t>
      </w:r>
      <w:r>
        <w:t>. De acuerdo con el art. 10.2 d) de la Ley en la redacción recurrida, en los contratos a los que resulte de aplicación el trámite simplificado, “el plazo para la presentación de proposiciones no podrá ser inferior a diez ni superior a veinte días naturales, a contar desde el siguiente al de la publicación en el perfil de contratante.”</w:t>
      </w:r>
    </w:p>
    <w:p w:rsidR="00AC56D6" w:rsidRDefault="00AC56D6" w:rsidP="00AC56D6">
      <w:pPr>
        <w:pStyle w:val="TextoNormal"/>
      </w:pPr>
    </w:p>
    <w:p w:rsidR="00AC56D6" w:rsidRDefault="00AC56D6" w:rsidP="00AC56D6">
      <w:pPr>
        <w:pStyle w:val="TextoNormal"/>
      </w:pPr>
      <w:r>
        <w:t xml:space="preserve">La alusión a “los plazos mínimos recogidos en la legislación básica para la tramitación urgente”, incluida en el precepto legal autonómico con ocasión de su reforma por la Ley 3/2012, de 8 de marzo, de medidas fiscales y administrativas de la Comunidad Autónoma de Aragón, remite a lo dispuesto en el art. 112 del texto refundido de la Ley de contratos del sector público, en cuyo apartado 2 b) se dispone que “acordada la apertura del procedimiento de adjudicación”, en los expedientes de tramitación urgente “los plazos establecidos en esta Ley para la licitación, adjudicación y formalización del contrato se reducirán a la mitad”. De la lectura conjunta de la nueva redacción del art. 10.2 d) de la Ley territorial y del art. 112 del texto refundido de la Ley de contratos del sector público se deduce que el plazo mínimo de presentación de proposiciones no podrá ser inferior, en ningún caso, a siete días, </w:t>
      </w:r>
      <w:r>
        <w:lastRenderedPageBreak/>
        <w:t>trece para los contratos de obras y de concesión de obras públicas, por lo que subsiste la controversia competencial trabada en su día, pues los plazos mínimos fijados por el legislador autonómico aragonés, no se adecuan a los umbrales establecidos en la norma estatal.</w:t>
      </w:r>
    </w:p>
    <w:p w:rsidR="00AC56D6" w:rsidRDefault="00AC56D6" w:rsidP="00AC56D6">
      <w:pPr>
        <w:pStyle w:val="TextoNormal"/>
      </w:pPr>
    </w:p>
    <w:p w:rsidR="00AC56D6" w:rsidRDefault="00AC56D6" w:rsidP="00AC56D6">
      <w:pPr>
        <w:pStyle w:val="TextoNormal"/>
      </w:pPr>
      <w:r>
        <w:t>a) El Abogado del Estado denuncia que el precepto autonómico es contrario al art. 159 del texto refundido de la Ley de contratos del sector público, que fija en un mínimo de cincuenta y dos días el plazo de presentación de proposiciones en los procedimientos de adjudicación de contratos sujetos a regulación armonizada (apartado primero), plazo susceptible de diversas reducciones (en cinco días “cuando se ofrezca acceso por medios electrónicos a los pliegos y a la documentación complementaria”, en dieciséis y hasta treinta cuando se hubiera enviado el anuncio previo regulado en el art. 141 del texto refundido, y en siete días “cuando los anuncios se preparen y envíen por medios electrónicos, informáticos o telemáticos)". En el caso de los contratos no sujetos a regulación armonizada, “el plazo de presentación de proposiciones no será inferior a quince días, contados desde la publicación del anuncio del contrato. En los contratos de obras y de concesión de obras públicas, el plazo será, como mínimo, de veintiséis días.” (apartado segundo). En particular, para el Abogado del Estado, el artículo 159.1 podría ser de aplicación al amparo de lo dispuesto en el último inciso del art. 13.1 del texto refundido de la Ley de contratos del sector público, en la medida en que se trate de contratos subvencionados de acuerdo con el artículo 17, siempre del texto refundido.</w:t>
      </w:r>
    </w:p>
    <w:p w:rsidR="00AC56D6" w:rsidRDefault="00AC56D6" w:rsidP="00AC56D6">
      <w:pPr>
        <w:pStyle w:val="TextoNormal"/>
      </w:pPr>
    </w:p>
    <w:p w:rsidR="00AC56D6" w:rsidRDefault="00AC56D6" w:rsidP="00AC56D6">
      <w:pPr>
        <w:pStyle w:val="TextoNormal"/>
      </w:pPr>
      <w:r>
        <w:t>Las representaciones letradas del Gobierno y de las Cortes de Aragón sostienen que estamos ante un desarrollo perfectamente lícito de la base estatal. Concretamente, la Letrada del Gobierno de Aragón habla de “medidas excepcionales tendentes a agilizar la tramitación administrativa respecto de aquellos procedimientos limitados cuantitativamente y por lo tanto atinentes a procesos donde el grado de complejidad en la presentación de las ofertas por los licitadores disminuye notablemente”.</w:t>
      </w:r>
    </w:p>
    <w:p w:rsidR="00AC56D6" w:rsidRDefault="00AC56D6" w:rsidP="00AC56D6">
      <w:pPr>
        <w:pStyle w:val="TextoNormal"/>
      </w:pPr>
    </w:p>
    <w:p w:rsidR="00AC56D6" w:rsidRDefault="00AC56D6" w:rsidP="00AC56D6">
      <w:pPr>
        <w:pStyle w:val="TextoNormal"/>
      </w:pPr>
      <w:r>
        <w:t>b) Debemos comenzar rechazando la necesidad de contrastar la norma autonómica con el art. 159.1 del texto refundido de la Ley de contratos del sector público pues las cuantías de los contratos subvencionados a las que se refiere el artículo 17 de este mismo texto refundido son en todo caso superiores a las cuantías límite estimadas para los contratos susceptibles de tramitación simplificada de acuerdo con el art. 10.1 de la Ley autonómica. En efecto, esta tramitación puede aplicarse a los contratos de obra de importe estimado inferior a 2.000.000 € y a los contratos de suministro y servicios de valor inferior a 150.000 €, siendo así que los contratos subvencionados del art. 17 del texto refundido de la Ley de contratos del sector público han de superar los 5.186.000 € en el caso de los contratos de obra [art. 17.1 a)] y los 207.000 € los contratos de servicios vinculados a uno de estos contratos de obra [art. 17.1 b)].</w:t>
      </w:r>
    </w:p>
    <w:p w:rsidR="00AC56D6" w:rsidRDefault="00AC56D6" w:rsidP="00AC56D6">
      <w:pPr>
        <w:pStyle w:val="TextoNormal"/>
      </w:pPr>
    </w:p>
    <w:p w:rsidR="00AC56D6" w:rsidRDefault="00AC56D6" w:rsidP="00AC56D6">
      <w:pPr>
        <w:pStyle w:val="TextoNormal"/>
      </w:pPr>
      <w:r>
        <w:t>Por consiguiente, habremos de ceñir nuestro análisis a la conformidad del art. 10.2 d) de la Ley aragonesa en la redacción impugnada con el art. 159.2 del texto refundido de la Ley de contratos del sector público, sobre cuyo carácter básico pocas dudas cabe albergar pues al fijar los plazos para la presentación de proposiciones en la contratación pública está estableciendo unas reglas tendentes al mantenimiento de la igualdad y la libre concurrencia en la actividad contractual de las Administraciones públicas. Ese análisis ha de arrojar un resultado necesariamente negativo.</w:t>
      </w:r>
    </w:p>
    <w:p w:rsidR="00AC56D6" w:rsidRDefault="00AC56D6" w:rsidP="00AC56D6">
      <w:pPr>
        <w:pStyle w:val="TextoNormal"/>
      </w:pPr>
    </w:p>
    <w:p w:rsidR="00AC56D6" w:rsidRDefault="00AC56D6" w:rsidP="00AC56D6">
      <w:pPr>
        <w:pStyle w:val="TextoNormal"/>
      </w:pPr>
      <w:r>
        <w:lastRenderedPageBreak/>
        <w:t>El art. 159.2 del texto refundido de la Ley de contratos del sector público establece que, en los contratos que celebren las Administraciones públicas y que no estén sujetos a regulación armonizada, “el plazo de presentación de proposiciones no será inferior a quince días”, si bien “en los contratos de obras y de concesión de obras públicas, el plazo será como mínimo de veintiséis días”. Por su parte, el art. 10.2 d) de la Ley de medidas en materia de contratos del sector público de Aragón declara que, el plazo para la presentación de proposiciones en los casos de licitaciones por el procedimiento simplificado “no podrá ser inferior a diez ni superior a veinte días naturales”.</w:t>
      </w:r>
    </w:p>
    <w:p w:rsidR="00AC56D6" w:rsidRDefault="00AC56D6" w:rsidP="00AC56D6">
      <w:pPr>
        <w:pStyle w:val="TextoNormal"/>
      </w:pPr>
    </w:p>
    <w:p w:rsidR="00AC56D6" w:rsidRDefault="00AC56D6" w:rsidP="00AC56D6">
      <w:pPr>
        <w:pStyle w:val="TextoNormal"/>
      </w:pPr>
      <w:r>
        <w:t>Dicho esto, debemos hacer ahora hincapié en que lo básico en esta materia no se agota en la fijación de los plazos mínimos para la presentación de proposiciones en los expedientes objeto de tramitación urgente pues, como ya hemos indicado anteriormente, también el art. 159.2 del texto refundido de la Ley de contratos del sector público, referido a la tramitación ordinaria de los expedientes de contratación, tiene carácter básico. Pues bien, es justamente en los casos de tramitación ordinaria cuando la contradicción entre la base estatal y su desarrollo autonómico se muestra insalvable, pues al par de quince-veintiséis días naturales para la presentación de proposiciones al que se refiere el precepto legal estatal, se contrapone el mínimo de diez días establecido por el legislador aragonés, palmariamente por debajo del umbral inferior fijado por el Estado. Y ello, pese a que el art. 159.2 del texto refundido deje claro ese carácter de mínimos de los plazos al hacer uso de expresiones tales como “no será inferior a quince días” y “será, como mínimo, de veintiséis días”. Se acota así la libertad de regulación del legislador autonómico en ejercicio de su competencia de desarrollo legislativo de lo básico. Dicho de otro modo, los legisladores autonómicos podrán, al ejercer esa competencia, elevar los umbrales mínimos, pero nunca rebajarlos pues de lo contrario se desatendería al sentido y finalidad de la base estatal en esta materia: facilitar el acceso de los interesados a la licitación pública, definiendo al efecto unos plazos idóneos para satisfacer adecuadamente tanto el interés público en la gestión diligente del expediente como el interés general en la libertad de acceso a la contratación pública.</w:t>
      </w:r>
    </w:p>
    <w:p w:rsidR="00AC56D6" w:rsidRDefault="00AC56D6" w:rsidP="00AC56D6">
      <w:pPr>
        <w:pStyle w:val="TextoNormal"/>
      </w:pPr>
    </w:p>
    <w:p w:rsidR="00AC56D6" w:rsidRDefault="00AC56D6" w:rsidP="00AC56D6">
      <w:pPr>
        <w:pStyle w:val="TextoNormal"/>
      </w:pPr>
      <w:r>
        <w:t>Debemos, pues, declarar la inconstitucionalidad y nulidad del artículo 10.2 d) de la Ley 3/2011, de las Cortes de Aragón.</w:t>
      </w:r>
    </w:p>
    <w:p w:rsidR="00AC56D6" w:rsidRDefault="00AC56D6" w:rsidP="00AC56D6">
      <w:pPr>
        <w:pStyle w:val="TextoNormal"/>
      </w:pPr>
    </w:p>
    <w:p w:rsidR="00AC56D6" w:rsidRDefault="00AC56D6" w:rsidP="00AC56D6">
      <w:pPr>
        <w:pStyle w:val="TextoNormal"/>
      </w:pPr>
      <w:r w:rsidRPr="00AC56D6">
        <w:rPr>
          <w:rStyle w:val="NumeroAFNegritaCaracter"/>
        </w:rPr>
        <w:t>10</w:t>
      </w:r>
      <w:r>
        <w:t>. El artículo 10.2 f) de la Ley aragonesa recurrida tiene el siguiente contenido:</w:t>
      </w:r>
    </w:p>
    <w:p w:rsidR="00AC56D6" w:rsidRDefault="00AC56D6" w:rsidP="00AC56D6">
      <w:pPr>
        <w:pStyle w:val="TextoNormal"/>
      </w:pPr>
    </w:p>
    <w:p w:rsidR="00AC56D6" w:rsidRDefault="00AC56D6" w:rsidP="00AC56D6">
      <w:pPr>
        <w:pStyle w:val="TextoNormal"/>
      </w:pPr>
      <w:r>
        <w:t>“En el caso de que el licitador a cuyo favor recaiga la propuesta de adjudicación hubiera sustituido la presentación de la documentación relativa a la capacidad, representación y solvencia por una declaración responsable, deberá acreditar en el plazo de cinco días hábiles, la posesión y validez de los documentos exigidos.”</w:t>
      </w:r>
    </w:p>
    <w:p w:rsidR="00AC56D6" w:rsidRDefault="00AC56D6" w:rsidP="00AC56D6">
      <w:pPr>
        <w:pStyle w:val="TextoNormal"/>
      </w:pPr>
    </w:p>
    <w:p w:rsidR="00AC56D6" w:rsidRDefault="00AC56D6" w:rsidP="00AC56D6">
      <w:pPr>
        <w:pStyle w:val="TextoNormal"/>
      </w:pPr>
      <w:r>
        <w:t>El art. 33 de la Ley 3/2012, de 8 de marzo, de medidas fiscales y administrativas de la Comunidad Autónoma de Aragón ha dado una nueva redacción a la letra f del apartado 2 del art. 10 de la Ley 3/2011, de 24 de febrero, de medidas en materia de contratos del sector público de Aragón, añadiendo que tal acreditación deberá realizarse con respeto a las exigencias contenidas en la legislación básica. Sin embargo, tal modificación no ha hecho desaparecer la controversia competencial en su día planteada.</w:t>
      </w:r>
    </w:p>
    <w:p w:rsidR="00AC56D6" w:rsidRDefault="00AC56D6" w:rsidP="00AC56D6">
      <w:pPr>
        <w:pStyle w:val="TextoNormal"/>
      </w:pPr>
    </w:p>
    <w:p w:rsidR="00AC56D6" w:rsidRDefault="00AC56D6" w:rsidP="00AC56D6">
      <w:pPr>
        <w:pStyle w:val="TextoNormal"/>
      </w:pPr>
      <w:r>
        <w:t xml:space="preserve">En efecto, este precepto fue controvertido en la medida en que reproduce, para su aplicación en el procedimiento abierto objeto de una tramitación simplificada, las previsiones </w:t>
      </w:r>
      <w:r>
        <w:lastRenderedPageBreak/>
        <w:t>del artículo 6, de modo que las razones de su impugnación y defensa coinciden con las esgrimidas en relación con los dos apartados de este art. 6 de la Ley autonómica. Esta misma coincidencia nos exime de abordar un análisis más profundo del contenido del art. 10.2 f) de la Ley aragonesa, de modo que, por las mismas razones que nos llevaron a concluir la sustancial conformidad del artículo 6.1 con las bases estatales en materia de contratación pública, debemos ahora desestimar la impugnación del artículo 10.2 f), en cuanto contempla la posibilidad de cumplimiento de las obligaciones documentales de los licitadores mediante el recurso a la declaración responsable. De igual modo, y por las razones ya expuestas en el fundamento jurídico 7 respecto del art. 6.2 de la Ley autonómica, debemos declarar ahora la inconstitucionalidad y nulidad del inciso “en el plazo de cinco días hábiles”.</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1º Estimar parcialmente el presente recurso de inconstitucionalidad y, en consecuencia, declarar inconstitucionales y nulos los siguientes preceptos e incisos de la Ley 3/2011, de 24 de febrero, de medidas en materia de contratos del sector público de Aragón en la redacción impugnada:</w:t>
      </w:r>
    </w:p>
    <w:p w:rsidR="00AC56D6" w:rsidRDefault="00AC56D6" w:rsidP="00AC56D6">
      <w:pPr>
        <w:pStyle w:val="TextoNormal"/>
      </w:pPr>
    </w:p>
    <w:p w:rsidR="00AC56D6" w:rsidRDefault="00AC56D6" w:rsidP="00AC56D6">
      <w:pPr>
        <w:pStyle w:val="TextoNormal"/>
      </w:pPr>
      <w:r>
        <w:t>a) El inciso “y simplificados en los que se haya optado por no constituir Mesa de contratación” del artículo 6.1.</w:t>
      </w:r>
    </w:p>
    <w:p w:rsidR="00AC56D6" w:rsidRDefault="00AC56D6" w:rsidP="00AC56D6">
      <w:pPr>
        <w:pStyle w:val="TextoNormal"/>
      </w:pPr>
    </w:p>
    <w:p w:rsidR="00AC56D6" w:rsidRDefault="00AC56D6" w:rsidP="00AC56D6">
      <w:pPr>
        <w:pStyle w:val="TextoNormal"/>
      </w:pPr>
      <w:r>
        <w:t>b) El inciso “en el plazo de cinco días hábiles” del artículo 6.2</w:t>
      </w:r>
    </w:p>
    <w:p w:rsidR="00AC56D6" w:rsidRDefault="00AC56D6" w:rsidP="00AC56D6">
      <w:pPr>
        <w:pStyle w:val="TextoNormal"/>
      </w:pPr>
    </w:p>
    <w:p w:rsidR="00AC56D6" w:rsidRDefault="00AC56D6" w:rsidP="00AC56D6">
      <w:pPr>
        <w:pStyle w:val="TextoNormal"/>
      </w:pPr>
      <w:r>
        <w:t>c) El artículo 10.2 c).</w:t>
      </w:r>
    </w:p>
    <w:p w:rsidR="00AC56D6" w:rsidRDefault="00AC56D6" w:rsidP="00AC56D6">
      <w:pPr>
        <w:pStyle w:val="TextoNormal"/>
      </w:pPr>
    </w:p>
    <w:p w:rsidR="00AC56D6" w:rsidRDefault="00AC56D6" w:rsidP="00AC56D6">
      <w:pPr>
        <w:pStyle w:val="TextoNormal"/>
      </w:pPr>
      <w:r>
        <w:t>d) El artículo 10.2 d).</w:t>
      </w:r>
    </w:p>
    <w:p w:rsidR="00AC56D6" w:rsidRDefault="00AC56D6" w:rsidP="00AC56D6">
      <w:pPr>
        <w:pStyle w:val="TextoNormal"/>
      </w:pPr>
    </w:p>
    <w:p w:rsidR="00AC56D6" w:rsidRDefault="00AC56D6" w:rsidP="00AC56D6">
      <w:pPr>
        <w:pStyle w:val="TextoNormal"/>
      </w:pPr>
      <w:r>
        <w:t>e) El inciso “en el plazo de cinco días hábiles” del artículo 10.2 f).</w:t>
      </w:r>
    </w:p>
    <w:p w:rsidR="00AC56D6" w:rsidRDefault="00AC56D6" w:rsidP="00AC56D6">
      <w:pPr>
        <w:pStyle w:val="TextoNormal"/>
      </w:pPr>
    </w:p>
    <w:p w:rsidR="00AC56D6" w:rsidRDefault="00AC56D6" w:rsidP="00AC56D6">
      <w:pPr>
        <w:pStyle w:val="TextoNormal"/>
      </w:pPr>
      <w:r>
        <w:t>2º Desestimar el recurso de inconstitucionalidad en todo lo demás.</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diecinueve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94" w:name="SENTENCIA_2015_238"/>
      <w:r>
        <w:lastRenderedPageBreak/>
        <w:t>SENTENCIA 238/2015, de 19 de noviembre de 2015</w:t>
      </w:r>
    </w:p>
    <w:bookmarkEnd w:id="94"/>
    <w:p w:rsidR="00AC56D6" w:rsidRDefault="00AC56D6" w:rsidP="00AC56D6">
      <w:pPr>
        <w:pStyle w:val="TtuloResolucin"/>
      </w:pPr>
      <w:r>
        <w:t>Pleno</w:t>
      </w:r>
    </w:p>
    <w:p w:rsidR="00AC56D6" w:rsidRDefault="00AC56D6" w:rsidP="00AC56D6">
      <w:pPr>
        <w:pStyle w:val="TtuloBOE"/>
      </w:pPr>
      <w:r>
        <w:t>(BOE núm. 312, de 30 de diciembre de 2015)</w:t>
      </w:r>
    </w:p>
    <w:p w:rsidR="00AC56D6" w:rsidRDefault="00AC56D6" w:rsidP="00AC56D6">
      <w:pPr>
        <w:pStyle w:val="TextoNormalCentrado"/>
      </w:pPr>
      <w:r>
        <w:t>ECLI:ES:TC:2015:238</w:t>
      </w:r>
    </w:p>
    <w:p w:rsidR="00AC56D6" w:rsidRDefault="00AC56D6" w:rsidP="00AC56D6">
      <w:pPr>
        <w:pStyle w:val="TextoNormalCentrado"/>
      </w:pPr>
    </w:p>
    <w:p w:rsidR="00AC56D6" w:rsidRDefault="00AC56D6" w:rsidP="00AC56D6">
      <w:pPr>
        <w:pStyle w:val="SntesisDescriptiva"/>
      </w:pPr>
      <w:r>
        <w:t>Recurso de inconstitucionalidad 4681-2015. Interpuesto por el Presidente del Gobierno en relación con el artículo 4 de la Ley 9/2015, de 12 de junio, de modificación de la Ley 7/2007, de la Agencia Tributaria de Cataluña.</w:t>
      </w:r>
    </w:p>
    <w:p w:rsidR="00AC56D6" w:rsidRDefault="00AC56D6" w:rsidP="00AC56D6">
      <w:pPr>
        <w:pStyle w:val="SntesisDescriptiva"/>
      </w:pPr>
    </w:p>
    <w:p w:rsidR="00AC56D6" w:rsidRDefault="00AC56D6" w:rsidP="00AC56D6">
      <w:pPr>
        <w:pStyle w:val="SntesisAnaltica"/>
      </w:pPr>
      <w:r>
        <w:t>Derecho a la igualdad en el acceso a las funciones públicas, competencias sobre función pública: nulidad del precepto legal autonómico que regula la integración voluntaria de funcionarios públicos en los cuerpos superior de inspectores tributarios y técnico de gestores tributarios de la Generalitat de Cataluña.</w:t>
      </w:r>
    </w:p>
    <w:p w:rsidR="00AC56D6" w:rsidRDefault="00AC56D6" w:rsidP="00AC56D6">
      <w:pPr>
        <w:pStyle w:val="SntesisAnaltica"/>
      </w:pPr>
    </w:p>
    <w:p w:rsidR="00AC56D6" w:rsidRDefault="00AC56D6" w:rsidP="00AC56D6">
      <w:pPr>
        <w:pStyle w:val="Extracto"/>
      </w:pPr>
      <w:r>
        <w:t>1.</w:t>
      </w:r>
      <w:r>
        <w:tab/>
        <w:t>Funcionan como rectores del derecho al acceso al empleo público en general los principios constitucionales de igualdad, mérito y capacidad que, junto con el carácter abierto de los procesos selectivos, garantizarán la libre concurrencia, sin perjuicio de lo establecido para la promoción interna y de las medidas de discriminación positiva (STC 111/2014) [FJ 3].</w:t>
      </w:r>
    </w:p>
    <w:p w:rsidR="00AC56D6" w:rsidRDefault="00AC56D6" w:rsidP="00AC56D6">
      <w:pPr>
        <w:pStyle w:val="Extracto"/>
      </w:pPr>
    </w:p>
    <w:p w:rsidR="00AC56D6" w:rsidRDefault="00AC56D6" w:rsidP="00AC56D6">
      <w:pPr>
        <w:pStyle w:val="Extracto"/>
      </w:pPr>
      <w:r>
        <w:t>2.</w:t>
      </w:r>
      <w:r>
        <w:tab/>
        <w:t>El derecho a la igualdad en el acceso a la función pública supone una limitación fundamental a la práctica de las pruebas restringidas para el acceso a la función pública, las cuales, en general, han de considerarse como un procedimiento proscrito por el referido precepto constitucional (STC 151/1992) [FJ 4].</w:t>
      </w:r>
    </w:p>
    <w:p w:rsidR="00AC56D6" w:rsidRDefault="00AC56D6" w:rsidP="00AC56D6">
      <w:pPr>
        <w:pStyle w:val="Extracto"/>
      </w:pPr>
    </w:p>
    <w:p w:rsidR="00AC56D6" w:rsidRDefault="00AC56D6" w:rsidP="00AC56D6">
      <w:pPr>
        <w:pStyle w:val="Extracto"/>
      </w:pPr>
      <w:r>
        <w:t>3.</w:t>
      </w:r>
      <w:r>
        <w:tab/>
        <w:t>La competencia básica estatal sobre el régimen estatutario de los funcionarios públicos comprende la fijación del principio de igualdad como elemento esencial del acceso a dicha condición (SSTC 174/1998; 111/2014) [FJ 6].</w:t>
      </w:r>
    </w:p>
    <w:p w:rsidR="00AC56D6" w:rsidRDefault="00AC56D6" w:rsidP="00AC56D6">
      <w:pPr>
        <w:pStyle w:val="Extracto"/>
      </w:pPr>
    </w:p>
    <w:p w:rsidR="00AC56D6" w:rsidRDefault="00AC56D6" w:rsidP="00AC56D6">
      <w:pPr>
        <w:pStyle w:val="Extracto"/>
      </w:pPr>
      <w:r>
        <w:t>4.</w:t>
      </w:r>
      <w:r>
        <w:tab/>
        <w:t>Encaja en las bases del régimen estatutario de los funcionarios públicos la norma estatal que prevé que la adquisición de tal condición se verificará mediante convocatorias abiertas, y las excepciones que eventualmente se puedan prever a tal regla general (STC 302/1993) [FJ 3].</w:t>
      </w:r>
    </w:p>
    <w:p w:rsidR="00AC56D6" w:rsidRDefault="00AC56D6" w:rsidP="00AC56D6">
      <w:pPr>
        <w:pStyle w:val="Extracto"/>
      </w:pPr>
    </w:p>
    <w:p w:rsidR="00AC56D6" w:rsidRDefault="00AC56D6" w:rsidP="00AC56D6">
      <w:pPr>
        <w:pStyle w:val="Extracto"/>
      </w:pPr>
      <w:r>
        <w:t>5.</w:t>
      </w:r>
      <w:r>
        <w:tab/>
        <w:t>El legislador autonómico no actuará dentro de sus competencias si regula supuestos de acceso a la función pública en que la participación no sea libre más allá de aquellos que encuentren amparo en la normativa básica (STC 302/1993) [FJ 3].</w:t>
      </w:r>
    </w:p>
    <w:p w:rsidR="00AC56D6" w:rsidRDefault="00AC56D6" w:rsidP="00AC56D6">
      <w:pPr>
        <w:pStyle w:val="Extracto"/>
      </w:pPr>
    </w:p>
    <w:p w:rsidR="00AC56D6" w:rsidRDefault="00AC56D6" w:rsidP="00AC56D6">
      <w:pPr>
        <w:pStyle w:val="Extracto"/>
      </w:pPr>
      <w:r>
        <w:t>6.</w:t>
      </w:r>
      <w:r>
        <w:tab/>
        <w:t>No cabe excluir que, en determinados casos excepcionales, la diferencia de trato establecida en la Ley en favor de unos y en perjuicio de otros pueda considerarse como razonable, proporcionada y no arbitraria a los efectos de la desigualdad de trato que establece, siempre que dicha diferenciación se demuestre como un medio excepcional y adecuado para resolver una situación también excepcional, expresamente prevista en una norma con rango de Ley (STC 130/2009) [FJ 4].</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 xml:space="preserve">El Pleno del Tribunal Constitucional, compuesto por don Francisco Pérez de los Cobos Orihuel, Presidente, doña Adela Asua Batarrita, doña Encarnación Roca Trías, don Andrés </w:t>
      </w:r>
      <w:r>
        <w:lastRenderedPageBreak/>
        <w:t>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inconstitucionalidad núm. 4681-2015 interpuesto por el Presidente del Gobierno contra el art. 4 de la Ley 9/2015, de 12 de junio, de modificación de la Ley 7/2007, de la Agencia Tributaria de Cataluña, para la ordenación de los cuerpos tributarios de adscripción exclusiva a la Agencia, por cuanto añade a esta última las disposiciones adicionales vigésima primera y vigésima segunda. Han comparecido y formulado alegaciones la Generalitat y el Parlamento de Cataluña, representados por sus respectivos Letrados. Ha sido Ponente el Magistrado don Juan José González Rivas,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presentado en el Registro General de este Tribunal Constitucional el día 31 de julio de 2015, el Abogado del Estado, en nombre del Presidente del Gobierno, interpuso recurso de inconstitucionalidad contra el art. 4 de la Ley 9/2015, de 12 de junio, de modificación de la Ley 7/2007, de la Agencia Tributaria de Cataluña, para la ordenación de los cuerpos tributarios de adscripción exclusiva a la Agencia, por cuanto añade a esta última las disposiciones adicionales vigésima primera y vigésima segunda. El Abogado del Estado invocó los arts. 161.2 CE y 30 de la Ley Orgánica del Tribunal Constitucional (LOTC), a fin de que se acordase la suspensión de los preceptos impugnados.</w:t>
      </w:r>
    </w:p>
    <w:p w:rsidR="00AC56D6" w:rsidRDefault="00AC56D6" w:rsidP="00AC56D6">
      <w:pPr>
        <w:pStyle w:val="TextoNormal"/>
      </w:pPr>
    </w:p>
    <w:p w:rsidR="00AC56D6" w:rsidRDefault="00AC56D6" w:rsidP="00AC56D6">
      <w:pPr>
        <w:pStyle w:val="TextoNormal"/>
      </w:pPr>
      <w:r>
        <w:t>El Abogado del Estado comienza transcribiendo la disposición adicional vigésima primera de la Ley 7/2007, de la Agencia Tributaria de Cataluña, incorporada por el impugnado art. 4 de la Ley 9/2015, cuyo texto es:</w:t>
      </w:r>
    </w:p>
    <w:p w:rsidR="00AC56D6" w:rsidRDefault="00AC56D6" w:rsidP="00AC56D6">
      <w:pPr>
        <w:pStyle w:val="TextoNormal"/>
      </w:pPr>
    </w:p>
    <w:p w:rsidR="00AC56D6" w:rsidRDefault="00AC56D6" w:rsidP="00AC56D6">
      <w:pPr>
        <w:pStyle w:val="TextoNormal"/>
      </w:pPr>
      <w:r>
        <w:t>“Vigésima primera. Integración voluntaria en el Cuerpo Superior de Inspectores Tributarios de la Generalidad de Cataluña.</w:t>
      </w:r>
    </w:p>
    <w:p w:rsidR="00AC56D6" w:rsidRDefault="00AC56D6" w:rsidP="00AC56D6">
      <w:pPr>
        <w:pStyle w:val="TextoNormal"/>
      </w:pPr>
    </w:p>
    <w:p w:rsidR="00AC56D6" w:rsidRDefault="00AC56D6" w:rsidP="00AC56D6">
      <w:pPr>
        <w:pStyle w:val="TextoNormal"/>
      </w:pPr>
      <w:r>
        <w:t>1. Pueden optar por integrarse en el Cuerpo Superior de Inspectores Tributarios de la Generalidad de Cataluña, mediante convocatorias específicas, los funcionarios que tengan asignadas funciones sustancialmente coincidentes con las propias del Cuerpo y que tengan destino definitivo en el ámbito territorial de Cataluña o que en el momento de la convocatoria presten servicios en la Administración de la Generalidad o en los entes del sector público que de ella dependen, si pertenecen a cuerpos y escalas del subgrupo A1 de otras administraciones públicas.</w:t>
      </w:r>
    </w:p>
    <w:p w:rsidR="00AC56D6" w:rsidRDefault="00AC56D6" w:rsidP="00AC56D6">
      <w:pPr>
        <w:pStyle w:val="TextoNormal"/>
      </w:pPr>
      <w:r>
        <w:lastRenderedPageBreak/>
        <w:t>2. Antes del 30 de junio de 2021 deben realizarse las convocatorias necesarias, hasta un máximo de cuatro, para el proceso de integración a que se refiere el apartado 1. Las convocatorias han de determinar los requisitos específicos de participación, el procedimiento a seguir, la tabla de homologaciones que debe aplicarse y los puestos de trabajo que deben adjudicarse, y han de prever una lista de reserva para que aquellos funcionarios que, a pesar de cumplir los requisitos exigidos por la convocatoria, no hayan podido integrarse en el Cuerpo, por insuficiencia del número de plazas convocadas, puedan integrarse en el mismo más adelante, en ocasión de vacante, sin tener que concurrir a una nueva convocatoria. La resolución de integración, que corresponde al presidente o presidenta de la Agencia Tributaria de Cataluña, conlleva la adjudicación del correspondiente puesto de trabajo.”</w:t>
      </w:r>
    </w:p>
    <w:p w:rsidR="00AC56D6" w:rsidRDefault="00AC56D6" w:rsidP="00AC56D6">
      <w:pPr>
        <w:pStyle w:val="TextoNormal"/>
      </w:pPr>
    </w:p>
    <w:p w:rsidR="00AC56D6" w:rsidRDefault="00AC56D6" w:rsidP="00AC56D6">
      <w:pPr>
        <w:pStyle w:val="TextoNormal"/>
      </w:pPr>
      <w:r>
        <w:t>Y señala a continuación que la Disposición Adicional vigésimo segunda recoge un contenido idéntico pero referido al Cuerpo de Gestión Tributaria de Cataluña.</w:t>
      </w:r>
    </w:p>
    <w:p w:rsidR="00AC56D6" w:rsidRDefault="00AC56D6" w:rsidP="00AC56D6">
      <w:pPr>
        <w:pStyle w:val="TextoNormal"/>
      </w:pPr>
    </w:p>
    <w:p w:rsidR="00AC56D6" w:rsidRDefault="00AC56D6" w:rsidP="00AC56D6">
      <w:pPr>
        <w:pStyle w:val="TextoNormal"/>
      </w:pPr>
      <w:r>
        <w:t>Acto seguido razona que “se trata de una Ley que tiene por objeto articular un nuevo procedimiento de acceso a la función pública autonómica”, pues “las nuevas DA 21 y 22 de la Ley 7/2007 permiten integrarse en cuerpos de la Administración autonómica a funcionarios que no pertenecen a dicha Administración”.</w:t>
      </w:r>
    </w:p>
    <w:p w:rsidR="00AC56D6" w:rsidRDefault="00AC56D6" w:rsidP="00AC56D6">
      <w:pPr>
        <w:pStyle w:val="TextoNormal"/>
      </w:pPr>
    </w:p>
    <w:p w:rsidR="00AC56D6" w:rsidRDefault="00AC56D6" w:rsidP="00AC56D6">
      <w:pPr>
        <w:pStyle w:val="TextoNormal"/>
      </w:pPr>
      <w:r>
        <w:t>Centrada así la cuestión, el Abogado del Estado expone la síntesis de la doctrina constitucional sobre la igualdad en el acceso a la función pública que realiza la STC 111/2014, de 26 de junio. Destaca que, según tal doctrina, el art. 23.2 CE consagra un derecho de configuración legal, de tal modo que compete al legislador establecer las condiciones de acceso a la función pública, pero respetando los principios de igualdad (art. 23.2 CE), mérito y capacidad (art. 103.3 CE). Y que de ahí se desprende que “el art, 23.2, en relación con el 103.3 CE, instituye un derecho de acceso en condiciones de igualdad, al que se opone la integración automática de determinados grupos en la función pública (STC 302/1993, de 21 de octubre), así como, en principio y salvo excepciones, las llamadas ‘pruebas restringidas’ para el acceso a la función pública (SSTC 27/1991, de 14 de febrero; 151/1992, de 19 de octubre; 4/1993, de 14 de enero; 60/1994, de 28 de febrero; 16/1998, de 26 de enero; o 12/1999, de 11 de febrero)”. (FJ 2).</w:t>
      </w:r>
    </w:p>
    <w:p w:rsidR="00AC56D6" w:rsidRDefault="00AC56D6" w:rsidP="00AC56D6">
      <w:pPr>
        <w:pStyle w:val="TextoNormal"/>
      </w:pPr>
    </w:p>
    <w:p w:rsidR="00AC56D6" w:rsidRDefault="00AC56D6" w:rsidP="00AC56D6">
      <w:pPr>
        <w:pStyle w:val="TextoNormal"/>
      </w:pPr>
      <w:r>
        <w:t>De otro lado, apela a que el régimen de acceso a la función pública establecido por la Ley 7/2007, de 12 de abril, del estatuto básico del empleado público (en adelante, LEEP), tiene carácter básico ex art. 149.1.18 CE. Resalta en concreto que, recapitulando la doctrina constitucional sobre este punto, en la STC 111/2014 (FJ 3) se afirma que “este Tribunal ha analizado extensamente sus precedentes normativos (art. 19 y disposición transitoria sexta de la Ley 30/1984, de 2 de agosto, de medidas para la reforma de la función pública), señalando el carácter materialmente básico tanto de la regla que garantiza que las convocatorias tienen que ser con carácter general abiertas o libres, rechazando los llamados turnos u oposiciones restringidas, como de las excepciones a dicha regla general, que participan de la misma naturaleza básica (STC 174/1998, de 23 de julio, FJ 4, y las allí citadas; en el mismo sentido, STC 38/2004, de 11 de marzo, FJ 3). Las mismas razones abonan el carácter materialmente básico de las vigentes normas de la Ley del estatuto básico del empleado público, según hemos confirmado en la STC 113/2010, de 24 de noviembre, FJ 3”.</w:t>
      </w:r>
    </w:p>
    <w:p w:rsidR="00AC56D6" w:rsidRDefault="00AC56D6" w:rsidP="00AC56D6">
      <w:pPr>
        <w:pStyle w:val="TextoNormal"/>
      </w:pPr>
    </w:p>
    <w:p w:rsidR="00AC56D6" w:rsidRDefault="00AC56D6" w:rsidP="00AC56D6">
      <w:pPr>
        <w:pStyle w:val="TextoNormal"/>
      </w:pPr>
      <w:r>
        <w:t xml:space="preserve">Llegado a este punto, alega que los preceptos impugnados son inconstitucionales por dos motivos. De un lado, expone que el proceso de integración regulado en las disposiciones </w:t>
      </w:r>
      <w:r>
        <w:lastRenderedPageBreak/>
        <w:t>adicionales vigésima primera y vigésima segunda de la Ley 7/2007 infringe el principio de igualdad en el acceso a la función pública, ya que veda la participación a todo ciudadano que no sea funcionario de otra Administración pública y tenga destino definitivo en el ámbito territorial de Cataluña, o en el momento de la convocatoria preste servicios en la Administración de la Generalidad o en sus organismos dependientes, lo que, al excluir al resto de ciudadanos, implica una infracción directa del art. 23.2 CE y, por desconocer los arts. 55.1 y 61.1 LEEP, una infracción mediata del art. 149.1.18 CE.</w:t>
      </w:r>
    </w:p>
    <w:p w:rsidR="00AC56D6" w:rsidRDefault="00AC56D6" w:rsidP="00AC56D6">
      <w:pPr>
        <w:pStyle w:val="TextoNormal"/>
      </w:pPr>
    </w:p>
    <w:p w:rsidR="00AC56D6" w:rsidRDefault="00AC56D6" w:rsidP="00AC56D6">
      <w:pPr>
        <w:pStyle w:val="TextoNormal"/>
      </w:pPr>
      <w:r>
        <w:t>De otro, argumenta que este proceso de integración es automático, pues sin la superación de ninguna prueba selectiva y sin la consideración siquiera de un concurso de méritos permite el acceso a quienes cumplan los requisitos previstos en la convocatoria. Imputa esta inconstitucionalidad a aquel inciso del apartado 2 de ambas disposiciones adicionales según el cual las convocatorias “han de prever una lista de reserva para que aquellos funcionarios que, a pesar de cumplir los requisitos exigidos por la convocatoria, no hayan podido integrarse en el Cuerpo, por insuficiencia del número de plazas convocadas, puedan integrarse en el mismo más adelante, en ocasión de vacante”. Esta integración automática, a juicio del Abogado del Estado, infringe directamente el art. 103.3 CE y, por desconocer los arts. 61.1 y 61.6 LEEP, el art. 149.1.18 CE.</w:t>
      </w:r>
    </w:p>
    <w:p w:rsidR="00AC56D6" w:rsidRDefault="00AC56D6" w:rsidP="00AC56D6">
      <w:pPr>
        <w:pStyle w:val="TextoNormal"/>
      </w:pPr>
    </w:p>
    <w:p w:rsidR="00AC56D6" w:rsidRDefault="00AC56D6" w:rsidP="00AC56D6">
      <w:pPr>
        <w:pStyle w:val="TextoNormal"/>
      </w:pPr>
      <w:r w:rsidRPr="00AC56D6">
        <w:rPr>
          <w:rStyle w:val="NumeroAFNegritaCaracter"/>
        </w:rPr>
        <w:t>2</w:t>
      </w:r>
      <w:r>
        <w:t>. Mediante providencia de 10 de septiembre de 2015 el Pleno, a propuesta de la Sección Tercera, acordó admitir a trámite el recurso de inconstitucionalidad promovido por el Presidente del Gobierno y, en su representación y defensa, por el Abogado del Estado, contra el art. 4 de la Ley 9/2015, de 12 de junio, de modificación de la Ley 7/2007, de la Agencia Tributaria de Cataluña, para la ordenación de los cuerpos tributarios de adscripción exclusiva a la Agencia, por cuanto añade a esta última las disposiciones adicionales vigésima primera y vigésima segunda; dar traslado de la demanda y documentos presentados, conforme establece el art. 34 LOTC, al Congreso de los Diputados y al Senado, por conducto de sus Presidentes, así como a la Generalitat y al Parlamento de Cataluña, por conducto de sus Presidentes, al objeto de que, en el plazo de quince días, puedan personarse en el proceso y formular las alegaciones que estimaren convenientes; tener por invocado por el Presidente del Gobierno el art. 161.2 de la Constitución, lo que, conforme dispone el art. 30 LOTC, produce la suspensión de la vigencia y aplicación de los preceptos impugnados, desde la fecha de interposición del recurso — 31 de julio de 2015— para las partes del proceso y desde el día en que aparezca publicada la suspensión en el “Boletín Oficial del Estado” para los terceros, lo que se comunicará a los Presidentes de la Generalitat y del Parlamento de Cataluña; y publicar la incoación del recurso en el “Boletín Oficial del Estado” y en el “Diario Oficial de Cataluña”.</w:t>
      </w:r>
    </w:p>
    <w:p w:rsidR="00AC56D6" w:rsidRDefault="00AC56D6" w:rsidP="00AC56D6">
      <w:pPr>
        <w:pStyle w:val="TextoNormal"/>
      </w:pPr>
    </w:p>
    <w:p w:rsidR="00AC56D6" w:rsidRDefault="00AC56D6" w:rsidP="00AC56D6">
      <w:pPr>
        <w:pStyle w:val="TextoNormal"/>
      </w:pPr>
      <w:r w:rsidRPr="00AC56D6">
        <w:rPr>
          <w:rStyle w:val="NumeroAFNegritaCaracter"/>
        </w:rPr>
        <w:t>3</w:t>
      </w:r>
      <w:r>
        <w:t>. Mediante escrito registrado el día 23 de septiembre de 2015 el Presidente del Senado comunicó a este Tribunal el acuerdo de la Mesa de la Cámara en el sentido de darse por personada en el proceso, ofreciendo su colaboración a los efectos del art. 88.1 LOTC. Idéntica comunicación efectuó el Presidente del Congreso de los Diputados el 24 de septiembre de 2015.</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Por escrito registrado el día 8 de octubre de 2015 el Abogado de la Generalitat de Cataluña, en la representación que le es propia, solicitó la íntegra desestimación del recurso. Destina su primera alegación a precisar que el objeto del recurso alcanza al art. 4 de la Ley </w:t>
      </w:r>
      <w:r>
        <w:lastRenderedPageBreak/>
        <w:t>9/2015, de modificación de la Ley 7/2007, de la Agencia Tributaria de Cataluña, solamente en cuanto añade a ésta las disposiciones adicionales vigésima primera y vigésima segunda.</w:t>
      </w:r>
    </w:p>
    <w:p w:rsidR="00AC56D6" w:rsidRDefault="00AC56D6" w:rsidP="00AC56D6">
      <w:pPr>
        <w:pStyle w:val="TextoNormal"/>
      </w:pPr>
    </w:p>
    <w:p w:rsidR="00AC56D6" w:rsidRDefault="00AC56D6" w:rsidP="00AC56D6">
      <w:pPr>
        <w:pStyle w:val="TextoNormal"/>
      </w:pPr>
      <w:r>
        <w:t xml:space="preserve">En la segunda, rubricada “sentido de la reforma introducida por la Ley 9/2015”, sostiene que la Generalitat es competente </w:t>
      </w:r>
      <w:r w:rsidRPr="00AC56D6">
        <w:rPr>
          <w:i/>
        </w:rPr>
        <w:t>ex</w:t>
      </w:r>
      <w:r>
        <w:t xml:space="preserve"> art. 136 del Estatuto de Autonomía de Cataluña (EAC) para ordenar y organizar la función pública catalana, en el marco de lo previsto en la LEEP. Añade que “mediante la modificación de la ley 7/2007, que ocho años antes había creado la Agencia Tributaría de Cataluña, se pretende renovar el modelo de la estructura organizativa de la Agencia”. En concreto, afirma que para “poder dar una respuesta ágil y eficaz al incremento significativo del volumen de trabajo y a las necesidades cambiantes de la Agencia, en la Ley se regula un régimen transitorio de acceso a los cuerpos tributarios y se prevé que miembros de otras Administraciones Públicas puedan pasar a ejercer las funciones de los cuerpos tributarios de adscripción exclusiva en la Agencia”.</w:t>
      </w:r>
    </w:p>
    <w:p w:rsidR="00AC56D6" w:rsidRDefault="00AC56D6" w:rsidP="00AC56D6">
      <w:pPr>
        <w:pStyle w:val="TextoNormal"/>
      </w:pPr>
    </w:p>
    <w:p w:rsidR="00AC56D6" w:rsidRDefault="00AC56D6" w:rsidP="00AC56D6">
      <w:pPr>
        <w:pStyle w:val="TextoNormal"/>
      </w:pPr>
      <w:r>
        <w:t>Argumenta, en tercer lugar, que “el planteamiento del recurso parte de y se fundamenta en un error conceptual, cual es la consideración del proceso de integración de funcionarios de otras Administraciones en la Agencia Tributaria de Cataluña como un proceso de acceso a la función pública”. Más precisamente, razona que “el recurso parte de un error conceptual al referirse indistintamente e incluso equiparar el acceso a la función pública en general, o el acceso a la condición de funcionario, con el acceso a un puesto de trabajo de la Agencia de una persona que ya ha adquirido la condición de funcionario de carrera, previa superación de los correspondientes procesos selectivos, y que presta sus servicios como tal en un cuerpo de otra Administración que tiene asignadas funciones sustancialmente coincidentes a las del puesto en que se integra”. A su juicio, por tanto, no estamos ante una regulación legal que establece un procedimiento de acceso a la función pública, sino ante una regulación transitoria para la provisión de unos puestos de trabajo mediante movilidad interadministrativa. Y en este sentido destaca que “el [estatuto básico del empleado público], por su parte, tampoco prohíbe esta incorporación voluntaria o trasvase de una Administración a otra, sino que la prevé de forma genérica, en su art. 84 relativo a la movilidad interadministrativa, como una de las medidas orientadas a lograr un mejor aprovechamiento de los recursos humanos y a garantizar la eficacia del servicio”.</w:t>
      </w:r>
    </w:p>
    <w:p w:rsidR="00AC56D6" w:rsidRDefault="00AC56D6" w:rsidP="00AC56D6">
      <w:pPr>
        <w:pStyle w:val="TextoNormal"/>
      </w:pPr>
    </w:p>
    <w:p w:rsidR="00AC56D6" w:rsidRDefault="00AC56D6" w:rsidP="00AC56D6">
      <w:pPr>
        <w:pStyle w:val="TextoNormal"/>
      </w:pPr>
      <w:r>
        <w:t>Por su parte, en la cuarta alegación expone que, al tratarse de un supuesto de regulación de provisión de puestos de trabajo mediante un procedimiento de movilidad interadministrativa, no son de aplicación las SSTC 302/1993 y 111/2014, ni tampoco los arts. 55 y 61.1 LEEP, unas y otros invocadas en el recurso para fundar la inconstitucionalidad de las normas impugnadas. Añade, además, que “la integración voluntaria en la Agencia Tributaria de Cataluña, a que se refieren las disposiciones adicionales 21 y 22 , no se trata de un procedimiento de provisión inédito o inusual en los textos legales autonómicos sobre función pública. En este sentido cabe recordar que tanto la Ley 3/2007, de 27 de marzo, de la Función Pública de la Comunidad Autónoma de las Illes Balears, como la Ley 10/2010, de 9 de julio, de ordenación y gestión de la Función Pública Valenciana, prevén sistemas de integración derivados de procedimientos de movilidad interadministrativa o de concurso de méritos”.</w:t>
      </w:r>
    </w:p>
    <w:p w:rsidR="00AC56D6" w:rsidRDefault="00AC56D6" w:rsidP="00AC56D6">
      <w:pPr>
        <w:pStyle w:val="TextoNormal"/>
      </w:pPr>
    </w:p>
    <w:p w:rsidR="00AC56D6" w:rsidRDefault="00AC56D6" w:rsidP="00AC56D6">
      <w:pPr>
        <w:pStyle w:val="TextoNormal"/>
      </w:pPr>
      <w:r>
        <w:t xml:space="preserve">La quinta y última de las alegaciones se centra, en su parte inicial, en que “las disposiciones recurridas respetan absolutamente el principio de igualdad previsto en el art. 103.3 </w:t>
      </w:r>
      <w:r>
        <w:lastRenderedPageBreak/>
        <w:t>CE y recogido en el art. 78.1 del EBEP, relativo a los principios y procedimientos de provisión de puestos de trabajo del personal funcionario de carrera, en tanto que tratan de igual forma a todas las personas funcionarias a las cuales van dirigidos los procesos de integración voluntaria. Desde la perspectiva del principio de igualdad, en el recurso se cuestiona que el proceso de integración … se limite a aquellos ‘que tengan destino definitivo en el ámbito territorial de Cataluña o que en el momento de la convocatoria presten servicio a la Administración catalana’… A nuestro entender, cabe considerar que dicha limitación está justificada por razones de eficiencia en el funcionamiento de la Administración Pública y de facilidad de adaptación al servicio público que voluntariamente se pretende ejercer, derivadas de un conocimiento de la realidad cultural, lingüística, social y económica, y de la estructura y organización de la Administración tributaría de Cataluña”.</w:t>
      </w:r>
    </w:p>
    <w:p w:rsidR="00AC56D6" w:rsidRDefault="00AC56D6" w:rsidP="00AC56D6">
      <w:pPr>
        <w:pStyle w:val="TextoNormal"/>
      </w:pPr>
    </w:p>
    <w:p w:rsidR="00AC56D6" w:rsidRDefault="00AC56D6" w:rsidP="00AC56D6">
      <w:pPr>
        <w:pStyle w:val="TextoNormal"/>
      </w:pPr>
      <w:r>
        <w:t>También argumenta, en un momento posterior, que “la afirmación de integración automática y sin previsión de realización de pruebas selectivas o valoración de los méritos es una presunción apriorística y gratuita, dado que todavía no se ha realizado ninguna convocatoria del proceso de integración … Es evidente que la convocatoria podrá determinar la necesidad de superación de alguna prueba, de realización de algún sistema de evaluación de las competencias profesionales, así como la acreditación de los conocimientos necesarios de lengua catalana (si no se acreditaren documentalmente), y otros aspectos del procedimiento a seguir que implicarán una valoración de méritos adecuadamente baremada. La previsión de existencia de listas de reserva en función de las plazas ofertadas y las puntuaciones obtenidas por los solicitantes es una prueba evidente de que los méritos y capacidades han de ser valorados y puntuados”.</w:t>
      </w:r>
    </w:p>
    <w:p w:rsidR="00AC56D6" w:rsidRDefault="00AC56D6" w:rsidP="00AC56D6">
      <w:pPr>
        <w:pStyle w:val="TextoNormal"/>
      </w:pPr>
    </w:p>
    <w:p w:rsidR="00AC56D6" w:rsidRDefault="00AC56D6" w:rsidP="00AC56D6">
      <w:pPr>
        <w:pStyle w:val="TextoNormal"/>
      </w:pPr>
      <w:r w:rsidRPr="00AC56D6">
        <w:rPr>
          <w:rStyle w:val="NumeroAFNegritaCaracter"/>
        </w:rPr>
        <w:t>5</w:t>
      </w:r>
      <w:r>
        <w:t>. Las alegaciones del Parlamento de Cataluña en las que solicita la desestimación del recurso se registraron el día 8 de octubre de 2015. El Letrado del Parlamento de Cataluña utiliza los mismos argumentos, y en gran medida el mismo modo de presentarlos, que el Abogado de la Generalitat de Cataluña.</w:t>
      </w:r>
    </w:p>
    <w:p w:rsidR="00AC56D6" w:rsidRDefault="00AC56D6" w:rsidP="00AC56D6">
      <w:pPr>
        <w:pStyle w:val="TextoNormal"/>
      </w:pPr>
    </w:p>
    <w:p w:rsidR="00AC56D6" w:rsidRDefault="00AC56D6" w:rsidP="00AC56D6">
      <w:pPr>
        <w:pStyle w:val="TextoNormal"/>
      </w:pPr>
      <w:r>
        <w:t xml:space="preserve">Luego de delimitar el objeto del recurso en idénticos términos, en una segunda alegación, rubricada “las previsiones de las DA 21 y DA 22 contienen un supuesto de movilidad funcionarial entre administraciones y no un sistema de ingreso </w:t>
      </w:r>
      <w:r w:rsidRPr="00AC56D6">
        <w:rPr>
          <w:i/>
        </w:rPr>
        <w:t>ex novo</w:t>
      </w:r>
      <w:r>
        <w:t xml:space="preserve"> a la función pública”, afirma que “el recurso parte de un error conceptual al referirse indistintamente e incluso equiparar el acceso a la función pública en general, o el acceso a la condición de funcionario, con el acceso de una persona que ya ha adquirido la condición de funcionaría de carrera (previa superación de los correspondientes procesos selectivos) a un cuerpo de otra Administración que tenga asignadas funciones sustancialmente coincidentes con las de su cuerpo de origen”.</w:t>
      </w:r>
    </w:p>
    <w:p w:rsidR="00AC56D6" w:rsidRDefault="00AC56D6" w:rsidP="00AC56D6">
      <w:pPr>
        <w:pStyle w:val="TextoNormal"/>
      </w:pPr>
    </w:p>
    <w:p w:rsidR="00AC56D6" w:rsidRDefault="00AC56D6" w:rsidP="00AC56D6">
      <w:pPr>
        <w:pStyle w:val="TextoNormal"/>
      </w:pPr>
      <w:r>
        <w:t xml:space="preserve">Por otro lado, la tercera y última alegación expone, de un lado, que “las disposiciones recurridas respetan absolutamente el principio de igualdad previsto en el art. 103.3 CE en tanto que tratan de igual forma a todas las personas a las cuales van dirigidas los procesos de integración voluntaria. Desde la perspectiva del principio de igualdad, únicamente podría cuestionarse la limitación de las convocatorias a los funcionarios pertenecientes a cuerpos y escalas del subgrupo A1 o A2 de otras Administraciones públicas destinados definitivamente al territorio de Cataluña. Aunque se puede considerar plenamente justificada esta limitación por razones de eficiencia en el funcionamiento de la Administración pública y de facilidad de adaptación, derivadas de un conocimiento de la realidad cultural, lingüística, </w:t>
      </w:r>
      <w:r>
        <w:lastRenderedPageBreak/>
        <w:t>social y económica, y de la estructura y organización de la Administración tributaría de Cataluña”. Y de otro, con el fin de rechazar que se trate de un caso de integración automática, destaca que “es evidente que la convocatoria podría determinar la necesidad de superación de alguna prueba, de realización de alguna entrevista o evaluación de competencias profesionales, así como la acreditación de los conocimientos necesarios de lengua catalana (si no se acredita documentalmente), y otros aspectos del procedimiento a seguir que implicaran una valoración de méritos adecuadamente baremada”.</w:t>
      </w:r>
    </w:p>
    <w:p w:rsidR="00AC56D6" w:rsidRDefault="00AC56D6" w:rsidP="00AC56D6">
      <w:pPr>
        <w:pStyle w:val="TextoNormal"/>
      </w:pPr>
    </w:p>
    <w:p w:rsidR="00AC56D6" w:rsidRDefault="00AC56D6" w:rsidP="00AC56D6">
      <w:pPr>
        <w:pStyle w:val="TextoNormal"/>
      </w:pPr>
      <w:r w:rsidRPr="00AC56D6">
        <w:rPr>
          <w:rStyle w:val="NumeroAFNegritaCaracter"/>
        </w:rPr>
        <w:t>6</w:t>
      </w:r>
      <w:r>
        <w:t>. Próximo a finalizar el plazo de cinco meses que señala el art. 161.2 CE desde que se produjo la suspensión de los preceptos impugnados, el Pleno, mediante providencia de 9 de octubre de 2015, acordó oír a las partes personadas —Abogado del Estado y representaciones legales de la Generalitat y del Parlamento de Cataluña— para que, en el plazo de cinco días, expusieran lo que considerasen conveniente acerca del mantenimiento o levantamiento de dicha suspensión.</w:t>
      </w:r>
    </w:p>
    <w:p w:rsidR="00AC56D6" w:rsidRDefault="00AC56D6" w:rsidP="00AC56D6">
      <w:pPr>
        <w:pStyle w:val="TextoNormal"/>
      </w:pPr>
    </w:p>
    <w:p w:rsidR="00AC56D6" w:rsidRDefault="00AC56D6" w:rsidP="00AC56D6">
      <w:pPr>
        <w:pStyle w:val="TextoNormal"/>
      </w:pPr>
      <w:r w:rsidRPr="00AC56D6">
        <w:rPr>
          <w:rStyle w:val="NumeroAFNegritaCaracter"/>
        </w:rPr>
        <w:t>7</w:t>
      </w:r>
      <w:r>
        <w:t>. El Abogado del Estado, en escrito registrado el 21 de octubre de 2015, instó el mantenimiento de la suspensión. Por su parte, las representaciones legales de la Generalitat y del Parlamento de Cataluña solicitaron, mediante sendos escritos registrados el 23 de octubre de 2015, el levantamiento de la suspensión.</w:t>
      </w:r>
    </w:p>
    <w:p w:rsidR="00AC56D6" w:rsidRDefault="00AC56D6" w:rsidP="00AC56D6">
      <w:pPr>
        <w:pStyle w:val="TextoNormal"/>
      </w:pPr>
    </w:p>
    <w:p w:rsidR="00AC56D6" w:rsidRDefault="00AC56D6" w:rsidP="00AC56D6">
      <w:pPr>
        <w:pStyle w:val="TextoNormal"/>
      </w:pPr>
      <w:r w:rsidRPr="00AC56D6">
        <w:rPr>
          <w:rStyle w:val="NumeroAFNegritaCaracter"/>
        </w:rPr>
        <w:t>8</w:t>
      </w:r>
      <w:r>
        <w:t>. Mediante providencia de 18 de noviembre de 2015 se señaló para deliberación y votación de la presente Sentencia el día 19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presente proceso constitucional tiene por objeto resolver el recurso de inconstitucionalidad interpuesto contra el artículo 4 de la Ley 9/2015, de 12 de junio, de modificación de la Ley 7/2007, de la Agencia Tributaria de Cataluña, para la ordenación de los cuerpos tributarios de adscripción exclusiva a la Agencia, por cuanto añade a esta última las disposiciones adicionales vigésima primera y vigésima segunda, cuya redacción es la siguiente:</w:t>
      </w:r>
    </w:p>
    <w:p w:rsidR="00AC56D6" w:rsidRDefault="00AC56D6" w:rsidP="00AC56D6">
      <w:pPr>
        <w:pStyle w:val="TextoNormal"/>
      </w:pPr>
    </w:p>
    <w:p w:rsidR="00AC56D6" w:rsidRDefault="00AC56D6" w:rsidP="00AC56D6">
      <w:pPr>
        <w:pStyle w:val="TextoNormal"/>
      </w:pPr>
      <w:r>
        <w:t>“Vigésima primera. Integración voluntaria en el Cuerpo Superior de Inspectores Tributarios de la Generalidad de Cataluña.</w:t>
      </w:r>
    </w:p>
    <w:p w:rsidR="00AC56D6" w:rsidRDefault="00AC56D6" w:rsidP="00AC56D6">
      <w:pPr>
        <w:pStyle w:val="TextoNormal"/>
      </w:pPr>
    </w:p>
    <w:p w:rsidR="00AC56D6" w:rsidRDefault="00AC56D6" w:rsidP="00AC56D6">
      <w:pPr>
        <w:pStyle w:val="TextoNormal"/>
      </w:pPr>
      <w:r>
        <w:t>1. Pueden optar por integrarse en el Cuerpo Superior de Inspectores Tributarios de la Generalidad de Cataluña, mediante convocatorias específicas, los funcionarios que tengan asignadas funciones sustancialmente coincidentes con las propias del Cuerpo y que tengan destino definitivo en el ámbito territorial de Cataluña o que en el momento de la convocatoria presten servicios en la Administración de la Generalidad o en los entes del sector público que de ella dependen, si pertenecen a cuerpos y escalas del subgrupo A1 de otras administraciones públicas.</w:t>
      </w:r>
    </w:p>
    <w:p w:rsidR="00AC56D6" w:rsidRDefault="00AC56D6" w:rsidP="00AC56D6">
      <w:pPr>
        <w:pStyle w:val="TextoNormal"/>
      </w:pPr>
    </w:p>
    <w:p w:rsidR="00AC56D6" w:rsidRDefault="00AC56D6" w:rsidP="00AC56D6">
      <w:pPr>
        <w:pStyle w:val="TextoNormal"/>
      </w:pPr>
      <w:r>
        <w:t xml:space="preserve">2. Antes del 30 de junio de 2021 deben realizarse las convocatorias necesarias, hasta un máximo de cuatro, para el proceso de integración a que se refiere el apartado 1. Las convocatorias han de determinar los requisitos específicos de participación, el procedimiento a seguir, la tabla de homologaciones que debe aplicarse y los puestos de trabajo que deben </w:t>
      </w:r>
      <w:r>
        <w:lastRenderedPageBreak/>
        <w:t>adjudicarse, y han de prever una lista de reserva para que aquellos funcionarios que, a pesar de cumplir los requisitos exigidos por la convocatoria, no hayan podido integrarse en el Cuerpo, por insuficiencia del número de plazas convocadas, puedan integrarse en el mismo más adelante, en ocasión de vacante, sin tener que concurrir a una nueva convocatoria. La resolución de integración, que corresponde al presidente o presidenta de la Agencia Tributaria de Cataluña, conlleva la adjudicación del correspondiente puesto de trabajo.”</w:t>
      </w:r>
    </w:p>
    <w:p w:rsidR="00AC56D6" w:rsidRDefault="00AC56D6" w:rsidP="00AC56D6">
      <w:pPr>
        <w:pStyle w:val="TextoNormal"/>
      </w:pPr>
    </w:p>
    <w:p w:rsidR="00AC56D6" w:rsidRDefault="00AC56D6" w:rsidP="00AC56D6">
      <w:pPr>
        <w:pStyle w:val="TextoNormal"/>
      </w:pPr>
      <w:r>
        <w:t>“Vigésima segunda. Integración voluntaria en el Cuerpo Técnico de Gestores Tributarios de la Generalidad de Cataluña.</w:t>
      </w:r>
    </w:p>
    <w:p w:rsidR="00AC56D6" w:rsidRDefault="00AC56D6" w:rsidP="00AC56D6">
      <w:pPr>
        <w:pStyle w:val="TextoNormal"/>
      </w:pPr>
    </w:p>
    <w:p w:rsidR="00AC56D6" w:rsidRDefault="00AC56D6" w:rsidP="00AC56D6">
      <w:pPr>
        <w:pStyle w:val="TextoNormal"/>
      </w:pPr>
      <w:r>
        <w:t>1. Pueden optar por integrarse en el Cuerpo Técnico de Gestores Tributarios de la Generalidad de Cataluña, mediante convocatorias específicas, los funcionarios que tengan asignadas funciones sustancialmente coincidentes con las propias del Cuerpo y que tengan destino definitivo en el ámbito territorial de Cataluña o que en el momento de la convocatoria presten servicios en la Administración de la Generalidad o en los entes del sector público que de ella dependen, si pertenecen a cuerpos y escalas del subgrupo A2 de otras administraciones públicas.</w:t>
      </w:r>
    </w:p>
    <w:p w:rsidR="00AC56D6" w:rsidRDefault="00AC56D6" w:rsidP="00AC56D6">
      <w:pPr>
        <w:pStyle w:val="TextoNormal"/>
      </w:pPr>
    </w:p>
    <w:p w:rsidR="00AC56D6" w:rsidRDefault="00AC56D6" w:rsidP="00AC56D6">
      <w:pPr>
        <w:pStyle w:val="TextoNormal"/>
      </w:pPr>
      <w:r>
        <w:t>2. Antes del 30 de junio de 2021 deben realizarse las convocatorias necesarias, hasta un máximo de cuatro, para el proceso de integración a que se refiere el apartado 1. Las convocatorias han de determinar los requisitos específicos de participación, el procedimiento a seguir, la tabla de homologaciones que debe aplicarse y los puestos de trabajo que deben adjudicarse, y han de prever una lista de reserva para que aquellos funcionarios que, a pesar de cumplir los requisitos exigidos por la convocatoria, no hayan podido integrarse en el Cuerpo, por insuficiencia del número de plazas convocadas, puedan integrarse en el mismo más adelante, en ocasión de vacante, sin tener que concurrir a una nueva convocatoria. La resolución de integración, que corresponde al presidente o presidenta de la Agencia Tributaria de Cataluña, conlleva la adjudicación del correspondiente puesto de trabajo.”</w:t>
      </w:r>
    </w:p>
    <w:p w:rsidR="00AC56D6" w:rsidRDefault="00AC56D6" w:rsidP="00AC56D6">
      <w:pPr>
        <w:pStyle w:val="TextoNormal"/>
      </w:pPr>
    </w:p>
    <w:p w:rsidR="00AC56D6" w:rsidRDefault="00AC56D6" w:rsidP="00AC56D6">
      <w:pPr>
        <w:pStyle w:val="TextoNormal"/>
      </w:pPr>
      <w:r>
        <w:t>Son dos las impugnaciones que articula el Abogado del Estado respecto de estas disposiciones legales. De un lado, alega que ambos preceptos, al regular sendos procedimientos restringidos de acceso a la función pública, vulneran las normas constitucionales que establecen el derecho fundamental de todos a acceder en condiciones de igualdad a las funciones y cargos públicos con los requisitos que señalen las leyes (arts. 23.2 y 103.3 CE) y, además, infringen el art. 149.1.18 CE, por no haberse respetado los requisitos de acceso a la función pública establecidos con carácter básico en los arts. 55.1 y 61.1 de la Ley 7/2007, de 12 de abril, del estatuto básico del empleado público (LEEP). De otro, sostiene que el inciso “han de prever una lista de reserva para que aquellos funcionarios que, a pesar de cumplir los requisitos exigidos por la convocatoria, no hayan podido integrarse en el Cuerpo, por insuficiencia del número de plazas convocadas, puedan integrarse en el mismo más adelante, en ocasión de vacante, sin tener que concurrir a una nueva convocatoria”, que aparece recogido en el apartado 2 de ambos preceptos, lesiona el art. 103.3 CE y, por ser incompatible con los arts. 61.1 y 61.6 LEEP, el art. 149.1.18 CE.</w:t>
      </w:r>
    </w:p>
    <w:p w:rsidR="00AC56D6" w:rsidRDefault="00AC56D6" w:rsidP="00AC56D6">
      <w:pPr>
        <w:pStyle w:val="TextoNormal"/>
      </w:pPr>
    </w:p>
    <w:p w:rsidR="00AC56D6" w:rsidRDefault="00AC56D6" w:rsidP="00AC56D6">
      <w:pPr>
        <w:pStyle w:val="TextoNormal"/>
      </w:pPr>
      <w:r>
        <w:t>Los Letrados de la Generalitat y del Parlamento de Cataluña, del modo que consta en los antecedentes, se oponen a los motivos impugnatorios que sustentan este recurso de inconstitucionalidad y, en consecuencia, solicitan su desestimación íntegra.</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2</w:t>
      </w:r>
      <w:r>
        <w:t>. Con carácter previo al análisis de las cuestiones planteadas, y dado que algunas de las impugnaciones formuladas en el escrito de demanda se fundan en que los preceptos legales recurridos contradicen distintos artículos de la normativa básica estatal aprobada mediante la Ley 7/2007, de 12 de abril, del estatuto básico del empleado público, se hace necesario poner de relieve que los arts. 55.1, 61 y disposición transitoria segunda LEEP han sido derogados en virtud del Real Decreto Legislativo 5/2015, de 30 de octubre, por el que se aprueba el texto refundido de la Ley del estatuto básico del empleado público, que se ha publicado en el “BOE” del 31 de octubre de 2015 y, según su disposición final única, entró en vigor al día siguiente.</w:t>
      </w:r>
    </w:p>
    <w:p w:rsidR="00AC56D6" w:rsidRDefault="00AC56D6" w:rsidP="00AC56D6">
      <w:pPr>
        <w:pStyle w:val="TextoNormal"/>
      </w:pPr>
    </w:p>
    <w:p w:rsidR="00AC56D6" w:rsidRDefault="00AC56D6" w:rsidP="00AC56D6">
      <w:pPr>
        <w:pStyle w:val="TextoNormal"/>
      </w:pPr>
      <w:r>
        <w:t xml:space="preserve">Esta norma contempla una regulación idéntica a la que aquélla establecía, que se encuentra en los arts. 55.1, 61 y disposición transitoria segunda del texto refundido de la Ley del estatuto básico del empleado público. Deriva de todo ello que, debido a nuestra reiterada doctrina sobre el </w:t>
      </w:r>
      <w:r w:rsidRPr="00AC56D6">
        <w:rPr>
          <w:i/>
        </w:rPr>
        <w:t>ius superveniens</w:t>
      </w:r>
      <w:r>
        <w:t xml:space="preserve"> en relación al parámetro de control a utilizar en los recursos de inconstitucionalidad cuando tienen contenido competencial (por todas, STC 202/2015, de 24 de diciembre, FJ 2), sean estos últimos los preceptos a tener en cuenta para realizar el enjuiciamiento de las impugnaciones que invocan la vulneración de la legislación básica dictada al amparo del art. 149.1.18 CE.</w:t>
      </w:r>
    </w:p>
    <w:p w:rsidR="00AC56D6" w:rsidRDefault="00AC56D6" w:rsidP="00AC56D6">
      <w:pPr>
        <w:pStyle w:val="TextoNormal"/>
      </w:pPr>
    </w:p>
    <w:p w:rsidR="00AC56D6" w:rsidRDefault="00AC56D6" w:rsidP="00AC56D6">
      <w:pPr>
        <w:pStyle w:val="TextoNormal"/>
      </w:pPr>
      <w:r w:rsidRPr="00AC56D6">
        <w:rPr>
          <w:rStyle w:val="NumeroAFNegritaCaracter"/>
        </w:rPr>
        <w:t>3</w:t>
      </w:r>
      <w:r>
        <w:t>. Por lo que hace a la primera de las impugnaciones, existe una consolidada doctrina de este Tribunal acerca del acceso a la función pública mediante pruebas restringidas y su compatibilidad con las normas constitucionales, tanto desde la perspectiva del derecho fundamental a la igualdad en dicho acceso (art. 23.2 en relación al art. 103.3 CE) como desde la consideración de la competencia estatal básica sobre el régimen estatutario de los funcionarios públicos (art. 149.1.18 CE).</w:t>
      </w:r>
    </w:p>
    <w:p w:rsidR="00AC56D6" w:rsidRDefault="00AC56D6" w:rsidP="00AC56D6">
      <w:pPr>
        <w:pStyle w:val="TextoNormal"/>
      </w:pPr>
    </w:p>
    <w:p w:rsidR="00AC56D6" w:rsidRDefault="00AC56D6" w:rsidP="00AC56D6">
      <w:pPr>
        <w:pStyle w:val="TextoNormal"/>
      </w:pPr>
      <w:r>
        <w:t xml:space="preserve">La mayor claridad en la exposición de esta doctrina constitucional requiere comenzar por la dimensión competencial. La STC 111/2014, de 26 de junio, examinó, en cuanto a su carácter básico </w:t>
      </w:r>
      <w:r w:rsidRPr="00AC56D6">
        <w:rPr>
          <w:i/>
        </w:rPr>
        <w:t>ex</w:t>
      </w:r>
      <w:r>
        <w:t xml:space="preserve"> art. 149.1.18 CE, el régimen de acceso a la función pública establecido por la Ley del estatuto básico del empleado público. Centró su atención precisamente en que “el art. 55.1 LEEP califica como rectores del derecho al acceso al empleo público en general los principios constitucionales de igualdad, mérito y capacidad”, y en que “el art. 61 determina además el carácter abierto de los procesos selectivos, que garantizarán la libre concurrencia, sin perjuicio de lo establecido para la promoción interna y de las medidas de discriminación positiva”. También tuvo en cuenta que completaba “el bloque normativo la disposición transitoria segunda, que se ocupa del personal laboral fijo que desempeña funciones o puestos clasificados como propios de personal funcionario”, permitiendo a este tipo de personal “participar en los procesos selectivos de promoción interna convocados por el sistema de concurso-oposición, de forma independiente o conjunta con los procesos selectivos de libre concurrencia, en aquellos Cuerpos y Escalas a los que figuren adscritos las funciones o los puestos que desempeñe”.</w:t>
      </w:r>
    </w:p>
    <w:p w:rsidR="00AC56D6" w:rsidRDefault="00AC56D6" w:rsidP="00AC56D6">
      <w:pPr>
        <w:pStyle w:val="TextoNormal"/>
      </w:pPr>
    </w:p>
    <w:p w:rsidR="00AC56D6" w:rsidRDefault="00AC56D6" w:rsidP="00AC56D6">
      <w:pPr>
        <w:pStyle w:val="TextoNormal"/>
      </w:pPr>
      <w:r>
        <w:t>La STC 111/2014, delimitado así el conjunto normativo relevante, declaró que “el antedicho régimen de acceso a la función pública es formalmente básico (disposición final primera LEEP). Este Tribunal ha analizado extensamente sus precedentes normativos (art. 19 y disposición transitoria sexta de la Ley 30/1984, de 2 de agosto, de medidas para la reforma de la función pública), señalando el carácter materialmente básico tanto de la regla que ga</w:t>
      </w:r>
      <w:r>
        <w:lastRenderedPageBreak/>
        <w:t>rantiza que las convocatorias tienen que ser con carácter general abiertas o libres, rechazando los llamados turnos u oposiciones restringidas, como de las excepciones a dicha regla general, que participan de la misma naturaleza básica (STC 174/1998, de 23 de julio, FJ 4, y las allí citadas; en el mismo sentido, STC 38/2004, de 11 de marzo, FJ 3). Las mismas razones abonan el carácter materialmente básico de las vigentes normas de la Ley del estatuto básico del empleado público, según hemos confirmado en la STC 113/2010, de 24 de noviembre, FJ 3”.</w:t>
      </w:r>
    </w:p>
    <w:p w:rsidR="00AC56D6" w:rsidRDefault="00AC56D6" w:rsidP="00AC56D6">
      <w:pPr>
        <w:pStyle w:val="TextoNormal"/>
      </w:pPr>
    </w:p>
    <w:p w:rsidR="00AC56D6" w:rsidRDefault="00AC56D6" w:rsidP="00AC56D6">
      <w:pPr>
        <w:pStyle w:val="TextoNormal"/>
      </w:pPr>
      <w:r>
        <w:t>El Real Decreto Legislativo 5/2015, de 30 de octubre, por el que se aprueba el texto refundido de la Ley del estatuto básico del empleado público, se ha publicado en el “BOE” del 31 de octubre de 2015 y como ya hemos indicado, según su disposición final única, entró en vigor al día siguiente. Esta norma, en virtud de su disposición derogatoria única, ha derogado la LEEP, sustituyéndola por una regulación idéntica a la que ésta establecía, que se encuentra en los arts. 55.1, 61 y disposición transitoria segunda del texto refundido. Esta identidad determina, por las mismas razones indicadas en nuestra STC 111/2014, que los preceptos señalados del texto refundido deban considerarse formal y materialmente básicos.</w:t>
      </w:r>
    </w:p>
    <w:p w:rsidR="00AC56D6" w:rsidRDefault="00AC56D6" w:rsidP="00AC56D6">
      <w:pPr>
        <w:pStyle w:val="TextoNormal"/>
      </w:pPr>
    </w:p>
    <w:p w:rsidR="00AC56D6" w:rsidRDefault="00AC56D6" w:rsidP="00AC56D6">
      <w:pPr>
        <w:pStyle w:val="TextoNormal"/>
      </w:pPr>
      <w:r>
        <w:t>En conclusión, según la doctrina constitucional indicada, encaja en las bases del régimen estatutario de los funcionarios públicos la norma estatal que prevé que la adquisición de tal condición se verificará mediante convocatorias abiertas. Encajan también, por implicar una modulación de dicha norma, las excepciones que eventualmente se puedan prever a tal regla general. De este modo, el legislador autonómico no actuará dentro de sus competencias si regula supuestos de acceso a la función pública en que la participación no sea libre más allá de aquellos que encuentren amparo en la normativa básica. Así lo ha declarado este Tribunal a la vista tanto del régimen básico previsto en la Ley 30/1984 (por todas, SSTC 151/1992, de 19 de octubre, FJ 3, y 302/1993, de 21 de octubre, FJ 3) como del regulado en la LEEP (STC 111/2014, de 26 de junio, FJ 3), debiendo extender ahora esta declaración al previsto en el texto refundido de la Ley del estatuto básico del empleado público y actualmente vigente.</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Ahora bien, abandonando ya la perspectiva competencial y adentrándonos en la dimensión sustantiva, los supuestos de adquisición de la condición de funcionario de carrera en que se exceptúe la regla del carácter abierto, aun cuando estén contemplados en la normativa básica, podrán ser contrarios a la Constitución si desconocen el derecho fundamental de acceder en condiciones de igualdad a la función pública </w:t>
      </w:r>
      <w:r w:rsidRPr="00AC56D6">
        <w:rPr>
          <w:i/>
        </w:rPr>
        <w:t>ex</w:t>
      </w:r>
      <w:r>
        <w:t xml:space="preserve"> art. 23.2 CE. En este sentido resulta muy elocuente el pronunciamiento de la STC 151/1992, de 19 de octubre, FJ 3, según la cual “el derecho a la igualdad en el acceso a la función pública supone una limitación fundamental a la práctica de las pruebas restringidas para el acceso a la función pública, las cuales, en general, han de considerarse como un procedimiento proscrito por el referido precepto constitucional (STC 27/1991, fundamento jurídico 5º.c). Por ello mismo, en fin, la admisibilidad de estas pruebas, aun cuando el legislador estatal para casos singulares las haya previsto, debe ser verdaderamente excepcional y objeto de una interpretación restrictiva (por ejemplo, ATC 13/1983, fundamento jurídico 2)”.</w:t>
      </w:r>
    </w:p>
    <w:p w:rsidR="00AC56D6" w:rsidRDefault="00AC56D6" w:rsidP="00AC56D6">
      <w:pPr>
        <w:pStyle w:val="TextoNormal"/>
      </w:pPr>
    </w:p>
    <w:p w:rsidR="00AC56D6" w:rsidRDefault="00AC56D6" w:rsidP="00AC56D6">
      <w:pPr>
        <w:pStyle w:val="TextoNormal"/>
      </w:pPr>
      <w:r>
        <w:t xml:space="preserve">Sobre las razones que pueden justificar, sin lesión del art. 23.2 CE, las pruebas restringidas para el acceso a la función pública, el Tribunal ha resuelto de un modo reiterado [SSTC 27/1991, de 14 de febrero, FJ 5 c); 60/1994, de 28 de febrero, FJ 5; 16/1998, de 26 de enero, FJ 5; y 12/1999, de 11 de febrero, FJ 3; 126/2008, de 27 de octubre, FJ 3, y 130/2009, de 1 </w:t>
      </w:r>
      <w:r>
        <w:lastRenderedPageBreak/>
        <w:t>de junio, FJ 3] que “no cabe excluir que, en determinados casos excepcionales, la diferencia de trato establecida en la Ley en favor de unos y en perjuicio de otros pueda considerarse como razonable, proporcionada y no arbitraria a los efectos de la desigualdad de trato que establece, siempre que dicha diferenciación se demuestre como un medio excepcional y adecuado para resolver una situación también excepcional, expresamente prevista en una norma con rango de Ley y con el objeto de alcanzar una finalidad constitucionalmente legitima, entre las que se integra también la propia eficacia de la Administración Pública”.</w:t>
      </w:r>
    </w:p>
    <w:p w:rsidR="00AC56D6" w:rsidRDefault="00AC56D6" w:rsidP="00AC56D6">
      <w:pPr>
        <w:pStyle w:val="TextoNormal"/>
      </w:pPr>
    </w:p>
    <w:p w:rsidR="00AC56D6" w:rsidRDefault="00AC56D6" w:rsidP="00AC56D6">
      <w:pPr>
        <w:pStyle w:val="TextoNormal"/>
      </w:pPr>
      <w:r w:rsidRPr="00AC56D6">
        <w:rPr>
          <w:rStyle w:val="NumeroAFNegritaCaracter"/>
        </w:rPr>
        <w:t>5</w:t>
      </w:r>
      <w:r>
        <w:t>. Precisado el canon de control de constitucionalidad aplicable, estamos ya en condiciones de resolver sobre la primera impugnación, relativa a la compatibilidad de los procesos de integración regulados en las disposiciones objeto del recurso con los arts. 23.2 y 149.1.18 CE. El punto de partida de nuestro razonamiento no puede ser otro que analizar si los preceptos impugnados regulan un supuesto de acceso a la función pública y, en tal caso, si tal acceso se verifica mediante una prueba restringida.</w:t>
      </w:r>
    </w:p>
    <w:p w:rsidR="00AC56D6" w:rsidRDefault="00AC56D6" w:rsidP="00AC56D6">
      <w:pPr>
        <w:pStyle w:val="TextoNormal"/>
      </w:pPr>
    </w:p>
    <w:p w:rsidR="00AC56D6" w:rsidRDefault="00AC56D6" w:rsidP="00AC56D6">
      <w:pPr>
        <w:pStyle w:val="TextoNormal"/>
      </w:pPr>
      <w:r>
        <w:t>a) Observa este Tribunal, en cuanto a lo primero, que el proceso de integración reglamentado en las disposiciones recurridas se configura como una modalidad de acceso a un cuerpo de funcionarios públicos de la Administración de la Generalitat de Cataluña. Son varias las razones que justifican esta conclusión.</w:t>
      </w:r>
    </w:p>
    <w:p w:rsidR="00AC56D6" w:rsidRDefault="00AC56D6" w:rsidP="00AC56D6">
      <w:pPr>
        <w:pStyle w:val="TextoNormal"/>
      </w:pPr>
    </w:p>
    <w:p w:rsidR="00AC56D6" w:rsidRDefault="00AC56D6" w:rsidP="00AC56D6">
      <w:pPr>
        <w:pStyle w:val="TextoNormal"/>
      </w:pPr>
      <w:r>
        <w:t>Las partes recurridas sostienen que el proceso de integración en los cuerpos de adscripción exclusiva a la Agencia Tributaria de Cataluña articulado en las disposiciones impugnadas, en lugar de ser un mecanismo de acceso a la función pública, es un sistema de provisión de puestos de trabajo, concretamente un supuesto de movilidad interadministrativa admitido por el art. 84 LEEP. Las partes recurridas afirman que no puede ser un supuesto de acceso a la función pública porque sus destinatarios ya han adquirido la condición de funcionarios de carrera, mediante procedimientos plenamente respetuosos con los principios de mérito y capacidad, en las administraciones públicas de origen.</w:t>
      </w:r>
    </w:p>
    <w:p w:rsidR="00AC56D6" w:rsidRDefault="00AC56D6" w:rsidP="00AC56D6">
      <w:pPr>
        <w:pStyle w:val="TextoNormal"/>
      </w:pPr>
    </w:p>
    <w:p w:rsidR="00AC56D6" w:rsidRDefault="00AC56D6" w:rsidP="00AC56D6">
      <w:pPr>
        <w:pStyle w:val="TextoNormal"/>
      </w:pPr>
      <w:r>
        <w:t>No cabe acoger este argumento porque resulta evidente que también quienes ya han adquirido la condición de funcionario de carrera mediante su integración en un determinado cuerpo de una Administración pública pueden optar, mediante su participación en los procedimientos previstos al efecto, a acceder de nuevo a la función pública, esta vez integrándose en otro cuerpo funcionarial de la misma o de otra Administración pública.</w:t>
      </w:r>
    </w:p>
    <w:p w:rsidR="00AC56D6" w:rsidRDefault="00AC56D6" w:rsidP="00AC56D6">
      <w:pPr>
        <w:pStyle w:val="TextoNormal"/>
      </w:pPr>
    </w:p>
    <w:p w:rsidR="00AC56D6" w:rsidRDefault="00AC56D6" w:rsidP="00AC56D6">
      <w:pPr>
        <w:pStyle w:val="TextoNormal"/>
      </w:pPr>
      <w:r>
        <w:t>Excluyendo ese argumento esgrimido por las partes recurridas, procede analizar las disposiciones impugnadas al efecto de determinar si en realidad los procesos de integración voluntaria que regulan son supuestos de acceso a la función pública o, por el contrario, mecanismos de provisión de puestos de trabajo. Hay dos razones que nos conducen a considerar que son lo primero.</w:t>
      </w:r>
    </w:p>
    <w:p w:rsidR="00AC56D6" w:rsidRDefault="00AC56D6" w:rsidP="00AC56D6">
      <w:pPr>
        <w:pStyle w:val="TextoNormal"/>
      </w:pPr>
    </w:p>
    <w:p w:rsidR="00AC56D6" w:rsidRDefault="00AC56D6" w:rsidP="00AC56D6">
      <w:pPr>
        <w:pStyle w:val="TextoNormal"/>
      </w:pPr>
      <w:r>
        <w:t xml:space="preserve">De un lado, la dicción del precepto así lo atestigua. Nuestro sistema de función pública se caracteriza porque la adquisición de la condición de funcionario de carrera se verifica mediante la integración en uno de los cuerpos de las Administraciones públicas, mientras que, una vez adquirida tal condición, la evolución dentro de la carrera administrativa se produce mediante la obtención, a través de los mecanismos de provisión legalmente previstos, de distintos puestos de trabajo. Basta con atender a que el proceso regulado en las disposiciones impugnadas está orientado a producir la integración de los seleccionados en un </w:t>
      </w:r>
      <w:r>
        <w:lastRenderedPageBreak/>
        <w:t>cuerpo de la Generalitat de Cataluña para concluir, conforme a la estructura y configuración característica de nuestro sistema de función pública, que se trata de un supuesto de acceso a la función pública y no un procedimiento de provisión de puestos de trabajo.</w:t>
      </w:r>
    </w:p>
    <w:p w:rsidR="00AC56D6" w:rsidRDefault="00AC56D6" w:rsidP="00AC56D6">
      <w:pPr>
        <w:pStyle w:val="TextoNormal"/>
      </w:pPr>
    </w:p>
    <w:p w:rsidR="00AC56D6" w:rsidRDefault="00AC56D6" w:rsidP="00AC56D6">
      <w:pPr>
        <w:pStyle w:val="TextoNormal"/>
      </w:pPr>
      <w:r>
        <w:t>De otro lado, la articulación de este proceso de integración, en particular en cuanto al ámbito subjetivo de sus destinatarios, confirma de un modo indubitado que estamos ante un proceso de acceso a la función pública. Los destinatarios de dicho proceso son los funcionarios “que tengan destino definitivo en el ámbito territorial de Cataluña o que en el momento de la convocatoria presten servicios en la Administración de la Generalidad o en los entes del sector público que de ella dependen, si pertenecen a cuerpos y escalas del subgrupo A1 de otras administraciones públicas”. Por tanto, podrán participar en estos procesos los funcionarios de otras Administraciones públicas (estatal o locales) “que en el momento de la convocatoria presten servicios en la Administración de la Generalidad o en los entes del sector público que de ella dependen”. En otras palabras, estos procesos están abiertos también a los funcionarios de otras administraciones públicas que ya ocupen puestos de trabajo en la Administración de la Generalitat o en los entes del sector público que de ella dependen, entre ellos en la Agencia Tributaria de Cataluña. Por todo ello, el proceso de integración voluntaria que enjuiciamos necesariamente determina que los seleccionados no solo prestarán servicios en la Administración de la Generalitat o en los entes del sector público que de ella dependen, pues en el caso reseñado ya lo hacían antes, sino que además los prestarán como pertenecientes a un cuerpo funcionarial de dicha Administración autonómica. No estamos, por tanto, ante la mera provisión de un puesto de trabajo sino que se trata de un verdadero acceso a la función pública, mediante la integración en un cuerpo funcionarial de la Generalitat de Cataluña.</w:t>
      </w:r>
    </w:p>
    <w:p w:rsidR="00AC56D6" w:rsidRDefault="00AC56D6" w:rsidP="00AC56D6">
      <w:pPr>
        <w:pStyle w:val="TextoNormal"/>
      </w:pPr>
    </w:p>
    <w:p w:rsidR="00AC56D6" w:rsidRDefault="00AC56D6" w:rsidP="00AC56D6">
      <w:pPr>
        <w:pStyle w:val="TextoNormal"/>
      </w:pPr>
      <w:r>
        <w:t>Las representaciones de las partes recurridas alegan que tanto la Ley 3/2007, de 27 de marzo, de la función pública de la Comunidad Autónoma de las Illes Balears, como la Ley 10/2010, de 9 de julio, de ordenación y gestión de la función pública valenciana, prevén sistemas de integración similares. Este Tribunal, debido a la configuración del recurso de inconstitucionalidad como justicia rogada, no puede enjuiciar la constitucionalidad del régimen jurídico de normas que no han sido objeto de este concreto proceso.</w:t>
      </w:r>
    </w:p>
    <w:p w:rsidR="00AC56D6" w:rsidRDefault="00AC56D6" w:rsidP="00AC56D6">
      <w:pPr>
        <w:pStyle w:val="TextoNormal"/>
      </w:pPr>
    </w:p>
    <w:p w:rsidR="00AC56D6" w:rsidRDefault="00AC56D6" w:rsidP="00AC56D6">
      <w:pPr>
        <w:pStyle w:val="TextoNormal"/>
      </w:pPr>
      <w:r>
        <w:t>b) Avanzando más en el razonamiento, este Tribunal aprecia, respecto a la segunda cuestión que nos hemos propuesto examinar en este fundamento jurídico, que el sistema de acceso a la función pública que prevén los preceptos impugnados no es un mecanismo abierto a todos los sujetos que, cumpliendo los requisitos generales establecidos al efecto en la respectiva convocatoria, deseen participar en él, pues el apartado 1 de ambas disposiciones adicionales reduce el ámbito subjetivo de los potenciales candidatos en dos sentidos.</w:t>
      </w:r>
    </w:p>
    <w:p w:rsidR="00AC56D6" w:rsidRDefault="00AC56D6" w:rsidP="00AC56D6">
      <w:pPr>
        <w:pStyle w:val="TextoNormal"/>
      </w:pPr>
    </w:p>
    <w:p w:rsidR="00AC56D6" w:rsidRDefault="00AC56D6" w:rsidP="00AC56D6">
      <w:pPr>
        <w:pStyle w:val="TextoNormal"/>
      </w:pPr>
      <w:r>
        <w:t>En efecto, según la norma recurrida, solo son admitidos a tomar parte en el proceso de integración quienes ya sean funcionarios de otras administraciones públicas y, además de ello, “tengan destino definitivo en el ámbito territorial de Cataluña o que en el momento de la convocatoria presten servicios en la Administración de la Generalidad o en los entes del sector público que de ella dependen”.</w:t>
      </w:r>
    </w:p>
    <w:p w:rsidR="00AC56D6" w:rsidRDefault="00AC56D6" w:rsidP="00AC56D6">
      <w:pPr>
        <w:pStyle w:val="TextoNormal"/>
      </w:pPr>
    </w:p>
    <w:p w:rsidR="00AC56D6" w:rsidRDefault="00AC56D6" w:rsidP="00AC56D6">
      <w:pPr>
        <w:pStyle w:val="TextoNormal"/>
      </w:pPr>
      <w:r>
        <w:t>Quedan excluidos, en consecuencia, los sujetos que no reúnan cumulativamente estas dos condiciones. De este modo, tendrán vedada la participación en este proceso de integra</w:t>
      </w:r>
      <w:r>
        <w:lastRenderedPageBreak/>
        <w:t>ción quienes, aunque tengan la titulación requerida y satisfagan el resto de exigencias específicas de la convocatoria, no sean funcionarios de una Administración pública distinta de la propia de la Generalitat de Cataluña. Resultan excluidos de participar, en virtud de esta primera exigencia, todo aquel que no sea funcionario y también los que, siendo funcionarios, lo son de algún cuerpo de la Administración de la Generalitat de Cataluña.</w:t>
      </w:r>
    </w:p>
    <w:p w:rsidR="00AC56D6" w:rsidRDefault="00AC56D6" w:rsidP="00AC56D6">
      <w:pPr>
        <w:pStyle w:val="TextoNormal"/>
      </w:pPr>
    </w:p>
    <w:p w:rsidR="00AC56D6" w:rsidRDefault="00AC56D6" w:rsidP="00AC56D6">
      <w:pPr>
        <w:pStyle w:val="TextoNormal"/>
      </w:pPr>
      <w:r>
        <w:t>Esta previsión reductora, por sí sola, ya convertiría en prueba restringida este proceso de acceso a la función pública. Pero el conjunto de los admitidos a participar se recorta aún más. Quedan también fuera de poder concurrir a este sistema de acceso a la función pública algunos funcionarios de una de dichas Administraciones públicas distintas de la Generalitat de Cataluña, a pesar de que realicen funciones sustancialmente coincidentes con las propias del Cuerpo al que se pretende acceder; concretamente aquellos que no tengan destino definitivo en el ámbito territorial de Cataluña ni presten al tiempo de la convocatoria, en virtud de alguna técnica de movilidad funcional, sus servicios en la Administración de la Generalitat o en los entes del sector público que de ella dependen.</w:t>
      </w:r>
    </w:p>
    <w:p w:rsidR="00AC56D6" w:rsidRDefault="00AC56D6" w:rsidP="00AC56D6">
      <w:pPr>
        <w:pStyle w:val="TextoNormal"/>
      </w:pPr>
    </w:p>
    <w:p w:rsidR="00AC56D6" w:rsidRDefault="00AC56D6" w:rsidP="00AC56D6">
      <w:pPr>
        <w:pStyle w:val="TextoNormal"/>
      </w:pPr>
      <w:r>
        <w:t>De este análisis se desprende que el sistema de acceso a la función pública en que consiste el proceso de integración reglamentado en las disposiciones impugnadas está vedado a varias categorías de personas que cumplen con los requisitos legales establecidos para la realización de los principios de mérito y capacidad, con lo que corresponde calificarla de “prueba restringida” de acceso a la función pública.</w:t>
      </w:r>
    </w:p>
    <w:p w:rsidR="00AC56D6" w:rsidRDefault="00AC56D6" w:rsidP="00AC56D6">
      <w:pPr>
        <w:pStyle w:val="TextoNormal"/>
      </w:pPr>
    </w:p>
    <w:p w:rsidR="00AC56D6" w:rsidRDefault="00AC56D6" w:rsidP="00AC56D6">
      <w:pPr>
        <w:pStyle w:val="TextoNormal"/>
      </w:pPr>
      <w:r w:rsidRPr="00AC56D6">
        <w:rPr>
          <w:rStyle w:val="NumeroAFNegritaCaracter"/>
        </w:rPr>
        <w:t>6</w:t>
      </w:r>
      <w:r>
        <w:t>. Una vez establecido que las disposiciones impugnadas regulan sendas “pruebas restringidas” de acceso a la función pública, procede proyectar sobre ellas la doctrina constitucional reseñada en los fundamentos jurídicos segundo y tercero. Hay razones para comenzar por la dimensión competencial, pues si el legislador catalán no fuera competente para prever una “prueba restringida” no tendría sentido pronunciarse acerca de si la contemplada en el caso concreto responde a los criterios que, según nuestra doctrina, la convierte excepcionalmente en respetuosa del derecho fundamental a la igualdad en el acceso a los cargos y funciones públicas.</w:t>
      </w:r>
    </w:p>
    <w:p w:rsidR="00AC56D6" w:rsidRDefault="00AC56D6" w:rsidP="00AC56D6">
      <w:pPr>
        <w:pStyle w:val="TextoNormal"/>
      </w:pPr>
    </w:p>
    <w:p w:rsidR="00AC56D6" w:rsidRDefault="00AC56D6" w:rsidP="00AC56D6">
      <w:pPr>
        <w:pStyle w:val="TextoNormal"/>
      </w:pPr>
      <w:r>
        <w:t>Como adelantamos en el fundamento jurídico segundo, es constante la doctrina constitucional (por todas, STC 174/1998, de 23 de julio, y STC 111/2014, de 26 de junio) que afirma que la competencia básica estatal sobre el régimen estatutario de los funcionarios públicos (art. 149.1.18 CE) comprende la fijación del principio de igualdad como elemento esencial del acceso a dicha condición, de modo tal que los arts. 55.1 y 61 del texto refundido de la Ley del estatuto básico del empleado público que establecen este principio en la actualidad son formal y materialmente básicos. Estas mismas resoluciones del Tribunal Constitucional, en los términos que igualmente se han indicado en el fundamento jurídico segundo, declaran que dicha competencia estatal básica alcanza también a la determinación de qué modulaciones admite tal principio en cada momento.</w:t>
      </w:r>
    </w:p>
    <w:p w:rsidR="00AC56D6" w:rsidRDefault="00AC56D6" w:rsidP="00AC56D6">
      <w:pPr>
        <w:pStyle w:val="TextoNormal"/>
      </w:pPr>
    </w:p>
    <w:p w:rsidR="00AC56D6" w:rsidRDefault="00AC56D6" w:rsidP="00AC56D6">
      <w:pPr>
        <w:pStyle w:val="TextoNormal"/>
      </w:pPr>
      <w:r>
        <w:t xml:space="preserve">El legislador básico que aprobó la Ley 30/1984, de 2 de agosto, de medidas para la reforma de la función pública, incluyó, en aras de regularizar la situación de precariedad surgida de la necesidad de dotar de personal a las administraciones públicas de las Comunidades Autónomas que se acababan de crear, una modalidad de “prueba restringida” en el apartado 4 de la disposición transitoria sexta, según el que “los Consejos de Gobierno de las </w:t>
      </w:r>
      <w:r>
        <w:lastRenderedPageBreak/>
        <w:t>Comunidades Autónomas podrán convocar pruebas específicas para el personal que, al amparo de lo establecido en disposiciones de carácter general promulgadas por las correspondientes Comunidades Autónomas tuviesen, con anterioridad al 15 de marzo de 1984, condición de contratados administrativos, en expectativa de acceso a su respectiva Función Pública. Se considerarán incluidos en el presente precepto los contratados mediante convocatorias públicas con anterioridad al 15 de marzo de 1984”.</w:t>
      </w:r>
    </w:p>
    <w:p w:rsidR="00AC56D6" w:rsidRDefault="00AC56D6" w:rsidP="00AC56D6">
      <w:pPr>
        <w:pStyle w:val="TextoNormal"/>
      </w:pPr>
    </w:p>
    <w:p w:rsidR="00AC56D6" w:rsidRDefault="00AC56D6" w:rsidP="00AC56D6">
      <w:pPr>
        <w:pStyle w:val="TextoNormal"/>
      </w:pPr>
      <w:r>
        <w:t>De este modo, las “pruebas restringidas” para el acceso a la función pública autonómica traídas ante este Tribunal por motivos competenciales (por todas, SSTC 151/1992, de 19 de octubre, FJ 3; y 302/1993, de 21 de octubre, FJ 3) han sido enjuiciadas conforme a tal parámetro de constitucionalidad, determinando si la regulación de la ley autonómica respondía al supuesto general previsto como norma básica en dicha disposición estatal.</w:t>
      </w:r>
    </w:p>
    <w:p w:rsidR="00AC56D6" w:rsidRDefault="00AC56D6" w:rsidP="00AC56D6">
      <w:pPr>
        <w:pStyle w:val="TextoNormal"/>
      </w:pPr>
    </w:p>
    <w:p w:rsidR="00AC56D6" w:rsidRDefault="00AC56D6" w:rsidP="00AC56D6">
      <w:pPr>
        <w:pStyle w:val="TextoNormal"/>
      </w:pPr>
      <w:r>
        <w:t>Ahora bien, en los recursos de inconstitucionalidad de signo competencial el marco constitucional de reparto de atribuciones a tener en cuenta es el delimitado “por las normas del bloque de la constitucionalidad vigentes en el momento de dictar Sentencia” (por todas STC 1/2011, de 14 de febrero, FJ 2, y la doctrina allí citada). En la actualidad, junto a la disposición transitoria sexta de la Ley 30/1984, que nunca fue formalmente derogada, el legislador básico contempla otro supuesto posible de modulación del principio de igualdad en el acceso a la función pública en la disposición transitoria segunda del texto refundido de la Ley del estatuto básico del empleado público cuya redacción es la siguiente:</w:t>
      </w:r>
    </w:p>
    <w:p w:rsidR="00AC56D6" w:rsidRDefault="00AC56D6" w:rsidP="00AC56D6">
      <w:pPr>
        <w:pStyle w:val="TextoNormal"/>
      </w:pPr>
    </w:p>
    <w:p w:rsidR="00AC56D6" w:rsidRDefault="00AC56D6" w:rsidP="00AC56D6">
      <w:pPr>
        <w:pStyle w:val="TextoNormal"/>
      </w:pPr>
      <w:r>
        <w:t>“El personal laboral fijo que a la entrada en vigor del presente Estatuto esté desempeñando funciones de personal funcionario, o pase a desempeñarlos en virtud de pruebas de selección o promoción convocadas antes de dicha fecha, podrán seguir desempeñándolos.</w:t>
      </w:r>
    </w:p>
    <w:p w:rsidR="00AC56D6" w:rsidRDefault="00AC56D6" w:rsidP="00AC56D6">
      <w:pPr>
        <w:pStyle w:val="TextoNormal"/>
      </w:pPr>
    </w:p>
    <w:p w:rsidR="00AC56D6" w:rsidRDefault="00AC56D6" w:rsidP="00AC56D6">
      <w:pPr>
        <w:pStyle w:val="TextoNormal"/>
      </w:pPr>
      <w:r>
        <w:t>Asimismo, podrá participar en los procesos selectivos de promoción interna convocados por el sistema de concurso-oposición, de forma independiente o conjunta con los procesos selectivos de libre concurrencia, en aquellos Cuerpos y Escalas a los que figuren adscritos las funciones o los puestos que desempeñe, siempre que posea la titulación necesaria y reúna los restantes requisitos exigidos, valorándose a estos efectos como mérito los servicios efectivos prestados como personal laboral fijo y las pruebas selectivas superadas para acceder a esta condición.”</w:t>
      </w:r>
    </w:p>
    <w:p w:rsidR="00AC56D6" w:rsidRDefault="00AC56D6" w:rsidP="00AC56D6">
      <w:pPr>
        <w:pStyle w:val="TextoNormal"/>
      </w:pPr>
    </w:p>
    <w:p w:rsidR="00AC56D6" w:rsidRDefault="00AC56D6" w:rsidP="00AC56D6">
      <w:pPr>
        <w:pStyle w:val="TextoNormal"/>
      </w:pPr>
      <w:r>
        <w:t>De todo ello resulta que el legislador básico establece el carácter abierto de los procesos selectivos de acceso a la función pública (art. 61.1 del texto refundido de la Ley del estatuto básico del empleado público) y prevé, como únicas modulaciones del mismo, aparte “de lo establecido para la promoción interna y de las medidas de discriminación positiva previstas en este Estatuto” (art. 61.1 del texto refundido), solo dos supuestos excepcionales, que son los regulados en la disposición transitoria sexta de la Ley 30/1984 y en la disposición transitoria segunda del texto refundido.</w:t>
      </w:r>
    </w:p>
    <w:p w:rsidR="00AC56D6" w:rsidRDefault="00AC56D6" w:rsidP="00AC56D6">
      <w:pPr>
        <w:pStyle w:val="TextoNormal"/>
      </w:pPr>
    </w:p>
    <w:p w:rsidR="00AC56D6" w:rsidRDefault="00AC56D6" w:rsidP="00AC56D6">
      <w:pPr>
        <w:pStyle w:val="TextoNormal"/>
      </w:pPr>
      <w:r w:rsidRPr="00AC56D6">
        <w:rPr>
          <w:rStyle w:val="NumeroAFNegritaCaracter"/>
        </w:rPr>
        <w:t>7</w:t>
      </w:r>
      <w:r>
        <w:t xml:space="preserve">. Llegados a este punto, y dado que para constatar la existencia de una inconstitucionalidad mediata o indirecta como la que aquí se suscita es necesario, además de que la norma estatal infringida por la Ley autonómica sea una norma básica en sentido material y formal, “que la contradicción entre ambas normas, estatal y autonómica, sea efectiva e insalvable por vía interpretativa” (por todas, SSTC 210/2014, de 18 de diciembre, FJ 4, y 200/2015, de 24 de septiembre, FJ 4), procede analizar en este momento si los preceptos autonómicos </w:t>
      </w:r>
      <w:r>
        <w:lastRenderedPageBreak/>
        <w:t>impugnados contradicen las normas básicas indicadas de un modo efectivo e insalvable por vía interpretativa.</w:t>
      </w:r>
    </w:p>
    <w:p w:rsidR="00AC56D6" w:rsidRDefault="00AC56D6" w:rsidP="00AC56D6">
      <w:pPr>
        <w:pStyle w:val="TextoNormal"/>
      </w:pPr>
    </w:p>
    <w:p w:rsidR="00AC56D6" w:rsidRDefault="00AC56D6" w:rsidP="00AC56D6">
      <w:pPr>
        <w:pStyle w:val="TextoNormal"/>
      </w:pPr>
      <w:r>
        <w:t>No estamos ante un supuesto de promoción interna, pues los destinatarios del proceso han de “pertenece[r] a cuerpos y escalas del subgrupo A1 de otras administraciones públicas” (disposición adicional vigésima primera) o “pertenece[r] a cuerpos y escalas del subgrupo A2 de otras administraciones públicas” (disposición adicional vigésima segunda), esto es, pertenecer a cuerpos del mismo subgrupo que el cuerpo al que proceden a integrarse. Resulta evidente que tampoco es un caso de discriminación positiva, pues no se determina ningún grupo en situación desfavorable que requiera un mejor trato que el resto de posibles participantes.</w:t>
      </w:r>
    </w:p>
    <w:p w:rsidR="00AC56D6" w:rsidRDefault="00AC56D6" w:rsidP="00AC56D6">
      <w:pPr>
        <w:pStyle w:val="TextoNormal"/>
      </w:pPr>
    </w:p>
    <w:p w:rsidR="00AC56D6" w:rsidRDefault="00AC56D6" w:rsidP="00AC56D6">
      <w:pPr>
        <w:pStyle w:val="TextoNormal"/>
      </w:pPr>
      <w:r>
        <w:t>De otro lado, los destinatarios de los procesos de integración regulados en las dos disposiciones impugnadas son funcionarios de carrera, no contratados administrativos y tampoco personal laboral, por lo que tales procesos no pueden hallar cobertura ni en la disposición transitoria sexta de la Ley 30/1984 (contratados administrativos) ni en la disposición transitoria segunda del texto refundido de la Ley del estatuto básico del empleado público (personal laboral).</w:t>
      </w:r>
    </w:p>
    <w:p w:rsidR="00AC56D6" w:rsidRDefault="00AC56D6" w:rsidP="00AC56D6">
      <w:pPr>
        <w:pStyle w:val="TextoNormal"/>
      </w:pPr>
    </w:p>
    <w:p w:rsidR="00AC56D6" w:rsidRDefault="00AC56D6" w:rsidP="00AC56D6">
      <w:pPr>
        <w:pStyle w:val="TextoNormal"/>
      </w:pPr>
      <w:r>
        <w:t>En conclusión, las disposiciones autonómicas impugnadas regulan sendas “pruebas restringidas” de acceso a la función pública, que son supuestos que exceptúan el carácter abierto de los procesos selectivos de acceso a la función pública establecido como norma básica por el art. 61.1 del texto refundido de la Ley del estatuto básico del empleado público. Y lo hacen sin que encuentren apoyo en ninguna de las previsiones normativas mediante las que el legislador básico modula dicha regla básica. Todo ello conduce a resolver que las disposiciones impugnadas, por contradecir de un modo efectivo e insalvable por vía interpretativa la normativa básica estatal de acceso a la función pública, concretamente el art. 61.1 del texto refundido, vulneran la competencia atribuida al Estado sobre el régimen estatutario de los funcionarios (art. 149.1.18 CE).</w:t>
      </w:r>
    </w:p>
    <w:p w:rsidR="00AC56D6" w:rsidRDefault="00AC56D6" w:rsidP="00AC56D6">
      <w:pPr>
        <w:pStyle w:val="TextoNormal"/>
      </w:pPr>
    </w:p>
    <w:p w:rsidR="00AC56D6" w:rsidRDefault="00AC56D6" w:rsidP="00AC56D6">
      <w:pPr>
        <w:pStyle w:val="TextoNormal"/>
      </w:pPr>
      <w:r w:rsidRPr="00AC56D6">
        <w:rPr>
          <w:rStyle w:val="NumeroAFNegritaCaracter"/>
        </w:rPr>
        <w:t>8</w:t>
      </w:r>
      <w:r>
        <w:t>. Los razonamientos expuestos conducen a que declaremos la inconstitucionalidad y nulidad de ambos preceptos impugnados, en la medida que disciplinan sendos supuestos de “pruebas restringidas” de acceso a la función pública sin cobertura en la normativa básica estatal, declaración que se proyecta no solo sobre su apartado primero sino también respecto de su apartado segundo, pues la regulación de éste, en la medida que se refiere a las circunstancias de las convocatorias llamadas a regir tales procesos, es meramente accesoria del mecanismo de “prueba restringida” establecido en el apartado primero.</w:t>
      </w:r>
    </w:p>
    <w:p w:rsidR="00AC56D6" w:rsidRDefault="00AC56D6" w:rsidP="00AC56D6">
      <w:pPr>
        <w:pStyle w:val="TextoNormal"/>
      </w:pPr>
    </w:p>
    <w:p w:rsidR="00AC56D6" w:rsidRDefault="00AC56D6" w:rsidP="00AC56D6">
      <w:pPr>
        <w:pStyle w:val="TextoNormal"/>
      </w:pPr>
      <w:r>
        <w:t>Declarada la inconstitucionalidad y nulidad de los dos apartados de las disposiciones adicionales impugnadas, resulta innecesario resolver acerca de las otras alegaciones formuladas en el escrito de interposición del presente recurso de inconstitucionalidad.</w:t>
      </w:r>
    </w:p>
    <w:p w:rsidR="00AC56D6" w:rsidRDefault="00AC56D6" w:rsidP="00AC56D6">
      <w:pPr>
        <w:pStyle w:val="TextoNormal"/>
      </w:pPr>
    </w:p>
    <w:p w:rsidR="00AC56D6" w:rsidRDefault="00AC56D6" w:rsidP="00AC56D6">
      <w:pPr>
        <w:pStyle w:val="TextoNormal"/>
      </w:pPr>
      <w:r w:rsidRPr="00AC56D6">
        <w:rPr>
          <w:rStyle w:val="NumeroAFNegritaCaracter"/>
        </w:rPr>
        <w:t>9</w:t>
      </w:r>
      <w:r>
        <w:t>. Tras el enjuiciamiento definitivo de la ley recurrida, verificado dentro del plazo de cinco meses contemplado en el art. 161.2 CE, huelga cualquier pronunciamiento sobre el levantamiento o el mantenimiento de su suspensión (SSTC 103/2008, de 11 de septiembre, FJ 6, y 207/2013, de 5 de diciembre, FJ 6).</w:t>
      </w:r>
    </w:p>
    <w:p w:rsidR="00AC56D6" w:rsidRDefault="00AC56D6" w:rsidP="00AC56D6">
      <w:pPr>
        <w:pStyle w:val="TextoNormal"/>
      </w:pPr>
    </w:p>
    <w:p w:rsidR="00AC56D6" w:rsidRDefault="00AC56D6" w:rsidP="00AC56D6">
      <w:pPr>
        <w:pStyle w:val="TextoNormalCentrado"/>
        <w:keepNext/>
      </w:pPr>
      <w:r>
        <w:lastRenderedPageBreak/>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Estimar el recurso de inconstitucionalidad núm. 4681-2015 y, en consecuencia, declarar la inconstitucionalidad y nulidad del artículo 4 de la Ley 9/2015, de 12 de junio, de modificación de la Ley 7/2007, de la Agencia Tributaria de Cataluña, para la ordenación de los cuerpos tributarios de adscripción exclusiva a la Agencia, por cuanto añade a esta última las disposiciones adicionales vigésima primera y vigésima segunda.</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diecinueve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95" w:name="SENTENCIA_2015_239"/>
      <w:r>
        <w:lastRenderedPageBreak/>
        <w:t>SENTENCIA 239/2015, de 30 de noviembre de 2015</w:t>
      </w:r>
    </w:p>
    <w:bookmarkEnd w:id="95"/>
    <w:p w:rsidR="00AC56D6" w:rsidRDefault="00AC56D6" w:rsidP="00AC56D6">
      <w:pPr>
        <w:pStyle w:val="TtuloResolucin"/>
      </w:pPr>
      <w:r>
        <w:t>Sala Segunda</w:t>
      </w:r>
    </w:p>
    <w:p w:rsidR="00AC56D6" w:rsidRDefault="00AC56D6" w:rsidP="00AC56D6">
      <w:pPr>
        <w:pStyle w:val="TtuloBOE"/>
      </w:pPr>
      <w:r>
        <w:t>(BOE núm. 10, de 12 de enero de 2016)</w:t>
      </w:r>
    </w:p>
    <w:p w:rsidR="00AC56D6" w:rsidRDefault="00AC56D6" w:rsidP="00AC56D6">
      <w:pPr>
        <w:pStyle w:val="TextoNormalCentrado"/>
      </w:pPr>
      <w:r>
        <w:t>ECLI:ES:TC:2015:239</w:t>
      </w:r>
    </w:p>
    <w:p w:rsidR="00AC56D6" w:rsidRDefault="00AC56D6" w:rsidP="00AC56D6">
      <w:pPr>
        <w:pStyle w:val="TextoNormalCentrado"/>
      </w:pPr>
    </w:p>
    <w:p w:rsidR="00AC56D6" w:rsidRDefault="00AC56D6" w:rsidP="00AC56D6">
      <w:pPr>
        <w:pStyle w:val="SntesisDescriptiva"/>
      </w:pPr>
      <w:r>
        <w:t>Recurso de amparo 274-2013. Promovido por don Teodoro Francisco Miguel Vaca Martínez de Morentín, en calidad de sucesor hereditario de doña María Esperanza Martínez de Morentín Unceta, en relación con la Sentencia de la Sala de lo Contencioso-Administrativo del Tribunal Superior de Justicia del País Vasco que desestimó su impugnación sobre liquidación del impuesto sobre el patrimonio.</w:t>
      </w:r>
    </w:p>
    <w:p w:rsidR="00AC56D6" w:rsidRDefault="00AC56D6" w:rsidP="00AC56D6">
      <w:pPr>
        <w:pStyle w:val="SntesisDescriptiva"/>
      </w:pPr>
    </w:p>
    <w:p w:rsidR="00AC56D6" w:rsidRDefault="00AC56D6" w:rsidP="00AC56D6">
      <w:pPr>
        <w:pStyle w:val="SntesisAnaltica"/>
      </w:pPr>
      <w:r>
        <w:t>Vulneración del derecho a la tutela judicial efectiva (resolución fundada en Derecho): Sentencia que no entra a conocer de los vicios de inconstitucionalidad imputados a una norma foral, ni plantea cuestión prejudicial de validez ante el Tribunal Constitucional, fundándose en la falta de jurisdicción del órgano sentenciador para examinar la validez de las normas forales fiscales.</w:t>
      </w:r>
    </w:p>
    <w:p w:rsidR="00AC56D6" w:rsidRDefault="00AC56D6" w:rsidP="00AC56D6">
      <w:pPr>
        <w:pStyle w:val="SntesisAnaltica"/>
      </w:pPr>
    </w:p>
    <w:p w:rsidR="00AC56D6" w:rsidRDefault="00AC56D6" w:rsidP="00AC56D6">
      <w:pPr>
        <w:pStyle w:val="Extracto"/>
      </w:pPr>
      <w:r>
        <w:t>1.</w:t>
      </w:r>
      <w:r>
        <w:tab/>
        <w:t>El órgano judicial ha eludido pronunciarse sobre el fondo del asunto sometido a su consideración, so pretexto de su falta de competencia al respecto, con fundamento en una motivación no razonable, por lo que es obligado concluir que la decisión judicial cuestionada ha vulnerado el derecho de la parte demandante de amparo a la tutela judicial efectiva sin indefensión y, por tanto, ello ha de conducir a la estimación del presente recurso de amparo [FJ 4].</w:t>
      </w:r>
    </w:p>
    <w:p w:rsidR="00AC56D6" w:rsidRDefault="00AC56D6" w:rsidP="00AC56D6">
      <w:pPr>
        <w:pStyle w:val="Extracto"/>
      </w:pPr>
    </w:p>
    <w:p w:rsidR="00AC56D6" w:rsidRDefault="00AC56D6" w:rsidP="00AC56D6">
      <w:pPr>
        <w:pStyle w:val="Extracto"/>
      </w:pPr>
      <w:r>
        <w:t>2.</w:t>
      </w:r>
      <w:r>
        <w:tab/>
        <w:t>El órgano judicial debió entrar a controlar la validez constitucional de la Norma Foral 14/1991, indirectamente impugnada, para concluir, bien su validez y, con fundamento, en la misma, considerar innecesario el planteamiento de una cuestión prejudicial, bien su eventual invalidez y, en consecuencia, para poder no aplicarla, suscitar la correspondiente cuestión de validez; pero el órgano judicial soslaya cualquier pronunciamiento sobre la validez de la Norma Foral 14/1991 y, sin más fundamento, inadmite (aunque formalmente desestima) el recurso articulado por la parte actora, dejando así su pretensión sin juzgar [FJ 3].</w:t>
      </w:r>
    </w:p>
    <w:p w:rsidR="00AC56D6" w:rsidRDefault="00AC56D6" w:rsidP="00AC56D6">
      <w:pPr>
        <w:pStyle w:val="Extracto"/>
      </w:pPr>
    </w:p>
    <w:p w:rsidR="00AC56D6" w:rsidRDefault="00AC56D6" w:rsidP="00AC56D6">
      <w:pPr>
        <w:pStyle w:val="Extracto"/>
      </w:pPr>
      <w:r>
        <w:t>3.</w:t>
      </w:r>
      <w:r>
        <w:tab/>
        <w:t>Si un órgano judicial estima que una norma foral fiscal adolece de posibles vicios de inconstitucional, viene obligado a suscitar la correspondiente cuestión prejudicial ante el Tribunal Constitucional y, si no lo estima así, supuesto en el que obviamente no está compelido a plantear la cuestión, debe limitarse a aplicarla, razonando los motivos por los cuales considera que la disposición cuestionada no adolece de los vicios que se le imputan, resultando plenamente conforme con el ordenamiento constitucional [FJ 2].</w:t>
      </w:r>
    </w:p>
    <w:p w:rsidR="00AC56D6" w:rsidRDefault="00AC56D6" w:rsidP="00AC56D6">
      <w:pPr>
        <w:pStyle w:val="Extracto"/>
      </w:pPr>
    </w:p>
    <w:p w:rsidR="00AC56D6" w:rsidRDefault="00AC56D6" w:rsidP="00AC56D6">
      <w:pPr>
        <w:pStyle w:val="Extracto"/>
      </w:pPr>
      <w:r>
        <w:t>4.</w:t>
      </w:r>
      <w:r>
        <w:tab/>
        <w:t>Los derechos y garantías previstos en el art. 24 CE no garantizan la justicia de la decisión o la corrección jurídica de la actuación o interpretación llevada a cabo por los órganos judiciales comunes, pues no existe un derecho al acierto, pero sí deben asegurar que las pretensiones se desenvuelvan y se resuelvan en el proceso establecido al efecto, con observancia de las garantías constitucionales mediante una resolución fundada en Derecho, la cual podrá ser favorable o adversa a las pretensiones ejercitadas (STC 173/2002) [FJ 3].</w:t>
      </w:r>
    </w:p>
    <w:p w:rsidR="00AC56D6" w:rsidRDefault="00AC56D6" w:rsidP="00AC56D6">
      <w:pPr>
        <w:pStyle w:val="Extracto"/>
      </w:pPr>
    </w:p>
    <w:p w:rsidR="00AC56D6" w:rsidRDefault="00AC56D6" w:rsidP="00AC56D6">
      <w:pPr>
        <w:pStyle w:val="Extracto"/>
      </w:pPr>
      <w:r>
        <w:t>5.</w:t>
      </w:r>
      <w:r>
        <w:tab/>
        <w:t>No es aceptable, desde el punto de vista de la motivación de las resoluciones judiciales, que la parte recurrente se vea en la necesidad de presumir las razones por las que el órgano judicial no ha apreciado duda alguna de la conformidad de la norma foral controvertida con el llamado bloque de la constitucionalidad [FJ 3].</w:t>
      </w:r>
    </w:p>
    <w:p w:rsidR="00AC56D6" w:rsidRDefault="00AC56D6" w:rsidP="00AC56D6">
      <w:pPr>
        <w:pStyle w:val="Extracto"/>
      </w:pPr>
    </w:p>
    <w:p w:rsidR="00AC56D6" w:rsidRDefault="00AC56D6" w:rsidP="00AC56D6">
      <w:pPr>
        <w:pStyle w:val="Extracto"/>
      </w:pPr>
      <w:r>
        <w:t>6.</w:t>
      </w:r>
      <w:r>
        <w:tab/>
        <w:t>La cuestión planteada en el presente proceso de amparo permite precisar a este Tribunal su doctrina sobre el derecho a la tutela judicial efectiva en relación con la facultad de los órganos judiciales de controlar la validez constitucional de las normas forales fiscales en orden a su eventual inaplicación previo planteamiento de una cuestión prejudicial de validez ante este Tribunal Constitucional [FJ 2].</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amparo núm. 274-2013, promovido por don Teodoro Francisco Miguel Vaca Martínez de Morentín, en calidad de sucesor hereditario de doña María Esperanza Martínez de Morentín Unceta, representado por el Procurador de los Tribunales don Ramiro Reynolds Martínez, bajo la dirección de la Letrada doña Trinidad Primo Varona, contra la Sentencia núm. 581/2012 de la Sección Primera de la Sala de lo Contencioso-Administrativo del Tribunal Superior de Justicia del País Vasco de fecha 16 de julio de 2012, por la que se desestima el recurso contencioso-administrativo núm. 650-2011 interpuesto contra el acuerdo del Tribunal Económico-Administrativo Foral de Guipúzcoa de fecha 27 de enero de 2011, desestimatorio, a su vez, de la reclamación económico-administrativa núm. 238-2010 promovida contra el acuerdo del Servicio de gestión de impuestos directos de fecha 10 de febrero de 2010, que rechazaba la solicitud de rectificación de la autoliquidación formulada por el impuesto sobre el patrimonio correspondiente al ejercicio 2008. El recurso se extiende al Auto de 7 de noviembre de 2012 que desestimó el incidente de nulidad de actuaciones interpuesto contra la Sentencia del Tribunal Superior de Justicia antes indicado. Han intervenido la Procuradora de los Tribunales doña Rocío Martín Echagüe, en nombre y representación de la Excma. Diputación Foral de Guipúzcoa, y el Ministerio Fiscal. Ha sido Ponente la Magistrada doña Adela Asua Batarrita, quien expresa el parecer del Tribunal.</w:t>
      </w:r>
    </w:p>
    <w:p w:rsidR="00AC56D6" w:rsidRDefault="00AC56D6" w:rsidP="00AC56D6">
      <w:pPr>
        <w:pStyle w:val="TextoNormal"/>
      </w:pPr>
    </w:p>
    <w:p w:rsidR="00AC56D6" w:rsidRDefault="00AC56D6" w:rsidP="00AC56D6">
      <w:pPr>
        <w:pStyle w:val="TextoNormalNegritaCentrado"/>
        <w:keepNext/>
      </w:pPr>
      <w:r>
        <w:lastRenderedPageBreak/>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Por escrito registrado en este Tribunal el día 15 de enero de 2013, don Ramiro Reynolds Martínez, Procurador de los Tribunales, en nombre y representación de don Teodoro Francisco Miguel Vaca Martínez de Morentín, en calidad de sucesor hereditario de doña María Esperanza Martínez de Morentín Unceta, bajo la dirección de la Letrada doña Trinidad Primo Varona, interpuso un recurso de amparo contra la resolución judicial que se indica en el encabezamiento de esta Sentencia. Los hechos de los que trae causa la demanda de amparo son, en síntesis, los siguientes:</w:t>
      </w:r>
    </w:p>
    <w:p w:rsidR="00AC56D6" w:rsidRDefault="00AC56D6" w:rsidP="00AC56D6">
      <w:pPr>
        <w:pStyle w:val="TextoNormal"/>
      </w:pPr>
    </w:p>
    <w:p w:rsidR="00AC56D6" w:rsidRDefault="00AC56D6" w:rsidP="00AC56D6">
      <w:pPr>
        <w:pStyle w:val="TextoNormal"/>
      </w:pPr>
      <w:r>
        <w:t>a) Doña María Esperanza Martínez de Morentín Unceta, residente en Guipúzcoa, presentó la autoliquidación del impuesto sobre el patrimonio correspondiente al ejercicio 2008, instando a continuación su rectificación con solicitud de devolución del importe ingresado, al considerar que puesto que la obligación de contribuir por el citado tributo había sido suprimida en el resto del Estado, incluidos los territorios forales de Vizcaya y Álava, la normativa foral que daba cobertura a su obligación tributaria (la Norma Foral de Guipúzcoa 14/1991) había devenido ilegal, al discriminar a los residentes en el territorio de Guipúzcoa, obligándoles a soportar una obligación tributaria inexistente en el resto del territorio nacional (por obra de la Ley 4/2008, de 23 de diciembre).</w:t>
      </w:r>
    </w:p>
    <w:p w:rsidR="00AC56D6" w:rsidRDefault="00AC56D6" w:rsidP="00AC56D6">
      <w:pPr>
        <w:pStyle w:val="TextoNormal"/>
      </w:pPr>
    </w:p>
    <w:p w:rsidR="00AC56D6" w:rsidRDefault="00AC56D6" w:rsidP="00AC56D6">
      <w:pPr>
        <w:pStyle w:val="TextoNormal"/>
      </w:pPr>
      <w:r>
        <w:t>b) Con fecha de 10 de febrero de 2010 se dictó acuerdo por el Servicio de gestión de impuestos directos de la Hacienda Foral de Guipúzcoa rechazando tanto la rectificación promovida como la devolución solicitada.</w:t>
      </w:r>
    </w:p>
    <w:p w:rsidR="00AC56D6" w:rsidRDefault="00AC56D6" w:rsidP="00AC56D6">
      <w:pPr>
        <w:pStyle w:val="TextoNormal"/>
      </w:pPr>
    </w:p>
    <w:p w:rsidR="00AC56D6" w:rsidRDefault="00AC56D6" w:rsidP="00AC56D6">
      <w:pPr>
        <w:pStyle w:val="TextoNormal"/>
      </w:pPr>
      <w:r>
        <w:t>c) Contra el anterior acuerdo se presentó una reclamación económico-administrativa ante el Tribunal Económico-Administrativo Foral de Guipúzcoa (núm. 238-2010), que por resolución de fecha 27 de enero de 2011 la desestimó.</w:t>
      </w:r>
    </w:p>
    <w:p w:rsidR="00AC56D6" w:rsidRDefault="00AC56D6" w:rsidP="00AC56D6">
      <w:pPr>
        <w:pStyle w:val="TextoNormal"/>
      </w:pPr>
    </w:p>
    <w:p w:rsidR="00AC56D6" w:rsidRDefault="00AC56D6" w:rsidP="00AC56D6">
      <w:pPr>
        <w:pStyle w:val="TextoNormal"/>
      </w:pPr>
      <w:r>
        <w:t>d) Contra la anterior resolución se interpuso un recurso contencioso-administrativo (núm. 650-2011) ante la Sala de lo Contencioso-Administrativo del Tribunal Superior de Justicia del País Vasco, quien por Sentencia núm. 581/2012, de 16 de julio de 2012 de su Sección Primera acordó desestimar el recurso, al considerar que carecía de la competencia necesaria para pronunciarse sobre el objeto del recurso, en la medida que la disposición adicional quinta de la Ley Orgánica 2/1979, de 3 de octubre, del Tribunal Constitucional (en la redacción dada por la Ley Orgánica 1/2010), había atribuido al Tribunal Constitucional el conocimiento de los recursos interpuestos contra las normas forales fiscales. A juicio del órgano judicial, aunque es competente para conocer de los recursos contra los actos administrativos y de revisión económico-administrativa, sin embargo, no puede enjuiciar la validez de las normas forales fiscales de forma indirecta ni adoptar pronunciamientos anulatorios de los actos de aplicación con fundamento en la invalidez de tales normas. Y puesto que la parte recurrente invoca la vulneración, por la Norma Foral reguladora del impuesto sobre el patrimonio, del derecho a la igualdad de los arts. 14 y 31.1, ambos de la Constitución, fruto de la diferencia territorial de trato que genera, dicho planteamiento es ajeno a la jurisdicción contencioso-administrativa que carece, por cualquier medio o procedimiento, de la potestad de conocer de pretensiones en contra de normas forales fiscales. Y, por los mismos motivos, rechaza el órgano judicial el planteamiento de una cuestión de inconstitucionalidad sobre la Norma Foral controvertida.</w:t>
      </w:r>
    </w:p>
    <w:p w:rsidR="00AC56D6" w:rsidRDefault="00AC56D6" w:rsidP="00AC56D6">
      <w:pPr>
        <w:pStyle w:val="TextoNormal"/>
      </w:pPr>
    </w:p>
    <w:p w:rsidR="00AC56D6" w:rsidRDefault="00AC56D6" w:rsidP="00AC56D6">
      <w:pPr>
        <w:pStyle w:val="TextoNormal"/>
      </w:pPr>
      <w:r>
        <w:lastRenderedPageBreak/>
        <w:t xml:space="preserve">e) Promovido un incidente de nulidad de actuaciones contra la anterior Sentencia al considerar la parte recurrente que se había vulnerado su derecho a la tutela judicial efectiva ante la negativa del órgano judicial al planteamiento de la cuestión de inconstitucionalidad, mediante Auto de fecha 7 de noviembre de 2012 se desestima al considerar que “no es que la Sala no haya tenido en cuenta el planteamiento de la cuestión litigiosa en términos que atañen a la constitucionalidad de la Norma Foral 14/1991 de Gipuzkoa del Impuesto sobre el Patrimonio sino que ha entendido que los motivos y pretensiones del recurrente no abocaban a suscitar tal cuestión, sino a la inaplicación directa de aquella norma, razón por la cual no estimamos necesario plantearnos el recurso </w:t>
      </w:r>
      <w:r w:rsidRPr="00AC56D6">
        <w:rPr>
          <w:i/>
        </w:rPr>
        <w:t>ad casum</w:t>
      </w:r>
      <w:r>
        <w:t xml:space="preserve"> al citado mecanismo de control indirecto de la validez de las normas legales lo que, además, presuponía negativamente que no había ninguna razón o motivo para dudar de la conformidad de precitada norma fiscal con el llamado bloque de constitucionalidad”.</w:t>
      </w:r>
    </w:p>
    <w:p w:rsidR="00AC56D6" w:rsidRDefault="00AC56D6" w:rsidP="00AC56D6">
      <w:pPr>
        <w:pStyle w:val="TextoNormal"/>
      </w:pPr>
    </w:p>
    <w:p w:rsidR="00AC56D6" w:rsidRDefault="00AC56D6" w:rsidP="00AC56D6">
      <w:pPr>
        <w:pStyle w:val="TextoNormal"/>
      </w:pPr>
      <w:r w:rsidRPr="00AC56D6">
        <w:rPr>
          <w:rStyle w:val="NumeroAFNegritaCaracter"/>
        </w:rPr>
        <w:t>2</w:t>
      </w:r>
      <w:r>
        <w:t>. La recurrente en amparo imputa a la resolución judicial impugnada la vulneración del derecho a la tutela judicial efectiva (art. 24.1 CE) por falta de motivación, por arbitrariedad y por haberle causado indefensión, al habérsele negado el planteamiento de la cuestión de inconstitucionalidad solicitada, sin un solo argumento, impidiéndosele con ello el derecho a obtener una resolución sobre el fondo del asunto. Para la recurrente, la Sentencia niega el planteamiento de la cuestión de inconstitucionalidad sin fundamentación alguna, cuando lo cierto es que su planteamiento no es una cuestión discrecional para el órgano judicial cuando el fallo del litigio dependa de la validez de la norma aplicada. Al haber rechazado apriorística e inmotivadamente el planteamiento solicitado, la decisión del órgano judicial ha incurrido en arbitrariedad causándole indefensión, sobre todo porque la pretensión esgrimida se dirigía precisamente a que la Sala ejerciese su jurisdicción, en el marco de las atribuciones que le corresponden, entrando a valorar circunstanciadamente la procedencia o no de plantear la cuestión de inconstitucionalidad, tras un análisis sustantivo, adoptando a continuación una decisión fundada, favorable o no a dicho planteamiento. Sin embargo, la Sentencia incurre en arbitrariedad cuando reconoce su propia incompetencia para resolver sobre la nulidad de la norma aplicada y, no obstante ello, rechaza suscitar la pretendida cuestión dejando de este modo al recurso privado de todo objeto o contenido.</w:t>
      </w:r>
    </w:p>
    <w:p w:rsidR="00AC56D6" w:rsidRDefault="00AC56D6" w:rsidP="00AC56D6">
      <w:pPr>
        <w:pStyle w:val="TextoNormal"/>
      </w:pPr>
    </w:p>
    <w:p w:rsidR="00AC56D6" w:rsidRDefault="00AC56D6" w:rsidP="00AC56D6">
      <w:pPr>
        <w:pStyle w:val="TextoNormal"/>
      </w:pPr>
      <w:r>
        <w:t>A juicio de la recurrente, basta con acudir, además, al Auto por el que se desestima el incidente de nulidad de actuaciones para comprobar cómo la decisión de no plantear una cuestión de inconstitucionalidad fue tomada apriorísticamente, en cuya aparente defensa se acude a justificaciones vacuas, incongruentes e irracionales. De hecho, el Auto insiste en que la decisión que al Tribunal le compete es discrecional y no precisa siquiera explicación explícita, cuando de acuerdo con la doctrina de la STC 35/2002, la decisión sobre el planteamiento (positiva o negativa) debe ser exteriorizada de manera suficiente y adecuada, tanto desde la perspectiva fáctica como jurídica, fruto del deber de motivación de las sentencias (art. 120 CE).</w:t>
      </w:r>
    </w:p>
    <w:p w:rsidR="00AC56D6" w:rsidRDefault="00AC56D6" w:rsidP="00AC56D6">
      <w:pPr>
        <w:pStyle w:val="TextoNormal"/>
      </w:pPr>
    </w:p>
    <w:p w:rsidR="00AC56D6" w:rsidRDefault="00AC56D6" w:rsidP="00AC56D6">
      <w:pPr>
        <w:pStyle w:val="TextoNormal"/>
      </w:pPr>
      <w:r>
        <w:t>Finalmente, la demandante de amparo precisa que, para evitar reiteraciones inútiles, en orden a justificar la invalidez sobrevenida de la Norma Foral de Guipúzcoa 14/1991, de 27 de diciembre, reguladora del impuesto sobre el patrimonio, por vulneración del art. 2 de la Ley 12/2002, del concierto económico, y del art. 41.2 c) de la Ley Orgánica 3/1979, del Estatuto de Autonomía del País Vasco, se remite a lo manifestado en el cuerpo del escrito del recurso contencioso-administrativo.</w:t>
      </w:r>
    </w:p>
    <w:p w:rsidR="00AC56D6" w:rsidRDefault="00AC56D6" w:rsidP="00AC56D6">
      <w:pPr>
        <w:pStyle w:val="TextoNormal"/>
      </w:pPr>
    </w:p>
    <w:p w:rsidR="00AC56D6" w:rsidRDefault="00AC56D6" w:rsidP="00AC56D6">
      <w:pPr>
        <w:pStyle w:val="TextoNormal"/>
      </w:pPr>
      <w:r>
        <w:lastRenderedPageBreak/>
        <w:t>En virtud de lo anterior, solicita la parte actora que se estime el recurso de amparo, se le reconozca su derecho a la tutela judicial efectiva y, de conformidad con el art. 55.2 de la Ley Orgánica del Tribunal Constitucional (LOTC), se eleve al Pleno del Tribunal Constitucional una cuestión de inconstitucionalidad contra la Norma Foral 14/1991, de 27 de diciembre, reguladora del impuesto sobre el patrimonio, o, subsidiariamente, se anule y deje sin efecto la Sentencia dictada con retroacción de las actuaciones al momento anterior al dictado de la Sentencia para que por la Sala juzgadora se eleve una cuestión de inconstitucionalidad respecto de la Norma Foral identificada.</w:t>
      </w:r>
    </w:p>
    <w:p w:rsidR="00AC56D6" w:rsidRDefault="00AC56D6" w:rsidP="00AC56D6">
      <w:pPr>
        <w:pStyle w:val="TextoNormal"/>
      </w:pPr>
    </w:p>
    <w:p w:rsidR="00AC56D6" w:rsidRDefault="00AC56D6" w:rsidP="00AC56D6">
      <w:pPr>
        <w:pStyle w:val="TextoNormal"/>
      </w:pPr>
      <w:r w:rsidRPr="00AC56D6">
        <w:rPr>
          <w:rStyle w:val="NumeroAFNegritaCaracter"/>
        </w:rPr>
        <w:t>3</w:t>
      </w:r>
      <w:r>
        <w:t>. Por providencia con fecha de 10 de junio de 2014, la Sección Tercera de este Tribunal acordó la admisión a trámite del recurso de amparo. Asimismo, y en aplicación de lo previsto en el art. 51 de la Ley Orgánica de este Tribunal, acordó dirigir comunicación a la Sala de lo Contencioso-Administrativo del Tribunal Superior de Justicia del País Vasco a fin de que, en el plazo de diez días, remitiese certificación o fotocopia adverada de las actuaciones correspondientes al recurso contencioso-administrativo núm. 650-2011, interesándose al mismo tiempo que se emplazara a quienes hubiesen sido parte en el procedimiento, excepto a la parte recurrente en amparo, para que en el plazo de diez días pudieran comparecer ante este Tribunal si así lo desearan. Igualmente, se acordó dirigir atenta comunicación al Tribunal Económico-Administrativo Foral de Guipúzcoa a fin de que, en el plazo de diez días, remitiese certificación o fotocopia adverada de las actuaciones correspondientes al expediente de la reclamación económico-administrativa núm. 2010-0238.</w:t>
      </w:r>
    </w:p>
    <w:p w:rsidR="00AC56D6" w:rsidRDefault="00AC56D6" w:rsidP="00AC56D6">
      <w:pPr>
        <w:pStyle w:val="TextoNormal"/>
      </w:pPr>
    </w:p>
    <w:p w:rsidR="00AC56D6" w:rsidRDefault="00AC56D6" w:rsidP="00AC56D6">
      <w:pPr>
        <w:pStyle w:val="TextoNormal"/>
      </w:pPr>
      <w:r w:rsidRPr="00AC56D6">
        <w:rPr>
          <w:rStyle w:val="NumeroAFNegritaCaracter"/>
        </w:rPr>
        <w:t>4</w:t>
      </w:r>
      <w:r>
        <w:t>. Por escrito presentado en el Registro General de este Tribunal el día 8 de julio de 2014 la Procuradora de los Tribunales doña Rocío Martín Echagüe, actuando en nombre y representación de la Excma. Diputación Foral de Guipúzcoa, solicitó que se la tuviese por comparecida en el presente proceso constitucional en la representación citada.</w:t>
      </w:r>
    </w:p>
    <w:p w:rsidR="00AC56D6" w:rsidRDefault="00AC56D6" w:rsidP="00AC56D6">
      <w:pPr>
        <w:pStyle w:val="TextoNormal"/>
      </w:pPr>
    </w:p>
    <w:p w:rsidR="00AC56D6" w:rsidRDefault="00AC56D6" w:rsidP="00AC56D6">
      <w:pPr>
        <w:pStyle w:val="TextoNormal"/>
      </w:pPr>
      <w:r w:rsidRPr="00AC56D6">
        <w:rPr>
          <w:rStyle w:val="NumeroAFNegritaCaracter"/>
        </w:rPr>
        <w:t>5</w:t>
      </w:r>
      <w:r>
        <w:t>. Mediante diligencia de ordenación de fecha de 11 de julio de 2014 la Sala Segunda de este Tribunal acordó tener por personada y parte en nombre y representación de la Excma. Diputación Foral de Guipúzcoa a la Procuradora de los Tribunales doña Rocío Martín Echagüe, así como dar vista de las actuaciones recibidas a las partes personadas y al Ministerio Fiscal, por plazo común de veinte días, para que, conforme determina el art. 52.1 de la Ley Orgánica de este Tribunal, presentasen las alegaciones que a su derecho convinieren.</w:t>
      </w:r>
    </w:p>
    <w:p w:rsidR="00AC56D6" w:rsidRDefault="00AC56D6" w:rsidP="00AC56D6">
      <w:pPr>
        <w:pStyle w:val="TextoNormal"/>
      </w:pPr>
    </w:p>
    <w:p w:rsidR="00AC56D6" w:rsidRDefault="00AC56D6" w:rsidP="00AC56D6">
      <w:pPr>
        <w:pStyle w:val="TextoNormal"/>
      </w:pPr>
      <w:r w:rsidRPr="00AC56D6">
        <w:rPr>
          <w:rStyle w:val="NumeroAFNegritaCaracter"/>
        </w:rPr>
        <w:t>6</w:t>
      </w:r>
      <w:r>
        <w:t>. La Procuradora de los Tribunales, doña Rocío Martín Echagüe, en nombre y representación de la Excma. Diputación Foral de Guipúzcoa, presentó su escrito de alegaciones el día 24 de julio de 2014 suplicando se dictase sentencia por la que se declarase no haber lugar al amparo solicitado. A su juicio, las partes en un proceso judicial no tienen derecho a plantear cuestiones de inconstitucionalidad al ser una potestad exclusiva de los órganos judiciales en aquellos casos en los que puedan albergar una duda sobre la constitucionalidad de la norma aplicable al caso y de cuya validez dependa el fallo (SSTC 148/1986, 23/1988 y 159/1997). Por esta razón, la decisión de un órgano judicial de no elevar al Tribunal Constitucional una cuestión de inconstitucionalidad no viola el derecho a la tutela judicial efectiva (STC 159/1997, FJ 5).</w:t>
      </w:r>
    </w:p>
    <w:p w:rsidR="00AC56D6" w:rsidRDefault="00AC56D6" w:rsidP="00AC56D6">
      <w:pPr>
        <w:pStyle w:val="TextoNormal"/>
      </w:pPr>
    </w:p>
    <w:p w:rsidR="00AC56D6" w:rsidRDefault="00AC56D6" w:rsidP="00AC56D6">
      <w:pPr>
        <w:pStyle w:val="TextoNormal"/>
      </w:pPr>
      <w:r>
        <w:lastRenderedPageBreak/>
        <w:t>Para la Diputación Foral de Guipúzcoa no puede apreciarse la lesión denunciada pues la Sentencia impugnada está suficientemente motivada, en la medida que la Sala sentenciadora se reconoce competente para conocer y resolver acerca del acto impugnado (denegación de la solicitud de rectificación de la autoliquidación del impuesto sobre el patrimonio correspondiente al ejercicio 2008), pero no puede declarar la invalidez de la liquidación con base en la inconstitucionalidad de la Norma Foral 14/1991. A su juicio, el órgano judicial está cumpliendo con los dos requisitos que exige la doctrina del Tribunal Constitucional para motivar la no elevación de una cuestión de inconstitucionalidad (ATC 129/2014): que la resolución esté suficientemente motivada en el sentido de contener los elementos y razones de juicio que permiten conocer cuáles han sido los criterios jurídicos que han fundamentado la decisión, y que la motivación contenga una fundamentación en Derecho, lo que conlleva la garantía de que la decisión no sea consecuencia de una aplicación arbitraria de la legalidad.</w:t>
      </w:r>
    </w:p>
    <w:p w:rsidR="00AC56D6" w:rsidRDefault="00AC56D6" w:rsidP="00AC56D6">
      <w:pPr>
        <w:pStyle w:val="TextoNormal"/>
      </w:pPr>
    </w:p>
    <w:p w:rsidR="00AC56D6" w:rsidRDefault="00AC56D6" w:rsidP="00AC56D6">
      <w:pPr>
        <w:pStyle w:val="TextoNormal"/>
      </w:pPr>
      <w:r w:rsidRPr="00AC56D6">
        <w:rPr>
          <w:rStyle w:val="NumeroAFNegritaCaracter"/>
        </w:rPr>
        <w:t>7</w:t>
      </w:r>
      <w:r>
        <w:t>. Mediante escrito registrado en este Tribunal el día 4 de septiembre de 2014, don Teodoro Francisco Miguel Vaca Martínez de Morentín, representado por el Procurador don Ramiro Reynolds Martínez y defendido por la Letrada doña Trinidad Primo Varona, evacuó el trámite de alegaciones conferido suplicando se dictase Sentencia estimatoria del amparo pretendido, insistiendo para ello en los mismos argumentos que es su escrito de demanda.</w:t>
      </w:r>
    </w:p>
    <w:p w:rsidR="00AC56D6" w:rsidRDefault="00AC56D6" w:rsidP="00AC56D6">
      <w:pPr>
        <w:pStyle w:val="TextoNormal"/>
      </w:pPr>
    </w:p>
    <w:p w:rsidR="00AC56D6" w:rsidRDefault="00AC56D6" w:rsidP="00AC56D6">
      <w:pPr>
        <w:pStyle w:val="TextoNormal"/>
      </w:pPr>
      <w:r>
        <w:t>Además, la parte actora fundamenta la nulidad e inconstitucionalidad de la Norma Foral de Guipúzcoa 14/1991, de 27 de diciembre, reguladora del impuesto sobre el patrimonio, por la violación del principio de igualdad (arts. 14 y 31.1, ambos de la Constitución) no sólo en la diferencia territorial que genera el mantenimiento en el territorio de Guipúzcoa de un impuesto que ha sido suprimido en el resto del territorio nacional, sino también en la falta de potestad del territorio histórico de Guipúzcoa para mantener la vigencia de un impuesto, el del patrimonio, que había sido suprimido por parte del Estado (por la Ley 4/2008, de 23 de diciembre), contradiciendo así lo previsto en el art. 41.2 c) de la Ley Orgánica 3/1979, del Estatuto de Autonomía, y en los arts. 1 a 3 de la Ley 12/2012, del concierto con el País Vasco, que obliga a los territorios históricos a mantener, dentro de su territorio, un régimen de tributos concertados, siguiendo la estructura general impositiva del Estado y adoptando las medidas normativas necesarias para aplicar las medidas fiscales de carácter excepcional y coyuntural que el Estado decida. Sin embargo, Guipúzcoa ha mantenido en su territorio un impuesto, el del patrimonio, que había sido suprimido en el ordenamiento nacional, cuando lo que debía haber hecho era haber procedido también a su eliminación coetánea como así hicieron los territorios de Álava (Norma Foral 22/2008, de 22 de diciembre) y Vizcaya (Norma Foral 7/2007, de 20 de diciembre).</w:t>
      </w:r>
    </w:p>
    <w:p w:rsidR="00AC56D6" w:rsidRDefault="00AC56D6" w:rsidP="00AC56D6">
      <w:pPr>
        <w:pStyle w:val="TextoNormal"/>
      </w:pPr>
    </w:p>
    <w:p w:rsidR="00AC56D6" w:rsidRDefault="00AC56D6" w:rsidP="00AC56D6">
      <w:pPr>
        <w:pStyle w:val="TextoNormal"/>
      </w:pPr>
      <w:r w:rsidRPr="00AC56D6">
        <w:rPr>
          <w:rStyle w:val="NumeroAFNegritaCaracter"/>
        </w:rPr>
        <w:t>8</w:t>
      </w:r>
      <w:r>
        <w:t>. El día 16 de septiembre de 2014 presentó su escrito de alegaciones el Ministerio Fiscal solicitando la estimación del recurso al considerar que se ha lesionado el derecho de la actora tanto a la tutela judicial efectiva sin indefensión (art. 24.1 CE) como a un proceso con todas las garantías (art. 24.2 CE), procediéndose, en orden al restablecimiento de los derechos fundamentales lesionados, a retrotraerse las actuaciones al momento anterior a dictar sentencia, con el fin de que se dicte una resolución fundada en Derecho respecto de la procedencia de plantear al Tribunal Constitucional una cuestión de inconstitucionalidad sobre la Norma Foral 14/1991, reguladora del impuesto sobre el patrimonio en Guipúzcoa.</w:t>
      </w:r>
    </w:p>
    <w:p w:rsidR="00AC56D6" w:rsidRDefault="00AC56D6" w:rsidP="00AC56D6">
      <w:pPr>
        <w:pStyle w:val="TextoNormal"/>
      </w:pPr>
    </w:p>
    <w:p w:rsidR="00AC56D6" w:rsidRDefault="00AC56D6" w:rsidP="00AC56D6">
      <w:pPr>
        <w:pStyle w:val="TextoNormal"/>
      </w:pPr>
      <w:r>
        <w:lastRenderedPageBreak/>
        <w:t>Tras precisar los hechos que han dado lugar a la presente demanda de amparo concreta la Fiscal el núcleo del recurso contencioso-administrativo, que lo constituía la eventual ilegalidad sobrevenida de la Norma Foral 14/1991, reguladora del impuesto sobre el patrimonio en Guipúzcoa, que sustentaba la exacción del impuesto en el ejercicio 2008, como consecuencia de la aprobación de la Ley 4/2008, de 23 de diciembre, cuyo art. 3 suprimía el impuesto sobre el patrimonio, con efectos del 1 de enero de 2008, mediante una bonificación en cuota del 100 por 100. Señala la Fiscal que para la recurrente la Norma Foral no sólo violaba el principio de igualdad en relación con el deber de contribuir (arts. 14 y 31.1 CE), al discriminar en función del territorio de residencia, sino que contradecía la Ley 12/2002, del concierto económico, y la Ley del Parlamento Vasco 3/1989, de armonización, coordinación y colaboración fiscal. Se trataba, pues, de un recurso indirecto contra la Norma Foral 14/1991, como señalaba la propia Diputación Foral de Guipúzcoa en la contestación a la demanda, lo que suponía la falta de competencia de la jurisdicción contencioso-administrativa para conocer de la pretensión deducida [</w:t>
      </w:r>
      <w:r w:rsidRPr="00AC56D6">
        <w:rPr>
          <w:i/>
        </w:rPr>
        <w:t>ex</w:t>
      </w:r>
      <w:r>
        <w:t xml:space="preserve"> art. 3 d) de la Ley reguladora de la jurisdicción contencioso-administrativa: LJCA y disposición adicional quinta LOTC] y la necesidad de plantear una cuestión ante el Tribunal Constitucional.</w:t>
      </w:r>
    </w:p>
    <w:p w:rsidR="00AC56D6" w:rsidRDefault="00AC56D6" w:rsidP="00AC56D6">
      <w:pPr>
        <w:pStyle w:val="TextoNormal"/>
      </w:pPr>
    </w:p>
    <w:p w:rsidR="00AC56D6" w:rsidRDefault="00AC56D6" w:rsidP="00AC56D6">
      <w:pPr>
        <w:pStyle w:val="TextoNormal"/>
      </w:pPr>
      <w:r>
        <w:t>Por su parte, la Sala de lo Contencioso-Administrativo del Tribunal Superior de Justicia del País Vasco, en la Sentencia impugnada, reconoce que tanto el art. 3 d) LJCA como la disposición adicional quinta LOTC, han excluido la competencia de la jurisdicción contencioso-administrativa para pronunciarse sobre la validez de la normas forales fiscales o para declarar la invalidez de los actos dictados en su aplicación con fundamento en la ilegalidad de las mismas; esos preceptos legales confieren a los Tribunales la facultad de elevar al Tribunal Constitucional una cuestión prejudicial sobre la validez de las normas forales, cuando de ella dependa el fallo de litigio, pero le impiden inaplicar dichas normas; la eventual nulidad sobrevenida de la Norma Foral 14/1991, por su contradicción con la Ley 12/2002, del concierto económico, está excluida de la jurisdicción contencioso-administrativa y corresponde a la jurisdicción constitucional, al tratarse de una norma que integra el bloque de la constitucionalidad (art. 28 LOTC); no procede plantear una cuestión de inconstitucionalidad al haberse confundido por la parte recurrente el mecanismo de depuración del ordenamiento jurídico de la cuestión de inconstitucionalidad con el de la cuestión de ilegalidad de normas que no tienen rango de ley (arts. 123 a 126 LJCA).</w:t>
      </w:r>
    </w:p>
    <w:p w:rsidR="00AC56D6" w:rsidRDefault="00AC56D6" w:rsidP="00AC56D6">
      <w:pPr>
        <w:pStyle w:val="TextoNormal"/>
      </w:pPr>
    </w:p>
    <w:p w:rsidR="00AC56D6" w:rsidRDefault="00AC56D6" w:rsidP="00AC56D6">
      <w:pPr>
        <w:pStyle w:val="TextoNormal"/>
      </w:pPr>
      <w:r>
        <w:t xml:space="preserve">Para la Fiscal los anteriores razonamientos del órgano judicial no pueden considerarse como una motivación razonable y suficiente por los siguientes motivos. En primer lugar, porque si bien es cierto que la pretensión esgrimida en el recurso contencioso-administrativo era la de anular los actos administrativos que rechazaron la solicitud de rectificación de la autoliquidación del impuesto sobre el patrimonio, con fundamento en la ilegalidad sobrevenida de la Norma Foral 14/1991, lo que excluía el conocimiento de la eventual inconstitucionalidad de esta Norma por parte de la jurisdicción contencioso-administrativa al corresponder su conocimiento en exclusiva al Tribunal Constitucional. Sin embargo, la Sentencia impugnada no hace ningún tipo de valoración o razonamiento que permita conocer por qué no es procedente el planteamiento de la cuestión de inconstitucionalidad, al margen de que la solicitud hecha por la parte pudiera haber sido incorrecta jurídicamente. En segundo lugar, aunque el órgano judicial subraya que el planteamiento de las cuestiones de inconstitucionalidad corresponde en exclusiva a los órganos jurisdiccionales y no a las partes, resulta incoherente luego cuando se limita a rechazar el planteamiento, sin pronunciamiento alguno </w:t>
      </w:r>
      <w:r>
        <w:lastRenderedPageBreak/>
        <w:t>sobre su necesidad para resolver la cuestión ante él planteada, y sin incorporar ningún razonamiento sobre la validez de la Norma Foral cuya aplicación el órgano judicial termina avalando al resolver desestimando el recurso.</w:t>
      </w:r>
    </w:p>
    <w:p w:rsidR="00AC56D6" w:rsidRDefault="00AC56D6" w:rsidP="00AC56D6">
      <w:pPr>
        <w:pStyle w:val="TextoNormal"/>
      </w:pPr>
    </w:p>
    <w:p w:rsidR="00AC56D6" w:rsidRDefault="00AC56D6" w:rsidP="00AC56D6">
      <w:pPr>
        <w:pStyle w:val="TextoNormal"/>
      </w:pPr>
      <w:r>
        <w:t>En suma, la Fiscal estima que la falta de planteamiento de la cuestión de inconstitucionalidad de manera incoherente y arbitraria supone una lesión del derecho a la tutela judicial efectiva sin indefensión del art. 24.1 CE (SSTC 182/2012 y 177/2013). El órgano judicial, pese a tener obligación de plantear una cuestión de inconstitucionalidad por depender de la validez de la Norma Foral 14/1991, el fallo a adoptar, elude pronunciarse. No constituye motivación suficiente alegar que el argumento planteado por la parte recurrente fue incorrecto pues, la decisión del planteamiento no depende de la voluntad de la parte, ya que se trata de una decisión exclusiva del órgano judicial en base a su propia valoración de la norma aplicable para resolver la cuestión planteada. Así las cosas, al desestimar el órgano judicial el recurso contencioso-administrativo con confirmación de los actos administrativos impugnados, ha incurrido en un exceso de jurisdicción, pues ha resuelto de manera implícita el recurso indirecto contra la Norma Foral 14/1991, sin plantear una cuestión de inconstitucionalidad ante el Tribunal Constitucional.</w:t>
      </w:r>
    </w:p>
    <w:p w:rsidR="00AC56D6" w:rsidRDefault="00AC56D6" w:rsidP="00AC56D6">
      <w:pPr>
        <w:pStyle w:val="TextoNormal"/>
      </w:pPr>
    </w:p>
    <w:p w:rsidR="00AC56D6" w:rsidRDefault="00AC56D6" w:rsidP="00AC56D6">
      <w:pPr>
        <w:pStyle w:val="TextoNormal"/>
      </w:pPr>
      <w:r>
        <w:t>Por otra parte, considera la Fiscal que el Auto de 7 de noviembre de 2012 que desestimó el incidente de nulidad de actuaciones, con fundamento en que el planteamiento de las cuestiones de inconstitucionalidad son una facultad exclusiva de los Tribunales, no es una respuesta fundada en Derecho, carece de una verdadera motivación y, por tanto, es igualmente lesivo del derecho a la tutela judicial efectiva tanto desde la perspectiva del derecho a obtener una resolución fundada en Derecho como desde la del derecho al recurso.</w:t>
      </w:r>
    </w:p>
    <w:p w:rsidR="00AC56D6" w:rsidRDefault="00AC56D6" w:rsidP="00AC56D6">
      <w:pPr>
        <w:pStyle w:val="TextoNormal"/>
      </w:pPr>
    </w:p>
    <w:p w:rsidR="00AC56D6" w:rsidRDefault="00AC56D6" w:rsidP="00AC56D6">
      <w:pPr>
        <w:pStyle w:val="TextoNormal"/>
      </w:pPr>
      <w:r w:rsidRPr="00AC56D6">
        <w:rPr>
          <w:rStyle w:val="NumeroAFNegritaCaracter"/>
        </w:rPr>
        <w:t>9</w:t>
      </w:r>
      <w:r>
        <w:t>. Por providencia de 26 de noviembre de 2015 se señaló para deliberación y votación de la presente Sentencia el día 30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presente recurso de amparo se dirige contra la Sentencia núm. 581/2012 de la Sección Primera de la Sala de lo Contencioso-Administrativo del Tribunal Superior de Justicia del País Vasco de fecha 16 de julio de 2012, por la que se desestima el recurso contencioso-administrativo núm. 650-2011 interpuesto contra el acuerdo del Tribunal Económico-Administrativo Foral de Guipúzcoa de fecha 27 de enero de 2011, desestimatorio, a su vez, de la reclamación económico-administrativa núm. 238-2010 promovida contra el acuerdo del Servicio de gestión de impuestos directos de fecha 10 de febrero de 2010, que rechazaba la solicitud de rectificación de la autoliquidación formulada por el impuesto sobre el patrimonio correspondiente al ejercicio 2008.</w:t>
      </w:r>
    </w:p>
    <w:p w:rsidR="00AC56D6" w:rsidRDefault="00AC56D6" w:rsidP="00AC56D6">
      <w:pPr>
        <w:pStyle w:val="TextoNormal"/>
      </w:pPr>
    </w:p>
    <w:p w:rsidR="00AC56D6" w:rsidRDefault="00AC56D6" w:rsidP="00AC56D6">
      <w:pPr>
        <w:pStyle w:val="TextoNormal"/>
      </w:pPr>
      <w:r>
        <w:t xml:space="preserve">Como ha quedado expuesto con mayor detalle en los antecedentes, la recurrente en amparo solicitaba la rectificación de su autoliquidación del impuesto sobre el patrimonio correspondiente al ejercicio 2008 por considerar que la Norma Foral 14/1991, de 27 de diciembre, del impuesto sobre el patrimonio, que le daba cobertura, era inconstitucional, no sólo por establecer una discriminación por razón de la residencia contraria a los arts. 14 y 31.1, ambos de la Constitución (en adelante, CE), sino por contradecir tanto el art. 2 de la </w:t>
      </w:r>
      <w:r>
        <w:lastRenderedPageBreak/>
        <w:t>Ley 12/2002, de 23 de mayo, por la que se aprueba el concierto económico con la Comunidad Autónoma del País Vasco, como el art. 41.2 c) de la Ley Orgánica 3/1979, de 18 de diciembre, de Estatuto de Autonomía del País Vasco. Rechazada dicha solicitud en vía administrativa, en el recurso contencioso-administrativo articulado ante la Sala de lo Contencioso-Administrativo del Tribunal Superior de Justicia del País Vasco, se cuestionaba nuevamente la constitucionalidad de la citada Norma Foral 14/1991 que daba cobertura a la autoliquidación presentada. Sin embargo, la Sala desestimó el recurso al considerar que, puesto que el conocimiento de la constitucionalidad de las normas forales fiscales le corresponde en exclusiva al Tribunal Constitucional tras la reforma operada por la Ley Orgánica 1/2010, de 19 de febrero, de modificación de las leyes orgánicas del Tribunal Constitucional y del Poder Judicial, carecía de competencia tanto para enjuiciar la validez de las normas forales fiscales como para adoptar pronunciamientos anulatorios de los actos de aplicación con fundamento en la invalidez de tales normas, razón por la cual, rechazó el planteamiento de una cuestión de inconstitucionalidad sobre su validez.</w:t>
      </w:r>
    </w:p>
    <w:p w:rsidR="00AC56D6" w:rsidRDefault="00AC56D6" w:rsidP="00AC56D6">
      <w:pPr>
        <w:pStyle w:val="TextoNormal"/>
      </w:pPr>
    </w:p>
    <w:p w:rsidR="00AC56D6" w:rsidRDefault="00AC56D6" w:rsidP="00AC56D6">
      <w:pPr>
        <w:pStyle w:val="TextoNormal"/>
      </w:pPr>
      <w:r>
        <w:t>Intentado sin éxito un incidente de nulidad de actuaciones contra esta Sentencia, la actora interpone entonces recurso de amparo en el que alega la lesión del derecho a la tutela judicial efectiva (art. 24.1 CE) en su vertiente de acceso a la jurisdicción, afirmando que la Sala incurrió en arbitrariedad al no resolver el fondo de su pretensión, so pretexto de no tener competencia para plantear cuestión de validez sobre dicha Norma Foral ante este Tribunal Constitucional, actuando así en contra de lo prevenido por el ordenamiento.</w:t>
      </w:r>
    </w:p>
    <w:p w:rsidR="00AC56D6" w:rsidRDefault="00AC56D6" w:rsidP="00AC56D6">
      <w:pPr>
        <w:pStyle w:val="TextoNormal"/>
      </w:pPr>
    </w:p>
    <w:p w:rsidR="00AC56D6" w:rsidRDefault="00AC56D6" w:rsidP="00AC56D6">
      <w:pPr>
        <w:pStyle w:val="TextoNormal"/>
      </w:pPr>
      <w:r>
        <w:t>El Ministerio Fiscal ha solicitado el otorgamiento del amparo por entender producida la lesión del derecho a la tutela judicial efectiva sin indefensión (art. 24.1 CE), al haberse rechazado de forma incoherente y arbitraria el planteamiento de una cuestión de inconstitucionalidad sobre la validez de la Norma Foral 14/1991. En cambio, la Excma. Diputación Foral de Guipúzcoa considera que no puede apreciarse la lesión denunciada al no existir un derecho de las partes de un proceso judicial al planteamiento de cuestiones de inconstitucionalidad, siendo esta una potestad exclusiva de los órganos judiciales en aquellos casos en los que puedan albergar una duda sobre la constitucionalidad de la norma aplicable al caso y de cuya validez dependa el fallo.</w:t>
      </w:r>
    </w:p>
    <w:p w:rsidR="00AC56D6" w:rsidRDefault="00AC56D6" w:rsidP="00AC56D6">
      <w:pPr>
        <w:pStyle w:val="TextoNormal"/>
      </w:pPr>
    </w:p>
    <w:p w:rsidR="00AC56D6" w:rsidRDefault="00AC56D6" w:rsidP="00AC56D6">
      <w:pPr>
        <w:pStyle w:val="TextoNormal"/>
      </w:pPr>
      <w:r w:rsidRPr="00AC56D6">
        <w:rPr>
          <w:rStyle w:val="NumeroAFNegritaCaracter"/>
        </w:rPr>
        <w:t>2</w:t>
      </w:r>
      <w:r>
        <w:t xml:space="preserve">. La Sentencia de la Sección Tercera del Tribunal Europeo de Derechos Humanos de 20 de enero de 2015 (caso </w:t>
      </w:r>
      <w:r w:rsidRPr="00AC56D6">
        <w:rPr>
          <w:i/>
        </w:rPr>
        <w:t>Arribas Antón contra España</w:t>
      </w:r>
      <w:r>
        <w:t>) exige que en los asuntos admitidos a trámite por este Tribunal Constitucional se explicite la razón de su especial trascendencia constitucional. Pues bien, de conformidad con lo previsto en el art. 50.1 b) de la Ley Orgánica 2/1979, de 3 de octubre, del Tribunal Constitucional, y de acuerdo con los criterios explicitados en la STC 155/2009, de 25 de junio, debe señalarse que la cuestión planteada en el presente proceso de amparo, de acuerdo con el supuesto previsto en la letra b) del fundamento jurídico 2 de esa Sentencia, permite precisar a este Tribunal, tras el cambio normativo producido con la aprobación de la Ley Orgánica 1/2010, de 19 de febrero, de modificación de las leyes orgánicas del Tribunal Constitucional y del Poder Judicial, su doctrina sobre el derecho a la tutela judicial efectiva (art. 24.1 CE) en relación con la facultad de los órganos judiciales de controlar la validez constitucional de las normas forales fiscales en orden a su eventual inaplicación previo planteamiento de una cuestión prejudicial de validez ante este Tribunal Constitucional.</w:t>
      </w:r>
    </w:p>
    <w:p w:rsidR="00AC56D6" w:rsidRDefault="00AC56D6" w:rsidP="00AC56D6">
      <w:pPr>
        <w:pStyle w:val="TextoNormal"/>
      </w:pPr>
    </w:p>
    <w:p w:rsidR="00AC56D6" w:rsidRDefault="00AC56D6" w:rsidP="00AC56D6">
      <w:pPr>
        <w:pStyle w:val="TextoNormal"/>
      </w:pPr>
      <w:r>
        <w:lastRenderedPageBreak/>
        <w:t>Una vez hecha la precisión que antecede es importante señalar que la única cuestión que se somete a nuestra consideración, desde la óptica del derecho a la tutela judicial efectiva del art. 24.1 CE es, si la negativa del órgano judicial a controlar la constitucionalidad de la Norma Foral 14/1991 es o no lesiva del citado derecho fundamental. Eso sí, debe precisarse, antes que nada, que en el presente proceso constitucional no se ventila la eventual constitucionalidad de la Norma Foral 14/1991 sino, única y exclusivamente, si la negativa del órgano judicial a plantear una cuestión prejudicial ante este Tribunal Constitucional sobre la misma es contraria a aquel derecho fundamental, pues “el recurso de amparo no es un cauce idóneo para efectuar juicios abstractos de constitucionalidad de la Ley, sino un medio reparador de lesiones concretas y efectivas de derechos fundamentales (SSTC 206/1990, de 17 de diciembre, FJ 5; 119/1991, de 3 de junio, FJ 4; 31/1994, de 31 de enero, FJ 4; 120/1998, de 15 de junio, FJ 1), salvo cuando ello resulte imprescindible para corregir la lesión del derecho fundamental que sea achacable directamente a la aplicación del precepto legal que se reputa contrario a la Constitución (entre otras, SSTC 223/2001, de 5 de noviembre, FJ 7; 222/2004, de 29 de noviembre, FJ 3)” (STC 47/2007, de 12 de marzo, FJ 4). Y puesto que el objeto del presente proceso constitucional consiste en determinar, como se ha dicho, si la negativa de la Sala juzgadora a aplicar la norma o a no plantear una cuestión prejudicial ante este Tribunal Constitucional es o no lesiva del art. 24.1 CE, hay que excluir ya en este momento el análisis de la eventual contradicción entre la norma foral fiscal que da cobertura a los actos administrativos impugnados y la Constitución, el Estatuto de Autonomía del País Vasco o la Ley del concierto, estas dos últimas normas, en cuanto forman parte del bloque de constitucionalidad.</w:t>
      </w:r>
    </w:p>
    <w:p w:rsidR="00AC56D6" w:rsidRDefault="00AC56D6" w:rsidP="00AC56D6">
      <w:pPr>
        <w:pStyle w:val="TextoNormal"/>
      </w:pPr>
    </w:p>
    <w:p w:rsidR="00AC56D6" w:rsidRDefault="00AC56D6" w:rsidP="00AC56D6">
      <w:pPr>
        <w:pStyle w:val="TextoNormal"/>
      </w:pPr>
      <w:r>
        <w:t>A este respecto debe señalarse que, aun cuando las normas forales fiscales son disposiciones normativas que carecen de rango de ley, desde la reforma operada por la Ley Orgánica 1/2010, de 19 de febrero, de modificación de las leyes orgánicas del Tribunal Constitucional y del Poder Judicial, su eventual declaración de inconstitucionalidad le corresponde en exclusiva al Tribunal Constitucional. En efecto, quedan excluidos del conocimiento de los Tribunales del orden contencioso-administrativo “los recursos directos o indirectos que se interpongan contra las Normas Forales fiscales de las Juntas Generales de los Territorios Históricos de Álava, Guipúzcoa y Vizcaya, que corresponderán, en exclusiva, al Tribunal Constitucional” [arts. 9.4 de la Ley Orgánica 6/1985, de 1 de julio, del Poder Judicial, y 3 d) de la Ley 29/1998, de 13 de julio, reguladora de la jurisdicción contencioso-administrativa (en lo sucesivo, LJCA)]. Y ello porque, desde la entrada en vigor de esa Ley Orgánica 1/2010, corresponde al Tribunal Constitucional no sólo “el conocimiento de los recursos interpuestos contra las Normas Forales fiscales de los Territorios de Álava, Guipúzcoa y Vizcaya”, sino también resolver “las cuestiones que se susciten con carácter prejudicial por los órganos jurisdiccionales sobre la validez de las referidas disposiciones, cuando de ella dependa el fallo del litigio principal” [apartado 1 de la disposición adicional quinta de la Ley Orgánica 2/1979, de 3 de octubre, del Tribunal Constitucional (en adelante, LOTC)].</w:t>
      </w:r>
    </w:p>
    <w:p w:rsidR="00AC56D6" w:rsidRDefault="00AC56D6" w:rsidP="00AC56D6">
      <w:pPr>
        <w:pStyle w:val="TextoNormal"/>
      </w:pPr>
    </w:p>
    <w:p w:rsidR="00AC56D6" w:rsidRDefault="00AC56D6" w:rsidP="00AC56D6">
      <w:pPr>
        <w:pStyle w:val="TextoNormal"/>
      </w:pPr>
      <w:r>
        <w:t xml:space="preserve">Según lo que antecede, desde la entrada en vigor de la Ley Orgánica 1/2010, de 19 de febrero, aunque los órganos jurisdiccionales pueden fiscalizar la validez de las normas forales fiscales, no pueden, caso de considerarlas contrarias a las normas que integran el bloque de la constitucionalidad, expulsarlas del ordenamiento jurídico. El legislador orgánico ha querido así sustraer al juez ordinario de la competencia para inaplicar una norma foral fiscal ante un eventual juicio de incompatibilidad con aquel bloque. La depuración de este tipo de normas corresponde de forma exclusiva, a partir de aquella disposición orgánica, al </w:t>
      </w:r>
      <w:r>
        <w:lastRenderedPageBreak/>
        <w:t xml:space="preserve">Tribunal Constitucional, que tiene la jurisdicción para declarar, con eficacia </w:t>
      </w:r>
      <w:r w:rsidRPr="00AC56D6">
        <w:rPr>
          <w:i/>
        </w:rPr>
        <w:t>erga omnes</w:t>
      </w:r>
      <w:r>
        <w:t>, su eventual inconstitucionalidad. De esta manera, forma parte de las garantías consustanciales a todo proceso judicial en nuestro Ordenamiento, que la norma foral fiscal aplicable en el proceso no pueda ser orillada por el juzgador a causa de su posible invalidez, sino a través de la promoción de la cuestión prejudicial prevista en la disposición adicional quinta LOTC.</w:t>
      </w:r>
    </w:p>
    <w:p w:rsidR="00AC56D6" w:rsidRDefault="00AC56D6" w:rsidP="00AC56D6">
      <w:pPr>
        <w:pStyle w:val="TextoNormal"/>
      </w:pPr>
    </w:p>
    <w:p w:rsidR="00AC56D6" w:rsidRDefault="00AC56D6" w:rsidP="00AC56D6">
      <w:pPr>
        <w:pStyle w:val="TextoNormal"/>
      </w:pPr>
      <w:r>
        <w:t>No obstante lo anterior, es indudable que forma parte del conjunto de las facultades inherentes a la potestad de juzgar, privativa de los Jueces y Tribunales del Poder Judicial por mandato de la propia Constitución (art. 117.3), la de seleccionar la norma jurídica aplicable al caso concreto, su interpretación y la subsunción en ella de los hechos (SSTC 76/1995, de 22 de mayo, FJ 5; y 173/2002, de 9 de octubre, FJ 10). Ahora bien, una vez seleccionada la norma aplicable al caso concreto, si existiesen dudas sobre su eventual contradicción con las normas que integran el bloque de la constitucionalidad definido en el art. 28 LOTC, al Juez le asisten dos opciones: bien despejar esas dudas mediante la realización, de forma fundada, de un juicio de validez de la norma aplicable; bien, en caso contrario, plantear una cuestión prejudicial sobre su eventual invalidez al Tribunal Constitucional. De este modo, si un órgano judicial estima que una norma foral fiscal adolece de posibles vicios de inconstitucionalidad, viene obligado a suscitar la correspondiente cuestión prejudicial ante el Tribunal Constitucional, y, si no lo estima así, supuesto en el que obviamente no está compelido a plantear la cuestión, debe limitarse a aplicarla, eso sí, razonando los motivos por los cuales considera, en contra de la opinión del recurrente, que la disposición cuestionada no adolece de los vicios que se le imputan, resultando plenamente conforme con el ordenamiento constitucional.</w:t>
      </w:r>
    </w:p>
    <w:p w:rsidR="00AC56D6" w:rsidRDefault="00AC56D6" w:rsidP="00AC56D6">
      <w:pPr>
        <w:pStyle w:val="TextoNormal"/>
      </w:pPr>
    </w:p>
    <w:p w:rsidR="00AC56D6" w:rsidRDefault="00AC56D6" w:rsidP="00AC56D6">
      <w:pPr>
        <w:pStyle w:val="TextoNormal"/>
      </w:pPr>
      <w:r>
        <w:t>A semejanza de lo que acontece en las cuestiones de inconstitucionalidad, la decisión sobre el planteamiento de una cuestión prejudicial sobre normas forales fiscales prevista en la disposición adicional quinta LOTC corresponde, de forma exclusiva e irrevisable, al órgano judicial que resuelve el litigio, por lo que ninguna vulneración existe de los derechos garantizados por el art. 24.1 CE cuando el Juez o Tribunal no alberga dudas sobre la constitucionalidad de la norma foral fiscal aplicable al caso concreto y decide en consecuencia, en contra de la opinión del justiciable, no plantear la cuestión al Tribunal Constitucional que se le solicita (SSTC 58/2004, de 19 de abril, FJ 10; 84/2008, de 21 de julio, FJ 5; 26/2009, de 26 de enero, FJ 2, y 212/2014, de 18 de diciembre, FJ 3). Ahora bien, “el que esta potestad de los Jueces y Tribunales esté configurada de manera exclusiva no significa, en modo alguno, que no deba ser exteriorizado, de manera suficiente y adecuada, el razonamiento que, desde la perspectiva tanto fáctica como jurídica, ha llevado al órgano judicial a la decisión de plantear o no dicha cuestión de inconstitucionalidad, pues no cabe olvidar que la exigencia de motivación de las Sentencias tiene rango constitucional (art. 120 CE)” (STC 35/2002, de 11 de febrero, FJ 3).</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La Sentencia núm. 581/2012 de la Sección Primera de la Sala de lo Contencioso-Administrativo del Tribunal Superior de Justicia del País Vasco de fecha 16 de julio de 2012, objeto del presente proceso constitucional, rechaza tanto entrar a conocer los vicios de inconstitucionalidad que la parte recurrente imputaba a la Norma Foral 14/1991, de 27 de diciembre, del impuesto sobre el patrimonio, como plantear una cuestión prejudicial de validez ante el Tribunal Constitucional respecto de la misma, con fundamento en su falta de competencia para conocer sobre la validez de las normas forales fiscales </w:t>
      </w:r>
      <w:r w:rsidRPr="00AC56D6">
        <w:rPr>
          <w:i/>
        </w:rPr>
        <w:t>ex</w:t>
      </w:r>
      <w:r>
        <w:t xml:space="preserve"> art. 3 d) LJCA (tras la redacción dada por la Ley Orgánica 1/2010).</w:t>
      </w:r>
    </w:p>
    <w:p w:rsidR="00AC56D6" w:rsidRDefault="00AC56D6" w:rsidP="00AC56D6">
      <w:pPr>
        <w:pStyle w:val="TextoNormal"/>
      </w:pPr>
    </w:p>
    <w:p w:rsidR="00AC56D6" w:rsidRDefault="00AC56D6" w:rsidP="00AC56D6">
      <w:pPr>
        <w:pStyle w:val="TextoNormal"/>
      </w:pPr>
      <w:r>
        <w:t>A la vista de lo expuesto es claro que hubo una dejación de funciones por parte del órgano judicial, el cual debía entrar a controlar la validez constitucional de la Norma Foral 14/1991, indirectamente impugnada, para concluir, bien su validez y, con fundamento, en la misma, considerar innecesario el planteamiento de una cuestión prejudicial ante este Tribunal Constitucional, bien su eventual invalidez y, en consecuencia, para poder no aplicarla, suscitar la correspondiente cuestión de validez. Sin embargo, el órgano judicial soslaya cualquier pronunciamiento sobre la validez de la Norma Foral 14/1991 y, sin más fundamento, inadmite (aunque formalmente desestima) el recurso articulado por la parte actora, dejando así su pretensión sin juzgar.</w:t>
      </w:r>
    </w:p>
    <w:p w:rsidR="00AC56D6" w:rsidRDefault="00AC56D6" w:rsidP="00AC56D6">
      <w:pPr>
        <w:pStyle w:val="TextoNormal"/>
      </w:pPr>
    </w:p>
    <w:p w:rsidR="00AC56D6" w:rsidRDefault="00AC56D6" w:rsidP="00AC56D6">
      <w:pPr>
        <w:pStyle w:val="TextoNormal"/>
      </w:pPr>
      <w:r>
        <w:t>Es obligado recordar que los derechos y garantías previstos en el art. 24 CE no garantizan la justicia de la decisión o la corrección jurídica de la actuación o interpretación llevada a cabo por los órganos judiciales comunes, pues no existe un derecho al acierto, pero sí deben asegurar que las pretensiones se desenvuelvan y se resuelvan en el proceso establecido al efecto, con observancia de las garantías constitucionales mediante una resolución fundada en Derecho, la cual podrá ser favorable o adversa a las pretensiones ejercitadas (STC 173/2002, de 9 de octubre, FJ 8). Una resolución fundada en Derecho requiere una argumentación acorde con una exégesis racional del ordenamiento, de manera que no sea fruto de la arbitrariedad. No basta, pues, con obtener una respuesta motivada, sino que, además, ésta ha tener contenido jurídico y no resultar arbitraria. Y una resolución judicial puede tacharse de arbitraria cuando, aun constatada la existencia formal de una argumentación, la misma no es expresión de una razonable administración de justicia sino simple apariencia de la misma por ser fruto de un mero voluntarismo judicial o expresar un proceso deductivo irracional o absurdo (SSTC 148/1994, de 12 de mayo, FJ 4; 244/1994, de 15 de septiembre, FJ 2; 54/1997, de 17 de marzo, FJ 3; 160/1997, de 2 de octubre, FJ 7; y 173/2002, de 9 de octubre, FJ 6).</w:t>
      </w:r>
    </w:p>
    <w:p w:rsidR="00AC56D6" w:rsidRDefault="00AC56D6" w:rsidP="00AC56D6">
      <w:pPr>
        <w:pStyle w:val="TextoNormal"/>
      </w:pPr>
    </w:p>
    <w:p w:rsidR="00AC56D6" w:rsidRDefault="00AC56D6" w:rsidP="00AC56D6">
      <w:pPr>
        <w:pStyle w:val="TextoNormal"/>
      </w:pPr>
      <w:r>
        <w:t xml:space="preserve">Pues bien, como denuncia la parte demandante y aprecia el Ministerio Fiscal, la resolución judicial impugnada, aunque cuenta formalmente con una motivación, carece de contenido jurídico puesto que su proceso deductivo adolece de falta de racionalidad. Y no sana esta falta de motivación el posterior Auto del órgano judicial de fecha 7 de noviembre de 2015, dictado en el incidente de nulidad de actuaciones promovido por la parte actora, en la medida que incorpora una motivación que difícilmente puede calificarse de coherente y fundada en Derecho: “no es que la Sala no haya tenido en cuenta el planteamiento de la cuestión litigiosa en términos que atañen a la constitucionalidad de la Norma Foral 14/1991 de Gipuzkoa del Impuesto sobre el Patrimonio sino que ha entendido que los motivos y pretensiones del recurrente no abocaban a suscitar tal cuestión, sino a la inaplicación directa de aquella norma, razón por la cual no estimamos necesario plantearnos el recurso </w:t>
      </w:r>
      <w:r w:rsidRPr="00AC56D6">
        <w:rPr>
          <w:i/>
        </w:rPr>
        <w:t>ad casum</w:t>
      </w:r>
      <w:r>
        <w:t xml:space="preserve"> al citado mecanismo de control indirecto de la validez de las normas legales lo que, además, presuponía negativamente que no había ninguna razón o motivo para dudar de la conformidad de precitada norma fiscal con el llamado bloque de constitucionalidad”.</w:t>
      </w:r>
    </w:p>
    <w:p w:rsidR="00AC56D6" w:rsidRDefault="00AC56D6" w:rsidP="00AC56D6">
      <w:pPr>
        <w:pStyle w:val="TextoNormal"/>
      </w:pPr>
    </w:p>
    <w:p w:rsidR="00AC56D6" w:rsidRDefault="00AC56D6" w:rsidP="00AC56D6">
      <w:pPr>
        <w:pStyle w:val="TextoNormal"/>
      </w:pPr>
      <w:r>
        <w:t xml:space="preserve">Conforme al pasaje citado, si lo que pretendía el órgano judicial era rechazar los vicios de inconstitucionalidad que la parte actora imputaba a la Norma Foral reguladora del impuesto sobre el patrimonio en Guipúzcoa, es evidente que no podía hacerlo sin dar respuesta a los concretos motivos de inconstitucionalidad que habían sido invocados. No es aceptable, desde el punto de vista de la motivación de las resoluciones judiciales (art. 120.3 CE), que </w:t>
      </w:r>
      <w:r>
        <w:lastRenderedPageBreak/>
        <w:t>la parte recurrente se vea en la necesidad de “presumir” las razones por las que el órgano judicial no ha apreciado duda alguna de la conformidad de la norma foral controvertida con el llamado bloque de la constitucionalidad. Hay que insistir una vez más en que la motivación de las resoluciones judiciales, impuesta por el art. 120.3 CE, es una exigencia derivada del art. 24.1 CE que permite conocer las razones de la decisión que aquéllas contienen y que posibilita su control mediante el sistema de los recursos (entre muchas, STC 56/2013, de 11 de marzo, FJ 2), todo ello independientemente de la parquedad o concentración del razonamiento empleado, siempre, claro está, que éste permita conocer la argumentación que lleva a la decisión judicial, descartándose así el mero voluntarismo selectivo o la pura arbitrariedad (por todas, STC 105/2012, de 11 de mayo, FJ 5), circunstancia esta que se ha producido en el presente caso en el que no sólo no hay razones fundadas en Derecho para resolver la cuestión que le fue planteada, en sentido favorable o adverso a la constitucionalidad de la norma foral controvertida, sino que las que se pretende que aparezcan como tales son difíciles de comprender por su irrazonabilidad.</w:t>
      </w:r>
    </w:p>
    <w:p w:rsidR="00AC56D6" w:rsidRDefault="00AC56D6" w:rsidP="00AC56D6">
      <w:pPr>
        <w:pStyle w:val="TextoNormal"/>
      </w:pPr>
    </w:p>
    <w:p w:rsidR="00AC56D6" w:rsidRDefault="00AC56D6" w:rsidP="00AC56D6">
      <w:pPr>
        <w:pStyle w:val="TextoNormal"/>
      </w:pPr>
      <w:r w:rsidRPr="00AC56D6">
        <w:rPr>
          <w:rStyle w:val="NumeroAFNegritaCaracter"/>
        </w:rPr>
        <w:t>4</w:t>
      </w:r>
      <w:r>
        <w:t>. El órgano judicial ha eludido pronunciarse sobre el fondo del asunto sometido a su consideración, so pretexto de su falta de competencia al respecto, con fundamento en una motivación no razonable, por lo que es obligado concluir que la decisión judicial cuestionada, como señala el Ministerio Fiscal, ha vulnerado el derecho de la parte demandante de amparo a la tutela judicial efectiva sin indefensión (art. 24.1 CE) y, por tanto, ello ha de conducir a la estimación del presente recurso de amparo.</w:t>
      </w:r>
    </w:p>
    <w:p w:rsidR="00AC56D6" w:rsidRDefault="00AC56D6" w:rsidP="00AC56D6">
      <w:pPr>
        <w:pStyle w:val="TextoNormal"/>
      </w:pPr>
    </w:p>
    <w:p w:rsidR="00AC56D6" w:rsidRDefault="00AC56D6" w:rsidP="00AC56D6">
      <w:pPr>
        <w:pStyle w:val="TextoNormal"/>
      </w:pPr>
      <w:r>
        <w:t>La parte actora ha impugnado en el presente proceso constitucional exclusivamente la Sentencia de la Sección de fecha 16 de julio de 2012, que es la que le imputa la lesión de su derecho a la tutela judicial efectiva sin indefensión. No obstante, fruto de la exigencia del art. 44.1 a) LOTC relativa a la necesidad de que se hayan agotado todos los medios de impugnación previstos por las normas procesales para el caso concreto dentro de la vía judicial, promovió contra esa resolución judicial un incidente de nulidad de actuaciones que fue rechazado mediante Auto de la misma Sala y Sección de fecha 7 de noviembre de 2012.</w:t>
      </w:r>
    </w:p>
    <w:p w:rsidR="00AC56D6" w:rsidRDefault="00AC56D6" w:rsidP="00AC56D6">
      <w:pPr>
        <w:pStyle w:val="TextoNormal"/>
      </w:pPr>
    </w:p>
    <w:p w:rsidR="00AC56D6" w:rsidRDefault="00AC56D6" w:rsidP="00AC56D6">
      <w:pPr>
        <w:pStyle w:val="TextoNormal"/>
      </w:pPr>
      <w:r>
        <w:t>La constatación de la vulneración del derecho a la tutela judicial efectiva sin indefensión y, por tanto, la estimación del recurso de amparo interpuesto debe conducir necesariamente, en orden a la restitución de la recurrente en el pleno ejercicio de su derecho, a la anulación tanto de la Sentencia núm. 581/2012 de la Sección Primera de la Sala de lo Contencioso-Administrativo del Tribunal Superior de Justicia del País Vasco de fecha 16 de julio de 2012, recaída en el recurso contencioso-administrativo núm. 650-2011, como del Auto del mismo órgano judicial de fecha 7 de noviembre de 2012, que desestimó el incidente de nulidad de actuaciones promovido contra la anterior, con retroacción de las actuaciones al momento inmediatamente anterior al dictado de la referida Sentencia, para que por el órgano judicial se pronuncie una nueva resolución que sea respetuosa con el derecho fundamental vulnerado.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lastRenderedPageBreak/>
        <w:t>Ha decidido</w:t>
      </w:r>
    </w:p>
    <w:p w:rsidR="00AC56D6" w:rsidRDefault="00AC56D6" w:rsidP="00AC56D6">
      <w:pPr>
        <w:pStyle w:val="TextoNormalCentrado"/>
        <w:keepNext/>
      </w:pPr>
    </w:p>
    <w:p w:rsidR="00AC56D6" w:rsidRDefault="00AC56D6" w:rsidP="00AC56D6">
      <w:pPr>
        <w:pStyle w:val="TextoNormal"/>
      </w:pPr>
      <w:r>
        <w:t>Estimar el recurso de amparo interpuesto por don Teodoro Francisco Miguel Vaca Martínez de Morentín, en calidad de sucesor hereditario de doña María Esperanza Martínez de Morentín Unceta, y, en consecuencia:</w:t>
      </w:r>
    </w:p>
    <w:p w:rsidR="00AC56D6" w:rsidRDefault="00AC56D6" w:rsidP="00AC56D6">
      <w:pPr>
        <w:pStyle w:val="TextoNormal"/>
      </w:pPr>
    </w:p>
    <w:p w:rsidR="00AC56D6" w:rsidRDefault="00AC56D6" w:rsidP="00AC56D6">
      <w:pPr>
        <w:pStyle w:val="TextoNormal"/>
      </w:pPr>
      <w:r>
        <w:t>1º Declarar vulnerado su derecho fundamental a la tutela judicial efectiva sin indefensión (art. 24.1 CE).</w:t>
      </w:r>
    </w:p>
    <w:p w:rsidR="00AC56D6" w:rsidRDefault="00AC56D6" w:rsidP="00AC56D6">
      <w:pPr>
        <w:pStyle w:val="TextoNormal"/>
      </w:pPr>
    </w:p>
    <w:p w:rsidR="00AC56D6" w:rsidRDefault="00AC56D6" w:rsidP="00AC56D6">
      <w:pPr>
        <w:pStyle w:val="TextoNormal"/>
      </w:pPr>
      <w:r>
        <w:t>2º Restablecerle en su derecho y, a tal fin, declarar la nulidad de la Sentencia núm. 581/2012 de la Sección Primera de la Sala de lo Contencioso-Administrativo del Tribunal Superior de Justicia del País Vasco de fecha 16 de julio de 2012, recaída en el recurso contencioso-administrativo núm. 650-2011, así como del Auto del mismo órgano judicial de fecha 7 de noviembre de 2012, que desestimó el incidente de nulidad de actuaciones promovido contra la anterior.</w:t>
      </w:r>
    </w:p>
    <w:p w:rsidR="00AC56D6" w:rsidRDefault="00AC56D6" w:rsidP="00AC56D6">
      <w:pPr>
        <w:pStyle w:val="TextoNormal"/>
      </w:pPr>
    </w:p>
    <w:p w:rsidR="00AC56D6" w:rsidRDefault="00AC56D6" w:rsidP="00AC56D6">
      <w:pPr>
        <w:pStyle w:val="TextoNormal"/>
      </w:pPr>
      <w:r>
        <w:t>3º Retrotraer las actuaciones al momento inmediatamente anterior al pronunciamiento de la primera de dichas resoluciones judiciales, para que por el citado órgano judicial se dicte otra resolución que resulte respetuosa con el derecho fundamental vulnerado.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treinta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96" w:name="SENTENCIA_2015_240"/>
      <w:r>
        <w:lastRenderedPageBreak/>
        <w:t>SENTENCIA 240/2015, de 30 de noviembre de 2015</w:t>
      </w:r>
    </w:p>
    <w:bookmarkEnd w:id="96"/>
    <w:p w:rsidR="00AC56D6" w:rsidRDefault="00AC56D6" w:rsidP="00AC56D6">
      <w:pPr>
        <w:pStyle w:val="TtuloResolucin"/>
      </w:pPr>
      <w:r>
        <w:t>Sala Segunda</w:t>
      </w:r>
    </w:p>
    <w:p w:rsidR="00AC56D6" w:rsidRDefault="00AC56D6" w:rsidP="00AC56D6">
      <w:pPr>
        <w:pStyle w:val="TtuloBOE"/>
      </w:pPr>
      <w:r>
        <w:t>(BOE núm. 10, de 12 de enero de 2016)</w:t>
      </w:r>
    </w:p>
    <w:p w:rsidR="00AC56D6" w:rsidRDefault="00AC56D6" w:rsidP="00AC56D6">
      <w:pPr>
        <w:pStyle w:val="TextoNormalCentrado"/>
      </w:pPr>
      <w:r>
        <w:t>ECLI:ES:TC:2015:240</w:t>
      </w:r>
    </w:p>
    <w:p w:rsidR="00AC56D6" w:rsidRDefault="00AC56D6" w:rsidP="00AC56D6">
      <w:pPr>
        <w:pStyle w:val="TextoNormalCentrado"/>
      </w:pPr>
    </w:p>
    <w:p w:rsidR="00AC56D6" w:rsidRDefault="00AC56D6" w:rsidP="00AC56D6">
      <w:pPr>
        <w:pStyle w:val="SntesisDescriptiva"/>
      </w:pPr>
      <w:r>
        <w:t>Recurso de amparo 1614-2013. Recurso de amparo 1614-2013. Promovido por doña María Teresa Kutz Bandrés en relación con la Sentencia de la Sala de lo Contencioso-Administrativo del Tribunal Superior de Justicia del País Vasco que desestimó su impugnación sobre liquidación del impuesto sobre el patrimonio.</w:t>
      </w:r>
    </w:p>
    <w:p w:rsidR="00AC56D6" w:rsidRDefault="00AC56D6" w:rsidP="00AC56D6">
      <w:pPr>
        <w:pStyle w:val="SntesisDescriptiva"/>
      </w:pPr>
    </w:p>
    <w:p w:rsidR="00AC56D6" w:rsidRDefault="00AC56D6" w:rsidP="00AC56D6">
      <w:pPr>
        <w:pStyle w:val="SntesisAnaltica"/>
      </w:pPr>
      <w:r>
        <w:t>Vulneración del derecho a la tutela judicial efectiva (resolución fundada en Derecho): Sentencia que no entra a conocer de los vicios de inconstitucionalidad imputados a una norma foral, ni plantea cuestión prejudicial de validez ante el Tribunal Constitucional, fundándose en la falta de jurisdicción del órgano sentenciador para examinar la validez de las normas forales fiscales.</w:t>
      </w:r>
    </w:p>
    <w:p w:rsidR="00AC56D6" w:rsidRDefault="00AC56D6" w:rsidP="00AC56D6">
      <w:pPr>
        <w:pStyle w:val="SntesisAnaltica"/>
      </w:pPr>
    </w:p>
    <w:p w:rsidR="00AC56D6" w:rsidRDefault="00AC56D6" w:rsidP="00AC56D6">
      <w:pPr>
        <w:pStyle w:val="Extracto"/>
      </w:pPr>
      <w:r>
        <w:t>1.</w:t>
      </w:r>
      <w:r>
        <w:tab/>
        <w:t>Una resolución judicial puede tacharse de arbitraria cuando, aun constatada la existencia formal de una argumentación, la misma no es expresión de la administración de justicia sino simple apariencia de la misma por ser fruto de un mero voluntarismo judicial o expresar un proceso deductivo irracional o absurdo; la resolución judicial impugnada, aunque cuenta formalmente con una motivación, carece de contenido jurídico al expresar un proceso deductivo irracional (STC 148/1994 y STC 173/2002) [FJ 3].</w:t>
      </w:r>
    </w:p>
    <w:p w:rsidR="00AC56D6" w:rsidRDefault="00AC56D6" w:rsidP="00AC56D6">
      <w:pPr>
        <w:pStyle w:val="Extracto"/>
      </w:pPr>
    </w:p>
    <w:p w:rsidR="00AC56D6" w:rsidRDefault="00AC56D6" w:rsidP="00AC56D6">
      <w:pPr>
        <w:pStyle w:val="Extracto"/>
      </w:pPr>
      <w:r>
        <w:t>2.</w:t>
      </w:r>
      <w:r>
        <w:tab/>
        <w:t>Habiendo evitado el órgano judicial pronunciarse sobre el fondo del asunto sometido a su consideración, so pretexto de su propia incompetencia, con fundamento en una motivación irrazonable, es obligado concluir que la decisión judicial cuestionada ha vulnerado el derecho de la parte demandante de amparo a la tutela judicial efectiva sin indefensión y, por tanto, ello ha de conducir a la estimación del presente recurso de amparo [FJ 4].</w:t>
      </w:r>
    </w:p>
    <w:p w:rsidR="00AC56D6" w:rsidRDefault="00AC56D6" w:rsidP="00AC56D6">
      <w:pPr>
        <w:pStyle w:val="Extracto"/>
      </w:pPr>
    </w:p>
    <w:p w:rsidR="00AC56D6" w:rsidRDefault="00AC56D6" w:rsidP="00AC56D6">
      <w:pPr>
        <w:pStyle w:val="Extracto"/>
      </w:pPr>
      <w:r>
        <w:t>3.</w:t>
      </w:r>
      <w:r>
        <w:tab/>
        <w:t>Si un órgano judicial estima que una norma foral fiscal adolece de posibles vicios de inconstitucionalidad, viene obligado a suscitar la correspondiente cuestión prejudicial, y, si no lo estima así, supuesto en el que obviamente no está compelido a plantear la cuestión, debe limitarse a aplicarla, eso sí, razonando los motivos por los cuales considera que la disposición cuestionada no adolece de los vicios que se le imputan, resultando plenamente conforme con el ordenamiento constitucional [FJ 2].</w:t>
      </w:r>
    </w:p>
    <w:p w:rsidR="00AC56D6" w:rsidRDefault="00AC56D6" w:rsidP="00AC56D6">
      <w:pPr>
        <w:pStyle w:val="Extracto"/>
      </w:pPr>
    </w:p>
    <w:p w:rsidR="00AC56D6" w:rsidRDefault="00AC56D6" w:rsidP="00AC56D6">
      <w:pPr>
        <w:pStyle w:val="Extracto"/>
      </w:pPr>
      <w:r>
        <w:t>4.</w:t>
      </w:r>
      <w:r>
        <w:tab/>
        <w:t>La motivación de las resoluciones judiciales, que debe contener una fundamentación en Derecho, aparte de venir impuesta en el art. 120.3 CE, es una exigencia derivada del art. 24.1 CE que permite conocer las razones de la decisión que aquéllas contienen y que posibilita su control mediante el sistema de los recursos (entre muchas, STC 56/2013) [FJ 3].</w:t>
      </w:r>
    </w:p>
    <w:p w:rsidR="00AC56D6" w:rsidRDefault="00AC56D6" w:rsidP="00AC56D6">
      <w:pPr>
        <w:pStyle w:val="Extracto"/>
      </w:pPr>
    </w:p>
    <w:p w:rsidR="00AC56D6" w:rsidRDefault="00AC56D6" w:rsidP="00AC56D6">
      <w:pPr>
        <w:pStyle w:val="Extracto"/>
      </w:pPr>
      <w:r>
        <w:t>5.</w:t>
      </w:r>
      <w:r>
        <w:tab/>
        <w:t xml:space="preserve">La cuestión planteada en el presente proceso de amparo permite precisar a este Tribunal, tras el cambio normativo producido con la aprobación de la Ley Orgánica 1/2010, de modificación de las leyes orgánicas del Tribunal Constitucional y </w:t>
      </w:r>
      <w:r>
        <w:lastRenderedPageBreak/>
        <w:t>del Poder Judicial, su doctrina sobre el derecho a la tutela judicial efectiva en relación con la facultad de los órganos judiciales de controlar la validez constitucional de las Normas Forales fiscales en orden a su eventual inaplicación previo planteamiento de una cuestión prejudicial de validez ante este Tribunal Constitucional [FJ 2].</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amparo núm. 1614-2013, promovido por doña María Teresa Kutz Bandrés, representada por el Procurador de los Tribunales don Ramiro Reynolds Martínez, bajo la dirección de la Letrada doña Trinidad Primo Varona, contra la Sentencia núm. 856/2012 de la Sección Primera de la Sala de lo Contencioso-Administrativo del Tribunal Superior de Justicia del País Vasco de fecha 16 de noviembre de 2012, por la que se desestima el recurso contencioso-administrativo núm. 679-2011 interpuesto contra el acuerdo del Tribunal Económico-Administrativo Foral de Guipúzcoa de fecha 27 de enero de 2011, desestimatorio, a su vez, de la reclamación económico-administrativa núm. 241-2010 promovida contra el acuerdo del Servicio de gestión de impuestos directos de fecha 10 de febrero de 2010, que rechazaba la solicitud de rectificación de la autoliquidación formulada por el impuesto sobre el patrimonio correspondiente al ejercicio 2008. El recurso se extiende al Auto de 23 de enero de 2013 que desestimó el incidente de nulidad de actuaciones interpuesto contra la Sentencia del Tribunal Superior de Justicia antes indicado. Han intervenido la Procuradora de los Tribunales doña Rocío Martín Echagüe, en nombre y representación de la Excma. Diputación Foral de Guipúzcoa, y el Ministerio Fiscal. Ha sido Ponente el Magistrado don Ricardo Enríquez Sancho,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Por escrito registrado en este Tribunal el día 19 de marzo de 2013, don Ramiro Reynolds Martínez, Procurador de los Tribunales, en nombre y representación de doña María Teresa Kutz Bandrés, interpuso un recurso de amparo contra la resolución judicial que se indica en el encabezamiento de esta Sentencia. Los hechos de los que trae causa la demanda de amparo son, en síntesis, los siguientes:</w:t>
      </w:r>
    </w:p>
    <w:p w:rsidR="00AC56D6" w:rsidRDefault="00AC56D6" w:rsidP="00AC56D6">
      <w:pPr>
        <w:pStyle w:val="TextoNormal"/>
      </w:pPr>
    </w:p>
    <w:p w:rsidR="00AC56D6" w:rsidRDefault="00AC56D6" w:rsidP="00AC56D6">
      <w:pPr>
        <w:pStyle w:val="TextoNormal"/>
      </w:pPr>
      <w:r>
        <w:t xml:space="preserve">a) La recurrente, residente en Guipúzcoa, presentó la autoliquidación del impuesto sobre el patrimonio correspondiente al ejercicio 2008, instando a continuación su rectificación </w:t>
      </w:r>
      <w:r>
        <w:lastRenderedPageBreak/>
        <w:t>con solicitud de devolución del importe ingresado, al considerar que puesto que la obligación de contribuir por el citado tributo había sido suprimida en el resto del Estado, incluidos los territorios forales de Vizcaya y Álava, la normativa foral que daba cobertura a su obligación tributaria (la Norma Foral de Guipúzcoa 14/1991) había devenido ilegal, al discriminar a los residentes en el territorio de Guipúzcoa, obligándoles a soportar una obligación tributaria que era inexistente en el resto del territorio nacional (por obra de la Ley 4/2008, de 23 de diciembre).</w:t>
      </w:r>
    </w:p>
    <w:p w:rsidR="00AC56D6" w:rsidRDefault="00AC56D6" w:rsidP="00AC56D6">
      <w:pPr>
        <w:pStyle w:val="TextoNormal"/>
      </w:pPr>
    </w:p>
    <w:p w:rsidR="00AC56D6" w:rsidRDefault="00AC56D6" w:rsidP="00AC56D6">
      <w:pPr>
        <w:pStyle w:val="TextoNormal"/>
      </w:pPr>
      <w:r>
        <w:t>b) Con fecha de 10 de febrero de 2010 se dictó acuerdo por el Servicio de gestión de impuestos directos de la Hacienda Foral de Guipúzcoa rechazando tanto la rectificación promovida como la devolución solicitada.</w:t>
      </w:r>
    </w:p>
    <w:p w:rsidR="00AC56D6" w:rsidRDefault="00AC56D6" w:rsidP="00AC56D6">
      <w:pPr>
        <w:pStyle w:val="TextoNormal"/>
      </w:pPr>
    </w:p>
    <w:p w:rsidR="00AC56D6" w:rsidRDefault="00AC56D6" w:rsidP="00AC56D6">
      <w:pPr>
        <w:pStyle w:val="TextoNormal"/>
      </w:pPr>
      <w:r>
        <w:t>c) Contra el anterior acuerdo se presentó una reclamación económico-administrativa ante el Tribunal Económico-Administrativo Foral de Guipúzcoa (núm. 241-2010) quien por resolución de fecha 27 de enero de 2011 la desestimó.</w:t>
      </w:r>
    </w:p>
    <w:p w:rsidR="00AC56D6" w:rsidRDefault="00AC56D6" w:rsidP="00AC56D6">
      <w:pPr>
        <w:pStyle w:val="TextoNormal"/>
      </w:pPr>
    </w:p>
    <w:p w:rsidR="00AC56D6" w:rsidRDefault="00AC56D6" w:rsidP="00AC56D6">
      <w:pPr>
        <w:pStyle w:val="TextoNormal"/>
      </w:pPr>
      <w:r>
        <w:t>d) Contra la anterior resolución se interpuso un recurso contencioso-administrativo (núm. 679-2011) ante la Sala de lo Contencioso-Administrativo del Tribunal Superior de Justicia del País Vasco, quien por Sentencia núm. 856/2012, de 16 de noviembre, de su Sección Primera acordó desestimar el recurso, al considerar que carecía de la competencia necesaria para pronunciarse sobre el objeto del recurso, en la medida que la disposición adicional quinta de la Ley Orgánica 2/1979, de 3 de octubre, del Tribunal Constitucional (en la redacción dada por la Ley Orgánica 1/2010), había atribuido al Tribunal Constitucional el conocimiento de los recursos interpuestos contra las normas forales fiscales. A juicio del órgano judicial, aunque es competente para conocer de los recursos contra los actos administrativos y de revisión económico-administrativa, sin embargo, no puede enjuiciar la validez de las normas forales fiscales de forma indirecta ni adoptar pronunciamientos anulatorios de los actos de aplicación con fundamento en la invalidez de tales normas. Y puesto que la parte recurrente invoca la vulneración, por la Norma Foral reguladora del impuesto sobre el patrimonio, del derecho a la igualdad de los arts. 14 y 31.1, ambos de la Constitución, fruto de la diferencia territorial de trato que genera, dicho planteamiento es ajeno a la jurisdicción contencioso-administrativa que carece, por cualquier medio o procedimiento, de la potestad de conocer de pretensiones en contra de normas forales fiscales. Y, por los mismos motivos, rechaza el órgano judicial el planteamiento de una cuestión de inconstitucionalidad sobre la Norma Foral controvertida.</w:t>
      </w:r>
    </w:p>
    <w:p w:rsidR="00AC56D6" w:rsidRDefault="00AC56D6" w:rsidP="00AC56D6">
      <w:pPr>
        <w:pStyle w:val="TextoNormal"/>
      </w:pPr>
    </w:p>
    <w:p w:rsidR="00AC56D6" w:rsidRDefault="00AC56D6" w:rsidP="00AC56D6">
      <w:pPr>
        <w:pStyle w:val="TextoNormal"/>
      </w:pPr>
      <w:r>
        <w:t xml:space="preserve">e) Promovido un incidente de nulidad de actuaciones contra la anterior Sentencia al considerar la parte recurrente que se había vulnerado su derecho a la tutela judicial efectiva ante la negativa del órgano judicial al planteamiento de la cuestión de inconstitucionalidad, mediante Auto de fecha 23 de enero de 2013 se desestimó al considerar que la pretensión de planteamiento de la citada cuestión carecía de todo fundamento legítimo, pues aspiraba a imponer el ejercicio de una facultad atribuida a los Jueces y Tribunales por el art. 5.2 de la Ley Orgánica 6/1985, de 1 de julio. Para el órgano judicial, el control de la legalidad de la actuación administrativa no pasaba necesariamente por el juicio de constitucionalidad de la norma aplicable al caso. No obstante, precisa, no es que la Sala no haya tenido en cuenta el planteamiento de una eventual cuestión de inconstitucionalidad sobre la Norma Foral de Guipúzcoa 14/1991, sino que ha entendido “que los motivos y pretensiones de la recurrente no abocaban a suscitar tal cuestión, sino a la inaplicación directa de aquella norma, razón </w:t>
      </w:r>
      <w:r>
        <w:lastRenderedPageBreak/>
        <w:t xml:space="preserve">por la cual no estimamos necesario plantearnos el recurso </w:t>
      </w:r>
      <w:r w:rsidRPr="00AC56D6">
        <w:rPr>
          <w:i/>
        </w:rPr>
        <w:t>ad casum</w:t>
      </w:r>
      <w:r>
        <w:t xml:space="preserve"> al citado mecanismo de control indirecto de la validez de las normas legales lo que, además, presuponía —negativamente— que no había ninguna razón o motivo para dudar de la conformidad de la precitada norma fiscal con el llamado bloque de constitucionalidad”.</w:t>
      </w:r>
    </w:p>
    <w:p w:rsidR="00AC56D6" w:rsidRDefault="00AC56D6" w:rsidP="00AC56D6">
      <w:pPr>
        <w:pStyle w:val="TextoNormal"/>
      </w:pPr>
    </w:p>
    <w:p w:rsidR="00AC56D6" w:rsidRDefault="00AC56D6" w:rsidP="00AC56D6">
      <w:pPr>
        <w:pStyle w:val="TextoNormal"/>
      </w:pPr>
      <w:r w:rsidRPr="00AC56D6">
        <w:rPr>
          <w:rStyle w:val="NumeroAFNegritaCaracter"/>
        </w:rPr>
        <w:t>2</w:t>
      </w:r>
      <w:r>
        <w:t>. La recurrente en amparo imputa a la resolución judicial impugnada la vulneración del derecho a la tutela judicial efectiva (art. 24.1 CE) por falta de motivación, por arbitrariedad y por haberle causado indefensión, al habérsele negado el planteamiento de la cuestión de inconstitucionalidad solicitada, sin un solo argumento, impidiéndosele con ello el derecho a obtener una resolución sobre el fondo del asunto. Para la recurrente, la Sentencia niega el planteamiento de la cuestión de inconstitucionalidad sin fundamentación alguna, cuando lo cierto es que su planteamiento no es una cuestión discrecional para el órgano judicial cuando el fallo del litigio dependa de la validez de la norma aplicada. Al haber rechazado apriorística e inmotivadamente el planteamiento solicitado, la decisión del órgano judicial ha incurrido en arbitrariedad causándole indefensión, sobre todo porque la pretensión esgrimida se dirigía precisamente a que la Sala ejerciese su jurisdicción, en el marco de las atribuciones que le corresponden, entrando a valorar circunstanciadamente la procedencia o no de plantear la cuestión de inconstitucionalidad, tras un análisis sustantivo, adoptando a continuación una decisión fundada, favorable o no a dicho planteamiento. Sin embargo, la sentencia incurre en arbitrariedad cuando reconoce su propia incompetencia para resolver sobre la nulidad de la norma aplicada y, no obstante ello, rechaza suscitar la pretendida cuestión dejando de este modo al recurso privado de todo objeto o contenido.</w:t>
      </w:r>
    </w:p>
    <w:p w:rsidR="00AC56D6" w:rsidRDefault="00AC56D6" w:rsidP="00AC56D6">
      <w:pPr>
        <w:pStyle w:val="TextoNormal"/>
      </w:pPr>
    </w:p>
    <w:p w:rsidR="00AC56D6" w:rsidRDefault="00AC56D6" w:rsidP="00AC56D6">
      <w:pPr>
        <w:pStyle w:val="TextoNormal"/>
      </w:pPr>
      <w:r>
        <w:t>Finalmente, la demandante de amparo precisa que, para evitar reiteraciones inútiles, en orden a justificar la invalidez sobrevenida de la Norma Foral de Guipúzcoa 14/1991, de 27 de diciembre, reguladora del impuesto sobre el patrimonio, por vulneración del art. 2 de la Ley 12/2002, del concierto económico, y del art. 41.2 c) de la Ley Orgánica 3/1979, del Estatuto de Autonomía del País Vasco, se remite a lo manifestado en el cuerpo del escrito del recurso contencioso-administrativo.</w:t>
      </w:r>
    </w:p>
    <w:p w:rsidR="00AC56D6" w:rsidRDefault="00AC56D6" w:rsidP="00AC56D6">
      <w:pPr>
        <w:pStyle w:val="TextoNormal"/>
      </w:pPr>
    </w:p>
    <w:p w:rsidR="00AC56D6" w:rsidRDefault="00AC56D6" w:rsidP="00AC56D6">
      <w:pPr>
        <w:pStyle w:val="TextoNormal"/>
      </w:pPr>
      <w:r>
        <w:t>En virtud de lo anterior, solicita la recurrente en amparo que se estime el recurso, se le reconozca su derecho a la tutela judicial efectiva y, de conformidad con el art. 55.2 de la Ley Orgánica del Tribunal Constitucional (LOTC), se eleve al Pleno del Tribunal Constitucional una cuestión de inconstitucionalidad contra la Norma Foral 14/1991, de 27 de diciembre, reguladora del impuesto sobre el patrimonio, o, subsidiariamente, se anule y deje sin efecto la Sentencia dictada con retroacción de las actuaciones al momento anterior al dictado de la Sentencia para que por la Sala juzgadora se eleve una cuestión de inconstitucionalidad respecto de la Norma Foral identificada.</w:t>
      </w:r>
    </w:p>
    <w:p w:rsidR="00AC56D6" w:rsidRDefault="00AC56D6" w:rsidP="00AC56D6">
      <w:pPr>
        <w:pStyle w:val="TextoNormal"/>
      </w:pPr>
    </w:p>
    <w:p w:rsidR="00AC56D6" w:rsidRDefault="00AC56D6" w:rsidP="00AC56D6">
      <w:pPr>
        <w:pStyle w:val="TextoNormal"/>
      </w:pPr>
      <w:r w:rsidRPr="00AC56D6">
        <w:rPr>
          <w:rStyle w:val="NumeroAFNegritaCaracter"/>
        </w:rPr>
        <w:t>3</w:t>
      </w:r>
      <w:r>
        <w:t>. Por providencia con fecha de 9 de julio de 2014, la Sección Cuarta de este Tribunal acordó la admisión a trámite del recurso de amparo. Asimismo, y en aplicación de lo previsto en el art. 51 de la Ley Orgánica de este Tribunal, acordó dirigir comunicación a la Sala de lo Contencioso-Administrativo del Tribunal Superior de Justicia del País Vasco a fin de que, en el plazo de diez días, remitiese certificación o fotocopia adverada de las actuaciones correspondientes al recurso contencioso-administrativo núm. 679-2011, incluido el expediente administrativo origen del mismo, interesándose al mismo tiempo que se emplazara a quienes hubiesen sido parte en el procedimiento, excepto a la parte recurrente en amparo, para que en el plazo de diez días pudieran comparecer ante este Tribunal si así lo desearan.</w:t>
      </w:r>
    </w:p>
    <w:p w:rsidR="00AC56D6" w:rsidRDefault="00AC56D6" w:rsidP="00AC56D6">
      <w:pPr>
        <w:pStyle w:val="TextoNormal"/>
      </w:pPr>
    </w:p>
    <w:p w:rsidR="00AC56D6" w:rsidRDefault="00AC56D6" w:rsidP="00AC56D6">
      <w:pPr>
        <w:pStyle w:val="TextoNormal"/>
      </w:pPr>
      <w:r w:rsidRPr="00AC56D6">
        <w:rPr>
          <w:rStyle w:val="NumeroAFNegritaCaracter"/>
        </w:rPr>
        <w:t>4</w:t>
      </w:r>
      <w:r>
        <w:t>. Por escrito presentado en el Registro General de este Tribunal el día 9 de septiembre de 2014 la Procuradora de los Tribunales doña Rocío Martín Echagüe, actuando en nombre y representación de la Excma. Diputación Foral de Guipúzcoa, solicitó que se la tuviese por comparecida en el presente proceso constitucional en la representación citada.</w:t>
      </w:r>
    </w:p>
    <w:p w:rsidR="00AC56D6" w:rsidRDefault="00AC56D6" w:rsidP="00AC56D6">
      <w:pPr>
        <w:pStyle w:val="TextoNormal"/>
      </w:pPr>
    </w:p>
    <w:p w:rsidR="00AC56D6" w:rsidRDefault="00AC56D6" w:rsidP="00AC56D6">
      <w:pPr>
        <w:pStyle w:val="TextoNormal"/>
      </w:pPr>
      <w:r w:rsidRPr="00AC56D6">
        <w:rPr>
          <w:rStyle w:val="NumeroAFNegritaCaracter"/>
        </w:rPr>
        <w:t>5</w:t>
      </w:r>
      <w:r>
        <w:t>. Mediante diligencia de ordenación con fecha de 10 de septiembre de 2014 la Sala Segunda de este Tribunal acordó tener por personada y parte en nombre y representación de la Excma. Diputación Foral de Guipúzcoa a la Procuradora de los Tribunales doña Rocío Martín Echagüe, así como dar vista de las actuaciones recibidas a las partes personadas y al Ministerio Fiscal, por plazo común de veinte días, para que, conforme determina el art. 52.1 de la Ley Orgánica de este Tribunal, presentasen las alegaciones que a su derecho convinieren.</w:t>
      </w:r>
    </w:p>
    <w:p w:rsidR="00AC56D6" w:rsidRDefault="00AC56D6" w:rsidP="00AC56D6">
      <w:pPr>
        <w:pStyle w:val="TextoNormal"/>
      </w:pPr>
    </w:p>
    <w:p w:rsidR="00AC56D6" w:rsidRDefault="00AC56D6" w:rsidP="00AC56D6">
      <w:pPr>
        <w:pStyle w:val="TextoNormal"/>
      </w:pPr>
      <w:r w:rsidRPr="00AC56D6">
        <w:rPr>
          <w:rStyle w:val="NumeroAFNegritaCaracter"/>
        </w:rPr>
        <w:t>6</w:t>
      </w:r>
      <w:r>
        <w:t>. El día 2 de octubre de 2014 presentó su escrito de alegaciones el Ministerio Fiscal solicitando la estimación del recurso al considerar que se ha lesionado el derecho de la actora tanto a la tutela judicial efectiva sin indefensión (art. 24.1 CE), procediéndose, en orden al restablecimiento de los derechos fundamentales lesionados, a retrotraerse las actuaciones al momento anterior a dictar sentencia, con el fin de que se dicte una resolución fundada en Derecho respecto de la procedencia de plantear al Tribunal Constitucional una cuestión de inconstitucionalidad sobre la Norma Foral 14/1991, reguladora del impuesto sobre el patrimonio en Guipúzcoa.</w:t>
      </w:r>
    </w:p>
    <w:p w:rsidR="00AC56D6" w:rsidRDefault="00AC56D6" w:rsidP="00AC56D6">
      <w:pPr>
        <w:pStyle w:val="TextoNormal"/>
      </w:pPr>
    </w:p>
    <w:p w:rsidR="00AC56D6" w:rsidRDefault="00AC56D6" w:rsidP="00AC56D6">
      <w:pPr>
        <w:pStyle w:val="TextoNormal"/>
      </w:pPr>
      <w:r>
        <w:t>Tras precisar los hechos que han dado lugar a la presente demanda de amparo concreta la Fiscal el núcleo del recurso contencioso-administrativo, que lo constituía la eventual ilegalidad sobrevenida de la Norma Foral 14/1991, reguladora del impuesto sobre el patrimonio en Guipúzcoa, que sustentaba la exacción del impuesto en el ejercicio 2008, como consecuencia de la aprobación de la Ley 4/2008, de 23 de diciembre, cuyo art. 3 suprimía el impuesto sobre el patrimonio, con efectos del 1 de enero de 2008, mediante una bonificación en cuota del 100 por 100. Señala la Fiscal que para la recurrente la Norma Foral no sólo violaba el principio de igualdad en relación con el deber de contribuir (arts. 14 y 31.1 CE), al discriminar en función del territorio de residencia, sino que contradecía la Ley 12/2002, del concierto económico, y la Ley del Parlamento Vasco 3/1989, de armonización, coordinación y colaboración fiscal. Se trataba, pues, de un recurso indirecto contra la Norma Foral 14/1991, como señalaba la propia Diputación Foral de Guipúzcoa en la contestación a la demanda, lo que suponía la falta de competencia de la jurisdicción contencioso-administrativa para conocer de la pretensión deducida [</w:t>
      </w:r>
      <w:r w:rsidRPr="00AC56D6">
        <w:rPr>
          <w:i/>
        </w:rPr>
        <w:t>ex</w:t>
      </w:r>
      <w:r>
        <w:t xml:space="preserve"> art. 3 d) de la Ley reguladora de la jurisdicción contencioso-administrativa: LJCA y disposición adicional quinta LOTC] y la necesidad de plantear una cuestión ante el Tribunal Constitucional.</w:t>
      </w:r>
    </w:p>
    <w:p w:rsidR="00AC56D6" w:rsidRDefault="00AC56D6" w:rsidP="00AC56D6">
      <w:pPr>
        <w:pStyle w:val="TextoNormal"/>
      </w:pPr>
    </w:p>
    <w:p w:rsidR="00AC56D6" w:rsidRDefault="00AC56D6" w:rsidP="00AC56D6">
      <w:pPr>
        <w:pStyle w:val="TextoNormal"/>
      </w:pPr>
      <w:r>
        <w:t xml:space="preserve">Por su parte, la Sala de lo Contencioso-Administrativo del Tribunal Superior de Justicia del País Vasco, en la Sentencia impugnada, reconoce que tanto el art. 3 d) LJCA como la disposición adicional quinta LOTC, han excluido la competencia de la jurisdicción contencioso-administrativa para pronunciarse sobre la validez de la Normas Forales fiscales o para declarar la invalidez de los actos dictados en su aplicación con fundamento en la ilegalidad de las mismas; esos preceptos legales confieren a los Tribunales la facultad de elevar al Tribunal Constitucional una cuestión prejudicial sobre la validez de las Normas Forales, </w:t>
      </w:r>
      <w:r>
        <w:lastRenderedPageBreak/>
        <w:t>cuando de ella dependa el fallo de litigio, pero le impiden inaplicar dichas normas; la eventual nulidad sobrevenida de la Norma Foral 14/1991, por su contradicción con la Ley 12/2002, del concierto económico, está excluida de la jurisdicción contencioso-administrativa y corresponde a la jurisdicción constitucional, al tratarse de una norma que integra el bloque de la constitucionalidad (art. 28 LOTC); no procede plantear una cuestión de inconstitucionalidad al haberse confundido por la parte recurrente el mecanismo de depuración del ordenamiento jurídico de la cuestión de inconstitucionalidad con el de la cuestión de ilegalidad de normas que no tienen rango de ley (arts. 123 a 126 LJCA).</w:t>
      </w:r>
    </w:p>
    <w:p w:rsidR="00AC56D6" w:rsidRDefault="00AC56D6" w:rsidP="00AC56D6">
      <w:pPr>
        <w:pStyle w:val="TextoNormal"/>
      </w:pPr>
    </w:p>
    <w:p w:rsidR="00AC56D6" w:rsidRDefault="00AC56D6" w:rsidP="00AC56D6">
      <w:pPr>
        <w:pStyle w:val="TextoNormal"/>
      </w:pPr>
      <w:r>
        <w:t>Para la Fiscal los anteriores razonamientos del órgano judicial no pueden considerarse como una motivación razonable y suficiente por los siguientes motivos. En primer lugar, porque si bien es cierto que la pretensión esgrimida en el recurso contencioso-administrativo era la de anular los actos administrativos que rechazaron la solicitud de rectificación de la autoliquidación del impuesto sobre el patrimonio, con fundamento en la ilegalidad sobrevenida de la Norma Foral 14/1991, lo que excluía el conocimiento de la eventual inconstitucionalidad de esta Norma por parte de la jurisdicción contencioso-administrativa al corresponder su conocimiento en exclusiva al Tribunal Constitucional, sin embargo, la Sentencia impugnada no hace ningún tipo de valoración o razonamiento que permita conocer por qué no es procedente el planteamiento de la cuestión de inconstitucionalidad, al margen de que la solicitud hecha por la parte pudiera haber sido incorrecta jurídicamente. En segundo lugar, aunque el órgano judicial subraya que el planteamiento de las cuestiones de inconstitucionalidad corresponde en exclusiva a los órganos jurisdiccionales y no a las partes, resulta incoherente luego cuando se limita a rechazar el planteamiento sin pronunciamiento alguno sobre la necesidad para resolver la cuestión ante él planteada, sin incorporar ningún razonamiento sobre la validez de la Norma Foral, que el órgano judicial termina aplicándola implícitamente al resolver desestimando el recurso.</w:t>
      </w:r>
    </w:p>
    <w:p w:rsidR="00AC56D6" w:rsidRDefault="00AC56D6" w:rsidP="00AC56D6">
      <w:pPr>
        <w:pStyle w:val="TextoNormal"/>
      </w:pPr>
    </w:p>
    <w:p w:rsidR="00AC56D6" w:rsidRDefault="00AC56D6" w:rsidP="00AC56D6">
      <w:pPr>
        <w:pStyle w:val="TextoNormal"/>
      </w:pPr>
      <w:r>
        <w:t>En suma, para la Fiscal, la falta de planteamiento de la cuestión de inconstitucionalidad de manera incoherente y arbitraria supone una lesión del derecho a la tutela judicial efectiva sin indefensión del art. 24.1 CE (SSTC 182/2012 y 177/2013). El órgano judicial, pese a tener obligación de plantear una cuestión de inconstitucionalidad por depender de la validez de la Norma Foral 14/1991, impugnada indirectamente y aplicable al caso, el fallo a adoptar, sin embargo, elude pronunciarse, no constituyendo una motivación suficiente el incorrecto planteamiento efectuado por la parte recurrente en su demanda, pues, como bien dice el órgano judicial, si la decisión del planteamiento no depende de la voluntad de la parte, al ser una decisión exclusiva de éste, debe realizar su propia valoración de la norma aplicable para resolver la cuestión planteada. Así las cosas, al desestimar el órgano judicial el recurso contencioso-administrativo con confirmación de los actos administrativos impugnados, ha incurrido en un exceso de jurisdicción, pues ha resuelto de manera implícita el recurso indirecto contra la Norma Foral 14/1991, sin plantear una cuestión de inconstitucionalidad ante el Tribunal Constitucional.</w:t>
      </w:r>
    </w:p>
    <w:p w:rsidR="00AC56D6" w:rsidRDefault="00AC56D6" w:rsidP="00AC56D6">
      <w:pPr>
        <w:pStyle w:val="TextoNormal"/>
      </w:pPr>
    </w:p>
    <w:p w:rsidR="00AC56D6" w:rsidRDefault="00AC56D6" w:rsidP="00AC56D6">
      <w:pPr>
        <w:pStyle w:val="TextoNormal"/>
      </w:pPr>
      <w:r>
        <w:t xml:space="preserve">Por otra parte, considera la Fiscal que el Auto de 23 de enero de 2013 que desestimó el incidente de nulidad de actuaciones, con fundamento en que el planteamiento de las cuestiones de inconstitucionalidad son una facultad exclusiva de los Tribunales, no da una respuesta suficiente y coherente con las alegaciones formuladas en el incidente, pues reitera lo </w:t>
      </w:r>
      <w:r>
        <w:lastRenderedPageBreak/>
        <w:t>que mantuvo en la Sentencia, careciendo de una verdadera motivación y, por tanto, es igualmente lesivo del derecho a la tutela judicial efectiva por motivación incoherente y deficiente.</w:t>
      </w:r>
    </w:p>
    <w:p w:rsidR="00AC56D6" w:rsidRDefault="00AC56D6" w:rsidP="00AC56D6">
      <w:pPr>
        <w:pStyle w:val="TextoNormal"/>
      </w:pPr>
    </w:p>
    <w:p w:rsidR="00AC56D6" w:rsidRDefault="00AC56D6" w:rsidP="00AC56D6">
      <w:pPr>
        <w:pStyle w:val="TextoNormal"/>
      </w:pPr>
      <w:r w:rsidRPr="00AC56D6">
        <w:rPr>
          <w:rStyle w:val="NumeroAFNegritaCaracter"/>
        </w:rPr>
        <w:t>7</w:t>
      </w:r>
      <w:r>
        <w:t>. Mediante escrito registrado en este Tribunal el día 13 de octubre de 2014, doña María Teresa Kutz Bandrés, representada por el Procurador don Ramiro Reynolds Martínez y defendida por la Letrada doña Trinidad Primo Varona, evacuó el trámite de alegaciones conferido suplicando se dictase sentencia estimatoria del amparo pretendido, insistiendo para ello en los mismos argumentos que es su escrito de demanda.</w:t>
      </w:r>
    </w:p>
    <w:p w:rsidR="00AC56D6" w:rsidRDefault="00AC56D6" w:rsidP="00AC56D6">
      <w:pPr>
        <w:pStyle w:val="TextoNormal"/>
      </w:pPr>
    </w:p>
    <w:p w:rsidR="00AC56D6" w:rsidRDefault="00AC56D6" w:rsidP="00AC56D6">
      <w:pPr>
        <w:pStyle w:val="TextoNormal"/>
      </w:pPr>
      <w:r>
        <w:t>Además, la parte actora fundamenta la nulidad e inconstitucionalidad de la Norma Foral de Guipúzcoa 14/1991, de 27 de diciembre, reguladora del impuesto sobre el patrimonio, por falta de potestad del territorio histórico de Guipúzcoa para mantener la vigencia del impuesto sobre el patrimonio que había sido suprimido por parte del Estado (por la Ley 4/2008, de 23 de diciembre), contradiciendo así lo previsto en el art. 41.2 c) de la Ley Orgánica 3/1979, del Estatuto de Autonomía, y en los arts. 1 a 3 de la Ley 12/2012, del concierto con el País Vasco, que obliga a los territorios históricos a mantener, dentro de su territorio, un régimen de tributos concertados, siguiendo la estructura general impositiva del Estado y adoptando las medidas normativas necesarias para aplicar las medidas fiscales de carácter excepcional y coyuntural que el Estado decida. Sin embargo, Guipúzcoa ha mantenido en su territorio un impuesto, el del patrimonio, que había sido suprimido en el ordenamiento nacional, cuando lo que debía haber hecho era haber procedido también a su eliminación coetánea como así hicieron los territorios de Álava (Norma Foral 22/2008, de 22 de diciembre) y Vizcaya (Norma Foral 7/2007, de 20 de diciembre).</w:t>
      </w:r>
    </w:p>
    <w:p w:rsidR="00AC56D6" w:rsidRDefault="00AC56D6" w:rsidP="00AC56D6">
      <w:pPr>
        <w:pStyle w:val="TextoNormal"/>
      </w:pPr>
    </w:p>
    <w:p w:rsidR="00AC56D6" w:rsidRDefault="00AC56D6" w:rsidP="00AC56D6">
      <w:pPr>
        <w:pStyle w:val="TextoNormal"/>
      </w:pPr>
      <w:r w:rsidRPr="00AC56D6">
        <w:rPr>
          <w:rStyle w:val="NumeroAFNegritaCaracter"/>
        </w:rPr>
        <w:t>8</w:t>
      </w:r>
      <w:r>
        <w:t>. La Procuradora de los Tribunales, doña Rocío Martín Echagüe, en nombre y representación de la Excma. Diputación Foral de Guipúzcoa, presentó su escrito de alegaciones el día 3 de octubre de 2014 suplicando se dictase sentencia por la que se declarase no haber lugar al amparo solicitado. A su juicio, las partes en un proceso judicial no tienen derecho a plantear cuestiones de inconstitucionalidad al ser una potestad exclusiva de los órganos judiciales en aquellos casos en los que puedan albergar una duda sobre la constitucionalidad de la norma aplicable al caso y de cuya validez dependa el fallo (SSTC 148/1986, 23/1988 y 159/1997). Por esta razón, la decisión de un órgano judicial de no elevar al Tribunal Constitucional una cuestión de inconstitucionalidad no viola el derecho a la tutela judicial efectiva (STC 159/1997, FJ 5).</w:t>
      </w:r>
    </w:p>
    <w:p w:rsidR="00AC56D6" w:rsidRDefault="00AC56D6" w:rsidP="00AC56D6">
      <w:pPr>
        <w:pStyle w:val="TextoNormal"/>
      </w:pPr>
    </w:p>
    <w:p w:rsidR="00AC56D6" w:rsidRDefault="00AC56D6" w:rsidP="00AC56D6">
      <w:pPr>
        <w:pStyle w:val="TextoNormal"/>
      </w:pPr>
      <w:r>
        <w:t xml:space="preserve">Para la Diputación Foral de Guipúzcoa no puede apreciarse la lesión denunciada pues la Sentencia impugnada está suficientemente motivada, en la medida que la Sala sentenciadora se reconoce competente para conocer y resolver acerca del acto impugnado (denegación de la solicitud de rectificación de la autoliquidación del impuesto sobre el patrimonio correspondiente al ejercicio 2008), pero no puede declarar la invalidez de la liquidación con base en la inconstitucionalidad de la Norma Foral 14/1991. A su juicio, el órgano judicial está cumpliendo con los dos requisitos que exige la doctrina del Tribunal Constitucional para motivar la no elevación de una cuestión de inconstitucionalidad (ATC 129/2014): que la resolución esté suficientemente motivada en el sentido de contener los elementos y razones de juicio que permiten conocer cuáles han sido los criterios jurídicos que han fundamentado la decisión, y que la motivación contenga una fundamentación en Derecho, lo que conlleva </w:t>
      </w:r>
      <w:r>
        <w:lastRenderedPageBreak/>
        <w:t>la garantía de que la decisión no sea consecuencia de una aplicación arbitraria de la legalidad.</w:t>
      </w:r>
    </w:p>
    <w:p w:rsidR="00AC56D6" w:rsidRDefault="00AC56D6" w:rsidP="00AC56D6">
      <w:pPr>
        <w:pStyle w:val="TextoNormal"/>
      </w:pPr>
    </w:p>
    <w:p w:rsidR="00AC56D6" w:rsidRDefault="00AC56D6" w:rsidP="00AC56D6">
      <w:pPr>
        <w:pStyle w:val="TextoNormal"/>
      </w:pPr>
      <w:r w:rsidRPr="00AC56D6">
        <w:rPr>
          <w:rStyle w:val="NumeroAFNegritaCaracter"/>
        </w:rPr>
        <w:t>9</w:t>
      </w:r>
      <w:r>
        <w:t>. Por providencia de 26 noviembre de 2015 se señaló para deliberación y votación de la presente Sentencia el día 30 del mismo mes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presente recurso de amparo se dirige contra la Sentencia núm. 856/2012 de la Sección Primera de la Sala de lo Contencioso-Administrativo del Tribunal Superior de Justicia del País Vasco de fecha 16 de noviembre de 2012, por la que se desestima el recurso contencioso-administrativo núm. 679-2011 interpuesto contra el acuerdo del Tribunal Económico-Administrativo Foral de Guipúzcoa de fecha 27 de enero de 2011, desestimatorio, a su vez, de la reclamación económico-administrativa núm. 241-2010 promovida contra el acuerdo del Servicio de gestión de impuestos directos de fecha 10 de febrero de 2010, que rechazaba la solicitud de rectificación de la autoliquidación formulada por el impuesto sobre el patrimonio correspondiente al ejercicio 2008.</w:t>
      </w:r>
    </w:p>
    <w:p w:rsidR="00AC56D6" w:rsidRDefault="00AC56D6" w:rsidP="00AC56D6">
      <w:pPr>
        <w:pStyle w:val="TextoNormal"/>
      </w:pPr>
    </w:p>
    <w:p w:rsidR="00AC56D6" w:rsidRDefault="00AC56D6" w:rsidP="00AC56D6">
      <w:pPr>
        <w:pStyle w:val="TextoNormal"/>
      </w:pPr>
      <w:r>
        <w:t>Como ha quedado expuesto con mayor detalle en los antecedentes, la recurrente en amparo solicitaba la rectificación de su autoliquidación del impuesto sobre el patrimonio correspondiente al ejercicio 2008 por considerar que la Norma Foral 14/1991, de 27 de diciembre, del impuesto sobre el patrimonio, que le daba cobertura, era inconstitucional, no sólo por establecer una discriminación por razón de la residencia contraria a los arts. 14 y 31.1, ambos de la Constitución (en adelante, CE), sino por contradecir tanto el art. 2 de la Ley 12/2002, de 23 de mayo, por la que se aprueba el concierto económico con la Comunidad Autónoma del País Vasco, como el art. 41.2 c) de la Ley Orgánica 3/1979, de 18 de diciembre, de Estatuto de Autonomía del País Vasco. Rechazada dicha solicitud en vía administrativa, en el recurso contencioso-administrativo articulado ante la Sala de lo Contencioso-Administrativo del Tribunal Superior de Justicia del País Vasco, se cuestionaba nuevamente la constitucionalidad de la citada Norma Foral 14/1991 que daba cobertura a la autoliquidación presentada. Sin embargo, la Sala desestimó el recurso al considerar que, puesto que el conocimiento de la constitucionalidad de las normas forales fiscales le corresponde en exclusiva al Tribunal Constitucional tras la reforma operada por la Ley Orgánica 1/2010, de 19 de febrero, de modificación de las leyes orgánicas del Tribunal Constitucional y del Poder Judicial, carecía de competencia tanto para enjuiciar la validez de las normas forales fiscales como para adoptar pronunciamientos anulatorios de los actos de aplicación con fundamento en la invalidez de tales normas, razón por la cual, rechazó el planteamiento de una cuestión de inconstitucionalidad sobre su validez.</w:t>
      </w:r>
    </w:p>
    <w:p w:rsidR="00AC56D6" w:rsidRDefault="00AC56D6" w:rsidP="00AC56D6">
      <w:pPr>
        <w:pStyle w:val="TextoNormal"/>
      </w:pPr>
    </w:p>
    <w:p w:rsidR="00AC56D6" w:rsidRDefault="00AC56D6" w:rsidP="00AC56D6">
      <w:pPr>
        <w:pStyle w:val="TextoNormal"/>
      </w:pPr>
      <w:r>
        <w:t>Intentado sin éxito un incidente de nulidad de actuaciones contra esta Sentencia, la actora interpone entonces recurso de amparo en el que alega la lesión del derecho a la tutela judicial efectiva (art. 24.1 CE) en su vertiente de acceso a la jurisdicción, afirmando que la Sala incurrió en arbitrariedad al no resolver el fondo de su pretensión, so pretexto de no tener competencia para plantear cuestión de validez sobre dicha Norma Foral ante este Tribunal Constitucional, actuando así en contra de lo prevenido por el ordenamiento.</w:t>
      </w:r>
    </w:p>
    <w:p w:rsidR="00AC56D6" w:rsidRDefault="00AC56D6" w:rsidP="00AC56D6">
      <w:pPr>
        <w:pStyle w:val="TextoNormal"/>
      </w:pPr>
    </w:p>
    <w:p w:rsidR="00AC56D6" w:rsidRDefault="00AC56D6" w:rsidP="00AC56D6">
      <w:pPr>
        <w:pStyle w:val="TextoNormal"/>
      </w:pPr>
      <w:r>
        <w:lastRenderedPageBreak/>
        <w:t>El Ministerio Fiscal ha solicitado el otorgamiento del amparo por entender producida la lesión del derecho a la tutela judicial efectiva sin indefensión (art. 24.1 CE), al haberse rechazado de forma incoherente y arbitraria el planteamiento de una cuestión de inconstitucionalidad sobre la validez de la Norma Foral 14/1991. En cambio, la Excma. Diputación Foral de Guipúzcoa considera que no puede apreciarse la lesión denunciada al no existir un derecho de las partes de un proceso judicial al planteamiento de cuestiones de inconstitucionalidad, siendo esta una potestad exclusiva de los órganos judiciales en aquellos casos en los que puedan albergar una duda sobre la constitucionalidad de la norma aplicable al caso y de cuya validez dependa el fallo.</w:t>
      </w:r>
    </w:p>
    <w:p w:rsidR="00AC56D6" w:rsidRDefault="00AC56D6" w:rsidP="00AC56D6">
      <w:pPr>
        <w:pStyle w:val="TextoNormal"/>
      </w:pPr>
    </w:p>
    <w:p w:rsidR="00AC56D6" w:rsidRDefault="00AC56D6" w:rsidP="00AC56D6">
      <w:pPr>
        <w:pStyle w:val="TextoNormal"/>
      </w:pPr>
      <w:r w:rsidRPr="00AC56D6">
        <w:rPr>
          <w:rStyle w:val="NumeroAFNegritaCaracter"/>
        </w:rPr>
        <w:t>2</w:t>
      </w:r>
      <w:r>
        <w:t xml:space="preserve">. La Sentencia de la Sección Tercera del Tribunal Europeo de Derechos Humanos de 20 de enero de 2015 (caso </w:t>
      </w:r>
      <w:r w:rsidRPr="00AC56D6">
        <w:rPr>
          <w:i/>
        </w:rPr>
        <w:t>Arribas Antón contra España</w:t>
      </w:r>
      <w:r>
        <w:t>) exige que en los asuntos admitidos a trámite por este Tribunal Constitucional se explicite la razón de su especial trascendencia constitucional. Pues bien, de conformidad con lo previsto en el art. 50.1 b) de la Ley Orgánica 2/1979, de 3 de octubre, del Tribunal Constitucional, y de acuerdo con los criterios explicitados en la STC 155/2009, de 25 de junio, FJ 2, debe señalarse que la cuestión planteada en el presente proceso de amparo permite precisar a este Tribunal, tras el cambio normativo producido con la aprobación de la Ley Orgánica 1/2010, de 19 de febrero, de modificación de las leyes orgánicas del Tribunal Constitucional y del Poder Judicial, su doctrina sobre el derecho a la tutela judicial efectiva (art. 24.1 CE) en relación con la facultad de los órganos judiciales de controlar la validez constitucional de las Normas Forales fiscales en orden a su eventual inaplicación previo planteamiento de una cuestión prejudicial de validez ante este Tribunal Constitucional.</w:t>
      </w:r>
    </w:p>
    <w:p w:rsidR="00AC56D6" w:rsidRDefault="00AC56D6" w:rsidP="00AC56D6">
      <w:pPr>
        <w:pStyle w:val="TextoNormal"/>
      </w:pPr>
    </w:p>
    <w:p w:rsidR="00AC56D6" w:rsidRDefault="00AC56D6" w:rsidP="00AC56D6">
      <w:pPr>
        <w:pStyle w:val="TextoNormal"/>
      </w:pPr>
      <w:r>
        <w:t>Una vez hecha la precisión que antecede es importante señalar que la única cuestión que se somete a nuestra consideración, desde la óptica del derecho a la tutela judicial efectiva del art. 24.1 CE es, si la negativa del órgano judicial a controlar la constitucionalidad de la Norma Foral 14/1991 resulta o no lesiva del citado derecho fundamental. Eso sí, debe precisarse, antes que nada, que en el presente proceso constitucional no se ventila la eventual constitucionalidad de la Norma Foral 14/1991 sino, única y exclusivamente, si la negativa del órgano judicial a plantear una cuestión prejudicial ante este Tribunal Constitucional sobre la misma es contraria a aquel derecho fundamental, pues “el recurso de amparo no es un cauce idóneo para efectuar juicios abstractos de constitucionalidad de la Ley, sino un medio reparador de lesiones concretas y efectivas de derechos fundamentales (SSTC 206/1990, de 17 de diciembre, FJ 5; 119/1991, de 3 de junio, FJ 4; 31/1994, de 31 de enero, FJ 4; 120/1998, de 15 de junio, FJ 1), salvo cuando ello resulte imprescindible para corregir la lesión del derecho fundamental que sea achacable directamente a la aplicación del precepto legal que se reputa contrario a la Constitución (entre otras, SSTC 223/2001, de 5 de noviembre, FJ 7; 222/2004, de 29 de noviembre, FJ 3)” (STC 47/2007, de 12 de marzo, FJ 4). Y puesto que el objeto del presente proceso constitucional consiste en determinar, como se ha dicho, si la negativa de la Sala juzgadora a aplicar la norma o a no plantear una cuestión prejudicial ante este Tribunal Constitucional es o no lesiva del art. 24.1 CE, hay que excluir ya en este momento el análisis de la eventual contradicción entre la norma foral fiscal que da cobertura a los actos administrativos impugnados y la Constitución, el Estatuto de Autonomía del País Vasco o la Ley del concierto, estas dos últimas normas, en cuanto forman parte del bloque de constitucionalidad.</w:t>
      </w:r>
    </w:p>
    <w:p w:rsidR="00AC56D6" w:rsidRDefault="00AC56D6" w:rsidP="00AC56D6">
      <w:pPr>
        <w:pStyle w:val="TextoNormal"/>
      </w:pPr>
    </w:p>
    <w:p w:rsidR="00AC56D6" w:rsidRDefault="00AC56D6" w:rsidP="00AC56D6">
      <w:pPr>
        <w:pStyle w:val="TextoNormal"/>
      </w:pPr>
      <w:r>
        <w:lastRenderedPageBreak/>
        <w:t>A este respecto debe señalarse que, aun cuando las normas forales fiscales son disposiciones normativas que carecen de rango de ley, desde la reforma operada por la Ley Orgánica 1/2010, de 19 de febrero, de modificación de las leyes orgánicas del Tribunal Constitucional y del Poder Judicial, su eventual declaración de inconstitucionalidad le corresponde en exclusiva al Tribunal Constitucional. En efecto, quedan excluidos del conocimiento de los Tribunales del orden contencioso-administrativo “los recursos directos o indirectos que se interpongan contra las Normas Forales fiscales de las Juntas Generales de los Territorios Históricos de Álava, Guipúzcoa y Vizcaya, que corresponderán, en exclusiva, al Tribunal Constitucional” [arts. 9.4 de la Ley Orgánica 6/1985, de 1 de julio, del Poder Judicial, y 3 d) de la Ley 29/1998, de 13 de julio, reguladora de la jurisdicción contencioso-administrativa (en lo sucesivo, LJCA)]. Y ello porque, desde la entrada en vigor de esa Ley Orgánica 1/2010, corresponde al Tribunal Constitucional no sólo “el conocimiento de los recursos interpuestos contra las Normas Forales fiscales de los Territorios de Álava, Guipúzcoa y Vizcaya”, sino también resolver “las cuestiones que se susciten con carácter prejudicial por los órganos jurisdiccionales sobre la validez de las referidas disposiciones, cuando de ella dependa el fallo del litigio principal” [apartado 1 de la disposición adicional quinta de la Ley Orgánica 2/1979, de 3 de octubre, del Tribunal Constitucional (en adelante, LOTC)].</w:t>
      </w:r>
    </w:p>
    <w:p w:rsidR="00AC56D6" w:rsidRDefault="00AC56D6" w:rsidP="00AC56D6">
      <w:pPr>
        <w:pStyle w:val="TextoNormal"/>
      </w:pPr>
    </w:p>
    <w:p w:rsidR="00AC56D6" w:rsidRDefault="00AC56D6" w:rsidP="00AC56D6">
      <w:pPr>
        <w:pStyle w:val="TextoNormal"/>
      </w:pPr>
      <w:r>
        <w:t xml:space="preserve">Según lo que antecede, desde la entrada en vigor de la Ley Orgánica 1/2010, de 19 de febrero, aunque los órganos jurisdiccionales pueden fiscalizar la validez de las normas forales fiscales, no les es dado, caso de considerarlas contrarias a las normas que integran el bloque de la constitucionalidad, expulsarlas del ordenamiento jurídico, al haber querido sustraer el legislador orgánico al juez ordinario la posibilidad de no aplicar una norma foral fiscal ante un eventual juicio de incompatibilidad con aquel bloque. La depuración de este tipo de normas corresponde de forma exclusiva, a partir de aquella disposición orgánica, al Tribunal Constitucional, que tiene la jurisdicción para declarar, con eficacia </w:t>
      </w:r>
      <w:r w:rsidRPr="00AC56D6">
        <w:rPr>
          <w:i/>
        </w:rPr>
        <w:t>erga omnes</w:t>
      </w:r>
      <w:r>
        <w:t>, su eventual inconstitucionalidad. De esta manera, forma parte de las garantías consustanciales a todo proceso judicial en nuestro Ordenamiento, entonces, el que la norma foral fiscal que, según el juzgador, resulta aplicable en aquel proceso no pueda dejar de serlo, por causa de su posible invalidez, sino a través de la promoción de la cuestión prejudicial de validez prevista en la disposición adicional quinta LOTC.</w:t>
      </w:r>
    </w:p>
    <w:p w:rsidR="00AC56D6" w:rsidRDefault="00AC56D6" w:rsidP="00AC56D6">
      <w:pPr>
        <w:pStyle w:val="TextoNormal"/>
      </w:pPr>
    </w:p>
    <w:p w:rsidR="00AC56D6" w:rsidRDefault="00AC56D6" w:rsidP="00AC56D6">
      <w:pPr>
        <w:pStyle w:val="TextoNormal"/>
      </w:pPr>
      <w:r>
        <w:t xml:space="preserve">No obstante lo anterior, es indudable que forma parte del conjunto de las facultades inherentes a la potestad de juzgar, privativa de los Jueces y Tribunales del Poder Judicial por mandato de la propia Constitución (art. 117.3), la de seleccionar la norma jurídica aplicable al caso concreto, su interpretación y la subsunción en ella de los hechos (SSTC 76/1995, de 22 de mayo, FJ 5, y 173/2002, de 9 de octubre, FJ 10). Eso sí, una vez seleccionada la norma aplicable al caso concreto, si existiesen dudas sobre su eventual contradicción con las normas que integran el bloque de la constitucionalidad definido en el art. 28 LOTC, al Juez le asisten dos opciones: bien despejar esas dudas mediante la realización, de forma fundada, de un juicio de validez de la norma aplicable; bien, en caso contrario, plantear una cuestión prejudicial sobre su eventual invalidez al Tribunal Constitucional. De este modo, si un órgano judicial estima que una norma foral fiscal adolece de posibles vicios de inconstitucionalidad, viene obligado a suscitar la correspondiente cuestión prejudicial ante el Tribunal Constitucional, y, si no lo estima así, supuesto en el que obviamente no está compelido a plantear la cuestión, debe limitarse a aplicarla, eso sí, razonando los motivos por los cuales considera, en contra de la opinión del recurrente, que la disposición cuestionada no adolece </w:t>
      </w:r>
      <w:r>
        <w:lastRenderedPageBreak/>
        <w:t>de los vicios que se le imputan, resultando plenamente conforme con el ordenamiento constitucional.</w:t>
      </w:r>
    </w:p>
    <w:p w:rsidR="00AC56D6" w:rsidRDefault="00AC56D6" w:rsidP="00AC56D6">
      <w:pPr>
        <w:pStyle w:val="TextoNormal"/>
      </w:pPr>
    </w:p>
    <w:p w:rsidR="00AC56D6" w:rsidRDefault="00AC56D6" w:rsidP="00AC56D6">
      <w:pPr>
        <w:pStyle w:val="TextoNormal"/>
      </w:pPr>
      <w:r>
        <w:t>A semejanza de lo que acontece en las cuestiones de inconstitucionalidad, la decisión sobre el planteamiento de una cuestión prejudicial sobre normas forales fiscales prevista en la disposición adicional quinta LOTC corresponde, de forma exclusiva e irrevisable, al órgano judicial que resuelve el litigio, por lo que ninguna vulneración existe de los derechos garantizados por el art. 24.1 CE cuando el Juez o Tribunal no alberga dudas sobre la constitucionalidad de la Norma Foral fiscal aplicable al caso concreto y decide por ello, en contra de la opinión del justiciable, no plantear la cuestión al Tribunal Constitucional que se le solicita (SSTC 58/2004, de 19 de abril, FJ 10; 84/2008, de 21 de julio, FJ 5; 26/2009, de 26 de enero, FJ 2, y 212/2014, de 18 de diciembre, FJ 3). Ahora bien, “el que esta potestad de los Jueces y Tribunales esté configurada de manera exclusiva no significa, en modo alguno, que no deba ser exteriorizado, de manera suficiente y adecuada, el razonamiento que, desde la perspectiva tanto fáctica como jurídica, ha llevado al órgano judicial a la decisión de plantear o no dicha cuestión de inconstitucionalidad, pues no cabe olvidar que la exigencia de motivación de las Sentencias tiene rango constitucional (art. 120 CE)” (STC 35/2002, de 11 de febrero, FJ 3).</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La Sentencia núm. 856/2012 de la Sección Primera de la Sala de lo Contencioso-Administrativo del Tribunal Superior de Justicia del País Vasco de fecha 16 de noviembre de 2012, objeto del presente proceso constitucional, rechaza tanto entrar a conocer los vicios de inconstitucionalidad que la parte recurrente imputaba a la Norma Foral 14/1991, de 27 de diciembre, del impuesto sobre el patrimonio, como plantear una cuestión prejudicial de validez ante el Tribunal Constitucional respecto de la misma, con fundamento en su falta de competencia para conocer sobre la validez de las normas forales fiscales </w:t>
      </w:r>
      <w:r w:rsidRPr="00AC56D6">
        <w:rPr>
          <w:i/>
        </w:rPr>
        <w:t>ex</w:t>
      </w:r>
      <w:r>
        <w:t xml:space="preserve"> art. 3 d) LJCA (tras la redacción dada por la Ley Orgánica 1/2010).</w:t>
      </w:r>
    </w:p>
    <w:p w:rsidR="00AC56D6" w:rsidRDefault="00AC56D6" w:rsidP="00AC56D6">
      <w:pPr>
        <w:pStyle w:val="TextoNormal"/>
      </w:pPr>
    </w:p>
    <w:p w:rsidR="00AC56D6" w:rsidRDefault="00AC56D6" w:rsidP="00AC56D6">
      <w:pPr>
        <w:pStyle w:val="TextoNormal"/>
      </w:pPr>
      <w:r>
        <w:t>A la vista de lo expuesto es claro que el órgano judicial, debió entrar a controlar la validez constitucional de la Norma Foral 14/1991, indirectamente impugnada, para concluir, bien su validez y, con fundamento, en la misma, considerar innecesario el planteamiento de una cuestión prejudicial ante este Tribunal Constitucional, bien su eventual invalidez y, en consecuencia, para poder no aplicarla, suscitar la correspondiente cuestión de validez. Sin embargo, el órgano judicial soslaya cualquier pronunciamiento sobre la validez de la Norma Foral 14/1991 y, sin más fundamento, inadmite (aunque formalmente desestima) el recurso articulado por la parte actora, dejando así su pretensión sin juzgar.</w:t>
      </w:r>
    </w:p>
    <w:p w:rsidR="00AC56D6" w:rsidRDefault="00AC56D6" w:rsidP="00AC56D6">
      <w:pPr>
        <w:pStyle w:val="TextoNormal"/>
      </w:pPr>
    </w:p>
    <w:p w:rsidR="00AC56D6" w:rsidRDefault="00AC56D6" w:rsidP="00AC56D6">
      <w:pPr>
        <w:pStyle w:val="TextoNormal"/>
      </w:pPr>
      <w:r>
        <w:t xml:space="preserve">Es obligado recordar que aun cuando los derechos y garantías previstos en el art. 24 CE ni garantizan la justicia de la decisión o la corrección jurídica de la actuación o interpretación llevada a cabo por los órganos judiciales comunes, pues no existe un derecho al acierto, ni tampoco aseguran la satisfacción de la pretensión de ninguna de las partes del proceso, lo que en todo caso sí aseguran es el derecho a que las pretensiones se desenvuelvan y conozcan en el proceso establecido al efecto, con observancia de las garantías constitucionales que permitan el derecho de defensa, y a que finalice con una resolución fundada en Derecho, la cual podrá ser favorable o adversa a las pretensiones ejercitadas (STC 173/2002, de 9 de octubre, FJ 8). El art. 24 de la Constitución impone a los órganos judiciales la obligación de dictar resoluciones fundadas en Derecho, no pudiendo considerarse cumplida esta exigencia con la mera emisión de una declaración de voluntad en un sentido u otro, sino que </w:t>
      </w:r>
      <w:r>
        <w:lastRenderedPageBreak/>
        <w:t>debe ser consecuencia de una exégesis racional del ordenamiento y no fruto de la arbitrariedad. No basta, pues, con obtener una respuesta motivada, sino que, además, ésta ha tener contenido jurídico y no resultar arbitraria. Y una resolución judicial puede tacharse de arbitraria cuando, aun constatada la existencia formal de una argumentación, la misma no es expresión de la administración de justicia sino simple apariencia de la misma por ser fruto de un mero voluntarismo judicial o expresar un proceso deductivo irracional o absurdo (SSTC 148/1994, de 12 de mayo, FJ 4; 244/1994, de 15 de septiembre, FJ 2; 54/1997, de 17 de marzo, FJ 3; 160/1997, de 2 de octubre, FJ 7, y 173/2002, de 9 de octubre, FJ 6).</w:t>
      </w:r>
    </w:p>
    <w:p w:rsidR="00AC56D6" w:rsidRDefault="00AC56D6" w:rsidP="00AC56D6">
      <w:pPr>
        <w:pStyle w:val="TextoNormal"/>
      </w:pPr>
    </w:p>
    <w:p w:rsidR="00AC56D6" w:rsidRDefault="00AC56D6" w:rsidP="00AC56D6">
      <w:pPr>
        <w:pStyle w:val="TextoNormal"/>
      </w:pPr>
      <w:r>
        <w:t xml:space="preserve">Pues bien, no cabe duda, como denuncia la parte demandante y aprecia el Ministerio Fiscal, de que la resolución judicial impugnada, aunque cuenta formalmente con una motivación, carece de contenido jurídico al expresar un proceso deductivo irracional. Y no sana esta falta de motivación el posterior Auto del órgano judicial de fecha 23 de enero de 2013, dictado en el incidente de nulidad de actuaciones promovido por la parte actora, en la medida que incorpora una motivación que difícilmente puede calificarse de coherente y fundada en Derecho: “no es que la Sala no haya tenido en cuenta el planteamiento de la cuestión litigiosa en términos que atañen a la constitucionalidad de la Norma Foral 14/1991 de Gipuzkoa del Impuesto sobre el Patrimonio sino que ha entendido que los motivos y pretensiones del recurrente no abocaban a suscitar tal cuestión, sino a la inaplicación directa de aquella norma, razón por la cual no estimamos necesario plantearnos el recurso </w:t>
      </w:r>
      <w:r w:rsidRPr="00AC56D6">
        <w:rPr>
          <w:i/>
        </w:rPr>
        <w:t>ad casum</w:t>
      </w:r>
      <w:r>
        <w:t xml:space="preserve"> al citado mecanismo de control indirecto de la validez de las normas legales lo que, además, presuponía negativamente que no había ninguna razón o motivo para dudar de la conformidad de precitada norma fiscal con el llamado bloque de constitucionalidad”.</w:t>
      </w:r>
    </w:p>
    <w:p w:rsidR="00AC56D6" w:rsidRDefault="00AC56D6" w:rsidP="00AC56D6">
      <w:pPr>
        <w:pStyle w:val="TextoNormal"/>
      </w:pPr>
    </w:p>
    <w:p w:rsidR="00AC56D6" w:rsidRDefault="00AC56D6" w:rsidP="00AC56D6">
      <w:pPr>
        <w:pStyle w:val="TextoNormal"/>
      </w:pPr>
      <w:r>
        <w:t>Conforme a lo que se cita, si lo que pretendía el órgano judicial era rechazar los vicios de inconstitucionalidad que la parte actora imputaba a la Norma Foral reguladora del impuesto sobre el patrimonio en Guipúzcoa, es evidente que ello no podía hacerlo sin dar respuesta a los concretos motivos de inconstitucionalidad que habían sido invocados. No es posible, desde el punto de vista de la motivación de las resoluciones judiciales (art. 120.3 CE), que la parte recurrente se vea en la necesidad de “presumir” las razones por las que el órgano judicial no ha apreciado duda alguna de la conformidad de la norma foral controvertida con el llamado bloque de la constitucionalidad. Hay que insistir una vez más en que la motivación de las resoluciones judiciales, que debe contener una fundamentación en Derecho, aparte de venir impuesta en el art. 120.3 CE, es una exigencia derivada del art. 24.1 CE que permite conocer las razones de la decisión que aquéllas contienen y que posibilita su control mediante el sistema de los recursos (entre muchas, STC 56/2013, de 11 de marzo, FJ 2). Todo ello, con independencia de la parquedad o concentración del razonamiento empleado, siempre que éste permita conocer la argumentación que lleva a la decisión judicial, descartándose así el mero voluntarismo selectivo o la pura arbitrariedad (por todas, STC 105/2012, de 11 de mayo, FJ 5), circunstancia esta última que se ha producido en el presente caso en el que no sólo no hay razones fundadas en Derecho para resolver la cuestión que le fue planteada, en sentido favorable o adverso a la constitucionalidad de la norma foral controvertida, sino que las que se pretende que aparezcan como tales son difíciles de comprender.</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Habiendo evitado el órgano judicial pronunciarse sobre el fondo del asunto sometido a su consideración, so pretexto de su propia incompetencia, con fundamento en una motivación irrazonable, es obligado concluir que la decisión judicial cuestionada, como señala </w:t>
      </w:r>
      <w:r>
        <w:lastRenderedPageBreak/>
        <w:t>el Ministerio Fiscal, ha vulnerado el derecho de la parte demandante de amparo a la tutela judicial efectiva sin indefensión (art. 24.1 CE) y, por tanto, ello ha de conducir a la estimación del presente recurso de amparo.</w:t>
      </w:r>
    </w:p>
    <w:p w:rsidR="00AC56D6" w:rsidRDefault="00AC56D6" w:rsidP="00AC56D6">
      <w:pPr>
        <w:pStyle w:val="TextoNormal"/>
      </w:pPr>
    </w:p>
    <w:p w:rsidR="00AC56D6" w:rsidRDefault="00AC56D6" w:rsidP="00AC56D6">
      <w:pPr>
        <w:pStyle w:val="TextoNormal"/>
      </w:pPr>
      <w:r>
        <w:t>La parte actora ha impugnado en el presente proceso constitucional exclusivamente la Sentencia de la Sección Primera de la Sala de la Sala de lo Contencioso-Administrativo del Tribunal Superior de Justicia del País Vasco de fecha 16 de noviembre de 2012, que es a la que le imputa la lesión de su derecho a la tutela judicial efectiva sin indefensión. No obstante, fruto de la exigencia del art. 44.1 a) LOTC relativa a la necesidad de que se hayan agotado todos los medios de impugnación previstos por las normas procesales para el caso concreto dentro de la vía judicial, promovió contra esa resolución judicial un incidente de nulidad de actuaciones que fue rechazado por Auto de la misma Sala y Sección de fecha 23 de enero de 2013.</w:t>
      </w:r>
    </w:p>
    <w:p w:rsidR="00AC56D6" w:rsidRDefault="00AC56D6" w:rsidP="00AC56D6">
      <w:pPr>
        <w:pStyle w:val="TextoNormal"/>
      </w:pPr>
    </w:p>
    <w:p w:rsidR="00AC56D6" w:rsidRDefault="00AC56D6" w:rsidP="00AC56D6">
      <w:pPr>
        <w:pStyle w:val="TextoNormal"/>
      </w:pPr>
      <w:r>
        <w:t>La constatación de la vulneración del derecho a la tutela judicial efectiva sin indefensión y, por tanto, la estimación del recurso de amparo interpuesto debe conducir necesariamente, en orden a la restitución de la recurrente en el pleno ejercicio de su derecho, a la anulación tanto de la Sentencia núm. 856/2012 de la Sección Primera de la Sala de lo Contencioso-Administrativo del Tribunal Superior de Justicia del País Vasco de fecha 16 de noviembre de 2012, recaída en el recurso contencioso-administrativo núm. 679-2011, como del Auto del mismo órgano judicial de fecha 23 de enero de 2013, que desestimó el incidente de nulidad de actuaciones promovido contra la anterior, con retroacción de las actuaciones al momento inmediatamente anterior al dictado de la referida Sentencia, para que por el órgano judicial se pronuncie una nueva resolución que sea respetuosa con el derecho fundamental vulnerado.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Estimar la demanda de amparo promovida por doña María Teresa Kutz Bandrés, y, en consecuencia:</w:t>
      </w:r>
    </w:p>
    <w:p w:rsidR="00AC56D6" w:rsidRDefault="00AC56D6" w:rsidP="00AC56D6">
      <w:pPr>
        <w:pStyle w:val="TextoNormal"/>
      </w:pPr>
    </w:p>
    <w:p w:rsidR="00AC56D6" w:rsidRDefault="00AC56D6" w:rsidP="00AC56D6">
      <w:pPr>
        <w:pStyle w:val="TextoNormal"/>
      </w:pPr>
      <w:r>
        <w:t>1º Declarar vulnerado el derecho fundamental de la recurrente a la tutela judicial efectiva sin indefensión (art. 24.1 CE).</w:t>
      </w:r>
    </w:p>
    <w:p w:rsidR="00AC56D6" w:rsidRDefault="00AC56D6" w:rsidP="00AC56D6">
      <w:pPr>
        <w:pStyle w:val="TextoNormal"/>
      </w:pPr>
    </w:p>
    <w:p w:rsidR="00AC56D6" w:rsidRDefault="00AC56D6" w:rsidP="00AC56D6">
      <w:pPr>
        <w:pStyle w:val="TextoNormal"/>
      </w:pPr>
      <w:r>
        <w:t>2º Restablecerla en su derecho y, a tal fin, declarar la nulidad de la Sentencia núm. 856/2012 de la Sección Primera de la Sala de lo Contencioso-Administrativo del Tribunal Superior de Justicia del País Vasco de fecha 16 de noviembre de 2012, recaída en el recurso contencioso-administrativo núm. 679-2011, así como del Auto del mismo órgano judicial de fecha 23 de enero de 2013, que desestimó el incidente de nulidad de actuaciones promovido contra la anterior.</w:t>
      </w:r>
    </w:p>
    <w:p w:rsidR="00AC56D6" w:rsidRDefault="00AC56D6" w:rsidP="00AC56D6">
      <w:pPr>
        <w:pStyle w:val="TextoNormal"/>
      </w:pPr>
    </w:p>
    <w:p w:rsidR="00AC56D6" w:rsidRDefault="00AC56D6" w:rsidP="00AC56D6">
      <w:pPr>
        <w:pStyle w:val="TextoNormal"/>
      </w:pPr>
      <w:r>
        <w:lastRenderedPageBreak/>
        <w:t>3º Retrotraer las actuaciones al momento inmediatamente anterior al pronunciamiento de la primera de dichas resoluciones judiciales, para que por el citado órgano judicial se dicte otra resolución que resulte respetuosa con el derecho fundamental vulnerado.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treinta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97" w:name="SENTENCIA_2015_241"/>
      <w:r>
        <w:lastRenderedPageBreak/>
        <w:t>SENTENCIA 241/2015, de 30 de noviembre de 2015</w:t>
      </w:r>
    </w:p>
    <w:bookmarkEnd w:id="97"/>
    <w:p w:rsidR="00AC56D6" w:rsidRDefault="00AC56D6" w:rsidP="00AC56D6">
      <w:pPr>
        <w:pStyle w:val="TtuloResolucin"/>
      </w:pPr>
      <w:r>
        <w:t>Sala Primera</w:t>
      </w:r>
    </w:p>
    <w:p w:rsidR="00AC56D6" w:rsidRDefault="00AC56D6" w:rsidP="00AC56D6">
      <w:pPr>
        <w:pStyle w:val="TtuloBOE"/>
      </w:pPr>
      <w:r>
        <w:t>(BOE núm. 10, de 12 de enero de 2016)</w:t>
      </w:r>
    </w:p>
    <w:p w:rsidR="00AC56D6" w:rsidRDefault="00AC56D6" w:rsidP="00AC56D6">
      <w:pPr>
        <w:pStyle w:val="TextoNormalCentrado"/>
      </w:pPr>
      <w:r>
        <w:t>ECLI:ES:TC:2015:241</w:t>
      </w:r>
    </w:p>
    <w:p w:rsidR="00AC56D6" w:rsidRDefault="00AC56D6" w:rsidP="00AC56D6">
      <w:pPr>
        <w:pStyle w:val="TextoNormalCentrado"/>
      </w:pPr>
    </w:p>
    <w:p w:rsidR="00AC56D6" w:rsidRDefault="00AC56D6" w:rsidP="00AC56D6">
      <w:pPr>
        <w:pStyle w:val="SntesisDescriptiva"/>
      </w:pPr>
      <w:r>
        <w:t>Cuestión de inconstitucionalidad 5081-2013. Cuestión de inconstitucionalidad 5081-2013. Planteada por la Sala de lo Social de la Audiencia Nacional, en relación con el artículo 2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Principio de irretroactividad: inadmisión de la cuestión de inconstitucionalidad por inadecuada formulación del juicio de relevancia.</w:t>
      </w:r>
    </w:p>
    <w:p w:rsidR="00AC56D6" w:rsidRDefault="00AC56D6" w:rsidP="00AC56D6">
      <w:pPr>
        <w:pStyle w:val="SntesisAnaltica"/>
      </w:pPr>
    </w:p>
    <w:p w:rsidR="00AC56D6" w:rsidRDefault="00AC56D6" w:rsidP="00AC56D6">
      <w:pPr>
        <w:pStyle w:val="Extracto"/>
      </w:pPr>
      <w:r>
        <w:t>1.</w:t>
      </w:r>
      <w:r>
        <w:tab/>
        <w:t xml:space="preserve">El órgano promotor ha realizado una inadecuada formulación y exteriorización del juicio de relevancia, puesto que proyecta la duda de constitucionalidad formulada sobre una medida contemplada en el precepto impugnado distinta a la discutida en el proceso </w:t>
      </w:r>
      <w:r w:rsidRPr="00AC56D6">
        <w:rPr>
          <w:i/>
        </w:rPr>
        <w:t xml:space="preserve">a quo </w:t>
      </w:r>
      <w:r>
        <w:t>[FJ 3].</w:t>
      </w:r>
    </w:p>
    <w:p w:rsidR="00AC56D6" w:rsidRDefault="00AC56D6" w:rsidP="00AC56D6">
      <w:pPr>
        <w:pStyle w:val="Extracto"/>
      </w:pPr>
    </w:p>
    <w:p w:rsidR="00AC56D6" w:rsidRDefault="00AC56D6" w:rsidP="00AC56D6">
      <w:pPr>
        <w:pStyle w:val="Extracto"/>
      </w:pPr>
      <w:r>
        <w:t>2.</w:t>
      </w:r>
      <w:r>
        <w:tab/>
        <w:t xml:space="preserve">No puede apreciarse que el Auto de planteamiento haya explicado debidamente en qué medida la norma cuestionada es aplicable y relevante para la resolución del litigio </w:t>
      </w:r>
      <w:r w:rsidRPr="00AC56D6">
        <w:rPr>
          <w:i/>
        </w:rPr>
        <w:t xml:space="preserve">a quo </w:t>
      </w:r>
      <w:r>
        <w:t>[FJ 3].</w:t>
      </w:r>
    </w:p>
    <w:p w:rsidR="00AC56D6" w:rsidRDefault="00AC56D6" w:rsidP="00AC56D6">
      <w:pPr>
        <w:pStyle w:val="Extracto"/>
      </w:pPr>
    </w:p>
    <w:p w:rsidR="00AC56D6" w:rsidRDefault="00AC56D6" w:rsidP="00AC56D6">
      <w:pPr>
        <w:pStyle w:val="Extracto"/>
      </w:pPr>
      <w:r>
        <w:t>3.</w:t>
      </w:r>
      <w:r>
        <w:tab/>
        <w:t xml:space="preserve">No es posible convertir la cuestión de  inconstitucionalidad en un juicio de constitucionalidad en abstracto desligado del proceso </w:t>
      </w:r>
      <w:r w:rsidRPr="00AC56D6">
        <w:rPr>
          <w:i/>
        </w:rPr>
        <w:t xml:space="preserve">a quo </w:t>
      </w:r>
      <w:r>
        <w:t>(ATC 57/2014)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5081-2013 promovida por la Sala de lo Social de la Audiencia Nacional, en relación con el art. 2 del Real Decreto-ley 20/2012, de 13 de julio, de medidas para garantizar la estabilidad presupuestaria y de fomento de la competitividad. Ha comparecido y formulado alegaciones el Abogado del Estado. Ha intervenido el Fiscal General del Estado. Ha sido Ponente el Presidente don Francisco Pérez de los Cobos Orihuel, quien expresa el parecer del Tribunal.</w:t>
      </w:r>
    </w:p>
    <w:p w:rsidR="00AC56D6" w:rsidRDefault="00AC56D6" w:rsidP="00AC56D6">
      <w:pPr>
        <w:pStyle w:val="TextoNormal"/>
      </w:pPr>
    </w:p>
    <w:p w:rsidR="00AC56D6" w:rsidRDefault="00AC56D6" w:rsidP="00AC56D6">
      <w:pPr>
        <w:pStyle w:val="TextoNormalNegritaCentrado"/>
        <w:keepNext/>
      </w:pPr>
      <w:r>
        <w:lastRenderedPageBreak/>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4 de septiembre de 2013 se registró en este Tribunal Constitucional un oficio de la Sala de lo Social de la Audiencia Nacional al que se acompaña, junto con el testimonio del procedimiento de conflicto colectivo núm. 106-2013, el Auto de 26 de junio de 2013, por el que se acuerda plantear cuestión de inconstitucionalidad en relación con el art. 2 del Real Decreto-ley 20/2012, de 13 de julio, de medidas para garantizar la estabilidad presupuestaria y de fomento de la competitividad, por posible vulneración del principio de irretroactividad de las disposiciones restrictivas de derechos individuales contemplado en el art. 9.3 CE.</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son los siguientes.</w:t>
      </w:r>
    </w:p>
    <w:p w:rsidR="00AC56D6" w:rsidRDefault="00AC56D6" w:rsidP="00AC56D6">
      <w:pPr>
        <w:pStyle w:val="TextoNormal"/>
      </w:pPr>
    </w:p>
    <w:p w:rsidR="00AC56D6" w:rsidRDefault="00AC56D6" w:rsidP="00AC56D6">
      <w:pPr>
        <w:pStyle w:val="TextoNormal"/>
      </w:pPr>
      <w:r>
        <w:t>a) Ante la Sala de lo Social de la Audiencia Nacional se formuló por la federación estatal de servicios de la Unión General de Trabajadores (FES-UGT) y la federación de servicios financieros y administrativos de Comisiones Obreras (COMFIA-CC.OO.) demanda de conflicto colectivo contra la empresa Mutua Balear, Mutua de Accidentes de Trabajo y Enfermedades Profesionales de la Seguridad Social núm. 183 (en adelante, Mutua Balear) y la Dirección General de ordenación de la Seguridad Social. Las citadas organizaciones sindicales exponen en su demanda que los trabajadores de la citada Mutua se rigen por el convenio colectivo general de ámbito estatal para las entidades de seguros, reaseguros y mutuas de accidentes de trabajo, en cuyo art. 32 se reconocen tres pagas extraordinarias, habiendo procedido Mutua Balear, en aplicación del art. 2 del Real Decreto-ley 20/2012, a suprimir una catorceava parte de la retribución anual. Señalan al respecto que, atendido que la retribución total anual se devenga desde el 1 de enero hasta el 31 de diciembre, al finalizar el mes de julio ya se habrían devengado 7/12 partes de la retribución total anual, no siendo posible que la reducción de la catorceava parte de las retribuciones totales anuales tenga efectos retroactivos a 1 de enero de 2012, y añadiendo que sólo debería afectar a los conceptos retributivos que se devenguen a partir de 1 de agosto de 2012 (si se computa la fracción del mes de julio como mes completo) o en su caso, a partir del 15 de julio de 2012 (fecha de entrada en vigor del Real Decreto-ley 20/2012). En consecuencia, solicitan que se declare, con carácter principal, el derecho de los trabajadores a que Mutua Balear les restituya en su integridad la catorceava parte de la retribución total anual descontada en las nóminas correspondientes a los meses comprendidos entre julio y diciembre de 2012, y subsidiariamente, que se les reintegre el importe equivalente a 7/12 (o en su caso, 6,5/12) de esa catorceava parte de las retribuciones totales anuales.</w:t>
      </w:r>
    </w:p>
    <w:p w:rsidR="00AC56D6" w:rsidRDefault="00AC56D6" w:rsidP="00AC56D6">
      <w:pPr>
        <w:pStyle w:val="TextoNormal"/>
      </w:pPr>
    </w:p>
    <w:p w:rsidR="00AC56D6" w:rsidRDefault="00AC56D6" w:rsidP="00AC56D6">
      <w:pPr>
        <w:pStyle w:val="TextoNormal"/>
      </w:pPr>
      <w:r>
        <w:t>b) Concluso el procedimiento y dentro del plazo para dictar Sentencia, por providencia de 28 de mayo de 2013 la Sala acordó oír a las partes y al Ministerio Fiscal para que alegasen sobre la pertinencia de plantear cuestión de inconstitucionalidad o sobre el fondo de la misma en relación con el art. 2 del Real Decreto-ley 20/2012, por posible vulneración del principio de irretroactividad de las disposiciones restrictivas de derechos individuales (art. 9.3 CE), en la medida en que establece la reducción de retribuciones en las cuantías que correspondiera percibir en diciembre de 2012 como consecuencia de la supresión de la paga extraordinaria, lo que conlleva suprimir el derecho de los trabajadores a percibir cuantías ya devengadas a la fecha de entrada en vigor de dicho Real Decreto-ley.</w:t>
      </w:r>
    </w:p>
    <w:p w:rsidR="00AC56D6" w:rsidRDefault="00AC56D6" w:rsidP="00AC56D6">
      <w:pPr>
        <w:pStyle w:val="TextoNormal"/>
      </w:pPr>
    </w:p>
    <w:p w:rsidR="00AC56D6" w:rsidRDefault="00AC56D6" w:rsidP="00AC56D6">
      <w:pPr>
        <w:pStyle w:val="TextoNormal"/>
      </w:pPr>
      <w:r>
        <w:lastRenderedPageBreak/>
        <w:t>c) El Ministerio Fiscal presentó escrito de alegaciones en el que se afirmaba que el juicio de relevancia estaba correctamente planteado, sin que ello supusiese compartirlo. La parte actora estimó pertinente el planteamiento de la cuestión de inconstitucionalidad. El Abogado del Estado, por el contrario, se opuso a dicho planteamiento.</w:t>
      </w:r>
    </w:p>
    <w:p w:rsidR="00AC56D6" w:rsidRDefault="00AC56D6" w:rsidP="00AC56D6">
      <w:pPr>
        <w:pStyle w:val="TextoNormal"/>
      </w:pPr>
    </w:p>
    <w:p w:rsidR="00AC56D6" w:rsidRDefault="00AC56D6" w:rsidP="00AC56D6">
      <w:pPr>
        <w:pStyle w:val="TextoNormal"/>
      </w:pPr>
      <w:r>
        <w:t>d) Por Auto de 26 de junio de 2013, la Sala de lo Social de la Audiencia Nacional acordó plantear cuestión de inconstitucionalidad en relación con el art. 2 del Real Decreto-ley 20/2012.</w:t>
      </w:r>
    </w:p>
    <w:p w:rsidR="00AC56D6" w:rsidRDefault="00AC56D6" w:rsidP="00AC56D6">
      <w:pPr>
        <w:pStyle w:val="TextoNormal"/>
      </w:pPr>
    </w:p>
    <w:p w:rsidR="00AC56D6" w:rsidRDefault="00AC56D6" w:rsidP="00AC56D6">
      <w:pPr>
        <w:pStyle w:val="TextoNormal"/>
      </w:pPr>
      <w:r w:rsidRPr="00AC56D6">
        <w:rPr>
          <w:rStyle w:val="NumeroAFNegritaCaracter"/>
        </w:rPr>
        <w:t>3</w:t>
      </w:r>
      <w:r>
        <w:t>. En el citado Auto de 26 de junio de 2013, la Sala de lo Social de la Audiencia Nacional fundamenta su duda de constitucionalidad en los razonamientos que a continuación se resumen.</w:t>
      </w:r>
    </w:p>
    <w:p w:rsidR="00AC56D6" w:rsidRDefault="00AC56D6" w:rsidP="00AC56D6">
      <w:pPr>
        <w:pStyle w:val="TextoNormal"/>
      </w:pPr>
    </w:p>
    <w:p w:rsidR="00AC56D6" w:rsidRDefault="00AC56D6" w:rsidP="00AC56D6">
      <w:pPr>
        <w:pStyle w:val="TextoNormal"/>
      </w:pPr>
      <w:r>
        <w:t>a) Tras una síntesis de los antecedentes de hecho, el órgano judicial indica que la pretensión ventilada en el procedimiento ya ha sido abordada por la Sala en varios procedimientos, entre ellos los autos 322-2012, en que se dictó el Auto de 1 de marzo de 2013, del que reproduce un extracto. En él, tras transcribir el art. 2 del Real Decreto-ley 20/2012, señala que está claro que tal disposición suprime la percepción de la paga extraordinaria del mes de diciembre del año 2012 para el personal laboral del sector público; lo hace a partir de su entrada en vigor (15 de julio de 2012), sin precisar excepciones por derechos ya devengados. Estima la Sala que el legislador es plenamente consciente de la posibilidad de que haya comenzado a devengarse la paga extraordinaria cuya percepción se suprime, en tanto que indica que la medida afecta a las cuantías “que corresponda percibir”, en tiempo verbal no condicional, admitiendo que el derecho ya se habría generado, no obstante lo cual cierra la puerta a su abono.</w:t>
      </w:r>
    </w:p>
    <w:p w:rsidR="00AC56D6" w:rsidRDefault="00AC56D6" w:rsidP="00AC56D6">
      <w:pPr>
        <w:pStyle w:val="TextoNormal"/>
      </w:pPr>
    </w:p>
    <w:p w:rsidR="00AC56D6" w:rsidRDefault="00AC56D6" w:rsidP="00AC56D6">
      <w:pPr>
        <w:pStyle w:val="TextoNormal"/>
      </w:pPr>
      <w:r>
        <w:t>Desde esa perspectiva, entiende la Sala que no es posible interpretar el art. 2 del Real Decreto-ley 20/2012 considerando que cabe abonar aquella parte de la paga extraordinaria de diciembre que ya se hubiera devengado a la fecha de la entrada en vigor de la citada norma. Así, “por mucho que ya se hubiera devengado la parte proporcional a catorce días (desde el 1 de julio al 14)”, la aplicación del citado art. 2 impediría su abono. Atendiendo a la jurisprudencia, según la cual las pagas extraordinarias son salario diferido y se devengan día a día, entiende la Sala que el art. 2 del Real Decreto-ley 20/2012 podría considerarse contrario al art. 9.3 CE, que garantiza la irretroactividad de las disposiciones restrictivas de derechos individuales y la seguridad jurídica, puesto que se estaría suprimiendo el derecho ya generado a percibir la parte proporcional de la paga extraordinaria devengada antes de la entrada en vigor del Real Decreto-ley 20/2012.</w:t>
      </w:r>
    </w:p>
    <w:p w:rsidR="00AC56D6" w:rsidRDefault="00AC56D6" w:rsidP="00AC56D6">
      <w:pPr>
        <w:pStyle w:val="TextoNormal"/>
      </w:pPr>
    </w:p>
    <w:p w:rsidR="00AC56D6" w:rsidRDefault="00AC56D6" w:rsidP="00AC56D6">
      <w:pPr>
        <w:pStyle w:val="TextoNormal"/>
      </w:pPr>
      <w:r>
        <w:t>Expuesto lo que precede, indica la Sala que la norma cuestionada no admite una interpretación que la acomode a la Constitución y que su validez es determinante para el resultado del litigio, puesto que una de las pretensiones formuladas en la demanda es, justamente, que se mantenga incólume la percepción de la parte ya devengada de la paga extra de diciembre de 2012.</w:t>
      </w:r>
    </w:p>
    <w:p w:rsidR="00AC56D6" w:rsidRDefault="00AC56D6" w:rsidP="00AC56D6">
      <w:pPr>
        <w:pStyle w:val="TextoNormal"/>
      </w:pPr>
    </w:p>
    <w:p w:rsidR="00AC56D6" w:rsidRDefault="00AC56D6" w:rsidP="00AC56D6">
      <w:pPr>
        <w:pStyle w:val="TextoNormal"/>
      </w:pPr>
      <w:r>
        <w:t xml:space="preserve">b) Seguidamente se refiere la Sala a la doctrina constitucional sobre la prohibición de retroactividad de las disposiciones sancionadoras no favorables o restrictivas de derechos individuales (art. 9.3 CE). Señala que, conforme a dicha doctrina, solo puede afirmarse que una norma es retroactiva a los efectos del citado precepto cuando incide sobre “relaciones </w:t>
      </w:r>
      <w:r>
        <w:lastRenderedPageBreak/>
        <w:t>consagradas” y afecta a “situaciones agotadas”. Según indica, el espíritu restrictivo que impregna el art. 9.3 CE queda plasmado en la STC 89/2009, de 20 de abril, que ha aclarado que la mención de ese precepto constitucional a la “restricción de derechos individuales” ha de entenderse referido a las limitaciones introducidas en el ámbito de los derechos fundamentales y de las libertades públicas (del título I de la Constitución) o en la esfera general de protección de la persona. A la vista de lo anterior, lo primero que hay que preguntarse es si en este caso estamos ante un derecho individual en el sentido apuntado desde esa consideración restrictiva, lo que entiende la Sala que merece una respuesta positiva. En tal sentido, se prosigue afirmando que los derechos retributivos pertenecen a la esfera general de protección de la persona consagrados en el art. 35.1 CE, que reconoce el derecho a la remuneración suficiente (lo que, en principio, se correspondería sólo con el salario mínimo interprofesional) y también el derecho al trabajo (una de cuyas notas esenciales es su carácter remunerado). Por su parte, la Ley del estatuto de los trabajadores, aprobada por el legislador en cumplimiento del mandato contenido en el art. 35.2 CE, reconoce en su art. 31 el derecho del trabajador a dos gratificaciones extraordinarias al año, una en Navidad y otra en el mes que se determine por convenio colectivo o por acuerdo entre el empresario y los representantes de los trabajadores. A su vez, el art. 27 de la Ley 7/2007, de 12 de abril, del estatuto básico del empleado público, dispone que “las retribuciones del personal laboral se determinarán de acuerdo con la legislación laboral, el convenio colectivo que sea aplicable y el contrato de trabajo, respetando en todo caso lo establecido en el art. 21 del presente Estatuto”; precepto este último —concluye la Sala— que vincula las retribuciones a los límites fijados en las leyes de presupuestos.</w:t>
      </w:r>
    </w:p>
    <w:p w:rsidR="00AC56D6" w:rsidRDefault="00AC56D6" w:rsidP="00AC56D6">
      <w:pPr>
        <w:pStyle w:val="TextoNormal"/>
      </w:pPr>
    </w:p>
    <w:p w:rsidR="00AC56D6" w:rsidRDefault="00AC56D6" w:rsidP="00AC56D6">
      <w:pPr>
        <w:pStyle w:val="TextoNormal"/>
      </w:pPr>
      <w:r>
        <w:t xml:space="preserve">En coherencia con esa concepción de la retribución como derecho que pertenece a la esfera general de protección de la persona más allá de su cuantía mínima interprofesional, se señala que el Tribunal Constitucional ha admitido su encaje en el supuesto de hecho del art. 9.3 CE, incluso ante normas que, como la cuestionada, se inspiran en la finalidad de la contención del gasto público mediante la reducción retributiva. En este sentido se citan la STC 330/2005, de 15 de diciembre (en la que se niega que la regulación de la retribución para el personal de una Administración autonómica vulnere el art. 9.3 CE, pero por motivos distintos a su consideración como derechos individuales a los que alude el precepto) y el ATC 162/2012, de 13 de septiembre (que rechaza que la reducción de las retribuciones impuesta legalmente afecte al art. 9.3 CE, pero no por no tratarse de derechos individuales protegibles, sino por no poseer efectos retroactivos al tratarse de una regulación </w:t>
      </w:r>
      <w:r w:rsidRPr="00AC56D6">
        <w:rPr>
          <w:i/>
        </w:rPr>
        <w:t>pro futuro</w:t>
      </w:r>
      <w:r>
        <w:t>). A la vista de todo ello, se considera que en el presente caso nos encontraríamos ante derechos individuales amparables por el principio de interdicción de retroactividad (art. 9.3 CE).</w:t>
      </w:r>
    </w:p>
    <w:p w:rsidR="00AC56D6" w:rsidRDefault="00AC56D6" w:rsidP="00AC56D6">
      <w:pPr>
        <w:pStyle w:val="TextoNormal"/>
      </w:pPr>
    </w:p>
    <w:p w:rsidR="00AC56D6" w:rsidRDefault="00AC56D6" w:rsidP="00AC56D6">
      <w:pPr>
        <w:pStyle w:val="TextoNormal"/>
      </w:pPr>
      <w:r>
        <w:t>c) A continuación analiza la Sala si el art. 2 del Real Decreto-ley 20/2012, al establecer la supresión de la paga extraordinaria de diciembre de 2012 para el personal laboral del sector público, supone una retroactividad prohibida por el art. 9.3 CE; esto es, la que incide sobre los efectos jurídicos ya producidos al amparo de una norma anteriormente vigente. Para ello, considera preciso determinar si el derecho a la paga extraordinaria de diciembre estaba ya consolidado, asumido e integrado en el patrimonio de los trabajadores cuando entró en vigor el Real Decreto-ley 20/2012 o si, por el contrario, se trataba de una expectativa de derecho o de un derecho futuro o condicionado.</w:t>
      </w:r>
    </w:p>
    <w:p w:rsidR="00AC56D6" w:rsidRDefault="00AC56D6" w:rsidP="00AC56D6">
      <w:pPr>
        <w:pStyle w:val="TextoNormal"/>
      </w:pPr>
    </w:p>
    <w:p w:rsidR="00AC56D6" w:rsidRDefault="00AC56D6" w:rsidP="00AC56D6">
      <w:pPr>
        <w:pStyle w:val="TextoNormal"/>
      </w:pPr>
      <w:r>
        <w:t xml:space="preserve">Indica la Sala que, dado que la regulación legal de las pagas extraordinarias no ofrece respuesta a este interrogante (se limita a fijar el momento de su percepción), se ha de tener </w:t>
      </w:r>
      <w:r>
        <w:lastRenderedPageBreak/>
        <w:t>en cuenta la jurisprudencia de la Sala de lo Social del Tribunal Supremo en unificación de doctrina que se cita y que configura la paga extraordinaria como de devengo diario y de cobro aplazado. Tras ello, se pregunta la Sala si la posible inconstitucionalidad del art. 2 del Real Decreto-ley 20/2012 puede operar tomando como referencia un criterio jurisprudencial y llega a la conclusión de que la configuración normativa del derecho a las pagas extraordinarias se ve complementada por su configuración jurisprudencial, por lo que la respuesta habría de ser afirmativa. Se añade a este respecto que no estamos ante un pronunciamiento aislado de un tribunal menor, sino ante jurisprudencia, que, además, ha sido dictada en unificación de doctrina. Por ello, el criterio jurisprudencial del Tribunal Supremo sobre el devengo diario de las pagas extraordinarias “se alza con valor normativo complementario, salvaguardando la pureza de la Ley, de modo que forma una unidad con la misma como parámetro de la inconstitucionalidad del art. 2 del Real Decreto-ley 20/2012”.</w:t>
      </w:r>
    </w:p>
    <w:p w:rsidR="00AC56D6" w:rsidRDefault="00AC56D6" w:rsidP="00AC56D6">
      <w:pPr>
        <w:pStyle w:val="TextoNormal"/>
      </w:pPr>
    </w:p>
    <w:p w:rsidR="00AC56D6" w:rsidRDefault="00AC56D6" w:rsidP="00AC56D6">
      <w:pPr>
        <w:pStyle w:val="TextoNormal"/>
      </w:pPr>
      <w:r>
        <w:t>Teniendo en cuenta todo lo anterior, concluye la Sala que “estamos ante un derecho que se genera día a día, incorporándose como tal al acervo patrimonial de los trabajadores. En el caso examinado, al ser la paga extra de diciembre de 2012 de devengo semestral a partir del 1 de julio, por disponerlo así el Convenio colectivo de aplicación, a la fecha de entrada en vigor del Real Decreto-Ley 20/2012 ya se había devengado y generado el derecho a la parte proporcional a catorce días de trabajo”, que sin embargo el art. 2 de dicho Real Decreto-ley suprime, operando con ello “una retroactividad auténtica o de grado máximo”.</w:t>
      </w:r>
    </w:p>
    <w:p w:rsidR="00AC56D6" w:rsidRDefault="00AC56D6" w:rsidP="00AC56D6">
      <w:pPr>
        <w:pStyle w:val="TextoNormal"/>
      </w:pPr>
    </w:p>
    <w:p w:rsidR="00AC56D6" w:rsidRDefault="00AC56D6" w:rsidP="00AC56D6">
      <w:pPr>
        <w:pStyle w:val="TextoNormal"/>
      </w:pPr>
      <w:r>
        <w:t>d) Se pregunta a continuación la Sala en su Auto de planteamiento de la cuestión si, aun siendo esa retroactividad de grado máximo, puede resultar justificada por concurrir exigencias cualificadas del bien común que podrían imponerse excepcionalmente (STC 197/1992, de 19 de noviembre). Indica al respecto que la Abogacía del Estado alegó, en este sentido, la exigencia de fuertes ajustes presupuestarios provocados por la situación de crisis económica: se sostiene que la necesidad de reducir el déficit público que inspira la norma cuestionada constituiría ese objetivo de procurar el bien común y proteger el interés general, lo que permitiría exceptuar la interdicción de retroactividad. No obstante, discrepa la Sala de esta conclusión, porque considera que la crisis económica podría acaso justificar determinadas medidas restrictivas de derechos, pero no puede abrir la puerta, sin más, a que esas restricciones operen de modo retroactivo. Entiende la Sala que la excepción a la irretroactividad debe interpretarse de forma restrictiva y que no cabe extenderla a toda medida de interés general. En otras palabras, estima la Sala que la reducción del déficit público no reúne la nota de cualificación absolutamente excepcional que sería necesaria para sacrificar el principio constitucional de seguridad jurídica que sustenta la irretroactividad, en aras del bien común. Afirma que es el interés general lo que se ataca cuando se niega a quienes han prestado sus servicios el derecho a percibir el salario correspondiente. Hace referencia, igualmente, a algunos pronunciamientos del Tribunal Constitucional (SSTC 247/2007 y 89/2009) y del Tribunal Europeo de Derechos Humanos, en los que considera que se mantiene una concepción realmente cualificada del “interés general”, y descarta que la pretensión de reducir el gasto público, por muy urgente y necesaria que sea, constituya sin más un “bien común”, que abra la puerta a exceptuar los básicos principios constitucionales de irretroactividad y seguridad jurídica, principios constitucionales que sí cabría identificar, en cambio, con el interés general de los ciudadanos.</w:t>
      </w:r>
    </w:p>
    <w:p w:rsidR="00AC56D6" w:rsidRDefault="00AC56D6" w:rsidP="00AC56D6">
      <w:pPr>
        <w:pStyle w:val="TextoNormal"/>
      </w:pPr>
    </w:p>
    <w:p w:rsidR="00AC56D6" w:rsidRDefault="00AC56D6" w:rsidP="00AC56D6">
      <w:pPr>
        <w:pStyle w:val="TextoNormal"/>
      </w:pPr>
      <w:r>
        <w:t xml:space="preserve">e) Finalmente, la Sala se plantea la posibilidad de que estemos ante una expropiación legislativa de derechos, pero rechaza tal posibilidad en cuanto que, tras aludir al tenor del </w:t>
      </w:r>
      <w:r>
        <w:lastRenderedPageBreak/>
        <w:t>art. 2.4 del Real Decreto-ley 20/2012, señala que la formulación condicionada en este caso de una hipotética compensación o devolución futura de cantidades en modo alguno resulta asimilable al justo precio al que alude la Ley de expropiación forzosa. Añade que ni está garantizada, ni es propiamente una devolución, puesto que las cuantías detraídas se transformarían en aportaciones a planes de pensiones o contratos de seguro en los términos que establezca el legislador, sujetas, además, al previo cumplimiento de los objetivos de estabilidad presupuestaria. Por ello, afirma que el carácter meramente hipotético y condicionado de la devolución de las cantidades detraídas a raíz de la supresión de la paga extraordinaria de diciembre de 2012, “diluye cualquier brizna de proporcionalidad de la compensación que pudiera alegarse para justificar la injerencia retroactiva, y se aleja del todo del concepto de expropiación legislativa de derechos”.</w:t>
      </w:r>
    </w:p>
    <w:p w:rsidR="00AC56D6" w:rsidRDefault="00AC56D6" w:rsidP="00AC56D6">
      <w:pPr>
        <w:pStyle w:val="TextoNormal"/>
      </w:pPr>
    </w:p>
    <w:p w:rsidR="00AC56D6" w:rsidRDefault="00AC56D6" w:rsidP="00AC56D6">
      <w:pPr>
        <w:pStyle w:val="TextoNormal"/>
      </w:pPr>
      <w:r>
        <w:t>f) Por todo lo expuesto, la Sala de lo Social de la Audiencia Nacional concluye que el art. 2 del Real Decreto-ley 20/2012 ha podido vulnerar el principio de irretroactividad de las disposiciones restrictivas de derechos individuales previsto en el art. 9.3 CE, al suprimir la paga extraordinaria de diciembre de 2012 para el personal laboral del sector público, “sin introducir excepción alguna respecto de las cuantías ya devengadas al momento de su entrada en vigor (en nuestro caso, desde el 1 de julio de 2012)”.</w:t>
      </w:r>
    </w:p>
    <w:p w:rsidR="00AC56D6" w:rsidRDefault="00AC56D6" w:rsidP="00AC56D6">
      <w:pPr>
        <w:pStyle w:val="TextoNormal"/>
      </w:pPr>
    </w:p>
    <w:p w:rsidR="00AC56D6" w:rsidRDefault="00AC56D6" w:rsidP="00AC56D6">
      <w:pPr>
        <w:pStyle w:val="TextoNormal"/>
      </w:pPr>
      <w:r w:rsidRPr="00AC56D6">
        <w:rPr>
          <w:rStyle w:val="NumeroAFNegritaCaracter"/>
        </w:rPr>
        <w:t>4</w:t>
      </w:r>
      <w:r>
        <w:t>. Por providencia de 22 de octubre de 2013, el Pleno de este Tribunal acordó admitir a trámite la cuestión de inconstitucionalidad, deferir a la Sala Primera el conocimiento de la misma conforme al art. 10.1 c) de la Ley Orgánica del Tribunal Constitucional (LOTC) y dar traslado de las actuaciones recibidas al Congreso de los Diputados y al Senado, por conducto de sus Presidentes, al Gobierno, a través del Ministro de Justicia, y al Fiscal General del Estado, para que en el improrrogable plazo de quince días pudieran personarse en el proceso y formular las alegaciones que estimasen convenientes (art. 37.3 LOTC). Asimismo se ordenó, de un lado, comunicar esa resolución a la Sala de lo Social de la Audiencia Nacional a fin de que, de conformidad con el art. 35.3 LOTC, permaneciese suspendido el proceso hasta que este Tribunal resolviese definitivamente la presente cuestión; y de otro lado, publicar la incoación de la cuestión en el “Boletín Oficial del Estado”, lo que se llevó a efecto en el núm. 262, de 1 de noviembre de 2013. Por diligencia de ordenación de la Secretaría de Justicia del Pleno de 22 de octubre de 2013, se concedió un plazo de quince días a partir de la publicación del referido edicto para que, de conformidad con lo establecido en el art. 37.2 LOTC, quienes fuesen parte en el conflicto colectivo núm. 106-2013 pudieran personarse ante este Tribunal.</w:t>
      </w:r>
    </w:p>
    <w:p w:rsidR="00AC56D6" w:rsidRDefault="00AC56D6" w:rsidP="00AC56D6">
      <w:pPr>
        <w:pStyle w:val="TextoNormal"/>
      </w:pPr>
    </w:p>
    <w:p w:rsidR="00AC56D6" w:rsidRDefault="00AC56D6" w:rsidP="00AC56D6">
      <w:pPr>
        <w:pStyle w:val="TextoNormal"/>
      </w:pPr>
      <w:r w:rsidRPr="00AC56D6">
        <w:rPr>
          <w:rStyle w:val="NumeroAFNegritaCaracter"/>
        </w:rPr>
        <w:t>5</w:t>
      </w:r>
      <w:r>
        <w:t>. Mediante escrito presentado en el Registro General de este Tribunal el 31 de octubre de 2013, el Presidente del Congreso de los Diputados comunicó la decisión de la Mesa de que se diera por personada a la Cámara y por ofrecida su colaboración a los efectos del art. 88.1 LOTC, con remisión a la Dirección de Estudios, Análisis y Publicaciones, y a la asesoría jurídica de la Secretaría General.</w:t>
      </w:r>
    </w:p>
    <w:p w:rsidR="00AC56D6" w:rsidRDefault="00AC56D6" w:rsidP="00AC56D6">
      <w:pPr>
        <w:pStyle w:val="TextoNormal"/>
      </w:pPr>
    </w:p>
    <w:p w:rsidR="00AC56D6" w:rsidRDefault="00AC56D6" w:rsidP="00AC56D6">
      <w:pPr>
        <w:pStyle w:val="TextoNormal"/>
      </w:pPr>
      <w:r>
        <w:t>Por escrito presentado en el Registro General de este Tribunal el 6 de noviembre de 2013, el Presidente del Senado comunicó el acuerdo de la Mesa para que se diera por personada a la Cámara y por ofrecida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6</w:t>
      </w:r>
      <w:r>
        <w:t>. Mediante escrito registrado en este Tribunal el 14 de noviembre de 2013, el Abogado del Estado se personó en el presente proceso constitucional y formuló las alegaciones que a continuación se sintetizan.</w:t>
      </w:r>
    </w:p>
    <w:p w:rsidR="00AC56D6" w:rsidRDefault="00AC56D6" w:rsidP="00AC56D6">
      <w:pPr>
        <w:pStyle w:val="TextoNormal"/>
      </w:pPr>
    </w:p>
    <w:p w:rsidR="00AC56D6" w:rsidRDefault="00AC56D6" w:rsidP="00AC56D6">
      <w:pPr>
        <w:pStyle w:val="TextoNormal"/>
      </w:pPr>
      <w:r>
        <w:t>Comienza señalando que aunque el Auto de planteamiento cuestiona la totalidad del extenso art. 2 del Real Decreto-ley 20/2012, se refiere en realidad solo al apartado 2.2 del art. 2; es decir, a la aplicación de la supresión de la paga extraordinaria de diciembre al personal laboral del sector público.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desde los días 1 a 15 de julio”, fecha esta última de entrada en vigor del Real Decreto-ley 20/2012. En definitiva, entiende que lo que se plantea es una inconstitucionalidad por omisión y que la consecuencia que podría derivarse no sería la declaración de inconstitucionalidad del art. 2 Real Decreto-ley 20/2012, sino simplemente la de imponer al legislador, con respeto a su libertad de configuración, el establecimiento de una expresa excepción a la supresión de la paga extraordinaria de Navidad (la correspondiente a la parte proporcional al tiempo que media entre el 1 y el 15 de julio de 2012).</w:t>
      </w:r>
    </w:p>
    <w:p w:rsidR="00AC56D6" w:rsidRDefault="00AC56D6" w:rsidP="00AC56D6">
      <w:pPr>
        <w:pStyle w:val="TextoNormal"/>
      </w:pPr>
    </w:p>
    <w:p w:rsidR="00AC56D6" w:rsidRDefault="00AC56D6" w:rsidP="00AC56D6">
      <w:pPr>
        <w:pStyle w:val="TextoNormal"/>
      </w:pPr>
      <w:r>
        <w:t>Precisado lo anterior, el Abogado del Estado pasa a contestar los puntos argumentales del Auto de planteamiento. Comienza negando que nos encontremos ante una “disposición sancionadora no favorable o restrictiva de derechos individuales” en el sentido del art. 9.3 CE. Indica, en tal sentido, que una norma que aspira a la contención del gasto de personal (como uno de los principales componentes del gasto público) no es ni sancionadora, ni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AC56D6" w:rsidRDefault="00AC56D6" w:rsidP="00AC56D6">
      <w:pPr>
        <w:pStyle w:val="TextoNormal"/>
      </w:pPr>
    </w:p>
    <w:p w:rsidR="00AC56D6" w:rsidRDefault="00AC56D6" w:rsidP="00AC56D6">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lo está,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a 15 de julio, “estaba ya consolidado, asumido e integrado en el patrimonio de los trabajadores cuando entró en vigor” el Real Decreto-ley 20/2012, o si se trataba, por el contrario, de una expectativa de derecho o de un derecho futuro o condicionado.</w:t>
      </w:r>
    </w:p>
    <w:p w:rsidR="00AC56D6" w:rsidRDefault="00AC56D6" w:rsidP="00AC56D6">
      <w:pPr>
        <w:pStyle w:val="TextoNormal"/>
      </w:pPr>
    </w:p>
    <w:p w:rsidR="00AC56D6" w:rsidRDefault="00AC56D6" w:rsidP="00AC56D6">
      <w:pPr>
        <w:pStyle w:val="TextoNormal"/>
      </w:pPr>
      <w:r>
        <w:t xml:space="preserve">Señala el Abogado del Estado que la propia Sala reconoce en el Auto de planteamiento de la cuestión que la regulación legal de las pagas extraordinarias no ofrece respuesta a esa pregunta, siendo el Tribunal Supremo el que ha hecho referencia a su devengo diario y cobro </w:t>
      </w:r>
      <w:r>
        <w:lastRenderedPageBreak/>
        <w:t>aplazado en su jurisprudencia. No obstante, a juicio del Abogado del Estado resulta evidente que una determinada interpretación jurisprudencial de un precepto legal no puede erigirse en parámetro de constitucionalidad de otra norma de rango legal.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Según indica, esta concepción es, por otro lado, perfectamente conforme con los arts. 26 y 31 de la Ley del estatuto de los trabajadores. Recuerda asimismo la doctrina de este Tribunal Constitucional en relación con los tributos con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00AC56D6" w:rsidRDefault="00AC56D6" w:rsidP="00AC56D6">
      <w:pPr>
        <w:pStyle w:val="TextoNormal"/>
      </w:pPr>
    </w:p>
    <w:p w:rsidR="00AC56D6" w:rsidRDefault="00AC56D6" w:rsidP="00AC56D6">
      <w:pPr>
        <w:pStyle w:val="TextoNormal"/>
      </w:pPr>
      <w:r>
        <w:t>Seguidamente sostiene el Abogado del Estado que, aun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conformes con la Constitución modificaciones con cualquier grado de retroactividad cuando existieran claras exigencias de “interés general”.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w:t>
      </w:r>
    </w:p>
    <w:p w:rsidR="00AC56D6" w:rsidRDefault="00AC56D6" w:rsidP="00AC56D6">
      <w:pPr>
        <w:pStyle w:val="TextoNormal"/>
      </w:pPr>
    </w:p>
    <w:p w:rsidR="00AC56D6" w:rsidRDefault="00AC56D6" w:rsidP="00AC56D6">
      <w:pPr>
        <w:pStyle w:val="TextoNormal"/>
      </w:pPr>
      <w:r>
        <w:lastRenderedPageBreak/>
        <w:t>Así las cosas, el Abogado del Estado afirma que, dada la situación descrita de grave crisis económica, no existe razón para negar la concurrencia de un “interés general” que justifique la medida cuestionada, y asimismo niega que las Sentencias del Tribunal Europeo de Derechos Humanos citadas por el Auto de planteamiento puedan servir para avalar la tesis mantenida en el mismo, ya que a diferencia de lo que ocurre en el presente caso, en tales supuestos se alegaron intereses difusos para proceder a la aplicación retroactiva de una medida que no la justificaban desde la perspectiva de la proporcionalidad. Se recuerda que, por el contrario, en el presente caso existía un motivo concreto de interés general —evitar que España tuviera que ser objeto de un rescate financiero por la Unión Europea—, y que, en realidad, no asistimos a una reducción del sueldo de los empleados públicos, sino a una “congelación” de la paga extra de diciembre con previsión de su satisfacción en ejercicios futuros a través de aportaciones a planes de pensiones o contratos de seguro colectivo que cubran la contingencia de jubilación. En definitiva, se concluye diciendo que ante el interés público a que se trata de atender, resulta absolutamente proporcionado que únicamente se exija como sacrificio a los particulares el aplazamiento temporal del abono de la parte proporcional de la paga extraordinaria correspondiente a los días 1 a 15 de julio.</w:t>
      </w:r>
    </w:p>
    <w:p w:rsidR="00AC56D6" w:rsidRDefault="00AC56D6" w:rsidP="00AC56D6">
      <w:pPr>
        <w:pStyle w:val="TextoNormal"/>
      </w:pPr>
    </w:p>
    <w:p w:rsidR="00AC56D6" w:rsidRDefault="00AC56D6" w:rsidP="00AC56D6">
      <w:pPr>
        <w:pStyle w:val="TextoNormal"/>
      </w:pPr>
      <w:r>
        <w:t>Por todo ello, se interesa la desestimación de la cuestión.</w:t>
      </w:r>
    </w:p>
    <w:p w:rsidR="00AC56D6" w:rsidRDefault="00AC56D6" w:rsidP="00AC56D6">
      <w:pPr>
        <w:pStyle w:val="TextoNormal"/>
      </w:pPr>
    </w:p>
    <w:p w:rsidR="00AC56D6" w:rsidRDefault="00AC56D6" w:rsidP="00AC56D6">
      <w:pPr>
        <w:pStyle w:val="TextoNormal"/>
      </w:pPr>
      <w:r w:rsidRPr="00AC56D6">
        <w:rPr>
          <w:rStyle w:val="NumeroAFNegritaCaracter"/>
        </w:rPr>
        <w:t>7</w:t>
      </w:r>
      <w:r>
        <w:t>. Por escrito registrado en este Tribunal el 25 de noviembre de 2013, el Fiscal General del Estado evacuó el trámite de alegaciones, interesando la declaración de que el art. 2, apartado 2.2, del Real Decreto-ley 20/2012 es contrario al art. 9.3 CE.</w:t>
      </w:r>
    </w:p>
    <w:p w:rsidR="00AC56D6" w:rsidRDefault="00AC56D6" w:rsidP="00AC56D6">
      <w:pPr>
        <w:pStyle w:val="TextoNormal"/>
      </w:pPr>
    </w:p>
    <w:p w:rsidR="00AC56D6" w:rsidRDefault="00AC56D6" w:rsidP="00AC56D6">
      <w:pPr>
        <w:pStyle w:val="TextoNormal"/>
      </w:pPr>
      <w:r>
        <w:t>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se ven concernidos derechos individuales que son expresión directa de la esfera general de protección de la persona. Además, afirma que la idea de sanción resultará robustecida en este caso, dado que se pretende extraer del patrimonio de los ciudadanos, sin indemnización, un bien o un derecho del que ya se dispone.</w:t>
      </w:r>
    </w:p>
    <w:p w:rsidR="00AC56D6" w:rsidRDefault="00AC56D6" w:rsidP="00AC56D6">
      <w:pPr>
        <w:pStyle w:val="TextoNormal"/>
      </w:pPr>
    </w:p>
    <w:p w:rsidR="00AC56D6" w:rsidRDefault="00AC56D6" w:rsidP="00AC56D6">
      <w:pPr>
        <w:pStyle w:val="TextoNormal"/>
      </w:pPr>
      <w:r>
        <w:t xml:space="preserve">Llegados a este punto, pasa a analizar si la norma cuestionada contiene un grado de retroactividad permitido por el art. 9.3 CE, a la luz de la doctrina constitucional que sintetiza.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la cuantía de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w:t>
      </w:r>
      <w:r>
        <w:lastRenderedPageBreak/>
        <w:t xml:space="preserve">Derechos Humanos de 14 de mayo de 2013 (caso </w:t>
      </w:r>
      <w:r w:rsidRPr="00AC56D6">
        <w:rPr>
          <w:i/>
        </w:rPr>
        <w:t>N.K.M. v.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Entiende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Tal hipótesis no puede suponer, sin embargo, un aval genérico para que con esa excusa el poder público pueda conducirse apartándose de una expresa previsión legal. Se añade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t>El Fiscal General del Estado concluye sus alegaciones precisando que en el Auto de planteamiento no se cuestiona todo el art. 2 del Real Decreto-ley 20/2012 sino sólo su apartado 2.2, ya que es el que resulta aplicable para resolver el pleito sometido al conocimiento de la Sala de lo Social de la Audiencia Nacional (referido en exclusiva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24 de septiembre de 2015 la Sala Primera acordó, de conformidad con lo dispuesto en el art. 88.1 LOTC, dirigir atenta comunicación a la Mutua Balear, a fin de que indique si, en atención a lo previsto en la disposición adicional duodécima de la Ley 36/2014, de presupuestos generales del Estado para el año 2015, o por cualquier otra circunstancia, ha satisfecho al personal de ese organismo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9</w:t>
      </w:r>
      <w:r>
        <w:t>. Por escrito presentado en el Registro General de este Tribunal el 15 de octubre de 2015, la entidad Mutua Balear comunicó que, conforme a lo establecido en la disposición adicional duodécima de la Ley 36/2014 y el art. 1.2 f) del Real Decreto-ley 10/2015, de 11 de septiembre, ha satisfecho al personal determinadas cantidades en concepto de recuperación de la catorceava parte del salario anual que fue descontado de acuerdo con lo establecido en los arts. 2.3, 2.5 y 2.6 del Real Decreto-ley 20/2012: en concreto, afirma que en los meses de enero y septiembre se ha procedido respectivamente a devolver el 24,04 por 100 y el 26,23 por 100 sobre la cantidad inicialmente descontada, lo que supone una devolución del 50,27 por 100 sobre el importe total, quedando pendiente de devolución el 49,73 por 100.</w:t>
      </w:r>
    </w:p>
    <w:p w:rsidR="00AC56D6" w:rsidRDefault="00AC56D6" w:rsidP="00AC56D6">
      <w:pPr>
        <w:pStyle w:val="TextoNormal"/>
      </w:pPr>
    </w:p>
    <w:p w:rsidR="00AC56D6" w:rsidRDefault="00AC56D6" w:rsidP="00AC56D6">
      <w:pPr>
        <w:pStyle w:val="TextoNormal"/>
      </w:pPr>
      <w:r w:rsidRPr="00AC56D6">
        <w:rPr>
          <w:rStyle w:val="NumeroAFNegritaCaracter"/>
        </w:rPr>
        <w:t>10</w:t>
      </w:r>
      <w:r>
        <w:t>. Por acuerdo del Presidente del Tribunal de 18 de noviembre de 2015, de conformidad con el art. 15 LOTC y el Acuerdo del Pleno del Tribunal Constitucional de 20 de enero de 2005, el Excmo. Sr. Presidente asumió la ponencia de la presente cuestión de inconstitucionalidad, en sustitución del Magistrado Excmo. Sr. Don Luis Ignacio Ortega Álvarez, por fallecimiento del mismo.</w:t>
      </w:r>
    </w:p>
    <w:p w:rsidR="00AC56D6" w:rsidRDefault="00AC56D6" w:rsidP="00AC56D6">
      <w:pPr>
        <w:pStyle w:val="TextoNormal"/>
      </w:pPr>
    </w:p>
    <w:p w:rsidR="00AC56D6" w:rsidRDefault="00AC56D6" w:rsidP="00AC56D6">
      <w:pPr>
        <w:pStyle w:val="TextoNormal"/>
      </w:pPr>
      <w:r w:rsidRPr="00AC56D6">
        <w:rPr>
          <w:rStyle w:val="NumeroAFNegritaCaracter"/>
        </w:rPr>
        <w:t>11</w:t>
      </w:r>
      <w:r>
        <w:t>. Por providencia de 26 de noviembre de 2015 se señaló para deliberación y votación de la presente Sentencia el día 30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Sala de lo Social de la Audiencia Nacional plantea cuestión de inconstitucionalidad respecto del art. 2 del Real Decreto-ley 20/2012, de 13 de julio, de medidas para garantizar la estabilidad presupuestaria y de fomento de la competitividad.</w:t>
      </w:r>
    </w:p>
    <w:p w:rsidR="00AC56D6" w:rsidRDefault="00AC56D6" w:rsidP="00AC56D6">
      <w:pPr>
        <w:pStyle w:val="TextoNormal"/>
      </w:pPr>
    </w:p>
    <w:p w:rsidR="00AC56D6" w:rsidRDefault="00AC56D6" w:rsidP="00AC56D6">
      <w:pPr>
        <w:pStyle w:val="TextoNormal"/>
      </w:pPr>
      <w:r>
        <w:t>En síntesis, la Sala promotora de la cuestión entiende que el mencionado art. 2 del Real Decreto-ley 20/2012, al suprimir la paga extraordinaria de diciembre de 2012 para el personal laboral del sector público,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citado Real Decreto-ley.</w:t>
      </w:r>
    </w:p>
    <w:p w:rsidR="00AC56D6" w:rsidRDefault="00AC56D6" w:rsidP="00AC56D6">
      <w:pPr>
        <w:pStyle w:val="TextoNormal"/>
      </w:pPr>
    </w:p>
    <w:p w:rsidR="00AC56D6" w:rsidRDefault="00AC56D6" w:rsidP="00AC56D6">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00AC56D6" w:rsidRDefault="00AC56D6" w:rsidP="00AC56D6">
      <w:pPr>
        <w:pStyle w:val="TextoNormal"/>
      </w:pPr>
    </w:p>
    <w:p w:rsidR="00AC56D6" w:rsidRDefault="00AC56D6" w:rsidP="00AC56D6">
      <w:pPr>
        <w:pStyle w:val="TextoNormal"/>
      </w:pPr>
      <w:r w:rsidRPr="00AC56D6">
        <w:rPr>
          <w:rStyle w:val="NumeroAFNegritaCaracter"/>
        </w:rPr>
        <w:t>2</w:t>
      </w:r>
      <w:r>
        <w:t xml:space="preserve">. En el examen de esta cuestión de inconstitucionalidad es necesario valorar con carácter previo la concurrencia de los requisitos exigidos para su válido planteamiento, pues, conforme a reiterada jurisprudencia constitucional, “no existe ningún óbice para realizar un pronunciamiento de inadmisión de una cuestión de inconstitucionalidad en la fase de resolución de la misma, esto es, mediante Sentencia, dado que la tramitación específica del art. 37.1 de la Ley Orgánica del Tribunal Constitucional (LOTC) no tiene carácter preclusivo y </w:t>
      </w:r>
      <w:r>
        <w:lastRenderedPageBreak/>
        <w:t>cabe apreciar en Sentencia la ausencia de los requisitos, tanto procesales como de fundamentación, requeridos para el válido planteamiento de la cuestión de inconstitucionalidad” (SSTC 146/2012, de 5 de julio, FJ 2, o 79/2015, de 30 de abril, FJ 2).</w:t>
      </w:r>
    </w:p>
    <w:p w:rsidR="00AC56D6" w:rsidRDefault="00AC56D6" w:rsidP="00AC56D6">
      <w:pPr>
        <w:pStyle w:val="TextoNormal"/>
      </w:pPr>
    </w:p>
    <w:p w:rsidR="00AC56D6" w:rsidRDefault="00AC56D6" w:rsidP="00AC56D6">
      <w:pPr>
        <w:pStyle w:val="TextoNormal"/>
      </w:pPr>
      <w:r>
        <w:t>A los mencionados efectos de analizar el correcto planteamiento de la cuestión de inconstitucionalidad, y, por tanto, decidir sobre su admisión a trámite, es preciso comenzar recordando que los apartados 1 y 2 del art. 35 LOTC exigen, respectivamente, que la norma legal cuestionada resulte “aplicable al caso y de cuya validez dependa el fallo”, y asimismo que, en su Auto de planteamiento, el órgano judicial promotor no sólo debe concretar la ley o norma con fuerza de ley de cuya constitucionalidad duda, sino que también ha de especificar o justificar en qué medida la decisión del proceso depende de la validez de la norma en cuestión. En consecuencia, para la adecuada formulación de la cuestión de inconstitucionalidad no basta con que el tribunal ordinario considere que la norma controvertida es aplicable al caso, sino que además es necesario que dicha norma supere el llamado juicio de relevancia (STC 221/2015, de 22 de octubre, FJ 2), juicio este último que se entiende “como el esquema argumental dirigido a probar que el fallo del proceso judicial depende de la validez de la norma cuestionada” y que “constituye uno de los requisitos esenciales de toda cuestión de inconstitucionalidad, por cuanto a su través se garantiza el control concreto de la constitucionalidad de la ley, impidiendo que el órgano judicial convierta dicho control en abstracto, al carecer de legitimación para ello” (por todas, STC 10/2015, de 2 de febrero, FJ 2).</w:t>
      </w:r>
    </w:p>
    <w:p w:rsidR="00AC56D6" w:rsidRDefault="00AC56D6" w:rsidP="00AC56D6">
      <w:pPr>
        <w:pStyle w:val="TextoNormal"/>
      </w:pPr>
    </w:p>
    <w:p w:rsidR="00AC56D6" w:rsidRDefault="00AC56D6" w:rsidP="00AC56D6">
      <w:pPr>
        <w:pStyle w:val="TextoNormal"/>
      </w:pPr>
      <w:r>
        <w:t xml:space="preserve">Al respecto, hemos afirmado que la exigencia de que el órgano proponente debe concretar el precepto constitucional que supone infringido no significa tan sólo que el Auto de planteamiento ha de contener la cita de tal precepto o preceptos, sino que es preciso también que el órgano judicial exteriorice en él el razonamiento que le ha llevado a cuestionar la constitucionalidad de la norma aplicable, de manera que ha de ofrecer “una fundamentación suficiente de la inconstitucionalidad y de la relación entre la norma cuestionada y el fallo” (STC 224/2006, de 6 de julio, FJ 5). En conexión con ello, este Tribunal ha señalado que “la mera aplicabilidad en el proceso </w:t>
      </w:r>
      <w:r w:rsidRPr="00AC56D6">
        <w:rPr>
          <w:i/>
        </w:rPr>
        <w:t>a quo</w:t>
      </w:r>
      <w:r>
        <w:t xml:space="preserve"> de la norma legal cuestionada no es equivalente a la exigida relevancia constitucional del juicio que ha de expresar el órgano judicial”, un juicio que, entre otras exigencias, demanda del órgano proponente una argumentación acerca de la aludida relevancia que sea razonable, suficiente y coherente con el tipo de proceso en que se suscite la cuestión, de tal modo que “el juicio de relevancia que ha de emitir el órgano jurisdiccional ha de concretar justamente la interrelación entre pretensión procesal, objeto del proceso y resolución judicial (STC 80/1994, de 14 de marzo, FJ 2, por todas)” (ATC 28/2002, de 26 de febrero, FJ 2).</w:t>
      </w:r>
    </w:p>
    <w:p w:rsidR="00AC56D6" w:rsidRDefault="00AC56D6" w:rsidP="00AC56D6">
      <w:pPr>
        <w:pStyle w:val="TextoNormal"/>
      </w:pPr>
    </w:p>
    <w:p w:rsidR="00AC56D6" w:rsidRDefault="00AC56D6" w:rsidP="00AC56D6">
      <w:pPr>
        <w:pStyle w:val="TextoNormal"/>
      </w:pPr>
      <w:r>
        <w:t xml:space="preserve">Por último, en relación con este aspecto, hemos de recordar que “aunque es al órgano judicial que plantea la cuestión a quien le corresponde efectuar el llamado juicio de relevancia, ello no impide a este Tribunal efectuar la revisión del mismo con el fin de garantizar el control concreto de constitucionalidad que corresponde a la cuestión de inconstitucionalidad… y evitar así que este procedimiento se convierta en un medio de impugnación directa y abstracta de la Ley” (STC 114/2010, de 24 de noviembre, FJ 3). Así, con miras a este objetivo, procede tal revisión en los supuestos en que de manera notoria, sin necesidad de examinar el fondo debatido y en aplicación de principios jurídicos básicos, se advierta que la argumentación judicial respecto a la aplicabilidad al caso del precepto legal cuestionado y su relevancia para el fallo resulta inconsistente o evidentemente errada, determinando en </w:t>
      </w:r>
      <w:r>
        <w:lastRenderedPageBreak/>
        <w:t>tal circunstancia la inadmisibilidad de la cuestión de inconstitucionalidad (SSTC 141/2008, de 30 de octubre, FJ 4; 4/2015, de 19 de enero, FJ 2).</w:t>
      </w:r>
    </w:p>
    <w:p w:rsidR="00AC56D6" w:rsidRDefault="00AC56D6" w:rsidP="00AC56D6">
      <w:pPr>
        <w:pStyle w:val="TextoNormal"/>
      </w:pPr>
    </w:p>
    <w:p w:rsidR="00AC56D6" w:rsidRDefault="00AC56D6" w:rsidP="00AC56D6">
      <w:pPr>
        <w:pStyle w:val="TextoNormal"/>
      </w:pPr>
      <w:r w:rsidRPr="00AC56D6">
        <w:rPr>
          <w:rStyle w:val="NumeroAFNegritaCaracter"/>
        </w:rPr>
        <w:t>3</w:t>
      </w:r>
      <w:r>
        <w:t>. Trasladada la doctrina constitucional expuesta a la cuestión de inconstitucionalidad ahora examinada, hemos de concluir que el Auto de planteamiento elevado a este Tribunal incurre en un defectuoso cumplimiento del requisito relativo a la exteriorización del juicio de relevancia.</w:t>
      </w:r>
    </w:p>
    <w:p w:rsidR="00AC56D6" w:rsidRDefault="00AC56D6" w:rsidP="00AC56D6">
      <w:pPr>
        <w:pStyle w:val="TextoNormal"/>
      </w:pPr>
    </w:p>
    <w:p w:rsidR="00AC56D6" w:rsidRDefault="00AC56D6" w:rsidP="00AC56D6">
      <w:pPr>
        <w:pStyle w:val="TextoNormal"/>
      </w:pPr>
      <w:r>
        <w:t xml:space="preserve">Al respecto ha de señalarse que el órgano promotor dirige su duda de constitucionalidad genéricamente al art. 2 del Real Decreto-ley 20/2012, pese a que sólo algunos de sus apartados o previsiones resultan aplicables al caso y relevantes para el fallo. El Auto de planteamiento (que adolece de la misma indeterminación que la providencia de apertura del trámite de audiencia) no sólo no identifica cuáles son esos apartados o previsiones aplicables y relevantes para la resolución del proceso </w:t>
      </w:r>
      <w:r w:rsidRPr="00AC56D6">
        <w:rPr>
          <w:i/>
        </w:rPr>
        <w:t>a quo</w:t>
      </w:r>
      <w:r>
        <w:t xml:space="preserve"> (AATC 221/2013, de 9 de octubre, FFJJ 3 y 4; 206/2014, de 22 de julio, FJ 3), sino que, además, el razonamiento sobre el que el órgano promotor fundamenta su duda de constitucionalidad tampoco se construye en relación con las concretas previsiones del art. 2 del Real Decreto-ley 20/2012 que resultan determinantes en el litigio del que trae origen la presente cuestión de inconstitucionalidad.</w:t>
      </w:r>
    </w:p>
    <w:p w:rsidR="00AC56D6" w:rsidRDefault="00AC56D6" w:rsidP="00AC56D6">
      <w:pPr>
        <w:pStyle w:val="TextoNormal"/>
      </w:pPr>
    </w:p>
    <w:p w:rsidR="00AC56D6" w:rsidRDefault="00AC56D6" w:rsidP="00AC56D6">
      <w:pPr>
        <w:pStyle w:val="TextoNormal"/>
      </w:pPr>
      <w:r>
        <w:t>En efecto, el proceso de conflicto colectivo que da lugar al presente procedimiento constitucional se promueve con motivo de que, por aplicación de las previsiones contenidas en el art. 2 del Real Decreto-ley 20/2012, los trabajadores de la Mutua Balear sujetos al convenio colectivo general de ámbito estatal para las entidades de seguros, reaseguros y mutuas de accidentes de trabajo (“BOE” núm. 297, de 10 diciembre 2008) —que prevé la percepción de tres pagas extraordinarias— han experimentado la supresión de la catorceava parte de su retribución anual. El objeto de este proceso se vincula así, por un lado, al apartado 3 del referido art. 2 del Real Decreto-ley 20/2012, que señala que la reducción retributiva allí prevista será de aplicación al personal directivo y resto de personal de las mutuas de accidentes de trabajo y enfermedades profesionales de la Seguridad Social, y por otro lado, a su apartado 5, en el que se indica que en los casos en que su régimen retributivo no contemple la percepción de pagas extraordinarias o se perciban más de dos al año se reducirá una catorceava parte de las retribuciones totales anuales excluidos incentivos al rendimiento, ordenándose prorratear dicha reducción entre las nóminas pendientes de percibir en el ejercicio. En coherencia con ello, la parte actora formula sus pretensiones procesales, de modo que, con carácter principal, solicita que se declare el derecho de los trabajadores a que Mutua Balear les restituya en su integridad la catorceava parte de la retribución total anual descontada en las nóminas correspondientes a los meses comprendidos entre julio y diciembre de 2012, y subsidiariamente, que se les reintegre el importe equivalente a 7/12 (o en su caso, 6,5/12) de esa catorceava parte de las retribuciones totales anuales que les ha sido descontada.</w:t>
      </w:r>
    </w:p>
    <w:p w:rsidR="00AC56D6" w:rsidRDefault="00AC56D6" w:rsidP="00AC56D6">
      <w:pPr>
        <w:pStyle w:val="TextoNormal"/>
      </w:pPr>
    </w:p>
    <w:p w:rsidR="00AC56D6" w:rsidRDefault="00AC56D6" w:rsidP="00AC56D6">
      <w:pPr>
        <w:pStyle w:val="TextoNormal"/>
      </w:pPr>
      <w:r>
        <w:t>Ese específico contenido del objeto del proceso y de las pretensiones procesales de la parte demandante no encuentra, sin embargo, adecuado reflejo en la fundamentación del Auto de planteamiento de la cuestión, que elabora toda su argumentación en relación exclusivamente con la medida consistente en la supresión de la paga extraordinaria de diciembre de 2012 del personal del sector público, a la que hacen referencia los apartados 1 y 2 del cuestionado art. 2 del Real Decreto-ley 20/2012. Así, en su argumentación, el órgano pro</w:t>
      </w:r>
      <w:r>
        <w:lastRenderedPageBreak/>
        <w:t xml:space="preserve">ponente vincula la duda de constitucionalidad planteada en relación con el principio de irretroactividad </w:t>
      </w:r>
      <w:r w:rsidRPr="00AC56D6">
        <w:rPr>
          <w:i/>
        </w:rPr>
        <w:t>ex</w:t>
      </w:r>
      <w:r>
        <w:t xml:space="preserve"> art. 9.3 CE a las cuantías de la citada paga extra que considera devengadas a la fecha de entrada en vigor del Real Decreto-ley 20/2012 (15 de julio de 2012) y que concreta en las correspondientes a “la parte proporcional a catorce días de trabajo”. Sobre la base de tales presupuestos, el propio Auto de planteamiento expone que “constatado que el art. 2 del Real Decreto-Ley 20/2012… establece la supresión de la paga extraordinaria de diciembre de 2012 para el personal laboral del sector público, sin introducir excepción alguna respecto de las cuantías ya devengadas al momento de su entrada en vigor (en nuestro caso, desde el 1 de julio de 2012), debemos concluir que ha podido vulnerar el principio de irretroactividad de las disposiciones restrictivas de derechos individuales, previsto en el art. 9.3 CE”.</w:t>
      </w:r>
    </w:p>
    <w:p w:rsidR="00AC56D6" w:rsidRDefault="00AC56D6" w:rsidP="00AC56D6">
      <w:pPr>
        <w:pStyle w:val="TextoNormal"/>
      </w:pPr>
    </w:p>
    <w:p w:rsidR="00AC56D6" w:rsidRDefault="00AC56D6" w:rsidP="00AC56D6">
      <w:pPr>
        <w:pStyle w:val="TextoNormal"/>
      </w:pPr>
      <w:r>
        <w:t xml:space="preserve">Pues bien, sin perjuicio de su evidente interrelación y común finalidad, es obvio que la medida objeto del proceso </w:t>
      </w:r>
      <w:r w:rsidRPr="00AC56D6">
        <w:rPr>
          <w:i/>
        </w:rPr>
        <w:t>a quo</w:t>
      </w:r>
      <w:r>
        <w:t xml:space="preserve"> respecto a la que la parte actora formula las pretensiones procesales sobre las que deberá recaer la decisión judicial —la reducción de una catorceava parte de las retribuciones anuales conforme al apartado 5 del art. 2 del Real Decreto-ley 20/2012— no resulta coincidente con la medida sobre la que el órgano proponente argumenta y formula su duda de constitucionalidad —la supresión de la paga extraordinaria de diciembre de 2012, a la que específicamente se refieren los apartados 1 y 2 del citado art. 2—. No existe, por tanto, la precisa correspondencia entre el objeto sobre el que el órgano promotor proyecta su razonamiento y el objeto del litigio que da origen a la presente cuestión. Por ello, concurriendo esta discordancia, no puede apreciarse que el Auto de planteamiento haya explicado debidamente en qué medida la norma cuestionada es aplicable y relevante para la resolución del litigio </w:t>
      </w:r>
      <w:r w:rsidRPr="00AC56D6">
        <w:rPr>
          <w:i/>
        </w:rPr>
        <w:t>a quo</w:t>
      </w:r>
      <w:r>
        <w:t>, ni en consecuencia puede afirmarse que el órgano promotor haya expuesto adecuadamente el esquema argumental que permita probar la dependencia entre la validez de la norma cuestionada y el fallo del proceso judicial.</w:t>
      </w:r>
    </w:p>
    <w:p w:rsidR="00AC56D6" w:rsidRDefault="00AC56D6" w:rsidP="00AC56D6">
      <w:pPr>
        <w:pStyle w:val="TextoNormal"/>
      </w:pPr>
    </w:p>
    <w:p w:rsidR="00AC56D6" w:rsidRDefault="00AC56D6" w:rsidP="00AC56D6">
      <w:pPr>
        <w:pStyle w:val="TextoNormal"/>
      </w:pPr>
      <w:r>
        <w:t xml:space="preserve">En definitiva, puesto que el Auto de planteamiento proyecta la duda de constitucionalidad formulada sobre una medida contemplada en el art. 2 del Real Decreto-ley 20/2012 distinta a la discutida en el proceso </w:t>
      </w:r>
      <w:r w:rsidRPr="00AC56D6">
        <w:rPr>
          <w:i/>
        </w:rPr>
        <w:t>a quo</w:t>
      </w:r>
      <w:r>
        <w:t xml:space="preserve">, hemos de concluir que el órgano promotor ha realizado una inadecuada formulación y exteriorización del juicio de relevancia. Consiguientemente, apreciada esta deficiencia y dado que “no es posible convertir la cuestión de inconstitucionalidad en un juicio de constitucionalidad en abstracto, desligado del proceso </w:t>
      </w:r>
      <w:r w:rsidRPr="00AC56D6">
        <w:rPr>
          <w:i/>
        </w:rPr>
        <w:t>a quo</w:t>
      </w:r>
      <w:r>
        <w:t>” (ATC 57/2014, de 25 de febrero, FJ 4), de conformidad con la doctrina constitucional antes expuesta procede declarar la inadmisión a trámite de la cuestión de inconstitucionalidad presentada.</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Inadmitir la presente cuestión de inconstitucionalidad.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lastRenderedPageBreak/>
        <w:t>Dada en Madrid, a treinta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98" w:name="SENTENCIA_2015_242"/>
      <w:r>
        <w:lastRenderedPageBreak/>
        <w:t>SENTENCIA 242/2015, de 30 de noviembre de 2015</w:t>
      </w:r>
    </w:p>
    <w:bookmarkEnd w:id="98"/>
    <w:p w:rsidR="00AC56D6" w:rsidRDefault="00AC56D6" w:rsidP="00AC56D6">
      <w:pPr>
        <w:pStyle w:val="TtuloResolucin"/>
      </w:pPr>
      <w:r>
        <w:t>Sala Segunda</w:t>
      </w:r>
    </w:p>
    <w:p w:rsidR="00AC56D6" w:rsidRDefault="00AC56D6" w:rsidP="00AC56D6">
      <w:pPr>
        <w:pStyle w:val="TtuloBOE"/>
      </w:pPr>
      <w:r>
        <w:t>(BOE núm. 10, de 12 de enero de 2016)</w:t>
      </w:r>
    </w:p>
    <w:p w:rsidR="00AC56D6" w:rsidRDefault="00AC56D6" w:rsidP="00AC56D6">
      <w:pPr>
        <w:pStyle w:val="TextoNormalCentrado"/>
      </w:pPr>
      <w:r>
        <w:t>ECLI:ES:TC:2015:242</w:t>
      </w:r>
    </w:p>
    <w:p w:rsidR="00AC56D6" w:rsidRDefault="00AC56D6" w:rsidP="00AC56D6">
      <w:pPr>
        <w:pStyle w:val="TextoNormalCentrado"/>
      </w:pPr>
    </w:p>
    <w:p w:rsidR="00AC56D6" w:rsidRDefault="00AC56D6" w:rsidP="00AC56D6">
      <w:pPr>
        <w:pStyle w:val="SntesisDescriptiva"/>
      </w:pPr>
      <w:r>
        <w:t>Recurso de amparo 6469-2013. Recurso de amparo 6469-2013. Promovido por doña Joana Tejado Hernández respecto de la Sentencia dictada por un Juzgado de Violencia sobre la Mujer de Madrid en procedimiento de filiación.</w:t>
      </w:r>
    </w:p>
    <w:p w:rsidR="00AC56D6" w:rsidRDefault="00AC56D6" w:rsidP="00AC56D6">
      <w:pPr>
        <w:pStyle w:val="SntesisDescriptiva"/>
      </w:pPr>
    </w:p>
    <w:p w:rsidR="00AC56D6" w:rsidRDefault="00AC56D6" w:rsidP="00AC56D6">
      <w:pPr>
        <w:pStyle w:val="SntesisAnaltica"/>
      </w:pPr>
      <w:r>
        <w:t>Alegada vulneración del derecho a no padecer discriminación por razón de sexo: inadmisión del recurso de amparo por falta de invocación tempestiva del derecho fundamental.</w:t>
      </w:r>
    </w:p>
    <w:p w:rsidR="00AC56D6" w:rsidRDefault="00AC56D6" w:rsidP="00AC56D6">
      <w:pPr>
        <w:pStyle w:val="SntesisAnaltica"/>
      </w:pPr>
    </w:p>
    <w:p w:rsidR="00AC56D6" w:rsidRDefault="00AC56D6" w:rsidP="00AC56D6">
      <w:pPr>
        <w:pStyle w:val="Extracto"/>
      </w:pPr>
      <w:r>
        <w:t>1.</w:t>
      </w:r>
      <w:r>
        <w:tab/>
        <w:t>Los defectos insubsanables de que pudiera estar afectado el recurso de amparo no resultan sanados porque la demanda haya sido inicialmente admitida, de modo que la comprobación de los presupuestos procesales para la viabilidad de la acción puede siempre abordarse en la Sentencia (SSTC 7/2007, FJ 2; 168/2012, FJ 3) [FJ 2].</w:t>
      </w:r>
    </w:p>
    <w:p w:rsidR="00AC56D6" w:rsidRDefault="00AC56D6" w:rsidP="00AC56D6">
      <w:pPr>
        <w:pStyle w:val="Extracto"/>
      </w:pPr>
    </w:p>
    <w:p w:rsidR="00AC56D6" w:rsidRDefault="00AC56D6" w:rsidP="00AC56D6">
      <w:pPr>
        <w:pStyle w:val="Extracto"/>
      </w:pPr>
      <w:r>
        <w:t>2.</w:t>
      </w:r>
      <w:r>
        <w:tab/>
        <w:t>La contestación a la demanda fija la posición del demandado frente a las pretensiones del actor con efecto preclusivo; efecto que afecta al proceso de amparo, debido al carácter subsidiario de la jurisdicción constitucional, que  resultará desvirtuada si ante ella se trajeran cuestiones sobre las que previamente, a través de las vías procesales oportunas, no se ha dado ocasión de pronunciarse a los órganos del Poder Judicial (SSTC 201/2000; 53/2012) [FJ 3].</w:t>
      </w:r>
    </w:p>
    <w:p w:rsidR="00AC56D6" w:rsidRDefault="00AC56D6" w:rsidP="00AC56D6">
      <w:pPr>
        <w:pStyle w:val="Extracto"/>
      </w:pPr>
    </w:p>
    <w:p w:rsidR="00AC56D6" w:rsidRDefault="00AC56D6" w:rsidP="00AC56D6">
      <w:pPr>
        <w:pStyle w:val="Extracto"/>
      </w:pPr>
      <w:r>
        <w:t>3.</w:t>
      </w:r>
      <w:r>
        <w:tab/>
        <w:t>Ante la falta de denuncia de vulneración del derecho que se invoca no se puede reprochar a estos órganos judiciales el no haber realizado ningún juicio de igualdad, ni ponderación alguna al respecto, pues no cabe deducir que la queja haya quedado acotada en términos tales que permitan al órgano judicial entrar a conocer de las específicas vulneraciones aducidas (SSTC 212/1993; 117/2002) [FJ 5].</w:t>
      </w:r>
    </w:p>
    <w:p w:rsidR="00AC56D6" w:rsidRDefault="00AC56D6" w:rsidP="00AC56D6">
      <w:pPr>
        <w:pStyle w:val="Extracto"/>
      </w:pPr>
    </w:p>
    <w:p w:rsidR="00AC56D6" w:rsidRDefault="00AC56D6" w:rsidP="00AC56D6">
      <w:pPr>
        <w:pStyle w:val="Extracto"/>
      </w:pPr>
      <w:r>
        <w:t>4.</w:t>
      </w:r>
      <w:r>
        <w:tab/>
        <w:t>Debe preservarse el carácter subsidiario del recurso de amparo que tiene como finalidad facilitar que los Jueces y Tribunales puedan cumplir su función de tutelar los derechos y libertades, así como la de conseguir que los órganos judiciales ordinarios remedien por sí mismos la violación que ellos causen del derecho o libertad fundamental (SSTC 201/2000; 3/2012) [FJ 6].</w:t>
      </w:r>
    </w:p>
    <w:p w:rsidR="00AC56D6" w:rsidRDefault="00AC56D6" w:rsidP="00AC56D6">
      <w:pPr>
        <w:pStyle w:val="Extracto"/>
      </w:pPr>
    </w:p>
    <w:p w:rsidR="00AC56D6" w:rsidRDefault="00AC56D6" w:rsidP="00AC56D6">
      <w:pPr>
        <w:pStyle w:val="Extracto"/>
      </w:pPr>
      <w:r>
        <w:t>5.</w:t>
      </w:r>
      <w:r>
        <w:tab/>
        <w:t>Este Tribunal decidió admitir el recurso de amparo porque su objeto podría dar ocasión para aclarar la doctrina en materia de derecho de igualdad, como consecuencia de un proceso de reflexión interna, y además, porque dicho objeto permitía valorar si la eventual vulneración del derecho fundamental que se denuncia proviene de la ley (STC 155/2009) [FJ 2].</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amparo núm. 6469-2013, promovido por doña Joana Tejado Hernández, representada por la Procuradora de los Tribunales doña Irene Martín Noya y asistida por la Abogada doña Virginia Carrasco López, contra el Auto de fecha 24 de septiembre de 2013, dictado por la Sala de lo Civil del Tribunal Supremo, por el que se desestimó el recurso de queja interpuesto contra el Auto de la Audiencia Provincial de Madrid, Sección 24, dictado en fecha 24 de junio de 2013, que acordó la inadmisión del recurso de casación interpuesto contra la Sentencia de fecha 14 de marzo de 2013, dictada por el mismo órgano judicial, en el rollo de apelación núm. 1671-2012, que desestimó el recurso de apelación interpuesto contra la Sentencia de fecha 4 de octubre de 2012, dictada por el Juzgado de Violencia sobre la Mujer núm. 8 de Madrid en el procedimiento de filiación núm. 1-2012. Ha comparecido y formulado alegaciones don Edgar A.B.P, representado por el Procurador de los Tribunales don Ángel Francisco Codosero Rodríguez y asistido por el Abogado don Jaime Uña-Llorens Uña-Orostivar. Ha intervenido el Ministerio Fiscal. Ha sido Ponente el Magistrado don Fernando Valdés Dal-Re,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registrado en este Tribunal el 6 de noviembre de 2013, la Procuradora de los Tribunales doña Irene Martín Noya, en nombre y representación de doña Joana Tejado Hernández, interpuso recurso de amparo contra las resoluciones judiciales referidas en el encabezamiento.</w:t>
      </w:r>
    </w:p>
    <w:p w:rsidR="00AC56D6" w:rsidRDefault="00AC56D6" w:rsidP="00AC56D6">
      <w:pPr>
        <w:pStyle w:val="TextoNormal"/>
      </w:pPr>
    </w:p>
    <w:p w:rsidR="00AC56D6" w:rsidRDefault="00AC56D6" w:rsidP="00AC56D6">
      <w:pPr>
        <w:pStyle w:val="TextoNormal"/>
      </w:pPr>
      <w:r w:rsidRPr="00AC56D6">
        <w:rPr>
          <w:rStyle w:val="NumeroAFNegritaCaracter"/>
        </w:rPr>
        <w:t>2</w:t>
      </w:r>
      <w:r>
        <w:t>. Los hechos en que se fundamenta la demanda de amparo son los siguientes:</w:t>
      </w:r>
    </w:p>
    <w:p w:rsidR="00AC56D6" w:rsidRDefault="00AC56D6" w:rsidP="00AC56D6">
      <w:pPr>
        <w:pStyle w:val="TextoNormal"/>
      </w:pPr>
    </w:p>
    <w:p w:rsidR="00AC56D6" w:rsidRDefault="00AC56D6" w:rsidP="00AC56D6">
      <w:pPr>
        <w:pStyle w:val="TextoNormal"/>
      </w:pPr>
      <w:r>
        <w:t xml:space="preserve">a) La representación procesal de don Edgar A.B.P. presentó demanda de reclamación de filiación paterna no matrimonial, por la que solicitaba se declarase que el actor era el padre biológico de la menor A.T.H., nacida el 17 de febrero de 2010 e inscrita en el Registro Civil de Madrid. Asimismo, en el suplico de la demanda solicita expresamente que, una vez firme la Sentencia, se remita testimonio de la misma al Registro Civil de Madrid para la inscripción y rectificación correspondiente “a fin de ordenar que tras el nombre de la niña figure el primer apellido del padre, realizando cualquier otra rectificación que sea necesaria en el acta de nacimiento”. Turnada la demanda al Juzgado de Primera Instancia núm. 77 de Madrid, dicho Juzgado se inhibió por Auto de fecha 4 de noviembre de 2011 (de conformidad con lo previsto en el art. 87 </w:t>
      </w:r>
      <w:r w:rsidRPr="00AC56D6">
        <w:rPr>
          <w:i/>
        </w:rPr>
        <w:t>ter</w:t>
      </w:r>
      <w:r>
        <w:t>. 3 de la Ley Orgánica del Poder Judicial, en relación con el número 2 del mismo precepto), al Juzgado de Violencia sobre la Mujer núm. 8 de Madrid que, por Auto de fecha 4 de febrero de 2012, aceptó la inhibición y acordó la incoación de procedimiento de filiación con núm. de registro 1-2012.</w:t>
      </w:r>
    </w:p>
    <w:p w:rsidR="00AC56D6" w:rsidRDefault="00AC56D6" w:rsidP="00AC56D6">
      <w:pPr>
        <w:pStyle w:val="TextoNormal"/>
      </w:pPr>
    </w:p>
    <w:p w:rsidR="00AC56D6" w:rsidRDefault="00AC56D6" w:rsidP="00AC56D6">
      <w:pPr>
        <w:pStyle w:val="TextoNormal"/>
      </w:pPr>
      <w:r>
        <w:lastRenderedPageBreak/>
        <w:t>b) En su contestación a la demanda, presentada en fecha 12 de junio de 2012, la representación procesal de doña Joana Tejado Hernández, hoy recurrente en amparo, expone literalmente en el encabezamiento de su escrito de contestación (siendo suyas las mayúsculas), que: “venimos a CONTESTAR a dicha demanda SIN OPONERNOS a la misma”, lo que se reitera en el suplico, en el que expone, siendo también suyas las mayúsculas, que: “se tenga por presentada CONTESTACIÓN SIN OPOSICIÓN a la demanda de filiación instada por la representación procesal de Edgar A.B.P.”. En el cuerpo del escrito de contestación a la demanda se afirma que se está conforme con la realización de la prueba biológica acordada por el Juzgado “haciendo constar que no hay oposición a la demanda de paternidad”.</w:t>
      </w:r>
    </w:p>
    <w:p w:rsidR="00AC56D6" w:rsidRDefault="00AC56D6" w:rsidP="00AC56D6">
      <w:pPr>
        <w:pStyle w:val="TextoNormal"/>
      </w:pPr>
    </w:p>
    <w:p w:rsidR="00AC56D6" w:rsidRDefault="00AC56D6" w:rsidP="00AC56D6">
      <w:pPr>
        <w:pStyle w:val="TextoNormal"/>
      </w:pPr>
      <w:r>
        <w:t>Asimismo, en la contestación a la demanda se expone que la demandada tuvo una relación de noviazgo de cinco años con el demandante, de la que nació la niña cuya paternidad se reclama, pero que el padre de la menor no ha mantenido nunca una relación normalizada con la niña, ni ha contribuido a sufragar los gastos de la menor. También se constata que el día 2 de junio de 2011 fue agredida por el actor, don Edgar A.B.P. y se aporta una Sentencia de fecha 15 de junio de 2011, dictada por el Juzgado de lo Penal núm. 35 de Madrid, en los Autos de juicio rápido núm. 400-2011, por la que se condena al actor como autor de un delito de malos tratos en el ámbito familiar, previsto y penado en el art. 153.1 y 3 del Código penal, a la pena de nueve meses y un día de prisión, inhabilitación especial para el ejercicio del derecho de sufragio pasivo durante el tiempo de la condena, privación del derecho a la tenencia y porte de armas durante tres años y prohibición de aproximarse a doña Joana Tejado Hernández a una distancia no inferior a quinientos metros y de comunicarse con la misma por cualquier medio durante dos años. Sentencia que fue recurrida por el condenado, estando en esa fecha aún pendiente de resolución el recurso de apelación.</w:t>
      </w:r>
    </w:p>
    <w:p w:rsidR="00AC56D6" w:rsidRDefault="00AC56D6" w:rsidP="00AC56D6">
      <w:pPr>
        <w:pStyle w:val="TextoNormal"/>
      </w:pPr>
    </w:p>
    <w:p w:rsidR="00AC56D6" w:rsidRDefault="00AC56D6" w:rsidP="00AC56D6">
      <w:pPr>
        <w:pStyle w:val="TextoNormal"/>
      </w:pPr>
      <w:r>
        <w:t>c) Una vez celebrada la vista oral, el Juzgado de Violencia sobre la Mujer núm. 8 de Madrid dictó Sentencia, de fecha 4 de octubre de 2012, estimando la demanda y declarando que el actor es el padre biológico de la menor A.T.H. y, en consecuencia, ordenado que “en el asiento del nacimiento de la mencionada menor se efectúe la rectificación que proceda en consonancia a esta declaración, incluyendo el apellido paterno y referencia de que el padre de la misma es el referido”. En el fallo también se recoge que “se inadmite la pretensión extemporánea de la demandada respecto de que se imponga un orden de apellidos, que en todo caso sería desestimada por no existir en el momento en que se realiza consentimiento entre los progenitores”. En el fundamento de Derecho tercero de esta resolución se expone que “no procede admitir la petición de la demandada en el acto de la vista respecto de que se mantuviera en primer lugar los apellidos de la madre, para evitar gastos y perjuicios a la menor, pues en todo caso debería haberse efectuado con la contestación, y supone una reconvención no prevista en la ley procesal, y consiguientemente nada se resolverá sobre la misma”.</w:t>
      </w:r>
    </w:p>
    <w:p w:rsidR="00AC56D6" w:rsidRDefault="00AC56D6" w:rsidP="00AC56D6">
      <w:pPr>
        <w:pStyle w:val="TextoNormal"/>
      </w:pPr>
    </w:p>
    <w:p w:rsidR="00AC56D6" w:rsidRDefault="00AC56D6" w:rsidP="00AC56D6">
      <w:pPr>
        <w:pStyle w:val="TextoNormal"/>
      </w:pPr>
      <w:r>
        <w:t xml:space="preserve">d) La representación procesal de la parte demandada interpuso recurso de apelación. En dicho recurso se expone que “el objeto del presente recurso de apelación versa, exclusivamente, sobre la petición realizada por Joana Tejado Hernández al respecto de que se mantenga como primer apellido de la menor el de la madre y como segundo apellido de la menor, el del padre”, aclarando que dicha petición no se incluyó en la contestación a la demanda porque la interesada transmitió este deseo a su abogada “días antes de que tuviera lugar la celebración del juicio. Por ello, fue en la vista del juicio oral donde se solicitó”, y añadiendo </w:t>
      </w:r>
      <w:r>
        <w:lastRenderedPageBreak/>
        <w:t>que dicha solicitud no puede calificarse de reconvención pues se trata de una petición de la madre de la menor realizada en la vista del juicio oral, que no requiere la práctica de prueba específica por ninguna de las dos partes.</w:t>
      </w:r>
    </w:p>
    <w:p w:rsidR="00AC56D6" w:rsidRDefault="00AC56D6" w:rsidP="00AC56D6">
      <w:pPr>
        <w:pStyle w:val="TextoNormal"/>
      </w:pPr>
    </w:p>
    <w:p w:rsidR="00AC56D6" w:rsidRDefault="00AC56D6" w:rsidP="00AC56D6">
      <w:pPr>
        <w:pStyle w:val="TextoNormal"/>
      </w:pPr>
      <w:r>
        <w:t>En el recurso de apelación la parte recurrente expone que la petición se realiza “en atención a evitar daños y perjuicios a la menor, pues aun tratándose de una niña de corta edad, se le ha enseñado su nombre y sus apellidos, los cuales conoce y dice perfectamente a quien le pregunta quién es o cómo se llama”, añadiendo otros inconvenientes como que “la menor consta registrada con el apellido materno en primer lugar, lógicamente, en la Seguridad Social … Además de haber solicitado la madre de la menor ayudas y subvenciones en las que, igualmente, consta como primer apellido de su hija el materno”, concluyendo que el cambio de orden de los apellidos “ocasiona ahora a la menor un perjuicio en lo que al orden de los apellidos se refiere que entendemos no debe asumir la niña cuando es el padre el que decidió primero no reconocerla y luego hacerlo a los tres años de vida de esta”.</w:t>
      </w:r>
    </w:p>
    <w:p w:rsidR="00AC56D6" w:rsidRDefault="00AC56D6" w:rsidP="00AC56D6">
      <w:pPr>
        <w:pStyle w:val="TextoNormal"/>
      </w:pPr>
    </w:p>
    <w:p w:rsidR="00AC56D6" w:rsidRDefault="00AC56D6" w:rsidP="00AC56D6">
      <w:pPr>
        <w:pStyle w:val="TextoNormal"/>
      </w:pPr>
      <w:r>
        <w:t>El Ministerio Fiscal presentó escrito impugnando el recurso de apelación al entender que la petición del cambio de apellidos resultó extemporánea, pues debió de haberse planteado en la contestación a la demanda, añadiendo que “cualquier introducción de un objeto nuevo en el juicio posterior a esta fase está vedada por el art. 406 en relación con el art. 400 de la Ley de enjuiciamiento civil (LEC), referidos al momento preclusivo para formular nuevas pretensiones”, sin que pueda apoyarse una nueva pretensión sobre la base de que la mandante no trasmitió su deseo hasta días antes de la vista oral.</w:t>
      </w:r>
    </w:p>
    <w:p w:rsidR="00AC56D6" w:rsidRDefault="00AC56D6" w:rsidP="00AC56D6">
      <w:pPr>
        <w:pStyle w:val="TextoNormal"/>
      </w:pPr>
    </w:p>
    <w:p w:rsidR="00AC56D6" w:rsidRDefault="00AC56D6" w:rsidP="00AC56D6">
      <w:pPr>
        <w:pStyle w:val="TextoNormal"/>
      </w:pPr>
      <w:r>
        <w:t>Mediante Sentencia de 14 de marzo de 2013, la Audiencia Provincial de Madrid desestimó el recurso de apelación razonando que “la petición de la parte apelante fue formulada por primera vez por la parte demandada en primera instancia en la vista (minuto 2), por lo que de conformidad con el art. 406 LEC, en relación con el art. 400 del mismo cuerpo legal es extemporánea, lo que bastaría para desestimar dicha petición”, añadiendo que el demandante don Edgar A.B.P se opone al cambio del orden de los apellidos “por lo que no se cumple la previsión contemplada en el párrafo segundo del artículo 109 CC”. Por último, en dicha Sentencia se expone que: “esgrime la parte apelante en apoyo de su pretensión revocatoria perjuicio a la menor, pero ello ha carecido de corroboración probatoria”.</w:t>
      </w:r>
    </w:p>
    <w:p w:rsidR="00AC56D6" w:rsidRDefault="00AC56D6" w:rsidP="00AC56D6">
      <w:pPr>
        <w:pStyle w:val="TextoNormal"/>
      </w:pPr>
    </w:p>
    <w:p w:rsidR="00AC56D6" w:rsidRDefault="00AC56D6" w:rsidP="00AC56D6">
      <w:pPr>
        <w:pStyle w:val="TextoNormal"/>
      </w:pPr>
      <w:r>
        <w:t>e) La representación procesal de la parte demandada presentó escrito de interposición de recurso de casación, al amparo del art. 477.2.1 LEC, invocando “la vulneración del derecho a la igualdad ante la ley, sin que pueda prevalecer discriminación alguna por razón de sexo (art. 14 CE)”. Se argumenta que “la aplicación del art. 109 del Código Civil (CC) en relación con los arts. 49 a 53 de la Ley del Registro Civil (LRC) y el art. 194 del Reglamento del Registro Civil (RRC), por los que es desestimada la pretensión de esta parte vulneran de forma manifiesta el derecho de igualdad ante la ley y no discriminación por razón de sexo del art. 14 CE”, pues en caso de desacuerdo entre ambos progenitores prevalece la decisión del padre. En consecuencia, la defensa de la recurrente aduce que “se parte de una situación de desigualdad manifiesta por razón de sexo, que vulnera el principio de igualdad entre el padre (hombre) y la madre (mujer); segundo, se deja al libre arbitrio del padre (hombre) la decisión del orden de los apellidos de la menor, obviando motivos espurios y comportamientos del progenitor en lo que al reconocimiento de la filiación de la menor se refiere y tercero, se procede a una aplicación automática de la ley que perjudica a la menor y por ello debe corregirse y estimarse la petición”.</w:t>
      </w:r>
    </w:p>
    <w:p w:rsidR="00AC56D6" w:rsidRDefault="00AC56D6" w:rsidP="00AC56D6">
      <w:pPr>
        <w:pStyle w:val="TextoNormal"/>
      </w:pPr>
    </w:p>
    <w:p w:rsidR="00AC56D6" w:rsidRDefault="00AC56D6" w:rsidP="00AC56D6">
      <w:pPr>
        <w:pStyle w:val="TextoNormal"/>
      </w:pPr>
      <w:r>
        <w:t>Por Auto de fecha 24 de junio de 2013, la Audiencia Provincial de Madrid acuerda declarar “la inadmisión del recurso de casación” al entender que “el motivo no es admisible pues el proceso no fue específicamente instado para la tutela judicial de los derechos fundamentales, tal y como, según jurisprudencia reiterada del TS, exige el cauce del art. 477.2.1 LEC, dado que el acceso a la casación por la citada vía no se produce por el simple hecho de que la materia litigiosa se refiera o afecte a un derecho fundamental, sino que es preciso que su tutela jurisdiccional haya constituido el específico objeto del litigio, tramitado bien conforme a las reglas del juicio ordinario, bien por el cauce incidental previsto en la Ley 62/1978, de 26 de diciembre, lo que no es el caso”.</w:t>
      </w:r>
    </w:p>
    <w:p w:rsidR="00AC56D6" w:rsidRDefault="00AC56D6" w:rsidP="00AC56D6">
      <w:pPr>
        <w:pStyle w:val="TextoNormal"/>
      </w:pPr>
    </w:p>
    <w:p w:rsidR="00AC56D6" w:rsidRDefault="00AC56D6" w:rsidP="00AC56D6">
      <w:pPr>
        <w:pStyle w:val="TextoNormal"/>
      </w:pPr>
      <w:r>
        <w:t>f) Contra esta última resolución se interpuso recurso de queja, que fue desestimado por Auto de 24 de septiembre de 2013 de la Sala de lo Civil del Tribunal Supremo, en el que se reitera que la recurrente “utiliza una vía casacional inadecuada, pues habiéndose sustanciado el procedimiento por razón de la materia su acceso a la casación sólo habría sido posible por la vía del art. 477.2.3 LEC, siempre que se acreditara la existencia de ‘interés casacional’, lo que en el presente caso no se ha realizado por la parte recurrente al utilizar la vía del ordinal 1º del art. 477.2 LEC. Debe añadirse que el acceso a la casación por la vía del citado art. 477.2.1º LEC no se produce por el simple hecho de que la materia litigiosa se refiera o afecte a uno de los derechos fundamentales reconocidos por la Norma Suprema, sino que es preciso que su tutela jurisdiccional haya constituido el específico objeto del litigio, lo que no es el caso, teniendo esta Sala reiterado que es el objeto del proceso el que determina este cauce específico de acceso al recurso de casación, por lo que es únicamente aplicable a los juicios relativos a la protección jurisdiccional de los derechos fundamentales a que se refiere el artículo 53.2 de la Constitución y que hayan sido vulnerados en la realidad extraprocesal (por ello se excluye el art. 24 CE), de ahí que la previsión normativa contemple en este caso la recurribilidad en casación de las sentencias recaídas en procesos referidos a la tutela civil del honor, intimidad, imagen u otro derecho fundamental, mas no en aquellos atinentes a derechos reales, contratos o cualesquiera otra cuestión civil o mercantil, en los que no cabe utilizar el referido ordinal 1º del art. 477.2 por el simple medio de citar como infringido un precepto constitucional, aunque tenga relación con la materia debatida en el pleito; y en el presente supuesto en que el litigio versa sobre reconocimiento de paternidad, es obvio que no han constituido objeto de un proceso para la tutela civil de derechos fundamentales”.</w:t>
      </w:r>
    </w:p>
    <w:p w:rsidR="00AC56D6" w:rsidRDefault="00AC56D6" w:rsidP="00AC56D6">
      <w:pPr>
        <w:pStyle w:val="TextoNormal"/>
      </w:pPr>
    </w:p>
    <w:p w:rsidR="00AC56D6" w:rsidRDefault="00AC56D6" w:rsidP="00AC56D6">
      <w:pPr>
        <w:pStyle w:val="TextoNormal"/>
      </w:pPr>
      <w:r>
        <w:t>El Tribunal Supremo insiste en que la vía de impugnación empleada por la recurrente resulta inadecuada, añadiendo que la vía ajustada era la del “interés casacional” prevista en el ordinal 3 del citado precepto, sin que en el presente caso se hubiera acreditado la existencia del mismo por ninguna de las tres vías establecidas en el art. 477.2.3 LEC, es decir, por oposición a la jurisprudencia del Tribunal Supremo, por jurisprudencia contradictoria de Audiencias Provinciales o por aplicación de norma con vigencia inferior a cinco años, de la que no exista jurisprudencia de la Sala sobre ella o sobre normas de similar contenido.</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En la demanda de amparo se denuncia “la vulneración del derecho a la igualdad ante la ley, sin que pueda prevalecer discriminación alguna por razón de sexo (art. 14 CE)”, en este sentido se aduce que “la aplicación automática de los arts. 109 CC y 194 RRC, al caso en cuestión, genera una situación de desigualdad entre las partes, pues se otorga al padre la capacidad última de decisión al respecto de establecer el orden de los apellido de la menor”, sin atender a otros hechos relevantes como que el actor inicialmente decidió no reconocer </w:t>
      </w:r>
      <w:r>
        <w:lastRenderedPageBreak/>
        <w:t>dicha paternidad y lo hizo tres años después del nacimiento de la niña, momento en el que había recaído sobre él una condena por violencia de género, siendo la víctima la madre de la menor, sin que a la fecha el padre haya asumido ninguna carga económica a favor de la niña.</w:t>
      </w:r>
    </w:p>
    <w:p w:rsidR="00AC56D6" w:rsidRDefault="00AC56D6" w:rsidP="00AC56D6">
      <w:pPr>
        <w:pStyle w:val="TextoNormal"/>
      </w:pPr>
    </w:p>
    <w:p w:rsidR="00AC56D6" w:rsidRDefault="00AC56D6" w:rsidP="00AC56D6">
      <w:pPr>
        <w:pStyle w:val="TextoNormal"/>
      </w:pPr>
      <w:r>
        <w:t>Asimismo se argumenta que la ley deja al libre arbitrio del padre, por el sólo hecho de ser varón, la decisión sobre el orden de los apellidos de la menor si no existe acuerdo entre los progenitores, lo que evidencia una situación de desigualdad por razón de sexo que vulnera el art. 14 CE. Insiste la parte recurrente en que el art. 194 del Reglamento del Registro civil “atenta de forma flagrante el principio de igualdad entre hombre y mujer, pues impone que el primer apellido del menor sea el del padre, es decir, el del hombre, frente al primer apellido de la madre, es decir, el de la mujer, que por este sólo hecho (ser mujer, por tanto, por razón de sexo) queda relegada al segundo lugar. Por ello, la discriminación hacia la mujer se hace patente”, situación de desigualdad que, a juicio de la recurrente, no se corrige en el art. 109 del Código civil (CC) ni, en el caso que nos ocupa, en las resoluciones judiciales recurridas, que, además, tampoco valoran el consiguiente perjuicio ocasionado a la niña, quien ve modificado el orden de sus apellidos, lo que le puede provocar confusión en relación con su identidad, además de otros inconvenientes de naturaleza administrativa.</w:t>
      </w:r>
    </w:p>
    <w:p w:rsidR="00AC56D6" w:rsidRDefault="00AC56D6" w:rsidP="00AC56D6">
      <w:pPr>
        <w:pStyle w:val="TextoNormal"/>
      </w:pPr>
    </w:p>
    <w:p w:rsidR="00AC56D6" w:rsidRDefault="00AC56D6" w:rsidP="00AC56D6">
      <w:pPr>
        <w:pStyle w:val="TextoNormal"/>
      </w:pPr>
      <w:r w:rsidRPr="00AC56D6">
        <w:rPr>
          <w:rStyle w:val="NumeroAFNegritaCaracter"/>
        </w:rPr>
        <w:t>4</w:t>
      </w:r>
      <w:r>
        <w:t>. Mediante providencia de 26 de junio de 2014, la Sala Segunda de este Tribunal acordó la admisión a trámite de la demanda de amparo y, a tenor de lo dispuesto en el art. 51 de la Ley Orgánica del Tribunal Constitucional (LOTC), requerir atentamente a la Sala de lo Civil del Tribunal Supremo para que en el plazo de diez días remitiera certificación o copia adverada de las actuaciones correspondientes al recurso de queja 188-2013; a la Sección 24 de la Audiencia Provincial de Madrid a fin de que en el plazo de diez días remitiera certificación o copia adverada de las actuaciones correspondientes al recurso 1671-2012; y al Juzgado de Violencia sobre la Mujer núm. 8 de Madrid, para que en el plazo de diez días remitiera certificación o copia adverada de las actuaciones correspondientes a los Autos de filiación 1-2012, interesándose al propio tiempo el emplazamiento de quienes fueron parte en el procedimiento, a excepción de la parte demandante de amparo, ya personada, para que pudieran comparecer en el plazo de diez días en el presente proceso constitucional.</w:t>
      </w:r>
    </w:p>
    <w:p w:rsidR="00AC56D6" w:rsidRDefault="00AC56D6" w:rsidP="00AC56D6">
      <w:pPr>
        <w:pStyle w:val="TextoNormal"/>
      </w:pPr>
    </w:p>
    <w:p w:rsidR="00AC56D6" w:rsidRDefault="00AC56D6" w:rsidP="00AC56D6">
      <w:pPr>
        <w:pStyle w:val="TextoNormal"/>
      </w:pPr>
      <w:r w:rsidRPr="00AC56D6">
        <w:rPr>
          <w:rStyle w:val="NumeroAFNegritaCaracter"/>
        </w:rPr>
        <w:t>5</w:t>
      </w:r>
      <w:r>
        <w:t>. Por diligencia de ordenación de la Secretaria de Justicia de la Sala Segunda de 29 de julio de 2014 se tuvo por personado a don Edgar A.B.P. y, conforme se interesa, se libró oportuna comunicación al Ilustre Colegio de Abogados de Madrid a fin de que, si procede, se designen Abogado y Procurador de oficio para que asuman su defensa y representación en las presentes actuaciones.</w:t>
      </w:r>
    </w:p>
    <w:p w:rsidR="00AC56D6" w:rsidRDefault="00AC56D6" w:rsidP="00AC56D6">
      <w:pPr>
        <w:pStyle w:val="TextoNormal"/>
      </w:pPr>
    </w:p>
    <w:p w:rsidR="00AC56D6" w:rsidRDefault="00AC56D6" w:rsidP="00AC56D6">
      <w:pPr>
        <w:pStyle w:val="TextoNormal"/>
      </w:pPr>
      <w:r w:rsidRPr="00AC56D6">
        <w:rPr>
          <w:rStyle w:val="NumeroAFNegritaCaracter"/>
        </w:rPr>
        <w:t>6</w:t>
      </w:r>
      <w:r>
        <w:t>. Por diligencia de ordenación de la Secretaria de Justicia de la Sala Segunda de 11 de septiembre de 2014 se tuvo por designados del turno de oficio para la representación y defensa de don Edgar A.B.P. al Procurador de los Tribunales don Ángel Francisco Codosero Rodríguez y al Abogado don Jaime Uña-Llorens Uña-Orostivar. Asimismo se procedió, conforme a lo establecido en el art. 52.1 LOTC, a dar vista de las actuaciones por plazo común de veinte días al Ministerio Fiscal y a las partes personadas, para presentar las alegaciones que estimasen pertinentes.</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7</w:t>
      </w:r>
      <w:r>
        <w:t>. La representación procesal de don Edgar A.B.P. presentó su escrito de alegaciones en este Tribunal el 25 de septiembre de 2014, exponiendo, en primer lugar, que la petición que eleva la recurrente en amparo se planteó extemporáneamente en la vía judicial ordinaria vulnerando los arts. 753, 405 y 406 LEC. Y ello, “porque el art. 753 LEC, que regula las disposiciones generales aplicables al proceso de paternidad, establece que tal procedimiento se regirá por los trámites del juicio verbal y que se contestará la demanda presentada en el plazo de 20 días, conforme a lo establecido en el art. 405 de la LEC” y, por tanto, entiende que “la demandante de amparo debería haber solicitado en la contestación a la demanda o por vía de reconvención que se conservase en el Registro Civil en primer lugar el apellido de la madre, sin que pueda hacerse esa petición “ex novo” el día de la vista oral, porque si el juez concediese dicha petición la sentencia sería incongruente al otorgar algo que no consta pedido en el suplico de la contestación a la demanda”. En consecuencia, afirma que “de estimarse el presente recurso de amparo, debería modificarse la LEC e introducir la posibilidad de que tanto el demandante como el demandado puedan modificar iniciado el juicio sus peticiones”.</w:t>
      </w:r>
    </w:p>
    <w:p w:rsidR="00AC56D6" w:rsidRDefault="00AC56D6" w:rsidP="00AC56D6">
      <w:pPr>
        <w:pStyle w:val="TextoNormal"/>
      </w:pPr>
    </w:p>
    <w:p w:rsidR="00AC56D6" w:rsidRDefault="00AC56D6" w:rsidP="00AC56D6">
      <w:pPr>
        <w:pStyle w:val="TextoNormal"/>
      </w:pPr>
      <w:r>
        <w:t>En segundo lugar se alega que la demandante incurrió en un incumplimiento de los presupuestos formales para la admisión del recurso de casación, ya que la vía del art. 477.2.1 LEC está reservada para los juicios relativos a la protección jurisdiccional de los derechos fundamentales a que se refiere el art. 53.2 CE, que no es el caso que nos ocupa, por lo que el acceso a la casación sólo habría sido posible por la vía del art. 477.2.3 LEC, si se acredita “interés casacional”, cosa que no hizo la recurrente.</w:t>
      </w:r>
    </w:p>
    <w:p w:rsidR="00AC56D6" w:rsidRDefault="00AC56D6" w:rsidP="00AC56D6">
      <w:pPr>
        <w:pStyle w:val="TextoNormal"/>
      </w:pPr>
    </w:p>
    <w:p w:rsidR="00AC56D6" w:rsidRDefault="00AC56D6" w:rsidP="00AC56D6">
      <w:pPr>
        <w:pStyle w:val="TextoNormal"/>
      </w:pPr>
      <w:r>
        <w:t>Razones que se consideran suficientes para que se desestime el recurso de amparo y a las que se añade, como cuestión de fondo, que es la hija menor la única titular del derecho a los apellidos, por lo que tanto el padre como la madre actúan en la misma posición de igualdad en este proceso, como tutores de los derechos de la hija mientras esta es menor, entendiendo que no hay razón para considerar que uno de los progenitores tiene “más razón que otro” en cuanto al de orden los apellidos, sino que será la hija la que decidirá al respecto cuando sea mayor de edad.</w:t>
      </w:r>
    </w:p>
    <w:p w:rsidR="00AC56D6" w:rsidRDefault="00AC56D6" w:rsidP="00AC56D6">
      <w:pPr>
        <w:pStyle w:val="TextoNormal"/>
      </w:pPr>
    </w:p>
    <w:p w:rsidR="00AC56D6" w:rsidRDefault="00AC56D6" w:rsidP="00AC56D6">
      <w:pPr>
        <w:pStyle w:val="TextoNormal"/>
      </w:pPr>
      <w:r w:rsidRPr="00AC56D6">
        <w:rPr>
          <w:rStyle w:val="NumeroAFNegritaCaracter"/>
        </w:rPr>
        <w:t>8</w:t>
      </w:r>
      <w:r>
        <w:t>. El Ministerio Fiscal presentó su escrito de alegaciones en este Tribunal el 13 de octubre de 2014 solicitando, de acuerdo con lo dispuesto en los arts. 53 y 55 LOTC, el otorgamiento del amparo.</w:t>
      </w:r>
    </w:p>
    <w:p w:rsidR="00AC56D6" w:rsidRDefault="00AC56D6" w:rsidP="00AC56D6">
      <w:pPr>
        <w:pStyle w:val="TextoNormal"/>
      </w:pPr>
    </w:p>
    <w:p w:rsidR="00AC56D6" w:rsidRDefault="00AC56D6" w:rsidP="00AC56D6">
      <w:pPr>
        <w:pStyle w:val="TextoNormal"/>
      </w:pPr>
      <w:r>
        <w:t xml:space="preserve">Tras hacer un resumen de los antecedentes y una síntesis del contenido de la demanda de amparo, el Fiscal expone que el orden de los apellidos en los casos de determinación de la filiación paterna y materna viene fijado en el art. 109 CC, que ha de ponerse en conexión con lo dispuesto en el art. 53 de la Ley del Registro Civil, en su redacción dada por la Ley 13/2005, de 1 de julio, así como con el art. 194 RRC, en su redacción dada por Real Decreto 193/2000, de 11 de febrero y, finalmente, con el art. 197 RRC, que prevé que en los supuestos de inscripción posterior de la filiación paterna, como sucede en el presente caso, se deberá fijar el orden de los apellidos del hijo. El Fiscal concluye que en defecto de acuerdo o cuando no se ejercita la opción de forma explícita, el art. 109 CC apela al criterio que fije la ley y, puesto que ni en el art. 53, ni en el art. 55, ambos de la Ley del Registro Civil, en su actual redacción, se hace mención alguna a dicho orden, debe acudirse a lo dispuesto en el art. 194 RRC, que fija el criterio legal dando preferencia al apellido paterno sobre el materno, por lo que, a juicio del Fiscal, el padre sigue gozando de una posición preferente en </w:t>
      </w:r>
      <w:r>
        <w:lastRenderedPageBreak/>
        <w:t>el ámbito de la decisión sobre los apellidos y, con ello, el modelo legal es notablemente deficitario en orden a garantizar plenamente el principio de igualdad entre los progenitores, al no erradicar el criterio de discriminación por razón de sexo que deriva de la preferencia legal del apellido paterno.</w:t>
      </w:r>
    </w:p>
    <w:p w:rsidR="00AC56D6" w:rsidRDefault="00AC56D6" w:rsidP="00AC56D6">
      <w:pPr>
        <w:pStyle w:val="TextoNormal"/>
      </w:pPr>
    </w:p>
    <w:p w:rsidR="00AC56D6" w:rsidRDefault="00AC56D6" w:rsidP="00AC56D6">
      <w:pPr>
        <w:pStyle w:val="TextoNormal"/>
      </w:pPr>
      <w:r>
        <w:t>De acuerdo con lo expuesto, el Fiscal considera que, pese a la situación legal vigente en el momento en que se produjeron los hechos objeto del presente recurso de amparo, el principio de igualdad de trato entre hombres y mujeres debe presidir la interpretación y aplicación de las normas por parte de los Tribunales, de acuerdo con lo dispuesto en el art. 4 de la Ley 3/2007, de 22 de marzo, para la igualdad efectiva de mujeres y hombres, así como en los textos internacionales que forman parte de nuestro ordenamiento jurídico y que instan a los Estados a erradicar de sus ordenamientos jurídicos nacionales todo atisbo de discriminación de la mujer, citando en este sentido la Convención de Naciones Unidas sobre la eliminación de todas las formas de discriminación contra la mujer, ratificada por España el 5 de enero de 1984; la Decisión del Comité para la Eliminación de la Discriminación contra la Mujer, de 4 de agosto de 2009; y la Recomendación 1271 (1995) del Consejo de Europa, relativa a las discriminaciones entre hombres y mujeres para la elección del apellido y la transmisión del apellido de padres a hijos, que insta a los Estados miembros a adoptar medidas apropiadas para implementar la estricta igualdad entre madres y padres en la transmisión de los apellidos a sus hijos.</w:t>
      </w:r>
    </w:p>
    <w:p w:rsidR="00AC56D6" w:rsidRDefault="00AC56D6" w:rsidP="00AC56D6">
      <w:pPr>
        <w:pStyle w:val="TextoNormal"/>
      </w:pPr>
    </w:p>
    <w:p w:rsidR="00AC56D6" w:rsidRDefault="00AC56D6" w:rsidP="00AC56D6">
      <w:pPr>
        <w:pStyle w:val="TextoNormal"/>
      </w:pPr>
      <w:r>
        <w:t xml:space="preserve">En consecuencia, el Fiscal afirma que coincide con los términos de la lesión constitucional denunciada por la demandante de amparo, toda vez que el criterio legal de preferencia o de primacía del apellido paterno sobre el materno en defecto de acuerdo entre los progenitores es frontalmente contrario al principio constitucional de igualdad y no discriminación por razón de sexo proclamado en el art. 14 CE, citando en este sentido la STC 39/2002, FJ 5, así como diversos pronunciamientos del Tribunal Europeo de Derecho Humanos, de entre los que cabe destacar los casos </w:t>
      </w:r>
      <w:r w:rsidRPr="00AC56D6">
        <w:rPr>
          <w:i/>
        </w:rPr>
        <w:t>Ünal Tekeli c. Turquía</w:t>
      </w:r>
      <w:r>
        <w:t xml:space="preserve">, de 16 de noviembre de 2004; </w:t>
      </w:r>
      <w:r w:rsidRPr="00AC56D6">
        <w:rPr>
          <w:i/>
        </w:rPr>
        <w:t>Cusan y Fazzo c. Italia</w:t>
      </w:r>
      <w:r>
        <w:t xml:space="preserve">, de 7 de enero de 2014 </w:t>
      </w:r>
      <w:r w:rsidRPr="00AC56D6">
        <w:rPr>
          <w:i/>
        </w:rPr>
        <w:t>y Losonci Rose y Rose c. Suiza</w:t>
      </w:r>
      <w:r>
        <w:t>, de 9 de noviembre de 2010, de los que se desprende que para el Tribunal Europeo de Derecho Humanos la imposición del apellido paterno, sin opción o excepción alguna, es una regla discriminatoria contra las mujeres.</w:t>
      </w:r>
    </w:p>
    <w:p w:rsidR="00AC56D6" w:rsidRDefault="00AC56D6" w:rsidP="00AC56D6">
      <w:pPr>
        <w:pStyle w:val="TextoNormal"/>
      </w:pPr>
    </w:p>
    <w:p w:rsidR="00AC56D6" w:rsidRDefault="00AC56D6" w:rsidP="00AC56D6">
      <w:pPr>
        <w:pStyle w:val="TextoNormal"/>
      </w:pPr>
      <w:r>
        <w:t>El Fiscal añade que en el caso que nos ocupa el cambio de apellidos acordado en las resoluciones judiciales impugnadas se hizo sin valorar el posible perjuicio ocasionado a la hija, quien de esta forma “ve modificada su identidad de forma drástica en los primeros años de su vida cuando aprende quién es, cómo se llama, en definitiva, como decimos, su identidad”, argumentando que si bien en la demanda de amparo no hay una invocación expresa del derecho al nombre de la menor, como derecho integrado dentro del más amplio derecho fundamental a la propia imagen (art. 18.1 CE) y como manifestación del derecho al libre desarrollo de la personalidad (art. 10.1 CE), desde un criterio de flexibilidad en la tutela de los derechos fundamentales que inspira la doctrina constitucional (SSTC 35/2006, FJ 2, y 191/2011, FJ 6) podría entenderse que no hay obstáculo alguno en examinar también el amparo solicitado desde la perspectiva de los derechos fundamentales de la hija menor, lo que contaría con el precedente de la STC 167/2013, de 7 de octubre. Así, el Fiscal considera que los Tribunales ordinarios debieron ponderar el interés de la hija menor, como interés de carácter prevalente, por lo que las resoluciones judiciales impugnadas habrían vulnerado también el derecho a la propia imagen de la menor (art. 18.1 CE).</w:t>
      </w:r>
    </w:p>
    <w:p w:rsidR="00AC56D6" w:rsidRDefault="00AC56D6" w:rsidP="00AC56D6">
      <w:pPr>
        <w:pStyle w:val="TextoNormal"/>
      </w:pPr>
    </w:p>
    <w:p w:rsidR="00AC56D6" w:rsidRDefault="00AC56D6" w:rsidP="00AC56D6">
      <w:pPr>
        <w:pStyle w:val="TextoNormal"/>
      </w:pPr>
      <w:r w:rsidRPr="00AC56D6">
        <w:rPr>
          <w:rStyle w:val="NumeroAFNegritaCaracter"/>
        </w:rPr>
        <w:t>9</w:t>
      </w:r>
      <w:r>
        <w:t>. Por providencia de 26 de noviembre de 2015, se señaló para la deliberación y votación de la presente Sentencia el día 30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demanda de amparo se dirige contra las resoluciones judiciales que aparecen reflejadas en el encabezamiento de la presente Sentencia, por vulneración “del derecho a la igualdad ante la ley, sin que pueda prevalecer discriminación alguna por razón de sexo, previsto en el art. 14 CE”. Se aduce que la aplicación automática de los arts. 109 del Código civil (CC) y 194 del Reglamento del Registro civil (RRC) genera una situación de desigualdad entre las partes, al otorgar al padre la capacidad última de decisión en relación con el orden de los apellidos de la menor, pues la ley deja al libre arbitrio del padre, por el sólo hecho de ser varón, la decisión sobre el orden de los apellidos de la menor si no existe acuerdo entre los progenitores, lo que evidencia una situación de desigualdad por razón de sexo que vulnera el art. 14 CE. Para la parte recurrente los arts. 194 RRC y 109 CC vulneran de forma flagrante el principio de igualdad entre hombre y mujer, lo que no se corrige en las resoluciones judiciales recurridas que, además, tampoco valoran el consiguiente perjuicio ocasionado a la niña, que ve modificado el orden de sus apellidos.</w:t>
      </w:r>
    </w:p>
    <w:p w:rsidR="00AC56D6" w:rsidRDefault="00AC56D6" w:rsidP="00AC56D6">
      <w:pPr>
        <w:pStyle w:val="TextoNormal"/>
      </w:pPr>
    </w:p>
    <w:p w:rsidR="00AC56D6" w:rsidRDefault="00AC56D6" w:rsidP="00AC56D6">
      <w:pPr>
        <w:pStyle w:val="TextoNormal"/>
      </w:pPr>
      <w:r>
        <w:t>Por el contrario, la representación procesal de don Edgar A.B.P. interesa la denegación del amparo alegando, en primer lugar, el incumplimiento de los presupuestos procesales y las reglas del proceso de reclamación de paternidad, argumentando que la petición de la recurrente se planteó extemporáneamente en la vía judicial ordinaria, vulnerando los arts. 753, 405 y 406 de la Ley de enjuiciamiento civil (LEC). En segundo lugar, aduce que la recurrente utiliza una vía inadecuada al interponer el recurso de casación, toda vez que tal recurso no podía ser admitido por la vía del art. 477.2.1 LEC, sino sólo utilizando el cauce previsto en el art. 477.2.3 LEC, siempre que se acredite “interés casacional”. Por último, entiende que no se produce vulneración del art. 14 CE, pues la hija menor es la única titular del derecho a los apellidos y tanto el padre como la madre actúan en la misma posición de igualdad en este proceso.</w:t>
      </w:r>
    </w:p>
    <w:p w:rsidR="00AC56D6" w:rsidRDefault="00AC56D6" w:rsidP="00AC56D6">
      <w:pPr>
        <w:pStyle w:val="TextoNormal"/>
      </w:pPr>
    </w:p>
    <w:p w:rsidR="00AC56D6" w:rsidRDefault="00AC56D6" w:rsidP="00AC56D6">
      <w:pPr>
        <w:pStyle w:val="TextoNormal"/>
      </w:pPr>
      <w:r>
        <w:t>Por su parte el Ministerio Fiscal interesa, en los términos que se han reproducido con detalle en los antecedentes, que se dicte Sentencia estimando el recurso de amparo por vulneración de la prohibición de discriminación por razón de sexo del art. 14 CE y del derecho a la propia imagen de la menor previsto en el art. 18.1 CE.</w:t>
      </w:r>
    </w:p>
    <w:p w:rsidR="00AC56D6" w:rsidRDefault="00AC56D6" w:rsidP="00AC56D6">
      <w:pPr>
        <w:pStyle w:val="TextoNormal"/>
      </w:pPr>
    </w:p>
    <w:p w:rsidR="00AC56D6" w:rsidRDefault="00AC56D6" w:rsidP="00AC56D6">
      <w:pPr>
        <w:pStyle w:val="TextoNormal"/>
      </w:pPr>
      <w:r>
        <w:t xml:space="preserve">Entiende el Fiscal que la ley sigue dando preferencia al apellido paterno sobre el materno y, en consecuencia, que el modelo legal es notablemente deficitario en orden a garantizar plenamente el principio de igualdad entre los progenitores, por lo que han de ser los órganos judiciales quienes corrijan esta desigualdad en el momento de interpretar y aplicar las normas. Asimismo, considera que los órganos judiciales también han de valorar el posible perjuicio ocasionado a la menor, quien ve modificada su identidad con el cambio de apellidos, aclarando que, si bien en la demanda de amparo no hay una invocación expresa del derecho al nombre, como derecho integrado dentro del más amplio derecho fundamental a la propia imagen (art. 18.1 CE), desde un criterio de flexibilidad en la tutela de los derechos fundamentales que inspira la doctrina constitucional (SSTC 191/2011, FJ 6 y 35/2006, FJ 2), </w:t>
      </w:r>
      <w:r>
        <w:lastRenderedPageBreak/>
        <w:t>podría entenderse que no hay obstáculo alguno en examinar también el amparo solicitado atendiendo a la eventual vulneración del art. 18.1 CE de la menor.</w:t>
      </w:r>
    </w:p>
    <w:p w:rsidR="00AC56D6" w:rsidRDefault="00AC56D6" w:rsidP="00AC56D6">
      <w:pPr>
        <w:pStyle w:val="TextoNormal"/>
      </w:pPr>
    </w:p>
    <w:p w:rsidR="00AC56D6" w:rsidRDefault="00AC56D6" w:rsidP="00AC56D6">
      <w:pPr>
        <w:pStyle w:val="TextoNormal"/>
      </w:pPr>
      <w:r w:rsidRPr="00AC56D6">
        <w:rPr>
          <w:rStyle w:val="NumeroAFNegritaCaracter"/>
        </w:rPr>
        <w:t>2</w:t>
      </w:r>
      <w:r>
        <w:t xml:space="preserve">. Aunque ninguna de las partes comparecidas ha puesto en duda la especial trascendencia constitucional de este recurso, que es requisito para su admisión de conformidad con los arts. 49.1 y 50.1 b) de nuestra Ley Orgánica reguladora, esta condición de requisito de admisión y por consiguiente de orden público procesal (entre otras, STC 113/2012, de 24 de mayo, FJ 2, y las allí citadas) así como exigencias de certeza y buena administración de justicia (STEDH de 20 de enero de 2015, caso </w:t>
      </w:r>
      <w:r w:rsidRPr="00AC56D6">
        <w:rPr>
          <w:i/>
        </w:rPr>
        <w:t>Arribas Antón c. España</w:t>
      </w:r>
      <w:r>
        <w:t>, apartado 46) obligan a explicitar el cumplimiento de ese requisito para hacer así recognoscibles los criterios empleados al efecto por este Tribunal.</w:t>
      </w:r>
    </w:p>
    <w:p w:rsidR="00AC56D6" w:rsidRDefault="00AC56D6" w:rsidP="00AC56D6">
      <w:pPr>
        <w:pStyle w:val="TextoNormal"/>
      </w:pPr>
    </w:p>
    <w:p w:rsidR="00AC56D6" w:rsidRDefault="00AC56D6" w:rsidP="00AC56D6">
      <w:pPr>
        <w:pStyle w:val="TextoNormal"/>
      </w:pPr>
      <w:r>
        <w:t>En el presente caso, este Tribunal decidió admitir el recurso de amparo porque su objeto podría dar ocasión para aclarar nuestra doctrina en materia de derecho de igualdad, como consecuencia de un proceso de reflexión interna [supuesto b) de los enunciados en la STC 155/2009, de 25 de junio, FJ 2], y además, en segundo lugar, porque dicho objeto permitía a este Tribunal valorar si la eventual vulneración del derecho fundamental que se denuncia proviene de la ley [supuesto c) de la STC 155/2009, FJ 2, antes citada]. Lo cual no significa necesariamente que esos dos factores relevantes para decidir la admisión del recurso deban trasladarse al núcleo de nuestra razón de decidir sobre el fondo del recurso, como ya tuvimos ocasión de aclarar en la STC 9/2015, de 2 de febrero, FJ 3.</w:t>
      </w:r>
    </w:p>
    <w:p w:rsidR="00AC56D6" w:rsidRDefault="00AC56D6" w:rsidP="00AC56D6">
      <w:pPr>
        <w:pStyle w:val="TextoNormal"/>
      </w:pPr>
    </w:p>
    <w:p w:rsidR="00AC56D6" w:rsidRDefault="00AC56D6" w:rsidP="00AC56D6">
      <w:pPr>
        <w:pStyle w:val="TextoNormal"/>
      </w:pPr>
      <w:r w:rsidRPr="00AC56D6">
        <w:rPr>
          <w:rStyle w:val="NumeroAFNegritaCaracter"/>
        </w:rPr>
        <w:t>3</w:t>
      </w:r>
      <w:r>
        <w:t>. A tenor de lo expuesto en el fundamento jurídico primero, debemos pronunciarnos en primer lugar respecto de los óbices de admisibilidad aducidos por la representación procesal de don Edgar A.B.P., antes de entrar a analizar, en su caso, las quejas planteadas en la demanda de amparo. Este análisis no encuentra obstáculo en el momento procesal en que nos hallamos pues, según este Tribunal ha declarado repetidamente, los defectos insubsanables de que pudiera estar afectado el recurso de amparo no resultan sanados porque la demanda haya sido inicialmente admitida, de modo que la comprobación de los presupuestos procesales para la viabilidad de la acción puede siempre abordarse en la Sentencia, de oficio o a instancia de parte, pudiendo dar lugar a un pronunciamiento de inadmisión por falta de tales presupuestos, sin que sea obstáculo el carácter tasado de los pronunciamientos previstos en el art. 53 de la Ley Orgánica del Tribunal Constitucional (LOTC; por todas, SSTC 7/2007, de 15 de enero, FJ 2; 242/2007, de 10 de diciembre, FJ 2; 43/2008, de 10 de marzo; FJ 2; 28/2011, de 14 de marzo, FJ 3, y 168/2012, de 1 de octubre, FJ 3).</w:t>
      </w:r>
    </w:p>
    <w:p w:rsidR="00AC56D6" w:rsidRDefault="00AC56D6" w:rsidP="00AC56D6">
      <w:pPr>
        <w:pStyle w:val="TextoNormal"/>
      </w:pPr>
    </w:p>
    <w:p w:rsidR="00AC56D6" w:rsidRDefault="00AC56D6" w:rsidP="00AC56D6">
      <w:pPr>
        <w:pStyle w:val="TextoNormal"/>
      </w:pPr>
      <w:r>
        <w:t xml:space="preserve">Se alega en primer lugar que la petición que eleva la recurrente en amparo se planteó extemporáneamente en la vía judicial ordinaria. Y ello, porque el art. 753 LEC, que regula las disposiciones generales aplicables al proceso de filiación, establece que el procedimiento se regirá por los trámites del juicio verbal y que se contestará a la demanda presentada en el plazo de 20 días, conforme a lo establecido en el art. 405 LEC. Por tanto, la representación procesal de la hoy demandante de amparo debería haber solicitado en la contestación a la demanda de determinación legal de la filiación paterna extramatrimonial que, de ser reconocida la paternidad, se mantenga en primer lugar el apellido de la madre —exponiendo las razones que a bien tuviera aducir—, no siendo posible plantear dicha solicitud </w:t>
      </w:r>
      <w:r w:rsidRPr="00AC56D6">
        <w:rPr>
          <w:i/>
        </w:rPr>
        <w:t>ex novo</w:t>
      </w:r>
      <w:r>
        <w:t xml:space="preserve"> el día de la vista oral.</w:t>
      </w:r>
    </w:p>
    <w:p w:rsidR="00AC56D6" w:rsidRDefault="00AC56D6" w:rsidP="00AC56D6">
      <w:pPr>
        <w:pStyle w:val="TextoNormal"/>
      </w:pPr>
    </w:p>
    <w:p w:rsidR="00AC56D6" w:rsidRDefault="00AC56D6" w:rsidP="00AC56D6">
      <w:pPr>
        <w:pStyle w:val="TextoNormal"/>
      </w:pPr>
      <w:r>
        <w:lastRenderedPageBreak/>
        <w:t>En relación con esta alegación, debemos comenzar constatando, como ha quedado reflejado con detalle en los antecedentes, que en el suplico de la demanda de reclamación de filiación paterna interpuesta por la representación procesal de don Edgar A.B.P. se solicitaba expresamente, además del reconocimiento de paternidad de la menor, la inscripción y rectificación correspondiente en el Registro Civil de Madrid “a fin de ordenar que tras el nombre de la niña figure el primer apellido del padre, realizando cualquier otra rectificación que sea necesaria en el acta de nacimiento”. No obstante lo anterior, y como también consta en los antecedentes, la contestación a la demanda se realizó sin oposición a dicha pretensión, afirmando literalmente, tanto en el encabezamiento de dicho escrito, como en el suplico, que “venimos a contestar a dicha demanda sin oponernos a la misma”.</w:t>
      </w:r>
    </w:p>
    <w:p w:rsidR="00AC56D6" w:rsidRDefault="00AC56D6" w:rsidP="00AC56D6">
      <w:pPr>
        <w:pStyle w:val="TextoNormal"/>
      </w:pPr>
    </w:p>
    <w:p w:rsidR="00AC56D6" w:rsidRDefault="00AC56D6" w:rsidP="00AC56D6">
      <w:pPr>
        <w:pStyle w:val="TextoNormal"/>
      </w:pPr>
      <w:r>
        <w:t>Fue posteriormente, en la vista oral, cuando la defensa de la demandante de amparo se opuso al cambio en el orden de los apellidos, solicitando al órgano judicial que se mantuviera en la inscripción registral como primer apellido de la menor el de la madre. Solicitud que el Fiscal calificó en ese momento de extemporánea, tal y como se refleja en el acta del juicio oral. Dicha extemporaneidad se refleja en el fallo y se motiva en el fundamento jurídico tercero de la Sentencia de 4 de octubre de 2012 del Juzgado de Violencia sobre la Mujer núm. 8 de Madrid. Pero además, la reconoce la propia defensa de la recurrente en el recurso de apelación interpuesto contra dicha resolución, al afirmar que la petición de desestimar la solicitud del padre sobre el orden de los apellidos, “no se incluyó en la contestación a la demanda porque Joana Tejado Hernández la transmitió a la Letrado firmante días antes de que tuviera lugar la celebración del juicio. Por ello, fue en la vista del Juicio Oral donde se solicitó”.</w:t>
      </w:r>
    </w:p>
    <w:p w:rsidR="00AC56D6" w:rsidRDefault="00AC56D6" w:rsidP="00AC56D6">
      <w:pPr>
        <w:pStyle w:val="TextoNormal"/>
      </w:pPr>
    </w:p>
    <w:p w:rsidR="00AC56D6" w:rsidRDefault="00AC56D6" w:rsidP="00AC56D6">
      <w:pPr>
        <w:pStyle w:val="TextoNormal"/>
      </w:pPr>
      <w:r>
        <w:t>Pues bien, el art. 405.1 LEC prevé, entre otros extremos, que en la contestación a la demanda “el demandado expondrá los fundamentos de su oposición a las pretensiones del actor, alegando las excepciones materiales que tuviere por conveniente”. La contestación a la demanda es, por tanto, el acto procesal en el que el demandado fija su posición frente a la pretensión o pretensiones formuladas por el actor, y en el que se han de exponer los argumentos pertinentes para fundamentar dicha oposición y, en su caso, proponer los medios de prueba o la aportación de documentos que considere necesarios, con el consiguiente efecto preclusivo caso de no ejercitar dicha facultad procesal.</w:t>
      </w:r>
    </w:p>
    <w:p w:rsidR="00AC56D6" w:rsidRDefault="00AC56D6" w:rsidP="00AC56D6">
      <w:pPr>
        <w:pStyle w:val="TextoNormal"/>
      </w:pPr>
    </w:p>
    <w:p w:rsidR="00AC56D6" w:rsidRDefault="00AC56D6" w:rsidP="00AC56D6">
      <w:pPr>
        <w:pStyle w:val="TextoNormal"/>
      </w:pPr>
      <w:r>
        <w:t xml:space="preserve">Por otro lado, como es sabido, dicha preclusión no afecta de forma exclusiva y autónoma a la primera instancia, sino que se proyecta sobre los demás grados jurisdiccionales de los que conozca ese proceso, lo que se hace patente en el recurso de apelación, que se configura como una </w:t>
      </w:r>
      <w:r w:rsidRPr="00AC56D6">
        <w:rPr>
          <w:i/>
        </w:rPr>
        <w:t>revisio prioris instantiae</w:t>
      </w:r>
      <w:r>
        <w:t xml:space="preserve"> y no como un </w:t>
      </w:r>
      <w:r w:rsidRPr="00AC56D6">
        <w:rPr>
          <w:i/>
        </w:rPr>
        <w:t>novum iudicium</w:t>
      </w:r>
      <w:r>
        <w:t>. También en el recurso de casación, como ha insistido reiteradamente el Tribunal Supremo, al prohibir el planteamiento en el escrito de interposición, de “cuestiones nuevas” no tratadas en la instancia (últimamente entre otras, SSTS 170/2015, de 26 de marzo, y 198/2015, de 17 de abril, de la Sala Primera).</w:t>
      </w:r>
    </w:p>
    <w:p w:rsidR="00AC56D6" w:rsidRDefault="00AC56D6" w:rsidP="00AC56D6">
      <w:pPr>
        <w:pStyle w:val="TextoNormal"/>
      </w:pPr>
    </w:p>
    <w:p w:rsidR="00AC56D6" w:rsidRDefault="00AC56D6" w:rsidP="00AC56D6">
      <w:pPr>
        <w:pStyle w:val="TextoNormal"/>
      </w:pPr>
      <w:r>
        <w:t xml:space="preserve">Finalmente, también afecta al presente proceso constitucional, debido al carácter subsidiario de la jurisdicción constitucional de amparo, que resultará desvirtuada si ante ella se trajeran cuestiones sobre las que previamente, a través de las vías procesales oportunas, no se ha dado ocasión de pronunciarse a los órganos del Poder Judicial, que son los que de modo directo y en primer término garantizan los derechos fundamentales que la Constitución proclama (STC 53/2012, de 29 de marzo, FJ 2; en igual sentido: SSTC 201/2000, de </w:t>
      </w:r>
      <w:r>
        <w:lastRenderedPageBreak/>
        <w:t>24 de julio, FJ 2; 130/2006, de 24 de abril, FJ 4, y 132/2006, de 27 de abril, FJ 2, entre otras).</w:t>
      </w:r>
    </w:p>
    <w:p w:rsidR="00AC56D6" w:rsidRDefault="00AC56D6" w:rsidP="00AC56D6">
      <w:pPr>
        <w:pStyle w:val="TextoNormal"/>
      </w:pPr>
    </w:p>
    <w:p w:rsidR="00AC56D6" w:rsidRDefault="00AC56D6" w:rsidP="00AC56D6">
      <w:pPr>
        <w:pStyle w:val="TextoNormal"/>
      </w:pPr>
      <w:r w:rsidRPr="00AC56D6">
        <w:rPr>
          <w:rStyle w:val="NumeroAFNegritaCaracter"/>
        </w:rPr>
        <w:t>4</w:t>
      </w:r>
      <w:r>
        <w:t>. No obstante lo anterior, a la vista de las resoluciones recurridas se desprende que, tanto la Sentencia del Juzgado de Violencia sobre la Mujer núm. 8 de Madrid, como la Sentencia de la Audiencia Provincial de Madrid, si bien constatan la extemporaneidad de la solicitud de la demandante respecto del orden de apellidos de la menor, hacen una valoración respecto del fondo de dicha pretensión. Así, en la Sentencia de 4 de octubre de 2012 del Juzgado de Violencia sobre la Mujer núm. 8 de Madrid se afirma que: “además téngase en cuenta que conforme a los artículos 49 y 53 de la Ley del Registro Civil y el art. 194 del Reglamento del Registro Civil, si la filiación está determinada por ambas líneas y, a salvo la opción prevista en el art. 109 del Código Civil, en su redacción actual dada por la Ley 40/1999, el primer apellido es el del padre y el segundo apellido el primero de los personales de la madre. La inversión del orden de los apellidos puede hacerse, pero mediando común acuerdo de los progenitores”. Por su parte, la Sentencia de 14 de marzo de 2013 de la Audiencia Provincial de Madrid, tras afirmar que, de conformidad con el art. 406 LEC en relación con el art. 400 del mismo Cuerpo Legal, la petición es extemporánea, añade que el demandante don Edgar A.B.P se opone al cambio del orden de los apellidos “por lo que no se cumple la previsión contemplada en el párrafo segundo del artículo 109 CC”, sin que el perjuicio ocasionado a la menor que aduce la demandante, cuente con ningún tipo de corroboración probatoria.</w:t>
      </w:r>
    </w:p>
    <w:p w:rsidR="00AC56D6" w:rsidRDefault="00AC56D6" w:rsidP="00AC56D6">
      <w:pPr>
        <w:pStyle w:val="TextoNormal"/>
      </w:pPr>
    </w:p>
    <w:p w:rsidR="00AC56D6" w:rsidRDefault="00AC56D6" w:rsidP="00AC56D6">
      <w:pPr>
        <w:pStyle w:val="TextoNormal"/>
      </w:pPr>
      <w:r>
        <w:t>En consecuencia, podría entenderse que, pese a lo extemporáneo de la solicitud, los órganos judiciales entran a valora la cuestión de fondo, quedando así salvada la naturaleza subsidiaria del recurso de amparo.</w:t>
      </w:r>
    </w:p>
    <w:p w:rsidR="00AC56D6" w:rsidRDefault="00AC56D6" w:rsidP="00AC56D6">
      <w:pPr>
        <w:pStyle w:val="TextoNormal"/>
      </w:pPr>
    </w:p>
    <w:p w:rsidR="00AC56D6" w:rsidRDefault="00AC56D6" w:rsidP="00AC56D6">
      <w:pPr>
        <w:pStyle w:val="TextoNormal"/>
      </w:pPr>
      <w:r w:rsidRPr="00AC56D6">
        <w:rPr>
          <w:rStyle w:val="NumeroAFNegritaCaracter"/>
        </w:rPr>
        <w:t>5</w:t>
      </w:r>
      <w:r>
        <w:t>. Sin embargo, como se ha expuesto con detalle en los antecedentes, la primera vez que la representación procesal de la recurrente plantea la queja que hoy se eleva en amparo, esto es, la eventual vulneración del derecho a la igualdad (art. 14 CE) derivada de la prevalencia del apellido del padre respecto del de la madre, es en el recurso de casación. Dicha vulneración no se denuncia en primera instancia, ni en el recurso de apelación, pues los argumentos que se elevan para fundamentar la petición se centran exclusivamente en defender los intereses de la menor, con el fin de evitarle posibles perjuicios, pero nada se alega en relación con la vulneración del derecho a la igualdad, ni se puede inferir tal invocación de la argumentación de la demandante, por lo que no se puede reprochar a estos órganos judiciales el no haber realizado ningún juicio de igualdad, ni ponderación alguna al respecto, pues no cabe deducir que la queja haya quedado acotada “en términos tales que permitan al órgano judicial entrar a conocer de las específicas vulneraciones aducidas” (SSTC 212/1993, de 28 de junio, FJ 1, y 117/2002, de 20 de mayo, FJ 2, entre otras).</w:t>
      </w:r>
    </w:p>
    <w:p w:rsidR="00AC56D6" w:rsidRDefault="00AC56D6" w:rsidP="00AC56D6">
      <w:pPr>
        <w:pStyle w:val="TextoNormal"/>
      </w:pPr>
    </w:p>
    <w:p w:rsidR="00AC56D6" w:rsidRDefault="00AC56D6" w:rsidP="00AC56D6">
      <w:pPr>
        <w:pStyle w:val="TextoNormal"/>
      </w:pPr>
      <w:r>
        <w:t xml:space="preserve">Esta falta de denuncia de la vulneración también constituye una causa de inadmisión del recurso de casación pues, como ya hemos indicado, no cabe el planteamiento en esta instancia de “cuestiones nuevas” no tratadas con anterioridad. Causa de inadmisión que se une a la ya señalada en sendos Autos de la Audiencia Provincial de Madrid y del Tribunal Supremo, al haberse utilizado el cauce previsto en el art. 477.2.1 LEC, en vez del recogido en el art. 477.2.3 LEC, como habría sido procedente y cuyo defecto de interposición la demanda de amparo no cuestiona, prescindiendo de dar argumentos que permitan justificar la </w:t>
      </w:r>
      <w:r>
        <w:lastRenderedPageBreak/>
        <w:t>procedencia de su recurso, por lo que, además de la falta de invocación del derecho, debemos aplicar la doctrina fijada en el Auto 198/2010, de 21 de diciembre, FJ 2, al haber utilizado un cauce erróneo de casación.</w:t>
      </w:r>
    </w:p>
    <w:p w:rsidR="00AC56D6" w:rsidRDefault="00AC56D6" w:rsidP="00AC56D6">
      <w:pPr>
        <w:pStyle w:val="TextoNormal"/>
      </w:pPr>
    </w:p>
    <w:p w:rsidR="00AC56D6" w:rsidRDefault="00AC56D6" w:rsidP="00AC56D6">
      <w:pPr>
        <w:pStyle w:val="TextoNormal"/>
      </w:pPr>
      <w:r w:rsidRPr="00AC56D6">
        <w:rPr>
          <w:rStyle w:val="NumeroAFNegritaCaracter"/>
        </w:rPr>
        <w:t>6</w:t>
      </w:r>
      <w:r>
        <w:t>. De acuerdo con lo expuesto y atendiendo a los requisitos de admisibilidad del recurso de amparo previstos en el art. 44 LOTC, la demanda de amparo no cumple con el requisito previsto en el art. 44.1 c) LOTC, que condiciona la admisión de todo recurso de amparo al cumplimiento del requisito inexcusable de que “se haya denunciado formalmente en el proceso, si hubo oportunidad, la vulneración del derecho constitucional tan pronto como, una vez conocida, hubiera lugar para ello”.</w:t>
      </w:r>
    </w:p>
    <w:p w:rsidR="00AC56D6" w:rsidRDefault="00AC56D6" w:rsidP="00AC56D6">
      <w:pPr>
        <w:pStyle w:val="TextoNormal"/>
      </w:pPr>
    </w:p>
    <w:p w:rsidR="00AC56D6" w:rsidRDefault="00AC56D6" w:rsidP="00AC56D6">
      <w:pPr>
        <w:pStyle w:val="TextoNormal"/>
      </w:pPr>
      <w:r>
        <w:t xml:space="preserve">Razones por las que este Tribunal no puede enjuiciar </w:t>
      </w:r>
      <w:r w:rsidRPr="00AC56D6">
        <w:rPr>
          <w:i/>
        </w:rPr>
        <w:t>ex novo</w:t>
      </w:r>
      <w:r>
        <w:t xml:space="preserve"> la vulneración del art. 14 CE que aduce la recurrente, dado que los órganos judiciales no tuvieron la oportunidad de entrar en el fondo de dicha pretensión por las razones que ya se han explicado, debiendo preservarse el carácter subsidiario del recurso de amparo que tiene como finalidad facilitar que los Jueces y Tribunales puedan cumplir su función de tutelar los derechos y libertades, así como la de conseguir que los órganos judiciales ordinarios remedien por sí mismos la violación que ellos causen del derecho o libertad fundamental (SSTC 201/2000, de 24 de julio, FJ 2; 130/2006, de 24 de abril, FJ 4; 132/2006, de 27 de abril, FJ 2, y 53/2012, de 29 de marzo, FJ 2, entre otras), dándoles “la oportunidad de pronunciarse y, en su caso, remediar la lesión invocada como fundamento del recurso de amparo constitucional” (por todas, SSTC 59/2007, de 26 de marzo, FJ 2, y 228/2007, de 5 de noviembre).</w:t>
      </w:r>
    </w:p>
    <w:p w:rsidR="00AC56D6" w:rsidRDefault="00AC56D6" w:rsidP="00AC56D6">
      <w:pPr>
        <w:pStyle w:val="TextoNormal"/>
      </w:pPr>
    </w:p>
    <w:p w:rsidR="00AC56D6" w:rsidRDefault="00AC56D6" w:rsidP="00AC56D6">
      <w:pPr>
        <w:pStyle w:val="TextoNormal"/>
      </w:pPr>
      <w:r>
        <w:t>En consecuencia, procede inadmitir el presente recurso de amparo en aplicación de los apartados a) y c) del art. 44.1 LOTC, sin pronunciamiento en cuanto al fondo de las quejas planteadas en la demanda.</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Inadmitir el recurso de amparo promovido por doña Joana Tejado Hernández.</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treinta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99" w:name="SENTENCIA_2015_243"/>
      <w:r>
        <w:lastRenderedPageBreak/>
        <w:t>SENTENCIA 243/2015, de 30 de noviembre de 2015</w:t>
      </w:r>
    </w:p>
    <w:bookmarkEnd w:id="99"/>
    <w:p w:rsidR="00AC56D6" w:rsidRDefault="00AC56D6" w:rsidP="00AC56D6">
      <w:pPr>
        <w:pStyle w:val="TtuloResolucin"/>
      </w:pPr>
      <w:r>
        <w:t>Sala Primera</w:t>
      </w:r>
    </w:p>
    <w:p w:rsidR="00AC56D6" w:rsidRDefault="00AC56D6" w:rsidP="00AC56D6">
      <w:pPr>
        <w:pStyle w:val="TtuloBOE"/>
      </w:pPr>
      <w:r>
        <w:t>(BOE núm. 10, de 12 de enero de 2016)</w:t>
      </w:r>
    </w:p>
    <w:p w:rsidR="00AC56D6" w:rsidRDefault="00AC56D6" w:rsidP="00AC56D6">
      <w:pPr>
        <w:pStyle w:val="TextoNormalCentrado"/>
      </w:pPr>
      <w:r>
        <w:t>ECLI:ES:TC:2015:243</w:t>
      </w:r>
    </w:p>
    <w:p w:rsidR="00AC56D6" w:rsidRDefault="00AC56D6" w:rsidP="00AC56D6">
      <w:pPr>
        <w:pStyle w:val="TextoNormalCentrado"/>
      </w:pPr>
    </w:p>
    <w:p w:rsidR="00AC56D6" w:rsidRDefault="00AC56D6" w:rsidP="00AC56D6">
      <w:pPr>
        <w:pStyle w:val="SntesisDescriptiva"/>
      </w:pPr>
      <w:r>
        <w:t>Cuestión de inconstitucionalidad 6522-2013. Cuestión de inconstitucionalidad 6522-2013. Planteada por la Sala de lo Social del Tribunal Superior de Justicia del País Vasco respecto del artículo 2.2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Límites a los decretos-leyes, competencias en materia de ordenación general de la economía y función pública y principio de seguridad jurídica: acreditación de la concurrencia del presupuesto habilitante y de la conexión de sentido en la supresión de la paga extraordinaria y de la paga adicional de complemento específico, correspondientes al mes de diciembre de 2012; observancia de los límites materiales de los decretos-leyes; pérdida parcial de objeto de la cuestión de inconstitucionalidad (SSTC 81/2015 y 83/2015).</w:t>
      </w:r>
    </w:p>
    <w:p w:rsidR="00AC56D6" w:rsidRDefault="00AC56D6" w:rsidP="00AC56D6">
      <w:pPr>
        <w:pStyle w:val="SntesisAnaltica"/>
      </w:pPr>
    </w:p>
    <w:p w:rsidR="00AC56D6" w:rsidRDefault="00AC56D6" w:rsidP="00AC56D6">
      <w:pPr>
        <w:pStyle w:val="Extracto"/>
      </w:pPr>
      <w:r>
        <w:t>1.</w:t>
      </w:r>
      <w:r>
        <w:tab/>
        <w:t>La satisfacción extraprocesal de la pretensión deducida en el proceso laboral sobre la que se articula la cuestión de inconstitucionalidad le hace perder su objeto, al ser tal satisfacción extraprocesal uno de los posibles supuestos de extinción de la cuestión de inconstitucionalidad (SSTC 6/2010, 83/2015) [FJ 6].</w:t>
      </w:r>
    </w:p>
    <w:p w:rsidR="00AC56D6" w:rsidRDefault="00AC56D6" w:rsidP="00AC56D6">
      <w:pPr>
        <w:pStyle w:val="Extracto"/>
      </w:pPr>
    </w:p>
    <w:p w:rsidR="00AC56D6" w:rsidRDefault="00AC56D6" w:rsidP="00AC56D6">
      <w:pPr>
        <w:pStyle w:val="Extracto"/>
      </w:pPr>
      <w:r>
        <w:t>2.</w:t>
      </w:r>
      <w:r>
        <w:tab/>
        <w:t>Las medidas de contención de gastos de personal, y entre ellas la supresión de la paga extraordinaria, se encuadran en las competencias estatales en materia de bases y coordinación de la planificación de la actividad económica del art. 149.1.13 CE (STC 81/2015) [FJ 7].</w:t>
      </w:r>
    </w:p>
    <w:p w:rsidR="00AC56D6" w:rsidRDefault="00AC56D6" w:rsidP="00AC56D6">
      <w:pPr>
        <w:pStyle w:val="Extracto"/>
      </w:pPr>
    </w:p>
    <w:p w:rsidR="00AC56D6" w:rsidRDefault="00AC56D6" w:rsidP="00AC56D6">
      <w:pPr>
        <w:pStyle w:val="Extracto"/>
      </w:pPr>
      <w:r>
        <w:t>3.</w:t>
      </w:r>
      <w:r>
        <w:tab/>
        <w:t>Doctrina sobre las posibles causas de terminación extraordinaria de las cuestiones de inconstitucionalidad por pérdida sobrevenida de objeto (STC 83/2015) [FJ 6].</w:t>
      </w:r>
    </w:p>
    <w:p w:rsidR="00AC56D6" w:rsidRDefault="00AC56D6" w:rsidP="00AC56D6">
      <w:pPr>
        <w:pStyle w:val="Extracto"/>
      </w:pPr>
    </w:p>
    <w:p w:rsidR="00AC56D6" w:rsidRDefault="00AC56D6" w:rsidP="00AC56D6">
      <w:pPr>
        <w:pStyle w:val="Extracto"/>
      </w:pPr>
      <w:r>
        <w:t>4.</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6].</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lastRenderedPageBreak/>
        <w:t>SENTENCIA</w:t>
      </w:r>
    </w:p>
    <w:p w:rsidR="00AC56D6" w:rsidRDefault="00AC56D6" w:rsidP="00AC56D6">
      <w:pPr>
        <w:pStyle w:val="TextoNormalCentrado"/>
        <w:keepNext/>
      </w:pPr>
    </w:p>
    <w:p w:rsidR="00AC56D6" w:rsidRDefault="00AC56D6" w:rsidP="00AC56D6">
      <w:pPr>
        <w:pStyle w:val="TextoNormal"/>
      </w:pPr>
      <w:r>
        <w:t>En la cuestión de inconstitucionalidad núm. 6522-2013, promovida por la Sala de lo Social del Tribunal Superior de Justicia del País Vasco contra el art. 2.2 del Real Decreto-ley 20/2012, de 13 de julio, de medidas para garantizar la estabilidad presupuestaria y de fomento de la competitividad, por posible vulneración de los arts. 86, 9.3, 149.1.13, 149.1.18 y 156.1 CE. Han formulado alegaciones el Fiscal General del Estado y el Abogado del Estado. Ha sido Ponente el Magistrado don Juan Antonio Xiol Ríos,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6 de noviembre de 2013 tuvo entrada en el Registro General de este Tribunal un oficio de la Sala de lo Social del Tribunal Superior de Justicia del País Vasco al que se acompaña, junto con el testimonio del procedimiento núm. 1059-2013, el Auto de 8 de octubre de 2013, por el que se acuerda plantear cuestión de inconstitucionalidad en relación con el art. 2.2 del Real Decreto-ley 20/2012, de 13 de julio, de medidas para garantizar la estabilidad presupuestaria y de fomento de la competitividad, en su aplicación al personal laboral, por posible lesión de los arts. 86, 9.3, 149.1.13, 149.1.18 y 156.1 CE.</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procesales de la cuestión de inconstitucionalidad planteada son, sucintamente expuestos, los siguientes:</w:t>
      </w:r>
    </w:p>
    <w:p w:rsidR="00AC56D6" w:rsidRDefault="00AC56D6" w:rsidP="00AC56D6">
      <w:pPr>
        <w:pStyle w:val="TextoNormal"/>
      </w:pPr>
    </w:p>
    <w:p w:rsidR="00AC56D6" w:rsidRDefault="00AC56D6" w:rsidP="00AC56D6">
      <w:pPr>
        <w:pStyle w:val="TextoNormal"/>
      </w:pPr>
      <w:r>
        <w:t>a) El Juzgado de lo Social núm. 1 de Bilbao dictó Sentencia estimando parcialmente la demanda interpuesta por el sindicato USO contra la mercantil pública Mercabilbao, S.A., y condenado a la demandada al abono a los trabajadores afectados al abono de la paga extra de diciembre de 2012 correspondiente a los 14 días del mes de julio ya devengados a la entrada en vigor del Real Decreto-ley 20/2012.</w:t>
      </w:r>
    </w:p>
    <w:p w:rsidR="00AC56D6" w:rsidRDefault="00AC56D6" w:rsidP="00AC56D6">
      <w:pPr>
        <w:pStyle w:val="TextoNormal"/>
      </w:pPr>
    </w:p>
    <w:p w:rsidR="00AC56D6" w:rsidRDefault="00AC56D6" w:rsidP="00AC56D6">
      <w:pPr>
        <w:pStyle w:val="TextoNormal"/>
      </w:pPr>
      <w:r>
        <w:t>b) Interpuesto recurso de suplicación contra la mencionada Sentencia, la Sala de lo Social del Tribunal Superior de Justicia del País Vasco señaló para su deliberación y fallo el día 11 de junio de 2013.</w:t>
      </w:r>
    </w:p>
    <w:p w:rsidR="00AC56D6" w:rsidRDefault="00AC56D6" w:rsidP="00AC56D6">
      <w:pPr>
        <w:pStyle w:val="TextoNormal"/>
      </w:pPr>
    </w:p>
    <w:p w:rsidR="00AC56D6" w:rsidRDefault="00AC56D6" w:rsidP="00AC56D6">
      <w:pPr>
        <w:pStyle w:val="TextoNormal"/>
      </w:pPr>
      <w:r>
        <w:t>c) Concluso el procedimiento y dentro del plazo para dictar Sentencia el órgano judicial dictó providencia de 27 de junio de 2013 por la que acordó oír a las partes y al Ministerio Fiscal para que alegasen sobre la pertinencia de plantear cuestión de inconstitucionalidad en relación con el art. 2 del Real Decreto-ley 20/2012, por posible vulneración de los arts. 9.3, 86.1 y 149.1.13 CE.</w:t>
      </w:r>
    </w:p>
    <w:p w:rsidR="00AC56D6" w:rsidRDefault="00AC56D6" w:rsidP="00AC56D6">
      <w:pPr>
        <w:pStyle w:val="TextoNormal"/>
      </w:pPr>
    </w:p>
    <w:p w:rsidR="00AC56D6" w:rsidRDefault="00AC56D6" w:rsidP="00AC56D6">
      <w:pPr>
        <w:pStyle w:val="TextoNormal"/>
      </w:pPr>
      <w:r>
        <w:t xml:space="preserve">Según señalaba la Sala en la providencia, la duda de constitucionalidad se concretaba, respecto al primero de los preceptos constitucionales citados en que el precepto establece la reducción de las retribuciones en las cuantías que correspondiera percibir en el mes de diciembre de 2012 como consecuencia de la supresión de la paga o gratificación extraordinaria, sin establecer excepción alguna en cuanto a la parte que ya se hubiera devengado a la fecha da su entrada en vigor el 15 de julio de 2012, por lo que, teniendo en cuenta que la jurisprudencia del Tribunal Supremo ha establecido que las gratificaciones extraordinarias constituyen una manifestación del salario diferido y se devengan día a día, podría vulnerar </w:t>
      </w:r>
      <w:r>
        <w:lastRenderedPageBreak/>
        <w:t>el art. 9.3 CE, que garantiza la irretroactividad de la disposiciones restrictivas de derechos individuales.</w:t>
      </w:r>
    </w:p>
    <w:p w:rsidR="00AC56D6" w:rsidRDefault="00AC56D6" w:rsidP="00AC56D6">
      <w:pPr>
        <w:pStyle w:val="TextoNormal"/>
      </w:pPr>
    </w:p>
    <w:p w:rsidR="00AC56D6" w:rsidRDefault="00AC56D6" w:rsidP="00AC56D6">
      <w:pPr>
        <w:pStyle w:val="TextoNormal"/>
      </w:pPr>
      <w:r>
        <w:t>Igualmente la providencia plantea que el art. 2 del Real Decreto-ley 20/2012 puede haber producido un efecto de extralimitación en las competencias del Estado del art. 149.1.13 CE y de correlativa invasión del ámbito competencial de la Comunidad Autónoma del País Vasco derivado del art. 148.1.1 CE y concretado en los arts. 10.2, 10.4, 40 y 44 de su Estatuto de Autonomía.</w:t>
      </w:r>
    </w:p>
    <w:p w:rsidR="00AC56D6" w:rsidRDefault="00AC56D6" w:rsidP="00AC56D6">
      <w:pPr>
        <w:pStyle w:val="TextoNormal"/>
      </w:pPr>
    </w:p>
    <w:p w:rsidR="00AC56D6" w:rsidRDefault="00AC56D6" w:rsidP="00AC56D6">
      <w:pPr>
        <w:pStyle w:val="TextoNormal"/>
      </w:pPr>
      <w:r>
        <w:t>Finalmente la tercera duda de constitucionalidad se centra en la vulneración del art. 86.1 CE lo que, según la providencia, obliga a examinar la acreditación de la necesidad de urgencia de la medida adoptada, de un lado, y la llamada conexión de sentido, de otro, lo que se refiere a la relación entre la necesidad y la medida, con exclusión de una valoración de la materia política o de la oportunidad política. La Sala plantea al respecto sus dudas en cuanto a si la norma responde a los presupuestos exigibles de necesidad y urgencia.</w:t>
      </w:r>
    </w:p>
    <w:p w:rsidR="00AC56D6" w:rsidRDefault="00AC56D6" w:rsidP="00AC56D6">
      <w:pPr>
        <w:pStyle w:val="TextoNormal"/>
      </w:pPr>
    </w:p>
    <w:p w:rsidR="00AC56D6" w:rsidRDefault="00AC56D6" w:rsidP="00AC56D6">
      <w:pPr>
        <w:pStyle w:val="TextoNormal"/>
      </w:pPr>
      <w:r>
        <w:t>d) El Fiscal manifestó su parecer favorable al planteamiento de la cuestión en lo relativo a la infracción de los arts. 9.3 y 86.1 CE. La representación procesal de Mercabilbao, S. A., se opuso al planteamiento de la cuestión. El sindicato USO no formuló alegaciones.</w:t>
      </w:r>
    </w:p>
    <w:p w:rsidR="00AC56D6" w:rsidRDefault="00AC56D6" w:rsidP="00AC56D6">
      <w:pPr>
        <w:pStyle w:val="TextoNormal"/>
      </w:pPr>
    </w:p>
    <w:p w:rsidR="00AC56D6" w:rsidRDefault="00AC56D6" w:rsidP="00AC56D6">
      <w:pPr>
        <w:pStyle w:val="TextoNormal"/>
      </w:pPr>
      <w:r w:rsidRPr="00AC56D6">
        <w:rPr>
          <w:rStyle w:val="NumeroAFNegritaCaracter"/>
        </w:rPr>
        <w:t>3</w:t>
      </w:r>
      <w:r>
        <w:t>. Por Auto de 8 de octubre de 2013, la Sala de lo Social del Tribunal Superior de Justicia del País Vasco acordó plantear la presente cuestión de inconstitucionalidad y del análisis de su contenido interesa destacar los siguientes puntos:</w:t>
      </w:r>
    </w:p>
    <w:p w:rsidR="00AC56D6" w:rsidRDefault="00AC56D6" w:rsidP="00AC56D6">
      <w:pPr>
        <w:pStyle w:val="TextoNormal"/>
      </w:pPr>
    </w:p>
    <w:p w:rsidR="00AC56D6" w:rsidRDefault="00AC56D6" w:rsidP="00AC56D6">
      <w:pPr>
        <w:pStyle w:val="TextoNormal"/>
      </w:pPr>
      <w:r>
        <w:t>a) Tras exponer los antecedentes de hecho de la presente cuestión, señala que la cuestión debatida es si la supresión de la paga extraordinaria de diciembre del año 20012 llevada a cabo por el Real Decreto-ley 20/2012 tiene o no el efecto retroactivo apreciado en la Sentencia de instancia, en el sentido de haberse aplicado a toda la paga extraordinaria, que se devenga desde el 1 de julio, incluso a los primeros 14 días del mes de julio, toda vez que la citada norma entró en vigor el día 15 de julio. Para resolver esa cuestión la Sala aprecia la existencia de diversas dudas de constitucionalidad que concreta en los siguientes fundamentos del Auto.</w:t>
      </w:r>
    </w:p>
    <w:p w:rsidR="00AC56D6" w:rsidRDefault="00AC56D6" w:rsidP="00AC56D6">
      <w:pPr>
        <w:pStyle w:val="TextoNormal"/>
      </w:pPr>
    </w:p>
    <w:p w:rsidR="00AC56D6" w:rsidRDefault="00AC56D6" w:rsidP="00AC56D6">
      <w:pPr>
        <w:pStyle w:val="TextoNormal"/>
      </w:pPr>
      <w:r>
        <w:t>b) La primera es la relativa a la adecuación de la medida a las exigencias del art. 86.1 CE, lo que exige determinar la necesidad y urgencia de la medida adoptada y la denominada conexión de sentido, esto es, la relación entre la situación de necesidad y la medida. Señala al respecto el Auto que el Gobierno invoca la negativa coyuntura económica y la necesidad de la denominada consolidación fiscal para la adopción de la medida, considerando una premura y urgencia que no permitirían la demora hasta la superación del correspondiente trámite parlamentario para la aprobación de una ley. Sin embargo, en este caso, estima el órgano judicial que no concurre la urgencia pues entiende que no existían alteraciones en la situación política o económica preexistente que justifiquen expresamente el recurso a este tipo de norma.</w:t>
      </w:r>
    </w:p>
    <w:p w:rsidR="00AC56D6" w:rsidRDefault="00AC56D6" w:rsidP="00AC56D6">
      <w:pPr>
        <w:pStyle w:val="TextoNormal"/>
      </w:pPr>
    </w:p>
    <w:p w:rsidR="00AC56D6" w:rsidRDefault="00AC56D6" w:rsidP="00AC56D6">
      <w:pPr>
        <w:pStyle w:val="TextoNormal"/>
      </w:pPr>
      <w:r>
        <w:t xml:space="preserve">c) La segunda es la posible vulneración del principio de irretroactividad de las disposiciones restrictivas de derechos individuales del art. 9.3 CE. Atendiendo a la consolidada jurisprudencia según la cual las pagas extraordinarias son salario diferido y se devengan día a día, la norma podría considerarse contraria al art. 9.3 CE, que garantiza la irretroactividad </w:t>
      </w:r>
      <w:r>
        <w:lastRenderedPageBreak/>
        <w:t>de las disposiciones restrictivas de derechos individuales y la seguridad jurídica, puesto que se estaría suprimiendo el derecho ya generado a percibir la parte proporcional de la paga extraordinaria devengada antes de la entrada en vigor de la norma. Se remite para justificar su duda en este sentido al Auto de la Sala de lo Social de la Audiencia Nacional de 1 de marzo de 2013 en el que se elevaba cuestión de inconstitucionalidad sobre este mismo precepto, cuyos argumentos resume.</w:t>
      </w:r>
    </w:p>
    <w:p w:rsidR="00AC56D6" w:rsidRDefault="00AC56D6" w:rsidP="00AC56D6">
      <w:pPr>
        <w:pStyle w:val="TextoNormal"/>
      </w:pPr>
    </w:p>
    <w:p w:rsidR="00AC56D6" w:rsidRDefault="00AC56D6" w:rsidP="00AC56D6">
      <w:pPr>
        <w:pStyle w:val="TextoNormal"/>
      </w:pPr>
      <w:r>
        <w:t>d) Finalmente, el Auto plantea la posible vulneración del reparto competencial entre el Estado y la Comunidad Autónoma del País Vasco, por cuanto estima que la norma cuestionada puede haber producido un efecto de extralimitación en las competencias del Estado del art. 149.1.13 CE y de correlativa invasión del ámbito competencial de la Comunidad Autónoma del País Vasco derivado del art. 148.1.1 CE y concretado en los arts. 10.2, 10.4, 40 y 44 de su Estatuto de Autonomía. Afirma el Auto en este sentido que la Sala comparte los planteamientos del recurso de inconstitucionalidad interpuesto por el Gobierno Vasco contra el Real Decreto-ley 20/2012. Así, el órgano judicial indica que la medida relativa a la paga extraordinaria del personal al servicio del sector público no puede encontrar amparo en el art. 149.1.13 CE, en cuanto establece un mecanismo concreto y un procedimiento de aplicación para hacer efectiva una medida relacionada con la contención del gasto público que deja sin margen de actuación a las Comunidades Autónomas. De esta manera el hecho de haberse previsto el modo de reducción del gasto de personal del sector público mediante la concreta supresión de la paga extra de diciembre de 2012 supone que se ha impedido que la Comunidad Autónoma del País Vasco haya podido implementar esa reducción, lo que habría respetado el orden competencial.</w:t>
      </w:r>
    </w:p>
    <w:p w:rsidR="00AC56D6" w:rsidRDefault="00AC56D6" w:rsidP="00AC56D6">
      <w:pPr>
        <w:pStyle w:val="TextoNormal"/>
      </w:pPr>
    </w:p>
    <w:p w:rsidR="00AC56D6" w:rsidRDefault="00AC56D6" w:rsidP="00AC56D6">
      <w:pPr>
        <w:pStyle w:val="TextoNormal"/>
      </w:pPr>
      <w:r>
        <w:t>Por todo lo señalado, la Sala acuerda plantear cuestión de inconstitucionalidad, a fin de que el Tribunal Constitucional resuelva: a) si la decisión de supresión de la paga extraordinaria de diciembre de 2012 para el personal del sector público que se contiene en el art. 2.2 del Real Decreto-ley 20/2012 vulnera lo previsto en el art. 86 CE respecto a los presupuestos habilitantes para la regulación de la cuestión por el cauce del Decreto-ley; b) si la decisión de supresión de la paga extraordinaria de diciembre de 2012 para el personal del sector público que se contiene en el art. 2.2 del Real Decreto-ley 20/2012 vulnera lo previsto en el art. 9.3 CE respecto a la interdicción de retroactividad de las normas restrictivas de derechos individuales y c) si la decisión de supresión de la paga extraordinaria de diciembre de 2012 para el personal del sector público que se contiene en el art. 2.2 del Real Decreto-ley 20/2012 vulnera el reparto competencial entre el Estado y la Comunidad Autónoma del País Vasco en relación con los arts. 149.1.13, 149.1.18 y 156.1 CE.</w:t>
      </w:r>
    </w:p>
    <w:p w:rsidR="00AC56D6" w:rsidRDefault="00AC56D6" w:rsidP="00AC56D6">
      <w:pPr>
        <w:pStyle w:val="TextoNormal"/>
      </w:pPr>
    </w:p>
    <w:p w:rsidR="00AC56D6" w:rsidRDefault="00AC56D6" w:rsidP="00AC56D6">
      <w:pPr>
        <w:pStyle w:val="TextoNormal"/>
      </w:pPr>
      <w:r w:rsidRPr="00AC56D6">
        <w:rPr>
          <w:rStyle w:val="NumeroAFNegritaCaracter"/>
        </w:rPr>
        <w:t>4</w:t>
      </w:r>
      <w:r>
        <w:t>. El Pleno de este Tribunal, a propuesta de la Sección Primera, acordó admitir a trámite la cuestión mediante providencia de 3 de diciembre de 2013; deferir a la Sala Primera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del País Vasco,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Por escrito registrado el 11 de diciembre de 2013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AC56D6" w:rsidRDefault="00AC56D6" w:rsidP="00AC56D6">
      <w:pPr>
        <w:pStyle w:val="TextoNormal"/>
      </w:pPr>
    </w:p>
    <w:p w:rsidR="00AC56D6" w:rsidRDefault="00AC56D6" w:rsidP="00AC56D6">
      <w:pPr>
        <w:pStyle w:val="TextoNormal"/>
      </w:pPr>
      <w:r>
        <w:t>Mediante escrito registrado el 16 de diciembre de 2013, el Presidente del Senado comunicó a este Tribunal el acuerdo de la Mesa para que se diera por personada a la Cámara y por ofrecida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6</w:t>
      </w:r>
      <w:r>
        <w:t>. El Fiscal General del Estado presentó escrito de alegaciones ante este Tribunal el 23 de diciembre de 2013 interesando la estimación de la presente cuestión de inconstitucionalidad.</w:t>
      </w:r>
    </w:p>
    <w:p w:rsidR="00AC56D6" w:rsidRDefault="00AC56D6" w:rsidP="00AC56D6">
      <w:pPr>
        <w:pStyle w:val="TextoNormal"/>
      </w:pPr>
    </w:p>
    <w:p w:rsidR="00AC56D6" w:rsidRDefault="00AC56D6" w:rsidP="00AC56D6">
      <w:pPr>
        <w:pStyle w:val="TextoNormal"/>
      </w:pPr>
      <w:r>
        <w:t>En relación con la alegada vulneración del art. 86.1 CE afirma el Fiscal que la Sala de lo Social no ha tomado en consideración en este punto el sentido de anteriores y muy recientes pronunciamientos del Tribunal Constitucional (AATC 179/2011, 180/2011, 184/2011 y 8/2012), cuyo fundamento jurídico 6 reproduce. Así, señala que de la exposición de motivos de la norma cabe concluir, sin entrar en un juicio político, que se ha cumplido por el Gobierno la exigencia de explicitar y razonar de forma suficiente la existencia de una situación de extraordinaria y urgente necesidad y que resulta igualmente acreditada la existencia de una necesaria conexión entre la situación de urgencia definida y las medidas que en el Decreto-ley se adoptan, de manera que estas últimas guardan una relación directa o de congruencia con la situación que se trata de afrontar.</w:t>
      </w:r>
    </w:p>
    <w:p w:rsidR="00AC56D6" w:rsidRDefault="00AC56D6" w:rsidP="00AC56D6">
      <w:pPr>
        <w:pStyle w:val="TextoNormal"/>
      </w:pPr>
    </w:p>
    <w:p w:rsidR="00AC56D6" w:rsidRDefault="00AC56D6" w:rsidP="00AC56D6">
      <w:pPr>
        <w:pStyle w:val="TextoNormal"/>
      </w:pPr>
      <w:r>
        <w:t>A continuación señala que en el Auto de planteamiento de la presente cuestión se expone un segundo enfoque sobre las dudas de constitucionalidad que se le presentan a la Sala de lo Social en relación con el Real Decreto-ley 20/2012, y que se concretan en una supuesta extralimitación de las competencias normativas estatales en relación con las que corresponderían a la Comunidad Autónoma Vasca. Afirma el Fiscal que lo llamativo de este enfoque es no solo que no se cite una sola norma autonómica en la que pudiere contenerse alguna concreta regulación acerca del reconocimiento de los derechos retributivos del personal del sector público, que en su literalidad pudiera hallarse en contradicción con lo dispuesto por el Real Decreto-ley 20/2012, sino que al invocar el precepto constitucional pretendidamente afectado y que vendría a reconocer las facultades normadoras de la Comunidad Autónoma Vasca en tal concreto aspecto, se cite el art. 148.1.1 CE, a tenor del cual, se reconoce a las Comunidades Autónomas la asunción de competencias, entre otras, en la organización de sus instituciones de autogobierno.</w:t>
      </w:r>
    </w:p>
    <w:p w:rsidR="00AC56D6" w:rsidRDefault="00AC56D6" w:rsidP="00AC56D6">
      <w:pPr>
        <w:pStyle w:val="TextoNormal"/>
      </w:pPr>
    </w:p>
    <w:p w:rsidR="00AC56D6" w:rsidRDefault="00AC56D6" w:rsidP="00AC56D6">
      <w:pPr>
        <w:pStyle w:val="TextoNormal"/>
      </w:pPr>
      <w:r>
        <w:t>Sostiene que no es solo que de la generalidad de la formulación de los preceptos autonómicos citados (arts. 10.2, 10.4, 40 y 44 del Estatuto de Autonomía del País Vasco) no quepa extraer la interesada conclusión de que la coyuntural supresión de una paga extra es una competencia propia de la Comunidad Autónoma Vasca, sino que muy al contrario, el tenor de los arts. 149.1.13 CE, 149.1.18 y 156.1 CE, abonan precisamente la tesis contraria. Por ello, y con cita de las SSTC 171/1996 y 222/2006, el Fiscal estima que el art. 2.2 del Real Decreto-ley 20/2012 no es contrario a los arts. 148.1.1 y 156.1 CE.</w:t>
      </w:r>
    </w:p>
    <w:p w:rsidR="00AC56D6" w:rsidRDefault="00AC56D6" w:rsidP="00AC56D6">
      <w:pPr>
        <w:pStyle w:val="TextoNormal"/>
      </w:pPr>
    </w:p>
    <w:p w:rsidR="00AC56D6" w:rsidRDefault="00AC56D6" w:rsidP="00AC56D6">
      <w:pPr>
        <w:pStyle w:val="TextoNormal"/>
      </w:pPr>
      <w:r>
        <w:lastRenderedPageBreak/>
        <w:t>Por lo que se refiere a la duda de constitucionalidad en relación con el art. 9.3 CE, afirma el Fiscal, tras reproducir la doctrina constitucional sobre la retroactividad de las normas, que resulta obvia la supresión por la nueva norma de un efecto jurídico ya agotado, en tanto derecho incorporado definitivamente al patrimonio de los trabajadores, a quienes la aplicación retroactiva de la norma obligaría a la devolución de parte de los salarios ya percibidos.</w:t>
      </w:r>
    </w:p>
    <w:p w:rsidR="00AC56D6" w:rsidRDefault="00AC56D6" w:rsidP="00AC56D6">
      <w:pPr>
        <w:pStyle w:val="TextoNormal"/>
      </w:pPr>
    </w:p>
    <w:p w:rsidR="00AC56D6" w:rsidRDefault="00AC56D6" w:rsidP="00AC56D6">
      <w:pPr>
        <w:pStyle w:val="TextoNormal"/>
      </w:pPr>
      <w:r>
        <w:t xml:space="preserve">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w:t>
      </w:r>
      <w:r w:rsidRPr="00AC56D6">
        <w:rPr>
          <w:i/>
        </w:rPr>
        <w:t>N.K.M. v.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t xml:space="preserve">El Fiscal General del Estado concluye sus alegaciones precisando que en el Auto de planteamiento no se cuestiona todo el art. 2 del Real Decreto-ley 20/2012 sino en concreto, su apartado 2.2 ya que éste es el que resulta aplicable para resolver el pleito sometido a su conocimiento y relevante en cuanto el recurso del proceso subyacente se refiere exclusivamente a personal laboral y no a personal funcionario o estatutario. Asimismo, en cuanto a los efectos de la hipotética declaración de inconstitucionalidad, se indica que tratándose de </w:t>
      </w:r>
      <w:r>
        <w:lastRenderedPageBreak/>
        <w:t>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w:t>
      </w:r>
    </w:p>
    <w:p w:rsidR="00AC56D6" w:rsidRDefault="00AC56D6" w:rsidP="00AC56D6">
      <w:pPr>
        <w:pStyle w:val="TextoNormal"/>
      </w:pPr>
    </w:p>
    <w:p w:rsidR="00AC56D6" w:rsidRDefault="00AC56D6" w:rsidP="00AC56D6">
      <w:pPr>
        <w:pStyle w:val="TextoNormal"/>
      </w:pPr>
      <w:r w:rsidRPr="00AC56D6">
        <w:rPr>
          <w:rStyle w:val="NumeroAFNegritaCaracter"/>
        </w:rPr>
        <w:t>7</w:t>
      </w:r>
      <w:r>
        <w:t>. El Abogado del Estado, mediante escrito de alegaciones registrado el 30 de diciembre de 2013, se personó interesando la desestimación de la cuestión de inconstitucionalidad por las razones que, resumidamente, se exponen a continuación.</w:t>
      </w:r>
    </w:p>
    <w:p w:rsidR="00AC56D6" w:rsidRDefault="00AC56D6" w:rsidP="00AC56D6">
      <w:pPr>
        <w:pStyle w:val="TextoNormal"/>
      </w:pPr>
    </w:p>
    <w:p w:rsidR="00AC56D6" w:rsidRDefault="00AC56D6" w:rsidP="00AC56D6">
      <w:pPr>
        <w:pStyle w:val="TextoNormal"/>
      </w:pPr>
      <w:r>
        <w:t>Comienza señalando que la Sala no se cuestiona genéricamente la supresión de la paga extra al personal funcionario, sino que tan solo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00AC56D6" w:rsidRDefault="00AC56D6" w:rsidP="00AC56D6">
      <w:pPr>
        <w:pStyle w:val="TextoNormal"/>
      </w:pPr>
    </w:p>
    <w:p w:rsidR="00AC56D6" w:rsidRDefault="00AC56D6" w:rsidP="00AC56D6">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AC56D6" w:rsidRDefault="00AC56D6" w:rsidP="00AC56D6">
      <w:pPr>
        <w:pStyle w:val="TextoNormal"/>
      </w:pPr>
    </w:p>
    <w:p w:rsidR="00AC56D6" w:rsidRDefault="00AC56D6" w:rsidP="00AC56D6">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solo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00AC56D6" w:rsidRDefault="00AC56D6" w:rsidP="00AC56D6">
      <w:pPr>
        <w:pStyle w:val="TextoNormal"/>
      </w:pPr>
    </w:p>
    <w:p w:rsidR="00AC56D6" w:rsidRDefault="00AC56D6" w:rsidP="00AC56D6">
      <w:pPr>
        <w:pStyle w:val="TextoNormal"/>
      </w:pPr>
      <w:r>
        <w:lastRenderedPageBreak/>
        <w:t>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00AC56D6" w:rsidRDefault="00AC56D6" w:rsidP="00AC56D6">
      <w:pPr>
        <w:pStyle w:val="TextoNormal"/>
      </w:pPr>
    </w:p>
    <w:p w:rsidR="00AC56D6" w:rsidRDefault="00AC56D6" w:rsidP="00AC56D6">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w:t>
      </w:r>
      <w:r>
        <w:lastRenderedPageBreak/>
        <w:t>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AC56D6" w:rsidRDefault="00AC56D6" w:rsidP="00AC56D6">
      <w:pPr>
        <w:pStyle w:val="TextoNormal"/>
      </w:pPr>
    </w:p>
    <w:p w:rsidR="00AC56D6" w:rsidRDefault="00AC56D6" w:rsidP="00AC56D6">
      <w:pPr>
        <w:pStyle w:val="TextoNormal"/>
      </w:pPr>
      <w:r>
        <w:t>A continuación analiza la alegada vulneración del art. 86.1 CE y para ello recuerda la doctrina constitucional sobre el presupuesto habilitante para dictar un Real Decreto-ley. A su juicio, parece innegable que, desde un punto de vista estrictamente formal, los órganos políticos han cumplido con la exigencia de exteriorizar las razones de urgencia que legitiman la utilización de esta figura normativa y aparecen recogidos en la exposición de motivos del Real Decreto-ley, en el debate de convalidación y en el expediente de elaboración.</w:t>
      </w:r>
    </w:p>
    <w:p w:rsidR="00AC56D6" w:rsidRDefault="00AC56D6" w:rsidP="00AC56D6">
      <w:pPr>
        <w:pStyle w:val="TextoNormal"/>
      </w:pPr>
    </w:p>
    <w:p w:rsidR="00AC56D6" w:rsidRDefault="00AC56D6" w:rsidP="00AC56D6">
      <w:pPr>
        <w:pStyle w:val="TextoNormal"/>
      </w:pPr>
      <w:r>
        <w:t>Por último, hace referencia a la vulneración de los títulos competenciales del Estatuto de Autonomía para el País Vasco. El Abogado del Estado afirma que el art. 2.2 del Real Decreto-ley 20/2012 tiene carácter de básico. Seguidamente afirma que hay reiterada doctrina constitucional sobre la competencia exclusiva del Estado para dictar normas básicas en materia de gastos de personal del sector público al amparo de los arts. 149.1.13 y 156.1 CE. Señala que la doctrina constitucional no deja margen para la duda: todas las medidas de contención del gasto de personal que hayan de aplicarse en todo el sector público, incluido el autonómico sin ninguna excepción, competen al Estado en virtud de los arts. 149.1.13 en relación con el art. 156.1 CE, al que debe añadirse el art. 135 CE.</w:t>
      </w:r>
    </w:p>
    <w:p w:rsidR="00AC56D6" w:rsidRDefault="00AC56D6" w:rsidP="00AC56D6">
      <w:pPr>
        <w:pStyle w:val="TextoNormal"/>
      </w:pPr>
    </w:p>
    <w:p w:rsidR="00AC56D6" w:rsidRDefault="00AC56D6" w:rsidP="00AC56D6">
      <w:pPr>
        <w:pStyle w:val="TextoNormal"/>
      </w:pPr>
      <w:r>
        <w:t>Por lo que se refiere a la supresión de la paga extraordinaria de diciembre de 2012 indica que no es preciso insistir en la relación directa de tal medida con la finalidad del Real Decreto-ley. La eficacia de la medida requiere, por otra parte, que sea adoptada simultáneamente por todo el sector público: no era posible que la ejecución de la medida quedara a disposición de las Comunidades Autónomas y entidades locales y demás entes del sector público si se necesita evitar el riesgo de que la adopción de manera no armonizada de la medida pudiera perjudicar su eficacia e inmediatez, reclamada por las acuciantes circunstancias derivadas de la crisis económica.</w:t>
      </w:r>
    </w:p>
    <w:p w:rsidR="00AC56D6" w:rsidRDefault="00AC56D6" w:rsidP="00AC56D6">
      <w:pPr>
        <w:pStyle w:val="TextoNormal"/>
      </w:pPr>
    </w:p>
    <w:p w:rsidR="00AC56D6" w:rsidRDefault="00AC56D6" w:rsidP="00AC56D6">
      <w:pPr>
        <w:pStyle w:val="TextoNormal"/>
      </w:pPr>
      <w:r>
        <w:t>Por todo ello, se interesa la desestimación de la cuestión.</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10 de septiembre de 2015 la Sala Primera acordó, de conformidad con lo dispuesto en el art. 88.1 LOTC, dirigir atenta comunicación a la empresa Mercados Centrales de Abastecimientos de Bilbao, S.A (Mercabilbao), a fin de que indique a este Tribunal si, en atención a lo previsto en la disposición adicional duodécima de la Ley 36/2014, de presupuestos generales del Estado para el año 2015, o por cualquier otra circunstancia, ha satisfecho al colectivos de trabajadores de esa mercantil alguna cantidad en concepto de recuperación de la parte proporcional de la paga extraordinaria, de la paga adi</w:t>
      </w:r>
      <w:r>
        <w:lastRenderedPageBreak/>
        <w:t>cional de complemento específico o de las pagas adicionales equivalentes, todas ellas correspondientes al mes de diciembre de 2012; especificando, en su caso, el número de días de la citada paga a los que corresponden las cuantías abonadas.</w:t>
      </w:r>
    </w:p>
    <w:p w:rsidR="00AC56D6" w:rsidRDefault="00AC56D6" w:rsidP="00AC56D6">
      <w:pPr>
        <w:pStyle w:val="TextoNormal"/>
      </w:pPr>
    </w:p>
    <w:p w:rsidR="00AC56D6" w:rsidRDefault="00AC56D6" w:rsidP="00AC56D6">
      <w:pPr>
        <w:pStyle w:val="TextoNormal"/>
      </w:pPr>
      <w:r w:rsidRPr="00AC56D6">
        <w:rPr>
          <w:rStyle w:val="NumeroAFNegritaCaracter"/>
        </w:rPr>
        <w:t>9</w:t>
      </w:r>
      <w:r>
        <w:t>. En contestación a dicha providencia el Director General de Mercados Centrales de Abastecimiento de Bilbao, S.A (Mercabilbao) comunicó a este Tribunal por escrito registrado el 22 de octubre de 2015 que, en virtud del acuerdo plenario adoptado por el Excmo. Ayuntamiento de Bilbao de 26 de febrero de 2015, se autorizó “el abono, con cargo a los presupuestos correspondientes, a los cargos directivos y al personal de sociedades y entidades públicas empresariales municipales, entre ellas Mercabilbao, del importe equivalente al 24,04 por ciento de la paga extraordinaria de diciembre de 2012”.</w:t>
      </w:r>
    </w:p>
    <w:p w:rsidR="00AC56D6" w:rsidRDefault="00AC56D6" w:rsidP="00AC56D6">
      <w:pPr>
        <w:pStyle w:val="TextoNormal"/>
      </w:pPr>
    </w:p>
    <w:p w:rsidR="00AC56D6" w:rsidRDefault="00AC56D6" w:rsidP="00AC56D6">
      <w:pPr>
        <w:pStyle w:val="TextoNormal"/>
      </w:pPr>
      <w:r w:rsidRPr="00AC56D6">
        <w:rPr>
          <w:rStyle w:val="NumeroAFNegritaCaracter"/>
        </w:rPr>
        <w:t>10</w:t>
      </w:r>
      <w:r>
        <w:t>. Por providencia de 26 de noviembre de 2015 se señaló para deliberación y votación de la presente Sentencia el día 30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Sala de lo Social del Tribunal Superior de Justicia del País Vasco plantea cuestión de inconstitucionalidad respecto del art. 2.2 del Real Decreto-ley 20/2012, de 13 de julio, de medidas para garantizar la estabilidad presupuestaria y de fomento de la competitividad, precepto que, en lo que aquí importa, dispone para el personal laboral, la supresión de la paga extraordinaria y de la paga adicional de complemento específico o pagas adicionales equivalentes del mes de diciembre de 2012. La Sala entiende que el citado precepto vulnera los arts. 86, 9.3, 149.1.13, 149.1.18 y 156 CE.</w:t>
      </w:r>
    </w:p>
    <w:p w:rsidR="00AC56D6" w:rsidRDefault="00AC56D6" w:rsidP="00AC56D6">
      <w:pPr>
        <w:pStyle w:val="TextoNormal"/>
      </w:pPr>
    </w:p>
    <w:p w:rsidR="00AC56D6" w:rsidRDefault="00AC56D6" w:rsidP="00AC56D6">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00AC56D6" w:rsidRDefault="00AC56D6" w:rsidP="00AC56D6">
      <w:pPr>
        <w:pStyle w:val="TextoNormal"/>
      </w:pPr>
    </w:p>
    <w:p w:rsidR="00AC56D6" w:rsidRDefault="00AC56D6" w:rsidP="00AC56D6">
      <w:pPr>
        <w:pStyle w:val="TextoNormal"/>
      </w:pPr>
      <w:r w:rsidRPr="00AC56D6">
        <w:rPr>
          <w:rStyle w:val="NumeroAFNegritaCaracter"/>
        </w:rPr>
        <w:t>2</w:t>
      </w:r>
      <w:r>
        <w:t>. Razones de sistemática procesal obligan a estudiar en primer lugar si se cumplen los presupuestos exigidos por el art. 86.1 CE para que el Gobierno pueda dictar un decreto-ley.</w:t>
      </w:r>
    </w:p>
    <w:p w:rsidR="00AC56D6" w:rsidRDefault="00AC56D6" w:rsidP="00AC56D6">
      <w:pPr>
        <w:pStyle w:val="TextoNormal"/>
      </w:pPr>
    </w:p>
    <w:p w:rsidR="00AC56D6" w:rsidRDefault="00AC56D6" w:rsidP="00AC56D6">
      <w:pPr>
        <w:pStyle w:val="TextoNormal"/>
      </w:pPr>
      <w:r>
        <w:t>La Sala de lo Social del Tribunal Superior de Justicia del País Vasco considera que no se aprecia una coyuntura económica o política que haya obligado a la adopción de esta medida mediante real decreto-ley, pues pudo haberse tramitado parlamentariamente la correspondiente ley. Afirma que si bien es cierto que toda reducción del gasto de personal conlleva reducción inmediata del gasto público y ésta una reducción del déficit, objetivo confesado por el Gobierno en la norma analizada, no concurre la urgencia que daría carta de naturaleza al decreto-ley en este caso.</w:t>
      </w:r>
    </w:p>
    <w:p w:rsidR="00AC56D6" w:rsidRDefault="00AC56D6" w:rsidP="00AC56D6">
      <w:pPr>
        <w:pStyle w:val="TextoNormal"/>
      </w:pPr>
    </w:p>
    <w:p w:rsidR="00AC56D6" w:rsidRDefault="00AC56D6" w:rsidP="00AC56D6">
      <w:pPr>
        <w:pStyle w:val="TextoNormal"/>
      </w:pPr>
      <w:r>
        <w:t>La cuestión planteada ha sido resuelta en la STC 81/2015, de 30 de abril, según la cual en el art. 2 del Real Decreto-ley 20/2012 concurre el presupuesto habilitante de la “extraordinaria y urgente necesidad” exigido por el art. 86.1 CE.</w:t>
      </w:r>
    </w:p>
    <w:p w:rsidR="00AC56D6" w:rsidRDefault="00AC56D6" w:rsidP="00AC56D6">
      <w:pPr>
        <w:pStyle w:val="TextoNormal"/>
      </w:pPr>
    </w:p>
    <w:p w:rsidR="00AC56D6" w:rsidRDefault="00AC56D6" w:rsidP="00AC56D6">
      <w:pPr>
        <w:pStyle w:val="TextoNormal"/>
      </w:pPr>
      <w:r>
        <w:lastRenderedPageBreak/>
        <w:t>Para llegar a esta conclusión son dos los elementos analizados: en primer lugar, la presentación explícita y razonada de los motivos que han sido tenidos en cuenta por el Gobierno en su aprobación (SSTC 29/1982, de 31 de mayo, FJ 3; 111/1983, de 2 de diciembre, FJ 5; 182/1997, de 20 de octubre, FJ 3, y 137/2003, de 3 de julio, FJ 4); en segundo lugar, la existencia de una necesaria conexión entre la situación de urgencia definida y la medida concreta adoptada para subvenir a ella (SSTC 29/1982, de 31 de mayo, FJ 3; 182/1997, de 20 de octubre, FJ 3, y 137/2003, de 3 de julio, FJ 4).</w:t>
      </w:r>
    </w:p>
    <w:p w:rsidR="00AC56D6" w:rsidRDefault="00AC56D6" w:rsidP="00AC56D6">
      <w:pPr>
        <w:pStyle w:val="TextoNormal"/>
      </w:pPr>
    </w:p>
    <w:p w:rsidR="00AC56D6" w:rsidRDefault="00AC56D6" w:rsidP="00AC56D6">
      <w:pPr>
        <w:pStyle w:val="TextoNormal"/>
      </w:pPr>
      <w:r>
        <w:t>Afirma la STC 81/2015, que los apartados I y II de la exposición de motivos hacen referencia a la situación de “recesión” de la “economía española” y de la “zona euro” que justificó la aprobación del Real Decreto-ley 20/2012, según el Gobierno (apartado I), así como también a la “estrategia de política económica” que, de acuerdo con la concepción y juicio del mismo Gobierno, es “fundamental en la superación de esa situación” (</w:t>
      </w:r>
      <w:r w:rsidRPr="00AC56D6">
        <w:rPr>
          <w:i/>
        </w:rPr>
        <w:t>loc. cit</w:t>
      </w:r>
      <w:r>
        <w:t>.). Un juicio que solo a éste correspondía realizar por entrañar un indudable juicio de oportunidad política inaccesible para este Tribunal, según hemos explicado ya, y que a este Tribunal solamente le corresponde verificar.</w:t>
      </w:r>
    </w:p>
    <w:p w:rsidR="00AC56D6" w:rsidRDefault="00AC56D6" w:rsidP="00AC56D6">
      <w:pPr>
        <w:pStyle w:val="TextoNormal"/>
      </w:pPr>
    </w:p>
    <w:p w:rsidR="00AC56D6" w:rsidRDefault="00AC56D6" w:rsidP="00AC56D6">
      <w:pPr>
        <w:pStyle w:val="TextoNormal"/>
      </w:pPr>
      <w:r>
        <w:t>Esa estrategia, según continúa explicando ese preámbulo, “pivota principalmente sobre dos ejes” siendo uno de ellos “la consolidación fiscal”. Haciéndose igualmente referencia en ese apartado I de la exposición de motivos a los compromisos asumidos por España en el contexto del proceso de integración europea para reducir su “déficit excesivo” hasta situarlo “por debajo del 3 por 100 del PIB” en 2013, según la recomendación de déficit excesivo emitida por el Consejo Europeo, así como también a la flexibilización de esa senda de consolidación fiscal acordada por las mismas instituciones comunitarias “especificando que los objetivos de cumplimiento pasan a ser de un 6,3 por 100 del PIB en 2012, un 4,5 por 100 en 2013 y un 2,8 por 100 en 2014”. A pesar de esta flexibilización, se constata, “el esfuerzo fiscal estructural a realizar por España es muy significativo”, pues el “déficit de partida [es] mucho mayor en 2011 (8,9 por 100 del PIB frente a un 6 por 100 previsto) y [existe] un entorno económico más complejo. Es dentro de estas coordenadas” —prosigue la exposición de motivos— “donde deben situarse las diferentes medidas de índole fiscal que incluye este real decreto-ley”. Y acto seguido se hace una explicación general de las medidas aprobadas: unas dirigidas al “aumento de la imposición”, que aquí no interesan visto el objeto de este recurso; y otras “por el lado del gasto”.</w:t>
      </w:r>
    </w:p>
    <w:p w:rsidR="00AC56D6" w:rsidRDefault="00AC56D6" w:rsidP="00AC56D6">
      <w:pPr>
        <w:pStyle w:val="TextoNormal"/>
      </w:pPr>
    </w:p>
    <w:p w:rsidR="00AC56D6" w:rsidRDefault="00AC56D6" w:rsidP="00AC56D6">
      <w:pPr>
        <w:pStyle w:val="TextoNormal"/>
      </w:pPr>
      <w:r>
        <w:t xml:space="preserve">En el apartado II de la exposición de motivos de la norma es donde se especifican todas esas medidas anunciadas en el apartado anterior y dirigidas a “reducir el déficit público sin menoscabar la prestación de los servicios públicos esenciales” (primer párrafo del apartado II de la exposición de motivos). Se reconoce que “[e]l Gobierno ya ha adoptado medidas de contención de gastos de personal”, que se detallan. Pero acto seguido se señala que “[e]n la actualidad, el proceso de consolidación fiscal y de sostenibilidad de las cuentas públicas exige de las Administraciones Públicas continuar adaptando una serie de medidas extraordinarias y cuya adopción debe ser urgente, dirigidas a racionalizar y reducir el gasto de personal de las Administraciones Públicas y a incrementar la eficiencia de su gestión”. Una de las cuales es la anunciada supresión durante el año 2012 de la paga extraordinaria del mes de diciembre de 2012 y de la paga adicional de complemento específico o pagas adicionales equivalentes, establecida en el art. 2 recurrido. Cabe señalar, en cualquier caso, que no es la única medida tomada “con la… finalidad de racionalizar el gasto de personal”. Ese </w:t>
      </w:r>
      <w:r>
        <w:lastRenderedPageBreak/>
        <w:t>mismo apartado II de la exposición de motivos alude a otras tomadas con ese mismo propósito como son la reducción de los días de libre disposición y la supresión de los días adicionales por antigüedad tanto en el caso de vacaciones como en el de los días por asuntos particulares, la limitación del número de días adicionales que puedan haber establecido otras Administraciones públicas en el ejercicio de las competencias hasta entonces reconocidas en la Ley 7/2007, de 12 de abril, por la que se aprueba el estatuto básico del empleado público, la limitación del tiempo retribuido para realizar funciones sindicales y de representación en el ámbito del empleo público, la modificación del régimen retributivo del personal incluido en el régimen general de la Seguridad Social durante la situación de incapacidad temporal, la modulación de la plenitud retributiva de la prestación económica del personal integrado en el régimen de funcionarios civiles del Estado y en el régimen especial de la Seguridad Social de las Fuerzas Armadas, o, en fin, la supresión del coeficiente reductor por razón de la edad para la jubilación forzosa de los funcionarios incluidos en el régimen general de la Seguridad Social.</w:t>
      </w:r>
    </w:p>
    <w:p w:rsidR="00AC56D6" w:rsidRDefault="00AC56D6" w:rsidP="00AC56D6">
      <w:pPr>
        <w:pStyle w:val="TextoNormal"/>
      </w:pPr>
    </w:p>
    <w:p w:rsidR="00AC56D6" w:rsidRDefault="00AC56D6" w:rsidP="00AC56D6">
      <w:pPr>
        <w:pStyle w:val="TextoNormal"/>
      </w:pPr>
      <w:r>
        <w:t>Por último, tras explicar estas y otras medidas, termina este apartado II con la siguiente proclamación:</w:t>
      </w:r>
    </w:p>
    <w:p w:rsidR="00AC56D6" w:rsidRDefault="00AC56D6" w:rsidP="00AC56D6">
      <w:pPr>
        <w:pStyle w:val="TextoNormal"/>
      </w:pPr>
    </w:p>
    <w:p w:rsidR="00AC56D6" w:rsidRDefault="00AC56D6" w:rsidP="00AC56D6">
      <w:pPr>
        <w:pStyle w:val="TextoNormal"/>
      </w:pPr>
      <w:r>
        <w:t>“El cambio estructural que introduce en las Administraciones Públicas este abanico de medidas, que deben operar de manera conjunta, constituye un instrumento fundamental de política económica, que permitirá mejorar su funcionamiento, adecuarlo más eficazmente a la actual coyuntura y mantener la calidad del servicio que se presta al ciudadano.</w:t>
      </w:r>
    </w:p>
    <w:p w:rsidR="00AC56D6" w:rsidRDefault="00AC56D6" w:rsidP="00AC56D6">
      <w:pPr>
        <w:pStyle w:val="TextoNormal"/>
      </w:pPr>
    </w:p>
    <w:p w:rsidR="00AC56D6" w:rsidRDefault="00AC56D6" w:rsidP="00AC56D6">
      <w:pPr>
        <w:pStyle w:val="TextoNormal"/>
      </w:pPr>
      <w:r>
        <w:t>Las medidas recogidas en este Título suponen un sacrificio de especial intensidad para todos aquellos que perciben retribuciones con cargo a recursos públicos. Razones de Justicia justifican que estas medidas se extiendan a todos los servidores públicos con independencia de la naturaleza de la entidad de la que dependen y de su estatuto. La universalidad que fundamenta esta reforma evita la discriminación entre grupos y sectores.</w:t>
      </w:r>
    </w:p>
    <w:p w:rsidR="00AC56D6" w:rsidRDefault="00AC56D6" w:rsidP="00AC56D6">
      <w:pPr>
        <w:pStyle w:val="TextoNormal"/>
      </w:pPr>
    </w:p>
    <w:p w:rsidR="00AC56D6" w:rsidRDefault="00AC56D6" w:rsidP="00AC56D6">
      <w:pPr>
        <w:pStyle w:val="TextoNormal"/>
      </w:pPr>
      <w:r>
        <w:t>Por ello, en base al principio de necesaria solidaridad que debe imperar en estos momentos en todos los ámbitos sociales y políticos y a fin de compartir el esfuerzo que suponen las medidas que se establecen en este Real Decreto-ley respecto al colectivo de empleados públicos de todas las Administraciones en su sentido más amplio, es voluntad del legislador que se impulsen todos los mecanismos legales existentes para permitir la extensión de las citada medidas tanto a diputados y senadores, como al personal de otros órganos constitucionales, aplicando, en su caso, y cuando sea necesario, la normativa reguladora de los mismos en materia de retribuciones.”</w:t>
      </w:r>
    </w:p>
    <w:p w:rsidR="00AC56D6" w:rsidRDefault="00AC56D6" w:rsidP="00AC56D6">
      <w:pPr>
        <w:pStyle w:val="TextoNormal"/>
      </w:pPr>
    </w:p>
    <w:p w:rsidR="00AC56D6" w:rsidRDefault="00AC56D6" w:rsidP="00AC56D6">
      <w:pPr>
        <w:pStyle w:val="TextoNormal"/>
      </w:pPr>
      <w:r>
        <w:t xml:space="preserve">Junto a la exposición de motivos del Real Decreto-ley 20/2012, de 13 de julio, hay que hacer referencia también a la justificación sostenida por el Sr. Ministro de Hacienda y Administraciones públicas en el debate de convalidación. Se afirmó entonces por el Sr. Ministro, en defensa de la convalidación (“Diario de Sesiones. Congreso de los Diputados”, núm. 51, de 19 de julio de 2012, págs. 3 y ss.), lo siguiente: “Estamos atravesando la segunda recesión derivada de la crisis financiera mundial del año 2007 y estamos atravesando esa crisis, señorías, cuando la economía española tiene un punto, un extremo de debilidad manifiesta, que es su deuda externa, la misma deuda externa que teníamos en el 2008, la misma en términos netos frente al resto del mundo seguimos teniendo hoy. Por eso, España tiene que cerrar la brecha de sus necesidades de financiación frente al resto del mundo para poder </w:t>
      </w:r>
      <w:r>
        <w:lastRenderedPageBreak/>
        <w:t>crecer sin pedir nuevos recursos al resto del mundo, para poder crecer y devolver y hacer frente a esa deuda externa. Por eso, en este decreto-ley presentamos reformas estructurales, reformas que nos permitan crecer, que nos permitan financiarnos mejor, hacer frente a esa deuda externa, formidable deuda externa, que nos aplasta, nos condiciona, nos relega, nos hace ser un riesgo dentro de la propia economía europea, dentro del euro y dentro del mundo, como advertía el Fondo Monetario Internacional esta misma semana, a comienzos de esta semana, cuando advertía que hay riesgos de que España e Italia no accedan en condiciones normales a los mercados financieros y eso colapsaría la economía mundial”. Insistía igualmente el representante del Gobierno, más adelante, en que “España está viviendo esa segunda recesión económica, continuidad, prolongación de lo que fue la primera recesión del año 2009, no tan severa en términos de caída de actividad económica, ciertamente, pero destructora de empleo, y queremos salir de ahí… Este conjunto de medidas que trae el Gobierno a la Cámara, señorías, tienen como causa un nuevo escenario en Europa y en el euro”. Un “nuevo escenario” derivado “de la activación de la ayuda financiera que necesita nuestra banca… y tiene como causa las recomendaciones de nuestros socios europeos, de la Comisión Europea; recomendaciones que son obligaciones que se derivan del procedimiento de déficit excesivo al que está sujeto nuestro país, nuestra economía desde el año 2009” y que no han dado más relajo a nuestro país “sino, al contrario, significa que al marcarnos unos objetivos de déficit para este año —el año 2012— y años sucesivos —2013 y 2014—, se derivan unas recomendaciones que son obligaciones del propio Consejo Europeo, del Ecofin celebrado la semana pasada, que son las que traen causa de este conjunto de medidas que traemos a la Cámara”.</w:t>
      </w:r>
    </w:p>
    <w:p w:rsidR="00AC56D6" w:rsidRDefault="00AC56D6" w:rsidP="00AC56D6">
      <w:pPr>
        <w:pStyle w:val="TextoNormal"/>
      </w:pPr>
    </w:p>
    <w:p w:rsidR="00AC56D6" w:rsidRDefault="00AC56D6" w:rsidP="00AC56D6">
      <w:pPr>
        <w:pStyle w:val="TextoNormal"/>
      </w:pPr>
      <w:r>
        <w:t>Y concluía, en lo que aquí interesa: “Necesitamos financiar el crecimiento económico, necesitamos financiar la recuperación, y no tendremos esa financiación y ese mayor crecimiento si no reducimos cuanto antes el déficit público. Y lo tenemos que hacer por la doble vía: promover ahorros en los servicios públicos y promoverlos por la vía del incremento de los ingresos públicos… Insisto en el argumento de la reducción del déficit público, insisto en el argumento del sentido de las medidas que presentamos a la Cámara comprometidas con la reducción del déficit público no solo en la Administración General del Estado, sino en su traslación a comunidades autónomas y a corporaciones locales, puesto que estas medidas… pretenden… el ahorro en esos planos, en ese funcionamiento que debe ser comprometido en la corrección y en la consecución sobre todo del objetivo de déficit público para este año 2012”.</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La lectura de los pasajes transcritos, tanto de la exposición de motivos del Real Decreto-ley 20/2012 como de la defensa de su convalidación efectuada por el Gobierno ante el Congreso de los Diputados, evidencia, como ha señalado la STC 81/2015, de 30 de abril, FJ 4, “que el Gobierno ha justificado de manera expresa, concreta, detallada y razonada la necesidad de emplear en este caso la potestad legislativa provisional y de urgencia que le reconoce el art. 86.1 CE … Esas explicaciones, antes transcritas, no son imprecisas, rituales, estereotipadas, retóricas, apodícticas o generales, ni sirven a cualquier propósito o finalidad, como apreciamos en los casos de las SSTC 68/2007, de 28 de marzo (FJ 10) y 137/2011, de 14 de septiembre (FJ 7). Al contrario, parten de una situación de recesión y crisis económica y financiera que es real y conocida; notoria, incluso, según ya advertimos en la STC 182/2013, de 23 de octubre, FJ 6 d); y también de unos compromisos internacionales que son igualmente conocidos [por todas, STC 215/2014, de 18 de diciembre, sobre la Ley Orgánica 2/2012, de 27 de abril, de estabilidad presupuestaria y sostenibilidad financiera, FFJJ </w:t>
      </w:r>
      <w:r>
        <w:lastRenderedPageBreak/>
        <w:t>2 y 3 a)]. Y con ese punto de partida justifican —desde la legítima perspectiva del Gobierno, único órgano al que la Constitución atribuye la potestad de dirigir la política económica, art. 97 CE— una serie de medidas dirigidas a reducir el déficit público, objetivo inmediato de acuerdo con las recomendaciones del Consejo de la Unión Europea (arts. 93 CE y 126 del Tratado de funcionamiento de la Unión Europea) e instrumento además para alcanzar el fin (político) de la recuperación, por la doble vía del incremento de los ingresos públicos y reducción del gasto público”.</w:t>
      </w:r>
    </w:p>
    <w:p w:rsidR="00AC56D6" w:rsidRDefault="00AC56D6" w:rsidP="00AC56D6">
      <w:pPr>
        <w:pStyle w:val="TextoNormal"/>
      </w:pPr>
    </w:p>
    <w:p w:rsidR="00AC56D6" w:rsidRDefault="00AC56D6" w:rsidP="00AC56D6">
      <w:pPr>
        <w:pStyle w:val="TextoNormal"/>
      </w:pPr>
      <w:r>
        <w:t>Por otra parte, como también señala la STC 81/2015, de 30 de abril, FJ 4, “la urgencia de la reacción legislativa se justifica por el Gobierno, además de en los pasajes ya transcritos, en los apartados II y IX de la exposición de motivos del Real Decreto-ley. En el apartado II explica la necesidad de una reacción inminente en los siguientes términos: ‘[s]e trata por tanto de acometer una serie de reformas cuya necesidad es extraordinaria, dada la propia naturaleza de esta crisis y efectos sobre la economía, el mercado de trabajo y las finanzas españolas, y urgente por la celeridad con que se deben acometer las reformas estructurales en nuestro sistema de empleo público que contribuya a reforzar tanto la garantía de cumplimiento de los compromisos adquiridos por España en materia de gasto público y déficit como la mejora de la eficiencia, productividad y competitividad de nuestra economía’. Y en el apartado IX continúa incidiendo en la misma idea afirmando que ‘[e]n las medidas que se adoptan en el presente real decreto-ley concurren las circunstancias de extraordinaria y urgente necesidad que exige el artículo 86 de la Constitución Española como premisa para recurrir a esta figura del real decreto-ley. Como se ha expuesto, la actual coyuntura económica y la inexcusable necesidad de reducir el déficit público para alcanzar la estabilidad presupuestaria, hacen necesario que las medidas expuestas se aprueben con la máxima urgencia, con pleno respeto al marco constitucional y al establecido por la Unión Europea’. Pues bien, desde el limitado punto de vista de este Tribunal, que es jurídico y no político, no puede decirse que esa explicación sea irracional, arbitraria, apodíctica ni estereotipada, ni que el Gobierno haya incumplido u omitido las exigencias que le impone el art. 86.1 CE para hacer uso de su potestad legislativa. Además, sobre la urgencia de las reformas para reducir el déficit público excesivo apreciado por las instituciones comunitarias en el actual contexto de crisis económicas nos hemos pronunciado ya, reconociendo su existencia, en los AATC 179/2011, FJ 6, y 180/2011, FJ 6”.</w:t>
      </w:r>
    </w:p>
    <w:p w:rsidR="00AC56D6" w:rsidRDefault="00AC56D6" w:rsidP="00AC56D6">
      <w:pPr>
        <w:pStyle w:val="TextoNormal"/>
      </w:pPr>
    </w:p>
    <w:p w:rsidR="00AC56D6" w:rsidRDefault="00AC56D6" w:rsidP="00AC56D6">
      <w:pPr>
        <w:pStyle w:val="TextoNormal"/>
      </w:pPr>
      <w:r>
        <w:t xml:space="preserve">Finalmente, y en lo que hace al segundo requisito ínsito en el presupuesto habilitante del art. 86.1 CE, que es la conexión de sentido de las medidas aprobadas con la situación de “extraordinaria y urgente necesidad” que se trata de atender o corregir a través del Real Decreto-ley, la exposición de motivos se hace igualmente eco de que las medidas incluidas en el mismo tienen por objeto “garantizar que España cumple rigurosamente sus compromisos fiscales dentro del marco de Déficit Excesivo establecido por la Unión Europea” (apartado I), que es, según hemos indicado, uno de los componentes de la situación de extraordinaria y urgente necesidad invocada por el Gobierno para amparar su actuación normativa, así como también “mejora[r] la eficiencia, productividad y competitividad de nuestra economía” (apartado II, refiriéndose específicamente a la concreta medida aquí recurrida, la supresión de la paga extraordinaria de diciembre de 2012 a los empleados públicos), siendo difícilmente cuestionable que la reducción de gastos de personal tiende, precisamente, a cumplir esos objetivos, pues, por un lado, incrementa la “eficiencia” y “productividad” de la economía al reducir el coste del trabajo realizado por los empleados públicos que, por su parte, se mantiene y no se reduce, y por otro, tiende a reducir al mismo tiempo </w:t>
      </w:r>
      <w:r>
        <w:lastRenderedPageBreak/>
        <w:t>el déficit excesivo apreciado por la Unión Europea. Tanto es así que en los AATC 179/2011 y 180/2011, ya citados, calificamos de “evidente” esta relación, al ser los gastos de personal una de las dos principales partidas de gasto público corriente de los presupuestos de las Administraciones públicas. Según se afirmaba expresamente en esos Autos “es evidente que la reducción de las dos principales partidas del gasto público corriente de la ley de presupuestos —los salarios de los empleados públicos y las pensiones públicas— guarda la necesaria conexión de sentido con la situación de urgencia definida, tal y como ha sido exigida por la doctrina constitucional” (FJ 6). Y en el mismo sentido se han pronunciado los AATC 35/2012, de 14 de febrero, FJ 3, y 246/2012, de 18 de diciembre, FJ 4.</w:t>
      </w:r>
    </w:p>
    <w:p w:rsidR="00AC56D6" w:rsidRDefault="00AC56D6" w:rsidP="00AC56D6">
      <w:pPr>
        <w:pStyle w:val="TextoNormal"/>
      </w:pPr>
    </w:p>
    <w:p w:rsidR="00AC56D6" w:rsidRDefault="00AC56D6" w:rsidP="00AC56D6">
      <w:pPr>
        <w:pStyle w:val="TextoNormal"/>
      </w:pPr>
      <w:r w:rsidRPr="00AC56D6">
        <w:rPr>
          <w:rStyle w:val="NumeroAFNegritaCaracter"/>
        </w:rPr>
        <w:t>4</w:t>
      </w:r>
      <w:r>
        <w:t>. La Sala de lo Social del Tribunal Superior de Justicia del País Vasco cuestiona también, como ya hemos señalado, la “urgencia” de esa situación, alegando que el Gobierno podría haber reaccionado a ese escenario de premura sin necesidad de acudir al empleo de la potestad legislativa de urgencia. En concreto, afirma que pudo haber tramitado parlamentariamente la correspondiente ley.</w:t>
      </w:r>
    </w:p>
    <w:p w:rsidR="00AC56D6" w:rsidRDefault="00AC56D6" w:rsidP="00AC56D6">
      <w:pPr>
        <w:pStyle w:val="TextoNormal"/>
      </w:pPr>
    </w:p>
    <w:p w:rsidR="00AC56D6" w:rsidRDefault="00AC56D6" w:rsidP="00AC56D6">
      <w:pPr>
        <w:pStyle w:val="TextoNormal"/>
      </w:pPr>
      <w:r>
        <w:t>Esta objeción ha sido también resuelta por la STC 81/2015, según la cual, “es cierta la premisa de que dentro de las posibilidades de control de este Tribunal está la de rechazar la definición que los órganos políticos hagan de una situación determinada como caso de extraordinaria y urgente necesidad ‘de tal naturaleza que no pueda ser atendida por la vía del procedimiento legislativo de urgencia’ (por todas, SSTC 111/1983, de 2 de diciembre, FJ 5, y 60/1986, de 20 de mayo, FJ 3). Sin embargo, también lo es que según se matiza inmediatamente en esas mismas y otras Sentencias, en esa labor de control este Tribunal no puede ‘traspasar las fronteras de su función y a la vez de su responsabilidad [e] inmiscuirse en la decisión de gobierno, pues si así se hiciera quedarían alterados los supuestos del orden constitucional democrático’ (</w:t>
      </w:r>
      <w:r w:rsidRPr="00AC56D6">
        <w:rPr>
          <w:i/>
        </w:rPr>
        <w:t>loc. cit</w:t>
      </w:r>
      <w:r>
        <w:t>.), doctrina que es predicable no solo respecto al carácter extraordinario de la situación, sino también de su condición de ‘urgente’. Ya hemos tenido ocasión de recordar además (fundamento jurídico 2) que ‘el control que compete al Tribunal Constitucional en este punto es un control externo, en el sentido de que debe verificar, pero no sustituir, el juicio político o de oportunidad que corresponde al Gobierno’ (STC 182/1997, de 28 de octubre, FJ 3). Por consiguiente, basta con que la actuación del Gobierno (su opción por el ejercicio de esta potestad que la Constitución le confiere) no sea arbitraria ni abusiva para que este Tribunal deba respetar el ejercicio de esa potestad, pues no es misión de este órgano jurisdiccional seleccionar la alternativa más correcta o idónea de entre las varias que pueden ofrecerse al Gobierno para subvenir a una concreta situación, sino que la labor de este Tribunal es más limitada y se ciñe a efectuar un ‘control negativo’ de esas alternativas (así, para los diferentes procedimientos legislativos, STC 129/2013, de 4 de junio, FJ 10)”.</w:t>
      </w:r>
    </w:p>
    <w:p w:rsidR="00AC56D6" w:rsidRDefault="00AC56D6" w:rsidP="00AC56D6">
      <w:pPr>
        <w:pStyle w:val="TextoNormal"/>
      </w:pPr>
    </w:p>
    <w:p w:rsidR="00AC56D6" w:rsidRDefault="00AC56D6" w:rsidP="00AC56D6">
      <w:pPr>
        <w:pStyle w:val="TextoNormal"/>
      </w:pPr>
      <w:r>
        <w:t>Asumiendo estas incuestionables premisas como punto de partida, una vez que hemos constatado que el Gobierno ha explicitado y justificado la necesidad de una urgente reacción legislativa, y una vez que hemos verificado también la validez externa o razonabilidad de esa justificación, no es propio de un control jurisdiccional y no político como el que es propio de este Tribunal efectuar un juicio hipotético sobre la viabilidad de esas otras alternativas propuestas. Con ello se estaría invadiendo la esfera de actuación del Gobierno y el juicio político y de oportunidad que tiene reservado.</w:t>
      </w:r>
    </w:p>
    <w:p w:rsidR="00AC56D6" w:rsidRDefault="00AC56D6" w:rsidP="00AC56D6">
      <w:pPr>
        <w:pStyle w:val="TextoNormal"/>
      </w:pPr>
    </w:p>
    <w:p w:rsidR="00AC56D6" w:rsidRDefault="00AC56D6" w:rsidP="00AC56D6">
      <w:pPr>
        <w:pStyle w:val="TextoNormal"/>
      </w:pPr>
      <w:r>
        <w:lastRenderedPageBreak/>
        <w:t>En consecuencia, por todo lo señalado, la alegada vulneración del art. 86.1 CE debe ser rechazada.</w:t>
      </w:r>
    </w:p>
    <w:p w:rsidR="00AC56D6" w:rsidRDefault="00AC56D6" w:rsidP="00AC56D6">
      <w:pPr>
        <w:pStyle w:val="TextoNormal"/>
      </w:pPr>
    </w:p>
    <w:p w:rsidR="00AC56D6" w:rsidRDefault="00AC56D6" w:rsidP="00AC56D6">
      <w:pPr>
        <w:pStyle w:val="TextoNormal"/>
      </w:pPr>
      <w:r w:rsidRPr="00AC56D6">
        <w:rPr>
          <w:rStyle w:val="NumeroAFNegritaCaracter"/>
        </w:rPr>
        <w:t>5</w:t>
      </w:r>
      <w:r>
        <w:t>. La Sala de lo Social del Tribunal Superior de Justicia del País Vasco alega, en segundo lugar, vulneración del art. 9.3 CE por considerar que la norma es retroactiva y restrictiva de derechos individuales.</w:t>
      </w:r>
    </w:p>
    <w:p w:rsidR="00AC56D6" w:rsidRDefault="00AC56D6" w:rsidP="00AC56D6">
      <w:pPr>
        <w:pStyle w:val="TextoNormal"/>
      </w:pPr>
    </w:p>
    <w:p w:rsidR="00AC56D6" w:rsidRDefault="00AC56D6" w:rsidP="00AC56D6">
      <w:pPr>
        <w:pStyle w:val="TextoNormal"/>
      </w:pPr>
      <w:r>
        <w:t>Con carácter previo al análisis de esta cuestión conviene realizar una serie de precisiones para acotar debidamente el objeto de la misma y el alcance de nuestro enjuiciamiento.</w:t>
      </w:r>
    </w:p>
    <w:p w:rsidR="00AC56D6" w:rsidRDefault="00AC56D6" w:rsidP="00AC56D6">
      <w:pPr>
        <w:pStyle w:val="TextoNormal"/>
      </w:pPr>
    </w:p>
    <w:p w:rsidR="00AC56D6" w:rsidRDefault="00AC56D6" w:rsidP="00AC56D6">
      <w:pPr>
        <w:pStyle w:val="TextoNormal"/>
      </w:pPr>
      <w:r>
        <w:t>a) Así, en primer lugar, resulta obligado advertir, que si bien la Sala de lo Social del Tribunal Superior de Justicia del País Vasco plantea la cuestión de inconstitucionalidad respecto del art. 2.2 del Real Decreto-ley 20/2012 en su integridad, lo cierto es que de los razonamientos que se contienen en el Auto de planteamiento se infiere sin dificultad que no se cuestiona todo el precepto sino sólo en su aplicación al personal laboral del sector público. En este sentido, hay que tener en cuenta que la cuestión de inconstitucionalidad trae causa de un proceso de conflicto colectivo promovido por el sindicato Langile Sindikal Batasuna-Unión Sindical Obrera con motivo de la supresión al personal de Mercabilbao, S.A., por aplicación de las previsiones contenidas en el Real Decreto-ley 20/2012, de la paga o gratificación extraordinaria de diciembre de 2012, proceso en el que lo pretendido por los demandantes es justamente que se declare el derecho de los trabajadores de esta empresa a percibir la parte proporcional de la paga extra de diciembre de 2012 correspondiente al período comprendido desde el 1 al 14 de julio de 2012 que consideran ya devengada al momento de la entrada en vigor del Real Decreto-ley 20/2012, porque, no cabe que la supresión de esa paga extra por el citado Real Decreto-ley tenga efectos retroactivos.</w:t>
      </w:r>
    </w:p>
    <w:p w:rsidR="00AC56D6" w:rsidRDefault="00AC56D6" w:rsidP="00AC56D6">
      <w:pPr>
        <w:pStyle w:val="TextoNormal"/>
      </w:pPr>
    </w:p>
    <w:p w:rsidR="00AC56D6" w:rsidRDefault="00AC56D6" w:rsidP="00AC56D6">
      <w:pPr>
        <w:pStyle w:val="TextoNormal"/>
      </w:pPr>
      <w:r>
        <w:t>De este modo, en los términos que ha sido planteada, la presente cuestión de inconstitucionalidad debe entenderse referida al art. 2.2.2 Real Decreto-ley 20/2012, que se refiere específicamente a la supresión de la paga o gratificación extraordinaria de diciembre de 2012 o equivalente al personal laboral del sector público.</w:t>
      </w:r>
    </w:p>
    <w:p w:rsidR="00AC56D6" w:rsidRDefault="00AC56D6" w:rsidP="00AC56D6">
      <w:pPr>
        <w:pStyle w:val="TextoNormal"/>
      </w:pPr>
    </w:p>
    <w:p w:rsidR="00AC56D6" w:rsidRDefault="00AC56D6" w:rsidP="00AC56D6">
      <w:pPr>
        <w:pStyle w:val="TextoNormal"/>
      </w:pPr>
      <w:r>
        <w:t>b) Por otra parte debe tenerse en cuenta que no se cuestiona por la Sala de lo Social del Tribunal Superior de Justicia del País Vasco la medida de supresión de la paga extraordinaria de diciembre de 2012 en sí misma considerada, sino sólo en cuanto su aplicación haya podido suponer la infracción del principio de irretroactividad establecido en el 9.3 CE, al no contemplar excepción alguna respecto de las cuantías que se entienden ya devengadas de dicha paga extra (en concreto, la Sala considera devengado el derecho a la parte proporcional a 14 días de trabajo, desde 1 al 14 de julio de 2012) a la fecha de entrada en vigor del Real Decreto-ley 20/2012 (que tuvo lugar el 15 de julio de 2012, conforme a su disposición final decimoquinta). A esta concreta duda de constitucionalidad deberá, pues, ceñirse nuestro enjuiciamiento.</w:t>
      </w:r>
    </w:p>
    <w:p w:rsidR="00AC56D6" w:rsidRDefault="00AC56D6" w:rsidP="00AC56D6">
      <w:pPr>
        <w:pStyle w:val="TextoNormal"/>
      </w:pPr>
    </w:p>
    <w:p w:rsidR="00AC56D6" w:rsidRDefault="00AC56D6" w:rsidP="00AC56D6">
      <w:pPr>
        <w:pStyle w:val="TextoNormal"/>
      </w:pPr>
      <w:r w:rsidRPr="00AC56D6">
        <w:rPr>
          <w:rStyle w:val="NumeroAFNegritaCaracter"/>
        </w:rPr>
        <w:t>6</w:t>
      </w:r>
      <w:r>
        <w:t xml:space="preserve">. La disposición adicional duodécima de la Ley 36/2014, de 26 de diciembre, de presupuestos generales del Estado para 2015, bajo el epígrafe “Recuperación de la paga extraordinaria y adicional del mes de diciembre de 2012”, establece, en su apartado primero, que cada Administración pública, en su ámbito, podrá aprobar el abono de cantidades en concepto de recuperación de los importes efectivamente dejados de percibir como consecuencia </w:t>
      </w:r>
      <w:r>
        <w:lastRenderedPageBreak/>
        <w:t>de la supresión de la paga extraordinaria de diciembre de 2012 por aplicación del Real Decreto-ley 20/2012, siendo esas cantidades equivalentes a la parte proporcional correspondiente a los primeros 44 días de la paga extraordinaria suprimida.</w:t>
      </w:r>
    </w:p>
    <w:p w:rsidR="00AC56D6" w:rsidRDefault="00AC56D6" w:rsidP="00AC56D6">
      <w:pPr>
        <w:pStyle w:val="TextoNormal"/>
      </w:pPr>
    </w:p>
    <w:p w:rsidR="00AC56D6" w:rsidRDefault="00AC56D6" w:rsidP="00AC56D6">
      <w:pPr>
        <w:pStyle w:val="TextoNormal"/>
      </w:pPr>
      <w:r>
        <w:t>Como consta en los antecedentes de esta resolución, de conformidad con lo dispuesto en el art. 88.1 de la Ley Orgánica del Tribunal Constitucional, la Sala Segunda de este Tribunal dirigió comunicación a la empresa Mercados Centrales de Abastecimientos de Bilbao, S.A. (Mercabilbao), a fin de que indicara si, en atención a lo previsto en la disposición adicional duodécima de la Ley 36/2014, de presupuestos generales del Estado para el año 2015, o por cualquier otra circunstancia, se ha satisfecho al colectivo de trabajadores de esa mercantil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 En contestación a dicha providencia el Director General de mercados centrales de abastecimiento de Bilbao, S.A. (Mercabilbao) comunicó a este Tribunal por escrito registrado el 22 de octubre de 2015 que, en virtud del acuerdo plenario adoptado por el Excmo. Ayuntamiento de Bilbao de 26 de febrero de 2015, se autorizó “el abono, con cargo a los presupuestos correspondientes, a los cargos directivos y al personal de sociedades y entidades públicas empresariales municipales, entre ellas Mercabilbao, del importe equivalente al 24,04 por ciento de la paga extraordinaria de diciembre de 2012”.</w:t>
      </w:r>
    </w:p>
    <w:p w:rsidR="00AC56D6" w:rsidRDefault="00AC56D6" w:rsidP="00AC56D6">
      <w:pPr>
        <w:pStyle w:val="TextoNormal"/>
      </w:pPr>
    </w:p>
    <w:p w:rsidR="00AC56D6" w:rsidRDefault="00AC56D6" w:rsidP="00AC56D6">
      <w:pPr>
        <w:pStyle w:val="TextoNormal"/>
      </w:pPr>
      <w:r>
        <w:t>Como consecuencia del abono de las cantidades señaladas al personal de Mercabilbao, debemos remitirnos a lo dicho recientemente en nuestra STC 83/2015, de 30 de abril, sobre la posible pérdida de objeto de la cuestión de inconstitucionalidad.</w:t>
      </w:r>
    </w:p>
    <w:p w:rsidR="00AC56D6" w:rsidRDefault="00AC56D6" w:rsidP="00AC56D6">
      <w:pPr>
        <w:pStyle w:val="TextoNormal"/>
      </w:pPr>
    </w:p>
    <w:p w:rsidR="00AC56D6" w:rsidRDefault="00AC56D6" w:rsidP="00AC56D6">
      <w:pPr>
        <w:pStyle w:val="TextoNormal"/>
      </w:pPr>
      <w:r>
        <w:t xml:space="preserve">En el fundamento jurídico 3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presente—, ni se había producido la extinción del procedimiento laboral a quo, ni tampoco nos encontrábamos ante un supuesto de pérdida de vigencia del precepto legal cuestionado, ello no obstante, era innegable la incidencia que tenía la medida contenida en la disposición adicional duodécima de la Ley 36/2014, de presupuestos generales del Estado para 2015 sobre la pretensión deducida el pleito </w:t>
      </w:r>
      <w:r w:rsidRPr="00AC56D6">
        <w:rPr>
          <w:i/>
        </w:rPr>
        <w:t>a quo</w:t>
      </w:r>
      <w:r>
        <w:t>, “que afecta de modo determinante a la subsistencia del presente proceso constitucional, dada la estrecha vinculación existente entre toda cuestión de inconstitucionalidad y el procedimiento judicial de que dimana”.</w:t>
      </w:r>
    </w:p>
    <w:p w:rsidR="00AC56D6" w:rsidRDefault="00AC56D6" w:rsidP="00AC56D6">
      <w:pPr>
        <w:pStyle w:val="TextoNormal"/>
      </w:pPr>
    </w:p>
    <w:p w:rsidR="00AC56D6" w:rsidRDefault="00AC56D6" w:rsidP="00AC56D6">
      <w:pPr>
        <w:pStyle w:val="TextoNormal"/>
      </w:pPr>
      <w:r>
        <w:t xml:space="preserve">En la presente cuestión de inconstitucionalidad se plantea si la supresión del derecho de los trabajadores de la empresa Mercabilbao a percibir la parte proporcional (en concreto, 14 días) de la paga extra de diciembre de 2012, por entenderse ya devengada al momento de la entrada en vigor del Real Decreto-ley 20/2012, contraviene el art. 9.3 CE. En esos términos planteada la cuestión es obligado concluir como hicimos en la STC 83/2015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w:t>
      </w:r>
      <w:r>
        <w:lastRenderedPageBreak/>
        <w:t>de extinción de la cuestión de inconstitucionalidad (STC 6/2010, FJ 2; AATC 945/1985, de 19 de diciembre; 723/1986, de 18 de septiembre; y 485/2005, de 13 de diciembre).”</w:t>
      </w:r>
    </w:p>
    <w:p w:rsidR="00AC56D6" w:rsidRDefault="00AC56D6" w:rsidP="00AC56D6">
      <w:pPr>
        <w:pStyle w:val="TextoNormal"/>
      </w:pPr>
    </w:p>
    <w:p w:rsidR="00AC56D6" w:rsidRDefault="00AC56D6" w:rsidP="00AC56D6">
      <w:pPr>
        <w:pStyle w:val="TextoNormal"/>
      </w:pPr>
      <w:r>
        <w:t>Conforme a lo expuesto, el abono al personal de Mercabilbao, por acuerdo plenario adoptado por el Excmo. Ayuntamiento de Bilbao de 26 de febrero de 2015, de la parte correspondiente al 24,04 por 100 de la paga extraordinaria de diciembre de 2012,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00AC56D6" w:rsidRDefault="00AC56D6" w:rsidP="00AC56D6">
      <w:pPr>
        <w:pStyle w:val="TextoNormal"/>
      </w:pPr>
    </w:p>
    <w:p w:rsidR="00AC56D6" w:rsidRDefault="00AC56D6" w:rsidP="00AC56D6">
      <w:pPr>
        <w:pStyle w:val="TextoNormal"/>
      </w:pPr>
      <w:r w:rsidRPr="00AC56D6">
        <w:rPr>
          <w:rStyle w:val="NumeroAFNegritaCaracter"/>
        </w:rPr>
        <w:t>7</w:t>
      </w:r>
      <w:r>
        <w:t xml:space="preserve">. Por último, alega la Sala de lo Social del Tribunal Superior de Justicia del País Vasco una extralimitación de las competencias del Estado </w:t>
      </w:r>
      <w:r w:rsidRPr="00AC56D6">
        <w:rPr>
          <w:i/>
        </w:rPr>
        <w:t>ex</w:t>
      </w:r>
      <w:r>
        <w:t xml:space="preserve"> art. 149.1.13 CE y la correlativa invasión del ámbito competencial de la Comunidad Autónoma del País Vasco derivado del art. 148.1.1 CE y de los arts. 10.2, 10.4, 40 y 44 del Estatuto de Autonomía para el País Vasco. Considera la Sala que la concreta medida de supresión de la paga extra de diciembre de 2012, puesto que no permite la modulación por las Comunidades Autónomas, sino que regula la cuestión de manera precisa y delimitada, está invadiendo las competencias de la Comunidad Autónoma del País Vasco en materia de personal y respecto de su autonomía de gasto.</w:t>
      </w:r>
    </w:p>
    <w:p w:rsidR="00AC56D6" w:rsidRDefault="00AC56D6" w:rsidP="00AC56D6">
      <w:pPr>
        <w:pStyle w:val="TextoNormal"/>
      </w:pPr>
    </w:p>
    <w:p w:rsidR="00AC56D6" w:rsidRDefault="00AC56D6" w:rsidP="00AC56D6">
      <w:pPr>
        <w:pStyle w:val="TextoNormal"/>
      </w:pPr>
      <w:r>
        <w:t>Para dar respuesta a esta vulneración, resulta necesario recordar que nuestra doctrina encuadra las medidas de contención de gastos de personal en el marco de las competencias de las bases y coordinación de la planificación general de la actividad económica del art. 149.1.13 CE.</w:t>
      </w:r>
    </w:p>
    <w:p w:rsidR="00AC56D6" w:rsidRDefault="00AC56D6" w:rsidP="00AC56D6">
      <w:pPr>
        <w:pStyle w:val="TextoNormal"/>
      </w:pPr>
    </w:p>
    <w:p w:rsidR="00AC56D6" w:rsidRDefault="00AC56D6" w:rsidP="00AC56D6">
      <w:pPr>
        <w:pStyle w:val="TextoNormal"/>
      </w:pPr>
      <w:r>
        <w:t xml:space="preserve">En efecto, este Tribunal ha entendido que las medidas de limitación de las retribuciones adoptadas por el Estado deben analizarse desde la perspectiva de los arts. 149.1.13 y 156.1 CE. Siguiendo lo afirmado en STC 222/2006, FJ 3, debemos ahora reiterar que, aunque no cabe duda de que la decisión del legislador estatal de establecer un crecimiento cero en las retribuciones del personal al servicio de las Administraciones públicas incide en la autonomía presupuestaria de las Comunidades Autónomas, su legitimidad constitucional debe ser admitida a la luz de la doctrina que este Tribunal ha empleado reiteradamente para defender la facultad del Estado de limitar las retribuciones del personal al servicio de las Administraciones públicas. En efecto, hemos señalado la vinculación directa de estos límites con la fijación de la política económica general por parte del Estado </w:t>
      </w:r>
      <w:r w:rsidRPr="00AC56D6">
        <w:rPr>
          <w:i/>
        </w:rPr>
        <w:t>ex</w:t>
      </w:r>
      <w:r>
        <w:t xml:space="preserve"> art. 149.1.13 CE (STC 96/1990, de 24 de mayo, FJ 3) por cuanto se trata de una medida dirigida a contener la expansión relativa de uno de los componentes esenciales del gasto público (STC 63/1986, de 21 de mayo, FJ 11), sin que quepa olvidar que dicha autonomía financiera de las Comunidades Autónomas la concibe nuestra Constitución “con arreglo a los principios de coordinación con la Hacienda estatal y de solidaridad entre todos los españoles” (art. 156.1 CE) precepto éste desarrollado en el art. 2.1 b) de la Ley Orgánica de financiación de las Comunidades Autónomas (LOFCA), de modo que la incidencia en la autonomía financiera y presupuestaria de las Comunidades Autónomas está directamente relacionada con la responsabilidad del Estado de garantizar el equilibrio económico general (SSTC 171/1996, de 30 de </w:t>
      </w:r>
      <w:r>
        <w:lastRenderedPageBreak/>
        <w:t>octubre, FJ 2, y 103/1997, de 22 de mayo, FJ 1). Lo cual, en fin, no sólo justifica que el Estado pueda establecer topes máximos a los incrementos retributivos de los funcionarios autonómicos, sino que pueda decantarse por la congelación salarial en un ejercicio concreto.</w:t>
      </w:r>
    </w:p>
    <w:p w:rsidR="00AC56D6" w:rsidRDefault="00AC56D6" w:rsidP="00AC56D6">
      <w:pPr>
        <w:pStyle w:val="TextoNormal"/>
      </w:pPr>
    </w:p>
    <w:p w:rsidR="00AC56D6" w:rsidRDefault="00AC56D6" w:rsidP="00AC56D6">
      <w:pPr>
        <w:pStyle w:val="TextoNormal"/>
      </w:pPr>
      <w:r>
        <w:t>Asimismo, este Tribunal ha afirmado que, las medidas de contención de gastos de personal no se encuadran en el marco de las competencias en materia de “funcionarios públicos” (arts. 149.1.18 CE) sino que la doctrina constitucional las sitúa bajo el de las bases y coordinación de la planificación general de la actividad económica del art. 149.1.13 CE, como ya hemos señalado. Y ello por dos motivos principales, ya indicados en la temprana STC 63/1986, de 21 de mayo, FJ 11, y reiterados luego en múltiples ocasiones (en particular, para el caso concreto de Navarra, en las SSTC 148/2006, de 11 de mayo, FJ 6; 195/2006, de 22 de junio, FJ 6, y 297/2006, de 11 de octubre, FJ 5): “en primer lugar, porque dichas retribuciones, no sólo alcanzan a los funcionarios públicos, sino también a todo el personal al servicio del sector público; y, en segundo término, porque su carácter coyuntural y su eficacia limitada en el tiempo impiden integrarlas en la relación de servicio que delimita dicho régimen estatutario. Todo ello nos ha llevado a limitar la competencia estatal básica reconocida en el art. 149.1.18 CE a la definición de los diversos conceptos retributivos de los funcionarios públicos” (STC 148/2006, FJ 6).</w:t>
      </w:r>
    </w:p>
    <w:p w:rsidR="00AC56D6" w:rsidRDefault="00AC56D6" w:rsidP="00AC56D6">
      <w:pPr>
        <w:pStyle w:val="TextoNormal"/>
      </w:pPr>
    </w:p>
    <w:p w:rsidR="00AC56D6" w:rsidRDefault="00AC56D6" w:rsidP="00AC56D6">
      <w:pPr>
        <w:pStyle w:val="TextoNormal"/>
      </w:pPr>
      <w:r>
        <w:t>En la presente cuestión de inconstitucionalidad, como señala el Fiscal General del Estado, la Sala de lo Social del Tribunal Superior de Justicia del País Vasco no cita una sola norma autonómica en la que se contenga alguna concreta regulación acerca del reconocimiento de los derechos retributivos del personal del sector público, que en su literalidad pudiera hallarse en contradicción con lo dispuesto por el Real Decreto-ley 20/2012, sino que al invocar el precepto constitucional pretendidamente afectado y que vendría a reconocer las facultades normadoras de la Comunidad Autónoma Vasca en tal concreto aspecto, se cita el art. 148.1.1 CE, a tenor del cual, se reconoce a las Comunidades Autónomas la asunción de competencias, entre otras, en la organización de sus instituciones de autogobierno. Junto al art. 148.1.1 CE considera infringidos los siguientes artículos del Estatuto de Autonomía para el País Vasco: arts. 10.2, que atribuye igualmente a la Comunidad Autónoma del País Vasco competencia exclusiva en organización, régimen y funcionamiento de sus instituciones de autogobierno, 10.4, que atribuye a la Comunidad Autónoma competencia en materia de Estatuto de los funcionarios del País Vasco, y 40 y 44, ambos principios rectores, el primero relativo a la protección de las personas y las familias y el segundo sobre educación investigación y cultura.</w:t>
      </w:r>
    </w:p>
    <w:p w:rsidR="00AC56D6" w:rsidRDefault="00AC56D6" w:rsidP="00AC56D6">
      <w:pPr>
        <w:pStyle w:val="TextoNormal"/>
      </w:pPr>
    </w:p>
    <w:p w:rsidR="00AC56D6" w:rsidRDefault="00AC56D6" w:rsidP="00AC56D6">
      <w:pPr>
        <w:pStyle w:val="TextoNormal"/>
      </w:pPr>
      <w:r>
        <w:t>En consecuencia, de la generalidad de la formulación de los preceptos autonómicos citados no puede extraerse la conclusión de que la coyuntural supresión de una paga extra es una competencia propia de la Comunidad Autónoma Vasca, sino que muy al contrario, de la jurisprudencia constitucional transcrita se extrae la conclusión de que es una medida que se encuadra en las competencias estatales en materia de bases y coordinación de la planificación de la actividad económica del art. 149.1.13 CE. Como ha afirmado este Tribunal en su STC 81/2015, FJ 7, la medida de supresión de la paga extraordinaria de 2012 responde, por su naturaleza y contenido, al legítimo ejercicio de las competencias que al Estado atribuye el art. 149.1.13 CE, por lo que la vulneración competencial alegada por la Sala de lo Social del Tribunal Superior de Justicia del País Vasco debe ser rechazada.</w:t>
      </w:r>
    </w:p>
    <w:p w:rsidR="00AC56D6" w:rsidRDefault="00AC56D6" w:rsidP="00AC56D6">
      <w:pPr>
        <w:pStyle w:val="TextoNormal"/>
      </w:pPr>
    </w:p>
    <w:p w:rsidR="00AC56D6" w:rsidRDefault="00AC56D6" w:rsidP="00AC56D6">
      <w:pPr>
        <w:pStyle w:val="TextoNormalCentrado"/>
        <w:keepNext/>
      </w:pPr>
      <w:r>
        <w:lastRenderedPageBreak/>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1º Declarar la desaparición sobrevenida de su objeto en relación con la vulneración relativa al art. 9.3 CE.</w:t>
      </w:r>
    </w:p>
    <w:p w:rsidR="00AC56D6" w:rsidRDefault="00AC56D6" w:rsidP="00AC56D6">
      <w:pPr>
        <w:pStyle w:val="TextoNormal"/>
      </w:pPr>
    </w:p>
    <w:p w:rsidR="00AC56D6" w:rsidRDefault="00AC56D6" w:rsidP="00AC56D6">
      <w:pPr>
        <w:pStyle w:val="TextoNormal"/>
      </w:pPr>
      <w:r>
        <w:t>2º Desestimar en lo demás la presente cuestión de inconstitucionalidad.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treinta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00" w:name="SENTENCIA_2015_244"/>
      <w:r>
        <w:lastRenderedPageBreak/>
        <w:t>SENTENCIA 244/2015, de 30 de noviembre de 2015</w:t>
      </w:r>
    </w:p>
    <w:bookmarkEnd w:id="100"/>
    <w:p w:rsidR="00AC56D6" w:rsidRDefault="00AC56D6" w:rsidP="00AC56D6">
      <w:pPr>
        <w:pStyle w:val="TtuloResolucin"/>
      </w:pPr>
      <w:r>
        <w:t>Sala Segunda</w:t>
      </w:r>
    </w:p>
    <w:p w:rsidR="00AC56D6" w:rsidRDefault="00AC56D6" w:rsidP="00AC56D6">
      <w:pPr>
        <w:pStyle w:val="TtuloBOE"/>
      </w:pPr>
      <w:r>
        <w:t>(BOE núm. 10, de 12 de enero de 2016)</w:t>
      </w:r>
    </w:p>
    <w:p w:rsidR="00AC56D6" w:rsidRDefault="00AC56D6" w:rsidP="00AC56D6">
      <w:pPr>
        <w:pStyle w:val="TextoNormalCentrado"/>
      </w:pPr>
      <w:r>
        <w:t>ECLI:ES:TC:2015:244</w:t>
      </w:r>
    </w:p>
    <w:p w:rsidR="00AC56D6" w:rsidRDefault="00AC56D6" w:rsidP="00AC56D6">
      <w:pPr>
        <w:pStyle w:val="TextoNormalCentrado"/>
      </w:pPr>
    </w:p>
    <w:p w:rsidR="00AC56D6" w:rsidRDefault="00AC56D6" w:rsidP="00AC56D6">
      <w:pPr>
        <w:pStyle w:val="SntesisDescriptiva"/>
      </w:pPr>
      <w:r>
        <w:t>Cuestión de inconstitucionalidad 6190-2014. Cuestión de inconstitucionalidad 6190-2014. Planteada por la Sala de lo Contencioso-Administrativo del Tribunal Superior de Justicia de Castilla-La Mancha respecto del artículo 23.1 a) y 2, en relación con los artículos 12 y 25, del texto refundido de la Ley de suelo, aprobado por Real Decreto Legislativo 2/2008, de 20 de junio.</w:t>
      </w:r>
    </w:p>
    <w:p w:rsidR="00AC56D6" w:rsidRDefault="00AC56D6" w:rsidP="00AC56D6">
      <w:pPr>
        <w:pStyle w:val="SntesisDescriptiva"/>
      </w:pPr>
    </w:p>
    <w:p w:rsidR="00AC56D6" w:rsidRDefault="00AC56D6" w:rsidP="00AC56D6">
      <w:pPr>
        <w:pStyle w:val="SntesisAnaltica"/>
      </w:pPr>
      <w:r>
        <w:t>Principio de igualdad y garantías expropiatorias: STC 218/2015 (pérdida parcial de objeto de la cuestión de inconstitucionalidad; constitucionalidad del método de capitalización de rentas para la valoración del suelo rural).</w:t>
      </w:r>
    </w:p>
    <w:p w:rsidR="00AC56D6" w:rsidRDefault="00AC56D6" w:rsidP="00AC56D6">
      <w:pPr>
        <w:pStyle w:val="SntesisAnaltica"/>
      </w:pPr>
    </w:p>
    <w:p w:rsidR="00AC56D6" w:rsidRDefault="00AC56D6" w:rsidP="00AC56D6">
      <w:pPr>
        <w:pStyle w:val="Extracto"/>
      </w:pPr>
      <w:r>
        <w:t>1.</w:t>
      </w:r>
      <w:r>
        <w:tab/>
        <w:t>Asunto sustancialmente idéntico al resuelto por la STC 218/2015 [FFJJ 2 a 6].</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6190-2014, promovida por la Sección Segunda de la Sala de lo Contencioso-Administrativo del Tribunal Superior de Justicia de Castilla-La Mancha respecto del art. 23.1 a) y 2, en relación con los arts. 12 y 25, del Real Decreto Legislativo 2/2008, de 20 de junio, que aprueba el texto refundido de la Ley de suelo. Han comparecido el Abogado del Estado, en la representación que ostenta, y el Fiscal General del Estado. Ha sido Ponente el Magistrado don Juan José González Rivas,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El 15 de octubre de 2014 tuvo entrada en el Tribunal Constitucional el Auto de la Sección Segunda de Sala de lo Contencioso-Administrativo del Tribunal Superior de Justicia de Castilla-La Mancha, de fecha 9 de septiembre del mismo año, dictado en el procedimiento ordinario 669-2010, por el que se acuerda el planteamiento de la cuestión de inconstitucionalidad de los apartados 1 a) y 2 del art. 23, ambos en relación a los arts. 12 y 25, del </w:t>
      </w:r>
      <w:r>
        <w:lastRenderedPageBreak/>
        <w:t>Real Decreto Legislativo 2/2008, de 20 de junio, que aprueba el texto refundido de la Ley de suelo.</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en lo que interesa a este proceso constitucional, son los siguientes:</w:t>
      </w:r>
    </w:p>
    <w:p w:rsidR="00AC56D6" w:rsidRDefault="00AC56D6" w:rsidP="00AC56D6">
      <w:pPr>
        <w:pStyle w:val="TextoNormal"/>
      </w:pPr>
    </w:p>
    <w:p w:rsidR="00AC56D6" w:rsidRDefault="00AC56D6" w:rsidP="00AC56D6">
      <w:pPr>
        <w:pStyle w:val="TextoNormal"/>
      </w:pPr>
      <w:r>
        <w:t>a) Don A.F.G.L recurre en vía contencioso-administrativa la resolución del Jurado Regional de Valoraciones de la Junta de Comunidades de Castilla-La Mancha que fijó el justiprecio de las parcelas 12, 19, 35 y 44 del polígono 3 en el término municipal de Illescas, expropiadas para ejecutar el “Proyecto de singular interés Parque Industrial de Illescas”. Este parque industrial de Illescas contiene ordenación urbanística para un sector de ese término municipal y prevé su gestión directa por expropiación.</w:t>
      </w:r>
    </w:p>
    <w:p w:rsidR="00AC56D6" w:rsidRDefault="00AC56D6" w:rsidP="00AC56D6">
      <w:pPr>
        <w:pStyle w:val="TextoNormal"/>
      </w:pPr>
    </w:p>
    <w:p w:rsidR="00AC56D6" w:rsidRDefault="00AC56D6" w:rsidP="00AC56D6">
      <w:pPr>
        <w:pStyle w:val="TextoNormal"/>
      </w:pPr>
      <w:r>
        <w:t>Dentro de ese sector, como parcela 1 del polígono 3, estaba también la finca sobre cuya valoración expropiatoria versaba el litigio subyacente a la cuestión de inconstitucionalidad núm. 6059-2014, que planteando un asunto sustancialmente idéntico fue resuelta por la STC 218/2015, de 22 de octubre.</w:t>
      </w:r>
    </w:p>
    <w:p w:rsidR="00AC56D6" w:rsidRDefault="00AC56D6" w:rsidP="00AC56D6">
      <w:pPr>
        <w:pStyle w:val="TextoNormal"/>
      </w:pPr>
    </w:p>
    <w:p w:rsidR="00AC56D6" w:rsidRDefault="00AC56D6" w:rsidP="00AC56D6">
      <w:pPr>
        <w:pStyle w:val="TextoNormal"/>
      </w:pPr>
      <w:r>
        <w:t>El Jurado Regional de Valoraciones, como en la cuestión de inconstitucionalidad 6059-2014, reputó las fincas expropiadas en situación de rústicas, por lo que las valoró conforme al art. 23 del Real Decreto Legislativo 2/2008 por capitalización de rentas (labor de cereal de secano), a razón de 1,1646 €/m2, aplicándole un índice de corrección del 75 por 100 “al encontrarse la finca próxima al casco urbano y a centros de actividad económica y por tanto con mayores facilidades para su explotación y acceso”, lo que arrojó un precio de 2,0381 €/m2. El Jurado, además, rechazó expresamente que las parcelas afectadas hubiesen incorporado ya la facultad de urbanizar, por lo que descartó que procediera aplicar en la valoración expropiatoria el concepto previsto en el art. 25 del Real Decreto Legislativo 2/2008. En fin, el Jurado reconoció que la hoja de aprecio de la Administración fijaba la renta potencial en un valor superior (concretamente en 1,4 €/m2 que convertía en 2,8 €/m2 aplicando la corrección del 100 por factores objetivos de localización) y resolvió que en virtud del principio de congruencia debía estarse a esta valoración superior, acordando por tanto un justiprecio de 250.114,68 €.</w:t>
      </w:r>
    </w:p>
    <w:p w:rsidR="00AC56D6" w:rsidRDefault="00AC56D6" w:rsidP="00AC56D6">
      <w:pPr>
        <w:pStyle w:val="TextoNormal"/>
      </w:pPr>
    </w:p>
    <w:p w:rsidR="00AC56D6" w:rsidRDefault="00AC56D6" w:rsidP="00AC56D6">
      <w:pPr>
        <w:pStyle w:val="TextoNormal"/>
      </w:pPr>
      <w:r>
        <w:t xml:space="preserve">El actor alegó en su demanda, </w:t>
      </w:r>
      <w:r w:rsidRPr="00AC56D6">
        <w:rPr>
          <w:i/>
        </w:rPr>
        <w:t>inter alia</w:t>
      </w:r>
      <w:r>
        <w:t xml:space="preserve">, lo siguiente: a) que el recinto sobre el que se proyecta el parque industrial de Illescas, formado entre otras por las parcelas expropiadas, es un enclave flanqueado por suelo urbano consolidado o urbanizable en ejecución, con lo que el cálculo por capitalización de rentas como exige el art. 23 del Real Decreto Legislativo 2/2008 no permitirá hallar su valor real, por lo que ese precepto sería contrario a los arts. 14 y 33.3 CE. Así frente al valor resultante de aplicar el art. 23 del Real Decreto Legislativo 2/2008 —2,0381 €/m2— el parque industrial de Illescas en su estudio económico y financiero de viabilidad prevé que el precio en situación de rústico fuese de 25 €/m2 y una vez urbanizado de 194 €/m2; b) que el parque industrial de Illescas integraba las fincas expropiadas en un ámbito delimitado con ordenación suficiente para poder iniciar la urbanización, con lo que la valoración expropiatoria debía comprender la facultad de participar en la ejecución </w:t>
      </w:r>
      <w:r w:rsidRPr="00AC56D6">
        <w:rPr>
          <w:i/>
        </w:rPr>
        <w:t>ex</w:t>
      </w:r>
      <w:r>
        <w:t xml:space="preserve"> art. 25 del Real Decreto Legislativo 2/2008. En suma, el actor pidió por todos los conceptos un justiprecio de 13 millones de euros.</w:t>
      </w:r>
    </w:p>
    <w:p w:rsidR="00AC56D6" w:rsidRDefault="00AC56D6" w:rsidP="00AC56D6">
      <w:pPr>
        <w:pStyle w:val="TextoNormal"/>
      </w:pPr>
    </w:p>
    <w:p w:rsidR="00AC56D6" w:rsidRDefault="00AC56D6" w:rsidP="00AC56D6">
      <w:pPr>
        <w:pStyle w:val="TextoNormal"/>
      </w:pPr>
      <w:r>
        <w:t xml:space="preserve">b) Concluso el procedimiento, y antes de dictar sentencia, la Sección Segunda de la Sala de lo Contencioso-Administrativo del Tribunal Superior de Justicia de Castilla-La Mancha </w:t>
      </w:r>
      <w:r>
        <w:lastRenderedPageBreak/>
        <w:t>dictó providencia de 2 de julio de 2014, por la que, al amparo de lo previsto en el art. 35.2 de la Ley Orgánica del Tribunal Constitucional (LOTC), acordó oír a las partes y al Ministerio Fiscal por el plazo común de diez días acerca de la posible inconstitucionalidad de los arts. 23.1 a) y 2 del Real Decreto Legislativo 2/2008 en relación con sus arts. 12 y 25, por posible vulneración de los arts. 14 y 33.3 CE. En la citada providencia se pone de manifiesto que la valoración debe realizarse aplicando uno de los dos siguientes criterios de valoración: (i) si se considerase que los interesados no han adquirido la facultad de urbanizar tendrían que ser valorados por capitalización de rentas y no por comparación, lo que impide llegar al valor real de los terrenos a la vista de su situación en un entorno urbano y su real interés en un mercado ajeno al agrícola; (ii) si se considerase que los suelos son urbanizables delimitados, ni la aplicación del método de capitalización de rentas ni la indemnización contemplada en el art. 25 del Real Decreto Legislativo 2/2008 permitiría llegar al valor real del bien. Fuera cual fuera la opción seguida, ello podría vulnerar el art. 33.3 CE y el art. 14 CE en cuando se permite al resto de los propietarios realizar su valor real.</w:t>
      </w:r>
    </w:p>
    <w:p w:rsidR="00AC56D6" w:rsidRDefault="00AC56D6" w:rsidP="00AC56D6">
      <w:pPr>
        <w:pStyle w:val="TextoNormal"/>
      </w:pPr>
    </w:p>
    <w:p w:rsidR="00AC56D6" w:rsidRDefault="00AC56D6" w:rsidP="00AC56D6">
      <w:pPr>
        <w:pStyle w:val="TextoNormal"/>
      </w:pPr>
      <w:r>
        <w:t xml:space="preserve">c) El Ministerio Fiscal, en escrito presentado el 8 de julio de 2014, consideró pertinente plantear la cuestión de inconstitucionalidad. Estimó concurrentes los requisitos procesales y sostuvo “que el sistema de valoración previsto en la Ley no sea absurdo o manifiestamente irrazonable no supone —al menos, no necesariamente— que el mismo garantice efectivamente el derecho a percibir la contraprestación económica que corresponda al valor real de los bienes y derechos expropiados cualquiera que sea éste, pues no es difícil imaginar supuestos (entre los que cabría incluir el sometido al conocimiento de la Sala) en que la aplicación de los criterios legales podría conducir a decisiones que violentasen el razonable equilibrio entre el daño expropiatorio y su indemnización, con el consiguiente menoscabo de la garantía consagrada en el artículo 33.3 CE. De ahí que esta representación entienda que … </w:t>
      </w:r>
      <w:r w:rsidRPr="00AC56D6">
        <w:rPr>
          <w:i/>
        </w:rPr>
        <w:t>prima facie</w:t>
      </w:r>
      <w:r>
        <w:t>, sus previsiones [de las normas cuestionadas] son susceptibles de hacer ineficaz la garantía de la propiedad privada frente al poder expropiatorio de los poderes públicos, habida cuenta de que, siquiera en apariencia, no aseguran en todo caso una justa compensación económica a quienes, por razones de utilidad pública o interés social, se ven privados de sus bienes o derechos de contenido patrimonial”. No llega a la misma conclusión en el caso del art. 14 CE pues es claro, en su opinión, que la situación del propietario que va a ser expropiado no es la de quien puede vender el suelo en el mercado.</w:t>
      </w:r>
    </w:p>
    <w:p w:rsidR="00AC56D6" w:rsidRDefault="00AC56D6" w:rsidP="00AC56D6">
      <w:pPr>
        <w:pStyle w:val="TextoNormal"/>
      </w:pPr>
    </w:p>
    <w:p w:rsidR="00AC56D6" w:rsidRDefault="00AC56D6" w:rsidP="00AC56D6">
      <w:pPr>
        <w:pStyle w:val="TextoNormal"/>
      </w:pPr>
      <w:r>
        <w:t>La defensa del actor alega, principalmente, en escrito de 14 de julio de 2014, que “el art. 23 del Real Decreto Legislativo 2/2008 puede interpretarse sin necesidad de acudir a la cuestión de inconstitucionalidad en el sentido de que sería conforme con el principio de equidistribución que el expropiado no participase de las plusvalías derivadas del planeamiento si de sistemas generales o de infraestructuras supramunicipales se trata … Pero cuando (i) la expropiación es sistema de gestión; (ii) el beneficiario de la expropiación es un particular y (iii) el objeto expropiado tiene como destino el tráfico mercantil inmobiliario ha de primar el principio de equidistribución de beneficios y cargas [arts. 8.1 c) y 9.3], pues una cosa es que las plusvalías sean apropiadas por la Administración con ánimo no lucrativo y otra radicalmente distinta es que se favorezca un enriquecimiento injustificado y vacío de toda causa de una beneficiaria sociedad mercantil”. Subsidiariamente, para el caso de que se descarte esa interpretación sistemática, entiende que procede plantear la cuestión de inconstitucionalidad.</w:t>
      </w:r>
    </w:p>
    <w:p w:rsidR="00AC56D6" w:rsidRDefault="00AC56D6" w:rsidP="00AC56D6">
      <w:pPr>
        <w:pStyle w:val="TextoNormal"/>
      </w:pPr>
    </w:p>
    <w:p w:rsidR="00AC56D6" w:rsidRDefault="00AC56D6" w:rsidP="00AC56D6">
      <w:pPr>
        <w:pStyle w:val="TextoNormal"/>
      </w:pPr>
      <w:r>
        <w:lastRenderedPageBreak/>
        <w:t>El Letrado de la Administración de la Junta de Comunidades de Castilla-La Mancha, en escrito registrado el 15 de julio de 2014, se opuso al planteamiento de la cuestión. Arguye que el valor real del bien no es el de mercado y señala que el legislador ha huido del valor de mercado para evitar tensiones especulativas contra las que debe luchar por mandato del art. 47 CE. Por tanto, no hay inconstitucionalidad alguna derivada del art. 33.3 CE.</w:t>
      </w:r>
    </w:p>
    <w:p w:rsidR="00AC56D6" w:rsidRDefault="00AC56D6" w:rsidP="00AC56D6">
      <w:pPr>
        <w:pStyle w:val="TextoNormal"/>
      </w:pPr>
    </w:p>
    <w:p w:rsidR="00AC56D6" w:rsidRDefault="00AC56D6" w:rsidP="00AC56D6">
      <w:pPr>
        <w:pStyle w:val="TextoNormal"/>
      </w:pPr>
      <w:r w:rsidRPr="00AC56D6">
        <w:rPr>
          <w:rStyle w:val="NumeroAFNegritaCaracter"/>
        </w:rPr>
        <w:t>3</w:t>
      </w:r>
      <w:r>
        <w:t>. El Auto de 9 de septiembre de 2014, luego de referirse a los antecedentes de hecho del caso y de transcribir los preceptos cuestionados, aborda los requisitos de procedibilidad. Expone que se ha dado traslado a las partes de la cuestión por providencia de 27 de junio de 2014 una vez conclusas las actuaciones y, respecto del juicio de relevancia, dice que “los preceptos cuestionados son directamente aplicables al caso pues establecen las normas imperativas de valoración del suelo en una expropiación, que es de lo que precisamente versa la causa. De no ser estas normas constitucionales … entonces recobraría su vigencia el régimen valorativo anterior (Ley 6/1998, de 13 de abril, sobre Régimen del Suelo y Valoraciones), que establecía unos métodos de valoración diferentes que, a juicio de la Sala, provocarían un resultado valorativo también muy distinto a favor del expropiado … Así, el Jurado Regional de Valoraciones tasó los bienes haciendo aplicación del art. 23 en sus apartados 1 a) y 2, en relación con el art. 12, y estas son las normas que la Sala, por las razones que se dirán, reputa inconstitucionales. Por otro lado, los interesados afirman que debe hacerse aplicación también del art. 25 porque consideran que cuando se produjo la expropiación habían adquirido el derecho a urbanizar (ya sea sobre la base de Planes que se hallaban en tramitación antes de la aprobación del Proyecto de Singular Interés que motivó la expropiación, ya sobre la base del propio Parque Industrial de Illescas que calificó el suelo de urbanizable a la fecha a tomar en cuenta para la valoración, y que la Administración afirma no atribuyó ningún derecho a los propietarios al preverse su ejecución por gestión directa). Pues bien, aun en el caso de que se hiciera aplicación del art. 25, tampoco por esta vía es posible, como se verá, hallar un valor ni próximo al real de mercado del bien, razón por la cual también el juicio de relevancia es positivo respecto de este último precepto”.</w:t>
      </w:r>
    </w:p>
    <w:p w:rsidR="00AC56D6" w:rsidRDefault="00AC56D6" w:rsidP="00AC56D6">
      <w:pPr>
        <w:pStyle w:val="TextoNormal"/>
      </w:pPr>
    </w:p>
    <w:p w:rsidR="00AC56D6" w:rsidRDefault="00AC56D6" w:rsidP="00AC56D6">
      <w:pPr>
        <w:pStyle w:val="TextoNormal"/>
      </w:pPr>
      <w:r>
        <w:t>Respecto de la inconstitucionalidad de los preceptos cuestionados, destaca que la Ley de expropiación forzosa contenía sus propias reglas de valoración, que se veían reforzadas por el artículo 43 que, como mecanismo de cierre, permitía aplicar los criterios estimativos que se adecuasen mejor al mantenimiento de la indemnidad exigida por el art. 33.3 CE. Sin embargo, el mencionado precepto fue excepcionado para las expropiaciones urbanísticas por el texto refundido de la Ley sobre el régimen del suelo y ordenación urbana, aprobado por Real Decreto Legislativo 1/1992, de 26 de junio, y posteriormente por la disposición adicional quinta de la Ley 8/2007, de 28 de mayo (recogida después en la disposición adicional quinta.5 del Real Decreto Legislativo 2/2008), por lo que en la actualidad tanto los jurados como los Tribunales de justicia se encuentran encorsetados por las rígidas reglas que al efecto se contienen en la actual legislación.</w:t>
      </w:r>
    </w:p>
    <w:p w:rsidR="00AC56D6" w:rsidRDefault="00AC56D6" w:rsidP="00AC56D6">
      <w:pPr>
        <w:pStyle w:val="TextoNormal"/>
      </w:pPr>
    </w:p>
    <w:p w:rsidR="00AC56D6" w:rsidRDefault="00AC56D6" w:rsidP="00AC56D6">
      <w:pPr>
        <w:pStyle w:val="TextoNormal"/>
      </w:pPr>
      <w:r>
        <w:t xml:space="preserve">A continuación, señala que, aunque nada hay de inconstitucional en que la ley pueda prever unos métodos de valoración u otros, “sí afirmamos que será difícilmente constitucional que de manera manifiesta impida dar con un valor real, valor que a nuestro juicio equivale a un valor que sea próximo al del mercado propio del bien de que se trate … Ya sea porque el método sea inadecuado y ajeno por completo al mercado, ya porque impida incluir en el valor del bien circunstancias que influyan legítimamente en dicho valor. Pues en otro caso el propietario expropiado, por un lado, no recibiría el equivalente monetario del valor </w:t>
      </w:r>
      <w:r>
        <w:lastRenderedPageBreak/>
        <w:t xml:space="preserve">del bien (art. 33 CE), y, por otro, estaría discriminado frente a quien, por no ser expropiado, o bien conserva íntegro dicho valor mediante la posesión del objeto, o bien lo realiza mediante una transacción económica libre (art. 14 CE). Sólo en circunstancias excepcionales y justificadas, y que por tanto —añadimos nosotros— no pueden convertirse en la regla general para cualquier expropiación forzosa, cabría aceptar una reparación no íntegra del valor real del bien (SSTEDH de 8 de junio de 1986 —caso </w:t>
      </w:r>
      <w:r w:rsidRPr="00AC56D6">
        <w:rPr>
          <w:i/>
        </w:rPr>
        <w:t>Lightgow y otros c. ReinoUnido</w:t>
      </w:r>
      <w:r>
        <w:t xml:space="preserve">—, 9 de diciembre de 1994 —caso </w:t>
      </w:r>
      <w:r w:rsidRPr="00AC56D6">
        <w:rPr>
          <w:i/>
        </w:rPr>
        <w:t>de los Santos Monasterios Griegos c. Grecia</w:t>
      </w:r>
      <w:r>
        <w:t xml:space="preserve">—, 4 de agosto de 2009 —caso </w:t>
      </w:r>
      <w:r w:rsidRPr="00AC56D6">
        <w:rPr>
          <w:i/>
        </w:rPr>
        <w:t>Perdigao c. Portugal</w:t>
      </w:r>
      <w:r>
        <w:t>—)”.</w:t>
      </w:r>
    </w:p>
    <w:p w:rsidR="00AC56D6" w:rsidRDefault="00AC56D6" w:rsidP="00AC56D6">
      <w:pPr>
        <w:pStyle w:val="TextoNormal"/>
      </w:pPr>
    </w:p>
    <w:p w:rsidR="00AC56D6" w:rsidRDefault="00AC56D6" w:rsidP="00AC56D6">
      <w:pPr>
        <w:pStyle w:val="TextoNormal"/>
      </w:pPr>
      <w:r>
        <w:t>En relación al art. 12 del Real Decreto Legislativo 2/2008 expone que incluye en la misma situación básica de rural, a efectos de valoraciones, realidades sustancialmente distintas como son el suelo clasificado como no urbanizable y alejado de la ciudad o de centros productivos, el clasificado de la misma forma pero situado en zona de crecimiento de la ciudad, el clasificado como urbanizable programado que se expropia antes de iniciarse la urbanización, e incluso el urbano que, por faltarle determinados servicios, no alcance la categoría valorativa de “suelo urbanizado” y siga en la de “suelo rural”. Y concluye que “la igualación de todas las anteriores situaciones bajo una misma categoría y su valoración mediante un sistema —el de capitalización de rentas agrarias del art. 23.1 a), con imposibilidad de inclusión de expectativas urbanísticas según el art. 23.2 y con una limitada valoración del suelo urbanizable pero aun no urbanizado en el art. 25— que no permite incluir todos los elementos de valor que concurren resulta inconstitucional, según pasamos a desarrollar con un concreto examen del caso concreto”, lo que hace aludiendo primero al art. 23 y luego al art. 25 del Real Decreto Legislativo 2/2008.</w:t>
      </w:r>
    </w:p>
    <w:p w:rsidR="00AC56D6" w:rsidRDefault="00AC56D6" w:rsidP="00AC56D6">
      <w:pPr>
        <w:pStyle w:val="TextoNormal"/>
      </w:pPr>
    </w:p>
    <w:p w:rsidR="00AC56D6" w:rsidRDefault="00AC56D6" w:rsidP="00AC56D6">
      <w:pPr>
        <w:pStyle w:val="TextoNormal"/>
      </w:pPr>
      <w:r>
        <w:t>El Auto parte de que en este caso “hay elementos suficientes que conducen a la convicción de la Sala de que sobre el terreno en cuestión, aun antes del reconocimiento de cualquier facultad urbanística, concurrían intensísimas expectativas urbanísticas que producían un notable incremento de su valor puramente agrícola o de capitalización, según se reconoce en el mismo Parque Industrial de Illescas que motiva la expropiación; y que el propio Parque Industrial de Illescas valoraba en 25 €/m2”. El art. 23 del Real Decreto Legislativo 2/2008 “impide tomar en consideración estas circunstancias al establecer un método de pura capitalización de rentas, impidiendo cualquier comparación y estableciendo un incremento por proximidad fundado en meras circunstancias agropecuarias y con un máximo del doble del valor de capitalización; lo que arroja un valor máximo, como vimos, de 2,3292 €/m2, lo que no llega ni al 10 por 100 del valor del suelo que el propio Parque Industrial de Illescas declaraba. Esta es la prueba, a nuestro juicio, de que el sistema establecido por la Ley no es hábil para hallar el valor real del bien ni aún aproximadamente y que, por consiguiente, puede resultar inconstitucional”.</w:t>
      </w:r>
    </w:p>
    <w:p w:rsidR="00AC56D6" w:rsidRDefault="00AC56D6" w:rsidP="00AC56D6">
      <w:pPr>
        <w:pStyle w:val="TextoNormal"/>
      </w:pPr>
    </w:p>
    <w:p w:rsidR="00AC56D6" w:rsidRDefault="00AC56D6" w:rsidP="00AC56D6">
      <w:pPr>
        <w:pStyle w:val="TextoNormal"/>
      </w:pPr>
      <w:r>
        <w:t>El Auto termina este epígrafe afirmando que “la Sala desea en cualquier caso dejar claro qué es lo que entiende por ‘valoración de expectativas urbanísticas’, a fin de aclarar que no está defendiendo que se deban valorar puras hipótesis, valores no reales o perjuicios meramente inciertos o futuros … Las expectativas urbanísticas se basan en circunstancias actuales (</w:t>
      </w:r>
      <w:r w:rsidRPr="00AC56D6">
        <w:rPr>
          <w:i/>
        </w:rPr>
        <w:t>vgr</w:t>
      </w:r>
      <w:r>
        <w:t xml:space="preserve">. proximidad a zonas de expansión urbana, actividad inmobiliaria intensa en la zona, avances de planeamiento, etc.) que son proyectadas al futuro por el mercado (proyección que es la expectativa propiamente dicha) lo cual genera a su vez un incremento real y actual del valor; y esto último es lo que se valora. El precio de cualquier producto que se intercambie en el mercado (por ejemplo en los mercados secundarios de valores) puede cambiar </w:t>
      </w:r>
      <w:r>
        <w:lastRenderedPageBreak/>
        <w:t>exageradamente por determinadas circunstancias y cálculos de futuro más o menos fundados; ahora bien, ello no permite poner en duda que el precio que en un día determinado tenga un bien sea el que los compradores estén dispuestos a pagar y los vendedores obtengan al vender. La expectativa de futuro puede luego hacerse o no realidad, pero el incremento de valor en un momento dado es incontestablemente real”. Y añade que “la Administración debe pagar por un suelo lo que en la fecha a la que haya que valorar tuviera que pagar cualquiera que quisiera o necesitara adquirirlo; y si la regulación urbanística u otras circunstancias provocan incrementos del suelo llamativos, fundados en hipótesis de transformación y actividad urbanística sobre los suelos alentadas por la situación económica y la regulación urbanística vigente, eso no quita para entender que tal era el valor real del suelo en aquel momento y el que había que pagar ya fuera para comprarlo, ya fuera para expropiarlo. Otra cosa es que esas expectativas se hayan cumplido después, lo que no hace menos real el incremento de valor que provocaron en su momento, o que la actual coyuntura económica haga ver ahora con asombro los valores por los que llegaron a comprar o vender los suelos no hace tantos años”.</w:t>
      </w:r>
    </w:p>
    <w:p w:rsidR="00AC56D6" w:rsidRDefault="00AC56D6" w:rsidP="00AC56D6">
      <w:pPr>
        <w:pStyle w:val="TextoNormal"/>
      </w:pPr>
    </w:p>
    <w:p w:rsidR="00AC56D6" w:rsidRDefault="00AC56D6" w:rsidP="00AC56D6">
      <w:pPr>
        <w:pStyle w:val="TextoNormal"/>
      </w:pPr>
      <w:r>
        <w:t>El último epígrafe del Auto razona específicamente acerca del art. 25 del Real Decreto Legislativo 2/2008. Afirma que “los demandantes defienden que a la fecha en que hay que valorar el suelo debe considerarse que habían adquirido facultades urbanísticas sobre el mismo, bien a consecuencia de los planes que venían tramitándose, bien por el propio parque industrial de Illescas que clasifica el suelo como urbanizable. Como consecuencia de ello, plantean la aplicación del art. 25 del Real Decreto Legislativo 2/2008, que desde luego no fue aplicado por la Administración, pues ésta niega que se hubiera adquirido facultad urbanística alguna que haya que indemnizar. Pues bien, debemos señalar, como complemento a lo expresado en los anteriores fundamentos, que a juicio de la Sala tampoco la aplicación combinada del art. 23 con el art. 25, en los casos que previene este último precepto, depara un resultado satisfactorio para valorar el suelo, lo que pone de manifiesto la inadecuación de tales preceptos desde el punto de vista del arto 33.3 CE y el 14 CE”. Y sobre la constitucionalidad del régimen previsto en el art. 25 argumenta que “el propietario de suelo urbanizable que no sea expropiado puede, previa realización de las cesiones obligatorias y ejecución de la urbanización correspondiente, con el consiguiente coste, hacerse con un suelo urbanizable que adquiere el correspondiente valor en el mercado. Sin ir más lejos, en el caso de autos consta por ejemplo, aportado por el demandante, el convenio entre la beneficiaria de la expropiación, Instituto de Finanzas de Castilla-La Mancha, S.A., y Aernova Composites, S.A.U., de 8 de enero de 2009, en el que se prevé la enajenación del suelo urbanizado a razón de 195 €/m2. Se han observado precios en otros autos de hasta 215 €/m2. Así pues, suelo valorado en octubre de 2008 a 2,0381 €/m2 se enajena tres meses después, una vez urbanizado, a 195 €/m2 y más. Es decir, el propietario no expropiado hace suyo el valor íntegro del suelo urbanizado menos la cesión a la comunidad de entre el 5 y el 15 por 100. Sin embargo, el expropiado hace suyo, como en una imagen especular, sólo ese porcentaje de valor de entre el 5 y el 15 por 100 … Ahora bien, a nuestro juicio el propietario tiene derecho a percibir o bien lo que valga un suelo en las mismas circunstancias que el suyo (comparación directa entre suelos urbanizables programados pero aún no urbanizados), o bien el 100 por 100 (no el 5 ni el 15 por 100) de la diferencia de valor entre un suelo y el otro, sin perjuicio de, naturalmente, descontar los costes y gastos de urbanización”.</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Mediante providencia de 16 de diciembre de 2014, el Pleno del Tribunal Constitucional acordó admitir a trámite la cuestión planteada en relación con los arts. 23.1 a) y 23.2 del </w:t>
      </w:r>
      <w:r>
        <w:lastRenderedPageBreak/>
        <w:t>Real Decreto Legislativo 2/2008, ambos en relación con los arts. 12 y 25 del Real Decreto Legislativo 2/2008, por posible vulneración de los arts. 14 y 33.3 CE, deferir el conocimiento de la cuestión a la Sala Segunda, dar traslado para alegaciones de las actuaciones recibidas en los términos del art. 37.3 LOTC, comunicar la resolución a la Sección proponente de la cuestión y publicar su incoación en el “BOE”.</w:t>
      </w:r>
    </w:p>
    <w:p w:rsidR="00AC56D6" w:rsidRDefault="00AC56D6" w:rsidP="00AC56D6">
      <w:pPr>
        <w:pStyle w:val="TextoNormal"/>
      </w:pPr>
    </w:p>
    <w:p w:rsidR="00AC56D6" w:rsidRDefault="00AC56D6" w:rsidP="00AC56D6">
      <w:pPr>
        <w:pStyle w:val="TextoNormal"/>
      </w:pPr>
      <w:r w:rsidRPr="00AC56D6">
        <w:rPr>
          <w:rStyle w:val="NumeroAFNegritaCaracter"/>
        </w:rPr>
        <w:t>5</w:t>
      </w:r>
      <w:r>
        <w:t>. Por sendos escritos registrados en este Tribunal el 13 y 27 de enero de 2015, los Presidentes del Senado y Congreso se personaron en el proceso ofreciendo la colaboración de sus respectivas Cámaras.</w:t>
      </w:r>
    </w:p>
    <w:p w:rsidR="00AC56D6" w:rsidRDefault="00AC56D6" w:rsidP="00AC56D6">
      <w:pPr>
        <w:pStyle w:val="TextoNormal"/>
      </w:pPr>
    </w:p>
    <w:p w:rsidR="00AC56D6" w:rsidRDefault="00AC56D6" w:rsidP="00AC56D6">
      <w:pPr>
        <w:pStyle w:val="TextoNormal"/>
      </w:pPr>
      <w:r w:rsidRPr="00AC56D6">
        <w:rPr>
          <w:rStyle w:val="NumeroAFNegritaCaracter"/>
        </w:rPr>
        <w:t>6</w:t>
      </w:r>
      <w:r>
        <w:t>. El 15 de enero de 2015 tuvo entrada en el Tribunal Constitucional el escrito de alegaciones del Abogado del Estado, actuando en la representación que legalmente ostenta. Comienza por exponer que la cuestión debe ser inadmitida en relación al art. 25 del Real Decreto Legislativo 2/2008, dado que el juicio de relevancia en relación con él no aparece correctamente formulado. Señala, en primer lugar, que es obligación del órgano judicial justificar qué precepto legal se cuestiona, no pudiéndose plantear, como en este caso, cuestión de inconstitucionalidad de dos preceptos de aplicación alternativa, el art. 23 del Real Decreto Legislativo 2/2008 en el caso de que se trate de un supuesto de suelo en el que no existe incidencia del planeamiento urbanístico, o del art. 25 del Real Decreto Legislativo 2/2008 para un suelo en el que pueda reconocerse una indemnización de la facultad de participar en actuaciones de nueva urbanización. Argumenta, en segundo lugar, que “no se acredita en el expediente, ni razona la Sala, que en el suelo expropiado exista planeamiento urbanístico en vigor, y no puede considerarse sino un error que el Proyecto de Singular Interés atribuya al suelo el carácter de urbanizable, pues incurriría en la prohibición del art. 36.1 LEF, según el cual ‘las tasaciones se efectuarán con arreglo al valor que tengan los bienes o derecho expropiables al tiempo de iniciarse el expediente de justiprecio, sin tenerse en cuenta las plusvalías que sean consecuencia directa del plan o proyecto de obras que dan lugar a la expropiación’.”</w:t>
      </w:r>
    </w:p>
    <w:p w:rsidR="00AC56D6" w:rsidRDefault="00AC56D6" w:rsidP="00AC56D6">
      <w:pPr>
        <w:pStyle w:val="TextoNormal"/>
      </w:pPr>
    </w:p>
    <w:p w:rsidR="00AC56D6" w:rsidRDefault="00AC56D6" w:rsidP="00AC56D6">
      <w:pPr>
        <w:pStyle w:val="TextoNormal"/>
      </w:pPr>
      <w:r>
        <w:t>Ya en cuanto al fondo, el Abogado del Estado expone que nada hay de inconstitucional en la definición de las situaciones básicas del suelo recogida en el art. 12 del Real Decreto Legislativo 2/2008 antes de ponerla en conexión con la forma de valorar cada uno de estos suelos. La cita de este precepto constitucional es, pues, instrumental de la inconstitucionalidad del art. 23 del Real Decreto Legislativo 2/2008, por lo que cabe concluir que no se trata de una impugnación autónoma.</w:t>
      </w:r>
    </w:p>
    <w:p w:rsidR="00AC56D6" w:rsidRDefault="00AC56D6" w:rsidP="00AC56D6">
      <w:pPr>
        <w:pStyle w:val="TextoNormal"/>
      </w:pPr>
    </w:p>
    <w:p w:rsidR="00AC56D6" w:rsidRDefault="00AC56D6" w:rsidP="00AC56D6">
      <w:pPr>
        <w:pStyle w:val="TextoNormal"/>
      </w:pPr>
      <w:r>
        <w:t>Esto afirmado, aborda la constitucionalidad del art. 23 del Real Decreto Legislativo 2/2008, insistiendo que el presupuesto del que parte el Auto es el de un suelo en situación de rural no pendiente de transformación urbanística [art. 12 b) del Real Decreto Legislativo 2/2008]; por ello no es objeto de la cuestión el apartado b) del art. 23 del Real Decreto Legislativo 2/2008, que parte de la atribución de un mayor valor a la finca expropiada en cuanto se le han asignado usos por la ordenación territorial o urbanística que no hayan sido aun plenamente realizados, lo que no sucede en este caso en que no estamos ante una actuación urbanística promovida por la Administración local sino por la Junta de Comunidades de Castilla La Mancha. Así, lo que el Auto plantea, a juicio del Abogado del Estado, es si la existencia en la proximidad de la finca valorada de suelo urbano, en concreto de un polígono industrial, debe tenerse en cuenta para su valoración.</w:t>
      </w:r>
    </w:p>
    <w:p w:rsidR="00AC56D6" w:rsidRDefault="00AC56D6" w:rsidP="00AC56D6">
      <w:pPr>
        <w:pStyle w:val="TextoNormal"/>
      </w:pPr>
    </w:p>
    <w:p w:rsidR="00AC56D6" w:rsidRDefault="00AC56D6" w:rsidP="00AC56D6">
      <w:pPr>
        <w:pStyle w:val="TextoNormal"/>
      </w:pPr>
      <w:r>
        <w:lastRenderedPageBreak/>
        <w:t>Explica a continuación el método de valoración por capitalización de rentas tal y como ha sido concebido en la Ley y el Reglamento de valoraciones. Un método que tiene en cuenta la renta de explotación, con tipos de capitalización diferentes para explotaciones diferentes, y ello en función del riesgo de cada actividad en suelo rural (arts. 7 a 18 reglamento), así como el factor de corrección incluido en el párrafo tercero del art. 23.1 a), como consecuencia de una enmienda incluida en la tramitación del proyecto de ley. Este factor obedece a la consideración de que aunque la renta de posición está implícita en la renta potencial, existen casos en que la singular localización, al margen de la expectativa de desarrollo urbano, aconseja la aplicación de un factor de modulación al alza. Así concebido, este método no vulnera el art. 33.3 CE ni el art. 14 CE.</w:t>
      </w:r>
    </w:p>
    <w:p w:rsidR="00AC56D6" w:rsidRDefault="00AC56D6" w:rsidP="00AC56D6">
      <w:pPr>
        <w:pStyle w:val="TextoNormal"/>
      </w:pPr>
    </w:p>
    <w:p w:rsidR="00AC56D6" w:rsidRDefault="00AC56D6" w:rsidP="00AC56D6">
      <w:pPr>
        <w:pStyle w:val="TextoNormal"/>
      </w:pPr>
      <w:r>
        <w:t>Partiendo de la doctrina sentada en las SSTC 61/1997 y 164/2001, el legislador cuenta con un amplio margen para fijar las distintas modalidades de valoración cuyo único límite es que no se revelen manifiestamente desprovistas de base razonable, lo que no es el caso. El concepto de precio, de acuerdo con el punto 4.2 de las Normas internacionales de valoración de activos elaboradas por el Comité de Normas Internacionales de Valoración (IVSC), es el término usado para designar la cantidad pedida, ofrecida o pagada por un determinado bien. Sin embargo, continúa, debido a los intereses de un determinado comprador, el precio que se paga por esos bienes puede no tener relación alguna con el valor que pueden adscribir a estos bienes y servicios otras personas. El concepto económico de valor, prosigue, de acuerdo con el punto 4.5, refleja la visión que se tiene en el mercado de los beneficios que obtiene el que posee los bienes o recibe los servicios en la fecha de efectiva evaluación. Así pues, una vez eliminado el tope del doble, el órgano competente es libre para establecer un coeficiente mayor siempre y cuando no contemple expectativas urbanísticas y en función de otros factores desarrollados por el art. 17 de Reglamento de valoraciones. Este sistema resulta conforme con el art. 33.3 CE y el criterio del razonable equilibrio en el sacrificio del expropiado, pues valora el terreno en situación básica de suelo rural en función de su capacidad de renta real o potencial sin tener en cuenta expectativas incompatibles con esa situación o estado, e impide la compensación por valores especulativos pagados en el mercado con funcionamiento real muy alejado de un mercado perfecto.</w:t>
      </w:r>
    </w:p>
    <w:p w:rsidR="00AC56D6" w:rsidRDefault="00AC56D6" w:rsidP="00AC56D6">
      <w:pPr>
        <w:pStyle w:val="TextoNormal"/>
      </w:pPr>
    </w:p>
    <w:p w:rsidR="00AC56D6" w:rsidRDefault="00AC56D6" w:rsidP="00AC56D6">
      <w:pPr>
        <w:pStyle w:val="TextoNormal"/>
      </w:pPr>
      <w:r>
        <w:t>Todo sistema valorativo engendra aplicaciones que desde la perspectiva micro pueden considerarse injustas o desiguales. Pero en el suelo rural o no urbanizable lo normal es la enajenación voluntaria a precios de mercado y, posteriormente, continúa con una cadena de transmisiones a precios crecientes reveladora del pago de expectativas indebidamente anticipadas. Tomar como referencia precios especulativos en un mercado con un funcionamiento alejado de la competencia perfecta no es conforme con el mandato de evitar la especulación (art. 47 CE). Tampoco puede decirse que haya discriminación, pues no son iguales los propietarios de fincas incluidas en un sector a ejecutar por compensación en el que se han generado costes y riesgos empresariales que los propietarios han tenido que sufragar y el propietario de un ámbito que se va a ejecutar por expropiación, en el que éste sólo se ve privado de la participación en la ejecución cuando aún no se ha iniciado o no se ha concluido.</w:t>
      </w:r>
    </w:p>
    <w:p w:rsidR="00AC56D6" w:rsidRDefault="00AC56D6" w:rsidP="00AC56D6">
      <w:pPr>
        <w:pStyle w:val="TextoNormal"/>
      </w:pPr>
    </w:p>
    <w:p w:rsidR="00AC56D6" w:rsidRDefault="00AC56D6" w:rsidP="00AC56D6">
      <w:pPr>
        <w:pStyle w:val="TextoNormal"/>
      </w:pPr>
      <w:r>
        <w:t xml:space="preserve">Este sistema de valoración ha sido analizado en la STC 141/2014, de 11 de septiembre, que abordó el tema de la valoración de las expectativas urbanísticas y la constitucionalidad de los preceptos cuestionados, tanto desde la perspectiva del art. 33 CE como del art. 14 CE. Y, tras reproducir literalmente lo que denomina su fundamento jurídico segundo, afirma que </w:t>
      </w:r>
      <w:r>
        <w:lastRenderedPageBreak/>
        <w:t>una vez eliminado el límite de la corrección de la valoración del suelo rural la norma resulta perfectamente hábil para obtener una valoración del bien ajustada a su valoración real, esto es, guarda un proporcional equilibrio con su valor real.</w:t>
      </w:r>
    </w:p>
    <w:p w:rsidR="00AC56D6" w:rsidRDefault="00AC56D6" w:rsidP="00AC56D6">
      <w:pPr>
        <w:pStyle w:val="TextoNormal"/>
      </w:pPr>
    </w:p>
    <w:p w:rsidR="00AC56D6" w:rsidRDefault="00AC56D6" w:rsidP="00AC56D6">
      <w:pPr>
        <w:pStyle w:val="TextoNormal"/>
      </w:pPr>
      <w:r>
        <w:t>Finalmente, tras recordar que su pretensión principal es que el art. 25 del Real Decreto Legislativo 2/2008 quede fuera de la cuestión de inconstitucionalidad por falta del juicio de relevancia, de modo subsidiario razona, de un lado, que en el Auto de planteamiento ningún razonamiento se realiza en relación con el art. 25.1 del Real Decreto Legislativo 2/2008 y, de otro, que, para los casos en que se impide la participación en la ejecución de una actuación de urbanización, la valoración de esa facultad que prevé el art. 25.2 del Real Decreto Legislativo 2/2008, sumada a la capitalización de rentas derivada del artículo 23.1, refleja un tratamiento ponderado de tal situación en que se encuentran los bienes expropiados. En este sentido sostiene el Abogado del Estado que los porcentajes del art. 16 del Real Decreto Legislativo 2/2008 en que se concreta la valoración de esa facultad, que pueden ser modificados por la legislación autonómica, son razonables en terrenos en los que no ha existido urbanización sino previsiones de urbanización, no comparables por definición con los suelos urbanizados. No es, por tanto, inconstitucional el criterio establecido en el art. 25.2 del Real Decreto Legislativo 2/2008 por el hecho de que la valoración resultante parezca inferior a la que puede obtenerse por una no acreditada enajenación en el mercado de suelos ya urbanizados.</w:t>
      </w:r>
    </w:p>
    <w:p w:rsidR="00AC56D6" w:rsidRDefault="00AC56D6" w:rsidP="00AC56D6">
      <w:pPr>
        <w:pStyle w:val="TextoNormal"/>
      </w:pPr>
    </w:p>
    <w:p w:rsidR="00AC56D6" w:rsidRDefault="00AC56D6" w:rsidP="00AC56D6">
      <w:pPr>
        <w:pStyle w:val="TextoNormal"/>
      </w:pPr>
      <w:r w:rsidRPr="00AC56D6">
        <w:rPr>
          <w:rStyle w:val="NumeroAFNegritaCaracter"/>
        </w:rPr>
        <w:t>7</w:t>
      </w:r>
      <w:r>
        <w:t>. El Fiscal General del Estado presentó sus alegaciones en el Registro General del Tribunal Constitucional el 7 de enero de 2015. Tras exponer extensamente los antecedentes de hecho y los motivos en que se fundamenta el Auto de planteamiento de la cuestión, no opone óbice procesal alguno relativo al trámite de audiencia y al juicio de aplicabilidad y relevancia realizado por el órgano judicial.</w:t>
      </w:r>
    </w:p>
    <w:p w:rsidR="00AC56D6" w:rsidRDefault="00AC56D6" w:rsidP="00AC56D6">
      <w:pPr>
        <w:pStyle w:val="TextoNormal"/>
      </w:pPr>
    </w:p>
    <w:p w:rsidR="00AC56D6" w:rsidRDefault="00AC56D6" w:rsidP="00AC56D6">
      <w:pPr>
        <w:pStyle w:val="TextoNormal"/>
      </w:pPr>
      <w:r>
        <w:t>Recuerda que la STC 141/2014, de 11 de septiembre, anuló el inciso “hasta el máximo del doble” del art. 22.1 a) de la Ley de suelo y correlativo 23.1 a) del Real Decreto Legislativo 2/2008. Considera que la duda de constitucionalidad ahora planteada en relación con el art. 23.1 a) del Real Decreto Legislativo 2/2008 es coincidente con la expresada en los recursos resueltos en aquella Sentencia (FJ 13), siendo así que este Tribunal afirmó entonces que: (i) el art. 33.3 CE no exige que la indemnización sea equivalente al valor de mercado bastando con que exista un proporcional equilibrio entre la indemnización y el valor económico del bien; (ii) la valoración se desvincula de la clasificación del suelo atendiendo a la situación fáctica del terreno, determinando así un valor objetivo que no incluya las expectativas urbanísticas generadas por la acción de los poderes públicos y paliar la especulación; (iii) la ley distingue dos situaciones de suelo rural y urbanizado, siendo así que sólo en el segundo dicha naturaleza integra su destino urbanístico porque dicho destino se ha hecho realidad; (iv) reconoce el derecho de propiedad privada como un conjunto de derechos y obligaciones, función social que no permite anular la utilidad meramente individual del derecho. Termina por reproducir literalmente el fundamento jurídico 13 de la citada sentencia. De todo ello concluye que la duda de constitucionalidad planteada por el órgano judicial en relación con el art. 23 del Real Decreto Legislativo 2/2008 ya ha sido resuelta por el Tribunal Constitucional, que no ha estimado razonable el límite de “hasta un máximo del doble”.</w:t>
      </w:r>
    </w:p>
    <w:p w:rsidR="00AC56D6" w:rsidRDefault="00AC56D6" w:rsidP="00AC56D6">
      <w:pPr>
        <w:pStyle w:val="TextoNormal"/>
      </w:pPr>
    </w:p>
    <w:p w:rsidR="00AC56D6" w:rsidRDefault="00AC56D6" w:rsidP="00AC56D6">
      <w:pPr>
        <w:pStyle w:val="TextoNormal"/>
      </w:pPr>
      <w:r>
        <w:lastRenderedPageBreak/>
        <w:t>Añade, aún, en relación con la valoración de las expectativas urbanísticas, que el derecho de propiedad del suelo delimitado por el texto refundido no integra facultades de urbanización o de edificación, facultades que sólo se adquieren cuando el instrumento de planeamiento ha sido aprobado por la Administración y el propietario ha cumplido con las cargas. Este régimen urbanístico conlleva la adquisición gradual de las facultades urbanísticas que no se consideran inherentes al derecho de propiedad, sino condicionadas al cumplimiento de una serie de deberes, regulación que es conforme con el apartado 2 del art. 23 del Real Decreto Legislativo 2/2008. Por ello, la libertad estimativa que reclama el órgano judicial proponente de la cuestión está vedada por la doctrina constitucional [SSTC 166/1986, FJ 13 b) y 313/2006, FJ 8 a)] y la jurisprudencia del Tribunal Supremo (STS de 21 de marzo de 2013, recurso 1884-2010) que declaran que la proporcionalidad que debe existir entre la indemnización expropiatoria y el daño producido al expropiado debe ser determinado por el legislador mediante la fijación de distintas modalidades de valoración dependientes de la naturaleza de los bienes expropiados, debiendo ser respetadas salvo que se revelen manifiestamente desprovistas de base razonable.</w:t>
      </w:r>
    </w:p>
    <w:p w:rsidR="00AC56D6" w:rsidRDefault="00AC56D6" w:rsidP="00AC56D6">
      <w:pPr>
        <w:pStyle w:val="TextoNormal"/>
      </w:pPr>
    </w:p>
    <w:p w:rsidR="00AC56D6" w:rsidRDefault="00AC56D6" w:rsidP="00AC56D6">
      <w:pPr>
        <w:pStyle w:val="TextoNormal"/>
      </w:pPr>
      <w:r>
        <w:t>La exclusión de las expectativas responde a la finalidad legítima y objetiva de evitar la especulación derivada de futuros e hipotéticos usos o destinos del terreno consecuencia de una posible actuación de la Administración sobre el suelo no hecha realidad, y persigue valorar el suelo por lo que es en el momento de la valoración. Insiste en que el art. 23 del Real Decreto Legislativo 2/2008 establece un factor de localización, o renta de posición, que actúa como factor relevante en la determinación del valor del suelo rural, factor de localización que aunque permite considerar factores extrínsecos al valor del suelo, en ningún caso puede comprender expectativas urbanísticas. Es así que, una vez eliminado el tope del doble, y habida cuenta de las modificaciones normativas operadas por la Ley 2/2008, de 23 de diciembre, disposición final 16, y por el art. 10.2 del Real Decreto-ley 6/2010, de 9 de abril, late en la legislación sobre valoración del suelo el propósito de evitar una infravaloración del suelo rural, al arbitrar una serie de medidas correctoras del posible alejamiento del valor de mercado de este tipo de suelos, pero también para evitar la especulación, para lo que ha excluido las expectativas urbanísticas. La propia STC 141/2014 se habría pronunciado sobre el apartado 2 del art. 23 del Real Decreto Legislativo 2/2008 cuando concluye que procede declarar que el art. 23 del Real Decreto Legislativo 2/2008 no es inconstitucional con la única salvedad del inciso hasta un máximo del doble, para lo que reproduce literal y parcialmente los argumentos de su fundamentación.</w:t>
      </w:r>
    </w:p>
    <w:p w:rsidR="00AC56D6" w:rsidRDefault="00AC56D6" w:rsidP="00AC56D6">
      <w:pPr>
        <w:pStyle w:val="TextoNormal"/>
      </w:pPr>
    </w:p>
    <w:p w:rsidR="00AC56D6" w:rsidRDefault="00AC56D6" w:rsidP="00AC56D6">
      <w:pPr>
        <w:pStyle w:val="TextoNormal"/>
      </w:pPr>
      <w:r>
        <w:t>Respecto del cuestionamiento del art. 12 del Real Decreto Legislativo 2/2008 por su conexión con el art. 23 del Real Decreto Legislativo 2/2008, el Fiscal sostiene que, dada la distribución constitucional de competencias y aun cuando el Estado determina las condiciones básicas de la propiedad, son las Comunidades Autónomas las que determinarán en qué situación se encuentra el suelo. No obstante, las situaciones básicas del suelo son las que delimitan el contenido del derecho de propiedad, lo que vendría refrendado por la doctrina constitucional precedente, para lo que cita la STC 61/1997, FJ 14 b) y la STC 164/2001, FJ 13. En consecuencia, el Estado a través del art. 12 del Real Decreto Legislativo 2/2008 no ha hecho sino, de conformidad con el art. 149.1.1 CE, configurar la premisa a partir de la cual se fijan las condiciones básicas del suelo y establecer el presupuesto lógico jurídico para la aplicación del sistema de valoraciones.</w:t>
      </w:r>
    </w:p>
    <w:p w:rsidR="00AC56D6" w:rsidRDefault="00AC56D6" w:rsidP="00AC56D6">
      <w:pPr>
        <w:pStyle w:val="TextoNormal"/>
      </w:pPr>
    </w:p>
    <w:p w:rsidR="00AC56D6" w:rsidRDefault="00AC56D6" w:rsidP="00AC56D6">
      <w:pPr>
        <w:pStyle w:val="TextoNormal"/>
      </w:pPr>
      <w:r>
        <w:lastRenderedPageBreak/>
        <w:t>Más adelante, en relación a la conformidad con el art. 33.3 CE del art. 25 del Real Decreto Legislativo 2/2008, expone que este precepto legal reconoce al propietario del suelo la facultad de participar en la ejecución de actuaciones urbanizadoras como facultad independiente de la propiedad del suelo. Este derecho, apunta, “no formaría parte de la propiedad del suelo sino que pertenecería al propietario del suelo en cuanto titular del derecho sobre el suelo”. En cuanto a los criterios de valoración de la indemnización debida por este concepto se calcula por los criterios objetivos establecidos en el art. 25.2  del Real Decreto Legislativo 2/2008. Debe tenerse en cuenta a estos efectos que la STC 141/2014 se refiere a esta indemnización como un “complemento indemnizatorio importante”, complemento que viene a coincidir con la participación que le corresponde a la comunidad en las plusvalías generadas por la acción urbanizadora de la administración, lo que hace proporcional y razonable la cantidad que debe percibir el expropiado como consecuencia de la privación de esta facultad.</w:t>
      </w:r>
    </w:p>
    <w:p w:rsidR="00AC56D6" w:rsidRDefault="00AC56D6" w:rsidP="00AC56D6">
      <w:pPr>
        <w:pStyle w:val="TextoNormal"/>
      </w:pPr>
    </w:p>
    <w:p w:rsidR="00AC56D6" w:rsidRDefault="00AC56D6" w:rsidP="00AC56D6">
      <w:pPr>
        <w:pStyle w:val="TextoNormal"/>
      </w:pPr>
      <w:r>
        <w:t>Finaliza el Ministerio Fiscal sus alegaciones con el art. 14 CE, para lo que invoca la STC 141/2014, FJ 9 b), que descarta la vulneración del precepto constitucional invocado.</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26 de noviembre de 2015 se señaló para deliberación y votación de la presente Sentencia el día 30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Este proceso constitucional tiene por objeto resolver la cuestión de inconstitucionalidad planteada por la Sección Segunda de la Sala de lo Contencioso-Administrativo del Tribunal Superior de Justicia de Castilla-La Mancha respecto del art. 23.1 a) y 2, en relación con los arts. 12 y 25, del Real Decreto Legislativo 2/2008, de 20 de junio, que aprueba el texto refundido de la Ley de suelo, por posible contradicción con los arts. 14 y 33.3 CE.</w:t>
      </w:r>
    </w:p>
    <w:p w:rsidR="00AC56D6" w:rsidRDefault="00AC56D6" w:rsidP="00AC56D6">
      <w:pPr>
        <w:pStyle w:val="TextoNormal"/>
      </w:pPr>
    </w:p>
    <w:p w:rsidR="00AC56D6" w:rsidRDefault="00AC56D6" w:rsidP="00AC56D6">
      <w:pPr>
        <w:pStyle w:val="TextoNormal"/>
      </w:pPr>
      <w:r>
        <w:t>El mismo órgano judicial planteó un asunto idéntico en la cuestión de inconstitucionalidad núm. 6059-2014. Esta identidad alcanza no solo a las disposiciones legales afectadas y a los preceptos constitucionales que se consideran lesionados, sino también a la situación que caracteriza el proceso subyacente, pues éste versa, tanto en uno como en otro caso, respecto de la expropiación de ciertos inmuebles ubicados en el ámbito urbanístico afectado por el “Proyecto de singular interés Parque Industrial de Illescas”. Procede, debido a estas identidades, trasladar a este proceso constitucional aquellas conclusiones que han quedado establecidas en la STC 218/2015, de 22 de octubre, con motivo de la resolución de la citada cuestión de inconstitucionalidad núm. 6059-2014.</w:t>
      </w:r>
    </w:p>
    <w:p w:rsidR="00AC56D6" w:rsidRDefault="00AC56D6" w:rsidP="00AC56D6">
      <w:pPr>
        <w:pStyle w:val="TextoNormal"/>
      </w:pPr>
    </w:p>
    <w:p w:rsidR="00AC56D6" w:rsidRDefault="00AC56D6" w:rsidP="00AC56D6">
      <w:pPr>
        <w:pStyle w:val="TextoNormal"/>
      </w:pPr>
      <w:r w:rsidRPr="00AC56D6">
        <w:rPr>
          <w:rStyle w:val="NumeroAFNegritaCaracter"/>
        </w:rPr>
        <w:t>2</w:t>
      </w:r>
      <w:r>
        <w:t xml:space="preserve">. Al igual que en la referida STC 218/2015, de 22 de octubre, y como se expuso de forma pormenorizada en los antecedentes, la Sala considera que el art. 23.1 a) del Real Decreto Legislativo 2/2008 establece un método de valoración para el suelo en situación básica de rural de acuerdo con el art. 12 del Real Decreto Legislativo 2/2008 que impide llegar a una valoración que responda a su valor real, ya que no permite tener en cuenta los factores que inciden en su valor de mercado, y, en especial, las expectativas derivadas de la aprobación del planeamiento o clasificación del suelo como urbanizable delimitado (art. 23.2 del Real Decreto Legislativo 2/2008). Es cierto, reconoce la Sala, que para este último tipo de suelo la ley contempla otra indemnización, la prevista en el art. 25 del Real Decreto </w:t>
      </w:r>
      <w:r>
        <w:lastRenderedPageBreak/>
        <w:t>Legislativo 2/2008, debida a la privación de la facultad de participar en la actuación urbanizadora. Si la suma de ambas indemnizaciones, las previstas en los arts. 25 y 23.2 del Real Decreto Legislativo 2/2008, correspondiera al valor real del suelo expropiado nada habría que objetar sobre la constitucionalidad del método de valoración previsto para este tipo de suelo. Pero, en opinión de la Sala, la indemnización resultante de estos dos conceptos no alcanza tal correspondencia con el valor real del suelo, pues se limita a sumar a la estimación derivada de la capitalización de rentas un porcentaje, entre el 5 y el 15 por 100, a determinar por las Comunidades Autónomas, aplicado a la diferencia de valor que tendrían los suelos ya urbanizados y el que tienen en su situación inicial. De no haber sido privados los propietarios de su facultad de participar en la actuación de transformación urbanística, habrían patrimonializado la diferencia de valor que habrían adquirido los terrenos, descontada la cesión del aprovechamiento lucrativo prevista en la ley urbanística y los gastos de urbanización, adquiriendo así el suelo una valía que la Sala considera sustancialmente superior a la que arroja el método de estimación previsto en los arts. 25 y 23.2 del Real Decreto Legislativo 2/2008. De ello concluye la vulneración del art. 33.3 CE. En directa relación con lo señalado, aduce también la Sala discriminación entre quienes se ven privados de su propiedad y aquellos a quienes se permite continuar con ella y finalizar la transformación urbanística, trato desigual que vulneraría el art. 14 CE. De ahí que la Sala plantee cuestión de inconstitucionalidad “respecto de los arts. 23, párrafos 1 a) y 2), del texto refundido en relación con sus arts. 12 y 25”.</w:t>
      </w:r>
    </w:p>
    <w:p w:rsidR="00AC56D6" w:rsidRDefault="00AC56D6" w:rsidP="00AC56D6">
      <w:pPr>
        <w:pStyle w:val="TextoNormal"/>
      </w:pPr>
    </w:p>
    <w:p w:rsidR="00AC56D6" w:rsidRDefault="00AC56D6" w:rsidP="00AC56D6">
      <w:pPr>
        <w:pStyle w:val="TextoNormal"/>
      </w:pPr>
      <w:r>
        <w:t>El Abogado del Estado solicita la inadmisión de la cuestión en lo que se refiere al art. 25 del Real Decreto Legislativo 2/2008 por faltar en el Auto de planteamiento el juicio de relevancia que convierte en concreto el control de constitucionalidad que la Sala insta del Tribunal Constitucional. En cuanto al fondo, y desde la perspectiva del art. 33.3 CE, sostiene que, una vez declarado inconstitucional por la STC 141/2014, de 11 de septiembre, el inciso “hasta el máximo del doble” del art. 23.1 a) del Real Decreto Legislativo 2/2008, este apartado no es inconstitucional. Tampoco lo es el art. 23.2 del Real Decreto Legislativo 2/2008, sobre el que ya se habría pronunciado el Tribunal en la misma Sentencia, ni el art. 25 del Real Decreto Legislativo 2/2008, que otorga un tratamiento más ponderado de la situación en que se encuentra el suelo sometido a una actuación de transformación urbanística. Considera que no se achaca inconstitucionalidad alguna al art. 12 del Real Decreto Legislativo 2/2008, salvo por su relación con el art. 23  del Real Decreto Legislativo 2/2008. Descarta, finalmente, que el tratamiento desigual de los propietarios, según sean o no expropiados, vulnere el art. 14 CE al no tratarse de situaciones iguales.</w:t>
      </w:r>
    </w:p>
    <w:p w:rsidR="00AC56D6" w:rsidRDefault="00AC56D6" w:rsidP="00AC56D6">
      <w:pPr>
        <w:pStyle w:val="TextoNormal"/>
      </w:pPr>
    </w:p>
    <w:p w:rsidR="00AC56D6" w:rsidRDefault="00AC56D6" w:rsidP="00AC56D6">
      <w:pPr>
        <w:pStyle w:val="TextoNormal"/>
      </w:pPr>
      <w:r>
        <w:t>El Fiscal General del Estado, por su parte, postula, en virtud de argumentos similares a los expuestos por el Abogado del Estado, que se desestime la cuestión de inconstitucionalidad planteada por la Sala.</w:t>
      </w:r>
    </w:p>
    <w:p w:rsidR="00AC56D6" w:rsidRDefault="00AC56D6" w:rsidP="00AC56D6">
      <w:pPr>
        <w:pStyle w:val="TextoNormal"/>
      </w:pPr>
    </w:p>
    <w:p w:rsidR="00AC56D6" w:rsidRDefault="00AC56D6" w:rsidP="00AC56D6">
      <w:pPr>
        <w:pStyle w:val="TextoNormal"/>
      </w:pPr>
      <w:r w:rsidRPr="00AC56D6">
        <w:rPr>
          <w:rStyle w:val="NumeroAFNegritaCaracter"/>
        </w:rPr>
        <w:t>3</w:t>
      </w:r>
      <w:r>
        <w:t>. Procede, para empezar, delimitar adecuadamente el objeto procesal desde varios puntos de vista.</w:t>
      </w:r>
    </w:p>
    <w:p w:rsidR="00AC56D6" w:rsidRDefault="00AC56D6" w:rsidP="00AC56D6">
      <w:pPr>
        <w:pStyle w:val="TextoNormal"/>
      </w:pPr>
    </w:p>
    <w:p w:rsidR="00AC56D6" w:rsidRDefault="00AC56D6" w:rsidP="00AC56D6">
      <w:pPr>
        <w:pStyle w:val="TextoNormal"/>
      </w:pPr>
      <w:r>
        <w:t xml:space="preserve">a) El Abogado del Estado opone la defectuosa formulación del juicio de relevancia en relación al art. 25 del Real Decreto Legislativo 2/2008. La STC 218/2015, de 22 de octubre, que como hemos dicho resolvió una cuestión de inconstitucionalidad idéntica en todos los aspectos relevantes a la que aquí se suscita, rechazó este óbice, desestimación que procede </w:t>
      </w:r>
      <w:r>
        <w:lastRenderedPageBreak/>
        <w:t>reiterar en este proceso por esas mismas razones, especialmente de acuerdo con lo previsto en el fundamento jurídico 2.</w:t>
      </w:r>
    </w:p>
    <w:p w:rsidR="00AC56D6" w:rsidRDefault="00AC56D6" w:rsidP="00AC56D6">
      <w:pPr>
        <w:pStyle w:val="TextoNormal"/>
      </w:pPr>
    </w:p>
    <w:p w:rsidR="00AC56D6" w:rsidRDefault="00AC56D6" w:rsidP="00AC56D6">
      <w:pPr>
        <w:pStyle w:val="TextoNormal"/>
      </w:pPr>
      <w:r>
        <w:t>De un lado, el Tribunal estableció que “resulta manifiesto que la objeción planteada por el Abogado del Estado relativa a que la cuestión se ha promovido en relación con dos preceptos (el art. 23 y el art. 25 del Real Decreto Legislativo 2/2008) de aplicación alternativa, el primero para el suelo que no se encuentra afectado por una actuación de nueva urbanización, el segundo para aquellos sometidos a ella, es infundada. Cuando se trata de suelos rurales sometidos a una operación de primera urbanización la compensación, como se viene de razonar, se obtiene por la suma de las cantidades obtenidas en aplicación de ambos”, por lo que no hay tal aplicación alternativa en la que se apoya la alegación de inadmisión.</w:t>
      </w:r>
    </w:p>
    <w:p w:rsidR="00AC56D6" w:rsidRDefault="00AC56D6" w:rsidP="00AC56D6">
      <w:pPr>
        <w:pStyle w:val="TextoNormal"/>
      </w:pPr>
    </w:p>
    <w:p w:rsidR="00AC56D6" w:rsidRDefault="00AC56D6" w:rsidP="00AC56D6">
      <w:pPr>
        <w:pStyle w:val="TextoNormal"/>
      </w:pPr>
      <w:r>
        <w:t>De otro lado, el Tribunal afirmó que “en cuanto a la alegación según la cual ni del expediente se deriva, ni la Sala razona expresamente que se trate de suelo afectado por una actuación de urbanización … el Auto de planteamiento de la cuestión razona que ‘la definición de suelo rural que hace el art. 12 del Real Decreto Legislativo 2/2008 incluye en su seno el caso de un suelo urbanizable en el que la urbanización aún no se ha iniciado. Ahora bien, la ley pretende introducir una matización valorativa cuando el art. 25 del Real Decreto Legislativo 2/2008 indica la posibilidad de valorar la pérdida de la facultad de participar en las actuaciones urbanizadoras. Si esta matización permitiera hallar un valor comparable al valor real del bien en tales casos, no habría problema alguno de constitucionalidad en este caso’. Como quiera que el Auto explica que ‘sin ir más lejos, consta por ejemplo, aportado por el demandante, el convenio entre la beneficiaria de la expropiación, Instituto de Finanzas de Castilla-La Mancha, S.A., y Aernova Composites, S.A.U., de 8 de enero de 2009, en el que se prevé la enajenación del suelo urbanizado a razón de 195 €/m2’, sólo cabe concluir que la Sala ha razonado debidamente, valiéndose de conceptos urbanísticos, la aplicación y relevancia, junto con el art. 23 del Real Decreto Legislativo 2/2008, del art. 25.2 a) del mismo texto legal”. Dado que el Auto de planteamiento de esta cuestión de inconstitucionalidad tiene literalmente el mismo contenido (págs. 19 y 20), el criterio de la STC 218/2015, de 22 de octubre, que hemos transcrito es igualmente aplicable a este caso y conlleva, como en aquel otro, que se deba descartar el óbice procesal suscitado.</w:t>
      </w:r>
    </w:p>
    <w:p w:rsidR="00AC56D6" w:rsidRDefault="00AC56D6" w:rsidP="00AC56D6">
      <w:pPr>
        <w:pStyle w:val="TextoNormal"/>
      </w:pPr>
    </w:p>
    <w:p w:rsidR="00AC56D6" w:rsidRDefault="00AC56D6" w:rsidP="00AC56D6">
      <w:pPr>
        <w:pStyle w:val="TextoNormal"/>
      </w:pPr>
      <w:r>
        <w:t>b) La mencionada STC 218/2015, de 22 de octubre, FJ 5, ha declarado la inconstitucionalidad y nulidad del art. 25.2 a) del Real Decreto Legislativo 2/2008, lo que conlleva en esta sede que, dado que no es posible proyectar el juicio de constitucionalidad que se nos requiere sobre preceptos legales ya expulsados del ordenamiento jurídico, se haya extinguido sobrevenidamente el objeto procesal en cuanto a este extremo (STC 235/2012, de 13 de diciembre de 2012, FJ 2 d).</w:t>
      </w:r>
    </w:p>
    <w:p w:rsidR="00AC56D6" w:rsidRDefault="00AC56D6" w:rsidP="00AC56D6">
      <w:pPr>
        <w:pStyle w:val="TextoNormal"/>
      </w:pPr>
    </w:p>
    <w:p w:rsidR="00AC56D6" w:rsidRDefault="00AC56D6" w:rsidP="00AC56D6">
      <w:pPr>
        <w:pStyle w:val="TextoNormal"/>
      </w:pPr>
      <w:r>
        <w:t>c) También puso de relieve que “cuestión distinta es el art. 25.2 b) del Real Decreto Legislativo 2/2008 … que la Sala descarta implícitamente sea el que concurre en el supuesto que ha dado origen a esta cuestión, en el que el propietario del suelo valorado ha sido privado por completo de su propiedad, a causa de la expropiación en favor de la beneficiaria. De ahí que el art. 25.2 b) del Real Decreto Legislativo 2/2008 deba quedar al margen de nuestro pronunciamiento” (FJ 2).</w:t>
      </w:r>
    </w:p>
    <w:p w:rsidR="00AC56D6" w:rsidRDefault="00AC56D6" w:rsidP="00AC56D6">
      <w:pPr>
        <w:pStyle w:val="TextoNormal"/>
      </w:pPr>
    </w:p>
    <w:p w:rsidR="00AC56D6" w:rsidRDefault="00AC56D6" w:rsidP="00AC56D6">
      <w:pPr>
        <w:pStyle w:val="TextoNormal"/>
      </w:pPr>
      <w:r>
        <w:t xml:space="preserve">A esta cuestión de inconstitucionalidad, en la medida que el supuesto subyacente en el correspondiente proceso </w:t>
      </w:r>
      <w:r w:rsidRPr="00AC56D6">
        <w:rPr>
          <w:i/>
        </w:rPr>
        <w:t>a quo</w:t>
      </w:r>
      <w:r>
        <w:t xml:space="preserve"> es sustancialmente idéntico, pues, como en el caso resuelto </w:t>
      </w:r>
      <w:r>
        <w:lastRenderedPageBreak/>
        <w:t xml:space="preserve">en la STC 218/2015, de 22 de octubre, viene determinado por la expropiación de ciertos inmuebles ubicados en el mismo ámbito urbanístico afectado por el “Proyecto de singular interés Parque Industrial de Illescas”, es plenamente aplicable la </w:t>
      </w:r>
      <w:r w:rsidRPr="00AC56D6">
        <w:rPr>
          <w:i/>
        </w:rPr>
        <w:t>ratio</w:t>
      </w:r>
      <w:r>
        <w:t xml:space="preserve"> indicada, lo que conduce a que también en este caso el art. 25.2 b) del Real Decreto Legislativo 2/2008 deba quedar al margen de nuestro enjuiciamiento.</w:t>
      </w:r>
    </w:p>
    <w:p w:rsidR="00AC56D6" w:rsidRDefault="00AC56D6" w:rsidP="00AC56D6">
      <w:pPr>
        <w:pStyle w:val="TextoNormal"/>
      </w:pPr>
    </w:p>
    <w:p w:rsidR="00AC56D6" w:rsidRDefault="00AC56D6" w:rsidP="00AC56D6">
      <w:pPr>
        <w:pStyle w:val="TextoNormal"/>
      </w:pPr>
      <w:r w:rsidRPr="00AC56D6">
        <w:rPr>
          <w:rStyle w:val="NumeroAFNegritaCaracter"/>
        </w:rPr>
        <w:t>4</w:t>
      </w:r>
      <w:r>
        <w:t>. Dejando a un lado, en virtud de las razones expuestas, los arts. 25.2 a) y 25.2 b)  del Real Decreto Legislativo 2/2008, el objeto de este proceso sobre el que este Tribunal debe pronunciarse se ciñe a los arts. 12, 23.1 a), 23.2 y 25.1 del Real Decreto Legislativo 2/2008.</w:t>
      </w:r>
    </w:p>
    <w:p w:rsidR="00AC56D6" w:rsidRDefault="00AC56D6" w:rsidP="00AC56D6">
      <w:pPr>
        <w:pStyle w:val="TextoNormal"/>
      </w:pPr>
    </w:p>
    <w:p w:rsidR="00AC56D6" w:rsidRDefault="00AC56D6" w:rsidP="00AC56D6">
      <w:pPr>
        <w:pStyle w:val="TextoNormal"/>
      </w:pPr>
      <w:r>
        <w:t>La referida STC 218/2015, de 22 de octubre, FJ 3, se pronunció sobre la constitucionalidad de estos preceptos, destacando, en primer término, que “la definición del contenido de la propiedad y, en consecuencia, la valoración del suelo puede partir de la clasificación del mismo, pero esta no es la única opción para el legislador de acuerdo con el art. 33 CE, pues ello dependerá del contenido del derecho de propiedad que éste previamente haya delimitado”.</w:t>
      </w:r>
    </w:p>
    <w:p w:rsidR="00AC56D6" w:rsidRDefault="00AC56D6" w:rsidP="00AC56D6">
      <w:pPr>
        <w:pStyle w:val="TextoNormal"/>
      </w:pPr>
    </w:p>
    <w:p w:rsidR="00AC56D6" w:rsidRDefault="00AC56D6" w:rsidP="00AC56D6">
      <w:pPr>
        <w:pStyle w:val="TextoNormal"/>
      </w:pPr>
      <w:r>
        <w:t>El Tribunal dedujo a partir de esta premisa que “por ello cabe afirmar, siguiendo la STC 141/2014, de 11 de septiembre. FJ 9 b), que la definición que realiza el art. 12 del Real Decreto Legislativo 2/2008 de las situaciones en que se encuentra el suelo incluyendo en la situación de rural suelos con distinta clasificación urbanística, no es inconstitucional. No sólo porque tiene carácter meramente instrumental para la definición de los derechos y deberes de las distintas propiedades de suelo y aplicar, conforme a éstos, un determinado método de valoración, sino porque, además, la clasificación del suelo, con ser un método posible no es el único que respeta el art. 33 CE. Por las mismas razones, no es inconstitucional que el art. 25.1 del Real Decreto Legislativo 2/2008 establezca las condiciones para que nazca la facultad del propietario de participar en la actuación de urbanización y los requisitos que tienen que concurrir para que su privación sea indemnizada”.</w:t>
      </w:r>
    </w:p>
    <w:p w:rsidR="00AC56D6" w:rsidRDefault="00AC56D6" w:rsidP="00AC56D6">
      <w:pPr>
        <w:pStyle w:val="TextoNormal"/>
      </w:pPr>
    </w:p>
    <w:p w:rsidR="00AC56D6" w:rsidRDefault="00AC56D6" w:rsidP="00AC56D6">
      <w:pPr>
        <w:pStyle w:val="TextoNormal"/>
      </w:pPr>
      <w:r>
        <w:t>Y a continuación el Tribunal afirmó que “si ello es así, tampoco es inconstitucional el art. 23.2 del Real Decreto Legislativo 2/2008, que se limita a concretar la regla mencionada, descartando que se tengan en cuenta, en el método de capitalización de rentas, las que podrían derivar del destino de transformación urbanística que haya contemplado o pudiera apreciar en el futuro el planeamiento urbanístico o la ordenación territorial” y concluye, como corolario de lo expuesto, que, “en consecuencia, los arts. 12, 23.2 y 25.1 del Real Decreto Legislativo 2/2008 no son inconstitucionales”, pronunciamiento que, dadas las identidades indicadas entre ambas cuestiones, proceder reiterar en este proceso.</w:t>
      </w:r>
    </w:p>
    <w:p w:rsidR="00AC56D6" w:rsidRDefault="00AC56D6" w:rsidP="00AC56D6">
      <w:pPr>
        <w:pStyle w:val="TextoNormal"/>
      </w:pPr>
    </w:p>
    <w:p w:rsidR="00AC56D6" w:rsidRDefault="00AC56D6" w:rsidP="00AC56D6">
      <w:pPr>
        <w:pStyle w:val="TextoNormal"/>
      </w:pPr>
      <w:r w:rsidRPr="00AC56D6">
        <w:rPr>
          <w:rStyle w:val="NumeroAFNegritaCaracter"/>
        </w:rPr>
        <w:t>5</w:t>
      </w:r>
      <w:r>
        <w:t xml:space="preserve">. Finalmente, por lo que hace al art. 23.1 a) del Real Decreto Legislativo 2/2008, la tantas veces citada STC 218/2015, de 22 de octubre, FJ 4, destacó que “este Tribunal afirmó en la STC 141/2014, de 11 de septiembre, FJ 9 b), y ha reiterado en la STC 43/2015, de 2 de marzo, FJ 5, en cuanto al método contemplado en el art. 23 del Real Decreto Legislativo 2/2008, que ‘el método de capitalización de rentas modulado en atención a otros factores objetivos de localización es un sistema que incorpora valores acordes con la idea del valor real o económico del bien, que en abstracto puede ofrecer un proporcional equilibrio entre el daño sufrido y la indemnización. No obstante, la propia ley reconoce que, en determinadas ocasiones, este criterio puede no llegar a reflejar correctamente el valor real del bien y </w:t>
      </w:r>
      <w:r>
        <w:lastRenderedPageBreak/>
        <w:t>prueba de ello es que permite corregir al alza el valor obtenido en función de factores objetivos de localización del terreno. El establecimiento de un tope máximo para este factor de corrección, que no se halla justificado, puede por ello resultar inadecuado para obtener en estos casos una valoración del bien ajustada a su valor real e impedir la determinación de una indemnización acorde con la idea del proporcional equilibrio, razones por las cuales el inciso ‘hasta el máximo del doble’ ha de reputarse contrario al art. 33.3 CE’.”</w:t>
      </w:r>
    </w:p>
    <w:p w:rsidR="00AC56D6" w:rsidRDefault="00AC56D6" w:rsidP="00AC56D6">
      <w:pPr>
        <w:pStyle w:val="TextoNormal"/>
      </w:pPr>
    </w:p>
    <w:p w:rsidR="00AC56D6" w:rsidRDefault="00AC56D6" w:rsidP="00AC56D6">
      <w:pPr>
        <w:pStyle w:val="TextoNormal"/>
      </w:pPr>
      <w:r>
        <w:t>A partir de esta doctrina constitucional, concluyó que “así pues, una vez eliminado del ordenamiento el tope del doble con el que el legislador permite corregir el valor obtenido para los suelos que se encuentren en situación de básica de suelo rural por el método de capitalización de rentas reales o potenciales en función de factores objetivos de proximidad, que pueden redundar en el valor real que tiene el suelo de acuerdo con su destino rural, y sin tener en cuenta expectativas urbanísticas, el art. 23.1 a) del Real Decreto Legislativo 2/2008 no es inconstitucional”.</w:t>
      </w:r>
    </w:p>
    <w:p w:rsidR="00AC56D6" w:rsidRDefault="00AC56D6" w:rsidP="00AC56D6">
      <w:pPr>
        <w:pStyle w:val="TextoNormal"/>
      </w:pPr>
    </w:p>
    <w:p w:rsidR="00AC56D6" w:rsidRDefault="00AC56D6" w:rsidP="00AC56D6">
      <w:pPr>
        <w:pStyle w:val="TextoNormal"/>
      </w:pPr>
      <w:r w:rsidRPr="00AC56D6">
        <w:rPr>
          <w:rStyle w:val="NumeroAFNegritaCaracter"/>
        </w:rPr>
        <w:t>6</w:t>
      </w:r>
      <w:r>
        <w:t>. Los razonamientos expuestos conducen a declarar que los arts. 12, 23.1 a), 23.2 y 25.1 del Real Decreto Legislativo 2/2008 no son inconstitucionales.</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1º Declarar que ha perdido objeto la impugnación del art. 25.2 a) del Real Decreto Legislativo 2/2008.</w:t>
      </w:r>
    </w:p>
    <w:p w:rsidR="00AC56D6" w:rsidRDefault="00AC56D6" w:rsidP="00AC56D6">
      <w:pPr>
        <w:pStyle w:val="TextoNormal"/>
      </w:pPr>
    </w:p>
    <w:p w:rsidR="00AC56D6" w:rsidRDefault="00AC56D6" w:rsidP="00AC56D6">
      <w:pPr>
        <w:pStyle w:val="TextoNormal"/>
      </w:pPr>
      <w:r>
        <w:t>2º Desestimar la cuestión en todo lo demás.</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treinta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01" w:name="SENTENCIA_2015_245"/>
      <w:r>
        <w:lastRenderedPageBreak/>
        <w:t>SENTENCIA 245/2015, de 30 de noviembre de 2015</w:t>
      </w:r>
    </w:p>
    <w:bookmarkEnd w:id="101"/>
    <w:p w:rsidR="00AC56D6" w:rsidRDefault="00AC56D6" w:rsidP="00AC56D6">
      <w:pPr>
        <w:pStyle w:val="TtuloResolucin"/>
      </w:pPr>
      <w:r>
        <w:t>Sala Segunda</w:t>
      </w:r>
    </w:p>
    <w:p w:rsidR="00AC56D6" w:rsidRDefault="00AC56D6" w:rsidP="00AC56D6">
      <w:pPr>
        <w:pStyle w:val="TtuloBOE"/>
      </w:pPr>
      <w:r>
        <w:t>(BOE núm. 10, de 12 de enero de 2016)</w:t>
      </w:r>
    </w:p>
    <w:p w:rsidR="00AC56D6" w:rsidRDefault="00AC56D6" w:rsidP="00AC56D6">
      <w:pPr>
        <w:pStyle w:val="TextoNormalCentrado"/>
      </w:pPr>
      <w:r>
        <w:t>ECLI:ES:TC:2015:245</w:t>
      </w:r>
    </w:p>
    <w:p w:rsidR="00AC56D6" w:rsidRDefault="00AC56D6" w:rsidP="00AC56D6">
      <w:pPr>
        <w:pStyle w:val="TextoNormalCentrado"/>
      </w:pPr>
    </w:p>
    <w:p w:rsidR="00AC56D6" w:rsidRDefault="00AC56D6" w:rsidP="00AC56D6">
      <w:pPr>
        <w:pStyle w:val="SntesisDescriptiva"/>
      </w:pPr>
      <w:r>
        <w:t>Cuestión de inconstitucionalidad 6547-2014. Cuestión de inconstitucionalidad 6547-2014. Planteada por la Sala de lo Social del Tribunal Superior de Justicia de Murcia en relación con los artículos 2 del Real Decreto-ley 20/2012, de 13 de julio, de medidas para garantizar la estabilidad presupuestaria y de fomento de la competitividad, y 2.1 de la Ley 9/2012, de 8 de noviembre, de la Comunidad Autónoma de la Región de Murcia, de adaptación de la normativa regional en materia de función pública al Real Decreto-ley 20/2012.</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inadmisión parcial de la cuestión de inconstitucionalidad por inadecuada formulación del juicio de aplicabilidad y relevancia; extinción parcial, por pérdida de objeto (STC 83/2015).</w:t>
      </w:r>
    </w:p>
    <w:p w:rsidR="00AC56D6" w:rsidRDefault="00AC56D6" w:rsidP="00AC56D6">
      <w:pPr>
        <w:pStyle w:val="SntesisAnaltica"/>
      </w:pPr>
    </w:p>
    <w:p w:rsidR="00AC56D6" w:rsidRDefault="00AC56D6" w:rsidP="00AC56D6">
      <w:pPr>
        <w:pStyle w:val="Extracto"/>
      </w:pPr>
      <w:r>
        <w:t>1.</w:t>
      </w:r>
      <w:r>
        <w:tab/>
        <w:t>La presente cuestión de inconstitucionalidad no cumple el juicio de aplicabilidad y relevancia respecto del precepto autonómico cuestionado, circunstancia que determina la inadmisión a trámite de la cuestión en este punto [FJ 2 a)].</w:t>
      </w:r>
    </w:p>
    <w:p w:rsidR="00AC56D6" w:rsidRDefault="00AC56D6" w:rsidP="00AC56D6">
      <w:pPr>
        <w:pStyle w:val="Extracto"/>
      </w:pPr>
    </w:p>
    <w:p w:rsidR="00AC56D6" w:rsidRDefault="00AC56D6" w:rsidP="00AC56D6">
      <w:pPr>
        <w:pStyle w:val="Extracto"/>
      </w:pPr>
      <w:r>
        <w:t>2.</w:t>
      </w:r>
      <w:r>
        <w:tab/>
        <w:t>La satisfacción extraprocesal de la pretensión deducida en el proceso judicial del que trae causa esta cuestión de inconstitucionalidad le hace perder su objeto respecto al precepto del Real Decreto-Ley cuestionado, al resultar irrelevante la constitucionalidad o inconstitucionalidad del mismo [FJ 3].</w:t>
      </w:r>
    </w:p>
    <w:p w:rsidR="00AC56D6" w:rsidRDefault="00AC56D6" w:rsidP="00AC56D6">
      <w:pPr>
        <w:pStyle w:val="Extracto"/>
      </w:pPr>
    </w:p>
    <w:p w:rsidR="00AC56D6" w:rsidRDefault="00AC56D6" w:rsidP="00AC56D6">
      <w:pPr>
        <w:pStyle w:val="Extracto"/>
      </w:pPr>
      <w:r>
        <w:t>3.</w:t>
      </w:r>
      <w:r>
        <w:tab/>
        <w:t>Es exigible que la norma cuestionada supere el denominado “juicio de relevancia”, que se erige en uno de los requisitos esenciales que impide que la cuestión de inconstitucionalidad pueda resultar desvirtuada por un uso no acomodado a su naturaleza y finalidad, lo que sucedería si se utilizase para obtener pronunciamientos innecesarios o indiferentes para la decisión del proceso en que la cuestión se suscita (STC 42/2013) [FJ 2 a)].</w:t>
      </w:r>
    </w:p>
    <w:p w:rsidR="00AC56D6" w:rsidRDefault="00AC56D6" w:rsidP="00AC56D6">
      <w:pPr>
        <w:pStyle w:val="Extracto"/>
      </w:pPr>
    </w:p>
    <w:p w:rsidR="00AC56D6" w:rsidRDefault="00AC56D6" w:rsidP="00AC56D6">
      <w:pPr>
        <w:pStyle w:val="Extracto"/>
      </w:pPr>
      <w:r>
        <w:t>4.</w:t>
      </w:r>
      <w:r>
        <w:tab/>
        <w:t>Se reitera doctrina sobre los efectos extintivos del objeto del proceso en las cuestiones de inconstitucionalidad, como consecuencia de la derogación o modificación de la norma legal cuestionada [FJ 3].</w:t>
      </w:r>
    </w:p>
    <w:p w:rsidR="00AC56D6" w:rsidRDefault="00AC56D6" w:rsidP="00AC56D6">
      <w:pPr>
        <w:pStyle w:val="Extracto"/>
      </w:pPr>
    </w:p>
    <w:p w:rsidR="00AC56D6" w:rsidRDefault="00AC56D6" w:rsidP="00AC56D6">
      <w:pPr>
        <w:pStyle w:val="Extracto"/>
      </w:pPr>
      <w:r>
        <w:t>5.</w:t>
      </w:r>
      <w:r>
        <w:tab/>
        <w:t>Aun cuando el enjuiciamiento constitucional de la norma cuestionada sigue siendo posible y ésta plantea un problema constitucional de interés, ya no se trataría de un juicio de constitucionalidad en concreto, sino en abstracto, sin efectos para el caso, lo que resulta improcedente en toda cuestión de inconstitucionalidad (STC 83/2015)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lastRenderedPageBreak/>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6547-2014, promovida por la Sala de lo Social del Tribunal Superior de Justicia de Murcia contra el art. 2 del Real Decreto-ley 20/2012, de 13 de julio, de medidas para garantizar la estabilidad presupuestaria y de fomento de la competitividad, y el art. 2.1 de la Ley 9/2012, de 8 de noviembre, de la Comunidad Autónoma de la Región de Murcia, de adaptación de la normativa regional en materia de función pública al Real Decreto-ley 20/2012, de 13 de julio, por posible vulneración del art. 9.3 CE. Han formulado alegaciones el Fiscal General del Estado y el Abogado del Estado. Ha sido Ponente el Magistrado don Antonio Narváez Rodríguez,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3 de noviembre de 2014 tuvo entrada en el Registro General de este Tribunal un oficio de la Sala de lo Social del Tribunal Superior de Justicia de Murcia al que se acompaña, junto con el testimonio del procedimiento ordinario núm. 141-2014, el Auto de 8 de septiembre de 2014, por el que se acuerda plantear cuestión de inconstitucionalidad en relación con el art. 2 del Real Decreto-ley 20/2012, de 13 de julio, de medidas para garantizar la estabilidad presupuestaria y de fomento de la competitividad, y el art. 2.1 de la Ley 9/2012, de 8 de noviembre, de la Comunidad Autónoma de la Región de Murcia, de adaptación de la normativa regional en materia de función pública al Real Decreto-ley 20/2012, de 13 de julio, por posible lesión del art. 9.3 CE, sobre el principio de irretroactividad de disposiciones restrictivas de derechos individuales.</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procesales de la cuestión de inconstitucionalidad planteada son, sucintamente expuestos, los siguientes:</w:t>
      </w:r>
    </w:p>
    <w:p w:rsidR="00AC56D6" w:rsidRDefault="00AC56D6" w:rsidP="00AC56D6">
      <w:pPr>
        <w:pStyle w:val="TextoNormal"/>
      </w:pPr>
    </w:p>
    <w:p w:rsidR="00AC56D6" w:rsidRDefault="00AC56D6" w:rsidP="00AC56D6">
      <w:pPr>
        <w:pStyle w:val="TextoNormal"/>
      </w:pPr>
      <w:r>
        <w:t>a) En fecha 13 de marzo de 2013 tuvo entrada en el Decanato de los Juzgados de Cartagena la demanda promovida por don Iván García Fructuoso contra la sociedad mercantil pública Enwesa Operaciones, S.A., reclamando cantidad en concepto de indemnización por despido improcedente. En concreto, el demandante reclamaba la diferencia entre lo percibido y lo debido en concepto de “subida de convenio, plus de productividad, penosidad y paga extraordinaria de diciembre”.</w:t>
      </w:r>
    </w:p>
    <w:p w:rsidR="00AC56D6" w:rsidRDefault="00AC56D6" w:rsidP="00AC56D6">
      <w:pPr>
        <w:pStyle w:val="TextoNormal"/>
      </w:pPr>
    </w:p>
    <w:p w:rsidR="00AC56D6" w:rsidRDefault="00AC56D6" w:rsidP="00AC56D6">
      <w:pPr>
        <w:pStyle w:val="TextoNormal"/>
      </w:pPr>
      <w:r>
        <w:t>b) Mediante Sentencia 303/2013, de 19 de noviembre, el Juzgado de lo Social núm. 3 de Cartagena estimó parcialmente la demanda de reclamación de cantidad. El órgano judicial, atendiendo al carácter de sociedad pública mercantil de la entidad demandada, estimó la pretensión en lo concerniente al abono de la paga extraordinaria de diciembre devengada entre el 1 y el 14 de julio de 2012, “al haber entrado en vigor el Real Decreto-ley 20/2012 el 15 de julio de 2012, sin que se le pueda atribuir al mismo carácter retroactivo”.</w:t>
      </w:r>
    </w:p>
    <w:p w:rsidR="00AC56D6" w:rsidRDefault="00AC56D6" w:rsidP="00AC56D6">
      <w:pPr>
        <w:pStyle w:val="TextoNormal"/>
      </w:pPr>
    </w:p>
    <w:p w:rsidR="00AC56D6" w:rsidRDefault="00AC56D6" w:rsidP="00AC56D6">
      <w:pPr>
        <w:pStyle w:val="TextoNormal"/>
      </w:pPr>
      <w:r>
        <w:t>c) Enwesa Operaciones, S.A., interpuso recurso de suplicación contra la sentencia del Juzgado de lo Social exclusivamente en lo que se refiere a la condena al abono del período de devengo de la paga extraordinaria entre el 1 y el 14 de julio de 2012. Dicho recurso fue admitido a trámite por la Sala de lo Social del Tribunal Superior de Justicia de Murcia.</w:t>
      </w:r>
    </w:p>
    <w:p w:rsidR="00AC56D6" w:rsidRDefault="00AC56D6" w:rsidP="00AC56D6">
      <w:pPr>
        <w:pStyle w:val="TextoNormal"/>
      </w:pPr>
    </w:p>
    <w:p w:rsidR="00AC56D6" w:rsidRDefault="00AC56D6" w:rsidP="00AC56D6">
      <w:pPr>
        <w:pStyle w:val="TextoNormal"/>
      </w:pPr>
      <w:r>
        <w:t>d) Una vez que el recurso de suplicación quedó concluso para sentencia, la Sala de lo Social dictó providencia de fecha 23 de junio de 2014 en la que, al amparo de lo previsto en el art. 35 de la Ley Orgánica del Tribunal Constitucional (LOTC), daba audiencia a las partes y al Ministerio Fiscal sobre “si procede plantear la cuestión de inconstitucionalidad en relación con el artículo 2 RDL 20/2012 que acuerda suprimir la paga extra de diciembre y el artículo 2.1 de la Ley Autonómica 9/2012, por ser contrario al artículo 9.3 de la CE”.</w:t>
      </w:r>
    </w:p>
    <w:p w:rsidR="00AC56D6" w:rsidRDefault="00AC56D6" w:rsidP="00AC56D6">
      <w:pPr>
        <w:pStyle w:val="TextoNormal"/>
      </w:pPr>
    </w:p>
    <w:p w:rsidR="00AC56D6" w:rsidRDefault="00AC56D6" w:rsidP="00AC56D6">
      <w:pPr>
        <w:pStyle w:val="TextoNormal"/>
      </w:pPr>
      <w:r>
        <w:t>e) La representación procesal de la entidad demandada presentó escrito, registrado en fecha 7 de julio de 2014, en el que, valorando la existencia de otras cuestiones de inconstitucionalidad pendientes de resolución ante el Tribunal Constitucional, se mostró favorable al planteamiento de la cuestión de inconstitucionalidad. También el Fiscal, en escrito de 9 de julio de 2014, consideró procedente el planteamiento de la cuestión de inconstitucionalidad por la posible vulneración del principio de seguridad jurídica e irretroactividad de las normas sancionadoras o restrictivas de derechos individuales. No consta que la parte demandante hiciera alegaciones.</w:t>
      </w:r>
    </w:p>
    <w:p w:rsidR="00AC56D6" w:rsidRDefault="00AC56D6" w:rsidP="00AC56D6">
      <w:pPr>
        <w:pStyle w:val="TextoNormal"/>
      </w:pPr>
    </w:p>
    <w:p w:rsidR="00AC56D6" w:rsidRDefault="00AC56D6" w:rsidP="00AC56D6">
      <w:pPr>
        <w:pStyle w:val="TextoNormal"/>
      </w:pPr>
      <w:r w:rsidRPr="00AC56D6">
        <w:rPr>
          <w:rStyle w:val="NumeroAFNegritaCaracter"/>
        </w:rPr>
        <w:t>3</w:t>
      </w:r>
      <w:r>
        <w:t>. Por Auto de 8 de septiembre de 2014, la Sala de lo Social del Tribunal Superior de Justicia de Murcia acordó plantear la presente cuestión de inconstitucionalidad.</w:t>
      </w:r>
    </w:p>
    <w:p w:rsidR="00AC56D6" w:rsidRDefault="00AC56D6" w:rsidP="00AC56D6">
      <w:pPr>
        <w:pStyle w:val="TextoNormal"/>
      </w:pPr>
    </w:p>
    <w:p w:rsidR="00AC56D6" w:rsidRDefault="00AC56D6" w:rsidP="00AC56D6">
      <w:pPr>
        <w:pStyle w:val="TextoNormal"/>
      </w:pPr>
      <w:r>
        <w:t>El órgano judicial, en el Auto de planteamiento, tras exponer los antecedentes aplicables al caso, recuerda que el artículo 31 de la Ley del estatuto de los trabajadores (LET) establece un derecho a dos pagas extraordinarias, concepto retributivo que la Sala de lo Social del Tribunal Supremo ha calificado tradicionalmente como “manifestación de salario diferido” de modo que la paga extraordinaria se devenga “día a día”. Entiende el órgano judicial que, al prever la norma discutida la retroactividad de sus efectos hasta el 1 de enero de 2012, se ha producido una privación retroactiva de la paga extraordinaria devengada hasta el 15 de julio de 2012 —fecha de la entrada en vigor del Real Decreto-ley 20/2012— sin que quepa posibilidad de realizar una interpretación que acomode la norma discutida al art. 9.3 CE.</w:t>
      </w:r>
    </w:p>
    <w:p w:rsidR="00AC56D6" w:rsidRDefault="00AC56D6" w:rsidP="00AC56D6">
      <w:pPr>
        <w:pStyle w:val="TextoNormal"/>
      </w:pPr>
    </w:p>
    <w:p w:rsidR="00AC56D6" w:rsidRDefault="00AC56D6" w:rsidP="00AC56D6">
      <w:pPr>
        <w:pStyle w:val="TextoNormal"/>
      </w:pPr>
      <w:r>
        <w:t xml:space="preserve">La imposibilidad de interpretar la norma aplicable conforme a la Constitución vendría dada, fundamentalmente, por el art. 6 del Real Decreto-ley 20/2012, en cuanto éste, complementando lo ya señalado en el artículo 2.2.2, señala que se suprime la paga extraordinaria prevista en el art. 31 LET para todo el año 2012. Según el Auto de planteamiento, “este precepto aclara dudas al afirmar que la supresión se refiere a todo el año 2012, de modo que con tal expresión se confirma la naturaleza retroactiva de la supresión acordada por el artículo 2, ya que no se puede interpretar éste en el sentido de que la supresión alcanza, tan solo, a la parte de la paga extraordinaria devengada con posterioridad a la entrada en vigor del RDL 20/2012, sino también a las partes devengadas durante todo el año 2012”. Por ello, acuerda plantear ante el Tribunal Constitucional cuestión de inconstitucionalidad en relación con los arts. 2 del Real Decreto-ley 20/2012, de 13 de julio, de medidas para garantizar la estabilidad presupuestaria y de fomento de la competitividad, y el art. 2.1 de la Ley </w:t>
      </w:r>
      <w:r>
        <w:lastRenderedPageBreak/>
        <w:t>9/2012, de 8 de noviembre, de la Comunidad Autónoma de la Región de Murcia, de adaptación de la normativa regional en materia de función pública al Real Decreto-ley 20/2012, de 13 de julio, por posible infracción de la prohibición de retroactividad de las normas restrictivas de derechos individuales que garantiza el art. 9.3 CE, en relación con el principio de seguridad jurídica del mismo precepto.</w:t>
      </w:r>
    </w:p>
    <w:p w:rsidR="00AC56D6" w:rsidRDefault="00AC56D6" w:rsidP="00AC56D6">
      <w:pPr>
        <w:pStyle w:val="TextoNormal"/>
      </w:pPr>
    </w:p>
    <w:p w:rsidR="00AC56D6" w:rsidRDefault="00AC56D6" w:rsidP="00AC56D6">
      <w:pPr>
        <w:pStyle w:val="TextoNormal"/>
      </w:pPr>
      <w:r w:rsidRPr="00AC56D6">
        <w:rPr>
          <w:rStyle w:val="NumeroAFNegritaCaracter"/>
        </w:rPr>
        <w:t>4</w:t>
      </w:r>
      <w:r>
        <w:t>. El Pleno de este Tribunal, a propuesta de la Sección Cuarta, acordó admitir a trámite la cuestión mediante providencia de 16 de diciembre de 2014; deferir a la Sala Segunda su conocimiento; dar traslado de las actuaciones recibidas al Congreso de los Diputados y al Senado, por conducto de sus Presidentes, al Gobierno, por conducto del Ministro de Justicia, y al Fiscal General del Estado, así como al Gobierno de la Comunidad Autónoma de la Región de Murcia y a la Asamblea Regional de Murcia, por conducto de sus Presidentes, al objeto de que, en el improrrogable plazo de quince días, pudieran personarse en el procedimiento y formular las alegaciones que estimasen convenientes; comunicar la resolución a la Sala de lo Social del Tribunal Superior de Justicia de Murcia, a fin de que, de conformidad con lo dispuesto en el art. 35 LOTC, permaneciese suspendido el proceso hasta que este Tribunal resolviese efectivamente la cuestión; y publicar la incoación de la cuestión en el “Boletín Oficial del Estado” y en el “Boletín Oficial de la Región de Murcia”.</w:t>
      </w:r>
    </w:p>
    <w:p w:rsidR="00AC56D6" w:rsidRDefault="00AC56D6" w:rsidP="00AC56D6">
      <w:pPr>
        <w:pStyle w:val="TextoNormal"/>
      </w:pPr>
    </w:p>
    <w:p w:rsidR="00AC56D6" w:rsidRDefault="00AC56D6" w:rsidP="00AC56D6">
      <w:pPr>
        <w:pStyle w:val="TextoNormal"/>
      </w:pPr>
      <w:r w:rsidRPr="00AC56D6">
        <w:rPr>
          <w:rStyle w:val="NumeroAFNegritaCaracter"/>
        </w:rPr>
        <w:t>5</w:t>
      </w:r>
      <w:r>
        <w:t>. El Abogado del Estado, mediante escrito de alegaciones registrado el 26 de diciembre de 2014, se personó interesando la desestimación de la cuestión de inconstitucionalidad por las razones que, resumidamente, se exponen a continuación.</w:t>
      </w:r>
    </w:p>
    <w:p w:rsidR="00AC56D6" w:rsidRDefault="00AC56D6" w:rsidP="00AC56D6">
      <w:pPr>
        <w:pStyle w:val="TextoNormal"/>
      </w:pPr>
    </w:p>
    <w:p w:rsidR="00AC56D6" w:rsidRDefault="00AC56D6" w:rsidP="00AC56D6">
      <w:pPr>
        <w:pStyle w:val="TextoNormal"/>
      </w:pPr>
      <w:r>
        <w:t>Comienza señalando que aunque el Auto de planteamiento cuestiona la totalidad del extenso art. 2 del Real Decreto-ley 20/2012, sin embargo se refiere en realidad solo al apartado 2.2 del artículo 2, es decir, a la aplicación de la supresión de la paga extraordinaria de diciembre al personal laboral del sector público.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al 15 de julio de 2012).</w:t>
      </w:r>
    </w:p>
    <w:p w:rsidR="00AC56D6" w:rsidRDefault="00AC56D6" w:rsidP="00AC56D6">
      <w:pPr>
        <w:pStyle w:val="TextoNormal"/>
      </w:pPr>
    </w:p>
    <w:p w:rsidR="00AC56D6" w:rsidRDefault="00AC56D6" w:rsidP="00AC56D6">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AC56D6" w:rsidRDefault="00AC56D6" w:rsidP="00AC56D6">
      <w:pPr>
        <w:pStyle w:val="TextoNormal"/>
      </w:pPr>
    </w:p>
    <w:p w:rsidR="00AC56D6" w:rsidRDefault="00AC56D6" w:rsidP="00AC56D6">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al 15 de julio, “estaba ya consolidado, asumido e integrado en el patrimonio de los trabajadores cuando entró en vigor” el Real Decreto-ley 20/2012, o si, por el contrario, se trataba de una expectativa de derecho o de un derecho futuro o condicionado.</w:t>
      </w:r>
    </w:p>
    <w:p w:rsidR="00AC56D6" w:rsidRDefault="00AC56D6" w:rsidP="00AC56D6">
      <w:pPr>
        <w:pStyle w:val="TextoNormal"/>
      </w:pPr>
    </w:p>
    <w:p w:rsidR="00AC56D6" w:rsidRDefault="00AC56D6" w:rsidP="00AC56D6">
      <w:pPr>
        <w:pStyle w:val="TextoNormal"/>
      </w:pPr>
      <w:r>
        <w:t>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00AC56D6" w:rsidRDefault="00AC56D6" w:rsidP="00AC56D6">
      <w:pPr>
        <w:pStyle w:val="TextoNormal"/>
      </w:pPr>
    </w:p>
    <w:p w:rsidR="00AC56D6" w:rsidRDefault="00AC56D6" w:rsidP="00AC56D6">
      <w:pPr>
        <w:pStyle w:val="TextoNormal"/>
      </w:pPr>
      <w: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w:t>
      </w:r>
      <w:r>
        <w:lastRenderedPageBreak/>
        <w:t>tiene por finalidad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AC56D6" w:rsidRDefault="00AC56D6" w:rsidP="00AC56D6">
      <w:pPr>
        <w:pStyle w:val="TextoNormal"/>
      </w:pPr>
    </w:p>
    <w:p w:rsidR="00AC56D6" w:rsidRDefault="00AC56D6" w:rsidP="00AC56D6">
      <w:pPr>
        <w:pStyle w:val="TextoNormal"/>
      </w:pPr>
      <w:r>
        <w:t>Por todo ello, se interesa la desestimación de la cuestión.</w:t>
      </w:r>
    </w:p>
    <w:p w:rsidR="00AC56D6" w:rsidRDefault="00AC56D6" w:rsidP="00AC56D6">
      <w:pPr>
        <w:pStyle w:val="TextoNormal"/>
      </w:pPr>
    </w:p>
    <w:p w:rsidR="00AC56D6" w:rsidRDefault="00AC56D6" w:rsidP="00AC56D6">
      <w:pPr>
        <w:pStyle w:val="TextoNormal"/>
      </w:pPr>
      <w:r w:rsidRPr="00AC56D6">
        <w:rPr>
          <w:rStyle w:val="NumeroAFNegritaCaracter"/>
        </w:rPr>
        <w:t>6</w:t>
      </w:r>
      <w:r>
        <w:t>. Por escrito registrado el 15 de enero de 2015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AC56D6" w:rsidRDefault="00AC56D6" w:rsidP="00AC56D6">
      <w:pPr>
        <w:pStyle w:val="TextoNormal"/>
      </w:pPr>
    </w:p>
    <w:p w:rsidR="00AC56D6" w:rsidRDefault="00AC56D6" w:rsidP="00AC56D6">
      <w:pPr>
        <w:pStyle w:val="TextoNormal"/>
      </w:pPr>
      <w:r w:rsidRPr="00AC56D6">
        <w:rPr>
          <w:rStyle w:val="NumeroAFNegritaCaracter"/>
        </w:rPr>
        <w:t>7</w:t>
      </w:r>
      <w:r>
        <w:t>. Por escrito registrado el 20 de enero de 2015 el Presidente de la Asamblea Regional de Murcia comunicó a este Tribunal la decisión de dicha Asamblea de personarse en este proceso constitucional, sin formular alegaciones, ofreciendo al Tribunal la colaboración de la Cámara, de conformidad con lo dispuesto en el art. 88.1 LOTC.</w:t>
      </w:r>
    </w:p>
    <w:p w:rsidR="00AC56D6" w:rsidRDefault="00AC56D6" w:rsidP="00AC56D6">
      <w:pPr>
        <w:pStyle w:val="TextoNormal"/>
      </w:pPr>
    </w:p>
    <w:p w:rsidR="00AC56D6" w:rsidRDefault="00AC56D6" w:rsidP="00AC56D6">
      <w:pPr>
        <w:pStyle w:val="TextoNormal"/>
      </w:pPr>
      <w:r w:rsidRPr="00AC56D6">
        <w:rPr>
          <w:rStyle w:val="NumeroAFNegritaCaracter"/>
        </w:rPr>
        <w:t>8</w:t>
      </w:r>
      <w:r>
        <w:t>. El Fiscal General del Estado presentó escrito de alegaciones ante este Tribunal el 23 de enero de 2015 interesando la estimación de la presente cuestión de inconstitucionalidad.</w:t>
      </w:r>
    </w:p>
    <w:p w:rsidR="00AC56D6" w:rsidRDefault="00AC56D6" w:rsidP="00AC56D6">
      <w:pPr>
        <w:pStyle w:val="TextoNormal"/>
      </w:pPr>
    </w:p>
    <w:p w:rsidR="00AC56D6" w:rsidRDefault="00AC56D6" w:rsidP="00AC56D6">
      <w:pPr>
        <w:pStyle w:val="TextoNormal"/>
      </w:pPr>
      <w:r>
        <w:t>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AC56D6" w:rsidRDefault="00AC56D6" w:rsidP="00AC56D6">
      <w:pPr>
        <w:pStyle w:val="TextoNormal"/>
      </w:pPr>
    </w:p>
    <w:p w:rsidR="00AC56D6" w:rsidRDefault="00AC56D6" w:rsidP="00AC56D6">
      <w:pPr>
        <w:pStyle w:val="TextoNormal"/>
      </w:pPr>
      <w: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w:t>
      </w:r>
      <w:r>
        <w:lastRenderedPageBreak/>
        <w:t xml:space="preserve">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w:t>
      </w:r>
      <w:r w:rsidRPr="00AC56D6">
        <w:rPr>
          <w:i/>
        </w:rPr>
        <w:t>N.K.M. v.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t>El Fiscal General del Estado concluye sus alegaciones precisando que en el Auto de planteamiento no se cuestiona todo el art. 2 del Real Decreto-ley 20/2012 sino sólo su apartado 2.2, ya que es el que resulta aplicable para resolver el pleito sometido al conocimiento de la Sala de lo Social del Tribunal Superior de Justicia de Murcia (referido en exclusiva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14 de julio de 2012.</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9</w:t>
      </w:r>
      <w:r>
        <w:t>. La Letrada de la Comunidad Autónoma de la Región de Murcia presentó su escrito de alegaciones en el Registro General de este Tribunal el 26 de enero de 2015.</w:t>
      </w:r>
    </w:p>
    <w:p w:rsidR="00AC56D6" w:rsidRDefault="00AC56D6" w:rsidP="00AC56D6">
      <w:pPr>
        <w:pStyle w:val="TextoNormal"/>
      </w:pPr>
    </w:p>
    <w:p w:rsidR="00AC56D6" w:rsidRDefault="00AC56D6" w:rsidP="00AC56D6">
      <w:pPr>
        <w:pStyle w:val="TextoNormal"/>
      </w:pPr>
      <w:r>
        <w:t>Afirma la citada Letrada que estamos en presencia de una sociedad mercantil estatal y no de la Comunidad Autónoma de la Región de Murcia. Por ello, al tratarse de un trabajador de una sociedad mercantil estatal la única norma que se aplica y se interpreta en la Sentencia del Juzgado de lo Social es el Real Decreto-ley 20/2012, y no la Ley regional 9/2012, de 8 de noviembre, puesto que esta Ley no podría ser aplicada al exceder el asunto de su ámbito subjetivo de aplicación, por no tratarse de un trabajador del sector público regional. A ello añade que en el recurso de suplicación interpuesto por la empresa demandada en la instancia, únicamente se denuncia y se argumenta sobre el art. 2 del Real Decreto-ley 20/2012, de 13 de julio, y en ningún caso sobre la Ley regional 9/2012.</w:t>
      </w:r>
    </w:p>
    <w:p w:rsidR="00AC56D6" w:rsidRDefault="00AC56D6" w:rsidP="00AC56D6">
      <w:pPr>
        <w:pStyle w:val="TextoNormal"/>
      </w:pPr>
    </w:p>
    <w:p w:rsidR="00AC56D6" w:rsidRDefault="00AC56D6" w:rsidP="00AC56D6">
      <w:pPr>
        <w:pStyle w:val="TextoNormal"/>
      </w:pPr>
      <w:r>
        <w:t>Por el contrario, añade, la Sala de lo Social del Tribunal Superior de Justicia de Murcia, en el Auto de planteamiento de la cuestión de inconstitucionalidad, de manera incomprensible e inmotivada, extiende el planteamiento de la cuestión no solo al art. 2 Real Decreto-ley 20/2012 sino también al art. 2.1 de la Ley autonómica 9/2012. Insiste en que en el Auto de planteamiento no se realiza el más mínimo esfuerzo de especificar y justificar en qué medida la decisión del recurso de suplicación planteado depende de la validez de la citada Ley 9/2012. Por todo ello, solicita la inadmisión de la cuestión respecto del art. 2.1 de la Ley regional 9/2012, de 8 de noviembre.</w:t>
      </w:r>
    </w:p>
    <w:p w:rsidR="00AC56D6" w:rsidRDefault="00AC56D6" w:rsidP="00AC56D6">
      <w:pPr>
        <w:pStyle w:val="TextoNormal"/>
      </w:pPr>
    </w:p>
    <w:p w:rsidR="00AC56D6" w:rsidRDefault="00AC56D6" w:rsidP="00AC56D6">
      <w:pPr>
        <w:pStyle w:val="TextoNormal"/>
      </w:pPr>
      <w:r w:rsidRPr="00AC56D6">
        <w:rPr>
          <w:rStyle w:val="NumeroAFNegritaCaracter"/>
        </w:rPr>
        <w:t>10</w:t>
      </w:r>
      <w:r>
        <w:t>. Mediante escrito registrado el 27 de enero de 2015, el Presidente del Senado comunicó a este Tribunal el acuerdo de la Mesa para que se diera por personada a la Cámara y por ofrecida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11</w:t>
      </w:r>
      <w:r>
        <w:t>. Por providencia de 29 de septiembre de 2015 la Sala Segunda acordó, de conformidad con lo dispuesto en el art. 88.1 LOTC, dirigir atenta comunicación a la empresa Enwesa Operaciones, S.A., a fin de que indique a este Tribunal si, en atención a lo previsto en la disposición adicional duodécima de la Ley 36/2014, de presupuestos generales del Estado para el año 2015, o por cualquier otra circunstancia, ha satisfecho alguna cantidad en concepto de recuperación de la parte proporcional de la paga extraordinaria, de la paga adicional de complemento específico o de las pagas adicionales equivalentes, todas ellas correspondientes al mes de diciembre de 2012. La empresa contestó a esta providencia con el resultado que obra en autos.</w:t>
      </w:r>
    </w:p>
    <w:p w:rsidR="00AC56D6" w:rsidRDefault="00AC56D6" w:rsidP="00AC56D6">
      <w:pPr>
        <w:pStyle w:val="TextoNormal"/>
      </w:pPr>
    </w:p>
    <w:p w:rsidR="00AC56D6" w:rsidRDefault="00AC56D6" w:rsidP="00AC56D6">
      <w:pPr>
        <w:pStyle w:val="TextoNormal"/>
      </w:pPr>
      <w:r w:rsidRPr="00AC56D6">
        <w:rPr>
          <w:rStyle w:val="NumeroAFNegritaCaracter"/>
        </w:rPr>
        <w:t>12</w:t>
      </w:r>
      <w:r>
        <w:t>. Por providencia de 26 de noviembre de 2015, se señaló para deliberación y votación de la presente Sentencia el día 30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La Sala de lo Social del Tribunal Superior de Justicia de Murcia plantea cuestión de inconstitucionalidad respecto del art. 2 del Real Decreto-ley 20/2012, de 13 de julio, de medidas para garantizar la estabilidad presupuestaria y de fomento de la competitividad, y el art. 2.1 Ley 9/2012, de 8 de noviembre, de la Comunidad Autónoma de la Región de </w:t>
      </w:r>
      <w:r>
        <w:lastRenderedPageBreak/>
        <w:t>Murcia, de adaptación de la normativa regional en materia de función pública al Real Decreto-ley 20/2012, de 13 de julio, por posible lesión del art. 9.3 CE. El art. 2 del Real Decreto-ley 20/2012, en lo que aquí importa, dispone para el personal del sector público definido en el art. 22. 1 de la Ley 2/2012, de 29 de junio, de presupuestos generales del Estado para 2012, la supresión de la paga extraordinaria (o equivalente) del mes de diciembre de 2012, y el art. 2.1 Ley de la Asamblea Regional de Murcia 9/2012, establece la misma medida para el personal al servicio del sector público regional definido en el art. 22.1 de la Ley 6/2011, de 26 de diciembre, de presupuestos generales de la Comunidad Autónoma de la Región de Murcia para el ejercicio 2012.</w:t>
      </w:r>
    </w:p>
    <w:p w:rsidR="00AC56D6" w:rsidRDefault="00AC56D6" w:rsidP="00AC56D6">
      <w:pPr>
        <w:pStyle w:val="TextoNormal"/>
      </w:pPr>
    </w:p>
    <w:p w:rsidR="00AC56D6" w:rsidRDefault="00AC56D6" w:rsidP="00AC56D6">
      <w:pPr>
        <w:pStyle w:val="TextoNormal"/>
      </w:pPr>
      <w:r>
        <w:t>En síntesis, la Sala entiende que los arts. 2 del Real Decreto-ley 20/2012 y 2.1 de la Ley regional 9/2012, en su aplicación al personal laboral del sector público, pueden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w:t>
      </w:r>
    </w:p>
    <w:p w:rsidR="00AC56D6" w:rsidRDefault="00AC56D6" w:rsidP="00AC56D6">
      <w:pPr>
        <w:pStyle w:val="TextoNormal"/>
      </w:pPr>
    </w:p>
    <w:p w:rsidR="00AC56D6" w:rsidRDefault="00AC56D6" w:rsidP="00AC56D6">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al análisis de la cuestión planteada conviene realizar una serie de precisiones para acotar debidamente el objeto de la misma y el alcance de nuestro enjuiciamiento.</w:t>
      </w:r>
    </w:p>
    <w:p w:rsidR="00AC56D6" w:rsidRDefault="00AC56D6" w:rsidP="00AC56D6">
      <w:pPr>
        <w:pStyle w:val="TextoNormal"/>
      </w:pPr>
    </w:p>
    <w:p w:rsidR="00AC56D6" w:rsidRDefault="00AC56D6" w:rsidP="00AC56D6">
      <w:pPr>
        <w:pStyle w:val="TextoNormal"/>
      </w:pPr>
      <w:r>
        <w:t>a) Así, en primer lugar, debemos señalar que con relación al art. 2.1 de la Ley 9/2012, de 8 de noviembre, de la Comunidad Autónoma de la Región de Murcia, de adaptación de la normativa regional en materia de función pública al Real Decreto-ley 20/2012, de 13 de julio, la presente cuestión de inconstitucionalidad no cumple el juicio de aplicabilidad y relevancia exigido por el art. 35 de la Ley Orgánica del Tribunal Constitucional (LOTC).</w:t>
      </w:r>
    </w:p>
    <w:p w:rsidR="00AC56D6" w:rsidRDefault="00AC56D6" w:rsidP="00AC56D6">
      <w:pPr>
        <w:pStyle w:val="TextoNormal"/>
      </w:pPr>
    </w:p>
    <w:p w:rsidR="00AC56D6" w:rsidRDefault="00AC56D6" w:rsidP="00AC56D6">
      <w:pPr>
        <w:pStyle w:val="TextoNormal"/>
      </w:pPr>
      <w:r>
        <w:t>El art. 35.1 LOTC exige que la norma con rango de ley de la que tenga dudas un Juez o Tribunal debe ser “aplicable al caso y de cuya validez dependa el fallo”, y el art. 35.2 LOTC añade que el órgano judicial deberá especificar o justificar, en el Auto de planteamiento de la cuestión, en qué medida la decisión del proceso depende de la validez de la norma en cuestión. Es decir, la norma cuestionada debe superar el denominado “juicio de relevancia”, por ser la norma de cuya validez dependa la decisión del proceso. La cuestión de inconstitucionalidad no puede resultar desvirtuada por un uso no acomodado a su naturaleza y finalidad propias, lo que sucedería si se permitiera que se utilizase para obtener pronunciamientos innecesarios o indiferentes para la decisión del proceso en el que la cuestión se suscita (STC 42/2013, FJ 2, con cita de otras).</w:t>
      </w:r>
    </w:p>
    <w:p w:rsidR="00AC56D6" w:rsidRDefault="00AC56D6" w:rsidP="00AC56D6">
      <w:pPr>
        <w:pStyle w:val="TextoNormal"/>
      </w:pPr>
    </w:p>
    <w:p w:rsidR="00AC56D6" w:rsidRDefault="00AC56D6" w:rsidP="00AC56D6">
      <w:pPr>
        <w:pStyle w:val="TextoNormal"/>
      </w:pPr>
      <w:r>
        <w:t xml:space="preserve">Pues bien, como señala la Letrada de la Comunidad Autónoma de Murcia, la empresa Enwesa Operaciones, S.A., es una sociedad mercantil pública estatal participada en un 75 por 100 por la sociedad pública española Equipos Nucleares, S.A., la cual está a su vez participada en un 100 por 100 por la Sociedad Estatal de Participaciones Industriales. En consecuencia, a dicha empresa no le es aplicable la Ley 9/2012, de 8 de noviembre, de la </w:t>
      </w:r>
      <w:r>
        <w:lastRenderedPageBreak/>
        <w:t xml:space="preserve">Comunidad Autónoma de la Región de Murcia —dirigida a las sociedades mercantiles regionales—, sino el Real Decreto-ley 20/2012. Así pues, dada la conexión que debe existir entre el pronunciamiento de este Tribunal y el proceso en que la cuestión se plantea, procede inadmitir la presente cuestión de inconstitucionalidad en relación con el art. 2.1 de la Ley 9/2012, de 8 de noviembre, de la Comunidad Autónoma de la Región de Murcia, precepto que no resulta de aplicación en el procedimiento </w:t>
      </w:r>
      <w:r w:rsidRPr="00AC56D6">
        <w:rPr>
          <w:i/>
        </w:rPr>
        <w:t>a quo</w:t>
      </w:r>
      <w:r>
        <w:t>.</w:t>
      </w:r>
    </w:p>
    <w:p w:rsidR="00AC56D6" w:rsidRDefault="00AC56D6" w:rsidP="00AC56D6">
      <w:pPr>
        <w:pStyle w:val="TextoNormal"/>
      </w:pPr>
    </w:p>
    <w:p w:rsidR="00AC56D6" w:rsidRDefault="00AC56D6" w:rsidP="00AC56D6">
      <w:pPr>
        <w:pStyle w:val="TextoNormal"/>
      </w:pPr>
      <w:r>
        <w:t>b) En segundo lugar, resulta obligado advertir, en consonancia con lo manifestado en sus alegaciones respectivas por el Fiscal General del Estado y el Abogado del Estado, que si bien la Sala de lo Social del Tribunal Superior de Justicia de Murcia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al personal laboral del sector público”. Ello se conecta lógicamente con el juicio de relevancia, correctamente expresado en este caso por el órgano judicial, pues la cuestión de inconstitucionalidad tiene su razón de ser en un recurso de suplicación interpuesto por la empresa pública estatal Enwesa Operaciones, S.A., contra la Sentencia del Juzgado de lo Social que la condenó al abono, a un trabajador de la empresa que había sido despedido, de la cantidad equivalente al período devengado de la paga extraordinaria de 2012 (en concreto, 14 días). En este proceso, lo pretendido por la empresa recurrente es que se deje sin efecto la condena al pago de catorce días de la paga extraordinaria de 2012.</w:t>
      </w:r>
    </w:p>
    <w:p w:rsidR="00AC56D6" w:rsidRDefault="00AC56D6" w:rsidP="00AC56D6">
      <w:pPr>
        <w:pStyle w:val="TextoNormal"/>
      </w:pPr>
    </w:p>
    <w:p w:rsidR="00AC56D6" w:rsidRDefault="00AC56D6" w:rsidP="00AC56D6">
      <w:pPr>
        <w:pStyle w:val="TextoNormal"/>
      </w:pPr>
      <w:r>
        <w:t>De este modo, en los términos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2.2 del art. 2 del Real Decreto-ley 20/2012, que se refiere específicamente a la supresión de la paga o gratificación extraordinaria de diciembre de 2012 o equivalente al personal laboral del sector público.</w:t>
      </w:r>
    </w:p>
    <w:p w:rsidR="00AC56D6" w:rsidRDefault="00AC56D6" w:rsidP="00AC56D6">
      <w:pPr>
        <w:pStyle w:val="TextoNormal"/>
      </w:pPr>
    </w:p>
    <w:p w:rsidR="00AC56D6" w:rsidRDefault="00AC56D6" w:rsidP="00AC56D6">
      <w:pPr>
        <w:pStyle w:val="TextoNormal"/>
      </w:pPr>
      <w:r>
        <w:t>c) Por otra parte debe tenerse en cuenta que no se cuestiona por la Sala de lo Social del Tribunal Superior de Justicia de Murcia la medida de supresión de la paga extraordinaria de diciembre de 2012 en sí misma considerada, sino sólo en cuanto su aplicación haya podido suponer la infracción del principio de irretroactividad establecido en el art. 9.3 CE, al no contemplar excepción alguna respecto de las cuantías que se entienden ya devengadas de dicha paga extra (en concreto, catorce días del mes de julio de 2012) a la fecha de entrada en vigor del Real Decreto-ley 20/2012 (que tuvo lugar el 15 de julio de 2012, conforme a su disposición final decimoquinta). A esta concreta duda de constitucionalidad deberá, pues, ceñirse nuestro enjuiciamiento.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Delimitado el alcance de nuestra decisión, debemos remitirnos a lo dicho recientemente en la STC 83/2015, de 30 de abril, FJ 3, sobre la posible pérdida de objeto de la cuestión de inconstitucionalidad, como consecuencia de lo establecido en la disposición adicional duodécima de la Ley 36/2014, de 26 de diciembre, de presupuestos generales del Estado para 2015. Bajo el epígrafe “recuperación de la paga extraordinaria y adicional del mes de diciembre de 2012”, se establece, en su apartado 1.1, que cada Administración pública, en su ámbito, podrá aprobar el abono de cantidades en concepto de recuperación de </w:t>
      </w:r>
      <w:r>
        <w:lastRenderedPageBreak/>
        <w:t>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según establece el apartado 1.2. En su apartado 2 dispone las reglas para el abono de dichas cantidades al personal del sector público estatal (entre el que se encuentran los trabajadores de la entidad pública empresarial Enwesa Operaciones, S.A.), previsiones cuya aplicación efectiva se ha llevado a cabo en el ámbito del sector público estatal conforme a las instrucciones contenidas en la resolución conjunta de las Secretarías de Estado de Presupuestos y Gastos y de Administraciones Públicas de 29 de diciembre de 2014 (publicada en el “Boletín Oficial del Estado” de 2 de enero de 2015). En ella se precisa: “El reconocimiento del derecho a recuperar las cantidades dejadas de percibir se produce por imperativo de la propia Ley de Presupuestos Generales del Estado para 2015 y produce sus efectos a partir de este último año, por lo que todas las cantidades que se reconozcan en virtud de lo dispuesto en la disposición adicional constituyen percepciones correspondientes al ejercicio de 2015”.</w:t>
      </w:r>
    </w:p>
    <w:p w:rsidR="00AC56D6" w:rsidRDefault="00AC56D6" w:rsidP="00AC56D6">
      <w:pPr>
        <w:pStyle w:val="TextoNormal"/>
      </w:pPr>
    </w:p>
    <w:p w:rsidR="00AC56D6" w:rsidRDefault="00AC56D6" w:rsidP="00AC56D6">
      <w:pPr>
        <w:pStyle w:val="TextoNormal"/>
      </w:pPr>
      <w:r>
        <w:t xml:space="preserve">En la STC 83/2015, FJ 3, se recuerda la reiterada doctrina constitucional sobre los efectos extintivos del objeto del proceso en las cuestiones de inconstitucionalidad, como consecuencia de la derogación o modificación de la norma legal cuestionada. Se puso de manifiesto que era innegable la incidencia que tenía la medida contenida en la disposición adicional duodécima de la Ley 36/2014, de presupuestos generales del Estado para 2015, sobre la pretensión deducida en el pleito </w:t>
      </w:r>
      <w:r w:rsidRPr="00AC56D6">
        <w:rPr>
          <w:i/>
        </w:rPr>
        <w:t>a quo</w:t>
      </w:r>
      <w:r>
        <w:t>, “que afecta de modo determinante a la subsistencia del presente proceso constitucional, dada la estrecha vinculación existente entre toda cuestión de inconstitucionalidad y el procedimiento judicial de que dimana”. Otro tanto acontece en el presente caso.</w:t>
      </w:r>
    </w:p>
    <w:p w:rsidR="00AC56D6" w:rsidRDefault="00AC56D6" w:rsidP="00AC56D6">
      <w:pPr>
        <w:pStyle w:val="TextoNormal"/>
      </w:pPr>
    </w:p>
    <w:p w:rsidR="00AC56D6" w:rsidRDefault="00AC56D6" w:rsidP="00AC56D6">
      <w:pPr>
        <w:pStyle w:val="TextoNormal"/>
      </w:pPr>
      <w:r>
        <w:t>En el proceso del que trae causa la presente cuestión de inconstitucionalidad se discute si una entidad pública empresarial del sector estatal (Enwesa Operaciones, S.A.) está obligada o no a abonar a un trabajador que ha sido despedido la parte proporcional de la paga extra de diciembre de 2012 (en concreto, 14 días) ya devengada al momento de la entrada en vigor del Real Decreto-ley 20/2012, que suprimió el derecho a su percepción. La empresa recurrente en suplicación consideró que no tenía obligación de pagar al trabajador despedido los días devengados de la paga extraordinaria de diciembre de 2012 en contra de lo que había entendido el Juzgado de lo Social. Pues bien, al haberse visto obligada la empresa a abonar la parte proporcional correspondiente a los primeros 44 días de la paga extra de diciembre de 2012, con arreglo a lo establecido en la citada disposición adicional duodécima de la Ley 36/2014, de presupuestos generales del Estado para 2015, y en las instrucciones contenidas en la también citada resolución conjunta de las Secretarías de Estado de Presupuestos y Gastos y de Administraciones Públicas de 29 de diciembre de 2014, la constitucionalidad o inconstitucionalidad del art. 2 Real Decreto-ley 20/2012 resulta irrelevante en el proceso judicial del que trae causa esta cuestión de inconstitucionalidad lo que conlleva su pérdida de objeto.</w:t>
      </w:r>
    </w:p>
    <w:p w:rsidR="00AC56D6" w:rsidRDefault="00AC56D6" w:rsidP="00AC56D6">
      <w:pPr>
        <w:pStyle w:val="TextoNormal"/>
      </w:pPr>
    </w:p>
    <w:p w:rsidR="00AC56D6" w:rsidRDefault="00AC56D6" w:rsidP="00AC56D6">
      <w:pPr>
        <w:pStyle w:val="TextoNormal"/>
      </w:pPr>
      <w:r>
        <w:t xml:space="preserve">En conclusión, “la regulación contenida en la citada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w:t>
      </w:r>
      <w:r>
        <w:lastRenderedPageBreak/>
        <w:t>refiere el art. 163 CE, sino en abstracto, sin efectos para el caso, lo que resulta improcedente en toda cuestión de inconstitucionalidad’ (por todas, STC 6/2010, FJ 3; y 83/2015, FJ 3; y en el mismo sentido AATC 340/2003, de 21 de octubre, FJ único, y 75/2004, de 9 de marzo, FJ único)” (STC 83/2015, FJ 3).</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1º Inadmitir la cuestión de inconstitucionalidad formulada en relación con el art. 2.1 Ley 9/2012, de 8 de noviembre, de la Comunidad Autónoma de la Región de Murcia, de adaptación de la normativa regional en materia de función pública al Real Decreto-ley 20/2012, de 13 de julio.</w:t>
      </w:r>
    </w:p>
    <w:p w:rsidR="00AC56D6" w:rsidRDefault="00AC56D6" w:rsidP="00AC56D6">
      <w:pPr>
        <w:pStyle w:val="TextoNormal"/>
      </w:pPr>
    </w:p>
    <w:p w:rsidR="00AC56D6" w:rsidRDefault="00AC56D6" w:rsidP="00AC56D6">
      <w:pPr>
        <w:pStyle w:val="TextoNormal"/>
      </w:pPr>
      <w:r>
        <w:t>2º Declarar la desaparición sobrevenida de objeto de la cuestión de inconstitucionalidad, respecto del art. 2 del Real Decreto-ley 20/2012, de 13 de julio, de medidas para garantizar la estabilidad presupuestaria y de fomento de la competitividad.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treinta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02" w:name="SENTENCIA_2015_246"/>
      <w:r>
        <w:lastRenderedPageBreak/>
        <w:t>SENTENCIA 246/2015, de 30 de noviembre de 2015</w:t>
      </w:r>
    </w:p>
    <w:bookmarkEnd w:id="102"/>
    <w:p w:rsidR="00AC56D6" w:rsidRDefault="00AC56D6" w:rsidP="00AC56D6">
      <w:pPr>
        <w:pStyle w:val="TtuloResolucin"/>
      </w:pPr>
      <w:r>
        <w:t>Sala Primera</w:t>
      </w:r>
    </w:p>
    <w:p w:rsidR="00AC56D6" w:rsidRDefault="00AC56D6" w:rsidP="00AC56D6">
      <w:pPr>
        <w:pStyle w:val="TtuloBOE"/>
      </w:pPr>
      <w:r>
        <w:t>(BOE núm. 10, de 12 de enero de 2016)</w:t>
      </w:r>
    </w:p>
    <w:p w:rsidR="00AC56D6" w:rsidRDefault="00AC56D6" w:rsidP="00AC56D6">
      <w:pPr>
        <w:pStyle w:val="TextoNormalCentrado"/>
      </w:pPr>
      <w:r>
        <w:t>ECLI:ES:TC:2015:246</w:t>
      </w:r>
    </w:p>
    <w:p w:rsidR="00AC56D6" w:rsidRDefault="00AC56D6" w:rsidP="00AC56D6">
      <w:pPr>
        <w:pStyle w:val="TextoNormalCentrado"/>
      </w:pPr>
    </w:p>
    <w:p w:rsidR="00AC56D6" w:rsidRDefault="00AC56D6" w:rsidP="00AC56D6">
      <w:pPr>
        <w:pStyle w:val="SntesisDescriptiva"/>
      </w:pPr>
      <w:r>
        <w:t>Cuestión de inconstitucionalidad 6582-2014. Cuestión de inconstitucionalidad 6582-2014. Planteada por la Sala de lo Contencioso-Administrativo del Tribunal Superior de Justicia de Andalucía, con sede en Sevilla, en relación con el artículo 17.8 de la Ley 17/2012, de 27 de diciembre, de presupuestos generales del Estado para el año 2013.</w:t>
      </w:r>
    </w:p>
    <w:p w:rsidR="00AC56D6" w:rsidRDefault="00AC56D6" w:rsidP="00AC56D6">
      <w:pPr>
        <w:pStyle w:val="SntesisDescriptiva"/>
      </w:pPr>
    </w:p>
    <w:p w:rsidR="00AC56D6" w:rsidRDefault="00AC56D6" w:rsidP="00AC56D6">
      <w:pPr>
        <w:pStyle w:val="SntesisAnaltica"/>
      </w:pPr>
      <w:r>
        <w:t>Límites materiales de las leyes de presupuestos, reserva de ley orgánica: STC 234/2015 (inadmisión de la cuestión de inconstitucionalidad por inadecuada formulación del juicio de relevancia).</w:t>
      </w:r>
    </w:p>
    <w:p w:rsidR="00AC56D6" w:rsidRDefault="00AC56D6" w:rsidP="00AC56D6">
      <w:pPr>
        <w:pStyle w:val="SntesisAnaltica"/>
      </w:pPr>
    </w:p>
    <w:p w:rsidR="00AC56D6" w:rsidRDefault="00AC56D6" w:rsidP="00AC56D6">
      <w:pPr>
        <w:pStyle w:val="Extracto"/>
      </w:pPr>
      <w:r>
        <w:t>1.</w:t>
      </w:r>
      <w:r>
        <w:tab/>
        <w:t>Asunto sustancialmente idéntico al planteado en la STC 234/2015, que aplica la doctrina constitucional sobre la inadecuada formulación del juicio de relevancia [FJ 2].</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6582-2014 promovida por la Sección Tercera de la Sala de lo Contencioso-Administrativo del Tribunal Superior de Justicia de Andalucía, con sede en Sevilla, en relación con el art. 17.8 de la Ley 17/2012, de 27 de diciembre, de presupuestos generales del Estado para el año 2013. Ha comparecido y formulado alegaciones el Abogado del Estado. Ha intervenido el Fiscal General del Estado. Ha sido Ponente el Magistrado don Juan Antonio Xiol Ríos,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El día 4 de noviembre de 2014 tuvo entrada en el Registro General de este Tribunal escrito de la Sección Tercera de la Sala de lo Contencioso-Administrativo del Tribunal Superior de Justicia de Andalucía, con sede en Sevilla, al que se acompaña, junto con el testimonio del procedimiento correspondiente, el Auto de 14 de octubre de 2014, en el que se acuerda plantear cuestión de inconstitucionalidad sobre el art. 17.8 de la Ley 17/2012, de </w:t>
      </w:r>
      <w:r>
        <w:lastRenderedPageBreak/>
        <w:t>27 de diciembre, de presupuestos generales del Estado para el año 2013, por posible vulneración de los arts. 81.1 y 134.2 CE.</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son, sucintamente expuestos, los siguientes:</w:t>
      </w:r>
    </w:p>
    <w:p w:rsidR="00AC56D6" w:rsidRDefault="00AC56D6" w:rsidP="00AC56D6">
      <w:pPr>
        <w:pStyle w:val="TextoNormal"/>
      </w:pPr>
    </w:p>
    <w:p w:rsidR="00AC56D6" w:rsidRDefault="00AC56D6" w:rsidP="00AC56D6">
      <w:pPr>
        <w:pStyle w:val="TextoNormal"/>
      </w:pPr>
      <w:r>
        <w:t>a) La Federación de Escuelas Agrarias de Andalucía, titular de un centro docente privado, interpuso recurso contencioso-administrativo contra la Orden de 27 de febrero de 2013, de la Consejería de Educación de la Junta de Andalucía, por la que se resuelve la solicitud de renovación del concierto educativo con dicho centro docente privado, a partir del curso académico 2013-2014. Dicha Orden denegaba el concierto educativo para el referido centro docente por no cumplir presuntamente este con lo establecido en el art. 84.3 de la Ley Orgánica 2/2006, de 3 de mayo, de educación (LOE), en lo que se refiere a la no discriminación por razón de sexo, al escolarizar solo alumnos varones.</w:t>
      </w:r>
    </w:p>
    <w:p w:rsidR="00AC56D6" w:rsidRDefault="00AC56D6" w:rsidP="00AC56D6">
      <w:pPr>
        <w:pStyle w:val="TextoNormal"/>
      </w:pPr>
    </w:p>
    <w:p w:rsidR="00AC56D6" w:rsidRDefault="00AC56D6" w:rsidP="00AC56D6">
      <w:pPr>
        <w:pStyle w:val="TextoNormal"/>
      </w:pPr>
      <w:r>
        <w:t>b) El recurso contencioso administrativo, interpuesto ante la Sala de lo Contencioso-Administrativo del Tribunal Superior de Justicia de Andalucía, con sede en Sevilla, se basaba, entre otros motivos de ilegalidad e inconstitucionalidad, en que la Administración había incumplido el mandato establecido en el art. 17.8 de la Ley 17/2012, de 27 de diciembre, que había entrado en vigor el 1 de enero de 2013. El Letrado de la Junta de Andalucía, en la contestación a la demanda, alegaba la inconstitucionalidad del citado art. 17.8 por vulneración de la reserva de ley orgánica del art. 81 CE y por exceder del contenido admisible para una Ley de presupuestos, con vulneración, además, del principio de igualdad de los arts. 9.3 y 14 CE; solicitaba a su vez el planteamiento de la cuestión de inconstitucionalidad para el caso de que la Sala estimase que dicho precepto legal es esencial para la resolución del asunto.</w:t>
      </w:r>
    </w:p>
    <w:p w:rsidR="00AC56D6" w:rsidRDefault="00AC56D6" w:rsidP="00AC56D6">
      <w:pPr>
        <w:pStyle w:val="TextoNormal"/>
      </w:pPr>
    </w:p>
    <w:p w:rsidR="00AC56D6" w:rsidRDefault="00AC56D6" w:rsidP="00AC56D6">
      <w:pPr>
        <w:pStyle w:val="TextoNormal"/>
      </w:pPr>
      <w:r>
        <w:t>c) Estando conclusas las actuaciones y señalado para votación y fallo el día 25 de junio de 2014, se dictó por la Sala providencia en esa misma fecha dando plazo común de diez días para alegaciones a las partes y al Ministerio Fiscal, conforme a lo dispuesto en los arts. 5.2 de la Ley Orgánica del Poder Judicial (LOPJ) y 35.2 de la Ley Orgánica del Tribunal Constitucional (LOTC), por considerar la Sala “que el artículo 17.8 de la Ley 17/2012, de 27 de diciembre, de Presupuestos Generales del Estado, de cuya validez depende el fallo, pudiera ser contrario a la Constitución”.</w:t>
      </w:r>
    </w:p>
    <w:p w:rsidR="00AC56D6" w:rsidRDefault="00AC56D6" w:rsidP="00AC56D6">
      <w:pPr>
        <w:pStyle w:val="TextoNormal"/>
      </w:pPr>
    </w:p>
    <w:p w:rsidR="00AC56D6" w:rsidRDefault="00AC56D6" w:rsidP="00AC56D6">
      <w:pPr>
        <w:pStyle w:val="TextoNormal"/>
      </w:pPr>
      <w:r>
        <w:t>d) Habiendo alegado el Ministerio Fiscal que la providencia citada no cumplía las exigencias del art. 35.2 LOTC, por no mencionar la norma constitucional cuya vulneración se cuestionaba y no justificar en qué medida la decisión del proceso dependía de su validez, se dictó otra nueva de 8 de septiembre de 2014, dando plazo común de diez días, conforme a lo dispuesto en los arts. 5.2 LOPJ y 35.2 LOTC, para que las partes y el Ministerio Fiscal alegasen sobre la inconstitucionalidad en que podría incurrir el art. 17.8 de la Ley 17/2012, de 27 de diciembre, de cuya validez depende el fallo, por vulneración de los arts. 81.1 y 134.2 CE. Considera la nueva providencia que, tras el dictado del precepto mencionado, la Administración no puede seguir aplicando la jurisprudencia recaída en interpretación de la Ley Orgánica de educación. Entiende que este precepto invade la reserva de ley orgánica y excede del contenido que la Constitución contempla para las leyes de presupuestos.</w:t>
      </w:r>
    </w:p>
    <w:p w:rsidR="00AC56D6" w:rsidRDefault="00AC56D6" w:rsidP="00AC56D6">
      <w:pPr>
        <w:pStyle w:val="TextoNormal"/>
      </w:pPr>
    </w:p>
    <w:p w:rsidR="00AC56D6" w:rsidRDefault="00AC56D6" w:rsidP="00AC56D6">
      <w:pPr>
        <w:pStyle w:val="TextoNormal"/>
      </w:pPr>
      <w:r>
        <w:lastRenderedPageBreak/>
        <w:t>e) Mediante escrito de 19 de septiembre de 2014, sin pronunciarse sobre el fondo del asunto y atendiendo solo a los aspectos formales, el Ministerio Fiscal expresó la procedencia de plantear la cuestión. El Letrado de la Junta de Andalucía, mediante escrito presentado el 1 de octubre de 2014, consideró que procedía el planteamiento de la cuestión, al estimar que el art. 17.8 de la Ley 17/2012, de 27 de diciembre, infringe el art. 81.1 CE, así como los arts. 9.3, 14, 66.2 y 134 CE.</w:t>
      </w:r>
    </w:p>
    <w:p w:rsidR="00AC56D6" w:rsidRDefault="00AC56D6" w:rsidP="00AC56D6">
      <w:pPr>
        <w:pStyle w:val="TextoNormal"/>
      </w:pPr>
    </w:p>
    <w:p w:rsidR="00AC56D6" w:rsidRDefault="00AC56D6" w:rsidP="00AC56D6">
      <w:pPr>
        <w:pStyle w:val="TextoNormal"/>
      </w:pPr>
      <w:r w:rsidRPr="00AC56D6">
        <w:rPr>
          <w:rStyle w:val="NumeroAFNegritaCaracter"/>
        </w:rPr>
        <w:t>3</w:t>
      </w:r>
      <w:r>
        <w:t>. El órgano judicial dictó Auto de 14 de octubre de 2014, en el que acuerda plantear cuestión de inconstitucionalidad respecto al art. 17.8 de la Ley 17/2012, de 27 de diciembre, de presupuestos generales del Estado para el año 2013, por posible vulneración de los arts. 81.1 y 134.2 CE.</w:t>
      </w:r>
    </w:p>
    <w:p w:rsidR="00AC56D6" w:rsidRDefault="00AC56D6" w:rsidP="00AC56D6">
      <w:pPr>
        <w:pStyle w:val="TextoNormal"/>
      </w:pPr>
    </w:p>
    <w:p w:rsidR="00AC56D6" w:rsidRDefault="00AC56D6" w:rsidP="00AC56D6">
      <w:pPr>
        <w:pStyle w:val="TextoNormal"/>
      </w:pPr>
      <w:r>
        <w:t>Del contenido del Auto interesa destacar lo siguiente:</w:t>
      </w:r>
    </w:p>
    <w:p w:rsidR="00AC56D6" w:rsidRDefault="00AC56D6" w:rsidP="00AC56D6">
      <w:pPr>
        <w:pStyle w:val="TextoNormal"/>
      </w:pPr>
    </w:p>
    <w:p w:rsidR="00AC56D6" w:rsidRDefault="00AC56D6" w:rsidP="00AC56D6">
      <w:pPr>
        <w:pStyle w:val="TextoNormal"/>
      </w:pPr>
      <w:r>
        <w:t>El órgano judicial razona que tras la entrada en vigor de la Ley Orgánica de educación resultaba conforme a derecho, de acuerdo con la jurisprudencia del Tribunal Supremo, que la Administración rechazase celebrar conciertos educativos con centros docentes privados donde no se escolarizan alumnos de ambos sexos. El estado de la cuestión, prosigue, ha cambiado con la Ley 17/2012, cuyo art. 17 relativo al “módulo económico de distribución de fondos públicos para sostenimiento de centros concertados” estableció, en su apartado ocho, que dicha norma es plenamente aplicable a la financiación de centros concertados, incluidos los de educación diferenciada que escolarizan alumnos de un solo sexo y ello con independencia del modelo de agrupamiento de alumnos que realicen los centros docentes en el ejercicio de sus competencias. De esta manera, si de acuerdo con la Ley Orgánica de educación los centros con educación diferenciada no podían acogerse a la financiación pública, tras la ley de presupuestos la regla es la contraria. Este precepto habría sido vulnerado por la resolución impugnada en el pleito principal, de modo que en su aplicación habría que dar razón a la recurrente en el pleito. No obstante, expresa dos dudas sobre su constitucionalidad:</w:t>
      </w:r>
    </w:p>
    <w:p w:rsidR="00AC56D6" w:rsidRDefault="00AC56D6" w:rsidP="00AC56D6">
      <w:pPr>
        <w:pStyle w:val="TextoNormal"/>
      </w:pPr>
    </w:p>
    <w:p w:rsidR="00AC56D6" w:rsidRDefault="00AC56D6" w:rsidP="00AC56D6">
      <w:pPr>
        <w:pStyle w:val="TextoNormal"/>
      </w:pPr>
      <w:r>
        <w:t>a) Relativa a la reserva a ley orgánica de la regulación de los aspectos esenciales de un derecho fundamental. Entiende el órgano judicial que no se había puesto en duda el sistema de la educación diferenciada hasta la entrada en vigor de la Ley Orgánica de educación, en cuyo art. 84.3 se prohíbe expresamente en el régimen de admisión de alumnos la discriminación por razón de sexo. Dicho precepto, conforme a la interpretación realizada por el Tribunal Supremo, comporta que la educación separada por sexos dejó de estar autorizada para los centros docentes sostenidos con fondos públicos. Asimismo pone de relieve que en la reforma de la Ley Orgánica de educación se ha introducido, en el art. 84.3 lo siguiente: “No constituye discriminación la admisión de alumnos y alumnas o la organización de la enseñanza diferenciadas por sexos, siempre que la enseñanza que impartan se desarrolle conforme a lo dispuesto en el artículo 2 de la Convención relativa a la lucha contra las discriminaciones en la esfera de la enseñanza, aprobada por la Conferencia General de la UNESCO el 14 de diciembre de 1960”.</w:t>
      </w:r>
    </w:p>
    <w:p w:rsidR="00AC56D6" w:rsidRDefault="00AC56D6" w:rsidP="00AC56D6">
      <w:pPr>
        <w:pStyle w:val="TextoNormal"/>
      </w:pPr>
    </w:p>
    <w:p w:rsidR="00AC56D6" w:rsidRDefault="00AC56D6" w:rsidP="00AC56D6">
      <w:pPr>
        <w:pStyle w:val="TextoNormal"/>
      </w:pPr>
      <w:r>
        <w:t xml:space="preserve">b) Relativa a los límites constitucionales de la ley de presupuestos. La doctrina constitucional (STC 76/1992), establece los límites de las leyes de presupuestos, distinguiendo entre (i) el contenido necesario y (ii) el eventual, posible y no necesario, para el que se requiere la relación directa con los gastos e ingresos que integran el presupuesto o con los criterios </w:t>
      </w:r>
      <w:r>
        <w:lastRenderedPageBreak/>
        <w:t>de política económica de la que el presupuesto es instrumento. El precepto impugnado podría no cumplir los límites establecidos, en cuanto no contiene una previsión de gastos e ingresos; sería dudoso que, aun cuando pueda tener una relación directa con los ingresos o gastos del Estado, sea complemento necesario para su mejor inteligencia.</w:t>
      </w:r>
    </w:p>
    <w:p w:rsidR="00AC56D6" w:rsidRDefault="00AC56D6" w:rsidP="00AC56D6">
      <w:pPr>
        <w:pStyle w:val="TextoNormal"/>
      </w:pPr>
    </w:p>
    <w:p w:rsidR="00AC56D6" w:rsidRDefault="00AC56D6" w:rsidP="00AC56D6">
      <w:pPr>
        <w:pStyle w:val="TextoNormal"/>
      </w:pPr>
      <w:r w:rsidRPr="00AC56D6">
        <w:rPr>
          <w:rStyle w:val="NumeroAFNegritaCaracter"/>
        </w:rPr>
        <w:t>4</w:t>
      </w:r>
      <w:r>
        <w:t>. Mediante providencia de 20 de enero de 2015, el Pleno del Tribunal Constitucional, a propuesta de la Sección Segunda, acuerda admitir a trámite la presente cuestión y, conforme a lo dispuesto en el art. 10.1 c) LOTC, deferir a la Sala Primera el conocimiento de la misma;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esta resolución a la Sección Tercera de la Sala de lo Contencioso-Administrativo del Tribunal Superior de Andalucía, con sede en Sevilla, a fin de que, de conformidad con lo dispuesto en el art. 35.3 LOTC, permanezca suspendido el proceso hasta que este Tribunal resuelva definitivamente la presente cuestión y publicar la incoación de la cuestión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El Presidente del Congreso de los Diputados, mediante escrito registrado el 30 de enero de 2015, comunicó a este Tribunal que la Mesa de la Cámara adoptó el acuerdo de personarse en el proceso, ofreciendo su colaboración a los efectos del art. 88.1 LOTC. Lo mismo hizo el Presidente del Senado por escrito que tuvo entrada en el Registro de este Tribunal el 4 de febrero de 2015.</w:t>
      </w:r>
    </w:p>
    <w:p w:rsidR="00AC56D6" w:rsidRDefault="00AC56D6" w:rsidP="00AC56D6">
      <w:pPr>
        <w:pStyle w:val="TextoNormal"/>
      </w:pPr>
    </w:p>
    <w:p w:rsidR="00AC56D6" w:rsidRDefault="00AC56D6" w:rsidP="00AC56D6">
      <w:pPr>
        <w:pStyle w:val="TextoNormal"/>
      </w:pPr>
      <w:r w:rsidRPr="00AC56D6">
        <w:rPr>
          <w:rStyle w:val="NumeroAFNegritaCaracter"/>
        </w:rPr>
        <w:t>6</w:t>
      </w:r>
      <w:r>
        <w:t>. El 10 de febrero de 2015 se personó en el proceso el Abogado del Estado e interesó la desestimación de la cuestión por las razones que a continuación se resumen.</w:t>
      </w:r>
    </w:p>
    <w:p w:rsidR="00AC56D6" w:rsidRDefault="00AC56D6" w:rsidP="00AC56D6">
      <w:pPr>
        <w:pStyle w:val="TextoNormal"/>
      </w:pPr>
    </w:p>
    <w:p w:rsidR="00AC56D6" w:rsidRDefault="00AC56D6" w:rsidP="00AC56D6">
      <w:pPr>
        <w:pStyle w:val="TextoNormal"/>
      </w:pPr>
      <w:r>
        <w:t>Tras exponer los antecedentes del caso precisa que, a su juicio, la duda de constitucionalidad planteada se limita a la posible vulneración de los arts. 81.1 y 134.2 CE. A continuación, expone el sistema de conciertos educativos previsto en la Ley Orgánica de educación, señalando que dicha norma no establece prohibición expresa alguna sobre la financiación de centros privados que practiquen la educación diferenciada.</w:t>
      </w:r>
    </w:p>
    <w:p w:rsidR="00AC56D6" w:rsidRDefault="00AC56D6" w:rsidP="00AC56D6">
      <w:pPr>
        <w:pStyle w:val="TextoNormal"/>
      </w:pPr>
    </w:p>
    <w:p w:rsidR="00AC56D6" w:rsidRDefault="00AC56D6" w:rsidP="00AC56D6">
      <w:pPr>
        <w:pStyle w:val="TextoNormal"/>
      </w:pPr>
      <w:r>
        <w:t xml:space="preserve">El Abogado del Estado parte de la consideración de que el Auto de planteamiento de la cuestión solo desarrolla de manera mínima la vulneración del art. 81.1 CE. A su juicio, no puede sostenerse que el art. 17.8 de la Ley 17/2012 suponga una innovación normativa que afecte al núcleo esencial del derecho fundamental a la educación, conforme a la doctrina constitucional. En su opinión, el art. 17 de la Ley 17/2012 lo que hace es concretar, para el ejercicio 2013, las previsiones de los arts. 116 y siguientes de la Ley Orgánica de educación; estos preceptos no tienen carácter orgánico, por lo que menos pueden tenerlo las previsiones dictadas en su desarrollo, que, tienen además un carácter temporal limitado al ejercicio 2013. El cuestionado art. 17.8 establece una concreción necesaria del ámbito subjetivo de los conciertos para la aplicación de las previsiones presupuestarias. Si bien admite que el precepto se dicta en un momento en que la jurisprudencia del Tribunal Supremo entendió que los centros con educación diferenciada vulneraban el principio de igualdad en su vertiente relativa a la no discriminación por razón de sexo </w:t>
      </w:r>
      <w:r w:rsidRPr="00AC56D6">
        <w:rPr>
          <w:i/>
        </w:rPr>
        <w:t>ex</w:t>
      </w:r>
      <w:r>
        <w:t xml:space="preserve"> art. 84.3 LOE y no podían por ello ser beneficiarios de conciertos educativos, lo cierto es que la Ley Orgánica de educación </w:t>
      </w:r>
      <w:r>
        <w:lastRenderedPageBreak/>
        <w:t>no contenía una previsión expresa al respecto. En su opinión, el art. 17.8 no introduce una previsión sustantiva contraria o diferente al art. 84.3 LOE, aunque lo interprete de una manera diferente al Tribunal Supremo. Esta diferente interpretación, al entender dentro del ámbito subjetivo de los conciertos los centros con educación diferenciada, no invade el ámbito de ley orgánica, en cuanto no supone el desarrollo del núcleo esencial del derecho a la educación. Finalmente, alega que la modificación de la Ley Orgánica de educación por la Ley Orgánica 8/2013, de 9 de diciembre, que precisa que no se puede entender por discriminación por razón de sexo la escuela diferenciada y afirma que los centros de educación diferenciada tienen derecho, si cumplen con las condiciones legales, a concierto para su financiación, sólo aclara o interpreta las previsiones de la redacción anterior del artículo 84.3 LOE. Concluye que la previsión del art. 17.8 de la Ley 17/2012 no afecta a la reserva de ley orgánica, por lo que este motivo debe ser rechazado.</w:t>
      </w:r>
    </w:p>
    <w:p w:rsidR="00AC56D6" w:rsidRDefault="00AC56D6" w:rsidP="00AC56D6">
      <w:pPr>
        <w:pStyle w:val="TextoNormal"/>
      </w:pPr>
    </w:p>
    <w:p w:rsidR="00AC56D6" w:rsidRDefault="00AC56D6" w:rsidP="00AC56D6">
      <w:pPr>
        <w:pStyle w:val="TextoNormal"/>
      </w:pPr>
      <w:r>
        <w:t>En segundo lugar, el Abogado del Estado rechaza, asimismo, que el precepto cuestionado vulnere el art. 134.2 CE, atendiendo a la doctrina constitucional sobre el contenido de la Ley de presupuestos. Partiendo de la misma, entiende que el art. 17.8 integra el denominado “contenido eventual” de la Ley de presupuestos y no constituye una modificación sustantiva del ordenamiento jurídico. Tiene un carácter limitado en el ámbito temporal y tiene una conexión económica o presupuestaria evidente, que fundamenta en la remisión que el art. 117 LOE realiza a las leyes de presupuestos generales del Estado. La concreción del ámbito subjetivo de los centros beneficiarios de conciertos educativos es un elemento esencial para poder prever las habilitaciones presupuestarias. La incidencia en la ordenación del programa anual de gastos es necesaria y principal y por ello suficiente para legitimar su inclusión en la Ley de presupuestos. Se trata de una conexión con su objeto (habilitación de gastos) directa, inmediata y querida por la norma. La inclusión de los centros concertados en los módulos de concierto tiene relación con los estados de gasto de los presupuestos generales del Estado al tratar sobre la financiación de centros docentes concertados con cargo a los presupuestos de las Administraciones públicas.</w:t>
      </w:r>
    </w:p>
    <w:p w:rsidR="00AC56D6" w:rsidRDefault="00AC56D6" w:rsidP="00AC56D6">
      <w:pPr>
        <w:pStyle w:val="TextoNormal"/>
      </w:pPr>
    </w:p>
    <w:p w:rsidR="00AC56D6" w:rsidRDefault="00AC56D6" w:rsidP="00AC56D6">
      <w:pPr>
        <w:pStyle w:val="TextoNormal"/>
      </w:pPr>
      <w:r w:rsidRPr="00AC56D6">
        <w:rPr>
          <w:rStyle w:val="NumeroAFNegritaCaracter"/>
        </w:rPr>
        <w:t>7</w:t>
      </w:r>
      <w:r>
        <w:t>. El 20 de febrero de 2015 presentó sus alegaciones la Fiscal General del Estado, interesando la desestimación de la cuestión por las razones que se resumen a continuación.</w:t>
      </w:r>
    </w:p>
    <w:p w:rsidR="00AC56D6" w:rsidRDefault="00AC56D6" w:rsidP="00AC56D6">
      <w:pPr>
        <w:pStyle w:val="TextoNormal"/>
      </w:pPr>
    </w:p>
    <w:p w:rsidR="00AC56D6" w:rsidRDefault="00AC56D6" w:rsidP="00AC56D6">
      <w:pPr>
        <w:pStyle w:val="TextoNormal"/>
      </w:pPr>
      <w:r>
        <w:t>Expone, en primer lugar, los antecedentes de hecho de la cuestión, así como el contenido del art. 17 y de los anexos IV y V de la Ley 17/2012, de 27 de diciembre, y del propio Auto de planteamiento de la cuestión.</w:t>
      </w:r>
    </w:p>
    <w:p w:rsidR="00AC56D6" w:rsidRDefault="00AC56D6" w:rsidP="00AC56D6">
      <w:pPr>
        <w:pStyle w:val="TextoNormal"/>
      </w:pPr>
    </w:p>
    <w:p w:rsidR="00AC56D6" w:rsidRDefault="00AC56D6" w:rsidP="00AC56D6">
      <w:pPr>
        <w:pStyle w:val="TextoNormal"/>
      </w:pPr>
      <w:r>
        <w:t>Antes de abordar el examen de las cuestiones planteadas en el Auto, analiza la pervivencia del objeto, dado que las previsiones anteriormente citadas se limitaban al ejercicio presupuestario de 2013; llega a la conclusión de que, conforme a la doctrina de este Tribunal, no se ha producido la pérdida de objeto del presente proceso constitucional.</w:t>
      </w:r>
    </w:p>
    <w:p w:rsidR="00AC56D6" w:rsidRDefault="00AC56D6" w:rsidP="00AC56D6">
      <w:pPr>
        <w:pStyle w:val="TextoNormal"/>
      </w:pPr>
    </w:p>
    <w:p w:rsidR="00AC56D6" w:rsidRDefault="00AC56D6" w:rsidP="00AC56D6">
      <w:pPr>
        <w:pStyle w:val="TextoNormal"/>
      </w:pPr>
      <w:r>
        <w:t xml:space="preserve">En cuanto al fondo del asunto, considera, en primer lugar, que el art. 17.8 de la Ley 17/2012 no vulnera el art. 134. 2 CE, conforme a la doctrina constitucional. La regulación prevista en el citado precepto no puede ser escindida de su contexto, constituido no sólo por los números 1 a 7 del art. 17, sino también por los anexos IV y V de esa misma Ley. La norma cuestionada, en cuanto dispone que dicha regulación es plenamente aplicable a la financiación de todos los centros concertados, incluidos los de educación diferenciada que </w:t>
      </w:r>
      <w:r>
        <w:lastRenderedPageBreak/>
        <w:t>escolarizan alumnos de un solo sexo, no hace sino extender a estos una serie de disposiciones que obedecen sin ningún género de dudas al “contenido propio” o “núcleo esencial” del presupuesto.</w:t>
      </w:r>
    </w:p>
    <w:p w:rsidR="00AC56D6" w:rsidRDefault="00AC56D6" w:rsidP="00AC56D6">
      <w:pPr>
        <w:pStyle w:val="TextoNormal"/>
      </w:pPr>
    </w:p>
    <w:p w:rsidR="00AC56D6" w:rsidRDefault="00AC56D6" w:rsidP="00AC56D6">
      <w:pPr>
        <w:pStyle w:val="TextoNormal"/>
      </w:pPr>
      <w:r>
        <w:t xml:space="preserve">En segundo lugar, considera que el precepto cuestionado tampoco vulnera el art. 81.1 CE. Partiendo de la doctrina establecida en la STC 86/1985, afirma que el art. 27.9 CE ni enuncia un derecho fundamental a la prestación pública, ni encierra un derecho subjetivo a la misma. Si, además, tal prestación pública habrá de ser dispuesta por la Ley, parece obvio concluir que esta materia no forma parte esencial del derecho consagrado en el art. 27.9 CE; siendo esto así, resulta igualmente obvio que no existe un deber </w:t>
      </w:r>
      <w:r w:rsidRPr="00AC56D6">
        <w:rPr>
          <w:i/>
        </w:rPr>
        <w:t>ex constitutione</w:t>
      </w:r>
      <w:r>
        <w:t xml:space="preserve"> de regular tal materia mediante ley orgánica.</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26 de noviembre de 2015 se señaló para deliberación y votación de la presente Sentencia el día 30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Sección Tercera de la Sala de lo Contencioso-Administrativo del Tribunal Superior de Justicia de Andalucía, con sede en Sevilla, plantea cuestión de inconstitucionalidad sobre el art. 17.8 de la Ley 17/2012, de 27 de diciembre, de presupuestos generales del Estado para el año 2013 (en adelante, Ley 17/2012).</w:t>
      </w:r>
    </w:p>
    <w:p w:rsidR="00AC56D6" w:rsidRDefault="00AC56D6" w:rsidP="00AC56D6">
      <w:pPr>
        <w:pStyle w:val="TextoNormal"/>
      </w:pPr>
    </w:p>
    <w:p w:rsidR="00AC56D6" w:rsidRDefault="00AC56D6" w:rsidP="00AC56D6">
      <w:pPr>
        <w:pStyle w:val="TextoNormal"/>
      </w:pPr>
      <w:r>
        <w:t>El art. 17 de la citada ley regula el módulo económico de distribución de fondos públicos para sostenimiento de centros concertados, en cumplimiento, conforme a su primer apartado, de lo dispuesto en el art. 117 de la Ley Orgánica 2/2006, de 3 de mayo, de educación (LOE). Este precepto determina que se fijará anualmente en los presupuestos generales del Estado el importe del módulo económico por unidad escolar, a efectos de distribución de la cuantía global de los fondos públicos destinados al sostenimiento de los centros privados concertados para hacer efectiva la gratuidad de las enseñanzas objeto de concierto. Asimismo, establece los diferentes conceptos que integran dicho módulo (salarios del personal docente, cantidades asignadas a otros gastos y cantidades para atender al pago de diferentes conceptos como los de antigüedad, sustituciones o ejercicio de la función directiva).</w:t>
      </w:r>
    </w:p>
    <w:p w:rsidR="00AC56D6" w:rsidRDefault="00AC56D6" w:rsidP="00AC56D6">
      <w:pPr>
        <w:pStyle w:val="TextoNormal"/>
      </w:pPr>
    </w:p>
    <w:p w:rsidR="00AC56D6" w:rsidRDefault="00AC56D6" w:rsidP="00AC56D6">
      <w:pPr>
        <w:pStyle w:val="TextoNormal"/>
      </w:pPr>
      <w:r>
        <w:t>El apartado 8 del art. 17 de la Ley 17/2012, objeto del presente proceso constitucional, determina lo siguiente:</w:t>
      </w:r>
    </w:p>
    <w:p w:rsidR="00AC56D6" w:rsidRDefault="00AC56D6" w:rsidP="00AC56D6">
      <w:pPr>
        <w:pStyle w:val="TextoNormal"/>
      </w:pPr>
    </w:p>
    <w:p w:rsidR="00AC56D6" w:rsidRDefault="00AC56D6" w:rsidP="00AC56D6">
      <w:pPr>
        <w:pStyle w:val="TextoNormal"/>
      </w:pPr>
      <w:r>
        <w:t>“Lo establecido en este artículo será plenamente aplicable a la financiación de todos los centros concertados incluidos los de educación diferenciada que escolarizan alumnos de un solo sexo, y ello, con independencia del modelo de agrupamiento de alumnos que realicen los centros docentes en el ejercicio de sus competencias.”</w:t>
      </w:r>
    </w:p>
    <w:p w:rsidR="00AC56D6" w:rsidRDefault="00AC56D6" w:rsidP="00AC56D6">
      <w:pPr>
        <w:pStyle w:val="TextoNormal"/>
      </w:pPr>
    </w:p>
    <w:p w:rsidR="00AC56D6" w:rsidRDefault="00AC56D6" w:rsidP="00AC56D6">
      <w:pPr>
        <w:pStyle w:val="TextoNormal"/>
      </w:pPr>
      <w:r>
        <w:t>En síntesis, entiende el órgano judicial que el art. 17.8 de la Ley 17/2012 podría vulnerar tanto el art. 81.1 CE, pues está reservado a ley orgánica regular aspectos esenciales de un derecho fundamental, como el art. 134.2 CE, por no poder considerarse dicho párrafo contenido necesario ni eventual de la ley de presupuestos, conforme a la doctrina constitucional.</w:t>
      </w:r>
    </w:p>
    <w:p w:rsidR="00AC56D6" w:rsidRDefault="00AC56D6" w:rsidP="00AC56D6">
      <w:pPr>
        <w:pStyle w:val="TextoNormal"/>
      </w:pPr>
    </w:p>
    <w:p w:rsidR="00AC56D6" w:rsidRDefault="00AC56D6" w:rsidP="00AC56D6">
      <w:pPr>
        <w:pStyle w:val="TextoNormal"/>
      </w:pPr>
      <w:r>
        <w:lastRenderedPageBreak/>
        <w:t>Como se ha dejado constancia en los antecedentes, tanto el Abogado del Estado como el Fiscal General del Estado interesan la desestimación de la cuestión, por entender que no concurren las vulneraciones constitucionales apreciadas por el órgano judicial.</w:t>
      </w:r>
    </w:p>
    <w:p w:rsidR="00AC56D6" w:rsidRDefault="00AC56D6" w:rsidP="00AC56D6">
      <w:pPr>
        <w:pStyle w:val="TextoNormal"/>
      </w:pPr>
    </w:p>
    <w:p w:rsidR="00AC56D6" w:rsidRDefault="00AC56D6" w:rsidP="00AC56D6">
      <w:pPr>
        <w:pStyle w:val="TextoNormal"/>
      </w:pPr>
      <w:r w:rsidRPr="00AC56D6">
        <w:rPr>
          <w:rStyle w:val="NumeroAFNegritaCaracter"/>
        </w:rPr>
        <w:t>2</w:t>
      </w:r>
      <w:r>
        <w:t>. En nuestra reciente STC 234/2015, de 5 de noviembre, hemos resuelto inadmitir una cuestión de inconstitucionalidad (núm. 6518-2014) idéntica a la presente, planteada por el mismo órgano judicial, por inadecuada formulación del juicio de relevancia (art. 35.1 LOTC). En consecuencia, por remisión a lo entonces razonado, la presente cuestión ha de correr igual suerte.</w:t>
      </w:r>
    </w:p>
    <w:p w:rsidR="00AC56D6" w:rsidRDefault="00AC56D6" w:rsidP="00AC56D6">
      <w:pPr>
        <w:pStyle w:val="TextoNormal"/>
      </w:pPr>
    </w:p>
    <w:p w:rsidR="00AC56D6" w:rsidRDefault="00AC56D6" w:rsidP="00AC56D6">
      <w:pPr>
        <w:pStyle w:val="TextoNormal"/>
      </w:pPr>
      <w:r>
        <w:t xml:space="preserve">En efecto, en la citada STC 234/2015, FJ 2, apreciamos que en la explicación de la dependencia del fallo del proceso </w:t>
      </w:r>
      <w:r w:rsidRPr="00AC56D6">
        <w:rPr>
          <w:i/>
        </w:rPr>
        <w:t>a quo</w:t>
      </w:r>
      <w:r>
        <w:t xml:space="preserve"> de la validez constitucional de la norma cuestionada que realiza el órgano judicial “no ha tenido en cuenta lo dispuesto en la disposición transitoria segunda de la Ley Orgánica 8/2013, de 9 de diciembre, para la mejora de la calidad educativa (LOMCE), en relación con la aplicación temporal de la redacción dada al art. 84.3 de la Ley Orgánica 2/2006, de 3 de mayo, de Educación (LOE), por el art. Único. Sesenta y uno LOMCE. Conforme a esta disposición transitoria ‘Los centros privados a los que en 2013 se les haya denegado la renovación del concierto educativo o reducido las unidades escolares concertadas por el único motivo de ofrecer educación diferenciada por sexos podrán solicitar que se les aplique lo indicado en el artículo 84.3 de esta Ley Orgánica para el resto del actual período de conciertos en el plazo de dos meses desde su entrada en vigor’. En relación con ello la nueva redacción del art. 84.3 LOE señala expresamente que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w:t>
      </w:r>
    </w:p>
    <w:p w:rsidR="00AC56D6" w:rsidRDefault="00AC56D6" w:rsidP="00AC56D6">
      <w:pPr>
        <w:pStyle w:val="TextoNormal"/>
      </w:pPr>
    </w:p>
    <w:p w:rsidR="00AC56D6" w:rsidRDefault="00AC56D6" w:rsidP="00AC56D6">
      <w:pPr>
        <w:pStyle w:val="TextoNormal"/>
      </w:pPr>
      <w:r>
        <w:t>Dado el tenor de tales preceptos, es claro que pudieran resultar directamente aplicables a un supuesto de hecho como el considerado en el caso a quo, cuyo objeto es una Orden autonómica de 27 de febrero de 2013, por la que se deniega la solicitud de renovación del concierto educativo con un centro docente privado, a partir del curso académico 2013-2014, precisamente por no cumplir con lo establecido en la redacción anterior del art. 84.3 LOE, en lo que se refiere a la no discriminación por razón de sexo al no comprometerse a escolarizar alumnado de ambos sexos. Pese a que la LOMCE entró en vigor a los veinte días de su publicación en el Boletín Oficial del Estado, que tuvo lugar el 10 de diciembre de 2013 y, por tanto, ya estaba vigente el 14 de octubre de 2014, momento en el que se acuerda plantear la cuestión dictando el correspondiente Auto, el órgano judicial no hace referencia alguna a este precepto en su argumentación, ni tampoco a las razones por las que, en su defecto, entiende que no es de aplicación al caso que ha de resolver”.</w:t>
      </w:r>
    </w:p>
    <w:p w:rsidR="00AC56D6" w:rsidRDefault="00AC56D6" w:rsidP="00AC56D6">
      <w:pPr>
        <w:pStyle w:val="TextoNormal"/>
      </w:pPr>
    </w:p>
    <w:p w:rsidR="00AC56D6" w:rsidRDefault="00AC56D6" w:rsidP="00AC56D6">
      <w:pPr>
        <w:pStyle w:val="TextoNormal"/>
      </w:pPr>
      <w:r>
        <w:t xml:space="preserve">Se entendió que “dicha omisión condiciona ineludiblemente la valoración acerca de la adecuada formulación de los juicios de aplicabilidad y relevancia exigidos para el planteamiento de la cuestión de inconstitucionalidad por el art. 35 LOTC”. Ello porque “en el supuesto que consideramos, teniendo presente lo dispuesto por la LOMCE y el silencio del órgano judicial al respecto, no puede asegurarse, en este momento, que el pronunciamiento de este Tribunal acerca del art. 17.8 de la Ley 17/2012, de 27 de diciembre, objeto de la </w:t>
      </w:r>
      <w:r>
        <w:lastRenderedPageBreak/>
        <w:t xml:space="preserve">presente cuestión, fuera necesario e imprescindible para resolver el caso sometido a la consideración de la Sala cuestionante, de manera que el juicio de constitucionalidad que se nos solicita sobre el precepto podría quedar desconectado de su aplicación al proceso a quo. Es decir, se correría el riesgo de que el juicio a la ley se desarrollara ante este Tribunal sin necesidad ni pertinencia alguna, pues, realizado el enjuiciamiento y pronunciado el fallo que correspondiere, el proceso </w:t>
      </w:r>
      <w:r w:rsidRPr="00AC56D6">
        <w:rPr>
          <w:i/>
        </w:rPr>
        <w:t>a quo</w:t>
      </w:r>
      <w:r>
        <w:t xml:space="preserve"> podría concluir sin aplicar el precepto cuestionado y en atención a razones jurídicas ajenas a su conformidad o no a la Constitución. Ese sería el caso si el órgano judicial optase, una vez resuelta la cuestión, por aplicar la disposición transitoria segunda LOMCE”.</w:t>
      </w:r>
    </w:p>
    <w:p w:rsidR="00AC56D6" w:rsidRDefault="00AC56D6" w:rsidP="00AC56D6">
      <w:pPr>
        <w:pStyle w:val="TextoNormal"/>
      </w:pPr>
    </w:p>
    <w:p w:rsidR="00AC56D6" w:rsidRDefault="00AC56D6" w:rsidP="00AC56D6">
      <w:pPr>
        <w:pStyle w:val="TextoNormal"/>
      </w:pPr>
      <w:r>
        <w:t>En definitiva —concluimos en la STC 234/2015, FJ 2— “es indiscutible que el precepto cuestionado es aplicable para la resolución del pleito sometido a la consideración del órgano judicial, pero podría no ser el único relevante a la vista de lo regulado por la disposición transitoria segunda LOMCE en relación con el art. 84.3 LOE, reflexión que no aparece en el Auto de planteamiento, que guarda silencio respecto a la relación entre esta norma y la que ha cuestionado.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00AC56D6" w:rsidRDefault="00AC56D6" w:rsidP="00AC56D6">
      <w:pPr>
        <w:pStyle w:val="TextoNormal"/>
      </w:pPr>
    </w:p>
    <w:p w:rsidR="00AC56D6" w:rsidRDefault="00AC56D6" w:rsidP="00AC56D6">
      <w:pPr>
        <w:pStyle w:val="TextoNormal"/>
      </w:pPr>
      <w:r>
        <w:t>En consecuencia, por las mismas razones expresadas en la STC 234/2015, FJ 2, procede acordar también la inadmisión de la presente cuestión de inconstitucionalidad.</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Inadmitir la presente cuestión de inconstitucionalidad.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treinta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03" w:name="SENTENCIA_2015_247"/>
      <w:r>
        <w:lastRenderedPageBreak/>
        <w:t>SENTENCIA 247/2015, de 30 de noviembre de 2015</w:t>
      </w:r>
    </w:p>
    <w:bookmarkEnd w:id="103"/>
    <w:p w:rsidR="00AC56D6" w:rsidRDefault="00AC56D6" w:rsidP="00AC56D6">
      <w:pPr>
        <w:pStyle w:val="TtuloResolucin"/>
      </w:pPr>
      <w:r>
        <w:t>Sala Primera</w:t>
      </w:r>
    </w:p>
    <w:p w:rsidR="00AC56D6" w:rsidRDefault="00AC56D6" w:rsidP="00AC56D6">
      <w:pPr>
        <w:pStyle w:val="TtuloBOE"/>
      </w:pPr>
      <w:r>
        <w:t>(BOE núm. 10, de 12 de enero de 2016)</w:t>
      </w:r>
    </w:p>
    <w:p w:rsidR="00AC56D6" w:rsidRDefault="00AC56D6" w:rsidP="00AC56D6">
      <w:pPr>
        <w:pStyle w:val="TextoNormalCentrado"/>
      </w:pPr>
      <w:r>
        <w:t>ECLI:ES:TC:2015:247</w:t>
      </w:r>
    </w:p>
    <w:p w:rsidR="00AC56D6" w:rsidRDefault="00AC56D6" w:rsidP="00AC56D6">
      <w:pPr>
        <w:pStyle w:val="TextoNormalCentrado"/>
      </w:pPr>
    </w:p>
    <w:p w:rsidR="00AC56D6" w:rsidRDefault="00AC56D6" w:rsidP="00AC56D6">
      <w:pPr>
        <w:pStyle w:val="SntesisDescriptiva"/>
      </w:pPr>
      <w:r>
        <w:t>Cuestión de inconstitucionalidad 6583-2014. Cuestión de inconstitucionalidad 6583-2014. Planteada por la Sala de lo Contencioso-Administrativo del Tribunal Superior de Justicia de Andalucía, con sede en Sevilla, en relación con el artículo 17.8 de la Ley 17/2012, de 27 de diciembre, de presupuestos generales del Estado para el año 2013.</w:t>
      </w:r>
    </w:p>
    <w:p w:rsidR="00AC56D6" w:rsidRDefault="00AC56D6" w:rsidP="00AC56D6">
      <w:pPr>
        <w:pStyle w:val="SntesisDescriptiva"/>
      </w:pPr>
    </w:p>
    <w:p w:rsidR="00AC56D6" w:rsidRDefault="00AC56D6" w:rsidP="00AC56D6">
      <w:pPr>
        <w:pStyle w:val="SntesisAnaltica"/>
      </w:pPr>
      <w:r>
        <w:t>Límites materiales de las leyes de presupuestos, reserva de ley orgánica: STC 234/2015 (inadmisión de la cuestión de inconstitucionalidad por inadecuada formulación del juicio de relevancia).</w:t>
      </w:r>
    </w:p>
    <w:p w:rsidR="00AC56D6" w:rsidRDefault="00AC56D6" w:rsidP="00AC56D6">
      <w:pPr>
        <w:pStyle w:val="SntesisAnaltica"/>
      </w:pPr>
    </w:p>
    <w:p w:rsidR="00AC56D6" w:rsidRDefault="00AC56D6" w:rsidP="00AC56D6">
      <w:pPr>
        <w:pStyle w:val="Extracto"/>
      </w:pPr>
      <w:r>
        <w:t>1.</w:t>
      </w:r>
      <w:r>
        <w:tab/>
        <w:t>Asunto sustancialmente idéntico al planteado en la STC 234/2015, que aplica la doctrina constitucional sobre la inadecuada formulación del juicio de relevancia [FJ 2].</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6583-2014 promovida por la Sección Tercera de la Sala de lo Contencioso-Administrativo del Tribunal Superior de Justicia de Andalucía, con sede en Sevilla, en relación con el art. 17.8 de la Ley 17/2012, de 27 de diciembre, de presupuestos generales del Estado para el año 2013. Ha comparecido y formulado alegaciones el Abogado del Estado. Ha intervenido el Fiscal General del Estado. Ha sido Ponente el Magistrado don Santiago Martínez-Vares García,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El día 4 de noviembre de 2014 tuvo entrada en el Registro General de este Tribunal escrito de la Sección Tercera de la Sala de lo Contencioso-Administrativo del Tribunal Superior de Justicia de Andalucía, con sede en Sevilla, al que se acompaña, junto con el testimonio del procedimiento correspondiente, el Auto de 14 de octubre de 2014, en el que se acuerda plantear cuestión de inconstitucionalidad sobre el art. 17.8 de la Ley 17/2012, de </w:t>
      </w:r>
      <w:r>
        <w:lastRenderedPageBreak/>
        <w:t>27 de diciembre, de presupuestos generales del Estado para el año 2013, por posible vulneración de los arts. 81.1 y 134.2 CE.</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son, sucintamente expuestos, los siguientes:</w:t>
      </w:r>
    </w:p>
    <w:p w:rsidR="00AC56D6" w:rsidRDefault="00AC56D6" w:rsidP="00AC56D6">
      <w:pPr>
        <w:pStyle w:val="TextoNormal"/>
      </w:pPr>
    </w:p>
    <w:p w:rsidR="00AC56D6" w:rsidRDefault="00AC56D6" w:rsidP="00AC56D6">
      <w:pPr>
        <w:pStyle w:val="TextoNormal"/>
      </w:pPr>
      <w:r>
        <w:t>a) La Federación de Sindicatos Independientes de Enseñanza de Andalucía interpuso recurso contencioso-administrativo contra las Órdenes de 27 de febrero de 2013, de la Consejería de Educación de la Junta de Andalucía, por las que se resuelve la solicitud de renovación del concierto educativo con los centros docentes privados concertados que se citan a continuación, a partir del curso académico 2013-2014: “Ángela Guerrero” de Sevilla, “Nuestra Señora de Lourdes” de Carmona (Sevilla), “Ribamar”, de Sevilla, “Altair” de Sevilla, “Albaydar” de Sevilla, “Molino Azul” de Lora del Río (Sevilla), “Elcható” de Brenes (Sevilla), “Torrealba” de Almodóvar del Río (Córdoba), “Zalima” de Córdoba y “Yucatal” de Posadas (Córdoba). Dichas órdenes denegaban el concierto educativo para los referidos centros docentes por no cumplir con lo establecido en el art. 84.3 de la Ley Orgánica 2/2006, de 3 de mayo, de educación (LOE), en lo que se refiere a la no discriminación por razón de sexo.</w:t>
      </w:r>
    </w:p>
    <w:p w:rsidR="00AC56D6" w:rsidRDefault="00AC56D6" w:rsidP="00AC56D6">
      <w:pPr>
        <w:pStyle w:val="TextoNormal"/>
      </w:pPr>
    </w:p>
    <w:p w:rsidR="00AC56D6" w:rsidRDefault="00AC56D6" w:rsidP="00AC56D6">
      <w:pPr>
        <w:pStyle w:val="TextoNormal"/>
      </w:pPr>
      <w:r>
        <w:t>b) El recurso contencioso-administrativo, interpuesto ante la Sala de lo Contencioso-Administrativo del Tribunal Superior de Justicia de Andalucía, con sede en Sevilla, se basaba, entre otros motivos de ilegalidad y de inconstitucionalidad, en que la Administración había incumplido el mandato establecido en el art. 17.8 de la Ley 17/2012, de 27 de diciembre, que había entrado en vigor el 1 de enero de 2013. El Letrado de la Junta de Andalucía, en la contestación a la demanda, alegaba la inconstitucionalidad del citado art. 17.8 por vulneración de la reserva de ley orgánica del art. 81 CE y por exceder del contenido admisible para una Ley de presupuestos, con vulneración, además, del principio de igualdad de los arts. 9.3 y 14 CE; solicitaba a su vez el planteamiento de la cuestión de inconstitucionalidad para el caso de que la Sala estimase que dicho precepto legal es esencial para la resolución del asunto.</w:t>
      </w:r>
    </w:p>
    <w:p w:rsidR="00AC56D6" w:rsidRDefault="00AC56D6" w:rsidP="00AC56D6">
      <w:pPr>
        <w:pStyle w:val="TextoNormal"/>
      </w:pPr>
    </w:p>
    <w:p w:rsidR="00AC56D6" w:rsidRDefault="00AC56D6" w:rsidP="00AC56D6">
      <w:pPr>
        <w:pStyle w:val="TextoNormal"/>
      </w:pPr>
      <w:r>
        <w:t>c) Estando conclusas las actuaciones y señalado para votación y fallo el día 25 de junio de 2014, se dictó por la Sala providencia en esa misma fecha dando plazo común de diez días para alegaciones a las partes y al Ministerio Fiscal, conforme a lo dispuesto en los arts. 5.2 de la Ley Orgánica del Poder Judicial (LOPJ) y 35.2 de la Ley Orgánica del Tribunal Constitucional (LOTC), por considerar la Sala “que el artículo 17.8 de la Ley 17/2012, de 27 de diciembre, de presupuestos generales del Estado, de cuya validez depende el fallo, pudiera ser contrario a la Constitución”.</w:t>
      </w:r>
    </w:p>
    <w:p w:rsidR="00AC56D6" w:rsidRDefault="00AC56D6" w:rsidP="00AC56D6">
      <w:pPr>
        <w:pStyle w:val="TextoNormal"/>
      </w:pPr>
    </w:p>
    <w:p w:rsidR="00AC56D6" w:rsidRDefault="00AC56D6" w:rsidP="00AC56D6">
      <w:pPr>
        <w:pStyle w:val="TextoNormal"/>
      </w:pPr>
      <w:r>
        <w:t xml:space="preserve">d) Habiendo alegado el Ministerio Fiscal que la providencia citada no cumplía las exigencias del art. 35.2 LOTC, por no mencionar la norma constitucional cuya vulneración se cuestionaba y no justificar en qué medida la decisión del proceso dependía de su validez, se dictó otra nueva de 8 de septiembre de 2014, dando plazo común de diez días, conforme a lo dispuesto en los arts. 5.2 LOPJ y 35.2 LOTC, para que las partes y el Ministerio Fiscal alegasen sobre la inconstitucionalidad en que podría incurrir el art. 17.8 de la Ley 17/2012, de 27 de diciembre, de cuya validez depende el fallo, por vulneración de los arts. 81.1 y 134.2 CE. Considera la nueva providencia que, tras el dictado del precepto mencionado, la Administración no puede seguir aplicando la jurisprudencia recaída en interpretación de la </w:t>
      </w:r>
      <w:r>
        <w:lastRenderedPageBreak/>
        <w:t>Ley Orgánica de educación. Entiende que este precepto invade la reserva de ley orgánica y excede del contenido que la Constitución contempla para las Leyes de presupuestos.</w:t>
      </w:r>
    </w:p>
    <w:p w:rsidR="00AC56D6" w:rsidRDefault="00AC56D6" w:rsidP="00AC56D6">
      <w:pPr>
        <w:pStyle w:val="TextoNormal"/>
      </w:pPr>
    </w:p>
    <w:p w:rsidR="00AC56D6" w:rsidRDefault="00AC56D6" w:rsidP="00AC56D6">
      <w:pPr>
        <w:pStyle w:val="TextoNormal"/>
      </w:pPr>
      <w:r>
        <w:t>e) Mediante escrito de 19 de septiembre de 2014, sin pronunciarse sobre el fondo del asunto y atendiendo solo a los aspectos formales, el Ministerio Fiscal expresó la procedencia de plantear la cuestión. El Letrado de la Junta de Andalucía, mediante escrito presentado el 7 de octubre de 2014, consideró que procedía el planteamiento de la cuestión, al estimar que el art. 17.8 de la Ley 17/2012, de 27 de diciembre, infringe el art. 81.1 CE, así como los arts. 9.2 y 3, 14, 66.2 y 134.2 CE. La parte recurrente no formuló alegaciones.</w:t>
      </w:r>
    </w:p>
    <w:p w:rsidR="00AC56D6" w:rsidRDefault="00AC56D6" w:rsidP="00AC56D6">
      <w:pPr>
        <w:pStyle w:val="TextoNormal"/>
      </w:pPr>
    </w:p>
    <w:p w:rsidR="00AC56D6" w:rsidRDefault="00AC56D6" w:rsidP="00AC56D6">
      <w:pPr>
        <w:pStyle w:val="TextoNormal"/>
      </w:pPr>
      <w:r w:rsidRPr="00AC56D6">
        <w:rPr>
          <w:rStyle w:val="NumeroAFNegritaCaracter"/>
        </w:rPr>
        <w:t>3</w:t>
      </w:r>
      <w:r>
        <w:t>. El órgano judicial dictó Auto de 14 de octubre de 2014, en el que acuerda plantear cuestión de inconstitucionalidad respecto al art. 17.8 de la Ley 17/2012, de 27 de diciembre, de presupuestos generales del Estado para el año 2013, por posible vulneración de los arts. 81.1 y 134.2 CE.</w:t>
      </w:r>
    </w:p>
    <w:p w:rsidR="00AC56D6" w:rsidRDefault="00AC56D6" w:rsidP="00AC56D6">
      <w:pPr>
        <w:pStyle w:val="TextoNormal"/>
      </w:pPr>
    </w:p>
    <w:p w:rsidR="00AC56D6" w:rsidRDefault="00AC56D6" w:rsidP="00AC56D6">
      <w:pPr>
        <w:pStyle w:val="TextoNormal"/>
      </w:pPr>
      <w:r>
        <w:t>Del contenido del Auto interesa destacar lo siguiente:</w:t>
      </w:r>
    </w:p>
    <w:p w:rsidR="00AC56D6" w:rsidRDefault="00AC56D6" w:rsidP="00AC56D6">
      <w:pPr>
        <w:pStyle w:val="TextoNormal"/>
      </w:pPr>
    </w:p>
    <w:p w:rsidR="00AC56D6" w:rsidRDefault="00AC56D6" w:rsidP="00AC56D6">
      <w:pPr>
        <w:pStyle w:val="TextoNormal"/>
      </w:pPr>
      <w:r>
        <w:t>El órgano judicial razona que tras la entrada en vigor de la Ley Orgánica de educación resultaba conforme a derecho, de acuerdo con la jurisprudencia del Tribunal Supremo, que la Administración rechazase celebrar conciertos educativos con centros docentes privados donde no se escolarizan alumnos de ambos sexos. El estado de la cuestión, prosigue, ha cambiado con la Ley 17/2012, cuyo art. 17 relativo al “módulo económico de distribución de fondos públicos para sostenimiento de centros concertados” estableció, en su apartado 8, que dicha norma es plenamente aplicable a la financiación de centros concertados, incluidos los de educación diferenciada que escolarizan alumnos de un solo sexo y ello con independencia del modelo de agrupamiento de alumnos que realicen los centros docentes en el ejercicio de sus competencias. De esta manera, si de acuerdo con la Ley Orgánica de educación los centros con educación diferenciada no podían acogerse a la financiación pública, tras la Ley de presupuestos la regla es la contraria. Este precepto habría sido vulnerado por la resolución impugnada en el pleito principal, de modo que en su aplicación habría que dar razón a la recurrente en el pleito. No obstante, expresa dos dudas sobre su constitucionalidad:</w:t>
      </w:r>
    </w:p>
    <w:p w:rsidR="00AC56D6" w:rsidRDefault="00AC56D6" w:rsidP="00AC56D6">
      <w:pPr>
        <w:pStyle w:val="TextoNormal"/>
      </w:pPr>
    </w:p>
    <w:p w:rsidR="00AC56D6" w:rsidRDefault="00AC56D6" w:rsidP="00AC56D6">
      <w:pPr>
        <w:pStyle w:val="TextoNormal"/>
      </w:pPr>
      <w:r>
        <w:t>a) Relativa a la reserva a ley orgánica de la regulación de los aspectos esenciales de un derecho fundamental. Entiende el órgano judicial que no se había puesto en duda el sistema de la educación diferenciada hasta la entrada en vigor de la Ley Orgánica de educación, en cuyo art. 84.3 se prohíbe expresamente en el régimen de admisión de alumnos la discriminación por razón de sexo. Dicho precepto, conforme a la interpretación realizada por el Tribunal Supremo, comporta que la educación separada por sexos dejó de estar autorizada para los centros docentes sostenidos con fondos públicos. Asimismo pone de relieve que en la reforma de la Ley Orgánica de educación se ha introducido, en el art. 84.3 lo siguiente: “No constituye discriminación la admisión de alumnos y alumnas o la organización de la enseñanza diferenciadas por sexos, siempre que la enseñanza que impartan se desarrolle conforme a lo dispuesto en el artículo 2 de la Convención relativa a la lucha contra las discriminaciones en la esfera de la enseñanza, aprobada por la Conferencia General de la UNESCO el 14 de diciembre de 1960”.</w:t>
      </w:r>
    </w:p>
    <w:p w:rsidR="00AC56D6" w:rsidRDefault="00AC56D6" w:rsidP="00AC56D6">
      <w:pPr>
        <w:pStyle w:val="TextoNormal"/>
      </w:pPr>
    </w:p>
    <w:p w:rsidR="00AC56D6" w:rsidRDefault="00AC56D6" w:rsidP="00AC56D6">
      <w:pPr>
        <w:pStyle w:val="TextoNormal"/>
      </w:pPr>
      <w:r>
        <w:lastRenderedPageBreak/>
        <w:t>b) Relativa a los límites constitucionales de la ley de presupuestos. La doctrina constitucional (STC 76/1992), establece los límites de las leyes de presupuestos, distinguiendo entre (i) el contenido necesario y (ii) el eventual, posible y no necesario, para el que se requiere la relación directa con los gastos e ingresos que integran el presupuesto o con los criterios de política económica de la que el presupuesto es instrumento. El precepto impugnado podría no cumplir los límites establecidos, en cuanto no contiene una previsión de gastos e ingresos; sería dudoso que, aun cuando pueda tener una relación directa con los ingresos o gastos del Estado, sea complemento necesario para su mejor inteligencia.</w:t>
      </w:r>
    </w:p>
    <w:p w:rsidR="00AC56D6" w:rsidRDefault="00AC56D6" w:rsidP="00AC56D6">
      <w:pPr>
        <w:pStyle w:val="TextoNormal"/>
      </w:pPr>
    </w:p>
    <w:p w:rsidR="00AC56D6" w:rsidRDefault="00AC56D6" w:rsidP="00AC56D6">
      <w:pPr>
        <w:pStyle w:val="TextoNormal"/>
      </w:pPr>
      <w:r w:rsidRPr="00AC56D6">
        <w:rPr>
          <w:rStyle w:val="NumeroAFNegritaCaracter"/>
        </w:rPr>
        <w:t>4</w:t>
      </w:r>
      <w:r>
        <w:t>. Mediante providencia de 20 de enero de 2015, el Pleno del Tribunal Constitucional, a propuesta de la Sección Segunda, acuerda admitir a trámite la presente cuestión y, conforme a lo dispuesto en el art. 10.1 c) LOTC, deferir a la Sala Primera el conocimiento de la misma;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esta resolución a la Sección Tercera de la Sala de lo Contencioso-administrativo del Tribunal Superior de Andalucía, con sede en Sevilla, a fin de que, de conformidad con lo dispuesto en el art. 35.3 LOTC, permanezca suspendido el proceso hasta que este Tribunal resuelva definitivamente la presente cuestión y publicar la incoación de la cuestión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La Vicepresidenta Primera y Presidenta en funciones del Congreso de los Diputados, mediante escrito registrado el 30 de enero de 2015, comunicó a este Tribunal que la Mesa de la Cámara adoptó el acuerdo de personarse en el proceso, ofreciendo su colaboración a los efectos del art. 88.1 LOTC. Lo mismo hizo el Presidente del Senado por escrito que tuvo entrada en el registro de este Tribunal el 4 de febrero de 2015.</w:t>
      </w:r>
    </w:p>
    <w:p w:rsidR="00AC56D6" w:rsidRDefault="00AC56D6" w:rsidP="00AC56D6">
      <w:pPr>
        <w:pStyle w:val="TextoNormal"/>
      </w:pPr>
    </w:p>
    <w:p w:rsidR="00AC56D6" w:rsidRDefault="00AC56D6" w:rsidP="00AC56D6">
      <w:pPr>
        <w:pStyle w:val="TextoNormal"/>
      </w:pPr>
      <w:r w:rsidRPr="00AC56D6">
        <w:rPr>
          <w:rStyle w:val="NumeroAFNegritaCaracter"/>
        </w:rPr>
        <w:t>6</w:t>
      </w:r>
      <w:r>
        <w:t>. El 10 de febrero de 2015 se personó en el proceso el Abogado del Estado e interesó la desestimación de la cuestión por las razones que a continuación se resumen.</w:t>
      </w:r>
    </w:p>
    <w:p w:rsidR="00AC56D6" w:rsidRDefault="00AC56D6" w:rsidP="00AC56D6">
      <w:pPr>
        <w:pStyle w:val="TextoNormal"/>
      </w:pPr>
    </w:p>
    <w:p w:rsidR="00AC56D6" w:rsidRDefault="00AC56D6" w:rsidP="00AC56D6">
      <w:pPr>
        <w:pStyle w:val="TextoNormal"/>
      </w:pPr>
      <w:r>
        <w:t>Tras exponer los antecedentes del caso precisa que, a su juicio, la duda de constitucionalidad planteada se limita a la posible vulneración de los arts. 81.1 y 134.2 CE. A continuación, expone el sistema de conciertos educativos previsto en la Ley Orgánica de educación, señalando que dicha norma no establece prohibición expresa alguna sobre la financiación de centros privados que practiquen la educación diferenciada.</w:t>
      </w:r>
    </w:p>
    <w:p w:rsidR="00AC56D6" w:rsidRDefault="00AC56D6" w:rsidP="00AC56D6">
      <w:pPr>
        <w:pStyle w:val="TextoNormal"/>
      </w:pPr>
    </w:p>
    <w:p w:rsidR="00AC56D6" w:rsidRDefault="00AC56D6" w:rsidP="00AC56D6">
      <w:pPr>
        <w:pStyle w:val="TextoNormal"/>
      </w:pPr>
      <w:r>
        <w:t xml:space="preserve">El Abogado del Estado parte de la consideración de que el Auto de planteamiento de la cuestión solo desarrolla de manera mínima la vulneración del art. 81.1 CE. A su juicio, no puede sostenerse que el art. 17.8 de la Ley 17/2012 suponga una innovación normativa que afecte al núcleo esencial del derecho fundamental a la educación, conforme a la doctrina constitucional. En su opinión, el art. 17 de la Ley 17/2012 lo que hace es concretar, para el ejercicio 2013, las previsiones de los arts. 116 y siguientes de la Ley Orgánica de educación; estos preceptos no tienen carácter orgánico, por lo que menos pueden tenerlo las previsiones dictadas en su desarrollo, que, tienen además un carácter temporal limitado al ejercicio 2013. El cuestionado art. 17.8 establece una concreción necesaria del ámbito subjetivo de los conciertos para la aplicación de las previsiones presupuestarias. Si bien admite que el </w:t>
      </w:r>
      <w:r>
        <w:lastRenderedPageBreak/>
        <w:t xml:space="preserve">precepto se dicta en un momento en que la jurisprudencia del Tribunal Supremo entendió que los centros con educación diferenciada vulneraban el principio de igualdad en su vertiente relativa a la no discriminación por razón de sexo </w:t>
      </w:r>
      <w:r w:rsidRPr="00AC56D6">
        <w:rPr>
          <w:i/>
        </w:rPr>
        <w:t>ex</w:t>
      </w:r>
      <w:r>
        <w:t xml:space="preserve"> art. 84.3 LOE y no podían por ello ser beneficiarios de conciertos educativos, lo cierto es que la Ley Orgánica de educación no contenía una previsión expresa al respecto. En su opinión, el art. 17.8 no introduce una previsión sustantiva contraria o diferente al art. 84.3 LOE, aunque lo interprete de una manera diferente al Tribunal Supremo. Esta diferente interpretación, al entender dentro del ámbito subjetivo de los conciertos los centros con educación diferenciada, no invade el ámbito de ley orgánica, en cuanto no supone el desarrollo del núcleo esencial del derecho a la educación. Finalmente, alega que la modificación de la Ley Orgánica de educación por la Ley Orgánica 8/2013, de 9 de diciembre, que precisa que no se puede entender por discriminación por razón de sexo la escuela diferenciada y afirma que los centros de educación diferenciada tienen derecho, si cumplen con las condiciones legales, a concierto para su financiación, sólo aclara o interpreta las previsiones de la redacción anterior del artículo 84.3 LOE. Concluye que la previsión del art. 17.8 de la Ley 17/2012 no afecta a la reserva de ley orgánica, por lo que este motivo debe ser rechazado.</w:t>
      </w:r>
    </w:p>
    <w:p w:rsidR="00AC56D6" w:rsidRDefault="00AC56D6" w:rsidP="00AC56D6">
      <w:pPr>
        <w:pStyle w:val="TextoNormal"/>
      </w:pPr>
    </w:p>
    <w:p w:rsidR="00AC56D6" w:rsidRDefault="00AC56D6" w:rsidP="00AC56D6">
      <w:pPr>
        <w:pStyle w:val="TextoNormal"/>
      </w:pPr>
      <w:r>
        <w:t>En segundo lugar, el Abogado del Estado rechaza, asimismo, que el precepto cuestionado vulnere el art. 134.2 CE, atendiendo a la doctrina constitucional sobre el contenido de la ley de presupuestos. Partiendo de la misma, entiende que el art. 17.8 integra el denominado “contenido eventual” de la ley de presupuestos y no constituye una modificación sustantiva del ordenamiento jurídico. Tiene un carácter limitado en el ámbito temporal y tiene una conexión económica o presupuestaria evidente, que fundamenta en la remisión que el art. 117 LOE realiza a las leyes de presupuestos generales del Estado. La concreción del ámbito subjetivo de los centros beneficiarios de conciertos educativos es un elemento esencial para poder prever las habilitaciones presupuestarias. La incidencia en la ordenación del programa anual de gastos es necesaria y principal y por ello suficiente para legitimar su inclusión en la ley de presupuestos. Se trata de una conexión con su objeto (habilitación de gastos) directa, inmediata y querida por la norma. La inclusión de los centros concertados en los módulos de concierto tiene relación con los estados de gasto de los presupuestos generales del Estado al tratar sobre la financiación de centros docentes concertados con cargo a los presupuestos de las Administraciones públicas.</w:t>
      </w:r>
    </w:p>
    <w:p w:rsidR="00AC56D6" w:rsidRDefault="00AC56D6" w:rsidP="00AC56D6">
      <w:pPr>
        <w:pStyle w:val="TextoNormal"/>
      </w:pPr>
    </w:p>
    <w:p w:rsidR="00AC56D6" w:rsidRDefault="00AC56D6" w:rsidP="00AC56D6">
      <w:pPr>
        <w:pStyle w:val="TextoNormal"/>
      </w:pPr>
      <w:r w:rsidRPr="00AC56D6">
        <w:rPr>
          <w:rStyle w:val="NumeroAFNegritaCaracter"/>
        </w:rPr>
        <w:t>7</w:t>
      </w:r>
      <w:r>
        <w:t>. El 18 de febrero de 2015 presentó sus alegaciones la Fiscal General del Estado, interesando la desestimación de la cuestión por las razones que se resumen a continuación.</w:t>
      </w:r>
    </w:p>
    <w:p w:rsidR="00AC56D6" w:rsidRDefault="00AC56D6" w:rsidP="00AC56D6">
      <w:pPr>
        <w:pStyle w:val="TextoNormal"/>
      </w:pPr>
    </w:p>
    <w:p w:rsidR="00AC56D6" w:rsidRDefault="00AC56D6" w:rsidP="00AC56D6">
      <w:pPr>
        <w:pStyle w:val="TextoNormal"/>
      </w:pPr>
      <w:r>
        <w:t>Expone, en primer lugar, los antecedentes de hecho de la cuestión, así como el contenido del art. 17 y de los anexos IV y V de la Ley 17/2012, de 27 de diciembre, y del propio Auto de planteamiento de la cuestión.</w:t>
      </w:r>
    </w:p>
    <w:p w:rsidR="00AC56D6" w:rsidRDefault="00AC56D6" w:rsidP="00AC56D6">
      <w:pPr>
        <w:pStyle w:val="TextoNormal"/>
      </w:pPr>
    </w:p>
    <w:p w:rsidR="00AC56D6" w:rsidRDefault="00AC56D6" w:rsidP="00AC56D6">
      <w:pPr>
        <w:pStyle w:val="TextoNormal"/>
      </w:pPr>
      <w:r>
        <w:t>Antes de abordar el examen de las cuestiones planteadas en el Auto, analiza la pervivencia del objeto, dado que las previsiones anteriormente citadas se limitaban al ejercicio presupuestario de 2013; llega a la conclusión de que, conforme a la doctrina de este Tribunal, no se ha producido la pérdida de objeto del presente proceso constitucional.</w:t>
      </w:r>
    </w:p>
    <w:p w:rsidR="00AC56D6" w:rsidRDefault="00AC56D6" w:rsidP="00AC56D6">
      <w:pPr>
        <w:pStyle w:val="TextoNormal"/>
      </w:pPr>
    </w:p>
    <w:p w:rsidR="00AC56D6" w:rsidRDefault="00AC56D6" w:rsidP="00AC56D6">
      <w:pPr>
        <w:pStyle w:val="TextoNormal"/>
      </w:pPr>
      <w:r>
        <w:t xml:space="preserve">En cuanto al fondo del asunto, considera, en primer lugar, que el art. 17.8 de la Ley 17/2012 no vulnera el art. 134.2 CE, conforme a la doctrina constitucional. La regulación prevista en el citado precepto no puede ser escindida de su contexto, constituido no sólo por </w:t>
      </w:r>
      <w:r>
        <w:lastRenderedPageBreak/>
        <w:t>los números 1 a 7 del art. 17, sino también por los anexos IV y V de esa misma Ley. La norma cuestionada, en cuanto dispone que dicha regulación es plenamente aplicable a la financiación de todos los centros concertados, incluidos los de educación diferenciada que escolarizan alumnos de un solo sexo, no hace sino extender a estos una serie de disposiciones que obedecen sin ningún género de dudas al “contenido propio” o “núcleo esencial” del presupuesto.</w:t>
      </w:r>
    </w:p>
    <w:p w:rsidR="00AC56D6" w:rsidRDefault="00AC56D6" w:rsidP="00AC56D6">
      <w:pPr>
        <w:pStyle w:val="TextoNormal"/>
      </w:pPr>
    </w:p>
    <w:p w:rsidR="00AC56D6" w:rsidRDefault="00AC56D6" w:rsidP="00AC56D6">
      <w:pPr>
        <w:pStyle w:val="TextoNormal"/>
      </w:pPr>
      <w:r>
        <w:t xml:space="preserve">En segundo lugar, considera que el precepto cuestionado tampoco vulnera el art. 81.1 CE. Partiendo de la doctrina establecida en la STC 86/1985, afirma que el art. 27.9 CE ni enuncia un derecho fundamental a la prestación pública, ni encierra un derecho subjetivo a la misma. Si, además, tal prestación pública habrá de ser dispuesta por la ley, parece obvio concluir que esta materia no forma parte esencial del derecho consagrado en el art. 27.9 CE; siendo esto así, resulta igualmente obvio que no existe un deber </w:t>
      </w:r>
      <w:r w:rsidRPr="00AC56D6">
        <w:rPr>
          <w:i/>
        </w:rPr>
        <w:t>ex constitutione</w:t>
      </w:r>
      <w:r>
        <w:t xml:space="preserve"> de regular tal materia mediante ley orgánica.</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26 de noviembre de 2015 se señaló para deliberación y votación de la presente Sentencia el día 30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Sección Tercera de la Sala de lo Contencioso-Administrativo del Tribunal Superior de Justicia de Andalucía, con sede en Sevilla, plantea cuestión de inconstitucionalidad sobre el art. 17.8 de la Ley 17/2012, de 27 de diciembre, de presupuestos generales del Estado para el año 2013 (en adelante, Ley 17/2012).</w:t>
      </w:r>
    </w:p>
    <w:p w:rsidR="00AC56D6" w:rsidRDefault="00AC56D6" w:rsidP="00AC56D6">
      <w:pPr>
        <w:pStyle w:val="TextoNormal"/>
      </w:pPr>
    </w:p>
    <w:p w:rsidR="00AC56D6" w:rsidRDefault="00AC56D6" w:rsidP="00AC56D6">
      <w:pPr>
        <w:pStyle w:val="TextoNormal"/>
      </w:pPr>
      <w:r>
        <w:t>El art. 17 de la citada Ley regula el módulo económico de distribución de fondos públicos para sostenimiento de centros concertados, en cumplimiento, conforme a su primer apartado, de lo dispuesto en el art. 117 de la Ley Orgánica 2/2006, de 3 de mayo, de educación (LOE). Este precepto determina que se fijará anualmente en los presupuestos generales del Estado el importe del módulo económico por unidad escolar, a efectos de distribución de la cuantía global de los fondos públicos destinados al sostenimiento de los centros privados concertados para hacer efectiva la gratuidad de las enseñanzas objeto de concierto. Asimismo, establece los diferentes conceptos que integran dicho módulo (salarios del personal docente, cantidades asignadas a otros gastos y cantidades para atender al pago de diferentes conceptos como los de antigüedad, sustituciones o ejercicio de la función directiva).</w:t>
      </w:r>
    </w:p>
    <w:p w:rsidR="00AC56D6" w:rsidRDefault="00AC56D6" w:rsidP="00AC56D6">
      <w:pPr>
        <w:pStyle w:val="TextoNormal"/>
      </w:pPr>
    </w:p>
    <w:p w:rsidR="00AC56D6" w:rsidRDefault="00AC56D6" w:rsidP="00AC56D6">
      <w:pPr>
        <w:pStyle w:val="TextoNormal"/>
      </w:pPr>
      <w:r>
        <w:t>El apartado 8 del art. 17 de la Ley 17/2012, objeto del presente proceso constitucional, determina lo siguiente:</w:t>
      </w:r>
    </w:p>
    <w:p w:rsidR="00AC56D6" w:rsidRDefault="00AC56D6" w:rsidP="00AC56D6">
      <w:pPr>
        <w:pStyle w:val="TextoNormal"/>
      </w:pPr>
    </w:p>
    <w:p w:rsidR="00AC56D6" w:rsidRDefault="00AC56D6" w:rsidP="00AC56D6">
      <w:pPr>
        <w:pStyle w:val="TextoNormal"/>
      </w:pPr>
      <w:r>
        <w:t>“Lo establecido en este artículo será plenamente aplicable a la financiación de todos los centros concertados incluidos los de educación diferenciada que escolarizan alumnos de un solo sexo, y ello, con independencia del modelo de agrupamiento de alumnos que realicen los centros docentes en el ejercicio de sus competencias.”</w:t>
      </w:r>
    </w:p>
    <w:p w:rsidR="00AC56D6" w:rsidRDefault="00AC56D6" w:rsidP="00AC56D6">
      <w:pPr>
        <w:pStyle w:val="TextoNormal"/>
      </w:pPr>
    </w:p>
    <w:p w:rsidR="00AC56D6" w:rsidRDefault="00AC56D6" w:rsidP="00AC56D6">
      <w:pPr>
        <w:pStyle w:val="TextoNormal"/>
      </w:pPr>
      <w:r>
        <w:t xml:space="preserve">En síntesis, entiende el órgano judicial que el art. 17.8 de la Ley 17/2012 podría vulnerar tanto el art. 81.1 CE, pues está reservado a ley orgánica regular aspectos esenciales de un </w:t>
      </w:r>
      <w:r>
        <w:lastRenderedPageBreak/>
        <w:t>derecho fundamental, como el art. 134.2 CE, por no poder considerarse dicho párrafo contenido necesario ni eventual de la Ley de presupuestos, conforme a la doctrina constitucional.</w:t>
      </w:r>
    </w:p>
    <w:p w:rsidR="00AC56D6" w:rsidRDefault="00AC56D6" w:rsidP="00AC56D6">
      <w:pPr>
        <w:pStyle w:val="TextoNormal"/>
      </w:pPr>
    </w:p>
    <w:p w:rsidR="00AC56D6" w:rsidRDefault="00AC56D6" w:rsidP="00AC56D6">
      <w:pPr>
        <w:pStyle w:val="TextoNormal"/>
      </w:pPr>
      <w:r>
        <w:t>Como se ha dejado constancia en los antecedentes, tanto el Abogado del Estado como el Fiscal General del Estado interesan la desestimación de la cuestión, por entender que no concurren las vulneraciones constitucionales apreciadas por el órgano judicial.</w:t>
      </w:r>
    </w:p>
    <w:p w:rsidR="00AC56D6" w:rsidRDefault="00AC56D6" w:rsidP="00AC56D6">
      <w:pPr>
        <w:pStyle w:val="TextoNormal"/>
      </w:pPr>
    </w:p>
    <w:p w:rsidR="00AC56D6" w:rsidRDefault="00AC56D6" w:rsidP="00AC56D6">
      <w:pPr>
        <w:pStyle w:val="TextoNormal"/>
      </w:pPr>
      <w:r w:rsidRPr="00AC56D6">
        <w:rPr>
          <w:rStyle w:val="NumeroAFNegritaCaracter"/>
        </w:rPr>
        <w:t>2</w:t>
      </w:r>
      <w:r>
        <w:t>. En nuestra reciente STC 234/2015, de 5 de noviembre, hemos resuelto inadmitir una cuestión de inconstitucionalidad (núm. 6518-2014) idéntica a la presente, planteada por el mismo órgano judicial, por inadecuada formulación del juicio de relevancia (art. 35.1 de la Ley Orgánica del Tribunal Constitucional: LOTC). En consecuencia, por remisión a lo entonces razonado, la presente cuestión ha de correr igual suerte.</w:t>
      </w:r>
    </w:p>
    <w:p w:rsidR="00AC56D6" w:rsidRDefault="00AC56D6" w:rsidP="00AC56D6">
      <w:pPr>
        <w:pStyle w:val="TextoNormal"/>
      </w:pPr>
    </w:p>
    <w:p w:rsidR="00AC56D6" w:rsidRDefault="00AC56D6" w:rsidP="00AC56D6">
      <w:pPr>
        <w:pStyle w:val="TextoNormal"/>
      </w:pPr>
      <w:r>
        <w:t xml:space="preserve">En efecto, en la citada STC 234/2015, FJ 2, apreciamos que en la explicación de la dependencia del fallo del proceso </w:t>
      </w:r>
      <w:r w:rsidRPr="00AC56D6">
        <w:rPr>
          <w:i/>
        </w:rPr>
        <w:t>a quo</w:t>
      </w:r>
      <w:r>
        <w:t xml:space="preserve"> de la validez constitucional de la norma cuestionada que realiza el órgano judicial “no ha tenido en cuenta lo dispuesto en la disposición transitoria segunda de la Ley Orgánica 8/2013, de 9 de diciembre, para la mejora de la calidad educativa (LOMCE), en relación con la aplicación temporal de la redacción dada al art. 84.3 de la Ley Orgánica 2/2006, de 3 de mayo, de Educación (LOE), por el art. Único.71 LOMCE. Conforme a esta disposición transitoria ‘Los centros privados a los que en 2013 se les haya denegado la renovación del concierto educativo o reducido las unidades escolares concertadas por el único motivo de ofrecer educación diferenciada por sexos podrán solicitar que se les aplique lo indicado en el artículo 84.3 de esta Ley Orgánica para el resto del actual período de conciertos en el plazo de dos meses desde su entrada en vigor’. En relación con ello la nueva redacción del art. 84.3 LOE señala expresamente que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w:t>
      </w:r>
    </w:p>
    <w:p w:rsidR="00AC56D6" w:rsidRDefault="00AC56D6" w:rsidP="00AC56D6">
      <w:pPr>
        <w:pStyle w:val="TextoNormal"/>
      </w:pPr>
    </w:p>
    <w:p w:rsidR="00AC56D6" w:rsidRDefault="00AC56D6" w:rsidP="00AC56D6">
      <w:pPr>
        <w:pStyle w:val="TextoNormal"/>
      </w:pPr>
      <w:r>
        <w:t>Dado el tenor de tales preceptos, es claro que pudieran resultar directamente aplicables a un supuesto de hecho como el considerado en el caso a quo, cuyo objeto es una Orden autonómica de 27 de febrero de 2013, por la que se deniega la solicitud de renovación del concierto educativo con un centro docente privado, a partir del curso académico 2013-2014, precisamente por no cumplir con lo establecido en la redacción anterior del art. 84.3 LOE, en lo que se refiere a la no discriminación por razón de sexo al no comprometerse a escolarizar alumnado de ambos sexos. Pese a que la Ley Orgánica para la mejora de la calidad educativa entró en vigor a los veinte días de su publicación en el ‘Boletín Oficial del Estado’, que tuvo lugar el 10 de diciembre de 2013 y, por tanto, ya estaba vigente el 14 de octubre de 2014, momento en el que se acuerda plantear la cuestión dictando el correspondiente Auto, el órgano judicial no hace referencia alguna a este precepto en su argumentación, ni tampoco a las razones por las que, en su defecto, entiende que no es de aplicación al caso que ha de resolver.”</w:t>
      </w:r>
    </w:p>
    <w:p w:rsidR="00AC56D6" w:rsidRDefault="00AC56D6" w:rsidP="00AC56D6">
      <w:pPr>
        <w:pStyle w:val="TextoNormal"/>
      </w:pPr>
    </w:p>
    <w:p w:rsidR="00AC56D6" w:rsidRDefault="00AC56D6" w:rsidP="00AC56D6">
      <w:pPr>
        <w:pStyle w:val="TextoNormal"/>
      </w:pPr>
      <w:r>
        <w:lastRenderedPageBreak/>
        <w:t xml:space="preserve">Se entendió que “dicha omisión condiciona ineludiblemente la valoración acerca de la adecuada formulación de los juicios de aplicabilidad y relevancia exigidos para el planteamiento de la cuestión de inconstitucionalidad por el art. 35 LOTC”. Ello porque “en el supuesto que consideramos, teniendo presente lo dispuesto por la Ley Orgánica para la mejora de la calidad educativa y el silencio del órgano judicial al respecto, no puede asegurarse, en este momento, que el pronunciamiento de este Tribunal acerca del art. 17.8 de la Ley 17/2012, de 27 de diciembre, objeto de la presente cuestión, fuera necesario e imprescindible para resolver el caso sometido a la consideración de la Sala cuestionante, de manera que el juicio de constitucionalidad que se nos solicita sobre el precepto podría quedar desconectado de su aplicación al proceso </w:t>
      </w:r>
      <w:r w:rsidRPr="00AC56D6">
        <w:rPr>
          <w:i/>
        </w:rPr>
        <w:t>a quo</w:t>
      </w:r>
      <w:r>
        <w:t xml:space="preserve">. Es decir, se correría el riesgo de que el juicio a la ley se desarrollara ante este Tribunal sin necesidad ni pertinencia alguna, pues, realizado el enjuiciamiento y pronunciado el fallo que correspondiere, el proceso </w:t>
      </w:r>
      <w:r w:rsidRPr="00AC56D6">
        <w:rPr>
          <w:i/>
        </w:rPr>
        <w:t>a quo</w:t>
      </w:r>
      <w:r>
        <w:t xml:space="preserve"> podría concluir sin aplicar el precepto cuestionado y en atención a razones jurídicas ajenas a su conformidad o no a la Constitución. Ese sería el caso si el órgano judicial optase, una vez resuelta la cuestión, por aplicar la disposición transitoria segunda LOMCE”.</w:t>
      </w:r>
    </w:p>
    <w:p w:rsidR="00AC56D6" w:rsidRDefault="00AC56D6" w:rsidP="00AC56D6">
      <w:pPr>
        <w:pStyle w:val="TextoNormal"/>
      </w:pPr>
    </w:p>
    <w:p w:rsidR="00AC56D6" w:rsidRDefault="00AC56D6" w:rsidP="00AC56D6">
      <w:pPr>
        <w:pStyle w:val="TextoNormal"/>
      </w:pPr>
      <w:r>
        <w:t>En definitiva —concluimos en la STC 234/2015, FJ 2— “es indiscutible que el precepto cuestionado es aplicable para la resolución del pleito sometido a la consideración del órgano judicial, pero podría no ser el único relevante a la vista de lo regulado por la disposición transitoria segunda LOMCE en relación con el art. 84.3 LOE, reflexión que no aparece en el Auto de planteamiento, que guarda silencio respecto a la relación entre esta norma y la que ha cuestionado.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00AC56D6" w:rsidRDefault="00AC56D6" w:rsidP="00AC56D6">
      <w:pPr>
        <w:pStyle w:val="TextoNormal"/>
      </w:pPr>
    </w:p>
    <w:p w:rsidR="00AC56D6" w:rsidRDefault="00AC56D6" w:rsidP="00AC56D6">
      <w:pPr>
        <w:pStyle w:val="TextoNormal"/>
      </w:pPr>
      <w:r>
        <w:t>En consecuencia, por las mismas razones expresadas en la STC 234/2015, FJ 2, procede acordar también la inadmisión de la presente cuestión de inconstitucionalidad.</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Inadmitir la presente cuestión de inconstitucionalidad.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treinta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04" w:name="SENTENCIA_2015_248"/>
      <w:r>
        <w:lastRenderedPageBreak/>
        <w:t>SENTENCIA 248/2015, de 30 de noviembre de 2015</w:t>
      </w:r>
    </w:p>
    <w:bookmarkEnd w:id="104"/>
    <w:p w:rsidR="00AC56D6" w:rsidRDefault="00AC56D6" w:rsidP="00AC56D6">
      <w:pPr>
        <w:pStyle w:val="TtuloResolucin"/>
      </w:pPr>
      <w:r>
        <w:t>Sala Segunda</w:t>
      </w:r>
    </w:p>
    <w:p w:rsidR="00AC56D6" w:rsidRDefault="00AC56D6" w:rsidP="00AC56D6">
      <w:pPr>
        <w:pStyle w:val="TtuloBOE"/>
      </w:pPr>
      <w:r>
        <w:t>(BOE núm. 10, de 12 de enero de 2016)</w:t>
      </w:r>
    </w:p>
    <w:p w:rsidR="00AC56D6" w:rsidRDefault="00AC56D6" w:rsidP="00AC56D6">
      <w:pPr>
        <w:pStyle w:val="TextoNormalCentrado"/>
      </w:pPr>
      <w:r>
        <w:t>ECLI:ES:TC:2015:248</w:t>
      </w:r>
    </w:p>
    <w:p w:rsidR="00AC56D6" w:rsidRDefault="00AC56D6" w:rsidP="00AC56D6">
      <w:pPr>
        <w:pStyle w:val="TextoNormalCentrado"/>
      </w:pPr>
    </w:p>
    <w:p w:rsidR="00AC56D6" w:rsidRDefault="00AC56D6" w:rsidP="00AC56D6">
      <w:pPr>
        <w:pStyle w:val="SntesisDescriptiva"/>
      </w:pPr>
      <w:r>
        <w:t>Cuestión de inconstitucionalidad 6626-2014. Cuestión de inconstitucionalidad 6626-2014. Planteada por la Sala de lo Contencioso-Administrativo del Tribunal Superior de Justicia de Andalucía, con sede en Sevilla, en relación con el artículo 17.8 de la Ley 17/2012, de 27 de diciembre, de presupuestos generales del Estado para el año 2013.</w:t>
      </w:r>
    </w:p>
    <w:p w:rsidR="00AC56D6" w:rsidRDefault="00AC56D6" w:rsidP="00AC56D6">
      <w:pPr>
        <w:pStyle w:val="SntesisDescriptiva"/>
      </w:pPr>
    </w:p>
    <w:p w:rsidR="00AC56D6" w:rsidRDefault="00AC56D6" w:rsidP="00AC56D6">
      <w:pPr>
        <w:pStyle w:val="SntesisAnaltica"/>
      </w:pPr>
      <w:r>
        <w:t>Límites materiales de las leyes de presupuestos, reserva de ley orgánica: STC 234/2015 (inadmisión de la cuestión de inconstitucionalidad por inadecuada formulación del juicio de relevancia).</w:t>
      </w:r>
    </w:p>
    <w:p w:rsidR="00AC56D6" w:rsidRDefault="00AC56D6" w:rsidP="00AC56D6">
      <w:pPr>
        <w:pStyle w:val="SntesisAnaltica"/>
      </w:pPr>
    </w:p>
    <w:p w:rsidR="00AC56D6" w:rsidRDefault="00AC56D6" w:rsidP="00AC56D6">
      <w:pPr>
        <w:pStyle w:val="Extracto"/>
      </w:pPr>
      <w:r>
        <w:t>1.</w:t>
      </w:r>
      <w:r>
        <w:tab/>
        <w:t>Asunto sustancialmente idéntico al planteado en la STC 234/2015, que aplica la doctrina constitucional sobre la inadecuada formulación del juicio de relevancia [FJ 2].</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6626-2014 promovida por la Sección Tercera de la Sala de lo Contencioso-Administrativo del Tribunal Superior de Justicia de Andalucía, con sede en Sevilla, en relación con el art. 17.8 de la Ley 17/2012, de 27 de diciembre, de Presupuestos Generales del Estado para el año 2013. Ha comparecido y formulado alegaciones el Abogado del Estado. Ha intervenido la Fiscal General del Estado. Ha sido Ponente el Magistrado don Juan José González Rivas,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El día 4 de noviembre de 2014 tuvo entrada en el Registro General de este Tribunal escrito de la Sección Tercera de la Sala de lo Contencioso-Administrativo del Tribunal Superior de Justicia de Andalucía, con sede en Sevilla, al que se acompaña, junto con el testimonio del procedimiento correspondiente, el Auto de 14 de octubre de 2014, en el que se acuerda plantear cuestión de inconstitucionalidad sobre el art. 17.8 de la Ley 17/2012, de </w:t>
      </w:r>
      <w:r>
        <w:lastRenderedPageBreak/>
        <w:t>27 de diciembre, de presupuestos generales del Estado para el año 2013, por posible vulneración de los arts. 81.1 y 134.2 CE. El precepto cuestionado establece lo siguiente:</w:t>
      </w:r>
    </w:p>
    <w:p w:rsidR="00AC56D6" w:rsidRDefault="00AC56D6" w:rsidP="00AC56D6">
      <w:pPr>
        <w:pStyle w:val="TextoNormal"/>
      </w:pPr>
    </w:p>
    <w:p w:rsidR="00AC56D6" w:rsidRDefault="00AC56D6" w:rsidP="00AC56D6">
      <w:pPr>
        <w:pStyle w:val="TextoNormal"/>
      </w:pPr>
      <w:r>
        <w:t>“Lo establecido en este artículo será plenamente aplicable a la financiación de todos los centros concertados incluidos los de educación diferenciada que escolarizan alumnos de un solo sexo, y ello, con independencia del modelo de agrupamiento de alumnos que realicen los centros docentes en el ejercicio de sus competencias.”</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son, sucintamente expuestos, los siguientes:</w:t>
      </w:r>
    </w:p>
    <w:p w:rsidR="00AC56D6" w:rsidRDefault="00AC56D6" w:rsidP="00AC56D6">
      <w:pPr>
        <w:pStyle w:val="TextoNormal"/>
      </w:pPr>
    </w:p>
    <w:p w:rsidR="00AC56D6" w:rsidRDefault="00AC56D6" w:rsidP="00AC56D6">
      <w:pPr>
        <w:pStyle w:val="TextoNormal"/>
      </w:pPr>
      <w:r>
        <w:t>a) La Federación de Escuelas Agrarias de Andalucía, titular de un centro docente privado, interpuso recurso contencioso-administrativo contra la Orden de 27 de febrero de 2013, de la Consejería de Educación de la Junta de Andalucía, por la que se resuelve la solicitud de renovación del concierto educativo con el centro docente privado “Molino Azul”, de Lora del Río (Sevilla), a partir del curso académico 2013-2014. Dicha orden denegaba el concierto educativo para el centro de su titularidad, por no cumplir con lo establecido en el art. 84.3 de la Ley Orgánica 2/2006, de 3 de mayo, de educación (LOE), en lo que se refiere a la no discriminación por razón de sexo, al no comprometerse a escolarizar alumnado de ambos sexos.</w:t>
      </w:r>
    </w:p>
    <w:p w:rsidR="00AC56D6" w:rsidRDefault="00AC56D6" w:rsidP="00AC56D6">
      <w:pPr>
        <w:pStyle w:val="TextoNormal"/>
      </w:pPr>
    </w:p>
    <w:p w:rsidR="00AC56D6" w:rsidRDefault="00AC56D6" w:rsidP="00AC56D6">
      <w:pPr>
        <w:pStyle w:val="TextoNormal"/>
      </w:pPr>
      <w:r>
        <w:t>b) La citada resolución fue recurrida en vía contencioso-administrativa ante la Sala antes citada del Tribunal Superior de Justicia, por cuanto se entendía, entre otros motivos de ilegalidad e inconstitucionalidad, que la Administración había incumplido el mandato establecido en el art. 17.8 de la Ley 17/2012, de 27 de diciembre, que había entrado en vigor el 1 de enero de 2013, poco antes de la solicitud de renovación del concierto educativo que disfrutaba la Federación de Escuelas Agrarias de Andalucía. El Letrado de la Junta de Andalucía, en la contestación a la demanda, alegaba entre otros aspectos la inconstitucionalidad del citado art. 17.8 por vulneración de la reserva de ley orgánica del art. 81 CE y por exceder del contenido admisible para una ley de presupuestos con vulneración, además, del principio de igualdad de los arts. 9.3 y 14 CE, solicitando el planteamiento de la cuestión de inconstitucionalidad.</w:t>
      </w:r>
    </w:p>
    <w:p w:rsidR="00AC56D6" w:rsidRDefault="00AC56D6" w:rsidP="00AC56D6">
      <w:pPr>
        <w:pStyle w:val="TextoNormal"/>
      </w:pPr>
    </w:p>
    <w:p w:rsidR="00AC56D6" w:rsidRDefault="00AC56D6" w:rsidP="00AC56D6">
      <w:pPr>
        <w:pStyle w:val="TextoNormal"/>
      </w:pPr>
      <w:r>
        <w:t>c) Tras el trámite de conclusiones y dentro del plazo para dictar Sentencia, se dictó providencia de 25 de junio de 2014 dando plazo común para alegaciones a las partes y al Ministerio Fiscal sobre la pertinencia de plantear cuestión de inconstitucionalidad ante este Tribunal, por considerar la Sala que el art. 17.8 de la Ley 17/2012, de 27 de diciembre, de cuya validez depende el fallo, podría ser contrario a la Constitución.</w:t>
      </w:r>
    </w:p>
    <w:p w:rsidR="00AC56D6" w:rsidRDefault="00AC56D6" w:rsidP="00AC56D6">
      <w:pPr>
        <w:pStyle w:val="TextoNormal"/>
      </w:pPr>
    </w:p>
    <w:p w:rsidR="00AC56D6" w:rsidRDefault="00AC56D6" w:rsidP="00AC56D6">
      <w:pPr>
        <w:pStyle w:val="TextoNormal"/>
      </w:pPr>
      <w:r>
        <w:t>d) Habiendo alegado el Ministerio Fiscal que la providencia citada no cumplía las exigencias del art. 35.2 LOTC por no mencionar la norma constitucional cuya vulneración se cuestionaba, y no justificar en qué medida la decisión del proceso dependía de su validez, se dictó nueva providencia de 31 de julio de 2014, dando nuevo plazo de alegaciones sobre la inconstitucionalidad en que podría incurrir el art. 17.8 de la Ley 17/2012, de 27 de diciembre, de cuya validez depende el fallo, por vulneración de los arts. 81.1 y 134.2 CE. Considera la nueva providencia que, tras el dictado del precepto mencionado de la ley de presupuestos, la Administración no puede seguir aplicando la doctrina jurisprudencial for</w:t>
      </w:r>
      <w:r>
        <w:lastRenderedPageBreak/>
        <w:t>mulada en interpretación del art. 83.4 de la Ley Orgánica de educación. Sin embargo, entiende que este precepto invade, por un lado, la reserva material de ley orgánica establecida en la Constitución para la regulación del derecho a la educación y excede, por otro, del contenido constitucionalmente admisible de las leyes de presupuestos.</w:t>
      </w:r>
    </w:p>
    <w:p w:rsidR="00AC56D6" w:rsidRDefault="00AC56D6" w:rsidP="00AC56D6">
      <w:pPr>
        <w:pStyle w:val="TextoNormal"/>
      </w:pPr>
    </w:p>
    <w:p w:rsidR="00AC56D6" w:rsidRDefault="00AC56D6" w:rsidP="00AC56D6">
      <w:pPr>
        <w:pStyle w:val="TextoNormal"/>
      </w:pPr>
      <w:r>
        <w:t>e) Mediante escrito de 17 de septiembre de 2014, sin pronunciarse sobre el fondo de la cuestión planteada y teniendo en cuenta los aspectos formales, el Ministerio Fiscal expresó la procedencia de interponer la cuestión. La parte, mediante escrito de 15 de septiembre de 2014, solicitó a la Sala que adoptase la decisión que en derecho proceda. Por su parte, el Letrado de la Junta de Andalucía mediante escrito de 30 de septiembre de 2014, consideró que procedía el planteamiento de la cuestión de inconstitucionalidad por entender que el art. 17.8 de la Ley 17/2012, de 27 de diciembre, infringe el art. 81.1 CE, los arts. 9.2 y 14 CE, y los arts. 9.3, 14, 66.2 y 134 CE.</w:t>
      </w:r>
    </w:p>
    <w:p w:rsidR="00AC56D6" w:rsidRDefault="00AC56D6" w:rsidP="00AC56D6">
      <w:pPr>
        <w:pStyle w:val="TextoNormal"/>
      </w:pPr>
    </w:p>
    <w:p w:rsidR="00AC56D6" w:rsidRDefault="00AC56D6" w:rsidP="00AC56D6">
      <w:pPr>
        <w:pStyle w:val="TextoNormal"/>
      </w:pPr>
      <w:r>
        <w:t>f) El órgano judicial dictó Auto de 14 de octubre de 2014, en el que acuerda plantear cuestión de inconstitucionalidad respecto al art. 17.8 de la Ley 17/2012, de 27 de diciembre, de presupuestos generales del Estado para el año 2013, por posible vulneración de los arts. 81.1 y 134.2 CE.</w:t>
      </w:r>
    </w:p>
    <w:p w:rsidR="00AC56D6" w:rsidRDefault="00AC56D6" w:rsidP="00AC56D6">
      <w:pPr>
        <w:pStyle w:val="TextoNormal"/>
      </w:pPr>
    </w:p>
    <w:p w:rsidR="00AC56D6" w:rsidRDefault="00AC56D6" w:rsidP="00AC56D6">
      <w:pPr>
        <w:pStyle w:val="TextoNormal"/>
      </w:pPr>
      <w:r w:rsidRPr="00AC56D6">
        <w:rPr>
          <w:rStyle w:val="NumeroAFNegritaCaracter"/>
        </w:rPr>
        <w:t>3</w:t>
      </w:r>
      <w:r>
        <w:t>. Del contenido del Auto interesa destacar lo siguiente:</w:t>
      </w:r>
    </w:p>
    <w:p w:rsidR="00AC56D6" w:rsidRDefault="00AC56D6" w:rsidP="00AC56D6">
      <w:pPr>
        <w:pStyle w:val="TextoNormal"/>
      </w:pPr>
    </w:p>
    <w:p w:rsidR="00AC56D6" w:rsidRDefault="00AC56D6" w:rsidP="00AC56D6">
      <w:pPr>
        <w:pStyle w:val="TextoNormal"/>
      </w:pPr>
      <w:r>
        <w:t>El órgano judicial razona que tras la entrada en vigor de la Ley Orgánica de educación resultaba conforme a Derecho, de acuerdo con la jurisprudencia del Tribunal Supremo, que la Administración rechazase celebrar conciertos educativos con centros docentes privados donde no se escolarizan alumnos de ambos sexos, puesto que el art. 84.3 LOE prohíbe en los procesos de admisión de centros públicos y privados concertados toda discriminación por razón de sexo. El estado de la cuestión, prosigue, ha cambiado con la Ley 17/2012, cuyo art. 17 relativo al “módulo económico de distribución de fondos públicos para sostenimiento de centros concertados” estableció, en su apartado ocho, que dicha norma es plenamente aplicable a la financiación de centros concertados, incluidos los de educación diferenciada que escolarizan alumnos de un solo sexo y ello con independencia del modelo de agrupamiento de alumnos que realicen los centros docentes en el ejercicio de sus competencias. De esta manera, si de acuerdo con la Ley Orgánica de educación los centros con educación diferenciada no podían acogerse a la financiación pública, tras la ley de presupuestos la regla es la contraria. Este precepto habría sido vulnerado por la resolución impugnada en el pleito principal, de modo que en su aplicación habría que dar razón a la recurrente en el pleito. No obstante, expresa dos dudas sobre su constitucionalidad:</w:t>
      </w:r>
    </w:p>
    <w:p w:rsidR="00AC56D6" w:rsidRDefault="00AC56D6" w:rsidP="00AC56D6">
      <w:pPr>
        <w:pStyle w:val="TextoNormal"/>
      </w:pPr>
    </w:p>
    <w:p w:rsidR="00AC56D6" w:rsidRDefault="00AC56D6" w:rsidP="00AC56D6">
      <w:pPr>
        <w:pStyle w:val="TextoNormal"/>
      </w:pPr>
      <w:r>
        <w:t xml:space="preserve">a) Relativa a la reserva a ley orgánica de la regulación de los aspectos esenciales de un derecho fundamental. Entiende el órgano judicial que el sistema de la educación diferenciada no se había puesto en duda hasta la aprobación de la Ley Orgánica de educación en 2006, cuyo art. 84.3 prohíbe expresamente en el régimen de admisión de alumnos la discriminación por razón de sexo. Dicho precepto, conforme a la interpretación realizada por el Tribunal Supremo comporta que la educación separada por sexos dejó de estar autorizada para los centros docentes sostenidos con fondos públicos. Asimismo pone de relieve que con posterioridad se ha reformado la Ley Orgánica de educación, dando al art. 84.3 la siguiente redacción: “No constituye discriminación la admisión de alumnos y alumnas o la </w:t>
      </w:r>
      <w:r>
        <w:lastRenderedPageBreak/>
        <w:t>organización de la enseñanza diferenciadas por sexos, siempre que la enseñanza que impartan se desarrolle conforme a lo dispuesto en el artículo 2 de la Convención relativa a la lucha contra las discriminaciones en la esfera de la enseñanza, aprobada por la Conferencia General de la UNESCO el 14 de diciembre de 1960”.</w:t>
      </w:r>
    </w:p>
    <w:p w:rsidR="00AC56D6" w:rsidRDefault="00AC56D6" w:rsidP="00AC56D6">
      <w:pPr>
        <w:pStyle w:val="TextoNormal"/>
      </w:pPr>
    </w:p>
    <w:p w:rsidR="00AC56D6" w:rsidRDefault="00AC56D6" w:rsidP="00AC56D6">
      <w:pPr>
        <w:pStyle w:val="TextoNormal"/>
      </w:pPr>
      <w:r>
        <w:t>b) Relativa a los límites constitucionales de la ley de presupuestos. La doctrina constitucional (STC 76/1992, de 16 de junio), establece los límites de las leyes de presupuestos, distinguiendo entre (i) el contenido mínimo, necesario e indisponible y (ii) el contenido posible, no necesario y eventual, para el que se requiere la relación directa con los gastos e ingresos que integran el presupuesto o con los criterios de política económica de la que el presupuesto es instrumento. El precepto impugnado podría no cumplir los límites establecidos, por no estar justificada su inclusión en la ley de presupuestos como contenido posible de la misma. Aunque pueda tener una relación directa con los ingresos o gastos del Estado, es dudoso que sea complemento necesario para la mejor inteligencia del presupuesto o para su eficaz y mejor ejecución.</w:t>
      </w:r>
    </w:p>
    <w:p w:rsidR="00AC56D6" w:rsidRDefault="00AC56D6" w:rsidP="00AC56D6">
      <w:pPr>
        <w:pStyle w:val="TextoNormal"/>
      </w:pPr>
    </w:p>
    <w:p w:rsidR="00AC56D6" w:rsidRDefault="00AC56D6" w:rsidP="00AC56D6">
      <w:pPr>
        <w:pStyle w:val="TextoNormal"/>
      </w:pPr>
      <w:r w:rsidRPr="00AC56D6">
        <w:rPr>
          <w:rStyle w:val="NumeroAFNegritaCaracter"/>
        </w:rPr>
        <w:t>4</w:t>
      </w:r>
      <w:r>
        <w:t>. Mediante providencia de 20 de enero de 2015, el Pleno, a propuesta de la Sección Tercera, acuerda admitir a trámite la presente cuestión de inconstitucionalidad; deferir a la Sala Segunda, que por turno objetivo le corresponde, el conocimiento de la misma; dar traslado de las actuaciones recibidas, conforme establece el art. 37.3 de la Ley Orgánica del Tribunal Constitucional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la presente resolución a la Sección Tercera de la Sala de lo Contencioso-Administrativo del Tribunal Superior de Andalucía, con sede en Sevilla, a fin de que, de conformidad con lo dispuesto en el art. 35.3 LOTC, permanezca suspendido el proceso hasta que este Tribunal resuelva definitivamente la presente cuestión. Finalmente se ordenó publicar la incoación de la cuestión en el “Boletín Oficial del Estado”, que se produjo en el Boletín del 24 de enero de 2015.</w:t>
      </w:r>
    </w:p>
    <w:p w:rsidR="00AC56D6" w:rsidRDefault="00AC56D6" w:rsidP="00AC56D6">
      <w:pPr>
        <w:pStyle w:val="TextoNormal"/>
      </w:pPr>
    </w:p>
    <w:p w:rsidR="00AC56D6" w:rsidRDefault="00AC56D6" w:rsidP="00AC56D6">
      <w:pPr>
        <w:pStyle w:val="TextoNormal"/>
      </w:pPr>
      <w:r w:rsidRPr="00AC56D6">
        <w:rPr>
          <w:rStyle w:val="NumeroAFNegritaCaracter"/>
        </w:rPr>
        <w:t>5</w:t>
      </w:r>
      <w:r>
        <w:t>. El Presidente del Congreso de los Diputados, en escrito registrado en fecha 28 de enero de 2015, comunicó a este Tribunal que la Mesa de la Cámara adoptó el acuerdo de personarse en el proceso, ofreciendo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6</w:t>
      </w:r>
      <w:r>
        <w:t>. El Presidente del Senado mediante escrito registrado en este Tribunal el día 4 de febrero de 2015 comunicó a este Tribunal que la Mesa de la Cámara adoptó el acuerdo de personarse en el proceso, ofreciendo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7</w:t>
      </w:r>
      <w:r>
        <w:t>. El 10 de febrero de 2015 se personó en el proceso el Abogado del Estado, en nombre del Gobierno, e interesó la desestimación de la cuestión por las razones que a continuación se resumen.</w:t>
      </w:r>
    </w:p>
    <w:p w:rsidR="00AC56D6" w:rsidRDefault="00AC56D6" w:rsidP="00AC56D6">
      <w:pPr>
        <w:pStyle w:val="TextoNormal"/>
      </w:pPr>
    </w:p>
    <w:p w:rsidR="00AC56D6" w:rsidRDefault="00AC56D6" w:rsidP="00AC56D6">
      <w:pPr>
        <w:pStyle w:val="TextoNormal"/>
      </w:pPr>
      <w:r>
        <w:t>Tras exponer los antecedentes del caso precisa que, a su juicio, la duda de constitucionalidad planteada se limita a la posible vulneración de los arts. 81.1 y 134.2 CE, y no otros como el art. 14 o el 9.3 CE, alegados por una de las partes en el proceso judicial. A conti</w:t>
      </w:r>
      <w:r>
        <w:lastRenderedPageBreak/>
        <w:t>nuación, expone el sistema de conciertos educativos previsto en la Ley Orgánica de educación, señalando que dicha norma no establece prohibición expresa alguna de financiación pública de centros privados que practiquen la educación diferenciada.</w:t>
      </w:r>
    </w:p>
    <w:p w:rsidR="00AC56D6" w:rsidRDefault="00AC56D6" w:rsidP="00AC56D6">
      <w:pPr>
        <w:pStyle w:val="TextoNormal"/>
      </w:pPr>
    </w:p>
    <w:p w:rsidR="00AC56D6" w:rsidRDefault="00AC56D6" w:rsidP="00AC56D6">
      <w:pPr>
        <w:pStyle w:val="TextoNormal"/>
      </w:pPr>
      <w:r>
        <w:t>El Abogado del Estado comienza advirtiendo que el Auto de planteamiento de la cuestión no desarrolla sino de manera mínima la posible vulneración del art. 81.1 CE, y afirma que a su juicio no puede sostenerse que el art. 17.8 de la Ley 17/2012 suponga una innovación normativa que incida en el núcleo esencial del derecho fundamental a la educación, conforme a la doctrina constitucional.</w:t>
      </w:r>
    </w:p>
    <w:p w:rsidR="00AC56D6" w:rsidRDefault="00AC56D6" w:rsidP="00AC56D6">
      <w:pPr>
        <w:pStyle w:val="TextoNormal"/>
      </w:pPr>
    </w:p>
    <w:p w:rsidR="00AC56D6" w:rsidRDefault="00AC56D6" w:rsidP="00AC56D6">
      <w:pPr>
        <w:pStyle w:val="TextoNormal"/>
      </w:pPr>
      <w:r>
        <w:t xml:space="preserve">En su opinión, el art. 17 de la Ley 17/2012 lo que hace es concretar, para el ejercicio 2013, las previsiones de los arts. 116 y siguientes Ley Orgánica de educación. Estos preceptos no tienen carácter orgánico, por lo que menos pueden tenerlo las previsiones dictadas en su desarrollo que, además, tienen un carácter temporal limitado a un ejercicio presupuestario. El art. 17.8 cuestionado establece una concreción del ámbito subjetivo de los conciertos que es necesaria para la aplicación de las previsiones presupuestarias. Si bien admite que es cierto que la ley se dicta en un momento en que la jurisprudencia del Tribunal Supremo entendió que los centros de educación diferenciada contrarían el principio de igualdad en su vertiente relativa a la no discriminación por razón de sexo, </w:t>
      </w:r>
      <w:r w:rsidRPr="00AC56D6">
        <w:rPr>
          <w:i/>
        </w:rPr>
        <w:t>ex</w:t>
      </w:r>
      <w:r>
        <w:t xml:space="preserve"> artículo 84.3 LOE y no podían ser beneficiarios de conciertos educativos, insiste en que la Ley Orgánica de educación no contenía una previsión expresa al respecto. A su parecer, el art. 17.8 no introduce una previsión sustantiva contraria o diferente al art. 84.3 LOE, aunque lo interprete de una manera diferente al Tribunal Supremo. Esta diferente interpretación, al entender incluidos dentro del ámbito subjetivo de los centros docentes susceptibles de ser concertados a los de educación diferenciada, no invade el ámbito reservado a la ley orgánica, en cuanto no supone el desarrollo del núcleo esencial del derecho a la educación. Es cierto que la modificación de la Ley Orgánica de educación por la Ley Orgánica 8/2013, de 9 de diciembre, introdujo la afirmación explícita de que el modelo de enseñanza diferenciada para alumnos y alumnas no constituye una discriminación por razón de sexo, de manera que los centros de educación diferenciada tienen derecho, si cumplen con las condiciones legales exigibles, al concierto educativo para su financiación. Pero esta formulación legal en realidad sólo pretende aclarar o interpretar las previsiones de la redacción anterior del art. 84.3 LOE. Por tanto, se concluye que la previsión del art. 17.8 de la Ley 17/2012 no afecta a la reserva de ley orgánica por lo que este motivo de inconstitucionalidad debe ser rechazado.</w:t>
      </w:r>
    </w:p>
    <w:p w:rsidR="00AC56D6" w:rsidRDefault="00AC56D6" w:rsidP="00AC56D6">
      <w:pPr>
        <w:pStyle w:val="TextoNormal"/>
      </w:pPr>
    </w:p>
    <w:p w:rsidR="00AC56D6" w:rsidRDefault="00AC56D6" w:rsidP="00AC56D6">
      <w:pPr>
        <w:pStyle w:val="TextoNormal"/>
      </w:pPr>
      <w:r>
        <w:t xml:space="preserve">En segundo lugar, el Abogado del Estado rechaza, asimismo, que el artículo cuestionado vulnere el art. 134.2 CE, atendiendo a la doctrina constitucional sobre el contenido de la ley de presupuestos. Partiendo de esta doctrina, recapitulada en nuestra STC 152/2014, de 25 de septiembre, entiende que el art. 17.8 forma parte del denominado “contenido eventual” de la ley de presupuestos, puesto que no constituye una modificación sustantiva del ordenamiento jurídico, tiene un carácter limitado en el ámbito temporal, y tiene una conexión económica o presupuestaria evidente que se fundamenta en la remisión que el art. 117 LOE realiza a las leyes de presupuestos generales del Estado. La concreción del ámbito subjetivo de los centros beneficiarios de conciertos educativos es un elemento esencial para poder prever las habilitaciones presupuestarias necesarias. La incidencia en la ordenación del programa anual de gastos es necesaria y principal, y por ello suficiente para legitimar su inclusión en la ley de presupuestos. Se trata de una conexión con el objeto del presupuesto (habilitación de gastos) que es directa, inmediata y querida por la norma. La inclusión de los </w:t>
      </w:r>
      <w:r>
        <w:lastRenderedPageBreak/>
        <w:t>centros concertados en los módulos de concierto tiene relación con los estados de gasto de los presupuestos generales del Estado al tratar sobre la financiación de centros docentes concertados con cargo a los presupuestos de las administraciones públicas.</w:t>
      </w:r>
    </w:p>
    <w:p w:rsidR="00AC56D6" w:rsidRDefault="00AC56D6" w:rsidP="00AC56D6">
      <w:pPr>
        <w:pStyle w:val="TextoNormal"/>
      </w:pPr>
    </w:p>
    <w:p w:rsidR="00AC56D6" w:rsidRDefault="00AC56D6" w:rsidP="00AC56D6">
      <w:pPr>
        <w:pStyle w:val="TextoNormal"/>
      </w:pPr>
      <w:r w:rsidRPr="00AC56D6">
        <w:rPr>
          <w:rStyle w:val="NumeroAFNegritaCaracter"/>
        </w:rPr>
        <w:t>8</w:t>
      </w:r>
      <w:r>
        <w:t>. El 13 de marzo de 2015 se registró en este Tribunal el escrito de alegaciones de la Fiscal General del Estado, interesando la desestimación de la cuestión por las razones que se resumen a continuación.</w:t>
      </w:r>
    </w:p>
    <w:p w:rsidR="00AC56D6" w:rsidRDefault="00AC56D6" w:rsidP="00AC56D6">
      <w:pPr>
        <w:pStyle w:val="TextoNormal"/>
      </w:pPr>
    </w:p>
    <w:p w:rsidR="00AC56D6" w:rsidRDefault="00AC56D6" w:rsidP="00AC56D6">
      <w:pPr>
        <w:pStyle w:val="TextoNormal"/>
      </w:pPr>
      <w:r>
        <w:t>En primer lugar, se exponen los antecedentes de hecho de la cuestión, se reproduce literalmente el contenido del art. 17 y de los anexos IV y V de la Ley 17/2012, de 27 de diciembre, de presupuestos generales del Estado para 2013, y se resumen los argumentos en que se funda el propio Auto de planteamiento de la cuestión, destacando que al no haber incorporado éste la posible inconstitucionalidad del precepto cuestionado por contravención de los arts. 9.2 y 14 CE no es posible entrar a argumentar si la prescripción establecida por la ley de presupuestos viene a incidir en el principio de no discriminación por razón de sexo.</w:t>
      </w:r>
    </w:p>
    <w:p w:rsidR="00AC56D6" w:rsidRDefault="00AC56D6" w:rsidP="00AC56D6">
      <w:pPr>
        <w:pStyle w:val="TextoNormal"/>
      </w:pPr>
    </w:p>
    <w:p w:rsidR="00AC56D6" w:rsidRDefault="00AC56D6" w:rsidP="00AC56D6">
      <w:pPr>
        <w:pStyle w:val="TextoNormal"/>
      </w:pPr>
      <w:r>
        <w:t>Antes de abordar el examen de fondo de las cuestiones planteadas en el Auto, el escrito de alegaciones analiza la pervivencia del objeto, puesto que las previsiones legales cuestionadas sólo se refieren al ejercicio presupuestario de 2013, ya cerrado, si bien llega a la conclusión de que, conforme a la doctrina de este Tribunal, la vigencia temporal de las leyes de presupuestos no comporta la pérdida de objeto del examen de constitucionalidad una vez concluido el ejercicio.</w:t>
      </w:r>
    </w:p>
    <w:p w:rsidR="00AC56D6" w:rsidRDefault="00AC56D6" w:rsidP="00AC56D6">
      <w:pPr>
        <w:pStyle w:val="TextoNormal"/>
      </w:pPr>
    </w:p>
    <w:p w:rsidR="00AC56D6" w:rsidRDefault="00AC56D6" w:rsidP="00AC56D6">
      <w:pPr>
        <w:pStyle w:val="TextoNormal"/>
      </w:pPr>
      <w:r>
        <w:t>En cuanto al fondo del asunto, considera, en primer lugar, que el art. 17.8 de la Ley 17/2012 no vulnera el art. 134.2 CE, conforme a la doctrina constitucional sobre los límites de las leyes de presupuestos. A su juicio, la regulación prevista en el citado precepto no puede ser escindida de su contexto, constituido no sólo por los números 1 a 7 del art. 17, sino también por los anexos IV y V de esa misma ley. Y, así considerada, la norma cuestionada, en cuanto dispone que esa regulación es plenamente aplicable a la financiación de todos los centros concertados, también a los de educación diferenciada que escolarizan alumnos de un solo sexo, no hace sino extender a éstos una serie de disposiciones que, tal y como se ha justificado, obedecen sin ningún género de dudas al “contenido propio” o “núcleo esencial” del presupuesto.</w:t>
      </w:r>
    </w:p>
    <w:p w:rsidR="00AC56D6" w:rsidRDefault="00AC56D6" w:rsidP="00AC56D6">
      <w:pPr>
        <w:pStyle w:val="TextoNormal"/>
      </w:pPr>
    </w:p>
    <w:p w:rsidR="00AC56D6" w:rsidRDefault="00AC56D6" w:rsidP="00AC56D6">
      <w:pPr>
        <w:pStyle w:val="TextoNormal"/>
      </w:pPr>
      <w:r>
        <w:t xml:space="preserve">En segundo lugar, considera que el precepto cuestionado tampoco vulnera el art. 81.1 CE. Se invoca a tal efecto nuestra STC 151/2014, de 25 de septiembre, FJ 4, en la que se circunscribe la reserva de ley orgánica a la regulación que desarrolle la Constitución de manera directa y en elementos esenciales para la definición de un derecho fundamental, así como la previsión del ámbito de un derecho y la fijación de sus límites en relación con otras libertades constitucionalmente protegidas. De manera que la previsión de la ley de presupuestos por la que expresamente se entiende aplicable el régimen de financiación de los centros concertados a los de educación diferenciada no supondría ninguna intromisión directa en los elementos esenciales de definición del derecho fundamental a la educación. En este sentido se invoca la doctrina establecida en la STC 86/1985, de 10 de julio, FJ 3, que afirma que el art. 27.9 CE ni enuncia un derecho fundamental a la prestación pública, ni encierra un derecho subjetivo a la prestación pública. Si, además, tal prestación pública debe ser dispuesta por la Ley, parece obvio concluir que esta materia no forma parte esencial del </w:t>
      </w:r>
      <w:r>
        <w:lastRenderedPageBreak/>
        <w:t xml:space="preserve">derecho consagrado en el art. 27.9 CE. Siendo esto así, resulta igualmente obvio que no existe un deber </w:t>
      </w:r>
      <w:r w:rsidRPr="00AC56D6">
        <w:rPr>
          <w:i/>
        </w:rPr>
        <w:t>ex constitutione</w:t>
      </w:r>
      <w:r>
        <w:t xml:space="preserve"> de regular tal materia mediante Ley Orgánica.</w:t>
      </w:r>
    </w:p>
    <w:p w:rsidR="00AC56D6" w:rsidRDefault="00AC56D6" w:rsidP="00AC56D6">
      <w:pPr>
        <w:pStyle w:val="TextoNormal"/>
      </w:pPr>
    </w:p>
    <w:p w:rsidR="00AC56D6" w:rsidRDefault="00AC56D6" w:rsidP="00AC56D6">
      <w:pPr>
        <w:pStyle w:val="TextoNormal"/>
      </w:pPr>
      <w:r w:rsidRPr="00AC56D6">
        <w:rPr>
          <w:rStyle w:val="NumeroAFNegritaCaracter"/>
        </w:rPr>
        <w:t>9</w:t>
      </w:r>
      <w:r>
        <w:t>. Por providencia de 26 de noviembre de 2015 se señaló para deliberación y votación de la presente Sentencia el día 30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Sección Tercera de la Sala de lo Contencioso-Administrativo del Tribunal Superior de Justicia de Andalucía, con sede en Sevilla, plantea cuestión de inconstitucionalidad respecto del art. 17.8 de la Ley 17/2012, de 27 de diciembre, de presupuestos generales del Estado para el año 2013 (en adelante, Ley 17/2012).</w:t>
      </w:r>
    </w:p>
    <w:p w:rsidR="00AC56D6" w:rsidRDefault="00AC56D6" w:rsidP="00AC56D6">
      <w:pPr>
        <w:pStyle w:val="TextoNormal"/>
      </w:pPr>
    </w:p>
    <w:p w:rsidR="00AC56D6" w:rsidRDefault="00AC56D6" w:rsidP="00AC56D6">
      <w:pPr>
        <w:pStyle w:val="TextoNormal"/>
      </w:pPr>
      <w:r>
        <w:t>El art. 17 de la citada Ley regula el módulo económico de distribución de fondos públicos para sostenimiento de centros concertados, en cumplimiento, conforme se indica en su primer apartado, de lo dispuesto en el art. 117 de la Ley Orgánica 2/2006, de 3 de mayo, de educación (LOE). Este precepto determina que se fijará anualmente en los presupuestos generales del Estado el importe del módulo económico por unidad escolar, a efectos de distribución de la cuantía global de los fondos públicos destinados al sostenimiento de los centros privados concertados para hacer efectiva la gratuidad de las enseñanzas objeto de concierto. Asimismo, establece los diferentes conceptos que integran dicho módulo (salarios del personal docente, cantidades asignadas a otros gastos y cantidades para atender al pago de diferentes aspectos como la antigüedad, las sustituciones o el ejercicio de la función directiva).</w:t>
      </w:r>
    </w:p>
    <w:p w:rsidR="00AC56D6" w:rsidRDefault="00AC56D6" w:rsidP="00AC56D6">
      <w:pPr>
        <w:pStyle w:val="TextoNormal"/>
      </w:pPr>
    </w:p>
    <w:p w:rsidR="00AC56D6" w:rsidRDefault="00AC56D6" w:rsidP="00AC56D6">
      <w:pPr>
        <w:pStyle w:val="TextoNormal"/>
      </w:pPr>
      <w:r>
        <w:t>El apartado 8 del art. 17 de la Ley 17/2012, objeto del presente proceso constitucional, determina lo siguiente:</w:t>
      </w:r>
    </w:p>
    <w:p w:rsidR="00AC56D6" w:rsidRDefault="00AC56D6" w:rsidP="00AC56D6">
      <w:pPr>
        <w:pStyle w:val="TextoNormal"/>
      </w:pPr>
    </w:p>
    <w:p w:rsidR="00AC56D6" w:rsidRDefault="00AC56D6" w:rsidP="00AC56D6">
      <w:pPr>
        <w:pStyle w:val="TextoNormal"/>
      </w:pPr>
      <w:r>
        <w:t>“Lo establecido en este artículo será plenamente aplicable a la financiación de todos los centros concertados incluidos los de educación diferenciada que escolarizan alumnos de un solo sexo, y ello, con independencia del modelo de agrupamiento de alumnos que realicen los centros docentes en el ejercicio de sus competencias.”</w:t>
      </w:r>
    </w:p>
    <w:p w:rsidR="00AC56D6" w:rsidRDefault="00AC56D6" w:rsidP="00AC56D6">
      <w:pPr>
        <w:pStyle w:val="TextoNormal"/>
      </w:pPr>
    </w:p>
    <w:p w:rsidR="00AC56D6" w:rsidRDefault="00AC56D6" w:rsidP="00AC56D6">
      <w:pPr>
        <w:pStyle w:val="TextoNormal"/>
      </w:pPr>
      <w:r>
        <w:t>En síntesis, entiende el órgano judicial que el art. 17.8 de la Ley 17/2012 podría vulnerar tanto el art. 81.1 CE, pues está reservado a Ley Orgánica regular aspectos esenciales de un derecho fundamental, como el art. 134.2 CE, por no poder considerarse dicho párrafo contenido, ni necesario ni eventual, de la ley de presupuestos, conforme a la doctrina constitucional.</w:t>
      </w:r>
    </w:p>
    <w:p w:rsidR="00AC56D6" w:rsidRDefault="00AC56D6" w:rsidP="00AC56D6">
      <w:pPr>
        <w:pStyle w:val="TextoNormal"/>
      </w:pPr>
    </w:p>
    <w:p w:rsidR="00AC56D6" w:rsidRDefault="00AC56D6" w:rsidP="00AC56D6">
      <w:pPr>
        <w:pStyle w:val="TextoNormal"/>
      </w:pPr>
      <w:r>
        <w:t>Como se ha dejado constancia en los antecedentes, tanto el Abogado del Estado como la Fiscal General del Estado interesan la desestimación de la cuestión, por considerar que no concurren las vulneraciones constitucionales apreciadas por el órgano judicial.</w:t>
      </w:r>
    </w:p>
    <w:p w:rsidR="00AC56D6" w:rsidRDefault="00AC56D6" w:rsidP="00AC56D6">
      <w:pPr>
        <w:pStyle w:val="TextoNormal"/>
      </w:pPr>
    </w:p>
    <w:p w:rsidR="00AC56D6" w:rsidRDefault="00AC56D6" w:rsidP="00AC56D6">
      <w:pPr>
        <w:pStyle w:val="TextoNormal"/>
      </w:pPr>
      <w:r w:rsidRPr="00AC56D6">
        <w:rPr>
          <w:rStyle w:val="NumeroAFNegritaCaracter"/>
        </w:rPr>
        <w:t>2</w:t>
      </w:r>
      <w:r>
        <w:t xml:space="preserve">. Antes de entrar en el examen del fondo de esta cuestión, es necesario valorar previamente la concurrencia de los requisitos exigidos para el válido planteamiento de la cuestión de inconstitucionalidad. Dado que la tramitación específica establecida en el art. 37.1 LOTC no tiene carácter preclusivo, cabe apreciar mediante Sentencia en la fase de resolución de </w:t>
      </w:r>
      <w:r>
        <w:lastRenderedPageBreak/>
        <w:t>un proceso, y no solo en el trámite de admisión previsto en ese precepto, la ausencia de esos requisitos, tanto procesales como de fundamentación, para plantear ante este Tribunal cuestiones de inconstitucionalidad (por todas STC 201/2015, de 24 de septiembre, FJ 2).</w:t>
      </w:r>
    </w:p>
    <w:p w:rsidR="00AC56D6" w:rsidRDefault="00AC56D6" w:rsidP="00AC56D6">
      <w:pPr>
        <w:pStyle w:val="TextoNormal"/>
      </w:pPr>
    </w:p>
    <w:p w:rsidR="00AC56D6" w:rsidRDefault="00AC56D6" w:rsidP="00AC56D6">
      <w:pPr>
        <w:pStyle w:val="TextoNormal"/>
      </w:pPr>
      <w:r>
        <w:t>Es preciso recordar, de acuerdo con la STC 79/2015, de 30 de abril, FJ 3, que los apartados 1 y 2 del art. 35 de la Ley Orgánica del Tribunal Constitucional (LOTC) exigen, respectivamente, que la norma con rango de ley cuya constitucionalidad ofrezca dudas a un Juez o Tribunal sea aplicable al caso y de su validez dependa el fallo, así como que el órgano judicial especifique o justifique en el Auto de planteamiento de la cuestión en qué medida la decisión del proceso depende de dicha validez. En atención a lo expuesto, es exigible que la norma cuestionada supere el llamado juicio de relevancia, que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de 25 de septiembre, FJ 2).</w:t>
      </w:r>
    </w:p>
    <w:p w:rsidR="00AC56D6" w:rsidRDefault="00AC56D6" w:rsidP="00AC56D6">
      <w:pPr>
        <w:pStyle w:val="TextoNormal"/>
      </w:pPr>
    </w:p>
    <w:p w:rsidR="00AC56D6" w:rsidRDefault="00AC56D6" w:rsidP="00AC56D6">
      <w:pPr>
        <w:pStyle w:val="TextoNormal"/>
      </w:pPr>
      <w:r>
        <w:t>De ahí que este Tribunal haya estimado que debe darse una verdadera “dependencia” (STC 189/1991, de 3 de octubre, FJ 2), o un “nexo de subordinación”, entre el fallo del proceso y la validez de la norma cuestionada (STC 157/1990, de 18 de octubre, FJ 1). No basta con que el Tribunal ordinario considere que la norma es aplicable al caso, sino que también ha de satisfacerse el requisito de la relevancia ya que la aplicabilidad de la norma es condición necesaria para que el fallo dependa de su validez, pero no es, en modo alguno, condición suficiente (SSTC 17/1981, de 1 de junio, FJ 4, y 156/2014, FJ 2).</w:t>
      </w:r>
    </w:p>
    <w:p w:rsidR="00AC56D6" w:rsidRDefault="00AC56D6" w:rsidP="00AC56D6">
      <w:pPr>
        <w:pStyle w:val="TextoNormal"/>
      </w:pPr>
    </w:p>
    <w:p w:rsidR="00AC56D6" w:rsidRDefault="00AC56D6" w:rsidP="00AC56D6">
      <w:pPr>
        <w:pStyle w:val="TextoNormal"/>
      </w:pPr>
      <w:r>
        <w:t>Igualmente este Tribunal tiene declarado que no le corresponde sustituir o rectificar el criterio del órgano judicial al respecto, salvo en los casos en que de manera notoria, sin necesidad de examinar el fondo debatido y en aplicación de principios jurídicos básicos, se advierta que la argumentación judicial en relación con dicho juicio de relevancia carece de consistencia (por todas, STC 60/2013, de 13 de marzo, FJ 1, y doctrina allí citada).</w:t>
      </w:r>
    </w:p>
    <w:p w:rsidR="00AC56D6" w:rsidRDefault="00AC56D6" w:rsidP="00AC56D6">
      <w:pPr>
        <w:pStyle w:val="TextoNormal"/>
      </w:pPr>
    </w:p>
    <w:p w:rsidR="00AC56D6" w:rsidRDefault="00AC56D6" w:rsidP="00AC56D6">
      <w:pPr>
        <w:pStyle w:val="TextoNormal"/>
      </w:pPr>
      <w:r>
        <w:t xml:space="preserve">La relevancia de la norma impugnada para el proceso </w:t>
      </w:r>
      <w:r w:rsidRPr="00AC56D6">
        <w:rPr>
          <w:i/>
        </w:rPr>
        <w:t>a quo</w:t>
      </w:r>
      <w:r>
        <w:t xml:space="preserve"> es, por tanto, condición anterior desde un punto de vista lógico al requisito de la argumentación suficiente de la duda de constitucionalidad, pues asegura el carácter concreto del control de constitucionalidad que informa este tipo de procesos constitucionales, de manera que un defecto en su adecuada formulación en los términos exigidos por nuestra doctrina debería conducir a excluir todo enjuiciamiento de fondo por este Tribunal.</w:t>
      </w:r>
    </w:p>
    <w:p w:rsidR="00AC56D6" w:rsidRDefault="00AC56D6" w:rsidP="00AC56D6">
      <w:pPr>
        <w:pStyle w:val="TextoNormal"/>
      </w:pPr>
    </w:p>
    <w:p w:rsidR="00AC56D6" w:rsidRDefault="00AC56D6" w:rsidP="00AC56D6">
      <w:pPr>
        <w:pStyle w:val="TextoNormal"/>
      </w:pPr>
      <w:r>
        <w:t xml:space="preserve">En la cuestión aquí planteada se aprecia que en la explicación de la dependencia del fallo respecto de la validez constitucional de las normas cuestionadas que realiza el órgano judicial, éste no ha tenido en cuenta lo dispuesto en la disposición transitoria segunda de la Ley Orgánica 8/2013, de 9 de diciembre, para la mejora de la calidad educativa (LOMCE), en relación con la aplicación temporal de la redacción dada al art. 84.3 de la Ley Orgánica 2/2006, de 3 de mayo, de educación (LOE), por el artículo único, apartado sesenta y uno, de la Ley Orgánica para la mejora de la calidad educativa. Conforme a esta disposición transitoria, “los centros privados a los que en 2013 se les haya denegado la renovación del concierto educativo o reducido las unidades escolares concertadas por el único motivo de ofrecer educación diferenciada por sexos podrán solicitar que se les aplique lo indicado en </w:t>
      </w:r>
      <w:r>
        <w:lastRenderedPageBreak/>
        <w:t>el artículo 84.3 de esta Ley Orgánica para el resto del actual período de conciertos en el plazo de dos meses desde su entrada en vigor”. En relación con ello la nueva redacción del art. 84.3 LOE señala expresamente que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w:t>
      </w:r>
    </w:p>
    <w:p w:rsidR="00AC56D6" w:rsidRDefault="00AC56D6" w:rsidP="00AC56D6">
      <w:pPr>
        <w:pStyle w:val="TextoNormal"/>
      </w:pPr>
    </w:p>
    <w:p w:rsidR="00AC56D6" w:rsidRDefault="00AC56D6" w:rsidP="00AC56D6">
      <w:pPr>
        <w:pStyle w:val="TextoNormal"/>
      </w:pPr>
      <w:r>
        <w:t xml:space="preserve">Dado el tenor de tales preceptos, es claro que pudieran resultar directamente aplicables a un supuesto de hecho como el considerado en el caso </w:t>
      </w:r>
      <w:r w:rsidRPr="00AC56D6">
        <w:rPr>
          <w:i/>
        </w:rPr>
        <w:t>a quo</w:t>
      </w:r>
      <w:r>
        <w:t>, cuyo objeto es una orden autonómica de 27 de febrero de 2013, por la que se deniega la solicitud de renovación del concierto educativo con un centro docente privado, a partir del curso académico 2013-2014, precisamente por no cumplir con lo establecido en la redacción anterior del art. 84.3 LOE, en lo que se refiere a la no discriminación por razón de sexo al no comprometerse a escolarizar alumnado de ambos sexos. Sin embargo, el órgano judicial no hace referencia alguna en su argumentación a la disposición transitoria de la Ley Orgánica para la mejora de la calidad educativa, ni tampoco a las razones por las que, en su defecto, entiende que no es de aplicación al caso que ha de resolver. Lo cual parece obligado puesto que la Ley Orgánica para la mejora de la calidad educativa entró en vigor a los 20 días de su publicación en el “Boletín Oficial del Estado”, que tuvo lugar el 10 de diciembre de 2013, y, por tanto, ya estaba vigente el 14 de octubre de 2014, momento en el que se dicta el Auto de planteamiento de la cuestión de inconstitucionalidad.</w:t>
      </w:r>
    </w:p>
    <w:p w:rsidR="00AC56D6" w:rsidRDefault="00AC56D6" w:rsidP="00AC56D6">
      <w:pPr>
        <w:pStyle w:val="TextoNormal"/>
      </w:pPr>
    </w:p>
    <w:p w:rsidR="00AC56D6" w:rsidRDefault="00AC56D6" w:rsidP="00AC56D6">
      <w:pPr>
        <w:pStyle w:val="TextoNormal"/>
      </w:pPr>
      <w:r>
        <w:t xml:space="preserve">Dicha omisión condiciona ineludiblemente la valoración acerca de la adecuada formulación de los juicios de aplicabilidad y relevancia exigidos para el planteamiento de la cuestión de inconstitucionalidad por el art. 35 LOTC. Tampoco, aun tratándose de un supuesto diferente, podemos ignorar el criterio seguido en recientes pronunciamientos constitucionales, en los que, ante el carácter dudoso y discutible de la aplicabilidad de la norma cuestionada en el proceso </w:t>
      </w:r>
      <w:r w:rsidRPr="00AC56D6">
        <w:rPr>
          <w:i/>
        </w:rPr>
        <w:t>a quo</w:t>
      </w:r>
      <w:r>
        <w:t>, hemos exigido un pronunciamiento específico del órgano judicial sobre la aplicación de la norma al caso, a efectos de garantizar que la resolución del litigio depende realmente de la solución que este Tribunal ofrezca sobre la constitucionalidad de la norma [por todas, SSTC 50/2015, de 5 de marzo, FJ 2 c) y 18/2014, de 30 de enero, FJ 4 y las allí citadas]. Es, por tanto, exigible que la norma cuestionada supere el llamado juicio de relevancia, tal como se ha expuesto más arriba.</w:t>
      </w:r>
    </w:p>
    <w:p w:rsidR="00AC56D6" w:rsidRDefault="00AC56D6" w:rsidP="00AC56D6">
      <w:pPr>
        <w:pStyle w:val="TextoNormal"/>
      </w:pPr>
    </w:p>
    <w:p w:rsidR="00AC56D6" w:rsidRDefault="00AC56D6" w:rsidP="00AC56D6">
      <w:pPr>
        <w:pStyle w:val="TextoNormal"/>
      </w:pPr>
      <w:r>
        <w:t xml:space="preserve">Eso es lo que podría ocurrir en el presente caso. En el supuesto que consideramos, teniendo presente lo dispuesto por la Ley Orgánica para la mejora de la calidad educativa y el silencio del órgano judicial al respecto, no puede asegurarse, en este momento, que el pronunciamiento de este Tribunal acerca del art. 17.8 de la Ley 17/2012, de 27 de diciembre, objeto de la presente cuestión, sea necesario e imprescindible para resolver el caso sometido a la consideración de la Sala cuestionante, dado que el juicio de constitucionalidad que se nos solicita sobre el precepto podría quedar desconectado de su aplicación al proceso </w:t>
      </w:r>
      <w:r w:rsidRPr="00AC56D6">
        <w:rPr>
          <w:i/>
        </w:rPr>
        <w:t>a quo</w:t>
      </w:r>
      <w:r>
        <w:t xml:space="preserve">. Es decir, se correría el riesgo de que el juicio a la ley se desarrollara ante este Tribunal sin necesidad ni pertinencia alguna, pues, realizado el enjuiciamiento y pronunciado el fallo que correspondiere, el proceso </w:t>
      </w:r>
      <w:r w:rsidRPr="00AC56D6">
        <w:rPr>
          <w:i/>
        </w:rPr>
        <w:t>a quo</w:t>
      </w:r>
      <w:r>
        <w:t xml:space="preserve"> podría concluir sin aplicar el precepto cuestionado y en atención a razones jurídicas ajenas a su conformidad o no a la Constitución. Ése sería el </w:t>
      </w:r>
      <w:r>
        <w:lastRenderedPageBreak/>
        <w:t>caso si el órgano judicial optase, una vez resulta la cuestión, por aplicar la disposición transitoria segunda LOMCE.</w:t>
      </w:r>
    </w:p>
    <w:p w:rsidR="00AC56D6" w:rsidRDefault="00AC56D6" w:rsidP="00AC56D6">
      <w:pPr>
        <w:pStyle w:val="TextoNormal"/>
      </w:pPr>
    </w:p>
    <w:p w:rsidR="00AC56D6" w:rsidRDefault="00AC56D6" w:rsidP="00AC56D6">
      <w:pPr>
        <w:pStyle w:val="TextoNormal"/>
      </w:pPr>
      <w:r>
        <w:t>En suma, es indiscutible que el precepto cuestionado es aplicable para la resolución del pleito sometido a la consideración del órgano judicial, pero podría no ser el único relevante a la vista de lo regulado por la disposición transitoria segunda Ley Orgánica para la mejora de la calidad educativa en relación con el art. 84.3 LOE, reflexión que no aparece en el Auto de planteamiento, que guarda silencio respecto a la relación entre esta norma y la que ha cuestionado.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ésta plantea un problema constitucional de interés, ya no se trataría de un juicio de constitucionalidad en concreto, al que se refiere el art. 163 CE, sino en abstracto, sin efectos para el caso, lo que resulta improcedente en toda cuestión de inconstitucionalidad (STC 83/2015, de 30 de abril, FJ 3).</w:t>
      </w:r>
    </w:p>
    <w:p w:rsidR="00AC56D6" w:rsidRDefault="00AC56D6" w:rsidP="00AC56D6">
      <w:pPr>
        <w:pStyle w:val="TextoNormal"/>
      </w:pPr>
    </w:p>
    <w:p w:rsidR="00AC56D6" w:rsidRDefault="00AC56D6" w:rsidP="00AC56D6">
      <w:pPr>
        <w:pStyle w:val="TextoNormal"/>
      </w:pPr>
      <w:r>
        <w:t>Nada impide que esta circunstancia se pueda apreciar en esta fase del proceso, esto es, mediante Sentencia, además de poderse hacer en el trámite de admisión previsto en el art. 37.1 de la Ley Orgánica del Tribunal Constitucional (SSTC 183/2013, de 23 de octubre, FJ 2; 206/2014, de 15 de diciembre, FJ 2; 10/2015, de 2 de febrero, FJ 2; 79/2015, de 30 de abril, FJ 2, y 110/2015, de 28 de mayo, FJ 3, entre otras). Así pues, dada la conexión que debe existir entre el pronunciamiento de este Tribunal y el proceso en que la cuestión se plantea, procede inadmitir a trámite la presente cuestión de inconstitucionalidad.</w:t>
      </w:r>
    </w:p>
    <w:p w:rsidR="00AC56D6" w:rsidRDefault="00AC56D6" w:rsidP="00AC56D6">
      <w:pPr>
        <w:pStyle w:val="TextoNormal"/>
      </w:pPr>
    </w:p>
    <w:p w:rsidR="00AC56D6" w:rsidRDefault="00AC56D6" w:rsidP="00AC56D6">
      <w:pPr>
        <w:pStyle w:val="TextoNormal"/>
      </w:pPr>
      <w:r>
        <w:t>Este criterio jurisprudencial es coherente, por lo demás, con la doctrina precedente, contenida en la STC 234/2015, de 5 de noviembre, al resolver la Cuestión de inconstitucionalidad núm. 6518-2014.</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Inadmitir la presente cuestión de inconstitucionalidad.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treinta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05" w:name="SENTENCIA_2015_249"/>
      <w:r>
        <w:lastRenderedPageBreak/>
        <w:t>SENTENCIA 249/2015, de 30 de noviembre de 2015</w:t>
      </w:r>
    </w:p>
    <w:bookmarkEnd w:id="105"/>
    <w:p w:rsidR="00AC56D6" w:rsidRDefault="00AC56D6" w:rsidP="00AC56D6">
      <w:pPr>
        <w:pStyle w:val="TtuloResolucin"/>
      </w:pPr>
      <w:r>
        <w:t>Sala Primera</w:t>
      </w:r>
    </w:p>
    <w:p w:rsidR="00AC56D6" w:rsidRDefault="00AC56D6" w:rsidP="00AC56D6">
      <w:pPr>
        <w:pStyle w:val="TtuloBOE"/>
      </w:pPr>
      <w:r>
        <w:t>(BOE núm. 10, de 12 de enero de 2016)</w:t>
      </w:r>
    </w:p>
    <w:p w:rsidR="00AC56D6" w:rsidRDefault="00AC56D6" w:rsidP="00AC56D6">
      <w:pPr>
        <w:pStyle w:val="TextoNormalCentrado"/>
      </w:pPr>
      <w:r>
        <w:t>ECLI:ES:TC:2015:249</w:t>
      </w:r>
    </w:p>
    <w:p w:rsidR="00AC56D6" w:rsidRDefault="00AC56D6" w:rsidP="00AC56D6">
      <w:pPr>
        <w:pStyle w:val="TextoNormalCentrado"/>
      </w:pPr>
    </w:p>
    <w:p w:rsidR="00AC56D6" w:rsidRDefault="00AC56D6" w:rsidP="00AC56D6">
      <w:pPr>
        <w:pStyle w:val="SntesisDescriptiva"/>
      </w:pPr>
      <w:r>
        <w:t>Cuestión de inconstitucionalidad 6809-2014. Cuestión de inconstitucionalidad 6809-2014. Planteada por la Sala de lo Contencioso-Administrativo del Tribunal Superior de Justicia de Andalucía, con sede en Sevilla, en relación con el artículo 17.8 de la Ley 17/2012, de 27 de diciembre, de presupuestos generales del Estado para el año 2013.</w:t>
      </w:r>
    </w:p>
    <w:p w:rsidR="00AC56D6" w:rsidRDefault="00AC56D6" w:rsidP="00AC56D6">
      <w:pPr>
        <w:pStyle w:val="SntesisDescriptiva"/>
      </w:pPr>
    </w:p>
    <w:p w:rsidR="00AC56D6" w:rsidRDefault="00AC56D6" w:rsidP="00AC56D6">
      <w:pPr>
        <w:pStyle w:val="SntesisAnaltica"/>
      </w:pPr>
      <w:r>
        <w:t>Límites materiales de las leyes de presupuestos, reserva de ley orgánica: STC 234/2015 (inadmisión de la cuestión de inconstitucionalidad por inadecuada formulación del juicio de relevancia).</w:t>
      </w:r>
    </w:p>
    <w:p w:rsidR="00AC56D6" w:rsidRDefault="00AC56D6" w:rsidP="00AC56D6">
      <w:pPr>
        <w:pStyle w:val="SntesisAnaltica"/>
      </w:pPr>
    </w:p>
    <w:p w:rsidR="00AC56D6" w:rsidRDefault="00AC56D6" w:rsidP="00AC56D6">
      <w:pPr>
        <w:pStyle w:val="Extracto"/>
      </w:pPr>
      <w:r>
        <w:t>1.</w:t>
      </w:r>
      <w:r>
        <w:tab/>
        <w:t>Asunto sustancialmente idéntico al planteado en la STC 234/2015, que aplica la doctrina constitucional sobre la inadecuada formulación del juicio de relevancia [FJ 2].</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6809-2014 promovida por la Sección Tercera de la Sala de lo Contencioso-Administrativo del Tribunal Superior de Justicia de Andalucía, con sede en Sevilla, en relación con el art. 17.8 de la Ley 17/2012, de 27 de diciembre, de presupuestos generales del Estado para el año 2013. Ha comparecido y formulado alegaciones el Abogado del Estado. Ha intervenido el Fiscal General del Estado. Ha sido Ponente el Presidente don Francisco Pérez de los Cobos Orihuel,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El día 13 de noviembre de 2014 tuvo entrada en el Registro General de este Tribunal escrito de la Sección Tercera de la Sala de lo Contencioso-Administrativo del Tribunal Superior de Justicia de Andalucía, con sede en Sevilla, al que se acompaña, junto con el testimonio del procedimiento correspondiente, el Auto de 14 de octubre de 2014, en el que se acuerda plantear cuestión de inconstitucionalidad sobre el art. 17.8 de la Ley 17/2012, de </w:t>
      </w:r>
      <w:r>
        <w:lastRenderedPageBreak/>
        <w:t>27 de diciembre, de presupuestos generales del Estado para el año 2013, por posible vulneración de los arts. 81.1 y 134.2 CE.</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son, sucintamente expuestos, los siguientes:</w:t>
      </w:r>
    </w:p>
    <w:p w:rsidR="00AC56D6" w:rsidRDefault="00AC56D6" w:rsidP="00AC56D6">
      <w:pPr>
        <w:pStyle w:val="TextoNormal"/>
      </w:pPr>
    </w:p>
    <w:p w:rsidR="00AC56D6" w:rsidRDefault="00AC56D6" w:rsidP="00AC56D6">
      <w:pPr>
        <w:pStyle w:val="TextoNormal"/>
      </w:pPr>
      <w:r>
        <w:t>a) La asociación de madres y padres de alumnos Madre María de la Purísima del colegio Ángela Guerrero interpuso recurso contencioso-administrativo contra la Orden de 27 de febrero de 2013, de la Consejería de Educación de la Junta de Andalucía, por la que se resuelve la solicitud de renovación del concierto educativo con dicho centro docente privado, a partir del curso académico 2013-2014. Dicha orden denegaba el concierto educativo para el referido centro docente por no cumplir presuntamente este con lo establecido en el art. 84.3 de la Ley Orgánica 2/2006, de 3 de mayo, de educación (LOE), en lo que se refiere a la no discriminación por razón de sexo.</w:t>
      </w:r>
    </w:p>
    <w:p w:rsidR="00AC56D6" w:rsidRDefault="00AC56D6" w:rsidP="00AC56D6">
      <w:pPr>
        <w:pStyle w:val="TextoNormal"/>
      </w:pPr>
    </w:p>
    <w:p w:rsidR="00AC56D6" w:rsidRDefault="00AC56D6" w:rsidP="00AC56D6">
      <w:pPr>
        <w:pStyle w:val="TextoNormal"/>
      </w:pPr>
      <w:r>
        <w:t>b) Estando conclusas las actuaciones y señalado para votación y fallo el día 25 de junio de 2014, se dictó por la Sala providencia de 26 de junio dando plazo común de diez días para alegaciones a las partes y al Ministerio Fiscal, conforme a lo dispuesto en los arts. 5.2 de la Ley Orgánica del Poder Judicial (LOPJ) y 35.2 de la Ley Orgánica del Tribunal Constitucional (LOTC), por considerar la Sala “que el artículo 17.8 de la Ley 17/2012, de 27 de diciembre, de Presupuestos Generales del Estado, de cuya validez depende el fallo, pudiera ser contrario a la Constitución”.</w:t>
      </w:r>
    </w:p>
    <w:p w:rsidR="00AC56D6" w:rsidRDefault="00AC56D6" w:rsidP="00AC56D6">
      <w:pPr>
        <w:pStyle w:val="TextoNormal"/>
      </w:pPr>
    </w:p>
    <w:p w:rsidR="00AC56D6" w:rsidRDefault="00AC56D6" w:rsidP="00AC56D6">
      <w:pPr>
        <w:pStyle w:val="TextoNormal"/>
      </w:pPr>
      <w:r>
        <w:t>c) Habiendo alegado el Ministerio Fiscal que la providencia citada no cumplía las exigencias del art. 35.2 LOTC, por no mencionar la norma constitucional cuya vulneración se cuestionaba y no justificar en qué medida la decisión del proceso dependía de su validez, se dictó otra nueva de 28 de julio de 2014, dando plazo común de diez días, conforme a lo dispuesto en los arts. 5.2 LOPJ y 35.2 LOTC, para que las partes y el Ministerio Fiscal alegasen sobre la inconstitucionalidad en que podría incurrir el art. 17.8 de la Ley 17/2012, de 27 de diciembre, de cuya validez depende el fallo, por vulneración de los arts. 81.1 y 134.2 CE. Considera la nueva providencia que, tras el dictado del precepto mencionado, la Administración no puede seguir aplicando la jurisprudencia recaída en interpretación de la Ley Orgánica de educación. Entiende que este precepto invade la reserva de ley orgánica y excede del contenido que la Constitución contempla para las leyes de presupuestos.</w:t>
      </w:r>
    </w:p>
    <w:p w:rsidR="00AC56D6" w:rsidRDefault="00AC56D6" w:rsidP="00AC56D6">
      <w:pPr>
        <w:pStyle w:val="TextoNormal"/>
      </w:pPr>
    </w:p>
    <w:p w:rsidR="00AC56D6" w:rsidRDefault="00AC56D6" w:rsidP="00AC56D6">
      <w:pPr>
        <w:pStyle w:val="TextoNormal"/>
      </w:pPr>
      <w:r>
        <w:t>d) El Letrado de la Junta de Andalucía, mediante escrito presentado el 9 de septiembre de 2014, consideró que procedía el planteamiento de la cuestión. La parte recurrente, por escrito presentado el 16 de septiembre, se opone al planteamiento de la cuestión. Mediante escrito de 23 de septiembre de 2014, sin pronunciarse sobre el fondo del asunto y atendiendo solo a los aspectos formales, el Ministerio Fiscal expresó la procedencia de plantear la cuestión.</w:t>
      </w:r>
    </w:p>
    <w:p w:rsidR="00AC56D6" w:rsidRDefault="00AC56D6" w:rsidP="00AC56D6">
      <w:pPr>
        <w:pStyle w:val="TextoNormal"/>
      </w:pPr>
    </w:p>
    <w:p w:rsidR="00AC56D6" w:rsidRDefault="00AC56D6" w:rsidP="00AC56D6">
      <w:pPr>
        <w:pStyle w:val="TextoNormal"/>
      </w:pPr>
      <w:r w:rsidRPr="00AC56D6">
        <w:rPr>
          <w:rStyle w:val="NumeroAFNegritaCaracter"/>
        </w:rPr>
        <w:t>3</w:t>
      </w:r>
      <w:r>
        <w:t>. El órgano judicial dictó Auto de 14 de octubre de 2014, en el que acuerda plantear cuestión de inconstitucionalidad respecto al art. 17.8 de la Ley 17/2012, de 27 de diciembre, de presupuestos generales del Estado para el año 2013, por posible vulneración de los arts. 81.1 y 134.2 CE.</w:t>
      </w:r>
    </w:p>
    <w:p w:rsidR="00AC56D6" w:rsidRDefault="00AC56D6" w:rsidP="00AC56D6">
      <w:pPr>
        <w:pStyle w:val="TextoNormal"/>
      </w:pPr>
    </w:p>
    <w:p w:rsidR="00AC56D6" w:rsidRDefault="00AC56D6" w:rsidP="00AC56D6">
      <w:pPr>
        <w:pStyle w:val="TextoNormal"/>
      </w:pPr>
      <w:r>
        <w:t>Del contenido del Auto interesa destacar lo siguiente:</w:t>
      </w:r>
    </w:p>
    <w:p w:rsidR="00AC56D6" w:rsidRDefault="00AC56D6" w:rsidP="00AC56D6">
      <w:pPr>
        <w:pStyle w:val="TextoNormal"/>
      </w:pPr>
    </w:p>
    <w:p w:rsidR="00AC56D6" w:rsidRDefault="00AC56D6" w:rsidP="00AC56D6">
      <w:pPr>
        <w:pStyle w:val="TextoNormal"/>
      </w:pPr>
      <w:r>
        <w:t>El órgano judicial razona que tras la entrada en vigor de la Ley Orgánica de educación resultaba conforme a derecho, de acuerdo con la jurisprudencia del Tribunal Supremo, que la Administración rechazase celebrar conciertos educativos con centros docentes privados donde no se escolarizan alumnos de ambos sexos. El estado de la cuestión, prosigue, ha cambiado con la Ley 17/2012, cuyo artículo 17 relativo al “módulo económico de distribución de fondos públicos para sostenimiento de centros concertados” estableció, en su apartado ocho, que dicha norma es plenamente aplicable a la financiación de centros concertados, incluidos los de educación diferenciada que escolarizan alumnos de un solo sexo y ello con independencia del modelo de agrupamiento de alumnos que realicen los centros docentes en el ejercicio de sus competencias. De esta manera, si de acuerdo con la Ley Orgánica de educación los centros con educación diferenciada no podían acogerse a la financiación pública, tras la ley de presupuestos la regla es la contraria. Este precepto habría sido vulnerado por la resolución impugnada en el pleito principal, de modo que en su aplicación habría que dar razón a la recurrente en el pleito. No obstante, expresa dos dudas sobre su constitucionalidad:</w:t>
      </w:r>
    </w:p>
    <w:p w:rsidR="00AC56D6" w:rsidRDefault="00AC56D6" w:rsidP="00AC56D6">
      <w:pPr>
        <w:pStyle w:val="TextoNormal"/>
      </w:pPr>
    </w:p>
    <w:p w:rsidR="00AC56D6" w:rsidRDefault="00AC56D6" w:rsidP="00AC56D6">
      <w:pPr>
        <w:pStyle w:val="TextoNormal"/>
      </w:pPr>
      <w:r>
        <w:t>a) Relativa a la reserva a ley orgánica de la regulación de los aspectos esenciales de un derecho fundamental. Entiende el órgano judicial que no se había puesto en duda el sistema de la educación diferenciada hasta la entrada en vigor de la Ley Orgánica de educación, en cuyo artículo 84.3 se prohíbe expresamente en el régimen de admisión de alumnos la discriminación por razón de sexo. Dicho precepto, conforme a la interpretación realizada por el Tribunal Supremo, comporta que la educación separada por sexos dejó de estar autorizada para los centros docentes sostenidos con fondos públicos. Asimismo pone de relieve que en la reforma de la Ley Orgánica de educación se ha introducido, en el artículo 84.3 lo siguiente: “No constituye discriminación la admisión de alumnos y alumnas o la organización de la enseñanza diferenciadas por sexos, siempre que la enseñanza que impartan se desarrolle conforme a lo dispuesto en el artículo 2 de la Convención relativa a la lucha contra las discriminaciones en la esfera de la enseñanza, aprobada por la Conferencia General de la UNESCO el 14 de diciembre de 1960”.</w:t>
      </w:r>
    </w:p>
    <w:p w:rsidR="00AC56D6" w:rsidRDefault="00AC56D6" w:rsidP="00AC56D6">
      <w:pPr>
        <w:pStyle w:val="TextoNormal"/>
      </w:pPr>
    </w:p>
    <w:p w:rsidR="00AC56D6" w:rsidRDefault="00AC56D6" w:rsidP="00AC56D6">
      <w:pPr>
        <w:pStyle w:val="TextoNormal"/>
      </w:pPr>
      <w:r>
        <w:t>b) Relativa a los límites constitucionales de la ley de presupuestos. La doctrina constitucional (STC 76/1992), establece los límites de las leyes de presupuestos, distinguiendo entre (i) el contenido necesario y (ii) el eventual, posible y no necesario, para el que se requiere la relación directa con los gastos e ingresos que integran el presupuesto o con los criterios de política económica de la que el presupuesto es instrumento. El precepto impugnado podría no cumplir los límites establecidos, en cuanto no contiene una previsión de gastos e ingresos; sería dudoso que, aun cuando pueda tener una relación directa con los ingresos o gastos del Estado, sea complemento necesario para su mejor inteligencia.</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Mediante providencia de 20 de enero de 2015, el Pleno del Tribunal Constitucional, acuerda admitir a trámite la presente cuestión y, conforme a lo dispuesto en el art. 10.1 c) LOTC, deferir a la Sala Primera el conocimiento de la misma;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w:t>
      </w:r>
      <w:r>
        <w:lastRenderedPageBreak/>
        <w:t>esta resolución a la Sección Tercera de la Sala de lo Contencioso-Administrativo del Tribunal Superior de Andalucía, con sede en Sevilla, a fin de que, de conformidad con lo dispuesto en el art. 35.3 LOTC, permanezca suspendido el proceso hasta que este Tribunal resuelva definitivamente la presente cuestión y publicar la incoación de la cuestión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La Vicepresidenta Primera y Presidenta en funciones del Congreso de los Diputados, mediante escrito registrado el 30 de enero de 2015, comunicó a este Tribunal que la Mesa de la Cámara adoptó el acuerdo de personarse en el proceso, ofreciendo su colaboración a los efectos del art. 88.1 LOTC. Lo mismo hizo el Presidente del Senado por escrito que tuvo entrada en el Registro General de este Tribunal el 4 de febrero de 2015.</w:t>
      </w:r>
    </w:p>
    <w:p w:rsidR="00AC56D6" w:rsidRDefault="00AC56D6" w:rsidP="00AC56D6">
      <w:pPr>
        <w:pStyle w:val="TextoNormal"/>
      </w:pPr>
    </w:p>
    <w:p w:rsidR="00AC56D6" w:rsidRDefault="00AC56D6" w:rsidP="00AC56D6">
      <w:pPr>
        <w:pStyle w:val="TextoNormal"/>
      </w:pPr>
      <w:r w:rsidRPr="00AC56D6">
        <w:rPr>
          <w:rStyle w:val="NumeroAFNegritaCaracter"/>
        </w:rPr>
        <w:t>6</w:t>
      </w:r>
      <w:r>
        <w:t>. El 10 de febrero de 2015 se personó en el proceso el Abogado del Estado e interesó la desestimación de la cuestión por las razones que a continuación se resumen.</w:t>
      </w:r>
    </w:p>
    <w:p w:rsidR="00AC56D6" w:rsidRDefault="00AC56D6" w:rsidP="00AC56D6">
      <w:pPr>
        <w:pStyle w:val="TextoNormal"/>
      </w:pPr>
    </w:p>
    <w:p w:rsidR="00AC56D6" w:rsidRDefault="00AC56D6" w:rsidP="00AC56D6">
      <w:pPr>
        <w:pStyle w:val="TextoNormal"/>
      </w:pPr>
      <w:r>
        <w:t>Tras exponer los antecedentes del caso precisa que, a su juicio, la duda de constitucionalidad planteada se limita a la posible vulneración de los arts. 81.1 y 134.2 CE. A continuación, expone el sistema de conciertos educativos previsto en la Ley Orgánica de educación, señalando que dicha norma no establece prohibición expresa alguna sobre la financiación de centros privados que practiquen la educación diferenciada.</w:t>
      </w:r>
    </w:p>
    <w:p w:rsidR="00AC56D6" w:rsidRDefault="00AC56D6" w:rsidP="00AC56D6">
      <w:pPr>
        <w:pStyle w:val="TextoNormal"/>
      </w:pPr>
    </w:p>
    <w:p w:rsidR="00AC56D6" w:rsidRDefault="00AC56D6" w:rsidP="00AC56D6">
      <w:pPr>
        <w:pStyle w:val="TextoNormal"/>
      </w:pPr>
      <w:r>
        <w:t xml:space="preserve">El Abogado del Estado parte de la consideración de que el Auto de planteamiento de la cuestión solo desarrolla de manera mínima la vulneración del art. 81.1 CE. A su juicio, no puede sostenerse que el art. 17.8 de la Ley 17/2012 suponga una innovación normativa que afecte al núcleo esencial del derecho fundamental a la educación, conforme a la doctrina constitucional. En su opinión, el art. 17 de la Ley 17/2012 lo que hace es concretar, para el ejercicio 2013, las previsiones de los arts. 116 y siguientes LOE; estos preceptos no tienen carácter orgánico, por lo que menos pueden tenerlo las previsiones dictadas en su desarrollo, que, tienen además un carácter temporal limitado al ejercicio 2013. El cuestionado artículo 17.8 establece una concreción necesaria del ámbito subjetivo de los conciertos para la aplicación de las previsiones presupuestarias. Si bien admite que el precepto se dicta en un momento en que la jurisprudencia del Tribunal Supremo entendió que los centros con educación diferenciada vulneraban el principio de igualdad en su vertiente relativa a la no discriminación por razón de sexo </w:t>
      </w:r>
      <w:r w:rsidRPr="00AC56D6">
        <w:rPr>
          <w:i/>
        </w:rPr>
        <w:t>ex</w:t>
      </w:r>
      <w:r>
        <w:t xml:space="preserve"> art. 84.3 LOE y no podían por ello ser beneficiarios de conciertos educativos, lo cierto es que la Ley Orgánica de educación no contenía una previsión expresa al respecto. En su opinión, el artículo 17.8 no introduce una previsión sustantiva contraria o diferente al art. 84.3 LOE, aunque lo interprete de una manera diferente al Tribunal Supremo. Esta diferente interpretación, al entender dentro del ámbito subjetivo de los conciertos los centros con educación diferenciada, no invade el ámbito de ley orgánica, en cuanto no supone el desarrollo del núcleo esencial del derecho a la educación. Finalmente, alega que la modificación de la Ley Orgánica de educación por la Ley Orgánica 8/2013, de 9 de diciembre, que precisa que no se puede entender por discriminación por razón de sexo la escuela diferenciada y afirma que los centros de educación diferenciada tienen derecho, si cumplen con las condiciones legales, a concierto para su financiación, sólo aclara o interpreta las previsiones de la redacción anterior del art. 84.3 LOE. Concluye que la previsión del art. 17.8 de la Ley 17/2012 no afecta a la reserva de ley orgánica, por lo que este motivo debe ser rechazado.</w:t>
      </w:r>
    </w:p>
    <w:p w:rsidR="00AC56D6" w:rsidRDefault="00AC56D6" w:rsidP="00AC56D6">
      <w:pPr>
        <w:pStyle w:val="TextoNormal"/>
      </w:pPr>
    </w:p>
    <w:p w:rsidR="00AC56D6" w:rsidRDefault="00AC56D6" w:rsidP="00AC56D6">
      <w:pPr>
        <w:pStyle w:val="TextoNormal"/>
      </w:pPr>
      <w:r>
        <w:lastRenderedPageBreak/>
        <w:t>En segundo lugar, el Abogado del Estado rechaza, asimismo, que el precepto cuestionado vulnere el art. 134.2 CE, atendiendo a la doctrina constitucional sobre el contenido de la ley de presupuestos. Partiendo de la misma, entiende que el art. 17.8 integra el denominado “contenido eventual” de la ley de presupuestos y no constituye una modificación sustantiva del ordenamiento jurídico. Tiene un carácter limitado en el ámbito temporal y tiene una conexión económica o presupuestaria evidente, que fundamenta en la remisión que el art. 117 LOE realiza a las leyes de presupuestos generales del Estado. La concreción del ámbito subjetivo de los centros beneficiarios de conciertos educativos es un elemento esencial para poder prever las habilitaciones presupuestarias. La incidencia en la ordenación del programa anual de gastos es necesaria y principal y por ello suficiente para legitimar su inclusión en la ley de presupuestos. Se trata de una conexión con su objeto (habilitación de gastos) directa, inmediata y querida por la norma. La inclusión de los centros concertados en los módulos de concierto tiene relación con los estados de gasto de los presupuestos generales del Estado al tratar sobre la financiación de centros docentes concertados con cargo a los presupuestos de las Administraciones públicas.</w:t>
      </w:r>
    </w:p>
    <w:p w:rsidR="00AC56D6" w:rsidRDefault="00AC56D6" w:rsidP="00AC56D6">
      <w:pPr>
        <w:pStyle w:val="TextoNormal"/>
      </w:pPr>
    </w:p>
    <w:p w:rsidR="00AC56D6" w:rsidRDefault="00AC56D6" w:rsidP="00AC56D6">
      <w:pPr>
        <w:pStyle w:val="TextoNormal"/>
      </w:pPr>
      <w:r w:rsidRPr="00AC56D6">
        <w:rPr>
          <w:rStyle w:val="NumeroAFNegritaCaracter"/>
        </w:rPr>
        <w:t>7</w:t>
      </w:r>
      <w:r>
        <w:t>. El 18 de febrero de 2015 presentó sus alegaciones la Fiscal General del Estado, interesando la desestimación de la cuestión por las razones que se resumen a continuación.</w:t>
      </w:r>
    </w:p>
    <w:p w:rsidR="00AC56D6" w:rsidRDefault="00AC56D6" w:rsidP="00AC56D6">
      <w:pPr>
        <w:pStyle w:val="TextoNormal"/>
      </w:pPr>
    </w:p>
    <w:p w:rsidR="00AC56D6" w:rsidRDefault="00AC56D6" w:rsidP="00AC56D6">
      <w:pPr>
        <w:pStyle w:val="TextoNormal"/>
      </w:pPr>
      <w:r>
        <w:t>Expone, en primer lugar, los antecedentes de hecho de la cuestión, así como el contenido del art. 17 y de los anexos IV y V de la Ley 17/2012, de 27 de diciembre, y del propio Auto de planteamiento de la cuestión.</w:t>
      </w:r>
    </w:p>
    <w:p w:rsidR="00AC56D6" w:rsidRDefault="00AC56D6" w:rsidP="00AC56D6">
      <w:pPr>
        <w:pStyle w:val="TextoNormal"/>
      </w:pPr>
    </w:p>
    <w:p w:rsidR="00AC56D6" w:rsidRDefault="00AC56D6" w:rsidP="00AC56D6">
      <w:pPr>
        <w:pStyle w:val="TextoNormal"/>
      </w:pPr>
      <w:r>
        <w:t>Antes de abordar el examen de las cuestiones planteadas en el Auto, analiza la pervivencia del objeto, dado que las previsiones anteriormente citadas se limitaban al ejercicio presupuestario de 2013; llega a la conclusión de que, conforme a la doctrina de este Tribunal, no se ha producido la pérdida de objeto del presente proceso constitucional.</w:t>
      </w:r>
    </w:p>
    <w:p w:rsidR="00AC56D6" w:rsidRDefault="00AC56D6" w:rsidP="00AC56D6">
      <w:pPr>
        <w:pStyle w:val="TextoNormal"/>
      </w:pPr>
    </w:p>
    <w:p w:rsidR="00AC56D6" w:rsidRDefault="00AC56D6" w:rsidP="00AC56D6">
      <w:pPr>
        <w:pStyle w:val="TextoNormal"/>
      </w:pPr>
      <w:r>
        <w:t>En cuanto al fondo del asunto, considera, en primer lugar, que el art. 17.8 de la Ley 17/2012 no vulnera el art. 134. 2 CE, conforme a la doctrina constitucional. La regulación prevista en el citado precepto no puede ser escindida de su contexto, constituido no sólo por los números 1 a 7 del artículo 17, sino también por los anexos IV y V de esa misma Ley. La norma cuestionada, en cuanto dispone que dicha regulación es plenamente aplicable a la financiación de todos los centros concertados, incluidos los de educación diferenciada que escolarizan alumnos de un solo sexo, no hace sino extender a estos una serie de disposiciones que obedecen sin ningún género de dudas al “contenido propio” o “núcleo esencial” del presupuesto.</w:t>
      </w:r>
    </w:p>
    <w:p w:rsidR="00AC56D6" w:rsidRDefault="00AC56D6" w:rsidP="00AC56D6">
      <w:pPr>
        <w:pStyle w:val="TextoNormal"/>
      </w:pPr>
    </w:p>
    <w:p w:rsidR="00AC56D6" w:rsidRDefault="00AC56D6" w:rsidP="00AC56D6">
      <w:pPr>
        <w:pStyle w:val="TextoNormal"/>
      </w:pPr>
      <w:r>
        <w:t xml:space="preserve">En segundo lugar, considera que el precepto cuestionado tampoco vulnera el art. 81.1 CE. Partiendo de la doctrina establecida en la STC 86/1985, afirma que el art. 27.9 CE ni enuncia un derecho fundamental a la prestación pública, ni encierra un derecho subjetivo a la misma. Si, además, tal prestación pública habrá de ser dispuesta por la Ley, parece obvio concluir que esta materia no forma parte esencial del derecho consagrado en el art. 27.9 CE; siendo esto así, resulta igualmente obvio que no existe un deber </w:t>
      </w:r>
      <w:r w:rsidRPr="00AC56D6">
        <w:rPr>
          <w:i/>
        </w:rPr>
        <w:t>ex constitutione</w:t>
      </w:r>
      <w:r>
        <w:t xml:space="preserve"> de regular tal materia mediante ley orgánica.</w:t>
      </w:r>
    </w:p>
    <w:p w:rsidR="00AC56D6" w:rsidRDefault="00AC56D6" w:rsidP="00AC56D6">
      <w:pPr>
        <w:pStyle w:val="TextoNormal"/>
      </w:pPr>
    </w:p>
    <w:p w:rsidR="00AC56D6" w:rsidRDefault="00AC56D6" w:rsidP="00AC56D6">
      <w:pPr>
        <w:pStyle w:val="TextoNormal"/>
      </w:pPr>
      <w:r w:rsidRPr="00AC56D6">
        <w:rPr>
          <w:rStyle w:val="NumeroAFNegritaCaracter"/>
        </w:rPr>
        <w:t>8</w:t>
      </w:r>
      <w:r>
        <w:t xml:space="preserve">. Por acuerdo del Presidente del Tribunal de 10 de noviembre de 2015, de conformidad con el art. 15 LOTC y el acuerdo del Pleno del Tribunal Constitucional de 20 de enero de </w:t>
      </w:r>
      <w:r>
        <w:lastRenderedPageBreak/>
        <w:t>2005, el Excmo. Sr. Presidente asumió la ponencia de la presente cuestión de inconstitucionalidad, en sustitución del Magistrado Excmo. Sr. don Luis Ignacio Ortega Álvarez, por fallecimiento del mismo.</w:t>
      </w:r>
    </w:p>
    <w:p w:rsidR="00AC56D6" w:rsidRDefault="00AC56D6" w:rsidP="00AC56D6">
      <w:pPr>
        <w:pStyle w:val="TextoNormal"/>
      </w:pPr>
    </w:p>
    <w:p w:rsidR="00AC56D6" w:rsidRDefault="00AC56D6" w:rsidP="00AC56D6">
      <w:pPr>
        <w:pStyle w:val="TextoNormal"/>
      </w:pPr>
      <w:r w:rsidRPr="00AC56D6">
        <w:rPr>
          <w:rStyle w:val="NumeroAFNegritaCaracter"/>
        </w:rPr>
        <w:t>9</w:t>
      </w:r>
      <w:r>
        <w:t>. Por providencia de 26 de noviembre de 2015 se señaló para deliberación y votación de la presente Sentencia el día 30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Sección Tercera de la Sala de lo Contencioso-Administrativo del Tribunal Superior de Justicia de Andalucía, con sede en Sevilla, plantea cuestión de inconstitucionalidad sobre el art. 17.8 de la Ley 17/2012, de 27 de diciembre, de presupuestos generales del Estado para el año 2013 (en adelante, Ley 17/2012).</w:t>
      </w:r>
    </w:p>
    <w:p w:rsidR="00AC56D6" w:rsidRDefault="00AC56D6" w:rsidP="00AC56D6">
      <w:pPr>
        <w:pStyle w:val="TextoNormal"/>
      </w:pPr>
    </w:p>
    <w:p w:rsidR="00AC56D6" w:rsidRDefault="00AC56D6" w:rsidP="00AC56D6">
      <w:pPr>
        <w:pStyle w:val="TextoNormal"/>
      </w:pPr>
      <w:r>
        <w:t>El art. 17 de la citada Ley regula el módulo económico de distribución de fondos públicos para sostenimiento de centros concertados, en cumplimiento, conforme a su primer apartado, de lo dispuesto en el art. 117 de la Ley Orgánica 2/2006, de 3 de mayo, de educación (LOE). Este precepto determina que se fijará anualmente en los presupuestos generales del Estado el importe del módulo económico por unidad escolar, a efectos de distribución de la cuantía global de los fondos públicos destinados al sostenimiento de los centros privados concertados para hacer efectiva la gratuidad de las enseñanzas objeto de concierto. Asimismo, establece los diferentes conceptos que integran dicho módulo (salarios del personal docente, cantidades asignadas a otros gastos y cantidades para atender al pago de diferentes conceptos como los de antigüedad, sustituciones o ejercicio de la función directiva).</w:t>
      </w:r>
    </w:p>
    <w:p w:rsidR="00AC56D6" w:rsidRDefault="00AC56D6" w:rsidP="00AC56D6">
      <w:pPr>
        <w:pStyle w:val="TextoNormal"/>
      </w:pPr>
    </w:p>
    <w:p w:rsidR="00AC56D6" w:rsidRDefault="00AC56D6" w:rsidP="00AC56D6">
      <w:pPr>
        <w:pStyle w:val="TextoNormal"/>
      </w:pPr>
      <w:r>
        <w:t>El apartado 8 del art. 17 de la Ley 17/2012, objeto del presente proceso constitucional, determina lo siguiente:</w:t>
      </w:r>
    </w:p>
    <w:p w:rsidR="00AC56D6" w:rsidRDefault="00AC56D6" w:rsidP="00AC56D6">
      <w:pPr>
        <w:pStyle w:val="TextoNormal"/>
      </w:pPr>
    </w:p>
    <w:p w:rsidR="00AC56D6" w:rsidRDefault="00AC56D6" w:rsidP="00AC56D6">
      <w:pPr>
        <w:pStyle w:val="TextoNormal"/>
      </w:pPr>
      <w:r>
        <w:t>“Lo establecido en este artículo será plenamente aplicable a la financiación de todos los centros concertados incluidos los de educación diferenciada que escolarizan alumnos de un solo sexo, y ello, con independencia del modelo de agrupamiento de alumnos que realicen los centros docentes en el ejercicio de sus competencias.”</w:t>
      </w:r>
    </w:p>
    <w:p w:rsidR="00AC56D6" w:rsidRDefault="00AC56D6" w:rsidP="00AC56D6">
      <w:pPr>
        <w:pStyle w:val="TextoNormal"/>
      </w:pPr>
    </w:p>
    <w:p w:rsidR="00AC56D6" w:rsidRDefault="00AC56D6" w:rsidP="00AC56D6">
      <w:pPr>
        <w:pStyle w:val="TextoNormal"/>
      </w:pPr>
      <w:r>
        <w:t>En síntesis, entiende el órgano judicial que el art. 17.8 de la Ley 17/2012 podría vulnerar tanto el art. 81.1 CE, pues está reservado a ley orgánica regular aspectos esenciales de un derecho fundamental, como el art. 134.2 CE, por no poder considerarse dicho párrafo contenido necesario ni eventual de la ley de presupuestos, conforme a la doctrina constitucional.</w:t>
      </w:r>
    </w:p>
    <w:p w:rsidR="00AC56D6" w:rsidRDefault="00AC56D6" w:rsidP="00AC56D6">
      <w:pPr>
        <w:pStyle w:val="TextoNormal"/>
      </w:pPr>
    </w:p>
    <w:p w:rsidR="00AC56D6" w:rsidRDefault="00AC56D6" w:rsidP="00AC56D6">
      <w:pPr>
        <w:pStyle w:val="TextoNormal"/>
      </w:pPr>
      <w:r>
        <w:t>Como se ha dejado constancia en los antecedentes, tanto el Abogado del Estado como el Fiscal General del Estado interesan la desestimación de la cuestión, por entender que no concurren las vulneraciones constitucionales apreciadas por el órgano judicial.</w:t>
      </w:r>
    </w:p>
    <w:p w:rsidR="00AC56D6" w:rsidRDefault="00AC56D6" w:rsidP="00AC56D6">
      <w:pPr>
        <w:pStyle w:val="TextoNormal"/>
      </w:pPr>
    </w:p>
    <w:p w:rsidR="00AC56D6" w:rsidRDefault="00AC56D6" w:rsidP="00AC56D6">
      <w:pPr>
        <w:pStyle w:val="TextoNormal"/>
      </w:pPr>
      <w:r w:rsidRPr="00AC56D6">
        <w:rPr>
          <w:rStyle w:val="NumeroAFNegritaCaracter"/>
        </w:rPr>
        <w:t>2</w:t>
      </w:r>
      <w:r>
        <w:t>. En nuestra reciente STC 234/2015, de 5 de noviembre, hemos resuelto inadmitir una cuestión de inconstitucionalidad (núm. 6518-2014) idéntica a la presente, planteada por el mismo órgano judicial, por inadecuada formulación del juicio de relevancia (art. 35.1 de la Ley Orgánica del Tribunal Constitucional: LOTC). En consecuencia, por remisión a lo entonces razonado, la presente cuestión ha de correr igual suerte.</w:t>
      </w:r>
    </w:p>
    <w:p w:rsidR="00AC56D6" w:rsidRDefault="00AC56D6" w:rsidP="00AC56D6">
      <w:pPr>
        <w:pStyle w:val="TextoNormal"/>
      </w:pPr>
    </w:p>
    <w:p w:rsidR="00AC56D6" w:rsidRDefault="00AC56D6" w:rsidP="00AC56D6">
      <w:pPr>
        <w:pStyle w:val="TextoNormal"/>
      </w:pPr>
      <w:r>
        <w:t xml:space="preserve">En efecto, en la citada STC 234/2015, FJ 2, apreciamos que en la explicación de la dependencia del fallo del proceso </w:t>
      </w:r>
      <w:r w:rsidRPr="00AC56D6">
        <w:rPr>
          <w:i/>
        </w:rPr>
        <w:t>a quo</w:t>
      </w:r>
      <w:r>
        <w:t xml:space="preserve"> de la validez constitucional de la norma cuestionada que realiza el órgano judicial “no ha tenido en cuenta lo dispuesto en la disposición transitoria segunda de la Ley Orgánica 8/2013, de 9 de diciembre, para la mejora de la calidad educativa (LOMCE), en relación con la aplicación temporal de la redacción dada al art. 84.3 de la Ley Orgánica 2/2006, de 3 de mayo, de Educación (LOE), por el art. Único. Sesenta y uno LOMCE. Conforme a esta disposición transitoria los centros privados a los que en 2013 se les haya denegado la renovación del concierto educativo o reducido las unidades escolares concertadas por el único motivo de ofrecer educación diferenciada por sexos podrán solicitar que se les aplique lo indicado en el artículo 84.3 de esta Ley Orgánica para el resto del actual período de conciertos en el plazo de dos meses desde su entrada en vigor. En relación con ello la nueva redacción del art. 84.3 LOE señala expresamente que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 Dado el tenor de tales preceptos, es claro que pudieran resultar directamente aplicables a un supuesto de hecho como el considerado en el caso a quo, cuyo objeto es una Orden autonómica de 27 de febrero de 2013, por la que se deniega la solicitud de renovación del concierto educativo con un centro docente privado, a partir del curso académico 2013-2014, precisamente por no cumplir con lo establecido en la redacción anterior del art. 84.3 LOE, en lo que se refiere a la no discriminación por razón de sexo al no comprometerse a escolarizar alumnado de ambos sexos. Pese a que la LOMCE entró en vigor a los veinte días de su publicación en el ‘Boletín Oficial del Estado’, que tuvo lugar el 10 de diciembre de 2013 y, por tanto, ya estaba vigente el 14 de octubre de 2014, momento en el que se acuerda plantear la cuestión dictando el correspondiente Auto, el órgano judicial no hace referencia alguna a este precepto en su argumentación, ni tampoco a las razones por las que, en su defecto, entiende que no es de aplicación al caso que ha de resolver”.</w:t>
      </w:r>
    </w:p>
    <w:p w:rsidR="00AC56D6" w:rsidRDefault="00AC56D6" w:rsidP="00AC56D6">
      <w:pPr>
        <w:pStyle w:val="TextoNormal"/>
      </w:pPr>
    </w:p>
    <w:p w:rsidR="00AC56D6" w:rsidRDefault="00AC56D6" w:rsidP="00AC56D6">
      <w:pPr>
        <w:pStyle w:val="TextoNormal"/>
      </w:pPr>
      <w:r>
        <w:t xml:space="preserve">Se entendió que “dicha omisión condiciona ineludiblemente la valoración acerca de la adecuada formulación de los juicios de aplicabilidad y relevancia exigidos para el planteamiento de la cuestión de inconstitucionalidad por el art. 35 LOTC”. Ello porque “en el supuesto que consideramos, teniendo presente lo dispuesto por la LOMCE y el silencio del órgano judicial al respecto, no puede asegurarse, en este momento, que el pronunciamiento de este Tribunal acerca del art. 17.8 de la Ley 17/2012, de 27 de diciembre, objeto de la presente cuestión, fuera necesario e imprescindible para resolver el caso sometido a la consideración de la Sala cuestionante, de manera que el juicio de constitucionalidad que se nos solicita sobre el precepto podría quedar desconectado de su aplicación al proceso </w:t>
      </w:r>
      <w:r w:rsidRPr="00AC56D6">
        <w:rPr>
          <w:i/>
        </w:rPr>
        <w:t>a quo</w:t>
      </w:r>
      <w:r>
        <w:t xml:space="preserve">. Es decir, se correría el riesgo de que el juicio a la ley se desarrollara ante este Tribunal sin necesidad ni pertinencia alguna, pues, realizado el enjuiciamiento y pronunciado el fallo que correspondiere, el proceso </w:t>
      </w:r>
      <w:r w:rsidRPr="00AC56D6">
        <w:rPr>
          <w:i/>
        </w:rPr>
        <w:t>a quo</w:t>
      </w:r>
      <w:r>
        <w:t xml:space="preserve"> podría concluir sin aplicar el precepto cuestionado y en atención a razones jurídicas ajenas a su conformidad o no a la Constitución. Ese sería el caso si el órgano judicial optase, una vez resuelta la cuestión, por aplicar la disposición transitoria segunda LOMCE”.</w:t>
      </w:r>
    </w:p>
    <w:p w:rsidR="00AC56D6" w:rsidRDefault="00AC56D6" w:rsidP="00AC56D6">
      <w:pPr>
        <w:pStyle w:val="TextoNormal"/>
      </w:pPr>
    </w:p>
    <w:p w:rsidR="00AC56D6" w:rsidRDefault="00AC56D6" w:rsidP="00AC56D6">
      <w:pPr>
        <w:pStyle w:val="TextoNormal"/>
      </w:pPr>
      <w:r>
        <w:lastRenderedPageBreak/>
        <w:t>En definitiva —concluimos en la STC 234/2015, FJ 2— “es indiscutible que el precepto cuestionado es aplicable para la resolución del pleito sometido a la consideración del órgano judicial, pero podría no ser el único relevante a la vista de lo regulado por la disposición transitoria segunda LOMCE en relación con el art. 84.3 LOE, reflexión que no aparece en el Auto de planteamiento, que guarda silencio respecto a la relación entre esta norma y la que ha cuestionado.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00AC56D6" w:rsidRDefault="00AC56D6" w:rsidP="00AC56D6">
      <w:pPr>
        <w:pStyle w:val="TextoNormal"/>
      </w:pPr>
    </w:p>
    <w:p w:rsidR="00AC56D6" w:rsidRDefault="00AC56D6" w:rsidP="00AC56D6">
      <w:pPr>
        <w:pStyle w:val="TextoNormal"/>
      </w:pPr>
      <w:r>
        <w:t>En consecuencia, por las mismas razones expresadas en la STC 234/2015, FJ 2, procede acordar también la inadmisión de la presente cuestión de inconstitucionalidad.</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Inadmitir la presente cuestión de inconstitucionalidad.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treinta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06" w:name="SENTENCIA_2015_250"/>
      <w:r>
        <w:lastRenderedPageBreak/>
        <w:t>SENTENCIA 250/2015, de 30 de noviembre de 2015</w:t>
      </w:r>
    </w:p>
    <w:bookmarkEnd w:id="106"/>
    <w:p w:rsidR="00AC56D6" w:rsidRDefault="00AC56D6" w:rsidP="00AC56D6">
      <w:pPr>
        <w:pStyle w:val="TtuloResolucin"/>
      </w:pPr>
      <w:r>
        <w:t>Sala Segunda</w:t>
      </w:r>
    </w:p>
    <w:p w:rsidR="00AC56D6" w:rsidRDefault="00AC56D6" w:rsidP="00AC56D6">
      <w:pPr>
        <w:pStyle w:val="TtuloBOE"/>
      </w:pPr>
      <w:r>
        <w:t>(BOE núm. 10, de 12 de enero de 2016)</w:t>
      </w:r>
    </w:p>
    <w:p w:rsidR="00AC56D6" w:rsidRDefault="00AC56D6" w:rsidP="00AC56D6">
      <w:pPr>
        <w:pStyle w:val="TextoNormalCentrado"/>
      </w:pPr>
      <w:r>
        <w:t>ECLI:ES:TC:2015:250</w:t>
      </w:r>
    </w:p>
    <w:p w:rsidR="00AC56D6" w:rsidRDefault="00AC56D6" w:rsidP="00AC56D6">
      <w:pPr>
        <w:pStyle w:val="TextoNormalCentrado"/>
      </w:pPr>
    </w:p>
    <w:p w:rsidR="00AC56D6" w:rsidRDefault="00AC56D6" w:rsidP="00AC56D6">
      <w:pPr>
        <w:pStyle w:val="SntesisDescriptiva"/>
      </w:pPr>
      <w:r>
        <w:t>Cuestión de inconstitucionalidad 6810-2014. Cuestión de inconstitucionalidad 6810-2014. Planteada por la Sala de lo Contencioso-Administrativo del Tribunal Superior de Justicia de Andalucía, con sede en Sevilla, en relación con el artículo 17.8 de la Ley 17/2012, de 27 de diciembre, de presupuestos generales del Estado para el año 2013.</w:t>
      </w:r>
    </w:p>
    <w:p w:rsidR="00AC56D6" w:rsidRDefault="00AC56D6" w:rsidP="00AC56D6">
      <w:pPr>
        <w:pStyle w:val="SntesisDescriptiva"/>
      </w:pPr>
    </w:p>
    <w:p w:rsidR="00AC56D6" w:rsidRDefault="00AC56D6" w:rsidP="00AC56D6">
      <w:pPr>
        <w:pStyle w:val="SntesisAnaltica"/>
      </w:pPr>
      <w:r>
        <w:t>Límites materiales de las leyes de presupuestos, reserva de ley orgánica: STC 234/2015 (inadmisión de la cuestión de inconstitucionalidad por inadecuada formulación del juicio de relevancia).</w:t>
      </w:r>
    </w:p>
    <w:p w:rsidR="00AC56D6" w:rsidRDefault="00AC56D6" w:rsidP="00AC56D6">
      <w:pPr>
        <w:pStyle w:val="SntesisAnaltica"/>
      </w:pPr>
    </w:p>
    <w:p w:rsidR="00AC56D6" w:rsidRDefault="00AC56D6" w:rsidP="00AC56D6">
      <w:pPr>
        <w:pStyle w:val="Extracto"/>
      </w:pPr>
      <w:r>
        <w:t>1.</w:t>
      </w:r>
      <w:r>
        <w:tab/>
        <w:t>Asunto sustancialmente idéntico al planteado en la STC 234/2015, que aplica la doctrina constitucional sobre la inadecuada formulación del juicio de relevancia [FJ 2].</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6810-2014 promovida por la Sección Tercera de la Sala de lo Contencioso-Administrativo del Tribunal Superior de Justicia de Andalucía, con sede en Sevilla, en relación con el art. 17.8 de la Ley 17/2012, de 27 de diciembre, de presupuestos generales del Estado para el año 2013. Ha comparecido y formulado alegaciones el Abogado del Estado. Ha intervenido el Fiscal General del Estado. Ha sido Ponente la Magistrada doña Adela Asua Batarrita,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El día 13 de noviembre de 2014 tuvo entrada en el Registro General de este Tribunal escrito de la Sección Tercera de la Sala de lo Contencioso-Administrativo del Tribunal Superior de Justicia de Andalucía, con sede en Sevilla, al que se acompaña, junto con el testimonio del procedimiento correspondiente, el Auto de 23 de octubre de 2014, en el que se acuerda plantear cuestión de inconstitucionalidad sobre el art. 17.8 de la Ley 17/2012, de </w:t>
      </w:r>
      <w:r>
        <w:lastRenderedPageBreak/>
        <w:t>27 de diciembre, de presupuestos generales del Estado para el año 2013, por posible vulneración de los arts. 81.1 y 134.2 CE.</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son, sucintamente expuestos, los siguientes:</w:t>
      </w:r>
    </w:p>
    <w:p w:rsidR="00AC56D6" w:rsidRDefault="00AC56D6" w:rsidP="00AC56D6">
      <w:pPr>
        <w:pStyle w:val="TextoNormal"/>
      </w:pPr>
    </w:p>
    <w:p w:rsidR="00AC56D6" w:rsidRDefault="00AC56D6" w:rsidP="00AC56D6">
      <w:pPr>
        <w:pStyle w:val="TextoNormal"/>
      </w:pPr>
      <w:r>
        <w:t>a) La Federación de Escuelas Agrarias de Andalucía, titular de un centro docente privado, interpuso recurso contencioso-administrativo contra la Orden de 27 de febrero de 2013, de la Consejería de Educación de la Junta de Andalucía, por la que se resuelve la solicitud de renovación del concierto educativo con dicho centro docente privado, a partir del curso académico 2013-2014. Dicha orden denegaba el concierto educativo para el referido centro docente por no cumplir presuntamente con lo establecido en el art. 84.3 de la Ley Orgánica 2/2006, de 3 de mayo, de educación (LOE), en lo que se refiere a la no discriminación por razón de sexo.</w:t>
      </w:r>
    </w:p>
    <w:p w:rsidR="00AC56D6" w:rsidRDefault="00AC56D6" w:rsidP="00AC56D6">
      <w:pPr>
        <w:pStyle w:val="TextoNormal"/>
      </w:pPr>
    </w:p>
    <w:p w:rsidR="00AC56D6" w:rsidRDefault="00AC56D6" w:rsidP="00AC56D6">
      <w:pPr>
        <w:pStyle w:val="TextoNormal"/>
      </w:pPr>
      <w:r>
        <w:t>b) El recurso contencioso-administrativo, interpuesto ante la Sala de lo Contencioso-Administrativo del Tribunal Superior de Justicia de Andalucía, con sede en Sevilla, se basaba, entre otros motivos de ilegalidad e inconstitucionalidad, en que la Administración había incumplido el mandato establecido en el art. 17.8 de la Ley 17/2012, de 27 de diciembre, que había entrado en vigor el 1 de enero de 2013. El Letrado de la Junta de Andalucía, en la contestación a la demanda, alegaba la inconstitucionalidad del citado artículo 17.8 por vulneración de la reserva de ley orgánica del art. 81 CE y por exceder del contenido admisible para una ley de presupuestos, con vulneración, además, del principio de igualdad de los arts. 9.3 y 14 CE; solicitaba a su vez el planteamiento de la cuestión de inconstitucionalidad para el caso de que la Sala estimase que dicho precepto legal es esencial para la resolución del asunto.</w:t>
      </w:r>
    </w:p>
    <w:p w:rsidR="00AC56D6" w:rsidRDefault="00AC56D6" w:rsidP="00AC56D6">
      <w:pPr>
        <w:pStyle w:val="TextoNormal"/>
      </w:pPr>
    </w:p>
    <w:p w:rsidR="00AC56D6" w:rsidRDefault="00AC56D6" w:rsidP="00AC56D6">
      <w:pPr>
        <w:pStyle w:val="TextoNormal"/>
      </w:pPr>
      <w:r>
        <w:t>c) Estando conclusas las actuaciones y señalado para votación y fallo el día 25 de junio de 2014, se dictó por la Sala providencia en esa misma fecha dando plazo común de diez días para alegaciones a las partes y al Ministerio Fiscal, conforme a lo dispuesto en los arts. 5.2 de la Ley Orgánica del Poder Judicial (LOPJ) y 35.2 de la Ley Orgánica del Tribunal Constitucional (LOTC), por considerar la Sala “que el artículo 17.8 de la Ley 17/2012, de 27 de diciembre, de Presupuestos Generales del Estado, de cuya validez depende el fallo, pudiera ser contrario a la Constitución”.</w:t>
      </w:r>
    </w:p>
    <w:p w:rsidR="00AC56D6" w:rsidRDefault="00AC56D6" w:rsidP="00AC56D6">
      <w:pPr>
        <w:pStyle w:val="TextoNormal"/>
      </w:pPr>
    </w:p>
    <w:p w:rsidR="00AC56D6" w:rsidRDefault="00AC56D6" w:rsidP="00AC56D6">
      <w:pPr>
        <w:pStyle w:val="TextoNormal"/>
      </w:pPr>
      <w:r>
        <w:t>d) Habiendo alegado el Ministerio Fiscal que la providencia citada no cumplía las exigencias del art. 35.2 LOTC, por no mencionar la norma constitucional cuya vulneración se cuestionaba y no justificar en qué medida la decisión del proceso dependía de su validez, se dictó otra nueva de 8 de septiembre de 2014, dando plazo común de diez días, conforme a lo dispuesto en los arts. 5.2 LOPJ y 35.2 LOTC, para que las partes y el Ministerio Fiscal alegasen sobre la inconstitucionalidad en que podría incurrir el art. 17.8 de la Ley 17/2012, de 27 de diciembre, de cuya validez depende el fallo, por vulneración de los arts. 81.1 y 134.2 CE. Considera la nueva providencia que, tras el dictado del precepto mencionado, la Administración no puede seguir aplicando la jurisprudencia recaída en interpretación de la Ley Orgánica de educación. Entiende que este precepto invade la reserva de ley orgánica y excede del contenido que la Constitución contempla para las leyes de presupuestos.</w:t>
      </w:r>
    </w:p>
    <w:p w:rsidR="00AC56D6" w:rsidRDefault="00AC56D6" w:rsidP="00AC56D6">
      <w:pPr>
        <w:pStyle w:val="TextoNormal"/>
      </w:pPr>
    </w:p>
    <w:p w:rsidR="00AC56D6" w:rsidRDefault="00AC56D6" w:rsidP="00AC56D6">
      <w:pPr>
        <w:pStyle w:val="TextoNormal"/>
      </w:pPr>
      <w:r>
        <w:lastRenderedPageBreak/>
        <w:t>e) Mediante escrito de 19 de septiembre de 2014, sin pronunciarse sobre el fondo del asunto y atendiendo solo a los aspectos formales, el Ministerio Fiscal expresó la procedencia de plantear la cuestión. El Letrado de la Junta de Andalucía, mediante escrito presentado el 30 de septiembre de 2014, consideró que procedía el planteamiento de la cuestión, al estimar que el art. 17.8 de la Ley 17/2012, de 27 de diciembre, infringe el art. 81.1 CE, así como los arts. 9.3, 14, 66.2 y 134 CE.</w:t>
      </w:r>
    </w:p>
    <w:p w:rsidR="00AC56D6" w:rsidRDefault="00AC56D6" w:rsidP="00AC56D6">
      <w:pPr>
        <w:pStyle w:val="TextoNormal"/>
      </w:pPr>
    </w:p>
    <w:p w:rsidR="00AC56D6" w:rsidRDefault="00AC56D6" w:rsidP="00AC56D6">
      <w:pPr>
        <w:pStyle w:val="TextoNormal"/>
      </w:pPr>
      <w:r w:rsidRPr="00AC56D6">
        <w:rPr>
          <w:rStyle w:val="NumeroAFNegritaCaracter"/>
        </w:rPr>
        <w:t>3</w:t>
      </w:r>
      <w:r>
        <w:t>. El órgano judicial dictó Auto de 23 de octubre de 2014, en el que acuerda plantear cuestión de inconstitucionalidad respecto al art. 17.8 de la Ley 17/2012, de 27 de diciembre, de presupuestos generales del Estado para el año 2013, por posible vulneración de los arts. 81.1 y 134.2 CE.</w:t>
      </w:r>
    </w:p>
    <w:p w:rsidR="00AC56D6" w:rsidRDefault="00AC56D6" w:rsidP="00AC56D6">
      <w:pPr>
        <w:pStyle w:val="TextoNormal"/>
      </w:pPr>
    </w:p>
    <w:p w:rsidR="00AC56D6" w:rsidRDefault="00AC56D6" w:rsidP="00AC56D6">
      <w:pPr>
        <w:pStyle w:val="TextoNormal"/>
      </w:pPr>
      <w:r>
        <w:t>Del contenido del Auto interesa destacar lo siguiente:</w:t>
      </w:r>
    </w:p>
    <w:p w:rsidR="00AC56D6" w:rsidRDefault="00AC56D6" w:rsidP="00AC56D6">
      <w:pPr>
        <w:pStyle w:val="TextoNormal"/>
      </w:pPr>
    </w:p>
    <w:p w:rsidR="00AC56D6" w:rsidRDefault="00AC56D6" w:rsidP="00AC56D6">
      <w:pPr>
        <w:pStyle w:val="TextoNormal"/>
      </w:pPr>
      <w:r>
        <w:t>El órgano judicial razona que tras la entrada en vigor de la Ley Orgánica de educación resultaba conforme a derecho, de acuerdo con la jurisprudencia del Tribunal Supremo, que la Administración rechazase celebrar conciertos educativos con centros docentes privados donde no se escolarizan alumnos de ambos sexos. El estado de la cuestión, prosigue, ha cambiado con la Ley 17/2012, cuyo artículo 17 relativo al “módulo económico de distribución de fondos públicos para sostenimiento de centros concertados” estableció, en su apartado ocho, que dicha norma es plenamente aplicable a la financiación de centros concertados, incluidos los de educación diferenciada que escolarizan alumnos de un solo sexo y ello con independencia del modelo de agrupamiento de alumnos que realicen los centros docentes en el ejercicio de sus competencias. De esta manera, si de acuerdo con la Ley Orgánica de educación los centros con educación diferenciada no podían acogerse a la financiación pública, tras la Ley de presupuestos la regla es la contraria. Este precepto habría sido vulnerado por la resolución impugnada en el pleito principal, de modo que en su aplicación habría que dar razón a la recurrente en el pleito. No obstante, expresa dos dudas sobre su constitucionalidad:</w:t>
      </w:r>
    </w:p>
    <w:p w:rsidR="00AC56D6" w:rsidRDefault="00AC56D6" w:rsidP="00AC56D6">
      <w:pPr>
        <w:pStyle w:val="TextoNormal"/>
      </w:pPr>
    </w:p>
    <w:p w:rsidR="00AC56D6" w:rsidRDefault="00AC56D6" w:rsidP="00AC56D6">
      <w:pPr>
        <w:pStyle w:val="TextoNormal"/>
      </w:pPr>
      <w:r>
        <w:t>a) Relativa a la reserva a ley orgánica de la regulación de los aspectos esenciales de un derecho fundamental. Entiende el órgano judicial que no se había puesto en duda el sistema de la educación diferenciada hasta la entrada en vigor de la Ley Orgánica de educación, en cuyo artículo 84.3 se prohíbe expresamente en el régimen de admisión de alumnos la discriminación por razón de sexo. Dicho precepto, conforme a la interpretación realizada por el Tribunal Supremo, comporta que la educación separada por sexos dejó de estar autorizada para los centros docentes sostenidos con fondos públicos. Asimismo pone de relieve que en la reforma de la Ley Orgánica de educación se ha introducido, en el art. 84.3 lo siguiente: “No constituye discriminación la admisión de alumnos y alumnas o la organización de la enseñanza diferenciadas por sexos, siempre que la enseñanza que impartan se desarrolle conforme a lo dispuesto en el artículo 2 de la Convención relativa a la lucha contra las discriminaciones en la esfera de la enseñanza, aprobada por la Conferencia General de la UNESCO el 14 de diciembre de 1960”.</w:t>
      </w:r>
    </w:p>
    <w:p w:rsidR="00AC56D6" w:rsidRDefault="00AC56D6" w:rsidP="00AC56D6">
      <w:pPr>
        <w:pStyle w:val="TextoNormal"/>
      </w:pPr>
    </w:p>
    <w:p w:rsidR="00AC56D6" w:rsidRDefault="00AC56D6" w:rsidP="00AC56D6">
      <w:pPr>
        <w:pStyle w:val="TextoNormal"/>
      </w:pPr>
      <w:r>
        <w:t xml:space="preserve">b) Relativa a los límites constitucionales de la ley de presupuestos. La doctrina constitucional (STC 76/1992) establece los límites de las leyes de presupuestos, distinguiendo entre (i) el contenido necesario y (ii) el eventual, posible y no necesario, para el que se requiere la relación directa con los gastos e ingresos que integran el presupuesto o con los criterios </w:t>
      </w:r>
      <w:r>
        <w:lastRenderedPageBreak/>
        <w:t>de política económica de la que el presupuesto es instrumento. El precepto impugnado podría no cumplir los límites establecidos, en cuanto no contiene una previsión de gastos e ingresos; sería dudoso que, aun cuando pueda tener una relación directa con los ingresos o gastos del Estado, sea complemento necesario para su mejor inteligencia.</w:t>
      </w:r>
    </w:p>
    <w:p w:rsidR="00AC56D6" w:rsidRDefault="00AC56D6" w:rsidP="00AC56D6">
      <w:pPr>
        <w:pStyle w:val="TextoNormal"/>
      </w:pPr>
    </w:p>
    <w:p w:rsidR="00AC56D6" w:rsidRDefault="00AC56D6" w:rsidP="00AC56D6">
      <w:pPr>
        <w:pStyle w:val="TextoNormal"/>
      </w:pPr>
      <w:r w:rsidRPr="00AC56D6">
        <w:rPr>
          <w:rStyle w:val="NumeroAFNegritaCaracter"/>
        </w:rPr>
        <w:t>4</w:t>
      </w:r>
      <w:r>
        <w:t>. Mediante providencia de 20 de enero de 2015, el Pleno del Tribunal Constitucional, a propuesta de la Sección Tercera, acuerda admitir a trámite la presente cuestión y, conforme a lo dispuesto en el art. 10.1 c) LOTC, deferir a la Sala Segunda el conocimiento de la misma;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esta resolución a la Sección Tercera de la Sala de lo Contencioso-Administrativo del Tribunal Superior de Andalucía, con sede en Sevilla, a fin de que, de conformidad con lo dispuesto en el art. 35.3 LOTC, permanezca suspendido el proceso hasta que este Tribunal resuelva definitivamente la presente cuestión y publicar la incoación de la cuestión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El Presidente del Congreso de los Diputados, mediante escrito registrado el 30 de enero de 2015, comunicó a este Tribunal que la Mesa de la Cámara adoptó el acuerdo de personarse en el proceso, ofreciendo su colaboración a los efectos del art. 88.1 LOTC. Lo mismo hizo el Presidente del Senado por escrito que tuvo entrada en el Registro General de este Tribunal el 4 de febrero de 2015.</w:t>
      </w:r>
    </w:p>
    <w:p w:rsidR="00AC56D6" w:rsidRDefault="00AC56D6" w:rsidP="00AC56D6">
      <w:pPr>
        <w:pStyle w:val="TextoNormal"/>
      </w:pPr>
    </w:p>
    <w:p w:rsidR="00AC56D6" w:rsidRDefault="00AC56D6" w:rsidP="00AC56D6">
      <w:pPr>
        <w:pStyle w:val="TextoNormal"/>
      </w:pPr>
      <w:r w:rsidRPr="00AC56D6">
        <w:rPr>
          <w:rStyle w:val="NumeroAFNegritaCaracter"/>
        </w:rPr>
        <w:t>6</w:t>
      </w:r>
      <w:r>
        <w:t>. El 10 de febrero de 2015 se personó en el proceso el Abogado del Estado e interesó la desestimación de la cuestión por las razones que a continuación se resumen.</w:t>
      </w:r>
    </w:p>
    <w:p w:rsidR="00AC56D6" w:rsidRDefault="00AC56D6" w:rsidP="00AC56D6">
      <w:pPr>
        <w:pStyle w:val="TextoNormal"/>
      </w:pPr>
    </w:p>
    <w:p w:rsidR="00AC56D6" w:rsidRDefault="00AC56D6" w:rsidP="00AC56D6">
      <w:pPr>
        <w:pStyle w:val="TextoNormal"/>
      </w:pPr>
      <w:r>
        <w:t>Tras exponer los antecedentes del caso precisa que, a su juicio, la duda de constitucionalidad planteada se limita a la posible vulneración de los arts. 81.1 y 134.2 CE. A continuación, expone el sistema de conciertos educativos previsto en la Ley Orgánica de educación, señalando que dicha norma no establece prohibición expresa alguna sobre la financiación de centros privados que practiquen la educación diferenciada.</w:t>
      </w:r>
    </w:p>
    <w:p w:rsidR="00AC56D6" w:rsidRDefault="00AC56D6" w:rsidP="00AC56D6">
      <w:pPr>
        <w:pStyle w:val="TextoNormal"/>
      </w:pPr>
    </w:p>
    <w:p w:rsidR="00AC56D6" w:rsidRDefault="00AC56D6" w:rsidP="00AC56D6">
      <w:pPr>
        <w:pStyle w:val="TextoNormal"/>
      </w:pPr>
      <w:r>
        <w:t xml:space="preserve">El Abogado del Estado parte de la consideración de que el Auto de planteamiento de la cuestión solo desarrolla de manera mínima la vulneración del art. 81.1 CE. A su juicio, no puede sostenerse que el art. 17.8 de la Ley 17/2012 suponga una innovación normativa que afecte al núcleo esencial del derecho fundamental a la educación, conforme a la doctrina constitucional. En su opinión, el art. 17 de la Ley 17/2012 lo que hace es concretar, para el ejercicio 2013, las previsiones de los arts. 116 y ss. LOE; estos preceptos no tienen carácter orgánico, por lo que menos pueden tenerlo las previsiones dictadas en su desarrollo, que, tienen además un carácter temporal limitado al ejercicio 2013. El cuestionado artículo 17.8 establece una concreción necesaria del ámbito subjetivo de los conciertos para la aplicación de las previsiones presupuestarias. Si bien admite que el precepto se dicta en un momento en que la jurisprudencia del Tribunal Supremo entendió que los centros con educación diferenciada vulneraban el principio de igualdad en su vertiente relativa a la no discriminación por razón de sexo </w:t>
      </w:r>
      <w:r w:rsidRPr="00AC56D6">
        <w:rPr>
          <w:i/>
        </w:rPr>
        <w:t>ex</w:t>
      </w:r>
      <w:r>
        <w:t xml:space="preserve"> art. 84.3 LOE y no podían por ello ser beneficiarios de conciertos educativos, lo cierto es que la Ley Orgánica de educación no contenía una previsión expresa </w:t>
      </w:r>
      <w:r>
        <w:lastRenderedPageBreak/>
        <w:t>al respecto. En su opinión, el artículo 17.8 no introduce una previsión sustantiva contraria o diferente al art. 84.3 LOE, aunque lo interprete de una manera diferente al Tribunal Supremo. Esta diferente interpretación, al entender dentro del ámbito subjetivo de los conciertos los centros con educación diferenciada, no invade el ámbito de ley orgánica, en cuanto no supone el desarrollo del núcleo esencial del derecho a la educación. Finalmente, alega que la modificación de la Ley Orgánica de educación por la Ley Orgánica 8/2013, de 9 de diciembre, que precisa que no se puede entender por discriminación por razón de sexo la escuela diferenciada y afirma que los centros de educación diferenciada tienen derecho, si cumplen con las condiciones legales, a concierto para su financiación, sólo aclara o interpreta las previsiones de la redacción anterior del art. 84.3 LOE. Concluye que la previsión del art. 17.8 de la Ley 17/2012 no afecta a la reserva de ley orgánica, por lo que este motivo debe ser rechazado.</w:t>
      </w:r>
    </w:p>
    <w:p w:rsidR="00AC56D6" w:rsidRDefault="00AC56D6" w:rsidP="00AC56D6">
      <w:pPr>
        <w:pStyle w:val="TextoNormal"/>
      </w:pPr>
    </w:p>
    <w:p w:rsidR="00AC56D6" w:rsidRDefault="00AC56D6" w:rsidP="00AC56D6">
      <w:pPr>
        <w:pStyle w:val="TextoNormal"/>
      </w:pPr>
      <w:r>
        <w:t>En segundo lugar, el Abogado del Estado rechaza, asimismo, que el precepto cuestionado vulnere el art. 134.2 CE, atendiendo a la doctrina constitucional sobre el contenido de la ley de presupuestos. Partiendo de la misma, entiende que el art. 17.8 integra el denominado “contenido eventual” de la ley de presupuestos y no constituye una modificación sustantiva del ordenamiento jurídico. Tiene un carácter limitado en el ámbito temporal y tiene una conexión económica o presupuestaria evidente, que fundamenta en la remisión que el art. 117 LOE realiza a las leyes de presupuestos generales del Estado. La concreción del ámbito subjetivo de los centros beneficiarios de conciertos educativos es un elemento esencial para poder prever las habilitaciones presupuestarias. La incidencia en la ordenación del programa anual de gastos es necesaria y principal y por ello suficiente para legitimar su inclusión en la ley de presupuestos. Se trata de una conexión con su objeto (habilitación de gastos) directa, inmediata y querida por la norma. La inclusión de los centros concertados en los módulos de concierto tiene relación con los estados de gasto de los presupuestos generales del Estado al tratar sobre la financiación de centros docentes concertados con cargo a los presupuestos de las Administraciones públicas.</w:t>
      </w:r>
    </w:p>
    <w:p w:rsidR="00AC56D6" w:rsidRDefault="00AC56D6" w:rsidP="00AC56D6">
      <w:pPr>
        <w:pStyle w:val="TextoNormal"/>
      </w:pPr>
    </w:p>
    <w:p w:rsidR="00AC56D6" w:rsidRDefault="00AC56D6" w:rsidP="00AC56D6">
      <w:pPr>
        <w:pStyle w:val="TextoNormal"/>
      </w:pPr>
      <w:r w:rsidRPr="00AC56D6">
        <w:rPr>
          <w:rStyle w:val="NumeroAFNegritaCaracter"/>
        </w:rPr>
        <w:t>7</w:t>
      </w:r>
      <w:r>
        <w:t>. El 27 de febrero de 2015 presentó sus alegaciones la Fiscal General del Estado, interesando la desestimación de la cuestión por las razones que se resumen a continuación.</w:t>
      </w:r>
    </w:p>
    <w:p w:rsidR="00AC56D6" w:rsidRDefault="00AC56D6" w:rsidP="00AC56D6">
      <w:pPr>
        <w:pStyle w:val="TextoNormal"/>
      </w:pPr>
    </w:p>
    <w:p w:rsidR="00AC56D6" w:rsidRDefault="00AC56D6" w:rsidP="00AC56D6">
      <w:pPr>
        <w:pStyle w:val="TextoNormal"/>
      </w:pPr>
      <w:r>
        <w:t>Expone, en primer lugar, los antecedentes de hecho de la cuestión, así como el contenido del art. 17 y de los anexos IV y V de la Ley 17/2012, de 27 de diciembre, y del propio Auto de planteamiento de la cuestión.</w:t>
      </w:r>
    </w:p>
    <w:p w:rsidR="00AC56D6" w:rsidRDefault="00AC56D6" w:rsidP="00AC56D6">
      <w:pPr>
        <w:pStyle w:val="TextoNormal"/>
      </w:pPr>
    </w:p>
    <w:p w:rsidR="00AC56D6" w:rsidRDefault="00AC56D6" w:rsidP="00AC56D6">
      <w:pPr>
        <w:pStyle w:val="TextoNormal"/>
      </w:pPr>
      <w:r>
        <w:t>Antes de abordar el examen de las cuestiones planteadas en el Auto, analiza la pervivencia del objeto, dado que las previsiones anteriormente citadas se limitaban al ejercicio presupuestario de 2013; llega a la conclusión de que, conforme a la doctrina de este Tribunal, no se ha producido la pérdida de objeto del presente proceso constitucional.</w:t>
      </w:r>
    </w:p>
    <w:p w:rsidR="00AC56D6" w:rsidRDefault="00AC56D6" w:rsidP="00AC56D6">
      <w:pPr>
        <w:pStyle w:val="TextoNormal"/>
      </w:pPr>
    </w:p>
    <w:p w:rsidR="00AC56D6" w:rsidRDefault="00AC56D6" w:rsidP="00AC56D6">
      <w:pPr>
        <w:pStyle w:val="TextoNormal"/>
      </w:pPr>
      <w:r>
        <w:t xml:space="preserve">En cuanto al fondo del asunto, considera, en primer lugar, que el art. 17.8 de la Ley 17/2012 no vulnera el art. 134. 2 CE, conforme a la doctrina constitucional. La regulación prevista en el citado precepto no puede ser escindida de su contexto, constituido no sólo por los números 1 a 7 del artículo 17, sino también por los anexos IV y V de esa misma Ley. La norma cuestionada, en cuanto dispone que dicha regulación es plenamente aplicable a la financiación de todos los centros concertados, incluidos los de educación diferenciada que </w:t>
      </w:r>
      <w:r>
        <w:lastRenderedPageBreak/>
        <w:t>escolarizan alumnos de un solo sexo, no hace sino extender a estos una serie de disposiciones que obedecen sin ningún género de dudas al “contenido propio” o “núcleo esencial” del presupuesto.</w:t>
      </w:r>
    </w:p>
    <w:p w:rsidR="00AC56D6" w:rsidRDefault="00AC56D6" w:rsidP="00AC56D6">
      <w:pPr>
        <w:pStyle w:val="TextoNormal"/>
      </w:pPr>
    </w:p>
    <w:p w:rsidR="00AC56D6" w:rsidRDefault="00AC56D6" w:rsidP="00AC56D6">
      <w:pPr>
        <w:pStyle w:val="TextoNormal"/>
      </w:pPr>
      <w:r>
        <w:t xml:space="preserve">En segundo lugar, considera que el precepto cuestionado tampoco vulnera el art. 81.1 CE. Partiendo de la doctrina establecida en la STC 86/1985, afirma que el art. 27.9 CE ni enuncia un derecho fundamental a la prestación pública, ni encierra un derecho subjetivo a la misma. Si, además, tal prestación pública habrá de ser dispuesta por la Ley, parece obvio concluir que esta materia no forma parte esencial del derecho consagrado en el art. 27.9 CE; siendo esto así, resulta igualmente obvio que no existe un deber </w:t>
      </w:r>
      <w:r w:rsidRPr="00AC56D6">
        <w:rPr>
          <w:i/>
        </w:rPr>
        <w:t>ex constitutione</w:t>
      </w:r>
      <w:r>
        <w:t xml:space="preserve"> de regular tal materia mediante ley orgánica.</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26 de noviembre de 2015 se señaló para deliberación y votación de la presente Sentencia el día 30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Sección Tercera de la Sala de lo Contencioso-Administrativo del Tribunal Superior de Justicia de Andalucía, con sede en Sevilla, plantea cuestión de inconstitucionalidad sobre el art. 17.8 de la Ley 17/2012, de 27 de diciembre, de presupuestos generales del Estado para el año 2013 (en adelante, Ley 17/2012).</w:t>
      </w:r>
    </w:p>
    <w:p w:rsidR="00AC56D6" w:rsidRDefault="00AC56D6" w:rsidP="00AC56D6">
      <w:pPr>
        <w:pStyle w:val="TextoNormal"/>
      </w:pPr>
    </w:p>
    <w:p w:rsidR="00AC56D6" w:rsidRDefault="00AC56D6" w:rsidP="00AC56D6">
      <w:pPr>
        <w:pStyle w:val="TextoNormal"/>
      </w:pPr>
      <w:r>
        <w:t>El art. 17 de la citada Ley regula el módulo económico de distribución de fondos públicos para sostenimiento de centros concertados, en cumplimiento, conforme a su primer apartado, de lo dispuesto en el art. 117 de la Ley Orgánica 2/2006, de 3 de mayo, de educación (LOE). Este precepto determina que se fijará anualmente en los presupuestos generales del Estado el importe del módulo económico por unidad escolar, a efectos de distribución de la cuantía global de los fondos públicos destinados al sostenimiento de los centros privados concertados para hacer efectiva la gratuidad de las enseñanzas objeto de concierto. Asimismo, establece los diferentes conceptos que integran dicho módulo (salarios del personal docente, cantidades asignadas a otros gastos y cantidades para atender al pago de diferentes conceptos como los de antigüedad, sustituciones o ejercicio de la función directiva).</w:t>
      </w:r>
    </w:p>
    <w:p w:rsidR="00AC56D6" w:rsidRDefault="00AC56D6" w:rsidP="00AC56D6">
      <w:pPr>
        <w:pStyle w:val="TextoNormal"/>
      </w:pPr>
    </w:p>
    <w:p w:rsidR="00AC56D6" w:rsidRDefault="00AC56D6" w:rsidP="00AC56D6">
      <w:pPr>
        <w:pStyle w:val="TextoNormal"/>
      </w:pPr>
      <w:r>
        <w:t>El apartado 8 del art. 17 de la Ley 17/2012, objeto del presente proceso constitucional, determina lo siguiente:</w:t>
      </w:r>
    </w:p>
    <w:p w:rsidR="00AC56D6" w:rsidRDefault="00AC56D6" w:rsidP="00AC56D6">
      <w:pPr>
        <w:pStyle w:val="TextoNormal"/>
      </w:pPr>
    </w:p>
    <w:p w:rsidR="00AC56D6" w:rsidRDefault="00AC56D6" w:rsidP="00AC56D6">
      <w:pPr>
        <w:pStyle w:val="TextoNormal"/>
      </w:pPr>
      <w:r>
        <w:t>“Lo establecido en este artículo será plenamente aplicable a la financiación de todos los centros concertados incluidos los de educación diferenciada que escolarizan alumnos de un solo sexo, y ello, con independencia del modelo de agrupamiento de alumnos que realicen los centros docentes en el ejercicio de sus competencias.”</w:t>
      </w:r>
    </w:p>
    <w:p w:rsidR="00AC56D6" w:rsidRDefault="00AC56D6" w:rsidP="00AC56D6">
      <w:pPr>
        <w:pStyle w:val="TextoNormal"/>
      </w:pPr>
    </w:p>
    <w:p w:rsidR="00AC56D6" w:rsidRDefault="00AC56D6" w:rsidP="00AC56D6">
      <w:pPr>
        <w:pStyle w:val="TextoNormal"/>
      </w:pPr>
      <w:r>
        <w:t>En síntesis, entiende el órgano judicial que el art. 17.8 de la Ley 17/2012 podría vulnerar tanto el art. 81.1 CE, pues está reservado a ley orgánica regular aspectos esenciales de un derecho fundamental, como el art. 134.2 CE, por no poder considerarse dicho párrafo contenido necesario ni eventual de la ley de presupuestos, conforme a la doctrina constitucional.</w:t>
      </w:r>
    </w:p>
    <w:p w:rsidR="00AC56D6" w:rsidRDefault="00AC56D6" w:rsidP="00AC56D6">
      <w:pPr>
        <w:pStyle w:val="TextoNormal"/>
      </w:pPr>
    </w:p>
    <w:p w:rsidR="00AC56D6" w:rsidRDefault="00AC56D6" w:rsidP="00AC56D6">
      <w:pPr>
        <w:pStyle w:val="TextoNormal"/>
      </w:pPr>
      <w:r>
        <w:lastRenderedPageBreak/>
        <w:t>Como se ha dejado constancia en los antecedentes, tanto el Abogado del Estado como el Fiscal General del Estado interesan la desestimación de la cuestión, por entender que no concurren las vulneraciones constitucionales apreciadas por el órgano judicial.</w:t>
      </w:r>
    </w:p>
    <w:p w:rsidR="00AC56D6" w:rsidRDefault="00AC56D6" w:rsidP="00AC56D6">
      <w:pPr>
        <w:pStyle w:val="TextoNormal"/>
      </w:pPr>
    </w:p>
    <w:p w:rsidR="00AC56D6" w:rsidRDefault="00AC56D6" w:rsidP="00AC56D6">
      <w:pPr>
        <w:pStyle w:val="TextoNormal"/>
      </w:pPr>
      <w:r w:rsidRPr="00AC56D6">
        <w:rPr>
          <w:rStyle w:val="NumeroAFNegritaCaracter"/>
        </w:rPr>
        <w:t>2</w:t>
      </w:r>
      <w:r>
        <w:t>. En nuestra reciente STC 234/2015, de 5 de noviembre, hemos resuelto inadmitir una cuestión de inconstitucionalidad (núm. 6518-2014) idéntica a la presente, planteada por el mismo órgano judicial, por inadecuada formulación del juicio de relevancia (art. 35.1 de la Ley Orgánica del Tribunal Constitucional: LOTC). En consecuencia, por remisión a lo entonces razonado, la presente cuestión ha de correr igual suerte.</w:t>
      </w:r>
    </w:p>
    <w:p w:rsidR="00AC56D6" w:rsidRDefault="00AC56D6" w:rsidP="00AC56D6">
      <w:pPr>
        <w:pStyle w:val="TextoNormal"/>
      </w:pPr>
    </w:p>
    <w:p w:rsidR="00AC56D6" w:rsidRDefault="00AC56D6" w:rsidP="00AC56D6">
      <w:pPr>
        <w:pStyle w:val="TextoNormal"/>
      </w:pPr>
      <w:r>
        <w:t xml:space="preserve">En efecto, en la citada STC 234/2015, FJ 2, apreciamos que en la explicación de la dependencia del fallo del proceso </w:t>
      </w:r>
      <w:r w:rsidRPr="00AC56D6">
        <w:rPr>
          <w:i/>
        </w:rPr>
        <w:t>a quo</w:t>
      </w:r>
      <w:r>
        <w:t xml:space="preserve"> de la validez constitucional de la norma cuestionada que realiza el órgano judicial “no ha tenido en cuenta lo dispuesto en la disposición transitoria segunda de la Ley Orgánica 8/2013, de 9 de diciembre, para la mejora de la calidad educativa (LOMCE), en relación con la aplicación temporal de la redacción dada al art. 84.3 de la Ley Orgánica 2/2006, de 3 de mayo, de educación (LOE), por el art. Único.71 LOMCE. Conforme a esta disposición transitoria ‘Los centros privados a los que en 2013 se les haya denegado la renovación del concierto educativo o reducido las unidades escolares concertadas por el único motivo de ofrecer educación diferenciada por sexos podrán solicitar que se les aplique lo indicado en el artículo 84.3 de esta Ley Orgánica para el resto del actual período de conciertos en el plazo de dos meses desde su entrada en vigor’. En relación con ello la nueva redacción del art. 84.3 LOE señala expresamente que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 Dado el tenor de tales preceptos, es claro que pudieran resultar directamente aplicables a un supuesto de hecho como el considerado en el caso a quo, cuyo objeto es una Orden autonómica de 27 de febrero de 2013, por la que se deniega la solicitud de renovación del concierto educativo con un centro docente privado, a partir del curso académico 2013-2014, precisamente por no cumplir con lo establecido en la redacción anterior del art. 84.3 LOE, en lo que se refiere a la no discriminación por razón de sexo al no comprometerse a escolarizar alumnado de ambos sexos. Pese a que la LOMCE entró en vigor a los veinte días de su publicación en el ‘Boletín Oficial del Estado’, que tuvo lugar el 10 de diciembre de 2013 y, por tanto, ya estaba vigente el 14 de octubre de 2014, momento en el que se acuerda plantear la cuestión dictando el correspondiente Auto, el órgano judicial no hace referencia alguna a este precepto en su argumentación, ni tampoco a las razones por las que, en su defecto, entiende que no es de aplicación al caso que ha de resolver”.</w:t>
      </w:r>
    </w:p>
    <w:p w:rsidR="00AC56D6" w:rsidRDefault="00AC56D6" w:rsidP="00AC56D6">
      <w:pPr>
        <w:pStyle w:val="TextoNormal"/>
      </w:pPr>
    </w:p>
    <w:p w:rsidR="00AC56D6" w:rsidRDefault="00AC56D6" w:rsidP="00AC56D6">
      <w:pPr>
        <w:pStyle w:val="TextoNormal"/>
      </w:pPr>
      <w:r>
        <w:t xml:space="preserve">Se entendió que “dicha omisión condiciona ineludiblemente la valoración acerca de la adecuada formulación de los juicios de aplicabilidad y relevancia exigidos para el planteamiento de la cuestión de inconstitucionalidad por el art. 35 LOTC”. Ello porque “en el supuesto que consideramos, teniendo presente lo dispuesto por la LOMCE y el silencio del órgano judicial al respecto, no puede asegurarse, en este momento, que el pronunciamiento de este Tribunal acerca del art. 17.8 de la Ley 17/2012, de 27 de diciembre, objeto de la presente cuestión, fuera necesario e imprescindible para resolver el caso sometido a la consideración de la Sala cuestionante, de manera que el juicio de constitucionalidad que se nos </w:t>
      </w:r>
      <w:r>
        <w:lastRenderedPageBreak/>
        <w:t xml:space="preserve">solicita sobre el precepto podría quedar desconectado de su aplicación al proceso </w:t>
      </w:r>
      <w:r w:rsidRPr="00AC56D6">
        <w:rPr>
          <w:i/>
        </w:rPr>
        <w:t>a quo</w:t>
      </w:r>
      <w:r>
        <w:t xml:space="preserve">. Es decir, se correría el riesgo de que el juicio a la ley se desarrollara ante este Tribunal sin necesidad ni pertinencia alguna, pues, realizado el enjuiciamiento y pronunciado el fallo que correspondiere, el proceso </w:t>
      </w:r>
      <w:r w:rsidRPr="00AC56D6">
        <w:rPr>
          <w:i/>
        </w:rPr>
        <w:t>a quo</w:t>
      </w:r>
      <w:r>
        <w:t xml:space="preserve"> podría concluir sin aplicar el precepto cuestionado y en atención a razones jurídicas ajenas a su conformidad o no a la Constitución. Ese sería el caso si el órgano judicial optase, una vez resuelta la cuestión, por aplicar la disposición transitoria segunda LOMCE”.</w:t>
      </w:r>
    </w:p>
    <w:p w:rsidR="00AC56D6" w:rsidRDefault="00AC56D6" w:rsidP="00AC56D6">
      <w:pPr>
        <w:pStyle w:val="TextoNormal"/>
      </w:pPr>
    </w:p>
    <w:p w:rsidR="00AC56D6" w:rsidRDefault="00AC56D6" w:rsidP="00AC56D6">
      <w:pPr>
        <w:pStyle w:val="TextoNormal"/>
      </w:pPr>
      <w:r>
        <w:t>En definitiva —concluimos en la STC 234/2015, FJ 2— “es indiscutible que el precepto cuestionado es aplicable para la resolución del pleito sometido a la consideración del órgano judicial, pero podría no ser el único relevante a la vista de lo regulado por la disposición transitoria segunda LOMCE en relación con el art. 84.3 LOE, reflexión que no aparece en el Auto de planteamiento, que guarda silencio respecto a la relación entre esta norma y la que ha cuestionado.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00AC56D6" w:rsidRDefault="00AC56D6" w:rsidP="00AC56D6">
      <w:pPr>
        <w:pStyle w:val="TextoNormal"/>
      </w:pPr>
    </w:p>
    <w:p w:rsidR="00AC56D6" w:rsidRDefault="00AC56D6" w:rsidP="00AC56D6">
      <w:pPr>
        <w:pStyle w:val="TextoNormal"/>
      </w:pPr>
      <w:r>
        <w:t>En consecuencia, por las mismas razones expresadas en la STC 234/2015, FJ 2, procede acordar también la inadmisión de la presente cuestión de inconstitucionalidad.</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Inadmitir la presente cuestión de inconstitucionalidad.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treinta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07" w:name="SENTENCIA_2015_251"/>
      <w:r>
        <w:lastRenderedPageBreak/>
        <w:t>SENTENCIA 251/2015, de 30 de noviembre de 2015</w:t>
      </w:r>
    </w:p>
    <w:bookmarkEnd w:id="107"/>
    <w:p w:rsidR="00AC56D6" w:rsidRDefault="00AC56D6" w:rsidP="00AC56D6">
      <w:pPr>
        <w:pStyle w:val="TtuloResolucin"/>
      </w:pPr>
      <w:r>
        <w:t>Sala Segunda</w:t>
      </w:r>
    </w:p>
    <w:p w:rsidR="00AC56D6" w:rsidRDefault="00AC56D6" w:rsidP="00AC56D6">
      <w:pPr>
        <w:pStyle w:val="TtuloBOE"/>
      </w:pPr>
      <w:r>
        <w:t>(BOE núm. 10, de 12 de enero de 2016)</w:t>
      </w:r>
    </w:p>
    <w:p w:rsidR="00AC56D6" w:rsidRDefault="00AC56D6" w:rsidP="00AC56D6">
      <w:pPr>
        <w:pStyle w:val="TextoNormalCentrado"/>
      </w:pPr>
      <w:r>
        <w:t>ECLI:ES:TC:2015:251</w:t>
      </w:r>
    </w:p>
    <w:p w:rsidR="00AC56D6" w:rsidRDefault="00AC56D6" w:rsidP="00AC56D6">
      <w:pPr>
        <w:pStyle w:val="TextoNormalCentrado"/>
      </w:pPr>
    </w:p>
    <w:p w:rsidR="00AC56D6" w:rsidRDefault="00AC56D6" w:rsidP="00AC56D6">
      <w:pPr>
        <w:pStyle w:val="SntesisDescriptiva"/>
      </w:pPr>
      <w:r>
        <w:t>Cuestión de inconstitucionalidad 6811-2014. Cuestión de inconstitucionalidad 6811-2014. Planteada por la Sala de lo Contencioso-Administrativo del Tribunal Superior de Justicia de Andalucía, con sede en Sevilla, en relación con el artículo 17.8 de la Ley 17/2012, de 27 de diciembre, de presupuestos generales del Estado para el año 2013.</w:t>
      </w:r>
    </w:p>
    <w:p w:rsidR="00AC56D6" w:rsidRDefault="00AC56D6" w:rsidP="00AC56D6">
      <w:pPr>
        <w:pStyle w:val="SntesisDescriptiva"/>
      </w:pPr>
    </w:p>
    <w:p w:rsidR="00AC56D6" w:rsidRDefault="00AC56D6" w:rsidP="00AC56D6">
      <w:pPr>
        <w:pStyle w:val="SntesisAnaltica"/>
      </w:pPr>
      <w:r>
        <w:t>Límites materiales de las leyes de presupuestos, reserva de ley orgánica: STC 234/2015 (inadmisión de la cuestión de inconstitucionalidad por inadecuada formulación del juicio de relevancia).</w:t>
      </w:r>
    </w:p>
    <w:p w:rsidR="00AC56D6" w:rsidRDefault="00AC56D6" w:rsidP="00AC56D6">
      <w:pPr>
        <w:pStyle w:val="SntesisAnaltica"/>
      </w:pPr>
    </w:p>
    <w:p w:rsidR="00AC56D6" w:rsidRDefault="00AC56D6" w:rsidP="00AC56D6">
      <w:pPr>
        <w:pStyle w:val="Extracto"/>
      </w:pPr>
      <w:r>
        <w:t>1.</w:t>
      </w:r>
      <w:r>
        <w:tab/>
        <w:t>Asunto sustancialmente idéntico al planteado en la STC 234/2015, que aplica la doctrina constitucional sobre la inadecuada formulación del juicio de relevancia [FJ 2].</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6811-2014 promovida por la Sección Tercera de la Sala de lo Contencioso-Administrativo del Tribunal Superior de Justicia de Andalucía, con sede en Sevilla, en relación con el art. 17.8 de la Ley 17/2012, de 27 de diciembre, de presupuestos generales del Estado para el año 2013. Ha comparecido y formulado alegaciones el Abogado del Estado. Ha intervenido la Fiscal General del Estado. Ha sido Ponente el Magistrado don Antonio Narváez Rodríguez,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El día 13 de noviembre de 2014 tuvo entrada en el Registro General de este Tribunal escrito de la Sección Tercera de la Sala de lo Contencioso-Administrativo del Tribunal Superior de Justicia de Andalucía, con sede en Sevilla, al que se acompaña, junto con el testimonio del procedimiento correspondiente, el Auto de 14 de octubre de 2014, en el que se acuerda plantear cuestión de inconstitucionalidad sobre el art. 17.8 de la Ley 17/2012, de </w:t>
      </w:r>
      <w:r>
        <w:lastRenderedPageBreak/>
        <w:t>27 de diciembre, de presupuestos generales del Estado para el año 2013, por posible vulneración de los arts. 81.1 y 134.2 CE.</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son, sucintamente expuestos, los siguientes:</w:t>
      </w:r>
    </w:p>
    <w:p w:rsidR="00AC56D6" w:rsidRDefault="00AC56D6" w:rsidP="00AC56D6">
      <w:pPr>
        <w:pStyle w:val="TextoNormal"/>
      </w:pPr>
    </w:p>
    <w:p w:rsidR="00AC56D6" w:rsidRDefault="00AC56D6" w:rsidP="00AC56D6">
      <w:pPr>
        <w:pStyle w:val="TextoNormal"/>
      </w:pPr>
      <w:r>
        <w:t>a) El instituto de vida consagrada “Hermanas de la Compañía de la Cruz”, titular de dos centros docentes privados, interpuso recurso contencioso-administrativo contra la Orden de 27 de febrero de 2013, de la Consejería de Educación de la Junta de Andalucía, por la que fue resuelta la solicitud de renovación del concierto educativo con dicho centro docente privado, a partir del curso académico 2013-2014. Dicha orden denegaba el concierto educativo para el referido centro docente por no cumplir presuntamente este con lo establecido en el art. 84.3 de la Ley Orgánica 2/2006, de 3 de mayo, de educación (LOE), en lo que se refiere a la no discriminación por razón de sexo.</w:t>
      </w:r>
    </w:p>
    <w:p w:rsidR="00AC56D6" w:rsidRDefault="00AC56D6" w:rsidP="00AC56D6">
      <w:pPr>
        <w:pStyle w:val="TextoNormal"/>
      </w:pPr>
    </w:p>
    <w:p w:rsidR="00AC56D6" w:rsidRDefault="00AC56D6" w:rsidP="00AC56D6">
      <w:pPr>
        <w:pStyle w:val="TextoNormal"/>
      </w:pPr>
      <w:r>
        <w:t>b) El recurso contencioso-administrativo, interpuesto ante la Sala de lo Contencioso-Administrativo del Tribunal Superior de Justicia de Andalucía, con sede en Sevilla, se basaba, entre otros motivos de ilegalidad e inconstitucionalidad, en que la Administración había incumplido el mandato establecido en el art. 17.8 de la Ley 17/2012, de 27 de diciembre, que había entrado en vigor el 1 de enero de 2013. El Letrado de la Junta de Andalucía, en la contestación a la demanda, alegaba la inconstitucionalidad del citado artículo 17.8 por vulneración de la reserva de ley orgánica del art. 81 CE y por exceder del contenido admisible para una ley de presupuestos, con vulneración, además, del principio de igualdad de los arts. 9.3 y 14 CE; solicitaba, a su vez, el planteamiento de la cuestión de inconstitucionalidad para el caso de que la Sala estimase que dicho precepto legal es esencial para la resolución del asunto.</w:t>
      </w:r>
    </w:p>
    <w:p w:rsidR="00AC56D6" w:rsidRDefault="00AC56D6" w:rsidP="00AC56D6">
      <w:pPr>
        <w:pStyle w:val="TextoNormal"/>
      </w:pPr>
    </w:p>
    <w:p w:rsidR="00AC56D6" w:rsidRDefault="00AC56D6" w:rsidP="00AC56D6">
      <w:pPr>
        <w:pStyle w:val="TextoNormal"/>
      </w:pPr>
      <w:r>
        <w:t>c) Estando conclusas las actuaciones y señalado para votación y fallo el día 3 de julio de 2014, se dictó por la Sala providencia en esa misma fecha dando plazo común de diez días para alegaciones a las partes y al Ministerio Fiscal, conforme a lo dispuesto en los arts. 5.2 de la Ley Orgánica del Poder Judicial (LOPJ) y 35.2 de la Ley Orgánica del Tribunal Constitucional (LOTC), por considerar la Sala “que el artículo 17.8 de la Ley 17/2012, de 27 de diciembre, de Presupuestos Generales del Estado, de cuya validez depende el fallo, pudiera ser contrario a la Constitución”.</w:t>
      </w:r>
    </w:p>
    <w:p w:rsidR="00AC56D6" w:rsidRDefault="00AC56D6" w:rsidP="00AC56D6">
      <w:pPr>
        <w:pStyle w:val="TextoNormal"/>
      </w:pPr>
    </w:p>
    <w:p w:rsidR="00AC56D6" w:rsidRDefault="00AC56D6" w:rsidP="00AC56D6">
      <w:pPr>
        <w:pStyle w:val="TextoNormal"/>
      </w:pPr>
      <w:r>
        <w:t>d) Habiendo alegado el Ministerio Fiscal que la providencia citada no cumplía las exigencias del art. 35.2 LOTC, por no mencionar la norma constitucional cuya vulneración se cuestionaba y no justificar en qué medida la decisión del proceso dependía de su validez, se dictó otra nueva de 28 de julio de 2014, dando plazo común de diez días, conforme a lo dispuesto en los arts. 5.2 LOPJ y 35.2 LOTC, para que las partes y el Ministerio Fiscal alegasen sobre la inconstitucionalidad en que podría incurrir el art. 17.8 de la Ley 17/2012, de 27 de diciembre, de cuya validez depende el fallo, por vulneración de los arts. 81.1 y 134.2 CE. Considera la nueva providencia que, tras el dictado del precepto mencionado, la Administración no puede seguir aplicando la jurisprudencia recaída en interpretación de la Ley Orgánica de educación. Entiende que este precepto invade la reserva de ley orgánica y excede del contenido que la Constitución contempla para las leyes de presupuestos.</w:t>
      </w:r>
    </w:p>
    <w:p w:rsidR="00AC56D6" w:rsidRDefault="00AC56D6" w:rsidP="00AC56D6">
      <w:pPr>
        <w:pStyle w:val="TextoNormal"/>
      </w:pPr>
    </w:p>
    <w:p w:rsidR="00AC56D6" w:rsidRDefault="00AC56D6" w:rsidP="00AC56D6">
      <w:pPr>
        <w:pStyle w:val="TextoNormal"/>
      </w:pPr>
      <w:r>
        <w:lastRenderedPageBreak/>
        <w:t>e) El Letrado de la Junta de Andalucía consideró que procedía el planteamiento de la cuestión, al estimar que el art. 17.8 de la Ley 17/2012, de 27 de diciembre, infringe el art. 81.1 CE, así como los arts. 9.3, 14, 66.2 y 134 CE. Mediante escrito de 30 de septiembre de 2014, sin pronunciarse sobre el fondo del asunto y atendiendo solo a los aspectos formales, el Ministerio Fiscal expresó la procedencia de plantear la cuestión. La representación procesal de la parte actora entendió que resultaba procedente plantear la cuestión.</w:t>
      </w:r>
    </w:p>
    <w:p w:rsidR="00AC56D6" w:rsidRDefault="00AC56D6" w:rsidP="00AC56D6">
      <w:pPr>
        <w:pStyle w:val="TextoNormal"/>
      </w:pPr>
    </w:p>
    <w:p w:rsidR="00AC56D6" w:rsidRDefault="00AC56D6" w:rsidP="00AC56D6">
      <w:pPr>
        <w:pStyle w:val="TextoNormal"/>
      </w:pPr>
      <w:r w:rsidRPr="00AC56D6">
        <w:rPr>
          <w:rStyle w:val="NumeroAFNegritaCaracter"/>
        </w:rPr>
        <w:t>3</w:t>
      </w:r>
      <w:r>
        <w:t>. El órgano judicial dictó Auto de 14 de octubre de 2014, por el que acordó plantear cuestión de inconstitucionalidad respecto del art. 17.8 de la Ley 17/2012, de 27 de diciembre, de presupuestos generales del Estado para el año 2013, por posible vulneración de los arts. 81.1 y 134.2 CE.</w:t>
      </w:r>
    </w:p>
    <w:p w:rsidR="00AC56D6" w:rsidRDefault="00AC56D6" w:rsidP="00AC56D6">
      <w:pPr>
        <w:pStyle w:val="TextoNormal"/>
      </w:pPr>
    </w:p>
    <w:p w:rsidR="00AC56D6" w:rsidRDefault="00AC56D6" w:rsidP="00AC56D6">
      <w:pPr>
        <w:pStyle w:val="TextoNormal"/>
      </w:pPr>
      <w:r>
        <w:t>Del contenido del Auto interesa destacar lo siguiente:</w:t>
      </w:r>
    </w:p>
    <w:p w:rsidR="00AC56D6" w:rsidRDefault="00AC56D6" w:rsidP="00AC56D6">
      <w:pPr>
        <w:pStyle w:val="TextoNormal"/>
      </w:pPr>
    </w:p>
    <w:p w:rsidR="00AC56D6" w:rsidRDefault="00AC56D6" w:rsidP="00AC56D6">
      <w:pPr>
        <w:pStyle w:val="TextoNormal"/>
      </w:pPr>
      <w:r>
        <w:t>El órgano judicial razona que, tras la entrada en vigor de la Ley Orgánica de educación, resultaba conforme a derecho, de acuerdo con la jurisprudencia del Tribunal Supremo, que la Administración rechazase celebrar conciertos educativos con centros docentes privados donde no se escolarizaran alumnos de ambos sexos. El estado de la cuestión, prosigue, ha cambiado con la Ley 17/2012, cuyo artículo 17 relativo al “módulo económico de distribución de fondos públicos para sostenimiento de centros concertados” estableció, en su apartado ocho, que dicha norma es plenamente aplicable a la financiación de centros concertados, incluidos los de educación diferenciada que escolarizan alumnos de un solo sexo y ello con independencia del modelo de agrupamiento de alumnos que realicen los centros docentes en el ejercicio de sus competencias. De esta manera, si de acuerdo con la Ley Orgánica de educación los centros con educación diferenciada no podían acogerse a la financiación pública, tras la ley de presupuestos la regla es la contraria. Este precepto habría sido vulnerado por la resolución impugnada en el pleito principal, de modo que en su aplicación habría que dar razón a la recurrente en el proceso judicial. No obstante, expresa dos dudas sobre su constitucionalidad:</w:t>
      </w:r>
    </w:p>
    <w:p w:rsidR="00AC56D6" w:rsidRDefault="00AC56D6" w:rsidP="00AC56D6">
      <w:pPr>
        <w:pStyle w:val="TextoNormal"/>
      </w:pPr>
    </w:p>
    <w:p w:rsidR="00AC56D6" w:rsidRDefault="00AC56D6" w:rsidP="00AC56D6">
      <w:pPr>
        <w:pStyle w:val="TextoNormal"/>
      </w:pPr>
      <w:r>
        <w:t>a) Relativa a la reserva de ley orgánica de la regulación de los aspectos esenciales de un derecho fundamental. Entiende el órgano judicial que no se había puesto en duda el sistema de la educación diferenciada hasta la entrada en vigor de la Ley Orgánica de educación, en cuyo artículo 84.3 se prohíbe expresamente en el régimen de admisión de alumnos la discriminación por razón de sexo. Dicho precepto, conforme a la interpretación realizada por el Tribunal Supremo, comporta que la educación separada por sexos dejó de estar autorizada para los centros docentes sostenidos con fondos públicos. Asimismo, pone de relieve que, en la reforma de la Ley Orgánica de educación, se ha introducido en el art. 84.3 lo siguiente: “No constituye discriminación la admisión de alumnos y alumnas o la organización de la enseñanza diferenciadas por sexos, siempre que la enseñanza que impartan se desarrolle conforme a lo dispuesto en el artículo 2 de la Convención relativa a la lucha contra las discriminaciones en la esfera de la enseñanza, aprobada por la Conferencia General de la UNESCO el 14 de diciembre de 1960”.</w:t>
      </w:r>
    </w:p>
    <w:p w:rsidR="00AC56D6" w:rsidRDefault="00AC56D6" w:rsidP="00AC56D6">
      <w:pPr>
        <w:pStyle w:val="TextoNormal"/>
      </w:pPr>
    </w:p>
    <w:p w:rsidR="00AC56D6" w:rsidRDefault="00AC56D6" w:rsidP="00AC56D6">
      <w:pPr>
        <w:pStyle w:val="TextoNormal"/>
      </w:pPr>
      <w:r>
        <w:t xml:space="preserve">b) Relativa a los límites constitucionales de la ley de presupuestos. La doctrina constitucional (STC 76/1992), establece los límites de las leyes de presupuestos, distinguiendo entre (i) el contenido necesario y (ii) el eventual, posible y no necesario, para el que se requiere la relación directa con los gastos e ingresos que integran el presupuesto o con los criterios </w:t>
      </w:r>
      <w:r>
        <w:lastRenderedPageBreak/>
        <w:t>de política económica de la que el presupuesto es instrumento. El precepto impugnado podría no cumplir los límites establecidos, en cuanto no contiene una previsión de gastos e ingresos; sería dudoso que, aun cuando pueda tener una relación directa con los ingresos o gastos del Estado, sea complemento necesario para su mejor inteligencia.</w:t>
      </w:r>
    </w:p>
    <w:p w:rsidR="00AC56D6" w:rsidRDefault="00AC56D6" w:rsidP="00AC56D6">
      <w:pPr>
        <w:pStyle w:val="TextoNormal"/>
      </w:pPr>
    </w:p>
    <w:p w:rsidR="00AC56D6" w:rsidRDefault="00AC56D6" w:rsidP="00AC56D6">
      <w:pPr>
        <w:pStyle w:val="TextoNormal"/>
      </w:pPr>
      <w:r w:rsidRPr="00AC56D6">
        <w:rPr>
          <w:rStyle w:val="NumeroAFNegritaCaracter"/>
        </w:rPr>
        <w:t>4</w:t>
      </w:r>
      <w:r>
        <w:t>. Mediante providencia de 20 de enero de 2015, el Pleno del Tribunal Constitucional, a propuesta de la Sección Cuarta, acordó admitir a trámite la presente cuestión y, conforme a lo dispuesto en el art. 10.1 c) LOTC, deferir a la Sala Segunda el conocimiento de la misma;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esta resolución a la Sección Tercera de la Sala de lo Contencioso-Administrativo del Tribunal Superior de Andalucía, con sede en Sevilla, a fin de que, de conformidad con lo dispuesto en el art. 35.3 LOTC, permanezca suspendido el proceso hasta que este Tribunal resuelva definitivamente la presente cuestión y publicar la incoación de la cuestión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El Presidente del Congreso de los Diputados, mediante escrito registrado el 30 de enero de 2015, comunicó a este Tribunal que la Mesa de la Cámara adoptó el acuerdo de personarse en el proceso, ofreciendo su colaboración a los efectos del art. 88.1 LOTC. Lo mismo hizo el Presidente del Senado por escrito que tuvo entrada en el Registro General de este Tribunal el día 4 de febrero de 2015.</w:t>
      </w:r>
    </w:p>
    <w:p w:rsidR="00AC56D6" w:rsidRDefault="00AC56D6" w:rsidP="00AC56D6">
      <w:pPr>
        <w:pStyle w:val="TextoNormal"/>
      </w:pPr>
    </w:p>
    <w:p w:rsidR="00AC56D6" w:rsidRDefault="00AC56D6" w:rsidP="00AC56D6">
      <w:pPr>
        <w:pStyle w:val="TextoNormal"/>
      </w:pPr>
      <w:r w:rsidRPr="00AC56D6">
        <w:rPr>
          <w:rStyle w:val="NumeroAFNegritaCaracter"/>
        </w:rPr>
        <w:t>6</w:t>
      </w:r>
      <w:r>
        <w:t>. El 10 de febrero de 2015 se personó en el proceso el Abogado del Estado e interesó la desestimación de la cuestión por las razones que, a continuación, se resumen.</w:t>
      </w:r>
    </w:p>
    <w:p w:rsidR="00AC56D6" w:rsidRDefault="00AC56D6" w:rsidP="00AC56D6">
      <w:pPr>
        <w:pStyle w:val="TextoNormal"/>
      </w:pPr>
    </w:p>
    <w:p w:rsidR="00AC56D6" w:rsidRDefault="00AC56D6" w:rsidP="00AC56D6">
      <w:pPr>
        <w:pStyle w:val="TextoNormal"/>
      </w:pPr>
      <w:r>
        <w:t>Tras exponer los antecedentes del caso precisa que, a su juicio, la duda de constitucionalidad planteada se limita a la posible vulneración de los arts. 81.1 y 134.2 CE. A continuación, expone el sistema de conciertos educativos previsto en la Ley Orgánica de educación, señalando que dicha norma no establece prohibición expresa alguna sobre la financiación de centros privados que practiquen la educación diferenciada.</w:t>
      </w:r>
    </w:p>
    <w:p w:rsidR="00AC56D6" w:rsidRDefault="00AC56D6" w:rsidP="00AC56D6">
      <w:pPr>
        <w:pStyle w:val="TextoNormal"/>
      </w:pPr>
    </w:p>
    <w:p w:rsidR="00AC56D6" w:rsidRDefault="00AC56D6" w:rsidP="00AC56D6">
      <w:pPr>
        <w:pStyle w:val="TextoNormal"/>
      </w:pPr>
      <w:r>
        <w:t xml:space="preserve">El Abogado del Estado parte de la consideración de que el Auto de planteamiento de la cuestión solo desarrolla de manera mínima la vulneración del art. 81.1 CE. A su juicio, no puede sostenerse que el art. 17.8 de la Ley 17/2012 suponga una innovación normativa que afecte al núcleo esencial del derecho fundamental a la educación, conforme a la doctrina constitucional. En su opinión, el art. 17 de la Ley 17/2012 lo que hace es concretar, para el ejercicio 2013, las previsiones de los arts. 116 y ss. LOE; estos preceptos no tienen carácter orgánico, por lo que menos pueden tenerlo las previsiones dictadas en su desarrollo, que tienen además un carácter temporal limitado al ejercicio 2013. El cuestionado artículo 17.8 establece una concreción necesaria del ámbito subjetivo de los conciertos para la aplicación de las previsiones presupuestarias. Si bien admite que el precepto se dicta en un momento en que la jurisprudencia del Tribunal Supremo entendió que los centros con educación diferenciada vulneraban el principio de igualdad en su vertiente relativa a la no discriminación por razón de sexo </w:t>
      </w:r>
      <w:r w:rsidRPr="00AC56D6">
        <w:rPr>
          <w:i/>
        </w:rPr>
        <w:t>ex</w:t>
      </w:r>
      <w:r>
        <w:t xml:space="preserve"> art. 84.3 LOE y no podían por ello ser beneficiarios de conciertos educativos, lo cierto es que la Ley Orgánica de educación no contenía una normativa expresa </w:t>
      </w:r>
      <w:r>
        <w:lastRenderedPageBreak/>
        <w:t>al respecto. En su opinión, el artículo 17.8 no introduce una previsión sustantiva contraria o diferente al art. 84.3 LOE, aunque lo interprete de una manera distinta a la del Tribunal Supremo. Esta diferente interpretación, al entender dentro del ámbito subjetivo de los conciertos los centros con educación diferenciada, no invade el ámbito de ley orgánica, en cuanto no supone el desarrollo del núcleo esencial del derecho a la educación. Finalmente, alega que la modificación de la Ley Orgánica de educación por la Ley Orgánica 8/2013, de 9 de diciembre, que precisa que no se puede entender por discriminación por razón de sexo la escuela diferenciada y afirma que los centros de educación diferenciada tienen derecho, si cumplen con las condiciones legales, a concierto para su financiación, sólo aclara o interpreta las previsiones de la redacción anterior del art. 84.3 LOE. Concluye que la previsión del art. 17.8 de la Ley 17/2012 no afecta a la reserva de ley orgánica, por lo que este motivo debe ser rechazado.</w:t>
      </w:r>
    </w:p>
    <w:p w:rsidR="00AC56D6" w:rsidRDefault="00AC56D6" w:rsidP="00AC56D6">
      <w:pPr>
        <w:pStyle w:val="TextoNormal"/>
      </w:pPr>
    </w:p>
    <w:p w:rsidR="00AC56D6" w:rsidRDefault="00AC56D6" w:rsidP="00AC56D6">
      <w:pPr>
        <w:pStyle w:val="TextoNormal"/>
      </w:pPr>
      <w:r>
        <w:t>En segundo lugar, el Abogado del Estado rechaza, asimismo, que el precepto cuestionado vulnere el art. 134.2 CE, atendiendo a la doctrina constitucional sobre el contenido de la ley de presupuestos. Partiendo de la misma, entiende que el art. 17.8 integra el denominado “contenido eventual” de la ley de presupuestos y no constituye una modificación sustantiva del ordenamiento jurídico. Tiene un carácter limitado en el ámbito temporal y tiene una conexión económica o presupuestaria evidente, que fundamenta en la remisión que el art. 117 LOE realiza a las leyes de presupuestos generales del Estado. La concreción del ámbito subjetivo de los centros beneficiarios de conciertos educativos es un elemento esencial para poder prever las habilitaciones presupuestarias. La incidencia en la ordenación del programa anual de gastos es necesaria y principal y por ello suficiente para legitimar su inclusión en la ley de presupuestos. Se trata de una conexión con su objeto (habilitación de gastos) directa, inmediata y querida por la norma. La inclusión de los centros concertados en los módulos de concierto tiene relación con los estados de gasto de los presupuestos generales del Estado al tratar sobre la financiación de centros docentes concertados con cargo a los presupuestos de las Administraciones públicas.</w:t>
      </w:r>
    </w:p>
    <w:p w:rsidR="00AC56D6" w:rsidRDefault="00AC56D6" w:rsidP="00AC56D6">
      <w:pPr>
        <w:pStyle w:val="TextoNormal"/>
      </w:pPr>
    </w:p>
    <w:p w:rsidR="00AC56D6" w:rsidRDefault="00AC56D6" w:rsidP="00AC56D6">
      <w:pPr>
        <w:pStyle w:val="TextoNormal"/>
      </w:pPr>
      <w:r w:rsidRPr="00AC56D6">
        <w:rPr>
          <w:rStyle w:val="NumeroAFNegritaCaracter"/>
        </w:rPr>
        <w:t>7</w:t>
      </w:r>
      <w:r>
        <w:t>. El 13 de marzo de 2015 presentó sus alegaciones la Fiscal General del Estado, interesando la desestimación de la cuestión por las razones que se resumen a continuación.</w:t>
      </w:r>
    </w:p>
    <w:p w:rsidR="00AC56D6" w:rsidRDefault="00AC56D6" w:rsidP="00AC56D6">
      <w:pPr>
        <w:pStyle w:val="TextoNormal"/>
      </w:pPr>
    </w:p>
    <w:p w:rsidR="00AC56D6" w:rsidRDefault="00AC56D6" w:rsidP="00AC56D6">
      <w:pPr>
        <w:pStyle w:val="TextoNormal"/>
      </w:pPr>
      <w:r>
        <w:t>Expone, en primer lugar, los antecedentes de hecho de la cuestión, así como el contenido del art. 17 y de los anexos IV y V de la Ley 17/2012, de 27 de diciembre, y del propio Auto de planteamiento de la cuestión.</w:t>
      </w:r>
    </w:p>
    <w:p w:rsidR="00AC56D6" w:rsidRDefault="00AC56D6" w:rsidP="00AC56D6">
      <w:pPr>
        <w:pStyle w:val="TextoNormal"/>
      </w:pPr>
    </w:p>
    <w:p w:rsidR="00AC56D6" w:rsidRDefault="00AC56D6" w:rsidP="00AC56D6">
      <w:pPr>
        <w:pStyle w:val="TextoNormal"/>
      </w:pPr>
      <w:r>
        <w:t>Antes de abordar el examen de las cuestiones planteadas en el Auto, analiza la pervivencia del objeto, dado que las previsiones anteriormente citadas se limitaban al ejercicio presupuestario de 2013; llega a la conclusión de que, conforme a la doctrina de este Tribunal, no se ha producido la pérdida de objeto del presente proceso constitucional.</w:t>
      </w:r>
    </w:p>
    <w:p w:rsidR="00AC56D6" w:rsidRDefault="00AC56D6" w:rsidP="00AC56D6">
      <w:pPr>
        <w:pStyle w:val="TextoNormal"/>
      </w:pPr>
    </w:p>
    <w:p w:rsidR="00AC56D6" w:rsidRDefault="00AC56D6" w:rsidP="00AC56D6">
      <w:pPr>
        <w:pStyle w:val="TextoNormal"/>
      </w:pPr>
      <w:r>
        <w:t xml:space="preserve">En cuanto al fondo del asunto, considera, en primer lugar, que el art. 17.8 de la Ley 17/2012 no vulnera el art. 134. 2 CE, conforme a la doctrina constitucional. La regulación prevista en el citado precepto no puede ser escindida de su contexto, constituido no sólo por los números 1 a 7 del art. 17, sino también por los anexos IV y V de esa misma Ley. La norma cuestionada, en cuanto dispone que dicha regulación es plenamente aplicable a la financiación de todos los centros concertados, incluidos los de educación diferenciada que </w:t>
      </w:r>
      <w:r>
        <w:lastRenderedPageBreak/>
        <w:t>escolarizan alumnos de un solo sexo, no hace sino extender a estos una serie de disposiciones que obedecen sin ningún género de dudas al “contenido propio” o “núcleo esencial” del presupuesto.</w:t>
      </w:r>
    </w:p>
    <w:p w:rsidR="00AC56D6" w:rsidRDefault="00AC56D6" w:rsidP="00AC56D6">
      <w:pPr>
        <w:pStyle w:val="TextoNormal"/>
      </w:pPr>
    </w:p>
    <w:p w:rsidR="00AC56D6" w:rsidRDefault="00AC56D6" w:rsidP="00AC56D6">
      <w:pPr>
        <w:pStyle w:val="TextoNormal"/>
      </w:pPr>
      <w:r>
        <w:t xml:space="preserve">En segundo lugar, considera que el precepto cuestionado tampoco vulnera el art. 81.1 CE. Partiendo de la doctrina establecida en la STC 86/1985, afirma que el art. 27.9 CE, ni enuncia un derecho fundamental a la prestación pública, ni encierra un derecho subjetivo a la misma. Si, además, tal prestación pública habrá de ser dispuesta por la Ley, parece obvio concluir que esta materia no forma parte esencial del derecho consagrado en el art. 27.9 CE; siendo esto así, resulta igualmente obvio que no existe un deber </w:t>
      </w:r>
      <w:r w:rsidRPr="00AC56D6">
        <w:rPr>
          <w:i/>
        </w:rPr>
        <w:t>ex constitutione</w:t>
      </w:r>
      <w:r>
        <w:t xml:space="preserve"> de regular tal materia mediante ley orgánica.</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26 de noviembre de 2015, se señaló para deliberación y votación de la presente Sentencia el día 30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Sección Tercera de la Sala de lo Contencioso-Administrativo del Tribunal Superior de Justicia de Andalucía, con sede en Sevilla, plantea cuestión de inconstitucionalidad sobre el art. 17.8 de la Ley 17/2012, de 27 de diciembre, de presupuestos generales del Estado para el año 2013 (en adelante, Ley 17/2012).</w:t>
      </w:r>
    </w:p>
    <w:p w:rsidR="00AC56D6" w:rsidRDefault="00AC56D6" w:rsidP="00AC56D6">
      <w:pPr>
        <w:pStyle w:val="TextoNormal"/>
      </w:pPr>
    </w:p>
    <w:p w:rsidR="00AC56D6" w:rsidRDefault="00AC56D6" w:rsidP="00AC56D6">
      <w:pPr>
        <w:pStyle w:val="TextoNormal"/>
      </w:pPr>
      <w:r>
        <w:t>El art. 17 de la citada Ley regula el módulo económico de distribución de fondos públicos para sostenimiento de centros concertados, en cumplimiento, conforme a su primer apartado, de lo dispuesto en el art. 117 de la Ley Orgánica 2/2006, de 3 de mayo, de educación (LOE). Este precepto determina que se fijará anualmente en los presupuestos generales del Estado el importe del módulo económico por unidad escolar, a efectos de distribución de la cuantía global de los fondos públicos destinados al sostenimiento de los centros privados concertados para hacer efectiva la gratuidad de las enseñanzas objeto de concierto. Asimismo, establece los diferentes conceptos que integran dicho módulo (salarios del personal docente, cantidades asignadas a otros gastos y cantidades para atender al pago de diferentes conceptos como los de antigüedad, sustituciones o ejercicio de la función directiva).</w:t>
      </w:r>
    </w:p>
    <w:p w:rsidR="00AC56D6" w:rsidRDefault="00AC56D6" w:rsidP="00AC56D6">
      <w:pPr>
        <w:pStyle w:val="TextoNormal"/>
      </w:pPr>
    </w:p>
    <w:p w:rsidR="00AC56D6" w:rsidRDefault="00AC56D6" w:rsidP="00AC56D6">
      <w:pPr>
        <w:pStyle w:val="TextoNormal"/>
      </w:pPr>
      <w:r>
        <w:t>El apartado 8 del art. 17 de la Ley 17/2012, objeto del presente proceso constitucional, determina lo siguiente:</w:t>
      </w:r>
    </w:p>
    <w:p w:rsidR="00AC56D6" w:rsidRDefault="00AC56D6" w:rsidP="00AC56D6">
      <w:pPr>
        <w:pStyle w:val="TextoNormal"/>
      </w:pPr>
    </w:p>
    <w:p w:rsidR="00AC56D6" w:rsidRDefault="00AC56D6" w:rsidP="00AC56D6">
      <w:pPr>
        <w:pStyle w:val="TextoNormal"/>
      </w:pPr>
      <w:r>
        <w:t>“Lo establecido en este artículo será plenamente aplicable a la financiación de todos los centros concertados incluidos los de educación diferenciada que escolarizan alumnos de un solo sexo, y ello, con independencia del modelo de agrupamiento de alumnos que realicen los centros docentes en el ejercicio de sus competencias.”</w:t>
      </w:r>
    </w:p>
    <w:p w:rsidR="00AC56D6" w:rsidRDefault="00AC56D6" w:rsidP="00AC56D6">
      <w:pPr>
        <w:pStyle w:val="TextoNormal"/>
      </w:pPr>
    </w:p>
    <w:p w:rsidR="00AC56D6" w:rsidRDefault="00AC56D6" w:rsidP="00AC56D6">
      <w:pPr>
        <w:pStyle w:val="TextoNormal"/>
      </w:pPr>
      <w:r>
        <w:t>En síntesis, entiende el órgano judicial que el art. 17.8 de la Ley 17/2012 podría vulnerar, tanto el art. 81.1 CE, pues está reservado a ley orgánica regular aspectos esenciales de un derecho fundamental, como el art. 134.2 CE, por no poder considerarse dicho párrafo contenido necesario ni eventual de la ley de presupuestos, conforme a la doctrina constitucional.</w:t>
      </w:r>
    </w:p>
    <w:p w:rsidR="00AC56D6" w:rsidRDefault="00AC56D6" w:rsidP="00AC56D6">
      <w:pPr>
        <w:pStyle w:val="TextoNormal"/>
      </w:pPr>
    </w:p>
    <w:p w:rsidR="00AC56D6" w:rsidRDefault="00AC56D6" w:rsidP="00AC56D6">
      <w:pPr>
        <w:pStyle w:val="TextoNormal"/>
      </w:pPr>
      <w:r>
        <w:lastRenderedPageBreak/>
        <w:t>Como se ha dejado constancia en los antecedentes, tanto el Abogado del Estado como la Fiscal General del Estado interesan la desestimación de la cuestión, por entender que no concurren las vulneraciones constitucionales apreciadas por el órgano judicial.</w:t>
      </w:r>
    </w:p>
    <w:p w:rsidR="00AC56D6" w:rsidRDefault="00AC56D6" w:rsidP="00AC56D6">
      <w:pPr>
        <w:pStyle w:val="TextoNormal"/>
      </w:pPr>
    </w:p>
    <w:p w:rsidR="00AC56D6" w:rsidRDefault="00AC56D6" w:rsidP="00AC56D6">
      <w:pPr>
        <w:pStyle w:val="TextoNormal"/>
      </w:pPr>
      <w:r w:rsidRPr="00AC56D6">
        <w:rPr>
          <w:rStyle w:val="NumeroAFNegritaCaracter"/>
        </w:rPr>
        <w:t>2</w:t>
      </w:r>
      <w:r>
        <w:t>. En nuestra reciente STC 234/2015, de 5 de noviembre, hemos resuelto inadmitir una cuestión de inconstitucionalidad (núm. 6518-2014) idéntica a la presente, planteada por el mismo órgano judicial, por inadecuada formulación del juicio de relevancia (art. 35.1 de la Ley Orgánica del Tribunal Constitucional: LOTC). En consecuencia, por remisión a lo entonces razonado, la presente cuestión ha de correr igual suerte.</w:t>
      </w:r>
    </w:p>
    <w:p w:rsidR="00AC56D6" w:rsidRDefault="00AC56D6" w:rsidP="00AC56D6">
      <w:pPr>
        <w:pStyle w:val="TextoNormal"/>
      </w:pPr>
    </w:p>
    <w:p w:rsidR="00AC56D6" w:rsidRDefault="00AC56D6" w:rsidP="00AC56D6">
      <w:pPr>
        <w:pStyle w:val="TextoNormal"/>
      </w:pPr>
      <w:r>
        <w:t xml:space="preserve">En efecto, en la citada STC 234/2015, FJ 2, apreciamos que, en la explicación de la dependencia del fallo del proceso </w:t>
      </w:r>
      <w:r w:rsidRPr="00AC56D6">
        <w:rPr>
          <w:i/>
        </w:rPr>
        <w:t>a quo</w:t>
      </w:r>
      <w:r>
        <w:t xml:space="preserve"> sobre la validez constitucional de la norma cuestionada que realiza el órgano judicial, “no ha tenido en cuenta lo dispuesto en la disposición transitoria segunda de la Ley Orgánica 8/2013, de 9 de diciembre, para la mejora de la calidad educativa (LOMCE), en relación con la aplicación temporal de la redacción dada al art. 84.3 de la Ley Orgánica 2/2006, de 3 de mayo, de Educación (LOE), por el art. Único.71 LOMCE. Conforme a esta disposición transitoria ‘Los centros privados a los que en 2013 se les haya denegado la renovación del concierto educativo o reducido las unidades escolares concertadas por el único motivo de ofrecer educación diferenciada por sexos podrán solicitar que se les aplique lo indicado en el artículo 84.3 de esta Ley Orgánica para el resto del actual período de conciertos en el plazo de dos meses desde su entrada en vigor’. En relación con ello la nueva redacción del art. 84.3 LOE señala expresamente que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 Dado el tenor de tales preceptos, es claro que pudieran resultar directamente aplicables a un supuesto de hecho como el considerado en el caso a quo, cuyo objeto es una Orden autonómica de 27 de febrero de 2013, por la que se deniega la solicitud de renovación del concierto educativo con un centro docente privado, a partir del curso académico 2013-2014, precisamente por no cumplir con lo establecido en la redacción anterior del art. 84.3 LOE, en lo que se refiere a la no discriminación por razón de sexo al no comprometerse a escolarizar alumnado de ambos sexos. Pese a que la LOMCE entró en vigor a los veinte días de su publicación en el ‘Boletín Oficial del Estado’, que tuvo lugar el 10 de diciembre de 2013 y, por tanto, ya estaba vigente el 14 de octubre de 2014, momento en el que se acuerda plantear la cuestión dictando el correspondiente Auto, el órgano judicial no hace referencia alguna a este precepto en su argumentación, ni tampoco a las razones por las que, en su defecto, entiende que no es de aplicación al caso que ha de resolver”.</w:t>
      </w:r>
    </w:p>
    <w:p w:rsidR="00AC56D6" w:rsidRDefault="00AC56D6" w:rsidP="00AC56D6">
      <w:pPr>
        <w:pStyle w:val="TextoNormal"/>
      </w:pPr>
    </w:p>
    <w:p w:rsidR="00AC56D6" w:rsidRDefault="00AC56D6" w:rsidP="00AC56D6">
      <w:pPr>
        <w:pStyle w:val="TextoNormal"/>
      </w:pPr>
      <w:r>
        <w:t xml:space="preserve">Se ha entendido que “dicha omisión condiciona ineludiblemente la valoración acerca de la adecuada formulación de los juicios de aplicabilidad y relevancia exigidos para el planteamiento de la cuestión de inconstitucionalidad por el art. 35 LOTC”. Ello porque “en el supuesto que consideramos, teniendo presente lo dispuesto por la LOMCE y el silencio del órgano judicial al respecto, no puede asegurarse, en este momento, que el pronunciamiento de este Tribunal acerca del art. 17.8 de la Ley 17/2012, de 27 de diciembre, objeto de la presente cuestión, fuera necesario e imprescindible para resolver el caso sometido a la consideración de la Sala cuestionante, de manera que el juicio de constitucionalidad que se nos </w:t>
      </w:r>
      <w:r>
        <w:lastRenderedPageBreak/>
        <w:t xml:space="preserve">solicita sobre el precepto podría quedar desconectado de su aplicación al proceso </w:t>
      </w:r>
      <w:r w:rsidRPr="00AC56D6">
        <w:rPr>
          <w:i/>
        </w:rPr>
        <w:t>a quo</w:t>
      </w:r>
      <w:r>
        <w:t xml:space="preserve">. Es decir, se correría el riesgo de que el juicio a la ley se desarrollara ante este Tribunal sin necesidad ni pertinencia alguna, pues, realizado el enjuiciamiento y pronunciado el fallo que correspondiere, el proceso </w:t>
      </w:r>
      <w:r w:rsidRPr="00AC56D6">
        <w:rPr>
          <w:i/>
        </w:rPr>
        <w:t>a quo</w:t>
      </w:r>
      <w:r>
        <w:t xml:space="preserve"> podría concluir sin aplicar el precepto cuestionado y en atención a razones jurídicas ajenas a su conformidad o no a la Constitución. Ese sería el caso si el órgano judicial optase, una vez resuelta la cuestión, por aplicar la disposición transitoria segunda LOMCE”.</w:t>
      </w:r>
    </w:p>
    <w:p w:rsidR="00AC56D6" w:rsidRDefault="00AC56D6" w:rsidP="00AC56D6">
      <w:pPr>
        <w:pStyle w:val="TextoNormal"/>
      </w:pPr>
    </w:p>
    <w:p w:rsidR="00AC56D6" w:rsidRDefault="00AC56D6" w:rsidP="00AC56D6">
      <w:pPr>
        <w:pStyle w:val="TextoNormal"/>
      </w:pPr>
      <w:r>
        <w:t>En definitiva —concluimos en la STC 234/2015, FJ 2— “es indiscutible que el precepto cuestionado es aplicable para la resolución del pleito sometido a la consideración del órgano judicial, pero podría no ser el único relevante a la vista de lo regulado por la disposición transitoria segunda LOMCE en relación con el art. 84.3 LOE, reflexión que no aparece en el Auto de planteamiento, que guarda silencio respecto a la relación entre esta norma y la que ha cuestionado.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00AC56D6" w:rsidRDefault="00AC56D6" w:rsidP="00AC56D6">
      <w:pPr>
        <w:pStyle w:val="TextoNormal"/>
      </w:pPr>
    </w:p>
    <w:p w:rsidR="00AC56D6" w:rsidRDefault="00AC56D6" w:rsidP="00AC56D6">
      <w:pPr>
        <w:pStyle w:val="TextoNormal"/>
      </w:pPr>
      <w:r>
        <w:t>En consecuencia, por las mismas razones expresadas en la STC 234/2015, FJ 2, procede acordar también la inadmisión de la presente cuestión de inconstitucionalidad.</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Inadmitir la presente cuestión de inconstitucionalidad núm. 6811-2014, promovida por la Sección Tercera de la Sala de lo Contencioso-Administrativo del Tribunal Superior de Justicia de Andalucía, con sede en Sevilla.</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treinta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08" w:name="SENTENCIA_2015_252"/>
      <w:r>
        <w:lastRenderedPageBreak/>
        <w:t>SENTENCIA 252/2015, de 30 de noviembre de 2015</w:t>
      </w:r>
    </w:p>
    <w:bookmarkEnd w:id="108"/>
    <w:p w:rsidR="00AC56D6" w:rsidRDefault="00AC56D6" w:rsidP="00AC56D6">
      <w:pPr>
        <w:pStyle w:val="TtuloResolucin"/>
      </w:pPr>
      <w:r>
        <w:t>Sala Segunda</w:t>
      </w:r>
    </w:p>
    <w:p w:rsidR="00AC56D6" w:rsidRDefault="00AC56D6" w:rsidP="00AC56D6">
      <w:pPr>
        <w:pStyle w:val="TtuloBOE"/>
      </w:pPr>
      <w:r>
        <w:t>(BOE núm. 10, de 12 de enero de 2016)</w:t>
      </w:r>
    </w:p>
    <w:p w:rsidR="00AC56D6" w:rsidRDefault="00AC56D6" w:rsidP="00AC56D6">
      <w:pPr>
        <w:pStyle w:val="TextoNormalCentrado"/>
      </w:pPr>
      <w:r>
        <w:t>ECLI:ES:TC:2015:252</w:t>
      </w:r>
    </w:p>
    <w:p w:rsidR="00AC56D6" w:rsidRDefault="00AC56D6" w:rsidP="00AC56D6">
      <w:pPr>
        <w:pStyle w:val="TextoNormalCentrado"/>
      </w:pPr>
    </w:p>
    <w:p w:rsidR="00AC56D6" w:rsidRDefault="00AC56D6" w:rsidP="00AC56D6">
      <w:pPr>
        <w:pStyle w:val="SntesisDescriptiva"/>
      </w:pPr>
      <w:r>
        <w:t>Cuestión de inconstitucionalidad 6812-2014. Cuestión de inconstitucionalidad 6812-2014. Planteada por la Sala de lo Contencioso-Administrativo del Tribunal Superior de Justicia de Andalucía, con sede en Sevilla, en relación con el artículo 17.8 de la Ley 17/2012, de 27 de diciembre, de presupuestos generales del Estado para el año 2013.</w:t>
      </w:r>
    </w:p>
    <w:p w:rsidR="00AC56D6" w:rsidRDefault="00AC56D6" w:rsidP="00AC56D6">
      <w:pPr>
        <w:pStyle w:val="SntesisDescriptiva"/>
      </w:pPr>
    </w:p>
    <w:p w:rsidR="00AC56D6" w:rsidRDefault="00AC56D6" w:rsidP="00AC56D6">
      <w:pPr>
        <w:pStyle w:val="SntesisAnaltica"/>
      </w:pPr>
      <w:r>
        <w:t>Límites materiales de las leyes de presupuestos, reserva de ley orgánica: STC 234/2015 (inadmisión de la cuestión de inconstitucionalidad por inadecuada formulación del juicio de relevancia).</w:t>
      </w:r>
    </w:p>
    <w:p w:rsidR="00AC56D6" w:rsidRDefault="00AC56D6" w:rsidP="00AC56D6">
      <w:pPr>
        <w:pStyle w:val="SntesisAnaltica"/>
      </w:pPr>
    </w:p>
    <w:p w:rsidR="00AC56D6" w:rsidRDefault="00AC56D6" w:rsidP="00AC56D6">
      <w:pPr>
        <w:pStyle w:val="Extracto"/>
      </w:pPr>
      <w:r>
        <w:t>1.</w:t>
      </w:r>
      <w:r>
        <w:tab/>
        <w:t>Asunto sustancialmente idéntico al planteado en la STC 234/2015, que aplica la doctrina constitucional sobre la inadecuada formulación del juicio de relevancia [FJ 2].</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6812-2014 promovida por la Sección Tercera de la Sala de lo Contencioso-Administrativo del Tribunal Superior de Justicia de Andalucía, con sede en Sevilla, en relación con el art. 17.8 de la Ley 17/2012, de 27 de diciembre, de presupuestos generales del Estado para el año 2013. Ha comparecido y formulado alegaciones el Abogado del Estado. Ha intervenido el Fiscal General del Estado. Ha sido Ponente el Magistrado don Ricardo Enríquez Sancho,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El día 13 de noviembre de 2014 tuvo entrada en el Registro General de este Tribunal escrito de la Sección Tercera de la Sala de lo Contencioso-Administrativo del Tribunal Superior de Justicia de Andalucía, con sede en Sevilla, al que se acompaña, junto con el testimonio del procedimiento correspondiente, el Auto de 14 de octubre de 2014, en el que se acuerda plantear cuestión de inconstitucionalidad sobre el art. 17.8 de la Ley 17/2012, de </w:t>
      </w:r>
      <w:r>
        <w:lastRenderedPageBreak/>
        <w:t>27 de diciembre, de presupuestos generales del Estado para el año 2013, por posible vulneración de los arts. 81.1 y 134.2 CE.</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son, sucintamente expuestos, los siguientes:</w:t>
      </w:r>
    </w:p>
    <w:p w:rsidR="00AC56D6" w:rsidRDefault="00AC56D6" w:rsidP="00AC56D6">
      <w:pPr>
        <w:pStyle w:val="TextoNormal"/>
      </w:pPr>
    </w:p>
    <w:p w:rsidR="00AC56D6" w:rsidRDefault="00AC56D6" w:rsidP="00AC56D6">
      <w:pPr>
        <w:pStyle w:val="TextoNormal"/>
      </w:pPr>
      <w:r>
        <w:t>a) La asociación de madres y padres de alumnos del colegio Nuestra Señora de Lourdes interpuso recurso contencioso-administrativo contra la Orden de 27 de febrero de 2013, de la Consejería de Educación de la Junta de Andalucía, por la que se resuelve la solicitud de renovación del concierto educativo con dicho centro docente privado, a partir del curso académico 2013-2014. Dicha orden denegaba el concierto educativo para el referido centro docente por no cumplir éste con lo establecido en el art. 84.3 de la Ley Orgánica 2/2006, de 3 de mayo, de educación (LOE), en lo que se refiere a la no discriminación por razón de sexo.</w:t>
      </w:r>
    </w:p>
    <w:p w:rsidR="00AC56D6" w:rsidRDefault="00AC56D6" w:rsidP="00AC56D6">
      <w:pPr>
        <w:pStyle w:val="TextoNormal"/>
      </w:pPr>
    </w:p>
    <w:p w:rsidR="00AC56D6" w:rsidRDefault="00AC56D6" w:rsidP="00AC56D6">
      <w:pPr>
        <w:pStyle w:val="TextoNormal"/>
      </w:pPr>
      <w:r>
        <w:t>b) Estando conclusas las actuaciones y señalado para votación y fallo el día 25 de junio de 2014, se dictó por la Sala providencia de 26 de junio dando plazo común de diez días para alegaciones a las partes y al Ministerio Fiscal, conforme a lo dispuesto en los arts. 5.2 de la ley Orgánica del Poder Judicial (LOPJ) y 35.2 de la Ley Orgánica del Tribunal Constitucional (LOTC), por considerar la Sala “que el artículo 17.8 de la Ley 17/2012, de 27 de diciembre, de Presupuestos Generales del Estado, de cuya validez depende el fallo, pudiera ser contrario a la Constitución”.</w:t>
      </w:r>
    </w:p>
    <w:p w:rsidR="00AC56D6" w:rsidRDefault="00AC56D6" w:rsidP="00AC56D6">
      <w:pPr>
        <w:pStyle w:val="TextoNormal"/>
      </w:pPr>
    </w:p>
    <w:p w:rsidR="00AC56D6" w:rsidRDefault="00AC56D6" w:rsidP="00AC56D6">
      <w:pPr>
        <w:pStyle w:val="TextoNormal"/>
      </w:pPr>
      <w:r>
        <w:t>c) Habiendo alegado el Ministerio Fiscal que la providencia citada no cumplía las exigencias del art. 35.2 LOTC, por no mencionar la norma constitucional cuya vulneración se cuestionaba y no justificar en qué medida la decisión del proceso dependía de su validez, se dictó otra nueva de 28 de julio de 2014, dando plazo común de diez días, conforme a lo dispuesto en los arts. 5.2 LOPJ y 35.2 LOTC, para que las partes y el Ministerio Fiscal alegasen sobre la inconstitucionalidad en que podría incurrir el art. 17.8 de la Ley 17/2012, de 27 de diciembre, de cuya validez depende el fallo, por vulneración de los arts. 81.1 y 134.2 CE. Considera la nueva providencia que, tras el dictado del precepto mencionado, la Administración no puede seguir aplicando la jurisprudencia recaída en interpretación de la Ley Orgánica de educación. Entiende que este precepto invade la reserva de ley orgánica y excede del contenido que la Constitución contempla para las leyes de presupuestos.</w:t>
      </w:r>
    </w:p>
    <w:p w:rsidR="00AC56D6" w:rsidRDefault="00AC56D6" w:rsidP="00AC56D6">
      <w:pPr>
        <w:pStyle w:val="TextoNormal"/>
      </w:pPr>
    </w:p>
    <w:p w:rsidR="00AC56D6" w:rsidRDefault="00AC56D6" w:rsidP="00AC56D6">
      <w:pPr>
        <w:pStyle w:val="TextoNormal"/>
      </w:pPr>
      <w:r>
        <w:t>d) El Letrado de la Junta de Andalucía, mediante escrito presentado el 11 de septiembre de 2014, consideró que procedía el planteamiento de la cuestión. La parte recurrente se opuso al planteamiento de la cuestión, mediante escrito presentado el 16 de septiembre. Mediante escrito de 19 de septiembre de 2014, sin pronunciarse sobre el fondo del asunto y atendiendo solo a los aspectos formales, el Ministerio Fiscal expresó la procedencia de plantear la cuestión., al estimar que el art. 17.8 de la Ley 17/2012, de 27 de diciembre, infringe el art. 81.1 CE, así como los arts. 9.2 y 3, 14, 66.2 y 134.2 CE.</w:t>
      </w:r>
    </w:p>
    <w:p w:rsidR="00AC56D6" w:rsidRDefault="00AC56D6" w:rsidP="00AC56D6">
      <w:pPr>
        <w:pStyle w:val="TextoNormal"/>
      </w:pPr>
    </w:p>
    <w:p w:rsidR="00AC56D6" w:rsidRDefault="00AC56D6" w:rsidP="00AC56D6">
      <w:pPr>
        <w:pStyle w:val="TextoNormal"/>
      </w:pPr>
      <w:r w:rsidRPr="00AC56D6">
        <w:rPr>
          <w:rStyle w:val="NumeroAFNegritaCaracter"/>
        </w:rPr>
        <w:t>3</w:t>
      </w:r>
      <w:r>
        <w:t>. El órgano judicial dictó Auto de 14 de octubre de 2014, en el que acuerda plantear cuestión de inconstitucionalidad respecto al art. 17.8 de la Ley 17/2012, de 27 de diciembre, de presupuestos generales del Estado para el año 2013, por posible vulneración de los arts. 81.1 y 134.2 CE.</w:t>
      </w:r>
    </w:p>
    <w:p w:rsidR="00AC56D6" w:rsidRDefault="00AC56D6" w:rsidP="00AC56D6">
      <w:pPr>
        <w:pStyle w:val="TextoNormal"/>
      </w:pPr>
    </w:p>
    <w:p w:rsidR="00AC56D6" w:rsidRDefault="00AC56D6" w:rsidP="00AC56D6">
      <w:pPr>
        <w:pStyle w:val="TextoNormal"/>
      </w:pPr>
      <w:r>
        <w:lastRenderedPageBreak/>
        <w:t>Del contenido del Auto interesa destacar lo siguiente:</w:t>
      </w:r>
    </w:p>
    <w:p w:rsidR="00AC56D6" w:rsidRDefault="00AC56D6" w:rsidP="00AC56D6">
      <w:pPr>
        <w:pStyle w:val="TextoNormal"/>
      </w:pPr>
    </w:p>
    <w:p w:rsidR="00AC56D6" w:rsidRDefault="00AC56D6" w:rsidP="00AC56D6">
      <w:pPr>
        <w:pStyle w:val="TextoNormal"/>
      </w:pPr>
      <w:r>
        <w:t>El órgano judicial razona que tras la entrada en vigor de la Ley Orgánica de educación resultaba conforme a derecho, de acuerdo con la jurisprudencia del Tribunal Supremo, que la Administración rechazase celebrar conciertos educativos con centros docentes privados donde no se escolarizan alumnos de ambos sexos. El estado de la cuestión, prosigue, ha cambiado con la Ley 17/2012, cuyo art. 17 relativo al “módulo económico de distribución de fondos públicos para sostenimiento de centros concertados” estableció, en su apartado ocho, que dicha norma es plenamente aplicable a la financiación de centros concertados, incluidos los de educación diferenciada que escolarizan alumnos de un solo sexo y ello con independencia del modelo de agrupamiento de alumnos que realicen los centros docentes en el ejercicio de sus competencias. De esta manera, si de acuerdo con la Ley Orgánica de educación los centros con educación diferenciada no podían acogerse a la financiación pública, tras la ley de presupuestos la regla es la contraria. Este precepto habría sido vulnerado por la resolución impugnada en el pleito principal, de modo que en su aplicación habría que dar razón a la recurrente en el pleito. No obstante, expresa dos dudas sobre su constitucionalidad:</w:t>
      </w:r>
    </w:p>
    <w:p w:rsidR="00AC56D6" w:rsidRDefault="00AC56D6" w:rsidP="00AC56D6">
      <w:pPr>
        <w:pStyle w:val="TextoNormal"/>
      </w:pPr>
    </w:p>
    <w:p w:rsidR="00AC56D6" w:rsidRDefault="00AC56D6" w:rsidP="00AC56D6">
      <w:pPr>
        <w:pStyle w:val="TextoNormal"/>
      </w:pPr>
      <w:r>
        <w:t>a) Relativa a la reserva a ley orgánica de la regulación de los aspectos esenciales de un derecho fundamental. Entiende el órgano judicial que no se había puesto en duda el sistema de la educación diferenciada hasta la entrada en vigor de la Ley Orgánica de educación, en cuyo art. 84.3 se prohíbe expresamente en el régimen de admisión de alumnos la discriminación por razón de sexo. Dicho precepto, conforme a la interpretación realizada por el Tribunal Supremo, comporta que la educación separada por sexos dejó de estar autorizada para los centros docentes sostenidos con fondos públicos. Asimismo pone de relieve que en la reforma de la Ley Orgánica de educación se ha introducido, en el art. 84.3 lo siguiente: “No constituye discriminación la admisión de alumnos y alumnas o la organización de la enseñanza diferenciadas por sexos, siempre que la enseñanza que impartan se desarrolle conforme a lo dispuesto en el artículo 2 de la Convención relativa a la lucha contra las discriminaciones en la esfera de la enseñanza, aprobada por la Conferencia General de la UNESCO el 14 de diciembre de 1960”.</w:t>
      </w:r>
    </w:p>
    <w:p w:rsidR="00AC56D6" w:rsidRDefault="00AC56D6" w:rsidP="00AC56D6">
      <w:pPr>
        <w:pStyle w:val="TextoNormal"/>
      </w:pPr>
    </w:p>
    <w:p w:rsidR="00AC56D6" w:rsidRDefault="00AC56D6" w:rsidP="00AC56D6">
      <w:pPr>
        <w:pStyle w:val="TextoNormal"/>
      </w:pPr>
      <w:r>
        <w:t>b) Relativa a los límites constitucionales de la ley de presupuestos. La doctrina constitucional (STC 76/1992), establece los límites de las leyes de presupuestos, distinguiendo entre (i) el contenido necesario y (ii) el eventual, posible y no necesario, para el que se requiere la relación directa con los gastos e ingresos que integran el presupuesto o con los criterios de política económica de la que el presupuesto es instrumento. El precepto impugnado podría no cumplir los límites establecidos, en cuanto no contiene una previsión de gastos e ingresos; sería dudoso que, aun cuando pueda tener una relación directa con los ingresos o gastos del Estado, sea complemento necesario para su mejor inteligencia.</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Mediante providencia de 3 de febrero de 2015, el Pleno del Tribunal Constitucional, a propuesta de la Sección Cuarta, acuerda admitir a trámite la presente cuestión y, conforme a lo dispuesto en el art. 10.1 c) LOTC, deferir a la Sala Primera el conocimiento de la misma; dar traslado de las actuaciones recibidas, conforme establece el art. 37.3 LOTC, al Congreso de los Diputados y al Senado, por conducto de sus Presidentes, al Gobierno, por conducto del Ministro de Justicia y al Fiscal General del Estado, al objeto de que, en el improrrogable </w:t>
      </w:r>
      <w:r>
        <w:lastRenderedPageBreak/>
        <w:t>plazo de quince días, puedan personarse en el proceso y formular las alegaciones que estimen convenientes; comunicar esta resolución a la Sección Tercera de la Sala de lo Contencioso-Administrativo del Tribunal Superior de Andalucía, con sede en Sevilla, a fin de que, de conformidad con lo dispuesto en el art. 35.3 LOTC, permanezca suspendido el proceso hasta que este Tribunal resuelva definitivamente la presente cuestión y publicar la incoación de la cuestión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El Presidente del Senado, mediante escrito registrado el 18 de febrero de 2015, comunicó a este Tribunal que la Mesa de la Cámara adoptó el acuerdo de personarse en el proceso, ofreciendo su colaboración a los efectos del art. 88.1 LOTC. Lo mismo hizo el Presidente del Congreso de los Diputados por escrito que tuvo entrada en el Registro General de este Tribunal el 19 de febrero de 2015.</w:t>
      </w:r>
    </w:p>
    <w:p w:rsidR="00AC56D6" w:rsidRDefault="00AC56D6" w:rsidP="00AC56D6">
      <w:pPr>
        <w:pStyle w:val="TextoNormal"/>
      </w:pPr>
    </w:p>
    <w:p w:rsidR="00AC56D6" w:rsidRDefault="00AC56D6" w:rsidP="00AC56D6">
      <w:pPr>
        <w:pStyle w:val="TextoNormal"/>
      </w:pPr>
      <w:r w:rsidRPr="00AC56D6">
        <w:rPr>
          <w:rStyle w:val="NumeroAFNegritaCaracter"/>
        </w:rPr>
        <w:t>6</w:t>
      </w:r>
      <w:r>
        <w:t>. El 3 de marzo de 2015 se personó en el proceso el Abogado del Estado e interesó la desestimación de la cuestión por las razones que a continuación se resumen.</w:t>
      </w:r>
    </w:p>
    <w:p w:rsidR="00AC56D6" w:rsidRDefault="00AC56D6" w:rsidP="00AC56D6">
      <w:pPr>
        <w:pStyle w:val="TextoNormal"/>
      </w:pPr>
    </w:p>
    <w:p w:rsidR="00AC56D6" w:rsidRDefault="00AC56D6" w:rsidP="00AC56D6">
      <w:pPr>
        <w:pStyle w:val="TextoNormal"/>
      </w:pPr>
      <w:r>
        <w:t>Tras exponer los antecedentes del caso precisa que, a su juicio, la duda de constitucionalidad planteada se limita a la posible vulneración de los arts. 81.1 y 134.2 CE. A continuación, expone el sistema de conciertos educativos previsto en la Ley Orgánica de educación, señalando que dicha norma no establece prohibición expresa alguna sobre la financiación de centros privados que practiquen la educación diferenciada.</w:t>
      </w:r>
    </w:p>
    <w:p w:rsidR="00AC56D6" w:rsidRDefault="00AC56D6" w:rsidP="00AC56D6">
      <w:pPr>
        <w:pStyle w:val="TextoNormal"/>
      </w:pPr>
    </w:p>
    <w:p w:rsidR="00AC56D6" w:rsidRDefault="00AC56D6" w:rsidP="00AC56D6">
      <w:pPr>
        <w:pStyle w:val="TextoNormal"/>
      </w:pPr>
      <w:r>
        <w:t>El Abogado del Estado parte de la consideración de que el Auto de planteamiento de la cuestión solo desarrolla de manera mínima la vulneración del art. 81.1 CE. A su juicio, no puede sostenerse que el art. 17.8 de la Ley 17/2012 suponga una innovación normativa que afecte al núcleo esencial del derecho fundamental a la educación, conforme a la doctrina constitucional. En su opinión, el art. 17 de la Ley 17/2012 lo que hace es concretar, para el ejercicio 2013, las previsiones de los arts. 116 y siguientes de la Ley Orgánica de educación; estos preceptos no tienen carácter orgánico, por lo que menos pueden tenerlo las previsiones dictadas en su desarrollo, que, tienen además un carácter temporal limitado al ejercicio 2013. El cuestionado art. 17.8 establece una concreción necesaria del ámbito subjetivo de los conciertos para la aplicación de las previsiones presupuestarias. Si bien admite que el precepto se dicta en un momento en que la jurisprudencia del Tribunal Supremo entendió que los centros con educación diferenciada vulneraban el principio de igualdad en su vertiente relativa a la no discriminación por razón de sexo ex art. 84.3 LOE y no podían por ello ser beneficiarios de conciertos educativos, lo cierto es que la Ley Orgánica de educación no contenía una previsión expresa al respecto. En su opinión, el art. 17.8 no introduce una previsión sustantiva contraria o diferente al art. 84.3 LOE, aunque lo interprete de una manera diferente al Tribunal Supremo. Esta diferente interpretación, al entender dentro del ámbito subjetivo de los conciertos los centros con educación diferenciada, no invade el ámbito de ley orgánica, en cuanto no supone el desarrollo del núcleo esencial del derecho a la educación. Finalmente, alega que la modificación de la Ley Orgánica de educación por la Ley Orgánica 8/2013, de 9 de diciembre, que precisa que no se puede entender por discriminación por razón de sexo la escuela diferenciada y afirma que los centros de educación diferenciada tienen derecho, si cumplen con las condiciones legales, a concierto para su financiación, sólo aclara o interpreta las previsiones de la redacción anterior del artículo 84.3 LOE. Concluye que la previsión del art. 17.8 de la Ley 17/2012 no afecta a la reserva de ley orgánica, por lo que este motivo debe ser rechazado.</w:t>
      </w:r>
    </w:p>
    <w:p w:rsidR="00AC56D6" w:rsidRDefault="00AC56D6" w:rsidP="00AC56D6">
      <w:pPr>
        <w:pStyle w:val="TextoNormal"/>
      </w:pPr>
    </w:p>
    <w:p w:rsidR="00AC56D6" w:rsidRDefault="00AC56D6" w:rsidP="00AC56D6">
      <w:pPr>
        <w:pStyle w:val="TextoNormal"/>
      </w:pPr>
      <w:r>
        <w:t>En segundo lugar, el Abogado del Estado rechaza, asimismo, que el precepto cuestionado vulnere el art. 134.2 CE, atendiendo a la doctrina constitucional sobre el contenido de la ley de presupuestos. Partiendo de la misma, entiende que el art. 17.8 integra el denominado “contenido eventual” de la ley de presupuestos y no constituye una modificación sustantiva del ordenamiento jurídico. Tiene un carácter limitado en el ámbito temporal y tiene una conexión económica o presupuestaria evidente, que fundamenta en la remisión que el art. 117 LOE realiza a las leyes de presupuestos generales del Estado. La concreción del ámbito subjetivo de los centros beneficiarios de conciertos educativos es un elemento esencial para poder prever las habilitaciones presupuestarias. La incidencia en la ordenación del programa anual de gastos es necesaria y principal y por ello suficiente para legitimar su inclusión en la ley de presupuestos. Se trata de una conexión con su objeto (habilitación de gastos) directa, inmediata y querida por la norma. La inclusión de los centros concertados en los módulos de concierto tiene relación con los estados de gasto de los presupuestos generales del Estado al tratar sobre la financiación de centros docentes concertados con cargo a los presupuestos de las Administraciones públicas.</w:t>
      </w:r>
    </w:p>
    <w:p w:rsidR="00AC56D6" w:rsidRDefault="00AC56D6" w:rsidP="00AC56D6">
      <w:pPr>
        <w:pStyle w:val="TextoNormal"/>
      </w:pPr>
    </w:p>
    <w:p w:rsidR="00AC56D6" w:rsidRDefault="00AC56D6" w:rsidP="00AC56D6">
      <w:pPr>
        <w:pStyle w:val="TextoNormal"/>
      </w:pPr>
      <w:r w:rsidRPr="00AC56D6">
        <w:rPr>
          <w:rStyle w:val="NumeroAFNegritaCaracter"/>
        </w:rPr>
        <w:t>7</w:t>
      </w:r>
      <w:r>
        <w:t>. El 13 de marzo de 2015 presentó sus alegaciones la Fiscal General del Estado, interesando la desestimación de la cuestión por las razones que se resumen a continuación.</w:t>
      </w:r>
    </w:p>
    <w:p w:rsidR="00AC56D6" w:rsidRDefault="00AC56D6" w:rsidP="00AC56D6">
      <w:pPr>
        <w:pStyle w:val="TextoNormal"/>
      </w:pPr>
    </w:p>
    <w:p w:rsidR="00AC56D6" w:rsidRDefault="00AC56D6" w:rsidP="00AC56D6">
      <w:pPr>
        <w:pStyle w:val="TextoNormal"/>
      </w:pPr>
      <w:r>
        <w:t>Expone, en primer lugar, los antecedentes de hecho de la cuestión, así como el contenido del art. 17 y de los anexos IV y V de la Ley 17/2012, de 27 de diciembre, y del propio Auto de planteamiento de la cuestión.</w:t>
      </w:r>
    </w:p>
    <w:p w:rsidR="00AC56D6" w:rsidRDefault="00AC56D6" w:rsidP="00AC56D6">
      <w:pPr>
        <w:pStyle w:val="TextoNormal"/>
      </w:pPr>
    </w:p>
    <w:p w:rsidR="00AC56D6" w:rsidRDefault="00AC56D6" w:rsidP="00AC56D6">
      <w:pPr>
        <w:pStyle w:val="TextoNormal"/>
      </w:pPr>
      <w:r>
        <w:t>Antes de abordar el examen de las cuestiones planteadas en el Auto, analiza la pervivencia del objeto, dado que las previsiones anteriormente citadas se limitaban al ejercicio presupuestario de 2013; llega a la conclusión de que, conforme a la doctrina de este Tribunal, no se ha producido la pérdida de objeto del presente proceso constitucional.</w:t>
      </w:r>
    </w:p>
    <w:p w:rsidR="00AC56D6" w:rsidRDefault="00AC56D6" w:rsidP="00AC56D6">
      <w:pPr>
        <w:pStyle w:val="TextoNormal"/>
      </w:pPr>
    </w:p>
    <w:p w:rsidR="00AC56D6" w:rsidRDefault="00AC56D6" w:rsidP="00AC56D6">
      <w:pPr>
        <w:pStyle w:val="TextoNormal"/>
      </w:pPr>
      <w:r>
        <w:t>En cuanto al fondo del asunto, considera, en primer lugar, que el art. 17.8 de la Ley 17/2012 no vulnera el art. 134. 2 CE, conforme a la doctrina constitucional. La regulación prevista en el citado precepto no puede ser escindida de su contexto, constituido no sólo por los números 1 a 7 del art. 17, sino también por los anexos IV y V de esa misma Ley. La norma cuestionada, en cuanto dispone que dicha regulación es plenamente aplicable a la financiación de todos los centros concertados, incluidos los de educación diferenciada que escolarizan alumnos de un solo sexo, no hace sino extender a estos una serie de disposiciones que obedecen sin ningún género de dudas al “contenido propio” o “núcleo esencial” del presupuesto.</w:t>
      </w:r>
    </w:p>
    <w:p w:rsidR="00AC56D6" w:rsidRDefault="00AC56D6" w:rsidP="00AC56D6">
      <w:pPr>
        <w:pStyle w:val="TextoNormal"/>
      </w:pPr>
    </w:p>
    <w:p w:rsidR="00AC56D6" w:rsidRDefault="00AC56D6" w:rsidP="00AC56D6">
      <w:pPr>
        <w:pStyle w:val="TextoNormal"/>
      </w:pPr>
      <w:r>
        <w:t xml:space="preserve">En segundo lugar, considera que el precepto cuestionado tampoco vulnera el art. 81.1 CE. Partiendo de la doctrina establecida en la STC 86/1985, afirma que el art. 27.9 CE ni enuncia un derecho fundamental a la prestación pública, ni encierra un derecho subjetivo a la misma. Si, además, tal prestación pública habrá de ser dispuesta por la ley, parece obvio concluir que esta materia no forma parte esencial del derecho consagrado en el art. 27.9 CE; siendo esto así, resulta igualmente obvio que no existe un deber </w:t>
      </w:r>
      <w:r w:rsidRPr="00AC56D6">
        <w:rPr>
          <w:i/>
        </w:rPr>
        <w:t>ex constitutione</w:t>
      </w:r>
      <w:r>
        <w:t xml:space="preserve"> de regular tal materia mediante ley orgánica.</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8</w:t>
      </w:r>
      <w:r>
        <w:t>. Por providencia de 26 de noviembre de 2015, se señaló para deliberación y votación de la presente Sentencia el día 30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Sección Tercera de la Sala de lo Contencioso-Administrativo del Tribunal Superior de Justicia de Andalucía, con sede en Sevilla, plantea cuestión de inconstitucionalidad sobre el art. 17.8 de la Ley 17/2012, de 27 de diciembre, de presupuestos generales del Estado para el año 2013 (en adelante, Ley 17/2012).</w:t>
      </w:r>
    </w:p>
    <w:p w:rsidR="00AC56D6" w:rsidRDefault="00AC56D6" w:rsidP="00AC56D6">
      <w:pPr>
        <w:pStyle w:val="TextoNormal"/>
      </w:pPr>
    </w:p>
    <w:p w:rsidR="00AC56D6" w:rsidRDefault="00AC56D6" w:rsidP="00AC56D6">
      <w:pPr>
        <w:pStyle w:val="TextoNormal"/>
      </w:pPr>
      <w:r>
        <w:t>El art. 17 de la citada Ley regula el módulo económico de distribución de fondos públicos para sostenimiento de centros concertados, en cumplimiento, conforme a su primer apartado, de lo dispuesto en el art. 117 de la Ley Orgánica 2/2006, de 3 de mayo, de educación (LOE). Este precepto determina que se fijará anualmente en los presupuestos generales del Estado el importe del módulo económico por unidad escolar, a efectos de distribución de la cuantía global de los fondos públicos destinados al sostenimiento de los centros privados concertados para hacer efectiva la gratuidad de las enseñanzas objeto de concierto. Asimismo, establece los diferentes conceptos que integran dicho módulo (salarios del personal docente, cantidades asignadas a otros gastos y cantidades para atender al pago de diferentes conceptos como los de antigüedad, sustituciones o ejercicio de la función directiva).</w:t>
      </w:r>
    </w:p>
    <w:p w:rsidR="00AC56D6" w:rsidRDefault="00AC56D6" w:rsidP="00AC56D6">
      <w:pPr>
        <w:pStyle w:val="TextoNormal"/>
      </w:pPr>
    </w:p>
    <w:p w:rsidR="00AC56D6" w:rsidRDefault="00AC56D6" w:rsidP="00AC56D6">
      <w:pPr>
        <w:pStyle w:val="TextoNormal"/>
      </w:pPr>
      <w:r>
        <w:t>El apartado 8 del art. 17 de la Ley 17/2012, objeto del presente proceso constitucional, determina lo siguiente:</w:t>
      </w:r>
    </w:p>
    <w:p w:rsidR="00AC56D6" w:rsidRDefault="00AC56D6" w:rsidP="00AC56D6">
      <w:pPr>
        <w:pStyle w:val="TextoNormal"/>
      </w:pPr>
    </w:p>
    <w:p w:rsidR="00AC56D6" w:rsidRDefault="00AC56D6" w:rsidP="00AC56D6">
      <w:pPr>
        <w:pStyle w:val="TextoNormal"/>
      </w:pPr>
      <w:r>
        <w:t>“Lo establecido en este artículo será plenamente aplicable a la financiación de todos los centros concertados incluidos los de educación diferenciada que escolarizan alumnos de un solo sexo, y ello, con independencia del modelo de agrupamiento de alumnos que realicen los centros docentes en el ejercicio de sus competencias.”</w:t>
      </w:r>
    </w:p>
    <w:p w:rsidR="00AC56D6" w:rsidRDefault="00AC56D6" w:rsidP="00AC56D6">
      <w:pPr>
        <w:pStyle w:val="TextoNormal"/>
      </w:pPr>
    </w:p>
    <w:p w:rsidR="00AC56D6" w:rsidRDefault="00AC56D6" w:rsidP="00AC56D6">
      <w:pPr>
        <w:pStyle w:val="TextoNormal"/>
      </w:pPr>
      <w:r>
        <w:t>En síntesis, entiende el órgano judicial que el art. 17.8 de la Ley 17/2012 podría vulnerar tanto el art. 81.1 CE, pues está reservado a ley orgánica regular aspectos esenciales de un derecho fundamental, como el art. 134.2 CE, por no poder considerarse dicho párrafo contenido necesario ni eventual de la ley de presupuestos, conforme a la doctrina constitucional.</w:t>
      </w:r>
    </w:p>
    <w:p w:rsidR="00AC56D6" w:rsidRDefault="00AC56D6" w:rsidP="00AC56D6">
      <w:pPr>
        <w:pStyle w:val="TextoNormal"/>
      </w:pPr>
    </w:p>
    <w:p w:rsidR="00AC56D6" w:rsidRDefault="00AC56D6" w:rsidP="00AC56D6">
      <w:pPr>
        <w:pStyle w:val="TextoNormal"/>
      </w:pPr>
      <w:r>
        <w:t>Como se ha dejado constancia en los antecedentes, tanto el Abogado del Estado como el Fiscal General del Estado interesan la desestimación de la cuestión, por entender que no concurren las vulneraciones constitucionales apreciadas por el órgano judicial.</w:t>
      </w:r>
    </w:p>
    <w:p w:rsidR="00AC56D6" w:rsidRDefault="00AC56D6" w:rsidP="00AC56D6">
      <w:pPr>
        <w:pStyle w:val="TextoNormal"/>
      </w:pPr>
    </w:p>
    <w:p w:rsidR="00AC56D6" w:rsidRDefault="00AC56D6" w:rsidP="00AC56D6">
      <w:pPr>
        <w:pStyle w:val="TextoNormal"/>
      </w:pPr>
      <w:r w:rsidRPr="00AC56D6">
        <w:rPr>
          <w:rStyle w:val="NumeroAFNegritaCaracter"/>
        </w:rPr>
        <w:t>2</w:t>
      </w:r>
      <w:r>
        <w:t>. En nuestra reciente STC 234/2015, de 5 de noviembre, hemos resuelto inadmitir una cuestión de inconstitucionalidad (núm. 6518-2014) idéntica a la presente, planteada por el mismo órgano judicial, por inadecuada formulación del juicio de relevancia (art. 35.1 LOTC). En consecuencia, por remisión a lo entonces razonado, la presente cuestión ha de correr igual suerte.</w:t>
      </w:r>
    </w:p>
    <w:p w:rsidR="00AC56D6" w:rsidRDefault="00AC56D6" w:rsidP="00AC56D6">
      <w:pPr>
        <w:pStyle w:val="TextoNormal"/>
      </w:pPr>
    </w:p>
    <w:p w:rsidR="00AC56D6" w:rsidRDefault="00AC56D6" w:rsidP="00AC56D6">
      <w:pPr>
        <w:pStyle w:val="TextoNormal"/>
      </w:pPr>
      <w:r>
        <w:t xml:space="preserve">En efecto, en la citada STC 234/2015, FJ 2, apreciamos que en la explicación de la dependencia del fallo del proceso </w:t>
      </w:r>
      <w:r w:rsidRPr="00AC56D6">
        <w:rPr>
          <w:i/>
        </w:rPr>
        <w:t>a quo</w:t>
      </w:r>
      <w:r>
        <w:t xml:space="preserve"> de la validez constitucional de la norma cuestionada </w:t>
      </w:r>
      <w:r>
        <w:lastRenderedPageBreak/>
        <w:t>que realiza el órgano judicial “no ha tenido en cuenta lo dispuesto en la disposición transitoria segunda de la Ley Orgánica 8/2013, de 9 de diciembre, para la mejora de la calidad educativa (LOMCE), en relación con la aplicación temporal de la redacción dada al art. 84.3 de la Ley Orgánica 2/2006, de 3 de mayo, de Educación (LOE), por el art. Único.71 LOMCE. Conforme a esta disposición transitoria ‘Los centros privados a los que en 2013 se les haya denegado la renovación del concierto educativo o reducido las unidades escolares concertadas por el único motivo de ofrecer educación diferenciada por sexos podrán solicitar que se les aplique lo indicado en el artículo 84.3 de esta Ley Orgánica para el resto del actual período de conciertos en el plazo de dos meses desde su entrada en vigor’. En relación con ello la nueva redacción del art. 84.3 LOE señala expresamente que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 Dado el tenor de tales preceptos, es claro que pudieran resultar directamente aplicables a un supuesto de hecho como el considerado en el caso a quo, cuyo objeto es una Orden autonómica de 27 de febrero de 2013, por la que se deniega la solicitud de renovación del concierto educativo con un centro docente privado, a partir del curso académico 2013-2014, precisamente por no cumplir con lo establecido en la redacción anterior del art. 84.3 LOE, en lo que se refiere a la no discriminación por razón de sexo al no comprometerse a escolarizar alumnado de ambos sexos. Pese a que la LOMCE entró en vigor a los veinte días de su publicación en el Boletín Oficial del Estado, que tuvo lugar el 10 de diciembre de 2013 y, por tanto, ya estaba vigente el 14 de octubre de 2014, momento en el que se acuerda plantear la cuestión dictando el correspondiente Auto, el órgano judicial no hace referencia alguna a este precepto en su argumentación, ni tampoco a las razones por las que, en su defecto, entiende que no es de aplicación al caso que ha de resolver”.</w:t>
      </w:r>
    </w:p>
    <w:p w:rsidR="00AC56D6" w:rsidRDefault="00AC56D6" w:rsidP="00AC56D6">
      <w:pPr>
        <w:pStyle w:val="TextoNormal"/>
      </w:pPr>
    </w:p>
    <w:p w:rsidR="00AC56D6" w:rsidRDefault="00AC56D6" w:rsidP="00AC56D6">
      <w:pPr>
        <w:pStyle w:val="TextoNormal"/>
      </w:pPr>
      <w:r>
        <w:t xml:space="preserve">Se entendió que “dicha omisión condiciona ineludiblemente la valoración acerca de la adecuada formulación de los juicios de aplicabilidad y relevancia exigidos para el planteamiento de la cuestión de inconstitucionalidad por el art. 35 LOTC”. Ello porque “en el supuesto que consideramos, teniendo presente lo dispuesto por la LOMCE y el silencio del órgano judicial al respecto, no puede asegurarse, en este momento, que el pronunciamiento de este Tribunal acerca del art. 17.8 de la Ley 17/2012, de 27 de diciembre, objeto de la presente cuestión, fuera necesario e imprescindible para resolver el caso sometido a la consideración de la Sala cuestionante, de manera que el juicio de constitucionalidad que se nos solicita sobre el precepto podría quedar desconectado de su aplicación al proceso </w:t>
      </w:r>
      <w:r w:rsidRPr="00AC56D6">
        <w:rPr>
          <w:i/>
        </w:rPr>
        <w:t>a quo</w:t>
      </w:r>
      <w:r>
        <w:t xml:space="preserve">. Es decir, se correría el riesgo de que el juicio a la ley se desarrollara ante este Tribunal sin necesidad ni pertinencia alguna, pues, realizado el enjuiciamiento y pronunciado el fallo que correspondiere, el proceso </w:t>
      </w:r>
      <w:r w:rsidRPr="00AC56D6">
        <w:rPr>
          <w:i/>
        </w:rPr>
        <w:t>a quo</w:t>
      </w:r>
      <w:r>
        <w:t xml:space="preserve"> podría concluir sin aplicar el precepto cuestionado y en atención a razones jurídicas ajenas a su conformidad o no a la Constitución. Ese sería el caso si el órgano judicial optase, una vez resuelta la cuestión, por aplicar la disposición transitoria segunda LOMCE”.</w:t>
      </w:r>
    </w:p>
    <w:p w:rsidR="00AC56D6" w:rsidRDefault="00AC56D6" w:rsidP="00AC56D6">
      <w:pPr>
        <w:pStyle w:val="TextoNormal"/>
      </w:pPr>
    </w:p>
    <w:p w:rsidR="00AC56D6" w:rsidRDefault="00AC56D6" w:rsidP="00AC56D6">
      <w:pPr>
        <w:pStyle w:val="TextoNormal"/>
      </w:pPr>
      <w:r>
        <w:t xml:space="preserve">En definitiva —concluimos en la STC 234/2015, FJ 2— “es indiscutible que el precepto cuestionado es aplicable para la resolución del pleito sometido a la consideración del órgano judicial, pero podría no ser el único relevante a la vista de lo regulado por la disposición transitoria segunda LOMCE en relación con el art. 84.3 LOE, reflexión que no aparece en </w:t>
      </w:r>
      <w:r>
        <w:lastRenderedPageBreak/>
        <w:t>el Auto de planteamiento, que guarda silencio respecto a la relación entre esta norma y la que ha cuestionado.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00AC56D6" w:rsidRDefault="00AC56D6" w:rsidP="00AC56D6">
      <w:pPr>
        <w:pStyle w:val="TextoNormal"/>
      </w:pPr>
    </w:p>
    <w:p w:rsidR="00AC56D6" w:rsidRDefault="00AC56D6" w:rsidP="00AC56D6">
      <w:pPr>
        <w:pStyle w:val="TextoNormal"/>
      </w:pPr>
      <w:r>
        <w:t>En consecuencia, por las mismas razones expresadas en la STC 234/2015, FJ 2, procede acordar también la inadmisión de la presente cuestión de inconstitucionalidad.</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Inadmitir la presente cuestión de inconstitucionalidad.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treinta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09" w:name="SENTENCIA_2015_253"/>
      <w:r>
        <w:lastRenderedPageBreak/>
        <w:t>SENTENCIA 253/2015, de 30 de noviembre de 2015</w:t>
      </w:r>
    </w:p>
    <w:bookmarkEnd w:id="109"/>
    <w:p w:rsidR="00AC56D6" w:rsidRDefault="00AC56D6" w:rsidP="00AC56D6">
      <w:pPr>
        <w:pStyle w:val="TtuloResolucin"/>
      </w:pPr>
      <w:r>
        <w:t>Sala Segunda</w:t>
      </w:r>
    </w:p>
    <w:p w:rsidR="00AC56D6" w:rsidRDefault="00AC56D6" w:rsidP="00AC56D6">
      <w:pPr>
        <w:pStyle w:val="TtuloBOE"/>
      </w:pPr>
      <w:r>
        <w:t>(BOE núm. 10, de 12 de enero de 2016)</w:t>
      </w:r>
    </w:p>
    <w:p w:rsidR="00AC56D6" w:rsidRDefault="00AC56D6" w:rsidP="00AC56D6">
      <w:pPr>
        <w:pStyle w:val="TextoNormalCentrado"/>
      </w:pPr>
      <w:r>
        <w:t>ECLI:ES:TC:2015:253</w:t>
      </w:r>
    </w:p>
    <w:p w:rsidR="00AC56D6" w:rsidRDefault="00AC56D6" w:rsidP="00AC56D6">
      <w:pPr>
        <w:pStyle w:val="TextoNormalCentrado"/>
      </w:pPr>
    </w:p>
    <w:p w:rsidR="00AC56D6" w:rsidRDefault="00AC56D6" w:rsidP="00AC56D6">
      <w:pPr>
        <w:pStyle w:val="SntesisDescriptiva"/>
      </w:pPr>
      <w:r>
        <w:t>Cuestión de inconstitucionalidad 6813-2014. Cuestión de inconstitucionalidad 6813-2014. Planteada por la Sala de lo Contencioso-Administrativo del Tribunal Superior de Justicia de Andalucía, con sede en Sevilla, en relación con el artículo 17.8 de la Ley 17/2012, de 27 de diciembre, de presupuestos generales del Estado para el año 2013.</w:t>
      </w:r>
    </w:p>
    <w:p w:rsidR="00AC56D6" w:rsidRDefault="00AC56D6" w:rsidP="00AC56D6">
      <w:pPr>
        <w:pStyle w:val="SntesisDescriptiva"/>
      </w:pPr>
    </w:p>
    <w:p w:rsidR="00AC56D6" w:rsidRDefault="00AC56D6" w:rsidP="00AC56D6">
      <w:pPr>
        <w:pStyle w:val="SntesisAnaltica"/>
      </w:pPr>
      <w:r>
        <w:t>Límites materiales de las leyes de presupuestos, reserva de ley orgánica: STC 234/2015 (inadmisión de la cuestión de inconstitucionalidad por inadecuada formulación del juicio de relevancia).</w:t>
      </w:r>
    </w:p>
    <w:p w:rsidR="00AC56D6" w:rsidRDefault="00AC56D6" w:rsidP="00AC56D6">
      <w:pPr>
        <w:pStyle w:val="SntesisAnaltica"/>
      </w:pPr>
    </w:p>
    <w:p w:rsidR="00AC56D6" w:rsidRDefault="00AC56D6" w:rsidP="00AC56D6">
      <w:pPr>
        <w:pStyle w:val="Extracto"/>
      </w:pPr>
      <w:r>
        <w:t>1.</w:t>
      </w:r>
      <w:r>
        <w:tab/>
        <w:t>Asunto sustancialmente idéntico al planteado en la STC 234/2015, que aplica la doctrina constitucional sobre la inadecuada formulación del juicio de relevancia [FJ 2].</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6813-2014 promovida por la Sección Tercera de la Sala de lo Contencioso-Administrativo del Tribunal Superior de Justicia de Andalucía, con sede en Sevilla, en relación con el art. 17.8 de la Ley 17/2012, de 27 de diciembre, de presupuestos generales del Estado para el año 2013. Ha comparecido y formulado alegaciones el Abogado del Estado. Ha intervenido el Fiscal General del Estado. Ha sido Ponente el Magistrado don Pedro José González-Trevijano Sánchez,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El día 13 de noviembre de 2014 tuvo entrada en el Registro General de este Tribunal escrito de la Sección Tercera de la Sala de lo Contencioso-Administrativo del Tribunal Superior de Justicia de Andalucía, con sede en Sevilla, al que se acompaña, junto con el testimonio del procedimiento correspondiente, el Auto de 23 de octubre de 2014, en el que se acuerda plantear cuestión de inconstitucionalidad sobre el art. 17.8 de la Ley 17/2012, de </w:t>
      </w:r>
      <w:r>
        <w:lastRenderedPageBreak/>
        <w:t>27 de diciembre, de presupuestos generales del Estado para el año 2013, por posible vulneración de los arts. 81.1 y 134.2 CE.</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son, sucintamente expuestos, los siguientes:</w:t>
      </w:r>
    </w:p>
    <w:p w:rsidR="00AC56D6" w:rsidRDefault="00AC56D6" w:rsidP="00AC56D6">
      <w:pPr>
        <w:pStyle w:val="TextoNormal"/>
      </w:pPr>
    </w:p>
    <w:p w:rsidR="00AC56D6" w:rsidRDefault="00AC56D6" w:rsidP="00AC56D6">
      <w:pPr>
        <w:pStyle w:val="TextoNormal"/>
      </w:pPr>
      <w:r>
        <w:t>a) La fundación Zalima, titular del centro docente privado concertado “Zalima” interpuso recurso contencioso-administrativo contra la Orden de 27 de febrero de 2013, de la Consejería de Educación de la Junta de Andalucía, por la que se resuelve la solicitud de renovación del concierto educativo con dicho centro docente privado, a partir del curso académico 2013-2014. Dicha orden denegaba el concierto educativo para el referido centro docente por no cumplir presuntamente este con lo establecido en el art. 84.3 de la Ley Orgánica 2/2006, de 3 de mayo, de educación (LOE), en lo que se refiere a la no discriminación por razón de sexo.</w:t>
      </w:r>
    </w:p>
    <w:p w:rsidR="00AC56D6" w:rsidRDefault="00AC56D6" w:rsidP="00AC56D6">
      <w:pPr>
        <w:pStyle w:val="TextoNormal"/>
      </w:pPr>
    </w:p>
    <w:p w:rsidR="00AC56D6" w:rsidRDefault="00AC56D6" w:rsidP="00AC56D6">
      <w:pPr>
        <w:pStyle w:val="TextoNormal"/>
      </w:pPr>
      <w:r>
        <w:t>b) El recurso contencioso administrativo, interpuesto ante la Sala de lo Contencioso-Administrativo del Tribunal Superior de Justicia de Andalucía, con sede en Sevilla, se basaba, entre otros motivos de ilegalidad y de inconstitucionalidad, en que la Administración había incumplido el mandato establecido en el art. 17.8 de la Ley 17/2012, de 27 de diciembre, que había entrado en vigor el 1 de enero de 2013. El Letrado de la Junta de Andalucía, en la contestación a la demanda, alegaba la inconstitucionalidad del citado artículo 17.8 por vulneración de la reserva de ley orgánica del art. 81 CE y por exceder del contenido admisible para una ley de presupuestos, con vulneración, además, del principio de igualdad de los arts. 9.3 y 14 CE; solicitaba a su vez el planteamiento de la cuestión de inconstitucionalidad para el caso de que la Sala estimase que dicho precepto legal es esencial para la resolución del asunto.</w:t>
      </w:r>
    </w:p>
    <w:p w:rsidR="00AC56D6" w:rsidRDefault="00AC56D6" w:rsidP="00AC56D6">
      <w:pPr>
        <w:pStyle w:val="TextoNormal"/>
      </w:pPr>
    </w:p>
    <w:p w:rsidR="00AC56D6" w:rsidRDefault="00AC56D6" w:rsidP="00AC56D6">
      <w:pPr>
        <w:pStyle w:val="TextoNormal"/>
      </w:pPr>
      <w:r>
        <w:t>c) Estando conclusas las actuaciones y señalado para votación y fallo el día 25 de junio de 2014, se dictó por la Sala providencia de 26 de junio dando plazo común de diez días para alegaciones a las partes y al Ministerio Fiscal, conforme a lo dispuesto en los arts. 5.2 de la Ley Orgánica del Poder Judicial (LOPJ) y 35.2 de la Ley Orgánica del Tribunal Constitucional (LOTC), por considerar la Sala “que el artículo 17.8 de la Ley 17/2012, de 27 de diciembre, de Presupuestos Generales del Estado, de cuya validez depende el fallo, pudiera ser contrario a la Constitución”.</w:t>
      </w:r>
    </w:p>
    <w:p w:rsidR="00AC56D6" w:rsidRDefault="00AC56D6" w:rsidP="00AC56D6">
      <w:pPr>
        <w:pStyle w:val="TextoNormal"/>
      </w:pPr>
    </w:p>
    <w:p w:rsidR="00AC56D6" w:rsidRDefault="00AC56D6" w:rsidP="00AC56D6">
      <w:pPr>
        <w:pStyle w:val="TextoNormal"/>
      </w:pPr>
      <w:r>
        <w:t>d) Habiendo alegado el Ministerio Fiscal que la providencia citada no cumplía las exigencias del art. 35.2 LOTC, por no mencionar la norma constitucional cuya vulneración se cuestionaba y no justificar en qué medida la decisión del proceso dependía de su validez, se dictó otra nueva de 31 de julio de 2014, dando plazo común de diez días, conforme a lo dispuesto en los arts. 5.2 LOPJ y 35.2 LOTC, para que las partes y el Ministerio Fiscal alegasen sobre la inconstitucionalidad en que podría incurrir el art. 17.8 de la Ley 17/2012, de 27 de diciembre, de cuya validez depende el fallo, por vulneración de los arts. 81.1 y 134.2 CE. Considera la nueva providencia que, tras el dictado del precepto mencionado, la Administración no puede seguir aplicando la jurisprudencia recaída en interpretación de la Ley Orgánica de educación. Entiende que este precepto invade la reserva de ley orgánica y excede del contenido que la Constitución contempla para las leyes de presupuestos.</w:t>
      </w:r>
    </w:p>
    <w:p w:rsidR="00AC56D6" w:rsidRDefault="00AC56D6" w:rsidP="00AC56D6">
      <w:pPr>
        <w:pStyle w:val="TextoNormal"/>
      </w:pPr>
    </w:p>
    <w:p w:rsidR="00AC56D6" w:rsidRDefault="00AC56D6" w:rsidP="00AC56D6">
      <w:pPr>
        <w:pStyle w:val="TextoNormal"/>
      </w:pPr>
      <w:r>
        <w:lastRenderedPageBreak/>
        <w:t>e) Mediante escrito de 19 de septiembre de 2014, sin pronunciarse sobre el fondo del asunto y atendiendo solo a los aspectos formales, el Ministerio Fiscal expresó la procedencia de plantear la cuestión. El Letrado de la Junta de Andalucía, mediante escrito presentado el 30 de septiembre de 2014, consideró que procedía el planteamiento de la cuestión. La parte recurrente, en escrito presentado el 23 de septiembre de 2014, formuló alegaciones solicitando que la Sala adopte la decisión que en Derecho proceda.</w:t>
      </w:r>
    </w:p>
    <w:p w:rsidR="00AC56D6" w:rsidRDefault="00AC56D6" w:rsidP="00AC56D6">
      <w:pPr>
        <w:pStyle w:val="TextoNormal"/>
      </w:pPr>
    </w:p>
    <w:p w:rsidR="00AC56D6" w:rsidRDefault="00AC56D6" w:rsidP="00AC56D6">
      <w:pPr>
        <w:pStyle w:val="TextoNormal"/>
      </w:pPr>
      <w:r w:rsidRPr="00AC56D6">
        <w:rPr>
          <w:rStyle w:val="NumeroAFNegritaCaracter"/>
        </w:rPr>
        <w:t>3</w:t>
      </w:r>
      <w:r>
        <w:t>. El órgano judicial dictó Auto de 23 de octubre de 2014, en el que acuerda plantear cuestión de inconstitucionalidad respecto al art. 17.8 de la Ley 17/2012, de 27 de diciembre, de presupuestos generales del Estado para el año 2013, por posible vulneración de los arts. 81.1 y 134.2 CE.</w:t>
      </w:r>
    </w:p>
    <w:p w:rsidR="00AC56D6" w:rsidRDefault="00AC56D6" w:rsidP="00AC56D6">
      <w:pPr>
        <w:pStyle w:val="TextoNormal"/>
      </w:pPr>
    </w:p>
    <w:p w:rsidR="00AC56D6" w:rsidRDefault="00AC56D6" w:rsidP="00AC56D6">
      <w:pPr>
        <w:pStyle w:val="TextoNormal"/>
      </w:pPr>
      <w:r>
        <w:t>Del contenido del Auto interesa destacar lo siguiente:</w:t>
      </w:r>
    </w:p>
    <w:p w:rsidR="00AC56D6" w:rsidRDefault="00AC56D6" w:rsidP="00AC56D6">
      <w:pPr>
        <w:pStyle w:val="TextoNormal"/>
      </w:pPr>
    </w:p>
    <w:p w:rsidR="00AC56D6" w:rsidRDefault="00AC56D6" w:rsidP="00AC56D6">
      <w:pPr>
        <w:pStyle w:val="TextoNormal"/>
      </w:pPr>
      <w:r>
        <w:t>El órgano judicial razona que tras la entrada en vigor de la Ley Orgánica de educación resultaba conforme a derecho, de acuerdo con la jurisprudencia del Tribunal Supremo, que la Administración rechazase celebrar conciertos educativos con centros docentes privados donde no se escolarizan alumnos de ambos sexos. El estado de la cuestión, prosigue, ha cambiado con la Ley 17/2012, cuyo artículo 17 relativo al “módulo económico de distribución de fondos públicos para sostenimiento de centros concertados” estableció, en su apartado ocho, que dicha norma es plenamente aplicable a la financiación de centros concertados, incluidos los de educación diferenciada que escolarizan alumnos de un solo sexo y ello con independencia del modelo de agrupamiento de alumnos que realicen los centros docentes en el ejercicio de sus competencias. De esta manera, si de acuerdo con la Ley Orgánica de educación los centros con educación diferenciada no podían acogerse a la financiación pública, tras la ley de presupuestos la regla es la contraria. Este precepto habría sido vulnerado por la resolución impugnada en el pleito principal, de modo que en su aplicación habría que dar razón a la recurrente en el pleito. No obstante, expresa dos dudas sobre su constitucionalidad:</w:t>
      </w:r>
    </w:p>
    <w:p w:rsidR="00AC56D6" w:rsidRDefault="00AC56D6" w:rsidP="00AC56D6">
      <w:pPr>
        <w:pStyle w:val="TextoNormal"/>
      </w:pPr>
    </w:p>
    <w:p w:rsidR="00AC56D6" w:rsidRDefault="00AC56D6" w:rsidP="00AC56D6">
      <w:pPr>
        <w:pStyle w:val="TextoNormal"/>
      </w:pPr>
      <w:r>
        <w:t>a) Relativa a la reserva a la ley orgánica de la regulación de los aspectos esenciales de un derecho fundamental. Entiende el órgano judicial que no se había puesto en duda el sistema de la educación diferenciada hasta la entrada en vigor de la Ley Orgánica de educación, en cuyo artículo 84.3 se prohíbe expresamente en el régimen de admisión de alumnos la discriminación por razón de sexo. Dicho precepto, conforme a la interpretación realizada por el Tribunal Supremo, comporta que la educación separada por sexos dejó de estar autorizada para los centros docentes sostenidos con fondos públicos. Asimismo pone de relieve que en la reforma de la Ley Orgánica de educación se ha introducido, en el artículo 84.3 lo siguiente: “no constituye discriminación la admisión de alumnos y alumnas o la organización de la enseñanza diferenciadas por sexos, siempre que la enseñanza que impartan se desarrolle conforme a lo dispuesto en el artículo 2 de la Convención relativa a la lucha contra las discriminaciones en la esfera de la enseñanza, aprobada por la Conferencia General de la UNESCO el 14 de diciembre de 1960”.</w:t>
      </w:r>
    </w:p>
    <w:p w:rsidR="00AC56D6" w:rsidRDefault="00AC56D6" w:rsidP="00AC56D6">
      <w:pPr>
        <w:pStyle w:val="TextoNormal"/>
      </w:pPr>
    </w:p>
    <w:p w:rsidR="00AC56D6" w:rsidRDefault="00AC56D6" w:rsidP="00AC56D6">
      <w:pPr>
        <w:pStyle w:val="TextoNormal"/>
      </w:pPr>
      <w:r>
        <w:t xml:space="preserve">b) Relativa a los límites constitucionales de la ley de presupuestos. La doctrina constitucional (STC 76/1992), establece los límites de las leyes de presupuestos, distinguiendo entre (i) el contenido necesario y (ii) el eventual, posible y no necesario, para el que se requiere la relación directa con los gastos e ingresos que integran el presupuesto o con los criterios </w:t>
      </w:r>
      <w:r>
        <w:lastRenderedPageBreak/>
        <w:t>de política económica de la que el presupuesto es instrumento. El precepto impugnado podría no cumplir los límites establecidos, en cuanto no contiene una previsión de gastos e ingresos; sería dudoso que, aun cuando pueda tener una relación directa con los ingresos o gastos del Estado, sea complemento necesario para su mejor inteligencia.</w:t>
      </w:r>
    </w:p>
    <w:p w:rsidR="00AC56D6" w:rsidRDefault="00AC56D6" w:rsidP="00AC56D6">
      <w:pPr>
        <w:pStyle w:val="TextoNormal"/>
      </w:pPr>
    </w:p>
    <w:p w:rsidR="00AC56D6" w:rsidRDefault="00AC56D6" w:rsidP="00AC56D6">
      <w:pPr>
        <w:pStyle w:val="TextoNormal"/>
      </w:pPr>
      <w:r w:rsidRPr="00AC56D6">
        <w:rPr>
          <w:rStyle w:val="NumeroAFNegritaCaracter"/>
        </w:rPr>
        <w:t>4</w:t>
      </w:r>
      <w:r>
        <w:t>. Mediante providencia de 3 de febrero de 2015, el Pleno del Tribunal Constitucional, a propuesta de la Sección Tercera, acuerda admitir a trámite la presente cuestión y, conforme a lo dispuesto en el art. 10.1 c) LOTC, deferir a la Sala Primera el conocimiento de la misma;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esta resolución a la Sección Tercera de la Sala de lo Contencioso-Administrativo del Tribunal Superior de Andalucía, con sede en Sevilla, a fin de que, de conformidad con lo dispuesto en el art. 35.3 LOTC, permanezca suspendido el proceso hasta que este Tribunal resuelva definitivamente la presente cuestión y publicar la incoación de la cuestión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El Presidente del Senado, mediante escrito registrado el 18 de febrero de 2015, comunicó a este Tribunal que la Mesa de la Cámara adoptó el acuerdo de personarse en el proceso, ofreciendo su colaboración a los efectos del art. 88.1 LOTC. Lo mismo hizo el Presidente del Congreso de los Diputados por escrito que tuvo entrada en el Registro General de este Tribunal el 19 de febrero de 2015.</w:t>
      </w:r>
    </w:p>
    <w:p w:rsidR="00AC56D6" w:rsidRDefault="00AC56D6" w:rsidP="00AC56D6">
      <w:pPr>
        <w:pStyle w:val="TextoNormal"/>
      </w:pPr>
    </w:p>
    <w:p w:rsidR="00AC56D6" w:rsidRDefault="00AC56D6" w:rsidP="00AC56D6">
      <w:pPr>
        <w:pStyle w:val="TextoNormal"/>
      </w:pPr>
      <w:r w:rsidRPr="00AC56D6">
        <w:rPr>
          <w:rStyle w:val="NumeroAFNegritaCaracter"/>
        </w:rPr>
        <w:t>6</w:t>
      </w:r>
      <w:r>
        <w:t>. El 3 de marzo de 2015 se personó en el proceso el Abogado del Estado e interesó la desestimación de la cuestión por las razones que a continuación se resumen.</w:t>
      </w:r>
    </w:p>
    <w:p w:rsidR="00AC56D6" w:rsidRDefault="00AC56D6" w:rsidP="00AC56D6">
      <w:pPr>
        <w:pStyle w:val="TextoNormal"/>
      </w:pPr>
    </w:p>
    <w:p w:rsidR="00AC56D6" w:rsidRDefault="00AC56D6" w:rsidP="00AC56D6">
      <w:pPr>
        <w:pStyle w:val="TextoNormal"/>
      </w:pPr>
      <w:r>
        <w:t>Tras exponer los antecedentes del caso precisa que, a su juicio, la duda de constitucionalidad planteada se limita a la posible vulneración de los arts. 81.1 y 134.2 CE. A continuación, expone el sistema de conciertos educativos previsto en la Ley Orgánica de educación, señalando que dicha norma no establece prohibición expresa alguna sobre la financiación de centros privados que practiquen la educación diferenciada.</w:t>
      </w:r>
    </w:p>
    <w:p w:rsidR="00AC56D6" w:rsidRDefault="00AC56D6" w:rsidP="00AC56D6">
      <w:pPr>
        <w:pStyle w:val="TextoNormal"/>
      </w:pPr>
    </w:p>
    <w:p w:rsidR="00AC56D6" w:rsidRDefault="00AC56D6" w:rsidP="00AC56D6">
      <w:pPr>
        <w:pStyle w:val="TextoNormal"/>
      </w:pPr>
      <w:r>
        <w:t xml:space="preserve">El Abogado del Estado parte de la consideración de que el Auto de planteamiento de la cuestión solo desarrolla de manera mínima la vulneración del art. 81.1 CE. A su juicio, no puede sostenerse que el art. 17.8 de la Ley 17/2012 suponga una innovación normativa que afecte al núcleo esencial del derecho fundamental a la educación, conforme a la doctrina constitucional. En su opinión, el art. 17 de la Ley 17/2012 lo que hace es concretar, para el ejercicio 2013, las previsiones de los arts. 116 y siguientes LOE; estos preceptos no tienen carácter orgánico, por lo que menos pueden tenerlo las previsiones dictadas en su desarrollo, que, tienen además un carácter temporal limitado al ejercicio 2013. El cuestionado artículo 17.8 establece una concreción necesaria del ámbito subjetivo de los conciertos para la aplicación de las previsiones presupuestarias. Si bien admite que el precepto se dicta en un momento en que la jurisprudencia del Tribunal Supremo entendió que los centros con educación diferenciada vulneraban el principio de igualdad en su vertiente relativa a la no discriminación por razón de sexo </w:t>
      </w:r>
      <w:r w:rsidRPr="00AC56D6">
        <w:rPr>
          <w:i/>
        </w:rPr>
        <w:t>ex</w:t>
      </w:r>
      <w:r>
        <w:t xml:space="preserve"> art. 84.3 LOE y no podían por ello ser beneficiarios de </w:t>
      </w:r>
      <w:r>
        <w:lastRenderedPageBreak/>
        <w:t>conciertos educativos, lo cierto es que la Ley Orgánica de educación no contenía una previsión expresa al respecto. En su opinión, el artículo 17.8 no introduce una previsión sustantiva contraria o diferente al art. 84.3 LOE, aunque lo interprete de una manera diferente al Tribunal Supremo. Esta diferente interpretación, al entender dentro del ámbito subjetivo de los conciertos los centros con educación diferenciada, no invade el ámbito de ley orgánica, en cuanto no supone el desarrollo del núcleo esencial del derecho a la educación. Finalmente, alega que la modificación de la Ley Orgánica de educación por la Ley Orgánica 8/2013, de 9 de diciembre, que precisa que no se puede entender por discriminación por razón de sexo la escuela diferenciada y afirma que los centros de educación diferenciada tienen derecho, si cumplen con las condiciones legales, a concierto para su financiación, sólo aclara o interpreta las previsiones de la redacción anterior del art. 84.3 LOE. Concluye que la previsión del art. 17.8 de la Ley 17/2012 no afecta a la reserva de ley orgánica, por lo que este motivo debe ser rechazado.</w:t>
      </w:r>
    </w:p>
    <w:p w:rsidR="00AC56D6" w:rsidRDefault="00AC56D6" w:rsidP="00AC56D6">
      <w:pPr>
        <w:pStyle w:val="TextoNormal"/>
      </w:pPr>
    </w:p>
    <w:p w:rsidR="00AC56D6" w:rsidRDefault="00AC56D6" w:rsidP="00AC56D6">
      <w:pPr>
        <w:pStyle w:val="TextoNormal"/>
      </w:pPr>
      <w:r>
        <w:t>En segundo lugar, el Abogado del Estado rechaza, asimismo, que el precepto cuestionado vulnere el art. 134.2 CE, atendiendo a la doctrina constitucional sobre el contenido de la ley de presupuestos. Partiendo de la misma, entiende que el artículo 17.8 integra el denominado “contenido eventual” de la ley de presupuestos y no constituye una modificación sustantiva del ordenamiento jurídico. Tiene un carácter limitado en el ámbito temporal y tiene una conexión económica o presupuestaria evidente, que fundamenta en la remisión que el art. 117 LOE realiza a las leyes de presupuestos generales del Estado. La concreción del ámbito subjetivo de los centros beneficiarios de conciertos educativos es un elemento esencial para poder prever las habilitaciones presupuestarias. La incidencia en la ordenación del programa anual de gastos es necesaria y principal y por ello suficiente para legitimar su inclusión en la ley de presupuestos. Se trata de una conexión con su objeto (habilitación de gastos) directa, inmediata y querida por la norma. La inclusión de los centros concertados en los módulos de concierto tiene relación con los estados de gasto de los presupuestos generales del Estado al tratar sobre la financiación de centros docentes concertados con cargo a los presupuestos de las Administraciones públicas.</w:t>
      </w:r>
    </w:p>
    <w:p w:rsidR="00AC56D6" w:rsidRDefault="00AC56D6" w:rsidP="00AC56D6">
      <w:pPr>
        <w:pStyle w:val="TextoNormal"/>
      </w:pPr>
    </w:p>
    <w:p w:rsidR="00AC56D6" w:rsidRDefault="00AC56D6" w:rsidP="00AC56D6">
      <w:pPr>
        <w:pStyle w:val="TextoNormal"/>
      </w:pPr>
      <w:r w:rsidRPr="00AC56D6">
        <w:rPr>
          <w:rStyle w:val="NumeroAFNegritaCaracter"/>
        </w:rPr>
        <w:t>7</w:t>
      </w:r>
      <w:r>
        <w:t>. El 13 de marzo de 2015 presentó sus alegaciones la Fiscal General del Estado, interesando la desestimación de la cuestión por las razones que se resumen a continuación.</w:t>
      </w:r>
    </w:p>
    <w:p w:rsidR="00AC56D6" w:rsidRDefault="00AC56D6" w:rsidP="00AC56D6">
      <w:pPr>
        <w:pStyle w:val="TextoNormal"/>
      </w:pPr>
    </w:p>
    <w:p w:rsidR="00AC56D6" w:rsidRDefault="00AC56D6" w:rsidP="00AC56D6">
      <w:pPr>
        <w:pStyle w:val="TextoNormal"/>
      </w:pPr>
      <w:r>
        <w:t>Expone, en primer lugar, los antecedentes de hecho de la cuestión, así como el contenido del art. 17 y de los anexos IV y V de la Ley 17/2012, de 27 de diciembre, y del propio Auto de planteamiento de la cuestión.</w:t>
      </w:r>
    </w:p>
    <w:p w:rsidR="00AC56D6" w:rsidRDefault="00AC56D6" w:rsidP="00AC56D6">
      <w:pPr>
        <w:pStyle w:val="TextoNormal"/>
      </w:pPr>
    </w:p>
    <w:p w:rsidR="00AC56D6" w:rsidRDefault="00AC56D6" w:rsidP="00AC56D6">
      <w:pPr>
        <w:pStyle w:val="TextoNormal"/>
      </w:pPr>
      <w:r>
        <w:t>Antes de abordar el examen de las cuestiones planteadas en el Auto, analiza la pervivencia del objeto, dado que las previsiones anteriormente citadas se limitaban al ejercicio presupuestario de 2013; llega a la conclusión de que, conforme a la doctrina de este Tribunal, no se ha producido la pérdida de objeto del presente proceso constitucional.</w:t>
      </w:r>
    </w:p>
    <w:p w:rsidR="00AC56D6" w:rsidRDefault="00AC56D6" w:rsidP="00AC56D6">
      <w:pPr>
        <w:pStyle w:val="TextoNormal"/>
      </w:pPr>
    </w:p>
    <w:p w:rsidR="00AC56D6" w:rsidRDefault="00AC56D6" w:rsidP="00AC56D6">
      <w:pPr>
        <w:pStyle w:val="TextoNormal"/>
      </w:pPr>
      <w:r>
        <w:t xml:space="preserve">En cuanto al fondo del asunto, considera, en primer lugar, que el art. 17.8 de la Ley 17/2012 no vulnera el art. 134. 2 CE, conforme a la doctrina constitucional. La regulación prevista en el citado precepto no puede ser escindida de su contexto, constituido no sólo por los números 1 a 7 del artículo 17, sino también por los anexos IV y V de esa misma Ley. La norma cuestionada, en cuanto dispone que dicha regulación es plenamente aplicable a la financiación de todos los centros concertados, incluidos los de educación diferenciada que </w:t>
      </w:r>
      <w:r>
        <w:lastRenderedPageBreak/>
        <w:t>escolarizan alumnos de un solo sexo, no hace sino extender a estos una serie de disposiciones que obedecen sin ningún género de dudas al “contenido propio” o “núcleo esencial” del presupuesto.</w:t>
      </w:r>
    </w:p>
    <w:p w:rsidR="00AC56D6" w:rsidRDefault="00AC56D6" w:rsidP="00AC56D6">
      <w:pPr>
        <w:pStyle w:val="TextoNormal"/>
      </w:pPr>
    </w:p>
    <w:p w:rsidR="00AC56D6" w:rsidRDefault="00AC56D6" w:rsidP="00AC56D6">
      <w:pPr>
        <w:pStyle w:val="TextoNormal"/>
      </w:pPr>
      <w:r>
        <w:t xml:space="preserve">En segundo lugar, considera que el precepto cuestionado tampoco vulnera el art. 81.1 CE. Partiendo de la doctrina establecida en la STC 86/1985, afirma que el art. 27.9 CE ni enuncia un derecho fundamental a la prestación pública, ni encierra un derecho subjetivo a la misma. Si, además, tal prestación pública habrá de ser dispuesta por la Ley, parece obvio concluir que esta materia no forma parte esencial del derecho consagrado en el art. 27.9 CE; siendo esto así, resulta igualmente obvio que no existe un deber </w:t>
      </w:r>
      <w:r w:rsidRPr="00AC56D6">
        <w:rPr>
          <w:i/>
        </w:rPr>
        <w:t>ex constitutione</w:t>
      </w:r>
      <w:r>
        <w:t xml:space="preserve"> de regular tal materia mediante ley orgánica.</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26 de noviembre de 2015 se señaló para deliberación y votación de la presente Sentencia el día 30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Sección Tercera de la Sala de lo Contencioso-Administrativo del Tribunal Superior de Justicia de Andalucía, con sede en Sevilla, plantea cuestión de inconstitucionalidad sobre el art. 17.8 de la Ley 17/2012, de 27 de diciembre, de presupuestos generales del Estado para el año 2013 (en adelante, Ley 17/2012).</w:t>
      </w:r>
    </w:p>
    <w:p w:rsidR="00AC56D6" w:rsidRDefault="00AC56D6" w:rsidP="00AC56D6">
      <w:pPr>
        <w:pStyle w:val="TextoNormal"/>
      </w:pPr>
    </w:p>
    <w:p w:rsidR="00AC56D6" w:rsidRDefault="00AC56D6" w:rsidP="00AC56D6">
      <w:pPr>
        <w:pStyle w:val="TextoNormal"/>
      </w:pPr>
      <w:r>
        <w:t>El artículo 17 de la citada Ley regula el módulo económico de distribución de fondos públicos para sostenimiento de centros concertados, en cumplimiento, conforme a su primer apartado, de lo dispuesto en el art. 117 de la Ley Orgánica 2/2006, de 3 de mayo, de educación (LOE). Este precepto determina que se fijará anualmente en los presupuestos generales del Estado el importe del módulo económico por unidad escolar, a efectos de distribución de la cuantía global de los fondos públicos destinados al sostenimiento de los centros privados concertados para hacer efectiva la gratuidad de las enseñanzas objeto de concierto. Asimismo, establece los diferentes conceptos que integran dicho módulo (salarios del personal docente, cantidades asignadas a otros gastos y cantidades para atender al pago de diferentes conceptos como los de antigüedad, sustituciones o ejercicio de la función directiva).</w:t>
      </w:r>
    </w:p>
    <w:p w:rsidR="00AC56D6" w:rsidRDefault="00AC56D6" w:rsidP="00AC56D6">
      <w:pPr>
        <w:pStyle w:val="TextoNormal"/>
      </w:pPr>
    </w:p>
    <w:p w:rsidR="00AC56D6" w:rsidRDefault="00AC56D6" w:rsidP="00AC56D6">
      <w:pPr>
        <w:pStyle w:val="TextoNormal"/>
      </w:pPr>
      <w:r>
        <w:t>El apartado 8 del art. 17 de la Ley 17/2012, objeto del presente proceso constitucional, determina lo siguiente:</w:t>
      </w:r>
    </w:p>
    <w:p w:rsidR="00AC56D6" w:rsidRDefault="00AC56D6" w:rsidP="00AC56D6">
      <w:pPr>
        <w:pStyle w:val="TextoNormal"/>
      </w:pPr>
    </w:p>
    <w:p w:rsidR="00AC56D6" w:rsidRDefault="00AC56D6" w:rsidP="00AC56D6">
      <w:pPr>
        <w:pStyle w:val="TextoNormal"/>
      </w:pPr>
      <w:r>
        <w:t>“Lo establecido en este artículo será plenamente aplicable a la financiación de todos los centros concertados incluidos los de educación diferenciada que escolarizan alumnos de un solo sexo, y ello, con independencia del modelo de agrupamiento de alumnos que realicen los centros docentes en el ejercicio de sus competencias.”</w:t>
      </w:r>
    </w:p>
    <w:p w:rsidR="00AC56D6" w:rsidRDefault="00AC56D6" w:rsidP="00AC56D6">
      <w:pPr>
        <w:pStyle w:val="TextoNormal"/>
      </w:pPr>
    </w:p>
    <w:p w:rsidR="00AC56D6" w:rsidRDefault="00AC56D6" w:rsidP="00AC56D6">
      <w:pPr>
        <w:pStyle w:val="TextoNormal"/>
      </w:pPr>
      <w:r>
        <w:t>En síntesis, entiende el órgano judicial que el art. 17.8 de la Ley 17/2012 podría vulnerar tanto el art. 81.1 CE, pues está reservado a ley orgánica regular aspectos esenciales de un derecho fundamental, como el art. 134.2 CE, por no poder considerarse dicho párrafo contenido necesario ni eventual de la ley de presupuestos, conforme a la doctrina constitucional.</w:t>
      </w:r>
    </w:p>
    <w:p w:rsidR="00AC56D6" w:rsidRDefault="00AC56D6" w:rsidP="00AC56D6">
      <w:pPr>
        <w:pStyle w:val="TextoNormal"/>
      </w:pPr>
    </w:p>
    <w:p w:rsidR="00AC56D6" w:rsidRDefault="00AC56D6" w:rsidP="00AC56D6">
      <w:pPr>
        <w:pStyle w:val="TextoNormal"/>
      </w:pPr>
      <w:r>
        <w:lastRenderedPageBreak/>
        <w:t>Como se ha dejado constancia en los antecedentes, tanto el Abogado del Estado como el Fiscal General del Estado interesan la desestimación de la cuestión, por entender que no concurren las vulneraciones constitucionales apreciadas por el órgano judicial.</w:t>
      </w:r>
    </w:p>
    <w:p w:rsidR="00AC56D6" w:rsidRDefault="00AC56D6" w:rsidP="00AC56D6">
      <w:pPr>
        <w:pStyle w:val="TextoNormal"/>
      </w:pPr>
    </w:p>
    <w:p w:rsidR="00AC56D6" w:rsidRDefault="00AC56D6" w:rsidP="00AC56D6">
      <w:pPr>
        <w:pStyle w:val="TextoNormal"/>
      </w:pPr>
      <w:r w:rsidRPr="00AC56D6">
        <w:rPr>
          <w:rStyle w:val="NumeroAFNegritaCaracter"/>
        </w:rPr>
        <w:t>2</w:t>
      </w:r>
      <w:r>
        <w:t>. En nuestra reciente STC 234/2015, de 5 de noviembre, hemos resuelto inadmitir una cuestión de inconstitucionalidad (núm. 6518-2014) idéntica a la presente, planteada por el mismo órgano judicial, por inadecuada formulación del juicio de relevancia (art. 35.1 de la Ley Orgánica del Tribunal Constitucional: LOTC). En consecuencia, por remisión a lo entonces razonado, la presente cuestión ha de correr igual suerte.</w:t>
      </w:r>
    </w:p>
    <w:p w:rsidR="00AC56D6" w:rsidRDefault="00AC56D6" w:rsidP="00AC56D6">
      <w:pPr>
        <w:pStyle w:val="TextoNormal"/>
      </w:pPr>
    </w:p>
    <w:p w:rsidR="00AC56D6" w:rsidRDefault="00AC56D6" w:rsidP="00AC56D6">
      <w:pPr>
        <w:pStyle w:val="TextoNormal"/>
      </w:pPr>
      <w:r>
        <w:t xml:space="preserve">En efecto, en la citada STC 234/2015, FJ 2, apreciamos que en la explicación de la dependencia del fallo del proceso </w:t>
      </w:r>
      <w:r w:rsidRPr="00AC56D6">
        <w:rPr>
          <w:i/>
        </w:rPr>
        <w:t>a quo</w:t>
      </w:r>
      <w:r>
        <w:t xml:space="preserve"> de la validez constitucional de la norma cuestionada que realiza el órgano judicial “no ha tenido en cuenta lo dispuesto en la disposición transitoria segunda de la Ley Orgánica 8/2013, de 9 de diciembre, para la mejora de la calidad educativa (LOMCE), en relación con la aplicación temporal de la redacción dada al art. 84.3 de la Ley Orgánica 2/2006, de 3 de mayo, de Educación (LOE), por el art. Único.71 LOMCE. Conforme a esta disposición transitoria ‘Los centros privados a los que en 2013 se les haya denegado la renovación del concierto educativo o reducido las unidades escolares concertadas por el único motivo de ofrecer educación diferenciada por sexos podrán solicitar que se les aplique lo indicado en el artículo 84.3 de esta Ley Orgánica para el resto del actual período de conciertos en el plazo de dos meses desde su entrada en vigor’. En relación con ello la nueva redacción del art. 84.3 LOE señala expresamente que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 Dado el tenor de tales preceptos, es claro que pudieran resultar directamente aplicables a un supuesto de hecho como el considerado en el caso a quo, cuyo objeto es una Orden autonómica de 27 de febrero de 2013, por la que se deniega la solicitud de renovación del concierto educativo con un centro docente privado, a partir del curso académico 2013-2014, precisamente por no cumplir con lo establecido en la redacción anterior del art. 84.3 LOE, en lo que se refiere a la no discriminación por razón de sexo al no comprometerse a escolarizar alumnado de ambos sexos. Pese a que la LOMCE entró en vigor a los veinte días de su publicación en el Boletín Oficial del Estado, que tuvo lugar el 10 de diciembre de 2013 y, por tanto, ya estaba vigente el 14 de octubre de 2014, momento en el que se acuerda plantear la cuestión dictando el correspondiente Auto, el órgano judicial no hace referencia alguna a este precepto en su argumentación, ni tampoco a las razones por las que, en su defecto, entiende que no es de aplicación al caso que ha de resolver”.</w:t>
      </w:r>
    </w:p>
    <w:p w:rsidR="00AC56D6" w:rsidRDefault="00AC56D6" w:rsidP="00AC56D6">
      <w:pPr>
        <w:pStyle w:val="TextoNormal"/>
      </w:pPr>
    </w:p>
    <w:p w:rsidR="00AC56D6" w:rsidRDefault="00AC56D6" w:rsidP="00AC56D6">
      <w:pPr>
        <w:pStyle w:val="TextoNormal"/>
      </w:pPr>
      <w:r>
        <w:t xml:space="preserve">Se entendió que “dicha omisión condiciona ineludiblemente la valoración acerca de la adecuada formulación de los juicios de aplicabilidad y relevancia exigidos para el planteamiento de la cuestión de inconstitucionalidad por el art. 35 LOTC”. Ello porque “en el supuesto que consideramos, teniendo presente lo dispuesto por la LOMCE y el silencio del órgano judicial al respecto, no puede asegurarse, en este momento, que el pronunciamiento de este Tribunal acerca del art. 17.8 de la Ley 17/2012, de 27 de diciembre, objeto de la presente cuestión, fuera necesario e imprescindible para resolver el caso sometido a la consideración de la Sala cuestionante, de manera que el juicio de constitucionalidad que se nos </w:t>
      </w:r>
      <w:r>
        <w:lastRenderedPageBreak/>
        <w:t xml:space="preserve">solicita sobre el precepto podría quedar desconectado de su aplicación al proceso </w:t>
      </w:r>
      <w:r w:rsidRPr="00AC56D6">
        <w:rPr>
          <w:i/>
        </w:rPr>
        <w:t>a quo</w:t>
      </w:r>
      <w:r>
        <w:t xml:space="preserve">. Es decir, se correría el riesgo de que el juicio a la ley se desarrollara ante este Tribunal sin necesidad ni pertinencia alguna, pues, realizado el enjuiciamiento y pronunciado el fallo que correspondiere, el proceso </w:t>
      </w:r>
      <w:r w:rsidRPr="00AC56D6">
        <w:rPr>
          <w:i/>
        </w:rPr>
        <w:t>a quo</w:t>
      </w:r>
      <w:r>
        <w:t xml:space="preserve"> podría concluir sin aplicar el precepto cuestionado y en atención a razones jurídicas ajenas a su conformidad o no a la Constitución. Ese sería el caso si el órgano judicial optase, una vez resuelta la cuestión, por aplicar la disposición transitoria segunda LOMCE”.</w:t>
      </w:r>
    </w:p>
    <w:p w:rsidR="00AC56D6" w:rsidRDefault="00AC56D6" w:rsidP="00AC56D6">
      <w:pPr>
        <w:pStyle w:val="TextoNormal"/>
      </w:pPr>
    </w:p>
    <w:p w:rsidR="00AC56D6" w:rsidRDefault="00AC56D6" w:rsidP="00AC56D6">
      <w:pPr>
        <w:pStyle w:val="TextoNormal"/>
      </w:pPr>
      <w:r>
        <w:t>En definitiva —concluimos en la STC 234/2015, FJ 2— “es indiscutible que el precepto cuestionado es aplicable para la resolución del pleito sometido a la consideración del órgano judicial, pero podría no ser el único relevante a la vista de lo regulado por la disposición transitoria segunda LOMCE en relación con el art. 84.3 LOE, reflexión que no aparece en el Auto de planteamiento, que guarda silencio respecto a la relación entre esta norma y la que ha cuestionado.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00AC56D6" w:rsidRDefault="00AC56D6" w:rsidP="00AC56D6">
      <w:pPr>
        <w:pStyle w:val="TextoNormal"/>
      </w:pPr>
    </w:p>
    <w:p w:rsidR="00AC56D6" w:rsidRDefault="00AC56D6" w:rsidP="00AC56D6">
      <w:pPr>
        <w:pStyle w:val="TextoNormal"/>
      </w:pPr>
      <w:r>
        <w:t>En consecuencia, por las mismas razones expresadas en la STC 234/2015, FJ 2, procede acordar también la inadmisión de la presente cuestión de inconstitucionalidad.</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Inadmitir la presente cuestión de inconstitucionalidad.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treinta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10" w:name="SENTENCIA_2015_254"/>
      <w:r>
        <w:lastRenderedPageBreak/>
        <w:t>SENTENCIA 254/2015, de 30 de noviembre de 2015</w:t>
      </w:r>
    </w:p>
    <w:bookmarkEnd w:id="110"/>
    <w:p w:rsidR="00AC56D6" w:rsidRDefault="00AC56D6" w:rsidP="00AC56D6">
      <w:pPr>
        <w:pStyle w:val="TtuloResolucin"/>
      </w:pPr>
      <w:r>
        <w:t>Sala Primera</w:t>
      </w:r>
    </w:p>
    <w:p w:rsidR="00AC56D6" w:rsidRDefault="00AC56D6" w:rsidP="00AC56D6">
      <w:pPr>
        <w:pStyle w:val="TtuloBOE"/>
      </w:pPr>
      <w:r>
        <w:t>(BOE núm. 10, de 12 de enero de 2016)</w:t>
      </w:r>
    </w:p>
    <w:p w:rsidR="00AC56D6" w:rsidRDefault="00AC56D6" w:rsidP="00AC56D6">
      <w:pPr>
        <w:pStyle w:val="TextoNormalCentrado"/>
      </w:pPr>
      <w:r>
        <w:t>ECLI:ES:TC:2015:254</w:t>
      </w:r>
    </w:p>
    <w:p w:rsidR="00AC56D6" w:rsidRDefault="00AC56D6" w:rsidP="00AC56D6">
      <w:pPr>
        <w:pStyle w:val="TextoNormalCentrado"/>
      </w:pPr>
    </w:p>
    <w:p w:rsidR="00AC56D6" w:rsidRDefault="00AC56D6" w:rsidP="00AC56D6">
      <w:pPr>
        <w:pStyle w:val="SntesisDescriptiva"/>
      </w:pPr>
      <w:r>
        <w:t>Cuestión de inconstitucionalidad 6860-2014. Cuestión de inconstitucionalidad 6860-2014. Planteada por la Sala de lo Contencioso-Administrativo del Tribunal Superior de Justicia de Cantabria, en relación con el artículo 65 bis.1 de la Ley del Parlamento de Cantabria 2/2001, de 25 de junio, de ordenación territorial y de régimen urbanístico del suelo de Cantabria, introducido por la Ley del Parlamento de Cantabria 4/2013, de 20 de junio.</w:t>
      </w:r>
    </w:p>
    <w:p w:rsidR="00AC56D6" w:rsidRDefault="00AC56D6" w:rsidP="00AC56D6">
      <w:pPr>
        <w:pStyle w:val="SntesisDescriptiva"/>
      </w:pPr>
    </w:p>
    <w:p w:rsidR="00AC56D6" w:rsidRDefault="00AC56D6" w:rsidP="00AC56D6">
      <w:pPr>
        <w:pStyle w:val="SntesisAnaltica"/>
      </w:pPr>
      <w:r>
        <w:t>Derecho a la tutela judicial efectiva, reserva de jurisdicción y competencias en materia de administración de justicia: nulidad del precepto legal autonómico que introduce una causa de suspensión de ejecución de las sentencias que impliquen la demolición de edificaciones (STC 92/2013).</w:t>
      </w:r>
    </w:p>
    <w:p w:rsidR="00AC56D6" w:rsidRDefault="00AC56D6" w:rsidP="00AC56D6">
      <w:pPr>
        <w:pStyle w:val="SntesisAnaltica"/>
      </w:pPr>
    </w:p>
    <w:p w:rsidR="00AC56D6" w:rsidRDefault="00AC56D6" w:rsidP="00AC56D6">
      <w:pPr>
        <w:pStyle w:val="Extracto"/>
      </w:pPr>
      <w:r>
        <w:t>1.</w:t>
      </w:r>
      <w:r>
        <w:tab/>
        <w:t>El precepto autonómico, al crear una causa de suspensión específica en relación con las sentencias que ordenan la demolición de edificios ilegales, resulta incompatible con la reserva estatal en materia de legislación procesal, por lo que debe declararse la inconstitucionalidad y nulidad del inciso cuestionado [FJ 3].</w:t>
      </w:r>
    </w:p>
    <w:p w:rsidR="00AC56D6" w:rsidRDefault="00AC56D6" w:rsidP="00AC56D6">
      <w:pPr>
        <w:pStyle w:val="Extracto"/>
      </w:pPr>
    </w:p>
    <w:p w:rsidR="00AC56D6" w:rsidRDefault="00AC56D6" w:rsidP="00AC56D6">
      <w:pPr>
        <w:pStyle w:val="Extracto"/>
      </w:pPr>
      <w:r>
        <w:t>2.</w:t>
      </w:r>
      <w:r>
        <w:tab/>
        <w:t>La decisión judicial de suspender una demolición acordada en sentencia firme sobre la base de una mera futura modificación de la normativa urbanística que, eventualmente, la legalizara, supone vulneración del art. 24.1 CE, en su vertiente de derecho a la ejecución de las resoluciones judiciales firmes en sus propios términos (STC 22/2009) [FJ 3].</w:t>
      </w:r>
    </w:p>
    <w:p w:rsidR="00AC56D6" w:rsidRDefault="00AC56D6" w:rsidP="00AC56D6">
      <w:pPr>
        <w:pStyle w:val="Extracto"/>
      </w:pPr>
    </w:p>
    <w:p w:rsidR="00AC56D6" w:rsidRDefault="00AC56D6" w:rsidP="00AC56D6">
      <w:pPr>
        <w:pStyle w:val="Extracto"/>
      </w:pPr>
      <w:r>
        <w:t>3.</w:t>
      </w:r>
      <w:r>
        <w:tab/>
        <w:t>El efecto suspensivo que se atribuye a la autorización provisional implica que el legislador autonómico impone su propia valoración del impacto de la expectativa de cambio de ordenación urbana sobre la demolición ordenada en sentencia firme, perdiendo, por tanto, el órgano judicial el control de la ejecución de su resolución [FJ 3].</w:t>
      </w:r>
    </w:p>
    <w:p w:rsidR="00AC56D6" w:rsidRDefault="00AC56D6" w:rsidP="00AC56D6">
      <w:pPr>
        <w:pStyle w:val="Extracto"/>
      </w:pPr>
    </w:p>
    <w:p w:rsidR="00AC56D6" w:rsidRDefault="00AC56D6" w:rsidP="00AC56D6">
      <w:pPr>
        <w:pStyle w:val="Extracto"/>
      </w:pPr>
      <w:r>
        <w:t>4.</w:t>
      </w:r>
      <w:r>
        <w:tab/>
        <w:t>El juicio de aplicabilidad y relevancia compete, en principio, realizarlo al órgano judicial, correspondiendo a este Tribunal exclusivamente un control externo que sólo le permite inadmitir aquellas cuestiones que se basen en error notorio apreciable sin necesidad de entrar a examinar el fondo debatido (STC 114/2010) [FJ 2 b)].</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Primera del Tribunal Constitucional, compuesta por don Francisco Pérez de los Cobos Orihuel, Presidente, doña Encarnación Roca Trías, don Andrés Ollero Tassara, don Juan Antonio Xiol Ríos, don Santiago Martínez-Vares García,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6860-2014, planteada por la Sala de lo Contencioso-Administrativo del Tribunal Superior de Justicia de Cantabria, en relación con el art. 65 bis.1 de la Ley del Parlamento de Cantabria 2/2001, de 25 de junio, de ordenación territorial y de régimen urbanístico del suelo de Cantabria, introducido por la Ley del Parlamento de Cantabria 4/2013, de 20 de junio, en la parte del mismo que se refiere a las órdenes de demolición judiciales. Han intervenido en el procedimiento la Fiscal General del Estado, el Ayuntamiento de Escalante, el Abogado del Estado, el Letrado del Parlamento de Cantabria, el Gobierno de Cantabria y la asociación de vecinos “Villa de Escalante”. Ha sido Ponente el Magistrado don Juan Antonio Xiol Ríos,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14 de noviembre de 2014 tuvo entrada en el Registro General de este Tribunal un oficio de la Sala de lo Contencioso-Administrativo del Tribunal Superior de Justicia de Cantabria, al que se adjuntaba testimonio del procedimiento ordinario núm. 716-1992.</w:t>
      </w:r>
    </w:p>
    <w:p w:rsidR="00AC56D6" w:rsidRDefault="00AC56D6" w:rsidP="00AC56D6">
      <w:pPr>
        <w:pStyle w:val="TextoNormal"/>
      </w:pPr>
    </w:p>
    <w:p w:rsidR="00AC56D6" w:rsidRDefault="00AC56D6" w:rsidP="00AC56D6">
      <w:pPr>
        <w:pStyle w:val="TextoNormal"/>
      </w:pPr>
      <w:r>
        <w:t xml:space="preserve">La documentación aportada incluye el Auto de 24 de octubre de 2014, en el que se acuerda plantear cuestión de inconstitucionalidad sobre el art. 65 </w:t>
      </w:r>
      <w:r w:rsidRPr="00AC56D6">
        <w:rPr>
          <w:i/>
        </w:rPr>
        <w:t>bis</w:t>
      </w:r>
      <w:r>
        <w:t>.1 de la Ley del Parlamento de Cantabria 2/2001, de 25 de junio, de ordenación territorial y de régimen urbanístico del suelo de Cantabria, añadido por el art. 1 de la Ley 4/2013, de 20 de junio, cuando dice “órdenes de demolición judiciales”, por posible vulneración de los arts. 24.2, 117.3 y 149.1.6 de la Constitución.</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la presente cuestión de inconstitucionalidad son, sucintamente expuestos, los siguientes:</w:t>
      </w:r>
    </w:p>
    <w:p w:rsidR="00AC56D6" w:rsidRDefault="00AC56D6" w:rsidP="00AC56D6">
      <w:pPr>
        <w:pStyle w:val="TextoNormal"/>
      </w:pPr>
    </w:p>
    <w:p w:rsidR="00AC56D6" w:rsidRDefault="00AC56D6" w:rsidP="00AC56D6">
      <w:pPr>
        <w:pStyle w:val="TextoNormal"/>
      </w:pPr>
      <w:r>
        <w:t>a) Por Sentencia de 9 de diciembre de 1992, la Sala de lo Contencioso-Administrativo del Tribunal Superior de Justicia estima el recurso contencioso-administrativo interpuesto por el presidente de la asociación de vecinos “Villa de Escalante” contra la denegación presunta de la petición al ayuntamiento de que procediera a la demolición del edificio destinado a viviendas y garajes construido por la entidad “Villa de Escalante” en el lugar conocido como “Las Torres” por tratarse de una edificación ilegal. La Sala declara la nulidad de la resolución recurrida y la obligación del Ayuntamiento de Escalante de proceder a la demolición del edificio “Las Torres”.</w:t>
      </w:r>
    </w:p>
    <w:p w:rsidR="00AC56D6" w:rsidRDefault="00AC56D6" w:rsidP="00AC56D6">
      <w:pPr>
        <w:pStyle w:val="TextoNormal"/>
      </w:pPr>
    </w:p>
    <w:p w:rsidR="00AC56D6" w:rsidRDefault="00AC56D6" w:rsidP="00AC56D6">
      <w:pPr>
        <w:pStyle w:val="TextoNormal"/>
      </w:pPr>
      <w:r>
        <w:t xml:space="preserve">b) La parte recurrente insta la ejecución de la Sentencia, pero el 11 de junio de 2014, el ayuntamiento, al amparo de los arts. 105 y 109 de la Ley reguladora de la jurisdicción contencioso-administrativa (LJCA), solicita a la Sala que acuerde la suspensión de la ejecución de la Sentencia y el mantenimiento del edificio en situación de fuera de ordenación, al haberse otorgado una autorización provisional de las previstas en el art. 65 </w:t>
      </w:r>
      <w:r w:rsidRPr="00AC56D6">
        <w:rPr>
          <w:i/>
        </w:rPr>
        <w:t>bis</w:t>
      </w:r>
      <w:r>
        <w:t>.1 de la Ley 2/2001 tras su modificación por la Ley 4/2013 que daba amparo a la práctica totalidad del edificio “Las Torres”.</w:t>
      </w:r>
    </w:p>
    <w:p w:rsidR="00AC56D6" w:rsidRDefault="00AC56D6" w:rsidP="00AC56D6">
      <w:pPr>
        <w:pStyle w:val="TextoNormal"/>
      </w:pPr>
    </w:p>
    <w:p w:rsidR="00AC56D6" w:rsidRDefault="00AC56D6" w:rsidP="00AC56D6">
      <w:pPr>
        <w:pStyle w:val="TextoNormal"/>
      </w:pPr>
      <w:r>
        <w:t>c) La representación procesal de la comunidad de propietarios del edificio presenta alegaciones indicando que ha solicitado al ayuntamiento que plantee incidente de imposibilidad de ejecución de sentencia y afirma que, en todo caso, para que la ejecución fuese conforme con el Convenio Europeo de Derechos Humanos sería preciso que antes de demoler el edificio se realojase a las personas que viven en él, lo que no ha hecho el ayuntamiento.</w:t>
      </w:r>
    </w:p>
    <w:p w:rsidR="00AC56D6" w:rsidRDefault="00AC56D6" w:rsidP="00AC56D6">
      <w:pPr>
        <w:pStyle w:val="TextoNormal"/>
      </w:pPr>
    </w:p>
    <w:p w:rsidR="00AC56D6" w:rsidRDefault="00AC56D6" w:rsidP="00AC56D6">
      <w:pPr>
        <w:pStyle w:val="TextoNormal"/>
      </w:pPr>
      <w:r>
        <w:t>d) Por diligencia de ordenación de 23 de junio de 2014, la Sala de lo Contencioso-Administrativo del Tribunal Superior de Justicia de Cantabria otorga al resto de las partes un plazo de diez días para que aleguen lo que estimen pertinente en relación con el incidente suscitado por el ayuntamiento al amparo del art. 105.2 LJCA.</w:t>
      </w:r>
    </w:p>
    <w:p w:rsidR="00AC56D6" w:rsidRDefault="00AC56D6" w:rsidP="00AC56D6">
      <w:pPr>
        <w:pStyle w:val="TextoNormal"/>
      </w:pPr>
    </w:p>
    <w:p w:rsidR="00AC56D6" w:rsidRDefault="00AC56D6" w:rsidP="00AC56D6">
      <w:pPr>
        <w:pStyle w:val="TextoNormal"/>
      </w:pPr>
      <w:r>
        <w:t>e) La asociación de vecinos “Villa Escalante” formula alegaciones aduciendo que a través de este nuevo incidente se pretende seguir incumplimiento la Sentencia que ordenaba la demolición del edificio, por lo que solicita su desestimación.</w:t>
      </w:r>
    </w:p>
    <w:p w:rsidR="00AC56D6" w:rsidRDefault="00AC56D6" w:rsidP="00AC56D6">
      <w:pPr>
        <w:pStyle w:val="TextoNormal"/>
      </w:pPr>
    </w:p>
    <w:p w:rsidR="00AC56D6" w:rsidRDefault="00AC56D6" w:rsidP="00AC56D6">
      <w:pPr>
        <w:pStyle w:val="TextoNormal"/>
      </w:pPr>
      <w:r>
        <w:t>f) El Gobierno de Cantabria formula alegaciones en las que pide que se aprecie la imposibilidad legal de ejecutar la Sentencia en aquella parte de la edificación que quedaba amparada por la autorización provisional. También solicita que, en su caso, se proceda a fijar las indemnizaciones que pudieran corresponder por la falta de cumplimiento de la Sentencia.</w:t>
      </w:r>
    </w:p>
    <w:p w:rsidR="00AC56D6" w:rsidRDefault="00AC56D6" w:rsidP="00AC56D6">
      <w:pPr>
        <w:pStyle w:val="TextoNormal"/>
      </w:pPr>
    </w:p>
    <w:p w:rsidR="00AC56D6" w:rsidRDefault="00AC56D6" w:rsidP="00AC56D6">
      <w:pPr>
        <w:pStyle w:val="TextoNormal"/>
      </w:pPr>
      <w:r>
        <w:t xml:space="preserve">g) El 18 de septiembre de 2014, la Sala dicta providencia por la que suspende el plazo para dictar sentencia y en virtud de lo establecido en el art. 35 de la Ley Orgánica del Tribunal Constitucional (LOTC) otorga un plazo de diez días a las partes y al Ministerio Fiscal para que emitan informe acerca de la pertinencia de plantear cuestión de inconstitucionalidad sobre el nuevo art. 65 </w:t>
      </w:r>
      <w:r w:rsidRPr="00AC56D6">
        <w:rPr>
          <w:i/>
        </w:rPr>
        <w:t>bis</w:t>
      </w:r>
      <w:r>
        <w:t>.1 de la Ley 2/2001 que prevé la posibilidad de que edificios sobre los que hayan recaído órdenes de demolición administrativa o judicial queden en régimen de fuera de ordenación si cumplen los requisitos previstos en el mismo. A juicio de la Sala tal previsión podría vulnerar, por una parte, el art. 149.1.6 CE, pues considera que, al establecer una causa de suspensión del procedimiento de ejecución de sentencia, se estaría alterando la legislación procesal, cuyo establecimiento es competencia exclusiva del Estado y, por otra, porque podría afectar al derecho a la ejecución de sentencias infringiéndose los arts. 24.2 y 117.3 CE.</w:t>
      </w:r>
    </w:p>
    <w:p w:rsidR="00AC56D6" w:rsidRDefault="00AC56D6" w:rsidP="00AC56D6">
      <w:pPr>
        <w:pStyle w:val="TextoNormal"/>
      </w:pPr>
    </w:p>
    <w:p w:rsidR="00AC56D6" w:rsidRDefault="00AC56D6" w:rsidP="00AC56D6">
      <w:pPr>
        <w:pStyle w:val="TextoNormal"/>
      </w:pPr>
      <w:r>
        <w:t xml:space="preserve">h) El Ayuntamiento de Escalante interpone recurso de reposición contra la providencia de 18 de septiembre de 2014 al entender, por una parte, que en esta resolución no se identifica la causa por la que el Tribunal considera que el art. 65 </w:t>
      </w:r>
      <w:r w:rsidRPr="00AC56D6">
        <w:rPr>
          <w:i/>
        </w:rPr>
        <w:t>bis</w:t>
      </w:r>
      <w:r>
        <w:t>.1 de la Ley del Parlamento de Cantabria 2/2001 vulnera el art. 117.3 CE y, por otra parte, que en la referida providencia no se justifica en qué medida la decisión del proceso depende de la validez de la norma de cuya constitucionalidad se duda.</w:t>
      </w:r>
    </w:p>
    <w:p w:rsidR="00AC56D6" w:rsidRDefault="00AC56D6" w:rsidP="00AC56D6">
      <w:pPr>
        <w:pStyle w:val="TextoNormal"/>
      </w:pPr>
    </w:p>
    <w:p w:rsidR="00AC56D6" w:rsidRDefault="00AC56D6" w:rsidP="00AC56D6">
      <w:pPr>
        <w:pStyle w:val="TextoNormal"/>
      </w:pPr>
      <w:r>
        <w:t>i) El Fiscal, en su escrito de 23 de septiembre de 2014, alega que no se opone al planteamiento de la cuestión de inconstitucionalidad, al entender que efectivamente el precepto podría ser contrario a los arts. 149.1.6, 24.2 y 117 CE.</w:t>
      </w:r>
    </w:p>
    <w:p w:rsidR="00AC56D6" w:rsidRDefault="00AC56D6" w:rsidP="00AC56D6">
      <w:pPr>
        <w:pStyle w:val="TextoNormal"/>
      </w:pPr>
    </w:p>
    <w:p w:rsidR="00AC56D6" w:rsidRDefault="00AC56D6" w:rsidP="00AC56D6">
      <w:pPr>
        <w:pStyle w:val="TextoNormal"/>
      </w:pPr>
      <w:r>
        <w:t xml:space="preserve">j) La asociación de vecinos “Villa Escalante” solicita la desestimación del recurso de reposición al entender que la providencia impugnada cumple los requisitos del art. 35 LOTC </w:t>
      </w:r>
      <w:r>
        <w:lastRenderedPageBreak/>
        <w:t>y en otro escrito muestra su conformidad con el planteamiento de la cuestión de inconstitucionalidad.</w:t>
      </w:r>
    </w:p>
    <w:p w:rsidR="00AC56D6" w:rsidRDefault="00AC56D6" w:rsidP="00AC56D6">
      <w:pPr>
        <w:pStyle w:val="TextoNormal"/>
      </w:pPr>
    </w:p>
    <w:p w:rsidR="00AC56D6" w:rsidRDefault="00AC56D6" w:rsidP="00AC56D6">
      <w:pPr>
        <w:pStyle w:val="TextoNormal"/>
      </w:pPr>
      <w:r>
        <w:t xml:space="preserve">k) El Gobierno de Cantabria se opone, en escrito de 7 de octubre de 2014, al planteamiento de la cuestión de inconstitucionalidad argumentando que no es una norma procesal que invada la competencia estatal </w:t>
      </w:r>
      <w:r w:rsidRPr="00AC56D6">
        <w:rPr>
          <w:i/>
        </w:rPr>
        <w:t>ex</w:t>
      </w:r>
      <w:r>
        <w:t xml:space="preserve"> art. 149.1.6 CE, sino una norma sustantiva que tiene amparo en las competencias urbanísticas de la Comunidad Autónoma y que no vulnera los arts. 24.2 y 117.3, sino que persigue la adecuación a circunstancias sobrevenidas que justifican la suspensión de la demolición por cuanto exigen una adecuada ponderación de los intereses públicos y privados concurrentes.</w:t>
      </w:r>
    </w:p>
    <w:p w:rsidR="00AC56D6" w:rsidRDefault="00AC56D6" w:rsidP="00AC56D6">
      <w:pPr>
        <w:pStyle w:val="TextoNormal"/>
      </w:pPr>
    </w:p>
    <w:p w:rsidR="00AC56D6" w:rsidRDefault="00AC56D6" w:rsidP="00AC56D6">
      <w:pPr>
        <w:pStyle w:val="TextoNormal"/>
      </w:pPr>
      <w:r>
        <w:t>l) Por Auto de 23 de octubre de 2014 se desestima el recurso de reposición interpuesto contra la providencia de 18 de septiembre de 2014 al considerar que la resolución impugnada incumple los requisitos exigidos por el art. 35 LOTC.</w:t>
      </w:r>
    </w:p>
    <w:p w:rsidR="00AC56D6" w:rsidRDefault="00AC56D6" w:rsidP="00AC56D6">
      <w:pPr>
        <w:pStyle w:val="TextoNormal"/>
      </w:pPr>
    </w:p>
    <w:p w:rsidR="00AC56D6" w:rsidRDefault="00AC56D6" w:rsidP="00AC56D6">
      <w:pPr>
        <w:pStyle w:val="TextoNormal"/>
      </w:pPr>
      <w:r>
        <w:t xml:space="preserve">m) La Sala de lo Contencioso-Administrativo del Tribunal de Justicia de Cantabria, por Auto de 24 de octubre de 2014, plantea cuestión de inconstitucionalidad en relación con el art. 65 </w:t>
      </w:r>
      <w:r w:rsidRPr="00AC56D6">
        <w:rPr>
          <w:i/>
        </w:rPr>
        <w:t>bis</w:t>
      </w:r>
      <w:r>
        <w:t>.1 de la Ley de ordenación territorial y del régimen urbanístico del suelo de Cantabria establecido por la Ley 4/2013, de 20 de junio, de modificación de la Ley 2/2001, de 25 de junio, en la parte del mismo que se refiere a las órdenes de demolición judiciales.</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En el Auto de planteamiento de la cuestión de inconstitucionalidad, el órgano judicial argumenta que, a la hora de dictar sentencia en el presente recurso, resulta determinante la aplicación del art. 65 </w:t>
      </w:r>
      <w:r w:rsidRPr="00AC56D6">
        <w:rPr>
          <w:i/>
        </w:rPr>
        <w:t>bis</w:t>
      </w:r>
      <w:r>
        <w:t>.1 de la Ley 2/2001, puesto que el edificio “La Torre” cuya demolición implicaría la ejecución de la Sentencia cuenta ahora con una autorización provisional que lo ampara en su práctica totalidad.</w:t>
      </w:r>
    </w:p>
    <w:p w:rsidR="00AC56D6" w:rsidRDefault="00AC56D6" w:rsidP="00AC56D6">
      <w:pPr>
        <w:pStyle w:val="TextoNormal"/>
      </w:pPr>
    </w:p>
    <w:p w:rsidR="00AC56D6" w:rsidRDefault="00AC56D6" w:rsidP="00AC56D6">
      <w:pPr>
        <w:pStyle w:val="TextoNormal"/>
      </w:pPr>
      <w:r>
        <w:t xml:space="preserve">Las dudas de constitucionalidad sobre el art. 65 </w:t>
      </w:r>
      <w:r w:rsidRPr="00AC56D6">
        <w:rPr>
          <w:i/>
        </w:rPr>
        <w:t>bis</w:t>
      </w:r>
      <w:r>
        <w:t xml:space="preserve">.1 de la Ley 2/2001 se suscitan al órgano judicial porque entiende que este precepto lo que hace es suspender las ejecuciones judiciales mientras se tramitan los nuevos planes que tienen por objeto más que ordenar el territorio, servir al interés general, evitar la especulación y repartir las plusvalías, legalizar edificios que tienen, a veces, desde hace más de 15 años, sentencia de derribo. Ello se consigue otorgando una autorización provisional que deja al edificio en fuera de ordenación e impide su demolición durante un periodo de cuatro años, teniendo cobertura esa autorización en el art. 65 </w:t>
      </w:r>
      <w:r w:rsidRPr="00AC56D6">
        <w:rPr>
          <w:i/>
        </w:rPr>
        <w:t>bis</w:t>
      </w:r>
      <w:r>
        <w:t>.1 de la Ley 2/2001, que por su rango ha de ser aplicada por el órgano judicial.</w:t>
      </w:r>
    </w:p>
    <w:p w:rsidR="00AC56D6" w:rsidRDefault="00AC56D6" w:rsidP="00AC56D6">
      <w:pPr>
        <w:pStyle w:val="TextoNormal"/>
      </w:pPr>
    </w:p>
    <w:p w:rsidR="00AC56D6" w:rsidRDefault="00AC56D6" w:rsidP="00AC56D6">
      <w:pPr>
        <w:pStyle w:val="TextoNormal"/>
      </w:pPr>
      <w:r>
        <w:t>No se trata, dirá la Sala, “de crear una norma que otorgue eficacia cautelar a un planeamiento en tramitación (lo cual supone invertir la norma general de suspensión de los efectos del planeamiento antiguo, no adelantar los del no aprobado), sino que de lo que se trata es de evitar, provisionalmente, la demolición”.</w:t>
      </w:r>
    </w:p>
    <w:p w:rsidR="00AC56D6" w:rsidRDefault="00AC56D6" w:rsidP="00AC56D6">
      <w:pPr>
        <w:pStyle w:val="TextoNormal"/>
      </w:pPr>
    </w:p>
    <w:p w:rsidR="00AC56D6" w:rsidRDefault="00AC56D6" w:rsidP="00AC56D6">
      <w:pPr>
        <w:pStyle w:val="TextoNormal"/>
      </w:pPr>
      <w:r>
        <w:t xml:space="preserve">Con este proceder, afirma la Sala, se vulneran diversos preceptos constitucionales. En primer lugar, del art. 149.1.6 CE que atribuye al Estado la competencia exclusiva sobre legislación procesal, pues la Ley 29/1998, de la jurisdicción contencioso-administrativa no permite suspensión alguna de la ejecución de las sentencias y la Comunidad Autónoma carece de competencia para regular el proceso contencioso-administrativo. En segundo lugar, de los arts. 24.2 y 117.3 CE que consagran el derecho a la ejecución de las resoluciones </w:t>
      </w:r>
      <w:r>
        <w:lastRenderedPageBreak/>
        <w:t>judiciales como vertiente del derecho a la tutela judicial efectiva y atribuyen en exclusiva el ejercicio de la potestad jurisdiccional a jueces y tribunales.</w:t>
      </w:r>
    </w:p>
    <w:p w:rsidR="00AC56D6" w:rsidRDefault="00AC56D6" w:rsidP="00AC56D6">
      <w:pPr>
        <w:pStyle w:val="TextoNormal"/>
      </w:pPr>
    </w:p>
    <w:p w:rsidR="00AC56D6" w:rsidRDefault="00AC56D6" w:rsidP="00AC56D6">
      <w:pPr>
        <w:pStyle w:val="TextoNormal"/>
      </w:pPr>
      <w:r>
        <w:t>Cita el órgano judicial la Sentencia del Tribunal Constitucional de 28 de mayo de 2014 que declara incompatible con la reserva estatal en materia de legislación procesal que el legislador autonómico establezca una causa de suspensión o aplazamiento de la ejecución de las Sentencias que han de ejecutarse mediante el derribo de edificaciones, sobre todo cuando el precepto legal no condiciona la efectividad de la demolición judicialmente acordada al transcurso de determinados plazos para resolver el expediente de responsabilidad patrimonial, sino a su efectiva resolución y al pago de la indemnización acordada, de suerte que la ejecución de la Sentencia acaba quedando fuera del control judicial, único competente para hacer ejecutar lo juzgado a tenor de lo dispuesto en el art. 117.3 CE, que resulta igualmente vulnerado.</w:t>
      </w:r>
    </w:p>
    <w:p w:rsidR="00AC56D6" w:rsidRDefault="00AC56D6" w:rsidP="00AC56D6">
      <w:pPr>
        <w:pStyle w:val="TextoNormal"/>
      </w:pPr>
    </w:p>
    <w:p w:rsidR="00AC56D6" w:rsidRDefault="00AC56D6" w:rsidP="00AC56D6">
      <w:pPr>
        <w:pStyle w:val="TextoNormal"/>
      </w:pPr>
      <w:r w:rsidRPr="00AC56D6">
        <w:rPr>
          <w:rStyle w:val="NumeroAFNegritaCaracter"/>
        </w:rPr>
        <w:t>4</w:t>
      </w:r>
      <w:r>
        <w:t>. El Pleno de este Tribunal, a propuesta de la Sección Primera, por providencia de 20 de enero de 2015, acordó admitir a trámite la cuestión de inconstitucionalidad, deferir su conocimiento a la Sala Primera a la que por turno objetivo ha correspondido, y dar traslado de las actuaciones al Congreso de los Diputados y al Senado por conducto de sus Presidentes, al Gobierno por conducto del Ministro de Justicia, y al Fiscal General del Estado, así como al Gobierno y al Parlamento de Cantabria por conducto de sus Presidentes, al objeto de que, en el improrrogable plazo de quince días, pudieran personarse en el proceso y formular las alegaciones que estimasen convenientes. Asimismo se acordó comunicar la admisión al órgano judicial proponente a fin de que, de conformidad con el art. 35.3 LOTC, permaneciera suspendido el proceso judicial hasta que se resolviera la cuestión de inconstitucionalidad. En la misma providencia acordó el Tribunal publicar la incoación de la cuestión de inconstitucionalidad en el “Boletín Oficial del Estado” y en el “Boletín Oficial de Cantabria”.</w:t>
      </w:r>
    </w:p>
    <w:p w:rsidR="00AC56D6" w:rsidRDefault="00AC56D6" w:rsidP="00AC56D6">
      <w:pPr>
        <w:pStyle w:val="TextoNormal"/>
      </w:pPr>
    </w:p>
    <w:p w:rsidR="00AC56D6" w:rsidRDefault="00AC56D6" w:rsidP="00AC56D6">
      <w:pPr>
        <w:pStyle w:val="TextoNormal"/>
      </w:pPr>
      <w:r w:rsidRPr="00AC56D6">
        <w:rPr>
          <w:rStyle w:val="NumeroAFNegritaCaracter"/>
        </w:rPr>
        <w:t>5</w:t>
      </w:r>
      <w:r>
        <w:t>. El Presidente del Senado, mediante escrito que tuvo entrada el 4 de febrero de 2015 en el Registro General del Tribunal, comunicó que la Mesa de esta Cámara había acordado personarse en el proceso, ofreciendo su colaboración a los efectos del art. 88.1 LOTC. El Presidente del Congreso, por su parte, mediante escrito que tuvo entrada el 6 de febrero de 2015, comunica que la Mesa de la Cámara ha acordado su personación en el procedimiento, ofreciendo su colaboración a los efectos de lo previsto en el citado art. 88.1 LOTC.</w:t>
      </w:r>
    </w:p>
    <w:p w:rsidR="00AC56D6" w:rsidRDefault="00AC56D6" w:rsidP="00AC56D6">
      <w:pPr>
        <w:pStyle w:val="TextoNormal"/>
      </w:pPr>
    </w:p>
    <w:p w:rsidR="00AC56D6" w:rsidRDefault="00AC56D6" w:rsidP="00AC56D6">
      <w:pPr>
        <w:pStyle w:val="TextoNormal"/>
      </w:pPr>
      <w:r w:rsidRPr="00AC56D6">
        <w:rPr>
          <w:rStyle w:val="NumeroAFNegritaCaracter"/>
        </w:rPr>
        <w:t>6</w:t>
      </w:r>
      <w:r>
        <w:t>. El Director General del servicio jurídico del Gobierno de Cantabria, en nombre y representación del mismo, mediante escrito registrado el 10 de febrero de 2015 comparece y solicita prórroga del plazo concedido para formular alegaciones. La Sala, en providencia de 11 de febrero de 2015, acuerda no haber lugar a la prórroga del plazo por ser improrrogable según dispone el art. 37.3 LOTC.</w:t>
      </w:r>
    </w:p>
    <w:p w:rsidR="00AC56D6" w:rsidRDefault="00AC56D6" w:rsidP="00AC56D6">
      <w:pPr>
        <w:pStyle w:val="TextoNormal"/>
      </w:pPr>
    </w:p>
    <w:p w:rsidR="00AC56D6" w:rsidRDefault="00AC56D6" w:rsidP="00AC56D6">
      <w:pPr>
        <w:pStyle w:val="TextoNormal"/>
      </w:pPr>
      <w:r w:rsidRPr="00AC56D6">
        <w:rPr>
          <w:rStyle w:val="NumeroAFNegritaCaracter"/>
        </w:rPr>
        <w:t>7</w:t>
      </w:r>
      <w:r>
        <w:t>. El Ayuntamiento de Escalante, mediante escrito registrado el 9 de febrero de 2015, se persona en el procedimiento.</w:t>
      </w:r>
    </w:p>
    <w:p w:rsidR="00AC56D6" w:rsidRDefault="00AC56D6" w:rsidP="00AC56D6">
      <w:pPr>
        <w:pStyle w:val="TextoNormal"/>
      </w:pPr>
    </w:p>
    <w:p w:rsidR="00AC56D6" w:rsidRDefault="00AC56D6" w:rsidP="00AC56D6">
      <w:pPr>
        <w:pStyle w:val="TextoNormal"/>
      </w:pPr>
      <w:r w:rsidRPr="00AC56D6">
        <w:rPr>
          <w:rStyle w:val="NumeroAFNegritaCaracter"/>
        </w:rPr>
        <w:t>8</w:t>
      </w:r>
      <w:r>
        <w:t>. El Abogado del Estado se persona y presenta alegaciones en escrito de 17 de febrero de 2015 solicitando la estimación de la cuestión de inconstitucionalidad presentada.</w:t>
      </w:r>
    </w:p>
    <w:p w:rsidR="00AC56D6" w:rsidRDefault="00AC56D6" w:rsidP="00AC56D6">
      <w:pPr>
        <w:pStyle w:val="TextoNormal"/>
      </w:pPr>
    </w:p>
    <w:p w:rsidR="00AC56D6" w:rsidRDefault="00AC56D6" w:rsidP="00AC56D6">
      <w:pPr>
        <w:pStyle w:val="TextoNormal"/>
      </w:pPr>
      <w:r>
        <w:lastRenderedPageBreak/>
        <w:t xml:space="preserve">Sostiene el Abogado del Estado, en primer término, que la autorización provisional que prevé el art. 65 </w:t>
      </w:r>
      <w:r w:rsidRPr="00AC56D6">
        <w:rPr>
          <w:i/>
        </w:rPr>
        <w:t>bis</w:t>
      </w:r>
      <w:r>
        <w:t>.1 de la Ley cántabra 2/2001 no es una verdadera autorización por cuanto ni implica una actividad de auténtica verificación o comprobación de la conformidad de la construcción con el planeamiento urbanístico, ni crea una situación definitiva, sino interina, ni persigue un interés público, sino particular, quedando además la situación creada sometida a término (caducidad, revocación o sustitución por licencia definitiva). En su opinión, la regulación supone una inversión del proceso lógico de otorgamiento de toda autorización o licencia, de modo que en lugar de implicar una abstracta comprobación de la compatibilidad de la edificación con el planeamiento, persigue una adaptación del planeamiento a las condiciones de la edificación.</w:t>
      </w:r>
    </w:p>
    <w:p w:rsidR="00AC56D6" w:rsidRDefault="00AC56D6" w:rsidP="00AC56D6">
      <w:pPr>
        <w:pStyle w:val="TextoNormal"/>
      </w:pPr>
    </w:p>
    <w:p w:rsidR="00AC56D6" w:rsidRDefault="00AC56D6" w:rsidP="00AC56D6">
      <w:pPr>
        <w:pStyle w:val="TextoNormal"/>
      </w:pPr>
      <w:r>
        <w:t xml:space="preserve">Afirma, en segundo lugar, el Abogado del Estado, que el art. 65 </w:t>
      </w:r>
      <w:r w:rsidRPr="00AC56D6">
        <w:rPr>
          <w:i/>
        </w:rPr>
        <w:t>bis</w:t>
      </w:r>
      <w:r>
        <w:t>.1 en el inciso referido a las demoliciones judiciales, vulnera el derecho a la tutela judicial efectiva en su vertiente de derecho a la ejecución de las sentencias en sus propios términos. Señala, a estos efectos, que de acuerdo con la doctrina constitucional (SSTC 4/1988, 153/1992, y 73/2000), son contrarias al artículo 24.1 en relación con los artículos 117.3 y 118, las previsiones normativas que sacrifican, de forma desproporcionada, el pronunciamiento contenido en el fallo de una resolución judicial firme, de modo que de forma patente o manifiesta no exista la debida proporción entre el interés encarnado en la Ley y el concreto interés tutelado por el fallo a ejecutar, es decir, la debida proporción entre la finalidad perseguida y el sacrificio impuesto. En definitiva, considera que la clave es si cabe o no encontrar una justificación o razón atendible al efecto obstativo previsto en la norma y en caso afirmativo “si el sacrificio del pronunciamiento contenido en el fallo guarda la debida proporción con los intereses protegidos y en colisión o, por el contrario, resulta inútil, va más allá de lo necesario o implica un manifiesto desequilibrio o desproporción entre los intereses en juego”.</w:t>
      </w:r>
    </w:p>
    <w:p w:rsidR="00AC56D6" w:rsidRDefault="00AC56D6" w:rsidP="00AC56D6">
      <w:pPr>
        <w:pStyle w:val="TextoNormal"/>
      </w:pPr>
    </w:p>
    <w:p w:rsidR="00AC56D6" w:rsidRDefault="00AC56D6" w:rsidP="00AC56D6">
      <w:pPr>
        <w:pStyle w:val="TextoNormal"/>
      </w:pPr>
      <w:r>
        <w:t xml:space="preserve">Analizado el presente caso conforme a estos parámetros, el Abogado del Estado afirma que ni la ley ni la defensa que de ella hace la Comunidad Autónoma ponderan debidamente los intereses en juego, sin que se advierta por qué razón el interés en conservar las edificaciones declaradas ilegales se antepone a la ejecución de las resoluciones judiciales firmes y llega a la conclusión de que, en realidad, la previsión del art. 65 </w:t>
      </w:r>
      <w:r w:rsidRPr="00AC56D6">
        <w:rPr>
          <w:i/>
        </w:rPr>
        <w:t>bis</w:t>
      </w:r>
      <w:r>
        <w:t>.1 genera un sacrificio injustificado de la intangibilidad y de la debida ejecución del fallo por un título que no constituye sino una situación interina no apta para enervar la fuerza de una sentencia judicial firme.</w:t>
      </w:r>
    </w:p>
    <w:p w:rsidR="00AC56D6" w:rsidRDefault="00AC56D6" w:rsidP="00AC56D6">
      <w:pPr>
        <w:pStyle w:val="TextoNormal"/>
      </w:pPr>
    </w:p>
    <w:p w:rsidR="00AC56D6" w:rsidRDefault="00AC56D6" w:rsidP="00AC56D6">
      <w:pPr>
        <w:pStyle w:val="TextoNormal"/>
      </w:pPr>
      <w:r>
        <w:t xml:space="preserve">En tercer lugar, el Abogado del Estado argumenta que la regulación autonómica invade la competencia exclusiva del Estado en materia de legislación procesal por cuanto ésta abarca la regulación de la ejecución de las resoluciones judiciales y el art. 65 </w:t>
      </w:r>
      <w:r w:rsidRPr="00AC56D6">
        <w:rPr>
          <w:i/>
        </w:rPr>
        <w:t>bis</w:t>
      </w:r>
      <w:r>
        <w:t>.1 de la Ley cántabra 2/2001 resulta contrario al art. 105 LJCA que dispone que no podrá suspenderse el cumplimiento ni declararse la inejecución total o parcial del fallo, salvo que concurra la imposibilidad de ejecución del mismo. Y ello sin que, por otra parte, pueda considerarse que se trata de una norma especial que deriva de las particularidades del derecho sustantivo de la Comunidad Autónoma de Cantabria.</w:t>
      </w:r>
    </w:p>
    <w:p w:rsidR="00AC56D6" w:rsidRDefault="00AC56D6" w:rsidP="00AC56D6">
      <w:pPr>
        <w:pStyle w:val="TextoNormal"/>
      </w:pPr>
    </w:p>
    <w:p w:rsidR="00AC56D6" w:rsidRDefault="00AC56D6" w:rsidP="00AC56D6">
      <w:pPr>
        <w:pStyle w:val="TextoNormal"/>
      </w:pPr>
      <w:r>
        <w:t>Por último, el Abogado del Estado sostiene que la norma cuestionada invade la exclusividad de la potestad jurisdiccional consagrada en el art. 117.3 CE al quebrar el régimen uniforme de ejecución de las sentencias contencioso-administrativas reconociendo la facul</w:t>
      </w:r>
      <w:r>
        <w:lastRenderedPageBreak/>
        <w:t>tad de interferir en la ejecución de un pronunciamiento de una sentencia contencioso-administrativa firme mediante una autorización que se opone y contradice el pronunciamiento jurisdiccional supeditando el ejercicio de la potestad judicial de ejecutar (art. 117.3 CE), la obligación de cumplir las sentencias firmes (art. 118 CE) y el derecho fundamental a la ejecución (art. 24 CE), a la concesión de una autorización provisional a la obra cuya demolición ordenó la jurisdicción. Una vulneración de la potestad jurisdiccional que se traduce, dirá el Abogado del Estado, en una auténtica huida de la Administración al control jurisdiccional de su actuación (art. 106 CE) y en una desactivación de la potestad de hacer ejecutar lo juzgado que corresponde a jueces y tribunales, pues la Administración con su sola voluntad de iniciar el trámite de elaboración o modificación de los correspondientes instrumentos de planeamiento consigue dejar en suspenso la ejecución de la resolución judicial estimatoria del recurso y configurar un supuesto de aparente imposibilidad legal de ejecución del fallo. De aparente imposibilidad porque no es que haya tenido lugar un cambio normativo que permita dictar un nuevo acto que ampare la construcción litigiosa, sino que el nuevo acto (autorización provisional) se dicta antes de la modificación del plan que en su caso lo amparará. Lo que, en su opinión, es contrario a la doctrina establecida en la STC 92/2013 conforme a la cual “lo que resulta incompatible con la reserva estatal en materia procesal —art. 149.1.6 CE— es que el legislador autonómico establezca una causa de suspensión o aplazamiento de la ejecución de las Sentencias que han de ejecutarse mediante el derribo de edificaciones, máxime cuando el precepto legal no condiciona la efectividad de la demolición judicialmente acordada al transcurso de los plazos para resolver el expediente de responsabilidad patrimonial, sino a su efectiva resolución y al pago de la indemnización acordada, de suerte que la ejecución de la Sentencia termina por escapar del control judicial, único competente para hacer ejecutar lo juzgado a tenor de lo dispuesto en el art. 117.3 CE que resulta igualmente vulnerado”.</w:t>
      </w:r>
    </w:p>
    <w:p w:rsidR="00AC56D6" w:rsidRDefault="00AC56D6" w:rsidP="00AC56D6">
      <w:pPr>
        <w:pStyle w:val="TextoNormal"/>
      </w:pPr>
    </w:p>
    <w:p w:rsidR="00AC56D6" w:rsidRDefault="00AC56D6" w:rsidP="00AC56D6">
      <w:pPr>
        <w:pStyle w:val="TextoNormal"/>
      </w:pPr>
      <w:r>
        <w:t xml:space="preserve">Reconoce el Abogado del Estado que, en el presente caso, a diferencia de lo resuelto en la STC 92/2013, la situación prevista por la norma está limitada temporalmente al ser la autorización provisional, pero considera que ello no es óbice para afirmar que la creación de esta figura implica la constitución de una causa de imposibilidad de ejecución </w:t>
      </w:r>
      <w:r w:rsidRPr="00AC56D6">
        <w:rPr>
          <w:i/>
        </w:rPr>
        <w:t>ad hoc</w:t>
      </w:r>
      <w:r>
        <w:t xml:space="preserve"> que interfiere en la potestad jurisdiccional de modo incompatible con los dictados del art. 117.3 CE.</w:t>
      </w:r>
    </w:p>
    <w:p w:rsidR="00AC56D6" w:rsidRDefault="00AC56D6" w:rsidP="00AC56D6">
      <w:pPr>
        <w:pStyle w:val="TextoNormal"/>
      </w:pPr>
    </w:p>
    <w:p w:rsidR="00AC56D6" w:rsidRDefault="00AC56D6" w:rsidP="00AC56D6">
      <w:pPr>
        <w:pStyle w:val="TextoNormal"/>
      </w:pPr>
      <w:r w:rsidRPr="00AC56D6">
        <w:rPr>
          <w:rStyle w:val="NumeroAFNegritaCaracter"/>
        </w:rPr>
        <w:t>9</w:t>
      </w:r>
      <w:r>
        <w:t>. La asociación de vecinos “Villa de Escalante” mediante escrito registrado el 20 de febrero de 2015 se persona en el procedimiento.</w:t>
      </w:r>
    </w:p>
    <w:p w:rsidR="00AC56D6" w:rsidRDefault="00AC56D6" w:rsidP="00AC56D6">
      <w:pPr>
        <w:pStyle w:val="TextoNormal"/>
      </w:pPr>
    </w:p>
    <w:p w:rsidR="00AC56D6" w:rsidRDefault="00AC56D6" w:rsidP="00AC56D6">
      <w:pPr>
        <w:pStyle w:val="TextoNormal"/>
      </w:pPr>
      <w:r w:rsidRPr="00AC56D6">
        <w:rPr>
          <w:rStyle w:val="NumeroAFNegritaCaracter"/>
        </w:rPr>
        <w:t>10</w:t>
      </w:r>
      <w:r>
        <w:t>. El Letrado del Parlamento de Cantabria presenta su escrito de alegaciones el 23 de febrero de 2015 de diciembre de 2011 en el que, en primer término, pone en entredicho que el planteamiento de la cuestión cumpla con el juicio de aplicabilidad y relevancia, pues, en su opinión, el contenido del fallo del litigio no ha de variar con independencia de si se declara o no inconstitucional la Ley, ya que, en cualquier caso se va a restablecer la legalidad, pues la Ley de Cantabria, dirá, persigue el restablecimiento evitando que se proceda a la demolición cuando se ha producido la modificación posterior del planeamiento de forma que lo construido se adecua ahora a él.</w:t>
      </w:r>
    </w:p>
    <w:p w:rsidR="00AC56D6" w:rsidRDefault="00AC56D6" w:rsidP="00AC56D6">
      <w:pPr>
        <w:pStyle w:val="TextoNormal"/>
      </w:pPr>
    </w:p>
    <w:p w:rsidR="00AC56D6" w:rsidRDefault="00AC56D6" w:rsidP="00AC56D6">
      <w:pPr>
        <w:pStyle w:val="TextoNormal"/>
      </w:pPr>
      <w:r>
        <w:t xml:space="preserve">Rechaza, en segundo lugar, el Letrado del Parlamento cántabro que la Ley esté realmente previendo una suspensión de la ejecución de un fallo, pues considera que interfiere en la </w:t>
      </w:r>
      <w:r>
        <w:lastRenderedPageBreak/>
        <w:t>legislación procesal ni en la resolución o ejecución del proceso, sino que se limita a prever una medida de restitución de la legalidad urbanística.</w:t>
      </w:r>
    </w:p>
    <w:p w:rsidR="00AC56D6" w:rsidRDefault="00AC56D6" w:rsidP="00AC56D6">
      <w:pPr>
        <w:pStyle w:val="TextoNormal"/>
      </w:pPr>
    </w:p>
    <w:p w:rsidR="00AC56D6" w:rsidRDefault="00AC56D6" w:rsidP="00AC56D6">
      <w:pPr>
        <w:pStyle w:val="TextoNormal"/>
      </w:pPr>
      <w:r>
        <w:t>La regulación tiene, además, a su juicio, amparo en las competencias que el Estatuto atribuye a la Comunidad Autónoma de Cantabria en materia de “organización, régimen y funcionamiento de sus instituciones de autogobierno” (art. 24.1 EACant), “urbanismo y vivienda” (art. 24.3 EACant) y “procedimiento administrativo derivado de las especialidades de la organización propia” (art. 24.32 EACant), pues persigue conferir una mayor eficacia a los planeamientos urbanísticos en marcha, de forma similar a la clásica suspensión de licencias cuando se inicia el planeamiento, pero impidiendo daños al interés público y al interés legítimo de los particulares que se verían afectados por la demolición de un inmueble que existe voluntad de legalizar.</w:t>
      </w:r>
    </w:p>
    <w:p w:rsidR="00AC56D6" w:rsidRDefault="00AC56D6" w:rsidP="00AC56D6">
      <w:pPr>
        <w:pStyle w:val="TextoNormal"/>
      </w:pPr>
    </w:p>
    <w:p w:rsidR="00AC56D6" w:rsidRDefault="00AC56D6" w:rsidP="00AC56D6">
      <w:pPr>
        <w:pStyle w:val="TextoNormal"/>
      </w:pPr>
      <w:r>
        <w:t>Defiende el Letrado del Parlamento de Cantabria que las autorizaciones provisionales no son legislación procesal, sino legislación urbanística, pues “la previsión y regulación de las “autorizaciones provisionales” es una clara manifestación de la gestión de los instrumentos planificadores y de la disciplina urbanística, como potestades que integran la materia urbanismo y que el Estatuto de Autonomía para Cantabria atribuye a la Comunidad Autónoma”. Y añade que “la ejecución de la sentencia también se produce cuando se adecua lo construido al planeamiento, sin que se suspenda el procedimiento judicial”.</w:t>
      </w:r>
    </w:p>
    <w:p w:rsidR="00AC56D6" w:rsidRDefault="00AC56D6" w:rsidP="00AC56D6">
      <w:pPr>
        <w:pStyle w:val="TextoNormal"/>
      </w:pPr>
    </w:p>
    <w:p w:rsidR="00AC56D6" w:rsidRDefault="00AC56D6" w:rsidP="00AC56D6">
      <w:pPr>
        <w:pStyle w:val="TextoNormal"/>
      </w:pPr>
      <w:r w:rsidRPr="00AC56D6">
        <w:rPr>
          <w:rStyle w:val="NumeroAFNegritaCaracter"/>
        </w:rPr>
        <w:t>11</w:t>
      </w:r>
      <w:r>
        <w:t>. El Gobierno de Cantabria expone que tras la Sentencia de 24 de julio de 1990 de la Sala de lo Contencioso-Administrativo del Tribunal Superior de Justicia de Cantabria que declaró la nulidad de la licencia otorgada a Villa Escalante, S.A., para la construcción del edificio “Las Torres” (bloque de 32 viviendas), el Ayuntamiento promovió una modificación puntual del planeamiento para acomodar sobrevenidamente el plan a la realidad pretendida por la constructora. La aprobación definitiva de esa modificación puntual fue anulada por el Consejo de Gobierno de Cantabria que estimó el recurso interpuesto frente a ella por la asociación de vecinos “Villa de Escalante”. Recurrido en vía contencioso-administrativa, por Sentencia de 14 de abril de 1992 se confirmó el acuerdo del Consejo de Gobierno al entender que la modificación puntual era ilegal por incurrir en desviación de poder. El 24 de junio de 1991 la asociación de vecinos “Villa de Escalante” presentó escrito ante el ayuntamiento interesando la demolición del edificio “Las Torres”. Frente a la desestimación por silencio, se interpuso recurso contencioso-administrativo que fue resuelto por Sentencia de 9 de diciembre de 1992 en sentido estimatorio ordenando la demolición del edificio. La Sentencia fue confirmada por la del Tribunal Supremo de 28 de enero de 1999.</w:t>
      </w:r>
    </w:p>
    <w:p w:rsidR="00AC56D6" w:rsidRDefault="00AC56D6" w:rsidP="00AC56D6">
      <w:pPr>
        <w:pStyle w:val="TextoNormal"/>
      </w:pPr>
    </w:p>
    <w:p w:rsidR="00AC56D6" w:rsidRDefault="00AC56D6" w:rsidP="00AC56D6">
      <w:pPr>
        <w:pStyle w:val="TextoNormal"/>
      </w:pPr>
      <w:r>
        <w:t xml:space="preserve">Explica el Gobierno de Cantabria, que el 1 de marzo de 2012, el Ayuntamiento de Escalante contrató la redacción de su plan general y que la nueva ordenación urbanística, tal y como figuraba en el avance del nuevo plan general de ordenación urbana, establecía una ordenación territorial de tipo piramidal que concentraba las mayores edificabilidades en el centro de la villa en torno a la plaza mayor, justo donde se situaba el edificio “Las Torres”. Ello supone —explica— un incremento de la edificabilidad de la parcela en la que se ubica el edificio “Las Torres” y una previsión de dotación que implica que los propietarios han de ceder el 10 por 100 del incremento de aprovechamiento respecto al anterior planeamiento, ajustándose de esta forma casi por completo el edificio a la nueva ordenación en tramitación. Aprobado inicialmente el nuevo planeamiento, se concedió autorización provisional al edificio, puesto que se ajustaba a la nueva normativa salvo en una pequeña parte de la planta </w:t>
      </w:r>
      <w:r>
        <w:lastRenderedPageBreak/>
        <w:t>sótano que desborda la alineación obligatoria y cuya eliminación resultaría sencilla al no afectar al resto del edificio ni a la planta de sótano. En consecuencia, el Ayuntamiento de Escalante formuló incidente de ejecución para determinar el procedimiento a seguir para la ejecución y solicitando se aprobara la propuesta de ejecución contenida en el mismo.</w:t>
      </w:r>
    </w:p>
    <w:p w:rsidR="00AC56D6" w:rsidRDefault="00AC56D6" w:rsidP="00AC56D6">
      <w:pPr>
        <w:pStyle w:val="TextoNormal"/>
      </w:pPr>
    </w:p>
    <w:p w:rsidR="00AC56D6" w:rsidRDefault="00AC56D6" w:rsidP="00AC56D6">
      <w:pPr>
        <w:pStyle w:val="TextoNormal"/>
      </w:pPr>
      <w:r>
        <w:t xml:space="preserve">El Gobierno de Cantabria sostiene que la autorización provisional que se regula en el art. 65 </w:t>
      </w:r>
      <w:r w:rsidRPr="00AC56D6">
        <w:rPr>
          <w:i/>
        </w:rPr>
        <w:t>bis</w:t>
      </w:r>
      <w:r>
        <w:t xml:space="preserve">.1 de la Ley 2/2001 es una nueva figura jurídica dirigida a conferir mayor eficacia a los planeamientos en tramitación mediante la anticipación parcial de sus efectos, con el fin de evitar causar perjuicios irreparables a los intereses de los particulares y al propio interés público. Se trata, dirá, de dar cobertura jurídica a edificaciones declaradas ilegales previamente pero que se acomodan a las determinaciones del nuevo planeamiento en tramitación por lo que podrían ser objeto de nuevas licencias una vez que dichos planeamientos fueran aprobados definitivamente y entraran en vigor, permitiendo que las edificaciones se mantengan en la situación en la que se encuentran aplicándoseles el régimen previsto para los edificios fuera de ordenación. De esta forma, explica el Gobierno de Cantabria, se trata de una figura vinculada por un lado al planeamiento urbanístico, puesto que supone dar eficacia anticipada al planeamiento en tramitación, y, por otra, a la disciplina urbanística, por cuanto implica que no toda infracción de la legalidad ha de llevar aparejada la demolición de forma irremediable, especialmente cuando no se trata de zonas protegidas por alguna razón (costas, espacios naturales, bienes de interés cultural…). La autorización provisional supone, en definitiva, una alteración del régimen tradicional de la disciplina urbanística que amplía las posibilidades de legalización de obras ilegales que resultan compatibles con el planeamiento en tramitación (cuya eficacia y entrada en vigor se ve a esos efectos anticipada). Es decir, en su opinión, se trata de una regulación basada en el principio de proporcionalidad que trata de conjugar el equilibrio justo entre la garantía de los intereses públicos y el mantenimiento del </w:t>
      </w:r>
      <w:r w:rsidRPr="00AC56D6">
        <w:rPr>
          <w:i/>
        </w:rPr>
        <w:t>ius aedificandi</w:t>
      </w:r>
      <w:r>
        <w:t xml:space="preserve"> cuando ello es posible. No se aplica, dirá, indiscriminadamente a cualesquiera edificaciones o construcciones preexistentes, pues el “plan de derribos” de 2011 contempla en muchos casos la demolición como única vía para ejecutar las sentencias, mientras que el artículo 65 </w:t>
      </w:r>
      <w:r w:rsidRPr="00AC56D6">
        <w:rPr>
          <w:i/>
        </w:rPr>
        <w:t>bis</w:t>
      </w:r>
      <w:r>
        <w:t>.1 lo que regula es aquellos supuestos en que por medio de una ordenación que atienda al interés público sea posible legalizar la obra o edificación anteriormente ilegal.</w:t>
      </w:r>
    </w:p>
    <w:p w:rsidR="00AC56D6" w:rsidRDefault="00AC56D6" w:rsidP="00AC56D6">
      <w:pPr>
        <w:pStyle w:val="TextoNormal"/>
      </w:pPr>
    </w:p>
    <w:p w:rsidR="00AC56D6" w:rsidRDefault="00AC56D6" w:rsidP="00AC56D6">
      <w:pPr>
        <w:pStyle w:val="TextoNormal"/>
      </w:pPr>
      <w:r>
        <w:t xml:space="preserve">Destaca el Gobierno de Cantabria que el artículo 65 </w:t>
      </w:r>
      <w:r w:rsidRPr="00AC56D6">
        <w:rPr>
          <w:i/>
        </w:rPr>
        <w:t>bis</w:t>
      </w:r>
      <w:r>
        <w:t xml:space="preserve">.1 no concede ni otorga directamente autorización provisional alguna, sino que es una norma de carácter general que regula la posibilidad de otorgar autorizaciones provisionales. Por tanto, sostiene el Gobierno de Cantabria que el artículo 65 </w:t>
      </w:r>
      <w:r w:rsidRPr="00AC56D6">
        <w:rPr>
          <w:i/>
        </w:rPr>
        <w:t>bis</w:t>
      </w:r>
      <w:r>
        <w:t>.1 precisa de posteriores actos administrativos aplicativos y que serán las concretas autorizaciones provisionales que se otorguen al amparo de la norma las que puedan llegar a determinar, en su caso y si se dan los requisitos legalmente establecidos en la Ley reguladora de la jurisdicción contencioso-administrativa, la imposibilidad legal de proceder a la ejecución de una resolución judicial firme. En consecuencia, mantiene que esos actos administrativos concretos, esas autorizaciones provisionales que se otorguen en cada caso, sí son controlables y fiscalizables por los propios juzgados y tribunales contencioso-administrativos encargados de ejecutar las sentencias.</w:t>
      </w:r>
    </w:p>
    <w:p w:rsidR="00AC56D6" w:rsidRDefault="00AC56D6" w:rsidP="00AC56D6">
      <w:pPr>
        <w:pStyle w:val="TextoNormal"/>
      </w:pPr>
    </w:p>
    <w:p w:rsidR="00AC56D6" w:rsidRDefault="00AC56D6" w:rsidP="00AC56D6">
      <w:pPr>
        <w:pStyle w:val="TextoNormal"/>
      </w:pPr>
      <w:r>
        <w:t xml:space="preserve">Por último, el Gobierno de Cantabria sostiene que el artículo 65 </w:t>
      </w:r>
      <w:r w:rsidRPr="00AC56D6">
        <w:rPr>
          <w:i/>
        </w:rPr>
        <w:t>bis</w:t>
      </w:r>
      <w:r>
        <w:t xml:space="preserve">.1 no constituye, en ningún caso, norma de carácter procesal o que altere la legislación procesal o introduzca una causa de suspensión del procedimiento de ejecución judicial no previsto en la Ley de la </w:t>
      </w:r>
      <w:r>
        <w:lastRenderedPageBreak/>
        <w:t xml:space="preserve">jurisdicción contencioso-administrativa, pues entiende que es una norma sustantiva, urbanística, que regula una nueva figura o instrucción del derecho urbanístico autonómico “dirigida a conferir a los planeamientos en tramitación (mediante la anticipación parcial de sus efectos), con el fin último de evitar la causación de perjuicios irreparables a los propietarios de construcciones y, en muchos casos, al propio interés público”. De esta forma, dirá, “se trata de dar cobertura jurídica a edificaciones declaradas ilegales previamente, pero que se acomodan y ajustan a las determinaciones del nuevo planeamiento en tramitación, por lo que podrían ser objeto de nuevas licencias una vez que dichos planeamientos entrasen en vigor”. En cualquier caso, estima que la pretendida suspensión de la ejecución procesal no nace o se deriva directamente de la Ley del Parlamento de Cantabria 4/2013, no es efecto inmediato y necesario de la aprobación y vigencia de la norma —artículo 65 </w:t>
      </w:r>
      <w:r w:rsidRPr="00AC56D6">
        <w:rPr>
          <w:i/>
        </w:rPr>
        <w:t>bis</w:t>
      </w:r>
      <w:r>
        <w:t>—, por lo que el vicio de inconstitucionalidad que se le imputa decae automáticamente. Lo que afecta a la ejecución de la Sentencia, en su opinión, es, en su caso, la concreta autorización provisional que se otorgue por el ayuntamiento si se cumplen los requisitos necesarios para ello.</w:t>
      </w:r>
    </w:p>
    <w:p w:rsidR="00AC56D6" w:rsidRDefault="00AC56D6" w:rsidP="00AC56D6">
      <w:pPr>
        <w:pStyle w:val="TextoNormal"/>
      </w:pPr>
    </w:p>
    <w:p w:rsidR="00AC56D6" w:rsidRDefault="00AC56D6" w:rsidP="00AC56D6">
      <w:pPr>
        <w:pStyle w:val="TextoNormal"/>
      </w:pPr>
      <w:r>
        <w:t xml:space="preserve">Afirma el Gobierno de Cantabria que el Tribunal deberá tener en cuenta en la fase de ejecución de la Sentencia la existencia de la autorización provisional y la posibilidad de que la misma constituya una causa de imposibilidad legal de ejecución, pero podrá controlar o incluso anular la autorización provisional de conformidad con lo dispuesto en el art. 103.4 LJCA de acuerdo con el cual serán nulos de pleno Derecho los actos y disposiciones contrarios a los pronunciamientos de las sentencias que se dicten con la finalidad de eludir su cumplimiento. Es decir, considera el Gobierno de Cantabria que el hecho de que la autorización provisional se haya otorgado de conformidad con el artículo 65 </w:t>
      </w:r>
      <w:r w:rsidRPr="00AC56D6">
        <w:rPr>
          <w:i/>
        </w:rPr>
        <w:t>bis</w:t>
      </w:r>
      <w:r>
        <w:t xml:space="preserve"> no impide el control que el Tribunal puede y debe realizar </w:t>
      </w:r>
      <w:r w:rsidRPr="00AC56D6">
        <w:rPr>
          <w:i/>
        </w:rPr>
        <w:t>ex</w:t>
      </w:r>
      <w:r>
        <w:t xml:space="preserve"> art. 103.4 LJCA, esto es el examen de si la modificación del planeamiento tiene o no la única finalidad de convertir lo ilegal en legal sino la de atender racionalmente el interés público urbanístico.</w:t>
      </w:r>
    </w:p>
    <w:p w:rsidR="00AC56D6" w:rsidRDefault="00AC56D6" w:rsidP="00AC56D6">
      <w:pPr>
        <w:pStyle w:val="TextoNormal"/>
      </w:pPr>
    </w:p>
    <w:p w:rsidR="00AC56D6" w:rsidRDefault="00AC56D6" w:rsidP="00AC56D6">
      <w:pPr>
        <w:pStyle w:val="TextoNormal"/>
      </w:pPr>
      <w:r>
        <w:t xml:space="preserve">A diferencia del caso de la STC 92/2013 en que la norma analizada —la Ley cántabra 2/2011— incidía directamente en la ejecución al supeditar la demolición a la tramitación y resolución previas del expediente de responsabilidad patrimonial, en el presente caso el Gobierno de Cantabria afirma que la Ley 4/2013 no incide </w:t>
      </w:r>
      <w:r w:rsidRPr="00AC56D6">
        <w:rPr>
          <w:i/>
        </w:rPr>
        <w:t>per se</w:t>
      </w:r>
      <w:r>
        <w:t xml:space="preserve"> de forma directa en la ejecución, sino que será, en su caso, la correspondiente autorización provisional la que lo haga y la misma estará sujeta al control jurisdiccional.</w:t>
      </w:r>
    </w:p>
    <w:p w:rsidR="00AC56D6" w:rsidRDefault="00AC56D6" w:rsidP="00AC56D6">
      <w:pPr>
        <w:pStyle w:val="TextoNormal"/>
      </w:pPr>
    </w:p>
    <w:p w:rsidR="00AC56D6" w:rsidRDefault="00AC56D6" w:rsidP="00AC56D6">
      <w:pPr>
        <w:pStyle w:val="TextoNormal"/>
      </w:pPr>
      <w:r>
        <w:t>Rechaza el Gobierno de Cantabria que la regulación resulte contraria al derecho a la tutela judicial efectiva pues el derecho a la ejecución de la Sentencia en sus propios términos “no impide que en determinados supuestos ésta devenga legal o materialmente imposible, lo cual habrá de apreciarse por el órgano judicial en resolución motivada, pues el cumplimiento o ejecución de las Sentencias depende de las características de cada proceso y del contenido del fallo”, tal y como ha reconocido el Tribunal Constitucional (STC 73/2000, de 14 de marzo).</w:t>
      </w:r>
    </w:p>
    <w:p w:rsidR="00AC56D6" w:rsidRDefault="00AC56D6" w:rsidP="00AC56D6">
      <w:pPr>
        <w:pStyle w:val="TextoNormal"/>
      </w:pPr>
    </w:p>
    <w:p w:rsidR="00AC56D6" w:rsidRDefault="00AC56D6" w:rsidP="00AC56D6">
      <w:pPr>
        <w:pStyle w:val="TextoNormal"/>
      </w:pPr>
      <w:r>
        <w:t xml:space="preserve">Y, por último, afirma también que, en todo caso, no se sacrifica de forma desproporcionada el pronunciamiento contenido en el fallo. En primer lugar, señala que las autorizaciones provisionales tienen una vigencia máxima de cuatro años de duración que es un plazo razonable que no sacrifica indefinidamente el contenido del fallo. En segundo lugar, destaca que la finalidad es evitar la causación de perjuicios irreparables no solo a los propietarios de las viviendas, sino también y principalmente al interés público, dados los enormes costes </w:t>
      </w:r>
      <w:r>
        <w:lastRenderedPageBreak/>
        <w:t>que tendrían para las arcas públicas, no sólo locales sino también autonómicas, la demolición de las viviendas con orden de derribo y la indemnización a todos los propietarios. Señala que el cálculo estimado que todo ello tendría para la hacienda de la Comunidad Autónoma se fija en torno a unos 300.000.000 €. Y, en tercer lugar, defiende que además no se sacrifica de forma desproporcionada el interés del restablecimiento de la legalidad urbanística que subyace en el fallo de la Sentencia, pues estas autorizaciones solo se otorgan a aquellas edificaciones o construcciones preexistentes que resulten compatibles con la nueva ordenación urbanística contenida en el planeamiento en tramitación persiguiendo precisamente el restablecimiento de la legalidad urbanística.</w:t>
      </w:r>
    </w:p>
    <w:p w:rsidR="00AC56D6" w:rsidRDefault="00AC56D6" w:rsidP="00AC56D6">
      <w:pPr>
        <w:pStyle w:val="TextoNormal"/>
      </w:pPr>
    </w:p>
    <w:p w:rsidR="00AC56D6" w:rsidRDefault="00AC56D6" w:rsidP="00AC56D6">
      <w:pPr>
        <w:pStyle w:val="TextoNormal"/>
      </w:pPr>
      <w:r w:rsidRPr="00AC56D6">
        <w:rPr>
          <w:rStyle w:val="NumeroAFNegritaCaracter"/>
        </w:rPr>
        <w:t>12</w:t>
      </w:r>
      <w:r>
        <w:t>. La Fiscal General del Estado comparece mediante escrito registrado el 27 de febrero de 2015 y formula sus alegaciones que apoyan el criterio de la Sala. En efecto, estima la Fiscal General del Estado que la norma cuestionada afecta, por un lado, al orden constitucional de distribución de competencias entre el Estado y la Comunidad Autónoma de Cantabria (art. 149.1.6 CE) y, por otro lado, al derecho fundamental a la ejecución de las sentencias en sus propios términos y a la garantía constitucional de integridad jurisdiccional de los jueces y tribunales (arts. 24 y 117.3 CE).</w:t>
      </w:r>
    </w:p>
    <w:p w:rsidR="00AC56D6" w:rsidRDefault="00AC56D6" w:rsidP="00AC56D6">
      <w:pPr>
        <w:pStyle w:val="TextoNormal"/>
      </w:pPr>
    </w:p>
    <w:p w:rsidR="00AC56D6" w:rsidRDefault="00AC56D6" w:rsidP="00AC56D6">
      <w:pPr>
        <w:pStyle w:val="TextoNormal"/>
      </w:pPr>
      <w:r>
        <w:t>En relación con el problema competencial, la Fiscal General del Estado pone de manifiesto que, a diferencia de otros Estatutos de Autonomía, el de Cantabria no contempla que el legislador autonómico pueda regular materia procesal.</w:t>
      </w:r>
    </w:p>
    <w:p w:rsidR="00AC56D6" w:rsidRDefault="00AC56D6" w:rsidP="00AC56D6">
      <w:pPr>
        <w:pStyle w:val="TextoNormal"/>
      </w:pPr>
    </w:p>
    <w:p w:rsidR="00AC56D6" w:rsidRDefault="00AC56D6" w:rsidP="00AC56D6">
      <w:pPr>
        <w:pStyle w:val="TextoNormal"/>
      </w:pPr>
      <w:r>
        <w:t>Por otra parte, en relación con el art. 117.3 CE afirma que la norma cuestionada incide en la regulación de la ejecución de sentencias al introducir un trámite ajeno a la propia ejecución de la Sentencia y que aunque sólo paraliza ésta temporalmente en el fondo lo que pretende es legalizar las edificaciones que han de ser derribadas, puesto que “es fácilmente comprensible que en el nuevo planeamiento municipal que se redacte las determinaciones urbanísticas de las parcelas en que se encuentran levantadas las edificaciones declaradas ilegales coincidirán casi al pie de la letra con la realidad de lo edificado, de modo que posteriormente no existirá dificultad alguna para que tales edificaciones obtengan una nueva licencia de obra, con la consiguiente anulación de los efectos de la declaración de ilegalidad efectuada por los Tribunales”.</w:t>
      </w:r>
    </w:p>
    <w:p w:rsidR="00AC56D6" w:rsidRDefault="00AC56D6" w:rsidP="00AC56D6">
      <w:pPr>
        <w:pStyle w:val="TextoNormal"/>
      </w:pPr>
    </w:p>
    <w:p w:rsidR="00AC56D6" w:rsidRDefault="00AC56D6" w:rsidP="00AC56D6">
      <w:pPr>
        <w:pStyle w:val="TextoNormal"/>
      </w:pPr>
      <w:r>
        <w:t>En definitiva, considera que resulta incompatible con la reserva estatal en materia de legislación procesal (art. 149.1.6 CE) que el legislador autonómico “establezca una causa de suspensión o aplazamiento de la ejecución de las Sentencias que han de ejecutarse mediante el derribo de edificaciones de suerte que la ejecución de la Sentencia termine por escapar del control judicial, único competente para hacer ejecutar lo juzgado a tenor de lo dispuesto en el art. 117.3 CE, que de resultar igualmente vulnerado”. Vulneración que se traduce además, al ser la otra cara de la misma moneda, en una infracción del derecho fundamental a la ejecución de las sentencias en sus propios términos, esto es, a conseguir la ejecución completa de lo así dispuesto por los órganos del Poder Judicial.</w:t>
      </w:r>
    </w:p>
    <w:p w:rsidR="00AC56D6" w:rsidRDefault="00AC56D6" w:rsidP="00AC56D6">
      <w:pPr>
        <w:pStyle w:val="TextoNormal"/>
      </w:pPr>
    </w:p>
    <w:p w:rsidR="00AC56D6" w:rsidRDefault="00AC56D6" w:rsidP="00AC56D6">
      <w:pPr>
        <w:pStyle w:val="TextoNormal"/>
      </w:pPr>
      <w:r w:rsidRPr="00AC56D6">
        <w:rPr>
          <w:rStyle w:val="NumeroAFNegritaCaracter"/>
        </w:rPr>
        <w:t>13</w:t>
      </w:r>
      <w:r>
        <w:t>. El Ayuntamiento de Escalante comparece y realiza sus alegaciones mediante escrito registrado el 11 de marzo de 2015.</w:t>
      </w:r>
    </w:p>
    <w:p w:rsidR="00AC56D6" w:rsidRDefault="00AC56D6" w:rsidP="00AC56D6">
      <w:pPr>
        <w:pStyle w:val="TextoNormal"/>
      </w:pPr>
    </w:p>
    <w:p w:rsidR="00AC56D6" w:rsidRDefault="00AC56D6" w:rsidP="00AC56D6">
      <w:pPr>
        <w:pStyle w:val="TextoNormal"/>
      </w:pPr>
      <w:r>
        <w:lastRenderedPageBreak/>
        <w:t xml:space="preserve">Sostiene, en primer término, el Ayuntamiento de Escalante, la inadmisibilidad de la cuestión por entender que el traslado previo no cumplió los requisitos exigidos por la Ley Orgánica del Tribunal Constitucional en relación con la identificación precisa de la norma y del contenido de la misma que se reputa inconstitucional, con los preceptos constitucionales que se estima que pudieran haber sido conculcados y con la expresión del razonamiento en que se apoya la duda de constitucionalidad. A ello añade que tampoco ha dilucidado el órgano judicial aspectos decisivos para el juicio de relevancia como la conformidad o no de la autorización provisional al planeamiento en tramitación o el ejercicio correcto o no desviado de la potestad de planeamiento, pues de acreditarse que sólo la autorización es disconforme con el planeamiento o que la nueva ordenación urbanística sólo pretendía eludir el cumplimiento de la sentencia, el Tribunal podría haber acudido al mecanismo previsto en el art. 103 CE y no habría resultado de aplicación el art. 65 </w:t>
      </w:r>
      <w:r w:rsidRPr="00AC56D6">
        <w:rPr>
          <w:i/>
        </w:rPr>
        <w:t>bis</w:t>
      </w:r>
      <w:r>
        <w:t>.1 de la Ley 2/2001.</w:t>
      </w:r>
    </w:p>
    <w:p w:rsidR="00AC56D6" w:rsidRDefault="00AC56D6" w:rsidP="00AC56D6">
      <w:pPr>
        <w:pStyle w:val="TextoNormal"/>
      </w:pPr>
    </w:p>
    <w:p w:rsidR="00AC56D6" w:rsidRDefault="00AC56D6" w:rsidP="00AC56D6">
      <w:pPr>
        <w:pStyle w:val="TextoNormal"/>
      </w:pPr>
      <w:r>
        <w:t>En definitiva, para el Ayuntamiento de Escalante el precepto cuestionado no es autoaplicativo, sino que exige actos posteriores de aplicación (las autorizaciones provisionales) que son susceptibles de control por parte de los órganos judiciales en incidente de ejecución.</w:t>
      </w:r>
    </w:p>
    <w:p w:rsidR="00AC56D6" w:rsidRDefault="00AC56D6" w:rsidP="00AC56D6">
      <w:pPr>
        <w:pStyle w:val="TextoNormal"/>
      </w:pPr>
    </w:p>
    <w:p w:rsidR="00AC56D6" w:rsidRDefault="00AC56D6" w:rsidP="00AC56D6">
      <w:pPr>
        <w:pStyle w:val="TextoNormal"/>
      </w:pPr>
      <w:r>
        <w:t xml:space="preserve">Por otra parte, defiende el Ayuntamiento de Escalante que el artículo 65 </w:t>
      </w:r>
      <w:r w:rsidRPr="00AC56D6">
        <w:rPr>
          <w:i/>
        </w:rPr>
        <w:t>bis</w:t>
      </w:r>
      <w:r>
        <w:t>.1 ha sido dictado, con toda claridad, en ejercicio de las competencias autonómicas en materia de urbanismo (art. 148.1.3 CE) puesto que su contenido implica regulación del planeamiento urbanístico, de la disciplina urbanística y la protección de la legalidad urbanística. Y argumenta que siendo la Comunidad Autónoma competente para regular las consecuencias del ilícito urbanístico también lo es “para modular las consecuencias de la ilicitud, estando, además, justificada esa regulación cuando las consecuencias determinan un grave daño para los intereses generales y para los propietarios con un correlativo beneficio para el interés general o cuando se prevé que el interés general no se va a ver beneficiado sino al contrario, por la contundente consecuencia de la demolición”.</w:t>
      </w:r>
    </w:p>
    <w:p w:rsidR="00AC56D6" w:rsidRDefault="00AC56D6" w:rsidP="00AC56D6">
      <w:pPr>
        <w:pStyle w:val="TextoNormal"/>
      </w:pPr>
    </w:p>
    <w:p w:rsidR="00AC56D6" w:rsidRDefault="00AC56D6" w:rsidP="00AC56D6">
      <w:pPr>
        <w:pStyle w:val="TextoNormal"/>
      </w:pPr>
      <w:r>
        <w:t xml:space="preserve">El derecho a la ejecución de las sentencias y la correlativa competencia de jueces y tribunales para ejecutar lo juzgado implica que la regla general sea el cumplimiento de las resoluciones judiciales </w:t>
      </w:r>
      <w:r w:rsidRPr="00AC56D6">
        <w:rPr>
          <w:i/>
        </w:rPr>
        <w:t>in natura</w:t>
      </w:r>
      <w:r>
        <w:t>, pero ello, dice el Ayuntamiento de Escalante, admite excepciones habiéndose considerado constitucional el cumplimiento por equivalente cuando aquella no es posible. Recuerda a este respecto que, en nuestro ordenamiento jurídico, tradicionalmente se ha admitido que el cambio normativo sobrevenido puede ser causa de imposibilidad legal de ejecución de sentencias.</w:t>
      </w:r>
    </w:p>
    <w:p w:rsidR="00AC56D6" w:rsidRDefault="00AC56D6" w:rsidP="00AC56D6">
      <w:pPr>
        <w:pStyle w:val="TextoNormal"/>
      </w:pPr>
    </w:p>
    <w:p w:rsidR="00AC56D6" w:rsidRDefault="00AC56D6" w:rsidP="00AC56D6">
      <w:pPr>
        <w:pStyle w:val="TextoNormal"/>
      </w:pPr>
      <w:r>
        <w:t>Niega el Ayuntamiento de Escalante que el precepto cuestionado regule materia procesal, aunque admite que prevé una medida (la autorización provisional) que puede obstar a la ejecución, aunque sea temporalmente. Incidencia en la ejecución que, por otra parte, sostiene que ha de ser la misma independientemente de si se ha dictado orden judicial o sólo administrativa de demolición, pues lo contrario además de generar una situación injustificada de tratamiento desigual del ilícito urbanístico tiene el perverso efecto de terminar dando mejor trato a la ilegalidad más grosera, pues entiende que son precisamente los casos discutibles los que llegan a la vía contencioso-administrativa y sobre los que puede pender una orden judicial de demolición.</w:t>
      </w:r>
    </w:p>
    <w:p w:rsidR="00AC56D6" w:rsidRDefault="00AC56D6" w:rsidP="00AC56D6">
      <w:pPr>
        <w:pStyle w:val="TextoNormal"/>
      </w:pPr>
    </w:p>
    <w:p w:rsidR="00AC56D6" w:rsidRDefault="00AC56D6" w:rsidP="00AC56D6">
      <w:pPr>
        <w:pStyle w:val="TextoNormal"/>
      </w:pPr>
      <w:r>
        <w:t xml:space="preserve">Por último, argumenta el Ayuntamiento de Escalante que la regulación cuestionada es necesaria y proporcionada. Necesaria porque impide que se generen perjuicios irreparables </w:t>
      </w:r>
      <w:r>
        <w:lastRenderedPageBreak/>
        <w:t>para el interés público y para los propietarios y proporcionada porque al no ser una regulación autoaplicativa, el tribunal podrá decidir caso por caso si la autorización es acorde con el planeamiento en tramitación y si éste responde a un interés general y no al mero objetivo de eludir el cumplimiento de la sentencia.</w:t>
      </w:r>
    </w:p>
    <w:p w:rsidR="00AC56D6" w:rsidRDefault="00AC56D6" w:rsidP="00AC56D6">
      <w:pPr>
        <w:pStyle w:val="TextoNormal"/>
      </w:pPr>
    </w:p>
    <w:p w:rsidR="00AC56D6" w:rsidRDefault="00AC56D6" w:rsidP="00AC56D6">
      <w:pPr>
        <w:pStyle w:val="TextoNormal"/>
      </w:pPr>
      <w:r w:rsidRPr="00AC56D6">
        <w:rPr>
          <w:rStyle w:val="NumeroAFNegritaCaracter"/>
        </w:rPr>
        <w:t>14</w:t>
      </w:r>
      <w:r>
        <w:t>. Por providencia de 26 de noviembre de 2015 se señaló para la deliberación y votación de la presente Sentencia el día 30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El planteamiento de la presente cuestión de inconstitucionalidad se sustenta en la duda del órgano judicial promotor acerca de la constitucionalidad del art. 65 </w:t>
      </w:r>
      <w:r w:rsidRPr="00AC56D6">
        <w:rPr>
          <w:i/>
        </w:rPr>
        <w:t>bis</w:t>
      </w:r>
      <w:r>
        <w:t>.1 de la Ley 2/2001, de ordenación territorial y régimen urbanístico del suelo de Cantabria, añadido por la Ley 4/2013, de 20 de junio, en cuanto dice “órdenes de demolición judiciales”. El precepto dispone:</w:t>
      </w:r>
    </w:p>
    <w:p w:rsidR="00AC56D6" w:rsidRDefault="00AC56D6" w:rsidP="00AC56D6">
      <w:pPr>
        <w:pStyle w:val="TextoNormal"/>
      </w:pPr>
    </w:p>
    <w:p w:rsidR="00AC56D6" w:rsidRDefault="00AC56D6" w:rsidP="00AC56D6">
      <w:pPr>
        <w:pStyle w:val="TextoNormal"/>
      </w:pPr>
      <w:r>
        <w:t>“Iniciado el procedimiento dirigido a la formación, modificación o revisión de los planes urbanísticos y demás instrumentos de planeamiento, y para impedir que se generen perjuicios irreparables al interés público o a los propietarios de edificaciones o actuaciones que, habiendo sido previamente declaradas ilegales y sobre las que hubiesen recaído órdenes de demolición administrativas o judiciales, puedan resultar conformes con la nueva ordenación que se está tramitando, el órgano municipal competente para aprobar inicialmente el plan podrá otorgar, de oficio o a instancia de los interesados, autorizaciones provisionales que afecten a dichas edificaciones o actuaciones preexistentes, previa comprobación de que resultan conformes con el nuevo planeamiento municipal en tramitación. Si el procedimiento se inicia a solicitud del interesado, transcurrido el plazo de tres meses sin haberse notificado resolución alguna podrá entender desestimada su petición.”</w:t>
      </w:r>
    </w:p>
    <w:p w:rsidR="00AC56D6" w:rsidRDefault="00AC56D6" w:rsidP="00AC56D6">
      <w:pPr>
        <w:pStyle w:val="TextoNormal"/>
      </w:pPr>
    </w:p>
    <w:p w:rsidR="00AC56D6" w:rsidRDefault="00AC56D6" w:rsidP="00AC56D6">
      <w:pPr>
        <w:pStyle w:val="TextoNormal"/>
      </w:pPr>
      <w:r>
        <w:t>Entiende el órgano judicial que el precepto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24.2 y 117.3 CE que consagran, respectivamente, el derecho a la tutela judicial efectiva y, por tanto, también, su vertiente de derecho a la ejecución de sentencias, y la potestad exclusiva de jueces y tribunales para ejecutar lo juzgado.</w:t>
      </w:r>
    </w:p>
    <w:p w:rsidR="00AC56D6" w:rsidRDefault="00AC56D6" w:rsidP="00AC56D6">
      <w:pPr>
        <w:pStyle w:val="TextoNormal"/>
      </w:pPr>
    </w:p>
    <w:p w:rsidR="00AC56D6" w:rsidRDefault="00AC56D6" w:rsidP="00AC56D6">
      <w:pPr>
        <w:pStyle w:val="TextoNormal"/>
      </w:pPr>
      <w:r>
        <w:t>El Letrado del Parlamento de Cantabria y el Ayuntamiento de Escalante interesan la inadmisión de la cuestión por considerar que concurren óbices procesales.</w:t>
      </w:r>
    </w:p>
    <w:p w:rsidR="00AC56D6" w:rsidRDefault="00AC56D6" w:rsidP="00AC56D6">
      <w:pPr>
        <w:pStyle w:val="TextoNormal"/>
      </w:pPr>
    </w:p>
    <w:p w:rsidR="00AC56D6" w:rsidRDefault="00AC56D6" w:rsidP="00AC56D6">
      <w:pPr>
        <w:pStyle w:val="TextoNormal"/>
      </w:pPr>
      <w:r>
        <w:t>En primer lugar, el Ayuntamiento de Escalante considera que el traslado previo de la cuestión no cumplió con los requisitos exigidos por la Ley Orgánica del Tribunal Constitucional (LOTC) en relación con la identificación de la norma y del contenido de la misma que se reputa inconstitucional, con los preceptos constitucionales que se estiman conculcados y con la expresión del razonamiento en que se apoya la duda de constitucionalidad, lo que entiende que ha impedido a las partes participar de forma adecuada en la conformación de la duda que se expresa en la cuestión.</w:t>
      </w:r>
    </w:p>
    <w:p w:rsidR="00AC56D6" w:rsidRDefault="00AC56D6" w:rsidP="00AC56D6">
      <w:pPr>
        <w:pStyle w:val="TextoNormal"/>
      </w:pPr>
    </w:p>
    <w:p w:rsidR="00AC56D6" w:rsidRDefault="00AC56D6" w:rsidP="00AC56D6">
      <w:pPr>
        <w:pStyle w:val="TextoNormal"/>
      </w:pPr>
      <w:r>
        <w:lastRenderedPageBreak/>
        <w:t>En segundo lugar, tanto el Ayuntamiento de Escalante como el Letrado del Parlamento de Cantabria consideran que la cuestión planteada no supera los juicios de aplicabilidad y relevancia. El Letrado del Parlamento de Cantabria afirma que el contenido del fallo no ha de variar con independencia de que el precepto cuestionado se declaré constitucional o no puesto que, en todo caso, se va a restablecer la legalidad, ya que la ley cántabra, dirá, persigue el restablecimiento del orden urbanístico mediante la adecuación del planeamiento a lo ya construido. Es más, tanto el Letrado del Parlamento de Cantabria como el Ayuntamiento de Escalante consideran que el órgano judicial no ha despejado aspectos decisivos para cumplir con el juicio de relevancia como los relativos a la conformidad de la autorización provisional con el planeamiento provisional y el ejercicio desviado o no de la potestad de planeamiento, ya que si la autorización fuera disconforme o en el ejercicio de esa potestad se hubiera incurrido en desviación de poder, el Tribunal podría haber acudido al mecanismo previsto en el art. 103 CE y no resultaría de aplicación el precepto cuestionado.</w:t>
      </w:r>
    </w:p>
    <w:p w:rsidR="00AC56D6" w:rsidRDefault="00AC56D6" w:rsidP="00AC56D6">
      <w:pPr>
        <w:pStyle w:val="TextoNormal"/>
      </w:pPr>
    </w:p>
    <w:p w:rsidR="00AC56D6" w:rsidRDefault="00AC56D6" w:rsidP="00AC56D6">
      <w:pPr>
        <w:pStyle w:val="TextoNormal"/>
      </w:pPr>
      <w:r>
        <w:t>En cualquier caso, el Letrado del Parlamento de Cantabria y el Ayuntamiento de Escalante solicitan, subsidiariamente, la desestimación de la cuestión de inconstitucionalidad. El Letrado del Parlamento de Cantabria entiende que el precepto cuestionado no regula el proceso contencioso-administrativo, sino que es una norma urbanística que persigue dar mayor eficacia a los planes en marcha con la finalidad de evitar daños a los intereses tanto públicos como particulares. Considera, por tanto, que la regulación encuentra amparo en las competencias autonómicas en materia de “organización, régimen y funcionamiento de sus instituciones de gobierno” (art. 24.1 del Estatuto de Autonomía de Cantabria: EACant), “urbanismo y vivienda” (art. 24.3 EACant) y “procedimiento administrativo derivado de las especialidades de la organización propia” (art. 25.32 EACant). El Ayuntamiento de Escalante, por su parte, comparte que la regulación tiene carácter sustantivo y no procesal y que se enmarca en el ámbito del urbanismo, de competencia de la Comunidad Autónoma cántabra. Argumenta, además, que el precepto no es autoaplicativo, que la autorización provisional es susceptible de control por el órgano judicial en incidente de ejecución y que, en todo caso, la regulación abstracta es proporcionada por cuanto tan sólo suspende temporalmente la ejecución con la finalidad de evitar perjuicios irreparables para el interés público y para los propietarios.</w:t>
      </w:r>
    </w:p>
    <w:p w:rsidR="00AC56D6" w:rsidRDefault="00AC56D6" w:rsidP="00AC56D6">
      <w:pPr>
        <w:pStyle w:val="TextoNormal"/>
      </w:pPr>
    </w:p>
    <w:p w:rsidR="00AC56D6" w:rsidRDefault="00AC56D6" w:rsidP="00AC56D6">
      <w:pPr>
        <w:pStyle w:val="TextoNormal"/>
      </w:pPr>
      <w:r>
        <w:t xml:space="preserve">También respalda la constitucionalidad del art. 65 </w:t>
      </w:r>
      <w:r w:rsidRPr="00AC56D6">
        <w:rPr>
          <w:i/>
        </w:rPr>
        <w:t>bis</w:t>
      </w:r>
      <w:r>
        <w:t xml:space="preserve">.1 de la Ley 2/2001 el Gobierno de Cantabria que argumenta que la autorización provisional que en él se contempla es una nueva figura urbanística que persigue anticipar parcialmente los efectos de la nueva ordenación urbana prevista con la finalidad de evitar la demolición de una construcción que podría ser legalizada conforme a la nueva planificación. Sostiene el Gobierno cántabro que la regulación atiende al principio de proporcionalidad y persigue un justo equilibrio de intereses públicos y particulares. Al igual que el Ayuntamiento de Escalante defiende que el precepto no es autoaplicativo y que la autorización provisional podrá ser objeto de fiscalización por los juzgados y tribunales que serán, por tanto, los que deberán determinar si constituye o no una causa de imposibilidad legal de ejecución de la sentencia. También comparte con el Ayuntamiento de Escalante y con el Parlamento de Cantabria que el art. 65 </w:t>
      </w:r>
      <w:r w:rsidRPr="00AC56D6">
        <w:rPr>
          <w:i/>
        </w:rPr>
        <w:t>bis</w:t>
      </w:r>
      <w:r>
        <w:t xml:space="preserve">.1 de la Ley 2/2001 no es un precepto procesal sino sustantivo que se encuadra en la materia urbanismo de competencia autonómica. Admite el Gobierno de Cantabria que el otorgamiento de una autorización provisional puede suponer la imposibilidad de ejecución del fallo y, por tanto, el sacrificio del derecho a la ejecución de la sentencia en sus propios </w:t>
      </w:r>
      <w:r>
        <w:lastRenderedPageBreak/>
        <w:t>términos, pero considera que la regulación es proporcionada si se tiene en cuenta los elevados costes —sobre todo económicos, en términos de costes del derribo y de las indemnizaciones a los propietarios afectados— de la demolición.</w:t>
      </w:r>
    </w:p>
    <w:p w:rsidR="00AC56D6" w:rsidRDefault="00AC56D6" w:rsidP="00AC56D6">
      <w:pPr>
        <w:pStyle w:val="TextoNormal"/>
      </w:pPr>
    </w:p>
    <w:p w:rsidR="00AC56D6" w:rsidRDefault="00AC56D6" w:rsidP="00AC56D6">
      <w:pPr>
        <w:pStyle w:val="TextoNormal"/>
      </w:pPr>
      <w:r>
        <w:t>El Abogado del Estado y la Fiscal General del Estado, por el contrario, comparten el criterio del órgano judicial y solicitan la estimación de la cuestión de inconstitucionalidad.</w:t>
      </w:r>
    </w:p>
    <w:p w:rsidR="00AC56D6" w:rsidRDefault="00AC56D6" w:rsidP="00AC56D6">
      <w:pPr>
        <w:pStyle w:val="TextoNormal"/>
      </w:pPr>
    </w:p>
    <w:p w:rsidR="00AC56D6" w:rsidRDefault="00AC56D6" w:rsidP="00AC56D6">
      <w:pPr>
        <w:pStyle w:val="TextoNormal"/>
      </w:pPr>
      <w:r>
        <w:t xml:space="preserve">Tanto el Abogado del Estado como la Fiscal General del Estado consideran que el precepto vulnera la competencia estatal en materia de legislación procesal. El Abogado del Estado considera que el precepto es contrario al art. 105 de la Ley de la jurisdicción contencioso-administrativa y que, en realidad, está estableciendo una causa </w:t>
      </w:r>
      <w:r w:rsidRPr="00AC56D6">
        <w:rPr>
          <w:i/>
        </w:rPr>
        <w:t>ad hoc</w:t>
      </w:r>
      <w:r>
        <w:t xml:space="preserve"> de imposibilidad de ejecución de la Sentencia. La Fiscal General del Estado argumenta que el legislador autonómico está previendo una causa de suspensión o aplazamiento de la ejecución de las sentencias que vulnera la competencia estatal en materia de legislación procesal y que no encuentra amparo en título competencial alguno de la Comunidad Autónoma de Cantabria que no cuenta, de acuerdo con su Estatuto de Autonomía, con competencias en materia procesal.</w:t>
      </w:r>
    </w:p>
    <w:p w:rsidR="00AC56D6" w:rsidRDefault="00AC56D6" w:rsidP="00AC56D6">
      <w:pPr>
        <w:pStyle w:val="TextoNormal"/>
      </w:pPr>
    </w:p>
    <w:p w:rsidR="00AC56D6" w:rsidRDefault="00AC56D6" w:rsidP="00AC56D6">
      <w:pPr>
        <w:pStyle w:val="TextoNormal"/>
      </w:pPr>
      <w:r>
        <w:t>También comparten el Abogado del Estado y la Fiscal General del Estado que el precepto supone una vulneración del derecho fundamental a la tutela judicial efectiva y del monopolio jurisdiccional a favor de jueces y tribunales (arts. 24 y 117.3 CE). La Fiscal General del Estado argumenta que, en realidad, lo que se persigue con la regulación autonómica es que el nuevo planeamiento se redacte de acuerdo con lo ya construido de tal forma que las edificaciones sobre las que pende una orden de demolición puedan encontrar amparo en una nueva licencia, anulándose así los efectos de las declaraciones de ilegalidad realizadas por los tribunales. El Abogado del Estado, por su parte, afirma que el sacrificio del derecho a la tutela judicial efectiva resulta desproporcionado, ya que a la ejecución de la Sentencia se antepone una situación interina que no cuenta con fuerza suficiente para enervar una resolución judicial firme. A ello añade que ni la ley, ni la defensa de ella realizada por el Parlamento cántabro ponderan debidamente los intereses en juego, ni justifican que el interés en la conservación de las edificaciones declaradas ilegales sea superior al de la ejecución de las resoluciones judiciales firmes que ordenan la demolición.</w:t>
      </w:r>
    </w:p>
    <w:p w:rsidR="00AC56D6" w:rsidRDefault="00AC56D6" w:rsidP="00AC56D6">
      <w:pPr>
        <w:pStyle w:val="TextoNormal"/>
      </w:pPr>
    </w:p>
    <w:p w:rsidR="00AC56D6" w:rsidRDefault="00AC56D6" w:rsidP="00AC56D6">
      <w:pPr>
        <w:pStyle w:val="TextoNormal"/>
      </w:pPr>
      <w:r w:rsidRPr="00AC56D6">
        <w:rPr>
          <w:rStyle w:val="NumeroAFNegritaCaracter"/>
        </w:rPr>
        <w:t>2</w:t>
      </w:r>
      <w:r>
        <w:t>. Expuestas la duda de constitucionalidad y las posiciones de las partes comparecidas, debemos ahora examinar los óbices procesales señalados por el Letrado del Parlamento de Cantabria y el Ayuntamiento de Escalante “toda vez que, como este Tribunal ha señalado en repetidas ocasiones, la falta de los requisitos procesales exigidos por el art. 35 LOTC no solo puede ser examinada en el trámite de admisión previsto en el art. 37 LOTC, sino también en Sentencia” (por todas, STC 210/2000, de 10 de mayo, FJ 2).</w:t>
      </w:r>
    </w:p>
    <w:p w:rsidR="00AC56D6" w:rsidRDefault="00AC56D6" w:rsidP="00AC56D6">
      <w:pPr>
        <w:pStyle w:val="TextoNormal"/>
      </w:pPr>
    </w:p>
    <w:p w:rsidR="00AC56D6" w:rsidRDefault="00AC56D6" w:rsidP="00AC56D6">
      <w:pPr>
        <w:pStyle w:val="TextoNormal"/>
      </w:pPr>
      <w:r>
        <w:t>a) El Ayuntamiento de Escalante alega el defectuoso cumplimiento de la fase de audiencia previa de las partes porque el órgano judicial en el traslado previo de la cuestión no cumplió con los requisitos exigidos por la Ley Orgánica del Tribunal Constitucional en relación con la identificación de la norma y del contenido de la misma que se reputa inconstitucional, con los preceptos constitucionales que se estiman conculcados y con la expresión del razonamiento en que se apoya la duda de constitucionalidad, lo que entiende que ha impedido a las partes participar de forma adecuada en la conformación de la duda que se expresa en la cuestión.</w:t>
      </w:r>
    </w:p>
    <w:p w:rsidR="00AC56D6" w:rsidRDefault="00AC56D6" w:rsidP="00AC56D6">
      <w:pPr>
        <w:pStyle w:val="TextoNormal"/>
      </w:pPr>
    </w:p>
    <w:p w:rsidR="00AC56D6" w:rsidRDefault="00AC56D6" w:rsidP="00AC56D6">
      <w:pPr>
        <w:pStyle w:val="TextoNormal"/>
      </w:pPr>
      <w:r>
        <w:t xml:space="preserve">En la providencia de 18 de septiembre de 2014, la Sala suspendió el plazo para dictar sentencia y otorgó el plazo de diez días a las partes y al Ministerio Fiscal respecto a la pertinencia de plantear cuestión de inconstitucionalidad sobre la Ley 4/2013, de 20 de junio, que modifica la Ley 2/2001, de 25 de junio, de ordenación territorial y del régimen urbanístico del suelo de Cantabria, en relación con los procedimientos de concesión de autorización provisional, por la que se introduce un art. 65 </w:t>
      </w:r>
      <w:r w:rsidRPr="00AC56D6">
        <w:rPr>
          <w:i/>
        </w:rPr>
        <w:t>bis</w:t>
      </w:r>
      <w:r>
        <w:t xml:space="preserve"> en la Ley 2/2001 conforme a la cual cabe la posibilidad de que durante cuatro años estos edificios tengan el régimen de fuera de ordenación y no se puedan demoler, a pesar de que estén afectados por orden de derribo administrativa o judicial, por cuanto considera que la Comunidad Autónoma puede carecer de competencia para alterar la legislación procesal —concretamente, para alterar el régimen de la ejecución judicial— introduciendo una causa de suspensión, ya que la materia “legislación procesal” es de competencia exclusiva del Estado conforme al art. 149.1.6 CE. Plantea además que la regulación podría también resultar contraria al derecho a la tutela judicial efectiva en su vertiente de derecho a la ejecución de sentencias (art. 24.2 CE) y a lo previsto en el art. 117.3 CE.</w:t>
      </w:r>
    </w:p>
    <w:p w:rsidR="00AC56D6" w:rsidRDefault="00AC56D6" w:rsidP="00AC56D6">
      <w:pPr>
        <w:pStyle w:val="TextoNormal"/>
      </w:pPr>
    </w:p>
    <w:p w:rsidR="00AC56D6" w:rsidRDefault="00AC56D6" w:rsidP="00AC56D6">
      <w:pPr>
        <w:pStyle w:val="TextoNormal"/>
      </w:pPr>
      <w:r>
        <w:t xml:space="preserve">No puede compartirse el criterio del ayuntamiento debiendo rechazarse el óbice alegado puesto que los preceptos constitucionales que se estiman conculcados están adecuadamente identificados (arts. 149.1.6, 24.2 y 117.3) y la argumentación que sustenta la duda (la introducción de una causa de suspensión de la ejecución de las órdenes judiciales de demolición) debidamente formulada. Por otra parte, el órgano judicial concretó, en la providencia de apertura del trámite de audiencia, el precepto sobre cuya constitucionalidad duda (art. 65 </w:t>
      </w:r>
      <w:r w:rsidRPr="00AC56D6">
        <w:rPr>
          <w:i/>
        </w:rPr>
        <w:t>bis</w:t>
      </w:r>
      <w:r>
        <w:t xml:space="preserve"> de la Ley 2/2001) sin perjuicio de que, con posterioridad, en el auto de planteamiento de la cuestión, circunscribiera esa duda al apartado primero del mismo.</w:t>
      </w:r>
    </w:p>
    <w:p w:rsidR="00AC56D6" w:rsidRDefault="00AC56D6" w:rsidP="00AC56D6">
      <w:pPr>
        <w:pStyle w:val="TextoNormal"/>
      </w:pPr>
    </w:p>
    <w:p w:rsidR="00AC56D6" w:rsidRDefault="00AC56D6" w:rsidP="00AC56D6">
      <w:pPr>
        <w:pStyle w:val="TextoNormal"/>
      </w:pPr>
      <w:r>
        <w:t xml:space="preserve">La delimitación en la providencia del objeto de la cuestión en un sentido más amplio al que posteriormente se recoge en el auto de planteamiento no supone —como ya dijimos en nuestra STC 183/2013, de 23 de octubre, FJ 2— problema alguno desde la perspectiva de la efectividad de la audiencia a las partes y al Ministerio Fiscal, que no se han visto privados de la oportunidad de pronunciarse sobre el precepto finalmente cuestionado, al contrario de lo que ocurre cuando en la providencia se omiten preceptos que posteriormente se cuestionan en el auto de planteamiento pues, en tal caso, sí se desvirtúa el trámite de audiencia (por todas, STC 312/2006, de 8 de noviembre, FJ 2). Además, lo cierto es que la mención más genérica del artículo 65 </w:t>
      </w:r>
      <w:r w:rsidRPr="00AC56D6">
        <w:rPr>
          <w:i/>
        </w:rPr>
        <w:t>bis</w:t>
      </w:r>
      <w:r>
        <w:t xml:space="preserve"> como norma cuestionada no ha impedido a las partes realizar —como efectivamente han hecho— las alegaciones que han estimado pertinentes en torno a la duda planteada por el órgano judicial que, a la luz de las alegaciones realizadas, es obvio que han podido identificar correctamente.</w:t>
      </w:r>
    </w:p>
    <w:p w:rsidR="00AC56D6" w:rsidRDefault="00AC56D6" w:rsidP="00AC56D6">
      <w:pPr>
        <w:pStyle w:val="TextoNormal"/>
      </w:pPr>
    </w:p>
    <w:p w:rsidR="00AC56D6" w:rsidRDefault="00AC56D6" w:rsidP="00AC56D6">
      <w:pPr>
        <w:pStyle w:val="TextoNormal"/>
      </w:pPr>
      <w:r>
        <w:t xml:space="preserve">b) El Ayuntamiento de Escalante y el Letrado del Parlamento de Cantabria consideran que la cuestión de inconstitucionalidad planteada no supera los juicios de aplicabilidad y relevancia. El Letrado del Parlamento de Cantabria afirma que el contenido del fallo no ha de variar con independencia de que el precepto cuestionado se declare constitucional o no puesto que, en todo caso, se va a restablecer la legalidad, ya que la ley cántabra, dirá, persigue el restablecimiento del orden urbanístico mediante la adecuación del planeamiento a lo ya construido. Es más, tanto el Letrado del Parlamento de Cantabria como el Ayuntamiento de Escalante consideran que el órgano judicial no ha despejado aspectos decisivos para cumplir con el juicio de relevancia como los relativos a la conformidad de la autorización </w:t>
      </w:r>
      <w:r>
        <w:lastRenderedPageBreak/>
        <w:t>provisional con el planeamiento provisional y el ejercicio desviado o no de la potestad de planeamiento, ya que si la autorización fuera disconforme o en el ejercicio de esa potestad se hubiera incurrido en desviación de poder, el Tribunal podría haber acudido al mecanismo previsto en el art. 103 CE y no resultaría de aplicación el precepto cuestionado.</w:t>
      </w:r>
    </w:p>
    <w:p w:rsidR="00AC56D6" w:rsidRDefault="00AC56D6" w:rsidP="00AC56D6">
      <w:pPr>
        <w:pStyle w:val="TextoNormal"/>
      </w:pPr>
    </w:p>
    <w:p w:rsidR="00AC56D6" w:rsidRDefault="00AC56D6" w:rsidP="00AC56D6">
      <w:pPr>
        <w:pStyle w:val="TextoNormal"/>
      </w:pPr>
      <w:r>
        <w:t xml:space="preserve">En definitiva, el Ayuntamiento de Escalante y el Letrado del Parlamento de Cantabria entienden que el recurso podría resolverse aceptando sus argumentaciones y pretensiones, lo que determinaría que ya no sería de aplicación el art. 65 </w:t>
      </w:r>
      <w:r w:rsidRPr="00AC56D6">
        <w:rPr>
          <w:i/>
        </w:rPr>
        <w:t>bis</w:t>
      </w:r>
      <w:r>
        <w:t xml:space="preserve">.1 de la Ley 2/2001, ni se superaría, entonces, el juicio de aplicabilidad y relevancia necesario para la admisión de la cuestión de inconstitucionalidad. Sin embargo, no hay que olvidar que el juicio de aplicabilidad y relevancia compete, en principio, realizarlo al órgano judicial, correspondiendo a este Tribunal exclusivamente un control externo que sólo le permite inadmitir aquellas cuestiones que se basen en error notorio apreciable “sin necesidad de entrar a examinar el fondo debatido” (entre otras, STC 114/2010, de 24 de noviembre, FJ 3), requisito que no concurre en el presente caso. Pero, además, el órgano judicial ha argumentado debidamente la aplicabilidad y relevancia del precepto cuestionado. En efecto, la Sala afirma que el precepto es aplicable porque, por un lado, el incidente de suspensión de la ejecución de la sentencia se ha promovido al amparo del mismo y, por otro, entiende que, ciertamente, la aplicación del art. 65 </w:t>
      </w:r>
      <w:r w:rsidRPr="00AC56D6">
        <w:rPr>
          <w:i/>
        </w:rPr>
        <w:t>bis</w:t>
      </w:r>
      <w:r>
        <w:t xml:space="preserve">.1 de la Ley cántabra 2/2001 supondría la suspensión del derribo del edificio al haberse otorgado la autorización provisional que contempla el artículo 65 </w:t>
      </w:r>
      <w:r w:rsidRPr="00AC56D6">
        <w:rPr>
          <w:i/>
        </w:rPr>
        <w:t>bis</w:t>
      </w:r>
      <w:r>
        <w:t>.1 y que implica que la construcción quede en situación de fuera de ordenación y no pueda ser objeto de demolición.</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Rechazados los óbices procesales podemos entrar ya en el fondo del asunto comenzando por el análisis del problema competencial, esto es, de la posible vulneración de la competencia del Estado en materia de legislación procesal </w:t>
      </w:r>
      <w:r w:rsidRPr="00AC56D6">
        <w:rPr>
          <w:i/>
        </w:rPr>
        <w:t>ex</w:t>
      </w:r>
      <w:r>
        <w:t xml:space="preserve"> art. 149.1.6 CE.</w:t>
      </w:r>
    </w:p>
    <w:p w:rsidR="00AC56D6" w:rsidRDefault="00AC56D6" w:rsidP="00AC56D6">
      <w:pPr>
        <w:pStyle w:val="TextoNormal"/>
      </w:pPr>
    </w:p>
    <w:p w:rsidR="00AC56D6" w:rsidRDefault="00AC56D6" w:rsidP="00AC56D6">
      <w:pPr>
        <w:pStyle w:val="TextoNormal"/>
      </w:pPr>
      <w:r>
        <w:t xml:space="preserve">El órgano judicial, la Fiscal General del Estado y el Abogado del Estado consideran que el art. 65 </w:t>
      </w:r>
      <w:r w:rsidRPr="00AC56D6">
        <w:rPr>
          <w:i/>
        </w:rPr>
        <w:t>bis</w:t>
      </w:r>
      <w:r>
        <w:t xml:space="preserve">.1 de la Ley 2/2001 en la medida en que prevé la posibilidad de otorgar autorizaciones provisionales que suspenden la ejecución de demoliciones ordenadas judicialmente constituye regulación procesal e invade las competencias estatales </w:t>
      </w:r>
      <w:r w:rsidRPr="00AC56D6">
        <w:rPr>
          <w:i/>
        </w:rPr>
        <w:t>ex</w:t>
      </w:r>
      <w:r>
        <w:t xml:space="preserve"> art. 149.1.6 CE vulnerando, además, el art. 105 de la Ley de la jurisdicción contencioso-administrativa. Por el contrario, el Letrado del Parlamento de Cantabria, el Gobierno de Cantabria y el Ayuntamiento de Escalante sostienen que el artículo 65 </w:t>
      </w:r>
      <w:r w:rsidRPr="00AC56D6">
        <w:rPr>
          <w:i/>
        </w:rPr>
        <w:t>bis</w:t>
      </w:r>
      <w:r>
        <w:t>.1, aunque pueda efectivamente afectar a la ejecución de sentencias, no es una norma procesal, sino una norma sustantiva que se incardina en la materia urbanismo de competencia exclusiva de la Comunidad Autónoma de Cantabria (arts. 148.1.3 CE y 24.1 EACant) que, por tanto, ampara la regulación. A este título competencial añade el Letrado del Parlamento de Cantabria los de “organización, régimen y funcionamiento de sus instituciones de gobierno” (art. 24.1 EACant) y “procedimiento administrativo derivado de las especialidades de la organización propia” (art. 25.32 EACant).</w:t>
      </w:r>
    </w:p>
    <w:p w:rsidR="00AC56D6" w:rsidRDefault="00AC56D6" w:rsidP="00AC56D6">
      <w:pPr>
        <w:pStyle w:val="TextoNormal"/>
      </w:pPr>
    </w:p>
    <w:p w:rsidR="00AC56D6" w:rsidRDefault="00AC56D6" w:rsidP="00AC56D6">
      <w:pPr>
        <w:pStyle w:val="TextoNormal"/>
      </w:pPr>
      <w:r>
        <w:t>Para enmarcar adecuadamente la materia es preciso analizar el precepto impugnado en su contexto normativo y examinar su significado y alcance.</w:t>
      </w:r>
    </w:p>
    <w:p w:rsidR="00AC56D6" w:rsidRDefault="00AC56D6" w:rsidP="00AC56D6">
      <w:pPr>
        <w:pStyle w:val="TextoNormal"/>
      </w:pPr>
    </w:p>
    <w:p w:rsidR="00AC56D6" w:rsidRDefault="00AC56D6" w:rsidP="00AC56D6">
      <w:pPr>
        <w:pStyle w:val="TextoNormal"/>
      </w:pPr>
      <w:r>
        <w:t xml:space="preserve">Como ya hemos visto, el precepto cuestionado, el art. 65 </w:t>
      </w:r>
      <w:r w:rsidRPr="00AC56D6">
        <w:rPr>
          <w:i/>
        </w:rPr>
        <w:t>bis</w:t>
      </w:r>
      <w:r>
        <w:t xml:space="preserve">.1 de la Ley cántabra 2/2001 introducido por la Ley 4/2013, crea la figura de la autorización provisional de edificaciones </w:t>
      </w:r>
      <w:r>
        <w:lastRenderedPageBreak/>
        <w:t>o actuaciones preexistentes declaradas ilegales y sobre las que recaen órdenes administrativas o judiciales de demolición con la finalidad de que la Administración pueda legalizarlas cautelarmente cuando se haya iniciado un procedimiento dirigido a la formación, modificación o revisión de los planes urbanísticos y demás instrumentos de planeamiento y las edificaciones resulten conformes con esta nueva ordenación en tramitación.</w:t>
      </w:r>
    </w:p>
    <w:p w:rsidR="00AC56D6" w:rsidRDefault="00AC56D6" w:rsidP="00AC56D6">
      <w:pPr>
        <w:pStyle w:val="TextoNormal"/>
      </w:pPr>
    </w:p>
    <w:p w:rsidR="00AC56D6" w:rsidRDefault="00AC56D6" w:rsidP="00AC56D6">
      <w:pPr>
        <w:pStyle w:val="TextoNormal"/>
      </w:pPr>
      <w:r>
        <w:t>Los apartados siguientes aclaran el régimen jurídico de estas autorizaciones provisionales y de las edificaciones y actuaciones amparadas por las mismas. Durante el tiempo en que las autorizaciones provisionales despliegan sus efectos, las edificaciones y actuaciones se mantienen en la situación en la que se encuentren y quedan en régimen de fuera de ordenación. Las autorizaciones se extinguen cuando se obtiene nueva licencia de obra que legaliza de forma definitiva la situación; cuando resultan contrarias a lo aprobado posteriormente sea en fase de aprobación inicial, provisional o definitiva; y cuando transcurren cuatro años desde su otorgamiento.</w:t>
      </w:r>
    </w:p>
    <w:p w:rsidR="00AC56D6" w:rsidRDefault="00AC56D6" w:rsidP="00AC56D6">
      <w:pPr>
        <w:pStyle w:val="TextoNormal"/>
      </w:pPr>
    </w:p>
    <w:p w:rsidR="00AC56D6" w:rsidRDefault="00AC56D6" w:rsidP="00AC56D6">
      <w:pPr>
        <w:pStyle w:val="TextoNormal"/>
      </w:pPr>
      <w:r>
        <w:t>El preámbulo de la Ley explica con claridad las razones que han llevado al legislador a crear esta figura de las autorizaciones provisionales de edificaciones ilegales preexistentes y los fines u objetivos a los que responde la regulación.</w:t>
      </w:r>
    </w:p>
    <w:p w:rsidR="00AC56D6" w:rsidRDefault="00AC56D6" w:rsidP="00AC56D6">
      <w:pPr>
        <w:pStyle w:val="TextoNormal"/>
      </w:pPr>
    </w:p>
    <w:p w:rsidR="00AC56D6" w:rsidRDefault="00AC56D6" w:rsidP="00AC56D6">
      <w:pPr>
        <w:pStyle w:val="TextoNormal"/>
      </w:pPr>
      <w:r>
        <w:t>Se expone en el preámbulo que “en muchos casos se está tramitando la formación, modificación o revisión de planeamiento que contempla ordenaciones conforme a las cuales, edificaciones o actuaciones que habían sido declaradas ilegales previamente, podrían obtener nuevas licencias de obra una vez que dichos planeamientos entrasen en vigor”. Se afirma que “en estos supuestos, si se demoliera lo que resulta conforme con el planeamiento municipal en tramitación antes de su aprobación definitiva, se daría la paradoja de que se podría volver a construir lo que acababa de ser demolido, con lo que se causarían perjuicios irreparables a los propietarios de dichas construcciones y, en muchos casos, al interés público”. Por ello, con la autorización provisional se pretende atender, según se dice en el preámbulo, a aquellas situaciones en las que “la nueva ordenación propuesta conlleva la conformidad a derecho de las edificaciones, obras o actuaciones que no encontraban amparo en la planificación que se modifica”. Con esa finalidad, según se explica, la modificación normativa opta por “conferir una mayor eficacia a los planeamientos en tramitación, y a proporcionar medios para evitar actuaciones irreversibles sobre edificaciones y actuaciones que resultarían ajustadas a Derecho en el nuevo planeamiento”.</w:t>
      </w:r>
    </w:p>
    <w:p w:rsidR="00AC56D6" w:rsidRDefault="00AC56D6" w:rsidP="00AC56D6">
      <w:pPr>
        <w:pStyle w:val="TextoNormal"/>
      </w:pPr>
    </w:p>
    <w:p w:rsidR="00AC56D6" w:rsidRDefault="00AC56D6" w:rsidP="00AC56D6">
      <w:pPr>
        <w:pStyle w:val="TextoNormal"/>
      </w:pPr>
      <w:r>
        <w:t xml:space="preserve">Nos encontramos, por tanto, con una regulación que crea una figura nueva, una autorización que permite legalizar las construcciones ilegales preexistentes y sobre las que penden —en lo que ahora interesa— órdenes judiciales de demolición, de tal forma que se impide su ejecución y se garantiza su continuidad aunque sea en situación de fuera de ordenación. En la medida en que el precepto se refiere a las órdenes de demolición judiciales, es evidente que la introducción de la autorización provisional que prevé el artículo 65 </w:t>
      </w:r>
      <w:r w:rsidRPr="00AC56D6">
        <w:rPr>
          <w:i/>
        </w:rPr>
        <w:t>bis</w:t>
      </w:r>
      <w:r>
        <w:t>.1 introduce una causa de suspensión de la ejecución que se impone al órgano judicial.</w:t>
      </w:r>
    </w:p>
    <w:p w:rsidR="00AC56D6" w:rsidRDefault="00AC56D6" w:rsidP="00AC56D6">
      <w:pPr>
        <w:pStyle w:val="TextoNormal"/>
      </w:pPr>
    </w:p>
    <w:p w:rsidR="00AC56D6" w:rsidRDefault="00AC56D6" w:rsidP="00AC56D6">
      <w:pPr>
        <w:pStyle w:val="TextoNormal"/>
      </w:pPr>
      <w:r>
        <w:t xml:space="preserve">Es cierto que la suspensión de la demolición no se produce </w:t>
      </w:r>
      <w:r w:rsidRPr="00AC56D6">
        <w:rPr>
          <w:i/>
        </w:rPr>
        <w:t>ex lege</w:t>
      </w:r>
      <w:r>
        <w:t xml:space="preserve">, puesto que es preciso el inicio de la tramitación de un nuevo planeamiento y el otorgamiento de la autorización provisional, pero no lo es menos que es la ley la que atribuye a la autorización provisional su efecto de impedir la ejecución de la Sentencia. En efecto, la regulación tiene la virtualidad de sustraer al órgano judicial su competencia para apreciar la concurrencia de una causa de </w:t>
      </w:r>
      <w:r>
        <w:lastRenderedPageBreak/>
        <w:t>imposibilidad legal de ejecutar una sentencia (art. 105.2 de la Ley reguladora de la jurisdicción contencioso-administrativa), esto es, para decidir sobre si el mero inicio de la tramitación de un plan de ordenación urbana constituye causa suficiente para el aplazamiento de la demolición y si, en consecuencia, procede o no la suspensión de la ejecución. Decisión que, además, el órgano judicial debería adoptar teniendo en cuenta que este Tribunal, en su Sentencia 22/2009, de 26 de enero, ya aclaró que “la decisión judicial de suspender una demolición acordada en sentencia firme sobre la base de una mera futura modificación de la normativa urbanística que, eventualmente, la legalizara, supone una vulneración del art. 24.1 CE, en su vertiente de derecho a la ejecución de las resoluciones judiciales firmes en sus propios términos” (STC 22/2009, de 26 de enero, FJ 3). Y ello porque “no puede aceptarse que sin haberse alterado los términos en los que la disputa procesal fue planteada y resuelta ante la Sala sentenciadora, se pretenda privar de efectos… al pronunciamiento judicial entonces emitido resultando sólo posible cuando concurran elementos que impidan física o jurídicamente su ejecución o que la dificulten por concurrir circunstancias sobrevenidas impeditivas” y “no puede admitirse que suponga un supuesto de imposibilidad legal o material la mera expectativa de un futuro cambio normativo, toda vez que ello no implica alteración alguna de los términos en los que la disputa procesal fue planteada y resuelta”.</w:t>
      </w:r>
    </w:p>
    <w:p w:rsidR="00AC56D6" w:rsidRDefault="00AC56D6" w:rsidP="00AC56D6">
      <w:pPr>
        <w:pStyle w:val="TextoNormal"/>
      </w:pPr>
    </w:p>
    <w:p w:rsidR="00AC56D6" w:rsidRDefault="00AC56D6" w:rsidP="00AC56D6">
      <w:pPr>
        <w:pStyle w:val="TextoNormal"/>
      </w:pPr>
      <w:r>
        <w:t xml:space="preserve">El efecto suspensivo que el artículo 65 </w:t>
      </w:r>
      <w:r w:rsidRPr="00AC56D6">
        <w:rPr>
          <w:i/>
        </w:rPr>
        <w:t>bis</w:t>
      </w:r>
      <w:r>
        <w:t>.1 atribuye a la autorización provisional implica que el legislador autonómico impone su propia valoración del impacto de la expectativa de cambio de ordenación urbana sobre la demolición ordenada en sentencia firme —valoración que, además, como acaba de exponerse, resulta contraria al art. 24.1 CE—, perdiendo, por tanto, el órgano judicial el control de la ejecución de su resolución. En consecuencia, es indudable que la regulación autonómica crea una causa de suspensión que los órganos judiciales, al estar prevista en norma con rango de ley, no pueden eludir y que merma la competencia que para la ejecución de las sentencias les corresponde.</w:t>
      </w:r>
    </w:p>
    <w:p w:rsidR="00AC56D6" w:rsidRDefault="00AC56D6" w:rsidP="00AC56D6">
      <w:pPr>
        <w:pStyle w:val="TextoNormal"/>
      </w:pPr>
    </w:p>
    <w:p w:rsidR="00AC56D6" w:rsidRDefault="00AC56D6" w:rsidP="00AC56D6">
      <w:pPr>
        <w:pStyle w:val="TextoNormal"/>
      </w:pPr>
      <w:r>
        <w:t>En definitiva, nos encontramos con una norma de contenido procesal, por lo que hay que atender a la distribución de competencias establecida en el art. 149.1.6 CE conforme a la cual la legislación procesal es competencia exclusiva del Estado, si bien las Comunidades Autónomas pueden establecer las especialidades procesales necesarias que se deriven de las particularidades del derecho sustantivo de las Comunidades Autónomas. Una competencia que, no obstante, tal y como ha señalado la Fiscal General del Estado, no ha sido asumida por la Comunidad Autónoma de Cantabria en su Estatuto de Autonomía, por lo que carece de ella.</w:t>
      </w:r>
    </w:p>
    <w:p w:rsidR="00AC56D6" w:rsidRDefault="00AC56D6" w:rsidP="00AC56D6">
      <w:pPr>
        <w:pStyle w:val="TextoNormal"/>
      </w:pPr>
    </w:p>
    <w:p w:rsidR="00AC56D6" w:rsidRDefault="00AC56D6" w:rsidP="00AC56D6">
      <w:pPr>
        <w:pStyle w:val="TextoNormal"/>
      </w:pPr>
      <w:r>
        <w:t>Pues bien, el precepto cuestionado regula, como se ha explicado más arriba, la ejecución de las sentencias en el proceso contencioso-administrativo creando una causa de suspensión específica en relación con las sentencias que ordenan la demolición de edificios ilegales, procediendo, por tanto, la aplicación de la doctrina que hemos establecido recientemente en nuestras Sentencias 92/2013, de 22 de abril; 82/2014, de 28 de mayo, y 149/2014, de 22 de septiembre, de acuerdo con la cual resulta incompatible con la reserva estatal en materia de legislación procesal —art. 149.1.6 CE— que el legislador autonómico establezca una causa de suspensión o aplazamiento de la ejecución de las sentencias que implican el derribo de las edificaciones, determinando que la ejecución de la Sentencia —como es aquí el caso por lo anteriormente expuesto— termina por escapar del control judicial, único competente para hacer ejecutar lo juzgado a tenor de lo dispuesto en el art. 117.3 CE.</w:t>
      </w:r>
    </w:p>
    <w:p w:rsidR="00AC56D6" w:rsidRDefault="00AC56D6" w:rsidP="00AC56D6">
      <w:pPr>
        <w:pStyle w:val="TextoNormal"/>
      </w:pPr>
    </w:p>
    <w:p w:rsidR="00AC56D6" w:rsidRDefault="00AC56D6" w:rsidP="00AC56D6">
      <w:pPr>
        <w:pStyle w:val="TextoNormal"/>
      </w:pPr>
      <w:r>
        <w:lastRenderedPageBreak/>
        <w:t xml:space="preserve">Por todo lo anteriormente expuesto, procede declarar la inconstitucionalidad del inciso “o judiciales” del art. 65 </w:t>
      </w:r>
      <w:r w:rsidRPr="00AC56D6">
        <w:rPr>
          <w:i/>
        </w:rPr>
        <w:t>bis</w:t>
      </w:r>
      <w:r>
        <w:t>.1 de la Ley cántabra 2/2001.</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 xml:space="preserve">Estimar la presente cuestión de inconstitucionalidad y declarar inconstitucional y nulo el inciso “o judiciales” del art. 65 </w:t>
      </w:r>
      <w:r w:rsidRPr="00AC56D6">
        <w:rPr>
          <w:i/>
        </w:rPr>
        <w:t>bis</w:t>
      </w:r>
      <w:r>
        <w:t>.1 de la Ley 2/2001, de 25 de junio, de ordenación territorial y de régimen urbanístico del suelo de Cantabria.</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treinta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11" w:name="SENTENCIA_2015_255"/>
      <w:r>
        <w:lastRenderedPageBreak/>
        <w:t>SENTENCIA 255/2015, de 30 de noviembre de 2015</w:t>
      </w:r>
    </w:p>
    <w:bookmarkEnd w:id="111"/>
    <w:p w:rsidR="00AC56D6" w:rsidRDefault="00AC56D6" w:rsidP="00AC56D6">
      <w:pPr>
        <w:pStyle w:val="TtuloResolucin"/>
      </w:pPr>
      <w:r>
        <w:t>Sala Segunda</w:t>
      </w:r>
    </w:p>
    <w:p w:rsidR="00AC56D6" w:rsidRDefault="00AC56D6" w:rsidP="00AC56D6">
      <w:pPr>
        <w:pStyle w:val="TtuloBOE"/>
      </w:pPr>
      <w:r>
        <w:t>(BOE núm. 10, de 12 de enero de 2016)</w:t>
      </w:r>
    </w:p>
    <w:p w:rsidR="00AC56D6" w:rsidRDefault="00AC56D6" w:rsidP="00AC56D6">
      <w:pPr>
        <w:pStyle w:val="TextoNormalCentrado"/>
      </w:pPr>
      <w:r>
        <w:t>ECLI:ES:TC:2015:255</w:t>
      </w:r>
    </w:p>
    <w:p w:rsidR="00AC56D6" w:rsidRDefault="00AC56D6" w:rsidP="00AC56D6">
      <w:pPr>
        <w:pStyle w:val="TextoNormalCentrado"/>
      </w:pPr>
    </w:p>
    <w:p w:rsidR="00AC56D6" w:rsidRDefault="00AC56D6" w:rsidP="00AC56D6">
      <w:pPr>
        <w:pStyle w:val="SntesisDescriptiva"/>
      </w:pPr>
      <w:r>
        <w:t>Cuestión de inconstitucionalidad 7045-2014. Cuestión de inconstitucionalidad 7045-2014. Planteada por la Sala de lo Contencioso-Administrativo del Tribunal Superior de Justicia de Andalucía, con sede en Sevilla, en relación con el artículo 17.8 de la Ley 17/2012, de 27 de diciembre, de presupuestos generales del Estado para el año 2013.</w:t>
      </w:r>
    </w:p>
    <w:p w:rsidR="00AC56D6" w:rsidRDefault="00AC56D6" w:rsidP="00AC56D6">
      <w:pPr>
        <w:pStyle w:val="SntesisDescriptiva"/>
      </w:pPr>
    </w:p>
    <w:p w:rsidR="00AC56D6" w:rsidRDefault="00AC56D6" w:rsidP="00AC56D6">
      <w:pPr>
        <w:pStyle w:val="SntesisAnaltica"/>
      </w:pPr>
      <w:r>
        <w:t>Límites materiales de las leyes de presupuestos, reserva de ley orgánica: inadmisión de la cuestión de inconstitucionalidad por inadecuada formulación del juicio de relevancia (STC 234/2015).</w:t>
      </w:r>
    </w:p>
    <w:p w:rsidR="00AC56D6" w:rsidRDefault="00AC56D6" w:rsidP="00AC56D6">
      <w:pPr>
        <w:pStyle w:val="SntesisAnaltica"/>
      </w:pPr>
    </w:p>
    <w:p w:rsidR="00AC56D6" w:rsidRDefault="00AC56D6" w:rsidP="00AC56D6">
      <w:pPr>
        <w:pStyle w:val="Extracto"/>
      </w:pPr>
      <w:r>
        <w:t>1.</w:t>
      </w:r>
      <w:r>
        <w:tab/>
        <w:t>Asunto sustancialmente idéntico al planteado en la STC 234/2015, que aplica la doctrina constitucional sobre la inadecuada formulación del juicio de relevancia [FJ 2].</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7045-2014 promovida por la Sección Tercera de la Sala de lo Contencioso-Administrativo del Tribunal Superior de Justicia de Andalucía, con sede en Sevilla, en relación con el art. 17.8 de la Ley 17/2012, de 27 de diciembre, de presupuestos generales del Estado para el año 2013. Ha comparecido y formulado alegaciones el Abogado del Estado. Ha intervenido la Fiscal General del Estado. Ha sido Ponente el Magistrado don Juan José González Rivas,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El día 21 de noviembre de 2014 tuvo entrada en el Registro General de este Tribunal escrito de la Sección Tercera de la Sala de lo Contencioso-Administrativo del Tribunal Superior de Justicia de Andalucía, con sede en Sevilla, al que se acompaña, junto con el testimonio del procedimiento correspondiente, el Auto de 27 de octubre de 2014, en el que se acuerda plantear cuestión de inconstitucionalidad sobre el art. 17.8 de la Ley 17/2012, de </w:t>
      </w:r>
      <w:r>
        <w:lastRenderedPageBreak/>
        <w:t>27 de diciembre, de presupuestos generales del Estado para el año 2013, por posible vulneración de los arts. 81.1 y 134.2 CE. El precepto cuestionado establece lo siguiente:</w:t>
      </w:r>
    </w:p>
    <w:p w:rsidR="00AC56D6" w:rsidRDefault="00AC56D6" w:rsidP="00AC56D6">
      <w:pPr>
        <w:pStyle w:val="TextoNormal"/>
      </w:pPr>
    </w:p>
    <w:p w:rsidR="00AC56D6" w:rsidRDefault="00AC56D6" w:rsidP="00AC56D6">
      <w:pPr>
        <w:pStyle w:val="TextoNormal"/>
      </w:pPr>
      <w:r>
        <w:t>“Lo establecido en este artículo será plenamente aplicable a la financiación de todos los centros concertados incluidos los de educación diferenciada que escolarizan alumnos de un solo sexo, y ello, con independencia del modelo de agrupamiento de alumnos que realicen los centros docentes en el ejercicio de sus competencias.”</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son, sucintamente expuestos, los siguientes:</w:t>
      </w:r>
    </w:p>
    <w:p w:rsidR="00AC56D6" w:rsidRDefault="00AC56D6" w:rsidP="00AC56D6">
      <w:pPr>
        <w:pStyle w:val="TextoNormal"/>
      </w:pPr>
    </w:p>
    <w:p w:rsidR="00AC56D6" w:rsidRDefault="00AC56D6" w:rsidP="00AC56D6">
      <w:pPr>
        <w:pStyle w:val="TextoNormal"/>
      </w:pPr>
      <w:r>
        <w:t>a) La asociación de madres y padres de alumnos del colegio Ribamar interpuso recurso contencioso-administrativo contra la Orden de 27 de febrero de 2013, de la Consejería de Educación de la Junta de Andalucía, por la que se resuelve la solicitud de renovación del concierto educativo con el centro docente privado “Ribamar”, de Sevilla, a partir del curso académico 2013/2014. Dicha orden denegaba el concierto educativo para el centro de su titularidad, por no cumplir con lo establecido en el art. 84.3 de la Ley Orgánica 2/2006, de 3 de mayo, de educación (LOE), en lo que se refiere a la no discriminación por razón de sexo, al no comprometerse a escolarizar alumnado de ambos sexos.</w:t>
      </w:r>
    </w:p>
    <w:p w:rsidR="00AC56D6" w:rsidRDefault="00AC56D6" w:rsidP="00AC56D6">
      <w:pPr>
        <w:pStyle w:val="TextoNormal"/>
      </w:pPr>
    </w:p>
    <w:p w:rsidR="00AC56D6" w:rsidRDefault="00AC56D6" w:rsidP="00AC56D6">
      <w:pPr>
        <w:pStyle w:val="TextoNormal"/>
      </w:pPr>
      <w:r>
        <w:t>b) La citada resolución fue recurrida en vía contencioso-administrativa ante la Sala antes citada del Tribunal Superior de Justicia, por entender que incurría en varios motivos de ilegalidad. Entre sus alegaciones, el escrito de demanda invocaba lo dispuesto en el art. 17.8 de la Ley 17/2012, de 27 de diciembre, de presupuestos generales del Estado para 2013, así como la nueva redacción del art. 84.3 LOE, que acababa de ser modificado por la Ley Orgánica 8/2013, de 9 de diciembre, para la mejora de la calidad educativa (LOMCE). El Letrado de la Junta de Andalucía, en la contestación a la demanda, alegaba entre otros aspectos la inconstitucionalidad de la nueva redacción del art. 84.3 LOE por lesionar el derecho de acceso en condiciones de igualdad en los centros educativos en la medida en que permite la educación diferenciada.</w:t>
      </w:r>
    </w:p>
    <w:p w:rsidR="00AC56D6" w:rsidRDefault="00AC56D6" w:rsidP="00AC56D6">
      <w:pPr>
        <w:pStyle w:val="TextoNormal"/>
      </w:pPr>
    </w:p>
    <w:p w:rsidR="00AC56D6" w:rsidRDefault="00AC56D6" w:rsidP="00AC56D6">
      <w:pPr>
        <w:pStyle w:val="TextoNormal"/>
      </w:pPr>
      <w:r>
        <w:t>c) Tras el trámite de prueba y de conclusiones, en el que el Letrado de la Junta de Andalucía advertía que la modificación del art. 84.3 LOE no sería de aplicación en el presente caso por haber entrado en vigor el 31 de diciembre de 2013, la Sala acordó mediante providencia de 27 de junio de 2014 dejar los autos pendientes de señalamiento para votación y fallo.</w:t>
      </w:r>
    </w:p>
    <w:p w:rsidR="00AC56D6" w:rsidRDefault="00AC56D6" w:rsidP="00AC56D6">
      <w:pPr>
        <w:pStyle w:val="TextoNormal"/>
      </w:pPr>
    </w:p>
    <w:p w:rsidR="00AC56D6" w:rsidRDefault="00AC56D6" w:rsidP="00AC56D6">
      <w:pPr>
        <w:pStyle w:val="TextoNormal"/>
      </w:pPr>
      <w:r>
        <w:t xml:space="preserve">d) El 4 de septiembre de 2014, dentro del plazo para dictar sentencia, se dictó por la Sala providencia dando plazo común para alegaciones a las partes y al Ministerio Fiscal sobre la pertinencia de plantear cuestión de inconstitucionalidad ante este Tribunal, por considerar que el art. 17.8 de la Ley 17/2012, de 27 de diciembre, de cuya validez depende el fallo, podría ser contrario a la Constitución, por vulneración de los arts. 81.1 y 134.2 CE. La Sala señala que tras la aprobación del mencionado precepto de la Ley de presupuestos generales del Estado para 2013, la Administración ya no puede seguir invocando la doctrina jurisprudencial formulada en interpretación de la redacción originaria del art. 83.4 LOE. Sin embargo, entiende que este precepto invade, por un lado, la reserva material de ley orgánica establecida en la Constitución para la regulación del derecho a la educación y excede, por </w:t>
      </w:r>
      <w:r>
        <w:lastRenderedPageBreak/>
        <w:t>otro, el contenido mínimo, necesario e indisponible de las leyes de presupuestos, sin que justifique el cumplimiento de los requisitos necesarios para ser incluido en este tipo de leyes.</w:t>
      </w:r>
    </w:p>
    <w:p w:rsidR="00AC56D6" w:rsidRDefault="00AC56D6" w:rsidP="00AC56D6">
      <w:pPr>
        <w:pStyle w:val="TextoNormal"/>
      </w:pPr>
    </w:p>
    <w:p w:rsidR="00AC56D6" w:rsidRDefault="00AC56D6" w:rsidP="00AC56D6">
      <w:pPr>
        <w:pStyle w:val="TextoNormal"/>
      </w:pPr>
      <w:r>
        <w:t>e) La parte actora en el proceso, mediante escrito de 30 de septiembre de 2014, defendió la constitucionalidad del precepto cuestionado, como resultado de la modificación del art. 84.3 LOE por medio del apartado sesenta y uno del artículo único de la LOMCE, al haber sido aprobado éste por ley orgánica. Por su parte, el Letrado de la Junta de Andalucía mediante escrito de 6 de octubre de 2014, consideró que procedía el planteamiento de la cuestión de inconstitucionalidad por entender que el art. 17.8 de la Ley 17/2012, de 27 de diciembre, infringe diversos preceptos de la Constitución: el art. 81.1 CE, ya que una ley orgánica no puede contener una regulación que afecte directamente a derechos fundamentales; los arts. 9.2 y 14 CE, por discriminación en los criterios de admisión del alumnado en los centros de educación diferenciada y la falta de motivación de esa diferencia; y los arts. 9.3, 66.2 y 134.2 CE, por exceso en el contenido constitucionalmente admisible de las leyes de presupuestos. Mediante escrito de 27 de octubre de 2014, sin pronunciarse sobre el fondo de la cuestión planteada y teniendo en cuenta los aspectos formales, el Ministerio Fiscal expresó la procedencia de interponer la cuestión de inconstitucionalidad.</w:t>
      </w:r>
    </w:p>
    <w:p w:rsidR="00AC56D6" w:rsidRDefault="00AC56D6" w:rsidP="00AC56D6">
      <w:pPr>
        <w:pStyle w:val="TextoNormal"/>
      </w:pPr>
    </w:p>
    <w:p w:rsidR="00AC56D6" w:rsidRDefault="00AC56D6" w:rsidP="00AC56D6">
      <w:pPr>
        <w:pStyle w:val="TextoNormal"/>
      </w:pPr>
      <w:r>
        <w:t>f) Finalmente, el órgano judicial dictó Auto de 27 de octubre de 2014, en el que acuerda plantear cuestión de inconstitucionalidad respecto al art. 17.8 de la Ley 17/2012, de 27 de diciembre, de presupuestos generales del Estado para el año 2013, por posible vulneración de los arts. 81.1 y 134.2 CE.</w:t>
      </w:r>
    </w:p>
    <w:p w:rsidR="00AC56D6" w:rsidRDefault="00AC56D6" w:rsidP="00AC56D6">
      <w:pPr>
        <w:pStyle w:val="TextoNormal"/>
      </w:pPr>
    </w:p>
    <w:p w:rsidR="00AC56D6" w:rsidRDefault="00AC56D6" w:rsidP="00AC56D6">
      <w:pPr>
        <w:pStyle w:val="TextoNormal"/>
      </w:pPr>
      <w:r w:rsidRPr="00AC56D6">
        <w:rPr>
          <w:rStyle w:val="NumeroAFNegritaCaracter"/>
        </w:rPr>
        <w:t>3</w:t>
      </w:r>
      <w:r>
        <w:t>. Del contenido del Auto interesa destacar lo siguiente:</w:t>
      </w:r>
    </w:p>
    <w:p w:rsidR="00AC56D6" w:rsidRDefault="00AC56D6" w:rsidP="00AC56D6">
      <w:pPr>
        <w:pStyle w:val="TextoNormal"/>
      </w:pPr>
    </w:p>
    <w:p w:rsidR="00AC56D6" w:rsidRDefault="00AC56D6" w:rsidP="00AC56D6">
      <w:pPr>
        <w:pStyle w:val="TextoNormal"/>
      </w:pPr>
      <w:r>
        <w:t>El órgano judicial razona que tras la entrada en vigor de la Ley Orgánica de educación resultaba conforme a derecho, de acuerdo con la jurisprudencia del Tribunal Supremo, que la Administración rechazase celebrar conciertos educativos con centros docentes privados donde no se escolarizan alumnos de ambos sexos, puesto que el art. 84.3 LOE prohíbe en los procesos de admisión de centros públicos y privados concertados toda discriminación por razón de sexo. El estado de la cuestión, prosigue, ha cambiado con la Ley 17/2012, cuyo artículo 17 relativo al “módulo económico de distribución de fondos públicos para sostenimiento de centros concertados” estableció, en su apartado ocho, que dicha norma es plenamente aplicable a la financiación de centros concertados, incluidos los de educación diferenciada que escolarizan alumnos de un solo sexo y ello con independencia del modelo de agrupamiento de alumnos que realicen los centros docentes en el ejercicio de sus competencias. De esta manera, si de acuerdo con la Ley Orgánica de educación los centros con educación diferenciada no podían acogerse a la financiación pública, tras la Ley de presupuestos la regla es la contraria. Este precepto habría sido vulnerado por la resolución impugnada en el pleito principal, de modo que en su aplicación habría que dar razón a la recurrente en el pleito. No obstante, expresa dos dudas sobre la constitucionalidad de ese cambio de criterio adoptado por la Ley de presupuestos:</w:t>
      </w:r>
    </w:p>
    <w:p w:rsidR="00AC56D6" w:rsidRDefault="00AC56D6" w:rsidP="00AC56D6">
      <w:pPr>
        <w:pStyle w:val="TextoNormal"/>
      </w:pPr>
    </w:p>
    <w:p w:rsidR="00AC56D6" w:rsidRDefault="00AC56D6" w:rsidP="00AC56D6">
      <w:pPr>
        <w:pStyle w:val="TextoNormal"/>
      </w:pPr>
      <w:r>
        <w:t xml:space="preserve">a) La primera, relativa a la reserva a ley orgánica de la regulación de los aspectos esenciales de un derecho fundamental. Entiende el órgano judicial que el sistema de la educación diferenciada no se había puesto en duda hasta la aprobación de la Ley Orgánica de educación en 2006, cuyo artículo 84.3 prohíbe expresamente en el régimen de admisión de alumnos la discriminación por razón de sexo. Dicho precepto, conforme a la interpretación realizada </w:t>
      </w:r>
      <w:r>
        <w:lastRenderedPageBreak/>
        <w:t>por el Tribunal Supremo comporta que la educación separada por sexos dejó de estar autorizada para los centros docentes sostenidos con fondos públicos. Asimismo pone de relieve que con posterioridad se ha reformado la Ley Orgánica de educación, dando al artículo 84.3 la siguiente redacción: “no constituye discriminación la admisión de alumnos y alumnas o la organización de la enseñanza diferenciadas por sexos, siempre que la enseñanza que impartan se desarrolle conforme a lo dispuesto en el artículo 2 de la Convención relativa a la lucha contra las discriminaciones en la esfera de la enseñanza, aprobada por la Conferencia General de la UNESCO el 14 de diciembre de 1960”.</w:t>
      </w:r>
    </w:p>
    <w:p w:rsidR="00AC56D6" w:rsidRDefault="00AC56D6" w:rsidP="00AC56D6">
      <w:pPr>
        <w:pStyle w:val="TextoNormal"/>
      </w:pPr>
    </w:p>
    <w:p w:rsidR="00AC56D6" w:rsidRDefault="00AC56D6" w:rsidP="00AC56D6">
      <w:pPr>
        <w:pStyle w:val="TextoNormal"/>
      </w:pPr>
      <w:r>
        <w:t>b) Relativa a los límites constitucionales de la ley de presupuestos. La doctrina constitucional (STC 76/1992, de 16 de junio), establece los límites de las leyes de presupuestos, distinguiendo entre (i) el contenido mínimo, necesario e indisponible y (ii) el contenido posible, no necesario y eventual, para el que se requiere una relación directa con los gastos e ingresos que integran el presupuesto o con los criterios de política económica de la que el presupuesto es instrumento. El precepto impugnado podría no cumplir los límites establecidos, por no estar justificada su inclusión en la ley de presupuestos como contenido posible de la misma. Aunque pueda tener una relación directa con los ingresos o gastos del Estado, es dudoso que sea complemento necesario para la mejor inteligencia del presupuesto o para su eficaz y mejor ejecución.</w:t>
      </w:r>
    </w:p>
    <w:p w:rsidR="00AC56D6" w:rsidRDefault="00AC56D6" w:rsidP="00AC56D6">
      <w:pPr>
        <w:pStyle w:val="TextoNormal"/>
      </w:pPr>
    </w:p>
    <w:p w:rsidR="00AC56D6" w:rsidRDefault="00AC56D6" w:rsidP="00AC56D6">
      <w:pPr>
        <w:pStyle w:val="TextoNormal"/>
      </w:pPr>
      <w:r w:rsidRPr="00AC56D6">
        <w:rPr>
          <w:rStyle w:val="NumeroAFNegritaCaracter"/>
        </w:rPr>
        <w:t>4</w:t>
      </w:r>
      <w:r>
        <w:t>. Mediante providencia de 3 de febrero de 2015, el Pleno, a propuesta de la Sección Tercera, acuerda admitir a trámite la presente cuestión de inconstitucionalidad; deferir a la Sala Segunda, que por turno objetivo le corresponde, el conocimiento de la misma; dar traslado de las actuaciones recibidas, conforme establece el art. 37.3 de la Ley Orgánica del Tribunal Constitucional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la presente resolución a la Sección Tercera de la Sala de lo Contencioso-Administrativo del Tribunal Superior de Andalucía, con sede en Sevilla, a fin de que, de conformidad con lo dispuesto en el art. 35.3 LOTC, permanezca suspendido el proceso hasta que este Tribunal resuelva definitivamente la presente cuestión. Finalmente se ordenó publicar la incoación de la cuestión en el “Boletín Oficial del Estado”, que se realizó en el “Boletín” del 12 de febrero de 2015.</w:t>
      </w:r>
    </w:p>
    <w:p w:rsidR="00AC56D6" w:rsidRDefault="00AC56D6" w:rsidP="00AC56D6">
      <w:pPr>
        <w:pStyle w:val="TextoNormal"/>
      </w:pPr>
    </w:p>
    <w:p w:rsidR="00AC56D6" w:rsidRDefault="00AC56D6" w:rsidP="00AC56D6">
      <w:pPr>
        <w:pStyle w:val="TextoNormal"/>
      </w:pPr>
      <w:r w:rsidRPr="00AC56D6">
        <w:rPr>
          <w:rStyle w:val="NumeroAFNegritaCaracter"/>
        </w:rPr>
        <w:t>5</w:t>
      </w:r>
      <w:r>
        <w:t>. El Presidente del Congreso de los Diputados, en escrito registrado en fecha 17 de febrero de 2015, comunicó a este Tribunal que la Mesa de la Cámara adoptó el acuerdo de personarse en el proceso, ofreciendo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6</w:t>
      </w:r>
      <w:r>
        <w:t>. El Presidente del Senado mediante escrito registrado en este Tribunal el día 18 de febrero de 2015 comunicó a este Tribunal que la Mesa de la Cámara adoptó el acuerdo de personarse en el proceso, ofreciendo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7</w:t>
      </w:r>
      <w:r>
        <w:t>. El 3 de marzo de 2015 se personó en el proceso el Abogado del Estado, en nombre del Gobierno, e interesó la desestimación de la cuestión por las razones que a continuación se resumen.</w:t>
      </w:r>
    </w:p>
    <w:p w:rsidR="00AC56D6" w:rsidRDefault="00AC56D6" w:rsidP="00AC56D6">
      <w:pPr>
        <w:pStyle w:val="TextoNormal"/>
      </w:pPr>
    </w:p>
    <w:p w:rsidR="00AC56D6" w:rsidRDefault="00AC56D6" w:rsidP="00AC56D6">
      <w:pPr>
        <w:pStyle w:val="TextoNormal"/>
      </w:pPr>
      <w:r>
        <w:lastRenderedPageBreak/>
        <w:t>Tras exponer los antecedentes del caso precisa que, a su juicio, la duda de constitucionalidad planteada se limita a la posible vulneración de los arts. 81.1 y 134.2 CE, y no otros preceptos como el art. 14 CE o el art. 9.3 CE, alegados por una de las partes en el proceso judicial. A continuación, expone el sistema de conciertos educativos previsto en la Ley Orgánica de educación, señalando que dicha norma no establece prohibición expresa alguna de financiación pública de centros privados que practiquen la educación diferenciada.</w:t>
      </w:r>
    </w:p>
    <w:p w:rsidR="00AC56D6" w:rsidRDefault="00AC56D6" w:rsidP="00AC56D6">
      <w:pPr>
        <w:pStyle w:val="TextoNormal"/>
      </w:pPr>
    </w:p>
    <w:p w:rsidR="00AC56D6" w:rsidRDefault="00AC56D6" w:rsidP="00AC56D6">
      <w:pPr>
        <w:pStyle w:val="TextoNormal"/>
      </w:pPr>
      <w:r>
        <w:t>El Abogado del Estado comienza advirtiendo que el Auto de planteamiento de la cuestión no desarrolla sino de manera mínima la posible vulneración del art. 81.1 CE, y afirma que a su juicio no puede sostenerse que el art. 17.8 de la Ley 17/2012 suponga una innovación normativa que incida en el núcleo esencial del derecho fundamental a la educación, conforme a la doctrina constitucional.</w:t>
      </w:r>
    </w:p>
    <w:p w:rsidR="00AC56D6" w:rsidRDefault="00AC56D6" w:rsidP="00AC56D6">
      <w:pPr>
        <w:pStyle w:val="TextoNormal"/>
      </w:pPr>
    </w:p>
    <w:p w:rsidR="00AC56D6" w:rsidRDefault="00AC56D6" w:rsidP="00AC56D6">
      <w:pPr>
        <w:pStyle w:val="TextoNormal"/>
      </w:pPr>
      <w:r>
        <w:t xml:space="preserve">En su opinión, el art. 17 de la Ley 17/2012 lo que hace es concretar, para el ejercicio 2013, las previsiones de los arts. 116 y ss. LOE. Estos preceptos no tienen carácter orgánico, por lo que menos pueden tenerlo las previsiones dictadas en su desarrollo que, además, tienen un carácter temporal limitado a un ejercicio presupuestario. El artículo 17.8 cuestionado establece una concreción del ámbito subjetivo de los conciertos que es necesaria para la aplicación de las previsiones presupuestarias. Si bien admite que es cierto que la Ley se dicta en un momento en que la jurisprudencia del Tribunal Supremo entendió que los centros de educación diferenciada contrarían el principio de igualdad en su vertiente relativa a la no discriminación por razón de sexo, </w:t>
      </w:r>
      <w:r w:rsidRPr="00AC56D6">
        <w:rPr>
          <w:i/>
        </w:rPr>
        <w:t>ex</w:t>
      </w:r>
      <w:r>
        <w:t xml:space="preserve"> art. 84.3 LOE y no podían ser beneficiarios de conciertos educativos, insiste en que la Ley Orgánica de educación no contenía una previsión expresa al respecto. A su parecer, el artículo 17.8 no introduce una previsión sustantiva contraria o diferente al art. 84.3 LOE, aunque lo interprete de una manera diferente al Tribunal Supremo. Esta diferente interpretación, al entender incluidos dentro del ámbito subjetivo de los centros docentes susceptibles de ser concertados a los de educación diferenciada, no invade el ámbito reservado a la ley orgánica, en cuanto no supone el desarrollo del núcleo esencial del derecho a la educación. Es cierto que la modificación de la Ley Orgánica de educación por la Ley Orgánica 8/2013, de 9 de diciembre, introdujo la afirmación explícita de que el modelo de enseñanza diferenciada para alumnos y alumnas no constituye una discriminación por razón de sexo, de manera que los centros de educación diferenciada tienen derecho, si cumplen con las condiciones legales exigibles, al concierto educativo para su financiación. Pero esta formulación legal en realidad sólo pretende aclarar o interpretar las previsiones de la redacción anterior del art. 84.3 LOE. Por tanto, se concluye que la previsión del art. 17.8 de la Ley 17/2012 no afecta a la reserva de ley orgánica por lo que este motivo de inconstitucionalidad debe ser rechazado.</w:t>
      </w:r>
    </w:p>
    <w:p w:rsidR="00AC56D6" w:rsidRDefault="00AC56D6" w:rsidP="00AC56D6">
      <w:pPr>
        <w:pStyle w:val="TextoNormal"/>
      </w:pPr>
    </w:p>
    <w:p w:rsidR="00AC56D6" w:rsidRDefault="00AC56D6" w:rsidP="00AC56D6">
      <w:pPr>
        <w:pStyle w:val="TextoNormal"/>
      </w:pPr>
      <w:r>
        <w:t xml:space="preserve">En segundo lugar, el Abogado del Estado rechaza, asimismo, que el artículo cuestionado vulnere el art. 134.2 CE, atendiendo a la doctrina constitucional sobre el contenido de la Ley de presupuestos. Partiendo de esta doctrina, recapitulada en nuestra STC 152/2014, de 25 de septiembre, entiende que el artículo 17.8 forma parte del denominado “contenido eventual” de la Ley de presupuestos, puesto que no constituye una modificación sustantiva del ordenamiento jurídico, tiene un carácter limitado en el ámbito temporal, y tiene una conexión económica o presupuestaria evidente que se fundamenta en la remisión que el art. 117 LOE realiza a las leyes de presupuestos generales del Estado. La concreción del ámbito subjetivo de los centros beneficiarios de conciertos educativos es un elemento esencial para poder prever las habilitaciones presupuestarias necesarias. La incidencia en la ordenación </w:t>
      </w:r>
      <w:r>
        <w:lastRenderedPageBreak/>
        <w:t>del programa anual de gastos es necesaria y principal, y por ello suficiente para legitimar su inclusión en la ley de presupuestos. Se trata de una conexión con el objeto del presupuesto (habilitación de gastos) que es directa, inmediata y querida por la norma. La inclusión de los centros concertados en los módulos de concierto tiene relación con los estados de gasto de los presupuestos generales del Estado al tratar sobre la financiación de centros docentes concertados con cargo a los presupuestos de las Administraciones públicas.</w:t>
      </w:r>
    </w:p>
    <w:p w:rsidR="00AC56D6" w:rsidRDefault="00AC56D6" w:rsidP="00AC56D6">
      <w:pPr>
        <w:pStyle w:val="TextoNormal"/>
      </w:pPr>
    </w:p>
    <w:p w:rsidR="00AC56D6" w:rsidRDefault="00AC56D6" w:rsidP="00AC56D6">
      <w:pPr>
        <w:pStyle w:val="TextoNormal"/>
      </w:pPr>
      <w:r w:rsidRPr="00AC56D6">
        <w:rPr>
          <w:rStyle w:val="NumeroAFNegritaCaracter"/>
        </w:rPr>
        <w:t>8</w:t>
      </w:r>
      <w:r>
        <w:t>. El 6 de marzo de 2015 se registró en este Tribunal el escrito de alegaciones de la Fiscal General del Estado, interesando la desestimación de la cuestión por las razones que se resumen a continuación.</w:t>
      </w:r>
    </w:p>
    <w:p w:rsidR="00AC56D6" w:rsidRDefault="00AC56D6" w:rsidP="00AC56D6">
      <w:pPr>
        <w:pStyle w:val="TextoNormal"/>
      </w:pPr>
    </w:p>
    <w:p w:rsidR="00AC56D6" w:rsidRDefault="00AC56D6" w:rsidP="00AC56D6">
      <w:pPr>
        <w:pStyle w:val="TextoNormal"/>
      </w:pPr>
      <w:r>
        <w:t>En primer lugar, se exponen los antecedentes de hecho de la cuestión, se reproduce literalmente el contenido del art. 17 y de los anexos IV y V de la Ley 17/2012, de 27 de diciembre, de presupuestos generales del Estado para 2013, y se resumen los argumentos en que se funda el propio Auto de planteamiento de la cuestión, destacando que al no haber incorporado éste la posible inconstitucionalidad del precepto cuestionado por contravención de los arts. 9.2 y 14 CE no es posible entrar a argumentar si la prescripción establecida por la ley de presupuestos viene a incidir en el principio de no discriminación por razón de sexo.</w:t>
      </w:r>
    </w:p>
    <w:p w:rsidR="00AC56D6" w:rsidRDefault="00AC56D6" w:rsidP="00AC56D6">
      <w:pPr>
        <w:pStyle w:val="TextoNormal"/>
      </w:pPr>
    </w:p>
    <w:p w:rsidR="00AC56D6" w:rsidRDefault="00AC56D6" w:rsidP="00AC56D6">
      <w:pPr>
        <w:pStyle w:val="TextoNormal"/>
      </w:pPr>
      <w:r>
        <w:t>Antes de abordar el examen de fondo de las cuestiones planteadas en el Auto, el escrito de alegaciones analiza la pervivencia del objeto, puesto que las previsiones legales cuestionadas sólo se refieren al ejercicio presupuestario de 2013, ya cerrado, si bien llega a la conclusión de que, conforme a la doctrina de este Tribunal, la vigencia temporal de las leyes de presupuestos no comporta la pérdida de objeto del examen de constitucionalidad una vez concluido el ejercicio.</w:t>
      </w:r>
    </w:p>
    <w:p w:rsidR="00AC56D6" w:rsidRDefault="00AC56D6" w:rsidP="00AC56D6">
      <w:pPr>
        <w:pStyle w:val="TextoNormal"/>
      </w:pPr>
    </w:p>
    <w:p w:rsidR="00AC56D6" w:rsidRDefault="00AC56D6" w:rsidP="00AC56D6">
      <w:pPr>
        <w:pStyle w:val="TextoNormal"/>
      </w:pPr>
      <w:r>
        <w:t>En cuanto al fondo del asunto, considera, en primer lugar, que el art. 17.8 de la Ley 17/2012 no vulnera el art. 134.2 CE, conforme a la doctrina constitucional sobre los límites de las leyes de presupuestos. A su juicio, la regulación prevista en el citado precepto no puede ser escindida de su contexto, constituido no sólo por los números 1 a 7 del art. 17, sino también por los anexos IV y V de esa misma Ley. Y, así considerada, la norma cuestionada, en cuanto dispone que esa regulación es plenamente aplicable a la financiación de todos los centros concertados, también a los de educación diferenciada que escolarizan alumnos de un solo sexo, no hace sino extender a éstos una serie de disposiciones que, tal y como se ha justificado, obedecen sin ningún género de dudas al “contenido propio” o “núcleo esencial” del presupuesto.</w:t>
      </w:r>
    </w:p>
    <w:p w:rsidR="00AC56D6" w:rsidRDefault="00AC56D6" w:rsidP="00AC56D6">
      <w:pPr>
        <w:pStyle w:val="TextoNormal"/>
      </w:pPr>
    </w:p>
    <w:p w:rsidR="00AC56D6" w:rsidRDefault="00AC56D6" w:rsidP="00AC56D6">
      <w:pPr>
        <w:pStyle w:val="TextoNormal"/>
      </w:pPr>
      <w:r>
        <w:t xml:space="preserve">En segundo lugar, considera que el precepto cuestionado tampoco vulnera el art. 81.1 CE. Se invoca a tal efecto nuestra STC 151/2014, de 25 de septiembre, FJ 4, en la que se circunscribe la reserva de ley orgánica a la regulación que desarrolle la Constitución de manera directa y en elementos esenciales para la definición de un derecho fundamental, así como la previsión del ámbito de un derecho y la fijación de sus límites en relación con otras libertades constitucionalmente protegidas. De manera que la previsión de la Ley de presupuestos por la que expresamente se entiende aplicable el régimen de financiación de los centros concertados a los de educación diferenciada no supondría ninguna intromisión directa en los elementos esenciales de definición del derecho fundamental a la educación. En este sentido se invoca la doctrina establecida en la STC 86/1985, de 10 de julio, FJ 3, que afirma que el art. 27.9 CE ni enuncia un derecho fundamental a la prestación pública, ni </w:t>
      </w:r>
      <w:r>
        <w:lastRenderedPageBreak/>
        <w:t xml:space="preserve">encierra un derecho subjetivo a la prestación pública. Si, además, tal prestación pública debe ser dispuesta por la Ley, parece obvio concluir que esta materia no forma parte esencial del derecho consagrado en el art. 27.9 CE. Siendo esto así, resulta igualmente obvio que no existe un deber </w:t>
      </w:r>
      <w:r w:rsidRPr="00AC56D6">
        <w:rPr>
          <w:i/>
        </w:rPr>
        <w:t>ex constitutione</w:t>
      </w:r>
      <w:r>
        <w:t xml:space="preserve"> de regular tal materia mediante Ley Orgánica.</w:t>
      </w:r>
    </w:p>
    <w:p w:rsidR="00AC56D6" w:rsidRDefault="00AC56D6" w:rsidP="00AC56D6">
      <w:pPr>
        <w:pStyle w:val="TextoNormal"/>
      </w:pPr>
    </w:p>
    <w:p w:rsidR="00AC56D6" w:rsidRDefault="00AC56D6" w:rsidP="00AC56D6">
      <w:pPr>
        <w:pStyle w:val="TextoNormal"/>
      </w:pPr>
      <w:r w:rsidRPr="00AC56D6">
        <w:rPr>
          <w:rStyle w:val="NumeroAFNegritaCaracter"/>
        </w:rPr>
        <w:t>9</w:t>
      </w:r>
      <w:r>
        <w:t>. Por providencia de 26 de noviembre de 2015 se señaló para deliberación y votación de la presente Sentencia el día 30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Sección Tercera de la Sala de lo Contencioso-Administrativo del Tribunal Superior de Justicia de Andalucía, con sede en Sevilla, plantea cuestión de inconstitucionalidad respecto del art. 17.8 de la Ley 17/2012, de 27 de diciembre, de presupuestos generales del Estado para el año 2013 (en adelante, Ley 17/2012).</w:t>
      </w:r>
    </w:p>
    <w:p w:rsidR="00AC56D6" w:rsidRDefault="00AC56D6" w:rsidP="00AC56D6">
      <w:pPr>
        <w:pStyle w:val="TextoNormal"/>
      </w:pPr>
    </w:p>
    <w:p w:rsidR="00AC56D6" w:rsidRDefault="00AC56D6" w:rsidP="00AC56D6">
      <w:pPr>
        <w:pStyle w:val="TextoNormal"/>
      </w:pPr>
      <w:r>
        <w:t>El art. 17 de la citada Ley regula el módulo económico de distribución de fondos públicos para sostenimiento de centros concertados, en cumplimiento, conforme se indica en su primer apartado, de lo dispuesto en el art. 117 de la Ley Orgánica 2/2006, de 3 de mayo, de educación (LOE). Este precepto determina que se fijará anualmente en los presupuestos generales del Estado el importe del módulo económico por unidad escolar, a efectos de distribución de la cuantía global de los fondos públicos destinados al sostenimiento de los centros privados concertados para hacer efectiva la gratuidad de las enseñanzas objeto de concierto. Asimismo, establece los diferentes conceptos que integran dicho módulo (salarios del personal docente, cantidades asignadas a otros gastos y cantidades para atender al pago de diferentes aspectos como la antigüedad, las sustituciones o el ejercicio de la función directiva).</w:t>
      </w:r>
    </w:p>
    <w:p w:rsidR="00AC56D6" w:rsidRDefault="00AC56D6" w:rsidP="00AC56D6">
      <w:pPr>
        <w:pStyle w:val="TextoNormal"/>
      </w:pPr>
    </w:p>
    <w:p w:rsidR="00AC56D6" w:rsidRDefault="00AC56D6" w:rsidP="00AC56D6">
      <w:pPr>
        <w:pStyle w:val="TextoNormal"/>
      </w:pPr>
      <w:r>
        <w:t>El apartado 8 del art. 17 de la Ley 17/2012, objeto del presente proceso constitucional, determina lo siguiente:</w:t>
      </w:r>
    </w:p>
    <w:p w:rsidR="00AC56D6" w:rsidRDefault="00AC56D6" w:rsidP="00AC56D6">
      <w:pPr>
        <w:pStyle w:val="TextoNormal"/>
      </w:pPr>
    </w:p>
    <w:p w:rsidR="00AC56D6" w:rsidRDefault="00AC56D6" w:rsidP="00AC56D6">
      <w:pPr>
        <w:pStyle w:val="TextoNormal"/>
      </w:pPr>
      <w:r>
        <w:t>“Lo establecido en este artículo será plenamente aplicable a la financiación de todos los centros concertados incluidos los de educación diferenciada que escolarizan alumnos de un solo sexo, y ello, con independencia del modelo de agrupamiento de alumnos que realicen los centros docentes en el ejercicio de sus competencias.”</w:t>
      </w:r>
    </w:p>
    <w:p w:rsidR="00AC56D6" w:rsidRDefault="00AC56D6" w:rsidP="00AC56D6">
      <w:pPr>
        <w:pStyle w:val="TextoNormal"/>
      </w:pPr>
    </w:p>
    <w:p w:rsidR="00AC56D6" w:rsidRDefault="00AC56D6" w:rsidP="00AC56D6">
      <w:pPr>
        <w:pStyle w:val="TextoNormal"/>
      </w:pPr>
      <w:r>
        <w:t>En síntesis, entiende el órgano judicial que el art. 17.8 de la Ley 17/2012 podría vulnerar tanto el art. 81.1 CE, pues está reservado a la ley orgánica regular aspectos esenciales de un derecho fundamental, como el art. 134.2 CE, por no poder considerarse dicho párrafo contenido, ni necesario ni eventual, de la Ley de presupuestos, conforme a la doctrina constitucional.</w:t>
      </w:r>
    </w:p>
    <w:p w:rsidR="00AC56D6" w:rsidRDefault="00AC56D6" w:rsidP="00AC56D6">
      <w:pPr>
        <w:pStyle w:val="TextoNormal"/>
      </w:pPr>
    </w:p>
    <w:p w:rsidR="00AC56D6" w:rsidRDefault="00AC56D6" w:rsidP="00AC56D6">
      <w:pPr>
        <w:pStyle w:val="TextoNormal"/>
      </w:pPr>
      <w:r>
        <w:t>Como se ha dejado constancia en los antecedentes, tanto el Abogado del Estado como la Fiscal General del Estado interesan la desestimación de la cuestión, por considerar que no concurren las vulneraciones constitucionales apreciadas por el órgano judicial.</w:t>
      </w:r>
    </w:p>
    <w:p w:rsidR="00AC56D6" w:rsidRDefault="00AC56D6" w:rsidP="00AC56D6">
      <w:pPr>
        <w:pStyle w:val="TextoNormal"/>
      </w:pPr>
    </w:p>
    <w:p w:rsidR="00AC56D6" w:rsidRDefault="00AC56D6" w:rsidP="00AC56D6">
      <w:pPr>
        <w:pStyle w:val="TextoNormal"/>
      </w:pPr>
      <w:r w:rsidRPr="00AC56D6">
        <w:rPr>
          <w:rStyle w:val="NumeroAFNegritaCaracter"/>
        </w:rPr>
        <w:t>2</w:t>
      </w:r>
      <w:r>
        <w:t xml:space="preserve">. Antes de entrar en el examen del fondo de esta cuestión, es necesario valorar previamente la concurrencia de los requisitos exigidos para el válido planteamiento de la cuestión </w:t>
      </w:r>
      <w:r>
        <w:lastRenderedPageBreak/>
        <w:t>de inconstitucionalidad. Dado que la tramitación específica establecida en el art. 37.1 de la Ley Orgánica del Tribunal Constitucional (LOTC) no tiene carácter preclusivo, cabe apreciar mediante sentencia en la fase de resolución de un proceso, y no solo en el trámite de admisión previsto en ese precepto, la ausencia de esos requisitos, tanto procesales como de fundamentación, para plantear ante este Tribunal cuestiones de inconstitucionalidad (por todas STC 201/2015, de 24 de septiembre, FJ 2).</w:t>
      </w:r>
    </w:p>
    <w:p w:rsidR="00AC56D6" w:rsidRDefault="00AC56D6" w:rsidP="00AC56D6">
      <w:pPr>
        <w:pStyle w:val="TextoNormal"/>
      </w:pPr>
    </w:p>
    <w:p w:rsidR="00AC56D6" w:rsidRDefault="00AC56D6" w:rsidP="00AC56D6">
      <w:pPr>
        <w:pStyle w:val="TextoNormal"/>
      </w:pPr>
      <w:r>
        <w:t>Es preciso recordar, de acuerdo con la STC 79/2015, de 30 de abril, FJ 3, que los apartados 1 y 2 del art. 35 LOTC exigen, respectivamente, que la norma con rango de ley cuya constitucionalidad ofrezca dudas a un juez o tribunal sea aplicable al caso y de su validez dependa el fallo, así como que el órgano judicial especifique o justifique en el Auto de planteamiento de la cuestión en qué medida la decisión del proceso depende de dicha validez. En atención a lo expuesto, es exigible que la norma cuestionada supere el llamado juicio de relevancia, que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de 25 de septiembre, FJ 2).</w:t>
      </w:r>
    </w:p>
    <w:p w:rsidR="00AC56D6" w:rsidRDefault="00AC56D6" w:rsidP="00AC56D6">
      <w:pPr>
        <w:pStyle w:val="TextoNormal"/>
      </w:pPr>
    </w:p>
    <w:p w:rsidR="00AC56D6" w:rsidRDefault="00AC56D6" w:rsidP="00AC56D6">
      <w:pPr>
        <w:pStyle w:val="TextoNormal"/>
      </w:pPr>
      <w:r>
        <w:t>De ahí que este Tribunal haya estimado que debe darse una verdadera “dependencia” (STC 189/1991, de 3 de octubre, FJ 2), o un “nexo de subordinación”, entre el fallo del proceso y la validez de la norma cuestionada (STC 157/1990, de 18 de octubre, FJ 1). No basta con que el Tribunal ordinario considere que la norma es aplicable al caso, sino que también ha de satisfacerse el requisito de la relevancia ya que la aplicabilidad de la norma es condición necesaria para que el fallo dependa de su validez, pero no es, en modo alguno, condición suficiente (SSTC 17/1981, de 1 de junio, FJ 4, y 156/2014, FJ 2).</w:t>
      </w:r>
    </w:p>
    <w:p w:rsidR="00AC56D6" w:rsidRDefault="00AC56D6" w:rsidP="00AC56D6">
      <w:pPr>
        <w:pStyle w:val="TextoNormal"/>
      </w:pPr>
    </w:p>
    <w:p w:rsidR="00AC56D6" w:rsidRDefault="00AC56D6" w:rsidP="00AC56D6">
      <w:pPr>
        <w:pStyle w:val="TextoNormal"/>
      </w:pPr>
      <w:r>
        <w:t>Igualmente este Tribunal tiene declarado que no le corresponde sustituir o rectificar el criterio del órgano judicial al respecto, salvo en los casos en que de manera notoria, sin necesidad de examinar el fondo debatido y en aplicación de principios jurídicos básicos, se advierta que la argumentación judicial en relación con dicho juicio de relevancia carece de consistencia (por todas, STC 60/2013, de 13 de marzo, FJ 1; y doctrina allí citada).</w:t>
      </w:r>
    </w:p>
    <w:p w:rsidR="00AC56D6" w:rsidRDefault="00AC56D6" w:rsidP="00AC56D6">
      <w:pPr>
        <w:pStyle w:val="TextoNormal"/>
      </w:pPr>
    </w:p>
    <w:p w:rsidR="00AC56D6" w:rsidRDefault="00AC56D6" w:rsidP="00AC56D6">
      <w:pPr>
        <w:pStyle w:val="TextoNormal"/>
      </w:pPr>
      <w:r>
        <w:t xml:space="preserve">La relevancia de la norma impugnada para el proceso </w:t>
      </w:r>
      <w:r w:rsidRPr="00AC56D6">
        <w:rPr>
          <w:i/>
        </w:rPr>
        <w:t>a quo</w:t>
      </w:r>
      <w:r>
        <w:t xml:space="preserve"> es, por tanto, condición anterior desde un punto de vista lógico al requisito de la argumentación suficiente de la duda de constitucionalidad, pues asegura el carácter concreto del control de constitucionalidad que informa este tipo de procesos constitucionales, de manera que un defecto en su adecuada formulación en los términos exigidos por nuestra doctrina debería conducir a excluir todo enjuiciamiento de fondo por este Tribunal.</w:t>
      </w:r>
    </w:p>
    <w:p w:rsidR="00AC56D6" w:rsidRDefault="00AC56D6" w:rsidP="00AC56D6">
      <w:pPr>
        <w:pStyle w:val="TextoNormal"/>
      </w:pPr>
    </w:p>
    <w:p w:rsidR="00AC56D6" w:rsidRDefault="00AC56D6" w:rsidP="00AC56D6">
      <w:pPr>
        <w:pStyle w:val="TextoNormal"/>
      </w:pPr>
      <w:r>
        <w:t xml:space="preserve">En la explicación de la dependencia del fallo respecto de la validez constitucional de las normas cuestionadas que realiza el órgano judicial en la cuestión aquí planteada, se aprecia que éste no ha tenido en cuenta lo dispuesto en la disposición transitoria segunda de la Ley Orgánica 8/2013, de 9 de diciembre, para la mejora de la calidad educativa (LOMCE), en relación con la aplicación temporal de la redacción dada al art. 84.3 de la Ley Orgánica 2/2006, de 3 de mayo, de educación (LOE), por el artículo único, apartado sesenta y uno, de la LOMCE. Conforme a esta disposición transitoria “los centros privados a los que en 2013 se les haya denegado la renovación del concierto educativo o reducido las unidades </w:t>
      </w:r>
      <w:r>
        <w:lastRenderedPageBreak/>
        <w:t>escolares concertadas por el único motivo de ofrecer educación diferenciada por sexos podrán solicitar que se les aplique lo indicado en el artículo 84.3 de esta Ley Orgánica para el resto del actual período de conciertos en el plazo de dos meses desde su entrada en vigor”. En relación con ello la nueva redacción del art. 84.3 LOE señala expresamente que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w:t>
      </w:r>
    </w:p>
    <w:p w:rsidR="00AC56D6" w:rsidRDefault="00AC56D6" w:rsidP="00AC56D6">
      <w:pPr>
        <w:pStyle w:val="TextoNormal"/>
      </w:pPr>
    </w:p>
    <w:p w:rsidR="00AC56D6" w:rsidRDefault="00AC56D6" w:rsidP="00AC56D6">
      <w:pPr>
        <w:pStyle w:val="TextoNormal"/>
      </w:pPr>
      <w:r>
        <w:t xml:space="preserve">Dado el tenor de tales preceptos, es claro que pudieran resultar directamente aplicables a un supuesto de hecho como el considerado en el caso </w:t>
      </w:r>
      <w:r w:rsidRPr="00AC56D6">
        <w:rPr>
          <w:i/>
        </w:rPr>
        <w:t>a quo</w:t>
      </w:r>
      <w:r>
        <w:t>, cuyo objeto es una orden autonómica de 27 de febrero de 2013, por la que se deniega la solicitud de renovación del concierto educativo con un centro docente privado, a partir del curso académico 2013-2014, precisamente por no cumplir con lo establecido en la redacción anterior del art. 84.3 LOE, en lo que se refiere a la no discriminación por razón de sexo al no comprometerse a escolarizar alumnado de ambos sexos. Sin embargo, el órgano judicial no hace referencia alguna en su argumentación a la disposición transitoria de la Ley Orgánica para la mejora de la calidad educativa, ni tampoco a las razones por las que, en su defecto, entiende que no es de aplicación al caso que ha de resolver. Lo cual parece obligado puesto que la Ley Orgánica para la mejora de la calidad educativa entró en vigor a los veinte días de su publicación en el “Boletín Oficial del Estado”, que tuvo lugar el 10 de diciembre de 2013, y, por tanto, ya estaba vigente el 27 de octubre de 2014, momento en el que se dicta el Auto de planteamiento de la cuestión de inconstitucionalidad.</w:t>
      </w:r>
    </w:p>
    <w:p w:rsidR="00AC56D6" w:rsidRDefault="00AC56D6" w:rsidP="00AC56D6">
      <w:pPr>
        <w:pStyle w:val="TextoNormal"/>
      </w:pPr>
    </w:p>
    <w:p w:rsidR="00AC56D6" w:rsidRDefault="00AC56D6" w:rsidP="00AC56D6">
      <w:pPr>
        <w:pStyle w:val="TextoNormal"/>
      </w:pPr>
      <w:r>
        <w:t xml:space="preserve">Dicha omisión condiciona ineludiblemente la valoración acerca de la adecuada formulación de los juicios de aplicabilidad y relevancia exigidos para el planteamiento de la cuestión de inconstitucionalidad por el art. 35 LOTC. Tampoco, aun tratándose de un supuesto diferente, podemos ignorar el criterio seguido en recientes pronunciamientos constitucionales, en los que, ante el carácter dudoso y discutible de la aplicabilidad de la norma cuestionada en el proceso </w:t>
      </w:r>
      <w:r w:rsidRPr="00AC56D6">
        <w:rPr>
          <w:i/>
        </w:rPr>
        <w:t>a quo</w:t>
      </w:r>
      <w:r>
        <w:t>, hemos exigido un pronunciamiento específico del órgano judicial sobre la aplicación de la norma al caso, a efectos de garantizar que la resolución del litigio depende realmente de la solución que este Tribunal ofrezca sobre la constitucionalidad de la norma [por todas, SSTC 50/2015, de 5 de marzo, FJ 2 c) y 18/2014, de 30 de enero, FJ 4 y las allí citadas]. Es, por tanto, exigible que la norma cuestionada supere el llamado juicio de relevancia, tal como se ha expuesto más arriba.</w:t>
      </w:r>
    </w:p>
    <w:p w:rsidR="00AC56D6" w:rsidRDefault="00AC56D6" w:rsidP="00AC56D6">
      <w:pPr>
        <w:pStyle w:val="TextoNormal"/>
      </w:pPr>
    </w:p>
    <w:p w:rsidR="00AC56D6" w:rsidRDefault="00AC56D6" w:rsidP="00AC56D6">
      <w:pPr>
        <w:pStyle w:val="TextoNormal"/>
      </w:pPr>
      <w:r>
        <w:t xml:space="preserve">Eso es lo que podría ocurrir en el presente caso. En el supuesto que consideramos, teniendo presente lo dispuesto por la Ley Orgánica para la mejora de la calidad educativa y el silencio del órgano judicial al respecto, no puede asegurarse, en este momento, que el pronunciamiento de este Tribunal acerca del art. 17.8 de la Ley 17/2012, de 27 de diciembre, objeto de la presente cuestión, sea necesario e imprescindible para resolver el caso sometido a la consideración de la Sala cuestionante, dado que el juicio de constitucionalidad que se nos solicita sobre el precepto podría quedar desconectado de su aplicación al proceso </w:t>
      </w:r>
      <w:r w:rsidRPr="00AC56D6">
        <w:rPr>
          <w:i/>
        </w:rPr>
        <w:t>a quo</w:t>
      </w:r>
      <w:r>
        <w:t xml:space="preserve">. Es decir, se correría el riesgo de que el juicio a la ley se desarrollara ante este Tribunal sin necesidad ni pertinencia alguna, pues, realizado el enjuiciamiento y pronunciado el fallo que correspondiere, el proceso </w:t>
      </w:r>
      <w:r w:rsidRPr="00AC56D6">
        <w:rPr>
          <w:i/>
        </w:rPr>
        <w:t>a quo</w:t>
      </w:r>
      <w:r>
        <w:t xml:space="preserve"> podría concluir sin aplicar el precepto cuestionado y </w:t>
      </w:r>
      <w:r>
        <w:lastRenderedPageBreak/>
        <w:t>en atención a razones jurídicas ajenas a su conformidad o no a la Constitución. Ése sería el caso si el órgano judicial optase, una vez resulta la cuestión, por aplicar la disposición transitoria segunda LOMCE.</w:t>
      </w:r>
    </w:p>
    <w:p w:rsidR="00AC56D6" w:rsidRDefault="00AC56D6" w:rsidP="00AC56D6">
      <w:pPr>
        <w:pStyle w:val="TextoNormal"/>
      </w:pPr>
    </w:p>
    <w:p w:rsidR="00AC56D6" w:rsidRDefault="00AC56D6" w:rsidP="00AC56D6">
      <w:pPr>
        <w:pStyle w:val="TextoNormal"/>
      </w:pPr>
      <w:r>
        <w:t>En suma, es indiscutible que el precepto cuestionado es aplicable para la resolución del pleito sometido a la consideración del órgano judicial, pero podría no ser el único relevante a la vista de lo regulado por la disposición transitoria segunda LOMCE en relación con el art. 84.3 LOE, reflexión que no aparece en el Auto de planteamiento, que guarda silencio respecto a la relación entre esta norma y la que ha cuestionado.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ésta plantea un problema constitucional de interés, ya no se trataría de un juicio de constitucionalidad en concreto, al que se refiere el art. 163 CE, sino en abstracto, sin efectos para el caso, lo que resulta improcedente en toda cuestión de inconstitucionalidad (STC 83/2015, de 30 de abril, FJ 3).</w:t>
      </w:r>
    </w:p>
    <w:p w:rsidR="00AC56D6" w:rsidRDefault="00AC56D6" w:rsidP="00AC56D6">
      <w:pPr>
        <w:pStyle w:val="TextoNormal"/>
      </w:pPr>
    </w:p>
    <w:p w:rsidR="00AC56D6" w:rsidRDefault="00AC56D6" w:rsidP="00AC56D6">
      <w:pPr>
        <w:pStyle w:val="TextoNormal"/>
      </w:pPr>
      <w:r>
        <w:t>Nada impide que esta circunstancia se pueda apreciar en esta fase del proceso, esto es, mediante sentencia, además de poderse hacer en el trámite de admisión previsto en el art. 37.1 LOTC (SSTC 183/2013, de 23 de octubre, FJ 2; 206/2014, de 15 de diciembre, FJ 2; 10/2015, de 2 de febrero, FJ 2; 79/2015, de 30 de abril, FJ 2, y 110/2015, de 28 de mayo, FJ 3, entre otras). Así pues, dada la conexión que debe existir entre el pronunciamiento de este Tribunal y el proceso en que la cuestión se plantea, procede inadmitir a trámite la presente cuestión de inconstitucionalidad.</w:t>
      </w:r>
    </w:p>
    <w:p w:rsidR="00AC56D6" w:rsidRDefault="00AC56D6" w:rsidP="00AC56D6">
      <w:pPr>
        <w:pStyle w:val="TextoNormal"/>
      </w:pPr>
    </w:p>
    <w:p w:rsidR="00AC56D6" w:rsidRDefault="00AC56D6" w:rsidP="00AC56D6">
      <w:pPr>
        <w:pStyle w:val="TextoNormal"/>
      </w:pPr>
      <w:r>
        <w:t>Este criterio jurisprudencial es coherente, por lo demás, con la doctrina precedente, contenida en la STC 234/2015, de 5 de noviembre, al resolver la cuestión de inconstitucionalidad núm. 6518-2014.</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Inadmitir la presente cuestión de inconstitucionalidad.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treinta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12" w:name="SENTENCIA_2015_256"/>
      <w:r>
        <w:lastRenderedPageBreak/>
        <w:t>SENTENCIA 256/2015, de 30 de noviembre de 2015</w:t>
      </w:r>
    </w:p>
    <w:bookmarkEnd w:id="112"/>
    <w:p w:rsidR="00AC56D6" w:rsidRDefault="00AC56D6" w:rsidP="00AC56D6">
      <w:pPr>
        <w:pStyle w:val="TtuloResolucin"/>
      </w:pPr>
      <w:r>
        <w:t>Sala Segunda</w:t>
      </w:r>
    </w:p>
    <w:p w:rsidR="00AC56D6" w:rsidRDefault="00AC56D6" w:rsidP="00AC56D6">
      <w:pPr>
        <w:pStyle w:val="TtuloBOE"/>
      </w:pPr>
      <w:r>
        <w:t>(BOE núm. 10, de 12 de enero de 2016)</w:t>
      </w:r>
    </w:p>
    <w:p w:rsidR="00AC56D6" w:rsidRDefault="00AC56D6" w:rsidP="00AC56D6">
      <w:pPr>
        <w:pStyle w:val="TextoNormalCentrado"/>
      </w:pPr>
      <w:r>
        <w:t>ECLI:ES:TC:2015:256</w:t>
      </w:r>
    </w:p>
    <w:p w:rsidR="00AC56D6" w:rsidRDefault="00AC56D6" w:rsidP="00AC56D6">
      <w:pPr>
        <w:pStyle w:val="TextoNormalCentrado"/>
      </w:pPr>
    </w:p>
    <w:p w:rsidR="00AC56D6" w:rsidRDefault="00AC56D6" w:rsidP="00AC56D6">
      <w:pPr>
        <w:pStyle w:val="SntesisDescriptiva"/>
      </w:pPr>
      <w:r>
        <w:t>Cuestión de inconstitucionalidad 7302-2014. Cuestión de inconstitucionalidad 7302-2014. Planteada por la Sala de lo Contencioso-Administrativo del Tribunal Superior de Justicia de Andalucía, con sede en Sevilla, en relación con el artículo 17.8 de la Ley 17/2012, de 27 de diciembre, de presupuestos generales del Estado para el año 2013.</w:t>
      </w:r>
    </w:p>
    <w:p w:rsidR="00AC56D6" w:rsidRDefault="00AC56D6" w:rsidP="00AC56D6">
      <w:pPr>
        <w:pStyle w:val="SntesisDescriptiva"/>
      </w:pPr>
    </w:p>
    <w:p w:rsidR="00AC56D6" w:rsidRDefault="00AC56D6" w:rsidP="00AC56D6">
      <w:pPr>
        <w:pStyle w:val="SntesisAnaltica"/>
      </w:pPr>
      <w:r>
        <w:t>Límites materiales de las leyes de presupuestos, reserva de ley orgánica: STC 234/2015 (inadmisión de la cuestión de inconstitucionalidad por inadecuada formulación del juicio de relevancia).</w:t>
      </w:r>
    </w:p>
    <w:p w:rsidR="00AC56D6" w:rsidRDefault="00AC56D6" w:rsidP="00AC56D6">
      <w:pPr>
        <w:pStyle w:val="SntesisAnaltica"/>
      </w:pPr>
    </w:p>
    <w:p w:rsidR="00AC56D6" w:rsidRDefault="00AC56D6" w:rsidP="00AC56D6">
      <w:pPr>
        <w:pStyle w:val="Extracto"/>
      </w:pPr>
      <w:r>
        <w:t>1.</w:t>
      </w:r>
      <w:r>
        <w:tab/>
        <w:t>Asunto sustancialmente idéntico al planteado en la STC 234/2015, que aplica la doctrina constitucional sobre la inadecuada formulación del juicio de relevancia [FJ 2].</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7302-2014 promovida por la Sección Tercera de la Sala de lo Contencioso-Administrativo del Tribunal Superior de Justicia de Andalucía, con sede en Sevilla, en relación con el art. 17.8 de la Ley 17/2012, de 27 de diciembre, de presupuestos generales del Estado para el año 2013. Ha comparecido y formulado alegaciones el Abogado del Estado. Ha intervenido el Fiscal General del Estado. Ha sido Ponente la Magistrada doña Adela Asua Batarrita,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El día 3 de diciembre de 2014 tuvo entrada en el Registro General de este Tribunal escrito de la Sección Tercera de la Sala de lo Contencioso-Administrativo del Tribunal Superior de Justicia de Andalucía, con sede en Sevilla, al que se acompaña, junto con el testimonio del procedimiento correspondiente, el Auto de 11 de noviembre de 2014, en el que se acuerda plantear cuestión de inconstitucionalidad sobre el art. 17.8 de la Ley 17/2012, de </w:t>
      </w:r>
      <w:r>
        <w:lastRenderedPageBreak/>
        <w:t>27 de diciembre, de presupuestos generales del Estado para el año 2013, por posible vulneración de los arts. 81.1 y 134.2 CE.</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son, sucintamente expuestos, los siguientes:</w:t>
      </w:r>
    </w:p>
    <w:p w:rsidR="00AC56D6" w:rsidRDefault="00AC56D6" w:rsidP="00AC56D6">
      <w:pPr>
        <w:pStyle w:val="TextoNormal"/>
      </w:pPr>
    </w:p>
    <w:p w:rsidR="00AC56D6" w:rsidRDefault="00AC56D6" w:rsidP="00AC56D6">
      <w:pPr>
        <w:pStyle w:val="TextoNormal"/>
      </w:pPr>
      <w:r>
        <w:t>a) La asociación educativa social y cultural Albaydar, titular de un centro docente privado, interpuso recurso contencioso-administrativo contra la Orden de 27 de febrero de 2013, de la Consejería de Educación de la Junta de Andalucía, por la que se resuelve la solicitud de renovación del concierto educativo con dicho centro docente privado, a partir del curso académico 2013-2014. Dicha orden denegaba el concierto educativo para el referido centro docente por no cumplir presuntamente con lo establecido en el art. 84.3 de la Ley Orgánica 2/2006, de 3 de mayo, de educación (LOE), en lo que se refiere a la no discriminación por razón de sexo.</w:t>
      </w:r>
    </w:p>
    <w:p w:rsidR="00AC56D6" w:rsidRDefault="00AC56D6" w:rsidP="00AC56D6">
      <w:pPr>
        <w:pStyle w:val="TextoNormal"/>
      </w:pPr>
    </w:p>
    <w:p w:rsidR="00AC56D6" w:rsidRDefault="00AC56D6" w:rsidP="00AC56D6">
      <w:pPr>
        <w:pStyle w:val="TextoNormal"/>
      </w:pPr>
      <w:r>
        <w:t>b) El recurso contencioso-administrativo, interpuesto ante la Sala de lo Contencioso-Administrativo del Tribunal Superior de Justicia de Andalucía, con sede en Sevilla, se basaba, entre otros motivos de ilegalidad e inconstitucionalidad, en que la Administración había incumplido el mandato establecido en el art. 17.8 de la Ley 17/2012, de 27 de diciembre, que había entrado en vigor el 1 de enero de 2013. El Letrado de la Junta de Andalucía, en la contestación a la demanda, alegaba la inconstitucionalidad del citado artículo 17.8 por vulneración de la reserva de ley orgánica del art. 81 CE y por exceder del contenido admisible para una ley de presupuestos, con vulneración, además, del principio de igualdad de los arts. 9.3 y 14 CE; solicitaba a su vez el planteamiento de la cuestión de inconstitucionalidad para el caso de que la Sala estimase que dicho precepto legal es esencial para la resolución del asunto.</w:t>
      </w:r>
    </w:p>
    <w:p w:rsidR="00AC56D6" w:rsidRDefault="00AC56D6" w:rsidP="00AC56D6">
      <w:pPr>
        <w:pStyle w:val="TextoNormal"/>
      </w:pPr>
    </w:p>
    <w:p w:rsidR="00AC56D6" w:rsidRDefault="00AC56D6" w:rsidP="00AC56D6">
      <w:pPr>
        <w:pStyle w:val="TextoNormal"/>
      </w:pPr>
      <w:r>
        <w:t>c) Estando conclusas las actuaciones y señalado para votación y fallo el día 16 de octubre de 2014, se dictó por la Sala providencia en esa misma fecha dando plazo común de diez días a las partes y al Ministerio Fiscal, conforme a lo dispuesto en los arts. 5.2 de la Ley Orgánica del Poder Judicial y 35.2 de la Ley Orgánica del Tribunal Constitucional (LOTC), para que alegasen sobre la inconstitucionalidad en que podría incurrir el art. 17.8 de la Ley 17/2012, de 27 de diciembre, de cuya validez depende el fallo, por vulneración de los arts. 81.1 y 134.2 CE. Considera la providencia que, tras el dictado del precepto mencionado, la Administración no puede seguir aplicando la jurisprudencia recaída en interpretación de la Ley Orgánica de educación. Entiende que este precepto invade la reserva de ley orgánica y excede del contenido que la Constitución contempla para las leyes de presupuestos.</w:t>
      </w:r>
    </w:p>
    <w:p w:rsidR="00AC56D6" w:rsidRDefault="00AC56D6" w:rsidP="00AC56D6">
      <w:pPr>
        <w:pStyle w:val="TextoNormal"/>
      </w:pPr>
    </w:p>
    <w:p w:rsidR="00AC56D6" w:rsidRDefault="00AC56D6" w:rsidP="00AC56D6">
      <w:pPr>
        <w:pStyle w:val="TextoNormal"/>
      </w:pPr>
      <w:r>
        <w:t>d) El Letrado de la Junta de Andalucía, mediante escrito presentado el 29 de octubre de 2014, consideró que procedía el planteamiento de la cuestión, al estimar que el art. 17.8 de la Ley 17/2012, de 27 de diciembre, infringe el art. 81.1 CE, así como los arts. 9.3, 14, 66.2 y 134 CE. Mediante escrito de 30 de octubre de 2014, sin pronunciarse sobre el fondo del asunto y atendiendo solo a los aspectos formales, el Ministerio Fiscal expresó la procedencia de plantear la cuestión. La representación procesal de la pacte actora entendió en su escrito de 5 de noviembre de 2014 que resultaba procedente plantear la cuestión.</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El órgano judicial dictó Auto de 11 de noviembre de 2014, en el que acuerda plantear cuestión de inconstitucionalidad respecto al art. 17.8 de la Ley 17/2012, de 27 de diciembre, </w:t>
      </w:r>
      <w:r>
        <w:lastRenderedPageBreak/>
        <w:t>de presupuestos generales del Estado para el año 2013, por posible vulneración de los arts. 81.1 y 134.2 CE.</w:t>
      </w:r>
    </w:p>
    <w:p w:rsidR="00AC56D6" w:rsidRDefault="00AC56D6" w:rsidP="00AC56D6">
      <w:pPr>
        <w:pStyle w:val="TextoNormal"/>
      </w:pPr>
    </w:p>
    <w:p w:rsidR="00AC56D6" w:rsidRDefault="00AC56D6" w:rsidP="00AC56D6">
      <w:pPr>
        <w:pStyle w:val="TextoNormal"/>
      </w:pPr>
      <w:r>
        <w:t>Del contenido del Auto interesa destacar lo siguiente:</w:t>
      </w:r>
    </w:p>
    <w:p w:rsidR="00AC56D6" w:rsidRDefault="00AC56D6" w:rsidP="00AC56D6">
      <w:pPr>
        <w:pStyle w:val="TextoNormal"/>
      </w:pPr>
    </w:p>
    <w:p w:rsidR="00AC56D6" w:rsidRDefault="00AC56D6" w:rsidP="00AC56D6">
      <w:pPr>
        <w:pStyle w:val="TextoNormal"/>
      </w:pPr>
      <w:r>
        <w:t>El órgano judicial razona que tras la entrada en vigor de la Ley Orgánica de educación resultaba conforme a derecho, de acuerdo con la jurisprudencia del Tribunal Supremo, que la Administración rechazase celebrar conciertos educativos con centros docentes privados donde no se escolarizan alumnos de ambos sexos. El estado de la cuestión, prosigue, ha cambiado con la Ley 17/2012, cuyo artículo 17 relativo al “módulo económico de distribución de fondos públicos para sostenimiento de centros concertados” estableció, en su apartado ocho, que dicha norma es plenamente aplicable a la financiación de centros concertados, incluidos los de educación diferenciada que escolarizan alumnos de un solo sexo y ello con independencia del modelo de agrupamiento de alumnos que realicen los centros docentes en el ejercicio de sus competencias. De esta manera, si de acuerdo con la Ley Orgánica de educación los centros con educación diferenciada no podían acogerse a la financiación pública, tras la ley de presupuestos la regla es la contraria. Este precepto habría sido vulnerado por la resolución impugnada en el pleito principal, de modo que en su aplicación habría que dar razón a la recurrente en el pleito. No obstante, expresa dos dudas sobre su constitucionalidad:</w:t>
      </w:r>
    </w:p>
    <w:p w:rsidR="00AC56D6" w:rsidRDefault="00AC56D6" w:rsidP="00AC56D6">
      <w:pPr>
        <w:pStyle w:val="TextoNormal"/>
      </w:pPr>
    </w:p>
    <w:p w:rsidR="00AC56D6" w:rsidRDefault="00AC56D6" w:rsidP="00AC56D6">
      <w:pPr>
        <w:pStyle w:val="TextoNormal"/>
      </w:pPr>
      <w:r>
        <w:t>a) Relativa a la reserva a ley orgánica de la regulación de los aspectos esenciales de un derecho fundamental. Entiende el órgano judicial que no se había puesto en duda el sistema de la educación diferenciada hasta la entrada en vigor de la Ley Orgánica de educación, en cuyo artículo 84.3 se prohíbe expresamente en el régimen de admisión de alumnos la discriminación por razón de sexo. Dicho precepto, conforme a la interpretación realizada por el Tribunal Supremo, comporta que la educación separada por sexos dejó de estar autorizada para los centros docentes sostenidos con fondos públicos. Asimismo pone de relieve que en la reforma de la Ley Orgánica de educación se ha introducido, en el art. 84.3 lo siguiente: “No constituye discriminación la admisión de alumnos y alumnas o la organización de la enseñanza diferenciadas por sexos, siempre que la enseñanza que impartan se desarrolle conforme a lo dispuesto en el artículo 2 de la Convención relativa a la lucha contra las discriminaciones en la esfera de la enseñanza, aprobada por la Conferencia General de la UNESCO el 14 de diciembre de 1960”.</w:t>
      </w:r>
    </w:p>
    <w:p w:rsidR="00AC56D6" w:rsidRDefault="00AC56D6" w:rsidP="00AC56D6">
      <w:pPr>
        <w:pStyle w:val="TextoNormal"/>
      </w:pPr>
    </w:p>
    <w:p w:rsidR="00AC56D6" w:rsidRDefault="00AC56D6" w:rsidP="00AC56D6">
      <w:pPr>
        <w:pStyle w:val="TextoNormal"/>
      </w:pPr>
      <w:r>
        <w:t>b) Relativa a los límites constitucionales de la Ley de presupuestos. La doctrina constitucional (STC 76/1992) establece los límites de las leyes de presupuestos, distinguiendo entre (i) el contenido necesario y (ii) el eventual, posible y no necesario, para el que se requiere la relación directa con los gastos e ingresos que integran el presupuesto o con los criterios de política económica de la que el presupuesto es instrumento. El precepto impugnado podría no cumplir los límites establecidos, en cuanto no contiene una previsión de gastos e ingresos; sería dudoso que, aun cuando pueda tener una relación directa con los ingresos o gastos del Estado, sea complemento necesario para su mejor inteligencia.</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Mediante providencia de 3 de febrero de 2015, el Pleno del Tribunal Constitucional, a propuesta de la Sección Tercera, acuerda admitir a trámite la presente cuestión y, conforme a lo dispuesto en el art. 10.1 c) LOTC, deferir a la Sala Segunda el conocimiento de la misma; dar traslado de las actuaciones recibidas, conforme establece el art. 37.3 LOTC, al </w:t>
      </w:r>
      <w:r>
        <w:lastRenderedPageBreak/>
        <w:t>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esta resolución a la Sección Tercera de la Sala de lo Contencioso-Administrativo del Tribunal Superior de Andalucía, con sede en Sevilla, a fin de que, de conformidad con lo dispuesto en el art. 35.3 LOTC, permanezca suspendido el proceso hasta que este Tribunal resuelva definitivamente la presente cuestión y publicar la incoación de la cuestión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El Presidente del Senado, mediante escrito registrado el 19 de febrero de 2015, comunicó a este Tribunal que la Mesa de la Cámara adoptó el acuerdo de personarse en el proceso, ofreciendo su colaboración a los efectos del art. 88.1 LOTC. Lo mismo hizo el Presidente del Congreso de los Diputados por escrito que tuvo entrada en el Registro General de este Tribunal el mismo día 19 de febrero de 2015.</w:t>
      </w:r>
    </w:p>
    <w:p w:rsidR="00AC56D6" w:rsidRDefault="00AC56D6" w:rsidP="00AC56D6">
      <w:pPr>
        <w:pStyle w:val="TextoNormal"/>
      </w:pPr>
    </w:p>
    <w:p w:rsidR="00AC56D6" w:rsidRDefault="00AC56D6" w:rsidP="00AC56D6">
      <w:pPr>
        <w:pStyle w:val="TextoNormal"/>
      </w:pPr>
      <w:r w:rsidRPr="00AC56D6">
        <w:rPr>
          <w:rStyle w:val="NumeroAFNegritaCaracter"/>
        </w:rPr>
        <w:t>6</w:t>
      </w:r>
      <w:r>
        <w:t>. El 27 de febrero de 2015 presentó sus alegaciones la Fiscal General del Estado, interesando la desestimación de la cuestión por las razones que se resumen a continuación.</w:t>
      </w:r>
    </w:p>
    <w:p w:rsidR="00AC56D6" w:rsidRDefault="00AC56D6" w:rsidP="00AC56D6">
      <w:pPr>
        <w:pStyle w:val="TextoNormal"/>
      </w:pPr>
    </w:p>
    <w:p w:rsidR="00AC56D6" w:rsidRDefault="00AC56D6" w:rsidP="00AC56D6">
      <w:pPr>
        <w:pStyle w:val="TextoNormal"/>
      </w:pPr>
      <w:r>
        <w:t>Expone, en primer lugar, los antecedentes de hecho de la cuestión, así como el contenido del art. 17 y de los anexos IV y V de la Ley 17/2012, de 27 de diciembre, y del propio Auto de planteamiento de la cuestión.</w:t>
      </w:r>
    </w:p>
    <w:p w:rsidR="00AC56D6" w:rsidRDefault="00AC56D6" w:rsidP="00AC56D6">
      <w:pPr>
        <w:pStyle w:val="TextoNormal"/>
      </w:pPr>
    </w:p>
    <w:p w:rsidR="00AC56D6" w:rsidRDefault="00AC56D6" w:rsidP="00AC56D6">
      <w:pPr>
        <w:pStyle w:val="TextoNormal"/>
      </w:pPr>
      <w:r>
        <w:t>Antes de abordar el examen de las cuestiones planteadas en el Auto, analiza la pervivencia del objeto, dado que las previsiones anteriormente citadas se limitaban al ejercicio presupuestario de 2013; llega a la conclusión de que, conforme a la doctrina de este Tribunal, no se ha producido la pérdida de objeto del presente proceso constitucional.</w:t>
      </w:r>
    </w:p>
    <w:p w:rsidR="00AC56D6" w:rsidRDefault="00AC56D6" w:rsidP="00AC56D6">
      <w:pPr>
        <w:pStyle w:val="TextoNormal"/>
      </w:pPr>
    </w:p>
    <w:p w:rsidR="00AC56D6" w:rsidRDefault="00AC56D6" w:rsidP="00AC56D6">
      <w:pPr>
        <w:pStyle w:val="TextoNormal"/>
      </w:pPr>
      <w:r>
        <w:t>En cuanto al fondo del asunto, considera, en primer lugar, que el art. 17.8 de la Ley 17/2012 no vulnera el art. 134. 2 CE, conforme a la doctrina constitucional. La regulación prevista en el citado precepto no puede ser escindida de su contexto, constituido no sólo por los números 1 a 7 del artículo 17, sino también por los anexos IV y V de esa misma Ley. La norma cuestionada, en cuanto dispone que dicha regulación es plenamente aplicable a la financiación de todos los centros concertados, incluidos los de educación diferenciada que escolarizan alumnos de un solo sexo, no hace sino extender a estos una serie de disposiciones que obedecen sin ningún género de dudas al “contenido propio” o “núcleo esencial” del presupuesto.</w:t>
      </w:r>
    </w:p>
    <w:p w:rsidR="00AC56D6" w:rsidRDefault="00AC56D6" w:rsidP="00AC56D6">
      <w:pPr>
        <w:pStyle w:val="TextoNormal"/>
      </w:pPr>
    </w:p>
    <w:p w:rsidR="00AC56D6" w:rsidRDefault="00AC56D6" w:rsidP="00AC56D6">
      <w:pPr>
        <w:pStyle w:val="TextoNormal"/>
      </w:pPr>
      <w:r>
        <w:t xml:space="preserve">En segundo lugar, considera que el precepto cuestionado tampoco vulnera el art. 81.1 CE. Partiendo de la doctrina establecida en la STC 86/1985, afirma que el art. 27.9 CE ni enuncia un derecho fundamental a la prestación pública, ni encierra un derecho subjetivo a la misma. Si, además, tal prestación pública habrá de ser dispuesta por la Ley, parece obvio concluir que esta materia no forma parte esencial del derecho consagrado en el art. 27.9 CE; siendo esto así, resulta igualmente obvio que no existe un deber </w:t>
      </w:r>
      <w:r w:rsidRPr="00AC56D6">
        <w:rPr>
          <w:i/>
        </w:rPr>
        <w:t>ex constitutione</w:t>
      </w:r>
      <w:r>
        <w:t xml:space="preserve"> de regular tal materia mediante ley orgánica.</w:t>
      </w:r>
    </w:p>
    <w:p w:rsidR="00AC56D6" w:rsidRDefault="00AC56D6" w:rsidP="00AC56D6">
      <w:pPr>
        <w:pStyle w:val="TextoNormal"/>
      </w:pPr>
    </w:p>
    <w:p w:rsidR="00AC56D6" w:rsidRDefault="00AC56D6" w:rsidP="00AC56D6">
      <w:pPr>
        <w:pStyle w:val="TextoNormal"/>
      </w:pPr>
      <w:r w:rsidRPr="00AC56D6">
        <w:rPr>
          <w:rStyle w:val="NumeroAFNegritaCaracter"/>
        </w:rPr>
        <w:t>7</w:t>
      </w:r>
      <w:r>
        <w:t>. El 3 de marzo de 2015 se personó en el proceso el Abogado del Estado e interesó la desestimación de la cuestión por las razones que a continuación se resumen.</w:t>
      </w:r>
    </w:p>
    <w:p w:rsidR="00AC56D6" w:rsidRDefault="00AC56D6" w:rsidP="00AC56D6">
      <w:pPr>
        <w:pStyle w:val="TextoNormal"/>
      </w:pPr>
    </w:p>
    <w:p w:rsidR="00AC56D6" w:rsidRDefault="00AC56D6" w:rsidP="00AC56D6">
      <w:pPr>
        <w:pStyle w:val="TextoNormal"/>
      </w:pPr>
      <w:r>
        <w:t>Tras exponer los antecedentes del caso precisa que, a su juicio, la duda de constitucionalidad planteada se limita a la posible vulneración de los arts. 81.1 y 134.2 CE. A continuación, expone el sistema de conciertos educativos previsto en la Ley Orgánica de educación, señalando que dicha norma no establece prohibición expresa alguna sobre la financiación de centros privados que practiquen la educación diferenciada.</w:t>
      </w:r>
    </w:p>
    <w:p w:rsidR="00AC56D6" w:rsidRDefault="00AC56D6" w:rsidP="00AC56D6">
      <w:pPr>
        <w:pStyle w:val="TextoNormal"/>
      </w:pPr>
    </w:p>
    <w:p w:rsidR="00AC56D6" w:rsidRDefault="00AC56D6" w:rsidP="00AC56D6">
      <w:pPr>
        <w:pStyle w:val="TextoNormal"/>
      </w:pPr>
      <w:r>
        <w:t xml:space="preserve">El Abogado del Estado parte de la consideración de que el Auto de planteamiento de la cuestión solo desarrolla de manera mínima la vulneración del art. 81.1 CE. A su juicio, no puede sostenerse que el art. 17.8 de la Ley 17/2012 suponga una innovación normativa que afecte al núcleo esencial del derecho fundamental a la educación, conforme a la doctrina constitucional. En su opinión, el art. 17 de la Ley 17/2012 lo que hace es concretar, para el ejercicio 2013, las previsiones de los arts. 116 y ss. LOE; estos preceptos no tienen carácter orgánico, por lo que menos pueden tenerlo las previsiones dictadas en su desarrollo, que, tienen además un carácter temporal limitado al ejercicio 2013. El cuestionado artículo 17.8 establece una concreción necesaria del ámbito subjetivo de los conciertos para la aplicación de las previsiones presupuestarias. Si bien admite que el precepto se dicta en un momento en que la jurisprudencia del Tribunal Supremo entendió que los centros con educación diferenciada vulneraban el principio de igualdad en su vertiente relativa a la no discriminación por razón de sexo </w:t>
      </w:r>
      <w:r w:rsidRPr="00AC56D6">
        <w:rPr>
          <w:i/>
        </w:rPr>
        <w:t>ex</w:t>
      </w:r>
      <w:r>
        <w:t xml:space="preserve"> art. 84.3 LOE y no podían por ello ser beneficiarios de conciertos educativos, lo cierto es que la Ley Orgánica de educación no contenía una previsión expresa al respecto. En su opinión, el artículo 17.8 no introduce una previsión sustantiva contraria o diferente al art. 84.3 LOE, aunque lo interprete de una manera diferente al Tribunal Supremo. Esta diferente interpretación, al entender dentro del ámbito subjetivo de los conciertos los centros con educación diferenciada, no invade el ámbito de ley orgánica, en cuanto no supone el desarrollo del núcleo esencial del derecho a la educación. Finalmente, alega que la modificación de la Ley Orgánica de educación por la Ley Orgánica 8/2013, de 9 de diciembre, que precisa que no se puede entender por discriminación por razón de sexo la escuela diferenciada y afirma que los centros de educación diferenciada tienen derecho, si cumplen con las condiciones legales, a concierto para su financiación, sólo aclara o interpreta las previsiones de la redacción anterior del art. 84.3 LOE. Concluye que la previsión del art. 17.8 de la Ley 17/2012 no afecta a la reserva de ley orgánica, por lo que este motivo debe ser rechazado.</w:t>
      </w:r>
    </w:p>
    <w:p w:rsidR="00AC56D6" w:rsidRDefault="00AC56D6" w:rsidP="00AC56D6">
      <w:pPr>
        <w:pStyle w:val="TextoNormal"/>
      </w:pPr>
    </w:p>
    <w:p w:rsidR="00AC56D6" w:rsidRDefault="00AC56D6" w:rsidP="00AC56D6">
      <w:pPr>
        <w:pStyle w:val="TextoNormal"/>
      </w:pPr>
      <w:r>
        <w:t xml:space="preserve">En segundo lugar, el Abogado del Estado rechaza, asimismo, que el precepto cuestionado vulnere el art. 134.2 CE, atendiendo a la doctrina constitucional sobre el contenido de la ley de presupuestos. Partiendo de la misma, entiende que el art. 17.8 integra el denominado “contenido eventual” de la Ley de presupuestos y no constituye una modificación sustantiva del ordenamiento jurídico. Tiene un carácter limitado en el ámbito temporal y tiene una conexión económica o presupuestaria evidente, que fundamenta en la remisión que el art. 117 LOE realiza a las leyes de presupuestos generales del Estado. La concreción del ámbito subjetivo de los centros beneficiarios de conciertos educativos es un elemento esencial para poder prever las habilitaciones presupuestarias. La incidencia en la ordenación del programa anual de gastos es necesaria y principal y por ello suficiente para legitimar su inclusión en la ley de presupuestos. Se trata de una conexión con su objeto (habilitación de gastos) directa, inmediata y querida por la norma. La inclusión de los centros concertados en los módulos de concierto tiene relación con los estados de gasto de los presupuestos generales del </w:t>
      </w:r>
      <w:r>
        <w:lastRenderedPageBreak/>
        <w:t>Estado al tratar sobre la financiación de centros docentes concertados con cargo a los presupuestos de las Administraciones públicas.</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26 de noviembre de 2015 se señaló para deliberación y votación de la presente Sentencia el día 30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Sección Tercera de la Sala de lo Contencioso-Administrativo del Tribunal Superior de Justicia de Andalucía, con sede en Sevilla, plantea cuestión de inconstitucionalidad sobre el art. 17.8 de la Ley 17/2012, de 27 de diciembre, de presupuestos generales del Estado para el año 2013 (en adelante, Ley 17/2012).</w:t>
      </w:r>
    </w:p>
    <w:p w:rsidR="00AC56D6" w:rsidRDefault="00AC56D6" w:rsidP="00AC56D6">
      <w:pPr>
        <w:pStyle w:val="TextoNormal"/>
      </w:pPr>
    </w:p>
    <w:p w:rsidR="00AC56D6" w:rsidRDefault="00AC56D6" w:rsidP="00AC56D6">
      <w:pPr>
        <w:pStyle w:val="TextoNormal"/>
      </w:pPr>
      <w:r>
        <w:t>El art. 17 de la citada Ley regula el módulo económico de distribución de fondos públicos para sostenimiento de centros concertados, en cumplimiento, conforme a su primer apartado, de lo dispuesto en el art. 117 de la Ley Orgánica 2/2006, de 3 de mayo, de educación (LOE). Este precepto determina que se fijará anualmente en los presupuestos generales del Estado el importe del módulo económico por unidad escolar, a efectos de distribución de la cuantía global de los fondos públicos destinados al sostenimiento de los centros privados concertados para hacer efectiva la gratuidad de las enseñanzas objeto de concierto. Asimismo, establece los diferentes conceptos que integran dicho módulo (salarios del personal docente, cantidades asignadas a otros gastos y cantidades para atender al pago de diferentes conceptos como los de antigüedad, sustituciones o ejercicio de la función directiva).</w:t>
      </w:r>
    </w:p>
    <w:p w:rsidR="00AC56D6" w:rsidRDefault="00AC56D6" w:rsidP="00AC56D6">
      <w:pPr>
        <w:pStyle w:val="TextoNormal"/>
      </w:pPr>
    </w:p>
    <w:p w:rsidR="00AC56D6" w:rsidRDefault="00AC56D6" w:rsidP="00AC56D6">
      <w:pPr>
        <w:pStyle w:val="TextoNormal"/>
      </w:pPr>
      <w:r>
        <w:t>El apartado 8 del art. 17 de la Ley 17/2012, objeto del presente proceso constitucional, determina lo siguiente:</w:t>
      </w:r>
    </w:p>
    <w:p w:rsidR="00AC56D6" w:rsidRDefault="00AC56D6" w:rsidP="00AC56D6">
      <w:pPr>
        <w:pStyle w:val="TextoNormal"/>
      </w:pPr>
    </w:p>
    <w:p w:rsidR="00AC56D6" w:rsidRDefault="00AC56D6" w:rsidP="00AC56D6">
      <w:pPr>
        <w:pStyle w:val="TextoNormal"/>
      </w:pPr>
      <w:r>
        <w:t>“Lo establecido en este artículo será plenamente aplicable a la financiación de todos los centros concertados incluidos los de educación diferenciada que escolarizan alumnos de un solo sexo, y ello, con independencia del modelo de agrupamiento de alumnos que realicen los centros docentes en el ejercicio de sus competencias.”</w:t>
      </w:r>
    </w:p>
    <w:p w:rsidR="00AC56D6" w:rsidRDefault="00AC56D6" w:rsidP="00AC56D6">
      <w:pPr>
        <w:pStyle w:val="TextoNormal"/>
      </w:pPr>
    </w:p>
    <w:p w:rsidR="00AC56D6" w:rsidRDefault="00AC56D6" w:rsidP="00AC56D6">
      <w:pPr>
        <w:pStyle w:val="TextoNormal"/>
      </w:pPr>
      <w:r>
        <w:t>En síntesis, entiende el órgano judicial que el art. 17.8 de la Ley 17/2012 podría vulnerar tanto el art. 81.1 CE, pues está reservado a ley orgánica regular aspectos esenciales de un derecho fundamental, como el art. 134.2 CE, por no poder considerarse dicho párrafo contenido necesario ni eventual de la Ley de presupuestos, conforme a la doctrina constitucional.</w:t>
      </w:r>
    </w:p>
    <w:p w:rsidR="00AC56D6" w:rsidRDefault="00AC56D6" w:rsidP="00AC56D6">
      <w:pPr>
        <w:pStyle w:val="TextoNormal"/>
      </w:pPr>
    </w:p>
    <w:p w:rsidR="00AC56D6" w:rsidRDefault="00AC56D6" w:rsidP="00AC56D6">
      <w:pPr>
        <w:pStyle w:val="TextoNormal"/>
      </w:pPr>
      <w:r>
        <w:t>Como se ha dejado constancia en los antecedentes, tanto el Abogado del Estado como el Fiscal General del Estado interesan la desestimación de la cuestión, por entender que no concurren las vulneraciones constitucionales apreciadas por el órgano judicial.</w:t>
      </w:r>
    </w:p>
    <w:p w:rsidR="00AC56D6" w:rsidRDefault="00AC56D6" w:rsidP="00AC56D6">
      <w:pPr>
        <w:pStyle w:val="TextoNormal"/>
      </w:pPr>
    </w:p>
    <w:p w:rsidR="00AC56D6" w:rsidRDefault="00AC56D6" w:rsidP="00AC56D6">
      <w:pPr>
        <w:pStyle w:val="TextoNormal"/>
      </w:pPr>
      <w:r w:rsidRPr="00AC56D6">
        <w:rPr>
          <w:rStyle w:val="NumeroAFNegritaCaracter"/>
        </w:rPr>
        <w:t>2</w:t>
      </w:r>
      <w:r>
        <w:t>. En nuestra reciente STC 234/2015, de 5 de noviembre, hemos resuelto inadmitir una cuestión de inconstitucionalidad (núm. 6518-2014) idéntica a la presente, planteada por el mismo órgano judicial, por inadecuada formulación del juicio de relevancia (art. 35.1 LOTC). En consecuencia, por remisión a lo entonces razonado, la presente cuestión ha de correr igual suerte.</w:t>
      </w:r>
    </w:p>
    <w:p w:rsidR="00AC56D6" w:rsidRDefault="00AC56D6" w:rsidP="00AC56D6">
      <w:pPr>
        <w:pStyle w:val="TextoNormal"/>
      </w:pPr>
    </w:p>
    <w:p w:rsidR="00AC56D6" w:rsidRDefault="00AC56D6" w:rsidP="00AC56D6">
      <w:pPr>
        <w:pStyle w:val="TextoNormal"/>
      </w:pPr>
      <w:r>
        <w:t xml:space="preserve">En efecto, en la citada STC 234/2015, FJ 2, apreciamos que en la explicación de la dependencia del fallo del proceso </w:t>
      </w:r>
      <w:r w:rsidRPr="00AC56D6">
        <w:rPr>
          <w:i/>
        </w:rPr>
        <w:t>a quo</w:t>
      </w:r>
      <w:r>
        <w:t xml:space="preserve"> de la validez constitucional de la norma cuestionada que realiza el órgano judicial “no ha tenido en cuenta lo dispuesto en la disposición transitoria segunda de la Ley Orgánica 8/2013, de 9 de diciembre, para la mejora de la calidad educativa (LOMCE), en relación con la aplicación temporal de la redacción dada al art. 84.3 de la Ley Orgánica 2/2006, de 3 de mayo, de Educación (LOE), por el art. Único.71 LOMCE. Conforme a esta disposición transitoria ‘Los centros privados a los que en 2013 se les haya denegado la renovación del concierto educativo o reducido las unidades escolares concertadas por el único motivo de ofrecer educación diferenciada por sexos podrán solicitar que se les aplique lo indicado en el artículo 84.3 de esta Ley Orgánica para el resto del actual período de conciertos en el plazo de dos meses desde su entrada en vigor’. En relación con ello la nueva redacción del art. 84.3 LOE señala expresamente que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 Dado el tenor de tales preceptos, es claro que pudieran resultar directamente aplicables a un supuesto de hecho como el considerado en el caso a quo, cuyo objeto es una Orden autonómica de 27 de febrero de 2013, por la que se deniega la solicitud de renovación del concierto educativo con un centro docente privado, a partir del curso académico 2013-2014, precisamente por no cumplir con lo establecido en la redacción anterior del art. 84.3 LOE, en lo que se refiere a la no discriminación por razón de sexo al no comprometerse a escolarizar alumnado de ambos sexos. Pese a que la LOMCE entró en vigor a los veinte días de su publicación en el ‘Boletín Oficial del Estado’, que tuvo lugar el 10 de diciembre de 2013 y, por tanto, ya estaba vigente el 14 de octubre de 2014, momento en el que se acuerda plantear la cuestión dictando el correspondiente Auto, el órgano judicial no hace referencia alguna a este precepto en su argumentación, ni tampoco a las razones por las que, en su defecto, entiende que no es de aplicación al caso que ha de resolver”.</w:t>
      </w:r>
    </w:p>
    <w:p w:rsidR="00AC56D6" w:rsidRDefault="00AC56D6" w:rsidP="00AC56D6">
      <w:pPr>
        <w:pStyle w:val="TextoNormal"/>
      </w:pPr>
    </w:p>
    <w:p w:rsidR="00AC56D6" w:rsidRDefault="00AC56D6" w:rsidP="00AC56D6">
      <w:pPr>
        <w:pStyle w:val="TextoNormal"/>
      </w:pPr>
      <w:r>
        <w:t xml:space="preserve">Se entendió que “dicha omisión condiciona ineludiblemente la valoración acerca de la adecuada formulación de los juicios de aplicabilidad y relevancia exigidos para el planteamiento de la cuestión de inconstitucionalidad por el art. 35 LOTC”. Ello porque “en el supuesto que consideramos, teniendo presente lo dispuesto por la LOMCE y el silencio del órgano judicial al respecto, no puede asegurarse, en este momento, que el pronunciamiento de este Tribunal acerca del art. 17.8 de la Ley 17/2012, de 27 de diciembre, objeto de la presente cuestión, fuera necesario e imprescindible para resolver el caso sometido a la consideración de la Sala cuestionante, de manera que el juicio de constitucionalidad que se nos solicita sobre el precepto podría quedar desconectado de su aplicación al proceso </w:t>
      </w:r>
      <w:r w:rsidRPr="00AC56D6">
        <w:rPr>
          <w:i/>
        </w:rPr>
        <w:t>a quo</w:t>
      </w:r>
      <w:r>
        <w:t xml:space="preserve">. Es decir, se correría el riesgo de que el juicio a la ley se desarrollara ante este Tribunal sin necesidad ni pertinencia alguna, pues, realizado el enjuiciamiento y pronunciado el fallo que correspondiere, el proceso </w:t>
      </w:r>
      <w:r w:rsidRPr="00AC56D6">
        <w:rPr>
          <w:i/>
        </w:rPr>
        <w:t>a quo</w:t>
      </w:r>
      <w:r>
        <w:t xml:space="preserve"> podría concluir sin aplicar el precepto cuestionado y en atención a razones jurídicas ajenas a su conformidad o no a la Constitución. Ese sería el caso si el órgano judicial optase, una vez resuelta la cuestión, por aplicar la disposición transitoria segunda LOMCE”.</w:t>
      </w:r>
    </w:p>
    <w:p w:rsidR="00AC56D6" w:rsidRDefault="00AC56D6" w:rsidP="00AC56D6">
      <w:pPr>
        <w:pStyle w:val="TextoNormal"/>
      </w:pPr>
    </w:p>
    <w:p w:rsidR="00AC56D6" w:rsidRDefault="00AC56D6" w:rsidP="00AC56D6">
      <w:pPr>
        <w:pStyle w:val="TextoNormal"/>
      </w:pPr>
      <w:r>
        <w:lastRenderedPageBreak/>
        <w:t>En definitiva —concluimos en la STC 234/2015, FJ 2— “es indiscutible que el precepto cuestionado es aplicable para la resolución del pleito sometido a la consideración del órgano judicial, pero podría no ser el único relevante a la vista de lo regulado por la disposición transitoria segunda LOMCE en relación con el art. 84.3 LOE, reflexión que no aparece en el Auto de planteamiento, que guarda silencio respecto a la relación entre esta norma y la que ha cuestionado.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00AC56D6" w:rsidRDefault="00AC56D6" w:rsidP="00AC56D6">
      <w:pPr>
        <w:pStyle w:val="TextoNormal"/>
      </w:pPr>
    </w:p>
    <w:p w:rsidR="00AC56D6" w:rsidRDefault="00AC56D6" w:rsidP="00AC56D6">
      <w:pPr>
        <w:pStyle w:val="TextoNormal"/>
      </w:pPr>
      <w:r>
        <w:t>En consecuencia, por las mismas razones expresadas en la STC 234/2015, FJ 2, procede acordar también la inadmisión de la presente cuestión de inconstitucionalidad.</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Inadmitir la presente cuestión de inconstitucionalidad.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treinta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13" w:name="SENTENCIA_2015_257"/>
      <w:r>
        <w:lastRenderedPageBreak/>
        <w:t>SENTENCIA 257/2015, de 30 de noviembre de 2015</w:t>
      </w:r>
    </w:p>
    <w:bookmarkEnd w:id="113"/>
    <w:p w:rsidR="00AC56D6" w:rsidRDefault="00AC56D6" w:rsidP="00AC56D6">
      <w:pPr>
        <w:pStyle w:val="TtuloResolucin"/>
      </w:pPr>
      <w:r>
        <w:t>Sala Segunda</w:t>
      </w:r>
    </w:p>
    <w:p w:rsidR="00AC56D6" w:rsidRDefault="00AC56D6" w:rsidP="00AC56D6">
      <w:pPr>
        <w:pStyle w:val="TtuloBOE"/>
      </w:pPr>
      <w:r>
        <w:t>(BOE núm. 10, de 12 de enero de 2016)</w:t>
      </w:r>
    </w:p>
    <w:p w:rsidR="00AC56D6" w:rsidRDefault="00AC56D6" w:rsidP="00AC56D6">
      <w:pPr>
        <w:pStyle w:val="TextoNormalCentrado"/>
      </w:pPr>
      <w:r>
        <w:t>ECLI:ES:TC:2015:257</w:t>
      </w:r>
    </w:p>
    <w:p w:rsidR="00AC56D6" w:rsidRDefault="00AC56D6" w:rsidP="00AC56D6">
      <w:pPr>
        <w:pStyle w:val="TextoNormalCentrado"/>
      </w:pPr>
    </w:p>
    <w:p w:rsidR="00AC56D6" w:rsidRDefault="00AC56D6" w:rsidP="00AC56D6">
      <w:pPr>
        <w:pStyle w:val="SntesisDescriptiva"/>
      </w:pPr>
      <w:r>
        <w:t>Cuestión de inconstitucionalidad 7403-2014. Cuestión de inconstitucionalidad 7403-2014. Planteada por la Sala de lo Contencioso-Administrativo del Tribunal Superior de Justicia de Andalucía, con sede en Sevilla, en relación con el artículo 17.8 de la Ley 17/2012, de 27 de diciembre, de presupuestos generales del Estado para el año 2013.</w:t>
      </w:r>
    </w:p>
    <w:p w:rsidR="00AC56D6" w:rsidRDefault="00AC56D6" w:rsidP="00AC56D6">
      <w:pPr>
        <w:pStyle w:val="SntesisDescriptiva"/>
      </w:pPr>
    </w:p>
    <w:p w:rsidR="00AC56D6" w:rsidRDefault="00AC56D6" w:rsidP="00AC56D6">
      <w:pPr>
        <w:pStyle w:val="SntesisAnaltica"/>
      </w:pPr>
      <w:r>
        <w:t>Límites materiales de las leyes de presupuestos, reserva de ley orgánica: STC 234/2015 (inadmisión de la cuestión de inconstitucionalidad por inadecuada formulación del juicio de relevancia).</w:t>
      </w:r>
    </w:p>
    <w:p w:rsidR="00AC56D6" w:rsidRDefault="00AC56D6" w:rsidP="00AC56D6">
      <w:pPr>
        <w:pStyle w:val="SntesisAnaltica"/>
      </w:pPr>
    </w:p>
    <w:p w:rsidR="00AC56D6" w:rsidRDefault="00AC56D6" w:rsidP="00AC56D6">
      <w:pPr>
        <w:pStyle w:val="Extracto"/>
      </w:pPr>
      <w:r>
        <w:t>1.</w:t>
      </w:r>
      <w:r>
        <w:tab/>
        <w:t>Asunto sustancialmente idéntico al planteado en la STC 234/2015, que aplica la doctrina constitucional sobre la inadecuada formulación del juicio de relevancia [FJ 2].</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7403-2014 promovida por la Sección Tercera de la Sala de lo Contencioso-Administrativo del Tribunal Superior de Justicia de Andalucía, con sede en Sevilla, en relación con el art. 17.8 de la Ley 17/2012, de 27 de diciembre, de presupuestos generales del Estado para el año 2013. Ha comparecido y formulado alegaciones el Abogado del Estado. Ha intervenido la Fiscal General del Estado. Ha sido Ponente el Magistrado don Antonio Narváez Rodríguez,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El día 13 de noviembre de 2014 tuvo entrada en el Registro General de este Tribunal escrito de la Sección Tercera de la Sala de lo Contencioso-Administrativo del Tribunal Superior de Justicia de Andalucía, con sede en Sevilla, al que se acompaña, junto con el testimonio del procedimiento correspondiente, el Auto de 12 de noviembre de 2014, en el que se acuerda plantear cuestión de inconstitucionalidad sobre el art. 17.8 de la Ley 17/2012, de </w:t>
      </w:r>
      <w:r>
        <w:lastRenderedPageBreak/>
        <w:t>27 de diciembre, de presupuestos generales del Estado para el año 2013, por posible vulneración de los arts. 81.1 y 134.2 CE.</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son, sucintamente expuestos, los siguientes:</w:t>
      </w:r>
    </w:p>
    <w:p w:rsidR="00AC56D6" w:rsidRDefault="00AC56D6" w:rsidP="00AC56D6">
      <w:pPr>
        <w:pStyle w:val="TextoNormal"/>
      </w:pPr>
    </w:p>
    <w:p w:rsidR="00AC56D6" w:rsidRDefault="00AC56D6" w:rsidP="00AC56D6">
      <w:pPr>
        <w:pStyle w:val="TextoNormal"/>
      </w:pPr>
      <w:r>
        <w:t>a) La entidad Ribamar, S.A., titular de un centro docente privado, interpuso recurso contencioso-administrativo contra la Orden de 27 de febrero de 2013, de la Consejería de Educación de la Junta de Andalucía, por la que fue resuelta la solicitud de renovación del concierto educativo con dicho centro docente privado, a partir del curso académico 2013-2014. Dicha orden denegaba el concierto educativo para el referido centro docente por no cumplir presuntamente este con lo establecido en el art. 84.3 de la Ley Orgánica 2/2006, de 3 de mayo, de educación (LOE), en lo que se refiere a la no discriminación por razón de sexo.</w:t>
      </w:r>
    </w:p>
    <w:p w:rsidR="00AC56D6" w:rsidRDefault="00AC56D6" w:rsidP="00AC56D6">
      <w:pPr>
        <w:pStyle w:val="TextoNormal"/>
      </w:pPr>
    </w:p>
    <w:p w:rsidR="00AC56D6" w:rsidRDefault="00AC56D6" w:rsidP="00AC56D6">
      <w:pPr>
        <w:pStyle w:val="TextoNormal"/>
      </w:pPr>
      <w:r>
        <w:t>b) El recurso contencioso-administrativo, interpuesto ante la Sala de lo Contencioso-Administrativo del Tribunal Superior de Justicia de Andalucía, con sede en Sevilla, se basaba, entre otros motivos de ilegalidad e inconstitucionalidad, en que la Administración había incumplido el mandato establecido en el art. 17.8 de la Ley 17/2012, de 27 de diciembre, que había entrado en vigor el 1 de enero de 2013. El Letrado de la Junta de Andalucía, en la contestación a la demanda, alegaba la inconstitucionalidad del citado artículo 17.8 por vulneración de la reserva de ley orgánica del art. 81 CE y por exceder del contenido admisible para una ley de presupuestos, con vulneración, además, del principio de igualdad de los arts. 9.3 y 14 CE; solicitaba, a su vez, el planteamiento de la cuestión de inconstitucionalidad para el caso de que la Sala estimase que dicho precepto legal es esencial para la resolución del asunto.</w:t>
      </w:r>
    </w:p>
    <w:p w:rsidR="00AC56D6" w:rsidRDefault="00AC56D6" w:rsidP="00AC56D6">
      <w:pPr>
        <w:pStyle w:val="TextoNormal"/>
      </w:pPr>
    </w:p>
    <w:p w:rsidR="00AC56D6" w:rsidRDefault="00AC56D6" w:rsidP="00AC56D6">
      <w:pPr>
        <w:pStyle w:val="TextoNormal"/>
      </w:pPr>
      <w:r>
        <w:t>c) Estando conclusas las actuaciones y señalado el asunto para votación y fallo, se dictó por la Sala providencia el día 8 de septiembre de 2014 dando plazo común de diez días a las partes y al Ministerio Fiscal, conforme a lo dispuesto en los arts. 5.2 de la Ley Orgánica del Poder Judicial y 35.2 de la Ley Orgánica del Tribunal Constitucional (LOTC), para que alegasen sobre la inconstitucionalidad en que podría incurrir el art. 17.8 de la Ley 17/2012, de 27 de diciembre, de cuya validez depende el fallo, por vulneración de los arts. 81.1 y 134.2 CE. Considera la providencia que, tras el dictado del precepto mencionado, la Administración no puede seguir aplicando la jurisprudencia recaída en interpretación de la Ley Orgánica de educación. Entiende que este precepto invade la reserva de ley orgánica y excede del contenido que la Constitución contempla para las leyes de presupuestos.</w:t>
      </w:r>
    </w:p>
    <w:p w:rsidR="00AC56D6" w:rsidRDefault="00AC56D6" w:rsidP="00AC56D6">
      <w:pPr>
        <w:pStyle w:val="TextoNormal"/>
      </w:pPr>
    </w:p>
    <w:p w:rsidR="00AC56D6" w:rsidRDefault="00AC56D6" w:rsidP="00AC56D6">
      <w:pPr>
        <w:pStyle w:val="TextoNormal"/>
      </w:pPr>
      <w:r>
        <w:t>d) El Letrado de la Junta de Andalucía consideró que procedía el planteamiento de la cuestión, al estimar que el art. 17.8 de la Ley 17/2012, de 27 de diciembre, infringe el art. 81.1 CE, así como los arts. 9.3, 14, 66.2 y 134 CE. Mediante escrito de 30 de septiembre de 2014, sin pronunciarse sobre el fondo del asunto y atendiendo solo a los aspectos formales, el Ministerio Fiscal expresó la procedencia de plantear la cuestión. La representación procesal de la parte actora entendió que resultaba procedente plantear la cuestión.</w:t>
      </w:r>
    </w:p>
    <w:p w:rsidR="00AC56D6" w:rsidRDefault="00AC56D6" w:rsidP="00AC56D6">
      <w:pPr>
        <w:pStyle w:val="TextoNormal"/>
      </w:pPr>
    </w:p>
    <w:p w:rsidR="00AC56D6" w:rsidRDefault="00AC56D6" w:rsidP="00AC56D6">
      <w:pPr>
        <w:pStyle w:val="TextoNormal"/>
      </w:pPr>
      <w:r w:rsidRPr="00AC56D6">
        <w:rPr>
          <w:rStyle w:val="NumeroAFNegritaCaracter"/>
        </w:rPr>
        <w:t>3</w:t>
      </w:r>
      <w:r>
        <w:t>. El órgano judicial dictó Auto de 12 de noviembre de 2014, por el que acordó plantear cuestión de inconstitucionalidad respecto del art. 17.8 de la Ley 17/2012, de 27 de diciembre, de presupuestos generales del Estado para el año 2013, por posible vulneración de los arts. 81.1 y 134.2 CE.</w:t>
      </w:r>
    </w:p>
    <w:p w:rsidR="00AC56D6" w:rsidRDefault="00AC56D6" w:rsidP="00AC56D6">
      <w:pPr>
        <w:pStyle w:val="TextoNormal"/>
      </w:pPr>
    </w:p>
    <w:p w:rsidR="00AC56D6" w:rsidRDefault="00AC56D6" w:rsidP="00AC56D6">
      <w:pPr>
        <w:pStyle w:val="TextoNormal"/>
      </w:pPr>
      <w:r>
        <w:t>Del contenido del Auto interesa destacar lo siguiente:</w:t>
      </w:r>
    </w:p>
    <w:p w:rsidR="00AC56D6" w:rsidRDefault="00AC56D6" w:rsidP="00AC56D6">
      <w:pPr>
        <w:pStyle w:val="TextoNormal"/>
      </w:pPr>
    </w:p>
    <w:p w:rsidR="00AC56D6" w:rsidRDefault="00AC56D6" w:rsidP="00AC56D6">
      <w:pPr>
        <w:pStyle w:val="TextoNormal"/>
      </w:pPr>
      <w:r>
        <w:t>El órgano judicial razona que, tras la entrada en vigor de la Ley Orgánica de educación, resultaba conforme a derecho, de acuerdo con la jurisprudencia del Tribunal Supremo, que la Administración rechazase celebrar conciertos educativos con centros docentes privados donde no se escolarizaran alumnos de ambos sexos. El estado de la cuestión, prosigue, ha cambiado con la Ley 17/2012, cuyo artículo 17 relativo al “módulo económico de distribución de fondos públicos para sostenimiento de centros concertados” estableció, en su apartado ocho, que dicha norma es plenamente aplicable a la financiación de centros concertados, incluidos los de educación diferenciada que escolarizan alumnos de un solo sexo y ello con independencia del modelo de agrupamiento de alumnos que realicen los centros docentes en el ejercicio de sus competencias. De esta manera, si de acuerdo con la Ley Orgánica de educación los centros con educación diferenciada no podían acogerse a la financiación pública, tras la ley de presupuestos la regla es la contraria. Este precepto habría sido vulnerado por la resolución impugnada en el pleito principal, de modo que en su aplicación habría que dar razón a la recurrente en el proceso judicial. No obstante, expresa dos dudas sobre su constitucionalidad:</w:t>
      </w:r>
    </w:p>
    <w:p w:rsidR="00AC56D6" w:rsidRDefault="00AC56D6" w:rsidP="00AC56D6">
      <w:pPr>
        <w:pStyle w:val="TextoNormal"/>
      </w:pPr>
    </w:p>
    <w:p w:rsidR="00AC56D6" w:rsidRDefault="00AC56D6" w:rsidP="00AC56D6">
      <w:pPr>
        <w:pStyle w:val="TextoNormal"/>
      </w:pPr>
      <w:r>
        <w:t>a) Relativa a la reserva de ley orgánica de la regulación de los aspectos esenciales de un derecho fundamental. Entiende el órgano judicial que no se había puesto en duda el sistema de la educación diferenciada hasta la entrada en vigor de la Ley Orgánica de educación, en cuyo art. 84.3 se prohíbe expresamente en el régimen de admisión de alumnos la discriminación por razón de sexo. Dicho precepto, conforme a la interpretación realizada por el Tribunal Supremo, comporta que la educación separada por sexos dejó de estar autorizada para los centros docentes sostenidos con fondos públicos. Asimismo, pone de relieve que, en la reforma de la Ley Orgánica de educación, se ha introducido en el artículo 84.3 lo siguiente: “No constituye discriminación la admisión de alumnos y alumnas o la organización de la enseñanza diferenciadas por sexos, siempre que la enseñanza que impartan se desarrolle conforme a lo dispuesto en el artículo 2 de la Convención relativa a la lucha contra las discriminaciones en la esfera de la enseñanza, aprobada por la Conferencia General de la UNESCO el 14 de diciembre de 1960”.</w:t>
      </w:r>
    </w:p>
    <w:p w:rsidR="00AC56D6" w:rsidRDefault="00AC56D6" w:rsidP="00AC56D6">
      <w:pPr>
        <w:pStyle w:val="TextoNormal"/>
      </w:pPr>
    </w:p>
    <w:p w:rsidR="00AC56D6" w:rsidRDefault="00AC56D6" w:rsidP="00AC56D6">
      <w:pPr>
        <w:pStyle w:val="TextoNormal"/>
      </w:pPr>
      <w:r>
        <w:t>b) Relativa a los límites constitucionales de la Ley de presupuestos. La doctrina constitucional (STC 76/1992), establece los límites de las leyes de presupuestos, distinguiendo entre (i) el contenido necesario y (ii) el eventual, posible y no necesario, para el que se requiere la relación directa con los gastos e ingresos que integran el presupuesto o con los criterios de política económica de la que el presupuesto es instrumento. El precepto impugnado podría no cumplir los límites establecidos, en cuanto no contiene una previsión de gastos e ingresos; sería dudoso que, aun cuando pueda tener una relación directa con los ingresos o gastos del Estado, sea complemento necesario para su mejor inteligencia.</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Mediante providencia de 3 de febrero de 2015, el Pleno del Tribunal Constitucional, a propuesta de la Sección Cuarta, acordó admitir a trámite la presente cuestión y, conforme a lo dispuesto en el art. 10.1 c) LOTC, deferir a la Sala Segunda el conocimiento de la misma; dar traslado de las actuaciones recibidas, conforme establece el art. 37.3 LOTC, al Congreso de los Diputados y al Senado, por conducto de sus Presidentes, al Gobierno, por conducto del Ministro de Justicia y al Fiscal General del Estado, al objeto de que, en el </w:t>
      </w:r>
      <w:r>
        <w:lastRenderedPageBreak/>
        <w:t>improrrogable plazo de quince días, puedan personarse en el proceso y formular las alegaciones que estimen convenientes; comunicar esta resolución a la Sección Tercera de la Sala de lo Contencioso-Administrativo del Tribunal Superior de Andalucía, con sede en Sevilla, a fin de que, de conformidad con lo dispuesto en el art. 35.3 LOTC, permanezca suspendido el proceso hasta que este Tribunal resuelva definitivamente la presente cuestión y publicar la incoación de la cuestión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El Presidente del Senado, mediante escrito registrado el 18 de febrero de 2015, comunicó a este Tribunal que la Mesa de la Cámara adoptó el acuerdo de personarse en el proceso, ofreciendo su colaboración a los efectos del art. 88.1 LOTC. Lo mismo hizo el Presidente del Congreso de los Diputados por escrito que tuvo entrada en el Registro General de este Tribunal el día 19 de febrero de 2015.</w:t>
      </w:r>
    </w:p>
    <w:p w:rsidR="00AC56D6" w:rsidRDefault="00AC56D6" w:rsidP="00AC56D6">
      <w:pPr>
        <w:pStyle w:val="TextoNormal"/>
      </w:pPr>
    </w:p>
    <w:p w:rsidR="00AC56D6" w:rsidRDefault="00AC56D6" w:rsidP="00AC56D6">
      <w:pPr>
        <w:pStyle w:val="TextoNormal"/>
      </w:pPr>
      <w:r w:rsidRPr="00AC56D6">
        <w:rPr>
          <w:rStyle w:val="NumeroAFNegritaCaracter"/>
        </w:rPr>
        <w:t>6</w:t>
      </w:r>
      <w:r>
        <w:t>. El 3 de marzo de 2015 se personó en el proceso el Abogado del Estado e interesó la desestimación de la cuestión por las razones que, a continuación, se resumen.</w:t>
      </w:r>
    </w:p>
    <w:p w:rsidR="00AC56D6" w:rsidRDefault="00AC56D6" w:rsidP="00AC56D6">
      <w:pPr>
        <w:pStyle w:val="TextoNormal"/>
      </w:pPr>
    </w:p>
    <w:p w:rsidR="00AC56D6" w:rsidRDefault="00AC56D6" w:rsidP="00AC56D6">
      <w:pPr>
        <w:pStyle w:val="TextoNormal"/>
      </w:pPr>
      <w:r>
        <w:t>Tras exponer los antecedentes del caso precisa que, a su juicio, la duda de constitucionalidad planteada se limita a la posible vulneración de los arts. 81.1 y 134.2 CE. A continuación, expone el sistema de conciertos educativos previsto en la Ley Orgánica de educación, señalando que dicha norma no establece prohibición expresa alguna sobre la financiación de centros privados que practiquen la educación diferenciada.</w:t>
      </w:r>
    </w:p>
    <w:p w:rsidR="00AC56D6" w:rsidRDefault="00AC56D6" w:rsidP="00AC56D6">
      <w:pPr>
        <w:pStyle w:val="TextoNormal"/>
      </w:pPr>
    </w:p>
    <w:p w:rsidR="00AC56D6" w:rsidRDefault="00AC56D6" w:rsidP="00AC56D6">
      <w:pPr>
        <w:pStyle w:val="TextoNormal"/>
      </w:pPr>
      <w:r>
        <w:t xml:space="preserve">El Abogado del Estado parte de la consideración de que el Auto de planteamiento de la cuestión solo desarrolla de manera mínima la vulneración del art. 81.1 CE. A su juicio, no puede sostenerse que el art. 17.8 de la Ley 17/2012 suponga una innovación normativa que afecte al núcleo esencial del derecho fundamental a la educación, conforme a la doctrina constitucional. En su opinión, el art. 17 de la Ley 17/2012 lo que hace es concretar, para el ejercicio 2013, las previsiones de los arts. 116 y siguientes LOE; estos preceptos no tienen carácter orgánico, por lo que menos pueden tenerlo las previsiones dictadas en su desarrollo, que tienen además un carácter temporal limitado al ejercicio 2013. El cuestionado artículo 17.8 establece una concreción necesaria del ámbito subjetivo de los conciertos para la aplicación de las previsiones presupuestarias. Si bien admite que el precepto se dicta en un momento en que la jurisprudencia del Tribunal Supremo entendió que los centros con educación diferenciada vulneraban el principio de igualdad en su vertiente relativa a la no discriminación por razón de sexo </w:t>
      </w:r>
      <w:r w:rsidRPr="00AC56D6">
        <w:rPr>
          <w:i/>
        </w:rPr>
        <w:t>ex</w:t>
      </w:r>
      <w:r>
        <w:t xml:space="preserve"> art. 84.3 LOE y no podían por ello ser beneficiarios de conciertos educativos, lo cierto es que la Ley Orgánica de educación no contenía una normativa expresa al respecto. En su opinión, el artículo 17.8 no introduce una previsión sustantiva contraria o diferente al art. 84.3 LOE, aunque lo interprete de una manera distinta a la del Tribunal Supremo. Esta diferente interpretación, al entender dentro del ámbito subjetivo de los conciertos los centros con educación diferenciada, no invade el ámbito de ley orgánica, en cuanto no supone el desarrollo del núcleo esencial del derecho a la educación. Finalmente, alega que la modificación de la Ley Orgánica de educación por la Ley Orgánica 8/2013, de 9 de diciembre, que precisa que no se puede entender por discriminación por razón de sexo la escuela diferenciada y afirma que los centros de educación diferenciada tienen derecho, si cumplen con las condiciones legales, a concierto para su financiación, sólo aclara o interpreta las previsiones de la redacción anterior del art. 84.3 LOE. Concluye que la previsión del art. 17.8 de la Ley 17/2012 no afecta a la reserva de ley orgánica, por lo que este motivo debe ser rechazado.</w:t>
      </w:r>
    </w:p>
    <w:p w:rsidR="00AC56D6" w:rsidRDefault="00AC56D6" w:rsidP="00AC56D6">
      <w:pPr>
        <w:pStyle w:val="TextoNormal"/>
      </w:pPr>
    </w:p>
    <w:p w:rsidR="00AC56D6" w:rsidRDefault="00AC56D6" w:rsidP="00AC56D6">
      <w:pPr>
        <w:pStyle w:val="TextoNormal"/>
      </w:pPr>
      <w:r>
        <w:t>En segundo lugar, el Abogado del Estado rechaza, asimismo, que el precepto cuestionado vulnere el art. 134.2 CE, atendiendo a la doctrina constitucional sobre el contenido de la Ley de presupuestos. Partiendo de la misma, entiende que el artículo 17.8 integra el denominado “contenido eventual” de la Ley de presupuestos y no constituye una modificación sustantiva del ordenamiento jurídico. Tiene un carácter limitado en el ámbito temporal y tiene una conexión económica o presupuestaria evidente, que fundamenta en la remisión que el art. 117 LOE realiza a las leyes de presupuestos generales del Estado. La concreción del ámbito subjetivo de los centros beneficiarios de conciertos educativos es un elemento esencial para poder prever las habilitaciones presupuestarias. La incidencia en la ordenación del programa anual de gastos es necesaria y principal y por ello suficiente para legitimar su inclusión en la Ley de presupuestos. Se trata de una conexión con su objeto (habilitación de gastos) directa, inmediata y querida por la norma. La inclusión de los centros concertados en los módulos de concierto tiene relación con los estados de gasto de los presupuestos generales del Estado al tratar sobre la financiación de centros docentes concertados con cargo a los presupuestos de las Administraciones públicas.</w:t>
      </w:r>
    </w:p>
    <w:p w:rsidR="00AC56D6" w:rsidRDefault="00AC56D6" w:rsidP="00AC56D6">
      <w:pPr>
        <w:pStyle w:val="TextoNormal"/>
      </w:pPr>
    </w:p>
    <w:p w:rsidR="00AC56D6" w:rsidRDefault="00AC56D6" w:rsidP="00AC56D6">
      <w:pPr>
        <w:pStyle w:val="TextoNormal"/>
      </w:pPr>
      <w:r w:rsidRPr="00AC56D6">
        <w:rPr>
          <w:rStyle w:val="NumeroAFNegritaCaracter"/>
        </w:rPr>
        <w:t>7</w:t>
      </w:r>
      <w:r>
        <w:t>. El 13 de marzo de 2015 presentó sus alegaciones la Fiscal General del Estado, interesando la desestimación de la cuestión por las razones que se resumen a continuación.</w:t>
      </w:r>
    </w:p>
    <w:p w:rsidR="00AC56D6" w:rsidRDefault="00AC56D6" w:rsidP="00AC56D6">
      <w:pPr>
        <w:pStyle w:val="TextoNormal"/>
      </w:pPr>
    </w:p>
    <w:p w:rsidR="00AC56D6" w:rsidRDefault="00AC56D6" w:rsidP="00AC56D6">
      <w:pPr>
        <w:pStyle w:val="TextoNormal"/>
      </w:pPr>
      <w:r>
        <w:t>Expone, en primer lugar, los antecedentes de hecho de la cuestión, así como el contenido del art. 17 y de los anexos IV y V de la Ley 17/2012, de 27 de diciembre, y del propio Auto de planteamiento de la cuestión.</w:t>
      </w:r>
    </w:p>
    <w:p w:rsidR="00AC56D6" w:rsidRDefault="00AC56D6" w:rsidP="00AC56D6">
      <w:pPr>
        <w:pStyle w:val="TextoNormal"/>
      </w:pPr>
    </w:p>
    <w:p w:rsidR="00AC56D6" w:rsidRDefault="00AC56D6" w:rsidP="00AC56D6">
      <w:pPr>
        <w:pStyle w:val="TextoNormal"/>
      </w:pPr>
      <w:r>
        <w:t>Antes de abordar el examen de las cuestiones planteadas en el Auto, analiza la pervivencia del objeto, dado que las previsiones anteriormente citadas se limitaban al ejercicio presupuestario de 2013; llega a la conclusión de que, conforme a la doctrina de este Tribunal, no se ha producido la pérdida de objeto del presente proceso constitucional.</w:t>
      </w:r>
    </w:p>
    <w:p w:rsidR="00AC56D6" w:rsidRDefault="00AC56D6" w:rsidP="00AC56D6">
      <w:pPr>
        <w:pStyle w:val="TextoNormal"/>
      </w:pPr>
    </w:p>
    <w:p w:rsidR="00AC56D6" w:rsidRDefault="00AC56D6" w:rsidP="00AC56D6">
      <w:pPr>
        <w:pStyle w:val="TextoNormal"/>
      </w:pPr>
      <w:r>
        <w:t>En cuanto al fondo del asunto, considera, en primer lugar, que el art. 17.8 de la Ley 17/2012 no vulnera el art. 134. 2 CE, conforme a la doctrina constitucional. La regulación prevista en el citado precepto no puede ser escindida de su contexto, constituido no sólo por los números 1 a 7 del art. 17, sino también por los anexos IV y V de esa misma Ley. La norma cuestionada, en cuanto dispone que dicha regulación es plenamente aplicable a la financiación de todos los centros concertados, incluidos los de educación diferenciada que escolarizan alumnos de un solo sexo, no hace sino extender a estos una serie de disposiciones que obedecen sin ningún género de dudas al “contenido propio” o “núcleo esencial” del presupuesto.</w:t>
      </w:r>
    </w:p>
    <w:p w:rsidR="00AC56D6" w:rsidRDefault="00AC56D6" w:rsidP="00AC56D6">
      <w:pPr>
        <w:pStyle w:val="TextoNormal"/>
      </w:pPr>
    </w:p>
    <w:p w:rsidR="00AC56D6" w:rsidRDefault="00AC56D6" w:rsidP="00AC56D6">
      <w:pPr>
        <w:pStyle w:val="TextoNormal"/>
      </w:pPr>
      <w:r>
        <w:t xml:space="preserve">En segundo lugar, considera que el precepto cuestionado tampoco vulnera el art. 81.1 CE. Partiendo de la doctrina establecida en la STC 86/1985, afirma que el art. 27.9 CE, ni enuncia un derecho fundamental a la prestación pública, ni encierra un derecho subjetivo a la misma. Si, además, tal prestación pública habrá de ser dispuesta por la Ley, parece obvio concluir que esta materia no forma parte esencial del derecho consagrado en el art. 27.9 CE; siendo esto así, resulta igualmente obvio que no existe un deber </w:t>
      </w:r>
      <w:r w:rsidRPr="00AC56D6">
        <w:rPr>
          <w:i/>
        </w:rPr>
        <w:t>ex constitutione</w:t>
      </w:r>
      <w:r>
        <w:t xml:space="preserve"> de regular tal materia mediante ley orgánica.</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8</w:t>
      </w:r>
      <w:r>
        <w:t>. Por providencia de 26 de noviembre de 2015, se señaló para deliberación y votación de la presente Sentencia el día 30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Sección Tercera de la Sala de lo Contencioso-Administrativo del Tribunal Superior de Justicia de Andalucía, con sede en Sevilla, plantea cuestión de inconstitucionalidad sobre el art. 17.8 de la Ley 17/2012, de 27 de diciembre, de presupuestos generales del Estado para el año 2013 (en adelante, Ley 17/2012).</w:t>
      </w:r>
    </w:p>
    <w:p w:rsidR="00AC56D6" w:rsidRDefault="00AC56D6" w:rsidP="00AC56D6">
      <w:pPr>
        <w:pStyle w:val="TextoNormal"/>
      </w:pPr>
    </w:p>
    <w:p w:rsidR="00AC56D6" w:rsidRDefault="00AC56D6" w:rsidP="00AC56D6">
      <w:pPr>
        <w:pStyle w:val="TextoNormal"/>
      </w:pPr>
      <w:r>
        <w:t>El art. 17 de la citada Ley regula el módulo económico de distribución de fondos públicos para sostenimiento de centros concertados, en cumplimiento, conforme a su primer apartado, de lo dispuesto en el art. 117 de la Ley Orgánica 2/2006, de 3 de mayo, de educación (LOE). Este precepto determina que se fijará anualmente en los presupuestos generales del Estado el importe del módulo económico por unidad escolar, a efectos de distribución de la cuantía global de los fondos públicos destinados al sostenimiento de los centros privados concertados para hacer efectiva la gratuidad de las enseñanzas objeto de concierto. Asimismo, establece los diferentes conceptos que integran dicho módulo (salarios del personal docente, cantidades asignadas a otros gastos y cantidades para atender al pago de diferentes conceptos como los de antigüedad, sustituciones o ejercicio de la función directiva).</w:t>
      </w:r>
    </w:p>
    <w:p w:rsidR="00AC56D6" w:rsidRDefault="00AC56D6" w:rsidP="00AC56D6">
      <w:pPr>
        <w:pStyle w:val="TextoNormal"/>
      </w:pPr>
    </w:p>
    <w:p w:rsidR="00AC56D6" w:rsidRDefault="00AC56D6" w:rsidP="00AC56D6">
      <w:pPr>
        <w:pStyle w:val="TextoNormal"/>
      </w:pPr>
      <w:r>
        <w:t>El apartado 8 del art. 17 de la Ley 17/2012, objeto del presente proceso constitucional, determina lo siguiente:</w:t>
      </w:r>
    </w:p>
    <w:p w:rsidR="00AC56D6" w:rsidRDefault="00AC56D6" w:rsidP="00AC56D6">
      <w:pPr>
        <w:pStyle w:val="TextoNormal"/>
      </w:pPr>
    </w:p>
    <w:p w:rsidR="00AC56D6" w:rsidRDefault="00AC56D6" w:rsidP="00AC56D6">
      <w:pPr>
        <w:pStyle w:val="TextoNormal"/>
      </w:pPr>
      <w:r>
        <w:t>“Lo establecido en este artículo será plenamente aplicable a la financiación de todos los centros concertados incluidos los de educación diferenciada que escolarizan alumnos de un solo sexo, y ello, con independencia del modelo de agrupamiento de alumnos que realicen los centros docentes en el ejercicio de sus competencias.”</w:t>
      </w:r>
    </w:p>
    <w:p w:rsidR="00AC56D6" w:rsidRDefault="00AC56D6" w:rsidP="00AC56D6">
      <w:pPr>
        <w:pStyle w:val="TextoNormal"/>
      </w:pPr>
    </w:p>
    <w:p w:rsidR="00AC56D6" w:rsidRDefault="00AC56D6" w:rsidP="00AC56D6">
      <w:pPr>
        <w:pStyle w:val="TextoNormal"/>
      </w:pPr>
      <w:r>
        <w:t>En síntesis, entiende el órgano judicial que el art. 17.8 de la Ley 17/2012 podría vulnerar, tanto el art. 81.1 CE, pues está reservado a ley orgánica regular aspectos esenciales de un derecho fundamental, como el art. 134.2 CE, por no poder considerarse dicho párrafo contenido necesario ni eventual de la Ley de presupuestos, conforme a la doctrina constitucional.</w:t>
      </w:r>
    </w:p>
    <w:p w:rsidR="00AC56D6" w:rsidRDefault="00AC56D6" w:rsidP="00AC56D6">
      <w:pPr>
        <w:pStyle w:val="TextoNormal"/>
      </w:pPr>
    </w:p>
    <w:p w:rsidR="00AC56D6" w:rsidRDefault="00AC56D6" w:rsidP="00AC56D6">
      <w:pPr>
        <w:pStyle w:val="TextoNormal"/>
      </w:pPr>
      <w:r>
        <w:t>Como se ha dejado constancia en los antecedentes, tanto el Abogado del Estado como la Fiscal General del Estado interesan la desestimación de la cuestión, por entender que no concurren las vulneraciones constitucionales apreciadas por el órgano judicial.</w:t>
      </w:r>
    </w:p>
    <w:p w:rsidR="00AC56D6" w:rsidRDefault="00AC56D6" w:rsidP="00AC56D6">
      <w:pPr>
        <w:pStyle w:val="TextoNormal"/>
      </w:pPr>
    </w:p>
    <w:p w:rsidR="00AC56D6" w:rsidRDefault="00AC56D6" w:rsidP="00AC56D6">
      <w:pPr>
        <w:pStyle w:val="TextoNormal"/>
      </w:pPr>
      <w:r w:rsidRPr="00AC56D6">
        <w:rPr>
          <w:rStyle w:val="NumeroAFNegritaCaracter"/>
        </w:rPr>
        <w:t>2</w:t>
      </w:r>
      <w:r>
        <w:t>. En nuestra reciente STC 234/2015, de 5 de noviembre, hemos resuelto inadmitir una cuestión de inconstitucionalidad (núm. 6518-2014) idéntica a la presente, planteada por el mismo órgano judicial, por inadecuada formulación del juicio de relevancia (art. 35.1 de la Ley Orgánica del Tribunal Constitucional: LOTC). En consecuencia, por remisión a lo entonces razonado, la presente cuestión ha de correr igual suerte.</w:t>
      </w:r>
    </w:p>
    <w:p w:rsidR="00AC56D6" w:rsidRDefault="00AC56D6" w:rsidP="00AC56D6">
      <w:pPr>
        <w:pStyle w:val="TextoNormal"/>
      </w:pPr>
    </w:p>
    <w:p w:rsidR="00AC56D6" w:rsidRDefault="00AC56D6" w:rsidP="00AC56D6">
      <w:pPr>
        <w:pStyle w:val="TextoNormal"/>
      </w:pPr>
      <w:r>
        <w:lastRenderedPageBreak/>
        <w:t xml:space="preserve">En efecto, en la citada STC 234/2015, FJ 2, apreciamos que, en la explicación de la dependencia del fallo del proceso </w:t>
      </w:r>
      <w:r w:rsidRPr="00AC56D6">
        <w:rPr>
          <w:i/>
        </w:rPr>
        <w:t>a quo</w:t>
      </w:r>
      <w:r>
        <w:t xml:space="preserve"> sobre la validez constitucional de la norma cuestionada que realiza el órgano judicial, “no ha tenido en cuenta lo dispuesto en la disposición transitoria segunda de la Ley Orgánica 8/2013, de 9 de diciembre, para la mejora de la calidad educativa (LOMCE), en relación con la aplicación temporal de la redacción dada al art. 84.3 de la Ley Orgánica 2/2006, de 3 de mayo, de Educación (LOE), por el art. Único.71 LOMCE. Conforme a esta disposición transitoria ‘Los centros privados a los que en 2013 se les haya denegado la renovación del concierto educativo o reducido las unidades escolares concertadas por el único motivo de ofrecer educación diferenciada por sexos podrán solicitar que se les aplique lo indicado en el artículo 84.3 de esta Ley Orgánica para el resto del actual período de conciertos en el plazo de dos meses desde su entrada en vigor’. En relación con ello la nueva redacción del art. 84.3 LOE señala expresamente que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 Dado el tenor de tales preceptos, es claro que pudieran resultar directamente aplicables a un supuesto de hecho como el considerado en el caso a quo, cuyo objeto es una Orden autonómica de 27 de febrero de 2013, por la que se deniega la solicitud de renovación del concierto educativo con un centro docente privado, a partir del curso académico 2013-2014, precisamente por no cumplir con lo establecido en la redacción anterior del art. 84.3 LOE, en lo que se refiere a la no discriminación por razón de sexo al no comprometerse a escolarizar alumnado de ambos sexos. Pese a que la LOMCE entró en vigor a los veinte días de su publicación en el ‘Boletín Oficial del Estado’, que tuvo lugar el 10 de diciembre de 2013 y, por tanto, ya estaba vigente el 14 de octubre de 2014, momento en el que se acuerda plantear la cuestión dictando el correspondiente Auto, el órgano judicial no hace referencia alguna a este precepto en su argumentación, ni tampoco a las razones por las que, en su defecto, entiende que no es de aplicación al caso que ha de resolver”.</w:t>
      </w:r>
    </w:p>
    <w:p w:rsidR="00AC56D6" w:rsidRDefault="00AC56D6" w:rsidP="00AC56D6">
      <w:pPr>
        <w:pStyle w:val="TextoNormal"/>
      </w:pPr>
    </w:p>
    <w:p w:rsidR="00AC56D6" w:rsidRDefault="00AC56D6" w:rsidP="00AC56D6">
      <w:pPr>
        <w:pStyle w:val="TextoNormal"/>
      </w:pPr>
      <w:r>
        <w:t xml:space="preserve">Se ha entendido que “dicha omisión condiciona ineludiblemente la valoración acerca de la adecuada formulación de los juicios de aplicabilidad y relevancia exigidos para el planteamiento de la cuestión de inconstitucionalidad por el art. 35 LOTC”. Ello porque “en el supuesto que consideramos, teniendo presente lo dispuesto por la LOMCE y el silencio del órgano judicial al respecto, no puede asegurarse, en este momento, que el pronunciamiento de este Tribunal acerca del art. 17.8 de la Ley 17/2012, de 27 de diciembre, objeto de la presente cuestión, fuera necesario e imprescindible para resolver el caso sometido a la consideración de la Sala cuestionante, de manera que el juicio de constitucionalidad que se nos solicita sobre el precepto podría quedar desconectado de su aplicación al proceso </w:t>
      </w:r>
      <w:r w:rsidRPr="00AC56D6">
        <w:rPr>
          <w:i/>
        </w:rPr>
        <w:t>a quo</w:t>
      </w:r>
      <w:r>
        <w:t xml:space="preserve">. Es decir, se correría el riesgo de que el juicio a la ley se desarrollara ante este Tribunal sin necesidad ni pertinencia alguna, pues, realizado el enjuiciamiento y pronunciado el fallo que correspondiere, el proceso </w:t>
      </w:r>
      <w:r w:rsidRPr="00AC56D6">
        <w:rPr>
          <w:i/>
        </w:rPr>
        <w:t>a quo</w:t>
      </w:r>
      <w:r>
        <w:t xml:space="preserve"> podría concluir sin aplicar el precepto cuestionado y en atención a razones jurídicas ajenas a su conformidad o no a la Constitución. Ese sería el caso si el órgano judicial optase, una vez resuelta la cuestión, por aplicar la disposición transitoria segunda LOMCE”.</w:t>
      </w:r>
    </w:p>
    <w:p w:rsidR="00AC56D6" w:rsidRDefault="00AC56D6" w:rsidP="00AC56D6">
      <w:pPr>
        <w:pStyle w:val="TextoNormal"/>
      </w:pPr>
    </w:p>
    <w:p w:rsidR="00AC56D6" w:rsidRDefault="00AC56D6" w:rsidP="00AC56D6">
      <w:pPr>
        <w:pStyle w:val="TextoNormal"/>
      </w:pPr>
      <w:r>
        <w:t xml:space="preserve">En definitiva —concluimos en la STC 234/2015, FJ 2— “es indiscutible que el precepto cuestionado es aplicable para la resolución del pleito sometido a la consideración del órgano </w:t>
      </w:r>
      <w:r>
        <w:lastRenderedPageBreak/>
        <w:t>judicial, pero podría no ser el único relevante a la vista de lo regulado por la disposición transitoria segunda LOMCE en relación con el art. 84.3 LOE, reflexión que no aparece en el Auto de planteamiento, que guarda silencio respecto a la relación entre esta norma y la que ha cuestionado.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00AC56D6" w:rsidRDefault="00AC56D6" w:rsidP="00AC56D6">
      <w:pPr>
        <w:pStyle w:val="TextoNormal"/>
      </w:pPr>
    </w:p>
    <w:p w:rsidR="00AC56D6" w:rsidRDefault="00AC56D6" w:rsidP="00AC56D6">
      <w:pPr>
        <w:pStyle w:val="TextoNormal"/>
      </w:pPr>
      <w:r>
        <w:t>En consecuencia, por las mismas razones expresadas en la STC 234/2015, FJ 2, procede acordar también la inadmisión de la presente cuestión de inconstitucionalidad.</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Inadmitir la presente cuestión de inconstitucionalidad núm. 7403-2014 promovida por Sección Tercera de la Sala de lo Contencioso-Administrativo del Tribunal Superior de Justicia de Andalucía, con sede en Sevilla.</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treinta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14" w:name="SENTENCIA_2015_258"/>
      <w:r>
        <w:lastRenderedPageBreak/>
        <w:t>SENTENCIA 258/2015, de 30 de noviembre de 2015</w:t>
      </w:r>
    </w:p>
    <w:bookmarkEnd w:id="114"/>
    <w:p w:rsidR="00AC56D6" w:rsidRDefault="00AC56D6" w:rsidP="00AC56D6">
      <w:pPr>
        <w:pStyle w:val="TtuloResolucin"/>
      </w:pPr>
      <w:r>
        <w:t>Sala Primera</w:t>
      </w:r>
    </w:p>
    <w:p w:rsidR="00AC56D6" w:rsidRDefault="00AC56D6" w:rsidP="00AC56D6">
      <w:pPr>
        <w:pStyle w:val="TtuloBOE"/>
      </w:pPr>
      <w:r>
        <w:t>(BOE núm. 10, de 12 de enero de 2016)</w:t>
      </w:r>
    </w:p>
    <w:p w:rsidR="00AC56D6" w:rsidRDefault="00AC56D6" w:rsidP="00AC56D6">
      <w:pPr>
        <w:pStyle w:val="TextoNormalCentrado"/>
      </w:pPr>
      <w:r>
        <w:t>ECLI:ES:TC:2015:258</w:t>
      </w:r>
    </w:p>
    <w:p w:rsidR="00AC56D6" w:rsidRDefault="00AC56D6" w:rsidP="00AC56D6">
      <w:pPr>
        <w:pStyle w:val="TextoNormalCentrado"/>
      </w:pPr>
    </w:p>
    <w:p w:rsidR="00AC56D6" w:rsidRDefault="00AC56D6" w:rsidP="00AC56D6">
      <w:pPr>
        <w:pStyle w:val="SntesisDescriptiva"/>
      </w:pPr>
      <w:r>
        <w:t>Cuestión de inconstitucionalidad 7562-2014. Cuestión de inconstitucionalidad 7562-2014. Planteada por la Sala de lo Contencioso-Administrativo del Tribunal Superior de Justicia de Andalucía, con sede en Sevilla, en relación con el artículo 17.8 de la Ley 17/2012, de 27 de diciembre, de presupuestos generales del Estado para el año 2013.</w:t>
      </w:r>
    </w:p>
    <w:p w:rsidR="00AC56D6" w:rsidRDefault="00AC56D6" w:rsidP="00AC56D6">
      <w:pPr>
        <w:pStyle w:val="SntesisDescriptiva"/>
      </w:pPr>
    </w:p>
    <w:p w:rsidR="00AC56D6" w:rsidRDefault="00AC56D6" w:rsidP="00AC56D6">
      <w:pPr>
        <w:pStyle w:val="SntesisAnaltica"/>
      </w:pPr>
      <w:r>
        <w:t>Límites materiales de las leyes de presupuestos, reserva de ley orgánica: STC 234/2015 (inadmisión de la cuestión de inconstitucionalidad por inadecuada formulación del juicio de relevancia).</w:t>
      </w:r>
    </w:p>
    <w:p w:rsidR="00AC56D6" w:rsidRDefault="00AC56D6" w:rsidP="00AC56D6">
      <w:pPr>
        <w:pStyle w:val="SntesisAnaltica"/>
      </w:pPr>
    </w:p>
    <w:p w:rsidR="00AC56D6" w:rsidRDefault="00AC56D6" w:rsidP="00AC56D6">
      <w:pPr>
        <w:pStyle w:val="Extracto"/>
      </w:pPr>
      <w:r>
        <w:t>1.</w:t>
      </w:r>
      <w:r>
        <w:tab/>
        <w:t>Asunto sustancialmente idéntico al planteado en la STC 234/2015, que aplica la doctrina constitucional sobre la inadecuada formulación del juicio de relevancia [FJ 2].</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7562-2014 promovida por la Sección Tercera de la Sala de lo Contencioso-Administrativo del Tribunal Superior de Justicia de Andalucía, con sede en Sevilla, en relación con el art. 17.8 de la Ley 17/2012, de 27 de diciembre, de presupuestos generales del Estado para el año 2013. Ha comparecido y formulado alegaciones el Abogado del Estado. Ha intervenido el Fiscal General del Estado. Ha sido Ponente el Magistrado don Andrés Ollero Tassara,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El día 16 de diciembre de 2014 tuvo entrada en el Registro General de este Tribunal escrito de la Sección Tercera de la Sala de lo Contencioso-Administrativo del Tribunal Superior de Justicia de Andalucía, con sede en Sevilla, al que se acompaña, junto con el testimonio del procedimiento correspondiente, el Auto de 14 de octubre de 2014, en el que se acuerda plantear cuestión de inconstitucionalidad sobre el art. 17.8 de la Ley 17/2012, de </w:t>
      </w:r>
      <w:r>
        <w:lastRenderedPageBreak/>
        <w:t>27 de diciembre, de presupuestos generales del Estado para el año 2013, por posible vulneración de los arts. 81.1 y 134.2 CE.</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son, sucintamente expuestos, los siguientes:</w:t>
      </w:r>
    </w:p>
    <w:p w:rsidR="00AC56D6" w:rsidRDefault="00AC56D6" w:rsidP="00AC56D6">
      <w:pPr>
        <w:pStyle w:val="TextoNormal"/>
      </w:pPr>
    </w:p>
    <w:p w:rsidR="00AC56D6" w:rsidRDefault="00AC56D6" w:rsidP="00AC56D6">
      <w:pPr>
        <w:pStyle w:val="TextoNormal"/>
      </w:pPr>
      <w:r>
        <w:t>a) La asociación de madres y padres del colegio Altair interpuso recurso contencioso-administrativo contra la Orden de 27 de febrero de 2013, de la Consejería de Educación de la Junta de Andalucía, por la que se resuelve la solicitud de renovación del concierto educativo con el centro docente privado “Altair”, de Sevilla, a partir del curso académico 2013-2014. Dicha orden denegaba el concierto educativo para el referido centro docente por no cumplir presuntamente este con lo establecido en el art. 84.3 de la Ley Orgánica 2/2006, de 3 de mayo, de educación (LOE), en lo que se refiere a la no discriminación por razón de sexo, al escolarizar solo alumnos varones.</w:t>
      </w:r>
    </w:p>
    <w:p w:rsidR="00AC56D6" w:rsidRDefault="00AC56D6" w:rsidP="00AC56D6">
      <w:pPr>
        <w:pStyle w:val="TextoNormal"/>
      </w:pPr>
    </w:p>
    <w:p w:rsidR="00AC56D6" w:rsidRDefault="00AC56D6" w:rsidP="00AC56D6">
      <w:pPr>
        <w:pStyle w:val="TextoNormal"/>
      </w:pPr>
      <w:r>
        <w:t>b) El recurso contencioso-administrativo, interpuesto ante la Sala de lo Contencioso-Administrativo del Tribunal Superior de Justicia de Andalucía, con sede en Sevilla, se basaba, entre otros motivos de ilegalidad e inconstitucionalidad, en que la Administración había incumplido el mandato establecido en el art. 17.8 de la Ley 17/2012, de 27 de diciembre, que había entrado en vigor el 1 de enero de 2013. El Letrado de la Junta de Andalucía, en la contestación a la demanda, alegaba la inconstitucionalidad del citado artículo 17.8 por vulneración de la reserva de ley orgánica del art. 81 CE y por exceder del contenido admisible para una ley de presupuestos, con vulneración, además, del principio de igualdad de los arts. 9.3 y 14 CE; solicitaba a su vez el planteamiento de la cuestión de inconstitucionalidad para el caso de que la Sala estimase que dicho precepto legal es esencial para la resolución del asunto.</w:t>
      </w:r>
    </w:p>
    <w:p w:rsidR="00AC56D6" w:rsidRDefault="00AC56D6" w:rsidP="00AC56D6">
      <w:pPr>
        <w:pStyle w:val="TextoNormal"/>
      </w:pPr>
    </w:p>
    <w:p w:rsidR="00AC56D6" w:rsidRDefault="00AC56D6" w:rsidP="00AC56D6">
      <w:pPr>
        <w:pStyle w:val="TextoNormal"/>
      </w:pPr>
      <w:r>
        <w:t>c) Estando conclusas las actuaciones y señalado para votación y fallo el día 25 de junio de 2014, se dictó por la Sala providencia en esa misma fecha dando plazo común de diez días para alegaciones a las partes y al Ministerio Fiscal, conforme a lo dispuesto en los arts. 5.2 de la Ley Orgánica del Poder Judicial LOPJ y 35.2 de la Ley Orgánica del Tribunal Constitucional (LOTC), por considerar la Sala “que el artículo 17.8 de la Ley 17/2012, de 27 de diciembre, de Presupuestos Generales del Estado, de cuya validez depende el fallo, pudiera ser contrario a la Constitución”.</w:t>
      </w:r>
    </w:p>
    <w:p w:rsidR="00AC56D6" w:rsidRDefault="00AC56D6" w:rsidP="00AC56D6">
      <w:pPr>
        <w:pStyle w:val="TextoNormal"/>
      </w:pPr>
    </w:p>
    <w:p w:rsidR="00AC56D6" w:rsidRDefault="00AC56D6" w:rsidP="00AC56D6">
      <w:pPr>
        <w:pStyle w:val="TextoNormal"/>
      </w:pPr>
      <w:r>
        <w:t>d) Habiendo alegado el Ministerio Fiscal que la providencia citada no cumplía las exigencias del art. 35.2 LOTC, por no mencionar la norma constitucional cuya vulneración se cuestionaba y no justificar en qué medida la decisión del proceso dependía de su validez, se dictó otra nueva de 8 de septiembre de 2014, dando plazo común de diez días, conforme a lo dispuesto en los arts. 5.2 LOPJ y 35.2 LOTC, para que las partes y el Ministerio Fiscal alegasen sobre la inconstitucionalidad en que podría incurrir el art. 17.8 de la Ley 17/2012, de 27 de diciembre, de cuya validez depende el fallo, por vulneración de los arts. 81.1 y 134.2 CE. Considera la nueva providencia que, tras el dictado del precepto mencionado, la Administración no puede seguir aplicando la jurisprudencia recaída en interpretación de la Ley Orgánica de educación. Entiende que este precepto invade la reserva de ley orgánica y excede del contenido que la Constitución contempla para las leyes de presupuestos.</w:t>
      </w:r>
    </w:p>
    <w:p w:rsidR="00AC56D6" w:rsidRDefault="00AC56D6" w:rsidP="00AC56D6">
      <w:pPr>
        <w:pStyle w:val="TextoNormal"/>
      </w:pPr>
    </w:p>
    <w:p w:rsidR="00AC56D6" w:rsidRDefault="00AC56D6" w:rsidP="00AC56D6">
      <w:pPr>
        <w:pStyle w:val="TextoNormal"/>
      </w:pPr>
      <w:r>
        <w:lastRenderedPageBreak/>
        <w:t>e) Mediante escrito de 23 de septiembre de 2014, sin pronunciarse sobre el fondo del asunto y atendiendo solo a los aspectos formales, el Ministerio Fiscal expresó la procedencia de plantear la cuestión. El Letrado de la Junta de Andalucía, mediante escrito presentado el 7 de octubre de 2014, consideró que procedía el planteamiento de la cuestión, al estimar que el art. 17.8 de la Ley 17/2012, de 27 de diciembre, infringe el art. 81.1 CE, así como los arts. 9.3, 14, 66.2 y 134 CE. La asociación demandante no formuló alegaciones.</w:t>
      </w:r>
    </w:p>
    <w:p w:rsidR="00AC56D6" w:rsidRDefault="00AC56D6" w:rsidP="00AC56D6">
      <w:pPr>
        <w:pStyle w:val="TextoNormal"/>
      </w:pPr>
    </w:p>
    <w:p w:rsidR="00AC56D6" w:rsidRDefault="00AC56D6" w:rsidP="00AC56D6">
      <w:pPr>
        <w:pStyle w:val="TextoNormal"/>
      </w:pPr>
      <w:r w:rsidRPr="00AC56D6">
        <w:rPr>
          <w:rStyle w:val="NumeroAFNegritaCaracter"/>
        </w:rPr>
        <w:t>3</w:t>
      </w:r>
      <w:r>
        <w:t>. El órgano judicial dictó Auto de 14 de octubre de 2014, en el que acuerda plantear cuestión de inconstitucionalidad respecto al art. 17.8 de la Ley 17/2012, de 27 de diciembre, de presupuestos generales del Estado para el año 2013, por posible vulneración de los arts. 81.1 y 134.2 CE. Del contenido del Auto interesa destacar lo siguiente:</w:t>
      </w:r>
    </w:p>
    <w:p w:rsidR="00AC56D6" w:rsidRDefault="00AC56D6" w:rsidP="00AC56D6">
      <w:pPr>
        <w:pStyle w:val="TextoNormal"/>
      </w:pPr>
    </w:p>
    <w:p w:rsidR="00AC56D6" w:rsidRDefault="00AC56D6" w:rsidP="00AC56D6">
      <w:pPr>
        <w:pStyle w:val="TextoNormal"/>
      </w:pPr>
      <w:r>
        <w:t>El órgano judicial razona que tras la entrada en vigor de la Ley Orgánica de educación resultaba conforme a derecho, de acuerdo con la jurisprudencia del Tribunal Supremo, que la Administración rechazase celebrar conciertos educativos con centros docentes privados donde no se escolarizan alumnos de ambos sexos. El estado de la cuestión, prosigue, ha cambiado con la Ley 17/2012, cuyo artículo 17 relativo al “módulo económico de distribución de fondos públicos para sostenimiento de centros concertados” estableció, en su apartado ocho, que dicha norma es plenamente aplicable a la financiación de centros concertados, incluidos los de educación diferenciada que escolarizan alumnos de un solo sexo y ello con independencia del modelo de agrupamiento de alumnos que realicen los centros docentes en el ejercicio de sus competencias. De esta manera, si de acuerdo con la Ley Orgánica de educación los centros con educación diferenciada no podían acogerse a la financiación pública, tras la ley de presupuestos la regla es la contraria. Este precepto habría sido vulnerado por la resolución impugnada en el pleito principal, de modo que en su aplicación habría que dar razón a la recurrente en el pleito. No obstante, expresa dos dudas sobre su constitucionalidad:</w:t>
      </w:r>
    </w:p>
    <w:p w:rsidR="00AC56D6" w:rsidRDefault="00AC56D6" w:rsidP="00AC56D6">
      <w:pPr>
        <w:pStyle w:val="TextoNormal"/>
      </w:pPr>
    </w:p>
    <w:p w:rsidR="00AC56D6" w:rsidRDefault="00AC56D6" w:rsidP="00AC56D6">
      <w:pPr>
        <w:pStyle w:val="TextoNormal"/>
      </w:pPr>
      <w:r>
        <w:t>a) Relativa a la reserva a ley orgánica de la regulación de los aspectos esenciales de un derecho fundamental. Entiende el órgano judicial que no se había puesto en duda el sistema de la educación diferenciada hasta la entrada en vigor de la Ley Orgánica de educación, en cuyo artículo 84.3 se prohíbe expresamente en el régimen de admisión de alumnos la discriminación por razón de sexo. Dicho precepto, conforme a la interpretación realizada por el Tribunal Supremo, comporta que la educación separada por sexos dejó de estar autorizada para los centros docentes sostenidos con fondos públicos. Asimismo pone de relieve que en la reforma de la Ley Orgánica de educación se ha introducido, en el artículo 84.3 lo siguiente: “No constituye discriminación la admisión de alumnos y alumnas o la organización de la enseñanza diferenciadas por sexos, siempre que la enseñanza que impartan se desarrolle conforme a lo dispuesto en el artículo 2 de la Convención relativa a la lucha contra las discriminaciones en la esfera de la enseñanza, aprobada por la Conferencia General de la UNESCO el 14 de diciembre de 1960”.</w:t>
      </w:r>
    </w:p>
    <w:p w:rsidR="00AC56D6" w:rsidRDefault="00AC56D6" w:rsidP="00AC56D6">
      <w:pPr>
        <w:pStyle w:val="TextoNormal"/>
      </w:pPr>
    </w:p>
    <w:p w:rsidR="00AC56D6" w:rsidRDefault="00AC56D6" w:rsidP="00AC56D6">
      <w:pPr>
        <w:pStyle w:val="TextoNormal"/>
      </w:pPr>
      <w:r>
        <w:t xml:space="preserve">b) Relativa a los límites constitucionales de la Ley de presupuestos. La doctrina constitucional (STC 76/1992), establece los límites de las leyes de presupuestos, distinguiendo entre (i) el contenido necesario y (ii) el eventual, posible y no necesario, para el que se requiere la relación directa con los gastos e ingresos que integran el presupuesto o con los criterios de política económica de la que el presupuesto es instrumento. El precepto impugnado podría no cumplir los límites establecidos, en cuanto no contiene una previsión de </w:t>
      </w:r>
      <w:r>
        <w:lastRenderedPageBreak/>
        <w:t>gastos e ingresos; sería dudoso que, aun cuando pueda tener una relación directa con los ingresos o gastos del Estado, sea complemento necesario para su mejor inteligencia.</w:t>
      </w:r>
    </w:p>
    <w:p w:rsidR="00AC56D6" w:rsidRDefault="00AC56D6" w:rsidP="00AC56D6">
      <w:pPr>
        <w:pStyle w:val="TextoNormal"/>
      </w:pPr>
    </w:p>
    <w:p w:rsidR="00AC56D6" w:rsidRDefault="00AC56D6" w:rsidP="00AC56D6">
      <w:pPr>
        <w:pStyle w:val="TextoNormal"/>
      </w:pPr>
      <w:r w:rsidRPr="00AC56D6">
        <w:rPr>
          <w:rStyle w:val="NumeroAFNegritaCaracter"/>
        </w:rPr>
        <w:t>4</w:t>
      </w:r>
      <w:r>
        <w:t>. Mediante providencia de 3 de febrero de 2015, el Pleno del Tribunal Constitucional, a propuesta de la Sección Segunda, acuerda admitir a trámite la presente cuestión y, conforme a lo dispuesto en el art. 10.1 c) LOTC, deferir a la Sala Primera el conocimiento de la misma;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esta resolución a la Sección Tercera de la Sala de lo Contencioso-Administrativo del Tribunal Superior de Andalucía, con sede en Sevilla, a fin de que, de conformidad con lo dispuesto en el art. 35.3 LOTC, permanezca suspendido el proceso hasta que este Tribunal resuelva definitivamente la presente cuestión y publicar la incoación de la cuestión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El Presidente del Senado, mediante escrito registrado el 18 de febrero de 2015, comunicó a este Tribunal que la Mesa de la Cámara adoptó el acuerdo de personarse en el proceso, ofreciendo su colaboración a los efectos del art. 88.1 LOTC. Lo mismo hizo el Presidente del Congreso de los Diputados, por escrito que tuvo entrada en el Registro General de este Tribunal el 19 de febrero de 2015.</w:t>
      </w:r>
    </w:p>
    <w:p w:rsidR="00AC56D6" w:rsidRDefault="00AC56D6" w:rsidP="00AC56D6">
      <w:pPr>
        <w:pStyle w:val="TextoNormal"/>
      </w:pPr>
    </w:p>
    <w:p w:rsidR="00AC56D6" w:rsidRDefault="00AC56D6" w:rsidP="00AC56D6">
      <w:pPr>
        <w:pStyle w:val="TextoNormal"/>
      </w:pPr>
      <w:r w:rsidRPr="00AC56D6">
        <w:rPr>
          <w:rStyle w:val="NumeroAFNegritaCaracter"/>
        </w:rPr>
        <w:t>6</w:t>
      </w:r>
      <w:r>
        <w:t>. El 3 de marzo de 2015 se personó en el proceso el Abogado del Estado e interesó la desestimación de la cuestión por las razones que a continuación se resumen.</w:t>
      </w:r>
    </w:p>
    <w:p w:rsidR="00AC56D6" w:rsidRDefault="00AC56D6" w:rsidP="00AC56D6">
      <w:pPr>
        <w:pStyle w:val="TextoNormal"/>
      </w:pPr>
    </w:p>
    <w:p w:rsidR="00AC56D6" w:rsidRDefault="00AC56D6" w:rsidP="00AC56D6">
      <w:pPr>
        <w:pStyle w:val="TextoNormal"/>
      </w:pPr>
      <w:r>
        <w:t>Tras exponer los antecedentes del caso precisa que, a su juicio, la duda de constitucionalidad planteada se limita a la posible vulneración de los arts. 81.1 y 134.2 CE. A continuación, expone el sistema de conciertos educativos previsto en la Ley Orgánica de educación, señalando que dicha norma no establece prohibición expresa alguna sobre la financiación de centros privados que practiquen la educación diferenciada.</w:t>
      </w:r>
    </w:p>
    <w:p w:rsidR="00AC56D6" w:rsidRDefault="00AC56D6" w:rsidP="00AC56D6">
      <w:pPr>
        <w:pStyle w:val="TextoNormal"/>
      </w:pPr>
    </w:p>
    <w:p w:rsidR="00AC56D6" w:rsidRDefault="00AC56D6" w:rsidP="00AC56D6">
      <w:pPr>
        <w:pStyle w:val="TextoNormal"/>
      </w:pPr>
      <w:r>
        <w:t xml:space="preserve">El Abogado del Estado parte de la consideración de que el Auto de planteamiento de la cuestión solo desarrolla de manera mínima la vulneración del art. 81.1 CE. A su juicio, no puede sostenerse que el art. 17.8 de la Ley 17/2012 suponga una innovación normativa que afecte al núcleo esencial del derecho fundamental a la educación, conforme a la doctrina constitucional. En su opinión, el art. 17 de la Ley 17/2012 lo que hace es concretar, para el ejercicio 2013, las previsiones de los arts. 116 y ss. LOE; estos preceptos no tienen carácter orgánico, por lo que menos pueden tenerlo las previsiones dictadas en su desarrollo, que, tienen además un carácter temporal limitado al ejercicio 2013. El cuestionado artículo 17.8 establece una concreción necesaria del ámbito subjetivo de los conciertos para la aplicación de las previsiones presupuestarias. Si bien admite que el precepto se dicta en un momento en que la jurisprudencia del Tribunal Supremo entendió que los centros con educación diferenciada vulneraban el principio de igualdad en su vertiente relativa a la no discriminación por razón de sexo </w:t>
      </w:r>
      <w:r w:rsidRPr="00AC56D6">
        <w:rPr>
          <w:i/>
        </w:rPr>
        <w:t>ex</w:t>
      </w:r>
      <w:r>
        <w:t xml:space="preserve"> art. 84.3 LOE y no podían por ello ser beneficiarios de conciertos educativos, lo cierto es que la Ley Orgánica de educación no contenía una previsión expresa al respecto. En su opinión, el artículo 17.8 no introduce una previsión sustantiva contraria o </w:t>
      </w:r>
      <w:r>
        <w:lastRenderedPageBreak/>
        <w:t>diferente al art. 84.3 LOE, aunque lo interprete de una manera diferente al Tribunal Supremo. Esta diferente interpretación, al entender dentro del ámbito subjetivo de los conciertos los centros con educación diferenciada, no invade el ámbito de ley orgánica, en cuanto no supone el desarrollo del núcleo esencial del derecho a la educación. Finalmente, alega que la modificación de la Ley Orgánica de educación por la Ley Orgánica 8/2013, de 9 de diciembre, que precisa que no se puede entender por discriminación por razón de sexo la escuela diferenciada y afirma que los centros de educación diferenciada tienen derecho, si cumplen con las condiciones legales, a concierto para su financiación, sólo aclara o interpreta las previsiones de la redacción anterior del artículo 84.3 LOE. Concluye que la previsión del art. 17.8 de la Ley 17/2012 no afecta a la reserva de ley orgánica, por lo que este motivo debe ser rechazado.</w:t>
      </w:r>
    </w:p>
    <w:p w:rsidR="00AC56D6" w:rsidRDefault="00AC56D6" w:rsidP="00AC56D6">
      <w:pPr>
        <w:pStyle w:val="TextoNormal"/>
      </w:pPr>
    </w:p>
    <w:p w:rsidR="00AC56D6" w:rsidRDefault="00AC56D6" w:rsidP="00AC56D6">
      <w:pPr>
        <w:pStyle w:val="TextoNormal"/>
      </w:pPr>
      <w:r>
        <w:t>En segundo lugar, el Abogado del Estado rechaza, asimismo, que el precepto cuestionado vulnere el art. 134.2 CE, atendiendo a la doctrina constitucional sobre el contenido de la Ley de presupuestos. Partiendo de la misma, entiende que el artículo 17.8 integra el denominado “contenido eventual” de la ley de presupuestos y no constituye una modificación sustantiva del ordenamiento jurídico. Tiene un carácter limitado en el ámbito temporal y tiene una conexión económica o presupuestaria evidente, que fundamenta en la remisión que el art. 117 LOE realiza a las leyes de presupuestos generales del Estado. La concreción del ámbito subjetivo de los centros beneficiarios de conciertos educativos es un elemento esencial para poder prever las habilitaciones presupuestarias. La incidencia en la ordenación del programa anual de gastos es necesaria y principal y por ello suficiente para legitimar su inclusión en la ley de presupuestos. Se trata de una conexión con su objeto (habilitación de gastos) directa, inmediata y querida por la norma. La inclusión de los centros concertados en los módulos de concierto tiene relación con los estados de gasto de los presupuestos generales del Estado al tratar sobre la financiación de centros docentes concertados con cargo a los presupuestos de las Administraciones públicas.</w:t>
      </w:r>
    </w:p>
    <w:p w:rsidR="00AC56D6" w:rsidRDefault="00AC56D6" w:rsidP="00AC56D6">
      <w:pPr>
        <w:pStyle w:val="TextoNormal"/>
      </w:pPr>
    </w:p>
    <w:p w:rsidR="00AC56D6" w:rsidRDefault="00AC56D6" w:rsidP="00AC56D6">
      <w:pPr>
        <w:pStyle w:val="TextoNormal"/>
      </w:pPr>
      <w:r w:rsidRPr="00AC56D6">
        <w:rPr>
          <w:rStyle w:val="NumeroAFNegritaCaracter"/>
        </w:rPr>
        <w:t>7</w:t>
      </w:r>
      <w:r>
        <w:t>. El 6 de marzo de 2015 presentó sus alegaciones el Fiscal General del Estado, interesando la desestimación de la cuestión por las razones que se resumen a continuación.</w:t>
      </w:r>
    </w:p>
    <w:p w:rsidR="00AC56D6" w:rsidRDefault="00AC56D6" w:rsidP="00AC56D6">
      <w:pPr>
        <w:pStyle w:val="TextoNormal"/>
      </w:pPr>
    </w:p>
    <w:p w:rsidR="00AC56D6" w:rsidRDefault="00AC56D6" w:rsidP="00AC56D6">
      <w:pPr>
        <w:pStyle w:val="TextoNormal"/>
      </w:pPr>
      <w:r>
        <w:t>Expone, en primer lugar, los antecedentes de hecho de la cuestión, así como el contenido del art. 17 y de los anexos IV y V de la Ley 17/2012, de 27 de diciembre, y del propio Auto de planteamiento de la cuestión.</w:t>
      </w:r>
    </w:p>
    <w:p w:rsidR="00AC56D6" w:rsidRDefault="00AC56D6" w:rsidP="00AC56D6">
      <w:pPr>
        <w:pStyle w:val="TextoNormal"/>
      </w:pPr>
    </w:p>
    <w:p w:rsidR="00AC56D6" w:rsidRDefault="00AC56D6" w:rsidP="00AC56D6">
      <w:pPr>
        <w:pStyle w:val="TextoNormal"/>
      </w:pPr>
      <w:r>
        <w:t>Antes de abordar el examen de las cuestiones planteadas en el Auto, analiza la pervivencia del objeto, dado que las previsiones anteriormente citadas se limitaban al ejercicio presupuestario de 2013; llega a la conclusión de que, conforme a la doctrina de este Tribunal, no se ha producido la pérdida de objeto del presente proceso constitucional.</w:t>
      </w:r>
    </w:p>
    <w:p w:rsidR="00AC56D6" w:rsidRDefault="00AC56D6" w:rsidP="00AC56D6">
      <w:pPr>
        <w:pStyle w:val="TextoNormal"/>
      </w:pPr>
    </w:p>
    <w:p w:rsidR="00AC56D6" w:rsidRDefault="00AC56D6" w:rsidP="00AC56D6">
      <w:pPr>
        <w:pStyle w:val="TextoNormal"/>
      </w:pPr>
      <w:r>
        <w:t xml:space="preserve">En cuanto al fondo del asunto, considera, en primer lugar, que el art. 17.8 de la Ley 17/2012 no vulnera el art. 134. 2 CE, conforme a la doctrina constitucional. La regulación prevista en el citado precepto no puede ser escindida de su contexto, constituido no sólo por los números 1 a 7 del art. 17, sino también por los anexos IV y V de esa misma Ley. La norma cuestionada, en cuanto dispone que dicha regulación es plenamente aplicable a la financiación de todos los centros concertados, incluidos los de educación diferenciada que </w:t>
      </w:r>
      <w:r>
        <w:lastRenderedPageBreak/>
        <w:t>escolarizan alumnos de un solo sexo, no hace sino extender a estos una serie de disposiciones que obedecen sin ningún género de dudas al “contenido propio” o “núcleo esencial” del presupuesto.</w:t>
      </w:r>
    </w:p>
    <w:p w:rsidR="00AC56D6" w:rsidRDefault="00AC56D6" w:rsidP="00AC56D6">
      <w:pPr>
        <w:pStyle w:val="TextoNormal"/>
      </w:pPr>
    </w:p>
    <w:p w:rsidR="00AC56D6" w:rsidRDefault="00AC56D6" w:rsidP="00AC56D6">
      <w:pPr>
        <w:pStyle w:val="TextoNormal"/>
      </w:pPr>
      <w:r>
        <w:t xml:space="preserve">En segundo lugar, considera que el precepto cuestionado tampoco vulnera el art. 81.1 CE. Partiendo de la doctrina establecida en la STC 86/1985, afirma que el art. 27.9 CE ni enuncia un derecho fundamental a la prestación pública, ni encierra un derecho subjetivo a la misma. Si, además, tal prestación pública habrá de ser dispuesta por la Ley, parece obvio concluir que esta materia no forma parte esencial del derecho consagrado en el art. 27.9 CE; siendo esto así, resulta igualmente obvio que no existe un deber </w:t>
      </w:r>
      <w:r w:rsidRPr="00AC56D6">
        <w:rPr>
          <w:i/>
        </w:rPr>
        <w:t>ex constitutione</w:t>
      </w:r>
      <w:r>
        <w:t xml:space="preserve"> de regular tal materia mediante ley orgánica.</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26 de noviembre de 2015 se señaló para deliberación y votación de la presente Sentencia el día 30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Sección Tercera de la Sala de lo Contencioso-Administrativo del Tribunal Superior de Justicia de Andalucía, con sede en Sevilla, plantea cuestión de inconstitucionalidad sobre el art. 17.8 de la Ley 17/2012, de 27 de diciembre, de presupuestos generales del Estado para el año 2013 (en adelante, Ley 17/2012).</w:t>
      </w:r>
    </w:p>
    <w:p w:rsidR="00AC56D6" w:rsidRDefault="00AC56D6" w:rsidP="00AC56D6">
      <w:pPr>
        <w:pStyle w:val="TextoNormal"/>
      </w:pPr>
    </w:p>
    <w:p w:rsidR="00AC56D6" w:rsidRDefault="00AC56D6" w:rsidP="00AC56D6">
      <w:pPr>
        <w:pStyle w:val="TextoNormal"/>
      </w:pPr>
      <w:r>
        <w:t>El art. 17 de la citada Ley regula el módulo económico de distribución de fondos públicos para sostenimiento de centros concertados, en cumplimiento, conforme a su primer apartado, de lo dispuesto en el art. 117 de la Ley Orgánica 2/2006, de 3 de mayo, de educación (LOE). Este precepto determina que se fijará anualmente en los presupuestos generales del Estado el importe del módulo económico por unidad escolar, a efectos de distribución de la cuantía global de los fondos públicos destinados al sostenimiento de los centros privados concertados para hacer efectiva la gratuidad de las enseñanzas objeto de concierto. Asimismo, establece los diferentes conceptos que integran dicho módulo (salarios del personal docente, cantidades asignadas a otros gastos y cantidades para atender al pago de diferentes conceptos como los de antigüedad, sustituciones o ejercicio de la función directiva).</w:t>
      </w:r>
    </w:p>
    <w:p w:rsidR="00AC56D6" w:rsidRDefault="00AC56D6" w:rsidP="00AC56D6">
      <w:pPr>
        <w:pStyle w:val="TextoNormal"/>
      </w:pPr>
    </w:p>
    <w:p w:rsidR="00AC56D6" w:rsidRDefault="00AC56D6" w:rsidP="00AC56D6">
      <w:pPr>
        <w:pStyle w:val="TextoNormal"/>
      </w:pPr>
      <w:r>
        <w:t>El apartado 8 del art. 17 de la Ley 17/2012, objeto del presente proceso constitucional, determina lo siguiente:</w:t>
      </w:r>
    </w:p>
    <w:p w:rsidR="00AC56D6" w:rsidRDefault="00AC56D6" w:rsidP="00AC56D6">
      <w:pPr>
        <w:pStyle w:val="TextoNormal"/>
      </w:pPr>
    </w:p>
    <w:p w:rsidR="00AC56D6" w:rsidRDefault="00AC56D6" w:rsidP="00AC56D6">
      <w:pPr>
        <w:pStyle w:val="TextoNormal"/>
      </w:pPr>
      <w:r>
        <w:t>“Lo establecido en este artículo será plenamente aplicable a la financiación de todos los centros concertados incluidos los de educación diferenciada que escolarizan alumnos de un solo sexo, y ello, con independencia del modelo de agrupamiento de alumnos que realicen los centros docentes en el ejercicio de sus competencias.”</w:t>
      </w:r>
    </w:p>
    <w:p w:rsidR="00AC56D6" w:rsidRDefault="00AC56D6" w:rsidP="00AC56D6">
      <w:pPr>
        <w:pStyle w:val="TextoNormal"/>
      </w:pPr>
    </w:p>
    <w:p w:rsidR="00AC56D6" w:rsidRDefault="00AC56D6" w:rsidP="00AC56D6">
      <w:pPr>
        <w:pStyle w:val="TextoNormal"/>
      </w:pPr>
      <w:r>
        <w:t>En síntesis, entiende el órgano judicial que el art. 17.8 de la Ley 17/2012 podría vulnerar tanto el art. 81.1 CE, pues está reservado a ley orgánica regular aspectos esenciales de un derecho fundamental, como el art. 134.2 CE, por no poder considerarse dicho párrafo contenido necesario ni eventual de la Ley de presupuestos, conforme a la doctrina constitucional.</w:t>
      </w:r>
    </w:p>
    <w:p w:rsidR="00AC56D6" w:rsidRDefault="00AC56D6" w:rsidP="00AC56D6">
      <w:pPr>
        <w:pStyle w:val="TextoNormal"/>
      </w:pPr>
    </w:p>
    <w:p w:rsidR="00AC56D6" w:rsidRDefault="00AC56D6" w:rsidP="00AC56D6">
      <w:pPr>
        <w:pStyle w:val="TextoNormal"/>
      </w:pPr>
      <w:r>
        <w:lastRenderedPageBreak/>
        <w:t>Como se ha dejado constancia en los antecedentes, tanto el Abogado del Estado como el Fiscal General del Estado interesan la desestimación de la cuestión, por entender que no concurren las vulneraciones constitucionales apreciadas por el órgano judicial.</w:t>
      </w:r>
    </w:p>
    <w:p w:rsidR="00AC56D6" w:rsidRDefault="00AC56D6" w:rsidP="00AC56D6">
      <w:pPr>
        <w:pStyle w:val="TextoNormal"/>
      </w:pPr>
    </w:p>
    <w:p w:rsidR="00AC56D6" w:rsidRDefault="00AC56D6" w:rsidP="00AC56D6">
      <w:pPr>
        <w:pStyle w:val="TextoNormal"/>
      </w:pPr>
      <w:r w:rsidRPr="00AC56D6">
        <w:rPr>
          <w:rStyle w:val="NumeroAFNegritaCaracter"/>
        </w:rPr>
        <w:t>2</w:t>
      </w:r>
      <w:r>
        <w:t>. En nuestra reciente STC 234/2015, de 5 de noviembre, hemos resuelto inadmitir una cuestión de inconstitucionalidad (núm. 6518-2014) idéntica a la presente, planteada por el mismo órgano judicial, por inadecuada formulación del juicio de relevancia (art. 35.1 de la Ley Orgánica del Tribunal Constitucional: LOTC). En consecuencia, por remisión a lo entonces razonado, la presente cuestión ha de correr igual suerte.</w:t>
      </w:r>
    </w:p>
    <w:p w:rsidR="00AC56D6" w:rsidRDefault="00AC56D6" w:rsidP="00AC56D6">
      <w:pPr>
        <w:pStyle w:val="TextoNormal"/>
      </w:pPr>
    </w:p>
    <w:p w:rsidR="00AC56D6" w:rsidRDefault="00AC56D6" w:rsidP="00AC56D6">
      <w:pPr>
        <w:pStyle w:val="TextoNormal"/>
      </w:pPr>
      <w:r>
        <w:t xml:space="preserve">En efecto, en la citada STC 234/2015, FJ 2, apreciamos que en la explicación de la dependencia del fallo del proceso </w:t>
      </w:r>
      <w:r w:rsidRPr="00AC56D6">
        <w:rPr>
          <w:i/>
        </w:rPr>
        <w:t>a quo</w:t>
      </w:r>
      <w:r>
        <w:t xml:space="preserve"> de la validez constitucional de la norma cuestionada que realiza el órgano judicial “no ha tenido en cuenta lo dispuesto en la disposición transitoria segunda de la Ley Orgánica 8/2013, de 9 de diciembre, para la mejora de la calidad educativa (LOMCE), en relación con la aplicación temporal de la redacción dada al art. 84.3 de la Ley Orgánica 2/2006, de 3 de mayo, de Educación (LOE), por el art. Único.71 LOMCE. Conforme a esta disposición transitoria ‘Los centros privados a los que en 2013 se les haya denegado la renovación del concierto educativo o reducido las unidades escolares concertadas por el único motivo de ofrecer educación diferenciada por sexos podrán solicitar que se les aplique lo indicado en el artículo 84.3 de esta Ley Orgánica para el resto del actual período de conciertos en el plazo de dos meses desde su entrada en vigor’. En relación con ello la nueva redacción del art. 84.3 LOE señala expresamente que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w:t>
      </w:r>
    </w:p>
    <w:p w:rsidR="00AC56D6" w:rsidRDefault="00AC56D6" w:rsidP="00AC56D6">
      <w:pPr>
        <w:pStyle w:val="TextoNormal"/>
      </w:pPr>
    </w:p>
    <w:p w:rsidR="00AC56D6" w:rsidRDefault="00AC56D6" w:rsidP="00AC56D6">
      <w:pPr>
        <w:pStyle w:val="TextoNormal"/>
      </w:pPr>
      <w:r>
        <w:t xml:space="preserve">Dado el tenor de tales preceptos, es claro que pudieran resultar directamente aplicables a un supuesto de hecho como el considerado en el caso </w:t>
      </w:r>
      <w:r w:rsidRPr="00AC56D6">
        <w:rPr>
          <w:i/>
        </w:rPr>
        <w:t>a quo</w:t>
      </w:r>
      <w:r>
        <w:t>, cuyo objeto es una Orden autonómica de 27 de febrero de 2013, por la que se deniega la solicitud de renovación del concierto educativo con un centro docente privado, a partir del curso académico 2013-2014, precisamente por no cumplir con lo establecido en la redacción anterior del art. 84.3 LOE, en lo que se refiere a la no discriminación por razón de sexo al no comprometerse a escolarizar alumnado de ambos sexos. Pese a que la LOMCE entró en vigor a los veinte días de su publicación en el ‘Boletín Oficial del Estado’, que tuvo lugar el 10 de diciembre de 2013 y, por tanto, ya estaba vigente el 14 de octubre de 2014, momento en el que se acuerda plantear la cuestión dictando el correspondiente Auto, el órgano judicial no hace referencia alguna a este precepto en su argumentación, ni tampoco a las razones por las que, en su defecto, entiende que no es de aplicación al caso que ha de resolver”.</w:t>
      </w:r>
    </w:p>
    <w:p w:rsidR="00AC56D6" w:rsidRDefault="00AC56D6" w:rsidP="00AC56D6">
      <w:pPr>
        <w:pStyle w:val="TextoNormal"/>
      </w:pPr>
    </w:p>
    <w:p w:rsidR="00AC56D6" w:rsidRDefault="00AC56D6" w:rsidP="00AC56D6">
      <w:pPr>
        <w:pStyle w:val="TextoNormal"/>
      </w:pPr>
      <w:r>
        <w:t xml:space="preserve">Se entendió que “dicha omisión condiciona ineludiblemente la valoración acerca de la adecuada formulación de los juicios de aplicabilidad y relevancia exigidos para el planteamiento de la cuestión de inconstitucionalidad por el art. 35 LOTC”. Ello porque “en el supuesto que consideramos, teniendo presente lo dispuesto por la LOMCE y el silencio del órgano judicial al respecto, no puede asegurarse, en este momento, que el pronunciamiento de este Tribunal acerca del art. 17.8 de la Ley 17/2012, de 27 de diciembre, objeto de la </w:t>
      </w:r>
      <w:r>
        <w:lastRenderedPageBreak/>
        <w:t xml:space="preserve">presente cuestión, fuera necesario e imprescindible para resolver el caso sometido a la consideración de la Sala cuestionante, de manera que el juicio de constitucionalidad que se nos solicita sobre el precepto podría quedar desconectado de su aplicación al proceso </w:t>
      </w:r>
      <w:r w:rsidRPr="00AC56D6">
        <w:rPr>
          <w:i/>
        </w:rPr>
        <w:t>a quo</w:t>
      </w:r>
      <w:r>
        <w:t xml:space="preserve">. Es decir, se correría el riesgo de que el juicio a la ley se desarrollara ante este Tribunal sin necesidad ni pertinencia alguna, pues, realizado el enjuiciamiento y pronunciado el fallo que correspondiere, el proceso </w:t>
      </w:r>
      <w:r w:rsidRPr="00AC56D6">
        <w:rPr>
          <w:i/>
        </w:rPr>
        <w:t>a quo</w:t>
      </w:r>
      <w:r>
        <w:t xml:space="preserve"> podría concluir sin aplicar el precepto cuestionado y en atención a razones jurídicas ajenas a su conformidad o no a la Constitución. Ese sería el caso si el órgano judicial optase, una vez resuelta la cuestión, por aplicar la disposición transitoria segunda LOMCE”.</w:t>
      </w:r>
    </w:p>
    <w:p w:rsidR="00AC56D6" w:rsidRDefault="00AC56D6" w:rsidP="00AC56D6">
      <w:pPr>
        <w:pStyle w:val="TextoNormal"/>
      </w:pPr>
    </w:p>
    <w:p w:rsidR="00AC56D6" w:rsidRDefault="00AC56D6" w:rsidP="00AC56D6">
      <w:pPr>
        <w:pStyle w:val="TextoNormal"/>
      </w:pPr>
      <w:r>
        <w:t>En definitiva —concluimos en la STC 234/2015, FJ 2— “es indiscutible que el precepto cuestionado es aplicable para la resolución del pleito sometido a la consideración del órgano judicial, pero podría no ser el único relevante a la vista de lo regulado por la disposición transitoria segunda LOMCE en relación con el art. 84.3 LOE, reflexión que no aparece en el Auto de planteamiento, que guarda silencio respecto a la relación entre esta norma y la que ha cuestionado.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00AC56D6" w:rsidRDefault="00AC56D6" w:rsidP="00AC56D6">
      <w:pPr>
        <w:pStyle w:val="TextoNormal"/>
      </w:pPr>
    </w:p>
    <w:p w:rsidR="00AC56D6" w:rsidRDefault="00AC56D6" w:rsidP="00AC56D6">
      <w:pPr>
        <w:pStyle w:val="TextoNormal"/>
      </w:pPr>
      <w:r>
        <w:t>En consecuencia, por las mismas razones expresadas en la STC 234/2015, FJ 2, procede acordar también la inadmisión de la presente cuestión de inconstitucionalidad.</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Inadmitir la presente cuestión de inconstitucionalidad.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treinta de noviembre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15" w:name="SENTENCIA_2015_259"/>
      <w:r>
        <w:lastRenderedPageBreak/>
        <w:t>SENTENCIA 259/2015, de 2 de diciembre de 2015</w:t>
      </w:r>
    </w:p>
    <w:bookmarkEnd w:id="115"/>
    <w:p w:rsidR="00AC56D6" w:rsidRDefault="00AC56D6" w:rsidP="00AC56D6">
      <w:pPr>
        <w:pStyle w:val="TtuloResolucin"/>
      </w:pPr>
      <w:r>
        <w:t>Pleno</w:t>
      </w:r>
    </w:p>
    <w:p w:rsidR="00AC56D6" w:rsidRDefault="00AC56D6" w:rsidP="00AC56D6">
      <w:pPr>
        <w:pStyle w:val="TtuloBOE"/>
      </w:pPr>
      <w:r>
        <w:t>(BOE núm. 10, de 12 de enero de 2016)</w:t>
      </w:r>
    </w:p>
    <w:p w:rsidR="00AC56D6" w:rsidRDefault="00AC56D6" w:rsidP="00AC56D6">
      <w:pPr>
        <w:pStyle w:val="TextoNormalCentrado"/>
      </w:pPr>
      <w:r>
        <w:t>ECLI:ES:TC:2015:259</w:t>
      </w:r>
    </w:p>
    <w:p w:rsidR="00AC56D6" w:rsidRDefault="00AC56D6" w:rsidP="00AC56D6">
      <w:pPr>
        <w:pStyle w:val="TextoNormalCentrado"/>
      </w:pPr>
    </w:p>
    <w:p w:rsidR="00AC56D6" w:rsidRDefault="00AC56D6" w:rsidP="00AC56D6">
      <w:pPr>
        <w:pStyle w:val="SntesisDescriptiva"/>
      </w:pPr>
      <w:r>
        <w:t>Impugnación de disposiciones autonómicas 6330-2015. Impugnación de disposiciones autonómicas 6330-2015. Formulada por el Gobierno de la Nación respecto de la resolución del Parlamento de Cataluña 1/XI, de 9 de noviembre de 2015, sobre el inicio del proceso político en Cataluña como consecuencia de los resultados electorales del 27 de septiembre de 2015.</w:t>
      </w:r>
    </w:p>
    <w:p w:rsidR="00AC56D6" w:rsidRDefault="00AC56D6" w:rsidP="00AC56D6">
      <w:pPr>
        <w:pStyle w:val="SntesisDescriptiva"/>
      </w:pPr>
    </w:p>
    <w:p w:rsidR="00AC56D6" w:rsidRDefault="00AC56D6" w:rsidP="00AC56D6">
      <w:pPr>
        <w:pStyle w:val="SntesisAnaltica"/>
      </w:pPr>
      <w:r>
        <w:t>Soberanía y unidad de la nación; principio democrático y primacía incondicional de la Constitución, lealtad constitucional y fidelidad a la Constitución; procedimiento de reforma constitucional: nulidad de la resolución parlamentaria que declara solemnemente el inicio del proceso de creación de un estado catalán independiente en forma de república.</w:t>
      </w:r>
    </w:p>
    <w:p w:rsidR="00AC56D6" w:rsidRDefault="00AC56D6" w:rsidP="00AC56D6">
      <w:pPr>
        <w:pStyle w:val="SntesisAnaltica"/>
      </w:pPr>
    </w:p>
    <w:p w:rsidR="00AC56D6" w:rsidRDefault="00AC56D6" w:rsidP="00AC56D6">
      <w:pPr>
        <w:pStyle w:val="Extracto"/>
      </w:pPr>
      <w:r>
        <w:t>1.</w:t>
      </w:r>
      <w:r>
        <w:tab/>
        <w:t>La resolución sobre el inicio del proceso político en Cataluña desconoce y vulnera las normas constitucionales que residencian en el pueblo español la soberanía nacional y que, en correspondencia con ello, afirman la unidad de la nación española, titular de esa soberanía (arts. 1.2 y 2 CE) [FJ 6].</w:t>
      </w:r>
    </w:p>
    <w:p w:rsidR="00AC56D6" w:rsidRDefault="00AC56D6" w:rsidP="00AC56D6">
      <w:pPr>
        <w:pStyle w:val="Extracto"/>
      </w:pPr>
    </w:p>
    <w:p w:rsidR="00AC56D6" w:rsidRDefault="00AC56D6" w:rsidP="00AC56D6">
      <w:pPr>
        <w:pStyle w:val="Extracto"/>
      </w:pPr>
      <w:r>
        <w:t>2.</w:t>
      </w:r>
      <w:r>
        <w:tab/>
        <w:t>Sólo el pueblo español es soberano, y lo es de manera exclusiva e indivisible, a ningún otro sujeto u órgano del Estado o a ninguna fracción de ese pueblo puede un poder público atribuirle la cualidad de soberano (STC 42/2014) [FJ 4 a)].</w:t>
      </w:r>
    </w:p>
    <w:p w:rsidR="00AC56D6" w:rsidRDefault="00AC56D6" w:rsidP="00AC56D6">
      <w:pPr>
        <w:pStyle w:val="Extracto"/>
      </w:pPr>
    </w:p>
    <w:p w:rsidR="00AC56D6" w:rsidRDefault="00AC56D6" w:rsidP="00AC56D6">
      <w:pPr>
        <w:pStyle w:val="Extracto"/>
      </w:pPr>
      <w:r>
        <w:t>3.</w:t>
      </w:r>
      <w:r>
        <w:tab/>
        <w:t>Recae sobre los titulares de cargos públicos un cualificado deber de acatamiento a la Constitución, que no se cifra en una necesaria adhesión ideológica a su total contenido, pero sí en el compromiso de realizar sus funciones de acuerdo con ella y en el respeto al resto del ordenamiento jurídico (SSTC 101/1983, 122/1983) [FJ 4 b)].</w:t>
      </w:r>
    </w:p>
    <w:p w:rsidR="00AC56D6" w:rsidRDefault="00AC56D6" w:rsidP="00AC56D6">
      <w:pPr>
        <w:pStyle w:val="Extracto"/>
      </w:pPr>
    </w:p>
    <w:p w:rsidR="00AC56D6" w:rsidRDefault="00AC56D6" w:rsidP="00AC56D6">
      <w:pPr>
        <w:pStyle w:val="Extracto"/>
      </w:pPr>
      <w:r>
        <w:t>4.</w:t>
      </w:r>
      <w:r>
        <w:tab/>
        <w:t>En el Estado social y democrático de Derecho configurado por la Constitución de 1978 no cabe contraponer legitimidad democrática de un cuerpo legislativo y legalidad constitucional, en detrimento de la segunda: la legitimidad de una actuación o política del poder público consiste básicamente en su conformidad a la Constitución y al ordenamiento jurídico [FJ 5].</w:t>
      </w:r>
    </w:p>
    <w:p w:rsidR="00AC56D6" w:rsidRDefault="00AC56D6" w:rsidP="00AC56D6">
      <w:pPr>
        <w:pStyle w:val="Extracto"/>
      </w:pPr>
    </w:p>
    <w:p w:rsidR="00AC56D6" w:rsidRDefault="00AC56D6" w:rsidP="00AC56D6">
      <w:pPr>
        <w:pStyle w:val="Extracto"/>
      </w:pPr>
      <w:r>
        <w:t>5.</w:t>
      </w:r>
      <w:r>
        <w:tab/>
        <w:t>La Cámara autonómica no puede erigirse en fuente de legitimidad jurídica y política, hasta arrogarse la potestad de vulnerar el orden constitucional que sustenta su propia autoridad [FJ 7].</w:t>
      </w:r>
    </w:p>
    <w:p w:rsidR="00AC56D6" w:rsidRDefault="00AC56D6" w:rsidP="00AC56D6">
      <w:pPr>
        <w:pStyle w:val="Extracto"/>
      </w:pPr>
    </w:p>
    <w:p w:rsidR="00AC56D6" w:rsidRDefault="00AC56D6" w:rsidP="00AC56D6">
      <w:pPr>
        <w:pStyle w:val="Extracto"/>
      </w:pPr>
      <w:r>
        <w:t>6.</w:t>
      </w:r>
      <w:r>
        <w:tab/>
        <w:t>La aspiración política de la creación de un estado independiente puede ser defendida respetando la Constitución y, singularmente, los procedimientos para su revisión formal (SSTC 31/2010, 42/2014) [FJ 3].</w:t>
      </w:r>
    </w:p>
    <w:p w:rsidR="00AC56D6" w:rsidRDefault="00AC56D6" w:rsidP="00AC56D6">
      <w:pPr>
        <w:pStyle w:val="Extracto"/>
      </w:pPr>
    </w:p>
    <w:p w:rsidR="00AC56D6" w:rsidRDefault="00AC56D6" w:rsidP="00AC56D6">
      <w:pPr>
        <w:pStyle w:val="Extracto"/>
      </w:pPr>
      <w:r>
        <w:t>7.</w:t>
      </w:r>
      <w:r>
        <w:tab/>
        <w:t xml:space="preserve">La resolución sobre el inicio del proceso político en Cataluña es contraria al artículo 168 CE, al excluir el cauce constitucionalmente establecido para abordar </w:t>
      </w:r>
      <w:r>
        <w:lastRenderedPageBreak/>
        <w:t>una redefinición del orden constitucional como la que se pretende con aquella resolución [FJ 7].</w:t>
      </w:r>
    </w:p>
    <w:p w:rsidR="00AC56D6" w:rsidRDefault="00AC56D6" w:rsidP="00AC56D6">
      <w:pPr>
        <w:pStyle w:val="Extracto"/>
      </w:pPr>
    </w:p>
    <w:p w:rsidR="00AC56D6" w:rsidRDefault="00AC56D6" w:rsidP="00AC56D6">
      <w:pPr>
        <w:pStyle w:val="Extracto"/>
      </w:pPr>
      <w:r>
        <w:t>8.</w:t>
      </w:r>
      <w:r>
        <w:tab/>
        <w:t>La resolución sobre proceso político en Cataluña permite entender que el Parlamento autonómico, al adoptarla, está excluyendo la utilización de los cauces constitucionales (art. 168 CE) para la conversión en un estado independiente de lo que hoy es la Comunidad Autónoma de Cataluña [FJ 3].</w:t>
      </w:r>
    </w:p>
    <w:p w:rsidR="00AC56D6" w:rsidRDefault="00AC56D6" w:rsidP="00AC56D6">
      <w:pPr>
        <w:pStyle w:val="Extracto"/>
      </w:pPr>
    </w:p>
    <w:p w:rsidR="00AC56D6" w:rsidRDefault="00AC56D6" w:rsidP="00AC56D6">
      <w:pPr>
        <w:pStyle w:val="Extracto"/>
      </w:pPr>
      <w:r>
        <w:t>9.</w:t>
      </w:r>
      <w:r>
        <w:tab/>
        <w:t>Doctrina sobre la idoneidad de una resolución parlamentaria para ser objeto de impugnación a través del proceso constitucional, en virtud de los artículos 161.2 CE y 76 y 77 LOTC (STC 42/2014, ATC 135/2004) [FJ 2].</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impugnación de disposiciones autonómicas (título V LOTC) núm. 6330-2015, promovida por el Abogado del Estado, en representación del Gobierno de la Nación, contra la resolución del Parlamento de Cataluña 1/XI, de 9 de noviembre de 2015, sobre el inicio del proceso político en Cataluña como consecuencia de los resultados electorales del 27 de septiembre de 2015. Ha comparecido y formulado alegaciones el Parlamento de Cataluña. Ha sido Ponente el Magistrado don Andrés Ollero Tassara,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registrado en este Tribunal el día 11 de noviembre de 2015, el Abogado del Estado, en representación del Gobierno, impugnó, al amparo de los artículos 161.2 CE y 76 y 77 de la Ley Orgánica del Tribunal Constitucional (LOTC), la resolución del Parlamento de Cataluña 1/XI, de 9 de noviembre de 2015, sobre el inicio del proceso político en Cataluña como consecuencia de los resultados electorales del 27 de septiembre de 2015 (“Boletín Oficial del Parlamento de Cataluña” núm. 7, de 9 de noviembre de 2015).</w:t>
      </w:r>
    </w:p>
    <w:p w:rsidR="00AC56D6" w:rsidRDefault="00AC56D6" w:rsidP="00AC56D6">
      <w:pPr>
        <w:pStyle w:val="TextoNormal"/>
      </w:pPr>
    </w:p>
    <w:p w:rsidR="00AC56D6" w:rsidRDefault="00AC56D6" w:rsidP="00AC56D6">
      <w:pPr>
        <w:pStyle w:val="TextoNormal"/>
      </w:pPr>
      <w:r>
        <w:lastRenderedPageBreak/>
        <w:t>En el escrito se hizo expresa invocación del artículo 161.2 CE y del segundo inciso del artículo 77 LOTC, a los efectos de que se acordase la suspensión de la resolución impugnada.</w:t>
      </w:r>
    </w:p>
    <w:p w:rsidR="00AC56D6" w:rsidRDefault="00AC56D6" w:rsidP="00AC56D6">
      <w:pPr>
        <w:pStyle w:val="TextoNormal"/>
      </w:pPr>
    </w:p>
    <w:p w:rsidR="00AC56D6" w:rsidRDefault="00AC56D6" w:rsidP="00AC56D6">
      <w:pPr>
        <w:pStyle w:val="TextoNormal"/>
      </w:pPr>
      <w:r>
        <w:t>El contenido de la resolución impugnada (publicada en el “Boletín Oficial del Parlamento de Cataluña” núm. 7, del lunes 9 de noviembre de 2015) en su versión en castellano, difundida en su día por el Parlamento de Cataluña a través de su página web, resulta del siguiente tenor:</w:t>
      </w:r>
    </w:p>
    <w:p w:rsidR="00AC56D6" w:rsidRDefault="00AC56D6" w:rsidP="00AC56D6">
      <w:pPr>
        <w:pStyle w:val="TextoNormal"/>
      </w:pPr>
    </w:p>
    <w:p w:rsidR="00AC56D6" w:rsidRDefault="00AC56D6" w:rsidP="00AC56D6">
      <w:pPr>
        <w:pStyle w:val="TextoNormal"/>
      </w:pPr>
      <w:r>
        <w:t>“Resolución 1/XI del Parlamento de Cataluña de 9 de noviembre de 2015, sobre el inicio del proceso político en Cataluña como consecuencia de los resultados electorales del 27 de septiembre de 2015.</w:t>
      </w:r>
    </w:p>
    <w:p w:rsidR="00AC56D6" w:rsidRDefault="00AC56D6" w:rsidP="00AC56D6">
      <w:pPr>
        <w:pStyle w:val="TextoNormal"/>
      </w:pPr>
    </w:p>
    <w:p w:rsidR="00AC56D6" w:rsidRDefault="00AC56D6" w:rsidP="00AC56D6">
      <w:pPr>
        <w:pStyle w:val="TextoNormal"/>
      </w:pPr>
      <w:r>
        <w:t>Pleno del Parlamento de Cataluña.</w:t>
      </w:r>
    </w:p>
    <w:p w:rsidR="00AC56D6" w:rsidRDefault="00AC56D6" w:rsidP="00AC56D6">
      <w:pPr>
        <w:pStyle w:val="TextoNormal"/>
      </w:pPr>
    </w:p>
    <w:p w:rsidR="00AC56D6" w:rsidRDefault="00AC56D6" w:rsidP="00AC56D6">
      <w:pPr>
        <w:pStyle w:val="TextoNormal"/>
      </w:pPr>
      <w:r>
        <w:t>El Pleno del Parlamento de Cataluña, en la sesión celebrada el 9 de noviembre de 2015, ha debatido el texto de la Propuesta de resolución sobre el inicio del proceso político en Cataluña como consecuencia de los resultados electorales (tram. 250-00001/11), presentada por el Grupo Parlamentario de Junts pel Sí y por el Grupo Parlamentario de la Candidatura d'Unitat Popular-Crida Constituent, y las enmiendas presentadas por el Grupo Parlamentario de Junts pel Sí y por el Grupo Parlamentario de la Candidatura d'Unitat Popular-Crida Constituent (reg. 195), por el Grupo Parlamentario del Partit Popular de Catalunya (reg. 196) y por el Grupo Parlamentario de Catalunya Sí que es Pot (reg.198).</w:t>
      </w:r>
    </w:p>
    <w:p w:rsidR="00AC56D6" w:rsidRDefault="00AC56D6" w:rsidP="00AC56D6">
      <w:pPr>
        <w:pStyle w:val="TextoNormal"/>
      </w:pPr>
    </w:p>
    <w:p w:rsidR="00AC56D6" w:rsidRDefault="00AC56D6" w:rsidP="00AC56D6">
      <w:pPr>
        <w:pStyle w:val="TextoNormal"/>
      </w:pPr>
      <w:r>
        <w:t xml:space="preserve">Finalmente, de acuerdo con el artículo 165 del Reglamento, ha adoptado la siguiente </w:t>
      </w:r>
    </w:p>
    <w:p w:rsidR="00AC56D6" w:rsidRDefault="00AC56D6" w:rsidP="00AC56D6">
      <w:pPr>
        <w:pStyle w:val="TextoNormal"/>
      </w:pPr>
    </w:p>
    <w:p w:rsidR="00AC56D6" w:rsidRDefault="00AC56D6" w:rsidP="00AC56D6">
      <w:pPr>
        <w:pStyle w:val="TextoNormal"/>
      </w:pPr>
      <w:r>
        <w:t>Resolución</w:t>
      </w:r>
    </w:p>
    <w:p w:rsidR="00AC56D6" w:rsidRDefault="00AC56D6" w:rsidP="00AC56D6">
      <w:pPr>
        <w:pStyle w:val="TextoNormal"/>
      </w:pPr>
    </w:p>
    <w:p w:rsidR="00AC56D6" w:rsidRDefault="00AC56D6" w:rsidP="00AC56D6">
      <w:pPr>
        <w:pStyle w:val="TextoNormal"/>
      </w:pPr>
      <w:r>
        <w:t>‘PRIMERO.- El Parlamento de Cataluña constata que el mandato democrático obtenido en las pasadas elecciones del 27 de septiembre de 2015 se basa en una mayoría en escaños de las fuerzas parlamentarias que tienen como objetivo que Cataluña sea un estado independiente y en una amplia mayoría soberanista en votos y escaños que apuesta por la apertura de un proceso constituyente no subordinado.</w:t>
      </w:r>
    </w:p>
    <w:p w:rsidR="00AC56D6" w:rsidRDefault="00AC56D6" w:rsidP="00AC56D6">
      <w:pPr>
        <w:pStyle w:val="TextoNormal"/>
      </w:pPr>
    </w:p>
    <w:p w:rsidR="00AC56D6" w:rsidRDefault="00AC56D6" w:rsidP="00AC56D6">
      <w:pPr>
        <w:pStyle w:val="TextoNormal"/>
      </w:pPr>
      <w:r>
        <w:t>SEGUNDO.- El Parlamento de Cataluña declara solemnemente el inicio del proceso de creación de un estado catalán independiente en forma de república.</w:t>
      </w:r>
    </w:p>
    <w:p w:rsidR="00AC56D6" w:rsidRDefault="00AC56D6" w:rsidP="00AC56D6">
      <w:pPr>
        <w:pStyle w:val="TextoNormal"/>
      </w:pPr>
    </w:p>
    <w:p w:rsidR="00AC56D6" w:rsidRDefault="00AC56D6" w:rsidP="00AC56D6">
      <w:pPr>
        <w:pStyle w:val="TextoNormal"/>
      </w:pPr>
      <w:r>
        <w:t>TERCERO.- El Parlamento de Cataluña proclama la apertura de un proceso constituyente ciudadano, participativo, abierto, integrador y activo para preparar las bases de la futura constitución catalana.</w:t>
      </w:r>
    </w:p>
    <w:p w:rsidR="00AC56D6" w:rsidRDefault="00AC56D6" w:rsidP="00AC56D6">
      <w:pPr>
        <w:pStyle w:val="TextoNormal"/>
      </w:pPr>
    </w:p>
    <w:p w:rsidR="00AC56D6" w:rsidRDefault="00AC56D6" w:rsidP="00AC56D6">
      <w:pPr>
        <w:pStyle w:val="TextoNormal"/>
      </w:pPr>
      <w:r>
        <w:t>CUARTO.- El Parlamento de Cataluña insta al futuro gobierno a adoptar las medidas necesarias para hacer efectivas estas declaraciones.</w:t>
      </w:r>
    </w:p>
    <w:p w:rsidR="00AC56D6" w:rsidRDefault="00AC56D6" w:rsidP="00AC56D6">
      <w:pPr>
        <w:pStyle w:val="TextoNormal"/>
      </w:pPr>
    </w:p>
    <w:p w:rsidR="00AC56D6" w:rsidRDefault="00AC56D6" w:rsidP="00AC56D6">
      <w:pPr>
        <w:pStyle w:val="TextoNormal"/>
      </w:pPr>
      <w:r>
        <w:t>QUINTO.- El Parlamento de Cataluña considera pertinente iniciar en el plazo de treinta días la tramitación de las leyes de proceso constituyente, de seguridad social y de hacienda pública.</w:t>
      </w:r>
    </w:p>
    <w:p w:rsidR="00AC56D6" w:rsidRDefault="00AC56D6" w:rsidP="00AC56D6">
      <w:pPr>
        <w:pStyle w:val="TextoNormal"/>
      </w:pPr>
    </w:p>
    <w:p w:rsidR="00AC56D6" w:rsidRDefault="00AC56D6" w:rsidP="00AC56D6">
      <w:pPr>
        <w:pStyle w:val="TextoNormal"/>
      </w:pPr>
      <w:r>
        <w:lastRenderedPageBreak/>
        <w:t>SEXTO.- El Parlamento de Cataluña, como depositario de la soberanía y como expresión del poder constituyente, reitera que esta cámara y el proceso de desconexión democrática del Estado español no se supeditarán a las decisiones de las instituciones del Estado español, en particular del Tribunal Constitucional, que considera falto de legitimidad y de competencia a raíz de la sentencia de junio de 2010 sobre el Estatuto de autonomía de Cataluña, votado previamente por el pueblo en referéndum, entre otras sentencias.</w:t>
      </w:r>
    </w:p>
    <w:p w:rsidR="00AC56D6" w:rsidRDefault="00AC56D6" w:rsidP="00AC56D6">
      <w:pPr>
        <w:pStyle w:val="TextoNormal"/>
      </w:pPr>
    </w:p>
    <w:p w:rsidR="00AC56D6" w:rsidRDefault="00AC56D6" w:rsidP="00AC56D6">
      <w:pPr>
        <w:pStyle w:val="TextoNormal"/>
      </w:pPr>
      <w:r>
        <w:t>SÉPTIMO.- El Parlamento de Cataluña debe adoptar las medidas necesarias para abrir este proceso de desconexión del Estado español, de una forma democrática, masiva, sostenida y pacífica que permita el empoderamiento de la ciudadanía a todos los niveles y se base en una participación abierta, activa e integradora.</w:t>
      </w:r>
    </w:p>
    <w:p w:rsidR="00AC56D6" w:rsidRDefault="00AC56D6" w:rsidP="00AC56D6">
      <w:pPr>
        <w:pStyle w:val="TextoNormal"/>
      </w:pPr>
    </w:p>
    <w:p w:rsidR="00AC56D6" w:rsidRDefault="00AC56D6" w:rsidP="00AC56D6">
      <w:pPr>
        <w:pStyle w:val="TextoNormal"/>
      </w:pPr>
      <w:r>
        <w:t>OCTAVO.- El Parlamento de Cataluña insta al futuro gobierno a cumplir exclusivamente las normas o los mandatos emanados de esta cámara, legítima y democrática, a fin de blindar los derechos fundamentales que puedan resultar afectados por decisiones de las instituciones del Estado español, como los especificados en el anexo de esta resolución.</w:t>
      </w:r>
    </w:p>
    <w:p w:rsidR="00AC56D6" w:rsidRDefault="00AC56D6" w:rsidP="00AC56D6">
      <w:pPr>
        <w:pStyle w:val="TextoNormal"/>
      </w:pPr>
    </w:p>
    <w:p w:rsidR="00AC56D6" w:rsidRDefault="00AC56D6" w:rsidP="00AC56D6">
      <w:pPr>
        <w:pStyle w:val="TextoNormal"/>
      </w:pPr>
      <w:r>
        <w:t>NOVENO.- El Parlamento de Cataluña declara su voluntad de iniciar negociaciones para hacer efectivo el mandato democrático de creación de un estado catalán independiente en forma de república, y acuerda ponerlo en conocimiento del Estado español, de la Unión Europea y del conjunto de la comunidad internacional.</w:t>
      </w:r>
    </w:p>
    <w:p w:rsidR="00AC56D6" w:rsidRDefault="00AC56D6" w:rsidP="00AC56D6">
      <w:pPr>
        <w:pStyle w:val="TextoNormal"/>
      </w:pPr>
    </w:p>
    <w:p w:rsidR="00AC56D6" w:rsidRDefault="00AC56D6" w:rsidP="00AC56D6">
      <w:pPr>
        <w:pStyle w:val="TextoNormal"/>
      </w:pPr>
      <w:r>
        <w:t>ANEXO. Medidas que deberá aplicar el futuro gobierno de Cataluña destinadas a blindar derechos fundamentales afectados por decisiones de las instituciones del Estado español.</w:t>
      </w:r>
    </w:p>
    <w:p w:rsidR="00AC56D6" w:rsidRDefault="00AC56D6" w:rsidP="00AC56D6">
      <w:pPr>
        <w:pStyle w:val="TextoNormal"/>
      </w:pPr>
    </w:p>
    <w:p w:rsidR="00AC56D6" w:rsidRDefault="00AC56D6" w:rsidP="00AC56D6">
      <w:pPr>
        <w:pStyle w:val="TextoNormal"/>
      </w:pPr>
      <w:r>
        <w:t>1</w:t>
      </w:r>
      <w:r w:rsidRPr="00AC56D6">
        <w:rPr>
          <w:i/>
        </w:rPr>
        <w:t>. Pobreza energéti</w:t>
      </w:r>
      <w:r>
        <w:t>ca</w:t>
      </w:r>
    </w:p>
    <w:p w:rsidR="00AC56D6" w:rsidRDefault="00AC56D6" w:rsidP="00AC56D6">
      <w:pPr>
        <w:pStyle w:val="TextoNormal"/>
      </w:pPr>
    </w:p>
    <w:p w:rsidR="00AC56D6" w:rsidRDefault="00AC56D6" w:rsidP="00AC56D6">
      <w:pPr>
        <w:pStyle w:val="TextoNormal"/>
      </w:pPr>
      <w:r>
        <w:t>Para garantizar que ninguna persona se vea privada del acceso a los suministros básicos, el futuro gobierno debe desplegar las medidas para evitar la pobreza energética aprobadas mediante la Ley 24/2015, de 29 de julio, de medidas urgentes para afrontar la emergencia en el ámbito de la vivienda y la pobreza energética, de modo que se garantice el derecho de acceso a los suministros básicos de agua potable, gas y electricidad a las personas y unidades familiares en situación de riesgo de exclusión residencial, mientras dure esta situación.</w:t>
      </w:r>
    </w:p>
    <w:p w:rsidR="00AC56D6" w:rsidRDefault="00AC56D6" w:rsidP="00AC56D6">
      <w:pPr>
        <w:pStyle w:val="TextoNormal"/>
      </w:pPr>
    </w:p>
    <w:p w:rsidR="00AC56D6" w:rsidRDefault="00AC56D6" w:rsidP="00AC56D6">
      <w:pPr>
        <w:pStyle w:val="TextoNormal"/>
      </w:pPr>
      <w:r>
        <w:t>2</w:t>
      </w:r>
      <w:r w:rsidRPr="00AC56D6">
        <w:rPr>
          <w:i/>
        </w:rPr>
        <w:t>. Vivien</w:t>
      </w:r>
      <w:r>
        <w:t>da</w:t>
      </w:r>
    </w:p>
    <w:p w:rsidR="00AC56D6" w:rsidRDefault="00AC56D6" w:rsidP="00AC56D6">
      <w:pPr>
        <w:pStyle w:val="TextoNormal"/>
      </w:pPr>
    </w:p>
    <w:p w:rsidR="00AC56D6" w:rsidRDefault="00AC56D6" w:rsidP="00AC56D6">
      <w:pPr>
        <w:pStyle w:val="TextoNormal"/>
      </w:pPr>
      <w:r>
        <w:t>Para garantizar que ninguna persona se vea privada del acceso a una vivienda digna, el futuro gobierno debe trabajar en la aplicación del nuevo marco normativo regulado por la Ley 24/2015, de 29 de julio, de medidas urgentes para afrontar la emergencia en el ámbito de la vivienda y la pobreza energética. En este marco, el futuro gobierno debe garantizar que en procesos de desahucio de la vivienda habitual que afecten a personas y unidades familiares en situación de riesgo de exclusión residencial se cumpla, para poder hacer efectivo el desahucio, el principio de realojamiento adecuado de las personas y unidades familiares afectadas.</w:t>
      </w:r>
    </w:p>
    <w:p w:rsidR="00AC56D6" w:rsidRDefault="00AC56D6" w:rsidP="00AC56D6">
      <w:pPr>
        <w:pStyle w:val="TextoNormal"/>
      </w:pPr>
    </w:p>
    <w:p w:rsidR="00AC56D6" w:rsidRDefault="00AC56D6" w:rsidP="00AC56D6">
      <w:pPr>
        <w:pStyle w:val="TextoNormal"/>
      </w:pPr>
      <w:r>
        <w:t xml:space="preserve">Asimismo, de forma urgente, el futuro gobierno debe llevar a cabo modificaciones normativas que permitan hacer efectivas las disposiciones de dicha Ley 24/2015, como es el caso del reglamento de funcionamiento de las mesas de valoración para la adjudicación de </w:t>
      </w:r>
      <w:r>
        <w:lastRenderedPageBreak/>
        <w:t>viviendas para situaciones de emergencias económicas y sociales y para otros casos de necesidades especiales en el ámbito de la Agencia de la Vivienda de Cataluña.</w:t>
      </w:r>
    </w:p>
    <w:p w:rsidR="00AC56D6" w:rsidRDefault="00AC56D6" w:rsidP="00AC56D6">
      <w:pPr>
        <w:pStyle w:val="TextoNormal"/>
      </w:pPr>
    </w:p>
    <w:p w:rsidR="00AC56D6" w:rsidRDefault="00AC56D6" w:rsidP="00AC56D6">
      <w:pPr>
        <w:pStyle w:val="TextoNormal"/>
      </w:pPr>
      <w:r>
        <w:t>3</w:t>
      </w:r>
      <w:r w:rsidRPr="00AC56D6">
        <w:rPr>
          <w:i/>
        </w:rPr>
        <w:t>. Sanid</w:t>
      </w:r>
      <w:r>
        <w:t>ad</w:t>
      </w:r>
    </w:p>
    <w:p w:rsidR="00AC56D6" w:rsidRDefault="00AC56D6" w:rsidP="00AC56D6">
      <w:pPr>
        <w:pStyle w:val="TextoNormal"/>
      </w:pPr>
    </w:p>
    <w:p w:rsidR="00AC56D6" w:rsidRDefault="00AC56D6" w:rsidP="00AC56D6">
      <w:pPr>
        <w:pStyle w:val="TextoNormal"/>
      </w:pPr>
      <w:r>
        <w:t>En el ámbito de las políticas de salud, el futuro gobierno debe garantizar el acceso universal a la atención sanitaria pública y de calidad, mediante el Servicio Catalán de la Salud (Catsalut), a todas las personas que viven en Cataluña. Ninguna persona puede quedar excluida por razones de origen, tenga o no la condición de asegurada o beneficiaria del Sistema Nacional de Salud, y con independencia de si consta o no en el padrón. Asimismo, ningún ciudadano puede verse privado de asistencia farmacéutica por motivos económicos.</w:t>
      </w:r>
    </w:p>
    <w:p w:rsidR="00AC56D6" w:rsidRDefault="00AC56D6" w:rsidP="00AC56D6">
      <w:pPr>
        <w:pStyle w:val="TextoNormal"/>
      </w:pPr>
    </w:p>
    <w:p w:rsidR="00AC56D6" w:rsidRDefault="00AC56D6" w:rsidP="00AC56D6">
      <w:pPr>
        <w:pStyle w:val="TextoNormal"/>
      </w:pPr>
      <w:r>
        <w:t>De acuerdo con varias resoluciones aprobadas por el Parlamento, no pueden llevarse a cabo nuevos concursos para la gestión de centros de atención primaria.</w:t>
      </w:r>
    </w:p>
    <w:p w:rsidR="00AC56D6" w:rsidRDefault="00AC56D6" w:rsidP="00AC56D6">
      <w:pPr>
        <w:pStyle w:val="TextoNormal"/>
      </w:pPr>
    </w:p>
    <w:p w:rsidR="00AC56D6" w:rsidRDefault="00AC56D6" w:rsidP="00AC56D6">
      <w:pPr>
        <w:pStyle w:val="TextoNormal"/>
      </w:pPr>
      <w:r>
        <w:t>4</w:t>
      </w:r>
      <w:r w:rsidRPr="00AC56D6">
        <w:rPr>
          <w:i/>
        </w:rPr>
        <w:t>. Educaci</w:t>
      </w:r>
      <w:r>
        <w:t>ón</w:t>
      </w:r>
    </w:p>
    <w:p w:rsidR="00AC56D6" w:rsidRDefault="00AC56D6" w:rsidP="00AC56D6">
      <w:pPr>
        <w:pStyle w:val="TextoNormal"/>
      </w:pPr>
    </w:p>
    <w:p w:rsidR="00AC56D6" w:rsidRDefault="00AC56D6" w:rsidP="00AC56D6">
      <w:pPr>
        <w:pStyle w:val="TextoNormal"/>
      </w:pPr>
      <w:r>
        <w:t>El Parlamento de Cataluña interpuso un recurso de inconstitucionalidad contra una gran parte del articulado de la Ley orgánica 8/2013, de 9 de diciembre, de mejora de la calidad educativa, recurso que fue admitido a trámite el 3 de abril de 2014. En esta impugnación, avalada por el dictamen del Consejo de Garantías Estatutarias, se argumentaba que los preceptos impugnados de dicha ley orgánica son contrarios a las competencias que corresponden a la Generalidad en esta materia, contrarios al modelo educativo catalán establecido por la Ley de educación de Cataluña y contrarios a los consensos obtenidos por el conjunto de la comunidad educativa. En coherencia con este recurso, el futuro gobierno debe velar en su actuación en materia de educación por la plena vigencia y el respeto de las competencias establecidas en favor de las administraciones catalanas y por mantener los consensos obtenidos por el conjunto de la comunidad educativa.</w:t>
      </w:r>
    </w:p>
    <w:p w:rsidR="00AC56D6" w:rsidRDefault="00AC56D6" w:rsidP="00AC56D6">
      <w:pPr>
        <w:pStyle w:val="TextoNormal"/>
      </w:pPr>
    </w:p>
    <w:p w:rsidR="00AC56D6" w:rsidRDefault="00AC56D6" w:rsidP="00AC56D6">
      <w:pPr>
        <w:pStyle w:val="TextoNormal"/>
      </w:pPr>
      <w:r>
        <w:t>5</w:t>
      </w:r>
      <w:r w:rsidRPr="00AC56D6">
        <w:rPr>
          <w:i/>
        </w:rPr>
        <w:t>. Garantía de las libertades públic</w:t>
      </w:r>
      <w:r>
        <w:t>as</w:t>
      </w:r>
    </w:p>
    <w:p w:rsidR="00AC56D6" w:rsidRDefault="00AC56D6" w:rsidP="00AC56D6">
      <w:pPr>
        <w:pStyle w:val="TextoNormal"/>
      </w:pPr>
    </w:p>
    <w:p w:rsidR="00AC56D6" w:rsidRDefault="00AC56D6" w:rsidP="00AC56D6">
      <w:pPr>
        <w:pStyle w:val="TextoNormal"/>
      </w:pPr>
      <w:r>
        <w:t>El Parlamento de Cataluña interpuso un recurso de inconstitucionalidad contra algunos artículos de la Ley orgánica 4/2015, de protección de la seguridad ciudadana, recurso que fue admitido a trámite el 21 de julio de 2015. En esta impugnación, avalada por el dictamen del Consejo de Garantías Estatutarias, se argumentaba que los preceptos impugnados de dicha ley orgánica son contrarios a derechos fundamentales amparados por textos internacionales como la Declaración universal de los derechos humanos o el Convenio europeo de derechos humanos y por la jurisprudencia del Tribunal Europeo de los Derechos Humanos. En coherencia con este recurso, el futuro gobierno debe velar en su actuación en materia de seguridad ciudadana por la plena vigencia y el respeto de los derechos fundamentales mencionados.</w:t>
      </w:r>
    </w:p>
    <w:p w:rsidR="00AC56D6" w:rsidRDefault="00AC56D6" w:rsidP="00AC56D6">
      <w:pPr>
        <w:pStyle w:val="TextoNormal"/>
      </w:pPr>
    </w:p>
    <w:p w:rsidR="00AC56D6" w:rsidRDefault="00AC56D6" w:rsidP="00AC56D6">
      <w:pPr>
        <w:pStyle w:val="TextoNormal"/>
      </w:pPr>
      <w:r>
        <w:t>6</w:t>
      </w:r>
      <w:r w:rsidRPr="00AC56D6">
        <w:rPr>
          <w:i/>
        </w:rPr>
        <w:t>. Administraciones local</w:t>
      </w:r>
      <w:r>
        <w:t>es</w:t>
      </w:r>
    </w:p>
    <w:p w:rsidR="00AC56D6" w:rsidRDefault="00AC56D6" w:rsidP="00AC56D6">
      <w:pPr>
        <w:pStyle w:val="TextoNormal"/>
      </w:pPr>
    </w:p>
    <w:p w:rsidR="00AC56D6" w:rsidRDefault="00AC56D6" w:rsidP="00AC56D6">
      <w:pPr>
        <w:pStyle w:val="TextoNormal"/>
      </w:pPr>
      <w:r>
        <w:t xml:space="preserve">Con el afán de garantizar las plenas competencias de las administraciones locales catalanas en el servicio del interés general, el futuro gobierno debe proporcionarles las herramientas de apoyo necesarias para dejar sin efecto los preceptos de la Ley del Estado 27/2013, de 27 de diciembre, de racionalización y sostenibilidad de la Administración local, promulgada </w:t>
      </w:r>
      <w:r>
        <w:lastRenderedPageBreak/>
        <w:t>de resultas de la Ley orgánica 2/2012, de 27 de abril, de estabilidad presupuestaría y sostenibilidad financiera, dictada en desarrollo del artículo 135 de la Constitución española, relativos a la limitación de competencias a los entes locales, al control del coste de los servicios y a la obligación de la priorización de la actividad económica privada.</w:t>
      </w:r>
    </w:p>
    <w:p w:rsidR="00AC56D6" w:rsidRDefault="00AC56D6" w:rsidP="00AC56D6">
      <w:pPr>
        <w:pStyle w:val="TextoNormal"/>
      </w:pPr>
    </w:p>
    <w:p w:rsidR="00AC56D6" w:rsidRDefault="00AC56D6" w:rsidP="00AC56D6">
      <w:pPr>
        <w:pStyle w:val="TextoNormal"/>
      </w:pPr>
      <w:r>
        <w:t>7</w:t>
      </w:r>
      <w:r w:rsidRPr="00AC56D6">
        <w:rPr>
          <w:i/>
        </w:rPr>
        <w:t>. Refugiad</w:t>
      </w:r>
      <w:r>
        <w:t>os</w:t>
      </w:r>
    </w:p>
    <w:p w:rsidR="00AC56D6" w:rsidRDefault="00AC56D6" w:rsidP="00AC56D6">
      <w:pPr>
        <w:pStyle w:val="TextoNormal"/>
      </w:pPr>
    </w:p>
    <w:p w:rsidR="00AC56D6" w:rsidRDefault="00AC56D6" w:rsidP="00AC56D6">
      <w:pPr>
        <w:pStyle w:val="TextoNormal"/>
      </w:pPr>
      <w:r>
        <w:t>A fin de poder dar respuesta a la grave situación humanitaria que viven los refugiados, el futuro gobierno debe generar un marco de relaciones con el Alto Comisionado de Naciones Unidas para los Refugiados (ACNUR) con el objetivo de dar acogida y asilo al máximo número de personas refugiadas, más allá de las decisiones adoptadas en este ámbito por el Gobierno español.</w:t>
      </w:r>
    </w:p>
    <w:p w:rsidR="00AC56D6" w:rsidRDefault="00AC56D6" w:rsidP="00AC56D6">
      <w:pPr>
        <w:pStyle w:val="TextoNormal"/>
      </w:pPr>
    </w:p>
    <w:p w:rsidR="00AC56D6" w:rsidRDefault="00AC56D6" w:rsidP="00AC56D6">
      <w:pPr>
        <w:pStyle w:val="TextoNormal"/>
      </w:pPr>
      <w:r>
        <w:t>8</w:t>
      </w:r>
      <w:r w:rsidRPr="00AC56D6">
        <w:rPr>
          <w:i/>
        </w:rPr>
        <w:t>. Derecho al abor</w:t>
      </w:r>
      <w:r>
        <w:t>to</w:t>
      </w:r>
    </w:p>
    <w:p w:rsidR="00AC56D6" w:rsidRDefault="00AC56D6" w:rsidP="00AC56D6">
      <w:pPr>
        <w:pStyle w:val="TextoNormal"/>
      </w:pPr>
    </w:p>
    <w:p w:rsidR="00AC56D6" w:rsidRDefault="00AC56D6" w:rsidP="00AC56D6">
      <w:pPr>
        <w:pStyle w:val="TextoNormal"/>
      </w:pPr>
      <w:r>
        <w:t>En materia de derecho al aborto, el futuro gobierno debe regirse por lo estipulado en la Ley 17/2015, de 21 de julio, de igualdad efectiva de mujeres y hombres.</w:t>
      </w:r>
    </w:p>
    <w:p w:rsidR="00AC56D6" w:rsidRDefault="00AC56D6" w:rsidP="00AC56D6">
      <w:pPr>
        <w:pStyle w:val="TextoNormal"/>
      </w:pPr>
    </w:p>
    <w:p w:rsidR="00AC56D6" w:rsidRDefault="00AC56D6" w:rsidP="00AC56D6">
      <w:pPr>
        <w:pStyle w:val="TextoNormal"/>
      </w:pPr>
      <w:r>
        <w:t>9</w:t>
      </w:r>
      <w:r w:rsidRPr="00AC56D6">
        <w:rPr>
          <w:i/>
        </w:rPr>
        <w:t>. Financiación de un plan de choque social y gestión de la deu</w:t>
      </w:r>
      <w:r>
        <w:t>da</w:t>
      </w:r>
    </w:p>
    <w:p w:rsidR="00AC56D6" w:rsidRDefault="00AC56D6" w:rsidP="00AC56D6">
      <w:pPr>
        <w:pStyle w:val="TextoNormal"/>
      </w:pPr>
    </w:p>
    <w:p w:rsidR="00AC56D6" w:rsidRDefault="00AC56D6" w:rsidP="00AC56D6">
      <w:pPr>
        <w:pStyle w:val="TextoNormal"/>
      </w:pPr>
      <w:r>
        <w:t>Para liberar recursos para dotar financieramente un plan de choque social, el futuro gobierno debe establecer, entre otras medidas, vías de negociación para reducir la carga de la deuda en el conjunto del gasto.</w:t>
      </w:r>
    </w:p>
    <w:p w:rsidR="00AC56D6" w:rsidRDefault="00AC56D6" w:rsidP="00AC56D6">
      <w:pPr>
        <w:pStyle w:val="TextoNormal"/>
      </w:pPr>
    </w:p>
    <w:p w:rsidR="00AC56D6" w:rsidRDefault="00AC56D6" w:rsidP="00AC56D6">
      <w:pPr>
        <w:pStyle w:val="TextoNormal"/>
      </w:pPr>
      <w:r>
        <w:t>Prioritariamente, el futuro gobierno debe impulsar la renegociación de todas las financiaciones estructuradas, separando los pagos que compensan un servicio (inversión y mantenimiento) de los que constituyen un pago excesivo respecto a los tipos de interés y a las tasas de inflación actuales. Asimismo, el futuro gobierno debe instar a los concesionarios o superficiarios a redefinir los contratos estructurados, transformando la amortización de las inversiones en financiación ordinaria mediante deuda pública y eliminando el coste excesivo del capital.</w:t>
      </w:r>
    </w:p>
    <w:p w:rsidR="00AC56D6" w:rsidRDefault="00AC56D6" w:rsidP="00AC56D6">
      <w:pPr>
        <w:pStyle w:val="TextoNormal"/>
      </w:pPr>
    </w:p>
    <w:p w:rsidR="00AC56D6" w:rsidRDefault="00AC56D6" w:rsidP="00AC56D6">
      <w:pPr>
        <w:pStyle w:val="TextoNormal"/>
      </w:pPr>
      <w:r>
        <w:t>Esta transformación, que debe permitir una rebaja de costes para la Generalidad que pueda aprovecharse para financiar el plan de choque social, debe ir acompañada de una revisión a fondo de los programas presupuestarios de gasto que permita evaluar y contrastar su utilidad en momentos en que atender a la urgencia social se ha convertido en la máxima prioridad del gasto de la Generalidad, expresada en el mencionado plan de choque. Los ahorros que se obtengan de la revisión de programas deben dedicarse íntegramente al plan de choque social.</w:t>
      </w:r>
    </w:p>
    <w:p w:rsidR="00AC56D6" w:rsidRDefault="00AC56D6" w:rsidP="00AC56D6">
      <w:pPr>
        <w:pStyle w:val="TextoNormal"/>
      </w:pPr>
    </w:p>
    <w:p w:rsidR="00AC56D6" w:rsidRDefault="00AC56D6" w:rsidP="00AC56D6">
      <w:pPr>
        <w:pStyle w:val="TextoNormal"/>
      </w:pPr>
      <w:r>
        <w:t>Para hacer un seguimiento de la efectividad de este objetivo y compromiso, el futuro gobierno debe crear un grupo de trabajo abierto a los grupos parlamentarios.</w:t>
      </w:r>
    </w:p>
    <w:p w:rsidR="00AC56D6" w:rsidRDefault="00AC56D6" w:rsidP="00AC56D6">
      <w:pPr>
        <w:pStyle w:val="TextoNormal"/>
      </w:pPr>
    </w:p>
    <w:p w:rsidR="00AC56D6" w:rsidRDefault="00AC56D6" w:rsidP="00AC56D6">
      <w:pPr>
        <w:pStyle w:val="TextoNormal"/>
      </w:pPr>
      <w:r>
        <w:t>Asimismo, el futuro gobierno debe establecer un calendario de reuniones con los responsables de la banca residente para estudiar la posibilidad de renegociación del pago de los intereses con finalidades sociales’.”</w:t>
      </w:r>
    </w:p>
    <w:p w:rsidR="00AC56D6" w:rsidRDefault="00AC56D6" w:rsidP="00AC56D6">
      <w:pPr>
        <w:pStyle w:val="TextoNormal"/>
      </w:pPr>
    </w:p>
    <w:p w:rsidR="00AC56D6" w:rsidRDefault="00AC56D6" w:rsidP="00AC56D6">
      <w:pPr>
        <w:pStyle w:val="TextoNormal"/>
      </w:pPr>
      <w:r w:rsidRPr="00AC56D6">
        <w:rPr>
          <w:rStyle w:val="NumeroAFNegritaCaracter"/>
        </w:rPr>
        <w:t>2</w:t>
      </w:r>
      <w:r>
        <w:t>. La impugnación se funda en los motivos que a continuación sucintamente se resumen.</w:t>
      </w:r>
    </w:p>
    <w:p w:rsidR="00AC56D6" w:rsidRDefault="00AC56D6" w:rsidP="00AC56D6">
      <w:pPr>
        <w:pStyle w:val="TextoNormal"/>
      </w:pPr>
    </w:p>
    <w:p w:rsidR="00AC56D6" w:rsidRDefault="00AC56D6" w:rsidP="00AC56D6">
      <w:pPr>
        <w:pStyle w:val="TextoNormal"/>
      </w:pPr>
      <w:r>
        <w:t>a) El Abogado del Estado reproduce la resolución impugnada y a continuación se refiere a los requisitos de admisibilidad del proceso constitucional. Considera que no resulta discutible que se cumplan en este caso los requisitos de jurisdicción y competencia [arts. 161.2 CE y 2.1 f) LOTC], legitimación (arts. 161.2 CE y 76 LOTC), postulación (art. 82.1 LOTC), plazo (art. 76 LOTC) y forma (art. 85.1 LOTC), así como que la resolución impugnada tiene la naturaleza de disposición sin fuerza de ley de la Asamblea legislativa de una Comunidad Autónoma y que, por lo tanto, puede ser objeto idóneo de este proceso constitucional.</w:t>
      </w:r>
    </w:p>
    <w:p w:rsidR="00AC56D6" w:rsidRDefault="00AC56D6" w:rsidP="00AC56D6">
      <w:pPr>
        <w:pStyle w:val="TextoNormal"/>
      </w:pPr>
    </w:p>
    <w:p w:rsidR="00AC56D6" w:rsidRDefault="00AC56D6" w:rsidP="00AC56D6">
      <w:pPr>
        <w:pStyle w:val="TextoNormal"/>
      </w:pPr>
      <w:r>
        <w:t>Tras reproducir la doctrina de la STC 42/2014, de 25 de marzo (FJ 2), y con cita del ATC 135/2004, de 20 de abril, el Abogado del Estado entiende que la resolución recurrida es un acto perfecto o definitivo, pues constituye una decisión adoptada por el Parlamento de Cataluña, tras debate y votación, expresiva de una manifestación institucional de la voluntad de la Cámara. En su opinión, también tiene efectos jurídicos, ya que en ella el Parlamento se considera poder constituyente en orden a la creación de una república de Cataluña, ordenando al Gobierno de la Generalitat la adopción de las medidas necesarias a tal fin, lo que incluye la elaboración de una constitución, la creación de estructuras de Estado, la inaplicación de las normas estatales en Cataluña y la desobediencia a las instituciones del Estado, en particular al Tribunal Constitucional.</w:t>
      </w:r>
    </w:p>
    <w:p w:rsidR="00AC56D6" w:rsidRDefault="00AC56D6" w:rsidP="00AC56D6">
      <w:pPr>
        <w:pStyle w:val="TextoNormal"/>
      </w:pPr>
    </w:p>
    <w:p w:rsidR="00AC56D6" w:rsidRDefault="00AC56D6" w:rsidP="00AC56D6">
      <w:pPr>
        <w:pStyle w:val="TextoNormal"/>
      </w:pPr>
      <w:r>
        <w:t>La resolución, por tanto, encaja perfectamente en el objeto de impugnación de las disposiciones autonómicas del título V de la Ley Orgánica del Tribunal Constitucional, no limitándose a realizar unas proclamas políticas sin eficacia jurídica, sino que establece unos mandatos claros de inmediata repercusión jurídica dirigidos hacia el propio Parlamento, hacia el Gobierno de la Generalitat e incluso hacia los ciudadanos de Cataluña, con un contenido concreto y claramente inconstitucional.</w:t>
      </w:r>
    </w:p>
    <w:p w:rsidR="00AC56D6" w:rsidRDefault="00AC56D6" w:rsidP="00AC56D6">
      <w:pPr>
        <w:pStyle w:val="TextoNormal"/>
      </w:pPr>
    </w:p>
    <w:p w:rsidR="00AC56D6" w:rsidRDefault="00AC56D6" w:rsidP="00AC56D6">
      <w:pPr>
        <w:pStyle w:val="TextoNormal"/>
      </w:pPr>
      <w:r>
        <w:t>En cuanto al alcance de la impugnación, precisa que la resolución se impugna en su totalidad porque debe ser interpretada como un todo, como un conjunto sistemático, ordenado a la secesión de España por medios inconstitucionales y no democráticos.</w:t>
      </w:r>
    </w:p>
    <w:p w:rsidR="00AC56D6" w:rsidRDefault="00AC56D6" w:rsidP="00AC56D6">
      <w:pPr>
        <w:pStyle w:val="TextoNormal"/>
      </w:pPr>
    </w:p>
    <w:p w:rsidR="00AC56D6" w:rsidRDefault="00AC56D6" w:rsidP="00AC56D6">
      <w:pPr>
        <w:pStyle w:val="TextoNormal"/>
      </w:pPr>
      <w:r>
        <w:t>b) El Abogado del Estado, bajo la rúbrica “Nuestro orden constitucional de convivencia”, afirma que el pueblo español, la nación española, señaló cuáles eran sus deseos, principios y fines para la convivencia en el preámbulo de la Constitución de 1978, como manifestación de su voluntad colectiva. Reproduce parcialmente en sus alegaciones el contenido de dicho preámbulo y de los artículos 1, 2, 3 y 23 CE, para referirse seguidamente al contenido propio del Estado de Derecho, que, dice, vincula a todos los ciudadanos, que deben respetar los derechos y libertades de los demás, pero que concierne muy directamente a los poderes públicos y a los gobiernos, quienes deben actuar en la más estricta observancia del ordenamiento constitucional y del principio de legalidad.</w:t>
      </w:r>
    </w:p>
    <w:p w:rsidR="00AC56D6" w:rsidRDefault="00AC56D6" w:rsidP="00AC56D6">
      <w:pPr>
        <w:pStyle w:val="TextoNormal"/>
      </w:pPr>
    </w:p>
    <w:p w:rsidR="00AC56D6" w:rsidRDefault="00AC56D6" w:rsidP="00AC56D6">
      <w:pPr>
        <w:pStyle w:val="TextoNormal"/>
      </w:pPr>
      <w:r>
        <w:t xml:space="preserve">Esos principios constitucionales esenciales y el Estado de Derecho que los garantiza resultan frontalmente atacados por la resolución impugnada, pues pretende romper el marco de convivencia constitucional al atribuirse el Parlamento de Cataluña la condición de cámara constituyente, al cambiar el régimen de democracia representativa del que surge su legitimidad por un régimen de corte plebiscitario, al efectuar un llamamiento a los ciudadanos y al Gobierno de Cataluña a la desobediencia de las normas comunes de convivencia y, </w:t>
      </w:r>
      <w:r>
        <w:lastRenderedPageBreak/>
        <w:t>en fin, al prescindir de los cauces constitucionales y legítimos para modificar estas normas comunes, instando otros de ruptura unilateral.</w:t>
      </w:r>
    </w:p>
    <w:p w:rsidR="00AC56D6" w:rsidRDefault="00AC56D6" w:rsidP="00AC56D6">
      <w:pPr>
        <w:pStyle w:val="TextoNormal"/>
      </w:pPr>
    </w:p>
    <w:p w:rsidR="00AC56D6" w:rsidRDefault="00AC56D6" w:rsidP="00AC56D6">
      <w:pPr>
        <w:pStyle w:val="TextoNormal"/>
      </w:pPr>
      <w:r>
        <w:t>Expone el contexto en el que se inserta la resolución, que, afirma, no es una decisión aislada, sino la continuación de una sucesión reiterada de iniciativas y actuaciones de las instituciones de la Comunidad Autónoma, tanto del Parlamento como del Gobierno, adoptadas en la anterior legislatura y ordenadas, de forma creciente, al mismo fin rupturista. Proceso que se inició con la resolución 5/X del Parlamento, de 8 de marzo de 2013, por la que se aprobó la declaración soberanista y el derecho a decidir del pueblo de Cataluña, anulada, en cuanto al reconocimiento de Cataluña como entidad soberana, por la STC 42/2014. Continuó con las disposiciones y actuaciones llevadas a cabo por las instituciones de la Comunidad Autónoma en orden a la celebración de una consulta refrendaria durante el último semestre de 2014, que dio lugar a las SSTC 31/2015 y 32/2015, de 25 de febrero, y 138/2015, de 11 de junio, que declararon inconstitucionales tanto las normas dictadas como la actuación de hecho del Gobierno de la Generalitat del día 9 de noviembre. Aquel proceso se manifiesta también, principalmente, con la aprobación de la Ley catalana 3/2015, de 11 de marzo, de medidas fiscales, financieras y administrativas, en la que se incluyen previsiones dirigidas a crear estructuras de Estado en el ámbito de la hacienda pública, la Seguridad Social, el patrimonio, las infraestructuras estratégicas y la regulación de los mercados, del Decreto de la Generalitat 16/2015, de 24 de febrero, por el que se crea el comisionado para la transición nacional, y, en fin, del acuerdo del Consejo de Gobierno, de 17 de febrero de 2015, por el que se adopta el denominado plan ejecutivo de preparación de las estructuras de Estado y el plan de infraestructuras estratégicas. Normas y acuerdo cuya suspensión el Tribunal ha acordado mantener en los AATC de 3 de noviembre de 2015, recaídos en el recurso de inconstitucionalidad 3493-2015 y en el conflicto positivo de competencia 3808-2015, en los que ha constatado la existencia de un denominado “proceso de transición nacional” de evidente “trascendencia constitucional”.</w:t>
      </w:r>
    </w:p>
    <w:p w:rsidR="00AC56D6" w:rsidRDefault="00AC56D6" w:rsidP="00AC56D6">
      <w:pPr>
        <w:pStyle w:val="TextoNormal"/>
      </w:pPr>
    </w:p>
    <w:p w:rsidR="00AC56D6" w:rsidRDefault="00AC56D6" w:rsidP="00AC56D6">
      <w:pPr>
        <w:pStyle w:val="TextoNormal"/>
      </w:pPr>
      <w:r>
        <w:t>c) Las alegaciones del Abogado del Estado se centran seguidamente en lo que califica como “manifiesta inconstitucionalidad” de la resolución impugnada por violar los artículos 1.1, 1.2, 1.3, 2, 9.1, 23, 164 y 168 CE.</w:t>
      </w:r>
    </w:p>
    <w:p w:rsidR="00AC56D6" w:rsidRDefault="00AC56D6" w:rsidP="00AC56D6">
      <w:pPr>
        <w:pStyle w:val="TextoNormal"/>
      </w:pPr>
    </w:p>
    <w:p w:rsidR="00AC56D6" w:rsidRDefault="00AC56D6" w:rsidP="00AC56D6">
      <w:pPr>
        <w:pStyle w:val="TextoNormal"/>
      </w:pPr>
      <w:r>
        <w:t>Entiende que la cláusula capital de la resolución es la atribución al Parlamento de Cataluña de un poder constituyente, capaz de iniciar un proceso rupturista que se impone unilateralmente y que prescinde de cualquier respeto a los principios que informan la Constitución, con menosprecio absoluto al Estado de Derecho.</w:t>
      </w:r>
    </w:p>
    <w:p w:rsidR="00AC56D6" w:rsidRDefault="00AC56D6" w:rsidP="00AC56D6">
      <w:pPr>
        <w:pStyle w:val="TextoNormal"/>
      </w:pPr>
    </w:p>
    <w:p w:rsidR="00AC56D6" w:rsidRDefault="00AC56D6" w:rsidP="00AC56D6">
      <w:pPr>
        <w:pStyle w:val="TextoNormal"/>
      </w:pPr>
      <w:r>
        <w:t xml:space="preserve">Con arreglo al artículo 1.2 CE “La soberanía nacional reside en el pueblo español, del que emanan los poderes del Estado”. La Constitución misma es un acto constituyente del pueblo español como se refleja en su preámbulo. En el artículo 1.2 CE el término “Estado” debe tomarse en su acepción global, en la que emplea el artículo 137 CE, como ha declarado la jurisprudencia constitucional (SSTC 4/1981, de 2 de febrero, FJ 3; 12/1985, de 30 de enero, FJ 3, y 247/2007, de 12 de diciembre, FJ 4), del que forman parte las Comunidades Autónomas. El propio artículo 3.1 del Estatuto de Autonomía de Cataluña (EAC) proclama el principio general de que “la Generalitat es Estado” y la STC 31/2010, de 28 de junio, la ha considerado como “afirmación indiscutible por cuanto, en efecto, el Estado, en su acepción más amplia, esto es, como Estado español erigido por la Constitución Española, comprende a todas las Comunidades Autónomas en las que aquél territorialmente se organiza </w:t>
      </w:r>
      <w:r>
        <w:lastRenderedPageBreak/>
        <w:t>… y no únicamente al que con mayor propiedad ha de denominarse ‘Estado central’, con el que el Estado español no se confunde en absoluto, sino que lo incluye para formar, en unión de las Comunidades Autónomas, el Estado en su conjunto” (FJ 13). Así pues, las Asambleas legislativas autonómicas (art. 152.1 CE), y entre ellas el Parlamento de Cataluña, son en este sentido también “poderes del Estado”, fundados en la soberanía nacional de la que es titular el pueblo español, y no ninguna fracción de él, como lo es el pueblo de una de las Comunidades Autónomas.</w:t>
      </w:r>
    </w:p>
    <w:p w:rsidR="00AC56D6" w:rsidRDefault="00AC56D6" w:rsidP="00AC56D6">
      <w:pPr>
        <w:pStyle w:val="TextoNormal"/>
      </w:pPr>
    </w:p>
    <w:p w:rsidR="00AC56D6" w:rsidRDefault="00AC56D6" w:rsidP="00AC56D6">
      <w:pPr>
        <w:pStyle w:val="TextoNormal"/>
      </w:pPr>
      <w:r>
        <w:t>Tras reproducir seguidamente la doctrina recogida en las SSTC 103/2008, de 11 de septiembre (FJ 4), 31/2010 (FFJJ 8, 9 y 11) y 42/2014 (FJ 3), el Abogado del Estado sostiene que desde la perspectiva de la Constitución no hay más que un soberano, el pueblo español (art. 1.2 CE), y que, por ello, al atribuirse el Parlamento de Cataluña el carácter de “constituyente” (apartado tercero), “como depositario de la soberanía y expresión del poder constituyente” (apartado sexto), y al remitir esta legitimidad “al mandato democrático obtenido en las pasadas elecciones del 27 de septiembre de 2015”, se infringe de manera evidente el artículo 1.2 CE.</w:t>
      </w:r>
    </w:p>
    <w:p w:rsidR="00AC56D6" w:rsidRDefault="00AC56D6" w:rsidP="00AC56D6">
      <w:pPr>
        <w:pStyle w:val="TextoNormal"/>
      </w:pPr>
    </w:p>
    <w:p w:rsidR="00AC56D6" w:rsidRDefault="00AC56D6" w:rsidP="00AC56D6">
      <w:pPr>
        <w:pStyle w:val="TextoNormal"/>
      </w:pPr>
      <w:r>
        <w:t>d) La resolución impugnada es también inconciliable con el artículo 2 CE en la medida en que viola frontalmente el propio fundamento de la Constitución, la indisolubilidad de la Nación y la indivisibilidad de la patria de todos los españoles. La soberanía del pueblo catalán, como poder constituyente, supone atribuirle el derecho de secesión que podrá ejercitar si esa es su voluntad; esto es, supone atribuirle el poder de disolver, por su sola y exclusiva voluntad, lo que la Constitución proclama indisoluble y dividir lo que declara indivisible. En apoyo de este motivo impugnatorio, el Abogado del Estado reproduce la doctrina de las SSTC 103/2008 (FJ 4) y 31/2010 (FJ 12) y 42/2014 (FJ 3).</w:t>
      </w:r>
    </w:p>
    <w:p w:rsidR="00AC56D6" w:rsidRDefault="00AC56D6" w:rsidP="00AC56D6">
      <w:pPr>
        <w:pStyle w:val="TextoNormal"/>
      </w:pPr>
    </w:p>
    <w:p w:rsidR="00AC56D6" w:rsidRDefault="00AC56D6" w:rsidP="00AC56D6">
      <w:pPr>
        <w:pStyle w:val="TextoNormal"/>
      </w:pPr>
      <w:r>
        <w:t>e) Igualmente viola el artículo 168 CE, precepto que disciplina el procedimiento de reforma constitucional necesario si se pretende el reconocimiento de la soberanía del pueblo catalán, es decir, el reconocimiento del derecho de una fracción o parte del pueblo español a iniciar, por su exclusiva voluntad, una etapa constituyente.</w:t>
      </w:r>
    </w:p>
    <w:p w:rsidR="00AC56D6" w:rsidRDefault="00AC56D6" w:rsidP="00AC56D6">
      <w:pPr>
        <w:pStyle w:val="TextoNormal"/>
      </w:pPr>
    </w:p>
    <w:p w:rsidR="00AC56D6" w:rsidRDefault="00AC56D6" w:rsidP="00AC56D6">
      <w:pPr>
        <w:pStyle w:val="TextoNormal"/>
      </w:pPr>
      <w:r>
        <w:t>Tras reproducir la doctrina sobre el llamado “derecho a decidir” de las SSTC 103/2008 (FJ 4) y 31/2010 (FJ 12), el Abogado del Estado entiende que a diferencia de la resolución 5/X, que dio lugar a la STC 42/2014, en el caso de la resolución ahora impugnada no cabe ninguna interpretación que la haga conforme con la Constitución, pues supone una clara ruptura unilateral del orden constitucional. Las proclamaciones en ella enunciadas no expresan aspiraciones políticas que puedan ser encauzadas por vías democráticas o constitucionales. La condición de poder constituyente que se atribuye el Parlamento de Cataluña se asocia a una imposición unilateral que prescinde de todo cauce constitucional y democrático. Así se deduce claramente de la lectura conjunta de la Resolución y, en especial, de sus apartados primero y sexto a noveno. Por su parte, las menciones en el apartado tercero a un “proceso constituyente ciudadano, participativo, abierto, integrador y activo para preparar las bases de la futura constitución catalana” se sitúan en una dinámica plebiscitaria ajenas a la Constitución y a la ley.</w:t>
      </w:r>
    </w:p>
    <w:p w:rsidR="00AC56D6" w:rsidRDefault="00AC56D6" w:rsidP="00AC56D6">
      <w:pPr>
        <w:pStyle w:val="TextoNormal"/>
      </w:pPr>
    </w:p>
    <w:p w:rsidR="00AC56D6" w:rsidRDefault="00AC56D6" w:rsidP="00AC56D6">
      <w:pPr>
        <w:pStyle w:val="TextoNormal"/>
      </w:pPr>
      <w:r>
        <w:t xml:space="preserve">No hay mención alguna, sino claramente todo lo contrario, a la utilización de los preceptos de la Constitución que regulan la reforma constitucional, para la que goza de iniciativa el Parlamento de Cataluña (arts. 166 y 87 CE). La soberanía del pueblo de Cataluña no </w:t>
      </w:r>
      <w:r>
        <w:lastRenderedPageBreak/>
        <w:t>puede ser una estación de partida para una hipotética reforma constitucional del art. 168 CE, sino, en todo caso, la estación de llegada en virtud de una decisión soberana del pueblo español tomada a través del procedimiento constitucionalmente prescrito, pues la reforma constitucional por la vía de este precepto ha de ser previa a la declaración de soberanía de cualquier fracción o parte del pueblo español (SSTC 103/2008, FJ 4). En este sentido, con reproducción de doctrina de la STC 42/2014, el Abogado del Estado recuerda que tienen cabida en nuestro ordenamiento jurídico el planteamiento de concepciones que pretendan modificar el fundamento mismo del orden constitucional, “siempre que no se prepare o defienda a través de una actividad que vulnere los principios democráticos, los derechos fundamentales o el resto de los mandatos constitucionales, y el intento de su consecución se realice en el marco de los procedimiento de reforma de la Constitución, pues el respeto a esos procedimientos es, siempre y en todo caso, inexcusable” (FJ 4).</w:t>
      </w:r>
    </w:p>
    <w:p w:rsidR="00AC56D6" w:rsidRDefault="00AC56D6" w:rsidP="00AC56D6">
      <w:pPr>
        <w:pStyle w:val="TextoNormal"/>
      </w:pPr>
    </w:p>
    <w:p w:rsidR="00AC56D6" w:rsidRDefault="00AC56D6" w:rsidP="00AC56D6">
      <w:pPr>
        <w:pStyle w:val="TextoNormal"/>
      </w:pPr>
      <w:r>
        <w:t>En definitiva, el derecho del pueblo catalán a constituirse en Estado solo podría existir cuando, culminada la reforma constitucional por la vía del artículo 168 CE, el pueblo español soberano lo reconociera de acuerdo con el procedimiento constitucionalmente prescrito para ello. No puede aceptarse que en el presente momento la titularidad del poder constituyente esté atribuida —de presenta y en acto— al pueblo de Cataluña, en contradicción expresa con los cauces constitucionales.</w:t>
      </w:r>
    </w:p>
    <w:p w:rsidR="00AC56D6" w:rsidRDefault="00AC56D6" w:rsidP="00AC56D6">
      <w:pPr>
        <w:pStyle w:val="TextoNormal"/>
      </w:pPr>
    </w:p>
    <w:p w:rsidR="00AC56D6" w:rsidRDefault="00AC56D6" w:rsidP="00AC56D6">
      <w:pPr>
        <w:pStyle w:val="TextoNormal"/>
      </w:pPr>
      <w:r>
        <w:t>f) La resolución vulnera también frontalmente el artículo 1.3 CE, que proclama que “la forma política del Estado español es la Monarquía parlamentaria”, puesto que en ella se “declara solemnemente el inicio del proceso de creación del estado catalán independiente en forma de república” (apartado segundo), así como se proclama “la creación de un estado catalán independiente en forma de república” (apartado noveno).</w:t>
      </w:r>
    </w:p>
    <w:p w:rsidR="00AC56D6" w:rsidRDefault="00AC56D6" w:rsidP="00AC56D6">
      <w:pPr>
        <w:pStyle w:val="TextoNormal"/>
      </w:pPr>
    </w:p>
    <w:p w:rsidR="00AC56D6" w:rsidRDefault="00AC56D6" w:rsidP="00AC56D6">
      <w:pPr>
        <w:pStyle w:val="TextoNormal"/>
      </w:pPr>
      <w:r>
        <w:t>g) La resolución recurrida quebranta de igual modo el artículo 1.1 CE, en lo que se refiere a la configuración del Estado español como un Estado de Derecho, y, la que constituye una de sus principales manifestaciones, el artículo. 9.1 CE, que establece que “los ciudadanos y los poderes públicos están sujetos a la Constitución y al resto del ordenamiento jurídico”, precepto que plasma el imperio de la ley como expresión de la voluntad popular.</w:t>
      </w:r>
    </w:p>
    <w:p w:rsidR="00AC56D6" w:rsidRDefault="00AC56D6" w:rsidP="00AC56D6">
      <w:pPr>
        <w:pStyle w:val="TextoNormal"/>
      </w:pPr>
    </w:p>
    <w:p w:rsidR="00AC56D6" w:rsidRDefault="00AC56D6" w:rsidP="00AC56D6">
      <w:pPr>
        <w:pStyle w:val="TextoNormal"/>
      </w:pPr>
      <w:r>
        <w:t>La resolución aparece como un acto de radical insumisión a la Constitución y, por lo tanto, infractora de los artículos 1.1 y 9.1 CE. La insumisión adquiere además un carácter grosero y explícito cuando se proclama que se procede a “la apertura de un proceso constituyente no subordinado” (apartado primero), que “el proceso de desconexión democrática no se supeditará a las decisiones de las instituciones del Estado español, en particular del Tribunal Constitucional” (apartado sexto), o que el Parlamento “adoptará las medidas necesarias para abrir este proceso de desconexión democrática, masiva, sostenida y pacífica con el Estado español de manera que permita el empoderamiento de la ciudadanía a todos los niveles y en base a una participación abierta, activa e integradora” (apartado séptimo). Se abunda en esta insumisión cuando se “insta al futuro gobierno a cumplir exclusivamente aquellas normas o mandatos emanados de esta Cámara, legítima y democrática, a fin de blindar los derechos fundamentales que puedan estar afectados por decisiones de las instituciones del Estado español” (apartado octavo).</w:t>
      </w:r>
    </w:p>
    <w:p w:rsidR="00AC56D6" w:rsidRDefault="00AC56D6" w:rsidP="00AC56D6">
      <w:pPr>
        <w:pStyle w:val="TextoNormal"/>
      </w:pPr>
    </w:p>
    <w:p w:rsidR="00AC56D6" w:rsidRDefault="00AC56D6" w:rsidP="00AC56D6">
      <w:pPr>
        <w:pStyle w:val="TextoNormal"/>
      </w:pPr>
      <w:r>
        <w:t xml:space="preserve">La libertad de un parlamento o de un gobierno autonómico para elegir políticas está jurídicamente limitada por la Constitución y el Estatuto de Autonomía y este es uno de los </w:t>
      </w:r>
      <w:r>
        <w:lastRenderedPageBreak/>
        <w:t>significados evidentes del principio de sumisión a la Constitución que contiene su artículo 9.1. Ninguna asamblea legislativa autonómica puede tomar una resolución para impulsar políticas en absoluta contradicción con la Constitución. Los efectos jurídicos de la Resolución impugnada, como ya se ha apuntado, implican que el propio Parlamento impone para sí y al Gobierno de la Generalitat unas decisiones que suponen, más que un quebrantamiento particular de un precepto constitucional, la negación de las cláusulas esenciales de la Constitución, la instauración de un principio de legitimidad en contradicción absoluta con ella.</w:t>
      </w:r>
    </w:p>
    <w:p w:rsidR="00AC56D6" w:rsidRDefault="00AC56D6" w:rsidP="00AC56D6">
      <w:pPr>
        <w:pStyle w:val="TextoNormal"/>
      </w:pPr>
    </w:p>
    <w:p w:rsidR="00AC56D6" w:rsidRDefault="00AC56D6" w:rsidP="00AC56D6">
      <w:pPr>
        <w:pStyle w:val="TextoNormal"/>
      </w:pPr>
      <w:r>
        <w:t>El otro efecto jurídico se dirige a los ciudadanos (apartado tercero), impulsando la acción política de éstos sobre la base de que a ellos, y sólo a ellos, se atribuye el carácter de pueblo soberano para decidir su futuro político colectivo, lo que tampoco es compatible con el artículo 9.1 CE. Nuestra Constitución reconoce a cualquier ciudadano la libertad de opinar que su nacionalidad o región debe independizarse de España [art. 20.1 a) CE] y permite ejercitar el derecho de asociación para crear partidos políticos que incluyan la separación de España en su ideario o programa (arts. 6 y 22.1 CE). Ahora bien, ello debe encauzarse necesariamente mediante el procedimiento constitucional adecuado y en este aspecto los ciudadanos quedan también sujetos a la Constitución (STC 48/2003, de 12 de marzo, FJ 7).</w:t>
      </w:r>
    </w:p>
    <w:p w:rsidR="00AC56D6" w:rsidRDefault="00AC56D6" w:rsidP="00AC56D6">
      <w:pPr>
        <w:pStyle w:val="TextoNormal"/>
      </w:pPr>
    </w:p>
    <w:p w:rsidR="00AC56D6" w:rsidRDefault="00AC56D6" w:rsidP="00AC56D6">
      <w:pPr>
        <w:pStyle w:val="TextoNormal"/>
      </w:pPr>
      <w:r>
        <w:t>h) La resolución, al afirmar que ni el propio Parlamento ni el proceso de desconexión del Estado español se supeditarán a las decisiones del Tribunal Constitucional (apartado sexto), vulnera el artículo 164 CE, en relación con el artículo 87 LOTC.</w:t>
      </w:r>
    </w:p>
    <w:p w:rsidR="00AC56D6" w:rsidRDefault="00AC56D6" w:rsidP="00AC56D6">
      <w:pPr>
        <w:pStyle w:val="TextoNormal"/>
      </w:pPr>
    </w:p>
    <w:p w:rsidR="00AC56D6" w:rsidRDefault="00AC56D6" w:rsidP="00AC56D6">
      <w:pPr>
        <w:pStyle w:val="TextoNormal"/>
      </w:pPr>
      <w:r>
        <w:t>Además, el Abogado del Estado afirma que al reiterar dicha resolución la declaración de soberanía del pueblo catalán (apartados tercero y sexto), contraviene de forma directa la STC 42/2014, que declaró inconstitucional la resolución del Parlamento de Cataluña 5/X, desobedeciendo, de este modo, al Tribunal Constitucional.</w:t>
      </w:r>
    </w:p>
    <w:p w:rsidR="00AC56D6" w:rsidRDefault="00AC56D6" w:rsidP="00AC56D6">
      <w:pPr>
        <w:pStyle w:val="TextoNormal"/>
      </w:pPr>
    </w:p>
    <w:p w:rsidR="00AC56D6" w:rsidRDefault="00AC56D6" w:rsidP="00AC56D6">
      <w:pPr>
        <w:pStyle w:val="TextoNormal"/>
      </w:pPr>
      <w:r>
        <w:t>i) La resolución lesiona igualmente el artículo 23 CE, al atribuir el carácter de Cámara constituyente al Parlamento de Cataluña, privando al resto de los españoles de su derecho fundamental a participar en los procesos de reforma constitucional (STC 103/2008, FJ 4), y al modificar de hecho los principios y los procedimientos de la democracia representativa y los derechos de los ciudadanos a participar en los asuntos públicos por los cauces previstos en el citado precepto constitucional, mediante la admisión de fórmulas plebiscitarias.</w:t>
      </w:r>
    </w:p>
    <w:p w:rsidR="00AC56D6" w:rsidRDefault="00AC56D6" w:rsidP="00AC56D6">
      <w:pPr>
        <w:pStyle w:val="TextoNormal"/>
      </w:pPr>
    </w:p>
    <w:p w:rsidR="00AC56D6" w:rsidRDefault="00AC56D6" w:rsidP="00AC56D6">
      <w:pPr>
        <w:pStyle w:val="TextoNormal"/>
      </w:pPr>
      <w:r>
        <w:t>La resolución se inicia atribuyendo un carácter plebiscitario a lo que no son sino unas elecciones a un Parlamento autonómico, basado en la democracia representativa sin contenido plebiscitario alguno reconocido por la Constitución y el Estatuto de Autonomía de Cataluña. Modifica, asimismo, la naturaleza del propio mandato representativo del Parlamento y de sus miembros, al atribuirles un contenido extramuros de la regulación constitucional y parlamentaria de sus funciones, derechos y obligaciones.</w:t>
      </w:r>
    </w:p>
    <w:p w:rsidR="00AC56D6" w:rsidRDefault="00AC56D6" w:rsidP="00AC56D6">
      <w:pPr>
        <w:pStyle w:val="TextoNormal"/>
      </w:pPr>
    </w:p>
    <w:p w:rsidR="00AC56D6" w:rsidRDefault="00AC56D6" w:rsidP="00AC56D6">
      <w:pPr>
        <w:pStyle w:val="TextoNormal"/>
      </w:pPr>
      <w:r>
        <w:t>j) Infringe también el principio de lealtad constitucional y el deber de fidelidad a la Constitución (SSTC 25/1981, de 14 de julio, FJ 3; 18/1982, de 4 de mayo; 11/1986, de 28 de enero, FJ 5; 239/2002, de 11 de diciembre, FJ 11, y 13/2007, de 18 de enero, FJ 7).</w:t>
      </w:r>
    </w:p>
    <w:p w:rsidR="00AC56D6" w:rsidRDefault="00AC56D6" w:rsidP="00AC56D6">
      <w:pPr>
        <w:pStyle w:val="TextoNormal"/>
      </w:pPr>
    </w:p>
    <w:p w:rsidR="00AC56D6" w:rsidRDefault="00AC56D6" w:rsidP="00AC56D6">
      <w:pPr>
        <w:pStyle w:val="TextoNormal"/>
      </w:pPr>
      <w:r>
        <w:t xml:space="preserve">La resolución en su conjunto es un modelo de falta de lealtad constitucional en cuanto actuación unilateral, de acción directa y desconectada o no supeditada a las decisiones de las instituciones del Estado. Más allá del ámbito competencial, por lealtad constitucional </w:t>
      </w:r>
      <w:r>
        <w:lastRenderedPageBreak/>
        <w:t>debe entenderse la sujeción o acatamiento a la supremacía constitucional, lo que no implica adhesión ideológica a la Constitución, sino acatar las reglas de juego político y el orden jurídico existente y no intentar su transformación por medios ilegales. Tal deber, por lo tanto, no es contrario a la libertad ideológica (art. 16 CE), sino que es una concreción del deber de acatamiento a la Constitución (art. 9.1 CE), que, para el caso de los titulares de los poderes públicos, se traduce en un deber general de realizar sus funciones de conformidad con aquélla.</w:t>
      </w:r>
    </w:p>
    <w:p w:rsidR="00AC56D6" w:rsidRDefault="00AC56D6" w:rsidP="00AC56D6">
      <w:pPr>
        <w:pStyle w:val="TextoNormal"/>
      </w:pPr>
    </w:p>
    <w:p w:rsidR="00AC56D6" w:rsidRDefault="00AC56D6" w:rsidP="00AC56D6">
      <w:pPr>
        <w:pStyle w:val="TextoNormal"/>
      </w:pPr>
      <w:r>
        <w:t>k) El Abogado del Estado sostiene que la resolución impugnada viola los artículos 1, 2.4 y 4.1 EAC, en los términos en los que han sido interpretados por la STC 31/2010 (FFJJ 8 y 9).</w:t>
      </w:r>
    </w:p>
    <w:p w:rsidR="00AC56D6" w:rsidRDefault="00AC56D6" w:rsidP="00AC56D6">
      <w:pPr>
        <w:pStyle w:val="TextoNormal"/>
      </w:pPr>
    </w:p>
    <w:p w:rsidR="00AC56D6" w:rsidRDefault="00AC56D6" w:rsidP="00AC56D6">
      <w:pPr>
        <w:pStyle w:val="TextoNormal"/>
      </w:pPr>
      <w:r>
        <w:t>Reproduce en su escrito de alegaciones los referidos fundamentos jurídicos, con base en los cuales entiende que la legitimación democrática del Parlamento de Cataluña —como representación política del pueblo catalán del que emanan sus poderes— no le permite declarar la existencia de un poder constituyente, es decir, de un pueblo catalán soberano en competencia con el pueblo soberano español. Sin el acto de soberanía del pueblo español que reconoció el derecho a la autonomía de las nacionalidades y regiones (arts. 2 y 137 CE), no existiría un pueblo catalán como sujeto jurídico y político del derecho a la autonomía.</w:t>
      </w:r>
    </w:p>
    <w:p w:rsidR="00AC56D6" w:rsidRDefault="00AC56D6" w:rsidP="00AC56D6">
      <w:pPr>
        <w:pStyle w:val="TextoNormal"/>
      </w:pPr>
    </w:p>
    <w:p w:rsidR="00AC56D6" w:rsidRDefault="00AC56D6" w:rsidP="00AC56D6">
      <w:pPr>
        <w:pStyle w:val="TextoNormal"/>
      </w:pPr>
      <w:r>
        <w:t>También contiene la declaración una referencia “al mandato democrático obtenido en las pasadas elecciones del 27 de septiembre de 2015 (que) se basa en una mayoría en escaños de las fuerzas parlamentarias que tienen como objetivo que Cataluña sea un estado independiente y en una amplia mayoría soberanista en votos y escaños que apuesta por la apertura de un proceso constituyente no subordinado” (apartado primero). Esta invocación carece de toda legitimidad porque no existe tal mandato democrático, pues las elecciones autonómicas jamás pueden investir de naturaleza constituyente a la Asamblea legislativa que resulte de ella. La calidad de ciudadano catalán lleva ciertamente consigo el “derecho a elegir a sus representantes en los órganos políticos representativos” (en este sentido, STC 31/2010, FJ 11). Sólo el pueblo español es soberano. Sólo el pueblo español, y no una de sus fracciones, puede ser “unidad ideal de imputación del poder constituyente y como tal fundamento de la Constitución y del Ordenamiento”. Sólo después, no antes, de un nuevo acto constituyente del soberano pueblo español —que incluye al pueblo catalán y a todos los demás “pueblos de España”— podría el pueblo de Cataluña, de manera jurídicamente legítima, declararse a sí mismo soberano. Sólo una decisión soberana del pueblo español podría reconocer de manera constitucionalmente válida la soberanía del pueblo de Cataluña.</w:t>
      </w:r>
    </w:p>
    <w:p w:rsidR="00AC56D6" w:rsidRDefault="00AC56D6" w:rsidP="00AC56D6">
      <w:pPr>
        <w:pStyle w:val="TextoNormal"/>
      </w:pPr>
    </w:p>
    <w:p w:rsidR="00AC56D6" w:rsidRDefault="00AC56D6" w:rsidP="00AC56D6">
      <w:pPr>
        <w:pStyle w:val="TextoNormal"/>
      </w:pPr>
      <w:r>
        <w:t>l) Por último, el Abogado del Estado califica de manifiesta la vulneración del sistema constitucional de competencias por los apartados quinto, octavo y anexo de la resolución.</w:t>
      </w:r>
    </w:p>
    <w:p w:rsidR="00AC56D6" w:rsidRDefault="00AC56D6" w:rsidP="00AC56D6">
      <w:pPr>
        <w:pStyle w:val="TextoNormal"/>
      </w:pPr>
    </w:p>
    <w:p w:rsidR="00AC56D6" w:rsidRDefault="00AC56D6" w:rsidP="00AC56D6">
      <w:pPr>
        <w:pStyle w:val="TextoNormal"/>
      </w:pPr>
      <w:r>
        <w:t xml:space="preserve">Las normas citadas en el apartado quinto en materia de hacienda pública y Seguridad Social, como también las citadas en el anexo, forman parte de la voluntad del Parlamento de Cataluña de incumplir con las obligaciones derivadas de un Estado de derecho y del sistema constitucional de distribución de competencias. En la medida en que estas disposiciones forman parte de la creación de las denominadas “estructuras de Estado”, debe recordarse que los AATC de 3 de noviembre de 2015, recaídos en el recurso de inconstitucionalidad 3493-2015 y en el conflicto positivo de competencia 3808-2015, han mantenido la suspensión de los preceptos impugnados tanto de la Ley catalana 3/2015, de 11 de marzo, </w:t>
      </w:r>
      <w:r>
        <w:lastRenderedPageBreak/>
        <w:t>de medidas fiscales, financieras y administrativas, como del Decreto de la Generalitat 16/2015, de 24 de febrero, por el que se crea el comisionado para la transición nacional y del acuerdo del Consejo de Gobierno de 17 de febrero de 2015 en el que se adoptan el plan ejecutivo de preparación de las estructuras de Estado y el plan de estructuras estratégicas. En especial, por lo que se refiere al apartado octavo de la resolución, y al anexo a que se remite, lo esencial, en opinión del Abogado del Estado, no es tanto el contenido mismo, como que se incluya en la resolución a los efectos de blindar los “derechos fundamentales que puedan estar afectados por las decisiones de las instituciones del Estado Español”. Sin perjuicio de que el contenido del anexo contenga materias controvertidas, en las que existen procedimientos constitucionales no decididos, la inconstitucionalidad de este apartado octavo y su anexo deriva de la voluntad de incumplir cualquier normativa estatal y hacerlo por una razón que repugna en un sistema democrático como el nuestro, cual es el presupuesto de que las instituciones del Estado central vulneran los derechos fundamentales de los catalanes y que, ante tan injusto presupuesto, la respuesta ha de ser incumplir la ley.</w:t>
      </w:r>
    </w:p>
    <w:p w:rsidR="00AC56D6" w:rsidRDefault="00AC56D6" w:rsidP="00AC56D6">
      <w:pPr>
        <w:pStyle w:val="TextoNormal"/>
      </w:pPr>
    </w:p>
    <w:p w:rsidR="00AC56D6" w:rsidRDefault="00AC56D6" w:rsidP="00AC56D6">
      <w:pPr>
        <w:pStyle w:val="TextoNormal"/>
      </w:pPr>
      <w:r>
        <w:t>El Abogado del Estado concluye su escrito solicitando del Tribunal Constitucional la admisión a trámite de la impugnación y que, previos los trámites legales, dicte Sentencia en la que se declare inconstitucional y nula la resolución del Parlamento de Cataluña 1/XI, de 9 de noviembre de 2015, sobre el inicio del proceso político en Cataluña como consecuencia de los resultados electorales del 27 de septiembre de 2015.</w:t>
      </w:r>
    </w:p>
    <w:p w:rsidR="00AC56D6" w:rsidRDefault="00AC56D6" w:rsidP="00AC56D6">
      <w:pPr>
        <w:pStyle w:val="TextoNormal"/>
      </w:pPr>
    </w:p>
    <w:p w:rsidR="00AC56D6" w:rsidRDefault="00AC56D6" w:rsidP="00AC56D6">
      <w:pPr>
        <w:pStyle w:val="TextoNormal"/>
      </w:pPr>
      <w:r>
        <w:t>Por un primer otrosí, habiendo invocado expresamente el artículo 161.2 CE, interesa que se acuerde la suspensión de dicha resolución desde la fecha de interposición de la impugnación, comunicándolo al Parlamento de Cataluña, y se disponga la publicación de la suspensión en el “Boletín Oficial del Estado”, en el “Boletín Oficial del Parlamento de Cataluña” y en el “Diario Oficial de la Generalidad de Cataluña” para que alcance conocimiento y eficacia general respecto a cualesquiera terceros (art. 64.4 LOTC, en relación con el primer inciso del art. 77 LOTC).</w:t>
      </w:r>
    </w:p>
    <w:p w:rsidR="00AC56D6" w:rsidRDefault="00AC56D6" w:rsidP="00AC56D6">
      <w:pPr>
        <w:pStyle w:val="TextoNormal"/>
      </w:pPr>
    </w:p>
    <w:p w:rsidR="00AC56D6" w:rsidRDefault="00AC56D6" w:rsidP="00AC56D6">
      <w:pPr>
        <w:pStyle w:val="TextoNormal"/>
      </w:pPr>
      <w:r>
        <w:t>Por un segundo otrosí, al amparo de lo dispuesto en los artículos 87.1 y 92 LOTC, interesa que se notifique personalmente la providencia de suspensión que se dicte a la Presidenta del Parlamento de Cataluña, a cada uno de los miembros de la Mesa y al Secretario General de la Cámara, al Presidente en funciones de la Generalitat de Cataluña y, en su caso, a la persona que fuera designada para desempeñar dicho cargo, a los miembros del Gobierno en funciones de la Generalitat y, en su caso, a quienes resulten designados por el Presidente de la Comunidad Autónoma como consecuencia del acto de investidura por el Parlamento de Cataluña. Que en dicha notificación se imponga a la Presidenta del Parlamento de Cataluña, a los miembros de la Mesa y al Secretario General de la Cámara la prohibición expresa de admitir a trámite, ya sea para su toma en consideración, ya para su debate y votación, iniciativa alguna de carácter legislativo o de cualquier otra índole que, directa o indirectamente, pretenda dar cumplimiento a la resolución suspendida; y al Presidente de la Generalitat y miembros del Consejo de Gobierno la prohibición de promover iniciativa legislativa o de dictar norma de rango reglamentario o de realizar cualquier otra actuación con la misma finalidad. Por último, solicita que la notificación se practique a todos ellos bajo apercibimiento expreso de suspensión de funciones [art. 92.4 b) LOTC], así como de procederse por el delito de desobediencia de los mandatos judiciales, en caso de incumplimiento.</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3</w:t>
      </w:r>
      <w:r>
        <w:t>. El Pleno del Tribunal, por providencia de 11 de noviembre de 2015, acordó admitir a trámite la impugnación; dar traslado de la demanda y documentos presentados al Parlamento de Cataluña, por conducto de su Presidenta, al objeto de que en el plazo de diez días pueda personarse en el proceso y formular las alegaciones que estime convenientes; tener por invocado por el Gobierno el artículo 161.2 CE, lo que, a su tenor y conforme dispone el artículo 77 LOTC, produce la suspensión de la resolución impugnada y su anexo desde la fecha de interposición del recurso para las partes del proceso y desde su publicación en el “Boletín Oficial del Estado” para terceros; notificar personalmente, de conformidad con lo dispuesto en el artículo 87.1 LOTC, la presente resolución a la Presidenta del Parlamento de Cataluña, a los demás miembros de la Mesa y al Secretario General de la Cámara y al Presidente y demás miembros del Consejo de Gobierno en funciones de la Generalitat de Cataluña, advirtiéndoles de su deber de impedir o paralizar cualquier iniciativa que suponga ignorar o eludir la suspensión acordada, apercibiéndoles de las eventuales responsabilidades, incluida la penal, en las que pudieran incurrir; recabar, de acuerdo con el artículo 87.2 LOTC, el auxilio jurisdiccional del Tribunal Superior de Justicia de Cataluña para realizar las notificaciones, requerimientos y apercibimientos acordados y, por último, publicar el contenido de esta resolución en el “Boletín Oficial del Estado”, en el “Butlletí Oficial del Parlament de Catalunya” y en el “Diari Oficial de la Generalitat de Catalunya”.</w:t>
      </w:r>
    </w:p>
    <w:p w:rsidR="00AC56D6" w:rsidRDefault="00AC56D6" w:rsidP="00AC56D6">
      <w:pPr>
        <w:pStyle w:val="TextoNormal"/>
      </w:pPr>
    </w:p>
    <w:p w:rsidR="00AC56D6" w:rsidRDefault="00AC56D6" w:rsidP="00AC56D6">
      <w:pPr>
        <w:pStyle w:val="TextoNormal"/>
      </w:pPr>
      <w:r w:rsidRPr="00AC56D6">
        <w:rPr>
          <w:rStyle w:val="NumeroAFNegritaCaracter"/>
        </w:rPr>
        <w:t>4</w:t>
      </w:r>
      <w:r>
        <w:t>. Por escrito registrado en este Tribunal con fecha de 27 de noviembre de 2015, la Presidenta del Parlamento de Cataluña, en representación y defensa de la Cámara, y en cumplimiento del acuerdo de la Mesa de 24 de noviembre de 2015, evacuó el trámite de alegaciones conferido.</w:t>
      </w:r>
    </w:p>
    <w:p w:rsidR="00AC56D6" w:rsidRDefault="00AC56D6" w:rsidP="00AC56D6">
      <w:pPr>
        <w:pStyle w:val="TextoNormal"/>
      </w:pPr>
    </w:p>
    <w:p w:rsidR="00AC56D6" w:rsidRDefault="00AC56D6" w:rsidP="00AC56D6">
      <w:pPr>
        <w:pStyle w:val="TextoNormal"/>
      </w:pPr>
      <w:r>
        <w:t>a) Señala el escrito del Parlamento de Cataluña que la resolución 1/XI, de 9 de noviembre de 2015, expresa en sede parlamentaria el contenido del mandato político adquirido por los grupos parlamentarios que han ejercido la iniciativa, como consecuencia de las elecciones celebradas el pasado 27 de septiembre de 2015. Tal mandato se fundamenta en los programas electorales sometidos al libre ejercicio democrático del derecho fundamental de participación política (art. 23.2 CE), programas que, de forma clara y explícita, tenían como objetivo político prioritario iniciar el proceso de creación de un estado catalán independiente. La resolución impugnada se habría adoptado por los representantes libremente elegidos del pueblo de Cataluña y se apoya directamente sobre los principios básicos de la democracia y el pluralismo político y obtiene su legitimación del ejercicio del derecho de participación política de los ciudadanos.</w:t>
      </w:r>
    </w:p>
    <w:p w:rsidR="00AC56D6" w:rsidRDefault="00AC56D6" w:rsidP="00AC56D6">
      <w:pPr>
        <w:pStyle w:val="TextoNormal"/>
      </w:pPr>
    </w:p>
    <w:p w:rsidR="00AC56D6" w:rsidRDefault="00AC56D6" w:rsidP="00AC56D6">
      <w:pPr>
        <w:pStyle w:val="TextoNormal"/>
      </w:pPr>
      <w:r>
        <w:t>b) A continuación el Parlamento de Cataluña afirma que la resolución 1/XI, de 9 de noviembre, es un acto parlamentario de naturaleza estrictamente política, como es consustancial a las resoluciones y a las mociones resultantes del ejercicio de la función de impulso de la acción política y de gobierno. Este tipo de resoluciones no tiene otro alcance que el de expresar una voluntad, aspiración o deseo de la Cámara, quedando únicamente sujetas a los mecanismos de control de carácter político previstos en los reglamentos parlamentarios, en este caso el del art. 165.4 del Reglamento del Parlamento de Cataluña.</w:t>
      </w:r>
    </w:p>
    <w:p w:rsidR="00AC56D6" w:rsidRDefault="00AC56D6" w:rsidP="00AC56D6">
      <w:pPr>
        <w:pStyle w:val="TextoNormal"/>
      </w:pPr>
    </w:p>
    <w:p w:rsidR="00AC56D6" w:rsidRDefault="00AC56D6" w:rsidP="00AC56D6">
      <w:pPr>
        <w:pStyle w:val="TextoNormal"/>
      </w:pPr>
      <w:r>
        <w:t xml:space="preserve">Así, de acuerdo con el escrito del Parlamento, las mociones y resoluciones parlamentarias adoptadas en el ejercicio de la función de impulso o dirección del sistema político carecen de fuerza legal de obligar y tampoco pueden desplazar o anular, por sí mismas, la aplicación del principio de legalidad al que están sujetos el Gobierno y los ciudadanos. La </w:t>
      </w:r>
      <w:r>
        <w:lastRenderedPageBreak/>
        <w:t>fuerza externa de este tipo de actos parlamentarios se limita a una simple instrucción indicativa por la que se manifiesta más una aspiración o deseo que una disposición vinculante, porque formalmente no son parte del derecho positivo. Se trata, en definitiva, de decisiones parlamentarias que por su naturaleza se mueven en el marco de la relación política entre el Parlamento y el Gobierno o en el de la expresión de una voluntad dirigida a los ciudadanos.</w:t>
      </w:r>
    </w:p>
    <w:p w:rsidR="00AC56D6" w:rsidRDefault="00AC56D6" w:rsidP="00AC56D6">
      <w:pPr>
        <w:pStyle w:val="TextoNormal"/>
      </w:pPr>
    </w:p>
    <w:p w:rsidR="00AC56D6" w:rsidRDefault="00AC56D6" w:rsidP="00AC56D6">
      <w:pPr>
        <w:pStyle w:val="TextoNormal"/>
      </w:pPr>
      <w:r>
        <w:t>Por tanto, debido al carácter político inherente a la naturaleza del acto, el Parlamento considera que la resolución 1/XI, de 9 de noviembre, carece de los elementos necesarios para ser objeto idóneo de un proceso jurisdiccional de inconstitucionalidad.</w:t>
      </w:r>
    </w:p>
    <w:p w:rsidR="00AC56D6" w:rsidRDefault="00AC56D6" w:rsidP="00AC56D6">
      <w:pPr>
        <w:pStyle w:val="TextoNormal"/>
      </w:pPr>
    </w:p>
    <w:p w:rsidR="00AC56D6" w:rsidRDefault="00AC56D6" w:rsidP="00AC56D6">
      <w:pPr>
        <w:pStyle w:val="TextoNormal"/>
      </w:pPr>
      <w:r>
        <w:t>c) De acuerdo con el escrito del Parlamento de Cataluña, la Constitución española vigente no prohíbe ni establece límites al debate político, especialmente a aquel que se produce en sede parlamentaria, aun cuando se dé una discrepancia entre el proyecto o idea que se debate y el contenido de la Constitución. Tal y como ha reconocido repetidamente el Tribunal Constitucional, el ordenamiento constitucional no responde a un modelo de “democracia militante” que imponga a las instituciones públicas representativas un deber de adhesión positiva a dicho ordenamiento.</w:t>
      </w:r>
    </w:p>
    <w:p w:rsidR="00AC56D6" w:rsidRDefault="00AC56D6" w:rsidP="00AC56D6">
      <w:pPr>
        <w:pStyle w:val="TextoNormal"/>
      </w:pPr>
    </w:p>
    <w:p w:rsidR="00AC56D6" w:rsidRDefault="00AC56D6" w:rsidP="00AC56D6">
      <w:pPr>
        <w:pStyle w:val="TextoNormal"/>
      </w:pPr>
      <w:r>
        <w:t>d) El Parlamento de Cataluña afirma que la resolución 1/XI, de 9 de noviembre, solo es, y no es nada más que una declaración de voluntad y de intenciones. Por ello, considera que la doctrina establecida con ocasión de la Sentencia del Tribunal Constitucional sobre la declaración de soberanía y del derecho a decidir del pueblo de Cataluña (resolución 5/X, de 23 de enero de 2013), que reconoce la posibilidad que las relaciones parlamentarias de impulso político puedan producir efectos jurídicos, aunque estos no sean vinculantes, debe ser necesariamente replanteada y revisada en beneficio del reconocimiento de la plena capacidad del Parlamento de Cataluña de expresar el pluralismo político de la sociedad y la voluntad mayoritaria que representa, especialmente cuando esta voluntad se ha expresado de forma clara e inequívoca mediante un proceso electoral en que el proyecto político a que se refiere la Resolución ha constituido —siempre según el escrito del Parlamento de Cataluña— el eje central e indiscutible de la voluntad expresada por los ciudadanos de Cataluña mediante el ejercicio del derecho de sufragio universal, libre y directo.</w:t>
      </w:r>
    </w:p>
    <w:p w:rsidR="00AC56D6" w:rsidRDefault="00AC56D6" w:rsidP="00AC56D6">
      <w:pPr>
        <w:pStyle w:val="TextoNormal"/>
      </w:pPr>
    </w:p>
    <w:p w:rsidR="00AC56D6" w:rsidRDefault="00AC56D6" w:rsidP="00AC56D6">
      <w:pPr>
        <w:pStyle w:val="TextoNormal"/>
      </w:pPr>
      <w:r>
        <w:t>e) El Parlamento entiende que la doctrina establecida en la STC 42/2014, de 25 de marzo, no es coherente con el sistema de responsabilidad y de control que el derecho parlamentario establece respecto de las resoluciones y mociones parlamentarias, que se fundamenta exclusivamente en un control político según lo previsto en los reglamentos de las cámaras. La reconsideración de la doctrina contenida en la STC 42/2014 resulta indispensable para preservar el equilibrio entre las instituciones, de manera que se garantice al Parlamento ejercer las funciones que le atribuye el marco constitucional y estatutario, sin que el Tribunal Constitucional pueda interferir en las mismas cuando ese ejercicio carezca del requisito necesario de juridicidad que lo legitime.</w:t>
      </w:r>
    </w:p>
    <w:p w:rsidR="00AC56D6" w:rsidRDefault="00AC56D6" w:rsidP="00AC56D6">
      <w:pPr>
        <w:pStyle w:val="TextoNormal"/>
      </w:pPr>
    </w:p>
    <w:p w:rsidR="00AC56D6" w:rsidRDefault="00AC56D6" w:rsidP="00AC56D6">
      <w:pPr>
        <w:pStyle w:val="TextoNormal"/>
      </w:pPr>
      <w:r>
        <w:t xml:space="preserve">El Parlamento pide, así, al Tribunal Constitucional un ejercicio de </w:t>
      </w:r>
      <w:r w:rsidRPr="00AC56D6">
        <w:rPr>
          <w:i/>
        </w:rPr>
        <w:t>self-restraint</w:t>
      </w:r>
      <w:r>
        <w:t>, necesario para asegurar que no se extralimite e invada la esfera propia de la actuación del Parlamento. Está en juego aquí, a su juicio, una de las cuestiones capitales que se plantean en el Estado constitucional contemporáneo, cual es la relación entre la justicia constitucional y la representación popular.</w:t>
      </w:r>
    </w:p>
    <w:p w:rsidR="00AC56D6" w:rsidRDefault="00AC56D6" w:rsidP="00AC56D6">
      <w:pPr>
        <w:pStyle w:val="TextoNormal"/>
      </w:pPr>
    </w:p>
    <w:p w:rsidR="00AC56D6" w:rsidRDefault="00AC56D6" w:rsidP="00AC56D6">
      <w:pPr>
        <w:pStyle w:val="TextoNormal"/>
      </w:pPr>
      <w:r>
        <w:lastRenderedPageBreak/>
        <w:t>Todo lo manifestado conduce, según el escrito del Parlamento de Cataluña, necesariamente a la inadmisión de la impugnación por falta de objeto idóneo de un juicio de inconstitucionalidad, ya que los fundamentos del sistema constitucional y parlamentario obligan a distinguir el significado y alcance de la resolución 1/XI, de 9 de noviembre, en tanto que acto de impulso político, de las iniciativas parlamentarias o administrativas que eventualmente puedan derivarse de la misma y que, por su naturaleza, tengan capacidad para producir los efectos jurídicos necesarios para justificar, en su caso, la intervención del Tribunal Constitucional.</w:t>
      </w:r>
    </w:p>
    <w:p w:rsidR="00AC56D6" w:rsidRDefault="00AC56D6" w:rsidP="00AC56D6">
      <w:pPr>
        <w:pStyle w:val="TextoNormal"/>
      </w:pPr>
    </w:p>
    <w:p w:rsidR="00AC56D6" w:rsidRDefault="00AC56D6" w:rsidP="00AC56D6">
      <w:pPr>
        <w:pStyle w:val="TextoNormal"/>
      </w:pPr>
      <w:r>
        <w:t>f) El escrito del Parlamento de Cataluña concluye solicitando del Tribunal Constitucional que dicte Sentencia en la que se declare la inadmisibilidad de la impugnación de la Resolución 1/XI por ser un acto no idóneo para ser sometido a un procedimiento de constitucionalidad ante el Tribunal Constitucional por razón de su naturaleza política y en tanto que expresión de una voluntad parlamentaria basada en el principio democrático y en el ejercicio político del pluralismo político.</w:t>
      </w:r>
    </w:p>
    <w:p w:rsidR="00AC56D6" w:rsidRDefault="00AC56D6" w:rsidP="00AC56D6">
      <w:pPr>
        <w:pStyle w:val="TextoNormal"/>
      </w:pPr>
    </w:p>
    <w:p w:rsidR="00AC56D6" w:rsidRDefault="00AC56D6" w:rsidP="00AC56D6">
      <w:pPr>
        <w:pStyle w:val="TextoNormal"/>
      </w:pPr>
      <w:r w:rsidRPr="00AC56D6">
        <w:rPr>
          <w:rStyle w:val="NumeroAFNegritaCaracter"/>
        </w:rPr>
        <w:t>5</w:t>
      </w:r>
      <w:r>
        <w:t>. Por providencia de 1 de diciembre de 2015, se acordó́ señalar para la deliberación y votación de la presente Sentencia el día 2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Con invocación del artículo 161.2 CE, y por el cauce establecido en los artículos 76 y 77 de la Ley Orgánica del Tribunal Constitucional (LOTC), que le habilitan para impugnar ante este Tribunal “disposiciones normativas sin fuerza de ley”, así como “resoluciones emanadas de cualquier órgano de las Comunidades Autónomas”, impugna aquí el Gobierno de la Nación la resolución 1/XI del Parlamento de Cataluña, adoptada el 9 de noviembre de 2015 (publicada en el “Boletín Oficial del Parlamento de Cataluña” de la misma fecha), “sobre el inicio del proceso político en Cataluña como consecuencia de los resultados electorales del 27 de septiembre de 2015”. Esta resolución, transcrita en su integridad en el antecedente 1 de la presente Sentencia, es calificada de inconstitucional en la demanda del Abogado del Estado por contraria a los artículos 1, 2, 9.1, 23, 164 y 168 CE, así como al principio de lealtad constitucional y al deber de fidelidad a la Constitución; a tales conculcaciones añade la demanda la de los artículos 1, 2.4 y 4.1 del Estatuto de Autonomía de Cataluña (EAC, en lo sucesivo). Con independencia de que en ocasiones las aducidas contravenciones del bloque de la constitucionalidad se imputen por la demanda a concretos apartados de los nueve que integran el cuerpo principal de esta Resolución, la impugnación se formula de modo conjunto o unitario. Por ello la demanda reitera que la Resolución debe ser “interpretada como un todo”, incluyendo el “anexo”. El Abogado de Estado lo tacha también de inconstitucional, no sólo en atención a las normas de la Constitución y del Estatuto de Autonomía recién citadas, sino por contravenir el “sistema de distribución de competencias”, constitucional y estatutario, entre el Estado y la Comunidad Autónoma.</w:t>
      </w:r>
    </w:p>
    <w:p w:rsidR="00AC56D6" w:rsidRDefault="00AC56D6" w:rsidP="00AC56D6">
      <w:pPr>
        <w:pStyle w:val="TextoNormal"/>
      </w:pPr>
    </w:p>
    <w:p w:rsidR="00AC56D6" w:rsidRDefault="00AC56D6" w:rsidP="00AC56D6">
      <w:pPr>
        <w:pStyle w:val="TextoNormal"/>
      </w:pPr>
      <w:r>
        <w:t>Igualmente violaría el artículo 168 CE, precepto que disciplina el procedimiento de reforma constitucional necesario si se pretende el reconocimiento de la soberanía del pueblo catalán, es decir, del derecho de una fracción o parte del pueblo español a iniciar, por exclusiva voluntad, una etapa constituyente.</w:t>
      </w:r>
    </w:p>
    <w:p w:rsidR="00AC56D6" w:rsidRDefault="00AC56D6" w:rsidP="00AC56D6">
      <w:pPr>
        <w:pStyle w:val="TextoNormal"/>
      </w:pPr>
    </w:p>
    <w:p w:rsidR="00AC56D6" w:rsidRDefault="00AC56D6" w:rsidP="00AC56D6">
      <w:pPr>
        <w:pStyle w:val="TextoNormal"/>
      </w:pPr>
      <w:r>
        <w:lastRenderedPageBreak/>
        <w:t>Tras reproducir la doctrina sobre el llamado “derecho a decidir” de las SSTC 103/2008, de 11 de septiembre (FJ 4), y 31/2010, de 28 de junio (FJ 12), el Abogado del Estado entiende que a diferencia de la Resolución 5/X, que dio lugar a la STC 42/2014, en el caso de la resolución ahora impugnada no cabe ninguna interpretación que la haga conforme con la Constitución, pues supone una clara ruptura unilateral del orden constitucional. Las proclamaciones en ella enunciadas no expresan aspiraciones políticas que puedan ser encauzadas por vías democráticas o constitucionales. La condición de poder constituyente que se atribuye el Parlamento de Cataluña se asocia a una imposición unilateral que prescinde de todo cauce constitucional y democrático. Por otra parte, las menciones a un “proceso constituyente ciudadano, participativo, abierto, integrador y activo para preparar las bases de la futura constitución catalana” se sitúan en una dinámica plebiscitaria ajenas a la Constitución y a la ley.</w:t>
      </w:r>
    </w:p>
    <w:p w:rsidR="00AC56D6" w:rsidRDefault="00AC56D6" w:rsidP="00AC56D6">
      <w:pPr>
        <w:pStyle w:val="TextoNormal"/>
      </w:pPr>
    </w:p>
    <w:p w:rsidR="00AC56D6" w:rsidRDefault="00AC56D6" w:rsidP="00AC56D6">
      <w:pPr>
        <w:pStyle w:val="TextoNormal"/>
      </w:pPr>
      <w:r>
        <w:t>En representación del Parlamento de Cataluña, su Presidenta se ha personado y formulado las alegaciones expuestas en los antecedentes. Se aduce en ellas, en síntesis, que la resolución 1/XI fue adoptada por la Cámara en ejercicio de su función de impulso de la acción política y de gobierno (art. 55.2 EAC y art. 164 del Reglamento del propio Parlamento) y que únicamente en tal contexto debería ser valorada. Dicha resolución expresaría el mandato político asumido por los grupos que la promovieron en las elecciones de 27 de septiembre de 2015, que se apoya como principios básicos en la democracia y el pluralismo político.</w:t>
      </w:r>
    </w:p>
    <w:p w:rsidR="00AC56D6" w:rsidRDefault="00AC56D6" w:rsidP="00AC56D6">
      <w:pPr>
        <w:pStyle w:val="TextoNormal"/>
      </w:pPr>
    </w:p>
    <w:p w:rsidR="00AC56D6" w:rsidRDefault="00AC56D6" w:rsidP="00AC56D6">
      <w:pPr>
        <w:pStyle w:val="TextoNormal"/>
      </w:pPr>
      <w:r>
        <w:t>Una resolución como esta, estrictamente política a juicio del Parlamento de Cataluña, no tendría otro alcance que el de expresar una voluntad, aspiración o deseo de la Cámara; carecería pues de fuerza de obligar, sin poder tampoco desplazar la aplicación del principio de legalidad. En consecuencia, la resolución impugnada no podría ser objeto idóneo de un proceso jurisdiccional de inconstitucionalidad, ya que sostiene que la voluntad política que expresa no conculcaría el marco constitucional y estatutario, al no prohibir este la expresión y defensa de proyectos políticos no coincidentes con la Constitución, citando a tal efecto la STC 42/2014, de 25 de marzo.</w:t>
      </w:r>
    </w:p>
    <w:p w:rsidR="00AC56D6" w:rsidRDefault="00AC56D6" w:rsidP="00AC56D6">
      <w:pPr>
        <w:pStyle w:val="TextoNormal"/>
      </w:pPr>
    </w:p>
    <w:p w:rsidR="00AC56D6" w:rsidRDefault="00AC56D6" w:rsidP="00AC56D6">
      <w:pPr>
        <w:pStyle w:val="TextoNormal"/>
      </w:pPr>
      <w:r>
        <w:t>Al carecer de juridicidad, la resolución 1/XI no tendría por ello capacidad de generar infracción constitucional alguna; en este punto, se sugiere que debiera ser replanteada la doctrina de la citada STC 42/2014, por no ser coherente con el sistema de responsabilidad que el Derecho parlamentario establece respecto de las resoluciones y mociones parlamentarias para su control político. Con el sistema sí se consideran coherentes la SSTC 180/1991, de 23 de septiembre, y el ATC 135/2004, de 20 de abril. Esta reconsideración sería necesaria para preservar el equilibrio entre instituciones, de modo que el Tribunal Constitucional no interfiera en las funciones del Parlamento cuando estas carezcan de juridicidad. Por todo ello, la representación del Parlamento de Cataluña pide la inadmisión de la presente impugnación.</w:t>
      </w:r>
    </w:p>
    <w:p w:rsidR="00AC56D6" w:rsidRDefault="00AC56D6" w:rsidP="00AC56D6">
      <w:pPr>
        <w:pStyle w:val="TextoNormal"/>
      </w:pPr>
    </w:p>
    <w:p w:rsidR="00AC56D6" w:rsidRDefault="00AC56D6" w:rsidP="00AC56D6">
      <w:pPr>
        <w:pStyle w:val="TextoNormal"/>
      </w:pPr>
      <w:r>
        <w:t>Así planteados los términos de recurso y antes de iniciar el examen de fondo de esta controversia constitucional, el Tribunal considera necesario declarar que ha otorgado al asunto que resuelve prioridad en su resolución, porque la trascendencia constitucional del mismo, de la que da cumplida cuenta el análisis subsiguiente, así lo exige.</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2</w:t>
      </w:r>
      <w:r>
        <w:t>. La idoneidad de una resolución del tipo de la impugnada como posible objeto del proceso constitucional de los artículos 161.2 CE y 76 y 77 LOTC, que el Abogado del Estado afirma y que, por el contrario, la representación del Parlamento catalán niega, es una cuestión ya resuelta en la STC 42/2014, de 25 de marzo.</w:t>
      </w:r>
    </w:p>
    <w:p w:rsidR="00AC56D6" w:rsidRDefault="00AC56D6" w:rsidP="00AC56D6">
      <w:pPr>
        <w:pStyle w:val="TextoNormal"/>
      </w:pPr>
    </w:p>
    <w:p w:rsidR="00AC56D6" w:rsidRDefault="00AC56D6" w:rsidP="00AC56D6">
      <w:pPr>
        <w:pStyle w:val="TextoNormal"/>
      </w:pPr>
      <w:r>
        <w:t>Dijimos entonces que para que una resolución de una Comunidad Autónoma pueda ser objeto de impugnación a través del referido proceso constitucional es necesario que posea naturaleza jurídica; que sea, además, manifestación de la voluntad institucional de la Comunidad Autónoma, esto es, que proceda de órganos capaces de expresar la voluntad de ésta y no se presente como un acto de trámite en el procedimiento de que se trate; y, por último, que tenga, siquiera indiciariamente, capacidad para producir efectos jurídicos (FJ 2; con cita del ATC 135/2004, de 20 de abril).</w:t>
      </w:r>
    </w:p>
    <w:p w:rsidR="00AC56D6" w:rsidRDefault="00AC56D6" w:rsidP="00AC56D6">
      <w:pPr>
        <w:pStyle w:val="TextoNormal"/>
      </w:pPr>
    </w:p>
    <w:p w:rsidR="00AC56D6" w:rsidRDefault="00AC56D6" w:rsidP="00AC56D6">
      <w:pPr>
        <w:pStyle w:val="TextoNormal"/>
      </w:pPr>
      <w:r>
        <w:t>La Resolución 1/XI ha sido dictada por el Parlamento, órgano de la Comunidad Autónoma que representa al pueblo de Cataluña (art. 55.1 EAC), en el ejercicio de una función estatutariamente conferida, cual es la de control e impulso de la acción política y de gobierno (art. 55.2 EAC), a través del procedimiento parlamentario reglamentariamente establecido al efecto (arts. 164 a 165 del Reglamento del Parlamento de Cataluña). Se trata, por lo tanto, de un acto parlamentario que, sin perjuicio de su veste política, tiene también una indudable naturaleza jurídica; que pone fin, asimismo, a un procedimiento parlamentario, pues constituye una manifestación acabada de la voluntad de la Cámara de inicio o apertura de un determinado proceso político, con independencia de su posterior control parlamentario y, en su caso, del resultado del mismo; y que emana, además, de un órgano capaz de expresar la voluntad institucional de la Comunidad Autónoma.</w:t>
      </w:r>
    </w:p>
    <w:p w:rsidR="00AC56D6" w:rsidRDefault="00AC56D6" w:rsidP="00AC56D6">
      <w:pPr>
        <w:pStyle w:val="TextoNormal"/>
      </w:pPr>
    </w:p>
    <w:p w:rsidR="00AC56D6" w:rsidRDefault="00AC56D6" w:rsidP="00AC56D6">
      <w:pPr>
        <w:pStyle w:val="TextoNormal"/>
      </w:pPr>
      <w:r>
        <w:t>De otra parte, la resolución es capaz de producir efectos jurídicos propios y no meramente políticos, pues aunque pudiera entenderse carente de efectos vinculantes sobre sus destinatarios —la ciudadanía, el Parlamento, el Gobierno y el resto de instituciones de la Comunidad Autónoma—, “lo jurídico —como afirmamos en la STC 42/2014 (FJ 2)— no se agota en lo vinculante”. En efecto, en primer lugar, la resolución impugnada en cuanto “declara solemnemente el inicio del proceso de creación de un estado catalán independiente en forma de república” y “proclama la apertura de un proceso constituyente … para preparar las bases de la futura constitución catalana”, en un anunciado marco de “desconexión” del Estado español, es susceptible de producir efectos jurídicos, ya que tales pronunciamientos pueden entenderse como el reconocimiento a favor de aquellos órganos y sujetos a los que encomienda llevar a cabo esos procesos, especialmente el Parlamento y el Gobierno de la Comunidad Autónoma, “de atribuciones inherentes a la soberanía superiores a las que derivan de la autonomía reconocida por la Constitución a las nacionalidades que integran la Nación española” (STC 42/2014, FJ 2). Entre otras manifestaciones, resulta expresiva de dicho reconocimiento, en este caso, la autocalificación del Parlamento de Cataluña “como depositario de la soberanía y como expresión del poder constituyente” (apartado sexto).</w:t>
      </w:r>
    </w:p>
    <w:p w:rsidR="00AC56D6" w:rsidRDefault="00AC56D6" w:rsidP="00AC56D6">
      <w:pPr>
        <w:pStyle w:val="TextoNormal"/>
      </w:pPr>
    </w:p>
    <w:p w:rsidR="00AC56D6" w:rsidRDefault="00AC56D6" w:rsidP="00AC56D6">
      <w:pPr>
        <w:pStyle w:val="TextoNormal"/>
      </w:pPr>
      <w:r>
        <w:t xml:space="preserve">En segundo lugar, el carácter aseverativo de la resolución, al proclamar de presente la apertura de un proceso constituyente dirigido a la creación de un estado catalán independiente en forma de república, “no permite entender limitados sus efectos en el ámbito parlamentario al terreno estrictamente político, puesto que reclama el cumplimiento de unas actuaciones concretas y ese cumplimiento es susceptible del control parlamentario previsto </w:t>
      </w:r>
      <w:r>
        <w:lastRenderedPageBreak/>
        <w:t>para las resoluciones aprobadas por el Parlamento” (art. 165 del Reglamento del Parlamento de Cataluña) [</w:t>
      </w:r>
      <w:r w:rsidRPr="00AC56D6">
        <w:rPr>
          <w:i/>
        </w:rPr>
        <w:t>ibídem</w:t>
      </w:r>
      <w:r>
        <w:t>].</w:t>
      </w:r>
    </w:p>
    <w:p w:rsidR="00AC56D6" w:rsidRDefault="00AC56D6" w:rsidP="00AC56D6">
      <w:pPr>
        <w:pStyle w:val="TextoNormal"/>
      </w:pPr>
    </w:p>
    <w:p w:rsidR="00AC56D6" w:rsidRDefault="00AC56D6" w:rsidP="00AC56D6">
      <w:pPr>
        <w:pStyle w:val="TextoNormal"/>
      </w:pPr>
      <w:r>
        <w:t>En suma, al igual que concluimos en la STC 42/2014 en relación con la resolución del Parlamento de Cataluña 5/X, de 23 de enero de 2013, por la que se aprobó la declaración de soberanía y del derecho a decidir del pueblo de Cataluña, también hemos de reconocer ahora que la resolución impugnada, sin perjuicio de su marcado carácter político, tiene capacidad para producir efectos de naturaleza jurídica, por lo que procede afirmar su idoneidad como objeto del presente proceso constitucional.</w:t>
      </w:r>
    </w:p>
    <w:p w:rsidR="00AC56D6" w:rsidRDefault="00AC56D6" w:rsidP="00AC56D6">
      <w:pPr>
        <w:pStyle w:val="TextoNormal"/>
      </w:pPr>
    </w:p>
    <w:p w:rsidR="00AC56D6" w:rsidRDefault="00AC56D6" w:rsidP="00AC56D6">
      <w:pPr>
        <w:pStyle w:val="TextoNormal"/>
      </w:pPr>
      <w:r w:rsidRPr="00AC56D6">
        <w:rPr>
          <w:rStyle w:val="NumeroAFNegritaCaracter"/>
        </w:rPr>
        <w:t>3</w:t>
      </w:r>
      <w:r>
        <w:t>. La demanda impugna “en su totalidad” esta resolución, a la que reprocha haber infringido los preceptos constitucionales y estatutarios relacionados en el fundamento 1 que antecede, así como los principios de lealtad constitucional y de fidelidad a la Constitución (SSTC 25/1981, de 14 de julio, FJ 3; 18/1982, de 4 de mayo; 11/1986, de 28 de enero, FJ 5; 239/2002, de 11 de diciembre, FJ 11, y 13/2007, de 18 de enero, FJ 7). Considera que la lealtad constitucional debe entenderse como la sujeción a la supremacía constitucional, lo que no implica adhesión ideológica a la Constitución, sino acatamiento de las reglas de juego político y el orden jurídico existente y no intentar su transformación por medios ilegales. No respeta, en fin, el “sistema de distribución de competencias” entre el Estado y la Comunidad Autónoma de Cataluña. Esta última censura se dirige, sobre todo, a los apartados 5 y 8 del cuerpo principal de la resolución y a su anexo. En lo que se refiere a la conculcación de los artículos 1, 2 y 9.1 CE (título preliminar), el Abogado del Estado entiende que estamos ante un caso de “radical inconstitucionalidad”, de “insumisión” igualmente “radical” a la Constitución y de “ruptura unilateral del orden constitucional”; apreciaciones todas ellas que le llevan a denunciar que el acto impugnado supone “más que un quebrantamiento particular de un precepto constitucional, la negación de las cláusulas esenciales de la Constitución Española” y “la instauración de un principio de legitimidad en contradicción absoluta con ella”.</w:t>
      </w:r>
    </w:p>
    <w:p w:rsidR="00AC56D6" w:rsidRDefault="00AC56D6" w:rsidP="00AC56D6">
      <w:pPr>
        <w:pStyle w:val="TextoNormal"/>
      </w:pPr>
    </w:p>
    <w:p w:rsidR="00AC56D6" w:rsidRDefault="00AC56D6" w:rsidP="00AC56D6">
      <w:pPr>
        <w:pStyle w:val="TextoNormal"/>
      </w:pPr>
      <w:r>
        <w:t>Sobre la base de cuanto queda dicho, es preciso examinar la constitucionalidad de la resolución impugnada. Se realizará este enjuiciamiento teniendo en cuenta que persigue en sus varios apartados un objetivo unívoco y muestra una indiscutible unidad de sentido. Cada uno de esos apartados sucesivos y su anexo final aparecen como concreción y desarrollo de un designio unitario que anima, en su conjunto, el acto impugnado. El Tribunal considera que el acto parlamentario impugnado es un todo que ha de ser enjuiciado como tal, a la vista de sus varios enunciados.</w:t>
      </w:r>
    </w:p>
    <w:p w:rsidR="00AC56D6" w:rsidRDefault="00AC56D6" w:rsidP="00AC56D6">
      <w:pPr>
        <w:pStyle w:val="TextoNormal"/>
      </w:pPr>
    </w:p>
    <w:p w:rsidR="00AC56D6" w:rsidRDefault="00AC56D6" w:rsidP="00AC56D6">
      <w:pPr>
        <w:pStyle w:val="TextoNormal"/>
      </w:pPr>
      <w:r>
        <w:t xml:space="preserve">En la STC 42/2014 el Tribunal apreció que del tenor de algunos de los “principios” incorporados a la entonces impugnada “Declaración de soberanía y del derecho a decidir del pueblo de Cataluña” —excluido, por inconstitucional precisamente el referido a tal “soberanía”— se desprendía que la declaración controvertida no excluía “seguir los cauces constitucionalmente establecidos para traducir la voluntad política expresada en la resolución en una realidad jurídica” (FJ 3). Esto permitió, examinados y valorados aquellos principios, una interpretación conforme a la Constitución del llamado “derecho a decidir” como “aspiración política susceptible de ser defendida en el marco de la Constitución” [FJ 4 c)]. En idéntica línea argumental, en relación con la locución “pueblo de Cataluña” del que, de conformidad con el art. 2.4 EAC, emanan “los poderes de la Generalitat”, el Tribunal sostuvo que el pueblo de Cataluña no es un “sujeto jurídico que entre en competencia con el </w:t>
      </w:r>
      <w:r>
        <w:lastRenderedPageBreak/>
        <w:t>titular de la soberanía nacional cuyo ejercicio ha permitido la instauración de la Constitución de la que trae causa el Estatuto que ha de regir como norma institucional básica de la Comunidad Autónoma”. En otras palabras, “los ciudadanos de Cataluña no pueden confundirse con el pueblo soberano concebido como ‘la unidad ideal de imputación del poder constituyente y como tal fuente de la Constitución y del Ordenamiento’ (STC 12/2008, FJ 10)” [STC 31/2010, FF JJ 9 y 11].</w:t>
      </w:r>
    </w:p>
    <w:p w:rsidR="00AC56D6" w:rsidRDefault="00AC56D6" w:rsidP="00AC56D6">
      <w:pPr>
        <w:pStyle w:val="TextoNormal"/>
      </w:pPr>
    </w:p>
    <w:p w:rsidR="00AC56D6" w:rsidRDefault="00AC56D6" w:rsidP="00AC56D6">
      <w:pPr>
        <w:pStyle w:val="TextoNormal"/>
      </w:pPr>
      <w:r>
        <w:t>Que tal aspiración política puede ser defendida respetando la Constitución y, singularmente, los procedimientos para su revisión formal cabe reiterarlo ahora. No es menos claro que la resolución aquí impugnada —a diferencia de lo que consentía, en algunos de sus pasajes, la enjuiciada en la STC 42/2014— permite entender que el Parlamento de Cataluña, al adoptarla, está excluyendo la utilización de los cauces constitucionales (art. 168 CE) para la conversión en un “estado independiente” (apartado segundo) de lo que hoy es la Comunidad Autónoma de Cataluña. El Parlamento, en efecto, “proclama la apertura de un proceso constituyente … para preparar las bases de la futura constitución catalana” (apartado tercero); se compromete a tramitar en determinado plazo una ley, junto a otras, de “proceso constituyente” (apartado quinto); afirma, en tanto que “depositario de la soberanía” y “expresión del poder constituyente”, que en el proceso que emprende no se supeditará a las decisiones de las instituciones del Estado español y, en particular, a las de este Tribunal Constitucional (apartado sexto); por último insta al “futuro gobierno” de la Comunidad Autónoma “a cumplir exclusivamente las normas o los mandatos emanados de esta cámara” (apartado octavo).</w:t>
      </w:r>
    </w:p>
    <w:p w:rsidR="00AC56D6" w:rsidRDefault="00AC56D6" w:rsidP="00AC56D6">
      <w:pPr>
        <w:pStyle w:val="TextoNormal"/>
      </w:pPr>
    </w:p>
    <w:p w:rsidR="00AC56D6" w:rsidRDefault="00AC56D6" w:rsidP="00AC56D6">
      <w:pPr>
        <w:pStyle w:val="TextoNormal"/>
      </w:pPr>
      <w:r>
        <w:t>Determinaciones tan concluyentes como las parcialmente transcritas reclaman, en coherencia con su patente unidad de sentido, una valoración jurídico-constitucional también integral o de conjunto, sin dejar fuera el “anexo” incorporado a la resolución. La cuestión no es, por lo que se refiere a esta última parte del acto impugnado, la compatibilidad o no con la Constitución de unas u otras de las “medidas” anunciadas o proyectadas, con los términos en que lo han sido, a lo largo de sus nueve puntos. El asunto de relieve jurídico-constitucional es ahora que tales “medidas” —todas y cada una de ellas— se requieren del “futuro gobierno” sobre la base de la proclamación que la Cámara hace de sí misma como depositaria de “la soberanía” y expresión del “poder constituyente” (apartado sexto) y, más específicamente, con el sentido y en los términos de lo afirmado en el apartado octavo: el “Parlamento de Cataluña insta al futuro gobierno a cumplir exclusivamente las normas o los mandatos emanados de esta cámara, legítima y democrática, a fin de blindar los derechos fundamentales que puedan resultar afectados por decisiones de las instituciones del Estado español, como los especificados en el anexo de esta resolución”. Es así evidente la integración resultante entre el anexo y el cuerpo principal de la resolución; también lo es que las “medidas” encomendadas al “futuro gobierno” lo son desde una resuelta posición de ajenidad al ordenamiento constitucional y a la espera de un comportamiento consecuente por parte del Gobierno de la Generalitat.</w:t>
      </w:r>
    </w:p>
    <w:p w:rsidR="00AC56D6" w:rsidRDefault="00AC56D6" w:rsidP="00AC56D6">
      <w:pPr>
        <w:pStyle w:val="TextoNormal"/>
      </w:pPr>
    </w:p>
    <w:p w:rsidR="00AC56D6" w:rsidRDefault="00AC56D6" w:rsidP="00AC56D6">
      <w:pPr>
        <w:pStyle w:val="TextoNormal"/>
      </w:pPr>
      <w:r w:rsidRPr="00AC56D6">
        <w:rPr>
          <w:rStyle w:val="NumeroAFNegritaCaracter"/>
        </w:rPr>
        <w:t>4</w:t>
      </w:r>
      <w:r>
        <w:t>. De la lectura de la resolución 1/XI, de modo inequívoco, se desprende que se la considera el acto fundacional del “proceso de creación de un estado catalán independiente en forma de república” (apartado segundo) y a tal efecto se sirve de un lenguaje (futura “constitución”, en el apartado tercero, o “soberanía” y “poder constituyente” en el sexto) que se pretende asimismo materialmente “constitucional”. Tales términos, sin embargo, figuran en la Constitución española o están presentes en la jurisprudencia de este Tribunal.</w:t>
      </w:r>
    </w:p>
    <w:p w:rsidR="00AC56D6" w:rsidRDefault="00AC56D6" w:rsidP="00AC56D6">
      <w:pPr>
        <w:pStyle w:val="TextoNormal"/>
      </w:pPr>
    </w:p>
    <w:p w:rsidR="00AC56D6" w:rsidRDefault="00AC56D6" w:rsidP="00AC56D6">
      <w:pPr>
        <w:pStyle w:val="TextoNormal"/>
      </w:pPr>
      <w:r>
        <w:t>a) El “imperio de la Constitución como norma suprema” (STC 54/1983, de 21 de junio, FJ 2, y, antes aún, STC 16/1982, de 28 de abril, FJ 1), declarado expresamente por su artículo 9.1, trae causa de que la Constitución misma es fruto de la determinación de la nación soberana por medio de un sujeto unitario, el pueblo español, en el que reside aquella soberanía y del que emanan, por ello, los poderes de un Estado (art. 1.2 CE). Este ha de ser concebido como el conjunto de instituciones y órganos que ejercen, en todo el territorio, poder público y en el que se integran también, por tanto, las Comunidades Autónomas (STC 35/1982, de 14 de junio, FJ 2, y múltiples resoluciones ulteriores en igual sentido).</w:t>
      </w:r>
    </w:p>
    <w:p w:rsidR="00AC56D6" w:rsidRDefault="00AC56D6" w:rsidP="00AC56D6">
      <w:pPr>
        <w:pStyle w:val="TextoNormal"/>
      </w:pPr>
    </w:p>
    <w:p w:rsidR="00AC56D6" w:rsidRDefault="00AC56D6" w:rsidP="00AC56D6">
      <w:pPr>
        <w:pStyle w:val="TextoNormal"/>
      </w:pPr>
      <w:r>
        <w:t>La soberanía de la nación, residenciada en el pueblo español, conlleva necesariamente su unidad y así lo proclama, como es notorio, el art. 2 CE, de acuerdo con el cual la propia Constitución “se fundamenta en la indisoluble unidad de la Nación española, patria común e indivisible de todos los españoles, y reconoce y garantiza el derecho a la autonomía de las nacionalidades y regiones que la integran y la solidaridad entre todas ellas”. La unidad del sujeto soberano es fundamento de una Constitución mediante la que la nación misma se constituye, al propio tiempo, en Estado social y democrático de Derecho (art. 1.1 CE y, entre otras, STC 4/1981, de 2 de febrero, FJ 3). Se trata de un Estado también único o común para todos y en todo el territorio, sin perjuicio de su articulación compuesta o compleja por obra del reconocimiento constitucional de autonomías territoriales [por todas, STC 247/2007, de 12 de diciembre, FJ 4 a)], a las distintas nacionalidades y regiones que, constituidas en Comunidades Autónomas en virtud de sus respectivos Estatutos, integran España (principio de unidad del Estado, deducible también del artículo 2 CE: SSTC 29/1986, de 20 de febrero, FJ 4, y 177/1990, de 15 de noviembre, FJ 3).</w:t>
      </w:r>
    </w:p>
    <w:p w:rsidR="00AC56D6" w:rsidRDefault="00AC56D6" w:rsidP="00AC56D6">
      <w:pPr>
        <w:pStyle w:val="TextoNormal"/>
      </w:pPr>
    </w:p>
    <w:p w:rsidR="00AC56D6" w:rsidRDefault="00AC56D6" w:rsidP="00AC56D6">
      <w:pPr>
        <w:pStyle w:val="TextoNormal"/>
      </w:pPr>
      <w:r>
        <w:t>El artículo 1.2 CE es, así, base de todo nuestro ordenamiento jurídico (STC 42/2014, FJ 3, y jurisprudencia allí citada), de modo tal que, como se dijo en esta resolución del Tribunal, si “en el actual ordenamiento constitucional sólo el pueblo español es soberano, y lo es de manera exclusiva e indivisible, a ningún otro sujeto u órgano del Estado o a ninguna fracción de ese pueblo puede un poder público atribuirle la cualidad de soberano. Un acto de este poder que afirme la condición de ‘sujeto jurídico’ de soberanía como atributo del pueblo de una Comunidad Autónoma no puede dejar de suponer la simultánea negación de la soberanía nacional que, conforme a la Constitución, reside únicamente en el conjunto del pueblo español. Por ello, no cabe atribuir su titularidad a ninguna fracción o parte del mismo”.</w:t>
      </w:r>
    </w:p>
    <w:p w:rsidR="00AC56D6" w:rsidRDefault="00AC56D6" w:rsidP="00AC56D6">
      <w:pPr>
        <w:pStyle w:val="TextoNormal"/>
      </w:pPr>
    </w:p>
    <w:p w:rsidR="00AC56D6" w:rsidRDefault="00AC56D6" w:rsidP="00AC56D6">
      <w:pPr>
        <w:pStyle w:val="TextoNormal"/>
      </w:pPr>
      <w:r>
        <w:t xml:space="preserve">b) Como señalamos en la STC 42/2014, “en tanto que realidad socio-histórica, Cataluña (y España toda) es anterior a la Constitución de 1978” (FJ 3). Desde el punto de vista jurídico, el artículo 1 EAC define su posición en el actual marco constitucional, disponiendo al respecto que “Cataluña, como nacionalidad, ejerce su autogobierno constituida en Comunidad Autónoma de acuerdo con la Constitución y el presente Estatuto, que es su norma institucional básica”. Este Tribunal ha considerado que la declaración recogida en el precepto estatutario transcrito predica de Cataluña, “en términos constitucionalmente impecables … cuantos atributos la constituyen en parte integrante del Estado fundado en la Constitución. Una nacionalidad constituida en Comunidad Autónoma y cuya norma institucional básica es su propio Estatuto de Autonomía”. No se presenta la Constitución, por lo tanto, como “resultado de un pacto entre instancias territoriales históricas que conserven unos derechos anteriores” a ella [SSTC 76/1988, de 26 de abril, FJ 3, y 247/2007, FJ 4.a)], sino como norma incondicionada y condicionante de cualesquiera otras en nuestro ordenamiento. Se </w:t>
      </w:r>
      <w:r>
        <w:lastRenderedPageBreak/>
        <w:t>trata de una norma superior, a la que todos —ciudadanos y poderes públicos— quedan sujetos (art. 9.1 CE).</w:t>
      </w:r>
    </w:p>
    <w:p w:rsidR="00AC56D6" w:rsidRDefault="00AC56D6" w:rsidP="00AC56D6">
      <w:pPr>
        <w:pStyle w:val="TextoNormal"/>
      </w:pPr>
    </w:p>
    <w:p w:rsidR="00AC56D6" w:rsidRDefault="00AC56D6" w:rsidP="00AC56D6">
      <w:pPr>
        <w:pStyle w:val="TextoNormal"/>
      </w:pPr>
      <w:r>
        <w:t>Como consecuencia recae sobre los titulares de cargos públicos un cualificado deber de acatamiento a dicha norma fundamental, que no se cifra en una necesaria adhesión ideológica a su total contenido, pero sí en el compromiso de realizar sus funciones de acuerdo con ella y en el respeto al resto del ordenamiento jurídico (en tal sentido, entre otras, SSTC 101/1983, de 18 de noviembre, FJ 3, y 122/1983, de 16 de diciembre, FJ 5). Que esto sea así para todo poder público deriva, inexcusablemente, de la condición de nuestro Estado como constitucional y de Derecho.</w:t>
      </w:r>
    </w:p>
    <w:p w:rsidR="00AC56D6" w:rsidRDefault="00AC56D6" w:rsidP="00AC56D6">
      <w:pPr>
        <w:pStyle w:val="TextoNormal"/>
      </w:pPr>
    </w:p>
    <w:p w:rsidR="00AC56D6" w:rsidRDefault="00AC56D6" w:rsidP="00AC56D6">
      <w:pPr>
        <w:pStyle w:val="TextoNormal"/>
      </w:pPr>
      <w:r>
        <w:t>El sometimiento de todos a la Constitución es “otra forma de sumisión a la voluntad popular, expresada esta vez como poder constituyente” [SSTC 108/1986, de 29 de julio, FJ 18, y 238/2012, de 13 de diciembre, FJ 6 b)]. En el Estado constitucional, el principio democrático no puede desvincularse de la primacía incondicional de la Constitución, que, como afirmó este Tribunal en la STC 42/2014, FJ 4 c), “requiere que toda decisión del poder quede, sin excepción, sujeta a la Constitución, sin que existan, para el poder público, espacios libres de la Constitución o ámbitos de inmunidad frente a ella”.</w:t>
      </w:r>
    </w:p>
    <w:p w:rsidR="00AC56D6" w:rsidRDefault="00AC56D6" w:rsidP="00AC56D6">
      <w:pPr>
        <w:pStyle w:val="TextoNormal"/>
      </w:pPr>
    </w:p>
    <w:p w:rsidR="00AC56D6" w:rsidRDefault="00AC56D6" w:rsidP="00AC56D6">
      <w:pPr>
        <w:pStyle w:val="TextoNormal"/>
      </w:pPr>
      <w:r>
        <w:t>Para garantizar que esto último no ocurra se cuenta con el sistema de nuestro Estado constitucional de Derecho —los poderes públicos, pero también la ciudadanía— y, en última instancia, cuando así se le requiera, con este Tribunal Constitucional. A él corresponde “en su función de intérprete supremo de la Constitución (art. 1 LOTC), custodiar la permanente distinción entre la objetivación del poder constituyente y la actuación de los poderes constituidos, los cuales nunca podrán rebasar los límites y las competencias establecidas por aquél” (STC 76/1983, de 5 de agosto, FJ 4).</w:t>
      </w:r>
    </w:p>
    <w:p w:rsidR="00AC56D6" w:rsidRDefault="00AC56D6" w:rsidP="00AC56D6">
      <w:pPr>
        <w:pStyle w:val="TextoNormal"/>
      </w:pPr>
    </w:p>
    <w:p w:rsidR="00AC56D6" w:rsidRDefault="00AC56D6" w:rsidP="00AC56D6">
      <w:pPr>
        <w:pStyle w:val="TextoNormal"/>
      </w:pPr>
      <w:r w:rsidRPr="00AC56D6">
        <w:rPr>
          <w:rStyle w:val="NumeroAFNegritaCaracter"/>
        </w:rPr>
        <w:t>5</w:t>
      </w:r>
      <w:r>
        <w:t>. La resolución impugnada contrapone el supuesto alcance del “mandato democrático” recibido por el Parlamento de Cataluña en las elecciones de 27 de septiembre de 2015 (apartados primero y noveno), o el carácter “legítimo y democrático” del Parlamento de Cataluña por idéntica razón (apartado octavo), a la legalidad y la legitimidad de las instituciones del Estado, en particular de este Tribunal Constitucional, al que se considera directamente “carente de legitimidad y competencia”. El referido “mandato democrático” justificaría el anuncio de que las decisiones del Parlamento de Cataluña “no se supeditarán” a las adoptadas por las instituciones del conjunto del Estado, así como la apertura de un proceso constituyente “no subordinado”, esto es, unilateral, calificado de “ciudadano, participativo, abierto, integrador y activo”. En su escrito de alegaciones, el Parlamento de Cataluña reitera que la resolución “se apoya directamente sobre los principios básicos de la democracia y el pluralismo político”.</w:t>
      </w:r>
    </w:p>
    <w:p w:rsidR="00AC56D6" w:rsidRDefault="00AC56D6" w:rsidP="00AC56D6">
      <w:pPr>
        <w:pStyle w:val="TextoNormal"/>
      </w:pPr>
    </w:p>
    <w:p w:rsidR="00AC56D6" w:rsidRDefault="00AC56D6" w:rsidP="00AC56D6">
      <w:pPr>
        <w:pStyle w:val="TextoNormal"/>
      </w:pPr>
      <w:r>
        <w:t>La resolución 1/XI pretende, en suma, fundamentarse en un principio de legitimidad democrática del Parlamento de Cataluña, cuya formulación y consecuencias están en absoluta contradicción con la Constitución de 1978 y con el Estatuto de Autonomía de Cataluña. Ello trastoca no solo los postulados del Estado de Derecho, basado en el pleno sometimiento a la Ley y al Derecho, sino la propia legitimidad democrática del Parlamento de Cataluña, que la Constitución reconoce y ampara.</w:t>
      </w:r>
    </w:p>
    <w:p w:rsidR="00AC56D6" w:rsidRDefault="00AC56D6" w:rsidP="00AC56D6">
      <w:pPr>
        <w:pStyle w:val="TextoNormal"/>
      </w:pPr>
    </w:p>
    <w:p w:rsidR="00AC56D6" w:rsidRDefault="00AC56D6" w:rsidP="00AC56D6">
      <w:pPr>
        <w:pStyle w:val="TextoNormal"/>
      </w:pPr>
      <w:r>
        <w:lastRenderedPageBreak/>
        <w:t>En el Estado social y democrático de Derecho configurado por la Constitución de 1978 no cabe contraponer legitimidad democrática y legalidad constitucional en detrimento de la segunda: la legitimidad de una actuación o política del poder público consiste básicamente en su conformidad a la Constitución y al ordenamiento jurídico. Sin conformidad con la Constitución no puede predicarse legitimidad alguna. En una concepción democrática del poder no hay más legitimidad que la fundada en la Constitución.</w:t>
      </w:r>
    </w:p>
    <w:p w:rsidR="00AC56D6" w:rsidRDefault="00AC56D6" w:rsidP="00AC56D6">
      <w:pPr>
        <w:pStyle w:val="TextoNormal"/>
      </w:pPr>
    </w:p>
    <w:p w:rsidR="00AC56D6" w:rsidRDefault="00AC56D6" w:rsidP="00AC56D6">
      <w:pPr>
        <w:pStyle w:val="TextoNormal"/>
      </w:pPr>
      <w:r>
        <w:t>Por lo demás, el principio democrático, que constituye un valor superior de nuestro ordenamiento jurídico reflejado en el art. 1.1 CE (STC 204/2011, de 15 de diciembre, FJ 8) y que cuenta con diversas manifestaciones constitucionales [STC 42/2014, FJ 4 a)], no puede concebirse, como principio constitucional, de forma aislada y desvinculada del conjunto del ordenamiento constitucional y sus procesos. Como argumentaremos a continuación, la primacía incondicional de la Constitución es garantía de la democracia tanto por su fuente de legitimación y por su contenido como por la previsión misma de procedimientos para su reforma.</w:t>
      </w:r>
    </w:p>
    <w:p w:rsidR="00AC56D6" w:rsidRDefault="00AC56D6" w:rsidP="00AC56D6">
      <w:pPr>
        <w:pStyle w:val="TextoNormal"/>
      </w:pPr>
    </w:p>
    <w:p w:rsidR="00AC56D6" w:rsidRDefault="00AC56D6" w:rsidP="00AC56D6">
      <w:pPr>
        <w:pStyle w:val="TextoNormal"/>
      </w:pPr>
      <w:r>
        <w:t>a) En cuanto a su fuente de legitimación, la Constitución Española formalizó la voluntad del poder constituyente. El pueblo soberano, concebido como la unidad ideal de imputación del poder constituyente, ratificó en referéndum el texto acordado previamente por sus representantes políticos. La primacía incondicional de la Constitución también protege el principio democrático, “pues la garantía de la integridad de la Constitución ha de ser vista, a su vez, como preservación del respeto debido a la voluntad popular, en su veste de poder constituyente, fuente de toda legitimidad jurídico-política” [STC 42/2014, FJ 4 c)]. Por ello, es misión de este Tribunal velar por que se mantenga la primacía incondicional de la Constitución, que no es más que otra forma de sumisión a la voluntad popular, expresada esta vez como poder constituyente (STC 108/1986, de 29 de julio, FJ 18).</w:t>
      </w:r>
    </w:p>
    <w:p w:rsidR="00AC56D6" w:rsidRDefault="00AC56D6" w:rsidP="00AC56D6">
      <w:pPr>
        <w:pStyle w:val="TextoNormal"/>
      </w:pPr>
    </w:p>
    <w:p w:rsidR="00AC56D6" w:rsidRDefault="00AC56D6" w:rsidP="00AC56D6">
      <w:pPr>
        <w:pStyle w:val="TextoNormal"/>
      </w:pPr>
      <w:r>
        <w:t>b) Por lo que respecta a su contenido, la Constitución se fundamenta en el respeto de los valores de la dignidad humana, la libertad, la igualdad, la justicia, el pluralismo político, la democracia, el Estado de Derecho y los derechos fundamentales. El principio democrático, como principio constitucional, debe interpretarse, en consecuencia, a la luz del conjunto del ordenamiento constitucional y de sus procesos (normas electorales, reglas de procedimiento, derechos fundamentales, protección de las minorías o reforma constitucional, por citar algunas manifestaciones significativas). A los efectos del presente proceso conviene considerar en particular la conexión del principio democrático con dos rasgos preeminentes de nuestro Estado constitucional: el pluralismo político y el pluralismo territorial.</w:t>
      </w:r>
    </w:p>
    <w:p w:rsidR="00AC56D6" w:rsidRDefault="00AC56D6" w:rsidP="00AC56D6">
      <w:pPr>
        <w:pStyle w:val="TextoNormal"/>
      </w:pPr>
    </w:p>
    <w:p w:rsidR="00AC56D6" w:rsidRDefault="00AC56D6" w:rsidP="00AC56D6">
      <w:pPr>
        <w:pStyle w:val="TextoNormal"/>
      </w:pPr>
      <w:r>
        <w:t xml:space="preserve">Entre los valores superiores que la Constitución de 1978 propugna se encuentra ciertamente el del pluralismo político, pieza cardinal de nuestro orden de convivencia y que el Parlamento de Cataluña invoca en sus alegaciones como fundamento de la Resolución impugnada. Como los demás valores y principios constitucionales, también el de pluralismo político constituye un valor positivado. Se nutre de —y consiste en— contenidos y procedimientos irrenunciables que son a su vez condiciones y requisitos previamente consensuados. La Constitución proclama un mínimo de contenidos y establece unas reglas de juego insoslayables para los ciudadanos y los poderes públicos. De forma que, cuando este Tribunal ejerce el control de constitucionalidad de normas y actos que le encomienda su Ley Orgánica, no debe imponer constricciones indebidas al principio democrático que se expresa con arreglo a los cauces constitucionales, y debe respetar sus opciones políticas (STC </w:t>
      </w:r>
      <w:r>
        <w:lastRenderedPageBreak/>
        <w:t>108/1986, FJ 18). Ese marco constitucional mínimo de referencia mantiene unida a la comunidad política dentro de los parámetros del pluralismo político. Lo que caracteriza a la democracia es la continua toma de decisiones y la apertura a todas aquellas posibilidades que fueron desestimadas en el pasado por cualesquiera razones. Todo ello proporciona capacidad evolutiva al constitucionalismo pluralista propio de nuestro Estado social y democrático de Derecho.</w:t>
      </w:r>
    </w:p>
    <w:p w:rsidR="00AC56D6" w:rsidRDefault="00AC56D6" w:rsidP="00AC56D6">
      <w:pPr>
        <w:pStyle w:val="TextoNormal"/>
      </w:pPr>
    </w:p>
    <w:p w:rsidR="00AC56D6" w:rsidRDefault="00AC56D6" w:rsidP="00AC56D6">
      <w:pPr>
        <w:pStyle w:val="TextoNormal"/>
      </w:pPr>
      <w:r>
        <w:t>El pluralismo político no agota, con todo, las ricas expresiones del pluralismo que ampara la Constitución. Dejando ahora al margen el pluralismo lingüístico y cultural que también protege (preámbulo, arts. 3, apartados 2 y 3, y 148.1.17 y disposición final única CE), debemos subrayar la dimensión estructuradora de nuestro Estado constitucional que tiene la autonomía constitucionalmente reconocida a las nacionalidades y regiones.</w:t>
      </w:r>
    </w:p>
    <w:p w:rsidR="00AC56D6" w:rsidRDefault="00AC56D6" w:rsidP="00AC56D6">
      <w:pPr>
        <w:pStyle w:val="TextoNormal"/>
      </w:pPr>
    </w:p>
    <w:p w:rsidR="00AC56D6" w:rsidRDefault="00AC56D6" w:rsidP="00AC56D6">
      <w:pPr>
        <w:pStyle w:val="TextoNormal"/>
      </w:pPr>
      <w:r>
        <w:t>La indisoluble unidad de la Nación española que afirma el art. 2 CE se combina con el reconocimiento del derecho de las nacionalidades y regiones a la autonomía. El derecho a la autonomía se encuentra así proclamado en el núcleo mismo de la Constitución junto al principio de unidad. Mediante el ejercicio de aquel derecho, la Constitución garantiza la capacidad de las Comunidades Autónomas de adoptar sus propias políticas en el marco constitucional y estatutario. Es la propia norma fundamental la que obliga a conciliar los principios de unidad y de autonomía de las nacionalidades y regiones. Principios que, naturalmente, también se reflejan debidamente articulados en el Estatuto de Autonomía de Cataluña: “Cataluña, como nacionalidad, ejerce su autogobierno constituida en Comunidad Autónoma de acuerdo con la Constitución y con el presente Estatuto, que es su norma institucional básica” (art. 1 EAC).</w:t>
      </w:r>
    </w:p>
    <w:p w:rsidR="00AC56D6" w:rsidRDefault="00AC56D6" w:rsidP="00AC56D6">
      <w:pPr>
        <w:pStyle w:val="TextoNormal"/>
      </w:pPr>
    </w:p>
    <w:p w:rsidR="00AC56D6" w:rsidRDefault="00AC56D6" w:rsidP="00AC56D6">
      <w:pPr>
        <w:pStyle w:val="TextoNormal"/>
      </w:pPr>
      <w:r>
        <w:t>c) Precisamente por fundarse el Estado de Derecho en el principio democrático y por garantizarse la democracia misma a través de ese Estado de Derecho, la Constitución no constituye un texto jurídico intangible e inmutable. La previsión de la reforma constitucional, como se desarrollará en un fundamento jurídico posterior, reconoce y encauza la aspiración, plenamente legítima en el marco constitucional, dirigida a conseguir que el poder constituyente constitucionalizado en los arts. 167 y 168 CE revise y modifique la norma fundamental.</w:t>
      </w:r>
    </w:p>
    <w:p w:rsidR="00AC56D6" w:rsidRDefault="00AC56D6" w:rsidP="00AC56D6">
      <w:pPr>
        <w:pStyle w:val="TextoNormal"/>
      </w:pPr>
    </w:p>
    <w:p w:rsidR="00AC56D6" w:rsidRDefault="00AC56D6" w:rsidP="00AC56D6">
      <w:pPr>
        <w:pStyle w:val="TextoNormal"/>
      </w:pPr>
      <w:r>
        <w:t>De todo lo anterior se infiere que no puede oponerse una supuesta legitimidad democrática de un cuerpo legislativo a la primacía incondicional de la Constitución. El texto constitucional refleja las manifestaciones relevantes del principio democrático, cuyo ejercicio, por tanto, no cabe fuera del mismo [STC 42/2014, FJ 4 a)]. Por ello, el ordenamiento jurídico, con la Constitución en su cúspide, en ningún caso puede ser considerado como límite de la democracia, sino como su garantía misma.</w:t>
      </w:r>
    </w:p>
    <w:p w:rsidR="00AC56D6" w:rsidRDefault="00AC56D6" w:rsidP="00AC56D6">
      <w:pPr>
        <w:pStyle w:val="TextoNormal"/>
      </w:pPr>
    </w:p>
    <w:p w:rsidR="00AC56D6" w:rsidRDefault="00AC56D6" w:rsidP="00AC56D6">
      <w:pPr>
        <w:pStyle w:val="TextoNormal"/>
      </w:pPr>
      <w:r w:rsidRPr="00AC56D6">
        <w:rPr>
          <w:rStyle w:val="NumeroAFNegritaCaracter"/>
        </w:rPr>
        <w:t>6</w:t>
      </w:r>
      <w:r>
        <w:t xml:space="preserve">. De acuerdo con lo establecido por este Tribunal aceptar a “Cataluña como sujeto de derecho en los términos señalados en el art. 1 de su propio Estatuto de Autonomía implica naturalmente la asunción del entero universo jurídico creado por la Constitución, único en el que la Comunidad Autónoma de Cataluña encuentra, en Derecho, su sentido. En particular, supone la obviedad de que su Estatuto de Autonomía, fundamentado en la Constitución Española, hace suyo, por lógica derivación, el fundamento propio que la Constitución proclama para sí, esto es, ‘la indisoluble unidad de la Nación española’ (art. 2 CE), al tiempo que reconoce al pueblo español como titular de la soberanía nacional (art. 1.2 CE), cuya </w:t>
      </w:r>
      <w:r>
        <w:lastRenderedPageBreak/>
        <w:t>voluntad se formaliza en los preceptos positivos emanados del poder constituyente” (STC 31/2010, de 28 de junio, FJ 8).</w:t>
      </w:r>
    </w:p>
    <w:p w:rsidR="00AC56D6" w:rsidRDefault="00AC56D6" w:rsidP="00AC56D6">
      <w:pPr>
        <w:pStyle w:val="TextoNormal"/>
      </w:pPr>
    </w:p>
    <w:p w:rsidR="00AC56D6" w:rsidRDefault="00AC56D6" w:rsidP="00AC56D6">
      <w:pPr>
        <w:pStyle w:val="TextoNormal"/>
      </w:pPr>
      <w:r>
        <w:t>La resolución impugnada desconoce y vulnera las normas constitucionales que residencian en el pueblo español la soberanía nacional y que, en correspondencia con ello, afirman la unidad de la nación española, titular de esa soberanía (arts. 1.2 y 2 CE). Se trata de una infracción constitucional que no es fruto, como suele ocurrir en las contravenciones de la norma fundamental, de un entendimiento equivocado de lo que la misma impone o permite en cada caso. Es resultado, más bien, de un expreso rechazo a la fuerza de obligar de la Constitución misma, frente a la que se contrapone, de modo expreso, un poder que se reclama depositario de una soberanía y expresión de una dimensión constituyente desde los que se ha llevado a cabo una manifiesta negación del vigente ordenamiento constitucional. Se trata de la afirmación de un poder que se pretende fundante de un nuevo orden político y liberado, por ello mismo, de toda atadura jurídica.</w:t>
      </w:r>
    </w:p>
    <w:p w:rsidR="00AC56D6" w:rsidRDefault="00AC56D6" w:rsidP="00AC56D6">
      <w:pPr>
        <w:pStyle w:val="TextoNormal"/>
      </w:pPr>
    </w:p>
    <w:p w:rsidR="00AC56D6" w:rsidRDefault="00AC56D6" w:rsidP="00AC56D6">
      <w:pPr>
        <w:pStyle w:val="TextoNormal"/>
      </w:pPr>
      <w:r w:rsidRPr="00AC56D6">
        <w:rPr>
          <w:rStyle w:val="NumeroAFNegritaCaracter"/>
        </w:rPr>
        <w:t>7</w:t>
      </w:r>
      <w:r>
        <w:t xml:space="preserve">. La Constitución como ley superior no pretende para sí la condición de </w:t>
      </w:r>
      <w:r w:rsidRPr="00AC56D6">
        <w:rPr>
          <w:i/>
        </w:rPr>
        <w:t>lex perpetua</w:t>
      </w:r>
      <w:r>
        <w:t>. La nuestra admite y regula, en efecto, su “revisión total” (art. 168 CE y STC 48/2003, de 12 de marzo, FJ 7). Asegura así que “sólo los ciudadanos, actuando necesariamente al final del proceso de reforma, puedan disponer del poder supremo, esto es, del poder de modificar sin límites la propia Constitución” (STC 103/2008, de 11 de septiembre, FJ 2). Todas y cada una de las determinaciones constitucionales son susceptibles de modificación, pero “siempre y cuando ello no se prepare o defienda a través de una actividad que vulnere los principios democráticos, los derechos fundamentales o el resto de los mandatos constitucionales”, pero para ello es preciso que “el intento de su consecución efectiva se realice en el marco de los procedimientos de reforma de la Constitución, pues el respeto a estos procedimientos es, siempre y en todo caso, inexcusable” (STC 138/2015, de 11 de junio, FJ 4, y jurisprudencia allí citada).</w:t>
      </w:r>
    </w:p>
    <w:p w:rsidR="00AC56D6" w:rsidRDefault="00AC56D6" w:rsidP="00AC56D6">
      <w:pPr>
        <w:pStyle w:val="TextoNormal"/>
      </w:pPr>
    </w:p>
    <w:p w:rsidR="00AC56D6" w:rsidRDefault="00AC56D6" w:rsidP="00AC56D6">
      <w:pPr>
        <w:pStyle w:val="TextoNormal"/>
      </w:pPr>
      <w:r>
        <w:t>Es plena la apertura de la norma fundamental para su revisión formal, que pueden solicitar o proponer, entre otros órganos del Estado, las asambleas de las Comunidades Autónomas (arts. 87.2 y 166 CE); como ya tuvo oportunidad de recordar este Tribunal hace poco más de año y medio, en la STC 42/2014 (FFJJ 3 y 4) relativa al examen de constitucionalidad de la Resolución 5/X de 23 de enero de 2013 adoptada por el Parlamento de Cataluña. Ello depara la más amplia libertad para la exposición y defensa públicas de cualesquiera concepciones ideológicas, incluyendo las que “pretendan para una determinada colectividad la condición de comunidad nacional, incluso como principio desde el que procurar la conformación de una voluntad constitucionalmente legitimada para, mediante la oportuna e inexcusable reforma de la Constitución, traducir ese entendimiento en una realidad jurídica” (STC 31/2010, de 28 de junio, FJ 12). El debate público, dentro o fuera de las instituciones, sobre tales proyectos políticos o sobre cualesquiera otros que propugnaran la reforma constitucional goza, precisamente al amparo de la misma Constitución, de una irrestricta libertad. Por el contrario, la conversión de esos proyectos en normas o en otras determinaciones del poder público no es posible sino mediante el procedimiento de reforma constitucional. Otra cosa supondría liberar al poder público de toda sujeción a Derecho, con daño irreparable para la libertad de los ciudadanos.</w:t>
      </w:r>
    </w:p>
    <w:p w:rsidR="00AC56D6" w:rsidRDefault="00AC56D6" w:rsidP="00AC56D6">
      <w:pPr>
        <w:pStyle w:val="TextoNormal"/>
      </w:pPr>
    </w:p>
    <w:p w:rsidR="00AC56D6" w:rsidRDefault="00AC56D6" w:rsidP="00AC56D6">
      <w:pPr>
        <w:pStyle w:val="TextoNormal"/>
      </w:pPr>
      <w:r>
        <w:lastRenderedPageBreak/>
        <w:t>El Parlamento de Cataluña ha optado por aprobar, a través del procedimiento parlamentario propio de las propuestas de resolución, la Resolución 1/XI, cuyo contenido incide directamente, como ya se ha puesto de manifiesto, sobre cuestiones reservadas en su tratamiento institucional al procedimiento de reforma constitucional del artículo 168 CE. Por consiguiente, ha de estimarse también vulnerado el citado precepto constitucional, al no haberse seguido el cauce constitucionalmente establecido para abordar una redefinición del orden constitucional como la que se pretende con aquella resolución.</w:t>
      </w:r>
    </w:p>
    <w:p w:rsidR="00AC56D6" w:rsidRDefault="00AC56D6" w:rsidP="00AC56D6">
      <w:pPr>
        <w:pStyle w:val="TextoNormal"/>
      </w:pPr>
    </w:p>
    <w:p w:rsidR="00AC56D6" w:rsidRDefault="00AC56D6" w:rsidP="00AC56D6">
      <w:pPr>
        <w:pStyle w:val="TextoNormal"/>
      </w:pPr>
      <w:r>
        <w:t>La Cámara autonómica no puede erigirse en fuente de legitimidad jurídica y política, hasta arrogarse la potestad de vulnerar el orden constitucional que sustenta su propia autoridad. Obrando de ese modo, el Parlamento de Cataluña socavaría su propio fundamento constitucional y estatutario (arts. 1 y 2.4 EAC, antes citados), al sustraerse de toda vinculación a la Constitución y al resto del ordenamiento jurídico, e infringiría las bases del Estado de Derecho y la norma que declara la sujeción de todos a la Constitución (arts. 1.1 y 9.1 CE). Este Tribunal dijo ya en la STC 103/2008 que el respeto a los procedimientos de reforma constitucional es inexcusable, de modo que “tratar de sortear, eludir o simplemente prescindir de esos procedimientos sería intentar una inaceptable vía de hecho (incompatible con el Estado social y democrático de Derecho que se proclama en el art. 1.1 CE) para reformar la Constitución al margen de ella o conseguir su ineficacia práctica” (FJ 4). Esto es lo recogido en realidad en la resolución 1/XI, cuya apariencia de juridicidad —por provenir de un poder sin duda legítimo en origen— debe ser cancelada mediante la declaración de inconstitucionalidad que aquí se decide.</w:t>
      </w:r>
    </w:p>
    <w:p w:rsidR="00AC56D6" w:rsidRDefault="00AC56D6" w:rsidP="00AC56D6">
      <w:pPr>
        <w:pStyle w:val="TextoNormal"/>
      </w:pPr>
    </w:p>
    <w:p w:rsidR="00AC56D6" w:rsidRDefault="00AC56D6" w:rsidP="00AC56D6">
      <w:pPr>
        <w:pStyle w:val="TextoNormal"/>
      </w:pPr>
      <w:r>
        <w:t>Como afirmamos en la STC 42/2014 (FJ 4), el planteamiento de concepciones que pretendan modificar el fundamento mismo del orden constitucional tiene cabida en nuestro ordenamiento, siempre que no se prepare o defienda a través de una actividad que vulnere los principios democráticos, los derechos fundamentales o el resto de los mandatos constitucionales, y el intento de su consecución efectiva se realice en el marco de los procedimientos de reforma de la Constitución. Cuando, por el contrario, se pretenden alterar aquellos contenidos de manera unilateral y se ignoran de forma deliberada los procedimientos expresamente previstos a tal fin en la Constitución, se abandona la única senda que permite llegar a ese punto, la del Derecho.</w:t>
      </w:r>
    </w:p>
    <w:p w:rsidR="00AC56D6" w:rsidRDefault="00AC56D6" w:rsidP="00AC56D6">
      <w:pPr>
        <w:pStyle w:val="TextoNormal"/>
      </w:pPr>
    </w:p>
    <w:p w:rsidR="00AC56D6" w:rsidRDefault="00AC56D6" w:rsidP="00AC56D6">
      <w:pPr>
        <w:pStyle w:val="TextoNormal"/>
      </w:pPr>
      <w:r>
        <w:t>Apreciada la inconstitucionalidad de la resolución impugnada por su infracción de los artículos 1.1, 1.2, 2, 9.1 y 168 CE, así como de los artículos 1 y 2.4 EAC, no es preciso ya hacer declaración adicional alguna sobre las demás infracciones constitucionales que la demanda ha imputado a este acto.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 xml:space="preserve">Estimar la impugnación promovida por el Abogado del Estado, en representación del Gobierno de la Nación, contra la resolución 1/XI del Parlamento de Cataluña, adoptada el </w:t>
      </w:r>
      <w:r>
        <w:lastRenderedPageBreak/>
        <w:t>9 de noviembre de 2015 (publicada en el “Boletín Oficial del Parlamento de Cataluña” de la misma fecha), “sobre el inicio del proceso político en Cataluña como consecuencia de los resultados electorales del 27 de septiembre de 2015” y su anexo, declarando en consecuencia su inconstitucionalidad y nulidad.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dos de diciembre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16" w:name="SENTENCIA_2015_260"/>
      <w:r>
        <w:lastRenderedPageBreak/>
        <w:t>SENTENCIA 260/2015, de 3 de diciembre de 2015</w:t>
      </w:r>
    </w:p>
    <w:bookmarkEnd w:id="116"/>
    <w:p w:rsidR="00AC56D6" w:rsidRDefault="00AC56D6" w:rsidP="00AC56D6">
      <w:pPr>
        <w:pStyle w:val="TtuloResolucin"/>
      </w:pPr>
      <w:r>
        <w:t>Pleno</w:t>
      </w:r>
    </w:p>
    <w:p w:rsidR="00AC56D6" w:rsidRDefault="00AC56D6" w:rsidP="00AC56D6">
      <w:pPr>
        <w:pStyle w:val="TtuloBOE"/>
      </w:pPr>
      <w:r>
        <w:t>(BOE núm. 10, de 12 de enero de 2016)</w:t>
      </w:r>
    </w:p>
    <w:p w:rsidR="00AC56D6" w:rsidRDefault="00AC56D6" w:rsidP="00AC56D6">
      <w:pPr>
        <w:pStyle w:val="TextoNormalCentrado"/>
      </w:pPr>
      <w:r>
        <w:t>ECLI:ES:TC:2015:260</w:t>
      </w:r>
    </w:p>
    <w:p w:rsidR="00AC56D6" w:rsidRDefault="00AC56D6" w:rsidP="00AC56D6">
      <w:pPr>
        <w:pStyle w:val="TextoNormalCentrado"/>
      </w:pPr>
    </w:p>
    <w:p w:rsidR="00AC56D6" w:rsidRDefault="00AC56D6" w:rsidP="00AC56D6">
      <w:pPr>
        <w:pStyle w:val="SntesisDescriptiva"/>
      </w:pPr>
      <w:r>
        <w:t>Recurso de inconstitucionalidad 4051-2015. Recurso de inconstitucionalidad 4051-2015. Interpuesto por el Presidente del Gobierno en relación con el artículo 23.1 de la Ley 10/2014, de 1 de octubre, de ordenación minera de las Illes Balears.</w:t>
      </w:r>
    </w:p>
    <w:p w:rsidR="00AC56D6" w:rsidRDefault="00AC56D6" w:rsidP="00AC56D6">
      <w:pPr>
        <w:pStyle w:val="SntesisDescriptiva"/>
      </w:pPr>
    </w:p>
    <w:p w:rsidR="00AC56D6" w:rsidRDefault="00AC56D6" w:rsidP="00AC56D6">
      <w:pPr>
        <w:pStyle w:val="SntesisAnaltica"/>
      </w:pPr>
      <w:r>
        <w:t>Competencias sobre ordenación general de la economía, medio ambiente y minas: nulidad de los preceptos legales autonómicos relativos a la excepcionalidad del registro de terrenos para los recursos incluidos en la sección c) de la Ley de minas (STC 235/2015).</w:t>
      </w:r>
    </w:p>
    <w:p w:rsidR="00AC56D6" w:rsidRDefault="00AC56D6" w:rsidP="00AC56D6">
      <w:pPr>
        <w:pStyle w:val="SntesisAnaltica"/>
      </w:pPr>
    </w:p>
    <w:p w:rsidR="00AC56D6" w:rsidRDefault="00AC56D6" w:rsidP="00AC56D6">
      <w:pPr>
        <w:pStyle w:val="Extracto"/>
      </w:pPr>
      <w:r>
        <w:t>1.</w:t>
      </w:r>
      <w:r>
        <w:tab/>
        <w:t>Reitera la doctrina de la STC 235/2015 sobre el principio de registrabilidad de terrenos para la explotación minera estipulado en la legislación estatal básica [FFJJ 2 a 5].</w:t>
      </w:r>
    </w:p>
    <w:p w:rsidR="00AC56D6" w:rsidRDefault="00AC56D6" w:rsidP="00AC56D6">
      <w:pPr>
        <w:pStyle w:val="Extracto"/>
      </w:pPr>
    </w:p>
    <w:p w:rsidR="00AC56D6" w:rsidRDefault="00AC56D6" w:rsidP="00AC56D6">
      <w:pPr>
        <w:pStyle w:val="Extracto"/>
      </w:pPr>
      <w:r>
        <w:t>2.</w:t>
      </w:r>
      <w:r>
        <w:tab/>
        <w:t>El principio del que parte la norma estatal, que configura una regla general implícita de registrabilidad de todos los terrenos, se diferencia de lo que dispone la norma autonómica, que incluye como regla general la no registrabilidad de los terrenos, aunque con la posibilidad de excepcionarla [FJ 4]</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inconstitucionalidad núm. 4051-2015 planteado por el Presidente del Gobierno contra el art. 23.1 de la Ley 10/2014, de 1 de octubre, de ordenación minera de las Illes Balears. Han comparecido y formulado alegaciones el Abogado de la Comunidad Autónoma de las Illes Balears. Ha sido Ponente el Magistrado don Antonio Narváez Rodríguez, quien expresa el parecer del Tribunal.</w:t>
      </w:r>
    </w:p>
    <w:p w:rsidR="00AC56D6" w:rsidRDefault="00AC56D6" w:rsidP="00AC56D6">
      <w:pPr>
        <w:pStyle w:val="TextoNormal"/>
      </w:pPr>
    </w:p>
    <w:p w:rsidR="00AC56D6" w:rsidRDefault="00AC56D6" w:rsidP="00AC56D6">
      <w:pPr>
        <w:pStyle w:val="TextoNormalNegritaCentrado"/>
        <w:keepNext/>
      </w:pPr>
      <w:r>
        <w:lastRenderedPageBreak/>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Por escrito registrado en este Tribunal el día 7 de julio de 2015, el Abogado del Estado, en nombre del Presidente del Gobierno, interpuso recurso de inconstitucionalidad contra el art. 23.1 de la Ley 10/2014, de 1 de octubre, de ordenación minera de las Illes Balears, por vulneración de los arts. 149.1.13 CE sobre “bases y coordinación general de la actividad económica” y 149.1.25 CE sobre “régimen minero”; así como por infracción de la legislación básica estatal en materia de recursos mineros recogida en la Ley de minas de 21 de julio de 1973. Igualmente, se señala la infracción de los artículos 128, 130 y 132 CE.</w:t>
      </w:r>
    </w:p>
    <w:p w:rsidR="00AC56D6" w:rsidRDefault="00AC56D6" w:rsidP="00AC56D6">
      <w:pPr>
        <w:pStyle w:val="TextoNormal"/>
      </w:pPr>
    </w:p>
    <w:p w:rsidR="00AC56D6" w:rsidRDefault="00AC56D6" w:rsidP="00AC56D6">
      <w:pPr>
        <w:pStyle w:val="TextoNormal"/>
      </w:pPr>
      <w:r w:rsidRPr="00AC56D6">
        <w:rPr>
          <w:rStyle w:val="NumeroAFNegritaCaracter"/>
        </w:rPr>
        <w:t>2</w:t>
      </w:r>
      <w:r>
        <w:t>. El recurso se fundamenta en las razones que, sucintamente, se exponen a continuación:</w:t>
      </w:r>
    </w:p>
    <w:p w:rsidR="00AC56D6" w:rsidRDefault="00AC56D6" w:rsidP="00AC56D6">
      <w:pPr>
        <w:pStyle w:val="TextoNormal"/>
      </w:pPr>
    </w:p>
    <w:p w:rsidR="00AC56D6" w:rsidRDefault="00AC56D6" w:rsidP="00AC56D6">
      <w:pPr>
        <w:pStyle w:val="TextoNormal"/>
      </w:pPr>
      <w:r>
        <w:t>El Abogado del Estado señala que, al amparo de lo previsto en el art. 33.2 de la Ley Orgánica del Tribunal Constitucional (LOTC), se adoptó el acuerdo de iniciar negociaciones para resolver las discrepancias competenciales suscitadas, negociaciones que fueron parcialmente infructuosas.</w:t>
      </w:r>
    </w:p>
    <w:p w:rsidR="00AC56D6" w:rsidRDefault="00AC56D6" w:rsidP="00AC56D6">
      <w:pPr>
        <w:pStyle w:val="TextoNormal"/>
      </w:pPr>
    </w:p>
    <w:p w:rsidR="00AC56D6" w:rsidRDefault="00AC56D6" w:rsidP="00AC56D6">
      <w:pPr>
        <w:pStyle w:val="TextoNormal"/>
      </w:pPr>
      <w:r>
        <w:t>Tras reproducir el precepto impugnado, se refiere el escrito del Abogado del Estado a los antecedentes legislativos de su contenido señalando que la primera normativa que, sobre la registrabilidad de los terrenos a efectos de explotación minera, aprobó la Comunidad Autónoma de Baleares fue la Ley 13/2005, de 27 de diciembre, que estableció la no registrabilidad de los terrenos en el territorio de la Comunidad Autónoma. Señala, igualmente, que el Tribunal Supremo planteó una cuestión de inconstitucionalidad respecto del precepto que establecía dicha regulación.</w:t>
      </w:r>
    </w:p>
    <w:p w:rsidR="00AC56D6" w:rsidRDefault="00AC56D6" w:rsidP="00AC56D6">
      <w:pPr>
        <w:pStyle w:val="TextoNormal"/>
      </w:pPr>
    </w:p>
    <w:p w:rsidR="00AC56D6" w:rsidRDefault="00AC56D6" w:rsidP="00AC56D6">
      <w:pPr>
        <w:pStyle w:val="TextoNormal"/>
      </w:pPr>
      <w:r>
        <w:t>Por su parte, la Ley 10/2014, aquí impugnada, ha modificado la anterior normativa, cambiando la redacción en dos aspectos: De una parte, sustituyendo los términos “por razón de interés público se declara todo el territorio de las Illes Balears como zona no registrable” por los de “de forma excepcional podrá declararse la registrabilidad para los recursos mineros de la Sección C”. Y de otro lado, se añade en el art. 23 que, para la expresada registrabilidad, será necesaria la solicitud del interesado y la acreditación por el mismo de la disponibilidad de los terrenos y del resto de condiciones recogidas en los siguientes apartados del artículo.</w:t>
      </w:r>
    </w:p>
    <w:p w:rsidR="00AC56D6" w:rsidRDefault="00AC56D6" w:rsidP="00AC56D6">
      <w:pPr>
        <w:pStyle w:val="TextoNormal"/>
      </w:pPr>
    </w:p>
    <w:p w:rsidR="00AC56D6" w:rsidRDefault="00AC56D6" w:rsidP="00AC56D6">
      <w:pPr>
        <w:pStyle w:val="TextoNormal"/>
      </w:pPr>
      <w:r>
        <w:t xml:space="preserve">De acuerdo con el escrito del Abogado del Estado, el art. 23.1 de la Ley 10/2014, en su nueva redacción, supone una extralimitación de competencias por parte de la Comunidad Autónoma balear. Tras examinar la doctrina del Tribunal relativa a la dirección general de la economía (art. 149.1.13 CE) y la ordenación de las bases del sector minero (art. 149.1.25 CE), se señala por el Abogado del Estado que el título competencial autonómico sobre el que se fundamentaría el precepto impugnado sería el de medio ambiente. Sin embargo, al establecerse en éste la regla general de la no registrabilidad de los terrenos en todo el territorio autonómico, la Comunidad Autónoma estaría ejerciendo indebidamente su competencia en materia de medio ambiente, pues tal ejercicio no puede anular las competencias estatales en materia de ordenación general de la economía y régimen energético y minas, en virtud de las cuales el art. 39 de la Ley de minas de 21 de julio de 1973 ha establecido en su apartado 3 la regla general de la registrabilidad de los terrenos. Para el Abogado del Estado, el art. 39.3 de la Ley 22/1973, de minas, establece con carácter general, salvo razones de </w:t>
      </w:r>
      <w:r>
        <w:lastRenderedPageBreak/>
        <w:t>interés público, la registrabilidad de los terrenos, para así favorecer la actividad económica en el sector minero más importante, que parte de la obligación establecida en el art. 128 CE, así como del carácter de bienes demaniales estatales de los recursos mineros (art. 132 CE) y que permite excepcionar dicha registrabilidad cuando haya razones de interés público. Por el contrario, el legislador balear mantiene la no registrabilidad de los terrenos a efectos de explotación de los recursos mineros de la sección C). Así, en el parecer del recurrente, se plantea un supuesto de inconstitucionalidad mediata por vulneración de la legislación básica en materia de minas contenida en la Ley 22/1973, de 21 de julio, de minas. Igualmente, se señala la vulneración de los arts. 128, 130 y 132 CE.</w:t>
      </w:r>
    </w:p>
    <w:p w:rsidR="00AC56D6" w:rsidRDefault="00AC56D6" w:rsidP="00AC56D6">
      <w:pPr>
        <w:pStyle w:val="TextoNormal"/>
      </w:pPr>
    </w:p>
    <w:p w:rsidR="00AC56D6" w:rsidRDefault="00AC56D6" w:rsidP="00AC56D6">
      <w:pPr>
        <w:pStyle w:val="TextoNormal"/>
      </w:pPr>
      <w:r>
        <w:t>Se alega, igualmente, que la regla de la no registrabilidad de los terrenos establecida por la Ley de la Comunidad Autónoma es desproporcionada, para lo que trae a colación la doctrina de este Tribunal sobre la fractura hidráulica, al tiempo que recuerda que, si bien en materia medio ambiental, las Comunidades Autónomas tienen competencias para establecer medidas que garanticen una mayor protección, han de guardar estas la debida proporcionalidad con el fin que persiguen, sin que puedan establecerse, como en este caso, prohibiciones genéricas de actividades económicas sin justificación concreta del motivo que les lleve a ello.</w:t>
      </w:r>
    </w:p>
    <w:p w:rsidR="00AC56D6" w:rsidRDefault="00AC56D6" w:rsidP="00AC56D6">
      <w:pPr>
        <w:pStyle w:val="TextoNormal"/>
      </w:pPr>
    </w:p>
    <w:p w:rsidR="00AC56D6" w:rsidRDefault="00AC56D6" w:rsidP="00AC56D6">
      <w:pPr>
        <w:pStyle w:val="TextoNormal"/>
      </w:pPr>
      <w:r>
        <w:t>Asimismo, considera el recurrente que el artículo 23 de la norma autonómica impugnada es inconstitucional porque, para poder declarar la registrabilidad de los terrenos, establece requisitos distintos a los fijados en la regulación básica del Estado. En efecto, mientras que la legislación estatal establece que, para que el terreno sea registrable, debe ser franco y tener la extensión mínima de una cuadrícula minera (art. 39.1), el precepto impugnado impone como condición que se acredite la disponibilidad de los terrenos y demás condiciones fijadas en el artículo.</w:t>
      </w:r>
    </w:p>
    <w:p w:rsidR="00AC56D6" w:rsidRDefault="00AC56D6" w:rsidP="00AC56D6">
      <w:pPr>
        <w:pStyle w:val="TextoNormal"/>
      </w:pPr>
    </w:p>
    <w:p w:rsidR="00AC56D6" w:rsidRDefault="00AC56D6" w:rsidP="00AC56D6">
      <w:pPr>
        <w:pStyle w:val="TextoNormal"/>
      </w:pPr>
      <w:r>
        <w:t>Por todo ello, el Abogado del Estado concluye su recurso con la súplica de que se dicte Sentencia que declare inconstitucional y nulo el artículo 23.1 de la Ley 10/2014, impugnado. Por medio de otrosí tiene por hecha, también, la invocación de lo previsto en los arts. 161.2 CE y 77 LOTC, para que sea declarada la suspensión de la vigencia y aplicación del precepto recurrido.</w:t>
      </w:r>
    </w:p>
    <w:p w:rsidR="00AC56D6" w:rsidRDefault="00AC56D6" w:rsidP="00AC56D6">
      <w:pPr>
        <w:pStyle w:val="TextoNormal"/>
      </w:pPr>
    </w:p>
    <w:p w:rsidR="00AC56D6" w:rsidRDefault="00AC56D6" w:rsidP="00AC56D6">
      <w:pPr>
        <w:pStyle w:val="TextoNormal"/>
      </w:pPr>
      <w:r w:rsidRPr="00AC56D6">
        <w:rPr>
          <w:rStyle w:val="NumeroAFNegritaCaracter"/>
        </w:rPr>
        <w:t>3</w:t>
      </w:r>
      <w:r>
        <w:t>. Por providencia de 21 de julio de 2015, el Pleno del Tribunal, a propuesta de la Sección Cuarta, acordó admitir a trámite la impugnación promovida por el Presidente del Gobierno, en relación con el art. 23.1 de la Ley 10/2014, de 1 de octubre, de ordenación minera de las Illes Balears; dar traslado de la demanda y documentos presentados, conforme al art. 34 de la Ley Orgánica del Tribunal Constitucional, al Congreso de los Diputados y al Senado, por conducto de sus Presidentes, y al Gobierno y al Parlamento de las Illes Balears, al objeto de que en el plazo de quince días pudieran personarse en el proceso y formular las alegaciones que estimaran convenientes. Tener por invocado por el Gobierno el art. 161.2 CE lo que, a su tenor y conforme dispone el art. 77 LOTC, produjo la suspensión de los preceptos impugnados y la de cualquier actuación que trajera causa de los mismos desde el día 7 de julio de 2015, fecha de interposición del recurso, lo que fue comunicado a los Presidentes del Gobierno de Canarias y Parlamento de las Illes Balears. Por último, se acordó publicar la incoación del proceso en el “Boletín Oficial del Estado” y en el “Butlletí Oficial de la Comunidad Autónoma de las Illes Balears”</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4</w:t>
      </w:r>
      <w:r>
        <w:t>. Por escrito registrado el día 5 de agosto de 2015, la Presidenta del Parlamento de las Illes Balears comunicó el acuerdo de la Mesa de la Cámara de no personarse en el procedimiento, poniendo a disposición del Tribunal las actuaciones que este pudiera requerir.</w:t>
      </w:r>
    </w:p>
    <w:p w:rsidR="00AC56D6" w:rsidRDefault="00AC56D6" w:rsidP="00AC56D6">
      <w:pPr>
        <w:pStyle w:val="TextoNormal"/>
      </w:pPr>
    </w:p>
    <w:p w:rsidR="00AC56D6" w:rsidRDefault="00AC56D6" w:rsidP="00AC56D6">
      <w:pPr>
        <w:pStyle w:val="TextoNormal"/>
      </w:pPr>
      <w:r w:rsidRPr="00AC56D6">
        <w:rPr>
          <w:rStyle w:val="NumeroAFNegritaCaracter"/>
        </w:rPr>
        <w:t>5</w:t>
      </w:r>
      <w:r>
        <w:t>. Mediante escrito registrado con fecha de 26 de agosto de 2015, el Presidente del Senado comunicó el acuerdo de la Mesa de la Cámara de personarse en el procedimiento y ofrecer su colaboración a los efectos del art. 88.1 LOTC. Lo mismo hizo el Presidente del Congreso de los Diputados, por escrito que tuvo entrada en este Tribunal el día 9 de septiembre de 2015.</w:t>
      </w:r>
    </w:p>
    <w:p w:rsidR="00AC56D6" w:rsidRDefault="00AC56D6" w:rsidP="00AC56D6">
      <w:pPr>
        <w:pStyle w:val="TextoNormal"/>
      </w:pPr>
    </w:p>
    <w:p w:rsidR="00AC56D6" w:rsidRDefault="00AC56D6" w:rsidP="00AC56D6">
      <w:pPr>
        <w:pStyle w:val="TextoNormal"/>
      </w:pPr>
      <w:r w:rsidRPr="00AC56D6">
        <w:rPr>
          <w:rStyle w:val="NumeroAFNegritaCaracter"/>
        </w:rPr>
        <w:t>6</w:t>
      </w:r>
      <w:r>
        <w:t>. El Abogado de la Comunidad Autónoma de las Illes Balears, en la representación que ostenta del Consejo de Gobierno de esa Comunidad Autónoma, formuló sus alegaciones por escrito registrado el día 17 de septiembre de 2015, interesando la desestimación del recurso por las razones que se resumen a continuación.</w:t>
      </w:r>
    </w:p>
    <w:p w:rsidR="00AC56D6" w:rsidRDefault="00AC56D6" w:rsidP="00AC56D6">
      <w:pPr>
        <w:pStyle w:val="TextoNormal"/>
      </w:pPr>
    </w:p>
    <w:p w:rsidR="00AC56D6" w:rsidRDefault="00AC56D6" w:rsidP="00AC56D6">
      <w:pPr>
        <w:pStyle w:val="TextoNormal"/>
      </w:pPr>
      <w:r>
        <w:t>Tras exponer los antecedentes de interés respecto de la finalidad perseguida por la Ley 10/2014, examina los antecedentes a considerar en relación con el contenido y significación del artículo 23.1 de la misma Ley.</w:t>
      </w:r>
    </w:p>
    <w:p w:rsidR="00AC56D6" w:rsidRDefault="00AC56D6" w:rsidP="00AC56D6">
      <w:pPr>
        <w:pStyle w:val="TextoNormal"/>
      </w:pPr>
    </w:p>
    <w:p w:rsidR="00AC56D6" w:rsidRDefault="00AC56D6" w:rsidP="00AC56D6">
      <w:pPr>
        <w:pStyle w:val="TextoNormal"/>
      </w:pPr>
      <w:r>
        <w:t>Así, se señala que la situación de la “registrabilidad” de los recursos mineros de la sección C) en el territorio de las Illes Balears —que era de absoluta “no registrabilidad” de dichos recursos en todo el territorio de la Comunidad Autónoma, en base a lo dispuesto en el artículo 47 de la Ley 13/2005, de 27 de diciembre y que no mereció reproche alguno de inconstitucionalidad por parte del Estado— pasa a convertirse, por razón de lo dispuesto en el artículo 23 de la Ley 10/2014, de 1 de octubre, en una situación en la que, la “registrabilidad” de recursos mineros de la sección C) resulta posible siempre que “se acredite la disponibilidad de los terrenos” (artículo 23.1 y 3) y que se cumpla el resto de las condiciones exigidas en los puntos 2. 3 y 4 del propio artículo 23.</w:t>
      </w:r>
    </w:p>
    <w:p w:rsidR="00AC56D6" w:rsidRDefault="00AC56D6" w:rsidP="00AC56D6">
      <w:pPr>
        <w:pStyle w:val="TextoNormal"/>
      </w:pPr>
    </w:p>
    <w:p w:rsidR="00AC56D6" w:rsidRDefault="00AC56D6" w:rsidP="00AC56D6">
      <w:pPr>
        <w:pStyle w:val="TextoNormal"/>
      </w:pPr>
      <w:r>
        <w:t>De acuerdo con el escrito del Abogado de la Comunidad Autónoma de las Illes Balears, si se examina con el detenimiento suficiente el contenido del artículo 23.1 (único precepto recurrido de adverso) se constata que el texto del referido precepto —en el contexto de lo que la propia ley denomina o califica como “condiciones especiales” de la solicitud de derechos mineros de recursos de la sección C)— permite extraer las siguientes conclusiones:</w:t>
      </w:r>
    </w:p>
    <w:p w:rsidR="00AC56D6" w:rsidRDefault="00AC56D6" w:rsidP="00AC56D6">
      <w:pPr>
        <w:pStyle w:val="TextoNormal"/>
      </w:pPr>
    </w:p>
    <w:p w:rsidR="00AC56D6" w:rsidRDefault="00AC56D6" w:rsidP="00AC56D6">
      <w:pPr>
        <w:pStyle w:val="TextoNormal"/>
      </w:pPr>
      <w:r>
        <w:t>a) Si bien se califica como “excepcional” la posibilidad de declaración de “registrabilidad” de los recursos mineros de la sección C) en el ámbito de las Illes Balears, dicha excepcionalidad no resulta ser tal en cuanto que no es obstativa ni limitativa para la declaración de “registrabilidad” y ulterior acceso al aprovechamiento minero cuando el solicitante acredite la disponibilidad de los terrenos y el cumplimiento del resto de condiciones exigidas en los siguientes apartados del mismo artículo.</w:t>
      </w:r>
    </w:p>
    <w:p w:rsidR="00AC56D6" w:rsidRDefault="00AC56D6" w:rsidP="00AC56D6">
      <w:pPr>
        <w:pStyle w:val="TextoNormal"/>
      </w:pPr>
    </w:p>
    <w:p w:rsidR="00AC56D6" w:rsidRDefault="00AC56D6" w:rsidP="00AC56D6">
      <w:pPr>
        <w:pStyle w:val="TextoNormal"/>
      </w:pPr>
      <w:r>
        <w:t xml:space="preserve">b) El examen de las condiciones/requisitos establecidos en los siguientes apartados (no recurridos ni cuestionados de adverso) del artículo 23 de la Ley 10/2014, de 1 de octubre, nos permite determinar que —además de la acreditación de la disponibilidad de los terrenos— la consecución de la declaración de “registrabilidad” para la obtención de derechos sobre recursos mineros de la sección C) en las Illes Balears precisaría de lo siguiente: La </w:t>
      </w:r>
      <w:r>
        <w:lastRenderedPageBreak/>
        <w:t>aportación de los documentos a que se refieren los artículos 15 y 16 de la propia Ley 10/2014, de 1 de octubre (documentación común para la solicitud de cualquier derecho minero); la presentación de los documentos a que se refiere el punto 3 del mismo artículo 23: memoria descriptiva, planos, relación inversiones, etc. ... e informe favorable del Consejo de la Minería de la Comunidad Autónoma (artículo 23.2 ) en el caso de nuevas concesiones, ampliaciones o prórrogas de las existentes.</w:t>
      </w:r>
    </w:p>
    <w:p w:rsidR="00AC56D6" w:rsidRDefault="00AC56D6" w:rsidP="00AC56D6">
      <w:pPr>
        <w:pStyle w:val="TextoNormal"/>
      </w:pPr>
    </w:p>
    <w:p w:rsidR="00AC56D6" w:rsidRDefault="00AC56D6" w:rsidP="00AC56D6">
      <w:pPr>
        <w:pStyle w:val="TextoNormal"/>
      </w:pPr>
      <w:r>
        <w:t>Señala, a continuación, el escrito del Abogado de la Comunidad Autónoma de las Illes Balears que, por su parte, los artículos 37 y 39 de la Ley 22/1973, de 21 de julio, de minas disponen que el otorgamiento de derechos mineros sobre los recursos de la sección C) precisa, como regla general, que se trate de recursos ubicados en terrenos “francos” y “registrables”, y que el Gobierno/Gobiernos, podrán declarar no registrables zonas determinadas de su territorio por razones de interés público.</w:t>
      </w:r>
    </w:p>
    <w:p w:rsidR="00AC56D6" w:rsidRDefault="00AC56D6" w:rsidP="00AC56D6">
      <w:pPr>
        <w:pStyle w:val="TextoNormal"/>
      </w:pPr>
    </w:p>
    <w:p w:rsidR="00AC56D6" w:rsidRDefault="00AC56D6" w:rsidP="00AC56D6">
      <w:pPr>
        <w:pStyle w:val="TextoNormal"/>
      </w:pPr>
      <w:r>
        <w:t>Entiende el Abogado de las Illes Balears que no existe la supuesta “irregistrabilidad” encubierta y denunciada de adverso de todo el territorio de las Illes Balears ni —por otro lado— la registrabilidad constituye algo “excepcional”, sino que resulta que —la posibilidad de “registrabilidad” de todos los recursos mineros de la sección C)— es un derecho innegable para el solicitante siempre que se acredite la disponibilidad de los terrenos —en el sentido de que sean “francos” por no pertenecer a ninguna “reserva” o estar ya otorgados a terceros y de acreditar su disponibilidad por parte del solicitante— y se pruebe el cumplimiento de los requisitos no discutidos ni impugnados que exigen los siguientes apartados del mismo artículo 23. En consecuencia, la regulación que se contiene en el artículo 23.1 de la Ley 10/2014, de 1 de octubre, de ordenación minera de las Illes Balears, no supone que la “registrabilidad” de los terrenos para la obtención de derechos mineros sobre recursos de la sección C) sea “excepcional” sino que, pese al desafortunado “calificativo” empleado en el precepto, la “registrabilidad” resulta que no es excepcional, sino que está sometida meramente al cumplimiento de determinados requisitos que no han sido cuestionados ni recurridos de adverso.</w:t>
      </w:r>
    </w:p>
    <w:p w:rsidR="00AC56D6" w:rsidRDefault="00AC56D6" w:rsidP="00AC56D6">
      <w:pPr>
        <w:pStyle w:val="TextoNormal"/>
      </w:pPr>
    </w:p>
    <w:p w:rsidR="00AC56D6" w:rsidRDefault="00AC56D6" w:rsidP="00AC56D6">
      <w:pPr>
        <w:pStyle w:val="TextoNormal"/>
      </w:pPr>
      <w:r>
        <w:t>Añade, a continuación, el Abogado de la Comunidad autónoma que la regulación del art. 23 de la Ley 10/2014, de 1 de octubre, de ordenación minera de las Illes Balears, tampoco vulnera las competencias estatales relativas al establecimiento de las bases y coordinación de la planificación general de la actividad económica, en su relación con el artículo 128.1 CE, pues no prohíbe ningún tipo de actividad extractiva ni representa ningún tipo de limitación insalvable a la obtención de derechos mineros sobre recursos de la sección C).</w:t>
      </w:r>
    </w:p>
    <w:p w:rsidR="00AC56D6" w:rsidRDefault="00AC56D6" w:rsidP="00AC56D6">
      <w:pPr>
        <w:pStyle w:val="TextoNormal"/>
      </w:pPr>
    </w:p>
    <w:p w:rsidR="00AC56D6" w:rsidRDefault="00AC56D6" w:rsidP="00AC56D6">
      <w:pPr>
        <w:pStyle w:val="TextoNormal"/>
      </w:pPr>
      <w:r>
        <w:t>Concluye el Abogado de las Illes Balears con la súplica de que se desestime la impugnación, confirmando la constitucionalidad del precepto impugnado.</w:t>
      </w:r>
    </w:p>
    <w:p w:rsidR="00AC56D6" w:rsidRDefault="00AC56D6" w:rsidP="00AC56D6">
      <w:pPr>
        <w:pStyle w:val="TextoNormal"/>
      </w:pPr>
    </w:p>
    <w:p w:rsidR="00AC56D6" w:rsidRDefault="00AC56D6" w:rsidP="00AC56D6">
      <w:pPr>
        <w:pStyle w:val="TextoNormal"/>
      </w:pPr>
      <w:r w:rsidRPr="00AC56D6">
        <w:rPr>
          <w:rStyle w:val="NumeroAFNegritaCaracter"/>
        </w:rPr>
        <w:t>7</w:t>
      </w:r>
      <w:r>
        <w:t>. Mediante providencia de fecha 1 de diciembre de 2015, se señaló para deliberación y votación de la presente Sentencia el día 3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objeto del presente recurso de inconstitucionalidad es el apartado 1 del art. 23 de la Ley 10/2014, de 1 de octubre, de ordenación minera de las Illes Balears.</w:t>
      </w:r>
    </w:p>
    <w:p w:rsidR="00AC56D6" w:rsidRDefault="00AC56D6" w:rsidP="00AC56D6">
      <w:pPr>
        <w:pStyle w:val="TextoNormal"/>
      </w:pPr>
    </w:p>
    <w:p w:rsidR="00AC56D6" w:rsidRDefault="00AC56D6" w:rsidP="00AC56D6">
      <w:pPr>
        <w:pStyle w:val="TextoNormal"/>
      </w:pPr>
      <w:r>
        <w:t>El artículo 23 establece lo siguiente:</w:t>
      </w:r>
    </w:p>
    <w:p w:rsidR="00AC56D6" w:rsidRDefault="00AC56D6" w:rsidP="00AC56D6">
      <w:pPr>
        <w:pStyle w:val="TextoNormal"/>
      </w:pPr>
    </w:p>
    <w:p w:rsidR="00AC56D6" w:rsidRDefault="00AC56D6" w:rsidP="00AC56D6">
      <w:pPr>
        <w:pStyle w:val="TextoNormal"/>
      </w:pPr>
      <w:r>
        <w:t>“Artículo 23. Condiciones especiales de la solicitud de derechos mineros de recursos de la sección C.</w:t>
      </w:r>
    </w:p>
    <w:p w:rsidR="00AC56D6" w:rsidRDefault="00AC56D6" w:rsidP="00AC56D6">
      <w:pPr>
        <w:pStyle w:val="TextoNormal"/>
      </w:pPr>
    </w:p>
    <w:p w:rsidR="00AC56D6" w:rsidRDefault="00AC56D6" w:rsidP="00AC56D6">
      <w:pPr>
        <w:pStyle w:val="TextoNormal"/>
      </w:pPr>
      <w:r>
        <w:t>1. De forma excepcional, podrá declararse la registrabilidad para los recursos mineros de la sección C a solicitud del interesado y si se acredita la disponibilidad de los terrenos y el cumplimiento del resto de condiciones exigidas en los siguientes puntos.</w:t>
      </w:r>
    </w:p>
    <w:p w:rsidR="00AC56D6" w:rsidRDefault="00AC56D6" w:rsidP="00AC56D6">
      <w:pPr>
        <w:pStyle w:val="TextoNormal"/>
      </w:pPr>
    </w:p>
    <w:p w:rsidR="00AC56D6" w:rsidRDefault="00AC56D6" w:rsidP="00AC56D6">
      <w:pPr>
        <w:pStyle w:val="TextoNormal"/>
      </w:pPr>
      <w:r>
        <w:t>2. Las explotaciones mineras de aprovechamiento de recursos de la sección C, además de la previa declaración de zona registrable, necesitarán, en el caso de nuevas concesiones, ampliaciones o prórrogas de las existentes, el informe favorable del Consejo de la Minería.</w:t>
      </w:r>
    </w:p>
    <w:p w:rsidR="00AC56D6" w:rsidRDefault="00AC56D6" w:rsidP="00AC56D6">
      <w:pPr>
        <w:pStyle w:val="TextoNormal"/>
      </w:pPr>
    </w:p>
    <w:p w:rsidR="00AC56D6" w:rsidRDefault="00AC56D6" w:rsidP="00AC56D6">
      <w:pPr>
        <w:pStyle w:val="TextoNormal"/>
      </w:pPr>
      <w:r>
        <w:t>3. En el momento de la solicitud habrá de acreditarse la disponibilidad sobre los terrenos, al menos por el tiempo por el que se solicita la concesión, ampliación o prórroga.</w:t>
      </w:r>
    </w:p>
    <w:p w:rsidR="00AC56D6" w:rsidRDefault="00AC56D6" w:rsidP="00AC56D6">
      <w:pPr>
        <w:pStyle w:val="TextoNormal"/>
      </w:pPr>
    </w:p>
    <w:p w:rsidR="00AC56D6" w:rsidRDefault="00AC56D6" w:rsidP="00AC56D6">
      <w:pPr>
        <w:pStyle w:val="TextoNormal"/>
      </w:pPr>
      <w:r>
        <w:t>En la solicitud han de adjuntarse, además de la documentación descrita en los artículos 15 y 16 de esta ley, y de la solicitud de registrabilidad, los siguientes documentos:</w:t>
      </w:r>
    </w:p>
    <w:p w:rsidR="00AC56D6" w:rsidRDefault="00AC56D6" w:rsidP="00AC56D6">
      <w:pPr>
        <w:pStyle w:val="TextoNormal"/>
      </w:pPr>
    </w:p>
    <w:p w:rsidR="00AC56D6" w:rsidRDefault="00AC56D6" w:rsidP="00AC56D6">
      <w:pPr>
        <w:pStyle w:val="TextoNormal"/>
      </w:pPr>
      <w:r>
        <w:t>a) Una memoria descriptiva de la explotación que se lleva a cabo, que ha de firmar una persona titulada universitaria de minas y en la cual han de detallarse las labores, las instalaciones y los servicios que han de realizarse y que se consideren imprescindibles para el aprovechamiento racional del recurso.</w:t>
      </w:r>
    </w:p>
    <w:p w:rsidR="00AC56D6" w:rsidRDefault="00AC56D6" w:rsidP="00AC56D6">
      <w:pPr>
        <w:pStyle w:val="TextoNormal"/>
      </w:pPr>
    </w:p>
    <w:p w:rsidR="00AC56D6" w:rsidRDefault="00AC56D6" w:rsidP="00AC56D6">
      <w:pPr>
        <w:pStyle w:val="TextoNormal"/>
      </w:pPr>
      <w:r>
        <w:t>b) Los planos detallados de la explotación, que han de incluir los terrenos que se pretende explotar.</w:t>
      </w:r>
    </w:p>
    <w:p w:rsidR="00AC56D6" w:rsidRDefault="00AC56D6" w:rsidP="00AC56D6">
      <w:pPr>
        <w:pStyle w:val="TextoNormal"/>
      </w:pPr>
    </w:p>
    <w:p w:rsidR="00AC56D6" w:rsidRDefault="00AC56D6" w:rsidP="00AC56D6">
      <w:pPr>
        <w:pStyle w:val="TextoNormal"/>
      </w:pPr>
      <w:r>
        <w:t>c) La relación de las inversiones realizadas en instalaciones y trabajos efectuados.</w:t>
      </w:r>
    </w:p>
    <w:p w:rsidR="00AC56D6" w:rsidRDefault="00AC56D6" w:rsidP="00AC56D6">
      <w:pPr>
        <w:pStyle w:val="TextoNormal"/>
      </w:pPr>
    </w:p>
    <w:p w:rsidR="00AC56D6" w:rsidRDefault="00AC56D6" w:rsidP="00AC56D6">
      <w:pPr>
        <w:pStyle w:val="TextoNormal"/>
      </w:pPr>
      <w:r>
        <w:t>d) Las producciones que se hayan conseguido, en su caso, así como las que se tengan que obtener, con indicación de las aplicaciones y las finalidades.</w:t>
      </w:r>
    </w:p>
    <w:p w:rsidR="00AC56D6" w:rsidRDefault="00AC56D6" w:rsidP="00AC56D6">
      <w:pPr>
        <w:pStyle w:val="TextoNormal"/>
      </w:pPr>
    </w:p>
    <w:p w:rsidR="00AC56D6" w:rsidRDefault="00AC56D6" w:rsidP="00AC56D6">
      <w:pPr>
        <w:pStyle w:val="TextoNormal"/>
      </w:pPr>
      <w:r>
        <w:t>4. Una vez realizada la tramitación, si los informes vinculantes son favorables, la consejería competente en materia de minería remitirá el expediente al Consejo de Gobierno para su declaración de zona registrable, si lo considera pertinente.”</w:t>
      </w:r>
    </w:p>
    <w:p w:rsidR="00AC56D6" w:rsidRDefault="00AC56D6" w:rsidP="00AC56D6">
      <w:pPr>
        <w:pStyle w:val="TextoNormal"/>
      </w:pPr>
    </w:p>
    <w:p w:rsidR="00AC56D6" w:rsidRDefault="00AC56D6" w:rsidP="00AC56D6">
      <w:pPr>
        <w:pStyle w:val="TextoNormal"/>
      </w:pPr>
      <w:r>
        <w:t>A juicio del Abogado del Estado recurrente el apartado 1 del art. 23 vulnera los arts. 149.1.13 CE sobre “bases y coordinación general de la actividad económica” y 149.1.25 CE sobre “régimen minero”; así como la legislación básica estatal en materia de recursos mineros recogida en la Ley de minas de 21 de julio de 1973, así como los arts. 128, 130 y 132 CE.</w:t>
      </w:r>
    </w:p>
    <w:p w:rsidR="00AC56D6" w:rsidRDefault="00AC56D6" w:rsidP="00AC56D6">
      <w:pPr>
        <w:pStyle w:val="TextoNormal"/>
      </w:pPr>
    </w:p>
    <w:p w:rsidR="00AC56D6" w:rsidRDefault="00AC56D6" w:rsidP="00AC56D6">
      <w:pPr>
        <w:pStyle w:val="TextoNormal"/>
      </w:pPr>
      <w:r>
        <w:t>La representación procesal del Gobierno de la Comunidad Autónoma, por el contrario, ha defendido que se trata de una norma de carácter medioambiental adoptada en el ejercicio de las competencias autonómicas en la materia.</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2</w:t>
      </w:r>
      <w:r>
        <w:t>. Nos encontramos, pues, ante un recurso de inconstitucionalidad de contenido esencialmente competencial, pues la aducida vulneración de los arts. 128, 130 y 132 CE tiene un carácter accesorio y de refuerzo de los argumentos relacionados con la invasión del orden de distribución de competencias que aprecia el recurrente.</w:t>
      </w:r>
    </w:p>
    <w:p w:rsidR="00AC56D6" w:rsidRDefault="00AC56D6" w:rsidP="00AC56D6">
      <w:pPr>
        <w:pStyle w:val="TextoNormal"/>
      </w:pPr>
    </w:p>
    <w:p w:rsidR="00AC56D6" w:rsidRDefault="00AC56D6" w:rsidP="00AC56D6">
      <w:pPr>
        <w:pStyle w:val="TextoNormal"/>
      </w:pPr>
      <w:r>
        <w:t>Por tanto y, en primer lugar, resulta necesario dilucidar el encuadramiento de la cuestión controvertida —relativa a la determinación de la materia regulada por el art. 23.1 de la Ley 10/2014, de 1 de octubre, que de modo excepcional, permite declarar la registrabilidad para los recursos mineros de la sección C)— a efectos de identificar los títulos competenciales en concurso, para lo cual es preciso remitirse al encuadre competencial que este Tribunal ha realizado en la reciente STC 235/2015, de 5 de noviembre, donde se examinó, al hilo de una cuestión de inconstitucionalidad planteada por la Sección Cuarta de la Sala de lo Contencioso-Administrativo del Tribunal Supremo, la conformidad con la Constitución del art. 47 de la Ley 13/2005, de 27 de diciembre, de medidas tributarias y administrativas de la Comunidad Autónoma de Illes Balears, que es el precepto que ha sido sustituido por el art. 23 de la Ley 10/2014, de 1 de octubre.</w:t>
      </w:r>
    </w:p>
    <w:p w:rsidR="00AC56D6" w:rsidRDefault="00AC56D6" w:rsidP="00AC56D6">
      <w:pPr>
        <w:pStyle w:val="TextoNormal"/>
      </w:pPr>
    </w:p>
    <w:p w:rsidR="00AC56D6" w:rsidRDefault="00AC56D6" w:rsidP="00AC56D6">
      <w:pPr>
        <w:pStyle w:val="TextoNormal"/>
      </w:pPr>
      <w:r>
        <w:t>Así, en aquella ocasión consideramos que “no obstante la incidencia que los recursos mineros y su explotación tienen sobre otras materias, en especial la protección del medio ambiente, hemos de entender, dado el contenido del precepto cuestionado, relativo a la irregistrabilidad de todo el territorio de las Illes Balears a afectos de la explotación de los recursos mineros de la sección C), que la cuestión controvertida se encuadra en el ámbito material del régimen minero. La registrabilidad es un concepto propio de este específico sector cuya regulación, en sí misma, no tiene por objeto atajar las repercusiones negativas sobre el entorno y la biodiversidad de la actividad minera (en el mismo sentido, STC 45/2015, de 5 de marzo, FJ 3). Se trata de una exigencia para el otorgamiento de permisos de investigación y concesiones directas de explotación de recursos de la sección C, que no tiene que ver con requerimientos medioambientales, sino con la demarcación de un perímetro concreto de terreno en el que se realicen estudios y trabajos encaminados a poner de manifiesto y definir uno o varios recursos de la sección C), de manera que una vez definidos, se pueda proceder a su explotación, previo el otorgamiento de la correspondiente concesión” [STC 235/2015, de 5 de noviembre, FJ 3].</w:t>
      </w:r>
    </w:p>
    <w:p w:rsidR="00AC56D6" w:rsidRDefault="00AC56D6" w:rsidP="00AC56D6">
      <w:pPr>
        <w:pStyle w:val="TextoNormal"/>
      </w:pPr>
    </w:p>
    <w:p w:rsidR="00AC56D6" w:rsidRDefault="00AC56D6" w:rsidP="00AC56D6">
      <w:pPr>
        <w:pStyle w:val="TextoNormal"/>
      </w:pPr>
      <w:r>
        <w:t>A la misma conclusión debemos llegar ahora en relación con el encuadre competencial del art. 23.1 de la Ley 10/2014, de 1 de octubre, de ordenación minera de las Illes Balears, que de modo excepcional, permite declarar la registrabilidad para los recursos mineros de la sección C) a solicitud del interesado, acreditando la disponibilidad de los terrenos y el cumplimiento del resto de condiciones exigidas en el precepto. Como ya establecimos en la resolución referida, la registrabilidad es un concepto propio del régimen minero.</w:t>
      </w:r>
    </w:p>
    <w:p w:rsidR="00AC56D6" w:rsidRDefault="00AC56D6" w:rsidP="00AC56D6">
      <w:pPr>
        <w:pStyle w:val="TextoNormal"/>
      </w:pPr>
    </w:p>
    <w:p w:rsidR="00AC56D6" w:rsidRDefault="00AC56D6" w:rsidP="00AC56D6">
      <w:pPr>
        <w:pStyle w:val="TextoNormal"/>
      </w:pPr>
      <w:r>
        <w:t>En esta materia el Estado ostenta competencia exclusiva para dictar las “bases de régimen minero” (art. 149.1.25 CE). A su vez, todas las Comunidades Autónomas tienen atribuidas por sus respectivos Estatutos de Autonomía competencias de desarrollo legislativo y ejecución en esta materia. Así sucede en el caso de la Comunidad Autónoma de Illes Balears, cuyo Estatuto le atribuye “el desarrollo legislativo y la ejecución” en materia de “régimen minero y energético”, “en el marco de la legislación básica del Estado” [art. 31.15 del Estatuto de Autonomía de las Illes Balears (EAIB)].</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3</w:t>
      </w:r>
      <w:r>
        <w:t xml:space="preserve">. De este encuadre competencial se desprende que la cuestión central para decidir la presente controversia es, conforme a la reiterada doctrina de este Tribunal sobre la inconstitucionalidad de carácter mediato o indirecto (por todas, STC 103/2015, de 28 de mayo, FJ 3), determinar si el régimen jurídico de la registrabilidad de los terrenos a efectos mineros establecido en la Ley 22/1973 es formal y materialmente básico conforme a nuestra doctrina pues, si así lo fuera, constituiría un ejercicio legítimo de la competencia estatal </w:t>
      </w:r>
      <w:r w:rsidRPr="00AC56D6">
        <w:rPr>
          <w:i/>
        </w:rPr>
        <w:t>ex</w:t>
      </w:r>
      <w:r>
        <w:t xml:space="preserve"> art. 149.1.25 CE, lo que supondría que el precepto autonómico sólo sería constitucional si resultase compatible con dicha legislación básica.</w:t>
      </w:r>
    </w:p>
    <w:p w:rsidR="00AC56D6" w:rsidRDefault="00AC56D6" w:rsidP="00AC56D6">
      <w:pPr>
        <w:pStyle w:val="TextoNormal"/>
      </w:pPr>
    </w:p>
    <w:p w:rsidR="00AC56D6" w:rsidRDefault="00AC56D6" w:rsidP="00AC56D6">
      <w:pPr>
        <w:pStyle w:val="TextoNormal"/>
      </w:pPr>
      <w:r>
        <w:t>La normativa básica estatal se encuentra recogida en los arts. 37 a 39 de la Ley 22/1973, de 21 de julio, de minas, que, dentro de la regulación de los aprovechamientos de recursos de la sección C), establecen el régimen aplicable a los terrenos francos y a los terrenos registrables. A los efectos que aquí interesan, cabe destacar que el artículo 37.2 exige, para el otorgamiento de los permisos de investigación y de las concesiones directas de explotación de recursos de la sección C), “que los terrenos sobre los que recaigan reúnan las condiciones de francos y registrables”. De conformidad con el artículo 38.1, “se considerará que un terreno es franco si no estuviera comprendido dentro del perímetro de una zona de reserva del Estado, propuesta o declarada para toda clase de recursos de la sección C, o de los perímetros solicitados o ya otorgados de un permiso de exploración, un permiso de investigación o una concesión de explotación”. El artículo 39, por su parte, declara que “se considerará que un terreno es registrable si, además de ser franco, tiene la extensión mínima exigible”, extensión concretada en el mínimo de una cuadrícula minera, definida en los términos del art. 98 del Real Decreto 2857/1978, de 25 de agosto, por el que se aprueba el Reglamento general para el régimen de la minería. Además, el apartado 3 del art. 39 de la Ley precisa que, “sin perjuicio de todo lo anterior, el Gobierno podrá declarar no registrables zonas determinadas por razones de interés público, a propuesta conjunta del Departamento o Departamentos ministeriales interesados y del de Industria, previo informe de la Organización Sindical”.</w:t>
      </w:r>
    </w:p>
    <w:p w:rsidR="00AC56D6" w:rsidRDefault="00AC56D6" w:rsidP="00AC56D6">
      <w:pPr>
        <w:pStyle w:val="TextoNormal"/>
      </w:pPr>
    </w:p>
    <w:p w:rsidR="00AC56D6" w:rsidRDefault="00AC56D6" w:rsidP="00AC56D6">
      <w:pPr>
        <w:pStyle w:val="TextoNormal"/>
      </w:pPr>
      <w:r>
        <w:t xml:space="preserve">Pues bien, este Tribunal, en la referida STC 235/2015, de 5 de noviembre, FJ 4, ha determinado que el régimen jurídico de la registrabilidad de los terrenos a efectos mineros contemplado en la Ley 22/1973, de minas, es materialmente básico y, en lo que respecta a su carácter formal, hay que tener en cuenta que se trata de una norma preconstitucional por lo que, en el momento de su dictado, no podía atender a esta exigencia. Sin embargo, en la precitada STC 235/2015 (FJ 4) también hemos dicho que “el carácter preconstitucional de los preceptos legales que se han expuesto no excluye </w:t>
      </w:r>
      <w:r w:rsidRPr="00AC56D6">
        <w:rPr>
          <w:i/>
        </w:rPr>
        <w:t>a radice</w:t>
      </w:r>
      <w:r>
        <w:t xml:space="preserve"> su relevancia en este proceso constitucional, ya que ‘es doctrina consolidada que la dimensión material de las normas básicas permite que puedan extraerse de las normas preconstitucionales (que, obviamente, no pueden atender a la exigencia de explicitación formal como normas básicas) los principios o criterios que pudieran tener tal carácter sirviendo, así, de parámetro de contraste con la norma objeto de la presente cuestión’ (STC 251/2006, de 25 de julio, FJ 9)”.</w:t>
      </w:r>
    </w:p>
    <w:p w:rsidR="00AC56D6" w:rsidRDefault="00AC56D6" w:rsidP="00AC56D6">
      <w:pPr>
        <w:pStyle w:val="TextoNormal"/>
      </w:pPr>
    </w:p>
    <w:p w:rsidR="00AC56D6" w:rsidRDefault="00AC56D6" w:rsidP="00AC56D6">
      <w:pPr>
        <w:pStyle w:val="TextoNormal"/>
      </w:pPr>
      <w:r>
        <w:t>Para el Tribunal la única excepción viene dada por la facultad prevista en el artículo 39.3 de la Ley estatal para declarar no registrables determinadas zonas, la cual debe entenderse atribuida a los Consejos de Gobierno de las Comunidades Autónomas, cuando hayan asumido las competencias correspondientes, como es el caso (en el mismo sentido, entre otras, STS de 20 de junio de 2007).</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4</w:t>
      </w:r>
      <w:r>
        <w:t>. Señalado el carácter básico de las normas estatales, es patente que el art. 23.1 de la Ley 10/2014, de 1 de octubre, de ordenación minera de las Illes Balears incurre en una contradicción insalvable por vía interpretativa con la norma básica, pues el criterio de la Ley 22/1973 es, precisamente, que cualquier terreno pueda ser, en principio, considerado como registrable, admitiéndose como excepción a esta regla general, que dicha condición se altere cuando concurran razones de interés general debidamente apreciadas por el Consejo de Gobierno. Puesto que la Comunidad Autónoma de las IIles Balears tiene reconocida la competencia de desarrollo legislativo y ejecución en materia de régimen minero y energético, es claro que puede ejercer la facultad de declaración de determinados terrenos como no registrables consagrada en el artículo 39.3 de la norma estatal, pero esa competencia ha de ejercerse “en el marco de la legislación básica del Estado”, y queda, por tanto, condicionada por lo que en ella se establezca. Y sucede que el principio del que parte la norma básica es justo el contrario de lo que dispone la norma autonómica, que incluye como regla general la no registrabilidad de los terrenos, con la posibilidad de excepcionar tal regla general, pues como afirmamos en la STC 235/2015, de 5 de noviembre, FJ 5, el art. 39.3 de la norma estatal, configura una excepción a una regla general implícita de “registrabilidad” de todos los terrenos.</w:t>
      </w:r>
    </w:p>
    <w:p w:rsidR="00AC56D6" w:rsidRDefault="00AC56D6" w:rsidP="00AC56D6">
      <w:pPr>
        <w:pStyle w:val="TextoNormal"/>
      </w:pPr>
    </w:p>
    <w:p w:rsidR="00AC56D6" w:rsidRDefault="00AC56D6" w:rsidP="00AC56D6">
      <w:pPr>
        <w:pStyle w:val="TextoNormal"/>
      </w:pPr>
      <w:r>
        <w:t xml:space="preserve">La simple comparación de ambas previsiones evidencia así la insalvable contradicción existente entre la base estatal y la norma balear, pues excluir como regla general que el territorio de la Comunidad Autónoma pueda ser considerado registrable a efectos del régimen de aprovechamiento de los recursos de la sección C), supone limitar el otorgamiento de permisos de investigación y concesiones de explotación en contra de lo dispuesto en la Ley 22/1973, que admite este tipo de limitaciones sólo para determinadas zonas en las que concurra una razón de interés general que lo justifique. De este modo el art. 23.1 de la Ley 10/2014, de 1 de octubre, de ordenación minera de las Illes Balears, al configurar como no registrable la totalidad del territorio autonómico, sin perjuicio de que haya previsto excepciones a tal regla general, altera el régimen de explotación de los recursos de la sección C), contraviniendo con ello la regla básica </w:t>
      </w:r>
      <w:r w:rsidRPr="00AC56D6">
        <w:rPr>
          <w:i/>
        </w:rPr>
        <w:t>ex</w:t>
      </w:r>
      <w:r>
        <w:t xml:space="preserve"> art. 149.1.25 CE e infringiendo el orden constitucional de distribución de competencias.</w:t>
      </w:r>
    </w:p>
    <w:p w:rsidR="00AC56D6" w:rsidRDefault="00AC56D6" w:rsidP="00AC56D6">
      <w:pPr>
        <w:pStyle w:val="TextoNormal"/>
      </w:pPr>
    </w:p>
    <w:p w:rsidR="00AC56D6" w:rsidRDefault="00AC56D6" w:rsidP="00AC56D6">
      <w:pPr>
        <w:pStyle w:val="TextoNormal"/>
      </w:pPr>
      <w:r w:rsidRPr="00AC56D6">
        <w:rPr>
          <w:rStyle w:val="NumeroAFNegritaCaracter"/>
        </w:rPr>
        <w:t>5</w:t>
      </w:r>
      <w:r>
        <w:t>. Como ya subrayamos en la citada STC 235/2015, de 5 de noviembre, FJ 6, esta conclusión no puede verse enervada por la consideración de que la norma balear responda a la necesidad de garantizar el medio ambiente. No hay duda alguna acerca de la necesidad de adoptar las medidas necesarias para garantizar que el ejercicio de los derechos mineros se realice sin menoscabo del medio ambiente y en condiciones tales que no produzca un grave detrimento de los terrenos afectados.</w:t>
      </w:r>
    </w:p>
    <w:p w:rsidR="00AC56D6" w:rsidRDefault="00AC56D6" w:rsidP="00AC56D6">
      <w:pPr>
        <w:pStyle w:val="TextoNormal"/>
      </w:pPr>
    </w:p>
    <w:p w:rsidR="00AC56D6" w:rsidRDefault="00AC56D6" w:rsidP="00AC56D6">
      <w:pPr>
        <w:pStyle w:val="TextoNormal"/>
      </w:pPr>
      <w:r>
        <w:t>En consecuencia, dado que la regla general establecida en la normativa básica es la registrabilidad de los terrenos, la declaración de inconstitucionalidad y nulidad del apartado 1 del artículo 23 por su contradicción con las bases estatales, debe llevar aparejada, también, la declaración de inconstitucionalidad y nulidad por conexión o consecuencia, conforme a lo previsto en el art. 39.1 LOTC, del inciso “además de la previa declaración de zona registrable” contenido en el apartado 2 del artículo 23; del inciso “y de la solicitud de registrabilidad” contenido en el segundo párrafo del apartado 3 del mismo artículo; así como del apartado 4 del artículo 23, en tanto prevé la remisión del expediente al Consejo de Gobierno “para su declaración de zona registrable”.</w:t>
      </w:r>
    </w:p>
    <w:p w:rsidR="00AC56D6" w:rsidRDefault="00AC56D6" w:rsidP="00AC56D6">
      <w:pPr>
        <w:pStyle w:val="TextoNormal"/>
      </w:pPr>
    </w:p>
    <w:p w:rsidR="00AC56D6" w:rsidRDefault="00AC56D6" w:rsidP="00AC56D6">
      <w:pPr>
        <w:pStyle w:val="TextoNormalCentrado"/>
        <w:keepNext/>
      </w:pPr>
      <w:r>
        <w:lastRenderedPageBreak/>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Estimar el recurso de inconstitucionalidad núm. 4051-2015 y, en consecuencia, declarar inconstitucionales y nulos los siguientes preceptos e incisos de la Ley 10/2014, de 1 de octubre, de ordenación minera de las Illes Balears:</w:t>
      </w:r>
    </w:p>
    <w:p w:rsidR="00AC56D6" w:rsidRDefault="00AC56D6" w:rsidP="00AC56D6">
      <w:pPr>
        <w:pStyle w:val="TextoNormal"/>
      </w:pPr>
    </w:p>
    <w:p w:rsidR="00AC56D6" w:rsidRDefault="00AC56D6" w:rsidP="00AC56D6">
      <w:pPr>
        <w:pStyle w:val="TextoNormal"/>
      </w:pPr>
      <w:r>
        <w:t>a) el art. 23.1.</w:t>
      </w:r>
    </w:p>
    <w:p w:rsidR="00AC56D6" w:rsidRDefault="00AC56D6" w:rsidP="00AC56D6">
      <w:pPr>
        <w:pStyle w:val="TextoNormal"/>
      </w:pPr>
    </w:p>
    <w:p w:rsidR="00AC56D6" w:rsidRDefault="00AC56D6" w:rsidP="00AC56D6">
      <w:pPr>
        <w:pStyle w:val="TextoNormal"/>
      </w:pPr>
      <w:r>
        <w:t>b) el inciso “además de la previa declaración de zona registrable” contenido en el apartado 2 del artículo 23</w:t>
      </w:r>
    </w:p>
    <w:p w:rsidR="00AC56D6" w:rsidRDefault="00AC56D6" w:rsidP="00AC56D6">
      <w:pPr>
        <w:pStyle w:val="TextoNormal"/>
      </w:pPr>
    </w:p>
    <w:p w:rsidR="00AC56D6" w:rsidRDefault="00AC56D6" w:rsidP="00AC56D6">
      <w:pPr>
        <w:pStyle w:val="TextoNormal"/>
      </w:pPr>
      <w:r>
        <w:t>c) el inciso “y de la solicitud de registrabilidad” contenido en el segundo párrafo del apartado 3 del artículo 23</w:t>
      </w:r>
    </w:p>
    <w:p w:rsidR="00AC56D6" w:rsidRDefault="00AC56D6" w:rsidP="00AC56D6">
      <w:pPr>
        <w:pStyle w:val="TextoNormal"/>
      </w:pPr>
    </w:p>
    <w:p w:rsidR="00AC56D6" w:rsidRDefault="00AC56D6" w:rsidP="00AC56D6">
      <w:pPr>
        <w:pStyle w:val="TextoNormal"/>
      </w:pPr>
      <w:r>
        <w:t>d) y el art. 23.4.</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tres de diciembre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17" w:name="SENTENCIA_2015_261"/>
      <w:r>
        <w:lastRenderedPageBreak/>
        <w:t>SENTENCIA 261/2015, de 14 de diciembre de 2015</w:t>
      </w:r>
    </w:p>
    <w:bookmarkEnd w:id="117"/>
    <w:p w:rsidR="00AC56D6" w:rsidRDefault="00AC56D6" w:rsidP="00AC56D6">
      <w:pPr>
        <w:pStyle w:val="TtuloResolucin"/>
      </w:pPr>
      <w:r>
        <w:t>Sala Segunda</w:t>
      </w:r>
    </w:p>
    <w:p w:rsidR="00AC56D6" w:rsidRDefault="00AC56D6" w:rsidP="00AC56D6">
      <w:pPr>
        <w:pStyle w:val="TtuloBOE"/>
      </w:pPr>
      <w:r>
        <w:t>(BOE núm. 19, de 22 de enero de 2016)</w:t>
      </w:r>
    </w:p>
    <w:p w:rsidR="00AC56D6" w:rsidRDefault="00AC56D6" w:rsidP="00AC56D6">
      <w:pPr>
        <w:pStyle w:val="TextoNormalCentrado"/>
      </w:pPr>
      <w:r>
        <w:t>ECLI:ES:TC:2015:261</w:t>
      </w:r>
    </w:p>
    <w:p w:rsidR="00AC56D6" w:rsidRDefault="00AC56D6" w:rsidP="00AC56D6">
      <w:pPr>
        <w:pStyle w:val="TextoNormalCentrado"/>
      </w:pPr>
    </w:p>
    <w:p w:rsidR="00AC56D6" w:rsidRDefault="00AC56D6" w:rsidP="00AC56D6">
      <w:pPr>
        <w:pStyle w:val="SntesisDescriptiva"/>
      </w:pPr>
      <w:r>
        <w:t>Recurso de amparo 1786-2013. Promovido por don Ismael Acuña Asensio respecto de las resoluciones dictadas por la Sala de lo Penal del Tribunal Supremo y la Audiencia Provincial de Barcelona sobre liquidación de condena.</w:t>
      </w:r>
    </w:p>
    <w:p w:rsidR="00AC56D6" w:rsidRDefault="00AC56D6" w:rsidP="00AC56D6">
      <w:pPr>
        <w:pStyle w:val="SntesisDescriptiva"/>
      </w:pPr>
    </w:p>
    <w:p w:rsidR="00AC56D6" w:rsidRDefault="00AC56D6" w:rsidP="00AC56D6">
      <w:pPr>
        <w:pStyle w:val="SntesisAnaltica"/>
      </w:pPr>
      <w:r>
        <w:t>Vulneración del derecho a la libertad personal: resoluciones judiciales que no ponderaron adecuadamente el tiempo servido en prisión con antelación a la reforma del régimen de abono de la prisión preventiva.</w:t>
      </w:r>
    </w:p>
    <w:p w:rsidR="00AC56D6" w:rsidRDefault="00AC56D6" w:rsidP="00AC56D6">
      <w:pPr>
        <w:pStyle w:val="SntesisAnaltica"/>
      </w:pPr>
    </w:p>
    <w:p w:rsidR="00AC56D6" w:rsidRDefault="00AC56D6" w:rsidP="00AC56D6">
      <w:pPr>
        <w:pStyle w:val="Extracto"/>
      </w:pPr>
      <w:r>
        <w:t>1.</w:t>
      </w:r>
      <w:r>
        <w:tab/>
        <w:t>Las resoluciones impugnadas han optado por una interpretación que no cumple con los parámetros constitucionales de razonabilidad, previsibilidad y</w:t>
      </w:r>
      <w:r w:rsidRPr="00AC56D6">
        <w:rPr>
          <w:i/>
        </w:rPr>
        <w:t xml:space="preserve"> favor libertatis</w:t>
      </w:r>
      <w:r>
        <w:t>, lo que conduce al otorgamiento del amparo por haber vulnerado el derecho del recurrente a la libertad personal [FJ 7].</w:t>
      </w:r>
    </w:p>
    <w:p w:rsidR="00AC56D6" w:rsidRDefault="00AC56D6" w:rsidP="00AC56D6">
      <w:pPr>
        <w:pStyle w:val="Extracto"/>
      </w:pPr>
    </w:p>
    <w:p w:rsidR="00AC56D6" w:rsidRDefault="00AC56D6" w:rsidP="00AC56D6">
      <w:pPr>
        <w:pStyle w:val="Extracto"/>
      </w:pPr>
      <w:r>
        <w:t>2.</w:t>
      </w:r>
      <w:r>
        <w:tab/>
        <w:t>A los “internos mixtos”, que simultanean la condición de preso preventivo y penado en causas penales diferentes, se les descontaba el tiempo de privación de libertad cautelarmente sufrido de la pena impuesta en otra causa (STC 57/2008) [FJ 2].</w:t>
      </w:r>
    </w:p>
    <w:p w:rsidR="00AC56D6" w:rsidRDefault="00AC56D6" w:rsidP="00AC56D6">
      <w:pPr>
        <w:pStyle w:val="Extracto"/>
      </w:pPr>
    </w:p>
    <w:p w:rsidR="00AC56D6" w:rsidRDefault="00AC56D6" w:rsidP="00AC56D6">
      <w:pPr>
        <w:pStyle w:val="Extracto"/>
      </w:pPr>
      <w:r>
        <w:t>3.</w:t>
      </w:r>
      <w:r>
        <w:tab/>
        <w:t>La entrada en vigor de la modificación legal que permitía tal descuento se produjo una vez que el demandante había adquirido la condición de “interno mixto” [FJ 3].</w:t>
      </w:r>
    </w:p>
    <w:p w:rsidR="00AC56D6" w:rsidRDefault="00AC56D6" w:rsidP="00AC56D6">
      <w:pPr>
        <w:pStyle w:val="Extracto"/>
      </w:pPr>
    </w:p>
    <w:p w:rsidR="00AC56D6" w:rsidRDefault="00AC56D6" w:rsidP="00AC56D6">
      <w:pPr>
        <w:pStyle w:val="Extracto"/>
      </w:pPr>
      <w:r>
        <w:t>4.</w:t>
      </w:r>
      <w:r>
        <w:tab/>
        <w:t>Sobre la selección de la norma legal aplicable en el tiempo, este Tribunal ha venido sosteniendo que la misma puede resultar objeto de control por resultar afectado un derecho fundamental sustantivo como el derecho a la libertad personal, si la selección comporta, ante la existencia de una duda razonable, la elección de la norma más favorable a la libertad del recurrente (SSTC 117/1987; 32/1987) [FJ 5].</w:t>
      </w:r>
    </w:p>
    <w:p w:rsidR="00AC56D6" w:rsidRDefault="00AC56D6" w:rsidP="00AC56D6">
      <w:pPr>
        <w:pStyle w:val="Extracto"/>
      </w:pPr>
    </w:p>
    <w:p w:rsidR="00AC56D6" w:rsidRDefault="00AC56D6" w:rsidP="00AC56D6">
      <w:pPr>
        <w:pStyle w:val="Extracto"/>
      </w:pPr>
      <w:r>
        <w:t>5.</w:t>
      </w:r>
      <w:r>
        <w:tab/>
        <w:t>La interpretación más favorable no puede entenderse como la admisión de interpretaciones que por forzosas e imprevisibles violenten la literalidad, finalidad y racionalidad de la norma aplicada, con quiebra de la seguridad jurídica y de la previsibilidad de la ley (STC 35/2014) [FJ 6].</w:t>
      </w:r>
    </w:p>
    <w:p w:rsidR="00AC56D6" w:rsidRDefault="00AC56D6" w:rsidP="00AC56D6">
      <w:pPr>
        <w:pStyle w:val="Extracto"/>
      </w:pPr>
    </w:p>
    <w:p w:rsidR="00AC56D6" w:rsidRDefault="00AC56D6" w:rsidP="00AC56D6">
      <w:pPr>
        <w:pStyle w:val="Extracto"/>
      </w:pPr>
      <w:r>
        <w:t>6.</w:t>
      </w:r>
      <w:r>
        <w:tab/>
        <w:t>La ‘calidad de la ley’ implica que, si una ley nacional autoriza la privación de libertad, debe ser suficientemente accesible, precisa y previsible en su aplicación para evitar cualquier riesgo de arbitrariedad (SSTEDH -Gran Sala- de 21 de octubre de 2013, caso del Río Prada c. España y Amuur v. Francia, 25 de junio de 1996, apartado 50, Repertorios 1996-III) [FJ 5].</w:t>
      </w:r>
    </w:p>
    <w:p w:rsidR="00AC56D6" w:rsidRDefault="00AC56D6" w:rsidP="00AC56D6">
      <w:pPr>
        <w:pStyle w:val="Extracto"/>
      </w:pPr>
    </w:p>
    <w:p w:rsidR="00AC56D6" w:rsidRDefault="00AC56D6" w:rsidP="00AC56D6">
      <w:pPr>
        <w:pStyle w:val="Extracto"/>
      </w:pPr>
      <w:r>
        <w:t>7.</w:t>
      </w:r>
      <w:r>
        <w:tab/>
        <w:t xml:space="preserve">La modificación legislativa no supone desconocer los beneficios de doble abono ya generados —“adquiridos”, en relación con los beneficios de redención de penas por el trabajo—, ni implica tampoco la aplicación de la norma derogada hacia el </w:t>
      </w:r>
      <w:r>
        <w:lastRenderedPageBreak/>
        <w:t>futuro, en que el que el precepto ya no se encuentra vigente; y no merma unas expectativas que habrían desaparecido; se excluye así “ultractividad” a que se refiere la resolución judicial inmediatamente impugnada, y se ajusta a las exigencias de previsibilidad, a la luz de la doctrina del Tribunal Europeo de Derechos Humanos, y al principio</w:t>
      </w:r>
      <w:r w:rsidRPr="00AC56D6">
        <w:rPr>
          <w:i/>
        </w:rPr>
        <w:t xml:space="preserve"> favor libertatis</w:t>
      </w:r>
      <w:r>
        <w:t>. (STC 31/1999) [FJ 7].</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amparo núm. 1786-2013, promovido por don Ismael Acuña Asensio, representado por la Procuradora de los Tribunales doña Ana Isabel Arranz Grande y defendido por la Letrada doña Carolina Piñol Caparrós, contra el Auto de la Sala de lo Penal del Tribunal Supremo, de fecha de 24 de enero de 2013, dictado en el recurso de casación núm. 11017-2012, por el que se declaró no haber lugar a admitir el recurso de casación contra el Auto de la Sección Décima de la Audiencia Provincial de Barcelona, de fecha 21 de diciembre de 2011, que desestimaba el recurso de súplica y confirmaba el Auto de la misma Sección, de fecha 8 de noviembre de 2011, sobre la liquidación de condena practicada el 29 de marzo de 2011 en la ejecutoria núm. 35-2011. Ha comparecido el Ministerio Fiscal. Ha sido Ponente el Magistrado don Juan José González Rivas,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registrado en este Tribunal el 25 de marzo de 2013, la Procuradora de los Tribunales doña Ana Isabel Arranz Grande, en nombre y representación de don Ismael Acuña Asensio, y bajo la dirección de la Abogada doña Carolina Piñol Caparrós, interpuso recurso de amparo contra las resoluciones referidas en el encabezamiento.</w:t>
      </w:r>
    </w:p>
    <w:p w:rsidR="00AC56D6" w:rsidRDefault="00AC56D6" w:rsidP="00AC56D6">
      <w:pPr>
        <w:pStyle w:val="TextoNormal"/>
      </w:pPr>
    </w:p>
    <w:p w:rsidR="00AC56D6" w:rsidRDefault="00AC56D6" w:rsidP="00AC56D6">
      <w:pPr>
        <w:pStyle w:val="TextoNormal"/>
      </w:pPr>
      <w:r w:rsidRPr="00AC56D6">
        <w:rPr>
          <w:rStyle w:val="NumeroAFNegritaCaracter"/>
        </w:rPr>
        <w:t>2</w:t>
      </w:r>
      <w:r>
        <w:t>. Los hechos en que se fundamenta la demanda de amparo son, sucintamente expuestos, los siguientes:</w:t>
      </w:r>
    </w:p>
    <w:p w:rsidR="00AC56D6" w:rsidRDefault="00AC56D6" w:rsidP="00AC56D6">
      <w:pPr>
        <w:pStyle w:val="TextoNormal"/>
      </w:pPr>
    </w:p>
    <w:p w:rsidR="00AC56D6" w:rsidRDefault="00AC56D6" w:rsidP="00AC56D6">
      <w:pPr>
        <w:pStyle w:val="TextoNormal"/>
      </w:pPr>
      <w:r>
        <w:t xml:space="preserve">a) Don Ismael Acuña Asensio fue condenado por Sentencia dictada el 29 de octubre de 2008 por la Sección Octava de la Audiencia Provincial de Barcelona (rollo núm. 45-2008), como autor de un delito contra la salud pública y de un delito de tenencia ilícita de armas, a penas de prisión de cuatro años y seis meses y de un año y seis meses, respectivamente, (en total, cinco años y doce meses, equivalentes a 2.185 días). Por Auto de 21 de julio de 2009 </w:t>
      </w:r>
      <w:r>
        <w:lastRenderedPageBreak/>
        <w:t>dicho pronunciamiento fue declarado firme e inició su cumplimiento el 7 de enero de 2010, según consta en la ejecutoria núm. 101-2009-C.</w:t>
      </w:r>
    </w:p>
    <w:p w:rsidR="00AC56D6" w:rsidRDefault="00AC56D6" w:rsidP="00AC56D6">
      <w:pPr>
        <w:pStyle w:val="TextoNormal"/>
      </w:pPr>
    </w:p>
    <w:p w:rsidR="00AC56D6" w:rsidRDefault="00AC56D6" w:rsidP="00AC56D6">
      <w:pPr>
        <w:pStyle w:val="TextoNormal"/>
      </w:pPr>
      <w:r>
        <w:t>b) Por Auto de 12 de diciembre de 2009 dictado por el Juzgado de Instrucción núm. 8 de Vilanova i la Geltrú en las diligencias previas núm. 1887-2009, se acordó la prisión provisional comunicada y sin fianza de don Ismael Acuña Asensio, que se encontraba detenido por los hechos que dieron lugar a dichas diligencias desde el 10 de diciembre de 2009.</w:t>
      </w:r>
    </w:p>
    <w:p w:rsidR="00AC56D6" w:rsidRDefault="00AC56D6" w:rsidP="00AC56D6">
      <w:pPr>
        <w:pStyle w:val="TextoNormal"/>
      </w:pPr>
    </w:p>
    <w:p w:rsidR="00AC56D6" w:rsidRDefault="00AC56D6" w:rsidP="00AC56D6">
      <w:pPr>
        <w:pStyle w:val="TextoNormal"/>
      </w:pPr>
      <w:r>
        <w:t>c) El enjuiciamiento de la causa correspondió a la Sección Décima de la Audiencia Provincial de Barcelona (rollo núm. 85-2010) que, en fecha 27 de enero de 2011, dictó Sentencia condenando al demandante y a otros dos imputados como autores de un delito de robo con violencia en concurso con detención ilegal y lesiones, a las penas de un año de prisión, por el primero, dos años de prisión por el segundo y seis meses de prisión por el tercero, con las accesorias de inhabilitación especial del derecho de sufragio pasivo durante el tiempo de las condenas y pago de 6.000 € de indemnización de forma solidaria a la víctima y costas.</w:t>
      </w:r>
    </w:p>
    <w:p w:rsidR="00AC56D6" w:rsidRDefault="00AC56D6" w:rsidP="00AC56D6">
      <w:pPr>
        <w:pStyle w:val="TextoNormal"/>
      </w:pPr>
    </w:p>
    <w:p w:rsidR="00AC56D6" w:rsidRDefault="00AC56D6" w:rsidP="00AC56D6">
      <w:pPr>
        <w:pStyle w:val="TextoNormal"/>
      </w:pPr>
      <w:r>
        <w:t>d) Por Auto de 17 de marzo de 2011 dictado por la Sección Décima de la Audiencia Provincial de Barcelona, se declaró la firmeza de la Sentencia desde la fecha 8 de marzo de 2011 y se incoó la ejecutoria núm. 35-2011. El día 29 de marzo de 2011 se practicó liquidación de condena por el Secretario Judicial, abonándose dos días de detención, los días 10 y 11 de diciembre de 2009, y 26 días de prisión preventiva, del día 12 de diciembre de 2009 al 6 de enero de 2010, pues, según se indica en dicha liquidación “a partir del 7/01/2010 cumple otra responsabilidad penada”. En concreto, en dicha fecha el ahora demandante comenzó a extinguir la pena de prisión impuesta en la Sentencia referida en el apartado a) y que dio lugar a la ejecutoria núm. 101-2009 de la Sección Octava de la Audiencia Provincial de Barcelona.</w:t>
      </w:r>
    </w:p>
    <w:p w:rsidR="00AC56D6" w:rsidRDefault="00AC56D6" w:rsidP="00AC56D6">
      <w:pPr>
        <w:pStyle w:val="TextoNormal"/>
      </w:pPr>
    </w:p>
    <w:p w:rsidR="00AC56D6" w:rsidRDefault="00AC56D6" w:rsidP="00AC56D6">
      <w:pPr>
        <w:pStyle w:val="TextoNormal"/>
      </w:pPr>
      <w:r>
        <w:t>e) Por escrito con entrada el 11 de abril de 2011, el penado, ahora recurrente, impugnó la precedente liquidación de condena por entender que le debían ser abonados todos los días en que se encontró en prisión preventiva, esto es, 426 días, citando la STC 57/2008 y la STS de 28 de enero de 2011. El Ministerio Fiscal, al evacuar el trámite conferido para la aprobación de la liquidación de condena, en fecha 6 de octubre de 2011, sostuvo que “respecto de la petición del penado Acuña en la que solicita la aplicación de la regla del doble computo de prisión preventiva establecida en la STC 57/2008, no se opone a lo solicitado si bien dicho cómputo doble sólo puede ser aplicado hasta al día 23 de diciembre de 2010, fecha en que fue reformado el art. 58 CP que excluyó dicha posibilidad”. Por Auto de fecha 8 de noviembre de 2011, dictado por la Sección Décima de la Audiencia Provincial de Barcelona, se acordó desestimar la solicitud presentada y mantener inalterable la liquidación de condena practicada por el Secretario Judicial.</w:t>
      </w:r>
    </w:p>
    <w:p w:rsidR="00AC56D6" w:rsidRDefault="00AC56D6" w:rsidP="00AC56D6">
      <w:pPr>
        <w:pStyle w:val="TextoNormal"/>
      </w:pPr>
    </w:p>
    <w:p w:rsidR="00AC56D6" w:rsidRDefault="00AC56D6" w:rsidP="00AC56D6">
      <w:pPr>
        <w:pStyle w:val="TextoNormal"/>
      </w:pPr>
      <w:r>
        <w:t>De dicho Auto son de destacar los siguientes razonamientos jurídicos:</w:t>
      </w:r>
    </w:p>
    <w:p w:rsidR="00AC56D6" w:rsidRDefault="00AC56D6" w:rsidP="00AC56D6">
      <w:pPr>
        <w:pStyle w:val="TextoNormal"/>
      </w:pPr>
    </w:p>
    <w:p w:rsidR="00AC56D6" w:rsidRDefault="00AC56D6" w:rsidP="00AC56D6">
      <w:pPr>
        <w:pStyle w:val="TextoNormal"/>
      </w:pPr>
      <w:r>
        <w:t>“I.- La Sala ya se ha pronunciado sobre la cuestión en varias resoluciones anteriores (autos 14.10.08, 5.6.09 y 17.11.10) al resolver similares peticiones …</w:t>
      </w:r>
    </w:p>
    <w:p w:rsidR="00AC56D6" w:rsidRDefault="00AC56D6" w:rsidP="00AC56D6">
      <w:pPr>
        <w:pStyle w:val="TextoNormal"/>
      </w:pPr>
    </w:p>
    <w:p w:rsidR="00AC56D6" w:rsidRDefault="00AC56D6" w:rsidP="00AC56D6">
      <w:pPr>
        <w:pStyle w:val="TextoNormal"/>
      </w:pPr>
      <w:r>
        <w:t xml:space="preserve">En dichos autos, ya matizábamos que la tesis de simultaneidad compensatoria que señala la STC 57/08 de 28 de abril, no es aplicable a la presente ejecutoria puesto que contempla </w:t>
      </w:r>
      <w:r>
        <w:lastRenderedPageBreak/>
        <w:t>un supuesto totalmente distinto, y lejos de los efectos generalizados que reclama el penado, no debe olvidarse que se trata de una resolución que resolvió un recurso de amparo, cuya eficacia vinculante sólo se extiende al proceso individual que lo motivó. El Tribunal Supremo así lo ha matizado en muchas otras resoluciones posteriores al único pronunciamiento del TC, e incluso solicitó del legislador que procediera a la aclaración explicita de los términos literales fijados en el art. 58 CP de la LO 15/05 de 28 de noviembre en la reforma en curso del Código penal.</w:t>
      </w:r>
    </w:p>
    <w:p w:rsidR="00AC56D6" w:rsidRDefault="00AC56D6" w:rsidP="00AC56D6">
      <w:pPr>
        <w:pStyle w:val="TextoNormal"/>
      </w:pPr>
    </w:p>
    <w:p w:rsidR="00AC56D6" w:rsidRDefault="00AC56D6" w:rsidP="00AC56D6">
      <w:pPr>
        <w:pStyle w:val="TextoNormal"/>
      </w:pPr>
      <w:r>
        <w:t>Tal propuesta ha sido acogida por el legislador en la LO 5/10 de 22 de junio, en el sentido de matizar que los periodos de prisión provisional no se computarán en más de un proceso, dada la impunidad que tal método de cálculo comporta.</w:t>
      </w:r>
    </w:p>
    <w:p w:rsidR="00AC56D6" w:rsidRDefault="00AC56D6" w:rsidP="00AC56D6">
      <w:pPr>
        <w:pStyle w:val="TextoNormal"/>
      </w:pPr>
    </w:p>
    <w:p w:rsidR="00AC56D6" w:rsidRDefault="00AC56D6" w:rsidP="00AC56D6">
      <w:pPr>
        <w:pStyle w:val="TextoNormal"/>
      </w:pPr>
      <w:r>
        <w:t>La sentencia del Tribunal Constitucional establecía que en los supuestos de concurrencia de prisión preventiva con cumplimiento de pena privativa de libertad por otras responsabilidades, al ser la primera de naturaleza más aflictiva que la segunda ... debe abonarse al reo ambas liquidaciones siguiendo así la STC 71/00 que interpretaba al alcance del art. 104 del Reglamento penitenciario. Sin embargo, ya en la posterior STC 57/08 se matizó que el doble cómputo del periodo sufrido en la simultánea condición de penado y preventivo solo sería aplicable cuando la pena cumplida en ejecutoria ya estuviera extinguida en el momento de practicar la liquidación de condena finalmente impuesta en el proceso donde se adoptó la medida cautelar de conformidad con lo que establece el art. 58 del Código Penal.</w:t>
      </w:r>
    </w:p>
    <w:p w:rsidR="00AC56D6" w:rsidRDefault="00AC56D6" w:rsidP="00AC56D6">
      <w:pPr>
        <w:pStyle w:val="TextoNormal"/>
      </w:pPr>
    </w:p>
    <w:p w:rsidR="00AC56D6" w:rsidRDefault="00AC56D6" w:rsidP="00AC56D6">
      <w:pPr>
        <w:pStyle w:val="TextoNormal"/>
      </w:pPr>
      <w:r>
        <w:t>II.- Y dicho requisito no concurre en la presente ejecutoria, pues como es de ver en el auto que aprobó la liquidación de condena rectificada en fecha 31 de marzo de 2011, el penado no empezará a cumplir la pena impuesta en esta causa hasta que finalice la que estaba cumpliendo por orden de la Sección 8ª sin perjuicio de aplicarle la preventiva no coincidente, razón por la que le es aplicable al régimen de cumplimiento sucesivo que establece el artículo 75 del Código Penal.</w:t>
      </w:r>
    </w:p>
    <w:p w:rsidR="00AC56D6" w:rsidRDefault="00AC56D6" w:rsidP="00AC56D6">
      <w:pPr>
        <w:pStyle w:val="TextoNormal"/>
      </w:pPr>
    </w:p>
    <w:p w:rsidR="00AC56D6" w:rsidRDefault="00AC56D6" w:rsidP="00AC56D6">
      <w:pPr>
        <w:pStyle w:val="TextoNormal"/>
      </w:pPr>
      <w:r>
        <w:t>La reforma, o mejor dicho, la aclaración introducida por el legislador del vigente Código Penal, tiene obviamente efectos retroactivos al tratarse de una simple mejora en la redacción del anterior art. 58, por lo que debe ser ejecutada la pena conforme a la liquidación ya practicada, que se declara firme.”</w:t>
      </w:r>
    </w:p>
    <w:p w:rsidR="00AC56D6" w:rsidRDefault="00AC56D6" w:rsidP="00AC56D6">
      <w:pPr>
        <w:pStyle w:val="TextoNormal"/>
      </w:pPr>
    </w:p>
    <w:p w:rsidR="00AC56D6" w:rsidRDefault="00AC56D6" w:rsidP="00AC56D6">
      <w:pPr>
        <w:pStyle w:val="TextoNormal"/>
      </w:pPr>
      <w:r>
        <w:t>f) El Auto de 8 de noviembre de 2011, dictado por la Sección Décima de la Audiencia Provincial de Barcelona fue recurrido en súplica por don Ismael Acuña Asensio y desestimado el recurso por Auto de 21 de diciembre de 2011 dictado por la misma, en cuyo razonamiento jurídico único puede leerse:</w:t>
      </w:r>
    </w:p>
    <w:p w:rsidR="00AC56D6" w:rsidRDefault="00AC56D6" w:rsidP="00AC56D6">
      <w:pPr>
        <w:pStyle w:val="TextoNormal"/>
      </w:pPr>
    </w:p>
    <w:p w:rsidR="00AC56D6" w:rsidRDefault="00AC56D6" w:rsidP="00AC56D6">
      <w:pPr>
        <w:pStyle w:val="TextoNormal"/>
      </w:pPr>
      <w:r>
        <w:t>“Sólo se añade que la defensa no comparte el criterio del Tribunal expuesto en el auto recurrido, respecto de la interpretación que cabe hacer del actual art. 58 del Código Penal, pues ello significa aplicar de forma retroactiva una norma desfavorable al reo.</w:t>
      </w:r>
    </w:p>
    <w:p w:rsidR="00AC56D6" w:rsidRDefault="00AC56D6" w:rsidP="00AC56D6">
      <w:pPr>
        <w:pStyle w:val="TextoNormal"/>
      </w:pPr>
    </w:p>
    <w:p w:rsidR="00AC56D6" w:rsidRDefault="00AC56D6" w:rsidP="00AC56D6">
      <w:pPr>
        <w:pStyle w:val="TextoNormal"/>
      </w:pPr>
      <w:r>
        <w:t xml:space="preserve">Insiste la Sala que no es así, por cuanto lo único que ha hecho el legislador de la LO 5/10 de 22 de junio, ha sido matizar el contenido del anterior redactado sin modificar el sentido auténtico del mismo, y ello motivado por las interpretaciones jurisprudenciales discrepantes que había provocado. Es decir, estrictamente en clave de seguridad jurídica a fin de que en </w:t>
      </w:r>
      <w:r>
        <w:lastRenderedPageBreak/>
        <w:t>todas las ejecutorias se aplique el mismo criterio jurídico. Entendemos no aplicable al presente caso la jurisprudencia que cita el recurrente (STS 74/11 de 28 de enero) única posterior a la entrada en vigor del actual art. 58 CP, por no ser idénticos los supuestos de hecho que se contemplan en la misma con los que son objeto de análisis en esta ejecutoria.”</w:t>
      </w:r>
    </w:p>
    <w:p w:rsidR="00AC56D6" w:rsidRDefault="00AC56D6" w:rsidP="00AC56D6">
      <w:pPr>
        <w:pStyle w:val="TextoNormal"/>
      </w:pPr>
    </w:p>
    <w:p w:rsidR="00AC56D6" w:rsidRDefault="00AC56D6" w:rsidP="00AC56D6">
      <w:pPr>
        <w:pStyle w:val="TextoNormal"/>
      </w:pPr>
      <w:r>
        <w:t xml:space="preserve">g) Don Ismael Acuña Asensio interpuso recurso de casación con base en dos motivos: infracción de ley, conforme al art. 849.1 de la Ley de enjuiciamiento criminal (LECrim), por aplicación indebida del art. 58 del Código penal (CP) y por infracción del precepto constitucional, </w:t>
      </w:r>
      <w:r w:rsidRPr="00AC56D6">
        <w:rPr>
          <w:i/>
        </w:rPr>
        <w:t>ex</w:t>
      </w:r>
      <w:r>
        <w:t xml:space="preserve"> art. 852 LECrim, por vulneración de los arts. 14, 17 y 24 CE. El recurso fue inadmitido por Auto de 24 de enero de 2013, dictado por la Sala de lo Penal del Tribunal Supremo. Del razonamiento jurídico único destacamos lo que sigue:</w:t>
      </w:r>
    </w:p>
    <w:p w:rsidR="00AC56D6" w:rsidRDefault="00AC56D6" w:rsidP="00AC56D6">
      <w:pPr>
        <w:pStyle w:val="TextoNormal"/>
      </w:pPr>
    </w:p>
    <w:p w:rsidR="00AC56D6" w:rsidRDefault="00AC56D6" w:rsidP="00AC56D6">
      <w:pPr>
        <w:pStyle w:val="TextoNormal"/>
      </w:pPr>
      <w:r>
        <w:t>“B) De conformidad con la doctrina de esta Sala ... a tenor de la emanada de la STC núm. 57/2008, el tribunal encargado de la ejecución debe abonar el tiempo de prisión provisional para el cumplimiento de la pena correspondiente en la misma causa, aunque aquél haya coincidido con el cumplimiento de otras penas en causas distintas.</w:t>
      </w:r>
    </w:p>
    <w:p w:rsidR="00AC56D6" w:rsidRDefault="00AC56D6" w:rsidP="00AC56D6">
      <w:pPr>
        <w:pStyle w:val="TextoNormal"/>
      </w:pPr>
    </w:p>
    <w:p w:rsidR="00AC56D6" w:rsidRDefault="00AC56D6" w:rsidP="00AC56D6">
      <w:pPr>
        <w:pStyle w:val="TextoNormal"/>
      </w:pPr>
      <w:r>
        <w:t>Ahora bien, esta misma doctrina ... ha constatado que el fundamento que inspiró la doctrina emanada de la sentencia del Tribunal Constitucional citada ha venido a quedar ahora sin contenido, como consecuencia de la reforma operada en el artículo 58 del Código Penal, por la Ley Orgánica 5/2010, que clarifica esta cuestión y establece un mandato expreso —de ineludible cumplimiento por los Tribunales, que están constitucionalmente sometidos al imperio de la Ley— conforme al cual, ‘en ningún caso un mismo período de privación de libertad podrá ser abonado en más de una causa’.</w:t>
      </w:r>
    </w:p>
    <w:p w:rsidR="00AC56D6" w:rsidRDefault="00AC56D6" w:rsidP="00AC56D6">
      <w:pPr>
        <w:pStyle w:val="TextoNormal"/>
      </w:pPr>
    </w:p>
    <w:p w:rsidR="00AC56D6" w:rsidRDefault="00AC56D6" w:rsidP="00AC56D6">
      <w:pPr>
        <w:pStyle w:val="TextoNormal"/>
      </w:pPr>
      <w:r>
        <w:t>De esta manera la laguna legal que efectivamente existía con la redacción anterior de este precepto del Código Penal ha resultado expresamente subsanada por el Legislador a través de la citada reforma del Código Penal; de manera qe el criterio del Tribunal Constitucional, según el cual, no resultaba constitucionalmente adecuada una interpretación, en virtud de la cual, pudiera llegarse a una consecuencia, sobre el abono del tiempo de prisión provisional en una causa para el cumplimiento de la pena o penas impuestas en la misma, basada en un dato ausente en dicho artículo, que constituía exclusivamente un criterio de interpretación del texto entonces vigente de la norma, muda de contenido cuando el Legislador ha incluido en dicho precepto una regulación expresa para resolver esta cuestión.</w:t>
      </w:r>
    </w:p>
    <w:p w:rsidR="00AC56D6" w:rsidRDefault="00AC56D6" w:rsidP="00AC56D6">
      <w:pPr>
        <w:pStyle w:val="TextoNormal"/>
      </w:pPr>
    </w:p>
    <w:p w:rsidR="00AC56D6" w:rsidRDefault="00AC56D6" w:rsidP="00AC56D6">
      <w:pPr>
        <w:pStyle w:val="TextoNormal"/>
      </w:pPr>
      <w:r>
        <w:t>C) La aplicación de la doctrina expuesta al supuesto de autos, conduce a la inadmisión de las alegaciones del recurrente y ello por una razón fundamental. La sentencia en la que se le impuso la pena cuya liquidación se impugna es de 27 de enero de 2011, en vigor ya en el nuevo artículo 58 del Código Penal, y en consecuencia, le resulta aplicable éste, en la redacción dada al mismo por la Ley Orgánica 5/2010. Mantener otro criterio, como decíamos en la STS 265/2012, de 3 de abril, equivaldría a vulnerar el mandato legal, claro y expreso, sobre la prohibición del doble cómputo de un mismo periodo de privación de libertad, con el indebido fundamento de una improcedente ‘ultractividad’ de la vieja doctrina. Doctrina que, obviamente, sigue siendo de aplicación en la ejecución de todas las sentencias dictadas antes de la entrada en vigor de la nueva norma.</w:t>
      </w:r>
    </w:p>
    <w:p w:rsidR="00AC56D6" w:rsidRDefault="00AC56D6" w:rsidP="00AC56D6">
      <w:pPr>
        <w:pStyle w:val="TextoNormal"/>
      </w:pPr>
    </w:p>
    <w:p w:rsidR="00AC56D6" w:rsidRDefault="00AC56D6" w:rsidP="00AC56D6">
      <w:pPr>
        <w:pStyle w:val="TextoNormal"/>
      </w:pPr>
      <w:r>
        <w:lastRenderedPageBreak/>
        <w:t>A lo expuesto, y como declarábamos en la STS 345/2012, de 16 de mayo... no puede oponerse que el Tribunal Constitucional haya dotado a su interpretación de una base material, al añadir a su razonamiento —FJ 7º de la STC 57/2008— que, conforme a la normativa penitenciaria, el cumplimiento en calidad de penado se ve afectado por el hecho de coincidir con una situación de prisión provisional… Esta consideración, decíamos allí, que el Tribunal Constitucional recupera de la STC núm. 19/1999 ... no constituye la ‘ratio decidendi’ de la doctrina del doble cómputo ... pues el Constitucional ha sustentado expresamente dicha doctrina en la ausencia de expresa regulación sobre este extremo en el artículo 58.1 del Código Penal, es decir, en la existencia de una laguna legal que debe ser cubierta de acuerdo con la interpretación más favorable al derecho constitucional afectado, la libertad. Pero el Tribunal Constitucional no ha establecido que, por razones estrictamente constitucionales, la compensación de la doble condición de penado y preventivo tenga que consistir necesariamente en el privilegio o beneficio del doble cómputo de cada día de privación de libertad.</w:t>
      </w:r>
    </w:p>
    <w:p w:rsidR="00AC56D6" w:rsidRDefault="00AC56D6" w:rsidP="00AC56D6">
      <w:pPr>
        <w:pStyle w:val="TextoNormal"/>
      </w:pPr>
    </w:p>
    <w:p w:rsidR="00AC56D6" w:rsidRDefault="00AC56D6" w:rsidP="00AC56D6">
      <w:pPr>
        <w:pStyle w:val="TextoNormal"/>
      </w:pPr>
      <w:r>
        <w:t>En definitiva, no existe un derecho constitucional al doble cómputo, sino únicamente la interpretación conforme a la Constitución de una laguna legal, interpretación que queda sin contenido una vez que dicha laguna ha sido subsanada. Por ello, la norma legal actualmente vigente, que contiene un mandato imperativo (‘en ningún caso…’), tiene que ser aplicada en la ejecución de las sentencias dictadas con posterioridad a su entrada en vigor, como es el caso del recurrente, pues es en el momento en el que se impone la condena cuando surge el derecho al abono de la preventiva sufrida, abono que debe realizarse conforme a la normativa legal imperante en el momento de la condena.”</w:t>
      </w:r>
    </w:p>
    <w:p w:rsidR="00AC56D6" w:rsidRDefault="00AC56D6" w:rsidP="00AC56D6">
      <w:pPr>
        <w:pStyle w:val="TextoNormal"/>
      </w:pPr>
    </w:p>
    <w:p w:rsidR="00AC56D6" w:rsidRDefault="00AC56D6" w:rsidP="00AC56D6">
      <w:pPr>
        <w:pStyle w:val="TextoNormal"/>
      </w:pPr>
      <w:r w:rsidRPr="00AC56D6">
        <w:rPr>
          <w:rStyle w:val="NumeroAFNegritaCaracter"/>
        </w:rPr>
        <w:t>3</w:t>
      </w:r>
      <w:r>
        <w:t>. La parte recurrente aduce en su demanda de amparo el siguiente motivo único: vulneración del derecho fundamental a la libertad (art. 17.1 CE) en relación con el derecho a la igualdad y la tutela judicial efectiva (arts. 14 y 24.1 CE) por vulneración del principio de irretroactividad de la ley penal (arts. 2 CP y 9.3 CE).</w:t>
      </w:r>
    </w:p>
    <w:p w:rsidR="00AC56D6" w:rsidRDefault="00AC56D6" w:rsidP="00AC56D6">
      <w:pPr>
        <w:pStyle w:val="TextoNormal"/>
      </w:pPr>
    </w:p>
    <w:p w:rsidR="00AC56D6" w:rsidRDefault="00AC56D6" w:rsidP="00AC56D6">
      <w:pPr>
        <w:pStyle w:val="TextoNormal"/>
      </w:pPr>
      <w:r>
        <w:t>El demandante se ha encontrado, simultáneamente, en la doble situación de sujeto a prisión preventiva y cumpliendo condena —por una pena impuesta en otra causa distinta— desde el 7 de enero de 2010 hasta el 8 de marzo de 2011, un total de 426 días, que no han sido abonados en concepto de prisión preventiva del total de la pena impuesta en la causa en la que se acordó y habiéndole sido abonados sólo 28 días, argumenta que debió aplicarse el art. 58 del Código penal en la redacción dada por la Ley Orgánica 15/2003, de acuerdo con la doctrina interpretativa efectuada en la STC 57/2008, por ser la que se encontraba vigente en el momento de la comisión de los hechos, el día 10 de diciembre de 2009, tal y como se declara en los hechos probados de la Sentencia condenatoria de fecha 27 de enero de 2011.</w:t>
      </w:r>
    </w:p>
    <w:p w:rsidR="00AC56D6" w:rsidRDefault="00AC56D6" w:rsidP="00AC56D6">
      <w:pPr>
        <w:pStyle w:val="TextoNormal"/>
      </w:pPr>
    </w:p>
    <w:p w:rsidR="00AC56D6" w:rsidRDefault="00AC56D6" w:rsidP="00AC56D6">
      <w:pPr>
        <w:pStyle w:val="TextoNormal"/>
      </w:pPr>
      <w:r>
        <w:t>Este criterio, sigue diciendo en el recurso de amparo, se sostiene en que la norma es más beneficiosa que la introducida por la Ley Orgánica 5/2010, siendo el criterio lógico y el que ha venido manteniendo el Tribunal Supremo en las resoluciones dictadas con posterioridad a la entrada en vigor de la referida norma, con cita y trascripción de algunos pasajes de las Sentencias de la Sala de lo Penal del Tribunal Supremo 74/2011, 759/2011, 208/2011 y 148/2012 y sostiene que el nuevo criterio del Tribunal Supremo, que califica de sorpresivo, en relación con la irretroactividad del nuevo art. 58 CP, supone una vulneración del princi</w:t>
      </w:r>
      <w:r>
        <w:lastRenderedPageBreak/>
        <w:t>pio de legalidad penal, en conexión con el principio de irretroactividad de las normas penales y restrictivas de derechos (por todas, invoca las SSTC 21/1993, 43/1997, 20/2003, 116/2007 y 113/2012).</w:t>
      </w:r>
    </w:p>
    <w:p w:rsidR="00AC56D6" w:rsidRDefault="00AC56D6" w:rsidP="00AC56D6">
      <w:pPr>
        <w:pStyle w:val="TextoNormal"/>
      </w:pPr>
    </w:p>
    <w:p w:rsidR="00AC56D6" w:rsidRDefault="00AC56D6" w:rsidP="00AC56D6">
      <w:pPr>
        <w:pStyle w:val="TextoNormal"/>
      </w:pPr>
      <w:r>
        <w:t xml:space="preserve">En dichas Sentencias, continúa, se habla de ley penal sin hacer ningún tipo de distinción entre la naturaleza procesal o sustantiva de la norma penal, y el art. 58 CP es una norma penal regulada por una ley orgánica, cuya aplicación afecta directamente a un derecho fundamental como lo es la libertad, y por lo tanto, su interpretación a la hora de aplicarla debe ser la más favorable al reo. Sin perjuicio de ello, aunque se admitiera su naturaleza procesal, añade, hay que plantear el debate acerca de lo que supone realmente la retroactividad de las leyes procesales. En este punto subraya que, en principio, la ley procesal no plantearía especiales problemas de retroactividad y seguiría siempre el criterio general </w:t>
      </w:r>
      <w:r w:rsidRPr="00AC56D6">
        <w:rPr>
          <w:i/>
        </w:rPr>
        <w:t>tempus regit actum</w:t>
      </w:r>
      <w:r>
        <w:t xml:space="preserve"> ya que el Tribunal Constitucional se ha manifestado a favor de la idea de que en el caso de las leyes procesales no se plantean problemas de retroactividad cuando se aplican en procesos que afectan a hechos realizados bajo una ley procesal anterior.</w:t>
      </w:r>
    </w:p>
    <w:p w:rsidR="00AC56D6" w:rsidRDefault="00AC56D6" w:rsidP="00AC56D6">
      <w:pPr>
        <w:pStyle w:val="TextoNormal"/>
      </w:pPr>
    </w:p>
    <w:p w:rsidR="00AC56D6" w:rsidRDefault="00AC56D6" w:rsidP="00AC56D6">
      <w:pPr>
        <w:pStyle w:val="TextoNormal"/>
      </w:pPr>
      <w:r>
        <w:t>Sin embargo, en relación con la prisión provisional, este Tribunal reconoce que las leyes procesales que se aplican a los actos procesales que se han adoptado con base a una ley procesal anterior sí tienen un efecto retroactivo; por tanto, en caso de ser desfavorables pueden llegar a atentar contra el principio de retroactividad, y cita la STC 32/1987, FJ3, que transcribe.</w:t>
      </w:r>
    </w:p>
    <w:p w:rsidR="00AC56D6" w:rsidRDefault="00AC56D6" w:rsidP="00AC56D6">
      <w:pPr>
        <w:pStyle w:val="TextoNormal"/>
      </w:pPr>
    </w:p>
    <w:p w:rsidR="00AC56D6" w:rsidRDefault="00AC56D6" w:rsidP="00AC56D6">
      <w:pPr>
        <w:pStyle w:val="TextoNormal"/>
      </w:pPr>
      <w:r>
        <w:t>La parte recurrente termina diciendo que la doctrina del Tribunal Constitucional respecto a la interpretación del art. 58 del Código penal, en su anterior redacción, se modifica a través de la Ley Orgánica 5/2010, pero dicho precepto debe aplicarse respecto de aquellos hechos que se cometan a partir del día 23 de diciembre de 2010, fecha de entrada en vigor, y los supuestos, cuyos hechos se cometieron con anterioridad a dicha fecha deben resolverse de conformidad con el precepto entonces vigente, por ser la norma más favorable y, al mismo tiempo, la resolución más justa para quien, como en el caso del recurrente, ha sufrido prácticamente la totalidad de la situación de prisión provisional con anterioridad al día 23 de diciembre de 2010, es decir, con anterioridad a la entrada en vigor de la reforma, habiendo recaído Sentencia condenatoria en fecha 27 de enero de 2011 (tan sólo un mes y cuatro días más tarde de la entrada en vigor de la nueva regulación), por lo que de aceptarse el nuevo criterio interpretativo, dejaríamos a la suerte de la Administración de Justicia, y de su mayor o menor celeridad en el despacho de asuntos y dictado de sentencias, la aplicación de uno u otro precepto legal, con las perjudiciales consecuencias que ello conllevaría al reo y que afectan directamente al derecho fundamental a la libertad.</w:t>
      </w:r>
    </w:p>
    <w:p w:rsidR="00AC56D6" w:rsidRDefault="00AC56D6" w:rsidP="00AC56D6">
      <w:pPr>
        <w:pStyle w:val="TextoNormal"/>
      </w:pPr>
    </w:p>
    <w:p w:rsidR="00AC56D6" w:rsidRDefault="00AC56D6" w:rsidP="00AC56D6">
      <w:pPr>
        <w:pStyle w:val="TextoNormal"/>
      </w:pPr>
      <w:r w:rsidRPr="00AC56D6">
        <w:rPr>
          <w:rStyle w:val="NumeroAFNegritaCaracter"/>
        </w:rPr>
        <w:t>4</w:t>
      </w:r>
      <w:r>
        <w:t>. Por diligencia de ordenación del Secretario de Justicia de la Sala Segunda de este Tribunal de 13 de octubre de 2014, antes de resolver sobre la admisibilidad del recurso, se acordó dirigir atentas comunicaciones a la Audiencia Provincial de Barcelona, Sección Décima y Sección Octava, a fin de que, a la mayor brevedad posible, se remitiera a esta Sala certificación o fotocopia adverada de las actuaciones correspondientes a las ejecutorias núm. 35-2011 y 101-2009 respectivamente.</w:t>
      </w:r>
    </w:p>
    <w:p w:rsidR="00AC56D6" w:rsidRDefault="00AC56D6" w:rsidP="00AC56D6">
      <w:pPr>
        <w:pStyle w:val="TextoNormal"/>
      </w:pPr>
    </w:p>
    <w:p w:rsidR="00AC56D6" w:rsidRDefault="00AC56D6" w:rsidP="00AC56D6">
      <w:pPr>
        <w:pStyle w:val="TextoNormal"/>
      </w:pPr>
      <w:r w:rsidRPr="00AC56D6">
        <w:rPr>
          <w:rStyle w:val="NumeroAFNegritaCaracter"/>
        </w:rPr>
        <w:t>5</w:t>
      </w:r>
      <w:r>
        <w:t xml:space="preserve">. Mediante providencia de 12 de mayo de 2015, la Sala Segunda de este Tribunal acordó la admisión a trámite de la demanda de amparo presentada, “apreciando que concurre en el mismo una especial trascendencia constitucional (art. 50.1 LOTC) porque el recurso puede </w:t>
      </w:r>
      <w:r>
        <w:lastRenderedPageBreak/>
        <w:t>dar ocasión al Tribunal para aclarar o cambiar su doctrina, como consecuencia de un proceso de reflexión interna [STC 155/2009, FJ 2, b)]”, y, de conformidad con lo dispuesto en el art. 51 de la Ley Orgánica del Tribunal Constitucional (LOTC), obrando ya en la Sala las actuaciones correspondientes a la ejecutoria núm. 35-2011 de la Sección Décima de la Audiencia Provincial de Barcelona, dirigir atenta comunicación a la misma a fin de que se procediera al emplazamiento de quienes hubieran sido parte en el proceso para que en el plazo de diez días pudieran comparecer en este proceso constitucional de amparo.</w:t>
      </w:r>
    </w:p>
    <w:p w:rsidR="00AC56D6" w:rsidRDefault="00AC56D6" w:rsidP="00AC56D6">
      <w:pPr>
        <w:pStyle w:val="TextoNormal"/>
      </w:pPr>
    </w:p>
    <w:p w:rsidR="00AC56D6" w:rsidRDefault="00AC56D6" w:rsidP="00AC56D6">
      <w:pPr>
        <w:pStyle w:val="TextoNormal"/>
      </w:pPr>
      <w:r w:rsidRPr="00AC56D6">
        <w:rPr>
          <w:rStyle w:val="NumeroAFNegritaCaracter"/>
        </w:rPr>
        <w:t>6</w:t>
      </w:r>
      <w:r>
        <w:t>. Por diligencia de ordenación del Secretario de Justicia de la Sala Segunda de este Tribunal de fecha 2 de septiembre de 2015 se acordó, con arreglo al art. 52 LOTC, conceder a las partes personadas y al Ministerio Fiscal el plazo común de veinte días para que, con vista de las actuaciones, formulasen alegaciones.</w:t>
      </w:r>
    </w:p>
    <w:p w:rsidR="00AC56D6" w:rsidRDefault="00AC56D6" w:rsidP="00AC56D6">
      <w:pPr>
        <w:pStyle w:val="TextoNormal"/>
      </w:pPr>
    </w:p>
    <w:p w:rsidR="00AC56D6" w:rsidRDefault="00AC56D6" w:rsidP="00AC56D6">
      <w:pPr>
        <w:pStyle w:val="TextoNormal"/>
      </w:pPr>
      <w:r w:rsidRPr="00AC56D6">
        <w:rPr>
          <w:rStyle w:val="NumeroAFNegritaCaracter"/>
        </w:rPr>
        <w:t>7</w:t>
      </w:r>
      <w:r>
        <w:t>. La parte recurrente no evacuó el trámite conferido y el Ministerio Fiscal presentó su escrito de alegaciones en el que se solicita que se otorgue el amparo, se declare vulnerado el derecho a la libertad (art. 17. 1 CE) del demandante, se anule la providencia de 29 de marzo y los autos de fecha 8 de noviembre y 21 de diciembre de 2011, dictados por la Sección Décima de la Audiencia Provincial de Barcelona, y el Auto de fecha 24 de enero de 2013 dictado por la Sala de lo Penal del Tribunal Supremo, y se retrotraigan las actuaciones al momento inmediatamente anterior al del dictado de la primera resolución citada, a fin de que se dicte una nueva resolución respetuosa con el derecho a la libertad del demandante.</w:t>
      </w:r>
    </w:p>
    <w:p w:rsidR="00AC56D6" w:rsidRDefault="00AC56D6" w:rsidP="00AC56D6">
      <w:pPr>
        <w:pStyle w:val="TextoNormal"/>
      </w:pPr>
    </w:p>
    <w:p w:rsidR="00AC56D6" w:rsidRDefault="00AC56D6" w:rsidP="00AC56D6">
      <w:pPr>
        <w:pStyle w:val="TextoNormal"/>
      </w:pPr>
      <w:r>
        <w:t>Alega, en síntesis, lo siguiente:</w:t>
      </w:r>
    </w:p>
    <w:p w:rsidR="00AC56D6" w:rsidRDefault="00AC56D6" w:rsidP="00AC56D6">
      <w:pPr>
        <w:pStyle w:val="TextoNormal"/>
      </w:pPr>
    </w:p>
    <w:p w:rsidR="00AC56D6" w:rsidRDefault="00AC56D6" w:rsidP="00AC56D6">
      <w:pPr>
        <w:pStyle w:val="TextoNormal"/>
      </w:pPr>
      <w:r>
        <w:t>a) Es común opinión la de que las normas contenidas en el título preliminar y en el libro primero del Código penal tienen la naturaleza de normas penales incompletas, pero penales al cabo y parece claro que el art. 58 del Código penal no puede ser conceptuado como una norma meramente ejecutiva pues se suele asegurar tal carácter a las normas contenidas en la Ley Orgánica general penitenciaria y su reglamento. Está, asimismo, fuera de duda que el art. 58 del Código penal contiene una norma con cuya aplicación se puede reducir el tiempo de permanencia en prisión del condenado, y que determinadas interpretaciones o aplicaciones del mismo pueden suponer un alargamiento ilegítimo de la permanencia en prisión y por ello de la pérdida de libertad, como ha afirmado con reiteración el Tribunal Constitucional.</w:t>
      </w:r>
    </w:p>
    <w:p w:rsidR="00AC56D6" w:rsidRDefault="00AC56D6" w:rsidP="00AC56D6">
      <w:pPr>
        <w:pStyle w:val="TextoNormal"/>
      </w:pPr>
    </w:p>
    <w:p w:rsidR="00AC56D6" w:rsidRDefault="00AC56D6" w:rsidP="00AC56D6">
      <w:pPr>
        <w:pStyle w:val="TextoNormal"/>
      </w:pPr>
      <w:r>
        <w:t xml:space="preserve">Tampoco parece dudoso y de ello parten las resoluciones cuestionadas, que el demandante sufrió prisión preventiva durante un no desdeñable periodo de tiempo en que estaba en vigor la regulación precedente sobre la materia, regulación que interpretada conforme a una consolidada doctrina del Tribunal Constitucional conllevaba una sustanciosa reducción de la condena privativa de libertad a extinguir. Por último, cabe señalar que caben otras interpretaciones sobre el momento en que la nueva regulación de la materia debería ser aplicable y que fueron puestas de manifiesto en el proceso subyacente; así el demandante sostuvo que la totalidad del periodo en que sufrió la prisión preventiva debía entenderse regulado conforme a la legislación en vigor en el momento en que se cometieron los hechos y la medida cautelar se acordó y fue tenida en cuenta para su adopción, dado que la misma le era más beneficiosa. Por otro lado, el Ministerio Fiscal sostuvo en la instancia que la </w:t>
      </w:r>
      <w:r>
        <w:lastRenderedPageBreak/>
        <w:t>nueva regulación debía ser de aplicación a partir del momento de su entrada en vigor, criterio que parece más acomodado a la regulación legal.</w:t>
      </w:r>
    </w:p>
    <w:p w:rsidR="00AC56D6" w:rsidRDefault="00AC56D6" w:rsidP="00AC56D6">
      <w:pPr>
        <w:pStyle w:val="TextoNormal"/>
      </w:pPr>
    </w:p>
    <w:p w:rsidR="00AC56D6" w:rsidRDefault="00AC56D6" w:rsidP="00AC56D6">
      <w:pPr>
        <w:pStyle w:val="TextoNormal"/>
      </w:pPr>
      <w:r>
        <w:t>b) Partiendo de estos extremos y de que no hay ningún precepto del Código penal que modalice el principio de legalidad ni las normas específicas sobre retroacción de ninguna de sus disposiciones, concluye el Ministerio Fiscal señalando que la interpretación realizada por el auto dictado por el Tribunal Supremo, fuertemente restrictiva del derecho a la libertad del demandante, carece de sustrato normativo sólido y agrega que dicha interpretación puede conllevar la aplicación o no del llamado sistema de doble cómputo por un elemento completamente ajeno a dicha institución, cual es el momento de enjuiciamiento y firmeza de las sentencias que puede variar enormemente según la sobrecarga de trabajo de los órganos judiciales o por otras múltiples causas, muchas de ellas por completo ajenas al comportamiento de los luego condenados, y que, aun cuando fueran debidas a su comportamiento procesal, tampoco pueden llevar aparejadas dichas consecuencias.</w:t>
      </w:r>
    </w:p>
    <w:p w:rsidR="00AC56D6" w:rsidRDefault="00AC56D6" w:rsidP="00AC56D6">
      <w:pPr>
        <w:pStyle w:val="TextoNormal"/>
      </w:pPr>
    </w:p>
    <w:p w:rsidR="00AC56D6" w:rsidRDefault="00AC56D6" w:rsidP="00AC56D6">
      <w:pPr>
        <w:pStyle w:val="TextoNormal"/>
      </w:pPr>
      <w:r>
        <w:t xml:space="preserve">c) El Ministerio público sostiene que cabe, incluso, ir más lejos, partiendo de la común opinión de que las normas procesales carecen de carácter retroactivo, al aplicarse las mismas al desenvolvimiento de los actos procesales en el momento en que éstos están teniendo lugar, siendo de aplicación la regla </w:t>
      </w:r>
      <w:r w:rsidRPr="00AC56D6">
        <w:rPr>
          <w:i/>
        </w:rPr>
        <w:t>tempus regit actum</w:t>
      </w:r>
      <w:r>
        <w:t xml:space="preserve">, que, en cierto modo, es a la que parecen atenerse las resoluciones judiciales cuestionadas En esta materia, tampoco las resoluciones se acomodan a la jurisprudencia del Tribunal Constitucional dictada en algunos supuestos problemáticos, en concreto referida a decisiones judiciales de carácter procesal sometidas a las leyes de esta naturaleza, que afectan claramente a la libertad y que tienen efectos que permanecen durante el tiempo, en el transcurso del cual se produce un cambio legislativo, lo que implica mayores restricciones para los afectados. En tales casos, si se aplica la nueva ley más restrictiva, esta desplegaría sus efectos sobre un acto procesal iniciado bajo la vigencia de una ley anterior, por lo que podría hablarse con propiedad de retroactividad perjudicial de la ley procesal. El Tribunal Constitucional se ha pronunciado expresamente en el caso de la prisión provisional, estableciendo que, también en este supuesto, la elección de la ley aplicable debe hacerse de la manera más favorable al derecho fundamental a la libertad (favor </w:t>
      </w:r>
      <w:r w:rsidRPr="00AC56D6">
        <w:rPr>
          <w:i/>
        </w:rPr>
        <w:t>libertatis</w:t>
      </w:r>
      <w:r>
        <w:t>) y, por tanto, acudiendo a la ley anterior más beneficiosa (por todas, STC 32/1987 de 12 de marzo) y considerando aplicable el art. 9.3 CE a las normas procesales en STC 117/1985 de 18 de julio.</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10 de diciembre de 2015, se señaló para deliberación y votación de la presente Sentencia el día 14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Se interpone el presente recurso de amparo contra el Auto de la Sala de lo Penal del Tribunal Supremo de fecha 24 de enero de 2013, que acordó no haber lugar a la admisión del recurso de casación, contra los Autos dictados por la Sección Décima de la Audiencia Provincial de Barcelona en fechas de 8 de noviembre y 21 de diciembre de 2011 por los que se aprobó —se acordó mantener “inalterable”— y confirmó, respectivamente, la liquidación de la pena de prisión impuesta al demandante en amparo, practicada por el Secretario Judicial el 29 de marzo de 2011 en la ejecutoria núm. 35-2011 dimanante de las diligencias </w:t>
      </w:r>
      <w:r>
        <w:lastRenderedPageBreak/>
        <w:t>previas núm. 1887-2009 procedentes del Juzgado de Instrucción núm. 8 de Vilanova i la Geltrú.</w:t>
      </w:r>
    </w:p>
    <w:p w:rsidR="00AC56D6" w:rsidRDefault="00AC56D6" w:rsidP="00AC56D6">
      <w:pPr>
        <w:pStyle w:val="TextoNormal"/>
      </w:pPr>
    </w:p>
    <w:p w:rsidR="00AC56D6" w:rsidRDefault="00AC56D6" w:rsidP="00AC56D6">
      <w:pPr>
        <w:pStyle w:val="TextoNormal"/>
      </w:pPr>
      <w:r>
        <w:t>Según ha quedado expuesto en el apartado de antecedentes, el demandante, en quien concurrió simultáneamente la doble condición de preso preventivo en la causa citada y penado por la causa seguida por la Sección Octava de la Audiencia Provincial de Barcelona (ejecutoria núm. 101-2009) desde el 7 de enero de 2010, fecha de inicio de la ejecución de la pena impuesta en esta última causa, hasta el 8 de marzo de 2011, fecha de firmeza de la Sentencia condenatoria recaída en la causa en que se acordó la prisión provisional, imputa a las resoluciones judiciales impugnadas la vulneración del derecho a la libertad (art. 17.1 CE) en relación con el derecho a la igualdad y la tutela judicial efectiva (arts. 14 y 24.1 CE) por vulneración del principio de irretroactividad de la ley penal [arts. 2 del Código penal (CP) y 9.3 CE].</w:t>
      </w:r>
    </w:p>
    <w:p w:rsidR="00AC56D6" w:rsidRDefault="00AC56D6" w:rsidP="00AC56D6">
      <w:pPr>
        <w:pStyle w:val="TextoNormal"/>
      </w:pPr>
    </w:p>
    <w:p w:rsidR="00AC56D6" w:rsidRDefault="00AC56D6" w:rsidP="00AC56D6">
      <w:pPr>
        <w:pStyle w:val="TextoNormal"/>
      </w:pPr>
      <w:r>
        <w:t>La parte recurrente considera que debió aplicarse el art. 58 del Código penal en la redacción dada por la Ley Orgánica 15/2003, de acuerdo con la doctrina interpretativa efectuada en la STC 57/2008, de 28 de abril, por ser la que se encontraba vigente en el momento de la comisión de los hechos, el día 10 de diciembre de 2009, y, en consecuencia, debió habérsele abonado en su totalidad el tiempo pasado en prisión provisional para el cumplimiento de la pena impuesta en la misma causa. Argumenta que la resolución de la Sala Segunda del Tribunal Supremo, en una posición que califica de sorpresiva, al aplicar el citado art. 58.1 CP en la redacción dada por la Ley Orgánica 5/2010, de 22 de junio, supone una vulneración de su derecho a la libertad personal (art. 17.1 CE) en conexión con el principio de irretroactividad de las normas penales y restrictivas de derechos, con cita de las SSTC 21/1993, de 18 de enero; 43/1997, de 10 de marzo; 20/2003, de 10 de febrero; 116/2007, de 21 de mayo, y 113/2012, de 24 de mayo.</w:t>
      </w:r>
    </w:p>
    <w:p w:rsidR="00AC56D6" w:rsidRDefault="00AC56D6" w:rsidP="00AC56D6">
      <w:pPr>
        <w:pStyle w:val="TextoNormal"/>
      </w:pPr>
    </w:p>
    <w:p w:rsidR="00AC56D6" w:rsidRDefault="00AC56D6" w:rsidP="00AC56D6">
      <w:pPr>
        <w:pStyle w:val="TextoNormal"/>
      </w:pPr>
      <w:r>
        <w:t xml:space="preserve">El Ministerio Fiscal interesa la estimación del recurso de amparo por considerar que las resoluciones judiciales impugnadas han vulnerado el derecho a la libertad (art. 17.1 CE) del demandante. Con base en las razones que aduce, concluye que la interpretación realizada por el Auto dictado por la Sala de lo Penal el Tribunal Supremo resulta fuertemente restrictiva del derecho a la libertad del demandante, carece de un sustrato normativo sólido, y aun cuando la norma contenida en el art. 58.1 CP se califique como “procesal”, regida por el principio </w:t>
      </w:r>
      <w:r w:rsidRPr="00AC56D6">
        <w:rPr>
          <w:i/>
        </w:rPr>
        <w:t>tempus regit actum</w:t>
      </w:r>
      <w:r>
        <w:t>, la elección de la ley aplicable debe hacerse de la manera más favorable al derecho fundamental a la libertad (</w:t>
      </w:r>
      <w:r w:rsidRPr="00AC56D6">
        <w:rPr>
          <w:i/>
        </w:rPr>
        <w:t>favor libertatis</w:t>
      </w:r>
      <w:r>
        <w:t>) y, por tanto, acudiendo a la ley anterior más beneficiosa. Por ello, considera aplicable el art. 9.3 CE a las normas procesales, con cita de las SSTC 32/1987, de 12 de marzo, y 117/1987, de 29 de julio [la cita de la STC 117/1985, de 18 de julio, obedece a un mero error material].</w:t>
      </w:r>
    </w:p>
    <w:p w:rsidR="00AC56D6" w:rsidRDefault="00AC56D6" w:rsidP="00AC56D6">
      <w:pPr>
        <w:pStyle w:val="TextoNormal"/>
      </w:pPr>
    </w:p>
    <w:p w:rsidR="00AC56D6" w:rsidRDefault="00AC56D6" w:rsidP="00AC56D6">
      <w:pPr>
        <w:pStyle w:val="TextoNormal"/>
      </w:pPr>
      <w:r w:rsidRPr="00AC56D6">
        <w:rPr>
          <w:rStyle w:val="NumeroAFNegritaCaracter"/>
        </w:rPr>
        <w:t>2</w:t>
      </w:r>
      <w:r>
        <w:t>. Este Tribunal se ha pronunciado, desde la inicial STC 57/2008, de 28 de abril, sobre diversos aspectos derivados de las exigencias que la Constitución impone en la aplicación del art. 58.1 CP en la redacción dada por la Ley Orgánica 15/2003, de 25 de noviembre, en las SSTC 92/2012, de 7 de mayo; 158/2012, de 17 de septiembre; 193/2012, de 29 de octubre; 229/2012, de 10 de diciembre; 148/2013, de 9 de septiembre; 168/2013, de 7 de octubre; 35/2014, de 27 de febrero; 61/2014, de 5 de mayo, y 81/2014, de 28 de mayo. Dicho precepto regula el abono, para el cumplimiento de la pena, del tiempo de prisión preventiva a la que se ha estado cautelarmente sometido.</w:t>
      </w:r>
    </w:p>
    <w:p w:rsidR="00AC56D6" w:rsidRDefault="00AC56D6" w:rsidP="00AC56D6">
      <w:pPr>
        <w:pStyle w:val="TextoNormal"/>
      </w:pPr>
    </w:p>
    <w:p w:rsidR="00AC56D6" w:rsidRDefault="00AC56D6" w:rsidP="00AC56D6">
      <w:pPr>
        <w:pStyle w:val="TextoNormal"/>
      </w:pPr>
      <w:r>
        <w:lastRenderedPageBreak/>
        <w:t>Así, en la STC 57/2008 declaramos constitucionalmente ilegítima la exclusión para el cumplimiento de la pena del tiempo pasado en prisión provisional por el mero hecho de ser coincidente con la condición de penado en otra causa. Afirmamos en dicha Sentencia que “si el legislador no incluyó ninguna previsión respecto a dicha situación en el art. 58.1 CP, y, en concreto, el no abono del tiempo en el que simultáneamente han coincidido las situaciones de prisión provisional en una causa y de penado en otra, fue sencillamente porque no quiso hacerlo” y se añadía “el dato negativo de la no previsión de esa situación es indudable; y, a partir de él, no resulta constitucionalmente adecuada una interpretación en virtud de la cual pueda llegarse a una consecuencia sobre el abono del tiempo de prisión provisional en una causa para el cumplimiento de la pena o penas impuestas en la misma, regulado en el art. 58.1 CP, basada en un dato ausente de éste”. De este modo, a los “internos mixtos”, expresión referida a los internos en centro penitenciarios en cuanto simultanean la condición de preso preventivo y penado en causas penales diferentes, por aplicación de la doctrina emanada de dicha Sentencia, se les descontaba el tiempo de privación de libertad cautelarmente sufrido de la pena impuesta en otra causa.</w:t>
      </w:r>
    </w:p>
    <w:p w:rsidR="00AC56D6" w:rsidRDefault="00AC56D6" w:rsidP="00AC56D6">
      <w:pPr>
        <w:pStyle w:val="TextoNormal"/>
      </w:pPr>
    </w:p>
    <w:p w:rsidR="00AC56D6" w:rsidRDefault="00AC56D6" w:rsidP="00AC56D6">
      <w:pPr>
        <w:pStyle w:val="TextoNormal"/>
      </w:pPr>
      <w:r>
        <w:t>En esta situación se aprobó la Ley Orgánica 5/2010, de 22 de junio, por la que se modifica la Ley Orgánica 10/1995, de 23 de noviembre, del Código penal, que reformó el art. 58.1 CP con el fin de excluir expresamente el efecto citado (“el doble cómputo”) y explicó su preámbulo la razón del cambio en los siguientes términos: “Para solucionar los problemas interpretativos surgidos acerca de cuál es el procedimiento penal donde debe abonarse el tiempo de prisión provisional sufrido por un imputado que al mismo tiempo está cumpliendo una pena de privación de libertad impuesta en otra causa, se procede a la modificación del art. 58 para dejar claro que en esos supuestos solamente será de abono el tiempo de prisión realmente sufrido en la liquidación de condena referente a la pena que esté cumpliendo” (apartado VI).</w:t>
      </w:r>
    </w:p>
    <w:p w:rsidR="00AC56D6" w:rsidRDefault="00AC56D6" w:rsidP="00AC56D6">
      <w:pPr>
        <w:pStyle w:val="TextoNormal"/>
      </w:pPr>
    </w:p>
    <w:p w:rsidR="00AC56D6" w:rsidRDefault="00AC56D6" w:rsidP="00AC56D6">
      <w:pPr>
        <w:pStyle w:val="TextoNormal"/>
      </w:pPr>
      <w:r>
        <w:t>De este modo, el art. único, apartado decimoséptimo, modificó el apartado 1 del art. 58 CP, que quedó redactado como sigue: “1. El tiempo de privación de libertad sufrido provisionalmente será abonado en su totalidad por el Juez o Tribunal sentenciador para el cumplimiento de la pena o penas impuestas en la causa en que dicha privación fue acordada, salvo en cuanto haya coincidido con cualquier privación de libertad impuesta al penado en otra causa, que le haya sido abonada o le sea abonable en ella. En ningún caso un mismo periodo de privación de libertad podrá ser abonado en más de una causa.”</w:t>
      </w:r>
    </w:p>
    <w:p w:rsidR="00AC56D6" w:rsidRDefault="00AC56D6" w:rsidP="00AC56D6">
      <w:pPr>
        <w:pStyle w:val="TextoNormal"/>
      </w:pPr>
    </w:p>
    <w:p w:rsidR="00AC56D6" w:rsidRDefault="00AC56D6" w:rsidP="00AC56D6">
      <w:pPr>
        <w:pStyle w:val="TextoNormal"/>
      </w:pPr>
      <w:r>
        <w:t>Publicada la Ley Orgánica 5/2010 en el “Boletín Oficial del Estado” de 23 de junio de 2010, de acuerdo con la disposición final séptima de dicha Ley Orgánica, su entrada en vigor tuvo lugar el 23 de diciembre de 2010.</w:t>
      </w:r>
    </w:p>
    <w:p w:rsidR="00AC56D6" w:rsidRDefault="00AC56D6" w:rsidP="00AC56D6">
      <w:pPr>
        <w:pStyle w:val="TextoNormal"/>
      </w:pPr>
    </w:p>
    <w:p w:rsidR="00AC56D6" w:rsidRDefault="00AC56D6" w:rsidP="00AC56D6">
      <w:pPr>
        <w:pStyle w:val="TextoNormal"/>
      </w:pPr>
      <w:r>
        <w:t>Las disposiciones transitorias guardan silencio sobre la aplicación temporal de la nueva norma. Concretamente, la disposición transitoria primera, bajo la rúbrica “legislación aplicable”, se refiere exclusivamente a la “legislación penal” para juzgar “los delitos y faltas”; la segunda a la revisión de las sentencias; y la tercera a las causas pendientes de recurso al tiempo de la entrada en vigor de la nueva Ley Orgánica.</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Al analizar la cuestión planteada, hemos dejado constancia en los antecedentes de las razones que ha considerado la Audiencia Provincial de Barcelona, en primer término, y la Sala Segunda del Tribunal Supremo, después, para concluir que en el presente caso resulta </w:t>
      </w:r>
      <w:r>
        <w:lastRenderedPageBreak/>
        <w:t>de aplicación, en su integridad, el art. 58 CP en su redacción dada por la citada Ley Orgánica 5/2010, descartando la aplicación de la redacción anterior completada con la doctrina constitucional a que se hacía referencia, y que hubiera conducido a muy diferente resultado. La solución acogida por este último Auto tenía precedentes, por lo demás, en otras resoluciones de la Sala de lo Penal del Tribunal Supremo, como la Sentencia de 17 de mayo de 2012 (recurso de casación núm. 11914-2011), que se había inclinado por considerar que “se trata de una norma que regula una circunstancia atinente a la ejecución de la pena, que únicamente adquiere virtualidad aplicativa cuando se produce el hecho que justifica su existencia es decir, la condena firme del acusado, lo que abre paso a la ejecución de la pena impuesta al mismo”. Añadía la citada Sentencia que “antes, pues, de tal momento, no existe derecho alguno por parte del imputado, ni ha adquirido una expectativa que pueda ser protegida como si se tratara de una ley penal más favorable, sino que el abono de la prisión preventiva, será efectuado en los términos en que se encuentre disciplinado legalmente en el momento de efectuar tal operación (ejecutiva).”</w:t>
      </w:r>
    </w:p>
    <w:p w:rsidR="00AC56D6" w:rsidRDefault="00AC56D6" w:rsidP="00AC56D6">
      <w:pPr>
        <w:pStyle w:val="TextoNormal"/>
      </w:pPr>
    </w:p>
    <w:p w:rsidR="00AC56D6" w:rsidRDefault="00AC56D6" w:rsidP="00AC56D6">
      <w:pPr>
        <w:pStyle w:val="TextoNormal"/>
      </w:pPr>
      <w:r>
        <w:t>La peculiaridad de este asunto, en que no se cuestiona la constitucionalidad del contenido del art. 58 CP en la redacción dada por la citada Ley Orgánica 5/2010, ni tampoco la interpretación que del mismo han hecho las resoluciones impugnadas en el sentido de que dicha norma legal impide el “doble abono” que impuso la STC 57/2008 bajo el imperio de la norma anterior, dará a este Tribunal ocasión para pronunciarse sobre la adecuación a la Constitución (art. 17.1 CE) de la solución judicial adoptada en orden a la eficacia temporal de la modificación normativa, ya que la entrada en vigor de dicha modificación legal se produjo una vez que el demandante había adquirido la condición de “interno mixto”, situación que se prolongó hasta después de tal momento, pues se inició el 7 de enero de 2010, fecha en que, hallándose el demandante en situación de prisión provisional, comenzó a cumplir la pena impuesta en la otra causa a que se hizo referencia; y se extendió esta situación hasta el 8 de marzo de 2011.</w:t>
      </w:r>
    </w:p>
    <w:p w:rsidR="00AC56D6" w:rsidRDefault="00AC56D6" w:rsidP="00AC56D6">
      <w:pPr>
        <w:pStyle w:val="TextoNormal"/>
      </w:pPr>
    </w:p>
    <w:p w:rsidR="00AC56D6" w:rsidRDefault="00AC56D6" w:rsidP="00AC56D6">
      <w:pPr>
        <w:pStyle w:val="TextoNormal"/>
      </w:pPr>
      <w:r>
        <w:t>La parte demandante esgrime formalmente, un único motivo: la lesión de su derecho a la libertad personal (art. 17.1 CE) que relaciona con otros derechos fundamentales, como el derecho a la tutela judicial efectiva (art. 24.1 CE) y la igualdad en la aplicación de la Ley (art. 14 CE), así como con un principio constitucional, como es el de irretroactividad de la normas sancionadores no favorables y restrictivas de derechos individuales (art. 9.3 CE).</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En relación con este último punto, debe repararse que el recurrente no invoca el art. 25.1 CE, sino el art. 9.3 CE, que no consagra un derecho fundamental susceptible de recurso de amparo </w:t>
      </w:r>
      <w:r w:rsidRPr="00AC56D6">
        <w:rPr>
          <w:i/>
        </w:rPr>
        <w:t>ex</w:t>
      </w:r>
      <w:r>
        <w:t xml:space="preserve"> art. 53.2 CE (por todas, STC 99/2004, de 27 de mayo, FJ 3), y el art. 2.2 CP, que tampoco tiene el rango exigido para fundar este recurso.</w:t>
      </w:r>
    </w:p>
    <w:p w:rsidR="00AC56D6" w:rsidRDefault="00AC56D6" w:rsidP="00AC56D6">
      <w:pPr>
        <w:pStyle w:val="TextoNormal"/>
      </w:pPr>
    </w:p>
    <w:p w:rsidR="00AC56D6" w:rsidRDefault="00AC56D6" w:rsidP="00AC56D6">
      <w:pPr>
        <w:pStyle w:val="TextoNormal"/>
      </w:pPr>
      <w:r>
        <w:t>De conformidad con ello y con el propio desarrollo argumental de la demanda, tal denuncia no habrá de examinarse como lesión autónoma, sino en relación con la vulneración del derecho a la libertad personal del demandante —</w:t>
      </w:r>
      <w:r w:rsidRPr="00AC56D6">
        <w:rPr>
          <w:i/>
        </w:rPr>
        <w:t>ex</w:t>
      </w:r>
      <w:r>
        <w:t xml:space="preserve"> art. 17.1 CE—, en tanto llama a la “Ley”, y en cuanto que el derecho a la libertad y seguridad reconocido en el citado precepto constitucional “incluye todas sus garantías previstas en diversos preceptos constitucionales (el mismo art. 17, los arts. 25.1, 53.1 y 2 y 81.1), cuya vulneración supone la del mismo derecho” (STCC 32/1987, de 12 de marzo, FJ 4, y 140/1986, de 11 de noviembre, FJ 6).</w:t>
      </w:r>
    </w:p>
    <w:p w:rsidR="00AC56D6" w:rsidRDefault="00AC56D6" w:rsidP="00AC56D6">
      <w:pPr>
        <w:pStyle w:val="TextoNormal"/>
      </w:pPr>
    </w:p>
    <w:p w:rsidR="00AC56D6" w:rsidRDefault="00AC56D6" w:rsidP="00AC56D6">
      <w:pPr>
        <w:pStyle w:val="TextoNormal"/>
      </w:pPr>
      <w:r>
        <w:lastRenderedPageBreak/>
        <w:t xml:space="preserve">De acuerdo con la doctrina de este Tribunal Constitucional, únicamente podría hablarse, en el caso que examinamos, de “retroactividad impropia” (por todas, SSTC 126/1987, de 16 de julio, FJ 11, y 182/1997, de 28 de octubre, FJ 11) en cuanto que la situación —de “interno mixto”— no se habría agotado al tiempo de la entrada en vigor de la ley nueva, de modo que no puede concluirse, </w:t>
      </w:r>
      <w:r w:rsidRPr="00AC56D6">
        <w:rPr>
          <w:i/>
        </w:rPr>
        <w:t>per se</w:t>
      </w:r>
      <w:r>
        <w:t xml:space="preserve"> y en sentido estricto, que las resoluciones impugnadas hayan infringido directamente el mencionado principio. Conviene recordar que es doctrina de este Tribunal que la irretroactividad sólo es aplicable a los derechos consolidados, asumidos e integrados en el patrimonio del sujeto y no a los pendientes, futuros, condicionados y expectativas (por todas, SSTC 99/1987, de 11 de junio, FJ 6, o 178/1989, de 2 de noviembre, FJ 9), de lo que se deduce que sólo puede afirmarse que una norma es retroactiva, a los efectos del art. 9.3 CE, cuando incide sobre “relaciones consagradas” y afecta a “situaciones agotadas” (por todas, STC 99/1987, de 11 de junio, FJ 6), lo que no sucede en el caso examinado.</w:t>
      </w:r>
    </w:p>
    <w:p w:rsidR="00AC56D6" w:rsidRDefault="00AC56D6" w:rsidP="00AC56D6">
      <w:pPr>
        <w:pStyle w:val="TextoNormal"/>
      </w:pPr>
    </w:p>
    <w:p w:rsidR="00AC56D6" w:rsidRDefault="00AC56D6" w:rsidP="00AC56D6">
      <w:pPr>
        <w:pStyle w:val="TextoNormal"/>
      </w:pPr>
      <w:r>
        <w:t>También, en este momento, se hace necesario descartar la infracción del art. 14 CE, que se cita conjuntamente con el art. 24.1 CE, y que viene a imputar la parte demandante a la Sala de lo Penal del Tribunal Supremo, en cuanto que, afirma, cambió de criterio de forma sorpresiva.</w:t>
      </w:r>
    </w:p>
    <w:p w:rsidR="00AC56D6" w:rsidRDefault="00AC56D6" w:rsidP="00AC56D6">
      <w:pPr>
        <w:pStyle w:val="TextoNormal"/>
      </w:pPr>
    </w:p>
    <w:p w:rsidR="00AC56D6" w:rsidRDefault="00AC56D6" w:rsidP="00AC56D6">
      <w:pPr>
        <w:pStyle w:val="TextoNormal"/>
      </w:pPr>
      <w:r>
        <w:t>Ha de recordarse que el juicio de igualdad sólo puede realizarse sobre la comparación entre la resolución judicial impugnada y las precedentes resoluciones del mismo órgano judicial que, en casos sustancialmente iguales, hayan resuelto de forma contradictoria (por todas STC 140/2003, de 14 de julio, FJ 4). Por ello, es preciso que los supuestos que constituyen el término de comparación sean esencialmente iguales, pues sólo si los casos son iguales entre sí puede efectivamente pretenderse que la solución dada para uno sea igual a la del otro (por todas, SSTC 102/1999, de 31 de mayo, FJ 3, y 133/2002, de 3 de junio, FJ 6). Corresponde al recurrente la carga de aportar, como término de comparación válido, los precedentes de los que la resolución impugnada se habría apartado, poniendo así a disposición de este Tribunal los elementos de juicio necesarios para poder valorar si un mismo órgano judicial en supuestos sustancialmente idénticos ha resuelto en sentido distinto sin ofrecer una adecuada motivación de su cambio de criterio o sin que la misma pueda deducirse razonablemente de los términos de la resolución impugnada (SSTC 8/2004, de 9 de febrero, FJ 3, y 229/2003, de 18 de diciembre, FJ 21, por citar las más recientes).</w:t>
      </w:r>
    </w:p>
    <w:p w:rsidR="00AC56D6" w:rsidRDefault="00AC56D6" w:rsidP="00AC56D6">
      <w:pPr>
        <w:pStyle w:val="TextoNormal"/>
      </w:pPr>
    </w:p>
    <w:p w:rsidR="00AC56D6" w:rsidRDefault="00AC56D6" w:rsidP="00AC56D6">
      <w:pPr>
        <w:pStyle w:val="TextoNormal"/>
      </w:pPr>
      <w:r>
        <w:t xml:space="preserve">En este caso, la parte demandante se limita a citar algunas sentencias precedentes de la Sala de lo Penal del Tribunal Supremo y a trascribir parcialmente su contenido, pero sin tratar de identificar los supuestos de hecho que enjuiciaban, de modo que habrá de concluirse que no se ha aportado un término válido de comparación. En todo caso, de la lectura de las resoluciones de la Sala Segunda del Tribunal Supremo citadas por el recurrente, se desprende que se refieren a supuestos de hecho diferentes desde el punto de vista temporal, que es aquí la razón de decidir de las resoluciones impugnadas. Cosa distinta es que dichas resoluciones, </w:t>
      </w:r>
      <w:r w:rsidRPr="00AC56D6">
        <w:rPr>
          <w:i/>
        </w:rPr>
        <w:t>obiter dicta</w:t>
      </w:r>
      <w:r>
        <w:t xml:space="preserve">, consideren el momento para la aplicación de la ley nueva de acuerdo con criterios diversos, lo que sólo resulta demostrativo de la complejidad de la cuestión y de la polémica suscitada en torno a ella. En concreto, las dos primeras sentencias citadas se refieren al “momento de la comisión de los hechos”; en la tercera se considera que se trata “una norma posterior más gravosa para los reos”; y en la última se excluye la aplicación de la nueva norma, por la prohibición de retroactividad desfavorable, a “las situaciones en las que al tiempo de entrar en vigor hubiera recaído sentencia firme y el penado </w:t>
      </w:r>
      <w:r>
        <w:lastRenderedPageBreak/>
        <w:t>se hallare cumpliendo condena”. Este último criterio, en realidad, resulta coincidente con el que se mantiene en la resolución contra el que se dirige el presente recurso de amparo.</w:t>
      </w:r>
    </w:p>
    <w:p w:rsidR="00AC56D6" w:rsidRDefault="00AC56D6" w:rsidP="00AC56D6">
      <w:pPr>
        <w:pStyle w:val="TextoNormal"/>
      </w:pPr>
    </w:p>
    <w:p w:rsidR="00AC56D6" w:rsidRDefault="00AC56D6" w:rsidP="00AC56D6">
      <w:pPr>
        <w:pStyle w:val="TextoNormal"/>
      </w:pPr>
      <w:r w:rsidRPr="00AC56D6">
        <w:rPr>
          <w:rStyle w:val="NumeroAFNegritaCaracter"/>
        </w:rPr>
        <w:t>5</w:t>
      </w:r>
      <w:r>
        <w:t>. Descartada la invocada vulneración del art. 14 CE y la referencia al art. 9.3 como lesión autónoma, centramos el objeto de impugnación en la vulneración del art. 17.1 CE, que tras proclamar el derecho de toda persona a la libertad y a la seguridad, dispone que “nadie puede ser privado de su libertad, sino con la observancia de lo establecido en este artículo y en los casos y en la forma prevista en la ley”. Más concretamente, en relación con la ejecución de las penas privativas de libertad, este Tribunal tiene declarado que “no es excluible una lesión del art. 17.1 CE, si no se procede tal y como ordena el Código penal y la Ley de enjuiciamiento criminal”, pues el derecho reconocido en el art. 17.1 CE permite la privación de libertad sólo en los casos y en las formas previstos en la Ley. De modo que “no ha de excluirse que lesione el derecho reconocido en el art. 17.1 CE la ejecución de una Sentencia penal con inobservancia de las disposiciones de la Ley de enjuiciamiento criminal y del Código penal respecto al cumplimiento de las distintas condenas de pérdida de libertad que pudieran reducir el tiempo de permanencia en prisión del condenado, en cuanto supongan un alargamiento ilegítimo de esa permanencia y, por ende, de la pérdida de libertad” (SSTC 130/1996, de 9 de julio, FJ 2; 57/2008, de 28 de abril, FJ 2; y 92/2012, de 7 de mayo, FJ 4).</w:t>
      </w:r>
    </w:p>
    <w:p w:rsidR="00AC56D6" w:rsidRDefault="00AC56D6" w:rsidP="00AC56D6">
      <w:pPr>
        <w:pStyle w:val="TextoNormal"/>
      </w:pPr>
    </w:p>
    <w:p w:rsidR="00AC56D6" w:rsidRDefault="00AC56D6" w:rsidP="00AC56D6">
      <w:pPr>
        <w:pStyle w:val="TextoNormal"/>
      </w:pPr>
      <w:r>
        <w:t>Lógicamente, la lesión también puede producirse cuando, como aquí sucede, la controversia se plantea en sede de la primaria operación de selección de la ley aplicable, conforme al art. 17.1 CE, ante una sucesión temporal de normas en el tiempo. La selección de la ley aplicable, de entre varias posibles, no es sino un precedente indispensable de la aplicación propiamente dicha, de manera que en la medida en dicha elección pudiera influir, en definitiva, sobre el tiempo de efectiva privación de libertad del condenado, afectaría al contenido reconocido del derecho fundamental del que venimos tratando.</w:t>
      </w:r>
    </w:p>
    <w:p w:rsidR="00AC56D6" w:rsidRDefault="00AC56D6" w:rsidP="00AC56D6">
      <w:pPr>
        <w:pStyle w:val="TextoNormal"/>
      </w:pPr>
    </w:p>
    <w:p w:rsidR="00AC56D6" w:rsidRDefault="00AC56D6" w:rsidP="00AC56D6">
      <w:pPr>
        <w:pStyle w:val="TextoNormal"/>
      </w:pPr>
      <w:r>
        <w:t>Para resolver estas cuestiones, recordamos que es doctrina constitucional reiterada que la selección, interpretación y aplicación de las normas procesales y penales corresponde, en exclusiva, a los órganos judiciales en el ejercicio de la función jurisdiccional que les encomienda el art. 117.3 CE, no siendo función de este Tribunal Constitucional examinar la interpretación de la legalidad hecha por los órganos judiciales, salvo que, por manifiestamente arbitraria, claramente errónea o por no satisfacer las exigencias de proporcionalidad inherentes a la restricción de todo derecho fundamental, implique por sí misma lesiones específicas de las garantías sustanciales del procedimiento constitucionalizadas en el art. 24 CE (desde las SSTC 132/1992, de 28 de septiembre, FJ 2, y 236/1998, de 14 de diciembre, FJ 2; hasta las posteriores 112/2007, de 10 de mayo, FJ 5, y 43/2009, de 12 de febrero).</w:t>
      </w:r>
    </w:p>
    <w:p w:rsidR="00AC56D6" w:rsidRDefault="00AC56D6" w:rsidP="00AC56D6">
      <w:pPr>
        <w:pStyle w:val="TextoNormal"/>
      </w:pPr>
    </w:p>
    <w:p w:rsidR="00AC56D6" w:rsidRDefault="00AC56D6" w:rsidP="00AC56D6">
      <w:pPr>
        <w:pStyle w:val="TextoNormal"/>
      </w:pPr>
      <w:r>
        <w:t xml:space="preserve">En particular, sobre la selección de la norma legal aplicable en el tiempo, este Tribunal ha venido sosteniendo que aun tratándose de una función atribuida a la jurisdicción ordinaria </w:t>
      </w:r>
      <w:r w:rsidRPr="00AC56D6">
        <w:rPr>
          <w:i/>
        </w:rPr>
        <w:t>ex</w:t>
      </w:r>
      <w:r>
        <w:t xml:space="preserve"> art. 117 CE (SSTC 203/1994, de 11 de julio, FJ 3; 99/2000, de 10 de abril, FJ 6, y 82/2009, de 23 de marzo, FJ 6), la misma puede resultar objeto de control desde la perspectiva de la lesión del derecho a una resolución fundada (tutela judicial efectiva), si se ha tratado de una decisión arbitraria, manifiestamente irrazonable o si ha sido fruto de un error patente (SSTC 233/1991, FJ 4; 55/1993, FJ 5, y 245/1993, FJ 5, entre otras muchas), pero también, por resultar afectado un derecho fundamental sustantivo como el derecho a la libertad personal consagrado por el art. 17.1 CE, si la selección comporta, ante la existencia </w:t>
      </w:r>
      <w:r>
        <w:lastRenderedPageBreak/>
        <w:t>de una duda razonable, la elección de la norma más favorable a la libertad del recurrente (SSTC 117/1987, de 29 de julio, FJ 2, y 32/1987, de 12 de marzo, FJ 3).</w:t>
      </w:r>
    </w:p>
    <w:p w:rsidR="00AC56D6" w:rsidRDefault="00AC56D6" w:rsidP="00AC56D6">
      <w:pPr>
        <w:pStyle w:val="TextoNormal"/>
      </w:pPr>
    </w:p>
    <w:p w:rsidR="00AC56D6" w:rsidRDefault="00AC56D6" w:rsidP="00AC56D6">
      <w:pPr>
        <w:pStyle w:val="TextoNormal"/>
      </w:pPr>
      <w:r>
        <w:t>También la STC 57/2008, de 28 de abril, FJ 2, estableció que no nos corresponde corregir o revisar desde la perspectiva de la legalidad ordinaria la liquidación de condena del recurrente aprobada por la Audiencia Provincial, pues también esta cuestión compete en exclusiva a los órganos judiciales. La función de este Tribunal ha de limitarse, por tanto, a una supervisión externa de la razonabilidad de la fundamentación de las resoluciones judiciales recurridas desde la perspectiva del derecho a la libertad, en coherencia con la doctrina constitucional (por todas, SSTC 108/1997, de 2 de junio, FJ 2; 31/1999, de 8 de marzo, FFJJ 3 y 6, y 19/1999, de 22 de enero, FJ 4), partiendo de los siguientes postulados:</w:t>
      </w:r>
    </w:p>
    <w:p w:rsidR="00AC56D6" w:rsidRDefault="00AC56D6" w:rsidP="00AC56D6">
      <w:pPr>
        <w:pStyle w:val="TextoNormal"/>
      </w:pPr>
    </w:p>
    <w:p w:rsidR="00AC56D6" w:rsidRDefault="00AC56D6" w:rsidP="00AC56D6">
      <w:pPr>
        <w:pStyle w:val="TextoNormal"/>
      </w:pPr>
      <w:r>
        <w:t xml:space="preserve">a) En materia de derechos fundamentales, la legalidad ordinaria ha de ser interpretada de la forma más favorable para la efectividad de tales derechos (STC 32/1987, de 12 de marzo, FJ 3, </w:t>
      </w:r>
      <w:r w:rsidRPr="00AC56D6">
        <w:rPr>
          <w:i/>
        </w:rPr>
        <w:t>favor libertatis</w:t>
      </w:r>
      <w:r>
        <w:t xml:space="preserve"> que exige que la norma aplicada permita otra interpretación alternativa a la elegida por el órgano judicial (STC 32/1989, de 13 de febrero, FJ 2), esto es, presupone la existencia de alguna variante en la interpretación de los preceptos legales (SSTC 1/1989, de 16 de enero, FJ 3, y 35/2014, de 27 de febrero, FJ 5).</w:t>
      </w:r>
    </w:p>
    <w:p w:rsidR="00AC56D6" w:rsidRDefault="00AC56D6" w:rsidP="00AC56D6">
      <w:pPr>
        <w:pStyle w:val="TextoNormal"/>
      </w:pPr>
    </w:p>
    <w:p w:rsidR="00AC56D6" w:rsidRDefault="00AC56D6" w:rsidP="00AC56D6">
      <w:pPr>
        <w:pStyle w:val="TextoNormal"/>
      </w:pPr>
      <w:r>
        <w:t xml:space="preserve">b) A propósito de la controvertida cuestión suscitada por la sucesión de normas sobre prisión provisional las SSTC 32/1987, de 12 de marzo, y 117/1987, de 29 de julio, han establecido criterios esenciales, de directa incidencia en la cuestión examinada. Así en la primera de estas Sentencias, tras precisar que “la predicada naturaleza procesal o adjetiva de tales normas no pueden en modo alguno ocultar la efectiva limitación de la libertad personal del inculpado en una causa penal”, destacábamos la analogía de tal medida de prisión provisional con la que es producto de la sanción penal, de la que es expresión, precisamente, el abono de la prisión preventiva para el cumplimiento de la pena y recordábamos en un supuesto como el presente en el que, habiéndose planteado un problema de sucesión de leyes en el tiempo y careciendo la </w:t>
      </w:r>
      <w:r w:rsidRPr="00AC56D6">
        <w:rPr>
          <w:i/>
        </w:rPr>
        <w:t>lex posterior</w:t>
      </w:r>
      <w:r>
        <w:t xml:space="preserve"> de todo precepto transitorio que determinara su propia eficacia normativa en lo tocante a las situaciones de prisión provisional acordadas con anterioridad, que los órganos judiciales, ante la duda razonable que esa circunstancia debía por fuerza suscitar acerca del alcance temporal </w:t>
      </w:r>
      <w:r w:rsidRPr="00AC56D6">
        <w:rPr>
          <w:i/>
        </w:rPr>
        <w:t>pro praeterito</w:t>
      </w:r>
      <w:r>
        <w:t xml:space="preserve"> o </w:t>
      </w:r>
      <w:r w:rsidRPr="00AC56D6">
        <w:rPr>
          <w:i/>
        </w:rPr>
        <w:t>pro futuro</w:t>
      </w:r>
      <w:r>
        <w:t xml:space="preserve"> que había de darse a una y a otra de las dos leyes en conflicto, debieron elegir y aplicar sin duda la menos restrictiva de la situación excepcional de prisión provisional o, lo que es igual, la más favorable a la libertad del recurrente en amparo (STC 32/1987, de 12 de marzo, FJ 2). En la segunda de las citadas Sentencias, concluíamos que “ante la duda suscitada por un conflicto temporal de leyes sucesivas, reguladoras de las situaciones de prisión provisional, los órganos judiciales habrán de aplicar el principio </w:t>
      </w:r>
      <w:r w:rsidRPr="00AC56D6">
        <w:rPr>
          <w:i/>
        </w:rPr>
        <w:t>in dubio pro libertate</w:t>
      </w:r>
      <w:r>
        <w:t>” (STC 117/1987, de 29 de julio, FJ 2).</w:t>
      </w:r>
    </w:p>
    <w:p w:rsidR="00AC56D6" w:rsidRDefault="00AC56D6" w:rsidP="00AC56D6">
      <w:pPr>
        <w:pStyle w:val="TextoNormal"/>
      </w:pPr>
    </w:p>
    <w:p w:rsidR="00AC56D6" w:rsidRDefault="00AC56D6" w:rsidP="00AC56D6">
      <w:pPr>
        <w:pStyle w:val="TextoNormal"/>
      </w:pPr>
      <w:r>
        <w:t xml:space="preserve">c) Hemos de reparar, finalmente, en una perspectiva que, en lo que ahora nos concierne, se integra en el canon constitucional para el enjuiciamiento de la operación de selección de la norma aplicable en el tiempo, y que es la relativa a la previsibilidad de aplicación de la norma que incide en la libertad, exigencia que encuentra su último fundamento en la seguridad jurídica (art. 9.3 CE) y que ha destacado este Tribunal respecto de las medidas limitativas de derechos fundamentales (STC 169/2001, de 16 de julio, FJ 6) y, particularmente, respecto de la prisión provisional (STC 210/2013, de 16 de diciembre, FJ 2, en relación con </w:t>
      </w:r>
      <w:r>
        <w:lastRenderedPageBreak/>
        <w:t>el tope temporal máximo de la prisión provisional), así como el Tribunal Europeo de Derechos Humanos en relación, precisamente, con la garantía de libertad personal consagrada en el art. 5.1 del Convenio europeo para la protección de los derechos humanos y de las libertades fundamentales.</w:t>
      </w:r>
    </w:p>
    <w:p w:rsidR="00AC56D6" w:rsidRDefault="00AC56D6" w:rsidP="00AC56D6">
      <w:pPr>
        <w:pStyle w:val="TextoNormal"/>
      </w:pPr>
    </w:p>
    <w:p w:rsidR="00AC56D6" w:rsidRDefault="00AC56D6" w:rsidP="00AC56D6">
      <w:pPr>
        <w:pStyle w:val="TextoNormal"/>
      </w:pPr>
      <w:r>
        <w:t xml:space="preserve">En este punto, la STEDH (Gran Sala) de 21 de octubre de 2013 (caso del </w:t>
      </w:r>
      <w:r w:rsidRPr="00AC56D6">
        <w:rPr>
          <w:i/>
        </w:rPr>
        <w:t>Río Prada c. España</w:t>
      </w:r>
      <w:r>
        <w:t xml:space="preserve">), sostuvo que “la ‘calidad de la ley’ implica que, si una ley nacional autoriza la privación de libertad, debe ser suficientemente accesible, precisa y previsible en su aplicación para evitar cualquier riesgo de arbitrariedad (véase </w:t>
      </w:r>
      <w:r w:rsidRPr="00AC56D6">
        <w:rPr>
          <w:i/>
        </w:rPr>
        <w:t>Amuur v. Francia</w:t>
      </w:r>
      <w:r>
        <w:t xml:space="preserve">, 25 de junio de 1996, apartado 50, Repertorios 1996-III). El criterio de ‘legalidad’ establecido por el Convenio exige que toda ley debe ser suficientemente precisa para permitir a las personas —si procede, con el pertinente asesoramiento— prever, hasta un punto razonable en las circunstancias de cada caso, las consecuencias que pueden derivarse de un acto determinado (véase </w:t>
      </w:r>
      <w:r w:rsidRPr="00AC56D6">
        <w:rPr>
          <w:i/>
        </w:rPr>
        <w:t>Baranowski v. Polonia</w:t>
      </w:r>
      <w:r>
        <w:t xml:space="preserve">, núm. 28358/95, apartado 52, TEDH 2000-III; </w:t>
      </w:r>
      <w:r w:rsidRPr="00AC56D6">
        <w:rPr>
          <w:i/>
        </w:rPr>
        <w:t>M. v. Alemania</w:t>
      </w:r>
      <w:r>
        <w:t xml:space="preserve">, antes citada, apartado 90; y </w:t>
      </w:r>
      <w:r w:rsidRPr="00AC56D6">
        <w:rPr>
          <w:i/>
        </w:rPr>
        <w:t>Oshurko v. Ucrania</w:t>
      </w:r>
      <w:r>
        <w:t xml:space="preserve">, núm. 33108/05, apartado 98, 8 de septiembre de 2011). Cuando se trata de la privación de libertad, es primordial que la ley nacional defina claramente las condiciones de la misma (véase </w:t>
      </w:r>
      <w:r w:rsidRPr="00AC56D6">
        <w:rPr>
          <w:i/>
        </w:rPr>
        <w:t>Creangă v. Rumanía</w:t>
      </w:r>
      <w:r>
        <w:t xml:space="preserve"> [GS], núm. 29226/03, apartado 120, 23 de febrero de 2012)” (apartado 125) y concluía “el cumplimiento del requisito de previsibilidad debe ser evaluado en relación con la ‘ley’ en vigor a la fecha de dictarse la condena y durante el posterior período de privación de libertad… el Tribunal resuelve que en el momento en que la demandante fue sentenciada, cuando realizaba trabajos penitenciarios y cuando le fue notificada la decisión de aunar las condenas y fijar un período máximo de privación de libertad, ella no pudo haber previsto, razonablemente, que el método utilizado para aplicar la reducción de condenas por trabajo sufriría una alteración como consecuencia del cambio de jurisprudencia…” (apartado 130).</w:t>
      </w:r>
    </w:p>
    <w:p w:rsidR="00AC56D6" w:rsidRDefault="00AC56D6" w:rsidP="00AC56D6">
      <w:pPr>
        <w:pStyle w:val="TextoNormal"/>
      </w:pPr>
    </w:p>
    <w:p w:rsidR="00AC56D6" w:rsidRDefault="00AC56D6" w:rsidP="00AC56D6">
      <w:pPr>
        <w:pStyle w:val="TextoNormal"/>
      </w:pPr>
      <w:r w:rsidRPr="00AC56D6">
        <w:rPr>
          <w:rStyle w:val="NumeroAFNegritaCaracter"/>
        </w:rPr>
        <w:t>6</w:t>
      </w:r>
      <w:r>
        <w:t xml:space="preserve">. Corresponde ahora determinar si la selección de la norma aplicable al caso por las resoluciones judiciales impugnadas, y que condujo al resultado expuesto, resulta conforme al canon constitucional, integrado por los parámetros de razonabilidad, previsibilidad y </w:t>
      </w:r>
      <w:r w:rsidRPr="00AC56D6">
        <w:rPr>
          <w:i/>
        </w:rPr>
        <w:t>favor libertatis</w:t>
      </w:r>
      <w:r>
        <w:t>, pues “la interpretación más favorable no puede entenderse como la admisión de interpretaciones que por forzosas e imprevisibles violenten la literalidad, finalidad y racionalidad de la norma aplicada, con quiebra de la seguridad jurídica y de la previsibilidad de la ley” (STC 35/2014, de 27 de febrero, FJ 5).</w:t>
      </w:r>
    </w:p>
    <w:p w:rsidR="00AC56D6" w:rsidRDefault="00AC56D6" w:rsidP="00AC56D6">
      <w:pPr>
        <w:pStyle w:val="TextoNormal"/>
      </w:pPr>
    </w:p>
    <w:p w:rsidR="00AC56D6" w:rsidRDefault="00AC56D6" w:rsidP="00AC56D6">
      <w:pPr>
        <w:pStyle w:val="TextoNormal"/>
      </w:pPr>
      <w:r>
        <w:t>Hasta este momento se ha dejado constancia explicita de las razones dadas por las resoluciones judiciales impugnadas para aplicar el art. 58 CP en la redacción dada por la Ley Orgánica 5/2010, en su integridad, esto es, sobre la totalidad del tiempo en que, como hemos visto, el demandante simultaneó la condición de preso preventivo y de penado, pues en síntesis, la Sección Décima de la Audiencia Provincial de Barcelona fundó su razonamiento en la atribución a la reforma legal de la naturaleza de “aclaración”, llegando a afirmar que “tiene obviamente efectos retroactivos al tratarse de una simple mejora en la redacción del anterior art. 58”, mientras que la Sala de lo Penal del Tribunal Supremo, dando un paso más, que supone rechazar implícitamente la pretendida naturaleza aclaratoria de la reforma legal, fijó expresamente el momento para la aplicación de la ley nueva en el dictado de la sentencia, con base en que “es en ese momento en que se impone la condena cuando surge el derecho al abono”, y considera que otra cosa supondría reconocer “ultractividad” a la vieja doctrina.</w:t>
      </w:r>
    </w:p>
    <w:p w:rsidR="00AC56D6" w:rsidRDefault="00AC56D6" w:rsidP="00AC56D6">
      <w:pPr>
        <w:pStyle w:val="TextoNormal"/>
      </w:pPr>
    </w:p>
    <w:p w:rsidR="00AC56D6" w:rsidRDefault="00AC56D6" w:rsidP="00AC56D6">
      <w:pPr>
        <w:pStyle w:val="TextoNormal"/>
      </w:pPr>
      <w:r>
        <w:lastRenderedPageBreak/>
        <w:t xml:space="preserve">Respecto al momento en que debe ser aplicado el nuevo art. 58 CP, caben varias alternativas: a) el momento de cometer el hecho punible; b) el momento de iniciación de la condición de “interno mixto”; dentro de esta misma alternativa cabría distinguir según que la aplicación de la ley antigua debiera prolongarse durante todo el tiempo de permanencia de esta situación o bien sólo hasta la entrada en vigor de la ley nueva, lo que supondría reconocer la eficacia de esta última sólo respecto del tramo posterior a su entrada en vigor; c) la fecha de la sentencia, que admitiría, también, variantes, según se considere la fecha de su dictado, de su notificación o de su firmeza, momento, este último, en que nace el título jurídico que lleva a la ejecución de la pena </w:t>
      </w:r>
      <w:r w:rsidRPr="00AC56D6">
        <w:rPr>
          <w:i/>
        </w:rPr>
        <w:t>ex</w:t>
      </w:r>
      <w:r>
        <w:t xml:space="preserve"> art. 38 CP; d) el momento en que se practica o se aprueba la liquidación de condena, que es el momento en que, materialmente, se lleva a cabo la operación aritmética —de abono de la prisión provisional— de acuerdo con la norma legal.</w:t>
      </w:r>
    </w:p>
    <w:p w:rsidR="00AC56D6" w:rsidRDefault="00AC56D6" w:rsidP="00AC56D6">
      <w:pPr>
        <w:pStyle w:val="TextoNormal"/>
      </w:pPr>
    </w:p>
    <w:p w:rsidR="00AC56D6" w:rsidRDefault="00AC56D6" w:rsidP="00AC56D6">
      <w:pPr>
        <w:pStyle w:val="TextoNormal"/>
      </w:pPr>
      <w:r>
        <w:t>Lo primero en que ha de repararse, tal y como hace el Ministerio Fiscal, es en que las dos últimas alternativas apuntadas, pueden llevar a la aplicación o no del llamado sistema de doble cómputo por elementos completamente ajenos a dicha institución, como son el momento de enjuiciamiento, de firmeza de la sentencia y de práctica de la liquidación de condena, momentos que pueden cambiar enormemente según variadas circunstancias que van desde la sobrecarga de trabajo de los órganos judiciales a la interposición y desarrollo de recursos, y que constituyen, muchos de ellos, factores por completo ajenos al comportamiento de las personas luego condenadas. Desde la perspectiva de la previsibilidad, estas soluciones generan incertidumbre respecto del escenario normativo en cuya aplicación puede confiarse, pues la determinación de la normativa temporalmente aplicable queda al albur de un amplio elenco de circunstancias ajenas al ámbito de previsión y decisión del sujeto destinatario de la norma (v.gr. la fecha del señalamiento, la duración del juicio, o la interposición por otra de las partes de recursos de apelación o casación etc.).</w:t>
      </w:r>
    </w:p>
    <w:p w:rsidR="00AC56D6" w:rsidRDefault="00AC56D6" w:rsidP="00AC56D6">
      <w:pPr>
        <w:pStyle w:val="TextoNormal"/>
      </w:pPr>
    </w:p>
    <w:p w:rsidR="00AC56D6" w:rsidRDefault="00AC56D6" w:rsidP="00AC56D6">
      <w:pPr>
        <w:pStyle w:val="TextoNormal"/>
      </w:pPr>
      <w:r>
        <w:t>Recordamos que la parte demandante se refiere al momento de la comisión de los hechos por ser el momento más beneficioso para el reo, y cita pronunciamientos de la propia Sala de lo Penal del Tribunal Supremo, a los que también hicimos referencia en el fundamento jurídico tercero. En la instancia, el Ministerio Fiscal sostuvo la posibilidad de la aplicación de la regla del doble cómputo de prisión preventiva establecida en la STC 57/2008, matizando que si bien dicho cómputo doble sólo puede ser aplicado hasta el día 23 de diciembre de 2010, fecha en que fue reformado el art. 58 CP que excluyó dicha posibilidad.</w:t>
      </w:r>
    </w:p>
    <w:p w:rsidR="00AC56D6" w:rsidRDefault="00AC56D6" w:rsidP="00AC56D6">
      <w:pPr>
        <w:pStyle w:val="TextoNormal"/>
      </w:pPr>
    </w:p>
    <w:p w:rsidR="00AC56D6" w:rsidRDefault="00AC56D6" w:rsidP="00AC56D6">
      <w:pPr>
        <w:pStyle w:val="TextoNormal"/>
      </w:pPr>
      <w:r>
        <w:t xml:space="preserve">No hay duda de que la solución que considera la aplicación del principio </w:t>
      </w:r>
      <w:r w:rsidRPr="00AC56D6">
        <w:rPr>
          <w:i/>
        </w:rPr>
        <w:t>tempus delicti commissi</w:t>
      </w:r>
      <w:r>
        <w:t xml:space="preserve"> o de la ley vigente al momento de cometerse el delito, propio del Derecho penal material, resulta más favorable a la libertad personal del demandante. Desde las otras perspectivas consideradas, sin embargo, apuntamos que este criterio podría colisionar con la norma legal de que tratamos, pues desde la propia literalidad del art. 58.1 CP, no es el hecho delictivo, sino el hecho material del ingreso en prisión y la permanencia en esta situación lo que determina el abono. Dicho en otros términos, el presupuesto de hecho de la norma legal se compone de dos circunstancias que deben confluir: la situación de prisión preventiva y de ejecución de una pena de prisión. La situación definida por la norma se produce desde el momento en que se materializa la medida cautelar de prisión preventiva y coexiste con la de ejecución de la pena, solapándose y confundiéndose una con otra.</w:t>
      </w:r>
    </w:p>
    <w:p w:rsidR="00AC56D6" w:rsidRDefault="00AC56D6" w:rsidP="00AC56D6">
      <w:pPr>
        <w:pStyle w:val="TextoNormal"/>
      </w:pPr>
    </w:p>
    <w:p w:rsidR="00AC56D6" w:rsidRDefault="00AC56D6" w:rsidP="00AC56D6">
      <w:pPr>
        <w:pStyle w:val="TextoNormal"/>
      </w:pPr>
      <w:r>
        <w:lastRenderedPageBreak/>
        <w:t xml:space="preserve">Los hechos delictivos que actuaron como presupuesto de la medida cautelar </w:t>
      </w:r>
      <w:r w:rsidRPr="00AC56D6">
        <w:rPr>
          <w:i/>
        </w:rPr>
        <w:t>ex</w:t>
      </w:r>
      <w:r>
        <w:t xml:space="preserve"> art. 503 de la Ley de enjuiciamiento criminal (LECrim) sólo mantienen una relación mediata o indirecta con uno de los dos hechos contemplados, que, como veíamos, es el ingreso en prisión en la condición de preso preventivo, suceso este que, a su vez, obedece a una decisión judicial en la han de considerarse, además de tales “hechos delictivos”, otros muchos elementos y circunstancias, fácticas y jurídicas. Tampoco desde la perspectiva de la previsibilidad parece decisivo ese momento de comisión de los hechos, pues en tal instante y previamente al mismo resulta incierto para el sujeto destinatario de la norma y ajeno a su ámbito de decisión si se producirá y cuando la situación de prisión preventiva.</w:t>
      </w:r>
    </w:p>
    <w:p w:rsidR="00AC56D6" w:rsidRDefault="00AC56D6" w:rsidP="00AC56D6">
      <w:pPr>
        <w:pStyle w:val="TextoNormal"/>
      </w:pPr>
    </w:p>
    <w:p w:rsidR="00AC56D6" w:rsidRDefault="00AC56D6" w:rsidP="00AC56D6">
      <w:pPr>
        <w:pStyle w:val="TextoNormal"/>
      </w:pPr>
      <w:r>
        <w:t xml:space="preserve">La segunda posible solución, que hemos incluido bajo el epígrafe b), consiste en tomar en consideración la fecha en que la situación de “interno mixto” tiene efectivamente lugar, es decir, aquélla en la que se produce el comienzo efectivo de esa simultaneidad de las situaciones penitenciarias de preventivo y penado, pues tal, como decíamos, es el supuesto de hecho que justifica el reconocimiento del abono, </w:t>
      </w:r>
      <w:r w:rsidRPr="00AC56D6">
        <w:rPr>
          <w:i/>
        </w:rPr>
        <w:t>ex</w:t>
      </w:r>
      <w:r>
        <w:t xml:space="preserve"> art. 58.1 CP, en cualquiera de sus redacciones. Dentro de esta misma solución cabría distinguir dos alternativas según que la aplicación de la ley antigua debiera prolongarse durante todo el tiempo de permanencia de esta situación o bien sólo hasta la entrada en vigor de la ley nueva, lo que supondría reconocer la eficacia de esta última tan sólo respecto del tramo de la situación de “interno mixto” posterior a tal momento.</w:t>
      </w:r>
    </w:p>
    <w:p w:rsidR="00AC56D6" w:rsidRDefault="00AC56D6" w:rsidP="00AC56D6">
      <w:pPr>
        <w:pStyle w:val="TextoNormal"/>
      </w:pPr>
    </w:p>
    <w:p w:rsidR="00AC56D6" w:rsidRDefault="00AC56D6" w:rsidP="00AC56D6">
      <w:pPr>
        <w:pStyle w:val="TextoNormal"/>
      </w:pPr>
      <w:r>
        <w:t>El primer criterio, expansivo del antiguo art. 58.1 CP, llevaría a extender su eficacia más allá del 22 de diciembre de 2010, fecha del fin de la vigencia de la norma, de modo que abarque todo el periodo de confluencia de la situación de preventivo y de penado hasta la finalización de dicha situación, lo que apuntaría a la “ultraactividad” que rechaza la resolución impugnada.</w:t>
      </w:r>
    </w:p>
    <w:p w:rsidR="00AC56D6" w:rsidRDefault="00AC56D6" w:rsidP="00AC56D6">
      <w:pPr>
        <w:pStyle w:val="TextoNormal"/>
      </w:pPr>
    </w:p>
    <w:p w:rsidR="00AC56D6" w:rsidRDefault="00AC56D6" w:rsidP="00AC56D6">
      <w:pPr>
        <w:pStyle w:val="TextoNormal"/>
      </w:pPr>
      <w:r>
        <w:t>El segundo criterio que, como anticipábamos, fue el que sostuvo el Ministerio Fiscal en la instancia, defiende la aplicación de la ley antigua sólo hasta la entrada en vigor de la nueva, lo que supondría la aplicación de esta última al tramo —de simultaneidad de la situaciones de prisión preventiva y cumplimiento de la pena— posterior a su entrada en vigor, mientras que el tramo anterior quedaría regido por la ley antigua, con aplicación en este periodo de tiempo de la doctrina del “doble cómputo”.</w:t>
      </w:r>
    </w:p>
    <w:p w:rsidR="00AC56D6" w:rsidRDefault="00AC56D6" w:rsidP="00AC56D6">
      <w:pPr>
        <w:pStyle w:val="TextoNormal"/>
      </w:pPr>
    </w:p>
    <w:p w:rsidR="00AC56D6" w:rsidRDefault="00AC56D6" w:rsidP="00AC56D6">
      <w:pPr>
        <w:pStyle w:val="TextoNormal"/>
      </w:pPr>
      <w:r>
        <w:t>En la medida en que la situación de “interno mixto” es en sí misma una situación que se prolonga en el tiempo y que admite modulaciones y cambios, al poder variar la circunstancias fácticas (v.gr. excarcelación, evasión, pase a la situación de penado en aquella causa en la que se estuvo preventivo, etc.), ni el principio de irretroactividad ni la exigencia de previsibilidad (art. 9.3 CE) parecen oponerse a la variación de la norma que resulte aplicable a cada periodo, circunscrita su eficacia, por tanto, al tramo o fracción de tiempo en que se encuentre vigente.</w:t>
      </w:r>
    </w:p>
    <w:p w:rsidR="00AC56D6" w:rsidRDefault="00AC56D6" w:rsidP="00AC56D6">
      <w:pPr>
        <w:pStyle w:val="TextoNormal"/>
      </w:pPr>
    </w:p>
    <w:p w:rsidR="00AC56D6" w:rsidRDefault="00AC56D6" w:rsidP="00AC56D6">
      <w:pPr>
        <w:pStyle w:val="TextoNormal"/>
      </w:pPr>
      <w:r w:rsidRPr="00AC56D6">
        <w:rPr>
          <w:rStyle w:val="NumeroAFNegritaCaracter"/>
        </w:rPr>
        <w:t>7</w:t>
      </w:r>
      <w:r>
        <w:t xml:space="preserve">. Las consideraciones anteriores sobre la naturaleza del presupuesto de hecho de la norma legal, conducen a sentar que el cómputo del doble abono se genera momento a momento —por días completos en nuestra práctica penal y penitenciaria—, a medida que la situación se hubiera prolongado en el tiempo. Debe tenerse en cuenta que durante gran parte de este periodo en que el demandante simultaneó la condición de preso preventivo y penado, la reforma legal no había entrado en vigor. Durante esa fase o tramo, anterior a la entrada </w:t>
      </w:r>
      <w:r>
        <w:lastRenderedPageBreak/>
        <w:t>en vigor de dicha modificación, podía albergar el demandante la razonable expectativa, fundada en la vigencia de una norma legal y de una doctrina interpretativa de este Tribunal, de que el tiempo “pasado” en prisión provisional le seria abonado para el cumplimiento de la pena, expectativa que sólo se desvaneció en el momento en que entró en vigor la modificación normativa. Es decir, hasta ese momento pudo el interesado prever de modo razonable, utilizando las palabras empleadas por el Tribunal Europeo de Derechos Humanos, que la situación de prisión preventiva que estaba sufriendo le sería abonada.</w:t>
      </w:r>
    </w:p>
    <w:p w:rsidR="00AC56D6" w:rsidRDefault="00AC56D6" w:rsidP="00AC56D6">
      <w:pPr>
        <w:pStyle w:val="TextoNormal"/>
      </w:pPr>
    </w:p>
    <w:p w:rsidR="00AC56D6" w:rsidRDefault="00AC56D6" w:rsidP="00AC56D6">
      <w:pPr>
        <w:pStyle w:val="TextoNormal"/>
      </w:pPr>
      <w:r>
        <w:t xml:space="preserve">La modificación legislativa no supone desconocer los beneficios de doble abono ya generados —“adquiridos”, según la expresión contenida en la STC 31/1999, de 8 de marzo, FJ 6, en relación con los beneficios de redención de penas por el trabajo—, ni implica tampoco la aplicación de la norma derogada hacia el futuro, en que el que el precepto ya no se encuentra vigente; y no merma unas expectativas que habrían desaparecido. Este entendimiento acorde con el espíritu de la norma, excluye la “ultractividad” a que se refiere la resolución judicial inmediatamente impugnada, y se ajusta a las exigencias de previsibilidad, a la luz de la doctrina del Tribunal Europeo de Derechos Humanos, y al principio </w:t>
      </w:r>
      <w:r w:rsidRPr="00AC56D6">
        <w:rPr>
          <w:i/>
        </w:rPr>
        <w:t>favor libertatis</w:t>
      </w:r>
      <w:r>
        <w:t>.</w:t>
      </w:r>
    </w:p>
    <w:p w:rsidR="00AC56D6" w:rsidRDefault="00AC56D6" w:rsidP="00AC56D6">
      <w:pPr>
        <w:pStyle w:val="TextoNormal"/>
      </w:pPr>
    </w:p>
    <w:p w:rsidR="00AC56D6" w:rsidRDefault="00AC56D6" w:rsidP="00AC56D6">
      <w:pPr>
        <w:pStyle w:val="TextoNormal"/>
      </w:pPr>
      <w:r>
        <w:t xml:space="preserve">La consecuencia de cuanto llevamos expuesto es que las resoluciones impugnadas han optado en el supuesto examinado por una interpretación que no cumple con los parámetros constitucionales de razonabilidad, previsibilidad y </w:t>
      </w:r>
      <w:r w:rsidRPr="00AC56D6">
        <w:rPr>
          <w:i/>
        </w:rPr>
        <w:t>favor libertatis</w:t>
      </w:r>
      <w:r>
        <w:t>, lo que nos lleva al otorgamiento del amparo por haber vulnerado el derecho del recurrente a la libertad personal (art. 17.1 CE). En efecto, el demandante de amparo se encontró en la situación de prisión preventiva y simultáneo cumplimiento de una condena de prisión, por una pena impuesta en otra causa distinta, desde el 7 de enero de 2010 hasta el 8 de marzo de 2011 (un total de 426 días). Durante este periodo de tiempo tuvo lugar la modificación del art. 58 CP que entró en vigor el 22 de diciembre de 2010. Únicamente a partir de dicha fecha le resultaba aplicable la nueva redacción, por lo que, en cuanto al tramo anterior debió aplicarse el criterio sentado en la STC 57/2008.</w:t>
      </w:r>
    </w:p>
    <w:p w:rsidR="00AC56D6" w:rsidRDefault="00AC56D6" w:rsidP="00AC56D6">
      <w:pPr>
        <w:pStyle w:val="TextoNormal"/>
      </w:pPr>
    </w:p>
    <w:p w:rsidR="00AC56D6" w:rsidRDefault="00AC56D6" w:rsidP="00AC56D6">
      <w:pPr>
        <w:pStyle w:val="TextoNormal"/>
      </w:pPr>
      <w:r>
        <w:t>La interpretación según la cual no era en procedente el abono de ningún periodo o fracción del tiempo de prisión preventiva, no se ajusta a los criterios precedentemente señalados, por lo que no resulta respetuosa del derecho fundamental a la libertad personal que reconoce el art. 17.1 CE.</w:t>
      </w:r>
    </w:p>
    <w:p w:rsidR="00AC56D6" w:rsidRDefault="00AC56D6" w:rsidP="00AC56D6">
      <w:pPr>
        <w:pStyle w:val="TextoNormal"/>
      </w:pPr>
    </w:p>
    <w:p w:rsidR="00AC56D6" w:rsidRDefault="00AC56D6" w:rsidP="00AC56D6">
      <w:pPr>
        <w:pStyle w:val="TextoNormal"/>
      </w:pPr>
      <w:r w:rsidRPr="00AC56D6">
        <w:rPr>
          <w:rStyle w:val="NumeroAFNegritaCaracter"/>
        </w:rPr>
        <w:t>8</w:t>
      </w:r>
      <w:r>
        <w:t>. Los razonamientos expuestos, de conformidad con el art. 55.1 de la Ley Orgánica del Tribunal Constitucional (LOTC), conducen a estimar el recurso de amparo por vulneración del art. 17.1 CE, y a anular las resoluciones judiciales impugnadas, retrotrayendo las actuaciones al momento anterior a la aprobación de la liquidación de condena para que se dicte nueva resolución con respeto al derecho fundamental reconocido.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lastRenderedPageBreak/>
        <w:t>Ha decidido</w:t>
      </w:r>
    </w:p>
    <w:p w:rsidR="00AC56D6" w:rsidRDefault="00AC56D6" w:rsidP="00AC56D6">
      <w:pPr>
        <w:pStyle w:val="TextoNormalCentrado"/>
        <w:keepNext/>
      </w:pPr>
    </w:p>
    <w:p w:rsidR="00AC56D6" w:rsidRDefault="00AC56D6" w:rsidP="00AC56D6">
      <w:pPr>
        <w:pStyle w:val="TextoNormal"/>
      </w:pPr>
      <w:r>
        <w:t>Estimar el recurso de amparo interpuesto por don Ismael Acuña Asensio y, en su virtud:</w:t>
      </w:r>
    </w:p>
    <w:p w:rsidR="00AC56D6" w:rsidRDefault="00AC56D6" w:rsidP="00AC56D6">
      <w:pPr>
        <w:pStyle w:val="TextoNormal"/>
      </w:pPr>
    </w:p>
    <w:p w:rsidR="00AC56D6" w:rsidRDefault="00AC56D6" w:rsidP="00AC56D6">
      <w:pPr>
        <w:pStyle w:val="TextoNormal"/>
      </w:pPr>
      <w:r>
        <w:t>1º Declarar vulnerado el derecho del recurrente en amparo a la libertad personal (art. 17.1 CE).</w:t>
      </w:r>
    </w:p>
    <w:p w:rsidR="00AC56D6" w:rsidRDefault="00AC56D6" w:rsidP="00AC56D6">
      <w:pPr>
        <w:pStyle w:val="TextoNormal"/>
      </w:pPr>
    </w:p>
    <w:p w:rsidR="00AC56D6" w:rsidRDefault="00AC56D6" w:rsidP="00AC56D6">
      <w:pPr>
        <w:pStyle w:val="TextoNormal"/>
      </w:pPr>
      <w:r>
        <w:t>2º Restablecer su derecho y, a tal fin, anular el Auto de 24 de enero de 2013, dictado por la Sala Segunda del Tribunal Supremo en el recurso de casación núm. 11017-2012, así como los Autos de 21 de diciembre de 2011 y 8 de noviembre de 2011 que mantuvieron inalterada la liquidación de condena practicada el 29 de marzo de 2011, resoluciones de la Sección Décima de la Audiencia Provincial de Barcelona recaídas en la ejecutoria núm. 35-2011.</w:t>
      </w:r>
    </w:p>
    <w:p w:rsidR="00AC56D6" w:rsidRDefault="00AC56D6" w:rsidP="00AC56D6">
      <w:pPr>
        <w:pStyle w:val="TextoNormal"/>
      </w:pPr>
    </w:p>
    <w:p w:rsidR="00AC56D6" w:rsidRDefault="00AC56D6" w:rsidP="00AC56D6">
      <w:pPr>
        <w:pStyle w:val="TextoNormal"/>
      </w:pPr>
      <w:r>
        <w:t>3º Retrotraer las actuaciones al momento anterior al de dictarse el Auto de 8 de noviembre de 2011 para que se dicte nueva resolución de liquidación de condena respetuosa con el derecho fundamental vulnerado.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catorce de diciembre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18" w:name="SENTENCIA_2015_262"/>
      <w:r>
        <w:lastRenderedPageBreak/>
        <w:t>SENTENCIA 262/2015, de 14 de diciembre de 2015</w:t>
      </w:r>
    </w:p>
    <w:bookmarkEnd w:id="118"/>
    <w:p w:rsidR="00AC56D6" w:rsidRDefault="00AC56D6" w:rsidP="00AC56D6">
      <w:pPr>
        <w:pStyle w:val="TtuloResolucin"/>
      </w:pPr>
      <w:r>
        <w:t>Sala Primera</w:t>
      </w:r>
    </w:p>
    <w:p w:rsidR="00AC56D6" w:rsidRDefault="00AC56D6" w:rsidP="00AC56D6">
      <w:pPr>
        <w:pStyle w:val="TtuloBOE"/>
      </w:pPr>
      <w:r>
        <w:t>(BOE núm. 19, de 22 de enero de 2016)</w:t>
      </w:r>
    </w:p>
    <w:p w:rsidR="00AC56D6" w:rsidRDefault="00AC56D6" w:rsidP="00AC56D6">
      <w:pPr>
        <w:pStyle w:val="TextoNormalCentrado"/>
      </w:pPr>
      <w:r>
        <w:t>ECLI:ES:TC:2015:262</w:t>
      </w:r>
    </w:p>
    <w:p w:rsidR="00AC56D6" w:rsidRDefault="00AC56D6" w:rsidP="00AC56D6">
      <w:pPr>
        <w:pStyle w:val="TextoNormalCentrado"/>
      </w:pPr>
    </w:p>
    <w:p w:rsidR="00AC56D6" w:rsidRDefault="00AC56D6" w:rsidP="00AC56D6">
      <w:pPr>
        <w:pStyle w:val="SntesisDescriptiva"/>
      </w:pPr>
      <w:r>
        <w:t>Recurso de amparo 1889-2013. Promovido por doña María Aranzazu Alberdi Echenique en relación con la Sentencia de la Sala de lo Contencioso-Administrativo del Tribunal Superior de Justicia del País Vasco que desestimó su impugnación sobre liquidación del impuesto sobre el patrimonio.</w:t>
      </w:r>
    </w:p>
    <w:p w:rsidR="00AC56D6" w:rsidRDefault="00AC56D6" w:rsidP="00AC56D6">
      <w:pPr>
        <w:pStyle w:val="SntesisDescriptiva"/>
      </w:pPr>
    </w:p>
    <w:p w:rsidR="00AC56D6" w:rsidRDefault="00AC56D6" w:rsidP="00AC56D6">
      <w:pPr>
        <w:pStyle w:val="SntesisAnaltica"/>
      </w:pPr>
      <w:r>
        <w:t>Vulneración del derecho a la tutela judicial efectiva (resolución fundada en Derecho): Sentencia que no entra a conocer de los vicios de inconstitucionalidad imputados a una norma foral, ni plantea cuestión prejudicial de validez ante el Tribunal Constitucional, fundándose en la falta de jurisdicción del órgano sentenciador para examinar la validez de las normas forales fiscales (STC 222/2015).</w:t>
      </w:r>
    </w:p>
    <w:p w:rsidR="00AC56D6" w:rsidRDefault="00AC56D6" w:rsidP="00AC56D6">
      <w:pPr>
        <w:pStyle w:val="SntesisAnaltica"/>
      </w:pPr>
    </w:p>
    <w:p w:rsidR="00AC56D6" w:rsidRDefault="00AC56D6" w:rsidP="00AC56D6">
      <w:pPr>
        <w:pStyle w:val="Extracto"/>
      </w:pPr>
      <w:r>
        <w:t>1.</w:t>
      </w:r>
      <w:r>
        <w:tab/>
        <w:t>Asunto sustancialmente idéntico al resuelto por la STC 222/2015 [FFJJ 2 a 4].</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amparo núm. 1889-2013, promovido por doña María Aranzazu Alberdi Echenique, representada por el Procurador de los Tribunales don Ramiro Reynolds Martínez, bajo la dirección de la Letrada doña Trinidad Primo Varona, contra la Sentencia núm. 819/2012 de la Sección Primera de la Sala de lo Contencioso-Administrativo del Tribunal Superior de Justicia del País Vasco de fecha 5 de noviembre de 2012, por la que se desestima el recurso contencioso-administrativo núm. 658-2011 interpuesto contra el acuerdo del Tribunal Económico-Administrativo Foral de Guipúzcoa de fecha 27 de enero de 2011, desestimatorio, a su vez, de la reclamación económico-administrativa núm. 239-2010 promovida contra el acuerdo del Servicio de gestión de impuestos directos de fecha 10 de febrero de 2010, que rechazaba la solicitud de rectificación de la autoliquidación formulada por el impuesto sobre el patrimonio correspondiente al ejercicio 2008. Han intervenido la Procuradora de los Tribunales doña Rocío Martín Echagüe, en nombre y representación de la Excma. Diputación Foral de Guipúzcoa, y el Ministerio Fiscal. Ha sido Ponente la Magistrada doña Encarnación Roca Trías, quien expresa el parecer de la Sala.</w:t>
      </w:r>
    </w:p>
    <w:p w:rsidR="00AC56D6" w:rsidRDefault="00AC56D6" w:rsidP="00AC56D6">
      <w:pPr>
        <w:pStyle w:val="TextoNormal"/>
      </w:pPr>
    </w:p>
    <w:p w:rsidR="00AC56D6" w:rsidRDefault="00AC56D6" w:rsidP="00AC56D6">
      <w:pPr>
        <w:pStyle w:val="TextoNormalNegritaCentrado"/>
        <w:keepNext/>
      </w:pPr>
      <w:r>
        <w:lastRenderedPageBreak/>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Por escrito registrado en este Tribunal el día 27 de marzo de 2013, don Ramiro Reynolds Martínez, Procurador de los Tribunales, en nombre y representación de doña María Aranzazu Alberdi Echenique, interpuso un recurso de amparo contra la resolución judicial que se indica en el encabezamiento de esta Sentencia. Los hechos de los que trae causa la demanda de amparo son, en síntesis, los siguientes:</w:t>
      </w:r>
    </w:p>
    <w:p w:rsidR="00AC56D6" w:rsidRDefault="00AC56D6" w:rsidP="00AC56D6">
      <w:pPr>
        <w:pStyle w:val="TextoNormal"/>
      </w:pPr>
    </w:p>
    <w:p w:rsidR="00AC56D6" w:rsidRDefault="00AC56D6" w:rsidP="00AC56D6">
      <w:pPr>
        <w:pStyle w:val="TextoNormal"/>
      </w:pPr>
      <w:r>
        <w:t>a) La recurrente, residente en Guipúzcoa, presentó la autoliquidación del impuesto sobre el patrimonio correspondiente al ejercicio 2008, instando a continuación su rectificación con solicitud de devolución del importe ingresado, al considerar que puesto que la obligación de contribuir por el citado tributo había sido suprimida en el resto del Estado, incluidos los territorios forales de Vizcaya y Álava, la normativa foral que daba cobertura a su obligación tributaria (la Norma Foral de Guipúzcoa 14-1991) había devenido ilegal, al discriminar a los residentes en el territorio de Guipúzcoa, obligándoles a soportar una obligación tributaria que era inexistente en el resto del territorio nacional (por obra de la Ley 4/2008, de 23 de diciembre).</w:t>
      </w:r>
    </w:p>
    <w:p w:rsidR="00AC56D6" w:rsidRDefault="00AC56D6" w:rsidP="00AC56D6">
      <w:pPr>
        <w:pStyle w:val="TextoNormal"/>
      </w:pPr>
    </w:p>
    <w:p w:rsidR="00AC56D6" w:rsidRDefault="00AC56D6" w:rsidP="00AC56D6">
      <w:pPr>
        <w:pStyle w:val="TextoNormal"/>
      </w:pPr>
      <w:r>
        <w:t>b) Con fecha de 10 de febrero de 2010 se dictó acuerdo por el Servicio de gestión de impuestos directos de la Hacienda Foral de Guipúzcoa rechazando tanto la rectificación promovida como la devolución solicitada.</w:t>
      </w:r>
    </w:p>
    <w:p w:rsidR="00AC56D6" w:rsidRDefault="00AC56D6" w:rsidP="00AC56D6">
      <w:pPr>
        <w:pStyle w:val="TextoNormal"/>
      </w:pPr>
    </w:p>
    <w:p w:rsidR="00AC56D6" w:rsidRDefault="00AC56D6" w:rsidP="00AC56D6">
      <w:pPr>
        <w:pStyle w:val="TextoNormal"/>
      </w:pPr>
      <w:r>
        <w:t>c) Contra el anterior acuerdo se presentó una reclamación económico-administrativa ante el Tribunal Económico-Administrativo Foral de Guipúzcoa (núm. 239-2010) quien la desestimó por resolución de fecha 27 de enero de 2011.</w:t>
      </w:r>
    </w:p>
    <w:p w:rsidR="00AC56D6" w:rsidRDefault="00AC56D6" w:rsidP="00AC56D6">
      <w:pPr>
        <w:pStyle w:val="TextoNormal"/>
      </w:pPr>
    </w:p>
    <w:p w:rsidR="00AC56D6" w:rsidRDefault="00AC56D6" w:rsidP="00AC56D6">
      <w:pPr>
        <w:pStyle w:val="TextoNormal"/>
      </w:pPr>
      <w:r>
        <w:t>d) Contra la anterior resolución, se interpuso un recurso contencioso-administrativo (núm. 658-2011) ante la Sala de lo Contencioso-Administrativo del Tribunal Superior de Justicia del País Vasco, quien por Sentencia núm. 819/2012, de 5 de noviembre de 2012 de su Sección Primera, acordó desestimar el recurso, al considerar que carecía de la competencia necesaria para pronunciarse sobre su objeto, en la medida que la disposición adicional quinta de la Ley Orgánica 2/1979, de 3 de octubre, del Tribunal Constitucional (en la redacción dada por la Ley Orgánica 1/2010), había atribuido al Tribunal Constitucional el conocimiento de los recursos interpuestos contra las normas forales fiscales. A juicio del órgano judicial, aunque es competente para conocer de los recursos contra los actos administrativos y de revisión económico-administrativa, sin embargo, no puede enjuiciar la validez de las normas forales fiscales de forma indirecta ni adoptar pronunciamientos anulatorios de los actos de aplicación con fundamento en la invalidez de tales normas. Y puesto que la parte recurrente invoca la vulneración, por la Norma Foral reguladora del impuesto sobre el patrimonio, del derecho a la igualdad de los arts. 14 y 31.1, ambos de la Constitución, fruto de la diferencia territorial de trato que genera, dicho planteamiento es ajeno a la jurisdicción contencioso-administrativa que carece, por cualquier medio o procedimiento, de la potestad de conocer de pretensiones en contra de normas forales fiscales. Y, por los mismos motivos, rechaza el órgano judicial el planteamiento de una cuestión de inconstitucionalidad sobre la norma foral controvertida.</w:t>
      </w:r>
    </w:p>
    <w:p w:rsidR="00AC56D6" w:rsidRDefault="00AC56D6" w:rsidP="00AC56D6">
      <w:pPr>
        <w:pStyle w:val="TextoNormal"/>
      </w:pPr>
    </w:p>
    <w:p w:rsidR="00AC56D6" w:rsidRDefault="00AC56D6" w:rsidP="00AC56D6">
      <w:pPr>
        <w:pStyle w:val="TextoNormal"/>
      </w:pPr>
      <w:r>
        <w:t xml:space="preserve">e) Promovido un incidente de nulidad de actuaciones contra la anterior Sentencia al considerar la parte recurrente que se había vulnerado su derecho a la tutela judicial efectiva ante </w:t>
      </w:r>
      <w:r>
        <w:lastRenderedPageBreak/>
        <w:t xml:space="preserve">la negativa del órgano judicial al planteamiento de la cuestión de inconstitucionalidad, se desestimó mediante Auto de fecha 25 de enero de 2013 al considerar que la pretensión de planteamiento de la citada cuestión carecía de todo fundamento legítimo, pues aspiraba a imponer el ejercicio de una facultad atribuida a los Jueces y Tribunales por el art. 5.2 de la Ley Orgánica 6/1985, de 1 de julio. Para el órgano judicial, el control de la legalidad de la actuación administrativa no pasaba necesariamente por el juicio de constitucionalidad de la norma aplicable al caso. No obstante, precisa, no es que la Sala no haya tenido en cuenta el planteamiento de una eventual cuestión de inconstitucionalidad sobre la Norma Foral de Guipúzcoa 14/1991, sino que ha entendido “que los motivos y pretensiones de la recurrente no abocaban a suscitar tal cuestión, sino a la inaplicación directa de aquella norma, razón por la cual no estimamos necesario plantearnos el recurso </w:t>
      </w:r>
      <w:r w:rsidRPr="00AC56D6">
        <w:rPr>
          <w:i/>
        </w:rPr>
        <w:t>ad casum</w:t>
      </w:r>
      <w:r>
        <w:t xml:space="preserve"> al citado mecanismo de control indirecto de la validez de las normas legales lo que, además, presuponía —negativamente— que no había ninguna razón o motivo para dudar de la conformidad de la precitada norma fiscal con el llamado bloque de constitucionalidad”.</w:t>
      </w:r>
    </w:p>
    <w:p w:rsidR="00AC56D6" w:rsidRDefault="00AC56D6" w:rsidP="00AC56D6">
      <w:pPr>
        <w:pStyle w:val="TextoNormal"/>
      </w:pPr>
    </w:p>
    <w:p w:rsidR="00AC56D6" w:rsidRDefault="00AC56D6" w:rsidP="00AC56D6">
      <w:pPr>
        <w:pStyle w:val="TextoNormal"/>
      </w:pPr>
      <w:r w:rsidRPr="00AC56D6">
        <w:rPr>
          <w:rStyle w:val="NumeroAFNegritaCaracter"/>
        </w:rPr>
        <w:t>2</w:t>
      </w:r>
      <w:r>
        <w:t>. La recurrente en amparo imputa a la resolución judicial impugnada la vulneración del derecho a la tutela judicial efectiva (art. 24.1 CE) por falta de motivación, por arbitrariedad y por haberle causado indefensión, al habérsele negado el planteamiento de la cuestión de inconstitucionalidad solicitada, sin un solo argumento, impidiéndosele con ello el derecho a obtener una resolución sobre el fondo del asunto. Para la recurrente, la Sentencia niega el planteamiento de la cuestión de inconstitucionalidad sin fundamentación alguna, cuando lo cierto es que su planteamiento no es una cuestión discrecional para el órgano judicial cuando el fallo del litigio dependa de la validez de la norma aplicada. Al haber rechazado apriorística e inmotivadamente el planteamiento solicitado, la decisión del órgano judicial ha incurrido en arbitrariedad causándole indefensión, sobre todo porque la pretensión esgrimida se dirigía precisamente a que la Sala ejerciese su jurisdicción, en el marco de las atribuciones que le corresponden, entrando a valorar circunstanciadamente la procedencia o no de plantear la cuestión de inconstitucionalidad, tras un análisis sustantivo, adoptando a continuación una decisión fundada, favorable o no a dicho planteamiento. Sin embargo, la sentencia incurre en arbitrariedad cuando reconoce su propia incompetencia para resolver sobre la nulidad de la norma aplicada y, no obstante ello, rechaza suscitar la pretendida cuestión dejando de este modo al recurso privado de todo objeto o contenido.</w:t>
      </w:r>
    </w:p>
    <w:p w:rsidR="00AC56D6" w:rsidRDefault="00AC56D6" w:rsidP="00AC56D6">
      <w:pPr>
        <w:pStyle w:val="TextoNormal"/>
      </w:pPr>
    </w:p>
    <w:p w:rsidR="00AC56D6" w:rsidRDefault="00AC56D6" w:rsidP="00AC56D6">
      <w:pPr>
        <w:pStyle w:val="TextoNormal"/>
      </w:pPr>
      <w:r>
        <w:t>Finalmente, la demandante de amparo precisa que, para evitar reiteraciones inútiles, en orden a justificar la invalidez sobrevenida de la Norma Foral de Guipúzcoa 14/1991, de 27 de diciembre, reguladora del impuesto sobre el patrimonio, por vulneración del art. 2 de la Ley 12/2002, del concierto económico, y del art. 41.2 c) de la Ley Orgánica 3/1979, del Estatuto de Autonomía del País Vasco, se remite a lo manifestado en el cuerpo del escrito del recurso contencioso-administrativo.</w:t>
      </w:r>
    </w:p>
    <w:p w:rsidR="00AC56D6" w:rsidRDefault="00AC56D6" w:rsidP="00AC56D6">
      <w:pPr>
        <w:pStyle w:val="TextoNormal"/>
      </w:pPr>
    </w:p>
    <w:p w:rsidR="00AC56D6" w:rsidRDefault="00AC56D6" w:rsidP="00AC56D6">
      <w:pPr>
        <w:pStyle w:val="TextoNormal"/>
      </w:pPr>
      <w:r>
        <w:t>En virtud de lo anterior, solicita la recurrente en amparo que se estime el recurso, se le reconozca su derecho a la tutela judicial efectiva y, de conformidad con el art. 55.2 de la Ley Orgánica del Tribunal Constitucional (LOTC), se eleve al Pleno del Tribunal Constitucional una cuestión de inconstitucionalidad contra la Norma Foral 14/1991, de 27 de diciembre, reguladora del impuesto sobre el patrimonio, o, subsidiariamente, se anule y deje sin efecto la Sentencia dictada con retroacción de las actuaciones al momento anterior al dictado de la Sentencia para que por la Sala juzgadora se eleve una cuestión de inconstitucionalidad respecto de la norma foral identificada.</w:t>
      </w:r>
    </w:p>
    <w:p w:rsidR="00AC56D6" w:rsidRDefault="00AC56D6" w:rsidP="00AC56D6">
      <w:pPr>
        <w:pStyle w:val="TextoNormal"/>
      </w:pPr>
    </w:p>
    <w:p w:rsidR="00AC56D6" w:rsidRDefault="00AC56D6" w:rsidP="00AC56D6">
      <w:pPr>
        <w:pStyle w:val="TextoNormal"/>
      </w:pPr>
      <w:r w:rsidRPr="00AC56D6">
        <w:rPr>
          <w:rStyle w:val="NumeroAFNegritaCaracter"/>
        </w:rPr>
        <w:t>3</w:t>
      </w:r>
      <w:r>
        <w:t>. Por providencia con fecha de 7 de julio de 2014, la Sala Primera de este Tribunal acordó la admisión a trámite del recurso de amparo. Asimismo, y en aplicación de lo previsto en el art. 51 de la Ley Orgánica de este Tribunal, acordó dirigir comunicación a la Sala de lo Contencioso-Administrativo del Tribunal Superior de Justicia del País Vasco a fin de que, en el plazo de diez días, remitiese certificación o fotocopia adverada de las actuaciones correspondientes al recurso contencioso-administrativo núm. 658-2011, interesándose al mismo tiempo que se emplazara a quienes hubiesen sido parte en el procedimiento, excepto a la parte recurrente en amparo, para que en el plazo de diez días pudieran comparecer ante este Tribunal si así lo desearan. Igualmente, se acordó dirigir atenta comunicación al Tribunal Económico-Administrativo Foral de Guipúzcoa a fin de que, en el plazo de diez días, remitiese certificación o fotocopia adverada de las actuaciones correspondientes al expediente administrativo que dio lugar al acuerdo núm. 29.694, de 27 de enero de 2011, que desestima la reclamación económico-administrativa núm. 2010-0239.</w:t>
      </w:r>
    </w:p>
    <w:p w:rsidR="00AC56D6" w:rsidRDefault="00AC56D6" w:rsidP="00AC56D6">
      <w:pPr>
        <w:pStyle w:val="TextoNormal"/>
      </w:pPr>
    </w:p>
    <w:p w:rsidR="00AC56D6" w:rsidRDefault="00AC56D6" w:rsidP="00AC56D6">
      <w:pPr>
        <w:pStyle w:val="TextoNormal"/>
      </w:pPr>
      <w:r w:rsidRPr="00AC56D6">
        <w:rPr>
          <w:rStyle w:val="NumeroAFNegritaCaracter"/>
        </w:rPr>
        <w:t>4</w:t>
      </w:r>
      <w:r>
        <w:t>. Por escrito presentado en el Registro General de este Tribunal el día 9 de septiembre de 2014, la Procuradora de los Tribunales doña Rocío Martín Echagüe, actuando en nombre y representación de la Excma. Diputación Foral de Guipúzcoa, solicitó que se la tuviese por comparecida en el presente proceso constitucional en la representación citada.</w:t>
      </w:r>
    </w:p>
    <w:p w:rsidR="00AC56D6" w:rsidRDefault="00AC56D6" w:rsidP="00AC56D6">
      <w:pPr>
        <w:pStyle w:val="TextoNormal"/>
      </w:pPr>
    </w:p>
    <w:p w:rsidR="00AC56D6" w:rsidRDefault="00AC56D6" w:rsidP="00AC56D6">
      <w:pPr>
        <w:pStyle w:val="TextoNormal"/>
      </w:pPr>
      <w:r w:rsidRPr="00AC56D6">
        <w:rPr>
          <w:rStyle w:val="NumeroAFNegritaCaracter"/>
        </w:rPr>
        <w:t>5</w:t>
      </w:r>
      <w:r>
        <w:t>. Mediante diligencia de ordenación con fecha de 11 de septiembre de 2014, la Sala Primera de este Tribunal acordó tener por personada y parte en nombre y representación de la Excma. Diputación Foral de Guipúzcoa a la Procuradora de los Tribunales doña Rocío Martín Echagüe (a los solos efectos de evacuar el trámite de alegaciones del art. 52 LOTC), así como dar vista de las actuaciones recibidas a las partes personadas y al Ministerio Fiscal, por plazo común de veinte días, para que, conforme determina el art. 52.1 de la Ley Orgánica de este Tribunal, presentasen las alegaciones que a su derecho convinieren.</w:t>
      </w:r>
    </w:p>
    <w:p w:rsidR="00AC56D6" w:rsidRDefault="00AC56D6" w:rsidP="00AC56D6">
      <w:pPr>
        <w:pStyle w:val="TextoNormal"/>
      </w:pPr>
    </w:p>
    <w:p w:rsidR="00AC56D6" w:rsidRDefault="00AC56D6" w:rsidP="00AC56D6">
      <w:pPr>
        <w:pStyle w:val="TextoNormal"/>
      </w:pPr>
      <w:r w:rsidRPr="00AC56D6">
        <w:rPr>
          <w:rStyle w:val="NumeroAFNegritaCaracter"/>
        </w:rPr>
        <w:t>6</w:t>
      </w:r>
      <w:r>
        <w:t>. Mediante escrito registrado en este Tribunal el día 13 de octubre de 2014, doña María Aranzazu Alberdi Echenique, representada por el Procurador don Ramiro Reynolds Martínez y defendida por la Letrada doña Trinidad Primo Varona, evacuó el trámite de alegaciones conferido, suplicando se dictase Sentencia estimatoria del amparo pretendido, insistiendo para ello en los mismos argumentos que es su escrito de demanda.</w:t>
      </w:r>
    </w:p>
    <w:p w:rsidR="00AC56D6" w:rsidRDefault="00AC56D6" w:rsidP="00AC56D6">
      <w:pPr>
        <w:pStyle w:val="TextoNormal"/>
      </w:pPr>
    </w:p>
    <w:p w:rsidR="00AC56D6" w:rsidRDefault="00AC56D6" w:rsidP="00AC56D6">
      <w:pPr>
        <w:pStyle w:val="TextoNormal"/>
      </w:pPr>
      <w:r>
        <w:t xml:space="preserve">Además, la parte actora fundamenta la nulidad e inconstitucionalidad de la Norma Foral de Guipúzcoa 14/1991, de 27 de diciembre, reguladora del impuesto sobre el patrimonio, por falta de potestad del territorio histórico de Guipúzcoa para mantener la vigencia del impuesto sobre el patrimonio que había sido suprimido por parte del Estado (por la Ley 4/2008, de 23 de diciembre), contradiciendo así lo previsto en el art. 41.2 c) de la Ley Orgánica 3/1979, del Estatuto de Autonomía del País Vasco, y en los arts. 1 a 3 de la Ley 12/2012, del concierto con el País Vasco, que obliga a los territorios históricos a mantener, dentro de su territorio, un régimen de tributos concertados, siguiendo la estructura general impositiva del Estado y adoptando las medidas normativas necesarias para aplicar las medidas fiscales de carácter excepcional y coyuntural que el Estado decida. Sin embargo, Guipúzcoa ha mantenido en su territorio un impuesto, el del patrimonio, que había sido suprimido en el ordenamiento nacional, cuando lo que debía haber hecho era haber procedido </w:t>
      </w:r>
      <w:r>
        <w:lastRenderedPageBreak/>
        <w:t>también a su eliminación coetánea como así hicieron los territorios de Álava (Norma Foral 22/2008, de 22 de diciembre) y Vizcaya (Norma Foral 7/2007, de 20 de diciembre).</w:t>
      </w:r>
    </w:p>
    <w:p w:rsidR="00AC56D6" w:rsidRDefault="00AC56D6" w:rsidP="00AC56D6">
      <w:pPr>
        <w:pStyle w:val="TextoNormal"/>
      </w:pPr>
    </w:p>
    <w:p w:rsidR="00AC56D6" w:rsidRDefault="00AC56D6" w:rsidP="00AC56D6">
      <w:pPr>
        <w:pStyle w:val="TextoNormal"/>
      </w:pPr>
      <w:r w:rsidRPr="00AC56D6">
        <w:rPr>
          <w:rStyle w:val="NumeroAFNegritaCaracter"/>
        </w:rPr>
        <w:t>7</w:t>
      </w:r>
      <w:r>
        <w:t>. El día 9 de octubre de 2014 presentó su escrito de alegaciones el Ministerio Fiscal solicitando la estimación del recurso al considerar que se ha lesionado el derecho de la actora a la tutela judicial efectiva sin indefensión (art. 24.1 CE), procediéndose, en orden al restablecimiento de los derechos fundamentales lesionados, a retrotraerse las actuaciones al momento anterior a dictar sentencia, con el fin de que se dicte una resolución fundada en Derecho, respecto de la procedencia de plantear al Tribunal Constitucional una cuestión de inconstitucionalidad sobre la Norma Foral 14/1991, reguladora del impuesto sobre el patrimonio en Guipúzcoa.</w:t>
      </w:r>
    </w:p>
    <w:p w:rsidR="00AC56D6" w:rsidRDefault="00AC56D6" w:rsidP="00AC56D6">
      <w:pPr>
        <w:pStyle w:val="TextoNormal"/>
      </w:pPr>
    </w:p>
    <w:p w:rsidR="00AC56D6" w:rsidRDefault="00AC56D6" w:rsidP="00AC56D6">
      <w:pPr>
        <w:pStyle w:val="TextoNormal"/>
      </w:pPr>
      <w:r>
        <w:t>Tras precisar los hechos que han dado lugar a la presente demanda de amparo, concreta la Fiscal el núcleo del recurso contencioso-administrativo, que lo constituía la eventual ilegalidad sobrevenida de la Norma Foral 14/1991, reguladora del impuesto sobre el patrimonio en Guipúzcoa, que sustentaba la exacción del impuesto en el ejercicio 2008, como consecuencia de la aprobación de la Ley 4/2008, de 23 de diciembre, cuyo art. 3 suprimía el impuesto sobre el patrimonio, con efectos del 1 de enero de 2008, mediante una bonificación en cuota del 100 por 100. Señala la Fiscal que, para la recurrente, la norma foral no sólo violaba el principio de igualdad en relación con el deber de contribuir (arts. 14 y 31.1 CE), al discriminar en función del territorio de residencia, sino que contradecía la Ley 12/2002, del concierto económico, y la Ley del Parlamento Vasco 3/1989, de armonización, coordinación y colaboración fiscal. Se trataba, pues, de un recurso indirecto contra la Norma Foral 14/1991, como señalaba la propia Diputación Foral de Guipúzcoa en la contestación a la demanda, lo que suponía la falta de competencia de la jurisdicción contencioso-administrativa para conocer de la pretensión deducida [</w:t>
      </w:r>
      <w:r w:rsidRPr="00AC56D6">
        <w:rPr>
          <w:i/>
        </w:rPr>
        <w:t>ex</w:t>
      </w:r>
      <w:r>
        <w:t xml:space="preserve"> art. 3 d) de la Ley reguladora de la jurisdicción contencioso-administrativa (LJCA) y disposición adicional quinta LOTC] y la necesidad de plantear una cuestión ante el Tribunal Constitucional.</w:t>
      </w:r>
    </w:p>
    <w:p w:rsidR="00AC56D6" w:rsidRDefault="00AC56D6" w:rsidP="00AC56D6">
      <w:pPr>
        <w:pStyle w:val="TextoNormal"/>
      </w:pPr>
    </w:p>
    <w:p w:rsidR="00AC56D6" w:rsidRDefault="00AC56D6" w:rsidP="00AC56D6">
      <w:pPr>
        <w:pStyle w:val="TextoNormal"/>
      </w:pPr>
      <w:r>
        <w:t>Por su parte, la Sala de lo Contencioso-Administrativo del Tribunal Superior de Justicia del País Vasco, en la Sentencia impugnada, reconoce que tanto el art. 3 d) LJCA como la disposición adicional quinta LOTC, han excluido la competencia de la jurisdicción contencioso-administrativa para pronunciarse sobre la validez de la normas forales fiscales o para declarar la invalidez de los actos dictados en su aplicación con fundamento en la ilegalidad de las mismas; esos preceptos legales confieren a los Tribunales la facultad de elevar al Tribunal Constitucional una cuestión prejudicial sobre la validez de las normas forales, cuando de ella dependa el fallo de litigio, pero le impiden inaplicar dichas normas; la eventual nulidad sobrevenida de la Norma Foral 14/1991, por su contradicción con la Ley 12/2002, del concierto económico, está excluida de la jurisdicción contencioso-administrativa y corresponde a la jurisdicción constitucional, al tratarse de una norma que integra el bloque de la constitucionalidad (art. 28 LOTC); no procede plantear una cuestión de inconstitucionalidad al haberse confundido por la parte recurrente el mecanismo de depuración del ordenamiento jurídico de la cuestión de inconstitucionalidad con el de la cuestión de ilegalidad de normas que no tienen rango de ley (arts. 123 a 126 LJCA).</w:t>
      </w:r>
    </w:p>
    <w:p w:rsidR="00AC56D6" w:rsidRDefault="00AC56D6" w:rsidP="00AC56D6">
      <w:pPr>
        <w:pStyle w:val="TextoNormal"/>
      </w:pPr>
    </w:p>
    <w:p w:rsidR="00AC56D6" w:rsidRDefault="00AC56D6" w:rsidP="00AC56D6">
      <w:pPr>
        <w:pStyle w:val="TextoNormal"/>
      </w:pPr>
      <w:r>
        <w:t xml:space="preserve">Para la Fiscal, los anteriores razonamientos del órgano judicial no pueden considerarse como una motivación razonable y suficiente por los siguientes motivos. En primer lugar, porque si bien es cierto que la pretensión esgrimida en el recurso contencioso-administrativo </w:t>
      </w:r>
      <w:r>
        <w:lastRenderedPageBreak/>
        <w:t>era la de anular los actos administrativos que rechazaron la solicitud de rectificación de la autoliquidación del impuesto sobre el patrimonio, con fundamento en la ilegalidad sobrevenida de la Norma Foral 14/1991, lo que excluía el conocimiento de la eventual inconstitucionalidad de esta norma por parte de la jurisdicción contencioso-administrativa al corresponder su conocimiento en exclusiva al Tribunal Constitucional; sin embargo, la Sentencia impugnada no hace ningún tipo de valoración o razonamiento que permita conocer por qué no es procedente el planteamiento de la cuestión de inconstitucionalidad, al margen de que la solicitud hecha por la parte pudiera haber sido incorrecta jurídicamente. En segundo lugar, aunque el órgano judicial subraya que el planteamiento de las cuestiones de inconstitucionalidad corresponde en exclusiva a los órganos jurisdiccionales y no a las partes, resulta incoherente cuando se limita a rechazar el planteamiento sin pronunciamiento alguno sobre la necesidad para resolver la cuestión ante él planteada, sin incorporar ningún razonamiento sobre la validez de la norma foral, que el órgano judicial termina aplicando implícitamente al desestimar el recurso.</w:t>
      </w:r>
    </w:p>
    <w:p w:rsidR="00AC56D6" w:rsidRDefault="00AC56D6" w:rsidP="00AC56D6">
      <w:pPr>
        <w:pStyle w:val="TextoNormal"/>
      </w:pPr>
    </w:p>
    <w:p w:rsidR="00AC56D6" w:rsidRDefault="00AC56D6" w:rsidP="00AC56D6">
      <w:pPr>
        <w:pStyle w:val="TextoNormal"/>
      </w:pPr>
      <w:r>
        <w:t>En suma, para la Fiscal, la falta de planteamiento de la cuestión de inconstitucionalidad de manera incoherente y arbitraria, supone una lesión del derecho a la tutela judicial efectiva sin indefensión del art. 24.1 CE (SSTC 182/2012 y 177/2013). El órgano judicial, pese a tener obligación de plantear una cuestión de inconstitucionalidad por depender el fallo a adoptar, de la validez de la Norma Foral 14/1991, impugnada indirectamente y aplicable al caso, elude pronunciarse, no constituyendo una motivación suficiente el incorrecto planteamiento efectuado por la parte recurrente en su demanda, pues, como bien dice el órgano judicial, si la decisión del planteamiento no depende de la voluntad de la parte, al ser una decisión exclusiva de éste, debe realizar su propia valoración de la norma aplicable para resolver la cuestión planteada. Así las cosas, al desestimar el órgano judicial el recurso contencioso-administrativo con confirmación de los actos administrativos impugnados, ha incurrido en un exceso de jurisdicción, pues ha resuelto de manera implícita el recurso indirecto contra la Norma Foral 14/1991, sin plantear una cuestión de inconstitucionalidad ante el Tribunal Constitucional.</w:t>
      </w:r>
    </w:p>
    <w:p w:rsidR="00AC56D6" w:rsidRDefault="00AC56D6" w:rsidP="00AC56D6">
      <w:pPr>
        <w:pStyle w:val="TextoNormal"/>
      </w:pPr>
    </w:p>
    <w:p w:rsidR="00AC56D6" w:rsidRDefault="00AC56D6" w:rsidP="00AC56D6">
      <w:pPr>
        <w:pStyle w:val="TextoNormal"/>
      </w:pPr>
      <w:r>
        <w:t>Por otra parte, considera la Fiscal que el Auto de 25 de enero de 2013 que desestimó el incidente de nulidad de actuaciones, con fundamento en que el planteamiento de las cuestiones de inconstitucionalidad son una facultad exclusiva de los Tribunales, no da una respuesta suficiente y coherente con las alegaciones formuladas en el incidente, pues reitera lo que mantuvo en la Sentencia, careciendo de una verdadera motivación y, por tanto, es igualmente lesivo del derecho a la tutela judicial efectiva por motivación incoherente y deficiente.</w:t>
      </w:r>
    </w:p>
    <w:p w:rsidR="00AC56D6" w:rsidRDefault="00AC56D6" w:rsidP="00AC56D6">
      <w:pPr>
        <w:pStyle w:val="TextoNormal"/>
      </w:pPr>
    </w:p>
    <w:p w:rsidR="00AC56D6" w:rsidRDefault="00AC56D6" w:rsidP="00AC56D6">
      <w:pPr>
        <w:pStyle w:val="TextoNormal"/>
      </w:pPr>
      <w:r w:rsidRPr="00AC56D6">
        <w:rPr>
          <w:rStyle w:val="NumeroAFNegritaCaracter"/>
        </w:rPr>
        <w:t>8</w:t>
      </w:r>
      <w:r>
        <w:t>. La Procuradora de los Tribunales, doña Rocío Martín Echagüe, en nombre y representación de la Excma. Diputación Foral de Guipúzcoa, presentó su escrito de alegaciones el día 3 de octubre de 2014 suplicando se dictase Sentencia por la que se declarase no haber lugar al amparo solicitado. A su juicio, las partes en un proceso judicial no tienen derecho a plantear cuestiones de inconstitucionalidad al ser una potestad exclusiva de los órganos judiciales en aquellos casos en los que puedan albergar una duda sobre la constitucionalidad de la norma aplicable al caso y de cuya validez dependa el fallo (SSTC 148/1986, 23/1988 y 159/1997). Por esta razón, la decisión de un órgano judicial de no elevar al Tribunal Constitucional una cuestión de inconstitucionalidad no viola el derecho a la tutela judicial efectiva (STC 159/1997, FJ 5).</w:t>
      </w:r>
    </w:p>
    <w:p w:rsidR="00AC56D6" w:rsidRDefault="00AC56D6" w:rsidP="00AC56D6">
      <w:pPr>
        <w:pStyle w:val="TextoNormal"/>
      </w:pPr>
    </w:p>
    <w:p w:rsidR="00AC56D6" w:rsidRDefault="00AC56D6" w:rsidP="00AC56D6">
      <w:pPr>
        <w:pStyle w:val="TextoNormal"/>
      </w:pPr>
      <w:r>
        <w:t>Para la Diputación Foral de Guipúzcoa no puede apreciarse la lesión denunciada pues la Sentencia impugnada está suficientemente motivada, en la medida que la Sala sentenciadora se reconoce competente para conocer y resolver acerca del acto impugnado (denegación de la solicitud de rectificación de la autoliquidación del impuesto sobre el patrimonio correspondiente al ejercicio 2008), pero no puede declarar la invalidez de la liquidación con base en la inconstitucionalidad de la Norma Foral 14/1991. A su juicio, el órgano judicial está cumpliendo con los dos requisitos que exige la doctrina del Tribunal Constitucional para motivar la no elevación de una cuestión de inconstitucionalidad (ATC 129/2014): que la resolución esté suficientemente motivada en el sentido de contener los elementos y razones de juicio que permiten conocer cuáles han sido los criterios jurídicos que han fundamentado la decisión, y que la motivación contenga una fundamentación en Derecho, lo que conlleva la garantía de que la decisión no sea consecuencia de una aplicación arbitraria de la legalidad.</w:t>
      </w:r>
    </w:p>
    <w:p w:rsidR="00AC56D6" w:rsidRDefault="00AC56D6" w:rsidP="00AC56D6">
      <w:pPr>
        <w:pStyle w:val="TextoNormal"/>
      </w:pPr>
    </w:p>
    <w:p w:rsidR="00AC56D6" w:rsidRDefault="00AC56D6" w:rsidP="00AC56D6">
      <w:pPr>
        <w:pStyle w:val="TextoNormal"/>
      </w:pPr>
      <w:r w:rsidRPr="00AC56D6">
        <w:rPr>
          <w:rStyle w:val="NumeroAFNegritaCaracter"/>
        </w:rPr>
        <w:t>9</w:t>
      </w:r>
      <w:r>
        <w:t>. Por providencia de 10 de diciembre de 2015 se señaló para deliberación y votación de la presente Sentencia el día 14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presente recurso de amparo se dirige contra la Sentencia núm. 819/2012 de la Sección Primera de la Sala de lo Contencioso-Administrativo del Tribunal Superior de Justicia del País Vasco de fecha 5 de noviembre de 2012, por la que se desestima el recurso contencioso-administrativo núm. 658-2011 interpuesto contra el Acuerdo del Tribunal Económico-Administrativo Foral de Guipúzcoa de fecha 27 de enero de 2011, desestimatorio, a su vez, de la reclamación económico-administrativa núm. 239-2010 promovida contra el acuerdo del Servicio de gestión de impuestos directos de fecha 10 de febrero de 2010, que rechazaba la solicitud de rectificación de la autoliquidación formulada por el impuesto sobre el patrimonio correspondiente al ejercicio 2008.</w:t>
      </w:r>
    </w:p>
    <w:p w:rsidR="00AC56D6" w:rsidRDefault="00AC56D6" w:rsidP="00AC56D6">
      <w:pPr>
        <w:pStyle w:val="TextoNormal"/>
      </w:pPr>
    </w:p>
    <w:p w:rsidR="00AC56D6" w:rsidRDefault="00AC56D6" w:rsidP="00AC56D6">
      <w:pPr>
        <w:pStyle w:val="TextoNormal"/>
      </w:pPr>
      <w:r>
        <w:t xml:space="preserve">Como ha quedado expuesto con mayor detalle en los antecedentes, la recurrente en amparo solicitaba la rectificación de su autoliquidación del impuesto sobre el patrimonio correspondiente al ejercicio 2008, por considerar que la Norma Foral 14/1991, de 27 de diciembre, del impuesto sobre el patrimonio, que le daba cobertura, era inconstitucional, no sólo por establecer una discriminación por razón de la residencia, contraria a los arts. 14 y 31.1, ambos de la Constitución, sino por contradecir el art. 2 de la Ley 12/2002, de 23 de mayo, por la que se aprueba el concierto económico con la Comunidad Autónoma del País Vasco, como el art. 41.2 c) de la Ley Orgánica 3/1979, de 18 de diciembre, de Estatuto de Autonomía del País Vasco. Rechazada dicha solicitud en vía administrativa, en el recurso contencioso-administrativo articulado ante la Sala de lo Contencioso-Administrativo del Tribunal Superior de Justicia del País Vasco, se cuestionó nuevamente la constitucionalidad de la citada Norma Foral 14/1991. Sin embargo, la Sala desestimó el recurso al considerar que, puesto que el conocimiento de la constitucionalidad de las normas forales fiscales le corresponde en exclusiva al Tribunal Constitucional tras la reforma operada por la Ley Orgánica 1/2010, de 19 de febrero, de modificación de las leyes orgánicas del Tribunal Constitucional y del Poder Judicial, carecía de competencia, tanto para enjuiciar la validez de las normas forales fiscales, como para adoptar pronunciamientos anulatorios de los actos de </w:t>
      </w:r>
      <w:r>
        <w:lastRenderedPageBreak/>
        <w:t>aplicación con fundamento en la invalidez de tales normas. Por esta razón, rechazó el planteamiento de una cuestión de inconstitucionalidad sobre su validez.</w:t>
      </w:r>
    </w:p>
    <w:p w:rsidR="00AC56D6" w:rsidRDefault="00AC56D6" w:rsidP="00AC56D6">
      <w:pPr>
        <w:pStyle w:val="TextoNormal"/>
      </w:pPr>
    </w:p>
    <w:p w:rsidR="00AC56D6" w:rsidRDefault="00AC56D6" w:rsidP="00AC56D6">
      <w:pPr>
        <w:pStyle w:val="TextoNormal"/>
      </w:pPr>
      <w:r>
        <w:t>El Ministerio Fiscal ha solicitado el otorgamiento del amparo, por entender producida la lesión del derecho a la tutela judicial efectiva sin indefensión (art. 24.1 CE), al haberse rechazado de forma incoherente y arbitraria el planteamiento de una cuestión de inconstitucionalidad sobre la validez de la Norma Foral 14/1991. En cambio, la Excma. Diputación Foral de Guipúzcoa considera que no puede apreciarse la lesión denunciada, al no existir un derecho de las partes al planteamiento de cuestiones de inconstitucionalidad, siendo esta una potestad exclusiva de los órganos judiciales en aquellos casos en los que puedan albergar una duda sobre la constitucionalidad de la norma aplicable al caso y de cuya validez dependa el fallo.</w:t>
      </w:r>
    </w:p>
    <w:p w:rsidR="00AC56D6" w:rsidRDefault="00AC56D6" w:rsidP="00AC56D6">
      <w:pPr>
        <w:pStyle w:val="TextoNormal"/>
      </w:pPr>
    </w:p>
    <w:p w:rsidR="00AC56D6" w:rsidRDefault="00AC56D6" w:rsidP="00AC56D6">
      <w:pPr>
        <w:pStyle w:val="TextoNormal"/>
      </w:pPr>
      <w:r w:rsidRPr="00AC56D6">
        <w:rPr>
          <w:rStyle w:val="NumeroAFNegritaCaracter"/>
        </w:rPr>
        <w:t>2</w:t>
      </w:r>
      <w:r>
        <w:t xml:space="preserve">. La Sentencia de la Sección Tercera del Tribunal Europeo de Derechos Humanos de 20 de enero de 2015 (asunto </w:t>
      </w:r>
      <w:r w:rsidRPr="00AC56D6">
        <w:rPr>
          <w:i/>
        </w:rPr>
        <w:t>Arribas Antón c. España</w:t>
      </w:r>
      <w:r>
        <w:t>) exige que en los asuntos admitidos a trámite por este Tribunal Constitucional se explicite la razón de su especial trascendencia constitucional. Pues bien, de conformidad con lo previsto en el art. 50.1 b) de la Ley Orgánica 2/1979, de 3 de octubre, del Tribunal Constitucional, y de acuerdo con los criterios explicitados en la STC 155/2009, de 25 de junio, FJ 2, debe señalarse que la cuestión planteada en el presente proceso de amparo permite precisar a este Tribunal, su doctrina sobre el derecho a la tutela judicial efectiva (art. 24.1 CE), en relación con la facultad de los órganos judiciales de controlar la validez constitucional de las normas forales fiscales en orden a su eventual inaplicación, previo planteamiento de una cuestión prejudicial de validez ante este Tribunal Constitucional.</w:t>
      </w:r>
    </w:p>
    <w:p w:rsidR="00AC56D6" w:rsidRDefault="00AC56D6" w:rsidP="00AC56D6">
      <w:pPr>
        <w:pStyle w:val="TextoNormal"/>
      </w:pPr>
    </w:p>
    <w:p w:rsidR="00AC56D6" w:rsidRDefault="00AC56D6" w:rsidP="00AC56D6">
      <w:pPr>
        <w:pStyle w:val="TextoNormal"/>
      </w:pPr>
      <w:r>
        <w:t>Una vez hecha esta precisión, es importante señalar que la única cuestión que se somete a nuestra consideración, desde la óptica del derecho a la tutela judicial efectiva del art. 24.1 CE es si la negativa del órgano judicial a controlar la constitucionalidad de la Norma Foral 14/1991 es o no lesiva del citado derecho fundamental, cuestión esta que ha sido recientemente resuelta en la STC 222/2015, de 2 de noviembre, en los términos que señalaremos a continuación. Debe precisarse, antes que nada, que en el presente proceso constitucional no se ventila la eventual constitucionalidad de la Norma Foral 14/1991 sino, única y exclusivamente, si la negativa del órgano judicial a plantear una cuestión prejudicial ante este Tribunal Constitucional sobre la misma es contraria a aquel derecho fundamental, pues “el recurso de amparo no es un cauce idóneo para efectuar juicios abstractos de constitucionalidad de la Ley, sino un medio reparador de lesiones concretas y efectivas de derechos fundamentales (SSTC 206/1990, de 17 de diciembre, FJ 5; 119/1991, de 3 de junio, FJ 4; 31/1994, de 31 de enero, FJ 4; 120/1998, de 15 de junio, FJ 1), salvo cuando ello resulte imprescindible para corregir la lesión del derecho fundamental que sea achacable directamente a la aplicación del precepto legal que se reputa contrario a la Constitución (entre otras, SSTC 223/2001, de 5 de noviembre, FJ 7; 222/2004, de 29 de noviembre, FJ 3)” (STC 47/2007, de 12 de marzo, FJ 4). Y puesto que el objeto del presente proceso constitucional consiste en determinar, como se ha dicho, si la negativa de la Sala juzgadora a aplicar la norma o a no plantear una cuestión prejudicial ante este Tribunal Constitucional es o no lesiva del art. 24.1 CE, hay que excluir ya en este momento el análisis de la eventual contradicción entre la norma foral fiscal que da cobertura a los actos administrativos impugnados y la Constitución, el Estatuto de Autonomía del País Vasco o la Ley del concierto.</w:t>
      </w:r>
    </w:p>
    <w:p w:rsidR="00AC56D6" w:rsidRDefault="00AC56D6" w:rsidP="00AC56D6">
      <w:pPr>
        <w:pStyle w:val="TextoNormal"/>
      </w:pPr>
    </w:p>
    <w:p w:rsidR="00AC56D6" w:rsidRDefault="00AC56D6" w:rsidP="00AC56D6">
      <w:pPr>
        <w:pStyle w:val="TextoNormal"/>
      </w:pPr>
      <w:r>
        <w:lastRenderedPageBreak/>
        <w:t xml:space="preserve">Hemos señalado en la STC 222/2015, de 2 de noviembre, FJ 2 (y, posteriormente, en las SSTC 239/2015, de 30 de noviembre, FJ 2; y 240/2015, de 30 de noviembre, FJ 2), que desde la entrada en vigor de la Ley Orgánica 1/2010, de 19 de febrero, aunque los órganos jurisdiccionales pueden fiscalizar la validez de las normas forales fiscales, no les es dado, caso de considerarlas contrarias a las normas que integran el bloque de la constitucionalidad, expulsarlas del ordenamiento jurídico, al haber querido sustraer el legislador orgánico al juez ordinario la posibilidad de no aplicar una norma foral fiscal ante un eventual juicio de incompatibilidad con aquel bloque. La depuración de este tipo de normas corresponde de forma exclusiva, a partir de aquella disposición orgánica, al Tribunal Constitucional, que tiene la competencia y la jurisdicción para declarar, con eficacia </w:t>
      </w:r>
      <w:r w:rsidRPr="00AC56D6">
        <w:rPr>
          <w:i/>
        </w:rPr>
        <w:t>erga omnes</w:t>
      </w:r>
      <w:r>
        <w:t>, su eventual inconstitucionalidad. De esta manera, forma parte de las garantías consustanciales a todo proceso judicial en nuestro ordenamiento, el que la norma foral fiscal que, según el juzgador, resulta aplicable en aquel proceso no pueda dejar de serlo, por causa de su posible invalidez, sino a través de la promoción de la cuestión prejudicial de validez prevista en la disposición adicional quinta de la Ley Orgánica del Tribunal Constitucional (LOTC).</w:t>
      </w:r>
    </w:p>
    <w:p w:rsidR="00AC56D6" w:rsidRDefault="00AC56D6" w:rsidP="00AC56D6">
      <w:pPr>
        <w:pStyle w:val="TextoNormal"/>
      </w:pPr>
    </w:p>
    <w:p w:rsidR="00AC56D6" w:rsidRDefault="00AC56D6" w:rsidP="00AC56D6">
      <w:pPr>
        <w:pStyle w:val="TextoNormal"/>
      </w:pPr>
      <w:r>
        <w:t>Es indudable que forma parte del conjunto de las facultades inherentes a la potestad de juzgar, la de seleccionar la norma jurídica aplicable al caso concreto, su interpretación y la subsunción en ella de los hechos (SSTC 76/1995, de 22 de mayo, FJ 5; y 173/2002, de 9 de octubre, FJ 10). Una vez seleccionada la norma aplicable al caso concreto, si existiesen dudas sobre su eventual contradicción con las normas que integran el bloque de la constitucionalidad definido en el art. 28 LOTC, al juez le asisten dos opciones: bien despejar esas dudas mediante la realización, de forma fundada, de un juicio de validez de la norma aplicable; bien, en caso contrario, plantear una cuestión prejudicial sobre su eventual invalidez al Tribunal Constitucional. De este modo, si un órgano judicial estima que una norma foral fiscal adolece de posibles vicios de inconstitucionalidad, viene obligado a suscitar la correspondiente cuestión prejudicial ante el Tribunal Constitucional. Obviamente no está compelido a plantear la cuestión, en este caso debe limitarse a aplicar la norma, eso sí, razonando los motivos por los cuales considera, en contra de la opinión del recurrente, que la disposición cuestionada no adolece de los vicios que se le imputan, siendo plenamente conforme con el ordenamiento constitucional (SSTC 222/2015, de 2 de noviembre, FJ 2; 239/2015, de 30 de noviembre, FJ 2; y 240/2015, de 30 de noviembre, FJ 2).</w:t>
      </w:r>
    </w:p>
    <w:p w:rsidR="00AC56D6" w:rsidRDefault="00AC56D6" w:rsidP="00AC56D6">
      <w:pPr>
        <w:pStyle w:val="TextoNormal"/>
      </w:pPr>
    </w:p>
    <w:p w:rsidR="00AC56D6" w:rsidRDefault="00AC56D6" w:rsidP="00AC56D6">
      <w:pPr>
        <w:pStyle w:val="TextoNormal"/>
      </w:pPr>
      <w:r>
        <w:t xml:space="preserve">A semejanza de lo que acontece en las cuestiones de inconstitucionalidad, la decisión sobre el planteamiento de una cuestión prejudicial sobre normas forales fiscales prevista en la disposición adicional quinta LOTC corresponde, de forma exclusiva e irrevisable, al órgano judicial que resuelve el litigio, por lo que ninguna vulneración existe de los derechos garantizados por el art. 24.1 CE cuando el Juez o Tribunal no alberga dudas sobre la constitucionalidad de la Norma Foral fiscal aplicable al caso concreto y decide por ello, en contra de la opinión del justiciable, no plantear la cuestión al Tribunal Constitucional que se le solicita (SSTC 58/2004, de 19 de abril, FJ 10; 84/2008, de 21 de julio, FJ 5; 26/2009, de 26 de enero, FJ 2; 212/2014, de 18 de diciembre, FJ 3; 222/2015, de 2 de noviembre, FJ 2; 239/2015, de 30 de noviembre, FJ 2; y 240/2015, de 30 de noviembre, FJ 2). Ahora bien, “el que esta potestad de los Jueces y Tribunales esté configurada de manera exclusiva no significa, en modo alguno, que no deba ser exteriorizado, de manera suficiente y adecuada, el razonamiento que, desde la perspectiva tanto fáctica como jurídica, ha llevado al órgano judicial a la decisión de plantear o no dicha cuestión de inconstitucionalidad, pues no cabe </w:t>
      </w:r>
      <w:r>
        <w:lastRenderedPageBreak/>
        <w:t>olvidar que la exigencia de motivación de las Sentencias tiene rango constitucional (art. 120 CE)” (STC 35/2002, de 11 de febrero, FJ 3).</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La Sentencia núm. 819/2012 de la Sección Primera de la Sala de lo Contencioso-Administrativo del Tribunal Superior de Justicia del País Vasco de fecha 5 de noviembre de 2012, objeto del presente proceso constitucional, rechaza tanto entrar a conocer los vicios de inconstitucionalidad que la parte recurrente imputaba a la norma foral de referencia, como plantear una cuestión prejudicial de validez ante el Tribunal Constitucional respecto de la misma, con fundamento en su falta de competencia para conocer sobre la validez de las normas forales fiscales </w:t>
      </w:r>
      <w:r w:rsidRPr="00AC56D6">
        <w:rPr>
          <w:i/>
        </w:rPr>
        <w:t>ex</w:t>
      </w:r>
      <w:r>
        <w:t xml:space="preserve"> art. 3 d) de la Ley reguladora de la jurisdicción contencioso-administrativa (LJCA), tras la redacción dada por la Ley Orgánica 1/2010.</w:t>
      </w:r>
    </w:p>
    <w:p w:rsidR="00AC56D6" w:rsidRDefault="00AC56D6" w:rsidP="00AC56D6">
      <w:pPr>
        <w:pStyle w:val="TextoNormal"/>
      </w:pPr>
    </w:p>
    <w:p w:rsidR="00AC56D6" w:rsidRDefault="00AC56D6" w:rsidP="00AC56D6">
      <w:pPr>
        <w:pStyle w:val="TextoNormal"/>
      </w:pPr>
      <w:r>
        <w:t>A la vista de lo expuesto, es claro que hubo una dejación de funciones por parte del órgano judicial, el cual debía entrar a controlar la validez constitucional de la Norma Foral 14/1991, indirectamente impugnada, para concluir, bien su validez y, con fundamento, en la misma, considerar innecesario el planteamiento de una cuestión prejudicial ante este Tribunal Constitucional, bien su eventual invalidez y, en consecuencia, para poder no aplicarla, suscitar la correspondiente cuestión de validez. Sin embargo, el órgano judicial soslaya cualquier pronunciamiento sobre la validez de la Norma Foral 14/1991 y, sin más fundamento, inadmite (aunque formalmente desestima) el recurso articulado por la parte actora, dejando así su pretensión sin juzgar.</w:t>
      </w:r>
    </w:p>
    <w:p w:rsidR="00AC56D6" w:rsidRDefault="00AC56D6" w:rsidP="00AC56D6">
      <w:pPr>
        <w:pStyle w:val="TextoNormal"/>
      </w:pPr>
    </w:p>
    <w:p w:rsidR="00AC56D6" w:rsidRDefault="00AC56D6" w:rsidP="00AC56D6">
      <w:pPr>
        <w:pStyle w:val="TextoNormal"/>
      </w:pPr>
      <w:r>
        <w:t>Es obligado recordar que aun cuando los derechos y garantías previstos en el artículo 24 CE ni garantizan la justicia de la decisión o la corrección jurídica de la actuación o interpretación llevada a cabo por los órganos judiciales comunes, pues no existe un derecho al acierto, ni tampoco aseguran la satisfacción de la pretensión de ninguna de las partes del proceso. Lo que en todo caso sí aseguran es el derecho a que las pretensiones se desenvuelvan y conozcan en el proceso establecido al efecto, con observancia de las garantías constitucionales que permitan el derecho de defensa, y a que finalice con una resolución fundada en Derecho, la cual podrá ser favorable o adversa a las pretensiones ejercitadas (STC 173/2002, de 9 de octubre, FJ 8). El art. 24 CE impone a los órganos judiciales la obligación de dictar resoluciones fundadas en Derecho, no pudiendo considerarse cumplida esta exigencia con la mera emisión de una declaración de voluntad en un sentido u otro, sino que debe ser consecuencia de una exégesis racional del ordenamiento y no fruto de la arbitrariedad. No basta, pues, con obtener una respuesta motivada, sino que, además, ésta ha tener contenido jurídico y no resultar arbitraria. Y una resolución judicial puede tacharse de arbitraria cuando, aun constatada la existencia formal de una argumentación, la misma no es expresión de la administración de justicia sino simple apariencia de la misma por ser fruto de un mero voluntarismo judicial o expresar un proceso deductivo irracional o absurdo (SSTC 148/1994, de 12 de mayo, FJ 4; 244/1994, de 15 de septiembre, FJ 2; 54/1997, de 17 de marzo, FJ 3; 160/1997, de 2 de octubre, FJ 7, y 173/2002, de 9 de octubre, FJ 6).</w:t>
      </w:r>
    </w:p>
    <w:p w:rsidR="00AC56D6" w:rsidRDefault="00AC56D6" w:rsidP="00AC56D6">
      <w:pPr>
        <w:pStyle w:val="TextoNormal"/>
      </w:pPr>
    </w:p>
    <w:p w:rsidR="00AC56D6" w:rsidRDefault="00AC56D6" w:rsidP="00AC56D6">
      <w:pPr>
        <w:pStyle w:val="TextoNormal"/>
      </w:pPr>
      <w:r>
        <w:t>Pues bien, no cabe duda, como denuncia la parte demandante y aprecia el Ministerio Fiscal, que la resolución judicial impugnada, aunque cuenta formalmente con una motivación, carece de contenido jurídico al expresar un proceso deductivo irracional. No sana esta falta de motivación el posterior Auto del órgano judicial de fecha 25 de enero de 2013, dictado en el incidente de nulidad de actuaciones promovido por la parte actora, en la me</w:t>
      </w:r>
      <w:r>
        <w:lastRenderedPageBreak/>
        <w:t xml:space="preserve">dida que incorpora una motivación que difícilmente puede calificarse de coherente y fundada en Derecho: “no es que la Sala no haya tenido en cuenta el planteamiento de la cuestión litigiosa en términos que atañen a la constitucionalidad de la Norma Foral 14/1991 de Gipuzkoa del impuesto sobre el patrimonio sino que ha entendido que los motivos y pretensiones del recurrente no abocaban a suscitar tal cuestión, sino a la inaplicación directa de aquella norma, razón por la cual no estimamos necesario plantearnos el recurso </w:t>
      </w:r>
      <w:r w:rsidRPr="00AC56D6">
        <w:rPr>
          <w:i/>
        </w:rPr>
        <w:t>ad casum</w:t>
      </w:r>
      <w:r>
        <w:t xml:space="preserve"> al citado mecanismo de control indirecto de la validez de las normas legales lo que, además, presuponía negativamente que no había ninguna razón o motivo para dudar de la conformidad de precitada norma fiscal con el llamado bloque de constitucionalidad”.</w:t>
      </w:r>
    </w:p>
    <w:p w:rsidR="00AC56D6" w:rsidRDefault="00AC56D6" w:rsidP="00AC56D6">
      <w:pPr>
        <w:pStyle w:val="TextoNormal"/>
      </w:pPr>
    </w:p>
    <w:p w:rsidR="00AC56D6" w:rsidRDefault="00AC56D6" w:rsidP="00AC56D6">
      <w:pPr>
        <w:pStyle w:val="TextoNormal"/>
      </w:pPr>
      <w:r>
        <w:t>Conforme a lo que se cita, si lo que pretendía el órgano judicial era rechazar los vicios de inconstitucionalidad que la parte actora imputaba a la norma foral reguladora del impuesto sobre el patrimonio en Guipúzcoa, es evidente que ello no podía hacerlo sin dar respuesta a los concretos motivos de inconstitucionalidad que habían sido invocados. No es posible, desde el punto de vista de la motivación de las resoluciones judiciales (art. 120.3 CE), que la parte recurrente se vea en la necesidad de “presumir” las razones por las que el órgano judicial no ha apreciado duda alguna de la conformidad de la norma foral controvertida con el llamado bloque de la constitucionalidad. Hay que insistir una vez más en que la motivación de las resoluciones judiciales, que debe contener una fundamentación en Derecho, aparte de venir impuesta en el art. 120.3 CE, es una exigencia derivada del art. 24.1 CE que permite conocer las razones de la decisión que aquéllas contienen y que posibilita su control mediante el sistema de los recursos (entre muchas, STC 56/2013, de 11 de marzo, FJ 2). Todo ello, con independencia de la parquedad o concentración del razonamiento empleado, siempre que éste permita conocer la argumentación que lleva a la decisión judicial, descartándose así el mero voluntarismo selectivo o la pura arbitrariedad (por todas, STC 105/2012, de 11 de mayo, FJ 5), circunstancia esta última que se ha producido en el presente caso en el que no sólo no hay razones fundadas en Derecho para resolver la cuestión que le fue planteada, en sentido favorable o adverso a la constitucionalidad de la norma foral controvertida, sino que las que se pretende que aparezcan como tales son difíciles de comprender por su irrazonabilidad.</w:t>
      </w:r>
    </w:p>
    <w:p w:rsidR="00AC56D6" w:rsidRDefault="00AC56D6" w:rsidP="00AC56D6">
      <w:pPr>
        <w:pStyle w:val="TextoNormal"/>
      </w:pPr>
    </w:p>
    <w:p w:rsidR="00AC56D6" w:rsidRDefault="00AC56D6" w:rsidP="00AC56D6">
      <w:pPr>
        <w:pStyle w:val="TextoNormal"/>
      </w:pPr>
      <w:r w:rsidRPr="00AC56D6">
        <w:rPr>
          <w:rStyle w:val="NumeroAFNegritaCaracter"/>
        </w:rPr>
        <w:t>4</w:t>
      </w:r>
      <w:r>
        <w:t>. Habiendo evitado el órgano judicial pronunciarse sobre el fondo del asunto sometido a su consideración, so pretexto de su propia incompetencia, con fundamento en una motivación irrazonable, es obligado concluir que la decisión judicial cuestionada, como señala el Ministerio Fiscal, ha vulnerado el derecho de la parte demandante de amparo a la tutela judicial efectiva sin indefensión (art. 24.1 CE) y, por tanto, ello ha de conducir a la estimación del presente recurso de amparo.</w:t>
      </w:r>
    </w:p>
    <w:p w:rsidR="00AC56D6" w:rsidRDefault="00AC56D6" w:rsidP="00AC56D6">
      <w:pPr>
        <w:pStyle w:val="TextoNormal"/>
      </w:pPr>
    </w:p>
    <w:p w:rsidR="00AC56D6" w:rsidRDefault="00AC56D6" w:rsidP="00AC56D6">
      <w:pPr>
        <w:pStyle w:val="TextoNormal"/>
      </w:pPr>
      <w:r>
        <w:t>La parte actora ha impugnado en el presente proceso constitucional exclusivamente la Sentencia de la Sección Primera de la Sala de la Sala de lo Contencioso-Administrativo del Tribunal Superior de Justicia del País Vasco de fecha 5 de noviembre de 2012, a la que le imputa la lesión de su derecho a la tutela judicial efectiva sin indefensión. No obstante, fruto de la exigencia del art. 44.1 a) LOTC relativa a la necesidad de que se hayan agotado todos los medios de impugnación previstos por las normas procesales para el caso concreto dentro de la vía judicial, promovió contra esa resolución judicial un incidente de nulidad de actuaciones que fue rechazado por Auto de la misma Sala y Sección de fecha 25 de enero de 2013.</w:t>
      </w:r>
    </w:p>
    <w:p w:rsidR="00AC56D6" w:rsidRDefault="00AC56D6" w:rsidP="00AC56D6">
      <w:pPr>
        <w:pStyle w:val="TextoNormal"/>
      </w:pPr>
    </w:p>
    <w:p w:rsidR="00AC56D6" w:rsidRDefault="00AC56D6" w:rsidP="00AC56D6">
      <w:pPr>
        <w:pStyle w:val="TextoNormal"/>
      </w:pPr>
      <w:r>
        <w:lastRenderedPageBreak/>
        <w:t>La constatación de la vulneración del derecho a la tutela judicial efectiva sin indefensión y, por tanto, la estimación del recurso de amparo interpuesto debe conducir, en orden a la restitución de la recurrente en el pleno ejercicio de su derecho, a la anulación tanto de la Sentencia núm. 819/2012 de la Sección Primera de la Sala de lo Contencioso-Administrativo del Tribunal Superior de Justicia del País Vasco de fecha 5 de noviembre de 2012, recaída en el recurso contencioso-administrativo núm. 658-2011, así como del Auto del mismo órgano judicial de fecha 25 de enero de 2013, que desestimó el incidente de nulidad de actuaciones promovido contra la anterior, con retroacción de las actuaciones al momento inmediatamente anterior a la fecha de la referida Sentencia, para que por el órgano judicial pronuncie una nueva resolución que sea respetuosa con el derecho fundamental vulnerado.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Estimar la demanda de amparo promovida por doña María Aranzazu Alberdi Echenique, y, en consecuencia:</w:t>
      </w:r>
    </w:p>
    <w:p w:rsidR="00AC56D6" w:rsidRDefault="00AC56D6" w:rsidP="00AC56D6">
      <w:pPr>
        <w:pStyle w:val="TextoNormal"/>
      </w:pPr>
    </w:p>
    <w:p w:rsidR="00AC56D6" w:rsidRDefault="00AC56D6" w:rsidP="00AC56D6">
      <w:pPr>
        <w:pStyle w:val="TextoNormal"/>
      </w:pPr>
      <w:r>
        <w:t>1º Declarar vulnerado el derecho fundamental de la recurrente a la tutela judicial efectiva sin indefensión (art. 24.1 CE).</w:t>
      </w:r>
    </w:p>
    <w:p w:rsidR="00AC56D6" w:rsidRDefault="00AC56D6" w:rsidP="00AC56D6">
      <w:pPr>
        <w:pStyle w:val="TextoNormal"/>
      </w:pPr>
    </w:p>
    <w:p w:rsidR="00AC56D6" w:rsidRDefault="00AC56D6" w:rsidP="00AC56D6">
      <w:pPr>
        <w:pStyle w:val="TextoNormal"/>
      </w:pPr>
      <w:r>
        <w:t>2º Restablecerla en su derecho y, a tal fin, declarar la nulidad de la Sentencia núm. 819/2012 de la Sección Primera de la Sala de lo Contencioso-Administrativo del Tribunal Superior de Justicia del País Vasco de fecha 5 de noviembre de 2012, recaída en el recurso contencioso-administrativo núm. 658-2011, así como del Auto del mismo órgano judicial de fecha 25 de enero de 2013, que desestimó el incidente de nulidad de actuaciones promovido contra la anterior.</w:t>
      </w:r>
    </w:p>
    <w:p w:rsidR="00AC56D6" w:rsidRDefault="00AC56D6" w:rsidP="00AC56D6">
      <w:pPr>
        <w:pStyle w:val="TextoNormal"/>
      </w:pPr>
    </w:p>
    <w:p w:rsidR="00AC56D6" w:rsidRDefault="00AC56D6" w:rsidP="00AC56D6">
      <w:pPr>
        <w:pStyle w:val="TextoNormal"/>
      </w:pPr>
      <w:r>
        <w:t>3º Retrotraer las actuaciones al momento inmediatamente anterior al pronunciamiento de la primera de dichas resoluciones judiciales, para que por el citado órgano judicial se dicte otra resolución que resulte respetuosa con el derecho fundamental vulnerado.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catorce de diciembre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19" w:name="SENTENCIA_2015_263"/>
      <w:r>
        <w:lastRenderedPageBreak/>
        <w:t>SENTENCIA 263/2015, de 14 de diciembre de 2015</w:t>
      </w:r>
    </w:p>
    <w:bookmarkEnd w:id="119"/>
    <w:p w:rsidR="00AC56D6" w:rsidRDefault="00AC56D6" w:rsidP="00AC56D6">
      <w:pPr>
        <w:pStyle w:val="TtuloResolucin"/>
      </w:pPr>
      <w:r>
        <w:t>Sala Primera</w:t>
      </w:r>
    </w:p>
    <w:p w:rsidR="00AC56D6" w:rsidRDefault="00AC56D6" w:rsidP="00AC56D6">
      <w:pPr>
        <w:pStyle w:val="TtuloBOE"/>
      </w:pPr>
      <w:r>
        <w:t>(BOE núm. 19, de 22 de enero de 2016)</w:t>
      </w:r>
    </w:p>
    <w:p w:rsidR="00AC56D6" w:rsidRDefault="00AC56D6" w:rsidP="00AC56D6">
      <w:pPr>
        <w:pStyle w:val="TextoNormalCentrado"/>
      </w:pPr>
      <w:r>
        <w:t>ECLI:ES:TC:2015:263</w:t>
      </w:r>
    </w:p>
    <w:p w:rsidR="00AC56D6" w:rsidRDefault="00AC56D6" w:rsidP="00AC56D6">
      <w:pPr>
        <w:pStyle w:val="TextoNormalCentrado"/>
      </w:pPr>
    </w:p>
    <w:p w:rsidR="00AC56D6" w:rsidRDefault="00AC56D6" w:rsidP="00AC56D6">
      <w:pPr>
        <w:pStyle w:val="SntesisDescriptiva"/>
      </w:pPr>
      <w:r>
        <w:t>Recurso de amparo 4093-2013. Promovido por doña María Isabel Gordoa Altolaguirre en relación con la Sentencia de la Sala de lo Contencioso-Administrativo del Tribunal Superior de Justicia del País Vasco que desestimó su impugnación sobre liquidación del impuesto sobre el patrimonio.</w:t>
      </w:r>
    </w:p>
    <w:p w:rsidR="00AC56D6" w:rsidRDefault="00AC56D6" w:rsidP="00AC56D6">
      <w:pPr>
        <w:pStyle w:val="SntesisDescriptiva"/>
      </w:pPr>
    </w:p>
    <w:p w:rsidR="00AC56D6" w:rsidRDefault="00AC56D6" w:rsidP="00AC56D6">
      <w:pPr>
        <w:pStyle w:val="SntesisAnaltica"/>
      </w:pPr>
      <w:r>
        <w:t>Vulneración del derecho a la tutela judicial efectiva (resolución fundada en Derecho): Sentencia que no entra a conocer de los vicios de inconstitucionalidad imputados a una norma foral, ni plantea cuestión prejudicial de validez ante el Tribunal Constitucional, fundándose en la falta de jurisdicción del órgano sentenciador para examinar la validez de las normas forales fiscales (STC 222/2015).</w:t>
      </w:r>
    </w:p>
    <w:p w:rsidR="00AC56D6" w:rsidRDefault="00AC56D6" w:rsidP="00AC56D6">
      <w:pPr>
        <w:pStyle w:val="SntesisAnaltica"/>
      </w:pPr>
    </w:p>
    <w:p w:rsidR="00AC56D6" w:rsidRDefault="00AC56D6" w:rsidP="00AC56D6">
      <w:pPr>
        <w:pStyle w:val="Extracto"/>
      </w:pPr>
      <w:r>
        <w:t>1.</w:t>
      </w:r>
      <w:r>
        <w:tab/>
        <w:t>Asunto sustancialmente idéntico al resuelto por la STC 222/2015 [FFJJ 2 a 4].</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amparo núm. 4093-2013, promovido por doña María Isabel Gordoa Altolaguirre, representada por el Procurador de los Tribunales don Ramiro Reynolds Martínez, bajo la dirección de la Letrada doña María del Carmen Muñoz López, contra la Sentencia núm. 196/2013 de la Sección Primera de la Sala de lo Contencioso-Administrativo del Tribunal Superior de Justicia del País Vasco de fecha 5 de abril de 2013, por la que se desestima el recurso contencioso-administrativo núm. 651-2011 interpuesto contra el Acuerdo del Tribunal Económico-Administrativo Foral de Guipúzcoa de fecha 27 de enero de 2011, desestimatorio, a su vez, de la reclamación económico-administrativa núm. 242-2010 promovida contra el Acuerdo del Servicio de Gestión de Impuestos Directos de fecha 10 de febrero de 2010, que rechazaba la solicitud de rectificación de la autoliquidación formulada por el impuesto sobre el patrimonio correspondiente al ejercicio 2008. Han intervenido la Procuradora de los Tribunales doña Rocío Martín Echagüe, en nombre y representación de la Excma. Diputación Foral de Guipúzcoa, y el Ministerio Fiscal. Ha sido Ponente el Magistrado don Juan Antonio Xiol Ríos, quien expresa el parecer del Tribunal.</w:t>
      </w:r>
    </w:p>
    <w:p w:rsidR="00AC56D6" w:rsidRDefault="00AC56D6" w:rsidP="00AC56D6">
      <w:pPr>
        <w:pStyle w:val="TextoNormal"/>
      </w:pPr>
    </w:p>
    <w:p w:rsidR="00AC56D6" w:rsidRDefault="00AC56D6" w:rsidP="00AC56D6">
      <w:pPr>
        <w:pStyle w:val="TextoNormalNegritaCentrado"/>
        <w:keepNext/>
      </w:pPr>
      <w:r>
        <w:lastRenderedPageBreak/>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Por escrito registrado en este Tribunal el día 1 de julio de 2013, don Ramiro Reynolds Martínez, Procurador de los Tribunales, en nombre y representación de doña María Isabel Gordoa Altolaguirre, interpuso un recurso de amparo contra la resolución judicial que se indica en el encabezamiento de esta Sentencia. Los hechos de los que trae causa la demanda de amparo son, en síntesis, los siguientes:</w:t>
      </w:r>
    </w:p>
    <w:p w:rsidR="00AC56D6" w:rsidRDefault="00AC56D6" w:rsidP="00AC56D6">
      <w:pPr>
        <w:pStyle w:val="TextoNormal"/>
      </w:pPr>
    </w:p>
    <w:p w:rsidR="00AC56D6" w:rsidRDefault="00AC56D6" w:rsidP="00AC56D6">
      <w:pPr>
        <w:pStyle w:val="TextoNormal"/>
      </w:pPr>
      <w:r>
        <w:t>a) La recurrente, residente en Guipúzcoa, presentó la autoliquidación del impuesto sobre el patrimonio correspondiente al ejercicio 2008, instando a continuación su rectificación con solicitud de devolución del importe ingresado, al considerar que puesto que la obligación de contribuir por el citado tributo había sido suprimida en el resto del Estado, incluidos los territorios forales de Vizcaya y Álava, la normativa foral que daba cobertura a su obligación tributaria (la Norma Foral de Guipúzcoa 14/1991) había devenido ilegal, al discriminar a los residentes en el territorio de Guipúzcoa, obligándoles a soportar una obligación tributaria que era inexistente en el resto del territorio nacional (por obra de la Ley 4/2008, de 23 de diciembre).</w:t>
      </w:r>
    </w:p>
    <w:p w:rsidR="00AC56D6" w:rsidRDefault="00AC56D6" w:rsidP="00AC56D6">
      <w:pPr>
        <w:pStyle w:val="TextoNormal"/>
      </w:pPr>
    </w:p>
    <w:p w:rsidR="00AC56D6" w:rsidRDefault="00AC56D6" w:rsidP="00AC56D6">
      <w:pPr>
        <w:pStyle w:val="TextoNormal"/>
      </w:pPr>
      <w:r>
        <w:t>b) Con fecha de 10 de febrero de 2010 se dictó acuerdo por el Servicio de gestión de impuestos directos de la Hacienda Foral de Guipúzcoa rechazando tanto la rectificación promovida como la devolución solicitada.</w:t>
      </w:r>
    </w:p>
    <w:p w:rsidR="00AC56D6" w:rsidRDefault="00AC56D6" w:rsidP="00AC56D6">
      <w:pPr>
        <w:pStyle w:val="TextoNormal"/>
      </w:pPr>
    </w:p>
    <w:p w:rsidR="00AC56D6" w:rsidRDefault="00AC56D6" w:rsidP="00AC56D6">
      <w:pPr>
        <w:pStyle w:val="TextoNormal"/>
      </w:pPr>
      <w:r>
        <w:t>c) Contra el anterior acuerdo se presentó una reclamación económico-administrativa ante el Tribunal Económico-Administrativo Foral de Guipúzcoa (núm. 242-2010) quien por resolución de fecha 27 de enero de 2011 la desestimó.</w:t>
      </w:r>
    </w:p>
    <w:p w:rsidR="00AC56D6" w:rsidRDefault="00AC56D6" w:rsidP="00AC56D6">
      <w:pPr>
        <w:pStyle w:val="TextoNormal"/>
      </w:pPr>
    </w:p>
    <w:p w:rsidR="00AC56D6" w:rsidRDefault="00AC56D6" w:rsidP="00AC56D6">
      <w:pPr>
        <w:pStyle w:val="TextoNormal"/>
      </w:pPr>
      <w:r>
        <w:t>d) Contra la anterior resolución se interpuso un recurso contencioso-administrativo (núm. 651-2011) ante la Sala de lo Contencioso-Administrativo del Tribunal Superior de Justicia del País Vasco, quien por Sentencia núm. 196/2013, de 5 de abril, de su Sección Primera acordó desestimar el recurso, al considerar que carecía de la competencia necesaria para pronunciarse sobre el objeto del recurso, en la medida que la disposición adicional quinta de la Ley Orgánica 2/1979, de 3 de octubre, del Tribunal Constitucional (en la redacción dada por la Ley Orgánica 1/2010), había atribuido al Tribunal Constitucional el conocimiento de los recursos interpuestos contra las normas forales fiscales. A juicio del órgano judicial, aunque es competente para conocer de los recursos contra los actos administrativos y de revisión económico-administrativa, sin embargo, no puede enjuiciar la validez de las normas forales fiscales de forma indirecta ni adoptar pronunciamientos anulatorios de los actos de aplicación con fundamento en la invalidez de tales normas. Y puesto que la parte recurrente invoca la vulneración, por la norma foral reguladora del impuesto sobre el patrimonio, del derecho a la igualdad de los arts. 14 y 31.1, ambos de la CE, fruto de la diferencia territorial de trato que genera, dicho planteamiento es ajeno a la jurisdicción contencioso-administrativa que carece, por cualquier medio o procedimiento, de la potestad de conocer de pretensiones en contra de normas forales fiscales. Y, por los mismos motivos, rechaza el órgano judicial el planteamiento de una cuestión de inconstitucionalidad sobre la norma foral controvertida.</w:t>
      </w:r>
    </w:p>
    <w:p w:rsidR="00AC56D6" w:rsidRDefault="00AC56D6" w:rsidP="00AC56D6">
      <w:pPr>
        <w:pStyle w:val="TextoNormal"/>
      </w:pPr>
    </w:p>
    <w:p w:rsidR="00AC56D6" w:rsidRDefault="00AC56D6" w:rsidP="00AC56D6">
      <w:pPr>
        <w:pStyle w:val="TextoNormal"/>
      </w:pPr>
      <w:r>
        <w:t xml:space="preserve">e) Promovido un incidente de nulidad de actuaciones contra la anterior Sentencia al considerar la parte recurrente que se había vulnerado su derecho a la tutela judicial efectiva ante </w:t>
      </w:r>
      <w:r>
        <w:lastRenderedPageBreak/>
        <w:t>la negativa del órgano judicial al planteamiento de la cuestión de inconstitucionalidad, mediante providencia de fecha 15 de mayo de 2013 se inadmitió a trámite al considerar que la pretensión de planteamiento de la citada cuestión carecía de todo fundamento legítimo, pues aspiraba a imponer el ejercicio de una facultad atribuida a los Jueces y Tribunales por el art. 5.2 de la Ley Orgánica 6/1985, de 1 de julio.</w:t>
      </w:r>
    </w:p>
    <w:p w:rsidR="00AC56D6" w:rsidRDefault="00AC56D6" w:rsidP="00AC56D6">
      <w:pPr>
        <w:pStyle w:val="TextoNormal"/>
      </w:pPr>
    </w:p>
    <w:p w:rsidR="00AC56D6" w:rsidRDefault="00AC56D6" w:rsidP="00AC56D6">
      <w:pPr>
        <w:pStyle w:val="TextoNormal"/>
      </w:pPr>
      <w:r w:rsidRPr="00AC56D6">
        <w:rPr>
          <w:rStyle w:val="NumeroAFNegritaCaracter"/>
        </w:rPr>
        <w:t>2</w:t>
      </w:r>
      <w:r>
        <w:t>. La recurrente en amparo imputa a la resolución judicial impugnada la vulneración del derecho a la tutela judicial efectiva (art. 24.1 CE) por falta de motivación, por arbitrariedad y por haberle causado indefensión, al habérsele negado el planteamiento de la cuestión de inconstitucionalidad solicitada, sin un solo argumento, impidiéndosele con ello el derecho a obtener una resolución sobre el fondo del asunto. Para la recurrente, la Sentencia niega el planteamiento de la cuestión de inconstitucionalidad sin fundamentación alguna, cuando lo cierto es que su planteamiento no es una cuestión discrecional para el órgano judicial cuando el fallo del litigio dependa de la validez de la norma aplicada. Al haber rechazado apriorística e inmotivadamente el planteamiento solicitado, la decisión del órgano judicial ha incurrido en arbitrariedad causándole indefensión, sobre todo porque la pretensión esgrimida se dirigía precisamente a que la Sala ejerciese su jurisdicción, en el marco de las atribuciones que le corresponden, entrando a valorar circunstanciadamente la procedencia o no de plantear la cuestión de inconstitucionalidad, tras un análisis sustantivo, adoptando a continuación una decisión fundada, favorable o no a dicho planteamiento. Sin embargo, la Sentencia incurre en arbitrariedad cuando reconoce su propia incompetencia para resolver sobre la nulidad de la norma aplicada y, no obstante ello, rechaza suscitar la pretendida cuestión dejando de este modo al recurso privado de todo objeto o contenido.</w:t>
      </w:r>
    </w:p>
    <w:p w:rsidR="00AC56D6" w:rsidRDefault="00AC56D6" w:rsidP="00AC56D6">
      <w:pPr>
        <w:pStyle w:val="TextoNormal"/>
      </w:pPr>
    </w:p>
    <w:p w:rsidR="00AC56D6" w:rsidRDefault="00AC56D6" w:rsidP="00AC56D6">
      <w:pPr>
        <w:pStyle w:val="TextoNormal"/>
      </w:pPr>
      <w:r>
        <w:t>Finalmente, la demandante de amparo precisa que, para evitar reiteraciones inútiles, en orden a justificar la invalidez sobrevenida de la Norma Foral de Guipúzcoa 14/1991, de 27 de diciembre, reguladora del impuesto sobre el patrimonio, por vulneración del art. 2 de la Ley 12/2002, del concierto económico, y del art. 41.2 c) de la Ley Orgánica 3/1979, del Estatuto de Autonomía del País Vasco, se remite a lo manifestado en el cuerpo del escrito del recurso contencioso-administrativo.</w:t>
      </w:r>
    </w:p>
    <w:p w:rsidR="00AC56D6" w:rsidRDefault="00AC56D6" w:rsidP="00AC56D6">
      <w:pPr>
        <w:pStyle w:val="TextoNormal"/>
      </w:pPr>
    </w:p>
    <w:p w:rsidR="00AC56D6" w:rsidRDefault="00AC56D6" w:rsidP="00AC56D6">
      <w:pPr>
        <w:pStyle w:val="TextoNormal"/>
      </w:pPr>
      <w:r>
        <w:t>En virtud de lo anterior, solicita la recurrente en amparo que se estime el recurso, se le reconozca su derecho a la tutela judicial efectiva y, de conformidad con el art. 55.2 de la Ley Orgánica del Tribunal Constitucional (LOTC), se eleve al Pleno del Tribunal Constitucional una cuestión de inconstitucionalidad contra la Norma Foral 14/1991, de 27 de diciembre, reguladora del impuesto sobre el patrimonio, o, subsidiariamente, se anule y deje sin efecto la sentencia dictada con retroacción de las actuaciones al momento anterior al dictado de la sentencia para que por la Sala juzgadora se eleve una cuestión de inconstitucionalidad respecto de la norma foral identificada.</w:t>
      </w:r>
    </w:p>
    <w:p w:rsidR="00AC56D6" w:rsidRDefault="00AC56D6" w:rsidP="00AC56D6">
      <w:pPr>
        <w:pStyle w:val="TextoNormal"/>
      </w:pPr>
    </w:p>
    <w:p w:rsidR="00AC56D6" w:rsidRDefault="00AC56D6" w:rsidP="00AC56D6">
      <w:pPr>
        <w:pStyle w:val="TextoNormal"/>
      </w:pPr>
      <w:r w:rsidRPr="00AC56D6">
        <w:rPr>
          <w:rStyle w:val="NumeroAFNegritaCaracter"/>
        </w:rPr>
        <w:t>3</w:t>
      </w:r>
      <w:r>
        <w:t>. Por providencia con fecha de 722 de septiembre de 2014, la Sala Primera de este Tribunal acordó la admisión a trámite del recurso de amparo. Asimismo, y en aplicación de lo previsto en el art. 51 de la Ley Orgánica de este Tribunal, acordó dirigir comunicación a la Sala de lo Contencioso-Administrativo del Tribunal Superior de Justicia del País Vasco a fin de que, en el plazo de diez días, remitiese certificación o fotocopia adverada de las actuaciones correspondientes al recurso contencioso-administrativo núm. 651-2011, intere</w:t>
      </w:r>
      <w:r>
        <w:lastRenderedPageBreak/>
        <w:t>sándose al mismo tiempo que se emplazara a quienes hubiesen sido parte en el procedimiento, excepto a la parte recurrente en amparo, para que en el plazo de diez días pudieran comparecer ante este Tribunal si así lo desearan.</w:t>
      </w:r>
    </w:p>
    <w:p w:rsidR="00AC56D6" w:rsidRDefault="00AC56D6" w:rsidP="00AC56D6">
      <w:pPr>
        <w:pStyle w:val="TextoNormal"/>
      </w:pPr>
    </w:p>
    <w:p w:rsidR="00AC56D6" w:rsidRDefault="00AC56D6" w:rsidP="00AC56D6">
      <w:pPr>
        <w:pStyle w:val="TextoNormal"/>
      </w:pPr>
      <w:r w:rsidRPr="00AC56D6">
        <w:rPr>
          <w:rStyle w:val="NumeroAFNegritaCaracter"/>
        </w:rPr>
        <w:t>4</w:t>
      </w:r>
      <w:r>
        <w:t>. Por escrito presentado en el Registro General de este Tribunal el día 20 de octubre de 2014 la Procuradora de los Tribunales doña Rocío Martín Echagüe, actuando en nombre y representación de la Excma. Diputación Foral de Guipúzcoa, solicitó que se la tuviese por comparecida en el presente proceso constitucional en la representación citada.</w:t>
      </w:r>
    </w:p>
    <w:p w:rsidR="00AC56D6" w:rsidRDefault="00AC56D6" w:rsidP="00AC56D6">
      <w:pPr>
        <w:pStyle w:val="TextoNormal"/>
      </w:pPr>
    </w:p>
    <w:p w:rsidR="00AC56D6" w:rsidRDefault="00AC56D6" w:rsidP="00AC56D6">
      <w:pPr>
        <w:pStyle w:val="TextoNormal"/>
      </w:pPr>
      <w:r w:rsidRPr="00AC56D6">
        <w:rPr>
          <w:rStyle w:val="NumeroAFNegritaCaracter"/>
        </w:rPr>
        <w:t>5</w:t>
      </w:r>
      <w:r>
        <w:t>. Mediante diligencia de ordenación con fecha de 24 de octubre de 2014 la Sala Primera de este Tribunal acordó tener por personada y parte en nombre y representación de la Excma. Diputación Foral de Guipúzcoa a la Procuradora de los Tribunales doña Rocío Martín Echagüe, así como dar vista de las actuaciones recibidas a las partes personadas y al Ministerio Fiscal, por plazo común de 20 días, para que, conforme determina el art. 52.1 de la Ley Orgánica de este Tribunal, presentasen las alegaciones que a su derecho convinieren.</w:t>
      </w:r>
    </w:p>
    <w:p w:rsidR="00AC56D6" w:rsidRDefault="00AC56D6" w:rsidP="00AC56D6">
      <w:pPr>
        <w:pStyle w:val="TextoNormal"/>
      </w:pPr>
    </w:p>
    <w:p w:rsidR="00AC56D6" w:rsidRDefault="00AC56D6" w:rsidP="00AC56D6">
      <w:pPr>
        <w:pStyle w:val="TextoNormal"/>
      </w:pPr>
      <w:r w:rsidRPr="00AC56D6">
        <w:rPr>
          <w:rStyle w:val="NumeroAFNegritaCaracter"/>
        </w:rPr>
        <w:t>6</w:t>
      </w:r>
      <w:r>
        <w:t>. El día 24 de noviembre de 2014 presentó su escrito de alegaciones el Ministerio Fiscal solicitando la estimación del recurso al considerar que se ha lesionado el derecho de la actora tanto a la tutela judicial efectiva sin indefensión (art. 24.1 CE), procediéndose, en orden al restablecimiento de los derechos fundamentales lesionados, a retrotraerse las actuaciones al momento anterior a dictar Sentencia, con el fin de que se dicte una resolución fundada en Derecho respecto de la procedencia de plantear al Tribunal Constitucional una cuestión de inconstitucionalidad sobre la Norma Foral 14/1991, reguladora del impuesto sobre el patrimonio en Guipúzcoa.</w:t>
      </w:r>
    </w:p>
    <w:p w:rsidR="00AC56D6" w:rsidRDefault="00AC56D6" w:rsidP="00AC56D6">
      <w:pPr>
        <w:pStyle w:val="TextoNormal"/>
      </w:pPr>
    </w:p>
    <w:p w:rsidR="00AC56D6" w:rsidRDefault="00AC56D6" w:rsidP="00AC56D6">
      <w:pPr>
        <w:pStyle w:val="TextoNormal"/>
      </w:pPr>
      <w:r>
        <w:t>Tras precisar los hechos que han dado lugar a la presente demanda de amparo concreta la Fiscal el núcleo del recurso contencioso-administrativo, que lo constituía la eventual ilegalidad sobrevenida de la Norma Foral 14/1991, reguladora del impuesto sobre el patrimonio en Guipúzcoa, que sustentaba la exacción del impuesto en el ejercicio 2008, como consecuencia de la aprobación de la Ley 4/2008, de 23 de diciembre, cuyo art. 3 suprimía el impuesto sobre el patrimonio, con efectos del 1 de enero de 2008, mediante una bonificación en cuota del 100 por 100. Señala la Fiscal que para la recurrente la norma foral no solo violaba el principio de igualdad en relación con el deber de contribuir (arts. 14 y 31.1 CE), al discriminar en función del territorio de residencia, sino que contradecía la Ley 12/2002, del concierto económico, y la Ley del Parlamento Vasco 3/1989, de armonización, coordinación y colaboración fiscal. Se trataba, pues, de un recurso indirecto contra la Norma Foral 14/1991, como señalaba la propia Diputación Foral de Guipúzcoa en la contestación a la demanda, lo que suponía la falta de competencia de la jurisdicción contencioso-administrativa para conocer de la pretensión deducida [</w:t>
      </w:r>
      <w:r w:rsidRPr="00AC56D6">
        <w:rPr>
          <w:i/>
        </w:rPr>
        <w:t>ex</w:t>
      </w:r>
      <w:r>
        <w:t xml:space="preserve"> art. 3 d) de la Ley reguladora de la jurisdicción contencioso-administrativa (LJCA) y disposición adicional quinta LOTC] y la necesidad de plantear una cuestión ante el Tribunal Constitucional.</w:t>
      </w:r>
    </w:p>
    <w:p w:rsidR="00AC56D6" w:rsidRDefault="00AC56D6" w:rsidP="00AC56D6">
      <w:pPr>
        <w:pStyle w:val="TextoNormal"/>
      </w:pPr>
    </w:p>
    <w:p w:rsidR="00AC56D6" w:rsidRDefault="00AC56D6" w:rsidP="00AC56D6">
      <w:pPr>
        <w:pStyle w:val="TextoNormal"/>
      </w:pPr>
      <w:r>
        <w:t xml:space="preserve">Por su parte, la Sala de lo Contencioso-Administrativo del Tribunal Superior de Justicia del País Vasco, en la Sentencia impugnada, reconoce que tanto el art. 3 d) LJCA como la disposición adicional quinta LOTC, han excluido la competencia de la jurisdicción contencioso-administrativa para pronunciarse sobre la validez de la normas forales fiscales o para declarar la invalidez de los actos dictados en su aplicación con fundamento en la ilegalidad </w:t>
      </w:r>
      <w:r>
        <w:lastRenderedPageBreak/>
        <w:t>de las mismas; esos preceptos legales confieren a los Tribunales la facultad de elevar al Tribunal Constitucional una cuestión prejudicial sobre la validez de las normas forales, cuando de ella dependa el fallo de litigio, pero le impiden inaplicar dichas normas; la eventual nulidad sobrevenida de la Norma Foral 14/1991, por su contradicción con la Ley 12/2002, del concierto económico, está excluida de la jurisdicción contencioso-administrativa y corresponde a la jurisdicción constitucional, al tratarse de una norma que integra el bloque de la constitucionalidad (art. 28 LOTC); no procede plantear una cuestión de inconstitucionalidad al haberse confundido por la parte recurrente el mecanismo de depuración del ordenamiento jurídico de la cuestión de inconstitucionalidad con el de la cuestión de ilegalidad de normas que no tienen rango de ley (arts. 123 a 126 LJCA).</w:t>
      </w:r>
    </w:p>
    <w:p w:rsidR="00AC56D6" w:rsidRDefault="00AC56D6" w:rsidP="00AC56D6">
      <w:pPr>
        <w:pStyle w:val="TextoNormal"/>
      </w:pPr>
    </w:p>
    <w:p w:rsidR="00AC56D6" w:rsidRDefault="00AC56D6" w:rsidP="00AC56D6">
      <w:pPr>
        <w:pStyle w:val="TextoNormal"/>
      </w:pPr>
      <w:r>
        <w:t>Para la Fiscal los anteriores razonamientos del órgano judicial no pueden considerarse como una motivación razonable y suficiente por los siguientes motivos. En primer lugar, porque si bien es cierto que la pretensión esgrimida en el recurso contencioso-administrativo era la de anular los actos administrativos que rechazaron la solicitud de rectificación de la autoliquidación del impuesto sobre el patrimonio, con fundamento en la ilegalidad sobrevenida de la Norma Foral 14/1991, lo que excluía el conocimiento de la eventual inconstitucionalidad de esta norma por parte de la jurisdicción contencioso-administrativa al corresponder su conocimiento en exclusiva al Tribunal Constitucional, sin embargo, la Sentencia impugnada no hace ningún tipo de valoración o razonamiento que permita conocer por qué no es procedente el planteamiento de la cuestión de inconstitucionalidad, al margen de que la solicitud hecha por la parte pudiera haber sido incorrecta jurídicamente. En segundo lugar, aunque el órgano judicial subraya que el planteamiento de las cuestiones de inconstitucionalidad corresponde en exclusiva a los órganos jurisdiccionales y no a las partes, resulta incoherente luego cuando se limita a rechazar su planteamiento sin incorporar ningún razonamiento sobre la validez de la norma foral que, finalmente, termina aplicando implícitamente al resolver el recurso de forma desestimatoria.</w:t>
      </w:r>
    </w:p>
    <w:p w:rsidR="00AC56D6" w:rsidRDefault="00AC56D6" w:rsidP="00AC56D6">
      <w:pPr>
        <w:pStyle w:val="TextoNormal"/>
      </w:pPr>
    </w:p>
    <w:p w:rsidR="00AC56D6" w:rsidRDefault="00AC56D6" w:rsidP="00AC56D6">
      <w:pPr>
        <w:pStyle w:val="TextoNormal"/>
      </w:pPr>
      <w:r>
        <w:t>En suma, para la Fiscal, la falta de planteamiento de la cuestión de inconstitucionalidad de manera incoherente y arbitraria supone una lesión del derecho a la tutela judicial efectiva sin indefensión del art. 24.1 CE (SSTC 182/2012 y 177/2013). El órgano judicial, pese a tener obligación de plantear una cuestión de inconstitucionalidad por depender de la validez de la Norma Foral 14/1991, impugnada indirectamente y aplicable al caso, el fallo a adoptar, sin embargo, elude pronunciarse, no constituyendo una motivación suficiente el incorrecto planteamiento efectuado por la parte recurrente en su demanda, pues, como bien dice el órgano judicial, si la decisión del planteamiento no depende de la voluntad de la parte, al ser una decisión exclusiva de éste, debe realizar su propia valoración de la norma aplicable para resolver la cuestión planteada. Así las cosas, al desestimar el órgano judicial el recurso contencioso-administrativo con confirmación de los actos administrativos impugnados, ha incurrido en un exceso de jurisdicción, pues ha resuelto de manera implícita el recurso indirecto contra la Norma Foral 14/1991, sin plantear una cuestión de inconstitucionalidad ante el Tribunal Constitucional.</w:t>
      </w:r>
    </w:p>
    <w:p w:rsidR="00AC56D6" w:rsidRDefault="00AC56D6" w:rsidP="00AC56D6">
      <w:pPr>
        <w:pStyle w:val="TextoNormal"/>
      </w:pPr>
    </w:p>
    <w:p w:rsidR="00AC56D6" w:rsidRDefault="00AC56D6" w:rsidP="00AC56D6">
      <w:pPr>
        <w:pStyle w:val="TextoNormal"/>
      </w:pPr>
      <w:r>
        <w:t xml:space="preserve">Por otra parte, considera la Fiscal que la providencia de 15 de mayo de 2013 que inadmitió el incidente de nulidad de actuaciones, con fundamento en que el planteamiento de las cuestiones de inconstitucionalidad son una facultad exclusiva de los Tribunales, no es una respuesta fundada en Derecho, careciendo de una verdadera motivación y, por tanto, es </w:t>
      </w:r>
      <w:r>
        <w:lastRenderedPageBreak/>
        <w:t>igualmente lesiva del derecho a la tutela judicial efectiva tanto desde la perspectiva del derecho a obtener una resolución fundada en Derecho como desde la del derecho al recurso.</w:t>
      </w:r>
    </w:p>
    <w:p w:rsidR="00AC56D6" w:rsidRDefault="00AC56D6" w:rsidP="00AC56D6">
      <w:pPr>
        <w:pStyle w:val="TextoNormal"/>
      </w:pPr>
    </w:p>
    <w:p w:rsidR="00AC56D6" w:rsidRDefault="00AC56D6" w:rsidP="00AC56D6">
      <w:pPr>
        <w:pStyle w:val="TextoNormal"/>
      </w:pPr>
      <w:r w:rsidRPr="00AC56D6">
        <w:rPr>
          <w:rStyle w:val="NumeroAFNegritaCaracter"/>
        </w:rPr>
        <w:t>7</w:t>
      </w:r>
      <w:r>
        <w:t>. La Procuradora de los Tribunales, doña Rocío Martín Echagüe, en nombre y representación de la Excma. Diputación Foral de Guipúzcoa, presentó su escrito de alegaciones el día 24 de noviembre de 2014 suplicando se dictase Sentencia por la que se declarase no haber lugar al amparo solicitado. A su juicio, las partes en un proceso judicial no tienen derecho a plantear cuestiones de inconstitucionalidad al ser una potestad exclusiva de los órganos judiciales en aquellos casos en los que puedan albergar una duda sobre la constitucionalidad de la norma aplicable al caso y de cuya validez dependa el fallo (SSTC 148/1986, 23/1988 y 159/1997). Por esta razón, la decisión de un órgano judicial de no elevar al Tribunal Constitucional una cuestión de inconstitucionalidad no viola el derecho a la tutela judicial efectiva (STC 159/1997, FJ 5).</w:t>
      </w:r>
    </w:p>
    <w:p w:rsidR="00AC56D6" w:rsidRDefault="00AC56D6" w:rsidP="00AC56D6">
      <w:pPr>
        <w:pStyle w:val="TextoNormal"/>
      </w:pPr>
    </w:p>
    <w:p w:rsidR="00AC56D6" w:rsidRDefault="00AC56D6" w:rsidP="00AC56D6">
      <w:pPr>
        <w:pStyle w:val="TextoNormal"/>
      </w:pPr>
      <w:r>
        <w:t>Para la Diputación Foral de Guipúzcoa no puede apreciarse la lesión denunciada pues la Sentencia impugnada está suficientemente motivada, en la medida que la Sala sentenciadora se reconoce competente para conocer y resolver acerca del acto impugnado (denegación de la solicitud de rectificación de la autoliquidación del impuesto sobre el patrimonio correspondiente al ejercicio 2008), pero no puede declarar la invalidez de la liquidación con base en la inconstitucionalidad de la Norma Foral 14/1991. A su juicio, el órgano judicial está cumpliendo con los dos requisitos que exige la doctrina del Tribunal Constitucional para motivar la no elevación de una cuestión de inconstitucionalidad (ATC 129/2014): que la resolución esté suficientemente motivada en el sentido de contener los elementos y razones de juicio que permiten conocer cuáles han sido los criterios jurídicos que han fundamentado la decisión, y que la motivación contenga una fundamentación en Derecho, lo que conlleva la garantía de que la decisión no sea consecuencia de una aplicación arbitraria de la legalidad.</w:t>
      </w:r>
    </w:p>
    <w:p w:rsidR="00AC56D6" w:rsidRDefault="00AC56D6" w:rsidP="00AC56D6">
      <w:pPr>
        <w:pStyle w:val="TextoNormal"/>
      </w:pPr>
    </w:p>
    <w:p w:rsidR="00AC56D6" w:rsidRDefault="00AC56D6" w:rsidP="00AC56D6">
      <w:pPr>
        <w:pStyle w:val="TextoNormal"/>
      </w:pPr>
      <w:r w:rsidRPr="00AC56D6">
        <w:rPr>
          <w:rStyle w:val="NumeroAFNegritaCaracter"/>
        </w:rPr>
        <w:t>8</w:t>
      </w:r>
      <w:r>
        <w:t>. Mediante escrito registrado en este Tribunal el día 25 de noviembre de 2014, doña María Isabel Gordoa Altolaguirre, representada por el Procurador don Ramiro Reynolds Martínez y defendida por la Letrada doña María del Carmen Muñoz López, evacuó el trámite de alegaciones conferido suplicando se dictase Sentencia estimatoria del amparo pretendido, insistiendo para ello en los mismos argumentos que en su escrito de demanda.</w:t>
      </w:r>
    </w:p>
    <w:p w:rsidR="00AC56D6" w:rsidRDefault="00AC56D6" w:rsidP="00AC56D6">
      <w:pPr>
        <w:pStyle w:val="TextoNormal"/>
      </w:pPr>
    </w:p>
    <w:p w:rsidR="00AC56D6" w:rsidRDefault="00AC56D6" w:rsidP="00AC56D6">
      <w:pPr>
        <w:pStyle w:val="TextoNormal"/>
      </w:pPr>
      <w:r>
        <w:t>Además, la parte actora fundamenta la nulidad e inconstitucionalidad de la Norma Foral de Guipúzcoa 14/1991, de 27 de diciembre, reguladora del impuesto sobre el patrimonio, por falta de potestad del territorio histórico de Guipúzcoa para mantener la vigencia del impuesto sobre el patrimonio que había sido suprimido por parte del Estado (por la Ley 4/2008, de 23 de diciembre), contradiciendo así lo previsto en el art. 41.2 c) de la Ley Orgánica 3/1979, del Estatuto de Autonomía, y en los arts. 1 a 3 de la Ley 12/2012, del concierto con el País Vasco, que obliga a los territorios históricos a mantener, dentro de su territorio, un régimen de tributos concertados, siguiendo la estructura general impositiva del Estado y adoptando las medidas normativas necesarias para aplicar las medidas fiscales de carácter excepcional y coyuntural que el Estado decida. Sin embargo, Guipúzcoa ha mantenido en su territorio un impuesto, el del patrimonio, que había sido suprimido en el ordenamiento nacional, cuando lo que debía haber hecho era haber procedido también a su eliminación coetánea como así hicieron los territorios de Álava (Norma Foral 22/2008, de 22 de diciembre) y Vizcaya (Norma Foral 7/2007, de 20 de diciembre).</w:t>
      </w:r>
    </w:p>
    <w:p w:rsidR="00AC56D6" w:rsidRDefault="00AC56D6" w:rsidP="00AC56D6">
      <w:pPr>
        <w:pStyle w:val="TextoNormal"/>
      </w:pPr>
    </w:p>
    <w:p w:rsidR="00AC56D6" w:rsidRDefault="00AC56D6" w:rsidP="00AC56D6">
      <w:pPr>
        <w:pStyle w:val="TextoNormal"/>
      </w:pPr>
      <w:r w:rsidRPr="00AC56D6">
        <w:rPr>
          <w:rStyle w:val="NumeroAFNegritaCaracter"/>
        </w:rPr>
        <w:t>9</w:t>
      </w:r>
      <w:r>
        <w:t>. Por providencia de 10 de diciembre de 2015 se señaló para deliberación y votación de la presente Sentencia el día 14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presente recurso de amparo se dirige contra la Sentencia núm. 196/2013 de la Sección Primera de la Sala de lo Contencioso-administrativo del Tribunal Superior de Justicia del País Vasco de fecha 5 de abril de 2013, por la que se desestima el recurso contencioso-administrativo núm. 651/2011 interpuesto contra el acuerdo del Tribunal Económico-Administrativo Foral de Guipúzcoa de fecha 27 de enero de 2011, desestimatorio, a su vez, de la reclamación económico-administrativa núm. 242/2010 promovida contra el acuerdo del Servicio de gestión de impuestos directos de fecha 10 de febrero de 2010, que rechazaba la solicitud de rectificación de la autoliquidación formulada por el impuesto sobre el patrimonio correspondiente al ejercicio 2008.</w:t>
      </w:r>
    </w:p>
    <w:p w:rsidR="00AC56D6" w:rsidRDefault="00AC56D6" w:rsidP="00AC56D6">
      <w:pPr>
        <w:pStyle w:val="TextoNormal"/>
      </w:pPr>
    </w:p>
    <w:p w:rsidR="00AC56D6" w:rsidRDefault="00AC56D6" w:rsidP="00AC56D6">
      <w:pPr>
        <w:pStyle w:val="TextoNormal"/>
      </w:pPr>
      <w:r>
        <w:t>Como ha quedado expuesto con mayor detalle en los antecedentes, la recurrente en amparo solicitaba la rectificación de su autoliquidación del impuesto sobre el patrimonio correspondiente al ejercicio 2008 por considerar que la Norma Foral 14/1991, de 27 de diciembre, del impuesto sobre el patrimonio, que le daba cobertura, era inconstitucional, no solo por establecer una discriminación por razón de la residencia contraria a los arts. 14 y 31.1, ambos de la Constitución, sino por contradecir tanto el art. 2 de la Ley 12/2002, de 23 de mayo, por la que se aprueba el concierto económico con la Comunidad Autónoma del País Vasco, como el art. 41.2 c) de la Ley Orgánica 3/1979, de 18 de diciembre, de Estatuto de Autonomía del País Vasco. Rechazada dicha solicitud en vía administrativa, en el recurso contencioso-administrativo articulado ante la Sala de lo Contencioso-Administrativo del Tribunal Superior de Justicia del País Vasco, se cuestionaba nuevamente la constitucionalidad de la citada Norma Foral 14/1991 que daba cobertura a la autoliquidación presentada. Sin embargo, la Sala desestimó el recurso al considerar que, puesto que el conocimiento de la constitucionalidad de las normas forales fiscales le corresponde en exclusiva al Tribunal Constitucional tras la reforma operada por la Ley Orgánica 1/2010, de 19 de febrero, de modificación de las leyes orgánicas del Tribunal Constitucional y del Poder Judicial, carecía de competencia tanto para enjuiciar la validez de las normas forales fiscales como para adoptar pronunciamientos anulatorios de los actos de aplicación con fundamento en la invalidez de tales normas, razón por la cual, rechazó el planteamiento de una cuestión de inconstitucionalidad sobre su validez.</w:t>
      </w:r>
    </w:p>
    <w:p w:rsidR="00AC56D6" w:rsidRDefault="00AC56D6" w:rsidP="00AC56D6">
      <w:pPr>
        <w:pStyle w:val="TextoNormal"/>
      </w:pPr>
    </w:p>
    <w:p w:rsidR="00AC56D6" w:rsidRDefault="00AC56D6" w:rsidP="00AC56D6">
      <w:pPr>
        <w:pStyle w:val="TextoNormal"/>
      </w:pPr>
      <w:r>
        <w:t>El Ministerio Fiscal ha solicitado el otorgamiento del amparo por entender producida la lesión del derecho a la tutela judicial efectiva sin indefensión (art. 24.1 CE), al haberse rechazado de forma incoherente y arbitraria el planteamiento de una cuestión de inconstitucionalidad sobre la validez de la Norma Foral 14/1991. En cambio, la Excma. Diputación Foral de Guipúzcoa considera que no puede apreciarse la lesión denunciada al no existir un derecho de las partes de un proceso judicial al planteamiento de cuestiones de inconstitucionalidad, siendo esta una potestad exclusiva de los órganos judiciales en aquellos casos en los que puedan albergar una duda sobre la constitucionalidad de la norma aplicable al caso y de cuya validez dependa el fallo.</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2</w:t>
      </w:r>
      <w:r>
        <w:t xml:space="preserve">. La Sentencia de la Sección Tercera del Tribunal Europeo de Derechos Humanos de 20 de enero de 2015 (asunto </w:t>
      </w:r>
      <w:r w:rsidRPr="00AC56D6">
        <w:rPr>
          <w:i/>
        </w:rPr>
        <w:t>Arribas Antón c. España</w:t>
      </w:r>
      <w:r>
        <w:t>) exige que en los asuntos admitidos a trámite por este Tribunal Constitucional se explicite la razón de su especial trascendencia constitucional (§ 46). Pues bien, de conformidad con lo previsto en el art. 50.1 b) de la Ley Orgánica 2/1979, de 3 de octubre, del Tribunal Constitucional, y de acuerdo con los criterios explicitados en la STC 155/2009, de 25 de junio, FJ 2, debe señalarse que la cuestión planteada en el presente proceso de amparo permite precisar a este Tribunal, tras el cambio normativo producido con la aprobación de la Ley Orgánica 1/2010, de 19 de febrero, de modificación de las leyes orgánicas del Tribunal Constitucional y del Poder Judicial, su doctrina sobre el derecho a la tutela judicial efectiva (art. 24.1 CE) en relación con la facultad de los órganos judiciales de controlar la validez constitucional de las normas forales fiscales en orden a su eventual inaplicación previo planteamiento de una cuestión prejudicial de validez ante este Tribunal Constitucional.</w:t>
      </w:r>
    </w:p>
    <w:p w:rsidR="00AC56D6" w:rsidRDefault="00AC56D6" w:rsidP="00AC56D6">
      <w:pPr>
        <w:pStyle w:val="TextoNormal"/>
      </w:pPr>
    </w:p>
    <w:p w:rsidR="00AC56D6" w:rsidRDefault="00AC56D6" w:rsidP="00AC56D6">
      <w:pPr>
        <w:pStyle w:val="TextoNormal"/>
      </w:pPr>
      <w:r>
        <w:t>Una vez hecha la precisión que antecede es importante señalar que la única cuestión que se somete a nuestra consideración, desde la óptica del derecho a la tutela judicial efectiva del art. 24.1 CE es, si la negativa del órgano judicial a controlar la constitucionalidad de la Norma Foral 14/1991 es o no lesiva del citado derecho fundamental, cuestión esta que ha sido recientemente resuelta en la STC 222/2015, de 2 de noviembre, en los términos que señalaremos a continuación. Eso sí, debe precisarse, antes que nada, que en el presente proceso constitucional no se ventila la eventual constitucionalidad de la Norma Foral 14/1991 sino, única y exclusivamente, si la negativa del órgano judicial a plantear una cuestión prejudicial ante este Tribunal Constitucional sobre la misma es contraria a aquel derecho fundamental, pues “el recurso de amparo no es un cauce idóneo para efectuar juicios abstractos de constitucionalidad de la Ley, sino un medio reparador de lesiones concretas y efectivas de derechos fundamentales (SSTC 206/1990, de 17 de diciembre, FJ 5; 119/1991, de 3 de junio, FJ 4; 31/1994, de 31 de enero, FJ 4; 120/1998, de 15 de junio, FJ 1), salvo cuando ello resulte imprescindible para corregir la lesión del derecho fundamental que sea achacable directamente a la aplicación del precepto legal que se reputa contrario a la Constitución (entre otras, SSTC 223/2001, de 5 de noviembre, FJ 7; 222/2004, de 29 de noviembre, FJ 3)” (STC 47/2007, de 12 de marzo, FJ 4). Y puesto que el objeto del presente proceso constitucional consiste en determinar, como se ha dicho, si la negativa de la Sala juzgadora a aplicar la norma o a no plantear una cuestión prejudicial ante este Tribunal Constitucional es o no lesiva del art. 24.1 CE, hay que excluir ya en este momento el análisis de la eventual contradicción entre la norma foral fiscal que da cobertura a los actos administrativos impugnados y la Constitución, el Estatuto de Autonomía del País Vasco o la Ley del concierto.</w:t>
      </w:r>
    </w:p>
    <w:p w:rsidR="00AC56D6" w:rsidRDefault="00AC56D6" w:rsidP="00AC56D6">
      <w:pPr>
        <w:pStyle w:val="TextoNormal"/>
      </w:pPr>
    </w:p>
    <w:p w:rsidR="00AC56D6" w:rsidRDefault="00AC56D6" w:rsidP="00AC56D6">
      <w:pPr>
        <w:pStyle w:val="TextoNormal"/>
      </w:pPr>
      <w:r>
        <w:t xml:space="preserve">A este respecto debe señalarse que, aun cuando las normas forales fiscales son disposiciones normativas que carecen de rango de ley, desde la reforma operada por la Ley Orgánica 1/2010, de 19 de febrero, de modificación de las leyes orgánicas del Tribunal Constitucional y del Poder Judicial, su eventual declaración de inconstitucionalidad le corresponde en exclusiva al Tribunal Constitucional. En efecto, quedan excluidos del conocimiento de los Tribunales del orden contencioso-administrativo “los recursos directos o indirectos que se interpongan contra las Normas Forales fiscales de las Juntas Generales de los Territorios Históricos de Álava, Guipúzcoa y Vizcaya, que corresponderán, en exclusiva, al Tribunal Constitucional” [arts. 9.4 de la Ley Orgánica 6/1985, de 1 de julio, del Poder Judicial, y 3 d) de la Ley 29/1998, de 13 de julio, reguladora de la Jurisdicción Contencioso-Administrativa (en lo sucesivo, LJCA)]. Y ello porque, desde la entrada en vigor de esa Ley Orgánica </w:t>
      </w:r>
      <w:r>
        <w:lastRenderedPageBreak/>
        <w:t>1/2010, corresponde al Tribunal Constitucional no solo “el conocimiento de los recursos interpuestos contra las Normas Forales fiscales de los Territorios de Álava, Guipúzcoa y Vizcaya”, sino también resolver “las cuestiones que se susciten con carácter prejudicial por los órganos jurisdiccionales sobre la validez de las referidas disposiciones, cuando de ella dependa el fallo del litigio principal” [apartado 1 de la disposición adicional quinta de la Ley Orgánica 2/1979, de 3 de octubre, del Tribunal Constitucional (en adelante, LOTC)].</w:t>
      </w:r>
    </w:p>
    <w:p w:rsidR="00AC56D6" w:rsidRDefault="00AC56D6" w:rsidP="00AC56D6">
      <w:pPr>
        <w:pStyle w:val="TextoNormal"/>
      </w:pPr>
    </w:p>
    <w:p w:rsidR="00AC56D6" w:rsidRDefault="00AC56D6" w:rsidP="00AC56D6">
      <w:pPr>
        <w:pStyle w:val="TextoNormal"/>
      </w:pPr>
      <w:r>
        <w:t xml:space="preserve">Hemos señalado en la STC 222/2015, de 2 de noviembre, FJ 2 (y, posteriormente, también en las SSTC 239/2015, de 30 de noviembre, FJ 2, y 240/2015, de 30 de noviembre, FJ 2), que desde la entrada en vigor de la Ley Orgánica 1/2010, de 19 de febrero, aunque los órganos jurisdiccionales pueden fiscalizar la validez de las normas forales fiscales, no les es dado, caso de considerarlas contrarias a las normas que integran el bloque de la constitucionalidad, expulsarlas del ordenamiento jurídico, al haber querido sustraer el legislador orgánico al juez ordinario la posibilidad de no aplicar una norma foral fiscal ante un eventual juicio de incompatibilidad con aquel bloque. La depuración de este tipo de normas corresponde de forma exclusiva, a partir de aquella disposición orgánica, al Tribunal Constitucional, que tiene la competencia y la jurisdicción para declarar, con eficacia </w:t>
      </w:r>
      <w:r w:rsidRPr="00AC56D6">
        <w:rPr>
          <w:i/>
        </w:rPr>
        <w:t>erga omnes</w:t>
      </w:r>
      <w:r>
        <w:t>, su eventual inconstitucionalidad. De esta manera, forma parte de las garantías consustanciales a todo proceso judicial en nuestro Ordenamiento, entonces, el que la norma foral fiscal que, según el juzgador, resulta aplicable en aquel proceso no pueda dejar de serlo, por causa de su posible invalidez, sino a través de la promoción de la cuestión prejudicial de validez prevista en la disposición adicional quinta LOTC.</w:t>
      </w:r>
    </w:p>
    <w:p w:rsidR="00AC56D6" w:rsidRDefault="00AC56D6" w:rsidP="00AC56D6">
      <w:pPr>
        <w:pStyle w:val="TextoNormal"/>
      </w:pPr>
    </w:p>
    <w:p w:rsidR="00AC56D6" w:rsidRDefault="00AC56D6" w:rsidP="00AC56D6">
      <w:pPr>
        <w:pStyle w:val="TextoNormal"/>
      </w:pPr>
      <w:r>
        <w:t>No obstante lo anterior, es indudable que forma parte del conjunto de las facultades inherentes a la potestad de juzgar, privativa de los Jueces y Tribunales del Poder Judicial por mandato de la propia Constitución (art. 117.3), la de seleccionar la norma jurídica aplicable al caso concreto, su interpretación y la subsunción en ella de los hechos (SSTC 76/1995, de 22 de mayo, FJ 5, y 173/2002, de 9 de octubre, FJ 10). Eso sí, una vez seleccionada la norma aplicable al caso concreto, si existiesen dudas sobre su eventual contradicción con las normas que integran el bloque de la constitucionalidad definido en el art. 28 LOTC, al Juez le asisten dos opciones: bien despejar esas dudas mediante la realización, de forma fundada, de un juicio de validez de la norma aplicable; bien, en caso contrario, plantear una cuestión prejudicial sobre su eventual invalidez al Tribunal Constitucional. De este modo, si un órgano judicial estima que una norma foral fiscal adolece de posibles vicios de inconstitucionalidad, viene obligado a suscitar la correspondiente cuestión prejudicial ante el Tribunal Constitucional, y, si no lo estima así, supuesto en el que obviamente no está compelido a plantear la cuestión, debe limitarse a aplicarla, eso sí, razonando los motivos por los cuales considera, en contra de la opinión del recurrente, que la disposición cuestionada no adolece de los vicios que se le imputan, resultando plenamente conforme con el ordenamiento constitucional (SSTC 222/2015, de 2 de noviembre, FJ 2; 239/2015, de 30 de noviembre, FJ 2, y 240/2015, de 30 de noviembre, FJ 2).</w:t>
      </w:r>
    </w:p>
    <w:p w:rsidR="00AC56D6" w:rsidRDefault="00AC56D6" w:rsidP="00AC56D6">
      <w:pPr>
        <w:pStyle w:val="TextoNormal"/>
      </w:pPr>
    </w:p>
    <w:p w:rsidR="00AC56D6" w:rsidRDefault="00AC56D6" w:rsidP="00AC56D6">
      <w:pPr>
        <w:pStyle w:val="TextoNormal"/>
      </w:pPr>
      <w:r>
        <w:t xml:space="preserve">A semejanza de lo que acontece en las cuestiones de inconstitucionalidad, la decisión sobre el planteamiento de una cuestión prejudicial sobre normas forales fiscales prevista en la disposición adicional quinta LOTC corresponde, de forma exclusiva e irrevisable, al órgano judicial que resuelve el litigio, por lo que ninguna vulneración existe de los derechos garantizados por el art. 24.1 CE cuando el Juez o Tribunal no alberga dudas sobre la constitucionalidad de la norma foral fiscal aplicable al caso concreto y decide por ello, en contra </w:t>
      </w:r>
      <w:r>
        <w:lastRenderedPageBreak/>
        <w:t>de la opinión del justiciable, no plantear la cuestión al Tribunal Constitucional que se le solicita (SSTC 58/2004, de 19 de abril, FJ 10; 84/2008, de 21 de julio, FJ 5; 26/2009, de 26 de enero, FJ 2; 212/2014, de 18 de diciembre, FJ 3; 222/2015, de 2 de noviembre, FJ 2; 239/2015, de 30 de noviembre, FJ 2, y 240/2015, de 30 de noviembre, FJ 2). Ahora bien, “el que esta potestad de los Jueces y Tribunales esté configurada de manera exclusiva no significa, en modo alguno, que no deba ser exteriorizado, de manera suficiente y adecuada, el razonamiento que, desde la perspectiva tanto fáctica como jurídica, ha llevado al órgano judicial a la decisión de plantear o no dicha cuestión de inconstitucionalidad, pues no cabe olvidar que la exigencia de motivación de las Sentencias tiene rango constitucional (art. 120 CE)” (STC 35/2002, de 11 de febrero, FJ 3).</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La Sentencia núm. 196/2013 de la Sección Primera de la Sala de lo Contencioso-Administrativo del Tribunal Superior de Justicia del País Vasco de fecha 5 de abril de 2013, objeto del presente proceso constitucional, rechaza tanto entrar a conocer los vicios de inconstitucionalidad que la parte recurrente imputaba a la Norma Foral 14/1991, de 27 de diciembre, del impuesto sobre el patrimonio, como plantear una cuestión prejudicial de validez ante el Tribunal Constitucional respecto de la misma, con fundamento en su falta de competencia para conocer sobre la validez de las normas forales fiscales </w:t>
      </w:r>
      <w:r w:rsidRPr="00AC56D6">
        <w:rPr>
          <w:i/>
        </w:rPr>
        <w:t>ex</w:t>
      </w:r>
      <w:r>
        <w:t xml:space="preserve"> art. 3 d) LJCA (tras la redacción dada por la Ley Orgánica 1/2010).</w:t>
      </w:r>
    </w:p>
    <w:p w:rsidR="00AC56D6" w:rsidRDefault="00AC56D6" w:rsidP="00AC56D6">
      <w:pPr>
        <w:pStyle w:val="TextoNormal"/>
      </w:pPr>
    </w:p>
    <w:p w:rsidR="00AC56D6" w:rsidRDefault="00AC56D6" w:rsidP="00AC56D6">
      <w:pPr>
        <w:pStyle w:val="TextoNormal"/>
      </w:pPr>
      <w:r>
        <w:t>A la vista de lo expuesto es claro que hubo una dejación de funciones por parte del órgano judicial, el cual debía entrar a controlar la validez constitucional de la Norma Foral 14/1991, indirectamente impugnada, para concluir, bien su validez y, con fundamento, en la misma, considerar innecesario el planteamiento de una cuestión prejudicial ante este Tribunal Constitucional, bien su eventual invalidez y, en consecuencia, para poder no aplicarla, suscitar la correspondiente cuestión de validez. Sin embargo, el órgano judicial soslaya cualquier pronunciamiento sobre la validez de la Norma Foral 14/1991 y, sin más fundamento, inadmite (aunque formalmente desestima) el recurso articulado por la parte actora, dejando así su pretensión sin juzgar.</w:t>
      </w:r>
    </w:p>
    <w:p w:rsidR="00AC56D6" w:rsidRDefault="00AC56D6" w:rsidP="00AC56D6">
      <w:pPr>
        <w:pStyle w:val="TextoNormal"/>
      </w:pPr>
    </w:p>
    <w:p w:rsidR="00AC56D6" w:rsidRDefault="00AC56D6" w:rsidP="00AC56D6">
      <w:pPr>
        <w:pStyle w:val="TextoNormal"/>
      </w:pPr>
      <w:r>
        <w:t xml:space="preserve">Es obligado recordar que aun cuando los derechos y garantías previstos en el art. 24 CE ni garantizan la justicia de la decisión o la corrección jurídica de la actuación o interpretación llevada a cabo por los órganos judiciales comunes, pues no existe un derecho al acierto, ni tampoco aseguran la satisfacción de la pretensión de ninguna de las partes del proceso, lo que en todo caso sí aseguran es el derecho a que las pretensiones se desenvuelvan y conozcan en el proceso establecido al efecto, con observancia de las garantías constitucionales que permitan el derecho de defensa, y a que finalice con una resolución fundada en Derecho, la cual podrá ser favorable o adversa a las pretensiones ejercitadas (STC 173/2002, de 9 de octubre, FJ 8). El artículo 24 de la Constitución impone a los órganos judiciales la obligación de dictar resoluciones fundadas en Derecho, no pudiendo considerarse cumplida esta exigencia con la mera emisión de una declaración de voluntad en un sentido u otro, sino que debe ser consecuencia de una exégesis racional del ordenamiento y no fruto de la arbitrariedad. No basta, pues, con obtener una respuesta motivada, sino que, además, ésta ha de tener contenido jurídico y no resultar arbitraria. Y una resolución judicial puede tacharse de arbitraria cuando, aun constatada la existencia formal de una argumentación, la misma no es expresión de la administración de justicia sino simple apariencia de la misma por ser fruto de un mero voluntarismo judicial o expresar un proceso deductivo irracional o absurdo </w:t>
      </w:r>
      <w:r>
        <w:lastRenderedPageBreak/>
        <w:t>(SSTC 148/1994, de 12 de mayo, FJ 4; 244/1994, de 15 de septiembre, FJ 2; 54/1997, de 17 de marzo, FJ 3; 160/1997, de 2 de octubre, FJ 7, y 173/2002, de 9 de octubre, FJ 6).</w:t>
      </w:r>
    </w:p>
    <w:p w:rsidR="00AC56D6" w:rsidRDefault="00AC56D6" w:rsidP="00AC56D6">
      <w:pPr>
        <w:pStyle w:val="TextoNormal"/>
      </w:pPr>
    </w:p>
    <w:p w:rsidR="00AC56D6" w:rsidRDefault="00AC56D6" w:rsidP="00AC56D6">
      <w:pPr>
        <w:pStyle w:val="TextoNormal"/>
      </w:pPr>
      <w:r>
        <w:t>Pues bien, no cabe duda, como denuncia la parte demandante y aprecia el Ministerio Fiscal, que la resolución judicial impugnada, aunque cuenta formalmente con una motivación, carece de contenido jurídico al expresar un proceso deductivo irracional.</w:t>
      </w:r>
    </w:p>
    <w:p w:rsidR="00AC56D6" w:rsidRDefault="00AC56D6" w:rsidP="00AC56D6">
      <w:pPr>
        <w:pStyle w:val="TextoNormal"/>
      </w:pPr>
    </w:p>
    <w:p w:rsidR="00AC56D6" w:rsidRDefault="00AC56D6" w:rsidP="00AC56D6">
      <w:pPr>
        <w:pStyle w:val="TextoNormal"/>
      </w:pPr>
      <w:r w:rsidRPr="00AC56D6">
        <w:rPr>
          <w:rStyle w:val="NumeroAFNegritaCaracter"/>
        </w:rPr>
        <w:t>4</w:t>
      </w:r>
      <w:r>
        <w:t>. Habiendo evitado el órgano judicial pronunciarse sobre el fondo del asunto sometido a su consideración, so pretexto de su propia incompetencia, con fundamento en una motivación irrazonable, es obligado concluir que la decisión judicial cuestionada, como señala el Ministerio Fiscal, ha vulnerado el derecho de la parte demandante de amparo a la tutela judicial efectiva sin indefensión (art. 24.1 CE) y, por tanto, ello ha de conducir a la estimación del presente recurso de amparo.</w:t>
      </w:r>
    </w:p>
    <w:p w:rsidR="00AC56D6" w:rsidRDefault="00AC56D6" w:rsidP="00AC56D6">
      <w:pPr>
        <w:pStyle w:val="TextoNormal"/>
      </w:pPr>
    </w:p>
    <w:p w:rsidR="00AC56D6" w:rsidRDefault="00AC56D6" w:rsidP="00AC56D6">
      <w:pPr>
        <w:pStyle w:val="TextoNormal"/>
      </w:pPr>
      <w:r>
        <w:t xml:space="preserve">La parte actora ha impugnado en el presente proceso constitucional exclusivamente la Sentencia de la Sección Primera de la Sala de la Sala de lo Contencioso-Administrativo del Tribunal Superior de Justicia del País Vasco de fecha 5 de abril de 2013, que es a la que le imputa la lesión de su derecho a la tutela judicial efectiva sin indefensión. No obstante, fruto de la exigencia del art. 44.1 a) LOTC relativa a la necesidad de que se hayan agotado todos los medios de impugnación previstos por las normas procesales para el caso concreto dentro de la vía judicial, promovió contra esa resolución judicial un incidente de nulidad de actuaciones que fue rechazado, </w:t>
      </w:r>
      <w:r w:rsidRPr="00AC56D6">
        <w:rPr>
          <w:i/>
        </w:rPr>
        <w:t>a limine</w:t>
      </w:r>
      <w:r>
        <w:t>, por providencia de la misma Sala y Sección de fecha 15 de mayo de 2013.</w:t>
      </w:r>
    </w:p>
    <w:p w:rsidR="00AC56D6" w:rsidRDefault="00AC56D6" w:rsidP="00AC56D6">
      <w:pPr>
        <w:pStyle w:val="TextoNormal"/>
      </w:pPr>
    </w:p>
    <w:p w:rsidR="00AC56D6" w:rsidRDefault="00AC56D6" w:rsidP="00AC56D6">
      <w:pPr>
        <w:pStyle w:val="TextoNormal"/>
      </w:pPr>
      <w:r>
        <w:t>La constatación de la vulneración del derecho a la tutela judicial efectiva sin indefensión y, por tanto, la estimación del recurso de amparo interpuesto debe conducir necesariamente, en orden a la restitución de la recurrente en el pleno ejercicio de su derecho, a la anulación tanto de la Sentencia núm. 196/2013 de la Sección Primera de la Sala de lo Contencioso-Administrativo del Tribunal Superior de Justicia del País Vasco de fecha 5 de abril de 2013, recaída en el recurso contencioso-administrativo núm. 651-2011, así como de la providencia del mismo órgano judicial de fecha 15 de mayo de 2013, que inadmitió el incidente de nulidad de actuaciones promovido contra la anterior, con retroacción de las actuaciones al momento inmediatamente anterior al dictado de la referida Sentencia, para que por el órgano judicial se pronuncie una nueva resolución que sea respetuosa con el derecho fundamental vulnerado.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Estimar la demanda de amparo promovida por doña María Isabel Gordoa Altolaguirre y, en consecuencia:</w:t>
      </w:r>
    </w:p>
    <w:p w:rsidR="00AC56D6" w:rsidRDefault="00AC56D6" w:rsidP="00AC56D6">
      <w:pPr>
        <w:pStyle w:val="TextoNormal"/>
      </w:pPr>
    </w:p>
    <w:p w:rsidR="00AC56D6" w:rsidRDefault="00AC56D6" w:rsidP="00AC56D6">
      <w:pPr>
        <w:pStyle w:val="TextoNormal"/>
      </w:pPr>
      <w:r>
        <w:lastRenderedPageBreak/>
        <w:t>1º Declarar vulnerado el derecho fundamental de la recurrente a la tutela judicial efectiva sin indefensión (art. 24.1 CE).</w:t>
      </w:r>
    </w:p>
    <w:p w:rsidR="00AC56D6" w:rsidRDefault="00AC56D6" w:rsidP="00AC56D6">
      <w:pPr>
        <w:pStyle w:val="TextoNormal"/>
      </w:pPr>
    </w:p>
    <w:p w:rsidR="00AC56D6" w:rsidRDefault="00AC56D6" w:rsidP="00AC56D6">
      <w:pPr>
        <w:pStyle w:val="TextoNormal"/>
      </w:pPr>
      <w:r>
        <w:t>2º Restablecerla en su derecho y, a tal fin, declarar la nulidad de la Sentencia núm. 196/2013 de la Sección Primera de la Sala de lo Contencioso-Administrativo del Tribunal Superior de Justicia del País Vasco de fecha 5 de abril de 2013, recaída en el recurso contencioso-administrativo núm. 651-2011, así como de la providencia del mismo órgano judicial de fecha 15 de mayo de 2013, que inadmitió el incidente de nulidad de actuaciones promovido contra la anterior.</w:t>
      </w:r>
    </w:p>
    <w:p w:rsidR="00AC56D6" w:rsidRDefault="00AC56D6" w:rsidP="00AC56D6">
      <w:pPr>
        <w:pStyle w:val="TextoNormal"/>
      </w:pPr>
    </w:p>
    <w:p w:rsidR="00AC56D6" w:rsidRDefault="00AC56D6" w:rsidP="00AC56D6">
      <w:pPr>
        <w:pStyle w:val="TextoNormal"/>
      </w:pPr>
      <w:r>
        <w:t>3º Retrotraer las actuaciones al momento inmediatamente anterior al pronunciamiento de la primera de dichas resoluciones judiciales, para que por el citado órgano judicial se dicte otra resolución que resulte respetuosa con el derecho fundamental vulnerado.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catorce de diciembre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20" w:name="SENTENCIA_2015_264"/>
      <w:r>
        <w:lastRenderedPageBreak/>
        <w:t>SENTENCIA 264/2015, de 14 de diciembre de 2015</w:t>
      </w:r>
    </w:p>
    <w:bookmarkEnd w:id="120"/>
    <w:p w:rsidR="00AC56D6" w:rsidRDefault="00AC56D6" w:rsidP="00AC56D6">
      <w:pPr>
        <w:pStyle w:val="TtuloResolucin"/>
      </w:pPr>
      <w:r>
        <w:t>Sala Primera</w:t>
      </w:r>
    </w:p>
    <w:p w:rsidR="00AC56D6" w:rsidRDefault="00AC56D6" w:rsidP="00AC56D6">
      <w:pPr>
        <w:pStyle w:val="TtuloBOE"/>
      </w:pPr>
      <w:r>
        <w:t>(BOE núm. 19, de 22 de enero de 2016)</w:t>
      </w:r>
    </w:p>
    <w:p w:rsidR="00AC56D6" w:rsidRDefault="00AC56D6" w:rsidP="00AC56D6">
      <w:pPr>
        <w:pStyle w:val="TextoNormalCentrado"/>
      </w:pPr>
      <w:r>
        <w:t>ECLI:ES:TC:2015:264</w:t>
      </w:r>
    </w:p>
    <w:p w:rsidR="00AC56D6" w:rsidRDefault="00AC56D6" w:rsidP="00AC56D6">
      <w:pPr>
        <w:pStyle w:val="TextoNormalCentrado"/>
      </w:pPr>
    </w:p>
    <w:p w:rsidR="00AC56D6" w:rsidRDefault="00AC56D6" w:rsidP="00AC56D6">
      <w:pPr>
        <w:pStyle w:val="SntesisDescriptiva"/>
      </w:pPr>
      <w:r>
        <w:t>Cuestión de inconstitucionalidad 4253-2013. Planteada por el Juzgado de lo Contencioso-Administrativo número 2 de Tarragona en relación con el artículo 2 del Real Decreto-ley 20/2012, de 13 de julio, de medidas para garantizar la estabilidad presupuestaria y de fomento de la competitividad.</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y expropiación de derechos económicos: extinción, por pérdida de objeto, de la cuestión de inconstitucionalidad (STC 83/2015).</w:t>
      </w:r>
    </w:p>
    <w:p w:rsidR="00AC56D6" w:rsidRDefault="00AC56D6" w:rsidP="00AC56D6">
      <w:pPr>
        <w:pStyle w:val="SntesisAnaltica"/>
      </w:pPr>
    </w:p>
    <w:p w:rsidR="00AC56D6" w:rsidRDefault="00AC56D6" w:rsidP="00AC56D6">
      <w:pPr>
        <w:pStyle w:val="Extracto"/>
      </w:pPr>
      <w:r>
        <w:t>1.</w:t>
      </w:r>
      <w:r>
        <w:tab/>
        <w:t>La satisfacción extraprocesal de la pretensión deducida en el proceso laboral sobre la que se articula la cuestión de inconstitucionalidad le hace perder su objeto, al ser tal satisfacción extraprocesal uno de los posibles supuestos de extinción de la cuestión de inconstitucionalidad (SSTC 6/2010, 83/2015) [FJ 3].</w:t>
      </w:r>
    </w:p>
    <w:p w:rsidR="00AC56D6" w:rsidRDefault="00AC56D6" w:rsidP="00AC56D6">
      <w:pPr>
        <w:pStyle w:val="Extracto"/>
      </w:pPr>
    </w:p>
    <w:p w:rsidR="00AC56D6" w:rsidRDefault="00AC56D6" w:rsidP="00AC56D6">
      <w:pPr>
        <w:pStyle w:val="Extracto"/>
      </w:pPr>
      <w:r>
        <w:t>2.</w:t>
      </w:r>
      <w:r>
        <w:tab/>
        <w:t>Doctrina sobre las posibles causas de terminación extraordinaria de las cuestiones de inconstitucionalidad por pérdida sobrevenida de objeto (STC 83/2015) [FJ 3].</w:t>
      </w:r>
    </w:p>
    <w:p w:rsidR="00AC56D6" w:rsidRDefault="00AC56D6" w:rsidP="00AC56D6">
      <w:pPr>
        <w:pStyle w:val="Extracto"/>
      </w:pPr>
    </w:p>
    <w:p w:rsidR="00AC56D6" w:rsidRDefault="00AC56D6" w:rsidP="00AC56D6">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4253-2013, promovida por el Juzgado de lo Contencioso-Administrativo núm. 2 de Tarragona contra el art. 2 del Real Decreto-ley 20/2012, de 13 de julio, de medidas para garantizar la estabilidad presupuestaria y de fomento de la competitividad, por posible vulneración de los arts. 9.3 y 33 CE. Han formulado alegaciones el Fiscal General del Estado y el Abogado del Estado. Ha sido Ponente el Magistrado don Juan Antonio Xiol Ríos,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9 de julio de 2013 tuvo entrada en el Registro General de este Tribunal un oficio del Juzgado de lo Contencioso-Administrativo núm. 2 de Tarragona al que se acompaña, junto con el testimonio del procedimiento núm. 74-2013, el Auto de 5 de junio de 2013, por el que se acuerda plantear cuestión de inconstitucionalidad en relación con el art. 2 del Real Decreto-ley 20/2012, de 13 de julio, de medidas para garantizar la estabilidad presupuestaria y de fomento de la competitividad, en su aplicación al personal funcionario, por posible lesión del art. 9.3 CE, sobre la irretroactividad de la normas, y el art. 33 CE, que garantiza el derecho a la propiedad privada.</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procesales de la cuestión de inconstitucionalidad planteada son, sucintamente expuestos, los siguientes:</w:t>
      </w:r>
    </w:p>
    <w:p w:rsidR="00AC56D6" w:rsidRDefault="00AC56D6" w:rsidP="00AC56D6">
      <w:pPr>
        <w:pStyle w:val="TextoNormal"/>
      </w:pPr>
    </w:p>
    <w:p w:rsidR="00AC56D6" w:rsidRDefault="00AC56D6" w:rsidP="00AC56D6">
      <w:pPr>
        <w:pStyle w:val="TextoNormal"/>
      </w:pPr>
      <w:r>
        <w:t>a) En fecha 14 de febrero de 2013, una funcionaria de carrera de la Administración de la Generalitat de Cataluña, presentó demanda contencioso-administrativa, por los trámites del procedimiento abreviado, contra la resolución del Secretario General del Departamento de Interior, implícita en la nómina del mes de diciembre, en virtud de la cual se dejó de abonar la retribución en concepto de paga extraordinaria y paga adicional de complemento específico. En la demanda se solicitaba, entre otras pretensiones, que se condenara a la demandada a hacer efectivas las retribuciones devengadas en concepto de paga extraordinaria y paga adicional de complemento específico entre el 1 de junio y el 14 de julio de 2012.</w:t>
      </w:r>
    </w:p>
    <w:p w:rsidR="00AC56D6" w:rsidRDefault="00AC56D6" w:rsidP="00AC56D6">
      <w:pPr>
        <w:pStyle w:val="TextoNormal"/>
      </w:pPr>
    </w:p>
    <w:p w:rsidR="00AC56D6" w:rsidRDefault="00AC56D6" w:rsidP="00AC56D6">
      <w:pPr>
        <w:pStyle w:val="TextoNormal"/>
      </w:pPr>
      <w:r>
        <w:t>b) Concluso el procedimiento y dentro del plazo para dictar Sentencia, el órgano judicial dictó providencia de 7 de mayo de 2013 por la que acordó oír a las partes y al Ministerio Fiscal para que alegasen sobre la pertinencia de plantear cuestión de inconstitucionalidad en relación con el art. 2 del Real Decreto-ley 20/2012. Según señalaba la Magistrado Juez en la providencia, la duda de constitucionalidad se concretaba en que el citado precepto establece la reducción de las retribuciones en las cuantías que correspondiera percibir en el mes de diciembre de 2012 como consecuencia de la supresión de la paga o gratificación extraordinaria, sin establecer excepción alguna en cuanto a la parte que ya se hubiera devengado a la fecha de su entrada en vigor, el 15 de julio de 2012, lo que podría vulnerar el art. 9.3 CE, que garantiza la irretroactividad de las disposiciones restrictivas de derechos individuales, por afectar a derechos patrimoniales ya devengados y, consecuentemente, ya integrados en el patrimonio del personal del sector público, aun cuando su abono se produzca en el mes de diciembre del año correspondiente, pudiendo incumplir asimismo lo prevenido en el art. 33.3 CE.</w:t>
      </w:r>
    </w:p>
    <w:p w:rsidR="00AC56D6" w:rsidRDefault="00AC56D6" w:rsidP="00AC56D6">
      <w:pPr>
        <w:pStyle w:val="TextoNormal"/>
      </w:pPr>
    </w:p>
    <w:p w:rsidR="00AC56D6" w:rsidRDefault="00AC56D6" w:rsidP="00AC56D6">
      <w:pPr>
        <w:pStyle w:val="TextoNormal"/>
      </w:pPr>
      <w:r>
        <w:t>En cumplimentación del trámite de audiencia, por la Letrada de la Generalitat de Cataluña se presentó escrito de alegaciones poniendo de manifiesto que el Gobierno de la Generalitat había interpuesto recurso de inconstitucionalidad contra diversos artículos del Real Decreto-ley 20/2012, entre otros, el art. 2, que consideraba inconstitucional, pero que tal declaración debería ser hecha por el Tribunal Constitucional, estando, entre tanto, obligada la Generalitat a su cumplimiento. El Fiscal, por su parte, informó en el sentido de considerar cumplidos los requisitos formales para el planteamiento de la cuestión de inconstitucionalidad, por lo que no se oponía al mismo.</w:t>
      </w:r>
    </w:p>
    <w:p w:rsidR="00AC56D6" w:rsidRDefault="00AC56D6" w:rsidP="00AC56D6">
      <w:pPr>
        <w:pStyle w:val="TextoNormal"/>
      </w:pPr>
    </w:p>
    <w:p w:rsidR="00AC56D6" w:rsidRDefault="00AC56D6" w:rsidP="00AC56D6">
      <w:pPr>
        <w:pStyle w:val="TextoNormal"/>
      </w:pPr>
      <w:r w:rsidRPr="00AC56D6">
        <w:rPr>
          <w:rStyle w:val="NumeroAFNegritaCaracter"/>
        </w:rPr>
        <w:t>3</w:t>
      </w:r>
      <w:r>
        <w:t>. Por Auto de 5 de junio de 2013, el Juzgado de lo Contencioso-Administrativo núm. 2 de Tarragona acordó plantear la presente cuestión de inconstitucionalidad y del análisis de su contenido interesa destacar los siguientes puntos:</w:t>
      </w:r>
    </w:p>
    <w:p w:rsidR="00AC56D6" w:rsidRDefault="00AC56D6" w:rsidP="00AC56D6">
      <w:pPr>
        <w:pStyle w:val="TextoNormal"/>
      </w:pPr>
    </w:p>
    <w:p w:rsidR="00AC56D6" w:rsidRDefault="00AC56D6" w:rsidP="00AC56D6">
      <w:pPr>
        <w:pStyle w:val="TextoNormal"/>
      </w:pPr>
      <w:r>
        <w:t>a) Tras recoger los antecedentes del caso y hacer referencia al contenido del art. 35.2 de la Ley Orgánica del Tribunal Constitucional (LOTC), señala la Magistrado Juez que la duda de constitucionalidad se concreta en que los arts. 2 y 3 del citado Real Decreto-ley establecen la reducción de retribuciones en las cuantías que correspondiera percibir en el mes de diciembre de 2012 como consecuencia de la supresión de la paga extra.</w:t>
      </w:r>
    </w:p>
    <w:p w:rsidR="00AC56D6" w:rsidRDefault="00AC56D6" w:rsidP="00AC56D6">
      <w:pPr>
        <w:pStyle w:val="TextoNormal"/>
      </w:pPr>
    </w:p>
    <w:p w:rsidR="00AC56D6" w:rsidRDefault="00AC56D6" w:rsidP="00AC56D6">
      <w:pPr>
        <w:pStyle w:val="TextoNormal"/>
      </w:pPr>
      <w:r>
        <w:t>Afirma que, como ha señalado el Tribunal Supremo, las gratificaciones extraordinarias —reguladas en el art. 31 del texto refundido de la Ley del estatuto de los trabajadores como un derecho de estos— constituyen una manifestación del salario diferido y se devengan día a día, y aplica este mismo criterio a los funcionarios del sector público en virtud de lo dispuesto en el art. 22.4 de la Ley del estatuto básico del empleado público (LEEP).</w:t>
      </w:r>
    </w:p>
    <w:p w:rsidR="00AC56D6" w:rsidRDefault="00AC56D6" w:rsidP="00AC56D6">
      <w:pPr>
        <w:pStyle w:val="TextoNormal"/>
      </w:pPr>
    </w:p>
    <w:p w:rsidR="00AC56D6" w:rsidRDefault="00AC56D6" w:rsidP="00AC56D6">
      <w:pPr>
        <w:pStyle w:val="TextoNormal"/>
      </w:pPr>
      <w:r>
        <w:t>b) Señala que la disposición controvertida establece la citada supresión, sin excepción alguna respecto de la parte que ya se hubiera devengado a la fecha de su entrada en vigor —el 15 de julio de 2012— y por ello, se plantea la posibilidad de que la norma esté vulnerando el art. 9.3 CE, según el cual la Constitución garantiza la irretroactividad de las disposiciones restrictivas de derechos individuales, por afectar a derechos patrimoniales ya devengados y, consecuentemente, integrados en el patrimonio del personal del sector público, aun cuando su abono se produzca en el mes de diciembre del año correspondiente.</w:t>
      </w:r>
    </w:p>
    <w:p w:rsidR="00AC56D6" w:rsidRDefault="00AC56D6" w:rsidP="00AC56D6">
      <w:pPr>
        <w:pStyle w:val="TextoNormal"/>
      </w:pPr>
    </w:p>
    <w:p w:rsidR="00AC56D6" w:rsidRDefault="00AC56D6" w:rsidP="00AC56D6">
      <w:pPr>
        <w:pStyle w:val="TextoNormal"/>
      </w:pPr>
      <w:r>
        <w:t>c) Considera que no es de aplicación lo resuelto por el Tribunal Constitucional en el ATC 179/2011, por cuanto que allí se hacía referencia a un supuesto de reducción de derechos económicos aún no devengados, mientras que en el presente caso el planteamiento se limita a los días ya devengados de la paga extra, pudiendo incumplir asimismo la norma lo prevenido en el art. 33 CE.</w:t>
      </w:r>
    </w:p>
    <w:p w:rsidR="00AC56D6" w:rsidRDefault="00AC56D6" w:rsidP="00AC56D6">
      <w:pPr>
        <w:pStyle w:val="TextoNormal"/>
      </w:pPr>
    </w:p>
    <w:p w:rsidR="00AC56D6" w:rsidRDefault="00AC56D6" w:rsidP="00AC56D6">
      <w:pPr>
        <w:pStyle w:val="TextoNormal"/>
      </w:pPr>
      <w:r w:rsidRPr="00AC56D6">
        <w:rPr>
          <w:rStyle w:val="NumeroAFNegritaCaracter"/>
        </w:rPr>
        <w:t>4</w:t>
      </w:r>
      <w:r>
        <w:t>. El Pleno de este Tribunal, a propuesta de la Sección Primera, acordó admitir a trámite la cuestión mediante providencia de 10 de septiembre de 2013; deferir a la Sala Primera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de lo Contencioso-Administrativo núm. 2 de Tarragona, a fin de que, de conformidad con lo dispuesto en el art. 35 LOTC, permaneciese suspendido el proceso hasta que este Tribunal resolviese efectivamente la cuestión; y publicar la incoación de la cuestión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Mediante escrito registrado el 24 de septiembre de 2013, el Vicepresidente Primero del Senado comunicó a este Tribunal el acuerdo de la Mesa para que se diera por personada a la Cámara y por ofrecida su colaboración a los efectos del art. 88.1 LOTC.</w:t>
      </w:r>
    </w:p>
    <w:p w:rsidR="00AC56D6" w:rsidRDefault="00AC56D6" w:rsidP="00AC56D6">
      <w:pPr>
        <w:pStyle w:val="TextoNormal"/>
      </w:pPr>
    </w:p>
    <w:p w:rsidR="00AC56D6" w:rsidRDefault="00AC56D6" w:rsidP="00AC56D6">
      <w:pPr>
        <w:pStyle w:val="TextoNormal"/>
      </w:pPr>
      <w:r>
        <w:lastRenderedPageBreak/>
        <w:t>Por escrito registrado el 24 de septiembre de 2013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AC56D6" w:rsidRDefault="00AC56D6" w:rsidP="00AC56D6">
      <w:pPr>
        <w:pStyle w:val="TextoNormal"/>
      </w:pPr>
    </w:p>
    <w:p w:rsidR="00AC56D6" w:rsidRDefault="00AC56D6" w:rsidP="00AC56D6">
      <w:pPr>
        <w:pStyle w:val="TextoNormal"/>
      </w:pPr>
      <w:r w:rsidRPr="00AC56D6">
        <w:rPr>
          <w:rStyle w:val="NumeroAFNegritaCaracter"/>
        </w:rPr>
        <w:t>6</w:t>
      </w:r>
      <w:r>
        <w:t>. El Abogado del Estado por escrito registrado el 30 de septiembre de 2013 solicitó suspensión del plazo para formular alegaciones y remisión de nueva copia del correspondiente auto de planteamiento.</w:t>
      </w:r>
    </w:p>
    <w:p w:rsidR="00AC56D6" w:rsidRDefault="00AC56D6" w:rsidP="00AC56D6">
      <w:pPr>
        <w:pStyle w:val="TextoNormal"/>
      </w:pPr>
    </w:p>
    <w:p w:rsidR="00AC56D6" w:rsidRDefault="00AC56D6" w:rsidP="00AC56D6">
      <w:pPr>
        <w:pStyle w:val="TextoNormal"/>
      </w:pPr>
      <w:r>
        <w:t>Por diligencia de ordenación de la Secretaría de Justicia de la Sala Primera de 1 de octubre de 2013 se acordó unir a las actuaciones el escrito presentado por el Abogado del Estado y, de conformidad con el mismo, entregar la copia de la documentación solicitada.</w:t>
      </w:r>
    </w:p>
    <w:p w:rsidR="00AC56D6" w:rsidRDefault="00AC56D6" w:rsidP="00AC56D6">
      <w:pPr>
        <w:pStyle w:val="TextoNormal"/>
      </w:pPr>
    </w:p>
    <w:p w:rsidR="00AC56D6" w:rsidRDefault="00AC56D6" w:rsidP="00AC56D6">
      <w:pPr>
        <w:pStyle w:val="TextoNormal"/>
      </w:pPr>
      <w:r w:rsidRPr="00AC56D6">
        <w:rPr>
          <w:rStyle w:val="NumeroAFNegritaCaracter"/>
        </w:rPr>
        <w:t>7</w:t>
      </w:r>
      <w:r>
        <w:t>. El Abogado del Estado presentó escrito de alegaciones el 7 de octubre de 2013, interesando la desestimación de la cuestión de inconstitucionalidad por las razones que, resumidamente, se exponen a continuación.</w:t>
      </w:r>
    </w:p>
    <w:p w:rsidR="00AC56D6" w:rsidRDefault="00AC56D6" w:rsidP="00AC56D6">
      <w:pPr>
        <w:pStyle w:val="TextoNormal"/>
      </w:pPr>
    </w:p>
    <w:p w:rsidR="00AC56D6" w:rsidRDefault="00AC56D6" w:rsidP="00AC56D6">
      <w:pPr>
        <w:pStyle w:val="TextoNormal"/>
      </w:pPr>
      <w:r>
        <w:t>Comienza señalando que el Juzgado no se cuestiona genéricamente la supresión de la paga extra al personal funcionario, sino que tan solo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00AC56D6" w:rsidRDefault="00AC56D6" w:rsidP="00AC56D6">
      <w:pPr>
        <w:pStyle w:val="TextoNormal"/>
      </w:pPr>
    </w:p>
    <w:p w:rsidR="00AC56D6" w:rsidRDefault="00AC56D6" w:rsidP="00AC56D6">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AC56D6" w:rsidRDefault="00AC56D6" w:rsidP="00AC56D6">
      <w:pPr>
        <w:pStyle w:val="TextoNormal"/>
      </w:pPr>
    </w:p>
    <w:p w:rsidR="00AC56D6" w:rsidRDefault="00AC56D6" w:rsidP="00AC56D6">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solo la retroactividad “auténtica o de grado máximo” (que supone la incidencia sobre relaciones consagradas y afecta a situaciones agotadas) está incluida en la prohibición de ese precepto constitucional, no es</w:t>
      </w:r>
      <w:r>
        <w:lastRenderedPageBreak/>
        <w:t>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00AC56D6" w:rsidRDefault="00AC56D6" w:rsidP="00AC56D6">
      <w:pPr>
        <w:pStyle w:val="TextoNormal"/>
      </w:pPr>
    </w:p>
    <w:p w:rsidR="00AC56D6" w:rsidRDefault="00AC56D6" w:rsidP="00AC56D6">
      <w:pPr>
        <w:pStyle w:val="TextoNormal"/>
      </w:pPr>
      <w:r>
        <w:t>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00AC56D6" w:rsidRDefault="00AC56D6" w:rsidP="00AC56D6">
      <w:pPr>
        <w:pStyle w:val="TextoNormal"/>
      </w:pPr>
    </w:p>
    <w:p w:rsidR="00AC56D6" w:rsidRDefault="00AC56D6" w:rsidP="00AC56D6">
      <w:pPr>
        <w:pStyle w:val="TextoNormal"/>
      </w:pPr>
      <w: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w:t>
      </w:r>
      <w:r>
        <w:lastRenderedPageBreak/>
        <w:t>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AC56D6" w:rsidRDefault="00AC56D6" w:rsidP="00AC56D6">
      <w:pPr>
        <w:pStyle w:val="TextoNormal"/>
      </w:pPr>
    </w:p>
    <w:p w:rsidR="00AC56D6" w:rsidRDefault="00AC56D6" w:rsidP="00AC56D6">
      <w:pPr>
        <w:pStyle w:val="TextoNormal"/>
      </w:pPr>
      <w:r>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AC56D6" w:rsidRDefault="00AC56D6" w:rsidP="00AC56D6">
      <w:pPr>
        <w:pStyle w:val="TextoNormal"/>
      </w:pPr>
    </w:p>
    <w:p w:rsidR="00AC56D6" w:rsidRDefault="00AC56D6" w:rsidP="00AC56D6">
      <w:pPr>
        <w:pStyle w:val="TextoNormal"/>
      </w:pPr>
      <w:r>
        <w:t>Por todo ello, se interesa la desestimación de la cuestión.</w:t>
      </w:r>
    </w:p>
    <w:p w:rsidR="00AC56D6" w:rsidRDefault="00AC56D6" w:rsidP="00AC56D6">
      <w:pPr>
        <w:pStyle w:val="TextoNormal"/>
      </w:pPr>
    </w:p>
    <w:p w:rsidR="00AC56D6" w:rsidRDefault="00AC56D6" w:rsidP="00AC56D6">
      <w:pPr>
        <w:pStyle w:val="TextoNormal"/>
      </w:pPr>
      <w:r w:rsidRPr="00AC56D6">
        <w:rPr>
          <w:rStyle w:val="NumeroAFNegritaCaracter"/>
        </w:rPr>
        <w:t>8</w:t>
      </w:r>
      <w:r>
        <w:t>. El Fiscal General del Estado presentó escrito de alegaciones ante este Tribunal el 14 de octubre de 2013 interesando la estimación de la presente cuestión de inconstitucionalidad.</w:t>
      </w:r>
    </w:p>
    <w:p w:rsidR="00AC56D6" w:rsidRDefault="00AC56D6" w:rsidP="00AC56D6">
      <w:pPr>
        <w:pStyle w:val="TextoNormal"/>
      </w:pPr>
    </w:p>
    <w:p w:rsidR="00AC56D6" w:rsidRDefault="00AC56D6" w:rsidP="00AC56D6">
      <w:pPr>
        <w:pStyle w:val="TextoNormal"/>
      </w:pPr>
      <w:r>
        <w:t>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AC56D6" w:rsidRDefault="00AC56D6" w:rsidP="00AC56D6">
      <w:pPr>
        <w:pStyle w:val="TextoNormal"/>
      </w:pPr>
    </w:p>
    <w:p w:rsidR="00AC56D6" w:rsidRDefault="00AC56D6" w:rsidP="00AC56D6">
      <w:pPr>
        <w:pStyle w:val="TextoNormal"/>
      </w:pPr>
      <w: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w:t>
      </w:r>
      <w:r>
        <w:lastRenderedPageBreak/>
        <w:t xml:space="preserve">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Derechos Humanos de 14 de mayo de 2013 (caso </w:t>
      </w:r>
      <w:r w:rsidRPr="00AC56D6">
        <w:rPr>
          <w:i/>
        </w:rPr>
        <w:t>N.K.M. c.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AC56D6" w:rsidRDefault="00AC56D6" w:rsidP="00AC56D6">
      <w:pPr>
        <w:pStyle w:val="TextoNormal"/>
      </w:pPr>
    </w:p>
    <w:p w:rsidR="00AC56D6" w:rsidRDefault="00AC56D6" w:rsidP="00AC56D6">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AC56D6" w:rsidRDefault="00AC56D6" w:rsidP="00AC56D6">
      <w:pPr>
        <w:pStyle w:val="TextoNormal"/>
      </w:pPr>
    </w:p>
    <w:p w:rsidR="00AC56D6" w:rsidRDefault="00AC56D6" w:rsidP="00AC56D6">
      <w:pPr>
        <w:pStyle w:val="TextoNormal"/>
      </w:pPr>
      <w:r>
        <w:t>El Fiscal General del Estado concluye sus alegaciones precisando que en el Auto de planteamiento no se cuestiona todo el art. 2 Real Decreto-ley 20/2012 sino en concreto, su apartado 2.2 y el art. 3.1 ya que éstos son los que resultan aplicables para resolver el pleito sometido a su conocimiento y relevante en cuánto el recurso del proceso subyacente se refiere exclusivamente al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 en tanto, con respecto a los funcionarios la paga extraordinaria correspondiente al mes de diciembre se comienza a devengar en la fecha de 1 de junio de tal período.</w:t>
      </w:r>
    </w:p>
    <w:p w:rsidR="00AC56D6" w:rsidRDefault="00AC56D6" w:rsidP="00AC56D6">
      <w:pPr>
        <w:pStyle w:val="TextoNormal"/>
      </w:pPr>
    </w:p>
    <w:p w:rsidR="00AC56D6" w:rsidRDefault="00AC56D6" w:rsidP="00AC56D6">
      <w:pPr>
        <w:pStyle w:val="TextoNormal"/>
      </w:pPr>
      <w:r w:rsidRPr="00AC56D6">
        <w:rPr>
          <w:rStyle w:val="NumeroAFNegritaCaracter"/>
        </w:rPr>
        <w:t>9</w:t>
      </w:r>
      <w:r>
        <w:t xml:space="preserve">. Por providencia de 28 de mayo de 2015 la Sala Primera acordó, de conformidad con lo dispuesto en el art. 88.1 LOTC, dirigir atenta comunicación al Departamento de Interior de la Generalitat de Cataluña, a fin de que indique a este Tribunal si, en atención a lo previsto </w:t>
      </w:r>
      <w:r>
        <w:lastRenderedPageBreak/>
        <w:t>en la disposición adicional duodécima de la Ley 36/2014, de presupuestos generales del Estado para el año 2015, o por cualquier otra circunstancia, ha satisfecho a la funcionaria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AC56D6" w:rsidRDefault="00AC56D6" w:rsidP="00AC56D6">
      <w:pPr>
        <w:pStyle w:val="TextoNormal"/>
      </w:pPr>
    </w:p>
    <w:p w:rsidR="00AC56D6" w:rsidRDefault="00AC56D6" w:rsidP="00AC56D6">
      <w:pPr>
        <w:pStyle w:val="TextoNormal"/>
      </w:pPr>
      <w:r w:rsidRPr="00AC56D6">
        <w:rPr>
          <w:rStyle w:val="NumeroAFNegritaCaracter"/>
        </w:rPr>
        <w:t>10</w:t>
      </w:r>
      <w:r>
        <w:t>. En contestación a dicha providencia el Secretario General del Departamento de Interior de la Generalitat de Cataluña remitió a este Tribunal, con fecha de entrada 17 de noviembre de 2015, informe del Servicio de recursos humanos del Servei Català de Trànsit en el que se hace constar que a la funcionaria señalada se la ha abonado la parte correspondiente a 44 días de la paga extraordinaria de diciembre de 2012, en virtud del acuerdo del Gobierno de la Generalitat de Catalunya 33/2015, de 10 de marzo, sobre la recuperación de una parte de la paga extraordinaria y del complemento específico adicional del mes de diciembre de 2012 para el personal del sector público de la Generalitat de Cataluña. El abono se ha realizado en la nómina del mes de marzo de 2015.</w:t>
      </w:r>
    </w:p>
    <w:p w:rsidR="00AC56D6" w:rsidRDefault="00AC56D6" w:rsidP="00AC56D6">
      <w:pPr>
        <w:pStyle w:val="TextoNormal"/>
      </w:pPr>
    </w:p>
    <w:p w:rsidR="00AC56D6" w:rsidRDefault="00AC56D6" w:rsidP="00AC56D6">
      <w:pPr>
        <w:pStyle w:val="TextoNormal"/>
      </w:pPr>
      <w:r w:rsidRPr="00AC56D6">
        <w:rPr>
          <w:rStyle w:val="NumeroAFNegritaCaracter"/>
        </w:rPr>
        <w:t>11</w:t>
      </w:r>
      <w:r>
        <w:t>. Por providencia de 10 de diciembre de 2015 se señaló para deliberación y votación de la presente Sentencia el día 14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Juzgado de lo Contencioso-Administrativo núm. 2 de Tarragona plantea cuestión de inconstitucionalidad respecto del art. 2 Real Decreto-ley 20/2012, de 13 de julio, de medidas para garantizar la estabilidad presupuestaria y de fomento de la competitividad, precepto que, en lo que aquí importa, dispone para el personal funcionario, la supresión de la paga extraordinaria y de la paga adicional de complemento específico o pagas adicionales equivalentes del mes de diciembre de 2012. En síntesis, el Juzgado entiende que el art. 2 del Real Decreto-ley 20/2012, en su aplicación al personal funcionario del sector público, puede vulnerar el principio constitucional de interdicción de la retroactividad de las disposiciones sancionadoras no favorables o restrictivas de derechos individuales (art. 9.3 CE), en relación con el art. 33.3 CE respecto a la supresión de un derecho patrimonial sin compensación alguna, al no contemplar excepción respecto de las cuantías ya devengadas al momento de la entrada en vigor del Real Decreto-ley 20/2012.</w:t>
      </w:r>
    </w:p>
    <w:p w:rsidR="00AC56D6" w:rsidRDefault="00AC56D6" w:rsidP="00AC56D6">
      <w:pPr>
        <w:pStyle w:val="TextoNormal"/>
      </w:pPr>
    </w:p>
    <w:p w:rsidR="00AC56D6" w:rsidRDefault="00AC56D6" w:rsidP="00AC56D6">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al análisis de la cuestión planteada conviene realizar una serie de precisiones para acotar debidamente el objeto de la misma y el alcance de nuestro enjuiciamiento.</w:t>
      </w:r>
    </w:p>
    <w:p w:rsidR="00AC56D6" w:rsidRDefault="00AC56D6" w:rsidP="00AC56D6">
      <w:pPr>
        <w:pStyle w:val="TextoNormal"/>
      </w:pPr>
    </w:p>
    <w:p w:rsidR="00AC56D6" w:rsidRDefault="00AC56D6" w:rsidP="00AC56D6">
      <w:pPr>
        <w:pStyle w:val="TextoNormal"/>
      </w:pPr>
      <w:r>
        <w:lastRenderedPageBreak/>
        <w:t>a) Así, en primer lugar, resulta obligado advertir, en consonancia con lo manifestado en sus alegaciones respectivas por el Fiscal General del Estado y el Abogado del Estado, que si bien el Juzgado de lo Contencioso-Administrativo núm. 2 de Tarragona plantea la cuestión de inconstitucionalidad respecto del art. 2 Real Decreto-ley 20/2012 en su integridad, lo cierto es que de los razonamientos que se contienen en el Auto de planteamiento se infiere sin dificultad que no se cuestiona todo el precepto sino sólo “en su aplicación a los funcionarios públicos”. Ello se conecta lógicamente con el juicio de relevancia, correctamente expresado por el órgano judicial, pues la cuestión de inconstitucionalidad trae causa de un proceso promovido por una funcionaria de la Generalitat de Cataluña con motivo de la supresión, por aplicación de las previsiones contenidas en el Real Decreto-ley 20/2012, de la paga o gratificación extraordinaria de diciembre de 2012, proceso en el que lo pretendido por la demandante es que se declare su derecho a percibir la parte proporcional de la paga extra de diciembre de 2012 que considera ya devengada al momento de la entrada en vigor del Real Decreto-ley 20/2012, en concreto 44 días (del 1 de junio a l 14 de julio de 2012), porque, de acuerdo con el art. 9.3 CE, no cabe que la supresión de esa paga extra tenga efectos retroactivos.</w:t>
      </w:r>
    </w:p>
    <w:p w:rsidR="00AC56D6" w:rsidRDefault="00AC56D6" w:rsidP="00AC56D6">
      <w:pPr>
        <w:pStyle w:val="TextoNormal"/>
      </w:pPr>
    </w:p>
    <w:p w:rsidR="00AC56D6" w:rsidRDefault="00AC56D6" w:rsidP="00AC56D6">
      <w:pPr>
        <w:pStyle w:val="TextoNormal"/>
      </w:pPr>
      <w:r>
        <w:t>De este modo, en los términos que ha sido planteada, la presente cuestión de inconstitucionalidad debe entenderse referida al apartado 1 del art. 2 Real Decreto-ley 20/2012, que establece la reducción de retribuciones en 2012 para todo el personal del sector público definido en el art. 22.Uno de la Ley 2/2012, de presupuestos generales del Estado para 2012, como consecuencia de la supresión de la paga o gratificación extraordinaria de diciembre de 2012, y al apartado 2.1 del art. 2 Real Decreto-ley 20/2012, que se refiere específicamente a la supresión de la paga o gratificación extraordinaria de diciembre de 2012 o equivalente al personal funcionario.</w:t>
      </w:r>
    </w:p>
    <w:p w:rsidR="00AC56D6" w:rsidRDefault="00AC56D6" w:rsidP="00AC56D6">
      <w:pPr>
        <w:pStyle w:val="TextoNormal"/>
      </w:pPr>
    </w:p>
    <w:p w:rsidR="00AC56D6" w:rsidRDefault="00AC56D6" w:rsidP="00AC56D6">
      <w:pPr>
        <w:pStyle w:val="TextoNormal"/>
      </w:pPr>
      <w:r>
        <w:t>b) Por otra parte debe tenerse en cuenta que no se cuestiona por el Juzgado de lo Contencioso-Administrativo núm. 2 de Tarragona la medida de supresión de la paga extraordinaria de diciembre de 2012 en sí misma considerada, sino solo en cuanto su aplicación haya podido suponer la infracción del principio de irretroactividad establecido en el 9.3 CE, al no contemplar excepción alguna respecto de las cuantías que se entienden ya devengadas de dicha paga extra a la fecha de entrada en vigor del Real Decreto-ley 20/2012 (que tuvo lugar el 15 de julio de 2012, conforme a su disposición final decimoquinta). A esta concreta duda de constitucionalidad deberá, pues, ceñirse nuestro enjuiciamiento.</w:t>
      </w:r>
    </w:p>
    <w:p w:rsidR="00AC56D6" w:rsidRDefault="00AC56D6" w:rsidP="00AC56D6">
      <w:pPr>
        <w:pStyle w:val="TextoNormal"/>
      </w:pPr>
    </w:p>
    <w:p w:rsidR="00AC56D6" w:rsidRDefault="00AC56D6" w:rsidP="00AC56D6">
      <w:pPr>
        <w:pStyle w:val="TextoNormal"/>
      </w:pPr>
      <w:r w:rsidRPr="00AC56D6">
        <w:rPr>
          <w:rStyle w:val="NumeroAFNegritaCaracter"/>
        </w:rPr>
        <w:t>3</w:t>
      </w:r>
      <w:r>
        <w:t>. Delimitado el alcance de nuestra decisión, debemos remitirnos a lo dicho recientemente en la STC 83/2015, de 30 de abril, FJ 3, sobre la posible pérdida de objeto de la cuestión de inconstitucionalidad, como consecuencia de lo establecido en la disposición adicional duodécima de la Ley 36/2014, de 26 de diciembre, de presupuestos generales del Estado para 2015. Bajo el epígrafe “Recuperación de la paga extraordinaria y adicional del mes de diciembre de 2012”, se establece, en su apartado 1.1,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según establece el apartado 1.2.</w:t>
      </w:r>
    </w:p>
    <w:p w:rsidR="00AC56D6" w:rsidRDefault="00AC56D6" w:rsidP="00AC56D6">
      <w:pPr>
        <w:pStyle w:val="TextoNormal"/>
      </w:pPr>
    </w:p>
    <w:p w:rsidR="00AC56D6" w:rsidRDefault="00AC56D6" w:rsidP="00AC56D6">
      <w:pPr>
        <w:pStyle w:val="TextoNormal"/>
      </w:pPr>
      <w:r>
        <w:lastRenderedPageBreak/>
        <w:t xml:space="preserve">En la STC 83/2015, FJ 3, se recuerda la reiterada doctrina constitucional sobre los efectos extintivos del objeto del proceso en las cuestiones de inconstitucionalidad, como consecuencia de la derogación o modificación de la norma legal cuestionada. Se puso de manifiesto que era innegable la incidencia que tenía la medida contenida en la disposición adicional duodécima de la Ley 36/2014, de presupuestos generales del Estado para 2015, sobre la pretensión deducida en el pleito </w:t>
      </w:r>
      <w:r w:rsidRPr="00AC56D6">
        <w:rPr>
          <w:i/>
        </w:rPr>
        <w:t>a quo</w:t>
      </w:r>
      <w:r>
        <w:t>, “que afecta de modo determinante a la subsistencia del presente proceso constitucional, dada la estrecha vinculación existente entre toda cuestión de inconstitucionalidad y el procedimiento judicial de que dimana.”</w:t>
      </w:r>
    </w:p>
    <w:p w:rsidR="00AC56D6" w:rsidRDefault="00AC56D6" w:rsidP="00AC56D6">
      <w:pPr>
        <w:pStyle w:val="TextoNormal"/>
      </w:pPr>
    </w:p>
    <w:p w:rsidR="00AC56D6" w:rsidRDefault="00AC56D6" w:rsidP="00AC56D6">
      <w:pPr>
        <w:pStyle w:val="TextoNormal"/>
      </w:pPr>
      <w:r>
        <w:t xml:space="preserve">En la demanda de la que trae causa la presente cuestión de inconstitucionalidad se discute el derecho de una funcionaria de la Generalitat de Cataluña a percibir la parte proporcional de la paga extra de diciembre de 2012 ya devengada al momento de la entrada en vigor del Real Decreto-ley 20/2012 (15 de julio de 2012), que suprimió el derecho a su percepción. Ello por estimar la demandante en el proceso </w:t>
      </w:r>
      <w:r w:rsidRPr="00AC56D6">
        <w:rPr>
          <w:i/>
        </w:rPr>
        <w:t>a quo</w:t>
      </w:r>
      <w:r>
        <w:t xml:space="preserve"> que la supresión de esa paga extraordinaria en virtud del citado Real Decreto-ley 20/2012 no puede tener efectos retroactivos por imperativo de lo dispuesto en el art. 9.3 CE, lo que la lleva a reclamar las cuantías ya devengadas por los 44 días transcurridos desde el 1 de junio al 14 de julio de 2012.</w:t>
      </w:r>
    </w:p>
    <w:p w:rsidR="00AC56D6" w:rsidRDefault="00AC56D6" w:rsidP="00AC56D6">
      <w:pPr>
        <w:pStyle w:val="TextoNormal"/>
      </w:pPr>
    </w:p>
    <w:p w:rsidR="00AC56D6" w:rsidRDefault="00AC56D6" w:rsidP="00AC56D6">
      <w:pPr>
        <w:pStyle w:val="TextoNormal"/>
      </w:pPr>
      <w:r>
        <w:t>Al suscitarse sobre este extremo la duda de constitucionalidad que plantea el órgano judicial, es obligado constatar la recuperación por la funcionaria de la Generalitat de Cataluña de la parte proporcional correspondiente a los primeros 44 días de la paga extraordinaria de diciembre de 2012 que le fue suprimida en su día en aplicación de lo dispuesto en el Real Decreto-ley 20/2012. En efecto, como consta en los antecedentes de esta resolución, de conformidad con lo dispuesto en el art. 88.1 de la Ley Orgánica del Tribunal Constitucional (LOTC), la Sala Primera dirigió comunicación al Departamento de Interior de la Generalitat de Cataluña, a fin de que indicara a este Tribunal si, en atención a lo previsto en la disposición adicional duodécma de la Ley 36/2014, de presupuestos generales del Estado para el año 2015, o por cualquier otra circunstancia, ha satisfecho a la funcionaria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 En contestación a dicha comunicación el Secretario General del Departamento de Interior de la Generalitat de Cataluña remitió a este Tribunal, con fecha de entrada 17 de noviembre de 2015, informe del Servicio de recursos humanos del Servei Català de Trànsit en el que se hace constar que a la funcionaria señalada se la ha abonado la parte correspondiente a 44 días de la paga extraordinaria de diciembre de 2012, abono que se ha realizado en la nómina de marzo de 2015.</w:t>
      </w:r>
    </w:p>
    <w:p w:rsidR="00AC56D6" w:rsidRDefault="00AC56D6" w:rsidP="00AC56D6">
      <w:pPr>
        <w:pStyle w:val="TextoNormal"/>
      </w:pPr>
    </w:p>
    <w:p w:rsidR="00AC56D6" w:rsidRDefault="00AC56D6" w:rsidP="00AC56D6">
      <w:pPr>
        <w:pStyle w:val="TextoNormal"/>
      </w:pPr>
      <w:r>
        <w:t xml:space="preserve">Todo ello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pues, “aun cuando el enjuiciamiento constitucional de la norma cuestionada sigue siendo posible y esta plantea un problema constitucional de interés, ya no se trataría de un juicio de constitucionalidad en concreto, al </w:t>
      </w:r>
      <w:r>
        <w:lastRenderedPageBreak/>
        <w:t>que se refiere el art. 163 CE, sino en abstracto, sin efectos para el caso, lo que resulta improcedente en toda cuestión de inconstitucionalidad” (STC 83/2015, FJ 3)</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Declarar la extinción de la presente cuestión de inconstitucionalidad por desaparición sobrevenida de su objeto.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catorce de diciembre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21" w:name="SENTENCIA_2015_265"/>
      <w:r>
        <w:lastRenderedPageBreak/>
        <w:t>SENTENCIA 265/2015, de 14 de diciembre de 2015</w:t>
      </w:r>
    </w:p>
    <w:bookmarkEnd w:id="121"/>
    <w:p w:rsidR="00AC56D6" w:rsidRDefault="00AC56D6" w:rsidP="00AC56D6">
      <w:pPr>
        <w:pStyle w:val="TtuloResolucin"/>
      </w:pPr>
      <w:r>
        <w:t>Sala Segunda</w:t>
      </w:r>
    </w:p>
    <w:p w:rsidR="00AC56D6" w:rsidRDefault="00AC56D6" w:rsidP="00AC56D6">
      <w:pPr>
        <w:pStyle w:val="TtuloBOE"/>
      </w:pPr>
      <w:r>
        <w:t>(BOE núm. 19, de 22 de enero de 2016)</w:t>
      </w:r>
    </w:p>
    <w:p w:rsidR="00AC56D6" w:rsidRDefault="00AC56D6" w:rsidP="00AC56D6">
      <w:pPr>
        <w:pStyle w:val="TextoNormalCentrado"/>
      </w:pPr>
      <w:r>
        <w:t>ECLI:ES:TC:2015:265</w:t>
      </w:r>
    </w:p>
    <w:p w:rsidR="00AC56D6" w:rsidRDefault="00AC56D6" w:rsidP="00AC56D6">
      <w:pPr>
        <w:pStyle w:val="TextoNormalCentrado"/>
      </w:pPr>
    </w:p>
    <w:p w:rsidR="00AC56D6" w:rsidRDefault="00AC56D6" w:rsidP="00AC56D6">
      <w:pPr>
        <w:pStyle w:val="SntesisDescriptiva"/>
      </w:pPr>
      <w:r>
        <w:t>Recurso de amparo 3335-2014. Promovido por la entidad Pascamor, S.L., en relación con las Sentencias de la Audiencia Provincial y de un Juzgado de lo Mercantil de Murcia dictadas en incidente concursal.</w:t>
      </w:r>
    </w:p>
    <w:p w:rsidR="00AC56D6" w:rsidRDefault="00AC56D6" w:rsidP="00AC56D6">
      <w:pPr>
        <w:pStyle w:val="SntesisDescriptiva"/>
      </w:pPr>
    </w:p>
    <w:p w:rsidR="00AC56D6" w:rsidRDefault="00AC56D6" w:rsidP="00AC56D6">
      <w:pPr>
        <w:pStyle w:val="SntesisAnaltica"/>
      </w:pPr>
      <w:r>
        <w:t>Vulneración del derecho a un proceso con todas las garantías: privación a la actora de la posibilidad de alegar sobre un hecho nuevo introducido en la contestación a la demanda.</w:t>
      </w:r>
    </w:p>
    <w:p w:rsidR="00AC56D6" w:rsidRDefault="00AC56D6" w:rsidP="00AC56D6">
      <w:pPr>
        <w:pStyle w:val="SntesisAnaltica"/>
      </w:pPr>
    </w:p>
    <w:p w:rsidR="00AC56D6" w:rsidRDefault="00AC56D6" w:rsidP="00AC56D6">
      <w:pPr>
        <w:pStyle w:val="Extracto"/>
      </w:pPr>
      <w:r>
        <w:t>1.</w:t>
      </w:r>
      <w:r>
        <w:tab/>
        <w:t>La privación a la actora de toda posibilidad de alegar o probar en relación con el nuevo elemento de hecho introducido en el debate procesal determina, por sí sola, la violación del derecho del recurrente en amparo a un proceso con todas las garantías y obliga, por ello, a estimar la demanda de amparo con retroacción de las actuaciones al momento inmediatamente posterior a la contestación de la demanda [FJ 2].</w:t>
      </w:r>
    </w:p>
    <w:p w:rsidR="00AC56D6" w:rsidRDefault="00AC56D6" w:rsidP="00AC56D6">
      <w:pPr>
        <w:pStyle w:val="Extracto"/>
      </w:pPr>
    </w:p>
    <w:p w:rsidR="00AC56D6" w:rsidRDefault="00AC56D6" w:rsidP="00AC56D6">
      <w:pPr>
        <w:pStyle w:val="Extracto"/>
      </w:pPr>
      <w:r>
        <w:t>2.</w:t>
      </w:r>
      <w:r>
        <w:tab/>
        <w:t>La sentencia de instancia no llegó a estimar en su integridad la demanda tal y como había sido formulada, esto es, con exigencia de elevación a público de un determinado contrato de venta por un precio, en cuanto que valoró unos elementos de hecho que hacían referencia a la existencia de otro contrato distinto por un precio distinto, así como una prueba, la del correspondiente documento acreditativo, sobre los que no se había producido la debida contradicción, pues no se había dado al demandante la oportunidad de alegar o probar en relación con los mismos [FJ 2].</w:t>
      </w:r>
    </w:p>
    <w:p w:rsidR="00AC56D6" w:rsidRDefault="00AC56D6" w:rsidP="00AC56D6">
      <w:pPr>
        <w:pStyle w:val="Extracto"/>
      </w:pPr>
    </w:p>
    <w:p w:rsidR="00AC56D6" w:rsidRDefault="00AC56D6" w:rsidP="00AC56D6">
      <w:pPr>
        <w:pStyle w:val="Extracto"/>
      </w:pPr>
      <w:r>
        <w:t>3.</w:t>
      </w:r>
      <w:r>
        <w:tab/>
        <w:t>Doctrina sobre el principio de interdicción de la indefensión, que exige a los órganos judiciales velar por que se dé la necesaria contradicción entre las partes, (STC 162/1993) [FJ 2].</w:t>
      </w:r>
    </w:p>
    <w:p w:rsidR="00AC56D6" w:rsidRDefault="00AC56D6" w:rsidP="00AC56D6">
      <w:pPr>
        <w:pStyle w:val="Extracto"/>
      </w:pPr>
    </w:p>
    <w:p w:rsidR="00AC56D6" w:rsidRDefault="00AC56D6" w:rsidP="00AC56D6">
      <w:pPr>
        <w:pStyle w:val="Extracto"/>
      </w:pPr>
      <w:r>
        <w:t>4.</w:t>
      </w:r>
      <w:r>
        <w:tab/>
        <w:t>La circunstancia de que una determinada regulación procesal no prevea un trámite específico —bien de traslado a las partes o de celebración de vista— no significa que no venga requerido por una interpretación de la normativa procesal a la luz de los preceptos y principios constitucionales, al ser obligado, en todo caso, preservar el derecho de defensa de las partes en el proceso facilitando a éstas la posibilidad de contradecir y rebatir los argumentos expuestos por la parte contraria y formular cuantas alegaciones estime pertinentes (SSTC 53/1987,  66/1989, 162/1997, 16/2000, 79/2000, 93/2000, 101/2001 y 182/2009) [FJ 2].</w:t>
      </w:r>
    </w:p>
    <w:p w:rsidR="00AC56D6" w:rsidRDefault="00AC56D6" w:rsidP="00AC56D6">
      <w:pPr>
        <w:pStyle w:val="Extracto"/>
      </w:pPr>
    </w:p>
    <w:p w:rsidR="00AC56D6" w:rsidRDefault="00AC56D6" w:rsidP="00AC56D6">
      <w:pPr>
        <w:pStyle w:val="Extracto"/>
      </w:pPr>
      <w:r>
        <w:t>5.</w:t>
      </w:r>
      <w:r>
        <w:tab/>
        <w:t>El restablecimiento de la demandante en la integridad de su derecho exige la anulación de las resoluciones judiciales impugnadas, en grados de primera instancia y de apelación, así como la retroacción de las actuaciones al momento inmediatamente posterior al de contestación de la demanda para que se sustancie el proceso con pleno respeto a los derechos fundamentales vulnerados [FJ 3].</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lastRenderedPageBreak/>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amparo núm. 3335-2014, promovido por la entidad Pascamor, S.L., representada por el Procurador de los Tribunales don Manuel Ortiz de Urbina Ruiz y asistida por el Abogado don José Luis Ferreres Grao, contra la Sentencia de 12 de junio de 2013, dictada por el Juzgado de lo Mercantil núm. 2 de Murcia en los autos de juicio incidental núm. 5 (I 96), y contra la posterior Sentencia de 3 de abril de 2014, de la Audiencia Provincial de Murcia (Sección Cuarta), recaída en el rollo de apelación núm. 201-2014, que confirmó íntegramente la Sentencia de la primera instancia. Han intervenido el Ministerio Fiscal y la representación de la administración concursal. Ha sido ponente el Magistrado don Antonio Narváez Rodríguez,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día 27 de mayo de 2014 tuvo entrada en el Registro General de este Tribunal el escrito presentado por el Procurador de los Tribunales don Manuel Ortiz de Urbina Ruiz, en nombre y representación de la entidad Pascamor, S.L., por el que interpuso recurso de amparo contra las resoluciones judiciales que se citan en el encabezamiento.</w:t>
      </w:r>
    </w:p>
    <w:p w:rsidR="00AC56D6" w:rsidRDefault="00AC56D6" w:rsidP="00AC56D6">
      <w:pPr>
        <w:pStyle w:val="TextoNormal"/>
      </w:pPr>
    </w:p>
    <w:p w:rsidR="00AC56D6" w:rsidRDefault="00AC56D6" w:rsidP="00AC56D6">
      <w:pPr>
        <w:pStyle w:val="TextoNormal"/>
      </w:pPr>
      <w:r w:rsidRPr="00AC56D6">
        <w:rPr>
          <w:rStyle w:val="NumeroAFNegritaCaracter"/>
        </w:rPr>
        <w:t>2</w:t>
      </w:r>
      <w:r>
        <w:t>. Los hechos de los que trae causa la demanda, relevantes para la resolución del recurso, son, en síntesis, los siguientes:</w:t>
      </w:r>
    </w:p>
    <w:p w:rsidR="00AC56D6" w:rsidRDefault="00AC56D6" w:rsidP="00AC56D6">
      <w:pPr>
        <w:pStyle w:val="TextoNormal"/>
      </w:pPr>
    </w:p>
    <w:p w:rsidR="00AC56D6" w:rsidRDefault="00AC56D6" w:rsidP="00AC56D6">
      <w:pPr>
        <w:pStyle w:val="TextoNormal"/>
      </w:pPr>
      <w:r>
        <w:t>a) En el seno del procedimiento de concurso abreviado núm. 94-2011, seguido en el Juzgado de lo Mercantil núm. 2 de Murcia contra la entidad Morte Quiles, S.L., y una vez declarado el concurso voluntario de dicha sociedad, la entidad ahora recurrente de amparo, Pascamor, S.L., interpuso demanda de incidente concursal contra la administración del concurso, impugnando, de acuerdo con la previsión establecida en el art. 96 de la Ley 22/2003, de 9 de julio, concursal, el inventario de bienes y derechos elaborado. En dicha demanda, la entidad promotora del incidente afirmaba que había adquirido, en virtud de contrato privado de compraventa y por un precio de 105.000 € —de los que ya había pagado 100.000—, unos terrenos que habían sido indebidamente incluidos en la masa activa del concurso. En el suplico de la demanda la entidad interesaba, con carácter principal, (i) que se excluyera “de la masa activa del concurso la concreta porción de terreno” afectada por el contrato compra-venta y (ii) que se condenara a la demandada “a escriturar a favor de Pascamor, S.L., … con simultánea entrega por parte de la compradora de la cantidad de cinco mil euros pendientes de pago del precio”.</w:t>
      </w:r>
    </w:p>
    <w:p w:rsidR="00AC56D6" w:rsidRDefault="00AC56D6" w:rsidP="00AC56D6">
      <w:pPr>
        <w:pStyle w:val="TextoNormal"/>
      </w:pPr>
    </w:p>
    <w:p w:rsidR="00AC56D6" w:rsidRDefault="00AC56D6" w:rsidP="00AC56D6">
      <w:pPr>
        <w:pStyle w:val="TextoNormal"/>
      </w:pPr>
      <w:r>
        <w:t>b) La administración concursal presentó en fecha 28 de diciembre de 2011 escrito de “allanamiento parcial a la demanda” aquietándose a la petición de exclusión de la finca de la masa activa del concurso y a la elevación a escritura pública del contrato de compraventa. No obstante, la administración concursal aportó un contrato de compraventa firmado por los administradores de ambas sociedades, documento que reflejaba, a su juicio, que la venta se había efectuado por un precio superior al manifestado por la actora, en concreto por un importe de 650.000 €. Afirmaba, al respecto el escrito de allanamiento presentado que “ante las posibles dudas” sobre el verdadero precio de la finca “esta administración concursal ha comprobado que el valor de mercado es el de 650.000 euros”, concluyendo en consecuencia que de todo ello se desprendía que la venta de la porción de la finca afectada “se acordó realmente, se tomó posesión de la misma, y su verdadero valor de compraventa es de 650.000 euros y no los 150.000” pretendidos por la entidad demandante. En el suplico del escrito presentado, la administración concursal solicitó “que se tenga por presentado este escrito de allanamiento parcial a la demanda y seguido el procedimiento por todos sus trámite dicte sentencia por la que se estime la demanda incidental”.</w:t>
      </w:r>
    </w:p>
    <w:p w:rsidR="00AC56D6" w:rsidRDefault="00AC56D6" w:rsidP="00AC56D6">
      <w:pPr>
        <w:pStyle w:val="TextoNormal"/>
      </w:pPr>
    </w:p>
    <w:p w:rsidR="00AC56D6" w:rsidRDefault="00AC56D6" w:rsidP="00AC56D6">
      <w:pPr>
        <w:pStyle w:val="TextoNormal"/>
      </w:pPr>
      <w:r>
        <w:t>c) El Juzgado de lo Mercantil núm. 2 de Murcia dictó Sentencia de fecha 12 de junio de 2013 por la que estimó parcialmente la demanda incidental y acordó que se modificara “el informe provisional de la administración concursal en relación con el inventario en el sentido de excluir del mismo la porción de terreno … del Registro de la Propiedad núm. 3 de Cieza”. A lo expuesto, añadió que “coherentemente, deberá incluirse en el inventario el derecho de crédito que ostenta la concursada frente a Pascamor S.L por el precio pendiente de pago y que se eleva al importe de 550.000 euros”. Disponía, finalmente, la resolución “que las partes eleven el contrato de compraventa de 30 de diciembre de 2008 a documento público. El pago de dicho precio pendiente deberá hacerse con anterioridad o simultáneamente a la formalización de la escritura pública de compraventa”.</w:t>
      </w:r>
    </w:p>
    <w:p w:rsidR="00AC56D6" w:rsidRDefault="00AC56D6" w:rsidP="00AC56D6">
      <w:pPr>
        <w:pStyle w:val="TextoNormal"/>
      </w:pPr>
    </w:p>
    <w:p w:rsidR="00AC56D6" w:rsidRDefault="00AC56D6" w:rsidP="00AC56D6">
      <w:pPr>
        <w:pStyle w:val="TextoNormal"/>
      </w:pPr>
      <w:r>
        <w:t xml:space="preserve">d) Frente a la citada Sentencia el recurrente de amparo interpuso recurso de apelación denunciando en la alzada la vulneración del derecho a la tutela judicial efectiva sin indefensión (arts. 24.1 y 24.2 CE) por entender: (i) que se había formulado una demanda reconvencional de la que no se le había dado traslado, (ii) que no se había procedido a la celebración de vista, (iii) que no se le había permitido proponer prueba frente a la pretensión formulada en vía reconvencional, y (iv) que la Sentencia de primer grado había incurrido en el vicio de incongruencia </w:t>
      </w:r>
      <w:r w:rsidRPr="00AC56D6">
        <w:rPr>
          <w:i/>
        </w:rPr>
        <w:t>extra petita</w:t>
      </w:r>
      <w:r>
        <w:t>. El referido recurso fue íntegramente desestimado por la Audiencia Provincial de Murcia (Sección Cuarta) en Sentencia de fecha 3 de abril de 2014.</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Afirma la recurrente en la demanda de amparo que las dos Sentencias dictadas han vulnerado su derecho a la tutela judicial efectiva sin indefensión (arts. 24.1 y 24.2 CE), pues ambas han incurrido, a su parecer, en incongruencia </w:t>
      </w:r>
      <w:r w:rsidRPr="00AC56D6">
        <w:rPr>
          <w:i/>
        </w:rPr>
        <w:t>extra petita</w:t>
      </w:r>
      <w:r>
        <w:t xml:space="preserve"> y han vulnerado su derecho a un proceso justo y con todas las garantías, así como su derecho a la utilización de los medios de prueba pertinentes para la defensa, con respeto al principio de justicia rogada y contradicción.</w:t>
      </w:r>
    </w:p>
    <w:p w:rsidR="00AC56D6" w:rsidRDefault="00AC56D6" w:rsidP="00AC56D6">
      <w:pPr>
        <w:pStyle w:val="TextoNormal"/>
      </w:pPr>
    </w:p>
    <w:p w:rsidR="00AC56D6" w:rsidRDefault="00AC56D6" w:rsidP="00AC56D6">
      <w:pPr>
        <w:pStyle w:val="TextoNormal"/>
      </w:pPr>
      <w:r>
        <w:t xml:space="preserve">(i) Entiende, en primer lugar, la mercantil demandante de amparo que las Sentencias incurren en el vicio de incongruencia </w:t>
      </w:r>
      <w:r w:rsidRPr="00AC56D6">
        <w:rPr>
          <w:i/>
        </w:rPr>
        <w:t>extra petita</w:t>
      </w:r>
      <w:r>
        <w:t>, lo que conlleva, como primera lesión invocada, la vulneración del derecho a la tutela judicial efectiva sin indefensión (art. 24.1 CE).</w:t>
      </w:r>
    </w:p>
    <w:p w:rsidR="00AC56D6" w:rsidRDefault="00AC56D6" w:rsidP="00AC56D6">
      <w:pPr>
        <w:pStyle w:val="TextoNormal"/>
      </w:pPr>
    </w:p>
    <w:p w:rsidR="00AC56D6" w:rsidRDefault="00AC56D6" w:rsidP="00AC56D6">
      <w:pPr>
        <w:pStyle w:val="TextoNormal"/>
      </w:pPr>
      <w:r>
        <w:t>Considera, en particular, que la Sentencia de primera instancia se pronunció sobre una cuestión distinta de la planteada, separándose de la pretensión formulada por la actora en el juicio incidental, con clara contravención del principio de congruencia de las resoluciones judiciales. Esta vulneración no fue posteriormente reparada con ocasión del trámite de apelación.</w:t>
      </w:r>
    </w:p>
    <w:p w:rsidR="00AC56D6" w:rsidRDefault="00AC56D6" w:rsidP="00AC56D6">
      <w:pPr>
        <w:pStyle w:val="TextoNormal"/>
      </w:pPr>
    </w:p>
    <w:p w:rsidR="00AC56D6" w:rsidRDefault="00AC56D6" w:rsidP="00AC56D6">
      <w:pPr>
        <w:pStyle w:val="TextoNormal"/>
      </w:pPr>
      <w:r>
        <w:t>Expone la actora que el incidente concursal tenía por objeto la impugnación del inventario a los solos efectos de excluir de la masa activa del concurso la porción de terreno que afirmaba haber adquirido en contrato privado por un precio que ascendía a 105.000 €. La contestación de la demanda incidental contenía, por su parte, un allanamiento parcial en el que se aceptaban las peticiones de la actora, con aportación, eso sí, de un nuevo contrato, de fecha posterior, celebrado por escrito entre las partes, en el que constaba como precio de la transacción la cantidad de 650.000 € —admitiéndose que ya se habían entregado 100.000—. Ante tales planteamientos de parte, la Sentencia de primer grado estimó parcialmente la demanda, modificando, sin embargo, de manera sustancial el objeto del proceso. Aunque en el mencionado escrito de contestación de la demanda la administración concursal no había formulado pretensión alguna al respecto, la Sentencia acordó la inclusión en el inventario de un crédito contra la actora por importe de 550.000 €, sin que la recurrente de amparo fuera oída al respecto, cercenando, así, su derecho de defensa.</w:t>
      </w:r>
    </w:p>
    <w:p w:rsidR="00AC56D6" w:rsidRDefault="00AC56D6" w:rsidP="00AC56D6">
      <w:pPr>
        <w:pStyle w:val="TextoNormal"/>
      </w:pPr>
    </w:p>
    <w:p w:rsidR="00AC56D6" w:rsidRDefault="00AC56D6" w:rsidP="00AC56D6">
      <w:pPr>
        <w:pStyle w:val="TextoNormal"/>
      </w:pPr>
      <w:r>
        <w:t>Abunda la demanda, en este punto, en que la única pretensión admitida fue la formulada en el escrito de demanda incidental y en que, conforme al principio dispositivo que rige el proceso civil, el juez únicamente estaba vinculado por el suplico de dicha demanda. Por ello, la resolución debió limitarse, en definitiva, a estimar o desestimar, íntegra o parcialmente, la pretensión formulada por la actora.</w:t>
      </w:r>
    </w:p>
    <w:p w:rsidR="00AC56D6" w:rsidRDefault="00AC56D6" w:rsidP="00AC56D6">
      <w:pPr>
        <w:pStyle w:val="TextoNormal"/>
      </w:pPr>
    </w:p>
    <w:p w:rsidR="00AC56D6" w:rsidRDefault="00AC56D6" w:rsidP="00AC56D6">
      <w:pPr>
        <w:pStyle w:val="TextoNormal"/>
      </w:pPr>
      <w:r>
        <w:t>(ii) Considera, en segundo lugar, la recurrente que también ha resultado vulnerado su derecho a la tutela judicial efectiva como derecho a un proceso con todas las garantías y a la utilización de los medios de prueba pertinentes para la defensa (art. 24.2 CE). A su modo de ver, la contestación de la demanda incidental incluía una demanda reconvencional implícita, proscrita por la LEC, razón por la que no debió ser admitida. Entiende, en cualquier caso, la actora que la ausencia de traslado de esa pretensión, implícitamente formulada, le privó de la posibilidad de formular alegaciones o de proponer prueba sobre la misma.</w:t>
      </w:r>
    </w:p>
    <w:p w:rsidR="00AC56D6" w:rsidRDefault="00AC56D6" w:rsidP="00AC56D6">
      <w:pPr>
        <w:pStyle w:val="TextoNormal"/>
      </w:pPr>
    </w:p>
    <w:p w:rsidR="00AC56D6" w:rsidRDefault="00AC56D6" w:rsidP="00AC56D6">
      <w:pPr>
        <w:pStyle w:val="TextoNormal"/>
      </w:pPr>
      <w:r>
        <w:t>Agrega, finalmente, la entidad demandante que no se formuló demanda reconvencional en la forma exigida por el art. 406 de la Ley de enjuiciamiento civil (LEC) y que no se dictó por el Juzgado ninguna resolución admitiéndola a trámite, lo que impidió la pertinente celebración de vista.</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Por providencia de 5 de marzo de 2015, la Sección Cuarta de la Sala Segunda de este Tribunal acordó admitir a trámite la demanda, apreciando la concurrencia de una especial trascendencia constitucional [art. 50.1 de la Ley Orgánica del Tribunal Constitucional (LOTC)] “porque el recurso puede dar ocasión a este Tribunal para aclarar o cambiar su doctrina, como consecuencia de un proceso de reflexión interna (STC 155/2009, FJ 2 b)”. Asimismo, de conformidad con lo dispuesto en el art. 51 LOTC, acordó requerir al Juzgado de lo Mercantil núm. 2 de Murcia, así como a la Sección Cuarta de la Audiencia Provincial de la misma capital, para que, en el plazo de diez días, remitieran certificación o fotocopia </w:t>
      </w:r>
      <w:r>
        <w:lastRenderedPageBreak/>
        <w:t>adverada de las actuaciones correspondientes a los autos del incidente concursal núm. 5 I-96 Concurso 94-2011 y del rollo de apelación 201-2014, respectivamente. Al mismo tiempo, interesó que se emplazara a quienes hubieran sido parte en el procedimiento, a excepción del recurrente en amparo, para que en el plazo de diez días pudieran comparecer en este proceso constitucional.</w:t>
      </w:r>
    </w:p>
    <w:p w:rsidR="00AC56D6" w:rsidRDefault="00AC56D6" w:rsidP="00AC56D6">
      <w:pPr>
        <w:pStyle w:val="TextoNormal"/>
      </w:pPr>
    </w:p>
    <w:p w:rsidR="00AC56D6" w:rsidRDefault="00AC56D6" w:rsidP="00AC56D6">
      <w:pPr>
        <w:pStyle w:val="TextoNormal"/>
      </w:pPr>
      <w:r w:rsidRPr="00AC56D6">
        <w:rPr>
          <w:rStyle w:val="NumeroAFNegritaCaracter"/>
        </w:rPr>
        <w:t>5</w:t>
      </w:r>
      <w:r>
        <w:t>. Por diligencia de ordenación del Secretario de Justicia de la Sala Segunda de 21 de abril de 2015 se acordó, a tenor de lo dispuesto en el art. 52.1 LOTC, dar vista de las actuaciones por plazo común de veinte días al Ministerio Fiscal y a las partes personadas, para que, dentro de dicho término, pudieran presentar las alegaciones que a su derecho conviniera.</w:t>
      </w:r>
    </w:p>
    <w:p w:rsidR="00AC56D6" w:rsidRDefault="00AC56D6" w:rsidP="00AC56D6">
      <w:pPr>
        <w:pStyle w:val="TextoNormal"/>
      </w:pPr>
    </w:p>
    <w:p w:rsidR="00AC56D6" w:rsidRDefault="00AC56D6" w:rsidP="00AC56D6">
      <w:pPr>
        <w:pStyle w:val="TextoNormal"/>
      </w:pPr>
      <w:r w:rsidRPr="00AC56D6">
        <w:rPr>
          <w:rStyle w:val="NumeroAFNegritaCaracter"/>
        </w:rPr>
        <w:t>6</w:t>
      </w:r>
      <w:r>
        <w:t>. La administración concursal de la entidad Morte Quiles, S.L., que se encuentra en liquidación, formuló alegaciones mediante escrito que tuvo entrada en el Registro General de este Tribunal el día 22 de mayo de 2015, interesando la desestimación del presente recurso de amparo y la confirmación de las Sentencias ahora atacadas, al entender que no concurre ninguna de las vulneraciones denunciadas.</w:t>
      </w:r>
    </w:p>
    <w:p w:rsidR="00AC56D6" w:rsidRDefault="00AC56D6" w:rsidP="00AC56D6">
      <w:pPr>
        <w:pStyle w:val="TextoNormal"/>
      </w:pPr>
    </w:p>
    <w:p w:rsidR="00AC56D6" w:rsidRDefault="00AC56D6" w:rsidP="00AC56D6">
      <w:pPr>
        <w:pStyle w:val="TextoNormal"/>
      </w:pPr>
      <w:r>
        <w:t>Considera la administración concursal que el objeto del incidente tramitado se reducía a una cuestión jurídica, circunstancia que determinaba que la celebración de vista dependiera exclusivamente de la decisión discrecional del juez. Asimismo, niega que las sentencias dictadas incurrieran en la incongruencia invocada por la actora, ya que los documentos referidos al precio de la venta fueron tenidos en cuenta por el Juzgado de lo Mercantil, que resolvió en primer grado conforme a las reglas generales sobre valoración de prueba. Entiende, así, la administración concursal que la parte actora debió aportar los documentos relativos al contrato celebrado junto a la propia demanda. No habiéndolo hecho así, no corresponde al Tribunal Constitucional, según se afirma en el escrito de alegaciones, revisar lo resuelto por la jurisdicción ordinaria.</w:t>
      </w:r>
    </w:p>
    <w:p w:rsidR="00AC56D6" w:rsidRDefault="00AC56D6" w:rsidP="00AC56D6">
      <w:pPr>
        <w:pStyle w:val="TextoNormal"/>
      </w:pPr>
    </w:p>
    <w:p w:rsidR="00AC56D6" w:rsidRDefault="00AC56D6" w:rsidP="00AC56D6">
      <w:pPr>
        <w:pStyle w:val="TextoNormal"/>
      </w:pPr>
      <w:r>
        <w:t>Para la administración concursal, las Sentencias recurridas incluyen en el inventario un crédito a favor de la concursada como consecuencia lógica e inherente a las peticiones realizadas por la propia demandante. No se trataría, pues, de hechos nuevos ni se habría producido incongruencia o indefensión alguna.</w:t>
      </w:r>
    </w:p>
    <w:p w:rsidR="00AC56D6" w:rsidRDefault="00AC56D6" w:rsidP="00AC56D6">
      <w:pPr>
        <w:pStyle w:val="TextoNormal"/>
      </w:pPr>
    </w:p>
    <w:p w:rsidR="00AC56D6" w:rsidRDefault="00AC56D6" w:rsidP="00AC56D6">
      <w:pPr>
        <w:pStyle w:val="TextoNormal"/>
      </w:pPr>
      <w:r w:rsidRPr="00AC56D6">
        <w:rPr>
          <w:rStyle w:val="NumeroAFNegritaCaracter"/>
        </w:rPr>
        <w:t>7</w:t>
      </w:r>
      <w:r>
        <w:t>. El Fiscal ante este Tribunal Constitucional presentó sus alegaciones mediante escrito registrado el día 2 de junio de 2015, interesando el otorgamiento del amparo solicitado por vulneración del derecho de la entidad recurrente a la tutela judicial efectiva y la retroacción de las actuaciones al momento en que se admitió a trámite la contestación de la demanda.</w:t>
      </w:r>
    </w:p>
    <w:p w:rsidR="00AC56D6" w:rsidRDefault="00AC56D6" w:rsidP="00AC56D6">
      <w:pPr>
        <w:pStyle w:val="TextoNormal"/>
      </w:pPr>
    </w:p>
    <w:p w:rsidR="00AC56D6" w:rsidRDefault="00AC56D6" w:rsidP="00AC56D6">
      <w:pPr>
        <w:pStyle w:val="TextoNormal"/>
      </w:pPr>
      <w:r>
        <w:t xml:space="preserve">Se ocupa, en primer lugar, el Ministerio Fiscal del orden de tratamiento de las quejas planteadas por la recurrente. Constata, a estos efectos, que la demanda denuncia, en primer lugar, la vulneración del derecho a la tutela judicial efectiva sin indefensión en su modalidad de incongruencia </w:t>
      </w:r>
      <w:r w:rsidRPr="00AC56D6">
        <w:rPr>
          <w:i/>
        </w:rPr>
        <w:t>extra petita</w:t>
      </w:r>
      <w:r>
        <w:t xml:space="preserve">, en la medida en que las dos Sentencias impugnadas habrían otorgado algo distinto de lo pedido. Añade, asimismo, que de la demanda puede colegirse que habría resultado igualmente vulnerado el derecho a un proceso con todas las garantías y el derecho a utilizar todos los medios de prueba pertinentes, puesto que el Juzgado no confirió traslado a la parte actora del escrito de contestación de demanda —que, a juicio del </w:t>
      </w:r>
      <w:r>
        <w:lastRenderedPageBreak/>
        <w:t>Fiscal, contenía una reconvención implícita— y, con ello, no dio a la recurrente de amparo la oportunidad de alegar y proponer prueba sobre la pretensión formulada de contrario, vulneraciones ambas que habrían de incardinarse en el art. 24.2 CE.</w:t>
      </w:r>
    </w:p>
    <w:p w:rsidR="00AC56D6" w:rsidRDefault="00AC56D6" w:rsidP="00AC56D6">
      <w:pPr>
        <w:pStyle w:val="TextoNormal"/>
      </w:pPr>
    </w:p>
    <w:p w:rsidR="00AC56D6" w:rsidRDefault="00AC56D6" w:rsidP="00AC56D6">
      <w:pPr>
        <w:pStyle w:val="TextoNormal"/>
      </w:pPr>
      <w:r>
        <w:t>Según expone el Ministerio Fiscal, esta segunda lesión se habría materializado en el momento inmediatamente posterior a la contestación de la demanda, antes, por tanto, de que se verificara en la Sentencia que resolvió el incidente la eventual incongruencia. El orden de tratamiento de las quejas, regido por el criterio de la mayor retroacción, ha de ser, por ello, según expone el defensor de la legalidad, el inverso al propuesto por la mercantil recurrente, pues, en caso de apreciarse la vulneración del art. 24.2 CE, no sería ya necesario pronunciarse sobre la incongruencia eventualmente producida en un momento posterior.</w:t>
      </w:r>
    </w:p>
    <w:p w:rsidR="00AC56D6" w:rsidRDefault="00AC56D6" w:rsidP="00AC56D6">
      <w:pPr>
        <w:pStyle w:val="TextoNormal"/>
      </w:pPr>
    </w:p>
    <w:p w:rsidR="00AC56D6" w:rsidRDefault="00AC56D6" w:rsidP="00AC56D6">
      <w:pPr>
        <w:pStyle w:val="TextoNormal"/>
      </w:pPr>
      <w:r>
        <w:t>Añade el Fiscal que la violación del art. 24.2 CE parte del presupuesto interpretativo de considerar que la contestación de la demanda incidental no era un verdadero allanamiento sino una auténtica reconvención, de la que debió darse traslado a la entidad demandante a efectos de que pudiera proponer prueba y solicitar, eventualmente, la celebración de vista. Lo verdaderamente determinante para la infracción constitucional denunciada es, por tanto, que no se dio al actor traslado de la contestación de la demanda para formular alegaciones.</w:t>
      </w:r>
    </w:p>
    <w:p w:rsidR="00AC56D6" w:rsidRDefault="00AC56D6" w:rsidP="00AC56D6">
      <w:pPr>
        <w:pStyle w:val="TextoNormal"/>
      </w:pPr>
    </w:p>
    <w:p w:rsidR="00AC56D6" w:rsidRDefault="00AC56D6" w:rsidP="00AC56D6">
      <w:pPr>
        <w:pStyle w:val="TextoNormal"/>
      </w:pPr>
      <w:r>
        <w:t xml:space="preserve">En coherencia con ese presupuesto interpretativo no podría concurrir, a juicio del Ministerio Fiscal, una violación del art. 24.1 CE derivada de una supuesta incongruencia </w:t>
      </w:r>
      <w:r w:rsidRPr="00AC56D6">
        <w:rPr>
          <w:i/>
        </w:rPr>
        <w:t>extra petita</w:t>
      </w:r>
      <w:r>
        <w:t>, pues las Sentencias se pronunciaron sobre las pretensiones deducidas por las partes —también sobre la implícitamente deducida por la administración concursal—, valorando cuál de los dos contratos se había realmente suscrito, haciéndolo, no obstante, a juicio del Fiscal, sin dar al demandante la posibilidad de alegar y proponer prueba respecto del negocio jurídico invocado de contrario por los administradores concursales, vulnerándose, así, el derecho al proceso con todas las garantías y a la utilización de los medios pertinentes para la defensa (art. 24.2 CE).</w:t>
      </w:r>
    </w:p>
    <w:p w:rsidR="00AC56D6" w:rsidRDefault="00AC56D6" w:rsidP="00AC56D6">
      <w:pPr>
        <w:pStyle w:val="TextoNormal"/>
      </w:pPr>
    </w:p>
    <w:p w:rsidR="00AC56D6" w:rsidRDefault="00AC56D6" w:rsidP="00AC56D6">
      <w:pPr>
        <w:pStyle w:val="TextoNormal"/>
      </w:pPr>
      <w:r>
        <w:t>En el parecer del Fiscal, debe, pues, otorgarse el amparo, declarando la vulneración del derecho a la tutela judicial efectiva, con restablecimiento al recurrente en su derecho, declarando la nulidad de las Sentencias recurridas y retrotrayendo las actuaciones al momento en que se admitió a trámite la contestación de la demanda.</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10 de diciembre de 2015, se señaló para la deliberación y votación de la presente Sentencia el día 14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presente recurso de amparo se dirige contra la Sentencia de 12 de junio de 2013, dictada por el Juzgado de lo Mercantil núm. 2 de Murcia, en juicio incidental núm. 5 (I 96), así como contra la Sentencia de la Audiencia Provincial de esa misma capital (Sección Cuarta) de 3 de abril de 2014, recaída en el rollo de apelación núm. 201-2014, que confirmó íntegramente la anterior.</w:t>
      </w:r>
    </w:p>
    <w:p w:rsidR="00AC56D6" w:rsidRDefault="00AC56D6" w:rsidP="00AC56D6">
      <w:pPr>
        <w:pStyle w:val="TextoNormal"/>
      </w:pPr>
    </w:p>
    <w:p w:rsidR="00AC56D6" w:rsidRDefault="00AC56D6" w:rsidP="00AC56D6">
      <w:pPr>
        <w:pStyle w:val="TextoNormal"/>
      </w:pPr>
      <w:r>
        <w:t xml:space="preserve">La demanda de amparo invoca la vulneración del derecho a la tutela judicial efectiva sin indefensión (art. 24.1 CE), porque, en el parecer de la actora, las dos Sentencias impugnadas </w:t>
      </w:r>
      <w:r>
        <w:lastRenderedPageBreak/>
        <w:t xml:space="preserve">han incurrido en el vicio de incongruencia </w:t>
      </w:r>
      <w:r w:rsidRPr="00AC56D6">
        <w:rPr>
          <w:i/>
        </w:rPr>
        <w:t>extra petita</w:t>
      </w:r>
      <w:r>
        <w:t xml:space="preserve"> e infringido, además, el derecho a un proceso justo y con todas las garantías y a la utilización de medios de prueba (art. 24.2 CE).</w:t>
      </w:r>
    </w:p>
    <w:p w:rsidR="00AC56D6" w:rsidRDefault="00AC56D6" w:rsidP="00AC56D6">
      <w:pPr>
        <w:pStyle w:val="TextoNormal"/>
      </w:pPr>
    </w:p>
    <w:p w:rsidR="00AC56D6" w:rsidRDefault="00AC56D6" w:rsidP="00AC56D6">
      <w:pPr>
        <w:pStyle w:val="TextoNormal"/>
      </w:pPr>
      <w:r>
        <w:t>La mercantil demandante de amparo sostiene que las Sentencias impugnadas se han pronunciado sobre una pretensión distinta de la planteada por la parte actora en el juicio incidental, lo que supone una clara contravención del principio de congruencia de las resoluciones judiciales. A su juicio, las Sentencias han acordado la inclusión en el inventario de bienes y derechos de la concursada de un crédito a favor de la misma, en concepto del precio aún no abonado por la demandante, hecho éste que fue introducido por la contraparte en el trámite de contestación de la demanda del procedimiento incidental.</w:t>
      </w:r>
    </w:p>
    <w:p w:rsidR="00AC56D6" w:rsidRDefault="00AC56D6" w:rsidP="00AC56D6">
      <w:pPr>
        <w:pStyle w:val="TextoNormal"/>
      </w:pPr>
    </w:p>
    <w:p w:rsidR="00AC56D6" w:rsidRDefault="00AC56D6" w:rsidP="00AC56D6">
      <w:pPr>
        <w:pStyle w:val="TextoNormal"/>
      </w:pPr>
      <w:r>
        <w:t>De otro lado, se alega en el recurso que, al no conferirse el oportuno traslado de la contestación de la demanda, que constituía una verdadera reconvención a juicio de la recurrente, se privó a la demandante de la posibilidad de solicitar la celebración de vista y de proponer prueba, además de impedírsele la debida contradicción.</w:t>
      </w:r>
    </w:p>
    <w:p w:rsidR="00AC56D6" w:rsidRDefault="00AC56D6" w:rsidP="00AC56D6">
      <w:pPr>
        <w:pStyle w:val="TextoNormal"/>
      </w:pPr>
    </w:p>
    <w:p w:rsidR="00AC56D6" w:rsidRDefault="00AC56D6" w:rsidP="00AC56D6">
      <w:pPr>
        <w:pStyle w:val="TextoNormal"/>
      </w:pPr>
      <w:r>
        <w:t>Por su parte, la administración concursal ha interesado la desestimación del recurso al entender que no ha existido el vicio de incongruencia denunciado en la demanda, dado que el Juzgado de lo Mercantil y la Audiencia Provincial han valorado los documentos incorporados al procedimiento; afirma, así que, si la actora no aportó sus pruebas con la demanda, sólo a ella le es imputable tal omisión. Asimismo, sostiene que la inclusión de un crédito a favor de la concursada, en el inventario de bienes y derechos, por un precio superior al señalado por la recurrente es consecuencia lógica de las propias peticiones incluidas en la demanda, sin que fuera necesaria la celebración de vista ni el otorgamiento de nuevos traslados al reducirse la controversia a una cuestión meramente jurídica.</w:t>
      </w:r>
    </w:p>
    <w:p w:rsidR="00AC56D6" w:rsidRDefault="00AC56D6" w:rsidP="00AC56D6">
      <w:pPr>
        <w:pStyle w:val="TextoNormal"/>
      </w:pPr>
    </w:p>
    <w:p w:rsidR="00AC56D6" w:rsidRDefault="00AC56D6" w:rsidP="00AC56D6">
      <w:pPr>
        <w:pStyle w:val="TextoNormal"/>
      </w:pPr>
      <w:r>
        <w:t xml:space="preserve">Finalmente, el Ministerio Fiscal considera que debe otorgarse el amparo solicitado por el recurrente, si bien, a su juicio, debe alterarse el orden de enjuiciamiento de las cuestiones planteadas en el recurso, dado que la segunda lesión denunciada —relativa al derecho a un proceso con todas las garantías y a utilizar los medios de prueba pertinentes— , se produjo en el momento inmediatamente posterior a la contestación de la demanda, antes, pues, de que pudiera consumarse en Sentencia la posible incongruencia </w:t>
      </w:r>
      <w:r w:rsidRPr="00AC56D6">
        <w:rPr>
          <w:i/>
        </w:rPr>
        <w:t>extra petitum</w:t>
      </w:r>
      <w:r>
        <w:t>. Pide, así, el Ministerio Fiscal que se estime la demanda por dicho motivo y se retrotraigan las actuaciones al referido momento procesal.</w:t>
      </w:r>
    </w:p>
    <w:p w:rsidR="00AC56D6" w:rsidRDefault="00AC56D6" w:rsidP="00AC56D6">
      <w:pPr>
        <w:pStyle w:val="TextoNormal"/>
      </w:pPr>
    </w:p>
    <w:p w:rsidR="00AC56D6" w:rsidRDefault="00AC56D6" w:rsidP="00AC56D6">
      <w:pPr>
        <w:pStyle w:val="TextoNormal"/>
      </w:pPr>
      <w:r w:rsidRPr="00AC56D6">
        <w:rPr>
          <w:rStyle w:val="NumeroAFNegritaCaracter"/>
        </w:rPr>
        <w:t>2</w:t>
      </w:r>
      <w:r>
        <w:t xml:space="preserve">. Como acaba de exponerse, son dos las pretendidas vulneraciones invocadas en la demanda de amparo, una relativa a la posible incongruencia </w:t>
      </w:r>
      <w:r w:rsidRPr="00AC56D6">
        <w:rPr>
          <w:i/>
        </w:rPr>
        <w:t>extra petitum</w:t>
      </w:r>
      <w:r>
        <w:t xml:space="preserve"> de la Sentencia y otra atinente a la privación de la posibilidad de contradicción y utilización de los medios de prueba pertinentes para la defensa.</w:t>
      </w:r>
    </w:p>
    <w:p w:rsidR="00AC56D6" w:rsidRDefault="00AC56D6" w:rsidP="00AC56D6">
      <w:pPr>
        <w:pStyle w:val="TextoNormal"/>
      </w:pPr>
    </w:p>
    <w:p w:rsidR="00AC56D6" w:rsidRDefault="00AC56D6" w:rsidP="00AC56D6">
      <w:pPr>
        <w:pStyle w:val="TextoNormal"/>
      </w:pPr>
      <w:r>
        <w:t>Siguiendo la línea argumental apuntada por el Ministerio Fiscal en sus alegaciones, debemos comenzar nuestro examen por la segunda de las quejas aludidas, que, en caso de ser estimada, lleva consigo la retroacción de las actuaciones al momento procesal inmediatamente posterior a la contestación de la demanda, haciendo, en tal caso, innecesaria la depuración de la queja relativa a la incongruencia omisiva, achacable a la posterior resolución de fondo.</w:t>
      </w:r>
    </w:p>
    <w:p w:rsidR="00AC56D6" w:rsidRDefault="00AC56D6" w:rsidP="00AC56D6">
      <w:pPr>
        <w:pStyle w:val="TextoNormal"/>
      </w:pPr>
    </w:p>
    <w:p w:rsidR="00AC56D6" w:rsidRDefault="00AC56D6" w:rsidP="00AC56D6">
      <w:pPr>
        <w:pStyle w:val="TextoNormal"/>
      </w:pPr>
      <w:r>
        <w:lastRenderedPageBreak/>
        <w:t>En este punto, según puede comprobarse en el escrito de contestación a la demanda incidental, la administración concursal se limitó formalmente a manifestar su allanamiento con las pretensiones de la demanda en lo relativo a la exclusión del inventario de bienes y derechos de la finca controvertida, así como en lo atinente a la elevación a público del correspondiente contrato de compraventa celebrado entre las partes. No obstante, en ese mismo escrito la administración concursal introdujo un elemento de hecho novedoso como era la existencia de un contrato distinto al invocado por la entidad promotora del incidente, que tenía un influjo innegable en la tutela judicial pretendida por la actora, ya que ésta solicitaba la elevación a público de un determinado contrato y por un precio preciso (105.000 €). La alegación, con presentación del correspondiente documento acreditativo, que afirmaba que el contrato celebrado era diverso y por un precio muy distinto (650.000 €) suponía, pues, la introducción en el pleito de una clara discrepancia, relativa, tanto al negocio jurídico que debía ser elevado a público, como al precio de venta pendiente de pago, que oscilaba entre los 5.000 € que Pascamor, S.L., se ofrecía a pagar y los 550.000 que los administradores concursales consideraban que debían ser abonados a la entidad concursada.</w:t>
      </w:r>
    </w:p>
    <w:p w:rsidR="00AC56D6" w:rsidRDefault="00AC56D6" w:rsidP="00AC56D6">
      <w:pPr>
        <w:pStyle w:val="TextoNormal"/>
      </w:pPr>
    </w:p>
    <w:p w:rsidR="00AC56D6" w:rsidRDefault="00AC56D6" w:rsidP="00AC56D6">
      <w:pPr>
        <w:pStyle w:val="TextoNormal"/>
      </w:pPr>
      <w:r>
        <w:t xml:space="preserve">A efectos constitucionales, no resulta ahora relevante que la referida discrepancia haya supuesto o no una verdadera reconvención, cuestión ésta que debería, en su caso, ser analizada desde la óptica de una posible incongruencia </w:t>
      </w:r>
      <w:r w:rsidRPr="00AC56D6">
        <w:rPr>
          <w:i/>
        </w:rPr>
        <w:t>extra petitum</w:t>
      </w:r>
      <w:r>
        <w:t>, pues la circunstancia de que la contestación a la demandada hubiera introducido elementos de hecho novedosos que, de ser ciertos, habrían determinado que las pretensiones de la actora no hubieran podido ser acogidas tal y como habían sido formuladas, esto es, con elevación a público de un determinado contrato con un concreto precio, ya generaba por sí sola la obligación del órgano judicial de dar al demandante la oportunidad de alegar y probar en relación con los mismos.</w:t>
      </w:r>
    </w:p>
    <w:p w:rsidR="00AC56D6" w:rsidRDefault="00AC56D6" w:rsidP="00AC56D6">
      <w:pPr>
        <w:pStyle w:val="TextoNormal"/>
      </w:pPr>
    </w:p>
    <w:p w:rsidR="00AC56D6" w:rsidRDefault="00AC56D6" w:rsidP="00AC56D6">
      <w:pPr>
        <w:pStyle w:val="TextoNormal"/>
      </w:pPr>
      <w:r>
        <w:t>Sin embargo, la Sentencia de instancia no llegó a estimar en su integridad la demanda tal y como había sido formulada, esto es, con exigencia de elevación a público de un determinado contrato de venta por un precio de 105.000 €, en cuanto que valoró unos elementos de hecho que hacían referencia a la existencia de otro contrato distinto por un precio de 650.000 €, así como una prueba, la del correspondiente documento acreditativo, sobre los que no se había producido la debida contradicción, pues no se había dado al demandante la oportunidad de alegar o probar en relación con los mismos. Esta sola circunstancia, que es conceptualmente separable del hecho de que la Sentencia hubiera procedido, además, a incluir en el inventario de bienes un crédito contra la demandante, debería haber llevado al órgano judicial a conceder a la entidad promotora del incidente la oportunidad de oponerse a los hechos alegados y a las pruebas presentadas de contrario por los administradores concursales.</w:t>
      </w:r>
    </w:p>
    <w:p w:rsidR="00AC56D6" w:rsidRDefault="00AC56D6" w:rsidP="00AC56D6">
      <w:pPr>
        <w:pStyle w:val="TextoNormal"/>
      </w:pPr>
    </w:p>
    <w:p w:rsidR="00AC56D6" w:rsidRDefault="00AC56D6" w:rsidP="00AC56D6">
      <w:pPr>
        <w:pStyle w:val="TextoNormal"/>
      </w:pPr>
      <w:r>
        <w:t>En efecto, ya en la temprana STC 162/1993, este Tribunal tuvo oportunidad de recordar que la preservación de los derechos fundamentales y, en especial, la regla o principio de interdicción de la indefensión reclaman un cuidadoso esfuerzo del órgano jurisdiccional por preservar los derechos de defensa de las partes, ya que corresponde a los órganos judiciales velar por que se dé la necesaria contradicción entre éstas, que posean idénticas posibilidades de alegación y prueba y, en definitiva, que ejerciten su derecho de defensa en cada una de las fases o instancias, regla que no resulta observada, según constatamos en la STC 76/1999, de 26 de abril, cuando el órgano judicial valora un hecho nuevo que no ha sido debidamente debatido en el proceso.</w:t>
      </w:r>
    </w:p>
    <w:p w:rsidR="00AC56D6" w:rsidRDefault="00AC56D6" w:rsidP="00AC56D6">
      <w:pPr>
        <w:pStyle w:val="TextoNormal"/>
      </w:pPr>
    </w:p>
    <w:p w:rsidR="00AC56D6" w:rsidRDefault="00AC56D6" w:rsidP="00AC56D6">
      <w:pPr>
        <w:pStyle w:val="TextoNormal"/>
      </w:pPr>
      <w:r>
        <w:lastRenderedPageBreak/>
        <w:t>Tal y como hemos señalado, la circunstancia de que una determinada regulación procesal no prevea un trámite específico —bien de traslado a las partes o de celebración de vista— no significa que no venga requerido por una “interpretación de la normativa procesal a la luz de los preceptos y principios constitucionales, al ser obligado, en todo caso, preservar el derecho de defensa de las partes en el proceso” facilitando a éstas la posibilidad de “contradecir y rebatir los argumentos expuestos por la parte contraria y formular cuantas alegaciones” estime pertinentes (SSTC 53/1987, de 7 de mayo, FJ 3; 66/1989, de 17 de abril, FJ 12; 162/1997, de 3 de octubre, FJ 3; 16/2000, de 31 de enero, FFJJ 6 y 7; 79/2000, de 27 de marzo, FJ 3; 93/2000, de 10 de abril, FJ 4; 101/2001, de 23 de abril, FJ 3, y 182/2009, de 7 de septiembre, FJ 3).</w:t>
      </w:r>
    </w:p>
    <w:p w:rsidR="00AC56D6" w:rsidRDefault="00AC56D6" w:rsidP="00AC56D6">
      <w:pPr>
        <w:pStyle w:val="TextoNormal"/>
      </w:pPr>
    </w:p>
    <w:p w:rsidR="00AC56D6" w:rsidRDefault="00AC56D6" w:rsidP="00AC56D6">
      <w:pPr>
        <w:pStyle w:val="TextoNormal"/>
      </w:pPr>
      <w:r>
        <w:t xml:space="preserve">A la vista de esta doctrina queda claro, pues, que la privación a la actora de toda posibilidad de alegar o probar en relación con el nuevo elemento de hecho introducido en el debate procesal determina, por sí sola, la violación del derecho de Pascamor, S.L., a un proceso con todas las garantías y obliga, por ello, a estimar la demanda de amparo con retroacción de las actuaciones al momento inmediatamente posterior a la contestación de la demanda. La estimación de este motivo nos exime, como queda dicho, de entrar a conocer de la posible violación del derecho a la tutela judicial efectiva por incongruencia </w:t>
      </w:r>
      <w:r w:rsidRPr="00AC56D6">
        <w:rPr>
          <w:i/>
        </w:rPr>
        <w:t>extra petitum</w:t>
      </w:r>
      <w:r>
        <w:t>.</w:t>
      </w:r>
    </w:p>
    <w:p w:rsidR="00AC56D6" w:rsidRDefault="00AC56D6" w:rsidP="00AC56D6">
      <w:pPr>
        <w:pStyle w:val="TextoNormal"/>
      </w:pPr>
    </w:p>
    <w:p w:rsidR="00AC56D6" w:rsidRDefault="00AC56D6" w:rsidP="00AC56D6">
      <w:pPr>
        <w:pStyle w:val="TextoNormal"/>
      </w:pPr>
      <w:r w:rsidRPr="00AC56D6">
        <w:rPr>
          <w:rStyle w:val="NumeroAFNegritaCaracter"/>
        </w:rPr>
        <w:t>3</w:t>
      </w:r>
      <w:r>
        <w:t>. El restablecimiento de la demandante en la integridad de su derecho exige la anulación de la Sentencia de fecha 12 de junio de 2013, dictada por el Juzgado Mercantil núm. 2 de Murcia, a la que se imputa la lesión, y de la Sentencia dictada por la Sección Cuarta de la Audiencia Provincial de Murcia de 3 de abril de 2014, en grado de apelación, que no la reparó en la vía judicial ordinaria, así como la retroacción de las actuaciones al momento inmediatamente posterior al de contestación de la demanda para que se sustancie el proceso con pleno respeto a los derechos fundamentales vulnerados.</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Estimar el recurso de amparo presentado por la entidad mercantil Pascamor, S.L., y, en su virtud:</w:t>
      </w:r>
    </w:p>
    <w:p w:rsidR="00AC56D6" w:rsidRDefault="00AC56D6" w:rsidP="00AC56D6">
      <w:pPr>
        <w:pStyle w:val="TextoNormal"/>
      </w:pPr>
    </w:p>
    <w:p w:rsidR="00AC56D6" w:rsidRDefault="00AC56D6" w:rsidP="00AC56D6">
      <w:pPr>
        <w:pStyle w:val="TextoNormal"/>
      </w:pPr>
      <w:r>
        <w:t>1º Reconocer su derecho a un proceso con todas las garantías (art. 24.2 CE).</w:t>
      </w:r>
    </w:p>
    <w:p w:rsidR="00AC56D6" w:rsidRDefault="00AC56D6" w:rsidP="00AC56D6">
      <w:pPr>
        <w:pStyle w:val="TextoNormal"/>
      </w:pPr>
    </w:p>
    <w:p w:rsidR="00AC56D6" w:rsidRDefault="00AC56D6" w:rsidP="00AC56D6">
      <w:pPr>
        <w:pStyle w:val="TextoNormal"/>
      </w:pPr>
      <w:r>
        <w:t>2º Anular la Sentencia del Juzgado de lo Mercantil núm. 2 de Murcia de fecha 12 de junio de 2013 en el incidente concursal núm. 5 (I96) concurso 94-2011 y la Sentencia, en grado de apelación, dictada por la Sección Cuarta de la Audiencia Provincial de Murcia el 3 de abril de 2014.</w:t>
      </w:r>
    </w:p>
    <w:p w:rsidR="00AC56D6" w:rsidRDefault="00AC56D6" w:rsidP="00AC56D6">
      <w:pPr>
        <w:pStyle w:val="TextoNormal"/>
      </w:pPr>
    </w:p>
    <w:p w:rsidR="00AC56D6" w:rsidRDefault="00AC56D6" w:rsidP="00AC56D6">
      <w:pPr>
        <w:pStyle w:val="TextoNormal"/>
      </w:pPr>
      <w:r>
        <w:t>3º Retrotraer las actuaciones al momento inmediatamente posterior al de contestación de la demanda para que se sustancie el proceso con pleno respeto al derecho fundamental vulnerado.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catorce de diciembre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22" w:name="SENTENCIA_2015_266"/>
      <w:r>
        <w:lastRenderedPageBreak/>
        <w:t>SENTENCIA 266/2015, de 14 de diciembre de 2015</w:t>
      </w:r>
    </w:p>
    <w:bookmarkEnd w:id="122"/>
    <w:p w:rsidR="00AC56D6" w:rsidRDefault="00AC56D6" w:rsidP="00AC56D6">
      <w:pPr>
        <w:pStyle w:val="TtuloResolucin"/>
      </w:pPr>
      <w:r>
        <w:t>Sala Segunda</w:t>
      </w:r>
    </w:p>
    <w:p w:rsidR="00AC56D6" w:rsidRDefault="00AC56D6" w:rsidP="00AC56D6">
      <w:pPr>
        <w:pStyle w:val="TtuloBOE"/>
      </w:pPr>
      <w:r>
        <w:t>(BOE núm. 19, de 22 de enero de 2016)</w:t>
      </w:r>
    </w:p>
    <w:p w:rsidR="00AC56D6" w:rsidRDefault="00AC56D6" w:rsidP="00AC56D6">
      <w:pPr>
        <w:pStyle w:val="TextoNormalCentrado"/>
      </w:pPr>
      <w:r>
        <w:t>ECLI:ES:TC:2015:266</w:t>
      </w:r>
    </w:p>
    <w:p w:rsidR="00AC56D6" w:rsidRDefault="00AC56D6" w:rsidP="00AC56D6">
      <w:pPr>
        <w:pStyle w:val="TextoNormalCentrado"/>
      </w:pPr>
    </w:p>
    <w:p w:rsidR="00AC56D6" w:rsidRDefault="00AC56D6" w:rsidP="00AC56D6">
      <w:pPr>
        <w:pStyle w:val="SntesisDescriptiva"/>
      </w:pPr>
      <w:r>
        <w:t>Recurso de amparo 5290-2014. Promovido por la mercantil Nova Caixa Galicia-NCG División Grupo Inmobiliario, S.L.U., respecto de la Sentencia dictada por el Juzgado de lo Penal número 1 de Santiago de Compostela en proceso por delitos de usurpación y simulación de delito, y los Autos posteriores que denegaron la nulidad parcial del fallo.</w:t>
      </w:r>
    </w:p>
    <w:p w:rsidR="00AC56D6" w:rsidRDefault="00AC56D6" w:rsidP="00AC56D6">
      <w:pPr>
        <w:pStyle w:val="SntesisDescriptiva"/>
      </w:pPr>
    </w:p>
    <w:p w:rsidR="00AC56D6" w:rsidRDefault="00AC56D6" w:rsidP="00AC56D6">
      <w:pPr>
        <w:pStyle w:val="SntesisAnaltica"/>
      </w:pPr>
      <w:r>
        <w:t>Vulneración de los derechos a la tutela judicial sin indefensión y a un proceso con todas las garantías: sentencia que acuerda la anulación de determinas escrituras, inscripciones registrales, cargas y gravámenes que pesaban sobre una finca sin emplazar a la entidad que figuraba en el Registro de la Propiedad como su titular dominical.</w:t>
      </w:r>
    </w:p>
    <w:p w:rsidR="00AC56D6" w:rsidRDefault="00AC56D6" w:rsidP="00AC56D6">
      <w:pPr>
        <w:pStyle w:val="SntesisAnaltica"/>
      </w:pPr>
    </w:p>
    <w:p w:rsidR="00AC56D6" w:rsidRDefault="00AC56D6" w:rsidP="00AC56D6">
      <w:pPr>
        <w:pStyle w:val="Extracto"/>
      </w:pPr>
      <w:r>
        <w:t>1.</w:t>
      </w:r>
      <w:r>
        <w:tab/>
        <w:t>Procede estimar el recurso de amparo, restableciendo a la demandante en su derecho a obtener de los Tribunales una tutela judicial efectiva sin indefensión y a disfrutar de un proceso público con todas las garantías [FJ 6].</w:t>
      </w:r>
    </w:p>
    <w:p w:rsidR="00AC56D6" w:rsidRDefault="00AC56D6" w:rsidP="00AC56D6">
      <w:pPr>
        <w:pStyle w:val="Extracto"/>
      </w:pPr>
    </w:p>
    <w:p w:rsidR="00AC56D6" w:rsidRDefault="00AC56D6" w:rsidP="00AC56D6">
      <w:pPr>
        <w:pStyle w:val="Extracto"/>
      </w:pPr>
      <w:r>
        <w:t>2.</w:t>
      </w:r>
      <w:r>
        <w:tab/>
        <w:t>El órgano judicial venía particularmente obligado a promover la presencia procesal de aquellos terceros cuyos intereses pudieran verse perjudicados por la estimación de una petición acusatoria, a fin de que también pudieran ser oídos en su defensa [FJ 5].</w:t>
      </w:r>
    </w:p>
    <w:p w:rsidR="00AC56D6" w:rsidRDefault="00AC56D6" w:rsidP="00AC56D6">
      <w:pPr>
        <w:pStyle w:val="Extracto"/>
      </w:pPr>
    </w:p>
    <w:p w:rsidR="00AC56D6" w:rsidRDefault="00AC56D6" w:rsidP="00AC56D6">
      <w:pPr>
        <w:pStyle w:val="Extracto"/>
      </w:pPr>
      <w:r>
        <w:t>3.</w:t>
      </w:r>
      <w:r>
        <w:tab/>
        <w:t>La entidad demandante tenía un interés constitucionalmente relevante en el resultado de la causa penal, pues en fechas paralelas a las del enjuiciamiento penal adquirió onerosamente el pleno dominio del inmueble en un procedimiento civil de ejecución hipotecaria seguido a su instancia [FJ 5].</w:t>
      </w:r>
    </w:p>
    <w:p w:rsidR="00AC56D6" w:rsidRDefault="00AC56D6" w:rsidP="00AC56D6">
      <w:pPr>
        <w:pStyle w:val="Extracto"/>
      </w:pPr>
    </w:p>
    <w:p w:rsidR="00AC56D6" w:rsidRDefault="00AC56D6" w:rsidP="00AC56D6">
      <w:pPr>
        <w:pStyle w:val="Extracto"/>
      </w:pPr>
      <w:r>
        <w:t>4.</w:t>
      </w:r>
      <w:r>
        <w:tab/>
        <w:t>El primer acto de comunicación con la demandante sobreviene una vez abierta la ejecutoria penal, presentando el formato de un requerimiento dirigido a desposeerle de la finca de autos, de modo que el Juzgado ejecutante la privó de sus derechos sin concederle oportunidad procesal de actuar en su defensa [FJ 5].</w:t>
      </w:r>
    </w:p>
    <w:p w:rsidR="00AC56D6" w:rsidRDefault="00AC56D6" w:rsidP="00AC56D6">
      <w:pPr>
        <w:pStyle w:val="Extracto"/>
      </w:pPr>
    </w:p>
    <w:p w:rsidR="00AC56D6" w:rsidRDefault="00AC56D6" w:rsidP="00AC56D6">
      <w:pPr>
        <w:pStyle w:val="Extracto"/>
      </w:pPr>
      <w:r>
        <w:t>5.</w:t>
      </w:r>
      <w:r>
        <w:tab/>
        <w:t>Doctrina sobre el deber de los órganos judiciales de velar por cumplimiento del principio de contradicción en las distintas fases del proceso (SSTC 138/1999 y 91/2000) [FJ 4].</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amparo núm. 5290-2014, promovido por la mercantil Nova Caixa Galicia-NCG División Grupo Inmobiliario, S.L.U., representada por el Procurador de los Tribunales don Rafael Silva López y asistida por el Abogado don Pablo Geijo Reija, contra la Sentencia dictada con fecha 6 de marzo de 2013 en el procedimiento abreviado núm. 362-2012 seguido ante el Juzgado de lo Penal núm. 1 de Santiago de Compostela, así como contra los Autos de 26 de mayo de 2014 y 18 de junio de 2014 en los que, en ejecución de Sentencia, dicho Juzgado de lo Penal declaraba no haber lugar, respectivamente, a la nulidad parcial del fallo promovida por la mercantil NCG, como tampoco a aclarar, subsanar o complementar tal rechazo de su petición de nulidad. Ha intervenido el Ministerio Fiscal. Ha sido Ponente el Magistrado don Ricardo Enríquez Sancho,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registrado en este Tribunal el 2 de septiembre de 2014, el Procurador de los Tribunales don Rafael Silva López, en nombre y representación de la mercantil NCG División Grupo Inmobiliario, S.L.U., interpuso recurso de amparo contra las resoluciones judiciales que se citan en el encabezamiento, estimando vulnerados a través de ellas sus derechos a la tutela judicial efectiva sin indefensión, al juez ordinario predeterminado por la ley y a un proceso público con todas las garantías (art. 24.1 y 2 CE), al tiempo que solicitaba por otrosí la suspensión cautelar de la ejecución del apartado del fallo judicial que le afecta.</w:t>
      </w:r>
    </w:p>
    <w:p w:rsidR="00AC56D6" w:rsidRDefault="00AC56D6" w:rsidP="00AC56D6">
      <w:pPr>
        <w:pStyle w:val="TextoNormal"/>
      </w:pPr>
    </w:p>
    <w:p w:rsidR="00AC56D6" w:rsidRDefault="00AC56D6" w:rsidP="00AC56D6">
      <w:pPr>
        <w:pStyle w:val="TextoNormal"/>
      </w:pPr>
      <w:r w:rsidRPr="00AC56D6">
        <w:rPr>
          <w:rStyle w:val="NumeroAFNegritaCaracter"/>
        </w:rPr>
        <w:t>2</w:t>
      </w:r>
      <w:r>
        <w:t>. Los hechos de los que trae causa la demanda de amparo son, en síntesis, los siguientes:</w:t>
      </w:r>
    </w:p>
    <w:p w:rsidR="00AC56D6" w:rsidRDefault="00AC56D6" w:rsidP="00AC56D6">
      <w:pPr>
        <w:pStyle w:val="TextoNormal"/>
      </w:pPr>
      <w:r>
        <w:t>a) En el seno del procedimiento abreviado núm. 362-2012, el Juzgado de lo Penal núm. 1 de Santiago de Compostela condenó al allí acusado J.G.L.T. como autor de un delito de usurpación (art. 245.2 CP), absorbiendo el de coacciones, así como de un delito de simulación de delito (art. 457 CP). El fallo ordenaba, entre otros aspectos, que “el condenado indemnizará a Ramón Filgueira Pérez en la cantidad que se determine en ejecución de sentencia. Se declaran nulas las escrituras, inscripciones registrales, cargas y gravámenes sobre la finca y casa posteriores a la compra de 12-5-2008”, disposición esta última que, sin referencias previas en el cuerpo principal de la Sentencia, venía a recoger la petición efectuada en tales términos por la acusación particular, ejercitada por el señalado Ramón Filgueira.</w:t>
      </w:r>
    </w:p>
    <w:p w:rsidR="00AC56D6" w:rsidRDefault="00AC56D6" w:rsidP="00AC56D6">
      <w:pPr>
        <w:pStyle w:val="TextoNormal"/>
      </w:pPr>
    </w:p>
    <w:p w:rsidR="00AC56D6" w:rsidRDefault="00AC56D6" w:rsidP="00AC56D6">
      <w:pPr>
        <w:pStyle w:val="TextoNormal"/>
      </w:pPr>
      <w:r>
        <w:t xml:space="preserve">El hecho probado de la Sentencia venía a referir, en síntesis, que el 28 de diciembre de 2007 el acusado J.G.L.T. y su hermano C.L.T. reconocieron en un documento privado adeudar a la empresa Ramón Filgueira, S.L., —cuyo administrador era este mismo— la cantidad de 356.621,89 €, comprometiéndose a que si, llegado el 10 de mayo de 2008, dicha deuda no había sido satisfecha, deberían vender la finca denominada Agro Novo de Arriba, sita en Boiro, junto con la vivienda en ella existente. Al no haber sido satisfecha la deuda, el 12 de mayo de 2008 Ramón Filgueira, J.G.L.T. y C.L.T. firmaron un contrato privado de compraventa sobre el inmueble en su conjunto (finca y vivienda), entregando estos últimos las llaves al primero. El 21 de mayo siguiente Ramón Filgueira, ya como propietario, cambió la cerradura de la casa y colocó un cartel de venta. Sin embargo, hacia esa misma fecha </w:t>
      </w:r>
      <w:r>
        <w:lastRenderedPageBreak/>
        <w:t>J.G.L.T., con el fin de impedir que aquél ejercitara sus derechos dominicales, cambió también por su parte la cerradura de la vivienda y se trasladó a residir en ella, sin autorización del mismo. Consciente, asimismo, de que faltaba a la verdad en tanto que sabedor de que el inmueble ya no era suyo, el mismo 21 de mayo J.G.L.T. acudió a la Guardia Civil denunciando que “unos desconocidos habían cambiado la cerradura de la puerta y colocado un cartel de venta en su casa”, afirmándose en la denuncia propietario de finca y vivienda, lo que dio lugar a la práctica de diligencias policiales y judiciales. En septiembre de 2011 Ramón todavía no había podido acceder a la finca, al permanecer el acusado morando en ella.</w:t>
      </w:r>
    </w:p>
    <w:p w:rsidR="00AC56D6" w:rsidRDefault="00AC56D6" w:rsidP="00AC56D6">
      <w:pPr>
        <w:pStyle w:val="TextoNormal"/>
      </w:pPr>
    </w:p>
    <w:p w:rsidR="00AC56D6" w:rsidRDefault="00AC56D6" w:rsidP="00AC56D6">
      <w:pPr>
        <w:pStyle w:val="TextoNormal"/>
      </w:pPr>
      <w:r>
        <w:t>En el antecedente de hecho segundo, la Sentencia refiere que la acusación particular, en el trámite de conclusiones definitivas, solicitó del órgano judicial, entre otros pronunciamientos civiles, “la anulación de todas las escrituras e inscripciones registrales así como cualquier otro tipo de cargas y gravámenes que pesen sobre la finca y casa y que sean posteriores a la fecha de la compra de la casa, es decir, 12-05-2008”.</w:t>
      </w:r>
    </w:p>
    <w:p w:rsidR="00AC56D6" w:rsidRDefault="00AC56D6" w:rsidP="00AC56D6">
      <w:pPr>
        <w:pStyle w:val="TextoNormal"/>
      </w:pPr>
    </w:p>
    <w:p w:rsidR="00AC56D6" w:rsidRDefault="00AC56D6" w:rsidP="00AC56D6">
      <w:pPr>
        <w:pStyle w:val="TextoNormal"/>
      </w:pPr>
      <w:r>
        <w:t>Accediendo a lo solicitado, el fundamento de Derecho cuarto por su lado expresa: “Piden las acusaciones y a ello estamos valorar en ejecución de sentencia los daños y perjuicios (art. 113 C.P.). Estaremos también a la anulación solicitada por la acusación particular”. Decisión esta última que, según hemos transcrito arriba, se llevó al fallo en los términos indicados.</w:t>
      </w:r>
    </w:p>
    <w:p w:rsidR="00AC56D6" w:rsidRDefault="00AC56D6" w:rsidP="00AC56D6">
      <w:pPr>
        <w:pStyle w:val="TextoNormal"/>
      </w:pPr>
    </w:p>
    <w:p w:rsidR="00AC56D6" w:rsidRDefault="00AC56D6" w:rsidP="00AC56D6">
      <w:pPr>
        <w:pStyle w:val="TextoNormal"/>
      </w:pPr>
      <w:r>
        <w:t>b) Mediante Sentencia de 30 de diciembre de 2013, la Audiencia Provincial de A Coruña (Sección Sexta) desestimó el recurso de apelación interpuesto por el acusado, confirmando íntegramente la decisión de la instancia, que adquirió firmeza. Ello no obstante, en el fundamento jurídico 2 de su Sentencia la Audiencia apuntaba expresamente la limitación de su conocimiento a “lo que el recurso permite revisar de los pronunciamientos relativos a la responsabilidad civil (nada se dice sobre la petición de restitución posesoria; se ignora cómo pretenden imponerse pronunciamientos cancelatorios sin inscribirse el derecho dominical contradictorio, carente de título apto para ello, o sin que hayan podido defenderse los titulares de derechos inscritos o de anotaciones relativos a la finca)”.</w:t>
      </w:r>
    </w:p>
    <w:p w:rsidR="00AC56D6" w:rsidRDefault="00AC56D6" w:rsidP="00AC56D6">
      <w:pPr>
        <w:pStyle w:val="TextoNormal"/>
      </w:pPr>
    </w:p>
    <w:p w:rsidR="00AC56D6" w:rsidRDefault="00AC56D6" w:rsidP="00AC56D6">
      <w:pPr>
        <w:pStyle w:val="TextoNormal"/>
      </w:pPr>
      <w:r>
        <w:t>El procedimiento penal en ningún momento deja constancia de que Ramón Filgueira intentara la elevación a escritura pública del contrato privado de compraventa. Durante la tramitación del proceso penal tampoco se comunicó la petición de la acusación particular a ningún tercero que eventualmente pudiere resultar afectado por la decisión de anular las inscripciones registrales posteriores al 12 de mayo de 2008, con el fin de poder efectuar alegaciones.</w:t>
      </w:r>
    </w:p>
    <w:p w:rsidR="00AC56D6" w:rsidRDefault="00AC56D6" w:rsidP="00AC56D6">
      <w:pPr>
        <w:pStyle w:val="TextoNormal"/>
      </w:pPr>
    </w:p>
    <w:p w:rsidR="00AC56D6" w:rsidRDefault="00AC56D6" w:rsidP="00AC56D6">
      <w:pPr>
        <w:pStyle w:val="TextoNormal"/>
      </w:pPr>
      <w:r>
        <w:t>c) Paralelamente a lo anterior, el 15 de mayo de 2008 J.G.L.T. firmó una escritura pública de préstamo hipotecario por importe de 206.000 € sobre la señalada finca, figurando en dicho documento público en calidad de prestatario y, como prestamista, Caja de Ahorros de Galicia (entidad antecesora de la demandante de amparo NCG División Grupo Inmobiliario, S.L.U.). La escritura pública hacía constar expresamente que J.G.L.T. “es dueño” de la misma y que la situación jurídica de finca es “libre de cargas”.</w:t>
      </w:r>
    </w:p>
    <w:p w:rsidR="00AC56D6" w:rsidRDefault="00AC56D6" w:rsidP="00AC56D6">
      <w:pPr>
        <w:pStyle w:val="TextoNormal"/>
      </w:pPr>
    </w:p>
    <w:p w:rsidR="00AC56D6" w:rsidRDefault="00AC56D6" w:rsidP="00AC56D6">
      <w:pPr>
        <w:pStyle w:val="TextoNormal"/>
      </w:pPr>
      <w:r>
        <w:lastRenderedPageBreak/>
        <w:t>El 2 de junio de 2008 el Registro de la Propiedad de Noia tuvo por presentada la escritura, procediendo a su inscripción a favor de Caja de Ahorros de Galicia. La nota simple informativa expedida por el Registro ese mismo día hace constar que el titular de la finca es J.G.L.T., ostentando sobre la misma el 100 por 100 del pleno dominio con carácter privativo, sin más cargas que las debidas a la agrupación de varias fincas. Deja, asimismo, constancia expresa de “una hipoteca a favor de Caja de Ahorros de Galicia (100/100) en garantía de un préstamo hipotecario de 206.000 € de principal …. Constituida en escritura pública autorizada el 15/05/2008 por el Notario de Boiro …, número 985 de su protocolo. Inscripción 3ª de fecha 02/06/2008”.</w:t>
      </w:r>
    </w:p>
    <w:p w:rsidR="00AC56D6" w:rsidRDefault="00AC56D6" w:rsidP="00AC56D6">
      <w:pPr>
        <w:pStyle w:val="TextoNormal"/>
      </w:pPr>
    </w:p>
    <w:p w:rsidR="00AC56D6" w:rsidRDefault="00AC56D6" w:rsidP="00AC56D6">
      <w:pPr>
        <w:pStyle w:val="TextoNormal"/>
      </w:pPr>
      <w:r>
        <w:t>Habiendo promovido la entidad bancaria, ya como NCG, demanda judicial de ejecución hipotecaria frente a J.G.L.T. ante el impago por parte de éste de lo adeudado en concepto de préstamo, tras los trámites oportunos el 25 de marzo de 2013 el Juzgado de Primera Instancia e Instrucción núm. 2 de Ribeira dictaba Decreto de adjudicación a la ejecutante en pública subasta de la citada finca, con núm. 22.801 de Protocolo del Registro de la Propiedad de Noia, por el 60 por 100 del valor de tasación fijado para la subasta (211.200 €).</w:t>
      </w:r>
    </w:p>
    <w:p w:rsidR="00AC56D6" w:rsidRDefault="00AC56D6" w:rsidP="00AC56D6">
      <w:pPr>
        <w:pStyle w:val="TextoNormal"/>
      </w:pPr>
    </w:p>
    <w:p w:rsidR="00AC56D6" w:rsidRDefault="00AC56D6" w:rsidP="00AC56D6">
      <w:pPr>
        <w:pStyle w:val="TextoNormal"/>
      </w:pPr>
      <w:r>
        <w:t>d) Mediante Auto de 20 de febrero de 2014, el Juzgado de lo Penal de Santiago incoó en relación con las actuaciones penales antes referidas la ejecutoria núm. 61-2014, acordando —entre otros aspectos— librar mandamiento al Registro de la Propiedad de Noia en cumplimiento de la declaración de nulidad determinada en el fallo de la Sentencia, de cuantas anotaciones e inscripciones registrales figurasen sobre la finca en cuestión con fecha ulterior al 12 de mayo de 2008.</w:t>
      </w:r>
    </w:p>
    <w:p w:rsidR="00AC56D6" w:rsidRDefault="00AC56D6" w:rsidP="00AC56D6">
      <w:pPr>
        <w:pStyle w:val="TextoNormal"/>
      </w:pPr>
    </w:p>
    <w:p w:rsidR="00AC56D6" w:rsidRDefault="00AC56D6" w:rsidP="00AC56D6">
      <w:pPr>
        <w:pStyle w:val="TextoNormal"/>
      </w:pPr>
      <w:r>
        <w:t>Asimismo, a instancias de la representación procesal de Ramón Filgueira, el 4 de marzo de 2014 el Juzgado requería a NCG para que, en el plazo de cinco días, entregara las llaves de la finca, al haberse declarado la nulidad de su inscripción, en tanto que posterior al día precitado.</w:t>
      </w:r>
    </w:p>
    <w:p w:rsidR="00AC56D6" w:rsidRDefault="00AC56D6" w:rsidP="00AC56D6">
      <w:pPr>
        <w:pStyle w:val="TextoNormal"/>
      </w:pPr>
    </w:p>
    <w:p w:rsidR="00AC56D6" w:rsidRDefault="00AC56D6" w:rsidP="00AC56D6">
      <w:pPr>
        <w:pStyle w:val="TextoNormal"/>
      </w:pPr>
      <w:r>
        <w:t xml:space="preserve">e) El 6 de marzo de 2014 el Registro de la Propiedad de Noia suspendía, </w:t>
      </w:r>
      <w:r w:rsidRPr="00AC56D6">
        <w:rPr>
          <w:i/>
        </w:rPr>
        <w:t>ex</w:t>
      </w:r>
      <w:r>
        <w:t xml:space="preserve"> arts. 9 de la Ley hipotecaria y 561 de su Reglamento, las operaciones de cancelación ordenadas en el mandamiento judicial, al no quedar perfectamente identificada la finca. La nota indica, asimismo, literalmente que la finca “estuvo inscrita a favor de don J.G. …, quien según su inscripción 5ª la aportó a su sociedad de gananciales con su esposa Doña D., los cuales, según la inscripción 6ª liquidaron la sociedad de gananciales y la adjudicaron a doña D., si bien actualmente, como consecuencia de la ejecución del préstamo hipotecario que la gravaba por su inscripción 3ª, figura inscrita a favor de la sociedad NCG…, por título de adjudicación en subasta pública, según su inscripción 7ª, por lo que se advierte que, en caso de ser la misma finca y se solicitara sobre la misma las operaciones indicadas en el precedente mandamiento, mediante la correspondiente nota de calificación SE DENEGARÍAN dichas operaciones por estar inscrita la finca a nombre de persona distinta de la parte demandada (arts. 20 de la Ley Hipotecaria y 140 de su Reglamento y artículo 24 de la Constitución Española)”.</w:t>
      </w:r>
    </w:p>
    <w:p w:rsidR="00AC56D6" w:rsidRDefault="00AC56D6" w:rsidP="00AC56D6">
      <w:pPr>
        <w:pStyle w:val="TextoNormal"/>
      </w:pPr>
    </w:p>
    <w:p w:rsidR="00AC56D6" w:rsidRDefault="00AC56D6" w:rsidP="00AC56D6">
      <w:pPr>
        <w:pStyle w:val="TextoNormal"/>
      </w:pPr>
      <w:r>
        <w:t xml:space="preserve">El 12 de marzo siguiente el Registro de la Propiedad, a petición de la titular registral NCG, expedía nota simple en el sentido de encontrarse pendiente de despacho “un documento de cancelación” promovido por el Juzgado de lo Penal núm. 1 de Santiago mediante </w:t>
      </w:r>
      <w:r>
        <w:lastRenderedPageBreak/>
        <w:t>“mandamiento expedido por duplicado el veintiuno de febrero de dos mil catorce” en relación con la ejecutoria núm. 61-2014 seguida contra J.G.L.T. por delitos de usurpación y simulación de delito “y en el que, en el cumplimiento de la sentencia firme … y de lo establecido en el auto de fecha veinte de febrero de dos mil catorce se solicita que se hagan las anotaciones e inscripciones correspondientes a fin de dar cumplimiento a lo dispuesto en la sentencia que se ejecuta: declaración de nulidad de las escrituras, inscripciones registrales, cargas y gravámenes sobre la finca y casa posteriores a la compra de 12 de mayo de 2008, compra efectuada en escritura privada, entre Ramón Filgueira, el acusado y su hermano C., y que afecta a la finca que se describe como Finca Agro Novo de Arriba, sita en el lugar de la Iglesia de Abanqueiro, Boiro, y la casa sita en dicha finca (posible finca registral número 22.801 de Boiro al folio 32 del tomo 1285, libro 245); se solicita también que se expida certificación de dicha finca. Se acompaña testimonio de la sentencia nº 85/13 dictada por el Juzgado de lo Penal nº 1 de Santiago y la sentencia nº 317/2013 de apelación dictada por la Audiencia Provincial Sección nº 6 de A Coruña, expedido el 21 de febrero de 2014”.</w:t>
      </w:r>
    </w:p>
    <w:p w:rsidR="00AC56D6" w:rsidRDefault="00AC56D6" w:rsidP="00AC56D6">
      <w:pPr>
        <w:pStyle w:val="TextoNormal"/>
      </w:pPr>
    </w:p>
    <w:p w:rsidR="00AC56D6" w:rsidRDefault="00AC56D6" w:rsidP="00AC56D6">
      <w:pPr>
        <w:pStyle w:val="TextoNormal"/>
      </w:pPr>
      <w:r>
        <w:t>f) Tras serle notificado el requerimiento judicial de entrega de las llaves, la demandante de amparo NCG se personó ante el Juzgado de lo Penal ejecutante interesando, al amparo del art. 241 de la Ley Orgánica del Poder Judicial (en adelante, LOPJ), la nulidad del pronunciamiento que, a su vez, declaraba la nulidad de cuantas escrituras, inscripciones, cargas y gravámenes pesasen sobre el terreno y casa objeto de juicio penal con posterioridad a aquella fecha de 2008.</w:t>
      </w:r>
    </w:p>
    <w:p w:rsidR="00AC56D6" w:rsidRDefault="00AC56D6" w:rsidP="00AC56D6">
      <w:pPr>
        <w:pStyle w:val="TextoNormal"/>
      </w:pPr>
    </w:p>
    <w:p w:rsidR="00AC56D6" w:rsidRDefault="00AC56D6" w:rsidP="00AC56D6">
      <w:pPr>
        <w:pStyle w:val="TextoNormal"/>
      </w:pPr>
      <w:r>
        <w:t>En su escrito, NCG aludía a la vulneración de su derecho a la tutela judicial efectiva en la defensa de sus derechos e intereses legítimos (art. 24.1 CE), produciéndosele efectiva indefensión al venir a anularse con la decisión judicial la inscripción registral, constituida a su favor y en legal forma sobre tal finca, sin haber sido llamada al proceso penal en modo ni momento alguno anterior al presente. Citaba a tal fin el art. 82 de la Ley hipotecaria, así como diversos pronunciamientos dictados por otras Audiencias Provinciales, en el sentido de declarar improcedente la cancelación de una inscripción sin ofrecerse posibilidad de ser oído en el procedimiento ejecutivo, junto con el contenido de las Resoluciones de la Dirección General de los Registros y del Notariado de 31 de enero de 2013, 19 de julio de 2010 y 26 de marzo de 2008, y de la STC 110/1988, de 8 de junio, en similar alusión a la situación de indefensión que supone que el titular registral afectado no haya sido emplazado como parte o bien no haya tenido la posibilidad de intervenir en el procedimiento determinante del asiento que le perjudica. Solicitaba, por otrosí, la suspensión de la ejecución acordada a efectos de evitar que el incidente de nulidad pudiera perder su finalidad (art. 241.2 LOPJ).</w:t>
      </w:r>
    </w:p>
    <w:p w:rsidR="00AC56D6" w:rsidRDefault="00AC56D6" w:rsidP="00AC56D6">
      <w:pPr>
        <w:pStyle w:val="TextoNormal"/>
      </w:pPr>
    </w:p>
    <w:p w:rsidR="00AC56D6" w:rsidRDefault="00AC56D6" w:rsidP="00AC56D6">
      <w:pPr>
        <w:pStyle w:val="TextoNormal"/>
      </w:pPr>
      <w:r>
        <w:t>g) Por Auto de 26 de mayo de 2014, y con fundamento en los arts. 238, 240.1 y 241 LOPJ, el Juzgado de lo Penal declaró no haber lugar a la nulidad parcial del fallo promovida por NCG, destacando en su fundamento jurídico 1</w:t>
      </w:r>
      <w:r w:rsidRPr="00AC56D6">
        <w:rPr>
          <w:i/>
        </w:rPr>
        <w:t>, in fi</w:t>
      </w:r>
      <w:r>
        <w:t>ne:</w:t>
      </w:r>
    </w:p>
    <w:p w:rsidR="00AC56D6" w:rsidRDefault="00AC56D6" w:rsidP="00AC56D6">
      <w:pPr>
        <w:pStyle w:val="TextoNormal"/>
      </w:pPr>
    </w:p>
    <w:p w:rsidR="00AC56D6" w:rsidRDefault="00AC56D6" w:rsidP="00AC56D6">
      <w:pPr>
        <w:pStyle w:val="TextoNormal"/>
      </w:pPr>
      <w:r>
        <w:t>“Según la documentación presentada por la solicitante, la adjudicación de la vivienda se hace efectiva en fecha 25 de marzo de 2013, fecha posterior a la sentencia que pretende que se declare nula. En fecha 20 de enero de 2014, la vivienda figuraba inscrita en el Registro a favor de D.M.M.S., verificándose en la Nota Simple informativa del Registro de la Propiedad de Noia. La sentencia de la Audiencia Provincial es de 30 de diciembre de 2013.</w:t>
      </w:r>
    </w:p>
    <w:p w:rsidR="00AC56D6" w:rsidRDefault="00AC56D6" w:rsidP="00AC56D6">
      <w:pPr>
        <w:pStyle w:val="TextoNormal"/>
      </w:pPr>
    </w:p>
    <w:p w:rsidR="00AC56D6" w:rsidRDefault="00AC56D6" w:rsidP="00AC56D6">
      <w:pPr>
        <w:pStyle w:val="TextoNormal"/>
      </w:pPr>
      <w:r>
        <w:lastRenderedPageBreak/>
        <w:t>Emplear el incidente de nulidad con exclusivos fines particulares denota, cuando menos, un abuso de derecho. Deducimos que la pretensión no es susceptible de nulidad, ya que se pretende exclusivamente modificar el contenido de una sentencia que ya ha adquirido firmeza.”</w:t>
      </w:r>
    </w:p>
    <w:p w:rsidR="00AC56D6" w:rsidRDefault="00AC56D6" w:rsidP="00AC56D6">
      <w:pPr>
        <w:pStyle w:val="TextoNormal"/>
      </w:pPr>
    </w:p>
    <w:p w:rsidR="00AC56D6" w:rsidRDefault="00AC56D6" w:rsidP="00AC56D6">
      <w:pPr>
        <w:pStyle w:val="TextoNormal"/>
      </w:pPr>
      <w:r>
        <w:t>h) Frente a este pronunciamiento promovió la demandante de amparo, con fecha 3 de junio de 2014, el mecanismo de la “aclaración, subsanación y/o complemento”. Incidía, por un lado, en la “real y efectiva indefensión” sufrida, que, a su entender, justifica que se declare la nulidad de lo actuado por haberse violado su derecho a la tutela judicial efectiva al no haber recibido audiencia alguna en el procedimiento, pese a ser única y legítima propietaria registral de la finca en cuestión a resultas del proceso civil de ejecución hipotecaria. Especificaba, por otro, las razones por las que el Auto dictado venía a renovar su situación de indefensión, al no ofrecer en él el Juzgado de lo Penal respuesta mínimamente motivada en Derecho acerca de la razón por la que no estimaba vulnerado el derecho fundamental a la tutela judicial efectiva de la recurrente, expresamente invocado.</w:t>
      </w:r>
    </w:p>
    <w:p w:rsidR="00AC56D6" w:rsidRDefault="00AC56D6" w:rsidP="00AC56D6">
      <w:pPr>
        <w:pStyle w:val="TextoNormal"/>
      </w:pPr>
    </w:p>
    <w:p w:rsidR="00AC56D6" w:rsidRDefault="00AC56D6" w:rsidP="00AC56D6">
      <w:pPr>
        <w:pStyle w:val="TextoNormal"/>
      </w:pPr>
      <w:r>
        <w:t>Su petición fue rechazada por Auto de 18 de junio de 2014, aduciendo el Juzgado de lo Penal que NCG pretendía “no una aclaración” de lo decidido, sino una “auténtica modificación de su contenido, fundamentada en su propio interés particular”.</w:t>
      </w:r>
    </w:p>
    <w:p w:rsidR="00AC56D6" w:rsidRDefault="00AC56D6" w:rsidP="00AC56D6">
      <w:pPr>
        <w:pStyle w:val="TextoNormal"/>
      </w:pPr>
    </w:p>
    <w:p w:rsidR="00AC56D6" w:rsidRDefault="00AC56D6" w:rsidP="00AC56D6">
      <w:pPr>
        <w:pStyle w:val="TextoNormal"/>
      </w:pPr>
      <w:r>
        <w:t>Por providencia de 2 de julio de 2014 el Juzgado requería nuevamente a NCG la entrega de las llaves de la finca en cuestión, concediéndole un nuevo plazo de cinco días a tal fin.</w:t>
      </w:r>
    </w:p>
    <w:p w:rsidR="00AC56D6" w:rsidRDefault="00AC56D6" w:rsidP="00AC56D6">
      <w:pPr>
        <w:pStyle w:val="TextoNormal"/>
      </w:pPr>
    </w:p>
    <w:p w:rsidR="00AC56D6" w:rsidRDefault="00AC56D6" w:rsidP="00AC56D6">
      <w:pPr>
        <w:pStyle w:val="TextoNormal"/>
      </w:pPr>
      <w:r w:rsidRPr="00AC56D6">
        <w:rPr>
          <w:rStyle w:val="NumeroAFNegritaCaracter"/>
        </w:rPr>
        <w:t>3</w:t>
      </w:r>
      <w:r>
        <w:t>. La demanda de amparo invoca, en tres motivos diferenciados, los derechos a la tutela judicial efectiva sin indefensión (art. 24.1 CE), al juez ordinario predeterminado por la ley (art. 24.2 CE) y a un proceso con todas las garantías (art. 24.2 CE).</w:t>
      </w:r>
    </w:p>
    <w:p w:rsidR="00AC56D6" w:rsidRDefault="00AC56D6" w:rsidP="00AC56D6">
      <w:pPr>
        <w:pStyle w:val="TextoNormal"/>
      </w:pPr>
    </w:p>
    <w:p w:rsidR="00AC56D6" w:rsidRDefault="00AC56D6" w:rsidP="00AC56D6">
      <w:pPr>
        <w:pStyle w:val="TextoNormal"/>
      </w:pPr>
      <w:r>
        <w:t>En relación con el primero de ellos (art. 24.1 CE), se queja de que, viéndose finalmente afectada su inscripción registral por el pronunciamiento judicial de declaración de nulidad, no se le ha dado oportunidad alguna de audiencia, alegación y/o defensa en el proceso penal, pese a figurar como titular de un derecho real de hipoteca sobre el inmueble en cuestión, inscrito en el Registro de la Propiedad de Noia desde el 2 de junio de 2008, en virtud del cual adquirió después su propiedad en vía judicial civil. Tampoco dispuso de tal oportunidad ningún otro titular de derechos sobre la finca registral núm. 22.801. Cita, en apoyo de su pretensión, las SSTC 110/1988, de 8 de junio; 28/1995, de 6 de febrero; 76/1999, de 26 de abril; 138/1999, de 22 de julio; 199/2006, de 3 de julio, y 65/2007, de 27 de marzo, entre otras. También la Resolución 1/2008, de 26 de marzo, de la Dirección General de los Registros y del Notariado en el particular consistente en que “no se puede practicar en el Registro de la Propiedad ningún asiento de cancelación de un derecho inscrito si no consta en escritura pública el consentimiento para la cancelación de la persona a cuyo favor se hubiere hecho la inscripción o anotación”. La demanda insiste en el carácter indeterminado e inespecífico del pronunciamiento judicial de nulidad. Sostiene que la situación de indefensión material y real en que se encuentra NCG a causa de ello es patente y manifiesta.</w:t>
      </w:r>
    </w:p>
    <w:p w:rsidR="00AC56D6" w:rsidRDefault="00AC56D6" w:rsidP="00AC56D6">
      <w:pPr>
        <w:pStyle w:val="TextoNormal"/>
      </w:pPr>
    </w:p>
    <w:p w:rsidR="00AC56D6" w:rsidRDefault="00AC56D6" w:rsidP="00AC56D6">
      <w:pPr>
        <w:pStyle w:val="TextoNormal"/>
      </w:pPr>
      <w:r>
        <w:t xml:space="preserve">Respecto del derecho al Juez ordinario predeterminado por la ley (art. 24.2 CE), considera la demandante que el Juzgado de lo Penal carecía manifiestamente de jurisdicción, al tratarse de un pronunciamiento de naturaleza y eficacia civil que nada tiene que ver con los hechos delictivos objeto de enjuiciamiento. Añade que, no existiendo posibilidad alguna de </w:t>
      </w:r>
      <w:r>
        <w:lastRenderedPageBreak/>
        <w:t xml:space="preserve">calificar a NCG como responsable civil de los delitos por los que fue condenado J.G.L.T, tampoco era factible declarar la nulidad de actos y/o negocios jurídicos celebrados sobre la finca registral núm. 22.801 que ninguna relación guardan con los hechos enjuiciados. La responsabilidad civil </w:t>
      </w:r>
      <w:r w:rsidRPr="00AC56D6">
        <w:rPr>
          <w:i/>
        </w:rPr>
        <w:t>ex delicto</w:t>
      </w:r>
      <w:r>
        <w:t xml:space="preserve"> únicamente compete en este caso al penado. Por ello, el singular pronunciamiento judicial de declaración de nulidad de las escrituras, inscripciones registrales, cargas y gravámenes contenido en la Sentencia del Juzgado de lo Penal no encuentra encaje o acomodo en ninguna de las previsiones de los arts. 111, 112 y 113 del Código penal (CP), lo que determina la falta de competencia del órgano judicial de Santiago de Compostela para el dictado de un pronunciamiento de estas características, tal y como se desprende del art. 22 LOPJ en cuanto a la validez o nulidad de las inscripciones practicadas en un Registro español, y cabe asimismo deducir de la STC 115/2006, de 24 de abril.</w:t>
      </w:r>
    </w:p>
    <w:p w:rsidR="00AC56D6" w:rsidRDefault="00AC56D6" w:rsidP="00AC56D6">
      <w:pPr>
        <w:pStyle w:val="TextoNormal"/>
      </w:pPr>
    </w:p>
    <w:p w:rsidR="00AC56D6" w:rsidRDefault="00AC56D6" w:rsidP="00AC56D6">
      <w:pPr>
        <w:pStyle w:val="TextoNormal"/>
      </w:pPr>
      <w:r>
        <w:t>Finalmente, alude en un tercer motivo al derecho a un proceso público con todas las garantías (art. 24.2 CE), que sitúa en expresa conexión con los dos motivos anteriores, dando por reproducidos sus argumentos e insistiendo en la total y absoluta indefensión sufrida. Menciona a tal fin las SSTC 82/1983, de 20 de octubre, y 307/2005, de 12 de diciembre, en cuanto a la obligación de que todo proceso esté presidido por la posibilidad de una efectiva y equilibrada contradicción entre las partes, a fin de que puedan defender sus derechos e intereses.</w:t>
      </w:r>
    </w:p>
    <w:p w:rsidR="00AC56D6" w:rsidRDefault="00AC56D6" w:rsidP="00AC56D6">
      <w:pPr>
        <w:pStyle w:val="TextoNormal"/>
      </w:pPr>
    </w:p>
    <w:p w:rsidR="00AC56D6" w:rsidRDefault="00AC56D6" w:rsidP="00AC56D6">
      <w:pPr>
        <w:pStyle w:val="TextoNormal"/>
      </w:pPr>
      <w:r>
        <w:t>El suplico de la demanda interesa que se declaren vulnerados los citados derechos fundamentales tanto con la Sentencia del Juzgado de lo Penal de 6 de marzo de 2013 como con el posterior Auto de 26 de mayo de 2014, solicitándose en función de ello de este Tribunal la nulidad del pronunciamiento contenido en el fallo de la Sentencia en lo que dispone: “Se declaran nulas las escrituras, inscripciones registrales, cargas y gravámenes sobre la finca y casa posteriores a la compra de 12-5-2008”.</w:t>
      </w:r>
    </w:p>
    <w:p w:rsidR="00AC56D6" w:rsidRDefault="00AC56D6" w:rsidP="00AC56D6">
      <w:pPr>
        <w:pStyle w:val="TextoNormal"/>
      </w:pPr>
    </w:p>
    <w:p w:rsidR="00AC56D6" w:rsidRDefault="00AC56D6" w:rsidP="00AC56D6">
      <w:pPr>
        <w:pStyle w:val="TextoNormal"/>
      </w:pPr>
      <w:r>
        <w:t>Mediante otrosí la demanda pedía, por último, la suspensión cautelar de la ejecución de la Sentencia penal en el concreto particular en virtud del cual la demandante es requerida para la entrega de llaves de la finca registral objeto de autos, al poder seguirse en otro caso un perjuicio muy significativo para la demandante que haría perder al amparo su finalidad, caso de estimación del recurso, mediante la toma de posesión de aquélla por parte de un tercero cuya posición jurídica pudiera llegar a ser irreivindicable.</w:t>
      </w:r>
    </w:p>
    <w:p w:rsidR="00AC56D6" w:rsidRDefault="00AC56D6" w:rsidP="00AC56D6">
      <w:pPr>
        <w:pStyle w:val="TextoNormal"/>
      </w:pPr>
    </w:p>
    <w:p w:rsidR="00AC56D6" w:rsidRDefault="00AC56D6" w:rsidP="00AC56D6">
      <w:pPr>
        <w:pStyle w:val="TextoNormal"/>
      </w:pPr>
      <w:r w:rsidRPr="00AC56D6">
        <w:rPr>
          <w:rStyle w:val="NumeroAFNegritaCaracter"/>
        </w:rPr>
        <w:t>4</w:t>
      </w:r>
      <w:r>
        <w:t>. El 15 de abril de 2015 la Sección Cuarta de este Tribunal dictó providencia acordando admitir a trámite el recurso de amparo, apreciando en el mismo especial trascendencia constitucional (art. 50.1 LOTC), al plantear la demanda un problema o afectar a una faceta de un derecho fundamental sobre el que no hay doctrina de este Tribunal [STC 155/2009, FJ 2, a)]. Acordó dirigir, asimismo, atenta comunicación tanto al Juzgado de lo Penal núm. 1 de Santiago de Compostela como a la Sección Sexta de la Audiencia Provincial de A Coruña, con sede en Santiago, con el fin de que remitieran certificación o copia adverada, respectivamente, de las actuaciones relativas al procedimiento abreviado núm. 3262-2012 y ejecutoria núm. 61-2014, el primero, y al rollo de apelación núm. 322-2013, la segunda, que han dado lugar a la presente petición de amparo; debiendo asimismo emplazar a las demás partes personadas en el procedimiento de procedencia, excepto a la recurrente en amparo, por si desearan comparecer en el presente recurso.</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5</w:t>
      </w:r>
      <w:r>
        <w:t>. Mediante otra providencia dictada en la misma fecha por la Sección Cuarta de este Tribunal, se resolvió la apertura de pieza separada para la tramitación del incidente de suspensión.</w:t>
      </w:r>
    </w:p>
    <w:p w:rsidR="00AC56D6" w:rsidRDefault="00AC56D6" w:rsidP="00AC56D6">
      <w:pPr>
        <w:pStyle w:val="TextoNormal"/>
      </w:pPr>
    </w:p>
    <w:p w:rsidR="00AC56D6" w:rsidRDefault="00AC56D6" w:rsidP="00AC56D6">
      <w:pPr>
        <w:pStyle w:val="TextoNormal"/>
      </w:pPr>
      <w:r>
        <w:t>Abierta esta última, el 27 de abril de 2015 Abanca Corporación División Inmobiliaria, S.L. (nombre sobrevenido de la demandante de amparo NGC), comparecía en la pieza separada de suspensión cautelar de la ejecución, reiterando su petición. A su vez, por escrito de 28 de abril de 2015, el Fiscal informó a favor de conceder la medida.</w:t>
      </w:r>
    </w:p>
    <w:p w:rsidR="00AC56D6" w:rsidRDefault="00AC56D6" w:rsidP="00AC56D6">
      <w:pPr>
        <w:pStyle w:val="TextoNormal"/>
      </w:pPr>
    </w:p>
    <w:p w:rsidR="00AC56D6" w:rsidRDefault="00AC56D6" w:rsidP="00AC56D6">
      <w:pPr>
        <w:pStyle w:val="TextoNormal"/>
      </w:pPr>
      <w:r>
        <w:t>Finalmente, por Auto de 25 de mayo de 2014, el Tribunal denegó la suspensión solicitada, acordando en su lugar la anotación preventiva de la demanda de amparo en el Registro de la Propiedad de Noia.</w:t>
      </w:r>
    </w:p>
    <w:p w:rsidR="00AC56D6" w:rsidRDefault="00AC56D6" w:rsidP="00AC56D6">
      <w:pPr>
        <w:pStyle w:val="TextoNormal"/>
      </w:pPr>
    </w:p>
    <w:p w:rsidR="00AC56D6" w:rsidRDefault="00AC56D6" w:rsidP="00AC56D6">
      <w:pPr>
        <w:pStyle w:val="TextoNormal"/>
      </w:pPr>
      <w:r w:rsidRPr="00AC56D6">
        <w:rPr>
          <w:rStyle w:val="NumeroAFNegritaCaracter"/>
        </w:rPr>
        <w:t>6</w:t>
      </w:r>
      <w:r>
        <w:t>. Por escrito registrado el 7 de mayo de 2015, el Procurador de los Tribunales don Argimiro Vázquez Guillén se personó en el presente procedimiento en nombre de la mercantil Ramón Filgueira, S.L.</w:t>
      </w:r>
    </w:p>
    <w:p w:rsidR="00AC56D6" w:rsidRDefault="00AC56D6" w:rsidP="00AC56D6">
      <w:pPr>
        <w:pStyle w:val="TextoNormal"/>
      </w:pPr>
    </w:p>
    <w:p w:rsidR="00AC56D6" w:rsidRDefault="00AC56D6" w:rsidP="00AC56D6">
      <w:pPr>
        <w:pStyle w:val="TextoNormal"/>
      </w:pPr>
      <w:r>
        <w:t>Con fecha 27 de mayo de 2015, la Secretaría de Justicia de la Sala Segunda de este Tribunal dictó diligencia de ordenación por la que se tuvo por personado al mencionado Procurador en la representación que aduce, acordando además conferir plazo común de veinte días a las partes para formular alegaciones, conforme determina el art. 52.1 de la Ley Orgánica de este Tribunal.</w:t>
      </w:r>
    </w:p>
    <w:p w:rsidR="00AC56D6" w:rsidRDefault="00AC56D6" w:rsidP="00AC56D6">
      <w:pPr>
        <w:pStyle w:val="TextoNormal"/>
      </w:pPr>
    </w:p>
    <w:p w:rsidR="00AC56D6" w:rsidRDefault="00AC56D6" w:rsidP="00AC56D6">
      <w:pPr>
        <w:pStyle w:val="TextoNormal"/>
      </w:pPr>
      <w:r w:rsidRPr="00AC56D6">
        <w:rPr>
          <w:rStyle w:val="NumeroAFNegritaCaracter"/>
        </w:rPr>
        <w:t>7</w:t>
      </w:r>
      <w:r>
        <w:t>. Evacuando el posterior traslado conferido para alegaciones, mediante escrito registrado el 23 de junio de 2015 dicha mercantil interesó la desestimación del recurso de amparo presentado por NCG. Consideraba inviable que la demandante hubiera sido llamada al proceso penal en el momento en que se dictó el fallo judicial, pues por entonces aún no había adquirido la condición de adjudicataria de la vivienda en litigio, siendo así que en el procedimiento penal nadie puso en duda —ni siquiera la ahora demandante— que la escritura de compraventa del inmueble que le fue usurpado a Ramón Filgueira era válida a todos los efectos, por lo que cualquier escritura posterior a la suya ha de ser tenida por nula, como así lo declaró el Juzgado de lo Penal y ratificó la Audiencia Provincial (</w:t>
      </w:r>
      <w:r w:rsidRPr="00AC56D6">
        <w:rPr>
          <w:i/>
        </w:rPr>
        <w:t>sic</w:t>
      </w:r>
      <w:r>
        <w:t>). Lo contrario supondría generar una inseguridad jurídica de consecuencias inimaginables, de modo que si la demandante de amparo se considera perjudicada o víctima habría de interponer acciones legales frente NCG Banco, S.A.-Abanca (</w:t>
      </w:r>
      <w:r w:rsidRPr="00AC56D6">
        <w:rPr>
          <w:i/>
        </w:rPr>
        <w:t>sic</w:t>
      </w:r>
      <w:r>
        <w:t>) o bien frente al acusado J.G.L.T.</w:t>
      </w:r>
    </w:p>
    <w:p w:rsidR="00AC56D6" w:rsidRDefault="00AC56D6" w:rsidP="00AC56D6">
      <w:pPr>
        <w:pStyle w:val="TextoNormal"/>
      </w:pPr>
    </w:p>
    <w:p w:rsidR="00AC56D6" w:rsidRDefault="00AC56D6" w:rsidP="00AC56D6">
      <w:pPr>
        <w:pStyle w:val="TextoNormal"/>
      </w:pPr>
      <w:r w:rsidRPr="00AC56D6">
        <w:rPr>
          <w:rStyle w:val="NumeroAFNegritaCaracter"/>
        </w:rPr>
        <w:t>8</w:t>
      </w:r>
      <w:r>
        <w:t>. El 29 de junio de 2015 presentaba sus alegaciones Abanca-NCG, ratificándose en el contenido de la demanda mediante expresa remisión a la misma.</w:t>
      </w:r>
    </w:p>
    <w:p w:rsidR="00AC56D6" w:rsidRDefault="00AC56D6" w:rsidP="00AC56D6">
      <w:pPr>
        <w:pStyle w:val="TextoNormal"/>
      </w:pPr>
    </w:p>
    <w:p w:rsidR="00AC56D6" w:rsidRDefault="00AC56D6" w:rsidP="00AC56D6">
      <w:pPr>
        <w:pStyle w:val="TextoNormal"/>
      </w:pPr>
      <w:r w:rsidRPr="00AC56D6">
        <w:rPr>
          <w:rStyle w:val="NumeroAFNegritaCaracter"/>
        </w:rPr>
        <w:t>9</w:t>
      </w:r>
      <w:r>
        <w:t>. Con fecha 3 de julio de 2015, el Fiscal ante el Tribunal Constitucional cerraba el turno de traslados para alegaciones sobre el fondo de la demanda, interesando la estimación del amparo.</w:t>
      </w:r>
    </w:p>
    <w:p w:rsidR="00AC56D6" w:rsidRDefault="00AC56D6" w:rsidP="00AC56D6">
      <w:pPr>
        <w:pStyle w:val="TextoNormal"/>
      </w:pPr>
    </w:p>
    <w:p w:rsidR="00AC56D6" w:rsidRDefault="00AC56D6" w:rsidP="00AC56D6">
      <w:pPr>
        <w:pStyle w:val="TextoNormal"/>
      </w:pPr>
      <w:r>
        <w:t xml:space="preserve">El Fiscal, que afirma compartir buena parte de los argumentos de la recurrente en lo atinente a los derechos a la tutela judicial efectiva sin indefensión y al proceso con todas las garantías, incide en que, si bien no existe un derecho absoluto de acceso al proceso, este Tribunal se ha pronunciado de forma reiterada sobre la situación que se plantea cuando se </w:t>
      </w:r>
      <w:r>
        <w:lastRenderedPageBreak/>
        <w:t>deja fuera a quien pudiera tener en él un interés legítimo, habiendo adquirido últimamente particular relieve en la doctrina constitucional la figura del tercero afectado en el seno de procedimientos de ejecución civil (STC 79/2013, de 8 de abril), en el sentido de corresponder a los órganos judiciales velar para que puedan comparecer y ser oídos en el mismo, aunque no hayan sido parte en el proceso principal, garantizando así la defensa de sus derechos e intereses legítimos, y sin perjuicio del pronunciamiento que finalmente pueda recaer, como tampoco de la eventual existencia de otras acciones a ejercitar por los afectados. Asimismo, dentro ya del específico ámbito penal, recuerda que la STC 28/1995, de 6 de febrero, FJ 3, estimó afectados los derechos del declarado responsable civil subsidiario no citado ni oído en el proceso. Considera evidente que en cualquiera de estas hipótesis, para poder intervenir en el proceso, los afectados han de conocer su existencia con anterioridad, lo cual se consigue por medio de los actos de comunicación judicial.</w:t>
      </w:r>
    </w:p>
    <w:p w:rsidR="00AC56D6" w:rsidRDefault="00AC56D6" w:rsidP="00AC56D6">
      <w:pPr>
        <w:pStyle w:val="TextoNormal"/>
      </w:pPr>
    </w:p>
    <w:p w:rsidR="00AC56D6" w:rsidRDefault="00AC56D6" w:rsidP="00AC56D6">
      <w:pPr>
        <w:pStyle w:val="TextoNormal"/>
      </w:pPr>
      <w:r>
        <w:t>Recuerda el Fiscal cómo este Tribunal ha extendido esta doctrina incluso a supuestos distintos de la ejecución respecto de quien, no ostentando la condición de interviniente en el proceso, ha podido verse afectado por la resolución (STC 190/2014, de 17 de noviembre, en relación con el adjudicatario en subasta pública del único bien perteneciente a un caudal hereditario).</w:t>
      </w:r>
    </w:p>
    <w:p w:rsidR="00AC56D6" w:rsidRDefault="00AC56D6" w:rsidP="00AC56D6">
      <w:pPr>
        <w:pStyle w:val="TextoNormal"/>
      </w:pPr>
    </w:p>
    <w:p w:rsidR="00AC56D6" w:rsidRDefault="00AC56D6" w:rsidP="00AC56D6">
      <w:pPr>
        <w:pStyle w:val="TextoNormal"/>
      </w:pPr>
      <w:r>
        <w:t>En función de ello, estima lesionados ambos derechos de la demandante, al haber decidido el Juez de lo Penal la nulidad de las escrituras, inscripciones, cargas y gravámenes sobre el inmueble en cuestión sin adoptar ninguna cautela respecto de quienes pudieren figurar como titulares registrales, pese a resultar un extremo fácilmente constatable. Aun no disponiendo el órgano judicial de potestad para practicar prueba de oficio, nada le impedía, tal y como hizo con la indemnización de daños y perjuicios solicitada por las acusaciones (pública y privada), postergar la decisión última sobre el estado dominical a lo que se determinase en ejecución de sentencia. Al rechazar tanto el incidente de nulidad promovido por la demandante de amparo como la posterior petición de aclaración, no habría sino perpetuado la lesión en los derechos de la demandante, sin llegar a contestar realmente a su solicitud con la sola alusión a una ‘cuestión de fechas’ bajo la cual el órgano judicial observa fines espurios de proyección particular en la demandante.</w:t>
      </w:r>
    </w:p>
    <w:p w:rsidR="00AC56D6" w:rsidRDefault="00AC56D6" w:rsidP="00AC56D6">
      <w:pPr>
        <w:pStyle w:val="TextoNormal"/>
      </w:pPr>
    </w:p>
    <w:p w:rsidR="00AC56D6" w:rsidRDefault="00AC56D6" w:rsidP="00AC56D6">
      <w:pPr>
        <w:pStyle w:val="TextoNormal"/>
      </w:pPr>
      <w:r>
        <w:t>Para el Fiscal es, en cambio, infundada la también alegada infracción en el derecho al juez ordinario predeterminado por la ley, en la medida en que el sistema español permite resolver cuestiones de responsabilidad civil en el seno del procesal penal. Valora que, a la vista de la amplitud restaurativa que prevén los arts. 110 y 111 CP, el Juez de lo Penal tiene capacidad para resolver sobre tales cuestiones cuando así le haya sido solicitado, como era el caso, sin que ello afecte al derecho al juez natural. Lo cual, evidentemente, no le faculta para tomar decisiones que afecten a terceros obviando su existencia.</w:t>
      </w:r>
    </w:p>
    <w:p w:rsidR="00AC56D6" w:rsidRDefault="00AC56D6" w:rsidP="00AC56D6">
      <w:pPr>
        <w:pStyle w:val="TextoNormal"/>
      </w:pPr>
    </w:p>
    <w:p w:rsidR="00AC56D6" w:rsidRDefault="00AC56D6" w:rsidP="00AC56D6">
      <w:pPr>
        <w:pStyle w:val="TextoNormal"/>
      </w:pPr>
      <w:r>
        <w:t>Interesa, en conclusión, que se otorgue el amparo, restableciendo a la demandante en su derecho a obtener la tutela judicial efectiva de los Tribunales mediante la declaración de nulidad de lo actuado desde el dictado de la Sentencia por el Juzgado de lo Penal, a cuyo fin insta también la revocación de dicha resolución en el concreto apartado de la responsabilidad civil que le afecta.</w:t>
      </w:r>
    </w:p>
    <w:p w:rsidR="00AC56D6" w:rsidRDefault="00AC56D6" w:rsidP="00AC56D6">
      <w:pPr>
        <w:pStyle w:val="TextoNormal"/>
      </w:pPr>
    </w:p>
    <w:p w:rsidR="00AC56D6" w:rsidRDefault="00AC56D6" w:rsidP="00AC56D6">
      <w:pPr>
        <w:pStyle w:val="TextoNormal"/>
      </w:pPr>
      <w:r w:rsidRPr="00AC56D6">
        <w:rPr>
          <w:rStyle w:val="NumeroAFNegritaCaracter"/>
        </w:rPr>
        <w:t>10</w:t>
      </w:r>
      <w:r>
        <w:t>. Por providencia de 10 de diciembre de 2015 se señaló para la deliberación y votación de la presente Sentencia el día 14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presente recurso de amparo se interpone contra la Sentencia de 6 de marzo de 2013 del Juzgado de lo Penal núm. 1 de Santiago de Compostela, que en proceso penal abreviado declara la condena del acusado como autor de un delito de usurpación, absorbiendo otro de coacciones y, como efecto civil derivado, acuerda la nulidad de las escrituras, inscripciones registrales, cargas y gravámenes relativos a la finca adquirida por la entidad recurrente en subasta judicial, sin haber sido llamada a este proceso penal. El recurso se extiende a los Autos de 26 de mayo de 2014 y 18 de junio de 2014 del mismo Juzgado, que rechazaron la nulidad de aquella Sentencia, en relación con ese concreto pronunciamiento civil.</w:t>
      </w:r>
    </w:p>
    <w:p w:rsidR="00AC56D6" w:rsidRDefault="00AC56D6" w:rsidP="00AC56D6">
      <w:pPr>
        <w:pStyle w:val="TextoNormal"/>
      </w:pPr>
    </w:p>
    <w:p w:rsidR="00AC56D6" w:rsidRDefault="00AC56D6" w:rsidP="00AC56D6">
      <w:pPr>
        <w:pStyle w:val="TextoNormal"/>
      </w:pPr>
      <w:r>
        <w:t>En sostén de su pretensión, la demandante de amparo invoca la lesión de tres derechos fundamentales, que canaliza a través de otros tantos motivos de queja.</w:t>
      </w:r>
    </w:p>
    <w:p w:rsidR="00AC56D6" w:rsidRDefault="00AC56D6" w:rsidP="00AC56D6">
      <w:pPr>
        <w:pStyle w:val="TextoNormal"/>
      </w:pPr>
    </w:p>
    <w:p w:rsidR="00AC56D6" w:rsidRDefault="00AC56D6" w:rsidP="00AC56D6">
      <w:pPr>
        <w:pStyle w:val="TextoNormal"/>
      </w:pPr>
      <w:r>
        <w:t>El primero de ellos, centrado en el derecho a la tutela judicial efectiva sin indefensión (art. 24.1 CE), viene a plantear que, habiendo resultado finalmente afectada por el pronunciamiento judicial que en vía penal declaró la nulidad de cuantas escrituras, inscripciones registrales, cargas y gravámenes pesasen sobre la finca núm. 22.801 del Registro de la Propiedad de Noia con data posterior al 12 de mayo de 2008, no se habría dado a la demandante oportunidad alguna a lo largo del procedimiento penal de alegar y/o defender sus intereses, pese a figurar como titular registral de un derecho real de hipoteca sobre dicho inmueble desde el 2 de junio de 2008 —fecha muy anterior a la de la Sentencia— y pese a haber adquirido después su propiedad mediante un procedimiento civil de ejecución hipotecaria, seguido en legal forma, que temporalmente discurrió en paralelo a la causa penal y cuyo resultado favorable a la demandante fue, asimismo, inscrito en el Registro de la Propiedad. Tampoco habría dispuesto de tal oportunidad de alegar ningún otro titular de derechos sobre la señalada finca que permita entender cumplidos tales presupuestos.</w:t>
      </w:r>
    </w:p>
    <w:p w:rsidR="00AC56D6" w:rsidRDefault="00AC56D6" w:rsidP="00AC56D6">
      <w:pPr>
        <w:pStyle w:val="TextoNormal"/>
      </w:pPr>
    </w:p>
    <w:p w:rsidR="00AC56D6" w:rsidRDefault="00AC56D6" w:rsidP="00AC56D6">
      <w:pPr>
        <w:pStyle w:val="TextoNormal"/>
      </w:pPr>
      <w:r>
        <w:t>Recuerda, en apoyo de su pretensión, lo expuesto por este Tribunal en sus SSTC 110/1988, de 8 de junio; 28/1995, de 6 de febrero; 76/1999, de 26 de abril; 138/1999, de 22 de julio; 199/2006, de 3 de julio, y 65/2007, de 27 de marzo, entre otras. También lo afirmado en la Resolución 1/2008, de 26 de marzo, de la Dirección General de los Registros y del Notariado en el particular que impide practicar ningún asiento de cancelación de un derecho inscrito en el Registro de la Propiedad si no consta en escritura pública el consentimiento a tal fin de la persona a cuyo favor se hubiere hecho la inscripción o anotación. Incidiendo en el carácter indeterminado e inespecífico del pronunciamiento judicial de nulidad, afirma padecer una situación de indefensión material patente y manifiesta a resultas de lo decidido en vía penal.</w:t>
      </w:r>
    </w:p>
    <w:p w:rsidR="00AC56D6" w:rsidRDefault="00AC56D6" w:rsidP="00AC56D6">
      <w:pPr>
        <w:pStyle w:val="TextoNormal"/>
      </w:pPr>
    </w:p>
    <w:p w:rsidR="00AC56D6" w:rsidRDefault="00AC56D6" w:rsidP="00AC56D6">
      <w:pPr>
        <w:pStyle w:val="TextoNormal"/>
      </w:pPr>
      <w:r>
        <w:t xml:space="preserve">En segundo lugar, la demandante invoca el derecho al Juez ordinario predeterminado por la ley (art. 24.2 CE). Estima que el Juzgado de lo Penal carecía manifiestamente de jurisdicción a la hora de emitir un pronunciamiento de naturaleza y eficacia estrictamente civil, ajeno a los hechos delictivos objeto de enjuiciamiento. Añade que, no existiendo posibilidad alguna de considerar a NCG responsable civil de los delitos por los que fue condenado el único acusado, tampoco la había para declarar la nulidad de aquellos actos o negocios jurídicos celebrados sobre la finca registral núm. 22.801 desvinculados de los hechos ventilados </w:t>
      </w:r>
      <w:r>
        <w:lastRenderedPageBreak/>
        <w:t>en la causa penal. Entiende que el pronunciamiento judicial que declara la nulidad no encuentra, por ello, acomodo en los arts. 111, 112 y 113 del Código penal (CP), sino en el art. 22 de la Ley Orgánica del Poder Judicial, siendo así incompetente el Juzgado de lo Penal para dictar un pronunciamiento de estas características.</w:t>
      </w:r>
    </w:p>
    <w:p w:rsidR="00AC56D6" w:rsidRDefault="00AC56D6" w:rsidP="00AC56D6">
      <w:pPr>
        <w:pStyle w:val="TextoNormal"/>
      </w:pPr>
    </w:p>
    <w:p w:rsidR="00AC56D6" w:rsidRDefault="00AC56D6" w:rsidP="00AC56D6">
      <w:pPr>
        <w:pStyle w:val="TextoNormal"/>
      </w:pPr>
      <w:r>
        <w:t>En expresa conexión con los dos motivos anteriores, y dando por reproducidos sus argumentos, la demandante entiende asimismo lesionado su derecho a un proceso público con todas las garantías (art. 24.2 CE). Menciona aquí las SSTC 82/1983, de 20 de octubre, y 305/2005, de 12 de diciembre, en cuanto a la obligación de que todo proceso esté presidido por la posibilidad de una efectiva y equilibrada contradicción entre las partes, con el fin de que éstas puedan defender sus derechos e intereses.</w:t>
      </w:r>
    </w:p>
    <w:p w:rsidR="00AC56D6" w:rsidRDefault="00AC56D6" w:rsidP="00AC56D6">
      <w:pPr>
        <w:pStyle w:val="TextoNormal"/>
      </w:pPr>
    </w:p>
    <w:p w:rsidR="00AC56D6" w:rsidRDefault="00AC56D6" w:rsidP="00AC56D6">
      <w:pPr>
        <w:pStyle w:val="TextoNormal"/>
      </w:pPr>
      <w:r>
        <w:t xml:space="preserve">El Fiscal, que concluye interesando el otorgamiento parcial del amparo, interpreta que la condena </w:t>
      </w:r>
      <w:r w:rsidRPr="00AC56D6">
        <w:rPr>
          <w:i/>
        </w:rPr>
        <w:t>inaudita parte</w:t>
      </w:r>
      <w:r>
        <w:t xml:space="preserve"> de la demandante lesionó su tutela judicial efectiva en aquella vertiente del derecho que afecta a las posibilidades de ser citado y oído en juicio, lo que implícitamente concatena al derecho al proceso con todas las garantías. Estima, por el contrario, carente de fundamento constitucional la también invocada lesión del derecho a Juez ordinario predeterminado por la ley.</w:t>
      </w:r>
    </w:p>
    <w:p w:rsidR="00AC56D6" w:rsidRDefault="00AC56D6" w:rsidP="00AC56D6">
      <w:pPr>
        <w:pStyle w:val="TextoNormal"/>
      </w:pPr>
    </w:p>
    <w:p w:rsidR="00AC56D6" w:rsidRDefault="00AC56D6" w:rsidP="00AC56D6">
      <w:pPr>
        <w:pStyle w:val="TextoNormal"/>
      </w:pPr>
      <w:r>
        <w:t>A la estimación del amparo se opone la mercantil Ramón Filgueira, S.L., que considera inviable que la demandante hubiera sido llamada al proceso penal al tiempo de dictarse el fallo judicial, al no ostentar en la fecha de los hechos enjuiciados la condición de adjudicataria de la finca en litigio. Dado que en el procedimiento penal nadie puso en duda —tampoco la hoy demandante— que la escritura privada de compraventa del inmueble usurpado a Ramón Filgueira fuera válida a todos los efectos, cualquier escritura posterior a la suya ha de ser tenida por nula, como así lo declaró el Juzgado de lo Penal y considera que habría ratificado la Audiencia Provincial. Lo contrario atraería una inseguridad jurídica de consecuencias inimaginables, de modo que si la demandante de amparo se considera perjudicada por estos hechos habrá de interponer aquellas acciones legales que estime pertinentes fuera del procedimiento penal de autos.</w:t>
      </w:r>
    </w:p>
    <w:p w:rsidR="00AC56D6" w:rsidRDefault="00AC56D6" w:rsidP="00AC56D6">
      <w:pPr>
        <w:pStyle w:val="TextoNormal"/>
      </w:pPr>
    </w:p>
    <w:p w:rsidR="00AC56D6" w:rsidRDefault="00AC56D6" w:rsidP="00AC56D6">
      <w:pPr>
        <w:pStyle w:val="TextoNormal"/>
      </w:pPr>
      <w:r w:rsidRPr="00AC56D6">
        <w:rPr>
          <w:rStyle w:val="NumeroAFNegritaCaracter"/>
        </w:rPr>
        <w:t>2</w:t>
      </w:r>
      <w:r>
        <w:t>. Expuesto en estos términos, en cuanto al orden de proceder alteraremos el propuesto por la demanda a fin de analizar, en primer lugar, la denuncia de lesión del derecho al juez ordinario predeterminado por la ley (art. 24.2 CE), por cuanto con ella se cuestiona la competencia del Juez de lo Penal para pronunciarse en su Sentencia acerca de la nulidad de las escrituras e inscripciones registrales practicadas a partir del 12 de mayo de 2008, sobre la finca de autos. Tesis ésta que, de prosperar, habría hecho innecesario el llamamiento de la entidad recurrente a la causa, al no quedar afectado su derecho de propiedad respecto del indicado inmueble.</w:t>
      </w:r>
    </w:p>
    <w:p w:rsidR="00AC56D6" w:rsidRDefault="00AC56D6" w:rsidP="00AC56D6">
      <w:pPr>
        <w:pStyle w:val="TextoNormal"/>
      </w:pPr>
    </w:p>
    <w:p w:rsidR="00AC56D6" w:rsidRDefault="00AC56D6" w:rsidP="00AC56D6">
      <w:pPr>
        <w:pStyle w:val="TextoNormal"/>
      </w:pPr>
      <w:r>
        <w:t>Este Tribunal tiene fijada doctrina acerca del contenido esencial del derecho al Juez ordinario predeterminado por la ley (art. 24.2 CE), de la que son exponentes las SSTC 191/2011, de 12 de diciembre, FJ 5; 212/2014, de 18 de diciembre, FJ 5, y 99/2015, de 25 de mayo, FJ 5, y en las que hemos precisado que tal derecho: “exige, fundamentalmente, que el órgano judicial haya sido creado por una norma legal invistiéndolo de jurisdicción y competencia con anterioridad al hecho motivador de la actuación o proceso judicial y que su régimen orgánico y procesal no permita calificarlo de órgano especial o excepcional”.</w:t>
      </w:r>
    </w:p>
    <w:p w:rsidR="00AC56D6" w:rsidRDefault="00AC56D6" w:rsidP="00AC56D6">
      <w:pPr>
        <w:pStyle w:val="TextoNormal"/>
      </w:pPr>
    </w:p>
    <w:p w:rsidR="00AC56D6" w:rsidRDefault="00AC56D6" w:rsidP="00AC56D6">
      <w:pPr>
        <w:pStyle w:val="TextoNormal"/>
      </w:pPr>
      <w:r>
        <w:lastRenderedPageBreak/>
        <w:t>Es también doctrina reiterada de este Tribunal que las cuestiones relativas a la interpretación de las normas sobre atribución de competencias a los órganos jurisdiccionales son de legalidad ordinaria. Ajenas, por tanto, al derecho al juez ordinario predeterminado por la ley, “salvo que esa interpretación suponga una manipulación manifiestamente arbitraria de las reglas legales sobre atribución de competencias” (STC 115/2006, de 24 de abril, FJ 9).</w:t>
      </w:r>
    </w:p>
    <w:p w:rsidR="00AC56D6" w:rsidRDefault="00AC56D6" w:rsidP="00AC56D6">
      <w:pPr>
        <w:pStyle w:val="TextoNormal"/>
      </w:pPr>
    </w:p>
    <w:p w:rsidR="00AC56D6" w:rsidRDefault="00AC56D6" w:rsidP="00AC56D6">
      <w:pPr>
        <w:pStyle w:val="TextoNormal"/>
      </w:pPr>
      <w:r>
        <w:t>Conceptuado así el derecho fundamental que se dice vulnerado, comprobamos que no estamos ante un caso de privación o despojo de las competencias naturales inherentes al órgano judicial concernido. Habiéndose personado el perjudicado por el hecho penal (Ramón Filgueira) como acusación particular y habiendo ejercitado ante el Juez de lo Penal no sólo la acción penal correspondiente al delito de usurpación, sino también la acción civil resultante, con expresa petición acusatoria en el sentido expuesto, la competencia del órgano judicial para resolver sobre este punto no parece constitucionalmente objetable. El argumento dado por la recurrente queda reducido a mostrar cierta discrepancia con la atribución competencial que, en las circunstancias del caso, emana de la conexión entre los arts. 109 y ss. CP y los arts. 14 y 107 a 113 de la Ley de enjuiciamiento criminal (LECrim). Pero el órgano judicial asumió el enjuiciamiento de los hechos mediante una interpretación de las normas legales y procesales sobre atribución de competencias no susceptible de ser calificada como manifiestamente arbitraria.</w:t>
      </w:r>
    </w:p>
    <w:p w:rsidR="00AC56D6" w:rsidRDefault="00AC56D6" w:rsidP="00AC56D6">
      <w:pPr>
        <w:pStyle w:val="TextoNormal"/>
      </w:pPr>
    </w:p>
    <w:p w:rsidR="00AC56D6" w:rsidRDefault="00AC56D6" w:rsidP="00AC56D6">
      <w:pPr>
        <w:pStyle w:val="TextoNormal"/>
      </w:pPr>
      <w:r>
        <w:t>Dicha queja carece, pues, de significado constitucional, al haber correspondido el conocimiento de los hechos al Juzgado de lo Penal mediante una razonable interpretación de la legalidad penal y procesal aplicable, que no nos corresponde revisar ni sustituir (SSTC 49/1999, de 5 de abril, FJ 2, y 87/2010, de 3 de noviembre, FJ 3). En puridad, el argumento de fondo viene a ser circular respecto de los que sustentan las quejas anteriores, sin abordar extremo alguno que permita entender dañado, de manera individualizada, el derecho al juez ordinario predeterminado por la ley.</w:t>
      </w:r>
    </w:p>
    <w:p w:rsidR="00AC56D6" w:rsidRDefault="00AC56D6" w:rsidP="00AC56D6">
      <w:pPr>
        <w:pStyle w:val="TextoNormal"/>
      </w:pPr>
    </w:p>
    <w:p w:rsidR="00AC56D6" w:rsidRDefault="00AC56D6" w:rsidP="00AC56D6">
      <w:pPr>
        <w:pStyle w:val="TextoNormal"/>
      </w:pPr>
      <w:r>
        <w:t>No se aprecia, pues, lesión de este derecho fundamental.</w:t>
      </w:r>
    </w:p>
    <w:p w:rsidR="00AC56D6" w:rsidRDefault="00AC56D6" w:rsidP="00AC56D6">
      <w:pPr>
        <w:pStyle w:val="TextoNormal"/>
      </w:pPr>
    </w:p>
    <w:p w:rsidR="00AC56D6" w:rsidRDefault="00AC56D6" w:rsidP="00AC56D6">
      <w:pPr>
        <w:pStyle w:val="TextoNormal"/>
      </w:pPr>
      <w:r w:rsidRPr="00AC56D6">
        <w:rPr>
          <w:rStyle w:val="NumeroAFNegritaCaracter"/>
        </w:rPr>
        <w:t>3</w:t>
      </w:r>
      <w:r>
        <w:t xml:space="preserve">. La demanda plantea también la existencia de una indefensión vulneradora de la tutela judicial efectiva de la demandante (art. 24.1 CE), que emanaría, por un lado, del hecho de haber sido la recurrente judicialmente requerida de desposesión, material y registral, del bien inscrito a su nombre, sin ofrecérsele mecanismos de reacción en defensa de sus intereses ni durante las fases de instrucción y enjuiciamiento, ni en los trámites de ejecución inmediatamente anteriores a la notificación recibida en tales términos. Y por otro lado, de la no obtención de una respuesta judicial fundada en Derecho ante el único remedio procesal del que pudo disponer </w:t>
      </w:r>
      <w:r w:rsidRPr="00AC56D6">
        <w:rPr>
          <w:i/>
        </w:rPr>
        <w:t>ex post</w:t>
      </w:r>
      <w:r>
        <w:t xml:space="preserve"> (incidente de nulidad).</w:t>
      </w:r>
    </w:p>
    <w:p w:rsidR="00AC56D6" w:rsidRDefault="00AC56D6" w:rsidP="00AC56D6">
      <w:pPr>
        <w:pStyle w:val="TextoNormal"/>
      </w:pPr>
    </w:p>
    <w:p w:rsidR="00AC56D6" w:rsidRDefault="00AC56D6" w:rsidP="00AC56D6">
      <w:pPr>
        <w:pStyle w:val="TextoNormal"/>
      </w:pPr>
      <w:r>
        <w:t xml:space="preserve">Conviene puntualizar que para resolver esta queja nuestro pronunciamiento no puede dirigirse a dirimir si la demandante ha de hacer o no entrega de la finca de la que es titular registral, cuestión que compete en exclusiva a los Tribunales de la jurisdicción ordinaria. Nos corresponde, en cambio, decidir si el fallo judicial que declaró nulos cuantos asientos registrales vinculados a la finca de autos sean posteriores al 12 de mayo de 2008 se dictó lesionando los derechos que se citan en la demanda, generando con ello efectiva indefensión. Asimismo, si las posteriores decisiones judiciales que, en fase de ejecución, desoyeron los argumentos defendidos por la demandante una vez requerida de desposesión perpetuaron </w:t>
      </w:r>
      <w:r>
        <w:lastRenderedPageBreak/>
        <w:t>esa situación de indefensión, ofreciendo a aquélla una respuesta privada de la racionalidad y fundamento en Derecho constitucionalmente exigibles.</w:t>
      </w:r>
    </w:p>
    <w:p w:rsidR="00AC56D6" w:rsidRDefault="00AC56D6" w:rsidP="00AC56D6">
      <w:pPr>
        <w:pStyle w:val="TextoNormal"/>
      </w:pPr>
    </w:p>
    <w:p w:rsidR="00AC56D6" w:rsidRDefault="00AC56D6" w:rsidP="00AC56D6">
      <w:pPr>
        <w:pStyle w:val="TextoNormal"/>
      </w:pPr>
      <w:r w:rsidRPr="00AC56D6">
        <w:rPr>
          <w:rStyle w:val="NumeroAFNegritaCaracter"/>
        </w:rPr>
        <w:t>4</w:t>
      </w:r>
      <w:r>
        <w:t>. Este Tribunal ha declarado en numerosas ocasiones (por todas, STC 65/2007, de 27 de marzo, citada por la demandante) que el derecho fundamental a obtener la tutela judicial efectiva sin indefensión encuentra una de sus manifestaciones en el derecho de defensa contradictoria de las partes contendientes en todo proceso judicial (STC 143/2001, de 18 de junio, FJ 3). Esta exigencia requiere del órgano jurisdiccional “un indudable esfuerzo a fin de preservar los derechos de defensa en un proceso con todas las garantías, ofreciendo a las partes contendientes el derecho de defensa contradictoria, mediante la oportunidad de alegar y probar procesalmente sus derechos o intereses” (STC 109/2002, de 6 de mayo, FJ 2, con remisión a otras anteriores). Corresponde así a los órganos judiciales velar por que en las distintas fases de todo proceso se dé esa necesaria contradicción con idénticas posibilidades de alegación y prueba; en definitiva, con efectivo ejercicio del derecho de defensa en cada una de las instancias que lo componen. La posibilidad de contradicción es, por tanto, una de las reglas esenciales del proceso (SSTC 138/1999, de 22 de julio, FJ 4, y 91/2000, de 30 de marzo, FJ 2).</w:t>
      </w:r>
    </w:p>
    <w:p w:rsidR="00AC56D6" w:rsidRDefault="00AC56D6" w:rsidP="00AC56D6">
      <w:pPr>
        <w:pStyle w:val="TextoNormal"/>
      </w:pPr>
    </w:p>
    <w:p w:rsidR="00AC56D6" w:rsidRDefault="00AC56D6" w:rsidP="00AC56D6">
      <w:pPr>
        <w:pStyle w:val="TextoNormal"/>
      </w:pPr>
      <w:r>
        <w:t xml:space="preserve">En relación con los procedimientos </w:t>
      </w:r>
      <w:r w:rsidRPr="00AC56D6">
        <w:rPr>
          <w:i/>
        </w:rPr>
        <w:t>inaudita parte</w:t>
      </w:r>
      <w:r>
        <w:t>, expuso este Tribunal en la STC 181/2011, de 21 de noviembre, FJ 2, por remisión a las SSTC 25/2011, de 14 de marzo, FJ 7, y 62/2009, de 9 de marzo, FJ 4, que para que la indefensión alcance en estos casos la dimensión constitucional que le atribuye el art. 24 CE se requiere que los órganos judiciales hayan impedido u obstaculizado gravemente en el proceso el derecho de las partes a alegar y justificar sus pretensiones, esto es, que la indefensión sea causada por la incorrecta actuación del órgano jurisdiccional. No basta con una vulneración meramente formal: “es necesario que de esa infracción formal se derive un efecto material de indefensión, con real menoscabo del derecho de defensa y con el consiguiente perjuicio real y efectivo para los intereses del afectado” (SSTC 185/2003, de 27 de octubre, FJ 4; 164/2005, de 20 de junio, FJ 3, y 25/2011, de 14 de marzo, FJ 7).</w:t>
      </w:r>
    </w:p>
    <w:p w:rsidR="00AC56D6" w:rsidRDefault="00AC56D6" w:rsidP="00AC56D6">
      <w:pPr>
        <w:pStyle w:val="TextoNormal"/>
      </w:pPr>
    </w:p>
    <w:p w:rsidR="00AC56D6" w:rsidRDefault="00AC56D6" w:rsidP="00AC56D6">
      <w:pPr>
        <w:pStyle w:val="TextoNormal"/>
      </w:pPr>
      <w:r w:rsidRPr="00AC56D6">
        <w:rPr>
          <w:rStyle w:val="NumeroAFNegritaCaracter"/>
        </w:rPr>
        <w:t>5</w:t>
      </w:r>
      <w:r>
        <w:t xml:space="preserve">. Haciendo aplicación de la doctrina constitucional expuesta, procede destacar que la causa penal se siguió exclusivamente contra J.G.L.T. como presunto autor de los delitos por los que finalmente fue condenado. En ningún momento se adjudicó a la demandante NCG grado alguno de participación material en los hechos delictivos, como tampoco una responsabilidad civil </w:t>
      </w:r>
      <w:r w:rsidRPr="00AC56D6">
        <w:rPr>
          <w:i/>
        </w:rPr>
        <w:t>ex delicto</w:t>
      </w:r>
      <w:r>
        <w:t>, en cualquiera de sus modalidades sustantivas (arts. 109 y ss. CP), con participación adjetiva o procesal (arts. 615 y ss. LECrim). Su posición viene así a corresponderse con la del tercero no responsable del delito, a la que este Tribunal se ha referido en alguna ocasión (SSTC 92/1997, de 8 de mayo o 151/2002, de 15 de julio), si bien en contextos que difieren del aquí examinado.</w:t>
      </w:r>
    </w:p>
    <w:p w:rsidR="00AC56D6" w:rsidRDefault="00AC56D6" w:rsidP="00AC56D6">
      <w:pPr>
        <w:pStyle w:val="TextoNormal"/>
      </w:pPr>
    </w:p>
    <w:p w:rsidR="00AC56D6" w:rsidRDefault="00AC56D6" w:rsidP="00AC56D6">
      <w:pPr>
        <w:pStyle w:val="TextoNormal"/>
      </w:pPr>
      <w:r>
        <w:t xml:space="preserve">Conforme al art. 111 CP, la </w:t>
      </w:r>
      <w:r w:rsidRPr="00AC56D6">
        <w:rPr>
          <w:i/>
        </w:rPr>
        <w:t>restitutio in integrum</w:t>
      </w:r>
      <w:r>
        <w:t xml:space="preserve"> por devolución del mismo bien será vía preferente de satisfacción de la responsabilidad civil </w:t>
      </w:r>
      <w:r w:rsidRPr="00AC56D6">
        <w:rPr>
          <w:i/>
        </w:rPr>
        <w:t>ex delicto</w:t>
      </w:r>
      <w:r>
        <w:t>. Ello no obstante, una sólida excepción a esta regla general es la que contempla su apartado segundo, que protege al tercero de buena fe que haya adquirido el bien “en la forma y con los requisitos establecidos por las Leyes para hacerlo irreivindicable”; situación en la que el derecho de cualquier perjudicado favorecido civilmente por una sentencia condenatoria de naturaleza penal solamente podrá concretarse en su alternativa indemnizatoria, operando la reparación dineraria como sustitutivo de la fallida recuperación.</w:t>
      </w:r>
    </w:p>
    <w:p w:rsidR="00AC56D6" w:rsidRDefault="00AC56D6" w:rsidP="00AC56D6">
      <w:pPr>
        <w:pStyle w:val="TextoNormal"/>
      </w:pPr>
    </w:p>
    <w:p w:rsidR="00AC56D6" w:rsidRDefault="00AC56D6" w:rsidP="00AC56D6">
      <w:pPr>
        <w:pStyle w:val="TextoNormal"/>
      </w:pPr>
      <w:r>
        <w:t xml:space="preserve">No corresponde a esta jurisdicción pronunciarse sobre la concurrencia de estas circunstancias </w:t>
      </w:r>
      <w:r w:rsidRPr="00AC56D6">
        <w:rPr>
          <w:i/>
        </w:rPr>
        <w:t>ad casum</w:t>
      </w:r>
      <w:r>
        <w:t xml:space="preserve"> más que con el fin de dilucidar si el pronunciamiento judicial que, sin llamamiento previo de la demandante al proceso penal, provocó la actuación ejecutiva subsiguiente lesionó o no su derecho fundamental a obtener una tutela judicial efectiva sin indefensión, en su condición de tercero con potencial interés en la defensa de sus derechos. Al efecto, tal y como la recurrente sostiene y no queda en entredicho desde el contenido de las actuaciones recabadas, en el momento en que el órgano judicial sentenció la nulidad de todo asiento registral de fecha posterior al 12 de mayo de 2008 (la Sentencia data del 6 de marzo de 2013) la entidad demandante ya contaba con un título hipotecario sobre el inmueble en cuestión, inscrito en el Registro de la Propiedad desde el 2 de junio de 2008, a resultas del cual en fechas paralelas a las del enjuiciamiento penal adquirió onerosamente el pleno dominio del inmueble en el procedimiento civil de ejecución hipotecaria seguido a su instancia, título que asimismo inscribió. Figuraba, pues, la demandante como titular de derechos reales —primero hipotecario y luego dominical— sobre la finca de autos, registralmente reconocidos, mientras se iban deduciendo las actuaciones penales. Ello convierte en constitucionalmente relevante su interés en el resultado que pudiera seguirse de contrario en la causa penal, interés que cabe entender existente desde el momento en que se interesó una pretensión acusatoria que habría de afectarle, caso de ser estimada.</w:t>
      </w:r>
    </w:p>
    <w:p w:rsidR="00AC56D6" w:rsidRDefault="00AC56D6" w:rsidP="00AC56D6">
      <w:pPr>
        <w:pStyle w:val="TextoNormal"/>
      </w:pPr>
    </w:p>
    <w:p w:rsidR="00AC56D6" w:rsidRDefault="00AC56D6" w:rsidP="00AC56D6">
      <w:pPr>
        <w:pStyle w:val="TextoNormal"/>
      </w:pPr>
      <w:r>
        <w:t>Siendo, asimismo, la publicidad nota característica del Registro de la Propiedad, no revestía especial complejidad el llamamiento de la demandante al proceso penal, bien a excitación de parte, bien de oficio por el órgano judicial en defecto de la anterior, en cumplimiento de la doctrina constitucional antes expuesta en materia de emplazamiento de terceros susceptibles de verse afectados por el procedimiento en cuestión.</w:t>
      </w:r>
    </w:p>
    <w:p w:rsidR="00AC56D6" w:rsidRDefault="00AC56D6" w:rsidP="00AC56D6">
      <w:pPr>
        <w:pStyle w:val="TextoNormal"/>
      </w:pPr>
    </w:p>
    <w:p w:rsidR="00AC56D6" w:rsidRDefault="00AC56D6" w:rsidP="00AC56D6">
      <w:pPr>
        <w:pStyle w:val="TextoNormal"/>
      </w:pPr>
      <w:r>
        <w:t>Nada indica en el supuesto de autos, que NCG pudiera conocer la disposición dominical en escritura privada por parte del acusado, cuya data sería anterior en tan sólo tres días a la firma de la escritura pública de préstamo hipotecario firmada entre el acusado y la demandante y seguidamente inscrita como carga registral favorable a esta última; tampoco que fuera sabedora de aquella disposición privada al adquirir el pleno dominio de la finca en el proceso civil de ejecución hipotecaria, promovido ante el impago de lo adeudado. Del mismo modo, no hay base desde la que inferir un conocimiento extraprocesal en la demandante de ese discurrir simultáneo del proceso penal, que empañe esa apariencia de buena fe como tercero que habría confiado en aquella realidad registral que al tiempo de contraer derechos sobre la finca seguía señalando al disponente -luego acusado en la causa penal- como titular dominical de pleno derecho.</w:t>
      </w:r>
    </w:p>
    <w:p w:rsidR="00AC56D6" w:rsidRDefault="00AC56D6" w:rsidP="00AC56D6">
      <w:pPr>
        <w:pStyle w:val="TextoNormal"/>
      </w:pPr>
    </w:p>
    <w:p w:rsidR="00AC56D6" w:rsidRDefault="00AC56D6" w:rsidP="00AC56D6">
      <w:pPr>
        <w:pStyle w:val="TextoNormal"/>
      </w:pPr>
      <w:r>
        <w:t xml:space="preserve">En semejante contexto, el reconocimiento de circunstancias favorables a la acusación particular, en su condición de perjudicado penal, no puede deparar efectos </w:t>
      </w:r>
      <w:r w:rsidRPr="00AC56D6">
        <w:rPr>
          <w:i/>
        </w:rPr>
        <w:t>inaudita parte</w:t>
      </w:r>
      <w:r>
        <w:t xml:space="preserve"> respecto de quien, ostentando un título inscrito, no dispuso de posibilidad alguna de alegar y probar en la causa penal, por más que el disponente registral pudiera serlo o no en una realidad extra registral que a aquél le era desconocida. El solapamiento de actuaciones ante diferentes órdenes judiciales (civil y penal) abona esta misma conclusión, que no admite una interpretación constitucional contraria a la protección de los intereses de la demandante de amparo en un proceso al que no había sido llamada, pese a resultar fácilmente cognoscible su condición de tercero afectado por la decisión judicial.</w:t>
      </w:r>
    </w:p>
    <w:p w:rsidR="00AC56D6" w:rsidRDefault="00AC56D6" w:rsidP="00AC56D6">
      <w:pPr>
        <w:pStyle w:val="TextoNormal"/>
      </w:pPr>
    </w:p>
    <w:p w:rsidR="00AC56D6" w:rsidRDefault="00AC56D6" w:rsidP="00AC56D6">
      <w:pPr>
        <w:pStyle w:val="TextoNormal"/>
      </w:pPr>
      <w:r>
        <w:lastRenderedPageBreak/>
        <w:t>El órgano judicial venía particularmente obligado a promover la presencia procesal de aquellos terceros que, confiando en la verdad registral, pudieran ver perjudicados sus intereses por la estimación de una petición acusatoria que interesaba hacer valer derechos posesorios en conflicto con aquéllos, con el fin de que también pudieran ser oídos en defensa de los suyos propios.</w:t>
      </w:r>
    </w:p>
    <w:p w:rsidR="00AC56D6" w:rsidRDefault="00AC56D6" w:rsidP="00AC56D6">
      <w:pPr>
        <w:pStyle w:val="TextoNormal"/>
      </w:pPr>
    </w:p>
    <w:p w:rsidR="00AC56D6" w:rsidRDefault="00AC56D6" w:rsidP="00AC56D6">
      <w:pPr>
        <w:pStyle w:val="TextoNormal"/>
      </w:pPr>
      <w:r>
        <w:t>La Sentencia del Juzgado de lo Penal no explicita razón alguna que permita entender fallido o inviable cualquier intento de llamamiento preliminar de la demandante al proceso o bien del decaimiento de la misma en su derecho a ser oída. Tampoco que dicho derecho fuera disfrutado por otros titulares de derechos sobre la finca señalada, distintos de la demandante. Desprovista de toda reflexión al respecto en la escueta referencia de su fundamento de Derecho cuarto, la decisión judicial traslada directamente al fallo la petición de nulidad registral solicitada por la acusación particular. El primer acto de comunicación con la demandante sobreviene el 4 de marzo de 2014, una vez abierta la ejecutoria penal, presentando el formato de un requerimiento directamente dirigido a desposeerle de la finca de autos. El Juzgado ejecutante venía así a privar de sus derechos a la demandante sin antes concederle oportunidad procesal de actuar en defensa de sus intereses.</w:t>
      </w:r>
    </w:p>
    <w:p w:rsidR="00AC56D6" w:rsidRDefault="00AC56D6" w:rsidP="00AC56D6">
      <w:pPr>
        <w:pStyle w:val="TextoNormal"/>
      </w:pPr>
    </w:p>
    <w:p w:rsidR="00AC56D6" w:rsidRDefault="00AC56D6" w:rsidP="00AC56D6">
      <w:pPr>
        <w:pStyle w:val="TextoNormal"/>
      </w:pPr>
      <w:r>
        <w:t>Al promover el incidente de nulidad de actuaciones, NCG invocó expresamente ante el Juzgado de lo Penal ejecutante su derecho a obtener una tutela judicial efectiva en defensa de sus intereses, en apoyo de lo cual introdujo concretas referencias legales y jurisprudenciales que respaldarían su encuadramiento en el derecho a un proceso con posibilidades efectivas de ser oída como paso previo e ineludible a cualquier declaración de cancelación registral. Reflexiones a las que, tal y como reflejan los antecedentes de esta Sentencia, no da respuesta expresa —tampoco tácita o presunta— el Auto de 26 de mayo de 2014, constreñido a un examen fáctico por fechas que omite cualquier ponderación de los argumentos esgrimidos, en clave jurídica, por la entidad promotora del incidente. En esta situación, aunque el Auto judicial formalmente exteriorice ciertas razones como fundamento de la decisión denegatoria, no puede entenderse que acometiera la interpretación que específicamente le era requerida, con apoyo en Derecho, incurriendo así en una insuficiencia expresiva relevante que no colma el canon de motivación particularmente exigible.</w:t>
      </w:r>
    </w:p>
    <w:p w:rsidR="00AC56D6" w:rsidRDefault="00AC56D6" w:rsidP="00AC56D6">
      <w:pPr>
        <w:pStyle w:val="TextoNormal"/>
      </w:pPr>
    </w:p>
    <w:p w:rsidR="00AC56D6" w:rsidRDefault="00AC56D6" w:rsidP="00AC56D6">
      <w:pPr>
        <w:pStyle w:val="TextoNormal"/>
      </w:pPr>
      <w:r>
        <w:t>Con este proceder la demandante se vio, en efecto, abocada a una situación de indefensión material, más allá de la infracción de las reglas del proceso (SSTC 48/1984, de 4 de abril; 211/2001, de 29 de octubre, y 40/2002, de 14 de febrero), que debe ser amparada.</w:t>
      </w:r>
    </w:p>
    <w:p w:rsidR="00AC56D6" w:rsidRDefault="00AC56D6" w:rsidP="00AC56D6">
      <w:pPr>
        <w:pStyle w:val="TextoNormal"/>
      </w:pPr>
    </w:p>
    <w:p w:rsidR="00AC56D6" w:rsidRDefault="00AC56D6" w:rsidP="00AC56D6">
      <w:pPr>
        <w:pStyle w:val="TextoNormal"/>
      </w:pPr>
      <w:r w:rsidRPr="00AC56D6">
        <w:rPr>
          <w:rStyle w:val="NumeroAFNegritaCaracter"/>
        </w:rPr>
        <w:t>6</w:t>
      </w:r>
      <w:r>
        <w:t>. De conformidad con los razonamientos que preceden, y en aplicación de lo dispuesto en el art. 55.1 LOTC, procede estimar el recurso de amparo, restableciendo a la demandante en su derecho a obtener de los Tribunales una tutela judicial efectiva sin indefensión (art. 24.1 CE), de la que en este caso es tributario el derecho a disfrutar de un proceso público con todas las garantías —art. 24.2 CE— (STC 57/1991, de 14 de marzo, FJ 1).</w:t>
      </w:r>
    </w:p>
    <w:p w:rsidR="00AC56D6" w:rsidRDefault="00AC56D6" w:rsidP="00AC56D6">
      <w:pPr>
        <w:pStyle w:val="TextoNormal"/>
      </w:pPr>
    </w:p>
    <w:p w:rsidR="00AC56D6" w:rsidRDefault="00AC56D6" w:rsidP="00AC56D6">
      <w:pPr>
        <w:pStyle w:val="TextoNormal"/>
      </w:pPr>
      <w:r>
        <w:t xml:space="preserve">La restauración de la demandante en sus derechos fundamentales exige, en primer lugar, declarar la nulidad de los autos de ejecución recurridos, en toda su extensión; así como también del fallo de la Sentencia del Juzgado de lo Penal de 6 de marzo de 2013, en los incisos determinantes de la lesión perpetrada, esto es, los relativos a la nulidad de las escrituras, inscripciones registrales, cargas y gravámenes sobre la finca y casa, posteriores a la compra del 12 de mayo de 2008. Igualmente declaramos la nulidad parcial de la Sentencia </w:t>
      </w:r>
      <w:r>
        <w:lastRenderedPageBreak/>
        <w:t>de la Sección Sexta de la Audiencia Provincial de A Coruña, de 30 de diciembre de 2013, que en su fundamento de Derecho segundo y cualesquiera que fuesen las razones para ello, puso de manifiesto pero no reparó la indefensión cometida por la Sentencia del Juzgado.</w:t>
      </w:r>
    </w:p>
    <w:p w:rsidR="00AC56D6" w:rsidRDefault="00AC56D6" w:rsidP="00AC56D6">
      <w:pPr>
        <w:pStyle w:val="TextoNormal"/>
      </w:pPr>
    </w:p>
    <w:p w:rsidR="00AC56D6" w:rsidRDefault="00AC56D6" w:rsidP="00AC56D6">
      <w:pPr>
        <w:pStyle w:val="TextoNormal"/>
      </w:pPr>
      <w:r>
        <w:t>En segundo lugar, y como medida apropiada [art. 55.1 c) de la Ley Orgánica del Tribunal Constitucional] para reparar el derecho a la defensa de la entidad aquí actora, preservando a su vez el derecho a una tutela jurisdiccional de fondo (art. 24.1 CE) del que es titular la parte constituida como acusación particular en el proceso penal abreviado de referencia, la cual introdujo como tema de debate la solicitud de nulidad de aquellos actos jurídicos practicados sobre la finca objeto de venta por el acusado, debemos declarar la retroacción de las actuaciones, bien que con el alcance limitado que la doctrina de este Tribunal ha concedido en otros supuestos de indefensión derivada de pronunciamientos civiles contenidos en sentencias del orden penal, que afectan a personas que no fueron llamadas al respectivo proceso (por todas, SSTC 4/1982, de 8 de febrero, FJ 8; 114/1988, de 10 de junio, FJ 4; 57/1991, de 14 de marzo, FJ 5; o 56/1992, de 8 de abril, FJ 5).</w:t>
      </w:r>
    </w:p>
    <w:p w:rsidR="00AC56D6" w:rsidRDefault="00AC56D6" w:rsidP="00AC56D6">
      <w:pPr>
        <w:pStyle w:val="TextoNormal"/>
      </w:pPr>
    </w:p>
    <w:p w:rsidR="00AC56D6" w:rsidRDefault="00AC56D6" w:rsidP="00AC56D6">
      <w:pPr>
        <w:pStyle w:val="TextoNormal"/>
      </w:pPr>
      <w:r>
        <w:t>A tal efecto, y con observancia de los principios de conservación de los actos procesales y de mínima perturbación de los derechos e intereses de terceros, acordamos que el Juzgado celebre nueva vista oral en el proceso abreviado 362-2012, convocando a todas las partes incluyendo a la recurrente en amparo, con el único fin de conocer de las alegaciones y pruebas acerca de aquella pretensión de nulidad de la acusación particular, debiendo dictar nueva Sentencia única y exclusivamente sobre este punto. Es decir, manteniendo la Sentencia de 6 de marzo de 2013 su eficacia de cosa juzgada en todo lo demás.</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Estimar parcialmente el recurso de amparo promovido por NCG División Inmobiliaria S.L. y, en consecuencia,</w:t>
      </w:r>
    </w:p>
    <w:p w:rsidR="00AC56D6" w:rsidRDefault="00AC56D6" w:rsidP="00AC56D6">
      <w:pPr>
        <w:pStyle w:val="TextoNormal"/>
      </w:pPr>
    </w:p>
    <w:p w:rsidR="00AC56D6" w:rsidRDefault="00AC56D6" w:rsidP="00AC56D6">
      <w:pPr>
        <w:pStyle w:val="TextoNormal"/>
      </w:pPr>
      <w:r>
        <w:t>1º Reconocer el derecho a la tutela judicial efectiva sin indefensión (art. 24.1 CE) y al proceso con todas las garantías (art. 24.2 CE) de la demandante NCG División Grupo Inmobiliario S.L.U. (actual Abanca Corporación División Inmobiliaria S.L).</w:t>
      </w:r>
    </w:p>
    <w:p w:rsidR="00AC56D6" w:rsidRDefault="00AC56D6" w:rsidP="00AC56D6">
      <w:pPr>
        <w:pStyle w:val="TextoNormal"/>
      </w:pPr>
    </w:p>
    <w:p w:rsidR="00AC56D6" w:rsidRDefault="00AC56D6" w:rsidP="00AC56D6">
      <w:pPr>
        <w:pStyle w:val="TextoNormal"/>
      </w:pPr>
      <w:r>
        <w:t xml:space="preserve">2º Declarar la nulidad de los Autos de 26 de mayo de 2014 y 18 de junio de 2014, dictados por el Juzgado de lo Penal núm. 1 de Santiago de Compostela en la ejecutoria núm. 61-2014; asimismo la nulidad del concreto pronunciamiento del fallo de la Sentencia del mismo Juzgado de 6 de marzo de 2013, recaída en el proceso abreviado núm. 362-2012, que indica: “Se declaran nulas las escrituras, inscripciones registrales, cargas y gravámenes sobre la finca y casa posteriores a la compra de 12-5-2008”, y la nulidad de la Sentencia de la Sección Sexta de la Audiencia Provincial de A Coruña, de 30 de diciembre de 2013 (rollo de apelación núm. 322-2013), en cuanto a la referencia en su fundamento de Derecho segundo, </w:t>
      </w:r>
      <w:r>
        <w:lastRenderedPageBreak/>
        <w:t>a la indefensión causada a los “titulares de derechos inscritos o de anotaciones relativas a la finca”, sin reparar ésta.</w:t>
      </w:r>
    </w:p>
    <w:p w:rsidR="00AC56D6" w:rsidRDefault="00AC56D6" w:rsidP="00AC56D6">
      <w:pPr>
        <w:pStyle w:val="TextoNormal"/>
      </w:pPr>
    </w:p>
    <w:p w:rsidR="00AC56D6" w:rsidRDefault="00AC56D6" w:rsidP="00AC56D6">
      <w:pPr>
        <w:pStyle w:val="TextoNormal"/>
      </w:pPr>
      <w:r>
        <w:t>3º Con retroacción parcial de las actuaciones, en los términos especificados en el anterior fundamento jurídico sexto.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catorce de diciembre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23" w:name="SENTENCIA_2015_267"/>
      <w:r>
        <w:lastRenderedPageBreak/>
        <w:t>SENTENCIA 267/2015, de 14 de diciembre de 2015</w:t>
      </w:r>
    </w:p>
    <w:bookmarkEnd w:id="123"/>
    <w:p w:rsidR="00AC56D6" w:rsidRDefault="00AC56D6" w:rsidP="00AC56D6">
      <w:pPr>
        <w:pStyle w:val="TtuloResolucin"/>
      </w:pPr>
      <w:r>
        <w:t>Sala Primera</w:t>
      </w:r>
    </w:p>
    <w:p w:rsidR="00AC56D6" w:rsidRDefault="00AC56D6" w:rsidP="00AC56D6">
      <w:pPr>
        <w:pStyle w:val="TtuloBOE"/>
      </w:pPr>
      <w:r>
        <w:t>(BOE núm. 19, de 22 de enero de 2016)</w:t>
      </w:r>
    </w:p>
    <w:p w:rsidR="00AC56D6" w:rsidRDefault="00AC56D6" w:rsidP="00AC56D6">
      <w:pPr>
        <w:pStyle w:val="TextoNormalCentrado"/>
      </w:pPr>
      <w:r>
        <w:t>ECLI:ES:TC:2015:267</w:t>
      </w:r>
    </w:p>
    <w:p w:rsidR="00AC56D6" w:rsidRDefault="00AC56D6" w:rsidP="00AC56D6">
      <w:pPr>
        <w:pStyle w:val="TextoNormalCentrado"/>
      </w:pPr>
    </w:p>
    <w:p w:rsidR="00AC56D6" w:rsidRDefault="00AC56D6" w:rsidP="00AC56D6">
      <w:pPr>
        <w:pStyle w:val="SntesisDescriptiva"/>
      </w:pPr>
      <w:r>
        <w:t>Cuestión de inconstitucionalidad 4485-2015. Planteada por el Juzgado de lo Contencioso-Administrativo número 2 de Castellón de la Plana sobre la disposición adicional segunda de la Ley 4/2013, de 4 de junio, de medidas de flexibilización y fomento del mercado del alquiler de viviendas.</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y garantías del procedimiento expropiatorio: STC 216/2015 (constitucionalidad del precepto legal que regula la supresión y mantenimiento de ayudas relacionadas con la adquisición o promoción de viviendas y el fomento del alquiler). Voto particular.</w:t>
      </w:r>
    </w:p>
    <w:p w:rsidR="00AC56D6" w:rsidRDefault="00AC56D6" w:rsidP="00AC56D6">
      <w:pPr>
        <w:pStyle w:val="SntesisAnaltica"/>
      </w:pPr>
    </w:p>
    <w:p w:rsidR="00AC56D6" w:rsidRDefault="00AC56D6" w:rsidP="00AC56D6">
      <w:pPr>
        <w:pStyle w:val="Extracto"/>
      </w:pPr>
      <w:r>
        <w:t>1.</w:t>
      </w:r>
      <w:r>
        <w:tab/>
        <w:t>La concesión de la renovación de la ayudas de subsidiación de los préstamos de viviendas de protección oficial no es un acto reglado y, en consecuencia, el beneficiario de la ayuda no tiene derecho a tal renovación, lo que determina la procedencia de excluir efectos retroactivos constitucionalmente prohibidos en la disposición impugnada, ya que su regulación se proyecta a los efectos futuros de situaciones jurídicas que aún no se han producido [FJ 3].</w:t>
      </w:r>
    </w:p>
    <w:p w:rsidR="00AC56D6" w:rsidRDefault="00AC56D6" w:rsidP="00AC56D6">
      <w:pPr>
        <w:pStyle w:val="Extracto"/>
      </w:pPr>
    </w:p>
    <w:p w:rsidR="00AC56D6" w:rsidRDefault="00AC56D6" w:rsidP="00AC56D6">
      <w:pPr>
        <w:pStyle w:val="Extracto"/>
      </w:pPr>
      <w:r>
        <w:t>2.</w:t>
      </w:r>
      <w:r>
        <w:tab/>
        <w:t>Frente a la supresión de la posibilidad de renovar estas ayudas no cabe oponer un derecho subjetivo o interés legítimo de carácter patrimonial incorporado al patrimonio del beneficiario, por lo que no concurre el presupuesto imprescindible para que entre en juego la protección de las garantías expropiatorias [FJ 4].</w:t>
      </w:r>
    </w:p>
    <w:p w:rsidR="00AC56D6" w:rsidRDefault="00AC56D6" w:rsidP="00AC56D6">
      <w:pPr>
        <w:pStyle w:val="Extracto"/>
      </w:pPr>
    </w:p>
    <w:p w:rsidR="00AC56D6" w:rsidRDefault="00AC56D6" w:rsidP="00AC56D6">
      <w:pPr>
        <w:pStyle w:val="Extracto"/>
      </w:pPr>
      <w:r>
        <w:t>3.</w:t>
      </w:r>
      <w:r>
        <w:tab/>
        <w:t>El juicio de relevancia constituye una de las más esenciales condiciones procesales de las cuestiones de inconstitucionalidad en garantía de que su planteamiento no desborde la función de control concreto o incidental de la constitucionalidad de las leyes, debiendo versar tales cuestiones sobre la norma de cuya validez depende el fallo (STC 201/2011) [FJ 2].</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lastRenderedPageBreak/>
        <w:t>SENTENCIA</w:t>
      </w:r>
    </w:p>
    <w:p w:rsidR="00AC56D6" w:rsidRDefault="00AC56D6" w:rsidP="00AC56D6">
      <w:pPr>
        <w:pStyle w:val="TextoNormalCentrado"/>
        <w:keepNext/>
      </w:pPr>
    </w:p>
    <w:p w:rsidR="00AC56D6" w:rsidRDefault="00AC56D6" w:rsidP="00AC56D6">
      <w:pPr>
        <w:pStyle w:val="TextoNormal"/>
      </w:pPr>
      <w:r>
        <w:t>En la cuestión de inconstitucionalidad núm. 4485-2015, promovida por el Juzgado de lo Contencioso-Administrativo núm. 2 de Castellón de la Plana sobre la disposición adicional segunda de la Ley 4/2013, de 4 de junio, de medidas de flexibilización y fomento del mercado del alquiler de viviendas. Ha comparecido y formulado alegaciones el Abogado del Estado. Ha intervenido la Fiscal General del Estado. Ha sido Ponente la Magistrada doña Encarnación Roca Trías,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Por escrito registrado en este Tribunal el día 27 de julio de 2015, el Juzgado de lo Contencioso-Administrativo núm. 2 de Castellón de la Plana remitió testimonio del Auto de 15 de julio de 2015, por el que se acordó plantear cuestión de inconstitucionalidad respecto a la disposición adicional segunda de la Ley 4/2013, de 4 de junio, de medidas de flexibilización y fomento del mercado del alquiler de viviendas, por entenderla contraria al art. 9.3 CE, en su vertiente de prohibición de retroactividad de disposiciones sancionadoras no favorables o restrictivas de derechos, y al art. 33.3 CE.</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son, sucintamente expuestos, los siguientes:</w:t>
      </w:r>
    </w:p>
    <w:p w:rsidR="00AC56D6" w:rsidRDefault="00AC56D6" w:rsidP="00AC56D6">
      <w:pPr>
        <w:pStyle w:val="TextoNormal"/>
      </w:pPr>
    </w:p>
    <w:p w:rsidR="00AC56D6" w:rsidRDefault="00AC56D6" w:rsidP="00AC56D6">
      <w:pPr>
        <w:pStyle w:val="TextoNormal"/>
      </w:pPr>
      <w:r>
        <w:t>a) Con fecha 20 de junio de 2008, a don J.C.F. se le concedió la subsidiación del préstamo convenido en la cuantía de 82 € mensuales durante diez años, de acuerdo con el Real Decreto 801/2005 y en el marco del plan de vivienda 2005-2008. De conformidad con la resolución indicada y la normativa aplicable, dentro del quinto año del periodo inicial de subsidiación de cinco años —en concreto el 13 de marzo de 2014— solicitó la prórroga de la subsidiación inicialmente concedida, por reunir los requisitos legalmente establecidos. La Administración competente, a través del servicio territorial de Castellón, resolvió inadmitir la solicitud de prórroga de la subsidiación, por cuanto se había solicitado tras la entrada en vigor de la Ley 4/2013, de 4 de junio, de medidas de flexibilización y fomento del mercado del alquiler de viviendas.</w:t>
      </w:r>
    </w:p>
    <w:p w:rsidR="00AC56D6" w:rsidRDefault="00AC56D6" w:rsidP="00AC56D6">
      <w:pPr>
        <w:pStyle w:val="TextoNormal"/>
      </w:pPr>
    </w:p>
    <w:p w:rsidR="00AC56D6" w:rsidRDefault="00AC56D6" w:rsidP="00AC56D6">
      <w:pPr>
        <w:pStyle w:val="TextoNormal"/>
      </w:pPr>
      <w:r>
        <w:t>b) Don J.C.F. presentó recurso de alzada contra dicha decisión y, posteriormente, recurso contencioso-administrativo frente a la desestimación presunta del recurso de alzada. El recurso contencioso se fundamentó en la vulneración del principio de irretroactividad de las normas sancionadoras no favorables o restrictivas de derechos individuales (art. 9.3 CE) y del principio de buena fe y confianza legítima, esto último en cuanto que un artículo que afecta al plan estatal de vivienda y rehabilitación 2009-2012 es aplicado a subvenciones otorgadas de conformidad con un plan de vivienda anterior.</w:t>
      </w:r>
    </w:p>
    <w:p w:rsidR="00AC56D6" w:rsidRDefault="00AC56D6" w:rsidP="00AC56D6">
      <w:pPr>
        <w:pStyle w:val="TextoNormal"/>
      </w:pPr>
    </w:p>
    <w:p w:rsidR="00AC56D6" w:rsidRDefault="00AC56D6" w:rsidP="00AC56D6">
      <w:pPr>
        <w:pStyle w:val="TextoNormal"/>
      </w:pPr>
      <w:r>
        <w:t>c) Con fecha de 25 de marzo de 2015, el Juzgado de lo Contencioso-Administrativo núm. 2 de Castellón adopta una providencia con el siguiente contenido: “Dada cuenta, de conformidad con el art. 35 LOTC, en relación con el artículo 163 de la CE, vista la posible inconstitucionalidad de la disposición adicional de la Ley 4/2013, de 4 de julio, este Juzgado ha decidido (</w:t>
      </w:r>
      <w:r w:rsidRPr="00AC56D6">
        <w:rPr>
          <w:i/>
        </w:rPr>
        <w:t>sic</w:t>
      </w:r>
      <w:r>
        <w:t xml:space="preserve">) plantear la cuestión de inconstitucionalidad ante el TC de la citada norma, </w:t>
      </w:r>
      <w:r>
        <w:lastRenderedPageBreak/>
        <w:t>pues entiende que concurren los requisitos para plantearla, por lo que al amparo de los citados artículos se da traslado a las partes y al Ministerio Fiscal, por plazo común de diez días, para que puedan alegar sobre la pertinencia de plantear la cuestión de inconstitucionalidad o sobre el fondo de ésta”.</w:t>
      </w:r>
    </w:p>
    <w:p w:rsidR="00AC56D6" w:rsidRDefault="00AC56D6" w:rsidP="00AC56D6">
      <w:pPr>
        <w:pStyle w:val="TextoNormal"/>
      </w:pPr>
    </w:p>
    <w:p w:rsidR="00AC56D6" w:rsidRDefault="00AC56D6" w:rsidP="00AC56D6">
      <w:pPr>
        <w:pStyle w:val="TextoNormal"/>
      </w:pPr>
      <w:r>
        <w:t>d) Con fecha de 8 de abril de 2015 se registra escrito de alegaciones de 2 de abril de la representación procesal de la demandada, el Abogado de la Generalitat Valenciana. En dicho escrito afirma, en primer lugar, la constitucionalidad de la disposición adicional segunda de la Ley 4/2013; rechaza su carácter retroactivo; señala que se limita a impedir la concesión de nuevas ayudas, renovación, prórrogas o subrogaciones; y recuerda que el art. 35 del Real Decreto-ley 20/2012, de 13 de julio, de medidas para garantizar la estabilidad presupuestaria, ya suprimió todas las ayudas de subsidiación de préstamos contenidos del plan estatal de viviendas y rehabilitación 2009-2012. En segundo lugar, alega que no se opone ni a la suspensión del procedimiento en el estado en que se encuentra hasta que se resuelva el recurso de inconstitucionalidad núm. 5108-2013 interpuesto contra la disposición adicional segunda de la Ley 4/2013, ni al planteamiento de la cuestión de inconstitucionalidad propuesta por el Juzgado.</w:t>
      </w:r>
    </w:p>
    <w:p w:rsidR="00AC56D6" w:rsidRDefault="00AC56D6" w:rsidP="00AC56D6">
      <w:pPr>
        <w:pStyle w:val="TextoNormal"/>
      </w:pPr>
    </w:p>
    <w:p w:rsidR="00AC56D6" w:rsidRDefault="00AC56D6" w:rsidP="00AC56D6">
      <w:pPr>
        <w:pStyle w:val="TextoNormal"/>
      </w:pPr>
      <w:r>
        <w:t>e) En escrito de 28 de abril de 2015 el Ministerio Fiscal, tras recordar el tenor del art. 35.2 de la Ley Orgánica del Tribunal Constitucional (LOTC) y la doctrina del Tribunal Constitucional (ATC 35/2012, de 12 de febrero, FJ 4), señala que la providencia de 25 de marzo de 2015 no concreta el precepto constitucional que se supone infringido, ni especifica o justifica en qué medida la decisión del proceso depende de la validez de la norma en cuestión. Considera que ello es causa de inadmisión por razones estrictamente procesales (art. 37.1 LOTC).</w:t>
      </w:r>
    </w:p>
    <w:p w:rsidR="00AC56D6" w:rsidRDefault="00AC56D6" w:rsidP="00AC56D6">
      <w:pPr>
        <w:pStyle w:val="TextoNormal"/>
      </w:pPr>
    </w:p>
    <w:p w:rsidR="00AC56D6" w:rsidRDefault="00AC56D6" w:rsidP="00AC56D6">
      <w:pPr>
        <w:pStyle w:val="TextoNormal"/>
      </w:pPr>
      <w:r>
        <w:t>f) Mediante nueva providencia de 4 de mayo de 2015, el Juzgado de lo Contencioso-Administrativo núm. 2 de Castellón procede a subsanar el defecto denunciado, dando nuevo traslado de diez días para que se realicen alegaciones al amparo del art. 35 LOTC, con la finalidad de evitar una eventual inadmisión por motivos procesales de la cuestión por el Tribunal Constitucional. La nueva providencia señala que la decisión del Tribunal Constitucional sobre la constitucionalidad de la norma sería determinante para el sentido del fallo, pues, en caso de considerarse constitucional, se podría entender que la disposición adicional segunda ampara la decisión del acto administrativo; y en caso contrario, la decisión del acto administrativo quedaría sin cobertura jurídica. También se afirma que la citada norma podría vulnerar el art. 9.3 CE, en cuanto garantiza la irretroactividad de las disposiciones sancionadoras no favorables o restrictivas de derechos individuales, así como el art. 33.3 CE, “ello en los términos que esgrimen en el recurso de inconstitucionalidad 5108/2013, que ha sido admitido a trámite por el Tribunal Constitucional”.</w:t>
      </w:r>
    </w:p>
    <w:p w:rsidR="00AC56D6" w:rsidRDefault="00AC56D6" w:rsidP="00AC56D6">
      <w:pPr>
        <w:pStyle w:val="TextoNormal"/>
      </w:pPr>
    </w:p>
    <w:p w:rsidR="00AC56D6" w:rsidRDefault="00AC56D6" w:rsidP="00AC56D6">
      <w:pPr>
        <w:pStyle w:val="TextoNormal"/>
      </w:pPr>
      <w:r>
        <w:t xml:space="preserve">g) Con fecha 18 de mayo de 2015, el Ministerio Fiscal presenta nuevo escrito por el que se despacha el traslado conferido por providencia de 4 de mayo de 2015, en el que se reitera en el anterior informe y afirma que de la resolución del órgano judicial no resulta que la cuestión de inconstitucionalidad que se alega sea planteable, ya que la función de la misma no puede ser la de dirimir controversias interpretativas sobre la legalidad entre órganos jurisdiccionales o la de resolver dudas sobre el alcance de un determinado precepto legal. Se reitera en el no cumplimiento de los requisitos legales del art. 35.2 LOTC, pues el órgano judicial no justifica en qué medida la decisión del proceso depende de la validez de la norma </w:t>
      </w:r>
      <w:r>
        <w:lastRenderedPageBreak/>
        <w:t>cuestionada. El resto de las partes no formularon alegaciones según acredita el órgano judicial en escrito de fecha 1 de septiembre de 2015, contestando a la diligencia de ordenación del Pleno de 30 de julio de 2015.</w:t>
      </w:r>
    </w:p>
    <w:p w:rsidR="00AC56D6" w:rsidRDefault="00AC56D6" w:rsidP="00AC56D6">
      <w:pPr>
        <w:pStyle w:val="TextoNormal"/>
      </w:pPr>
    </w:p>
    <w:p w:rsidR="00AC56D6" w:rsidRDefault="00AC56D6" w:rsidP="00AC56D6">
      <w:pPr>
        <w:pStyle w:val="TextoNormal"/>
      </w:pPr>
      <w:r w:rsidRPr="00AC56D6">
        <w:rPr>
          <w:rStyle w:val="NumeroAFNegritaCaracter"/>
        </w:rPr>
        <w:t>3</w:t>
      </w:r>
      <w:r>
        <w:t>. El órgano judicial dictó Auto de 15 de junio de 2015 planteando la cuestión de inconstitucionalidad respecto a la disposición adicional segunda de la Ley 4/2013, de 4 de junio, de medidas de flexibilización y fomento del mercado del alquiler de viviendas, por posible vulneración de los arts. 9.3 CE, en su vertiente de prohibición de retroactividad de disposiciones sancionadoras no favorables o restrictivas de derechos, y 33.3 CE.</w:t>
      </w:r>
    </w:p>
    <w:p w:rsidR="00AC56D6" w:rsidRDefault="00AC56D6" w:rsidP="00AC56D6">
      <w:pPr>
        <w:pStyle w:val="TextoNormal"/>
      </w:pPr>
    </w:p>
    <w:p w:rsidR="00AC56D6" w:rsidRDefault="00AC56D6" w:rsidP="00AC56D6">
      <w:pPr>
        <w:pStyle w:val="TextoNormal"/>
      </w:pPr>
      <w:r>
        <w:t>Del contenido del Auto interesa destacar lo siguiente:</w:t>
      </w:r>
    </w:p>
    <w:p w:rsidR="00AC56D6" w:rsidRDefault="00AC56D6" w:rsidP="00AC56D6">
      <w:pPr>
        <w:pStyle w:val="TextoNormal"/>
      </w:pPr>
    </w:p>
    <w:p w:rsidR="00AC56D6" w:rsidRDefault="00AC56D6" w:rsidP="00AC56D6">
      <w:pPr>
        <w:pStyle w:val="TextoNormal"/>
      </w:pPr>
      <w:r>
        <w:t>El órgano judicial comienza señalando que la decisión del Tribunal Constitucional sobre la constitucionalidad de la norma sería determinante para el sentido del fallo, pues en caso de considerarse constitucional la citada norma, se podría entender que la disposición adicional segunda ampara la decisión del acto administrativo; y en caso contrario, la decisión del acto administrativo quedaría sin cobertura jurídica afirma que procede promover cuestión de inconstitucionalidad contra la disposición adicional segunda de la Ley 4/2013, de 4 de junio, de medidas de flexibilización y fomento del mercado del alquiler de viviendas, por vulneración del artículo 9.3 CE, en cuanto establece la garantía de la irretroactividad de las disposiciones sancionadoras no favorables o restrictivas de derechos individuales, y en relación con el artículo 33.3 CE de la Constitución Española, “planteamiento que se realiza en los mismos términos que esgrimen en el recurso de inconstitucionalidad 5108/2013”.</w:t>
      </w:r>
    </w:p>
    <w:p w:rsidR="00AC56D6" w:rsidRDefault="00AC56D6" w:rsidP="00AC56D6">
      <w:pPr>
        <w:pStyle w:val="TextoNormal"/>
      </w:pPr>
    </w:p>
    <w:p w:rsidR="00AC56D6" w:rsidRDefault="00AC56D6" w:rsidP="00AC56D6">
      <w:pPr>
        <w:pStyle w:val="TextoNormal"/>
      </w:pPr>
      <w:r>
        <w:t>Entrando ya a exponer las dudas de inconstitucionalidad, el órgano judicial dedica un primer bloque de alegaciones a analizar la naturaleza de las ayudas a la adquisición de viviendas de protección oficial y el mantenimiento de las situaciones jurídicas preexistentes. El órgano judicial invoca el art. 47 CE y otros instrumentos internacionales que se refieren al derecho a una vivienda digna, como la Carta social europea (art. 31) y la Declaración universal de derechos humanos (art. 25.1). A continuación explica con detalle el funcionamiento del sistema de subsidiación de préstamos cualificados para viviendas protegidas en sucesivas normas, coincidentes generalmente con la aprobación de los planes estatales de vivienda (Reales Decretos 1/2002, de 11 de enero, sobre medias de financiación de actuaciones protegidas en materia de vivienda y suelo del plan 2002-2005; 801/2005, de 1 de julio, por el que se aprueba el plan estatal 2005-2008, para favorecer el acceso de los ciudadanos a la vivienda; y 2066/2008, de 12 de diciembre, por el que se regula el plan estatal de vivienda y rehabilitación 2009-2012). Se arguye que la disposición adicional segunda de la Ley 4/2013 viene a suprimir incluso las ayudas ya concedidas, rompiendo con un criterio constante en el ordenamiento sectorial de mantenimiento de las situaciones jurídicas preexistentes. El respeto de las situaciones jurídicas consolidadas es especialmente necesario cuando afecta a derechos constitucionalmente reconocidos, como es el derecho a una vivienda, en este caso de protección oficial. Más aún cuando la adquisición de una vivienda requiere una programación económica a largo plazo, materializada en préstamos hipotecarios que vinculan durante un largo periodo de tiempo, y cuyas condiciones [de los préstamos] son esenciales a la hora de adoptar decisiones al respecto.</w:t>
      </w:r>
    </w:p>
    <w:p w:rsidR="00AC56D6" w:rsidRDefault="00AC56D6" w:rsidP="00AC56D6">
      <w:pPr>
        <w:pStyle w:val="TextoNormal"/>
      </w:pPr>
    </w:p>
    <w:p w:rsidR="00AC56D6" w:rsidRDefault="00AC56D6" w:rsidP="00AC56D6">
      <w:pPr>
        <w:pStyle w:val="TextoNormal"/>
      </w:pPr>
      <w:r>
        <w:t xml:space="preserve">En segundo lugar, se alega la violación de la interdicción de la retroactividad respecto de situaciones ya perfeccionadas. La vulneración de la garantía contenida en el art. 9.3 CE trae </w:t>
      </w:r>
      <w:r>
        <w:lastRenderedPageBreak/>
        <w:t>causa de tres circunstancias: la medida cuestionada tiene efecto retroactivo; restringe derechos individuales; y el derecho subjetivo afectado se encuentra plenamente adquirido. En particular, se afirma que “este juzgador entiende … que la disposición adicional segunda de la Ley 4/2013, de 4 de junio, de medidas de flexibilización y fomento del mercado del alquiler de viviendas, establece una retroactividad auténtica, una retroactividad de grado máximo a todos los efectos”; que se trata de una restricción de un derecho individual en los términos previstos por el art. 9.3 CE, en relación con el art. 47 CE, esto es, con un derecho constitucionalizado, aunque lo relevante para el Tribunal Constitucional —según el órgano judicial— es que se trate de “derechos consolidados” sin necesaria vinculación con derechos fundamentales (SSTC 65/1987, de 21 de mayo, y 99/1987, de 11 de junio); y que se trata de derechos subjetivos incorporados al patrimonio jurídico del beneficiario de la ayuda, y que la renovación solo requiere la acreditación del dato objetivo del mantenimiento de las condiciones socio-económicas que justificaron la concesión.</w:t>
      </w:r>
    </w:p>
    <w:p w:rsidR="00AC56D6" w:rsidRDefault="00AC56D6" w:rsidP="00AC56D6">
      <w:pPr>
        <w:pStyle w:val="TextoNormal"/>
      </w:pPr>
    </w:p>
    <w:p w:rsidR="00AC56D6" w:rsidRDefault="00AC56D6" w:rsidP="00AC56D6">
      <w:pPr>
        <w:pStyle w:val="TextoNormal"/>
      </w:pPr>
      <w:r>
        <w:t>A mayor abundamiento se señala, por una parte, que estaría en juego el principio de protección de la confianza legítima reconocido por el Tribunal de Justicia de la Unión Europea, conforme al cual se protege la confianza de los ciudadanos que ajustan su conducta económica a la legislación vigente frente a cambios normativos que no sean razonablemente previsibles (SSTC 150/1990, de 4 de octubre, y 234/2001, de 13 de diciembre); y, por otra, que en un Estado social y democrático de Derecho, la seguridad jurídica implica también la necesidad de que el Estado no pueda abrogar aquellas normas que están precisamente destinadas a dotar de una mínima garantía a determinados grupos sociales.</w:t>
      </w:r>
    </w:p>
    <w:p w:rsidR="00AC56D6" w:rsidRDefault="00AC56D6" w:rsidP="00AC56D6">
      <w:pPr>
        <w:pStyle w:val="TextoNormal"/>
      </w:pPr>
    </w:p>
    <w:p w:rsidR="00AC56D6" w:rsidRDefault="00AC56D6" w:rsidP="00AC56D6">
      <w:pPr>
        <w:pStyle w:val="TextoNormal"/>
      </w:pPr>
      <w:r>
        <w:t>En tercer lugar, se alega la vulneración del art. 33.3 CE. La disposición cuestionada, al incurrir en retroactividad prohibida constitucionalmente, provoca una objetiva privación de bienes y derechos en perjuicio de todos y cada uno de los afectados por la pérdida del derecho a la renovación de las ayudas a la adquisición de vivienda protegida, por lo que podría entenderse que se produce una violación objetiva de lo previsto en el art. 33.3 CE, sin que el efecto expropiatorio sea compensado por “la correspondiente indemnización”.</w:t>
      </w:r>
    </w:p>
    <w:p w:rsidR="00AC56D6" w:rsidRDefault="00AC56D6" w:rsidP="00AC56D6">
      <w:pPr>
        <w:pStyle w:val="TextoNormal"/>
      </w:pPr>
    </w:p>
    <w:p w:rsidR="00AC56D6" w:rsidRDefault="00AC56D6" w:rsidP="00AC56D6">
      <w:pPr>
        <w:pStyle w:val="TextoNormal"/>
      </w:pPr>
      <w:r>
        <w:t xml:space="preserve">Al respecto se señala que en la exposición de motivos de la Ley 4/2013 no figura justificación alguna que pueda motivar suficientemente la condición de </w:t>
      </w:r>
      <w:r w:rsidRPr="00AC56D6">
        <w:rPr>
          <w:i/>
        </w:rPr>
        <w:t>causa expropiandi</w:t>
      </w:r>
      <w:r>
        <w:t>, exigida por el art. 33.3 CE para amparar la privación del derecho a la misma. Se alega que el Tribunal Constitucional extiende la garantía expropiatoria del art. 33.3 CE, tanto a las medidas ablatorias del derecho de propiedad privada en sentido estricto como la privación de bienes y derechos individuales, es decir, de cualquier derecho subjetivo e incluso interés legítimo de contenido patrimonial (STC 227/1988, de 29 de noviembre, FJ 11).</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Mediante providencia de 6 de octubre de 2015, el Pleno del Tribunal Constitucional, a propuesta de la Sección Primera, acuerda admitir a trámite la presente cuestión y, conforme a lo dispuesto en el art. 10.1 c) LOTC, deferir a la Sala Primera el conocimiento de la misma;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esta resolución al Juzgado de lo Contencioso-Administrativo núm. 2 de Castellón de la Plana, a fin de que, de conformidad con lo dispuesto en el art. 35.3 LOTC, permanezca suspendido el proceso hasta que este Tribunal </w:t>
      </w:r>
      <w:r>
        <w:lastRenderedPageBreak/>
        <w:t>resuelva definitivamente la presente cuestión y publicar la incoación de la cuestión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El Presidente del Congreso de los Diputados, mediante escrito registrado el 15 de octubre de 2015, comunicó a este Tribunal que la Mesa de la Cámara adoptó el acuerdo de personarse en el proceso, ofreciendo su colaboración a los efectos del art. 88.1 LOTC. Lo mismo hizo el Presidente del Senado por escrito que tuvo entrada en el registro de este Tribunal el 27 de octubre de 2015.</w:t>
      </w:r>
    </w:p>
    <w:p w:rsidR="00AC56D6" w:rsidRDefault="00AC56D6" w:rsidP="00AC56D6">
      <w:pPr>
        <w:pStyle w:val="TextoNormal"/>
      </w:pPr>
    </w:p>
    <w:p w:rsidR="00AC56D6" w:rsidRDefault="00AC56D6" w:rsidP="00AC56D6">
      <w:pPr>
        <w:pStyle w:val="TextoNormal"/>
      </w:pPr>
      <w:r w:rsidRPr="00AC56D6">
        <w:rPr>
          <w:rStyle w:val="NumeroAFNegritaCaracter"/>
        </w:rPr>
        <w:t>6</w:t>
      </w:r>
      <w:r>
        <w:t>. El 30 de octubre de 2015 se personó en el proceso el Abogado del Estado e interesó la inadmisión de la cuestión y, subsidiariamente, su desestimación por las razones que a continuación se resumen.</w:t>
      </w:r>
    </w:p>
    <w:p w:rsidR="00AC56D6" w:rsidRDefault="00AC56D6" w:rsidP="00AC56D6">
      <w:pPr>
        <w:pStyle w:val="TextoNormal"/>
      </w:pPr>
    </w:p>
    <w:p w:rsidR="00AC56D6" w:rsidRDefault="00AC56D6" w:rsidP="00AC56D6">
      <w:pPr>
        <w:pStyle w:val="TextoNormal"/>
      </w:pPr>
      <w:r>
        <w:t>La primera alegación del Abogado del Estado interesa la inadmisión de la cuestión de inconstitucionalidad por no precisar claramente su objeto y, en relación con ello, no argumentar adecuadamente el juicio de relevancia. En cuanto a lo primero, indica que la argumentación del Auto se refiere únicamente al apartado a) de la disposición adicional segunda de la Ley 4/2013, en la medida en que solo se refiere a un caso de renovación de la subsidiación de un préstamo hipotecario. Según el Abogado del Estado, de ese presupuesto “puede deducirse que el planteamiento del órgano judicial evidencia que no está adecuadamente formulado el juicio de relevancia, porque es obligación del órgano judicial justificar qué precepto legal se cuestiona”. Esa insuficiencia del juicio de relevancia sería evidente en el caso de los apartados b), c) y d) de la disposición adicional segunda, pero también sería insuficiente en el caso del apartado a). A mayor abundamiento, el Abogado del Estado señala que “en la demanda que da origen al procedimiento, no se plantea la inconstitucionalidad de la norma, sino la retroacción de actuaciones porque entiende que la Administración debe resolver sobre el fondo de la solicitud del demandante, puesto que entiende improcedente una resolución de inadmisión de su solicitud” y que, por otra parte, “el auto de planteamiento, al reproducir las alegaciones del recurso de inconstitucionalidad núm. 5108/2013, pretende un juicio abstracto de la inconstitucionalidad de la Ley, lo que, conforme es criterio reiterado del Tribunal, no procede en este procedimiento”.</w:t>
      </w:r>
    </w:p>
    <w:p w:rsidR="00AC56D6" w:rsidRDefault="00AC56D6" w:rsidP="00AC56D6">
      <w:pPr>
        <w:pStyle w:val="TextoNormal"/>
      </w:pPr>
    </w:p>
    <w:p w:rsidR="00AC56D6" w:rsidRDefault="00AC56D6" w:rsidP="00AC56D6">
      <w:pPr>
        <w:pStyle w:val="TextoNormal"/>
      </w:pPr>
      <w:r>
        <w:t>En consecuencia, el Abogado del Estado entiende que la cuestión debería inadmitirse en su totalidad, o, en su caso, admitirse únicamente con el inciso señalado del apartado a) que parece que sería el aplicable al caso.</w:t>
      </w:r>
    </w:p>
    <w:p w:rsidR="00AC56D6" w:rsidRDefault="00AC56D6" w:rsidP="00AC56D6">
      <w:pPr>
        <w:pStyle w:val="TextoNormal"/>
      </w:pPr>
    </w:p>
    <w:p w:rsidR="00AC56D6" w:rsidRDefault="00AC56D6" w:rsidP="00AC56D6">
      <w:pPr>
        <w:pStyle w:val="TextoNormal"/>
      </w:pPr>
      <w:r>
        <w:t xml:space="preserve">En cuanto al fondo del asunto, el Abogado del Estado advierte que la identidad de argumentos del Auto con los de la demanda del recurso de inconstitucionalidad núm. 5108-2013 le permite adaptar las alegaciones entonces formuladas. Señala inicialmente que la justificación de la enmienda que dio origen a esta disposición se refiere a que los compromisos de gasto y obligaciones en materia de ayudas a la vivienda, provenientes de planes estatales anteriores, por su cuantía y duración —algunas hasta el año 2038— resultan insostenibles en un marco de restricciones presupuestarias y contribuyen al incremento automático del déficit, razones que justifican su limitación con carácter extraordinario. Así pues, el Abogado del Estado señala que el ahorro de recursos, como consecuencia de los ajustes en la subsidiación de préstamos, además de reducir el déficit, permite reorientar la política de vivienda pasando de un modelo que fomentaba la construcción y la adquisición de viviendas hacia otro que pone el énfasis en el alquiler y la rehabilitación de viviendas y edificios. Los </w:t>
      </w:r>
      <w:r>
        <w:lastRenderedPageBreak/>
        <w:t>ajustes aprobados también tienen en cuenta la bajada sustancial de los tipos de interés hipotecarios y de los precios de los alquileres en España. Los subsidios a los préstamos nacieron en un contexto hipotecario y de precios de la vivienda que nada tiene que ver con la situación actual. El plan estatal de vivienda y rehabilitación 2009-2012 y los anteriores se basaban en una lógica de planificación muy rígida que genera compromisos a muy largo plazo y que impide el control del presupuesto, produciendo “herencias” que se trasladan hacia el futuro de forma inflexible. Los ajustes introducidos en la Ley 4/2013 permiten cambiar el estado de cosas, a través del fomento del alquiler.</w:t>
      </w:r>
    </w:p>
    <w:p w:rsidR="00AC56D6" w:rsidRDefault="00AC56D6" w:rsidP="00AC56D6">
      <w:pPr>
        <w:pStyle w:val="TextoNormal"/>
      </w:pPr>
    </w:p>
    <w:p w:rsidR="00AC56D6" w:rsidRDefault="00AC56D6" w:rsidP="00AC56D6">
      <w:pPr>
        <w:pStyle w:val="TextoNormal"/>
      </w:pPr>
      <w:r>
        <w:t xml:space="preserve">El Abogado del Estado señala que los motivos de inconstitucionalidad alegados en el Auto de planteamiento tienen como soporte común la consideración de la subsidiación de los préstamos como un derecho ya adquirido por los interesados, de modo que la Ley lleva a cabo una verdadera expropiación sin indemnización de situaciones consolidadas y plenamente adquiridas. El Abogado del Estado comienza rechazando la conceptuación de la subsidiación de los préstamos de viviendas de protección oficial que realiza el recurso: dicha subsidiación consiste en una ayuda cuyo importe se descuenta de la cuantía del préstamo hipotecario convenido que el beneficiario ha formalizado con una entidad de crédito colaboradora con los planes estatales de vivienda. Para poder obtener la ayuda estatal, el beneficiario debe cumplir determinados requisitos relacionados con el nivel de ingresos y situación familiar en la que se encuentre. El periodo de tiempo inicial para poder percibir la ayuda, en cualquiera de los planes estatales de vivienda a los que se refiere el recurso de inconstitucionalidad, es de cinco años: ese periodo “podrá” ser ampliado por el mismo importe inicialmente concedido, por otro periodo de la misma duración mínima, en los términos previstos en el art. 23.2 del Real Decreto 801/2005, de 1 de julio, relativo al plan estatal 2005-2008. De ello se deduce, según el Abogado del Estado, que la renovación no tiene carácter automático o vinculante para la Administración, sino sustantividad propia y genera un nuevo procedimiento administrativo dirigido a la ampliación del periodo de subsidiación por otros cinco años. De hecho, la renovación debe ser solicitada por el propio beneficiario, quien debe acreditar de nuevo que cumple en ese momento todas las condiciones para poder obtener la prórroga de la subsidiación; en suma, se trata de un nuevo reconocimiento de la ayuda, mediante una nueva resolución, que la Administración puede o no conceder. Configurada así la renovación de la subsidiación del préstamo, la disposición adicional segunda de la Ley 4/2013 solo afecta a aquellos reconocimientos, tanto de nuevas subsidiaciones como de aquellas renovaciones, que deben acreditar </w:t>
      </w:r>
      <w:r w:rsidRPr="00AC56D6">
        <w:rPr>
          <w:i/>
        </w:rPr>
        <w:t>ex novo</w:t>
      </w:r>
      <w:r>
        <w:t xml:space="preserve"> los requisitos que se fijan en cada uno de los planes estatales de vivienda. Por lo tanto, los nuevos reconocimientos de subsidiación y las renovaciones de la subsidiación de préstamos no son derechos adquiridos sino expectativas de derecho. Por esa razón no existe vulneración alguna del principio de interdicción de la retroactividad de las normas ni del art. 33 CE. Lo que sí constituye una situación jurídica consolidada, no afectada por la Ley, es el periodo inicial de cinco años de ayuda de subsidiación reconocida a los adquirentes de viviendas protegidas.</w:t>
      </w:r>
    </w:p>
    <w:p w:rsidR="00AC56D6" w:rsidRDefault="00AC56D6" w:rsidP="00AC56D6">
      <w:pPr>
        <w:pStyle w:val="TextoNormal"/>
      </w:pPr>
    </w:p>
    <w:p w:rsidR="00AC56D6" w:rsidRDefault="00AC56D6" w:rsidP="00AC56D6">
      <w:pPr>
        <w:pStyle w:val="TextoNormal"/>
      </w:pPr>
      <w:r>
        <w:t xml:space="preserve">A continuación el Abogado del Estado analiza la pretendida vulneración del art. 9.3 CE, y señala que no concurren ninguno de los requisitos que exige la doctrina constitucional para apreciarla. En primer lugar, la norma no es retroactiva o solo es retroactiva en grado mínimo. En segundo lugar, no se restringe ningún derecho subjetivo en general y fundamental, como exige la jurisprudencia, puesto que el derecho a la vivienda no es un derecho fundamental. En tercer lugar, no se afecta a derechos subjetivos incorporados ya al patrimonio jurídico del beneficiario de la ayuda. Cuando termina el periodo inicial de cinco años, </w:t>
      </w:r>
      <w:r>
        <w:lastRenderedPageBreak/>
        <w:t>la ayuda no se incorpora al patrimonio jurídico del beneficiario. Y es el propio legislador el que ordena que no se produzca la renovación de la subsidiación de los préstamos.</w:t>
      </w:r>
    </w:p>
    <w:p w:rsidR="00AC56D6" w:rsidRDefault="00AC56D6" w:rsidP="00AC56D6">
      <w:pPr>
        <w:pStyle w:val="TextoNormal"/>
      </w:pPr>
    </w:p>
    <w:p w:rsidR="00AC56D6" w:rsidRDefault="00AC56D6" w:rsidP="00AC56D6">
      <w:pPr>
        <w:pStyle w:val="TextoNormal"/>
      </w:pPr>
      <w:r>
        <w:t>El Abogado del Estado también rechaza la alegada vulneración del art. 33.3 CE, por cuanto falta el presupuesto de base, la privación de un derecho, en los términos del art. 1 de la Ley de expropiación forzosa. Señala que la jurisprudencia, tanto del Tribunal Constitucional como del Tribunal Supremo, ha admitido la inexistencia de derechos indemnizatorios a cargo de las Administraciones públicas cuando las modificaciones normativas alteran situaciones jurídicas preexistentes no consolidadas, y que no procede indemnización cuando el derecho reconocido por la norma no está aún patrimonializado. Y pone como ejemplo la STC 6/1986, en la que el Tribunal Constitucional sentó el principio de que las normas que establecen exenciones o reducciones tributarias crean ciertamente situaciones jurídicas individualizadas a favor de los beneficiarios, pero el llamado derecho a la exención o bonificación tributarias es simplemente un elemento de la relación jurídica obligacional que vincula a la Administración y al contribuyente y no un derecho incorporado al patrimonio de los titulares. Partiendo de esa Sentencia, el Tribunal Supremo consolidó una jurisprudencia firme, según la cual no son “derechos adquiridos” las meras condiciones reglamentarias a las situaciones de ventaja que pudieran derivarse potencialmente del derecho objetivo, ya que tales “derechos”, por definición, no pueden ser derechos subjetivos o situaciones jurídicas individualizadas de poder concreto a consecuencia de una norma objetiva, sino a través de un acto jurídico singular que los confiere. Esa doctrina es aplicable a toda la legislación de vivienda protegida (estatal y autonómica) de acuerdo con la cual, en materia de vivienda de protección oficial, los adquirentes de viviendas no tienen derechos individuales, sino solo expectativas de derechos en relación con los beneficios o el estatuto jurídico especial de tales viviendas. Solo existe un acto declarativo de derechos: la concesión inicial de la ayuda. La normativa aplicable no crea un acto declarativo de derecho a la renovación automática de la ayuda.</w:t>
      </w:r>
    </w:p>
    <w:p w:rsidR="00AC56D6" w:rsidRDefault="00AC56D6" w:rsidP="00AC56D6">
      <w:pPr>
        <w:pStyle w:val="TextoNormal"/>
      </w:pPr>
    </w:p>
    <w:p w:rsidR="00AC56D6" w:rsidRDefault="00AC56D6" w:rsidP="00AC56D6">
      <w:pPr>
        <w:pStyle w:val="TextoNormal"/>
      </w:pPr>
      <w:r w:rsidRPr="00AC56D6">
        <w:rPr>
          <w:rStyle w:val="NumeroAFNegritaCaracter"/>
        </w:rPr>
        <w:t>7</w:t>
      </w:r>
      <w:r>
        <w:t>. El 18 de noviembre de 2015 presentó sus alegaciones la Fiscal General del Estado, interesando la desestimación de la cuestión por las razones que se resumen a continuación.</w:t>
      </w:r>
    </w:p>
    <w:p w:rsidR="00AC56D6" w:rsidRDefault="00AC56D6" w:rsidP="00AC56D6">
      <w:pPr>
        <w:pStyle w:val="TextoNormal"/>
      </w:pPr>
    </w:p>
    <w:p w:rsidR="00AC56D6" w:rsidRDefault="00AC56D6" w:rsidP="00AC56D6">
      <w:pPr>
        <w:pStyle w:val="TextoNormal"/>
      </w:pPr>
      <w:r>
        <w:t xml:space="preserve">Tras recoger los antecedentes del caso, alude a un posible defecto procesal en relación con el correcto cumplimiento del trámite de alegaciones que debe darse a las partes del proceso y al Ministerio Fiscal, de conformidad con lo previsto en el art. 35.2 LOTC, pues, según el Ministerio público, no es posible conocer si se dio el traslado efectivo para alegaciones a las partes de la providencia de 4 de mayo de 2015 y no consta tampoco si estas presentaron escrito de alegaciones o si dejaron precluir el trámite sin presentarlo. En el supuesto en el que no se hubiera notificado a las partes la providencia de fecha 4 de mayo de 2015, y su traslado para alegaciones, habría que entender que ese trámite no fue correctamente realizado. Por último y en relación también con los presupuestos procesales, la Fiscal General del Estado pone de manifiesto que el Juez </w:t>
      </w:r>
      <w:r w:rsidRPr="00AC56D6">
        <w:rPr>
          <w:i/>
        </w:rPr>
        <w:t>a quo</w:t>
      </w:r>
      <w:r>
        <w:t xml:space="preserve"> no ha realizado, formalmente, una correcta identificación de la norma legal, respecto de la que se plantean las dudas de validez constitucional, puesto que tanto en las dos providencias como en el Auto de planteamiento se identifica la disposición adicional segunda de la Ley 4/2013 en su totalidad. No obstante, de los propios razonamientos jurídicos del Auto de planteamiento y de la pretensión deducida en el proceso del que trae causa la cuestión es posible deducir, que solo el apartado a) de la citada disposición adicional segunda es objeto de la presente cuestión, al tratarse del precepto que se refiere al régimen de las ayudas de subsidiación de préstamos.</w:t>
      </w:r>
    </w:p>
    <w:p w:rsidR="00AC56D6" w:rsidRDefault="00AC56D6" w:rsidP="00AC56D6">
      <w:pPr>
        <w:pStyle w:val="TextoNormal"/>
      </w:pPr>
    </w:p>
    <w:p w:rsidR="00AC56D6" w:rsidRDefault="00AC56D6" w:rsidP="00AC56D6">
      <w:pPr>
        <w:pStyle w:val="TextoNormal"/>
      </w:pPr>
      <w:r>
        <w:t>En cuanto al examen de fondo de la cuestión suscitada, señala el Ministerio público que la cuestión debatida en el proceso de origen es la aplicación que se hace por la resolución administrativa impugnada en el recurso contencioso de la disposición adicional segunda de la Ley 4/2013, para inadmitir la solicitud de prórroga de la ayuda de subsidiación del préstamo que fue presentada por el recurrente con posterioridad a la entrada en vigor de la Ley 4/2013, y trascurrido el periodo inicial de los cinco años desde que la subsidiación se le reconoció por el Servicio Territorial de la Vivienda de Castellón. Resulta aplicable a esta solicitud el art. 23 del Real Decreto 801/2005, de 1 de julio, por el que se aprobó el plan estatal de la vivienda 2005-2008, según el cual se le reconocía la ayuda de la subsidiación por un periodo inicial de cinco años, susceptible de ampliación por otros cinco, si se solicitaba por el beneficiario y acreditaba que cumplía las condiciones económicas requeridas para ello. Tras aludir a la doctrina constitucional en la materia, sintetizada en las SSTC 112/2006, de 5 abril, y 49/2015, de 5 marzo, señala que el pronunciamiento que ha de darse sobre la supuesta vulneración constitucional del principio de irretroactividad de las disposiciones restrictivas de derechos en la que incurriría el apartado a) de la disposición adicional segunda, está sujeto al examen de constitucionalidad que, sobre esta norma legal y la posible infracción del principio de irretroactividad, se contiene en la reciente STC 216/2015, de 22 de octubre, pues en la presente cuestión se observa una importante identidad en los fundamentos sobre los que se plantean las dudas de constitucionalidad respecto a lo establecido en el apartado a) de la referida disposición adicional segunda. Por ello, la Fiscal General del Estado considera que en el proceso de origen de la presente cuestión no aparece ninguna particularidad que permita apartarse del criterio que establece la STC 216/2015 en la que se rechaza que el apartado a) de la disposición adicional segunda infrinja el principio de irretroactividad de las disposiciones restrictivas de derechos individuales. Por tanto, han de acogerse los razonamientos del fundamento jurídico octavo de dicha sentencia que descartan que la referida disposición legal suponga una retroactividad auténtica en cuanto proyecte sus efectos respecto de los derechos producidos y adquiridos conforme a la legislación anterior.</w:t>
      </w:r>
    </w:p>
    <w:p w:rsidR="00AC56D6" w:rsidRDefault="00AC56D6" w:rsidP="00AC56D6">
      <w:pPr>
        <w:pStyle w:val="TextoNormal"/>
      </w:pPr>
    </w:p>
    <w:p w:rsidR="00AC56D6" w:rsidRDefault="00AC56D6" w:rsidP="00AC56D6">
      <w:pPr>
        <w:pStyle w:val="TextoNormal"/>
      </w:pPr>
      <w:r>
        <w:t>La supuesta vulneración de las garantías expropiatorias contenidas en el art 33.3 CE trae causa, al igual que en el recurso de inconstitucionalidad, de la propia fundamentación en la que se sustenta, en ambos procesos constitucionales, la infracción del principio de irretroactividad de las normas restrictivas de derechos. Como se señala en el fundamento jurídico noveno de la STC 216/2015, no cumpliéndose el presupuesto necesario para que entre en juego la protección que otorga este precepto, puesto que la renovación o prórroga del derecho de subsidiación no es un derecho adquirido e incorporado al patrimonio del sujeto, sino una expectativa de derecho, para cuya consolidación será necesario que se produzca la declaración administrativa del derecho a la renovación, tras los trámites establecidos, no cabe tampoco estimar que por el citado párrafo cuarto del apartado a) de la norma cuestionada se vulneren las garantías expropiatorias que establece el art. 33.3 CE.</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10 de diciembre de 2015 se señaló para deliberación y votación de la presente Sentencia el día 14 del mismo mes y año.</w:t>
      </w:r>
    </w:p>
    <w:p w:rsidR="00AC56D6" w:rsidRDefault="00AC56D6" w:rsidP="00AC56D6">
      <w:pPr>
        <w:pStyle w:val="TextoNormal"/>
      </w:pPr>
    </w:p>
    <w:p w:rsidR="00AC56D6" w:rsidRDefault="00AC56D6" w:rsidP="00AC56D6">
      <w:pPr>
        <w:pStyle w:val="TextoNormalNegritaCentrado"/>
        <w:keepNext/>
      </w:pPr>
      <w:r>
        <w:lastRenderedPageBreak/>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Juzgado de lo Contencioso-administrativo núm. 2 de Castellón de la Plana plantea cuestión de inconstitucionalidad sobre la disposición adicional segunda de la Ley 4/2013, de 4 de junio, de medidas de flexibilización y fomento del mercado del alquiler de viviendas.</w:t>
      </w:r>
    </w:p>
    <w:p w:rsidR="00AC56D6" w:rsidRDefault="00AC56D6" w:rsidP="00AC56D6">
      <w:pPr>
        <w:pStyle w:val="TextoNormal"/>
      </w:pPr>
    </w:p>
    <w:p w:rsidR="00AC56D6" w:rsidRDefault="00AC56D6" w:rsidP="00AC56D6">
      <w:pPr>
        <w:pStyle w:val="TextoNormal"/>
      </w:pPr>
      <w:r>
        <w:t>La disposición adicional segunda tiene la siguiente redacción:</w:t>
      </w:r>
    </w:p>
    <w:p w:rsidR="00AC56D6" w:rsidRDefault="00AC56D6" w:rsidP="00AC56D6">
      <w:pPr>
        <w:pStyle w:val="TextoNormal"/>
      </w:pPr>
    </w:p>
    <w:p w:rsidR="00AC56D6" w:rsidRDefault="00AC56D6" w:rsidP="00AC56D6">
      <w:pPr>
        <w:pStyle w:val="TextoNormal"/>
      </w:pPr>
      <w:r>
        <w:t>“a) Se mantienen las ayudas de subsidiación de préstamos convenidos que se vinieran percibiendo.</w:t>
      </w:r>
    </w:p>
    <w:p w:rsidR="00AC56D6" w:rsidRDefault="00AC56D6" w:rsidP="00AC56D6">
      <w:pPr>
        <w:pStyle w:val="TextoNormal"/>
      </w:pPr>
    </w:p>
    <w:p w:rsidR="00AC56D6" w:rsidRDefault="00AC56D6" w:rsidP="00AC56D6">
      <w:pPr>
        <w:pStyle w:val="TextoNormal"/>
      </w:pPr>
      <w:r>
        <w:t>Asimismo se mantienen las ayudas de subsidiación de préstamos convenidos reconocidas, con anterioridad al 15 de julio de 2012, que cuenten con la conformidad del Ministerio de Fomento al préstamo, siempre que éste se formalice por el beneficiario en el plazo máximo de dos meses desde la entrada en vigor de esta Ley.</w:t>
      </w:r>
    </w:p>
    <w:p w:rsidR="00AC56D6" w:rsidRDefault="00AC56D6" w:rsidP="00AC56D6">
      <w:pPr>
        <w:pStyle w:val="TextoNormal"/>
      </w:pPr>
    </w:p>
    <w:p w:rsidR="00AC56D6" w:rsidRDefault="00AC56D6" w:rsidP="00AC56D6">
      <w:pPr>
        <w:pStyle w:val="TextoNormal"/>
      </w:pPr>
      <w:r>
        <w:t>Quedan suprimidas y sin efectos el resto de ayudas de subsidiación al préstamo reconocidas dentro del marco de los Planes Estatales de Vivienda.</w:t>
      </w:r>
    </w:p>
    <w:p w:rsidR="00AC56D6" w:rsidRDefault="00AC56D6" w:rsidP="00AC56D6">
      <w:pPr>
        <w:pStyle w:val="TextoNormal"/>
      </w:pPr>
    </w:p>
    <w:p w:rsidR="00AC56D6" w:rsidRDefault="00AC56D6" w:rsidP="00AC56D6">
      <w:pPr>
        <w:pStyle w:val="TextoNormal"/>
      </w:pPr>
      <w:r>
        <w:t>No se admitirán nuevos reconocimientos de ayudas de subsidiación de préstamos que procedan de concesiones, renovaciones, prórrogas, subrogaciones o de cualquier otra actuación protegida de los planes estatales de vivienda.</w:t>
      </w:r>
    </w:p>
    <w:p w:rsidR="00AC56D6" w:rsidRDefault="00AC56D6" w:rsidP="00AC56D6">
      <w:pPr>
        <w:pStyle w:val="TextoNormal"/>
      </w:pPr>
    </w:p>
    <w:p w:rsidR="00AC56D6" w:rsidRDefault="00AC56D6" w:rsidP="00AC56D6">
      <w:pPr>
        <w:pStyle w:val="TextoNormal"/>
      </w:pPr>
      <w:r>
        <w:t>b) Las Ayudas Estatales Directas a la Entrada que subsisten conforme a la disposición transitoria primera del Real Decreto 1713/2010, de 17 de diciembre, sólo podrán obtenerse cuando cuenten con la conformidad expresa del Ministerio de Fomento a la entrada en vigor de esta Ley, y siempre que el beneficiario formalice el préstamo en un plazo de dos meses desde la entrada en vigor de la misma.</w:t>
      </w:r>
    </w:p>
    <w:p w:rsidR="00AC56D6" w:rsidRDefault="00AC56D6" w:rsidP="00AC56D6">
      <w:pPr>
        <w:pStyle w:val="TextoNormal"/>
      </w:pPr>
    </w:p>
    <w:p w:rsidR="00AC56D6" w:rsidRDefault="00AC56D6" w:rsidP="00AC56D6">
      <w:pPr>
        <w:pStyle w:val="TextoNormal"/>
      </w:pPr>
      <w:r>
        <w:t>c) Se mantienen las ayudas del programa de inquilinos, ayudas a las áreas de rehabilitación integral y renovación urbana, rehabilitación aislada y programa RENOVE, acogidas a los Planes Estatales de Vivienda hasta que sean efectivas las nuevas líneas de ayudas del Plan Estatal de Fomento del Alquiler de viviendas, la rehabilitación edificatoria y la regeneración y renovación urbanas, 2013-2016. Se suprimen y quedan sin efecto el resto de subvenciones acogidas a los Planes Estatales de Vivienda.</w:t>
      </w:r>
    </w:p>
    <w:p w:rsidR="00AC56D6" w:rsidRDefault="00AC56D6" w:rsidP="00AC56D6">
      <w:pPr>
        <w:pStyle w:val="TextoNormal"/>
      </w:pPr>
    </w:p>
    <w:p w:rsidR="00AC56D6" w:rsidRDefault="00AC56D6" w:rsidP="00AC56D6">
      <w:pPr>
        <w:pStyle w:val="TextoNormal"/>
      </w:pPr>
      <w:r>
        <w:t>d) Las ayudas de Renta Básica de Emancipación reguladas en el Real Decreto 1472/2007, de 2 de noviembre, que subsisten a la supresión realizada por el Real Decreto-ley 20/2011, de 30 de diciembre, y por el Real Decreto-ley 20/2012, de 13 de julio, se mantienen hasta que sean efectivas las nuevas líneas de ayudas, del Plan Estatal de Fomento del Alquiler de viviendas, la rehabilitación edificatoria y la regeneración y renovación urbanas, 2013-2016.”</w:t>
      </w:r>
    </w:p>
    <w:p w:rsidR="00AC56D6" w:rsidRDefault="00AC56D6" w:rsidP="00AC56D6">
      <w:pPr>
        <w:pStyle w:val="TextoNormal"/>
      </w:pPr>
    </w:p>
    <w:p w:rsidR="00AC56D6" w:rsidRDefault="00AC56D6" w:rsidP="00AC56D6">
      <w:pPr>
        <w:pStyle w:val="TextoNormal"/>
      </w:pPr>
      <w:r>
        <w:t xml:space="preserve">El órgano judicial considera que la mencionada disposición incurre en vulneración del art. 9.3 CE, al establecer una retroactividad auténtica o de grado máximo y que, al afectar a situaciones ya perfeccionadas, vulnera el principio constitucional de irretroactividad de las disposiciones restrictivas de derechos individuales, así como del art. 33.3 CE, en cuanto que </w:t>
      </w:r>
      <w:r>
        <w:lastRenderedPageBreak/>
        <w:t>la disposición cuestionada tiene contenido expropiatorio, pues estaría privando del derecho a la renovación de las ayudas de subsidiación.</w:t>
      </w:r>
    </w:p>
    <w:p w:rsidR="00AC56D6" w:rsidRDefault="00AC56D6" w:rsidP="00AC56D6">
      <w:pPr>
        <w:pStyle w:val="TextoNormal"/>
      </w:pPr>
    </w:p>
    <w:p w:rsidR="00AC56D6" w:rsidRDefault="00AC56D6" w:rsidP="00AC56D6">
      <w:pPr>
        <w:pStyle w:val="TextoNormal"/>
      </w:pPr>
      <w:r>
        <w:t>Como se ha dejado constancia en los antecedentes, tanto el Abogado del Estado como el Fiscal General del Estado interesan la desestimación de la cuestión, por entender que no concurren las vulneraciones constitucionales apreciadas por el órgano judicial.</w:t>
      </w:r>
    </w:p>
    <w:p w:rsidR="00AC56D6" w:rsidRDefault="00AC56D6" w:rsidP="00AC56D6">
      <w:pPr>
        <w:pStyle w:val="TextoNormal"/>
      </w:pPr>
    </w:p>
    <w:p w:rsidR="00AC56D6" w:rsidRDefault="00AC56D6" w:rsidP="00AC56D6">
      <w:pPr>
        <w:pStyle w:val="TextoNormal"/>
      </w:pPr>
      <w:r w:rsidRPr="00AC56D6">
        <w:rPr>
          <w:rStyle w:val="NumeroAFNegritaCaracter"/>
        </w:rPr>
        <w:t>2</w:t>
      </w:r>
      <w:r>
        <w:t>. Antes de resolver la presente cuestión, hemos de examinar las cuestiones de orden procesal que plantean tanto el Abogado del Estado como la Fiscal General del Estado.</w:t>
      </w:r>
    </w:p>
    <w:p w:rsidR="00AC56D6" w:rsidRDefault="00AC56D6" w:rsidP="00AC56D6">
      <w:pPr>
        <w:pStyle w:val="TextoNormal"/>
      </w:pPr>
    </w:p>
    <w:p w:rsidR="00AC56D6" w:rsidRDefault="00AC56D6" w:rsidP="00AC56D6">
      <w:pPr>
        <w:pStyle w:val="TextoNormal"/>
      </w:pPr>
      <w:r>
        <w:t>No podemos tener en cuenta, en primer lugar, las dudas formuladas por esta última en relación a la adecuada realización del trámite de audiencia basadas en la falta de alegaciones de las partes. Como se expone en los antecedentes, la providencia de 4 de mayo de 2015, procede a subsanar los defectos advertidos por el Ministerio Fiscal en la providencia inicial de 25 de marzo de 2015, otorgando un plazo de diez días para que se realicen alegaciones, habiendo certificado el órgano judicial que, en dicho plazo no se formularon alegaciones ni por la parte demandante ni por la demandada. Por tanto, hay que concluir que el requisito de la previa audiencia a las partes y al Ministerio Fiscal acerca de la pertinencia de plantear la cuestión de inconstitucionalidad [art. 35.2 de la Ley Orgánica del Tribunal Constitucional (LOTC)], debe considerarse cumplido.</w:t>
      </w:r>
    </w:p>
    <w:p w:rsidR="00AC56D6" w:rsidRDefault="00AC56D6" w:rsidP="00AC56D6">
      <w:pPr>
        <w:pStyle w:val="TextoNormal"/>
      </w:pPr>
    </w:p>
    <w:p w:rsidR="00AC56D6" w:rsidRDefault="00AC56D6" w:rsidP="00AC56D6">
      <w:pPr>
        <w:pStyle w:val="TextoNormal"/>
      </w:pPr>
      <w:r>
        <w:t>En segundo lugar, tenemos que coincidir con lo alegado tanto por el Abogado del Estado como por la Fiscal General del Estado en lo referido a la delimitación precisa del objeto de la presente cuestión. Aunque el órgano judicial la formula respecto a la disposición adicional segunda en su totalidad, lo cierto es que solo una parte de ella resulta aplicable y relevante para el fallo del procedimiento a quo, centrado en la denegación de una solicitud de prórroga de la subsidiación de un préstamo hipotecario concedida conforme al Real Decreto 801/2005, de 1 de julio, por el que se aprueba el plan estatal 2005-2008, para favorecer el acceso de los ciudadanos a la vivienda. De lo anterior resulta que el objeto de la cuestión debe ceñirse exclusivamente al párrafo cuarto de la letra a), que establece lo siguiente: “No se admitirán nuevos reconocimientos de ayudas de subsidiación de préstamos que procedan de concesiones, renovaciones, prórrogas, subrogaciones o de cualquier otra actuación protegida de los planes estatales de vivienda”.</w:t>
      </w:r>
    </w:p>
    <w:p w:rsidR="00AC56D6" w:rsidRDefault="00AC56D6" w:rsidP="00AC56D6">
      <w:pPr>
        <w:pStyle w:val="TextoNormal"/>
      </w:pPr>
    </w:p>
    <w:p w:rsidR="00AC56D6" w:rsidRDefault="00AC56D6" w:rsidP="00AC56D6">
      <w:pPr>
        <w:pStyle w:val="TextoNormal"/>
      </w:pPr>
      <w:r>
        <w:t xml:space="preserve">Circunscrita en tales términos la presente cuestión, debemos valorar ahora si, como sugiere el Abogado del Estado, se ha incumplido el requisito relativo a la justificación de que la decisión del proceso </w:t>
      </w:r>
      <w:r w:rsidRPr="00AC56D6">
        <w:rPr>
          <w:i/>
        </w:rPr>
        <w:t>a quo</w:t>
      </w:r>
      <w:r>
        <w:t xml:space="preserve"> depende de la validez de la norma cuestionada (art. 35.2 LOTC), esto es, el denominado juicio de relevancia. Aunque dicho juicio de relevancia no se haya formulado con gran detalle, de las consideraciones que efectúa el órgano judicial en el Auto de planteamiento se deduce con claridad que considera que la disposición adicional segunda de la Ley 4/2013 es aplicable al supuesto de hecho, en cuanto que proporciona la base jurídica del acto administrativo de inadmisión de la prórroga de subsidiación. Asimismo, afirma que la disposición es relevante para resolver el litigio, pues si se declara que la disposición no es inconstitucional tendría que desestimar el recurso contencioso administrativo presentado, y que si, alternativamente, se declara inconstitucional, tendría que estimarlo. Por tanto, el juicio de relevancia previsto en el art. 35.2 LOTC, entendido en los términos en que ha sido definido por este Tribunal (por todos, AATC 93/1999, de 13 de abril, FJ 3, y 21/2001, de 30 de enero, FJ 1), y que, “constituye una de las más esenciales </w:t>
      </w:r>
      <w:r>
        <w:lastRenderedPageBreak/>
        <w:t>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201/2011, de 13 de diciembre, FJ 2, entre otras muchas), ha de considerarse adecuadamente formulado.</w:t>
      </w:r>
    </w:p>
    <w:p w:rsidR="00AC56D6" w:rsidRDefault="00AC56D6" w:rsidP="00AC56D6">
      <w:pPr>
        <w:pStyle w:val="TextoNormal"/>
      </w:pPr>
    </w:p>
    <w:p w:rsidR="00AC56D6" w:rsidRDefault="00AC56D6" w:rsidP="00AC56D6">
      <w:pPr>
        <w:pStyle w:val="TextoNormal"/>
      </w:pPr>
      <w:r w:rsidRPr="00AC56D6">
        <w:rPr>
          <w:rStyle w:val="NumeroAFNegritaCaracter"/>
        </w:rPr>
        <w:t>3</w:t>
      </w:r>
      <w:r>
        <w:t>. Como han advertido el Abogado del Estado y la Fiscal General del Estado, la presente cuestión presenta una fundamental coincidencia en su planteamientos con el recurso de inconstitucionalidad tramitado bajo el número 5108-2013, resuelto por la reciente STC 216/2015, de 22 de octubre, cuya doctrina, resulta, por tanto, de directa aplicación al presente supuesto que nos ocupa, convirtiéndose en parámetro de referencia para resolverlo.</w:t>
      </w:r>
    </w:p>
    <w:p w:rsidR="00AC56D6" w:rsidRDefault="00AC56D6" w:rsidP="00AC56D6">
      <w:pPr>
        <w:pStyle w:val="TextoNormal"/>
      </w:pPr>
    </w:p>
    <w:p w:rsidR="00AC56D6" w:rsidRDefault="00AC56D6" w:rsidP="00AC56D6">
      <w:pPr>
        <w:pStyle w:val="TextoNormal"/>
      </w:pPr>
      <w:r>
        <w:t>En efecto, por lo que hace a la denunciada vulneración del art. 9.3 CE, en la citada STC 216/2015, FJ 8, respecto al inciso ahora cuestionado, se apreció que, con arreglo al régimen establecido por la normativa vigente en el momento de resolver el recurso (art. 43.3 del Real Decreto 2066/2008) la subsidiación se concedía por un período inicial de 5 años, que podía ser renovado durante otro período de igual duración y por la cuantía correspondiente, con arreglo a dos condiciones básicas: i) que el beneficiario de la subsidiación solicitase su renovación dentro del quinto año del periodo inicial y ii) que acreditase que seguía reuniendo las condiciones requeridas para la concesión de la ayuda. Del tenor del citado artículo 43.3 (“podrá”) se deducía que la concesión de la renovación no es un acto reglado y que, en consecuencia, el beneficiario de la ayuda no tiene derecho a su renovación. Así la STC 216/2015 de 22 de octubre concluía que “de acuerdo con la disposición adicional impugnada en este proceso, las solicitudes de renovación presentadas y no resueltas con anterioridad a la entrada en vigor de la Ley 4/2013, así como las solicitudes que se presenten con posterioridad, pasan a regirse por ese nuevo texto legal, que excluye la renovación. El párrafo cuarto del apartado a) regula, por tanto, unas situaciones jurídicas aún no producidas, con una clara vocación de futuro, al no existir un derecho subjetivo a la renovación incorporado al patrimonio del beneficiario de las ayudas de subsidiación con anterioridad a la entrada en vigor de la Ley 4/2013”. Lo que, a su vez, determinaba la procedencia de “excluir la presencia de efectos retroactivos constitucionalmente prohibidos en el apartado a) de la disposición impugnada, ya que su regulación se proyecta a los efectos futuros de situaciones jurídicas que aún no se han producido” así como que “al no concurrir el presupuesto de hecho del que parte la alegada vulneración del principio constitucional contemplado en el art. 9.3 CE tampoco es necesario ya examinar si, como consecuencia del pretendido efecto retroactivo de la disposición impugnada, se han restringido derechos individuales incorporados al patrimonio jurídico de los beneficiarios de las ayudas”.</w:t>
      </w:r>
    </w:p>
    <w:p w:rsidR="00AC56D6" w:rsidRDefault="00AC56D6" w:rsidP="00AC56D6">
      <w:pPr>
        <w:pStyle w:val="TextoNormal"/>
      </w:pPr>
    </w:p>
    <w:p w:rsidR="00AC56D6" w:rsidRDefault="00AC56D6" w:rsidP="00AC56D6">
      <w:pPr>
        <w:pStyle w:val="TextoNormal"/>
      </w:pPr>
      <w:r>
        <w:t xml:space="preserve">Dicha doctrina, relativa al caso de las renovaciones, en el que los recurrentes se centraban, ha de extenderse al supuesto de la denegación de una prórroga, en cuanto que su </w:t>
      </w:r>
      <w:r w:rsidRPr="00AC56D6">
        <w:rPr>
          <w:i/>
        </w:rPr>
        <w:t>ratio decidendi</w:t>
      </w:r>
      <w:r>
        <w:t xml:space="preserve"> le es perfectamente aplicable. Al igual que en el caso de la STC 216/2015 de 22 de octubre, la norma reguladora de las ayudas cuya prórroga se solicita, en este caso el art. 23 del Real Decreto 801/2005, de 1 de julio, por el que se aprueba el tantas veces citado plan estatal 2005-2008, establecía que el régimen de renovación de la ayuda inicialmente concedida no era automático (“podrá ser ampliada”) y lo sujetaba a la existencia de una previa solicitud y al mantenimiento de los requisitos exigidos para su concesión inicial. Ello determina que la prórroga no sea un acto reglado, sin que el beneficiario de la ayuda tenga derecho a la renovación o prórroga.</w:t>
      </w:r>
    </w:p>
    <w:p w:rsidR="00AC56D6" w:rsidRDefault="00AC56D6" w:rsidP="00AC56D6">
      <w:pPr>
        <w:pStyle w:val="TextoNormal"/>
      </w:pPr>
    </w:p>
    <w:p w:rsidR="00AC56D6" w:rsidRDefault="00AC56D6" w:rsidP="00AC56D6">
      <w:pPr>
        <w:pStyle w:val="TextoNormal"/>
      </w:pPr>
      <w:r>
        <w:t>Por ello este primer motivo de inconstitucionalidad ha de ser desestimado.</w:t>
      </w:r>
    </w:p>
    <w:p w:rsidR="00AC56D6" w:rsidRDefault="00AC56D6" w:rsidP="00AC56D6">
      <w:pPr>
        <w:pStyle w:val="TextoNormal"/>
      </w:pPr>
    </w:p>
    <w:p w:rsidR="00AC56D6" w:rsidRDefault="00AC56D6" w:rsidP="00AC56D6">
      <w:pPr>
        <w:pStyle w:val="TextoNormal"/>
      </w:pPr>
      <w:r w:rsidRPr="00AC56D6">
        <w:rPr>
          <w:rStyle w:val="NumeroAFNegritaCaracter"/>
        </w:rPr>
        <w:t>4</w:t>
      </w:r>
      <w:r>
        <w:t>. La denunciada infracción del art. 33.3 CE ha de ser también rechazada por las mismas razones expresadas en la STC 216/2015, FJ 9, en la que este Tribunal la descartó “por inexistencia del presupuesto de base imprescindible para que entre en juego la protección que dispensa el precepto constitucional invocado”.</w:t>
      </w:r>
    </w:p>
    <w:p w:rsidR="00AC56D6" w:rsidRDefault="00AC56D6" w:rsidP="00AC56D6">
      <w:pPr>
        <w:pStyle w:val="TextoNormal"/>
      </w:pPr>
    </w:p>
    <w:p w:rsidR="00AC56D6" w:rsidRDefault="00AC56D6" w:rsidP="00AC56D6">
      <w:pPr>
        <w:pStyle w:val="TextoNormal"/>
      </w:pPr>
      <w:r>
        <w:t>Ya hemos comprobado que de la normativa aplicable se desprende que la renovación de las ayudas de subsidiación no es automática, sino que es preciso que su beneficiario solicite su renovación dentro del quinto año del periodo inicial y que acredite que sigue reuniendo las condiciones requeridas para la concesión de la ayuda. De esta manera, quien disfrutaba de una ayuda de subsidiación al amparo del Real Decreto 801/2005 no tenía un derecho subjetivo a la renovación, sino una mera expectativa siempre que cumpliera las condiciones exigidas por la normativa. Así, tal como señala la STC 216/2015, FJ 9, “esa mera expectativa se tiene que consolidar mediante el correspondiente acto declarativo de derechos —en este caso la decisión de autorizar la renovación— adoptado por el órgano administrativo competente. En consecuencia, cuando se modifican las condiciones de obtención de la renovación o simplemente se suprime esa posibilidad, los beneficiarios de ayudas de subsidiación no pueden oponer un derecho subjetivo o un interés legítimo de carácter patrimonial incorporado a su patrimonio. Por tanto, debemos declarar que la disposición impugnada no priva de derechos subjetivos o intereses legítimos de carácter patrimonial incorporados al patrimonio jurídico de los beneficiarios de las ayudas y, por tanto, no resulta aplicable la protección constitucional que contempla el art. 33.3 CE”.</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Desestimar la presente cuestión de inconstitucionalidad.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catorce de diciembre de dos mil quince.</w:t>
      </w:r>
    </w:p>
    <w:p w:rsidR="00AC56D6" w:rsidRDefault="00AC56D6" w:rsidP="00AC56D6">
      <w:pPr>
        <w:pStyle w:val="ParrafoNormal"/>
      </w:pPr>
    </w:p>
    <w:p w:rsidR="00AC56D6" w:rsidRDefault="00AC56D6" w:rsidP="00AC56D6">
      <w:pPr>
        <w:pStyle w:val="TextoNormalNegritaCentrado"/>
        <w:keepNext/>
      </w:pPr>
      <w:r>
        <w:t>Voto particular que formula el Magistrado don Juan Antonio Xiol Ríos respecto de la Sentencia dictada en la cuestión de inconstitucionalidad núm. 4485-2015.</w:t>
      </w:r>
    </w:p>
    <w:p w:rsidR="00AC56D6" w:rsidRDefault="00AC56D6" w:rsidP="00AC56D6">
      <w:pPr>
        <w:pStyle w:val="TextoNormalNegritaCentrado"/>
        <w:keepNext/>
      </w:pPr>
    </w:p>
    <w:p w:rsidR="00AC56D6" w:rsidRDefault="00AC56D6" w:rsidP="00AC56D6">
      <w:pPr>
        <w:pStyle w:val="TextoNormal"/>
      </w:pPr>
      <w:r>
        <w:t>Con el máximo respeto a la opinión mayoritaria de mis compañeros de Sala en la que se sustenta la Sentencia, manifiesto mi discrepancia con la fundamentación jurídica y el fallo de esta. Considero que debería haber sido estimada la presente cuestión de inconstitucionalidad por la vulneración del principio de seguridad jurídica en la vertiente que garantiza la confianza legítima (art. 9.3 CE).</w:t>
      </w:r>
    </w:p>
    <w:p w:rsidR="00AC56D6" w:rsidRDefault="00AC56D6" w:rsidP="00AC56D6">
      <w:pPr>
        <w:pStyle w:val="TextoNormal"/>
      </w:pPr>
    </w:p>
    <w:p w:rsidR="00AC56D6" w:rsidRDefault="00AC56D6" w:rsidP="00AC56D6">
      <w:pPr>
        <w:pStyle w:val="TextoNormal"/>
      </w:pPr>
      <w:r>
        <w:t>Las razones de mi discrepancia son coincidentes con las que ya fueron expuestas en el voto particular formulado a la STC 216/2015, de 22 de octubre, a la que para evitar reiteraciones innecesarias me remito.</w:t>
      </w:r>
    </w:p>
    <w:p w:rsidR="00AC56D6" w:rsidRDefault="00AC56D6" w:rsidP="00AC56D6">
      <w:pPr>
        <w:pStyle w:val="TextoNormal"/>
      </w:pPr>
    </w:p>
    <w:p w:rsidR="00AC56D6" w:rsidRDefault="00AC56D6" w:rsidP="00AC56D6">
      <w:pPr>
        <w:pStyle w:val="TextoNormal"/>
      </w:pPr>
      <w:r>
        <w:t>Madrid, a catorce de diciembre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24" w:name="SENTENCIA_2015_268"/>
      <w:r>
        <w:lastRenderedPageBreak/>
        <w:t>SENTENCIA 268/2015, de 14 de diciembre de 2015</w:t>
      </w:r>
    </w:p>
    <w:bookmarkEnd w:id="124"/>
    <w:p w:rsidR="00AC56D6" w:rsidRDefault="00AC56D6" w:rsidP="00AC56D6">
      <w:pPr>
        <w:pStyle w:val="TtuloResolucin"/>
      </w:pPr>
      <w:r>
        <w:t>Sala Segunda</w:t>
      </w:r>
    </w:p>
    <w:p w:rsidR="00AC56D6" w:rsidRDefault="00AC56D6" w:rsidP="00AC56D6">
      <w:pPr>
        <w:pStyle w:val="TtuloBOE"/>
      </w:pPr>
      <w:r>
        <w:t>(BOE núm. 19, de 22 de enero de 2016)</w:t>
      </w:r>
    </w:p>
    <w:p w:rsidR="00AC56D6" w:rsidRDefault="00AC56D6" w:rsidP="00AC56D6">
      <w:pPr>
        <w:pStyle w:val="TextoNormalCentrado"/>
      </w:pPr>
      <w:r>
        <w:t>ECLI:ES:TC:2015:268</w:t>
      </w:r>
    </w:p>
    <w:p w:rsidR="00AC56D6" w:rsidRDefault="00AC56D6" w:rsidP="00AC56D6">
      <w:pPr>
        <w:pStyle w:val="TextoNormalCentrado"/>
      </w:pPr>
    </w:p>
    <w:p w:rsidR="00AC56D6" w:rsidRDefault="00AC56D6" w:rsidP="00AC56D6">
      <w:pPr>
        <w:pStyle w:val="SntesisDescriptiva"/>
      </w:pPr>
      <w:r>
        <w:t>Cuestión de inconstitucionalidad 4486-2015. Planteada por el Juzgado de lo Contencioso-Administrativo núm. 2 de Castellón de la Plana sobre la disposición adicional segunda de la Ley 4/2013, de 4 de junio, de medidas de flexibilización y fomento del mercado del alquiler de viviendas. Ha comparecido y formulado alegaciones el Abogado del Estado.</w:t>
      </w:r>
    </w:p>
    <w:p w:rsidR="00AC56D6" w:rsidRDefault="00AC56D6" w:rsidP="00AC56D6">
      <w:pPr>
        <w:pStyle w:val="SntesisDescriptiva"/>
      </w:pPr>
    </w:p>
    <w:p w:rsidR="00AC56D6" w:rsidRDefault="00AC56D6" w:rsidP="00AC56D6">
      <w:pPr>
        <w:pStyle w:val="SntesisAnaltica"/>
      </w:pPr>
      <w:r>
        <w:t>Principio de irretroactividad de las normas restrictivas de derechos individuales, y garantías del procedimiento expropiatorio: STC 216/2015 (constitucionalidad del precepto legal que regula la supresión y mantenimiento de ayudas relacionadas con la adquisición o promoción de viviendas y el fomento del alquiler).</w:t>
      </w:r>
    </w:p>
    <w:p w:rsidR="00AC56D6" w:rsidRDefault="00AC56D6" w:rsidP="00AC56D6">
      <w:pPr>
        <w:pStyle w:val="SntesisAnaltica"/>
      </w:pPr>
    </w:p>
    <w:p w:rsidR="00AC56D6" w:rsidRDefault="00AC56D6" w:rsidP="00AC56D6">
      <w:pPr>
        <w:pStyle w:val="Extracto"/>
      </w:pPr>
      <w:r>
        <w:t>1.</w:t>
      </w:r>
      <w:r>
        <w:tab/>
        <w:t>Asunto sustancialmente idéntico al planteado en la STC 267/2015, en relación con la supresión de la nuevas subsidiaciones o renovaciones de los préstamos de viviendas de protección oficial [FJ 3].</w:t>
      </w:r>
    </w:p>
    <w:p w:rsidR="00AC56D6" w:rsidRDefault="00AC56D6" w:rsidP="00AC56D6">
      <w:pPr>
        <w:pStyle w:val="Extracto"/>
      </w:pPr>
    </w:p>
    <w:p w:rsidR="00AC56D6" w:rsidRDefault="00AC56D6" w:rsidP="00AC56D6">
      <w:pPr>
        <w:pStyle w:val="Extracto"/>
      </w:pPr>
      <w:r>
        <w:t>2.</w:t>
      </w:r>
      <w:r>
        <w:tab/>
        <w:t>La concesión de la renovación de la ayudas de subsidiación de los préstamos de viviendas de protección oficial no es un acto reglado y, en consecuencia, el beneficiario de la ayuda no tiene derecho a tal renovación, lo que determina la procedencia de excluir efectos retroactivos constitucionalmente prohibidos en la disposición impugnada, ya que su regulación se proyecta a los efectos futuros de situaciones jurídicas que aún no se han producido [FJ 3].</w:t>
      </w:r>
    </w:p>
    <w:p w:rsidR="00AC56D6" w:rsidRDefault="00AC56D6" w:rsidP="00AC56D6">
      <w:pPr>
        <w:pStyle w:val="Extracto"/>
      </w:pPr>
    </w:p>
    <w:p w:rsidR="00AC56D6" w:rsidRDefault="00AC56D6" w:rsidP="00AC56D6">
      <w:pPr>
        <w:pStyle w:val="Extracto"/>
      </w:pPr>
      <w:r>
        <w:t>3.</w:t>
      </w:r>
      <w:r>
        <w:tab/>
        <w:t>Frente a la supresión de la posibilidad de renovar estas ayudas no cabe oponer un derecho subjetivo o interés legítimo de carácter patrimonial incorporado al patrimonio del beneficiario, por lo que no concurre el presupuesto imprescindible para que entre en juego la protección de las garantías expropiatorias [FJ 4].</w:t>
      </w:r>
    </w:p>
    <w:p w:rsidR="00AC56D6" w:rsidRDefault="00AC56D6" w:rsidP="00AC56D6">
      <w:pPr>
        <w:pStyle w:val="Extracto"/>
      </w:pPr>
    </w:p>
    <w:p w:rsidR="00AC56D6" w:rsidRDefault="00AC56D6" w:rsidP="00AC56D6">
      <w:pPr>
        <w:pStyle w:val="Extracto"/>
      </w:pPr>
      <w:r>
        <w:t>4.</w:t>
      </w:r>
      <w:r>
        <w:tab/>
        <w:t>El juicio de relevancia constituye una de las más esenciales condiciones procesales de las cuestiones de inconstitucionalidad en garantía de que su planteamiento no desborde la función de control concreto o incidental de la constitucionalidad de las leyes, debiendo versar tales cuestiones sobre la norma de cuya validez depende el fallo (STC 201/2011) [FJ 2].</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lastRenderedPageBreak/>
        <w:t>SENTENCIA</w:t>
      </w:r>
    </w:p>
    <w:p w:rsidR="00AC56D6" w:rsidRDefault="00AC56D6" w:rsidP="00AC56D6">
      <w:pPr>
        <w:pStyle w:val="TextoNormalCentrado"/>
        <w:keepNext/>
      </w:pPr>
    </w:p>
    <w:p w:rsidR="00AC56D6" w:rsidRDefault="00AC56D6" w:rsidP="00AC56D6">
      <w:pPr>
        <w:pStyle w:val="TextoNormal"/>
      </w:pPr>
      <w:r>
        <w:t>En la cuestión de inconstitucionalidad núm. 4486-2015 promovida por el Juzgado de lo Contencioso-Administrativo núm. 2 de Castellón de la Plana sobre la disposición adicional segunda de la Ley 4/2013, de 4 de junio, de medidas de flexibilización y fomento del mercado del alquiler de viviendas. Ha comparecido y formulado alegaciones el Abogado del Estado. Ha intervenido la Fiscal General del Estado. Ha sido Ponente la Magistrada doña Adela Asua Batarrita,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día 27 de julio de 2015 tuvo entrada en el Registro General de este Tribunal escrito del Juzgado de lo Contencioso-Administrativo núm. 2 de Castellón, al que se acompaña, además del testimonio del correspondiente procedimiento, Auto de 15 de junio de 2015 por el que se plantea cuestión de inconstitucionalidad en relación con la disposición adicional segunda de la Ley 4/2013, de 4 de junio, de medidas de flexibilización y fomento del mercado del alquiler de viviendas, por entenderla contraria al art. 9.3 CE, en su vertiente de prohibición de retroactividad de disposiciones sancionadoras no favorables o restrictivas de derechos, y al art. 33.3 CE.</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son, sucintamente expuestos, los siguientes:</w:t>
      </w:r>
    </w:p>
    <w:p w:rsidR="00AC56D6" w:rsidRDefault="00AC56D6" w:rsidP="00AC56D6">
      <w:pPr>
        <w:pStyle w:val="TextoNormal"/>
      </w:pPr>
    </w:p>
    <w:p w:rsidR="00AC56D6" w:rsidRDefault="00AC56D6" w:rsidP="00AC56D6">
      <w:pPr>
        <w:pStyle w:val="TextoNormal"/>
      </w:pPr>
      <w:r>
        <w:t>a) Con fecha 11 de septiembre de 2008, a don A. R. F. se le concedió la subsidiación del préstamo convenido en la cuantía de 82 € mensuales durante diez años, de acuerdo con el Real Decreto 801/2005 y en el marco del plan de vivienda 2005-2008. De conformidad con la resolución indicada y la normativa aplicable, dentro del quinto año del periodo inicial de subsidiación de cinco años —en concreto el 25 de febrero de 2014— solicitó la prórroga de la subsidiación inicialmente concedida, por reunir los requisitos legalmente establecidos. La Administración competente, a través del Servicio Territorial de Castellón, resolvió inadmitir la solicitud de prórroga de la subsidiación, por cuanto se había solicitado tras la entrada en vigor de la Ley 4/2013, de 4 de junio, de medidas de flexibilización y fomento del mercado del alquiler de viviendas.</w:t>
      </w:r>
    </w:p>
    <w:p w:rsidR="00AC56D6" w:rsidRDefault="00AC56D6" w:rsidP="00AC56D6">
      <w:pPr>
        <w:pStyle w:val="TextoNormal"/>
      </w:pPr>
    </w:p>
    <w:p w:rsidR="00AC56D6" w:rsidRDefault="00AC56D6" w:rsidP="00AC56D6">
      <w:pPr>
        <w:pStyle w:val="TextoNormal"/>
      </w:pPr>
      <w:r>
        <w:t>b) Don A. R. F. presentó recurso de alzada contra dicha decisión y, posteriormente, recurso contencioso-administrativo frente a la desestimación presunta del recurso de alzada. El recurso contencioso se fundamenta en la vulneración del principio de irretroactividad de las normas sancionadoras no favorables o restrictivas de derechos individuales (art. 9.3 CE) y del principio de buena fe y confianza legítima (art. 3 de la Ley de régimen jurídico de las Administraciones públicas y del procedimiento administrativo común), esto último en cuanto que un artículo que afecta al plan estatal de vivienda y rehabilitación 2009-2012 es aplicado a subvenciones otorgadas de conformidad con un plan de vivienda anterior.</w:t>
      </w:r>
    </w:p>
    <w:p w:rsidR="00AC56D6" w:rsidRDefault="00AC56D6" w:rsidP="00AC56D6">
      <w:pPr>
        <w:pStyle w:val="TextoNormal"/>
      </w:pPr>
    </w:p>
    <w:p w:rsidR="00AC56D6" w:rsidRDefault="00AC56D6" w:rsidP="00AC56D6">
      <w:pPr>
        <w:pStyle w:val="TextoNormal"/>
      </w:pPr>
      <w:r>
        <w:t xml:space="preserve">c) Con fecha de 25 de marzo de 2015 el Juzgado de lo Contencioso-Administrativo núm. 2 de Castellón adopta una providencia con el siguiente contenido: “dada cuenta, de conformidad con el art. 35 LOTC, en relación con el artículo 163 de la CE, vista la posible inconstitucionalidad de la disposición Adicional de la Ley 4/2013, de 4 de julio, este Juzgado ha </w:t>
      </w:r>
      <w:r>
        <w:lastRenderedPageBreak/>
        <w:t>decidido (</w:t>
      </w:r>
      <w:r w:rsidRPr="00AC56D6">
        <w:rPr>
          <w:i/>
        </w:rPr>
        <w:t>sic</w:t>
      </w:r>
      <w:r>
        <w:t>) plantear la cuestión de inconstitucionalidad ante el TC de la citada norma, pues entiende que concurren los requisitos para plantearla, por lo que al amparo de los citados artículos se da traslado a las partes y al Ministerio Fiscal, por plazo común de diez días, para que puedan alegar sobre la pertinencia de plantear la cuestión de inconstitucionalidad o sobre el fondo de ésta”.</w:t>
      </w:r>
    </w:p>
    <w:p w:rsidR="00AC56D6" w:rsidRDefault="00AC56D6" w:rsidP="00AC56D6">
      <w:pPr>
        <w:pStyle w:val="TextoNormal"/>
      </w:pPr>
    </w:p>
    <w:p w:rsidR="00AC56D6" w:rsidRDefault="00AC56D6" w:rsidP="00AC56D6">
      <w:pPr>
        <w:pStyle w:val="TextoNormal"/>
      </w:pPr>
      <w:r>
        <w:t>Con fecha de 8 de abril de 2015 se registra escrito de alegaciones de 2 de abril de la representación procesal de la demandada, el Abogado de la Generalitat Valenciana. En dicho escrito se afirma, en primer lugar, la constitucionalidad de la disposición adicional segunda de la Ley 4/2013: rechaza su carácter retroactivo; señala que se limita a impedir la concesión de nuevas ayudas, renovación, prórrogas o subrogaciones; y recuerda que el art. 35 del Real Decreto-ley 20/2012, de 13 de julio, de medidas para garantizar la estabilidad presupuestaria, ya suprimió todas las ayudas de subsidiación de préstamos contenidos del plan estatal de viviendas y rehabilitación 2009-2012. En segundo lugar, alega que no se opone ni a la suspensión del procedimiento en el estado en que se encuentra hasta que se resuelva el recurso de inconstitucionalidad núm. 5108-2013 interpuesto contra la disposición adicional segunda de la Ley 4/2013 ni al planteamiento de la cuestión de inconstitucionalidad propuesta por el Juzgado.</w:t>
      </w:r>
    </w:p>
    <w:p w:rsidR="00AC56D6" w:rsidRDefault="00AC56D6" w:rsidP="00AC56D6">
      <w:pPr>
        <w:pStyle w:val="TextoNormal"/>
      </w:pPr>
    </w:p>
    <w:p w:rsidR="00AC56D6" w:rsidRDefault="00AC56D6" w:rsidP="00AC56D6">
      <w:pPr>
        <w:pStyle w:val="TextoNormal"/>
      </w:pPr>
      <w:r>
        <w:t>d) En escrito de 28 de abril de 2015 el Ministerio Fiscal, tras recordar el tenor del art. 35.2 de la Ley Orgánica del Tribunal Constitucional (LOTC) y la doctrina del Tribunal Constitucional (ATC 35/2012, de 12 de febrero, FJ 4), señala que la providencia de 25 de marzo de 2015 no concreta el precepto constitucional que se supone infringido, ni especifica o justifica en qué medida la decisión del proceso depende de la validez de la norma en cuestión. Considera que ello es causa de inadmisión por razones estrictamente procesales (art. 37.1 LOTC). La parte recurrente no formuló alegaciones al trámite conferido por providencia de 25 de marzo de 2015.</w:t>
      </w:r>
    </w:p>
    <w:p w:rsidR="00AC56D6" w:rsidRDefault="00AC56D6" w:rsidP="00AC56D6">
      <w:pPr>
        <w:pStyle w:val="TextoNormal"/>
      </w:pPr>
    </w:p>
    <w:p w:rsidR="00AC56D6" w:rsidRDefault="00AC56D6" w:rsidP="00AC56D6">
      <w:pPr>
        <w:pStyle w:val="TextoNormal"/>
      </w:pPr>
      <w:r>
        <w:t>e) Mediante nueva providencia de 4 de mayo de 2015 el Juzgado de lo Contencioso-Administrativo núm. 2 de Castellón procede a subsanar el defecto denunciado, dando nuevo traslado de diez días para que se realicen alegaciones al amparo del art. 35 LOTC, con la finalidad de evitar una eventual inadmisión por motivos procesales de la cuestión por el Tribunal Constitucional. La nueva providencia señala que la decisión del Tribunal Constitucional sobre la constitucionalidad de la norma sería determinante para el sentido del fallo, pues en caso de considerarse constitucional la citada norma, se podría entender que la disposición adicional segunda ampara la decisión del acto administrativo; y en caso contrario, la decisión del acto administrativo quedaría sin cobertura jurídica. También se afirma que la citada norma podría vulnerar el art. 9.3 CE, en cuanto garantiza la irretroactividad de las disposiciones sancionadoras no favorables o restrictivas de derechos individuales, así como el art. 33.3 CE, “ello en los términos que esgrimen en el recurso de inconstitucionalidad 5108-2013, que ha sido admitido a trámite por el Tribunal Constitucional”.</w:t>
      </w:r>
    </w:p>
    <w:p w:rsidR="00AC56D6" w:rsidRDefault="00AC56D6" w:rsidP="00AC56D6">
      <w:pPr>
        <w:pStyle w:val="TextoNormal"/>
      </w:pPr>
    </w:p>
    <w:p w:rsidR="00AC56D6" w:rsidRDefault="00AC56D6" w:rsidP="00AC56D6">
      <w:pPr>
        <w:pStyle w:val="TextoNormal"/>
      </w:pPr>
      <w:r>
        <w:t xml:space="preserve">f) Con fecha 18 de mayo de 2015 el Ministerio Fiscal presenta nuevo escrito por el que se despacha el traslado conferido por providencia de 4 de mayo de 2015, en el que se reitera en el anterior informe y afirma que de la resolución del órgano judicial no resulta que la cuestión de inconstitucionalidad que se alega sea planteable, ya que la función de la misma no puede ser la de dirimir controversias interpretativas sobre la legalidad planteables entre órganos jurisdiccionales o la de resolver dudas sobre el alcance de un determinado precepto </w:t>
      </w:r>
      <w:r>
        <w:lastRenderedPageBreak/>
        <w:t>legal. Se reitera en el no cumplimiento de los requisitos legales del art. 35.2 LOTC, pues el órgano judicial no justifica en qué medida la decisión del proceso depende de la validez de la norma cuestionada. Al trámite conferido por providencia de 4 de mayo de 2015 no hicieron alegaciones ni la parte demandante ni la parte demandada.</w:t>
      </w:r>
    </w:p>
    <w:p w:rsidR="00AC56D6" w:rsidRDefault="00AC56D6" w:rsidP="00AC56D6">
      <w:pPr>
        <w:pStyle w:val="TextoNormal"/>
      </w:pPr>
    </w:p>
    <w:p w:rsidR="00AC56D6" w:rsidRDefault="00AC56D6" w:rsidP="00AC56D6">
      <w:pPr>
        <w:pStyle w:val="TextoNormal"/>
      </w:pPr>
      <w:r w:rsidRPr="00AC56D6">
        <w:rPr>
          <w:rStyle w:val="NumeroAFNegritaCaracter"/>
        </w:rPr>
        <w:t>3</w:t>
      </w:r>
      <w:r>
        <w:t>. Por Auto de 15 de junio de 2015, el Juzgado de lo Contencioso-Administrativo núm. 2 de Castellón acordó promover cuestión de inconstitucionalidad contra la disposición adicional segunda de la Ley 4/2013, de 4 de junio, de medidas de flexibilización y fomento del mercado del alquiler de viviendas, “en relación al principio reconocido en el artículo 9.3 de la Constitución Española, en cuanto garantiza la irretroactividad de las disposiciones sancionadoras no favorables o restrictivas de derechos individuales, y en relación con el artículo 33.3 de la Constitución Española”.</w:t>
      </w:r>
    </w:p>
    <w:p w:rsidR="00AC56D6" w:rsidRDefault="00AC56D6" w:rsidP="00AC56D6">
      <w:pPr>
        <w:pStyle w:val="TextoNormal"/>
      </w:pPr>
    </w:p>
    <w:p w:rsidR="00AC56D6" w:rsidRDefault="00AC56D6" w:rsidP="00AC56D6">
      <w:pPr>
        <w:pStyle w:val="TextoNormal"/>
      </w:pPr>
      <w:r>
        <w:t>Del contenido del Auto de planteamiento interesa destacar lo siguiente:</w:t>
      </w:r>
    </w:p>
    <w:p w:rsidR="00AC56D6" w:rsidRDefault="00AC56D6" w:rsidP="00AC56D6">
      <w:pPr>
        <w:pStyle w:val="TextoNormal"/>
      </w:pPr>
    </w:p>
    <w:p w:rsidR="00AC56D6" w:rsidRDefault="00AC56D6" w:rsidP="00AC56D6">
      <w:pPr>
        <w:pStyle w:val="TextoNormal"/>
      </w:pPr>
      <w:r>
        <w:t>El órgano judicial comienza señalando que la decisión del Tribunal Constitucional sobre la constitucionalidad de la norma sería determinante para el sentido del fallo, pues en caso de considerarse constitucional la citada norma, se podría entender que la disposición adicional segunda ampara la decisión del acto administrativo; y en caso contrario, la decisión del acto administrativo quedaría sin cobertura jurídica, y afirmar que procede promover cuestión de inconstitucionalidad contra la disposición adicional segunda de la Ley 4/2013, de 4 de junio, de medidas de flexibilización y fomento del mercado del alquiler de viviendas, por vulneración del artículo 9.3 de la Constitución Española, en cuanto establece la garantía de la irretroactividad de las disposiciones sancionadoras no favorables o restrictivas de derechos individuales, y en relación con el artículo 33.3 de la Constitución Española, “planteamiento que se realiza en los mismos términos que esgrimen en el recurso de inconstitucionalidad 5108-2013”.</w:t>
      </w:r>
    </w:p>
    <w:p w:rsidR="00AC56D6" w:rsidRDefault="00AC56D6" w:rsidP="00AC56D6">
      <w:pPr>
        <w:pStyle w:val="TextoNormal"/>
      </w:pPr>
    </w:p>
    <w:p w:rsidR="00AC56D6" w:rsidRDefault="00AC56D6" w:rsidP="00AC56D6">
      <w:pPr>
        <w:pStyle w:val="TextoNormal"/>
      </w:pPr>
      <w:r>
        <w:t>Entrando ya a exponer las dudas de inconstitucionalidad, el órgano judicial dedica un primer bloque de alegaciones a analizar la naturaleza de las ayudas a la adquisición de viviendas de protección oficial y el mantenimiento de las situaciones jurídicas preexistentes. El órgano judicial invoca el art. 47 CE y otros instrumentos internacionales que se refieren al derecho a una vivienda digna, como la Carta social europea (art. 31) y la Declaración universal de derechos humanos (art. 25.1). A continuación se explica con detalle el funcionamiento del sistema de subsidiación de préstamos cualificados para viviendas protegidas en sucesivas normas, coincidentes generalmente con la aprobación de los planes estatales de vivienda (Reales Decretos 1/2002, de 11 de enero, sobre medidas de financiación de actuaciones protegidas en materia de vivienda y suelo del plan 2002-2005; 801/2005, de 1 de julio, por el que se aprueba el plan estatal 2005-2008, para favorecer el acceso de los ciudadanos a la vivienda; y 2066/2008, de 12 de diciembre, por el que se regula el plan estatal de vivienda y rehabilitación 2009-2012). Se arguye que la disposición adicional segunda de la Ley 4/2013 viene a suprimir incluso las ayudas ya concedidas, rompiendo con un criterio constante en el ordenamiento sectorial de mantenimiento de las situaciones jurídicas preexistentes. El respeto de las situaciones jurídicas consolidadas es especialmente necesario cuando afecta a derechos constitucionalmente reconocidos, como es el derecho a una vivienda, en este caso de protección oficial. Más aún cuando la adquisición de una vi</w:t>
      </w:r>
      <w:r>
        <w:lastRenderedPageBreak/>
        <w:t>vienda requiere una programación económica a largo plazo, materializada en préstamos hipotecarios que vinculan durante un largo periodo de tiempo, y cuyas condiciones [de los préstamos] son esenciales a la hora de adoptar decisiones al respecto.</w:t>
      </w:r>
    </w:p>
    <w:p w:rsidR="00AC56D6" w:rsidRDefault="00AC56D6" w:rsidP="00AC56D6">
      <w:pPr>
        <w:pStyle w:val="TextoNormal"/>
      </w:pPr>
    </w:p>
    <w:p w:rsidR="00AC56D6" w:rsidRDefault="00AC56D6" w:rsidP="00AC56D6">
      <w:pPr>
        <w:pStyle w:val="TextoNormal"/>
      </w:pPr>
      <w:r>
        <w:t>En segundo lugar, se alega la violación de la interdicción de la retroactividad respecto de situaciones ya perfeccionadas. La vulneración de la garantía contenida en el art. 9.3 CE trae causa de tres circunstancias: la medida cuestionada tiene efecto retroactivo; restringe derechos individuales; y el derecho subjetivo afectado se encuentra plenamente adquirido. En particular se afirma que “este juzgador entiende … que la Disposición Adicional Segunda de la Ley 4/2013, de 4 de junio, de medidas de flexibilización y fomento del mercado del alquiler de viviendas, establece una retroactividad auténtica, una retroactividad de grado máximo a todos los efectos”; que se trata de una restricción de un derecho individual en los términos previstos por el art. 9.3 CE en relación con el art. 47 CE, esto es, en relación con un derecho constitucionalizado, aunque lo relevante para el Tribunal Constitucional —según el órgano judicial— es que se trate de “derechos consolidados” sin necesaria vinculación con derechos fundamentales (SSTC 65/1987, de 21 de mayo, y 99/1987, de 11 de junio); y que se trata de derechos subjetivos incorporados al patrimonio jurídico del beneficiario de la ayuda, y que la renovación solo requiere la acreditación del dato objetivo del mantenimiento de las condiciones socio-económicas que justificaron la concesión.</w:t>
      </w:r>
    </w:p>
    <w:p w:rsidR="00AC56D6" w:rsidRDefault="00AC56D6" w:rsidP="00AC56D6">
      <w:pPr>
        <w:pStyle w:val="TextoNormal"/>
      </w:pPr>
    </w:p>
    <w:p w:rsidR="00AC56D6" w:rsidRDefault="00AC56D6" w:rsidP="00AC56D6">
      <w:pPr>
        <w:pStyle w:val="TextoNormal"/>
      </w:pPr>
      <w:r>
        <w:t>A mayor abundamiento se señala, por una parte, que estaría en juego el principio de protección de la confianza legítima reconocido por el Tribunal de Justicia de la Unión Europea, conforme al cual se protege la confianza de los ciudadanos que ajustan su conducta económica a la legislación vigente frente a cambios normativos que no sean razonablemente previsibles (SSTC 150/1990, de 4 de octubre, y 234/2001, de 13 de diciembre); y, por otra, que en un Estado social y democrático de Derecho, la seguridad jurídica implica también la necesidad de que el Estado no pueda abrogar aquellas normas que están precisamente destinadas a dotar de una mínima garantía a determinados grupos sociales.</w:t>
      </w:r>
    </w:p>
    <w:p w:rsidR="00AC56D6" w:rsidRDefault="00AC56D6" w:rsidP="00AC56D6">
      <w:pPr>
        <w:pStyle w:val="TextoNormal"/>
      </w:pPr>
    </w:p>
    <w:p w:rsidR="00AC56D6" w:rsidRDefault="00AC56D6" w:rsidP="00AC56D6">
      <w:pPr>
        <w:pStyle w:val="TextoNormal"/>
      </w:pPr>
      <w:r>
        <w:t>En tercer lugar, se alega la vulneración del art. 33.3 CE. La disposición cuestionada, al incurrir en retroactividad prohibida constitucionalmente, provoca una objetiva privación de bienes y derechos en perjuicio de todos y cada uno de los afectados por la pérdida del derecho a la renovación de las ayudas a la adquisición de vivienda protegida, por lo que podría entenderse que se produce una violación objetiva de lo previsto en el art. 33.3 CE, sin que el efecto expropiatorio sea compensado por “la correspondiente indemnización”.</w:t>
      </w:r>
    </w:p>
    <w:p w:rsidR="00AC56D6" w:rsidRDefault="00AC56D6" w:rsidP="00AC56D6">
      <w:pPr>
        <w:pStyle w:val="TextoNormal"/>
      </w:pPr>
    </w:p>
    <w:p w:rsidR="00AC56D6" w:rsidRDefault="00AC56D6" w:rsidP="00AC56D6">
      <w:pPr>
        <w:pStyle w:val="TextoNormal"/>
      </w:pPr>
      <w:r>
        <w:t xml:space="preserve">Al respecto se señala que en la exposición de motivos de la Ley 4/2013 no figura justificación alguna que pueda motivar suficientemente la condición de </w:t>
      </w:r>
      <w:r w:rsidRPr="00AC56D6">
        <w:rPr>
          <w:i/>
        </w:rPr>
        <w:t>causa expropiandi</w:t>
      </w:r>
      <w:r>
        <w:t>, exigida por el art. 33.3 CE para amparar la privación del derecho a la misma. Se alega que el Tribunal Constitucional extiende la garantía expropiatoria del art. 33.3 CE, tanto a las medidas ablatorias del derecho de propiedad privada en sentido estricto como la privación de bienes y derechos individuales, es decir, de cualquier derecho subjetivo e incluso interés legítimo de contenido patrimonial (STC 227/1988, de 29 de noviembre, FJ 11).</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Mediante providencia de 6 de octubre de 2015, el Pleno del Tribunal Constitucional, a propuesta de la Sección Tercera, acuerda admitir a trámite la presente cuestión y, conforme a lo dispuesto en el art. 10.1 c) LOTC, deferir a la Sala Segunda el conocimiento de la misma; dar traslado de las actuaciones recibidas, conforme establece el art. 37.3 LOTC, al </w:t>
      </w:r>
      <w:r>
        <w:lastRenderedPageBreak/>
        <w:t>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esta resolución al Juzgado de lo Contencioso-Administrativo núm. 2 de Castellón de la Plana, a fin de que, de conformidad con lo dispuesto en el art. 35.3 LOTC, permanezca suspendido el proceso hasta que este Tribunal resuelva definitivamente la presente cuestión y publicar la incoación de la cuestión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5</w:t>
      </w:r>
      <w:r>
        <w:t>. El Presidente del Congreso de los Diputados, mediante escrito registrado el 15 de octubre de 2015, comunicó a este Tribunal que la Mesa de la Cámara adoptó el acuerdo de personarse en el proceso, ofreciendo su colaboración a los efectos del art. 88.1 LOTC. Lo mismo hizo el Presidente del Senado por escrito que tuvo entrada en el Registro General de este Tribunal el 27 de octubre de 2015.</w:t>
      </w:r>
    </w:p>
    <w:p w:rsidR="00AC56D6" w:rsidRDefault="00AC56D6" w:rsidP="00AC56D6">
      <w:pPr>
        <w:pStyle w:val="TextoNormal"/>
      </w:pPr>
    </w:p>
    <w:p w:rsidR="00AC56D6" w:rsidRDefault="00AC56D6" w:rsidP="00AC56D6">
      <w:pPr>
        <w:pStyle w:val="TextoNormal"/>
      </w:pPr>
      <w:r w:rsidRPr="00AC56D6">
        <w:rPr>
          <w:rStyle w:val="NumeroAFNegritaCaracter"/>
        </w:rPr>
        <w:t>6</w:t>
      </w:r>
      <w:r>
        <w:t>. El 30 de octubre de 2015 se personó en el proceso el Abogado del Estado e interesó la inadmisión de la cuestión y, subsidiariamente, su desestimación por las razones que a continuación se resumen.</w:t>
      </w:r>
    </w:p>
    <w:p w:rsidR="00AC56D6" w:rsidRDefault="00AC56D6" w:rsidP="00AC56D6">
      <w:pPr>
        <w:pStyle w:val="TextoNormal"/>
      </w:pPr>
    </w:p>
    <w:p w:rsidR="00AC56D6" w:rsidRDefault="00AC56D6" w:rsidP="00AC56D6">
      <w:pPr>
        <w:pStyle w:val="TextoNormal"/>
      </w:pPr>
      <w:r>
        <w:t>La primera alegación del Abogado del Estado interesa la inadmisión de la cuestión de inconstitucionalidad por no precisar claramente su objeto y, en relación con ello, no argumentar adecuadamente el juicio de relevancia. En cuanto a lo primero indica que la argumentación del Auto se refiere únicamente al apartado a) de la disposición adicional segunda de la Ley 4/2013, en la medida en que solo se refiere a un caso de renovación de la subsidiación de un préstamo hipotecario. Según el Abogado del Estado, de ese presupuesto “puede deducirse que el planteamiento del órgano judicial evidencia que no está adecuadamente formulado el juicio de relevancia, porque es obligación del órgano judicial justificar qué precepto legal se cuestiona”. Esa insuficiencia del juicio de relevancia sería evidente en el caso de los apartados b), c) y d) de la disposición adicional segunda, pero también sería insuficiente en el caso del apartado a). A mayor abundamiento, el Abogado del Estado señala que “en la demanda que da origen al procedimiento, no se plantea la inconstitucionalidad de la norma, sino la retroacción de actuaciones porque entiende que la Administración debe resolver sobre el fondo de la solicitud del demandante, puesto que entiende improcedente una resolución de inadmisión de su solicitud” y que, por otra parte, “el auto de planteamiento, al reproducir las alegaciones del recurso de inconstitucionalidad núm. 5108-2013, pretende un juicio abstracto de la inconstitucionalidad de la Ley, lo que, conforme es criterio reiterado del Tribunal, no procede en este procedimiento”.</w:t>
      </w:r>
    </w:p>
    <w:p w:rsidR="00AC56D6" w:rsidRDefault="00AC56D6" w:rsidP="00AC56D6">
      <w:pPr>
        <w:pStyle w:val="TextoNormal"/>
      </w:pPr>
    </w:p>
    <w:p w:rsidR="00AC56D6" w:rsidRDefault="00AC56D6" w:rsidP="00AC56D6">
      <w:pPr>
        <w:pStyle w:val="TextoNormal"/>
      </w:pPr>
      <w:r>
        <w:t>En consecuencia, el Abogado del Estado entiende que la cuestión debería inadmitirse en su totalidad, o, en su caso, admitirse únicamente con el inciso señalado del apartado a) que parece que sería el aplicable al caso.</w:t>
      </w:r>
    </w:p>
    <w:p w:rsidR="00AC56D6" w:rsidRDefault="00AC56D6" w:rsidP="00AC56D6">
      <w:pPr>
        <w:pStyle w:val="TextoNormal"/>
      </w:pPr>
    </w:p>
    <w:p w:rsidR="00AC56D6" w:rsidRDefault="00AC56D6" w:rsidP="00AC56D6">
      <w:pPr>
        <w:pStyle w:val="TextoNormal"/>
      </w:pPr>
      <w:r>
        <w:t xml:space="preserve">En cuanto al fondo del asunto, el Abogado del Estado advierte que la identidad de argumentos del Auto con los de la demanda del recurso de inconstitucionalidad núm. 5108-2013 le permite adaptar las alegaciones entonces formuladas. Señala inicialmente que la justificación de la enmienda que dio origen a esta disposición se refiere a que los compromisos de gasto y obligaciones en materia de ayudas a la vivienda, provenientes de planes estatales anteriores, por su cuantía y duración —algunas hasta el año 2038— resultan insostenibles </w:t>
      </w:r>
      <w:r>
        <w:lastRenderedPageBreak/>
        <w:t>en un marco de restricciones presupuestarias y contribuyen al incremento automático del déficit, razones que justifican su limitación con carácter extraordinario. Así pues, el Abogado del Estado señala que el ahorro de recursos, como consecuencia de los ajustes en la subsidiación de préstamos, además de reducir el déficit, permite reorientar la política de vivienda pasando de un modelo que fomentaba la construcción y la adquisición de viviendas hacia otro que pone el énfasis en el alquiler y la rehabilitación de viviendas y edificios. Los ajustes aprobados también tienen en cuenta la bajada sustancial de los tipos de interés hipotecarios y de los precios de los alquileres en España. Los subsidios a los préstamos nacieron en un contexto hipotecario y de precios de la vivienda que nada tiene que ver con la situación actual. El plan estatal de vivienda y rehabilitación 2009-2012 y los anteriores se basaban en una lógica de planificación muy rígida que genera compromisos a muy largo plazo, que impide el control del presupuesto, produciendo “herencias” que se trasladan hacia el futuro de forma inflexible. Los ajustes introducidos en la Ley 4/2013 permiten cambiar el estado de cosas, a través del fomento del alquiler.</w:t>
      </w:r>
    </w:p>
    <w:p w:rsidR="00AC56D6" w:rsidRDefault="00AC56D6" w:rsidP="00AC56D6">
      <w:pPr>
        <w:pStyle w:val="TextoNormal"/>
      </w:pPr>
    </w:p>
    <w:p w:rsidR="00AC56D6" w:rsidRDefault="00AC56D6" w:rsidP="00AC56D6">
      <w:pPr>
        <w:pStyle w:val="TextoNormal"/>
      </w:pPr>
      <w:r>
        <w:t xml:space="preserve">El Abogado del Estado señala que los motivos de inconstitucionalidad alegados en el Auto de planteamiento tienen como soporte común la consideración de la subsidiación de los préstamos como un derecho ya adquirido por los interesados, de modo que la Ley lleva a cabo una verdadera expropiación sin indemnización de situaciones consolidadas y plenamente adquiridas. El Abogado del Estado comienza rechazando la conceptuación de la subsidiación de los préstamos de viviendas de protección oficial que realiza el recurso: dicha subsidiación consiste en una ayuda cuyo importe se descuenta de la cuantía del préstamo hipotecario convenido que el beneficiario ha formalizado con una entidad de crédito colaboradora con los planes estatales de vivienda. Para poder obtener la ayuda estatal, el beneficiario debe cumplir determinados requisitos relacionados con el nivel de ingresos y situación familiar en la que se encuentre. El periodo de tiempo inicial para poder percibir la ayuda, en cualquiera de los planes estatales de vivienda a los que se refiere el recurso de inconstitucionalidad, es de cinco años: ese periodo “podrá” ser ampliado por el mismo importe inicialmente concedido, por otro periodo de la misma duración mínima, en los términos previstos en el art. 23.2 del Real Decreto 801/2005, de 1 de julio, relativo al plan estatal 2005-2008. De ello se deduce, según el Abogado del Estado, que la renovación no tiene carácter automático o vinculante para la Administración, sino sustantividad propia y genera un nuevo procedimiento administrativo dirigido a la ampliación del periodo de subsidiación por otros cinco años. De hecho, la renovación debe ser solicitada por el propio beneficiario, quien debe acreditar de nuevo que cumple en ese momento todas las condiciones para poder obtener la prórroga de la subsidiación; en suma, se trata de un nuevo reconocimiento de la ayuda, mediante una nueva resolución, que la Administración puede o no conceder. Configurada así la renovación de la subsidiación del préstamo, la disposición adicional segunda de la Ley 4/2013 solo afecta a aquellos reconocimientos, tanto de nuevas subsidiaciones como de aquellas renovaciones, que deben acreditar </w:t>
      </w:r>
      <w:r w:rsidRPr="00AC56D6">
        <w:rPr>
          <w:i/>
        </w:rPr>
        <w:t>ex novo</w:t>
      </w:r>
      <w:r>
        <w:t xml:space="preserve"> los requisitos que se fijan en cada uno de los planes estatales de vivienda. Por lo tanto, los nuevos reconocimientos de subsidiación y las renovaciones de la subsidiación de préstamos no son derechos adquiridos sino expectativas de derecho. Por esa razón no existe vulneración alguna del principio de interdicción de la retroactividad de las normas ni del art. 33 CE. Lo que sí constituye una situación jurídica consolidada, no afectada por la Ley, es el periodo inicial de cinco años de ayuda de subsidiación reconocida a los adquirentes de viviendas protegidas.</w:t>
      </w:r>
    </w:p>
    <w:p w:rsidR="00AC56D6" w:rsidRDefault="00AC56D6" w:rsidP="00AC56D6">
      <w:pPr>
        <w:pStyle w:val="TextoNormal"/>
      </w:pPr>
    </w:p>
    <w:p w:rsidR="00AC56D6" w:rsidRDefault="00AC56D6" w:rsidP="00AC56D6">
      <w:pPr>
        <w:pStyle w:val="TextoNormal"/>
      </w:pPr>
      <w:r>
        <w:lastRenderedPageBreak/>
        <w:t>A continuación el Abogado del Estado analiza la pretendida vulneración del art. 9.3 CE, y señala que no concurren ninguno de los requisitos que exige la doctrina constitucional para apreciarla. En primer lugar, la norma no es retroactiva o solo es retroactiva en grado mínimo. En segundo lugar, no se restringe ningún derecho subjetivo en general y fundamental, como exige la jurisprudencia, puesto que el derecho a la vivienda no es un derecho fundamental. En tercer lugar, no se afecta a derechos subjetivos incorporados ya al patrimonio jurídico del beneficiario de la ayuda. Cuando termina el periodo inicial de cinco años, la ayuda no se incorpora al patrimonio jurídico del beneficiario. Y es el propio legislador el que ordena que no se produzca la renovación de la subsidiación de los préstamos.</w:t>
      </w:r>
    </w:p>
    <w:p w:rsidR="00AC56D6" w:rsidRDefault="00AC56D6" w:rsidP="00AC56D6">
      <w:pPr>
        <w:pStyle w:val="TextoNormal"/>
      </w:pPr>
    </w:p>
    <w:p w:rsidR="00AC56D6" w:rsidRDefault="00AC56D6" w:rsidP="00AC56D6">
      <w:pPr>
        <w:pStyle w:val="TextoNormal"/>
      </w:pPr>
      <w:r>
        <w:t>El Abogado del Estado también rechaza la alegada vulneración del art. 33.3 CE, por cuanto falta el presupuesto de base, la privación de un derecho, en los términos del art. 1 de la Ley de expropiación forzosa. Señala que la jurisprudencia, tanto del Tribunal Constitucional como del Tribunal Supremo, ha admitido la inexistencia de derechos indemnizatorios a cargo de las Administraciones públicas cuando las modificaciones normativas alteran situaciones jurídicas preexistentes no consolidadas, y que no procede indemnización cuando el derecho reconocido por la norma no está aún patrimonializado. Y pone como ejemplo la STC 6/1986, en la que el Tribunal Constitucional sentó el principio de que las normas que establecen exenciones o reducciones tributarias crean ciertamente situaciones jurídicas individualizadas a favor de los beneficiarios, pero el llamado derecho a la exención o bonificación tributarias es simplemente un elemento de la relación jurídica obligacional que vincula a la Administración y al contribuyente y no un derecho incorporado al patrimonio de los titulares. Partiendo de esa Sentencia, el Tribunal Supremo consolidó una jurisprudencia firme, según la cual no son “derechos adquiridos” las meras condiciones reglamentarias a las situaciones de ventaja que pudieran derivarse potencialmente del derecho objetivo, ya que tales “derechos”, por definición, no pueden ser derechos subjetivos o situaciones jurídicas individualizadas de poder concreto a consecuencia de una norma objetiva, sino a través de un acto jurídico singular que los confiere. Esa doctrina es aplicable a toda la legislación de vivienda protegida (estatal y autonómica) de acuerdo con la cual, en materia de vivienda de protección oficial, los adquirentes de viviendas no tienen derechos individuales, sino solo expectativas de derechos en relación con los beneficios o el estatuto jurídico especial de tales viviendas. Solo existe un acto declarativo de derechos: la concesión inicial de la ayuda. La normativa aplicable no crea un acto declarativo de derecho a la renovación automática de la ayuda.</w:t>
      </w:r>
    </w:p>
    <w:p w:rsidR="00AC56D6" w:rsidRDefault="00AC56D6" w:rsidP="00AC56D6">
      <w:pPr>
        <w:pStyle w:val="TextoNormal"/>
      </w:pPr>
    </w:p>
    <w:p w:rsidR="00AC56D6" w:rsidRDefault="00AC56D6" w:rsidP="00AC56D6">
      <w:pPr>
        <w:pStyle w:val="TextoNormal"/>
      </w:pPr>
      <w:r w:rsidRPr="00AC56D6">
        <w:rPr>
          <w:rStyle w:val="NumeroAFNegritaCaracter"/>
        </w:rPr>
        <w:t>7</w:t>
      </w:r>
      <w:r>
        <w:t>. El 18 de noviembre de 2015 presentó sus alegaciones la Fiscal General del Estado, interesando la desestimación de la cuestión por las razones que se resumen a continuación.</w:t>
      </w:r>
    </w:p>
    <w:p w:rsidR="00AC56D6" w:rsidRDefault="00AC56D6" w:rsidP="00AC56D6">
      <w:pPr>
        <w:pStyle w:val="TextoNormal"/>
      </w:pPr>
    </w:p>
    <w:p w:rsidR="00AC56D6" w:rsidRDefault="00AC56D6" w:rsidP="00AC56D6">
      <w:pPr>
        <w:pStyle w:val="TextoNormal"/>
      </w:pPr>
      <w:r>
        <w:t>Tras recoger los antecedentes del caso y observar que una cuestión de inconstitucionalidad idéntica, tramitada con el núm. 4485-2015, ha sido admitida a trámite ante la Sala Primera del Tribunal Constitucional, señala que la identidad sustancial que presentan ambas cuestiones determina que sus alegaciones deban ser las mismas en ambos procesos constitucionales.</w:t>
      </w:r>
    </w:p>
    <w:p w:rsidR="00AC56D6" w:rsidRDefault="00AC56D6" w:rsidP="00AC56D6">
      <w:pPr>
        <w:pStyle w:val="TextoNormal"/>
      </w:pPr>
    </w:p>
    <w:p w:rsidR="00AC56D6" w:rsidRDefault="00AC56D6" w:rsidP="00AC56D6">
      <w:pPr>
        <w:pStyle w:val="TextoNormal"/>
      </w:pPr>
      <w:r>
        <w:t xml:space="preserve">El escrito alude, en primer lugar, a un posible defecto procesal en relación con el correcto cumplimiento del trámite de alegaciones que debe darse a las partes del proceso y al Ministerio Fiscal, de conformidad con lo previsto en el art. 35.2 LOTC, pues, según el Ministerio público, no es posible conocer si se dio el traslado efectivo para alegaciones a las partes de </w:t>
      </w:r>
      <w:r>
        <w:lastRenderedPageBreak/>
        <w:t>la providencia de fecha 4 de mayo de 2015 y no consta tampoco si estas presentaron escrito de alegaciones o si dejaron precluir el trámite sin presentarlo. En el supuesto en el que no se hubiera notificado a las partes la providencia de fecha 4 de mayo de 2015, habría que entender que ese trámite no fue correctamente realizado.</w:t>
      </w:r>
    </w:p>
    <w:p w:rsidR="00AC56D6" w:rsidRDefault="00AC56D6" w:rsidP="00AC56D6">
      <w:pPr>
        <w:pStyle w:val="TextoNormal"/>
      </w:pPr>
    </w:p>
    <w:p w:rsidR="00AC56D6" w:rsidRDefault="00AC56D6" w:rsidP="00AC56D6">
      <w:pPr>
        <w:pStyle w:val="TextoNormal"/>
      </w:pPr>
      <w:r>
        <w:t xml:space="preserve">Por otra parte, y en relación también con los presupuestos procesales, la Fiscal General del Estado pone de manifiesto que el Juez </w:t>
      </w:r>
      <w:r w:rsidRPr="00AC56D6">
        <w:rPr>
          <w:i/>
        </w:rPr>
        <w:t>a quo</w:t>
      </w:r>
      <w:r>
        <w:t xml:space="preserve"> no ha realizado, formalmente, una correcta identificación de la norma legal, respecto de la que se plantean las dudas de validez constitucional, puesto que tanto en las dos providencias como en el Auto de planteamiento se identifica la disposición adicional segunda de la Ley 4/2013 en su totalidad. No obstante, de los propios razonamientos jurídicos del Auto de planteamiento y de la pretensión deducida en el proceso del que trae causa la cuestión es posible deducir, que es solo el apartado a) de la citada disposición adicional segunda el objeto de la presente cuestión, puesto que es el que se refiere al régimen de las ayudas de subsidiación de préstamos.</w:t>
      </w:r>
    </w:p>
    <w:p w:rsidR="00AC56D6" w:rsidRDefault="00AC56D6" w:rsidP="00AC56D6">
      <w:pPr>
        <w:pStyle w:val="TextoNormal"/>
      </w:pPr>
    </w:p>
    <w:p w:rsidR="00AC56D6" w:rsidRDefault="00AC56D6" w:rsidP="00AC56D6">
      <w:pPr>
        <w:pStyle w:val="TextoNormal"/>
      </w:pPr>
      <w:r>
        <w:t>En cuanto al examen de fondo de la cuestión suscitada, el Ministerio público señala que la cuestión debatida en el proceso de origen es la aplicación que se hace por la resolución administrativa impugnada en el recurso contencioso-administrativo de la disposición adicional segunda de la Ley 4/2013, para inadmitir la solicitud de prórroga de la ayuda de subsidiación del préstamo que fue presentada por el recurrente con posterioridad a la entrada en vigor de la Ley 4/2013, y trascurrido el periodo inicial de los cinco años desde que la subsidiación se le reconoció por el Servicio Territorial de la Vivienda de Castellón. A esta solicitud le resulta aplicable el art. 23 del Real Decreto 801/2005, de 1 de julio, por el que se aprobó el plan estatal de la vivienda 2005-2008, según el cual la ayuda de la subsidiación se le reconocía por un periodo inicial de cinco años que era susceptible de ampliación por otros cinco, si se solicitaba por beneficiario y acreditaba que cumplía las condiciones económicas requeridas para ello.</w:t>
      </w:r>
    </w:p>
    <w:p w:rsidR="00AC56D6" w:rsidRDefault="00AC56D6" w:rsidP="00AC56D6">
      <w:pPr>
        <w:pStyle w:val="TextoNormal"/>
      </w:pPr>
    </w:p>
    <w:p w:rsidR="00AC56D6" w:rsidRDefault="00AC56D6" w:rsidP="00AC56D6">
      <w:pPr>
        <w:pStyle w:val="TextoNormal"/>
      </w:pPr>
      <w:r>
        <w:t>Tras aludir a la doctrina constitucional en la materia, sintetizada en las SSTC 112/2006, de 5 abril, y 49/2015, de 5 marzo, señala que el pronunciamiento que ha de darse sobre la supuesta vulneración constitucional del principio de irretroactividad de las disposiciones restrictivas de derechos en la que incurriría el apartado a) de la disposición adicional segunda está sujeto al examen de constitucionalidad que, sobre esta norma legal y la posible infracción del principio de irretroactividad, se contiene en la reciente STC 216/2015, de 22 de octubre, pues en la presente cuestión se observa una importante identidad en los fundamentos sobre los que se plantean las dudas de constitucionalidad respecto a lo establecido en el apartado a) de la referida disposición adicional segunda. Por ello, la Fiscal General del Estado considera que en el proceso de origen de la presente cuestión no aparece ninguna particularidad que permita apartarse del criterio que establece la STC 216/2015 en la que se rechaza que el apartado a) de la disposición adicional segunda infrinja el principio de irretroactividad de las disposiciones restrictivas de derechos individuales. Por tanto, han de acogerse los razonamientos del fundamento jurídico octavo de dicha Sentencia que descartan que la referida disposición legal suponga una retroactividad auténtica en cuanto proyecte sus efectos respecto de los derechos producidos y adquiridos conforme a la legislación anterior.</w:t>
      </w:r>
    </w:p>
    <w:p w:rsidR="00AC56D6" w:rsidRDefault="00AC56D6" w:rsidP="00AC56D6">
      <w:pPr>
        <w:pStyle w:val="TextoNormal"/>
      </w:pPr>
    </w:p>
    <w:p w:rsidR="00AC56D6" w:rsidRDefault="00AC56D6" w:rsidP="00AC56D6">
      <w:pPr>
        <w:pStyle w:val="TextoNormal"/>
      </w:pPr>
      <w:r>
        <w:lastRenderedPageBreak/>
        <w:t>La supuesta vulneración de las garantías expropiatorias contenidas en el art 33.3 CE que se plantea trae causa, al igual que en el recurso de inconstitucionalidad, de la propia fundamentación en la que se sustenta en ambos procesos constitucionales, la infracción del principio de irretroactividad de las normas restrictivas de derechos. Como se señala en el fundamento jurídico noveno de la STC 216/2015, no cumpliéndose el presupuesto necesario para que entre en juego la protección que otorga este precepto, puesto que la renovación o prórroga del derecho de subsidiación no es un derecho adquirido e incorporado al patrimonio del sujeto, sino una expectativa de derecho, para cuya consolidación será necesario que se produzca tras los trámites establecidos, la declaración administrativa del derecho a la renovación, no cabe tampoco estimar que por el citado párrafo cuarto del apartado a) de la norma cuestionada se vulneren las garantías expropiatorias que establece el art 33.3 CE.</w:t>
      </w:r>
    </w:p>
    <w:p w:rsidR="00AC56D6" w:rsidRDefault="00AC56D6" w:rsidP="00AC56D6">
      <w:pPr>
        <w:pStyle w:val="TextoNormal"/>
      </w:pPr>
    </w:p>
    <w:p w:rsidR="00AC56D6" w:rsidRDefault="00AC56D6" w:rsidP="00AC56D6">
      <w:pPr>
        <w:pStyle w:val="TextoNormal"/>
      </w:pPr>
      <w:r w:rsidRPr="00AC56D6">
        <w:rPr>
          <w:rStyle w:val="NumeroAFNegritaCaracter"/>
        </w:rPr>
        <w:t>8</w:t>
      </w:r>
      <w:r>
        <w:t>. Por providencia de 10 de diciembre de 2015 se señaló para deliberación y votación de la presente Sentencia el día 14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Juzgado de lo Contencioso-Administrativo núm. 2 de Castellón de la Plana plantea cuestión de inconstitucionalidad sobre la disposición adicional segunda de la Ley 4/2013, de 4 de junio, de medidas de flexibilización y fomento del mercado del alquiler de viviendas.</w:t>
      </w:r>
    </w:p>
    <w:p w:rsidR="00AC56D6" w:rsidRDefault="00AC56D6" w:rsidP="00AC56D6">
      <w:pPr>
        <w:pStyle w:val="TextoNormal"/>
      </w:pPr>
    </w:p>
    <w:p w:rsidR="00AC56D6" w:rsidRDefault="00AC56D6" w:rsidP="00AC56D6">
      <w:pPr>
        <w:pStyle w:val="TextoNormal"/>
      </w:pPr>
      <w:r>
        <w:t>La disposición adicional segunda tiene la siguiente redacción:</w:t>
      </w:r>
    </w:p>
    <w:p w:rsidR="00AC56D6" w:rsidRDefault="00AC56D6" w:rsidP="00AC56D6">
      <w:pPr>
        <w:pStyle w:val="TextoNormal"/>
      </w:pPr>
    </w:p>
    <w:p w:rsidR="00AC56D6" w:rsidRDefault="00AC56D6" w:rsidP="00AC56D6">
      <w:pPr>
        <w:pStyle w:val="TextoNormal"/>
      </w:pPr>
      <w:r>
        <w:t>“a) Se mantienen las ayudas de subsidiación de préstamos convenidos que se vinieran percibiendo.</w:t>
      </w:r>
    </w:p>
    <w:p w:rsidR="00AC56D6" w:rsidRDefault="00AC56D6" w:rsidP="00AC56D6">
      <w:pPr>
        <w:pStyle w:val="TextoNormal"/>
      </w:pPr>
    </w:p>
    <w:p w:rsidR="00AC56D6" w:rsidRDefault="00AC56D6" w:rsidP="00AC56D6">
      <w:pPr>
        <w:pStyle w:val="TextoNormal"/>
      </w:pPr>
      <w:r>
        <w:t>Asimismo se mantienen las ayudas de subsidiación de préstamos convenidos reconocidas, con anterioridad al 15 de julio de 2012, que cuenten con la conformidad del Ministerio de Fomento al préstamo, siempre que éste se formalice por el beneficiario en el plazo máximo de dos meses desde la entrada en vigor de esta Ley.</w:t>
      </w:r>
    </w:p>
    <w:p w:rsidR="00AC56D6" w:rsidRDefault="00AC56D6" w:rsidP="00AC56D6">
      <w:pPr>
        <w:pStyle w:val="TextoNormal"/>
      </w:pPr>
    </w:p>
    <w:p w:rsidR="00AC56D6" w:rsidRDefault="00AC56D6" w:rsidP="00AC56D6">
      <w:pPr>
        <w:pStyle w:val="TextoNormal"/>
      </w:pPr>
      <w:r>
        <w:t>Quedan suprimidas y sin efectos el resto de ayudas de subsidiación al préstamo reconocidas dentro del marco de los Planes Estatales de Vivienda.</w:t>
      </w:r>
    </w:p>
    <w:p w:rsidR="00AC56D6" w:rsidRDefault="00AC56D6" w:rsidP="00AC56D6">
      <w:pPr>
        <w:pStyle w:val="TextoNormal"/>
      </w:pPr>
    </w:p>
    <w:p w:rsidR="00AC56D6" w:rsidRDefault="00AC56D6" w:rsidP="00AC56D6">
      <w:pPr>
        <w:pStyle w:val="TextoNormal"/>
      </w:pPr>
      <w:r>
        <w:t>No se admitirán nuevos reconocimientos de ayudas de subsidiación de préstamos que procedan de concesiones, renovaciones, prórrogas, subrogaciones o de cualquier otra actuación protegida de los planes estatales de vivienda.</w:t>
      </w:r>
    </w:p>
    <w:p w:rsidR="00AC56D6" w:rsidRDefault="00AC56D6" w:rsidP="00AC56D6">
      <w:pPr>
        <w:pStyle w:val="TextoNormal"/>
      </w:pPr>
    </w:p>
    <w:p w:rsidR="00AC56D6" w:rsidRDefault="00AC56D6" w:rsidP="00AC56D6">
      <w:pPr>
        <w:pStyle w:val="TextoNormal"/>
      </w:pPr>
      <w:r>
        <w:t>b) Las Ayudas Estatales Directas a la Entrada que subsisten conforme a la disposición transitoria primera del Real Decreto 1713/2010, de 17 de diciembre, sólo podrán obtenerse cuando cuenten con la conformidad expresa del Ministerio de Fomento a la entrada en vigor de esta Ley, y siempre que el beneficiario formalice el préstamo en un plazo de dos meses desde la entrada en vigor de la misma.</w:t>
      </w:r>
    </w:p>
    <w:p w:rsidR="00AC56D6" w:rsidRDefault="00AC56D6" w:rsidP="00AC56D6">
      <w:pPr>
        <w:pStyle w:val="TextoNormal"/>
      </w:pPr>
    </w:p>
    <w:p w:rsidR="00AC56D6" w:rsidRDefault="00AC56D6" w:rsidP="00AC56D6">
      <w:pPr>
        <w:pStyle w:val="TextoNormal"/>
      </w:pPr>
      <w:r>
        <w:t xml:space="preserve">c) Se mantienen las ayudas del programa de inquilinos, ayudas a las áreas de rehabilitación integral y renovación urbana, rehabilitación aislada y programa RENOVE, acogidas a los Planes Estatales de Vivienda hasta que sean efectivas las nuevas líneas de ayudas del </w:t>
      </w:r>
      <w:r>
        <w:lastRenderedPageBreak/>
        <w:t>Plan Estatal de Fomento del Alquiler de viviendas, la rehabilitación edificatoria y la regeneración y renovación urbanas, 2013-2016. Se suprimen y quedan sin efecto el resto de subvenciones acogidas a los Planes Estatales de Vivienda.</w:t>
      </w:r>
    </w:p>
    <w:p w:rsidR="00AC56D6" w:rsidRDefault="00AC56D6" w:rsidP="00AC56D6">
      <w:pPr>
        <w:pStyle w:val="TextoNormal"/>
      </w:pPr>
    </w:p>
    <w:p w:rsidR="00AC56D6" w:rsidRDefault="00AC56D6" w:rsidP="00AC56D6">
      <w:pPr>
        <w:pStyle w:val="TextoNormal"/>
      </w:pPr>
      <w:r>
        <w:t>d) Las ayudas de Renta Básica de Emancipación reguladas en el Real Decreto 1472/2007, de 2 de noviembre, que subsisten a la supresión realizada por el Real Decreto-ley 20/2011, de 30 de diciembre, y por el Real Decreto-ley 20/2012, de 13 de julio, se mantienen hasta que sean efectivas las nuevas líneas de ayudas, del Plan Estatal de Fomento del Alquiler de viviendas, la rehabilitación edificatoria y la regeneración y renovación urbanas, 2013-2016.”</w:t>
      </w:r>
    </w:p>
    <w:p w:rsidR="00AC56D6" w:rsidRDefault="00AC56D6" w:rsidP="00AC56D6">
      <w:pPr>
        <w:pStyle w:val="TextoNormal"/>
      </w:pPr>
    </w:p>
    <w:p w:rsidR="00AC56D6" w:rsidRDefault="00AC56D6" w:rsidP="00AC56D6">
      <w:pPr>
        <w:pStyle w:val="TextoNormal"/>
      </w:pPr>
      <w:r>
        <w:t>El órgano judicial considera que la mencionada disposición incurre en vulneración del art. 9.3 CE, al establecer una retroactividad auténtica o de grado máximo y que, al afectar a situaciones ya perfeccionadas, vulnera el principio constitucional de irretroactividad de las disposiciones restrictivas de derechos individuales, así como del art. 33.3 CE, en cuanto que la disposición cuestionada tiene contenido expropiatorio, pues estaría privando del derecho a la renovación de las ayudas de subsidiación.</w:t>
      </w:r>
    </w:p>
    <w:p w:rsidR="00AC56D6" w:rsidRDefault="00AC56D6" w:rsidP="00AC56D6">
      <w:pPr>
        <w:pStyle w:val="TextoNormal"/>
      </w:pPr>
    </w:p>
    <w:p w:rsidR="00AC56D6" w:rsidRDefault="00AC56D6" w:rsidP="00AC56D6">
      <w:pPr>
        <w:pStyle w:val="TextoNormal"/>
      </w:pPr>
      <w:r>
        <w:t>Como se ha dejado constancia en los antecedentes, tanto el Abogado del Estado como el Fiscal General del Estado interesan la desestimación de la cuestión, por entender que no concurren las vulneraciones constitucionales apreciadas por el órgano judicial.</w:t>
      </w:r>
    </w:p>
    <w:p w:rsidR="00AC56D6" w:rsidRDefault="00AC56D6" w:rsidP="00AC56D6">
      <w:pPr>
        <w:pStyle w:val="TextoNormal"/>
      </w:pPr>
    </w:p>
    <w:p w:rsidR="00AC56D6" w:rsidRDefault="00AC56D6" w:rsidP="00AC56D6">
      <w:pPr>
        <w:pStyle w:val="TextoNormal"/>
      </w:pPr>
      <w:r w:rsidRPr="00AC56D6">
        <w:rPr>
          <w:rStyle w:val="NumeroAFNegritaCaracter"/>
        </w:rPr>
        <w:t>2</w:t>
      </w:r>
      <w:r>
        <w:t>. Antes de resolver la presente cuestión hemos de examinar las cuestiones de orden procesal que plantean tanto el Abogado del Estado como la Fiscal General del Estado.</w:t>
      </w:r>
    </w:p>
    <w:p w:rsidR="00AC56D6" w:rsidRDefault="00AC56D6" w:rsidP="00AC56D6">
      <w:pPr>
        <w:pStyle w:val="TextoNormal"/>
      </w:pPr>
    </w:p>
    <w:p w:rsidR="00AC56D6" w:rsidRDefault="00AC56D6" w:rsidP="00AC56D6">
      <w:pPr>
        <w:pStyle w:val="TextoNormal"/>
      </w:pPr>
      <w:r>
        <w:t>No podemos tener en cuenta, en primer lugar, las dudas formuladas por esta última en relación a la adecuada realización del trámite de audiencia basadas en la falta de alegaciones de las partes. Como se expone en los antecedentes, la providencia de 4 de mayo de 2015 procede a subsanar los defectos advertidos por el Ministerio Fiscal en la providencia inicial de 25 de marzo de 2015, otorgando un plazo de diez días para que se realicen alegaciones, habiendo certificado el órgano judicial que, en dicho plazo, no se formularon alegaciones ni por la parte demandante ni por la demandada. Por tanto, hay que concluir que el requisito de la previa audiencia a las partes y al Ministerio Fiscal, acerca de la pertinencia de plantear la cuestión de inconstitucionalidad (art. 35.2 de la Ley Orgánica del Tribunal Constitucional: LOTC), debe considerarse cumplido.</w:t>
      </w:r>
    </w:p>
    <w:p w:rsidR="00AC56D6" w:rsidRDefault="00AC56D6" w:rsidP="00AC56D6">
      <w:pPr>
        <w:pStyle w:val="TextoNormal"/>
      </w:pPr>
    </w:p>
    <w:p w:rsidR="00AC56D6" w:rsidRDefault="00AC56D6" w:rsidP="00AC56D6">
      <w:pPr>
        <w:pStyle w:val="TextoNormal"/>
      </w:pPr>
      <w:r>
        <w:t xml:space="preserve">En segundo lugar, tenemos que coincidir con lo alegado tanto por el Abogado del Estado como por la Fiscal General del Estado en lo que hace a la delimitación precisa del objeto de la presente cuestión. Aunque el órgano judicial la formula respecto a la disposición adicional segunda en su totalidad, lo cierto es que solo una parte de ella resulta aplicable y relevante para el fallo del procedimiento </w:t>
      </w:r>
      <w:r w:rsidRPr="00AC56D6">
        <w:rPr>
          <w:i/>
        </w:rPr>
        <w:t>a quo</w:t>
      </w:r>
      <w:r>
        <w:t>, centrado en la denegación de una solicitud de prórroga de la subsidiación de un préstamo hipotecario concedida conforme al Real Decreto 801/2005, de 1 de julio, por el que se aprueba el plan estatal 2005-2008, para favorecer el acceso de los ciudadanos a la vivienda. De lo anterior resulta que el objeto de la cuestión debe ceñirse exclusivamente al párrafo cuarto de la letra a), que establece lo siguiente: “no se admitirán nuevos reconocimientos de ayudas de subsidiación de préstamos que procedan de concesiones, renovaciones, prórrogas, subrogaciones o de cualquier otra actuación protegida de los planes estatales de vivienda”.</w:t>
      </w:r>
    </w:p>
    <w:p w:rsidR="00AC56D6" w:rsidRDefault="00AC56D6" w:rsidP="00AC56D6">
      <w:pPr>
        <w:pStyle w:val="TextoNormal"/>
      </w:pPr>
    </w:p>
    <w:p w:rsidR="00AC56D6" w:rsidRDefault="00AC56D6" w:rsidP="00AC56D6">
      <w:pPr>
        <w:pStyle w:val="TextoNormal"/>
      </w:pPr>
      <w:r>
        <w:t xml:space="preserve">Circunscrita en tales términos la presente cuestión, debemos valorar ahora si, como sugiere el Abogado del Estado, se ha incumplido el requisito relativo a la justificación de que la decisión del proceso </w:t>
      </w:r>
      <w:r w:rsidRPr="00AC56D6">
        <w:rPr>
          <w:i/>
        </w:rPr>
        <w:t>a quo</w:t>
      </w:r>
      <w:r>
        <w:t xml:space="preserve"> depende de la validez de la norma cuestionada (art. 35.2 LOTC), esto es, el denominado juicio de relevancia. Aunque dicho juicio de relevancia no se haya formulado con gran detalle, de las consideraciones que efectúa el órgano judicial en el Auto de planteamiento se deduce con claridad que considera que la disposición adicional segunda de la Ley 4/2013 es aplicable al supuesto de hecho, en cuanto que proporciona la base jurídica del acto administrativo de inadmisión de la prórroga de subsidiación. Asimismo, afirma que la disposición es relevante para resolver el litigio, pues si se declara que la disposición no es inconstitucional tendría que desestimar el recurso contencioso-administrativo presentado, y que si, alternativamente, se declara inconstitucional tendría que estimarlo. Por tanto, el juicio de relevancia previsto en el art. 35.2 LOTC, que ha sido definido por este Tribunal como “el esquema argumental dirigido a probar que el fallo del proceso judicial depende de la validez de la norma cuestionada” (por todos, AATC 93/1999, de 13 de abril, FJ 3; y 21/2001, de 30 de enero, FJ 1), y que,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201/2011, de 13 de diciembre, FJ 2, entre otras muchas), ha de considerarse adecuadamente formulado.</w:t>
      </w:r>
    </w:p>
    <w:p w:rsidR="00AC56D6" w:rsidRDefault="00AC56D6" w:rsidP="00AC56D6">
      <w:pPr>
        <w:pStyle w:val="TextoNormal"/>
      </w:pPr>
    </w:p>
    <w:p w:rsidR="00AC56D6" w:rsidRDefault="00AC56D6" w:rsidP="00AC56D6">
      <w:pPr>
        <w:pStyle w:val="TextoNormal"/>
      </w:pPr>
      <w:r w:rsidRPr="00AC56D6">
        <w:rPr>
          <w:rStyle w:val="NumeroAFNegritaCaracter"/>
        </w:rPr>
        <w:t>3</w:t>
      </w:r>
      <w:r>
        <w:t>. Ha de tenerse en cuenta, asimismo, que, como han advertido el Abogado del Estado y la Fiscal General del Estado, la presente cuestión presenta una fundamental coincidencia en su planteamientos con el recurso de inconstitucionalidad tramitado bajo el número 5108-2013, resuelto por la reciente STC 216/2015, de 22 de octubre, cuya doctrina resulta, por tanto, de directa aplicación al supuesto que nos ocupa, convirtiéndose en parámetro de referencia para resolverlo.</w:t>
      </w:r>
    </w:p>
    <w:p w:rsidR="00AC56D6" w:rsidRDefault="00AC56D6" w:rsidP="00AC56D6">
      <w:pPr>
        <w:pStyle w:val="TextoNormal"/>
      </w:pPr>
    </w:p>
    <w:p w:rsidR="00AC56D6" w:rsidRDefault="00AC56D6" w:rsidP="00AC56D6">
      <w:pPr>
        <w:pStyle w:val="TextoNormal"/>
      </w:pPr>
      <w:r>
        <w:t xml:space="preserve">En efecto, por lo que hace a la denunciada vulneración del art. 9.3 CE, en la citada STC 216/2015, FJ 8, apreciamos, respecto al inciso ahora cuestionado, que, con arreglo al régimen establecido por la normativa vigente en el momento de resolver el recurso (art. 43.3 del Real Decreto 2066/2008), la subsidiación se concedía por un período inicial de 5 años, que podía ser renovado durante otro período de igual duración y por la cuantía que corresponda, con arreglo a dos condiciones básicas: que el beneficiario de la subsidiación solicitase su renovación dentro del quinto año del periodo inicial y que acreditase que seguía reuniendo las condiciones requeridas para la concesión de la ayuda. Del tenor del citado artículo 43.3 (“podrá”) se deducía que la concesión de la renovación no es un acto reglado y que, en consecuencia, el beneficiario de la ayuda no tiene derecho a su renovación. Así concluimos que “de acuerdo con la disposición adicional impugnada en este proceso, las solicitudes de renovación presentadas y no resueltas con anterioridad a la entrada en vigor de la Ley 4/2013, así como las solicitudes que se presenten con posterioridad, pasan a regirse por ese nuevo texto legal, que excluye la renovación. El párrafo cuarto del apartado a) regula, por tanto, unas situaciones jurídicas aún no producidas, con una clara vocación de futuro, al no existir un derecho subjetivo a la renovación incorporado al patrimonio del beneficiario de las ayudas de subsidiación con anterioridad a la entrada en vigor de la Ley 4/2013”. Lo que, a su vez, determinaba la procedencia de “excluir la presencia de efectos retroactivos constitucionalmente prohibidos en el apartado a) de la disposición impugnada, </w:t>
      </w:r>
      <w:r>
        <w:lastRenderedPageBreak/>
        <w:t>ya que su regulación se proyecta a los efectos futuros de situaciones jurídicas que aún no se han producido” así como que “[a]l no concurrir el presupuesto de hecho del que parte la alegada vulneración del principio constitucional contemplado en el art. 9.3 CE tampoco es necesario ya examinar si, como consecuencia del pretendido efecto retroactivo de la disposición impugnada, se han restringido derechos individuales incorporados al patrimonio jurídico de los beneficiarios de las ayudas”.</w:t>
      </w:r>
    </w:p>
    <w:p w:rsidR="00AC56D6" w:rsidRDefault="00AC56D6" w:rsidP="00AC56D6">
      <w:pPr>
        <w:pStyle w:val="TextoNormal"/>
      </w:pPr>
    </w:p>
    <w:p w:rsidR="00AC56D6" w:rsidRDefault="00AC56D6" w:rsidP="00AC56D6">
      <w:pPr>
        <w:pStyle w:val="TextoNormal"/>
      </w:pPr>
      <w:r>
        <w:t xml:space="preserve">Dicha doctrina, relativa al caso de las renovaciones, por ser en el que los recurrentes se centraban, ha de extenderse al supuesto de la denegación de una prórroga, en cuanto que su </w:t>
      </w:r>
      <w:r w:rsidRPr="00AC56D6">
        <w:rPr>
          <w:i/>
        </w:rPr>
        <w:t>ratio decidendi</w:t>
      </w:r>
      <w:r>
        <w:t xml:space="preserve"> le es perfectamente aplicable. Al igual que en el caso de la STC 216/2015, la norma reguladora de las ayudas cuya prórroga se solicita, en este caso el art. 23 del Real Decreto 801/2005, de 1 de julio, por el que se aprueba el plan estatal 2005-2008, para favorecer el acceso de los ciudadanos a la vivienda, establecía que el régimen de renovación de la ayuda inicialmente concedida no era automático (“podrá ser ampliada”) y lo sujetaba a la existencia de una previa solicitud y al mantenimiento de los requisitos exigidos para su concesión inicial, lo que determina que la prórroga no sea un acto reglado, sin que el beneficiario de la ayuda tenga derecho a la renovación o prórroga.</w:t>
      </w:r>
    </w:p>
    <w:p w:rsidR="00AC56D6" w:rsidRDefault="00AC56D6" w:rsidP="00AC56D6">
      <w:pPr>
        <w:pStyle w:val="TextoNormal"/>
      </w:pPr>
    </w:p>
    <w:p w:rsidR="00AC56D6" w:rsidRDefault="00AC56D6" w:rsidP="00AC56D6">
      <w:pPr>
        <w:pStyle w:val="TextoNormal"/>
      </w:pPr>
      <w:r>
        <w:t>Por ello este primer motivo de inconstitucionalidad ha de ser desestimado.</w:t>
      </w:r>
    </w:p>
    <w:p w:rsidR="00AC56D6" w:rsidRDefault="00AC56D6" w:rsidP="00AC56D6">
      <w:pPr>
        <w:pStyle w:val="TextoNormal"/>
      </w:pPr>
    </w:p>
    <w:p w:rsidR="00AC56D6" w:rsidRDefault="00AC56D6" w:rsidP="00AC56D6">
      <w:pPr>
        <w:pStyle w:val="TextoNormal"/>
      </w:pPr>
      <w:r w:rsidRPr="00AC56D6">
        <w:rPr>
          <w:rStyle w:val="NumeroAFNegritaCaracter"/>
        </w:rPr>
        <w:t>4</w:t>
      </w:r>
      <w:r>
        <w:t>. La denunciada infracción del art. 33.3 CE ha de ser también rechazada por las mismas razones expresadas en la STC 216/2015, FJ 9, en la que este Tribunal la descartó “por inexistencia del presupuesto de base imprescindible para que entre en juego la protección que dispensa el precepto constitucional invocado”.</w:t>
      </w:r>
    </w:p>
    <w:p w:rsidR="00AC56D6" w:rsidRDefault="00AC56D6" w:rsidP="00AC56D6">
      <w:pPr>
        <w:pStyle w:val="TextoNormal"/>
      </w:pPr>
    </w:p>
    <w:p w:rsidR="00AC56D6" w:rsidRDefault="00AC56D6" w:rsidP="00AC56D6">
      <w:pPr>
        <w:pStyle w:val="TextoNormal"/>
      </w:pPr>
      <w:r>
        <w:t xml:space="preserve">Ya hemos comprobado que de la normativa aplicable se desprende que la renovación de las ayudas de subsidiación no es automática, sino que es preciso que el beneficiario de la subsidiación solicite su renovación dentro del quinto año del periodo inicial y que acredite que sigue reuniendo las condiciones requeridas para la concesión de la ayuda. De esta manera, como sucede en el caso </w:t>
      </w:r>
      <w:r w:rsidRPr="00AC56D6">
        <w:rPr>
          <w:i/>
        </w:rPr>
        <w:t>a quo</w:t>
      </w:r>
      <w:r>
        <w:t>, quien disfrutaba de una ayuda de subsidiación al amparo del Real Decreto 801/2005 no tenía un derecho subjetivo a la renovación, sino una mera expectativa de renovación en cuanto que cumpliera las condiciones exigidas por la normativa. Así, tal como señala la STC 216/2015, FJ 9, “[E]sa mera expectativa se tiene que consolidar mediante el correspondiente acto declarativo de derechos —en este caso la decisión de autorizar la renovación— adoptado por el órgano administrativo competente. En consecuencia, cuando se modifican las condiciones de obtención de la renovación o simplemente se suprime esa posibilidad, los beneficiarios de ayudas de subsidiación no pueden oponer un derecho subjetivo o un interés legítimo de carácter patrimonial incorporado a su patrimonio. Por tanto, debemos declarar que la disposición impugnada no priva de derechos subjetivos o intereses legítimos de carácter patrimonial incorporados al patrimonio jurídico de los beneficiarios de las ayudas y, por tanto, no resulta aplicable la protección constitucional que contempla el art. 33.3 CE”.</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Desestimar la presente cuestión de inconstitucionalidad.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catorce de diciembre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25" w:name="SENTENCIA_2015_269"/>
      <w:r>
        <w:lastRenderedPageBreak/>
        <w:t>SENTENCIA 269/2015, de 17 de diciembre de 2015</w:t>
      </w:r>
    </w:p>
    <w:bookmarkEnd w:id="125"/>
    <w:p w:rsidR="00AC56D6" w:rsidRDefault="00AC56D6" w:rsidP="00AC56D6">
      <w:pPr>
        <w:pStyle w:val="TtuloResolucin"/>
      </w:pPr>
      <w:r>
        <w:t>Pleno</w:t>
      </w:r>
    </w:p>
    <w:p w:rsidR="00AC56D6" w:rsidRDefault="00AC56D6" w:rsidP="00AC56D6">
      <w:pPr>
        <w:pStyle w:val="TtuloBOE"/>
      </w:pPr>
      <w:r>
        <w:t>(BOE núm. 19, de 22 de enero de 2016)</w:t>
      </w:r>
    </w:p>
    <w:p w:rsidR="00AC56D6" w:rsidRDefault="00AC56D6" w:rsidP="00AC56D6">
      <w:pPr>
        <w:pStyle w:val="TextoNormalCentrado"/>
      </w:pPr>
      <w:r>
        <w:t>ECLI:ES:TC:2015:269</w:t>
      </w:r>
    </w:p>
    <w:p w:rsidR="00AC56D6" w:rsidRDefault="00AC56D6" w:rsidP="00AC56D6">
      <w:pPr>
        <w:pStyle w:val="TextoNormalCentrado"/>
      </w:pPr>
    </w:p>
    <w:p w:rsidR="00AC56D6" w:rsidRDefault="00AC56D6" w:rsidP="00AC56D6">
      <w:pPr>
        <w:pStyle w:val="SntesisDescriptiva"/>
      </w:pPr>
      <w:r>
        <w:t>Cuestión de inconstitucionalidad 2869-2012. Planteada por la Sala de lo Contencioso-Administrativo del Tribunal Superior de Justicia de Castilla y León, con sede en Valladolid, sobre la Ley de Castilla y León 2/2008, de 17 de junio, de declaración de proyecto regional para la instalación de un centro de tratamiento de residuos industriales no peligrosos en el término municipal de Fresno de la Ribera (Zamora).</w:t>
      </w:r>
    </w:p>
    <w:p w:rsidR="00AC56D6" w:rsidRDefault="00AC56D6" w:rsidP="00AC56D6">
      <w:pPr>
        <w:pStyle w:val="SntesisDescriptiva"/>
      </w:pPr>
    </w:p>
    <w:p w:rsidR="00AC56D6" w:rsidRDefault="00AC56D6" w:rsidP="00AC56D6">
      <w:pPr>
        <w:pStyle w:val="SntesisAnaltica"/>
      </w:pPr>
      <w:r>
        <w:t>Principio de interdicción de la arbitrariedad de los poderes públicos, derecho a la tutela judicial efectiva (ejecución) y competencias en materia ambiental: inadmisión de la cuestión de inconstitucionalidad que no respeta su carácter prejudicial.</w:t>
      </w:r>
    </w:p>
    <w:p w:rsidR="00AC56D6" w:rsidRDefault="00AC56D6" w:rsidP="00AC56D6">
      <w:pPr>
        <w:pStyle w:val="SntesisAnaltica"/>
      </w:pPr>
    </w:p>
    <w:p w:rsidR="00AC56D6" w:rsidRDefault="00AC56D6" w:rsidP="00AC56D6">
      <w:pPr>
        <w:pStyle w:val="Extracto"/>
      </w:pPr>
      <w:r>
        <w:t>1.</w:t>
      </w:r>
      <w:r>
        <w:tab/>
        <w:t>El planteamiento de la cuestión de inconstitucionalidad en relación con una norma que ya ha sido aplicada en el propio proceso por el órgano proponente, provoca la inadmisión de la misma por no haberse respetado su carácter prejudicial (AATC 361/2004, 220/2012, 35/2013) [FJ 2].</w:t>
      </w:r>
    </w:p>
    <w:p w:rsidR="00AC56D6" w:rsidRDefault="00AC56D6" w:rsidP="00AC56D6">
      <w:pPr>
        <w:pStyle w:val="Extracto"/>
      </w:pPr>
    </w:p>
    <w:p w:rsidR="00AC56D6" w:rsidRDefault="00AC56D6" w:rsidP="00AC56D6">
      <w:pPr>
        <w:pStyle w:val="Extracto"/>
      </w:pPr>
      <w:r>
        <w:t>2.</w:t>
      </w:r>
      <w:r>
        <w:tab/>
        <w:t>El Tribunal efectúa este pronunciamiento de inadmisión de una cuestión de inconstitucionalidad en la fase de resolución de la misma, esto es, mediante sentencia, dado que la tramitación específica del art. 37.1 de la Ley Orgánica del Tribunal Constitucional no tiene carácter preclusivo (STC 42/2013) [FJ 2].</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 xml:space="preserve">En la cuestión de inconstitucionalidad núm. 2869-2012 promovida por la Sala de lo Contencioso-Administrativo del Tribunal Superior de Justicia de Castilla y León (sede de Valladolid) sobre la Ley de Castilla y León 2/2008, de 17 de junio, de declaración de proyecto regional para la instalación de un centro de tratamiento de residuos industriales no peligrosos en el término municipal de Fresno de la Ribera (Zamora), por posible vulneración de los arts. 9.3 CE y 24.1 CE, en relación con el art. 117 CE, en su vertiente de derecho a la ejecución de las resoluciones judiciales y del art. 149.1.23 CE, en relación con el art. 5.4 de </w:t>
      </w:r>
      <w:r>
        <w:lastRenderedPageBreak/>
        <w:t>la Ley 10/1998, de 21 de abril de residuos. Han comparecido y formulado alegaciones el Abogado del Estado, el Fiscal General del Estado y el Gobierno de Castilla y León. Ha sido Ponente el Magistrado don Santiago Martínez-Vares García,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presentado en el Registro General de este Tribunal Constitucional el día 16 de mayo de 2012 al que se acompaña, junto con el testimonio del procedimiento correspondiente, el Auto de 19 de abril de 2012, la Sala de lo Contencioso-Administrativo del Tribunal Superior de Justicia de Castilla y León (sede de Valladolid) plantea cuestión de inconstitucionalidad sobre la Ley de Castilla y León 2/2008, de17 de junio, de declaración de proyecto regional para la instalación de un centro de tratamiento de residuos industriales no peligrosos en el término municipal de Fresno de la Ribera (Zamora), por posible vulneración de los arts. 9.3 CE y 24.1 CE, en relación con el art. 117 CE, en su vertiente de derecho a la ejecución de las resoluciones judiciales y del art. 149.1.23 CE, en relación con el art. 5.4 de la Ley 10/1998, de 21 de abril, de residuos.</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del planteamiento de la presente cuestión de inconstitucionalidad, tal y como los relata la propia Sala, son los siguientes:</w:t>
      </w:r>
    </w:p>
    <w:p w:rsidR="00AC56D6" w:rsidRDefault="00AC56D6" w:rsidP="00AC56D6">
      <w:pPr>
        <w:pStyle w:val="TextoNormal"/>
      </w:pPr>
    </w:p>
    <w:p w:rsidR="00AC56D6" w:rsidRDefault="00AC56D6" w:rsidP="00AC56D6">
      <w:pPr>
        <w:pStyle w:val="TextoNormal"/>
      </w:pPr>
      <w:r>
        <w:t>a) La Sala de lo Contencioso-Administrativo del Tribunal Superior de Justicia de Castilla y León dictó Auto el 4 de julio de 2007 por el que se accedía a la medida cautelar de suspensión de la ejecutividad de la Orden de 10 de julio de 2006 de la Consejería de Medio Ambiente de la Junta de Castilla y León por la que se concede autorización ambiental a la entidad mercantil TRECISA para la construcción de un centro de tratamiento de residuos industriales no peligrosos en el término municipal de Fresno de la Ribera (Zamora). Medida cautelar solicitada por la federación Ecologistas en Acción de Castilla y León en el marco del recurso interpuesto contra la referida Orden.</w:t>
      </w:r>
    </w:p>
    <w:p w:rsidR="00AC56D6" w:rsidRDefault="00AC56D6" w:rsidP="00AC56D6">
      <w:pPr>
        <w:pStyle w:val="TextoNormal"/>
      </w:pPr>
    </w:p>
    <w:p w:rsidR="00AC56D6" w:rsidRDefault="00AC56D6" w:rsidP="00AC56D6">
      <w:pPr>
        <w:pStyle w:val="TextoNormal"/>
      </w:pPr>
      <w:r>
        <w:t>b) El 24 de junio de 2008 se publicó en el “Boletín Oficial de Castilla y León” la Ley 2/2008, de17 de junio, de declaración de proyecto regional para la instalación de un centro de tratamiento de residuos industriales no peligrosos en el término municipal de Fresno de la Ribera (Zamora). Conferido traslado a las partes en la pieza separada de suspensión sobre la incidencia de esta norma en el referido incidente, la Sala, tras oír a las partes, acuerda el 25 de noviembre de 2009, mediante providencia, no acceder a la paralización de la obras interesada por la parte recurrente en la pieza de medidas cautelares al haber otorgado la Ley 2/2008 autorización ambiental para la construcción del centro de residuos litigioso.</w:t>
      </w:r>
    </w:p>
    <w:p w:rsidR="00AC56D6" w:rsidRDefault="00AC56D6" w:rsidP="00AC56D6">
      <w:pPr>
        <w:pStyle w:val="TextoNormal"/>
      </w:pPr>
    </w:p>
    <w:p w:rsidR="00AC56D6" w:rsidRDefault="00AC56D6" w:rsidP="00AC56D6">
      <w:pPr>
        <w:pStyle w:val="TextoNormal"/>
      </w:pPr>
      <w:r>
        <w:t xml:space="preserve">c) La recurrente, la Federación Ecologistas en Acción de Castilla y León solicita mediante escrito de 15 de noviembre de 2010, la ampliación del recurso en su día interpuesto a la Resolución de 1 de septiembre de 2010, de la Dirección General de Prevención Ambiental y Ordenación del Territorio, por la que se hace pública la Orden de 6 de agosto de 2010 por la que se acuerda considerar como modificación no sustancial la ampliación de la relación de residuos admisibles en las instalaciones que cuentan con autorización ambiental según la Ley 2/2008, de 17 de junio, de declaración de Proyecto Regional para la instalación de un centro de tratamiento de residuos industriales no peligrosos en el término municipal </w:t>
      </w:r>
      <w:r>
        <w:lastRenderedPageBreak/>
        <w:t>de Fresno de la Ribera (Zamora) y frente a la Resolución de 11 de enero de 2010 por la que se notifica al titular de la instalación que puede proceder al inicio de la actividad. La recurrente solicita el planteamiento de cuestión de inconstitucionalidad contra la Ley 2/2008, de 17 de junio. Por providencia de 18 de enero de 2011 se tuvo por ampliado el recurso contencioso-administrativo a las dos resoluciones mencionadas.</w:t>
      </w:r>
    </w:p>
    <w:p w:rsidR="00AC56D6" w:rsidRDefault="00AC56D6" w:rsidP="00AC56D6">
      <w:pPr>
        <w:pStyle w:val="TextoNormal"/>
      </w:pPr>
    </w:p>
    <w:p w:rsidR="00AC56D6" w:rsidRDefault="00AC56D6" w:rsidP="00AC56D6">
      <w:pPr>
        <w:pStyle w:val="TextoNormal"/>
      </w:pPr>
      <w:r>
        <w:t>d) El 26 de marzo de 2012 el órgano judicial dictó providencia por la que se acuerda oír a las partes y al Ministerio Fiscal sobre la procedencia de plantear cuestión de inconstitucionalidad en relación con la Ley 2/2008, de 17 de junio, por la posible infracción de los siguientes preceptos constitucionales:</w:t>
      </w:r>
    </w:p>
    <w:p w:rsidR="00AC56D6" w:rsidRDefault="00AC56D6" w:rsidP="00AC56D6">
      <w:pPr>
        <w:pStyle w:val="TextoNormal"/>
      </w:pPr>
    </w:p>
    <w:p w:rsidR="00AC56D6" w:rsidRDefault="00AC56D6" w:rsidP="00AC56D6">
      <w:pPr>
        <w:pStyle w:val="TextoNormal"/>
      </w:pPr>
      <w:r>
        <w:t>- Infracción del art. 149.1.23 CE, en relación con el art. 5.4 de la Ley 10/1998, de 21 de abril, de residuos, que tiene la consideración de legislación básica sobre medio ambiente, en cuanto que se concede autorización ambiental y se autoriza la ejecución del proyecto para la instalación de un centro de tratamiento de residuos industriales no peligrosos en el término municipal de Fresno de la Ribera (Zamora), sin que exista un plan regional de ámbito sectorial de residuos industriales de Castilla y León, ya que el plan de residuos industriales de Castilla y León 2002-2010, ha sido anulado por Sentencia firme de 18 de marzo de 2004 de la Sala de lo Contencioso-Administrativo del Tribunal Superior de Justicia de Castilla y León, precisamente por omitir los lugares e instalaciones apropiados para la eliminación de los residuos que exige el art. 5.4 de la Ley 10/1998, de 21 de abril de residuos. Igualmente el plan regional de ámbito sectorial de residuos industriales de Castilla León 2006-2010 ha sido anulado por Sentencia de 22 de junio de 2007, por la misma razón que el anterior. Sentencia confirmada por el Tribunal Supremo en sentencia de 18 de octubre de 2011.</w:t>
      </w:r>
    </w:p>
    <w:p w:rsidR="00AC56D6" w:rsidRDefault="00AC56D6" w:rsidP="00AC56D6">
      <w:pPr>
        <w:pStyle w:val="TextoNormal"/>
      </w:pPr>
    </w:p>
    <w:p w:rsidR="00AC56D6" w:rsidRDefault="00AC56D6" w:rsidP="00AC56D6">
      <w:pPr>
        <w:pStyle w:val="TextoNormal"/>
      </w:pPr>
      <w:r>
        <w:t xml:space="preserve">- Infracción del artículo 24.1 CE, en relación con el art. 117.3 CE, en su vertiente de derecho a la ejecución de las resoluciones judiciales, por cuanto la citada Ley se configura como una ley </w:t>
      </w:r>
      <w:r w:rsidRPr="00AC56D6">
        <w:rPr>
          <w:i/>
        </w:rPr>
        <w:t>ad casum</w:t>
      </w:r>
      <w:r>
        <w:t xml:space="preserve"> con el propósito de eludir los autos de la Sala que suspendían la ejecutividad de la autorización ambiental concedida a TRECISA.</w:t>
      </w:r>
    </w:p>
    <w:p w:rsidR="00AC56D6" w:rsidRDefault="00AC56D6" w:rsidP="00AC56D6">
      <w:pPr>
        <w:pStyle w:val="TextoNormal"/>
      </w:pPr>
    </w:p>
    <w:p w:rsidR="00AC56D6" w:rsidRDefault="00AC56D6" w:rsidP="00AC56D6">
      <w:pPr>
        <w:pStyle w:val="TextoNormal"/>
      </w:pPr>
      <w:r>
        <w:t>- Infracción del art. 23 CE, en relación con el 9 CE, pues la declaración por ley del proyecto regional impide la intervención de los ciudadanos en los asuntos públicos a través del trámite de intervención pública, así como su facultad de ejercer la acción pública que la ley les otorga en el control de la legalidad urbanística y ambiental.</w:t>
      </w:r>
    </w:p>
    <w:p w:rsidR="00AC56D6" w:rsidRDefault="00AC56D6" w:rsidP="00AC56D6">
      <w:pPr>
        <w:pStyle w:val="TextoNormal"/>
      </w:pPr>
    </w:p>
    <w:p w:rsidR="00AC56D6" w:rsidRDefault="00AC56D6" w:rsidP="00AC56D6">
      <w:pPr>
        <w:pStyle w:val="TextoNormal"/>
      </w:pPr>
      <w:r>
        <w:t>- Infracción del art. 24.2 CE por vulneración del derecho al Juez ordinario predeterminado por la ley, al privar a los ciudadanos de la posibilidad de acudir a la jurisdicción ordinaria para defender sus derechos legítimos.</w:t>
      </w:r>
    </w:p>
    <w:p w:rsidR="00AC56D6" w:rsidRDefault="00AC56D6" w:rsidP="00AC56D6">
      <w:pPr>
        <w:pStyle w:val="TextoNormal"/>
      </w:pPr>
    </w:p>
    <w:p w:rsidR="00AC56D6" w:rsidRDefault="00AC56D6" w:rsidP="00AC56D6">
      <w:pPr>
        <w:pStyle w:val="TextoNormal"/>
      </w:pPr>
      <w:r>
        <w:t>- Infracción de los principios constitucionales de división de poderes, generalidad de la ley, reserva de jurisdicción, jerarquía normativa, reserva de la Administración de la acción ejecutiva y control judicial de la actividad administrativa.</w:t>
      </w:r>
    </w:p>
    <w:p w:rsidR="00AC56D6" w:rsidRDefault="00AC56D6" w:rsidP="00AC56D6">
      <w:pPr>
        <w:pStyle w:val="TextoNormal"/>
      </w:pPr>
    </w:p>
    <w:p w:rsidR="00AC56D6" w:rsidRDefault="00AC56D6" w:rsidP="00AC56D6">
      <w:pPr>
        <w:pStyle w:val="TextoNormal"/>
      </w:pPr>
      <w:r>
        <w:t>- Infracción del principio de igualdad en la ley (art. 14 CE).</w:t>
      </w:r>
    </w:p>
    <w:p w:rsidR="00AC56D6" w:rsidRDefault="00AC56D6" w:rsidP="00AC56D6">
      <w:pPr>
        <w:pStyle w:val="TextoNormal"/>
      </w:pPr>
    </w:p>
    <w:p w:rsidR="00AC56D6" w:rsidRDefault="00AC56D6" w:rsidP="00AC56D6">
      <w:pPr>
        <w:pStyle w:val="TextoNormal"/>
      </w:pPr>
      <w:r>
        <w:t>- Infracción del principio de autonomía municipal del art. 140 CE al privar al Ayuntamiento afectado de la competencia para autorizar las obras.</w:t>
      </w:r>
    </w:p>
    <w:p w:rsidR="00AC56D6" w:rsidRDefault="00AC56D6" w:rsidP="00AC56D6">
      <w:pPr>
        <w:pStyle w:val="TextoNormal"/>
      </w:pPr>
    </w:p>
    <w:p w:rsidR="00AC56D6" w:rsidRDefault="00AC56D6" w:rsidP="00AC56D6">
      <w:pPr>
        <w:pStyle w:val="TextoNormal"/>
      </w:pPr>
      <w:r>
        <w:t>- Infracción de los arts. 43 CE y 45 CE, por cuanto las instalaciones pueden representar un riesgo para los habitantes de la ribera del Duero zamorana.</w:t>
      </w:r>
    </w:p>
    <w:p w:rsidR="00AC56D6" w:rsidRDefault="00AC56D6" w:rsidP="00AC56D6">
      <w:pPr>
        <w:pStyle w:val="TextoNormal"/>
      </w:pPr>
    </w:p>
    <w:p w:rsidR="00AC56D6" w:rsidRDefault="00AC56D6" w:rsidP="00AC56D6">
      <w:pPr>
        <w:pStyle w:val="TextoNormal"/>
      </w:pPr>
      <w:r>
        <w:t>- Infracción del principio de seguridad jurídica y de interdicción de la arbitrariedad.</w:t>
      </w:r>
    </w:p>
    <w:p w:rsidR="00AC56D6" w:rsidRDefault="00AC56D6" w:rsidP="00AC56D6">
      <w:pPr>
        <w:pStyle w:val="TextoNormal"/>
      </w:pPr>
    </w:p>
    <w:p w:rsidR="00AC56D6" w:rsidRDefault="00AC56D6" w:rsidP="00AC56D6">
      <w:pPr>
        <w:pStyle w:val="TextoNormal"/>
      </w:pPr>
      <w:r>
        <w:t>e) La representación procesal de la Federación Ecologista estimó procedente el planteamiento de la cuestión. La Letrada de la Junta de Castilla y León alegó la deficiente formulación del juicio de relevancia y descartó la existencia de las vulneraciones constitucionales enumeradas en la providencia de 26 de marzo de 2012. La representación de TRECISA descartó las vulneraciones referidas y alegó que la Ley 2/2008 otorga una nueva y distinta autorización ambiental por lo que la Sala puede dictar su sentencia sobre el objeto del procedimiento sin necesidad de examinar la validez de la misma. El Fiscal se limitó a informar que pudiéndose haber vulnerado algunos de los artículos relacionados en la providencia de 26 de marzo no se opone al planteamiento de la cuestión.</w:t>
      </w:r>
    </w:p>
    <w:p w:rsidR="00AC56D6" w:rsidRDefault="00AC56D6" w:rsidP="00AC56D6">
      <w:pPr>
        <w:pStyle w:val="TextoNormal"/>
      </w:pPr>
    </w:p>
    <w:p w:rsidR="00AC56D6" w:rsidRDefault="00AC56D6" w:rsidP="00AC56D6">
      <w:pPr>
        <w:pStyle w:val="TextoNormal"/>
      </w:pPr>
      <w:r>
        <w:t>f) El órgano judicial dictó Auto de 19 de abril de 2012 en el que acuerda plantear cuestión de inconstitucionalidad respecto a la Ley 2/2008, de17 de junio, de declaración de proyecto regional para la instalación de un centro de tratamiento de residuos industriales no peligrosos en el término municipal de Fresno de la Ribera (Zamora), por posible vulneración de los arts. 9.3 CE y 24.1 CE, en relación con el art. 117 CE, en su vertiente de derecho a la ejecución de las resoluciones judiciales y del art. 149.1.23 CE, en relación con el art. 5.4 de la Ley 10/1998, de 21 de abril, de residuos.</w:t>
      </w:r>
    </w:p>
    <w:p w:rsidR="00AC56D6" w:rsidRDefault="00AC56D6" w:rsidP="00AC56D6">
      <w:pPr>
        <w:pStyle w:val="TextoNormal"/>
      </w:pPr>
    </w:p>
    <w:p w:rsidR="00AC56D6" w:rsidRDefault="00AC56D6" w:rsidP="00AC56D6">
      <w:pPr>
        <w:pStyle w:val="TextoNormal"/>
      </w:pPr>
      <w:r w:rsidRPr="00AC56D6">
        <w:rPr>
          <w:rStyle w:val="NumeroAFNegritaCaracter"/>
        </w:rPr>
        <w:t>3</w:t>
      </w:r>
      <w:r>
        <w:t>. Del contenido del Auto interesa destacar lo siguiente:</w:t>
      </w:r>
    </w:p>
    <w:p w:rsidR="00AC56D6" w:rsidRDefault="00AC56D6" w:rsidP="00AC56D6">
      <w:pPr>
        <w:pStyle w:val="TextoNormal"/>
      </w:pPr>
    </w:p>
    <w:p w:rsidR="00AC56D6" w:rsidRDefault="00AC56D6" w:rsidP="00AC56D6">
      <w:pPr>
        <w:pStyle w:val="TextoNormal"/>
      </w:pPr>
      <w:r>
        <w:t>a) Tras exponer los antecedentes del caso y recoger las alegaciones de las partes en el preceptivo trámite de audiencia, inicia el Auto sus razonamientos jurídicos señalando que concurren los presupuestos formales para el planteamiento de la cuestión.</w:t>
      </w:r>
    </w:p>
    <w:p w:rsidR="00AC56D6" w:rsidRDefault="00AC56D6" w:rsidP="00AC56D6">
      <w:pPr>
        <w:pStyle w:val="TextoNormal"/>
      </w:pPr>
    </w:p>
    <w:p w:rsidR="00AC56D6" w:rsidRDefault="00AC56D6" w:rsidP="00AC56D6">
      <w:pPr>
        <w:pStyle w:val="TextoNormal"/>
      </w:pPr>
      <w:r>
        <w:t>Para la Sala la interrelación entre la validez de la Ley 2/2008 y el fallo de la sentencia resulta de que en el recurso contencioso administrativo se han impugnado tanto la Orden de 10 de julio de 2006, por la que se concede autorización ambiental a la entidad mercantil TRECISA para la construcción de un centro de tratamiento de residuos industriales en el término municipal de Fresno de la Ribera (Zamora) y cuya suspensión no pudo hacerse efectiva continuando la entidad codemandada con la construcción de la instalación que dicha orden autorizaba como consecuencia de la adopción de la Ley 2/2008; como la resolución de 11 de enero de 2010 por la que se notifica al titular de la instalación que puede proceder al inicio de la actividad y la Orden de 6 de agosto de 2010 por la que se acuerda considerar como modificación no sustancial la ampliación de la relación de residuos admisibles en las instalaciones que cuentan con autorización ambiental según la Ley 2/2008. Para la Sala la validez de la referida Ley depende que sea o no conforme a Derecho la autorización de la puesta en marcha de la instalación construida con arreglo al proyecto y la autorización ambiental amparados en ella, así como la modificación no sustancial realizada, porque si es nula la autorización ambiental otorgada por la Ley también lo es su modificación no sustancial.</w:t>
      </w:r>
    </w:p>
    <w:p w:rsidR="00AC56D6" w:rsidRDefault="00AC56D6" w:rsidP="00AC56D6">
      <w:pPr>
        <w:pStyle w:val="TextoNormal"/>
      </w:pPr>
    </w:p>
    <w:p w:rsidR="00AC56D6" w:rsidRDefault="00AC56D6" w:rsidP="00AC56D6">
      <w:pPr>
        <w:pStyle w:val="TextoNormal"/>
      </w:pPr>
      <w:r>
        <w:lastRenderedPageBreak/>
        <w:t>b) Respecto al fondo del asunto el órgano judicial se plantea la posible inconstitucionalidad de la Ley 2/2008, de 17 de junio, en primer lugar, por estimar que puede infringir el art. 149.1.23 CE, en relación con el art. 5.4 de la Ley estatal 10/1998, de 21 de abril, de residuos, que tiene la consideración de legislación básica sobre medio ambiente, en cuanto que se concede autorización ambiental y se autoriza la ejecución del proyecto para la instalación de un centro de tratamiento de residuos industriales no peligrosos en el término municipal de Fresno de la Ribera (Zamora), sin que exista un plan regional de ámbito sectorial de residuos industriales de Castilla y León en el que se contemple la localidad de Fresno de la Ribera (Zamora) como lugar apropiado para la ubicación de instalaciones de eliminación de residuos ya que el plan de residuos industriales de Castilla y León 2002-2010, había sido anulado por sentencia firme de 18 de marzo de 2004 de la Sala de lo Contencioso-Administrativo del Tribunal Superior de Justicia de Castilla y León, precisamente por omitir los lugares e instalaciones apropiados para la eliminación de los residuos que exige el art. 5.4 de la Ley 10/1998, de 21 de abril, de residuos. Igualmente el plan regional de ámbito sectorial de residuos industriales de Castilla León 2006-2010 había sido anulado por sentencia de 22 de junio de 2007, por la misma razón que el anterior. Sentencia confirmada por el Tribunal Supremo en sentencia de 18 de octubre de 2011.</w:t>
      </w:r>
    </w:p>
    <w:p w:rsidR="00AC56D6" w:rsidRDefault="00AC56D6" w:rsidP="00AC56D6">
      <w:pPr>
        <w:pStyle w:val="TextoNormal"/>
      </w:pPr>
    </w:p>
    <w:p w:rsidR="00AC56D6" w:rsidRDefault="00AC56D6" w:rsidP="00AC56D6">
      <w:pPr>
        <w:pStyle w:val="TextoNormal"/>
      </w:pPr>
      <w:r>
        <w:t>Para la Sala, la Ley 2/2008 está habilitando directamente la ubicación de un centro de eliminación de residuos sin que previamente se haya previsto en un plan autonómico, como exige la legislación básica estatal y, por tanto, con infracción de la misma. Asimismo, señala el órgano judicial que se produce la infracción del ordenamiento de la Unión Europea, pues la Ley 10/1998, de 21 de abril, de residuos, adapta al ordenamiento español la Directiva del Consejo 75/442/CEE, de 15 de julio de 1975, que pretende la creación de una red integrada y adecuada de instalaciones de eliminación de residuos y en cuyo artículo 7 se establece que “para realizar los objetivos a los que se refieren los artículos 3, 4 y 5, la autoridad o autoridades competentes a que se refiere el artículo 6 tendrán la obligación de establecer tan pronto como sea posible uno o varios planes de gestión de residuos. Dichos planes se referirán en particular a … los lugares o instalaciones apropiados para la eliminación”. Así, para el órgano judicial los planes de gestión de residuos son fundamentales para alcanzar los objetivos mencionados.</w:t>
      </w:r>
    </w:p>
    <w:p w:rsidR="00AC56D6" w:rsidRDefault="00AC56D6" w:rsidP="00AC56D6">
      <w:pPr>
        <w:pStyle w:val="TextoNormal"/>
      </w:pPr>
    </w:p>
    <w:p w:rsidR="00AC56D6" w:rsidRDefault="00AC56D6" w:rsidP="00AC56D6">
      <w:pPr>
        <w:pStyle w:val="TextoNormal"/>
      </w:pPr>
      <w:r>
        <w:t>Para el órgano judicial la Ley 2/2008 no verifica la racionalidad de la decisión de la ubicación desde la perspectiva de los objetivos perseguidos por la Directiva en aras a conseguir una red integrada y adecuada de instalaciones de eliminación de residuos.</w:t>
      </w:r>
    </w:p>
    <w:p w:rsidR="00AC56D6" w:rsidRDefault="00AC56D6" w:rsidP="00AC56D6">
      <w:pPr>
        <w:pStyle w:val="TextoNormal"/>
      </w:pPr>
    </w:p>
    <w:p w:rsidR="00AC56D6" w:rsidRDefault="00AC56D6" w:rsidP="00AC56D6">
      <w:pPr>
        <w:pStyle w:val="TextoNormal"/>
      </w:pPr>
      <w:r>
        <w:t xml:space="preserve">c) A continuación se plantea el órgano judicial la posible inconstitucionalidad de la Ley 2/2008, de 17 de junio, por infracción del artículo 24.1 CE, en relación con el art. 117.3 CE, en su vertiente de derecho a la ejecución de las resoluciones judiciales, por cuanto la citada Ley se configura como una ley </w:t>
      </w:r>
      <w:r w:rsidRPr="00AC56D6">
        <w:rPr>
          <w:i/>
        </w:rPr>
        <w:t>ad casum</w:t>
      </w:r>
      <w:r>
        <w:t xml:space="preserve"> con el propósito de eludir los autos de la Sala que suspendían la ejecutividad de la autorización ambiental concedida a TRECISA. Reproduce el órgano judicial el Auto del Tribunal Supremo de 18 de enero de 2012 en el que se plantea una cuestión de inconstitucionalidad por la misma infracción y en el que se cita abundantemente la doctrina del Tribunal Constitucional sobre la cuestión recogida en la STC 73/2000.</w:t>
      </w:r>
    </w:p>
    <w:p w:rsidR="00AC56D6" w:rsidRDefault="00AC56D6" w:rsidP="00AC56D6">
      <w:pPr>
        <w:pStyle w:val="TextoNormal"/>
      </w:pPr>
    </w:p>
    <w:p w:rsidR="00AC56D6" w:rsidRDefault="00AC56D6" w:rsidP="00AC56D6">
      <w:pPr>
        <w:pStyle w:val="TextoNormal"/>
      </w:pPr>
      <w:r>
        <w:t xml:space="preserve">Para el órgano judicial no nos hallamos ante una innovación legislativa aprobada </w:t>
      </w:r>
      <w:r w:rsidRPr="00AC56D6">
        <w:rPr>
          <w:i/>
        </w:rPr>
        <w:t>pro futuro</w:t>
      </w:r>
      <w:r>
        <w:t xml:space="preserve"> con vocación de aplicación general y con abstracción de situaciones concretas. Para el órgano judicial la Ley 2/2008 carece de cualquier pretensión de generalidad, y sólo busca </w:t>
      </w:r>
      <w:r>
        <w:lastRenderedPageBreak/>
        <w:t>despejar un problema singular, cual es el de dar cobertura legislativa a actuaciones administrativas suspendidas por resoluciones judiciales firmes. Para la sala proponente, la elevación del rango del acto administrativo impugnado en la medida en que pretende impedir la ejecución de la resolución judicial firme que acordaba su suspensión, vulnera el derecho fundamental a la tutela judicial efectiva en la vertiente de derecho a la ejecución de las resoluciones judiciales, e infringe asimismo la reserva de jurisdicción que otorga a los Juzgados y Tribunales el art. 117.3 CE. El efecto directo de la norma es excluir de la fiscalización de la jurisdicción contencioso-administrativa la actuación administrativa impugnada desde el momento en que, a través de la norma impugnada, se dota de fuerza legal a una disposición administrativa previamente anulada.</w:t>
      </w:r>
    </w:p>
    <w:p w:rsidR="00AC56D6" w:rsidRDefault="00AC56D6" w:rsidP="00AC56D6">
      <w:pPr>
        <w:pStyle w:val="TextoNormal"/>
      </w:pPr>
    </w:p>
    <w:p w:rsidR="00AC56D6" w:rsidRDefault="00AC56D6" w:rsidP="00AC56D6">
      <w:pPr>
        <w:pStyle w:val="TextoNormal"/>
      </w:pPr>
      <w:r w:rsidRPr="00AC56D6">
        <w:rPr>
          <w:rStyle w:val="NumeroAFNegritaCaracter"/>
        </w:rPr>
        <w:t>4</w:t>
      </w:r>
      <w:r>
        <w:t>. Mediante providencia de 3 de julio de 2012, el Pleno, a propuesta de la Sección Cuarta, acuerda admitir a trámite la presente cuestión y reservarse para sí el conocimiento de la misma; dar traslado de las actuaciones recibidas, conforme establece el artículo 37.3 de la Ley Orgánica del Tribunal Constitucional (LOTC), al Congreso de los Diputados y al Senado, por conducto de sus Presidentes, al Gobierno, por conducto del Ministro de Justicia, y al Fiscal General del Estado, así como al Gobierno de la Junta de Castilla y León y a las Cortes de Castilla y León, por conducto de sus Presidentes, al objeto de que, en el improrrogable plazo de quince días, puedan personarse en el proceso y formular las alegaciones que estimen convenientes; comunicar la presente resolución a la Sala de lo Contencioso-Administrativo del Tribunal Superior de Justicia de Castilla y León, a fin de que, de conformidad con lo dispuesto en el art. 35.3 LOTC, permanezca suspendido el proceso hasta que este Tribunal resuelva definitivamente la presente cuestión. Finalmente se ordenó publicar la incoación de la cuestión en el “Boletín Oficial del Estado” y en el “Boletín Oficial de Castilla y León”.</w:t>
      </w:r>
    </w:p>
    <w:p w:rsidR="00AC56D6" w:rsidRDefault="00AC56D6" w:rsidP="00AC56D6">
      <w:pPr>
        <w:pStyle w:val="TextoNormal"/>
      </w:pPr>
    </w:p>
    <w:p w:rsidR="00AC56D6" w:rsidRDefault="00AC56D6" w:rsidP="00AC56D6">
      <w:pPr>
        <w:pStyle w:val="TextoNormal"/>
      </w:pPr>
      <w:r w:rsidRPr="00AC56D6">
        <w:rPr>
          <w:rStyle w:val="NumeroAFNegritaCaracter"/>
        </w:rPr>
        <w:t>5</w:t>
      </w:r>
      <w:r>
        <w:t>. El Presidente del Senado, en escrito registrado con fecha 18 de julio de 2012, comunicó a este Tribunal que la Mesa de la Cámara adoptó el acuerdo de personarse en el proceso, ofreciendo su colaboración a los efectos del art. 88.1 LOTC. Idéntica comunicación efectuó el Presidente del Congreso de los Diputados mediante escrito registrado en este Tribunal el día 19 de julio de 2012.</w:t>
      </w:r>
    </w:p>
    <w:p w:rsidR="00AC56D6" w:rsidRDefault="00AC56D6" w:rsidP="00AC56D6">
      <w:pPr>
        <w:pStyle w:val="TextoNormal"/>
      </w:pPr>
    </w:p>
    <w:p w:rsidR="00AC56D6" w:rsidRDefault="00AC56D6" w:rsidP="00AC56D6">
      <w:pPr>
        <w:pStyle w:val="TextoNormal"/>
      </w:pPr>
      <w:r w:rsidRPr="00AC56D6">
        <w:rPr>
          <w:rStyle w:val="NumeroAFNegritaCaracter"/>
        </w:rPr>
        <w:t>6</w:t>
      </w:r>
      <w:r>
        <w:t>. El 23 de julio de 2012 se personó en el proceso el Abogado del Estado, en nombre del Gobierno, y en su escrito limita sus alegaciones a la posible vulneración del art. 149.1.23 CE en relación con el art. 5.4 de la Ley estatal 10/1998, de 21 de abril, de residuos.</w:t>
      </w:r>
    </w:p>
    <w:p w:rsidR="00AC56D6" w:rsidRDefault="00AC56D6" w:rsidP="00AC56D6">
      <w:pPr>
        <w:pStyle w:val="TextoNormal"/>
      </w:pPr>
    </w:p>
    <w:p w:rsidR="00AC56D6" w:rsidRDefault="00AC56D6" w:rsidP="00AC56D6">
      <w:pPr>
        <w:pStyle w:val="TextoNormal"/>
      </w:pPr>
      <w:r>
        <w:t>Tras destacar el carácter formal y materialmente básico del art. 5.4 de la Ley 10/1998, de 21 de abril, de residuos, procede el escrito del Abogado del Estado a examinar si existe una contradicción efectiva e insalvable entre el precepto básico estatal y la norma autonómica. Para el Abogado del Estado, la Ley 2/2008 viene justamente a incluir la determinación que se echó en falta en el plan regional, la fijación del lugar de la instalación. Puesto que la Ley 2/2008 no puede calificarse de plan autonómico de residuos no le vincula el contenido necesario que fija el art. 5.4 de la Ley 10/1998, de 21 de abril, de residuos y por tanto no se evidencia contradicción efectiva e insalvable entre el precepto básico estatal y la ley autonómica cuestionada.</w:t>
      </w:r>
    </w:p>
    <w:p w:rsidR="00AC56D6" w:rsidRDefault="00AC56D6" w:rsidP="00AC56D6">
      <w:pPr>
        <w:pStyle w:val="TextoNormal"/>
      </w:pPr>
    </w:p>
    <w:p w:rsidR="00AC56D6" w:rsidRDefault="00AC56D6" w:rsidP="00AC56D6">
      <w:pPr>
        <w:pStyle w:val="TextoNormal"/>
      </w:pPr>
      <w:r>
        <w:lastRenderedPageBreak/>
        <w:t>Para el Abogado del Estado, sin embargo, el art. 2 de la Ley cuestionada vulneraría el art. 13.1 de la Ley 10/1998 en cuanto establece que la concesión de la autorización ambiental se dará por el órgano ambiental competente de la Comunidad Autónoma, con lo que se persigue asegurar que la ponderación de los elementos determinantes de la concesión de la autorización se lleve a efecto mediante un juicio experto y motivado que no puede ser válidamente sustituido por la apreciación política del legislador regional. No obstante, subraya que tal cuestión no aparece suscitada en el auto de planteamiento.</w:t>
      </w:r>
    </w:p>
    <w:p w:rsidR="00AC56D6" w:rsidRDefault="00AC56D6" w:rsidP="00AC56D6">
      <w:pPr>
        <w:pStyle w:val="TextoNormal"/>
      </w:pPr>
    </w:p>
    <w:p w:rsidR="00AC56D6" w:rsidRDefault="00AC56D6" w:rsidP="00AC56D6">
      <w:pPr>
        <w:pStyle w:val="TextoNormal"/>
      </w:pPr>
      <w:r w:rsidRPr="00AC56D6">
        <w:rPr>
          <w:rStyle w:val="NumeroAFNegritaCaracter"/>
        </w:rPr>
        <w:t>7</w:t>
      </w:r>
      <w:r>
        <w:t>. Mediante escrito registrado el día 3 de septiembre de 2012 formuló sus alegaciones la representación procesal de la Junta de Castilla y León interesando la inadmisión de la cuestión o, subsidiariamente, su desestimación.</w:t>
      </w:r>
    </w:p>
    <w:p w:rsidR="00AC56D6" w:rsidRDefault="00AC56D6" w:rsidP="00AC56D6">
      <w:pPr>
        <w:pStyle w:val="TextoNormal"/>
      </w:pPr>
    </w:p>
    <w:p w:rsidR="00AC56D6" w:rsidRDefault="00AC56D6" w:rsidP="00AC56D6">
      <w:pPr>
        <w:pStyle w:val="TextoNormal"/>
      </w:pPr>
      <w:r>
        <w:t>a) Comienza sus alegaciones la representación procesal de la Junta de Castilla y León efectuando un recorrido por los hechos contenidos en el Auto de planteamiento de la cuestión de inconstitucionalidad. Así, se detiene más específicamente en relatar las actuaciones llevadas a cabo en relación con la ejecución del Auto de suspensión de la ejecutividad de la orden. Señala el representante de la Junta que solicitada en su día la adopción de la medida cautelar de suspensión de la ejecutividad de la Orden, de 10 de julio de 2006 de la Consejería de Medio Ambiente de la Junta de Castilla y León por la que se concede autorización ambiental a la entidad mercantil TRECISA para la construcción de un centro de tratamiento de residuos industriales en Fresno de la Ribera (Zamora), la Sala de lo Contencioso-Administrativo del Tribunal Superior de Justicia de Castilla y León dictó Auto de suspensión de 4 de julio de 2007.</w:t>
      </w:r>
    </w:p>
    <w:p w:rsidR="00AC56D6" w:rsidRDefault="00AC56D6" w:rsidP="00AC56D6">
      <w:pPr>
        <w:pStyle w:val="TextoNormal"/>
      </w:pPr>
    </w:p>
    <w:p w:rsidR="00AC56D6" w:rsidRDefault="00AC56D6" w:rsidP="00AC56D6">
      <w:pPr>
        <w:pStyle w:val="TextoNormal"/>
      </w:pPr>
      <w:r>
        <w:t>Con fecha 3 de diciembre de 2007 se dictó por el órgano judicial requerimiento al titular de la Consejería de Medio Ambiente de la Junta de Castilla y León a fin de que comunicase en el plazo de cinco días las actuaciones llevadas a cabo para dar cumplimiento al Auto de suspensión. Constatado mediante Acta de los técnicos inspectores de la Consejería de Medio Ambiente que los trabajos de construcción “siguen su curso normal no habiéndose paralizado ningún trabajo”; mediante providencia de 10 de enero de 2008 se confiere traslado a las partes de la documentación anterior para que manifiesten lo que a su derecho convenga. La parte actora, la federación Ecologistas en Acción de Castilla y León, solicita, el 21 de enero de 2008, que se haga efectiva la paralización de las obras del centro de tratamiento de residuos no peligrosos de Fresno de la Ribera (Zamora). Recuerda el Letrado de la Junta que con fecha 12 de noviembre de 2008 la Sala de lo Contencioso-Administrativo del Tribunal Superior de Justicia de Castilla y León dictó providencia con el siguiente contenido: “Antes de resolver sobre lo solicitado por la parte recurrente, óigase por término de cinco días a todas las partes sobre la incidencia que la Ley 2/2008, de 17 de junio, de declaración de proyecto regional para la instalación de un centro de tratamiento de residuos industriales no peligrosos en el término municipal de Fresno de la Ribera (Zamora), pudiera tener en este incidente”.</w:t>
      </w:r>
    </w:p>
    <w:p w:rsidR="00AC56D6" w:rsidRDefault="00AC56D6" w:rsidP="00AC56D6">
      <w:pPr>
        <w:pStyle w:val="TextoNormal"/>
      </w:pPr>
    </w:p>
    <w:p w:rsidR="00AC56D6" w:rsidRDefault="00AC56D6" w:rsidP="00AC56D6">
      <w:pPr>
        <w:pStyle w:val="TextoNormal"/>
      </w:pPr>
      <w:r>
        <w:t xml:space="preserve">Tras las alegaciones de las partes, recuerda el Letrado de la Junta que por providencia de 25 de noviembre de 2009, la Sala de lo Contencioso-Administrativo del Tribunal Superior de Justicia de Castilla y León determinó que “no procede acceder a lo solicitado por la parte recurrente toda vez que la referida Ley concede autorización ambiental al Centro de Tratamiento de Residuos Industriales No Peligrosos en el término municipal de Fresno de la </w:t>
      </w:r>
      <w:r>
        <w:lastRenderedPageBreak/>
        <w:t>Ribera (Zamora) y establece que la declaración del referido Centro como Proyecto Regional implica la inmediata aptitud para la ejecución del Proyecto y su actividad posterior”.</w:t>
      </w:r>
    </w:p>
    <w:p w:rsidR="00AC56D6" w:rsidRDefault="00AC56D6" w:rsidP="00AC56D6">
      <w:pPr>
        <w:pStyle w:val="TextoNormal"/>
      </w:pPr>
    </w:p>
    <w:p w:rsidR="00AC56D6" w:rsidRDefault="00AC56D6" w:rsidP="00AC56D6">
      <w:pPr>
        <w:pStyle w:val="TextoNormal"/>
      </w:pPr>
      <w:r>
        <w:t>Subraya la representación procesal de la Junta de Castilla y León que en esa resolución se declara expresamente que no procede hacer efectiva la suspensión previamente acordada precisamente porque la Ley 2/2008 da cobertura a la autorización ambiental cuya ejecutividad había sido suspendida mediante Auto de 4 de julio de 2007 que era inmediatamente ejecutivo. Para el representante de la Junta ello implica que en absoluto se ha dudado por la Sala acerca de la acomodación a la Constitución de la Ley 2/2008, porque de haberse dudado, no podría haberse dictado la resolución citada y habría sido ése, precisamente, el momento procesal idóneo para, con suspensión de las actuaciones, haber promovido la cuestión de inconstitucionalidad y, entonces sí, podría haberse planteado la posible vulneración del artículo 24 en relación con el 117.3 CE.</w:t>
      </w:r>
    </w:p>
    <w:p w:rsidR="00AC56D6" w:rsidRDefault="00AC56D6" w:rsidP="00AC56D6">
      <w:pPr>
        <w:pStyle w:val="TextoNormal"/>
      </w:pPr>
    </w:p>
    <w:p w:rsidR="00AC56D6" w:rsidRDefault="00AC56D6" w:rsidP="00AC56D6">
      <w:pPr>
        <w:pStyle w:val="TextoNormal"/>
      </w:pPr>
      <w:r>
        <w:t>Para el representante legal de la Junta el momento procedente —y único en este recurso contencioso-administrativo— para promover esta cuestión pasó, precluyó, y ello tanto en lo que se refiere a la ejecución del Auto de 4 de julio de 2007 como, en general, para el proceso en el que se plantea, el procedimiento ordinario núm. 178-2007, pues en él ha tenido ya cabida y aplicación la norma legal autonómica.</w:t>
      </w:r>
    </w:p>
    <w:p w:rsidR="00AC56D6" w:rsidRDefault="00AC56D6" w:rsidP="00AC56D6">
      <w:pPr>
        <w:pStyle w:val="TextoNormal"/>
      </w:pPr>
    </w:p>
    <w:p w:rsidR="00AC56D6" w:rsidRDefault="00AC56D6" w:rsidP="00AC56D6">
      <w:pPr>
        <w:pStyle w:val="TextoNormal"/>
      </w:pPr>
      <w:r>
        <w:t>b) A continuación procede el escrito de la representación jurídica de la Junta a rebatir los presupuestos formales del Auto de promoción de la cuestión de inconstitucionalidad.</w:t>
      </w:r>
    </w:p>
    <w:p w:rsidR="00AC56D6" w:rsidRDefault="00AC56D6" w:rsidP="00AC56D6">
      <w:pPr>
        <w:pStyle w:val="TextoNormal"/>
      </w:pPr>
    </w:p>
    <w:p w:rsidR="00AC56D6" w:rsidRDefault="00AC56D6" w:rsidP="00AC56D6">
      <w:pPr>
        <w:pStyle w:val="TextoNormal"/>
      </w:pPr>
      <w:r>
        <w:t>De acuerdo con el escrito del representante de la Junta la presente cuestión de inconstitucionalidad ha sido indebidamente admitida y por ello procederá, conforme constante doctrina constitucional declarar la inadmisión en el momento de dictar Sentencia.</w:t>
      </w:r>
    </w:p>
    <w:p w:rsidR="00AC56D6" w:rsidRDefault="00AC56D6" w:rsidP="00AC56D6">
      <w:pPr>
        <w:pStyle w:val="TextoNormal"/>
      </w:pPr>
    </w:p>
    <w:p w:rsidR="00AC56D6" w:rsidRDefault="00AC56D6" w:rsidP="00AC56D6">
      <w:pPr>
        <w:pStyle w:val="TextoNormal"/>
      </w:pPr>
      <w:r>
        <w:t>Ello lo fundamenta en que, en primer lugar, en la audiencia previa contemplada en el artículo 35.2 LOTC y que se confirió a las partes mediante providencia de 26 de marzo de 2012 no se exteriorizaba el razonamiento propio del órgano judicial promoviente, sino exclusivamente las razones esgrimidas por la parte actora para solicitar de la Sala de lo Contencioso-Administrativo de Valladolid el planteamiento de la cuestión.</w:t>
      </w:r>
    </w:p>
    <w:p w:rsidR="00AC56D6" w:rsidRDefault="00AC56D6" w:rsidP="00AC56D6">
      <w:pPr>
        <w:pStyle w:val="TextoNormal"/>
      </w:pPr>
    </w:p>
    <w:p w:rsidR="00AC56D6" w:rsidRDefault="00AC56D6" w:rsidP="00AC56D6">
      <w:pPr>
        <w:pStyle w:val="TextoNormal"/>
      </w:pPr>
      <w:r>
        <w:t>En segundo lugar, subraya el representante de la Junta, que en el razonamiento jurídico primero del Auto de promoción de la cuestión se afirma que “la Sala tiene la certeza de que el fallo de la sentencia así como la ejecución de la medida cautelar adoptada en su día depende de la validez de la Ley 2/2008”.</w:t>
      </w:r>
    </w:p>
    <w:p w:rsidR="00AC56D6" w:rsidRDefault="00AC56D6" w:rsidP="00AC56D6">
      <w:pPr>
        <w:pStyle w:val="TextoNormal"/>
      </w:pPr>
    </w:p>
    <w:p w:rsidR="00AC56D6" w:rsidRDefault="00AC56D6" w:rsidP="00AC56D6">
      <w:pPr>
        <w:pStyle w:val="TextoNormal"/>
      </w:pPr>
      <w:r>
        <w:t xml:space="preserve">Para el representante de la Junta es más que evidente que no puede afirmarse por el mismo órgano judicial que plantea la cuestión ahora que tiene la certeza de que la ejecución de la medida cautelar adoptada en su día depende de la validez de la Ley 2/2008. Y ello porque, ante la petición de ejecución de la parte actora, la Sala de lo Contencioso-Administrativo de Valladolid no tenía más que dos opciones: (1) Aplicar la Ley 2/2008, como ha hecho o (2) suspender las actuaciones en ese estado y promover la cuestión de inconstitucionalidad, lo que no hizo. Y no lo hizo porque no tuvo la más mínima duda sobre la adecuación a la Constitución de la Ley 2/2008, pues en caso contrario ése era el momento procesal oportuno para haberse cuestionado la validez de la Ley. Sin embargo, no sólo no lo ha hecho sino que la ha aplicado. Por tanto en ese momento (con la firmeza de la providencia </w:t>
      </w:r>
      <w:r>
        <w:lastRenderedPageBreak/>
        <w:t>en cuestión) ha finalizado la pieza de medidas cautelares, y lo ha hecho con una resolución judicial en la que no hay nada susceptible de ser ejecutado ni judicial ni administrativamente, porque su contenido es desestimatorio y no supone alteración de la situación fáctica.</w:t>
      </w:r>
    </w:p>
    <w:p w:rsidR="00AC56D6" w:rsidRDefault="00AC56D6" w:rsidP="00AC56D6">
      <w:pPr>
        <w:pStyle w:val="TextoNormal"/>
      </w:pPr>
    </w:p>
    <w:p w:rsidR="00AC56D6" w:rsidRDefault="00AC56D6" w:rsidP="00AC56D6">
      <w:pPr>
        <w:pStyle w:val="TextoNormal"/>
      </w:pPr>
      <w:r>
        <w:t>Para el representante procesal de la Junta, resulta inviable cuestionarse ahora la validez de la tan mentada Ley 2/2008, de 17 de junio, en la pieza separada de medidas cautelares porque no puede decirse, como se hace, que de su validez depende la ejecución de la medida cautelar adoptada toda vez que no hay nada pendiente de ejecutar en ella y porque el Auto de suspensión dictado en fecha 4 de julio de 2007 no es ejecutable, por cuanto la propia Sala ha convalidado la continuación de las actividades llevadas a cabo por la empresa codemandada —TRECISA— avalando que con ello que no se estaba inejecutando el Auto de suspensión, sino aplicando la Ley 2/2008 con las bendiciones del propio órgano judicial autor del inicial auto de suspensión.</w:t>
      </w:r>
    </w:p>
    <w:p w:rsidR="00AC56D6" w:rsidRDefault="00AC56D6" w:rsidP="00AC56D6">
      <w:pPr>
        <w:pStyle w:val="TextoNormal"/>
      </w:pPr>
    </w:p>
    <w:p w:rsidR="00AC56D6" w:rsidRDefault="00AC56D6" w:rsidP="00AC56D6">
      <w:pPr>
        <w:pStyle w:val="TextoNormal"/>
      </w:pPr>
      <w:r>
        <w:t>Es decir, procede la inadmisión de la presente cuestión de inconstitucionalidad en relación con la ejecución de la medida cautelar, simplemente porque no hay pendiente de dictar ninguna resolución tendente a esa ejecución. Así, la cuestión ha sido planteada en cuanto a la infracción de los arts. 24 y 117.3 CE en su vertiente del derecho a la ejecución de las resoluciones judiciales, en relación con la ejecución del auto recaído en la pieza de medidas cautelares, cuando la propia Sala mediante la providencia de 25 de abril de 2009 ha hecho desaparecer la ejecutividad del mismo. La citada providencia viene a privar de eficacia a la decisión cautelar previamente acordada y, en consecuencia, resulta inadmisible la cuestión promovida en los términos en que ha sido planteada por el Juzgador. No puede éste plantearse la inconstitucionalidad de la Ley 2/2008 en relación con la ejecución de la medida cautelar acordada cuando previamente ha admitido por resolución firme —dictada en la pieza de medidas cautelares— la validez de esa ley y su aplicación al presente caso, hasta el punto de afirmar que la misma otorga autorización ambiental para la construcción del centro de tratamiento de residuos litigioso.</w:t>
      </w:r>
    </w:p>
    <w:p w:rsidR="00AC56D6" w:rsidRDefault="00AC56D6" w:rsidP="00AC56D6">
      <w:pPr>
        <w:pStyle w:val="TextoNormal"/>
      </w:pPr>
    </w:p>
    <w:p w:rsidR="00AC56D6" w:rsidRDefault="00AC56D6" w:rsidP="00AC56D6">
      <w:pPr>
        <w:pStyle w:val="TextoNormal"/>
      </w:pPr>
      <w:r>
        <w:t>En definitiva, sostiene el representante de la Junta que procede inadmitir la cuestión de inconstitucionalidad promovida en relación con el Auto de medidas cautelares por la ausencia de resolución pendiente de ejecución, por la aplicación de la ley cuestionada por el propio órgano judicial y por la omisión del juicio de relevancia en el Auto que plantea la cuestión en relación con la ejecución de la medida cautelar.</w:t>
      </w:r>
    </w:p>
    <w:p w:rsidR="00AC56D6" w:rsidRDefault="00AC56D6" w:rsidP="00AC56D6">
      <w:pPr>
        <w:pStyle w:val="TextoNormal"/>
      </w:pPr>
    </w:p>
    <w:p w:rsidR="00AC56D6" w:rsidRDefault="00AC56D6" w:rsidP="00AC56D6">
      <w:pPr>
        <w:pStyle w:val="TextoNormal"/>
      </w:pPr>
      <w:r>
        <w:t>Para el representante de la Junta tampoco cabe entender cumplido el presupuesto del juicio de relevancia, en relación con los actos administrativos a los que se amplía el recuso pues no se ha justificado que la decisión del proceso dependa de la validez de la Ley 2/2008. Afirma el representante de la Junta que cuando el órgano judicial afirma que “si es nula la autorización ambiental otorgada por Ley también lo es su modificación no sustancial” olvida que sobre tal Ley ya se pronunció en providencia firme de 25 de noviembre de 2009 entendiendo que la misma daba cobertura a la construcción del centro de tratamiento de residuos de Fresno.</w:t>
      </w:r>
    </w:p>
    <w:p w:rsidR="00AC56D6" w:rsidRDefault="00AC56D6" w:rsidP="00AC56D6">
      <w:pPr>
        <w:pStyle w:val="TextoNormal"/>
      </w:pPr>
    </w:p>
    <w:p w:rsidR="00AC56D6" w:rsidRDefault="00AC56D6" w:rsidP="00AC56D6">
      <w:pPr>
        <w:pStyle w:val="TextoNormal"/>
      </w:pPr>
      <w:r>
        <w:t xml:space="preserve">A mayor abundamiento, la pretensión de nulidad ejercitada por el actor en la ampliación de la demanda respecto a la Orden de 6 de agosto de 2010 y a la comunicación de inicio de la actividad nada tiene que ver con la autorización incorporada a la Ley 2/2008, sino con el </w:t>
      </w:r>
      <w:r>
        <w:lastRenderedPageBreak/>
        <w:t>carácter sustancial de la modificación y con la supuesta existencia de defectos formales en el procedimiento de elaboración de las mismas.</w:t>
      </w:r>
    </w:p>
    <w:p w:rsidR="00AC56D6" w:rsidRDefault="00AC56D6" w:rsidP="00AC56D6">
      <w:pPr>
        <w:pStyle w:val="TextoNormal"/>
      </w:pPr>
    </w:p>
    <w:p w:rsidR="00AC56D6" w:rsidRDefault="00AC56D6" w:rsidP="00AC56D6">
      <w:pPr>
        <w:pStyle w:val="TextoNormal"/>
      </w:pPr>
      <w:r>
        <w:t xml:space="preserve">De modo que la normativa a interpretar y aplicar por la Sala para dar respuesta a las alegaciones del demandante es la Ley estatal 16/2002 y la Ley autonómica 11/2003, pero ninguna incidencia tiene en las cuestiones planteadas la Ley 2/2008, que es ajena a la </w:t>
      </w:r>
      <w:r w:rsidRPr="00AC56D6">
        <w:rPr>
          <w:i/>
        </w:rPr>
        <w:t>litis</w:t>
      </w:r>
      <w:r>
        <w:t xml:space="preserve"> planteada en la ampliación del recurso.</w:t>
      </w:r>
    </w:p>
    <w:p w:rsidR="00AC56D6" w:rsidRDefault="00AC56D6" w:rsidP="00AC56D6">
      <w:pPr>
        <w:pStyle w:val="TextoNormal"/>
      </w:pPr>
    </w:p>
    <w:p w:rsidR="00AC56D6" w:rsidRDefault="00AC56D6" w:rsidP="00AC56D6">
      <w:pPr>
        <w:pStyle w:val="TextoNormal"/>
      </w:pPr>
      <w:r>
        <w:t>En definitiva, para el representante de la Junta la Ley 2/2008 no es relevante para el fallo respecto a los actos a que se amplía del recurso.</w:t>
      </w:r>
    </w:p>
    <w:p w:rsidR="00AC56D6" w:rsidRDefault="00AC56D6" w:rsidP="00AC56D6">
      <w:pPr>
        <w:pStyle w:val="TextoNormal"/>
      </w:pPr>
    </w:p>
    <w:p w:rsidR="00AC56D6" w:rsidRDefault="00AC56D6" w:rsidP="00AC56D6">
      <w:pPr>
        <w:pStyle w:val="TextoNormal"/>
      </w:pPr>
      <w:r>
        <w:t>c) A continuación y subsidiariamente para el supuesto de que la cuestión de inconstitucionalidad sea admitida, procede el representante de la Junta a argumentar razones para su desestimación.</w:t>
      </w:r>
    </w:p>
    <w:p w:rsidR="00AC56D6" w:rsidRDefault="00AC56D6" w:rsidP="00AC56D6">
      <w:pPr>
        <w:pStyle w:val="TextoNormal"/>
      </w:pPr>
    </w:p>
    <w:p w:rsidR="00AC56D6" w:rsidRDefault="00AC56D6" w:rsidP="00AC56D6">
      <w:pPr>
        <w:pStyle w:val="TextoNormal"/>
      </w:pPr>
      <w:r>
        <w:t>Comienza el escrito del representante procesal de la Junta negando que ley autonómica pueda infringir el artículo 149.1.23 de la Constitución, en relación con el artículo 5.4 de la Ley 10 1998, de 21 de abril, de residuos; y ello en la medida que la Ley estatal que se emplea como parámetro de constitucionalidad no se encuentra vigente. En efecto, alega el representante de la Junta que la Ley 10/1998 estatal que se invoca por la Sala está, a fecha actual, expresamente derogada por el apartado 1 de la disposición derogatoria única de Ley 22/2011, de 28 de julio, de residuos y suelos contaminados.</w:t>
      </w:r>
    </w:p>
    <w:p w:rsidR="00AC56D6" w:rsidRDefault="00AC56D6" w:rsidP="00AC56D6">
      <w:pPr>
        <w:pStyle w:val="TextoNormal"/>
      </w:pPr>
    </w:p>
    <w:p w:rsidR="00AC56D6" w:rsidRDefault="00AC56D6" w:rsidP="00AC56D6">
      <w:pPr>
        <w:pStyle w:val="TextoNormal"/>
      </w:pPr>
      <w:r>
        <w:t>Lo anterior determina necesariamente, según el representante de la Junta, que al no existir ya la norma con rango de ley utilizada por el órgano judicial (la Sala) como parámetro de control de la ley autonómica que se cuestiona, ya no se trate de un juicio de constitucionalidad concreto, sino abstracto, sin efectos para el caso, lo que resulta improcedente en una cuestión de inconstitucionalidad, por lo que esta cuestión debe ser rechazada de plano.</w:t>
      </w:r>
    </w:p>
    <w:p w:rsidR="00AC56D6" w:rsidRDefault="00AC56D6" w:rsidP="00AC56D6">
      <w:pPr>
        <w:pStyle w:val="TextoNormal"/>
      </w:pPr>
    </w:p>
    <w:p w:rsidR="00AC56D6" w:rsidRDefault="00AC56D6" w:rsidP="00AC56D6">
      <w:pPr>
        <w:pStyle w:val="TextoNormal"/>
      </w:pPr>
      <w:r>
        <w:t>Señala igualmente el representante de la Junta que mientras la norma derogada (Ley 10/1998, de residuos), exigía que los planes autonómicos de residuos contuvieran la determinación de los lugares e instalaciones apropiados para la eliminación de los residuos, la nueva Ley clarifica cualquier duda al respecto requiriendo información sobre los criterios de ubicación. Ello determina necesariamente que la cuestión planteada deba ser rechazada de plano.</w:t>
      </w:r>
    </w:p>
    <w:p w:rsidR="00AC56D6" w:rsidRDefault="00AC56D6" w:rsidP="00AC56D6">
      <w:pPr>
        <w:pStyle w:val="TextoNormal"/>
      </w:pPr>
    </w:p>
    <w:p w:rsidR="00AC56D6" w:rsidRDefault="00AC56D6" w:rsidP="00AC56D6">
      <w:pPr>
        <w:pStyle w:val="TextoNormal"/>
      </w:pPr>
      <w:r>
        <w:t>No obstante lo anterior, para el representante de la Junta, La Ley 10/1998, de residuos, no puede servir de canon de constitucionalidad (de acuerdo con el artículo 28 LOTC) en el examen de la Ley 2/2008, de 17 de junio.</w:t>
      </w:r>
    </w:p>
    <w:p w:rsidR="00AC56D6" w:rsidRDefault="00AC56D6" w:rsidP="00AC56D6">
      <w:pPr>
        <w:pStyle w:val="TextoNormal"/>
      </w:pPr>
    </w:p>
    <w:p w:rsidR="00AC56D6" w:rsidRDefault="00AC56D6" w:rsidP="00AC56D6">
      <w:pPr>
        <w:pStyle w:val="TextoNormal"/>
      </w:pPr>
      <w:r>
        <w:t>En efecto, señala el representante de la Junta que la ley autonómica se dicta en ejercicio de la competencia autonómica sobre ordenación del territorio. La norma estatal invocada, no tiene por objeto delimitar las competencias del Estado y la Comunidad Autónoma en lo que se refiere a la ordenación del territorio. Tampoco se ha dictado para regular o armonizar el ejercicio de competencias autonómicas en relación con esta específica materia, sobre la que la Comunidad, de acuerdo con el orden constitucional de distribución de competencias, la ostenta de manera exclusiva.</w:t>
      </w:r>
    </w:p>
    <w:p w:rsidR="00AC56D6" w:rsidRDefault="00AC56D6" w:rsidP="00AC56D6">
      <w:pPr>
        <w:pStyle w:val="TextoNormal"/>
      </w:pPr>
    </w:p>
    <w:p w:rsidR="00AC56D6" w:rsidRDefault="00AC56D6" w:rsidP="00AC56D6">
      <w:pPr>
        <w:pStyle w:val="TextoNormal"/>
      </w:pPr>
      <w:r>
        <w:lastRenderedPageBreak/>
        <w:t>En todo caso para el representante de la Junta resulta evidente que mientras que la norma estatal se ocupaba de determinar el contenido que han de incorporar los planes autonómicos de residuos, incluyendo los lugares e instalaciones apropiados para la eliminación de los residuos, la autonómica ni establece el régimen jurídico de los planes que en esta materia puedan aprobarse en la Comunidad de Castilla y León, ni aprueban ningún plan de residuos. Simplemente se limita a declarar de interés regional un proyecto concreto que afecta únicamente a una infraestructura.</w:t>
      </w:r>
    </w:p>
    <w:p w:rsidR="00AC56D6" w:rsidRDefault="00AC56D6" w:rsidP="00AC56D6">
      <w:pPr>
        <w:pStyle w:val="TextoNormal"/>
      </w:pPr>
    </w:p>
    <w:p w:rsidR="00AC56D6" w:rsidRDefault="00AC56D6" w:rsidP="00AC56D6">
      <w:pPr>
        <w:pStyle w:val="TextoNormal"/>
      </w:pPr>
      <w:r>
        <w:t>Para el representante de la Junta en el caso de que lo que estuviese en tela de juicio fuese una norma autonómica que aprobase el plan de residuos podría plantearse si dicha norma afecta a competencias estatales del artículo 149.1.23. Sin embargo, en el presente proceso lo que se cuestiona es la ley autonómica que declara el interés singular de un proyecto concreto.</w:t>
      </w:r>
    </w:p>
    <w:p w:rsidR="00AC56D6" w:rsidRDefault="00AC56D6" w:rsidP="00AC56D6">
      <w:pPr>
        <w:pStyle w:val="TextoNormal"/>
      </w:pPr>
    </w:p>
    <w:p w:rsidR="00AC56D6" w:rsidRDefault="00AC56D6" w:rsidP="00AC56D6">
      <w:pPr>
        <w:pStyle w:val="TextoNormal"/>
      </w:pPr>
      <w:r>
        <w:t>Pero, para el representante de la Junta, aún en el caso de admitirse que la Ley 10/1998, de residuos, sirviera de parámetro de enjuiciamiento de la ley autonómica, en ningún caso podría llegarse a la conclusión de que la Ley autonómica vulnera el orden constitucional de distribución de competencias, tal y como se alega.</w:t>
      </w:r>
    </w:p>
    <w:p w:rsidR="00AC56D6" w:rsidRDefault="00AC56D6" w:rsidP="00AC56D6">
      <w:pPr>
        <w:pStyle w:val="TextoNormal"/>
      </w:pPr>
    </w:p>
    <w:p w:rsidR="00AC56D6" w:rsidRDefault="00AC56D6" w:rsidP="00AC56D6">
      <w:pPr>
        <w:pStyle w:val="TextoNormal"/>
      </w:pPr>
      <w:r>
        <w:t>Interpreta el representante de la Junta que cuando el artículo 5.4 de la Ley 10/1998 exige que los planes autonómicos de residuos incluyan los lugares e instalaciones apropiados para la eliminación de los residuos; lo básico que deben cumplir los planes regionales, serían las determinaciones sobre lugares e instalaciones apropiados, pero en modo alguno se puede pretender, sin invadir las competencias autonómicas, que estos planes contengan una delimitación tan concreta y precisa como la que parece pretenderse por la Sala que promueve esta cuestión de inconstitucionalidad.</w:t>
      </w:r>
    </w:p>
    <w:p w:rsidR="00AC56D6" w:rsidRDefault="00AC56D6" w:rsidP="00AC56D6">
      <w:pPr>
        <w:pStyle w:val="TextoNormal"/>
      </w:pPr>
    </w:p>
    <w:p w:rsidR="00AC56D6" w:rsidRDefault="00AC56D6" w:rsidP="00AC56D6">
      <w:pPr>
        <w:pStyle w:val="TextoNormal"/>
      </w:pPr>
      <w:r>
        <w:t>Igualmente señala el representante de la Junta que la afirmación de la Sala de que no resulta posible aprobar un proyecto regional en una determinada ubicación ni conceder autorización ambiental al mismo sin que previamente esa ubicación se haya previsto en un plan autonómico es una cuestión que apunta exclusivamente a la relación (y vinculación) entre los proyectos regionales y los planes regionales en materia de residuos y sería una cuestión de legalidad ordinaria que, según el representante de la Junta, afecta en exclusiva al ordenamiento jurídico autonómico.</w:t>
      </w:r>
    </w:p>
    <w:p w:rsidR="00AC56D6" w:rsidRDefault="00AC56D6" w:rsidP="00AC56D6">
      <w:pPr>
        <w:pStyle w:val="TextoNormal"/>
      </w:pPr>
    </w:p>
    <w:p w:rsidR="00AC56D6" w:rsidRDefault="00AC56D6" w:rsidP="00AC56D6">
      <w:pPr>
        <w:pStyle w:val="TextoNormal"/>
      </w:pPr>
      <w:r>
        <w:t>Para el representante de la Junta, en contra de lo que pretende apuntar la Sala, el plan de residuos aprobado por la Junta de Castilla y León, mediante Decreto 48/2006, de 13 de julio estaba plenamente vigente a la fecha en que se aprobó la Ley 2/2008 y aquel contenía una serie de determinaciones mínimas sobre la ubicación de los centros de eliminación de residuos.</w:t>
      </w:r>
    </w:p>
    <w:p w:rsidR="00AC56D6" w:rsidRDefault="00AC56D6" w:rsidP="00AC56D6">
      <w:pPr>
        <w:pStyle w:val="TextoNormal"/>
      </w:pPr>
    </w:p>
    <w:p w:rsidR="00AC56D6" w:rsidRDefault="00AC56D6" w:rsidP="00AC56D6">
      <w:pPr>
        <w:pStyle w:val="TextoNormal"/>
      </w:pPr>
      <w:r>
        <w:t>d) Prosigue el escrito del representante de la Junta argumentando que la Ley autonómica no vulnera el art. 24.1 en relación con el art. 117.3 CE, en su vertiente del derecho a la ejecución de las resoluciones judiciales.</w:t>
      </w:r>
    </w:p>
    <w:p w:rsidR="00AC56D6" w:rsidRDefault="00AC56D6" w:rsidP="00AC56D6">
      <w:pPr>
        <w:pStyle w:val="TextoNormal"/>
      </w:pPr>
    </w:p>
    <w:p w:rsidR="00AC56D6" w:rsidRDefault="00AC56D6" w:rsidP="00AC56D6">
      <w:pPr>
        <w:pStyle w:val="TextoNormal"/>
      </w:pPr>
      <w:r>
        <w:t xml:space="preserve">Recuerda el representante de la Junta que el Auto de planteamiento de la presente cuestión considera la posible inconstitucionalidad de la Ley 2/2008 “por haber sido aprobada con la única y deliberada intención de eludir el cumplimiento de la medida cautelar adoptada </w:t>
      </w:r>
      <w:r>
        <w:lastRenderedPageBreak/>
        <w:t xml:space="preserve">en este proceso de suspensión de la autorización ambiental concedida”. Así, tras referirse a la doctrina constitucional sobre la materia, subraya el escrito del representante de la Junta que la duda de constitucionalidad respecto de la Ley 2/2008, se ciñe a determinar si la aprobación de dicha ley vulnera el derecho fundamental a obtener la tutela efectiva de jueces y tribunales en su vertiente del derecho a la ejecución de las resoluciones judiciales firmes, en el sentido de eludir la suspensión de la ejecutividad de la autorización ya dictaminada por la propia Sala que plantea la cuestión. El representante de la Junta niega que la Ley 2/2008 sea una ley </w:t>
      </w:r>
      <w:r w:rsidRPr="00AC56D6">
        <w:rPr>
          <w:i/>
        </w:rPr>
        <w:t>ad casum</w:t>
      </w:r>
      <w:r>
        <w:t>, con la que se pretenda eludir resoluciones judiciales, pues en la medida en que la Ley 10/1998, de 5 de diciembre, de ordenación del territorio de Castilla y León habilita a las Cortes de Castilla y León para aprobar por ley determinados proyectos regionales cabe una aprobación de una ley como la impugnada cuando se dan, como es el caso, las circunstancias y requisitos que impone la propia Ley 10/1998.</w:t>
      </w:r>
    </w:p>
    <w:p w:rsidR="00AC56D6" w:rsidRDefault="00AC56D6" w:rsidP="00AC56D6">
      <w:pPr>
        <w:pStyle w:val="TextoNormal"/>
      </w:pPr>
    </w:p>
    <w:p w:rsidR="00AC56D6" w:rsidRDefault="00AC56D6" w:rsidP="00AC56D6">
      <w:pPr>
        <w:pStyle w:val="TextoNormal"/>
      </w:pPr>
      <w:r>
        <w:t>e) A continuación reprocha el escrito del representante de la Junta la escasa argumentación en el Auto de planteamiento de la cuestión respecto de la vulneración del artículo 9.3 de la Constitución.</w:t>
      </w:r>
    </w:p>
    <w:p w:rsidR="00AC56D6" w:rsidRDefault="00AC56D6" w:rsidP="00AC56D6">
      <w:pPr>
        <w:pStyle w:val="TextoNormal"/>
      </w:pPr>
    </w:p>
    <w:p w:rsidR="00AC56D6" w:rsidRDefault="00AC56D6" w:rsidP="00AC56D6">
      <w:pPr>
        <w:pStyle w:val="TextoNormal"/>
      </w:pPr>
      <w:r>
        <w:t>Tras recordar la noción de arbitrariedad que se deriva de la doctrina del Tribunal Constitucional niega el representante de la Junta que la disposición cuestionada establezca una discriminación o carezca de toda explicación racional pues la propia exposición de motivos de la norma incorpora argumentos que justifican sobradamente la necesidad de la misma como es la relativa a la necesidad de garantizar una correcta gestión de los residuos industriales no peligrosos en la Comunidad desarrollando instalaciones de tratamiento que contribuyan a eliminar el vertido incontrolado, mejorar la calidad ambiental, e incrementar el atractivo de la región para la implantación de nuevas iniciativas industriales.</w:t>
      </w:r>
    </w:p>
    <w:p w:rsidR="00AC56D6" w:rsidRDefault="00AC56D6" w:rsidP="00AC56D6">
      <w:pPr>
        <w:pStyle w:val="TextoNormal"/>
      </w:pPr>
    </w:p>
    <w:p w:rsidR="00AC56D6" w:rsidRDefault="00AC56D6" w:rsidP="00AC56D6">
      <w:pPr>
        <w:pStyle w:val="TextoNormal"/>
      </w:pPr>
      <w:r>
        <w:t>Finaliza el escrito el representante de la Junta solicitando la inadmisión de la cuestión o subsidiariamente su desestimación.</w:t>
      </w:r>
    </w:p>
    <w:p w:rsidR="00AC56D6" w:rsidRDefault="00AC56D6" w:rsidP="00AC56D6">
      <w:pPr>
        <w:pStyle w:val="TextoNormal"/>
      </w:pPr>
    </w:p>
    <w:p w:rsidR="00AC56D6" w:rsidRDefault="00AC56D6" w:rsidP="00AC56D6">
      <w:pPr>
        <w:pStyle w:val="TextoNormal"/>
      </w:pPr>
      <w:r w:rsidRPr="00AC56D6">
        <w:rPr>
          <w:rStyle w:val="NumeroAFNegritaCaracter"/>
        </w:rPr>
        <w:t>8</w:t>
      </w:r>
      <w:r>
        <w:t>. Con fecha 24 de septiembre de 2012, presentó su escrito de alegaciones el Fiscal General del Estado interesando la estimación de la cuestión por las razones que se resumen a continuación.</w:t>
      </w:r>
    </w:p>
    <w:p w:rsidR="00AC56D6" w:rsidRDefault="00AC56D6" w:rsidP="00AC56D6">
      <w:pPr>
        <w:pStyle w:val="TextoNormal"/>
      </w:pPr>
    </w:p>
    <w:p w:rsidR="00AC56D6" w:rsidRDefault="00AC56D6" w:rsidP="00AC56D6">
      <w:pPr>
        <w:pStyle w:val="TextoNormal"/>
      </w:pPr>
      <w:r>
        <w:t>a) Expone en primer lugar los antecedentes de hecho de la cuestión así como el contenido de la Ley 2/2008 y del propio Auto de planteamiento de la cuestión para, a continuación, examinar si se ha cumplido lo previsto en el art. 35.2 LOTC en lo relativo a las condiciones procesales exigibles.</w:t>
      </w:r>
    </w:p>
    <w:p w:rsidR="00AC56D6" w:rsidRDefault="00AC56D6" w:rsidP="00AC56D6">
      <w:pPr>
        <w:pStyle w:val="TextoNormal"/>
      </w:pPr>
    </w:p>
    <w:p w:rsidR="00AC56D6" w:rsidRDefault="00AC56D6" w:rsidP="00AC56D6">
      <w:pPr>
        <w:pStyle w:val="TextoNormal"/>
      </w:pPr>
      <w:r>
        <w:t xml:space="preserve">Para el Fiscal no se aprecia la falta de condiciones procesales en la justificación del requisito de aplicabilidad de la norma, toda vez que la causa obstativa a la ejecutividad de la medida cautelar de suspensión de la Orden de 10 de julio de 2006 de la Consejería de Medio Ambiente de la Junta de Castilla y León es una imposibilidad legal del art. 105.2 LJCA que trae causa de la ley autonómica, la cual se ha convertido en un obstáculo a la ejecución de la resolución judicial al habilitar normativamente la inmediata ejecución del proyecto que por los órganos judiciales han considerado debía suspenderse con carácter cautelar por carecer de la Comunidad Autónoma de un plan regional de residuos y la imposibilidad de ejecución del fallo de la sentencia caso de estimarse la demanda impuesta. Igualmente, la </w:t>
      </w:r>
      <w:r>
        <w:lastRenderedPageBreak/>
        <w:t>validez de la Orden de 6 de agosto de 2010 depende de la constitucionalidad o no de la Ley autonómica cuestionada.</w:t>
      </w:r>
    </w:p>
    <w:p w:rsidR="00AC56D6" w:rsidRDefault="00AC56D6" w:rsidP="00AC56D6">
      <w:pPr>
        <w:pStyle w:val="TextoNormal"/>
      </w:pPr>
    </w:p>
    <w:p w:rsidR="00AC56D6" w:rsidRDefault="00AC56D6" w:rsidP="00AC56D6">
      <w:pPr>
        <w:pStyle w:val="TextoNormal"/>
      </w:pPr>
      <w:r>
        <w:t>b) En cuanto al fondo del asunto, señala que la Ley 2/2008, de 17 de junio, ha dejado vacío de contenido el pronunciamiento sobre la medida cautelar adoptada y lo hacía inejecutable por imposibilidad legal sobrevenida al declarar el centro de tratamiento de residuos no peligrosos, proyecto regional y producir como efecto la inmediata aptitud para la ejecución del proyecto y para su actividad y puesta en funcionamiento a la vez que otorgaba la correspondiente autorización ambiental.</w:t>
      </w:r>
    </w:p>
    <w:p w:rsidR="00AC56D6" w:rsidRDefault="00AC56D6" w:rsidP="00AC56D6">
      <w:pPr>
        <w:pStyle w:val="TextoNormal"/>
      </w:pPr>
    </w:p>
    <w:p w:rsidR="00AC56D6" w:rsidRDefault="00AC56D6" w:rsidP="00AC56D6">
      <w:pPr>
        <w:pStyle w:val="TextoNormal"/>
      </w:pPr>
      <w:r>
        <w:t>Para el Fiscal la nueva regulación legal crea una nueva situación normativa que impide al órgano judicial ejecutar la medida cautelar, pues no le es dable poder suspender la ejecución de la ley y, por tanto, sus contenidos y, en consecuencia, la ejecución y actividad del centro de tratamiento de residuos, ya que el órgano judicial solo puede reaccionar frente a la ley autonómica planteando la inconstitucionalidad de la ley.</w:t>
      </w:r>
    </w:p>
    <w:p w:rsidR="00AC56D6" w:rsidRDefault="00AC56D6" w:rsidP="00AC56D6">
      <w:pPr>
        <w:pStyle w:val="TextoNormal"/>
      </w:pPr>
    </w:p>
    <w:p w:rsidR="00AC56D6" w:rsidRDefault="00AC56D6" w:rsidP="00AC56D6">
      <w:pPr>
        <w:pStyle w:val="TextoNormal"/>
      </w:pPr>
      <w:r>
        <w:t>Tras examinar la doctrina del Tribunal Constitucional sobre el derecho a la ejecución de las sentencias en sus propios términos, procede el escrito del Fiscal a analizar los intereses tutelados tanto por la ley autonómica, cuya constitucionalidad se cuestiona, y los intereses que ampara la resolución judicial, cuyo fallo judicial no puede ser ejecutado por haberse convertido la ley en una causa de imposibilidad legal de ejecución de la resolución judicial; a examinar si estos intereses son legítimos constitucionalmente y ponderar si el interés tutelado por la ley sacrifica de manera desproporcionada el interés que tutela el fallo judicial a ejecutar pues cabría estimar, entonces, que la ley sería contraria al art. 24.1 en relación con los artículos 117.3 y 118 de la Constitución al faltar la debida proporción entre la finalidad perseguida por la ley y el sacrifico impuesto, en este supuesto la norma legal no sería respetuosa con la Constitución por desconocer el contenido del art. 24.1 CE.</w:t>
      </w:r>
    </w:p>
    <w:p w:rsidR="00AC56D6" w:rsidRDefault="00AC56D6" w:rsidP="00AC56D6">
      <w:pPr>
        <w:pStyle w:val="TextoNormal"/>
      </w:pPr>
    </w:p>
    <w:p w:rsidR="00AC56D6" w:rsidRDefault="00AC56D6" w:rsidP="00AC56D6">
      <w:pPr>
        <w:pStyle w:val="TextoNormal"/>
      </w:pPr>
      <w:r>
        <w:t>Así, la exposición de motivos de la Ley autonómica, de manera general destaca unos motivos medio ambientales concretados en el tratamiento, recuperación y reciclado de materiales; la valorización de los mismos y la eliminación, en un depósito controlado con todas las garantías medioambientales, pero son razones económicas las causas de haber recurrido el legislador autonómico a un medio excepcional de aprobación del centro litigioso, causas que concreta en la importancia para el PIB de la región del sector industrial que carece de un centro de tratamiento de residuos, la reducción de costes que supone para dicho sector económico y la creación de un número de puestos de trabajo que cuantifica la propia ley.</w:t>
      </w:r>
    </w:p>
    <w:p w:rsidR="00AC56D6" w:rsidRDefault="00AC56D6" w:rsidP="00AC56D6">
      <w:pPr>
        <w:pStyle w:val="TextoNormal"/>
      </w:pPr>
    </w:p>
    <w:p w:rsidR="00AC56D6" w:rsidRDefault="00AC56D6" w:rsidP="00AC56D6">
      <w:pPr>
        <w:pStyle w:val="TextoNormal"/>
      </w:pPr>
      <w:r>
        <w:t xml:space="preserve">Por su parte, el interés tutelado por las resoluciones judiciales que adoptaron la medida cautelar vendría representado por la protección del medio ambiente por cuanto la existencia de un plan regional de tratamiento de residuos supone la identificación de lugares que permiten minimizar los riesgos y daños no solo para el medio ambiente, como bien jurídico a proteger, sino para la salud humana y la conservación de la biodiversidad y de los hábitats de la fauna y la flora, pero también por la necesidad de procurar el cumplimiento de los compromisos del Estado para con la Unión Europea, esto es, el interés en el cumplimiento v respeto a la normativa comunitaria sobre residuos, lo que se traduce necesariamente en la existencia de planes regionales que identifiquen clara y terminantemente los lugares idóneos de eliminación de residuos dichos con la finalidad de establecer los planes nacionales de </w:t>
      </w:r>
      <w:r>
        <w:lastRenderedPageBreak/>
        <w:t>residuos y su posterior integración en una red integral europea de tratamiento de residuos, en el ámbito de la Unión Europea.</w:t>
      </w:r>
    </w:p>
    <w:p w:rsidR="00AC56D6" w:rsidRDefault="00AC56D6" w:rsidP="00AC56D6">
      <w:pPr>
        <w:pStyle w:val="TextoNormal"/>
      </w:pPr>
    </w:p>
    <w:p w:rsidR="00AC56D6" w:rsidRDefault="00AC56D6" w:rsidP="00AC56D6">
      <w:pPr>
        <w:pStyle w:val="TextoNormal"/>
      </w:pPr>
      <w:r>
        <w:t>Subraya el Fiscal que la comparación entre la ley autonómica y la Sentencia evidencia que el interés tutelado por la primera difiere del tutelado por la resolución judicial de la medida cautelar, lo que conduce a la necesidad de ponderar si existe o no la debida proporción entre el interés encamado por el régimen jurídico establecido por la norma legal autonómica y el concreto interés que ha tutelado las resoluciones judiciales que acordaron la medida cautelar.</w:t>
      </w:r>
    </w:p>
    <w:p w:rsidR="00AC56D6" w:rsidRDefault="00AC56D6" w:rsidP="00AC56D6">
      <w:pPr>
        <w:pStyle w:val="TextoNormal"/>
      </w:pPr>
    </w:p>
    <w:p w:rsidR="00AC56D6" w:rsidRDefault="00AC56D6" w:rsidP="00AC56D6">
      <w:pPr>
        <w:pStyle w:val="TextoNormal"/>
      </w:pPr>
      <w:r>
        <w:t>Para el Fiscal, la ponderación de los interese en conflicto supone una desproporción entre el interés encamado por la norma legal autonómica, un interés económico, y los interés representados por las resoluciones judiciales que acordaron la medida cautelar; la salvaguarda del medio ambiente y el cumplimiento de la legislación sectorial estatal y comunitaria sobre el tratamiento y eliminación de residuos sin que ello suponga una restricción a la actividad económica, pues la determinación de los lugares para dicha eliminación y tratamiento contribuye a la segundad de la actuación de las empresas industriales al dotar de certidumbre legal a la ubicación de instalaciones que cumplen aquella función. En efecto, de acuerdo con el escrito del Fiscal los proyectos regionales aprobados al amparo de la Ley 10/1998, de 5 de diciembre, de ordenación del territorio de la Comunidad de Castilla y León deben responder a la existencia de una excepcional relevancia para el desarrollo económico y social de la comunidad castellano-leonesa, lo que no resulta de los motivos de la ley, lo que unido a un desconocimiento de la normativa sobre la ubicación de instalaciones de eliminación y tratamientos de residuos, permite afirmar la dudosa existencia de las razones de extraordinaria importancia que permiten recurrir al trámite legislativo de la aprobación, como ley, de un proyecto regional como el controvertido.</w:t>
      </w:r>
    </w:p>
    <w:p w:rsidR="00AC56D6" w:rsidRDefault="00AC56D6" w:rsidP="00AC56D6">
      <w:pPr>
        <w:pStyle w:val="TextoNormal"/>
      </w:pPr>
    </w:p>
    <w:p w:rsidR="00AC56D6" w:rsidRDefault="00AC56D6" w:rsidP="00AC56D6">
      <w:pPr>
        <w:pStyle w:val="TextoNormal"/>
      </w:pPr>
      <w:r>
        <w:t>Así, es evidente que corresponde a los poderes públicos el posibilitar una adecuada armonía entre el medio ambiente y el desarrollo económico que refiere la Ley autonómica, pero sin embargo, la ley 2/2008 habilita la ejecución y funcionamiento del proyecto ignorando la inexistencia en la Comunidad Autónoma de un plan autonómico de tratamiento de residuos, instrumento necesario para una adecuada protección del medio ambiente y demás bienes jurídicos conexos al mismo.</w:t>
      </w:r>
    </w:p>
    <w:p w:rsidR="00AC56D6" w:rsidRDefault="00AC56D6" w:rsidP="00AC56D6">
      <w:pPr>
        <w:pStyle w:val="TextoNormal"/>
      </w:pPr>
    </w:p>
    <w:p w:rsidR="00AC56D6" w:rsidRDefault="00AC56D6" w:rsidP="00AC56D6">
      <w:pPr>
        <w:pStyle w:val="TextoNormal"/>
      </w:pPr>
      <w:r>
        <w:t>Para el Fiscal la aprobación de la Ley 2/2008, de 17 de junio, ha supuesto desconocer el derecho a la tutela judicial efectiva de art. 24.1 C.E, en su vertiente del derecho a la ejecución de las resoluciones judiciales, y, por ello, incurriría en la inconstitucionalidad que denuncia el órgano judicial proponente de la cuestión de inconstitucionalidad.</w:t>
      </w:r>
    </w:p>
    <w:p w:rsidR="00AC56D6" w:rsidRDefault="00AC56D6" w:rsidP="00AC56D6">
      <w:pPr>
        <w:pStyle w:val="TextoNormal"/>
      </w:pPr>
    </w:p>
    <w:p w:rsidR="00AC56D6" w:rsidRDefault="00AC56D6" w:rsidP="00AC56D6">
      <w:pPr>
        <w:pStyle w:val="TextoNormal"/>
      </w:pPr>
      <w:r>
        <w:t xml:space="preserve">c) Procede a continuación el escrito del Fiscal a examinar la posible vulneración competencial a la que se refiere el Auto de planteamiento de la cuestión. Tras analizar la distribución de competencias considera el escrito del Fiscal que en el presente caso, la Ley 2/2008, de 17 de junio, que aprobó la declaración de proyecto regional del centro de tratamiento controvertido, supone, como señala la Sala de lo Contencioso-Administrativo, que se está habilitando directamente un lugar de tratamiento y eliminación de residuos sin que previamente se haya previsto en un plan autonómico, como exige la legislación estatal, pues como indica la sentencia del Tribunal Supremo de 18 de octubre de 2011, el cumplimiento del mandato dirigido a los planes autonómicos de residuos para que especifiquen los lugares y </w:t>
      </w:r>
      <w:r>
        <w:lastRenderedPageBreak/>
        <w:t>la instalaciones apropiadas para la eliminación de los residuos, que establece el art. 5.4 de la Ley 10/1998 aplicable al caso, es esencial para la protección de la salud pública y el medio ambiente a que se orienta la normativa europea e interna.</w:t>
      </w:r>
    </w:p>
    <w:p w:rsidR="00AC56D6" w:rsidRDefault="00AC56D6" w:rsidP="00AC56D6">
      <w:pPr>
        <w:pStyle w:val="TextoNormal"/>
      </w:pPr>
    </w:p>
    <w:p w:rsidR="00AC56D6" w:rsidRDefault="00AC56D6" w:rsidP="00AC56D6">
      <w:pPr>
        <w:pStyle w:val="TextoNormal"/>
      </w:pPr>
      <w:r>
        <w:t>Por tanto, para el Fiscal, cabe concluir, como hace la Sala de lo Contencioso-Administrativo proponente de la cuestión de inconstitucionalidad, que la Ley de las Cortes de Castilla y León 2/2008, de 17 de junio, de declaración de proyecto regional para la instalación de un centro de tratamiento de residuos industriales no peligrosos en el término municipal de Fresno de la Ribera (Zamora), vulneraría el art. 149.1.23 CE por contradecir la legislación básica de la Ley estatal 10/1998, de 21 de abril, de residuos, en concreto el art. 5.4 de la ley, que exige la existencia previa de un plan autonómico tratamiento de residuos que señale los lugares de eliminación de residuos, plan inexistente en la comunidad castellano leonesa en la medida que los distintos planes de la Junta de Castilla y León sobre tratamiento de residuos hablan sido declarados nulos judicialmente.</w:t>
      </w:r>
    </w:p>
    <w:p w:rsidR="00AC56D6" w:rsidRDefault="00AC56D6" w:rsidP="00AC56D6">
      <w:pPr>
        <w:pStyle w:val="TextoNormal"/>
      </w:pPr>
    </w:p>
    <w:p w:rsidR="00AC56D6" w:rsidRDefault="00AC56D6" w:rsidP="00AC56D6">
      <w:pPr>
        <w:pStyle w:val="TextoNormal"/>
      </w:pPr>
      <w:r>
        <w:t>d) Prosigue el escrito del Fiscal examinando la tercera causa de la posible inconstitucionalidad de la Ley 2/2008, de 17 de junio de las Cortes de Castilla y León relativa a la vulneración del principio de interdicción de la arbitrariedad de los poderes públicos del art. 9.3 CE.</w:t>
      </w:r>
    </w:p>
    <w:p w:rsidR="00AC56D6" w:rsidRDefault="00AC56D6" w:rsidP="00AC56D6">
      <w:pPr>
        <w:pStyle w:val="TextoNormal"/>
      </w:pPr>
    </w:p>
    <w:p w:rsidR="00AC56D6" w:rsidRDefault="00AC56D6" w:rsidP="00AC56D6">
      <w:pPr>
        <w:pStyle w:val="TextoNormal"/>
      </w:pPr>
      <w:r>
        <w:t>Para el Fiscal, la ley autonómica contiene una explicación de los motivos de su aprobación, motivos que, aunque no respondan a una situación extraordinaria para el desarrollo económico y social de la comunidad castellano leonesa y sus efectos puedan poner en riesgo cierto el bien jurídico del medio ambiente, además de condicionar los compromisos del Estado para con la Unión Europea y desconocer el derecho a la tutela judicial efectiva, pueden ser considerados como explicación razonable de su finalidad lo que se traduce en que la ley no vulnera el principio de interdicción de la arbitrariedad de los poderes públicos del art. 9.3 CE.</w:t>
      </w:r>
    </w:p>
    <w:p w:rsidR="00AC56D6" w:rsidRDefault="00AC56D6" w:rsidP="00AC56D6">
      <w:pPr>
        <w:pStyle w:val="TextoNormal"/>
      </w:pPr>
    </w:p>
    <w:p w:rsidR="00AC56D6" w:rsidRDefault="00AC56D6" w:rsidP="00AC56D6">
      <w:pPr>
        <w:pStyle w:val="TextoNormal"/>
      </w:pPr>
      <w:r w:rsidRPr="00AC56D6">
        <w:rPr>
          <w:rStyle w:val="NumeroAFNegritaCaracter"/>
        </w:rPr>
        <w:t>9</w:t>
      </w:r>
      <w:r>
        <w:t>. Por providencia de quince de diciembre de dos mil quince, se señaló para deliberación y votación de la presente cuestión el día 17 de diciembre de 2015.</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Sala de lo Contencioso-Administrativo del Tribunal Superior de Justicia de Castilla y León, (sede de Valladolid) promueve cuestión de inconstitucionalidad en relación con la Ley autonómica 2/2008, de17 de junio, de declaración de proyecto regional para la instalación de un centro de tratamiento de residuos industriales no peligrosos en el término municipal de Fresno de la Ribera (Zamora), por posible vulneración de los arts. 9.3 y 24.1 CE, en relación con el art. 117 CE, en su vertiente de derecho a la ejecución de las resoluciones judiciales y del art. 149.1.23 CE, en relación con el art. 5.4 de la Ley 10/1998, de 21 de abril de residuos.</w:t>
      </w:r>
    </w:p>
    <w:p w:rsidR="00AC56D6" w:rsidRDefault="00AC56D6" w:rsidP="00AC56D6">
      <w:pPr>
        <w:pStyle w:val="TextoNormal"/>
      </w:pPr>
    </w:p>
    <w:p w:rsidR="00AC56D6" w:rsidRDefault="00AC56D6" w:rsidP="00AC56D6">
      <w:pPr>
        <w:pStyle w:val="TextoNormal"/>
      </w:pPr>
      <w:r>
        <w:t xml:space="preserve">Como se ha dejado constancia en los antecedentes, el Fiscal General del Estado interesa la estimación de la cuestión, por considerar que concurren varias de las vulneraciones constitucionales apreciadas por el órgano judicial. Por el contrario, la representación procesal de </w:t>
      </w:r>
      <w:r>
        <w:lastRenderedPageBreak/>
        <w:t>la Junta de Castilla y León entiende que la cuestión de inconstitucionalidad ha de ser inadmitida o, subsidiariamente, desestimada ya que la norma impugnada no contraviene los artículos 149 CE en relación con el 5 de la Ley de residuos; ni 24 CE en relación con el art. 117 CE, ni 9.3 CE. El Abogado del Estado no aprecia violación de la competencia exclusiva del Estado recogida en el art. 149.1.23 CE.</w:t>
      </w:r>
    </w:p>
    <w:p w:rsidR="00AC56D6" w:rsidRDefault="00AC56D6" w:rsidP="00AC56D6">
      <w:pPr>
        <w:pStyle w:val="TextoNormal"/>
      </w:pPr>
    </w:p>
    <w:p w:rsidR="00AC56D6" w:rsidRDefault="00AC56D6" w:rsidP="00AC56D6">
      <w:pPr>
        <w:pStyle w:val="TextoNormal"/>
      </w:pPr>
      <w:r w:rsidRPr="00AC56D6">
        <w:rPr>
          <w:rStyle w:val="NumeroAFNegritaCaracter"/>
        </w:rPr>
        <w:t>2</w:t>
      </w:r>
      <w:r>
        <w:t>. El Letrado de la Junta de Castilla y León ha planteado un óbice procesal que sería determinante, caso de ser apreciado, de la inadmisión de la presente cuestión por incumplimiento de las condiciones procesales. Por tanto, con carácter previo al examen de fondo, resulta necesario pronunciarse sobre la concurrencia de tal óbice procesal, siendo preciso recordar que, de acuerdo con la constante doctrina de este Tribunal, no existe ningún impedimento para realizar un eventual pronunciamiento de inadmisión de una cuestión de inconstitucionalidad en la fase de resolución de la misma, esto es, mediante sentencia, dado que la tramitación específica del art. 37.1 de la Ley Orgánica del Tribunal Constitucional (LOTC) no tiene carácter preclusivo, por lo que es posible apreciar en Sentencia la ausencia de los requisitos, tanto procesales como de fundamentación, requeridos para el válido planteamiento de la cuestión de inconstitucionalidad (por todas, STC 42/2013, de 14 de febrero, FJ 2).</w:t>
      </w:r>
    </w:p>
    <w:p w:rsidR="00AC56D6" w:rsidRDefault="00AC56D6" w:rsidP="00AC56D6">
      <w:pPr>
        <w:pStyle w:val="TextoNormal"/>
      </w:pPr>
    </w:p>
    <w:p w:rsidR="00AC56D6" w:rsidRDefault="00AC56D6" w:rsidP="00AC56D6">
      <w:pPr>
        <w:pStyle w:val="TextoNormal"/>
      </w:pPr>
      <w:r>
        <w:t xml:space="preserve">Pues bien, el examen del </w:t>
      </w:r>
      <w:r w:rsidRPr="00AC56D6">
        <w:rPr>
          <w:i/>
        </w:rPr>
        <w:t>iter</w:t>
      </w:r>
      <w:r>
        <w:t xml:space="preserve"> procesal que condujo al planteamiento de la presente cuestión de inconstitucionalidad pone de manifiesto la falta de los presupuestos procesales exigidos por los arts. 163 CE y 35 a 37 de la Ley Orgánica del Tribunal Constitucional (LOTC).</w:t>
      </w:r>
    </w:p>
    <w:p w:rsidR="00AC56D6" w:rsidRDefault="00AC56D6" w:rsidP="00AC56D6">
      <w:pPr>
        <w:pStyle w:val="TextoNormal"/>
      </w:pPr>
    </w:p>
    <w:p w:rsidR="00AC56D6" w:rsidRDefault="00AC56D6" w:rsidP="00AC56D6">
      <w:pPr>
        <w:pStyle w:val="TextoNormal"/>
      </w:pPr>
      <w:r>
        <w:t xml:space="preserve">Así, es necesario recordar que en el proceso </w:t>
      </w:r>
      <w:r w:rsidRPr="00AC56D6">
        <w:rPr>
          <w:i/>
        </w:rPr>
        <w:t>a quo</w:t>
      </w:r>
      <w:r>
        <w:t xml:space="preserve"> se controvierte la conformidad con el ordenamiento jurídico de la Orden de 10 de julio de 2006 de la Consejería de Medio Ambiente de la Junta de Castilla y León por la que se concede autorización ambiental a la entidad mercantil TRECISA para la construcción de un centro de tratamiento de residuos industriales en el término municipal de Fresno de la Ribera (Zamora). En el recurso contencioso-administrativo, planteado en su día por la Federación Ecologistas en Acción de Castilla y León, se alegaba, entre otras cosas, que la autorización para la construcción del centro de tratamiento de residuos industriales en el término municipal de Fresno de la Ribera no estaba amparada por la preceptiva existencia previa del correspondiente plan autonómico de residuos industriales, tal como exigiría la Ley 10/1998, de 21 de abril, de residuos.</w:t>
      </w:r>
    </w:p>
    <w:p w:rsidR="00AC56D6" w:rsidRDefault="00AC56D6" w:rsidP="00AC56D6">
      <w:pPr>
        <w:pStyle w:val="TextoNormal"/>
      </w:pPr>
    </w:p>
    <w:p w:rsidR="00AC56D6" w:rsidRDefault="00AC56D6" w:rsidP="00AC56D6">
      <w:pPr>
        <w:pStyle w:val="TextoNormal"/>
      </w:pPr>
      <w:r>
        <w:t>La Sala de lo Contencioso-Administrativo del Tribunal Superior de Justicia de Castilla y León, mediante Auto de 4 de julio de 2007, accedió a la medida cautelar solicitada en su día por la federación ecologista demandante y acordó la suspensión de la ejecutividad de la orden impugnada.</w:t>
      </w:r>
    </w:p>
    <w:p w:rsidR="00AC56D6" w:rsidRDefault="00AC56D6" w:rsidP="00AC56D6">
      <w:pPr>
        <w:pStyle w:val="TextoNormal"/>
      </w:pPr>
    </w:p>
    <w:p w:rsidR="00AC56D6" w:rsidRDefault="00AC56D6" w:rsidP="00AC56D6">
      <w:pPr>
        <w:pStyle w:val="TextoNormal"/>
      </w:pPr>
      <w:r>
        <w:t xml:space="preserve">Posteriormente, la propia Sala, por providencia de 25 de noviembre de 2009, no accedió, sin embargo, a la petición de que se hiciese efectiva la paralización de las obras del centro de tratamiento de residuos —paralización que se derivaba de la suspensión declarada por el referido Auto de 4 de julio de 2007—. Concretamente la referida providencia fundamentó la decisión de no paralización en que la Ley 2/2008, de 17 de junio, “concede autorización ambiental al Centro de Tratamiento de Residuos Industriales No Peligrosos en el término municipal de Fresno de la Ribera (Zamora) y establece que la declaración del referido Centro como Proyecto Regional implica la inmediata aptitud para la ejecución del Proyecto y su actividad posterior”. Así, tras no haber accedido a la paralización de las obras, por los </w:t>
      </w:r>
      <w:r>
        <w:lastRenderedPageBreak/>
        <w:t>concretos motivos que se recogen en la providencia de 25 de noviembre de 2009, se extendió el 20 de septiembre de 2010, por la Secretaria de la Sala diligencia de archivo de las actuaciones referidas a la pieza de medidas cautelares.</w:t>
      </w:r>
    </w:p>
    <w:p w:rsidR="00AC56D6" w:rsidRDefault="00AC56D6" w:rsidP="00AC56D6">
      <w:pPr>
        <w:pStyle w:val="TextoNormal"/>
      </w:pPr>
    </w:p>
    <w:p w:rsidR="00AC56D6" w:rsidRDefault="00AC56D6" w:rsidP="00AC56D6">
      <w:pPr>
        <w:pStyle w:val="TextoNormal"/>
      </w:pPr>
      <w:r>
        <w:t>Finalmente, la Sala de lo Contencioso-Administrativo del Tribunal Superior de Justicia de Castilla y León, acordó, mediante Auto de 19 de abril de 2012, plantear cuestión de inconstitucionalidad respecto a la Ley 2/2008, de 17 de junio, por posible vulneración de los arts. 9.3 CE y 24.1 CE, en relación con el art. 117 CE, en su vertiente de derecho a la ejecución de las resoluciones judiciales y del art. 149.1.23 CE, en relación con el art. 5.4 de la Ley 10/1998, de 21 de abril, de residuos.</w:t>
      </w:r>
    </w:p>
    <w:p w:rsidR="00AC56D6" w:rsidRDefault="00AC56D6" w:rsidP="00AC56D6">
      <w:pPr>
        <w:pStyle w:val="TextoNormal"/>
      </w:pPr>
    </w:p>
    <w:p w:rsidR="00AC56D6" w:rsidRDefault="00AC56D6" w:rsidP="00AC56D6">
      <w:pPr>
        <w:pStyle w:val="TextoNormal"/>
      </w:pPr>
      <w:r>
        <w:t>De lo expuesto se ponen de manifiesto las especiales circunstancias que concurren en el presente proceso, pues la cuestión de inconstitucionalidad se eleva por la Sala de lo Contencioso-Administrativo del Tribunal Superior de Justicia de Castilla y León después de que la misma hubiese aplicado, sin realizar reserva alguna, la norma sobre cuya constitucionalidad dice ahora albergar dudas.</w:t>
      </w:r>
    </w:p>
    <w:p w:rsidR="00AC56D6" w:rsidRDefault="00AC56D6" w:rsidP="00AC56D6">
      <w:pPr>
        <w:pStyle w:val="TextoNormal"/>
      </w:pPr>
    </w:p>
    <w:p w:rsidR="00AC56D6" w:rsidRDefault="00AC56D6" w:rsidP="00AC56D6">
      <w:pPr>
        <w:pStyle w:val="TextoNormal"/>
      </w:pPr>
      <w:r>
        <w:t>En efecto, el Tribunal, en la providencia antes referida, no se pronuncia sobre la Ley que luego cuestiona en los términos propios de la apariencia de buen derecho que proporciona una Ley a la que acompaña una presunción de constitucionalidad como es propio del análisis a realizar en un incidente de suspensión, sino de un modo que pone de manifiesto que ese Tribunal examinó dicha Ley y consideró que otorgaba suficiente cobertura a los actos sobre cuya suspensión debía resolver.</w:t>
      </w:r>
    </w:p>
    <w:p w:rsidR="00AC56D6" w:rsidRDefault="00AC56D6" w:rsidP="00AC56D6">
      <w:pPr>
        <w:pStyle w:val="TextoNormal"/>
      </w:pPr>
    </w:p>
    <w:p w:rsidR="00AC56D6" w:rsidRDefault="00AC56D6" w:rsidP="00AC56D6">
      <w:pPr>
        <w:pStyle w:val="TextoNormal"/>
      </w:pPr>
      <w:r>
        <w:t xml:space="preserve">Con su decisión de no proceder a mantener los efectos de la suspensión cautelar de la ejecutividad de la Orden impugnada, el órgano judicial hizo expresa aplicación en este supuesto de la norma legal cuestionada, sin mostrar duda alguna, pronunciándose de forma inequívoca —con su aplicación— sobre la constitucionalidad de la Ley sobre la que decidía. Así, el órgano judicial a la hora de dar respuesta a la solicitud formulada por la parte demandante en el proceso </w:t>
      </w:r>
      <w:r w:rsidRPr="00AC56D6">
        <w:rPr>
          <w:i/>
        </w:rPr>
        <w:t>a quo</w:t>
      </w:r>
      <w:r>
        <w:t xml:space="preserve"> para que hiciese efectiva la medida cautelar de suspensión de la ejecutividad de la Orden impugnada, aplicó la norma, que concedía autorización ambiental al centro de residuos, y que luego cuestionó por posible vulneración de los arts. 9.3 y 24.1 CE, en relación con el art. 117 CE, en su vertiente de derecho a la ejecución de las resoluciones judiciales y del art. 149.1.23 CE, quebrantando con ello la verdadera finalidad de las cuestiones de inconstitucionalidad.</w:t>
      </w:r>
    </w:p>
    <w:p w:rsidR="00AC56D6" w:rsidRDefault="00AC56D6" w:rsidP="00AC56D6">
      <w:pPr>
        <w:pStyle w:val="TextoNormal"/>
      </w:pPr>
    </w:p>
    <w:p w:rsidR="00AC56D6" w:rsidRDefault="00AC56D6" w:rsidP="00AC56D6">
      <w:pPr>
        <w:pStyle w:val="TextoNormal"/>
      </w:pPr>
      <w:r>
        <w:t>Por tanto, el órgano judicial cuando hubo de resolver sobre la medida cautelar solicitada, fundamentó su decisión de no acordar la paralización de las obras en la existencia de la Ley 2/2008, sin apreciar en ese momento ninguna incompatibilidad de esa ley con la Constitución, pues de haberlo hecho hubiera debido acordar entonces el planteamiento de la cuestión de inconstitucionalidad ya que las tachas de inconstitucionalidad de la norma luego afirmadas, de existir, tenían inmediata proyección sobre la resolución judicial que resolvía la denegación de la ejecución de la orden.</w:t>
      </w:r>
    </w:p>
    <w:p w:rsidR="00AC56D6" w:rsidRDefault="00AC56D6" w:rsidP="00AC56D6">
      <w:pPr>
        <w:pStyle w:val="TextoNormal"/>
      </w:pPr>
    </w:p>
    <w:p w:rsidR="00AC56D6" w:rsidRDefault="00AC56D6" w:rsidP="00AC56D6">
      <w:pPr>
        <w:pStyle w:val="TextoNormal"/>
      </w:pPr>
      <w:r>
        <w:t xml:space="preserve">La actuación del órgano judicial planteando la cuestión de inconstitucionalidad una vez que ha aplicado la norma, entra en contradicción con nuestra doctrina según la cual: “la cuestión de inconstitucionalidad presenta en nuestro ordenamiento carácter prejudicial y… por tanto, su planteamiento en relación con una norma que ya ha sido aplicada en el propio </w:t>
      </w:r>
      <w:r>
        <w:lastRenderedPageBreak/>
        <w:t>proceso por el órgano proponente conduce a su inadmisión (AATC 361/2004, de 21 de septiembre, FJ 4; 134/2006, de 4 de abril, FJ 2; 184/2009, de 15 de junio, FJ 2; 127/2012, de 19 de junio, FJ 3; y 220/2012, de 27 de noviembre, FJ 3)” [ATC 35/2013, de 12 de febrero, FJ 3]. En efecto, “en la medida en que la cuestión de inconstitucionalidad tiene como finalidad la de suspender el procedimiento y esperar a la respuesta de este Tribunal para la aplicación de la norma, en el presente caso el órgano judicial ya la habría aplicado, con lo que carecería de sentido la duda que posteriormente le surge.” (AATC 184/2009, de 15 de junio, FJ 2, y 220/2012 de 27 de noviembre, FJ 3).</w:t>
      </w:r>
    </w:p>
    <w:p w:rsidR="00AC56D6" w:rsidRDefault="00AC56D6" w:rsidP="00AC56D6">
      <w:pPr>
        <w:pStyle w:val="TextoNormal"/>
      </w:pPr>
    </w:p>
    <w:p w:rsidR="00AC56D6" w:rsidRDefault="00AC56D6" w:rsidP="00AC56D6">
      <w:pPr>
        <w:pStyle w:val="TextoNormal"/>
      </w:pPr>
      <w:r>
        <w:t>Así, la Sala de lo Contencioso-Administrativo del Tribunal Superior de Justicia de Castilla y León, en su providencia de 25 de noviembre de 2009, fundamentó la decisión de no acceder a la petición de que se hiciese efectiva la paralización de las obras del centro de tratamiento de residuos en que la Ley 2/2008, de 17 de junio, “concede autorización ambiental al Centro de Tratamiento de Residuos … y establece que la declaración del referido Centro como Proyecto Regional implica la inmediata aptitud para la ejecución del Proyecto y su actividad posterior”, aplicando así la norma legal luego impugnada. Debió ser en ese momento, antes de aplicar la norma para la resolución del incidente cautelar, cuando, en su caso hubiese correspondido plantear la cuestión de inconstitucionalidad. Al respecto cabe recordar que, como este Tribunal ha afirmado en reiteradas ocasiones, el término “fallo” del art. 163 de la Constitución (y del art. 35.1 LOTC) ha de ser interpretado flexiblemente, no coincidente con el más estricto de Sentencia (SSTC 76/1982, 54/1983 y 55/1990, entre otras), permitiendo cuestionar la constitucionalidad de una norma legal cuya aplicación resulta imprescindible para fundamentar la decisión judicial a adoptar, impidiendo así la aplicación directa de la norma legal cuya constitucionalidad se cuestiona, —máxime cuando, como es el caso, el planteamiento anticipado de la cuestión se produciría en un momento en el que es posible formular ya con exhaustiva precisión el juicio de relevancia de la norma con rango de ley de cuya constitucionalidad duda el órgano jurisdiccional, pues la ulterior tramitación del proceso hasta Sentencia no aporta ningún elemento adicional de juicio sobre la aplicabilidad de la norma legal cuestionada ni sobre su efecto determinante del fallo, ni sobre su legitimidad constitucional (ATC 134/2006, de 4 de abril, FJ 4)—. Además, en el presente caso, carecería de toda lógica trasladar el juicio de constitucionalidad de la norma, que tiene una incidencia anticipada en el propio proceso en curso, al momento de dictar sentencia, juicio que, de ser estimatorio, habría de provocar la ilegalidad de la construcción del centro de residuos que la propia Sala consintió mediante la aplicación de la Ley 2/2008 en la pieza de medidas cautelares.</w:t>
      </w:r>
    </w:p>
    <w:p w:rsidR="00AC56D6" w:rsidRDefault="00AC56D6" w:rsidP="00AC56D6">
      <w:pPr>
        <w:pStyle w:val="TextoNormal"/>
      </w:pPr>
    </w:p>
    <w:p w:rsidR="00AC56D6" w:rsidRDefault="00AC56D6" w:rsidP="00AC56D6">
      <w:pPr>
        <w:pStyle w:val="TextoNormal"/>
      </w:pPr>
      <w:r>
        <w:t>No habiéndose respetado en este concreto caso, por las específicas circunstancias referidas, el carácter prejudicial de la cuestión, la misma debe ser inadmitida pues, efectivamente, no se ha planteado, como debía, en el momento adecuado porque, cuando la interpone, el órgano ya había aplicado la norma de cuya constitucionalidad no podía dudar, pronunciándose de manera inequívoca sobre el objeto de la cuestión que ahora nos plantea, quebrantando con ello la verdadera finalidad de las cuestiones de inconstitucionalidad.</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lastRenderedPageBreak/>
        <w:t>Ha decidido</w:t>
      </w:r>
    </w:p>
    <w:p w:rsidR="00AC56D6" w:rsidRDefault="00AC56D6" w:rsidP="00AC56D6">
      <w:pPr>
        <w:pStyle w:val="TextoNormalCentrado"/>
        <w:keepNext/>
      </w:pPr>
    </w:p>
    <w:p w:rsidR="00AC56D6" w:rsidRDefault="00AC56D6" w:rsidP="00AC56D6">
      <w:pPr>
        <w:pStyle w:val="TextoNormal"/>
      </w:pPr>
      <w:r>
        <w:t>Inadmitir la cuestión de inconstitucionalidad núm. 2869-2012, planteada por la Sala de lo Contencioso-Administrativo del Tribunal Superior de Justicia de Castilla y León, (sede de Valladolid).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diecisiete de diciembre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26" w:name="SENTENCIA_2015_270"/>
      <w:r>
        <w:lastRenderedPageBreak/>
        <w:t>SENTENCIA 270/2015, de 17 de diciembre de 2015</w:t>
      </w:r>
    </w:p>
    <w:bookmarkEnd w:id="126"/>
    <w:p w:rsidR="00AC56D6" w:rsidRDefault="00AC56D6" w:rsidP="00AC56D6">
      <w:pPr>
        <w:pStyle w:val="TtuloResolucin"/>
      </w:pPr>
      <w:r>
        <w:t>Pleno</w:t>
      </w:r>
    </w:p>
    <w:p w:rsidR="00AC56D6" w:rsidRDefault="00AC56D6" w:rsidP="00AC56D6">
      <w:pPr>
        <w:pStyle w:val="TtuloBOE"/>
      </w:pPr>
      <w:r>
        <w:t>(BOE núm. 19, de 22 de enero de 2016)</w:t>
      </w:r>
    </w:p>
    <w:p w:rsidR="00AC56D6" w:rsidRDefault="00AC56D6" w:rsidP="00AC56D6">
      <w:pPr>
        <w:pStyle w:val="TextoNormalCentrado"/>
      </w:pPr>
      <w:r>
        <w:t>ECLI:ES:TC:2015:270</w:t>
      </w:r>
    </w:p>
    <w:p w:rsidR="00AC56D6" w:rsidRDefault="00AC56D6" w:rsidP="00AC56D6">
      <w:pPr>
        <w:pStyle w:val="TextoNormalCentrado"/>
      </w:pPr>
    </w:p>
    <w:p w:rsidR="00AC56D6" w:rsidRDefault="00AC56D6" w:rsidP="00AC56D6">
      <w:pPr>
        <w:pStyle w:val="SntesisDescriptiva"/>
      </w:pPr>
      <w:r>
        <w:t>Recurso de inconstitucionalidad 5347-2013. Interpuesto por el Consejo de Gobierno de la Comunidad Autónoma de la Región de Murcia en relación con diversos preceptos del Real Decreto-ley 9/2013, de 12 de julio, por el que se adoptan medidas urgentes para garantizar la estabilidad financiera del sistema eléctrico.</w:t>
      </w:r>
    </w:p>
    <w:p w:rsidR="00AC56D6" w:rsidRDefault="00AC56D6" w:rsidP="00AC56D6">
      <w:pPr>
        <w:pStyle w:val="SntesisDescriptiva"/>
      </w:pPr>
    </w:p>
    <w:p w:rsidR="00AC56D6" w:rsidRDefault="00AC56D6" w:rsidP="00AC56D6">
      <w:pPr>
        <w:pStyle w:val="SntesisAnaltica"/>
      </w:pPr>
      <w:r>
        <w:t>Límites a los decretos-leyes, principios de jerarquía normativa, seguridad jurídica y de irretroactividad de las normas restrictivas de derechos individuales: acreditación de la concurrencia del presupuesto habilitante; constitucionalidad de los preceptos legales que establecen un nuevo régimen retributivo para los titulares de las instalaciones de producción de energía eléctrica en régimen primado. Voto particular.</w:t>
      </w:r>
    </w:p>
    <w:p w:rsidR="00AC56D6" w:rsidRDefault="00AC56D6" w:rsidP="00AC56D6">
      <w:pPr>
        <w:pStyle w:val="SntesisAnaltica"/>
      </w:pPr>
    </w:p>
    <w:p w:rsidR="00AC56D6" w:rsidRDefault="00AC56D6" w:rsidP="00AC56D6">
      <w:pPr>
        <w:pStyle w:val="Extracto"/>
      </w:pPr>
      <w:r>
        <w:t>1.</w:t>
      </w:r>
      <w:r>
        <w:tab/>
        <w:t>Las razones que motivaron la aprobación de la norma impugnada derivan de la evolución expansiva de los costes del sistema eléctrico, unida a las consecuencias de la crisis económica y a la necesidad de cumplimiento de los objetivos de déficit para el año 2014, que determinan la necesidad de adopción de una serie de medidas dirigidas a garantizar la estabilidad financiera del sistema eléctrico, mediante una revisión de su marco regulatorio [FJ 5].</w:t>
      </w:r>
    </w:p>
    <w:p w:rsidR="00AC56D6" w:rsidRDefault="00AC56D6" w:rsidP="00AC56D6">
      <w:pPr>
        <w:pStyle w:val="Extracto"/>
      </w:pPr>
    </w:p>
    <w:p w:rsidR="00AC56D6" w:rsidRDefault="00AC56D6" w:rsidP="00AC56D6">
      <w:pPr>
        <w:pStyle w:val="Extracto"/>
      </w:pPr>
      <w:r>
        <w:t>2.</w:t>
      </w:r>
      <w:r>
        <w:tab/>
        <w:t>Respecto al examen del presupuesto habilitante de la extraordinaria y urgente necesidad, el argumento que sustenta las modificaciones introducidas viene a ser coincidente con el de carácter general, si bien se singulariza en el hecho de que, entre las partidas de costes que han contribuido en mayor medida al incremento del déficit tarifario destacan las primas del régimen especial y las anualidades de déficits acumulados, partidas que se han multiplicado por seis y por nueve respectivamente entre 2004 y 2012 [FJ 5].</w:t>
      </w:r>
    </w:p>
    <w:p w:rsidR="00AC56D6" w:rsidRDefault="00AC56D6" w:rsidP="00AC56D6">
      <w:pPr>
        <w:pStyle w:val="Extracto"/>
      </w:pPr>
    </w:p>
    <w:p w:rsidR="00AC56D6" w:rsidRDefault="00AC56D6" w:rsidP="00AC56D6">
      <w:pPr>
        <w:pStyle w:val="Extracto"/>
      </w:pPr>
      <w:r>
        <w:t>3.</w:t>
      </w:r>
      <w:r>
        <w:tab/>
        <w:t>Doctrina constitucional sobre el presupuesto habilitante de los decretos-leyes resumida en la STC 12/2015 [FJ 3].</w:t>
      </w:r>
    </w:p>
    <w:p w:rsidR="00AC56D6" w:rsidRDefault="00AC56D6" w:rsidP="00AC56D6">
      <w:pPr>
        <w:pStyle w:val="Extracto"/>
      </w:pPr>
    </w:p>
    <w:p w:rsidR="00AC56D6" w:rsidRDefault="00AC56D6" w:rsidP="00AC56D6">
      <w:pPr>
        <w:pStyle w:val="Extracto"/>
      </w:pPr>
      <w:r>
        <w:t>4.</w:t>
      </w:r>
      <w:r>
        <w:tab/>
        <w:t>Si bien la Carta de la energía contempla la necesidad de dotar de seguridad a las inversiones en energías renovables y la prohibición de adoptar medidas que les afecten con efectos equivalentes a la expropiación, el recurrente plantea una cuestión relacionada con el sistema de fuentes, sin argumentar sobre el fondo del asunto, esto es, de qué forma las normas que cuestiona contravendrían las reglas del Tratado y, cuáles serían las consecuencias de dicha contravención, por lo que no se ha levantado la carga alegatoria que pesa sobre quien pretende la declaración de inconstitucionalidad de una norma con rango de ley [FJ 6].</w:t>
      </w:r>
    </w:p>
    <w:p w:rsidR="00AC56D6" w:rsidRDefault="00AC56D6" w:rsidP="00AC56D6">
      <w:pPr>
        <w:pStyle w:val="Extracto"/>
      </w:pPr>
    </w:p>
    <w:p w:rsidR="00AC56D6" w:rsidRDefault="00AC56D6" w:rsidP="00AC56D6">
      <w:pPr>
        <w:pStyle w:val="Extracto"/>
      </w:pPr>
      <w:r>
        <w:t>5.</w:t>
      </w:r>
      <w:r>
        <w:tab/>
        <w:t>No corresponde a este Tribunal determinar la compatibilidad o no de un precepto legal con un tratado internacional, ni éstos pueden erigirse en normas fundamentales y criterios de constitucionalidad (STC 142/1993) [FJ 6].</w:t>
      </w:r>
    </w:p>
    <w:p w:rsidR="00AC56D6" w:rsidRDefault="00AC56D6" w:rsidP="00AC56D6">
      <w:pPr>
        <w:pStyle w:val="Extracto"/>
      </w:pPr>
    </w:p>
    <w:p w:rsidR="00AC56D6" w:rsidRDefault="00AC56D6" w:rsidP="00AC56D6">
      <w:pPr>
        <w:pStyle w:val="Extracto"/>
      </w:pPr>
      <w:r>
        <w:lastRenderedPageBreak/>
        <w:t>6.</w:t>
      </w:r>
      <w:r>
        <w:tab/>
        <w:t>La incorporación de un tratado al ordenamiento jurídico interno, tras su ratificación y publicación oficial, no determina la supuesta vulneración del principio de jerarquía normativa que proscribe que una norma contravenga lo dispuesto en otra de rango superior; porque si el criterio de enjuiciamiento en un proceso de constitucionalidad viene proporcionado por la Constitución y, eventualmente, por las normas que integran el bloque de constitucionalidad, siendo que en todo recurso de inconstitucionalidad subyace un problema de jerarquía normativa, éste principio no es un canon idóneo para esta labor [FJ 6].</w:t>
      </w:r>
    </w:p>
    <w:p w:rsidR="00AC56D6" w:rsidRDefault="00AC56D6" w:rsidP="00AC56D6">
      <w:pPr>
        <w:pStyle w:val="Extracto"/>
      </w:pPr>
    </w:p>
    <w:p w:rsidR="00AC56D6" w:rsidRDefault="00AC56D6" w:rsidP="00AC56D6">
      <w:pPr>
        <w:pStyle w:val="Extracto"/>
      </w:pPr>
      <w:r>
        <w:t>7.</w:t>
      </w:r>
      <w:r>
        <w:tab/>
        <w:t>El respeto a los principios de seguridad jurídica y de confianza legítima es compatible con las modificaciones en el régimen retributivo de las energías renovables efectuadas en la norma impugnada; más aún en un ámbito sujeto a un elevada intervención administrativa en virtud de su incidencia en intereses generales [FJ 7.a)].</w:t>
      </w:r>
    </w:p>
    <w:p w:rsidR="00AC56D6" w:rsidRDefault="00AC56D6" w:rsidP="00AC56D6">
      <w:pPr>
        <w:pStyle w:val="Extracto"/>
      </w:pPr>
    </w:p>
    <w:p w:rsidR="00AC56D6" w:rsidRDefault="00AC56D6" w:rsidP="00AC56D6">
      <w:pPr>
        <w:pStyle w:val="Extracto"/>
      </w:pPr>
      <w:r>
        <w:t>8.</w:t>
      </w:r>
      <w:r>
        <w:tab/>
        <w:t>La Comunidad Autónoma recurrente reprocha la utilización supuestamente arbitraria de los conceptos jurídicos indeterminados de “rentabilidad razonable” y de “empresa eficiente o bien gestionada”, que constituyen la premisa para la aplicación de retribución adicional por costes de inversión, pero se rechaza tal queja dado que la propia norma lleva a cabo una determinación objetiva de dichos conceptos, con arreglo a determinados parámetros, que expresamente se enumeran [FJ 7.b)].</w:t>
      </w:r>
    </w:p>
    <w:p w:rsidR="00AC56D6" w:rsidRDefault="00AC56D6" w:rsidP="00AC56D6">
      <w:pPr>
        <w:pStyle w:val="Extracto"/>
      </w:pPr>
    </w:p>
    <w:p w:rsidR="00AC56D6" w:rsidRDefault="00AC56D6" w:rsidP="00AC56D6">
      <w:pPr>
        <w:pStyle w:val="Extracto"/>
      </w:pPr>
      <w:r>
        <w:t>9.</w:t>
      </w:r>
      <w:r>
        <w:tab/>
        <w:t>Los titulares de las instalaciones de producción de energía eléctrica en régimen primado están sujetos a nuevo régimen retributivo desde la entrada en vigor de la norma impugnada, sin perjuicio de que la cuantificación precisa de dicha retribución no se produzca hasta la aprobación de la norma reglamentaria correspondiente, y sin que dicha sujeción conlleve una afectación desfavorable a los derechos adquiridos, desde una perspectiva constitucional, esto es, no incide en derechos patrimoniales previamente consolidados ni en situaciones jurídicas ya agotadas o consumadas [FJ 7.c)].</w:t>
      </w:r>
    </w:p>
    <w:p w:rsidR="00AC56D6" w:rsidRDefault="00AC56D6" w:rsidP="00AC56D6">
      <w:pPr>
        <w:pStyle w:val="Extracto"/>
      </w:pPr>
    </w:p>
    <w:p w:rsidR="00AC56D6" w:rsidRDefault="00AC56D6" w:rsidP="00AC56D6">
      <w:pPr>
        <w:pStyle w:val="Extracto"/>
      </w:pPr>
      <w:r>
        <w:t>10.</w:t>
      </w:r>
      <w:r>
        <w:tab/>
        <w:t>Doctrina constitucional sobre los principios de seguridad jurídica y confianza legítima (SSTC 182/1997, 183/2014, 237/2012, 81/2015, 183/2014) [FJ 7.a)].</w:t>
      </w:r>
    </w:p>
    <w:p w:rsidR="00AC56D6" w:rsidRDefault="00AC56D6" w:rsidP="00AC56D6">
      <w:pPr>
        <w:pStyle w:val="Extracto"/>
      </w:pPr>
    </w:p>
    <w:p w:rsidR="00AC56D6" w:rsidRDefault="00AC56D6" w:rsidP="00AC56D6">
      <w:pPr>
        <w:pStyle w:val="Extracto"/>
      </w:pPr>
      <w:r>
        <w:t>11.</w:t>
      </w:r>
      <w:r>
        <w:tab/>
        <w:t>En el caso de la retroactividad impropia, que incide en situaciones no concluidas, hay que reconocer al legislador un amplio margen de libertad, de suerte que no entran dentro del ámbito de la retroactividad prohibida las disposiciones que, carentes de efectos ablativos o peyorativos hacia el pasado, despliegan su eficacia inmediata hacia el futuro aunque ello suponga incidir en una relación o situación jurídica aún en curso [FJ 7.c)].</w:t>
      </w:r>
    </w:p>
    <w:p w:rsidR="00AC56D6" w:rsidRDefault="00AC56D6" w:rsidP="00AC56D6">
      <w:pPr>
        <w:pStyle w:val="Extracto"/>
      </w:pPr>
    </w:p>
    <w:p w:rsidR="00AC56D6" w:rsidRDefault="00AC56D6" w:rsidP="00AC56D6">
      <w:pPr>
        <w:pStyle w:val="Extracto"/>
      </w:pPr>
      <w:r>
        <w:t>12.</w:t>
      </w:r>
      <w:r>
        <w:tab/>
        <w:t>Las modificaciones normativas operadas por la norma impugnada han dado lugar a una novación actualizada del régimen retributivo para la actividad de producción a partir de fuentes de energía renovables, cogeneración y residuos con régimen económico primado, compatible con la Constitución [FJ 2].</w:t>
      </w:r>
    </w:p>
    <w:p w:rsidR="00AC56D6" w:rsidRDefault="00AC56D6" w:rsidP="00AC56D6">
      <w:pPr>
        <w:pStyle w:val="Extracto"/>
      </w:pPr>
    </w:p>
    <w:p w:rsidR="00AC56D6" w:rsidRDefault="00AC56D6" w:rsidP="00AC56D6">
      <w:pPr>
        <w:pStyle w:val="Extracto"/>
      </w:pPr>
      <w:r>
        <w:lastRenderedPageBreak/>
        <w:t>13.</w:t>
      </w:r>
      <w:r>
        <w:tab/>
        <w:t>Doctrina constitucional sobre la pérdida sobrevenida de objeto del recurso de inconstitucionalidad (STC 96/2014) [FJ 2].</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compuesto por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inconstitucionalidad núm. 5347-2013 interpuesto por el Consejo de Gobierno de la Comunidad Autónoma de la Región de Murcia, representado por el Letrado de la Comunidad Autónoma, contra el art. 1, apartados 2 y 3; disposición adicional primera; disposición transitoria tercera y disposición final segunda del Real Decreto-ley 9/2013, de 12 de julio, por el que se adoptan medidas urgentes para garantizar la estabilidad financiera del sistema eléctrico. Ha comparecido y formulado alegaciones el Abogado del Estado. Ha sido Ponente la Magistrada doña Encarnación Roca Trías,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El día 20 de septiembre de 2013 tuvo entrada en el Registro General de este Tribunal Constitucional, escrito del Letrado de la Comunidad Autónoma de la Región de Murcia por el que, en nombre y representación de la misma, interpone recurso de inconstitucionalidad contra el art. 1, apartados 2 y 3; disposición adicional primera; disposición transitoria tercera y disposición final segunda del Real Decreto-ley 9/2013, de 12 de julio, por el que se adoptan medidas urgentes para garantizar la estabilidad financiera del sistema eléctrico, por infracción de los arts. 9.1, 9.3 y 86.1 CE.</w:t>
      </w:r>
    </w:p>
    <w:p w:rsidR="00AC56D6" w:rsidRDefault="00AC56D6" w:rsidP="00AC56D6">
      <w:pPr>
        <w:pStyle w:val="TextoNormal"/>
      </w:pPr>
    </w:p>
    <w:p w:rsidR="00AC56D6" w:rsidRDefault="00AC56D6" w:rsidP="00AC56D6">
      <w:pPr>
        <w:pStyle w:val="TextoNormal"/>
      </w:pPr>
      <w:r>
        <w:t>Alude en primer término el Letrado, al contexto normativo en el que se inserta la disposición recurrida, señalando que la Ley 54/1997, de 27 de noviembre, del sector eléctrico, regula la producción de energía eléctrica en régimen especial, disponiendo que la misma se regirá por sus disposiciones específicas y, en lo no previsto, por las generales sobre producción eléctrica en lo que resulten de aplicación, y atribuye a las Comunidades Autónomas la competencia para otorgar la condición de instalación de producción, acogida a régimen especial.</w:t>
      </w:r>
    </w:p>
    <w:p w:rsidR="00AC56D6" w:rsidRDefault="00AC56D6" w:rsidP="00AC56D6">
      <w:pPr>
        <w:pStyle w:val="TextoNormal"/>
      </w:pPr>
    </w:p>
    <w:p w:rsidR="00AC56D6" w:rsidRDefault="00AC56D6" w:rsidP="00AC56D6">
      <w:pPr>
        <w:pStyle w:val="TextoNormal"/>
      </w:pPr>
      <w:r>
        <w:t xml:space="preserve">En desarrollo de esta previsión legislativa se han dictado un gran número de instrumentos normativos y de planificación, reguladores del esquema legal y económico de la producción </w:t>
      </w:r>
      <w:r>
        <w:lastRenderedPageBreak/>
        <w:t>de energía eléctrica en régimen especial —que en el escrito de demanda se enuncian de forma detallada— y que, considera el Letrado que ponen de relieve la inseguridad jurídica con que trabajan los operadores económicos que se han arriesgado a participar en la actividad de producción de energía eléctrica en régimen especial, singularmente aquellos que lo realizan a través de la utilización de energías renovables.</w:t>
      </w:r>
    </w:p>
    <w:p w:rsidR="00AC56D6" w:rsidRDefault="00AC56D6" w:rsidP="00AC56D6">
      <w:pPr>
        <w:pStyle w:val="TextoNormal"/>
      </w:pPr>
    </w:p>
    <w:p w:rsidR="00AC56D6" w:rsidRDefault="00AC56D6" w:rsidP="00AC56D6">
      <w:pPr>
        <w:pStyle w:val="TextoNormal"/>
      </w:pPr>
      <w:r>
        <w:t>En este contexto, el Real Decreto-ley 9/2013, establece un nuevo régimen jurídico y económico para las instalaciones de producción de energía eléctrica existentes a partir de fuentes de energía renovable, cogeneración y residuos, que supone, esencialmente, la desaparición del régimen de tarifas y de las primas, con modificación absoluta del sistema hasta ahora establecido, obligando a todos los operadores económicos del sector afectado a estar y pasar por el sistema de ingresos derivados, exclusivamente, de la participación en el mercado, con abono, en su caso, de una retribución adicional sólo en aquellos supuestos en que sea necesario cubrir los costes de inversión que una empresa eficiente y bien gestionada no recupere en el mercado. Por este motivo, se afirma que la inseguridad jurídica (desaparición en siete años de un determinado sistema retributivo) y la remisión a conceptos jurídicos indeterminados (“empresa eficiente”, “bien gestionada”), resultan evidentes.</w:t>
      </w:r>
    </w:p>
    <w:p w:rsidR="00AC56D6" w:rsidRDefault="00AC56D6" w:rsidP="00AC56D6">
      <w:pPr>
        <w:pStyle w:val="TextoNormal"/>
      </w:pPr>
    </w:p>
    <w:p w:rsidR="00AC56D6" w:rsidRDefault="00AC56D6" w:rsidP="00AC56D6">
      <w:pPr>
        <w:pStyle w:val="TextoNormal"/>
      </w:pPr>
      <w:r>
        <w:t>La demanda procede seguidamente a efectuar una enumeración de los preceptos constitucionales que se consideran infringidos:</w:t>
      </w:r>
    </w:p>
    <w:p w:rsidR="00AC56D6" w:rsidRDefault="00AC56D6" w:rsidP="00AC56D6">
      <w:pPr>
        <w:pStyle w:val="TextoNormal"/>
      </w:pPr>
    </w:p>
    <w:p w:rsidR="00AC56D6" w:rsidRDefault="00AC56D6" w:rsidP="00AC56D6">
      <w:pPr>
        <w:pStyle w:val="TextoNormal"/>
      </w:pPr>
      <w:r>
        <w:t>a) El art. 9.1, en lo que atañe al principio de jerarquía normativa y de sometimiento de los poderes públicos a la propia Constitución y al resto del ordenamiento jurídico.</w:t>
      </w:r>
    </w:p>
    <w:p w:rsidR="00AC56D6" w:rsidRDefault="00AC56D6" w:rsidP="00AC56D6">
      <w:pPr>
        <w:pStyle w:val="TextoNormal"/>
      </w:pPr>
    </w:p>
    <w:p w:rsidR="00AC56D6" w:rsidRDefault="00AC56D6" w:rsidP="00AC56D6">
      <w:pPr>
        <w:pStyle w:val="TextoNormal"/>
      </w:pPr>
      <w:r>
        <w:t>Se señala, en este ámbito, que España ha ratificado el Tratado sobre la carta de la energía, hecho en Lisboa el 17 de diciembre de 1994, y publicado en el “Boletín Oficial del Estado” de 17 de mayo de 1995. Dicho Tratado, que forma parte del ordenamiento interno español, establece en su art. 10 que las partes contratantes fomentarán y crearán condiciones estables, equitativas, favorables y transparentes para que los inversores de otras partes contratantes realicen inversiones en su territorio. Entre dichas condiciones se contará el compromiso de conceder a esas inversiones un trato justo y equitativo; gozarán, además, de una protección y seguridad completas, y ninguna parte perjudicará, en modo alguno, mediante medidas exorbitantes o discriminatorias, la gestión, mantenimiento, uso, disfrute o liquidación de las mismas; y en ningún caso podrán concederse a estas inversiones un trato menos favorable que el exigido por el derecho internacional.</w:t>
      </w:r>
    </w:p>
    <w:p w:rsidR="00AC56D6" w:rsidRDefault="00AC56D6" w:rsidP="00AC56D6">
      <w:pPr>
        <w:pStyle w:val="TextoNormal"/>
      </w:pPr>
    </w:p>
    <w:p w:rsidR="00AC56D6" w:rsidRDefault="00AC56D6" w:rsidP="00AC56D6">
      <w:pPr>
        <w:pStyle w:val="TextoNormal"/>
      </w:pPr>
      <w:r>
        <w:t>Se cita asimismo lo dispuesto en el art. 13 de la carta, conforme al cual, las inversiones de una parte contratante “no serán objeto de nacionalización, expropiación o medida o medidas de efecto equivalente a la nacionalización o expropiación”. Considera el escrito de demanda que la medida de efecto equivalente hace referencia a una expropiación indirecta u oculta, operada de manera continua mediante el establecimiento de disposiciones que, en una u otra forma, priven al inversor de la rentabilidad que podía razonablemente esperar en función del marco legal existente en el momento de realizar la inversión. Y este tipo de expropiación es el que se viene operando, a través de los sucesivos cambios normativos, en los que se modifican las reglas del juego respecto del régimen retributivo de las inversiones realizadas en el sector de la producción de energía eléctrica en régimen especial, haciendo disminuir, constante y apreciablemente, las retribuciones a percibir por los inversores.</w:t>
      </w:r>
    </w:p>
    <w:p w:rsidR="00AC56D6" w:rsidRDefault="00AC56D6" w:rsidP="00AC56D6">
      <w:pPr>
        <w:pStyle w:val="TextoNormal"/>
      </w:pPr>
    </w:p>
    <w:p w:rsidR="00AC56D6" w:rsidRDefault="00AC56D6" w:rsidP="00AC56D6">
      <w:pPr>
        <w:pStyle w:val="TextoNormal"/>
      </w:pPr>
      <w:r>
        <w:lastRenderedPageBreak/>
        <w:t>Afirma el Letrado que, con la aprobación del Real Decreto-ley 9/2013, el Estado español ha incumplido las obligaciones contraídas con inversores extranjeros, modificando el régimen retributivo vigente hasta ahora y creando una situación radicalmente diferente de la que existía cuando decidieron invertir en España, por lo que dichos inversores podrán acudir al arbitraje internacional regulado en el Tratado, a fin de obtener los laudos que fijen las indemnizaciones a que tengan derecho, y, por tanto, en cuanto que el Ejecutivo está incumpliendo un tratado internacional, ratificado y publicado oficialmente en España, se están infringiendo los principios constitucionales de jerarquía normativa y de sometimiento del poder público al ordenamiento jurídico.</w:t>
      </w:r>
    </w:p>
    <w:p w:rsidR="00AC56D6" w:rsidRDefault="00AC56D6" w:rsidP="00AC56D6">
      <w:pPr>
        <w:pStyle w:val="TextoNormal"/>
      </w:pPr>
    </w:p>
    <w:p w:rsidR="00AC56D6" w:rsidRDefault="00AC56D6" w:rsidP="00AC56D6">
      <w:pPr>
        <w:pStyle w:val="TextoNormal"/>
      </w:pPr>
      <w:r>
        <w:t>b) El art. 9.3 que garantiza el principio de seguridad jurídica y de irretroactividad de las disposiciones sancionadoras no favorables o restrictivas de derechos individuales.</w:t>
      </w:r>
    </w:p>
    <w:p w:rsidR="00AC56D6" w:rsidRDefault="00AC56D6" w:rsidP="00AC56D6">
      <w:pPr>
        <w:pStyle w:val="TextoNormal"/>
      </w:pPr>
    </w:p>
    <w:p w:rsidR="00AC56D6" w:rsidRDefault="00AC56D6" w:rsidP="00AC56D6">
      <w:pPr>
        <w:pStyle w:val="TextoNormal"/>
      </w:pPr>
      <w:r>
        <w:t>Señala el escrito de demanda que el Real Decreto-ley establece los principios del nuevo régimen retributivo, pero los deriva a un posterior desarrollo reglamentario, si bien dicho régimen será aplicable desde la propia entrada en vigor de la norma, lo que pone de relieve una inconcreción jurídica determinante de la vulneración de la seguridad jurídica y de su consecuencia, que no es otra que la confianza legítima. Los únicos motivos que han llevado a la aprobación del Real Decreto-ley, en los aspectos que son objeto del presente recurso, serían de índole económica, derivada sustancialmente del déficit del sector eléctrico en su conjunto, no sólo en el sector de las energías renovables, no habiéndose tenido en cuenta factores propios de la producción de energía eléctrica en régimen especial; y la nueva regulación discrimina negativamente esta producción eléctrica, al reducir las retribuciones a unas determinadas tecnologías, dejando intocados otros sistemas de producción de energía eléctrica, que también son responsables del déficit del sector. Se afirma que el Real Decreto-ley establece la retroactividad de un régimen retributivo más restrictivo para la producción de energía eléctrica en régimen especial o mediante tecnología solar fotovoltaica, el cual se regía por la normativa anterior y será liquidado en base a la misma, pero con carácter de pago a cuenta hasta la publicación de la nueva normativa, lo que puede generar la obligación por parte del productor de devolver cantidades percibidas en concepto de retribución.</w:t>
      </w:r>
    </w:p>
    <w:p w:rsidR="00AC56D6" w:rsidRDefault="00AC56D6" w:rsidP="00AC56D6">
      <w:pPr>
        <w:pStyle w:val="TextoNormal"/>
      </w:pPr>
    </w:p>
    <w:p w:rsidR="00AC56D6" w:rsidRDefault="00AC56D6" w:rsidP="00AC56D6">
      <w:pPr>
        <w:pStyle w:val="TextoNormal"/>
      </w:pPr>
      <w:r>
        <w:t>Tras hacer mención a la doctrina de este Tribunal en materia de retroactividad, afirma el Letrado que, en el caso que nos ocupa, en la medida en que la nueva normativa prevé la retroacción de sus efectos una vez que entre en vigor la normativa reglamentaria de desarrollo (que lo hará con la misma fecha en que ha entrado en vigor el Real Decreto-ley 9/2013), cabe la posibilidad de que los productores de energía eléctrica en régimen especial tengan que devolver cantidades percibidas en base al régimen retributivo existente hasta su derogación por el Real Decreto-ley 9/2013, y aun cuando esta obligación de devolución lo sea desde un punto de vista contable, no es menos cierto que nos encontramos ante un supuesto de retroactividad en su grado máximo, prohibido por el art. 9.3 CE.</w:t>
      </w:r>
    </w:p>
    <w:p w:rsidR="00AC56D6" w:rsidRDefault="00AC56D6" w:rsidP="00AC56D6">
      <w:pPr>
        <w:pStyle w:val="TextoNormal"/>
      </w:pPr>
    </w:p>
    <w:p w:rsidR="00AC56D6" w:rsidRDefault="00AC56D6" w:rsidP="00AC56D6">
      <w:pPr>
        <w:pStyle w:val="TextoNormal"/>
      </w:pPr>
      <w:r>
        <w:t>c) El art. 86.1 CE, en cuanto, a juicio de los recurrentes, no concurre el presupuesto habilitante de la extraordinaria y urgente necesidad, previsto en dicho precepto constitucional para dictar las normas que son objeto del presente recurso a través del instrumento del decreto-ley.</w:t>
      </w:r>
    </w:p>
    <w:p w:rsidR="00AC56D6" w:rsidRDefault="00AC56D6" w:rsidP="00AC56D6">
      <w:pPr>
        <w:pStyle w:val="TextoNormal"/>
      </w:pPr>
    </w:p>
    <w:p w:rsidR="00AC56D6" w:rsidRDefault="00AC56D6" w:rsidP="00AC56D6">
      <w:pPr>
        <w:pStyle w:val="TextoNormal"/>
      </w:pPr>
      <w:r>
        <w:t xml:space="preserve">Tras efectuar una amplia cita de la doctrina constitucional en relación con el art. 86.1 CE, y referirse a lo señalado en la exposición de motivos de la disposición, consideran los </w:t>
      </w:r>
      <w:r>
        <w:lastRenderedPageBreak/>
        <w:t>recurrentes que en la generalidad con la que el Real Decreto-ley justifica la aplicación de las medidas adoptadas, a fin de poner término al “carácter insostenible del déficit del sector eléctrico”, lo que subyace y así lo reconoce la propia exposición de motivos de la norma, es tratar de cumplir los objetivos de déficit fijados para el año 2014. En ningún momento ni el legislador ni el regulador han desconocido las condiciones de producción de la energía eléctrica de las instalaciones que utilizan energías renovables, cogeneración y residuos; por lo tanto, no puede hablarse de situaciones imprevistas, provocadas por el déficit tarifario del sector eléctrico, cuando desde hace años se vienen aprobando disposiciones cuya finalidad es exactamente la misma, por lo que no puede afirmarse que las disposiciones objeto de impugnación en el presente recurso, reúnan las notas requeridas para entenderlas válidamente producidas al amparo de lo dispuesto en el art. 86.1 CE.</w:t>
      </w:r>
    </w:p>
    <w:p w:rsidR="00AC56D6" w:rsidRDefault="00AC56D6" w:rsidP="00AC56D6">
      <w:pPr>
        <w:pStyle w:val="TextoNormal"/>
      </w:pPr>
    </w:p>
    <w:p w:rsidR="00AC56D6" w:rsidRDefault="00AC56D6" w:rsidP="00AC56D6">
      <w:pPr>
        <w:pStyle w:val="TextoNormal"/>
      </w:pPr>
      <w:r w:rsidRPr="00AC56D6">
        <w:rPr>
          <w:rStyle w:val="NumeroAFNegritaCaracter"/>
        </w:rPr>
        <w:t>2</w:t>
      </w:r>
      <w:r>
        <w:t>. El Pleno del Tribunal, a propuesta de la Sección Primera, y mediante providencia de 8 de octubre de 2013, admitió a trámite el presente recurso de inconstitucionalidad, acordando dar traslado de las actuaciones, conforme establece el art. 34 de la Ley Orgánica del Tribunal Constitucional (LOTC), al Congreso de los Diputados y al Senado, por conducto de sus Presidentes, y al Gobierno de la Nación a través del Ministerio de Justicia, al objeto de que en el plazo de quince días, pudieran personarse en el proceso y formular las alegaciones que estimaran convenientes, así como publicar la incoación del recurso en el “Boletín Oficial del Estado”.</w:t>
      </w:r>
    </w:p>
    <w:p w:rsidR="00AC56D6" w:rsidRDefault="00AC56D6" w:rsidP="00AC56D6">
      <w:pPr>
        <w:pStyle w:val="TextoNormal"/>
      </w:pPr>
    </w:p>
    <w:p w:rsidR="00AC56D6" w:rsidRDefault="00AC56D6" w:rsidP="00AC56D6">
      <w:pPr>
        <w:pStyle w:val="TextoNormal"/>
      </w:pPr>
      <w:r w:rsidRPr="00AC56D6">
        <w:rPr>
          <w:rStyle w:val="NumeroAFNegritaCaracter"/>
        </w:rPr>
        <w:t>3</w:t>
      </w:r>
      <w:r>
        <w:t>. Por escrito registrado en este Tribunal el 18 de octubre de 2013, se personó en el procedimiento el Abogado del Estado y solicitó prórroga del plazo concedido para la presentación del escrito de alegaciones; y por providencia de 21 octubre siguiente, el Pleno acordó tenerle por personado y conceder una prórroga de ocho días más, al plazo concedido para formular alegaciones.</w:t>
      </w:r>
    </w:p>
    <w:p w:rsidR="00AC56D6" w:rsidRDefault="00AC56D6" w:rsidP="00AC56D6">
      <w:pPr>
        <w:pStyle w:val="TextoNormal"/>
      </w:pPr>
    </w:p>
    <w:p w:rsidR="00AC56D6" w:rsidRDefault="00AC56D6" w:rsidP="00AC56D6">
      <w:pPr>
        <w:pStyle w:val="TextoNormal"/>
      </w:pPr>
      <w:r w:rsidRPr="00AC56D6">
        <w:rPr>
          <w:rStyle w:val="NumeroAFNegritaCaracter"/>
        </w:rPr>
        <w:t>4</w:t>
      </w:r>
      <w:r>
        <w:t>. El Presidente del Senado, mediante escrito recibido el 23 de octubre, comunicó que la Cámara se personaba en el proceso, ofreciendo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5</w:t>
      </w:r>
      <w:r>
        <w:t>. El Presidente del Congreso de los Diputados, mediante escrito registrado en este Tribunal el 25 de octubre de 2013, comunicó el acuerdo de la Mesa de la Cámara, de personarse en el proceso y dar por ofrecida su colaboración a los efectos del art. 88.1 LOTC.</w:t>
      </w:r>
    </w:p>
    <w:p w:rsidR="00AC56D6" w:rsidRDefault="00AC56D6" w:rsidP="00AC56D6">
      <w:pPr>
        <w:pStyle w:val="TextoNormal"/>
      </w:pPr>
    </w:p>
    <w:p w:rsidR="00AC56D6" w:rsidRDefault="00AC56D6" w:rsidP="00AC56D6">
      <w:pPr>
        <w:pStyle w:val="TextoNormal"/>
      </w:pPr>
      <w:r w:rsidRPr="00AC56D6">
        <w:rPr>
          <w:rStyle w:val="NumeroAFNegritaCaracter"/>
        </w:rPr>
        <w:t>6</w:t>
      </w:r>
      <w:r>
        <w:t>. En fecha 18 de noviembre de 2013, tuvo entrada en este Tribunal escrito de alegaciones del Abogado del Estado, en el que solicita se tenga por evacuado el trámite conferido y, en su día, se dicte sentencia desestimatoria del presente recurso en todos sus extremos.</w:t>
      </w:r>
    </w:p>
    <w:p w:rsidR="00AC56D6" w:rsidRDefault="00AC56D6" w:rsidP="00AC56D6">
      <w:pPr>
        <w:pStyle w:val="TextoNormal"/>
      </w:pPr>
    </w:p>
    <w:p w:rsidR="00AC56D6" w:rsidRDefault="00AC56D6" w:rsidP="00AC56D6">
      <w:pPr>
        <w:pStyle w:val="TextoNormal"/>
      </w:pPr>
      <w:r>
        <w:t xml:space="preserve">Comienza señalando el representante estatal, en relación con la alegada vulneración del art. 9.3 CE, que no puede negarse la intencionalidad clara del legislador en cuanto al principal propósito de las modificaciones que ha ido introduciendo en el ordenamiento jurídico, todas las cuales van dirigidas a acometer el problema del déficit estructural que el sistema eléctrico venía generando, principalmente por el déficit de tarifa a causa de la prima a las renovables o producción en régimen especial; y la corrección de esa desviación tiene por objeto tratar de garantizar la financiación y viabilidad definitiva del sistema. La apreciación de las respectivas circunstancias que motivan la regulación de fondo contenida en el Real </w:t>
      </w:r>
      <w:r>
        <w:lastRenderedPageBreak/>
        <w:t>Decreto-ley y su condición de norma con rango de ley, disipan la objeción de supuesta falta de seguridad jurídica respecto de la situación regulada, conforme y por comparación con la normativa preexistente que viene a modificar.</w:t>
      </w:r>
    </w:p>
    <w:p w:rsidR="00AC56D6" w:rsidRDefault="00AC56D6" w:rsidP="00AC56D6">
      <w:pPr>
        <w:pStyle w:val="TextoNormal"/>
      </w:pPr>
    </w:p>
    <w:p w:rsidR="00AC56D6" w:rsidRDefault="00AC56D6" w:rsidP="00AC56D6">
      <w:pPr>
        <w:pStyle w:val="TextoNormal"/>
      </w:pPr>
      <w:r>
        <w:t>A juicio del Abogado del Estado, el paso de un régimen jurídico de tarifas determinadas administrativamente y de primas reguladas, es decir, una transición desde una situación más protegida y regulada, garantizándose por el Estado unos mínimos, a un sistema basado en el juego del mercado, aunque sin dejar de retribuir los costes de empresas eficientes o bien gestionadas, constituye una evolución lógica y previsible del ordenamiento. Como ha establecido el Tribunal Constitucional, el principio de seguridad protege la confianza de los ciudadanos —en este caso de los inversores— pero, además de no poder entenderse como un supuesto derecho al mantenimiento de un determinado régimen jurídico, la confianza que protege este principio es la que puede existir frente a cambios normativos que no sean razonablemente previsibles. Y no puede resultar previsible el mantenimiento indefinido de un modelo, sin conceder al legislador la posibilidad de innovación de la realidad jurídica, hacia una situación regida por premisas de mercado, en un sector empresarial determinado, como es el de la producción y comercialización de energía eléctrica, que es la dirección en la que se incardina la modificación operada por el Real Decreto-ley 9/2013.</w:t>
      </w:r>
    </w:p>
    <w:p w:rsidR="00AC56D6" w:rsidRDefault="00AC56D6" w:rsidP="00AC56D6">
      <w:pPr>
        <w:pStyle w:val="TextoNormal"/>
      </w:pPr>
    </w:p>
    <w:p w:rsidR="00AC56D6" w:rsidRDefault="00AC56D6" w:rsidP="00AC56D6">
      <w:pPr>
        <w:pStyle w:val="TextoNormal"/>
      </w:pPr>
      <w:r>
        <w:t>En cuanto al supuesto carácter arbitrario o indeterminado del concepto de “empresa eficiente o de empresa bien gestionada”, a efectos de la concesión de la retribución adicional por costes de inversión que la norma establece (art. 1, apartados 2 y 3 del Real Decreto-ley), afirma el Abogado del Estado que estas calificaciones no resultan discrecionales o arbitrarias, en cuanto van acompañadas de pautas claras para su reconocimiento objetivo. El art. 1.2, fija parámetros que denomina estándar, lo que implica que la definición se realiza sobre la base de criterios específicos y objetivos, íntimamente conectados con la realidad jurídica empresarial de la industria en la que incide. Las disposiciones adicional primera y transitoria tercera establecen respectivamente la regulación de la rentabilidad razonable de las instalaciones de producción con derecho a régimen económico primado y el efecto transitorio hasta la entrada en vigor del Real Decreto de desarrollo a que hace referencia la disposición final segunda.</w:t>
      </w:r>
    </w:p>
    <w:p w:rsidR="00AC56D6" w:rsidRDefault="00AC56D6" w:rsidP="00AC56D6">
      <w:pPr>
        <w:pStyle w:val="TextoNormal"/>
      </w:pPr>
    </w:p>
    <w:p w:rsidR="00AC56D6" w:rsidRDefault="00AC56D6" w:rsidP="00AC56D6">
      <w:pPr>
        <w:pStyle w:val="TextoNormal"/>
      </w:pPr>
      <w:r>
        <w:t>Asimismo y en cuanto a la previsión de un real decreto del Gobierno que modificará el modelo retributivo de las instalaciones existentes, considera el Letrado que dicha expresión no significa sino que el desarrollo, detalle o concreción de ese nuevo régimen retributivo que introduce el Real Decreto-ley se hará a través de la oportuna norma reglamentaria, sin que ello suponga deslegalización o remisión en bloque a la norma reglamentaria; y en tanto se aprueba esa regulación de desarrollo, se efectúa una aplicación pendiente de la completa ejecución de la normativa nueva, dado que se trata de una normativa de retribución de rendimientos, practicando una liquidación a cuenta, en tanto se aprueba la norma reglamentaria, momento a partir del cual se completará la definitiva vigencia de la nueva normativa, con efectos desde la entrada en vigor del Real Decreto-ley 9/2013. No se produce —a su juicio— efecto retroactivo, en tanto que el nuevo régimen jurídico se aplica desde la entrada en vigor del Real Decreto-ley, y así lo prevé de manera explícita la norma, con independencia de que quepa una normativa de desarrollo.</w:t>
      </w:r>
    </w:p>
    <w:p w:rsidR="00AC56D6" w:rsidRDefault="00AC56D6" w:rsidP="00AC56D6">
      <w:pPr>
        <w:pStyle w:val="TextoNormal"/>
      </w:pPr>
    </w:p>
    <w:p w:rsidR="00AC56D6" w:rsidRDefault="00AC56D6" w:rsidP="00AC56D6">
      <w:pPr>
        <w:pStyle w:val="TextoNormal"/>
      </w:pPr>
      <w:r>
        <w:t xml:space="preserve">Por lo que concierne a la vigencia del Real Decreto-ley 9/2013, y las situaciones preexistentes cuyo régimen jurídico se altera, la retroactividad que pudiera apreciarse lo sería sólo </w:t>
      </w:r>
      <w:r>
        <w:lastRenderedPageBreak/>
        <w:t>de lo que la doctrina denomina de grado mínimo, pues la aplicación de la nueva norma se produce sólo respecto de los efectos de las situaciones que se generen tras la entrada en vigor de la misma. Se señala asimismo, que no nos hallamos ante una norma sancionadora en sentido técnico, a los efectos de lo manifestado en la doctrina constitucional en relación con el art. 9.3 CE, en cuanto la reforma operada recae sobre los efectos acaecidos con posterioridad a la entrada en vigor de la norma.</w:t>
      </w:r>
    </w:p>
    <w:p w:rsidR="00AC56D6" w:rsidRDefault="00AC56D6" w:rsidP="00AC56D6">
      <w:pPr>
        <w:pStyle w:val="TextoNormal"/>
      </w:pPr>
    </w:p>
    <w:p w:rsidR="00AC56D6" w:rsidRDefault="00AC56D6" w:rsidP="00AC56D6">
      <w:pPr>
        <w:pStyle w:val="TextoNormal"/>
      </w:pPr>
      <w:r>
        <w:t>Como argumento complementario, el Abogado del Estado se remite al informe elaborado por la Secretaría General Técnica del Ministerio de Industria, Turismo y Comercio —que se aporta al expediente—, para afirmar que no es cierto que el Real Decreto-ley contemple la posibilidad de que resulte la obligación de devolver cantidades percibidas por los inversores al extenderse los efectos de esta nueva norma a lo largo de la vida regulatoria de las instalaciones; en ningún momento la norma contempla ninguna devolución de cantidad percibida con anterioridad a su entrada en vigor.</w:t>
      </w:r>
    </w:p>
    <w:p w:rsidR="00AC56D6" w:rsidRDefault="00AC56D6" w:rsidP="00AC56D6">
      <w:pPr>
        <w:pStyle w:val="TextoNormal"/>
      </w:pPr>
    </w:p>
    <w:p w:rsidR="00AC56D6" w:rsidRDefault="00AC56D6" w:rsidP="00AC56D6">
      <w:pPr>
        <w:pStyle w:val="TextoNormal"/>
      </w:pPr>
      <w:r>
        <w:t>Se rechaza por el Abogado del Estado la supuesta desigualdad de trato entre empresas del sector eléctrico, pues, como se pone de manifiesto en el informe de la Secretaría General Técnica, “la evolución descontrolada e insostenible del déficit de tarifa ha hecho necesaria la adopción de múltiples medidas… que han afectado a todos los agentes del sistema…”. La modificación que ahora se introduce no constituye pues, una medida aislada sino una norma que se integra dentro del conjunto sistemático del ordenamiento.</w:t>
      </w:r>
    </w:p>
    <w:p w:rsidR="00AC56D6" w:rsidRDefault="00AC56D6" w:rsidP="00AC56D6">
      <w:pPr>
        <w:pStyle w:val="TextoNormal"/>
      </w:pPr>
    </w:p>
    <w:p w:rsidR="00AC56D6" w:rsidRDefault="00AC56D6" w:rsidP="00AC56D6">
      <w:pPr>
        <w:pStyle w:val="TextoNormal"/>
      </w:pPr>
      <w:r>
        <w:t>En lo que respecta a la pretendida vulneración del Tratado sobre la carta de la energía, se afirma que la variación del ordenamiento jurídico se ha producido en el ámbito del derecho interno, no por lo que al Tratado respecta. En todo caso, como ha declarado también la jurisprudencia constitucional, los tratados internacionales no constituyen en sí mismos parámetros o premisas de comparación para valorar la constitucionalidad de las leyes; y las posibles consecuencias de su vulneración pertenecen más bien al ámbito de la legislación ordinaria, al no formar parte los tratados en sí del bloque de la constitucionalidad. En todo caso —se añade— el Tratado no ha sido vulnerado por el Real Decreto-ley 9/2013, pues las determinaciones contenidas en aquél en orden a la protección de las inversiones se adecúan a la misma justificación sobre la conformidad con la Constitución Española del Real Decreto-ley, en tanto que de esa adecuación constitucional cabe derivar la consideración de un tratamiento justo y equitativo en lo que a la regulación contenida en el Real Decreto-ley se refiere o al tratamiento de las inversiones procedentes de otros Estados miembros, partes contratantes de la Carta, no menos favorable que a las inversiones nacionales en el mismo sector.</w:t>
      </w:r>
    </w:p>
    <w:p w:rsidR="00AC56D6" w:rsidRDefault="00AC56D6" w:rsidP="00AC56D6">
      <w:pPr>
        <w:pStyle w:val="TextoNormal"/>
      </w:pPr>
    </w:p>
    <w:p w:rsidR="00AC56D6" w:rsidRDefault="00AC56D6" w:rsidP="00AC56D6">
      <w:pPr>
        <w:pStyle w:val="TextoNormal"/>
      </w:pPr>
      <w:r>
        <w:t xml:space="preserve">El cambio de situaciones objetivas y la regulación general que modifica la materia bajo cuyo marco se efectuaron las inversiones, no supone una expropiación de derechos, pues el inversor materializó su inversión bajo la vigencia de un régimen jurídico concreto, a cuya petrificación o inalterabilidad no tenía derecho. El Real Decreto-ley posee una eficacia </w:t>
      </w:r>
      <w:r w:rsidRPr="00AC56D6">
        <w:rPr>
          <w:i/>
        </w:rPr>
        <w:t>ex nunc</w:t>
      </w:r>
      <w:r>
        <w:t>, lo cual, de acuerdo con la jurisprudencia constitucional, no supone afectación desfavorable a los derechos adquiridos desde la perspectiva constitucional, es decir, la reforma no incide en derechos patrimoniales ya consolidados e incorporados definitivamente al patrimonio del destinatario, o en situaciones jurídicas favorables ya agotadas o consumadas.</w:t>
      </w:r>
    </w:p>
    <w:p w:rsidR="00AC56D6" w:rsidRDefault="00AC56D6" w:rsidP="00AC56D6">
      <w:pPr>
        <w:pStyle w:val="TextoNormal"/>
      </w:pPr>
    </w:p>
    <w:p w:rsidR="00AC56D6" w:rsidRDefault="00AC56D6" w:rsidP="00AC56D6">
      <w:pPr>
        <w:pStyle w:val="TextoNormal"/>
      </w:pPr>
      <w:r>
        <w:lastRenderedPageBreak/>
        <w:t>En cuanto a la alegada vulneración del art. 86.1 CE, el Abogado del Estado se remite de nuevos a los razonamientos expuestos en el informe de la Secretaría General Técnica del Ministerio de Industria, Turismo y Comercio, en el que se manifiesta que: la situación de extraordinaria y urgente necesidad deriva del carácter insostenible del déficit del sector eléctrico y de la necesidad de adoptar medidas urgentes de vigencia inmediata que permitan poner término a dicha situación. En los últimos ejercicios, el déficit tarifario ha continuado su crecimiento, hasta situarse, según los últimos datos disponibles de la Comisión Nacional de Energía, en un saldo de deuda acumulada de 26.062,51 millones de euros, a 10 de mayo de 2013. De forma complementaria al cálculo de la deuda del sistema eléctrico, dicha Comisión señala que desde el año 2003 hasta el 10 de mayo de 2013, el importe satisfecho para financiar el déficit del sistema eléctrico a través de anualidades que se incorporan en los peajes de acceso de los consumidores, a precios corrientes de cada año, ascienda a 11.823 millones de euros. Por este motivo se han venido adoptando en los últimos años una serie de medidas de carácter urgente que afectan tanto a la partida de costes como a la de ingresos.</w:t>
      </w:r>
    </w:p>
    <w:p w:rsidR="00AC56D6" w:rsidRDefault="00AC56D6" w:rsidP="00AC56D6">
      <w:pPr>
        <w:pStyle w:val="TextoNormal"/>
      </w:pPr>
    </w:p>
    <w:p w:rsidR="00AC56D6" w:rsidRDefault="00AC56D6" w:rsidP="00AC56D6">
      <w:pPr>
        <w:pStyle w:val="TextoNormal"/>
      </w:pPr>
      <w:r>
        <w:t>Acaba señalando el citado informe, que es en definitiva la gravísima situación financiera del sistema eléctrico, motivada por la evolución descontrolada e insostenible del déficit de tarifa, la que ha hecho necesario la adopción de múltiples medidas excepcionales y urgentes que han afectado a todos los agentes del sistema, desde los operadores de instalaciones de negación de redes a los consumidores, pasando por los contribuyentes a través de los presupuestos generales del Estado. Todo ello con el objetivo de contener los costes y, a la vez, dar estabilidad al sistema para evitar en lo posible futuras desviaciones con respecto a las estimaciones.</w:t>
      </w:r>
    </w:p>
    <w:p w:rsidR="00AC56D6" w:rsidRDefault="00AC56D6" w:rsidP="00AC56D6">
      <w:pPr>
        <w:pStyle w:val="TextoNormal"/>
      </w:pPr>
    </w:p>
    <w:p w:rsidR="00AC56D6" w:rsidRDefault="00AC56D6" w:rsidP="00AC56D6">
      <w:pPr>
        <w:pStyle w:val="TextoNormal"/>
      </w:pPr>
      <w:r>
        <w:t>Las anteriores razones se ponen también de relieve en la exposición de motivos del Real Decreto-ley, añadiendo a las mismas el hecho de haber tenido lugar durante el primer semestre del año 2013 una serie de circunstancias que han variado las hipótesis sobre las que se realizaron las estimaciones, lo que podría producir nuevos desajustes al final del ejercicio si no se toman nuevas medidas de urgencia para corregir la situación. Las desviaciones vienen motivadas por la concurrencia de unas condiciones meteorológicas atípicas con índices muy altos de pluviometría y vientos, lo que ha supuesto el hundimiento del precio del mercado diario y un incremento de horas de funcionamiento de determinadas tecnologías y, en particular, la eólica con derecho a régimen primado. A ello se ha añadido también el efecto de la crisis económica sobre las economías domésticas, que ha producido una contracción de la demanda más acusada de lo previsto.</w:t>
      </w:r>
    </w:p>
    <w:p w:rsidR="00AC56D6" w:rsidRDefault="00AC56D6" w:rsidP="00AC56D6">
      <w:pPr>
        <w:pStyle w:val="TextoNormal"/>
      </w:pPr>
    </w:p>
    <w:p w:rsidR="00AC56D6" w:rsidRDefault="00AC56D6" w:rsidP="00AC56D6">
      <w:pPr>
        <w:pStyle w:val="TextoNormal"/>
      </w:pPr>
      <w:r>
        <w:t>Continúa señalando el Abogado del Estado que, expuesta la situación de gravedad en relación con la estabilidad financiera del sistema eléctrico en la exposición de motivos, la tardanza en la adopción de medidas legislativas podría haber afectado muy negativamente al mantenimiento mismo de la producción y suministro de energía eléctrica. No es tanto la imprevisibilidad en sí de las circunstancias, cuanto la gravedad de las mismas como efecto derivado de regulaciones anteriores que introdujeron en el sistema patrones de primas y subvención que devienen excesivamente costosos para unos presupuestos en situación de contracción económica y la consiguiente urgencia de adoptar las medidas normativas adecuadas para su solución.</w:t>
      </w:r>
    </w:p>
    <w:p w:rsidR="00AC56D6" w:rsidRDefault="00AC56D6" w:rsidP="00AC56D6">
      <w:pPr>
        <w:pStyle w:val="TextoNormal"/>
      </w:pPr>
    </w:p>
    <w:p w:rsidR="00AC56D6" w:rsidRDefault="00AC56D6" w:rsidP="00AC56D6">
      <w:pPr>
        <w:pStyle w:val="TextoNormal"/>
      </w:pPr>
      <w:r w:rsidRPr="00AC56D6">
        <w:rPr>
          <w:rStyle w:val="NumeroAFNegritaCaracter"/>
        </w:rPr>
        <w:t>7</w:t>
      </w:r>
      <w:r>
        <w:t>. Por providencia de 15 de diciembre de 2015, se acordó señalar para deliberación y votación de la presente Sentencia el día 17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En el presente proceso constitucional se debe resolver el recurso de inconstitucionalidad interpuesto por el Consejo de Gobierno de la Comunidad Autónoma de la Región de Murcia contra el art. 1, apartados 2 y 3; disposición adicional primera; disposición transitoria tercera y disposición final segunda del Real Decreto-ley 9/2013, de 12 de julio, por el que se adoptan medidas urgentes para garantizar la estabilidad financiera del sistema eléctrico.</w:t>
      </w:r>
    </w:p>
    <w:p w:rsidR="00AC56D6" w:rsidRDefault="00AC56D6" w:rsidP="00AC56D6">
      <w:pPr>
        <w:pStyle w:val="TextoNormal"/>
      </w:pPr>
    </w:p>
    <w:p w:rsidR="00AC56D6" w:rsidRDefault="00AC56D6" w:rsidP="00AC56D6">
      <w:pPr>
        <w:pStyle w:val="TextoNormal"/>
      </w:pPr>
      <w:r>
        <w:t>Los preceptos impugnados vienen, en lo sustancial, a modificar la Ley 54/1997, de 27 de noviembre, del sector eléctrico, en orden al establecimiento de un nuevo régimen retributivo para las instalaciones de producción de energía eléctrica existentes a partir de fuentes de energía renovable, cogeneración y residuos, y a habilitar al Gobierno para la aprobación por real decreto del régimen jurídico y económico para estas instalaciones con retribución primada, que modificará el régimen retributivo de las instalaciones existentes, y será de aplicación desde la entrada en vigor del presente Real Decreto-ley.</w:t>
      </w:r>
    </w:p>
    <w:p w:rsidR="00AC56D6" w:rsidRDefault="00AC56D6" w:rsidP="00AC56D6">
      <w:pPr>
        <w:pStyle w:val="TextoNormal"/>
      </w:pPr>
    </w:p>
    <w:p w:rsidR="00AC56D6" w:rsidRDefault="00AC56D6" w:rsidP="00AC56D6">
      <w:pPr>
        <w:pStyle w:val="TextoNormal"/>
      </w:pPr>
      <w:r>
        <w:t>El art. 1, apartado dos modifica el art. 30.4 de la Ley 54/1997, de 27 de noviembre, del sector eléctrico, que queda redactado como sigue:</w:t>
      </w:r>
    </w:p>
    <w:p w:rsidR="00AC56D6" w:rsidRDefault="00AC56D6" w:rsidP="00AC56D6">
      <w:pPr>
        <w:pStyle w:val="TextoNormal"/>
      </w:pPr>
    </w:p>
    <w:p w:rsidR="00AC56D6" w:rsidRDefault="00AC56D6" w:rsidP="00AC56D6">
      <w:pPr>
        <w:pStyle w:val="TextoNormal"/>
      </w:pPr>
      <w:r>
        <w:t>“4. Adicionalmente y en los términos que reglamentariamente por real decreto del Consejo de Ministros se determine, a la retribución por la venta de la energía generada valorada al precio del mercado, las instalaciones podrán percibir una retribución específica compuesta por un término por unidad de potencia instalada que cubra, cuando proceda, los costes de inversión de una instalación tipo que no pueden ser recuperados por la venta de la energía y un término a la operación que cubra, en su caso, la diferencia entre los costes de explotación y los ingresos por la participación en el mercado de dicha instalación tipo.</w:t>
      </w:r>
    </w:p>
    <w:p w:rsidR="00AC56D6" w:rsidRDefault="00AC56D6" w:rsidP="00AC56D6">
      <w:pPr>
        <w:pStyle w:val="TextoNormal"/>
      </w:pPr>
    </w:p>
    <w:p w:rsidR="00AC56D6" w:rsidRDefault="00AC56D6" w:rsidP="00AC56D6">
      <w:pPr>
        <w:pStyle w:val="TextoNormal"/>
      </w:pPr>
      <w:r>
        <w:t>Para el cálculo de dicha retribución específica se considerarán, para una instalación tipo, a lo largo de su vida útil regulatoria y en referencia a la actividad realizada por una empresa eficiente y bien gestionada:</w:t>
      </w:r>
    </w:p>
    <w:p w:rsidR="00AC56D6" w:rsidRDefault="00AC56D6" w:rsidP="00AC56D6">
      <w:pPr>
        <w:pStyle w:val="TextoNormal"/>
      </w:pPr>
    </w:p>
    <w:p w:rsidR="00AC56D6" w:rsidRDefault="00AC56D6" w:rsidP="00AC56D6">
      <w:pPr>
        <w:pStyle w:val="TextoNormal"/>
      </w:pPr>
      <w:r>
        <w:t>a) Los ingresos estándar por la venta de la energía generada valorada al precio del mercado de producción.</w:t>
      </w:r>
    </w:p>
    <w:p w:rsidR="00AC56D6" w:rsidRDefault="00AC56D6" w:rsidP="00AC56D6">
      <w:pPr>
        <w:pStyle w:val="TextoNormal"/>
      </w:pPr>
    </w:p>
    <w:p w:rsidR="00AC56D6" w:rsidRDefault="00AC56D6" w:rsidP="00AC56D6">
      <w:pPr>
        <w:pStyle w:val="TextoNormal"/>
      </w:pPr>
      <w:r>
        <w:t>b) Los costes estándar de explotación.</w:t>
      </w:r>
    </w:p>
    <w:p w:rsidR="00AC56D6" w:rsidRDefault="00AC56D6" w:rsidP="00AC56D6">
      <w:pPr>
        <w:pStyle w:val="TextoNormal"/>
      </w:pPr>
    </w:p>
    <w:p w:rsidR="00AC56D6" w:rsidRDefault="00AC56D6" w:rsidP="00AC56D6">
      <w:pPr>
        <w:pStyle w:val="TextoNormal"/>
      </w:pPr>
      <w:r>
        <w:t>c) El valor estándar de la inversión inicial.</w:t>
      </w:r>
    </w:p>
    <w:p w:rsidR="00AC56D6" w:rsidRDefault="00AC56D6" w:rsidP="00AC56D6">
      <w:pPr>
        <w:pStyle w:val="TextoNormal"/>
      </w:pPr>
    </w:p>
    <w:p w:rsidR="00AC56D6" w:rsidRDefault="00AC56D6" w:rsidP="00AC56D6">
      <w:pPr>
        <w:pStyle w:val="TextoNormal"/>
      </w:pPr>
      <w:r>
        <w:t>A estos efectos, en ningún caso se tendrán en consideración los costes o inversiones que vengan determinados por normas o actos administrativos que no sean de aplicación en todo el territorio español. Del mismo modo, sólo se tendrán en cuenta aquellos costes e inversiones que respondan exclusivamente a la actividad de producción de energía eléctrica.</w:t>
      </w:r>
    </w:p>
    <w:p w:rsidR="00AC56D6" w:rsidRDefault="00AC56D6" w:rsidP="00AC56D6">
      <w:pPr>
        <w:pStyle w:val="TextoNormal"/>
      </w:pPr>
    </w:p>
    <w:p w:rsidR="00AC56D6" w:rsidRDefault="00AC56D6" w:rsidP="00AC56D6">
      <w:pPr>
        <w:pStyle w:val="TextoNormal"/>
      </w:pPr>
      <w:r>
        <w:lastRenderedPageBreak/>
        <w:t>Como consecuencia de las singulares características de los sistemas eléctricos insulares y extrapeninsulares, podrán definirse excepcionalmente instalaciones tipo específicas para cada uno de ellos.</w:t>
      </w:r>
    </w:p>
    <w:p w:rsidR="00AC56D6" w:rsidRDefault="00AC56D6" w:rsidP="00AC56D6">
      <w:pPr>
        <w:pStyle w:val="TextoNormal"/>
      </w:pPr>
    </w:p>
    <w:p w:rsidR="00AC56D6" w:rsidRDefault="00AC56D6" w:rsidP="00AC56D6">
      <w:pPr>
        <w:pStyle w:val="TextoNormal"/>
      </w:pPr>
      <w:r>
        <w:t>Este régimen retributivo no sobrepasará el nivel mínimo necesario para cubrir los costes que permitan competir a las instalaciones en nivel de igualdad con el resto de tecnologías en el mercado y que posibiliten obtener una rentabilidad razonable por referencia a la instalación tipo en cada caso aplicable. No obstante lo anterior, excepcionalmente el régimen retributivo podrá incorporar además un incentivo a la inversión y a la ejecución en plazo determinado, cuando su instalación suponga una reducción significativa de los costes en los sistemas insulares y extrapeninsulares.</w:t>
      </w:r>
    </w:p>
    <w:p w:rsidR="00AC56D6" w:rsidRDefault="00AC56D6" w:rsidP="00AC56D6">
      <w:pPr>
        <w:pStyle w:val="TextoNormal"/>
      </w:pPr>
    </w:p>
    <w:p w:rsidR="00AC56D6" w:rsidRDefault="00AC56D6" w:rsidP="00AC56D6">
      <w:pPr>
        <w:pStyle w:val="TextoNormal"/>
      </w:pPr>
      <w:r>
        <w:t>Esta rentabilidad razonable girará, antes de impuestos, sobre el rendimiento medio en el mercado secundario de las Obligaciones del Estado a diez años aplicando el diferencial adecuado.</w:t>
      </w:r>
    </w:p>
    <w:p w:rsidR="00AC56D6" w:rsidRDefault="00AC56D6" w:rsidP="00AC56D6">
      <w:pPr>
        <w:pStyle w:val="TextoNormal"/>
      </w:pPr>
    </w:p>
    <w:p w:rsidR="00AC56D6" w:rsidRDefault="00AC56D6" w:rsidP="00AC56D6">
      <w:pPr>
        <w:pStyle w:val="TextoNormal"/>
      </w:pPr>
      <w:r>
        <w:t>Los parámetros del régimen retributivo podrán ser revisados cada seis años.”</w:t>
      </w:r>
    </w:p>
    <w:p w:rsidR="00AC56D6" w:rsidRDefault="00AC56D6" w:rsidP="00AC56D6">
      <w:pPr>
        <w:pStyle w:val="TextoNormal"/>
      </w:pPr>
    </w:p>
    <w:p w:rsidR="00AC56D6" w:rsidRDefault="00AC56D6" w:rsidP="00AC56D6">
      <w:pPr>
        <w:pStyle w:val="TextoNormal"/>
      </w:pPr>
      <w:r>
        <w:t>El art.1, apartado tres modifica el primer párrafo del art. 30.5 de la Ley 54/1997, disponiendo lo siguiente:</w:t>
      </w:r>
    </w:p>
    <w:p w:rsidR="00AC56D6" w:rsidRDefault="00AC56D6" w:rsidP="00AC56D6">
      <w:pPr>
        <w:pStyle w:val="TextoNormal"/>
      </w:pPr>
    </w:p>
    <w:p w:rsidR="00AC56D6" w:rsidRDefault="00AC56D6" w:rsidP="00AC56D6">
      <w:pPr>
        <w:pStyle w:val="TextoNormal"/>
      </w:pPr>
      <w:r>
        <w:t>“5. El gobierno, previa consulta con las Comunidades Autónomas y Ciudades de Ceuta y Melilla, podrá determinar el derecho a una retribución basada en los principios previstos en el apartado 4 para aquellas instalaciones de producción de energía eléctrica de cogeneración o que utilicen como energía primaria energías renovables no consumibles y no hidráulicas, biomasa, biocarburantes o residuos agrícolas, ganaderos o de servicios, aun cuando las instalaciones de producción de energía eléctrica tengan una potencia instalada superior a 50 MW.”</w:t>
      </w:r>
    </w:p>
    <w:p w:rsidR="00AC56D6" w:rsidRDefault="00AC56D6" w:rsidP="00AC56D6">
      <w:pPr>
        <w:pStyle w:val="TextoNormal"/>
      </w:pPr>
    </w:p>
    <w:p w:rsidR="00AC56D6" w:rsidRDefault="00AC56D6" w:rsidP="00AC56D6">
      <w:pPr>
        <w:pStyle w:val="TextoNormal"/>
      </w:pPr>
      <w:r>
        <w:t>La disposición adicional primera viene a definir la “rentabilidad razonable de las instalaciones de producción con derecho a régimen económico primado”, en los siguientes términos:</w:t>
      </w:r>
    </w:p>
    <w:p w:rsidR="00AC56D6" w:rsidRDefault="00AC56D6" w:rsidP="00AC56D6">
      <w:pPr>
        <w:pStyle w:val="TextoNormal"/>
      </w:pPr>
    </w:p>
    <w:p w:rsidR="00AC56D6" w:rsidRDefault="00AC56D6" w:rsidP="00AC56D6">
      <w:pPr>
        <w:pStyle w:val="TextoNormal"/>
      </w:pPr>
      <w:r>
        <w:t>“A los efectos de lo previsto en el penúltimo párrafo del artículo 30.4 de la Ley 54/1997, de 27 de noviembre, para las instalaciones que a la fecha de la entrada en vigor del presente real decreto ley tuvieran derecho a un régimen económico primado, la rentabilidad razonable girará, antes de impuestos, sobre el rendimiento medio en el mercado secundario de los diez años anteriores a la entrada en vigor del presente Real Decreto-ley de las Obligaciones del Estado a diez años incrementada en 300 puntos básicos, todo ello sin perjuicio de la revisión prevista en el último párrafo del citado artículo.”</w:t>
      </w:r>
    </w:p>
    <w:p w:rsidR="00AC56D6" w:rsidRDefault="00AC56D6" w:rsidP="00AC56D6">
      <w:pPr>
        <w:pStyle w:val="TextoNormal"/>
      </w:pPr>
    </w:p>
    <w:p w:rsidR="00AC56D6" w:rsidRDefault="00AC56D6" w:rsidP="00AC56D6">
      <w:pPr>
        <w:pStyle w:val="TextoNormal"/>
      </w:pPr>
      <w:r>
        <w:t>La disposición transitoria tercera lleva por título “Aplicación transitoria del art. 4 del Real Decreto-ley 6/2009, de 30 de abril, por el que se adoptan determinadas medidas en el sector energético y se aprueba el bono social, del Real Decreto 661/2007, de 25 de mayo, por el que se regula la actividad de producción de energía eléctrica en régimen especial y del Real Decreto 1578/2008, de 26 de septiembre, de retribución de la actividad de produc</w:t>
      </w:r>
      <w:r>
        <w:lastRenderedPageBreak/>
        <w:t>ción de energía eléctrica mediante tecnología solar fotovoltaica para instalaciones posteriores a la fecha límite de mantenimiento de la retribución del Real Decreto 661/2007, de 25 de mayo, para dicha tecnología”; y dispone literalmente lo siguiente:</w:t>
      </w:r>
    </w:p>
    <w:p w:rsidR="00AC56D6" w:rsidRDefault="00AC56D6" w:rsidP="00AC56D6">
      <w:pPr>
        <w:pStyle w:val="TextoNormal"/>
      </w:pPr>
    </w:p>
    <w:p w:rsidR="00AC56D6" w:rsidRDefault="00AC56D6" w:rsidP="00AC56D6">
      <w:pPr>
        <w:pStyle w:val="TextoNormal"/>
      </w:pPr>
      <w:r>
        <w:t>“1. No obstante lo establecido en la disposición derogatoria única.2, lo previsto en el artículo 4 del Real Decreto-ley 6/2009, de 30 de abril, por el que se adoptan determinadas medidas en el sector energético y se aprueba el bono social, en el Real Decreto 661/2007, de 25 de mayo, por el que se regula la actividad de producción de energía eléctrica en régimen especial y en el Real Decreto 1578/2008, de 26 de septiembre, de retribución de la actividad de producción de energía eléctrica mediante tecnología solar fotovoltaica para instalaciones posteriores a la fecha límite de mantenimiento de la retribución del Real Decreto 661/2007, de 25 de mayo, para dicha tecnología se aplicará con carácter transitorio hasta la aprobación de las disposiciones necesarias para la plena aplicación del real decreto a que hace referencia la disposición final segunda del presente Real Decreto-ley, a excepción del artículo 28 y del porcentaje de bonificación por cumplimiento en el rango del factor de potencia entre 0.995 inductivo y 0,995 capacitivo recogido en el anexo 5 del Real Decreto 661/2007, de 25 de mayo.</w:t>
      </w:r>
    </w:p>
    <w:p w:rsidR="00AC56D6" w:rsidRDefault="00AC56D6" w:rsidP="00AC56D6">
      <w:pPr>
        <w:pStyle w:val="TextoNormal"/>
      </w:pPr>
    </w:p>
    <w:p w:rsidR="00AC56D6" w:rsidRDefault="00AC56D6" w:rsidP="00AC56D6">
      <w:pPr>
        <w:pStyle w:val="TextoNormal"/>
      </w:pPr>
      <w:r>
        <w:t>2. El organismo encargado de la liquidación abonará, con carácter de pago a cuenta, los conceptos liquidables devengados por las instalaciones de régimen especial, y aquéllas de régimen ordinario con régimen retributivo primado al amparo del Real Decreto 661/2007, de 25 de mayo, en aplicación de lo previsto en los referidos reales decretos.</w:t>
      </w:r>
    </w:p>
    <w:p w:rsidR="00AC56D6" w:rsidRDefault="00AC56D6" w:rsidP="00AC56D6">
      <w:pPr>
        <w:pStyle w:val="TextoNormal"/>
      </w:pPr>
    </w:p>
    <w:p w:rsidR="00AC56D6" w:rsidRDefault="00AC56D6" w:rsidP="00AC56D6">
      <w:pPr>
        <w:pStyle w:val="TextoNormal"/>
      </w:pPr>
      <w:r>
        <w:t>Los derechos de cobro u obligaciones de pago resultantes de la aplicación de la metodología que se establezca en virtud de lo previsto en la disposición final segunda, a la energía producida desde la entrada en vigor del presente Real Decreto-ley hasta la entrada en vigor de las disposiciones necesarias para la plena aplicación del nuevo régimen retributivo, serán liquidados por el organismo encargad de las mismas en las seis liquidaciones posteriores a la entrada en vigor de dichas disposiciones. Dichas liquidaciones corresponderán en todo caso, al mismo ejercicio y las cantidades tendrán la consideración de coste o ingreso liquidable del sistema, según proceda, a los efectos previstos en el procedimiento de liquidación de los costes del sistema eléctrico.”</w:t>
      </w:r>
    </w:p>
    <w:p w:rsidR="00AC56D6" w:rsidRDefault="00AC56D6" w:rsidP="00AC56D6">
      <w:pPr>
        <w:pStyle w:val="TextoNormal"/>
      </w:pPr>
    </w:p>
    <w:p w:rsidR="00AC56D6" w:rsidRDefault="00AC56D6" w:rsidP="00AC56D6">
      <w:pPr>
        <w:pStyle w:val="TextoNormal"/>
      </w:pPr>
      <w:r>
        <w:t>Por último, la disposición final segunda, intitulada “Nuevo régimen jurídico y económico de la actividad de producción a partir de fuentes de energía renovables, cogeneración, y residuos en régimen económico primado”, establece:</w:t>
      </w:r>
    </w:p>
    <w:p w:rsidR="00AC56D6" w:rsidRDefault="00AC56D6" w:rsidP="00AC56D6">
      <w:pPr>
        <w:pStyle w:val="TextoNormal"/>
      </w:pPr>
    </w:p>
    <w:p w:rsidR="00AC56D6" w:rsidRDefault="00AC56D6" w:rsidP="00AC56D6">
      <w:pPr>
        <w:pStyle w:val="TextoNormal"/>
      </w:pPr>
      <w:r>
        <w:t>“El Gobierno, a propuesta del ministro de Industria, Energía y Turismo, aprobará un real decreto de regulación del régimen jurídico y económico para las instalaciones de producción de energía eléctrica a partir de fuentes de energía renovables, cogeneración y residuos con retribución primada que modificará el modelo retributivo de las instalaciones existentes.</w:t>
      </w:r>
    </w:p>
    <w:p w:rsidR="00AC56D6" w:rsidRDefault="00AC56D6" w:rsidP="00AC56D6">
      <w:pPr>
        <w:pStyle w:val="TextoNormal"/>
      </w:pPr>
    </w:p>
    <w:p w:rsidR="00AC56D6" w:rsidRDefault="00AC56D6" w:rsidP="00AC56D6">
      <w:pPr>
        <w:pStyle w:val="TextoNormal"/>
      </w:pPr>
      <w:r>
        <w:t>Este nuevo modelo se ajustará a los criterios previstos en el artículo 30 de la Ley 54/1997, de 27 de noviembre, del Sector Eléctrico, introducidos por el presente Real Decreto-ley y será de aplicación desde la entre en vigor del presente Real Decreto-ley.</w:t>
      </w:r>
    </w:p>
    <w:p w:rsidR="00AC56D6" w:rsidRDefault="00AC56D6" w:rsidP="00AC56D6">
      <w:pPr>
        <w:pStyle w:val="TextoNormal"/>
      </w:pPr>
    </w:p>
    <w:p w:rsidR="00AC56D6" w:rsidRDefault="00AC56D6" w:rsidP="00AC56D6">
      <w:pPr>
        <w:pStyle w:val="TextoNormal"/>
      </w:pPr>
      <w:r>
        <w:lastRenderedPageBreak/>
        <w:t>No obstante lo anterior, el régimen retributivo específico que se establezca para las instalaciones de tecnología solar termoeléctrica adjudicatarias del régimen previsto en la disposición adicional tercera del Real Decreto 1565/2010, de 19 de noviembre, por el que se regulan y modifican determinados aspectos relativos a la actividad de producción de energía eléctrica en régimen especial, estará compuesto por un único término a la operación cuya valor será el resultante de la oferta económica para las que resultaran adjudicatarias.”</w:t>
      </w:r>
    </w:p>
    <w:p w:rsidR="00AC56D6" w:rsidRDefault="00AC56D6" w:rsidP="00AC56D6">
      <w:pPr>
        <w:pStyle w:val="TextoNormal"/>
      </w:pPr>
    </w:p>
    <w:p w:rsidR="00AC56D6" w:rsidRDefault="00AC56D6" w:rsidP="00AC56D6">
      <w:pPr>
        <w:pStyle w:val="TextoNormal"/>
      </w:pPr>
      <w:r>
        <w:t>El Consejo de Gobierno de la Comunidad Autónoma de la Región de Murcia como fundamento de su impugnación alega los siguientes motivos de inconstitucionalidad: en primer término, la infracción de los principios constitucionales de jerarquía normativa y de sometimiento del poder público al ordenamiento jurídico (art. 9.1 CE), en la medida en que los preceptos impugnados son contrarios a lo dispuesto en los arts. 10 y 13 del Tratado sobre la carta de la energía, ratificado por España y que, en consecuencia, forma parte del ordenamiento interno español; en segundo lugar, la vulneración de los principios de seguridad jurídica, de confianza legítima y de irretroactividad de las disposiciones sancionadoras o no favorables (art. 9.3 CE), en la medida en que, por un lado los preceptos impugnados resultan arbitrarios al recurrir a conceptos jurídicos indeterminados, como el de “empresa eficiente y bien gestionada”, y, por otro, establecen los principios generales de un nuevo régimen retributivo, cuya concreción se deriva a lo dispuesto en un posterior desarrollo reglamentario, pero que resulta aplicable con carácter retroactivo desde la entrada en vigor de la propia norma que se cuestiona; por último, se alega la infracción del art. 86.1 CE, por no concurrir el presupuesto habilitante de la extraordinaria y urgente necesidad, para la aprobación de estas normas por decreto-ley.</w:t>
      </w:r>
    </w:p>
    <w:p w:rsidR="00AC56D6" w:rsidRDefault="00AC56D6" w:rsidP="00AC56D6">
      <w:pPr>
        <w:pStyle w:val="TextoNormal"/>
      </w:pPr>
    </w:p>
    <w:p w:rsidR="00AC56D6" w:rsidRDefault="00AC56D6" w:rsidP="00AC56D6">
      <w:pPr>
        <w:pStyle w:val="TextoNormal"/>
      </w:pPr>
      <w:r>
        <w:t>El Abogado del Estado defiende, por el contrario, la constitucionalidad de los preceptos impugnados, rechazando, por los motivos que se resumen en los antecedentes de esta Sentencia, la vulneración de los preceptos constitucionales alegados por el Letrado autonómico.</w:t>
      </w:r>
    </w:p>
    <w:p w:rsidR="00AC56D6" w:rsidRDefault="00AC56D6" w:rsidP="00AC56D6">
      <w:pPr>
        <w:pStyle w:val="TextoNormal"/>
      </w:pPr>
    </w:p>
    <w:p w:rsidR="00AC56D6" w:rsidRDefault="00AC56D6" w:rsidP="00AC56D6">
      <w:pPr>
        <w:pStyle w:val="TextoNormal"/>
      </w:pPr>
      <w:r w:rsidRPr="00AC56D6">
        <w:rPr>
          <w:rStyle w:val="NumeroAFNegritaCaracter"/>
        </w:rPr>
        <w:t>2</w:t>
      </w:r>
      <w:r>
        <w:t>. Resulta necesario en primer lugar determinar la pervivencia del proceso, teniendo presente que la norma impugnada ha sido modificada durante su pendencia.</w:t>
      </w:r>
    </w:p>
    <w:p w:rsidR="00AC56D6" w:rsidRDefault="00AC56D6" w:rsidP="00AC56D6">
      <w:pPr>
        <w:pStyle w:val="TextoNormal"/>
      </w:pPr>
    </w:p>
    <w:p w:rsidR="00AC56D6" w:rsidRDefault="00AC56D6" w:rsidP="00AC56D6">
      <w:pPr>
        <w:pStyle w:val="TextoNormal"/>
      </w:pPr>
      <w:r>
        <w:t>Los preceptos impugnados han resultado directamente afectados por lo dispuesto en la Ley 24/2013, de 26 de diciembre, del sector eléctrico, cuya disposición derogatoria única, en su apartado 1.a), deroga expresamente la Ley 54/1997, de 27 de noviembre, salvo las disposiciones adicionales sexta, séptima, vigésima primera y vigésima tercera, “sin perjuicio de lo previsto en la disposición final tercera”. A su vez, la disposición final tercera de la citada Ley 24/2013, contempla el “nuevo régimen jurídico y económico de la actividad de producción a partir de fuentes de energía renovables, cogeneración y residuos con régimen económico primado”, en términos que vienen a reproducir y a remitirse a lo dispuesto en los preceptos que son objeto del presente recurso de inconstitucionalidad.</w:t>
      </w:r>
    </w:p>
    <w:p w:rsidR="00AC56D6" w:rsidRDefault="00AC56D6" w:rsidP="00AC56D6">
      <w:pPr>
        <w:pStyle w:val="TextoNormal"/>
      </w:pPr>
    </w:p>
    <w:p w:rsidR="00AC56D6" w:rsidRDefault="00AC56D6" w:rsidP="00AC56D6">
      <w:pPr>
        <w:pStyle w:val="TextoNormal"/>
      </w:pPr>
      <w:r>
        <w:t xml:space="preserve">Así, en los apartados 1 y 2 de la mencionada disposición final tercera se efectúa una remisión expresa a lo previsto en el Real Decreto-ley 9/2013, reproduciendo lo dispuesto en su disposición final segunda, y reiterando que el nuevo modelo retributivo aplicable a estas actividades de producción, se ajustará a los criterios previstos en el art. 30 de la Ley 54/1997, en la redacción que le fue dada por el citado Real Decreto-ley. Por su parte, el apartado 3 efectúa una definición de “rentabilidad razonable” de las instalaciones, con expresa remisión a los términos previstos en el Real Decreto-ley 9/2013, reproduciendo lo señalado en </w:t>
      </w:r>
      <w:r>
        <w:lastRenderedPageBreak/>
        <w:t>la disposición adicional primera del mismo. Finalmente, la disposición final quinta de la Ley 24/2013 modifica el apartado 2 de la disposición transitoria tercera del Real Decreto-ley 9/2013, introduciendo determinadas precisiones en el régimen de las liquidaciones a cuenta.</w:t>
      </w:r>
    </w:p>
    <w:p w:rsidR="00AC56D6" w:rsidRDefault="00AC56D6" w:rsidP="00AC56D6">
      <w:pPr>
        <w:pStyle w:val="TextoNormal"/>
      </w:pPr>
    </w:p>
    <w:p w:rsidR="00AC56D6" w:rsidRDefault="00AC56D6" w:rsidP="00AC56D6">
      <w:pPr>
        <w:pStyle w:val="TextoNormal"/>
      </w:pPr>
      <w:r>
        <w:t>A efectos de determinar si las modificaciones introducidas permiten apreciar la pérdida de objeto del presente recurso de inconstitucionalidad, hemos de recordar los criterios de nuestra doctrina, sintetizados en la STC 96/2014, de 2 de junio, FJ 2. Tras señalar que la regla general en el ámbito de los recursos de inconstitucionalidad es que la derogación de la norma impugnada extingue su objeto, dicha sentencia indica que, no obstante, no cabe dar una respuesta unívoca a esta cuestión, ya que, citando la STC 124/2003, de 19 de junio, FJ 3, señala que “en el ámbito del recurso de inconstitucionalidad, recurso abstracto y orientado a la depuración objetiva del ordenamiento, la pérdida sobrevenida de la vigencia del precepto legal impugnado ‘habrá de ser tenida en cuenta por este Tribunal para apreciar si la misma conlleva ...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199/1987, FJ 3). Por ello, carece de sentido, tratándose de un recurso de inconstitucionalidad, ‘pronunciarse sobre normas que el mismo legislador ha expulsado ya de dicho ordenamiento... de modo total, sin ultraactividad’ (SSTC 160/1987, FJ 6; 150/1990, FJ 8; 385/1993, FJ 2). Por idéntica razón, para excluir ‘toda aplicación posterior de la disposición legal controvertida, privándola así del vestigio de vigencia que pudiera conservar’, puede resultar útil —conveniente— su enjuiciamiento, aun cuando haya sido derogada (SSTC 160/1987, FJ 6; 385/1993, FJ 2)”.</w:t>
      </w:r>
    </w:p>
    <w:p w:rsidR="00AC56D6" w:rsidRDefault="00AC56D6" w:rsidP="00AC56D6">
      <w:pPr>
        <w:pStyle w:val="TextoNormal"/>
      </w:pPr>
    </w:p>
    <w:p w:rsidR="00AC56D6" w:rsidRDefault="00AC56D6" w:rsidP="00AC56D6">
      <w:pPr>
        <w:pStyle w:val="TextoNormal"/>
      </w:pPr>
      <w:r>
        <w:t>Aplicando los anteriores criterios al supuesto que se examina, cabe afirmar que las modificaciones operadas en el Real Decreto-ley 9/2103 por la Ley 24/2013 no han dado lugar a una derogación, o, lo que es lo mismo, a la remoción absoluta de las situaciones jurídicas creadas al amparo de la disposición aquí impugnada, sino, más bien al contrario, a una novación actualizada del régimen retributivo que se contempla en los preceptos impugnados para la actividad de producción a partir de fuentes de energía renovables, cogeneración y residuos con régimen económico primado; régimen jurídico al que expresamente se remite la Ley 24/2013 y que, en consecuencia y en lo sustancial, ha resultado incorporado, en sus propios términos, a una norma con rango formal de ley. Por esta razón, la modificación de las normas impugnadas en el presente proceso no permite apreciar la desaparición del objeto del recurso de inconstitucionalidad formulado, siendo procedente, en consecuencia, el examen de fondo de los preceptos impugnados.</w:t>
      </w:r>
    </w:p>
    <w:p w:rsidR="00AC56D6" w:rsidRDefault="00AC56D6" w:rsidP="00AC56D6">
      <w:pPr>
        <w:pStyle w:val="TextoNormal"/>
      </w:pPr>
    </w:p>
    <w:p w:rsidR="00AC56D6" w:rsidRDefault="00AC56D6" w:rsidP="00AC56D6">
      <w:pPr>
        <w:pStyle w:val="TextoNormal"/>
      </w:pPr>
      <w:r w:rsidRPr="00AC56D6">
        <w:rPr>
          <w:rStyle w:val="NumeroAFNegritaCaracter"/>
        </w:rPr>
        <w:t>3</w:t>
      </w:r>
      <w:r>
        <w:t>. Entrando pues en ese examen de fondo, procede analizar, en primer término, la tacha de inconstitucionalidad relativa a la vulneración del art. 86.1 CE, que se imputa a los preceptos impugnados del Real Decreto-ley 9/2013, y que se fundamenta en la no concurrencia del presupuesto habilitante de la “extraordinaria y urgente necesidad” contemplado en el citado precepto constitucional.</w:t>
      </w:r>
    </w:p>
    <w:p w:rsidR="00AC56D6" w:rsidRDefault="00AC56D6" w:rsidP="00AC56D6">
      <w:pPr>
        <w:pStyle w:val="TextoNormal"/>
      </w:pPr>
    </w:p>
    <w:p w:rsidR="00AC56D6" w:rsidRDefault="00AC56D6" w:rsidP="00AC56D6">
      <w:pPr>
        <w:pStyle w:val="TextoNormal"/>
      </w:pPr>
      <w:r>
        <w:t xml:space="preserve">Ello es así porque “la observancia de los requisitos exigidos en el art. 86.1 CE constituye un </w:t>
      </w:r>
      <w:r w:rsidRPr="00AC56D6">
        <w:rPr>
          <w:i/>
        </w:rPr>
        <w:t>prius</w:t>
      </w:r>
      <w:r>
        <w:t xml:space="preserve"> respecto de los aspectos sustantivos o materiales, y, en consecuencia, la inobservancia de los requisitos exigidos para la legislación de urgencia se alza como una infracción </w:t>
      </w:r>
      <w:r>
        <w:lastRenderedPageBreak/>
        <w:t>que sólo puede repararse, en su caso, con una declaración de inconstitucionalidad. Se trata de controlar si el ejercicio de la potestad reconocida al Gobierno por el art. 86.1 CE se realizó siguiendo los requisitos establecidos en dicho precepto constitucional y, por lo tanto, de velar por el recto ejercicio de la potestad de dictar decretos-leyes dentro del marco constitucional” (STC 95/2015, de 14 de mayo, FJ 3). Así pues, debemos iniciar la resolución del recurso examinando las infracciones del art. 86.1 CE, para posteriormente, en caso de resultar procedente, examinar las restantes infracciones constitucionales que se imputan a los preceptos recurridos.</w:t>
      </w:r>
    </w:p>
    <w:p w:rsidR="00AC56D6" w:rsidRDefault="00AC56D6" w:rsidP="00AC56D6">
      <w:pPr>
        <w:pStyle w:val="TextoNormal"/>
      </w:pPr>
    </w:p>
    <w:p w:rsidR="00AC56D6" w:rsidRDefault="00AC56D6" w:rsidP="00AC56D6">
      <w:pPr>
        <w:pStyle w:val="TextoNormal"/>
      </w:pPr>
      <w:r>
        <w:t>Este Tribunal tiene una doctrina consolidada sobre el presupuesto habilitante que, según el art. 86.1 CE, habilita al Gobierno para dictar la legislación de urgencia que se manifiesta a través de la figura del decreto-ley, y que se encuentra resumida en la STC 12/2015, de 5 de febrero, FJ 3, en los términos siguientes:</w:t>
      </w:r>
    </w:p>
    <w:p w:rsidR="00AC56D6" w:rsidRDefault="00AC56D6" w:rsidP="00AC56D6">
      <w:pPr>
        <w:pStyle w:val="TextoNormal"/>
      </w:pPr>
    </w:p>
    <w:p w:rsidR="00AC56D6" w:rsidRDefault="00AC56D6" w:rsidP="00AC56D6">
      <w:pPr>
        <w:pStyle w:val="TextoNormal"/>
      </w:pPr>
      <w:r>
        <w:t>“Dicho presupuesto habilitante,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razón por la cual, este Tribunal puede, ‘en supuestos de uso abusivo o arbitrario, rechazar la definición que los órganos políticos hagan de una situación determinada como de `extraordinaria y urgente necesidad´ y, en consecuencia, declarar la inconstitucionalidad por inexistencia del presupuesto habilitante’ (SSTC 100/2012, de 8 de mayo, FJ 8; 237/2012, de 13 de diciembre, FJ 4; y 39/2013, de 14 de febrero, FJ 5, entre otras).</w:t>
      </w:r>
    </w:p>
    <w:p w:rsidR="00AC56D6" w:rsidRDefault="00AC56D6" w:rsidP="00AC56D6">
      <w:pPr>
        <w:pStyle w:val="TextoNormal"/>
      </w:pPr>
    </w:p>
    <w:p w:rsidR="00AC56D6" w:rsidRDefault="00AC56D6" w:rsidP="00AC56D6">
      <w:pPr>
        <w:pStyle w:val="TextoNormal"/>
      </w:pPr>
      <w:r>
        <w:t>La apreciación de la concurrencia de la extraordinaria y urgente necesidad constituye un juicio político que corresponde efectuar al Gobierno (titular constitucional de la potestad legislativa de urgencia) y al Congreso (titular de la potestad de convalidar, derogar o tramitar el texto como proyecto de ley). El Tribunal controla que ese juicio político no desborde los límites de lo manifiestamente razonable, pero ‘el control jurídico de este requisito no debe suplantar a los órganos constitucionales que intervienen en la aprobación y convalidación de los Reales Decretos-leyes’ (SSTC 332/2005, de 15 de diciembre, FJ 5 y 1/2012, de 13 de enero, FJ 6), por lo que la fiscalización de este Órgano constitucional es ‘un control externo, en el sentido de que debe verificar, pero no sustituir, el juicio político o de oportunidad que corresponde al Gobierno’ (STC 182/1997, de 28 de octubre, FJ 3).</w:t>
      </w:r>
    </w:p>
    <w:p w:rsidR="00AC56D6" w:rsidRDefault="00AC56D6" w:rsidP="00AC56D6">
      <w:pPr>
        <w:pStyle w:val="TextoNormal"/>
      </w:pPr>
    </w:p>
    <w:p w:rsidR="00AC56D6" w:rsidRDefault="00AC56D6" w:rsidP="00AC56D6">
      <w:pPr>
        <w:pStyle w:val="TextoNormal"/>
      </w:pPr>
      <w:r>
        <w:t>Este control externo que al Tribunal corresponde realizar se concreta en los siguientes aspectos: en primer lugar, comprobar ‘que la definición por los órganos políticos de una situación de extraordinaria y urgente necesidad sea explícita y razonada’, y, además ‘que exista una conexión de sentido o relación de adecuación entre la situación definida que constituye el presupuesto y las medidas que en el Decreto- Ley se adoptan (STC 29/1982, de 31 de mayo, FJ 3), de manera que estas últimas guarden una relación directa o de congruencia con la situación que se trata de afrontar’ (STC 182/1997, de 28 de octubre, FJ 3).</w:t>
      </w:r>
    </w:p>
    <w:p w:rsidR="00AC56D6" w:rsidRDefault="00AC56D6" w:rsidP="00AC56D6">
      <w:pPr>
        <w:pStyle w:val="TextoNormal"/>
      </w:pPr>
    </w:p>
    <w:p w:rsidR="00AC56D6" w:rsidRDefault="00AC56D6" w:rsidP="00AC56D6">
      <w:pPr>
        <w:pStyle w:val="TextoNormal"/>
      </w:pPr>
      <w:r>
        <w:t>En cuanto al primero de estos aspectos —la definición de la situación de urgencia—, nuestra doctrina ha precisado que no es necesario que tal definición expresa de la extraordinaria y urgente necesidad haya de contenerse siempre en el propio Real Decreto-ley, sino que tal presupuesto cabe deducirlo igualmente de una pluralidad de elementos. A este res</w:t>
      </w:r>
      <w:r>
        <w:lastRenderedPageBreak/>
        <w:t>pecto, conviene recordar que el examen de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w:t>
      </w:r>
    </w:p>
    <w:p w:rsidR="00AC56D6" w:rsidRDefault="00AC56D6" w:rsidP="00AC56D6">
      <w:pPr>
        <w:pStyle w:val="TextoNormal"/>
      </w:pPr>
    </w:p>
    <w:p w:rsidR="00AC56D6" w:rsidRDefault="00AC56D6" w:rsidP="00AC56D6">
      <w:pPr>
        <w:pStyle w:val="TextoNormal"/>
      </w:pPr>
      <w:r>
        <w:t>En cuanto a la segunda dimensión del presupuesto habilitante de la legislación de urgencia —conexión de sentido entre la situación de necesidad definida y las medidas que en el Real Decreto-ley se adoptan—, nuestra doctrina ha afirmado un doble criterio o perspectiva para valorar su existencia: el contenido, por un lado, y la estructura, por otro, de las disposiciones incluidas en el Real Decreto-ley controvertido. Así, ya en la STC 29/1982, de 31 de mayo, FJ 3, excluimos a este respecto aquellas disposiciones ‘que, por su contenido y de manera evidente, no guarden relación alguna, directa ni indirecta, con la situación que se trata de afrontar ni, muy especialmente, aquéllas que, por su estructura misma, independientemente de su contenido, no modifican de manera instantánea la situación jurídica existente’ (STC 39/2013, de 14 de febrero, FJ 9)”.</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De acuerdo con la doctrina constitucional expuesta, es preciso comenzar dicho examen con el análisis de los argumentos determinantes de la aprobación de los preceptos impugnados, que se explicitan en la exposición de motivos de la norma y en el debate parlamentario de su convalidación. Importa asimismo advertir que (como señalan las SSTC 31/2011, de 17 de marzo, FJ 4; 137/2011, de 14 de septiembre, FJ 6; 170/2012, de 4 de octubre, FJ 5; 27/2015, de 19 de febrero, FJ 5, y 29/2015, de 19 de febrero, FJ 3), cuando se denuncia la vulneración del presupuesto de hecho habilitante respecto, no del correspondiente decreto-ley en su conjunto, sino únicamente en relación con uno o alguno de sus preceptos, la necesaria justificación </w:t>
      </w:r>
      <w:r w:rsidRPr="00AC56D6">
        <w:rPr>
          <w:i/>
        </w:rPr>
        <w:t>ad casum</w:t>
      </w:r>
      <w:r>
        <w:t xml:space="preserve"> de la “extraordinaria y urgente necesidad” ha de ser apreciada en relación precisamente con los preceptos en concreto impugnados.</w:t>
      </w:r>
    </w:p>
    <w:p w:rsidR="00AC56D6" w:rsidRDefault="00AC56D6" w:rsidP="00AC56D6">
      <w:pPr>
        <w:pStyle w:val="TextoNormal"/>
      </w:pPr>
    </w:p>
    <w:p w:rsidR="00AC56D6" w:rsidRDefault="00AC56D6" w:rsidP="00AC56D6">
      <w:pPr>
        <w:pStyle w:val="TextoNormal"/>
      </w:pPr>
      <w:r>
        <w:t>El Preámbulo del Real Decreto-ley 9/2013 comienza exponiendo en su apartado I, los argumentos de carácter general que justifican la necesidad de aprobación de la presente norma:</w:t>
      </w:r>
    </w:p>
    <w:p w:rsidR="00AC56D6" w:rsidRDefault="00AC56D6" w:rsidP="00AC56D6">
      <w:pPr>
        <w:pStyle w:val="TextoNormal"/>
      </w:pPr>
    </w:p>
    <w:p w:rsidR="00AC56D6" w:rsidRDefault="00AC56D6" w:rsidP="00AC56D6">
      <w:pPr>
        <w:pStyle w:val="TextoNormal"/>
      </w:pPr>
      <w:r>
        <w:t>“[C]on objeto de corregir los desajustes producidos por la evolución expansiva de las partidas de costes del sistema eléctrico, se han venido adoptando en los últimos años una serie de medidas de carácter urgente que afectan tanto a la partida de costes como a la de ingresos”. Sin embargo —continua señalando— “en los primeros meses del año 2013 han acontecido unas condiciones meteorológicas atípicas y el nivel de pluviometría y las condiciones de viento han sido muy superiores a las medias históricas. Estas condiciones han provocado un doble efecto. Por un lado, han ocasionado el hundimiento del precio del mercado diario hasta un nivel mínimo de 18,17 euros/MWh previstos para el conjunto del año. Por otro lado, se ha producido un incremento en las horas de funcionamiento de determinadas tecnologías, y en particular de la eólica con derecho a régimen primado. Todo ello ha determinado una notable desviación al alza del sobrecoste del régimen especial, como consecuencia de los menores precios del mercado registrados.</w:t>
      </w:r>
    </w:p>
    <w:p w:rsidR="00AC56D6" w:rsidRDefault="00AC56D6" w:rsidP="00AC56D6">
      <w:pPr>
        <w:pStyle w:val="TextoNormal"/>
      </w:pPr>
    </w:p>
    <w:p w:rsidR="00AC56D6" w:rsidRDefault="00AC56D6" w:rsidP="00AC56D6">
      <w:pPr>
        <w:pStyle w:val="TextoNormal"/>
      </w:pPr>
      <w:r>
        <w:lastRenderedPageBreak/>
        <w:t>Además, por efecto de la reducción de la actividad económica y la afección de la crisis económica sobre las economías domésticas, se ha producido una contracción de la demanda más acusada de lo previsto.</w:t>
      </w:r>
    </w:p>
    <w:p w:rsidR="00AC56D6" w:rsidRDefault="00AC56D6" w:rsidP="00AC56D6">
      <w:pPr>
        <w:pStyle w:val="TextoNormal"/>
      </w:pPr>
    </w:p>
    <w:p w:rsidR="00AC56D6" w:rsidRDefault="00AC56D6" w:rsidP="00AC56D6">
      <w:pPr>
        <w:pStyle w:val="TextoNormal"/>
      </w:pPr>
      <w:r>
        <w:t>… Por otra parte, en el procedimiento de elaboración de los Presupuestos Generales del Estado para 2014 se ha puesto de relieve por el Ministerio de Hacienda y Administraciones Públicas la imposibilidad del completo cumplimiento de la disposición adicional primera del Real Decreto-ley 6/2009, de 30 de abril, por el que se adoptan determinadas medidas para el sector energético y se aprueba el bono social. Esta disposición establece que las compensaciones por los extracostes de generación de los sistemas insulares y extrapeninsulares serán financiados con cargo a los Presupuestos Generales del Estado. El motivo es la difícil situación presupuestaria, la cual no permite dotar, en su totalidad, este extracoste sin comprometer el cumplimiento de los objetivos de déficit fijados para el ejercicio 2014.</w:t>
      </w:r>
    </w:p>
    <w:p w:rsidR="00AC56D6" w:rsidRDefault="00AC56D6" w:rsidP="00AC56D6">
      <w:pPr>
        <w:pStyle w:val="TextoNormal"/>
      </w:pPr>
    </w:p>
    <w:p w:rsidR="00AC56D6" w:rsidRDefault="00AC56D6" w:rsidP="00AC56D6">
      <w:pPr>
        <w:pStyle w:val="TextoNormal"/>
      </w:pPr>
      <w:r>
        <w:t>Estas circunstancias hacen patente tanto la necesidad imperiosa de adoptar de forma inmediata una serie de medidas urgentes para garantizar la estabilidad financiera del sistema eléctrico como, a la par, la pertinencia de acometer una revisión del marco regulatorio que permita su adaptación a los acontecimientos que definen la realidad del sector en cada período determinado en aras del mantenimiento de la sostenibilidad del sistema eléctrico.</w:t>
      </w:r>
    </w:p>
    <w:p w:rsidR="00AC56D6" w:rsidRDefault="00AC56D6" w:rsidP="00AC56D6">
      <w:pPr>
        <w:pStyle w:val="TextoNormal"/>
      </w:pPr>
    </w:p>
    <w:p w:rsidR="00AC56D6" w:rsidRDefault="00AC56D6" w:rsidP="00AC56D6">
      <w:pPr>
        <w:pStyle w:val="TextoNormal"/>
      </w:pPr>
      <w:r>
        <w:t>A todo ello se une que en el Programa Nacional de Reformas, presentado por el Gobierno de España a la Comisión Europea el pasado 30 de abril de 2013, se contenía el compromiso del Gobierno de presentar, en el primer semestre de este año un paquete de medidas normativas con vistas a garantizar la estabilidad financiera del sistema eléctrico.</w:t>
      </w:r>
    </w:p>
    <w:p w:rsidR="00AC56D6" w:rsidRDefault="00AC56D6" w:rsidP="00AC56D6">
      <w:pPr>
        <w:pStyle w:val="TextoNormal"/>
      </w:pPr>
    </w:p>
    <w:p w:rsidR="00AC56D6" w:rsidRDefault="00AC56D6" w:rsidP="00AC56D6">
      <w:pPr>
        <w:pStyle w:val="TextoNormal"/>
      </w:pPr>
      <w:r>
        <w:t>Con base a estos principios … el presente Real Decreto-ley articula, con carácter urgente, una serie de medidas equilibradas, proporcionadas y de amplio alcance, destinadas a garantizar la estabilidad financiera del sistema eléctrico como presupuesto ineludible de su sostenibilidad económica y de la seguridad de suministro, dirigidas a todas las actividades del sector eléctrico.”</w:t>
      </w:r>
    </w:p>
    <w:p w:rsidR="00AC56D6" w:rsidRDefault="00AC56D6" w:rsidP="00AC56D6">
      <w:pPr>
        <w:pStyle w:val="TextoNormal"/>
      </w:pPr>
    </w:p>
    <w:p w:rsidR="00AC56D6" w:rsidRDefault="00AC56D6" w:rsidP="00AC56D6">
      <w:pPr>
        <w:pStyle w:val="TextoNormal"/>
      </w:pPr>
      <w:r>
        <w:t>En segundo término y en lo que se refiere, en concreto, a los preceptos que son objeto de la presente impugnación, esto es, a la aprobación de un nuevo régimen jurídico y económico para las instalaciones de producción de energía eléctrica existentes a partir de fuentes de energía renovable, cogeneración y residuos, el apartado II del preámbulo, tras efectuar una detallada descripción del contenido de dichos preceptos, incluye una justificación específica, afirmando lo siguiente:</w:t>
      </w:r>
    </w:p>
    <w:p w:rsidR="00AC56D6" w:rsidRDefault="00AC56D6" w:rsidP="00AC56D6">
      <w:pPr>
        <w:pStyle w:val="TextoNormal"/>
      </w:pPr>
    </w:p>
    <w:p w:rsidR="00AC56D6" w:rsidRDefault="00AC56D6" w:rsidP="00AC56D6">
      <w:pPr>
        <w:pStyle w:val="TextoNormal"/>
      </w:pPr>
      <w:r>
        <w:t>“Este nuevo marco regulatorio da una respuesta global al relevante cambio de las circunstancias experimentado en los últimos años, en términos que obedecen a motivos más que justificados. Las inversiones en estas tecnologías siguen estando protegidas y se ven debidamente fomentadas en España por este nuevo marco normativo que, sin duda, es en su conjunto favorable para todas ellas, entre otras razones, por consagrar el criterio de revisión de los parámetros retributivos cada seis años a fin de mantener el principio de rentabilidad razonable establecido legalmente. De este modo, se trata de consolidar la continua adaptación que la regulación ha experimentado para mantener esta rentabilidad razonable mediante un sistema previsible y sometido a concreción temporal.”</w:t>
      </w:r>
    </w:p>
    <w:p w:rsidR="00AC56D6" w:rsidRDefault="00AC56D6" w:rsidP="00AC56D6">
      <w:pPr>
        <w:pStyle w:val="TextoNormal"/>
      </w:pPr>
    </w:p>
    <w:p w:rsidR="00AC56D6" w:rsidRDefault="00AC56D6" w:rsidP="00AC56D6">
      <w:pPr>
        <w:pStyle w:val="TextoNormal"/>
      </w:pPr>
      <w:r>
        <w:lastRenderedPageBreak/>
        <w:t>Finalmente, el apartado VII del preámbulo alude al presupuesto habilitante, con un párrafo común aplicable a la totalidad del Real Decreto-ley 9/2013, en el que señala: “[E]n la adopción de conjunto de medidas que a continuación se aprueban concurren las exigencias de extraordinaria y urgente necesidad requeridas por el art. 86 de la Constitución Española de 27 de diciembre de 1978. Extraordinaria y urgente necesidad derivada de las razones ya mencionadas de protección a los consumidores en un contexto de crisis económica y garantía de la sostenibilidad económica del sistema eléctrico, y cuya vigencia inmediata es imprescindible para que la modificación normativa pueda tener la eficacia que se pretende”.</w:t>
      </w:r>
    </w:p>
    <w:p w:rsidR="00AC56D6" w:rsidRDefault="00AC56D6" w:rsidP="00AC56D6">
      <w:pPr>
        <w:pStyle w:val="TextoNormal"/>
      </w:pPr>
    </w:p>
    <w:p w:rsidR="00AC56D6" w:rsidRDefault="00AC56D6" w:rsidP="00AC56D6">
      <w:pPr>
        <w:pStyle w:val="TextoNormal"/>
      </w:pPr>
      <w:r>
        <w:t>En el debate de convalidación (“Diario de Sesiones del Congreso de los Diputados”, Pleno y Diputación Permanente, núm. 130, de 17 de julio de 2013), el Sr. Ministro de Industria, Energía y Turismo pone el acento en la necesidad de establecer un marco normativo que garantice la estabilidad financiera del sistema eléctrico, con carácter definitivo; una reducción significativa de los costes del sistema a través de medidas regulatorias; y el suministro al menor coste posible para el consumidor, fomentando la competencia y la capacidad de elección del mismo. Concluye su exposición afirmando —en relación al conjunto de medidas adoptadas por el Real Decreto-ley—, que “con esta reforma se ataja de forma definitiva un problema que se arrastra desde el año 2004 y se procede a eliminar el déficit de tarifa que actualmente todavía —a pesar de las medidas adoptadas— está en 4.500 millones de euros … Con esta reforma se impide que pueda volverse a repetir en el futuro una situación de fuerte desequilibrio financiero como el actual, con efectos tan nocivos para la economía… Se consigue también reducir considerablemente los costes de las actividades reguladas del sistema, garantizando una retribución adecuada a las empresas y se consigue establecer un marco regulatorio homogéneo, transparente y estable que introduce certidumbre en el sector y confianza en los inversores”.</w:t>
      </w:r>
    </w:p>
    <w:p w:rsidR="00AC56D6" w:rsidRDefault="00AC56D6" w:rsidP="00AC56D6">
      <w:pPr>
        <w:pStyle w:val="TextoNormal"/>
      </w:pPr>
    </w:p>
    <w:p w:rsidR="00AC56D6" w:rsidRDefault="00AC56D6" w:rsidP="00AC56D6">
      <w:pPr>
        <w:pStyle w:val="TextoNormal"/>
      </w:pPr>
      <w:r w:rsidRPr="00AC56D6">
        <w:rPr>
          <w:rStyle w:val="NumeroAFNegritaCaracter"/>
        </w:rPr>
        <w:t>5</w:t>
      </w:r>
      <w:r>
        <w:t>. De lo transcrito cabe deducir que la situación de urgencia que la norma impugnada pretende atender cuenta con una justificación general, aplicable al conjunto de reformas introducidas por el Real Decreto-ley 9/2013, conforme a la cual, las razones que motivaron la aprobación de esta norma de urgencia derivan de la evolución expansiva de los costes del sistema eléctrico, unida a las consecuencias de la crisis económica y a la necesidad de cumplimiento de los objetivos de déficit para el año 2014, que determinan la necesidad de adopción de una serie de medidas dirigidas a garantizar la estabilidad financiera del sistema eléctrico, mediante una revisión de su marco regulatorio. Es pues, la situación de crisis económica que ha repercutido en una caída imprevista de la demanda de energía eléctrica, junto con el incremento general de costes, la que ha provocado un aumento imprevisto del déficit tarifario, lo que justifica la adopción de las medidas contempladas en la norma que se examina.</w:t>
      </w:r>
    </w:p>
    <w:p w:rsidR="00AC56D6" w:rsidRDefault="00AC56D6" w:rsidP="00AC56D6">
      <w:pPr>
        <w:pStyle w:val="TextoNormal"/>
      </w:pPr>
    </w:p>
    <w:p w:rsidR="00AC56D6" w:rsidRDefault="00AC56D6" w:rsidP="00AC56D6">
      <w:pPr>
        <w:pStyle w:val="TextoNormal"/>
      </w:pPr>
      <w:r>
        <w:t xml:space="preserve">En relación a esta justificación de carácter general, resultan de aplicación al presente supuesto las consideraciones recogidas en la STC 96/2014, FJ 7, donde afirmamos que “este Tribunal ha reconocido, con la perspectiva del art. 86.1 CE, la relevancia de la ordenación de los procesos que se desarrollan en el sector energético (SSTC 170/2012, de 2 de octubre, FJ 6; 233/2012, de 13 de diciembre, FJ 2, y 39/2013, de 14 de febrero). Así, en la STC 39/2013, de 14 de febrero, FJ 8, señalábamos con relación a la concurrencia del presupuesto habilitante para la utilización de un Real Decreto-ley que la importancia del sector energético para el desarrollo de la actividad económica en general determina que su ordenación, introduciendo reformas en el mismo a fin de mejorar el funcionamiento de los distintos </w:t>
      </w:r>
      <w:r>
        <w:lastRenderedPageBreak/>
        <w:t>subsectores que lo integran, sea susceptible de constituir una necesidad cuya valoración entra dentro del ámbito de atribuciones que corresponde al Gobierno, al que corresponde apreciar cuál es el momento o la coyuntura económica más apropiada para adoptar sus decisiones, en este caso dirigidas a introducir un mayor grado de liberalización … circunstancia que puede hacer necesaria la aprobación de disposiciones legislativas provisionales y de eficacia inmediata como las contenidas en un decreto-ley, excluyendo que se trate de un uso abusivo o arbitrario de dicha facultad” (STC 170/2012, FJ 6).</w:t>
      </w:r>
    </w:p>
    <w:p w:rsidR="00AC56D6" w:rsidRDefault="00AC56D6" w:rsidP="00AC56D6">
      <w:pPr>
        <w:pStyle w:val="TextoNormal"/>
      </w:pPr>
    </w:p>
    <w:p w:rsidR="00AC56D6" w:rsidRDefault="00AC56D6" w:rsidP="00AC56D6">
      <w:pPr>
        <w:pStyle w:val="TextoNormal"/>
      </w:pPr>
      <w:r>
        <w:t>En lo que respecta al examen del presupuesto habilitante de la extraordinaria y urgente necesidad, en relación con los concretos preceptos que son objeto del presente recurso de inconstitucionalidad, el argumento que sustenta las modificaciones introducidas viene a ser coincidente con el de carácter general, si bien se singulariza en el hecho de que, entre las partidas de costes que han contribuido en mayor medida al incremento del déficit tarifario destacan las primas del régimen especial y las anualidades de déficits acumulados, partidas que se han multiplicado por seis y por nueve respectivamente entre 2004 y 2012. En concreto, en el período 2013 se alude a la concurrencia de unas condiciones meteorológicas atípicas que han ocasionado, por un lado el hundimiento del precio del mercado diario hasta un nivel mínimo, y el incremento de las horas de funcionamiento de determinadas tecnologías con derecho a régimen económico primado, lo que ha determinado una notable desviación al alza del sobrecoste del régimen especial, como consecuencia de los menores precios de mercado registrados; a ello se añade que la difícil situación presupuestaria no permite dotar, en su totalidad, este extracoste, sin comprometer el cumplimiento de los objetivos de déficit para el ejercicio 2014. Sobre esta base, el nuevo régimen jurídico y económico para las instalaciones de producción de energía eléctrica existentes a partir de fuentes de energía renovable, cogeneración y residuos, se basa en la percepción de los ingresos derivados de la participación en el mercado, con una retribución específica que permita la cobertura de los costes adicionales de estas instalaciones respecto de las del resto de tecnologías en el mercado, y les permita competir en el mercado en nivel de igualdad con el resto de las tecnologías y obtener una rentabilidad razonable.</w:t>
      </w:r>
    </w:p>
    <w:p w:rsidR="00AC56D6" w:rsidRDefault="00AC56D6" w:rsidP="00AC56D6">
      <w:pPr>
        <w:pStyle w:val="TextoNormal"/>
      </w:pPr>
    </w:p>
    <w:p w:rsidR="00AC56D6" w:rsidRDefault="00AC56D6" w:rsidP="00AC56D6">
      <w:pPr>
        <w:pStyle w:val="TextoNormal"/>
      </w:pPr>
      <w:r>
        <w:t>También en este caso cabe apreciar –acudiendo a los parámetros de nuestra doctrina– la existencia de una justificación suficiente, en los términos señalados en la STC 183/2014, FJ 6 donde consideramos que: “la situación a la que debían hacer frente las medidas aquí impugnadas era la desviación de los costes del sistema eléctrico provocado por diversos factores (sobrecoste de las primas del régimen especial, consignación de costes de los sistemas eléctricos extrapeninsulares e incremento del déficit por el descenso en la demanda de electricidad) que aparecen explicitados en la exposición de motivos o en el debate parlamentario de convalidación. Factores cuya conjunción había llevado a incurrir en un déficit mayor al previsto inicialmente por el Gobierno. Así, podemos considerar que, sin entrar en el juicio político que este Tribunal tiene vedado, se ha cumplido por el Gobierno la exigencia de explicitar y razonar la existencia de una situación de extraordinaria y urgente necesidad, sin que pueda admitirse la genérica alegación [de la Letrada de la Junta de Andalucía] respecto a que la existencia del déficit tarifario del sector eléctrico no podía, al no ser un hecho nuevo, fundamentar el dictado de los preceptos cuestionados del Real Decreto-ley 2/2013”.</w:t>
      </w:r>
    </w:p>
    <w:p w:rsidR="00AC56D6" w:rsidRDefault="00AC56D6" w:rsidP="00AC56D6">
      <w:pPr>
        <w:pStyle w:val="TextoNormal"/>
      </w:pPr>
    </w:p>
    <w:p w:rsidR="00AC56D6" w:rsidRDefault="00AC56D6" w:rsidP="00AC56D6">
      <w:pPr>
        <w:pStyle w:val="TextoNormal"/>
      </w:pPr>
      <w:r>
        <w:t xml:space="preserve">Por lo demás —como también señalamos en la citada Sentencia—, “es evidente que las medidas propuestas, en cuanto persiguen un ajuste de los costes en el sector eléctrico, guardan la necesaria conexión entre la situación de extraordinaria y urgente necesidad descrita, </w:t>
      </w:r>
      <w:r>
        <w:lastRenderedPageBreak/>
        <w:t>y las medidas adoptadas para hacerle frente”. Además, las medidas previstas modifican de modo inmediato la situación jurídica existente, en cuanto que el nuevo sistema retributivo que la norma inicia, si bien requiere el necesario desarrollo reglamentario, es aplicable desde el momento de la entrada en vigor del Real Decreto-ley 9/2013. Efectivamente, éste establece la aplicación transitoria del régimen retributivo anterior, ahora con el carácter de pagos a cuenta, que se liquidarán definitivamente en el momento en que se apruebe el aludido desarrollo reglamentario. Procede, por tanto, desestimar el recurso en este punto.</w:t>
      </w:r>
    </w:p>
    <w:p w:rsidR="00AC56D6" w:rsidRDefault="00AC56D6" w:rsidP="00AC56D6">
      <w:pPr>
        <w:pStyle w:val="TextoNormal"/>
      </w:pPr>
    </w:p>
    <w:p w:rsidR="00AC56D6" w:rsidRDefault="00AC56D6" w:rsidP="00AC56D6">
      <w:pPr>
        <w:pStyle w:val="TextoNormal"/>
      </w:pPr>
      <w:r w:rsidRPr="00AC56D6">
        <w:rPr>
          <w:rStyle w:val="NumeroAFNegritaCaracter"/>
        </w:rPr>
        <w:t>6</w:t>
      </w:r>
      <w:r>
        <w:t>. Entrando a continuación en el examen de los argumentos de fondo, los recurrentes alegan en primer término la vulneración del principio de jerarquía normativa y de sometimiento de los poderes públicos a la Constitución y al ordenamiento jurídico (art. 9.1 y 3 CE), en la medida en que los preceptos impugnados contravendrían lo dispuesto en los arts. 10 y 13 del Tratado sobre la Carta de la Energía, hecho en Lisboa el 17 de diciembre de 1994 y que, una vez ratificado por España y publicado en el Boletín Oficial del Estado, forma parte de nuestro ordenamiento jurídico interno.</w:t>
      </w:r>
    </w:p>
    <w:p w:rsidR="00AC56D6" w:rsidRDefault="00AC56D6" w:rsidP="00AC56D6">
      <w:pPr>
        <w:pStyle w:val="TextoNormal"/>
      </w:pPr>
    </w:p>
    <w:p w:rsidR="00AC56D6" w:rsidRDefault="00AC56D6" w:rsidP="00AC56D6">
      <w:pPr>
        <w:pStyle w:val="TextoNormal"/>
      </w:pPr>
      <w:r>
        <w:t>Los argumentos expuestos no pueden ser aceptados.</w:t>
      </w:r>
    </w:p>
    <w:p w:rsidR="00AC56D6" w:rsidRDefault="00AC56D6" w:rsidP="00AC56D6">
      <w:pPr>
        <w:pStyle w:val="TextoNormal"/>
      </w:pPr>
    </w:p>
    <w:p w:rsidR="00AC56D6" w:rsidRDefault="00AC56D6" w:rsidP="00AC56D6">
      <w:pPr>
        <w:pStyle w:val="TextoNormal"/>
      </w:pPr>
      <w:r>
        <w:t xml:space="preserve">En primer lugar, procede advertir que este Tribunal ha declarado reiteradamente que los tratados internacionales no constituyen por sí mismos parámetro de contraste para valorar la posible inconstitucionalidad de las leyes, pues “la supuesta contradicción de los tratados por las leyes o por otras disposiciones normativas posteriores no es cuestión que afecte a la constitucionalidad de éstas y que, por tanto, deba ser resuelto por el Tribunal Constitucional (STC 49/1988, fundamento jurídico 14 </w:t>
      </w:r>
      <w:r w:rsidRPr="00AC56D6">
        <w:rPr>
          <w:i/>
        </w:rPr>
        <w:t>in fine</w:t>
      </w:r>
      <w:r>
        <w:t>), sino que como puro problema de selección del derecho aplicable al caso concreto, su resolución corresponde a los órganos judiciales en los litigios de que conozcan” (SSTC 28/1991, de 14 de febrero, FJ 5, y 207/2013, de 5 de diciembre, FJ 4). En suma, “no corresponde a este Tribunal determinar la compatibilidad o no de un precepto legal con un tratado internacional, ni éstos pueden erigirse en normas fundamentales y criterios de constitucionalidad” (STC 142/1993, de 22 de abril, FJ 3).</w:t>
      </w:r>
    </w:p>
    <w:p w:rsidR="00AC56D6" w:rsidRDefault="00AC56D6" w:rsidP="00AC56D6">
      <w:pPr>
        <w:pStyle w:val="TextoNormal"/>
      </w:pPr>
    </w:p>
    <w:p w:rsidR="00AC56D6" w:rsidRDefault="00AC56D6" w:rsidP="00AC56D6">
      <w:pPr>
        <w:pStyle w:val="TextoNormal"/>
      </w:pPr>
      <w:r>
        <w:t>En ese sentido tampoco la incorporación de un tratado al ordenamiento jurídico interno, tras su ratificación y publicación oficial, determina —como pretenden los recurrentes—, la supuesta vulneración del principio de jerarquía normativa, puesto que la “garantía de la jerarquía normativa proscribe que una norma de rango inferior contravenga lo dispuesto en una de rango superior. Sin embargo, si el criterio de enjuiciamiento en un proceso de constitucionalidad viene proporcionado por la Constitución y, eventualmente, por las normas que integran el bloque de constitucionalidad, dado que, por definición, en todo recurso de inconstitucionalidad subyace un problema de jerarquía normativa, resulta que tal jerarquía no es un canon idóneo para esta labor. La apreciación de contradicción entre un texto legal y la Constitución no entraña una mera transgresión por norma de rango inferior de lo establecido en otra de rango superior, sino pura y simplemente, la inconstitucionalidad de la norma con rango de ley” (SSTC 91/1998, de 23 de abril, FJ 2, y 198/2012, de 26 de noviembre, FJ 2).</w:t>
      </w:r>
    </w:p>
    <w:p w:rsidR="00AC56D6" w:rsidRDefault="00AC56D6" w:rsidP="00AC56D6">
      <w:pPr>
        <w:pStyle w:val="TextoNormal"/>
      </w:pPr>
    </w:p>
    <w:p w:rsidR="00AC56D6" w:rsidRDefault="00AC56D6" w:rsidP="00AC56D6">
      <w:pPr>
        <w:pStyle w:val="TextoNormal"/>
      </w:pPr>
      <w:r>
        <w:t xml:space="preserve">Si bien es cierto que la Carta de la energía contempla la necesidad de dotar de seguridad y permanencia a las inversiones en energías renovables y la prohibición de adoptar medidas que afecten a dichas inversiones con efectos equivalentes a la expropiación, lo que el recurrente pretende plantear en realidad es una cuestión relacionada con el sistema de fuentes, </w:t>
      </w:r>
      <w:r>
        <w:lastRenderedPageBreak/>
        <w:t>en particular con el principio de jerarquía normativa. En modo alguno se argumenta sobre el fondo del asunto, esto es, de qué forma las normas que cuestiona contravendrían las reglas del Tratado y, sobre todo, cuáles serían las consecuencias de dicha contravención, a efectos de su enjuiciamiento en sede constitucional. Por eso no se ha levantado la carga alegatoria que pesa sobre quien pretende la declaración de inconstitucionalidad de una norma con rango de ley, pues el recurso carece en este punto de la mínima fundamentación que permita a este Tribunal inferir las razones por las que el recurrente considera que la norma legal impugnada infringe la Constitución. La demanda se limita a hacer referencia al contenido de los arts. 10 y 13 del Tratado sobre la carta de la energía, afirmando posteriormente que “el Estado español, con la aprobación del Real Decreto-ley 9/2013, ha incumplido sus obligaciones contraídas con inversores extranjeros…”, decisión que, a su entender, implica un incumplimiento del mencionado Tratado que comportaría como consecuencia la infracción de los principios de jerarquía normativa y de seguridad jurídica. Esa infracción aparece únicamente mencionada, ya que la afirmación del recurrente no viene acompañada de la necesaria argumentación específica que permita conocer las razones por las cuales entienden que las disposiciones cuestionadas vulneran el orden constitucional, sin que esta insuficiencia deba ser salvada por este Tribunal.</w:t>
      </w:r>
    </w:p>
    <w:p w:rsidR="00AC56D6" w:rsidRDefault="00AC56D6" w:rsidP="00AC56D6">
      <w:pPr>
        <w:pStyle w:val="TextoNormal"/>
      </w:pPr>
    </w:p>
    <w:p w:rsidR="00AC56D6" w:rsidRDefault="00AC56D6" w:rsidP="00AC56D6">
      <w:pPr>
        <w:pStyle w:val="TextoNormal"/>
      </w:pPr>
      <w:r w:rsidRPr="00AC56D6">
        <w:rPr>
          <w:rStyle w:val="NumeroAFNegritaCaracter"/>
        </w:rPr>
        <w:t>7</w:t>
      </w:r>
      <w:r>
        <w:t>. Finalmente, se alega la vulneración de los principios de seguridad jurídica y confianza legítima, así como el de irretroactividad de las disposiciones sancionadoras no favorables o restrictivas de derechos individuales (art. 9.3 CE).</w:t>
      </w:r>
    </w:p>
    <w:p w:rsidR="00AC56D6" w:rsidRDefault="00AC56D6" w:rsidP="00AC56D6">
      <w:pPr>
        <w:pStyle w:val="TextoNormal"/>
      </w:pPr>
    </w:p>
    <w:p w:rsidR="00AC56D6" w:rsidRDefault="00AC56D6" w:rsidP="00AC56D6">
      <w:pPr>
        <w:pStyle w:val="TextoNormal"/>
      </w:pPr>
      <w:r>
        <w:t>Sobre este particular es necesario precisar, en primer lugar, que los principios constitucionales invocados por los recurrentes (irretroactividad, seguridad jurídica, interdicción de arbitrariedad) como los otros que integran el art. 9.3 de la Constitución —legalidad, jerarquía normativa, responsabilidad— no son compartimentos estancos, sino que, al contrario, cada uno de ellos cobra valor en función de los demás y en tanto sirva para promover los valores superiores del ordenamiento jurídico que propugna el Estado social y democrático de derecho (STC 104/2000, de 13 de abril, FJ 6).</w:t>
      </w:r>
    </w:p>
    <w:p w:rsidR="00AC56D6" w:rsidRDefault="00AC56D6" w:rsidP="00AC56D6">
      <w:pPr>
        <w:pStyle w:val="TextoNormal"/>
      </w:pPr>
    </w:p>
    <w:p w:rsidR="00AC56D6" w:rsidRDefault="00AC56D6" w:rsidP="00AC56D6">
      <w:pPr>
        <w:pStyle w:val="TextoNormal"/>
      </w:pPr>
      <w:r>
        <w:t>a) El principio de seguridad jurídica, entendido como la certeza sobre el ordenamiento jurídico aplicable, la ausencia de confusión normativa y la previsibilidad en la aplicación de derecho, no resulta afectado por los preceptos que son objeto del presente recurso de inconstitucionalidad, ni se justifica en el texto de la demanda en qué medida tales preceptos pueden generar confusión o incertidumbre en su aplicación. No estamos ante una norma incierta o falta de la indispensable claridad, pues cuenta con un contenido preciso y unos efectos perfectamente determinados.</w:t>
      </w:r>
    </w:p>
    <w:p w:rsidR="00AC56D6" w:rsidRDefault="00AC56D6" w:rsidP="00AC56D6">
      <w:pPr>
        <w:pStyle w:val="TextoNormal"/>
      </w:pPr>
    </w:p>
    <w:p w:rsidR="00AC56D6" w:rsidRDefault="00AC56D6" w:rsidP="00AC56D6">
      <w:pPr>
        <w:pStyle w:val="TextoNormal"/>
      </w:pPr>
      <w:r>
        <w:t>El respeto de dicho principio, y su corolario, el principio de confianza legítima, es compatible con las modificaciones en el régimen retributivo de las energías renovables realizado por el Real Decreto-ley 9/2013, más aún —como sucede en el presente caso—, en un ámbito sujeto a un elevada intervención administrativa en virtud de su incidencia en intereses generales, y a un complejo sistema regulatorio que hace inviable la pretensión de que los elementos más favorables estén investidos de permanencia o inalterabilidad frente al ejercicio de una potestad legislativa que obliga a los poderes públicos a la adaptación de dicha regulación a una cambiante realidad económica.</w:t>
      </w:r>
    </w:p>
    <w:p w:rsidR="00AC56D6" w:rsidRDefault="00AC56D6" w:rsidP="00AC56D6">
      <w:pPr>
        <w:pStyle w:val="TextoNormal"/>
      </w:pPr>
    </w:p>
    <w:p w:rsidR="00AC56D6" w:rsidRDefault="00AC56D6" w:rsidP="00AC56D6">
      <w:pPr>
        <w:pStyle w:val="TextoNormal"/>
      </w:pPr>
      <w:r>
        <w:lastRenderedPageBreak/>
        <w:t>Los cambios legislativos producidos no pueden ser cuestionados desde la óptica del principio de confianza legítima. Este principio no protege de modo absoluto la estabilidad regulatoria, ni la inmutabilidad de las normas precedentes, máxime en el contexto en que se promulgó el Real Decreto-ley que ahora se enjuicia, es decir, de dificultades económicas y de crecimiento del déficit del sistema eléctrico. Los principios de seguridad jurídica y su corolario, el de confianza legítima, no suponen el derecho de los actores económicos a la permanencia de la regulación existente en un momento dado en un determinado sector de actividad. Dicha estabilidad regulatoria es compatible con cambios legislativos, cuando sean previsibles y derivados de exigencias claras del interés general.</w:t>
      </w:r>
    </w:p>
    <w:p w:rsidR="00AC56D6" w:rsidRDefault="00AC56D6" w:rsidP="00AC56D6">
      <w:pPr>
        <w:pStyle w:val="TextoNormal"/>
      </w:pPr>
    </w:p>
    <w:p w:rsidR="00AC56D6" w:rsidRDefault="00AC56D6" w:rsidP="00AC56D6">
      <w:pPr>
        <w:pStyle w:val="TextoNormal"/>
      </w:pPr>
      <w:r>
        <w:t>A este respecto, las medidas cuestionadas implican, ciertamente, una modificación respecto del régimen anterior, decisión que el legislador de urgencia adopta a la vista de la situación en la que se encontraba el sistema eléctrico. No cabe calificar de inesperada la modificación producida, pues la evolución de las circunstancias que afectaban a dicho sector de la economía, hacían necesario acometer ajustes de este marco normativo, como efecto de las difíciles circunstancias del sector en su conjunto y la necesidad de asegurar el necesario equilibrio económico y la adecuada gestión del sistema. No cabe, por tanto, argumentar que la modificación del régimen retributivo que se examina fuera imprevisible para un “operador económico prudente y diligente”, atendiendo a las circunstancias económicas y a la insuficiencia de las medidas adoptadas para reducir un déficit persistente y continuamente al alza del sistema eléctrico no suficientemente atajado con disposiciones anteriores.</w:t>
      </w:r>
    </w:p>
    <w:p w:rsidR="00AC56D6" w:rsidRDefault="00AC56D6" w:rsidP="00AC56D6">
      <w:pPr>
        <w:pStyle w:val="TextoNormal"/>
      </w:pPr>
    </w:p>
    <w:p w:rsidR="00AC56D6" w:rsidRDefault="00AC56D6" w:rsidP="00AC56D6">
      <w:pPr>
        <w:pStyle w:val="TextoNormal"/>
      </w:pPr>
      <w:r>
        <w:t>El preámbulo del Real Decreto-ley determina que su objeto es evitar la “sobre-retribución” de determinadas instalaciones de régimen especial, sin que los principios invocados por los recurrentes —seguridad jurídica y confianza legítima— puedan constituir un obstáculo insalvable para que el titular de la potestad legislativa pueda introducir medidas de carácter general que impliquen una alteración de determinados aspectos del régimen retributivo anterior. Estamos pues ante una norma clara, que no genera duda sobre sus efectos, los presupuestos de hecho a los que se aplica o sus consecuencias jurídicas, por lo que, ni desde una vertiente objetiva ni desde una subjetiva genera incertidumbre sobre su alcance. En una situación de crisis económica generalizada, modificaciones análogas a la presente han sido llevadas a cabo en éste y en otros sectores económicos, que, además, están sometidos a una intervención administrativa más intensa, dada su incidencia en los intereses generales, como lo es la actividad de producción de energía eléctrica. Ello hace particularmente inviable la pretensión de que los elementos más favorables de su régimen económico estén investidos de una pretensión de permanencia e inalterabilidad en el tiempo, pues es precisamente la protección de esos intereses generales la premisa que obliga a los poderes públicos a adaptar su regulación al cambio de las circunstancias.</w:t>
      </w:r>
    </w:p>
    <w:p w:rsidR="00AC56D6" w:rsidRDefault="00AC56D6" w:rsidP="00AC56D6">
      <w:pPr>
        <w:pStyle w:val="TextoNormal"/>
      </w:pPr>
    </w:p>
    <w:p w:rsidR="00AC56D6" w:rsidRDefault="00AC56D6" w:rsidP="00AC56D6">
      <w:pPr>
        <w:pStyle w:val="TextoNormal"/>
      </w:pPr>
      <w:r>
        <w:t xml:space="preserve">En palabras de este Tribunal, los principios de seguridad jurídica y confianza legítima no “permiten consagrar un pretendido derecho a la congelación del ordenamiento jurídico existente (SSTC 182/1997, de 28 de octubre, FJ 13, y 183/2014, de 6 de noviembre, FJ 3) ni, evidentemente pueden impedir la introducción de modificaciones legislativas repentinas, máxime cuando lo hace el legislador de urgencia (STC 237/2012, de 13 de diciembre, FJ 6). En estos casos, es precisamente la perentoriedad de la reacción legislativa —cuya concurrencia en este caso ya ha sido examinada— la que abre la puerta a la injerencia del gobierno en la legislación vigente, al amparo del art. 86.1 CE” (STC 81/2015, de 30 de abril, FJ 8). No sería coherente con el carácter dinámico del ordenamiento jurídico y con nuestra </w:t>
      </w:r>
      <w:r>
        <w:lastRenderedPageBreak/>
        <w:t>doctrina constante acerca de que la realización del principio de seguridad jurídica, aquí en su vertiente de protección de la confianza legítima, no puede dar lugar a la congelación o petrificación de ese mismo ordenamiento (por todas, STC 183/2014, FJ 3), por lo que no cabe sino concluir que la regulación impugnada se enmarca en el margen de configuración del legislador, que tiene plena libertad para elegir entre las distintas opciones posibles, dentro de la Constitución.</w:t>
      </w:r>
    </w:p>
    <w:p w:rsidR="00AC56D6" w:rsidRDefault="00AC56D6" w:rsidP="00AC56D6">
      <w:pPr>
        <w:pStyle w:val="TextoNormal"/>
      </w:pPr>
    </w:p>
    <w:p w:rsidR="00AC56D6" w:rsidRDefault="00AC56D6" w:rsidP="00AC56D6">
      <w:pPr>
        <w:pStyle w:val="TextoNormal"/>
      </w:pPr>
      <w:r>
        <w:t xml:space="preserve">b) El reproche formulado por la Comunidad Autónoma recurrente se extiende asimismo a la utilización, que califica como arbitraria, de conceptos jurídicos indeterminados, en concreto, los de “rentabilidad razonable” y de “empresa eficiente o bien gestionada”, que constituyen la premisa para la aplicación de la prevista retribución adicional por costes de inversión. Dicha queja tampoco resulta atendible, pues la propia norma, tanto en el art. 1.2, como en la disposición adicional primera, lleva a cabo una determinación objetiva de dichos conceptos, con arreglo a determinados parámetros, que expresamente se enumeran. </w:t>
      </w:r>
      <w:r>
        <w:tab/>
        <w:t>El establecimiento de unos criterios legales explícitos y objetivos, que permiten una determinación material suficiente de los criterios utilizados por la norma, hacen que pueda excluirse en este caso la pretendida apelación a los llamados conceptos jurídicos indeterminados (lo que de suyo no es contrario a la Constitución, como ya afirmamos en la STC 292/2000, FJ 2), y que proceda estimar que se ha satisfecho el requisito de certidumbre de la norma que excluye su excesiva indeterminación o apertura, haciendo que sea factible a sus destinatarios conocer en cada caso la interpretación que el legislador hace de tales principios y el significado y las consecuencias que los mismos han de tener en la fase aplicativa, razones todas ellas que determinan que no se haya producido la vulneración del principio de interdicción de arbitrariedad, contemplado en el art. 9.3 CE.</w:t>
      </w:r>
    </w:p>
    <w:p w:rsidR="00AC56D6" w:rsidRDefault="00AC56D6" w:rsidP="00AC56D6">
      <w:pPr>
        <w:pStyle w:val="TextoNormal"/>
      </w:pPr>
    </w:p>
    <w:p w:rsidR="00AC56D6" w:rsidRDefault="00AC56D6" w:rsidP="00AC56D6">
      <w:pPr>
        <w:pStyle w:val="TextoNormal"/>
      </w:pPr>
      <w:r>
        <w:t>c) Se alega, por último, que la regulación impugnada se limita a establecer los principios del nuevo régimen retributivo de producción de energía eléctrica en régimen especial, cuya concreción se deriva a un ulterior desarrollo reglamentario, disponiéndose expresamente que el real decreto de desarrollo será aplicable desde la fecha de entrada en vigor del presente Real Decreto-ley, lo que implicaría el establecimiento de una retroactividad incompatible con lo dispuesto en el art. 9.3 CE.</w:t>
      </w:r>
    </w:p>
    <w:p w:rsidR="00AC56D6" w:rsidRDefault="00AC56D6" w:rsidP="00AC56D6">
      <w:pPr>
        <w:pStyle w:val="TextoNormal"/>
      </w:pPr>
    </w:p>
    <w:p w:rsidR="00AC56D6" w:rsidRDefault="00AC56D6" w:rsidP="00AC56D6">
      <w:pPr>
        <w:pStyle w:val="TextoNormal"/>
      </w:pPr>
      <w:r>
        <w:t>Conviene precisar a este respecto que, como ya se avanzó, el Real Decreto-ley 9/2013, viene a establecer un nuevo régimen retributivo para determinadas instalaciones de producción de energía eléctrica; deroga expresamente el Real Decreto 661/2007, de 25 de mayo, por el que se regula la actividad de producción de energía eléctrica en régimen especial, así como el Real Decreto 1578/2008, de 26 de septiembre, de retribución de la actividad de producción de energía eléctrica mediante tecnología solar fotovoltaica. Pero, el nuevo sistema retributivo, iniciado por el Real Decreto-ley 9/2013 y asumido por la Ley 24/2013, requiere el necesario desarrollo reglamentario para la aplicación efectiva de dicho régimen retributivo a cada una de las instalaciones de producción de energía eléctrica, y, para resolver la situación de vacío reglamentario provocado por la derogación de los anteriores reglamentos, la disposición transitoria tercera del mismo, dispone que temporalmente serán de aplicación los derogados Reales Decretos 661/2007 y1578/2008, con carácter transitorio, hasta la aprobación de las disposiciones necesarias para la plena aplicación del nuevo régimen retributivo.</w:t>
      </w:r>
    </w:p>
    <w:p w:rsidR="00AC56D6" w:rsidRDefault="00AC56D6" w:rsidP="00AC56D6">
      <w:pPr>
        <w:pStyle w:val="TextoNormal"/>
      </w:pPr>
    </w:p>
    <w:p w:rsidR="00AC56D6" w:rsidRDefault="00AC56D6" w:rsidP="00AC56D6">
      <w:pPr>
        <w:pStyle w:val="TextoNormal"/>
      </w:pPr>
      <w:r>
        <w:lastRenderedPageBreak/>
        <w:t>El desarrollo reglamentario de este nuevo régimen retributivo, previsto en la disposición final segunda del Real Decreto-ley 9/2013 y reiterado en la disposición final tercera de la Ley 24/2013, de 26 de diciembre, del Sector eléctrico, se ha llevado a cabo a través del Real Decreto 413/2014, de 6 de junio, por el que se regula la actividad de producción de energía eléctrica a partir de fuentes de energía renovables, cogeneración y residuos, y con ello ha cesado la aplicación del régimen transitorio previsto en la disposición transitoria tercera. Como ya afirmamos en las SSTC 96/2014, FJ 3 c) y 183/2014, FJ 2, “lo sucedido durante estos meses es que las instalaciones existentes han recibido los pagos procedentes de ´liquidaciones a cuenta´ del nuevo sistema, emitidas al amparo de ese régimen transitorio. Este fue previsto al objeto de mantener los flujos retributivos de las instalaciones, evitando los perjuicios que hubiera causado la demora en el desarrollo reglamentario. Una vez aprobadas las disposiciones normativas necesarias para la aplicación definitiva del nuevo régimen retributivo, se procederá a practicar una regularización correspondiente por los derechos de cobro o en su caso las obligaciones de pago resultantes de la aplicación del vigente sistema retributivo, con efectos desde la entrada en vigor del Real Decreto-ley 9/2013, de 12 de julio, tal y como establece su disposición final segunda”.</w:t>
      </w:r>
    </w:p>
    <w:p w:rsidR="00AC56D6" w:rsidRDefault="00AC56D6" w:rsidP="00AC56D6">
      <w:pPr>
        <w:pStyle w:val="TextoNormal"/>
      </w:pPr>
    </w:p>
    <w:p w:rsidR="00AC56D6" w:rsidRDefault="00AC56D6" w:rsidP="00AC56D6">
      <w:pPr>
        <w:pStyle w:val="TextoNormal"/>
      </w:pPr>
      <w:r>
        <w:t>En definitiva, el Real Decreto-ley 9/2013 entró en vigor al día siguiente de su publicación en el “Boletín Oficial del Estado” (tal y como establece su disposición final décima), pero sus efectos, en lo relativo a las liquidaciones derivadas del nuevo régimen retributivo, se aplican a partir de la publicación del Real Decreto 413/2014, produciéndose una disociación temporal entre la vigencia inmediata de la norma y el ámbito temporal de eficacia, que tiene un efecto retroactivo.</w:t>
      </w:r>
    </w:p>
    <w:p w:rsidR="00AC56D6" w:rsidRDefault="00AC56D6" w:rsidP="00AC56D6">
      <w:pPr>
        <w:pStyle w:val="TextoNormal"/>
      </w:pPr>
    </w:p>
    <w:p w:rsidR="00AC56D6" w:rsidRDefault="00AC56D6" w:rsidP="00AC56D6">
      <w:pPr>
        <w:pStyle w:val="TextoNormal"/>
      </w:pPr>
      <w:r>
        <w:t xml:space="preserve">Procede ahora recordar que el límite expreso de la retroactividad </w:t>
      </w:r>
      <w:r w:rsidRPr="00AC56D6">
        <w:rPr>
          <w:i/>
        </w:rPr>
        <w:t>in peius</w:t>
      </w:r>
      <w:r>
        <w:t xml:space="preserve"> de las leyes que el art. 9.3 CE garantiza, se circunscribe a las leyes </w:t>
      </w:r>
      <w:r w:rsidRPr="00AC56D6">
        <w:rPr>
          <w:i/>
        </w:rPr>
        <w:t>ex post facto</w:t>
      </w:r>
      <w:r>
        <w:t xml:space="preserve"> sancionadoras o restrictivas de derechos individuales. Fuera de estos dos ámbitos, nada impide al legislador dotar a la ley del grado de retroactividad que considere oportuno, ya que de lo contrario se podrían producir situaciones de congelación o petrificación del ordenamiento jurídico (STC 49/2015, de 5 de marzo, FJ 4). Como ya señalábamos desde nuestros primeros pronunciamientos (SSTC 42/1986, de 10 de abril, FJ 3, y 65/1987, de 21 de mayo, FJ 19), lo que se prohíbe en ese art. 9.3 CE es la retroactividad entendida como incidencia de la nueva ley en los efectos jurídicos ya producidos de situaciones anteriores. La irretroactividad sólo es aplicable a los derechos consolidados, asumidos e integrados en el patrimonio del sujeto y no a los pendientes, futuros, condicionados y expectativas [por todas, SSTC 99/1987, de 11 de junio, FJ 6 b), y 178/1989, de 2 de noviembre, FJ 9], de forma que sólo puede afirmarse que una norma es retroactiva a los efectos del art. 9.3 CE cuando incide sobre relaciones consagradas y afecta a situaciones agotadas [STC 99/1987, FJ 6 b)], supuesto en el que la prohibición de retroactividad operaría plenamente y solo exigencias cualificadas del bien común podrían imponerse excepcionalmente a tal principio. Por el contrario, en el caso de la retroactividad impropia, que incide en situaciones no concluidas, hay que reconocer al legislador un amplio margen de libertad, de suerte que no entran dentro del ámbito de la retroactividad prohibida las disposiciones que, carentes de efectos ablativos o peyorativos hacia el pasado, despliegan su eficacia inmediata hacia el futuro aunque ello suponga incidir en una relación o situación jurídica aún en curso.</w:t>
      </w:r>
    </w:p>
    <w:p w:rsidR="00AC56D6" w:rsidRDefault="00AC56D6" w:rsidP="00AC56D6">
      <w:pPr>
        <w:pStyle w:val="TextoNormal"/>
      </w:pPr>
    </w:p>
    <w:p w:rsidR="00AC56D6" w:rsidRDefault="00AC56D6" w:rsidP="00AC56D6">
      <w:pPr>
        <w:pStyle w:val="TextoNormal"/>
      </w:pPr>
      <w:r>
        <w:lastRenderedPageBreak/>
        <w:t xml:space="preserve">En suma, conforme a la doctrina de este Tribunal, el art. 9.3 CE no contiene una prohibición absoluta de retroactividad que conduciría a situaciones congeladoras del ordenamiento contrarias al art. 9.3 CE (STC 126/1987, de 16 de julio, FJ 11), ni impide que las leyes puedan afectar a derechos e intereses derivados de situaciones jurídicas que siguen produciendo efectos, pues no hay retroactividad proscrita cuando una norma regula </w:t>
      </w:r>
      <w:r w:rsidRPr="00AC56D6">
        <w:rPr>
          <w:i/>
        </w:rPr>
        <w:t>pro futuro</w:t>
      </w:r>
      <w:r>
        <w:t xml:space="preserve"> situaciones jurídicas creadas con anterioridad a su entrada en vigor o cuyos efectos no se han consumado, ya que el legislador puede variar ex nunc el régimen jurídico preexistente de los derechos individuales, siempre que se ajuste a las restantes exigencias de la Constitución (STC 227/1988, de 29 de noviembre, FJ 9).</w:t>
      </w:r>
    </w:p>
    <w:p w:rsidR="00AC56D6" w:rsidRDefault="00AC56D6" w:rsidP="00AC56D6">
      <w:pPr>
        <w:pStyle w:val="TextoNormal"/>
      </w:pPr>
    </w:p>
    <w:p w:rsidR="00AC56D6" w:rsidRDefault="00AC56D6" w:rsidP="00AC56D6">
      <w:pPr>
        <w:pStyle w:val="TextoNormal"/>
      </w:pPr>
      <w:r>
        <w:t>El Real Decreto-ley 9/2013 tiene una vigencia inmediata y produce efectos a partir de su entrada en vigor. Los titulares de las instalaciones de producción de energía eléctrica en régimen primado están sujetos a ese nuevo régimen retributivo desde la fecha de entrada en vigor del Real Decreto-ley 9/2013, sin perjuicio de que la cuantificación precisa de dicha retribución no se produzca hasta la aprobación de la norma reglamentaria correspondiente, y sin que dicha sujeción conlleve una afectación desfavorable a los derechos adquiridos, desde una perspectiva constitucional, esto es, no incide en derechos patrimoniales previamente consolidados e incorporados definitivamente al patrimonio del destinatario, o en situaciones jurídicas ya agotadas o consumadas.</w:t>
      </w:r>
    </w:p>
    <w:p w:rsidR="00AC56D6" w:rsidRDefault="00AC56D6" w:rsidP="00AC56D6">
      <w:pPr>
        <w:pStyle w:val="TextoNormal"/>
      </w:pPr>
    </w:p>
    <w:p w:rsidR="00AC56D6" w:rsidRDefault="00AC56D6" w:rsidP="00AC56D6">
      <w:pPr>
        <w:pStyle w:val="TextoNormal"/>
      </w:pPr>
      <w:r>
        <w:t>De este modo una medida normativa como la impugnada no entra en el ámbito de la retroactividad prohibida por el art. 9.3 CE, pues nos hallamos ante relaciones jurídicas no concluidas, cuya resistencia a la retroactividad de la ley es menor que en los supuestos de retroactividad auténtica, debiendo reconocérsele al legislador un amplio margen de libertad en la constatación de la concurrencia de circunstancias concretas y razones que pudieran ser discutibles en el debate político, pero que, desde el punto de vista constitucional, aparecen como suficientes para justificar la retroactividad impropia ante la que nos encontramos.</w:t>
      </w:r>
    </w:p>
    <w:p w:rsidR="00AC56D6" w:rsidRDefault="00AC56D6" w:rsidP="00AC56D6">
      <w:pPr>
        <w:pStyle w:val="TextoNormal"/>
      </w:pPr>
    </w:p>
    <w:p w:rsidR="00AC56D6" w:rsidRDefault="00AC56D6" w:rsidP="00AC56D6">
      <w:pPr>
        <w:pStyle w:val="TextoNormal"/>
      </w:pPr>
      <w:r>
        <w:t xml:space="preserve">No estamos, en suma, ante una norma sancionadora o restrictiva de derechos, ni ante una regulación que afecte a una situación “agotada”, consolidada, perfeccionada o patrimonializada –en los términos utilizados por nuestra jurisprudencia– que haya sido revertida </w:t>
      </w:r>
      <w:r w:rsidRPr="00AC56D6">
        <w:rPr>
          <w:i/>
        </w:rPr>
        <w:t>in peius</w:t>
      </w:r>
      <w:r>
        <w:t xml:space="preserve"> con efecto retroactivo, por lo que no concurre un supuesto de retroactividad constitucionalmente prohibida, y, en consecuencia, no se produce una vulneración del art. 9.3 CE.</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Desestimar el presente recurso de inconstitucionalidad.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diecisiete de diciembre de dos mil quince.</w:t>
      </w:r>
    </w:p>
    <w:p w:rsidR="00AC56D6" w:rsidRDefault="00AC56D6" w:rsidP="00AC56D6">
      <w:pPr>
        <w:pStyle w:val="ParrafoNormal"/>
      </w:pPr>
    </w:p>
    <w:p w:rsidR="00AC56D6" w:rsidRDefault="00AC56D6" w:rsidP="00AC56D6">
      <w:pPr>
        <w:pStyle w:val="TextoNormalNegritaCentrado"/>
        <w:keepNext/>
      </w:pPr>
      <w:r>
        <w:lastRenderedPageBreak/>
        <w:t>Voto particular concurrente que formula el Magistrado don Juan Antonio Xiol Ríos respecto de la Sentencia dictada en el recurso de inconstitucionalidad núm. 5347-2013, al que se adhieren la Magistrada doña Adela Asua Batarrita y el Magistrado don Fernando Valdés Dal-Ré.</w:t>
      </w:r>
    </w:p>
    <w:p w:rsidR="00AC56D6" w:rsidRDefault="00AC56D6" w:rsidP="00AC56D6">
      <w:pPr>
        <w:pStyle w:val="TextoNormalNegritaCentrado"/>
        <w:keepNext/>
      </w:pPr>
    </w:p>
    <w:p w:rsidR="00AC56D6" w:rsidRDefault="00AC56D6" w:rsidP="00AC56D6">
      <w:pPr>
        <w:pStyle w:val="TextoNormal"/>
      </w:pPr>
      <w:r>
        <w:t>Con el máximo respeto a la opinión mayoritaria de mis compañeros de Pleno en la que se sustenta la sentencia, manifiesto mi discrepancia con su fundamentación jurídica, aunque no con el fallo, referida a las invocaciones, por un lado, a los principios de jerarquía normativa y sometimiento de los poderes públicos a la Constitución analizados en el fundamento jurídico 6, respecto de la posibilidad de que por la vía del recurso de inconstitucionalidad se desarrolle un control abstracto de convencionalidad de normas con rango legal; y, por otro, a los principios de seguridad jurídica y confianza legítima analizados en el fundamento jurídico 7, respecto de la modificación del régimen de incentivos a las energías renovables.</w:t>
      </w:r>
    </w:p>
    <w:p w:rsidR="00AC56D6" w:rsidRDefault="00AC56D6" w:rsidP="00AC56D6">
      <w:pPr>
        <w:pStyle w:val="TextoNormal"/>
      </w:pPr>
    </w:p>
    <w:p w:rsidR="00AC56D6" w:rsidRDefault="00AC56D6" w:rsidP="00AC56D6">
      <w:pPr>
        <w:pStyle w:val="TextoNormal"/>
      </w:pPr>
      <w:r>
        <w:t>I. El control abstracto de convencionalidad de normas con rango legal.</w:t>
      </w:r>
    </w:p>
    <w:p w:rsidR="00AC56D6" w:rsidRDefault="00AC56D6" w:rsidP="00AC56D6">
      <w:pPr>
        <w:pStyle w:val="TextoNormal"/>
      </w:pPr>
    </w:p>
    <w:p w:rsidR="00AC56D6" w:rsidRDefault="00AC56D6" w:rsidP="00AC56D6">
      <w:pPr>
        <w:pStyle w:val="TextoNormal"/>
      </w:pPr>
      <w:r>
        <w:t>1. La recurrente alega en su demanda que el Real Decreto-ley 9/2013, al incumplir determinadas obligaciones establecidas en un tratado internacional, ratificado y publicado oficialmente en España, —Tratado sobre la carta de la energía— está infringiendo los principios constitucionales de jerarquía normativa y de sometimiento del poder público al ordenamiento jurídico (arts. 9.1 y 9.3 CE).</w:t>
      </w:r>
    </w:p>
    <w:p w:rsidR="00AC56D6" w:rsidRDefault="00AC56D6" w:rsidP="00AC56D6">
      <w:pPr>
        <w:pStyle w:val="TextoNormal"/>
      </w:pPr>
    </w:p>
    <w:p w:rsidR="00AC56D6" w:rsidRDefault="00AC56D6" w:rsidP="00AC56D6">
      <w:pPr>
        <w:pStyle w:val="TextoNormal"/>
      </w:pPr>
      <w:r>
        <w:t>La respuesta aportada por la opinión mayoritaria de mis compañeros de Pleno en la que se sustenta la sentencia es doble, argumentándose que (i) es jurisprudencia constitucional reiterada que los tratados internacionales no constituyen por sí mismos parámetro de contraste para valorar la posible inconstitucionalidad de las leyes, ya que no es una cuestión que afecte a la constitucionalidad de éstas, sino un mero problema de selección del derecho aplicable al caso concreto cuya resolución corresponde a los órganos judiciales; y (ii) tampoco la eventual contradicción de una ley con un tratado internacional determina una supuesta vulneración del principio de jerarquía normativa que corresponda resolver a la jurisdicción constitucional, que queda limitada a los casos en que una norma con rango legal resulte contradictoria con la Constitución.</w:t>
      </w:r>
    </w:p>
    <w:p w:rsidR="00AC56D6" w:rsidRDefault="00AC56D6" w:rsidP="00AC56D6">
      <w:pPr>
        <w:pStyle w:val="TextoNormal"/>
      </w:pPr>
    </w:p>
    <w:p w:rsidR="00AC56D6" w:rsidRDefault="00AC56D6" w:rsidP="00AC56D6">
      <w:pPr>
        <w:pStyle w:val="TextoNormal"/>
      </w:pPr>
      <w:r>
        <w:t>2. Esta respuesta, al margen de que pueda encontrar precedentes en la jurisprudencia constitucional, creo que, (i) en su primer razonamiento, no responde al planteamiento de la recurrente y (ii) en su segundo razonamiento, debería ser sometida a una reconsideración más profunda por este Tribunal para evitar determinadas situaciones paradójicas que se plantean en el ordenamiento jurídico español con el llamado control abstracto de convencionalidad de las leyes y respecto del que este Tribunal, como máximo intérprete de la Constitución, deberá pronunciarse más fundadamente en algún momento.</w:t>
      </w:r>
    </w:p>
    <w:p w:rsidR="00AC56D6" w:rsidRDefault="00AC56D6" w:rsidP="00AC56D6">
      <w:pPr>
        <w:pStyle w:val="TextoNormal"/>
      </w:pPr>
    </w:p>
    <w:p w:rsidR="00AC56D6" w:rsidRDefault="00AC56D6" w:rsidP="00AC56D6">
      <w:pPr>
        <w:pStyle w:val="TextoNormal"/>
      </w:pPr>
      <w:r>
        <w:t xml:space="preserve">(i) La recurrente no se limita a afirmar que la norma impugnada vulnera el art. 10 y 13 de la Carta de la energía; sino que esa vulneración implica una lesión de los arts. 9.1 y 9.3 CE. Esto es, realiza una construcción de inconstitucionalidad mediata de la ley por ser contraria a un tratado. De ese modo, la respuesta más adecuada podrá ser que ni dichos preceptos constitucionales ni el art. 96 CE pueden invocarse como una vía para desarrollar el control abstracto de convencionalidad de una norma con rango legal, pero no que los tratados </w:t>
      </w:r>
      <w:r>
        <w:lastRenderedPageBreak/>
        <w:t>internacionales no son parámetro de constitucionalidad porque ni eso es lo alegado ni lo pretendido por el recurrente.</w:t>
      </w:r>
    </w:p>
    <w:p w:rsidR="00AC56D6" w:rsidRDefault="00AC56D6" w:rsidP="00AC56D6">
      <w:pPr>
        <w:pStyle w:val="TextoNormal"/>
      </w:pPr>
    </w:p>
    <w:p w:rsidR="00AC56D6" w:rsidRDefault="00AC56D6" w:rsidP="00AC56D6">
      <w:pPr>
        <w:pStyle w:val="TextoNormal"/>
      </w:pPr>
      <w:r>
        <w:t>(ii) Resulta reduccionista afirmar que el control abstracto de convencionalidad de las normas con rango legal queda excluido del objeto de recurso de inconstitucionalidad, fundándose en que dicho recurso sólo cabe ante el supuesto de infracción del principio de jerarquía normativa por normas con rango legal respecto de la Constitución. Es obvio que este Tribunal viene desarrollando a través del recurso de inconstitucionalidad el control [mediato] de constitucionalidad de leyes autonómicas cuando, no en virtud del principio de jerarquía normativa pero sí de distribución constitucional de competencias, hay una extralimitación de la normativa autonómica en relación con normas estatales formal y materialmente básicas.</w:t>
      </w:r>
    </w:p>
    <w:p w:rsidR="00AC56D6" w:rsidRDefault="00AC56D6" w:rsidP="00AC56D6">
      <w:pPr>
        <w:pStyle w:val="TextoNormal"/>
      </w:pPr>
    </w:p>
    <w:p w:rsidR="00AC56D6" w:rsidRDefault="00AC56D6" w:rsidP="00AC56D6">
      <w:pPr>
        <w:pStyle w:val="TextoNormal"/>
      </w:pPr>
      <w:r>
        <w:t>En ese contexto, tomando en cuenta que los tratados internacionales tienen un reconocimiento constitucional como fuente del ordenamiento interno español (art. 96.1 CE), aun con un peculiar encaje y son normas susceptibles de un control de constitucionalidad directo [art. 27.2 c) de la Ley Orgánica del Tribunal Constitucional], la jurisprudencia constitucional debería, a mi juicio, replantearse los problemas derivados de la negativa a que sea la jurisdicción constitucional la que desarrolle el control abstracto de convencionalidad a través de una construcción semejante a la del control [mediato] de constitucionalidad por la vía de los arts. 9.1 o 96 CE.</w:t>
      </w:r>
    </w:p>
    <w:p w:rsidR="00AC56D6" w:rsidRDefault="00AC56D6" w:rsidP="00AC56D6">
      <w:pPr>
        <w:pStyle w:val="TextoNormal"/>
      </w:pPr>
    </w:p>
    <w:p w:rsidR="00AC56D6" w:rsidRDefault="00AC56D6" w:rsidP="00AC56D6">
      <w:pPr>
        <w:pStyle w:val="TextoNormal"/>
      </w:pPr>
      <w:r>
        <w:t>3. La actual jurisprudencia parece que aboca a que sólo se posibilite el desarrollo de ese control de convencionalidad de manera concreta por parte de los órganos judiciales cuando deba aplicarse la ley que se estime contraria a un tratado internacional a partir de considerarlo una mera cuestión de selección normativa, lo que, en su caso, podría ser impugnado en amparo por la vía del art. 24.1 CE en caso de arbitrariedad o irrazonabilidad. Ahora bien, no deja de resultar paradójico que en el contexto de una creciente propensión al control abstracto de normas con fundamento en razones de seguridad jurídica, el único control abstracto que quede ayuno de cualquier vía de planteamiento sea el control de convencionalidad de las normas con rango de ley que, si no puede ser ejercido por la jurisdicción ordinaria, tampoco este Tribunal está posibilitando que se ejerza a través del recurso de inconstitucionalidad o la cuestión de inconstitucionalidad por la vía de la invocación de los arts. 9.1 o 96 CE.</w:t>
      </w:r>
    </w:p>
    <w:p w:rsidR="00AC56D6" w:rsidRDefault="00AC56D6" w:rsidP="00AC56D6">
      <w:pPr>
        <w:pStyle w:val="TextoNormal"/>
      </w:pPr>
    </w:p>
    <w:p w:rsidR="00AC56D6" w:rsidRDefault="00AC56D6" w:rsidP="00AC56D6">
      <w:pPr>
        <w:pStyle w:val="TextoNormal"/>
      </w:pPr>
      <w:r>
        <w:t>4. Al margen de estas reflexiones y de mi convencimiento sobre la necesidad de que la jurisprudencia constitucional aborde de una manera definitiva los problemas derivados del control abstracto de convencionalidad de normas de rango legal, no creo que en el presente caso resultara relevante ni necesaria la invocación de los arts. 9.1 y 9.3 CE, en su conexión con los arts. 10 y 13 de la Carta de la energía, que se hace en la demanda. Más allá de otras consideraciones, el fondo de estas invocaciones plantea, en esencia, que la norma impugnada también infringe el principio de confianza legítima recogido en la mencionada Carta de la energía, que, como tal principio, tiene un reconocimiento constitucional autónomo en el art. 9.3 CE como una de las dimensiones del principio constitucional de seguridad jurídica. En ese sentido, no resultaría necesario un control mediato como el planteado en la demanda por la recurrente y basta una confrontación directa de la normativa impugnada con la Constitución española sin ningún tipo de intermediación.</w:t>
      </w:r>
    </w:p>
    <w:p w:rsidR="00AC56D6" w:rsidRDefault="00AC56D6" w:rsidP="00AC56D6">
      <w:pPr>
        <w:pStyle w:val="TextoNormal"/>
      </w:pPr>
    </w:p>
    <w:p w:rsidR="00AC56D6" w:rsidRDefault="00AC56D6" w:rsidP="00AC56D6">
      <w:pPr>
        <w:pStyle w:val="TextoNormal"/>
      </w:pPr>
      <w:r>
        <w:lastRenderedPageBreak/>
        <w:t>II. El principio de confianza legítima y la modificación del régimen de incentivos a las energías renovables.</w:t>
      </w:r>
    </w:p>
    <w:p w:rsidR="00AC56D6" w:rsidRDefault="00AC56D6" w:rsidP="00AC56D6">
      <w:pPr>
        <w:pStyle w:val="TextoNormal"/>
      </w:pPr>
    </w:p>
    <w:p w:rsidR="00AC56D6" w:rsidRDefault="00AC56D6" w:rsidP="00AC56D6">
      <w:pPr>
        <w:pStyle w:val="TextoNormal"/>
      </w:pPr>
      <w:r>
        <w:t>5. Mi principal discrepancia con la fundamentación de la opinión mayoritaria en que se sustenta la sentencia radica, sin embargo, con el análisis que se efectúa en el fundamento jurídico 7 en relación con la invocación de los principios de seguridad jurídica y de confianza legítima. La recurrente plantea en su demanda que dentro del devenir legislativo de la regulación de los incentivos a las energías renovables se han producido inesperados cambios normativos y que el Real Decreto-ley 9/2013 implica una nueva modificación contraria al principio de confianza legítima que supone “</w:t>
      </w:r>
      <w:r w:rsidRPr="00AC56D6">
        <w:rPr>
          <w:i/>
        </w:rPr>
        <w:t>de facto</w:t>
      </w:r>
      <w:r>
        <w:t>, la desaparición de las condiciones jurídicas existentes cuando los operadores económicos que participan en el sector de la producción de energía eléctrica de régimen especial tomaron las decisión de invertir en el mismo”. En concreto, se refiere a la desaparición de las tarifas y las primas a esta forma de generación de la energía y la implantación de un sistema retributivo basado en criterios de rentabilidad de mercado.</w:t>
      </w:r>
    </w:p>
    <w:p w:rsidR="00AC56D6" w:rsidRDefault="00AC56D6" w:rsidP="00AC56D6">
      <w:pPr>
        <w:pStyle w:val="TextoNormal"/>
      </w:pPr>
      <w:r>
        <w:t>La respuesta aportada por la opinión mayoritaria en que la se sustenta la sentencia ha quedado limitada a afirmar que (i) la elevada intervención administrativa de este concreto sector económico en virtud de su incidencia en intereses generales hace inviable que los elementos más favorables queden investidos de permanencia o inalterabilidad, pudiendo ser modificados siempre que los cambios sean previsibles y derivados del interés general, y (ii) que las medidas impugnadas no resultaban inesperadas “pues la evolución de las circunstancias que afectaban a dicho sector de la economía, hacían necesario acometer ajustes de este marco normativo, como efecto de las difíciles circunstancias del sector en su conjunto y la necesidad de asegurar el necesario equilibrio económico y la adecuada gestión del sistema”.</w:t>
      </w:r>
    </w:p>
    <w:p w:rsidR="00AC56D6" w:rsidRDefault="00AC56D6" w:rsidP="00AC56D6">
      <w:pPr>
        <w:pStyle w:val="TextoNormal"/>
      </w:pPr>
    </w:p>
    <w:p w:rsidR="00AC56D6" w:rsidRDefault="00AC56D6" w:rsidP="00AC56D6">
      <w:pPr>
        <w:pStyle w:val="TextoNormal"/>
      </w:pPr>
      <w:r>
        <w:t>6. Considero que estos argumentos y el análisis desarrollado para resolver la invocación del principio de confianza legítima, aun cuando sean producto de un loable esfuerzo de síntesis, resultan insuficientes para dar una respuesta fundada a la cuestión planteada. Las muy singulares circunstancias que concurren en la materia objeto de análisis debían haber llevado a la opinión mayoritaria a afrontar de una manera más sistemática y amplia una resolución que es de gran relevancia social por su alcance jurídico y económico.</w:t>
      </w:r>
    </w:p>
    <w:p w:rsidR="00AC56D6" w:rsidRDefault="00AC56D6" w:rsidP="00AC56D6">
      <w:pPr>
        <w:pStyle w:val="TextoNormal"/>
      </w:pPr>
    </w:p>
    <w:p w:rsidR="00AC56D6" w:rsidRDefault="00AC56D6" w:rsidP="00AC56D6">
      <w:pPr>
        <w:pStyle w:val="TextoNormal"/>
      </w:pPr>
      <w:r>
        <w:t>En efecto, hay, al menos, tres elementos importantes confluyentes en esta materia que hubieran debido llevar al ánimo de la opinión mayoritaria a no analizar de una manera tan somera la cuestión de la confianza legítima, como son (i) el devenir normativo en que se ha visto inmersa la regulación de las energías renovables y la controversia que ha suscitado entre los diferentes operadores jurídicos el respeto al principio de confianza legítima; (ii) que hasta este momento el Tribunal Constitucional, a pesar de las diferentes ocasiones en que le ha sido planteado, no había tenido la oportunidad de pronunciarse al respecto, existiendo unas expectativas razonables en los operadores jurídicos y económicos en que se aportaría una sólida respuesta constitucional a esta cuestión; y (iii) la existencia de numerosos litigios multimillonarios contra el Reino de España planteados por inversores extranjeros contra estos cambios normativos ante cortes internacionales de arbitraje por la infracción, precisamente, del principio de confianza legítima, en relación con el cual una resolución más extensamente fundada por parte de este Tribunal Constitucional parece especialmente necesaria.</w:t>
      </w:r>
    </w:p>
    <w:p w:rsidR="00AC56D6" w:rsidRDefault="00AC56D6" w:rsidP="00AC56D6">
      <w:pPr>
        <w:pStyle w:val="TextoNormal"/>
      </w:pPr>
    </w:p>
    <w:p w:rsidR="00AC56D6" w:rsidRDefault="00AC56D6" w:rsidP="00AC56D6">
      <w:pPr>
        <w:pStyle w:val="TextoNormal"/>
      </w:pPr>
      <w:r>
        <w:lastRenderedPageBreak/>
        <w:t>(i) El devenir legislativo del régimen retributivo y de primas de la generación eléctrica a partir de las energías renovables pone de manifiesto una rápida evolución que se ha desarrollado a través de diversos hitos normativos que han suscitado serias dudas sobre el cumplimiento del principio de confianza legítima.</w:t>
      </w:r>
    </w:p>
    <w:p w:rsidR="00AC56D6" w:rsidRDefault="00AC56D6" w:rsidP="00AC56D6">
      <w:pPr>
        <w:pStyle w:val="TextoNormal"/>
      </w:pPr>
    </w:p>
    <w:p w:rsidR="00AC56D6" w:rsidRDefault="00AC56D6" w:rsidP="00AC56D6">
      <w:pPr>
        <w:pStyle w:val="TextoNormal"/>
      </w:pPr>
      <w:r>
        <w:t>El origen normativo del sistema de incentivos a las energías renovables, con el telón de fondo de la entonces vigente Ley 54/1997, de 27 de noviembre, del sector eléctrico, está en los Reales Decretos 661/2007 y 1578/2008. Ambos textos, atendiendo al plan de energías renovables 2005-2010, junto con la determinación de dar cumplimiento a los compromisos internacionales que para España derivan del Protocolo de Kioto y de la normativa de la Unión Europea en la materia, establecieron un nuevo marco retributivo que debía aplicarse a las instalaciones de energías renovables y de cogeneración. El objetivo era la consecución de un significativo crecimiento y desarrollo de este régimen especial de generación eléctrica y uno de los instrumentos para su consecución fue un sistema de incentivos, conforme al cual el titular de la instalación podía optar por vender su energía a una tarifa regulada o bien vender dicha energía directamente en el mercado, percibiendo el precio negociado en el mercado más una prima.</w:t>
      </w:r>
    </w:p>
    <w:p w:rsidR="00AC56D6" w:rsidRDefault="00AC56D6" w:rsidP="00AC56D6">
      <w:pPr>
        <w:pStyle w:val="TextoNormal"/>
      </w:pPr>
    </w:p>
    <w:p w:rsidR="00AC56D6" w:rsidRDefault="00AC56D6" w:rsidP="00AC56D6">
      <w:pPr>
        <w:pStyle w:val="TextoNormal"/>
      </w:pPr>
      <w:r>
        <w:t>A partir del año 2010, este régimen de incentivos sufrió diversas modificaciones legislativas que incidían directamente en la rentabilidad de los titulares de este tipo de instalaciones de generación eléctrica y que fueron objeto de impugnación. Así, el Real Decreto 1565/2010, que afectó tanto a la cuantía de las tarifas reguladas como a los periodos de percepción, fue recurrido ante la Sala de lo Contencioso-Administrativo del Tribunal Supremo, haciéndose cuestión de la infracción del principio de confianza legítima. Las diversas impugnaciones dieron lugar a una primera sentencia de cabecera de 12 de abril de 2012, recaída en el recurso de casación 40-2011, en que el Tribunal Supremo hizo un extenso análisis de esta invocación en sus fundamentos jurídicos cuarto a sexto. A esos efectos, hay que destacar el esfuerzo argumental y la minuciosa ponderación realizada respecto de los elementos implicados en la controversia sobre la infracción de la confianza legítima en que se pone de manifiesto como elementos esenciales del razonamiento para concluir la previsibilidad de los cambios entonces realizados que (a) es necesario valorar todo el sistema de incentivos en su conjunto, ya que las tarifas reguladas solo son un elemento de mismo; (b) las ventajas de la exclusión de los riesgos del mercado que supone el sistema de tarifas reguladas se ve contrarrestado con el riesgo regulatorio propiciado por la necesidad de dar respuesta sobrevenida a la satisfacción de intereses generales superiores; (c) la diligencia de los inversores al hacer un análisis de los condicionamientos implícitos de este tipo de medidas de fomento estatal; y (d) la influencia que sobre el sistema de incentivos debía tener el cumplimiento de los objetivos pretendidos con los mismos.</w:t>
      </w:r>
    </w:p>
    <w:p w:rsidR="00AC56D6" w:rsidRDefault="00AC56D6" w:rsidP="00AC56D6">
      <w:pPr>
        <w:pStyle w:val="TextoNormal"/>
      </w:pPr>
    </w:p>
    <w:p w:rsidR="00AC56D6" w:rsidRDefault="00AC56D6" w:rsidP="00AC56D6">
      <w:pPr>
        <w:pStyle w:val="TextoNormal"/>
      </w:pPr>
      <w:r>
        <w:t>En pronunciamientos posteriores, vinculados a la impugnación de otras normas infralegales y del recorte o anulación de otro tipo de incentivos, el Tribunal Supremo ha tenido que volver a analizar de manera cuidadosa esta cuestión de la confianza legítima. Se ha pronunciado incluso en la STS de 16 de marzo de 2015, recaída en el recurso de casación 118-2013, sobre la improcedencia tanto del planteamiento de una cuestión prejudicial como de una cuestión de inconstitucionalidad respecto de si las modificaciones introducidas en el sistema de incentivos por el Real Decreto-ley 2/2013 resultaban contrarias al principio de confianza legítima.</w:t>
      </w:r>
    </w:p>
    <w:p w:rsidR="00AC56D6" w:rsidRDefault="00AC56D6" w:rsidP="00AC56D6">
      <w:pPr>
        <w:pStyle w:val="TextoNormal"/>
      </w:pPr>
    </w:p>
    <w:p w:rsidR="00AC56D6" w:rsidRDefault="00AC56D6" w:rsidP="00AC56D6">
      <w:pPr>
        <w:pStyle w:val="TextoNormal"/>
      </w:pPr>
      <w:r>
        <w:lastRenderedPageBreak/>
        <w:t>La relevancia de la cuestión de la confianza legítima, y por tanto, la necesidad de que este Tribunal se hubiera extendido sobre su análisis, no sólo se puede hacer radicar, por comparación, en estos pronunciamientos del Tribunal Supremo. También es preciso destacar que fue un objeto de atención prioritaria en los diversos dictámenes que tanto la Comisión Nacional de Energía como, especialmente, el Consejo de Estado realizaron a los diversos proyectos legislativos que sobre la materia fueron sometidos a su consideración. Así, sin ánimo de exhaustividad, pero ejemplificando la relevancia jurídica de esta cuestión sobre el principio de confianza legítima, pueden citarse los análisis del Consejo del Estado en sus dictámenes 2264/2010, de 4 de noviembre; 937/2013, de 12 de septiembre; y 39/2014, de 6 de febrero, realizados a los anteproyectos que darían lugar posteriormente al Real Decreto 1565/2010, Ley 24/2013 y Real Decreto 413/2014, respectivamente.</w:t>
      </w:r>
    </w:p>
    <w:p w:rsidR="00AC56D6" w:rsidRDefault="00AC56D6" w:rsidP="00AC56D6">
      <w:pPr>
        <w:pStyle w:val="TextoNormal"/>
      </w:pPr>
    </w:p>
    <w:p w:rsidR="00AC56D6" w:rsidRDefault="00AC56D6" w:rsidP="00AC56D6">
      <w:pPr>
        <w:pStyle w:val="TextoNormal"/>
      </w:pPr>
      <w:r>
        <w:t>Tampoco creo que pueda dejar de citarse el muy destacado y amplio tratamiento que la doctrina científica ha dedicado a esta cuestión como indicador de su relevancia jurídica y económica.</w:t>
      </w:r>
    </w:p>
    <w:p w:rsidR="00AC56D6" w:rsidRDefault="00AC56D6" w:rsidP="00AC56D6">
      <w:pPr>
        <w:pStyle w:val="TextoNormal"/>
      </w:pPr>
    </w:p>
    <w:p w:rsidR="00AC56D6" w:rsidRDefault="00AC56D6" w:rsidP="00AC56D6">
      <w:pPr>
        <w:pStyle w:val="TextoNormal"/>
      </w:pPr>
      <w:r>
        <w:t>(ii) En el devenir normativo de la regulación de los incentivos a las energías renovables también han intervenido normas con rango legal que ha sido objeto de impugnación ante la jurisdicción constitucional. Sin embargo, y a pesar de que, como ya se ha expuesto, las modificaciones del sistema datan desde el 2010, hasta ahora este Tribunal no había tenido que pronunciarse al respecto.</w:t>
      </w:r>
    </w:p>
    <w:p w:rsidR="00AC56D6" w:rsidRDefault="00AC56D6" w:rsidP="00AC56D6">
      <w:pPr>
        <w:pStyle w:val="TextoNormal"/>
      </w:pPr>
    </w:p>
    <w:p w:rsidR="00AC56D6" w:rsidRDefault="00AC56D6" w:rsidP="00AC56D6">
      <w:pPr>
        <w:pStyle w:val="TextoNormal"/>
      </w:pPr>
      <w:r>
        <w:t>La primera norma de rango legal que incidió en el régimen especial fue el Real Decreto-ley 14/2010 que, si bien no modificó el sistema, moduló los incentivos al establecer un peaje de acceso a los redes de trasporte y distribución eléctrica que debían pagar los productores del régimen de las renovables y limitar las horas de funcionamiento. Por su parte, el Real Decreto-ley 1/2012 suspendió los procedimientos de preasignación de retribución y determinados incentivos; el Real Decreto-ley 2/2013 también introdujo nuevas modificaciones para recortar el sistema de incentivos y primas; y el Real Decreto-ley 9/2013, ahora impugnado, estableció un nuevo sistema de retribuciones que ha sido posteriormente consolidado por la Ley 24/2013.</w:t>
      </w:r>
    </w:p>
    <w:p w:rsidR="00AC56D6" w:rsidRDefault="00AC56D6" w:rsidP="00AC56D6">
      <w:pPr>
        <w:pStyle w:val="TextoNormal"/>
      </w:pPr>
    </w:p>
    <w:p w:rsidR="00AC56D6" w:rsidRDefault="00AC56D6" w:rsidP="00AC56D6">
      <w:pPr>
        <w:pStyle w:val="TextoNormal"/>
      </w:pPr>
      <w:r>
        <w:t>Todas estas normas han sido sucesivamente impugnadas ante el Tribunal Constitucional alegando, entre otras razones, la vulneración del principio de confianza legítima. Sin embargo, no ha habido todavía posibilidad de pronunciarse sobre ellas. En efecto, el recurso formulado contra el Real Decreto-ley 14/2010 —también interpuesto, entre otras, por la Comunidad Autónoma de la Región de Murcia y en que ya se invocaba la confianza legítima—, dio lugar a la STC 96/2014, pero al haber sido ya derogado en su totalidad el Real Decreto-ley impugnado sólo hubo un pronunciamiento sobre la concurrencia del presupuesto habilitante de la legislación de urgencia (lo mismo sucedió con las SSTC 109/2014 y 183/2014).</w:t>
      </w:r>
    </w:p>
    <w:p w:rsidR="00AC56D6" w:rsidRDefault="00AC56D6" w:rsidP="00AC56D6">
      <w:pPr>
        <w:pStyle w:val="TextoNormal"/>
      </w:pPr>
    </w:p>
    <w:p w:rsidR="00AC56D6" w:rsidRDefault="00AC56D6" w:rsidP="00AC56D6">
      <w:pPr>
        <w:pStyle w:val="TextoNormal"/>
      </w:pPr>
      <w:r>
        <w:t>Igualmente, los Reales Decretos-leyes 1/2012 y 2/2013 también fueron objeto de impugnación invocándose la confianza legítima. De nuevo, en las SSTC 48/2015, 105/2015 y 106/2015, para el primero, y la STC 28/2015, para el segundo, no hubo posibilidad de pronunciarse sobre ello, dejando imprejuzgada esta cuestión sobre el principio de confianza legítima.</w:t>
      </w:r>
    </w:p>
    <w:p w:rsidR="00AC56D6" w:rsidRDefault="00AC56D6" w:rsidP="00AC56D6">
      <w:pPr>
        <w:pStyle w:val="TextoNormal"/>
      </w:pPr>
    </w:p>
    <w:p w:rsidR="00AC56D6" w:rsidRDefault="00AC56D6" w:rsidP="00AC56D6">
      <w:pPr>
        <w:pStyle w:val="TextoNormal"/>
      </w:pPr>
      <w:r>
        <w:lastRenderedPageBreak/>
        <w:t>Por tanto, hasta este momento el Tribunal Constitucional no había hecho ningún pronunciamiento sobre la influencia de este devenir regulatorio desde la perspectiva de la confianza legítima y no parece la mejor de las soluciones, teniendo en cuenta la alta litigiosidad y las dudas generadas por cada uno de los recortes en el régimen de incentivos, tal como ya se ha expuesto, que se haya perdido la oportunidad que se presentaba con el presente recurso de inconstitucionalidad.</w:t>
      </w:r>
    </w:p>
    <w:p w:rsidR="00AC56D6" w:rsidRDefault="00AC56D6" w:rsidP="00AC56D6">
      <w:pPr>
        <w:pStyle w:val="TextoNormal"/>
      </w:pPr>
    </w:p>
    <w:p w:rsidR="00AC56D6" w:rsidRDefault="00AC56D6" w:rsidP="00AC56D6">
      <w:pPr>
        <w:pStyle w:val="TextoNormal"/>
      </w:pPr>
      <w:r>
        <w:t>(iii) La firma y ratificación del Tratado de la carta de la energía por parte de España ha supuesto la posibilidad de que, en virtud de su art. 26, los inversores extranjeros pudieran someter las disputas que surgieran con el Reino de España al arbitraje internacional. Esta posibilidad se ha hecho efectiva en un número no despreciable de casos y en la actualidad hay muy diversos asuntos pendientes de resolución arbitral internacional bien ante el Centro Internacional para el Arreglo de Diferencias relativas a Inversiones (CIADI); la Comisión de Naciones Unidas para el Derecho Mercantil Internacional (UNCITRAL); o el Instituto de Arbitraje de la Cámara de Comercio de Estocolmo. En todos ellos, las reclamaciones de los inversores internacionales traen fundamento, en la misma línea que planteaba la recurrente en su demanda, en la vulneración de las protecciones establecidas en los arts. 10 y 13 de la Carta de la energía, referidas a un trato justo y equitativo, desde la perspectiva de que las sucesivas modificaciones del régimen especial ha supuesto un cambio de la normativa que ha generado una frustración de las legítimas expectativas generadas del mantenimiento de las garantías de sus inversiones (principio de confianza legítima); y, correlativamente, en que las pérdidas producidas en las inversiones realizadas con motivo del cambio regulatorio suponen una expropiación indirecta que exige una compensación adecuada y efectiva.</w:t>
      </w:r>
    </w:p>
    <w:p w:rsidR="00AC56D6" w:rsidRDefault="00AC56D6" w:rsidP="00AC56D6">
      <w:pPr>
        <w:pStyle w:val="TextoNormal"/>
      </w:pPr>
    </w:p>
    <w:p w:rsidR="00AC56D6" w:rsidRDefault="00AC56D6" w:rsidP="00AC56D6">
      <w:pPr>
        <w:pStyle w:val="TextoNormal"/>
      </w:pPr>
      <w:r>
        <w:t>En ese contexto, la existencia de litigios en que se reclama el pago por el Reino de España de cuantiosas indemnizaciones a los inversores extranjeros derivadas de las sucesivas modificaciones normativas —a pesar del parcialmente diferente significado que puede asumir el principio de confianza legítima dentro del Derecho internacional económico y de las inversiones, aplicable por las diferentes cortes internacionales de arbitraje, respecto del que asume su consagración como principio en la Constitución española, que es el aplicable en el marco del presente recurso de inconstitucionalidad— hacía a mi juicio deseable que este Tribunal Constitucional, como un órgano más conformador del entramado institucional del Reino de España, aunque no considere, como así es, no infringido el expresado principio, hubiera aportado un estudio más amplio y reflexivo sobre la cuestión, asumiendo también la responsabilidad, como ya hiciera el Tribunal Supremo, de desentrañar las particularidades del ordenamiento jurídico español en relación con la materia.</w:t>
      </w:r>
    </w:p>
    <w:p w:rsidR="00AC56D6" w:rsidRDefault="00AC56D6" w:rsidP="00AC56D6">
      <w:pPr>
        <w:pStyle w:val="TextoNormal"/>
      </w:pPr>
    </w:p>
    <w:p w:rsidR="00AC56D6" w:rsidRDefault="00AC56D6" w:rsidP="00AC56D6">
      <w:pPr>
        <w:pStyle w:val="TextoNormal"/>
      </w:pPr>
      <w:r>
        <w:t xml:space="preserve">7. Una respuesta sólida y fundada a la cuestión controvertida del respeto al principio de confianza legítima hubiera exigido, en el actual estado de evolución de la jurisprudencia constitucional española, al menos, (i) establecer un más amplio desarrollo del significado constitucional del principio de confianza legítima como elemento integrante de los principios de seguridad jurídica y de irretroactividad de las normas sancionadoras o restrictivas de derechos individuales, de responsabilidad y de interdicción de la arbitrariedad de los poderes públicos, consagrados en el art. 9.3 CE; y (ii) en aplicación de los estándares que hubieran conformado la mencionada actualización y desarrollo del significado constitucional del principio de confianza legítima, hacer un detenido y minucioso análisis del cumplimiento de la concreta normativa impugnada, en el marco del devenir general legislativo en </w:t>
      </w:r>
      <w:r>
        <w:lastRenderedPageBreak/>
        <w:t>la materia, de los criterios y parámetros configuradores de este principio de confianza legítima, ponderando adecuadamente todos los elementos concurrentes.</w:t>
      </w:r>
    </w:p>
    <w:p w:rsidR="00AC56D6" w:rsidRDefault="00AC56D6" w:rsidP="00AC56D6">
      <w:pPr>
        <w:pStyle w:val="TextoNormal"/>
      </w:pPr>
    </w:p>
    <w:p w:rsidR="00AC56D6" w:rsidRDefault="00AC56D6" w:rsidP="00AC56D6">
      <w:pPr>
        <w:pStyle w:val="TextoNormal"/>
      </w:pPr>
      <w:r>
        <w:t>(i) He puesto de manifiesto en el Voto particular formulado a la STC 216/2015, el olvido que en muchas ocasiones se hace del principio de confianza legítima, como concreta dimensión del principio de seguridad jurídica, y la confusión que también en frecuentes ocasiones se hace de este principio con el del irretroactividad. Ese olvido y esa confusión son tributarios de la deficitaria construcción que tiene el principio de confianza legítima en la jurisprudencia constitucional española y que este recurso de inconstitucionalidad hubiera sido un momento propicio para remediar.</w:t>
      </w:r>
    </w:p>
    <w:p w:rsidR="00AC56D6" w:rsidRDefault="00AC56D6" w:rsidP="00AC56D6">
      <w:pPr>
        <w:pStyle w:val="TextoNormal"/>
      </w:pPr>
    </w:p>
    <w:p w:rsidR="00AC56D6" w:rsidRDefault="00AC56D6" w:rsidP="00AC56D6">
      <w:pPr>
        <w:pStyle w:val="TextoNormal"/>
      </w:pPr>
      <w:r>
        <w:t>Ya mencioné en aquel Voto particular que la doctrina constitucional hasta este momento se había limitado a establecer que el principio de seguridad jurídica “protege la confianza de los ciudadanos que ajustan su conducta económica a la legislación vigente frente a cambios normativos que no sean razonablemente previsibles” (entre otras muchas, STC 82/2009) y según esta doctrina para determinar cuándo una norma puede vulnerar este principio ha de estarse a las circunstancias específicas que concurren en cada caso, tomando en consideración especialmente “la previsibilidad de la medida adoptada, las razones que han llevado a adoptarla y el alcance de la misma”, pues “[s]olo después de una ponderación de los distintos elementos en presencia es posible concluir si el art. 9.3 CE ha resultado vulnerado o si, por el contrario, la seguridad jurídica, que, insistimos, no es un valor absoluto, debe ceder ante otros bienes o derechos constitucionalmente protegidos.” (STC 182/1997, de 28 de octubre, FJ 13).</w:t>
      </w:r>
    </w:p>
    <w:p w:rsidR="00AC56D6" w:rsidRDefault="00AC56D6" w:rsidP="00AC56D6">
      <w:pPr>
        <w:pStyle w:val="TextoNormal"/>
      </w:pPr>
    </w:p>
    <w:p w:rsidR="00AC56D6" w:rsidRDefault="00AC56D6" w:rsidP="00AC56D6">
      <w:pPr>
        <w:pStyle w:val="TextoNormal"/>
      </w:pPr>
      <w:r>
        <w:t>Esta somera formulación, acaso, ha sido históricamente suficiente para la resolución de los asuntos en que era invocado el principio de confianza legítima ante la jurisdicción constitucional. No obstante, debe reconocerse que es una construcción muy poco elaborada si se contrasta con la efectuada por la doctrina y, especialmente, por la jurisprudencia de los órganos jurisdiccionales que, por la especialidad de la materia en que tiene una especial aplicación este principio —el Derecho administrativo económico—, han tenido que afrontar de manera más constante su invocación y análisis, como son la Sala de la Contencioso-Administrativo del Tribunal Supremo y el Tribunal de Justicia de la Unión Europea.</w:t>
      </w:r>
    </w:p>
    <w:p w:rsidR="00AC56D6" w:rsidRDefault="00AC56D6" w:rsidP="00AC56D6">
      <w:pPr>
        <w:pStyle w:val="TextoNormal"/>
      </w:pPr>
    </w:p>
    <w:p w:rsidR="00AC56D6" w:rsidRDefault="00AC56D6" w:rsidP="00AC56D6">
      <w:pPr>
        <w:pStyle w:val="TextoNormal"/>
      </w:pPr>
      <w:r>
        <w:t xml:space="preserve">Si hay un momento en que el tan citado, como quizá menos practicado, diálogo de Tribunales hubiera tenido un sentido es precisamente éste. Nadie puede dudar que el Tribunal de Justicia de la Unión Europea (TJUE), desde la entrada en vigor de la Carta de derechos fundamentales de la Unión Europea, ha tenido que incorporar a su acervo jurisprudencial muchas de las elaboraciones realizadas por los órganos de control de los derechos fundamentales, singularmente el Tribunal Europeo de Derechos Humanos y los Tribunales constitucionales europeos con jurisdicción en esa materia, que le llevaban una amplia ventaja. Tampoco puede dudarse que en la aplicación de determinados principios generales del derecho, posteriormente constitucionalizados, como es el principio de confianza legítima, nacidos en el contexto del Derecho administrativo económico, también el Tribunal Constitucional asume la obligación y la responsabilidad de apoyarse en las elaboraciones jurisprudenciales más avanzadas de otros órganos más acostumbrados a trabajar —y, por tanto, a reflexionar— con esos principios. En ese sentido, tanto las mencionadas resoluciones del Tribunal Supremo sobre la materia citadas anteriormente como la amplia jurisprudencia del Tribunal de Justicia de la Unión Europea y la doctrina de los autores, hubiera debido servir </w:t>
      </w:r>
      <w:r>
        <w:lastRenderedPageBreak/>
        <w:t>de base en este caso para desarrollar una incipiente jurisprudencia constitucional sobre el principio de confianza legítima proyectada al entorno de las inversiones económicas en el marco de los ámbitos económicos de una alta densidad normativa en que la satisfacción de las legítimas expectativas de los operadores económicos quedan vinculadas a los riesgos regulatorios y no del mercado.</w:t>
      </w:r>
    </w:p>
    <w:p w:rsidR="00AC56D6" w:rsidRDefault="00AC56D6" w:rsidP="00AC56D6">
      <w:pPr>
        <w:pStyle w:val="TextoNormal"/>
      </w:pPr>
    </w:p>
    <w:p w:rsidR="00AC56D6" w:rsidRDefault="00AC56D6" w:rsidP="00AC56D6">
      <w:pPr>
        <w:pStyle w:val="TextoNormal"/>
      </w:pPr>
      <w:r>
        <w:t>A partir de esa asunción, y en línea con la construcción jurisprudencial del Tribunal de Justicia de la Unión Europea, expuesta, por ejemplo en las SSTJUE de 10 de septiembre de 2009 (asunto C-201/08); de 11 de junio de 2015 (asunto C-98/14); o 10 de diciembre de 2015 (asunto C-427/14), considero que hubiera sido necesario establecer una doctrina constitucional que, partiendo del enunciado general de que este principio protege las legítimas expectativas de los ciudadanos que ajustan su conducta económica a la legislación vigente frente a cambios normativos que no sean razonablemente previsibles, fijara como parámetro del control del principio de confianza legítima un análisis y ponderación de los siguientes elementos: (a) las legítimas expectativas de los interesados deben haber sido generadas a partir de actuaciones concretas que, aportando garantías precisas, incondicionales y coherentes, sean conformes con la normativa aplicable y objetivamente susceptibles de suscitar esas expectativas; (b) los agentes económicos no pueden confiar legítimamente en que se mantenga una situación existente que puede ser modificada en el ejercicio de la facultad discrecional de los poderes públicos especialmente en ámbitos cuyo objeto lleva consigo una adaptación constante en función de las variaciones de la situación económica, que respondan a situaciones excepcionales o transitorias, o ante la necesidad de satisfacer un interés público superior; (c) los cambios normativos en que se fundamente la eventual frustración de esas expectativas legítimas no han debido de resultar imprevisibles para un operador económico prudente en atención a las diferentes circunstancias concurrentes incluyendo la evolución de la situación del mercado o del sector concreto de referencia e incluso el comportamiento de los poderes públicos en relación con determinadas medidas intervencionistas; y (d) los cambios normativos deben tomar en consideración las situaciones específicas de esos operadores económicos y prever adaptaciones a la aplicación de esa nueva normativa que minimicen, compensen o requilibren las legítimas expectativas frustradas aunque sea a través de la implantación de medidas sustitutivas que resulten proporcionadas con los fines perseguidos por la modificación.</w:t>
      </w:r>
    </w:p>
    <w:p w:rsidR="00AC56D6" w:rsidRDefault="00AC56D6" w:rsidP="00AC56D6">
      <w:pPr>
        <w:pStyle w:val="TextoNormal"/>
      </w:pPr>
    </w:p>
    <w:p w:rsidR="00AC56D6" w:rsidRDefault="00AC56D6" w:rsidP="00AC56D6">
      <w:pPr>
        <w:pStyle w:val="TextoNormal"/>
      </w:pPr>
      <w:r>
        <w:t>(ii) Un análisis y ponderación de los diversos elementos anteriormente citados considero que también hubiera llevado a la conclusión sustentada por el Tribunal en el sentido de que en el caso examinado no ha existido una infracción del principio de confianza legítima.</w:t>
      </w:r>
    </w:p>
    <w:p w:rsidR="00AC56D6" w:rsidRDefault="00AC56D6" w:rsidP="00AC56D6">
      <w:pPr>
        <w:pStyle w:val="TextoNormal"/>
      </w:pPr>
    </w:p>
    <w:p w:rsidR="00AC56D6" w:rsidRDefault="00AC56D6" w:rsidP="00AC56D6">
      <w:pPr>
        <w:pStyle w:val="TextoNormal"/>
      </w:pPr>
      <w:r>
        <w:t xml:space="preserve">En primer lugar, debe tomarse en consideración la naturaleza y el objeto de este proceso constitucional y las limitaciones y condicionantes que ello impone al análisis de la invocación de la confianza legítima. En cuanto al objeto, porque el análisis que puede efectuarse, por un lado, queda limitado a las concretas medidas adoptadas en la Real Decreto-ley 9/2013 y en el contexto normativo y económico en que se adoptaron, sin que, más allá de una necesaria perspectiva diacrónica, pueda retrotraerse a otros hitos normativos que han incidido de manera relevante en el sistema de incentivos; y, por otro, queda condicionado, precisamente, por la circunstancia de ser un elemento más en el marco de un proceso normativo que, como ya se ha expuesto anteriormente, tiene su arranque en el año 2007. En cuanto a su naturaleza, porque el carácter abstracto de la impugnación, a diferencia de lo que hubiera </w:t>
      </w:r>
      <w:r>
        <w:lastRenderedPageBreak/>
        <w:t>sucedido en caso de enjuiciamiento y planteamiento de situaciones concretas, impide ponderar situaciones singularizadas que hayan podido generarse con la aplicación de la normativa recurrida.</w:t>
      </w:r>
    </w:p>
    <w:p w:rsidR="00AC56D6" w:rsidRDefault="00AC56D6" w:rsidP="00AC56D6">
      <w:pPr>
        <w:pStyle w:val="TextoNormal"/>
      </w:pPr>
    </w:p>
    <w:p w:rsidR="00AC56D6" w:rsidRDefault="00AC56D6" w:rsidP="00AC56D6">
      <w:pPr>
        <w:pStyle w:val="TextoNormal"/>
      </w:pPr>
      <w:r>
        <w:t>A partir de ello, si bien no parece razonable que en el marco de un voto particular me extienda sobre todos aquellos aspectos que considero debían haber sido objeto de atención en la Sentencia, sí me parece relevante incidir en algunos elementos esenciales que deberían haberse proyectado en la resolución del caso.</w:t>
      </w:r>
    </w:p>
    <w:p w:rsidR="00AC56D6" w:rsidRDefault="00AC56D6" w:rsidP="00AC56D6">
      <w:pPr>
        <w:pStyle w:val="TextoNormal"/>
      </w:pPr>
    </w:p>
    <w:p w:rsidR="00AC56D6" w:rsidRDefault="00AC56D6" w:rsidP="00AC56D6">
      <w:pPr>
        <w:pStyle w:val="TextoNormal"/>
      </w:pPr>
      <w:r>
        <w:t>(a) Así, por lo que se refiere a la determinación de cuáles eran las expectativas legítimas creadas en los operadores económicos por la normativa reformada, hay que tomar en consideración que el objeto de impugnación es el Real Decreto-ley 9/2013, en la medida en que modificó determinados preceptos del art. 30 de la entonces vigente Ley 54/1997, de 27 de noviembre del sector eléctrico, en lo que se refiere al régimen retributivo de las instalaciones de producción de energía eléctrica en régimen especial. Por tanto, en este caso y para este concreto procedimiento constitucional, lo enjuiciado no puede ser todo el devenir de modificaciones legislativas sufridas por la Ley 54/1997 en esa particular materia ni los avatares producidos en la normativa infralegal de desarrollo de las previsiones legales.</w:t>
      </w:r>
    </w:p>
    <w:p w:rsidR="00AC56D6" w:rsidRDefault="00AC56D6" w:rsidP="00AC56D6">
      <w:pPr>
        <w:pStyle w:val="TextoNormal"/>
      </w:pPr>
    </w:p>
    <w:p w:rsidR="00AC56D6" w:rsidRDefault="00AC56D6" w:rsidP="00AC56D6">
      <w:pPr>
        <w:pStyle w:val="TextoNormal"/>
      </w:pPr>
      <w:r>
        <w:t>A esos efectos, lo sustancial es que la normativa vigente hasta el momento de la reforma enjuiciada lo que establecía era una sistema retributivo caracterizado por (i) la existencia de un prima complementaria, cuya determinación se remitía a un desarrollo reglamentario; (ii) los supuestos a los que se aplicaba ese régimen primado; y (iii) que los criterios que debían de tomarse en consideración para determinar la prima lo eran “al efecto de conseguir unas tasas de rentabilidad razonables con referencia al coste del dinero en el mercado de capitales” (art. 30.4, último párrafo). Esta regulación era esencialmente la misma que estaba vigente desde la reforma operada por la Ley 17/2007, de 4 de julio.</w:t>
      </w:r>
    </w:p>
    <w:p w:rsidR="00AC56D6" w:rsidRDefault="00AC56D6" w:rsidP="00AC56D6">
      <w:pPr>
        <w:pStyle w:val="TextoNormal"/>
      </w:pPr>
    </w:p>
    <w:p w:rsidR="00AC56D6" w:rsidRDefault="00AC56D6" w:rsidP="00AC56D6">
      <w:pPr>
        <w:pStyle w:val="TextoNormal"/>
      </w:pPr>
      <w:r>
        <w:t>En ese sentido, las legítimas expectativas de los interesados a las que en este concreto caso daba protección el principio de confianza legítima aparecen vinculadas a la existencia de un sistema de incentivos estatales primados para este tipo de producción de la energía eléctrica, cuya concreción queda al desarrollo reglamentario, y que dicho sistema tuviera como objetivo conseguir unas tasas de rentabilidad razonable con referencia al coste del dinero en el mercado de capitales.</w:t>
      </w:r>
    </w:p>
    <w:p w:rsidR="00AC56D6" w:rsidRDefault="00AC56D6" w:rsidP="00AC56D6">
      <w:pPr>
        <w:pStyle w:val="TextoNormal"/>
      </w:pPr>
    </w:p>
    <w:p w:rsidR="00AC56D6" w:rsidRDefault="00AC56D6" w:rsidP="00AC56D6">
      <w:pPr>
        <w:pStyle w:val="TextoNormal"/>
      </w:pPr>
      <w:r>
        <w:t>(b) En lo referido a la eventual frustración de la confianza legítima generada respecto del mantenimiento de la citada situación normativa, debe ponerse de manifiesto que la modificación operada por el Real Decreto-ley 9/2013 supuso un nuevo régimen de incentivos caracterizado por (i) la existencia de una retribución adicional a la de participación en el mercado que cubra los costes de inversión que una empresa eficiente y bien gestionada no recupere en el mercado; (ii) que este régimen retributivo no sobrepasará el nivel mínimo necesario para cubrir los costes que permitan competir a las instalaciones en nivel de igualdad con el resto de tecnologías en el mercado y que posibiliten obtener una rentabilidad razonable por referencia a la instalación tipo en cada caso aplicable; y (iii) que la rentabilidad razonable girará, antes de impuestos, sobre el rendimiento medio en el mercado secundario de las obligaciones del Estado a diez años aplicando el diferencial adecuado.</w:t>
      </w:r>
    </w:p>
    <w:p w:rsidR="00AC56D6" w:rsidRDefault="00AC56D6" w:rsidP="00AC56D6">
      <w:pPr>
        <w:pStyle w:val="TextoNormal"/>
      </w:pPr>
    </w:p>
    <w:p w:rsidR="00AC56D6" w:rsidRDefault="00AC56D6" w:rsidP="00AC56D6">
      <w:pPr>
        <w:pStyle w:val="TextoNormal"/>
      </w:pPr>
      <w:r>
        <w:lastRenderedPageBreak/>
        <w:t>Por otra parte, además, y tal como se justificó extensamente en la exposición de motivos del propio Real Decreto-ley 9/2013, esta modificación normativa traía causa de la necesidad de satisfacer perentorios y superiores intereses públicos que se concretaban en la necesidad de reducir un déficit tarifario que, con el paso del tiempo, se había convertido en estructural, debido a que los costes reales asociados, entre otras, a las actividades reguladas resultan superiores a la recaudación por los peajes que fija la Administración y que pagan los consumidores. Así, se cuantificaba que entre los años 2004 y 2012 los ingresos del sistema eléctrico por peajes de los consumidores se habían incrementado en un 122 por 100, mientras que el aumento de los costes regulados del sistema en dicho periodo había sido de un 197 por 100 y que de entre las partidas de costes que habían contribuido en mayor medida a dicho incremento destacaban las primas del régimen especial que se habían multiplicado por seis en dicho periodo. Igualmente, se afirmaba la necesidad de la implantación de un nuevo sistema de incentivos, una vez que las sucesivas modificaciones operadas en el sistema entonces vigente resultaran insuficientes y advinieran nuevas circunstancias que aumentaran el desajuste del sector como eran, por un lado, una notable desviación al alza del sobrecoste del régimen especial, como consecuencia de los menores precios del mercado registrados; y, por otro, una contracción de la demanda más acusada de lo prevista por efecto de la reducción de la actividad económica y la afección de la crisis económica sobre las economías domésticas.</w:t>
      </w:r>
    </w:p>
    <w:p w:rsidR="00AC56D6" w:rsidRDefault="00AC56D6" w:rsidP="00AC56D6">
      <w:pPr>
        <w:pStyle w:val="TextoNormal"/>
      </w:pPr>
    </w:p>
    <w:p w:rsidR="00AC56D6" w:rsidRDefault="00AC56D6" w:rsidP="00AC56D6">
      <w:pPr>
        <w:pStyle w:val="TextoNormal"/>
      </w:pPr>
      <w:r>
        <w:t>En ese sentido, si bien no puede dudarse de que ha existido una modificación legislativa en el régimen de incentivos y de que se ha proyectado sobre inversiones decididas, realizadas y consolidadas al amparo de un diferente régimen legal, tampoco puede obviarse que, al margen de cuál era el desarrollo reglamentario de esa normativa legal y las esperanzas de rentabilidad de las inversiones que a su amparo podían albergarse —que por razones de competencia no pueden ser enjuiciadas en un proceso constitucional de estas características—, la normativa ahora recurrida en inconstitucionalidad venía provocada por la necesidad de satisfacer un interés público superior. A pesar de ello, se ha mantenido, en esencia, las expectativas legítimas generadas por la normativa legal reformada tanto en el sentido de dar continuidad a un sistema de incentivos como en el de subordinarlo a la obtención de una rentabilidad razonable con referencia al coste del dinero en el mercado de capitales. Por el contrario, no puede ser calificado como expectativa legítima ni, por tanto, pretenderse amparado por los operadores económicos con fundamento en el principio de confianza legítima, una vez garantizada esa rentabilidad razonable, el mantenimiento de una situación que implique unos niveles de rentabilidad sumamente elevados al margen del mercado y que puedan resultar contrarios a intereses públicos superiores.</w:t>
      </w:r>
    </w:p>
    <w:p w:rsidR="00AC56D6" w:rsidRDefault="00AC56D6" w:rsidP="00AC56D6">
      <w:pPr>
        <w:pStyle w:val="TextoNormal"/>
      </w:pPr>
    </w:p>
    <w:p w:rsidR="00AC56D6" w:rsidRDefault="00AC56D6" w:rsidP="00AC56D6">
      <w:pPr>
        <w:pStyle w:val="TextoNormal"/>
      </w:pPr>
      <w:r>
        <w:t>(c) Este cambio normativo, además, tampoco cabe ser considerado de imprevisible para un operador económico prudente en atención a las diferentes circunstancias concurrentes, incluyendo la evolución de la situación económica general y la del sector eléctrico en particular.</w:t>
      </w:r>
    </w:p>
    <w:p w:rsidR="00AC56D6" w:rsidRDefault="00AC56D6" w:rsidP="00AC56D6">
      <w:pPr>
        <w:pStyle w:val="TextoNormal"/>
      </w:pPr>
    </w:p>
    <w:p w:rsidR="00AC56D6" w:rsidRDefault="00AC56D6" w:rsidP="00AC56D6">
      <w:pPr>
        <w:pStyle w:val="TextoNormal"/>
      </w:pPr>
      <w:r>
        <w:t>Los operadores económicos que, al amparo del sistema regulatorio de los incentivos a las energías renovables, desarrollaron actividades de inversión han sido muy variados y, por la propia naturaleza de las inversiones y el objeto de las instalaciones incentivadas, entre ellos hay también pequeños inversionistas. Por tanto, si bien no puede establecerse un operador económico estándar a partir del cual hacer una ponderación sobre su nivel de diligen</w:t>
      </w:r>
      <w:r>
        <w:lastRenderedPageBreak/>
        <w:t>cia o prudencia inversora, el carácter abstracto del control de constitucionalidad a desarrollar en este proceso constitucional tampoco permite atender en esta valoración sobre el nivel de diligencia a otros aspectos objetivos que no sean los propios del sector eléctrico y la naturaleza de las medidas que fueron objeto de modificación.</w:t>
      </w:r>
    </w:p>
    <w:p w:rsidR="00AC56D6" w:rsidRDefault="00AC56D6" w:rsidP="00AC56D6">
      <w:pPr>
        <w:pStyle w:val="TextoNormal"/>
      </w:pPr>
    </w:p>
    <w:p w:rsidR="00AC56D6" w:rsidRDefault="00AC56D6" w:rsidP="00AC56D6">
      <w:pPr>
        <w:pStyle w:val="TextoNormal"/>
      </w:pPr>
      <w:r>
        <w:t>A esos efectos, entre los distintos elementos concurrentes que deben tomarse en consideración para concluir que la modificación controvertida no era imprevisible pueden citarse algunos de los que ya fueron ampliamente expuestos en la citada STS de 12 de abril de 2012, en relación con otras modificaciones previas, como serían (i) la singularidad de un sector económico que es de carácter estratégico, lo que implica una amplia densidad normativa, la presencia de intereses públicos subyacente y, en coherencia con ello, la necesidad de modificaciones normativas que vayan adecuando el marco regulatorio a las eventualidades del sector y a las variaciones que puedan darse en los datos económicos; (ii) la naturaleza de los incentivos en forma de tarifa regulada, que supone una situación excepcional y atípica en un régimen de libre mercado al eliminarse el riesgo empresarial de las inversiones derivados del sistema de libre competencia; y (iii) el condicionamiento implícito a toda medida incentivadora de que no puede quedar asegurada su permanencia inmodificada y el explícito de que está vinculada a la consecución de una serie de objetivos. A ellos habría que añadir, en el caso concreto a que se refiere el presente recurso de inconstitucionalidad, que las sucesivas reformas operadas en la normativa administrativa de desarrollo, ya anticipaban un cambio de régimen en el sistema de incentivos que pudiera afectar, al menos, a la cuantificación de los niveles de rentabilidad.</w:t>
      </w:r>
    </w:p>
    <w:p w:rsidR="00AC56D6" w:rsidRDefault="00AC56D6" w:rsidP="00AC56D6">
      <w:pPr>
        <w:pStyle w:val="TextoNormal"/>
      </w:pPr>
    </w:p>
    <w:p w:rsidR="00AC56D6" w:rsidRDefault="00AC56D6" w:rsidP="00AC56D6">
      <w:pPr>
        <w:pStyle w:val="TextoNormal"/>
      </w:pPr>
      <w:r>
        <w:t>(d) Por último, además, en lo referente a la necesidad de que los cambios normativos controvertidos tomen en consideración las situaciones específicas de los operadores económicos cuyas expectativas pudieran verse afectadas, también hay que concluir que el Real Decreto-ley, a pesar de los superiores intereses públicos subyacentes en la modificación legislativa impugnada, no ha desatendido las expectativas de los operadores económicos que pudieron resultar afectadas.</w:t>
      </w:r>
    </w:p>
    <w:p w:rsidR="00AC56D6" w:rsidRDefault="00AC56D6" w:rsidP="00AC56D6">
      <w:pPr>
        <w:pStyle w:val="TextoNormal"/>
      </w:pPr>
    </w:p>
    <w:p w:rsidR="00AC56D6" w:rsidRDefault="00AC56D6" w:rsidP="00AC56D6">
      <w:pPr>
        <w:pStyle w:val="TextoNormal"/>
      </w:pPr>
      <w:r>
        <w:t xml:space="preserve">De ese modo, tal como ya se ha afirmado, si bien la nueva normativa modificaba el sistema de incentivos a las renovables, no sólo se mantenían los aspectos esenciales vinculados a la existencia de un sistema de incentivos estatales primados para este tipo de producción de la energía eléctrica y se garantizaba que dicho sistema tuviera como objetivo conseguir unas tasas de rentabilidad razonable con referencia al coste del dinero en el mercado de capitales —en este caso, el rendimiento medio en el mercado secundario de las obligaciones del Estado a diez años aplicando un diferencial adecuado—. Además, se incluyó específicamente una disposición en relación con las instalaciones que a la fecha de la entrada en vigor del Real Decreto-ley tuvieran derecho a un régimen económico primado, en que se concretaba que esa rentabilidad giraba “antes de impuestos, sobre el rendimiento medio en el mercado secundario de los diez años anteriores a la entrada en vigor del presente Real Decreto-ley de las obligaciones del Estado a diez años incrementada en 300 puntos básicos, todo ello, sin perjuicio de la revisión prevista en el último párrafo del citado artículo” (disposición adicional primera). Por tanto, tampoco se dejaban desatendidas las expectativas de los operadores económicos, al articularse medidas transitorias para garantizar un determinado nivel de rentabilidad en las inversiones que, cumpliendo la finalidad de minimizar el impacto de la modificación legislativa sobre las expectativas de los afectados, resultaban </w:t>
      </w:r>
      <w:r>
        <w:lastRenderedPageBreak/>
        <w:t>proporcionadas con la consecución de los superiores intereses públicos perseguidos por la modificación.</w:t>
      </w:r>
    </w:p>
    <w:p w:rsidR="00AC56D6" w:rsidRDefault="00AC56D6" w:rsidP="00AC56D6">
      <w:pPr>
        <w:pStyle w:val="TextoNormal"/>
      </w:pPr>
    </w:p>
    <w:p w:rsidR="00AC56D6" w:rsidRDefault="00AC56D6" w:rsidP="00AC56D6">
      <w:pPr>
        <w:pStyle w:val="TextoNormal"/>
      </w:pPr>
      <w:r>
        <w:t>En conclusión, aunque comparto el fallo desestimatorio de esta Sentencia, considero que, por las razones expuestas, hubiera sido necesario un esfuerzo argumental muy superior al desarrollado en la opinión mayoritaria en la que se sustenta la sentencia.</w:t>
      </w:r>
    </w:p>
    <w:p w:rsidR="00AC56D6" w:rsidRDefault="00AC56D6" w:rsidP="00AC56D6">
      <w:pPr>
        <w:pStyle w:val="TextoNormal"/>
      </w:pPr>
    </w:p>
    <w:p w:rsidR="00AC56D6" w:rsidRDefault="00AC56D6" w:rsidP="00AC56D6">
      <w:pPr>
        <w:pStyle w:val="TextoNormal"/>
      </w:pPr>
      <w:r>
        <w:t>Madrid, a diecisiete de diciembre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27" w:name="SENTENCIA_2015_271"/>
      <w:r>
        <w:lastRenderedPageBreak/>
        <w:t>SENTENCIA 271/2015, de 17 de diciembre de 2015</w:t>
      </w:r>
    </w:p>
    <w:bookmarkEnd w:id="127"/>
    <w:p w:rsidR="00AC56D6" w:rsidRDefault="00AC56D6" w:rsidP="00AC56D6">
      <w:pPr>
        <w:pStyle w:val="TtuloResolucin"/>
      </w:pPr>
      <w:r>
        <w:t>Pleno</w:t>
      </w:r>
    </w:p>
    <w:p w:rsidR="00AC56D6" w:rsidRDefault="00AC56D6" w:rsidP="00AC56D6">
      <w:pPr>
        <w:pStyle w:val="TtuloBOE"/>
      </w:pPr>
      <w:r>
        <w:t>(BOE núm. 19, de 22 de enero de 2016)</w:t>
      </w:r>
    </w:p>
    <w:p w:rsidR="00AC56D6" w:rsidRDefault="00AC56D6" w:rsidP="00AC56D6">
      <w:pPr>
        <w:pStyle w:val="TextoNormalCentrado"/>
      </w:pPr>
      <w:r>
        <w:t>ECLI:ES:TC:2015:271</w:t>
      </w:r>
    </w:p>
    <w:p w:rsidR="00AC56D6" w:rsidRDefault="00AC56D6" w:rsidP="00AC56D6">
      <w:pPr>
        <w:pStyle w:val="TextoNormalCentrado"/>
      </w:pPr>
    </w:p>
    <w:p w:rsidR="00AC56D6" w:rsidRDefault="00AC56D6" w:rsidP="00AC56D6">
      <w:pPr>
        <w:pStyle w:val="SntesisDescriptiva"/>
      </w:pPr>
      <w:r>
        <w:t>Cuestión de inconstitucionalidad 6424-2014. Planteada por la Sección Quinta de la Sala de lo Contencioso-Administrativo del Tribunal Superior de Justicia de la Comunidad Valenciana respecto al artículo 22 de la Ley de las Cortes Valencianas 6/2009, de 30 de junio, de protección de la maternidad.</w:t>
      </w:r>
    </w:p>
    <w:p w:rsidR="00AC56D6" w:rsidRDefault="00AC56D6" w:rsidP="00AC56D6">
      <w:pPr>
        <w:pStyle w:val="SntesisDescriptiva"/>
      </w:pPr>
    </w:p>
    <w:p w:rsidR="00AC56D6" w:rsidRDefault="00AC56D6" w:rsidP="00AC56D6">
      <w:pPr>
        <w:pStyle w:val="SntesisAnaltica"/>
      </w:pPr>
      <w:r>
        <w:t>Competencias sobre educación: constitucionalidad del precepto legal autonómico que computa al nasciturus como miembro de la unidad familiar en las solicitudes de plaza en los procesos de admisión de centros docentes no universitarios mantenidos con fondos públicos.</w:t>
      </w:r>
    </w:p>
    <w:p w:rsidR="00AC56D6" w:rsidRDefault="00AC56D6" w:rsidP="00AC56D6">
      <w:pPr>
        <w:pStyle w:val="SntesisAnaltica"/>
      </w:pPr>
    </w:p>
    <w:p w:rsidR="00AC56D6" w:rsidRDefault="00AC56D6" w:rsidP="00AC56D6">
      <w:pPr>
        <w:pStyle w:val="Extracto"/>
      </w:pPr>
      <w:r>
        <w:t>1.</w:t>
      </w:r>
      <w:r>
        <w:tab/>
        <w:t>El precepto cuestionado no introduce una regla general y abstracta sobre el modo de contar los miembros que componen una familia, que venga a modificar los requisitos para tener la condición de familia numerosa; requisitos que siguen siendo los establecidos por la Ley estatal 40/2003 [FJ 6].</w:t>
      </w:r>
    </w:p>
    <w:p w:rsidR="00AC56D6" w:rsidRDefault="00AC56D6" w:rsidP="00AC56D6">
      <w:pPr>
        <w:pStyle w:val="Extracto"/>
      </w:pPr>
    </w:p>
    <w:p w:rsidR="00AC56D6" w:rsidRDefault="00AC56D6" w:rsidP="00AC56D6">
      <w:pPr>
        <w:pStyle w:val="Extracto"/>
      </w:pPr>
      <w:r>
        <w:t>2.</w:t>
      </w:r>
      <w:r>
        <w:tab/>
        <w:t>El grado de repercusión de la regla autonómica de valoración sobre la puntuación global de los solicitantes es razonable, de tal manera que no desfigura ni diluye los criterios básicos estatales [FJ 5].</w:t>
      </w:r>
    </w:p>
    <w:p w:rsidR="00AC56D6" w:rsidRDefault="00AC56D6" w:rsidP="00AC56D6">
      <w:pPr>
        <w:pStyle w:val="Extracto"/>
      </w:pPr>
    </w:p>
    <w:p w:rsidR="00AC56D6" w:rsidRDefault="00AC56D6" w:rsidP="00AC56D6">
      <w:pPr>
        <w:pStyle w:val="Extracto"/>
      </w:pPr>
      <w:r>
        <w:t>3.</w:t>
      </w:r>
      <w:r>
        <w:tab/>
        <w:t>La modificación establece unas reglas mínimas comunes para el reparto de plazas escolares en el ámbito del sistema público de enseñanza, integrado por los centros docentes públicos y por los centros sostenidos por la Administración con fondos públicos [FJ 3].</w:t>
      </w:r>
    </w:p>
    <w:p w:rsidR="00AC56D6" w:rsidRDefault="00AC56D6" w:rsidP="00AC56D6">
      <w:pPr>
        <w:pStyle w:val="Extracto"/>
      </w:pPr>
    </w:p>
    <w:p w:rsidR="00AC56D6" w:rsidRDefault="00AC56D6" w:rsidP="00AC56D6">
      <w:pPr>
        <w:pStyle w:val="Extracto"/>
      </w:pPr>
      <w:r>
        <w:t>4.</w:t>
      </w:r>
      <w:r>
        <w:tab/>
        <w:t>La regulación última de los criterios incumbe a la Administración educativa, la cual, si bien tendrá que incorporar aquellos que con carácter prioritario recoge el precepto impugnado, podrá concretar cómo pondera cada uno e, incluso, podrá adicionar otros, en el margen de decisión (STC 214/2012) [FJ 3].</w:t>
      </w:r>
    </w:p>
    <w:p w:rsidR="00AC56D6" w:rsidRDefault="00AC56D6" w:rsidP="00AC56D6">
      <w:pPr>
        <w:pStyle w:val="Extracto"/>
      </w:pPr>
    </w:p>
    <w:p w:rsidR="00AC56D6" w:rsidRDefault="00AC56D6" w:rsidP="00AC56D6">
      <w:pPr>
        <w:pStyle w:val="Extracto"/>
      </w:pPr>
      <w:r>
        <w:t>5.</w:t>
      </w:r>
      <w:r>
        <w:tab/>
        <w:t>Se cumple la función de ordenación propia de las bases estatales, por cuanto es su consideración como prioritarios y su carácter objetivo, lo que impide, caso de insuficiencia de plazas, una selección arbitraria de alumnos, correspondiendo la ponderación concreta de los criterios establecidos por el legislador básico a las Administraciones educativas en el ejercicio de sus competencias en la materia (STC 184/2012) [FJ 3].</w:t>
      </w:r>
    </w:p>
    <w:p w:rsidR="00AC56D6" w:rsidRDefault="00AC56D6" w:rsidP="00AC56D6">
      <w:pPr>
        <w:pStyle w:val="Extracto"/>
      </w:pPr>
    </w:p>
    <w:p w:rsidR="00AC56D6" w:rsidRDefault="00AC56D6" w:rsidP="00AC56D6">
      <w:pPr>
        <w:pStyle w:val="Extracto"/>
      </w:pPr>
      <w:r>
        <w:t>6.</w:t>
      </w:r>
      <w:r>
        <w:tab/>
        <w:t>Las bases estatales en materia de adjudicación de plazas escolares en el sistema de centros sostenidos con fondos públicos sólo establecen, para el caso de escasez de plazas, unos criterios prioritarios a aplicar [FJ 5].</w:t>
      </w:r>
    </w:p>
    <w:p w:rsidR="00AC56D6" w:rsidRDefault="00AC56D6" w:rsidP="00AC56D6">
      <w:pPr>
        <w:pStyle w:val="Extracto"/>
      </w:pPr>
    </w:p>
    <w:p w:rsidR="00AC56D6" w:rsidRDefault="00AC56D6" w:rsidP="00AC56D6">
      <w:pPr>
        <w:pStyle w:val="Extracto"/>
      </w:pPr>
      <w:r>
        <w:t>7.</w:t>
      </w:r>
      <w:r>
        <w:tab/>
        <w:t xml:space="preserve">El legislador autonómico tiene capacidad para crear criterios propios de valoración y establecer el modo de calcular su aplicación siempre y cuando los criterios </w:t>
      </w:r>
      <w:r>
        <w:lastRenderedPageBreak/>
        <w:t>básicos estatales no queden desfigurados ni desplazados por una regulación completa y detallada de la materia que los diluya [FJ 5].</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la cuestión de inconstitucionalidad núm. 6424-2014, promovida por la Sección Quinta de la Sala de lo Contencioso-Administrativo del Tribunal Superior de Justicia de la Comunidad Valenciana respecto al art. 22 de la Ley de las Cortes Valencianas 6/2009, de 30 de junio, de protección de la maternidad. Han comparecido y formulado alegaciones el Abogado del Estado, la Abogada de la Generalitat Valenciana, en representación del Consell, el Letrado de las Cortes Valencianas, en representación de la Cámara, y la Fiscal General del Estado. Ha sido Ponente el Magistrado don Pedro José González-Trevijano Sánchez,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 El 28 de octubre de 2014 tuvo entrada en el Registro General de este Tribunal escrito de la Sección Quinta de la Sala de lo Contencioso-Administrativo del Tribunal Superior de Justicia de la Comunidad Valenciana, al que se acompaña, además del testimonio del procedimiento correspondiente, el Auto de 30 de septiembre de 2014, por el que se acuerda plantear cuestión de inconstitucionalidad en relación con el art. 22 de la Ley 6/2009, de 30 de junio, de las Cortes Valencianas, de protección de la maternidad, por presunta vulneración del art. 149.1.30 CE.</w:t>
      </w:r>
    </w:p>
    <w:p w:rsidR="00AC56D6" w:rsidRDefault="00AC56D6" w:rsidP="00AC56D6">
      <w:pPr>
        <w:pStyle w:val="TextoNormal"/>
      </w:pPr>
    </w:p>
    <w:p w:rsidR="00AC56D6" w:rsidRDefault="00AC56D6" w:rsidP="00AC56D6">
      <w:pPr>
        <w:pStyle w:val="TextoNormal"/>
      </w:pPr>
      <w:r w:rsidRPr="00AC56D6">
        <w:rPr>
          <w:rStyle w:val="NumeroAFNegritaCaracter"/>
        </w:rPr>
        <w:t>2</w:t>
      </w:r>
      <w:r>
        <w:t>. Los antecedentes de hecho de la presente cuestión de inconstitucionalidad son, sucintamente expuestos, los siguientes:</w:t>
      </w:r>
    </w:p>
    <w:p w:rsidR="00AC56D6" w:rsidRDefault="00AC56D6" w:rsidP="00AC56D6">
      <w:pPr>
        <w:pStyle w:val="TextoNormal"/>
      </w:pPr>
    </w:p>
    <w:p w:rsidR="00AC56D6" w:rsidRDefault="00AC56D6" w:rsidP="00AC56D6">
      <w:pPr>
        <w:pStyle w:val="TextoNormal"/>
      </w:pPr>
      <w:r>
        <w:t xml:space="preserve">a) La Abogada del Estado interpuso recurso contencioso-administrativo ordinario 237-2013, contra el Decreto de la Generalitat Valenciana 42/2013, de 22 de marzo, de modificación del Decreto 33/2007, de 30 de marzo, por el que se regula el acceso a los centros docentes públicos y privados concertados que imparten enseñanzas en régimen general (“DOCV” de 26 de marzo de 2013), solicitando la declaración de nulidad de los arts. 16.2 y 28 de la citada disposición, por posible vulneración de lo dispuesto en el art. 84.2 de la </w:t>
      </w:r>
      <w:r>
        <w:lastRenderedPageBreak/>
        <w:t>Ley Orgánica 2/2006, de 3 de mayo, de educación (en adelante LOE), que tiene carácter de legislación básica estatal.</w:t>
      </w:r>
    </w:p>
    <w:p w:rsidR="00AC56D6" w:rsidRDefault="00AC56D6" w:rsidP="00AC56D6">
      <w:pPr>
        <w:pStyle w:val="TextoNormal"/>
      </w:pPr>
    </w:p>
    <w:p w:rsidR="00AC56D6" w:rsidRDefault="00AC56D6" w:rsidP="00AC56D6">
      <w:pPr>
        <w:pStyle w:val="TextoNormal"/>
      </w:pPr>
      <w:r>
        <w:t>Dado que los preceptos reglamentarios impugnados son mera aplicación de lo prescrito por el art. 22 de la Ley 6/2009, de 30 de junio, y por tanto la decisión del recurso contencioso-administrativo interpuesto dependía de la validez de dicha norma legal, el órgano judicial, una vez concluso el procedimiento y dentro del plazo para dictar sentencia, acordó mediante providencia de 16 de julio de 2014, y de conformidad con lo dispuesto en el art. 35.2 de la Ley Orgánica del Tribunal Constitucional (LOTC), dar audiencia a las partes y al Ministerio Fiscal para que en el plazo común e improrrogable de diez días pudieran alegar lo que estimaren conveniente sobre la pertinencia de plantear cuestión de inconstitucionalidad en relación con el citado precepto legal.</w:t>
      </w:r>
    </w:p>
    <w:p w:rsidR="00AC56D6" w:rsidRDefault="00AC56D6" w:rsidP="00AC56D6">
      <w:pPr>
        <w:pStyle w:val="TextoNormal"/>
      </w:pPr>
    </w:p>
    <w:p w:rsidR="00AC56D6" w:rsidRDefault="00AC56D6" w:rsidP="00AC56D6">
      <w:pPr>
        <w:pStyle w:val="TextoNormal"/>
      </w:pPr>
      <w:r>
        <w:t>b) El Ministerio Fiscal, despachando el trámite de audiencia, emitió informe en el que considera cumplidos todos los trámites necesarios para el planteamiento de la cuestión de inconstitucionalidad.</w:t>
      </w:r>
    </w:p>
    <w:p w:rsidR="00AC56D6" w:rsidRDefault="00AC56D6" w:rsidP="00AC56D6">
      <w:pPr>
        <w:pStyle w:val="TextoNormal"/>
      </w:pPr>
    </w:p>
    <w:p w:rsidR="00AC56D6" w:rsidRDefault="00AC56D6" w:rsidP="00AC56D6">
      <w:pPr>
        <w:pStyle w:val="TextoNormal"/>
      </w:pPr>
      <w:r>
        <w:t>c) La Abogada del Estado consideró procedente asimismo el planteamiento de la cuestión de inconstitucionalidad, en la medida en que tanto los arts. 16.2 y 28 del Decreto 42/2013, de 22 de marzo, como el art. 22 de la Ley 6/2009, de 30 de junio, del que traen causa por ser mera reproducción, serían inconstitucionales por vulneración del art. 149.1.30 CE, que atribuye en exclusiva al Estado la aprobación de la legislación básica en materia de educación, en relación con el art. 84 LOE, que constituye la normativa básica del Estado en materia de admisión de alumnos en centros educativos no universitarios sostenidos con fondos públicos. Estima, además, que los mencionados preceptos serían también contrarios al art. 2 de la Ley 40/2003, de 18 de noviembre, de protección a las familias numerosas, que recoge con detalle la definición de aquéllas.</w:t>
      </w:r>
    </w:p>
    <w:p w:rsidR="00AC56D6" w:rsidRDefault="00AC56D6" w:rsidP="00AC56D6">
      <w:pPr>
        <w:pStyle w:val="TextoNormal"/>
      </w:pPr>
    </w:p>
    <w:p w:rsidR="00AC56D6" w:rsidRDefault="00AC56D6" w:rsidP="00AC56D6">
      <w:pPr>
        <w:pStyle w:val="TextoNormal"/>
      </w:pPr>
      <w:r>
        <w:t>d) La Abogada de la Generalitat Valenciana, en representación del Consejo de Gobierno, se opuso al planteamiento de la cuestión de inconstitucionalidad, por entender que la Ley autonómica cuestionada no vulnera las competencias del Estado en materia de educación ni la legislación básica dictada por éste, que el precepto tendría cobertura competencial en los arts. 49.3.9 y 53 del Estatuto de Autonomía de la Comunidad Valenciana (EAV), y habilitación derivada de la propia disposición adicional sexta LOE, que permite el desarrollo normativo por las Comunidades Autónomas de lo dispuesto en dicha Ley, a excepción de las cuestiones encomendadas al Gobierno de la Nación o que versen sobre aspectos de competencia exclusiva del Estado.</w:t>
      </w:r>
    </w:p>
    <w:p w:rsidR="00AC56D6" w:rsidRDefault="00AC56D6" w:rsidP="00AC56D6">
      <w:pPr>
        <w:pStyle w:val="TextoNormal"/>
      </w:pPr>
    </w:p>
    <w:p w:rsidR="00AC56D6" w:rsidRDefault="00AC56D6" w:rsidP="00AC56D6">
      <w:pPr>
        <w:pStyle w:val="TextoNormal"/>
      </w:pPr>
      <w:r w:rsidRPr="00AC56D6">
        <w:rPr>
          <w:rStyle w:val="NumeroAFNegritaCaracter"/>
        </w:rPr>
        <w:t>3</w:t>
      </w:r>
      <w:r>
        <w:t>. A la vista de las alegaciones formuladas, la Sección Quinta de la Sala de lo Contencioso-Administrativo del Tribunal Superior de Justicia de la Comunidad Valenciana dictó Auto de 30 de septiembre de 2014 en el que acuerda plantear cuestión de inconstitucionalidad en relación con el art. 22 de la Ley de las Cortes Valencianas 6/2009, de 30 de junio, de protección de la maternidad por posible vulneración del art. 149.1.30 CE. En dicho Auto el órgano jurisdiccional realiza, en síntesis, las siguientes consideraciones:</w:t>
      </w:r>
    </w:p>
    <w:p w:rsidR="00AC56D6" w:rsidRDefault="00AC56D6" w:rsidP="00AC56D6">
      <w:pPr>
        <w:pStyle w:val="TextoNormal"/>
      </w:pPr>
    </w:p>
    <w:p w:rsidR="00AC56D6" w:rsidRDefault="00AC56D6" w:rsidP="00AC56D6">
      <w:pPr>
        <w:pStyle w:val="TextoNormal"/>
      </w:pPr>
      <w:r>
        <w:t xml:space="preserve">Los arts. 16.2 y 28 del Decreto 42/2013, de 22 de marzo, del Consell de la Comunidad Valenciana, de modificación del Decreto 33/2007, de 30 de marzo, recurridos en vía contencioso-administrativa ante el Tribunal Superior de Justicia de la Comunidad Valenciana, </w:t>
      </w:r>
      <w:r>
        <w:lastRenderedPageBreak/>
        <w:t>fueron dictados en aplicación de lo dispuesto en el art. 22 de la Ley valenciana 6/2009, de protección de la maternidad, de la que son una transcripción prácticamente literal.</w:t>
      </w:r>
    </w:p>
    <w:p w:rsidR="00AC56D6" w:rsidRDefault="00AC56D6" w:rsidP="00AC56D6">
      <w:pPr>
        <w:pStyle w:val="TextoNormal"/>
      </w:pPr>
    </w:p>
    <w:p w:rsidR="00AC56D6" w:rsidRDefault="00AC56D6" w:rsidP="00AC56D6">
      <w:pPr>
        <w:pStyle w:val="TextoNormal"/>
      </w:pPr>
      <w:r>
        <w:t>El citado art. 22 de la Ley valenciana 6/2009 establece, para los procesos de admisión de alumnos de centros docentes no universitarios mantenidos con fondos públicos, que los alumnos cuya madre se encuentre en estado de gestación, obtendrán la puntuación que les correspondería si ya hubiera nacido su nuevo hermano (o hermanos, en el caso de gestación múltiple); y añade en su segundo párrafo, que para justificar el estado de gestación se tendrá que aportar certificación médica que acredite el embarazo de la madre en el momento de presentación de la solicitud de escolarización.</w:t>
      </w:r>
    </w:p>
    <w:p w:rsidR="00AC56D6" w:rsidRDefault="00AC56D6" w:rsidP="00AC56D6">
      <w:pPr>
        <w:pStyle w:val="TextoNormal"/>
      </w:pPr>
    </w:p>
    <w:p w:rsidR="00AC56D6" w:rsidRDefault="00AC56D6" w:rsidP="00AC56D6">
      <w:pPr>
        <w:pStyle w:val="TextoNormal"/>
      </w:pPr>
      <w:r>
        <w:t xml:space="preserve">La Sala pone de manifiesto que el art. 84 LOE no prevé esta regla entre aquellas a tener en cuenta prioritariamente en el proceso de admisión de los alumnos. En consecuencia, entiende que “la cuestión a decidir en la presente </w:t>
      </w:r>
      <w:r w:rsidRPr="00AC56D6">
        <w:rPr>
          <w:i/>
        </w:rPr>
        <w:t>litis</w:t>
      </w:r>
      <w:r>
        <w:t xml:space="preserve"> consiste en determinar si la introducción de dicho criterio de decisión en los mencionados preceptos supone un exceso en el ejercicio de la competencia que la Comunidad Autónoma de Valencia tiene asumida por vía estatutaria, si va más allá que la simple configuración de un aspecto organizativo amparado por dicha competencia autonómica o, por contra, si desactiva la previsión de la normativa básica dictada en desarrollo del artículo 27 CE para garantizar el cumplimiento de los deberes que corresponden al poder público en materia de educación y enseñanza, incorporando un elemento en la configuración de aquel criterio, que lo desvirtúa en su concepción básica para quebrar la necesaria igualdad que se trata de procurar en el territorio español en el ejercicio del derecho a la educación”.</w:t>
      </w:r>
    </w:p>
    <w:p w:rsidR="00AC56D6" w:rsidRDefault="00AC56D6" w:rsidP="00AC56D6">
      <w:pPr>
        <w:pStyle w:val="TextoNormal"/>
      </w:pPr>
    </w:p>
    <w:p w:rsidR="00AC56D6" w:rsidRDefault="00AC56D6" w:rsidP="00AC56D6">
      <w:pPr>
        <w:pStyle w:val="TextoNormal"/>
      </w:pPr>
      <w:r w:rsidRPr="00AC56D6">
        <w:rPr>
          <w:rStyle w:val="NumeroAFNegritaCaracter"/>
        </w:rPr>
        <w:t>4</w:t>
      </w:r>
      <w:r>
        <w:t>. Mediante providente de 20 de enero de 2015 el Pleno de este Tribunal acordó la admisión a trámite de la cuestión de inconstitucionalidad planteada, publicándose en el “Boletín Oficial del Estado” de 30 de enero de 2015, así como en el “Diario Oficial de la Generalidad Valenciana” de la misma fecha. De conformidad con lo previsto en el art. 37.3 LOTC se dio traslado de las actuaciones al Congreso de los Diputados y al Senado, por conducto de sus Presidentes, a la Fiscal General del Estado, al Gobierno de la Nación, por conducto del Ministro de Justicia, al Consell de la Generalitat Valenciana y a las Cortes Valencianas, también por conducto de sus Presidentes, para que pudieran personarse en el proceso y formular las alegaciones que estimasen pertinentes. Igualmente, se comunicó la admisión a trámite a la Sección Quinta de la Sala de lo Contencioso-Administrativo del Tribunal Superior de Justicia de la Comunidad Valenciana, a efectos de considerar producida la suspensión de las actuaciones del proceso judicial ordinario del que traía causa, hasta que el Tribunal Constitucional resuelva definitivamente sobre la misma, tal como prevé el art. 35.3 LOTC.</w:t>
      </w:r>
    </w:p>
    <w:p w:rsidR="00AC56D6" w:rsidRDefault="00AC56D6" w:rsidP="00AC56D6">
      <w:pPr>
        <w:pStyle w:val="TextoNormal"/>
      </w:pPr>
    </w:p>
    <w:p w:rsidR="00AC56D6" w:rsidRDefault="00AC56D6" w:rsidP="00AC56D6">
      <w:pPr>
        <w:pStyle w:val="TextoNormal"/>
      </w:pPr>
      <w:r w:rsidRPr="00AC56D6">
        <w:rPr>
          <w:rStyle w:val="NumeroAFNegritaCaracter"/>
        </w:rPr>
        <w:t>5</w:t>
      </w:r>
      <w:r>
        <w:t>. El Presidente del Senado, por escrito registrado en este Tribunal el día 4 de febrero de 2015, interesó se tuviera por personada a dicha Cámara y por ofrecida su colaboración a los efectos del art. 88.1 LOTC. En los mismos términos, y mediante escrito registrado el día 6 de febrero de 2015, el Presidente del Congreso comunicó el acuerdo adoptado por la Mesa de la Cámara, que además remitía el asunto a la Dirección de Estudios, Análisis y Publicaciones y a la Asesoría Jurídica de la Secretaría General de la Cámara.</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6</w:t>
      </w:r>
      <w:r>
        <w:t>. El Consell de la Generalitat Valenciana se dio por notificado de la admisión a trámite de la cuestión de inconstitucionalidad mediante escrito registrado el 10 de febrero de 2015, y trasladó la admisión de la cuestión a las Consellerías afectadas. Finalmente, la Mesa de las Cortes Valencianas, mediante escrito de 10 de febrero de 2015, efectuó su personación en el proceso, facultando a los servicios jurídicos de la Cámara para comparecer y realizar las actuaciones procesales que correspondiesen en defensa de la constitucionalidad de la Ley.</w:t>
      </w:r>
    </w:p>
    <w:p w:rsidR="00AC56D6" w:rsidRDefault="00AC56D6" w:rsidP="00AC56D6">
      <w:pPr>
        <w:pStyle w:val="TextoNormal"/>
      </w:pPr>
    </w:p>
    <w:p w:rsidR="00AC56D6" w:rsidRDefault="00AC56D6" w:rsidP="00AC56D6">
      <w:pPr>
        <w:pStyle w:val="TextoNormal"/>
      </w:pPr>
      <w:r w:rsidRPr="00AC56D6">
        <w:rPr>
          <w:rStyle w:val="NumeroAFNegritaCaracter"/>
        </w:rPr>
        <w:t>7</w:t>
      </w:r>
      <w:r>
        <w:t>. La Abogada de la Generalitat Valenciana, en representación de la misma, evacuó asimismo el trámite de alegaciones conferido mediante escrito registrado el 16 de febrero de 2015.</w:t>
      </w:r>
    </w:p>
    <w:p w:rsidR="00AC56D6" w:rsidRDefault="00AC56D6" w:rsidP="00AC56D6">
      <w:pPr>
        <w:pStyle w:val="TextoNormal"/>
      </w:pPr>
    </w:p>
    <w:p w:rsidR="00AC56D6" w:rsidRDefault="00AC56D6" w:rsidP="00AC56D6">
      <w:pPr>
        <w:pStyle w:val="TextoNormal"/>
      </w:pPr>
      <w:r>
        <w:t>Tras reproducir el tenor literal del precepto controvertido, de los artículos que recogen los títulos competenciales implicados (art. 149.1.30 CE, y arts. 49.3.9 y 53 EAV), y de los preceptos de la legislación educativa del Estado de interés en la cuestión planteada (art. 84, apartados 2 y 7, y disposición adicional sexta LOE), se argumenta que el art. 22 de la Ley 6/2009 se inserta en el margen de acción de que disponen las Comunidades Autónomas en las materias en las que el Estado tiene competencia para establecer las normas básicas. Las alegaciones se sustentan pues en el examen sobre el contenido y alcance de la normativa básica del Estado de acuerdo con la jurisprudencia de este Tribunal y de la aplicación hecha de la misma por parte de la jurisdicción ordinaria.</w:t>
      </w:r>
    </w:p>
    <w:p w:rsidR="00AC56D6" w:rsidRDefault="00AC56D6" w:rsidP="00AC56D6">
      <w:pPr>
        <w:pStyle w:val="TextoNormal"/>
      </w:pPr>
    </w:p>
    <w:p w:rsidR="00AC56D6" w:rsidRDefault="00AC56D6" w:rsidP="00AC56D6">
      <w:pPr>
        <w:pStyle w:val="TextoNormal"/>
      </w:pPr>
      <w:r>
        <w:t>a) En cuanto a la primera, se citan en las SSTC 5/1981, 6/1982, 48/1985, 267/1987, 137/1986, 98/2001, y más en detalle las SSTC 194/2004, de 4 de noviembre, y 214/2012, de 14 de noviembre.</w:t>
      </w:r>
    </w:p>
    <w:p w:rsidR="00AC56D6" w:rsidRDefault="00AC56D6" w:rsidP="00AC56D6">
      <w:pPr>
        <w:pStyle w:val="TextoNormal"/>
      </w:pPr>
    </w:p>
    <w:p w:rsidR="00AC56D6" w:rsidRDefault="00AC56D6" w:rsidP="00AC56D6">
      <w:pPr>
        <w:pStyle w:val="TextoNormal"/>
      </w:pPr>
      <w:r>
        <w:t>La STC 194/2004 recoge la doctrina de la legislación básica como común denominador normativo necesario para asegurar la unidad fundamental prevista en las normas del bloque de constitucionalidad, a partir del cual cada Comunidad Autónoma puede introducir las peculiaridades que estime convenientes de acuerdo con las competencias que le asigne su Estatuto. Esas bases deben satisfacer unos requisitos formales y materiales, que hacen que la definición de lo básico no quede en manos del legislador estatal.</w:t>
      </w:r>
    </w:p>
    <w:p w:rsidR="00AC56D6" w:rsidRDefault="00AC56D6" w:rsidP="00AC56D6">
      <w:pPr>
        <w:pStyle w:val="TextoNormal"/>
      </w:pPr>
    </w:p>
    <w:p w:rsidR="00AC56D6" w:rsidRDefault="00AC56D6" w:rsidP="00AC56D6">
      <w:pPr>
        <w:pStyle w:val="TextoNormal"/>
      </w:pPr>
      <w:r>
        <w:t>Por su parte, la STC 214/2012 examina concretamente una cuestión opuesta a la ventilada en la presente cuestión de inconstitucionalidad; es decir, si la legislación básica del Estado sobre criterios de admisión de alumnos en centros financiados con fondos públicos obstaculiza el ejercicio de la competencia autonómica de desarrollo normativo en esa materia. La Sentencia infiere de lo dispuesto en la Ley Orgánica 10/2002, de 23 de diciembre, de calidad de la educación, objeto entonces de enjuiciamiento, que corresponde a las Administraciones autonómicas la regulación última de los criterios de admisión que, además de incorporar los prioritarios recogidos en esa ley orgánica, “podrá concretar cómo pondera cada uno e, incluso podrá adicionar otros, en el margen de decisión”, por lo que la legislación básica no invade competencias autonómicas. El legislador estatal se ha limitado simplemente a la fijación de unos criterios que por voluntad de la propia norma estatal “han de ser concretados por la regulación de la Administración educativa competente. Se cumple así la función de ordenación propia de las bases estatales, por cuanto es su consideración como prioritarios y su carácter objetivo, lo que impide, caso de insuficiencia de plazas, una selec</w:t>
      </w:r>
      <w:r>
        <w:lastRenderedPageBreak/>
        <w:t>ción arbitraria de alumnos, correspondiendo la ponderación concreta de los criterios establecidos por el legislador básico a las Administraciones educativas en el ejercicio de sus competencias en la materia”.</w:t>
      </w:r>
    </w:p>
    <w:p w:rsidR="00AC56D6" w:rsidRDefault="00AC56D6" w:rsidP="00AC56D6">
      <w:pPr>
        <w:pStyle w:val="TextoNormal"/>
      </w:pPr>
    </w:p>
    <w:p w:rsidR="00AC56D6" w:rsidRDefault="00AC56D6" w:rsidP="00AC56D6">
      <w:pPr>
        <w:pStyle w:val="TextoNormal"/>
      </w:pPr>
      <w:r>
        <w:t>b) En cuanto a la segunda, se recoge la Sentencia del Tribunal Supremo de 9 de septiembre de 1987, y se reproduce el extenso fundamento jurídico cuarto de la Sentencia de la Sala de lo Contencioso-Administrativo del Tribunal Superior de Justicia de Galicia de 19 de febrero de 2014. Ambos fallos se pronuncian sobre el régimen jurídico de los criterios de admisión de alumnos en centros docentes públicos, conforme al art. 20.2 de la Ley Orgánica 8/1985, de 3 de julio, reguladora del derecho a la educación, hoy derogado, y en centros sostenidos con fondos públicos, conforme al vigente art. 84.2 LOE, respectivamente.</w:t>
      </w:r>
    </w:p>
    <w:p w:rsidR="00AC56D6" w:rsidRDefault="00AC56D6" w:rsidP="00AC56D6">
      <w:pPr>
        <w:pStyle w:val="TextoNormal"/>
      </w:pPr>
    </w:p>
    <w:p w:rsidR="00AC56D6" w:rsidRDefault="00AC56D6" w:rsidP="00AC56D6">
      <w:pPr>
        <w:pStyle w:val="TextoNormal"/>
      </w:pPr>
      <w:r>
        <w:t>Para el Tribunal Supremo, en la sentencia referenciada, la regulación por el Estado de unos criterios prioritarios en la Ley Orgánica del derecho a la educación “no excluye la posibilidad de que del conjunto del régimen constitucional y legal que rige la enseñanza pública no puedan extraerse otros que tengan un valor tan primordial como el de los anteriormente enunciados”. También la Sentencia del Tribunal Superior de Justicia de Galicia sostiene que la Administración autonómica (en aquel caso, la Xunta de Galicia) tiene competencia para concretar y ponderar los criterios prioritarios sentados por el Estado, pudiendo añadir otros complementarios en ejercicio de sus facultades de desarrollo normativo en materia de regulación y administración de la enseñanza en toda su extensión. Para este razonamiento la Sentencia se apoya en la doctrina del Tribunal Constitucional vertida en las SSTC 194/2004, de 4 de noviembre, y 214/2012, de 14 de noviembre, antes citadas.</w:t>
      </w:r>
    </w:p>
    <w:p w:rsidR="00AC56D6" w:rsidRDefault="00AC56D6" w:rsidP="00AC56D6">
      <w:pPr>
        <w:pStyle w:val="TextoNormal"/>
      </w:pPr>
    </w:p>
    <w:p w:rsidR="00AC56D6" w:rsidRDefault="00AC56D6" w:rsidP="00AC56D6">
      <w:pPr>
        <w:pStyle w:val="TextoNormal"/>
      </w:pPr>
      <w:r>
        <w:t>La propia Sentencia del Tribunal Superior de Justicia de Galicia se remite a un fallo suyo precedente (Sentencia 1296/2010, de 10 de noviembre), en el que se reitera esa doctrina, pero estimando en tal caso el recurso contra un Decreto autonómico sobre admisión de alumnos en centros docentes sostenidos con fondos públicos, pues se había alterado uno de los criterios prioritarios recogidos en el art. 84.2 LOE. Concretamente, se trataba del criterio de existencia de hermanos matriculados en el centro, que se restringía por la normativa autonómica en dos aspectos: en el cómputo de hermanos sólo se consideraban tales a aquéllos que fuesen a continuar escolarizados en ese centro durante el curso escolar para el que se solicitase la admisión; y, en el caso de centros concertados, a aquellos hermanos que estuviesen en un nivel educativo concertado en ese centro. La Sala juzgadora entendió que esos condicionantes constituían un exceso en el ejercicio de la competencia autonómica, al incorporar un límite que desvirtúa la legislación básica estatal.</w:t>
      </w:r>
    </w:p>
    <w:p w:rsidR="00AC56D6" w:rsidRDefault="00AC56D6" w:rsidP="00AC56D6">
      <w:pPr>
        <w:pStyle w:val="TextoNormal"/>
      </w:pPr>
    </w:p>
    <w:p w:rsidR="00AC56D6" w:rsidRDefault="00AC56D6" w:rsidP="00AC56D6">
      <w:pPr>
        <w:pStyle w:val="TextoNormal"/>
      </w:pPr>
      <w:r>
        <w:t xml:space="preserve">Concluye la Abogada de la Generalitat que el art. 22 de la Ley 6/2009, de 30 de junio, de protección de la maternidad, no altera ni modifica ninguno de los criterios fijados por la normativa básica del Estado en materia de admisión de alumnos en centros docentes sostenidos con fondos públicos, pues solo viene a contemplar un nuevo supuesto que será baremado con el resto de criterios básicos establecidos. El legislador sólo amplía pues esos criterios, recogiendo uno más de los que puntúan en el acceso a los centros, como ocurre también, por ejemplo, con la condición de deportista de élite, no previsto en la normativa básica estatal. Con ello no se están reconociendo en suma derechos al concebido y no nacido, ni se regula la eficacia de la personalidad jurídica del </w:t>
      </w:r>
      <w:r w:rsidRPr="00AC56D6">
        <w:rPr>
          <w:i/>
        </w:rPr>
        <w:t>nasciturus</w:t>
      </w:r>
      <w:r>
        <w:t xml:space="preserve">, cuestión que se reconoce como competencia exclusiva del Estado </w:t>
      </w:r>
      <w:r w:rsidRPr="00AC56D6">
        <w:rPr>
          <w:i/>
        </w:rPr>
        <w:t>ex</w:t>
      </w:r>
      <w:r>
        <w:t xml:space="preserve"> art. 149.1.8 CE. Se trata, sencillamente, de una medida de política social adoptada por la Comunidad Valenciana en atención a lo dispuesto por el </w:t>
      </w:r>
      <w:r>
        <w:lastRenderedPageBreak/>
        <w:t>art. 39 CE, que no quiebra la necesaria igualdad de trato que quiere asegurar el art. 84.1 LOE en todo el territorio español.</w:t>
      </w:r>
    </w:p>
    <w:p w:rsidR="00AC56D6" w:rsidRDefault="00AC56D6" w:rsidP="00AC56D6">
      <w:pPr>
        <w:pStyle w:val="TextoNormal"/>
      </w:pPr>
    </w:p>
    <w:p w:rsidR="00AC56D6" w:rsidRDefault="00AC56D6" w:rsidP="00AC56D6">
      <w:pPr>
        <w:pStyle w:val="TextoNormal"/>
      </w:pPr>
      <w:r w:rsidRPr="00AC56D6">
        <w:rPr>
          <w:rStyle w:val="NumeroAFNegritaCaracter"/>
        </w:rPr>
        <w:t>8</w:t>
      </w:r>
      <w:r>
        <w:t>. El Abogado del Estado evacuó el trámite de alegaciones conferido mediante escrito registrado el 17 de febrero de 2015, interesando, por contra, la íntegra estimación de la cuestión de inconstitucionalidad.</w:t>
      </w:r>
    </w:p>
    <w:p w:rsidR="00AC56D6" w:rsidRDefault="00AC56D6" w:rsidP="00AC56D6">
      <w:pPr>
        <w:pStyle w:val="TextoNormal"/>
      </w:pPr>
    </w:p>
    <w:p w:rsidR="00AC56D6" w:rsidRDefault="00AC56D6" w:rsidP="00AC56D6">
      <w:pPr>
        <w:pStyle w:val="TextoNormal"/>
      </w:pPr>
      <w:r>
        <w:t>A su juicio, el art. 22 de la Ley valenciana, al considerar a los hijos en gestación como si ya hubieran nacido a efectos de adjudicación de plazas escolares en los centros docentes sostenidos con fondos públicos, vulnera la competencia exclusiva del Estado para dictar las normas básicas para el desarrollo del art. 27 de la Constitución (art. 149.1.30 CE) —que sería la cuestión principal en este proceso—; la regulación estatal de las familias numerosas, que también constituye legislación básica estatal a respetar por las Comunidades Autónomas; e incide también en el concepto mismo de familia, materia en la que sólo el Estado podría legislar en virtud de su título competencial exclusivo, reconocido en el art. 149.1.8 CE. Esas tres alegaciones se desarrollan del siguiente modo:</w:t>
      </w:r>
    </w:p>
    <w:p w:rsidR="00AC56D6" w:rsidRDefault="00AC56D6" w:rsidP="00AC56D6">
      <w:pPr>
        <w:pStyle w:val="TextoNormal"/>
      </w:pPr>
    </w:p>
    <w:p w:rsidR="00AC56D6" w:rsidRDefault="00AC56D6" w:rsidP="00AC56D6">
      <w:pPr>
        <w:pStyle w:val="TextoNormal"/>
      </w:pPr>
      <w:r>
        <w:t>a) En primer lugar, el precepto cuestionado incidiría indebidamente en la legislación básica del Estado sobre educación. Con cita de jurisprudencia de este Tribunal (STC 182/2013, de 23 de octubre, que invoca a su vez fallos anteriores), se destaca que, en caso de competencias normativas compartidas, es la legislación autonómica la que debe acomodarse a la básica estatal, siempre que ésta reúna las condiciones materiales y formales exigibles.</w:t>
      </w:r>
    </w:p>
    <w:p w:rsidR="00AC56D6" w:rsidRDefault="00AC56D6" w:rsidP="00AC56D6">
      <w:pPr>
        <w:pStyle w:val="TextoNormal"/>
      </w:pPr>
    </w:p>
    <w:p w:rsidR="00AC56D6" w:rsidRDefault="00AC56D6" w:rsidP="00AC56D6">
      <w:pPr>
        <w:pStyle w:val="TextoNormal"/>
      </w:pPr>
      <w:r>
        <w:t>Los criterios de prioridad que recoge el art. 84.2 LOE, que tienen carácter básico conforme a la disposición adicional quinta de esa norma, y pueden ser desarrollados por las Comunidades Autónomas en virtud de su disposición adicional sexta, podrán ser ponderados por el legislador autonómico, pero éste no podrá variarlos ni crear otros distintos. De otro modo incurriría en una inconstitucionalidad mediata o indirecta, por infracción del art. 149.1.30 CE, a través de lo que el legislador estatal ha configurado como básico en la materia, ya que el art. 84.2 LOE vendría a integrarse en el conjunto de las normas básicas para el desarrollo del art. 27 CE, a fin de garantizar el cumplimiento de las obligaciones de los poderes públicos en materia de educación.</w:t>
      </w:r>
    </w:p>
    <w:p w:rsidR="00AC56D6" w:rsidRDefault="00AC56D6" w:rsidP="00AC56D6">
      <w:pPr>
        <w:pStyle w:val="TextoNormal"/>
      </w:pPr>
    </w:p>
    <w:p w:rsidR="00AC56D6" w:rsidRDefault="00AC56D6" w:rsidP="00AC56D6">
      <w:pPr>
        <w:pStyle w:val="TextoNormal"/>
      </w:pPr>
      <w:r>
        <w:t xml:space="preserve">Así, ya la STC 77/1985, de 27 de junio, FJ 5, ratificó la constitucionalidad de la legislación estatal (en ese caso, la Ley Orgánica del derecho a la educación), en la que se fijaban una serie de criterios objetivos de selección de alumnos en caso de insuficiencia de plazas en centros públicos y concertados; y así ha sido corroborado en recursos de inconstitucionalidad posteriores interpuestos contra el mismo aspecto de la Ley Orgánica 10/2002. Son los casos asimismo de la STC 184/2012, de 17 de octubre, FJ 4, y de la STC 214/2012, de 14 de noviembre, FJ 7, que con idéntica redacción en este punto señalan, que “el legislador estatal se ha limitado a la fijación de unos criterios que, como reza la propia disposición adicional quinta, han de ser concretados por la regulación de la Administración educativa competente. Se cumple así la función de ordenación propia de las bases estatales, por cuanto es su consideración como prioritarios y su carácter objetivo, lo que impide, caso de insuficiencia de plazas, una selección arbitraria de alumnos, correspondiendo la ponderación concreta de los criterios establecidos por el legislador básico a las Administraciones educativas en el ejercicio de sus competencias en la materia”. Por tanto, al legislador básico le correspondería la determinación o configuración legal de los criterios de admisión, mientras que </w:t>
      </w:r>
      <w:r>
        <w:lastRenderedPageBreak/>
        <w:t>a la normativa de desarrollo le compete solo la ponderación de esos criterios. Contar al concebido no nacido como miembro de la familia numerosa vendría a incorporar un elemento nuevo en la configuración legal de uno de los criterios prioritarios de adjudicación de plazas en centros docentes, desvirtuando o desactivando el carácter básico del criterio fijado por el Estado, al quebrar la necesaria igualdad que se trata de procurar en el territorio español en el ejercicio del derecho a la educación.</w:t>
      </w:r>
    </w:p>
    <w:p w:rsidR="00AC56D6" w:rsidRDefault="00AC56D6" w:rsidP="00AC56D6">
      <w:pPr>
        <w:pStyle w:val="TextoNormal"/>
      </w:pPr>
    </w:p>
    <w:p w:rsidR="00AC56D6" w:rsidRDefault="00AC56D6" w:rsidP="00AC56D6">
      <w:pPr>
        <w:pStyle w:val="TextoNormal"/>
      </w:pPr>
      <w:r>
        <w:t xml:space="preserve">b) El precepto cuestionado también atentaría contra el carácter básico de la legislación estatal de protección de las familias numerosas, al repercutir sobre el régimen jurídico de los beneficios que le procura la legislación sectorial, especialmente en sus relaciones con las Administraciones públicas. Esa legislación se concreta en la Ley 40/2003, de 18 de noviembre, que aspira a “promover las condiciones para que la igualdad de los miembros de las familias numerosas sea real y efectiva en el acceso y disfrute de los bienes económicos, sociales y culturales” (art. 1.1). El concepto de familia numerosa viene definido en el art. 2 de la Ley 40/2003, como aquella integrada por uno o dos ascendientes con tres o más hijos, sean o no comunes, si bien esa noción se completa en apartados subsiguientes con supuestos que se integran también en el concepto, a pesar de no alcanzar ese número de miembros, en atención a determinadas circunstancias (como la discapacidad de algún miembro, o las situaciones de tutela o acogimiento familiar). Por su parte, el art. 3 de la Ley 40/2003 concreta las condiciones específicas que deben reunir los hijos para el reconocimiento y mantenimiento como familia numerosa (en cuanto a la edad y estado civil, a la situación de convivencia y de dependencia económica). Ninguno de esos preceptos contempla sin embargo que el </w:t>
      </w:r>
      <w:r w:rsidRPr="00AC56D6">
        <w:rPr>
          <w:i/>
        </w:rPr>
        <w:t>nasciturus</w:t>
      </w:r>
      <w:r>
        <w:t xml:space="preserve"> permita al grupo familiar beneficiarse, individual o colectivamente, de la condición de familia numerosa o de miembro de la misma.</w:t>
      </w:r>
    </w:p>
    <w:p w:rsidR="00AC56D6" w:rsidRDefault="00AC56D6" w:rsidP="00AC56D6">
      <w:pPr>
        <w:pStyle w:val="TextoNormal"/>
      </w:pPr>
    </w:p>
    <w:p w:rsidR="00AC56D6" w:rsidRDefault="00AC56D6" w:rsidP="00AC56D6">
      <w:pPr>
        <w:pStyle w:val="TextoNormal"/>
      </w:pPr>
      <w:r>
        <w:t xml:space="preserve">El Abogado del Estado aporta dos argumentos para avalar que la Ley estatal de protección de familias numerosas exige en preceptos de carácter básico que los hijos que la integran hayan nacido. El primero, de carácter sustantivo, es la exigencia de nacionalidad española o de un Estado miembro de la Unión Europea por parte del art. 3.2 de la Ley 40/2003. La nacionalidad es un estado civil de la persona que exige a su vez ostentar personalidad jurídica, la cual sólo se obtiene por el nacimiento en las condiciones establecidas en el art. 30 del Código civil (CC). El segundo, que es de carácter formal, proviene de la exigencia del art. 5 de la Ley 40/2003 de acreditar la condición de familia numerosa mediante el título oficial establecido al efecto. Ese título, exigible como requisito </w:t>
      </w:r>
      <w:r w:rsidRPr="00AC56D6">
        <w:rPr>
          <w:i/>
        </w:rPr>
        <w:t>ad solemnitatem</w:t>
      </w:r>
      <w:r>
        <w:t xml:space="preserve"> para el reconocimiento y efectos jurídicos de la existencia de una familia numerosa, no incluye a los hijos concebidos pero no nacidos en el momento de su expedición. Sólo una vez producido el nacimiento podrá modificarse el título, tal como prevé el art. 6 de la Ley 40/2003. Y los beneficios que se conceden a las familias numerosas sólo surten asimismo efectos, tal como indica el artículo 7, a partir de la fecha de la presentación de la solicitud de reconocimiento o renovación del título oficial. Por tanto, solo el nacimiento efectivo puede determinar la adquisición de la condición de miembro de familia numerosa.</w:t>
      </w:r>
    </w:p>
    <w:p w:rsidR="00AC56D6" w:rsidRDefault="00AC56D6" w:rsidP="00AC56D6">
      <w:pPr>
        <w:pStyle w:val="TextoNormal"/>
      </w:pPr>
    </w:p>
    <w:p w:rsidR="00AC56D6" w:rsidRDefault="00AC56D6" w:rsidP="00AC56D6">
      <w:pPr>
        <w:pStyle w:val="TextoNormal"/>
      </w:pPr>
      <w:r>
        <w:t>En definitiva, el art. 22 de la Ley autonómica 6/2009, de 30 de junio, de protección de la maternidad, amplía el concepto de familia numerosa, aunque sea sólo para la obtención de un beneficio en el acceso a centros docentes sostenidos con fondos públicos, y constituye un desarrollo extra-limitativo de la legislación básica estatal.</w:t>
      </w:r>
    </w:p>
    <w:p w:rsidR="00AC56D6" w:rsidRDefault="00AC56D6" w:rsidP="00AC56D6">
      <w:pPr>
        <w:pStyle w:val="TextoNormal"/>
      </w:pPr>
    </w:p>
    <w:p w:rsidR="00AC56D6" w:rsidRDefault="00AC56D6" w:rsidP="00AC56D6">
      <w:pPr>
        <w:pStyle w:val="TextoNormal"/>
      </w:pPr>
      <w:r>
        <w:lastRenderedPageBreak/>
        <w:t>c) Por extensión, y como elemento instrumental de su argumentación, el Abogado del Estado entiende que la cuestión suscitada afecta también al concepto legal de familia, a efectos de su proyección jurídico-pública. Por un lado, ese concepto no puede configurarse a voluntad del legislador autonómico de desarrollo, aunque sea para la aplicación de una prescripción sectorial protectora y bienintencionada. Por otro lado, la familia es un concepto legal que forma parte del derecho común, y que es competencia exclusiva del Estado definir, en virtud de la reserva establecida por el art. 149.1.8 CE, sobre el derecho civil.</w:t>
      </w:r>
    </w:p>
    <w:p w:rsidR="00AC56D6" w:rsidRDefault="00AC56D6" w:rsidP="00AC56D6">
      <w:pPr>
        <w:pStyle w:val="TextoNormal"/>
      </w:pPr>
    </w:p>
    <w:p w:rsidR="00AC56D6" w:rsidRDefault="00AC56D6" w:rsidP="00AC56D6">
      <w:pPr>
        <w:pStyle w:val="TextoNormal"/>
      </w:pPr>
      <w:r>
        <w:t>En palabras del representante del Estado, “efectivamente, la familia —numerosa o no— se compone de personas físicas. La persona es persona porque tiene personalidad. La personalidad en derecho quiere decir la posibilidad de ser titular de relaciones y situaciones jurídicas. Desde la perspectiva estrictamente jurídico­positiva, no desde la del derecho natural ni de la del orden moral, la personalidad civil de las personas físicas, como establece el art. 29 CC, se determina por el nacimiento”. Esta circunstancia no quedaría desvirtuada por la previsión que añade tal precepto sobre que “el concebido se tiene por nacido para todos los efectos que le sean favorables”, pues esta previsión legal se refiere a beneficios propios y no de terceros o de la unidad familiar en su conjunto, como son fundamentalmente los sucesorios, que además sólo serán efectivos cuando se verifique su nacimiento, siendo gestionados hasta entonces por su representante legal. Por ello, la legislación administrativa autonómica, en este caso relativa a la acción protectora en beneficio de las familias numerosas, no puede alterar el concepto jurídico de familia propio del derecho común, estableciendo la ficción legal de que la personalidad civil surge en un momento anterior al del nacimiento, pues ello contraviene la competencia estatal sobre el derecho civil recogida en el art. 149.1.8 CE.</w:t>
      </w:r>
    </w:p>
    <w:p w:rsidR="00AC56D6" w:rsidRDefault="00AC56D6" w:rsidP="00AC56D6">
      <w:pPr>
        <w:pStyle w:val="TextoNormal"/>
      </w:pPr>
    </w:p>
    <w:p w:rsidR="00AC56D6" w:rsidRDefault="00AC56D6" w:rsidP="00AC56D6">
      <w:pPr>
        <w:pStyle w:val="TextoNormal"/>
      </w:pPr>
      <w:r w:rsidRPr="00AC56D6">
        <w:rPr>
          <w:rStyle w:val="NumeroAFNegritaCaracter"/>
        </w:rPr>
        <w:t>9</w:t>
      </w:r>
      <w:r>
        <w:t>. Mediante escrito registrado el 24 de febrero de 2015 el Letrado de las Cortes Valencianas formuló sus alegaciones, en representación de esa Cámara, interesando la desestimación de la cuestión de inconstitucionalidad planteada.</w:t>
      </w:r>
    </w:p>
    <w:p w:rsidR="00AC56D6" w:rsidRDefault="00AC56D6" w:rsidP="00AC56D6">
      <w:pPr>
        <w:pStyle w:val="TextoNormal"/>
      </w:pPr>
    </w:p>
    <w:p w:rsidR="00AC56D6" w:rsidRDefault="00AC56D6" w:rsidP="00AC56D6">
      <w:pPr>
        <w:pStyle w:val="TextoNormal"/>
      </w:pPr>
      <w:r>
        <w:t>Tras unos sucintos antecedentes se alega, en primer lugar, que la Comunidad Valenciana ostenta conforme al art. 49.1, apartados 24 a 27 EAV, competencias exclusivas en materia de servicios sociales, juventud, promoción de la mujer, instituciones de protección y ayuda a menores, jóvenes, inmigrantes, tercera edad, personas con discapacidad y otros grupos o sectores necesitados de especial protección. En ejercicio de esas competencias se dictó la Ley 12/2008, de 3 de julio, de protección integral de la infancia y la adolescencia de la Comunidad Valenciana, que en su artículo 8 contempla la protección del derecho a la vida en formación, así como de las mujeres gestantes que estén decididas a tener a su hijo, facilitándoles los medios sociales, educativos y sanitarios necesarios para ello. Y en esa misma línea de política legislativa se aprobó la Ley 6/2009, de 30 de junio, de protección de la maternidad, cuyo artículo 22 pretende dar también protección a la mujer gestante.</w:t>
      </w:r>
    </w:p>
    <w:p w:rsidR="00AC56D6" w:rsidRDefault="00AC56D6" w:rsidP="00AC56D6">
      <w:pPr>
        <w:pStyle w:val="TextoNormal"/>
      </w:pPr>
    </w:p>
    <w:p w:rsidR="00AC56D6" w:rsidRDefault="00AC56D6" w:rsidP="00AC56D6">
      <w:pPr>
        <w:pStyle w:val="TextoNormal"/>
      </w:pPr>
      <w:r>
        <w:t>En segundo lugar, se sostiene que el precepto legal cuestionado no vulnera el art. 149.1.30 CE, pues ha sido dictado en ejercicio de las competencias autonómicas asumidas en materia de educación (arts. 49.3.9 y 53 EAV), y está avalado por la doctrina del Tribunal Constitucional, que reconoce la competencia de las Comunidades Autónomas para introducir peculiaridades en virtud de opciones políticas propias, que respeten los límites de la legislación básica del Estado.</w:t>
      </w:r>
    </w:p>
    <w:p w:rsidR="00AC56D6" w:rsidRDefault="00AC56D6" w:rsidP="00AC56D6">
      <w:pPr>
        <w:pStyle w:val="TextoNormal"/>
      </w:pPr>
    </w:p>
    <w:p w:rsidR="00AC56D6" w:rsidRDefault="00AC56D6" w:rsidP="00AC56D6">
      <w:pPr>
        <w:pStyle w:val="TextoNormal"/>
      </w:pPr>
      <w:r>
        <w:lastRenderedPageBreak/>
        <w:t>En tercer lugar, se invoca la Sentencia del Tribunal Superior de Justicia de Galicia 107/2014, de 19 de febrero, también citada por la Abogada de la Generalitat, que admite que la Comunidad Autónoma pueda concretar y ponderar los criterios prioritarios de admisión de alumnos en centros sostenidos con fondos públicos establecidos por el Estado.</w:t>
      </w:r>
    </w:p>
    <w:p w:rsidR="00AC56D6" w:rsidRDefault="00AC56D6" w:rsidP="00AC56D6">
      <w:pPr>
        <w:pStyle w:val="TextoNormal"/>
      </w:pPr>
    </w:p>
    <w:p w:rsidR="00AC56D6" w:rsidRDefault="00AC56D6" w:rsidP="00AC56D6">
      <w:pPr>
        <w:pStyle w:val="TextoNormal"/>
      </w:pPr>
      <w:r w:rsidRPr="00AC56D6">
        <w:rPr>
          <w:rStyle w:val="NumeroAFNegritaCaracter"/>
        </w:rPr>
        <w:t>10</w:t>
      </w:r>
      <w:r>
        <w:t>. Por último, la Fiscal General del Estado, por escrito registrado el 27 de febrero de 2015, presentó su escrito de alegaciones, interesando la desestimación de la cuestión de inconstitucionalidad por las razones que se resumen a continuación.</w:t>
      </w:r>
    </w:p>
    <w:p w:rsidR="00AC56D6" w:rsidRDefault="00AC56D6" w:rsidP="00AC56D6">
      <w:pPr>
        <w:pStyle w:val="TextoNormal"/>
      </w:pPr>
    </w:p>
    <w:p w:rsidR="00AC56D6" w:rsidRDefault="00AC56D6" w:rsidP="00AC56D6">
      <w:pPr>
        <w:pStyle w:val="TextoNormal"/>
      </w:pPr>
      <w:r>
        <w:t xml:space="preserve">Destaca que el objeto de debate es la posible inconstitucionalidad mediata de una norma legal autonómica por contradicción con la normativa básica del Estado, recogiendo la doctrina constitucional aplicable a estos supuestos, con cita de la STC 181/2012, de 15 de octubre, FJ 3. Igualmente se expone el marco normativo competencial en materia de educación, tanto estatal como autonómico. A este respecto, se subraya con carácter previo que el art. 84.2 LOE, que constituye la legislación estatal básica aplicable, ha sido modificado por la Ley Orgánica 8/2013, de 9 de diciembre, para la mejora de la calidad educativa, pero sin que tal reforma afecte a la presente cuestión de inconstitucionalidad, por ser de aplicación el bloque constitucional vigente al iniciarse el proceso </w:t>
      </w:r>
      <w:r w:rsidRPr="00AC56D6">
        <w:rPr>
          <w:i/>
        </w:rPr>
        <w:t>a quo</w:t>
      </w:r>
      <w:r>
        <w:t>, que se produjo en mayo de 2013.</w:t>
      </w:r>
    </w:p>
    <w:p w:rsidR="00AC56D6" w:rsidRDefault="00AC56D6" w:rsidP="00AC56D6">
      <w:pPr>
        <w:pStyle w:val="TextoNormal"/>
      </w:pPr>
    </w:p>
    <w:p w:rsidR="00AC56D6" w:rsidRDefault="00AC56D6" w:rsidP="00AC56D6">
      <w:pPr>
        <w:pStyle w:val="TextoNormal"/>
      </w:pPr>
      <w:r>
        <w:t>El sentido del art. 84.2 LOE es asegurar un mínimo de homogeneidad en el acceso a centros docentes, cuando haya insuficiencia de plazas para atender todas las solicitudes que se planteen. Pero el legislador estatal sólo fija para ello unos criterios que deben tener consideración preferente, y que no impiden el establecimiento de otros complementarios por las Comunidades Autónomas. Además, no hay reparo para que esos otros criterios se contengan en leyes ordinarias, lo cual incluso “deviene imperativo constitucional cuando de articular las competencias estatales con las autonómicas se trata” (STC 137/1986, de 6 de noviembre, FJ 3), tal y como ocurre en el caso del despliegue regulatorio del art. 27 CE. Esa colaboración normativa está prevista pues por el art. 84.1 LOE, que dispone que serán las Administraciones educativas las que regulen el proceso de admisión de alumnos en centros educativos.</w:t>
      </w:r>
    </w:p>
    <w:p w:rsidR="00AC56D6" w:rsidRDefault="00AC56D6" w:rsidP="00AC56D6">
      <w:pPr>
        <w:pStyle w:val="TextoNormal"/>
      </w:pPr>
    </w:p>
    <w:p w:rsidR="00AC56D6" w:rsidRDefault="00AC56D6" w:rsidP="00AC56D6">
      <w:pPr>
        <w:pStyle w:val="TextoNormal"/>
      </w:pPr>
      <w:r>
        <w:t>En este punto, se recoge la doctrina de este Tribunal sobre los criterios de valoración de las solicitudes de puestos escolares, expresada en las SSTC 184/2012, de 17 de octubre, FJ 4 b), y 214/2012, de 14 de noviembre, FJ 7. Se confirma así que los criterios fijados por el Estado para la admisión en centros sostenidos con fondos públicos constituyen normas básicas que las Comunidades Autónomas deben respetar, pero que la normativa de desarrollo corresponde a las distintas Administraciones educativas, incorporando en todo caso los criterios prioritarios que ha establecido el Estado, tanto adicionando otros criterios distintos, como ponderando y concretando los criterios básicos estatales, siempre que no incurran en arbitrariedad.</w:t>
      </w:r>
    </w:p>
    <w:p w:rsidR="00AC56D6" w:rsidRDefault="00AC56D6" w:rsidP="00AC56D6">
      <w:pPr>
        <w:pStyle w:val="TextoNormal"/>
      </w:pPr>
    </w:p>
    <w:p w:rsidR="00AC56D6" w:rsidRDefault="00AC56D6" w:rsidP="00AC56D6">
      <w:pPr>
        <w:pStyle w:val="TextoNormal"/>
      </w:pPr>
      <w:r>
        <w:t xml:space="preserve">Por otro lado, se constata que la normativa autonómica valenciana cuestionada (tanto la Ley 6/2009, de 30 de junio, de protección de la maternidad, como el Decreto 42/2013, de 23 de marzo) responde a un bien constitucional recogido en el art. 39 CE, y se enmarca en la obligación de los poderes públicos allí establecida de asegurar la protección de la familia, previsión incorporada también en el art. 10.3 EAV. La normativa cuestionada no viene por tanto a reconocer derecho alguno al </w:t>
      </w:r>
      <w:r w:rsidRPr="00AC56D6">
        <w:rPr>
          <w:i/>
        </w:rPr>
        <w:t>nasciturus</w:t>
      </w:r>
      <w:r>
        <w:t xml:space="preserve">, ni es incompatible con la normativa básica </w:t>
      </w:r>
      <w:r>
        <w:lastRenderedPageBreak/>
        <w:t>estatal al introducir la consideración del estado de gestación de la madre como criterio de adjudicación de plazas escolares. Simplemente establece una ficción legal, al introducir un elemento que el legislador autonómico considera relevante para proteger la maternidad, en consonancia con uno de los objetivos recogidos en el art. 1 de la Ley 6/2009, de 30 de junio: “el derecho a la vida en formación desde la concepción”.</w:t>
      </w:r>
    </w:p>
    <w:p w:rsidR="00AC56D6" w:rsidRDefault="00AC56D6" w:rsidP="00AC56D6">
      <w:pPr>
        <w:pStyle w:val="TextoNormal"/>
      </w:pPr>
    </w:p>
    <w:p w:rsidR="00AC56D6" w:rsidRDefault="00AC56D6" w:rsidP="00AC56D6">
      <w:pPr>
        <w:pStyle w:val="TextoNormal"/>
      </w:pPr>
      <w:r>
        <w:t>En cuanto a la compatibilidad de la normativa autonómica con la básica estatal, se argumenta que la situación de las madres gestantes se valora en las solicitudes no con una puntuación directa, sino a través de otros criterios recogidos en la normativa estatal y autonómica. Además, los Decretos autonómicos 33/2007, de 30 de marzo, y 42/2013, de 22 de marzo, de modificación del anterior, respetan la legislación básica estatal por incorporar a esa normativa los criterios prioritarios fijados por el Estado, asignándoles la puntuación que les corresponde.</w:t>
      </w:r>
    </w:p>
    <w:p w:rsidR="00AC56D6" w:rsidRDefault="00AC56D6" w:rsidP="00AC56D6">
      <w:pPr>
        <w:pStyle w:val="TextoNormal"/>
      </w:pPr>
    </w:p>
    <w:p w:rsidR="00AC56D6" w:rsidRDefault="00AC56D6" w:rsidP="00AC56D6">
      <w:pPr>
        <w:pStyle w:val="TextoNormal"/>
      </w:pPr>
      <w:r>
        <w:t xml:space="preserve">El escrito de la Fiscalía General del Estado presta también especial atención a analizar si la ficción legal de considerar al </w:t>
      </w:r>
      <w:r w:rsidRPr="00AC56D6">
        <w:rPr>
          <w:i/>
        </w:rPr>
        <w:t>nasciturus</w:t>
      </w:r>
      <w:r>
        <w:t xml:space="preserve"> como un hermano más, pudiese vulnerar el mandato estatal de regular los criterios de admisión en condiciones de igualdad. A tal efecto, subraya que el número de hermanos de la familia no es un criterio de admisión en cuanto tal, de manera que la consideración del </w:t>
      </w:r>
      <w:r w:rsidRPr="00AC56D6">
        <w:rPr>
          <w:i/>
        </w:rPr>
        <w:t>nasciturus</w:t>
      </w:r>
      <w:r>
        <w:t xml:space="preserve"> como ya nacido repercute más bien en otros criterios de adjudicación de plazas escolares. En concreto, en los criterios de las rentas anuales de la unidad familiar y la condición de familia numerosa [art. 16.1, letras d) y f) del Decreto autonómico].</w:t>
      </w:r>
    </w:p>
    <w:p w:rsidR="00AC56D6" w:rsidRDefault="00AC56D6" w:rsidP="00AC56D6">
      <w:pPr>
        <w:pStyle w:val="TextoNormal"/>
      </w:pPr>
    </w:p>
    <w:p w:rsidR="00AC56D6" w:rsidRDefault="00AC56D6" w:rsidP="00AC56D6">
      <w:pPr>
        <w:pStyle w:val="TextoNormal"/>
      </w:pPr>
      <w:r>
        <w:t xml:space="preserve">Así, en cuanto al criterio de la renta familiar, el art. 21 del Decreto autonómico especifica la manera de evaluarlo, otorgando un punto a las rentas familiares iguales o inferiores a 1,5 veces el indicador público de renta de efectos múltiples, de acuerdo con la información que facilite directamente la Agencia Estatal de Administración Tributaria a la Administración autonómica. A estos efectos, como las rentas anuales se calcularán “teniendo en cuenta el número de miembros de la unidad familiar” (artículo 21.2), la consideración del </w:t>
      </w:r>
      <w:r w:rsidRPr="00AC56D6">
        <w:rPr>
          <w:i/>
        </w:rPr>
        <w:t>nasciturus</w:t>
      </w:r>
      <w:r>
        <w:t xml:space="preserve"> como un hermano más repercutirá en el cómputo de las mismas.</w:t>
      </w:r>
    </w:p>
    <w:p w:rsidR="00AC56D6" w:rsidRDefault="00AC56D6" w:rsidP="00AC56D6">
      <w:pPr>
        <w:pStyle w:val="TextoNormal"/>
      </w:pPr>
    </w:p>
    <w:p w:rsidR="00AC56D6" w:rsidRDefault="00AC56D6" w:rsidP="00AC56D6">
      <w:pPr>
        <w:pStyle w:val="TextoNormal"/>
      </w:pPr>
      <w:r>
        <w:t xml:space="preserve">Y respecto al criterio de tener la unidad familiar la condición de numerosa, se destaca primero que no era como tal un criterio prioritario según la redacción original del art. 84.2 LOE. En la normativa estatal esa condición sólo tendría virtualidad a través del criterio relativo a la renta anual de la unidad familiar. En cambio, la normativa autonómica sí recoge expresamente como criterio de adjudicación de plazas la condición de familia numerosa [apartado 1 f) del art. 21], asignando 3 puntos a la de carácter general y 5 puntos a la de categoría especial (art. 23). En ese criterio sí repercute la ficción legal de considerar al </w:t>
      </w:r>
      <w:r w:rsidRPr="00AC56D6">
        <w:rPr>
          <w:i/>
        </w:rPr>
        <w:t>nasciturus</w:t>
      </w:r>
      <w:r>
        <w:t xml:space="preserve"> como un hermano más, modificando la puntuación final del futuro alumno cuya madre se encuentre embarazada. Pero no estamos, en realidad, ante un criterio autónomo de valoración, sino ante un elemento que proyecta sus efectos sobre otros criterios fijados por la legislación básica y autonómica.</w:t>
      </w:r>
    </w:p>
    <w:p w:rsidR="00AC56D6" w:rsidRDefault="00AC56D6" w:rsidP="00AC56D6">
      <w:pPr>
        <w:pStyle w:val="TextoNormal"/>
      </w:pPr>
    </w:p>
    <w:p w:rsidR="00AC56D6" w:rsidRDefault="00AC56D6" w:rsidP="00AC56D6">
      <w:pPr>
        <w:pStyle w:val="TextoNormal"/>
      </w:pPr>
      <w:r>
        <w:t xml:space="preserve">Finalmente, para valorar si esta regulación supone una disparidad de trato entre familias con madre gestante y familias sin ella, que atente el principio de igualdad, se aplica la doctrina del Tribunal Constitucional (ATC 129/2014, de 5 de mayo), que exige que la diferencia de trato esté justificada, responda a un objetivo legítimo y sea proporcionada a la finalidad que persigue la ley. La Fiscal General del Estado entiende que la prescripción autonómica </w:t>
      </w:r>
      <w:r>
        <w:lastRenderedPageBreak/>
        <w:t>supera ese triple test. La medida está justificada en la protección de la maternidad y obedece a un fin constitucionalmente legítimo, como es el recogido en el art. 39 CE. Se trata, además, de una medida proporcionada, pues según sus cálculos entre dos solicitantes que reúnan todos los requisitos del art. 16 del Decreto autonómico, la familia con madre gestante sólo obtendría una puntuación un 13 o 14 por 100 superior a la que no la tuviese, por lo que es un criterio razonable y objetivo, que no aparece como determinante de la asignación de puestos escolares, y que no se opone a los criterios establecidos en la legislación básica estatal. Además, se destaca que estamos ante un criterio transversal, inspirador e informador de la acción pública de la Comunidad Autónoma, como muestra por ejemplo el art. 4.2 de la Ley valenciana 9/2007, de 12 de marzo, de renta garantizada de ciudadanía, que también dispensa a la unidad familiar el beneficio de contar el número de hijos incluyendo al que esté o a los que estén en gestación, siempre que se acredite con certificación médica.</w:t>
      </w:r>
    </w:p>
    <w:p w:rsidR="00AC56D6" w:rsidRDefault="00AC56D6" w:rsidP="00AC56D6">
      <w:pPr>
        <w:pStyle w:val="TextoNormal"/>
      </w:pPr>
    </w:p>
    <w:p w:rsidR="00AC56D6" w:rsidRDefault="00AC56D6" w:rsidP="00AC56D6">
      <w:pPr>
        <w:pStyle w:val="TextoNormal"/>
      </w:pPr>
      <w:r w:rsidRPr="00AC56D6">
        <w:rPr>
          <w:rStyle w:val="NumeroAFNegritaCaracter"/>
        </w:rPr>
        <w:t>11</w:t>
      </w:r>
      <w:r>
        <w:t>. Por providencia de 15 de diciembre de 2015 se señaló para deliberación y votación de la presente Sentencia el día 17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La Sala de lo Contencioso-Administrativo del Tribunal Superior de Justicia de la Comunidad Valenciana plantea cuestión de inconstitucionalidad en relación con el art. 22 de la Ley de las Cortes Valencianas 6/2009, de 30 de junio, de protección de la maternidad. Literalmente, el precepto cuestionado dispone:</w:t>
      </w:r>
    </w:p>
    <w:p w:rsidR="00AC56D6" w:rsidRDefault="00AC56D6" w:rsidP="00AC56D6">
      <w:pPr>
        <w:pStyle w:val="TextoNormal"/>
      </w:pPr>
    </w:p>
    <w:p w:rsidR="00AC56D6" w:rsidRDefault="00AC56D6" w:rsidP="00AC56D6">
      <w:pPr>
        <w:pStyle w:val="TextoNormal"/>
      </w:pPr>
      <w:r>
        <w:t>“En los procesos de admisión de alumnos de centros docentes no universitarios mantenidos con fondos públicos, los alumnos cuya madre se encuentre en estado de gestación, se beneficiarán de una puntuación idéntica a la que obtendrían si ya hubiera nacido su nuevo hermano o sus hermanos, en el caso de que se trate de gestación múltiple.</w:t>
      </w:r>
    </w:p>
    <w:p w:rsidR="00AC56D6" w:rsidRDefault="00AC56D6" w:rsidP="00AC56D6">
      <w:pPr>
        <w:pStyle w:val="TextoNormal"/>
      </w:pPr>
    </w:p>
    <w:p w:rsidR="00AC56D6" w:rsidRDefault="00AC56D6" w:rsidP="00AC56D6">
      <w:pPr>
        <w:pStyle w:val="TextoNormal"/>
      </w:pPr>
      <w:r>
        <w:t>Para la justificación de dicho extremo, tendrá que aportarse certificación médica que acredite el embarazo en el momento de la presentación de la solicitud de escolarización.”</w:t>
      </w:r>
    </w:p>
    <w:p w:rsidR="00AC56D6" w:rsidRDefault="00AC56D6" w:rsidP="00AC56D6">
      <w:pPr>
        <w:pStyle w:val="TextoNormal"/>
      </w:pPr>
    </w:p>
    <w:p w:rsidR="00AC56D6" w:rsidRDefault="00AC56D6" w:rsidP="00AC56D6">
      <w:pPr>
        <w:pStyle w:val="TextoNormal"/>
      </w:pPr>
      <w:r>
        <w:t>Las cuestión de inconstitucionalidad se fundamenta, según señala el Auto de planteamiento, en la posible contradicción de este precepto con lo dispuesto en el art. 84 de la Ley Orgánica 2/2006, de 3 de mayo, de educación (LOE), que constituye legislación básica del Estado, dictada al amparo de la competencia exclusiva que le atribuye el art. 149.1.30 CE en materia de “normas básicas para el desarrollo del artículo 27 de la Constitución, a fin de garantizar el cumplimiento de las obligaciones de los poderes públicos en esta materia”.</w:t>
      </w:r>
    </w:p>
    <w:p w:rsidR="00AC56D6" w:rsidRDefault="00AC56D6" w:rsidP="00AC56D6">
      <w:pPr>
        <w:pStyle w:val="TextoNormal"/>
      </w:pPr>
    </w:p>
    <w:p w:rsidR="00AC56D6" w:rsidRDefault="00AC56D6" w:rsidP="00AC56D6">
      <w:pPr>
        <w:pStyle w:val="TextoNormal"/>
      </w:pPr>
      <w:r>
        <w:t xml:space="preserve">En concreto, el órgano judicial estima que el citado artículo de la Ley valenciana, en cuanto modifica los criterios de puntuación en los procesos de admisión de alumnos en centros docentes no universitarios sostenidos con fondos públicos en el territorio de esa Comunidad Autónoma, al considerar al </w:t>
      </w:r>
      <w:r w:rsidRPr="00AC56D6">
        <w:rPr>
          <w:i/>
        </w:rPr>
        <w:t>nasciturus</w:t>
      </w:r>
      <w:r>
        <w:t xml:space="preserve"> como ya nacido a la hora de baremar la petición de plaza del hermano ya nacido, podría colisionar con los criterios preferentes de adjudicación establecidos por el Estado con carácter básico en el citado art. 84.2 LOE.</w:t>
      </w:r>
    </w:p>
    <w:p w:rsidR="00AC56D6" w:rsidRDefault="00AC56D6" w:rsidP="00AC56D6">
      <w:pPr>
        <w:pStyle w:val="TextoNormal"/>
      </w:pPr>
    </w:p>
    <w:p w:rsidR="00AC56D6" w:rsidRDefault="00AC56D6" w:rsidP="00AC56D6">
      <w:pPr>
        <w:pStyle w:val="TextoNormal"/>
      </w:pPr>
      <w:r>
        <w:t xml:space="preserve">El Abogado del Estado interesa la estimación de la cuestión de inconstitucionalidad por considerar que en este punto la Ley valenciana vulnera la legislación básica estatal, en la </w:t>
      </w:r>
      <w:r>
        <w:lastRenderedPageBreak/>
        <w:t>que se establecen una serie de criterios prioritarios para la adjudicación de plazas, cuando no haya suficientes, para dar satisfacción a todos los solicitantes en su primera opción (art. 84.2 LOE). Por su parte, la Fiscal General del Estado no aprecia que esta disposición autonómica contradiga la legislación básica del Estado ni, por tanto, haya invasión de la competencia estatal sobre la normativa básica en materia educativa. Tampoco lo hacen el propio autor de la Ley cuestionada, las Cortes Valencianas, ni el Consell de la Generalitat Valenciana, que están personados en el presente proceso, y que han argumentado en sus escritos de alegaciones sobre la plena constitucionalidad del art. 22 de la Ley valenciana 6/2009.</w:t>
      </w:r>
    </w:p>
    <w:p w:rsidR="00AC56D6" w:rsidRDefault="00AC56D6" w:rsidP="00AC56D6">
      <w:pPr>
        <w:pStyle w:val="TextoNormal"/>
      </w:pPr>
    </w:p>
    <w:p w:rsidR="00AC56D6" w:rsidRDefault="00AC56D6" w:rsidP="00AC56D6">
      <w:pPr>
        <w:pStyle w:val="TextoNormal"/>
      </w:pPr>
      <w:r w:rsidRPr="00AC56D6">
        <w:rPr>
          <w:rStyle w:val="NumeroAFNegritaCaracter"/>
        </w:rPr>
        <w:t>2</w:t>
      </w:r>
      <w:r>
        <w:t>. El objeto de la presente cuestión de inconstitucionalidad es pues la posible inconstitucionalidad mediata o indirecta del precepto legal cuestionado, por vulneración de la legislación básica del Estado y, por tanto, de la competencia exclusiva del Estado para dictar las normas básicas para el desarrollo del art. 27 CE, a fin de garantizar el cumplimiento de las obligaciones de los poderes públicos en materia educativa (art. 149.1.30 CE).</w:t>
      </w:r>
    </w:p>
    <w:p w:rsidR="00AC56D6" w:rsidRDefault="00AC56D6" w:rsidP="00AC56D6">
      <w:pPr>
        <w:pStyle w:val="TextoNormal"/>
      </w:pPr>
    </w:p>
    <w:p w:rsidR="00AC56D6" w:rsidRDefault="00AC56D6" w:rsidP="00AC56D6">
      <w:pPr>
        <w:pStyle w:val="TextoNormal"/>
      </w:pPr>
      <w:r>
        <w:t>Con carácter previo al examen de fondo, conviene advertir que la legislación básica estatal de referencia ha sido modificada con posterioridad a la interposición del recurso contencioso-administrativo en el que se suscitó la presente cuestión. En efecto, el art. 84.2 LOE fue modificado por el artículo único.60 de la Ley Orgánica 8/2013, de 9 de diciembre, para la mejora de la calidad educativa, y, posteriormente, por la disposición final sexta de la Ley 26/2015, de 28 de julio, modificación del sistema de protección a la infancia y a la adolescencia, pero sin que esa evolución legislativa haya alterado los términos del juicio de constitucionalidad que nos corresponde efectuar sobre los preceptos impugnados.</w:t>
      </w:r>
    </w:p>
    <w:p w:rsidR="00AC56D6" w:rsidRDefault="00AC56D6" w:rsidP="00AC56D6">
      <w:pPr>
        <w:pStyle w:val="TextoNormal"/>
      </w:pPr>
    </w:p>
    <w:p w:rsidR="00AC56D6" w:rsidRDefault="00AC56D6" w:rsidP="00AC56D6">
      <w:pPr>
        <w:pStyle w:val="TextoNormal"/>
      </w:pPr>
      <w:r w:rsidRPr="00AC56D6">
        <w:rPr>
          <w:rStyle w:val="NumeroAFNegritaCaracter"/>
        </w:rPr>
        <w:t>3</w:t>
      </w:r>
      <w:r>
        <w:t>. El análisis de la posible inconstitucionalidad mediata del precepto legal autonómico cuestionado exige, de acuerdo con una doctrina constitucional consolidada, examinar en primer lugar el carácter básico, tanto formal como material, del art. 84.2 LOE, es decir, de la regulación estatal a la que debe ajustarse la normativa autonómica de desarrollo; y, en segundo lugar, si la posible contradicción entre ambas normas, estatal y autonómica es efectiva e insalvable por vía interpretativa.</w:t>
      </w:r>
    </w:p>
    <w:p w:rsidR="00AC56D6" w:rsidRDefault="00AC56D6" w:rsidP="00AC56D6">
      <w:pPr>
        <w:pStyle w:val="TextoNormal"/>
      </w:pPr>
    </w:p>
    <w:p w:rsidR="00AC56D6" w:rsidRDefault="00AC56D6" w:rsidP="00AC56D6">
      <w:pPr>
        <w:pStyle w:val="TextoNormal"/>
      </w:pPr>
      <w:r>
        <w:t>Desde la primera de las perspectivas mencionadas, el carácter formalmente básico del art. 84 LOE no plantea dificultades, pues la disposición final quinta de la misma norma atribuye esa calificación al conjunto de la ley orgánica, en virtud de las competencias estatales recogidas en las materias 1, 18 y 30 del art. 149.1 CE, a excepción de ciertos preceptos que se enumeran, y entre los cuales no consta el artículo 84.</w:t>
      </w:r>
    </w:p>
    <w:p w:rsidR="00AC56D6" w:rsidRDefault="00AC56D6" w:rsidP="00AC56D6">
      <w:pPr>
        <w:pStyle w:val="TextoNormal"/>
      </w:pPr>
    </w:p>
    <w:p w:rsidR="00AC56D6" w:rsidRDefault="00AC56D6" w:rsidP="00AC56D6">
      <w:pPr>
        <w:pStyle w:val="TextoNormal"/>
      </w:pPr>
      <w:r>
        <w:t xml:space="preserve">La misma conclusión cabe extraer del análisis del precepto desde una perspectiva material. El artículo 84 establece unas reglas mínimas comunes para el reparto de plazas escolares en el ámbito del sistema público de enseñanza, integrado por los centros docentes públicos y por los centros sostenidos por la Administración con fondos públicos. El carácter obligatorio y gratuito de la enseñanza básica (art. 27.4 CE) exige a los poderes públicos la organización de una red suficiente de centros sostenidos con fondos públicos con los que atender a toda la población escolar, siendo responsabilidad de las Administraciones educativas abrir una oferta suficiente y diversa para atender las preferencias de los padres sobre el modelo educativo en el que escolarizar a sus hijos, y para garantizar que éstos reciban la formación religiosa y moral que esté de acuerdo con sus propias convicciones (art. 27.3 CE). Y ante la eventualidad de que la oferta escolar disponible en cada población no sea </w:t>
      </w:r>
      <w:r>
        <w:lastRenderedPageBreak/>
        <w:t>suficiente para asegurar a todos los interesados una plaza en el centro preferente de su elección, se hace necesario arbitrar un procedimiento equitativo y justo de asignación de los puestos disponibles. En este contexto, el art. 84 LOE parte del reconocimiento a las Administraciones educativas de la responsabilidad de regular en concreto la admisión de alumnos en la red de centros sostenidos con fondos públicos de cada territorio, pero a la vez sienta una serie de reglas y directrices que tratan de garantizar un tratamiento uniforme de la población escolar en todo el territorio nacional.</w:t>
      </w:r>
    </w:p>
    <w:p w:rsidR="00AC56D6" w:rsidRDefault="00AC56D6" w:rsidP="00AC56D6">
      <w:pPr>
        <w:pStyle w:val="TextoNormal"/>
      </w:pPr>
    </w:p>
    <w:p w:rsidR="00AC56D6" w:rsidRDefault="00AC56D6" w:rsidP="00AC56D6">
      <w:pPr>
        <w:pStyle w:val="TextoNormal"/>
      </w:pPr>
      <w:r>
        <w:t>El carácter materialmente básico de la normativa estatal que contiene criterios específicos a aplicar en los procesos de adjudicación de plazas escolares en la red de centros sostenidos con fondos públicos ha sido puesto de manifiesto en anteriores pronunciamientos de este Tribunal. Y es que las sucesivas versiones de esa regulación básica estatal, han sido objeto de impugnación ante este Tribunal, tanto por supuesta vulneración de derechos fundamentales como por posible invasión de competencias. Esos pronunciamientos han permitido establecer una doctrina que lógicamente ha de ser tenida en cuenta en este caso.</w:t>
      </w:r>
    </w:p>
    <w:p w:rsidR="00AC56D6" w:rsidRDefault="00AC56D6" w:rsidP="00AC56D6">
      <w:pPr>
        <w:pStyle w:val="TextoNormal"/>
      </w:pPr>
    </w:p>
    <w:p w:rsidR="00AC56D6" w:rsidRDefault="00AC56D6" w:rsidP="00AC56D6">
      <w:pPr>
        <w:pStyle w:val="TextoNormal"/>
      </w:pPr>
      <w:r>
        <w:t>La regulación de los criterios de admisión de alumnos introducida por los arts. 20.2 (para centros públicos) y 53 (para centros privados concertados, que se remitía al anterior precepto) de la Ley Orgánica 8/1985, de 3 de julio, reguladora del derecho a la educación, fue objeto de recurso previo de inconstitucionalidad, que fue resuelto por la STC 77/1985, de 27 de junio. En aquella ocasión se cuestionaba el ajuste al art. 27.1 CE del establecimiento de unos criterios de selección por parte de la Administración (situación económica familiar, proximidad del domicilio al centro educativo y existencia de otros hermanos matriculados). Es decir, se planteaba la constitucionalidad del propio sistema diseñado por la Ley Orgánica del derecho a la educación, en la medida en que los criterios de selección vendrían a suplantar el derecho de elección de los padres o tutores, y podrían conferir a la Administración, en función de cómo se utilizasen, una suerte de potestad de adscripción forzosa de alumnos a los centros educativos. Particularmente se expresaron reparos al concreto criterio prioritario de la proximidad geográfica, porque supondría subordinar las solicitudes fundadas en la preferencia de los padres o tutores de un modelo o proyecto educativo al criterio menos relevante de la distancia del domicilio al centro. Este Tribunal entendió entonces que el sistema de adjudicación de plazas escolares, organizado a partir de una elección inicial y previa de los padres, no era sustituido por el hecho de introducirse unos criterios de ordenación del conjunto de las peticiones; más bien los criterios de selección, de carácter objetivo, permitirían impedir la selección arbitraria por parte de los centros públicos y concertados.</w:t>
      </w:r>
    </w:p>
    <w:p w:rsidR="00AC56D6" w:rsidRDefault="00AC56D6" w:rsidP="00AC56D6">
      <w:pPr>
        <w:pStyle w:val="TextoNormal"/>
      </w:pPr>
    </w:p>
    <w:p w:rsidR="00AC56D6" w:rsidRDefault="00AC56D6" w:rsidP="00AC56D6">
      <w:pPr>
        <w:pStyle w:val="TextoNormal"/>
      </w:pPr>
      <w:r>
        <w:t>Más recientemente, este Tribunal se ha pronunciado también sobre si la normativa básica estatal de selección de alumnos invadía las competencias educativas de las Comunidades Autónomas. En efecto, al aprobarse la Ley Orgánica 10/2002, de 23 de diciembre, de calidad de la educación, se amplió el detalle de las prescripciones básicas del Estado en esta materia, siendo objeto de sendos recursos de inconstitucionalidad presentados por la Diputación General de Aragón y por la Junta de Comunidades de Castilla-La Mancha, además de otras impugnaciones de aspectos diferentes de la normativa por parte de otros gobiernos autonómicos. Tales recursos fueron resueltos por la STC 184/2012, de 17 de octubre, FJ 4, y 214/2012, de 17 de octubre, FJ 7.</w:t>
      </w:r>
    </w:p>
    <w:p w:rsidR="00AC56D6" w:rsidRDefault="00AC56D6" w:rsidP="00AC56D6">
      <w:pPr>
        <w:pStyle w:val="TextoNormal"/>
      </w:pPr>
    </w:p>
    <w:p w:rsidR="00AC56D6" w:rsidRDefault="00AC56D6" w:rsidP="00AC56D6">
      <w:pPr>
        <w:pStyle w:val="TextoNormal"/>
      </w:pPr>
      <w:r>
        <w:t xml:space="preserve">En la STC 184/2012 rechazamos la inconstitucionalidad de alguno de los criterios prioritarios introducidos en la disposición adicional quinta de la Ley Orgánica 10/2002, ante la </w:t>
      </w:r>
      <w:r>
        <w:lastRenderedPageBreak/>
        <w:t>alegación de su excesivo grado de generalidad, sobre todo en relación con la ponderación que tendría que hacerse de esos criterios, “que sería incompatible con su condición de norma básica en materia educativa”. El Tribunal, tras constatar que el legislador estatal se había limitado a fijar unos criterios que debían ser concretados por cada Administración educativa, apreció que “se cumple así la función de ordenación propia de las bases estatales, por cuanto es su consideración como prioritarios y su carácter objetivo, lo que impide, caso de insuficiencia de plazas, una selección arbitraria de alumnos, correspondiendo la ponderación concreta de los criterios establecidos por el legislador básico a las Administraciones educativas en el ejercicio de sus competencias en la materia”.</w:t>
      </w:r>
    </w:p>
    <w:p w:rsidR="00AC56D6" w:rsidRDefault="00AC56D6" w:rsidP="00AC56D6">
      <w:pPr>
        <w:pStyle w:val="TextoNormal"/>
      </w:pPr>
    </w:p>
    <w:p w:rsidR="00AC56D6" w:rsidRDefault="00AC56D6" w:rsidP="00AC56D6">
      <w:pPr>
        <w:pStyle w:val="TextoNormal"/>
      </w:pPr>
      <w:r>
        <w:t>Una alegación opuesta a la anterior fue esgrimida en el otro recurso de referencia, el resuelto por la STC 214/2012. En esta ocasión fue la Junta Comunidades de Castilla-La Mancha la que defendió la posible inconstitucionalidad de la misma disposición adicional quinta de la Ley Orgánica 10/2002, pero precisamente por contener una relación tan exhaustiva de criterios que impediría el despliegue de la competencia autonómica de desarrollo legislativo. Este Tribunal manifestó entonces que del precepto estatal se infiere que “la regulación última de los criterios incumbe a la Administración educativa, la cual, si bien tendrá que incorporar aquellos que con carácter prioritario recoge el precepto impugnado, podrá concretar cómo pondera cada uno e, incluso, podrá adicionar otros, en el margen de decisión, lo que nos lleva a descartar que la disposición impugnada impida la competencia autonómica de desarrollo normativo y, en consecuencia, a desestimar el recurso en cuanto a este extremo”.</w:t>
      </w:r>
    </w:p>
    <w:p w:rsidR="00AC56D6" w:rsidRDefault="00AC56D6" w:rsidP="00AC56D6">
      <w:pPr>
        <w:pStyle w:val="TextoNormal"/>
      </w:pPr>
    </w:p>
    <w:p w:rsidR="00AC56D6" w:rsidRDefault="00AC56D6" w:rsidP="00AC56D6">
      <w:pPr>
        <w:pStyle w:val="TextoNormal"/>
      </w:pPr>
      <w:r>
        <w:t>Las anteriores consideraciones permiten afirmar el carácter materialmente básico del art. 84 LOE, y, por tanto, de su apartado 2, en el que se fijan los criterios prioritarios de admisión de alumnos.</w:t>
      </w:r>
    </w:p>
    <w:p w:rsidR="00AC56D6" w:rsidRDefault="00AC56D6" w:rsidP="00AC56D6">
      <w:pPr>
        <w:pStyle w:val="TextoNormal"/>
      </w:pPr>
    </w:p>
    <w:p w:rsidR="00AC56D6" w:rsidRDefault="00AC56D6" w:rsidP="00AC56D6">
      <w:pPr>
        <w:pStyle w:val="TextoNormal"/>
      </w:pPr>
      <w:r w:rsidRPr="00AC56D6">
        <w:rPr>
          <w:rStyle w:val="NumeroAFNegritaCaracter"/>
        </w:rPr>
        <w:t>4</w:t>
      </w:r>
      <w:r>
        <w:t>. Confirmado el carácter básico de la normativa estatal de contraste, procede analizar ahora si existe contradicción efectiva entre la misma y la legislación autonómica cuestionada.</w:t>
      </w:r>
    </w:p>
    <w:p w:rsidR="00AC56D6" w:rsidRDefault="00AC56D6" w:rsidP="00AC56D6">
      <w:pPr>
        <w:pStyle w:val="TextoNormal"/>
      </w:pPr>
    </w:p>
    <w:p w:rsidR="00AC56D6" w:rsidRDefault="00AC56D6" w:rsidP="00AC56D6">
      <w:pPr>
        <w:pStyle w:val="TextoNormal"/>
      </w:pPr>
      <w:r>
        <w:t>El aseguramiento del mínimo común normativo en cada materia requiere del dictado de disposiciones reguladoras que pueden tener distinto alcance, teniendo todas en común la exigencia de dejar margen suficiente para el ejercicio de sus competencias por parte de las Comunidades Autónomas. Como recuerda la STC 206/1997, de 27 de noviembre, FJ 7, siguiendo en este punto a la STC 86/1989, de 11 de mayo, FJ 2, para determinar qué aspectos de una materia son básicos, y cuáles son propios de una legislación de desarrollo, es necesaria la ponderación de diversos elementos como pueden ser la naturaleza de la materia o la mayor o menor necesidad de una regulación uniforme de sus diversas facetas en todo el territorio nacional.</w:t>
      </w:r>
    </w:p>
    <w:p w:rsidR="00AC56D6" w:rsidRDefault="00AC56D6" w:rsidP="00AC56D6">
      <w:pPr>
        <w:pStyle w:val="TextoNormal"/>
      </w:pPr>
    </w:p>
    <w:p w:rsidR="00AC56D6" w:rsidRDefault="00AC56D6" w:rsidP="00AC56D6">
      <w:pPr>
        <w:pStyle w:val="TextoNormal"/>
      </w:pPr>
      <w:r>
        <w:t>En la materia que nos ocupa, las bases tienen en común la fijación de un núcleo de criterios prioritarios para la ordenación de las solicitudes de puestos escolares en centros públicos y concertados, aplicables cuando la oferta disponible sea insuficiente para atender las preferencias de todos los interesados.</w:t>
      </w:r>
    </w:p>
    <w:p w:rsidR="00AC56D6" w:rsidRDefault="00AC56D6" w:rsidP="00AC56D6">
      <w:pPr>
        <w:pStyle w:val="TextoNormal"/>
      </w:pPr>
    </w:p>
    <w:p w:rsidR="00AC56D6" w:rsidRDefault="00AC56D6" w:rsidP="00AC56D6">
      <w:pPr>
        <w:pStyle w:val="TextoNormal"/>
      </w:pPr>
      <w:r>
        <w:t xml:space="preserve">En el supuesto sujeto a consideración, no está en cuestión la omisión o no recepción en la normativa autonómica de los criterios estatales aplicables a los casos de insuficiencia de </w:t>
      </w:r>
      <w:r>
        <w:lastRenderedPageBreak/>
        <w:t>plazas. Esos criterios están recogidos formalmente en el art. 16 del Decreto de la Generalitat Valenciana 33/2007, de 30 de marzo, por el que se regula el acceso a los centros docentes públicos y privados concertados que imparten enseñanzas en régimen general, modificado por el Decreto 42/2013, de 22 de marzo, que enumera hasta once criterios aplicables.</w:t>
      </w:r>
    </w:p>
    <w:p w:rsidR="00AC56D6" w:rsidRDefault="00AC56D6" w:rsidP="00AC56D6">
      <w:pPr>
        <w:pStyle w:val="TextoNormal"/>
      </w:pPr>
    </w:p>
    <w:p w:rsidR="00AC56D6" w:rsidRDefault="00AC56D6" w:rsidP="00AC56D6">
      <w:pPr>
        <w:pStyle w:val="TextoNormal"/>
      </w:pPr>
      <w:r>
        <w:t>Tampoco se ha cuestionado por las partes la ponderación secundaria o insuficiente de los criterios estatales prioritarios, pues lo que se cuestiona es si los criterios autonómicos adicionales, y concretamente el referente al beneficio de tener por nacido al hijo en gestación a efectos de su cómputo como miembro de la unidad familiar, pudiera colisionar con la aplicación de los criterios estatales preferentes en sus propios términos.</w:t>
      </w:r>
    </w:p>
    <w:p w:rsidR="00AC56D6" w:rsidRDefault="00AC56D6" w:rsidP="00AC56D6">
      <w:pPr>
        <w:pStyle w:val="TextoNormal"/>
      </w:pPr>
    </w:p>
    <w:p w:rsidR="00AC56D6" w:rsidRDefault="00AC56D6" w:rsidP="00AC56D6">
      <w:pPr>
        <w:pStyle w:val="TextoNormal"/>
      </w:pPr>
      <w:r>
        <w:t>Lo peculiar de este supuesto está en que el legislador autonómico, en vez de un criterio autónomo de evaluación, añadido en paralelo a los otros marcados por el Estado, ha introducido un criterio adicional de valoración que se aplica transversalmente, afectando a la puntuación que corresponde a varios de los criterios de ordenación de las solicitudes. La previsión establecida por el art. 22 de la Ley valenciana 6/2009 no se configura así como un criterio autonómico propio o independiente, atribuyendo una determinada puntuación a las familias solicitantes de plaza escolar en la que la madre esté embarazada, que se sumaría como un componente más a la obtenida en los otros criterios de valoración de las solicitudes de plaza. El art. 22 de la Ley 6/2009 establece una regla que incide en el cálculo mismo de la puntuación de algunos de los criterios de valoración de los solicitantes de plaza.</w:t>
      </w:r>
    </w:p>
    <w:p w:rsidR="00AC56D6" w:rsidRDefault="00AC56D6" w:rsidP="00AC56D6">
      <w:pPr>
        <w:pStyle w:val="TextoNormal"/>
      </w:pPr>
    </w:p>
    <w:p w:rsidR="00AC56D6" w:rsidRDefault="00AC56D6" w:rsidP="00AC56D6">
      <w:pPr>
        <w:pStyle w:val="TextoNormal"/>
      </w:pPr>
      <w:r>
        <w:t>En efecto, el estado de gestación de la madre de familia en el ámbito de la Comunidad Autónoma de Valencia puede incidir en la puntuación correspondiente a tres de los criterios de valoración aplicables en los procesos de adjudicación de plazas escolares en enseñanzas no universitarias, de los once que enumera hoy el Decreto de la Generalitat Valenciana 33/2007, tras su reforma por el Decreto 42/2013, que es la disposición autonómica reguladora de esta materia. Con la peculiaridad de que esos tres criterios tienen la condición de prioritarios, pues provienen de los recogidos por el propio art. 84.2 LOE.</w:t>
      </w:r>
    </w:p>
    <w:p w:rsidR="00AC56D6" w:rsidRDefault="00AC56D6" w:rsidP="00AC56D6">
      <w:pPr>
        <w:pStyle w:val="TextoNormal"/>
      </w:pPr>
    </w:p>
    <w:p w:rsidR="00AC56D6" w:rsidRDefault="00AC56D6" w:rsidP="00AC56D6">
      <w:pPr>
        <w:pStyle w:val="TextoNormal"/>
      </w:pPr>
      <w:r>
        <w:t>A título de ejemplo, la situación de gestación repercute en la aplicación del criterio económico de selección, es decir, en la determinación de las rentas anuales de la unidad familiar [art. 16.1 d) del Decreto], pues implica un miembro más a computar en la misma (o varios, en caso de gestación múltiple). Pero esa afectación no produce alteración de la puntuación de todas las solicitudes de plaza de familias con madre embarazada, sino sólo de aquellas en las que el cómputo de los hijos en gestación como miembros de la misma conlleve que las rentas anuales de la familia sean iguales o inferiores a 1’5 veces el indicador público de renta de efectos múltiples (IPREM). Sólo en ese caso el art. 21 del Decreto valenciano otorga 1 punto al solicitante.</w:t>
      </w:r>
    </w:p>
    <w:p w:rsidR="00AC56D6" w:rsidRDefault="00AC56D6" w:rsidP="00AC56D6">
      <w:pPr>
        <w:pStyle w:val="TextoNormal"/>
      </w:pPr>
    </w:p>
    <w:p w:rsidR="00AC56D6" w:rsidRDefault="00AC56D6" w:rsidP="00AC56D6">
      <w:pPr>
        <w:pStyle w:val="TextoNormal"/>
      </w:pPr>
      <w:r>
        <w:t xml:space="preserve">También puede repercutir en el criterio recogido en el art. 16.1 f) del Decreto valenciano, que es tener la condición de familia numerosa. Así ocurrirá sólo en los casos de familias en los que el nuevo nacimiento, o nacimientos, supondrían bien alcanzar la condición de familia numerosa, o bien pasar de ser familia numerosa general a especial. Para ello habrá que estar a las distintas combinaciones y a los requisitos que definen los arts. 2 y 3 de la Ley estatal 40/2003, de 18 de noviembre, de protección a las familias numerosas. En cambio, este criterio no afectará a las familias que, esperando el nacimiento de un nuevo hijo, no vayan a cambiar de categoría (de no ser familia numerosa a serlo, o de ser familia numerosa </w:t>
      </w:r>
      <w:r>
        <w:lastRenderedPageBreak/>
        <w:t>de carácter general a serlo especial). En cualquier caso, el art. 23 del Decreto valenciano asigna 3 y 5 puntos a las dos categorías de familia numerosa, respectivamente.</w:t>
      </w:r>
    </w:p>
    <w:p w:rsidR="00AC56D6" w:rsidRDefault="00AC56D6" w:rsidP="00AC56D6">
      <w:pPr>
        <w:pStyle w:val="TextoNormal"/>
      </w:pPr>
    </w:p>
    <w:p w:rsidR="00AC56D6" w:rsidRDefault="00AC56D6" w:rsidP="00AC56D6">
      <w:pPr>
        <w:pStyle w:val="TextoNormal"/>
      </w:pPr>
      <w:r>
        <w:t>En definitiva, el margen de posibilidades es muy amplio, pues habrá casos de familias con la madre en gestación cuya puntuación no sea alterada en absoluto, al no cumplirse por esa circunstancia ninguna variación en la concurrencia o no de los supuestos a valorar (reducida capacidad económica, familia numerosa general o especial, y discapacidad de algún miembro), y habrá supuestos en los que el embarazo de la madre pudiera llevar a obtener una mayor puntuación hasta por tres conceptos distintos.</w:t>
      </w:r>
    </w:p>
    <w:p w:rsidR="00AC56D6" w:rsidRDefault="00AC56D6" w:rsidP="00AC56D6">
      <w:pPr>
        <w:pStyle w:val="TextoNormal"/>
      </w:pPr>
    </w:p>
    <w:p w:rsidR="00AC56D6" w:rsidRDefault="00AC56D6" w:rsidP="00AC56D6">
      <w:pPr>
        <w:pStyle w:val="TextoNormal"/>
      </w:pPr>
      <w:r w:rsidRPr="00AC56D6">
        <w:rPr>
          <w:rStyle w:val="NumeroAFNegritaCaracter"/>
        </w:rPr>
        <w:t>5</w:t>
      </w:r>
      <w:r>
        <w:t>. Hechas las consideraciones anteriores, estamos en disposición de afirmar que la aplicación de la regla autonómica cuestionada, en su configuración actual, no supone vulneración de la legislación básica estatal en materia de educación y, por tanto, no es inconstitucional. Las razones para llegar a esta conclusión son los propios términos abiertos en los que están concretadas las bases estatales, que permiten su desarrollo y, sobre todo, una ampliación de criterios; la consideración de que la regla cuestionada lo que produce realmente es el efecto de una puntuación adicional, aunque no comporte esa adición de manera autónoma, sino a través de otros criterios estatales, cuya aplicación respeta; y, finalmente, el valor moderado de la puntuación adicional que esta regla de valoración puede añadir sobre los criterios estatales prioritarios.</w:t>
      </w:r>
    </w:p>
    <w:p w:rsidR="00AC56D6" w:rsidRDefault="00AC56D6" w:rsidP="00AC56D6">
      <w:pPr>
        <w:pStyle w:val="TextoNormal"/>
      </w:pPr>
    </w:p>
    <w:p w:rsidR="00AC56D6" w:rsidRDefault="00AC56D6" w:rsidP="00AC56D6">
      <w:pPr>
        <w:pStyle w:val="TextoNormal"/>
      </w:pPr>
      <w:r>
        <w:t>a) En efecto, las bases estatales en materia de adjudicación de plazas escolares en el sistema de centros sostenidos con fondos públicos sólo establecen, para el caso de escasez de plazas, unos criterios prioritarios a aplicar. Pero no concretan ni la totalidad de los criterios manejables, ni especifican el modo preciso de baremar los que sí se recogen. Como recuerda la STC 210/2014, de 18 de diciembre, FJ 4, recogiendo doctrina consolidada de este Tribunal sobre la legislación compartida en la STC 50/1999, de 6 de abril, FJ 3, “el Estado, al establecer el común denominador normativo que encierran las bases, y a partir del cual cada Comunidad Autónoma con competencias de desarrollo legislativo puede regular la materia con arreglo a sus peculiaridades e intereses (por todas, SSTC 49/1988, fundamento jurídico 3; 225/1993, fundamento jurídico 3, y 197/1996, fundamento jurídico 5), no puede hacerlo con un grado tal de detalle y de forma tan acabada o completa que prácticamente impida la adopción por parte de las Comunidades Autónomas de políticas propias en la materia mediante el ejercicio de sus competencias de desarrollo legislativo”. Tales políticas propias deben ser posibles, estableciendo las Comunidades Autónomas “los ordenamientos complementarios que satisfagan sus peculiares intereses” (STC 147/1991, de 4 de julio).</w:t>
      </w:r>
    </w:p>
    <w:p w:rsidR="00AC56D6" w:rsidRDefault="00AC56D6" w:rsidP="00AC56D6">
      <w:pPr>
        <w:pStyle w:val="TextoNormal"/>
      </w:pPr>
    </w:p>
    <w:p w:rsidR="00AC56D6" w:rsidRDefault="00AC56D6" w:rsidP="00AC56D6">
      <w:pPr>
        <w:pStyle w:val="TextoNormal"/>
      </w:pPr>
      <w:r>
        <w:t xml:space="preserve">Así las cosas, la enumeración completa de los criterios de valoración, su forma de puntuación o peso de cada uno, las reglas procedimentales e instrumentales aplicables, por ejemplo, en caso de eventuales empates de puntuación, deben ser regulados por las Administraciones educativas para cada territorio, siempre con la condición de que los criterios marcados por el Estado como básicos sean prioritarios en la valoración y no la desvirtúen. El legislador autonómico tiene capacidad para crear criterios propios de valoración y establecer el modo de calcular su aplicación —de ellos y de los estatales necesarios—, sin que esté preestablecido cómo deben integrarse entre sí. Lo relevante —el límite que no se puede rebasar— es que los criterios básicos estatales realmente lo sean y no queden desfigurados ni desplazados por una regulación completa y detallada de la materia que los diluya. Y a </w:t>
      </w:r>
      <w:r>
        <w:lastRenderedPageBreak/>
        <w:t xml:space="preserve">estos efectos, los tres criterios estatales y prioritarios de la renta familiar, la condición de familia numerosa y la concurrencia de alguna discapacidad en la familia están incorporados en la normativa autonómica, y no dejan de estarlo por el hecho de que se adelante el cómputo del </w:t>
      </w:r>
      <w:r w:rsidRPr="00AC56D6">
        <w:rPr>
          <w:i/>
        </w:rPr>
        <w:t>nasciturus</w:t>
      </w:r>
      <w:r>
        <w:t xml:space="preserve"> como miembro de la unidad familiar cuando la solicitud se presente en los meses de gestación.</w:t>
      </w:r>
    </w:p>
    <w:p w:rsidR="00AC56D6" w:rsidRDefault="00AC56D6" w:rsidP="00AC56D6">
      <w:pPr>
        <w:pStyle w:val="TextoNormal"/>
      </w:pPr>
    </w:p>
    <w:p w:rsidR="00AC56D6" w:rsidRDefault="00AC56D6" w:rsidP="00AC56D6">
      <w:pPr>
        <w:pStyle w:val="TextoNormal"/>
      </w:pPr>
      <w:r>
        <w:t>b) Si se examina además con detalle la regla autonómica cuestionada, se advierte que en realidad no estamos ante una regla de ponderación de los criterios básicos estatales. En realidad se trata de un criterio adicional de valoración, con la peculiaridad de que éste no tiene carácter autónomo, sino que actúa de manera integrada con otros criterios, añadiendo en positivo una ventaja o puntuación adicional cuando se dan determinadas circunstancias. En este sentido, la modulación autonómica que opera sobre los criterios estatales de selección es coherente con los mismos, y sobre todo no supone una restricción de su aplicación, lo que sería inaceptable en términos constitucionales, sino una ampliación mediante un beneficio adicional que se incorpora en la valoración de las solicitudes de determinadas familias.</w:t>
      </w:r>
    </w:p>
    <w:p w:rsidR="00AC56D6" w:rsidRDefault="00AC56D6" w:rsidP="00AC56D6">
      <w:pPr>
        <w:pStyle w:val="TextoNormal"/>
      </w:pPr>
    </w:p>
    <w:p w:rsidR="00AC56D6" w:rsidRDefault="00AC56D6" w:rsidP="00AC56D6">
      <w:pPr>
        <w:pStyle w:val="TextoNormal"/>
      </w:pPr>
      <w:r>
        <w:t>No contraviene pues las bases estatales la previsión de reglas adicionales, que introduzcan una prima o beneficio de puntuación en alguno de los criterios prioritarios a determinadas personas o grupos de personas en función de criterios objetivos dignos de protección, como ocurre en este caso. Eso es algo que entra dentro del legítimo margen de configuración que se atribuye a las Administraciones educativas. El beneficio adicional pretende atender a una circunstancia objetiva (el embarazo de la madre), en la medida en que comporta una expectativa cierta de aumento del número de miembros de la unidad familiar, y con ello la previsible afectación de algunos de los criterios de valoración en los que repercutirá el futuro nacimiento. El legislador valenciano no contradice así los criterios estatales, sino que modula la valoración que les corresponde en algunos de esos criterios (renta familiar, condición de familia numerosa o discapacidad de algún miembro), cuando se dan ciertas circunstancias (que al computar al concebido como ya nacido se pase a estar por debajo de un umbral de renta familiar, que la unidad familiar alcance un número de miembros suficiente para ser considerada numerosa o pase a serlo de categoría especial, o que el concebido venga con malformaciones determinantes de discapacidad).</w:t>
      </w:r>
    </w:p>
    <w:p w:rsidR="00AC56D6" w:rsidRDefault="00AC56D6" w:rsidP="00AC56D6">
      <w:pPr>
        <w:pStyle w:val="TextoNormal"/>
      </w:pPr>
    </w:p>
    <w:p w:rsidR="00AC56D6" w:rsidRDefault="00AC56D6" w:rsidP="00AC56D6">
      <w:pPr>
        <w:pStyle w:val="TextoNormal"/>
      </w:pPr>
      <w:r>
        <w:t xml:space="preserve">c) Finalmente, el grado de repercusión de la regla autonómica de valoración sobre la puntuación global de los solicitantes es razonable, de tal manera que no desfigura ni diluye los criterios básicos estatales. Por un lado, habrá casos de madres en gestación en los que no se verá afectada la puntuación correspondiente a la unidad familiar (así ocurrirá cuando no conste que el </w:t>
      </w:r>
      <w:r w:rsidRPr="00AC56D6">
        <w:rPr>
          <w:i/>
        </w:rPr>
        <w:t>nasciturus</w:t>
      </w:r>
      <w:r>
        <w:t xml:space="preserve"> venga con malformaciones, ni el hecho de su cómputo como hijo ya nacido suponga que la renta familiar sea igual o inferior a 1,5 veces el indicador público de renta de efectos múltiples, ni que la familia pase a tener la condición de numerosa o de numerosa especial). Y por otro lado, cuando sí afecte, el impacto que puede producir la circunstancia de computar al hijo en gestación como ya nacido tiene un alcance limitado en la puntuación final. De manera que, antes y después de la introducción de la regla de valoración sentada por el art. 22 de la Ley valenciana 6/2009, se puede afirmar que los criterios marcados por el art. 84.2 LOE siguen siendo prioritarios en la adjudicación de las plazas.</w:t>
      </w:r>
    </w:p>
    <w:p w:rsidR="00AC56D6" w:rsidRDefault="00AC56D6" w:rsidP="00AC56D6">
      <w:pPr>
        <w:pStyle w:val="TextoNormal"/>
      </w:pPr>
    </w:p>
    <w:p w:rsidR="00AC56D6" w:rsidRDefault="00AC56D6" w:rsidP="00AC56D6">
      <w:pPr>
        <w:pStyle w:val="TextoNormal"/>
      </w:pPr>
      <w:r>
        <w:lastRenderedPageBreak/>
        <w:t>En virtud de lo expuesto, cabe afirmar que el art. 22 de la Ley valenciana no contradice lo establecido por el art. 84.2 LOE y, por tanto, no vulnera la competencia atribuida al Estado en el art. 149.1.30 CE.</w:t>
      </w:r>
    </w:p>
    <w:p w:rsidR="00AC56D6" w:rsidRDefault="00AC56D6" w:rsidP="00AC56D6">
      <w:pPr>
        <w:pStyle w:val="TextoNormal"/>
      </w:pPr>
    </w:p>
    <w:p w:rsidR="00AC56D6" w:rsidRDefault="00AC56D6" w:rsidP="00AC56D6">
      <w:pPr>
        <w:pStyle w:val="TextoNormal"/>
      </w:pPr>
      <w:r w:rsidRPr="00AC56D6">
        <w:rPr>
          <w:rStyle w:val="NumeroAFNegritaCaracter"/>
        </w:rPr>
        <w:t>6</w:t>
      </w:r>
      <w:r>
        <w:t xml:space="preserve">. Adicionalmente, y con carácter instrumental, el Abogado del Estado plantea también la posible vulneración por parte del art. 22 de la Ley valenciana 6/2009, de la competencia estatal exclusiva sobre la legislación civil (art. 149.1.8 CE), dentro de la cual estaría comprendida la regulación de la familia en general, y de las familias numerosas en particular. A estos efectos, se invoca la Ley 40/2003, de 18 de noviembre, de protección a las familias numerosas, dictada en esa materia, que vendría a ser afectada por la regla introducida por la legislación autonómica. El representante del Estado destaca que en ninguno de los supuestos contemplados por el art. 2 de la Ley como familias numerosas se considera al </w:t>
      </w:r>
      <w:r w:rsidRPr="00AC56D6">
        <w:rPr>
          <w:i/>
        </w:rPr>
        <w:t>nasciturus</w:t>
      </w:r>
      <w:r>
        <w:t xml:space="preserve"> como miembro de la unidad familiar a computar, sino sólo a los ascendientes o descendientes ya nacidos.</w:t>
      </w:r>
    </w:p>
    <w:p w:rsidR="00AC56D6" w:rsidRDefault="00AC56D6" w:rsidP="00AC56D6">
      <w:pPr>
        <w:pStyle w:val="TextoNormal"/>
      </w:pPr>
    </w:p>
    <w:p w:rsidR="00AC56D6" w:rsidRDefault="00AC56D6" w:rsidP="00AC56D6">
      <w:pPr>
        <w:pStyle w:val="TextoNormal"/>
      </w:pPr>
      <w:r>
        <w:t>El argumento del Abogado del Estado no puede ser aceptado, pues la Ley valenciana 6/2009 contiene diversas medidas sectoriales de orden social, económico, laboral o educativo, que no suponen una regulación jurídico-civil de los vínculos, derechos y obligaciones entre las personas por su relación familiar. Exactamente igual que lo hace la Ley estatal 40/2003, de familias numerosas, que por esa razón no alude en su disposición final primera al art. 149.1.8 CE como habilitación competencial para su aprobación, sino a los apartados 1 (regulación de las condiciones básicas que garanticen la igualdad de todos los españoles), 7 (legislación laboral) y 17 (legislación básica sobre Seguridad Social y su régimen económico) del art. 149.1 CE, todo ello en relación con el art. 39 CE (protección de la familia como principio rector de la política social y económica).</w:t>
      </w:r>
    </w:p>
    <w:p w:rsidR="00AC56D6" w:rsidRDefault="00AC56D6" w:rsidP="00AC56D6">
      <w:pPr>
        <w:pStyle w:val="TextoNormal"/>
      </w:pPr>
    </w:p>
    <w:p w:rsidR="00AC56D6" w:rsidRDefault="00AC56D6" w:rsidP="00AC56D6">
      <w:pPr>
        <w:pStyle w:val="TextoNormal"/>
      </w:pPr>
      <w:r>
        <w:t>La competencia sobre la legislación civil corresponde en exclusiva al Estado, sin perjuicio de la conservación, modificación y desarrollo de los Derechos civiles, forales o especiales, en los territorios donde existan. Dentro de esa materia, el art. 149.1.8 CE establece una especie de segunda reserva competencial más específica en favor del Estado sobre algunas cuestiones, cuyo sentido es precisamente “delimitar un ámbito dentro del cual nunca podrá estimarse subsistente ni susceptible, por tanto, de conservación, modificación o desarrollo, Derecho civil especial o foral alguno” (STC 88/1993, de 12 de marzo, FJ 1). Una de esas cuestiones son las “relaciones jurídico-civiles relativas a las formas de matrimonio”, cuyo concepto, según la STC 93/2013, de 23 de abril, FJ 5, “se extiende al sistema matrimonial (requisitos materiales y formales y causas de extinción) y al contenido personal del matrimonio, esto es, el régimen de derechos y deberes de los cónyuges con exclusión del régimen económico matrimonial en los territorios con competencias propias en Derecho civil especial o foral”.</w:t>
      </w:r>
    </w:p>
    <w:p w:rsidR="00AC56D6" w:rsidRDefault="00AC56D6" w:rsidP="00AC56D6">
      <w:pPr>
        <w:pStyle w:val="TextoNormal"/>
      </w:pPr>
    </w:p>
    <w:p w:rsidR="00AC56D6" w:rsidRDefault="00AC56D6" w:rsidP="00AC56D6">
      <w:pPr>
        <w:pStyle w:val="TextoNormal"/>
      </w:pPr>
      <w:r>
        <w:t xml:space="preserve">Sin embargo, como ya se ha indicado, en el presente supuesto, ni el Parlamento valenciano ha invocado competencias para la regulación del régimen jurídico-civil de las personas y de los grupos familiares en los que se integran, ni realmente se está afectando la competencia estatal en la materia. La Ley valenciana 6/2009 establece una serie de medidas transversales de apoyo a la maternidad —que sólo podrán desplegarse en el ámbito de competencias de la Comunidad Autónoma—, entre las cuales hay algunas específicas destinadas a la mujer embarazada. Así ocurre con el art. 22 de esta Ley autonómica, que se limita a fijar un beneficio de alcance concreto y específico en los procesos de elección de centro </w:t>
      </w:r>
      <w:r>
        <w:lastRenderedPageBreak/>
        <w:t>docente, que pretende ser una medida de apoyo a la maternidad, en sintonía con el propio título de la norma.</w:t>
      </w:r>
    </w:p>
    <w:p w:rsidR="00AC56D6" w:rsidRDefault="00AC56D6" w:rsidP="00AC56D6">
      <w:pPr>
        <w:pStyle w:val="TextoNormal"/>
      </w:pPr>
    </w:p>
    <w:p w:rsidR="00AC56D6" w:rsidRDefault="00AC56D6" w:rsidP="00AC56D6">
      <w:pPr>
        <w:pStyle w:val="TextoNormal"/>
      </w:pPr>
      <w:r>
        <w:t>El precepto cuestionado no introduce pues una regla general y abstracta sobre el modo de contar los miembros que componen una familia, que venga a modificar los requisitos para tener la condición de familia numerosa. Esos requisitos siguen siendo los marcados por la Ley estatal 40/2003. La Ley autonómica establece una regla particular en los procesos de petición de plazas escolares en atención al mandato constitucional dirigido a todos los poderes públicos, cada uno en su ámbito de actuación, de dar protección social, económica y jurídica a la familia (art. 39.1 CE). Y para dar esa protección la Ley se apoya en las competencias estatutarias que la Generalitat Valenciana ha asumido en distintos ámbitos de política social. Es el caso de los servicios sociales, la juventud, la promoción de la mujer y las instituciones públicas de protección y ayuda de grupos o sectores necesitados de protección especial, como menores, jóvenes, emigrantes, tercera edad, y personas con discapacidad, entre otros, recogidas como competencias exclusivas en el art. 49.1, apartados 24, 25, 26 y 27 del Estatuto de Autonomía para la Comunidad Valenciana (EAV). Por tanto, la Comunidad Valenciana tiene cobertura competencial para adoptar medidas de apoyo a la mujer en general, y a las mujeres embarazadas en particular, en cuanto colectivo que merece una especial protección, así como por extensión a las familias en que se integran.</w:t>
      </w:r>
    </w:p>
    <w:p w:rsidR="00AC56D6" w:rsidRDefault="00AC56D6" w:rsidP="00AC56D6">
      <w:pPr>
        <w:pStyle w:val="TextoNormal"/>
      </w:pPr>
    </w:p>
    <w:p w:rsidR="00AC56D6" w:rsidRDefault="00AC56D6" w:rsidP="00AC56D6">
      <w:pPr>
        <w:pStyle w:val="TextoNormal"/>
      </w:pPr>
      <w:r>
        <w:t>En este sentido, la medida recogida en el art. 22 de la Ley 6/2009 tiene acomodo competencial preferente en el título recogido en el art. 53.1 EAV, en cuanto atribuye a la Generalitat Valenciana “la regulación y administración de la enseñanza en toda su extensión, niveles y grados, modalidades y especialidades, sin perjuicio de lo que disponen el artículo 27 de la Constitución Española” y la normativa básica estatal que desarrolle ese precepto.</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Desestimar la presente cuestión de inconstitucionalidad.</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AC56D6">
      <w:pPr>
        <w:pStyle w:val="TextoNormal"/>
      </w:pPr>
      <w:r>
        <w:t>Dada en Madrid, a diecisiete de diciembre de dos mil quince.</w:t>
      </w:r>
    </w:p>
    <w:p w:rsidR="00AC56D6" w:rsidRDefault="00AC56D6">
      <w:pPr>
        <w:spacing w:after="160" w:line="259" w:lineRule="auto"/>
        <w:rPr>
          <w:rFonts w:ascii="Times New Roman" w:eastAsia="Times New Roman" w:hAnsi="Times New Roman" w:cs="Times New Roman"/>
          <w:sz w:val="24"/>
          <w:szCs w:val="24"/>
          <w:lang w:eastAsia="es-ES"/>
        </w:rPr>
      </w:pPr>
      <w:r>
        <w:br w:type="page"/>
      </w:r>
    </w:p>
    <w:p w:rsidR="00AC56D6" w:rsidRDefault="00AC56D6" w:rsidP="00AC56D6">
      <w:pPr>
        <w:pStyle w:val="TtuloResolucin"/>
      </w:pPr>
      <w:bookmarkStart w:id="128" w:name="SENTENCIA_2015_272"/>
      <w:r>
        <w:lastRenderedPageBreak/>
        <w:t>SENTENCIA 272/2015, de 17 de diciembre de 2015</w:t>
      </w:r>
    </w:p>
    <w:bookmarkEnd w:id="128"/>
    <w:p w:rsidR="00AC56D6" w:rsidRDefault="00AC56D6" w:rsidP="00AC56D6">
      <w:pPr>
        <w:pStyle w:val="TtuloResolucin"/>
      </w:pPr>
      <w:r>
        <w:t>Pleno</w:t>
      </w:r>
    </w:p>
    <w:p w:rsidR="00AC56D6" w:rsidRDefault="00AC56D6" w:rsidP="00AC56D6">
      <w:pPr>
        <w:pStyle w:val="TtuloBOE"/>
      </w:pPr>
      <w:r>
        <w:t>(BOE núm. 19, de 22 de enero de 2016)</w:t>
      </w:r>
    </w:p>
    <w:p w:rsidR="00AC56D6" w:rsidRDefault="00AC56D6" w:rsidP="00AC56D6">
      <w:pPr>
        <w:pStyle w:val="TextoNormalCentrado"/>
      </w:pPr>
      <w:r>
        <w:t>ECLI:ES:TC:2015:272</w:t>
      </w:r>
    </w:p>
    <w:p w:rsidR="00AC56D6" w:rsidRDefault="00AC56D6" w:rsidP="00AC56D6">
      <w:pPr>
        <w:pStyle w:val="TextoNormalCentrado"/>
      </w:pPr>
    </w:p>
    <w:p w:rsidR="00AC56D6" w:rsidRDefault="00AC56D6" w:rsidP="00AC56D6">
      <w:pPr>
        <w:pStyle w:val="SntesisDescriptiva"/>
      </w:pPr>
      <w:r>
        <w:t>Recurso de inconstitucionalidad 7134-2014. Interpuesto por el Gobierno Vasco en relación con varios preceptos de la Ley 1/2014, de 28 de febrero, para la protección de los trabajadores a tiempo parcial y otras medidas urgentes en el orden económico y social.</w:t>
      </w:r>
    </w:p>
    <w:p w:rsidR="00AC56D6" w:rsidRDefault="00AC56D6" w:rsidP="00AC56D6">
      <w:pPr>
        <w:pStyle w:val="SntesisDescriptiva"/>
      </w:pPr>
    </w:p>
    <w:p w:rsidR="00AC56D6" w:rsidRDefault="00AC56D6" w:rsidP="00AC56D6">
      <w:pPr>
        <w:pStyle w:val="SntesisAnaltica"/>
      </w:pPr>
      <w:r>
        <w:t>Competencias en materia laboral: nulidad del precepto legal que atribuye la titularidad de la potestad para sancionar determinadas infracciones al Servicio Público de Empleo Estatal o, en su caso, el Instituto Social de la Marina.</w:t>
      </w:r>
    </w:p>
    <w:p w:rsidR="00AC56D6" w:rsidRDefault="00AC56D6" w:rsidP="00AC56D6">
      <w:pPr>
        <w:pStyle w:val="SntesisAnaltica"/>
      </w:pPr>
    </w:p>
    <w:p w:rsidR="00AC56D6" w:rsidRDefault="00AC56D6" w:rsidP="00AC56D6">
      <w:pPr>
        <w:pStyle w:val="Extracto"/>
      </w:pPr>
      <w:r>
        <w:t>1.</w:t>
      </w:r>
      <w:r>
        <w:tab/>
        <w:t>La competencia para la imposición de las sanciones frente a las conductas descritas en los preceptos impugnados se atribuye a la Comunidad Autónoma del País Vasco, lo que determina que deba declararse contrario al orden constitucional de distribución de competencias y, por tanto, inconstitucional y nulo el art. 7 de la Ley 1/2014, de 28 de febrero, para la protección de los trabajadores a tiempo parcial y otras medidas urgentes en el orden económico y social, que da nueva redacción al apartado 4 del art. 27 de la Ley 56/2003, de 16 de diciembre, de empleo [FJ 4].</w:t>
      </w:r>
    </w:p>
    <w:p w:rsidR="00AC56D6" w:rsidRDefault="00AC56D6" w:rsidP="00AC56D6">
      <w:pPr>
        <w:pStyle w:val="Extracto"/>
      </w:pPr>
    </w:p>
    <w:p w:rsidR="00AC56D6" w:rsidRDefault="00AC56D6" w:rsidP="00AC56D6">
      <w:pPr>
        <w:pStyle w:val="Extracto"/>
      </w:pPr>
      <w:r>
        <w:t>2.</w:t>
      </w:r>
      <w:r>
        <w:tab/>
        <w:t>La atribución de la competencia ejecutiva comprende la de la potestad sancionadora en la materia sobre la que se ejerce (SSTC 195/1996, 104/2013) [FJ 3].</w:t>
      </w:r>
    </w:p>
    <w:p w:rsidR="00AC56D6" w:rsidRDefault="00AC56D6" w:rsidP="00AC56D6">
      <w:pPr>
        <w:pStyle w:val="Extracto"/>
      </w:pPr>
    </w:p>
    <w:p w:rsidR="00AC56D6" w:rsidRDefault="00AC56D6" w:rsidP="00AC56D6">
      <w:pPr>
        <w:pStyle w:val="Extracto"/>
      </w:pPr>
      <w:r>
        <w:t>3.</w:t>
      </w:r>
      <w:r>
        <w:tab/>
        <w:t>Corresponde a la Comunidad Autónoma la potestad sancionadora respecto de infracciones que no guardan relación con el régimen económico de la Seguridad Social, así como de aquellos supuestos en que la potestad punitiva recae sobre actos instrumentales en el nacimiento y mantenimiento de la obligación de contribuir; mientras que se reserva al Estado la potestad para sancionar las infracciones que afectan directamente sobre la actividad económica de la Seguridad Social, esto es, referidas a la percepción de sus ingresos o a la realización de los gastos correspondientes (SSTC 51/2006, 104/2013) [FJ 3].</w:t>
      </w:r>
    </w:p>
    <w:p w:rsidR="00AC56D6" w:rsidRDefault="00AC56D6" w:rsidP="00AC56D6">
      <w:pPr>
        <w:pStyle w:val="Extracto"/>
      </w:pPr>
    </w:p>
    <w:p w:rsidR="00AC56D6" w:rsidRDefault="00AC56D6" w:rsidP="00AC56D6">
      <w:pPr>
        <w:pStyle w:val="Extracto"/>
      </w:pPr>
      <w:r>
        <w:t>4.</w:t>
      </w:r>
      <w:r>
        <w:tab/>
        <w:t>No hay vinculación directa entre el mantenimiento de la inscripción como demandante de empleo y la percepción de la prestación o el subsidio por desempleo, sino que tal inscripción es una obligación formal que pesa sobre el perceptor de las prestaciones; su incumplimiento no hace improcedente recibir la prestación correspondiente, ya que el derecho a la misma se mantiene con independencia de las consecuencias sancionadoras a que la conducta pudiera dar lugar [FJ 4].</w:t>
      </w:r>
    </w:p>
    <w:p w:rsidR="00AC56D6" w:rsidRDefault="00AC56D6" w:rsidP="00AC56D6">
      <w:pPr>
        <w:pStyle w:val="Extracto"/>
      </w:pPr>
    </w:p>
    <w:p w:rsidR="00AC56D6" w:rsidRDefault="00AC56D6" w:rsidP="00AC56D6">
      <w:pPr>
        <w:pStyle w:val="Extracto"/>
      </w:pPr>
      <w:r>
        <w:t>5.</w:t>
      </w:r>
      <w:r>
        <w:tab/>
        <w:t>La modulación del alcance de nuestra declaración de inconstitucionalidad no se limita a preservar la cosa juzgada, pues el principio constitucional de seguridad jurídica también reclama que esta declaración de inconstitucionalidad sólo sea eficaz pro futuro; esto es, en relación con nuevos supuestos o con los procedimientos administrativos y procesos judiciales donde aún no haya recaído una resolución firme [FJ 5].</w:t>
      </w:r>
    </w:p>
    <w:p w:rsidR="00AC56D6" w:rsidRDefault="00AC56D6" w:rsidP="00AC56D6">
      <w:pPr>
        <w:pStyle w:val="Extracto"/>
      </w:pPr>
    </w:p>
    <w:p w:rsidR="00AC56D6" w:rsidRDefault="00AC56D6" w:rsidP="00AC56D6">
      <w:pPr>
        <w:pStyle w:val="Extracto"/>
      </w:pPr>
    </w:p>
    <w:p w:rsidR="00AC56D6" w:rsidRDefault="00AC56D6" w:rsidP="00AC56D6">
      <w:pPr>
        <w:pStyle w:val="TextoNormal"/>
      </w:pPr>
      <w:r>
        <w:t>El Pleno del Tribunal Constitucional, compuesto por don Francisco Pérez de los Cobos Orihuel, Presidente, doña Adela Asua Batarrita, doña Encarnación Roca Trias, don Andrés Ollero Tassara, don Fernando Valdés Dal-Ré, don Juan José González Rivas, don Santiago Martínez-Vares García, don Juan Antonio Xiol Rios, don Pedro José González-Trevijano Sánchez, don Ricardo Enríquez Sancho y don Antonio Narváez Rodríguez, Magistrados, ha pronunciado</w:t>
      </w:r>
    </w:p>
    <w:p w:rsidR="00AC56D6" w:rsidRDefault="00AC56D6" w:rsidP="00AC56D6">
      <w:pPr>
        <w:pStyle w:val="TextoNormal"/>
      </w:pPr>
    </w:p>
    <w:p w:rsidR="00AC56D6" w:rsidRDefault="00AC56D6" w:rsidP="00AC56D6">
      <w:pPr>
        <w:pStyle w:val="TextoNormalCentrado"/>
        <w:keepNext/>
      </w:pPr>
      <w:r>
        <w:t>EN NOMBRE DEL REY</w:t>
      </w:r>
    </w:p>
    <w:p w:rsidR="00AC56D6" w:rsidRDefault="00AC56D6" w:rsidP="00AC56D6">
      <w:pPr>
        <w:pStyle w:val="TextoNormalCentrado"/>
        <w:keepNext/>
      </w:pPr>
    </w:p>
    <w:p w:rsidR="00AC56D6" w:rsidRDefault="00AC56D6" w:rsidP="00AC56D6">
      <w:pPr>
        <w:pStyle w:val="TextoNormalCentrado"/>
        <w:keepNext/>
      </w:pPr>
    </w:p>
    <w:p w:rsidR="00AC56D6" w:rsidRDefault="00AC56D6" w:rsidP="00AC56D6">
      <w:pPr>
        <w:pStyle w:val="TextoNormal"/>
      </w:pPr>
      <w:r>
        <w:t>la siguiente</w:t>
      </w:r>
    </w:p>
    <w:p w:rsidR="00AC56D6" w:rsidRDefault="00AC56D6" w:rsidP="00AC56D6">
      <w:pPr>
        <w:pStyle w:val="TextoNormal"/>
      </w:pPr>
    </w:p>
    <w:p w:rsidR="00AC56D6" w:rsidRDefault="00AC56D6" w:rsidP="00AC56D6">
      <w:pPr>
        <w:pStyle w:val="TextoNormalCentrado"/>
        <w:keepNext/>
      </w:pPr>
      <w:r>
        <w:t>SENTENCIA</w:t>
      </w:r>
    </w:p>
    <w:p w:rsidR="00AC56D6" w:rsidRDefault="00AC56D6" w:rsidP="00AC56D6">
      <w:pPr>
        <w:pStyle w:val="TextoNormalCentrado"/>
        <w:keepNext/>
      </w:pPr>
    </w:p>
    <w:p w:rsidR="00AC56D6" w:rsidRDefault="00AC56D6" w:rsidP="00AC56D6">
      <w:pPr>
        <w:pStyle w:val="TextoNormal"/>
      </w:pPr>
      <w:r>
        <w:t>En el recurso de inconstitucionalidad núm. 7134/2014 interpuesto por el Gobierno Vasco contra los arts. 7 y 8.5 de la Ley 1/2014, de 28 de febrero, para la protección de los trabajadores a tiempo parcial y otras medidas urgentes en el orden económico y social. Ha comparecido y formulado alegaciones el Abogado del Estado. Ha sido Ponente el Magistrado don Andrés Ollero Tassara, quien expresa el parecer del Tribunal.</w:t>
      </w:r>
    </w:p>
    <w:p w:rsidR="00AC56D6" w:rsidRDefault="00AC56D6" w:rsidP="00AC56D6">
      <w:pPr>
        <w:pStyle w:val="TextoNormal"/>
      </w:pPr>
    </w:p>
    <w:p w:rsidR="00AC56D6" w:rsidRDefault="00AC56D6" w:rsidP="00AC56D6">
      <w:pPr>
        <w:pStyle w:val="TextoNormalNegritaCentrado"/>
        <w:keepNext/>
      </w:pPr>
      <w:r>
        <w:t>I. Antecedentes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Mediante escrito registrado en el Tribunal Constitucional el 25 de noviembre de 2014 el Procurador de los Tribunales don Felipe Juanas Blanco, actuando en nombre y representación del Consejo de Gobierno del País Vasco, asistido por don Luis María Rousse Arroita, Letrado de los servicios jurídicos centrales de la Administración de esta Comunidad Autónoma, interpone recurso de inconstitucionalidad contra los arts. 7 y 8.5 de la Ley 1/2014, de 28 de febrero, para la protección de los trabajadores a tiempo parcial y otras medidas urgentes en el orden económico y social, dentro del plazo previsto en el art. 33.2 de la Ley Orgánica del Tribunal Constitucional (LOTC).</w:t>
      </w:r>
    </w:p>
    <w:p w:rsidR="00AC56D6" w:rsidRDefault="00AC56D6" w:rsidP="00AC56D6">
      <w:pPr>
        <w:pStyle w:val="TextoNormal"/>
      </w:pPr>
    </w:p>
    <w:p w:rsidR="00AC56D6" w:rsidRDefault="00AC56D6" w:rsidP="00AC56D6">
      <w:pPr>
        <w:pStyle w:val="TextoNormal"/>
      </w:pPr>
      <w:r>
        <w:t>Los motivos del recurso son, resumidamente expuestos, los siguientes:</w:t>
      </w:r>
    </w:p>
    <w:p w:rsidR="00AC56D6" w:rsidRDefault="00AC56D6" w:rsidP="00AC56D6">
      <w:pPr>
        <w:pStyle w:val="TextoNormal"/>
      </w:pPr>
    </w:p>
    <w:p w:rsidR="00AC56D6" w:rsidRDefault="00AC56D6" w:rsidP="00AC56D6">
      <w:pPr>
        <w:pStyle w:val="TextoNormal"/>
      </w:pPr>
      <w:r>
        <w:t>a) Se comienza señalando el heterogéneo contenido de la Ley 1/2014, de 28 de febrero (que proviene de la tramitación como proyecto de ley del Real Decreto-ley 11/2013, de 2 de agosto), indicando que los preceptos impugnados se ubican en el capítulo III (arts. 6 a 8) que lleva por rúbrica “Modificaciones en materia de empleo y protección por desempleo”. La impugnación se limita a los arts. 7 y 8.5 de la Ley 1/2014, que han dado nueva redacción, respectivamente, al inciso final del párrafo segundo del art. 27.4 de la Ley 56/2003, de 16 de diciembre, de empleo y al art. 48.5 del texto refundido de la Ley de infracciones y sanciones del orden social, aprobado por Real Decreto Legislativo 5/2000, de 4 de agosto. Según el Gobierno Vasco, las normas impugnadas exceden de la competencia estatal en materia de Seguridad Social (art. 149.1.17 CE), vulnerando la competencia sancionadora en dicha materia de la Comunidad Autónoma del País Vasco [art. 18.2.a) del Estatuto de Autonomía del País Vasco: EAPV].</w:t>
      </w:r>
    </w:p>
    <w:p w:rsidR="00AC56D6" w:rsidRDefault="00AC56D6" w:rsidP="00AC56D6">
      <w:pPr>
        <w:pStyle w:val="TextoNormal"/>
      </w:pPr>
    </w:p>
    <w:p w:rsidR="00AC56D6" w:rsidRDefault="00AC56D6" w:rsidP="00AC56D6">
      <w:pPr>
        <w:pStyle w:val="TextoNormal"/>
      </w:pPr>
      <w:r>
        <w:t>En cuanto al art. 7 de la Ley 1/2014, que da nueva redacción al art. 27.4 Ley de empleo, se precisa en el recurso que la impugnación se ciñe a lo dispuesto en el inciso final del segundo párrafo del art. 27.4 Ley de empleo; en su virtud se faculta al Servicio Público de Empleo Estatal para incoar el procedimiento sancionador, que tiene por objeto perseguir la infracción consistente en no cumplir el requisito de estar inscrito como demandante de empleo para conservar la percepción de la prestación por desempleo, infracción que se encuentra tipificada en el art. 24.4.b) de la Ley de infracciones y sanciones del orden social, en la redacción del art. 8.2 de la Ley 1/2014.</w:t>
      </w:r>
    </w:p>
    <w:p w:rsidR="00AC56D6" w:rsidRDefault="00AC56D6" w:rsidP="00AC56D6">
      <w:pPr>
        <w:pStyle w:val="TextoNormal"/>
      </w:pPr>
    </w:p>
    <w:p w:rsidR="00AC56D6" w:rsidRDefault="00AC56D6" w:rsidP="00AC56D6">
      <w:pPr>
        <w:pStyle w:val="TextoNormal"/>
      </w:pPr>
      <w:r>
        <w:t>También se impugna la nueva redacción que el art. 8.5 de la Ley 1/2014 ha dado al art. 48.5 de la Ley de infracciones y sanciones del orden social, en cuanto atribuye al Servicio Público de Empleo Estatal la competencia para sancionar las infracciones cometidas por solicitantes o beneficiarios de las prestaciones por desempleo, con excepción de las tipificadas en los arts. 24.3 y 25.4 de la Ley de infracciones y sanciones del orden social, supuestos estos en los que la imposición de la sanción corresponderá al servicio público de empleo competente, pero sin incluir en esta excepción o salvedad (y esta es la razón de la impugnación) las infracciones tipificadas en el art. 24.4 de la Ley de infracciones y sanciones del orden social (en la redacción dada por el art. 8.2 de la Ley 1/2014). Estas se refieren a los incumplimientos consistentes en: a) no facilitar la información necesaria para garantizar la recepción de las notificaciones y comunicaciones de la entidad gestora de la prestación por desempleo [art. 24.2 a) de la Ley de infracciones y sanciones del orden social] y b) no cumplir el requisito, exigido para conservar la percepción de la prestación, de estar inscrito como demandante de empleo en los términos previstos en los arts. 209.1 y 215.4 del texto refundido de la Ley general de Seguridad Social (LGSS), salvo causa justificada [art. 24.4 b) de la Ley de infracciones y sanciones del orden social].</w:t>
      </w:r>
    </w:p>
    <w:p w:rsidR="00AC56D6" w:rsidRDefault="00AC56D6" w:rsidP="00AC56D6">
      <w:pPr>
        <w:pStyle w:val="TextoNormal"/>
      </w:pPr>
    </w:p>
    <w:p w:rsidR="00AC56D6" w:rsidRDefault="00AC56D6" w:rsidP="00AC56D6">
      <w:pPr>
        <w:pStyle w:val="TextoNormal"/>
      </w:pPr>
      <w:r>
        <w:t>Según el Gobierno Vasco, la atribución en estos términos al Servicio Público de Empleo Estatal de la competencia para sancionar las infracciones tipificadas en el art. 24.4 de la Ley de infracciones y sanciones del orden social se aparta de forma manifiesta de la doctrina sentada en las SSTC 195/1996, de 28 de noviembre, y 104/2013, de 25 de abril. Estas reconocerían la competencia autonómica de ejecución en materia de Seguridad Social, que incluye la competencia para la imposición de sanciones en materia de prestaciones por desempleo, cuando no se vea afectado el régimen económico de la Seguridad Social.</w:t>
      </w:r>
    </w:p>
    <w:p w:rsidR="00AC56D6" w:rsidRDefault="00AC56D6" w:rsidP="00AC56D6">
      <w:pPr>
        <w:pStyle w:val="TextoNormal"/>
      </w:pPr>
    </w:p>
    <w:p w:rsidR="00AC56D6" w:rsidRDefault="00AC56D6" w:rsidP="00AC56D6">
      <w:pPr>
        <w:pStyle w:val="TextoNormal"/>
      </w:pPr>
      <w:r>
        <w:t>b) En lo que se refiere a los títulos competenciales en juego, se advierte que en la disposición final primera de la Ley 1/2014 se afirma que el capítulo III de la misma (en el que se insertan los arts. 7 y 8.5, que son objeto de impugnación) se dicta “al amparo de lo dispuesto en el artículo 149.1.6, 7 y 17 de la Constitución Española, que atribuyen al Estado la competencia exclusiva sobre la legislación procesal, así como en materia de legislación laboral, sin perjuicio de su ejecución por los órganos de las Comunidades Autónomas, y de legislación básica y régimen económico de la Seguridad Social, sin perjuicio de la ejecución de sus servicios por las Comunidades Autónomas, respectivamente”; esta misma atribución competencial se predica de los capítulos II y IV.</w:t>
      </w:r>
    </w:p>
    <w:p w:rsidR="00AC56D6" w:rsidRDefault="00AC56D6" w:rsidP="00AC56D6">
      <w:pPr>
        <w:pStyle w:val="TextoNormal"/>
      </w:pPr>
    </w:p>
    <w:p w:rsidR="00AC56D6" w:rsidRDefault="00AC56D6" w:rsidP="00AC56D6">
      <w:pPr>
        <w:pStyle w:val="TextoNormal"/>
      </w:pPr>
      <w:r>
        <w:t xml:space="preserve">Según el recurrente, no existe conexión alguna entre el contenido de los preceptos impugnados y la competencia exclusiva del Estado en materia de legislación procesal (art. 149.1.6 CE), habida cuenta que el Tribunal Constitucional entiende que la materia propia </w:t>
      </w:r>
      <w:r>
        <w:lastRenderedPageBreak/>
        <w:t>de este título competencial se concreta en la necesidad de salvaguardar la uniformidad de los instrumentos jurisdiccionales (SSTC 71/1982, de 30 de noviembre; 83/1986, de 26 de junio, y 173/1998, de 23 de julio), sobre los que nada se dispone en los arts. 7 y 8 de la Ley 1/2014.</w:t>
      </w:r>
    </w:p>
    <w:p w:rsidR="00AC56D6" w:rsidRDefault="00AC56D6" w:rsidP="00AC56D6">
      <w:pPr>
        <w:pStyle w:val="TextoNormal"/>
      </w:pPr>
    </w:p>
    <w:p w:rsidR="00AC56D6" w:rsidRDefault="00AC56D6" w:rsidP="00AC56D6">
      <w:pPr>
        <w:pStyle w:val="TextoNormal"/>
      </w:pPr>
      <w:r>
        <w:t>De igual modo, considera el Gobierno Vasco que, a la luz de la doctrina sentada en las citadas SSTC 195/1996 y 104/2013, debe descartarse que los preceptos impugnados puedan ampararse en la competencia estatal en materia de legislación laboral (art. 149.1.7 CE); las prestaciones y subsidios por desempleo son prestaciones de Seguridad Social, por lo que el título competencial aplicable sería el art. 149.1.17 CE. La competencia autonómica de ejecución en materia de Seguridad Social incluye la competencia para la imposición de sanciones en materia de prestaciones por desempleo cuando recae sobre actividades instrumentales respecto al nacimiento y mantenimiento de la obligación de contribuir (esto es, cuando no se vea afectado el régimen económico de la Seguridad Social), conforme a la referida doctrina constitucional, que es justamente lo que acontece en el caso de los preceptos impugnados; así lo declararía la citada STC 104/2013 en relación con las infracciones tipificadas en el anterior art. 24.3 a) y d) de la Ley de infracciones y sanciones del orden social, de contenido sustancialmente idéntico al nuevo art. 24.4 a) y b) de la Ley de infracciones y sanciones del orden social, en la redacción dada por el art. 8.2 de la Ley 1/2014, y cuya sanción se atribuye al Servicio Público de Empleo Estatal de conformidad con el art. 27.4 Ley de empleo y el art. 48.5 de la Ley de infracciones y sanciones del orden social, en la redacción dada a los mismos por los arts. 7 y 8.5 de la Ley 1/2014, objeto del presente recurso de inconstitucionalidad.</w:t>
      </w:r>
    </w:p>
    <w:p w:rsidR="00AC56D6" w:rsidRDefault="00AC56D6" w:rsidP="00AC56D6">
      <w:pPr>
        <w:pStyle w:val="TextoNormal"/>
      </w:pPr>
    </w:p>
    <w:p w:rsidR="00AC56D6" w:rsidRDefault="00AC56D6" w:rsidP="00AC56D6">
      <w:pPr>
        <w:pStyle w:val="TextoNormal"/>
      </w:pPr>
      <w:r>
        <w:t>c) De acuerdo con el deslinde competencial expuesto, confirmado por las citadas SSTC 195/1996 y 104/2013, el nuevo art. 48.5 de la Ley de infracciones y sanciones del orden social, que excluye de la competencia autonómica la facultad para sancionar la infracción tipificada en el art. 24.4 a) de la Ley de infracciones y sanciones del orden social, únicamente sería constitucional, según el Gobierno Vasco, si su contenido material se entendiera referido a actuaciones vinculadas al régimen económico de la Seguridad Social, estas sí de competencia estatal; en ningún caso, en lo referido a actos instrumentales relativos a la inscripción y mantenimiento como demandantes de empleo. Así ocurre en los casos consistentes en suministrar información necesaria para garantizar las notificaciones y comunicaciones [art. 24.2 a) de la Ley de infracciones y sanciones del orden social] o estar inscrito como demandante de empleo en los términos establecidos en los arts. 209.1 y 215.4 LGSS, para la conservación de la percepción de la prestación [art. 24.2 b) de la Ley de infracciones y sanciones del orden social], supuestos de actividades instrumentales en los que la potestad sancionadora para el cumplimiento de tales obligaciones por los solicitantes o los beneficiarios de las prestaciones por desempleo corresponde a las Comunidades Autónomas, conforme a la doctrina sentada en la STC 104/2013 en relación con preceptos de contenido similar en la redacción precedente de la  Ley de infracciones y sanciones del orden social.</w:t>
      </w:r>
    </w:p>
    <w:p w:rsidR="00AC56D6" w:rsidRDefault="00AC56D6" w:rsidP="00AC56D6">
      <w:pPr>
        <w:pStyle w:val="TextoNormal"/>
      </w:pPr>
    </w:p>
    <w:p w:rsidR="00AC56D6" w:rsidRDefault="00AC56D6" w:rsidP="00AC56D6">
      <w:pPr>
        <w:pStyle w:val="TextoNormal"/>
      </w:pPr>
      <w:r>
        <w:t>d) Por todo ello, sostiene el Gobierno Vasco que los arts. 7 y 8.5 de la Ley 1/2014, en la redacción que otorgan, respectivamente, al inciso final del segundo párrafo del art. 27.4 de la Ley de empleo y al art. 48.5 de la Ley de infracciones y sanciones del orden social, serían inconstitucionales y nulos por vulnerar la potestad sancionadora de la Comunidad Autónoma del País Vasco en materia de ejecución de la legislación básica del Estado sobre Se</w:t>
      </w:r>
      <w:r>
        <w:lastRenderedPageBreak/>
        <w:t>guridad Social [art. 18.2 a) EAPV] y, por consiguiente, el orden constitucional de distribución de competencias. Así se solicita en el suplico del recurso de inconstitucionalidad, como pretensión principal, que se declare la inconstitucionalidad y nulidad de los preceptos legales impugnados.</w:t>
      </w:r>
    </w:p>
    <w:p w:rsidR="00AC56D6" w:rsidRDefault="00AC56D6" w:rsidP="00AC56D6">
      <w:pPr>
        <w:pStyle w:val="TextoNormal"/>
      </w:pPr>
    </w:p>
    <w:p w:rsidR="00AC56D6" w:rsidRDefault="00AC56D6" w:rsidP="00AC56D6">
      <w:pPr>
        <w:pStyle w:val="TextoNormal"/>
      </w:pPr>
      <w:r>
        <w:t>e) Subsidiariamente sostiene el Gobierno Vasco que, en el caso de que no se aprecie que los preceptos impugnados vulneran el art. 18.2 a) EAPV, serían inconstitucionales por vulnerar el art. 18.2 b) EAPV; este atribuye a la Comunidad Autónoma del País Vasco competencia sobre la gestión del régimen económico de la Seguridad Social, lo que afectaría el orden constitucional de distribución de competencias.</w:t>
      </w:r>
    </w:p>
    <w:p w:rsidR="00AC56D6" w:rsidRDefault="00AC56D6" w:rsidP="00AC56D6">
      <w:pPr>
        <w:pStyle w:val="TextoNormal"/>
      </w:pPr>
    </w:p>
    <w:p w:rsidR="00AC56D6" w:rsidRDefault="00AC56D6" w:rsidP="00AC56D6">
      <w:pPr>
        <w:pStyle w:val="TextoNormal"/>
      </w:pPr>
      <w:r>
        <w:t>Teniendo en cuenta la doctrina sentada en la STC 124/1989, de 7 de julio, en relación con la competencia sobre la gestión del régimen económico de la Seguridad Social, debe entenderse, según el ejecutivo autonómico recurrente, que ninguna de las atribuciones contenidas en los arts. 7 y 8.5 de la Ley 1/2014 pueden comprometer la unidad del sistema, perturbar su funcionamiento económico uniforme, cuestionar la titularidad estatal de todos los recursos de la Seguridad Social o engendrar desigualdades entre los ciudadanos en lo que respecta a la satisfacción de sus derechos y al cumplimiento de sus obligaciones. Siendo esto así, la extralimitación competencial que se deriva del contenido de los arts. 7 y 8.5 de la Ley 1/2014 implica su inconstitucionalidad por vulnerar el art. 18.2 b) EAPV; no así su nulidad, en tanto en cuanto no han sido llevadas a efecto las previsiones de la disposición transitoria quinta EAPV, en virtud de las cuales la asunción de la gestión del régimen económico de la Seguridad Social por la Comunidad Autónoma del País Vasco precisa la suscripción de los oportunos convenios en el seno de la comisión mixta de transferencias creada para la aplicación del Estatuto de Autonomía para el País Vasco. Esta declaración de inconstitucionalidad sin nulidad no es ajena a la doctrina constitucional (se citan como ejemplos las SSTC 96/1996, de 30 de mayo, y 150/2012, de 5 de julio).</w:t>
      </w:r>
    </w:p>
    <w:p w:rsidR="00AC56D6" w:rsidRDefault="00AC56D6" w:rsidP="00AC56D6">
      <w:pPr>
        <w:pStyle w:val="TextoNormal"/>
      </w:pPr>
    </w:p>
    <w:p w:rsidR="00AC56D6" w:rsidRDefault="00AC56D6" w:rsidP="00AC56D6">
      <w:pPr>
        <w:pStyle w:val="TextoNormal"/>
      </w:pPr>
      <w:r w:rsidRPr="00AC56D6">
        <w:rPr>
          <w:rStyle w:val="NumeroAFNegritaCaracter"/>
        </w:rPr>
        <w:t>2</w:t>
      </w:r>
      <w:r>
        <w:t>. Mediante providencia de 20 de enero de 2015 el Pleno, a propuesta de la Sección Segunda, acordó admitir a trámite el recurso de inconstitucionalidad promovido por el Gobierno Vasco y, en su representación, por el Procurador de los Tribunales don Felipe Juanas Blanco, contra los arts. 7 y 8.5 de la Ley 1/2014, de 28 de febrero, para la protección de los trabajadores a tiempo parcial y otras medidas urgentes en el orden económico y social. Se dio traslado de la demanda y documentos presentados, conforme establece el art. 34 LOTC, al Congreso de los Diputados y al Senado, por conducto de sus Presidentes, y al Gobierno, a través del Ministro de Justicia, al objeto de que, en el plazo de quince días, puedan personarse en el proceso y formular las alegaciones que estimaren convenientes. Se acordó publicar la incoación del recurso en el “Boletín Oficial del Estado”, lo que tuvo lugar el 24 de enero de 2015.</w:t>
      </w:r>
    </w:p>
    <w:p w:rsidR="00AC56D6" w:rsidRDefault="00AC56D6" w:rsidP="00AC56D6">
      <w:pPr>
        <w:pStyle w:val="TextoNormal"/>
      </w:pPr>
    </w:p>
    <w:p w:rsidR="00AC56D6" w:rsidRDefault="00AC56D6" w:rsidP="00AC56D6">
      <w:pPr>
        <w:pStyle w:val="TextoNormal"/>
      </w:pPr>
      <w:r w:rsidRPr="00AC56D6">
        <w:rPr>
          <w:rStyle w:val="NumeroAFNegritaCaracter"/>
        </w:rPr>
        <w:t>3</w:t>
      </w:r>
      <w:r>
        <w:t>. Por escrito registrado en este Tribunal el 28 de enero de 2015 el Abogado del Estado se personó en el presente proceso constitucional en nombre del Gobierno, solicitando una prórroga por ocho días más en el plazo inicialmente concedido para la formulación de alegaciones, prórroga que le fue concedida por providencia del Pleno de 3 de febrero de 2015.</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Mediante escrito registrado en este Tribunal el 30 de enero de 2015, el Presidente del Congreso de los Diputados comunicó el acuerdo de la Mesa de la Cámara de personarse en </w:t>
      </w:r>
      <w:r>
        <w:lastRenderedPageBreak/>
        <w:t>el procedimiento y ofrecer su colaboración a los efectos del art. 88.1 LOTC. Lo mismo hizo el Presidente del Senado por escrito que tuvo entrada en este Tribunal el 4 de febrero de 2015.</w:t>
      </w:r>
    </w:p>
    <w:p w:rsidR="00AC56D6" w:rsidRDefault="00AC56D6" w:rsidP="00AC56D6">
      <w:pPr>
        <w:pStyle w:val="TextoNormal"/>
      </w:pPr>
    </w:p>
    <w:p w:rsidR="00AC56D6" w:rsidRDefault="00AC56D6" w:rsidP="00AC56D6">
      <w:pPr>
        <w:pStyle w:val="TextoNormal"/>
      </w:pPr>
      <w:r w:rsidRPr="00AC56D6">
        <w:rPr>
          <w:rStyle w:val="NumeroAFNegritaCaracter"/>
        </w:rPr>
        <w:t>5</w:t>
      </w:r>
      <w:r>
        <w:t>. El Abogado del Estado presentó sus alegaciones mediante escrito registrado en este Tribunal el 24 de febrero de 2015, en el que solicita la desestimación en su integridad del recurso de inconstitucionalidad.</w:t>
      </w:r>
    </w:p>
    <w:p w:rsidR="00AC56D6" w:rsidRDefault="00AC56D6" w:rsidP="00AC56D6">
      <w:pPr>
        <w:pStyle w:val="TextoNormal"/>
      </w:pPr>
    </w:p>
    <w:p w:rsidR="00AC56D6" w:rsidRDefault="00AC56D6" w:rsidP="00AC56D6">
      <w:pPr>
        <w:pStyle w:val="TextoNormal"/>
      </w:pPr>
      <w:r>
        <w:t>Tras referirse al objeto del recurso y a los motivos alegados por el Gobierno Vasco, el Abogado del Estado señala que el título que ampara la competencia del legislador estatal para dictar los preceptos impugnados (que han dado nueva redacción al inciso final del párrafo segundo del art. 27.4 de la Ley de empleo y al art. 48.5 de la Ley de infracciones y sanciones del orden social) es el art. 149.1.17 CE. Este reconoce la competencia exclusiva del Estado en materia de régimen económico de la Seguridad Social, que es la que asume las prestaciones y subsidios por desempleo (art. 203 y ss LGSS). El Estado tiene pues competencia exclusiva para aprobar la legislación básica de Seguridad Social, correspondiendo a las Comunidades Autónomas las competencias ejecutivas, que incluyen la potestad sancionadora, para garantizar la efectiva aplicación de la legislación básica estatal y la autonómica que la desarrolle; así lo reconoce el art. 18.2 a) EAPV. Por el contrario, en lo que se refiere al régimen económico de la Seguridad Social (que es el aplicable a este caso) la atribución de la competencia exclusiva al Estado comprende no sólo la competencia legislativa íntegra, sino también las competencias de ejecución necesarias; incluyendo la potestad sancionadora, para configurar un sistema materialmente unitario. Frente a lo que se afirma por el Gobierno Vasco con carácter subsidiario, el art. 18.2 b) EAPV no atribuiría esta competencia ejecutiva a la Comunidad Autónoma del País Vasco. La competencia en materia de régimen económico de la Seguridad Social que corresponde de forma exclusiva al Estado (art. 149.1.17 CE) comporta la potestad para sancionar aquellas infracciones que recaen directamente sobre la actividad económica de la Seguridad Social; ilícitos que se hallan inmediatamente referidos a la percepción de sus ingresos o a la realización de sus gastos. Todo ello porque en tales casos se entiende que el objeto inmediato de tutela es la gestión de la caja única de la Seguridad Social, como resulta de la doctrina sentada en las SSTC 124/1989, 195/1996 y 104/2013.</w:t>
      </w:r>
    </w:p>
    <w:p w:rsidR="00AC56D6" w:rsidRDefault="00AC56D6" w:rsidP="00AC56D6">
      <w:pPr>
        <w:pStyle w:val="TextoNormal"/>
      </w:pPr>
    </w:p>
    <w:p w:rsidR="00AC56D6" w:rsidRDefault="00AC56D6" w:rsidP="00AC56D6">
      <w:pPr>
        <w:pStyle w:val="TextoNormal"/>
      </w:pPr>
      <w:r>
        <w:t>La Ley 1/2014, respetuosa con la citada doctrina constitucional, establece la competencia del Estado, a través del Servicio Público de Empleo Estatal, para sancionar el incumplimiento del requisito de mantener la inscripción como solicitante de empleo. El incumplimiento de esta obligación no se configuraba de forma expresa en la normativa precedente como determinante de la improcedencia de la percepción de la correspondiente prestación, sino que solo se tipificaba como infracción la no renovación de la demanda de empleo sin causa justificada. Considerando que la prestación y el subsidio por desempleo son un instrumento de protección de quienes pudiendo y queriendo trabajar no encuentran empleo y, siendo la inscripción como demandante de empleo la forma de acreditar el mantenimiento de la voluntad de encontrarlo, era necesario configurar dicha inscripción como requisito indispensable no solo del nacimiento sino también del mantenimiento del derecho a percibir la prestación, vinculando de forma directa su percepción al mantenimiento de la vigencia de la inscripción de la demanda de empleo.</w:t>
      </w:r>
    </w:p>
    <w:p w:rsidR="00AC56D6" w:rsidRDefault="00AC56D6" w:rsidP="00AC56D6">
      <w:pPr>
        <w:pStyle w:val="TextoNormal"/>
      </w:pPr>
    </w:p>
    <w:p w:rsidR="00AC56D6" w:rsidRDefault="00AC56D6" w:rsidP="00AC56D6">
      <w:pPr>
        <w:pStyle w:val="TextoNormal"/>
      </w:pPr>
      <w:r>
        <w:lastRenderedPageBreak/>
        <w:t>Esta modificación legal no se ha realizado con la finalidad de eludir la doctrina del Tribunal Constitucional y desapoderar a la Comunidad Autónoma del País Vasco de sus competencias, como se afirma en el recurso, sino con el objetivo de mejorar técnicamente la normativa reguladora de la prestación por desempleo. Además, la nueva regulación sería conforme con la doctrina de la STC 104/2013, por cuanto las prestaciones por desempleo lo son de la Seguridad Social. Por ello está afectando a la competencia exclusiva estatal en materia de régimen económico de la Seguridad Social, que comporta la potestad para sancionar aquellas infracciones que recaen directamente sobre la actividad económica de la Seguridad Social, como es —a diferencia de los supuestos analizados en las STC 104/2013— la relativa al mantenimiento de la inscripción como demandante de empleo; en cuanto que el cumplimiento de ese requisito se relaciona directamente con la percepción de la prestación.</w:t>
      </w:r>
    </w:p>
    <w:p w:rsidR="00AC56D6" w:rsidRDefault="00AC56D6" w:rsidP="00AC56D6">
      <w:pPr>
        <w:pStyle w:val="TextoNormal"/>
      </w:pPr>
    </w:p>
    <w:p w:rsidR="00AC56D6" w:rsidRDefault="00AC56D6" w:rsidP="00AC56D6">
      <w:pPr>
        <w:pStyle w:val="TextoNormal"/>
      </w:pPr>
      <w:r>
        <w:t>De este modo, la Ley 1/2014 (que proviene de la tramitación como proyecto de ley del Real Decreto-ley 11/2013) modifica los arts. 207, 209 y 215 LGSS. Incluye como requisito necesario para la percepción de la prestación o del subsidio de desempleo el hallarse inscrito como demandante de empleo en el momento de solicitar el derecho a la prestación y también el mantener esa inscripción para continuar percibiéndola. Además, tipifica como infracción leve la conducta consistente en no mantener la inscripción en la demanda de empleo sin causa justificada, porque considera que tal conducta evidencia la falta de voluntad de trabajar. Asimismo elimina la infracción consistente en no renovar la demanda de empleo, puesto que esa no renovación es una de las causas por las que no se mantiene la inscripción, pero no es la única; pueden existir otras como la baja voluntaria en la demanda de empleo.</w:t>
      </w:r>
    </w:p>
    <w:p w:rsidR="00AC56D6" w:rsidRDefault="00AC56D6" w:rsidP="00AC56D6">
      <w:pPr>
        <w:pStyle w:val="TextoNormal"/>
      </w:pPr>
    </w:p>
    <w:p w:rsidR="00AC56D6" w:rsidRDefault="00AC56D6" w:rsidP="00AC56D6">
      <w:pPr>
        <w:pStyle w:val="TextoNormal"/>
      </w:pPr>
      <w:r>
        <w:t>En coherencia con lo anterior la Ley 1/2014 modifica también el art. 27 de la Ley de empleo, a fin de diferenciar la competencia relativa a la verificación del cumplimiento de las obligaciones derivadas del compromiso de actividad por parte de los beneficiarios de prestaciones y su sanción (que ostentan los servicios públicos de empleo de las Comunidades Autónomas), de la competencia de verificación del cumplimiento de la obligación del mantenimiento de la inscripción como demandantes de empleo, que efectuarán las Comunidades Autónomas. Estas comunicarán los incumplimientos al Servicio Público de Empleo Estatal, que podrá iniciar el correspondiente procedimiento sancionador; a tal efecto se modifican igualmente los arts. 24.3, 25.4 y 48.5 de la Ley de infracciones y sanciones del orden social.</w:t>
      </w:r>
    </w:p>
    <w:p w:rsidR="00AC56D6" w:rsidRDefault="00AC56D6" w:rsidP="00AC56D6">
      <w:pPr>
        <w:pStyle w:val="TextoNormal"/>
      </w:pPr>
    </w:p>
    <w:p w:rsidR="00AC56D6" w:rsidRDefault="00AC56D6" w:rsidP="00AC56D6">
      <w:pPr>
        <w:pStyle w:val="TextoNormal"/>
      </w:pPr>
      <w:r>
        <w:t>Por lo demás (añade el Abogado del Estado), la falta de inscripción como demandante de empleo se configura como un importante indicio de situaciones irregulares, como pueden ser la realización de actividades incompatibles, la salida al extranjero no comunicada, o, en general, la no disponibilidad para el empleo. Aunque la regulación anterior contemplaba como causa de suspensión o extinción la desaparición de la situación de desempleo, así como la concurrencia de circunstancias que impiden trabajar, no ocurría lo mismo cuando se detectaba la falta de voluntad de trabajar, como sucedía en el caso del beneficiario que incumplía la obligación de renovar la demanda de empleo.</w:t>
      </w:r>
    </w:p>
    <w:p w:rsidR="00AC56D6" w:rsidRDefault="00AC56D6" w:rsidP="00AC56D6">
      <w:pPr>
        <w:pStyle w:val="TextoNormal"/>
      </w:pPr>
    </w:p>
    <w:p w:rsidR="00AC56D6" w:rsidRDefault="00AC56D6" w:rsidP="00AC56D6">
      <w:pPr>
        <w:pStyle w:val="TextoNormal"/>
      </w:pPr>
      <w:r>
        <w:t xml:space="preserve">El impacto que las medidas impugnadas tienen sobre la gestión económica de la Seguridad Social, según se desprende de la memoria que se acompaña al Real Decreto-ley 11/2013, vendría a confirmar la competencia estatal, por afectar la reforma legal impugnada al régimen económico de la Seguridad Social y no (frente a lo que se alega en el recurso) a </w:t>
      </w:r>
      <w:r>
        <w:lastRenderedPageBreak/>
        <w:t>la mera ejecución de la legislación sobre la misma. El Servicio Público de Empleo Estatal tiene la competencia de controlar el cumplimiento de los requisitos establecidos en la Ley general de la Seguridad Social para el acceso a las prestaciones de desempleo, así como de comprobar las situaciones de fraude que puedan cometerse, de acuerdo con el art. 229 LGSS. Dado que el control del fraude recae directamente sobre la actividad económica de la Seguridad Social, el Estado ha de ostentar también la potestad de definir infracciones e imponer sanciones.</w:t>
      </w:r>
    </w:p>
    <w:p w:rsidR="00AC56D6" w:rsidRDefault="00AC56D6" w:rsidP="00AC56D6">
      <w:pPr>
        <w:pStyle w:val="TextoNormal"/>
      </w:pPr>
    </w:p>
    <w:p w:rsidR="00AC56D6" w:rsidRDefault="00AC56D6" w:rsidP="00AC56D6">
      <w:pPr>
        <w:pStyle w:val="TextoNormal"/>
      </w:pPr>
      <w:r>
        <w:t>Por lo que se refiere a la alegación subsidiaria del Gobierno Vasco, sostiene el Abogado del Estado que lo previsto en el art. 18.2 b) EAPV en cuanto a la gestión del régimen económico de la Seguridad Social, en relación con la disposición transitoria quinta del Estatuto de Autonomía para el País Vasco, no permite entender que la competencia discutida corresponda a la Comunidad Autónoma del País Vasco en ningún caso. El modelo de gestión del sistema español de Seguridad Social se ha articulado a partir de la competencia estatal en la materia para garantizar la igualdad de todos los españoles en el ejercicio de los derechos y en el cumplimiento de los deberes en materia de Seguridad Social, así como los principios de caja única (art. 149.1.7 CE) y solidaridad interterritorial y financiera, consagrados por la jurisprudencia del Tribunal Constitucional; de ahí que las competencias ejecutivas de las Comunidad Autónoma tengan como límite los referidos principios. Dispone el Estado, como señalan las citadas SSTC 124/1989 y 195/1996, de las competencias ejecutivas que sean precisas para garantizar la unidad del sistema y su funcionamiento económico uniforme; lo que impide la existencia de políticas diferenciadas de Seguridad Social en cada una de las Comunidades Autónomas. Ello implica admitir que el Estado ejerce no solo facultades normativas (legislativas y reglamentarias) sino también de gestión o ejecución del régimen económico y de disposición directa de los fondos de la Seguridad Social destinados a sus servicios o sus prestaciones.</w:t>
      </w:r>
    </w:p>
    <w:p w:rsidR="00AC56D6" w:rsidRDefault="00AC56D6" w:rsidP="00AC56D6">
      <w:pPr>
        <w:pStyle w:val="TextoNormal"/>
      </w:pPr>
    </w:p>
    <w:p w:rsidR="00AC56D6" w:rsidRDefault="00AC56D6" w:rsidP="00AC56D6">
      <w:pPr>
        <w:pStyle w:val="TextoNormal"/>
      </w:pPr>
      <w:r>
        <w:t>Por otro lado, la previsión de los convenios a los que se refiere la disposición transitoria quinta EAPV debe interpretarse conforme al art. 149.1.7 CE, al art. 18 LGSS y a la citada doctrina constitucional sobre el ejercicio de “funciones delegadas de recaudación” por las Comunidades Autónomas (STC 124/1989, FJ 5). Tampoco resulta aplicable el concierto económico con la Comunidad Autónoma del País Vasco, puesto que la Seguridad Social se nutre con cotizaciones de trabajadores y empresarios, como fuente de financiación autónoma y separada. Por ello, con arreglo a la STC 124/1989, en materia de régimen económico de la Seguridad Social la financiación y el gasto son competencia exclusiva del Estado en todos sus aspectos, incluso los puramente ejecutivos. En consecuencia, al afectar los tipos de las infracciones impugnadas en el presente recurso al régimen económico de la Seguridad Social, la Comunidad Autónoma del País Vasco no ostenta competencias en esta materia.</w:t>
      </w:r>
    </w:p>
    <w:p w:rsidR="00AC56D6" w:rsidRDefault="00AC56D6" w:rsidP="00AC56D6">
      <w:pPr>
        <w:pStyle w:val="TextoNormal"/>
      </w:pPr>
    </w:p>
    <w:p w:rsidR="00AC56D6" w:rsidRDefault="00AC56D6" w:rsidP="00AC56D6">
      <w:pPr>
        <w:pStyle w:val="TextoNormal"/>
      </w:pPr>
      <w:r w:rsidRPr="00AC56D6">
        <w:rPr>
          <w:rStyle w:val="NumeroAFNegritaCaracter"/>
        </w:rPr>
        <w:t>6</w:t>
      </w:r>
      <w:r>
        <w:t>. Por providencia de 15 de diciembre de 2015 se señaló para deliberación y votación de la presente Sentencia el día 17 del mismo mes y año.</w:t>
      </w:r>
    </w:p>
    <w:p w:rsidR="00AC56D6" w:rsidRDefault="00AC56D6" w:rsidP="00AC56D6">
      <w:pPr>
        <w:pStyle w:val="TextoNormal"/>
      </w:pPr>
    </w:p>
    <w:p w:rsidR="00AC56D6" w:rsidRDefault="00AC56D6" w:rsidP="00AC56D6">
      <w:pPr>
        <w:pStyle w:val="TextoNormalNegritaCentrado"/>
        <w:keepNext/>
      </w:pPr>
      <w:r>
        <w:t>II. Fundamentos jurídicos</w:t>
      </w:r>
    </w:p>
    <w:p w:rsidR="00AC56D6" w:rsidRDefault="00AC56D6" w:rsidP="00AC56D6">
      <w:pPr>
        <w:pStyle w:val="TextoNormalNegritaCentrado"/>
        <w:keepNext/>
      </w:pPr>
    </w:p>
    <w:p w:rsidR="00AC56D6" w:rsidRDefault="00AC56D6" w:rsidP="00AC56D6">
      <w:pPr>
        <w:pStyle w:val="TextoNormal"/>
      </w:pPr>
      <w:r w:rsidRPr="00AC56D6">
        <w:rPr>
          <w:rStyle w:val="NumeroAFNegritaCaracter"/>
        </w:rPr>
        <w:t>1</w:t>
      </w:r>
      <w:r>
        <w:t xml:space="preserve">. En el presente proceso constitucional debemos resolver el recurso de inconstitucionalidad interpuesto por el Gobierno Vasco contra los arts. 7 y 8.5 de la Ley 1/2014, de 28 de febrero, para la protección de los trabajadores a tiempo parcial y otras medidas urgentes en </w:t>
      </w:r>
      <w:r>
        <w:lastRenderedPageBreak/>
        <w:t>el orden económico y social, que dan nueva redacción, respectivamente, al inciso final del párrafo segundo del art. 27.4 de la Ley 56/2003, de 16 de diciembre, de empleo y al art. 48.5 del texto refundido de la Ley de infracciones y sanciones del orden social, aprobado por Real Decreto Legislativo 5/2000, de 4 de agosto.</w:t>
      </w:r>
    </w:p>
    <w:p w:rsidR="00AC56D6" w:rsidRDefault="00AC56D6" w:rsidP="00AC56D6">
      <w:pPr>
        <w:pStyle w:val="TextoNormal"/>
      </w:pPr>
    </w:p>
    <w:p w:rsidR="00AC56D6" w:rsidRDefault="00AC56D6" w:rsidP="00AC56D6">
      <w:pPr>
        <w:pStyle w:val="TextoNormal"/>
      </w:pPr>
      <w:r>
        <w:t>Los preceptos impugnados disponen lo siguiente:</w:t>
      </w:r>
    </w:p>
    <w:p w:rsidR="00AC56D6" w:rsidRDefault="00AC56D6" w:rsidP="00AC56D6">
      <w:pPr>
        <w:pStyle w:val="TextoNormal"/>
      </w:pPr>
    </w:p>
    <w:p w:rsidR="00AC56D6" w:rsidRDefault="00AC56D6" w:rsidP="00AC56D6">
      <w:pPr>
        <w:pStyle w:val="TextoNormal"/>
      </w:pPr>
      <w:r>
        <w:t>“Artículo 7. Modificación de la Ley 56/2003, de 16 de diciembre, de Empleo.</w:t>
      </w:r>
    </w:p>
    <w:p w:rsidR="00AC56D6" w:rsidRDefault="00AC56D6" w:rsidP="00AC56D6">
      <w:pPr>
        <w:pStyle w:val="TextoNormal"/>
      </w:pPr>
    </w:p>
    <w:p w:rsidR="00AC56D6" w:rsidRDefault="00AC56D6" w:rsidP="00AC56D6">
      <w:pPr>
        <w:pStyle w:val="TextoNormal"/>
      </w:pPr>
      <w:r>
        <w:t>El apartado 4 del artículo 27 de la Ley 56/2003, de 16 de diciembre, de Empleo, queda modificado en los siguientes términos:</w:t>
      </w:r>
    </w:p>
    <w:p w:rsidR="00AC56D6" w:rsidRDefault="00AC56D6" w:rsidP="00AC56D6">
      <w:pPr>
        <w:pStyle w:val="TextoNormal"/>
      </w:pPr>
    </w:p>
    <w:p w:rsidR="00AC56D6" w:rsidRDefault="00AC56D6" w:rsidP="00AC56D6">
      <w:pPr>
        <w:pStyle w:val="TextoNormal"/>
      </w:pPr>
      <w:r>
        <w:t>‘4. Los beneficiarios de prestaciones y subsidios por desempleo inscritos en los servicios públicos de empleo, una vez hayan suscrito el compromiso de actividad, deberán participar en las políticas activas de empleo que se determinen en el itinerario de inserción, sin perjuicio de lo dispuesto en el último párrafo del artículo 231.1 del texto refundido de la Ley General de la Seguridad Social. Los servicios públicos de empleo competentes verificarán el cumplimiento de las obligaciones derivadas de la suscripción del compromiso de actividad de los beneficiarios de prestaciones y subsidios por desempleo, comunicando la sanción impuesta, en su caso, en el momento en que se imponga, al Servicio Público de Empleo Estatal o al Instituto Social de la Marina, según corresponda, para su ejecución.</w:t>
      </w:r>
    </w:p>
    <w:p w:rsidR="00AC56D6" w:rsidRDefault="00AC56D6" w:rsidP="00AC56D6">
      <w:pPr>
        <w:pStyle w:val="TextoNormal"/>
      </w:pPr>
    </w:p>
    <w:p w:rsidR="00AC56D6" w:rsidRDefault="00AC56D6" w:rsidP="00AC56D6">
      <w:pPr>
        <w:pStyle w:val="TextoNormal"/>
      </w:pPr>
      <w:r>
        <w:t>Los servicios públicos de empleo competentes verificarán, asimismo, el cumplimiento de la obligación de dichos beneficiarios de mantenerse inscritos como demandantes de empleo, debiendo comunicar los incumplimientos de esta obligación al Servicio Público de Empleo Estatal o, en su caso, al Instituto Social de la Marina, en el momento en que se produzcan o conozcan. Dicha comunicación podrá realizarse por medios electrónicos y será documento suficiente para que el Servicio Público de Empleo Estatal o, en su caso, el Instituto Social de la Marina, inicie el procedimiento sancionador que corresponda’.”</w:t>
      </w:r>
    </w:p>
    <w:p w:rsidR="00AC56D6" w:rsidRDefault="00AC56D6" w:rsidP="00AC56D6">
      <w:pPr>
        <w:pStyle w:val="TextoNormal"/>
      </w:pPr>
    </w:p>
    <w:p w:rsidR="00AC56D6" w:rsidRDefault="00AC56D6" w:rsidP="00AC56D6">
      <w:pPr>
        <w:pStyle w:val="TextoNormal"/>
      </w:pPr>
      <w:r>
        <w:t>“Artículo 8. Modificación del texto refundido de la Ley sobre Infracciones y Sanciones en el Orden Social, aprobado por el Real Decreto Legislativo 5/2000, de 4 de agosto.</w:t>
      </w:r>
    </w:p>
    <w:p w:rsidR="00AC56D6" w:rsidRDefault="00AC56D6" w:rsidP="00AC56D6">
      <w:pPr>
        <w:pStyle w:val="TextoNormal"/>
      </w:pPr>
    </w:p>
    <w:p w:rsidR="00AC56D6" w:rsidRDefault="00AC56D6" w:rsidP="00AC56D6">
      <w:pPr>
        <w:pStyle w:val="TextoNormal"/>
      </w:pPr>
      <w:r>
        <w:t>…</w:t>
      </w:r>
    </w:p>
    <w:p w:rsidR="00AC56D6" w:rsidRDefault="00AC56D6" w:rsidP="00AC56D6">
      <w:pPr>
        <w:pStyle w:val="TextoNormal"/>
      </w:pPr>
    </w:p>
    <w:p w:rsidR="00AC56D6" w:rsidRDefault="00AC56D6" w:rsidP="00AC56D6">
      <w:pPr>
        <w:pStyle w:val="TextoNormal"/>
      </w:pPr>
      <w:r>
        <w:t>Cinco. El apartado 5 del artículo 48 queda redactado en los siguientes términos:</w:t>
      </w:r>
    </w:p>
    <w:p w:rsidR="00AC56D6" w:rsidRDefault="00AC56D6" w:rsidP="00AC56D6">
      <w:pPr>
        <w:pStyle w:val="TextoNormal"/>
      </w:pPr>
    </w:p>
    <w:p w:rsidR="00AC56D6" w:rsidRDefault="00AC56D6" w:rsidP="00AC56D6">
      <w:pPr>
        <w:pStyle w:val="TextoNormal"/>
      </w:pPr>
      <w:r>
        <w:t>‘5. La imposición de sanciones por infracciones en materia de Seguridad Social a los trabajadores corresponde, a propuesta de la Inspección de Trabajo y Seguridad Social, a la entidad gestora o servicio común de la Seguridad Social competente. En el caso de infracciones cometidas por solicitantes o beneficiarios de las prestaciones por desempleo de nivel contributivo o asistencial, la competencia corresponde a la entidad gestora de éstas, salvo en el supuesto de las infracciones contenidas en los artículos 24.3 y 25.4 de esta Ley, en el que la imposición de la sanción corresponderá al servicio público de empleo competente que comunicará la sanción, en el momento en que se imponga, a la entidad gestora de las prestaciones por desempleo para su ejecución por ésta’.”</w:t>
      </w:r>
    </w:p>
    <w:p w:rsidR="00AC56D6" w:rsidRDefault="00AC56D6" w:rsidP="00AC56D6">
      <w:pPr>
        <w:pStyle w:val="TextoNormal"/>
      </w:pPr>
    </w:p>
    <w:p w:rsidR="00AC56D6" w:rsidRDefault="00AC56D6" w:rsidP="00AC56D6">
      <w:pPr>
        <w:pStyle w:val="TextoNormal"/>
      </w:pPr>
      <w:r>
        <w:lastRenderedPageBreak/>
        <w:t>El Gobierno Vasco impugna específicamente el último inciso del párrafo segundo del nuevo art. 27.4 de la Ley de empleo (en la redacción dada por el art. 7 de la Ley 1/2014), así como la atribución al Servicio Público de Empleo Estatal de la competencia para sancionar las conductas tipificadas en el nuevo art. 24.4 a) y b) de la Ley de infracciones y sanciones del orden social, que deriva de lo dispuesto en el segundo inciso del reformado art. 48.5 de la Ley de infracciones y sanciones del orden social (en la redacción dada por el art. 8.5 de la Ley 1/2014). Como ya se ha dejado constancia en el relato de antecedentes, la demanda formula a estos preceptos un doble reproche competencial. Sostiene, en primer lugar, que esta nueva regulación excede de la competencia estatal en materia de Seguridad Social (art. 149.1.17 CE), en cuanto que atribuye al Servicio Público de Empleo Estatal (o en su caso al Instituto Social de la Marina, la competencia para sancionar determinadas conductas; esto desconocería la doctrina de las SSTC 195/1996, de 28 de noviembre, y 104/2013, de 25 de abril, y desapoderaría al Gobierno Vasco de su competencia sancionadora en materia de Seguridad Social recogida en el art. 18.2 a) del Estatuto de Autonomía del País Vasco (EAPV). Por ello interesa que se declare la inconstitucionalidad y nulidad de los preceptos impugnados, como pretensión principal. Subsidiariamente, solicita que se declaren inconstitucionales por vulnerar el art. 18.2.b) EAPV, que atribuye a la Comunidad Autónoma del País Vasco competencia sobre la gestión del régimen económico de la Seguridad Social; sin declarar su nulidad, dado que no han sido llevadas a efecto las previsiones de la disposición transitoria quinta EAPV.</w:t>
      </w:r>
    </w:p>
    <w:p w:rsidR="00AC56D6" w:rsidRDefault="00AC56D6" w:rsidP="00AC56D6">
      <w:pPr>
        <w:pStyle w:val="TextoNormal"/>
      </w:pPr>
    </w:p>
    <w:p w:rsidR="00AC56D6" w:rsidRDefault="00AC56D6" w:rsidP="00AC56D6">
      <w:pPr>
        <w:pStyle w:val="TextoNormal"/>
      </w:pPr>
      <w:r>
        <w:t>El Abogado del Estado ha negado la pretendida contravención del sistema de distribución de competencias, tanto en lo que se refiere a la tacha principal que se alega en el recurso, como en lo que atañe a la tacha subsidiaria. Sostiene así, por las razones que han quedado expresadas con detalle en el relato de antecedentes de la presente sentencia, que la nueva configuración de las infracciones y sanciones en materia de desempleo que resulta de los preceptos impugnados no pretende desapoderar las competencias autonómicas. Aspira a llevar a cabo una reordenación de la potestad sancionadora de las distintas Administraciones Públicas con competencias en la materia que es conforme con la doctrina constitucional sentada en las SSTC 124/1989, 195/1996 y 104/2013. La competencia en materia de régimen económico de la Seguridad Social, que corresponde de forma exclusiva al Estado (art. 149.1.17 CE), comporta la potestad para sancionar aquellas infracciones que recaen directamente sobre la actividad económica de la Seguridad Social, como son las que se refieren a las prestaciones por desempleo.</w:t>
      </w:r>
    </w:p>
    <w:p w:rsidR="00AC56D6" w:rsidRDefault="00AC56D6" w:rsidP="00AC56D6">
      <w:pPr>
        <w:pStyle w:val="TextoNormal"/>
      </w:pPr>
    </w:p>
    <w:p w:rsidR="00AC56D6" w:rsidRDefault="00AC56D6" w:rsidP="00AC56D6">
      <w:pPr>
        <w:pStyle w:val="TextoNormal"/>
      </w:pPr>
      <w:r w:rsidRPr="00AC56D6">
        <w:rPr>
          <w:rStyle w:val="NumeroAFNegritaCaracter"/>
        </w:rPr>
        <w:t>2</w:t>
      </w:r>
      <w:r>
        <w:t>. Con carácter previo al análisis de los preceptos impugnados y de las concretas tachas de inconstitucionalidad aducidas debemos examinar la incidencia que pudiera tener sobre el presente recurso la reciente Ley 23/2015, de 21 de julio, ordenadora del sistema de Inspección de Trabajo y Seguridad Social, cuya disposición final primera modifica el art. 48 de la Ley de infracciones y sanciones del orden social, que queda redactado como sigue:</w:t>
      </w:r>
    </w:p>
    <w:p w:rsidR="00AC56D6" w:rsidRDefault="00AC56D6" w:rsidP="00AC56D6">
      <w:pPr>
        <w:pStyle w:val="TextoNormal"/>
      </w:pPr>
    </w:p>
    <w:p w:rsidR="00AC56D6" w:rsidRDefault="00AC56D6" w:rsidP="00AC56D6">
      <w:pPr>
        <w:pStyle w:val="TextoNormal"/>
      </w:pPr>
      <w:r>
        <w:t>“Artículo 48. Atribución de competencias sancionadoras.</w:t>
      </w:r>
    </w:p>
    <w:p w:rsidR="00AC56D6" w:rsidRDefault="00AC56D6" w:rsidP="00AC56D6">
      <w:pPr>
        <w:pStyle w:val="TextoNormal"/>
      </w:pPr>
    </w:p>
    <w:p w:rsidR="00AC56D6" w:rsidRDefault="00AC56D6" w:rsidP="00AC56D6">
      <w:pPr>
        <w:pStyle w:val="TextoNormal"/>
      </w:pPr>
      <w:r>
        <w:t>1. El ejercicio de la potestad sancionadora respecto de las infracciones del orden social en el ámbito de la Administración General del Estado corresponderá al órgano competente, según lo que reglamentariamente se disponga.</w:t>
      </w:r>
    </w:p>
    <w:p w:rsidR="00AC56D6" w:rsidRDefault="00AC56D6" w:rsidP="00AC56D6">
      <w:pPr>
        <w:pStyle w:val="TextoNormal"/>
      </w:pPr>
    </w:p>
    <w:p w:rsidR="00AC56D6" w:rsidRDefault="00AC56D6" w:rsidP="00AC56D6">
      <w:pPr>
        <w:pStyle w:val="TextoNormal"/>
      </w:pPr>
      <w:r>
        <w:lastRenderedPageBreak/>
        <w:t>2. El ejercicio de la potestad sancionadora respecto de las infracciones del orden social, cuando corresponda a la Administración de las Comunidades Autónomas con competencia en materia de ejecución de la legislación del orden social, se ejercerá por los órganos y con los límites de distribución que determine cada Comunidad Autónoma.</w:t>
      </w:r>
    </w:p>
    <w:p w:rsidR="00AC56D6" w:rsidRDefault="00AC56D6" w:rsidP="00AC56D6">
      <w:pPr>
        <w:pStyle w:val="TextoNormal"/>
      </w:pPr>
    </w:p>
    <w:p w:rsidR="00AC56D6" w:rsidRDefault="00AC56D6" w:rsidP="00AC56D6">
      <w:pPr>
        <w:pStyle w:val="TextoNormal"/>
      </w:pPr>
      <w:r>
        <w:t>3. La potestad para acordar las sanciones accesorias establecidas en esta ley corresponderá a quien la ostente para imponer las de carácter principal de las que deriven aquéllas.”</w:t>
      </w:r>
    </w:p>
    <w:p w:rsidR="00AC56D6" w:rsidRDefault="00AC56D6" w:rsidP="00AC56D6">
      <w:pPr>
        <w:pStyle w:val="TextoNormal"/>
      </w:pPr>
    </w:p>
    <w:p w:rsidR="00AC56D6" w:rsidRDefault="00AC56D6" w:rsidP="00AC56D6">
      <w:pPr>
        <w:pStyle w:val="TextoNormal"/>
      </w:pPr>
      <w:r>
        <w:t>De acuerdo con esta regulación los nuevos apartados 2 y 3 del art. 48 de la Ley de infracciones y sanciones del orden social se corresponden, respectivamente, con los anteriores apartados 6 y 9 del mismo precepto legal, manteniendo idéntica redacción. El resto de apartados de que constaba el art. 48 de la Ley de infracciones y sanciones del orden social desaparecen, conteniendo ahora el nuevo apartado 1 del art. 48 de la Ley de infracciones y sanciones del orden social, en la redacción dada por la Ley 23/2015, de 21 de julio, una remisión al reglamento para determinar a qué órgano compete el ejercicio de la potestad sancionadora respecto de las infracciones del orden social en el ámbito de la Administración General del Estado. Sin embargo, el nuevo régimen de atribución de competencias sancionadoras previsto en la disposición final primera de la Ley 23/2015 no resulta de aplicación, según establece su disposición transitoria segunda, hasta que no entren en vigor las disposiciones reglamentarias que se aprueben en desarrollo del art. 48.1 de la Ley de infracciones y sanciones del orden social, en la redacción dada por la citada disposición final primera. Hasta ese momento “continuará siendo de aplicación la regulación en materia de atribución de competencias sancionadoras existente con anterioridad a la entrada en vigor de esta Ley”.</w:t>
      </w:r>
    </w:p>
    <w:p w:rsidR="00AC56D6" w:rsidRDefault="00AC56D6" w:rsidP="00AC56D6">
      <w:pPr>
        <w:pStyle w:val="TextoNormal"/>
      </w:pPr>
    </w:p>
    <w:p w:rsidR="00AC56D6" w:rsidRDefault="00AC56D6" w:rsidP="00AC56D6">
      <w:pPr>
        <w:pStyle w:val="TextoNormal"/>
      </w:pPr>
      <w:r>
        <w:t>Así pues, no habiéndose dictado las disposiciones reglamentarias en desarrollo del art. 48.1 de la Ley de infracciones y sanciones del orden social, en la redacción dada por la disposición final primera de la Ley 23/2015, se mantiene la vigencia y aplicación de la regulación en materia de atribución de competencias sancionadoras en el orden social contenida en los arts. 7 y 8.5 de la Ley 1/2014, para la protección de los trabajadores a tiempo parcial y otras medidas urgentes en el orden económico y social; dan nueva redacción, respectivamente, al inciso final del párrafo segundo del art. 27.4 de la Ley de empleo y al art. 48.5 de la Ley de infracciones y sanciones del orden social, impugnados en el presente proceso constitucional, que no ha perdido por tanto su objeto.</w:t>
      </w:r>
    </w:p>
    <w:p w:rsidR="00AC56D6" w:rsidRDefault="00AC56D6" w:rsidP="00AC56D6">
      <w:pPr>
        <w:pStyle w:val="TextoNormal"/>
      </w:pPr>
    </w:p>
    <w:p w:rsidR="00AC56D6" w:rsidRDefault="00AC56D6" w:rsidP="00AC56D6">
      <w:pPr>
        <w:pStyle w:val="TextoNormal"/>
      </w:pPr>
      <w:r>
        <w:t>A su vez, el contenido del art. 27.4 de la Ley de empleo (en la redacción dada por el art. 7 de la Ley 1/2014) ha pasado a incorporarse ahora al art. 41.4 del texto refundido de la Ley de empleo, aprobado por Real Decreto legislativo 3/2015, de 23 de octubre, que deroga la Ley 56/2003, de 16 de diciembre, de Empleo. Ello determina, conforme a nuestra doctrina al respecto (por todas, STC 196/1997, de 13 de noviembre, FJ 2), que habremos de enjuiciar la controversia competencial planteada en el presente recurso de inconstitucionalidad respecto del art. 27.4 de la Ley de empleo de 2003 (redactado por la Ley 1/2014), sin que el hecho de la derogación de la Ley de empleo de 2003 por el texto refundido de 2015 –que no ha sido recurrido–, en cuanto reproduce el precepto impugnado, represente obstáculo alguno para su enjuiciamiento. En suma, el recurso contra el art. 27.4 de la Ley de empleo de 2003 no ha perdido objeto, debiendo proyectarse lo que sobre el mismo se resuelva al art. 41.4 del texto refundido de la Ley de empleo, que lo reproduce.</w:t>
      </w:r>
    </w:p>
    <w:p w:rsidR="00AC56D6" w:rsidRDefault="00AC56D6" w:rsidP="00AC56D6">
      <w:pPr>
        <w:pStyle w:val="TextoNormal"/>
      </w:pPr>
    </w:p>
    <w:p w:rsidR="00AC56D6" w:rsidRDefault="00AC56D6" w:rsidP="00AC56D6">
      <w:pPr>
        <w:pStyle w:val="TextoNormal"/>
      </w:pPr>
      <w:r w:rsidRPr="00AC56D6">
        <w:rPr>
          <w:rStyle w:val="NumeroAFNegritaCaracter"/>
        </w:rPr>
        <w:lastRenderedPageBreak/>
        <w:t>3</w:t>
      </w:r>
      <w:r>
        <w:t>. Expuestas las alegaciones de las partes y efectuada la precisión que antecede, en cuanto a la pervivencia del objeto del presente recurso, la controversia trabada se centra en la atribución a un órgano estatal, el Servicio Público de Empleo Estatal, en tanto que entidad gestora de las prestaciones por desempleo en virtud del art. 13 j) de la Ley de empleo y el art. 226 de la Ley General de la Seguridad Social (o el Instituto Social de la Marina,, en el caso del régimen especial de la Seguridad Social de los trabajadores del mar, conforme a la disposición adicional décimo novena LGSS), de la competencia para sancionar las conductas tipificadas en el art. 24.4 de la Ley de infracciones y sanciones del orden social. En concreto: no facilitar la información necesaria para garantizar la recepción de las notificaciones y comunicaciones de la entidad gestora de la prestación por desempleo —letra a)— y no cumplir el requisito de estar inscrito como demandante de empleo en los términos previstos en los arts. 209.1 y 215.4 LGSS, salvo causa justificada, en el caso de que los infractores sean solicitantes o beneficiarios de prestaciones por desempleo de nivel contributivo o asistencial —letra b)—.</w:t>
      </w:r>
    </w:p>
    <w:p w:rsidR="00AC56D6" w:rsidRDefault="00AC56D6" w:rsidP="00AC56D6">
      <w:pPr>
        <w:pStyle w:val="TextoNormal"/>
      </w:pPr>
    </w:p>
    <w:p w:rsidR="00AC56D6" w:rsidRDefault="00AC56D6" w:rsidP="00AC56D6">
      <w:pPr>
        <w:pStyle w:val="TextoNormal"/>
      </w:pPr>
      <w:r>
        <w:t>Tal es, en efecto, la consecuencia que producen los preceptos impugnados: el art. 8.5 de la Ley 1/2014, que da nueva redacción al art. 48.5 de la Ley de infracciones y sanciones del orden social, por atribuir directamente esa competencia a un órgano estatal y el art. 7 de la Ley 1/2014, que da nueva redacción al art. 27.4 de la Ley de empleo, por presuponerla, en la medida en que su inciso final (que es el aquí impugnado) alude a la comunicación a la entidad gestora de las prestaciones por desempleo a los efectos de iniciar el procedimiento sancionador que corresponda.</w:t>
      </w:r>
    </w:p>
    <w:p w:rsidR="00AC56D6" w:rsidRDefault="00AC56D6" w:rsidP="00AC56D6">
      <w:pPr>
        <w:pStyle w:val="TextoNormal"/>
      </w:pPr>
    </w:p>
    <w:p w:rsidR="00AC56D6" w:rsidRDefault="00AC56D6" w:rsidP="00AC56D6">
      <w:pPr>
        <w:pStyle w:val="TextoNormal"/>
      </w:pPr>
      <w:r>
        <w:t>Planteada en tales términos, la controversia ha de ser encuadrada, conforme a nuestra doctrina (SSTC 195/1996, FJ 10; 51/2006, FJ 4; y 104/2013, FJ 4) en la materia “Seguridad Social”; este Tribunal tiene declarado que las prestaciones por desempleo son prestaciones de Seguridad Social (y así se proclaman en los arts. 203 y ss. LGSS). En ese ámbito material, el art. 149.1.17 CE determina que el Estado tiene competencia exclusiva en materia de “legislación básica y régimen económico de la Seguridad Social, sin perjuicio de la ejecución de sus servicios por las Comunidades Autónomas”. Por su parte, el art. 18.2 a) EAPV atribuye a la Comunidad Autónoma del País Vasco competencia sobre “el desarrollo legislativo y la ejecución de la legislación básica del Estado, salvo las normas que configuran el régimen económico de la misma”; el art. 18.2 b) EAPV le atribuye también a esta Comunidad Autónoma “la gestión del régimen económico de la Seguridad Social”, previsión esta última que ha de ponerse en relación con la disposición transitoria quinta del Estatuto de Autonomía para el País Vasco. En su virtud la asunción por la Comunidad Autónoma del País Vasco de la gestión del régimen económico de la Seguridad Social, “dentro de su carácter unitario y del respeto al principio de solidaridad”, precisa de la suscripción de los oportunos convenios en el seno de la comisión mixta de transferencias creada para la aplicación del Estatuto de Autonomía para el País Vasco, “según los procedimientos, plazos y compromisos que, para una ordenada gestión, se contengan en tales convenios” (no suscritos hasta la fecha, como pone de relieve la representación procesal del Gobierno Vasco).</w:t>
      </w:r>
    </w:p>
    <w:p w:rsidR="00AC56D6" w:rsidRDefault="00AC56D6" w:rsidP="00AC56D6">
      <w:pPr>
        <w:pStyle w:val="TextoNormal"/>
      </w:pPr>
    </w:p>
    <w:p w:rsidR="00AC56D6" w:rsidRDefault="00AC56D6" w:rsidP="00AC56D6">
      <w:pPr>
        <w:pStyle w:val="TextoNormal"/>
      </w:pPr>
      <w:r>
        <w:t xml:space="preserve">Por otra parte, dado que lo discutido en el presente recurso es el ejercicio de la potestad sancionadora (en materia de Seguridad Social) respecto a determinadas infracciones que han de ser, en todo caso, tipificadas por el Estado, ha de añadirse que, como ha señalado de forma reiterada este Tribunal, la atribución de la competencia ejecutiva comprende la de la potestad sancionadora en la materia sobre la que se ejerce (por todas, SSTC 87/1985, de 16 </w:t>
      </w:r>
      <w:r>
        <w:lastRenderedPageBreak/>
        <w:t>de julio, FFJJ 1 y 2; 227/1988, de 29 de noviembre, FJ 29; 195/1996, FJ 8, y 104/2013, FJ 4).</w:t>
      </w:r>
    </w:p>
    <w:p w:rsidR="00AC56D6" w:rsidRDefault="00AC56D6" w:rsidP="00AC56D6">
      <w:pPr>
        <w:pStyle w:val="TextoNormal"/>
      </w:pPr>
    </w:p>
    <w:p w:rsidR="00AC56D6" w:rsidRDefault="00AC56D6" w:rsidP="00AC56D6">
      <w:pPr>
        <w:pStyle w:val="TextoNormal"/>
      </w:pPr>
      <w:r>
        <w:t>En concreto, la doctrina constitucional respecto a la potestad sancionadora en materia de Seguridad Social se halla recogida, por remisión a la anterior STC 195/1996, en las SSTC 51/2006, FJ 4, y 104/2013, FJ 4, en las que señalamos que el art. 149.1.17 CE “obliga a distinguir, desde un punto de vista competencial, entre la Seguridad Social y su régimen económico. Respecto a la primera es evidente que, ostentando la Comunidad Autónoma competencias ejecutivas, “le corresponde ejercitar las potestades sancionadoras que garanticen el cumplimiento de la legislación básica estatal y de la autonómica que la desarrolle (STC 102/1995, FJ 32). En cuanto a la segunda, la delimitación del ámbito de actuación de la Comunidad Autónoma requiere mayores precisiones, pues la atribución al Estado o a las Comunidades Autónomas del régimen en una determinada materia comprende, desde luego, la totalidad de las competencias normativas sobre la misma (SSTC 84/1982, FJ 4, y 38/1983, FJ 3); pero implica también un plus: además de la legislación, puede comportar la atribución de las competencias de ejecución necesarias para configurar un sistema materialmente unitario. Eso es lo que sucede en el caso del régimen económico de la Seguridad Social” (STC 195/1996, de 28 de noviembre, FJ 6).”</w:t>
      </w:r>
    </w:p>
    <w:p w:rsidR="00AC56D6" w:rsidRDefault="00AC56D6" w:rsidP="00AC56D6">
      <w:pPr>
        <w:pStyle w:val="TextoNormal"/>
      </w:pPr>
    </w:p>
    <w:p w:rsidR="00AC56D6" w:rsidRDefault="00AC56D6" w:rsidP="00AC56D6">
      <w:pPr>
        <w:pStyle w:val="TextoNormal"/>
      </w:pPr>
      <w:r>
        <w:t>En virtud de ello, la citada doctrina constitucional efectuó el oportuno deslinde competencial afirmando, en primer lugar, la potestad sancionadora autonómica y excluyendo, en consecuencia, la del Estado, “para declarar la concreta existencia de infracciones y sancionar aquellas que no guarden relación con el régimen económico de la Seguridad Social”, así como para “aquellos supuestos en que la potestad punitiva recae sobre actos instrumentales respecto al nacimiento y mantenimiento de la obligación de contribuir (inscripción, afiliación, altas y bajas, etc.)”. Se reserva por el contrario al Estado, como propia de su competencia en materia de régimen económico, la potestad sobre “aquellas infracciones que recaen directamente sobre la actividad económica de la Seguridad Social, esto es, las que definen ilícitos que se hallan inmediatamente referidos a la percepción de sus ingresos o a la realización de los gastos correspondientes” (SSTC 195/1996, FJ 8; 51/2006, FJ 4, y 104/2013, FJ 4).</w:t>
      </w:r>
    </w:p>
    <w:p w:rsidR="00AC56D6" w:rsidRDefault="00AC56D6" w:rsidP="00AC56D6">
      <w:pPr>
        <w:pStyle w:val="TextoNormal"/>
      </w:pPr>
    </w:p>
    <w:p w:rsidR="00AC56D6" w:rsidRDefault="00AC56D6" w:rsidP="00AC56D6">
      <w:pPr>
        <w:pStyle w:val="TextoNormal"/>
      </w:pPr>
      <w:r>
        <w:t>En los términos de la citada doctrina constitucional, quedan pues reservadas al Estado, de conformidad con lo previsto en el art. 149.1.17 CE, tanto la tipificación de infracciones como la imposición de sanciones en los casos en los que se vea afectado el régimen económico de la Seguridad Social, entendido en los términos anteriormente expuestos: “referidos a la percepción de sus ingresos o a la realización de los gastos correspondientes”. En estos casos “el objeto inmediato de tutela es la gestión de la caja única de la Seguridad Social que, al hallarse atribuida al Estado, determina que éste, como titular de la ejecución, ostente también la potestad de declarar infracciones e imponer sanciones, que no es sino una técnica específica de control, y que forma parte, por consiguiente, de su competencia en materia de régimen económico” (SSTC 195/1996, FJ 8; y 104/2013, FJ 4). Por el contrario, será de competencia autonómica la sanción de las infracciones que no recaigan directamente sobre la actividad económica de la Seguridad Social.</w:t>
      </w:r>
    </w:p>
    <w:p w:rsidR="00AC56D6" w:rsidRDefault="00AC56D6" w:rsidP="00AC56D6">
      <w:pPr>
        <w:pStyle w:val="TextoNormal"/>
      </w:pPr>
    </w:p>
    <w:p w:rsidR="00AC56D6" w:rsidRDefault="00AC56D6" w:rsidP="00AC56D6">
      <w:pPr>
        <w:pStyle w:val="TextoNormal"/>
      </w:pPr>
      <w:r w:rsidRPr="00AC56D6">
        <w:rPr>
          <w:rStyle w:val="NumeroAFNegritaCaracter"/>
        </w:rPr>
        <w:t>4</w:t>
      </w:r>
      <w:r>
        <w:t xml:space="preserve">. Con tales criterios hemos de examinar los preceptos impugnados para determinar si la atribución de la potestad sancionadora al Servicio Público de Empleo Estatal (o, en su </w:t>
      </w:r>
      <w:r>
        <w:lastRenderedPageBreak/>
        <w:t>caso, al Instituto Social de la Marina) es conforme con el orden constitucional de distribución de competencias o si, por el contrario, incurre en la vulneración denunciada por el Gobierno Vasco.</w:t>
      </w:r>
    </w:p>
    <w:p w:rsidR="00AC56D6" w:rsidRDefault="00AC56D6" w:rsidP="00AC56D6">
      <w:pPr>
        <w:pStyle w:val="TextoNormal"/>
      </w:pPr>
    </w:p>
    <w:p w:rsidR="00AC56D6" w:rsidRDefault="00AC56D6" w:rsidP="00AC56D6">
      <w:pPr>
        <w:pStyle w:val="TextoNormal"/>
      </w:pPr>
      <w:r>
        <w:t>Para ello, como se hiciera en los asuntos resueltos por las citadas SSTC 195/1996, 51/2006 y 104/2013, es necesario examinar los preceptos que tipifican las infracciones correspondientes para determinar si las mismas pueden ubicarse íntegramente en el régimen económico de la Seguridad Social, al estar vinculadas a la percepción de los ingresos o la administración y disposición de fondos para atender la realización de los gastos correspondientes vinculados a las prestaciones por desempleo (como sostiene el Abogado del Estado); o si pertenecen a materias en las que la Comunidad Autónoma del País Vasco ostenta competencias de ejecución, incluida la potestad sancionadora.</w:t>
      </w:r>
    </w:p>
    <w:p w:rsidR="00AC56D6" w:rsidRDefault="00AC56D6" w:rsidP="00AC56D6">
      <w:pPr>
        <w:pStyle w:val="TextoNormal"/>
      </w:pPr>
    </w:p>
    <w:p w:rsidR="00AC56D6" w:rsidRDefault="00AC56D6" w:rsidP="00AC56D6">
      <w:pPr>
        <w:pStyle w:val="TextoNormal"/>
      </w:pPr>
      <w:r>
        <w:t>Las infracciones sobre las que se discute la atribución de la potestad sancionadora al Servicio Público de Empleo Estatal (o, en su caso, al Instituto Social de la Marina) en virtud de lo dispuesto en el art. 48.5 de la Ley de infracciones y sanciones del orden social, en la redacción dada por el impugnado art. 8.5 de la Ley 1/2014, son, como ya hemos visto, dos, previstas en el nuevo art. 24.4 de la Ley de infracciones y sanciones del orden social, introducido por el art. 8.2 de la Ley 1/2014. Tales infracciones se aplican a los incumplimientos de los solicitantes o beneficiarios de prestaciones por desempleo de nivel contributivo o asistencial, consistentes en no facilitar a la entidad gestora de las prestaciones la información necesaria para garantizar la recepción de sus notificaciones y comunicaciones [art. 24.4 a) de la Ley de infracciones y sanciones del orden social] y en no cumplir el requisito, exigido para la conservación de la percepción de la prestación, de estar inscrito como demandante de empleo en los términos establecidos en los arts. 209.1 y 215.4 LGSS, salvo causa justificada [art. 24.4 b) de la Ley de infracciones y sanciones del orden social]. En relación con esta última infracción, el nuevo art. 27.4 de la Ley de empleo, introducido por el impugnado art. 7 de la Ley 1/2014, contiene una referencia concreta a la obligación de los beneficiarios de prestaciones y subsidios de desempleo de mantenerse inscritos como demandantes de empleo; se asigna la verificación del cumplimiento de esta obligación a los servicios públicos de empleo competentes, que, en caso de incumplimiento, deberán comunicarlo al Servicio Público de Empleo Estatal (o al Seguridad Social, en su caso) para que inicie el procedimiento sancionador que corresponda. Esta concreta previsión (último inciso del art. 27.4 de la Ley de empleo) es la discutida por el Gobierno Vasco. Analizaremos por ello, en primer lugar la infracción prevista en la letra b) del art. 24.4 de la Ley de infracciones y sanciones del orden social; pues la de la letra a) del mismo precepto está intrínsecamente relacionada con esta y la previsión del nuevo art. 27.4 de la Ley de empleo tiene un carácter instrumental respecto a dicha infracción.</w:t>
      </w:r>
    </w:p>
    <w:p w:rsidR="00AC56D6" w:rsidRDefault="00AC56D6" w:rsidP="00AC56D6">
      <w:pPr>
        <w:pStyle w:val="TextoNormal"/>
      </w:pPr>
    </w:p>
    <w:p w:rsidR="00AC56D6" w:rsidRDefault="00AC56D6" w:rsidP="00AC56D6">
      <w:pPr>
        <w:pStyle w:val="TextoNormal"/>
      </w:pPr>
      <w:r>
        <w:t>Con arreglo a lo dispuesto en el art. 207 e) LGSS es requisito necesario para el nacimiento del derecho a la prestación de desempleo “estar inscrito como demandante de empleo en el servicio público de empleo competente”. Conforme al segundo párrafo del art. 209.1 LGSS, “la inscripción como demandante de empleo deberá mantenerse durante todo el período de duración de la prestación como requisito necesario para la conservación de su percepción”. Ambos criterios, relativos a la inscripción y al mantenimiento como demandante de empleo, los confirma el art. 215.4 LGSS para el subsidio por desempleo.</w:t>
      </w:r>
    </w:p>
    <w:p w:rsidR="00AC56D6" w:rsidRDefault="00AC56D6" w:rsidP="00AC56D6">
      <w:pPr>
        <w:pStyle w:val="TextoNormal"/>
      </w:pPr>
    </w:p>
    <w:p w:rsidR="00AC56D6" w:rsidRDefault="00AC56D6" w:rsidP="00AC56D6">
      <w:pPr>
        <w:pStyle w:val="TextoNormal"/>
      </w:pPr>
      <w:r>
        <w:lastRenderedPageBreak/>
        <w:t>Sin perjuicio de lo anterior hemos de tener en cuenta lo ya señalado respecto de la identidad material de la actual infracción relativa a la falta de mantenimiento de la demanda de empleo [art. 24.4 b) de la Ley de infracciones y sanciones del orden social] con la anterior consistente en no renovar esa demanda en la forma y fechas que se determinen en el documento de renovación [art. 24.3 a) de la Ley de infracciones y sanciones del orden social, en la redacción dada al mismo por el art. 46.12 de la Ley 62/2003, de 30 de diciembre; fue la contemplada por la STC 104/2013], en la medida en que la omisión se produce, tanto ahora como antes, mediante la falta de renovación de la demanda de empleo. Adviértase que, según el sistema diseñado por el legislador estatal, el control del mantenimiento de la inscripción corresponde al servicio público de empleo autonómico; mantenimiento que se realiza mediante la renovación periódica de la inscripción inicial.</w:t>
      </w:r>
    </w:p>
    <w:p w:rsidR="00AC56D6" w:rsidRDefault="00AC56D6" w:rsidP="00AC56D6">
      <w:pPr>
        <w:pStyle w:val="TextoNormal"/>
      </w:pPr>
    </w:p>
    <w:p w:rsidR="00AC56D6" w:rsidRDefault="00AC56D6" w:rsidP="00AC56D6">
      <w:pPr>
        <w:pStyle w:val="TextoNormal"/>
      </w:pPr>
      <w:r>
        <w:t>De este modo el ilícito consistente en no mantenerse inscrito como demandante de empleo se produce en realidad cuando no existe la correspondiente renovación de la demanda de empleo, lo que ha de hacerse ante el servicio público de empleo autonómico y no ante la entidad gestora de las prestaciones de protección por desempleo (Servicio Público de Empleo Estatal o, en su caso, del Instituto Social de la Marina). Es aquél quien ha de supervisar que la obligación formal se cumple por los interesados en los términos previstos en el art. 231.1 d) LGSS, que impone al trabajador la obligación de “renovar la demanda de empleo en la forma y fechas en que se determine en el documento de renovación de la demanda”. La actual conducta infractora consistente en la falta de mantenimiento de la demanda de empleo se sanciona del mismo modo que su precedente, la falta de renovación; si se tratase en realidad de ausencia de requisitos para la percepción de la prestación, parece lógico pensar que su falta determinase la pérdida del derecho. No hay pues una vinculación directa entre el mantenimiento de la inscripción como demandante de empleo y la percepción de la prestación o el subsidio por desempleo, sino que se trata de una obligación formal que pesa sobre el perceptor de las prestaciones; su incumplimiento no hace improcedente recibir la prestación correspondiente, pues el derecho a la misma se mantiene, con independencia de las consecuencias sancionadoras a que la conducta pudiera dar lugar, las cuales se aplican, además, sobre esa misma prestación [art. 47.1 a) de la Ley de infracciones y sanciones del orden social].</w:t>
      </w:r>
    </w:p>
    <w:p w:rsidR="00AC56D6" w:rsidRDefault="00AC56D6" w:rsidP="00AC56D6">
      <w:pPr>
        <w:pStyle w:val="TextoNormal"/>
      </w:pPr>
    </w:p>
    <w:p w:rsidR="00AC56D6" w:rsidRDefault="00AC56D6" w:rsidP="00AC56D6">
      <w:pPr>
        <w:pStyle w:val="TextoNormal"/>
      </w:pPr>
      <w:r>
        <w:t>En suma, la definición de la conducta infractora en torno al mantenimiento de la demanda de empleo y su correspondiente sanción no implica novedad respecto a la ya prevista en la dinámica de la protección por desempleo preexistente. No supone pues un cambio sustantivo en la configuración legal de la infracción, sino que responde a la pretensión de atribuir a un órgano estatal, el Servicio Público de Empleo Estatal (o en su caso el Instituto Social de la Marina), la competencia sancionadora en ámbitos que las citadas SSTC 195/1996 y 104/2013 ya habían señalado como de competencia autonómica por referirse a actuaciones instrumentales respecto a prestaciones o subsidios de Seguridad Social que no guardan relación directa con la gestión económica de la Seguridad Social, cuya competencia corresponde en exclusiva al Estado conforme al art. 149.1.17 CE.</w:t>
      </w:r>
    </w:p>
    <w:p w:rsidR="00AC56D6" w:rsidRDefault="00AC56D6" w:rsidP="00AC56D6">
      <w:pPr>
        <w:pStyle w:val="TextoNormal"/>
      </w:pPr>
    </w:p>
    <w:p w:rsidR="00AC56D6" w:rsidRDefault="00AC56D6" w:rsidP="00AC56D6">
      <w:pPr>
        <w:pStyle w:val="TextoNormal"/>
      </w:pPr>
      <w:r>
        <w:t xml:space="preserve">Podemos concluir que, frente a la distinción que ha pretendido incluir el legislador en los preceptos impugnados, el contenido sustantivo de la obligación cuyo incumplimiento se sanciona es el mismo examinado en la STC 104/2013, FJ 4. Como entonces, la conducta no recae sobre la actividad económica de la Seguridad Social, entendida como la relativa a la percepción de sus ingresos o a la realización de los gastos correspondientes; al igual que en </w:t>
      </w:r>
      <w:r>
        <w:lastRenderedPageBreak/>
        <w:t>aquel caso, “no están relacionadas con la percepción de la prestación por desempleo, sino que se refieren a facultades de supervisión de competencia autonómica en tanto que relativas al cumplimiento de obligaciones que pesan sobre los beneficiarios de la prestación, pero no se relacionan directamente con su percepción”.</w:t>
      </w:r>
    </w:p>
    <w:p w:rsidR="00AC56D6" w:rsidRDefault="00AC56D6" w:rsidP="00AC56D6">
      <w:pPr>
        <w:pStyle w:val="TextoNormal"/>
      </w:pPr>
    </w:p>
    <w:p w:rsidR="00AC56D6" w:rsidRDefault="00AC56D6" w:rsidP="00AC56D6">
      <w:pPr>
        <w:pStyle w:val="TextoNormal"/>
      </w:pPr>
      <w:r>
        <w:t xml:space="preserve">Análogo pronunciamiento habrá de darse en lo que toca a la infracción tipificada en el actual art. 24.4 a) de la Ley de infracciones y sanciones del orden social [pues la misma se mantiene inalterada respecto al art. 24.3 d) de la Ley de infracciones y sanciones del orden social, en la redacción dada al mismo por el art. 20.3 del Real Decreto-ley 20/2012, de 13 de julio, que fue la contemplada por la STC 104/2013] y el inciso final cuestionado del nuevo art. 27.4 de la Ley de empleo. Una vez que se ha apreciado que la falta de mantenimiento de la demanda de empleo equivale materialmente a su no renovación, lo que no comporta </w:t>
      </w:r>
      <w:r w:rsidRPr="00AC56D6">
        <w:rPr>
          <w:i/>
        </w:rPr>
        <w:t>per se</w:t>
      </w:r>
      <w:r>
        <w:t xml:space="preserve"> ningún tipo de repercusión sobre la actividad económica de la Seguridad Social, es patente que la atribución de la competencia sancionadora al Servicio Público de Empleo Estatal (o en su caso el Instituto Social de la Marina ) no puede encontrar acomodo en la competencia estatal del art. 149.1.17 CE sobre régimen económico de la Seguridad Social.</w:t>
      </w:r>
    </w:p>
    <w:p w:rsidR="00AC56D6" w:rsidRDefault="00AC56D6" w:rsidP="00AC56D6">
      <w:pPr>
        <w:pStyle w:val="TextoNormal"/>
      </w:pPr>
    </w:p>
    <w:p w:rsidR="00AC56D6" w:rsidRDefault="00AC56D6" w:rsidP="00AC56D6">
      <w:pPr>
        <w:pStyle w:val="TextoNormal"/>
      </w:pPr>
      <w:r>
        <w:t>Debemos pues concluir que la competencia para la imposición de las sanciones frente a las conductas descritas en el art. 24.4 a) y b) de la Ley de infracciones y sanciones del orden social corresponde a la Comunidad Autónoma del País Vasco [art. 18.2 a) EAPV]. Esto determina que deba declararse contrario al orden constitucional de distribución de competencias y, por tanto, inconstitucional y nulo el art. 7 de la Ley 1/2014, en la redacción que da al último inciso del párrafo segundo del art. 27.4 de la Ley de empleo: “y será documento suficiente para que el Servicio Público de Empleo Estatal o, en su caso, el Instituto Social de la Marina, inicie el procedimiento sancionador que corresponda”. Igualmente ha de declararse inconstitucional y nulo el art. 8.5 de la Ley 1/2014, en cuanto da nueva redacción al art. 48.5 de la Ley de infracciones y sanciones del orden social atribuyendo la titularidad de la potestad para sancionar las conductas descritas en el art. 24.4 a) y b) de la Ley de infracciones y sanciones del orden social a un órgano estatal, el Servicio Público de Empleo Estatal (o, en su caso, el Instituto Social de la Marina). Ello hace innecesario que nos pronunciemos sobre la pretensión subsidiaria expresada por el Gobierno Vasco en su recurso.</w:t>
      </w:r>
    </w:p>
    <w:p w:rsidR="00AC56D6" w:rsidRDefault="00AC56D6" w:rsidP="00AC56D6">
      <w:pPr>
        <w:pStyle w:val="TextoNormal"/>
      </w:pPr>
    </w:p>
    <w:p w:rsidR="00AC56D6" w:rsidRDefault="00AC56D6" w:rsidP="00AC56D6">
      <w:pPr>
        <w:pStyle w:val="TextoNormal"/>
      </w:pPr>
      <w:r w:rsidRPr="00AC56D6">
        <w:rPr>
          <w:rStyle w:val="NumeroAFNegritaCaracter"/>
        </w:rPr>
        <w:t>5</w:t>
      </w:r>
      <w:r>
        <w:t>. Finalmente hemos de precisar el alcance de nuestra declaración de nulidad en un doble sentido. En primer lugar, la nulidad ha de referirse a la competencia para sancionar las conductas tipificadas en el art. 24.4 a) y b) de la Ley de infracciones y sanciones del orden social, en los casos de solicitantes o beneficiarios de prestaciones por desempleo de nivel contributivo o asistencial. En segundo lugar, siguiendo en este punto la doctrina recogida, entre otras, en las SSTC 54/2002, de 27 de febrero, FJ 9; 365/2006, de 21 de diciembre, FJ 8, y 104/2013, FJ 4, debemos modular en el tiempo los efectos de dicha declaración de nulidad.</w:t>
      </w:r>
    </w:p>
    <w:p w:rsidR="00AC56D6" w:rsidRDefault="00AC56D6" w:rsidP="00AC56D6">
      <w:pPr>
        <w:pStyle w:val="TextoNormal"/>
      </w:pPr>
    </w:p>
    <w:p w:rsidR="00AC56D6" w:rsidRDefault="00AC56D6" w:rsidP="00AC56D6">
      <w:pPr>
        <w:pStyle w:val="TextoNormal"/>
      </w:pPr>
      <w:r>
        <w:t xml:space="preserve">En las Sentencias citadas declaramos que en supuestos como el que ahora nos ocupa, atendiendo a la pluralidad de valores constitucionales que concurren, debe traerse a colación el principio de seguridad jurídica (art. 9.3 CE). A ello responde la previsión contenida en el art. 40.1 LOTC, según el cual las sentencias declaratorias de la inconstitucionalidad de leyes “no permitirán revisar procesos fenecidos mediante sentencia con fuerza de cosa juzgada” </w:t>
      </w:r>
      <w:r>
        <w:lastRenderedPageBreak/>
        <w:t xml:space="preserve">en los que se haya hecho aplicación de las leyes inconstitucionales. La modulación del alcance de nuestra declaración de inconstitucionalidad no se limita a preservar la cosa juzgada. Más allá de ese mínimo impuesto por el art. 40.1 LOTC, debemos declarar que el principio constitucional de seguridad jurídica también reclama que —en el asunto que nos ocupa— esta declaración de inconstitucionalidad sólo sea eficaz </w:t>
      </w:r>
      <w:r w:rsidRPr="00AC56D6">
        <w:rPr>
          <w:i/>
        </w:rPr>
        <w:t>pro futuro</w:t>
      </w:r>
      <w:r>
        <w:t>; esto es, en relación con nuevos supuestos o con los procedimientos administrativos y procesos judiciales donde aún no haya recaído una resolución firme. El principio de seguridad jurídica (art. 9.3 CE) reclama la intangibilidad de las situaciones jurídicas consolidadas; no sólo las decididas con fuerza de cosa juzgada, sino también las situaciones administrativas firmes.</w:t>
      </w:r>
    </w:p>
    <w:p w:rsidR="00AC56D6" w:rsidRDefault="00AC56D6" w:rsidP="00AC56D6">
      <w:pPr>
        <w:pStyle w:val="TextoNormal"/>
      </w:pPr>
    </w:p>
    <w:p w:rsidR="00AC56D6" w:rsidRDefault="00AC56D6" w:rsidP="00AC56D6">
      <w:pPr>
        <w:pStyle w:val="TextoNormalCentrado"/>
        <w:keepNext/>
      </w:pPr>
      <w:r>
        <w:t>FALLO</w:t>
      </w:r>
    </w:p>
    <w:p w:rsidR="00AC56D6" w:rsidRDefault="00AC56D6" w:rsidP="00AC56D6">
      <w:pPr>
        <w:pStyle w:val="TextoNormalCentrado"/>
        <w:keepNext/>
      </w:pPr>
    </w:p>
    <w:p w:rsidR="00AC56D6" w:rsidRDefault="00AC56D6" w:rsidP="00AC56D6">
      <w:pPr>
        <w:pStyle w:val="TextoNormal"/>
      </w:pPr>
      <w:r>
        <w:t>En atención a todo lo expuesto, el Tribunal Constitucional, POR LA AUTORIDAD QUE LE CONFIERE LA CONSTITUCIÓN DE LA NACIÓN ESPAÑOLA,</w:t>
      </w:r>
    </w:p>
    <w:p w:rsidR="00AC56D6" w:rsidRDefault="00AC56D6" w:rsidP="00AC56D6">
      <w:pPr>
        <w:pStyle w:val="TextoNormal"/>
      </w:pPr>
    </w:p>
    <w:p w:rsidR="00AC56D6" w:rsidRDefault="00AC56D6" w:rsidP="00AC56D6">
      <w:pPr>
        <w:pStyle w:val="TextoNormalCentrado"/>
        <w:keepNext/>
      </w:pPr>
      <w:r>
        <w:t>Ha decidido</w:t>
      </w:r>
    </w:p>
    <w:p w:rsidR="00AC56D6" w:rsidRDefault="00AC56D6" w:rsidP="00AC56D6">
      <w:pPr>
        <w:pStyle w:val="TextoNormalCentrado"/>
        <w:keepNext/>
      </w:pPr>
    </w:p>
    <w:p w:rsidR="00AC56D6" w:rsidRDefault="00AC56D6" w:rsidP="00AC56D6">
      <w:pPr>
        <w:pStyle w:val="TextoNormal"/>
      </w:pPr>
      <w:r>
        <w:t>Estimar el presente recurso de inconstitucionalidad y, en consecuencia, declarar inconstitucional y nulo, con los efectos señalados en el fundamento jurídico 5 de la presente Sentencia, el art. 7 de la Ley 1/2014, de 28 de febrero, para la protección de los trabajadores a tiempo parcial y otras medidas urgentes en el orden económico y social, que da nueva redacción al apartado 4 del art. 27 de la Ley 56/2003, de 16 de diciembre, de empleo, en el inciso de su párrafo segundo “y será documento suficiente para que el Servicio Público de Empleo Estatal o, en su caso, el Instituto Social de la Marina, inicie el procedimiento sancionador que corresponda”; declaración que se extiende a la actual reproducción de este inciso en el párrafo segundo del apartado 4 del art. 41 del texto refundido de la Ley de empleo, aprobado por Real Decreto legislativo 3/2015, de 23 de octubre. Declarar igualmente inconstitucional y nulo, con los mismos efectos, el art. 8.5 de la misma Ley 1/2014, en cuanto a la redacción dada al apartado 5 del art. 48 del texto refundido de la Ley sobre infracciones y sanciones en el orden social, aprobado por Real Decreto Legislativo 5/2000, de 4 de agosto.</w:t>
      </w:r>
    </w:p>
    <w:p w:rsidR="00AC56D6" w:rsidRDefault="00AC56D6" w:rsidP="00AC56D6">
      <w:pPr>
        <w:pStyle w:val="TextoNormal"/>
      </w:pPr>
    </w:p>
    <w:p w:rsidR="00AC56D6" w:rsidRDefault="00AC56D6" w:rsidP="00AC56D6">
      <w:pPr>
        <w:pStyle w:val="TextoNormal"/>
      </w:pPr>
      <w:r>
        <w:t>Publíquese esta Sentencia en el “Boletín Oficial del Estado”.</w:t>
      </w:r>
    </w:p>
    <w:p w:rsidR="00AC56D6" w:rsidRDefault="00AC56D6" w:rsidP="006B7292">
      <w:pPr>
        <w:pStyle w:val="TextoNormal"/>
      </w:pPr>
      <w:r>
        <w:t>Dada en Madrid, a diecisiete de diciembre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AC56D6">
      <w:pPr>
        <w:pStyle w:val="ParrafoNormal"/>
      </w:pPr>
    </w:p>
    <w:p w:rsidR="006B7292" w:rsidRDefault="006B7292" w:rsidP="006B7292">
      <w:pPr>
        <w:pStyle w:val="ParrafoNormal"/>
      </w:pPr>
    </w:p>
    <w:p w:rsidR="006B7292" w:rsidRDefault="006B7292" w:rsidP="006B7292">
      <w:pPr>
        <w:pStyle w:val="ParrafoNormal"/>
      </w:pPr>
    </w:p>
    <w:p w:rsidR="006B7292" w:rsidRDefault="006B7292" w:rsidP="006B7292">
      <w:pPr>
        <w:pStyle w:val="ParrafoNormal"/>
      </w:pPr>
    </w:p>
    <w:p w:rsidR="006B7292" w:rsidRDefault="006B7292" w:rsidP="006B7292">
      <w:pPr>
        <w:pStyle w:val="ParrafoNormal"/>
      </w:pPr>
    </w:p>
    <w:p w:rsidR="006B7292" w:rsidRDefault="006B7292" w:rsidP="006B7292">
      <w:pPr>
        <w:pStyle w:val="ParrafoNormal"/>
      </w:pPr>
    </w:p>
    <w:p w:rsidR="006B7292" w:rsidRDefault="006B7292" w:rsidP="006B7292">
      <w:pPr>
        <w:pStyle w:val="ParrafoNormal"/>
      </w:pPr>
    </w:p>
    <w:p w:rsidR="006B7292" w:rsidRDefault="006B7292" w:rsidP="006B7292">
      <w:pPr>
        <w:pStyle w:val="ParrafoNormal"/>
      </w:pPr>
    </w:p>
    <w:p w:rsidR="006B7292" w:rsidRDefault="006B7292" w:rsidP="006B7292">
      <w:pPr>
        <w:pStyle w:val="ParrafoNormal"/>
      </w:pPr>
    </w:p>
    <w:p w:rsidR="006B7292" w:rsidRDefault="006B7292" w:rsidP="006B7292">
      <w:pPr>
        <w:pStyle w:val="ParrafoNormal"/>
      </w:pPr>
    </w:p>
    <w:p w:rsidR="006B7292" w:rsidRDefault="006B7292" w:rsidP="006B7292">
      <w:pPr>
        <w:pStyle w:val="ParrafoNormal"/>
      </w:pPr>
    </w:p>
    <w:p w:rsidR="006B7292" w:rsidRDefault="006B7292" w:rsidP="006B7292">
      <w:pPr>
        <w:pStyle w:val="ParrafoNormal"/>
      </w:pPr>
    </w:p>
    <w:p w:rsidR="006B7292" w:rsidRDefault="006B7292" w:rsidP="006B7292">
      <w:pPr>
        <w:pStyle w:val="ParrafoNormal"/>
      </w:pPr>
    </w:p>
    <w:p w:rsidR="006B7292" w:rsidRDefault="006B7292" w:rsidP="006B7292">
      <w:pPr>
        <w:pStyle w:val="CabeceraApartado"/>
      </w:pPr>
      <w:r>
        <w:t>AUTOS</w:t>
      </w:r>
    </w:p>
    <w:p w:rsidR="006B7292" w:rsidRDefault="006B7292">
      <w:pPr>
        <w:spacing w:after="160" w:line="259" w:lineRule="auto"/>
        <w:rPr>
          <w:rFonts w:ascii="Times New Roman" w:eastAsia="Times New Roman" w:hAnsi="Times New Roman" w:cs="Times New Roman"/>
          <w:sz w:val="48"/>
          <w:szCs w:val="24"/>
          <w:lang w:eastAsia="es-ES"/>
        </w:rPr>
      </w:pPr>
      <w:r>
        <w:br w:type="page"/>
      </w:r>
    </w:p>
    <w:p w:rsidR="006B7292" w:rsidRDefault="006B7292" w:rsidP="006B7292">
      <w:pPr>
        <w:pStyle w:val="TtuloResolucin"/>
      </w:pPr>
      <w:bookmarkStart w:id="129" w:name="AUTO_2015_115"/>
      <w:r>
        <w:t>AUTO 115/2015, de 6 de julio de 2015</w:t>
      </w:r>
    </w:p>
    <w:bookmarkEnd w:id="129"/>
    <w:p w:rsidR="006B7292" w:rsidRDefault="006B7292" w:rsidP="006B7292">
      <w:pPr>
        <w:pStyle w:val="TtuloResolucin"/>
      </w:pPr>
      <w:r>
        <w:t>Sala Primera</w:t>
      </w:r>
    </w:p>
    <w:p w:rsidR="006B7292" w:rsidRDefault="006B7292" w:rsidP="006B7292">
      <w:pPr>
        <w:pStyle w:val="TextoNormalCentrado"/>
      </w:pPr>
      <w:r>
        <w:t>ECLI:ES:TC:2015:115A</w:t>
      </w:r>
    </w:p>
    <w:p w:rsidR="006B7292" w:rsidRDefault="006B7292" w:rsidP="006B7292">
      <w:pPr>
        <w:pStyle w:val="TextoNormalCentrado"/>
      </w:pPr>
    </w:p>
    <w:p w:rsidR="006B7292" w:rsidRDefault="006B7292" w:rsidP="006B7292">
      <w:pPr>
        <w:pStyle w:val="SntesisDescriptiva"/>
      </w:pPr>
      <w:r>
        <w:t>Excms. Srs. don Francisco Pérez de los Cobos Orihuel, doña Encarnación Roca Trías, don Andrés Ollero Tassara, don Santiago Martínez-Vares García y don Juan Antonio Xiol Ríos.</w:t>
      </w:r>
    </w:p>
    <w:p w:rsidR="006B7292" w:rsidRDefault="006B7292" w:rsidP="006B7292">
      <w:pPr>
        <w:pStyle w:val="SntesisDescriptiva"/>
      </w:pPr>
    </w:p>
    <w:p w:rsidR="006B7292" w:rsidRDefault="006B7292" w:rsidP="006B7292">
      <w:pPr>
        <w:pStyle w:val="SntesisDescriptiva"/>
      </w:pPr>
      <w:r>
        <w:t>Desestima el recurso de súplica de la representación procesal sobre inadmisión del recurso de amparo 956-2008, promovido por don Eduardo Martín-Duarte Rosa en causa penal.</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registrado en este Tribunal el 4 de febrero de 2008, el Procurador de los Tribunales don Luis José García Barrenechea, en nombre y representación de la Asociación para la Defensa de Inversores y Clientes, y bajo la dirección del Letrado don Virgilio Iván Hernández Urraburu, interpuso recurso de amparo contra la Sentencia de la Sala de lo Penal del Tribunal Supremo núm. 1045/2007, de 17 de diciembre, por la que se desestima el recurso de casación núm. 315-2007 interpuesto contra el Auto de la Sección Primera de la Sala de lo Penal de la Audiencia Nacional de 20 de diciembre de 2006, dictado en el rollo núm. 4-2006, en el que se acuerda el sobreseimiento libre de las actuaciones. La Sala Primera de este Tribunal, por providencia de 18 de octubre de 2010, acordó admitir a trámite la demanda de amparo.</w:t>
      </w:r>
    </w:p>
    <w:p w:rsidR="006B7292" w:rsidRDefault="006B7292" w:rsidP="006B7292">
      <w:pPr>
        <w:pStyle w:val="TextoNormal"/>
      </w:pPr>
    </w:p>
    <w:p w:rsidR="006B7292" w:rsidRDefault="006B7292" w:rsidP="006B7292">
      <w:pPr>
        <w:pStyle w:val="TextoNormal"/>
      </w:pPr>
      <w:r w:rsidRPr="006B7292">
        <w:rPr>
          <w:rStyle w:val="NumeroAFNegritaCaracter"/>
        </w:rPr>
        <w:t>2</w:t>
      </w:r>
      <w:r>
        <w:t>. La asociación demandante de amparo, mediante escrito registrado en este Tribunal el 24 de septiembre de 2012, solicitó que se la tuviera como apartada y desistida del presente recurso de amparo, adjuntando poder especial al efecto. Mediante ATC 48/2013, de 25 de febrero, la Sala Primera de este Tribunal acordó tenerla por desistido y archivar las presentes actuaciones.</w:t>
      </w:r>
    </w:p>
    <w:p w:rsidR="006B7292" w:rsidRDefault="006B7292" w:rsidP="006B7292">
      <w:pPr>
        <w:pStyle w:val="TextoNormal"/>
      </w:pPr>
    </w:p>
    <w:p w:rsidR="006B7292" w:rsidRDefault="006B7292" w:rsidP="006B7292">
      <w:pPr>
        <w:pStyle w:val="TextoNormal"/>
      </w:pPr>
      <w:r w:rsidRPr="006B7292">
        <w:rPr>
          <w:rStyle w:val="NumeroAFNegritaCaracter"/>
        </w:rPr>
        <w:t>3</w:t>
      </w:r>
      <w:r>
        <w:t>. El Procurador de los Tribunales don Arturo Molina Santiago, en nombre y representación de don Eduardo Martín-Duarte Rosa, mediante escrito registrado el 31 de octubre de 2012, solicitó que se le tuviera por personado y parte en este procedimiento. La Sala Primera de este Tribunal, por providencia de 12 de noviembre de 2012, acordó no tenerle por personado y parte, al no cumplir la exigencia prevista en el art. 51.2 de la Ley Orgánica del Tribunal Constitucional (LOTC) de que hubiera sido parte en el proceso judicial que trae causa a este recurso de amparo.</w:t>
      </w:r>
    </w:p>
    <w:p w:rsidR="006B7292" w:rsidRDefault="006B7292" w:rsidP="006B7292">
      <w:pPr>
        <w:pStyle w:val="TextoNormal"/>
      </w:pPr>
    </w:p>
    <w:p w:rsidR="006B7292" w:rsidRDefault="006B7292" w:rsidP="006B7292">
      <w:pPr>
        <w:pStyle w:val="TextoNormal"/>
      </w:pPr>
      <w:r>
        <w:t>Contra dicha providencia se interpuso recurso de súplica que fue desestimado por ATC 47/2013, de 25 de febrero de 2013.</w:t>
      </w:r>
    </w:p>
    <w:p w:rsidR="006B7292" w:rsidRDefault="006B7292" w:rsidP="006B7292">
      <w:pPr>
        <w:pStyle w:val="TextoNormal"/>
      </w:pPr>
    </w:p>
    <w:p w:rsidR="006B7292" w:rsidRDefault="006B7292" w:rsidP="006B7292">
      <w:pPr>
        <w:pStyle w:val="TextoNormal"/>
      </w:pPr>
      <w:r w:rsidRPr="006B7292">
        <w:rPr>
          <w:rStyle w:val="NumeroAFNegritaCaracter"/>
        </w:rPr>
        <w:t>4</w:t>
      </w:r>
      <w:r>
        <w:t>. El Procurador de los Tribunales don Arturo Molina Santiago, mediante escrito registrado el 6 de marzo de 2013, solicitó aclaración y complemento del ATC 47/2013 resolutorio del recurso de súplica, así como que se le notificara el ATC 48/2013 por el que se acuerda el desistimiento de la recurrente en amparo.</w:t>
      </w:r>
    </w:p>
    <w:p w:rsidR="006B7292" w:rsidRDefault="006B7292" w:rsidP="006B7292">
      <w:pPr>
        <w:pStyle w:val="TextoNormal"/>
      </w:pPr>
    </w:p>
    <w:p w:rsidR="006B7292" w:rsidRDefault="006B7292" w:rsidP="006B7292">
      <w:pPr>
        <w:pStyle w:val="TextoNormal"/>
      </w:pPr>
      <w:r>
        <w:t>Por providencia de 8 de abril de 2013, la Sala Primera de este Tribunal acordó inadmitir a trámite la solicitud de aclaración y complemento del citado Auto al haberse presentado fuera del plazo de dos días previsto en el art. 93.1 LOTC; y denegar la solicitud de notificación del Auto que accede al desistimiento, ya que ni había sido parte en el procedimiento constitucional del que trae causa ni aparece mencionado en el mismo ni acredita que le pueda parar perjuicio alguno. Contra dicha providencia se interpuso, mediante escrito registrado el 26 de abril de 2013, recurso de súplica.</w:t>
      </w:r>
    </w:p>
    <w:p w:rsidR="006B7292" w:rsidRDefault="006B7292" w:rsidP="006B7292">
      <w:pPr>
        <w:pStyle w:val="TextoNormal"/>
      </w:pPr>
    </w:p>
    <w:p w:rsidR="006B7292" w:rsidRDefault="006B7292" w:rsidP="006B7292">
      <w:pPr>
        <w:pStyle w:val="TextoNormal"/>
      </w:pPr>
      <w:r w:rsidRPr="006B7292">
        <w:rPr>
          <w:rStyle w:val="NumeroAFNegritaCaracter"/>
        </w:rPr>
        <w:t>5</w:t>
      </w:r>
      <w:r>
        <w:t>. Por escrito de 6 de mayo de 2013, el Procurador de los Tribunales don Arturo Molina Santiago, solicitó se le diera traslado del recurso de súplica que don José Luis Mazón Costa interpuso, en su propio nombre, contra otra providencia también de fecha de 8 de abril de 2013; a lo que se accedió mediante diligencia de ordenación del Secretario de Justicia de la Sala Primera de este Tribunal de 9 de mayo de 2013. En la providencia citada se acordó que no procedía incluir en el Auto de 25 de febrero de 2013 resolutorio del recurso de súplica la identificación del Magistrado ponente, así como, de conformidad con el art. 80 LOTC, en relación con el art. 234.2 de la Ley Orgánica del Poder Judicial (LOPJ), acceder a que por la Secretaría de Justicia se expidiera testimonio en relación con los escritos y actuaciones que hubieran tenido como objeto la pretensión del solicitante de haber sido parte comparecida en el presente recurso de amparo y que no resultaba procedente expedir testimonio del resto de las actuaciones, toda vez que, habiéndose negado al solicitante la posibilidad de comparecer como parte personada, no acreditaba un interés legítimo para ello, ya que el cumplimiento de la finalidad alegada de formular demanda de responsabilidad civil contra los Magistrados firmantes del Auto no resulta justificativo del acceso y obtención de copia de unas actuaciones que son por completo ajenas a dicho objeto.</w:t>
      </w:r>
    </w:p>
    <w:p w:rsidR="006B7292" w:rsidRDefault="006B7292" w:rsidP="006B7292">
      <w:pPr>
        <w:pStyle w:val="TextoNormal"/>
      </w:pPr>
    </w:p>
    <w:p w:rsidR="006B7292" w:rsidRDefault="006B7292" w:rsidP="006B7292">
      <w:pPr>
        <w:pStyle w:val="TextoNormal"/>
      </w:pPr>
      <w:r w:rsidRPr="006B7292">
        <w:rPr>
          <w:rStyle w:val="NumeroAFNegritaCaracter"/>
        </w:rPr>
        <w:t>6</w:t>
      </w:r>
      <w:r>
        <w:t>. Mediante escrito presentado ante este Tribunal el 14 de mayo de 2013, el Procurador de los Tribunales don Arturo Molina Santiago, formuló alegaciones suscribiendo en su integridad el recurso de súplica interpuesto por don José Luis Mazón Costa, contra la providencia de 8 de abril de 2013. Asimismo solicitó, tras haber conocido el ATC 48/2013, de 25 de febrero, y por si dicha resolución pudiera dar lugar a la “reclamación de responsabilidad a la que hace referencia el artículo 26 LOTC”, la entrega de “copia íntegra de todas las actuaciones” desarrolladas en el presente recurso de amparo núm. 956-2008, al amparo de lo establecido en los arts. 234 y 235 LOPJ y 140 y 141 de la Ley de enjuiciamiento civil (LEC), para la interposición de las acciones judiciales que hubiera lugar en Derecho.</w:t>
      </w:r>
    </w:p>
    <w:p w:rsidR="006B7292" w:rsidRDefault="006B7292" w:rsidP="006B7292">
      <w:pPr>
        <w:pStyle w:val="TextoNormal"/>
      </w:pPr>
    </w:p>
    <w:p w:rsidR="006B7292" w:rsidRDefault="006B7292" w:rsidP="006B7292">
      <w:pPr>
        <w:pStyle w:val="TextoNormal"/>
      </w:pPr>
      <w:r w:rsidRPr="006B7292">
        <w:rPr>
          <w:rStyle w:val="NumeroAFNegritaCaracter"/>
        </w:rPr>
        <w:t>7</w:t>
      </w:r>
      <w:r>
        <w:t>. Por AATC 95/2014 y 96/2014, de 7 de abril, se desestimaron respectivamente los recursos de súplica interpuestos por el Licenciado don José Luis Mazón Costa y por el Procurador de los Tribunales don Arturo Molina Santiago, contra sendas providencias de 8 de abril de 2013.</w:t>
      </w:r>
    </w:p>
    <w:p w:rsidR="006B7292" w:rsidRDefault="006B7292" w:rsidP="006B7292">
      <w:pPr>
        <w:pStyle w:val="TextoNormal"/>
      </w:pPr>
    </w:p>
    <w:p w:rsidR="006B7292" w:rsidRDefault="006B7292" w:rsidP="006B7292">
      <w:pPr>
        <w:pStyle w:val="TextoNormal"/>
      </w:pPr>
      <w:r w:rsidRPr="006B7292">
        <w:rPr>
          <w:rStyle w:val="NumeroAFNegritaCaracter"/>
        </w:rPr>
        <w:t>8</w:t>
      </w:r>
      <w:r>
        <w:t>. Mediante escrito registrado el 1 de octubre de 2014, el Procurador de los Tribunales don Arturo Molina Santiago, reiteró la petición realizada mediante escrito de 14 de mayo de 2013 de conformidad con los preceptos allí invocados así como del principio general de publicidad de las actuaciones judiciales que consagra el art. 120.1 CE, al igual que los arts. 105 b) CE y 35 a) y h) y 37.1 y 3 de la Ley de régimen jurídico de las Administraciones públicas y del procedimiento administrativo común (LPC).</w:t>
      </w:r>
    </w:p>
    <w:p w:rsidR="006B7292" w:rsidRDefault="006B7292" w:rsidP="006B7292">
      <w:pPr>
        <w:pStyle w:val="TextoNormal"/>
      </w:pPr>
    </w:p>
    <w:p w:rsidR="006B7292" w:rsidRDefault="006B7292" w:rsidP="006B7292">
      <w:pPr>
        <w:pStyle w:val="TextoNormal"/>
      </w:pPr>
      <w:r>
        <w:t>La Sala primera del este Tribunal, por providencia de 15 de diciembre de 2014, acordó, en relación con el escrito presentado por el Procurador don Arturo Molina Santiago, lo siguiente:</w:t>
      </w:r>
    </w:p>
    <w:p w:rsidR="006B7292" w:rsidRDefault="006B7292" w:rsidP="006B7292">
      <w:pPr>
        <w:pStyle w:val="TextoNormal"/>
      </w:pPr>
    </w:p>
    <w:p w:rsidR="006B7292" w:rsidRDefault="006B7292" w:rsidP="006B7292">
      <w:pPr>
        <w:pStyle w:val="TextoNormal"/>
      </w:pPr>
      <w:r>
        <w:t>“La Sala, en el asunto de referencia y en relación con el anterior escrito presentado por el Procurador Don Arturo Molina Santiago, en nombre y representación de Don Eduardo Martín-Duarte Rosa, acuerda que se expida testimonio en relación con los escritos y actuaciones que hayan tenido como objeto su pretensión de haber sido parte comparecida en el presente recurso de amparo, y, en relación con ésta, la de notificación del Auto de 25 de febrero de 2013, que acuerda el archivo del proceso por desistimiento de la entidad actora. No resulta procedente expedir testimonio del resto de las actuaciones por falta de interés legítimo para ello, al haberse negado el solicitante la posibilidad de comparecer como parte personada. El cumplimiento de la finalidad alegada en sus escritos, de dirigir acción de responsabilidad contra los Magistrados firmantes del citado Auto de febrero de 2013, no justifican el acceso y la obtención de copia de las demás actuaciones, las cuales resultan por completo ajenas a dicho objeto particularmente deducido por el aquí solicitante.”</w:t>
      </w:r>
    </w:p>
    <w:p w:rsidR="006B7292" w:rsidRDefault="006B7292" w:rsidP="006B7292">
      <w:pPr>
        <w:pStyle w:val="TextoNormal"/>
      </w:pPr>
    </w:p>
    <w:p w:rsidR="006B7292" w:rsidRDefault="006B7292" w:rsidP="006B7292">
      <w:pPr>
        <w:pStyle w:val="TextoNormal"/>
      </w:pPr>
      <w:r w:rsidRPr="006B7292">
        <w:rPr>
          <w:rStyle w:val="NumeroAFNegritaCaracter"/>
        </w:rPr>
        <w:t>9</w:t>
      </w:r>
      <w:r>
        <w:t>. El Procurador de los Tribunales don Arturo Molina Santiago, mediante escrito registrado el 23 de diciembre de 2014, formuló recurso de súplica contra la providencia de 15 de diciembre de 2014. En él se solicita, al amparo de los arts. 105 b) y 120 CE; 35 h) y 37.1 y 3 LPC; 234.1 y 2 y 235 LOPJ; y 140.1 y 141 LEC, que se acceda a la entrega del testimonio íntegro de las actuaciones del presente recurso de amparo. A su juicio, la interposición de las acciones judiciales que hubiera lugar en Derecho al amparo del art. 26 LOTC “son interés legítimo suficiente para la expedición del testimonio interesado”.</w:t>
      </w:r>
    </w:p>
    <w:p w:rsidR="006B7292" w:rsidRDefault="006B7292" w:rsidP="006B7292">
      <w:pPr>
        <w:pStyle w:val="TextoNormal"/>
      </w:pPr>
    </w:p>
    <w:p w:rsidR="006B7292" w:rsidRDefault="006B7292" w:rsidP="006B7292">
      <w:pPr>
        <w:pStyle w:val="TextoNormal"/>
      </w:pPr>
      <w:r w:rsidRPr="006B7292">
        <w:rPr>
          <w:rStyle w:val="NumeroAFNegritaCaracter"/>
        </w:rPr>
        <w:t>10</w:t>
      </w:r>
      <w:r>
        <w:t>. Por diligencia de ordenación del Secretario de Justicia de la Sala Primera de este Tribunal de 12 de enero de 2015, se tuvo por recibido el escrito presentado el 23 de diciembre de 2014, dándose traslado del mismo al Ministerio Fiscal, al Abogado del Estado, a los Procuradores de los Tribunales doña María Amparo Alonso León, doña Esther Rodríguez Pérez, don Julián Caballero Aguado, doña María del Carmen Azpeitia Bello, don Luis José García Barrenechea, doña Teresa de Jesús Castro Rodríguez, don Cesareo Hidalgo Senén, don Carlos José Navarro Gutiérrez, y al Letrado don Enrique Alcántara-García Irazoqui, para que, de conformidad con lo prevenido en el art. 93.2 LOTC, pudieran alegar lo que estimasen pertinente en relación con el recurso de súplica formulado.</w:t>
      </w:r>
    </w:p>
    <w:p w:rsidR="006B7292" w:rsidRDefault="006B7292" w:rsidP="006B7292">
      <w:pPr>
        <w:pStyle w:val="TextoNormal"/>
      </w:pPr>
    </w:p>
    <w:p w:rsidR="006B7292" w:rsidRDefault="006B7292" w:rsidP="006B7292">
      <w:pPr>
        <w:pStyle w:val="TextoNormal"/>
      </w:pPr>
      <w:r w:rsidRPr="006B7292">
        <w:rPr>
          <w:rStyle w:val="NumeroAFNegritaCaracter"/>
        </w:rPr>
        <w:t>11</w:t>
      </w:r>
      <w:r>
        <w:t>. El 19 de enero de 2015, don Julián Caballero Aguado, Procurador de los Tribunales de don Guillermo Pol Ferrer, presentó escrito oponiéndose al recurso de súplica interpuesto, interesando su desestimación. Argumenta que el recurrente carece de legitimación para postular lo que pretende en un recurso de amparo en el que ni fue parte ni podía serlo, de conformidad con lo prevenido en los arts. 46 y 47 LOTC.</w:t>
      </w:r>
    </w:p>
    <w:p w:rsidR="006B7292" w:rsidRDefault="006B7292" w:rsidP="006B7292">
      <w:pPr>
        <w:pStyle w:val="TextoNormal"/>
      </w:pPr>
    </w:p>
    <w:p w:rsidR="006B7292" w:rsidRDefault="006B7292" w:rsidP="006B7292">
      <w:pPr>
        <w:pStyle w:val="TextoNormal"/>
      </w:pPr>
      <w:r w:rsidRPr="006B7292">
        <w:rPr>
          <w:rStyle w:val="NumeroAFNegritaCaracter"/>
        </w:rPr>
        <w:t>12</w:t>
      </w:r>
      <w:r>
        <w:t>. El 20 de enero de 2015 presentó escrito ante este Tribunal el Abogado del Estado, interesando la desestimación del recurso de súplica interpuesto contra la resolución de 15 de diciembre de 2014. Estima que las normas de carácter administrativo no amparan la pretensión de recurrente y que no está acreditado un concreto “interés legítimo” por parte del recurrente distinto del interés de la legalidad para cuya protección el ordenamiento jurídico prevé vías distintas. A juicio del Abogado del Estado, “lo que pretende el recurrente es realizar una función que, por ley, corresponde al Ministerio Fiscal: el análisis de si, en un supuesto concreto, existen indicios suficientes para el ejercicio de acciones ante los Tribunales”.</w:t>
      </w:r>
    </w:p>
    <w:p w:rsidR="006B7292" w:rsidRDefault="006B7292" w:rsidP="006B7292">
      <w:pPr>
        <w:pStyle w:val="TextoNormal"/>
      </w:pPr>
    </w:p>
    <w:p w:rsidR="006B7292" w:rsidRDefault="006B7292" w:rsidP="006B7292">
      <w:pPr>
        <w:pStyle w:val="TextoNormal"/>
      </w:pPr>
      <w:r w:rsidRPr="006B7292">
        <w:rPr>
          <w:rStyle w:val="NumeroAFNegritaCaracter"/>
        </w:rPr>
        <w:t>13</w:t>
      </w:r>
      <w:r>
        <w:t>. El 20 de enero de 2015, se presentó ante este Tribunal escrito de alegaciones por el Procurador de los Tribunales don Cesáreo Hidalgo Senén, en nombre y representación del Banco Santander, S.A., interesando la desestimación del recurso de súplica por las razones invocadas en la resolución recurrida, dada la falta de interés legítimo para solicitar el testimonio de los escritos y actuaciones distintos de los que ya han tenido como objeto su pretensión de haber sido parte en el recurso de amparo. Añade que “habiéndose negado al solicitante la posibilidad de comparecer como parte personada en el mismo, falta el interés legítimo para obtener el testimonio de las demás actuaciones del propio recurso de amparo que son ajenas a aquellas en que se ha formulado aquella pretensión de comparecencia como parte”.</w:t>
      </w:r>
    </w:p>
    <w:p w:rsidR="006B7292" w:rsidRDefault="006B7292" w:rsidP="006B7292">
      <w:pPr>
        <w:pStyle w:val="TextoNormal"/>
      </w:pPr>
    </w:p>
    <w:p w:rsidR="006B7292" w:rsidRDefault="006B7292" w:rsidP="006B7292">
      <w:pPr>
        <w:pStyle w:val="TextoNormal"/>
      </w:pPr>
      <w:r w:rsidRPr="006B7292">
        <w:rPr>
          <w:rStyle w:val="NumeroAFNegritaCaracter"/>
        </w:rPr>
        <w:t>14</w:t>
      </w:r>
      <w:r>
        <w:t>. Mediante escrito registrado el 22 de enero de 2015, el Fiscal ante el Tribunal Constitucional formuló alegaciones interesando que se dicte Auto por el que se desestime el recurso de súplica con la consiguiente confirmación de la resolución de fecha de 15 de diciembre de 2014. Considera que “habiéndose negado a la representación procesal de don Eduardo Martín-Duarte Rosa, mediante resolución firme, la posibilidad de adquirir la condición de parte en el presente recurso de amparo … resulta de todo punto lógico que no se le haya de facilitar un testimonio íntegro de todo su contenido”, resultando procedente, en cambio, “que se le facilite testimonio de todas las actuaciones desarrolladas en su intento de ser tenida por parte en el presente recurso de amparo”.</w:t>
      </w:r>
    </w:p>
    <w:p w:rsidR="006B7292" w:rsidRDefault="006B7292" w:rsidP="006B7292">
      <w:pPr>
        <w:pStyle w:val="TextoNormal"/>
      </w:pPr>
    </w:p>
    <w:p w:rsidR="006B7292" w:rsidRDefault="006B7292" w:rsidP="006B7292">
      <w:pPr>
        <w:pStyle w:val="TextoNormal"/>
      </w:pPr>
      <w:r w:rsidRPr="006B7292">
        <w:rPr>
          <w:rStyle w:val="NumeroAFNegritaCaracter"/>
        </w:rPr>
        <w:t>15</w:t>
      </w:r>
      <w:r>
        <w:t>. Por escrito registrado el 22 de enero de 2015, don Luis José García Barrenechea, Procurador de los Tribunales y de la Asociación para la Defensa de Inversores y Clientes, formuló alegaciones oponiéndose al recurso de súplica formulado contra la resolución de 19 de diciembre de 2014, por considerarla ajustada a Derecho.</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Único. El recurso de súplica interpuesto contra la providencia de 15 de diciembre de 2014 debe ser desestimado.</w:t>
      </w:r>
    </w:p>
    <w:p w:rsidR="006B7292" w:rsidRDefault="006B7292" w:rsidP="006B7292">
      <w:pPr>
        <w:pStyle w:val="TextoNormal"/>
      </w:pPr>
    </w:p>
    <w:p w:rsidR="006B7292" w:rsidRDefault="006B7292" w:rsidP="006B7292">
      <w:pPr>
        <w:pStyle w:val="TextoNormal"/>
      </w:pPr>
      <w:r>
        <w:t>Como ya hemos dicho en nuestro anterior ATC 95/2014, de 7 de abril, FJ único, en relación a una solicitud de contenido sustancialmente igual a la aquí planteada, con invocación de nuestra doctrina de la STC 114/2006, de 5 de abril, FJ 5, “las decisiones referidas al alcance de la publicidad de los actos de los procedimientos constitucionales son una cuestión jurisdiccional, lo que en este caso es especialmente relevante, pues la solicitud resuelta implicaba una petición de testimonio de actuaciones por quien había visto denegada su solicitud de ser parte en este procedimiento por carecer de interés legítimo para ello. Por otro lado, debe ratificarse que el cumplimiento de la finalidad alegada para la expedición del testimonio no resulta justificativo del acceso y obtención de copia de unas actuaciones, que son por completo ajenas al objeto pretendido en ese eventual procedimiento de responsabilidad”; en este caso, al que hace referencia el art. 26 de la Ley Orgánica del Tribunal Constitucional, según alega el solicitante en sus escritos.</w:t>
      </w:r>
    </w:p>
    <w:p w:rsidR="006B7292" w:rsidRDefault="006B7292" w:rsidP="006B7292">
      <w:pPr>
        <w:pStyle w:val="TextoNormal"/>
      </w:pPr>
    </w:p>
    <w:p w:rsidR="006B7292" w:rsidRDefault="006B7292" w:rsidP="006B7292">
      <w:pPr>
        <w:pStyle w:val="TextoNormal"/>
      </w:pPr>
      <w:r>
        <w:t>Por todo lo expuesto, la Sala</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Desestimar el recurso de súplica interpuesto por el Procurador de los Tribunales don Arturo Molina Santiago en nombre y representación de don Eduardo Martín-Duarte Rosa, contra la providencia de 15 de diciembre de 2014.</w:t>
      </w:r>
    </w:p>
    <w:p w:rsidR="006B7292" w:rsidRDefault="006B7292" w:rsidP="006B7292">
      <w:pPr>
        <w:pStyle w:val="TextoNormal"/>
      </w:pPr>
    </w:p>
    <w:p w:rsidR="006B7292" w:rsidRDefault="006B7292" w:rsidP="006B7292">
      <w:pPr>
        <w:pStyle w:val="TextoNormal"/>
      </w:pPr>
      <w:r>
        <w:t>Madrid, a seis de julio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30" w:name="AUTO_2015_116"/>
      <w:r>
        <w:t>AUTO 116/2015, de 6 de julio de 2015</w:t>
      </w:r>
    </w:p>
    <w:bookmarkEnd w:id="130"/>
    <w:p w:rsidR="006B7292" w:rsidRDefault="006B7292" w:rsidP="006B7292">
      <w:pPr>
        <w:pStyle w:val="TtuloResolucin"/>
      </w:pPr>
      <w:r>
        <w:t>Sala Segunda</w:t>
      </w:r>
    </w:p>
    <w:p w:rsidR="006B7292" w:rsidRDefault="006B7292" w:rsidP="006B7292">
      <w:pPr>
        <w:pStyle w:val="TextoNormalCentrado"/>
      </w:pPr>
      <w:r>
        <w:t>ECLI:ES:TC:2015:116A</w:t>
      </w:r>
    </w:p>
    <w:p w:rsidR="006B7292" w:rsidRDefault="006B7292" w:rsidP="006B7292">
      <w:pPr>
        <w:pStyle w:val="TextoNormalCentrado"/>
      </w:pPr>
    </w:p>
    <w:p w:rsidR="006B7292" w:rsidRDefault="006B7292" w:rsidP="006B7292">
      <w:pPr>
        <w:pStyle w:val="SntesisDescriptiva"/>
      </w:pPr>
      <w:r>
        <w:t>Excms. Srs. doña Adela Asua Batarrita, don Fernando Valdés Dal-Ré, don Juan José González Rivas,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Deniega la suspensión en el recurso de amparo 2569-2014, promovido por don Félix Ojer Pueyo y doña María Carmen Romero Martínez en causa penal.</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registrado en este Tribunal el día 23 de abril de 2014, la Procuradora de los Tribunales doña Rosa Sorribes Calle, en nombre y representación de don Félix Ojer Pueyo y doña María Carmen Romero Martínez, y bajo la dirección letrada de don Tomás Gui Mori, interpuso demanda de amparo constitucional contra la Sentencia núm. 35/2014, de 7 de febrero, de la Sección Primera de la Audiencia Provincial de Lleida (apelación penal núm. 192-2013), que condenó a los recurrentes de amparo como autores penalmente responsables de un delito de alzamiento de bienes a la pena de dos años de prisión, inhabilitación especial para el ejercicio del derecho de sufragio pasivo durante el tiempo de la condena y multa de quince meses con cuota diaria de 6 €, con responsabilidad personal subsidiaria en caso de impago, revocando la inicial Sentencia absolutoria del Juzgado de lo Penal núm. 3 de Lleida, de 26 de agosto de 2013, dictada en autos de procedimiento abreviado núm. 417-2012. Se dirige la demanda, en segundo lugar, contra la providencia de la misma Sala y Sección, de 19 de marzo de 2014, que inadmitió a trámite el incidente de nulidad de actuaciones interpuesto frente a la Sentencia de apelación indicada.</w:t>
      </w:r>
    </w:p>
    <w:p w:rsidR="006B7292" w:rsidRDefault="006B7292" w:rsidP="006B7292">
      <w:pPr>
        <w:pStyle w:val="TextoNormal"/>
      </w:pPr>
    </w:p>
    <w:p w:rsidR="006B7292" w:rsidRDefault="006B7292" w:rsidP="006B7292">
      <w:pPr>
        <w:pStyle w:val="TextoNormal"/>
      </w:pPr>
      <w:r>
        <w:t>En la demanda de amparo, invocando el art. 56 de la Ley Orgánica del Tribunal Constitucional, se solicitó la suspensión de la ejecución de la Sentencia condenatoria.</w:t>
      </w:r>
    </w:p>
    <w:p w:rsidR="006B7292" w:rsidRDefault="006B7292" w:rsidP="006B7292">
      <w:pPr>
        <w:pStyle w:val="TextoNormal"/>
      </w:pPr>
    </w:p>
    <w:p w:rsidR="006B7292" w:rsidRDefault="006B7292" w:rsidP="006B7292">
      <w:pPr>
        <w:pStyle w:val="TextoNormal"/>
      </w:pPr>
      <w:r w:rsidRPr="006B7292">
        <w:rPr>
          <w:rStyle w:val="NumeroAFNegritaCaracter"/>
        </w:rPr>
        <w:t>2</w:t>
      </w:r>
      <w:r>
        <w:t>. La Sala Segunda de este Tribunal, por sendas providencias de 28 de mayo de 2015, acordó la admisión a trámite de la demanda de amparo y la formación de pieza separada para la tramitación del incidente sobre la suspensión solicitada, otorgando al recurrente y al Ministerio Fiscal el plazo común de tres días para que alegasen lo que estimasen pertinente sobre dicha suspensión.</w:t>
      </w:r>
    </w:p>
    <w:p w:rsidR="006B7292" w:rsidRDefault="006B7292" w:rsidP="006B7292">
      <w:pPr>
        <w:pStyle w:val="TextoNormal"/>
      </w:pPr>
    </w:p>
    <w:p w:rsidR="006B7292" w:rsidRDefault="006B7292" w:rsidP="006B7292">
      <w:pPr>
        <w:pStyle w:val="TextoNormal"/>
      </w:pPr>
      <w:r w:rsidRPr="006B7292">
        <w:rPr>
          <w:rStyle w:val="NumeroAFNegritaCaracter"/>
        </w:rPr>
        <w:t>3</w:t>
      </w:r>
      <w:r>
        <w:t>. Los recurrentes presentaron su escrito de alegaciones el día 5 de junio de 2015 en el Registro General de este Tribunal. Ponen de manifiesto que se ha incoado el procedimiento de ejecución de la Sentencia condenatoria. Sin embargo, señalan que solicitaron al Juzgado de lo Penal núm. 3 de Lleida la suspensión de la condena, petición que fue acogida por autos de 5 de mayo de 2014, si bien resaltan que persiste el riesgo de ejecución toda vez que dicha decisión judicial ha sido recurrida en reforma por la parte acusadora, estando dicho recurso pendiente de resolución.</w:t>
      </w:r>
    </w:p>
    <w:p w:rsidR="006B7292" w:rsidRDefault="006B7292" w:rsidP="006B7292">
      <w:pPr>
        <w:pStyle w:val="TextoNormal"/>
      </w:pPr>
    </w:p>
    <w:p w:rsidR="006B7292" w:rsidRDefault="006B7292" w:rsidP="006B7292">
      <w:pPr>
        <w:pStyle w:val="TextoNormal"/>
      </w:pPr>
      <w:r w:rsidRPr="006B7292">
        <w:rPr>
          <w:rStyle w:val="NumeroAFNegritaCaracter"/>
        </w:rPr>
        <w:t>4</w:t>
      </w:r>
      <w:r>
        <w:t>. El Ministerio Fiscal formuló alegaciones por escrito registrado en este Tribunal el 8 de junio de 2015. A su juicio, la aplicación de la jurisprudencia constitucional al presente caso conlleva el otorgamiento de la suspensión de la pena de prisión impuesta a los recurrentes, al ser de corta duración —dos años— y teniendo en cuenta el tiempo que normalmente se tarda en resolver un recurso de amparo. Es otro su criterio respecto de las penas restantes, dado que los perjuicios que acarrean serían reparables en caso de estimarse el recurso de amparo, máxime cuando los recurrentes no acreditan los graves quebrantos su cumplimiento determinaría.</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art. 56.1 de la Ley Orgánica del Tribunal Constitucional (LOTC) dispone que la interposición de un recurso de amparo no suspenderá los efectos del acto o sentencia impugnados, concretando el art. 56.2 LOTC, no obstante,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006B7292" w:rsidRDefault="006B7292" w:rsidP="006B7292">
      <w:pPr>
        <w:pStyle w:val="TextoNormal"/>
      </w:pPr>
    </w:p>
    <w:p w:rsidR="006B7292" w:rsidRDefault="006B7292" w:rsidP="006B7292">
      <w:pPr>
        <w:pStyle w:val="TextoNormal"/>
      </w:pPr>
      <w:r>
        <w:t>Según doctrina de este Tribunal (por todos, ATC 228/2001, de 24 de julio), si la ejecución de una pena privativa de libertad no reviste carácter efectivo o actual por haber sido aplazada o suspendida, o por haber sido concedida la remisión condicional o la libertad condicional mediante resolución de los órganos judiciales competentes, no concurrirá el presupuesto del que parte el art. 56.2 LOTC, esto es, que la ejecución de la pena hubiere de ocasionar un perjuicio que haría perder al amparo su finalidad. Todo ello con independencia de que la denegación de la suspensión pueda ser modificada en el curso del proceso constitucional si surgieren nuevas circunstancias (art. 57 LOTC).</w:t>
      </w:r>
    </w:p>
    <w:p w:rsidR="006B7292" w:rsidRDefault="006B7292" w:rsidP="006B7292">
      <w:pPr>
        <w:pStyle w:val="TextoNormal"/>
      </w:pPr>
    </w:p>
    <w:p w:rsidR="006B7292" w:rsidRDefault="006B7292" w:rsidP="006B7292">
      <w:pPr>
        <w:pStyle w:val="TextoNormal"/>
      </w:pPr>
      <w:r>
        <w:t>En el presente caso, conforme a lo expuesto, la petición decae por esa causa toda vez que, según exponen los propios recurrentes en su escrito de alegaciones, por Auto de 5 de mayo de 2014 se acordó suspender la ejecución de las penas de prisión impuestas. No concurre, entonces, el presupuesto establecido por el art. 56.2 LOTC.</w:t>
      </w:r>
    </w:p>
    <w:p w:rsidR="006B7292" w:rsidRDefault="006B7292" w:rsidP="006B7292">
      <w:pPr>
        <w:pStyle w:val="TextoNormal"/>
      </w:pPr>
    </w:p>
    <w:p w:rsidR="006B7292" w:rsidRDefault="006B7292" w:rsidP="006B7292">
      <w:pPr>
        <w:pStyle w:val="TextoNormal"/>
      </w:pPr>
      <w:r w:rsidRPr="006B7292">
        <w:rPr>
          <w:rStyle w:val="NumeroAFNegritaCaracter"/>
        </w:rPr>
        <w:t>2</w:t>
      </w:r>
      <w:r>
        <w:t>. Según señalamos en el ATC 135/1999, de 31 de mayo, o posteriormente en el ATC 228/2001, de 24 de julio, antes mencionado, como regla general las penas accesorias siguen la misma suerte en materia de suspensión que las penas principales a las que acompañan. Sin embargo, en los supuestos en los que la pretensión de suspender la pena principal carece ya de objeto en esta vía de amparo por haberse satisfecho la misma en el proceso ordinario —como aquí sucede— no puede ser aplicada automáticamente aquella regla, sino que habrá de ponderar las diversas circunstancias concurrentes. Pues bien, los recurrentes no han acreditado, ni siquiera alegado, que las penas accesorias impuestas durante el tiempo de las penas de prisión produzcan, en caso de cumplimiento, una pérdida de la finalidad del amparo. Por ello, procede denegar la suspensión respecto de las mismas.</w:t>
      </w:r>
    </w:p>
    <w:p w:rsidR="006B7292" w:rsidRDefault="006B7292" w:rsidP="006B7292">
      <w:pPr>
        <w:pStyle w:val="TextoNormal"/>
      </w:pPr>
    </w:p>
    <w:p w:rsidR="006B7292" w:rsidRDefault="006B7292" w:rsidP="006B7292">
      <w:pPr>
        <w:pStyle w:val="TextoNormal"/>
      </w:pPr>
      <w:r>
        <w:t>Por su parte, como señalara entre tantos otros nuestro ATC 76/2012, de 7 de mayo, FJ 2, no procede tampoco la suspensión del resto de pronunciamientos condenatorios que contiene la Sentencia de apelación recurrida, pues no se argumenta ningún perjuicio irreparable que pudiera provocar su ejecución, resultando de aplicación la bien conocida doctrina de que las resoluciones judiciales con efectos meramente patrimoniales no causan, por lo general, perjuicios irremediables, por más que puedan producir efectos desfavorables a quien demanda el amparo, ya que su reparación posterior, en caso de estimarse éste, es meramente económica y por ello no dificultosa.</w:t>
      </w:r>
    </w:p>
    <w:p w:rsidR="006B7292" w:rsidRDefault="006B7292" w:rsidP="006B7292">
      <w:pPr>
        <w:pStyle w:val="TextoNormal"/>
      </w:pPr>
    </w:p>
    <w:p w:rsidR="006B7292" w:rsidRDefault="006B7292" w:rsidP="006B7292">
      <w:pPr>
        <w:pStyle w:val="TextoNormal"/>
      </w:pPr>
      <w:r>
        <w:t>No puede declararse tampoco la suspensión de la responsabilidad subsidiaria para el caso de impago de la pena de multa, al tratarse de una eventualidad incierta que depende de que la multa no llegase a ser pagada, voluntariamente o por la vía de apremio, y en cualquier caso de una eventualidad futura que, en caso de sobrevenir, podría dar lugar a la modificación de la decisión que ahora se adopta (ATC 59/2008, de 20 de febrero, FJ 2).</w:t>
      </w:r>
    </w:p>
    <w:p w:rsidR="006B7292" w:rsidRDefault="006B7292" w:rsidP="006B7292">
      <w:pPr>
        <w:pStyle w:val="TextoNormal"/>
      </w:pPr>
    </w:p>
    <w:p w:rsidR="006B7292" w:rsidRDefault="006B7292" w:rsidP="006B7292">
      <w:pPr>
        <w:pStyle w:val="TextoNormal"/>
      </w:pPr>
      <w:r>
        <w:t>Por todo lo expuesto, la Sala</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Denegar la suspensión solicitada.</w:t>
      </w:r>
    </w:p>
    <w:p w:rsidR="006B7292" w:rsidRDefault="006B7292" w:rsidP="006B7292">
      <w:pPr>
        <w:pStyle w:val="TextoNormal"/>
      </w:pPr>
    </w:p>
    <w:p w:rsidR="006B7292" w:rsidRDefault="006B7292" w:rsidP="006B7292">
      <w:pPr>
        <w:pStyle w:val="TextoNormal"/>
      </w:pPr>
      <w:r>
        <w:t>Madrid, a seis de julio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31" w:name="AUTO_2015_117"/>
      <w:r>
        <w:t>AUTO 117/2015, de 6 de julio de 2015</w:t>
      </w:r>
    </w:p>
    <w:bookmarkEnd w:id="131"/>
    <w:p w:rsidR="006B7292" w:rsidRDefault="006B7292" w:rsidP="006B7292">
      <w:pPr>
        <w:pStyle w:val="TtuloResolucin"/>
      </w:pPr>
      <w:r>
        <w:t>Sala Primera</w:t>
      </w:r>
    </w:p>
    <w:p w:rsidR="006B7292" w:rsidRDefault="006B7292" w:rsidP="006B7292">
      <w:pPr>
        <w:pStyle w:val="TextoNormalCentrado"/>
      </w:pPr>
      <w:r>
        <w:t>ECLI:ES:TC:2015:117A</w:t>
      </w:r>
    </w:p>
    <w:p w:rsidR="006B7292" w:rsidRDefault="006B7292" w:rsidP="006B7292">
      <w:pPr>
        <w:pStyle w:val="TextoNormalCentrado"/>
      </w:pPr>
    </w:p>
    <w:p w:rsidR="006B7292" w:rsidRDefault="006B7292" w:rsidP="006B7292">
      <w:pPr>
        <w:pStyle w:val="SntesisDescriptiva"/>
      </w:pPr>
      <w:r>
        <w:t>Excms. Srs. don Francisco Pérez de los Cobos Orihuel, doña Encarnación Roca Trías, don Andrés Ollero Tassara, don Santiago Martínez-Vares García y don Juan Antonio Xiol Ríos.</w:t>
      </w:r>
    </w:p>
    <w:p w:rsidR="006B7292" w:rsidRDefault="006B7292" w:rsidP="006B7292">
      <w:pPr>
        <w:pStyle w:val="SntesisDescriptiva"/>
      </w:pPr>
    </w:p>
    <w:p w:rsidR="006B7292" w:rsidRDefault="006B7292" w:rsidP="006B7292">
      <w:pPr>
        <w:pStyle w:val="SntesisDescriptiva"/>
      </w:pPr>
      <w:r>
        <w:t>Deniega la suspensión en el recurso de amparo 6011-2014, promovido por el Ayuntamiento de Toledo en proceso contencioso-administrativo.</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Con fecha 7 de octubre de 2014, el Procurador de los Tribunales don Alberto Collado Martín, en nombre y representación del Ayuntamiento de Toledo, presentó en el Registro General de este Tribunal demanda de amparo contra el Auto de la Sección Quinta de la Sala Tercera del Tribunal Supremo de 15 de julio de 2014, que desestimó el incidente de nulidad interpuesto contra la Sentencia de la misma Sección de 27 de febrero de 2014, que a su vez desestimó el recurso de casación interpuesto contra la Sentencia de la Sección Primera de la Sala de lo Contencioso-Administrativo del Tribunal Superior de Justicia de Castilla-La Mancha de 26 de julio de 2011, que estimó el recurso formulado frente a la orden de la Consejería de Vivienda y Urbanismo de 26 de marzo de 2007, por el que se aprobaba el plan de ordenación municipal de Toledo.</w:t>
      </w:r>
    </w:p>
    <w:p w:rsidR="006B7292" w:rsidRDefault="006B7292" w:rsidP="006B7292">
      <w:pPr>
        <w:pStyle w:val="TextoNormal"/>
      </w:pPr>
    </w:p>
    <w:p w:rsidR="006B7292" w:rsidRDefault="006B7292" w:rsidP="006B7292">
      <w:pPr>
        <w:pStyle w:val="TextoNormal"/>
      </w:pPr>
      <w:r w:rsidRPr="006B7292">
        <w:rPr>
          <w:rStyle w:val="NumeroAFNegritaCaracter"/>
        </w:rPr>
        <w:t>2</w:t>
      </w:r>
      <w:r>
        <w:t>. El recurrente alega en su demanda de amparo que las resoluciones mencionadas han vulnerado su derecho fundamental a la tutela judicial efectiva y a un proceso con todas las garantías (arts. 24.1 y 24.2 CE), al incurrir en exceso de jurisdicción por inaplicación de las leyes autonómicas vigentes en materia de urbanismo sin el previo planteamiento de la cuestión de inconstitucionalidad.</w:t>
      </w:r>
    </w:p>
    <w:p w:rsidR="006B7292" w:rsidRDefault="006B7292" w:rsidP="006B7292">
      <w:pPr>
        <w:pStyle w:val="TextoNormal"/>
      </w:pPr>
    </w:p>
    <w:p w:rsidR="006B7292" w:rsidRDefault="006B7292" w:rsidP="006B7292">
      <w:pPr>
        <w:pStyle w:val="TextoNormal"/>
      </w:pPr>
      <w:r w:rsidRPr="006B7292">
        <w:rPr>
          <w:rStyle w:val="NumeroAFNegritaCaracter"/>
        </w:rPr>
        <w:t>3</w:t>
      </w:r>
      <w:r>
        <w:t>. Por providencia de 25 de mayo de 2015, la Sala Primera de este Tribunal acordó admitir a trámite la demanda de amparo y ordenar que se formase la presente pieza separada de suspensión, concediendo a la demandante de amparo y al Ministerio Fiscal, conforme a lo dispuesto en el art. 56 de la Ley Orgánica del Tribunal Constitucional (LOTC), plazo común de tres días para formular alegaciones en relación con la suspensión solicitada.</w:t>
      </w:r>
    </w:p>
    <w:p w:rsidR="006B7292" w:rsidRDefault="006B7292" w:rsidP="006B7292">
      <w:pPr>
        <w:pStyle w:val="TextoNormal"/>
      </w:pPr>
    </w:p>
    <w:p w:rsidR="006B7292" w:rsidRDefault="006B7292" w:rsidP="006B7292">
      <w:pPr>
        <w:pStyle w:val="TextoNormal"/>
      </w:pPr>
      <w:r w:rsidRPr="006B7292">
        <w:rPr>
          <w:rStyle w:val="NumeroAFNegritaCaracter"/>
        </w:rPr>
        <w:t>4</w:t>
      </w:r>
      <w:r>
        <w:t>. Mediante escrito que tuvo entrada en este Tribunal el 2 de junio de 2015, el demandante de amparo solicitó que se acordara la suspensión interesada en la demanda.</w:t>
      </w:r>
    </w:p>
    <w:p w:rsidR="006B7292" w:rsidRDefault="006B7292" w:rsidP="006B7292">
      <w:pPr>
        <w:pStyle w:val="TextoNormal"/>
      </w:pPr>
    </w:p>
    <w:p w:rsidR="006B7292" w:rsidRDefault="006B7292" w:rsidP="006B7292">
      <w:pPr>
        <w:pStyle w:val="TextoNormal"/>
      </w:pPr>
      <w:r>
        <w:t>Entiende el demandante que la ejecución de la Sentencia causaría un perjuicio irreparable que haría perder al amparo su finalidad. Afirma que la Sección Primera de la Sala de lo Contencioso-Administrativo de Castilla-La Mancha en el Auto de 18 de marzo de 2015, ha resuelto que hasta que el Tribunal Constitucional se pronuncie procede mantener la suspensión de la ejecución al considerar que “el Plan General de Toledo, su vigencia y aplicación, como tal representa un interés público, económico, social y de terceros”. Argumenta que el incumplimiento del deber de plantear una cuestión de inconstitucionalidad no puede ser recompensado otorgando mayor eficacia a la sentencia incumplidora que al precepto legal desplazado, sin que la suspensión ocasione una perturbación grave a un interés constitucionalmente protegido, ni a los derechos fundamentales o libertades de otra persona.</w:t>
      </w:r>
    </w:p>
    <w:p w:rsidR="006B7292" w:rsidRDefault="006B7292" w:rsidP="006B7292">
      <w:pPr>
        <w:pStyle w:val="TextoNormal"/>
      </w:pPr>
    </w:p>
    <w:p w:rsidR="006B7292" w:rsidRDefault="006B7292" w:rsidP="006B7292">
      <w:pPr>
        <w:pStyle w:val="TextoNormal"/>
      </w:pPr>
      <w:r w:rsidRPr="006B7292">
        <w:rPr>
          <w:rStyle w:val="NumeroAFNegritaCaracter"/>
        </w:rPr>
        <w:t>5</w:t>
      </w:r>
      <w:r>
        <w:t>. El Ministerio Fiscal evacuó idéntico trámite mediante escrito registrado en este Tribunal con fecha de 10 de junio de 2015, en el que se oponía a la suspensión solicitada debido a que conforme al art. 56.1 LOTC la interposición del recurso de amparo no suspenderá los efectos del acto o sentencia impugnados, salvo cuando la ejecución del acto o sentencia impugnados produzca un perjuicio al recurrente que pudiera hacer perder al amparo su finalidad, siempre y cuando dicha suspensión no ocasione perturbación grave a un interés constitucionalmente protegido, ni a los derechos fundamentales o libertades de otra persona (art. 56.2 LOTC). Siendo la regla general la improcedencia de la suspensión.</w:t>
      </w:r>
    </w:p>
    <w:p w:rsidR="006B7292" w:rsidRDefault="006B7292" w:rsidP="006B7292">
      <w:pPr>
        <w:pStyle w:val="TextoNormal"/>
      </w:pPr>
    </w:p>
    <w:p w:rsidR="006B7292" w:rsidRDefault="006B7292" w:rsidP="006B7292">
      <w:pPr>
        <w:pStyle w:val="TextoNormal"/>
      </w:pPr>
      <w:r>
        <w:t>Afirma el Ministerio Fiscal que es necesario para acordar la suspensión que se cumpla el requisito de que, si ésta no se acordara, la eventual estimación del recurso de amparo sería ya “tardía” y el restablecimiento en el derecho constitucional vulnerado ya no podría ser efectivo sino “meramente ilusorio y nominal”, debiendo además ponderarse el perjuicio que se causa al recurrente como consecuencia de la eficacia de la resolución recurrida y, por otra, el perjuicio, en términos de perturbación grave, a un interés constitucionalmente protegido o a los derechos fundamentales y libertades de un tercero.</w:t>
      </w:r>
    </w:p>
    <w:p w:rsidR="006B7292" w:rsidRDefault="006B7292" w:rsidP="006B7292">
      <w:pPr>
        <w:pStyle w:val="TextoNormal"/>
      </w:pPr>
    </w:p>
    <w:p w:rsidR="006B7292" w:rsidRDefault="006B7292" w:rsidP="006B7292">
      <w:pPr>
        <w:pStyle w:val="TextoNormal"/>
      </w:pPr>
      <w:r>
        <w:t>Se refiere a la doctrina del Tribunal Constitucional, según la cual, no procede la suspensión de las resoluciones judiciales con efectos meramente patrimoniales o económicos, al no derivarse de los mismos perjuicios irreparables (ATC 254/2009 de 28 octubre), salvo que el recurrente justificase cumplidamente que el no otorgamiento de la suspensión le ocasionaría un perjuicio irreparable que haría perder al amparo su finalidad. Con cita de la doctrina del Tribunal Constitucional afirma que procederá la suspensión cuando la ejecución comporte perjuicios económicos difícilmente reparables por su entidad o por la irreversibilidad de las situaciones jurídicas que puedan producirse. A ello se añade que es carga del recurrente probar que la ejecución del acto o Sentencia impugnados deba producirle un perjuicio que hiciere perder al amparo su finalidad (ATC 199/2010 de 21 de diciembre, FJ 3).</w:t>
      </w:r>
    </w:p>
    <w:p w:rsidR="006B7292" w:rsidRDefault="006B7292" w:rsidP="006B7292">
      <w:pPr>
        <w:pStyle w:val="TextoNormal"/>
      </w:pPr>
    </w:p>
    <w:p w:rsidR="006B7292" w:rsidRDefault="006B7292" w:rsidP="006B7292">
      <w:pPr>
        <w:pStyle w:val="TextoNormal"/>
      </w:pPr>
      <w:r>
        <w:t>Concluye sus alegaciones afirmando la improcedencia de la suspensión solicitada al tener un contenido patrimonial, que se ciñe a la anulación del plan de ordenación municipal de Toledo, que se declara contrario a derecho, con retroacción de actuaciones de tramitación hasta la fase de nueva información pública. Además, la suspensión de resoluciones judiciales firmes entraña en sí misma una perturbación de la función jurisdiccional, sin que, por otra parte, el recurrente haya cumplido adecuadamente con la carga de acreditar el perjuicio irreparable, pues ni la anulación del plan comporta necesariamente la inminente demolición “de todo cuanto se ha construido”, ni la anulación de infinidad de autorizaciones de usos, determinantes del cese inmediato de actividades y sacrificio de puestos de trabajo, de manera que las manifestaciones sobre los perjuicios que se ocasionarían no vienen acompañadas de elementos cuantitativos o cualitativos —aún como “principio razonable de prueba”— que concreten su existencia, alcance e irreparabilidad.</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Dispone el art. 56.2 de la Ley Orgánica del Tribunal Constitucional (LOTC) que cuando la ejecución del acto o sentencia impugnados produzca un perjuicio al recurrente que pudiese hacer perder al amparo su finalidad, la Sala o, en su caso, la Sección que conozca de un recurso de amparo podrá disponer la suspensión, total o parcial, de sus efectos, siempre y cuando la suspensión no ocasione perturbación grave a un interés constitucionalmente protegido, ni a los derechos fundamentales o libertades de otra persona.</w:t>
      </w:r>
    </w:p>
    <w:p w:rsidR="006B7292" w:rsidRDefault="006B7292" w:rsidP="006B7292">
      <w:pPr>
        <w:pStyle w:val="TextoNormal"/>
      </w:pPr>
    </w:p>
    <w:p w:rsidR="006B7292" w:rsidRDefault="006B7292" w:rsidP="006B7292">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y siempre “que la suspensión no ocasione perturbación grave a un interés constitucionalmente protegido, ni a los derechos fundamentales o libertades de otra persona” (art. 56.2 LOTC).</w:t>
      </w:r>
    </w:p>
    <w:p w:rsidR="006B7292" w:rsidRDefault="006B7292" w:rsidP="006B7292">
      <w:pPr>
        <w:pStyle w:val="TextoNormal"/>
      </w:pPr>
    </w:p>
    <w:p w:rsidR="006B7292" w:rsidRDefault="006B7292" w:rsidP="006B7292">
      <w:pPr>
        <w:pStyle w:val="TextoNormal"/>
      </w:pPr>
      <w:r w:rsidRPr="006B7292">
        <w:rPr>
          <w:rStyle w:val="NumeroAFNegritaCaracter"/>
        </w:rPr>
        <w:t>2</w:t>
      </w:r>
      <w:r>
        <w:t>. Por otra parte, es doctrina reiterada y unánime de este Tribunal, que la previsión contenida ahora en el art. 56.2 LOTC (en la redacción anterior a la reforma de la Ley Orgánica 6/2007 la establecía el art. 56.1 LOTC), que exige como uno de los requisitos para otorgar la suspensión que la ejecución del acto del poder público por razón del cual se reclama el amparo ocasione “un perjuicio al recurrente que pudiera hacer perder al amparo su finalidad”, debe interpretarse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(ATC 125/2003, de 23 de abril, FJ 2, y, en el mismo sentido AATC 20/2009, de 26 de enero, 94/2010, y 95/2010, ambos de 19 de julio, 122/2012, de 18 de junio, entre muchos). Por esta razón este Tribunal no accede, salvo excepciones, a la solicitud de suspensión de resoluciones que imponen obligaciones de pago de cantidad o, en general, de contenido económico o patrimonial, pues la lesión que de ellas se deriva es normalmente reparable (AATC 125/2003, de 23 de abril; 326/2005, de 12 de septiembre; 152/2006, de 8 de mayo; 357/2006, de 9 de octubre; 118/2008, de 28 de abril; 388/2008, de 15 de diciembre; y 20/2009 de 26 de enero; 95/2010, de 19 de julio, y 81/2012, de 7 de mayo, entre otros muchos).</w:t>
      </w:r>
    </w:p>
    <w:p w:rsidR="006B7292" w:rsidRDefault="006B7292" w:rsidP="006B7292">
      <w:pPr>
        <w:pStyle w:val="TextoNormal"/>
      </w:pPr>
    </w:p>
    <w:p w:rsidR="006B7292" w:rsidRDefault="006B7292" w:rsidP="006B7292">
      <w:pPr>
        <w:pStyle w:val="TextoNormal"/>
      </w:pPr>
      <w:r>
        <w:t>Con relación a los perjuicios de carácter patrimonial o económico hemos señalado que, por más que puedan producir efectos desfavorables a quien demanda amparo, no pueden considerarse, en principio, como causa suficiente para acordar la suspensión de una resolución judicial firme (AATC 93/2002, de 3 de junio; 106/2002, de 17 de junio; 165/2003, de 19 de mayo; 326/2005, de 12 de septiembre, y 386/2008, de 15 de diciembre, por todos). Sólo en el caso de que el recurrente en amparo justificase cumplidamente que el no otorgamiento de la suspensión le ocasionaría un perjuicio irreparable que haría perder al amparo su finalidad, (entre otros, ATC 185/2014, de 8 de julio), y siempre que de dicha medida cautelar no se siga perturbación grave de los intereses generales o de los derechos y libertades fundamentales de un tercero, procedería acordar la suspensión interesada.</w:t>
      </w:r>
    </w:p>
    <w:p w:rsidR="006B7292" w:rsidRDefault="006B7292" w:rsidP="006B7292">
      <w:pPr>
        <w:pStyle w:val="TextoNormal"/>
      </w:pPr>
    </w:p>
    <w:p w:rsidR="006B7292" w:rsidRDefault="006B7292" w:rsidP="006B7292">
      <w:pPr>
        <w:pStyle w:val="TextoNormal"/>
      </w:pPr>
      <w:r w:rsidRPr="006B7292">
        <w:rPr>
          <w:rStyle w:val="NumeroAFNegritaCaracter"/>
        </w:rPr>
        <w:t>3</w:t>
      </w:r>
      <w:r>
        <w:t>. También es doctrina constante del Tribunal que para excepcionar la regla general de la no suspensión es carga del recurrente probar que la ejecución del acto o Sentencia impugnados deba producirle un perjuicio que hiciere perder al amparo su finalidad (por todos AATC 39/2008, de 11 de febrero, FJ 1; 40/2008, de 11 de febrero, FJ 3, y 59/2008, de 20 de febrero, FJ 2). Así respecto de la carga alegatoria y probatoria del incidente en ATC 81/2012, de 7 de mayo, FJ 3, con cita de otros, hemos afirmado: “la acreditación del perjuicio es carga del recurrente, quien debe precisar los concretos perjuicios que de la ejecución se deriven, así como justificar o argumentar razonadamente la irreparabilidad de los mismos (AATC 107/1981, 226/1982, 385/1983, y 193/1984). A la par hemos dicho que, en todo caso, el perjuicio irreparable debe ser real, sin que sea posible alegar un perjuicio futuro o hipotético o un simple temor (AATC 490/1984, 399/1985, y 51/1989, entre otros muchos),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w:t>
      </w:r>
    </w:p>
    <w:p w:rsidR="006B7292" w:rsidRDefault="006B7292" w:rsidP="006B7292">
      <w:pPr>
        <w:pStyle w:val="TextoNormal"/>
      </w:pPr>
    </w:p>
    <w:p w:rsidR="006B7292" w:rsidRDefault="006B7292" w:rsidP="006B7292">
      <w:pPr>
        <w:pStyle w:val="TextoNormal"/>
      </w:pPr>
      <w:r w:rsidRPr="006B7292">
        <w:rPr>
          <w:rStyle w:val="NumeroAFNegritaCaracter"/>
        </w:rPr>
        <w:t>4</w:t>
      </w:r>
      <w:r>
        <w:t>. En el presente caso, del examen de la solicitud de suspensión formulada cabe concluir que no se han acreditado circunstancias excepcionales que lleven a conceder la suspensión pedida. En efecto, como bien indica el Ministerio Fiscal, la suspensión que se solicita tiene un contenido patrimonial, que se circunscribe a la anulación del plan de ordenación municipal de Toledo, con retroacción de actuaciones de tramitación hasta la fase de nueva información pública. Ahora bien, dicho pronunciamiento no comporta como afirma el recurrente “la demolición de todo cuanto se ha construido”, ni tal consecuencia resulta acreditada por el documento núm. 6 al que alude el demandante y que se acompaña con la demanda.</w:t>
      </w:r>
    </w:p>
    <w:p w:rsidR="006B7292" w:rsidRDefault="006B7292" w:rsidP="006B7292">
      <w:pPr>
        <w:pStyle w:val="TextoNormal"/>
      </w:pPr>
    </w:p>
    <w:p w:rsidR="006B7292" w:rsidRDefault="006B7292" w:rsidP="006B7292">
      <w:pPr>
        <w:pStyle w:val="TextoNormal"/>
      </w:pPr>
      <w:r>
        <w:t>Debe insistirse en que el perjuicio irreparable debe ser real, sin que sea posible alegar un perjuicio futuro o hipotético. No basta con afirmaciones genéricas relativas a que la ejecución comportará “una verdadera catástrofe de consecuencias incalculables no solo en pérdidas económicas o patrimoniales, incluyendo demoliciones de lo construido con arreglo al Plan y anulación de infinidad de autorizaciones de usos, sino computables también en el número de puestos de trabajo que puede quedar sacrificados”, sino que se deben precisar los concretos perjuicios que de la ejecución se derivaran. Carga probatoria que la Administración recurrente no aporta, al omitir datos concretos que puedan ser calificados de principio razonable de prueba y que permitan avalar lo manifestado, sino que se limita a efectuar una afirmación genérica e inconcreta carente de la necesaria acreditación. En tal sentido, como indica el Ministerio Fiscal, ni la anulación del plan comporta necesariamente la inminente demolición de todo cuanto se ha construido, ni supone la anulación de infinidad de autorizaciones de usos, determinantes del cese inmediato de actividades y sacrificio de puestos de trabajo.</w:t>
      </w:r>
    </w:p>
    <w:p w:rsidR="006B7292" w:rsidRDefault="006B7292" w:rsidP="006B7292">
      <w:pPr>
        <w:pStyle w:val="TextoNormal"/>
      </w:pPr>
    </w:p>
    <w:p w:rsidR="006B7292" w:rsidRDefault="006B7292" w:rsidP="006B7292">
      <w:pPr>
        <w:pStyle w:val="TextoNormal"/>
      </w:pPr>
      <w:r>
        <w:t>Ahora bien, la ausencia actual de las circunstancias excepcionales que llevan a conceder la suspensión pedida, esto es, la falta de acreditación de un perjuicio irreparable, real y concreto, no es óbice para que en un momento posterior durante el curso del procedimiento de amparo, el recurrente pueda plantear de nuevo ante este Tribunal la procedencia de la suspensión, “en virtud de circunstancias sobrevenidas o que no pudieron ser conocidas al tiempo de sustanciarse el incidente de suspensión” (</w:t>
      </w:r>
      <w:r w:rsidRPr="006B7292">
        <w:rPr>
          <w:i/>
        </w:rPr>
        <w:t>ex</w:t>
      </w:r>
      <w:r>
        <w:t xml:space="preserve"> art. 57 LOTC), que satisfagan el presupuesto exigido.</w:t>
      </w:r>
    </w:p>
    <w:p w:rsidR="006B7292" w:rsidRDefault="006B7292" w:rsidP="006B7292">
      <w:pPr>
        <w:pStyle w:val="TextoNormal"/>
      </w:pPr>
    </w:p>
    <w:p w:rsidR="006B7292" w:rsidRDefault="006B7292" w:rsidP="006B7292">
      <w:pPr>
        <w:pStyle w:val="TextoNormal"/>
      </w:pPr>
      <w:r>
        <w:t>Por todo lo expuesto, la Sala</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Denegar la suspensión solicitada.</w:t>
      </w:r>
    </w:p>
    <w:p w:rsidR="006B7292" w:rsidRDefault="006B7292" w:rsidP="006B7292">
      <w:pPr>
        <w:pStyle w:val="TextoNormal"/>
      </w:pPr>
    </w:p>
    <w:p w:rsidR="006B7292" w:rsidRDefault="006B7292" w:rsidP="006B7292">
      <w:pPr>
        <w:pStyle w:val="TextoNormal"/>
      </w:pPr>
      <w:r>
        <w:t>Madrid, a seis de julio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32" w:name="AUTO_2015_118"/>
      <w:r>
        <w:t>AUTO 118/2015, de 6 de julio de 2015</w:t>
      </w:r>
    </w:p>
    <w:bookmarkEnd w:id="132"/>
    <w:p w:rsidR="006B7292" w:rsidRDefault="006B7292" w:rsidP="006B7292">
      <w:pPr>
        <w:pStyle w:val="TtuloResolucin"/>
      </w:pPr>
      <w:r>
        <w:t>Sala Primera</w:t>
      </w:r>
    </w:p>
    <w:p w:rsidR="006B7292" w:rsidRDefault="006B7292" w:rsidP="006B7292">
      <w:pPr>
        <w:pStyle w:val="TextoNormalCentrado"/>
      </w:pPr>
      <w:r>
        <w:t>ECLI:ES:TC:2015:118A</w:t>
      </w:r>
    </w:p>
    <w:p w:rsidR="006B7292" w:rsidRDefault="006B7292" w:rsidP="006B7292">
      <w:pPr>
        <w:pStyle w:val="TextoNormalCentrado"/>
      </w:pPr>
    </w:p>
    <w:p w:rsidR="006B7292" w:rsidRDefault="006B7292" w:rsidP="006B7292">
      <w:pPr>
        <w:pStyle w:val="SntesisDescriptiva"/>
      </w:pPr>
      <w:r>
        <w:t>Excms. Srs. don Francisco Pérez de los Cobos Orihuel, doña Encarnación Roca Trías, don Santiago Martínez-Vares García y don Juan Antonio Xiol Ríos.</w:t>
      </w:r>
    </w:p>
    <w:p w:rsidR="006B7292" w:rsidRDefault="006B7292" w:rsidP="006B7292">
      <w:pPr>
        <w:pStyle w:val="SntesisDescriptiva"/>
      </w:pPr>
    </w:p>
    <w:p w:rsidR="006B7292" w:rsidRDefault="006B7292" w:rsidP="006B7292">
      <w:pPr>
        <w:pStyle w:val="SntesisDescriptiva"/>
      </w:pPr>
      <w:r>
        <w:t>Acepta una abstención en el recurso de amparo 7835-2014, promovido por don José Luis Mazón Costa en pleito civil.</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registrado en este Tribunal el 29 de diciembre de 2014, el Abogado en ejercicio don José Luis Mazón Costa, en su propio nombre y derecho, interpuso recurso de amparo contra el Auto de la Sala de lo Civil del Tribunal Supremo de 15 de julio de 2014 (dictado en el recurso núm. 1-2014), por el que se acuerda no admitir la demanda de responsabilidad civil formulada por aquel contra los Magistrados integrantes del Pleno del Tribunal Constitucional que dictaron la STC 133/2013, de 5 de junio, así como frente al Auto de la misma Sala de 4 de noviembre de 2014, por el que se desestima el incidente de nulidad de actuaciones promovido por el demandante contra el Auto anterior. Por otrosí, el demandante solicita la abstención de los Magistrados del Tribunal Constitucional que dictaron la STC 133/2013, contra los cuales se dirigía la demanda de responsabilidad civil inadmitida por el Auto de la Sala de lo Civil del Tribunal Supremo que se impugna en el recurso de amparo.</w:t>
      </w:r>
    </w:p>
    <w:p w:rsidR="006B7292" w:rsidRDefault="006B7292" w:rsidP="006B7292">
      <w:pPr>
        <w:pStyle w:val="TextoNormal"/>
      </w:pPr>
    </w:p>
    <w:p w:rsidR="006B7292" w:rsidRDefault="006B7292" w:rsidP="006B7292">
      <w:pPr>
        <w:pStyle w:val="TextoNormal"/>
      </w:pPr>
      <w:r w:rsidRPr="006B7292">
        <w:rPr>
          <w:rStyle w:val="NumeroAFNegritaCaracter"/>
        </w:rPr>
        <w:t>2</w:t>
      </w:r>
      <w:r>
        <w:t>. De la admisibilidad del presente recurso de amparo, registrado con el núm. 7835-2014, le ha correspondido conocer a la Sección Segunda de este Tribunal. De conformidad con el acuerdo de 26 de junio de 2013 del Pleno del Tribunal Constitucional, por el que se dispone la composición de las Salas y Secciones del Tribunal Constitucional (“Boletín Oficial del Estado” núm. 153, de 27 de junio de 2013), a partir de la referida fecha la Sección Segunda, presidida por don Luis Ortega Álvarez, está integrada por don Luis Ortega Álvarez, don Andrés Ollero Tassara y don Santiago Martínez-Vares García (artículo 1.3). Fallecido don Luis Ortega Álvarez el 15 de abril de 2005, la Sección Segunda de este Tribunal queda integrada por los Magistrados don Andrés Ollero Tassara y don Santiago Martínez-Vares García.</w:t>
      </w:r>
    </w:p>
    <w:p w:rsidR="006B7292" w:rsidRDefault="006B7292" w:rsidP="006B7292">
      <w:pPr>
        <w:pStyle w:val="TextoNormal"/>
      </w:pPr>
    </w:p>
    <w:p w:rsidR="006B7292" w:rsidRDefault="006B7292" w:rsidP="006B7292">
      <w:pPr>
        <w:pStyle w:val="TextoNormal"/>
      </w:pPr>
      <w:r w:rsidRPr="006B7292">
        <w:rPr>
          <w:rStyle w:val="NumeroAFNegritaCaracter"/>
        </w:rPr>
        <w:t>3</w:t>
      </w:r>
      <w:r>
        <w:t>. Mediante escrito de 24 de junio de 2015 el Magistrado don Andrés Ollero Tassara comunicó su voluntad de abstenerse en el conocimiento del presente recurso de amparo por entender que concurría la causa 11 del art. 219 de la Ley Orgánica del Poder Judicial (aplicable supletoriamente en la jurisdicción constitucional conforme al art. 80 de la Ley Orgánica del Tribunal Constitucional), por haber sido uno de los Magistrados integrantes del Pleno del Tribunal Constitucional que dictó la STC 133/2013, de 5 de junio, resolución que se halla en el origen de los Autos de la Sala de lo Civil del Tribunal Supremo impugnados en este recurso de amparo.</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Único. Vista la comunicación efectuada por don Andrés Ollero Tassara, en virtud de lo previsto en los arts. 80 de la Ley Orgánica del Tribunal Constitucional y 221.4 de la Ley Orgánica del Poder Judicial, se estima justificada la causa de abstención formulada, puesto que el mencionado Magistrado, en atención a haber formado parte del Pleno del Tribunal Constitucional que dictó la STC 133/2013, de 5 de junio, de la que traen causa los Autos de la Sala de lo Civil del Tribunal Supremo impugnados en el presente recurso de amparo, está incurso en la causa 11 del art. 219 de la Ley Orgánica del Poder Judicial.</w:t>
      </w:r>
    </w:p>
    <w:p w:rsidR="006B7292" w:rsidRDefault="006B7292" w:rsidP="006B7292">
      <w:pPr>
        <w:pStyle w:val="TextoNormal"/>
      </w:pPr>
    </w:p>
    <w:p w:rsidR="006B7292" w:rsidRDefault="006B7292" w:rsidP="006B7292">
      <w:pPr>
        <w:pStyle w:val="TextoNormal"/>
      </w:pPr>
      <w:r>
        <w:t>Por todo lo expuesto, la Sala</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Estimar justificada la abstención formulada por el Magistrado don Andrés Ollero Tassara en el recurso de amparo núm. 7835-2014 y apartarle definitivamente del conocimiento del referido recurso y de todas sus incidencias.</w:t>
      </w:r>
    </w:p>
    <w:p w:rsidR="006B7292" w:rsidRDefault="006B7292" w:rsidP="006B7292">
      <w:pPr>
        <w:pStyle w:val="TextoNormal"/>
      </w:pPr>
    </w:p>
    <w:p w:rsidR="006B7292" w:rsidRDefault="006B7292" w:rsidP="006B7292">
      <w:pPr>
        <w:pStyle w:val="TextoNormal"/>
      </w:pPr>
      <w:r>
        <w:t>Madrid, a seis de julio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33" w:name="AUTO_2015_119"/>
      <w:r>
        <w:t>AUTO 119/2015, de 6 de julio de 2015</w:t>
      </w:r>
    </w:p>
    <w:bookmarkEnd w:id="133"/>
    <w:p w:rsidR="006B7292" w:rsidRDefault="006B7292" w:rsidP="006B7292">
      <w:pPr>
        <w:pStyle w:val="TtuloResolucin"/>
      </w:pPr>
      <w:r>
        <w:t>Sala Segunda</w:t>
      </w:r>
    </w:p>
    <w:p w:rsidR="006B7292" w:rsidRDefault="006B7292" w:rsidP="006B7292">
      <w:pPr>
        <w:pStyle w:val="TextoNormalCentrado"/>
      </w:pPr>
      <w:r>
        <w:t>ECLI:ES:TC:2015:119A</w:t>
      </w:r>
    </w:p>
    <w:p w:rsidR="006B7292" w:rsidRDefault="006B7292" w:rsidP="006B7292">
      <w:pPr>
        <w:pStyle w:val="TextoNormalCentrado"/>
      </w:pPr>
    </w:p>
    <w:p w:rsidR="006B7292" w:rsidRDefault="006B7292" w:rsidP="006B7292">
      <w:pPr>
        <w:pStyle w:val="SntesisDescriptiva"/>
      </w:pPr>
      <w:r>
        <w:t>Excms. Srs. doña Adela Asua Batarrita, don Fernando Valdés Dal-Ré, don Juan José González Rivas,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Mantiene la suspensión acordada por providencia en el recurso de amparo 2937-2015, promovido por doña Desiré Vicente Díaz en causa penal.</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presentado en el Registro General de este Tribunal el 22 de mayo de 2015, doña Desiré Vicente Díaz, representada por la Procuradora de los Tribunales doña Celia Fernández Redondo y asistida por el Letrado don Juan Ramón Montero Estévez, interpuso recurso de amparo contra el Auto de 31 de marzo de 2015 dictado por la Sección Vigesimosegunda de la Audiencia Provincial de Madrid, en recurso de apelación 960-2014 que, revocando el Auto de 15 de abril de 2014, dictado por el Juzgado de Violencia sobre la mujer núm. 11 de Madrid al acordar la guarda y custodia de la menor a favor de la madre, ordenaba la restitución de la menor a Suiza, bajo la custodia del padre, así como contra la providencia de fecha 21 de mayo siguiente, que acordó la inadmisión del incidente de nulidad de actuaciones. En la demanda de amparo solicita que se dicte sentencia declarando que se han vulnerado los derechos de la recurrente a la tutela judicial efectiva y a un proceso con todas las garantías, y que se anulen las resoluciones judiciales impugnadas.</w:t>
      </w:r>
    </w:p>
    <w:p w:rsidR="006B7292" w:rsidRDefault="006B7292" w:rsidP="006B7292">
      <w:pPr>
        <w:pStyle w:val="TextoNormal"/>
      </w:pPr>
    </w:p>
    <w:p w:rsidR="006B7292" w:rsidRDefault="006B7292" w:rsidP="006B7292">
      <w:pPr>
        <w:pStyle w:val="TextoNormal"/>
      </w:pPr>
      <w:r w:rsidRPr="006B7292">
        <w:rPr>
          <w:rStyle w:val="NumeroAFNegritaCaracter"/>
        </w:rPr>
        <w:t>2</w:t>
      </w:r>
      <w:r>
        <w:t>. Por otrosí en el escrito de demanda, y de conformidad a lo dispuesto en el art. 56 de la Ley Orgánica del Tribunal Constitucional (LOTC), la recurrente solicitó la suspensión urgente de la resolución impugnada. Alegaba que debía suspenderse la ejecución inmediata de la entrega de la menor por cuanto que el recurso perdería su finalidad legítima y los perjuicios serían absolutamente irreparables.</w:t>
      </w:r>
    </w:p>
    <w:p w:rsidR="006B7292" w:rsidRDefault="006B7292" w:rsidP="006B7292">
      <w:pPr>
        <w:pStyle w:val="TextoNormal"/>
      </w:pPr>
    </w:p>
    <w:p w:rsidR="006B7292" w:rsidRDefault="006B7292" w:rsidP="006B7292">
      <w:pPr>
        <w:pStyle w:val="TextoNormal"/>
      </w:pPr>
      <w:r w:rsidRPr="006B7292">
        <w:rPr>
          <w:rStyle w:val="NumeroAFNegritaCaracter"/>
        </w:rPr>
        <w:t>3</w:t>
      </w:r>
      <w:r>
        <w:t>. La Sección Tercera de la Sala Segunda de este Tribunal, acordó la admisión a trámite de la demanda de amparo por providencia de fecha 25 de mayo de 2015, así como la suspensión cautelar de las resoluciones impugnadas al apreciar la urgencia excepcional a que se refiere el art. 56.6 LOTC, toda vez que dicha ejecución produciría un perjuicio de imposible o muy difícil reparación que haría perder su finalidad al amparo. Asimismo, acordó formar la correspondiente pieza separada de suspensión.</w:t>
      </w:r>
    </w:p>
    <w:p w:rsidR="006B7292" w:rsidRDefault="006B7292" w:rsidP="006B7292">
      <w:pPr>
        <w:pStyle w:val="TextoNormal"/>
      </w:pPr>
    </w:p>
    <w:p w:rsidR="006B7292" w:rsidRDefault="006B7292" w:rsidP="006B7292">
      <w:pPr>
        <w:pStyle w:val="TextoNormal"/>
      </w:pPr>
      <w:r w:rsidRPr="006B7292">
        <w:rPr>
          <w:rStyle w:val="NumeroAFNegritaCaracter"/>
        </w:rPr>
        <w:t>4</w:t>
      </w:r>
      <w:r>
        <w:t>. El Fiscal presentó escrito de alegaciones en fecha 10 de junio de 2015 en el que interesa la suspensión de la resolución recurrida en la demanda de amparo, alegando en síntesis que estando en discusión en la instancia judicial cuál sea el lugar en que debe residir la menor, sobre la que ambos progenitores tienen reconocida su custodia por los Tribunales de los países de los que son nacionales respectivamente y, encontrándose la menor en España desde el año 2013, donde fue traída por la madre sin oposición del padre para realizar el viaje, es patente que si se ejecuta la resolución resultaría imposible o extraordinariamente complejo lograr el retorno de la menor si se estimase el recurso, conclusión que es coincidente desde la perspectiva de los intereses de la menor.</w:t>
      </w:r>
    </w:p>
    <w:p w:rsidR="006B7292" w:rsidRDefault="006B7292" w:rsidP="006B7292">
      <w:pPr>
        <w:pStyle w:val="TextoNormal"/>
      </w:pPr>
    </w:p>
    <w:p w:rsidR="006B7292" w:rsidRDefault="006B7292" w:rsidP="006B7292">
      <w:pPr>
        <w:pStyle w:val="TextoNormal"/>
      </w:pPr>
      <w:r w:rsidRPr="006B7292">
        <w:rPr>
          <w:rStyle w:val="NumeroAFNegritaCaracter"/>
        </w:rPr>
        <w:t>5</w:t>
      </w:r>
      <w:r>
        <w:t>. La parte recurrente en amparo no presentó alegaciones en la pieza de suspensión.</w:t>
      </w:r>
    </w:p>
    <w:p w:rsidR="006B7292" w:rsidRDefault="006B7292" w:rsidP="006B7292">
      <w:pPr>
        <w:pStyle w:val="TextoNormal"/>
      </w:pPr>
    </w:p>
    <w:p w:rsidR="006B7292" w:rsidRDefault="006B7292" w:rsidP="006B7292">
      <w:pPr>
        <w:pStyle w:val="TextoNormal"/>
      </w:pPr>
      <w:r w:rsidRPr="006B7292">
        <w:rPr>
          <w:rStyle w:val="NumeroAFNegritaCaracter"/>
        </w:rPr>
        <w:t>6</w:t>
      </w:r>
      <w:r>
        <w:t>. Por diligencia de ordenación de fecha 11 de junio de 2015 se tuvo por personada a la Procuradora doña Margarita López Jiménez, en nombre y representación de don Philippe Kitsos, concediéndose el plazo de tres días para que alegara lo pertinente sobre la suspensión.</w:t>
      </w:r>
    </w:p>
    <w:p w:rsidR="006B7292" w:rsidRDefault="006B7292" w:rsidP="006B7292">
      <w:pPr>
        <w:pStyle w:val="TextoNormal"/>
      </w:pPr>
    </w:p>
    <w:p w:rsidR="006B7292" w:rsidRDefault="006B7292" w:rsidP="006B7292">
      <w:pPr>
        <w:pStyle w:val="TextoNormal"/>
      </w:pPr>
      <w:r w:rsidRPr="006B7292">
        <w:rPr>
          <w:rStyle w:val="NumeroAFNegritaCaracter"/>
        </w:rPr>
        <w:t>7</w:t>
      </w:r>
      <w:r>
        <w:t>. En fecha 19 de junio de 2015, la representación de don Philippe Kitsos formuló escrito de alegaciones en el que se oponía a la suspensión, alegando en síntesis que no existe perjuicio para la menor por su traslado a Suiza y que, por el contrario, sí resultan afectados sus intereses de permanecer en España al verse privada de la relación con su padre. Aduce asimismo que la madre está incumpliendo la legalidad, a la vez que el demandado está amparado por el Convenio de La Haya de 25 de octubre de 1980 sobre aspectos civiles de la sustracción internacional de menores.</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xml:space="preserve">. El art. 56.6 de la Ley Orgánica del Tribunal Constitucional (LOTC) atribuye a las Salas y Secciones de este Tribunal la facultad de adoptar, en la propia resolución de admisión a trámite de los recursos de amparo, medidas cautelares </w:t>
      </w:r>
      <w:r w:rsidRPr="006B7292">
        <w:rPr>
          <w:i/>
        </w:rPr>
        <w:t>inaudita parte</w:t>
      </w:r>
      <w:r>
        <w:t>, en supuestos de urgencia excepcional. En el ejercicio de tal facultad, mediante la providencia de 25 de mayo de 2015 se acordó suspender la ejecución de las resoluciones impugnadas al apreciar una urgencia excepcional por ser inminente el traslado de la menor a Suiza y apreciar que la materialización del mismo produciría un perjuicio de imposible o muy difícil reparación que podría hacer perder al amparo su finalidad.</w:t>
      </w:r>
    </w:p>
    <w:p w:rsidR="006B7292" w:rsidRDefault="006B7292" w:rsidP="006B7292">
      <w:pPr>
        <w:pStyle w:val="TextoNormal"/>
      </w:pPr>
    </w:p>
    <w:p w:rsidR="006B7292" w:rsidRDefault="006B7292" w:rsidP="006B7292">
      <w:pPr>
        <w:pStyle w:val="TextoNormal"/>
      </w:pPr>
      <w:r w:rsidRPr="006B7292">
        <w:rPr>
          <w:rStyle w:val="NumeroAFNegritaCaracter"/>
        </w:rPr>
        <w:t>2</w:t>
      </w:r>
      <w:r>
        <w:t>. Este Tribunal ha reiterado que la concurrencia de una urgencia excepcional que autoriza a este Tribunal a adoptar medidas cautelares sin oír a las partes y a hacerlo con una motivación sucinta —al acordarse en la propia providencia de admisión a trámite del recurso de amparo— obliga a dictar una nueva resolución motivada en la que, tras oír a las partes, se expresen las razones que lleven al Tribunal a mantener, modificar o levantar la medida inicialmente acordada ( AATC 213/2009, de 9 de julio, FJ 2; y 174/2013, de 9 de septiembre, FJ 2; entre otros).</w:t>
      </w:r>
    </w:p>
    <w:p w:rsidR="006B7292" w:rsidRDefault="006B7292" w:rsidP="006B7292">
      <w:pPr>
        <w:pStyle w:val="TextoNormal"/>
      </w:pPr>
    </w:p>
    <w:p w:rsidR="006B7292" w:rsidRDefault="006B7292" w:rsidP="006B7292">
      <w:pPr>
        <w:pStyle w:val="TextoNormal"/>
      </w:pPr>
      <w:r>
        <w:t>Habiéndose oído ya a las partes, con el resultado que consta en los antecedentes de esta resolución, debemos recordar que la facultad de este Tribunal Constitucional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6B7292" w:rsidRDefault="006B7292" w:rsidP="006B7292">
      <w:pPr>
        <w:pStyle w:val="TextoNormal"/>
      </w:pPr>
    </w:p>
    <w:p w:rsidR="006B7292" w:rsidRDefault="006B7292" w:rsidP="006B7292">
      <w:pPr>
        <w:pStyle w:val="TextoNormal"/>
      </w:pPr>
      <w:r>
        <w:t>En la interpretación del art. 56.2 LOTC, este Tribunal ha venido entendiendo que la suspensión se configura como una medida provisional de carácter excepcional y de aplicación restrictiva, dado el interés general en la efectividad de las decisiones de los poderes públicos, lo cual significa que se ha de apreciar la pérdida de la finalidad del recurso de amparo para que aquélla deba adoptarse necesariamente. El mismo art. 56.2 LOTC remite a un juicio motivado de ponderación en el que hay que confrontar, de un lado, el perjuicio que se causa al recurrente como consecuencia de la eficacia de la resolución recurrida y, de otro, el perjuicio que causa al interés público o a terceros la suspensión de la ejecución de aquélla (por todos, ATC 27/2015, de 16 de febrero, FJ 2).</w:t>
      </w:r>
    </w:p>
    <w:p w:rsidR="006B7292" w:rsidRDefault="006B7292" w:rsidP="006B7292">
      <w:pPr>
        <w:pStyle w:val="TextoNormal"/>
      </w:pPr>
    </w:p>
    <w:p w:rsidR="006B7292" w:rsidRDefault="006B7292" w:rsidP="006B7292">
      <w:pPr>
        <w:pStyle w:val="TextoNormal"/>
      </w:pPr>
      <w:r w:rsidRPr="006B7292">
        <w:rPr>
          <w:rStyle w:val="NumeroAFNegritaCaracter"/>
        </w:rPr>
        <w:t>3</w:t>
      </w:r>
      <w:r>
        <w:t>. En el presente caso debemos tener en cuenta que resultan afectados los intereses de una menor, que se encuentra en España desde el año 2013 donde fue traída por su madre sin oposición del padre para realizar el viaje de vacaciones en España, y sobre cuya custodia existe un conflicto entre los progenitores, que es la controversia sobre la que versa la cuestión de fondo del presente recurso.</w:t>
      </w:r>
    </w:p>
    <w:p w:rsidR="006B7292" w:rsidRDefault="006B7292" w:rsidP="006B7292">
      <w:pPr>
        <w:pStyle w:val="TextoNormal"/>
      </w:pPr>
    </w:p>
    <w:p w:rsidR="006B7292" w:rsidRDefault="006B7292" w:rsidP="006B7292">
      <w:pPr>
        <w:pStyle w:val="TextoNormal"/>
      </w:pPr>
      <w:r>
        <w:t>En esta sede cautelar, y al estar en juego el interés de la menor, para decidir acerca del otorgamiento o denegación de la suspensión instada debe realizarse una ponderación extremadamente cuidadosa y subordinada en todo caso a la protección jurídica de la persona y de los derechos de personalidad de la menor afectada (AATC 108/2005, de 14 de marzo, FJ 1; y 83/2014, de 24 de marzo, FJ 2, entre otros).</w:t>
      </w:r>
    </w:p>
    <w:p w:rsidR="006B7292" w:rsidRDefault="006B7292" w:rsidP="006B7292">
      <w:pPr>
        <w:pStyle w:val="TextoNormal"/>
      </w:pPr>
    </w:p>
    <w:p w:rsidR="006B7292" w:rsidRDefault="006B7292" w:rsidP="006B7292">
      <w:pPr>
        <w:pStyle w:val="TextoNormal"/>
      </w:pPr>
      <w:r>
        <w:t>Sobre este punto, entiende el Tribunal que debe mantenerse la suspensión acordada para procurar, en su caso, una más adecuada efectividad de la Sentencia que resuelva el fondo del asunto, al tiempo que se preserva la estabilidad emocional de la menor, que se encuentra residiendo en España desde el año 2013.</w:t>
      </w:r>
    </w:p>
    <w:p w:rsidR="006B7292" w:rsidRDefault="006B7292" w:rsidP="006B7292">
      <w:pPr>
        <w:pStyle w:val="TextoNormal"/>
      </w:pPr>
    </w:p>
    <w:p w:rsidR="006B7292" w:rsidRDefault="006B7292" w:rsidP="006B7292">
      <w:pPr>
        <w:pStyle w:val="TextoNormal"/>
      </w:pPr>
      <w:r>
        <w:t xml:space="preserve">En consecuencia, y sin prejuzgar la resolución de fondo, en este momento procesal se aprecia un </w:t>
      </w:r>
      <w:r w:rsidRPr="006B7292">
        <w:rPr>
          <w:i/>
        </w:rPr>
        <w:t>periculum</w:t>
      </w:r>
      <w:r>
        <w:t xml:space="preserve"> que conduce a mantener la suspensión acordada hasta la resolución de este recurso, en coherencia con lo manifestado por el Ministerio Fiscal.</w:t>
      </w:r>
    </w:p>
    <w:p w:rsidR="006B7292" w:rsidRDefault="006B7292" w:rsidP="006B7292">
      <w:pPr>
        <w:pStyle w:val="TextoNormal"/>
      </w:pPr>
    </w:p>
    <w:p w:rsidR="006B7292" w:rsidRDefault="006B7292" w:rsidP="006B7292">
      <w:pPr>
        <w:pStyle w:val="TextoNormal"/>
      </w:pPr>
      <w:r>
        <w:t>Por todo lo expuesto, la Sala</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Mantener la medida cautelar de suspensión acordada en la presente pieza por la providencia de 25 de mayo de 2015.</w:t>
      </w:r>
    </w:p>
    <w:p w:rsidR="006B7292" w:rsidRDefault="006B7292" w:rsidP="006B7292">
      <w:pPr>
        <w:pStyle w:val="TextoNormal"/>
      </w:pPr>
    </w:p>
    <w:p w:rsidR="006B7292" w:rsidRDefault="006B7292" w:rsidP="006B7292">
      <w:pPr>
        <w:pStyle w:val="TextoNormal"/>
      </w:pPr>
      <w:r>
        <w:t>Madrid, a seis de julio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34" w:name="AUTO_2015_120"/>
      <w:r>
        <w:t>AUTO 120/2015, de 7 de julio de 2015</w:t>
      </w:r>
    </w:p>
    <w:bookmarkEnd w:id="134"/>
    <w:p w:rsidR="006B7292" w:rsidRDefault="006B7292" w:rsidP="006B7292">
      <w:pPr>
        <w:pStyle w:val="TtuloResolucin"/>
      </w:pPr>
      <w:r>
        <w:t>Pleno</w:t>
      </w:r>
    </w:p>
    <w:p w:rsidR="006B7292" w:rsidRDefault="006B7292" w:rsidP="006B7292">
      <w:pPr>
        <w:pStyle w:val="TextoNormalCentrado"/>
      </w:pPr>
      <w:r>
        <w:t>ECLI:ES:TC:2015:120A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Acuerda no haber lugar al incidente de ejecución promovido por la Abogacía del Estado en relación con la STC 150/2012, de 5 de julio de 2012, dictada en el recurso de inconstitucionalidad 5985-2010.</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xml:space="preserve">. Mediante escrito registrado en este Tribunal el 31 de marzo de 2015, el Abogado del Estado, en la representación que le es propia, formula incidente de ejecución </w:t>
      </w:r>
      <w:r w:rsidRPr="006B7292">
        <w:rPr>
          <w:i/>
        </w:rPr>
        <w:t>ex</w:t>
      </w:r>
      <w:r>
        <w:t xml:space="preserve"> arts. 4 y 92 de la Ley Orgánica del Tribunal Constitucional (LOTC) de la STC 150/2012, de 5 de julio, instando que el Tribunal “ordene que la Generalidad de Cataluña realice las actuaciones relativas al control financiero y verificación de expedientes (citados en el cuerpo de este escrito —antecedente de hecho undécimo— y que se aportan como documento adjunto), para su liquidación y pago, control de aplicación de los fondos, procedimientos de comprobación, determinación del posible reintegro y su ejecución así como revisión de las decisiones administrativas adoptadas, todas ellas englobadas en las obligaciones de control o comprobación de la correcta aplicación de la totalidad de los Fondos Estatales para el Empleo Local y la Sostenibilidad Local regulados en el Real Decreto-ley 13/2009”.</w:t>
      </w:r>
    </w:p>
    <w:p w:rsidR="006B7292" w:rsidRDefault="006B7292" w:rsidP="006B7292">
      <w:pPr>
        <w:pStyle w:val="TextoNormal"/>
      </w:pPr>
    </w:p>
    <w:p w:rsidR="006B7292" w:rsidRDefault="006B7292" w:rsidP="006B7292">
      <w:pPr>
        <w:pStyle w:val="TextoNormal"/>
      </w:pPr>
      <w:r w:rsidRPr="006B7292">
        <w:rPr>
          <w:rStyle w:val="NumeroAFNegritaCaracter"/>
        </w:rPr>
        <w:t>2</w:t>
      </w:r>
      <w:r>
        <w:t>. Los hechos relevantes son, de un modo extractado, los siguientes:</w:t>
      </w:r>
    </w:p>
    <w:p w:rsidR="006B7292" w:rsidRDefault="006B7292" w:rsidP="006B7292">
      <w:pPr>
        <w:pStyle w:val="TextoNormal"/>
      </w:pPr>
    </w:p>
    <w:p w:rsidR="006B7292" w:rsidRDefault="006B7292" w:rsidP="006B7292">
      <w:pPr>
        <w:pStyle w:val="TextoNormal"/>
      </w:pPr>
      <w:r>
        <w:t>a) La Generalitat de Cataluña interpuso recurso de inconstitucionalidad, registrado con el número 5985-2010, contra el Real Decreto-ley 13/2009, de 26 de octubre, por el que se crea el Fondo estatal para el empleo y la sostenibilidad local. La STC 150/2012, de 5 de julio, dictó el siguiente fallo: “declarar inconstitucionales por vulnerar competencias de la Comunidad Autónoma recurrente los artículos 1.2, 2.4, 4, 5.1 y 2, 6.1,2 y 3, 8, 10.7, 12.1 y 2, 13, 14, 15.3 y 4, 16.2 y 5, 19.3, 20 y 21.5; las disposiciones adicionales segunda, cuarta, séptima, octava y décima y las disposiciones finales segunda y tercera del Real Decreto-ley 13/2009, de 26 de octubre, por el que se crea el fondo estatal para el empleo y la sostenibilidad local, en los términos establecidos en el fundamento jurídico 16 y con los efectos que se indican en el fundamento jurídico 17 de esta Sentencia”.</w:t>
      </w:r>
    </w:p>
    <w:p w:rsidR="006B7292" w:rsidRDefault="006B7292" w:rsidP="006B7292">
      <w:pPr>
        <w:pStyle w:val="TextoNormal"/>
      </w:pPr>
    </w:p>
    <w:p w:rsidR="006B7292" w:rsidRDefault="006B7292" w:rsidP="006B7292">
      <w:pPr>
        <w:pStyle w:val="TextoNormal"/>
      </w:pPr>
      <w:r>
        <w:t xml:space="preserve">Sobre la </w:t>
      </w:r>
      <w:r w:rsidRPr="006B7292">
        <w:rPr>
          <w:i/>
        </w:rPr>
        <w:t>ratio decidendi</w:t>
      </w:r>
      <w:r>
        <w:t xml:space="preserve"> de la STC 150/2012, se lee en su fundamento jurídico 15 que “en conclusión, la disposición impugnada no se limita a prever el establecimiento de las ayudas, las clases de estas ayudas, su cuantía máxima, el objeto o finalidad de las mismas, los requisitos de las entidades locales solicitantes y los criterios esenciales para la concesión, sino que además prevé que el Estado asuma las funciones ejecutivas y la gestión centralizada de las mismas, lo que no resulta acorde al orden constitucional de distribución de competencias en relación a la facultad de gasto del Estado en materia de subvenciones y que ha sido claramente delimitado por una consolidada jurisprudencia constitucional, cuyas líneas esenciales —fijadas en la STC 13/1992, de 6 de febrero— han sido recordadas por este Tribunal en su STC 89/2012, de 7 de mayo”. En cuanto a los efectos de la declaración de inconstitucionalidad, el fundamento jurídico 17 afirma que “es imprescindible, antes de pronunciar el fallo, precisar el alcance concreto que debe atribuirse a la declaración de inconstitucionalidad del Real Decreto-ley 1312009 contenida en el fundamento jurídico anterior. Su anulación podría suponer graves perjuicios y perturbaciones, también en Cataluña, a los intereses generales afectando a situaciones jurídicas consolidadas, y particularmente a la política económica y financiera de los Ayuntamientos. Por otra parte, las subvenciones se refieren a un ejercicio económico ya cerrado y han agotado sus efectos. En consecuencia, nuestro pronunciamiento, que debe incluir la estimación parcial del recurso de inconstitucionalidad, ha de realizarse con respeto, en todo caso, de las ayudas que ya hayan sido concedidas”.</w:t>
      </w:r>
    </w:p>
    <w:p w:rsidR="006B7292" w:rsidRDefault="006B7292" w:rsidP="006B7292">
      <w:pPr>
        <w:pStyle w:val="TextoNormal"/>
      </w:pPr>
    </w:p>
    <w:p w:rsidR="006B7292" w:rsidRDefault="006B7292" w:rsidP="006B7292">
      <w:pPr>
        <w:pStyle w:val="TextoNormal"/>
      </w:pPr>
      <w:r>
        <w:t>b) En Cataluña se tramitaron al amparo del Real Decreto-ley 13/2009 un total de 4.020 expedientes, que representan un total de 795.996.159,10 €. En todos ellos se había acabado la fase de gestión cuando se dictó la STC 150/2012, salvo en 55, que se aportan como documento núm. 9 de los que acompañan al escrito de promoción de este incidente y que totalizan un importe de 2.214.619.22 de euros. En estos 55 expedientes la parte de la gestión que restaba consistía en comprobar la justificación documental de la realización del proyecto y en abonar el 15 por 100 restante de la subvención. Por otro lado, restaba también por realizar el posterior control financiero sobre el total de los 4.020 expedientes tramitados en el territorio de la Comunidad Autónoma.</w:t>
      </w:r>
    </w:p>
    <w:p w:rsidR="006B7292" w:rsidRDefault="006B7292" w:rsidP="006B7292">
      <w:pPr>
        <w:pStyle w:val="TextoNormal"/>
      </w:pPr>
    </w:p>
    <w:p w:rsidR="006B7292" w:rsidRDefault="006B7292" w:rsidP="006B7292">
      <w:pPr>
        <w:pStyle w:val="TextoNormal"/>
      </w:pPr>
      <w:r>
        <w:t>c) La Administración del Estado, entendiendo que a partir de la STC 150/2012 es incompetente para cualquiera de las actuaciones de gestión y fiscalización de dichos expedientes que estuvieran pendientes, se dirigió, el 8 de enero de 2013, a todas las Comunidades Autónomas, incluida la Comunidad Autónoma de Cataluña, informándoles del procedimiento para la ejecución de las ayudas, de los expedientes pendientes de tramitar en su ámbito correspondiente, así como de la cantidad a transferir para hacer frente a sus obligaciones, para lo cual se solicitan los datos de la cuenta corriente para realizar la transferencia.</w:t>
      </w:r>
    </w:p>
    <w:p w:rsidR="006B7292" w:rsidRDefault="006B7292" w:rsidP="006B7292">
      <w:pPr>
        <w:pStyle w:val="TextoNormal"/>
      </w:pPr>
    </w:p>
    <w:p w:rsidR="006B7292" w:rsidRDefault="006B7292" w:rsidP="006B7292">
      <w:pPr>
        <w:pStyle w:val="TextoNormal"/>
      </w:pPr>
      <w:r>
        <w:t>Mediante escrito del Director General de Administración Local del Departamento de Gobernación y Relaciones Institucionales de la Generalitat de Cataluña de 15 de abril de 2013, se comunicó a la Administración del Estado la información solicitada en relación al NIF, código IBAN, número de cuenta bancaria y correo electrónico del responsable de la gestión de los fondos (documento núm. 2 de los aportados con el escrito que promueve este incidente). Seis meses más tarde, en fecha de 24 de octubre de 2013, la Generalitat de Cataluña envía a la Administración del Estadio nuevo escrito comunicando que, dada la poca entidad de los expedientes que restan por culminar y de acuerdo con el principio de eficiencia, deberían concluir los procedimientos los órganos estatales (documento núm. 3 de los aportados con el escrito que promueve este incidente).</w:t>
      </w:r>
    </w:p>
    <w:p w:rsidR="006B7292" w:rsidRDefault="006B7292" w:rsidP="006B7292">
      <w:pPr>
        <w:pStyle w:val="TextoNormal"/>
      </w:pPr>
    </w:p>
    <w:p w:rsidR="006B7292" w:rsidRDefault="006B7292" w:rsidP="006B7292">
      <w:pPr>
        <w:pStyle w:val="TextoNormal"/>
      </w:pPr>
      <w:r>
        <w:t>d) Ante su negativa a asumir la gestión de los expedientes, el Consejo de Ministros adoptó un acuerdo de fecha 28 de febrero de 2014, en virtud del cual formula requerimiento al Gobierno de la Generalitat de Cataluña, previo al planteamiento de un conflicto negativo de competencias, en relación con la gestión del Fondo estatal para el empleo y la sostenibilidad local. El 5 de mayo de 2014, ante lo infructuoso de ese requerimiento, se formaliza frente a la Generalitat de Cataluña conflicto negativo de competencias que se tramitó ante este Tribunal con núm. 2771-2014, conflicto inadmitido por ATC 252/2014, de 21 de octubre, en cuyo fundamento jurídico 2 se razona:</w:t>
      </w:r>
    </w:p>
    <w:p w:rsidR="006B7292" w:rsidRDefault="006B7292" w:rsidP="006B7292">
      <w:pPr>
        <w:pStyle w:val="TextoNormal"/>
      </w:pPr>
    </w:p>
    <w:p w:rsidR="006B7292" w:rsidRDefault="006B7292" w:rsidP="006B7292">
      <w:pPr>
        <w:pStyle w:val="TextoNormal"/>
      </w:pPr>
      <w:r>
        <w:t>“La discrepancia no versa, en consecuencia, sobre la interpretación de las normas del bloque de la constitucionalidad atributivas de competencias. Sobre ello ya se pronunció, a instancias de la propia Generalitat de Catalunya, la STC 150/2012, que estimó parcialmente el recurso de inconstitucionalidad interpuesto contra el Real Decreto-ley 13/2009, de 26 de octubre, por vulneración de las competencias de la Comunidad Autónoma recurrente. La controversia atañe, exclusivamente, a los expedientes administrativos que deben ser transferidos a la Comunidad Autónoma una vez declarada la inconstitucionalidad, lo que depende de la interpretación que se realice del contenido del fallo de la Sentencia, que declara la inconstitucionalidad de varios de los preceptos del Real Decreto-ley impugnado pero no su nulidad, y se remite, en cuanto a sus efectos, a lo establecido en el fundamento jurídico 17, que explica la razón de que no se declare la nulidad de los preceptos declarados inconstitucionales y se mantengan los actos dictados en ejecución de estos: ‘podría suponer graves perjuicios y perturbaciones, también en Cataluña a los intereses generales, afectando a situaciones jurídicas consolidadas, y particularmente a la política económica y financiera de los Ayuntamientos’, teniendo en cuenta que las subvenciones ‘se refieren a un ejercicio económico cerrado y han agotado sus efectos’ (STC 150/2012, FJ 17).</w:t>
      </w:r>
    </w:p>
    <w:p w:rsidR="006B7292" w:rsidRDefault="006B7292" w:rsidP="006B7292">
      <w:pPr>
        <w:pStyle w:val="TextoNormal"/>
      </w:pPr>
    </w:p>
    <w:p w:rsidR="006B7292" w:rsidRDefault="006B7292" w:rsidP="006B7292">
      <w:pPr>
        <w:pStyle w:val="TextoNormal"/>
      </w:pPr>
      <w:r>
        <w:t>En cuanto el conflicto negativo de competencias no tiene por objeto interpretar el alcance de las Sentencias de este Tribunal sino la distribución competencial entre el Estado y las Comunidades Autónomas a partir de las normas del bloque de constitucionalidad, el presente conflicto debe ser inadmitido.”</w:t>
      </w:r>
    </w:p>
    <w:p w:rsidR="006B7292" w:rsidRDefault="006B7292" w:rsidP="006B7292">
      <w:pPr>
        <w:pStyle w:val="TextoNormal"/>
      </w:pPr>
    </w:p>
    <w:p w:rsidR="006B7292" w:rsidRDefault="006B7292" w:rsidP="006B7292">
      <w:pPr>
        <w:pStyle w:val="TextoNormal"/>
      </w:pPr>
      <w:r>
        <w:t>e) Mediante escrito registrado en este Tribunal con fecha 31 de marzo de 2015, el Abogado del Estado formula, al amparo de lo previsto en los arts. 4 y 92 de la Ley Orgánica del Tribunal Constitucional (LOTC), incidente de ejecución de la STC 150/2012, de 5 de julio.</w:t>
      </w:r>
    </w:p>
    <w:p w:rsidR="006B7292" w:rsidRDefault="006B7292" w:rsidP="006B7292">
      <w:pPr>
        <w:pStyle w:val="TextoNormal"/>
      </w:pPr>
    </w:p>
    <w:p w:rsidR="006B7292" w:rsidRDefault="006B7292" w:rsidP="006B7292">
      <w:pPr>
        <w:pStyle w:val="TextoNormal"/>
      </w:pPr>
      <w:r w:rsidRPr="006B7292">
        <w:rPr>
          <w:rStyle w:val="NumeroAFNegritaCaracter"/>
        </w:rPr>
        <w:t>3</w:t>
      </w:r>
      <w:r>
        <w:t>. El escrito por el que se promueve este incidente, después de relatar los antecedentes de hecho, transcribe los arts. 92 y 4 LOTC, así como extractos de cómo han sido interpretados por los AATC 107/2009, de 24 de marzo, y 177/2012, de 2 de octubre. A continuación expone que “se plantea como incidente de ejecución, ya que, habiéndose declarado la titularidad de la competencia mediante sentencia, la negativa de la Generalidad a la tramitación de los expedientes impide su adecuada ejecución. Además, la negativa de la Generalidad de Cataluña, y la incompetencia de la Administración General del Estado para la gestión de los expedientes pone en peligro, como ha afirmado el Tribunal de Cuentas en el informe citado en el antecedente de hecho sexto, el interés público en la gestión correcta de los fondos públicos”.</w:t>
      </w:r>
    </w:p>
    <w:p w:rsidR="006B7292" w:rsidRDefault="006B7292" w:rsidP="006B7292">
      <w:pPr>
        <w:pStyle w:val="TextoNormal"/>
      </w:pPr>
    </w:p>
    <w:p w:rsidR="006B7292" w:rsidRDefault="006B7292" w:rsidP="006B7292">
      <w:pPr>
        <w:pStyle w:val="TextoNormal"/>
      </w:pPr>
      <w:r>
        <w:t>En dicho lugar del referido escrito se reseña que el Tribunal de Cuentas, el 24 de julio de 2014, emitió informe de fiscalización sobre las actuaciones realizadas por los ayuntamientos con cargo al Fondo estatal para el empleo y la sostenibilidad local, en el que, al referirse a los efectos de la precitada STC 150/2012, señala que “en consecuencia, los efectos del pronunciamiento del Tribunal Constitucional se limitaron a las actuaciones pendientes de realizar sobre los expedientes sin finalizar, correspondiéndoles la gestión, a partir de ese momento, a las Comunidades Autónomas”. Y en el que, en sus recomendaciones, concluye que “los ayuntamientos con proyectos de inversión y actuaciones de interés social pendientes de justificación deberían proceder a la realización, ante los órganos autonómicos competentes, de las actuaciones necesarias para la acreditación de la inversión de los fondos y la finalización de los trámites pendientes, de modo que los referidos órganos autonómicos puedan hacer una adecuada supervisión de los mismos, de que los gastos se corresponden a prestaciones efectivamente realizadas y de que existe correlación entre el destino efectivo de los fondos y las actuaciones previstas para las que se concedió la financiación”.</w:t>
      </w:r>
    </w:p>
    <w:p w:rsidR="006B7292" w:rsidRDefault="006B7292" w:rsidP="006B7292">
      <w:pPr>
        <w:pStyle w:val="TextoNormal"/>
      </w:pPr>
    </w:p>
    <w:p w:rsidR="006B7292" w:rsidRDefault="006B7292" w:rsidP="006B7292">
      <w:pPr>
        <w:pStyle w:val="TextoNormal"/>
      </w:pPr>
      <w:r>
        <w:t>El Abogado del Estado insiste en que “dado que los autos del Tribunal Constitucional que inadmitieron los conflictos negativos de competencia se basaron para ello en la consideración de que la discrepancia planteada entre el Estado y las Comunidades Autónomas de Andalucía, Canarias y Cataluña no versaba sobre la interpretación de las normas del bloque de la constitucionalidad —que es lo que constituye el ámbito propio de los conflictos de competencia—, sino sobre diversas cuestiones que se suscitaban respecto de los expedientes administrativos que debían ser transferidos a aquellas Comunidades Autónomas, lo que, según los aludidos autos, no suscita sino una cuestión de interpretación de la sentencia del Tribunal (así se dice expresamente en el fundamento jurídico del auto de 21 de octubre de 2014), este tipo de discrepancias tiene su adecuado encaje en el planteamiento de un incidente de ejecución de sentencia”</w:t>
      </w:r>
    </w:p>
    <w:p w:rsidR="006B7292" w:rsidRDefault="006B7292" w:rsidP="006B7292">
      <w:pPr>
        <w:pStyle w:val="TextoNormal"/>
      </w:pPr>
    </w:p>
    <w:p w:rsidR="006B7292" w:rsidRDefault="006B7292" w:rsidP="006B7292">
      <w:pPr>
        <w:pStyle w:val="TextoNormal"/>
      </w:pPr>
      <w:r>
        <w:t>Suplica, en razón de lo expuesto, que se “tenga por suscitado incidente de ejecución en relación con la STC 150/2012 y determine y ordene que la Generalidad de Cataluña realice las actuaciones relativas al control financiero y verificación de expedientes (citados en el cuerpo de este escrito —antecedente de hecho undécimo— y que se aportan como documento adjunto), para su liquidación y pago, control de aplicación de los fondos, procedimientos de comprobación, determinación del posible reintegro y su ejecución así como revisión de las decisiones administrativas adoptadas, todas ellas englobadas en las obligaciones de control o comprobación de la correcta aplicación de la totalidad de los fondos estatales para el empleo local y la sostenibilidad local regulados en el Real Decreto-ley 13/2009”.</w:t>
      </w:r>
    </w:p>
    <w:p w:rsidR="006B7292" w:rsidRDefault="006B7292" w:rsidP="006B7292">
      <w:pPr>
        <w:pStyle w:val="TextoNormal"/>
      </w:pPr>
    </w:p>
    <w:p w:rsidR="006B7292" w:rsidRDefault="006B7292" w:rsidP="006B7292">
      <w:pPr>
        <w:pStyle w:val="TextoNormal"/>
      </w:pPr>
      <w:r>
        <w:t>Y dentro del suplico el Abogado del Estado señala que “ello implica:</w:t>
      </w:r>
    </w:p>
    <w:p w:rsidR="006B7292" w:rsidRDefault="006B7292" w:rsidP="006B7292">
      <w:pPr>
        <w:pStyle w:val="TextoNormal"/>
      </w:pPr>
    </w:p>
    <w:p w:rsidR="006B7292" w:rsidRDefault="006B7292" w:rsidP="006B7292">
      <w:pPr>
        <w:pStyle w:val="TextoNormal"/>
      </w:pPr>
      <w:r>
        <w:t>— Con respecto a aquellos expedientes cuyos respectivos Ayuntamientos tienen pendiente presentar la documentación justificativa de la realización de las inversiones y finalización de las obras, así como de la adquisición de los suministros o servicios, o bien de la realización de las actuaciones de interés social, por parte de la Comunidad Autónoma se continuará con la tramitación administrativa del expediente.</w:t>
      </w:r>
    </w:p>
    <w:p w:rsidR="006B7292" w:rsidRDefault="006B7292" w:rsidP="006B7292">
      <w:pPr>
        <w:pStyle w:val="TextoNormal"/>
      </w:pPr>
    </w:p>
    <w:p w:rsidR="006B7292" w:rsidRDefault="006B7292" w:rsidP="006B7292">
      <w:pPr>
        <w:pStyle w:val="TextoNormal"/>
      </w:pPr>
      <w:r>
        <w:t>— Con respecto a aquellos expedientes que ya han presentado la documentación justificativa de la realización de las inversiones y finalización de las obras, así como de la adquisición de los suministros o servicios, o bien de la realización de las actuaciones de interés social, por parte de la Comunidad Autónoma se revisará la citada documentación realizando el trámite correspondiente, que tratándose de una justificación validada de conformidad conllevará el libramiento subsiguiente de fondos que correspondan a la Entidad Local.</w:t>
      </w:r>
    </w:p>
    <w:p w:rsidR="006B7292" w:rsidRDefault="006B7292" w:rsidP="006B7292">
      <w:pPr>
        <w:pStyle w:val="TextoNormal"/>
      </w:pPr>
    </w:p>
    <w:p w:rsidR="006B7292" w:rsidRDefault="006B7292" w:rsidP="006B7292">
      <w:pPr>
        <w:pStyle w:val="TextoNormal"/>
      </w:pPr>
      <w:r>
        <w:t>— Con respecto a aquellos expedientes que ya han presentado la documentación justificativa de la realización de las inversiones y finalización de las obras así como la adquisición de los suministros o servicios, o bien la realización de las actuaciones de interés social, que están pendientes de que se valide la contestación a un requerimiento adicional de documentación e información, por parte de la Comunidad Autónoma se revisará la citada documentación realizando el trámite correspondiente, que tratándose de una justificación validada de conformidad conllevará el libramiento subsiguiente de fondos que correspondan a la Entidad Local.</w:t>
      </w:r>
    </w:p>
    <w:p w:rsidR="006B7292" w:rsidRDefault="006B7292" w:rsidP="006B7292">
      <w:pPr>
        <w:pStyle w:val="TextoNormal"/>
      </w:pPr>
    </w:p>
    <w:p w:rsidR="006B7292" w:rsidRDefault="006B7292" w:rsidP="006B7292">
      <w:pPr>
        <w:pStyle w:val="TextoNormal"/>
      </w:pPr>
      <w:r>
        <w:t>— Con respecto a aquellos expedientes que se encuentran pendientes de que se inicie o se realice cualquier trámite de un procedimiento de reintegro, se incoará o tramitará el mismo de acuerdo con lo establecido en la normativa autonómica de aplicación, así como con lo establecido en la normativa de desarrollo que en su caso dicte la Consejería competente y teniendo en cuenta el contenido del Real Decreto-ley 13/2009 depurado por la Sentencia 150/2012 del Tribunal Constitucional.</w:t>
      </w:r>
    </w:p>
    <w:p w:rsidR="006B7292" w:rsidRDefault="006B7292" w:rsidP="006B7292">
      <w:pPr>
        <w:pStyle w:val="TextoNormal"/>
      </w:pPr>
    </w:p>
    <w:p w:rsidR="006B7292" w:rsidRDefault="006B7292" w:rsidP="006B7292">
      <w:pPr>
        <w:pStyle w:val="TextoNormal"/>
      </w:pPr>
      <w:r>
        <w:t>— La totalidad de los expedientes financiados por el Fondo Estatal para el Empleo y la Sostenibilidad Local, en el ámbito territorial de la Generalidad de Cataluña, deberán ser objeto de control para asegurar el cumplimiento de sus fines y de las disposiciones legales aplicables, de conformidad con los planes y la normativa autonómica de aplicación, así como con el contenido del Real Decreto-ley 13/2009 depurado por la Sentencia 150/2012 del Tribunal Constitucional.</w:t>
      </w:r>
    </w:p>
    <w:p w:rsidR="006B7292" w:rsidRDefault="006B7292" w:rsidP="006B7292">
      <w:pPr>
        <w:pStyle w:val="TextoNormal"/>
      </w:pPr>
    </w:p>
    <w:p w:rsidR="006B7292" w:rsidRDefault="006B7292" w:rsidP="006B7292">
      <w:pPr>
        <w:pStyle w:val="TextoNormal"/>
      </w:pPr>
      <w:r>
        <w:t>— Una vez justificados la totalidad de los expedientes transferidos, se elaborará por la Generalidad de Cataluña el correspondiente informe que será remitido a la Dirección General de Coordinación de Competencias con las Comunidades Autónomas y las Entidades Locales. Del mismo modo, se reintegrarán al Estado los importes no abonados a los beneficiarios, así como los que sean consecuencia de reintegros”.</w:t>
      </w:r>
    </w:p>
    <w:p w:rsidR="006B7292" w:rsidRDefault="006B7292" w:rsidP="006B7292">
      <w:pPr>
        <w:pStyle w:val="TextoNormal"/>
      </w:pPr>
    </w:p>
    <w:p w:rsidR="006B7292" w:rsidRDefault="006B7292" w:rsidP="006B7292">
      <w:pPr>
        <w:pStyle w:val="TextoNormal"/>
      </w:pPr>
      <w:r w:rsidRPr="006B7292">
        <w:rPr>
          <w:rStyle w:val="NumeroAFNegritaCaracter"/>
        </w:rPr>
        <w:t>4</w:t>
      </w:r>
      <w:r>
        <w:t>. Por providencia de 14 de abril de 2015 el Pleno del Tribunal Constitucional acordó tener por recibido el escrito del Abogado del Estado y dar traslado de copia del mismo al Ministerio Fiscal y a la representación legal de la Generalitat de Cataluña, concediéndoles un plazo de diez días para que formulen las alegaciones que estimen oportunas.</w:t>
      </w:r>
    </w:p>
    <w:p w:rsidR="006B7292" w:rsidRDefault="006B7292" w:rsidP="006B7292">
      <w:pPr>
        <w:pStyle w:val="TextoNormal"/>
      </w:pPr>
    </w:p>
    <w:p w:rsidR="006B7292" w:rsidRDefault="006B7292" w:rsidP="006B7292">
      <w:pPr>
        <w:pStyle w:val="TextoNormal"/>
      </w:pPr>
      <w:r w:rsidRPr="006B7292">
        <w:rPr>
          <w:rStyle w:val="NumeroAFNegritaCaracter"/>
        </w:rPr>
        <w:t>5</w:t>
      </w:r>
      <w:r>
        <w:t>. El 28 de abril de 2015 el Abogado de la Generalitat de Cataluña formuló sus alegaciones. Discrepa de la premisa que sostiene la pretensión de ejecución, en la medida que la STC 150/2012 declara la inconstitucionalidad de algunos de los preceptos del Real Decreto-ley impugnado pero no su nulidad, de modo que las normas que atribuyen al Estado la gestión del Fondo siguen estando vigentes y, en consecuencia, habilitando que aquél realice las actividades de seguimiento y control de las subvenciones ya concedidas.</w:t>
      </w:r>
    </w:p>
    <w:p w:rsidR="006B7292" w:rsidRDefault="006B7292" w:rsidP="006B7292">
      <w:pPr>
        <w:pStyle w:val="TextoNormal"/>
      </w:pPr>
    </w:p>
    <w:p w:rsidR="006B7292" w:rsidRDefault="006B7292" w:rsidP="006B7292">
      <w:pPr>
        <w:pStyle w:val="TextoNormal"/>
      </w:pPr>
      <w:r>
        <w:t>Razona además que la STC 150/2012, como es práctica reiterada del Tribunal en sus Sentencias sobre subvenciones, afirma que “las subvenciones se refieren a un ejercicio económico ya cerrado y han agotado sus efectos. En consecuencia, nuestro pronunciamiento, que debe incluir la estimación parcial del recurso de inconstitucionalidad, ha de realizarse con respeto, en todo caso, de las ayudas que ya hayan sido concedidas”. Esto es, alude a la concesión de la ayuda como punto de inflexión para la aplicación de la titularidad competencial declarada en la Sentencia, de manera que el pronunciamiento de inconstitucionalidad no alterará la competencia sobre cualesquiera actos relativos a las subvenciones que ya han sido otorgadas, aunque lo hubieran sido por autoridad posteriormente declarada incompetente.</w:t>
      </w:r>
    </w:p>
    <w:p w:rsidR="006B7292" w:rsidRDefault="006B7292" w:rsidP="006B7292">
      <w:pPr>
        <w:pStyle w:val="TextoNormal"/>
      </w:pPr>
    </w:p>
    <w:p w:rsidR="006B7292" w:rsidRDefault="006B7292" w:rsidP="006B7292">
      <w:pPr>
        <w:pStyle w:val="TextoNormal"/>
      </w:pPr>
      <w:r>
        <w:t>Estos argumentos le llevan a concluir que “es evidente que al dictarse la STC 150/2012, el 5 de julio de 2012, todos esos expedientes habían sido objeto de la oportuna Resolución de concesión, expresa y debidamente notificada, habiendo transcurrido a su vez con creces el plazo habilitado legalmente para la justificación de las ayudas por sus beneficiarios. Así pues, en puntual aplicación de lo decidido por el Tribunal Constitucional al respecto en el FJ 17 de dicha Sentencia, en cuanto a esos expedientes los efectos de la inconstitucionalidad por vulneración competencial apreciada en la STC 150/2012 son meramente declarativos y no comportan ni la nulidad de las correspondientes concesiones ni alteran la validez de la actuación de la Administración estatal en todas sus fases”.</w:t>
      </w:r>
    </w:p>
    <w:p w:rsidR="006B7292" w:rsidRDefault="006B7292" w:rsidP="006B7292">
      <w:pPr>
        <w:pStyle w:val="TextoNormal"/>
      </w:pPr>
    </w:p>
    <w:p w:rsidR="006B7292" w:rsidRDefault="006B7292" w:rsidP="006B7292">
      <w:pPr>
        <w:pStyle w:val="TextoNormal"/>
      </w:pPr>
      <w:r>
        <w:t>Apunta, finalmente, que “no es este el lugar ni corresponde a este Tribunal entrar a valorar el contenido material y la validez de los convenios y encomiendas de gestión que puedan haberse acordado voluntariamente entre la Administración Estatal y otras Administraciones autonómicas en orden al control y seguimiento de las ayudas del Fondo estatal para el empleo y la sostenibilidad local, inicialmente concedidas por el Estado con plena validez, pese a no resultar competente”.</w:t>
      </w:r>
    </w:p>
    <w:p w:rsidR="006B7292" w:rsidRDefault="006B7292" w:rsidP="006B7292">
      <w:pPr>
        <w:pStyle w:val="TextoNormal"/>
      </w:pPr>
    </w:p>
    <w:p w:rsidR="006B7292" w:rsidRDefault="006B7292" w:rsidP="006B7292">
      <w:pPr>
        <w:pStyle w:val="TextoNormal"/>
      </w:pPr>
      <w:r w:rsidRPr="006B7292">
        <w:rPr>
          <w:rStyle w:val="NumeroAFNegritaCaracter"/>
        </w:rPr>
        <w:t>6</w:t>
      </w:r>
      <w:r>
        <w:t>. El Ministerio Fiscal registró sus alegaciones el 8 de mayo de 2015. Destaca, en primer lugar, que existen en la presente hipótesis actuaciones expresas y tácitas que, de acuerdo con lo que disponen los arts. 4 y 92 LOTC, encajarían, en principio, bien en la categoría de actos o resoluciones susceptibles de menoscabar la jurisdicción del Tribunal Constitucional (a los que se refiere el art. 4 LOTC), bien en la categoría de actos o decisiones que contravienen las resoluciones dictadas en el ejercicio de su jurisdicción (en los términos del art. 92, segundo párrafo, LOTC), cuales son los siguientes: i) la decisión del Secretario de Cooperación y Coordinación de las Administraciones Locales de la Generalitat de Cataluña plasmada en el escrito dirigido al Director General de Coordinación de Competencias con las Comunidades Autónomas y las entidades locales en fecha 24 de octubre de 2013; ii) la devolución al Estado de los fondos que éste había transferido previamente a la Generalitat de Cataluña; iii) la desatención por parte de la Generalitat de Cataluña del contenido de los escritos de la Dirección General de Coordinación de Competencias con las Comunidades Autónomas y entidades locales de fechas 16 de diciembre de 2013, 30 de enero de 2014 y 17 de julio de 2014; iv) la desatención del acuerdo del Consejo de Ministros de 28 de febrero de 2014, de requerimiento al Gobierno de la Generalitat de Cataluña previo al planteamiento de un conflicto negativo de competencias en relación con la gestión del Fondo estatal para el empleo y la sostenibilidad local; y v) la desatención por parte del Secretario de Cooperación y Coordinación de las Administraciones Locales de la Generalitat de Cataluña, en escrito dirigido en fecha 2 de diciembre de 2014 a la Dirección General de Coordinación de Competencias con las Comunidades Autónomas y entidades locales, de la solicitud de la Administración General del Estado, efectuada en el mes de noviembre de 2014, relativa a la formación de un grupo de trabajo en el marco de la Subcomisión de seguimiento normativo, prevención y solución de conflictos de la Comisión bilateral Generalitat-Estado.</w:t>
      </w:r>
    </w:p>
    <w:p w:rsidR="006B7292" w:rsidRDefault="006B7292" w:rsidP="006B7292">
      <w:pPr>
        <w:pStyle w:val="TextoNormal"/>
      </w:pPr>
    </w:p>
    <w:p w:rsidR="006B7292" w:rsidRDefault="006B7292" w:rsidP="006B7292">
      <w:pPr>
        <w:pStyle w:val="TextoNormal"/>
      </w:pPr>
      <w:r>
        <w:t>Observa a continuación que la resolución de este incidente exige cotejar el contenido de la STC 150/2012 con las decisiones y actuaciones de la Generalitat de Cataluña cuestionadas, para decidir si las mismas “incurr[e]n en alguna de las dos situaciones proscritas por la jurisprudencia constitucional: contener un pronunciamiento contrario a la decisión del Tribunal Constitucional o suponer un intento de menoscabar la eficacia —jurídica o material— de lo que se resolvió por dicho Tribunal —en este caso en la STC 150/2012, de 5 de julio—”.</w:t>
      </w:r>
    </w:p>
    <w:p w:rsidR="006B7292" w:rsidRDefault="006B7292" w:rsidP="006B7292">
      <w:pPr>
        <w:pStyle w:val="TextoNormal"/>
      </w:pPr>
    </w:p>
    <w:p w:rsidR="006B7292" w:rsidRDefault="006B7292" w:rsidP="006B7292">
      <w:pPr>
        <w:pStyle w:val="TextoNormal"/>
      </w:pPr>
      <w:r>
        <w:t>Este cotejo, razona el Fiscal, ha de partir necesariamente de que la STC 150/2012 declara la inconstitucionalidad de los preceptos que atribuyen al Estado la gestión del Fondo, pero añade que este dato no es definitivo porque “una cosa es que la STC 150/2012, de 5 de julio, haya pretendido respetar las ‘situaciones jurídicas consolidadas’ y ‘las ayudas que ya hayan sido concedidas’ y otra cosa muy diferente es que, una vez pronunciada dicha STC, sus declaraciones no produzcan los efectos descritos en el art. 38.1 LOTC —efecto vinculante para todos los poderes públicos y efectos generales desde la fecha de su publicación en el ‘BOE’—, lo que, en lo que ahora interesa, ha de traducirse en que desde la fecha de su publicación en el ‘BOE’ el Estado no podía seguir asumiendo las funciones ejecutivas y la gestión centralizada de las ayudas correspondientes al Fondo estatal para el empleo y la sostenibilidad local, sobre lo cual no parece que pueda abrigarse duda alguna”.</w:t>
      </w:r>
    </w:p>
    <w:p w:rsidR="006B7292" w:rsidRDefault="006B7292" w:rsidP="006B7292">
      <w:pPr>
        <w:pStyle w:val="TextoNormal"/>
      </w:pPr>
    </w:p>
    <w:p w:rsidR="006B7292" w:rsidRDefault="006B7292" w:rsidP="006B7292">
      <w:pPr>
        <w:pStyle w:val="TextoNormal"/>
      </w:pPr>
      <w:r>
        <w:t>Los argumentos anteriores conducen al Fiscal a proponer “la declaración de nulidad de los actos y resoluciones que han menoscabado o contravenido lo fallado en la STC 150/2012. Lo que, en la presente hipótesis, ha de suponer la nulidad de dos actos principales: i) del acto expreso, de fecha 24 de octubre de 2013, por el que el Secretario de Cooperación y Coordinación de las Administraciones Locales de la Generalidad de Cataluña comunicó a la Dirección General de Coordinación de Competencias con las Comunidades Autónomas y Entidades Locales que debían ser los órganos estatales gestores del procedimiento hasta ese momento los que finalizaran el mismo; y ii) del acto expreso del Servicio de Gestión Económica de ese Departamento consistente en la devolución de las cantidades transferidas por la Administración General del Estado. Todo ello sin perjuicio de reiterar —aunque pudiera parecer innecesario— que desde la fecha de publicación de la STC 150/2012 el Estado no podía seguir asumiendo las funciones ejecutivas y la gestión centralizada de las ayudas correspondientes al Fondo Estatal para el Empleo y la Sostenibilidad Local, las cuales, habiendo sido reconocidas desde ese mismo instante a la Generalidad de Cataluña, debieron haber sido ejercidas por ésta desde aquel momento, lo que, trasladado a la actualidad, supone que la Generalidad de Cataluña deba adoptar de modo inmediato todas las medidas necesarias para su eficaz ejercicio, medidas que indiscutiblemente habrán de aproximarse bastante a lo pretendido por la Abogacía del Estado en la presente ejecución”.</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presente incidente de nulidad tiene por objeto resolver, en el marco del incidente previsto en los arts. 4 y 92 de la Ley Orgánica del Tribunal Constitucional (LOTC), si la correcta ejecución de la STC 150/2012, de 5 de julio, exige que el Tribunal “ordene que la Generalidad de Cataluña realice las actuaciones relativas al control financiero y verificación de expedientes” de las 55 ayudas correspondientes al Fondo estatal para el empleo y la sostenibilidad local que se identifican en el documento adjunto al escrito rector del incidente, y más en concreto si requiere que el Tribunal ordene a la Generalitat de Cataluña materializar los precisos comportamientos que, con el detalle expuesto en los antecedentes, se relacionan en el suplico de dicho escrito como actividades necesarias para que se entiendan realizadas tales funciones de control financiero y verificación.</w:t>
      </w:r>
    </w:p>
    <w:p w:rsidR="006B7292" w:rsidRDefault="006B7292" w:rsidP="006B7292">
      <w:pPr>
        <w:pStyle w:val="TextoNormal"/>
      </w:pPr>
    </w:p>
    <w:p w:rsidR="006B7292" w:rsidRDefault="006B7292" w:rsidP="006B7292">
      <w:pPr>
        <w:pStyle w:val="TextoNormal"/>
      </w:pPr>
      <w:r>
        <w:t>El Abogado del Estado funda su pretensión en una premisa, cual es que el pronunciamiento de inconstitucionalidad recogido en la STC 150/2012, que viene referido a las normas recogidas en el Real Decreto-ley impugnado que asignaban al Estado facultades en la ejecución del Fondo estatal para el empleo y la sostenibilidad local, implica que, a partir de aquélla, el Estado carece de título competencial habilitante para llevar a cabo cualesquiera actuaciones de seguimiento y control de las ayudas concedidas en el marco de dicho Fondo, recayendo la competencia en las Comunidades Autónomas y en el caso examinado, en la Comunidad Autónoma de Cataluña en relación con 55 expedientes. Como consecuencia de que la competencia para esos actos de gestión le incumbe a la citada Comunidad Autónoma, y teniendo en cuenta que el ejercicio de la competencia es indeclinable, insta al Tribunal que ordene que la Comunidad Autónoma de Cataluña realice las actuaciones correspondientes, que a su juicio son las que enumera en el suplico.</w:t>
      </w:r>
    </w:p>
    <w:p w:rsidR="006B7292" w:rsidRDefault="006B7292" w:rsidP="006B7292">
      <w:pPr>
        <w:pStyle w:val="TextoNormal"/>
      </w:pPr>
    </w:p>
    <w:p w:rsidR="006B7292" w:rsidRDefault="006B7292" w:rsidP="006B7292">
      <w:pPr>
        <w:pStyle w:val="TextoNormal"/>
      </w:pPr>
      <w:r>
        <w:t>El Fiscal comparte la premisa que afirma el Abogado del Estado y, en su virtud, solicita que el Tribunal anule dos actos expresos concretos que, a su entender, menoscaban la efectividad del fallo pronunciado por la STC 150/2012 y, además, que declare que la Generalitat de Cataluña, para que la citada sentencia se lleve a debido efecto, “deb[e] adoptar de modo inmediato todas las medidas necesarias para su eficaz ejercicio, medidas que indiscutiblemente habrán de aproximarse bastante a lo pretendido por la Abogacía del Estado en la presente ejecución”.</w:t>
      </w:r>
    </w:p>
    <w:p w:rsidR="006B7292" w:rsidRDefault="006B7292" w:rsidP="006B7292">
      <w:pPr>
        <w:pStyle w:val="TextoNormal"/>
      </w:pPr>
    </w:p>
    <w:p w:rsidR="006B7292" w:rsidRDefault="006B7292" w:rsidP="006B7292">
      <w:pPr>
        <w:pStyle w:val="TextoNormal"/>
      </w:pPr>
      <w:r>
        <w:t>El Abogado de la Generalitat de Cataluña, en los términos precisados en los antecedentes, discrepa de la premisa de partida y, en consecuencia, se opone a que la ejecución de la STC 150/2012 exija que el Tribunal ordene a la Generalitat de Cataluña la realización de las actuaciones reseñadas en el suplico del escrito promotor de este incidente, apuntando que a un entendimiento como este no se opone la consideración de “los convenios y encomiendas de gestión que puedan haberse acordado voluntariamente entre la Administración Estatal y otras Administraciones autonómicas en orden al control y seguimiento de las ayudas del Fondo estatal para el empleo y la sostenibilidad local”.</w:t>
      </w:r>
    </w:p>
    <w:p w:rsidR="006B7292" w:rsidRDefault="006B7292" w:rsidP="006B7292">
      <w:pPr>
        <w:pStyle w:val="TextoNormal"/>
      </w:pPr>
    </w:p>
    <w:p w:rsidR="006B7292" w:rsidRDefault="006B7292" w:rsidP="006B7292">
      <w:pPr>
        <w:pStyle w:val="TextoNormal"/>
      </w:pPr>
      <w:r w:rsidRPr="006B7292">
        <w:rPr>
          <w:rStyle w:val="NumeroAFNegritaCaracter"/>
        </w:rPr>
        <w:t>2</w:t>
      </w:r>
      <w:r>
        <w:t>. El Fondo de este incidente de ejecución, como se aprecia de las posiciones de las partes que se acaban de reseñar, se contrae a resolver si la efectividad del pronunciamiento contenido en la STC 150/2012 exige que el Tribunal “ordene que la Generalidad de Cataluña realice las actuaciones relativas al control financiero y verificación de expedientes” de las referidas 55 ayudas correspondientes al Fondo estatal para el empleo y la sostenibilidad local y, en tal caso, señale cuáles son los actos concretos necesarios para que tales funciones de control financiero y verificación de subvenciones se entiendan cumplidas. Ahora bien, solo cabría adentrarse en el análisis y decisión de tal cuestión de fondo en el caso de que se comparta la premisa de la que parte el escrito por el que se promueve el incidente, según la cual el Estado, a partir de la STC 150/2012, no está asistido de ninguna competencia que le permita realizar los actos de ejecución relativos a estas ayudas que aún estén pendientes, correspondiendo el ejercicio de la misma a las Comunidades Autónomas en los términos que se derive de su Estatuto de Autonomía.</w:t>
      </w:r>
    </w:p>
    <w:p w:rsidR="006B7292" w:rsidRDefault="006B7292" w:rsidP="006B7292">
      <w:pPr>
        <w:pStyle w:val="TextoNormal"/>
      </w:pPr>
    </w:p>
    <w:p w:rsidR="006B7292" w:rsidRDefault="006B7292" w:rsidP="006B7292">
      <w:pPr>
        <w:pStyle w:val="TextoNormal"/>
      </w:pPr>
      <w:r>
        <w:t>A tal efecto resulta de la mayor relevancia destacar que, como ha quedado expuesto detalladamente en los antecedentes, la STC 150/2012, si bien declaró la inconstitucionalidad de algunos de los preceptos del Real Decreto-ley impugnado, no acordó su nulidad, pues “su anulación podría suponer graves perjuicios y perturbaciones, también en Cataluña, a los intereses generales, afectando a situaciones jurídicas consolidadas y, particularmente a la política económica y financiera de los Ayuntamientos” y concretó su alcance en dos puntos: 1. Las subvenciones se refieren a un ejercicio económico ya cerrado y han agotado sus efectos. 2. Respeta, en todo caso, las ayudas que ya han sido concedidas, por lo que las normas que atribuyen al Estado la gestión de este Fondo continúan en vigor y, en su virtud, habilitan que aquél realice las actividades de seguimiento y control de las subvenciones ya concedidas.</w:t>
      </w:r>
    </w:p>
    <w:p w:rsidR="006B7292" w:rsidRDefault="006B7292" w:rsidP="006B7292">
      <w:pPr>
        <w:pStyle w:val="TextoNormal"/>
      </w:pPr>
    </w:p>
    <w:p w:rsidR="006B7292" w:rsidRDefault="006B7292" w:rsidP="006B7292">
      <w:pPr>
        <w:pStyle w:val="TextoNormal"/>
      </w:pPr>
      <w:r>
        <w:t>El Tribunal en aquella Sentencia no hizo, como si ocurre en otras ocasiones en que apreció la inconstitucionalidad de preceptos que atribuían al Estado poderes de gestión de ciertas ayudas (por todas, SSTC 173/2012, de 15 de octubre, y 243/2012, de 17 de diciembre) un pronunciamiento de nulidad de la norma impugnada, seguido de una modulación de los efectos de esta nulidad orientada a conservar los efectos jurídicos de ciertos actos aplicativos de aquélla. Se limitó, por el contrario, a afirmar, tanto en los fundamentos jurídicos 16 y 17 como en el fallo, que tales preceptos eran inconstitucionales, señalando expresamente el objeto para “precisar el alcance concreto que debe atribuirse a la declaración de inconstitucionalidad del Real Decreto-ley 13/2009”.</w:t>
      </w:r>
    </w:p>
    <w:p w:rsidR="006B7292" w:rsidRDefault="006B7292" w:rsidP="006B7292">
      <w:pPr>
        <w:pStyle w:val="TextoNormal"/>
      </w:pPr>
    </w:p>
    <w:p w:rsidR="006B7292" w:rsidRDefault="006B7292" w:rsidP="006B7292">
      <w:pPr>
        <w:pStyle w:val="TextoNormal"/>
      </w:pPr>
      <w:r w:rsidRPr="006B7292">
        <w:rPr>
          <w:rStyle w:val="NumeroAFNegritaCaracter"/>
        </w:rPr>
        <w:t>3</w:t>
      </w:r>
      <w:r>
        <w:t>. En consecuencia, debemos concluir que el pronunciamiento de inconstitucionalidad hecho en la STC 150/2012 tiene un carácter meramente declarativo, en el sentido que establece quien es el titular de la competencia implicada, pero sin incidir en la situación concreta que conforma el sustrato de aquel proceso constitucional, no alterando para nada el sujeto que ha de ejercerla por lo que hace a las actuaciones pendientes relativas a las subvenciones ya concedidas, que son expresamente respetadas.</w:t>
      </w:r>
    </w:p>
    <w:p w:rsidR="006B7292" w:rsidRDefault="006B7292" w:rsidP="006B7292">
      <w:pPr>
        <w:pStyle w:val="TextoNormal"/>
      </w:pPr>
    </w:p>
    <w:p w:rsidR="006B7292" w:rsidRDefault="006B7292" w:rsidP="006B7292">
      <w:pPr>
        <w:pStyle w:val="TextoNormal"/>
      </w:pPr>
      <w:r>
        <w:t>No concurriendo la premisa de la que parte el Abogado del Estado en el razonamiento que sustenta la pretensión de ejecución que ejercita en este incidente, procede acordar que no ha lugar a su solicitud de que este Tribunal “ordene que la Generalidad de Cataluña realice las actuaciones relativas al control financiero y verificación de expedientes” de las 55 ayudas que identifica en el escrito de iniciación de este incidente, ni que entre a determinar cuáles son los actos concretos que dichas funciones de control financiero y verificación exige.</w:t>
      </w:r>
    </w:p>
    <w:p w:rsidR="006B7292" w:rsidRDefault="006B7292" w:rsidP="006B7292">
      <w:pPr>
        <w:pStyle w:val="TextoNormal"/>
      </w:pPr>
    </w:p>
    <w:p w:rsidR="006B7292" w:rsidRDefault="006B7292" w:rsidP="006B7292">
      <w:pPr>
        <w:pStyle w:val="TextoNormal"/>
      </w:pPr>
      <w:r>
        <w:t>No apreciamos que esta conclusión entre en conflicto con la circunstancia de que el Estado, haciendo una interpretación distinta de la STC 150/2012, haya entregado, a través de distintos instrumentos jurídicos, a las Comunidades Autónomas la realización de estos actos de control financiero y verificación de las ayudas concedidas en el marco del Fondo estatal para el empleo y la sostenibilidad local, en el sentido de que al haberlo hecho voluntariamente no se puede decir que las Comunidades Autónomas, por aceptar esta entrega y realizar tales actuaciones, hayan penetrado de un modo ilegítimo en el ámbito competencial del Estado. No se pueden reputar invasivas del espacio de atribuciones del Estado aquellas actuaciones autonómicas que se realicen a petición del propio Estado, por mucho que éste instase aquéllas a partir de un entendimiento del reparto constitucional que luego se ha revelado erróneo.</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No haber lugar a la solicitud formulada por el Abogado del Estado en relación con los actos y omisiones de la Generalitat de Cataluña que, atinentes a la gestión de las subvenciones ya concedidas en el marco del Fondo estatal para el empleo y la sostenibilidad local, identifica el escrito por el que se promueve este incidente.</w:t>
      </w:r>
    </w:p>
    <w:p w:rsidR="006B7292" w:rsidRDefault="006B7292" w:rsidP="006B7292">
      <w:pPr>
        <w:pStyle w:val="TextoNormal"/>
      </w:pPr>
    </w:p>
    <w:p w:rsidR="006B7292" w:rsidRDefault="006B7292" w:rsidP="006B7292">
      <w:pPr>
        <w:pStyle w:val="TextoNormal"/>
      </w:pPr>
      <w:r>
        <w:t>Madrid, a siete de julio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35" w:name="AUTO_2015_121"/>
      <w:r>
        <w:t>AUTO 121/2015, de 7 de julio de 2015</w:t>
      </w:r>
    </w:p>
    <w:bookmarkEnd w:id="135"/>
    <w:p w:rsidR="006B7292" w:rsidRDefault="006B7292" w:rsidP="006B7292">
      <w:pPr>
        <w:pStyle w:val="TtuloResolucin"/>
      </w:pPr>
      <w:r>
        <w:t>Pleno</w:t>
      </w:r>
    </w:p>
    <w:p w:rsidR="006B7292" w:rsidRDefault="006B7292" w:rsidP="006B7292">
      <w:pPr>
        <w:pStyle w:val="TtuloBOE"/>
      </w:pPr>
      <w:r>
        <w:t>(BOE núm. 194, de 14 de agosto de 2015)</w:t>
      </w:r>
    </w:p>
    <w:p w:rsidR="006B7292" w:rsidRDefault="006B7292" w:rsidP="006B7292">
      <w:pPr>
        <w:pStyle w:val="TextoNormalCentrado"/>
      </w:pPr>
      <w:r>
        <w:t>ECLI:ES:TC:2015:121A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Inadmite a trámite la cuestión de inconstitucionalidad 7490-2013, planteada por el Juzgado de lo Contencioso-Administrativo número 1 de Tarragona respecto del artículo 26.3 de la Ley 1/2012, de 22 de febrero, de presupuestos de la Generalitat de Cataluña para 2012.</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27 de diciembre de 2013 tuvo entrada en el Registro General de este Tribunal escrito del Juzgado de lo Contencioso-Administrativo núm. 1 de Tarragona al que se acompaña, junto al testimonio del procedimiento, el Auto de 27 de noviembre de 2013, por el que se acuerda plantear al Tribunal Constitucional cuestión de inconstitucionalidad respecto al art. 26.3 de la Ley 1/2012, de 22 de febrero, de presupuestos de la Generalitat de Cataluña para 2012, por posible vulneración de lo establecido en los arts. 9.3, 33.3, 35 y 106.2 de la Constitución española.</w:t>
      </w:r>
    </w:p>
    <w:p w:rsidR="006B7292" w:rsidRDefault="006B7292" w:rsidP="006B7292">
      <w:pPr>
        <w:pStyle w:val="TextoNormal"/>
      </w:pPr>
    </w:p>
    <w:p w:rsidR="006B7292" w:rsidRDefault="006B7292" w:rsidP="006B7292">
      <w:pPr>
        <w:pStyle w:val="TextoNormal"/>
      </w:pPr>
      <w:r>
        <w:t>El precepto en relación con el que se plantea la cuestión de inconstitucionalidad establece lo siguiente:</w:t>
      </w:r>
    </w:p>
    <w:p w:rsidR="006B7292" w:rsidRDefault="006B7292" w:rsidP="006B7292">
      <w:pPr>
        <w:pStyle w:val="TextoNormal"/>
      </w:pPr>
    </w:p>
    <w:p w:rsidR="006B7292" w:rsidRDefault="006B7292" w:rsidP="006B7292">
      <w:pPr>
        <w:pStyle w:val="TextoNormal"/>
      </w:pPr>
      <w:r>
        <w:t>“El personal estatutario de los servicios de salud incluido en el ámbito de aplicación del Real decreto ley 3/1987, de 11 de septiembre, sobre retribuciones del personal estatutario del Instituto Nacional de la Salud, de acuerdo con lo establecido por la Ley del Estado 55/2003, de 16 de diciembre, del estatuto marco del personal estatutario de los servicios de salud, percibe las retribuciones según lo establecido por el apartado 1 del presente artículo, además de los complementos de carrera y de atención continua, los cuales no experimentan incremento alguno respecto al ejercicio 2011. Durante el ejercicio 2012 el personal estatutario del Instituto Catalán de la Salud percibe el 50 por 100 de las retribuciones fijadas en el II Acuerdo de la Mesa Sectorial de Negociación de Sanidad sobre las condiciones de trabajo del personal estatutario del Instituto Catalán de la Salud, en concepto de complemento de productividad variable.”</w:t>
      </w:r>
    </w:p>
    <w:p w:rsidR="006B7292" w:rsidRDefault="006B7292" w:rsidP="006B7292">
      <w:pPr>
        <w:pStyle w:val="TextoNormal"/>
      </w:pPr>
    </w:p>
    <w:p w:rsidR="006B7292" w:rsidRDefault="006B7292" w:rsidP="006B7292">
      <w:pPr>
        <w:pStyle w:val="TextoNormal"/>
      </w:pPr>
      <w:r w:rsidRPr="006B7292">
        <w:rPr>
          <w:rStyle w:val="NumeroAFNegritaCaracter"/>
        </w:rPr>
        <w:t>2</w:t>
      </w:r>
      <w:r>
        <w:t>. La presente cuestión trae causa del proceso contencioso-administrativo iniciado por la representación procesal de doña M. A. G. contra resolución de 30 de marzo de 2012, del Director Gerente del Instituto Catalán de Salud, sobre reconocimiento de complemento de productividad variable; fue incoado el procedimiento abreviado núm. 290-2012, seguido ante el Juzgado de lo Contencioso-Administrativo núm. 1 de Tarragona. En su demanda, como personal estatutario fijo del referido organismo la interesada reclamó frente a la detracción del 50 por 100 de su complemento variable efectuado por el órgano administrativo en dicha resolución, en aplicación del art. 26.3 de la Ley l/2012, de 22 de febrero, de presupuestos de la Generalitat de Cataluña.</w:t>
      </w:r>
    </w:p>
    <w:p w:rsidR="006B7292" w:rsidRDefault="006B7292" w:rsidP="006B7292">
      <w:pPr>
        <w:pStyle w:val="TextoNormal"/>
      </w:pPr>
    </w:p>
    <w:p w:rsidR="006B7292" w:rsidRDefault="006B7292" w:rsidP="006B7292">
      <w:pPr>
        <w:pStyle w:val="TextoNormal"/>
      </w:pPr>
      <w:r>
        <w:t>Una vez finalizada su tramitación, el órgano judicial dictó Auto, con fecha 31 de julio de 2013, por el que acordó la apertura del trámite de audiencia a las partes y al Fiscal, a los efectos del art. 35.2 de la Ley Orgánica del Tribunal Constitucional (LOTC), en orden a la posibilidad de plantear cuestión de inconstitucionalidad respecto del art. 26.3 de la Ley l/2012, de 22 de febrero, de presupuestos de la Generalitat de Cataluña, por su posible contradicción con los arts. 9.3, 33.3, 35 y 106.2 de la Constitución. La Letrada del Instituto Catalán de la Salud se opuso al planteamiento de la cuestión de inconstitucionalidad; la parte recurrente manifestó su acuerdo con el planteamiento de la misma; el Fiscal, por su parte, no se opuso al planteamiento de la cuestión de inconstitucionalidad.</w:t>
      </w:r>
    </w:p>
    <w:p w:rsidR="006B7292" w:rsidRDefault="006B7292" w:rsidP="006B7292">
      <w:pPr>
        <w:pStyle w:val="TextoNormal"/>
      </w:pPr>
    </w:p>
    <w:p w:rsidR="006B7292" w:rsidRDefault="006B7292" w:rsidP="006B7292">
      <w:pPr>
        <w:pStyle w:val="TextoNormal"/>
      </w:pPr>
      <w:r w:rsidRPr="006B7292">
        <w:rPr>
          <w:rStyle w:val="NumeroAFNegritaCaracter"/>
        </w:rPr>
        <w:t>3</w:t>
      </w:r>
      <w:r>
        <w:t>. El Juzgado de lo Contencioso-Administrativo núm. 1 de Tarragona, dictó Auto de 27 de noviembre de 2013, por el que acordó plantear cuestión de inconstitucionalidad. El Auto de planteamiento, tras exponer los antecedentes de hecho, analiza el cumplimiento de los diferentes requisitos que exigen los arts. 163 CE y 35 LOTC.</w:t>
      </w:r>
    </w:p>
    <w:p w:rsidR="006B7292" w:rsidRDefault="006B7292" w:rsidP="006B7292">
      <w:pPr>
        <w:pStyle w:val="TextoNormal"/>
      </w:pPr>
    </w:p>
    <w:p w:rsidR="006B7292" w:rsidRDefault="006B7292" w:rsidP="006B7292">
      <w:pPr>
        <w:pStyle w:val="TextoNormal"/>
      </w:pPr>
      <w:r>
        <w:t>Tras afirmar que el precepto en relación con el que se plantea la cuestión de inconstitucionalidad es el art. 26.3 de la Ley 1/2012, de 22 de febrero, de presupuestos de la Generalitat de Cataluña para 2012, determina que la duda de inconstitucionalidad se concreta “en el último inciso del citado precepto”, que es el siguiente: “durante el ejercicio 2012 el personal estatutario del Instituto Catalán de la Salud percibe el 50 por 100 de las retribuciones fijadas en el II Acuerdo de la Mesa Sectorial de Negociación de Sanidad sobre las condiciones de trabajo del personal estatutario del Instituto Catalán de la Salud, en concepto de complemento de productividad variable”.</w:t>
      </w:r>
    </w:p>
    <w:p w:rsidR="006B7292" w:rsidRDefault="006B7292" w:rsidP="006B7292">
      <w:pPr>
        <w:pStyle w:val="TextoNormal"/>
      </w:pPr>
    </w:p>
    <w:p w:rsidR="006B7292" w:rsidRDefault="006B7292" w:rsidP="006B7292">
      <w:pPr>
        <w:pStyle w:val="TextoNormal"/>
      </w:pPr>
      <w:r>
        <w:t xml:space="preserve">Se considera en el Auto de planteamiento de la cuestión que la Sentencia que se dicte en el procedimiento </w:t>
      </w:r>
      <w:r w:rsidRPr="006B7292">
        <w:rPr>
          <w:i/>
        </w:rPr>
        <w:t>a quo</w:t>
      </w:r>
      <w:r>
        <w:t xml:space="preserve"> ha de tener en cuenta “determinantemente, lo establecido en el art. 26.3 de la Ley 1/2012, de Presupuestos de Cataluña, que establece un pago del 50 por 100 por la productividad variable”, lo que entiende el órgano judicial que “supone la detracción de una suma del salario en base a unos objetivos establecidos previamente, con una cuantía que fue señalada en su día y que la recurrente cumplió”. Además, se entiende que “la Sentencia que ha de dictarse depende absolutamente de la constitucionalidad del mencionado precepto, por cuanto, de ser declarado constitucional, la Administración habría obrado correctamente detrayendo el 50 por 100 del complemento variable a la recurrente, y de hecho no podría haber obrado de otra manera, llevando a la desestimación del recurso, mientras que, de considerarse inconstitucional el precepto se deduciría el derecho de la actora a percibir tal complemento, llevando a la estimación. Es por ello que el sentido del fallo está absolutamente ligado a la constitucionalidad del precepto”.</w:t>
      </w:r>
    </w:p>
    <w:p w:rsidR="006B7292" w:rsidRDefault="006B7292" w:rsidP="006B7292">
      <w:pPr>
        <w:pStyle w:val="TextoNormal"/>
      </w:pPr>
    </w:p>
    <w:p w:rsidR="006B7292" w:rsidRDefault="006B7292" w:rsidP="006B7292">
      <w:pPr>
        <w:pStyle w:val="TextoNormal"/>
      </w:pPr>
      <w:r>
        <w:t>Expone a continuación los motivos de inconstitucionalidad del precepto cuestionado; en relación con el art. 9.3 CE, entiende el órgano judicial que el mismo establece la imposibilidad de acordar la retroacción cuando ello suponga merma de derechos individuales. En este caso, afirma el órgano judicial, “debe tenerse en cuenta que las retribuciones variables suponen la fijación de unos objetivos que el trabajador ya ha realizado, por lo que existen dudas razonables de que el derecho ya haya surgido”. Considera que la interpretación contraria supondría que la Administración estaría dejando de pagar por un trabajo efectivamente realizado, que, en consecuencia, ha dado lugar a la correspondiente retribución.</w:t>
      </w:r>
    </w:p>
    <w:p w:rsidR="006B7292" w:rsidRDefault="006B7292" w:rsidP="006B7292">
      <w:pPr>
        <w:pStyle w:val="TextoNormal"/>
      </w:pPr>
    </w:p>
    <w:p w:rsidR="006B7292" w:rsidRDefault="006B7292" w:rsidP="006B7292">
      <w:pPr>
        <w:pStyle w:val="TextoNormal"/>
      </w:pPr>
      <w:r>
        <w:t>Respecto al art. 33.3 CE, que impide la privación de bienes y derechos de los ciudadanos, argumenta el órgano judicial que “se trataría de una retribución por trabajo ya devengado, al igual que la vulneración del art. 35 CE”. Este último, a su juicio, “permitiría la adición del motivo relativo a la imposibilidad de alteración unilateral de las condiciones de trabajo cuando el mismo ya se ha realizado, o dicho en otros términos, impide que se encargue por una Administración o ciudadano un trabajo, con pacto en las condiciones a desarrollarse, y posteriormente, una vez el trabajo se ha efectuado, se decida una modificación unilateral a la baja del precio del mismo, sin compensación adicional de ningún tipo”.</w:t>
      </w:r>
    </w:p>
    <w:p w:rsidR="006B7292" w:rsidRDefault="006B7292" w:rsidP="006B7292">
      <w:pPr>
        <w:pStyle w:val="TextoNormal"/>
      </w:pPr>
    </w:p>
    <w:p w:rsidR="006B7292" w:rsidRDefault="006B7292" w:rsidP="006B7292">
      <w:pPr>
        <w:pStyle w:val="TextoNormal"/>
      </w:pPr>
      <w:r>
        <w:t>Finalmente, el órgano judicial considera que la vulneración del art. 106.2 CE se “concreta en que la Administración, obligada a cumplir el objetivo del déficit, ha causado, por su imprevisión, falta de control o factores no imputables al recurrente, un daño que no está obligado a soportar; a saber: la pérdida de unos ingresos devengados por un trabajo efectivamente realizado”. Ello enlaza, entiende el órgano judicial, con el principio de responsabilidad del Estado legislador, y la necesidad de que el mismo responda por los daños injustificados que causa a los ciudadanos con su actividad legislativa.</w:t>
      </w:r>
    </w:p>
    <w:p w:rsidR="006B7292" w:rsidRDefault="006B7292" w:rsidP="006B7292">
      <w:pPr>
        <w:pStyle w:val="TextoNormal"/>
      </w:pPr>
    </w:p>
    <w:p w:rsidR="006B7292" w:rsidRDefault="006B7292" w:rsidP="006B7292">
      <w:pPr>
        <w:pStyle w:val="TextoNormal"/>
      </w:pPr>
      <w:r w:rsidRPr="006B7292">
        <w:rPr>
          <w:rStyle w:val="NumeroAFNegritaCaracter"/>
        </w:rPr>
        <w:t>4</w:t>
      </w:r>
      <w:r>
        <w:t>. Mediante providencia de 22 de julio de 2014, la Sección Segunda de este Tribunal, en virtud del art. 37.1 LOTC, acordó oír al Fiscal General del Estado, al objeto de que, en el plazo de diez días, alegara lo que estimara oportuno en cuanto a la admisibilidad de la presente cuestión en relación con el cumplimiento de los requisitos procesales y en cuanto a si la cuestión fuese notoriamente infundada.</w:t>
      </w:r>
    </w:p>
    <w:p w:rsidR="006B7292" w:rsidRDefault="006B7292" w:rsidP="006B7292">
      <w:pPr>
        <w:pStyle w:val="TextoNormal"/>
      </w:pPr>
    </w:p>
    <w:p w:rsidR="006B7292" w:rsidRDefault="006B7292" w:rsidP="006B7292">
      <w:pPr>
        <w:pStyle w:val="TextoNormal"/>
      </w:pPr>
      <w:r w:rsidRPr="006B7292">
        <w:rPr>
          <w:rStyle w:val="NumeroAFNegritaCaracter"/>
        </w:rPr>
        <w:t>5</w:t>
      </w:r>
      <w:r>
        <w:t>. Por escrito registrado el 16 de febrero de 2015, previa traducción al castellano de la documentación obrante, el Fiscal General del Estado formuló sus alegaciones solicitando la inadmisión de la presente cuestión.</w:t>
      </w:r>
    </w:p>
    <w:p w:rsidR="006B7292" w:rsidRDefault="006B7292" w:rsidP="006B7292">
      <w:pPr>
        <w:pStyle w:val="TextoNormal"/>
      </w:pPr>
    </w:p>
    <w:p w:rsidR="006B7292" w:rsidRDefault="006B7292" w:rsidP="006B7292">
      <w:pPr>
        <w:pStyle w:val="TextoNormal"/>
      </w:pPr>
      <w:r>
        <w:t>Tras constatar que el Auto de planteamiento cumple con los requisitos procesales establecidos en el art. 35 LOTC, considera que, en lo que respecta a la primera de las dudas de constitucionalidad que manifiesta el órgano proponente y que constituye la razón nuclear del planteamiento, esto es, la contradicción con el art. 9.3 CE, el Auto de planteamiento es tan escueto que difícilmente permite conocer con precisión el razonamiento que lleva a cuestionar la disposición legal de referencia. A su juicio, el órgano proponente no exterioriza razonamientos sobre las razones de por qué sostiene la retroactividad de la norma ni cuál sería el alcance máximo, medio o mínimo de la misma y ni siquiera maneja doctrina constitucional en sustento de su posición concreta.</w:t>
      </w:r>
    </w:p>
    <w:p w:rsidR="006B7292" w:rsidRDefault="006B7292" w:rsidP="006B7292">
      <w:pPr>
        <w:pStyle w:val="TextoNormal"/>
      </w:pPr>
    </w:p>
    <w:p w:rsidR="006B7292" w:rsidRDefault="006B7292" w:rsidP="006B7292">
      <w:pPr>
        <w:pStyle w:val="TextoNormal"/>
      </w:pPr>
      <w:r>
        <w:t>Ciertamente la calificación sobre la existencia o no de un derecho consolidado es importante en relación con el carácter retroactivo de una norma, pero precisamente es ésta, es decir, la retroactividad de una norma, así como el grado que alcance en caso positivo, la condición que primeramente ha de abordarse. Con cita de la doctrina constitucional establecida en relación con el art. 9.3 CE, admite que en un caso como el aquí planteado, puede no ofrecer dificultad entender los derechos retributivos como integrantes de la “esfera general de protección de la persona”, que como límite a la eficacia de la norma retroactiva, contempla la jurisprudencia de ese Tribunal Constitucional. La retribución variable involucrada no deja de ser una percepción económica de las que integran la remuneración del trabajo del personal estatutario afectado por la disposición legal presupuestaria aquí cuestionada y, en dicha medida, puede ser entendida como una manifestación más de la esfera general de protección de la persona.</w:t>
      </w:r>
    </w:p>
    <w:p w:rsidR="006B7292" w:rsidRDefault="006B7292" w:rsidP="006B7292">
      <w:pPr>
        <w:pStyle w:val="TextoNormal"/>
      </w:pPr>
    </w:p>
    <w:p w:rsidR="006B7292" w:rsidRDefault="006B7292" w:rsidP="006B7292">
      <w:pPr>
        <w:pStyle w:val="TextoNormal"/>
      </w:pPr>
      <w:r>
        <w:t>El siguiente paso que analiza el Fiscal General del Estado es si esa restricción de los derechos individuales es o no constitucionalmente admisible; recuerda la doctrina constitucional según la cual ha de distinguirse entre una retroactividad de grado máximo —cuando se aplica la nueva norma a la relación o situación básica creada bajo el imperio de la norma antigua y a todos sus efectos consumados o no—; una retroactividad de grado medio —cuando la nueva norma se aplica a los efectos nacidos con anterioridad pero aún no consumados o agotados—; y una retroactividad de grado mínimo —cuando la nueva norma sólo tiene efectos para el futuro aunque la relación o situación básica haya surgido conforme a la anterior. En el presente caso, la norma cuestionada es una disposición de naturaleza presupuestaria contenida en la Ley de presupuestos de 2012, afectante a una partida presupuestaria propia de éstos, y específicamente referida a las retribuciones que se han de satisfacer en dicho periodo anual. Y la adopción de criterio sobre la legitimidad constitucional de la medida no puede sino tener en cuenta que la retribución a la que va referida —el complemento de productividad variable— no es una retribución fija o previsible que se perciba cada mes o cada año necesariamente, como ocurre con el resto de las retribuciones complementarias, sino que está sometida a condiciones de cumplimiento y de reconocimiento del derecho y fijación de la cuantía precisa a percibir. Y, por más que dicho complemento de productividad variable se determine en función del cumplimiento de determinadas condiciones materiales a satisfacer en el periodo anterior del año 2011, se trata de una remuneración que se satisface por la Administración y se percibe por el personal administrado en el ejercicio presupuestario correspondiente a 2012 (concretamente en abril de 2012), y ello ha de hacerse de acuerdo a la normativa aplicable, esto es, tanto el estatuto marco del personal estatutario de los servicios de salud, que dispone “la cuantía de las retribuciones se adecuará a lo que dispongan las correspondientes Leyes de Presupuestos”, como el estatuto básico del empleado público, que en lo que se refiere a las cuantías de las retribuciones, establece que “se tienen que reflejar para cada ejercicio presupuestario en la ley de presupuestos correspondiente”.</w:t>
      </w:r>
    </w:p>
    <w:p w:rsidR="006B7292" w:rsidRDefault="006B7292" w:rsidP="006B7292">
      <w:pPr>
        <w:pStyle w:val="TextoNormal"/>
      </w:pPr>
    </w:p>
    <w:p w:rsidR="006B7292" w:rsidRDefault="006B7292" w:rsidP="006B7292">
      <w:pPr>
        <w:pStyle w:val="TextoNormal"/>
      </w:pPr>
      <w:r>
        <w:t>Explica el Ministerio público que, además de que el pago del complemento de productividad variable se hace efectivo a partir de la nómina de abril del año siguiente al ejercicio anual en que se fijan los objetivos, la correspondiente partida presupuestaria se dota en el año siguiente e incluso la negociación en la mesa general se hace cuando se negocia el presupuesto del año en que se hará efectivo el pago, no en el año anterior. Incluso visto desde la óptica pasiva del rendimiento percibido, como percepción de renta, las cantidades que se reciban por el concepto referido se han de imputar al referido ejercicio de 2012. Señala que el procedimiento para la concreción de las cantidades correspondientes al complemento ahora discutido, en virtud de la instrucción 1/2008, de 21 de enero de 2008, del Director del Instituto Catalán de Salud, se desarrolla de modo periódico en el mes de febrero de cada año siguiente al periodo de referencia, y concluye en el mes de marzo que le sigue, por lo que, en este caso, no cabe obviar que la Ley 1/2012, de presupuestos de la Generalitat, entró en vigor el 28 de febrero de 2012, antes de que tuviera lugar la fijación definitiva de la cantidad procedente por retribución variable. Por ello, no puede apreciarse que la norma objeto de este proceso haya incidido sobre “relaciones consagradas” ni afectó “a situaciones agotadas”.</w:t>
      </w:r>
    </w:p>
    <w:p w:rsidR="006B7292" w:rsidRDefault="006B7292" w:rsidP="006B7292">
      <w:pPr>
        <w:pStyle w:val="TextoNormal"/>
      </w:pPr>
    </w:p>
    <w:p w:rsidR="006B7292" w:rsidRDefault="006B7292" w:rsidP="006B7292">
      <w:pPr>
        <w:pStyle w:val="TextoNormal"/>
      </w:pPr>
      <w:r>
        <w:t>No puede sostenerse, en su opinión, que la norma aplica sus efectos a situaciones jurídicas generadas, consumadas, concluidas y agotadas con anterioridad a la aparición de la propia Ley, y, en consecuencia, se puede concluir que no hay retroactividad ni en su grado máximo ni en su grado medio, y, si acaso, nos encontraríamos ante un supuesto de mínimo alcance en la medida en que la nueva norma sólo tiene efectos para el futuro por más que la relación o situación básica de referencia haya surgido conforme a la anterior. Por consiguiente, siendo que la irretroactividad sólo es aplicable a los derechos consolidados, asumidos e integrados en el patrimonio del sujeto y no a los pendientes, futuros, condicionados y expectativas, la medida presupuestaria cuestionada no sería ilegítima desde la perspectiva constitucional del art. 9.3 CE. Además, señala la trascendencia de las razones de interés general y pública utilidad que han estado tras la adopción de la medida, ya que la disposición se enmarca en una coyuntura económica nacional e internacional que refuerza la necesidad de mantener medidas de contención del gasto público.</w:t>
      </w:r>
    </w:p>
    <w:p w:rsidR="006B7292" w:rsidRDefault="006B7292" w:rsidP="006B7292">
      <w:pPr>
        <w:pStyle w:val="TextoNormal"/>
      </w:pPr>
    </w:p>
    <w:p w:rsidR="006B7292" w:rsidRDefault="006B7292" w:rsidP="006B7292">
      <w:pPr>
        <w:pStyle w:val="TextoNormal"/>
      </w:pPr>
      <w:r>
        <w:t>Descartada la vulneración principalmente esgrimida por el órgano proponente, estima el Fiscal General del Estado que decae cualquier sentido de las supuestas contradicciones de la disposición legal cuestionada con el resto de los preceptos constitucionales aducidos en el Auto de planteamiento.</w:t>
      </w:r>
    </w:p>
    <w:p w:rsidR="006B7292" w:rsidRDefault="006B7292" w:rsidP="006B7292">
      <w:pPr>
        <w:pStyle w:val="TextoNormal"/>
      </w:pPr>
    </w:p>
    <w:p w:rsidR="006B7292" w:rsidRDefault="006B7292" w:rsidP="006B7292">
      <w:pPr>
        <w:pStyle w:val="TextoNormal"/>
      </w:pPr>
      <w:r>
        <w:t>En efecto, en primer lugar, considera que al no existir privación de bien ni derecho alguno, desaparece cualquier basamento para invocar el mandato constitucional del art. 33.3 CE. Por lo que se refiere a la vulneración del art. 35 CE, de los diversos derechos objeto de protección en dicho precepto constitucional el órgano proponente la sostiene sobre la base de que del mismo se desprende “la imposibilidad de alteración unilateral de las condiciones del trabajo cuando el mismo ya se ha realizado.” Pues bien, como sucede respecto del art. 33.3 CE, reitera el Fiscal General del Estado que la ausencia de la privación del derecho elimina la necesidad de desplegar mayor argumentación para rechazar el motivo de inconstitucionalidad articulado respecto del art. 35 CE, precepto que no se vería contradicho por la medida ni en su aspecto individual ni en su aspecto colectivo, ni en ninguna de las manifestaciones y derivaciones predicables del mismo tal y como ha sido interpretado por la doctrina constitucional. Finalmente, con iguales argumentos descarta la vulneración del art. 106.2 CE.</w:t>
      </w:r>
    </w:p>
    <w:p w:rsidR="006B7292" w:rsidRDefault="006B7292" w:rsidP="006B7292">
      <w:pPr>
        <w:pStyle w:val="TextoNormal"/>
      </w:pPr>
    </w:p>
    <w:p w:rsidR="006B7292" w:rsidRDefault="006B7292" w:rsidP="006B7292">
      <w:pPr>
        <w:pStyle w:val="TextoNormal"/>
      </w:pPr>
      <w:r>
        <w:t>Solicita el Fiscal General del Estado la inadmisión de la cuestión de inconstitucionalidad por ser notoriamente infundada.</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Juzgado de lo Contencioso-Administrativo núm. 1 de Tarragona, mediante Auto de 27 de noviembre de 2013, planteó cuestión de inconstitucionalidad respecto al art. 26.3 de la Ley 1/2012, de 22 de febrero, de presupuestos de la Generalitat de Cataluña para 2012, por posible vulneración de lo establecido en los arts. 9.3, 33.3, 35 y 106.2 de la Constitución española.</w:t>
      </w:r>
    </w:p>
    <w:p w:rsidR="006B7292" w:rsidRDefault="006B7292" w:rsidP="006B7292">
      <w:pPr>
        <w:pStyle w:val="TextoNormal"/>
      </w:pPr>
    </w:p>
    <w:p w:rsidR="006B7292" w:rsidRDefault="006B7292" w:rsidP="006B7292">
      <w:pPr>
        <w:pStyle w:val="TextoNormal"/>
      </w:pPr>
      <w:r>
        <w:t>El precepto en relación con el que se plantea la cuestión de inconstitucionalidad establece lo siguiente:</w:t>
      </w:r>
    </w:p>
    <w:p w:rsidR="006B7292" w:rsidRDefault="006B7292" w:rsidP="006B7292">
      <w:pPr>
        <w:pStyle w:val="TextoNormal"/>
      </w:pPr>
    </w:p>
    <w:p w:rsidR="006B7292" w:rsidRDefault="006B7292" w:rsidP="006B7292">
      <w:pPr>
        <w:pStyle w:val="TextoNormal"/>
      </w:pPr>
      <w:r>
        <w:t>“El personal estatutario de los servicios de salud incluido en el ámbito de aplicación del Real decreto ley 3/1987, de 11 de septiembre, sobre retribuciones del personal estatutario del Instituto Nacional de la Salud, de acuerdo con lo establecido por la Ley del Estado 55/2003, de 16 de diciembre, del estatuto marco del personal estatutario de los servicios de salud, percibe las retribuciones según lo establecido por el apartado 1 del presente artículo, además de los complementos de carrera y de atención continua, los cuales no experimentan incremento alguno respecto al ejercicio 2011. Durante el ejercicio 2012 el personal estatutario del Instituto Catalán de la Salud percibe el 50 por 100 de las retribuciones fijadas en el II Acuerdo de la Mesa Sectorial de Negociación de Sanidad sobre las condiciones de trabajo del personal estatutario del Instituto Catalán de la Salud, en concepto de complemento de productividad variable.”</w:t>
      </w:r>
    </w:p>
    <w:p w:rsidR="006B7292" w:rsidRDefault="006B7292" w:rsidP="006B7292">
      <w:pPr>
        <w:pStyle w:val="TextoNormal"/>
      </w:pPr>
    </w:p>
    <w:p w:rsidR="006B7292" w:rsidRDefault="006B7292" w:rsidP="006B7292">
      <w:pPr>
        <w:pStyle w:val="TextoNormal"/>
      </w:pPr>
      <w:r>
        <w:t>En el Auto de planteamiento, tras afirmar que el precepto en relación con el que se plantea la cuestión de inconstitucionalidad es el art. 26.3 de la Ley 1/2012, de 22 de febrero, de presupuestos de la Generalitat de Cataluña para 2012, afirma que la duda de constitucionalidad se limita al último inciso del citado precepto, que se refiere a que durante el ejercicio 2012 el personal estatutario del Instituto Catalán de la Salud percibirá el 50 por 100 del complemento de productividad variable.</w:t>
      </w:r>
    </w:p>
    <w:p w:rsidR="006B7292" w:rsidRDefault="006B7292" w:rsidP="006B7292">
      <w:pPr>
        <w:pStyle w:val="TextoNormal"/>
      </w:pPr>
    </w:p>
    <w:p w:rsidR="006B7292" w:rsidRDefault="006B7292" w:rsidP="006B7292">
      <w:pPr>
        <w:pStyle w:val="TextoNormal"/>
      </w:pPr>
      <w:r w:rsidRPr="006B7292">
        <w:rPr>
          <w:rStyle w:val="NumeroAFNegritaCaracter"/>
        </w:rPr>
        <w:t>2</w:t>
      </w:r>
      <w:r>
        <w:t>. El art. 37.1 de la Ley Orgánica del Tribunal Constitucional (LOTC) establece que este Tribunal podrá rechazar, en trámite de admisión, mediante Auto y sin otra audiencia que la del Fiscal General del Estado, la cuestión de inconstitucionalidad cuando faltaren las condiciones procesales o fuere notoriamente infundada la cuestión suscitada. Hemos dicho, por todos, ATC 133/2014, de 6 de mayo, FJ 2, que 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necesariamente, que carezca de forma total y absoluta de fundamentación o que ésta sea arbitraria, pudiendo resultar conveniente en tales casos resolver la Cuestión en la primera fase procesal, máxime si su admisión pudiera provocar efectos no deseables, como la paralización de múltiples procesos en los que resulte aplicable la norma cuestionada”. En este caso, y por las razones que se expondrán sucintamente a continuación, puede afirmarse que la presente cuestión de inconstitucionalidad resulta notoriamente infundada, como así lo ha considerado el Fiscal General del Estado que ha solicitado su inadmisión por las razones expuestas en los antecedentes.</w:t>
      </w:r>
    </w:p>
    <w:p w:rsidR="006B7292" w:rsidRDefault="006B7292" w:rsidP="006B7292">
      <w:pPr>
        <w:pStyle w:val="TextoNormal"/>
      </w:pPr>
    </w:p>
    <w:p w:rsidR="006B7292" w:rsidRDefault="006B7292" w:rsidP="006B7292">
      <w:pPr>
        <w:pStyle w:val="TextoNormal"/>
      </w:pPr>
      <w:r w:rsidRPr="006B7292">
        <w:rPr>
          <w:rStyle w:val="NumeroAFNegritaCaracter"/>
        </w:rPr>
        <w:t>3</w:t>
      </w:r>
      <w:r>
        <w:t>. Como se ha puesto de manifiesto en los antecedentes, el problema constitucional que se plantea es determinar si el inciso del precepto impugnado que dispone que durante el ejercicio 2012 el personal estatutario del Instituto Catalán de la Salud percibirá el 50 por 100 de las retribuciones correspondientes al complemento de productividad variable, es contrario a los arts. 9.3, 33.3, 35 y 106.2 de la Constitución. La cuestión debe ser inadmitida puesto que, como se argumentará, el inciso del artículo impugnado de cuya constitucionalidad se duda, no contraviene ninguno de los preceptos constitucionales que el órgano judicial considera afectados.</w:t>
      </w:r>
    </w:p>
    <w:p w:rsidR="006B7292" w:rsidRDefault="006B7292" w:rsidP="006B7292">
      <w:pPr>
        <w:pStyle w:val="TextoNormal"/>
      </w:pPr>
    </w:p>
    <w:p w:rsidR="006B7292" w:rsidRDefault="006B7292" w:rsidP="006B7292">
      <w:pPr>
        <w:pStyle w:val="TextoNormal"/>
      </w:pPr>
      <w:r>
        <w:t>En relación con el art. 9.3 CE, entiende el órgano judicial que el mismo establece la imposibilidad de acordar la retroactividad de una norma cuando ello suponga merma de derechos individuales y, en este caso, considera que “debe tenerse en cuenta que las retribuciones variables suponen la fijación de unos objetivos que el trabajador ya ha realizado, por lo que existen dudas razonables de que el derecho ya haya surgido”. Entiende el órgano judicial que una interpretación contraria supondría que la Administración estaría dejando de pagar por un trabajo efectivamente realizado, que, en consecuencia, habría dado lugar a la correspondiente retribución.</w:t>
      </w:r>
    </w:p>
    <w:p w:rsidR="006B7292" w:rsidRDefault="006B7292" w:rsidP="006B7292">
      <w:pPr>
        <w:pStyle w:val="TextoNormal"/>
      </w:pPr>
    </w:p>
    <w:p w:rsidR="006B7292" w:rsidRDefault="006B7292" w:rsidP="006B7292">
      <w:pPr>
        <w:pStyle w:val="TextoNormal"/>
      </w:pPr>
      <w:r>
        <w:t>Como punto de partida es necesario analizar la naturaleza del complemento de productividad; en este sentido, debe señalarse que el complemento de productividad, por su propia esencia, tiene una cuantía variable; variable es la cuantía concreta que el trabajador percibe por dicho complemento, puesto que se fijará siempre en función de los objetivos alcanzados y demás circunstancias que deban tenerse en cuenta para su determinación, y variable será siempre la partida del presupuesto que incluya tal concepto, puesto que su cuantía dependerá de las disponibilidades presupuestarias.</w:t>
      </w:r>
    </w:p>
    <w:p w:rsidR="006B7292" w:rsidRDefault="006B7292" w:rsidP="006B7292">
      <w:pPr>
        <w:pStyle w:val="TextoNormal"/>
      </w:pPr>
    </w:p>
    <w:p w:rsidR="006B7292" w:rsidRDefault="006B7292" w:rsidP="006B7292">
      <w:pPr>
        <w:pStyle w:val="TextoNormal"/>
      </w:pPr>
      <w:r>
        <w:t>Esta naturaleza variable del complemento de productividad viene corroborada por su normativa; así, en primer lugar, el art. 43.2 c) de la Ley 55/2003, de 16 de diciembre, del estatuto marco del personal estatutario de servicios de salud, recoge entre las retribuciones complementarias el complemento de productividad “destinado a retribuir el especial rendimiento, el interés o la iniciativa del titular del puesto, así como su participación en programas o actuaciones concretas y la contribución del personal a la consecución de los objetivos programados, previa evaluación de los resultados conseguidos.” Por su parte, el art. 41 de dicho texto legal, dispone que “las retribuciones complementarias se orientan prioritariamente a la motivación del personal, a la incentivación de la actividad y la calidad del servicio, a la dedicación y a la consecución de los objetivos planificados”, asimismo, establece que “la cuantía de las retribuciones se adecuará a lo que dispongan las correspondientes leyes de presupuestos.”</w:t>
      </w:r>
    </w:p>
    <w:p w:rsidR="006B7292" w:rsidRDefault="006B7292" w:rsidP="006B7292">
      <w:pPr>
        <w:pStyle w:val="TextoNormal"/>
      </w:pPr>
    </w:p>
    <w:p w:rsidR="006B7292" w:rsidRDefault="006B7292" w:rsidP="006B7292">
      <w:pPr>
        <w:pStyle w:val="TextoNormal"/>
      </w:pPr>
      <w:r>
        <w:t>En consecuencia, se desprende con claridad de la naturaleza y regulación del complemento de productividad del personal de servicios de salud que su cuantía dependerá de lo que disponga la Ley de presupuestos y que se determinará en función del especial rendimiento, el interés o la iniciativa del titular del puesto, su participación en programas o actuaciones concretas y la contribución del personal a la consecución de los objetivos programados. Difícilmente, por tanto, se puede argumentar que el trabajador tenga, con carácter previo a la valoración de tales circunstancias y a la entrada en vigor de la correspondiente ley de presupuestos, un derecho adquirido y consolidado a una concreta cuantía de tal complemento.</w:t>
      </w:r>
    </w:p>
    <w:p w:rsidR="006B7292" w:rsidRDefault="006B7292" w:rsidP="006B7292">
      <w:pPr>
        <w:pStyle w:val="TextoNormal"/>
      </w:pPr>
    </w:p>
    <w:p w:rsidR="006B7292" w:rsidRDefault="006B7292" w:rsidP="006B7292">
      <w:pPr>
        <w:pStyle w:val="TextoNormal"/>
      </w:pPr>
      <w:r>
        <w:t>Debe advertirse, además, que, como acertadamente ha puesto de manifiesto el Fiscal General del Estado en sus alegaciones, en el caso concreto, por más que dicho complemento de productividad variable se determine en función del cumplimiento de determinadas condiciones materiales que se cumplimentan en un periodo anterior (en este caso, durante el año 2011), se trata de una remuneración que se satisface por la Administración y se percibe por el personal administrado en el ejercicio presupuestario correspondiente a 2012, y ello ha de hacerse de acuerdo a la normativa aplicable, esto es, tanto el estatuto marco del personal estatutario de los servicios de salud, que, como señalamos más arriba, dispone que “la cuantía de las retribuciones se adecuará a lo que dispongan las correspondientes Leyes de Presupuestos”, como la Ley del estatuto básico del empleado público, que en lo que se refiere a las cuantías de las retribuciones, establece que “se tienen que reflejar para cada ejercicio presupuestario en la ley de presupuestos correspondiente”, por lo que tendrán que ser satisfechas conforme a las partidas presupuestarias establecidas para ello.</w:t>
      </w:r>
    </w:p>
    <w:p w:rsidR="006B7292" w:rsidRDefault="006B7292" w:rsidP="006B7292">
      <w:pPr>
        <w:pStyle w:val="TextoNormal"/>
      </w:pPr>
    </w:p>
    <w:p w:rsidR="006B7292" w:rsidRDefault="006B7292" w:rsidP="006B7292">
      <w:pPr>
        <w:pStyle w:val="TextoNormal"/>
      </w:pPr>
      <w:r>
        <w:t>Además, conforme a la normativa aplicable (la instrucción 1/2008, de 21 de enero del director del Instituto Catalán de Salud) el proceso para la cuantificación y pago de las cuantías del complemento de productividad, se lleva a cabo, anualmente, durante los meses de febrero hasta abril del año siguiente al periodo de referencia, por lo que, no cabe hablar de aplicación retroactiva del precepto cuestionado, que entró en vigor antes de que tuviera lugar la fijación definitiva de la cantidad procedente por retribución variable. En definitiva, la principal objeción planteada por el órgano proponente debe descartarse puesto que, en puridad, no puede sostenerse que exista aplicación auténticamente retroactiva de la norma cuestionada, en la medida en que ésta no incidió sobre “relaciones consagradas” ni afectó “a situaciones agotadas”.</w:t>
      </w:r>
    </w:p>
    <w:p w:rsidR="006B7292" w:rsidRDefault="006B7292" w:rsidP="006B7292">
      <w:pPr>
        <w:pStyle w:val="TextoNormal"/>
      </w:pPr>
    </w:p>
    <w:p w:rsidR="006B7292" w:rsidRDefault="006B7292" w:rsidP="006B7292">
      <w:pPr>
        <w:pStyle w:val="TextoNormal"/>
      </w:pPr>
      <w:r w:rsidRPr="006B7292">
        <w:rPr>
          <w:rStyle w:val="NumeroAFNegritaCaracter"/>
        </w:rPr>
        <w:t>4</w:t>
      </w:r>
      <w:r>
        <w:t>. De lo dicho en los fundamentos anteriores se desprende con claridad que las demás dudas de constitucionalidad planteadas por el órgano judicial carecen igualmente de fundamento.</w:t>
      </w:r>
    </w:p>
    <w:p w:rsidR="006B7292" w:rsidRDefault="006B7292" w:rsidP="006B7292">
      <w:pPr>
        <w:pStyle w:val="TextoNormal"/>
      </w:pPr>
    </w:p>
    <w:p w:rsidR="006B7292" w:rsidRDefault="006B7292" w:rsidP="006B7292">
      <w:pPr>
        <w:pStyle w:val="TextoNormal"/>
      </w:pPr>
      <w:r>
        <w:t>En efecto, en primer lugar, no existe privación de bien ni derecho incorporado al patrimonio del trabajador, con lo que desaparece cualquier argumento para invocar el mandato constitucional del art. 33.3 CE.</w:t>
      </w:r>
    </w:p>
    <w:p w:rsidR="006B7292" w:rsidRDefault="006B7292" w:rsidP="006B7292">
      <w:pPr>
        <w:pStyle w:val="TextoNormal"/>
      </w:pPr>
    </w:p>
    <w:p w:rsidR="006B7292" w:rsidRDefault="006B7292" w:rsidP="006B7292">
      <w:pPr>
        <w:pStyle w:val="TextoNormal"/>
      </w:pPr>
      <w:r>
        <w:t>Por lo que se refiere a la vulneración del art. 35 CE, de los diversos derechos objeto de protección en dicho precepto constitucional el órgano proponente sostiene que del mismo se desprende “la imposibilidad de alteración unilateral de las condiciones del trabajo cuando el mismo ya se ha realizado”. Pues bien, como ha manifestado el Fiscal General del Estado en sus alegaciones, la ausencia de la privación de derecho elimina la necesidad de desplegar mayor argumentación para rechazar el motivo de inconstitucionalidad articulado respecto del art. 35 CE, precepto que no se vería contradicho por la medida ni en su aspecto individual ni en su aspecto colectivo, ni en ninguna de las manifestaciones y derivaciones predicables del mismo tal y como ha sido interpretado por la doctrina constitucional.</w:t>
      </w:r>
    </w:p>
    <w:p w:rsidR="006B7292" w:rsidRDefault="006B7292" w:rsidP="006B7292">
      <w:pPr>
        <w:pStyle w:val="TextoNormal"/>
      </w:pPr>
    </w:p>
    <w:p w:rsidR="006B7292" w:rsidRDefault="006B7292" w:rsidP="006B7292">
      <w:pPr>
        <w:pStyle w:val="TextoNormal"/>
      </w:pPr>
      <w:r>
        <w:t>Por último, la vulneración del art. 106.2 CE, finalmente, no se ha producido en la medida en que los derechos por las mismas razones ya reseñadas que descartaron la existencia de privación de derechos y la vulneración del art. 33.3 CE, en consonancia con las que sirvieron de sustento para el rechazo de la vulneración del art. 9.3 CE.</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Inadmitir a trámite la cuestión de inconstitucionalidad núm. 7490-2013.</w:t>
      </w:r>
    </w:p>
    <w:p w:rsidR="006B7292" w:rsidRDefault="006B7292" w:rsidP="006B7292">
      <w:pPr>
        <w:pStyle w:val="TextoNormal"/>
      </w:pPr>
    </w:p>
    <w:p w:rsidR="006B7292" w:rsidRDefault="006B7292" w:rsidP="006B7292">
      <w:pPr>
        <w:pStyle w:val="TextoNormal"/>
      </w:pPr>
      <w:r>
        <w:t>Publíquese este Auto en el “Boletín Oficial del Estado”.</w:t>
      </w:r>
    </w:p>
    <w:p w:rsidR="006B7292" w:rsidRDefault="006B7292" w:rsidP="006B7292">
      <w:pPr>
        <w:pStyle w:val="TextoNormal"/>
      </w:pPr>
    </w:p>
    <w:p w:rsidR="006B7292" w:rsidRDefault="006B7292" w:rsidP="006B7292">
      <w:pPr>
        <w:pStyle w:val="TextoNormal"/>
      </w:pPr>
      <w:r>
        <w:t>Madrid, a siete de julio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36" w:name="AUTO_2015_122"/>
      <w:r>
        <w:t>AUTO 122/2015, de 7 de julio de 2015</w:t>
      </w:r>
    </w:p>
    <w:bookmarkEnd w:id="136"/>
    <w:p w:rsidR="006B7292" w:rsidRDefault="006B7292" w:rsidP="006B7292">
      <w:pPr>
        <w:pStyle w:val="TtuloResolucin"/>
      </w:pPr>
      <w:r>
        <w:t>Pleno</w:t>
      </w:r>
    </w:p>
    <w:p w:rsidR="006B7292" w:rsidRDefault="006B7292" w:rsidP="006B7292">
      <w:pPr>
        <w:pStyle w:val="TextoNormalCentrado"/>
      </w:pPr>
      <w:r>
        <w:t>ECLI:ES:TC:2015:122A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Acuerda la suspensión parcial en el recurso de inconstitucionalidad 1442-2015, interpuesto por el Presidente del Gobierno en relación con los artículos 1 a 9, 26 y 29 a 38 de la Ley del Parlamento de Cataluña 16/2014, de 4 de diciembre, de acción exterior y de relaciones con la Unión Europea.</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presentado en el Registro General de este Tribunal el 11 de marzo de 2015, el Abogado del Estado, en nombre del Presidente del Gobierno, interpuso recurso de inconstitucionalidad contra los arts. 1 a 9, 26 y 29 a 38 de la Ley del Parlamento de Cataluña 16/2014, de 4 de diciembre, de acción exterior y de relaciones con la Unión Europea. El Abogado del Estado invocó el art. 161.2 CE y el art. 30 de la Ley Orgánica del Tribunal Constitucional (LOTC) a fin de que se produjese la suspensión de la Ley recurrida.</w:t>
      </w:r>
    </w:p>
    <w:p w:rsidR="006B7292" w:rsidRDefault="006B7292" w:rsidP="006B7292">
      <w:pPr>
        <w:pStyle w:val="TextoNormal"/>
      </w:pPr>
    </w:p>
    <w:p w:rsidR="006B7292" w:rsidRDefault="006B7292" w:rsidP="006B7292">
      <w:pPr>
        <w:pStyle w:val="TextoNormal"/>
      </w:pPr>
      <w:r w:rsidRPr="006B7292">
        <w:rPr>
          <w:rStyle w:val="NumeroAFNegritaCaracter"/>
        </w:rPr>
        <w:t>2</w:t>
      </w:r>
      <w:r>
        <w:t>. Por providencia de 14 de abril de 2015 el Pleno del Tribunal acordó admitir a trámite el recurso de inconstitucionalidad, dar traslado de la demanda y documentos presentados, conforme establece el art. 34 LOTC, al Congreso de los Diputados y al Senado, así como al Gobierno y al Parlamento de Cataluña, al objeto de que en el plazo de quince días pudieran personarse en el proceso y formular las alegaciones que estimaren convenientes. Asimismo, se acordó tener por invocado el art. 161.2 CE, lo que, conforme dispone el art. 30 LOTC, produce la suspensión de la vigencia y aplicación de los preceptos legales impugnados desde la fecha de interposición del recurso para las partes del proceso y desde el día en que aparezca publicada la suspensión en el “Boletín Oficial del Estado” para los terceros. Por último, también se ordenó publicar la incoación del recurso en el “Boletín Oficial del Estado” (publicación que tuvo lugar el 17 de abril de 2015) y en el “Diari Oficial de la Generalitat de Catalunya”.</w:t>
      </w:r>
    </w:p>
    <w:p w:rsidR="006B7292" w:rsidRDefault="006B7292" w:rsidP="006B7292">
      <w:pPr>
        <w:pStyle w:val="TextoNormal"/>
      </w:pPr>
    </w:p>
    <w:p w:rsidR="006B7292" w:rsidRDefault="006B7292" w:rsidP="006B7292">
      <w:pPr>
        <w:pStyle w:val="TextoNormal"/>
      </w:pPr>
      <w:r w:rsidRPr="006B7292">
        <w:rPr>
          <w:rStyle w:val="NumeroAFNegritaCaracter"/>
        </w:rPr>
        <w:t>3</w:t>
      </w:r>
      <w:r>
        <w:t>. Por escritos registrados en el Tribunal Constitucional el 22 y 23 de abril de 2015, respectivamente, los Presidentes del Senado y del Congreso de los Diputados comunican el acuerdo de la Mesa de sus respectivas Cámaras de personarse en el proceso, ofreciendo su colaboración a los efectos del art. 88.1 LOTC.</w:t>
      </w:r>
    </w:p>
    <w:p w:rsidR="006B7292" w:rsidRDefault="006B7292" w:rsidP="006B7292">
      <w:pPr>
        <w:pStyle w:val="TextoNormal"/>
      </w:pPr>
    </w:p>
    <w:p w:rsidR="006B7292" w:rsidRDefault="006B7292" w:rsidP="006B7292">
      <w:pPr>
        <w:pStyle w:val="TextoNormal"/>
      </w:pPr>
      <w:r w:rsidRPr="006B7292">
        <w:rPr>
          <w:rStyle w:val="NumeroAFNegritaCaracter"/>
        </w:rPr>
        <w:t>4</w:t>
      </w:r>
      <w:r>
        <w:t>. Por escrito registrado en este Tribunal el 7 de mayo de 2015, la Abogada de la Generalitat de Cataluña, en la representación que legalmente ostenta, comparece en el proceso y formula alegaciones interesando la desestimación del recurso de inconstitucionalidad. Mediante otrosí insta el levantamiento de la suspensión de los preceptos impugnados antes del transcurso del plazo legal de cinco meses, formulando las alegaciones siguientes:</w:t>
      </w:r>
    </w:p>
    <w:p w:rsidR="006B7292" w:rsidRDefault="006B7292" w:rsidP="006B7292">
      <w:pPr>
        <w:pStyle w:val="TextoNormal"/>
      </w:pPr>
    </w:p>
    <w:p w:rsidR="006B7292" w:rsidRDefault="006B7292" w:rsidP="006B7292">
      <w:pPr>
        <w:pStyle w:val="TextoNormal"/>
      </w:pPr>
      <w:r>
        <w:t>a) La Abogada de la Generalitat se refiere en primer lugar a la conocida doctrina constitucional conforme a la cual la decisión del Tribunal Constitucional sobre la ratificación o el levantamiento de la suspensión de la Ley autonómica impugnada debe atender a la presunción de legitimidad de las leyes y a la ponderación de los intereses perjudicados por la suspensión.</w:t>
      </w:r>
    </w:p>
    <w:p w:rsidR="006B7292" w:rsidRDefault="006B7292" w:rsidP="006B7292">
      <w:pPr>
        <w:pStyle w:val="TextoNormal"/>
      </w:pPr>
    </w:p>
    <w:p w:rsidR="006B7292" w:rsidRDefault="006B7292" w:rsidP="006B7292">
      <w:pPr>
        <w:pStyle w:val="TextoNormal"/>
      </w:pPr>
      <w:r>
        <w:t>b) Conforme a dicha doctrina constitucional considera la Abogada de la Generalitat que no existen razones fundadas para el mantenimiento de la suspensión de los preceptos impugnados. El recurso de inconstitucionalidad no se fundamenta en la vulneración de la competencia estatal en materia de relaciones internacionales sino en el uso por los preceptos impugnados de determinadas expresiones para definir el contenido de las actuaciones, actividades, iniciativas y políticas que tienen en común configurarse en la Ley 16/2014 como instrumentos de la acción exterior de la Generalitat. De manera que parece derivarse del recurso la voluntad de obtener del Tribunal Constitucional una sentencia que de nuevo interprete (pese a que existe ya consolidada doctrina al respecto) cuál es el contenido de la competencia estatal en materia de relaciones internacionales y cuáles los límites de las actuaciones con proyección exterior de las Comunidades Autónomas.</w:t>
      </w:r>
    </w:p>
    <w:p w:rsidR="006B7292" w:rsidRDefault="006B7292" w:rsidP="006B7292">
      <w:pPr>
        <w:pStyle w:val="TextoNormal"/>
      </w:pPr>
    </w:p>
    <w:p w:rsidR="006B7292" w:rsidRDefault="006B7292" w:rsidP="006B7292">
      <w:pPr>
        <w:pStyle w:val="TextoNormal"/>
      </w:pPr>
      <w:r>
        <w:t>Puesto que tales son los fundamentos de la impugnación, no parece posible atribuir a los preceptos impugnados un perjuicio concreto y directo del interés público o privado, ni atribuir a la aplicación de esos preceptos la producción de perjuicios de imposible o difícil reparación. Esto bastaría —afirma la Abogada de la Generalitat— para justificar que el Tribunal Constitucional, en aplicación de su doctrina, levantara de inmediato la suspensión. Sin embargo, con objeto de reafirmar que los preceptos impugnados no sólo se ajustan al marco constitucional y estatutario de distribución de competencias sino que no ocasionan perjuicio alguno, la Abogada de la Generalitat se refiere a continuación de forma específica a los distintos preceptos impugnados aduciendo las razones que justificarían la decisión de alzar la suspensión.</w:t>
      </w:r>
    </w:p>
    <w:p w:rsidR="006B7292" w:rsidRDefault="006B7292" w:rsidP="006B7292">
      <w:pPr>
        <w:pStyle w:val="TextoNormal"/>
      </w:pPr>
    </w:p>
    <w:p w:rsidR="006B7292" w:rsidRDefault="006B7292" w:rsidP="006B7292">
      <w:pPr>
        <w:pStyle w:val="TextoNormal"/>
      </w:pPr>
      <w:r>
        <w:t>c) Alega, en primer lugar, que la acción exterior de la Generalitat que la Ley 16/2014 define en sus arts. 1 a 4 no limita su ámbito a la ejecución de un determinado título competencial; se proyecta sobre los intereses de Cataluña sin exigir que se fundamente en un título competencial concreto y sin prever expresamente que deba sujetarse a los instrumentos de coordinación fijados en la normativa estatal. No parece que la mera previsión de un marco normativo que define la acción exterior de la Generalitat y establece sus finalidades pueda producir un perjuicio directo y concreto a la política exterior que corresponde ejercer al Estado, por el hecho de que la Ley 16/2014 no exija que las actuaciones que integran la acción exterior de la Generalitat se circunscriban a un ámbito competencial específico. La actuación exterior de las Comunidades Autónomas tiene un carácter instrumental de sus competencias, pero ese carácter instrumental no comporta que cada actuación deba necesariamente tener una vinculación directa e inmediata en un determinado título competencial. Además, la acción exterior vinculada a la promoción de los intereses de la Comunidad Autónoma ha sido considerada “irreprochable en términos constitucionales” por la STC 31/2010, FJ 118.</w:t>
      </w:r>
    </w:p>
    <w:p w:rsidR="006B7292" w:rsidRDefault="006B7292" w:rsidP="006B7292">
      <w:pPr>
        <w:pStyle w:val="TextoNormal"/>
      </w:pPr>
    </w:p>
    <w:p w:rsidR="006B7292" w:rsidRDefault="006B7292" w:rsidP="006B7292">
      <w:pPr>
        <w:pStyle w:val="TextoNormal"/>
      </w:pPr>
      <w:r>
        <w:t>El pretendido perjuicio directo y concreto a la política exterior del Estado tampoco se puede fundamentar, según la Abogada de la Generalitat, en el hecho de que los preceptos impugnados, cuando definen y determinan las finalidades de la acción exterior de la Comunidad Autónoma, no se refieran expresamente a las competencias estatales de coordinación y a los principios rectores de la acción exterior del Estado recogidos en la Ley 2/2014, de la acción y el servicio exterior del Estado. La ausencia, en la Ley 16/2014, de una referencia a esa función de coordinación y a esos principios no produce ningún perjuicio o menoscabo a la competencia estatal; nada en el texto de los preceptos impugnados permite afirmar que pretendan impedir o dificultar la función estatal de coordinación. Solo si una eventual actuación concreta de la Generalitat desconociera lo dispuesto en la legislación estatal se podría producir un perjuicio para la dirección o puesta en ejecución de la política exterior que corresponde al Estado; en tal caso, el Estado podría activar los instrumentos de que dispone para evitar esa posible vulneración de su competencia.</w:t>
      </w:r>
    </w:p>
    <w:p w:rsidR="006B7292" w:rsidRDefault="006B7292" w:rsidP="006B7292">
      <w:pPr>
        <w:pStyle w:val="TextoNormal"/>
      </w:pPr>
    </w:p>
    <w:p w:rsidR="006B7292" w:rsidRDefault="006B7292" w:rsidP="006B7292">
      <w:pPr>
        <w:pStyle w:val="TextoNormal"/>
      </w:pPr>
      <w:r>
        <w:t>d) Por lo que respecta a las funciones que la Ley 16/2014 atribuye al Parlamento de Cataluña, al Presidente de la Generalitat y a su Gobierno y Administración (arts. 5 a 9), tampoco aprecia la Abogada de la Generalitat que causen ningún perjuicio directo al interés público o privado. En la mayoría de los casos se trata de funciones que ya venían ejerciéndose antes de su previsión en la Ley 16/2014; están recogidas en el Estatuto de Autonomía de Cataluña (EAC) y sobre ellas ya se pronunció la citada STC 31/2010 declarando su conformidad con la Constitución. Así, el recurso impugna, sin justificar los motivos, que el Parlamento de Cataluña, en ejercicio de su función de control del Gobierno, debata sobre un plan estratégico de acción exterior que no es objeto de impugnación; o que el Parlamento ejerza la función de control de subsidiariedad, ya que, según sostiene el recurso, esa función no se desarrollará en los términos previstos en la normativa europea y española. Difícilmente pueden derivarse perjuicios de una regulación que no se refiere en absoluto al procedimiento del control de subsidiariedad sino que se limita a afirmar, de acuerdo con la normativa de la Unión Europea y con la normativa estatal, que, en el ámbito de la Generalitat, las funciones relacionadas con aquel control corresponden al Parlamento (y no al Gobierno o a la Administración de la Generalitat). Es imposible que esa simple atribución de funciones ajustada a la normativa estatal produzca perjuicio alguno, por lo que no se justifica su suspensión.</w:t>
      </w:r>
    </w:p>
    <w:p w:rsidR="006B7292" w:rsidRDefault="006B7292" w:rsidP="006B7292">
      <w:pPr>
        <w:pStyle w:val="TextoNormal"/>
      </w:pPr>
    </w:p>
    <w:p w:rsidR="006B7292" w:rsidRDefault="006B7292" w:rsidP="006B7292">
      <w:pPr>
        <w:pStyle w:val="TextoNormal"/>
      </w:pPr>
      <w:r>
        <w:t>Las funciones que los preceptos citados atribuyen al Gobierno y a la Administración de la Generalitat en materia de acción exterior tampoco impiden ni perturban las competencias del Estado, según la Abogada de la Generalitat. No aprecia, por ejemplo, qué perjuicio concreto puede derivarse de la función del Gobierno de participar en el nombramiento de las personas que deban representar a la Generalitat en las delegaciones negociadoras del Estado ante la Unión Europea y en la Representación Permanente del Estado ante la Unión Europea, cuando, como dice el propio recurso, ello “debe interpretarse como funciones de propuesta” y así lo establecen el art. 187 EAC y los acuerdos sobre participación autonómica en asuntos europeos adoptados en el marco de la Ley estatal 2/1997.</w:t>
      </w:r>
    </w:p>
    <w:p w:rsidR="006B7292" w:rsidRDefault="006B7292" w:rsidP="006B7292">
      <w:pPr>
        <w:pStyle w:val="TextoNormal"/>
      </w:pPr>
    </w:p>
    <w:p w:rsidR="006B7292" w:rsidRDefault="006B7292" w:rsidP="006B7292">
      <w:pPr>
        <w:pStyle w:val="TextoNormal"/>
      </w:pPr>
      <w:r>
        <w:t xml:space="preserve">e) En cuanto a los acuerdos de colaboración, el recurso fundamenta la impugnación de los arts. 2 d) y 7 e) en una supuesta invasión de la competencia estatal en materia de relaciones internacionales. Se basa, por un lado, en que el concepto de “acuerdos de colaboración” no se corresponde con la definición que la Ley estatal 25/2014, de tratados y otros acuerdos internacionales, realiza de los acuerdos internacionales no normativos; por otro, en el hecho de que los preceptos citados no se refieren expresamente a los requisitos a que la Ley estatal somete la celebración de estos acuerdos. Según la Abogada de la Generalitat nada hay en los preceptos impugnados que conduzca a considerar que los acuerdos de colaboración constituyen tratados internacionales; tampoco que impida o dificulte la función de coordinación estatal, que se concreta en la obligación de remitir los proyectos de acuerdos internacionales no normativos al Ministerio de Asuntos Exteriores y Cooperación antes de su firma, para que sean informados por la Asesoría Jurídica Internacional acerca de su naturaleza, procedimiento y más adecuada instrumentación según el derecho internacional y, en particular, dictaminar sobre si dicho proyecto debería formalizarse como tratado internacional. Puesto que nada en la Ley 16/2014 impide o dificulta que los acuerdos de colaboración se sujeten a los requisitos previstos en la Ley estatal 25/2014, es patente que los preceptos impugnados no producen un perjuicio directo al </w:t>
      </w:r>
      <w:r w:rsidRPr="006B7292">
        <w:rPr>
          <w:i/>
        </w:rPr>
        <w:t>ius contrahendi</w:t>
      </w:r>
      <w:r>
        <w:t xml:space="preserve"> que corresponde al Estado. Además, difícilmente se puede sostener que la no suspensión de la atribución al Gobierno de la Generalitat para aprobar o autorizar los acuerdos de colaboración pueda producir algún perjuicio, cuando esa misma función ya la atribuyó al Gobierno de la Generalitat la Ley catalana 13/2008, que no ha sido impugnada.</w:t>
      </w:r>
    </w:p>
    <w:p w:rsidR="006B7292" w:rsidRDefault="006B7292" w:rsidP="006B7292">
      <w:pPr>
        <w:pStyle w:val="TextoNormal"/>
      </w:pPr>
    </w:p>
    <w:p w:rsidR="006B7292" w:rsidRDefault="006B7292" w:rsidP="006B7292">
      <w:pPr>
        <w:pStyle w:val="TextoNormal"/>
      </w:pPr>
      <w:r>
        <w:t xml:space="preserve">f) La regulación relativa al establecimiento de delegaciones y oficinas de la Generalitat ante la Unión Europea y en el exterior ha sido impugnada, según el recurso, comporta la atribución de la Generalitat del </w:t>
      </w:r>
      <w:r w:rsidRPr="006B7292">
        <w:rPr>
          <w:i/>
        </w:rPr>
        <w:t>ius legationis</w:t>
      </w:r>
      <w:r>
        <w:t xml:space="preserve"> que corresponde a la competencia estatal en materia de relaciones internacionales y colisiona con las previsiones de la Ley estatal 2/2014. Nada de lo establecido en los arts. 2, apartados e) y f), y 29 a 33 de la Ley 16/2014 puede servir de apoyo a esa argumentación; en cualquier caso, la necesaria comunicación al Estado de la apertura de las oficinas y delegaciones de la Generalitat permite evitar cualquier eventual exceso competencial, debiendo recordarse que el establecimiento de delegaciones y oficinas de la Generalitat en el exterior está previsto en el Estatuto de Autonomía de Cataluña y ha sido avalado por la STC 31/2010.</w:t>
      </w:r>
    </w:p>
    <w:p w:rsidR="006B7292" w:rsidRDefault="006B7292" w:rsidP="006B7292">
      <w:pPr>
        <w:pStyle w:val="TextoNormal"/>
      </w:pPr>
    </w:p>
    <w:p w:rsidR="006B7292" w:rsidRDefault="006B7292" w:rsidP="006B7292">
      <w:pPr>
        <w:pStyle w:val="TextoNormal"/>
      </w:pPr>
      <w:r>
        <w:t>La actuación de las oficinas y delegaciones ya existentes no ha merecido, desde que fueron creadas, reproche alguno por invadir las funciones propias los órganos de representación estatal. En el caso de Cataluña, su presencia directa se inició en el ámbito de la Unión Europea en el año 1982 con la creación de un consorcio denominado “Patronat Català Pro Europa” que posteriormente pasó a integrar la Delegación de la Generalitat ante la Unión Europea. Fuera de este ámbito, la Generalitat ha establecido desde hace muchos años diversas delegaciones y dispone de una red de oficinas sectoriales en ámbitos como la lengua, las empresas culturales o el turismo. No es posible sostener que produzca un grave y directo perjuicio a la competencia estatal la mera previsión en los preceptos impugnados (que son perfectamente compatibles con su sujeción a los requisitos de comunicación previa al Estado) de unas delegaciones y oficinas de la Generalitat en el exterior; ya están funcionando y su creación no sólo no ha sido cuestionada hasta ahora sino que incluso ha sido reconocida recientemente por el legislador estatal en la Ley 2/2014, de acción y servicio exterior del Estado.</w:t>
      </w:r>
    </w:p>
    <w:p w:rsidR="006B7292" w:rsidRDefault="006B7292" w:rsidP="006B7292">
      <w:pPr>
        <w:pStyle w:val="TextoNormal"/>
      </w:pPr>
    </w:p>
    <w:p w:rsidR="006B7292" w:rsidRDefault="006B7292" w:rsidP="006B7292">
      <w:pPr>
        <w:pStyle w:val="TextoNormal"/>
      </w:pPr>
      <w:r>
        <w:t>g) Por último, se refiere a la impugnación de la previsión, en los arts. 6 y 26, del objetivo del Gobierno de la Generalitat de mantener contactos con los consulados existentes en Cataluña, así como de la regulación de diplomacia pública de Cataluña [arts. 2 i), j), k) y 1) y 34 a 36], por entender el recurso que en ambos casos dichas funciones se corresponden con e</w:t>
      </w:r>
      <w:r w:rsidRPr="006B7292">
        <w:rPr>
          <w:i/>
        </w:rPr>
        <w:t>l ius legation</w:t>
      </w:r>
      <w:r>
        <w:t>is.</w:t>
      </w:r>
    </w:p>
    <w:p w:rsidR="006B7292" w:rsidRDefault="006B7292" w:rsidP="006B7292">
      <w:pPr>
        <w:pStyle w:val="TextoNormal"/>
      </w:pPr>
    </w:p>
    <w:p w:rsidR="006B7292" w:rsidRDefault="006B7292" w:rsidP="006B7292">
      <w:pPr>
        <w:pStyle w:val="TextoNormal"/>
      </w:pPr>
      <w:r>
        <w:t>Alega la Abogada de la Generalitat que las habituales relaciones de la Generalitat con los representantes del cuerpo consular en Cataluña no pueden, por su mera previsión en la Ley 16/2014, causar un perjuicio real y efectivo en la dirección de la política exterior del Estado. No niega, por otra parte, que la diplomacia, en el sentido tradicionalmente atribuido a dicho término, es un instrumento fundamental en las relaciones internacionales; la Ley 16/2014 configura sin embargo la diplomacia como cualquier actuación pública o privada con incidencia efectiva en la opinión pública exterior con objeto de proyectar la influencia de Cataluña, especialmente en los ámbitos económico, cultural y deportivo. No parece posible suspender la posibilidad de que las instituciones catalanas y las entidades privadas, en ejercicio de sus competencias e intereses, lleven a cabo actuaciones fuera de Cataluña con el objetivo de fomentar la cultura catalana mediante la participación en eventos internacionales; tampoco mediante el fomento del acceso de los creadores catalanes al exterior, o con el objetivo de impulsar la imagen de Cataluña como destino de inversiones, del turismo internacional, etc. El propio Tribunal Constitucional ha reconocido en diversas sentencias (entre ellas la STC 165/1994) que las Comunidades Autónomas han asumido un conjunto de funciones públicas que suponen un ámbito de acción que comporta la necesidad de realizar actuaciones en el exterior.</w:t>
      </w:r>
    </w:p>
    <w:p w:rsidR="006B7292" w:rsidRDefault="006B7292" w:rsidP="006B7292">
      <w:pPr>
        <w:pStyle w:val="TextoNormal"/>
      </w:pPr>
    </w:p>
    <w:p w:rsidR="006B7292" w:rsidRDefault="006B7292" w:rsidP="006B7292">
      <w:pPr>
        <w:pStyle w:val="TextoNormal"/>
      </w:pPr>
      <w:r>
        <w:t>h) Como conclusión, sostiene la Abogada de la Generalitat que mantener la suspensión de los preceptos impugnados supondría impedir a la Generalitat de Cataluña el correcto y necesario ejercicio de sus competencias, que se proyecta de manera natural sobre un conjunto de actuaciones e instrumentos. Tal suspensión no puede basarse en la mera posibilidad, fundamentada en una interpretación inadecuada de dichos preceptos, que pudiera supuestamente comportar, en algún caso, una injerencia en las competencias del Estado en materia de relaciones internacionales. No hay que olvidar que, en la eventualidad de que llegara a producirse efectivamente una concreta injerencia o menoscabo en el ejercicio por el Estado de la dirección y ejecución de la política exterior, este dispone de sólidos instrumentos jurídicos para evitarla. En tanto ese supuesto hipotético no llegara producirse, es evidente que del tenor de la Ley 16/2014 no resulta ningún perjuicio para la política exterior del Estado.</w:t>
      </w:r>
    </w:p>
    <w:p w:rsidR="006B7292" w:rsidRDefault="006B7292" w:rsidP="006B7292">
      <w:pPr>
        <w:pStyle w:val="TextoNormal"/>
      </w:pPr>
    </w:p>
    <w:p w:rsidR="006B7292" w:rsidRDefault="006B7292" w:rsidP="006B7292">
      <w:pPr>
        <w:pStyle w:val="TextoNormal"/>
      </w:pPr>
      <w:r w:rsidRPr="006B7292">
        <w:rPr>
          <w:rStyle w:val="NumeroAFNegritaCaracter"/>
        </w:rPr>
        <w:t>5</w:t>
      </w:r>
      <w:r>
        <w:t xml:space="preserve">. Por escrito registrado en este Tribunal el 8 de mayo de 2015, el Letrado del Parlamento de Cataluña, en la representación que ostenta, comparece en el proceso y formula alegaciones interesando la desestimación del recurso de inconstitucionalidad. Mediante </w:t>
      </w:r>
      <w:r w:rsidRPr="006B7292">
        <w:rPr>
          <w:i/>
        </w:rPr>
        <w:t>otrosí</w:t>
      </w:r>
      <w:r>
        <w:t xml:space="preserve"> solicita el levantamiento de la suspensión de los preceptos impugnados antes de que transcurra el plazo legal de cinco meses, por entender que el mantenimiento de la suspensión comporta unos perjuicios de imposible reparación para la Generalitat de Cataluña, por dos motivos.</w:t>
      </w:r>
    </w:p>
    <w:p w:rsidR="006B7292" w:rsidRDefault="006B7292" w:rsidP="006B7292">
      <w:pPr>
        <w:pStyle w:val="TextoNormal"/>
      </w:pPr>
    </w:p>
    <w:p w:rsidR="006B7292" w:rsidRDefault="006B7292" w:rsidP="006B7292">
      <w:pPr>
        <w:pStyle w:val="TextoNormal"/>
      </w:pPr>
      <w:r>
        <w:t>a) En primer lugar, porque el recurrente no ha precisado ni fundamentado jurídicamente, de forma pormenorizada, las razones de la supuesta inconstitucionalidad de una serie de apartados de los preceptos que impugna genéricamente; esto se predica respecto de la impugnación de las letras b), c), g) y h) del art. 2; de los apartados a), b), c), d), f), g), i), j), k), del art. 3; de los apartados c), d), e), f), g) y h) del art. 4; y de los apartados b), d), f), g), e i) del art. 5. En otros casos, el recurrente utiliza fórmulas genéricas para impugnar algunos preceptos de la Ley 16/2014, sin que los argumentos sean razonados con detalle: así ocurriría con la impugnación de los apartados 2 y 3 del art. 1; de los arts. 6 a 9; y de los arts. 34 a 38.</w:t>
      </w:r>
    </w:p>
    <w:p w:rsidR="006B7292" w:rsidRDefault="006B7292" w:rsidP="006B7292">
      <w:pPr>
        <w:pStyle w:val="TextoNormal"/>
      </w:pPr>
    </w:p>
    <w:p w:rsidR="006B7292" w:rsidRDefault="006B7292" w:rsidP="006B7292">
      <w:pPr>
        <w:pStyle w:val="TextoNormal"/>
      </w:pPr>
      <w:r>
        <w:t>Según el Letrado del Parlamento de Cataluña, se trata de una impugnación sin fundamentación jurídica pormenorizada que no se adecua a las exigencias del art. 33.1 LOTC ni a la jurisprudencia del Tribunal Constitucional. Conforme a ella, la presunción de constitucionalidad de las normas con rango de ley no puede desvirtuarse sin un mínimo de argumentación y no caben impugnaciones globales y carentes de una razón suficientemente desarrollada (por todas, SSTC 36/1994, FJ 1, y 233/1999, FJ 2). Este tipo de impugnación pone de manifiesto un uso arbitrario de la potestad que el art. 161.2 CE confiere al Gobierno de la Nación, en clara contradicción con la interdicción de la arbitrariedad de los poderes públicos que proclama el art. 9.3 CE; supone también un perjuicio al principio de presunción de legitimidad de la que gozan las leyes, como expresión de la voluntad popular. Pues, además de dificultar a la representación del Parlamento de Cataluña la elaboración de sus alegaciones, concierne al interés público y supone un perjuicio para la Generalitat de Cataluña; por todo ello, los preceptos impugnados de la Ley 16/2014, que es expresión de la voluntad popular, quedan suspendidos sin que se conozcan los argumentos para ello.</w:t>
      </w:r>
    </w:p>
    <w:p w:rsidR="006B7292" w:rsidRDefault="006B7292" w:rsidP="006B7292">
      <w:pPr>
        <w:pStyle w:val="TextoNormal"/>
      </w:pPr>
    </w:p>
    <w:p w:rsidR="006B7292" w:rsidRDefault="006B7292" w:rsidP="006B7292">
      <w:pPr>
        <w:pStyle w:val="TextoNormal"/>
      </w:pPr>
      <w:r>
        <w:t>b) En segundo lugar, sostiene el Letrado del Parlamento de Cataluña que el interés público queda igualmente concernido en la medida en que se suspende la vigencia de unas normas, con rango de ley, que establecen funciones y actividades que se venían aplicando en la práctica; están fundamentadas jurídicamente, según el caso, en el Tratado de la Unión Europea, en la Constitución, en el Estatuto de Autonomía de Cataluña o en normas con rango de ley ordinaria, tanto estatales (tales como la Ley 24/2009, de modificación de la Ley 8/1994, por la que se regula la comisión mixta para la Unión Europea, para su adaptación al Tratado de Lisboa, o la Ley 2/2014, de la acción y del servicio exterior del Estado) como autonómicas (como la Ley 18/1996, de 27 de diciembre, de relaciones con las comunidades catalanas del exterior, o la Ley 26/2001, de 31 de diciembre, de cooperación al desarrollo). Habían sido reconocidas como conformes a la Constitución por la jurisprudencia del Tribunal Constitucional (STC 31/2010, en particular). De esta forma, el mantenimiento de la suspensión de los preceptos impugnados de la Ley 16/2014 supondría un claro perjuicio para el sistema de autogobierno de la Generalitat de Cataluña, pues implicaría que las instituciones de la Generalitat no pudieran ejercer funciones y actividades que han venido ejerciendo hasta el momento, de conformidad con el ordenamiento jurídico y con el alcance que ha establecido el Tribunal Constitucional. El levantamiento de la suspensión de los preceptos recurridos no conllevaría perjuicio alguno para el Gobierno de la Nación, por cuanto las funciones y actividades suspendidas son ejercidas de forma habitual por todas las Comunidades Autónomas del Estado español.</w:t>
      </w:r>
    </w:p>
    <w:p w:rsidR="006B7292" w:rsidRDefault="006B7292" w:rsidP="006B7292">
      <w:pPr>
        <w:pStyle w:val="TextoNormal"/>
      </w:pPr>
    </w:p>
    <w:p w:rsidR="006B7292" w:rsidRDefault="006B7292" w:rsidP="006B7292">
      <w:pPr>
        <w:pStyle w:val="TextoNormal"/>
      </w:pPr>
      <w:r>
        <w:t>El examen de los diversos preceptos pone en evidencia este perjuicio, según el Letrado del Parlamento de Cataluña. Así, desde una perspectiva más concreta, entre las funciones que el Parlamento de Cataluña ha venido ejerciendo y que quedan suspendidas en virtud de la impugnación de la Ley 16/2014, puede destacarse la función de impulso y control de la labor de Gobierno de la Generalitat en materia de acción exterior, cuyo fundamento normativo se establece en el art. 55 EAC. Quedaría suspendida la función de control del principio de subsidiariedad, que ha venido ejerciendo el Parlamento de Cataluña, como el resto de parlamentos autonómicos, en virtud del Derecho de la Unión Europea (art. 6 del Protocolo núm. 2 del Tratado de la Unión Europea, sobre la aplicación de los principios de subsidiariedad y de proporcionalidad) y de la legislación del Estado español (art. 187 EAC y art. 6 de la Ley 24/2009, de modificación de la Ley 8/1994, por la que se regula la comisión mixta para la Unión Europea, para su adaptación al Tratado de Lisboa).</w:t>
      </w:r>
    </w:p>
    <w:p w:rsidR="006B7292" w:rsidRDefault="006B7292" w:rsidP="006B7292">
      <w:pPr>
        <w:pStyle w:val="TextoNormal"/>
      </w:pPr>
    </w:p>
    <w:p w:rsidR="006B7292" w:rsidRDefault="006B7292" w:rsidP="006B7292">
      <w:pPr>
        <w:pStyle w:val="TextoNormal"/>
      </w:pPr>
      <w:r>
        <w:t>La suspensión del artículo 5 en su integridad, relativo a las funciones que debe ejercer el Parlamento de Cataluña de conformidad con el Estatuto, implicaría la suspensión de todas las funciones que enumera, sobre las cuales el recurrente no ha argumentado vicio de constitucionalidad alguno. La suspensión de la atribución a la Presidencia de la Generalitat de la función de impulsar y mantener relaciones con autoridades de ámbito internacional, en ejercicio de la más alta representación de la Generalitat, afecta a la previsión en el mismo sentido del art. 67 EAC. De la misma forma, los poderes del Gobierno y de la Administración de la Generalitat, así como de las otras instituciones mencionadas en el art. 9 de la Ley 16/2014, quedan suspendidos, a pesar de las previsiones que se establecen en el art. 148.1 1 CE y en los arts. 68, 71 ,76 ,78 y 82 EAC. El establecimiento de oficinas en el exterior por parte de la Generalitat es una facultad fundamentada jurídicamente en los arts. 150 y 194 EAC, que ha sido reconocida expresamente como conforme a la Constitución (STC 165/1994). Asimismo, el art. 12 de la Ley 2/2004, de la acción y del servicio exterior del Estado, reconoce dicha facultad a las Comunidades Autónomas.</w:t>
      </w:r>
    </w:p>
    <w:p w:rsidR="006B7292" w:rsidRDefault="006B7292" w:rsidP="006B7292">
      <w:pPr>
        <w:pStyle w:val="TextoNormal"/>
      </w:pPr>
    </w:p>
    <w:p w:rsidR="006B7292" w:rsidRDefault="006B7292" w:rsidP="006B7292">
      <w:pPr>
        <w:pStyle w:val="TextoNormal"/>
      </w:pPr>
      <w:r>
        <w:t>En definitiva, el mantenimiento de la suspensión de los arts. 1 a 9, 26 y 29 a 38 de la Ley 16/2014 supondría negar a la Generalitat de Cataluña su condición de sujeto de la acción exterior del Estado español, tal y como se define en el art. 11 de la Ley 2/2004, de la acción y del servicio exterior del Estado. Dejaría sin aplicación los preceptos mencionados del Tratado de la Unión Europea, de la Constitución y del Estatuto de Autonomía de Cataluña y, en consecuencia, supondría un perjuicio para el sistema de Gobierno de la Generalitat de Cataluña, y atentaría contra el principio de seguridad jurídica reconocido en el art. 9.3 CE, concluye el Letrado del Parlamento de Cataluña.</w:t>
      </w:r>
    </w:p>
    <w:p w:rsidR="006B7292" w:rsidRDefault="006B7292" w:rsidP="006B7292">
      <w:pPr>
        <w:pStyle w:val="TextoNormal"/>
      </w:pPr>
    </w:p>
    <w:p w:rsidR="006B7292" w:rsidRDefault="006B7292" w:rsidP="006B7292">
      <w:pPr>
        <w:pStyle w:val="TextoNormal"/>
      </w:pPr>
      <w:r w:rsidRPr="006B7292">
        <w:rPr>
          <w:rStyle w:val="NumeroAFNegritaCaracter"/>
        </w:rPr>
        <w:t>6</w:t>
      </w:r>
      <w:r>
        <w:t>. Por providencia de 12 de mayo de 2015 el Pleno del Tribunal acordó incorporar a las actuaciones los escritos de alegaciones presentados por la Abogada de la Generalitat y al Letrado del Parlamento de Cataluña, en la representación legal que respectivamente ostentan, y conferir al Abogado del Estado un plazo de cinco días para exponer lo que estime procedente en relación con la solicitud de levantamiento de la suspensión de los preceptos impugnados de la Ley 16/2004 que dichas representaciones interesan por otrosí en sus escritos.</w:t>
      </w:r>
    </w:p>
    <w:p w:rsidR="006B7292" w:rsidRDefault="006B7292" w:rsidP="006B7292">
      <w:pPr>
        <w:pStyle w:val="TextoNormal"/>
      </w:pPr>
    </w:p>
    <w:p w:rsidR="006B7292" w:rsidRDefault="006B7292" w:rsidP="006B7292">
      <w:pPr>
        <w:pStyle w:val="TextoNormal"/>
      </w:pPr>
      <w:r w:rsidRPr="006B7292">
        <w:rPr>
          <w:rStyle w:val="NumeroAFNegritaCaracter"/>
        </w:rPr>
        <w:t>7</w:t>
      </w:r>
      <w:r>
        <w:t>. El Abogado del Estado, mediante escrito registrado en este Tribunal el 21 de mayo de 2015, interesó el mantenimiento de la suspensión de los preceptos impugnados con fundamento en las alegaciones siguientes:</w:t>
      </w:r>
    </w:p>
    <w:p w:rsidR="006B7292" w:rsidRDefault="006B7292" w:rsidP="006B7292">
      <w:pPr>
        <w:pStyle w:val="TextoNormal"/>
      </w:pPr>
    </w:p>
    <w:p w:rsidR="006B7292" w:rsidRDefault="006B7292" w:rsidP="006B7292">
      <w:pPr>
        <w:pStyle w:val="TextoNormal"/>
      </w:pPr>
      <w:r>
        <w:t>a) Tras recordar la doctrina constitucional relativa a los incidentes de suspensión de leyes autonómicas, alega, con apoyo en el informe elaborado por el Ministerio de Asuntos Exteriores y Cooperación que adjunta, que el levantamiento de la suspensión de la vigencia de los preceptos impugnados de la Ley del Parlamento de Cataluña 16/2014 ocasionaría graves e irreparables perjuicios a los intereses de la política exterior de España y sus relaciones internacionales. Se trata de daños fundamentalmente futuros y previsibles, si bien algunos de ellos ya se han producido por actos adoptados por la Generalitat de Cataluña como, por ejemplo, la aprobación de los Decretos del Departamento de Presidencia de la Generalitat 167/2014 y 168/2014 por los que se crean sendas delegaciones del Gobierno de la Generalitat en Austria e Italia respectivamente, publicados en el “Diari Oficial de la Generalitat de Catalunya” núm. 6777, de 24 de diciembre de 2014, e impugnados por el Gobierno de la Nación ante la Sala de lo Contencioso-Administrativo del Tribunal Superior de Justicia de Cataluña (autos núm. 51-2015); o el nombramiento por Decreto 2/2015, de 13 de enero, de la Presidencia del Gobierno de la Generalitat de un “representante permanente” de la Generalitat ante la Unión Europea, publicado en el “Diari Oficial de la Generalitat de Catalunya” núm. 6789, del 15 de enero de 2015, impugnado igualmente por el Gobierno de la Nación ante el mismo órgano jurisdiccional (autos núm. 157-2015). Como es bien conocido, la denominación “representante permanente” se reserva en el seno de la Unión Europea a la representación de los Estados ante el Consejo y demás instituciones de la Unión.</w:t>
      </w:r>
    </w:p>
    <w:p w:rsidR="006B7292" w:rsidRDefault="006B7292" w:rsidP="006B7292">
      <w:pPr>
        <w:pStyle w:val="TextoNormal"/>
      </w:pPr>
    </w:p>
    <w:p w:rsidR="006B7292" w:rsidRDefault="006B7292" w:rsidP="006B7292">
      <w:pPr>
        <w:pStyle w:val="TextoNormal"/>
      </w:pPr>
      <w:r>
        <w:t>Trae asimismo a colación el Abogado del Estado, como ejemplo de los perjuicios para el interés general que produce la aplicación de los preceptos impugnados de la Ley 16/2014, el recientemente aprobado Plan de acción exterior de Cataluña, en la medida en que expresa claramente cómo entiende el Gobierno de la Generalitat que ha de aplicarse y desarrollarse la Ley 16/2014. El documento íntegro se encuentra disponible en la dirección de internet indicada por el Abogado del Estado (que acompaña la reseña del acuerdo a su escrito de alegaciones), donde se da cuenta de su adopción por el Gobierno de la Generalitat con fecha 12 de mayo de 2015. El Ministerio de Asuntos Exteriores y Cooperación no ha sido consultado por el Gobierno de la Generalitat ni con carácter previo ni posterior a la elaboración y aprobación de dicho Plan.</w:t>
      </w:r>
    </w:p>
    <w:p w:rsidR="006B7292" w:rsidRDefault="006B7292" w:rsidP="006B7292">
      <w:pPr>
        <w:pStyle w:val="TextoNormal"/>
      </w:pPr>
    </w:p>
    <w:p w:rsidR="006B7292" w:rsidRDefault="006B7292" w:rsidP="006B7292">
      <w:pPr>
        <w:pStyle w:val="TextoNormal"/>
      </w:pPr>
      <w:r>
        <w:t>b) Siguiendo el informe del Ministerio de Asuntos Exteriores y Cooperación que adjunta a su escrito de alegaciones, el Abogado del Estado pasa seguidamente a concretar los perjuicios para el interés general que provocaría el levantamiento de la suspensión de los preceptos de la Ley 16/2014 impugnados.</w:t>
      </w:r>
    </w:p>
    <w:p w:rsidR="006B7292" w:rsidRDefault="006B7292" w:rsidP="006B7292">
      <w:pPr>
        <w:pStyle w:val="TextoNormal"/>
      </w:pPr>
    </w:p>
    <w:p w:rsidR="006B7292" w:rsidRDefault="006B7292" w:rsidP="006B7292">
      <w:pPr>
        <w:pStyle w:val="TextoNormal"/>
      </w:pPr>
      <w:r>
        <w:t xml:space="preserve">En primer lugar, se crearían interferencias y distorsiones en la puesta en práctica de la política exterior del Estado. Dado que los objetivos de la Ley 16/2014, reconocidos expresamente en el “Pla estrategic d'acció exterior i de relacions amb la Unió Europea 2015-2018”, son dotarse de una “política de acción exterior” propia y “dotar la Generalitat de Catalunya del cabal legislatiu i institucional necessari per tal de funcionar com un Estat propio” (introducción del Plan, pág. 6); considerando el detalle pormenorizado de dichos objetivos en relevantes documentos anteriores como los informes elaborados por el Consejo Asesor para la Transición Nacional (informes núm. 13, sobre integración en la comunidad internacional, y núm. 4, sobre internacionalización de la consulta y del proceso de autodeterminación de Cataluña, especialmente págs. 36 a 38) o el “Libro Blanco de la Transición Nacional de Cataluña” (especialmente págs. 125 y 126), si se levantase la suspensión de las normas impugnadas se podrían crear graves interferencias y distorsiones en la puesta en práctica de la política exterior del Estado. La eficacia de la Ley 16/2014 habilitaría el despliegue de una “política de acción exterior” propia de la Generalitat de Cataluña, del todo punto incompatible con la política exterior que corresponde fijar al Gobierno del Estado, conforme a su competencia exclusiva en la materia (arts. 97 y 149.1.3 CE). Que una Comunidad Autónoma actúe </w:t>
      </w:r>
      <w:r w:rsidRPr="006B7292">
        <w:rPr>
          <w:i/>
        </w:rPr>
        <w:t>de facto</w:t>
      </w:r>
      <w:r>
        <w:t xml:space="preserve"> en el ámbito internacional como un sujeto distinto del Estado en que se integra puede afectar muy gravemente a las relaciones internacionales, en la medida en que genera interferencias en la política exterior del Estado, susceptibles de perturbar su contenido e incidir incluso en ámbitos particularmente sensibles, como la política económica o la seguridad. Tales consecuencias negativas serían difícilmente reversibles si posteriormente se declarase la inconstitucionalidad de los preceptos impugnados de la Ley 16/2014.</w:t>
      </w:r>
    </w:p>
    <w:p w:rsidR="006B7292" w:rsidRDefault="006B7292" w:rsidP="006B7292">
      <w:pPr>
        <w:pStyle w:val="TextoNormal"/>
      </w:pPr>
    </w:p>
    <w:p w:rsidR="006B7292" w:rsidRDefault="006B7292" w:rsidP="006B7292">
      <w:pPr>
        <w:pStyle w:val="TextoNormal"/>
      </w:pPr>
      <w:r>
        <w:t>En segundo lugar, se crearía confusión en la comunidad internacional. Dado que la Ley 16/2014 ampara una aspiración de dotarse de una “diplomacia pública de Cataluña” [arts. 2 i) y 34 a 38], levantar la suspensión de los preceptos impugnados podría crear confusión grave en la comunidad internacional y transmitir la falsa idea de que posibles medidas de diplomacia alternativa a la del Estado (único al que corresponde asumir las relaciones diplomáticas con terceros) resultan acordes con el ordenamiento interno español. De hecho, el propio “Pla estrategic d'acció exterior i de relacions amb la Unió Europea 2015-2018”, ya citado, se refiere con reiteración al objetivo de promover una diplomacia propia más moderna y eficaz, al objetivo paralelo de reforzar las relaciones bilaterales de Cataluña con otros actores y organizaciones internacionales en todos los ámbitos, incluido el político (págs. 7 y 9), y al correlativo objetivo de convertir a Cataluña en un actor global que forme parte del “mosaico internacional” (pág. 34). Tal confusión internacional vendría igualmente agravada por la intención de “reforzar el diálogo fluido con las autoridades diplomáticas de otros Estados en Madrid” (</w:t>
      </w:r>
      <w:r w:rsidRPr="006B7292">
        <w:rPr>
          <w:i/>
        </w:rPr>
        <w:t>sic</w:t>
      </w:r>
      <w:r>
        <w:t>, pág. 43) y con el cuerpo consular en Barcelona (pág. 43). Esa confusión se consolidaría también en relación con los sujetos de Derecho internacional diferentes a los Estados, ya que el referido Plan también prevé potenciar las relaciones con todo tipo de organizaciones internacionales (pág. 44).</w:t>
      </w:r>
    </w:p>
    <w:p w:rsidR="006B7292" w:rsidRDefault="006B7292" w:rsidP="006B7292">
      <w:pPr>
        <w:pStyle w:val="TextoNormal"/>
      </w:pPr>
    </w:p>
    <w:p w:rsidR="006B7292" w:rsidRDefault="006B7292" w:rsidP="006B7292">
      <w:pPr>
        <w:pStyle w:val="TextoNormal"/>
      </w:pPr>
      <w:r>
        <w:t>Todo ello puede incidir negativamente en las relaciones internacionales, en la medida en que genera confusión con terceros Estados u organizaciones internacionales, mermando así la necesaria confianza y produciendo distorsiones en la representación de España ante ellos. En conclusión, una extralimitación de las funciones en el exterior de una Comunidad Autónoma como las que ampara la Ley 16/2014 puede dañar seriamente las relaciones internacionales del Estado, en particular la confianza de otros sujetos de Derecho internacional. En este mismo orden de cosas, un levantamiento de la suspensión podría generar confusión, si se persigue el objetivo de buscar, como se expresa en el ya reiteradamente citado Plan, en el marco de la Unión Europea una interlocución directa no sólo con la Comisión, sino también con el Consejo Europeo o con los Gobiernos de otros Estados (págs. 38 y 42), que, conforme al Derecho internacional y al de la Unión Europea, corresponde a los gobiernos de los Estados y no a los entes regionales.</w:t>
      </w:r>
    </w:p>
    <w:p w:rsidR="006B7292" w:rsidRDefault="006B7292" w:rsidP="006B7292">
      <w:pPr>
        <w:pStyle w:val="TextoNormal"/>
      </w:pPr>
    </w:p>
    <w:p w:rsidR="006B7292" w:rsidRDefault="006B7292" w:rsidP="006B7292">
      <w:pPr>
        <w:pStyle w:val="TextoNormal"/>
      </w:pPr>
      <w:r>
        <w:t>En tercer lugar, se produciría un posible perjuicio a la imagen exterior de España. Dada la posibilidad de crear al amparo de la Ley 16/2014 percepciones incorrectas, deficitarias o inexactas en el exterior, donde el conocimiento de la realidad y la legalidad española es necesariamente menor que en nuestro país, la realización de determinadas acciones o campañas a favor de posiciones que pudieran tergiversar o distorsionar la realidad institucional, jurídica y política nacional podría ocasionar un perjuicio a la imagen y reputación de España en el exterior. No en vano, la realidad constatada empíricamente de que perjudicar, debilitar o destruir la reputación de un país es relativamente sencilla de realizar, mientras que recuperar o reconstruir la misma es labor compleja y a largo plazo, aconsejaría por un elemental principio de precaución mantener la suspensión de los preceptos impugnados de la Ley 16/2014, por el perjuicio que su aplicación podría acarrear también en la imagen exterior de España.</w:t>
      </w:r>
    </w:p>
    <w:p w:rsidR="006B7292" w:rsidRDefault="006B7292" w:rsidP="006B7292">
      <w:pPr>
        <w:pStyle w:val="TextoNormal"/>
      </w:pPr>
    </w:p>
    <w:p w:rsidR="006B7292" w:rsidRDefault="006B7292" w:rsidP="006B7292">
      <w:pPr>
        <w:pStyle w:val="TextoNormal"/>
      </w:pPr>
      <w:r>
        <w:t>Finalmente, uno de los objetivos de la Ley 16/2014 es ir creando en el exterior las estructuras precisas para avanzar en el objetivo de constituir un futuro Estado propio, en especial logrando “el posicionamiento de Cataluña en el exterior como un actor internacional activo” [art. 1.1 b)] y la correlativa “representación de la Generalidad en el exterior” [art. 1.2 b)]; el levantamiento de la suspensión permitiría a la Generalitat seguir dando pasos en el proceso de creación de un Estado propio, lo que es plenamente contrario a la Constitución española. A ello responden los ya citados ejemplos del cambio de denominación del Delegado ante la Unión Europea por el de “Representante Permanente ante la Unión Europea” (Decreto 2/2015, de 13 de enero) o la apertura de oficinas en Austria e Italia sin cumplir los requisitos fijados en la Ley 2/2014, de la acción y del servicio exterior del Estado (Decretos 167/2014 y 168/2014, de 23 de diciembre), decisiones todas ellas recurridas por la Abogacía del Estado en vía contencioso-administrativa. A la postre, esa puesta en marcha de estructuras cuasiestatales en el exterior podría crear daños irreparables al Estado, especialmente en lo que concierne a la actuación con otros sujetos de Derecho internacional, sean Estados o sean organizaciones internacionales. En suma, la Ley 16/2014 persigue consolidar a Cataluña como un “actor internacional” con aspiración a una subjetividad internacional propia, por lo que el levantamiento de la suspensión permitiría dar pasos con consecuencias internacionales difícilmente reversibles si posteriormente se declarase la inconstitucionalidad de los preceptos de la Ley 16/2014 impugnados en el presente recurso.</w:t>
      </w:r>
    </w:p>
    <w:p w:rsidR="006B7292" w:rsidRDefault="006B7292" w:rsidP="006B7292">
      <w:pPr>
        <w:pStyle w:val="TextoNormal"/>
      </w:pPr>
    </w:p>
    <w:p w:rsidR="006B7292" w:rsidRDefault="006B7292" w:rsidP="006B7292">
      <w:pPr>
        <w:pStyle w:val="TextoNormal"/>
      </w:pPr>
      <w:r>
        <w:t>c) Invoca asimismo el Abogado del Estado la doctrina constitucional que aprecia la existencia de un perjuicio actual y directo al interés general que resulta del bloqueo de las competencias estatales, por cuanto los preceptos impugnados de la Ley 16/2014 vienen a impedir la plena efectividad de una decisión legislativa estatal, la Ley 2/2014, de la acción y del servicio exterior del Estado (AATC 336/2005, de 15 de septiembre, FJ 5; 104/2010, de 28 de julio, FJ 5; 146/2013, de 5 de junio, FJ 4, y 153/2014, de 27 de mayo, FJ 1).</w:t>
      </w:r>
    </w:p>
    <w:p w:rsidR="006B7292" w:rsidRDefault="006B7292" w:rsidP="006B7292">
      <w:pPr>
        <w:pStyle w:val="TextoNormal"/>
      </w:pPr>
    </w:p>
    <w:p w:rsidR="006B7292" w:rsidRDefault="006B7292" w:rsidP="006B7292">
      <w:pPr>
        <w:pStyle w:val="TextoNormal"/>
      </w:pPr>
      <w:r>
        <w:t>Sostiene que los argumentos ya expuestos y los que aduce a continuación, permiten la aplicación en este caso del criterio excepcional del bloqueo o imposibilidad de ejercicio de las competencias exclusivas estatales, para el mantenimiento de la suspensión de la Ley impugnada.</w:t>
      </w:r>
    </w:p>
    <w:p w:rsidR="006B7292" w:rsidRDefault="006B7292" w:rsidP="006B7292">
      <w:pPr>
        <w:pStyle w:val="TextoNormal"/>
      </w:pPr>
    </w:p>
    <w:p w:rsidR="006B7292" w:rsidRDefault="006B7292" w:rsidP="006B7292">
      <w:pPr>
        <w:pStyle w:val="TextoNormal"/>
      </w:pPr>
      <w:r>
        <w:t>En efecto, la Ley 2/2014, de la acción y del servicio exterior del Estado, no impugnada por la Generalitat de Cataluña, se dicta, sin que se susciten dudas al respecto, en el ejercicio claro y directo de una competencia indiscutida del Estado, esto es, la competencia en materia de política exterior y relaciones internacionales. El propósito de esta Ley, partiendo del hecho incontestable de la asunción por parte de las Comunidades Autónomas, entre ellas Cataluña, de un ámbito competencial en materia de acción exterior y relaciones con la Unión Europea, es ejercer una función de coordinación, reconocida por el Tribunal Constitucional, en el ejercicio de dichas competencias de modo que no se perjudique la política exterior del Estado. Sin entrar en el fondo de este debate, dado que el objeto que se ventila en este incidente son los perjuicios del levantamiento de la suspensión de la Ley, es lo cierto que el desconocimiento por la Ley impugnada de los mecanismos de coordinación establecidos por la legislación estatal, es susceptible de producir como efecto el bloqueo de sus competencias de coordinación en la materia. Como se expuso en las alegaciones de la demanda, el art. 3 de la Ley 2/2014 enumera los principios rectores de la acción exterior del Estado, entre ellos los de unidad de acción en el exterior [apartado 2 a)] y los de lealtad institucional, coordinación y cooperación [apartado 2 b)]. En ejercicio de esta facultad de establecer medidas que regulen y coordinen las actividades con proyección externa de las Comunidades Autónomas, al amparo de los arts. 97 y 149.1.3 CE, la Ley 2/2014, de la acción y del servicio exterior del Estado, define la acción exterior del Estado como el conjunto ordenado de las actuaciones que los órganos constitucionales, las Administraciones públicas y los organismos, entidades e instituciones de ellas dependientes llevan a cabo en el exterior, en el ejercicio de sus respectivas competencias, desarrolladas de acuerdo con los principios establecidos en dicha ley y con observancia y adecuación a las directrices, fines y objetivos establecidos por el Gobierno en el ejercicio de su competencia de dirección de la política exterior [art. 1.2 b)]. El art. 3 de la misma Ley 2/2014 enumera los principios rectores de la acción exterior del Estado, entre ellos los de unidad de acción en el exterior [apartado 2 a)] y los de lealtad institucional, coordinación y cooperación [apartado 2 b)]. Según el Abogado del Estado los ejemplos antes expuestos y los que expone a continuación, evidencian que la Ley 16/2014 no toma en consideración la competencia estatal, y su aplicación obstaculiza el ejercicio por el Estado de su competencia.</w:t>
      </w:r>
    </w:p>
    <w:p w:rsidR="006B7292" w:rsidRDefault="006B7292" w:rsidP="006B7292">
      <w:pPr>
        <w:pStyle w:val="TextoNormal"/>
      </w:pPr>
    </w:p>
    <w:p w:rsidR="006B7292" w:rsidRDefault="006B7292" w:rsidP="006B7292">
      <w:pPr>
        <w:pStyle w:val="TextoNormal"/>
      </w:pPr>
      <w:r>
        <w:t>Así sucede respecto del art. 5 de la Ley estatal 2/2014, relativo a los sujetos de la acción exterior del Estado, que señala en su apartado 2 que las Comunidades Autónomas mantendrán informado al Ministerio de Asuntos Exteriores y de Cooperación de las propuestas sobre viajes, visitas, intercambios y actuaciones con proyección exterior para que dicho departamento pueda informar y en su caso, emitir recomendaciones motivadas sobre la adecuación de la propuesta de actuación a las directrices, fines y objetivos de la política exterior fijados por el Gobierno y los instrumentos de planificación establecidos por esta Ley. Esta obligación de información comprende los viajes, visitas, intercambios y actuaciones de sus Presidentes y de los miembros de sus Consejos de Gobierno y no será de aplicación cuando se trate de actuaciones en el ámbito de la Unión Europea y de viajes o visitas a sus instituciones. A ello se opone el impugnado art. 6 de la Ley 16/2014, que no prevé la necesaria coordinación de la actuación del Presidente de la Generalitat en sus relaciones con autoridades de ámbito internacional. También el igualmente impugnado art. 26 de la Ley 16/2014, referido a las relaciones del Gobierno de la Generalitat con otros gobiernos.</w:t>
      </w:r>
    </w:p>
    <w:p w:rsidR="006B7292" w:rsidRDefault="006B7292" w:rsidP="006B7292">
      <w:pPr>
        <w:pStyle w:val="TextoNormal"/>
      </w:pPr>
    </w:p>
    <w:p w:rsidR="006B7292" w:rsidRDefault="006B7292" w:rsidP="006B7292">
      <w:pPr>
        <w:pStyle w:val="TextoNormal"/>
      </w:pPr>
      <w:r>
        <w:t xml:space="preserve">Por otro lado, el art. 11 de la Ley 2/2014 establece en sus apartados 1 a 3 que las actividades que las Comunidades Autónomas puedan realizar en el exterior, en el marco de las competencias que les sean atribuidas por la Constitución, por los Estatutos de Autonomía y las leyes, respetarán los principios que establece dicha Ley y se atendrán a las directrices, fines y objetivos de la política exterior fijados por el Gobierno (art. 11.1); se adecuarán a los instrumentos de planificación de la acción exterior, establecidos por el Estado en el ejercicio de sus facultades de coordinación en este ámbito, cuando definan directrices de actuación propias de la política exterior del Estado o se inserten en el ámbito de las relaciones internacionales de España (art. 11.2). Corresponden, en cualquier caso, al Gobierno establecer las medidas y directrices que regulen y coordinen las actividades en el exterior de las Comunidades Autónomas y Ciudades Autónomas con el objeto de garantizar el cumplimiento de lo dispuesto en la ley (art. 11.3 </w:t>
      </w:r>
      <w:r w:rsidRPr="006B7292">
        <w:rPr>
          <w:i/>
        </w:rPr>
        <w:t>in fine</w:t>
      </w:r>
      <w:r>
        <w:t>). A estas previsiones se oponen los preceptos impugnados de la Ley del Parlamento de Cataluña 16/2014, que en sus arts. 1, 2, 3, 4, 5, 7, 8 y 9, ignoran completamente la debida coordinación con la política exterior del Estado.</w:t>
      </w:r>
    </w:p>
    <w:p w:rsidR="006B7292" w:rsidRDefault="006B7292" w:rsidP="006B7292">
      <w:pPr>
        <w:pStyle w:val="TextoNormal"/>
      </w:pPr>
    </w:p>
    <w:p w:rsidR="006B7292" w:rsidRDefault="006B7292" w:rsidP="006B7292">
      <w:pPr>
        <w:pStyle w:val="TextoNormal"/>
      </w:pPr>
      <w:r>
        <w:t>Por otra parte, la Ley estatal 2/2014 permite que las Comunidades Autónomas establezcan oficinas para su promoción exterior; su artículo 12 exige para ello la observancia de una serie de requisitos, como son informar al Gobierno con carácter previo a la apertura, la emisión de informe por parte del Ministerio de Asuntos Exteriores y de Cooperación de acuerdo con las directrices, fines y objetivos de la política exterior y, en particular, con el principio de unidad de acción en el exterior y el informe del Ministerio de Hacienda y Administraciones Públicas, de conformidad con el principio de eficiencia en la gestión de los recursos públicos y para verificar su adecuación al orden competencial, principios desconocidos por la Ley impugnada. En la medida en que el levantamiento de la suspensión de los preceptos impugnados implica que se puedan realizar todas estas actividades sin conocimiento e informe del Gobierno, como se ha venido haciendo unilateralmente por la Generalitat de Cataluña en los ejemplos citados, es previsible que la eficacia de la Ley impugnada acentúe esta manera de proceder, causando perjuicios a la política exterior del Estado.</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Se trata en la presente resolución de determinar si procede levantar o mantener la suspensión de la vigencia que afecta a los arts. 1 a 9, 26 y 29 a 38 de la Ley del Parlamento de Cataluña 16/2014, de 4 de diciembre, de acción exterior y de relaciones con la Unión Europea, que se encuentran suspendidos en su aplicación como consecuencia de la invocación del art. 161.2 CE y del art. 30 de la Ley Orgánica del Tribunal Constitucional (LOTC), al promoverse el recurso de inconstitucionalidad contra los citados preceptos por el Presidente del Gobierno. La impugnación tiene un fundamento predominantemente competencial, por cuanto entiende el recurrente que los citados preceptos de la Ley del Parlamento de Cataluña 16/2014 vulneran la competencia exclusiva estatal en materia de relaciones internacionales, reconocida por el art. 149.1.3 CE.</w:t>
      </w:r>
    </w:p>
    <w:p w:rsidR="006B7292" w:rsidRDefault="006B7292" w:rsidP="006B7292">
      <w:pPr>
        <w:pStyle w:val="TextoNormal"/>
      </w:pPr>
    </w:p>
    <w:p w:rsidR="006B7292" w:rsidRDefault="006B7292" w:rsidP="006B7292">
      <w:pPr>
        <w:pStyle w:val="TextoNormal"/>
      </w:pPr>
      <w:r w:rsidRPr="006B7292">
        <w:rPr>
          <w:rStyle w:val="NumeroAFNegritaCaracter"/>
        </w:rPr>
        <w:t>2</w:t>
      </w:r>
      <w:r>
        <w:t>. Conforme a nuestra reiterada doctrina, para decidir si procede o no ratificar dentro del plazo de cinco meses que establece el art. 161.2 CE la suspensión de la Ley autonómica impugnada en un recurso de inconstitucionalidad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de la Ley impugnada.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(arts. 161.2 CE y 30 LOTC), aporte y razone con detalle los argumentos que la justifiquen, pues debe partirse en principio de la presunción de constitucionalidad de las normas objeto de recurso (por todos, AATC 355/2007, de 24 de julio, FJ 2; 225/2009, de 10 de diciembre, FJ 2; 44/2011, de 12 de abril, FJ 2, y 86/2012, de 8 de mayo, FJ 2).</w:t>
      </w:r>
    </w:p>
    <w:p w:rsidR="006B7292" w:rsidRDefault="006B7292" w:rsidP="006B7292">
      <w:pPr>
        <w:pStyle w:val="TextoNormal"/>
      </w:pPr>
    </w:p>
    <w:p w:rsidR="006B7292" w:rsidRDefault="006B7292" w:rsidP="006B7292">
      <w:pPr>
        <w:pStyle w:val="TextoNormal"/>
      </w:pPr>
      <w:r w:rsidRPr="006B7292">
        <w:rPr>
          <w:rStyle w:val="NumeroAFNegritaCaracter"/>
        </w:rPr>
        <w:t>3</w:t>
      </w:r>
      <w:r>
        <w:t>. Como ha quedado expuesto en los antecedentes, el Abogado del Estado ha solicitado que se ratifique la suspensión de los preceptos impugnados de la Ley del Parlamento de Cataluña 16/2014, alegando, con apoyo en el informe elaborado por el Ministerio de Asuntos Exteriores y de Cooperación que adjunta, que el alzamiento de la suspensión ocasionaría graves e irreparables perjuicios a los intereses de la política exterior de España y sus relaciones internacionales; se trataría de daños fundamentalmente futuros y previsibles, si bien algunos de ellos ya se han producido por actos adoptados por la Generalitat de Cataluña, según los ejemplos que cita (creación de delegaciones del Gobierno de la Generalitat en Austria e Italia, designación de un representante permanente de la Generalitat de Cataluña en la Unión Europea y aprobación del plan de acción exterior de Cataluña). Esos perjuicios para el interés general que provocaría la aplicación de los preceptos legales impugnados si se alzase la suspensión que pesa sobre los mismos se concretarían, de acuerdo con el referido informe, en la creación de interferencias y distorsiones en la puesta en práctica de la política exterior del Estado español; en la confusión que se generaría en la comunidad internacional; en el perjuicio para la imagen exterior de España. Todo ello permitiría a la Generalitat de Cataluña seguir avanzando en la construcción de estructuras estatales con el objetivo confesado de constituir un futuro Estado propio.</w:t>
      </w:r>
    </w:p>
    <w:p w:rsidR="006B7292" w:rsidRDefault="006B7292" w:rsidP="006B7292">
      <w:pPr>
        <w:pStyle w:val="TextoNormal"/>
      </w:pPr>
    </w:p>
    <w:p w:rsidR="006B7292" w:rsidRDefault="006B7292" w:rsidP="006B7292">
      <w:pPr>
        <w:pStyle w:val="TextoNormal"/>
      </w:pPr>
      <w:r>
        <w:t>Invoca además el Abogado del Estado la doctrina constitucional sobre la existencia del perjuicio actual y directo al interés general que resulta del bloqueo de las competencias estatales (AATC 336/2005, de 15 de septiembre, FJ 5; 104/2010, de 28 de julio, FJ 5; 146/2013, de 5 de junio, FJ 4, y 153/2014, de 27 de mayo, FJ 1), por cuanto los preceptos impugnados de la Ley 16/2014 vendrían a impedir la plena efectividad de una decisión legislativa estatal, la Ley 2/2014, de 25 de marzo, de la acción y del servicio exterior del Estado. Esta Ley, no impugnada por la Generalitat de Cataluña, se dicta en el ejercicio de la indiscutible competencia del Estado en materia de política exterior y relaciones internacionales (art. 149.1.3 CE) y los preceptos impugnados de la Ley catalana 16/2014 no tienen en cuenta los mecanismos de coordinación de las actividades en el exterior de las Comunidades Autónomas previstos en la citada Ley 2/2014, lo que obstaculiza el ejercicio de la competencia del Estado en la materia.</w:t>
      </w:r>
    </w:p>
    <w:p w:rsidR="006B7292" w:rsidRDefault="006B7292" w:rsidP="006B7292">
      <w:pPr>
        <w:pStyle w:val="TextoNormal"/>
      </w:pPr>
    </w:p>
    <w:p w:rsidR="006B7292" w:rsidRDefault="006B7292" w:rsidP="006B7292">
      <w:pPr>
        <w:pStyle w:val="TextoNormal"/>
      </w:pPr>
      <w:r>
        <w:t xml:space="preserve">Por su parte, los representantes legales del Parlamento y del Gobierno de la Generalitat de Cataluña interesan el levantamiento de la suspensión de los preceptos impugnados de la Ley 16/2014, por entender que el Abogado del Estado no ha justificado que la aplicación de tales preceptos pueda provocar perjuicios de imposible o difícil reparación para el interés general o para intereses privados. La previsión de un marco normativo que define la acción exterior de la Generalitat y establece sus finalidades no puede producir un perjuicio directo y concreto para la política exterior de España por el hecho de que la Ley 16/2014 no exija que las actuaciones que integran la acción exterior de la Generalitat se circunscriban a un ámbito competencial específico o porque no se refiera expresamente a las competencias estatales de coordinación y a los principios rectores de la acción exterior del Estado recogidos en la Ley 2/2014, de la acción y del servicio exterior del Estado. Las funciones que los arts. 5 a 9 atribuyen al Parlamento, al Gobierno y a la Administración de la Generalitat en materia de acción exterior tampoco impiden ni perturban las competencias del Estado, tratándose en la mayoría de los casos de funciones que ya venían ejerciéndose antes de su previsión en la Ley 16/2014, que además están previstas en el Estatuto de Autonomía de Cataluña (EAC) y sobre las que ya se pronunció la citada STC 31/2010 declarando su conformidad con la Constitución. En particular nada en la Ley 2/2014 impide que los acuerdos de colaboración de la Generalitat se sujeten a los requisitos previstos en la Ley estatal 25/2014, por lo que resulta patente que los preceptos impugnados relativos a dichos acuerdos no producen un perjuicio directo al </w:t>
      </w:r>
      <w:r w:rsidRPr="006B7292">
        <w:rPr>
          <w:i/>
        </w:rPr>
        <w:t>ius contrahendi</w:t>
      </w:r>
      <w:r>
        <w:t xml:space="preserve"> que corresponde al Estado. El establecimiento de delegaciones y oficinas de la Generalitat ante la Unión Europea y en el exterior no comporta la atribución de la Generalitat del </w:t>
      </w:r>
      <w:r w:rsidRPr="006B7292">
        <w:rPr>
          <w:i/>
        </w:rPr>
        <w:t>ius legationis</w:t>
      </w:r>
      <w:r>
        <w:t>; otro tanto acontece con la previsión del objetivo del Gobierno de la Generalitat de mantener contactos con los consulados existentes en Cataluña, así como de la regulación de diplomacia pública de Cataluña.</w:t>
      </w:r>
    </w:p>
    <w:p w:rsidR="006B7292" w:rsidRDefault="006B7292" w:rsidP="006B7292">
      <w:pPr>
        <w:pStyle w:val="TextoNormal"/>
      </w:pPr>
    </w:p>
    <w:p w:rsidR="006B7292" w:rsidRDefault="006B7292" w:rsidP="006B7292">
      <w:pPr>
        <w:pStyle w:val="TextoNormal"/>
      </w:pPr>
      <w:r w:rsidRPr="006B7292">
        <w:rPr>
          <w:rStyle w:val="NumeroAFNegritaCaracter"/>
        </w:rPr>
        <w:t>4</w:t>
      </w:r>
      <w:r>
        <w:t>. Es evidente que la decisión que aquí hemos de adoptar no puede apoyarse en la apariencia de buen Derecho de la pretensión impugnatoria; tampoco en la idea de que es preciso evitar la pluralidad de regímenes normativos allí donde hasta el momento sólo haya habido una disciplina unitaria. Lo primero supondría anticipar un pronunciamiento que sólo es posible en el marco del proceso principal; lo segundo, olvidar que la esencia misma de nuestro modelo de Estado descansa, precisamente, en la concurrencia de sistemas normativos, cuya convivencia ha de buscarse exclusivamente en la ordenación de sus respectivos ámbitos competenciales.</w:t>
      </w:r>
    </w:p>
    <w:p w:rsidR="006B7292" w:rsidRDefault="006B7292" w:rsidP="006B7292">
      <w:pPr>
        <w:pStyle w:val="TextoNormal"/>
      </w:pPr>
    </w:p>
    <w:p w:rsidR="006B7292" w:rsidRDefault="006B7292" w:rsidP="006B7292">
      <w:pPr>
        <w:pStyle w:val="TextoNormal"/>
      </w:pPr>
      <w:r>
        <w:t>Sin prejuzgar pues el fondo, ni menos aún pretender que el interés general sólo pueda verse satisfecho con la garantía de disciplinas normativas unitarias, es preciso coincidir con el Abogado del Estado en la apreciación de que la vigencia y aplicabilidad de las normas impugnadas que seguidamente se dirán es susceptible de perjudicar gravemente aquel interés, entendido en el presente caso como el de la política exterior de España, pues la puesta en práctica de una política de acción exterior propia de la Generalitat de Cataluña afecta gravemente a las relaciones internacionales del Estado español, al generar interferencias en la política exterior del Estado que pueden perturbar su contenido e incidir negativamente incluso en ámbitos particularmente sensibles, como la política económica o la de seguridad; consecuencias gravemente dañosas para el interés general que serían difícilmente reversibles si posteriormente se declarase la inconstitucionalidad de los preceptos impugnados de la Ley 16/2014 que dieron lugar a tales perjuicios.</w:t>
      </w:r>
    </w:p>
    <w:p w:rsidR="006B7292" w:rsidRDefault="006B7292" w:rsidP="006B7292">
      <w:pPr>
        <w:pStyle w:val="TextoNormal"/>
      </w:pPr>
    </w:p>
    <w:p w:rsidR="006B7292" w:rsidRDefault="006B7292" w:rsidP="006B7292">
      <w:pPr>
        <w:pStyle w:val="TextoNormal"/>
      </w:pPr>
      <w:r>
        <w:t xml:space="preserve">Además, también la posición de España se vería inevitablemente dañada en sus relaciones con otros Estados, con la Unión Europea y con otros sujetos de Derecho internacional si la Comunidad Autónoma de Cataluña actuase </w:t>
      </w:r>
      <w:r w:rsidRPr="006B7292">
        <w:rPr>
          <w:i/>
        </w:rPr>
        <w:t>de facto</w:t>
      </w:r>
      <w:r>
        <w:t xml:space="preserve"> en el exterior como un sujeto distinto del Estado español (lo que seguramente podría suceder si se alzase la suspensión de los preceptos impugnados de la Ley 16/2014 que luego se dirán); podría generar confusión en terceros Estados y organizaciones internacionales sobre el alcance de esa acción exterior de Cataluña en relación con la representación exterior que corresponde al Estado (</w:t>
      </w:r>
      <w:r w:rsidRPr="006B7292">
        <w:rPr>
          <w:i/>
        </w:rPr>
        <w:t>ius legationis</w:t>
      </w:r>
      <w:r>
        <w:t>). Suscita el riesgo de que, en caso de estimarse el recurso de inconstitucionalidad, los daños que se hubieran producido como consecuencia de la merma de la confianza ocasionada en las relaciones internacionales por la actuación exterior de la Generalitat de Cataluña al margen de la política exterior del Estado español, serían difíciles de reparar. Como este Tribunal ha tenido ocasión de señalar, “las ‘relaciones internacionales’ objeto de la reserva contenida en el art. 149.1.3 CE son relaciones entre sujetos internacionales y regidas por el Derecho internacional”, lo que “excluye, necesariamente, que los entes territoriales dotados de autonomía política, por no ser sujetos internacionales, puedan participar en las ‘relaciones internacionales’” (STC 165/1994, de 26 de mayo, FJ 5).</w:t>
      </w:r>
    </w:p>
    <w:p w:rsidR="006B7292" w:rsidRDefault="006B7292" w:rsidP="006B7292">
      <w:pPr>
        <w:pStyle w:val="TextoNormal"/>
      </w:pPr>
    </w:p>
    <w:p w:rsidR="006B7292" w:rsidRDefault="006B7292" w:rsidP="006B7292">
      <w:pPr>
        <w:pStyle w:val="TextoNormal"/>
      </w:pPr>
      <w:r w:rsidRPr="006B7292">
        <w:rPr>
          <w:rStyle w:val="NumeroAFNegritaCaracter"/>
        </w:rPr>
        <w:t>5</w:t>
      </w:r>
      <w:r>
        <w:t>. Atendiendo a los criterios expuestos no procede mantener la suspensión (salvo en el extremo que luego se dirá) del art. 1 de la Ley del Parlamento de Cataluña 16/2014, que determina que el objeto de la ley es regular “la acción exterior de Cataluña y las relaciones de la Generalidad con la Unión Europea”, con la finalidad de alcanzar los objetivos de proyección exterior de Cataluña que el precepto señala. A la misma conclusión de alzamiento de la suspensión cabe llegar, con las salvedades a las que luego nos referiremos, en cuanto al artículo 2, que recoge una serie de definiciones a efectos de dicha Ley, al artículo 3 (principios rectores de la acción exterior y de las relaciones con la Unión Europea) y al artículo 4 (finalidades de la acción exterior y de las relaciones con la Unión Europea), preceptos integrantes todos ellos del título preliminar de la Ley 16/2014.</w:t>
      </w:r>
    </w:p>
    <w:p w:rsidR="006B7292" w:rsidRDefault="006B7292" w:rsidP="006B7292">
      <w:pPr>
        <w:pStyle w:val="TextoNormal"/>
      </w:pPr>
    </w:p>
    <w:p w:rsidR="006B7292" w:rsidRDefault="006B7292" w:rsidP="006B7292">
      <w:pPr>
        <w:pStyle w:val="TextoNormal"/>
      </w:pPr>
      <w:r>
        <w:t>Sin perjuicio de la respuesta de fondo que corresponda dar en su momento a la impugnación de estos preceptos, bastará a los efectos del presente incidente con recordar que “las Comunidades Autónomas, como parte del ejercicio de sus competencias, pueden llevar a cabo actividades con proyección exterior, si bien con el límite de las reservas que la Constitución efectúa a favor del Estado y, en particular, de la reserva prevista en el art. 149.1.3 CE, que le confiere competencia exclusiva en materia de relaciones internacionales” (SSTC 31/2010, FJ 125; y 46/2015, FJ 4). En tal sentido el capítulo III del título V del Estatuto de Autonomía de Cataluña (EAC) se refiere a la “acción exterior de la Generalitat”, facultando en su artículo 193.1 a la Generalitat para “impulsar la proyección de Cataluña en el exterior y promover sus intereses en este ámbito respetando la competencia del Estado en materia de relaciones exteriores”, en tanto que el art. 193.2 precisa que “la Generalitat tiene capacidad para llevar a cabo acciones con proyección exterior que se deriven directamente de sus competencias, bien de forma directa o a través de los órganos de la Administración General del Estado”. De este modo las previsiones contenidas en la Ley del Parlamento de Cataluña 16/2014, y en particular en sus artículos 1 a 4, sobre el objeto y la finalidad de la acción exterior de Cataluña, han de ser entendidas dentro del marco constitucional y estatutario, de tal suerte que esa acción exterior no puede significar en ningún caso la consideración de Cataluña como un sujeto de Derecho internacional, sino, tal como se establece en el art. 193 EAC y confirma nuestra reiterada doctrina, que la acción exterior de la Generalitat de Cataluña, con el objetivo de promover sus intereses en ese ámbito, ha de estar directamente relacionada con el ejercicio de sus competencias propias y ejercerse siempre con respeto a la competencia del Estado en materia de relaciones exteriores (art. 149.1.3 CE).</w:t>
      </w:r>
    </w:p>
    <w:p w:rsidR="006B7292" w:rsidRDefault="006B7292" w:rsidP="006B7292">
      <w:pPr>
        <w:pStyle w:val="TextoNormal"/>
      </w:pPr>
    </w:p>
    <w:p w:rsidR="006B7292" w:rsidRDefault="006B7292" w:rsidP="006B7292">
      <w:pPr>
        <w:pStyle w:val="TextoNormal"/>
      </w:pPr>
      <w:r>
        <w:t>Conforme a lo expuesto y con la perspectiva cautelar de este incidente, no cabe apreciar perjuicio para el interés general, entendido como el interés de la política exterior de España y sus relaciones internacionales, en las previsiones del art. 1 de Ley 16/2014 sobre el objeto y finalidad de esta Ley, lo que conduce a levantar la suspensión que sobre este precepto pesa, excepto en lo que se refiere a la letra b) del apartado 1, que fija como objetivo “el posicionamiento de Cataluña en el exterior como actor internacional activo en relación con materias que son competencia de la Generalidad o de interés para Cataluña”, cuya suspensión ha de mantenerse. No cabe duda que la Generalitat puede llevar a cabo actividades con proyección exterior, derivadas de su competencia y para la promoción de sus intereses, con respeto siempre a la competencia del Estado en materia de relaciones exteriores (art. 193 EAC y STC 31/2010, FFJJ 125 y 126), pero la configuración de Cataluña como un “actor internacional” que se contiene en este precepto pretende dotar inequívocamente de una apariencia de subjetividad internacional a esta Comunidad Autónoma, obviando que los entes territoriales dotados de autonomía política no son sujetos internacionales y no pueden, en consecuencia, participar en las relaciones internacionales (SSTC 165/1994, FJ 5, y 31/2010, FJ 127). Más allá de la respuesta de fondo que deba darse a esta cuestión en el momento procedente, perjudica gravemente el interés general de la política exterior de España y sus relaciones internacionales, al generar confusión a terceros Estados y organizaciones internacionales o intergubernamentales sobre el verdadero contenido y alcance de esas actividades exteriores de la Generalitat, en relación con la política exterior del Estado español.</w:t>
      </w:r>
    </w:p>
    <w:p w:rsidR="006B7292" w:rsidRDefault="006B7292" w:rsidP="006B7292">
      <w:pPr>
        <w:pStyle w:val="TextoNormal"/>
      </w:pPr>
    </w:p>
    <w:p w:rsidR="006B7292" w:rsidRDefault="006B7292" w:rsidP="006B7292">
      <w:pPr>
        <w:pStyle w:val="TextoNormal"/>
      </w:pPr>
      <w:r>
        <w:t>Otro tanto cabe afirmar en cuanto a las definiciones contenidas en el artículo 2, con excepción de las letras i), j), k) y l), referidas a la “diplomacia pública de Cataluña” en diversas áreas, cuya suspensión debe ratificarse, toda vez que no siendo Cataluña un sujeto de Derecho internacional, no cabe pretender que esta Comunidad Autónoma asuma la capacidad de establecer relaciones diplomáticas, reservadas al Estado español por el art. 149.1.3 CE. La regulación por la Ley 16/2014 de la “diplomacia pública de Cataluña” perjudica la dirección y puesta en ejecución de la política exterior que corresponde en exclusiva al Estado, generando confusión en la comunidad internacional sobre la posición española y dañando gravemente la competencia estatal en materia de relaciones internacionales.</w:t>
      </w:r>
    </w:p>
    <w:p w:rsidR="006B7292" w:rsidRDefault="006B7292" w:rsidP="006B7292">
      <w:pPr>
        <w:pStyle w:val="TextoNormal"/>
      </w:pPr>
    </w:p>
    <w:p w:rsidR="006B7292" w:rsidRDefault="006B7292" w:rsidP="006B7292">
      <w:pPr>
        <w:pStyle w:val="TextoNormal"/>
      </w:pPr>
      <w:r>
        <w:t>Por la misma razón, debe mantenerse la suspensión de los arts. 34 a 38 de la Ley 16/2014, que integran el capítulo I del título IV, bajo el epígrafe de “diplomacia pública de Cataluña”. Las menciones que en las letras i), j), k) y l) del art. 2 se realizan en concepto de “definiciones” a la diplomacia pública, cultural, económica y deportiva, han de ponerse en relación con las previsiones de los artículos 34 a 38, en los que se confirma que el legislador catalán configura a la Comunidad Autónoma de Cataluña como un sujeto internacional. Esa acción exterior destinada a la promoción de la proyección internacional de entidades y organizaciones de la sociedad civil, al apoyo de las actuaciones desarrolladas por ciudadanos catalanes en el exterior, al establecimiento de relaciones estables con asociaciones de la sociedad civil y al mantenimiento de contacto permanente con medios de comunicación y generadores de opinión internacional, no se vincula al ejercicio de las competencias propias de la Generalitat, sino que se articula en el marco de la diplomacia pública y erigiendo a Cataluña en sujeto de esa acción exterior, perjudicando así gravemente el interés de la política exterior de España y sus relaciones internacionales por los motivos ya indicados.</w:t>
      </w:r>
    </w:p>
    <w:p w:rsidR="006B7292" w:rsidRDefault="006B7292" w:rsidP="006B7292">
      <w:pPr>
        <w:pStyle w:val="TextoNormal"/>
      </w:pPr>
    </w:p>
    <w:p w:rsidR="006B7292" w:rsidRDefault="006B7292" w:rsidP="006B7292">
      <w:pPr>
        <w:pStyle w:val="TextoNormal"/>
      </w:pPr>
      <w:r>
        <w:t>Tampoco cabe apreciar perjuicio para el interés general en las previsiones del art. 3 de la Ley 16/2014, en el que se enuncian los “principios rectores de la acción exterior y de las relaciones con la Unión Europea” por los que han de regirse “la acción exterior de Cataluña y las relaciones de la Generalitat con la Unión Europea”, lo que conduce a levantar la suspensión de este precepto. El Abogado del Estado pone en su demanda especial énfasis en la letra e) del art. 3, que consagra como uno de tales principios “el reconocimiento del derecho de las personas y de los pueblos a la defensa y promoción de la cultura, la lengua y la identidad propias” y “el reconocimiento del derecho a decidir de los pueblos”, aduciendo que esta regulación afecta y puede interferir la política exterior del Estado. Aun sin anticipar la respuesta de fondo, ha de recordarse que cabe una interpretación constitucional de la referencia al “derecho a decidir”, consistente en entenderlo no como una manifestación de un inexistente derecho a la autodeterminación ni como una atribución de soberanía constitucionalmente no reconocida, por lo que ha de concluirse que tampoco lo dispuesto en la letra e) del art. 3 de la Ley 16/2014 puede comprometer la política exterior del Estado español, lo que conduce, en definitiva, a levantar la suspensión del artículo 3 en su totalidad.</w:t>
      </w:r>
    </w:p>
    <w:p w:rsidR="006B7292" w:rsidRDefault="006B7292" w:rsidP="006B7292">
      <w:pPr>
        <w:pStyle w:val="TextoNormal"/>
      </w:pPr>
    </w:p>
    <w:p w:rsidR="006B7292" w:rsidRDefault="006B7292" w:rsidP="006B7292">
      <w:pPr>
        <w:pStyle w:val="TextoNormal"/>
      </w:pPr>
      <w:r>
        <w:t xml:space="preserve">Del artículo 4 (“finalidades de la acción exterior y de las relaciones con la Unión Europea”) procede mantener la suspensión de la letra a), que establece como una de tales finalidades “la proyección en el exterior de Cataluña como un actor internacional comprometido, solidario y responsable”. Como ya se dijo en relación con el art. 1.1 b), la configuración de Cataluña como un “actor internacional” supone dotar a esta Comunidad Autónoma de una apariencia de sujeto de Derecho internacional, “cualidad que </w:t>
      </w:r>
      <w:r w:rsidRPr="006B7292">
        <w:rPr>
          <w:i/>
        </w:rPr>
        <w:t>ex</w:t>
      </w:r>
      <w:r>
        <w:t xml:space="preserve"> art. 149.1.3 CE no cabe predicar de los entes territoriales dotados de autonomía política (STC 165/1994, de 26 de mayo, FJ 5)” (STC 31/2010, FJ 127), perjudicando con ello gravemente el interés general de la política exterior de España y sus relaciones internacionales, por las mismas razones antes indicadas.</w:t>
      </w:r>
    </w:p>
    <w:p w:rsidR="006B7292" w:rsidRDefault="006B7292" w:rsidP="006B7292">
      <w:pPr>
        <w:pStyle w:val="TextoNormal"/>
      </w:pPr>
    </w:p>
    <w:p w:rsidR="006B7292" w:rsidRDefault="006B7292" w:rsidP="006B7292">
      <w:pPr>
        <w:pStyle w:val="TextoNormal"/>
      </w:pPr>
      <w:r>
        <w:t>En definitiva, ha de mantenerse la suspensión de la vigencia y aplicación del apartado 1 b) del art. 1; de las letras i), j), k) y l) del art. 2; de la letra a) del art. 4; así como de los arts. 34 a 38, todos ellos de la Ley del Parlamento de Cataluña 16/2014.</w:t>
      </w:r>
    </w:p>
    <w:p w:rsidR="006B7292" w:rsidRDefault="006B7292" w:rsidP="006B7292">
      <w:pPr>
        <w:pStyle w:val="TextoNormal"/>
      </w:pPr>
    </w:p>
    <w:p w:rsidR="006B7292" w:rsidRDefault="006B7292" w:rsidP="006B7292">
      <w:pPr>
        <w:pStyle w:val="TextoNormal"/>
      </w:pPr>
      <w:r>
        <w:t>Por otra parte, el mantenimiento de la suspensión de los preceptos señalados no perjudica el legítimo ejercicio de la acción exterior de la Generalitat de Cataluña, pues nada le impide llevar a cabo actividades con proyección exterior que se deriven directamente de sus competencias para promover sus intereses propios en el ámbito internacional (art. 193 EAC), respetando siempre la competencia exclusiva del Estado en materia de relaciones internacionales (art. 149.1.3 CE).</w:t>
      </w:r>
    </w:p>
    <w:p w:rsidR="006B7292" w:rsidRDefault="006B7292" w:rsidP="006B7292">
      <w:pPr>
        <w:pStyle w:val="TextoNormal"/>
      </w:pPr>
    </w:p>
    <w:p w:rsidR="006B7292" w:rsidRDefault="006B7292" w:rsidP="006B7292">
      <w:pPr>
        <w:pStyle w:val="TextoNormal"/>
      </w:pPr>
      <w:r w:rsidRPr="006B7292">
        <w:rPr>
          <w:rStyle w:val="NumeroAFNegritaCaracter"/>
        </w:rPr>
        <w:t>6</w:t>
      </w:r>
      <w:r>
        <w:t>. Por lo que se refiere a los artículos 5 a 9 (actores de la acción exterior de Cataluña y de sus relaciones con la Unión Europea), debe alzarse la suspensión del artículo 5, referido a las funciones que corresponden al Parlamento de Cataluña en relación con la acción exterior de la Generalitat de Cataluña, pues no se aportan por el Abogado del Estado argumentos que justifiquen el mantenimiento de la suspensión. En su impugnación del artículo 5 el Abogado del Estado llama la atención especialmente sobre la función parlamentaria recogida en la letra h) del artículo 5, relativa a “ejercer la función de control del principio de subsidiariedad de los actos legislativos de la Unión Europea”, señalando que esta función de control excede con mucho las competencias de la Comunidad Autónoma de Cataluña, pues una cosa es participar en los procedimientos de control, como dice el 188 EAC, y otra bien distinta “ejercer la función de control”, como afirma el precepto impugnado. Ahora bien, de nuevo sin anticipar la respuesta de fondo que corresponda dar en su momento a la impugnación de este precepto, bastará en este incidente para descartar la existencia de perjuicios para el interés general con advertir que esa función ha de ser ejercida por el Parlamento de Cataluña “de conformidad con el Estatuto”, como el propio artículo 5 establece, lo que significa que esa función de control parlamentario ha de serlo “en relación con las propuestas legislativas europeas cuando dichas propuestas afecten a competencias de la Generalitat” (art. 188 EAC). No se cuestiona “que al Estado le corresponde el control de los principios de subsidiariedad y proporcionalidad” establecidos por el derecho de la Unión Europea, de suerte que la intervención del Parlamento de Cataluña prevista en el art. 188 EAC, a la que se refiere el art. 5 h) de la Ley 16/2014, “en los asuntos relacionados con la Unión Europea que afecten a las competencias o intereses de Cataluña, ha de tener lugar en los concretos términos que establezca la legislación del Estado” (STC 31/2010, FJ 122). Así las cosas, debemos convenir con la Letrada de la Generalitat en que difícilmente puede entenderse que esa atribución de funciones de control al Parlamento de Cataluña produzca perjuicio alguno para el interés general, por lo que no se justifica el mantenimiento de su suspensión.</w:t>
      </w:r>
    </w:p>
    <w:p w:rsidR="006B7292" w:rsidRDefault="006B7292" w:rsidP="006B7292">
      <w:pPr>
        <w:pStyle w:val="TextoNormal"/>
      </w:pPr>
    </w:p>
    <w:p w:rsidR="006B7292" w:rsidRDefault="006B7292" w:rsidP="006B7292">
      <w:pPr>
        <w:pStyle w:val="TextoNormal"/>
      </w:pPr>
      <w:r>
        <w:t xml:space="preserve">Debe asimismo levantarse la suspensión del artículo 6, que atribuye a la Presidencia de la Generalitat, en el ejercicio de la más alta representación de la Generatitat, la función de “mantener relaciones con las autoridades de ámbito internacional”. De nuevo sin anticipar la respuesta de fondo, este precepto no puede ser entendido sino como desarrollo de las previsiones estatutarias sobre la acción exterior de la Generalitat de Cataluña, que resultan conformes con la Constitución, pues las Comunidades Autónomas, como parte del ejercicio de sus competencias, pueden llevar a cabo actividades con proyección exterior, siempre con respeto a las competencias constitucionalmente reservadas al Estado, en particular en lo que atañe a la política exterior y las relaciones internacionales, </w:t>
      </w:r>
      <w:r w:rsidRPr="006B7292">
        <w:rPr>
          <w:i/>
        </w:rPr>
        <w:t>ex</w:t>
      </w:r>
      <w:r>
        <w:t xml:space="preserve"> art. 149.1.3 CE (por todas, STC 31/2010, FJ 125). En tal sentido no puede dejar de recordarse que el art. 193.1 EAC prescribe que “la Generalitat debe impulsar la proyección de Cataluña en el exterior y promover sus intereses en ese ámbito respetando la competencia del Estado en materia de relaciones exteriores”. Por otra parte, en contra de lo afirmado por el Abogado del Estado, el art. 6 de la Ley 16/2014 no impide la necesaria coordinación del Presidente de la Generalitat con el Ministerio de Asuntos Exteriores y de Cooperación en el ejercicio de esas relaciones con autoridades de ámbito internacional, en el marco de las acciones con proyección exterior de la Generalitat, que han de circunscribirse al ámbito de competencias de la Comunidad Autónoma de Cataluña y para la promoción de sus intereses (art. 193 EAC). En suma, no se aprecia que el artículo 6 ocasione perjuicios sobre “la dirección y puesta en ejecución de la política exterior que corresponde en exclusiva al Estado” (SSTC 31/2010, FJ 125; y 46/2015, FJ 4), ni que ponga en cuestión la función que al Estado corresponde de coordinar las actividades con proyección exterior de las Comunidades Autónomas, que forma parte de la competencia exclusiva estatal en materia de política exterior y relaciones internacionales (art. 149.1.3 CE), lo que determina que deba alzarse la suspensión de dicho precepto.</w:t>
      </w:r>
    </w:p>
    <w:p w:rsidR="006B7292" w:rsidRDefault="006B7292" w:rsidP="006B7292">
      <w:pPr>
        <w:pStyle w:val="TextoNormal"/>
      </w:pPr>
    </w:p>
    <w:p w:rsidR="006B7292" w:rsidRDefault="006B7292" w:rsidP="006B7292">
      <w:pPr>
        <w:pStyle w:val="TextoNormal"/>
      </w:pPr>
      <w:r>
        <w:t>Por las mismas razones ha de levantarse la suspensión del artículo 26, que se refiere a las relaciones del Gobierno de la Generalitat de Cataluña “con gobiernos de otros territorios”, entendidos naturalmente como territorios de otros Estados, pues los objetivos generales que el Gobierno de la Generalitat puede promover en el ejercicio de tales relaciones, según este precepto, se deben entender enmarcados, como no puede ser de otro modo, en las acciones con proyección exterior de la Generalitat, circunscritas al ámbito de competencias de la Comunidad Autónoma de Cataluña y para la promoción de sus intereses, con respeto de la competencia exclusiva del Estado en materia de relaciones internacionales (arts. 149.1.3 CE y 193 EAC; y STC 31/2010, FJ 125). No se advierte, en suma, que la aplicación de las previsiones del art. 26 de la Ley 16/2014 pueda ocasionar perjuicios para la dirección y puesta en ejecución de la política exterior del Estado, lo que justifica el levantamiento de la suspensión de este precepto.</w:t>
      </w:r>
    </w:p>
    <w:p w:rsidR="006B7292" w:rsidRDefault="006B7292" w:rsidP="006B7292">
      <w:pPr>
        <w:pStyle w:val="TextoNormal"/>
      </w:pPr>
    </w:p>
    <w:p w:rsidR="006B7292" w:rsidRDefault="006B7292" w:rsidP="006B7292">
      <w:pPr>
        <w:pStyle w:val="TextoNormal"/>
      </w:pPr>
      <w:r>
        <w:t>Debe alzarse, asimismo, la suspensión de los artículos 7, 8 y 9, pues no se acredita por la Abogacía del Estado que las funciones que los preceptos citados atribuyen respectivamente al Gobierno de la Generalitat, a la Administración de la Generalitat y a otras instituciones de la Generalitat (Consejo de Garantías Estatutarias, Síndic de Greuges, Sindicatura de Cuentas y Oficina Antifraude de Cataluña), en cuanto a la acción exterior de Cataluña y sus relaciones con la Unión Europea, impidan o perturben el ejercicio de las competencias exclusivas del Estado en materia de política exterior y relaciones internacionales, por lo que no se advierte un perjuicio para el interés general en este ámbito.</w:t>
      </w:r>
    </w:p>
    <w:p w:rsidR="006B7292" w:rsidRDefault="006B7292" w:rsidP="006B7292">
      <w:pPr>
        <w:pStyle w:val="TextoNormal"/>
      </w:pPr>
    </w:p>
    <w:p w:rsidR="006B7292" w:rsidRDefault="006B7292" w:rsidP="006B7292">
      <w:pPr>
        <w:pStyle w:val="TextoNormal"/>
      </w:pPr>
      <w:r>
        <w:t xml:space="preserve">Así, en relación con el artículo 7, aunque el Abogado del Estado llama especialmente la atención en su demanda respecto del enunciado de la letra c), no acredita qué perjuicios concretos pueden derivarse de la atribución al Gobierno de la Generalitat de la función de “participar en el nombramiento, a propuesta del departamento competente en esta materia, de las personas que deban representar a la Generalidad en las delegaciones negociadoras del Estado ante la Unión Europea y en la Representación Permanente del Estado ante la Unión Europea”. Esa participación, ya prevista en el art. 187 EAC, lo es con el carácter de propuesta no vinculante para el Estado, “al que, en el ejercicio de la competencia reservada </w:t>
      </w:r>
      <w:r w:rsidRPr="006B7292">
        <w:rPr>
          <w:i/>
        </w:rPr>
        <w:t>ex</w:t>
      </w:r>
      <w:r>
        <w:t xml:space="preserve"> art. 149.1.3 CE, le corresponde determinar los concretos supuestos, términos, formas y condiciones de las participaciones indicadas en el precepto estatutario, participaciones que, además, no pueden privar al Estado de sus exclusivas facultades de decisión en este ámbito” (STC 31/2010, FJ 121). Cierto es, como señala también el Abogado del Estado en sus alegaciones, que el Presidente de la Generalitat, con ocasión del nombramiento del representante ante la Unión Europea, ha sustituido la denominación oficial de “delegado del Gobierno de la Generalidad de Cataluña ante la Unión Europea” (arts. 29, 30 y 33.2 de la Ley 16/2014), por la de “Representante Permanente ante la Unión Europea”, cuando es sabido que esta denominación se reserva en el ámbito de la Unión Europea a la representación de los Estados ante el Consejo y las demás instituciones de la Unión; pero este cambio de denominación, por más que pudiera perseguir el inconstitucional objetivo de dotar a la Generalitat de Cataluña de una apariencia de sujeto internacional, no es reprochable al legislador autonómico, lo que excluye que pueda erigirse como argumento para ratificar la suspensión del precepto legal impugnado.</w:t>
      </w:r>
    </w:p>
    <w:p w:rsidR="006B7292" w:rsidRDefault="006B7292" w:rsidP="006B7292">
      <w:pPr>
        <w:pStyle w:val="TextoNormal"/>
      </w:pPr>
    </w:p>
    <w:p w:rsidR="006B7292" w:rsidRDefault="006B7292" w:rsidP="006B7292">
      <w:pPr>
        <w:pStyle w:val="TextoNormal"/>
      </w:pPr>
      <w:r>
        <w:t xml:space="preserve">Del mismo modo, pese a que el Abogado del Estado también llama particularmente la atención en su demanda sobre la letra e) del art. 7, que atribuye al Gobierno de la Generalitat la función de “aprobar la conclusión de acuerdos de colaboración … con entes públicos de otros Estados o con organizaciones internacionales y autorizar, con carácter previo, la conclusión de acuerdos análogos por los entes, organismos o entidades públicas dependientes de la Administración de la Generalidad o vinculados a la misma”, no se justifica la existencia de perjuicios para el interés general que pueda fundamentar el mantenimiento de la suspensión. Estos acuerdos de colaboración, previstos en el art. 195 EAC, en ningún caso pueden implicar el ejercicio de un </w:t>
      </w:r>
      <w:r w:rsidRPr="006B7292">
        <w:rPr>
          <w:i/>
        </w:rPr>
        <w:t>ius contrahendi</w:t>
      </w:r>
      <w:r>
        <w:t xml:space="preserve">, reservado en exclusiva al Estado </w:t>
      </w:r>
      <w:r w:rsidRPr="006B7292">
        <w:rPr>
          <w:i/>
        </w:rPr>
        <w:t>ex</w:t>
      </w:r>
      <w:r>
        <w:t xml:space="preserve"> art. 149.1.3 CE, lo que “excluye, necesariamente, que los entes territoriales dotados de autonomía política, por no ser sujetos internacionales, puedan participar en las ‘relaciones internacionales’ y, consiguientemente, concertar tratados con Estados soberanos y Organizaciones internacionales gubernamentales” (STC 165/1994, FJ 5). Justamente por ello, el art. 2 d) de la Ley 16/2014 define los “acuerdos de colaboración” a efectos de esta Ley como “los acuerdos sujetos al Derecho público que no tienen naturaleza ni efectos jurídicos de Derecho internacional y sólo imponen obligaciones jurídicas a las partes que los contraen”. Como ya señaló la citada STC 31/2010, FJ 126, al enjuiciar la previsión de acuerdos de colaboración en el art. 195 EAC, “la facultad que se reconoce a la Generalitat para suscribir acuerdos de colaboración con proyección exterior se circunscribe siempre, según reza el propio precepto, al ámbito de competencias de la Comunidad Autónoma y para la promoción de sus intereses. De la redacción del precepto en modo alguno cabe deducir que dicha facultad implique el ejercicio de un </w:t>
      </w:r>
      <w:r w:rsidRPr="006B7292">
        <w:rPr>
          <w:i/>
        </w:rPr>
        <w:t>ius contrahendi</w:t>
      </w:r>
      <w:r>
        <w:t xml:space="preserve">, ni que origine obligaciones frente a poderes públicos extranjeros, ni que incida en la política exterior del Estado, ni, en fin, que genere responsabilidad de éste frente a Estados extranjeros u organizaciones inter o supranacionales. Ámbitos estos reservados al Estado </w:t>
      </w:r>
      <w:r w:rsidRPr="006B7292">
        <w:rPr>
          <w:i/>
        </w:rPr>
        <w:t>ex</w:t>
      </w:r>
      <w:r>
        <w:t xml:space="preserve"> art. 149.1.3 CE y que la Comunidad Autónoma debe respetar en todo caso en el ejercicio de la facultad que le reconoce el art. 195 EAC”.</w:t>
      </w:r>
    </w:p>
    <w:p w:rsidR="006B7292" w:rsidRDefault="006B7292" w:rsidP="006B7292">
      <w:pPr>
        <w:pStyle w:val="TextoNormal"/>
      </w:pPr>
    </w:p>
    <w:p w:rsidR="006B7292" w:rsidRDefault="006B7292" w:rsidP="006B7292">
      <w:pPr>
        <w:pStyle w:val="TextoNormal"/>
      </w:pPr>
      <w:r>
        <w:t xml:space="preserve">En definitiva, ha de convenirse con la Abogada de la Generalitat en que nada hay en el precepto impugnado que conduzca a considerar que los acuerdos de colaboración constituyen tratados internacionales ni que se obstaculice o dificulte la función de coordinación estatal; esta se concreta en la obligación por parte de la Comunidad Autónoma de remitir los proyectos de acuerdos al Ministerio de Asuntos Exteriores y Cooperación antes de su firma, para que sean informados por la Asesoría Jurídica Internacional acerca de su naturaleza, procedimiento y más adecuada instrumentación según el derecho internacional (arts. 43 y ss. de la Ley 25/2014, de 27 de noviembre, de tratados y otros acuerdos internacionales). Puesto que nada en la Ley 16/2014 impide o dificulta que los acuerdos de colaboración se sujeten a los requisitos previstos en la legislación estatal que establece las funciones de coordinación en esta materia, resulta obligado concluir que no se justifica que el precepto impugnado ocasione perjuicios al </w:t>
      </w:r>
      <w:r w:rsidRPr="006B7292">
        <w:rPr>
          <w:i/>
        </w:rPr>
        <w:t>ius contrahendi</w:t>
      </w:r>
      <w:r>
        <w:t xml:space="preserve"> que corresponde en exclusiva al Estado, lo que ha de llevar, conforme se anticipó, al alzamiento de la suspensión del artículo 7 en su integridad.</w:t>
      </w:r>
    </w:p>
    <w:p w:rsidR="006B7292" w:rsidRDefault="006B7292" w:rsidP="006B7292">
      <w:pPr>
        <w:pStyle w:val="TextoNormal"/>
      </w:pPr>
    </w:p>
    <w:p w:rsidR="006B7292" w:rsidRDefault="006B7292" w:rsidP="006B7292">
      <w:pPr>
        <w:pStyle w:val="TextoNormal"/>
      </w:pPr>
      <w:r>
        <w:t>El Abogado del Estado ha impugnado también el artículo 8 (funciones de la Administración de la Generalitat en materia de acción exterior) y el artículo 9 (funciones de otras instituciones de la Generalitat en materia de acción exterior), que considera inconstitucionales por conexión, pero no justifica los pretendidos perjuicios de imposible reparación que se producirían de aplicarse tales preceptos, por lo que debe levantarse la suspensión de los mismos.</w:t>
      </w:r>
    </w:p>
    <w:p w:rsidR="006B7292" w:rsidRDefault="006B7292" w:rsidP="006B7292">
      <w:pPr>
        <w:pStyle w:val="TextoNormal"/>
      </w:pPr>
    </w:p>
    <w:p w:rsidR="006B7292" w:rsidRDefault="006B7292" w:rsidP="006B7292">
      <w:pPr>
        <w:pStyle w:val="TextoNormal"/>
      </w:pPr>
      <w:r>
        <w:t>En suma, ha de levantarse la suspensión de la vigencia y aplicación de los arts. 5 a 9 y 26 de la Ley del Parlamento de Cataluña 16/2014.</w:t>
      </w:r>
    </w:p>
    <w:p w:rsidR="006B7292" w:rsidRDefault="006B7292" w:rsidP="006B7292">
      <w:pPr>
        <w:pStyle w:val="TextoNormal"/>
      </w:pPr>
    </w:p>
    <w:p w:rsidR="006B7292" w:rsidRDefault="006B7292" w:rsidP="006B7292">
      <w:pPr>
        <w:pStyle w:val="TextoNormal"/>
      </w:pPr>
      <w:r w:rsidRPr="006B7292">
        <w:rPr>
          <w:rStyle w:val="NumeroAFNegritaCaracter"/>
        </w:rPr>
        <w:t>7</w:t>
      </w:r>
      <w:r>
        <w:t>. Resta por examinar si procede o no mantener la suspensión de los arts. 29 a 33 de la Ley 16/2014, que integran su título III, relativo a la “representación de la Generalidad en el exterior”, y cuya finalidad es promover y defender los intereses de Cataluña en el exterior (artículo 29) mediante: delegados del Gobierno de la Generalitat ante la Unión Europea (artículo 30), delegados del Gobierno de la Generalitat en el exterior como unidades de representación institucional, que tienen por objeto la proyección internacional del país (artículo 31) y oficinas sectoriales del Gobierno de la Generalitat en el exterior, como unidades de representación territorial en el exterior con un ámbito de actuación sectorial (artículo 32). Para la actuación coordinada y eficaz de los integrantes de la representación, cuya garantía corresponde al Gobierno de la Generalitat, los delegados del Gobierno asumen la coordinación de las oficinas sectoriales del Gobierno de la Generalitat en el exterior, que deberán integrarse en los espacios de las Delegaciones; espacios en los que deberán integrarse también las representaciones en el exterior de otras Administraciones públicas de Cataluña (artículo 33).</w:t>
      </w:r>
    </w:p>
    <w:p w:rsidR="006B7292" w:rsidRDefault="006B7292" w:rsidP="006B7292">
      <w:pPr>
        <w:pStyle w:val="TextoNormal"/>
      </w:pPr>
    </w:p>
    <w:p w:rsidR="006B7292" w:rsidRDefault="006B7292" w:rsidP="006B7292">
      <w:pPr>
        <w:pStyle w:val="TextoNormal"/>
      </w:pPr>
      <w:r>
        <w:t xml:space="preserve">Esta regulación, relativa al establecimiento de delegaciones y oficinas de la Generalitat de Cataluña ante la Unión Europea y en el exterior, ha sido impugnada por el Presidente del Gobierno porque, según se razona en el recurso, comporta la atribución de la Generalitat del </w:t>
      </w:r>
      <w:r w:rsidRPr="006B7292">
        <w:rPr>
          <w:i/>
        </w:rPr>
        <w:t>ius legationis</w:t>
      </w:r>
      <w:r>
        <w:t xml:space="preserve"> que corresponde en exclusiva al Estado </w:t>
      </w:r>
      <w:r w:rsidRPr="006B7292">
        <w:rPr>
          <w:i/>
        </w:rPr>
        <w:t>ex</w:t>
      </w:r>
      <w:r>
        <w:t xml:space="preserve"> art. 149.1.3 CE y obvia por completo los mecanismos de coordinación previstos en la Ley estatal 2/2014 acerca de los requisitos y procedimientos para la apertura de oficinas de promoción exterior de las Comunidades Autónomas. A los efectos de este incidente, el Abogado del Estado aduce que el levantamiento de la suspensión de la vigencia de los preceptos impugnados ocasionaría graves e irreparables perjuicios a los intereses de la política exterior del Estado, pues el Gobierno de la Generalitat se vería respaldado en su actuación unilateral de crear delegaciones en el exterior (como ya lo ha hecho en Austria e Italia) sin sujetarse a las reglas de coordinación establecidas al efecto por el legislador estatal en el ejercicio de la competencia exclusiva del art. 149.1.3 CE.</w:t>
      </w:r>
    </w:p>
    <w:p w:rsidR="006B7292" w:rsidRDefault="006B7292" w:rsidP="006B7292">
      <w:pPr>
        <w:pStyle w:val="TextoNormal"/>
      </w:pPr>
    </w:p>
    <w:p w:rsidR="006B7292" w:rsidRDefault="006B7292" w:rsidP="006B7292">
      <w:pPr>
        <w:pStyle w:val="TextoNormal"/>
      </w:pPr>
      <w:r>
        <w:t xml:space="preserve">Conviene recordar que este Tribunal ha reconocido la legitimidad constitucional del establecimiento de oficinas autonómicas en el ámbito de la Unión Europea para la defensa de los intereses de las Comunidades Autónomas derivados de sus competencias, en cuanto la existencia de tales oficinas “no prejuzga su tipo de actividad ni determina que haya de incidir forzosamente en el ejercicio de la competencia estatal sobre relaciones internacionales” (STC 165/1994, FJ 8). Por otra parte la Ley 16/2014 no otorga en modo alguno al delegado del Gobierno de la Generalitat ante la Unión Europea, que asume la representación institucional de la Generalitat y defiende sus intereses ante las instituciones y órganos de la Unión Europea (artículo 30), un </w:t>
      </w:r>
      <w:r w:rsidRPr="006B7292">
        <w:rPr>
          <w:i/>
        </w:rPr>
        <w:t>status</w:t>
      </w:r>
      <w:r>
        <w:t xml:space="preserve"> diplomático, que sería incompatible con la competencia exclusiva del Estado </w:t>
      </w:r>
      <w:r w:rsidRPr="006B7292">
        <w:rPr>
          <w:i/>
        </w:rPr>
        <w:t>ex</w:t>
      </w:r>
      <w:r>
        <w:t xml:space="preserve"> art. 149.1.3 CE.</w:t>
      </w:r>
    </w:p>
    <w:p w:rsidR="006B7292" w:rsidRDefault="006B7292" w:rsidP="006B7292">
      <w:pPr>
        <w:pStyle w:val="TextoNormal"/>
      </w:pPr>
    </w:p>
    <w:p w:rsidR="006B7292" w:rsidRDefault="006B7292" w:rsidP="006B7292">
      <w:pPr>
        <w:pStyle w:val="TextoNormal"/>
      </w:pPr>
      <w:r>
        <w:t>Por lo que se refiere al establecimiento de oficinas en el exterior (al margen de la representación ante las instituciones y órganos de la Unión Europea), lo es “para la promoción de los intereses de Cataluña”, como establece expresamente el art. 29.3 de la Ley 16/2014, reiterando las previsiones del art. 194 EAC; debe recordarse que “la noción de ‘intereses’ con la perspectiva de la organización territorial del Estado no sólo no es inapropiada sino absolutamente irreprochable en términos constitucionales” (STC 31/2010, FJ 118), a lo que cabe añadir que, tal como reconoce el art. 193.1 EAC, “la acción exterior de la Generalitat se ejerce ‘respetando la competencia del Estado en materia de relaciones exteriores’” (STC 31/2010, FJ 126), como resulta obligado dada la reserva a favor del Estado del art. 149.1.3 (SSTC 165/1994, FJ 5; 31/2010, FJ 125, y 46/2015, FJ 4).</w:t>
      </w:r>
    </w:p>
    <w:p w:rsidR="006B7292" w:rsidRDefault="006B7292" w:rsidP="006B7292">
      <w:pPr>
        <w:pStyle w:val="TextoNormal"/>
      </w:pPr>
    </w:p>
    <w:p w:rsidR="006B7292" w:rsidRDefault="006B7292" w:rsidP="006B7292">
      <w:pPr>
        <w:pStyle w:val="TextoNormal"/>
      </w:pPr>
      <w:r>
        <w:t xml:space="preserve">Así las cosas, no es posible entender que el Abogado del Estado haya cumplido la carga argumentativa exigible para acreditar que la previsión en los preceptos impugnados de la creación de oficinas de la Generalitat en el exterior produzca perjuicios para la competencia estatal en materia de política exterior y relaciones internacionales. Las previsiones contenidas en los arts. 29 a 33 de la Ley 16/2014 no impiden la aplicación de las medidas previstas en la Ley estatal 2/2014 con el fin de coordinar las actividades con proyección externa de las Comunidades Autónomas en relación con el establecimiento de oficinas en el exterior; tales previsiones son compatibles con la sujeción a los requisitos establecidos en la referida Ley estatal de comunicación previa al Estado de la decisión de apertura de tales oficinas y emisión de informes por los Ministerios competentes en aras a preservar el principio de unidad de acción en el exterior y el principio de eficiencia en la gestión de los recursos públicos, así como la adecuación al orden competencial. El incumplimiento (al que también se ha referido el Abogado del Estado) por el Presidente de la Generalitat de los requisitos de coordinación establecidos por el legislador estatal </w:t>
      </w:r>
      <w:r w:rsidRPr="006B7292">
        <w:rPr>
          <w:i/>
        </w:rPr>
        <w:t>ex</w:t>
      </w:r>
      <w:r>
        <w:t xml:space="preserve"> art. 149.1.3 CE, al crear oficinas o delegaciones de Gobierno de la Generalitat en otros Estados, podrá desde luego ser motivo de impugnación ante la jurisdicción competente de los correspondientes Decretos de creación de esas oficinas en el exterior, pero no puede erigirse en causa justificativa para el mantenimiento de la suspensión de los referidos preceptos de la Ley 16/2014, pues esa decisión gubernativa no tiene fundamento directo en dichos preceptos legales.</w:t>
      </w:r>
    </w:p>
    <w:p w:rsidR="006B7292" w:rsidRDefault="006B7292" w:rsidP="006B7292">
      <w:pPr>
        <w:pStyle w:val="TextoNormal"/>
      </w:pPr>
    </w:p>
    <w:p w:rsidR="006B7292" w:rsidRDefault="006B7292" w:rsidP="006B7292">
      <w:pPr>
        <w:pStyle w:val="TextoNormal"/>
      </w:pPr>
      <w:r>
        <w:t>En consecuencia, procede levantar la suspensión de los arts. 29 a 33 de la Ley 16/2014.</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1º. Mantener la suspensión del apartado 1 b) del art. 1; de las letras i), j), k) y l) del art. 2; de la letra a) del art. 4 y de los arts. 34 a 38, todos ellos de la Ley del Parlamento de Cataluña 16/2014, de 4 de diciembre, de acción exterior y de relaciones con la Unión Europea.</w:t>
      </w:r>
    </w:p>
    <w:p w:rsidR="006B7292" w:rsidRDefault="006B7292" w:rsidP="006B7292">
      <w:pPr>
        <w:pStyle w:val="TextoNormal"/>
      </w:pPr>
    </w:p>
    <w:p w:rsidR="006B7292" w:rsidRDefault="006B7292" w:rsidP="006B7292">
      <w:pPr>
        <w:pStyle w:val="TextoNormal"/>
      </w:pPr>
      <w:r>
        <w:t>2º. Levantar la suspensión del apartado 1 a) y c) y el apartado 2 del art. 1; de las letras a) a la h) del art. 2; del art. 3; de las letras b) a la h) del art. 4; de los arts. 5 a 9; del art. 26; y de los arts. 29 a 33 de la misma Ley.</w:t>
      </w:r>
    </w:p>
    <w:p w:rsidR="006B7292" w:rsidRDefault="006B7292" w:rsidP="006B7292">
      <w:pPr>
        <w:pStyle w:val="TextoNormal"/>
      </w:pPr>
    </w:p>
    <w:p w:rsidR="006B7292" w:rsidRDefault="006B7292" w:rsidP="006B7292">
      <w:pPr>
        <w:pStyle w:val="TextoNormal"/>
      </w:pPr>
      <w:r>
        <w:t>Madrid, a siete de julio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37" w:name="AUTO_2015_123"/>
      <w:r>
        <w:t>AUTO 123/2015, de 8 de julio de 2015</w:t>
      </w:r>
    </w:p>
    <w:bookmarkEnd w:id="137"/>
    <w:p w:rsidR="006B7292" w:rsidRDefault="006B7292" w:rsidP="006B7292">
      <w:pPr>
        <w:pStyle w:val="TtuloResolucin"/>
      </w:pPr>
      <w:r>
        <w:t>Sección Primera</w:t>
      </w:r>
    </w:p>
    <w:p w:rsidR="006B7292" w:rsidRDefault="006B7292" w:rsidP="006B7292">
      <w:pPr>
        <w:pStyle w:val="TextoNormalCentrado"/>
      </w:pPr>
      <w:r>
        <w:t>ECLI:ES:TC:2015:123A</w:t>
      </w:r>
    </w:p>
    <w:p w:rsidR="006B7292" w:rsidRDefault="006B7292" w:rsidP="006B7292">
      <w:pPr>
        <w:pStyle w:val="TextoNormalCentrado"/>
      </w:pPr>
    </w:p>
    <w:p w:rsidR="006B7292" w:rsidRDefault="006B7292" w:rsidP="006B7292">
      <w:pPr>
        <w:pStyle w:val="SntesisDescriptiva"/>
      </w:pPr>
      <w:r>
        <w:t>Excms. Srs. don Francisco Pérez de los Cobos Orihuel, doña Encarnación Roca Trías y don Juan Antonio Xiol Ríos.</w:t>
      </w:r>
    </w:p>
    <w:p w:rsidR="006B7292" w:rsidRDefault="006B7292" w:rsidP="006B7292">
      <w:pPr>
        <w:pStyle w:val="SntesisDescriptiva"/>
      </w:pPr>
    </w:p>
    <w:p w:rsidR="006B7292" w:rsidRDefault="006B7292" w:rsidP="006B7292">
      <w:pPr>
        <w:pStyle w:val="TtuloResolucin"/>
      </w:pPr>
      <w:r>
        <w:t>*Este auto no incorpora doctrina constitucional.</w:t>
      </w:r>
    </w:p>
    <w:p w:rsidR="006B7292" w:rsidRDefault="006B7292">
      <w:pPr>
        <w:spacing w:after="160" w:line="259" w:lineRule="auto"/>
        <w:rPr>
          <w:rFonts w:ascii="Times New Roman" w:eastAsia="Times New Roman" w:hAnsi="Times New Roman" w:cs="Times New Roman"/>
          <w:b/>
          <w:sz w:val="24"/>
          <w:szCs w:val="24"/>
          <w:lang w:eastAsia="es-ES"/>
        </w:rPr>
      </w:pPr>
      <w:r>
        <w:br w:type="page"/>
      </w:r>
    </w:p>
    <w:p w:rsidR="006B7292" w:rsidRDefault="006B7292" w:rsidP="006B7292">
      <w:pPr>
        <w:pStyle w:val="TtuloResolucin"/>
      </w:pPr>
      <w:bookmarkStart w:id="138" w:name="AUTO_2015_124"/>
      <w:r>
        <w:t>AUTO 124/2015, de 9 de julio de 2015</w:t>
      </w:r>
    </w:p>
    <w:bookmarkEnd w:id="138"/>
    <w:p w:rsidR="006B7292" w:rsidRDefault="006B7292" w:rsidP="006B7292">
      <w:pPr>
        <w:pStyle w:val="TtuloResolucin"/>
      </w:pPr>
      <w:r>
        <w:t>Sección Tercera</w:t>
      </w:r>
    </w:p>
    <w:p w:rsidR="006B7292" w:rsidRDefault="006B7292" w:rsidP="006B7292">
      <w:pPr>
        <w:pStyle w:val="TextoNormalCentrado"/>
      </w:pPr>
      <w:r>
        <w:t>ECLI:ES:TC:2015:124A</w:t>
      </w:r>
    </w:p>
    <w:p w:rsidR="006B7292" w:rsidRDefault="006B7292" w:rsidP="006B7292">
      <w:pPr>
        <w:pStyle w:val="TextoNormalCentrado"/>
      </w:pPr>
    </w:p>
    <w:p w:rsidR="006B7292" w:rsidRDefault="006B7292" w:rsidP="006B7292">
      <w:pPr>
        <w:pStyle w:val="SntesisDescriptiva"/>
      </w:pPr>
      <w:r>
        <w:t>Excms. Srs. doña Adela Asua Batarrita, don Juan José González Rivas y don Pedro José González-Trevijano Sánchez.</w:t>
      </w:r>
    </w:p>
    <w:p w:rsidR="006B7292" w:rsidRDefault="006B7292" w:rsidP="006B7292">
      <w:pPr>
        <w:pStyle w:val="SntesisDescriptiva"/>
      </w:pPr>
    </w:p>
    <w:p w:rsidR="006B7292" w:rsidRDefault="006B7292" w:rsidP="006B7292">
      <w:pPr>
        <w:pStyle w:val="SntesisDescriptiva"/>
      </w:pPr>
      <w:r>
        <w:t>Acuerda la extinción, por pérdida de objeto, del recurso de amparo 933-2015, promovido por don Santiago Francisco Rodríguez Muñoz en causa penal.</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de 5 de febrero de 2015, don Santiago Francisco Rodríguez Muñoz, interno en el centro penitenciario de Jaén, manifestó su intención de interponer recurso de amparo contra el Auto del Juzgado Central de Menores (con funciones de vigilancia penitenciaria) de 4 de noviembre de 2014, por el que se desestimaba el recurso de reforma interpuesto contra el Auto del mismo Juzgado de 25 de agosto de 2014, desestimatorio, a su vez, del recurso de alzada formulado contra la sanción impuesta por el centro penitenciario de Huelva en el expediente disciplinario núm. 380-2014. Aducía el actor que el Auto resolutorio de la reforma era un simple formulario carente de motivación y que no entraba en el examen de las circunstancias concurrentes, por lo que vulneraba su derecho a la tutela judicial efectiva y su derecho de defensa. Asimismo, solicitaba la designación de Abogado y Procurador del turno de oficio.</w:t>
      </w:r>
    </w:p>
    <w:p w:rsidR="006B7292" w:rsidRDefault="006B7292" w:rsidP="006B7292">
      <w:pPr>
        <w:pStyle w:val="TextoNormal"/>
      </w:pPr>
    </w:p>
    <w:p w:rsidR="006B7292" w:rsidRDefault="006B7292" w:rsidP="006B7292">
      <w:pPr>
        <w:pStyle w:val="TextoNormal"/>
      </w:pPr>
      <w:r w:rsidRPr="006B7292">
        <w:rPr>
          <w:rStyle w:val="NumeroAFNegritaCaracter"/>
        </w:rPr>
        <w:t>2</w:t>
      </w:r>
      <w:r>
        <w:t>. Antes de que se acordara la admisión a trámite del recurso, por el Juzgado Central de Menores se puso en conocimiento de este Tribunal, a través de certificación expedida por su Secretaria, que el Auto de 4 de noviembre de 2014 no consta como resolución definitiva dictada en el recurso de reforma núm. 548-2014, interpuesto por el demandante de amparo, aunque por error fue remitido al Centro Penitenciario de Huelva, para su notificación al interno, un simple borrador realizado en esa fecha sin haber sido revisado ni firmado por el Magistrado ni por la Secretaría del Juzgado. Asimismo, hizo constar el Juzgado que con fecha 20 de febrero de 2015 se dictó Auto estimatorio del recurso de reforma, que fue notificado al recurrente el 5 de marzo de 2015, y que, detectado el error, el 6 de marzo de 2015 se dicta Auto aclaratorio de tales extremos, que procede a anular cualquier anotación en el expediente del interno relativa al expediente disciplinario núm. 380-2014, así como a acordar el abono al interno del tiempo cumplido en la sanción y que, en su defecto, se proceda en virtud de lo dispuesto en el art. 263 del Reglamento penitenciario. Dicho Auto aclaratorio se adjunta a la comunicación del Juzgado.</w:t>
      </w:r>
    </w:p>
    <w:p w:rsidR="006B7292" w:rsidRDefault="006B7292" w:rsidP="006B7292">
      <w:pPr>
        <w:pStyle w:val="TextoNormal"/>
      </w:pPr>
    </w:p>
    <w:p w:rsidR="006B7292" w:rsidRDefault="006B7292" w:rsidP="006B7292">
      <w:pPr>
        <w:pStyle w:val="TextoNormal"/>
      </w:pPr>
      <w:r w:rsidRPr="006B7292">
        <w:rPr>
          <w:rStyle w:val="NumeroAFNegritaCaracter"/>
        </w:rPr>
        <w:t>3</w:t>
      </w:r>
      <w:r>
        <w:t>. Una vez recibida la comunicación del Juzgado Central de Menores, la Sección Tercera de este Tribunal, por providencia de 20 de marzo de 2015, acordó conceder un plazo de diez días a las partes y al Ministerio Fiscal para que, en virtud del art. 84 de la Ley Orgánica del Tribunal Constitucional, alegaran lo que estimaran conveniente sobre la falta de objeto sobrevenida del presente recurso de amparo.</w:t>
      </w:r>
    </w:p>
    <w:p w:rsidR="006B7292" w:rsidRDefault="006B7292" w:rsidP="006B7292">
      <w:pPr>
        <w:pStyle w:val="TextoNormal"/>
      </w:pPr>
    </w:p>
    <w:p w:rsidR="006B7292" w:rsidRDefault="006B7292" w:rsidP="006B7292">
      <w:pPr>
        <w:pStyle w:val="TextoNormal"/>
      </w:pPr>
      <w:r w:rsidRPr="006B7292">
        <w:rPr>
          <w:rStyle w:val="NumeroAFNegritaCaracter"/>
        </w:rPr>
        <w:t>4</w:t>
      </w:r>
      <w:r>
        <w:t>. El Ministerio Fiscal presentó alegaciones mediante escrito registrado el 4 de mayo de 2015, en el que consideró que, atendidas las circunstancias del caso, quedando sin efecto la resolución objeto del amparo y dictándose una nueva que otorga la razón al recurrente y anula la sanción impuesta, ha desaparecido la causa origen del recurso de amparo, quedando el mismo sin objeto.</w:t>
      </w:r>
    </w:p>
    <w:p w:rsidR="006B7292" w:rsidRDefault="006B7292" w:rsidP="006B7292">
      <w:pPr>
        <w:pStyle w:val="TextoNormal"/>
      </w:pPr>
    </w:p>
    <w:p w:rsidR="006B7292" w:rsidRDefault="006B7292" w:rsidP="006B7292">
      <w:pPr>
        <w:pStyle w:val="TextoNormal"/>
      </w:pPr>
      <w:r w:rsidRPr="006B7292">
        <w:rPr>
          <w:rStyle w:val="NumeroAFNegritaCaracter"/>
        </w:rPr>
        <w:t>5</w:t>
      </w:r>
      <w:r>
        <w:t>. El demandante de amparo no ha formulado alegaciones.</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Conforme a nuestra reiterada doctrina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w:t>
      </w:r>
    </w:p>
    <w:p w:rsidR="006B7292" w:rsidRDefault="006B7292" w:rsidP="006B7292">
      <w:pPr>
        <w:pStyle w:val="TextoNormal"/>
      </w:pPr>
    </w:p>
    <w:p w:rsidR="006B7292" w:rsidRDefault="006B7292" w:rsidP="006B7292">
      <w:pPr>
        <w:pStyle w:val="TextoNormal"/>
      </w:pPr>
      <w:r>
        <w:t>De este modo, “como hemos declarado reiteradamente —así, STC 118/2007, de 21 de mayo, FJ 2—, la desaparición sobrevenida del objeto del proceso, aun cuando no contemplada expresamente en el art. 86.1 LOTC, ha sido admitida por este Tribunal como forma de terminación de los distintos procesos constitucionales. En particular y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En estos supuestos, por tanto, la demanda de amparo deja de tener objeto, toda vez que la reparación de la lesión del derecho fundamental por los propios órganos judiciales, antes de que este Tribunal haya dictado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mayo, FJ 2; y 128/2006, de 24 de abril, FJ 2)” (STC 133/2007, de 4 de junio, FJ 2).</w:t>
      </w:r>
    </w:p>
    <w:p w:rsidR="006B7292" w:rsidRDefault="006B7292" w:rsidP="006B7292">
      <w:pPr>
        <w:pStyle w:val="TextoNormal"/>
      </w:pPr>
    </w:p>
    <w:p w:rsidR="006B7292" w:rsidRDefault="006B7292" w:rsidP="006B7292">
      <w:pPr>
        <w:pStyle w:val="TextoNormal"/>
      </w:pPr>
      <w:r>
        <w:t>En tales supuestos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de la Ley Orgánica del Tribunal Constitucional: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y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de 11 de diciembre, FJ 9).</w:t>
      </w:r>
    </w:p>
    <w:p w:rsidR="006B7292" w:rsidRDefault="006B7292" w:rsidP="006B7292">
      <w:pPr>
        <w:pStyle w:val="TextoNormal"/>
      </w:pPr>
    </w:p>
    <w:p w:rsidR="006B7292" w:rsidRDefault="006B7292" w:rsidP="006B7292">
      <w:pPr>
        <w:pStyle w:val="TextoNormal"/>
      </w:pPr>
      <w:r w:rsidRPr="006B7292">
        <w:rPr>
          <w:rStyle w:val="NumeroAFNegritaCaracter"/>
        </w:rPr>
        <w:t>2</w:t>
      </w:r>
      <w:r>
        <w:t>. Del examen de las presentes actuaciones se desprende que al actor le fue impuesta una sanción disciplinaria por el centro penitenciario de Huelva (expediente núm. 380-2014), frente a la cual interpuso recurso de alzada, desestimado por el Juzgado Central de Menores de la Audiencia Nacional, con funciones de vigilancia penitenciaria, mediante Auto de 25 de agosto de 2014, contra el cual promovió recurso de reforma, que fue aparentemente desestimado mediante Auto de 4 de noviembre de 2014, notificado al actor el 21 de enero de 2015. Sin embargo, según ha certificado dicho Juzgado, este último Auto era un simple borrador no firmado por el Magistrado y la Secretaria, y no la resolución definitiva, que fue dictada con fecha 20 de febrero de 2015, y en la que se estimó el recurso de reforma, anulando la sanción impuesta. Estos extremos fueron aclarados en virtud de Auto del mismo Juzgado de 6 de marzo de 2015, en el cual, además, se acordó anular cualquier anotación en el expediente del interno relativa al expediente disciplinario así como el abono a aquél del tiempo cumplido en la sanción y, en su defecto, que se procediera a conceder la recompensa del art. 263 del Reglamento penitenciario.</w:t>
      </w:r>
    </w:p>
    <w:p w:rsidR="006B7292" w:rsidRDefault="006B7292" w:rsidP="006B7292">
      <w:pPr>
        <w:pStyle w:val="TextoNormal"/>
      </w:pPr>
    </w:p>
    <w:p w:rsidR="006B7292" w:rsidRDefault="006B7292" w:rsidP="006B7292">
      <w:pPr>
        <w:pStyle w:val="TextoNormal"/>
      </w:pPr>
      <w:r>
        <w:t>A la vista de lo expuesto, y teniendo en cuenta que ello supone la estimación de la pretensión que el recurrente quería plantear ante este Tribunal, de conformidad con lo dispuesto en los arts. 80 y 86.1 LOTC, en relación con el art. 22 de la Ley de enjuiciamiento civil, procede declarar la perdida de objeto del presente recurso, en tanto que la continuación del proceso no satisface ningún interés, al haberse dejado sin efecto el acto lesivo.</w:t>
      </w:r>
    </w:p>
    <w:p w:rsidR="006B7292" w:rsidRDefault="006B7292" w:rsidP="006B7292">
      <w:pPr>
        <w:pStyle w:val="TextoNormal"/>
      </w:pPr>
    </w:p>
    <w:p w:rsidR="006B7292" w:rsidRDefault="006B7292" w:rsidP="006B7292">
      <w:pPr>
        <w:pStyle w:val="TextoNormal"/>
      </w:pPr>
      <w:r>
        <w:t>Por todo lo expuesto, la Sección</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Declarar la extinción del recurso por la pérdida de objeto del amparo interpuesto y el archivo de las actuaciones.</w:t>
      </w:r>
    </w:p>
    <w:p w:rsidR="006B7292" w:rsidRDefault="006B7292" w:rsidP="006B7292">
      <w:pPr>
        <w:pStyle w:val="TextoNormal"/>
      </w:pPr>
    </w:p>
    <w:p w:rsidR="006B7292" w:rsidRDefault="006B7292" w:rsidP="006B7292">
      <w:pPr>
        <w:pStyle w:val="TextoNormal"/>
      </w:pPr>
      <w:r>
        <w:t>Madrid, a nueve de julio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39" w:name="AUTO_2015_125"/>
      <w:r>
        <w:t>AUTO 125/2015, de 10 de julio de 2015</w:t>
      </w:r>
    </w:p>
    <w:bookmarkEnd w:id="139"/>
    <w:p w:rsidR="006B7292" w:rsidRDefault="006B7292" w:rsidP="006B7292">
      <w:pPr>
        <w:pStyle w:val="TtuloResolucin"/>
      </w:pPr>
      <w:r>
        <w:t>Sección Tercera</w:t>
      </w:r>
    </w:p>
    <w:p w:rsidR="006B7292" w:rsidRDefault="006B7292" w:rsidP="006B7292">
      <w:pPr>
        <w:pStyle w:val="TextoNormalCentrado"/>
      </w:pPr>
      <w:r>
        <w:t>ECLI:ES:TC:2015:125A</w:t>
      </w:r>
    </w:p>
    <w:p w:rsidR="006B7292" w:rsidRDefault="006B7292" w:rsidP="006B7292">
      <w:pPr>
        <w:pStyle w:val="TextoNormalCentrado"/>
      </w:pPr>
    </w:p>
    <w:p w:rsidR="006B7292" w:rsidRDefault="006B7292" w:rsidP="006B7292">
      <w:pPr>
        <w:pStyle w:val="SntesisDescriptiva"/>
      </w:pPr>
      <w:r>
        <w:t>Excms. Srs. doña Adela Asua Batarrita, don Juan José González Rivas y don Pedro José González-Trevijano Sánchez.</w:t>
      </w:r>
    </w:p>
    <w:p w:rsidR="006B7292" w:rsidRDefault="006B7292" w:rsidP="006B7292">
      <w:pPr>
        <w:pStyle w:val="SntesisDescriptiva"/>
      </w:pPr>
    </w:p>
    <w:p w:rsidR="006B7292" w:rsidRDefault="006B7292" w:rsidP="006B7292">
      <w:pPr>
        <w:pStyle w:val="TtuloResolucin"/>
      </w:pPr>
      <w:r>
        <w:t>*Este auto no incorpora doctrina constitucional.</w:t>
      </w:r>
    </w:p>
    <w:p w:rsidR="006B7292" w:rsidRDefault="006B7292">
      <w:pPr>
        <w:spacing w:after="160" w:line="259" w:lineRule="auto"/>
        <w:rPr>
          <w:rFonts w:ascii="Times New Roman" w:eastAsia="Times New Roman" w:hAnsi="Times New Roman" w:cs="Times New Roman"/>
          <w:b/>
          <w:sz w:val="24"/>
          <w:szCs w:val="24"/>
          <w:lang w:eastAsia="es-ES"/>
        </w:rPr>
      </w:pPr>
      <w:r>
        <w:br w:type="page"/>
      </w:r>
    </w:p>
    <w:p w:rsidR="006B7292" w:rsidRDefault="006B7292" w:rsidP="006B7292">
      <w:pPr>
        <w:pStyle w:val="TtuloResolucin"/>
      </w:pPr>
      <w:bookmarkStart w:id="140" w:name="AUTO_2015_126"/>
      <w:r>
        <w:t>AUTO 126/2015, de 20 de julio de 2015</w:t>
      </w:r>
    </w:p>
    <w:bookmarkEnd w:id="140"/>
    <w:p w:rsidR="006B7292" w:rsidRDefault="006B7292" w:rsidP="006B7292">
      <w:pPr>
        <w:pStyle w:val="TtuloResolucin"/>
      </w:pPr>
      <w:r>
        <w:t>Sección Cuarta</w:t>
      </w:r>
    </w:p>
    <w:p w:rsidR="006B7292" w:rsidRDefault="006B7292" w:rsidP="006B7292">
      <w:pPr>
        <w:pStyle w:val="TextoNormalCentrado"/>
      </w:pPr>
      <w:r>
        <w:t>ECLI:ES:TC:2015:126A</w:t>
      </w:r>
    </w:p>
    <w:p w:rsidR="006B7292" w:rsidRDefault="006B7292" w:rsidP="006B7292">
      <w:pPr>
        <w:pStyle w:val="TextoNormalCentrado"/>
      </w:pPr>
    </w:p>
    <w:p w:rsidR="006B7292" w:rsidRDefault="006B7292" w:rsidP="006B7292">
      <w:pPr>
        <w:pStyle w:val="SntesisDescriptiva"/>
      </w:pPr>
      <w:r>
        <w:t>Excms. Srs. don Fernando Valdés Dal-Ré y don Antonio Narváez Rodríguez.</w:t>
      </w:r>
    </w:p>
    <w:p w:rsidR="006B7292" w:rsidRDefault="006B7292" w:rsidP="006B7292">
      <w:pPr>
        <w:pStyle w:val="SntesisDescriptiva"/>
      </w:pPr>
    </w:p>
    <w:p w:rsidR="006B7292" w:rsidRDefault="006B7292" w:rsidP="006B7292">
      <w:pPr>
        <w:pStyle w:val="SntesisDescriptiva"/>
      </w:pPr>
      <w:r>
        <w:t>Acepta una abstención en el recurso de amparo 287-2014, promovido por la Generalitat de Cataluña en proceso contencioso-administrativo.</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t>Único. En el presente recurso de amparo se impugna providencia de 4 de diciembre de 2013 y Sentencia de 24 de septiembre de 2013 dictadas por la Sección Cuarta de la Sala Tercera de lo Contencioso-Administrativo del Tribunal Supremo en el recurso de casación núm. 2895-2012 interpuesto contra Sentencia de 29 de mayo de 2012 dictada por la Sección Quinta de la Sala de lo Contencioso-Administrativo del Tribunal Superior de Justicia de Cataluña en el recurso núm. 451-2009.</w:t>
      </w:r>
    </w:p>
    <w:p w:rsidR="006B7292" w:rsidRDefault="006B7292" w:rsidP="006B7292">
      <w:pPr>
        <w:pStyle w:val="TextoNormal"/>
      </w:pPr>
    </w:p>
    <w:p w:rsidR="006B7292" w:rsidRDefault="006B7292" w:rsidP="006B7292">
      <w:pPr>
        <w:pStyle w:val="TextoNormal"/>
      </w:pPr>
      <w:r>
        <w:t>Mediante escrito fechado el 16 de julio de 2015 el Magistrado don Ricardo Enríquez Sancho comunicó a los efectos oportunos que se abstenía de intervenir en el antes indicado recurso de amparo, de conformidad con el art. 80 de la Ley Orgánica del Tribunal Constitucional (LOTC), por haber formado parte de la Sección Cuarta de la Sala Tercera de lo Contencioso-Administrativo del Tribunal Supremo, que dictó la Sentencia de 24 de septiembre de 2013 en el recurso de casación 2895-2012, resolución recurrida en el presente recurso de amparo 287-2014.</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Único. Vista la comunicación efectuada por don Ricardo Enríquez Sancho Magistrado de esta Sección Cuarta del Tribunal Constitucional, la Sección, en virtud de lo previsto en el art. 219. 11 de la Ley Orgánica del Poder Judicial, supletoria de la Ley Orgánica del Tribunal Constitucional (art. 80), estima justificada la causa de abstención formulada, puesto que el mencionado Magistrado formó parte de la Sección Cuarta de la Sala Tercera de lo Contencioso-Administrativo del Tribunal Supremo que dictó la Sentencia de 24 de septiembre de 2013 en el recurso de casación núm. 2895-2012, resolución que ha sido impugnada en el presente recurso de amparo núm. 287-2014.</w:t>
      </w:r>
    </w:p>
    <w:p w:rsidR="006B7292" w:rsidRDefault="006B7292" w:rsidP="006B7292">
      <w:pPr>
        <w:pStyle w:val="TextoNormal"/>
      </w:pPr>
    </w:p>
    <w:p w:rsidR="006B7292" w:rsidRDefault="006B7292" w:rsidP="006B7292">
      <w:pPr>
        <w:pStyle w:val="TextoNormal"/>
      </w:pPr>
      <w:r>
        <w:t>Por todo lo expuesto, la Sección</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Estimar justificada la abstención formulada por el Magistrado don Ricardo Enríquez Sancho en el recurso de amparo núm. 287-2014 apartándole definitivamente del conocimiento del referido recurso y de todas sus incidencias.</w:t>
      </w:r>
    </w:p>
    <w:p w:rsidR="006B7292" w:rsidRDefault="006B7292" w:rsidP="006B7292">
      <w:pPr>
        <w:pStyle w:val="TextoNormal"/>
      </w:pPr>
    </w:p>
    <w:p w:rsidR="006B7292" w:rsidRDefault="006B7292" w:rsidP="006B7292">
      <w:pPr>
        <w:pStyle w:val="TextoNormal"/>
      </w:pPr>
      <w:r>
        <w:t>Madrid, a veinte de julio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41" w:name="AUTO_2015_127"/>
      <w:r>
        <w:t>AUTO 127/2015, de 20 de julio de 2015</w:t>
      </w:r>
    </w:p>
    <w:bookmarkEnd w:id="141"/>
    <w:p w:rsidR="006B7292" w:rsidRDefault="006B7292" w:rsidP="006B7292">
      <w:pPr>
        <w:pStyle w:val="TtuloResolucin"/>
      </w:pPr>
      <w:r>
        <w:t>Sala Primera</w:t>
      </w:r>
    </w:p>
    <w:p w:rsidR="006B7292" w:rsidRDefault="006B7292" w:rsidP="006B7292">
      <w:pPr>
        <w:pStyle w:val="TextoNormalCentrado"/>
      </w:pPr>
      <w:r>
        <w:t>ECLI:ES:TC:2015:127A</w:t>
      </w:r>
    </w:p>
    <w:p w:rsidR="006B7292" w:rsidRDefault="006B7292" w:rsidP="006B7292">
      <w:pPr>
        <w:pStyle w:val="TextoNormalCentrado"/>
      </w:pPr>
    </w:p>
    <w:p w:rsidR="006B7292" w:rsidRDefault="006B7292" w:rsidP="006B7292">
      <w:pPr>
        <w:pStyle w:val="SntesisDescriptiva"/>
      </w:pPr>
      <w:r>
        <w:t>Excms. Srs. don Francisco Pérez de los Cobos Orihuel, doña Encarnación Roca Trías, don Andrés Ollero Tassara, don Santiago Martínez-Vares García y don Juan Antonio Xiol Ríos.</w:t>
      </w:r>
    </w:p>
    <w:p w:rsidR="006B7292" w:rsidRDefault="006B7292" w:rsidP="006B7292">
      <w:pPr>
        <w:pStyle w:val="SntesisDescriptiva"/>
      </w:pPr>
    </w:p>
    <w:p w:rsidR="006B7292" w:rsidRDefault="006B7292" w:rsidP="006B7292">
      <w:pPr>
        <w:pStyle w:val="SntesisDescriptiva"/>
      </w:pPr>
      <w:r>
        <w:t>Deniega la suspensión de la medida de internamiento no voluntario en el recurso de amparo 6167-2014, promovido por doña Moreen Sondra Silver en pleito civil.</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presentado en el Registro General de este Tribunal el día 14 de octubre de 2014, el Procurador de los Tribunales don José María Rico Maesso, en nombre y representación de doña Moreen Sondra Silver, interpuso recurso de amparo contra el Auto de 31 de julio de 2014 de la Audiencia Provincial de Madrid que acordó no haber lugar a la aclaración de su Auto de fecha 22 de julio de 2014 y contra este último, que desestimó el recurso de apelación interpuesto contra el Auto de fecha 25 de febrero de 2014, dictado por el Juzgado de Primera Instancia núm. 30 de Madrid, en el expediente de internamiento núm. 333-2014. En él se acordó la ratificación del ingreso no voluntario por razón de trastorno psíquico (demencia fronto-temporal) de la demandante de amparo, en la Residencia Margarita Retuerto de Madrid, para su tratamiento médico-asistencial por el tiempo que se estime necesario.</w:t>
      </w:r>
    </w:p>
    <w:p w:rsidR="006B7292" w:rsidRDefault="006B7292" w:rsidP="006B7292">
      <w:pPr>
        <w:pStyle w:val="TextoNormal"/>
      </w:pPr>
    </w:p>
    <w:p w:rsidR="006B7292" w:rsidRDefault="006B7292" w:rsidP="006B7292">
      <w:pPr>
        <w:pStyle w:val="TextoNormal"/>
      </w:pPr>
      <w:r>
        <w:t>En la demanda de amparo se denuncia la vulneración del derecho fundamental a la libertad personal (art. 17.1 CE) y a la tutela judicial efectiva (art. 24.1 CE); este último en relación con el art. 5.4 del Convenio europeo de derechos humanos (CEDH). Se aduce, en síntesis, que el internamiento no voluntario se llevó a cabo sin respetar las garantías previstas en el art 763 de la Ley de enjuiciamiento civil (LEC); toda vez que, por un lado, se incumplió el plazo de 24 horas legalmente previsto para comunicar al órgano judicial el internamiento no voluntario y, por otro, el Juzgado de Primera Instancia incumplió el límite temporal de 72 horas que fija la ley, para resolver respecto de la ratificación de una medida que afecta al derecho a la libertad personal recogido en el art. 17 CE.</w:t>
      </w:r>
    </w:p>
    <w:p w:rsidR="006B7292" w:rsidRDefault="006B7292" w:rsidP="006B7292">
      <w:pPr>
        <w:pStyle w:val="TextoNormal"/>
      </w:pPr>
    </w:p>
    <w:p w:rsidR="006B7292" w:rsidRDefault="006B7292" w:rsidP="006B7292">
      <w:pPr>
        <w:pStyle w:val="TextoNormal"/>
      </w:pPr>
      <w:r>
        <w:t>Así, en el recurso de amparo se expone que el día 14 de febrero de 2014 la demandante fue trasladada por una unidad de SAMUR a la Residencia Margarita Retuerto de Madrid para ocupar una plaza de urgencia, al entender los servicios sociales que tal medida era necesaria; la afectada, de 72 años de edad, vive sola y “padece síntoma de Diógenes, presenta extrema delgadez y síntomas de un posible deterioro cognitivo”. No obstante lo anterior, hasta el día 18 de febrero el Juzgado no recibió escrito de solicitud de ratificación del internamiento involuntario por lo que, a juicio de la representación de la recurrente, se habría incumplido el plazo máximo de 24 horas que prevé el art. 763 LEC para tramitar la preceptiva ratificación de dicha medida, con la consiguiente vulneración del art. 17 CE. Por su parte, el Juzgado dictó Auto de ratificación, previa práctica de las pruebas requeridas y oído el informe del Ministerio Fiscal, el día 25 de febrero de 2014, por lo que también habría superado el plazo de 72 horas que a tal fin prevé el citado art. 763 LEC, como garantía del derecho a la libertad personal protegido en el art. 17 CE.</w:t>
      </w:r>
    </w:p>
    <w:p w:rsidR="006B7292" w:rsidRDefault="006B7292" w:rsidP="006B7292">
      <w:pPr>
        <w:pStyle w:val="TextoNormal"/>
      </w:pPr>
    </w:p>
    <w:p w:rsidR="006B7292" w:rsidRDefault="006B7292" w:rsidP="006B7292">
      <w:pPr>
        <w:pStyle w:val="TextoNormal"/>
      </w:pPr>
      <w:r>
        <w:t>Asimismo, se alega la vulneración del derecho a la tutela judicial efectiva (art. 24 CE), en relación con el art. 5.4 CEDH, al entender la representación legal de la recurrente que esta tenía derecho a disponer de representación y defensa durante todo el procedimiento (art. 763.3 LEC), sin que fuese informada de tal derecho hasta el día 24 de mayo de 2014.</w:t>
      </w:r>
    </w:p>
    <w:p w:rsidR="006B7292" w:rsidRDefault="006B7292" w:rsidP="006B7292">
      <w:pPr>
        <w:pStyle w:val="TextoNormal"/>
      </w:pPr>
    </w:p>
    <w:p w:rsidR="006B7292" w:rsidRDefault="006B7292" w:rsidP="006B7292">
      <w:pPr>
        <w:pStyle w:val="TextoNormal"/>
      </w:pPr>
      <w:r>
        <w:t>En consecuencia, en el suplico de la demanda se solicita que se declare la nulidad de las resoluciones judiciales impugnadas y que se proceda a dejar sin efecto de forma inmediata el internamiento involuntario de la demandante de amparo.</w:t>
      </w:r>
    </w:p>
    <w:p w:rsidR="006B7292" w:rsidRDefault="006B7292" w:rsidP="006B7292">
      <w:pPr>
        <w:pStyle w:val="TextoNormal"/>
      </w:pPr>
    </w:p>
    <w:p w:rsidR="006B7292" w:rsidRDefault="006B7292" w:rsidP="006B7292">
      <w:pPr>
        <w:pStyle w:val="TextoNormal"/>
      </w:pPr>
      <w:r w:rsidRPr="006B7292">
        <w:rPr>
          <w:rStyle w:val="NumeroAFNegritaCaracter"/>
        </w:rPr>
        <w:t>2</w:t>
      </w:r>
      <w:r>
        <w:t>. La Sala Primera de este Tribunal, por providencia de 25 de mayo de 2015, acordó admitir a trámite el recurso de amparo, apreciando que concurre en el mismo una especial trascendencia constitucional (art. 50.1 LOTC) al dar ocasión al Tribunal para aclarar o cambiar su doctrina, como consecuencia del surgimiento de nuevas realidades sociales [STC 155/2009, de 25 de junio, FJ 2 b)].</w:t>
      </w:r>
    </w:p>
    <w:p w:rsidR="006B7292" w:rsidRDefault="006B7292" w:rsidP="006B7292">
      <w:pPr>
        <w:pStyle w:val="TextoNormal"/>
      </w:pPr>
    </w:p>
    <w:p w:rsidR="006B7292" w:rsidRDefault="006B7292" w:rsidP="006B7292">
      <w:pPr>
        <w:pStyle w:val="TextoNormal"/>
      </w:pPr>
      <w:r>
        <w:t>Por ello, en aplicación de lo dispuesto en el art. 51 LOTC, se acordó dirigir sendas comunicaciones a los órganos judiciales competentes, para la remisión de certificación o fotocopia adverada de las actuaciones y emplazamiento a quienes hubieran sido parte en el procedimiento, a excepción de la demandante de amparo; de modo que, si lo deseasen, pudiesen comparecer en el plazo de diez días en el presente proceso de amparo.</w:t>
      </w:r>
    </w:p>
    <w:p w:rsidR="006B7292" w:rsidRDefault="006B7292" w:rsidP="006B7292">
      <w:pPr>
        <w:pStyle w:val="TextoNormal"/>
      </w:pPr>
    </w:p>
    <w:p w:rsidR="006B7292" w:rsidRDefault="006B7292" w:rsidP="006B7292">
      <w:pPr>
        <w:pStyle w:val="TextoNormal"/>
      </w:pPr>
      <w:r>
        <w:t>Por providencia de igual fecha, la Sala Primera acordó formar la oportuna pieza para la tramitación del incidente de suspensión y, de conformidad con lo dispuesto en el art. 56 LOTC, otorgar un plazo común de tres días a la demandante de amparo y al Ministerio Fiscal para formular las alegaciones que tuvieran por conveniente sobre la suspensión interesada.</w:t>
      </w:r>
    </w:p>
    <w:p w:rsidR="006B7292" w:rsidRDefault="006B7292" w:rsidP="006B7292">
      <w:pPr>
        <w:pStyle w:val="TextoNormal"/>
      </w:pPr>
    </w:p>
    <w:p w:rsidR="006B7292" w:rsidRDefault="006B7292" w:rsidP="006B7292">
      <w:pPr>
        <w:pStyle w:val="TextoNormal"/>
      </w:pPr>
      <w:r w:rsidRPr="006B7292">
        <w:rPr>
          <w:rStyle w:val="NumeroAFNegritaCaracter"/>
        </w:rPr>
        <w:t>3</w:t>
      </w:r>
      <w:r>
        <w:t>. La representación procesal de la recurrente evacuó el trámite de alegaciones conferido mediante escrito registrado en este Tribunal el 2 de junio de 2015, en el que se reitera la solicitud de suspensión y, en consecuencia, se requiere la salida de la demandante de la residencia en la que se encuentra ingresada en contra de su voluntad. Aduce que “médicamente ha sido examinada este fin de semana por el Doctor José María Poveda, especialista psiquiatra que está colaborando altruistamente en el seguimiento de este asunto”, quien manifiesta que la afectada se encuentra lúcida, coherente y con deseos de restablecer de forma inmediata su vida normal. En este sentido, se aporta un correo electrónico del citado especialista, cuyo contenido íntegro es el siguiente: “En relación con la ciudadana de Estados Unidos Maureen Silver y después de la visita realizada el viernes 29 de mayo, paso a comunicarle lo que sigue. Se ha mostrado lúcida coherente abordable y colaboradora, no muestra síntomas de impregnación medicamentosa. Presenta un consistente interés y disposición para recuperar su actividad y organizar su producción fotográfica, documentación, cámaras fotográficas e instrumentos musicales. Está indicada la supervisión médica especializada y psicoterapéutica a su alta, para lo que quedo atentamente a su disposición” (</w:t>
      </w:r>
      <w:r w:rsidRPr="006B7292">
        <w:rPr>
          <w:i/>
        </w:rPr>
        <w:t>sic</w:t>
      </w:r>
      <w:r>
        <w:t>).</w:t>
      </w:r>
    </w:p>
    <w:p w:rsidR="006B7292" w:rsidRDefault="006B7292" w:rsidP="006B7292">
      <w:pPr>
        <w:pStyle w:val="TextoNormal"/>
      </w:pPr>
    </w:p>
    <w:p w:rsidR="006B7292" w:rsidRDefault="006B7292" w:rsidP="006B7292">
      <w:pPr>
        <w:pStyle w:val="TextoNormal"/>
      </w:pPr>
      <w:r>
        <w:t>Asimismo, se alega a favor de la suspensión que la interesada goza de un amplio círculo de amistades dispuestas a prestarle ayuda y que el único problema que ha tenido la recurrente es que “padece síndrome de déficit de atención perfectamente tratable como venía ocurriendo desde su infancia hasta que fue privada del medicamento correspondiente”.</w:t>
      </w:r>
    </w:p>
    <w:p w:rsidR="006B7292" w:rsidRDefault="006B7292" w:rsidP="006B7292">
      <w:pPr>
        <w:pStyle w:val="TextoNormal"/>
      </w:pPr>
    </w:p>
    <w:p w:rsidR="006B7292" w:rsidRDefault="006B7292" w:rsidP="006B7292">
      <w:pPr>
        <w:pStyle w:val="TextoNormal"/>
      </w:pPr>
      <w:r w:rsidRPr="006B7292">
        <w:rPr>
          <w:rStyle w:val="NumeroAFNegritaCaracter"/>
        </w:rPr>
        <w:t>4</w:t>
      </w:r>
      <w:r>
        <w:t>. El Ministerio Fiscal presentó su escrito de alegaciones el 8 de junio de 2015, solicitando la denegación de la suspensión de la medida de internamiento no voluntario de la demandante de amparo.</w:t>
      </w:r>
    </w:p>
    <w:p w:rsidR="006B7292" w:rsidRDefault="006B7292" w:rsidP="006B7292">
      <w:pPr>
        <w:pStyle w:val="TextoNormal"/>
      </w:pPr>
    </w:p>
    <w:p w:rsidR="006B7292" w:rsidRDefault="006B7292" w:rsidP="006B7292">
      <w:pPr>
        <w:pStyle w:val="TextoNormal"/>
      </w:pPr>
      <w:r>
        <w:t>Tras exponer los antecedentes del asunto y la doctrina constitucional respecto de la regla general de la ejecutoriedad de las resoluciones judiciales y sus excepciones, el Fiscal afirma que el presente caso presenta unas características singulares, sin que existan precedentes al respecto en la doctrina constitucional, lo que requiere una adecuada ponderación de las circunstancias del caso. En este sentido, entiende, en primer lugar, que se desconoce con certeza cuál es la situación actual de la demandante de amparo, esto es, si la medida de internamiento sigue vigente o si ha sido sustituida por otra, pues la última notificación que consta en el testimonio de actuaciones es el acuerdo, por Auto de 4 de julio de 2014 del Juzgado de Primera Instancia núm. 95 de Madrid, de nombramiento de un administrador provisional de los bienes de la demandante de amparo, en el procedimiento de incapacitación civil núm. 344-2014.</w:t>
      </w:r>
    </w:p>
    <w:p w:rsidR="006B7292" w:rsidRDefault="006B7292" w:rsidP="006B7292">
      <w:pPr>
        <w:pStyle w:val="TextoNormal"/>
      </w:pPr>
    </w:p>
    <w:p w:rsidR="006B7292" w:rsidRDefault="006B7292" w:rsidP="006B7292">
      <w:pPr>
        <w:pStyle w:val="TextoNormal"/>
      </w:pPr>
      <w:r>
        <w:t>En segundo término, el Fiscal pone de relieve que el proceso de amparo constitucional no permite cuestionar las bases fácticas que sustentaron en su momento la adopción de la medida de privación de la libertad y recuerda que la decisión sobre la suspensión no permite examinar, ni siquiera con carácter provisional, el fondo de las lesiones constitucionales denunciadas en el recurso de amparo. Asimismo, constata que la medida de internamiento involuntario está sometida a revisión periódica por parte de los órganos judiciales, en los términos que prevé el art. 763.4 LEC; es pues la jurisdicción ordinaria quien se encontraría en la mejor posición para ponderar si el ingreso en un centro geriátrico debe mantenerse o si, por el contrario, es procedente la adopción de otras medidas sociales de apoyo a la demandante.</w:t>
      </w:r>
    </w:p>
    <w:p w:rsidR="006B7292" w:rsidRDefault="006B7292" w:rsidP="006B7292">
      <w:pPr>
        <w:pStyle w:val="TextoNormal"/>
      </w:pPr>
    </w:p>
    <w:p w:rsidR="006B7292" w:rsidRDefault="006B7292" w:rsidP="006B7292">
      <w:pPr>
        <w:pStyle w:val="TextoNormal"/>
      </w:pPr>
      <w:r>
        <w:t>Razones que le llevan a solicitar, como se ha indicado, la denegación de la suspensión interesada.</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art. 56.2 de la Ley Orgánica del Tribunal Constitucional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6B7292" w:rsidRDefault="006B7292" w:rsidP="006B7292">
      <w:pPr>
        <w:pStyle w:val="TextoNormal"/>
      </w:pPr>
    </w:p>
    <w:p w:rsidR="006B7292" w:rsidRDefault="006B7292" w:rsidP="006B7292">
      <w:pPr>
        <w:pStyle w:val="TextoNormal"/>
      </w:pPr>
      <w:r>
        <w:t>De acuerdo con la doctrina reiterada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muchos, AATC 2/2001, de 15 de enero, FJ 1; 4/2006, de 16 de enero, FJ 1, y 127/2010, de 4 de octubre, FJ 1). En principio, pues, no procede la suspensión de las resoluciones judiciales por la perturbación de la función jurisdiccional que la misma supone, excepto si el recurrente acredita suficientemente la irreparabilidad que para sus derechos fundamentales pudiera tener la ejecución, privando al amparo de su finalidad; igualmente que la suspensión no produzca las perturbaciones graves a las que se refiere el art. 56.2 LOTC.</w:t>
      </w:r>
    </w:p>
    <w:p w:rsidR="006B7292" w:rsidRDefault="006B7292" w:rsidP="006B7292">
      <w:pPr>
        <w:pStyle w:val="TextoNormal"/>
      </w:pPr>
    </w:p>
    <w:p w:rsidR="006B7292" w:rsidRDefault="006B7292" w:rsidP="006B7292">
      <w:pPr>
        <w:pStyle w:val="TextoNormal"/>
      </w:pPr>
      <w:r>
        <w:t>En este sentido, por perjuicio irreparable ha de entenderse aquel que provoque que el restablecimiento del recurrente en el derecho constitucional vulnerado sea tardío y convierta el amparo en meramente ilusorio y nominal (por todos, ATC 212/2009, de 9 de julio, FJ 1). Más concretamente hemos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Diferentes son los casos en los que, por afectar a bienes o derechos del recurrente en amparo de imposible o muy difícil restitución a su estado anterior, procede acordarla; esto sucede, en principio, en las condenas a penas privativas de libertad y a penas privativas o limitativas de ciertos derechos.</w:t>
      </w:r>
    </w:p>
    <w:p w:rsidR="006B7292" w:rsidRDefault="006B7292" w:rsidP="006B7292">
      <w:pPr>
        <w:pStyle w:val="TextoNormal"/>
      </w:pPr>
    </w:p>
    <w:p w:rsidR="006B7292" w:rsidRDefault="006B7292" w:rsidP="006B7292">
      <w:pPr>
        <w:pStyle w:val="TextoNormal"/>
      </w:pPr>
      <w:r>
        <w:t>Este criterio, no obstante, no es absoluto. La doctrina que este Tribunal ha elaborado señala que, en tales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así como el riesgo de eludir la acción de la Justicia y la posible desprotección de las víctimas. Entre tales circunstancias, adquiere especial significación la gravedad de la pena impuesta, porque, en principio, en ella se expresa la reprobación que el ordenamiento asigna al hecho delictivo y, por consiguiente, la magnitud del interés en su ejecución (AATC 273/1998, de 14 de diciembre, FJ 2; y 201/2007, de 27 de marzo, FJ 2;).</w:t>
      </w:r>
    </w:p>
    <w:p w:rsidR="006B7292" w:rsidRDefault="006B7292" w:rsidP="006B7292">
      <w:pPr>
        <w:pStyle w:val="TextoNormal"/>
      </w:pPr>
    </w:p>
    <w:p w:rsidR="006B7292" w:rsidRDefault="006B7292" w:rsidP="006B7292">
      <w:pPr>
        <w:pStyle w:val="TextoNormal"/>
      </w:pPr>
      <w:r w:rsidRPr="006B7292">
        <w:rPr>
          <w:rStyle w:val="NumeroAFNegritaCaracter"/>
        </w:rPr>
        <w:t>2</w:t>
      </w:r>
      <w:r>
        <w:t>. En el caso que nos ocupa la privación de libertad de la demandante de amparo no trae causa en una condena penal, sino que se trata de un internamiento no voluntario por razón de trastorno psíquico, regulado en el art. 763 de la Ley de enjuiciamiento civil (LEC). Como indica el Ministerio Fiscal, estamos ante un asunto que presenta unas características singulares y que requiere una adecuada ponderación de las concretas circunstancias del caso, a la luz del procedimiento que, como garantía de la libertad personal, prevé el legislador en el citado art. 763 LEC.</w:t>
      </w:r>
    </w:p>
    <w:p w:rsidR="006B7292" w:rsidRDefault="006B7292" w:rsidP="006B7292">
      <w:pPr>
        <w:pStyle w:val="TextoNormal"/>
      </w:pPr>
    </w:p>
    <w:p w:rsidR="006B7292" w:rsidRDefault="006B7292" w:rsidP="006B7292">
      <w:pPr>
        <w:pStyle w:val="TextoNormal"/>
      </w:pPr>
      <w:r>
        <w:t>Es importante recordar, en primer lugar, que a este Tribunal no le corresponde cuestionar las bases fácticas que sustentaron en su momento la adopción de la medida privativa de libertad; consistentes en el informe emitido por los servicios sociales que da cuenta de las precarias condiciones de vida de la demandante de amparo, el informe emitido por el médico forense el 24 de febrero de 2014 en el que se constata que la demandante de amparo padece un trastorno cognitivo leve y aconseja su traslado a un centro residencial geriátrico y el informe médico forense de fecha 25 de junio de 2014 en el que se aconseja la permanencia de la demandante en el centro residencial geriátrico en el que ha sido internada. Por otra parte, se desconoce si la situación actual de la demandante de amparo aconseja o no su mantenimiento en un centro geriátrico; el único dato que aporta la representación procesal de la recurrente al respecto es un correo electrónico emitido por un médico psiquiatra que colabora altruistamente en el seguimiento del caso, reproducido íntegramente en los antecedentes de este Auto, del que se no se desprende de forma explícita y clara que la afectada deberá ser dada de alta.</w:t>
      </w:r>
    </w:p>
    <w:p w:rsidR="006B7292" w:rsidRDefault="006B7292" w:rsidP="006B7292">
      <w:pPr>
        <w:pStyle w:val="TextoNormal"/>
      </w:pPr>
    </w:p>
    <w:p w:rsidR="006B7292" w:rsidRDefault="006B7292" w:rsidP="006B7292">
      <w:pPr>
        <w:pStyle w:val="TextoNormal"/>
      </w:pPr>
      <w:r>
        <w:t>Por otra parte, debemos constatar, como también lo hace el Ministerio Fiscal, que la medida de internamiento involuntario está sometida a revisión periódica por parte de los órganos judiciales. El art. 763.4 LEC prevé que “los informes médicos serán emitidos cada seis meses, a no ser que el tribunal, atendida la naturaleza del trastorno que motivó el internamiento, señale un plazo inferior”. Así, la Ley regula la obligación de los facultativos que atienden a la persona internada de informar periódicamente al órgano judicial competente sobre la necesidad de mantener la medida, sin perjuicio de los demás informes que aquel pueda requerir cuando lo crea pertinente. A la vista de tales informes periódicos, el órgano judicial podrá acordar, previa práctica de las actuaciones que estime imprescindibles, lo procedente sobre la continuación o no del internamiento (art. 763.4 LEC). También los facultativos que atienden a la persona ingresada pueden acordar el alta del paciente si consideran que ya no es necesario mantener el ingreso, comunicándolo inmediatamente al Tribunal competente (art. 763.4 LEC); en todo caso, la representación procesal de la demandante de amparo puede dirigirse en cualquier momento al órgano judicial solicitando el cese del internamiento si considera que se han modificado las circunstancias que en su momento lo aconsejaron.</w:t>
      </w:r>
    </w:p>
    <w:p w:rsidR="006B7292" w:rsidRDefault="006B7292" w:rsidP="006B7292">
      <w:pPr>
        <w:pStyle w:val="TextoNormal"/>
      </w:pPr>
    </w:p>
    <w:p w:rsidR="006B7292" w:rsidRDefault="006B7292" w:rsidP="006B7292">
      <w:pPr>
        <w:pStyle w:val="TextoNormal"/>
      </w:pPr>
      <w:r>
        <w:t>En consecuencia, la regulación legal establece garantías específicas en el ámbito de la jurisdicción ordinaria dirigidas a evitar una prolongación innecesaria de las situaciones de pérdida de libertad no voluntaria por razón de trastorno psíquico. En el presente caso, el Auto de 25 de febrero de 2014 del Juzgado de Primera Instancia núm. 30 de Madrid estableció que el centro geriátrico debía informar al Juzgado, cada seis meses, sobre la necesidad de proseguir o no el internamiento.</w:t>
      </w:r>
    </w:p>
    <w:p w:rsidR="006B7292" w:rsidRDefault="006B7292" w:rsidP="006B7292">
      <w:pPr>
        <w:pStyle w:val="TextoNormal"/>
      </w:pPr>
    </w:p>
    <w:p w:rsidR="006B7292" w:rsidRDefault="006B7292" w:rsidP="006B7292">
      <w:pPr>
        <w:pStyle w:val="TextoNormal"/>
      </w:pPr>
      <w:r>
        <w:t>De acuerdo con lo expuesto, teniendo en cuenta, en primer lugar, que es el Juzgado competente el que se encuentra en mejor posición para ponderar todos los elementos a tener en cuenta en beneficio de la persona afectada, pues conoce el expediente desde el inicio y, en segundo lugar, que el legislador ha previsto de forma detallada en el art. 763.4 LEC las garantías que han de rodear el seguimiento, por parte de los órganos judiciales, de la continuación o no del internamiento no voluntario por razón de trastorno psíquico, procede denegar la suspensión interesada.</w:t>
      </w:r>
    </w:p>
    <w:p w:rsidR="006B7292" w:rsidRDefault="006B7292" w:rsidP="006B7292">
      <w:pPr>
        <w:pStyle w:val="TextoNormal"/>
      </w:pPr>
    </w:p>
    <w:p w:rsidR="006B7292" w:rsidRDefault="006B7292" w:rsidP="006B7292">
      <w:pPr>
        <w:pStyle w:val="TextoNormal"/>
      </w:pPr>
      <w:r>
        <w:t>Por todo lo expuesto, la Sala</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Denegar la suspensión de la medida de internamiento no voluntario de la demandante de amparo, acordada por Auto de 25 de febrero de 2014 del Juzgado de Primera Instancia núm. 30 de Madrid y confirmada por Auto de 22 de julio de 2014 de la Audiencia Provincial de Madrid, sin perjuicio de las medidas que puedan adoptarse al respecto por la jurisdicción ordinaria.</w:t>
      </w:r>
    </w:p>
    <w:p w:rsidR="006B7292" w:rsidRDefault="006B7292" w:rsidP="006B7292">
      <w:pPr>
        <w:pStyle w:val="TextoNormal"/>
      </w:pPr>
    </w:p>
    <w:p w:rsidR="006B7292" w:rsidRDefault="006B7292" w:rsidP="006B7292">
      <w:pPr>
        <w:pStyle w:val="TextoNormal"/>
      </w:pPr>
      <w:r>
        <w:t>Madrid, a veinte de julio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42" w:name="AUTO_2015_128"/>
      <w:r>
        <w:t>AUTO 128/2015, de 20 de julio de 2015</w:t>
      </w:r>
    </w:p>
    <w:bookmarkEnd w:id="142"/>
    <w:p w:rsidR="006B7292" w:rsidRDefault="006B7292" w:rsidP="006B7292">
      <w:pPr>
        <w:pStyle w:val="TtuloResolucin"/>
      </w:pPr>
      <w:r>
        <w:t>Sección Segunda</w:t>
      </w:r>
    </w:p>
    <w:p w:rsidR="006B7292" w:rsidRDefault="006B7292" w:rsidP="006B7292">
      <w:pPr>
        <w:pStyle w:val="TextoNormalCentrado"/>
      </w:pPr>
      <w:r>
        <w:t>ECLI:ES:TC:2015:128A</w:t>
      </w:r>
    </w:p>
    <w:p w:rsidR="006B7292" w:rsidRDefault="006B7292" w:rsidP="006B7292">
      <w:pPr>
        <w:pStyle w:val="TextoNormalCentrado"/>
      </w:pPr>
    </w:p>
    <w:p w:rsidR="006B7292" w:rsidRDefault="006B7292" w:rsidP="006B7292">
      <w:pPr>
        <w:pStyle w:val="SntesisDescriptiva"/>
      </w:pPr>
      <w:r>
        <w:t>Excms. Srs. don Andrés Ollero Tassara y don Santiago Martínez-Vares García.</w:t>
      </w:r>
    </w:p>
    <w:p w:rsidR="006B7292" w:rsidRDefault="006B7292" w:rsidP="006B7292">
      <w:pPr>
        <w:pStyle w:val="SntesisDescriptiva"/>
      </w:pPr>
    </w:p>
    <w:p w:rsidR="006B7292" w:rsidRDefault="006B7292" w:rsidP="006B7292">
      <w:pPr>
        <w:pStyle w:val="SntesisDescriptiva"/>
      </w:pPr>
      <w:r>
        <w:t>Desestima el recurso de súplica del Ministerio Fiscal sobre inadmisión del recurso de amparo 246-2015, promovido por don Vicente Tormo Rodríguez y otra persona en pleito civil.</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presentado el 1 de julio de 2015 en el Registro General de este Tribunal el Fiscal ante el Tribunal Constitucional interpone recurso de súplica contra la providencia de la Sección Segunda de 25 de mayo de 2015 que acordó la inadmisión del recurso de amparo núm. 246-2015.</w:t>
      </w:r>
    </w:p>
    <w:p w:rsidR="006B7292" w:rsidRDefault="006B7292" w:rsidP="006B7292">
      <w:pPr>
        <w:pStyle w:val="TextoNormal"/>
      </w:pPr>
    </w:p>
    <w:p w:rsidR="006B7292" w:rsidRDefault="006B7292" w:rsidP="006B7292">
      <w:pPr>
        <w:pStyle w:val="TextoNormal"/>
      </w:pPr>
      <w:r w:rsidRPr="006B7292">
        <w:rPr>
          <w:rStyle w:val="NumeroAFNegritaCaracter"/>
        </w:rPr>
        <w:t>2</w:t>
      </w:r>
      <w:r>
        <w:t>. Los hechos de los que trae causa el recurso de súplica son, sucintamente expuestos, los siguientes:</w:t>
      </w:r>
    </w:p>
    <w:p w:rsidR="006B7292" w:rsidRDefault="006B7292" w:rsidP="006B7292">
      <w:pPr>
        <w:pStyle w:val="TextoNormal"/>
      </w:pPr>
    </w:p>
    <w:p w:rsidR="006B7292" w:rsidRDefault="006B7292" w:rsidP="006B7292">
      <w:pPr>
        <w:pStyle w:val="TextoNormal"/>
      </w:pPr>
      <w:r>
        <w:t>a) El 15 de enero de 2015 doña Esther Gómez García, Procuradora de los Tribunales, presenta recurso de amparo en nombre y representación de don Vicente Tormo Rodríguez y doña Soledad Peña Peña, bajo la dirección letrada de don Pedro Lago Pérez, contra el Auto del Juzgado de Primera Instancia núm. 2 de Córdoba, de 3 de diciembre de 2014, dictado en el procedimiento de ejecución hipotecaria núm. 843-2013 por el que se desestima el incidente de nulidad de actuaciones interpuesto contra la ejecución despachada. La demanda razona, en síntesis, que el órgano judicial vulneró el art. 24.1 CE al incumplir la doctrina constitucional sobre emplazamientos y notificaciones edictales; el órgano judicial habría emplazado a los demandantes por edictos sin agotar todas las posibilidades que tenía a su alcance para conseguir la notificación personal en el domicilio real.</w:t>
      </w:r>
    </w:p>
    <w:p w:rsidR="006B7292" w:rsidRDefault="006B7292" w:rsidP="006B7292">
      <w:pPr>
        <w:pStyle w:val="TextoNormal"/>
      </w:pPr>
    </w:p>
    <w:p w:rsidR="006B7292" w:rsidRDefault="006B7292" w:rsidP="006B7292">
      <w:pPr>
        <w:pStyle w:val="TextoNormal"/>
      </w:pPr>
      <w:r>
        <w:t>b) Tras examinar el recurso, la Sección Segunda del Tribunal Constitucional dicta providencia de 25 de mayo de 2015 por la que acuerda no admitirlo a trámite por no apreciar en el mismo la especial trascendencia constitucional que, como condición para su admisión, requiere el art. 50.1 b) (STC 155/2009, de 25 de junio, FJ 2).</w:t>
      </w:r>
    </w:p>
    <w:p w:rsidR="006B7292" w:rsidRDefault="006B7292" w:rsidP="006B7292">
      <w:pPr>
        <w:pStyle w:val="TextoNormal"/>
      </w:pPr>
    </w:p>
    <w:p w:rsidR="006B7292" w:rsidRDefault="006B7292" w:rsidP="006B7292">
      <w:pPr>
        <w:pStyle w:val="TextoNormal"/>
      </w:pPr>
      <w:r w:rsidRPr="006B7292">
        <w:rPr>
          <w:rStyle w:val="NumeroAFNegritaCaracter"/>
        </w:rPr>
        <w:t>3</w:t>
      </w:r>
      <w:r>
        <w:t>. En su recurso de súplica, el Fiscal ante el Tribunal Constitucional razona en primer término que la demanda de amparo satisfizo la carga de justificar su especial trascendencia constitucional, al señalar que el órgano judicial incumplió la doctrina constitucional tal como ocurre de forma general y manifiesta en la jurisdicción ordinaria, que son limitadas las posibilidades de defensa de la parte ejecutada y que los procesos ejecutivos hipotecarios afrontan una nueva realidad social. Tras ello, el Fiscal razona que el recurso reviste efectivamente especial trascendencia constitucional. Tras hacer suyas las razones del recurrente, añade las siguientes. En primer lugar, existiría un nuevo marco normativo (Leyes 13/2009, de 3 de noviembre, de reforma de la legislación procesal para la implantación de la oficina judicial; 4/2013, de 4 de junio, de medidas de flexibilización y fomento del mercado de alquiler de viviendas) que dotaría al recurso de especial trascendencia constitucional, tal como ha puesto de relieve la STC 122/2013. Se trataría del supuesto b) del fundamento jurídico 2 de la STC 155/2009, de 25 de junio: que el recurso “dé ocasión al Tribunal Constitucional para aclarar o cambiar su doctrina” como consecuencia de “cambios normativos relevantes para la configuración del contenido del derecho fundamental”. La especial trascendencia derivaría también de la repercusión social y económica que en los últimos tiempos han adquirido las ejecuciones hipotecarias y de la necesidad de reforzar la protección jurídica efectiva de los hipotecados (se citan las SSTC 28/2010, de 27 de abril, FJ 2; 1/2014, de 13 de enero, FJ 3, y 89/2015, de 11 de mayo).</w:t>
      </w:r>
    </w:p>
    <w:p w:rsidR="006B7292" w:rsidRDefault="006B7292" w:rsidP="006B7292">
      <w:pPr>
        <w:pStyle w:val="TextoNormal"/>
      </w:pPr>
    </w:p>
    <w:p w:rsidR="006B7292" w:rsidRDefault="006B7292" w:rsidP="006B7292">
      <w:pPr>
        <w:pStyle w:val="TextoNormal"/>
      </w:pPr>
      <w:r w:rsidRPr="006B7292">
        <w:rPr>
          <w:rStyle w:val="NumeroAFNegritaCaracter"/>
        </w:rPr>
        <w:t>4</w:t>
      </w:r>
      <w:r>
        <w:t>. Por diligencia de ordenación de 2 de julio de 2015, el Secretario de Justicia de la Sala Primera del Tribunal Constitucional tiene por recibido el escrito del Ministerio Fiscal y acuerda dar trasladado al demandante de amparo para que alegue lo que estime conveniente de conformidad con el art. 93.2 de la Ley Orgánica del Tribunal Constitucional.</w:t>
      </w:r>
    </w:p>
    <w:p w:rsidR="006B7292" w:rsidRDefault="006B7292" w:rsidP="006B7292">
      <w:pPr>
        <w:pStyle w:val="TextoNormal"/>
      </w:pPr>
    </w:p>
    <w:p w:rsidR="006B7292" w:rsidRDefault="006B7292" w:rsidP="006B7292">
      <w:pPr>
        <w:pStyle w:val="TextoNormal"/>
      </w:pPr>
      <w:r w:rsidRPr="006B7292">
        <w:rPr>
          <w:rStyle w:val="NumeroAFNegritaCaracter"/>
        </w:rPr>
        <w:t>5</w:t>
      </w:r>
      <w:r>
        <w:t>. El 13 de julio de 2015 tiene entrada en el Registro General de este Tribunal escrito de la Procuradora doña Esther Gómez García en nombre y representación de don Vicente Tormo Rodríguez y de doña Soledad Peña Peña, adhiriéndose al recurso de súplica interpuesto por el Ministerio Fiscal. Tras transcribir el apartado 3 del art. 686 de la Ley de enjuiciamiento civil (LEC) añadido por la Ley 13/2009 —“intentado sin efecto el requerimiento en el domicilio que resulte del registro…, se procederá a ordenar la publicación de edictos”—, recuerda que el Tribunal Constitucional ha matizado su sentido (STC 122/2013, de 20 de mayo). Sin embargo, este Tribunal no se habría pronunciado aún sobre el modo en que la reforma del art. 686 LEC influye en la obligación que el art. 155.2 LEC impone a cualquier demandante —“deberá indicar cuantos datos conozca del demandado y que puedan ser de utilidad para la localización de éste, como números de teléfono, de fax o similares”—. Aclarar este aspecto dotaría de especial trascendencia constitucional al recurso de amparo.</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Ministerio Fiscal ha recurrido en súplica la providencia de 25 de mayo de 2015 de la Sección Segunda de este Tribunal, que acordó inadmitir el recurso de amparo núm. 246-2015 por no apreciar en el mismo la especial trascendencia constitucional que, como condición para la admisión del recurso de amparo, requiere el art. 50.1 b) de la Ley Orgánica del Tribunal Constitucional (LOTC), redactado por la Ley Orgánica 6/2007, de 24 de mayo.</w:t>
      </w:r>
    </w:p>
    <w:p w:rsidR="006B7292" w:rsidRDefault="006B7292" w:rsidP="006B7292">
      <w:pPr>
        <w:pStyle w:val="TextoNormal"/>
      </w:pPr>
    </w:p>
    <w:p w:rsidR="006B7292" w:rsidRDefault="006B7292" w:rsidP="006B7292">
      <w:pPr>
        <w:pStyle w:val="TextoNormal"/>
      </w:pPr>
      <w:r>
        <w:t>El Fiscal fundamenta la especial trascendencia constitucional del recurso en un doble criterio; por un lado, el nuevo marco normativo (Leyes 13/2009, de 3 de noviembre, de reforma de la legislación procesal para la implantación de la oficina judicial, y 4/2013, de 4 de junio, de medidas de flexibilización y fomento del mercado de alquiler de viviendas) sobre el que ha de proyectarse ahora la doctrina constitucional sobre el art. 24.1 CE en relación con los emplazamientos y notificaciones edictales; por otro, la repercusión social y económica que en los últimos tiempos han adquirido las ejecuciones hipotecarias.</w:t>
      </w:r>
    </w:p>
    <w:p w:rsidR="006B7292" w:rsidRDefault="006B7292" w:rsidP="006B7292">
      <w:pPr>
        <w:pStyle w:val="TextoNormal"/>
      </w:pPr>
    </w:p>
    <w:p w:rsidR="006B7292" w:rsidRDefault="006B7292" w:rsidP="006B7292">
      <w:pPr>
        <w:pStyle w:val="TextoNormal"/>
      </w:pPr>
      <w:r w:rsidRPr="006B7292">
        <w:rPr>
          <w:rStyle w:val="NumeroAFNegritaCaracter"/>
        </w:rPr>
        <w:t>2</w:t>
      </w:r>
      <w:r>
        <w:t>. Al resolver otro recurso de súplica, el ATC 86/2015, de 18 de noviembre, FJ único, señaló: “El Tribunal Constitucional ha dispuesto recientemente de varias ocasiones para fijar doctrina sobre el art. 24.1 CE en relación con problemas de emplazamiento y notificaciones edictales (SSTC 122/2013, de 20 de mayo, 30/2014, de 24 de febrero, 169/2014, de 22 de octubre, y 137/2014, de 8 de septiembre), sin que entreveamos en este caso circunstancias justificativas de una resolución de fondo en razón de su especial trascendencia constitucional”.</w:t>
      </w:r>
    </w:p>
    <w:p w:rsidR="006B7292" w:rsidRDefault="006B7292" w:rsidP="006B7292">
      <w:pPr>
        <w:pStyle w:val="TextoNormal"/>
      </w:pPr>
    </w:p>
    <w:p w:rsidR="006B7292" w:rsidRDefault="006B7292" w:rsidP="006B7292">
      <w:pPr>
        <w:pStyle w:val="TextoNormal"/>
      </w:pPr>
      <w:r>
        <w:t>Tal declaración vale igualmente para este asunto, si bien “es preciso recordar una vez más que corresponde a este Tribunal apreciar si el contenido del recurso justifica una decisión sobre el fondo en razón de su especial trascendencia constitucional, atendiendo, conforme al art. 50.1 b) LOTC, a ‘su importancia para la interpretación de la Constitución, para su aplicación o para su general eficacia y para la determinación del contenido y alcance de los derechos fundamentales’ (criterios que ha desarrollado la STC 155/2009, de 25 de junio, FJ 2)” (AATC 173/2010, de 17 de noviembre, FJ 2; 29/2011, de 17 de marzo, FJ 2; 46/2011, de 28 de abril, FJ 2; en el mismo sentido, AATC 61/2010, de 31 de mayo, FJ 2; 201/2010, de 21 de diciembre, FJ 2, y 173/2010, de 17 de noviembre, FJ 2).</w:t>
      </w:r>
    </w:p>
    <w:p w:rsidR="006B7292" w:rsidRDefault="006B7292" w:rsidP="006B7292">
      <w:pPr>
        <w:pStyle w:val="TextoNormal"/>
      </w:pPr>
    </w:p>
    <w:p w:rsidR="006B7292" w:rsidRDefault="006B7292" w:rsidP="006B7292">
      <w:pPr>
        <w:pStyle w:val="TextoNormal"/>
      </w:pPr>
      <w:r>
        <w:t>Por todo lo expuesto, la Sección</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Desestimar el recurso de súplica interpuesto por el Ministerio Fiscal.</w:t>
      </w:r>
    </w:p>
    <w:p w:rsidR="006B7292" w:rsidRDefault="006B7292" w:rsidP="006B7292">
      <w:pPr>
        <w:pStyle w:val="TextoNormal"/>
      </w:pPr>
    </w:p>
    <w:p w:rsidR="006B7292" w:rsidRDefault="006B7292" w:rsidP="006B7292">
      <w:pPr>
        <w:pStyle w:val="TextoNormal"/>
      </w:pPr>
      <w:r>
        <w:t>Madrid, a veinte de julio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43" w:name="AUTO_2015_129"/>
      <w:r>
        <w:t>AUTO 129/2015, de 21 de julio de 2015</w:t>
      </w:r>
    </w:p>
    <w:bookmarkEnd w:id="143"/>
    <w:p w:rsidR="006B7292" w:rsidRDefault="006B7292" w:rsidP="006B7292">
      <w:pPr>
        <w:pStyle w:val="TtuloResolucin"/>
      </w:pPr>
      <w:r>
        <w:t>Pleno</w:t>
      </w:r>
    </w:p>
    <w:p w:rsidR="006B7292" w:rsidRDefault="006B7292" w:rsidP="006B7292">
      <w:pPr>
        <w:pStyle w:val="TextoNormalCentrado"/>
      </w:pPr>
      <w:r>
        <w:t>ECLI:ES:TC:2015:129A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Inadmite a trámite la cuestión de inconstitucionalidad 6723-2014, planteada por el Tribunal Superior de Justicia de Castilla y León en relación con el artículo 2.1 del Real Decreto-ley 28/2012, de 30 de noviembre, de medidas de consolidación y garantía del sistema de la Seguridad Social. Voto particular.</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día 11 de noviembre de 2014 se registró en este Tribunal un oficio del Secretario de la Sala de lo Social del Tribunal Superior de Justicia de Castilla y León (Burgos) mediante el que se remiten las actuaciones correspondientes al rollo de suplicación 589-2014, que incorporan el Auto de 15 de octubre de 2014 planteando cuestión de inconstitucionalidad contra el art. 2.1 del Real Decreto-ley 28/2012, de 30 de noviembre, de medidas de consolidación y garantía del sistema de la Seguridad Social, por vulneración del principio de irretroactividad de las disposiciones restrictivas de derechos individuales (art. 9.3 CE) y del derecho de propiedad (art. 33 CE).</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que interesa destacar a los efectos de este proceso constitucional son los siguientes:</w:t>
      </w:r>
    </w:p>
    <w:p w:rsidR="006B7292" w:rsidRDefault="006B7292" w:rsidP="006B7292">
      <w:pPr>
        <w:pStyle w:val="TextoNormal"/>
      </w:pPr>
    </w:p>
    <w:p w:rsidR="006B7292" w:rsidRDefault="006B7292" w:rsidP="006B7292">
      <w:pPr>
        <w:pStyle w:val="TextoNormal"/>
      </w:pPr>
      <w:r>
        <w:t>a) El Juzgado de lo Social núm. 1 de Burgos dictó Sentencia estimando la demanda interpuesta por un pensionista en cuanto a la actualización de su pensión. El Juzgado de lo Social afirma en el fallo que “estimo la demanda … con los siguientes pronunciamientos: 1.- Declaro el derecho de la demandante a que se considere como pensión del año 2012 la señalada en el apartado segundo del relato histórico de la presente incrementada en un 2,9 por 100 y que la misma sirva de base para el incremento acordado en el año 2013 y 2014 debiendo el demandado estar y pasar por tal declaración. 2.- Declaro el derecho del actor a percibir las diferencias correspondientes al año 2012 que son la diferencia entre el 1 por 100 aplicado y el 2,9 por 100 debido".</w:t>
      </w:r>
    </w:p>
    <w:p w:rsidR="006B7292" w:rsidRDefault="006B7292" w:rsidP="006B7292">
      <w:pPr>
        <w:pStyle w:val="TextoNormal"/>
      </w:pPr>
    </w:p>
    <w:p w:rsidR="006B7292" w:rsidRDefault="006B7292" w:rsidP="006B7292">
      <w:pPr>
        <w:pStyle w:val="TextoNormal"/>
      </w:pPr>
      <w:r>
        <w:t>b) Recurrida la Sentencia en suplicación y una vez conclusos los autos y dentro del plazo para dictar sentencia, mediante providencia de 24 de septiembre de 2014, se dio traslado las partes y al Ministerio Fiscal para que alegaran sobre la pertinencia de plantear cuestión en relación con el art. 2.1 del Real Decreto-ley 28/2012, por posible vulneración del art. 9.3 CE. El Fiscal consideró que concurriendo las condiciones procesales necesarias, y habiendo sido superados los juicios de aplicabilidad y relevancia, procedía la elevación de la cuestión. El Letrado de la Seguridad Social se pronunció sobre la constitucionalidad del precepto, mientras que la demandante se mostró conforme con los razonamientos de la providencia.</w:t>
      </w:r>
    </w:p>
    <w:p w:rsidR="006B7292" w:rsidRDefault="006B7292" w:rsidP="006B7292">
      <w:pPr>
        <w:pStyle w:val="TextoNormal"/>
      </w:pPr>
    </w:p>
    <w:p w:rsidR="006B7292" w:rsidRDefault="006B7292" w:rsidP="006B7292">
      <w:pPr>
        <w:pStyle w:val="TextoNormal"/>
      </w:pPr>
      <w:r w:rsidRPr="006B7292">
        <w:rPr>
          <w:rStyle w:val="NumeroAFNegritaCaracter"/>
        </w:rPr>
        <w:t>3</w:t>
      </w:r>
      <w:r>
        <w:t>. El Auto de la Sala de planteamiento de la presente cuestión, de 15 de octubre de 2014, se fundamenta en los argumentos que a continuación se resumen.</w:t>
      </w:r>
    </w:p>
    <w:p w:rsidR="006B7292" w:rsidRDefault="006B7292" w:rsidP="006B7292">
      <w:pPr>
        <w:pStyle w:val="TextoNormal"/>
      </w:pPr>
    </w:p>
    <w:p w:rsidR="006B7292" w:rsidRDefault="006B7292" w:rsidP="006B7292">
      <w:pPr>
        <w:pStyle w:val="TextoNormal"/>
      </w:pPr>
      <w:r>
        <w:t>Tras la exposición de la doctrina constitucional relativa a la irretroactividad de las disposiciones sancionadoras no favorables o restrictivas de derechos individuales prevista en el art. 9.3 CE, y destacar el carácter restrictivo con que este precepto debe ser interpretado, señala que lo primero que hay que despejar es si en el caso existe un derecho individual desde la consideración restrictiva apuntada por el Tribunal Constitucional, “lo que entendemos que merece una respuesta positiva”, si más argumentación. En segundo lugar, debe analizarse si, aun siendo de grado máximo, carece realmente de justificación habilitante, puesto que el Tribunal Constitucional admite que “la prohibición de retroactividad operaría plenamente y solo exigencias del bien común podrían imponerse excepcionalmente a tal principio” (STC 197/1992).</w:t>
      </w:r>
    </w:p>
    <w:p w:rsidR="006B7292" w:rsidRDefault="006B7292" w:rsidP="006B7292">
      <w:pPr>
        <w:pStyle w:val="TextoNormal"/>
      </w:pPr>
    </w:p>
    <w:p w:rsidR="006B7292" w:rsidRDefault="006B7292" w:rsidP="006B7292">
      <w:pPr>
        <w:pStyle w:val="TextoNormal"/>
      </w:pPr>
      <w:r>
        <w:t>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revalorizaciones de las pensiones, sistema que establece el art. 50 CE, para evitar que como consecuencia del incremento del coste de la vida, en unos años las pensiones reconocidas pierdan su esencia y produzca un empobrecimiento de los pensionistas. El desarrollo del art. 50 CE se ha realizado a través del art. 48 de la Ley general de la Seguridad Social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w:t>
      </w:r>
    </w:p>
    <w:p w:rsidR="006B7292" w:rsidRDefault="006B7292" w:rsidP="006B7292">
      <w:pPr>
        <w:pStyle w:val="TextoNormal"/>
      </w:pPr>
    </w:p>
    <w:p w:rsidR="006B7292" w:rsidRDefault="006B7292" w:rsidP="006B7292">
      <w:pPr>
        <w:pStyle w:val="TextoNormal"/>
      </w:pPr>
      <w:r>
        <w:t>El único límite al importe de la revalorización de las pensiones contributivas se establece en el art. 49 LGSS: la revalorización de las pensiones no podrán superar el importe de la pensión máxima que se establezca para cada año en la correspondiente Ley de presupuestos generales del Estado, sumado en su caso al importe anual íntegro ya revalorizado de las otras pensiones públicas percibidas por su titular.</w:t>
      </w:r>
    </w:p>
    <w:p w:rsidR="006B7292" w:rsidRDefault="006B7292" w:rsidP="006B7292">
      <w:pPr>
        <w:pStyle w:val="TextoNormal"/>
      </w:pPr>
    </w:p>
    <w:p w:rsidR="006B7292" w:rsidRDefault="006B7292" w:rsidP="006B7292">
      <w:pPr>
        <w:pStyle w:val="TextoNormal"/>
      </w:pPr>
      <w:r>
        <w:t>Sentado lo anterior, el órgano judicial señala que “el objeto de la presente reclamación de conformidad con el suplico de la demanda, y que conduce a esta Sala a plantear la cuestión de inconstitucionalidad, es si la supresión de la paga compensatoria que dispone el art. 2.1 del Real Decreto-ley 28/2012, y efectos en la fijación de la cuantía de la pensión de revalorización para el año 2013, vulnera un derecho causado, consolidado y devengado, conforme al art. 50 CE, afectando de forma retroactiva a derechos adquiridos y con la vulneración del art. 9.3 CE que prohíbe la retroactividad de las disposiciones procesales (</w:t>
      </w:r>
      <w:r w:rsidRPr="006B7292">
        <w:rPr>
          <w:i/>
        </w:rPr>
        <w:t>sic</w:t>
      </w:r>
      <w:r>
        <w:t>) restrictivas de los derechos fundamentales”.</w:t>
      </w:r>
    </w:p>
    <w:p w:rsidR="006B7292" w:rsidRDefault="006B7292" w:rsidP="006B7292">
      <w:pPr>
        <w:pStyle w:val="TextoNormal"/>
      </w:pPr>
    </w:p>
    <w:p w:rsidR="006B7292" w:rsidRDefault="006B7292" w:rsidP="006B7292">
      <w:pPr>
        <w:pStyle w:val="TextoNormal"/>
      </w:pPr>
      <w:r>
        <w:t>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006B7292" w:rsidRDefault="006B7292" w:rsidP="006B7292">
      <w:pPr>
        <w:pStyle w:val="TextoNormal"/>
      </w:pPr>
    </w:p>
    <w:p w:rsidR="006B7292" w:rsidRDefault="006B7292" w:rsidP="006B7292">
      <w:pPr>
        <w:pStyle w:val="TextoNormal"/>
      </w:pPr>
      <w:r>
        <w:t>También argumenta que si entendemos que es un derecho adquirido, y planteamos la expropiación de dicho derecho, ha de acudirse a la Ley de expropiación forzosa. Considera que el Tribunal Constitucional define la expropiación forzosa como “una privación singular de la propiedad privada o de derechos o intereses patrimoniales legítimos acordada imperativamente por los poderes públicos por causa justificada de utilidad pública o interés social”. De la privación singular deben diferenciarse, siempre según el Auto, las medidas legales de delimitación o regulación general del contenido del derecho. No obstante, la delimitación legal del contenido de los derechos patrimoniales no puede desconocer su contenido esencial, pues en tal caso no cabría hablar de una regulación general del derecho, sino de una privación o supresión del mismo que, aun cuando predicada por la norma de manera generalizada, se traduciría en un despojo de situaciones jurídicas individualizadas, no tolerado por la norma constitucional, salvo que medie la indemnización correspondiente.</w:t>
      </w:r>
    </w:p>
    <w:p w:rsidR="006B7292" w:rsidRDefault="006B7292" w:rsidP="006B7292">
      <w:pPr>
        <w:pStyle w:val="TextoNormal"/>
      </w:pPr>
    </w:p>
    <w:p w:rsidR="006B7292" w:rsidRDefault="006B7292" w:rsidP="006B7292">
      <w:pPr>
        <w:pStyle w:val="TextoNormal"/>
      </w:pPr>
      <w:r>
        <w:t>Por todo ello, la Sala acuerda elevar la siguiente cuestión de inconstitucionalidad: el art. 2.1 del Real Decreto-ley 28/2012, deja sin efecto para el ejercicio 2012 la actualización de las pensiones en los términos previstos en el apartado 1.2 del art. 48 de la Ley general de la Seguridad Social y en el párrafo 2 del punto 1 del art. 27 de la Ley de clases pasivas, y como quiera que el Real Decreto-ley entró en vigor el 1 de diciembre de 2012, una vez transcurrido el periodo previsto en el art. 48 de la Ley general de la Seguridad Social para llevar a cabo la aplicación de la anualidad (noviembre 2011-noviembre 2012), y que la Ley 2/2012, de 29 de junio, de presupuestos generales del Estado para el año 2012, ninguna previsión realiza para el mantenimiento del poder adquisitivo de las pensiones, vulnera: a) lo dispuesto en el art. 9.3 CE por el que se garantiza la irretroactividad de las disposiciones restrictivas de derechos fundamentales individuales, y b) el art. 33.3 CE, de entender que por parte del aludido art. 2.1 del Real Decreto-ley 28/2012 serían objeto de expropiación los derechos de los perceptores de pensiones por cuanto son un derecho económico incorporado al patrimonio de aquellos, aunque no haya sido abonado pero sí devengado.</w:t>
      </w:r>
    </w:p>
    <w:p w:rsidR="006B7292" w:rsidRDefault="006B7292" w:rsidP="006B7292">
      <w:pPr>
        <w:pStyle w:val="TextoNormal"/>
      </w:pPr>
    </w:p>
    <w:p w:rsidR="006B7292" w:rsidRDefault="006B7292" w:rsidP="006B7292">
      <w:pPr>
        <w:pStyle w:val="TextoNormal"/>
      </w:pPr>
      <w:r w:rsidRPr="006B7292">
        <w:rPr>
          <w:rStyle w:val="NumeroAFNegritaCaracter"/>
        </w:rPr>
        <w:t>4</w:t>
      </w:r>
      <w:r>
        <w:t>. La Sección Primera del Tribunal Constitucional acordó, mediante providencia de 9 de junio de 2015, oír al Fiscal General del Estado para que alegase acerca de la admisibilidad de la cuestión por si hubiese devenido notoriamente infundada (SSTC 49/2015, de 5 de marzo, 95/2015, de 14 de mayo, y 109/2015, de 28 de mayo).</w:t>
      </w:r>
    </w:p>
    <w:p w:rsidR="006B7292" w:rsidRDefault="006B7292" w:rsidP="006B7292">
      <w:pPr>
        <w:pStyle w:val="TextoNormal"/>
      </w:pPr>
    </w:p>
    <w:p w:rsidR="006B7292" w:rsidRDefault="006B7292" w:rsidP="006B7292">
      <w:pPr>
        <w:pStyle w:val="TextoNormal"/>
      </w:pPr>
      <w:r w:rsidRPr="006B7292">
        <w:rPr>
          <w:rStyle w:val="NumeroAFNegritaCaracter"/>
        </w:rPr>
        <w:t>5</w:t>
      </w:r>
      <w:r>
        <w:t>. Con fecha de 10 de julio de 2015, tuvo entrada en este Tribunal el escrito de la Fiscal General del Estado, en el que expone que dada la identidad de las dudas inconstitucionalidad expuestas en la presente cuestión y las planteadas en el recurso de inconstitucionalidad núm. 1114-2013, resuelto por la STC 49/2015, así como en la cuestiones de inconstitucionalidad que han dado lugar a otras tantas sentencias, la cuestión debe ser inadmitida por ser notoriamente infundada.</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Único. Esta cuestión de inconstitucionalidad se plantea en relación al art. 2.1 del Real Decreto-ley 28/2012, de 30 de noviembre, de medidas de consolidación y garantía del sistema de la Seguridad Social, por posible vulneración de los arts. 9.3 y 33.3 CE. El órgano judicial arguye que la supresión de la paga compensatoria que dispone la norma cuestionada vulnera un derecho causado, consolidado y devengado, afectando con ello de forma retroactiva a derechos adquiridos. El Fiscal General del Estado, por el contrario, solicita su inadmisión por notoriamente infundada a la luz de la doctrina constitucional ya fijada.</w:t>
      </w:r>
    </w:p>
    <w:p w:rsidR="006B7292" w:rsidRDefault="006B7292" w:rsidP="006B7292">
      <w:pPr>
        <w:pStyle w:val="TextoNormal"/>
      </w:pPr>
    </w:p>
    <w:p w:rsidR="006B7292" w:rsidRDefault="006B7292" w:rsidP="006B7292">
      <w:pPr>
        <w:pStyle w:val="TextoNormal"/>
      </w:pPr>
      <w:r>
        <w:t>De acuerdo con el art. 37.1 de la Ley Orgánica del Tribunal Constitucional, este Tribunal puede rechazar en trámite de admisión y mediante Auto, sin otra audiencia que la del Fiscal General del Estado, la cuestión de inconstitucionalidad “cuando fuere notoriamente infundada”.</w:t>
      </w:r>
    </w:p>
    <w:p w:rsidR="006B7292" w:rsidRDefault="006B7292" w:rsidP="006B7292">
      <w:pPr>
        <w:pStyle w:val="TextoNormal"/>
      </w:pPr>
    </w:p>
    <w:p w:rsidR="006B7292" w:rsidRDefault="006B7292" w:rsidP="006B7292">
      <w:pPr>
        <w:pStyle w:val="TextoNormal"/>
      </w:pPr>
      <w:r>
        <w:t>La STC 49/2015, que resuelve un recurso de inconstitucionalidad dirigido contra el mismo precepto legal que la presente cuestión de inconstitucionalidad y fundado en la vulneración de idénticas reglas constitucionales, ha establecido, en relación a la pretendida vulneración del art. 9.3 CE,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Esta remisión es entendida por los recurrentes como un mero apunte contable, de manera que la Ley de Presupuestos, a su juicio, deberá limitarse a aprobar el crédito presupuestario correspondiente para hacer frente al pago de la diferencia del IPC en el ejercicio económico siguiente. Sin embargo, si esta hubiera sido la intención del legislador no hubiera sido necesario hacerlo constar expresamente en la ley, pues la necesidad de aprobar la correspondiente partida de gastos en los presupuestos del Estado se deriva de la obligación de pago antes del 1 de abril del ejercicio económico siguiente… La remisión que la LGSS y la Ley de Clases Pasivas del Estado hacen a la Ley de Presupuestos Generales del Estado no es, por tanto, una mera remisión a los efectos de que esta Ley habilite la correspondiente partida del gasto presupuestario, sino que supone el reconocimiento al legislador de un margen de discrecionalidad a la hora de concretar la eventual actualización de la revalorización en función de las circunstancias económicas y sociales en cada momento existentes, todo ello con la finalidad de asegurar la suficiencia y solvencia del Sistema de Seguridad Social. Sobre la base de la doctrina constitucional anteriormente expuesta, el legislador no ha hecho sino reconocer que la actualización de la revalorización de las pensiones efectuada al principio del ejercicio pueda ser modulada por la Ley de Presupuestos Generales del Estado en función de las circunstancias socioeconómicas concurrentes y, por ello, habilita a la Ley de Presupuestos para que decida cuál es el alcance de la actualización. De este modo, el eventual devengo de la diferencia entre el IPC real y el IPC previsto tendría lugar el 31 de diciembre, siendo la Ley de Presupuestos Generales del Estado el instrumento para determinar el quantum de esa actualización. … En consecuencia, dado que cuando se aprobó el Real Decreto-ley 28/2012 no existía una relación consagrada o agotada incorporada al patrimonio del pensionista, sino una mera expectativa, hemos de rechazar que la norma cuestionada haya incurrido en un supuesto de retroactividad auténtica o de grado máximo prohibido por el art. 9.3 CE” (FJ 5).</w:t>
      </w:r>
    </w:p>
    <w:p w:rsidR="006B7292" w:rsidRDefault="006B7292" w:rsidP="006B7292">
      <w:pPr>
        <w:pStyle w:val="TextoNormal"/>
      </w:pPr>
    </w:p>
    <w:p w:rsidR="006B7292" w:rsidRDefault="006B7292" w:rsidP="006B7292">
      <w:pPr>
        <w:pStyle w:val="TextoNormal"/>
      </w:pPr>
      <w:r>
        <w:t>Dicha STC 49/2015, en lo que hace a la alegada vulneración del art. 33.3 CE, resolvió que, de acuerdo con la legislación vigente (art. 48.1.2 de la Ley general de la Seguridad Social: LGSS), falta en el art. 2.1 del Real Decreto-ley 28/2012 un elemento indispensable para que pueda calificarse la no actualización de las pensiones de medida expropiatoria, cual es, dicho en los términos de la STC 108/1996, de 29 de julio, FJ 20, que “sólo son expropiables y, por tanto, indemnizables la privación de bienes y derechos o incluso intereses patrimoniales legítimos aun no garantizados como derechos subjetivos (por ejemplo, las situaciones en precario); pero en ningún caso lo son las expectativas”.</w:t>
      </w:r>
    </w:p>
    <w:p w:rsidR="006B7292" w:rsidRDefault="006B7292" w:rsidP="006B7292">
      <w:pPr>
        <w:pStyle w:val="TextoNormal"/>
      </w:pPr>
    </w:p>
    <w:p w:rsidR="006B7292" w:rsidRDefault="006B7292" w:rsidP="006B7292">
      <w:pPr>
        <w:pStyle w:val="TextoNormal"/>
      </w:pPr>
      <w:r>
        <w:t>Las dudas de constitucionalidad que se suscitan en el presente proceso, al referirse a la misma disposición legal y fundarse en idénticos preceptos constitucionales que los asuntos resueltos del modo indicado por las SSTC 49/2015, 95/2015, y 109/2015, resultan notoriamente infundadas, en el significado que a esta noción le viene dando nuestra doctrina, que no implica un juicio peyorativo sobre la duda de constitucionalidad que traslada el órgano judicial, pero que procesalmente otorga a este Tribunal un cierto margen de apreciación a la hora de controlar la solidez de la fundamentación de las cuestiones de inconstitucionalidad, realizando un examen preliminar de la viabilidad de las mismas (por todas, STC 301/2014, de 16 de diciembre, FJ 2).</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Inadmitir a trámite la presente cuestión de inconstitucionalidad núm. 6723-2014, planteada por la Sala de lo Social del Tribunal Superior de Justicia de Castilla y León.</w:t>
      </w:r>
    </w:p>
    <w:p w:rsidR="006B7292" w:rsidRDefault="006B7292" w:rsidP="006B7292">
      <w:pPr>
        <w:pStyle w:val="TextoNormal"/>
      </w:pPr>
    </w:p>
    <w:p w:rsidR="006B7292" w:rsidRDefault="006B7292" w:rsidP="006B7292">
      <w:pPr>
        <w:pStyle w:val="TextoNormal"/>
      </w:pPr>
      <w:r>
        <w:t>Madrid, a veintiuno de julio de dos mil quince.</w:t>
      </w:r>
    </w:p>
    <w:p w:rsidR="006B7292" w:rsidRDefault="006B7292" w:rsidP="006B7292">
      <w:pPr>
        <w:pStyle w:val="ParrafoNormal"/>
      </w:pPr>
    </w:p>
    <w:p w:rsidR="006B7292" w:rsidRDefault="006B7292" w:rsidP="006B7292">
      <w:pPr>
        <w:pStyle w:val="TextoNormalNegritaCentrado"/>
        <w:keepNext/>
      </w:pPr>
      <w:r>
        <w:t>Voto particular que formula el Magistrado don Juan Antonio Xiol Ríos al Auto de inadmisión dictado en la cuestión de inconstitucionalidad núm. 6723-2014.</w:t>
      </w:r>
    </w:p>
    <w:p w:rsidR="006B7292" w:rsidRDefault="006B7292" w:rsidP="006B7292">
      <w:pPr>
        <w:pStyle w:val="TextoNormalNegritaCentrado"/>
        <w:keepNext/>
      </w:pPr>
    </w:p>
    <w:p w:rsidR="006B7292" w:rsidRDefault="006B7292" w:rsidP="006B7292">
      <w:pPr>
        <w:pStyle w:val="TextoNormal"/>
      </w:pPr>
      <w:r>
        <w:t>Con el máximo respeto a la opinión mayoritaria de mis compañeros de Tribunal en la que se sustenta el Auto, manifiesto mi discrepancia con la fundamentación jurídica y el fallo de este, que entiendo hubiera debido de ser de admisión y, en su día, haber dado lugar a una sentencia estimatoria por vulneración del principio de seguridad jurídica (art. 9.3 CE).</w:t>
      </w:r>
    </w:p>
    <w:p w:rsidR="006B7292" w:rsidRDefault="006B7292" w:rsidP="006B7292">
      <w:pPr>
        <w:pStyle w:val="TextoNormal"/>
      </w:pPr>
    </w:p>
    <w:p w:rsidR="006B7292" w:rsidRDefault="006B7292" w:rsidP="006B7292">
      <w:pPr>
        <w:pStyle w:val="TextoNormal"/>
      </w:pPr>
      <w:r>
        <w:t>Las razones de mi discrepancia son coincidentes con las que ya fueron expuestas en el Voto particular formulado a la STC 49/2015, de 5 de marzo, al que para evitar reiteraciones innecesarias me remito.</w:t>
      </w:r>
    </w:p>
    <w:p w:rsidR="006B7292" w:rsidRDefault="006B7292" w:rsidP="006B7292">
      <w:pPr>
        <w:pStyle w:val="TextoNormal"/>
      </w:pPr>
    </w:p>
    <w:p w:rsidR="006B7292" w:rsidRDefault="006B7292" w:rsidP="006B7292">
      <w:pPr>
        <w:pStyle w:val="TextoNormal"/>
      </w:pPr>
      <w:r>
        <w:t>Madrid, a veintiuno de julio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44" w:name="AUTO_2015_130"/>
      <w:r>
        <w:t>AUTO 130/2015, de 21 de julio de 2015</w:t>
      </w:r>
    </w:p>
    <w:bookmarkEnd w:id="144"/>
    <w:p w:rsidR="006B7292" w:rsidRDefault="006B7292" w:rsidP="006B7292">
      <w:pPr>
        <w:pStyle w:val="TtuloResolucin"/>
      </w:pPr>
      <w:r>
        <w:t>Pleno</w:t>
      </w:r>
    </w:p>
    <w:p w:rsidR="006B7292" w:rsidRDefault="006B7292" w:rsidP="006B7292">
      <w:pPr>
        <w:pStyle w:val="TextoNormalCentrado"/>
      </w:pPr>
      <w:r>
        <w:t>ECLI:ES:TC:2015:130A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Inadmite a trámite la cuestión de inconstitucionalidad 7163-2014, planteada por el Tribunal Superior de Justicia de Castilla y León en relación con el artículo 2.1 del Real Decreto-ley 28/2012, de 30 de noviembre, de medidas de consolidación y garantía del sistema de la Seguridad Social. Voto particular.</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día 27 de noviembre de 2014 se registró en este Tribunal un oficio del Secretario de la Sala de lo Social del Tribunal Superior de Justicia de Castilla y León (Burgos) mediante el que se remiten las actuaciones correspondientes al rollo de suplicación 528-2014, que incorporan el Auto de 12 de noviembre de 2014 planteando cuestión de inconstitucionalidad contra el art. 2.1 del Real Decreto-ley 28/2012, de 30 de noviembre, de medidas de consolidación y garantía del sistema de la Seguridad Social por vulneración del principio de irretroactividad de las disposiciones restrictivas de derechos fundamentales (art. 9.3 CE) y derecho de propiedad (art. 33 CE).</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que interesa destacar, a los efectos de este proceso constitucional, son los siguientes:</w:t>
      </w:r>
    </w:p>
    <w:p w:rsidR="006B7292" w:rsidRDefault="006B7292" w:rsidP="006B7292">
      <w:pPr>
        <w:pStyle w:val="TextoNormal"/>
      </w:pPr>
    </w:p>
    <w:p w:rsidR="006B7292" w:rsidRDefault="006B7292" w:rsidP="006B7292">
      <w:pPr>
        <w:pStyle w:val="TextoNormal"/>
      </w:pPr>
      <w:r>
        <w:t>a) El Juzgado de lo Social núm. 1 de Burgos dictó Sentencia estimando la demanda interpuesta por un pensionista en cuanto a la actualización de su pensión. El Juzgado de lo Social afirma en el fallo que “estimo la demanda … con los siguientes pronunciamientos: 1.- Declaro el derecho de la demandante a que se considere como pensión del año 2012 la señalada en el apartado segundo del relato histórico de la presente incrementada en un 2,9 por 100 y que la misma sirva de base para el incremento acordado en el año 2013 y 2014 debiendo el demandado estar y pasar por tal declaración. 2.- Absuelvo a la Tesorería de la Seguridad Social".</w:t>
      </w:r>
    </w:p>
    <w:p w:rsidR="006B7292" w:rsidRDefault="006B7292" w:rsidP="006B7292">
      <w:pPr>
        <w:pStyle w:val="TextoNormal"/>
      </w:pPr>
    </w:p>
    <w:p w:rsidR="006B7292" w:rsidRDefault="006B7292" w:rsidP="006B7292">
      <w:pPr>
        <w:pStyle w:val="TextoNormal"/>
      </w:pPr>
      <w:r>
        <w:t>b) Recurrida la Sentencia en suplicación, conclusos los autos y dentro del plazo para dictar sentencia, mediante providencia de 15 de octubre de 2014, se dio traslado las partes y al Ministerio Fiscal para que alegaran sobre la pertinencia de plantear cuestión en relación con el art. 2.1 del Real Decreto-ley 28/2012, por posible vulneración del art. 9.3 CE. El Fiscal consideró que concurriendo las condiciones procesales necesarias, y habiendo sido superados los juicios de aplicabilidad y relevancia, procedía la elevación de la cuestión. El Letrado de la Seguridad Social se pronunció sobre la constitucionalidad del precepto, mientras que la demandante se mostró conforme con su planteamiento.</w:t>
      </w:r>
    </w:p>
    <w:p w:rsidR="006B7292" w:rsidRDefault="006B7292" w:rsidP="006B7292">
      <w:pPr>
        <w:pStyle w:val="TextoNormal"/>
      </w:pPr>
    </w:p>
    <w:p w:rsidR="006B7292" w:rsidRDefault="006B7292" w:rsidP="006B7292">
      <w:pPr>
        <w:pStyle w:val="TextoNormal"/>
      </w:pPr>
      <w:r w:rsidRPr="006B7292">
        <w:rPr>
          <w:rStyle w:val="NumeroAFNegritaCaracter"/>
        </w:rPr>
        <w:t>3</w:t>
      </w:r>
      <w:r>
        <w:t>. Por Auto de 12 de noviembre de 2014, la Sala de lo Social del Tribunal Superior de Justicia de Castilla y León planteó la cuestión de inconstitucionalidad cuyos fundamentos son los que a continuación se resumen.</w:t>
      </w:r>
    </w:p>
    <w:p w:rsidR="006B7292" w:rsidRDefault="006B7292" w:rsidP="006B7292">
      <w:pPr>
        <w:pStyle w:val="TextoNormal"/>
      </w:pPr>
    </w:p>
    <w:p w:rsidR="006B7292" w:rsidRDefault="006B7292" w:rsidP="006B7292">
      <w:pPr>
        <w:pStyle w:val="TextoNormal"/>
      </w:pPr>
      <w:r>
        <w:t>Tras la exposición de la doctrina constitucional relativa a la irretroactividad de las disposiciones sancionadoras no favorables o restrictivas de derechos individuales prevista en el art. 9.3 CE, y destacar el carácter restrictivo con que este precepto debe ser interpretado, señala que lo primero que hay que despejar es si en el caso existe un derecho individual desde la consideración restrictiva apuntada por el Tribunal Constitucional, “lo que entendemos que merece una respuesta positiva”, sin más argumentación. En segundo lugar, debe analizarse si, aun siendo de grado máximo, carece realmente de justificación habilitante, puesto que el Tribunal Constitucional admite que “la prohibición de retroactividad operaría plenamente y solo exigencias del bien común podrían imponerse excepcionalmente a tal principio” (STC 197/1992).</w:t>
      </w:r>
    </w:p>
    <w:p w:rsidR="006B7292" w:rsidRDefault="006B7292" w:rsidP="006B7292">
      <w:pPr>
        <w:pStyle w:val="TextoNormal"/>
      </w:pPr>
    </w:p>
    <w:p w:rsidR="006B7292" w:rsidRDefault="006B7292" w:rsidP="006B7292">
      <w:pPr>
        <w:pStyle w:val="TextoNormal"/>
      </w:pPr>
      <w:r>
        <w:t>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revalorizaciones de las pensiones, sistema que establece el art. 50 CE, para evitar que como consecuencia del incremento del coste de la vida, en unos años las pensiones reconocidas pierdan su esencia y produzca un empobrecimiento de los pensionistas. El desarrollo del art. 50 CE se ha realizado a través del art. 48 de la Ley general de la Seguridad Social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del texto refundido de la Ley general de la Seguridad Social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w:t>
      </w:r>
    </w:p>
    <w:p w:rsidR="006B7292" w:rsidRDefault="006B7292" w:rsidP="006B7292">
      <w:pPr>
        <w:pStyle w:val="TextoNormal"/>
      </w:pPr>
    </w:p>
    <w:p w:rsidR="006B7292" w:rsidRDefault="006B7292" w:rsidP="006B7292">
      <w:pPr>
        <w:pStyle w:val="TextoNormal"/>
      </w:pPr>
      <w:r>
        <w:t>El único límite al importe de la revalorización de las pensiones contributivas se establece en el art. 49 LGSS: la revalorización de las pensiones no podrán superar el importe de la pensión máxima que se establezca para cada año en la correspondiente Ley de presupuestos generales del Estado, sumado en su caso al importe anual íntegro ya revalorizado de las otras pensiones públicas percibidas por su titular.</w:t>
      </w:r>
    </w:p>
    <w:p w:rsidR="006B7292" w:rsidRDefault="006B7292" w:rsidP="006B7292">
      <w:pPr>
        <w:pStyle w:val="TextoNormal"/>
      </w:pPr>
    </w:p>
    <w:p w:rsidR="006B7292" w:rsidRDefault="006B7292" w:rsidP="006B7292">
      <w:pPr>
        <w:pStyle w:val="TextoNormal"/>
      </w:pPr>
      <w:r>
        <w:t>Sentado lo anterior, el órgano judicial señala que “el objeto de la presente reclamación de conformidad con el Suplico de la demanda, y que conduce a esta Sala a plantear la cuestión de inconstitucionalidad, es si la supresión de la paga compensatoria que dispone el art. 2.1 del Real Decreto-ley 28/2012, y efectos en la fijación de la cuantía de la pensión de revalorización para el año 2013, vulnera un derecho causado, consolidado y devengado, conforme al art. 50 CE, afectando de forma retroactiva a derechos adquiridos y con la vulneración del art. 9.3 CE que prohíbe la retroactividad de las disposiciones procesales (sic) restrictivas de los derechos fundamentales”.</w:t>
      </w:r>
    </w:p>
    <w:p w:rsidR="006B7292" w:rsidRDefault="006B7292" w:rsidP="006B7292">
      <w:pPr>
        <w:pStyle w:val="TextoNormal"/>
      </w:pPr>
    </w:p>
    <w:p w:rsidR="006B7292" w:rsidRDefault="006B7292" w:rsidP="006B7292">
      <w:pPr>
        <w:pStyle w:val="TextoNormal"/>
      </w:pPr>
      <w:r>
        <w:t>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006B7292" w:rsidRDefault="006B7292" w:rsidP="006B7292">
      <w:pPr>
        <w:pStyle w:val="TextoNormal"/>
      </w:pPr>
    </w:p>
    <w:p w:rsidR="006B7292" w:rsidRDefault="006B7292" w:rsidP="006B7292">
      <w:pPr>
        <w:pStyle w:val="TextoNormal"/>
      </w:pPr>
      <w:r>
        <w:t>También argumenta que si entendemos que es un derecho adquirido, y planteamos la expropiación de dicho derecho, ha de acudirse a la Ley de expropiación forzosa. Considera que el Tribunal Constitucional define la expropiación forzosa como “una privación singular de la propiedad privada o de derechos o intereses patrimoniales legítimos acordada imperativamente por los poderes públicos por causa justificada de utilidad pública o interés social”. De la privación singular deben diferenciarse, siempre según el Auto, las medidas legales de delimitación o regulación general del contenido del derecho. No obstante, la delimitación legal del contenido de los derechos patrimoniales no puede desconocer su contenido esencial, pues en tal caso no cabría hablar de una regulación general del derecho, sino de una privación o supresión del mismo que, aun cuando predicada por la norma de manera generalizada, se traduciría en un despojo de situaciones jurídicas individualizadas, no tolerado por la norma constitucional, salvo que medie la indemnización correspondiente.</w:t>
      </w:r>
    </w:p>
    <w:p w:rsidR="006B7292" w:rsidRDefault="006B7292" w:rsidP="006B7292">
      <w:pPr>
        <w:pStyle w:val="TextoNormal"/>
      </w:pPr>
    </w:p>
    <w:p w:rsidR="006B7292" w:rsidRDefault="006B7292" w:rsidP="006B7292">
      <w:pPr>
        <w:pStyle w:val="TextoNormal"/>
      </w:pPr>
      <w:r>
        <w:t>Por todo ello, la Sala acuerda elevar la siguiente cuestión de inconstitucionalidad: el art. 2.1 del Real Decreto-ley 28/2012, deja sin efecto para el ejercicio 2012 la actualización de las pensiones en los términos previstos en el apartado 1.2 del art. 48 de la Ley general de la Seguridad Social y en el párrafo 2 del punto 1 del art. 27 de la Ley de clases pasivas, y como quiera que el Real Decreto-ley entró en vigor el 1 de diciembre de 2012, una vez transcurrido el periodo previsto en el art. 48 de la Ley general de la Seguridad Social para llevar a cabo la aplicación de la anualidad (noviembre 2011-noviembre 2012), y que la Ley 2/2012, de 29 de junio, de presupuestos generales del Estado para el año 2012, ninguna previsión realiza para el mantenimiento del poder adquisitivo de las pensiones, vulnera: a) lo dispuesto en el art. 9.3 CE por el que se garantiza la irretroactividad de las disposiciones restrictivas de derechos fundamentales individuales, y b) el art. 33.3 CE, de entender que por parte del aludido art. 2.1 del Real Decreto-ley 28/2012 serían objeto de expropiación los derechos de los perceptores de pensiones por cuanto son un derecho económico incorporado al patrimonio de aquellos, aunque no haya sido abonado pero sí devengado.</w:t>
      </w:r>
    </w:p>
    <w:p w:rsidR="006B7292" w:rsidRDefault="006B7292" w:rsidP="006B7292">
      <w:pPr>
        <w:pStyle w:val="TextoNormal"/>
      </w:pPr>
    </w:p>
    <w:p w:rsidR="006B7292" w:rsidRDefault="006B7292" w:rsidP="006B7292">
      <w:pPr>
        <w:pStyle w:val="TextoNormal"/>
      </w:pPr>
      <w:r w:rsidRPr="006B7292">
        <w:rPr>
          <w:rStyle w:val="NumeroAFNegritaCaracter"/>
        </w:rPr>
        <w:t>4</w:t>
      </w:r>
      <w:r>
        <w:t>. La Sección Primera del Tribunal Constitucional acordó, mediante providencia de 9 de junio de 2015, oír al Fiscal General del Estado para que alegase acerca de la admisibilidad de la cuestión por si hubiese devenido notoriamente infundada (SSTC 49/2015, de 5 de marzo, 95/2015, de 14 de mayo, y 109/2015, de 28 de mayo).</w:t>
      </w:r>
    </w:p>
    <w:p w:rsidR="006B7292" w:rsidRDefault="006B7292" w:rsidP="006B7292">
      <w:pPr>
        <w:pStyle w:val="TextoNormal"/>
      </w:pPr>
    </w:p>
    <w:p w:rsidR="006B7292" w:rsidRDefault="006B7292" w:rsidP="006B7292">
      <w:pPr>
        <w:pStyle w:val="TextoNormal"/>
      </w:pPr>
      <w:r w:rsidRPr="006B7292">
        <w:rPr>
          <w:rStyle w:val="NumeroAFNegritaCaracter"/>
        </w:rPr>
        <w:t>5</w:t>
      </w:r>
      <w:r>
        <w:t>. Con fecha de 10 de julio de 2015, tuvo entrada en este Tribunal el escrito de la Fiscal General del Estado, en el que expone que dada la identidad de las dudas inconstitucionalidad expuestas en la presente cuestión y las planteadas en el recurso de inconstitucionalidad núm. 1114-2013, resuelto por la STC 49/2015, así como en la cuestiones de inconstitucionalidad que han dado lugar a otras tantas sentencias, la cuestión debe ser inadmitida por ser notoriamente infundada.</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Único. Esta cuestión de inconstitucionalidad se plantea en relación al art. 2.1 del Real Decreto-ley 28/2012, de 30 de noviembre, de medidas de consolidación y garantía del sistema de la Seguridad Social, por posible vulneración de los arts. 9.3 y 33.3 CE. El órgano judicial arguye que la supresión de la paga compensatoria que dispone la norma cuestionada vulnera un derecho causado, consolidado y devengado, afectando con ello de forma retroactiva a derechos adquiridos. El Fiscal General del Estado, por el contrario, solicita su inadmisión por notoriamente infundada a la luz de la doctrina constitucional ya fijada.</w:t>
      </w:r>
    </w:p>
    <w:p w:rsidR="006B7292" w:rsidRDefault="006B7292" w:rsidP="006B7292">
      <w:pPr>
        <w:pStyle w:val="TextoNormal"/>
      </w:pPr>
    </w:p>
    <w:p w:rsidR="006B7292" w:rsidRDefault="006B7292" w:rsidP="006B7292">
      <w:pPr>
        <w:pStyle w:val="TextoNormal"/>
      </w:pPr>
      <w:r>
        <w:t>De acuerdo con el art. 37.1 de la Ley Orgánica del Tribunal Constitucional, este Tribunal puede rechazar en trámite de admisión y mediante Auto, sin otra audiencia que la del Fiscal General del Estado, la cuestión de inconstitucionalidad “cuando … fuere notoriamente infundada”.</w:t>
      </w:r>
    </w:p>
    <w:p w:rsidR="006B7292" w:rsidRDefault="006B7292" w:rsidP="006B7292">
      <w:pPr>
        <w:pStyle w:val="TextoNormal"/>
      </w:pPr>
    </w:p>
    <w:p w:rsidR="006B7292" w:rsidRDefault="006B7292" w:rsidP="006B7292">
      <w:pPr>
        <w:pStyle w:val="TextoNormal"/>
      </w:pPr>
      <w:r>
        <w:t>La STC 49/2015, que resuelve un recurso de inconstitucionalidad dirigido contra el mismo precepto legal que la presente cuestión de inconstitucionalidad y fundado en la vulneración de idénticas reglas constitucionales, ha establecido, en relación a la pretendida vulneración del art. 9.3 CE,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Esta remisión es entendida por los recurrentes como un mero apunte contable, de manera que la Ley de Presupuestos, a su juicio, deberá limitarse a aprobar el crédito presupuestario correspondiente para hacer frente al pago de la diferencia del IPC en el ejercicio económico siguiente. Sin embargo, si esta hubiera sido la intención del legislador no hubiera sido necesario hacerlo constar expresamente en la ley, pues la necesidad de aprobar la correspondiente partida de gastos en los presupuestos del Estado se deriva de la obligación de pago antes del 1 de abril del ejercicio económico siguiente… La remisión que la LGSS y la Ley de clases pasivas del Estado hacen a la Ley de Presupuestos Generales del Estado no es, por tanto, una mera remisión a los efectos de que esta Ley habilite la correspondiente partida del gasto presupuestario, sino que supone el reconocimiento al legislador de un margen de discrecionalidad a la hora de concretar la eventual actualización de la revalorización en función de las circunstancias económicas y sociales en cada momento existentes, todo ello con la finalidad de asegurar la suficiencia y solvencia del Sistema de Seguridad Social. Sobre la base de la doctrina constitucional anteriormente expuesta, el legislador no ha hecho sino reconocer que la actualización de la revalorización de las pensiones efectuada al principio del ejercicio pueda ser modulada por la Ley de presupuestos generales del Estado en función de las circunstancias socioeconómicas concurrentes y, por ello, habilita a la Ley de presupuestos para que decida cuál es el alcance de la actualización. De este modo, el eventual devengo de la diferencia entre el IPC real y el IPC previsto tendría lugar el 31 de diciembre, siendo la Ley de presupuestos generales del Estado el instrumento para determinar el quantum de esa actualización. … En consecuencia, dado que cuando se aprobó el Real Decreto-ley 28/2012 no existía una relación consagrada o agotada incorporada al patrimonio del pensionista, sino una mera expectativa, hemos de rechazar que la norma cuestionada haya incurrido en un supuesto de retroactividad auténtica o de grado máximo prohibido por el art. 9.3 CE” (FJ 5).</w:t>
      </w:r>
    </w:p>
    <w:p w:rsidR="006B7292" w:rsidRDefault="006B7292" w:rsidP="006B7292">
      <w:pPr>
        <w:pStyle w:val="TextoNormal"/>
      </w:pPr>
    </w:p>
    <w:p w:rsidR="006B7292" w:rsidRDefault="006B7292" w:rsidP="006B7292">
      <w:pPr>
        <w:pStyle w:val="TextoNormal"/>
      </w:pPr>
      <w:r>
        <w:t>Dicha STC 49/2015, en lo que hace a la alegada vulneración del art. 33.3 CE, resolvió que, de acuerdo con la legislación vigente (art. 48.1.2 de la Ley general de la Seguridad Social: LGSS), falta en el art. 2.1 del Real Decreto-ley 28/2012 un elemento indispensable para que pueda calificarse la no actualización de las pensiones de medida expropiatoria, cual es, dicho en los términos de la STC 108/1996, de 29 de julio, FJ 20, que “sólo son expropiables y, por tanto, indemnizables la privación de bienes y derechos o incluso intereses patrimoniales legítimos aun no garantizados como derechos subjetivos (por ejemplo, las situaciones en precario); pero en ningún caso lo son las expectativas”.</w:t>
      </w:r>
    </w:p>
    <w:p w:rsidR="006B7292" w:rsidRDefault="006B7292" w:rsidP="006B7292">
      <w:pPr>
        <w:pStyle w:val="TextoNormal"/>
      </w:pPr>
    </w:p>
    <w:p w:rsidR="006B7292" w:rsidRDefault="006B7292" w:rsidP="006B7292">
      <w:pPr>
        <w:pStyle w:val="TextoNormal"/>
      </w:pPr>
      <w:r>
        <w:t>Las dudas de constitucionalidad que se suscitan en el presente proceso, al referirse a la misma disposición legal y fundarse en idénticos preceptos constitucionales que los asuntos resueltos del modo indicado por las SSTC 49/2015, 95/2015, y 109/2015, resultan notoriamente infundadas, en el significado que a esta noción le viene dando nuestra doctrina, que no implica un juicio peyorativo sobre la duda de constitucionalidad que traslada el órgano judicial, pero que procesalmente otorga a este Tribunal un cierto margen de apreciación a la hora de controlar la solidez de la fundamentación de las cuestiones de inconstitucionalidad, realizando un examen preliminar de la viabilidad de las mismas (por todas, STC 301/2014, de 16 de diciembre, FJ 2).</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Inadmitir a trámite la presente cuestión de inconstitucionalidad núm. 7163-2014, planteada por la Sala de lo Social del Tribunal Superior de Justicia de Castilla y León.</w:t>
      </w:r>
    </w:p>
    <w:p w:rsidR="006B7292" w:rsidRDefault="006B7292" w:rsidP="006B7292">
      <w:pPr>
        <w:pStyle w:val="TextoNormal"/>
      </w:pPr>
    </w:p>
    <w:p w:rsidR="006B7292" w:rsidRDefault="006B7292" w:rsidP="006B7292">
      <w:pPr>
        <w:pStyle w:val="TextoNormal"/>
      </w:pPr>
      <w:r>
        <w:t>Madrid, a veintiuno de julio de dos mil quince.</w:t>
      </w:r>
    </w:p>
    <w:p w:rsidR="006B7292" w:rsidRDefault="006B7292" w:rsidP="006B7292">
      <w:pPr>
        <w:pStyle w:val="ParrafoNormal"/>
      </w:pPr>
    </w:p>
    <w:p w:rsidR="006B7292" w:rsidRDefault="006B7292" w:rsidP="006B7292">
      <w:pPr>
        <w:pStyle w:val="TextoNormalNegritaCentrado"/>
        <w:keepNext/>
      </w:pPr>
      <w:r>
        <w:t>Voto particular que formula el Magistrado don Juan Antonio Xiol Ríos al Auto de inadmisión dictado en la cuestión de inconstitucionalidad núm. 7163-2014.</w:t>
      </w:r>
    </w:p>
    <w:p w:rsidR="006B7292" w:rsidRDefault="006B7292" w:rsidP="006B7292">
      <w:pPr>
        <w:pStyle w:val="TextoNormalNegritaCentrado"/>
        <w:keepNext/>
      </w:pPr>
    </w:p>
    <w:p w:rsidR="006B7292" w:rsidRDefault="006B7292" w:rsidP="006B7292">
      <w:pPr>
        <w:pStyle w:val="TextoNormal"/>
      </w:pPr>
      <w:r>
        <w:t>Con el máximo respeto a la opinión mayoritaria de mis compañeros de Tribunal en la que se sustenta el Auto, manifiesto mi discrepancia con la fundamentación jurídica y el fallo de este, que entiendo hubiera debido de ser de admisión y, en su día, haber dado lugar a una sentencia estimatoria por vulneración del principio de seguridad jurídica (art. 9.3 CE).</w:t>
      </w:r>
    </w:p>
    <w:p w:rsidR="006B7292" w:rsidRDefault="006B7292" w:rsidP="006B7292">
      <w:pPr>
        <w:pStyle w:val="TextoNormal"/>
      </w:pPr>
    </w:p>
    <w:p w:rsidR="006B7292" w:rsidRDefault="006B7292" w:rsidP="006B7292">
      <w:pPr>
        <w:pStyle w:val="TextoNormal"/>
      </w:pPr>
      <w:r>
        <w:t>Las razones de mi discrepancia son coincidentes con las que ya fueron expuestas en el Voto particular formulado a la STC 49/2015, de 5 de marzo, al que para evitar reiteraciones innecesarias me remito.</w:t>
      </w:r>
    </w:p>
    <w:p w:rsidR="006B7292" w:rsidRDefault="006B7292" w:rsidP="006B7292">
      <w:pPr>
        <w:pStyle w:val="TextoNormal"/>
      </w:pPr>
    </w:p>
    <w:p w:rsidR="006B7292" w:rsidRDefault="006B7292" w:rsidP="006B7292">
      <w:pPr>
        <w:pStyle w:val="TextoNormal"/>
      </w:pPr>
      <w:r>
        <w:t>Madrid, a veintiuno de julio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45" w:name="AUTO_2015_131"/>
      <w:r>
        <w:t>AUTO 131/2015, de 21 de julio de 2015</w:t>
      </w:r>
    </w:p>
    <w:bookmarkEnd w:id="145"/>
    <w:p w:rsidR="006B7292" w:rsidRDefault="006B7292" w:rsidP="006B7292">
      <w:pPr>
        <w:pStyle w:val="TtuloResolucin"/>
      </w:pPr>
      <w:r>
        <w:t>Sección Primera</w:t>
      </w:r>
    </w:p>
    <w:p w:rsidR="006B7292" w:rsidRDefault="006B7292" w:rsidP="006B7292">
      <w:pPr>
        <w:pStyle w:val="TextoNormalCentrado"/>
      </w:pPr>
      <w:r>
        <w:t>ECLI:ES:TC:2015:131A</w:t>
      </w:r>
    </w:p>
    <w:p w:rsidR="006B7292" w:rsidRDefault="006B7292" w:rsidP="006B7292">
      <w:pPr>
        <w:pStyle w:val="TextoNormalCentrado"/>
      </w:pPr>
    </w:p>
    <w:p w:rsidR="006B7292" w:rsidRDefault="006B7292" w:rsidP="006B7292">
      <w:pPr>
        <w:pStyle w:val="SntesisDescriptiva"/>
      </w:pPr>
      <w:r>
        <w:t>Excms. Srs. don Francisco Pérez de los Cobos Orihuel, doña Encarnación Roca Trías y don Juan Antonio Xiol Ríos.</w:t>
      </w:r>
    </w:p>
    <w:p w:rsidR="006B7292" w:rsidRDefault="006B7292" w:rsidP="006B7292">
      <w:pPr>
        <w:pStyle w:val="SntesisDescriptiva"/>
      </w:pPr>
    </w:p>
    <w:p w:rsidR="006B7292" w:rsidRDefault="006B7292" w:rsidP="006B7292">
      <w:pPr>
        <w:pStyle w:val="SntesisDescriptiva"/>
      </w:pPr>
      <w:r>
        <w:t>Acuerda que no procede hacer ningún pronunciamiento respecto de la solicitud formulada por la Comisión central de asistencia jurídica gratuita en el recurso de amparo 7599-2014, promovido por don Luis López-Oria Pérez en causa penal.</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registrado en este Tribunal el 17 de diciembre de 2015, el departamento de turno de oficio del Ilustre Colegio de Abogados de Madrid informó que don Luis López-Oria Pérez había formulado solicitud de asistencia jurídica gratuita para interponer recurso de amparo contra la Sentencia de la Sección Primera de la Audiencia Provincial de Bizkaia de 10 de octubre de 2014, por la que se estima parcialmente el recurso de apelación núm. 134-2014 interpuesto contra la Sentencia del Juzgado de lo Penal núm. 3 de Bilbao de 26 de mayo de 2014, dictada en el procedimiento abreviado 36-2014, por delitos contra la hacienda pública.</w:t>
      </w:r>
    </w:p>
    <w:p w:rsidR="006B7292" w:rsidRDefault="006B7292" w:rsidP="006B7292">
      <w:pPr>
        <w:pStyle w:val="TextoNormal"/>
      </w:pPr>
    </w:p>
    <w:p w:rsidR="006B7292" w:rsidRDefault="006B7292" w:rsidP="006B7292">
      <w:pPr>
        <w:pStyle w:val="TextoNormal"/>
      </w:pPr>
      <w:r w:rsidRPr="006B7292">
        <w:rPr>
          <w:rStyle w:val="NumeroAFNegritaCaracter"/>
        </w:rPr>
        <w:t>2</w:t>
      </w:r>
      <w:r>
        <w:t>. La Comisión central de asistencia jurídica gratuita dictó resolución de 30 de enero de 2015 denegando al actor el derecho de asistencia jurídica gratuita solicitado. El interesado impugnó la resolución denegatoria del beneficio. La Comisión central de asistencia jurídica gratuita puso ese hecho en conocimiento de este Tribunal a través de oficio registrado el día 13 de marzo de 2015, en el que señalaba que daba traslado de la impugnación y del expediente al Decanato de los Juzgados de Primera Instancia e Instrucción de Madrid para su resolución.</w:t>
      </w:r>
    </w:p>
    <w:p w:rsidR="006B7292" w:rsidRDefault="006B7292" w:rsidP="006B7292">
      <w:pPr>
        <w:pStyle w:val="TextoNormal"/>
      </w:pPr>
    </w:p>
    <w:p w:rsidR="006B7292" w:rsidRDefault="006B7292" w:rsidP="006B7292">
      <w:pPr>
        <w:pStyle w:val="TextoNormal"/>
      </w:pPr>
      <w:r w:rsidRPr="006B7292">
        <w:rPr>
          <w:rStyle w:val="NumeroAFNegritaCaracter"/>
        </w:rPr>
        <w:t>3</w:t>
      </w:r>
      <w:r>
        <w:t>. Turnada dicha impugnación al Juzgado de Instrucción núm. 13 de Madrid, por providencia de 27 de marzo de 2015 resolvió no ser el competente para resolver la impugnación, al tratarse de una solicitud para la sustanciación de un recurso de amparo que trae causa de una resolución dictada por la Audiencia Provincial de Bizkaia, ordenando la devolución de la impugnación a la Comisión central de asistencia jurídica gratuita, “teniendo en cuenta lo dispuesto en el artículo 10 del Acuerdo de 18 de junio de 1996, del Pleno del Tribunal Constitucional sobre asistencia jurídica gratuita en los procesos de amparo constitucional”.</w:t>
      </w:r>
    </w:p>
    <w:p w:rsidR="006B7292" w:rsidRDefault="006B7292" w:rsidP="006B7292">
      <w:pPr>
        <w:pStyle w:val="TextoNormal"/>
      </w:pPr>
    </w:p>
    <w:p w:rsidR="006B7292" w:rsidRDefault="006B7292" w:rsidP="006B7292">
      <w:pPr>
        <w:pStyle w:val="TextoNormal"/>
      </w:pPr>
      <w:r w:rsidRPr="006B7292">
        <w:rPr>
          <w:rStyle w:val="NumeroAFNegritaCaracter"/>
        </w:rPr>
        <w:t>4</w:t>
      </w:r>
      <w:r>
        <w:t>. La Comisión central de asistencia jurídica gratuita, mediante oficio registrado el día 22 de abril de 2015, pone en conocimiento de este Tribunal su acuerdo de 10 de abril de 2015, con el siguiente contenido “Estudiado el contenido de la Providencia de fecha 27/03/2015 dictada por el Juzgado de Instrucción nº 13 de Madrid en el procedimiento ‘INDETERMINADAS 322/2015’, se acuerda remitir a la Sala Primera del Tribunal Constitucional toda la documentación relativa a la impugnación de la denegación de la asistencia jurídica gratuita interesada por D. LUIS LÓPEZ ORIA PÉREZ, solicitando se indique si procede enviar la impugnación al Decanato de los Juzgados de Bilbao. Con su resultado se acordará de nuevo”. Adjuntó también la documentación relativa al asunto de referencia.</w:t>
      </w:r>
    </w:p>
    <w:p w:rsidR="006B7292" w:rsidRDefault="006B7292" w:rsidP="006B7292">
      <w:pPr>
        <w:pStyle w:val="TextoNormal"/>
      </w:pPr>
    </w:p>
    <w:p w:rsidR="006B7292" w:rsidRDefault="006B7292" w:rsidP="006B7292">
      <w:pPr>
        <w:pStyle w:val="TextoNormal"/>
      </w:pPr>
      <w:r w:rsidRPr="006B7292">
        <w:rPr>
          <w:rStyle w:val="NumeroAFNegritaCaracter"/>
        </w:rPr>
        <w:t>5</w:t>
      </w:r>
      <w:r>
        <w:t>. Mediante diligencia de ordenación de 27 de abril de 2015, la Secretaría de Justicia de la Sala Primera tuvo por recibida la comunicación y acordó conceder un plazo común de cinco días, al Ministerio Fiscal, al Abogado del Estado y al recurrente en amparo, para que presentaran alegaciones acerca de la competencia para conocer de la impugnación a la que se refiere el art. 20 de la Ley 1/1996, de 10 de enero, de asistencia jurídica gratuita.</w:t>
      </w:r>
    </w:p>
    <w:p w:rsidR="006B7292" w:rsidRDefault="006B7292" w:rsidP="006B7292">
      <w:pPr>
        <w:pStyle w:val="TextoNormal"/>
      </w:pPr>
    </w:p>
    <w:p w:rsidR="006B7292" w:rsidRDefault="006B7292" w:rsidP="006B7292">
      <w:pPr>
        <w:pStyle w:val="TextoNormal"/>
      </w:pPr>
      <w:r w:rsidRPr="006B7292">
        <w:rPr>
          <w:rStyle w:val="NumeroAFNegritaCaracter"/>
        </w:rPr>
        <w:t>6</w:t>
      </w:r>
      <w:r>
        <w:t>. El Abogado del Estado, mediante escrito registrado el 6 de mayo de 2015, alegó que el Tribunal Constitucional no tiene competencia para conocer de la impugnación de la denegación de la justicia gratuita cuando, como es el caso, la solicitud no es sobrevenida a la presentación del recurso de amparo, tal como es jurisprudencia constitucional reiterada (AATC 120/2011, de 19 de septiembre; 54/2011, de 26 de marzo; 80/2012, de 7 de mayo; 112/2012, de 31 de mayo, o 95/2013, de 7 de mayo).</w:t>
      </w:r>
    </w:p>
    <w:p w:rsidR="006B7292" w:rsidRDefault="006B7292" w:rsidP="006B7292">
      <w:pPr>
        <w:pStyle w:val="TextoNormal"/>
      </w:pPr>
    </w:p>
    <w:p w:rsidR="006B7292" w:rsidRDefault="006B7292" w:rsidP="006B7292">
      <w:pPr>
        <w:pStyle w:val="TextoNormal"/>
      </w:pPr>
      <w:r w:rsidRPr="006B7292">
        <w:rPr>
          <w:rStyle w:val="NumeroAFNegritaCaracter"/>
        </w:rPr>
        <w:t>7</w:t>
      </w:r>
      <w:r>
        <w:t>. El Ministerio Fiscal, mediante escrito registrado el 25 de mayo de 2015, presentó alegaciones interesando que el Tribunal Constitucional se declarara incompetente para la resolución de denegación del derecho a la asistencia jurídica gratuita, argumentando que, conforme es jurisprudencia constitucional reiterada, solo tiene competencia en los supuestos de solicitudes sobrevenidas a la presentación del recurso de amparo, lo que no es el caso.</w:t>
      </w:r>
    </w:p>
    <w:p w:rsidR="006B7292" w:rsidRDefault="006B7292" w:rsidP="006B7292">
      <w:pPr>
        <w:pStyle w:val="TextoNormal"/>
      </w:pPr>
    </w:p>
    <w:p w:rsidR="006B7292" w:rsidRDefault="006B7292" w:rsidP="006B7292">
      <w:pPr>
        <w:pStyle w:val="TextoNormal"/>
      </w:pPr>
      <w:r w:rsidRPr="006B7292">
        <w:rPr>
          <w:rStyle w:val="NumeroAFNegritaCaracter"/>
        </w:rPr>
        <w:t>8</w:t>
      </w:r>
      <w:r>
        <w:t>. El recurrente, mediante escrito registrado el 2 de junio de 2015, presentó alegaciones solicitando que fuera el Tribunal Constitucional y no el Juzgado de lo Penal núm. 3 de Bilbao el que resolviera sobre la impugnación.</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Único. En los términos ya desarrollados en los antecedentes, la Comisión central de asistencia jurídica gratuita solicita de este Tribunal, ante la declaración de incompetencia acordada por la providencia del Juzgado de instrucción núm. 13 de Madrid de 27 de marzo de 2015, que “indique si procede enviar la impugnación al Decanato de los Juzgados de Bilbao”.</w:t>
      </w:r>
    </w:p>
    <w:p w:rsidR="006B7292" w:rsidRDefault="006B7292" w:rsidP="006B7292">
      <w:pPr>
        <w:pStyle w:val="TextoNormal"/>
      </w:pPr>
    </w:p>
    <w:p w:rsidR="006B7292" w:rsidRDefault="006B7292" w:rsidP="006B7292">
      <w:pPr>
        <w:pStyle w:val="TextoNormal"/>
      </w:pPr>
      <w:r>
        <w:t>Pues bien, toda vez que no se está controvirtiendo la competencia de este Tribunal para la resolución de la impugnación de la denegación del derecho a la asistencia jurídica gratuita formulada para la interposición de un recurso de amparo, sino que se está solicitando de este Tribunal que aclare si la competencia podría corresponder a los Juzgados de Bilbao, este Tribunal ningún pronunciamiento puede hacer sobre el particular toda vez que, más allá de la competencia establecida en el título VI de la Ley Orgánica del Tribunal Constitucional, carece de funciones consultivas.</w:t>
      </w:r>
    </w:p>
    <w:p w:rsidR="006B7292" w:rsidRDefault="006B7292" w:rsidP="006B7292">
      <w:pPr>
        <w:pStyle w:val="TextoNormal"/>
      </w:pPr>
    </w:p>
    <w:p w:rsidR="006B7292" w:rsidRDefault="006B7292" w:rsidP="006B7292">
      <w:pPr>
        <w:pStyle w:val="TextoNormal"/>
      </w:pPr>
      <w:r>
        <w:t>Por todo lo expuesto, la Sección</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Que no procede hacer ningún pronunciamiento respecto de la solicitud formulada por la Comisión central de asistencia jurídica gratuita.</w:t>
      </w:r>
    </w:p>
    <w:p w:rsidR="006B7292" w:rsidRDefault="006B7292" w:rsidP="006B7292">
      <w:pPr>
        <w:pStyle w:val="TextoNormal"/>
      </w:pPr>
    </w:p>
    <w:p w:rsidR="006B7292" w:rsidRDefault="006B7292" w:rsidP="006B7292">
      <w:pPr>
        <w:pStyle w:val="TextoNormal"/>
      </w:pPr>
      <w:r>
        <w:t>Madrid, a veintiuno de julio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46" w:name="AUTO_2015_132"/>
      <w:r>
        <w:t>AUTO 132/2015, de 21 de julio de 2015</w:t>
      </w:r>
    </w:p>
    <w:bookmarkEnd w:id="146"/>
    <w:p w:rsidR="006B7292" w:rsidRDefault="006B7292" w:rsidP="006B7292">
      <w:pPr>
        <w:pStyle w:val="TtuloResolucin"/>
      </w:pPr>
      <w:r>
        <w:t>Pleno</w:t>
      </w:r>
    </w:p>
    <w:p w:rsidR="006B7292" w:rsidRDefault="006B7292" w:rsidP="006B7292">
      <w:pPr>
        <w:pStyle w:val="TextoNormalCentrado"/>
      </w:pPr>
      <w:r>
        <w:t>ECLI:ES:TC:2015:132A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Inadmite a trámite la cuestión de inconstitucionalidad 449-2015, planteada por el Tribunal Superior de Justicia de Castilla y León en relación con el artículo 2.1 del Real Decreto-ley 28/2012, de 30 de noviembre, de medidas de consolidación y garantía del sistema de la Seguridad Social. Voto particular.</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que entró en el Registro General de este Tribunal Constitucional el día 19 de enero de 2015 al que se acompaña, junto con el testimonio del procedimiento correspondiente, el Auto de 3 de diciembre de 2014, la Sala de lo Social del Tribunal Superior de Justicia de Castilla y León plantea cuestión de inconstitucionalidad en relación al art. 2.1 del Real Decreto-ley 28/2012, de 30 de noviembre, de medidas de consolidación y garantía del sistema de la Seguridad Social, por posible vulneración de lo dispuesto en el art. 9.3 y 33.3 CE.</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de hecho de la cuestión son los siguientes:</w:t>
      </w:r>
    </w:p>
    <w:p w:rsidR="006B7292" w:rsidRDefault="006B7292" w:rsidP="006B7292">
      <w:pPr>
        <w:pStyle w:val="TextoNormal"/>
      </w:pPr>
    </w:p>
    <w:p w:rsidR="006B7292" w:rsidRDefault="006B7292" w:rsidP="006B7292">
      <w:pPr>
        <w:pStyle w:val="TextoNormal"/>
      </w:pPr>
      <w:r>
        <w:t>a) El Juzgado de lo Social núm. 1 de Burgos dictó Sentencia estimando la demanda interpuesta por un pensionista en cuanto a la actualización de su pensión. La Sentencia describe los hechos como sigue: “PRIMERO.- D. A.M.G., D.N.I. …., era pensionista de la Seguridad Social en el año 2011, lo ha sido en el año 2012 y lo sigue siendo en el año 2013. SEGUNDO.- En el año 2011 era perceptor de una pensión en cuantía mensual de 1523,34 € en catorce pagas al año. TERCERO. En el año 2012 se produjo un incremento en las pensiones del 1 por 100. En las pensiones mínimas el complemento fue el 2,9 por 100 si bien se aplicó al concepto de diferencia a mínimos, dado que en el importe consolidado de la pensión se aplicó igualmente el 1 por 100. No se ha producido otro incremento en el año 2012 ni se ha abonado paga compensatoria o escoba alguna. CUARTO.- El incremento de precios al consumo en el periodo comprendido entre noviembre 2011 y noviembre 2012 ha sido del 2,9 por 100. QUINTO.- Para el año 2013 se ha producido un incremento sobre la base de la pensión percibida en el 2011 más un 1 por 100, porcentaje en que fue revalorizada en el año 2012. SEXTO.- Pide el demandante que se condene al demandado a abonar una paga compensatoria o escoba correspondiente al 2012 por el importe de la diferencia entre el incremento del 1 por 100 aplicado y el 2,9 por 100, porcentaje de incremento del índice de precios al consumo en el periodo que se ha de computar y que se declare que para el año 2013 la base del incremento debe ser el importe de la pensión del 2011 aumentado en un 2,9 por 100. Así se ha matizado en trámite de alegaciones. Tras agotar el trámite de reclamación previa interpone demanda para ante este Juzgado en fecha 26 de marzo de 2014.”</w:t>
      </w:r>
    </w:p>
    <w:p w:rsidR="006B7292" w:rsidRDefault="006B7292" w:rsidP="006B7292">
      <w:pPr>
        <w:pStyle w:val="TextoNormal"/>
      </w:pPr>
    </w:p>
    <w:p w:rsidR="006B7292" w:rsidRDefault="006B7292" w:rsidP="006B7292">
      <w:pPr>
        <w:pStyle w:val="TextoNormal"/>
      </w:pPr>
      <w:r>
        <w:t>El Juzgado de lo Social afirma en el fallo que “estimo la demanda … con los siguientes pronunciamientos: 1.- Declaro el derecho de la demandante a que se considere como pensión del año 2012 la señalada en el apartado segundo del relato histórico de la presente incrementada en un 2,9 por 100 y que la misma sirva de base para el incremento acordado en el año 2013 y 2014 debiendo el demandado estar y pasar por tal declaración. 2.- Declaro el derecho de la actora a percibir las diferencias correspondientes al año 2012 que son la diferencia entre el 1 por 100 aplicado y el 2,9 por 100 debido, condenando al demandado a abonar a la demandante el pago de la suma de 405,21 €.”</w:t>
      </w:r>
    </w:p>
    <w:p w:rsidR="006B7292" w:rsidRDefault="006B7292" w:rsidP="006B7292">
      <w:pPr>
        <w:pStyle w:val="TextoNormal"/>
      </w:pPr>
    </w:p>
    <w:p w:rsidR="006B7292" w:rsidRDefault="006B7292" w:rsidP="006B7292">
      <w:pPr>
        <w:pStyle w:val="TextoNormal"/>
      </w:pPr>
      <w:r>
        <w:t>b) El Instituto Nacional de la Seguridad Social recurrió en suplicación. Concluso el procedimiento y dentro del plazo para dictar Sentencia, el órgano judicial dictó providencia de 23 de octubre de 2014 por la que acordó oír a las partes y al Ministerio Fiscal para que alegasen sobre la pertinencia de plantear cuestión de inconstitucionalidad en relación con el art. 2.1 del Real Decreto-ley 28/2012.</w:t>
      </w:r>
    </w:p>
    <w:p w:rsidR="006B7292" w:rsidRDefault="006B7292" w:rsidP="006B7292">
      <w:pPr>
        <w:pStyle w:val="TextoNormal"/>
      </w:pPr>
    </w:p>
    <w:p w:rsidR="006B7292" w:rsidRDefault="006B7292" w:rsidP="006B7292">
      <w:pPr>
        <w:pStyle w:val="TextoNormal"/>
      </w:pPr>
      <w:r>
        <w:t>La duda del órgano judicial se concreta en que este precepto ha dejado sin efecto la actualización de las pensiones en los términos previstos en el art. 48.1.2 del texto refundido de la Ley de la Seguridad Social y en el párrafo segundo del apartado 1 del art. 27 de la Ley de clases pasivas. El art. 48.1.2 del texto refundido de la Ley de la Seguridad Social prevé la actualización de las pensiones si el índice de precios al consumo acumulado correspondiente al periodo comprendido entre noviembre del ejercicio anterior y noviembre del ejercicio económico a que se refiere la revalorización fuese superior al índice previsto y en función del cual se calculó dicha revalorización. En tal caso, se procederá a la correspondiente actualización de acuerdo con lo previsto en la respectiva Ley de presupuestos del Estado, abonándose en su caso la revalorización en un pago único antes del 1 de abril del ejercicio posterior. Comoquiera que el Real Decreto-ley 28/2012 entró en vigor el día 1 de diciembre de 2012, una vez transcurrido el período previsto en el art. 48.1.2 del texto refundido de la Ley de la Seguridad Social para llevar a término la actualización correspondiente a la anualidad del año 2012, y que la Ley 2/2012, de 29 de junio, de presupuestos generales del Estado, no realiza ninguna previsión sobre el mantenimiento del poder adquisitivo de las pensiones, el órgano judicial se plantea la posibilidad de que el precepto que cuestiona esté vulnerando el art. 9.3 CE, que prevé la garantía de irretroactividad de las disposiciones restrictivas de derechos individuales.</w:t>
      </w:r>
    </w:p>
    <w:p w:rsidR="006B7292" w:rsidRDefault="006B7292" w:rsidP="006B7292">
      <w:pPr>
        <w:pStyle w:val="TextoNormal"/>
      </w:pPr>
    </w:p>
    <w:p w:rsidR="006B7292" w:rsidRDefault="006B7292" w:rsidP="006B7292">
      <w:pPr>
        <w:pStyle w:val="TextoNormal"/>
      </w:pPr>
      <w:r>
        <w:t>El Ministerio Fiscal, en escrito de 24 de octubre de 2014, mostró su conformidad con el planteamiento de la cuestión. El Letrado de la Administración de la Seguridad Social, en escrito de 28 de octubre de 2014, sostiene que el precepto cuestionado no lesiona ni el art. 9.3 CE ni el art. 33 CE, invocando al efecto la doctrina establecida, respectivamente, en los AATC 85/2011 y 179/2011.</w:t>
      </w:r>
    </w:p>
    <w:p w:rsidR="006B7292" w:rsidRDefault="006B7292" w:rsidP="006B7292">
      <w:pPr>
        <w:pStyle w:val="TextoNormal"/>
      </w:pPr>
    </w:p>
    <w:p w:rsidR="006B7292" w:rsidRDefault="006B7292" w:rsidP="006B7292">
      <w:pPr>
        <w:pStyle w:val="TextoNormal"/>
      </w:pPr>
      <w:r w:rsidRPr="006B7292">
        <w:rPr>
          <w:rStyle w:val="NumeroAFNegritaCaracter"/>
        </w:rPr>
        <w:t>3</w:t>
      </w:r>
      <w:r>
        <w:t>. Por Auto de 3 de diciembre de 2014 la Sala de lo Social del Tribunal Superior de Justicia de Castilla y León acordó plantear cuestión de inconstitucionalidad acerca de si el art. 2.1 del Real Decreto-ley 28/2012 vulnera lo dispuesto en el art. 9.3 y 33.3 CE. Del análisis de su contenido interesa destacar los siguientes puntos:</w:t>
      </w:r>
    </w:p>
    <w:p w:rsidR="006B7292" w:rsidRDefault="006B7292" w:rsidP="006B7292">
      <w:pPr>
        <w:pStyle w:val="TextoNormal"/>
      </w:pPr>
    </w:p>
    <w:p w:rsidR="006B7292" w:rsidRDefault="006B7292" w:rsidP="006B7292">
      <w:pPr>
        <w:pStyle w:val="TextoNormal"/>
      </w:pPr>
      <w:r>
        <w:t>a) Comienza recordando los límites constitucionales del Decreto-ley. Sin embargo, no hay razonamiento alguno que exponga por qué en este caso se han excedido dichos límites, ni en la parte dispositiva se hace referencia al art. 86 CE como norma de contraste.</w:t>
      </w:r>
    </w:p>
    <w:p w:rsidR="006B7292" w:rsidRDefault="006B7292" w:rsidP="006B7292">
      <w:pPr>
        <w:pStyle w:val="TextoNormal"/>
      </w:pPr>
    </w:p>
    <w:p w:rsidR="006B7292" w:rsidRDefault="006B7292" w:rsidP="006B7292">
      <w:pPr>
        <w:pStyle w:val="TextoNormal"/>
      </w:pPr>
      <w:r>
        <w:t>b) A continuación se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analizará si, aun siendo de grado máximo, carece realmente de justificación habilitante, puesto que este Tribunal Constitucional admite que “la prohibición de retroactividad operaría plenamente y solo exigencias del bien común podrían imponerse excepcionalmente a tal principio” (STC 197/1992).</w:t>
      </w:r>
    </w:p>
    <w:p w:rsidR="006B7292" w:rsidRDefault="006B7292" w:rsidP="006B7292">
      <w:pPr>
        <w:pStyle w:val="TextoNormal"/>
      </w:pPr>
    </w:p>
    <w:p w:rsidR="006B7292" w:rsidRDefault="006B7292" w:rsidP="006B7292">
      <w:pPr>
        <w:pStyle w:val="TextoNormal"/>
      </w:pPr>
      <w:r>
        <w:t>c) El Auto señala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revalorización de las pensiones, sistema que prevé el art. 50 CE, para evitar que, como consecuencia del incremento del coste de la vida, en unos años las pensiones reconocidas pierdan su esencia y produzca un empobrecimiento de los pensionistas.</w:t>
      </w:r>
    </w:p>
    <w:p w:rsidR="006B7292" w:rsidRDefault="006B7292" w:rsidP="006B7292">
      <w:pPr>
        <w:pStyle w:val="TextoNormal"/>
      </w:pPr>
    </w:p>
    <w:p w:rsidR="006B7292" w:rsidRDefault="006B7292" w:rsidP="006B7292">
      <w:pPr>
        <w:pStyle w:val="TextoNormal"/>
      </w:pPr>
      <w:r>
        <w:t>Afirma que el desarrollo del art. 50 CE se ha realizado a través del art. 48 de la Ley general de la Seguridad Social (LGSS), que revaloriza las pensiones mediante una regla de carácter general que no admite excepción: “las pensiones de la Seguridad Social en su modalidad contributiva, incluido el importe de la pensión mínima, serán revalorizadas al comienzo de cada año, en función del correspondiente índice de precios al consumo previsto para dicho año”. El apartado 2 del art. 48.1 LGSS establece el periodo que se debe tener en cuenta para el cálculo del índice de precios al consumo (“el periodo comprendido entre noviembre del ejercicio anterior y noviembre del ejercicio económico al que se refiere la revalorización”) y un mecanismo para compensar la posible desviación que se produzca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Y la misma regla establece el art. 27 de la Ley de clases pasivas del Estado.</w:t>
      </w:r>
    </w:p>
    <w:p w:rsidR="006B7292" w:rsidRDefault="006B7292" w:rsidP="006B7292">
      <w:pPr>
        <w:pStyle w:val="TextoNormal"/>
      </w:pPr>
    </w:p>
    <w:p w:rsidR="006B7292" w:rsidRDefault="006B7292" w:rsidP="006B7292">
      <w:pPr>
        <w:pStyle w:val="TextoNormal"/>
      </w:pPr>
      <w:r>
        <w:t>Indica que el único límite al importe de la revalorización de las pensiones contributivas se establece en el art. 49 LGSS: la revalorización de las pensiones no podrán superar el importe de la pensión máxima que se establezca para cada año en la correspondiente Ley de presupuestos generales del Estado, sumado en su caso al importe anual íntegro ya revalorizado de las otras pensiones públicas percibidas por su titular.</w:t>
      </w:r>
    </w:p>
    <w:p w:rsidR="006B7292" w:rsidRDefault="006B7292" w:rsidP="006B7292">
      <w:pPr>
        <w:pStyle w:val="TextoNormal"/>
      </w:pPr>
    </w:p>
    <w:p w:rsidR="006B7292" w:rsidRDefault="006B7292" w:rsidP="006B7292">
      <w:pPr>
        <w:pStyle w:val="TextoNormal"/>
      </w:pPr>
      <w:r>
        <w:t>Sentado lo anterior, el órgano judicial señala que el objeto de la cuestión de inconstitucionalidad es si la supresión de la paga compensatoria que dispone el art. 2.1 del Real Decreto-ley 28/2012 “vulnera un derecho causado, consolidado y devengado, conforme al art. 50 CE, afectando de forma retroactiva a derechos adquiridos y con la vulneración del art. 9.3 CE, que prohíbe la retroactividad de las disposiciones procesales (</w:t>
      </w:r>
      <w:r w:rsidRPr="006B7292">
        <w:rPr>
          <w:i/>
        </w:rPr>
        <w:t>sic</w:t>
      </w:r>
      <w:r>
        <w:t>) restrictivas de los derechos fundamentales”.</w:t>
      </w:r>
    </w:p>
    <w:p w:rsidR="006B7292" w:rsidRDefault="006B7292" w:rsidP="006B7292">
      <w:pPr>
        <w:pStyle w:val="TextoNormal"/>
      </w:pPr>
    </w:p>
    <w:p w:rsidR="006B7292" w:rsidRDefault="006B7292" w:rsidP="006B7292">
      <w:pPr>
        <w:pStyle w:val="TextoNormal"/>
      </w:pPr>
      <w:r>
        <w:t>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006B7292" w:rsidRDefault="006B7292" w:rsidP="006B7292">
      <w:pPr>
        <w:pStyle w:val="TextoNormal"/>
      </w:pPr>
    </w:p>
    <w:p w:rsidR="006B7292" w:rsidRDefault="006B7292" w:rsidP="006B7292">
      <w:pPr>
        <w:pStyle w:val="TextoNormal"/>
      </w:pPr>
      <w:r>
        <w:t>Por todo ello, la Sala acuerda elevar la siguiente cuestión de inconstitucionalidad: Si “[e]l artículo 2.1 del Real Decreto-ley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de la Seguridad Social para llevar a cabo la aplicación de la anualidad (noviembre 2011-noviembre 2012) y que la Ley 2/2012, de 29 de junio, de Presupuestos Generales del Estado para el año 2012, ninguna previsión realiza para el mantenimiento del poder adquisitivo de las pensiones, vulnera: a) lo dispuesto en el artículo 9.3 de la Constitución española por el que se garantiza la irretroactividad de las disposiciones restrictivas de derechos fundamentales individuales; y b) el artículo 33 de la Constitución española, de entender que por parte del aludido art. 2.1 del Real Decreto-ley 28/2012 serían objeto de expropiación los derechos de los perceptores de pensiones de seguridad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006B7292" w:rsidRDefault="006B7292" w:rsidP="006B7292">
      <w:pPr>
        <w:pStyle w:val="TextoNormal"/>
      </w:pPr>
    </w:p>
    <w:p w:rsidR="006B7292" w:rsidRDefault="006B7292" w:rsidP="006B7292">
      <w:pPr>
        <w:pStyle w:val="TextoNormal"/>
      </w:pPr>
      <w:r w:rsidRPr="006B7292">
        <w:rPr>
          <w:rStyle w:val="NumeroAFNegritaCaracter"/>
        </w:rPr>
        <w:t>4</w:t>
      </w:r>
      <w:r>
        <w:t>. Mediante providencia de 9 de junio de 2015 la Sección Tercera de este Tribunal acordó, a los efectos que determina el art. 37.1 de la Ley Orgánica del Tribunal Constitucional, oír al Fiscal General del Estado para que en el plazo de diez días alegase lo que considerara conveniente acerca de la admisibilidad de la presente cuestión de inconstitucionalidad, “por si hubiere devenido notoriamente infundada (SSTC 49/2015, 5 de marzo, 95/2015, de 14 de mayo, y 109/2015, de 28 de mayo)”.</w:t>
      </w:r>
    </w:p>
    <w:p w:rsidR="006B7292" w:rsidRDefault="006B7292" w:rsidP="006B7292">
      <w:pPr>
        <w:pStyle w:val="TextoNormal"/>
      </w:pPr>
    </w:p>
    <w:p w:rsidR="006B7292" w:rsidRDefault="006B7292" w:rsidP="006B7292">
      <w:pPr>
        <w:pStyle w:val="TextoNormal"/>
      </w:pPr>
      <w:r w:rsidRPr="006B7292">
        <w:rPr>
          <w:rStyle w:val="NumeroAFNegritaCaracter"/>
        </w:rPr>
        <w:t>5</w:t>
      </w:r>
      <w:r>
        <w:t>. El Fiscal General del Estado, en escrito registrado el 10 de julio de 2015, después de relacionar las circunstancias del caso, alude a la STC 49/2015 y añade que de sus fundamentos “se desprende la plena identidad con la presente cuestión, ya que las alegaciones de los parlamentarios recurrentes apelaban a la posible violación de los arts. 9.3 y 33, además de otros preceptos, por lo que la posible duda de inconstitucionalidad ha quedado disipada por la referida STC 49/2015 y otras posteriores que han resuelto cuestiones de inconstitucionalidad, como las SSTC 95/2015, de 14 de mayo, y 109/2015, de 28 de mayo”.</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Único. Esta cuestión de inconstitucionalidad se plantea en relación al art. 2.1 del Real Decreto-ley 28/2012, de 30 de noviembre, de medidas de consolidación y garantía del sistema de la Seguridad Social, por posible vulneración de los arts. 9.3 y 33.3 CE. El órgano judicial arguye que la supresión de la paga compensatoria que dispone la norma cuestionada vulnera un derecho causado, consolidado y devengado, afectando con ello de forma retroactiva a derechos adquiridos. El Fiscal General del Estado, por el contrario, sostiene que la posible duda de constitucionalidad queda disipada por la doctrina fijada en la STC 49/2015, de 5 de marzo.</w:t>
      </w:r>
    </w:p>
    <w:p w:rsidR="006B7292" w:rsidRDefault="006B7292" w:rsidP="006B7292">
      <w:pPr>
        <w:pStyle w:val="TextoNormal"/>
      </w:pPr>
    </w:p>
    <w:p w:rsidR="006B7292" w:rsidRDefault="006B7292" w:rsidP="006B7292">
      <w:pPr>
        <w:pStyle w:val="TextoNormal"/>
      </w:pPr>
      <w:r>
        <w:t>De acuerdo con el art. 37.1 de la Ley Orgánica del Tribunal Constitucional, este Tribunal puede rechazar en trámite de admisión y mediante Auto, sin otra audiencia que la del Fiscal General del Estado, la cuestión de inconstitucionalidad “cuando … fuere notoriamente infundada”.</w:t>
      </w:r>
    </w:p>
    <w:p w:rsidR="006B7292" w:rsidRDefault="006B7292" w:rsidP="006B7292">
      <w:pPr>
        <w:pStyle w:val="TextoNormal"/>
      </w:pPr>
    </w:p>
    <w:p w:rsidR="006B7292" w:rsidRDefault="006B7292" w:rsidP="006B7292">
      <w:pPr>
        <w:pStyle w:val="TextoNormal"/>
      </w:pPr>
      <w:r>
        <w:t>La STC 49/2015, que resuelve un recurso de inconstitucionalidad dirigido contra el mismo precepto legal que la presente cuestión de inconstitucionalidad y fundado en la vulneración de idénticas reglas constitucionales, ha establecido, en relación a la pretendida vulneración del art. 9.3 CE,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Esta remisión es entendida por los recurrentes como un mero apunte contable, de manera que la Ley de Presupuestos, a su juicio, deberá limitarse a aprobar el crédito presupuestario correspondiente para hacer frente al pago de la diferencia del IPC en el ejercicio económico siguiente. Sin embargo, si esta hubiera sido la intención del legislador no hubiera sido necesario hacerlo constar expresamente en la ley, pues la necesidad de aprobar la correspondiente partida de gastos en los presupuestos del Estado se deriva de la obligación de pago antes del 1 de abril del ejercicio económico siguiente… La remisión que la LGSS y la Ley de clases pasivas del Estado hacen a la Ley de presupuestos generales del Estado no es, por tanto, una mera remisión a los efectos de que esta Ley habilite la correspondiente partida del gasto presupuestario, sino que supone el reconocimiento al legislador de un margen de discrecionalidad a la hora de concretar la eventual actualización de la revalorización en función de las circunstancias económicas y sociales en cada momento existentes, todo ello con la finalidad de asegurar la suficiencia y solvencia del Sistema de Seguridad Social. Sobre la base de la doctrina constitucional anteriormente expuesta, el legislador no ha hecho sino reconocer que la actualización de la revalorización de las pensiones efectuada al principio del ejercicio pueda ser modulada por la Ley de presupuestos generales del Estado en función de las circunstancias socioeconómicas concurrentes y, por ello, habilita a la Ley de presupuestos para que decida cuál es el alcance de la actualización. De este modo, el eventual devengo de la diferencia entre el IPC real y el IPC previsto tendría lugar el 31 de diciembre, siendo la Ley de presupuestos generales del Estado el instrumento para determinar el quantum de esa actualización. … En consecuencia, dado que cuando se aprobó el Real Decreto-ley 28/2012 no existía una relación consagrada o agotada incorporada al patrimonio del pensionista, sino una mera expectativa, hemos de rechazar que la norma cuestionada haya incurrido en un supuesto de retroactividad auténtica o de grado máximo prohibido por el art. 9.3 CE” (FJ 5).</w:t>
      </w:r>
    </w:p>
    <w:p w:rsidR="006B7292" w:rsidRDefault="006B7292" w:rsidP="006B7292">
      <w:pPr>
        <w:pStyle w:val="TextoNormal"/>
      </w:pPr>
    </w:p>
    <w:p w:rsidR="006B7292" w:rsidRDefault="006B7292" w:rsidP="006B7292">
      <w:pPr>
        <w:pStyle w:val="TextoNormal"/>
      </w:pPr>
      <w:r>
        <w:t>Dicha STC 49/2015, en lo que hace a la alegada vulneración del art. 33.3 CE, resolvió que, de acuerdo con la legislación vigente (art. 48.1.2 de la Ley general de la Seguridad Social : LGSS), falta en el art. 2.1 del Real Decreto-ley 28/2012 un elemento indispensable para que pueda calificarse la no actualización de las pensiones de medida expropiatoria, cual es, dicho en los términos de la STC 108/1996, de 29 de julio, FJ 20, que “sólo son expropiables y, por tanto, indemnizables la privación de bienes y derechos o incluso intereses patrimoniales legítimos aun no garantizados como derechos subjetivos (por ejemplo, las situaciones en precario); pero en ningún caso lo son las expectativas”.</w:t>
      </w:r>
    </w:p>
    <w:p w:rsidR="006B7292" w:rsidRDefault="006B7292" w:rsidP="006B7292">
      <w:pPr>
        <w:pStyle w:val="TextoNormal"/>
      </w:pPr>
    </w:p>
    <w:p w:rsidR="006B7292" w:rsidRDefault="006B7292" w:rsidP="006B7292">
      <w:pPr>
        <w:pStyle w:val="TextoNormal"/>
      </w:pPr>
      <w:r>
        <w:t>Esta doctrina constitucional ha sido reiterada en las SSTC 95/2015, de 14 de mayo, FJ 6, y 109/2015, de 28 de mayo, FJ 2, al decidir sendas cuestiones de inconstitucionalidad que planteaban un debate procesal análogo al que abordaba la STC 49/2015.</w:t>
      </w:r>
    </w:p>
    <w:p w:rsidR="006B7292" w:rsidRDefault="006B7292" w:rsidP="006B7292">
      <w:pPr>
        <w:pStyle w:val="TextoNormal"/>
      </w:pPr>
    </w:p>
    <w:p w:rsidR="006B7292" w:rsidRDefault="006B7292" w:rsidP="006B7292">
      <w:pPr>
        <w:pStyle w:val="TextoNormal"/>
      </w:pPr>
      <w:r>
        <w:t>La duda de constitucionalidad que se suscita en el presente proceso, al referirse a la misma disposición legal y fundarse en idénticos preceptos constitucionales que los asuntos resueltos del modo indicado por las SSTC 49/2015, 95/2015 y 109/2015, resulta notoriamente infundada, en el significado que a esta noción le viene dando nuestra doctrina, que no implica un juicio peyorativo sobre la duda de constitucionalidad que traslada el órgano judicial, pero que procesalmente otorga a este Tribunal un cierto margen de apreciación a la hora de controlar la solidez de la fundamentación de las cuestiones de inconstitucionalidad, realizando un examen preliminar de la viabilidad de las mismas (ATC 301/2014, de 16 de diciembre, FJ 2).</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Inadmitir a trámite la presente cuestión de inconstitucionalidad núm. 449-2015, planteada por la Sala de lo Social del Tribunal Superior de Justicia de Castilla y León.</w:t>
      </w:r>
    </w:p>
    <w:p w:rsidR="006B7292" w:rsidRDefault="006B7292" w:rsidP="006B7292">
      <w:pPr>
        <w:pStyle w:val="TextoNormal"/>
      </w:pPr>
    </w:p>
    <w:p w:rsidR="006B7292" w:rsidRDefault="006B7292" w:rsidP="006B7292">
      <w:pPr>
        <w:pStyle w:val="TextoNormal"/>
      </w:pPr>
      <w:r>
        <w:t>Madrid, a veintiuno de julio de dos mil quince.</w:t>
      </w:r>
    </w:p>
    <w:p w:rsidR="006B7292" w:rsidRDefault="006B7292" w:rsidP="006B7292">
      <w:pPr>
        <w:pStyle w:val="ParrafoNormal"/>
      </w:pPr>
    </w:p>
    <w:p w:rsidR="006B7292" w:rsidRDefault="006B7292" w:rsidP="006B7292">
      <w:pPr>
        <w:pStyle w:val="TextoNormalNegritaCentrado"/>
        <w:keepNext/>
      </w:pPr>
      <w:r>
        <w:t>Voto particular que formula el Magistrado don Juan Antonio Xiol Ríos al Auto de inadmisión dictado en la cuestión de inconstitucionalidad núm. 449-2015.</w:t>
      </w:r>
    </w:p>
    <w:p w:rsidR="006B7292" w:rsidRDefault="006B7292" w:rsidP="006B7292">
      <w:pPr>
        <w:pStyle w:val="TextoNormalNegritaCentrado"/>
        <w:keepNext/>
      </w:pPr>
    </w:p>
    <w:p w:rsidR="006B7292" w:rsidRDefault="006B7292" w:rsidP="006B7292">
      <w:pPr>
        <w:pStyle w:val="TextoNormal"/>
      </w:pPr>
      <w:r>
        <w:t>Con el máximo respeto a la opinión mayoritaria de mis compañeros de Tribunal en la que se sustenta el Auto, manifiesto mi discrepancia con la fundamentación jurídica y el fallo de este, que entiendo hubiera debido de ser de admisión y, en su día, haber dado lugar a una sentencia estimatoria por vulneración del principio de seguridad jurídica (art. 9.3 CE).</w:t>
      </w:r>
    </w:p>
    <w:p w:rsidR="006B7292" w:rsidRDefault="006B7292" w:rsidP="006B7292">
      <w:pPr>
        <w:pStyle w:val="TextoNormal"/>
      </w:pPr>
    </w:p>
    <w:p w:rsidR="006B7292" w:rsidRDefault="006B7292" w:rsidP="006B7292">
      <w:pPr>
        <w:pStyle w:val="TextoNormal"/>
      </w:pPr>
      <w:r>
        <w:t>Las razones de mi discrepancia son coincidentes con las que ya fueron expuestas en el Voto particular formulado a la STC 49/2015, de 5 de marzo, al que para evitar reiteraciones innecesarias me remito.</w:t>
      </w:r>
    </w:p>
    <w:p w:rsidR="006B7292" w:rsidRDefault="006B7292" w:rsidP="006B7292">
      <w:pPr>
        <w:pStyle w:val="TextoNormal"/>
      </w:pPr>
    </w:p>
    <w:p w:rsidR="006B7292" w:rsidRDefault="006B7292" w:rsidP="006B7292">
      <w:pPr>
        <w:pStyle w:val="TextoNormal"/>
      </w:pPr>
      <w:r>
        <w:t>Madrid, a veintiuno de julio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47" w:name="AUTO_2015_133"/>
      <w:r>
        <w:t>AUTO 133/2015, de 21 de julio de 2015</w:t>
      </w:r>
    </w:p>
    <w:bookmarkEnd w:id="147"/>
    <w:p w:rsidR="006B7292" w:rsidRDefault="006B7292" w:rsidP="006B7292">
      <w:pPr>
        <w:pStyle w:val="TtuloResolucin"/>
      </w:pPr>
      <w:r>
        <w:t>Pleno</w:t>
      </w:r>
    </w:p>
    <w:p w:rsidR="006B7292" w:rsidRDefault="006B7292" w:rsidP="006B7292">
      <w:pPr>
        <w:pStyle w:val="TextoNormalCentrado"/>
      </w:pPr>
      <w:r>
        <w:t>ECLI:ES:TC:2015:133A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Inadmite a trámite la cuestión de inconstitucionalidad 478-2015, planteada por el Tribunal Superior de Justicia de Cataluña en relación con el artículo 2.1 del Real Decreto-ley 28/2012, de 30 de noviembre, de medidas de consolidación y garantía del sistema de la Seguridad Social. Voto particular.</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27 de enero tuvo entrada en este Tribunal un escrito del Secretario de la Sala de lo Social del Tribunal Superior de Justicia de Cataluña que acompaña testimonio de las actuaciones correspondientes al recurso de suplicación núm. 4405-2014, y adjunta el Auto de 17 de diciembre de 2014 de planteamiento de una cuestión de inconstitucionalidad sobre el art. 2.1 del Real Decreto-ley 28/2012, de 30 de noviembre, de medidas de consolidación y garantía del sistema de la Seguridad Social, por posible vulneración de los arts. 9.3 y 86.1, ambos de la Constitución.</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que conviene reseñar, en lo que atañe al presente proceso constitucional, son los siguientes:</w:t>
      </w:r>
    </w:p>
    <w:p w:rsidR="006B7292" w:rsidRDefault="006B7292" w:rsidP="006B7292">
      <w:pPr>
        <w:pStyle w:val="TextoNormal"/>
      </w:pPr>
    </w:p>
    <w:p w:rsidR="006B7292" w:rsidRDefault="006B7292" w:rsidP="006B7292">
      <w:pPr>
        <w:pStyle w:val="TextoNormal"/>
      </w:pPr>
      <w:r>
        <w:t>a) Don José Magariño Fernández interpuso demanda contra el Instituto Nacional de la Seguridad Social (INSS) en solicitud del reconocimiento del derecho a la revalorización de la pensión percibida en el 2012, por entender que el Real Decreto-ley 28/2012 debía ser interpretado de manera que no tuviera efectos retroactivos que no están previstos expresamente en la norma. La demanda fue desestimada por Sentencia de 28 de abril de 2013, del Juzgado Social núm. 2 de Girona, absolviendo a la entidad demandada de las pretensiones deducidas en su contra, por considerar que no se trata de una norma retroactiva puesto que se prevé el pago único de la prestación en abril del año siguiente y el momento en que nace el derecho a este pago es posterior al 30 de noviembre de cada año, siendo así que el Real Decreto-ley entró en vigor el 1 de diciembre de 2012, dejando sin efecto el mecanismo de revalorización mediante un pago único, justo el mismo día en que sería aplicable.</w:t>
      </w:r>
    </w:p>
    <w:p w:rsidR="006B7292" w:rsidRDefault="006B7292" w:rsidP="006B7292">
      <w:pPr>
        <w:pStyle w:val="TextoNormal"/>
      </w:pPr>
    </w:p>
    <w:p w:rsidR="006B7292" w:rsidRDefault="006B7292" w:rsidP="006B7292">
      <w:pPr>
        <w:pStyle w:val="TextoNormal"/>
      </w:pPr>
      <w:r>
        <w:t xml:space="preserve">b) El demandante formuló recurso de suplicación. La Seguridad Social impugnó el recurso con el argumento de que la actuación del INSS se limita a aplicar la norma vigente cuya constitucionalidad sólo puede cuestionarse a través de la cuestión de inconstitucionalidad. Añadía, además, que la alegación del recurrente a percibir la paga única compensatoria, cuando nada se solicitó en la demanda, se había introducido </w:t>
      </w:r>
      <w:r w:rsidRPr="006B7292">
        <w:rPr>
          <w:i/>
        </w:rPr>
        <w:t>ex novo</w:t>
      </w:r>
      <w:r>
        <w:t xml:space="preserve"> en este recurso de manera que se estaba quebrando el principio de congruencia que informa el proceso social. Por último, conforme a lo alegado en el recurso de suplicación, señala que el art. 48 del Real Decreto Legislativo 1/1994, de 20 de junio, por el que se aprueba el texto refundido de la Ley general de la Seguridad Social (LGSS) había quedado suspendido en su aplicación para el 2013 por el Real Decreto-ley estatal, deviniendo, en consecuencia, inaplicable.</w:t>
      </w:r>
    </w:p>
    <w:p w:rsidR="006B7292" w:rsidRDefault="006B7292" w:rsidP="006B7292">
      <w:pPr>
        <w:pStyle w:val="TextoNormal"/>
      </w:pPr>
    </w:p>
    <w:p w:rsidR="006B7292" w:rsidRDefault="006B7292" w:rsidP="006B7292">
      <w:pPr>
        <w:pStyle w:val="TextoNormal"/>
      </w:pPr>
      <w:r>
        <w:t>c) Una vez tenidas por recibidas las anteriores actuaciones y designado ponente, por providencia de la Sala de lo Social del Tribunal Superior de Justicia de 19 de noviembre de 1014 se dio traslado a las partes y al Ministerio fiscal, por el plazo común de diez días, para que formularan alegaciones sobre la constitucionalidad del art. 2.1 Real Decreto-ley 28/2012, planteando la posible vulneración del art. 9.3 CE ya que la norma fue publicada cuando había finalizado el periodo de generación y devengo, y del art. 86 CE por falta del presupuesto habilitante de los decretos-leyes, esto es, de extraordinaria y urgente necesidad.</w:t>
      </w:r>
    </w:p>
    <w:p w:rsidR="006B7292" w:rsidRDefault="006B7292" w:rsidP="006B7292">
      <w:pPr>
        <w:pStyle w:val="TextoNormal"/>
      </w:pPr>
    </w:p>
    <w:p w:rsidR="006B7292" w:rsidRDefault="006B7292" w:rsidP="006B7292">
      <w:pPr>
        <w:pStyle w:val="TextoNormal"/>
      </w:pPr>
      <w:r>
        <w:t>d) El Ministerio Fiscal consideró procedente su planteamiento, mientras que la demandada se opuso a la misma por entender que no concurrían las vulneraciones invocadas. El demandante no presentó alegaciones.</w:t>
      </w:r>
    </w:p>
    <w:p w:rsidR="006B7292" w:rsidRDefault="006B7292" w:rsidP="006B7292">
      <w:pPr>
        <w:pStyle w:val="TextoNormal"/>
      </w:pPr>
    </w:p>
    <w:p w:rsidR="006B7292" w:rsidRDefault="006B7292" w:rsidP="006B7292">
      <w:pPr>
        <w:pStyle w:val="TextoNormal"/>
      </w:pPr>
      <w:r w:rsidRPr="006B7292">
        <w:rPr>
          <w:rStyle w:val="NumeroAFNegritaCaracter"/>
        </w:rPr>
        <w:t>3</w:t>
      </w:r>
      <w:r>
        <w:t>. Las razones en las que se basa el Auto de la Sala de lo Social del Tribunal Superior de Justicia de Cataluña, de 17 de diciembre de 2014, de planteamiento de la cuestión de inconstitucionalidad, son sucintamente expuestas las siguientes. En cuanto a la aplicabilidad y relevancia para el proceso del precepto cuestionado señala que el demandante había solicitado la revalorización de la pensión en aplicación del art. 48.2 LGSS, que este precepto deviene inaplicable por aplicación del precepto de la disposición legal cuestionada, de manera que el pronunciamiento sobre la constitucionalidad o inconstitucionalidad de ésta determina el contenido estimatorio de desestimatorio del fallo. Entrando en el fondo de las vulneraciones alegadas, en relación al art. 86 CE, tras resumir la doctrina del Tribunal Constitucional en la materia, y recordar que existen otras muchas cuestiones de inconstitucionalidad admitidas por el Tribunal Constitucional en las que se invoca esta misma vulneración (Auto de la Sala de lo Social del Tribunal Superior de Justicia del País Vasco de 3 de diciembre de 2013, a cuyos fundamentos se remite), razona que los argumentos que da la disposición legal estatal para justificar esta previsión normativa, son un tanto genéricos y en todo caso previsibles. Si bien es cierta la existencia de una crisis económica persistente y grave, también lo es que ello no puede convertirse en cláusula de estilo que justifique el recurso continuo a este instrumento legal. Lo acordado bien podía haberse tramitado por una ley ordinaria, ya que no existe una situación imprevisible, a lo que hay que añadir que la Ministra del ramo nada dijo en su intervención parlamentaria al respecto. Tampoco resulta de recibo la necesidad de acudir al Fondo de reserva pues ya se había acudido al mismo el 27 de septiembre de 2012, lo que pone de relieve que se conocía y preveía una situación de necesidad. Por otra parte, señala que el devenir de la crisis no se corresponde con el número de Reales Decretos-leyes aprobados, y hace alusión a la resolución dictada por el Comité Europeo de Derechos Sociales de 7 de diciembre de 2012 que, en relación a la privación de los pensionistas griegos de dos pagas extras, afirma que vulnera el art. 12.3 de la Carta.</w:t>
      </w:r>
    </w:p>
    <w:p w:rsidR="006B7292" w:rsidRDefault="006B7292" w:rsidP="006B7292">
      <w:pPr>
        <w:pStyle w:val="TextoNormal"/>
      </w:pPr>
    </w:p>
    <w:p w:rsidR="006B7292" w:rsidRDefault="006B7292" w:rsidP="006B7292">
      <w:pPr>
        <w:pStyle w:val="TextoNormal"/>
      </w:pPr>
      <w:r>
        <w:t>Sobre la vulneración del art. 9.3 CE, expone que este precepto prohíbe la retroactividad auténtica de las normas restrictivas de derechos individuales, y sólo puede operar excepcionalmente y por exigencias cualificadas del bien común. A la vista del art. 48.1 LGSS resulta que: (i) se trata de una prestación diferida que se va devengando día a día y asimilable a las gratificaciones extraordinarias del art. 31 de la Ley del estatuto de los trabajadores, cuyo periodo de generación y devengo finaliza el 30 de noviembre; (ii) no se trata de un pago graciable y discrecional; y, finalmente, (iii) el Real Decreto-ley entró en vigor el 1 de diciembre, de manera que se produce una retroactividad auténtica por afectar a un derecho ya incorporado al patrimonio.</w:t>
      </w:r>
    </w:p>
    <w:p w:rsidR="006B7292" w:rsidRDefault="006B7292" w:rsidP="006B7292">
      <w:pPr>
        <w:pStyle w:val="TextoNormal"/>
      </w:pPr>
    </w:p>
    <w:p w:rsidR="006B7292" w:rsidRDefault="006B7292" w:rsidP="006B7292">
      <w:pPr>
        <w:pStyle w:val="TextoNormal"/>
      </w:pPr>
      <w:r>
        <w:t>Concluye, en esencia, recordando que existe un recurso de inconstitucionalidad cuyos argumentos comparte.</w:t>
      </w:r>
    </w:p>
    <w:p w:rsidR="006B7292" w:rsidRDefault="006B7292" w:rsidP="006B7292">
      <w:pPr>
        <w:pStyle w:val="TextoNormal"/>
      </w:pPr>
    </w:p>
    <w:p w:rsidR="006B7292" w:rsidRDefault="006B7292" w:rsidP="006B7292">
      <w:pPr>
        <w:pStyle w:val="TextoNormal"/>
      </w:pPr>
      <w:r w:rsidRPr="006B7292">
        <w:rPr>
          <w:rStyle w:val="NumeroAFNegritaCaracter"/>
        </w:rPr>
        <w:t>4</w:t>
      </w:r>
      <w:r>
        <w:t>. La Sección Primera del Tribunal Constitucional acordó, por providencia de 9 de junio de 2015, oír al Fiscal General del Estado, por si la cuestión hubiese devenido notoriamente infundada (SSTC 49/2015, de 5 de marzo, 5/2015, de 14 de mayo, y 109/2015, de 28 de mayo).</w:t>
      </w:r>
    </w:p>
    <w:p w:rsidR="006B7292" w:rsidRDefault="006B7292" w:rsidP="006B7292">
      <w:pPr>
        <w:pStyle w:val="TextoNormal"/>
      </w:pPr>
    </w:p>
    <w:p w:rsidR="006B7292" w:rsidRDefault="006B7292" w:rsidP="006B7292">
      <w:pPr>
        <w:pStyle w:val="TextoNormal"/>
      </w:pPr>
      <w:r w:rsidRPr="006B7292">
        <w:rPr>
          <w:rStyle w:val="NumeroAFNegritaCaracter"/>
        </w:rPr>
        <w:t>5</w:t>
      </w:r>
      <w:r>
        <w:t>. El 10 de julio de 2015 tuvo entrada en el Registro General del Tribunal Constitucional un escrito de la Fiscal General del Estado, en el que señala que las cuestiones planteadas por el Auto proponente de la cuestión son similares a las expuestas en el recurso de inconstitucionalidad 1114-2013, y resueltas por la STC 49/2015, así como por otras Sentencias del Tribunal Constitucional dictadas al resolver cuestiones de inconstitucionalidad, en concreto las SSTC 95/2015, de 14 de mayo, y 109/2015, de 28 de mayo. De ahí su carácter notoriamente infundado.</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Único. La Sala de lo Social del Tribunal Superior de Justicia de Cataluña plantea cuestión de inconstitucionalidad en relación con el art. 2.1 del Real Decreto-ley 28/2012, de 30 de noviembre, de medidas de consolidación y garantía del sistema de la Seguridad Social, por posible vulneración de los arts. 9.3 y 86.1, ambos de la Constitución. La Sala proponente cuestiona que se cumpla el presupuesto de hecho habilitante del Real Decreto-ley, a la vez que entiende que estamos ante un supuesto de retroactividad auténtica prohibida por el art. 9.3 CE. El Ministerio Fiscal considera que las dudas planteadas ya han sido resueltas por sentencias anteriores del Tribunal Constitucional.</w:t>
      </w:r>
    </w:p>
    <w:p w:rsidR="006B7292" w:rsidRDefault="006B7292" w:rsidP="006B7292">
      <w:pPr>
        <w:pStyle w:val="TextoNormal"/>
      </w:pPr>
    </w:p>
    <w:p w:rsidR="006B7292" w:rsidRDefault="006B7292" w:rsidP="006B7292">
      <w:pPr>
        <w:pStyle w:val="TextoNormal"/>
      </w:pPr>
      <w:r>
        <w:t>De acuerdo con el art. 37.1 de la Ley Orgánica del Tribunal Constitucional, este Tribunal puede rechazar en trámite de admisión y mediante Auto, sin otra audiencia que la del Fiscal General del Estado, la cuestión de inconstitucionalidad “cuando fuere notoriamente infundada”.</w:t>
      </w:r>
    </w:p>
    <w:p w:rsidR="006B7292" w:rsidRDefault="006B7292" w:rsidP="006B7292">
      <w:pPr>
        <w:pStyle w:val="TextoNormal"/>
      </w:pPr>
    </w:p>
    <w:p w:rsidR="006B7292" w:rsidRDefault="006B7292" w:rsidP="006B7292">
      <w:pPr>
        <w:pStyle w:val="TextoNormal"/>
      </w:pPr>
      <w:r>
        <w:t>La STC 95/2015, de 14 de mayo, que resuelve una cuestión de inconstitucionalidad dirigida contra el mismo precepto legal y fundada en la vulneración del art. 86.1 CE afirmó que “La motivación ofrecida en la exposición de motivos de la norma, desarrollada por la Ministra en el debate parlamentario de convalidación y contenida en la memoria de impacto normativo que acompaña al proyecto, permite afirmar que el Gobierno ha justificado de manera suficiente, explícita y razonada, que son los desequilibrios financieros del sistema público de pensiones, y, en general del sistema de Seguridad Social, los que han determinado la adopción de dos medidas urgentes vinculadas entre sí: en primer lugar, ampliar las facultades de disposición sobre el fondo de reserva de la Seguridad Social; y, en segundo término, dejar sin efecto la actualización de la pensión para el año 2012, y suspender la revalorización para el año 2013, en los términos previstos en el art. 48.1.1 de la Ley general de Seguridad Social. Ambas medidas tendrían pues una naturaleza complementaria, en cuanto pretenden cumplir el objetivo político de asegurar el reequilibrio financiero del sistema, y hacer frente al cumplimiento de los objetivos de déficit”, de donde este Tribunal concluye que “la definición de la extraordinaria y urgente necesidad, que justifica la aprobación de la norma controvertida, es explícita, razonada y concreta, no se realiza mediante fórmulas rituales o genéricas, aplicables de modo intercambiable a todo tipo de realidades, sino por referencia concreta a una situación de recesión y de crisis económica y financiera, real y conocida, y a la exigencia de cumplimiento de unos compromisos internacionales de déficit igualmente notorios, que tienen por objeto atender a lo que cabe calificar como una “coyuntura económica problemática” (FJ 4). Consideró, además, que “[p]or lo que hace al requisito de la conexión de sentido entre la medida concretamente impugnada y la situación de urgencia que se pretende atender con su aprobación, este Tribunal entiende que la misma concurre en el supuesto sometido a examen … pues resulta evidente que las pensiones públicas son una de las principales partidas de gasto público y, más específicamente, el mecanismo de actualización anual mediante el abono de la denominada paga única, constituye una partida sustancial en el importe de los gastos derivados del pago de las pensiones, cuya suspensión permite subvenir a la reducción de tales gastos con el objetivo último de contribuir al reequilibrio financiero del sistema, que justifica su adopción. No debemos olvidar en este sentido, que razones similares a las aquí expuestas, determinaron en el pasado la adopción de una medida análoga a la presente (Real Decreto-ley 8/2010), y este Tribunal apreció la concurrencia de la extraordinaria y urgente necesidad así como de la necesaria conexión de sentido, considerando que “siendo el objetivo principal de la norma introducir determinadas medidas urgentes y extraordinarias para la contención y reducción del déficit público, es evidente que la reducción de las dos principales partidas del gasto público corriente de la ley de presupuestos —los salarios de los empleados públicos y las pensiones públicas— guarda la necesaria conexión de sentido con la situación de urgencia definida, tal y como ha sido exigida por la doctrina constitucional” (FJ 5).</w:t>
      </w:r>
    </w:p>
    <w:p w:rsidR="006B7292" w:rsidRDefault="006B7292" w:rsidP="006B7292">
      <w:pPr>
        <w:pStyle w:val="TextoNormal"/>
      </w:pPr>
    </w:p>
    <w:p w:rsidR="006B7292" w:rsidRDefault="006B7292" w:rsidP="006B7292">
      <w:pPr>
        <w:pStyle w:val="TextoNormal"/>
      </w:pPr>
      <w:r>
        <w:t>La STC 49/2015, que resuelve un recurso de inconstitucionalidad dirigido contra el mismo precepto legal que la presente cuestión de inconstitucionalidad y fundado en la vulneración de idénticas reglas constitucionales, ha establecido, en relación a la pretendida vulneración del art. 9.3 CE,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Esta remisión es entendida por los recurrentes como un mero apunte contable, de manera que la Ley de Presupuestos, a su juicio, deberá limitarse a aprobar el crédito presupuestario correspondiente para hacer frente al pago de la diferencia del IPC en el ejercicio económico siguiente. Sin embargo, si esta hubiera sido la intención del legislador no hubiera sido necesario hacerlo constar expresamente en la ley, pues la necesidad de aprobar la correspondiente partida de gastos en los presupuestos del Estado se deriva de la obligación de pago antes del 1 de abril del ejercicio económico siguiente… La remisión que la LGSS y la Ley de clases pasivas del Estado hacen a la Ley de presupuestos generales del Estado no es, por tanto, una mera remisión a los efectos de que esta Ley habilite la correspondiente partida del gasto presupuestario, sino que supone el reconocimiento al legislador de un margen de discrecionalidad a la hora de concretar la eventual actualización de la revalorización en función de las circunstancias económicas y sociales en cada momento existentes, todo ello con la finalidad de asegurar la suficiencia y solvencia del Sistema de Seguridad Social. Sobre la base de la doctrina constitucional anteriormente expuesta, el legislador no ha hecho sino reconocer que la actualización de la revalorización de las pensiones efectuada al principio del ejercicio pueda ser modulada por la Ley de presupuestos generales del Estado en función de las circunstancias socioeconómicas concurrentes y, por ello, habilita a la Ley de Presupuestos para que decida cuál es el alcance de la actualización. De este modo, el eventual devengo de la diferencia entre el IPC real y el IPC previsto tendría lugar el 31 de diciembre, siendo la Ley de presupuestos generales del Estado el instrumento para determinar el quantum de esa actualización … En consecuencia, dado que cuando se aprobó el Real Decreto-ley 28/2012 no existía una relación consagrada o agotada incorporada al patrimonio del pensionista, sino una mera expectativa, hemos de rechazar que la norma cuestionada haya incurrido en un supuesto de retroactividad auténtica o de grado máximo prohibido por el art. 9.3 CE” (FJ 5).</w:t>
      </w:r>
    </w:p>
    <w:p w:rsidR="006B7292" w:rsidRDefault="006B7292" w:rsidP="006B7292">
      <w:pPr>
        <w:pStyle w:val="TextoNormal"/>
      </w:pPr>
    </w:p>
    <w:p w:rsidR="006B7292" w:rsidRDefault="006B7292" w:rsidP="006B7292">
      <w:pPr>
        <w:pStyle w:val="TextoNormal"/>
      </w:pPr>
      <w:r>
        <w:t>Las dudas de constitucionalidad que se suscitan en el presente proceso, al referirse a la misma disposición legal y fundarse en idénticos preceptos constitucionales que los asuntos resueltos por las Sentencias del Tribunal Constitucional anteriormente citadas, resultan notoriamente infundadas en el significado que a esta noción le viene dando nuestra doctrina, que no implica un juicio peyorativo sobre la duda de constitucionalidad que traslada el órgano judicial, pero que procesalmente otorga a este Tribunal un cierto margen de apreciación a la hora de controlar la solidez de la fundamentación de las cuestiones de inconstitucionalidad, realizando un examen preliminar de la viabilidad de las mismas (por todas, STC 301/2014, de 16 de diciembre, FJ 2).</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Inadmitir a trámite la presente cuestión de inconstitucionalidad núm. 478-2015, planteada por la Sala de lo Social del Tribunal Superior de Cataluña.</w:t>
      </w:r>
    </w:p>
    <w:p w:rsidR="006B7292" w:rsidRDefault="006B7292" w:rsidP="006B7292">
      <w:pPr>
        <w:pStyle w:val="TextoNormal"/>
      </w:pPr>
    </w:p>
    <w:p w:rsidR="006B7292" w:rsidRDefault="006B7292" w:rsidP="006B7292">
      <w:pPr>
        <w:pStyle w:val="TextoNormal"/>
      </w:pPr>
      <w:r>
        <w:t>Madrid, a veintiuno de julio de dos mil quince.</w:t>
      </w:r>
    </w:p>
    <w:p w:rsidR="006B7292" w:rsidRDefault="006B7292" w:rsidP="006B7292">
      <w:pPr>
        <w:pStyle w:val="ParrafoNormal"/>
      </w:pPr>
    </w:p>
    <w:p w:rsidR="006B7292" w:rsidRDefault="006B7292" w:rsidP="006B7292">
      <w:pPr>
        <w:pStyle w:val="TextoNormalNegritaCentrado"/>
        <w:keepNext/>
      </w:pPr>
      <w:r>
        <w:t>Voto particular que formula el Magistrado don Juan Antonio Xiol Ríos al Auto de inadmisión dictado en la cuestión de inconstitucionalidad núm. 478-2015.</w:t>
      </w:r>
    </w:p>
    <w:p w:rsidR="006B7292" w:rsidRDefault="006B7292" w:rsidP="006B7292">
      <w:pPr>
        <w:pStyle w:val="TextoNormalNegritaCentrado"/>
        <w:keepNext/>
      </w:pPr>
    </w:p>
    <w:p w:rsidR="006B7292" w:rsidRDefault="006B7292" w:rsidP="006B7292">
      <w:pPr>
        <w:pStyle w:val="TextoNormal"/>
      </w:pPr>
      <w:r>
        <w:t>Con el máximo respeto a la opinión mayoritaria de mis compañeros de Tribunal en la que se sustenta el Auto, manifiesto mi discrepancia con la fundamentación jurídica y el fallo de este, que entiendo hubiera debido de ser de admisión y, en su día, haber dado lugar a una sentencia estimatoria por vulneración del principio de seguridad jurídica (art. 9.3 CE).</w:t>
      </w:r>
    </w:p>
    <w:p w:rsidR="006B7292" w:rsidRDefault="006B7292" w:rsidP="006B7292">
      <w:pPr>
        <w:pStyle w:val="TextoNormal"/>
      </w:pPr>
    </w:p>
    <w:p w:rsidR="006B7292" w:rsidRDefault="006B7292" w:rsidP="006B7292">
      <w:pPr>
        <w:pStyle w:val="TextoNormal"/>
      </w:pPr>
      <w:r>
        <w:t>Las razones de mi discrepancia son coincidentes con las que ya fueron expuestas en el Voto particular formulado a la STC 49/2015, de 5 de marzo, al que para evitar reiteraciones innecesarias me remito.</w:t>
      </w:r>
    </w:p>
    <w:p w:rsidR="006B7292" w:rsidRDefault="006B7292" w:rsidP="006B7292">
      <w:pPr>
        <w:pStyle w:val="TextoNormal"/>
      </w:pPr>
    </w:p>
    <w:p w:rsidR="006B7292" w:rsidRDefault="006B7292" w:rsidP="006B7292">
      <w:pPr>
        <w:pStyle w:val="TextoNormal"/>
      </w:pPr>
      <w:r>
        <w:t>Madrid, a veintiuno de julio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48" w:name="AUTO_2015_134"/>
      <w:r>
        <w:t>AUTO 134/2015, de 21 de julio de 2015</w:t>
      </w:r>
    </w:p>
    <w:bookmarkEnd w:id="148"/>
    <w:p w:rsidR="006B7292" w:rsidRDefault="006B7292" w:rsidP="006B7292">
      <w:pPr>
        <w:pStyle w:val="TtuloResolucin"/>
      </w:pPr>
      <w:r>
        <w:t>Pleno</w:t>
      </w:r>
    </w:p>
    <w:p w:rsidR="006B7292" w:rsidRDefault="006B7292" w:rsidP="006B7292">
      <w:pPr>
        <w:pStyle w:val="TextoNormalCentrado"/>
      </w:pPr>
      <w:r>
        <w:t>ECLI:ES:TC:2015:134A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Inadmite a trámite la cuestión de inconstitucionalidad 1690-2015, planteada por el Tribunal Superior de Justicia de Castilla y León en relación con el artículo 2.1 del Real Decreto-ley 28/2012, de 30 de noviembre, de medidas de consolidación y garantía del sistema de la Seguridad Social. Voto particular.</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Con fecha de 24 de marzo de 2015 tuvo entrada en el Registro General de este Tribunal escrito de la Sala de lo Social del Tribunal Superior de Justicia de Castilla y León con sede en Burgos al que se acompaña, además del testimonio del procedimiento, Auto de 13 de febrero de 2015, por el que se plantea cuestión de inconstitucionalidad en relación con el art. 2.1 del Real Decreto-ley 28/2012, de 30 de noviembre, de medidas de consolidación y garantía del sistema de la Seguridad Social, por posible vulneración de los arts. 9.3 y 33 CE.</w:t>
      </w:r>
    </w:p>
    <w:p w:rsidR="006B7292" w:rsidRDefault="006B7292" w:rsidP="006B7292">
      <w:pPr>
        <w:pStyle w:val="TextoNormal"/>
      </w:pPr>
    </w:p>
    <w:p w:rsidR="006B7292" w:rsidRDefault="006B7292" w:rsidP="006B7292">
      <w:pPr>
        <w:pStyle w:val="TextoNormal"/>
      </w:pPr>
      <w:r>
        <w:t>El artículo cuestionado dispone lo siguiente:</w:t>
      </w:r>
    </w:p>
    <w:p w:rsidR="006B7292" w:rsidRDefault="006B7292" w:rsidP="006B7292">
      <w:pPr>
        <w:pStyle w:val="TextoNormal"/>
      </w:pPr>
    </w:p>
    <w:p w:rsidR="006B7292" w:rsidRDefault="006B7292" w:rsidP="006B7292">
      <w:pPr>
        <w:pStyle w:val="TextoNormal"/>
      </w:pPr>
      <w:r>
        <w:t>“Artículo segundo. Actualización y revalorización de pensiones.</w:t>
      </w:r>
    </w:p>
    <w:p w:rsidR="006B7292" w:rsidRDefault="006B7292" w:rsidP="006B7292">
      <w:pPr>
        <w:pStyle w:val="TextoNormal"/>
      </w:pPr>
    </w:p>
    <w:p w:rsidR="006B7292" w:rsidRDefault="006B7292" w:rsidP="006B7292">
      <w:pPr>
        <w:pStyle w:val="TextoNormal"/>
      </w:pPr>
      <w:r>
        <w:t>Uno. Se deja sin efecto para el ejercicio 2012 la actualización de las pensiones en los términos previstos en el apartado 1.2 del artículo 48 del texto refundido de la Ley General de la Seguridad Social, aprobado por Real Decreto Legislativo 1/1994, de 20 de junio, y en el párrafo segundo del apartado 1 del artículo 27 del texto refundido de la Ley de Clases Pasivas del Estado, aprobado por Real Decreto legislativo 670/1987, de 30 de abril.”</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de hecho del planteamiento de la presente cuestión de inconstitucionalidad son, sucintamente expuestos, los siguientes:</w:t>
      </w:r>
    </w:p>
    <w:p w:rsidR="006B7292" w:rsidRDefault="006B7292" w:rsidP="006B7292">
      <w:pPr>
        <w:pStyle w:val="TextoNormal"/>
      </w:pPr>
    </w:p>
    <w:p w:rsidR="006B7292" w:rsidRDefault="006B7292" w:rsidP="006B7292">
      <w:pPr>
        <w:pStyle w:val="TextoNormal"/>
      </w:pPr>
      <w:r>
        <w:t>a) El Juzgado de lo Social núm. 1 de Burgos dictó Sentencia de 23 de octubre de 2014 estimando en parte la demanda interpuesta por una pensionista contra el Instituto Nacional de la Seguridad Social, reconociendo su derecho a que se considere como pensión del año 2012 “la señalada en el apartado segundo del relato histórico de la presente incrementada en un 2,9 por 100 y que la misma sirva de base para el incremento acordado en el año 2013” y a percibir las diferencias correspondientes al año 2012 que son la diferencia entre el incremento de 1 por 100 aplicado y el 2,9 por 100 debido.</w:t>
      </w:r>
    </w:p>
    <w:p w:rsidR="006B7292" w:rsidRDefault="006B7292" w:rsidP="006B7292">
      <w:pPr>
        <w:pStyle w:val="TextoNormal"/>
      </w:pPr>
    </w:p>
    <w:p w:rsidR="006B7292" w:rsidRDefault="006B7292" w:rsidP="006B7292">
      <w:pPr>
        <w:pStyle w:val="TextoNormal"/>
      </w:pPr>
      <w:r>
        <w:t>b) El Instituto Nacional de la Seguridad Social interpuso recurso de suplicación contra la mencionada Sentencia. Concluso el procedimiento y dentro del plazo para dictar Sentencia, el órgano judicial dictó providencia de 13 de enero de 2015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 por vulneración del art. 9.3 CE. El Ministerio Fiscal mostró su conformidad con el planteamiento de la cuestión. El Letrado de la Administración de la Seguridad Social sostiene que el precepto cuestionado no lesiona ni el art. 9.3 CE ni el art. 33 CE, invocando al efecto la doctrina establecida, respectivamente, en los AATC 85/2011 y 179/2011. La otra parte manifiesta su conformidad con el planteamiento de la cuestión de inconstitucionalidad.</w:t>
      </w:r>
    </w:p>
    <w:p w:rsidR="006B7292" w:rsidRDefault="006B7292" w:rsidP="006B7292">
      <w:pPr>
        <w:pStyle w:val="TextoNormal"/>
      </w:pPr>
    </w:p>
    <w:p w:rsidR="006B7292" w:rsidRDefault="006B7292" w:rsidP="006B7292">
      <w:pPr>
        <w:pStyle w:val="TextoNormal"/>
      </w:pPr>
      <w:r>
        <w:t>c) El órgano judicial dictó el Auto de 13 de febrero de 2015 planteando la cuestión de inconstitucionalidad en relación con el art. 2.1 del Real Decreto-ley 28/2012 por posible vulneración de los arts. 9.3 y 33.3 CE.</w:t>
      </w:r>
    </w:p>
    <w:p w:rsidR="006B7292" w:rsidRDefault="006B7292" w:rsidP="006B7292">
      <w:pPr>
        <w:pStyle w:val="TextoNormal"/>
      </w:pPr>
    </w:p>
    <w:p w:rsidR="006B7292" w:rsidRDefault="006B7292" w:rsidP="006B7292">
      <w:pPr>
        <w:pStyle w:val="TextoNormal"/>
      </w:pPr>
      <w:r w:rsidRPr="006B7292">
        <w:rPr>
          <w:rStyle w:val="NumeroAFNegritaCaracter"/>
        </w:rPr>
        <w:t>3</w:t>
      </w:r>
      <w:r>
        <w:t>. El Auto de planteamiento de la cuestión de inconstitucionalidad se fundamenta en las consideraciones que seguidamente se indican:</w:t>
      </w:r>
    </w:p>
    <w:p w:rsidR="006B7292" w:rsidRDefault="006B7292" w:rsidP="006B7292">
      <w:pPr>
        <w:pStyle w:val="TextoNormal"/>
      </w:pPr>
    </w:p>
    <w:p w:rsidR="006B7292" w:rsidRDefault="006B7292" w:rsidP="006B7292">
      <w:pPr>
        <w:pStyle w:val="TextoNormal"/>
      </w:pPr>
      <w:r>
        <w:t>Tras exponer los antecedentes de hecho, los fundamentos de derecho comienzan con un recordatorio de la obligación de plantear cuestión de inconstitucionalidad que recae sobre el órgano judicial así como de los límites constitucionales del decreto-ley.</w:t>
      </w:r>
    </w:p>
    <w:p w:rsidR="006B7292" w:rsidRDefault="006B7292" w:rsidP="006B7292">
      <w:pPr>
        <w:pStyle w:val="TextoNormal"/>
      </w:pPr>
    </w:p>
    <w:p w:rsidR="006B7292" w:rsidRDefault="006B7292" w:rsidP="006B7292">
      <w:pPr>
        <w:pStyle w:val="TextoNormal"/>
      </w:pPr>
      <w:r>
        <w:t>A continuación se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debe analizarse si, aun siendo de grado máximo, carece realmente de justificación habilitante, puesto que el Tribunal Constitucional admite que “la prohibición de retroactividad operaría plenamente y solo exigencias del bien común podrían imponerse excepcionalmente a tal principio” (STC 197/1992).</w:t>
      </w:r>
    </w:p>
    <w:p w:rsidR="006B7292" w:rsidRDefault="006B7292" w:rsidP="006B7292">
      <w:pPr>
        <w:pStyle w:val="TextoNormal"/>
      </w:pPr>
    </w:p>
    <w:p w:rsidR="006B7292" w:rsidRDefault="006B7292" w:rsidP="006B7292">
      <w:pPr>
        <w:pStyle w:val="TextoNormal"/>
      </w:pPr>
      <w:r>
        <w:t>El Auto señala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revalorizaciones de las pensiones, sistema que establece el art. 50 CE, para evitar que como consecuencia del incremento del coste de la vida, en unos años las pensiones reconocidas pierdan su esencia y produzca un empobrecimiento de los pensionistas.</w:t>
      </w:r>
    </w:p>
    <w:p w:rsidR="006B7292" w:rsidRDefault="006B7292" w:rsidP="006B7292">
      <w:pPr>
        <w:pStyle w:val="TextoNormal"/>
      </w:pPr>
    </w:p>
    <w:p w:rsidR="006B7292" w:rsidRDefault="006B7292" w:rsidP="006B7292">
      <w:pPr>
        <w:pStyle w:val="TextoNormal"/>
      </w:pPr>
      <w:r>
        <w:t>El desarrollo del art. 50 CE se ha realizado a través del art. 48 del texto refundido de la Ley general de la Seguridad Social,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del texto refundido de la Ley general de la Seguridad Social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w:t>
      </w:r>
    </w:p>
    <w:p w:rsidR="006B7292" w:rsidRDefault="006B7292" w:rsidP="006B7292">
      <w:pPr>
        <w:pStyle w:val="TextoNormal"/>
      </w:pPr>
    </w:p>
    <w:p w:rsidR="006B7292" w:rsidRDefault="006B7292" w:rsidP="006B7292">
      <w:pPr>
        <w:pStyle w:val="TextoNormal"/>
      </w:pPr>
      <w:r>
        <w:t>El único límite al importe de la revalorización de las pensiones contributivas se establece en el art. 49 de la Ley general de la Seguridad Social (LGSS): la revalorización de las pensiones no podrán superar el importe de la pensión máxima que se establezca para cada año en la correspondiente Ley de presupuestos generales del Estado, sumado en su caso al importe anual íntegro ya revalorizado de las otras pensiones públicas percibidas por su titular.</w:t>
      </w:r>
    </w:p>
    <w:p w:rsidR="006B7292" w:rsidRDefault="006B7292" w:rsidP="006B7292">
      <w:pPr>
        <w:pStyle w:val="TextoNormal"/>
      </w:pPr>
    </w:p>
    <w:p w:rsidR="006B7292" w:rsidRDefault="006B7292" w:rsidP="006B7292">
      <w:pPr>
        <w:pStyle w:val="TextoNormal"/>
      </w:pPr>
      <w:r>
        <w:t>Sentado lo anterior, el órgano judicial señala que el objeto de la cuestión de inconstitucionalidad es si la supresión de la paga compensatoria que dispone el art. 2.1 del Real Decreto-ley 28/2012 “vulnera un derecho causado, consolidado y devengado, conforme al art. 50 CE, afectando de forma retroactiva a derechos adquiridos y con la vulneración del art. 9.3 CE que prohíbe la retroactividad de las disposiciones procesales (</w:t>
      </w:r>
      <w:r w:rsidRPr="006B7292">
        <w:rPr>
          <w:i/>
        </w:rPr>
        <w:t>sic</w:t>
      </w:r>
      <w:r>
        <w:t>) restrictivas de los derechos individuales”.</w:t>
      </w:r>
    </w:p>
    <w:p w:rsidR="006B7292" w:rsidRDefault="006B7292" w:rsidP="006B7292">
      <w:pPr>
        <w:pStyle w:val="TextoNormal"/>
      </w:pPr>
    </w:p>
    <w:p w:rsidR="006B7292" w:rsidRDefault="006B7292" w:rsidP="006B7292">
      <w:pPr>
        <w:pStyle w:val="TextoNormal"/>
      </w:pPr>
      <w:r>
        <w:t>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006B7292" w:rsidRDefault="006B7292" w:rsidP="006B7292">
      <w:pPr>
        <w:pStyle w:val="TextoNormal"/>
      </w:pPr>
    </w:p>
    <w:p w:rsidR="006B7292" w:rsidRDefault="006B7292" w:rsidP="006B7292">
      <w:pPr>
        <w:pStyle w:val="TextoNormal"/>
      </w:pPr>
      <w:r>
        <w:t>También argumenta que “si entendemos que es un derecho adquirido, y planteamos la expropiación de dicho derecho”, ha de acudirse a la Ley de expropiación forzosa. Considera que el Tribunal Constitucional define la expropiación forzosa como “una privación singular de la propiedad privada o de derechos o intereses patrimoniales legítimos acordada imperativamente por los poderes públicos por causa justificada de utilidad pública o interés social”. De la privación singular deben diferenciarse, siempre según el Auto, las medidas legales de delimitación o regulación general del contenido del derecho. No obstante, la delimitación legal del contenido de los derechos patrimoniales no puede desconocer su contenido esencial, “pues en tal caso no cabría hablar de una regulación general del derecho, sino de una privación o supresión del mismo que, aun cuando predicada por la norma de manera generalizada, se traduciría en un despojo de situaciones jurídicas individualizadas, no tolerado por la norma constitucional, salvo que medie la indemnización correspondiente” (y menciona las STC 227/1988, FJ 11; y 112/2006).</w:t>
      </w:r>
    </w:p>
    <w:p w:rsidR="006B7292" w:rsidRDefault="006B7292" w:rsidP="006B7292">
      <w:pPr>
        <w:pStyle w:val="TextoNormal"/>
      </w:pPr>
    </w:p>
    <w:p w:rsidR="006B7292" w:rsidRDefault="006B7292" w:rsidP="006B7292">
      <w:pPr>
        <w:pStyle w:val="TextoNormal"/>
      </w:pPr>
      <w:r>
        <w:t>Por todo ello, la Sala acuerda elevar la siguiente cuestión de inconstitucionalidad: Si “[e]l artículo 2.1 del Real Decreto-ley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de la Seguridad Social para llevar a cabo la aplicación de la anualidad (noviembre 2011-noviembre 2012) y que la Ley 2/2012 de 29 de junio de Presupuestos Generales del Estado para el año 2012, ninguna previsión realiza para el mantenimiento del poder adquisitivo de las pensiones, vulnera: a) lo dispuesto en el artículo 9.3 de la Constitución española por el que se garantiza la irretroactividad de las disposiciones restrictivas de derechos fundamentales individuales; y b) el artículo 33 de la Constitución española, de entender que por parte del aludido art. 2.1 del RDL 28/2012 serían objeto de expropiación los derechos de los perceptores de pensiones de seguridad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006B7292" w:rsidRDefault="006B7292" w:rsidP="006B7292">
      <w:pPr>
        <w:pStyle w:val="TextoNormal"/>
      </w:pPr>
    </w:p>
    <w:p w:rsidR="006B7292" w:rsidRDefault="006B7292" w:rsidP="006B7292">
      <w:pPr>
        <w:pStyle w:val="TextoNormal"/>
      </w:pPr>
      <w:r w:rsidRPr="006B7292">
        <w:rPr>
          <w:rStyle w:val="NumeroAFNegritaCaracter"/>
        </w:rPr>
        <w:t>4</w:t>
      </w:r>
      <w:r>
        <w:t>. Mediante providencia de 9 de junio de 2015, la Sección Segunda de este Tribunal acordó, a los efectos que determina el art. 37.1 de la Ley Orgánica del Tribunal Constitucional, oír al Fiscal General del Estado para que, en el plazo de diez días, alegase lo que considerara conveniente acerca de la admisibilidad de la presente cuestión de inconstitucionalidad por si hubiese devenido notoriamente infundada (SSTC 49/2015, de 5 de marzo; 95/2015, de 14 de mayo, y 109/2015, de 28 de mayo).</w:t>
      </w:r>
    </w:p>
    <w:p w:rsidR="006B7292" w:rsidRDefault="006B7292" w:rsidP="006B7292">
      <w:pPr>
        <w:pStyle w:val="TextoNormal"/>
      </w:pPr>
    </w:p>
    <w:p w:rsidR="006B7292" w:rsidRDefault="006B7292" w:rsidP="006B7292">
      <w:pPr>
        <w:pStyle w:val="TextoNormal"/>
      </w:pPr>
      <w:r w:rsidRPr="006B7292">
        <w:rPr>
          <w:rStyle w:val="NumeroAFNegritaCaracter"/>
        </w:rPr>
        <w:t>5</w:t>
      </w:r>
      <w:r>
        <w:t>. El Fiscal General del Estado evacuó el trámite conferido mediante escrito registrado en este Tribunal el 10 de julio de 2015. Considera que la cuestión de inconstitucionalidad es inadmisible por ser notoriamente infundada. Después de relacionar las circunstancias del caso, alude a la STC 49/2015 y añade que de sus fundamentos se desprende la plena identidad con la presente cuestión, ya que las alegaciones de los parlamentarios recurrentes apelaban a la posible violación de los arts. 9.3 y 33, además de otros preceptos, por lo que la posible duda de inconstitucionalidad ha quedado disipada por la referida STC 49/2015 y otras posteriores que han resuelto cuestiones de inconstitucionalidad, como las SSTC 95/2015, de 14 de mayo, y 109/2015, de 28 de mayo.</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Único. Esta cuestión de inconstitucionalidad se plantea en relación al art. 2.1 del Real Decreto-ley 28/2012, de 30 de noviembre, de medidas de consolidación y garantía del sistema de la Seguridad Social, por posible vulneración de los arts. 9.3 y 33.3 CE. El órgano judicial arguye que la supresión de la paga compensatoria que dispone la norma cuestionada vulnera un derecho causado, consolidado y devengado, afectando con ello de forma retroactiva a derechos adquiridos. El Fiscal General del Estado, por el contrario, sostiene que la posible duda de constitucionalidad queda disipada por la doctrina fijada en la STC 49/2015, de 5 de marzo.</w:t>
      </w:r>
    </w:p>
    <w:p w:rsidR="006B7292" w:rsidRDefault="006B7292" w:rsidP="006B7292">
      <w:pPr>
        <w:pStyle w:val="TextoNormal"/>
      </w:pPr>
    </w:p>
    <w:p w:rsidR="006B7292" w:rsidRDefault="006B7292" w:rsidP="006B7292">
      <w:pPr>
        <w:pStyle w:val="TextoNormal"/>
      </w:pPr>
      <w:r>
        <w:t>De acuerdo con el art. 37.1 de la Ley Orgánica del Tribunal Constitucional, este Tribunal puede rechazar en trámite de admisión y mediante Auto, sin otra audiencia que la del Fiscal General del Estado, la cuestión de inconstitucionalidad “cuando … fuere notoriamente infundada”.</w:t>
      </w:r>
    </w:p>
    <w:p w:rsidR="006B7292" w:rsidRDefault="006B7292" w:rsidP="006B7292">
      <w:pPr>
        <w:pStyle w:val="TextoNormal"/>
      </w:pPr>
    </w:p>
    <w:p w:rsidR="006B7292" w:rsidRDefault="006B7292" w:rsidP="006B7292">
      <w:pPr>
        <w:pStyle w:val="TextoNormal"/>
      </w:pPr>
      <w:r>
        <w:t>La STC 49/2015, que resuelve un recurso de inconstitucionalidad dirigido contra el mismo precepto legal que la presente cuestión de inconstitucionalidad y fundado en la vulneración de idénticas reglas constitucionales, ha establecido, en relación a la pretendida vulneración del art. 9.3 CE,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Esta remisión es entendida por los recurrentes como un mero apunte contable, de manera que la Ley de presupuestos, a su juicio, deberá limitarse a aprobar el crédito presupuestario correspondiente para hacer frente al pago de la diferencia del IPC en el ejercicio económico siguiente. Sin embargo, si esta hubiera sido la intención del legislador no hubiera sido necesario hacerlo constar expresamente en la ley, pues la necesidad de aprobar la correspondiente partida de gastos en los presupuestos del Estado se deriva de la obligación de pago antes del 1 de abril del ejercicio económico siguiente… La remisión que la LGSS y la Ley de clases pasivas del Estado hacen a la Ley de presupuestos generales del Estado no es, por tanto, una mera remisión a los efectos de que esta Ley habilite la correspondiente partida del gasto presupuestario, sino que supone el reconocimiento al legislador de un margen de discrecionalidad a la hora de concretar la eventual actualización de la revalorización en función de las circunstancias económicas y sociales en cada momento existentes, todo ello con la finalidad de asegurar la suficiencia y solvencia del Sistema de Seguridad Social. Sobre la base de la doctrina constitucional anteriormente expuesta, el legislador no ha hecho sino reconocer que la actualización de la revalorización de las pensiones efectuada al principio del ejercicio pueda ser modulada por la Ley de presupuestos generales del Estado en función de las circunstancias socioeconómicas concurrentes y, por ello, habilita a la Ley de Presupuestos para que decida cuál es el alcance de la actualización. De este modo, el eventual devengo de la diferencia entre el IPC real y el IPC previsto tendría lugar el 31 de diciembre, siendo la Ley de presupuestos generales del Estado el instrumento para determinar el quantum de esa actualización … En consecuencia, dado que cuando se aprobó el Real Decreto-ley 28/2012 no existía una relación consagrada o agotada incorporada al patrimonio del pensionista, sino una mera expectativa, hemos de rechazar que la norma cuestionada haya incurrido en un supuesto de retroactividad auténtica o de grado máximo prohibido por el art. 9.3 CE” (FJ 5).</w:t>
      </w:r>
    </w:p>
    <w:p w:rsidR="006B7292" w:rsidRDefault="006B7292" w:rsidP="006B7292">
      <w:pPr>
        <w:pStyle w:val="TextoNormal"/>
      </w:pPr>
    </w:p>
    <w:p w:rsidR="006B7292" w:rsidRDefault="006B7292" w:rsidP="006B7292">
      <w:pPr>
        <w:pStyle w:val="TextoNormal"/>
      </w:pPr>
      <w:r>
        <w:t>Dicha STC 49/2015, en lo que hace a la alegada vulneración del art. 33.3 CE, resolvió que, de acuerdo con la legislación vigente (art. 48.1.2 de la Ley general de la Seguridad Social: LGSS), falta en el art. 2.1 del Real Decreto-ley 28/2012 un elemento indispensable para que pueda calificarse la no actualización de las pensiones de medida expropiatoria, cual es, dicho en los términos de la STC 108/1996, de 29 de julio, FJ 20, que “sólo son expropiables y, por tanto, indemnizables la privación de bienes y derechos o incluso intereses patrimoniales legítimos aun no garantizados como derechos subjetivos (por ejemplo, las situaciones en precario); pero en ningún caso lo son las expectativas”.</w:t>
      </w:r>
    </w:p>
    <w:p w:rsidR="006B7292" w:rsidRDefault="006B7292" w:rsidP="006B7292">
      <w:pPr>
        <w:pStyle w:val="TextoNormal"/>
      </w:pPr>
    </w:p>
    <w:p w:rsidR="006B7292" w:rsidRDefault="006B7292" w:rsidP="006B7292">
      <w:pPr>
        <w:pStyle w:val="TextoNormal"/>
      </w:pPr>
      <w:r>
        <w:t>Esta doctrina constitucional ha sido reiterada, entre otras, en las SSTC 95/2015, de 14 de mayo, FJ 6, y 109/2015, de 28 de mayo, FJ 2, al decidir sendas cuestiones de inconstitucionalidad que planteaban un debate procesal análogo al que abordaba la STC 49/2015.</w:t>
      </w:r>
    </w:p>
    <w:p w:rsidR="006B7292" w:rsidRDefault="006B7292" w:rsidP="006B7292">
      <w:pPr>
        <w:pStyle w:val="TextoNormal"/>
      </w:pPr>
    </w:p>
    <w:p w:rsidR="006B7292" w:rsidRDefault="006B7292" w:rsidP="006B7292">
      <w:pPr>
        <w:pStyle w:val="TextoNormal"/>
      </w:pPr>
      <w:r>
        <w:t>La duda de constitucionalidad que se suscita en el presente proceso, al referirse a la misma disposición legal y fundarse en idénticos preceptos constitucionales que los asuntos resueltos del modo indicado por las SSTC 49/2015, 95/2015 y 109/2015, resulta notoriamente infundada, en el significado que a esta noción le viene dando nuestra doctrina, que no implica un juicio peyorativo sobre la duda de constitucionalidad que traslada el órgano judicial, pero que procesalmente otorga a este Tribunal un cierto margen de apreciación a la hora de controlar la solidez de la fundamentación de las cuestiones de inconstitucionalidad, realizando un examen preliminar de la viabilidad de las mismas (por todas, STC 301/2014, de 16 de diciembre, FJ 2).</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Inadmitir a trámite la presente cuestión de inconstitucionalidad núm. 1690-2015, planteada por la Sala de lo Social del Tribunal Superior de Justicia de Castilla y León.</w:t>
      </w:r>
    </w:p>
    <w:p w:rsidR="006B7292" w:rsidRDefault="006B7292" w:rsidP="006B7292">
      <w:pPr>
        <w:pStyle w:val="TextoNormal"/>
      </w:pPr>
    </w:p>
    <w:p w:rsidR="006B7292" w:rsidRDefault="006B7292" w:rsidP="006B7292">
      <w:pPr>
        <w:pStyle w:val="TextoNormal"/>
      </w:pPr>
      <w:r>
        <w:t>Madrid, a veintiuno de julio de dos mil quince.</w:t>
      </w:r>
    </w:p>
    <w:p w:rsidR="006B7292" w:rsidRDefault="006B7292" w:rsidP="006B7292">
      <w:pPr>
        <w:pStyle w:val="ParrafoNormal"/>
      </w:pPr>
    </w:p>
    <w:p w:rsidR="006B7292" w:rsidRDefault="006B7292" w:rsidP="006B7292">
      <w:pPr>
        <w:pStyle w:val="TextoNormalNegritaCentrado"/>
        <w:keepNext/>
      </w:pPr>
      <w:r>
        <w:t>Voto particular que formula el Magistrado don Juan Antonio Xiol Ríos al Auto de inadmisión dictado en la cuestión de inconstitucionalidad núm. 1690-2015.</w:t>
      </w:r>
    </w:p>
    <w:p w:rsidR="006B7292" w:rsidRDefault="006B7292" w:rsidP="006B7292">
      <w:pPr>
        <w:pStyle w:val="TextoNormalNegritaCentrado"/>
        <w:keepNext/>
      </w:pPr>
    </w:p>
    <w:p w:rsidR="006B7292" w:rsidRDefault="006B7292" w:rsidP="006B7292">
      <w:pPr>
        <w:pStyle w:val="TextoNormal"/>
      </w:pPr>
      <w:r>
        <w:t>Con el máximo respeto a la opinión mayoritaria de mis compañeros de Tribunal en la que se sustenta el Auto, manifiesto mi discrepancia con la fundamentación jurídica y el fallo de este, que entiendo hubiera debido de ser de admisión y, en su día, haber dado lugar a una sentencia estimatoria por vulneración del principio de seguridad jurídica (art. 9.3 CE).</w:t>
      </w:r>
    </w:p>
    <w:p w:rsidR="006B7292" w:rsidRDefault="006B7292" w:rsidP="006B7292">
      <w:pPr>
        <w:pStyle w:val="TextoNormal"/>
      </w:pPr>
    </w:p>
    <w:p w:rsidR="006B7292" w:rsidRDefault="006B7292" w:rsidP="006B7292">
      <w:pPr>
        <w:pStyle w:val="TextoNormal"/>
      </w:pPr>
      <w:r>
        <w:t>Las razones de mi discrepancia son coincidentes con las que ya fueron expuestas en el Voto particular formulado a la STC 49/2015, de 5 de marzo, al que para evitar reiteraciones innecesarias me remito.</w:t>
      </w:r>
    </w:p>
    <w:p w:rsidR="006B7292" w:rsidRDefault="006B7292" w:rsidP="006B7292">
      <w:pPr>
        <w:pStyle w:val="TextoNormal"/>
      </w:pPr>
    </w:p>
    <w:p w:rsidR="006B7292" w:rsidRDefault="006B7292" w:rsidP="006B7292">
      <w:pPr>
        <w:pStyle w:val="TextoNormal"/>
      </w:pPr>
      <w:r>
        <w:t>Madrid, a veintiuno de julio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49" w:name="AUTO_2015_135"/>
      <w:r>
        <w:t>AUTO 135/2015, de 21 de julio de 2015</w:t>
      </w:r>
    </w:p>
    <w:bookmarkEnd w:id="149"/>
    <w:p w:rsidR="006B7292" w:rsidRDefault="006B7292" w:rsidP="006B7292">
      <w:pPr>
        <w:pStyle w:val="TtuloResolucin"/>
      </w:pPr>
      <w:r>
        <w:t>Pleno</w:t>
      </w:r>
    </w:p>
    <w:p w:rsidR="006B7292" w:rsidRDefault="006B7292" w:rsidP="006B7292">
      <w:pPr>
        <w:pStyle w:val="TextoNormalCentrado"/>
      </w:pPr>
      <w:r>
        <w:t>ECLI:ES:TC:2015:135A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Mantiene la suspensión acordada en el recurso de inconstitucionalidad 1824-2015, interpuesto por el Presidente del Gobierno en relación con diversos apartados del artículo 1 y disposiciones adicionales segunda y cuarta de la Ley 2/2014, de 20 de junio, de modificación de la Ley 2/2003, de 30 de enero, de vivienda en Canarias y de medidas para garantizar el derecho a la vivienda. Voto particular.</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27 de marzo de 2015 tuvo entrada en el Registro General del Tribunal Constitucional, un escrito del Abogado del Estado, actuando en la representación que legalmente ostenta, interponiendo recurso de inconstitucionalidad contra los siguientes apartados del art. 1 de la Ley 2/2014, de 20 de junio, de modificación de la Ley 2/2003, de 30 de enero, de vivienda de Canarias y de medidas para garantizar el derecho a la vivienda: 1 (por cuanto modifica el art. 1.2 de la Ley 2/2003); 4 [por cuanto modifica el art. 4 g)] de la Ley 2/2003); 6 [por cuanto modifica el art. 8.l), m) y n) de la Ley 2/2003]; 7 (por cuanto añade un nuevo art. 18.8 en la Ley 2/2003); 23 (por cuanto añade un nuevo art. 77 bis en la Ley 2/2003); 24 [por cuanto modifica el art. 78 f) de la Ley 2/2003], 26 (por cuanto modifica el título VIII de la Ley 2/2003, arts. 80 a 98) y 27 [por cuanto añade los nuevos arts. 106 i) y 99 e) en la Ley 2/2003], así como contra las disposiciones adicionales segunda y cuarta de la mencionada Ley 2/2014, de 20 de junio. Hace invocación expresa del art. 161.2 CE.</w:t>
      </w:r>
    </w:p>
    <w:p w:rsidR="006B7292" w:rsidRDefault="006B7292" w:rsidP="006B7292">
      <w:pPr>
        <w:pStyle w:val="TextoNormal"/>
      </w:pPr>
    </w:p>
    <w:p w:rsidR="006B7292" w:rsidRDefault="006B7292" w:rsidP="006B7292">
      <w:pPr>
        <w:pStyle w:val="TextoNormal"/>
      </w:pPr>
      <w:r>
        <w:t>Sucintamente expuestas, las alegaciones en las que se basa la demanda son las siguientes.</w:t>
      </w:r>
    </w:p>
    <w:p w:rsidR="006B7292" w:rsidRDefault="006B7292" w:rsidP="006B7292">
      <w:pPr>
        <w:pStyle w:val="TextoNormal"/>
      </w:pPr>
    </w:p>
    <w:p w:rsidR="006B7292" w:rsidRDefault="006B7292" w:rsidP="006B7292">
      <w:pPr>
        <w:pStyle w:val="TextoNormal"/>
      </w:pPr>
      <w:r>
        <w:t xml:space="preserve">Argumenta el Abogado del Estado, en primer lugar, que se afecta a la regulación del derecho de propiedad, concretamente, a su función social, en cuanto que la disposición impugnada contempla el deber de uso habitacional efectivo y establece consecuencias sancionadoras y expropiatorias para los propietarios de las viviendas libres no destinadas efectivamente al uso habitacional. Esta competencia, sin embargo, corresponde al Estado </w:t>
      </w:r>
      <w:r w:rsidRPr="006B7292">
        <w:rPr>
          <w:i/>
        </w:rPr>
        <w:t>ex</w:t>
      </w:r>
      <w:r>
        <w:t xml:space="preserve"> arts. 149.1.1 y 8 CE, ambos en relación con el art. 33 de la norma fundamental. Invoca, en segundo lugar, la vulneración de los arts. 25.1 y 9.3 CE, al establecer un régimen sancionador de carácter objetivo, sin tener en cuenta el principio de culpabilidad ni las razones que pueden justificar la desocupación de la vivienda. Considera, en tercer lugar, que el régimen sancionador, así como la </w:t>
      </w:r>
      <w:r w:rsidRPr="006B7292">
        <w:rPr>
          <w:i/>
        </w:rPr>
        <w:t>causa expropiandi</w:t>
      </w:r>
      <w:r>
        <w:t xml:space="preserve"> que la norma impugnada contempla, para cuando no se destinan las viviendas al uso habitacional vulneran el art. 14 CE, en cuanto que sólo están previstos para el supuesto en que la propiedad corresponde a una entidad de crédito. Alega, además, la infracción del principio de proporcionalidad al existir actuaciones alternativas más proporcionadas para hacer frente a la situación de necesidad a la que se refiere el preámbulo de la norma impugnada, sin que se trate de medidas indispensables ni necesarias, y sin que se cumpla el test de proporcionalidad en sentido estricto. Hace, finalmente, alusión a la vulneración de las competencias que atribuyen al Estado los apartados 11 y 13 del art. 149.1 CE, por cuanto las disposiciones impugnadas interfieren y afectan negativamente a la política económica y al sistema bancario y crediticio y ponen en peligro diversos bienes jurídicos, lo que se predica de toda la norma impugnada y, en especial, de la disposición adicional cuarta, y se apoya en los informes del Banco de España y de la Sociedad de gestión de activos procedentes de la reestructuración bancaria (SAREB) que se adjuntan con la demanda. Suplica, en consecuencia, la declaración de inconstitucionalidad de los preceptos mencionados.</w:t>
      </w:r>
    </w:p>
    <w:p w:rsidR="006B7292" w:rsidRDefault="006B7292" w:rsidP="006B7292">
      <w:pPr>
        <w:pStyle w:val="TextoNormal"/>
      </w:pPr>
    </w:p>
    <w:p w:rsidR="006B7292" w:rsidRDefault="006B7292" w:rsidP="006B7292">
      <w:pPr>
        <w:pStyle w:val="TextoNormal"/>
      </w:pPr>
      <w:r w:rsidRPr="006B7292">
        <w:rPr>
          <w:rStyle w:val="NumeroAFNegritaCaracter"/>
        </w:rPr>
        <w:t>2</w:t>
      </w:r>
      <w:r>
        <w:t>. Mediante providencia de 14 de abril de 2015, el Pleno del Tribunal Constitucional acordó admitir a trámite el recurso de inconstitucionalidad promovido por el Presidente del Gobierno, contra los apartados del artículo 1 citados en el encabezamiento y las disposiciones adicionales segunda y cuarta de la Ley 2/2014, de 20 de junio, de modificación de la Ley 2/2003, de 30 de enero, de vivienda de Canarias y de medidas para garantizar el derecho a la vivienda; dar traslado de la demanda y documentos para personación y alegaciones al Congreso de los Diputados, al Senado, y al Gobierno y Parlamento de Canarias; tener por invocado el art. 161.2 CE que produce la suspensión y publicar la incoación del recurso en el “Boletín Oficial del Estado” y en el “Boletín Oficial de Canarias”.</w:t>
      </w:r>
    </w:p>
    <w:p w:rsidR="006B7292" w:rsidRDefault="006B7292" w:rsidP="006B7292">
      <w:pPr>
        <w:pStyle w:val="TextoNormal"/>
      </w:pPr>
    </w:p>
    <w:p w:rsidR="006B7292" w:rsidRDefault="006B7292" w:rsidP="006B7292">
      <w:pPr>
        <w:pStyle w:val="TextoNormal"/>
      </w:pPr>
      <w:r w:rsidRPr="006B7292">
        <w:rPr>
          <w:rStyle w:val="NumeroAFNegritaCaracter"/>
        </w:rPr>
        <w:t>3</w:t>
      </w:r>
      <w:r>
        <w:t>. Por sendos escritos registrados en el Tribunal Constitucional el 22 y 23 de abril de 2015, los Presidentes del Senado y Congreso comunicaron los acuerdos de las Mesas de sus respectivas Cámaras de personarse en el procedimiento ofreciendo su colaboración.</w:t>
      </w:r>
    </w:p>
    <w:p w:rsidR="006B7292" w:rsidRDefault="006B7292" w:rsidP="006B7292">
      <w:pPr>
        <w:pStyle w:val="TextoNormal"/>
      </w:pPr>
    </w:p>
    <w:p w:rsidR="006B7292" w:rsidRDefault="006B7292" w:rsidP="006B7292">
      <w:pPr>
        <w:pStyle w:val="TextoNormal"/>
      </w:pPr>
      <w:r w:rsidRPr="006B7292">
        <w:rPr>
          <w:rStyle w:val="NumeroAFNegritaCaracter"/>
        </w:rPr>
        <w:t>4</w:t>
      </w:r>
      <w:r>
        <w:t>. La Directora General del Servicio jurídico del Gobierno de Canarias, actuando en la representación que legalmente ostenta, se personó en este proceso constitucional el 27 de abril de 2015, solicitando una prórroga del plazo concedido para formular alegaciones, prórroga que fue acordada por el Pleno del Tribunal Constitucional mediante providencia de 28 de abril del mismo año.</w:t>
      </w:r>
    </w:p>
    <w:p w:rsidR="006B7292" w:rsidRDefault="006B7292" w:rsidP="006B7292">
      <w:pPr>
        <w:pStyle w:val="TextoNormal"/>
      </w:pPr>
    </w:p>
    <w:p w:rsidR="006B7292" w:rsidRDefault="006B7292" w:rsidP="006B7292">
      <w:pPr>
        <w:pStyle w:val="TextoNormal"/>
      </w:pPr>
      <w:r w:rsidRPr="006B7292">
        <w:rPr>
          <w:rStyle w:val="NumeroAFNegritaCaracter"/>
        </w:rPr>
        <w:t>5</w:t>
      </w:r>
      <w:r>
        <w:t>. El Letrado del Parlamento de Canarias presentó sus alegaciones en el Tribunal Constitucional el 6 de mayo de 2015. En el escrito formulado al efecto concluye suplicando la declaración de constitucionalidad de los preceptos impugnados. En otrosí pide el levantamiento anticipado de la suspensión de la vigencia de los mencionados preceptos. Sucintamente expuestos, sus argumentos son los siguientes. La Ley autonómica pretende dar satisfacción al mandato del art. 47 CE dada la situación de crisis y las dificultades económicas relacionadas con la mala situación que atraviesan las familias y las dificultades de acceso a la financiación para su compra. Este precepto no consagra un derecho fundamental, pero ello no lo convierte en una previsión programática, ya que impone a los poderes públicos una obligación de actuar para el logro de dicha finalidad. Es más, este precepto puede actuar como límite a otros derechos fundamentales, y constituye el soporte material de otros derechos constitucionales. El fundamento competencial de la Ley parcialmente impugnada se encuentra en el art. 30.15 del Estatuto de Autonomía de Canarias que le atribuye competencias en materia de urbanismo y vivienda. El ejercicio de esta competencia se complementa con las ejercidas por el Estado. El deber de ocupar la vivienda se acomoda a lo previsto en la Ley 8/2013, de 26 de junio, de rehabilitación, regeneración y renovación urbanas (art. 3), encaja en las necesidades expuestas en el preámbulo de la Ley 4/2013, de 4 de junio, de flexibilización y fomento de alquiler de viviendas, y responde a las medidas adoptadas en países de nuestro entorno.</w:t>
      </w:r>
    </w:p>
    <w:p w:rsidR="006B7292" w:rsidRDefault="006B7292" w:rsidP="006B7292">
      <w:pPr>
        <w:pStyle w:val="TextoNormal"/>
      </w:pPr>
    </w:p>
    <w:p w:rsidR="006B7292" w:rsidRDefault="006B7292" w:rsidP="006B7292">
      <w:pPr>
        <w:pStyle w:val="TextoNormal"/>
      </w:pPr>
      <w:r>
        <w:t xml:space="preserve">La Ley integra el destino habitacional en los deberes inherentes al derecho de propiedad de la vivienda cuyo incumplimiento conlleva consecuencias sancionadoras y expropiatorias, previsión que encaja de lleno en la competencia autonómica a raíz de lo afirmado en la STC 37/1987, de 26 de marzo, sobre la Ley de reforma agraria de Andalucía, y la STC 186/1993, de 7 de junio, dictada en relación con la Ley de la dehesa de Extremadura, que no tiene otro límite que el respeto al contenido esencial de la propiedad, límite que no se ignora en este caso pues no somete a la propiedad a limitaciones exorbitantes que la desnaturalicen. Tampoco vulnera las condiciones básicas establecidas por el Estado </w:t>
      </w:r>
      <w:r w:rsidRPr="006B7292">
        <w:rPr>
          <w:i/>
        </w:rPr>
        <w:t>ex</w:t>
      </w:r>
      <w:r>
        <w:t xml:space="preserve"> art. 149.1.1 CE, competencia ésta que no supone la delimitación del contenido esencial del derecho de propiedad, sino la determinación de sus condiciones básicas, sin que sea posible un diseño acabado del mismo [STC 61/1997, de 20 de marzo, FJ 7 a)]. No incide tampoco en la competencia que asiste al Estado </w:t>
      </w:r>
      <w:r w:rsidRPr="006B7292">
        <w:rPr>
          <w:i/>
        </w:rPr>
        <w:t>ex</w:t>
      </w:r>
      <w:r>
        <w:t xml:space="preserve"> art. 149.1.8 CE, pues la delimitación del derecho de propiedad no se produce necesariamente por la legislación civil sino que corresponde al legislador sectorial, estatal o autonómico.</w:t>
      </w:r>
    </w:p>
    <w:p w:rsidR="006B7292" w:rsidRDefault="006B7292" w:rsidP="006B7292">
      <w:pPr>
        <w:pStyle w:val="TextoNormal"/>
      </w:pPr>
    </w:p>
    <w:p w:rsidR="006B7292" w:rsidRDefault="006B7292" w:rsidP="006B7292">
      <w:pPr>
        <w:pStyle w:val="TextoNormal"/>
      </w:pPr>
      <w:r>
        <w:t>Rechaza también que la ley vulnere los arts. 25 y 9.3 CE en relación con el régimen sancionador, no sólo porque el fundamentar la declaración de vivienda deshabitada en indicios no es contrario al principio de presunción de inocencia, pues la convicción judicial de un proceso puede formarse sobre este tipo de prueba siempre que los indicios estén plenamente probados y no se trate de meras sospechas, y se explicite el razonamiento según el cual se llega a la conclusión que se ha producido la conducta infractora. Tampoco existe una responsabilidad objetiva en cuanto que la resolución que declara la vivienda deshabitada se dicta tras un procedimiento contradictorio en el que pueden proponerse pruebas y la propia ley se refiere a la negativa a colaborar con la Consejería cuando no se desprenda la existencia de una causa que pueda justificar que la vivienda está deshabitada.</w:t>
      </w:r>
    </w:p>
    <w:p w:rsidR="006B7292" w:rsidRDefault="006B7292" w:rsidP="006B7292">
      <w:pPr>
        <w:pStyle w:val="TextoNormal"/>
      </w:pPr>
    </w:p>
    <w:p w:rsidR="006B7292" w:rsidRDefault="006B7292" w:rsidP="006B7292">
      <w:pPr>
        <w:pStyle w:val="TextoNormal"/>
      </w:pPr>
      <w:r>
        <w:t>Tampoco se infringe la prohibición de arbitrariedad del art. 9.3 CE porque los preceptos impugnados persiguen asegurar el derecho a una vivienda digna y se orientan desde parámetros de proporcionalidad, incluyendo la previsión de medidas sancionadoras aplicables a las personas jurídicas que no den a las viviendas el uso habitacional que integra la función social de este derecho. Lo mismo señala en relación con el art. 14 CE que no se ve vulnerado al no existir identidad entre los supuestos fácticos a contemplar. El fin de la vivienda en el caso de las personas jurídicas no es satisfacer el derecho a la vivienda digna, sino que responde a un interés especulativo o al mantenimiento del valor contable de la inversión. El trato diferenciado responde al distinto alcance del potencial económico y social de las personas jurídicas entidades de crédito frente a las personas físicas, lo que justifica que las medidas dirigidas a las personas físicas sean de fomento, mientras que las diseñadas para las personas jurídicas sea de otro tipo. Se respeta así mismo el principio de proporcionalidad. Los preceptos impugnados son respetuosos con el contenido esencial del derecho de propiedad, son medidas idóneas para responder a la finalidad legítima pretendida cual es la de hacer efectivo el art. 47 CE, haciendo frente a un parque de viviendas vacías y situaciones potenciales de exclusión social; son necesarias habida cuenta de la insuficiencia que han demostrado las adoptadas por el Estado y son proporcionales en sentido estricto por cuanto debe prevalece la defensa del interés general derivado de la efectividad del derecho a la vivienda frente a los demás bienes jurídicos que pueden verse afectados. Finalmente, en lo que atañe a la vulneración de las competencias estatales del art. 149.1.11 y 13 CE por la regulación de la causa expropiatoria considera que las alegaciones del Estado son voluntaristas, pues los daños o incidencia en el sistema no han sido cuantificados en los informes que aporta junto con la demanda, reiterando, además, los argumentos vertidos en los votos particulares formulados al ATC 69/2014, a los que hay que añadir que el parque de viviendas que podrían estar afectadas en Canarias no supera el 2,94 por 100 del total, sin que se pueda determinar cuántas de ellas pertenecen a personas físicas o jurídicas.</w:t>
      </w:r>
    </w:p>
    <w:p w:rsidR="006B7292" w:rsidRDefault="006B7292" w:rsidP="006B7292">
      <w:pPr>
        <w:pStyle w:val="TextoNormal"/>
      </w:pPr>
    </w:p>
    <w:p w:rsidR="006B7292" w:rsidRDefault="006B7292" w:rsidP="006B7292">
      <w:pPr>
        <w:pStyle w:val="TextoNormal"/>
      </w:pPr>
      <w:r w:rsidRPr="006B7292">
        <w:rPr>
          <w:rStyle w:val="NumeroAFNegritaCaracter"/>
        </w:rPr>
        <w:t>6</w:t>
      </w:r>
      <w:r>
        <w:t xml:space="preserve">. El 22 de mayo de 2015 presentó sus alegaciones la Directora General del Servicio jurídico del Gobierno de Canarias, actuando en representación de este último. Tras destacar la relación existente entre esta Ley y el mandato contenido en el art. 47 CE, pasa a contestar las alegaciones de la demanda. La regulación del contenido del derecho de propiedad privada de la vivienda que establece la Ley impugnada no queda desnaturalizado con la Ley impugnada, permanecen intactas las facultades dominicales y se procede a la expropiación del uso con las garantías establecidas en el art. 33.3 CE. De acuerdo con la doctrina constitucional, el art. 33 CE no habilita para una regulación uniforme de la propiedad privada y su función social. Al Estado corresponde establecer el contenido básico y primario del derecho de propiedad en cuanto afecte a sus condiciones básicas, pero no la regulación de cualesquiera condiciones que afecten al derecho. La Comunidad Autónoma de Canarias ostenta competencia en materia de vivienda, por lo que puede regular normas atinentes a la propiedad de la vivienda con el respeto a lo establecido en el art. 149.1.1 y 8 CE. La Comunidad Autónoma no ha vulnerado el principio de igualdad por contar con un régimen legal distinto de la propiedad de la vivienda respecto al establecido en otras partes del territorio nacional pues, conforme a la STC 186/1993, que recuerda a su vez la STC 37/1987, la igualdad requiere la de las posiciones jurídicas fundamentales, pero no una absoluta identidad de las mismas, así como la STC 37/1987 estableció el alcance del título del art. 149.1.8 CE que no comprendía la función de delimitación del contenido de cada propiedad. Tampoco se vulnera el art. 25 CE. La Ley establece un procedimiento para la declaración de vivienda desocupada y tipifica como infracción el incumplimiento del deber legal de las personas jurídicas de destinarlas a un uso habitacional efectivo tras un procedimiento contradictorio en el que se justifique el motivo por el que se mantiene desocupada, bastando para eludir la infracción, que se acredite que la vivienda se ha puesto a disposición del mercado inmobiliario para que pueda estar arrendada y que no está ocupada por causas ajenas a su voluntad, sin que se exija que se arriende a cualquier precio o se ceda su uso gratuitamente. Aunque el deber de destinar la vivienda al uso habitacional efectivo se impone a todos los propietarios, la Ley otorga un tratamiento distinto a las personas jurídicas que no aparece proscrito por el art. 14 CE, basta con que no se funde en alguna de las interdicciones previstas en este precepto, responda a objetivos constitucionalmente válidos, que la distinción se articule en términos adecuados a esa finalidad y que sus consecuencias jurídicas sean proporcionadas a este fin. Sólo se impone una sanción a los titulares por el incumplimiento del destino habitacional efectivo de las viviendas a las personas jurídicas a las que se les supone un potencial social y económico diferente al de las personas físicas, estándose pues ante un tratamiento desigual de los desiguales. Corresponde a la Comunidad Autónoma la competencia exclusiva en materia de vivienda por lo que a ella corresponde fijar la </w:t>
      </w:r>
      <w:r w:rsidRPr="006B7292">
        <w:rPr>
          <w:i/>
        </w:rPr>
        <w:t>causa expropiandi</w:t>
      </w:r>
      <w:r>
        <w:t xml:space="preserve"> así como los fines de interés público que se pretenden satisfacer en función de la política de vivienda elegida, habiéndose respetado las garantías procedimentales y patrimoniales previstas por la legislación estatal. El Consejo de Estado no opuso reparo alguno a la regulación de la expropiación del derecho de uso contemplado en el Decreto-ley andaluz, lo cual es trasladable a este supuesto tanto más cuanto la disposición adicional cuarta especifica que los deudores hipotecarios a quienes no resulte de aplicación las medidas contenidas en la legislación estatal de protección de los deudores hipotecarios, podrán acogerse a ella, con lo que se descarta que el legislador canario haya pretendido, siquiera por vía indirecta, interferir en las normas del Estado, dado el carácter subsidiario de esta medida. Finalmente, en relación con el art. 149.1.13 CE recuerda que no puede convertirse en un título tan expansivo que vacíe de competencias a las Comunidades Autónomas, cuando por otra parte, el peligro a una de las líneas de actuación abordadas por el Estado, a saber, la reestructuración del sistema financiero y la estabilidad de las entidades de crédito, es puramente potencial, siendo, por tanto, la demanda sustentada en este título meramente preventiva. Así lo demuestra el informe del Banco de España aportado junto con la demanda en el que esta entidad reconoce que es difícil realizar una valoración cuantitativa de las medidas que la Ley autonómica contempla sobre el sector financiero y la consecución de los objetivos objeto de seguimiento por las autoridades europeas. Estos temores no son bastantes para eliminar el reparto constitucional de competencias. En cuanto al informe elaborado por la SAREB que se limita a expresar su temor sobre los efectos adversos que podría ocasionar la aplicación de las medidas contempladas en la Ley canaria, cabe señalar que desconoce que las sanciones sólo podrán ser impuestas tras la tramitación del correspondiente expediente en que la entidad podrá justificar en qué medida su actividad le hace difícil cumplir los deberes que se le imponen, tanto en relación con la obligación de colaboración, como con las sanciones que se podrían imponer en relación con la vivienda deshabitada, que es capaz de cuantificar el impacto económico de las citadas medidas.</w:t>
      </w:r>
    </w:p>
    <w:p w:rsidR="006B7292" w:rsidRDefault="006B7292" w:rsidP="006B7292">
      <w:pPr>
        <w:pStyle w:val="TextoNormal"/>
      </w:pPr>
    </w:p>
    <w:p w:rsidR="006B7292" w:rsidRDefault="006B7292" w:rsidP="006B7292">
      <w:pPr>
        <w:pStyle w:val="TextoNormal"/>
      </w:pPr>
      <w:r w:rsidRPr="006B7292">
        <w:rPr>
          <w:rStyle w:val="NumeroAFNegritaCaracter"/>
        </w:rPr>
        <w:t>7</w:t>
      </w:r>
      <w:r>
        <w:t>. Por providencia de 25 de mayo de 2015, el Pleno del Tribunal Constitucional acordó unir a los autos los escritos de alegaciones presentados por el Parlamento y Gobierno de Canarias, y oír a las partes personadas para que expongan lo que estimen procedente sobre el levantamiento o mantenimiento de la suspensión solicitada por el Parlamento de Canarias.</w:t>
      </w:r>
    </w:p>
    <w:p w:rsidR="006B7292" w:rsidRDefault="006B7292" w:rsidP="006B7292">
      <w:pPr>
        <w:pStyle w:val="TextoNormal"/>
      </w:pPr>
    </w:p>
    <w:p w:rsidR="006B7292" w:rsidRDefault="006B7292" w:rsidP="006B7292">
      <w:pPr>
        <w:pStyle w:val="TextoNormal"/>
      </w:pPr>
      <w:r w:rsidRPr="006B7292">
        <w:rPr>
          <w:rStyle w:val="NumeroAFNegritaCaracter"/>
        </w:rPr>
        <w:t>8</w:t>
      </w:r>
      <w:r>
        <w:t>. El 2 de junio de 2015 presentó sus alegaciones en este incidente cautelar el Abogado del Estado. Alega graves e irreparables perjuicios derivados del levantamiento de la suspensión que acredita a partir del informe de la Secretaría General Técnica del Ministerio de Economía y Competitividad que se aporta, junto con los informes del Banco de España y la SAREB, previamente adjuntados a la demanda. Estos perjuicios se resumen en los siguientes: (i) afectación directa a la SAREB cuyo éxito es garantía de la reestructuración de las entidades de crédito; (ii) incremento de los costes de reestructuración asumidos por el Estado sin añadir mayor protección a los deudores hipotecarios. Cita, asimismo, los AATC 69/2014, y 115/2014 recaídos en relación a disposiciones autonómicas de Navarra y Andalucía, de contenido muy similar a la Ley aquí impugnada, en los que este Tribunal acordó el mantenimiento de la suspensión. Y recuerda finalmente, a sabiendas de que no es relevante para la decisión que ahora ha de adoptarse, la sentencia del Tribunal Constitucional de 14 de mayo de 2015, recaída en el recurso del Gobierno contra el Decreto-ley 6/2013, de 9 de abril, de Andalucía. Alega que los intereses de los particulares afectados en orden a decidir sobre el levantamiento o mantenimiento de la suspensión ya han sido protegidos por la norma estatal, en concreto el Real Decreto-ley 1/2015, de 27 de febrero, de mecanismo de segunda oportunidad, mientras que la Ley impugnada podría comportar un aumento del riesgo asumido por las entidades en los créditos que podría conllevar la exigencia de mayores primas de riesgo para la concesión de préstamos hipotecarios en el futuro para compensar pérdidas esperadas mayores, lo que afectaría a las familias con mayor riesgo de exclusión social.</w:t>
      </w:r>
    </w:p>
    <w:p w:rsidR="006B7292" w:rsidRDefault="006B7292" w:rsidP="006B7292">
      <w:pPr>
        <w:pStyle w:val="TextoNormal"/>
      </w:pPr>
    </w:p>
    <w:p w:rsidR="006B7292" w:rsidRDefault="006B7292" w:rsidP="006B7292">
      <w:pPr>
        <w:pStyle w:val="TextoNormal"/>
      </w:pPr>
      <w:r>
        <w:t>En cuanto a los daños para el sistema financiero se consideran tales, en primer lugar, el riesgo de incumplimiento de los compromisos de nuestro país de carácter internacional —memorando de entendimiento— habiendo destacado la Comisión Europea el potencial impacto negativo de iniciativas autonómicas de protección de deudores hipotecarios para las actividades de la SAREB, tanto de forma directa (sanciones por viviendas desocupadas), como indirectas (aumento de incertidumbre). En segundo lugar, las inquietudes manifestadas por las autoridades internacionales se consideran tales por el Banco de España que señala algunos de los aspectos más preocupantes de la Ley. En cuanto a las medidas destinadas a los desahucios, se pone de manifiesto que la coexistencia de dos regímenes, uno de ellos basado en la suspensión de los procedimientos ejecutivos, el otro en medidas coercitivas (sanción o expropiación), hace previsible que surjan conflictos de aplicación que pongan en riesgo tanto la seguridad jurídica como la finalidad de protección por ellas perseguida, aun cuando la Ley canaria establece la cautela de su aplicación subsidiaria de la del Estado. Sólo una única norma garantizaría la aplicación coherente de las medidas de protección de los deudores, criterio acogido, señala el Abogado del Estado, en la STC de 14 de mayo de 2015. Los efectos de estas medidas sobre la SAREB y el desarrollo de su plan de negocio en lo que afecta en concreto a las medidas 17 y 15, relativas a la eliminación inmediata de activos problemáticos de sus balances, y gestión de los activos para realizar su valor a largo plazo, consistentes en la preparación de un plan de largo alcance y un marco legislativo para el establecimiento y funcionamiento de la entidad de gestión de activos, y adopción de normas para que esté operativa antes de noviembre de 2012. Desde este punto de vista, la Ley canaria incide directamente sobre este instrumento de reestructuración pudiendo incrementar el coste económico de las medidas estatales. Finalmente en cuanto al impacto potencial en el sector bancario de las medidas consistentes en la expropiación del uso de las viviendas en favor de los ejecutados en condiciones de exclusión, no se cuentan con indicadores cuantitativos del impacto de la medida, pero cualitativamente se produciría un incremento del riesgo de las entidades en los créditos ya concedidos con impacto negativo en la estabilidad financiera, podría tener impacto en las emisiones de cédulas hipotecarias y otros valores garantizados por préstamos hipotecarios debido al deterioro de la calidad de la garantía subyacente, con el consiguiente posible descenso en la cotización de los títulos, un incremento de los costes de financiación de las entidades y un incremento de las dificultades de refinanciación de los títulos según van venciendo. Asimismo se producirá mayor coste derivado del cumplimiento de las obligaciones de información y comunicación de datos.</w:t>
      </w:r>
    </w:p>
    <w:p w:rsidR="006B7292" w:rsidRDefault="006B7292" w:rsidP="006B7292">
      <w:pPr>
        <w:pStyle w:val="TextoNormal"/>
      </w:pPr>
    </w:p>
    <w:p w:rsidR="006B7292" w:rsidRDefault="006B7292" w:rsidP="006B7292">
      <w:pPr>
        <w:pStyle w:val="TextoNormal"/>
      </w:pPr>
      <w:r>
        <w:t>El informe de la SAREB, prosigue, pone de manifiesto que la Ley impugnada puede conllevar la distorsión parcialmente intensa del mercado de crédito e incluso de la evolución de los sectores financiero e inmobiliario y de los programas para su saneamiento con el correspondiente menoscabo de la competencia estatal.</w:t>
      </w:r>
    </w:p>
    <w:p w:rsidR="006B7292" w:rsidRDefault="006B7292" w:rsidP="006B7292">
      <w:pPr>
        <w:pStyle w:val="TextoNormal"/>
      </w:pPr>
    </w:p>
    <w:p w:rsidR="006B7292" w:rsidRDefault="006B7292" w:rsidP="006B7292">
      <w:pPr>
        <w:pStyle w:val="TextoNormal"/>
      </w:pPr>
      <w:r>
        <w:t>A todo ello hay que añadir, aún, en opinión del Abogado del Estado, el riesgo de generalización de las medidas adoptadas al resto de Comunidades Autónomas.</w:t>
      </w:r>
    </w:p>
    <w:p w:rsidR="006B7292" w:rsidRDefault="006B7292" w:rsidP="006B7292">
      <w:pPr>
        <w:pStyle w:val="TextoNormal"/>
      </w:pPr>
    </w:p>
    <w:p w:rsidR="006B7292" w:rsidRDefault="006B7292" w:rsidP="006B7292">
      <w:pPr>
        <w:pStyle w:val="TextoNormal"/>
      </w:pPr>
      <w:r w:rsidRPr="006B7292">
        <w:rPr>
          <w:rStyle w:val="NumeroAFNegritaCaracter"/>
        </w:rPr>
        <w:t>9</w:t>
      </w:r>
      <w:r>
        <w:t>. Las alegaciones de la Directora General del Servicio jurídico del Gobierno de Canarias fueron registradas en el Tribunal Constitucional el 2 de junio de 2015. En ellas hace suyas las consideraciones vertidas en el voto particular de los AATC 69/2014, de 10 de marzo, y 115/2014, de 8 de abril, haciendo hincapié en que la STC de 14 de mayo no ha declarado inconstitucionales todas las medidas adoptadas por el Decreto-ley 6/2013 de Andalucía. En cuanto a los perjuicios que derivarían del levantamiento de la suspensión, tras recordar la presunción de validez de la norma autonómica y reproducir íntegramente su exposición de motivos, recuerda que esta norma no afecta a la estatal en cuanto a la expropiación del derecho de uso de las viviendas en favor de los ejecutados en condiciones de exclusión social, pues esta contempla expresamente su aplicación subsidiaria. Por el contrario, de mantenerse la suspensión se estaría menoscabando el interés público que subyace en el ejercicio por la Comunidad Autónoma de su competencia. En concreto se impediría la elaboración del registro de viviendas deshabitadas que puede proporcionar una información útil para la comprobación o seguimiento de las viviendas vacías y permitiría atender las necesidades de familias con amenaza de desahucio, y las medidas de fomento. Perjudicaría, además, a quienes habiendo sido ejecutados, podrían permanecer en las viviendas en las que son deudores hipotecarios. Los informes aportados por el Abogado del Estado no acreditan, en fin, la existencia de perjuicios de imposible o difícil reparación. Se trata de simples temores hipotéticos, pero no daños acreditados que contrastan incluso con el informe de estabilidad financiera 11/2014 del Banco de España.</w:t>
      </w:r>
    </w:p>
    <w:p w:rsidR="006B7292" w:rsidRDefault="006B7292" w:rsidP="006B7292">
      <w:pPr>
        <w:pStyle w:val="TextoNormal"/>
      </w:pPr>
    </w:p>
    <w:p w:rsidR="006B7292" w:rsidRDefault="006B7292" w:rsidP="006B7292">
      <w:pPr>
        <w:pStyle w:val="TextoNormal"/>
      </w:pPr>
      <w:r w:rsidRPr="006B7292">
        <w:rPr>
          <w:rStyle w:val="NumeroAFNegritaCaracter"/>
        </w:rPr>
        <w:t>10</w:t>
      </w:r>
      <w:r>
        <w:t>. El 10 de junio de 2015 tuvo entrada en el Registro General del Tribunal Constitucional un escrito del Letrado del Parlamento de Canarias, en que suplica el levantamiento de la suspensión. Tras exponer los criterios que tiene en cuenta la doctrina constitucional a los efectos de resolver este incidente, alega que la Abogacía del Estado no ha acreditado los daños que se irrogarían por el levantamiento de la suspensión, haciendo suyos los argumentos expuestos en el voto particular del ATC 69/2014, que transcribe parcialmente. Añade, por otra parte, que las ejecuciones hipotecarias en Canarias entre 2008 y 2013 (datos del Consejo General del Poder Judicial) sólo afectan al 5,5 del total estatal de ejecuciones hipotecarias. Que de acuerdo con el Instituto Nacional de Estadística el stock de viviendas vacías representa un 2,94 por 100 del total nacional sin que existan datos sobre la propiedad de personas jurídicas o físicas de las mismas. Ello indica la limitada incidencia potencial de la Ley canaria impugnada, lo que priva de credibilidad al argumento del Abogado del Estado. A ello hay aún que añadir, que la expropiación del derecho de uso no se contempla con carácter general, sino para un colectivo muy limitado, que el levantamiento de la suspensión permitiría a las personas que se encuentran en riesgo de exclusión social beneficiarse de sus medidas, mientras que su mantenimiento conllevaría un perjuicio irreparable para las familias que deben abandonar su domicilios por impago de las cuotas de sus hipotecas, cuando los perjuicios que hubieran sufrido las entidades financieras serían compensables económicamente.</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Se trata en este incidente cautelar de resolver el mantenimiento o levantamiento de la suspensión de la vigencia de los siguientes apartados del art. 1 de la Ley 2/2014, de 20 de junio, de modificación de la Ley 2/2003, de 30 de enero, de vivienda de Canarias y de medidas para garantizar el derecho a la vivienda: 1 (por cuanto modifica el art. 1.2 de la Ley 2/2003); 4 [por cuanto modifica el art. 4 g) de la Ley 2/2003]; 6 [por cuanto modifica el art. 8.l), m) y n) de la Ley 2/2003]; 7 (por cuanto añade un nuevo art. 18.8 en la Ley 2/2003); 23 (por cuanto añade un nuevo art. 77 bis en la Ley 2/2003); 24 [por cuanto modifica el art. 78 f) de la Ley 2/2003], 26 (por cuanto modifica el título VIII de la Ley 2/2003, arts. 80 a 98) y 27 [por cuanto añade los nuevos arts. 106 i) y 99 e) en la Ley 2/2003], así como de las disposiciones adicionales segunda y cuarta de la mencionada Ley 2/2014, de 20 de junio, todos ellos impugnados en el recurso de inconstitucionalidad 1824-2015, interpuesto por el Presidente del Gobierno contra esta ley autonómica, con invocación de los arts. 161.2 CE y 30 de la Ley Orgánica del Tribunal Constitucional.</w:t>
      </w:r>
    </w:p>
    <w:p w:rsidR="006B7292" w:rsidRDefault="006B7292" w:rsidP="006B7292">
      <w:pPr>
        <w:pStyle w:val="TextoNormal"/>
      </w:pPr>
    </w:p>
    <w:p w:rsidR="006B7292" w:rsidRDefault="006B7292" w:rsidP="006B7292">
      <w:pPr>
        <w:pStyle w:val="TextoNormal"/>
      </w:pPr>
      <w:r>
        <w:t>El Abogado del Estado suplica el mantenimiento de la suspensión. Sus alegaciones, recogidas de forma pormenorizada en los antecedentes, son sustancialmente coincidentes con las expuestas en los dos incidentes cautelares que fueron resueltos por este Tribunal con el mantenimiento de la suspensión de los preceptos impugnados de dos Leyes autonómicas. En concreto, de la Ley 24/2013, de 2 de julio, de Navarra, de medidas urgentes para garantizar el derecho a la vivienda, y de la Ley 4/2013, de 1 de octubre, de la Comunidad Autónoma de Andalucía, de medidas para asegurar el cumplimiento de la función social de la vivienda (AATC 69/ 2014, de 10 de marzo, y 115/2014, de 8 de abril, respectivamente). El propio Abogado del Estado trae a colación los Autos recién citados en apoyo de su pretensión. Por su parte, tanto el Parlamento como el Gobierno de Canarias suplican el levantamiento de la suspensión, entre otros, por los argumentos vertidos en el voto particular a ambos Autos, que hacen suyos.</w:t>
      </w:r>
    </w:p>
    <w:p w:rsidR="006B7292" w:rsidRDefault="006B7292" w:rsidP="006B7292">
      <w:pPr>
        <w:pStyle w:val="TextoNormal"/>
      </w:pPr>
    </w:p>
    <w:p w:rsidR="006B7292" w:rsidRDefault="006B7292" w:rsidP="006B7292">
      <w:pPr>
        <w:pStyle w:val="TextoNormal"/>
      </w:pPr>
      <w:r w:rsidRPr="006B7292">
        <w:rPr>
          <w:rStyle w:val="NumeroAFNegritaCaracter"/>
        </w:rPr>
        <w:t>2</w:t>
      </w:r>
      <w:r>
        <w:t>. Los preceptos ahora impugnados imponen a los propietarios de viviendas el deber de destinarlas de forma efectiva al uso habitacional, cuyo incumplimiento se tipifica como infracción cuando la propiedad corresponda a personas jurídicas; contemplan entre las competencias de la Administración, la definición y ejercicio de acciones tendentes a evitar la existencia de viviendas vacías mediante la declaración, inspección y sanción, competencias que se atribuyen al Instituto Canario de la Vivienda; asigna los recursos obtenidos por el ejercicio de la potestad sancionadora a sufragar las expropiaciones de uso en los procedimientos de desahucio por ejecución hipotecaria; regula las viviendas deshabitadas y el procedimiento para su declaración; la tramitación electrónica del procedimiento de declaración de vivienda deshabitada, y, finalmente , la declaración de interés social a efectos de expropiación forzosa de la cobertura de necesidad de vivienda de personas en especiales circunstancias de emergencia social. Esto es, su contenido es muy similar al de las Leyes autonómicas antes citadas.</w:t>
      </w:r>
    </w:p>
    <w:p w:rsidR="006B7292" w:rsidRDefault="006B7292" w:rsidP="006B7292">
      <w:pPr>
        <w:pStyle w:val="TextoNormal"/>
      </w:pPr>
    </w:p>
    <w:p w:rsidR="006B7292" w:rsidRDefault="006B7292" w:rsidP="006B7292">
      <w:pPr>
        <w:pStyle w:val="TextoNormal"/>
      </w:pPr>
      <w:r w:rsidRPr="006B7292">
        <w:rPr>
          <w:rStyle w:val="NumeroAFNegritaCaracter"/>
        </w:rPr>
        <w:t>3</w:t>
      </w:r>
      <w:r>
        <w:t>. La resolución que ahora debemos adoptar sólo puede ser el resultado de ponderar, de un lado, los perjuicios reales y efectivos asociados al levantamiento de la suspensión, y, de otro, la presunción de constitucionalidad de que gozan las normas legales y los menoscabos de intereses públicos y privados consecuencia de su mantenimiento, dejando a un lado cualquier consideración sobre el fondo de la inconstitucionalidad denunciada.</w:t>
      </w:r>
    </w:p>
    <w:p w:rsidR="006B7292" w:rsidRDefault="006B7292" w:rsidP="006B7292">
      <w:pPr>
        <w:pStyle w:val="TextoNormal"/>
      </w:pPr>
    </w:p>
    <w:p w:rsidR="006B7292" w:rsidRDefault="006B7292" w:rsidP="006B7292">
      <w:pPr>
        <w:pStyle w:val="TextoNormal"/>
      </w:pPr>
      <w:r>
        <w:t>Como quiera que los daños y perjuicios ahora invocados por el Abogado del Estado son los mismos que se pusieron de manifiesto y valoraron los AATC 69/2014, de 10 de marzo, y 115/2014, de 8 de abril, y similares, también, los menoscabos de intereses públicos y privados derivados de la inaplicación de la norma autonómica, sin que las partes hayan traído a colación nuevos elementos entonces no considerados, el resultado de nuestra ponderación debe ser el mismo que entonces. En consecuencia, debe mantenerse la suspensión de los preceptos impugnados por las razones ya expuestas, que son, de forma muy sucinta, las siguientes:</w:t>
      </w:r>
    </w:p>
    <w:p w:rsidR="006B7292" w:rsidRDefault="006B7292" w:rsidP="006B7292">
      <w:pPr>
        <w:pStyle w:val="TextoNormal"/>
      </w:pPr>
    </w:p>
    <w:p w:rsidR="006B7292" w:rsidRDefault="006B7292" w:rsidP="006B7292">
      <w:pPr>
        <w:pStyle w:val="TextoNormal"/>
      </w:pPr>
      <w:r>
        <w:t>a) Existe un perjuicio cierto para el interés general que subyace en el buen funcionamiento y estabilidad del sistema financiero en su conjunto, pues aunque en términos cuantitativamente reducidos, producen un menoscabo para la estabilidad, de manera que puede ponerse en riesgo la reestructuración bancaria apoyada con dinero público y el cumplimiento por España de sus compromisos internacionales, debiéndose tener en cuenta, además, que a la presente Ley deben sumarse las dos Leyes autonómicas anteriormente mencionadas. Este riesgo ha quedado acreditado con los informes relativos a la tercera y quinta revisión del programa de asistencia financiera para la recapitalización de las instituciones financieras en España, y con el informe del Banco de España cuyos datos no han sido desacreditados por los letrados autonómicos que se han limitado a afirmar que se trata de meras suposiciones. El valor probatorio del primero reside en que la Comisión Europea, el Banco Central Europeo y el Fondo Monetario Internacional han participado en su elaboración siendo estas entidades especializadas en la materia e independientes de las partes, la misma independencia y especialización que se predica del Banco de España (ATC 69/2014, FFJJ 5, 6 y 7).</w:t>
      </w:r>
    </w:p>
    <w:p w:rsidR="006B7292" w:rsidRDefault="006B7292" w:rsidP="006B7292">
      <w:pPr>
        <w:pStyle w:val="TextoNormal"/>
      </w:pPr>
    </w:p>
    <w:p w:rsidR="006B7292" w:rsidRDefault="006B7292" w:rsidP="006B7292">
      <w:pPr>
        <w:pStyle w:val="TextoNormal"/>
      </w:pPr>
      <w:r>
        <w:t>b) Asimismo se produciría un daño para la seguridad jurídica derivado, no de que las actuaciones de la Administración de la Comunidad Autónoma puedan quedar en entredicho si la resolución si la resolución de fondo fuera favorable al Estado, sino de la mera convivencia sobre una misma realidad material de regímenes jurídicos dispares (ATC 69/2014 FJ 8).</w:t>
      </w:r>
    </w:p>
    <w:p w:rsidR="006B7292" w:rsidRDefault="006B7292" w:rsidP="006B7292">
      <w:pPr>
        <w:pStyle w:val="TextoNormal"/>
      </w:pPr>
    </w:p>
    <w:p w:rsidR="006B7292" w:rsidRDefault="006B7292" w:rsidP="006B7292">
      <w:pPr>
        <w:pStyle w:val="TextoNormal"/>
      </w:pPr>
      <w:r>
        <w:t>c) Los perjuicios derivados de la suspensión y consistentes en el menoscabo del interés público al que responde la norma autonómica, esto es, la garantía del derecho a la vivienda y el interés privado de los colectivos más vulnerables que se verían beneficiados, resultan notoriamente reducidos porque el Estado también ha dispuesto normas que atienden a estos mismos intereses (ATC 69/2014, FJ 9).</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Mantener la suspensión de los siguientes apartados del art. 1 de la Ley 2/2014, de 20 de junio, de modificación de la Ley 2/2003, de 30 de enero, de vivienda de Canarias y de medidas para garantizar el derecho a la vivienda: uno (por cuanto modifica el art. 1.2 de la Ley 2/2003); cuatro [por cuanto modifica el art. 4 g) de la Ley 2/2003]; Seis [por cuanto modifica el art. 8.l), m) y n) de la Ley 2/2003]; siete (por cuanto añade un nuevo art. 18.8 en la Ley 2/2003); veintitrés (por cuanto añade un nuevo art. 77 bis en la Ley 2/2003); veinticuatro [por cuanto modifica el art. 78 f) de la Ley 2/2003], veintiséis (por cuanto modifica el título VIII de la Ley 2/2003, arts. 80 a 98) y veintisiete [por cuanto añade los nuevos arts. 106 i) y 99 e) en la Ley 2/2003], así como de las disposiciones adicionales segunda y cuarta de la mencionada Ley 2/2014, de 20 de junio.</w:t>
      </w:r>
    </w:p>
    <w:p w:rsidR="006B7292" w:rsidRDefault="006B7292" w:rsidP="006B7292">
      <w:pPr>
        <w:pStyle w:val="TextoNormal"/>
      </w:pPr>
    </w:p>
    <w:p w:rsidR="006B7292" w:rsidRDefault="006B7292" w:rsidP="006B7292">
      <w:pPr>
        <w:pStyle w:val="TextoNormal"/>
      </w:pPr>
      <w:r>
        <w:t>Madrid, a veintiuno de julio de dos mil quince.</w:t>
      </w:r>
    </w:p>
    <w:p w:rsidR="006B7292" w:rsidRDefault="006B7292" w:rsidP="006B7292">
      <w:pPr>
        <w:pStyle w:val="ParrafoNormal"/>
      </w:pPr>
    </w:p>
    <w:p w:rsidR="006B7292" w:rsidRDefault="006B7292" w:rsidP="006B7292">
      <w:pPr>
        <w:pStyle w:val="TextoNormalNegritaCentrado"/>
        <w:keepNext/>
      </w:pPr>
      <w:r>
        <w:t>Voto particular que formulan las Magistradas doña Adela Asua Batarrita, doña Encarnación Roca Trías, y los Magistrados don Fernando Valdés Dal-Re y don Juan Antonio Xiol Ríos, al Auto de 21 de julio de 2015, dictado en el incidente de suspensión del recurso de inconstitucionalidad núm. 1824-2015.</w:t>
      </w:r>
    </w:p>
    <w:p w:rsidR="006B7292" w:rsidRDefault="006B7292" w:rsidP="006B7292">
      <w:pPr>
        <w:pStyle w:val="TextoNormalNegritaCentrado"/>
        <w:keepNext/>
      </w:pPr>
    </w:p>
    <w:p w:rsidR="006B7292" w:rsidRDefault="006B7292" w:rsidP="006B7292">
      <w:pPr>
        <w:pStyle w:val="TextoNormal"/>
      </w:pPr>
      <w:r>
        <w:t>Con todo el respeto que nos merece la opinión de la mayoría, debemos manifestar nuestra discrepancia con la suspensión de los preceptos de la Ley 2/2014, de 20 de junio, de modificación de la Ley 2/2003, de 30 de enero, impugnados en este proceso constitucional.</w:t>
      </w:r>
    </w:p>
    <w:p w:rsidR="006B7292" w:rsidRDefault="006B7292" w:rsidP="006B7292">
      <w:pPr>
        <w:pStyle w:val="TextoNormal"/>
      </w:pPr>
    </w:p>
    <w:p w:rsidR="006B7292" w:rsidRDefault="006B7292" w:rsidP="006B7292">
      <w:pPr>
        <w:pStyle w:val="TextoNormal"/>
      </w:pPr>
      <w:r>
        <w:t>Los artículos cuestionados de la Ley Canaria 2/2014, de 20 de junio, guardan un sustancial parecido con los preceptos, también recurridos ante este Tribunal, de la Ley Foral 10/2010, de 10 de mayo, de derecho a la vivienda en Navarra y de la Ley 4/2013, de 1 de octubre, de la Comunidad Autónoma de Andalucía, de medidas para asegurar el cumplimiento de la función social de la vivienda.</w:t>
      </w:r>
    </w:p>
    <w:p w:rsidR="006B7292" w:rsidRDefault="006B7292" w:rsidP="006B7292">
      <w:pPr>
        <w:pStyle w:val="TextoNormal"/>
      </w:pPr>
    </w:p>
    <w:p w:rsidR="006B7292" w:rsidRDefault="006B7292" w:rsidP="006B7292">
      <w:pPr>
        <w:pStyle w:val="TextoNormal"/>
      </w:pPr>
      <w:r>
        <w:t>Los intereses que podrían verse afectados por el levantamiento de la suspensión de la Ley autonómica que, en este incidente, alega el Abogado del Estado son exactamente los mismos que expuso en los incidentes de suspensión que dieron lugar a los AATC 69/ 2014, de 10 de marzo, y 115/2014, de 8 de abril.</w:t>
      </w:r>
    </w:p>
    <w:p w:rsidR="006B7292" w:rsidRDefault="006B7292" w:rsidP="006B7292">
      <w:pPr>
        <w:pStyle w:val="TextoNormal"/>
      </w:pPr>
    </w:p>
    <w:p w:rsidR="006B7292" w:rsidRDefault="006B7292" w:rsidP="006B7292">
      <w:pPr>
        <w:pStyle w:val="TextoNormal"/>
      </w:pPr>
      <w:r>
        <w:t>En consecuencia, por las mismas razones que pusimos de manifiesto en los Votos particulares que suscribimos en ambos casos y a las que ahora nos remitimos, creemos que no ha quedado acreditado que la inmediata aplicación de la Ley 2/2014, de 20 de junio, pueda acarrear más daño al interés general que el derivado de la contradicción denunciada con la legislación estatal. Ello no es, sin duda, razón suficiente para enervar la presunción de validez de las disposiciones legales autonómicas. De ahí que el Auto del que discrepamos debiera haber acordado el levantamiento de la suspensión.</w:t>
      </w:r>
    </w:p>
    <w:p w:rsidR="006B7292" w:rsidRDefault="006B7292" w:rsidP="006B7292">
      <w:pPr>
        <w:pStyle w:val="TextoNormal"/>
      </w:pPr>
    </w:p>
    <w:p w:rsidR="006B7292" w:rsidRDefault="006B7292" w:rsidP="006B7292">
      <w:pPr>
        <w:pStyle w:val="TextoNormal"/>
      </w:pPr>
      <w:r>
        <w:t>Madrid, a veintiuno de julio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50" w:name="AUTO_2015_136"/>
      <w:r>
        <w:t>AUTO 136/2015, de 21 de julio de 2015</w:t>
      </w:r>
    </w:p>
    <w:bookmarkEnd w:id="150"/>
    <w:p w:rsidR="006B7292" w:rsidRDefault="006B7292" w:rsidP="006B7292">
      <w:pPr>
        <w:pStyle w:val="TtuloResolucin"/>
      </w:pPr>
      <w:r>
        <w:t>Pleno</w:t>
      </w:r>
    </w:p>
    <w:p w:rsidR="006B7292" w:rsidRDefault="006B7292" w:rsidP="006B7292">
      <w:pPr>
        <w:pStyle w:val="TextoNormalCentrado"/>
      </w:pPr>
      <w:r>
        <w:t>ECLI:ES:TC:2015:136A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Inadmite a trámite la cuestión de inconstitucionalidad 2210-2015, planteada por el Tribunal Superior de Justicia de Madrid en relación con los artículos 8 y 10 del Real Decreto-ley 9/2008, de 28 de noviembre, por el que se crea el Fondo estatal de inversión local.</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registrado en este Tribunal el 20 de abril de 2015, al que se acompaña el correspondiente Auto de 9 de del mismo mes, la Sección Octava de la Sala de lo Contencioso-Administrativo del Tribunal Superior de Justicia de Madrid plantea cuestión de inconstitucionalidad en relación con los arts. 8 y 10 del Real Decreto-ley 9/2008, de 28 de noviembre, por el que se crea el Fondo estatal de inversión local, por posible infracción del art. 149.1.13 CE.</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de hecho de la cuestión son los siguientes:</w:t>
      </w:r>
    </w:p>
    <w:p w:rsidR="006B7292" w:rsidRDefault="006B7292" w:rsidP="006B7292">
      <w:pPr>
        <w:pStyle w:val="TextoNormal"/>
      </w:pPr>
    </w:p>
    <w:p w:rsidR="006B7292" w:rsidRDefault="006B7292" w:rsidP="006B7292">
      <w:pPr>
        <w:pStyle w:val="TextoNormal"/>
      </w:pPr>
      <w:r>
        <w:t xml:space="preserve">a) El Ayuntamiento de Madrid —recurrente en el proceso </w:t>
      </w:r>
      <w:r w:rsidRPr="006B7292">
        <w:rPr>
          <w:i/>
        </w:rPr>
        <w:t>a quo</w:t>
      </w:r>
      <w:r>
        <w:t>— recibió ayudas para la ejecución del proyecto “Acondicionamiento instalación deportiva Barrio del Pilar 2636” con cargo al Fondo estatal de inversión local, creado por Real Decreto-ley 9/2008, de 28 de noviembre.</w:t>
      </w:r>
    </w:p>
    <w:p w:rsidR="006B7292" w:rsidRDefault="006B7292" w:rsidP="006B7292">
      <w:pPr>
        <w:pStyle w:val="TextoNormal"/>
      </w:pPr>
    </w:p>
    <w:p w:rsidR="006B7292" w:rsidRDefault="006B7292" w:rsidP="006B7292">
      <w:pPr>
        <w:pStyle w:val="TextoNormal"/>
      </w:pPr>
      <w:r>
        <w:t>b) A la vista del informe de control financiero de subvenciones y ayudas nacionales elaborado por la Intervención regional de Madrid, la Dirección General de Coordinación de Competencias con las Comunidades Autónomas y las entidades locales de la Secretaría de Estado de Administraciones públicas acuerda iniciar el procedimiento de reintegro regulado en el art. 10 del Real Decreto-ley 9/2008 y conferir al Ayuntamiento trámite de alegaciones. Formuladas alegaciones, la resolución del mismo órgano de 16 de noviembre de 2012 las desestima a la vez que declara un saldo a favor del Tesoro público de 2.432,13 €.</w:t>
      </w:r>
    </w:p>
    <w:p w:rsidR="006B7292" w:rsidRDefault="006B7292" w:rsidP="006B7292">
      <w:pPr>
        <w:pStyle w:val="TextoNormal"/>
      </w:pPr>
    </w:p>
    <w:p w:rsidR="006B7292" w:rsidRDefault="006B7292" w:rsidP="006B7292">
      <w:pPr>
        <w:pStyle w:val="TextoNormal"/>
      </w:pPr>
      <w:r>
        <w:t>c) El Ayuntamiento interpone recurso contencioso-administrativo ante la Sala de lo Contencioso-Administrativo del Tribunal Superior de Justicia de Madrid; al formalizar la demanda opone la inconstitucionalidad del Real Decreto-ley 9/2008 a la vista de la STC 150/2012, de julio, resolutoria del recurso de inconstitucionalidad interpuesto contra varios artículos del Real Decreto-ley 13/2009, de 26 de octubre, de creación del Fondo estatal para el empleo y la sostenibilidad local. El Ayuntamiento demandante solicita de la Sala el planteamiento de la cuestión de inconstitucionalidad.</w:t>
      </w:r>
    </w:p>
    <w:p w:rsidR="006B7292" w:rsidRDefault="006B7292" w:rsidP="006B7292">
      <w:pPr>
        <w:pStyle w:val="TextoNormal"/>
      </w:pPr>
    </w:p>
    <w:p w:rsidR="006B7292" w:rsidRDefault="006B7292" w:rsidP="006B7292">
      <w:pPr>
        <w:pStyle w:val="TextoNormal"/>
      </w:pPr>
      <w:r>
        <w:t>d) Declarado concluso el procedimiento, la providencia de 8 de enero de 2015 señala para votación y fallo el 18 de febrero siguiente. La providencia de 18 de febrero del mismo año deja sin efecto la anterior, acordando oír a las partes y al Ministerio Fiscal sobre la conveniencia de plantear cuestión de inconstitucionalidad en relación con los arts. 8 y 10 del Real Decreto-ley 9/2008.</w:t>
      </w:r>
    </w:p>
    <w:p w:rsidR="006B7292" w:rsidRDefault="006B7292" w:rsidP="006B7292">
      <w:pPr>
        <w:pStyle w:val="TextoNormal"/>
      </w:pPr>
    </w:p>
    <w:p w:rsidR="006B7292" w:rsidRDefault="006B7292" w:rsidP="006B7292">
      <w:pPr>
        <w:pStyle w:val="TextoNormal"/>
      </w:pPr>
      <w:r>
        <w:t>e) El Abogado del Estado se opone al planteamiento en su escrito de 3 de marzo de 2015. Aduce que la STC 150/2012 no puede servir de fundamento para la formulación de la cuestión porque se refiere a otro Real Decreto-ley y, además, porque anula sólo alguno de sus preceptos. Añade que el planteamiento de la cuestión en nada variaría el fondo del asunto porque: 1) aquella Sentencia cuestionó sólo la competencia para tramitar los expedientes de reintegro sin afectar a las ayudas ya concedidas; 2) a la vista del meridiano incumplimiento de los requisitos de la subvención, si las autoridades autonómicas tramitasen el expediente de reintegro llegarían a la misma conclusión.</w:t>
      </w:r>
    </w:p>
    <w:p w:rsidR="006B7292" w:rsidRDefault="006B7292" w:rsidP="006B7292">
      <w:pPr>
        <w:pStyle w:val="TextoNormal"/>
      </w:pPr>
    </w:p>
    <w:p w:rsidR="006B7292" w:rsidRDefault="006B7292" w:rsidP="006B7292">
      <w:pPr>
        <w:pStyle w:val="TextoNormal"/>
      </w:pPr>
      <w:r>
        <w:t>f) El Abogado del Estado presenta escrito de 6 de marzo de 2015, reproduciendo las alegaciones de su escrito de 3 del mismo mes.</w:t>
      </w:r>
    </w:p>
    <w:p w:rsidR="006B7292" w:rsidRDefault="006B7292" w:rsidP="006B7292">
      <w:pPr>
        <w:pStyle w:val="TextoNormal"/>
      </w:pPr>
    </w:p>
    <w:p w:rsidR="006B7292" w:rsidRDefault="006B7292" w:rsidP="006B7292">
      <w:pPr>
        <w:pStyle w:val="TextoNormal"/>
      </w:pPr>
      <w:r>
        <w:t>g) Por escrito de 17 de marzo de 2015, el Ayuntamiento recurrente apoya el planteamiento de la cuestión de inconstitucionalidad. A este respecto, argumenta que los arts. 8 y 10 del Real Decreto-ley 9/2008 vulneran las competencias autonómicas a la vista de lo razonado en la STC 150/2012. Razona ampliamente al respecto la identidad tanto del sentido o funcionalidad de los fondos como de sus preceptos reguladores. Añade que se cumplen los requisitos procesales y materiales que exige el art. 35 de la Ley Orgánica del Tribunal Constitucional (LOTC) para la formulación de la cuestión. Afirma que, de acogerse el planteamiento de la Abogacía del Estado, se vulneraría el derecho a la tutela judicial efectiva del Ayuntamiento de Madrid, sin que ninguno de los motivos aducidos por ella impidan el planteamiento de la cuestión.</w:t>
      </w:r>
    </w:p>
    <w:p w:rsidR="006B7292" w:rsidRDefault="006B7292" w:rsidP="006B7292">
      <w:pPr>
        <w:pStyle w:val="TextoNormal"/>
      </w:pPr>
    </w:p>
    <w:p w:rsidR="006B7292" w:rsidRDefault="006B7292" w:rsidP="006B7292">
      <w:pPr>
        <w:pStyle w:val="TextoNormal"/>
      </w:pPr>
      <w:r>
        <w:t>h) Por escrito de 17 de marzo de 2015, el Ministerio Fiscal razona que el artículo 10 es aplicable al caso y relevante para el fallo, pues se refiere al reintegro de la ayuda concedida al Ayuntamiento. No se opone al planteamiento de la cuestión a la vista de lo declarado en la STC 150/2012 y de que el contenido del artículo 10 coincide con uno de los declarados inconstitucionales.</w:t>
      </w:r>
    </w:p>
    <w:p w:rsidR="006B7292" w:rsidRDefault="006B7292" w:rsidP="006B7292">
      <w:pPr>
        <w:pStyle w:val="TextoNormal"/>
      </w:pPr>
    </w:p>
    <w:p w:rsidR="006B7292" w:rsidRDefault="006B7292" w:rsidP="006B7292">
      <w:pPr>
        <w:pStyle w:val="TextoNormal"/>
      </w:pPr>
      <w:r w:rsidRPr="006B7292">
        <w:rPr>
          <w:rStyle w:val="NumeroAFNegritaCaracter"/>
        </w:rPr>
        <w:t>3</w:t>
      </w:r>
      <w:r>
        <w:t xml:space="preserve">. El citado Auto de planteamiento se funda en las consideraciones que seguidamente se indican. Tras recordar que los juicios de aplicabilidad y relevancia son requisitos ineludibles y que corresponde al órgano promotor determinar las normas aplicables al caso, señala que la totalidad de los procedimientos de control financiero y reintegro cuya resolución constituye el objeto del proceso </w:t>
      </w:r>
      <w:r w:rsidRPr="006B7292">
        <w:rPr>
          <w:i/>
        </w:rPr>
        <w:t>a quo</w:t>
      </w:r>
      <w:r>
        <w:t xml:space="preserve"> se fundan en los preceptos controvertidos: arts. 8 y 10 del Real Decreto-ley 9/2008, de creación del Fondo estatal de inversión local.</w:t>
      </w:r>
    </w:p>
    <w:p w:rsidR="006B7292" w:rsidRDefault="006B7292" w:rsidP="006B7292">
      <w:pPr>
        <w:pStyle w:val="TextoNormal"/>
      </w:pPr>
    </w:p>
    <w:p w:rsidR="006B7292" w:rsidRDefault="006B7292" w:rsidP="006B7292">
      <w:pPr>
        <w:pStyle w:val="TextoNormal"/>
      </w:pPr>
      <w:r>
        <w:t>De otro lado, razona que tales preceptos son sustancialmente equivalentes a los arts. 5 y 6 del Real Decreto-ley 13/2009, de creación del Fondo estatal para el empleo y la sostenibilidad local, que fueron declarados inconstitucionales por la STC 150/2012. El Tribunal declaró que el art. 149.1.13 CE no amparaba aquella regulación habida cuenta de que debían ser las Comunidades Autónomas quienes establecieran el régimen de gestión, control y resolución de las solicitudes así como el procedimiento de reintegro. Los preceptos cuestionados incurrirían en esa misma inconstitucionalidad, al otorgar a órganos de la Administración general del Estado competencias de control y reintegro, citando en su apoyo las SSTC 38/2009, 200/2009 y 36/2012. Considera, en consecuencia, que aquellos dos preceptos vulneran el art. 149.1.13 CE.</w:t>
      </w:r>
    </w:p>
    <w:p w:rsidR="006B7292" w:rsidRDefault="006B7292" w:rsidP="006B7292">
      <w:pPr>
        <w:pStyle w:val="TextoNormal"/>
      </w:pPr>
    </w:p>
    <w:p w:rsidR="006B7292" w:rsidRDefault="006B7292" w:rsidP="006B7292">
      <w:pPr>
        <w:pStyle w:val="TextoNormal"/>
      </w:pPr>
      <w:r w:rsidRPr="006B7292">
        <w:rPr>
          <w:rStyle w:val="NumeroAFNegritaCaracter"/>
        </w:rPr>
        <w:t>4</w:t>
      </w:r>
      <w:r>
        <w:t>. Mediante providencia de 12 de mayo de 2015 la Sección Tercera de este Tribunal acordó, a los efectos que determina el art. 37.1 de la Ley Orgánica del Tribunal Constitucional, oír al Fiscal General del Estado para que en el plazo de diez días alegase lo que considerara conveniente acerca de la admisibilidad de la presente cuestión de inconstitucionalidad en relación con el cumplimiento de los requisitos procesales.</w:t>
      </w:r>
    </w:p>
    <w:p w:rsidR="006B7292" w:rsidRDefault="006B7292" w:rsidP="006B7292">
      <w:pPr>
        <w:pStyle w:val="TextoNormal"/>
      </w:pPr>
    </w:p>
    <w:p w:rsidR="006B7292" w:rsidRDefault="006B7292" w:rsidP="006B7292">
      <w:pPr>
        <w:pStyle w:val="TextoNormal"/>
      </w:pPr>
      <w:r w:rsidRPr="006B7292">
        <w:rPr>
          <w:rStyle w:val="NumeroAFNegritaCaracter"/>
        </w:rPr>
        <w:t>5</w:t>
      </w:r>
      <w:r>
        <w:t>. El Fiscal General del Estado, en escrito registrado el 25 de junio de 2015, después de relacionar las circunstancias del caso y transcribir íntegramente las normas legales cuestionadas, expone dos fundamentos de Derecho. En el inicial reitera en términos literales los razonamientos jurídicos del auto de planteamiento y en el otro se pronuncia “sobre la concurrencia de posibles óbices procesales, en especial en relación, por un lado, con el juicio de aplicabilidad y relevancia y, por otro, con la debida cumplimentación del trámite de audiencia”.</w:t>
      </w:r>
    </w:p>
    <w:p w:rsidR="006B7292" w:rsidRDefault="006B7292" w:rsidP="006B7292">
      <w:pPr>
        <w:pStyle w:val="TextoNormal"/>
      </w:pPr>
    </w:p>
    <w:p w:rsidR="006B7292" w:rsidRDefault="006B7292" w:rsidP="006B7292">
      <w:pPr>
        <w:pStyle w:val="TextoNormal"/>
      </w:pPr>
      <w:r>
        <w:t>Afirma, en cuanto a lo primero, que “el órgano promotor dedica un apartado específico en su razonamiento jurídico primero a la exigencia de que la norma legal cuestionada resulte aplicable al caso y que de su validez dependa el fallo del procedimiento ordinario seguido ante el mismo. Sin embargo, se limita a apelar a la doctrina constitucional reiterada (con cita, por todas, de las SSTC 17/1981, 31/1988, 76/1990, 157/1994 y 149/1994) que señala que es en principio al Juez promotor de la cuestión de inconstitucionalidad a quien corresponde determinar cuáles son efectivamente las normas aplicables al caso que ha de decidir y que solo procederá el rechazo procesal de la cuestión de inconstitucionalidad cuando, de manera evidente, sin necesidad de un análisis de fondo, la norma legal cuestionada no sea en modo alguno aplicable para resolver el litigio. Con ello implícitamente viene a afirmar que a su criterio los preceptos cuya constitucionalidad cuestiona resultan aplicables a su juicio, y lo cierto es que resulta evidente que el art. 8 del Real Decreto-ley 9/2008, de 28 de noviembre, es el precepto invocado por la Administración demandada en la resolución de fecha 16 de noviembre de 2012 para fundamentar la realización del control financiero de la financiación otorgada en el proyecto de referencia … y el art. 10 del mismo cuerpo normativo es el que sustenta la obligación de reintegrar las cantidades no justificadas”. Concluye, a raíz de este argumento, que “por tanto, no cabría dudar de su aplicabilidad al caso ni de que su supuesta invalidez resultaría determinante para su resolución”.</w:t>
      </w:r>
    </w:p>
    <w:p w:rsidR="006B7292" w:rsidRDefault="006B7292" w:rsidP="006B7292">
      <w:pPr>
        <w:pStyle w:val="TextoNormal"/>
      </w:pPr>
    </w:p>
    <w:p w:rsidR="006B7292" w:rsidRDefault="006B7292" w:rsidP="006B7292">
      <w:pPr>
        <w:pStyle w:val="TextoNormal"/>
      </w:pPr>
      <w:r>
        <w:t>Sostiene, respecto del trámite de audiencia del art. 35.2 LOTC, “que parece evidente la ausencia absoluta de mención en la Providencia de fecha 18 de febrero de 2015 del concreto precepto constitucional con el que entrarían en contradicción los preceptos cuestionados. … Cierto es que el contenido de la providencia se podía poner en relación con la alegación del fundamento jurídico material primero de la demanda donde, en su folio 35, se concretaba como infringida la distribución competencial entre el Estado y las Comunidades Autónomas prevista en los arts. 148 y 149, y en particular el art. 149.1.13 CE, que es el título competencial habilitante del Real Decreto-ley 9/2008, de 28 de noviembre, por el que se crea el Fondo Estatal de Inversión Local. Sin embargo, aunque se establezcan mínimos estándares de rigor en cuanto al cumplimiento de esta exigencia, las dudas de quien con su actividad procesal insta el planteamiento no tienen por qué ser las del órgano que abre el trámite del art. 35.2 LOTC … Por consiguiente, la absoluta ausencia de toda mención en dicha providencia al precepto constitucional objeto de infracción y la falta de la más mínima explicación que pueda aminorar o paliar dicho déficit en alguna medida debe conducir a estimar que no se ha satisfecho debidamente el requisito procesal involucrado que es objeto de examen”.</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La presente cuestión de inconstitucionalidad se plantea en relación con los arts. 8 y 10 del Real Decreto-ley 9/2008, de 28 de noviembre, por el que se crea el Fondo estatal de inversión local, por posible infracción del art. 149.1.13 CE.</w:t>
      </w:r>
    </w:p>
    <w:p w:rsidR="006B7292" w:rsidRDefault="006B7292" w:rsidP="006B7292">
      <w:pPr>
        <w:pStyle w:val="TextoNormal"/>
      </w:pPr>
    </w:p>
    <w:p w:rsidR="006B7292" w:rsidRDefault="006B7292" w:rsidP="006B7292">
      <w:pPr>
        <w:pStyle w:val="TextoNormal"/>
      </w:pPr>
      <w:r>
        <w:t>Los arts. 8 y 10 del Real Decreto-ley 9/2008 atribuyen a órganos del Estado, respectivamente, el control de la correcta aplicación de los recursos obtenidos del Fondo y la tramitación de los expedientes de reintegro de las cantidades no justificadas.</w:t>
      </w:r>
    </w:p>
    <w:p w:rsidR="006B7292" w:rsidRDefault="006B7292" w:rsidP="006B7292">
      <w:pPr>
        <w:pStyle w:val="TextoNormal"/>
      </w:pPr>
    </w:p>
    <w:p w:rsidR="006B7292" w:rsidRDefault="006B7292" w:rsidP="006B7292">
      <w:pPr>
        <w:pStyle w:val="TextoNormal"/>
      </w:pPr>
      <w:r>
        <w:t>El órgano judicial argumenta que tales preceptos son sustancialmente equivalentes a los arts. 5 y 6 del Real Decreto-ley 13/2009, de creación del Fondo estatal para el empleo y la sostenibilidad local, que fueron declarados inconstitucionales por la STC 150/2012. Destaca que en dicha Sentencia el Tribunal declaró que el art. 149.1.13 CE no amparaba dicha regulación habida cuenta de que debían ser las Comunidades Autónomas quienes asumieran, en tanto que actividades ejecutivas, el control financiero de las ayudas concedidas y, en su caso, los expedientes de reintegro. Los preceptos cuestionados incurrirían en esa misma inconstitucionalidad, al otorgar a órganos de la Administración General del Estado competencias de control y reintegro.</w:t>
      </w:r>
    </w:p>
    <w:p w:rsidR="006B7292" w:rsidRDefault="006B7292" w:rsidP="006B7292">
      <w:pPr>
        <w:pStyle w:val="TextoNormal"/>
      </w:pPr>
    </w:p>
    <w:p w:rsidR="006B7292" w:rsidRDefault="006B7292" w:rsidP="006B7292">
      <w:pPr>
        <w:pStyle w:val="TextoNormal"/>
      </w:pPr>
      <w:r>
        <w:t xml:space="preserve">El Fiscal General del Estado, con las razones detalladas en los antecedentes, sostiene que está correctamente hecho el juicio de relevancia, pero no el trámite de audiencia </w:t>
      </w:r>
      <w:r w:rsidRPr="006B7292">
        <w:rPr>
          <w:i/>
        </w:rPr>
        <w:t>ex</w:t>
      </w:r>
      <w:r>
        <w:t xml:space="preserve"> art. 35.2, debido a la absoluta ausencia de toda mención en dicha providencia al precepto constitucional objeto de infracción.</w:t>
      </w:r>
    </w:p>
    <w:p w:rsidR="006B7292" w:rsidRDefault="006B7292" w:rsidP="006B7292">
      <w:pPr>
        <w:pStyle w:val="TextoNormal"/>
      </w:pPr>
    </w:p>
    <w:p w:rsidR="006B7292" w:rsidRDefault="006B7292" w:rsidP="006B7292">
      <w:pPr>
        <w:pStyle w:val="TextoNormal"/>
      </w:pPr>
      <w:r w:rsidRPr="006B7292">
        <w:rPr>
          <w:rStyle w:val="NumeroAFNegritaCaracter"/>
        </w:rPr>
        <w:t>2</w:t>
      </w:r>
      <w:r>
        <w:t>. De acuerdo con el citado art. 37.1 de la Ley Orgánica del Tribunal Constitucional (LOTC), este Tribunal puede rechazar en trámite de admisión y mediante Auto, sin otra audiencia que la del Fiscal General del Estado, la cuestión de inconstitucionalidad “cuando faltaren las condiciones procesales”.</w:t>
      </w:r>
    </w:p>
    <w:p w:rsidR="006B7292" w:rsidRDefault="006B7292" w:rsidP="006B7292">
      <w:pPr>
        <w:pStyle w:val="TextoNormal"/>
      </w:pPr>
    </w:p>
    <w:p w:rsidR="006B7292" w:rsidRDefault="006B7292" w:rsidP="006B7292">
      <w:pPr>
        <w:pStyle w:val="TextoNormal"/>
      </w:pPr>
      <w:r>
        <w:t xml:space="preserve">Son dos los requisitos procesales en los que debemos enfocar nuestra atención, precisamente los dos que aborda el Ministerio Fiscal en sus alegaciones: a) el juicio de aplicabilidad y relevancia; b) el trámite de audiencia </w:t>
      </w:r>
      <w:r w:rsidRPr="006B7292">
        <w:rPr>
          <w:i/>
        </w:rPr>
        <w:t>ex</w:t>
      </w:r>
      <w:r>
        <w:t xml:space="preserve"> art. 35.2 LOTC. Atendiendo a un criterio de prioridad lógica, examinaremos en primer término si el trámite de audiencia </w:t>
      </w:r>
      <w:r w:rsidRPr="006B7292">
        <w:rPr>
          <w:i/>
        </w:rPr>
        <w:t>ex</w:t>
      </w:r>
      <w:r>
        <w:t xml:space="preserve"> art. 35.2 LOTC abierto por la providencia de 18 de febrero de 2015 cumplió su función. Solo si resulta acreditado que concurre este requisito procesal será necesario analizar la regularidad del juicio de aplicabilidad y relevancia realizado en el auto de planteamiento.</w:t>
      </w:r>
    </w:p>
    <w:p w:rsidR="006B7292" w:rsidRDefault="006B7292" w:rsidP="006B7292">
      <w:pPr>
        <w:pStyle w:val="TextoNormal"/>
      </w:pPr>
    </w:p>
    <w:p w:rsidR="006B7292" w:rsidRDefault="006B7292" w:rsidP="006B7292">
      <w:pPr>
        <w:pStyle w:val="TextoNormal"/>
      </w:pPr>
      <w:r>
        <w:t>El órgano judicial dictó providencia de 18 de febrero de 2015, por el que otorgó a las partes y al Ministerio Fiscal el trámite previsto en el art. 35 LOTC. Pero lo otorgó “sobre la pertinencia de plantear cuestión de inconstitucionalidad en relación con los arts. 8 y 10 del Real Decreto-Ley 9/2008”. Esto es, sin mencionar el precepto constitucional que se estima vulnerado.</w:t>
      </w:r>
    </w:p>
    <w:p w:rsidR="006B7292" w:rsidRDefault="006B7292" w:rsidP="006B7292">
      <w:pPr>
        <w:pStyle w:val="TextoNormal"/>
      </w:pPr>
    </w:p>
    <w:p w:rsidR="006B7292" w:rsidRDefault="006B7292" w:rsidP="006B7292">
      <w:pPr>
        <w:pStyle w:val="TextoNormal"/>
      </w:pPr>
      <w:r>
        <w:t>La doctrina constitucional (por todas, STC 95/2015, de 14 de mayo, FJ 2) subraya “la importancia del trámite de audiencia, que deriva del doble objetivo cuyo logro justifica su existencia: garantizar que las partes sean oídas y poner a disposición del órgano judicial un medio que le permita conocer la opinión de los sujetos interesados con el fin de facilitar su reflexión sobre la conveniencia o no de proceder a la apertura de dicho proceso. En este sentido, hemos destacado también que el mismo no puede minimizarse, reduciéndolo a un simple trámite, carente de más transcendencia que la de su obligatoria concesión, cualesquiera que sean los términos en los que ésta se acuerde, resultando inexcusable, por el contrario, que en él se identifiquen con precisión tanto los preceptos legales sobre cuya constitucionalidad se albergan dudas como las normas de la Constitución que se consideran vulneradas (por todas, STC 222/2012, de 27 de noviembre, FJ 3)”. No hacerlo, como ocurre en este caso, donde no se identifican las normas de la Constitución que se consideren vulneradas, supondría, en aplicación de esta regla general, la inadmisión de la cuestión de inconstitucionalidad por falta de requisitos procesales.</w:t>
      </w:r>
    </w:p>
    <w:p w:rsidR="006B7292" w:rsidRDefault="006B7292" w:rsidP="006B7292">
      <w:pPr>
        <w:pStyle w:val="TextoNormal"/>
      </w:pPr>
    </w:p>
    <w:p w:rsidR="006B7292" w:rsidRDefault="006B7292" w:rsidP="006B7292">
      <w:pPr>
        <w:pStyle w:val="TextoNormal"/>
      </w:pPr>
      <w:r>
        <w:t>No obstante, la doctrina constitucional ha admitido excepciones, esto es, que los defectos en la identificación en la providencia de 18 de febrero de 2015 del objeto de la cuestión de inconstitucionalidad no deben conducir inexorablemente a la inadmisión de la misma por falta de los requisitos procesales. Esto ocurrirá cuando el defecto en que incurre la providencia de apertura del trámite de audiencia no alcanza a producir confusión en los destinatarios, de modo que éstos superan ese defecto, entienden correctamente cuál era la duda que se les plantea y alegan sobre ella. En estos casos no se habrá impedido a las partes el efectivo ejercicio de su derecho de audiencia, ni se habrá privado al órgano judicial de la opinión de los sujetos interesados que facilite su reflexión sobre la conveniencia o no plantear la cuestión de inconstitucionalidad, fines que son los perseguidos por el trámite previsto por el art. 35.2 LOTC.</w:t>
      </w:r>
    </w:p>
    <w:p w:rsidR="006B7292" w:rsidRDefault="006B7292" w:rsidP="006B7292">
      <w:pPr>
        <w:pStyle w:val="TextoNormal"/>
      </w:pPr>
    </w:p>
    <w:p w:rsidR="006B7292" w:rsidRDefault="006B7292" w:rsidP="006B7292">
      <w:pPr>
        <w:pStyle w:val="TextoNormal"/>
      </w:pPr>
      <w:r>
        <w:t>Este fue el caso de la STC 296/1994, de 10 de noviembre. Entendimos entonces que “esa errática designación [de los preceptos constitucionales eventualmente infringidos por el precepto legal cuestionado] en modo alguno introdujo confusión acerca de cuáles eran los correctos términos en que se planteaba la duda de inconstitucionalidad”, lo que nos condujo a desechar la inadmisión de la cuestión allí planteada por falta de requisitos procesales.</w:t>
      </w:r>
    </w:p>
    <w:p w:rsidR="006B7292" w:rsidRDefault="006B7292" w:rsidP="006B7292">
      <w:pPr>
        <w:pStyle w:val="TextoNormal"/>
      </w:pPr>
    </w:p>
    <w:p w:rsidR="006B7292" w:rsidRDefault="006B7292" w:rsidP="006B7292">
      <w:pPr>
        <w:pStyle w:val="TextoNormal"/>
      </w:pPr>
      <w:r>
        <w:t>Aplicando la doctrina constitucional reseñada al caso concreto, el dato relevante en que tenemos que fijar nuestra atención es que, como con detalle se ha expuesto en los antecedentes, el Fiscal, el Abogado del Estado y la representación legal del Ayuntamiento de Madrid evacuaron el trámite de audiencia otorgado por la providencia de 18 de febrero de 2015 en sendos escritos de 3 y 17 de marzo pasados, argumentando en los tres escritos acerca de los efectos que para las normas legales sobre la que versaba la consulta se derivaban de la STC 150/2012, la cual, como ya hemos dicho, declaró inconstitucionales, entre otros, dos preceptos estatales sustancialmente idénticos por excederse del ámbito competencial atribuido al Estado por el art. 149.1.13 CE.</w:t>
      </w:r>
    </w:p>
    <w:p w:rsidR="006B7292" w:rsidRDefault="006B7292" w:rsidP="006B7292">
      <w:pPr>
        <w:pStyle w:val="TextoNormal"/>
      </w:pPr>
    </w:p>
    <w:p w:rsidR="006B7292" w:rsidRDefault="006B7292" w:rsidP="006B7292">
      <w:pPr>
        <w:pStyle w:val="TextoNormal"/>
      </w:pPr>
      <w:r>
        <w:t xml:space="preserve">Esto supone que el Fiscal y las dos partes del proceso </w:t>
      </w:r>
      <w:r w:rsidRPr="006B7292">
        <w:rPr>
          <w:i/>
        </w:rPr>
        <w:t>a quo</w:t>
      </w:r>
      <w:r>
        <w:t xml:space="preserve">, a pesar de la absoluta ausencia en la citada providencia de toda mención del precepto constitucional que el órgano judicial consideraba infringido, entendieron correctamente cuál era la duda que se les planteaba y alegaron expresamente sobre ella. Cabe concluir que, en estas circunstancias, el trámite de audiencia </w:t>
      </w:r>
      <w:r w:rsidRPr="006B7292">
        <w:rPr>
          <w:i/>
        </w:rPr>
        <w:t>ex</w:t>
      </w:r>
      <w:r>
        <w:t xml:space="preserve"> art. 35.2 LOTC cumplió el doble objetivo al que sirve, de modo que no es posible afirmar que en esta cuestión de inconstitucionalidad falte este requisito procesal.</w:t>
      </w:r>
    </w:p>
    <w:p w:rsidR="006B7292" w:rsidRDefault="006B7292" w:rsidP="006B7292">
      <w:pPr>
        <w:pStyle w:val="TextoNormal"/>
      </w:pPr>
    </w:p>
    <w:p w:rsidR="006B7292" w:rsidRDefault="006B7292" w:rsidP="006B7292">
      <w:pPr>
        <w:pStyle w:val="TextoNormal"/>
      </w:pPr>
      <w:r w:rsidRPr="006B7292">
        <w:rPr>
          <w:rStyle w:val="NumeroAFNegritaCaracter"/>
        </w:rPr>
        <w:t>3</w:t>
      </w:r>
      <w:r>
        <w:t>. Acreditado que concurre este requisito procesal será necesario analizar si también aparecen satisfechos aquellos otros que directamente se predican del auto de planteamiento, en especial el relativo a la regularidad del juicio de aplicabilidad y relevancia de las normas legales cuestionadas.</w:t>
      </w:r>
    </w:p>
    <w:p w:rsidR="006B7292" w:rsidRDefault="006B7292" w:rsidP="006B7292">
      <w:pPr>
        <w:pStyle w:val="TextoNormal"/>
      </w:pPr>
    </w:p>
    <w:p w:rsidR="006B7292" w:rsidRDefault="006B7292" w:rsidP="006B7292">
      <w:pPr>
        <w:pStyle w:val="TextoNormal"/>
      </w:pPr>
      <w:r>
        <w:t xml:space="preserve">Es preciso comenzar recordando, conforme dijimos en el ATC 79/2015, de 30 de abril, FJ 3, “que los apartados 1 y 2 del art. 35 LOTC exigen, respectivamente, que la norma con rango de ley de la que tenga dudas un Juez o Tribunal debe ser ‘aplicable al caso y de cuya validez dependa el fallo’ y que el órgano judicial deberá especificar o justificar, en el Auto de planteamiento de la cuestión, en qué medida la decisión del proceso depende de la validez de la norma en cuestión … No basta con que el Tribunal ordinario considere que la norma es aplicable al caso, sino que también ha de satisfacerse el requisito de la relevancia de la cuestión, pues si bien la aplicabilidad de la norma es condición necesaria para que el fallo dependa de su validez, no es, en modo alguno, condición suficiente (STC 156/2014, FJ 2).También ha considerado este Tribunal que es a los Jueces y Tribunales ordinarios que plantean las cuestiones de inconstitucionalidad a los que corresponde comprobar y exteriorizar, </w:t>
      </w:r>
      <w:r w:rsidRPr="006B7292">
        <w:rPr>
          <w:i/>
        </w:rPr>
        <w:t>prima facie</w:t>
      </w:r>
      <w:r>
        <w:t>, dicho juicio de relevancia”.</w:t>
      </w:r>
    </w:p>
    <w:p w:rsidR="006B7292" w:rsidRDefault="006B7292" w:rsidP="006B7292">
      <w:pPr>
        <w:pStyle w:val="TextoNormal"/>
      </w:pPr>
    </w:p>
    <w:p w:rsidR="006B7292" w:rsidRDefault="006B7292" w:rsidP="006B7292">
      <w:pPr>
        <w:pStyle w:val="TextoNormal"/>
      </w:pPr>
      <w:r>
        <w:t>El Ministerio Fiscal, después de transcribir literalmente los razonamientos jurídicos del Auto de planteamiento, concluye que el órgano judicial “implícitamente viene a afirmar que a su criterio los preceptos cuya constitucionalidad cuestiona resultan aplicables a su juicio”, lo que determina, en su opinión, que el requisito procesal que nos ocupa esté suficientemente cumplido.</w:t>
      </w:r>
    </w:p>
    <w:p w:rsidR="006B7292" w:rsidRDefault="006B7292" w:rsidP="006B7292">
      <w:pPr>
        <w:pStyle w:val="TextoNormal"/>
      </w:pPr>
    </w:p>
    <w:p w:rsidR="006B7292" w:rsidRDefault="006B7292" w:rsidP="006B7292">
      <w:pPr>
        <w:pStyle w:val="TextoNormal"/>
      </w:pPr>
      <w:r>
        <w:t xml:space="preserve">Este Tribunal aprecia, a la luz de la doctrina constitucional transcrita, que la afirmación por el órgano judicial de la aplicabilidad y relevancia de los preceptos legales sobre los que se promueve una cuestión de inconstitucionalidad no es suficiente cuando no es más que implícita, pues, como ha destacado la doctrina constitucional citada, “el órgano judicial deberá especificar o justificar” dichos juicios o, dicho de otro modo, “es a los Jueces y Tribunales ordinarios que plantean las cuestiones de inconstitucionalidad a los que corresponde comprobar y exteriorizar” tales juicios. Esta necesidad de exteriorización no se proyecta solamente respecto de la aplicabilidad de la norma cuestionada sino que alcanza igualmente a su relevancia para la resolución del proceso </w:t>
      </w:r>
      <w:r w:rsidRPr="006B7292">
        <w:rPr>
          <w:i/>
        </w:rPr>
        <w:t>a quo</w:t>
      </w:r>
      <w:r>
        <w:t>.</w:t>
      </w:r>
    </w:p>
    <w:p w:rsidR="006B7292" w:rsidRDefault="006B7292" w:rsidP="006B7292">
      <w:pPr>
        <w:pStyle w:val="TextoNormal"/>
      </w:pPr>
    </w:p>
    <w:p w:rsidR="006B7292" w:rsidRDefault="006B7292" w:rsidP="006B7292">
      <w:pPr>
        <w:pStyle w:val="TextoNormal"/>
      </w:pPr>
      <w:r>
        <w:t>El Auto de planteamiento no va más allá de exponer que los preceptos cuestionados fueron aplicados por los actos administrativos impugnados el pleito a quo. En estas circunstancia, aunque pudiera admitirse que con ello se justifica la aplicabilidad de los mismos, no es posible reconocer en tal argumento una exteriorización del juicio de relevancia, lo que determina la inadmisión de la presente cuestión de inconstitucionalidad porque el órgano judicial no ha levantado la carga de “especificar y justificar” el juicio de relevancia.</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Inadmitir a trámite la presente cuestión de inconstitucionalidad núm. 2210-2015, planteada por la Sección Octava de la Sala de lo Contencioso-Administrativo del Tribunal Superior de Justicia de Madrid.</w:t>
      </w:r>
    </w:p>
    <w:p w:rsidR="006B7292" w:rsidRDefault="006B7292" w:rsidP="006B7292">
      <w:pPr>
        <w:pStyle w:val="TextoNormal"/>
      </w:pPr>
    </w:p>
    <w:p w:rsidR="006B7292" w:rsidRDefault="006B7292" w:rsidP="006B7292">
      <w:pPr>
        <w:pStyle w:val="TextoNormal"/>
      </w:pPr>
      <w:r>
        <w:t>Madrid, a veintiuno de julio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51" w:name="AUTO_2015_137"/>
      <w:r>
        <w:t>AUTO 137/2015, de 21 de julio de 2015</w:t>
      </w:r>
    </w:p>
    <w:bookmarkEnd w:id="151"/>
    <w:p w:rsidR="006B7292" w:rsidRDefault="006B7292" w:rsidP="006B7292">
      <w:pPr>
        <w:pStyle w:val="TtuloResolucin"/>
      </w:pPr>
      <w:r>
        <w:t>Pleno</w:t>
      </w:r>
    </w:p>
    <w:p w:rsidR="006B7292" w:rsidRDefault="006B7292" w:rsidP="006B7292">
      <w:pPr>
        <w:pStyle w:val="TtuloBOE"/>
      </w:pPr>
      <w:r>
        <w:t>(BOE núm. 200, de 21 de agosto de 2015)</w:t>
      </w:r>
    </w:p>
    <w:p w:rsidR="006B7292" w:rsidRDefault="006B7292" w:rsidP="006B7292">
      <w:pPr>
        <w:pStyle w:val="TextoNormalCentrado"/>
      </w:pPr>
      <w:r>
        <w:t>ECLI:ES:TC:2015:137A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Inadmite la cuestión de inconstitucionalidad 2639-2015, planteada por la Sección Cuarta de la Audiencia Provincial de Tarragona en relación con la disposición final octava de la Ley Orgánica 1/2015, de 30 de marzo, de reforma del código penal.</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Con fecha 8 de mayo de 2015 tuvo entrada en el Registro General de este Tribunal un oficio de la Sección Cuarta de la Audiencia Provincial de Tarragona, al que se acompaña, junto con los testimonios del rollo de apelación núm. 25-2015 y del juicio de faltas núm. 423-2014 del Juzgado de Instrucción núm. 2 de Reus, el Auto de fecha 24 de abril de 2015 por el que se acuerda plantear cuestión de inconstitucionalidad respecto de la disposición final octava de la Ley Orgánica 1/2015, de 30 de marzo, de reforma del Código penal (CP), en relación con la disposición transitoria primera y disposición derogatoria única de la citada norma, por posible vulneración de los arts. 9.3, 24.1 y 25.1 CE.</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de hecho de la cuestión son, sucintamente expuestos, los siguientes:</w:t>
      </w:r>
    </w:p>
    <w:p w:rsidR="006B7292" w:rsidRDefault="006B7292" w:rsidP="006B7292">
      <w:pPr>
        <w:pStyle w:val="TextoNormal"/>
      </w:pPr>
    </w:p>
    <w:p w:rsidR="006B7292" w:rsidRDefault="006B7292" w:rsidP="006B7292">
      <w:pPr>
        <w:pStyle w:val="TextoNormal"/>
      </w:pPr>
      <w:r>
        <w:t>a) En fecha 17 de junio de 2014, don A.P.L. (en adelante, el denunciante) compareció en dependencias de los Mossos d‘Esquadra de Cambrils para presentar denuncia contra S.M.V.G. (en adelante, la denunciada) por la comisión de una falta de incumplimiento del régimen de visitas (art. 618.2 CP) en relación con el hijo común de ambos.</w:t>
      </w:r>
    </w:p>
    <w:p w:rsidR="006B7292" w:rsidRDefault="006B7292" w:rsidP="006B7292">
      <w:pPr>
        <w:pStyle w:val="TextoNormal"/>
      </w:pPr>
    </w:p>
    <w:p w:rsidR="006B7292" w:rsidRDefault="006B7292" w:rsidP="006B7292">
      <w:pPr>
        <w:pStyle w:val="TextoNormal"/>
      </w:pPr>
      <w:r>
        <w:t>b) Una vez remitida la denuncia a la autoridad judicial, el Juzgado de Instrucción núm. 2 de Reus acordó, mediante Auto de 23 de junio de 2014, la incoación de juicio de faltas (núm. 423-2014), ordenando la citación a juicio de las partes para el día 8 de septiembre de 2014.</w:t>
      </w:r>
    </w:p>
    <w:p w:rsidR="006B7292" w:rsidRDefault="006B7292" w:rsidP="006B7292">
      <w:pPr>
        <w:pStyle w:val="TextoNormal"/>
      </w:pPr>
    </w:p>
    <w:p w:rsidR="006B7292" w:rsidRDefault="006B7292" w:rsidP="006B7292">
      <w:pPr>
        <w:pStyle w:val="TextoNormal"/>
      </w:pPr>
      <w:r>
        <w:t>c) El día señalado se celebró el juicio de faltas, compareciendo al mismo el denunciante y el Ministerio Fiscal, no haciéndolo, en cambio, la denunciada. En fecha 15 de septiembre de 2014 se dictó Sentencia (núm. 290-2014) en la que el Juzgado de Instrucción núm. 2 de Reus condenó a la denunciada por una falta del art. 618.2 del Código penal, imponiéndole la pena de quince días de multa, con una cuota diaria de 6 € y responsabilidad personal subsidiaria en caso de impago.</w:t>
      </w:r>
    </w:p>
    <w:p w:rsidR="006B7292" w:rsidRDefault="006B7292" w:rsidP="006B7292">
      <w:pPr>
        <w:pStyle w:val="TextoNormal"/>
      </w:pPr>
    </w:p>
    <w:p w:rsidR="006B7292" w:rsidRDefault="006B7292" w:rsidP="006B7292">
      <w:pPr>
        <w:pStyle w:val="TextoNormal"/>
      </w:pPr>
      <w:r>
        <w:t>d) La denunciada presentó recurso de apelación en fecha 30 de septiembre de 2014. Mediante diligencia de ordenación de 7 de octubre de 2014 el Secretario Judicial ordenó el traslado del recurso interpuesto “a las demás partes y al Ministerio Fiscal” para que, en el plazo común de diez días, efectuaran las pertinentes alegaciones. En diligencia de ordenación de 11 de febrero de 2015 el Secretario dio por precluído el trámite para presentar alegaciones, que sólo fue cumplimentado por el Ministerio Fiscal.</w:t>
      </w:r>
    </w:p>
    <w:p w:rsidR="006B7292" w:rsidRDefault="006B7292" w:rsidP="006B7292">
      <w:pPr>
        <w:pStyle w:val="TextoNormal"/>
      </w:pPr>
    </w:p>
    <w:p w:rsidR="006B7292" w:rsidRDefault="006B7292" w:rsidP="006B7292">
      <w:pPr>
        <w:pStyle w:val="TextoNormal"/>
      </w:pPr>
      <w:r>
        <w:t>e) Recibidas las actuaciones en la Audiencia Provincial, fueron repartidas a la Sección Cuarta, que, mediante providencia de 23 de febrero de 2015, ordenó la formación de rollo y la designación de ponente.</w:t>
      </w:r>
    </w:p>
    <w:p w:rsidR="006B7292" w:rsidRDefault="006B7292" w:rsidP="006B7292">
      <w:pPr>
        <w:pStyle w:val="TextoNormal"/>
      </w:pPr>
    </w:p>
    <w:p w:rsidR="006B7292" w:rsidRDefault="006B7292" w:rsidP="006B7292">
      <w:pPr>
        <w:pStyle w:val="TextoNormal"/>
      </w:pPr>
      <w:r>
        <w:t>f) Mediante providencia de 2 de abril de 2015, el Magistrado Ponente concedió a las partes un plazo común de diez días para que alegaran sobre la posibilidad de plantear cuestión de inconstitucionalidad.</w:t>
      </w:r>
    </w:p>
    <w:p w:rsidR="006B7292" w:rsidRDefault="006B7292" w:rsidP="006B7292">
      <w:pPr>
        <w:pStyle w:val="TextoNormal"/>
      </w:pPr>
    </w:p>
    <w:p w:rsidR="006B7292" w:rsidRDefault="006B7292" w:rsidP="006B7292">
      <w:pPr>
        <w:pStyle w:val="TextoNormal"/>
      </w:pPr>
      <w:r>
        <w:t xml:space="preserve">En la citada providencia se señalaba que dicha cuestión “giraría sobre la Disposición Final Octava de la mencionada Ley Orgánica 1/2015, en relación con lo dispuesto en la Disposición Transitoria Primera de la misma ley, en la medida en que no contempla, como regla de Derecho transitorio, la inmediata entrada en vigor el párrafo primero de la Disposición Derogatoria Primera por el que se deroga el artículo 618 CP y, en consecuencia, se destipifica la conducta de incumplimiento de obligaciones familiares”. Se añadía a continuación en la resolución que “el establecimiento de una </w:t>
      </w:r>
      <w:r w:rsidRPr="006B7292">
        <w:rPr>
          <w:i/>
        </w:rPr>
        <w:t>vacatio legis</w:t>
      </w:r>
      <w:r>
        <w:t xml:space="preserve"> de tres meses respecto a una norma que destipifica una conducta infringiría los principios de interdicción de la arbitrariedad de los poderes públicos y de proporcionalidad (art. 9.3 CE), el principio de legalidad penal material (art. 25 CE) y el derecho a la tutela judicial efectiva (art. 24 CE)”.</w:t>
      </w:r>
    </w:p>
    <w:p w:rsidR="006B7292" w:rsidRDefault="006B7292" w:rsidP="006B7292">
      <w:pPr>
        <w:pStyle w:val="TextoNormal"/>
      </w:pPr>
    </w:p>
    <w:p w:rsidR="006B7292" w:rsidRDefault="006B7292" w:rsidP="006B7292">
      <w:pPr>
        <w:pStyle w:val="TextoNormal"/>
      </w:pPr>
      <w:r>
        <w:t>g) Dicha comunicación fue cumplimentada con la apelante y con el Ministerio Fiscal. El Fiscal presentó su escrito de alegaciones en fecha 15 de abril de 2015, en el que manifestó que no se oponía al planteamiento de la cuestión, al cumplirse con los juicios de aplicabilidad y relevancia, reservando al trámite oportuno el juicio de fondo de la duda de constitucionalidad. La apelante presentó escrito en fecha 23 de abril, en el que se manifestó a favor del planteamiento de la cuestión. Este trámite no fue cumplimentado con el denunciante.</w:t>
      </w:r>
    </w:p>
    <w:p w:rsidR="006B7292" w:rsidRDefault="006B7292" w:rsidP="006B7292">
      <w:pPr>
        <w:pStyle w:val="TextoNormal"/>
      </w:pPr>
    </w:p>
    <w:p w:rsidR="006B7292" w:rsidRDefault="006B7292" w:rsidP="006B7292">
      <w:pPr>
        <w:pStyle w:val="TextoNormal"/>
      </w:pPr>
      <w:r w:rsidRPr="006B7292">
        <w:rPr>
          <w:rStyle w:val="NumeroAFNegritaCaracter"/>
        </w:rPr>
        <w:t>3</w:t>
      </w:r>
      <w:r>
        <w:t xml:space="preserve">. Por Auto de fecha 24 de abril de 2015, la Sección Cuarta de la Audiencia Provincial de Tarragona, constituida como órgano unipersonal, dictó Auto de planteamiento de cuestión de inconstitucionalidad. El órgano judicial señala que la cuestión de inconstitucionalidad versa sobre la disposición final octava, en relación con la disposición transitoria primera y la disposición derogatoria única, todas de la Ley Orgánica 1/2015, pues se pospone la efectiva despenalización de la falta prevista en el art. 618 CP, por la que resultó condenada la apelante, hasta el día 1 de julio de 2015. A juicio del órgano judicial, una </w:t>
      </w:r>
      <w:r w:rsidRPr="006B7292">
        <w:rPr>
          <w:i/>
        </w:rPr>
        <w:t>vacatio legis</w:t>
      </w:r>
      <w:r>
        <w:t xml:space="preserve"> de tres meses para una norma que despenaliza una conducta hasta ahora penalmente relevante infringe los principios de interdicción de la arbitrariedad (art. 9.3 CE), el principio de legalidad penal material (art. 25.1 CE) y el derecho a la tutela judicial efectiva (art. 24.1 CE).</w:t>
      </w:r>
    </w:p>
    <w:p w:rsidR="006B7292" w:rsidRDefault="006B7292" w:rsidP="006B7292">
      <w:pPr>
        <w:pStyle w:val="TextoNormal"/>
      </w:pPr>
    </w:p>
    <w:p w:rsidR="006B7292" w:rsidRDefault="006B7292" w:rsidP="006B7292">
      <w:pPr>
        <w:pStyle w:val="TextoNormal"/>
      </w:pPr>
      <w:r>
        <w:t>Tras reconocer el amplio espacio de libertad de que goza el legislador para delimitar el ámbito de la intervención penal, considera que aquél debe ajustar su actividad normativa al nivel de racionalidad que viene impuesto por la Constitución, de manera que la norma debe sujetarse a un estándar mínimo de racionalidad procedimental, ética y teleológica.</w:t>
      </w:r>
    </w:p>
    <w:p w:rsidR="006B7292" w:rsidRDefault="006B7292" w:rsidP="006B7292">
      <w:pPr>
        <w:pStyle w:val="TextoNormal"/>
      </w:pPr>
    </w:p>
    <w:p w:rsidR="006B7292" w:rsidRDefault="006B7292" w:rsidP="006B7292">
      <w:pPr>
        <w:pStyle w:val="TextoNormal"/>
      </w:pPr>
      <w:r>
        <w:t>En relación con el caso, entiende que el parámetro de racionalidad ética se configura del siguiente modo: i) los principios de protección, que atenderían a las pautas delimitadoras de los contenidos de tutela del derecho penal; ii) los principios de responsabilidad, que se encargarían de identificar los contenidos que deben concurrir en un comportamiento para que pueda exigirse responsabilidad criminal; iii) los principios de la sanción, que atenderían a los fundamentos de la reacción sancionatoria contra conductas criminalmente responsables. Sobre estos principios, el Tribunal Constitucional ha construido los diferentes estándares de control aplicables a las leyes penales y sancionadoras entre las que destacan el principio de protección y estricta defensa de bienes jurídicos (SSTC 55/1996 y 161/1997).</w:t>
      </w:r>
    </w:p>
    <w:p w:rsidR="006B7292" w:rsidRDefault="006B7292" w:rsidP="006B7292">
      <w:pPr>
        <w:pStyle w:val="TextoNormal"/>
      </w:pPr>
    </w:p>
    <w:p w:rsidR="006B7292" w:rsidRDefault="006B7292" w:rsidP="006B7292">
      <w:pPr>
        <w:pStyle w:val="TextoNormal"/>
      </w:pPr>
      <w:r>
        <w:t xml:space="preserve">Descendiendo al caso, el órgano judicial considera que, en términos de proporcionalidad, no se vislumbran razones que justifiquen la </w:t>
      </w:r>
      <w:r w:rsidRPr="006B7292">
        <w:rPr>
          <w:i/>
        </w:rPr>
        <w:t>vacatio legis</w:t>
      </w:r>
      <w:r>
        <w:t xml:space="preserve"> de tres meses para la destipificación de la conducta descrita en el art. 618 CP, habida cuenta que el legislador ya ha dejado patente su voluntad de dejar sin efecto dicha infracción. Advierte que la transitoriedad tiene sentido, en términos funcionales, cuando la nueva ley penal incorpora novedosos espacios de prohibición, pues ello facilita que las prohibiciones introducidas sean conocidas por los destinatarios. Sin embargo, no concurre esa finalidad cuando la norma penal despenaliza una conducta.</w:t>
      </w:r>
    </w:p>
    <w:p w:rsidR="006B7292" w:rsidRDefault="006B7292" w:rsidP="006B7292">
      <w:pPr>
        <w:pStyle w:val="TextoNormal"/>
      </w:pPr>
    </w:p>
    <w:p w:rsidR="006B7292" w:rsidRDefault="006B7292" w:rsidP="006B7292">
      <w:pPr>
        <w:pStyle w:val="TextoNormal"/>
      </w:pPr>
      <w:r>
        <w:t xml:space="preserve">En suma, la imposibilidad de hallar una razón justificativa al período de </w:t>
      </w:r>
      <w:r w:rsidRPr="006B7292">
        <w:rPr>
          <w:i/>
        </w:rPr>
        <w:t>vacatio legis</w:t>
      </w:r>
      <w:r>
        <w:t>, constituye un “patente derroche inútil de coacción que convierte la norma en arbitraria y que socava los principios elementales de justicia inherentes a la dignidad de la persona y al Estado de Derecho” (SSTC 55/1996 y 136/1999). Por ello, el retardo de la entrada en vigor de la norma despenalizadora es arbitrario por no satisfacer las exigencias de racionalidad ética y, por ello, infringe el mandato de interdicción de la arbitrariedad (art. 9.3 CE), lesiona el derecho subjetivo a que la legalidad penal se ajuste a las exigencias de protección y sanción (art. 25 CE) y desconoce, además, el derecho de toda persona a no verse, de manera injusta o carente de causa, sometido a un proceso inculpatorio (art. 24 CE).</w:t>
      </w:r>
    </w:p>
    <w:p w:rsidR="006B7292" w:rsidRDefault="006B7292" w:rsidP="006B7292">
      <w:pPr>
        <w:pStyle w:val="TextoNormal"/>
      </w:pPr>
    </w:p>
    <w:p w:rsidR="006B7292" w:rsidRDefault="006B7292" w:rsidP="006B7292">
      <w:pPr>
        <w:pStyle w:val="TextoNormal"/>
      </w:pPr>
      <w:r>
        <w:t>En lo atinente a la relevancia procesal, considera que la cuestión que se promueve resulta especialmente trascendente, dado que el objeto del proceso penal consiste en que los hechos atribuidos a la denunciada se sustentan en la tipificación penal de su conducta en la norma derogada. Añade que el juicio de culpabilidad pende de la vigencia arbitraria del tipo que sirvió de título de condena en la instancia y, por último, destaca que la cuestión se plantea una vez concluido el procedimiento y dentro del plazo para dictar sentencia, conforme a lo establecido en el art. 35 de la Ley Orgánica del Tribunal Constitucional (LOTC).</w:t>
      </w:r>
    </w:p>
    <w:p w:rsidR="006B7292" w:rsidRDefault="006B7292" w:rsidP="006B7292">
      <w:pPr>
        <w:pStyle w:val="TextoNormal"/>
      </w:pPr>
    </w:p>
    <w:p w:rsidR="006B7292" w:rsidRDefault="006B7292" w:rsidP="006B7292">
      <w:pPr>
        <w:pStyle w:val="TextoNormal"/>
      </w:pPr>
      <w:r w:rsidRPr="006B7292">
        <w:rPr>
          <w:rStyle w:val="NumeroAFNegritaCaracter"/>
        </w:rPr>
        <w:t>4</w:t>
      </w:r>
      <w:r>
        <w:t>. Por providencia 9 de junio del 2015, la Sección Cuarta del Tribunal Constitucional acordó, a los efectos que determina el art. 37.1 LOTC, oír al Fiscal General del Estado para que, en plazo de diez días, alegue lo que considere conveniente acerca de la admisibilidad de la presente cuestión de inconstitucionalidad, en relación con el cumplimiento de los requisitos procesales (art. 35.2 LOTC).</w:t>
      </w:r>
    </w:p>
    <w:p w:rsidR="006B7292" w:rsidRDefault="006B7292" w:rsidP="006B7292">
      <w:pPr>
        <w:pStyle w:val="TextoNormal"/>
      </w:pPr>
    </w:p>
    <w:p w:rsidR="006B7292" w:rsidRDefault="006B7292" w:rsidP="006B7292">
      <w:pPr>
        <w:pStyle w:val="TextoNormal"/>
      </w:pPr>
      <w:r w:rsidRPr="006B7292">
        <w:rPr>
          <w:rStyle w:val="NumeroAFNegritaCaracter"/>
        </w:rPr>
        <w:t>5</w:t>
      </w:r>
      <w:r>
        <w:t>. Mediante escrito registrado el día 3 de julio de 2015, el Fiscal General del Estado presentó sus alegaciones. En primer lugar, considera que el órgano proponente de la cuestión de inconstitucionalidad ha identificado correctamente, en la providencia de fecha 2 de abril de 2015, los preceptos de la Ley Orgánica 1/2015 que estima contrarios a la Constitución y los preceptos de esta última que resultarían vulnerados.</w:t>
      </w:r>
    </w:p>
    <w:p w:rsidR="006B7292" w:rsidRDefault="006B7292" w:rsidP="006B7292">
      <w:pPr>
        <w:pStyle w:val="TextoNormal"/>
      </w:pPr>
    </w:p>
    <w:p w:rsidR="006B7292" w:rsidRDefault="006B7292" w:rsidP="006B7292">
      <w:pPr>
        <w:pStyle w:val="TextoNormal"/>
      </w:pPr>
      <w:r>
        <w:t xml:space="preserve">El Fiscal General del Estado entiende que la formulación del juicio de aplicabilidad de las normas citadas ha sido correcta. Según se indica en el Auto de planteamiento, las dudas de constitucionalidad se circunscriben al retardo de la aplicabilidad de las normas de derecho transitorio, pues la fijación de un plazo de </w:t>
      </w:r>
      <w:r w:rsidRPr="006B7292">
        <w:rPr>
          <w:i/>
        </w:rPr>
        <w:t>vacatio legis</w:t>
      </w:r>
      <w:r>
        <w:t xml:space="preserve"> impide la inmediata efectividad de la despenalización de la falta tipificada en el art. 618 CP. Sobre este particular, el Fiscal General del Estado sostiene que si bien la disposición transitoria primera no ha entrado en vigor al momento del planteamiento de la cuestión de inconstitucionalidad, sin embargo, en ese momento ya estaba vigente la disposición final octava, de conformidad con lo establecido en el art. 2.1 del Código civil, de manera que esta última norma sí resulta de aplicación caso y de ello deriva la imposibilidad de aplicación inmediata de la despenalización respecto de la falta a que se ha hecho mención. Por ello, en relación con el caso se mantiene invariada la punición de la conducta que prevé el art. 618 CP.</w:t>
      </w:r>
    </w:p>
    <w:p w:rsidR="006B7292" w:rsidRDefault="006B7292" w:rsidP="006B7292">
      <w:pPr>
        <w:pStyle w:val="TextoNormal"/>
      </w:pPr>
    </w:p>
    <w:p w:rsidR="006B7292" w:rsidRDefault="006B7292" w:rsidP="006B7292">
      <w:pPr>
        <w:pStyle w:val="TextoNormal"/>
      </w:pPr>
      <w:r>
        <w:t>Respecto del denominado “juicio de relevancia”, el Fiscal General del Estado estima que también ha sido correctamente formulado, puesto que, aun cuando pudiera parecer que la argumentación esgrimida impugna de manera abstracta la norma cuestionada, lo cierto es que el promotor de la cuestión se plantea implícitamente la confirmación de la condena en segunda instancia, como consecuencia de la inevitable aplicación del art. 618 CP.</w:t>
      </w:r>
    </w:p>
    <w:p w:rsidR="006B7292" w:rsidRDefault="006B7292" w:rsidP="006B7292">
      <w:pPr>
        <w:pStyle w:val="TextoNormal"/>
      </w:pPr>
    </w:p>
    <w:p w:rsidR="006B7292" w:rsidRDefault="006B7292" w:rsidP="006B7292">
      <w:pPr>
        <w:pStyle w:val="TextoNormal"/>
      </w:pPr>
      <w:r>
        <w:t>En suma, sostiene que la presente cuestión debiera ser admitida a trámite; no obstante, señala que en la fecha de emisión del dictamen ya ha entrado en vigor la reforma del Código penal y, consecuentemente, la efectiva despenalización de la infracción descrita en el art. 618 CP. Por ello, de conformidad con la doctrina establecida en la STC 6/2010, de 14 de abril, también debería apreciarse, en el presente caso, la pérdida de relevancia del precepto legal cuya constitucionalidad ha sido cuestionada, con la consiguiente extinción del objeto de la presente cuestión de inconstitucionalidad.</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La Sección Cuarta de la Audiencia Provincial de Tarragona, constituida como órgano unipersonal, plantea cuestión de inconstitucionalidad de la disposición final octava de la Ley Orgánica 1/2015, de reforma de Código penal, en relación con la disposición transitoria primera y la disposición derogatoria única de la citada norma, por posible vulneración de los arts. 9.3, 24.1 y 25.1 CE, en tanto que pospone al 1 de julio de 2015 la entrada en vigor de la despenalización de la conducta prevista en el art. 618 del Código penal (CP). El contenido de las normas invocadas es el siguiente:</w:t>
      </w:r>
    </w:p>
    <w:p w:rsidR="006B7292" w:rsidRDefault="006B7292" w:rsidP="006B7292">
      <w:pPr>
        <w:pStyle w:val="TextoNormal"/>
      </w:pPr>
    </w:p>
    <w:p w:rsidR="006B7292" w:rsidRDefault="006B7292" w:rsidP="006B7292">
      <w:pPr>
        <w:pStyle w:val="TextoNormal"/>
      </w:pPr>
      <w:r>
        <w:t>“Disposición Final Octava. Entrada en vigor.</w:t>
      </w:r>
    </w:p>
    <w:p w:rsidR="006B7292" w:rsidRDefault="006B7292" w:rsidP="006B7292">
      <w:pPr>
        <w:pStyle w:val="TextoNormal"/>
      </w:pPr>
    </w:p>
    <w:p w:rsidR="006B7292" w:rsidRDefault="006B7292" w:rsidP="006B7292">
      <w:pPr>
        <w:pStyle w:val="TextoNormal"/>
      </w:pPr>
      <w:r>
        <w:t>La presente Ley Orgánica entrará en vigor el 1 de julio de 2015.”</w:t>
      </w:r>
    </w:p>
    <w:p w:rsidR="006B7292" w:rsidRDefault="006B7292" w:rsidP="006B7292">
      <w:pPr>
        <w:pStyle w:val="TextoNormal"/>
      </w:pPr>
    </w:p>
    <w:p w:rsidR="006B7292" w:rsidRDefault="006B7292" w:rsidP="006B7292">
      <w:pPr>
        <w:pStyle w:val="TextoNormal"/>
      </w:pPr>
      <w:r>
        <w:t>“Disposición Transitoria Primera. Legislación aplicable.</w:t>
      </w:r>
    </w:p>
    <w:p w:rsidR="006B7292" w:rsidRDefault="006B7292" w:rsidP="006B7292">
      <w:pPr>
        <w:pStyle w:val="TextoNormal"/>
      </w:pPr>
    </w:p>
    <w:p w:rsidR="006B7292" w:rsidRDefault="006B7292" w:rsidP="006B7292">
      <w:pPr>
        <w:pStyle w:val="TextoNormal"/>
      </w:pPr>
      <w:r>
        <w:t>1. Los delitos y faltas cometidos hasta el día de la entrada en vigor de esta Ley se juzgarán conforme a la legislación penal vigente en el momento de su comisión. No obstante lo anterior, se aplicará esta Ley, una vez que entre en vigor, si las disposiciones de la misma son más favorables para el reo, aunque los hechos hubieran sido cometidos con anterioridad a su entrada en vigor.”</w:t>
      </w:r>
    </w:p>
    <w:p w:rsidR="006B7292" w:rsidRDefault="006B7292" w:rsidP="006B7292">
      <w:pPr>
        <w:pStyle w:val="TextoNormal"/>
      </w:pPr>
    </w:p>
    <w:p w:rsidR="006B7292" w:rsidRDefault="006B7292" w:rsidP="006B7292">
      <w:pPr>
        <w:pStyle w:val="TextoNormal"/>
      </w:pPr>
      <w:r>
        <w:t>“Disposición Derogatoria Única</w:t>
      </w:r>
    </w:p>
    <w:p w:rsidR="006B7292" w:rsidRDefault="006B7292" w:rsidP="006B7292">
      <w:pPr>
        <w:pStyle w:val="TextoNormal"/>
      </w:pPr>
    </w:p>
    <w:p w:rsidR="006B7292" w:rsidRDefault="006B7292" w:rsidP="006B7292">
      <w:pPr>
        <w:pStyle w:val="TextoNormal"/>
      </w:pPr>
      <w:r>
        <w:t>1. Queda derogado el Libro III de la Ley Orgánica 10/1995, de 23 de noviembre, del Código Penal.”</w:t>
      </w:r>
    </w:p>
    <w:p w:rsidR="006B7292" w:rsidRDefault="006B7292" w:rsidP="006B7292">
      <w:pPr>
        <w:pStyle w:val="TextoNormal"/>
      </w:pPr>
    </w:p>
    <w:p w:rsidR="006B7292" w:rsidRDefault="006B7292" w:rsidP="006B7292">
      <w:pPr>
        <w:pStyle w:val="TextoNormal"/>
      </w:pPr>
      <w:r>
        <w:t>El órgano judicial proponente considera que la citada disposición final es contraria a los arts. 9.3, 24.1 y 25.1 CE, en tanto que pospone, a fecha 1 de julio de 2015, la entrada en vigor de la despenalización de la conducta prevista en el art. 618 CP, en vez de posibilitar su inmediata desaparición como infracción penal.</w:t>
      </w:r>
    </w:p>
    <w:p w:rsidR="006B7292" w:rsidRDefault="006B7292" w:rsidP="006B7292">
      <w:pPr>
        <w:pStyle w:val="TextoNormal"/>
      </w:pPr>
    </w:p>
    <w:p w:rsidR="006B7292" w:rsidRDefault="006B7292" w:rsidP="006B7292">
      <w:pPr>
        <w:pStyle w:val="TextoNormal"/>
      </w:pPr>
      <w:r>
        <w:t>El Fiscal General del Estado, en el trámite previsto en el art. 37.1 de la Ley Orgánica del Tribunal Constitucional (LOTC), considera que la cuestión debe ser admitida a trámite, si bien señala que, al haber entrado en vigor la reforma del Código penal, concretamente el día 1 de julio de 2015, su objeto se ha extinguido, de conformidad con la doctrina establecida en la STC 6/2010, de 14 de abril.</w:t>
      </w:r>
    </w:p>
    <w:p w:rsidR="006B7292" w:rsidRDefault="006B7292" w:rsidP="006B7292">
      <w:pPr>
        <w:pStyle w:val="TextoNormal"/>
      </w:pPr>
    </w:p>
    <w:p w:rsidR="006B7292" w:rsidRDefault="006B7292" w:rsidP="006B7292">
      <w:pPr>
        <w:pStyle w:val="TextoNormal"/>
      </w:pPr>
      <w:r w:rsidRPr="006B7292">
        <w:rPr>
          <w:rStyle w:val="NumeroAFNegritaCaracter"/>
        </w:rPr>
        <w:t>2</w:t>
      </w:r>
      <w:r>
        <w:t>. Conforme a lo dispuesto en el art. 37.1 LOTC, este Tribunal puede rechazar en trámite de admisión, mediante Auto y con la sola audiencia del Fiscal General del Estado, aquellas cuestiones de inconstitucionalidad que adolezcan de la falta de los necesarios requisitos procesales o que fueren notoriamente infundadas.</w:t>
      </w:r>
    </w:p>
    <w:p w:rsidR="006B7292" w:rsidRDefault="006B7292" w:rsidP="006B7292">
      <w:pPr>
        <w:pStyle w:val="TextoNormal"/>
      </w:pPr>
    </w:p>
    <w:p w:rsidR="006B7292" w:rsidRDefault="006B7292" w:rsidP="006B7292">
      <w:pPr>
        <w:pStyle w:val="TextoNormal"/>
      </w:pPr>
      <w:r w:rsidRPr="006B7292">
        <w:rPr>
          <w:rStyle w:val="NumeroAFNegritaCaracter"/>
        </w:rPr>
        <w:t>3</w:t>
      </w:r>
      <w:r>
        <w:t xml:space="preserve">. El segundo inciso del art. 35.2 LOTC dispone que “antes de adoptar mediante auto su decisión definitiva, el órgano judicial oirá a las partes y al Ministerio Fiscal para que en el plazo común e improrrogable de 10 días puedan alegar lo que deseen sobre la pertinencia de plantear cuestión de inconstitucionalidad, o sobre el fondo de ésta”. El trámite de audiencia a las partes viene referido, como es obvio, a todas aquellas que ostenten esa condición en el proceso, sin que sea dable que el órgano judicial postergue a alguno o algunos de los intervinientes en tal calidad. Así lo hemos refrendado en el ATC 220/2012, de 27 de noviembre, FJ 4, resolución en la que delimitamos el alcance de la condición de “parte” a los efectos previstos en el precepto último citado: “Por lo demás, el emplazamiento que se realizó a las partes no tiene valor alguno a los efectos del trámite de audiencia previsto en el art. 35.2 LOTC, pues dicha audiencia a las partes no es una secuencia del proceso </w:t>
      </w:r>
      <w:r w:rsidRPr="006B7292">
        <w:rPr>
          <w:i/>
        </w:rPr>
        <w:t>a quo</w:t>
      </w:r>
      <w:r>
        <w:t xml:space="preserve"> sino una pieza preliminar del posterior proceso constitucional. Así, quien no comparece en el proceso o deja de atender los llamamientos judiciales lo hace en orden a las pretensiones y posiciones de las demás partes que se ventilan en ese mismo proceso, pero no respecto de aquellas cuestiones que, estrictamente hablando, no forman parte del mismo como es el eventual planteamiento de una cuestión de inconstitucionalidad. En rigor, dicho trámite de audiencia constituye así el momento inicial del procedimiento dado que lo que se ventila no es sino la posibilidad de alegar lo que al derecho de las partes convenga sobre la pertinencia de plantear la cuestión. De este modo lo determinante es que las partes, comparecidas ante la Sala o no, tengan la opción de ser oídas y expresar su parecer sobre una decisión de tanta entidad como el planteamiento de una cuestión de inconstitucionalidad pues no debe olvidarse que existe un interés jurídicamente protegido por la nuestra Ley Orgánica en relación con las partes de un proceso ordinario para hacerse oír en el incidente previo que se considera” (ATC 875/1985, de 5 de diciembre, FJ 1). De esta forma la decisión de la Sala de oír solo a la parte que se personó ante la misma es también causa determinante de la inadmisión de la cuestión por vulnerar la reiterada doctrina de este Tribunal, sobre la finalidad de la audiencia del art. 35.2 LOTC (ATC 188/2009, de 23 de junio, FJ 2 y doctrina allí citada).</w:t>
      </w:r>
    </w:p>
    <w:p w:rsidR="006B7292" w:rsidRDefault="006B7292" w:rsidP="006B7292">
      <w:pPr>
        <w:pStyle w:val="TextoNormal"/>
      </w:pPr>
    </w:p>
    <w:p w:rsidR="006B7292" w:rsidRDefault="006B7292" w:rsidP="006B7292">
      <w:pPr>
        <w:pStyle w:val="TextoNormal"/>
      </w:pPr>
      <w:r>
        <w:t>De la doctrina transcrita se desprende que la consideración de parte, a efectos del traslado previsto en el art. 35.2 LOTC, trasciende de la eventual comparecencia y personación del interesado en el momento procesal en que se resuelve plantear la cuestión de inconstitucionalidad, pues, como así se indica en la resolución traída a colación, el interés jurídicamente protegido que se anuda al trámite de audiencia regulado en el art. 35.2 LOTC, es decir la pertinencia de plantear cuestión de inconstitucionalidad, es distinto del perseguido en el proceso subyacente.</w:t>
      </w:r>
    </w:p>
    <w:p w:rsidR="006B7292" w:rsidRDefault="006B7292" w:rsidP="006B7292">
      <w:pPr>
        <w:pStyle w:val="TextoNormal"/>
      </w:pPr>
    </w:p>
    <w:p w:rsidR="006B7292" w:rsidRDefault="006B7292" w:rsidP="006B7292">
      <w:pPr>
        <w:pStyle w:val="TextoNormal"/>
      </w:pPr>
      <w:r>
        <w:t>En el presente caso queda acreditado: (i) que el denunciante formuló la denuncia que propició la incoación del juicio de faltas; (ii) que compareció al acto del juicio oral en calidad de denunciante; (iii) que le fue notificada la Sentencia recaída en la instancia siendo, a su vez, advertido de la posibilidad de interponer recurso de apelación; (iv) que se le confirió traslado para poder impugnar el recurso de apelación deducido por la denunciada. En suma, pues, durante la sustanciación del juicio de faltas el denunciante fue tenido por parte procesal. Cierto es que no impugnó el recurso de apelación a que se ha hecho mención, razón por la que la Audiencia Provincial no le confirió el traslado previsto en el art. 35.2 LOTC. Sin embargo, el hecho de no haber impugnado el recurso de apelación planteado de contrario simplemente acarrea la pérdida de la posibilidad de combatir los argumentos ofrecidos por la parte recurrente pero, en modo alguno, puede comportar el decaimiento en la condición procesal que ya había adquirido. En cualquier caso, no cabe ignorar que el denunciante obtuvo en la instancia un pronunciamiento favorable a sus pretensiones, por lo que resulta patente el interés legítimo que ostentaba, de cara a ser oído en relación con el planteamiento de una cuestión de inconstitucionalidad, cuyo objeto principal versa, precisamente, sobre la vigencia del precepto penal que sirvió de base para la condena de la denunciada.</w:t>
      </w:r>
    </w:p>
    <w:p w:rsidR="006B7292" w:rsidRDefault="006B7292" w:rsidP="006B7292">
      <w:pPr>
        <w:pStyle w:val="TextoNormal"/>
      </w:pPr>
    </w:p>
    <w:p w:rsidR="006B7292" w:rsidRDefault="006B7292" w:rsidP="006B7292">
      <w:pPr>
        <w:pStyle w:val="TextoNormal"/>
      </w:pPr>
      <w:r>
        <w:t>Por tanto, a la vista de lo anteriormente razonado hemos de afirmar que el trámite de audiencia a las partes se realizó de manera incorrecta, lo que constituye, sin duda, una irregularidad del procedimiento que debe llevar a considerarlo incorrectamente tramitado (ATC 299/2005, de 5 de julio, FJ 3).</w:t>
      </w:r>
    </w:p>
    <w:p w:rsidR="006B7292" w:rsidRDefault="006B7292" w:rsidP="006B7292">
      <w:pPr>
        <w:pStyle w:val="TextoNormal"/>
      </w:pPr>
    </w:p>
    <w:p w:rsidR="006B7292" w:rsidRDefault="006B7292" w:rsidP="006B7292">
      <w:pPr>
        <w:pStyle w:val="TextoNormal"/>
      </w:pPr>
      <w:r w:rsidRPr="006B7292">
        <w:rPr>
          <w:rStyle w:val="NumeroAFNegritaCaracter"/>
        </w:rPr>
        <w:t>4</w:t>
      </w:r>
      <w:r>
        <w:t>. El Fiscal General del Estado ha puesto de manifiesto, en su informe presentado el día 3 de julio de 2015, la pérdida de relevancia de la presente cuestión de inconstitucionalidad. A ese respecto, afirma que el día 1 de julio de 2015 entró en vigor la reforma de Código penal operada por la Ley Orgánica 1/2015 y, por tanto, la infracción tipificada en el art. 618 CP ha quedado despenalizada.</w:t>
      </w:r>
    </w:p>
    <w:p w:rsidR="006B7292" w:rsidRDefault="006B7292" w:rsidP="006B7292">
      <w:pPr>
        <w:pStyle w:val="TextoNormal"/>
      </w:pPr>
    </w:p>
    <w:p w:rsidR="006B7292" w:rsidRDefault="006B7292" w:rsidP="006B7292">
      <w:pPr>
        <w:pStyle w:val="TextoNormal"/>
      </w:pPr>
      <w:r>
        <w:t xml:space="preserve">Este Tribunal ha tenido ocasión de pronunciarse sobre la desaparición sobrevenida de objeto de una cuestión de inconstitucionalidad, como consecuencia de la pérdida sobrevenida de relevancia del precepto penal cuestionado. Y así, en la STC 6/2010, de 7 de mayo, analizamos la incidencia de la entrada en vigor de la Ley Orgánica 15/2003, de 25 de noviembre, que dio lugar a la despenalización de la conducción de vehículos y ciclomotores sin cobertura del seguro obligatorio de responsabilidad civil, sobre el objeto de una cuestión de inconstitucionalidad que, precisamente, cuestionaba el retardo de la entrada en vigor de la referida despenalización. Concretamente, en el fundamento jurídico 3 de la citada resolución sostuvimos lo siguiente: </w:t>
      </w:r>
    </w:p>
    <w:p w:rsidR="006B7292" w:rsidRDefault="006B7292" w:rsidP="006B7292">
      <w:pPr>
        <w:pStyle w:val="TextoNormal"/>
      </w:pPr>
    </w:p>
    <w:p w:rsidR="006B7292" w:rsidRDefault="006B7292" w:rsidP="006B7292">
      <w:pPr>
        <w:pStyle w:val="TextoNormal"/>
      </w:pPr>
      <w:r>
        <w:t xml:space="preserve">“En puridad, lo que acontece en el presente caso es la pérdida sobrevenida de la relevancia del precepto legal cuestionado para la resolución del proceso del que trae causa la cuestión de inconstitucionalidad. Indudablemente, la disposición final cuestionada era relevante inicialmente para la resolución del proceso </w:t>
      </w:r>
      <w:r w:rsidRPr="006B7292">
        <w:rPr>
          <w:i/>
        </w:rPr>
        <w:t>a quo</w:t>
      </w:r>
      <w:r>
        <w:t xml:space="preserve"> en la medida en que impedía al órgano judicial aplicar la nueva redacción del art. 636 CP antes del 1 de octubre de 2004. Sin embargo, a partir de tal fecha la disposición final cuestionada deja de erigirse en obstáculo para la aplicación de la nueva redacción del precepto penal, ello como consecuencia del principio de retroactividad de la ley penal más favorable acogido en el art. 2.2 del Código penal con carácter general, y con carácter particular en la disposición transitoria primera de la propia Ley Orgánica 15/2003, de 25 de noviembre, conforme a la cual se aplicará la nueva Ley ‘una vez que entre en vigor, si las disposiciones de la misma son más favorables para el reo, aunque los hechos hubieran sido cometidos con anterioridad a su entrada en vigor’ y en su disposición transitoria quinta, con arreglo a la cual en las sentencias dictadas conforme a la legislación que se deroga y que no sean firmes por estar pendientes de recurso, se observarán, una vez transcurrido el período de </w:t>
      </w:r>
      <w:r w:rsidRPr="006B7292">
        <w:rPr>
          <w:i/>
        </w:rPr>
        <w:t>vacatio</w:t>
      </w:r>
      <w:r>
        <w:t>, las siguientes reglas: ‘a) Si se trata de un recurso de apelación, las partes podrán invocar y el juez o tribunal aplicará de oficio los preceptos de la nueva ley, cuando resulten más favorables al reo’.</w:t>
      </w:r>
    </w:p>
    <w:p w:rsidR="006B7292" w:rsidRDefault="006B7292" w:rsidP="006B7292">
      <w:pPr>
        <w:pStyle w:val="TextoNormal"/>
      </w:pPr>
    </w:p>
    <w:p w:rsidR="006B7292" w:rsidRDefault="006B7292" w:rsidP="006B7292">
      <w:pPr>
        <w:pStyle w:val="TextoNormal"/>
      </w:pPr>
      <w:r>
        <w:t>Por todo ello, la imposibilidad de que el órgano judicial pueda ya resolver el recurso de apelación que pende ante el mismo mediante la aplicación del art. 636 CP en la redacción vigente al tiempo de plantearse la cuestión de inconstitucionalidad, implica una desaparición sobrevenida de los presupuestos de apertura del presente proceso constitucional, que determina su extinción, pues, aun cuando el enjuiciamiento constitucional de la norma cuestionada sigue siendo posible y ésta plantea un problema constitucional de interés, ya no se trataría de un juicio de constitucionalidad en concreto, al que se refiere el art. 163 CE, sino en abstracto, sin efectos para el caso, lo que resulta improcedente en toda cuestión de inconstitucionalidad (en este sentido, AATC 340/2003, de 21 de octubre, FJ único; y 75/2004, de 9 de marzo, FJ único).”</w:t>
      </w:r>
    </w:p>
    <w:p w:rsidR="006B7292" w:rsidRDefault="006B7292" w:rsidP="006B7292">
      <w:pPr>
        <w:pStyle w:val="TextoNormal"/>
      </w:pPr>
    </w:p>
    <w:p w:rsidR="006B7292" w:rsidRDefault="006B7292" w:rsidP="006B7292">
      <w:pPr>
        <w:pStyle w:val="TextoNormal"/>
      </w:pPr>
      <w:r>
        <w:t>Dicha doctrina resulta extensible al presente caso, habida cuenta de que, a fecha 1 de julio del 2015, la infracción que sirvió de título de condena en la instancia ha desaparecido del Código penal y, por tanto, el órgano encargado de conocer de la apelación deberá resolver teniendo en cuenta la plena vigencia de la disposición transitoria primera y de la disposición derogatoria única. En suma, pues, junto al óbice procesal anteriormente reflejado también cabe apreciar la desaparición sobrevenida de objeto de la presente cuestión de inconstitucionalidad, por las razones arriba indicadas.</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Inadmitir la cuestión de inconstitucionalidad núm. 2639-2015 planteada por la Sección Cuarta de la Audiencia Provincial de Tarragona.</w:t>
      </w:r>
    </w:p>
    <w:p w:rsidR="006B7292" w:rsidRDefault="006B7292" w:rsidP="006B7292">
      <w:pPr>
        <w:pStyle w:val="TextoNormal"/>
      </w:pPr>
    </w:p>
    <w:p w:rsidR="006B7292" w:rsidRDefault="006B7292" w:rsidP="006B7292">
      <w:pPr>
        <w:pStyle w:val="TextoNormal"/>
      </w:pPr>
      <w:r>
        <w:t>Publíquese este Auto en el “Boletín Oficial del Estado”.</w:t>
      </w:r>
    </w:p>
    <w:p w:rsidR="006B7292" w:rsidRDefault="006B7292" w:rsidP="006B7292">
      <w:pPr>
        <w:pStyle w:val="TextoNormal"/>
      </w:pPr>
    </w:p>
    <w:p w:rsidR="006B7292" w:rsidRDefault="006B7292" w:rsidP="006B7292">
      <w:pPr>
        <w:pStyle w:val="TextoNormal"/>
      </w:pPr>
      <w:r>
        <w:t>Madrid, a veintiuno de julio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52" w:name="AUTO_2015_138"/>
      <w:r>
        <w:t>AUTO 138/2015, de 21 de julio de 2015</w:t>
      </w:r>
    </w:p>
    <w:bookmarkEnd w:id="152"/>
    <w:p w:rsidR="006B7292" w:rsidRDefault="006B7292" w:rsidP="006B7292">
      <w:pPr>
        <w:pStyle w:val="TtuloResolucin"/>
      </w:pPr>
      <w:r>
        <w:t>Pleno</w:t>
      </w:r>
    </w:p>
    <w:p w:rsidR="006B7292" w:rsidRDefault="006B7292" w:rsidP="006B7292">
      <w:pPr>
        <w:pStyle w:val="TextoNormalCentrado"/>
      </w:pPr>
      <w:r>
        <w:t>ECLI:ES:TC:2015:138A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Inadmite a trámite la cuestión de inconstitucionalidad 2640-2015, planteada por la Audiencia Provincial de Tarragona en relación con la disposición final octava de la Ley Orgánica 1/2015, de 30 de marzo, de reforma del Código penal.</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Con fecha 8 de mayo de 2015 tuvo entrada en el Registro General de este Tribunal un oficio de la Sección Cuarta de la Audiencia Provincial de Tarragona, al que se acompaña, junto con los testimonios del rollo de apelación núm. 26-2015 y del juicio de faltas núm. 343-2015, del Juzgado de Instrucción núm. 2 de Reus, el Auto de fecha 24 de abril de 2015 por el que se acuerda plantear cuestión de inconstitucionalidad respecto la disposición final octava de la Ley Orgánica 1/2015, de 30 de marzo, de reforma de Código penal (CP), en relación con la disposición transitoria primera y Disposición derogatoria única de la citada norma, por posible vulneración de los arts. 9.3, 24.1 y 25.1 CE.</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de hecho de la cuestión son, sucintamente expuestos, los siguientes:</w:t>
      </w:r>
    </w:p>
    <w:p w:rsidR="006B7292" w:rsidRDefault="006B7292" w:rsidP="006B7292">
      <w:pPr>
        <w:pStyle w:val="TextoNormal"/>
      </w:pPr>
    </w:p>
    <w:p w:rsidR="006B7292" w:rsidRDefault="006B7292" w:rsidP="006B7292">
      <w:pPr>
        <w:pStyle w:val="TextoNormal"/>
      </w:pPr>
      <w:r>
        <w:t>a) En fecha 16 de mayo de 2014, don A.P.L. (en adelante, el denunciante) formuló denuncia ante el cuerpo de los Mossos d'Esquadra de la localidad de Cambrils, en la que puso de manifiesto el incumplimiento del régimen de visitas, por parte de doña S.M.V.G. (en adelante, la denunciada), persona de la que se había divorciado, habida cuenta que el día antes indicado esta última no le entregó al hijo común, para que pudiera tenerlo en su compañía durante el fin de semana correspondiente a los días 16 a 18 de mayo.</w:t>
      </w:r>
    </w:p>
    <w:p w:rsidR="006B7292" w:rsidRDefault="006B7292" w:rsidP="006B7292">
      <w:pPr>
        <w:pStyle w:val="TextoNormal"/>
      </w:pPr>
    </w:p>
    <w:p w:rsidR="006B7292" w:rsidRDefault="006B7292" w:rsidP="006B7292">
      <w:pPr>
        <w:pStyle w:val="TextoNormal"/>
      </w:pPr>
      <w:r>
        <w:t>b) Por Auto de fecha 24 de mayo de 2014, el titular del Juzgado de Instrucción núm. 2 de Reus, órgano al que había correspondido la denuncia, acordó la incoación del juicio de faltas núm. 343-2014, señalándose su celebración para el día 8 de julio de 2014.</w:t>
      </w:r>
    </w:p>
    <w:p w:rsidR="006B7292" w:rsidRDefault="006B7292" w:rsidP="006B7292">
      <w:pPr>
        <w:pStyle w:val="TextoNormal"/>
      </w:pPr>
    </w:p>
    <w:p w:rsidR="006B7292" w:rsidRDefault="006B7292" w:rsidP="006B7292">
      <w:pPr>
        <w:pStyle w:val="TextoNormal"/>
      </w:pPr>
      <w:r>
        <w:t>c) Mediante escrito de fecha 9 de julio de 2014, el denunciante interesó la acumulación, en un único procedimiento, de todas las denuncias formuladas contra su ex cónyuge, al objeto de tramitar diligencias penales por un delito desobediencia grave a la autoridad. Por Auto de fecha 21 de agosto de 2014 se desestimó la cuestión previa a que se ha hecho mención. Asimismo, se fijó el señalamiento del juicio para el día 6 de octubre del 2014.</w:t>
      </w:r>
    </w:p>
    <w:p w:rsidR="006B7292" w:rsidRDefault="006B7292" w:rsidP="006B7292">
      <w:pPr>
        <w:pStyle w:val="TextoNormal"/>
      </w:pPr>
    </w:p>
    <w:p w:rsidR="006B7292" w:rsidRDefault="006B7292" w:rsidP="006B7292">
      <w:pPr>
        <w:pStyle w:val="TextoNormal"/>
      </w:pPr>
      <w:r>
        <w:t>d) El juicio se celebró en el día señalado. A dicho acto concurrieron el denunciante, la denunciada y el Ministerio Fiscal. Por Sentencia del mismo día, la denunciada fue condenada, como autora de una falta prevista en el art. 618.2 CP, a una multa de 30 días a razón de seis euros diarios. La Sentencia fue notificada a todos los concurrentes al acto del juicio, con la advertencia de que contra la misma cabía interponer, en plazo de cinco días, recurso de apelación.</w:t>
      </w:r>
    </w:p>
    <w:p w:rsidR="006B7292" w:rsidRDefault="006B7292" w:rsidP="006B7292">
      <w:pPr>
        <w:pStyle w:val="TextoNormal"/>
      </w:pPr>
    </w:p>
    <w:p w:rsidR="006B7292" w:rsidRDefault="006B7292" w:rsidP="006B7292">
      <w:pPr>
        <w:pStyle w:val="TextoNormal"/>
      </w:pPr>
      <w:r>
        <w:t>e) Por escrito presentado el 24 de octubre de 2014, la denunciada interpuso recurso de apelación, en cuya virtud interesó la revocación de la Sentencia recaída en la instancia y la consiguiente absolución.</w:t>
      </w:r>
    </w:p>
    <w:p w:rsidR="006B7292" w:rsidRDefault="006B7292" w:rsidP="006B7292">
      <w:pPr>
        <w:pStyle w:val="TextoNormal"/>
      </w:pPr>
    </w:p>
    <w:p w:rsidR="006B7292" w:rsidRDefault="006B7292" w:rsidP="006B7292">
      <w:pPr>
        <w:pStyle w:val="TextoNormal"/>
      </w:pPr>
      <w:r>
        <w:t>f) Por diligencia de ordenación de fecha 30 de octubre de 2014, se acordó admitir a trámite el referido recurso y dar traslado al denunciante y al Ministerio Fiscal para que, por plazo que no exceda de diez días, formulasen alegaciones. En fecha 14 de enero de 2015 se notificó la anterior diligencia de ordenación y se dio traslado del recurso de apelación al Abogado don Agustí Sugranyes Barriach, en representación del denunciante.</w:t>
      </w:r>
    </w:p>
    <w:p w:rsidR="006B7292" w:rsidRDefault="006B7292" w:rsidP="006B7292">
      <w:pPr>
        <w:pStyle w:val="TextoNormal"/>
      </w:pPr>
    </w:p>
    <w:p w:rsidR="006B7292" w:rsidRDefault="006B7292" w:rsidP="006B7292">
      <w:pPr>
        <w:pStyle w:val="TextoNormal"/>
      </w:pPr>
      <w:r>
        <w:t>g) En fecha 4 de diciembre de 2014, El Ministerio Fiscal presentó escrito de impugnación del recurso de apelación formulado por la denunciada. Por diligencia de 11 de febrero de 2015 se acordó remitir las actuaciones a la Audiencia Provincial de Tarragona para resolución del recurso interpuesto. Por diligencia de ordenación de fecha 19 de marzo de 2015 se señaló, para deliberación y votación del recurso de apelación, el día 7 de abril del 2015.</w:t>
      </w:r>
    </w:p>
    <w:p w:rsidR="006B7292" w:rsidRDefault="006B7292" w:rsidP="006B7292">
      <w:pPr>
        <w:pStyle w:val="TextoNormal"/>
      </w:pPr>
    </w:p>
    <w:p w:rsidR="006B7292" w:rsidRDefault="006B7292" w:rsidP="006B7292">
      <w:pPr>
        <w:pStyle w:val="TextoNormal"/>
      </w:pPr>
      <w:r>
        <w:t xml:space="preserve">h) Por providencia de 2 de abril de 2015, se acordó iniciar los trámites para el planteamiento de cuestión de inconstitucionalidad, que versaría sobre la disposición final octava en relación con la disposición transitoria primera, ambas de la referida Ley, al no contemplar la inmediata entrada en vigor de la disposición derogatoria primera, en cuya virtud queda despenalizada la infracción prevista en el art. 618 CP. Para el órgano </w:t>
      </w:r>
      <w:r w:rsidRPr="006B7292">
        <w:rPr>
          <w:i/>
        </w:rPr>
        <w:t>ad quem</w:t>
      </w:r>
      <w:r>
        <w:t xml:space="preserve"> la duda de constitucionalidad atañe a la </w:t>
      </w:r>
      <w:r w:rsidRPr="006B7292">
        <w:rPr>
          <w:i/>
        </w:rPr>
        <w:t>vacatio legis</w:t>
      </w:r>
      <w:r>
        <w:t xml:space="preserve"> de tres meses, que la referida disposición final establece para la entrada en vigor de la Ley Orgánica 1/2015. Según se indica en el citado proveído, tal previsión podría infringir los principios de interdicción de la arbitrariedad de los poderes públicos (art. 9.3 CE), de legalidad penal material (art. 25.1 CE) y de tutela judicial efectiva (art. 24.1 CE). Asimismo, se dispuso dar traslado a las partes, por un plazo común de diez días, para que aleguen lo que a su derecho convenga sobre la oportunidad procesal y material de elevar cuestión de inconstitucionalidad.</w:t>
      </w:r>
    </w:p>
    <w:p w:rsidR="006B7292" w:rsidRDefault="006B7292" w:rsidP="006B7292">
      <w:pPr>
        <w:pStyle w:val="TextoNormal"/>
      </w:pPr>
    </w:p>
    <w:p w:rsidR="006B7292" w:rsidRDefault="006B7292" w:rsidP="006B7292">
      <w:pPr>
        <w:pStyle w:val="TextoNormal"/>
      </w:pPr>
      <w:r>
        <w:t>i) Dicha providencia fue notificada a la parte apelante (parte denunciada en el juicio de faltas) y al Ministerio Fiscal. Sin embargo, dicha resolución no fue notificada al denunciante.</w:t>
      </w:r>
    </w:p>
    <w:p w:rsidR="006B7292" w:rsidRDefault="006B7292" w:rsidP="006B7292">
      <w:pPr>
        <w:pStyle w:val="TextoNormal"/>
      </w:pPr>
    </w:p>
    <w:p w:rsidR="006B7292" w:rsidRDefault="006B7292" w:rsidP="006B7292">
      <w:pPr>
        <w:pStyle w:val="TextoNormal"/>
      </w:pPr>
      <w:r>
        <w:t>j) Por escrito de fecha 15 de abril de 2015, el Ministerio Fiscal manifestó no oponerse al planteamiento de la cuestión de inconstitucionalidad, al entender que el órgano judicial había cumplido los requisitos formales establecidos en la Ley Orgánica del Tribunal Constitucional (LOTC). Por su parte, la apelante consideró razonable el planteamiento de la cuestión, dado que no tiene sentido postergar la entrada en vigor de una norma que despenaliza una conducta. No obstante, entiende que no tendría sentido aplicar una norma que, al momento de dictarse sentencia, ya se hubiera derogado.</w:t>
      </w:r>
    </w:p>
    <w:p w:rsidR="006B7292" w:rsidRDefault="006B7292" w:rsidP="006B7292">
      <w:pPr>
        <w:pStyle w:val="TextoNormal"/>
      </w:pPr>
    </w:p>
    <w:p w:rsidR="006B7292" w:rsidRDefault="006B7292" w:rsidP="006B7292">
      <w:pPr>
        <w:pStyle w:val="TextoNormal"/>
      </w:pPr>
      <w:r w:rsidRPr="006B7292">
        <w:rPr>
          <w:rStyle w:val="NumeroAFNegritaCaracter"/>
        </w:rPr>
        <w:t>3</w:t>
      </w:r>
      <w:r>
        <w:t xml:space="preserve">. Por Auto de fecha 24 de abril de 2015, la Sección Cuarta de la Audiencia Provincial de Tarragona, constituida como órgano unipersonal, dictó Auto de planteamiento de cuestión de inconstitucionalidad. El órgano judicial señala que la cuestión de inconstitucionalidad versa sobre la disposición final octava, en relación con la disposición transitoria primera y la disposición derogatoria única, todas de la Ley Orgánica 1/2015, pues se pospone la efectiva despenalización de la falta prevista en el art. 618 CP, por la que resultó condenada la apelante (en el juicio de faltas), hasta el día 1 de julio de 2015. A juicio del órgano judicial, una </w:t>
      </w:r>
      <w:r w:rsidRPr="006B7292">
        <w:rPr>
          <w:i/>
        </w:rPr>
        <w:t>vacatio legis</w:t>
      </w:r>
      <w:r>
        <w:t xml:space="preserve"> de tres meses para una norma que despenaliza una conducta hasta ahora penalmente relevante infringe los principios de interdicción de la arbitrariedad (art. 9.3 CE), el principio de legalidad penal material (art. 25.1 CE) y el derecho a la tutela judicial efectiva (art. 24.1 CE).</w:t>
      </w:r>
    </w:p>
    <w:p w:rsidR="006B7292" w:rsidRDefault="006B7292" w:rsidP="006B7292">
      <w:pPr>
        <w:pStyle w:val="TextoNormal"/>
      </w:pPr>
    </w:p>
    <w:p w:rsidR="006B7292" w:rsidRDefault="006B7292" w:rsidP="006B7292">
      <w:pPr>
        <w:pStyle w:val="TextoNormal"/>
      </w:pPr>
      <w:r>
        <w:t>Tras reconocer el amplio espacio de libertad de que goza el legislador para delimitar el ámbito de la intervención penal, considera que aquél debe ajustar su actividad normativa al nivel de racionalidad que viene impuesto por la CE, de manera que la norma debe sujetarse a un estándar mínimo de racionalidad procedimental, ética y teleológica.</w:t>
      </w:r>
    </w:p>
    <w:p w:rsidR="006B7292" w:rsidRDefault="006B7292" w:rsidP="006B7292">
      <w:pPr>
        <w:pStyle w:val="TextoNormal"/>
      </w:pPr>
    </w:p>
    <w:p w:rsidR="006B7292" w:rsidRDefault="006B7292" w:rsidP="006B7292">
      <w:pPr>
        <w:pStyle w:val="TextoNormal"/>
      </w:pPr>
      <w:r>
        <w:t>En relación con el caso, entiende que el parámetro de racionalidad ética se configura del siguiente modo: i) los principios de protección, que atenderían a las pautas delimitadoras de los contenidos de tutela del derecho penal; ii) los principios de responsabilidad, que se encargarían de identificar los contenidos que deben concurrir en un compartimento para que pueda exigirse responsabilidad criminal; iii) los principios de la sanción, que atenderían a los fundamentos de la reacción sancionatoria contra conductas criminalmente responsables. Sobre estos principios, el Tribunal Constitucional ha construido los diferentes estándares de control aplicables a las leyes penales y sancionadoras, entre las que destacan el principio de protección y estricta defensa de bienes jurídicos (SSTC 55/1996 y 161/1997).</w:t>
      </w:r>
    </w:p>
    <w:p w:rsidR="006B7292" w:rsidRDefault="006B7292" w:rsidP="006B7292">
      <w:pPr>
        <w:pStyle w:val="TextoNormal"/>
      </w:pPr>
    </w:p>
    <w:p w:rsidR="006B7292" w:rsidRDefault="006B7292" w:rsidP="006B7292">
      <w:pPr>
        <w:pStyle w:val="TextoNormal"/>
      </w:pPr>
      <w:r>
        <w:t xml:space="preserve">Descendiendo al caso, el órgano judicial considera que, en términos de proporcionalidad, no se vislumbran razones que justifiquen la </w:t>
      </w:r>
      <w:r w:rsidRPr="006B7292">
        <w:rPr>
          <w:i/>
        </w:rPr>
        <w:t>vacatio legis</w:t>
      </w:r>
      <w:r>
        <w:t xml:space="preserve"> de tres meses para la destipificación de la conducta descrita en el art. 618 CP, habida cuenta que el legislador ya ha dejado patente su voluntad de dejar sin efecto dicha infracción. Advierte que la transitoriedad tiene sentido, en términos funcionales, cuando la nueva ley penal incorpora novedosos espacios de prohibición, pues ello facilita que las novedosas prohibiciones sean conocidas por los destinatarios. Sin embargo, no concurre esa finalidad, cuando la norma penal despenaliza una conducta.</w:t>
      </w:r>
    </w:p>
    <w:p w:rsidR="006B7292" w:rsidRDefault="006B7292" w:rsidP="006B7292">
      <w:pPr>
        <w:pStyle w:val="TextoNormal"/>
      </w:pPr>
    </w:p>
    <w:p w:rsidR="006B7292" w:rsidRDefault="006B7292" w:rsidP="006B7292">
      <w:pPr>
        <w:pStyle w:val="TextoNormal"/>
      </w:pPr>
      <w:r>
        <w:t xml:space="preserve">En suma, la imposibilidad de hallar una razón justificativa al período de </w:t>
      </w:r>
      <w:r w:rsidRPr="006B7292">
        <w:rPr>
          <w:i/>
        </w:rPr>
        <w:t>vacatio legis</w:t>
      </w:r>
      <w:r>
        <w:t>, constituye un “patente derroche inútil de coacción que convierte la norma en arbitraria y que socava los principios elementales de justicia inherentes a la dignidad de la persona y al Estado de Derecho” (SSTC 55/1996 y 136/1999). Por ello, el retardo de la entrada en vigor de la norma despenalizadora es arbitrario por no satisfacer las exigencias de racionalidad ética y, por ello, infringe el mandato de interdicción de la arbitrariedad (art. 9.3 CE), lesiona el derecho subjetivo a que la legalidad penal se ajuste a las exigencias de protección y sanción (art. 25 CE) y desconoce, además, el derecho de toda persona a no verse, de manera injusta o carente de causa, sometido a un proceso inculpatorio (art. 24 CE).</w:t>
      </w:r>
    </w:p>
    <w:p w:rsidR="006B7292" w:rsidRDefault="006B7292" w:rsidP="006B7292">
      <w:pPr>
        <w:pStyle w:val="TextoNormal"/>
      </w:pPr>
    </w:p>
    <w:p w:rsidR="006B7292" w:rsidRDefault="006B7292" w:rsidP="006B7292">
      <w:pPr>
        <w:pStyle w:val="TextoNormal"/>
      </w:pPr>
      <w:r>
        <w:t>En lo atinente a la relevancia procesal, considera que la cuestión que se promueve resulta especialmente trascendente, dado que el objeto del proceso penal consiste en que los hechos atribuidos a la denunciada (en el juicio de faltas) se sustentan en la tipificación penal de su conducta en la norma derogada. Añade que el juicio de culpabilidad pende de la vigencia arbitraria del tipo que sirvió de título de condena en la instancia y, por último, destaca que la cuestión se plantea una vez concluido el procedimiento y dentro del plazo para dictar sentencia, conforme a lo establecido en el art. 35 LOTC.</w:t>
      </w:r>
    </w:p>
    <w:p w:rsidR="006B7292" w:rsidRDefault="006B7292" w:rsidP="006B7292">
      <w:pPr>
        <w:pStyle w:val="TextoNormal"/>
      </w:pPr>
    </w:p>
    <w:p w:rsidR="006B7292" w:rsidRDefault="006B7292" w:rsidP="006B7292">
      <w:pPr>
        <w:pStyle w:val="TextoNormal"/>
      </w:pPr>
      <w:r w:rsidRPr="006B7292">
        <w:rPr>
          <w:rStyle w:val="NumeroAFNegritaCaracter"/>
        </w:rPr>
        <w:t>4</w:t>
      </w:r>
      <w:r>
        <w:t>. Por providencia de 9 de junio del 2015, la Sección Tercera del Tribunal Constitucional acordó, a los efectos que determina el art. 37.1 LOTC, oír al Fiscal General del Estado para que, en plazo de diez días, alegue lo que considere conveniente acerca de la admisibilidad de la presente cuestión de inconstitucionalidad, en relación con el cumplimiento de los requisitos procesales (art. 35.2 LOTC).</w:t>
      </w:r>
    </w:p>
    <w:p w:rsidR="006B7292" w:rsidRDefault="006B7292" w:rsidP="006B7292">
      <w:pPr>
        <w:pStyle w:val="TextoNormal"/>
      </w:pPr>
    </w:p>
    <w:p w:rsidR="006B7292" w:rsidRDefault="006B7292" w:rsidP="006B7292">
      <w:pPr>
        <w:pStyle w:val="TextoNormal"/>
      </w:pPr>
      <w:r w:rsidRPr="006B7292">
        <w:rPr>
          <w:rStyle w:val="NumeroAFNegritaCaracter"/>
        </w:rPr>
        <w:t>5</w:t>
      </w:r>
      <w:r>
        <w:t>. Mediante escrito registrado el día 3 de julio de 2015, el Fiscal General del Estado presentó sus alegaciones. En primer lugar, considera que el órgano proponente de la cuestión de inconstitucionalidad ha identificado correctamente, en la providencia de fecha 2 de abril de 2015, los preceptos de la Ley Orgánica 1/2015 que estima contrarios a la Constitución y los preceptos de esta última que colisionarían con aquéllos.</w:t>
      </w:r>
    </w:p>
    <w:p w:rsidR="006B7292" w:rsidRDefault="006B7292" w:rsidP="006B7292">
      <w:pPr>
        <w:pStyle w:val="TextoNormal"/>
      </w:pPr>
    </w:p>
    <w:p w:rsidR="006B7292" w:rsidRDefault="006B7292" w:rsidP="006B7292">
      <w:pPr>
        <w:pStyle w:val="TextoNormal"/>
      </w:pPr>
      <w:r>
        <w:t xml:space="preserve">El Fiscal General del Estado entiende que la formulación del juicio de aplicabilidad de las normas citadas ha sido correcta. Según se indica en el Auto de planteamiento, las dudas de constitucionalidad se circunscriben al retardo de la aplicabilidad de las normas de derecho transitorio, de modo que la fijación de un plazo de </w:t>
      </w:r>
      <w:r w:rsidRPr="006B7292">
        <w:rPr>
          <w:i/>
        </w:rPr>
        <w:t>vacatio legis</w:t>
      </w:r>
      <w:r>
        <w:t xml:space="preserve"> impide la inmediata efectividad de la despenalización de la falta tipificada en el art. 618 CP. Sobre este particular, el Fiscal General del Estado sostiene que si bien la disposición transitoria primera no ha entrado en vigor al momento del planteamiento de la cuestión de inconstitucionalidad, sin embargo, en ese momento ya estaba vigente la disposición final octava, de conformidad con lo establecido en el art. 2.1 del Código civil, de manera que esta última norma sí resulta de aplicación al caso, y de ello deriva la imposibilidad de aplicación inmediata de la despenalización respecto de la falta a que se ha hecho mención. Por ello, en relación con el caso se mantiene invariada la punición de la conducta que prevé el art. 618 CP.</w:t>
      </w:r>
    </w:p>
    <w:p w:rsidR="006B7292" w:rsidRDefault="006B7292" w:rsidP="006B7292">
      <w:pPr>
        <w:pStyle w:val="TextoNormal"/>
      </w:pPr>
    </w:p>
    <w:p w:rsidR="006B7292" w:rsidRDefault="006B7292" w:rsidP="006B7292">
      <w:pPr>
        <w:pStyle w:val="TextoNormal"/>
      </w:pPr>
      <w:r>
        <w:t>Respecto del denominado “juicio de relevancia”, el Fiscal General del Estado estima que también ha sido correctamente formulado, puesto que, aun cuando pudiera parecer que la argumentación esgrimida impugna de manera abstracta la norma cuestionada, lo cierto es que el promotor de la cuestión se plantea implícitamente la confirmación de la condena en segunda instancia, como consecuencia de la inevitable aplicación del art. 618 CP.</w:t>
      </w:r>
    </w:p>
    <w:p w:rsidR="006B7292" w:rsidRDefault="006B7292" w:rsidP="006B7292">
      <w:pPr>
        <w:pStyle w:val="TextoNormal"/>
      </w:pPr>
    </w:p>
    <w:p w:rsidR="006B7292" w:rsidRDefault="006B7292" w:rsidP="006B7292">
      <w:pPr>
        <w:pStyle w:val="TextoNormal"/>
      </w:pPr>
      <w:r>
        <w:t>En suma, sostiene que la presente cuestión debiera ser admitida a trámite; no obstante, señala que en la fecha de emisión del dictamen ya ha entrado en vigor la reforma del Código penal y, consecuentemente, la efectiva despenalización de la infracción descrita en el art. 618 CP. Por ello, de conformidad con la doctrina establecida en la STC 6/2010, de 14 de abril, también debería apreciarse, en el presente caso, la pérdida de relevancia del precepto legal cuya constitucionalidad ha sido cuestionada, con la consiguiente extinción del objeto de la presente cuestión de inconstitucionalidad.</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La Sección Cuarta de la Audiencia Provincial de Tarragona, constituida como órgano unipersonal, plantea cuestión de inconstitucionalidad de la disposición final octava de la Ley Orgánica 1/2015, de reforma de Código penal, en relación con la disposición transitoria primera y disposición derogatoria única de la citada norma, por posible vulneración de los arts. 9.3, 24.1 y 25.1 CE, en tanto que pospone al 1 de julio de 2015 la entrada en vigor de la despenalización de la conducta prevista en el art. 618 del Código penal (CP) al día. El contenido de las normas invocadas es el siguiente:</w:t>
      </w:r>
    </w:p>
    <w:p w:rsidR="006B7292" w:rsidRDefault="006B7292" w:rsidP="006B7292">
      <w:pPr>
        <w:pStyle w:val="TextoNormal"/>
      </w:pPr>
    </w:p>
    <w:p w:rsidR="006B7292" w:rsidRDefault="006B7292" w:rsidP="006B7292">
      <w:pPr>
        <w:pStyle w:val="TextoNormal"/>
      </w:pPr>
      <w:r>
        <w:t>“Disposición Final Octava. Entrada en vigor</w:t>
      </w:r>
    </w:p>
    <w:p w:rsidR="006B7292" w:rsidRDefault="006B7292" w:rsidP="006B7292">
      <w:pPr>
        <w:pStyle w:val="TextoNormal"/>
      </w:pPr>
    </w:p>
    <w:p w:rsidR="006B7292" w:rsidRDefault="006B7292" w:rsidP="006B7292">
      <w:pPr>
        <w:pStyle w:val="TextoNormal"/>
      </w:pPr>
      <w:r>
        <w:t>La presente Ley Orgánica entrará en vigor el 1 de julio de 2015.”</w:t>
      </w:r>
    </w:p>
    <w:p w:rsidR="006B7292" w:rsidRDefault="006B7292" w:rsidP="006B7292">
      <w:pPr>
        <w:pStyle w:val="TextoNormal"/>
      </w:pPr>
    </w:p>
    <w:p w:rsidR="006B7292" w:rsidRDefault="006B7292" w:rsidP="006B7292">
      <w:pPr>
        <w:pStyle w:val="TextoNormal"/>
      </w:pPr>
      <w:r>
        <w:t>“Disposición Transitoria Primera. Legislación aplicable</w:t>
      </w:r>
    </w:p>
    <w:p w:rsidR="006B7292" w:rsidRDefault="006B7292" w:rsidP="006B7292">
      <w:pPr>
        <w:pStyle w:val="TextoNormal"/>
      </w:pPr>
    </w:p>
    <w:p w:rsidR="006B7292" w:rsidRDefault="006B7292" w:rsidP="006B7292">
      <w:pPr>
        <w:pStyle w:val="TextoNormal"/>
      </w:pPr>
      <w:r>
        <w:t>1. Los delitos y faltas cometidos hasta el día de la entrada en vigor de esta Ley se juzgarán conforme a la legislación penal vigente en el momento de su comisión. No obstante lo anterior, se aplicará esta Ley, una vez que entre en vigor, si las disposiciones de la misma son más favorables para el reo, aunque los hechos hubieran sido cometidos con anterioridad a su entrada en vigor.”</w:t>
      </w:r>
    </w:p>
    <w:p w:rsidR="006B7292" w:rsidRDefault="006B7292" w:rsidP="006B7292">
      <w:pPr>
        <w:pStyle w:val="TextoNormal"/>
      </w:pPr>
    </w:p>
    <w:p w:rsidR="006B7292" w:rsidRDefault="006B7292" w:rsidP="006B7292">
      <w:pPr>
        <w:pStyle w:val="TextoNormal"/>
      </w:pPr>
      <w:r>
        <w:t>“Disposición Derogatoria Única</w:t>
      </w:r>
    </w:p>
    <w:p w:rsidR="006B7292" w:rsidRDefault="006B7292" w:rsidP="006B7292">
      <w:pPr>
        <w:pStyle w:val="TextoNormal"/>
      </w:pPr>
    </w:p>
    <w:p w:rsidR="006B7292" w:rsidRDefault="006B7292" w:rsidP="006B7292">
      <w:pPr>
        <w:pStyle w:val="TextoNormal"/>
      </w:pPr>
      <w:r>
        <w:t>1. Queda derogado el Libro III de la Ley Orgánica 10/1995, de 23 de noviembre, del Código Penal.”</w:t>
      </w:r>
    </w:p>
    <w:p w:rsidR="006B7292" w:rsidRDefault="006B7292" w:rsidP="006B7292">
      <w:pPr>
        <w:pStyle w:val="TextoNormal"/>
      </w:pPr>
    </w:p>
    <w:p w:rsidR="006B7292" w:rsidRDefault="006B7292" w:rsidP="006B7292">
      <w:pPr>
        <w:pStyle w:val="TextoNormal"/>
      </w:pPr>
      <w:r>
        <w:t>El órgano judicial proponente considera que la citada disposición final es contraria a los arts. 9.3, 24.1 y 25.1 CE, en tanto que pospone, a fecha 1 de julio de 2015, la entrada en vigor de la despenalización de la conducta prevista en el art. 618 CP, en vez de posibilitar su inmediata desaparición como infracción penal.</w:t>
      </w:r>
    </w:p>
    <w:p w:rsidR="006B7292" w:rsidRDefault="006B7292" w:rsidP="006B7292">
      <w:pPr>
        <w:pStyle w:val="TextoNormal"/>
      </w:pPr>
    </w:p>
    <w:p w:rsidR="006B7292" w:rsidRDefault="006B7292" w:rsidP="006B7292">
      <w:pPr>
        <w:pStyle w:val="TextoNormal"/>
      </w:pPr>
      <w:r>
        <w:t>El Fiscal General del Estado, en el trámite previsto en el art. 37.1 de la Ley Orgánica del Tribunal Constitucional (LOTC), considera que la cuestión debiera ser admitida a trámite, si bien señala que, al haber entrado en vigor la reforma del Código penal, concretamente el día 1 de julio de 2015, su objeto se ha extinguido, de conformidad con la doctrina establecida en la STC 6/2010, de 14 de abril.</w:t>
      </w:r>
    </w:p>
    <w:p w:rsidR="006B7292" w:rsidRDefault="006B7292" w:rsidP="006B7292">
      <w:pPr>
        <w:pStyle w:val="TextoNormal"/>
      </w:pPr>
    </w:p>
    <w:p w:rsidR="006B7292" w:rsidRDefault="006B7292" w:rsidP="006B7292">
      <w:pPr>
        <w:pStyle w:val="TextoNormal"/>
      </w:pPr>
      <w:r w:rsidRPr="006B7292">
        <w:rPr>
          <w:rStyle w:val="NumeroAFNegritaCaracter"/>
        </w:rPr>
        <w:t>2</w:t>
      </w:r>
      <w:r>
        <w:t>. Conforme a lo dispuesto en el art. 37.1 LOTC, este Tribunal puede rechazar en trámite de admisión, mediante Auto y con la sola audiencia del Fiscal General del Estado, aquellas cuestiones de inconstitucionalidad que adolezcan de la falta de los necesarios requisitos procesales o que fueren notoriamente infundadas.</w:t>
      </w:r>
    </w:p>
    <w:p w:rsidR="006B7292" w:rsidRDefault="006B7292" w:rsidP="006B7292">
      <w:pPr>
        <w:pStyle w:val="TextoNormal"/>
      </w:pPr>
    </w:p>
    <w:p w:rsidR="006B7292" w:rsidRDefault="006B7292" w:rsidP="006B7292">
      <w:pPr>
        <w:pStyle w:val="TextoNormal"/>
      </w:pPr>
      <w:r w:rsidRPr="006B7292">
        <w:rPr>
          <w:rStyle w:val="NumeroAFNegritaCaracter"/>
        </w:rPr>
        <w:t>3</w:t>
      </w:r>
      <w:r>
        <w:t xml:space="preserve">. El segundo inciso del art. 35.2 LOTC dispone que “antes de adoptar mediante auto su decisión definitiva, el órgano judicial oirá a las partes y al Ministerio Fiscal para que en el plazo común e improrrogable de 10 días puedan alegar lo que deseen sobre la pertinencia de plantear cuestión de inconstitucionalidad, o sobre el fondo de ésta”. El trámite de audiencia a las partes viene referido, como es obvio, a todas aquellas que ostenten esa condición en el proceso, sin que sea dable que el órgano judicial postergue a alguno o algunos de los intervinientes en tal calidad. Así lo hemos refrendado en el ATC 220/2012, de 27 de noviembre, FJ 4, resolución en la que delimitamos el alcance de la condición de “parte” a los efectos previstos en el precepto último citado: “Por lo demás, el emplazamiento que se realizó a las partes no tiene valor alguno a los efectos del trámite de audiencia previsto en el art. 35.2 LOTC, pues dicha audiencia a las partes no es una secuencia del proceso </w:t>
      </w:r>
      <w:r w:rsidRPr="006B7292">
        <w:rPr>
          <w:i/>
        </w:rPr>
        <w:t>a quo</w:t>
      </w:r>
      <w:r>
        <w:t xml:space="preserve"> sino una pieza preliminar del posterior proceso constitucional. Así, quien no comparece en el proceso o deja de atender los llamamientos judiciales lo hace en orden a las pretensiones y posiciones de las demás partes que se ventilan en ese mismo proceso, pero no respecto de aquellas cuestiones que, estrictamente hablando, no forman parte del mismo como es el eventual planteamiento de una cuestión de inconstitucionalidad. En rigor, dicho trámite de audiencia constituye así el momento inicial del procedimiento dado que lo que se ventila no es sino la posibilidad de alegar lo que al derecho de las partes convenga sobre la pertinencia de plantear la cuestión. De este modo lo determinante es que las partes, comparecidas ante la Sala o no, tengan la opción de ser oídas y expresar su parecer sobre una decisión de tanta entidad como el planteamiento de una cuestión de inconstitucionalidad pues no debe olvidarse que existe un interés jurídicamente protegido por la nuestra Ley Orgánica en relación con las partes de un proceso ordinario para hacerse oír en el incidente previo que se considera ‘(ATC 875/1985, de 5 de diciembre, FJ 1). De esta forma la decisión de la Sala de oír solo a la parte que se personó ante la misma es también causa determinante de la inadmisión de la cuestión por vulnerar la reiterada doctrina de este Tribunal, sobre la finalidad de la audiencia del art. 35.2 LOTC (ATC 188/2009, de 23 de junio, FJ 2 y doctrina allí citada)’.</w:t>
      </w:r>
    </w:p>
    <w:p w:rsidR="006B7292" w:rsidRDefault="006B7292" w:rsidP="006B7292">
      <w:pPr>
        <w:pStyle w:val="TextoNormal"/>
      </w:pPr>
    </w:p>
    <w:p w:rsidR="006B7292" w:rsidRDefault="006B7292" w:rsidP="006B7292">
      <w:pPr>
        <w:pStyle w:val="TextoNormal"/>
      </w:pPr>
      <w:r>
        <w:t>De la doctrina transcrita se desprende que la consideración de parte, a efectos del traslado previsto en el art. 35.2 LOTC, trasciende de la eventual comparecencia y personación del interesado en el momento procesal en que se resuelve plantear la cuestión de inconstitucionalidad, pues, como así se indica en la resolución traída a colación, el interés jurídicamente protegido que se anuda al trámite de audiencia regulado en el art. 35.2 LOTC, es decir la pertinencia de plantear cuestión de inconstitucionalidad, es distinto del perseguido en el proceso subyacente.</w:t>
      </w:r>
    </w:p>
    <w:p w:rsidR="006B7292" w:rsidRDefault="006B7292" w:rsidP="006B7292">
      <w:pPr>
        <w:pStyle w:val="TextoNormal"/>
      </w:pPr>
    </w:p>
    <w:p w:rsidR="006B7292" w:rsidRDefault="006B7292" w:rsidP="006B7292">
      <w:pPr>
        <w:pStyle w:val="TextoNormal"/>
      </w:pPr>
      <w:r>
        <w:t>En el presente caso queda acreditado: (i) que el denunciante formuló la denuncia que propició la incoación del juicio de faltas; ii) que aquél solicitó la acumulación de todas las denuncias deducidas contra su ex cónyuge en un único procedimiento, pretensión esta que fue desestimada judicialmente; (iii) que igualmente compareció al acto del juicio oral en calidad de denunciante; (iv) que le fue notificada la Sentencia recaída en la instancia siendo, a su vez, advertido de la posibilidad de interponer recurso de apelación; (v) que se le confirió traslado para poder impugnar el recurso de apelación deducido por la denunciada. En suma, pues, durante la sustanciación del juicio de faltas el denunciante fue tenido por parte procesal. Cierto es que el denunciante no impugnó el recurso de apelación a que se ha hecho mención, razón por la que, previsiblemente, la Audiencia Provincial no le confirió el traslado previsto en el art. 35.2 LOTC. Sin embargo, el hecho de no haber impugnado el recurso de apelación planteado de contrario simplemente acarrea la pérdida de la posibilidad de combatir los argumentos ofrecidos por la parte recurrente pero, en modo alguno, puede comportar el decaimiento en la condición procesal que ya había adquirido. En cualquier caso, no cabe ignorar que el denunciante obtuvo en la instancia un pronunciamiento favorable a sus pretensiones, por lo que resulta patente el interés legítimo que ostentaba, de cara a ser oído en relación con el planteamiento de una cuestión de inconstitucionalidad, cuyo objeto principal versa, precisamente, sobre la vigencia del precepto penal que sirvió de base para la condena de la denunciada.</w:t>
      </w:r>
    </w:p>
    <w:p w:rsidR="006B7292" w:rsidRDefault="006B7292" w:rsidP="006B7292">
      <w:pPr>
        <w:pStyle w:val="TextoNormal"/>
      </w:pPr>
    </w:p>
    <w:p w:rsidR="006B7292" w:rsidRDefault="006B7292" w:rsidP="006B7292">
      <w:pPr>
        <w:pStyle w:val="TextoNormal"/>
      </w:pPr>
      <w:r>
        <w:t>Por tanto, a la vista de lo anteriormente razonado hemos de afirmar que el trámite de audiencia a las partes se realizó de manera incorrecta, lo que constituye, sin duda, una irregularidad del procedimiento que debe llevar a considerarlo incorrectamente tramitado” (ATC 299/2005, de 5 de julio, FJ 3).</w:t>
      </w:r>
    </w:p>
    <w:p w:rsidR="006B7292" w:rsidRDefault="006B7292" w:rsidP="006B7292">
      <w:pPr>
        <w:pStyle w:val="TextoNormal"/>
      </w:pPr>
    </w:p>
    <w:p w:rsidR="006B7292" w:rsidRDefault="006B7292" w:rsidP="006B7292">
      <w:pPr>
        <w:pStyle w:val="TextoNormal"/>
      </w:pPr>
      <w:r w:rsidRPr="006B7292">
        <w:rPr>
          <w:rStyle w:val="NumeroAFNegritaCaracter"/>
        </w:rPr>
        <w:t>4</w:t>
      </w:r>
      <w:r>
        <w:t>. El Fiscal General del Estado ha puesto de manifiesto, en su informe presentado el día 3 de julio de 2015, la pérdida de relevancia de la presente cuestión de inconstitucionalidad. A ese respecto, afirma que el día 1 de julio de 2015 entró en vigor la reforma de Código penal operada por la Ley Orgánica 1/2015 y, por tanto, la infracción tipificada en el art. 618 CP ha quedado despenalizada.</w:t>
      </w:r>
    </w:p>
    <w:p w:rsidR="006B7292" w:rsidRDefault="006B7292" w:rsidP="006B7292">
      <w:pPr>
        <w:pStyle w:val="TextoNormal"/>
      </w:pPr>
    </w:p>
    <w:p w:rsidR="006B7292" w:rsidRDefault="006B7292" w:rsidP="006B7292">
      <w:pPr>
        <w:pStyle w:val="TextoNormal"/>
      </w:pPr>
      <w:r>
        <w:t xml:space="preserve">Este Tribunal ha tenido ocasión de pronunciarse sobre la desaparición sobrevenida de objeto de una cuestión de inconstitucionalidad, como consecuencia de la pérdida sobrevenida de relevancia del precepto penal cuestionado. Y así, en la STC 6/21010, de 7 de mayo, analizamos la incidencia de la entrada en vigor de la Ley Orgánica 15/2003, de 25 de noviembre, que dio lugar a la despenalización de la conducción de vehículos y ciclomotores sin cobertura del seguro obligatorio de responsabilidad civil, sobre el objeto de una cuestión de inconstitucionalidad que, precisamente, cuestionaba el retardo de la entrada en vigor de la referida despenalización. Concretamente, en el fundamento jurídico 3 de la citada resolución sostuvimos lo siguiente: “En puridad, lo que acontece en el presente caso es la pérdida sobrevenida de la relevancia del precepto legal cuestionado para la resolución del proceso del que trae causa la cuestión de inconstitucionalidad. Indudablemente, la disposición final cuestionada era relevante inicialmente para la resolución del proceso </w:t>
      </w:r>
      <w:r w:rsidRPr="006B7292">
        <w:rPr>
          <w:i/>
        </w:rPr>
        <w:t>a quo</w:t>
      </w:r>
      <w:r>
        <w:t xml:space="preserve"> en la medida en que impedía al órgano judicial aplicar la nueva redacción del art. 636 CP antes del 1 de octubre de 2004. Sin embargo, a partir de tal fecha la disposición final cuestionada deja de erigirse en obstáculo para la aplicación de la nueva redacción del precepto penal, ello como consecuencia del principio de retroactividad de la ley penal más favorable acogido en el art. 2.2 del Código penal con carácter general, y con carácter particular en la disposición transitoria primera de la propia Ley Orgánica 15/2003, de 25 de noviembre, conforme a la cual se aplicará la nueva Ley ‘una vez que entre en vigor, si las disposiciones de la misma son más favorables para el reo, aunque los hechos hubieran sido cometidos con anterioridad a su entrada en vigor’ y en su disposición transitoria quinta, con arreglo a la cual ‘en las sentencias dictadas conforme a la legislación que se deroga y que no sean firmes por estar pendientes de recurso, se observarán, una vez transcurrido el período de </w:t>
      </w:r>
      <w:r w:rsidRPr="006B7292">
        <w:rPr>
          <w:i/>
        </w:rPr>
        <w:t>vacatio</w:t>
      </w:r>
      <w:r>
        <w:t>, las siguientes reglas: ‘a) Si se trata de un recurso de apelación, las partes podrán invocar y el juez o tribunal aplicará de oficio los preceptos de la nueva ley, cuando resulten más favorables al reo’.</w:t>
      </w:r>
    </w:p>
    <w:p w:rsidR="006B7292" w:rsidRDefault="006B7292" w:rsidP="006B7292">
      <w:pPr>
        <w:pStyle w:val="TextoNormal"/>
      </w:pPr>
    </w:p>
    <w:p w:rsidR="006B7292" w:rsidRDefault="006B7292" w:rsidP="006B7292">
      <w:pPr>
        <w:pStyle w:val="TextoNormal"/>
      </w:pPr>
      <w:r>
        <w:t>Por todo ello, la imposibilidad de que el órgano judicial pueda ya resolver el recurso de apelación que pende ante el mismo mediante la aplicación del art. 636 CP en la redacción vigente al tiempo de plantearse la cuestión de inconstitucionalidad, implica una desaparición sobrevenida de los presupuestos de apertura del presente proceso constitucional, que determina su extinción, pues, aun cuando el enjuiciamiento constitucional de la norma cuestionada sigue siendo posible y ésta plantea un problema constitucional de interés, ya no se trataría de un juicio de constitucionalidad en concreto, al que se refiere el art. 163 CE, sino en abstracto, sin efectos para el caso, lo que resulta improcedente en toda cuestión de inconstitucionalidad (en este sentido, AATC 340/2003, de 21 de octubre, FJ único, y 75/2004, de 9 de marzo, FJ único)”.</w:t>
      </w:r>
    </w:p>
    <w:p w:rsidR="006B7292" w:rsidRDefault="006B7292" w:rsidP="006B7292">
      <w:pPr>
        <w:pStyle w:val="TextoNormal"/>
      </w:pPr>
    </w:p>
    <w:p w:rsidR="006B7292" w:rsidRDefault="006B7292" w:rsidP="006B7292">
      <w:pPr>
        <w:pStyle w:val="TextoNormal"/>
      </w:pPr>
      <w:r>
        <w:t>Dicha doctrina resulta extensible al presente caso, habida cuenta de que, a fecha 1 de julio del 2015, la infracción que sirvió de título de condena en la instancia ha desaparecido del Código penal y, por tanto, el órgano encargado de conocer de la apelación deberá resolver teniendo en cuenta la plena vigencia de la disposición transitoria primera y de la disposición derogatoria única. En suma, pues, junto al óbice procesal anteriormente reflejado, también cabe apreciar la desaparición sobrevenida de objeto de la presente cuestión de inconstitucionalidad, por las razones arriba indicadas.</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Inadmitir la cuestión de inconstitucionalidad núm. 2640-2015 planteada por la Sección Cuarta de la Audiencia Provincial de Tarragona.</w:t>
      </w:r>
    </w:p>
    <w:p w:rsidR="006B7292" w:rsidRDefault="006B7292" w:rsidP="006B7292">
      <w:pPr>
        <w:pStyle w:val="TextoNormal"/>
      </w:pPr>
    </w:p>
    <w:p w:rsidR="006B7292" w:rsidRDefault="006B7292" w:rsidP="006B7292">
      <w:pPr>
        <w:pStyle w:val="TextoNormal"/>
      </w:pPr>
      <w:r>
        <w:t>Madrid, a veintiuno de julio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53" w:name="AUTO_2015_139"/>
      <w:r>
        <w:t>AUTO 139/2015, de 21 de julio de 2015</w:t>
      </w:r>
    </w:p>
    <w:bookmarkEnd w:id="153"/>
    <w:p w:rsidR="006B7292" w:rsidRDefault="006B7292" w:rsidP="006B7292">
      <w:pPr>
        <w:pStyle w:val="TtuloResolucin"/>
      </w:pPr>
      <w:r>
        <w:t>Pleno</w:t>
      </w:r>
    </w:p>
    <w:p w:rsidR="006B7292" w:rsidRDefault="006B7292" w:rsidP="006B7292">
      <w:pPr>
        <w:pStyle w:val="TextoNormalCentrado"/>
      </w:pPr>
      <w:r>
        <w:t>ECLI:ES:TC:2015:139A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Inadmite a trámite el recurso de inconstitucionalidad 3575-2015, planteado por el Consejo de Gobierno de la Junta de Andalucía en relación con diversos preceptos de la Ley 15/2014, de 16 de septiembre, de racionalización del sector público y otras medidas de reforma administrativa.</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t>Único. Mediante escrito registrado en este Tribunal el día 17 de junio de 2015, el Letrado de la Junta de Andalucía, en representación de su Consejo de Gobierno, interpuso recurso de inconstitucionalidad contra el art. 23 y la disposición transitoria octava de la Ley 15/2014, de 16 de septiembre, de racionalización del sector público y otras medidas de reforma administrativa.</w:t>
      </w:r>
    </w:p>
    <w:p w:rsidR="006B7292" w:rsidRDefault="006B7292" w:rsidP="006B7292">
      <w:pPr>
        <w:pStyle w:val="TextoNormal"/>
      </w:pPr>
    </w:p>
    <w:p w:rsidR="006B7292" w:rsidRDefault="006B7292" w:rsidP="006B7292">
      <w:pPr>
        <w:pStyle w:val="TextoNormal"/>
      </w:pPr>
      <w:r>
        <w:t>Expone en los antecedentes que el recurso se interpone a solicitud del Consejero de Educación, Cultura y Deporte en funciones, dado que el plazo de interposición finaliza el 17 de junio, y ante la imposibilidad de recabar la previa autorización por parte del Consejo de Gobierno con anterioridad a la citada fecha. Con la demanda aporta la referida solicitud del Consejero autonómico en funciones.</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Único. De conformidad con lo establecido por los arts. 162.1 a) CE y 32.2 de la Ley Orgánica del Tribunal Constitucional (LOTC), los únicos órganos de las Comunidades Autónomas legitimados para interponer un recurso de inconstitucionalidad son los órganos colegiados ejecutivos y las Asambleas de las Comunidades Autónomas, previo acuerdo adoptado al efecto.</w:t>
      </w:r>
    </w:p>
    <w:p w:rsidR="006B7292" w:rsidRDefault="006B7292" w:rsidP="006B7292">
      <w:pPr>
        <w:pStyle w:val="TextoNormal"/>
      </w:pPr>
    </w:p>
    <w:p w:rsidR="006B7292" w:rsidRDefault="006B7292" w:rsidP="006B7292">
      <w:pPr>
        <w:pStyle w:val="TextoNormal"/>
      </w:pPr>
      <w:r>
        <w:t xml:space="preserve">En ausencia de acuerdo del Consejo de Gobierno de la Junta de Andalucía, es patente la falta de legitimación del Consejero autonómico en funciones para la interposición de este recurso, por lo que procede su inadmisión, atendiendo a la doctrina constitucional recogida en la STC 42/1985, de 15 de marzo: “el ejercicio de la acción requiere la previa formación de la voluntad impugnatoria de acuerdo con las reglas de procedimiento interno propias del órgano en cuestión, y el recurso no será admisible cuando no se acredite la preexistencia de tal voluntad. Este es, efectivamente, el requisito que la LOTC (art. 32.2) impone para la interposición del recurso de inconstitucionalidad por parte de los órganos ejecutivos colegiados o las Asambleas Legislativas de las Comunidades Autónomas, únicos órganos colegiados que en el referido precepto se contemplan. No cabe duda de que tales órganos colegiados tienen la capacidad suficiente para ejercer la acción de inconstitucionalidad o, si se quiere, la </w:t>
      </w:r>
      <w:r w:rsidRPr="006B7292">
        <w:rPr>
          <w:i/>
        </w:rPr>
        <w:t>legitimatio ad processum</w:t>
      </w:r>
      <w:r>
        <w:t>. A falta de ese acuerdo previo que el mencionado precepto exige, la acción intentada en su nombre, incluso por quien ostente en términos irreprochables su representación procesal, no puede conducir a un pronunciamiento sobre el fondo de la pretensión cuando, de oficio o a instancia de parte, se advierte su defecto. En cuanto que en el tenor literal del artículo tan repetidamente citado se enlaza la existencia del acuerdo previo con la legitimación del órgano, parece razonable pensar que ésta es concebida más como condición de la acción que como mero requisito procesal, mas sea cual fuere la construcción doctrinal que a partir de los textos se haga, queda fuera de toda duda que la acción de inconstitucionalidad intentada por un órgano colegiado requiere la preexistencia de un acuerdo del mismo” (FJ 2).</w:t>
      </w:r>
    </w:p>
    <w:p w:rsidR="006B7292" w:rsidRDefault="006B7292" w:rsidP="006B7292">
      <w:pPr>
        <w:pStyle w:val="TextoNormal"/>
      </w:pPr>
    </w:p>
    <w:p w:rsidR="006B7292" w:rsidRDefault="006B7292" w:rsidP="006B7292">
      <w:pPr>
        <w:pStyle w:val="TextoNormal"/>
      </w:pPr>
      <w:r>
        <w:t>La más reciente STC 71/2014, de 6 de mayo, reitera el mismo criterio, recordando que “‘siendo la legitimación para la acción de inconstitucionalidad una potestad atribuida directamente por la Constitución a determinados órganos o miembros de órganos representativos y no una facultad que derive del derecho del que se es titular, es claro que no puede ser delegada ni transmitido el poder para ejercerla (STC 42/1985, de 15 de marzo, FJ 2; doctrina reiterada en la STC 61/1997, de 20 de marzo, FJ 4)’” (FJ 2).</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Inadmitir a trámite el recurso de inconstitucionalidad núm. 3575-2015.</w:t>
      </w:r>
    </w:p>
    <w:p w:rsidR="006B7292" w:rsidRDefault="006B7292" w:rsidP="006B7292">
      <w:pPr>
        <w:pStyle w:val="TextoNormal"/>
      </w:pPr>
    </w:p>
    <w:p w:rsidR="006B7292" w:rsidRDefault="006B7292" w:rsidP="006B7292">
      <w:pPr>
        <w:pStyle w:val="TextoNormal"/>
      </w:pPr>
      <w:r>
        <w:t>Madrid, a veintiuno de julio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54" w:name="AUTO_2015_140"/>
      <w:r>
        <w:t>AUTO 140/2015, de 23 de julio de 2015</w:t>
      </w:r>
    </w:p>
    <w:bookmarkEnd w:id="154"/>
    <w:p w:rsidR="006B7292" w:rsidRDefault="006B7292" w:rsidP="006B7292">
      <w:pPr>
        <w:pStyle w:val="TtuloResolucin"/>
      </w:pPr>
      <w:r>
        <w:t>Sección Cuarta</w:t>
      </w:r>
    </w:p>
    <w:p w:rsidR="006B7292" w:rsidRDefault="006B7292" w:rsidP="006B7292">
      <w:pPr>
        <w:pStyle w:val="TextoNormalCentrado"/>
      </w:pPr>
      <w:r>
        <w:t>ECLI:ES:TC:2015:140A</w:t>
      </w:r>
    </w:p>
    <w:p w:rsidR="006B7292" w:rsidRDefault="006B7292" w:rsidP="006B7292">
      <w:pPr>
        <w:pStyle w:val="TextoNormalCentrado"/>
      </w:pPr>
    </w:p>
    <w:p w:rsidR="006B7292" w:rsidRDefault="006B7292" w:rsidP="006B7292">
      <w:pPr>
        <w:pStyle w:val="SntesisDescriptiva"/>
      </w:pPr>
      <w:r>
        <w:t>Excms. Srs. don Fernando Valdés Dal-Ré, don Ricardo Enríquez Sancho y don Antonio Narváez Rodríguez.</w:t>
      </w:r>
    </w:p>
    <w:p w:rsidR="006B7292" w:rsidRDefault="006B7292" w:rsidP="006B7292">
      <w:pPr>
        <w:pStyle w:val="SntesisDescriptiva"/>
      </w:pPr>
    </w:p>
    <w:p w:rsidR="006B7292" w:rsidRDefault="006B7292" w:rsidP="006B7292">
      <w:pPr>
        <w:pStyle w:val="SntesisDescriptiva"/>
      </w:pPr>
      <w:r>
        <w:t>Estima el recurso de súplica del Ministerio Fiscal sobre inadmisión del recurso de amparo 350-2011, promovido por don José Luis Salazar Salazar en proceso contencioso-administrativo.</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registrado en este Tribunal el 20 de enero de 2011, el Letrado del Ilustre Colegio de Abogados de Soria don José Luís Salazar Salazar, actuando en nombre y derecho propio, presentó demanda de amparo contra las resoluciones de 11 de febrero de 2009, de la delegación territorial de Educación de Gipuzkoa, y de 3 de junio de 2009 de la Viceconsejería de Educación del Gobierno Vasco, así como contra la Sentencia 440/2010, de 8 de septiembre, dictada por la Sala de lo Contencioso-Administrativo (Sección Tercera) del Tribunal Superior de Justicia del País Vasco en el recurso de apelación núm. 305-2010, y el Auto de 25 de noviembre de 2010, dictado por el mismo órgano judicial.</w:t>
      </w:r>
    </w:p>
    <w:p w:rsidR="006B7292" w:rsidRDefault="006B7292" w:rsidP="006B7292">
      <w:pPr>
        <w:pStyle w:val="TextoNormal"/>
      </w:pPr>
    </w:p>
    <w:p w:rsidR="006B7292" w:rsidRDefault="006B7292" w:rsidP="006B7292">
      <w:pPr>
        <w:pStyle w:val="TextoNormal"/>
      </w:pPr>
      <w:r w:rsidRPr="006B7292">
        <w:rPr>
          <w:rStyle w:val="NumeroAFNegritaCaracter"/>
        </w:rPr>
        <w:t>2</w:t>
      </w:r>
      <w:r>
        <w:t>. El recurrente aduce en su demanda de amparo que las resoluciones indicadas han vulnerado su derecho a la libertad ideológica y educativa (arts. 16.1 y 2 CE y 27.3 y 8 CE) al imponer a su hija, en relación con la asignatura “Educación para la Ciudadanía” cursada por ésta en el IES “Hiru-Bide” de Irún (Gipuzkoa), un libro de estudio de contenido adoctrinador. Considera igualmente que la Sentencia dictada por la Sala de lo Contencioso-Administrativo (Sección Tercera) del Tribunal Superior de Justicia violó su derecho a la tutela judicial efectiva (art. 24.1 CE) al incurrir en incongruencia.</w:t>
      </w:r>
    </w:p>
    <w:p w:rsidR="006B7292" w:rsidRDefault="006B7292" w:rsidP="006B7292">
      <w:pPr>
        <w:pStyle w:val="TextoNormal"/>
      </w:pPr>
    </w:p>
    <w:p w:rsidR="006B7292" w:rsidRDefault="006B7292" w:rsidP="006B7292">
      <w:pPr>
        <w:pStyle w:val="TextoNormal"/>
      </w:pPr>
      <w:r w:rsidRPr="006B7292">
        <w:rPr>
          <w:rStyle w:val="NumeroAFNegritaCaracter"/>
        </w:rPr>
        <w:t>3</w:t>
      </w:r>
      <w:r>
        <w:t>. La Sección Cuarta de este Tribunal, mediante providencia de 6 de marzo de 2015, acordó no admitir a trámite el recurso, al considerar que el recurrente no había cumplido “la carga insubsanable de fundamentar adecuadamente la demanda. En concreto, no permite conocer el contenido del libro de texto que reputa vulnerador de los derechos fundamentales invocados, sin que pueda este Tribunal reconstruir el escrito rector del recurso ni suplir esa omisión”.</w:t>
      </w:r>
    </w:p>
    <w:p w:rsidR="006B7292" w:rsidRDefault="006B7292" w:rsidP="006B7292">
      <w:pPr>
        <w:pStyle w:val="TextoNormal"/>
      </w:pPr>
    </w:p>
    <w:p w:rsidR="006B7292" w:rsidRDefault="006B7292" w:rsidP="006B7292">
      <w:pPr>
        <w:pStyle w:val="TextoNormal"/>
      </w:pPr>
      <w:r w:rsidRPr="006B7292">
        <w:rPr>
          <w:rStyle w:val="NumeroAFNegritaCaracter"/>
        </w:rPr>
        <w:t>4</w:t>
      </w:r>
      <w:r>
        <w:t>. El Ministerio Fiscal, por escrito registrado el 22 de abril de 2015, interpuso recurso de súplica contra dicha providencia, solicitando que fuera dejada sin efecto y que se repusieran las actuaciones para que se decidiera nuevamente sobre la admisión de la demanda de amparo. Se argumenta en el escrito de recurso que la demanda sí está adecuadamente fundamentada, ya que: (i) se denuncia en ella con precisión la lesión por parte de la Administración educativa del País Vasco de los derechos fundamentales reconocidos en los arts. 16.1 y 2 CE y 27.3 y 8 CE al imponer a la hija del recurrente un manual de la asignatura “Educación para la Ciudadanía” de contenido adoctrinador; (ii) se concretan los particulares del libro de estudio (apartado 12 de la unidad didáctica 3 y actividades de la lección 12), justificando las razones por las que considera que pueden ser considerados adoctrinadores; (iii) se reprocha a las resoluciones judiciales impugnadas la vulneración de otro derecho fundamental (art. 24.1 CE), lesión cuya constatación sería ajena al contenido de la providencia de 6 de marzo de 2015, que aduce una razón de inadmisión únicamente aplicable al primer motivo de amparo planteado.</w:t>
      </w:r>
    </w:p>
    <w:p w:rsidR="006B7292" w:rsidRDefault="006B7292" w:rsidP="006B7292">
      <w:pPr>
        <w:pStyle w:val="TextoNormal"/>
      </w:pPr>
    </w:p>
    <w:p w:rsidR="006B7292" w:rsidRDefault="006B7292" w:rsidP="006B7292">
      <w:pPr>
        <w:pStyle w:val="TextoNormal"/>
      </w:pPr>
      <w:r w:rsidRPr="006B7292">
        <w:rPr>
          <w:rStyle w:val="NumeroAFNegritaCaracter"/>
        </w:rPr>
        <w:t>5</w:t>
      </w:r>
      <w:r>
        <w:t>. La Secretaría de Justicia de la Sección Cuarta de este Tribunal, por diligencia de ordenación de 23 de abril de 2015, acordó dar traslado del recurso de súplica para alegaciones al demandante, habiendo transcurrido el plazo conferido sin que éste las haya formulado.</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Único. A la vista de las alegaciones expuestas por el Ministerio Fiscal, debe estimarse el recurso de súplica interpuesto por éste. Basta, a estos efectos, con constatar que el recurso de amparo presentado planteaba, no sólo la vulneración de los derechos fundamentales comprendidos en los arts. 16.1 y 2 CE y 27.3 y 8 CE, sino también el derecho a la tutela judicial efectiva contemplado en el art. 24.1 CE.</w:t>
      </w:r>
    </w:p>
    <w:p w:rsidR="006B7292" w:rsidRDefault="006B7292" w:rsidP="006B7292">
      <w:pPr>
        <w:pStyle w:val="TextoNormal"/>
      </w:pPr>
    </w:p>
    <w:p w:rsidR="006B7292" w:rsidRDefault="006B7292" w:rsidP="006B7292">
      <w:pPr>
        <w:pStyle w:val="TextoNormal"/>
      </w:pPr>
      <w:r>
        <w:t>Pues bien, es de apreciar que el contenido de la providencia de inadmisión impugnada carecía de cualquier referencia a la razón por la que la demanda resultaba inadmitida en relación con ese segundo motivo de amparo, de índole puramente procesal. Esta circunstancia hace innecesaria cualquier consideración adicional sobre la corrección del razonamiento contenido en dicha providencia en relación con el primer motivo de amparo, ya que la decisión relativa a la admisión del recurso ha de ser reconsiderada en su integridad.</w:t>
      </w:r>
    </w:p>
    <w:p w:rsidR="006B7292" w:rsidRDefault="006B7292" w:rsidP="006B7292">
      <w:pPr>
        <w:pStyle w:val="TextoNormal"/>
      </w:pPr>
    </w:p>
    <w:p w:rsidR="006B7292" w:rsidRDefault="006B7292" w:rsidP="006B7292">
      <w:pPr>
        <w:pStyle w:val="TextoNormal"/>
      </w:pPr>
      <w:r>
        <w:t>Por tanto, con estimación del recurso de súplica interpuesto, procede dejar sin efecto la providencia impugnada y reponer las actuaciones a ese momento procesal para que por este Tribunal se adopte una nueva decisión sobre la admisión de la demanda de amparo.</w:t>
      </w:r>
    </w:p>
    <w:p w:rsidR="006B7292" w:rsidRDefault="006B7292" w:rsidP="006B7292">
      <w:pPr>
        <w:pStyle w:val="TextoNormal"/>
      </w:pPr>
    </w:p>
    <w:p w:rsidR="006B7292" w:rsidRDefault="006B7292" w:rsidP="006B7292">
      <w:pPr>
        <w:pStyle w:val="TextoNormal"/>
      </w:pPr>
      <w:r>
        <w:t>Por todo lo expuesto, la Sección</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Estimar el recurso de súplica interpuesto por el Ministerio Fiscal contra la providencia de 6 de marzo de 2015, que se deja sin efecto, y reponer las actuaciones al momento inmediatamente anterior al dictado de la providencia anulada.</w:t>
      </w:r>
    </w:p>
    <w:p w:rsidR="006B7292" w:rsidRDefault="006B7292" w:rsidP="006B7292">
      <w:pPr>
        <w:pStyle w:val="TextoNormal"/>
      </w:pPr>
    </w:p>
    <w:p w:rsidR="006B7292" w:rsidRDefault="006B7292" w:rsidP="006B7292">
      <w:pPr>
        <w:pStyle w:val="TextoNormal"/>
      </w:pPr>
      <w:r>
        <w:t>Madrid, a veintitrés de julio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55" w:name="AUTO_2015_141"/>
      <w:r>
        <w:t>AUTO 141/2015, de 23 de julio de 2015</w:t>
      </w:r>
    </w:p>
    <w:bookmarkEnd w:id="155"/>
    <w:p w:rsidR="006B7292" w:rsidRDefault="006B7292" w:rsidP="006B7292">
      <w:pPr>
        <w:pStyle w:val="TtuloResolucin"/>
      </w:pPr>
      <w:r>
        <w:t>Sección Tercera</w:t>
      </w:r>
    </w:p>
    <w:p w:rsidR="006B7292" w:rsidRDefault="006B7292" w:rsidP="006B7292">
      <w:pPr>
        <w:pStyle w:val="TextoNormalCentrado"/>
      </w:pPr>
      <w:r>
        <w:t>ECLI:ES:TC:2015:141A</w:t>
      </w:r>
    </w:p>
    <w:p w:rsidR="006B7292" w:rsidRDefault="006B7292" w:rsidP="006B7292">
      <w:pPr>
        <w:pStyle w:val="TextoNormalCentrado"/>
      </w:pPr>
    </w:p>
    <w:p w:rsidR="006B7292" w:rsidRDefault="006B7292" w:rsidP="006B7292">
      <w:pPr>
        <w:pStyle w:val="SntesisDescriptiva"/>
      </w:pPr>
      <w:r>
        <w:t>Excms. Srs. doña Adela Asua Batarrita, don Juan José González Rivas y don Pedro José González-Trevijano Sánchez.</w:t>
      </w:r>
    </w:p>
    <w:p w:rsidR="006B7292" w:rsidRDefault="006B7292" w:rsidP="006B7292">
      <w:pPr>
        <w:pStyle w:val="SntesisDescriptiva"/>
      </w:pPr>
    </w:p>
    <w:p w:rsidR="006B7292" w:rsidRDefault="006B7292" w:rsidP="006B7292">
      <w:pPr>
        <w:pStyle w:val="SntesisDescriptiva"/>
      </w:pPr>
      <w:r>
        <w:t>Acuerda la extinción, por pérdida de objeto, del recurso de amparo 7590-2014, promovido por don Javier Martín-Artajo Rueda en proceso contencioso-administrativo.</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presentado el 16 de diciembre de 2014, la Procuradora de los Tribunales doña Carmen Azpeitia Bello, en nombre y representación de don Javier Martín-Artajo Rueda, interpuso recurso de amparo contra el acuerdo del Consejo de Ministros de 25 de octubre de 2013 (recaído en el expediente de extradición pasiva M-1232-13), que acordó la extradición del actor a los Estados Unidos, frente a la Sentencia de la Sección Sexta de la Sala de lo Contencioso-Administrativo del Tribunal Supremo de 22 de septiembre de 2014, que desestimó el recurso ordinario núm. 419-2013, interpuesto frente al anterior, y contra la providencia de la misma Sala de 29 de octubre de 2014, que inadmitió el incidente de nulidad de actuaciones promovido contra la expresada Sentencia.</w:t>
      </w:r>
    </w:p>
    <w:p w:rsidR="006B7292" w:rsidRDefault="006B7292" w:rsidP="006B7292">
      <w:pPr>
        <w:pStyle w:val="TextoNormal"/>
      </w:pPr>
    </w:p>
    <w:p w:rsidR="006B7292" w:rsidRDefault="006B7292" w:rsidP="006B7292">
      <w:pPr>
        <w:pStyle w:val="TextoNormal"/>
      </w:pPr>
      <w:r w:rsidRPr="006B7292">
        <w:rPr>
          <w:rStyle w:val="NumeroAFNegritaCaracter"/>
        </w:rPr>
        <w:t>2</w:t>
      </w:r>
      <w:r>
        <w:t>. Antes de que se acordara la admisión a trámite del recurso, la representación del recurrente presentó escrito con fecha 3 de junio de 2015, poniendo de manifiesto que, mediante Auto de 23 de abril de 2015, la Sección Tercera de la Sala de lo Penal de la Audiencia Nacional había denegado la extradición del actor solicitada por las autoridades de Estados Unidos, resolución que había devenido firme (al escrito se acompañaba copia de dicho Auto y de la providencia del mismo órgano jurisdiccional de 4 de mayo de 2015, por la que se declara la firmeza del citado Auto). Por tal razón, solicitaba que se acordara la conclusión del proceso por la pérdida sobrevenida de su objeto.</w:t>
      </w:r>
    </w:p>
    <w:p w:rsidR="006B7292" w:rsidRDefault="006B7292" w:rsidP="006B7292">
      <w:pPr>
        <w:pStyle w:val="TextoNormal"/>
      </w:pPr>
    </w:p>
    <w:p w:rsidR="006B7292" w:rsidRDefault="006B7292" w:rsidP="006B7292">
      <w:pPr>
        <w:pStyle w:val="TextoNormal"/>
      </w:pPr>
      <w:r w:rsidRPr="006B7292">
        <w:rPr>
          <w:rStyle w:val="NumeroAFNegritaCaracter"/>
        </w:rPr>
        <w:t>3</w:t>
      </w:r>
      <w:r>
        <w:t>. Por diligencia de ordenación de 5 de junio de 2015, se acordó dar traslado del escrito presentado al Ministerio Fiscal para que en el plazo de diez días alegara lo que tuviera por conveniente.</w:t>
      </w:r>
    </w:p>
    <w:p w:rsidR="006B7292" w:rsidRDefault="006B7292" w:rsidP="006B7292">
      <w:pPr>
        <w:pStyle w:val="TextoNormal"/>
      </w:pPr>
    </w:p>
    <w:p w:rsidR="006B7292" w:rsidRDefault="006B7292" w:rsidP="006B7292">
      <w:pPr>
        <w:pStyle w:val="TextoNormal"/>
      </w:pPr>
      <w:r w:rsidRPr="006B7292">
        <w:rPr>
          <w:rStyle w:val="NumeroAFNegritaCaracter"/>
        </w:rPr>
        <w:t>4</w:t>
      </w:r>
      <w:r>
        <w:t>. El Ministerio Fiscal presentó alegaciones mediante escrito registrado el 1 de julio de 2015, en el que consideró que, atendidas las circunstancias del caso, y habiendo quedado sin virtualidad las resoluciones impugnadas por haber resultado finalmente rechazada la petición de extradición, el recurso de amparo ha perdido su objeto, toda vez que su continuación no satisface ningún interés.</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Conforme a nuestra reiterada doctrina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w:t>
      </w:r>
    </w:p>
    <w:p w:rsidR="006B7292" w:rsidRDefault="006B7292" w:rsidP="006B7292">
      <w:pPr>
        <w:pStyle w:val="TextoNormal"/>
      </w:pPr>
    </w:p>
    <w:p w:rsidR="006B7292" w:rsidRDefault="006B7292" w:rsidP="006B7292">
      <w:pPr>
        <w:pStyle w:val="TextoNormal"/>
      </w:pPr>
      <w:r>
        <w:t>De este modo, “como hemos declarado reiteradamente —así, STC 118/2007, de 21 de mayo, FJ 2—, la desaparición sobrevenida del objeto del proceso, aun cuando no contemplada expresamente en el art. 86.1 LOTC, ha sido admitida por este Tribunal como forma de terminación de los distintos procesos constitucionales. En particular y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En estos supuestos, por tanto, la demanda de amparo deja de tener objeto, toda vez que la reparación de la lesión del derecho fundamental por los propios órganos judiciales, antes de que este Tribunal haya dictado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mayo, FJ 2; y 128/2006, de 24 de abril, FJ 2)” (STC 133/2007, de 4 de junio, FJ 2).</w:t>
      </w:r>
    </w:p>
    <w:p w:rsidR="006B7292" w:rsidRDefault="006B7292" w:rsidP="006B7292">
      <w:pPr>
        <w:pStyle w:val="TextoNormal"/>
      </w:pPr>
    </w:p>
    <w:p w:rsidR="006B7292" w:rsidRDefault="006B7292" w:rsidP="006B7292">
      <w:pPr>
        <w:pStyle w:val="TextoNormal"/>
      </w:pPr>
      <w:r>
        <w:t>En tales casos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de 11 de diciembre, FJ 9).</w:t>
      </w:r>
    </w:p>
    <w:p w:rsidR="006B7292" w:rsidRDefault="006B7292" w:rsidP="006B7292">
      <w:pPr>
        <w:pStyle w:val="TextoNormal"/>
      </w:pPr>
    </w:p>
    <w:p w:rsidR="006B7292" w:rsidRDefault="006B7292" w:rsidP="006B7292">
      <w:pPr>
        <w:pStyle w:val="TextoNormal"/>
      </w:pPr>
      <w:r w:rsidRPr="006B7292">
        <w:rPr>
          <w:rStyle w:val="NumeroAFNegritaCaracter"/>
        </w:rPr>
        <w:t>2</w:t>
      </w:r>
      <w:r>
        <w:t>. Del examen de las presentes actuaciones se desprende que por acuerdo del Consejo de Ministros de 25 de octubre de 2013 fue acordada la continuación del procedimiento de extradición del actor, solicitada por las autoridades de los Estados Unidos; acuerdo que fue confirmado por Sentencia de la Sección Sexta de la Sala de lo Contencioso-Administrativo del Tribunal Supremo de 22 de septiembre de 2014, frente a la que el actor promovió incidente de nulidad de actuaciones, que fue inadmitido por providencia de 29 de octubre de 2014. Sin embargo, según ha puesto en conocimiento de este Tribunal el propio demandante de amparo, con posterioridad a la interposición del presente recurso, la Sección Tercera de la Sala de lo Penal de la Audiencia Nacional, mediante Auto de 23 de abril de 2015, ha acordado denegar la extradición del actor solicitada por las autoridades de Estados Unidos, resolución que fue declarada firme por providencia de 4 de mayo de 2015.</w:t>
      </w:r>
    </w:p>
    <w:p w:rsidR="006B7292" w:rsidRDefault="006B7292" w:rsidP="006B7292">
      <w:pPr>
        <w:pStyle w:val="TextoNormal"/>
      </w:pPr>
    </w:p>
    <w:p w:rsidR="006B7292" w:rsidRDefault="006B7292" w:rsidP="006B7292">
      <w:pPr>
        <w:pStyle w:val="TextoNormal"/>
      </w:pPr>
      <w:r>
        <w:t>A la vista de lo expuesto, y teniendo en cuenta que ello supone, como ha señalado el Ministerio Fiscal, privar de virtualidad a las resoluciones impugnadas, en la medida en que el resultado que el demandante perseguía a través del presente recurso de amparo ya ha sido obtenido en virtud del Auto dictado por la Sala de lo Penal de la Audiencia Nacional, de conformidad con lo dispuesto en los arts. 80 y 86.1 de la Ley Orgánica del Tribunal Constitucional (LOTC), en relación con el art. 22 de la Ley de enjuiciamiento civil, procede declarar la perdida de objeto del presente recurso, en tanto que la continuación del proceso no satisface ningún interés, al haberse despojado de efecto el acto lesivo.</w:t>
      </w:r>
    </w:p>
    <w:p w:rsidR="006B7292" w:rsidRDefault="006B7292" w:rsidP="006B7292">
      <w:pPr>
        <w:pStyle w:val="TextoNormal"/>
      </w:pPr>
    </w:p>
    <w:p w:rsidR="006B7292" w:rsidRDefault="006B7292" w:rsidP="006B7292">
      <w:pPr>
        <w:pStyle w:val="TextoNormal"/>
      </w:pPr>
      <w:r>
        <w:t>Por todo lo expuesto, la Sección</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Declarar la extinción del recurso por la pérdida de objeto del amparo interpuesto y el archivo de las actuaciones.</w:t>
      </w:r>
    </w:p>
    <w:p w:rsidR="006B7292" w:rsidRDefault="006B7292" w:rsidP="006B7292">
      <w:pPr>
        <w:pStyle w:val="TextoNormal"/>
      </w:pPr>
    </w:p>
    <w:p w:rsidR="006B7292" w:rsidRDefault="006B7292" w:rsidP="006B7292">
      <w:pPr>
        <w:pStyle w:val="TextoNormal"/>
      </w:pPr>
      <w:r>
        <w:t>Madrid, a veintitrés de julio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56" w:name="AUTO_2015_142"/>
      <w:r>
        <w:t>AUTO 142/2015, de 24 de julio de 2015</w:t>
      </w:r>
    </w:p>
    <w:bookmarkEnd w:id="156"/>
    <w:p w:rsidR="006B7292" w:rsidRDefault="006B7292" w:rsidP="006B7292">
      <w:pPr>
        <w:pStyle w:val="TtuloResolucin"/>
      </w:pPr>
      <w:r>
        <w:t>Sección Primera</w:t>
      </w:r>
    </w:p>
    <w:p w:rsidR="006B7292" w:rsidRDefault="006B7292" w:rsidP="006B7292">
      <w:pPr>
        <w:pStyle w:val="TextoNormalCentrado"/>
      </w:pPr>
      <w:r>
        <w:t>ECLI:ES:TC:2015:142A</w:t>
      </w:r>
    </w:p>
    <w:p w:rsidR="006B7292" w:rsidRDefault="006B7292" w:rsidP="006B7292">
      <w:pPr>
        <w:pStyle w:val="TextoNormalCentrado"/>
      </w:pPr>
    </w:p>
    <w:p w:rsidR="006B7292" w:rsidRDefault="006B7292" w:rsidP="006B7292">
      <w:pPr>
        <w:pStyle w:val="SntesisDescriptiva"/>
      </w:pPr>
      <w:r>
        <w:t>Excms. Srs. don Francisco Pérez de los Cobos Orihuel, doña Encarnación Roca Trías y don Juan Antonio Xiol Ríos.</w:t>
      </w:r>
    </w:p>
    <w:p w:rsidR="006B7292" w:rsidRDefault="006B7292" w:rsidP="006B7292">
      <w:pPr>
        <w:pStyle w:val="SntesisDescriptiva"/>
      </w:pPr>
    </w:p>
    <w:p w:rsidR="006B7292" w:rsidRDefault="006B7292" w:rsidP="006B7292">
      <w:pPr>
        <w:pStyle w:val="SntesisDescriptiva"/>
      </w:pPr>
      <w:r>
        <w:t>Desestima el recurso de súplica del Ministerio Fiscal sobre inadmisión del recurso de amparo 200-2014, promovido por Proconsfire Garraf, S.L., en pleito civil.</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registrado en este Tribunal el 13 de enero de 2014, el Procurador de los Tribunales don Felipe Segundo Juanas Blanco, en nombre y representación de Proconsfire Garraf, S.L., defendida por el Letrado don David Serra Lázaro, interpuso demanda de amparo contra el Auto de 25 de noviembre de 2013 dictado por el Juzgado de Primera Instancia núm. 9 de Vilanova i la Geltru (Barcelona) en el procedimiento de ejecución hipotecaria núm. 463-2012.</w:t>
      </w:r>
    </w:p>
    <w:p w:rsidR="006B7292" w:rsidRDefault="006B7292" w:rsidP="006B7292">
      <w:pPr>
        <w:pStyle w:val="TextoNormal"/>
      </w:pPr>
    </w:p>
    <w:p w:rsidR="006B7292" w:rsidRDefault="006B7292" w:rsidP="006B7292">
      <w:pPr>
        <w:pStyle w:val="TextoNormal"/>
      </w:pPr>
      <w:r w:rsidRPr="006B7292">
        <w:rPr>
          <w:rStyle w:val="NumeroAFNegritaCaracter"/>
        </w:rPr>
        <w:t>2</w:t>
      </w:r>
      <w:r>
        <w:t>. Los hechos relevantes para el enjuiciamiento del presente recurso son los siguientes:</w:t>
      </w:r>
    </w:p>
    <w:p w:rsidR="006B7292" w:rsidRDefault="006B7292" w:rsidP="006B7292">
      <w:pPr>
        <w:pStyle w:val="TextoNormal"/>
      </w:pPr>
    </w:p>
    <w:p w:rsidR="006B7292" w:rsidRDefault="006B7292" w:rsidP="006B7292">
      <w:pPr>
        <w:pStyle w:val="TextoNormal"/>
      </w:pPr>
      <w:r>
        <w:t>a) La entidad Mare Nostrum, S.A., presentó demanda de procedimiento de ejecución hipotecaria contra la mercantil recurrente de amparo, haciendo constar como domicilio, el de la escritura de préstamo hipotecario, fijado también para la práctica de notificaciones, emplazamientos y requerimientos y que coincide con el de la propia finca hipotecada (calle Sant Magí, núm. 2, planta baja, Vilanova i la Geltru).</w:t>
      </w:r>
    </w:p>
    <w:p w:rsidR="006B7292" w:rsidRDefault="006B7292" w:rsidP="006B7292">
      <w:pPr>
        <w:pStyle w:val="TextoNormal"/>
      </w:pPr>
    </w:p>
    <w:p w:rsidR="006B7292" w:rsidRDefault="006B7292" w:rsidP="006B7292">
      <w:pPr>
        <w:pStyle w:val="TextoNormal"/>
      </w:pPr>
      <w:r>
        <w:t>b) Como consta en autos y reconocen ambas partes, con fecha de 24 de mayo de 2012, es decir, tan sólo 41 días antes de presentar el escrito de demanda, a efectos del art. 572 de la Ley de enjuiciamiento civil (LEC), la ejecutante había remitido a la ejecutada a ese mismo domicilio, un burofax requiriéndole formalmente al pago de las cuotas impagadas, y advirtiéndole de la interposición de la reclamación judicial. Dicho burofax fue correctamente recibido por la mercantil ejecutada.</w:t>
      </w:r>
    </w:p>
    <w:p w:rsidR="006B7292" w:rsidRDefault="006B7292" w:rsidP="006B7292">
      <w:pPr>
        <w:pStyle w:val="TextoNormal"/>
      </w:pPr>
    </w:p>
    <w:p w:rsidR="006B7292" w:rsidRDefault="006B7292" w:rsidP="006B7292">
      <w:pPr>
        <w:pStyle w:val="TextoNormal"/>
      </w:pPr>
      <w:r>
        <w:t>c) El Juzgado de Primera Instancia núm. 9 de Vilanova i la Geltrú, en autos de ejecución hipotecaria núm. 463-2012, dictó Auto, en fecha de 2 de julio de 2012, despachando ejecución y acordando requerir de pago a la parte ejecutada por término de diez días, en el domicilio indicado en la demanda y en la escritura pública de préstamo.</w:t>
      </w:r>
    </w:p>
    <w:p w:rsidR="006B7292" w:rsidRDefault="006B7292" w:rsidP="006B7292">
      <w:pPr>
        <w:pStyle w:val="TextoNormal"/>
      </w:pPr>
    </w:p>
    <w:p w:rsidR="006B7292" w:rsidRDefault="006B7292" w:rsidP="006B7292">
      <w:pPr>
        <w:pStyle w:val="TextoNormal"/>
      </w:pPr>
      <w:r>
        <w:t>d) Resultando negativa la diligencia emplazamiento, a solicitud de la entidad actora, el Juzgado, de conformidad con lo dispuesto en el art. 686.3 LEC, acordó, mediante diligencia de ordenación, de fecha 19 de septiembre de 2012, su notificación edictal. Transcurrido el plazo del art. 691.1 LEC, y solicitado por la ejecutante el señalamiento de subasta, se fijó para el día 20 de noviembre de 2013, a las 10:10 horas, ordenándose su anuncio por medio de edicto.</w:t>
      </w:r>
    </w:p>
    <w:p w:rsidR="006B7292" w:rsidRDefault="006B7292" w:rsidP="006B7292">
      <w:pPr>
        <w:pStyle w:val="TextoNormal"/>
      </w:pPr>
    </w:p>
    <w:p w:rsidR="006B7292" w:rsidRDefault="006B7292" w:rsidP="006B7292">
      <w:pPr>
        <w:pStyle w:val="TextoNormal"/>
      </w:pPr>
      <w:r>
        <w:t>e) Con fecha de 14 de octubre de 2013, comparece en el Juzgado el administrador de la empresa ejecutada, declarando que “él mismo se ha enterado de que se va proceder a la subasta del local, sito en Vilanova i la Geltru, calle Sant Magí, núm. 2, planta baja”, y en ese mismo acto se le notifica, mediante entrega de copia, la diligencia en la que se ordena el señalamiento de subasta.</w:t>
      </w:r>
    </w:p>
    <w:p w:rsidR="006B7292" w:rsidRDefault="006B7292" w:rsidP="006B7292">
      <w:pPr>
        <w:pStyle w:val="TextoNormal"/>
      </w:pPr>
    </w:p>
    <w:p w:rsidR="006B7292" w:rsidRDefault="006B7292" w:rsidP="006B7292">
      <w:pPr>
        <w:pStyle w:val="TextoNormal"/>
      </w:pPr>
      <w:r>
        <w:t>f) Instada por la mercantil ejecutada, la nulidad de actuaciones, invocando la vulneración del derecho a la tutela judicial efectiva sin indefensión (art. 24.1 CE) por acordar el órgano judicial la notificación y emplazamiento sin agotar los medios de averiguación del domicilio del deudor ejecutado, en fecha de 25 noviembre 2013, el órgano judicial dicta Auto desestimatorio. Para llegar a este fallo, razona, entre otros extremos, que las partes pactaron un domicilio a efecto de notificaciones, sin que conste ningún otro de la sociedad y, por consiguiente, a tenor del art. 683.3 LEC, no es exigible que la notificación se realice en los domicilios de los administradores o que se tenga que hacer averiguación de los mismos.</w:t>
      </w:r>
    </w:p>
    <w:p w:rsidR="006B7292" w:rsidRDefault="006B7292" w:rsidP="006B7292">
      <w:pPr>
        <w:pStyle w:val="TextoNormal"/>
      </w:pPr>
    </w:p>
    <w:p w:rsidR="006B7292" w:rsidRDefault="006B7292" w:rsidP="006B7292">
      <w:pPr>
        <w:pStyle w:val="TextoNormal"/>
      </w:pPr>
      <w:r w:rsidRPr="006B7292">
        <w:rPr>
          <w:rStyle w:val="NumeroAFNegritaCaracter"/>
        </w:rPr>
        <w:t>3</w:t>
      </w:r>
      <w:r>
        <w:t>. En la demanda de amparo, tras las alegaciones destinadas a justificar la especial trascendencia constitucional del recurso, la mercantil demandante sostiene, como queja principal, que se ha vulnerado su derecho a la tutela judicial efectiva sin indefensión (art. 24.1 CE), al acudir el órgano judicial a la notificación por edictos sin haber agotado antes todas las posibilidades que tenía a su alcance para conseguir la notificación personal como así exige la doctrina constitucional sobre los actos de notificación y emplazamiento (en concreto, STC 122/2013, de 20 de mayo). Aduce que dicha vulneración no fue reparada por el órgano judicial a través de incidente de nulidad de actuaciones, pues fue desestimado por Auto, de 25 de noviembre de 2013, al entender que la STC 122/2013 no era de aplicación al presente caso, incumpliendo así con el deber de acatamiento de la doctrina constitucional (art. 5.1 de la Ley Orgánica del Poder Judicial: LOPJ).</w:t>
      </w:r>
    </w:p>
    <w:p w:rsidR="006B7292" w:rsidRDefault="006B7292" w:rsidP="006B7292">
      <w:pPr>
        <w:pStyle w:val="TextoNormal"/>
      </w:pPr>
    </w:p>
    <w:p w:rsidR="006B7292" w:rsidRDefault="006B7292" w:rsidP="006B7292">
      <w:pPr>
        <w:pStyle w:val="TextoNormal"/>
      </w:pPr>
      <w:r w:rsidRPr="006B7292">
        <w:rPr>
          <w:rStyle w:val="NumeroAFNegritaCaracter"/>
        </w:rPr>
        <w:t>4</w:t>
      </w:r>
      <w:r>
        <w:t>. La Sección Primera de este Tribunal, por providencia de 28 de enero de 2015, declaró la inadmisión del recurso de amparo, con arreglo a lo previsto en el art. 50.1 a) de la Ley Orgánica del Tribunal Constitucional (LOTC), dada la manifiesta inexistencia de violación de un derecho fundamental tutelable en amparo, violación que, de acuerdo con el art. 44.1 (LOTC), es condición para que este Tribunal pueda ejercer dicha tutela.</w:t>
      </w:r>
    </w:p>
    <w:p w:rsidR="006B7292" w:rsidRDefault="006B7292" w:rsidP="006B7292">
      <w:pPr>
        <w:pStyle w:val="TextoNormal"/>
      </w:pPr>
    </w:p>
    <w:p w:rsidR="006B7292" w:rsidRDefault="006B7292" w:rsidP="006B7292">
      <w:pPr>
        <w:pStyle w:val="TextoNormal"/>
      </w:pPr>
      <w:r w:rsidRPr="006B7292">
        <w:rPr>
          <w:rStyle w:val="NumeroAFNegritaCaracter"/>
        </w:rPr>
        <w:t>5</w:t>
      </w:r>
      <w:r>
        <w:t>. El Ministerio Fiscal, por escrito registrado el día 17 de febrero de 2015, interpuso recurso de súplica contra la referida providencia de inadmisión, solicitando que fuera dejada sin efecto y se repusieran las actuaciones al momento anterior a dictarse la citada resolución, a los efectos de decidir nuevamente sobre la admisión de la demanda de amparo. Argumenta que, a la luz de la documentación aportada y de la jurisprudencia constitucional sobre el alcance de la interpretación que debe darse al art. 686.3 LEC, y en concreto, de lo declarado en la STC 122/2013, FJ 5, no es posible descartar la apariencia de lesión constitucional del derecho a la tutela judicial efectiva sin indefensión (art. 24.1 CE). Añade que el órgano judicial no reparó la lesión del derecho fundamental, al desestimar el incidente de nulidad de actuaciones por entender que en el presente caso no era aplicable la doctrina establecida en la STC 122/2013; interpretación que no comparte en absoluto por entrar en abierta contradicción con lo establecido en la Sentencia citada. Por ello, considera que el órgano judicial incumplió su deber de acatamiento de la doctrina constitucional que le impone el art. 5 LOPJ.</w:t>
      </w:r>
    </w:p>
    <w:p w:rsidR="006B7292" w:rsidRDefault="006B7292" w:rsidP="006B7292">
      <w:pPr>
        <w:pStyle w:val="TextoNormal"/>
      </w:pPr>
    </w:p>
    <w:p w:rsidR="006B7292" w:rsidRDefault="006B7292" w:rsidP="006B7292">
      <w:pPr>
        <w:pStyle w:val="TextoNormal"/>
      </w:pPr>
      <w:r w:rsidRPr="006B7292">
        <w:rPr>
          <w:rStyle w:val="NumeroAFNegritaCaracter"/>
        </w:rPr>
        <w:t>6</w:t>
      </w:r>
      <w:r>
        <w:t>. Mediante diligencia de ordenación de 18 de febrero de 2015, la Secretaría de Justicia de la Sala Primera dio traslado del escrito del Ministerio Fiscal a la representación procesal del demandante de amparo, a fin de que, en el plazo de tres días, pudiera alegar lo que estimase pertinente en relación al recurso de súplica formulado de conformidad con el art. 93.2 LOTC.</w:t>
      </w:r>
    </w:p>
    <w:p w:rsidR="006B7292" w:rsidRDefault="006B7292" w:rsidP="006B7292">
      <w:pPr>
        <w:pStyle w:val="TextoNormal"/>
      </w:pPr>
    </w:p>
    <w:p w:rsidR="006B7292" w:rsidRDefault="006B7292" w:rsidP="006B7292">
      <w:pPr>
        <w:pStyle w:val="TextoNormal"/>
      </w:pPr>
      <w:r w:rsidRPr="006B7292">
        <w:rPr>
          <w:rStyle w:val="NumeroAFNegritaCaracter"/>
        </w:rPr>
        <w:t>7</w:t>
      </w:r>
      <w:r>
        <w:t>. El día 23 de febrero de 2015, la representación procesal del recurrente evacuó dicho trámite, adhiriéndose a las alegaciones del Ministerio Fiscal e interesando la estimación del recurso de súplica interpuesto.</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En contra de lo que sostiene el Ministerio Fiscal en su recurso de súplica, cabe perfectamente en este trámite, sin necesidad de recabar el testimonio de todo lo actuado en el procedimiento hipotecario, descartar a la vista de las resoluciones impugnadas y del propio contenido de la demanda de amparo, la verosimilitud de la pretendida lesión del derecho fundamental que alega la mercantil recurrente.</w:t>
      </w:r>
    </w:p>
    <w:p w:rsidR="006B7292" w:rsidRDefault="006B7292" w:rsidP="006B7292">
      <w:pPr>
        <w:pStyle w:val="TextoNormal"/>
      </w:pPr>
    </w:p>
    <w:p w:rsidR="006B7292" w:rsidRDefault="006B7292" w:rsidP="006B7292">
      <w:pPr>
        <w:pStyle w:val="TextoNormal"/>
      </w:pPr>
      <w:r w:rsidRPr="006B7292">
        <w:rPr>
          <w:rStyle w:val="NumeroAFNegritaCaracter"/>
        </w:rPr>
        <w:t>2</w:t>
      </w:r>
      <w:r>
        <w:t>. En el presente caso, conviene recordar que, para poder apreciar la vulneración del derecho a no sufrir indefensión (art. 24.1 CE), por defectos en los actos de comunicación que impiden el conocimiento de la existencia del procedimiento o de alguna de sus fases o trámites, se exige que quien denuncia tal indefensión haya actuado con la debida diligencia y pericia (STC 26/1999, de 8 de marzo, FJ 5). Así, no existe indefensión constitucionalmente relevante si —como sucede en el presente caso— la recurrente no acudió al proceso, teniendo conocimiento extraprocesal de su existencia (STC 72/1999, de 26 de abril, FJ 3) o hubiera podido tenerlo si hubiera sido mínimamente diligente (STC 74/2001, de 26 de marzo, FJ 3). Y si bien el Tribunal Constitucional ha reiterado en numerosas ocasiones la doctrina de que los emplazamientos edictales deben considerarse siempre como una última solución, no lo es menos que, analizadas las actuaciones llevadas a cabo por el órgano judicial a quien la entidad demandante imputa la lesión constitucional, se ha de concluir que cumplió diligentemente con su obligación de velar porque los actos de comunicación procesal que practicaba alcanzaran eficazmente su finalidad y si la mercantil ejecutada tuvo —como alega— desconocimiento del proceso de ejecución lo fue exclusivamente debido a su negligencia o descuido. A ello hay que añadir que tuvo conocimiento extraprocesal de la ejecución. En efecto, como ella misma afirma en su escrito de demanda, unos días antes había recibido eficazmente el requerimiento formal de pago realizado por la entidad ejecutante en el domicilio social; además la misma recurrente afirma que en el local ejecutado radican otras dos personas jurídicas (Legaltic Advocats y Associació ANADIR) vinculadas a su administrador. Ninguna duda razonable, pues podía albergar el órgano judicial acerca del paradero y de la eficacia de las notificaciones.</w:t>
      </w:r>
    </w:p>
    <w:p w:rsidR="006B7292" w:rsidRDefault="006B7292" w:rsidP="006B7292">
      <w:pPr>
        <w:pStyle w:val="TextoNormal"/>
      </w:pPr>
    </w:p>
    <w:p w:rsidR="006B7292" w:rsidRDefault="006B7292" w:rsidP="006B7292">
      <w:pPr>
        <w:pStyle w:val="TextoNormal"/>
      </w:pPr>
      <w:r w:rsidRPr="006B7292">
        <w:rPr>
          <w:rStyle w:val="NumeroAFNegritaCaracter"/>
        </w:rPr>
        <w:t>3</w:t>
      </w:r>
      <w:r>
        <w:t>. Por último, sólo sea a mayor abundamiento, hay que señalar que, en contra del argumento del Ministerio Fiscal, la doctrina sentada por este Tribunal en la STC 122/2013, de 20 de mayo, no es trasladable al supuesto de autos, pues en aquel supuesto existían dudas razonables de si el domicilio señalado en la escritura del préstamo hipotecario y que figuraba en el Registro de la Propiedad fuera el domicilio real del ejecutado (se trataba de una nave industrial vacía, sin actividad y en estado de abandono), y por ello, le era exigible al órgano judicial que intentara, en cumplimiento del deber de diligencia que en orden a la realización de los actos de comunicación procesal le impone el art. 24.1 CE, el emplazamiento personal del ejecutado en el domicilio que ya figuraba en las actuaciones, y que era distinto del que constaba en la escritura de préstamo hipotecario y en el Registro.</w:t>
      </w:r>
    </w:p>
    <w:p w:rsidR="006B7292" w:rsidRDefault="006B7292" w:rsidP="006B7292">
      <w:pPr>
        <w:pStyle w:val="TextoNormal"/>
      </w:pPr>
    </w:p>
    <w:p w:rsidR="006B7292" w:rsidRDefault="006B7292" w:rsidP="006B7292">
      <w:pPr>
        <w:pStyle w:val="TextoNormal"/>
      </w:pPr>
      <w:r w:rsidRPr="006B7292">
        <w:rPr>
          <w:rStyle w:val="NumeroAFNegritaCaracter"/>
        </w:rPr>
        <w:t>4</w:t>
      </w:r>
      <w:r>
        <w:t>. En suma, examinados los argumentos del recurso de súplica interpuesto por el Ministerio Fiscal, la Sección confirma su decisión de no admitir el recurso de amparo, dada la manifiesta inexistencia de violación de un derecho fundamental tutelable en amparo, violación que, de acuerdo con el art. 44.1 de la Ley Orgánica del Tribunal Constitucional, es condición para que este Tribunal pueda ejercer dicha tutela.</w:t>
      </w:r>
    </w:p>
    <w:p w:rsidR="006B7292" w:rsidRDefault="006B7292" w:rsidP="006B7292">
      <w:pPr>
        <w:pStyle w:val="TextoNormal"/>
      </w:pPr>
    </w:p>
    <w:p w:rsidR="006B7292" w:rsidRDefault="006B7292" w:rsidP="006B7292">
      <w:pPr>
        <w:pStyle w:val="TextoNormal"/>
      </w:pPr>
      <w:r>
        <w:t>Por todo lo expuesto, la Sección</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Desestimar el recurso de súplica interpuesto por el Ministerio Fiscal y, en consecuencia, confirmar en su integridad la providencia de 28 de enero de 2015.</w:t>
      </w:r>
    </w:p>
    <w:p w:rsidR="006B7292" w:rsidRDefault="006B7292" w:rsidP="006B7292">
      <w:pPr>
        <w:pStyle w:val="TextoNormal"/>
      </w:pPr>
    </w:p>
    <w:p w:rsidR="006B7292" w:rsidRDefault="006B7292" w:rsidP="006B7292">
      <w:pPr>
        <w:pStyle w:val="TextoNormal"/>
      </w:pPr>
      <w:r>
        <w:t>Madrid, a veinticuatro de julio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57" w:name="AUTO_2015_143"/>
      <w:r>
        <w:t>AUTO 143/2015, de 24 de julio de 2015</w:t>
      </w:r>
    </w:p>
    <w:bookmarkEnd w:id="157"/>
    <w:p w:rsidR="006B7292" w:rsidRDefault="006B7292" w:rsidP="006B7292">
      <w:pPr>
        <w:pStyle w:val="TtuloResolucin"/>
      </w:pPr>
      <w:r>
        <w:t>Sección Tercera</w:t>
      </w:r>
    </w:p>
    <w:p w:rsidR="006B7292" w:rsidRDefault="006B7292" w:rsidP="006B7292">
      <w:pPr>
        <w:pStyle w:val="TextoNormalCentrado"/>
      </w:pPr>
      <w:r>
        <w:t>ECLI:ES:TC:2015:143A</w:t>
      </w:r>
    </w:p>
    <w:p w:rsidR="006B7292" w:rsidRDefault="006B7292" w:rsidP="006B7292">
      <w:pPr>
        <w:pStyle w:val="TextoNormalCentrado"/>
      </w:pPr>
    </w:p>
    <w:p w:rsidR="006B7292" w:rsidRDefault="006B7292" w:rsidP="006B7292">
      <w:pPr>
        <w:pStyle w:val="SntesisDescriptiva"/>
      </w:pPr>
      <w:r>
        <w:t>Excms. Srs. doña Adela Asua Batarrita, don Juan José González Rivas y don Pedro José González-Trevijano Sánchez.</w:t>
      </w:r>
    </w:p>
    <w:p w:rsidR="006B7292" w:rsidRDefault="006B7292" w:rsidP="006B7292">
      <w:pPr>
        <w:pStyle w:val="SntesisDescriptiva"/>
      </w:pPr>
    </w:p>
    <w:p w:rsidR="006B7292" w:rsidRDefault="006B7292" w:rsidP="006B7292">
      <w:pPr>
        <w:pStyle w:val="SntesisDescriptiva"/>
      </w:pPr>
      <w:r>
        <w:t>Desestima el recurso de súplica de la representación procesal del demandante sobre inadmisión del recurso de amparo 5310-2014, promovido por don B. M. M. en causa penal.</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Por providencia de la Sección Tercera de fecha 30 de abril de 2015 se acordó rechazar ad limine la apertura de un incidente jurisdiccional sobre la solicitud de funcionamiento anormal del Tribunal Constitucional instada mediante escrito presentado en fecha 20 de abril de 2015 por don B. M. M.</w:t>
      </w:r>
    </w:p>
    <w:p w:rsidR="006B7292" w:rsidRDefault="006B7292" w:rsidP="006B7292">
      <w:pPr>
        <w:pStyle w:val="TextoNormal"/>
      </w:pPr>
    </w:p>
    <w:p w:rsidR="006B7292" w:rsidRDefault="006B7292" w:rsidP="006B7292">
      <w:pPr>
        <w:pStyle w:val="TextoNormal"/>
      </w:pPr>
      <w:r w:rsidRPr="006B7292">
        <w:rPr>
          <w:rStyle w:val="NumeroAFNegritaCaracter"/>
        </w:rPr>
        <w:t>2</w:t>
      </w:r>
      <w:r>
        <w:t>. En fecha 5 de junio de 2015 don B. M. M. formuló recurso de súplica contra la citada providencia de inadmisión fundado, en síntesis, en la incongruencia de la resolución con el contenido de su pretensión y en que el Tribunal debió haber adoptado una decisión sobre la petición de suspensión de la pena durante la tramitación del recurso de amparo.</w:t>
      </w:r>
    </w:p>
    <w:p w:rsidR="006B7292" w:rsidRDefault="006B7292" w:rsidP="006B7292">
      <w:pPr>
        <w:pStyle w:val="TextoNormal"/>
      </w:pPr>
    </w:p>
    <w:p w:rsidR="006B7292" w:rsidRDefault="006B7292" w:rsidP="006B7292">
      <w:pPr>
        <w:pStyle w:val="TextoNormal"/>
      </w:pPr>
      <w:r w:rsidRPr="006B7292">
        <w:rPr>
          <w:rStyle w:val="NumeroAFNegritaCaracter"/>
        </w:rPr>
        <w:t>3</w:t>
      </w:r>
      <w:r>
        <w:t>. Mediante diligencia de ordenación de 9 de junio de 2015, el Secretario de Justicia de la Sección Tercera del Tribunal Constitucional, acordó dar traslado al Ministerio Fiscal por el plazo de tres días para que alegara lo que estimara oportuno.</w:t>
      </w:r>
    </w:p>
    <w:p w:rsidR="006B7292" w:rsidRDefault="006B7292" w:rsidP="006B7292">
      <w:pPr>
        <w:pStyle w:val="TextoNormal"/>
      </w:pPr>
    </w:p>
    <w:p w:rsidR="006B7292" w:rsidRDefault="006B7292" w:rsidP="006B7292">
      <w:pPr>
        <w:pStyle w:val="TextoNormal"/>
      </w:pPr>
      <w:r w:rsidRPr="006B7292">
        <w:rPr>
          <w:rStyle w:val="NumeroAFNegritaCaracter"/>
        </w:rPr>
        <w:t>4</w:t>
      </w:r>
      <w:r>
        <w:t>. El Fiscal, mediante escrito de 24 de junio de 2015, se opuso al recurso interpuesto alegando en síntesis que la pretensión del demandante que se abra un incidente para la declaración de anormal funcionamiento carece de toda justificación objetiva, y que en ningún caso cabe considerar que la no adopción de la medida cautelar con carácter urgente hiciera perder efectividad al amparo pues el mismo fue inadmitido.</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demandante interpone recurso de súplica contra la providencia de fecha 30 de abril de 2015 que rechazaba de plano la apertura de un incidente sobre la solicitud de funcionamiento anormal.</w:t>
      </w:r>
    </w:p>
    <w:p w:rsidR="006B7292" w:rsidRDefault="006B7292" w:rsidP="006B7292">
      <w:pPr>
        <w:pStyle w:val="TextoNormal"/>
      </w:pPr>
    </w:p>
    <w:p w:rsidR="006B7292" w:rsidRDefault="006B7292" w:rsidP="006B7292">
      <w:pPr>
        <w:pStyle w:val="TextoNormal"/>
      </w:pPr>
      <w:r>
        <w:t>El demandante pretendía que se declarara el funcionamiento anormal de este Tribunal por dilaciones indebidas, al no haberse suspendido la ejecución de la resolución recurrida durante la tramitación del presente recurso de amparo, que finalmente fue inadmitido por providencia de esta Sección de fecha 4 de marzo de 2015.</w:t>
      </w:r>
    </w:p>
    <w:p w:rsidR="006B7292" w:rsidRDefault="006B7292" w:rsidP="006B7292">
      <w:pPr>
        <w:pStyle w:val="TextoNormal"/>
      </w:pPr>
    </w:p>
    <w:p w:rsidR="006B7292" w:rsidRDefault="006B7292" w:rsidP="006B7292">
      <w:pPr>
        <w:pStyle w:val="TextoNormal"/>
      </w:pPr>
      <w:r w:rsidRPr="006B7292">
        <w:rPr>
          <w:rStyle w:val="NumeroAFNegritaCaracter"/>
        </w:rPr>
        <w:t>2</w:t>
      </w:r>
      <w:r>
        <w:t>. Como alega el Fiscal, el supuesto de hecho que plantea el recurrente no es de dilaciones indebidas, sino de funcionamiento anormal por no haberse adoptado una medida cautelar de suspensión de ejecución de la pena impuesta, pues la queja del recurrente se concreta en la no suspensión de la pena de prisión durante la tramitación del recurso hasta su inadmisión, sin que cuestione la procedencia de la resolución de inadmisión.</w:t>
      </w:r>
    </w:p>
    <w:p w:rsidR="006B7292" w:rsidRDefault="006B7292" w:rsidP="006B7292">
      <w:pPr>
        <w:pStyle w:val="TextoNormal"/>
      </w:pPr>
    </w:p>
    <w:p w:rsidR="006B7292" w:rsidRDefault="006B7292" w:rsidP="006B7292">
      <w:pPr>
        <w:pStyle w:val="TextoNormal"/>
      </w:pPr>
      <w:r>
        <w:t>De acuerdo a este planteamiento, debe rechazarse el vicio de incongruencia de la providencia recurrida alegado por el recurrente, puesto que en la resolución se da respuesta a la solicitud, al no apreciarse por el Tribunal la existencia de un funcionamiento anormal o incorrecto en este proceso de amparo, al haberse adoptado la decisión de inadmisión tras los trámites correspondientes, de manera que carece de fundamento la pretensión cautelar al no preservar en modo alguno una eventual pérdida de finalidad del amparo, en tanto que el mismo no era admisible.</w:t>
      </w:r>
    </w:p>
    <w:p w:rsidR="006B7292" w:rsidRDefault="006B7292" w:rsidP="006B7292">
      <w:pPr>
        <w:pStyle w:val="TextoNormal"/>
      </w:pPr>
    </w:p>
    <w:p w:rsidR="006B7292" w:rsidRDefault="006B7292" w:rsidP="006B7292">
      <w:pPr>
        <w:pStyle w:val="TextoNormal"/>
      </w:pPr>
      <w:r w:rsidRPr="006B7292">
        <w:rPr>
          <w:rStyle w:val="NumeroAFNegritaCaracter"/>
        </w:rPr>
        <w:t>3</w:t>
      </w:r>
      <w:r>
        <w:t xml:space="preserve">. En relación a las medidas cautelares previas a la admisión del amparo, este Tribunal ha indicado en el ATC 16/2011, de 25 de febrero, que solo excepcionalmente, y ante la concurrencia de circunstancias singularísimas de excepcional urgencia debidamente acreditadas, se puede acordar </w:t>
      </w:r>
      <w:r w:rsidRPr="006B7292">
        <w:rPr>
          <w:i/>
        </w:rPr>
        <w:t>inaudita parte</w:t>
      </w:r>
      <w:r>
        <w:t xml:space="preserve"> la suspensión de la resolución impugnada (o cualquier otra medida cautelar que pueda resultar adecuada), incluso antes de decidir sobre la admisión a trámite del recurso de amparo, en virtud de las previsiones contenidas en el art. 56.3 de la Ley Orgánica del Tribunal Constitucional, y ello para impedir que pueda consumarse de manera irreversible la lesión de algún derecho fundamental que se alega por el demandante de amparo, provocando con ello la pérdida de la finalidad de su recurso.</w:t>
      </w:r>
    </w:p>
    <w:p w:rsidR="006B7292" w:rsidRDefault="006B7292" w:rsidP="006B7292">
      <w:pPr>
        <w:pStyle w:val="TextoNormal"/>
      </w:pPr>
    </w:p>
    <w:p w:rsidR="006B7292" w:rsidRDefault="006B7292" w:rsidP="006B7292">
      <w:pPr>
        <w:pStyle w:val="TextoNormal"/>
      </w:pPr>
      <w:r>
        <w:t>En el presente caso, como se razona en la providencia recurrida, el recurso de amparo fue inadmitido por un defecto procesal insubsanable al no haber satisfecho el recurrente la carga de justificar la especial trascendencia constitucional del recurso. Por tanto, es obvio que la no adopción de la medida solicitada no incide en modo alguno en la garantía de efectividad del recurso de amparo, puesto que éste fue inadmitido. Y, por lo demás, no se aprecia una situación singular de excepcional urgencia que justificara la adopción de una medida de suspensión previa a la admisión del amparo.</w:t>
      </w:r>
    </w:p>
    <w:p w:rsidR="006B7292" w:rsidRDefault="006B7292" w:rsidP="006B7292">
      <w:pPr>
        <w:pStyle w:val="TextoNormal"/>
      </w:pPr>
    </w:p>
    <w:p w:rsidR="006B7292" w:rsidRDefault="006B7292" w:rsidP="006B7292">
      <w:pPr>
        <w:pStyle w:val="TextoNormal"/>
      </w:pPr>
      <w:r>
        <w:t>En definitiva, no cabe apreciar ningún anormal funcionamiento en la tramitación de este recurso, tal como se expresaba en la resolución recurrida, debiendo por ello desestimarse el recurso de súplica interpuesto.</w:t>
      </w:r>
    </w:p>
    <w:p w:rsidR="006B7292" w:rsidRDefault="006B7292" w:rsidP="006B7292">
      <w:pPr>
        <w:pStyle w:val="TextoNormal"/>
      </w:pPr>
    </w:p>
    <w:p w:rsidR="006B7292" w:rsidRDefault="006B7292" w:rsidP="006B7292">
      <w:pPr>
        <w:pStyle w:val="TextoNormal"/>
      </w:pPr>
      <w:r>
        <w:t>Por todo lo expuesto, la Sección</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Desestimar el recurso de súplica interpuesto por don B. M. M. y, en consecuencia, confirmar en su integridad la providencia de 30 de abril de 2015.</w:t>
      </w:r>
    </w:p>
    <w:p w:rsidR="006B7292" w:rsidRDefault="006B7292" w:rsidP="006B7292">
      <w:pPr>
        <w:pStyle w:val="TextoNormal"/>
      </w:pPr>
    </w:p>
    <w:p w:rsidR="006B7292" w:rsidRDefault="006B7292" w:rsidP="006B7292">
      <w:pPr>
        <w:pStyle w:val="TextoNormal"/>
      </w:pPr>
      <w:r>
        <w:t>Madrid, a veinticuatro de julio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58" w:name="AUTO_2015_144"/>
      <w:r>
        <w:t>AUTO 144/2015, de 2 de septiembre de 2015</w:t>
      </w:r>
    </w:p>
    <w:bookmarkEnd w:id="158"/>
    <w:p w:rsidR="006B7292" w:rsidRDefault="006B7292" w:rsidP="006B7292">
      <w:pPr>
        <w:pStyle w:val="TtuloResolucin"/>
      </w:pPr>
      <w:r>
        <w:t>Sección Tercera</w:t>
      </w:r>
    </w:p>
    <w:p w:rsidR="006B7292" w:rsidRDefault="006B7292" w:rsidP="006B7292">
      <w:pPr>
        <w:pStyle w:val="TextoNormalCentrado"/>
      </w:pPr>
      <w:r>
        <w:t>ECLI:ES:TC:2015:144A</w:t>
      </w:r>
    </w:p>
    <w:p w:rsidR="006B7292" w:rsidRDefault="006B7292" w:rsidP="006B7292">
      <w:pPr>
        <w:pStyle w:val="TextoNormalCentrado"/>
      </w:pPr>
    </w:p>
    <w:p w:rsidR="006B7292" w:rsidRDefault="006B7292" w:rsidP="006B7292">
      <w:pPr>
        <w:pStyle w:val="SntesisDescriptiva"/>
      </w:pPr>
      <w:r>
        <w:t>Excms. Srs. doña Adela Asua Batarrita, don Juan José González Rivas y don Pedro José González-Trevijano Sánchez.</w:t>
      </w:r>
    </w:p>
    <w:p w:rsidR="006B7292" w:rsidRDefault="006B7292" w:rsidP="006B7292">
      <w:pPr>
        <w:pStyle w:val="SntesisDescriptiva"/>
      </w:pPr>
    </w:p>
    <w:p w:rsidR="006B7292" w:rsidRDefault="006B7292" w:rsidP="006B7292">
      <w:pPr>
        <w:pStyle w:val="SntesisDescriptiva"/>
      </w:pPr>
      <w:r>
        <w:t>Acuerda la extinción, por pérdida de objeto, del recurso de amparo 1343-2015, promovido por don José Chacartegui Pérez Castrillón en pleito civil.</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que tuvo entrada en el Registro General de este Tribunal el 5 de junio de 2015, el Procurador de los Tribunales don Antonio Moraleda Blanco, en nombre y representación de don don José Jesús Chacartegui Pérez Castrillón, presentó recurso de amparo contra el Auto de 6 de febrero de 2015 de la Sección Cuarta de la Audiencia Provincial de A Coruña, dictado en apelación 505-2014.</w:t>
      </w:r>
    </w:p>
    <w:p w:rsidR="006B7292" w:rsidRDefault="006B7292" w:rsidP="006B7292">
      <w:pPr>
        <w:pStyle w:val="TextoNormal"/>
      </w:pPr>
    </w:p>
    <w:p w:rsidR="006B7292" w:rsidRDefault="006B7292" w:rsidP="006B7292">
      <w:pPr>
        <w:pStyle w:val="TextoNormal"/>
      </w:pPr>
      <w:r w:rsidRPr="006B7292">
        <w:rPr>
          <w:rStyle w:val="NumeroAFNegritaCaracter"/>
        </w:rPr>
        <w:t>2</w:t>
      </w:r>
      <w:r>
        <w:t>. Como consecuencia de la entrada en vigor de la Ley 9/2015, de 25 de mayo, por providencia de la Sección Tercera de fecha 22 de junio de 2015 se acordó conceder un plazo de tres días a las partes y al Ministerio Fiscal para que, en virtud del art. 84 de la Ley Orgánica del Tribunal Constitucional, alegaran lo que estimaran conveniente sobre la falta de objeto sobrevenida del presente recurso de amparo.</w:t>
      </w:r>
    </w:p>
    <w:p w:rsidR="006B7292" w:rsidRDefault="006B7292" w:rsidP="006B7292">
      <w:pPr>
        <w:pStyle w:val="TextoNormal"/>
      </w:pPr>
    </w:p>
    <w:p w:rsidR="006B7292" w:rsidRDefault="006B7292" w:rsidP="006B7292">
      <w:pPr>
        <w:pStyle w:val="TextoNormal"/>
      </w:pPr>
      <w:r w:rsidRPr="006B7292">
        <w:rPr>
          <w:rStyle w:val="NumeroAFNegritaCaracter"/>
        </w:rPr>
        <w:t>3</w:t>
      </w:r>
      <w:r>
        <w:t>. El demandante de amparo formuló alegaciones mediante escrito presentado en fecha 30 de junio de 2015 en el que solicitaba el sobreseimiento y archivo de este recurso de amparo por pérdida de objeto al haberse dictado la Ley 9/2015, cuya disposición transitoria cuarta establece un plazo de dos meses para formular recurso de apelación contra el Auto desestimatorio de la oposición en el procedimiento de ejecución hipotecaria.</w:t>
      </w:r>
    </w:p>
    <w:p w:rsidR="006B7292" w:rsidRDefault="006B7292" w:rsidP="006B7292">
      <w:pPr>
        <w:pStyle w:val="TextoNormal"/>
      </w:pPr>
    </w:p>
    <w:p w:rsidR="006B7292" w:rsidRDefault="006B7292" w:rsidP="006B7292">
      <w:pPr>
        <w:pStyle w:val="TextoNormal"/>
      </w:pPr>
      <w:r w:rsidRPr="006B7292">
        <w:rPr>
          <w:rStyle w:val="NumeroAFNegritaCaracter"/>
        </w:rPr>
        <w:t>4</w:t>
      </w:r>
      <w:r>
        <w:t>. El Ministerio Fiscal presentó alegaciones mediante escrito registrado el 8 de julio de 2015, en el que consideró, a la vista de la norma aplicable, la disposición transitoria cuarta de la Ley 9/2015, de 25 de mayo, que abre un nuevo plazo para formular recurso de apelación, que podría concurrir en el presente recurso de amparo una eventual pérdida de objeto.</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Conforme a nuestra reiterada doctrina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w:t>
      </w:r>
    </w:p>
    <w:p w:rsidR="006B7292" w:rsidRDefault="006B7292" w:rsidP="006B7292">
      <w:pPr>
        <w:pStyle w:val="TextoNormal"/>
      </w:pPr>
    </w:p>
    <w:p w:rsidR="006B7292" w:rsidRDefault="006B7292" w:rsidP="006B7292">
      <w:pPr>
        <w:pStyle w:val="TextoNormal"/>
      </w:pPr>
      <w:r>
        <w:t>De este modo, “como hemos declarado reiteradamente —así, STC 118/2007, de 21 de mayo, FJ 2—, la desaparición sobrevenida del objeto del proceso, aun cuando no contemplada expresamente en el art. 86.1 LOTC, ha sido admitida por este Tribunal como forma de terminación de los distintos procesos constitucionales. En particular y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En estos supuestos, por tanto, la demanda de amparo deja de tener objeto, toda vez que la reparación de la lesión del derecho fundamental por los propios órganos judiciales, antes de que este Tribunal haya dictado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mayo, FJ 2; y 128/2006, de 24 de abril, FJ 2)” (STC 133/2007, de 4 de junio, FJ 2).</w:t>
      </w:r>
    </w:p>
    <w:p w:rsidR="006B7292" w:rsidRDefault="006B7292" w:rsidP="006B7292">
      <w:pPr>
        <w:pStyle w:val="TextoNormal"/>
      </w:pPr>
    </w:p>
    <w:p w:rsidR="006B7292" w:rsidRDefault="006B7292" w:rsidP="006B7292">
      <w:pPr>
        <w:pStyle w:val="TextoNormal"/>
      </w:pPr>
      <w:r>
        <w:t>En tales supuestos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de 11 de diciembre, FJ 9).</w:t>
      </w:r>
    </w:p>
    <w:p w:rsidR="006B7292" w:rsidRDefault="006B7292" w:rsidP="006B7292">
      <w:pPr>
        <w:pStyle w:val="TextoNormal"/>
      </w:pPr>
    </w:p>
    <w:p w:rsidR="006B7292" w:rsidRDefault="006B7292" w:rsidP="006B7292">
      <w:pPr>
        <w:pStyle w:val="TextoNormal"/>
      </w:pPr>
      <w:r w:rsidRPr="006B7292">
        <w:rPr>
          <w:rStyle w:val="NumeroAFNegritaCaracter"/>
        </w:rPr>
        <w:t>2</w:t>
      </w:r>
      <w:r>
        <w:t>. Del examen de las presentes actuaciones se desprende que la entrada en vigor de la Ley 9/2015, de 25 de mayo, cuya disposición transitoria cuarta abre un nuevo plazo de dos meses para que la parte ejecutada pueda interponer recurso de apelación contra el Auto resolutorio de la oposición por abusividad, y habida cuenta que este recurso es susceptible de ser interpuesto por el demandante de amparo, se ha producido una pérdida sobrevenida del objeto de este recurso por lo que, de conformidad con lo dispuesto en los arts. 80 y 86.1 de la Ley Orgánica del Tribunal Constitucional, en relación con el art. 22 de la Ley de enjuiciamiento civil, procede declarar la perdida de objeto del presente recurso.</w:t>
      </w:r>
    </w:p>
    <w:p w:rsidR="006B7292" w:rsidRDefault="006B7292" w:rsidP="006B7292">
      <w:pPr>
        <w:pStyle w:val="TextoNormal"/>
      </w:pPr>
    </w:p>
    <w:p w:rsidR="006B7292" w:rsidRDefault="006B7292" w:rsidP="006B7292">
      <w:pPr>
        <w:pStyle w:val="TextoNormal"/>
      </w:pPr>
      <w:r>
        <w:t>Por todo lo expuesto, la Sección</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Declarar la extinción del recurso por la pérdida de objeto del amparo interpuesto y el archivo de las actuaciones.</w:t>
      </w:r>
    </w:p>
    <w:p w:rsidR="006B7292" w:rsidRDefault="006B7292" w:rsidP="006B7292">
      <w:pPr>
        <w:pStyle w:val="TextoNormal"/>
      </w:pPr>
    </w:p>
    <w:p w:rsidR="006B7292" w:rsidRDefault="006B7292" w:rsidP="006B7292">
      <w:pPr>
        <w:pStyle w:val="TextoNormal"/>
      </w:pPr>
      <w:r>
        <w:t>Madrid, a dos de septiembre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59" w:name="AUTO_2015_145"/>
      <w:r>
        <w:t>AUTO 145/2015, de 10 de septiembre de 2015</w:t>
      </w:r>
    </w:p>
    <w:bookmarkEnd w:id="159"/>
    <w:p w:rsidR="006B7292" w:rsidRDefault="006B7292" w:rsidP="006B7292">
      <w:pPr>
        <w:pStyle w:val="TtuloResolucin"/>
      </w:pPr>
      <w:r>
        <w:t>Pleno</w:t>
      </w:r>
    </w:p>
    <w:p w:rsidR="006B7292" w:rsidRDefault="006B7292" w:rsidP="006B7292">
      <w:pPr>
        <w:pStyle w:val="TextoNormalCentrado"/>
      </w:pPr>
      <w:r>
        <w:t>ECLI:ES:TC:2015:145A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Inadmite a trámite la cuestión de inconstitucionalidad 3449-2014, planteada por la Sala de lo Contencioso-Administrativo del Tribunal Superior de Justicia de Castilla-La Mancha en relación con el artículo 195.2 de la Ley 58/2003, de 17 de diciembre, general tributaria.</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día 2 de junio de 2014 se registró en este Tribunal un escrito de la Sala de lo Contencioso-Administrativo, Sección Segunda, del Tribunal Superior de Justicia de Castilla-La Mancha, al que se acompaña, junto al testimonio del correspondiente procedimiento, el Auto de 16 de mayo de 2014, mediante el que se acuerda elevar a este Tribunal cuestión de inconstitucionalidad respecto del art. 195.2 de la Ley 58/2003, de 17 de diciembre, general tributaria (LGT, en adelante), por posible vulneración del art. 25.1 CE.</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de la presente cuestión de inconstitucionalidad son los siguientes:</w:t>
      </w:r>
    </w:p>
    <w:p w:rsidR="006B7292" w:rsidRDefault="006B7292" w:rsidP="006B7292">
      <w:pPr>
        <w:pStyle w:val="TextoNormal"/>
      </w:pPr>
    </w:p>
    <w:p w:rsidR="006B7292" w:rsidRDefault="006B7292" w:rsidP="006B7292">
      <w:pPr>
        <w:pStyle w:val="TextoNormal"/>
      </w:pPr>
      <w:r>
        <w:t>a) Mediante acuerdo de 1 de febrero de 2008, la dependencia de gestión de la Agencia Estatal de Administración Tributaria (AEAT) de Albacete, impuso una sanción de 4.321 € a la entidad Confecciones Cym, S.L., a consecuencia de la infracción cometida en la autoliquidación del impuesto sobre sociedades del ejercicio 2004, tipificada en el art. 195.2 LGT, consistente en “determinar o acreditar improcedentemente partidas positivas o negativas”.</w:t>
      </w:r>
    </w:p>
    <w:p w:rsidR="006B7292" w:rsidRDefault="006B7292" w:rsidP="006B7292">
      <w:pPr>
        <w:pStyle w:val="TextoNormal"/>
      </w:pPr>
    </w:p>
    <w:p w:rsidR="006B7292" w:rsidRDefault="006B7292" w:rsidP="006B7292">
      <w:pPr>
        <w:pStyle w:val="TextoNormal"/>
      </w:pPr>
      <w:r>
        <w:t>Recurrida la anterior y desestimado el recurso, la vía administrativa quedó agotada con la resolución de 22 marzo 2010, dictada por el Tribunal Económico-Administrativo de Castilla-La Mancha, desestimatoria de la reclamación económico-administrativa número 02/416/2008.</w:t>
      </w:r>
    </w:p>
    <w:p w:rsidR="006B7292" w:rsidRDefault="006B7292" w:rsidP="006B7292">
      <w:pPr>
        <w:pStyle w:val="TextoNormal"/>
      </w:pPr>
    </w:p>
    <w:p w:rsidR="006B7292" w:rsidRDefault="006B7292" w:rsidP="006B7292">
      <w:pPr>
        <w:pStyle w:val="TextoNormal"/>
      </w:pPr>
      <w:r>
        <w:t>Frente a ella interpuso la representación procesal de Confecciones Cym, S.L., recurso contencioso-administrativo ante el Tribunal Superior de Justicia de Castilla-La Mancha, órgano promotor de la presente cuestión de inconstitucionalidad.</w:t>
      </w:r>
    </w:p>
    <w:p w:rsidR="006B7292" w:rsidRDefault="006B7292" w:rsidP="006B7292">
      <w:pPr>
        <w:pStyle w:val="TextoNormal"/>
      </w:pPr>
    </w:p>
    <w:p w:rsidR="006B7292" w:rsidRDefault="006B7292" w:rsidP="006B7292">
      <w:pPr>
        <w:pStyle w:val="TextoNormal"/>
      </w:pPr>
      <w:r>
        <w:t>En síntesis la entidad recurrente alegó en las diferentes instancias que la consignación de una partida negativa en la declaración del impuesto sobre sociedades había tenido lugar a consecuencia de un error meramente material de transcripción, sin intención alguna de defraudar. Añade que la Administración tributaria tenía perfecto conocimiento de los datos de bases negativas de ejercicios anteriores por las declaraciones anteriormente presentadas, de manera que no hubo ocultación. Prueba de ello es que la Administración pudo regularizar la situación a partir de los propios datos aportados por la entidad contribuyente, sin necesidad de realizar ninguna indagación adicional.</w:t>
      </w:r>
    </w:p>
    <w:p w:rsidR="006B7292" w:rsidRDefault="006B7292" w:rsidP="006B7292">
      <w:pPr>
        <w:pStyle w:val="TextoNormal"/>
      </w:pPr>
    </w:p>
    <w:p w:rsidR="006B7292" w:rsidRDefault="006B7292" w:rsidP="006B7292">
      <w:pPr>
        <w:pStyle w:val="TextoNormal"/>
      </w:pPr>
      <w:r>
        <w:t>b) Concluso el procedimiento, y dentro del plazo para dictar sentencia, el día 10 de abril de 2014 el Tribunal Superior de Justicia de Castilla-La Mancha dictó providencia acordando oír a las partes y al Ministerio Fiscal, en el plazo de diez días, acerca de la pertinencia de plantear cuestión de inconstitucionalidad sobre el art. 195.2 LGT, en relación con el art. 187 LGT, en tanto que dichos preceptos impiden graduar la sanción en atención al grado de culpa del infractor; de modo que la sanción es idéntica se cometa por dolo o por simple negligencia. Se considera por ello en la providencia que la norma podría vulnerar el art. 25 de la Constitución, al infringir el principio de culpabilidad tal y como ha sido interpretado por la jurisprudencia del Tribunal Constitucional.</w:t>
      </w:r>
    </w:p>
    <w:p w:rsidR="006B7292" w:rsidRDefault="006B7292" w:rsidP="006B7292">
      <w:pPr>
        <w:pStyle w:val="TextoNormal"/>
      </w:pPr>
    </w:p>
    <w:p w:rsidR="006B7292" w:rsidRDefault="006B7292" w:rsidP="006B7292">
      <w:pPr>
        <w:pStyle w:val="TextoNormal"/>
      </w:pPr>
      <w:r>
        <w:t>c) Mediante escrito de 24 de abril de 2014, la representación procesal de Confecciones Cym, S.L., muestra su conformidad con el planteamiento de la cuestión de inconstitucionalidad reiterando los motivos de interposición de la demanda; a saber, la ausencia de motivación de la culpabilidad del sujeto pasivo por parte de la Administración tributaria, la inexistencia tanto de dolo como de culpa en la actuación de la entidad, toda vez que la incorrecta consignación de las bases imponibles negativas en la autoliquidación del impuesto sobre sociedades del año 2004 obedeció a un simple error de transcripción, error que además no supuso alteración alguna del resultado de la declaración, que antes y después del mismo arrojaba una cantidad a ingresar de 0 €.</w:t>
      </w:r>
    </w:p>
    <w:p w:rsidR="006B7292" w:rsidRDefault="006B7292" w:rsidP="006B7292">
      <w:pPr>
        <w:pStyle w:val="TextoNormal"/>
      </w:pPr>
    </w:p>
    <w:p w:rsidR="006B7292" w:rsidRDefault="006B7292" w:rsidP="006B7292">
      <w:pPr>
        <w:pStyle w:val="TextoNormal"/>
      </w:pPr>
      <w:r>
        <w:t>La Abogacía del Estado, mediante escrito de 30 de abril de 2014, manifestó su oposición al planteamiento de la cuestión. Comienza con la transcripción literal del artículo 25 de la Constitución y de los artículos 195 y 187 de la Ley general tributaria, a partir de lo cual se afirma que no se establece en la Ley general tributaria la obligación de que las sanciones que derivan de su comisión deban ser graduadas. Añade que el legislador califica la conducta del art. 195 LGT como grave y no la gradúa en base a la existencia de negligencia o dolo porque el legislador exige mayor cuidado y atiende al riesgo creado, ya que son conductas preparatorias de otras infracciones, cuya comprobación se dificulta por el hecho de que el origen de las mismas están en otros periodos de comprobación o de liquidación. Añade el escrito que las SSTC 62/1982, de 15 octubre; 65/1986, de 22 mayo, y 55/1996, de 28 marzo, señalan que no existe un derecho fundamental a la proporcionalidad abstracta de la sanción con la gravedad de la infracción.</w:t>
      </w:r>
    </w:p>
    <w:p w:rsidR="006B7292" w:rsidRDefault="006B7292" w:rsidP="006B7292">
      <w:pPr>
        <w:pStyle w:val="TextoNormal"/>
      </w:pPr>
    </w:p>
    <w:p w:rsidR="006B7292" w:rsidRDefault="006B7292" w:rsidP="006B7292">
      <w:pPr>
        <w:pStyle w:val="TextoNormal"/>
      </w:pPr>
      <w:r>
        <w:t>El Ministerio Fiscal, mediante escrito de 5 de mayo de 2014, sí considera pertinente que la Sala plantee al Tribunal Constitucional una cuestión de inconstitucionalidad respecto del art. 195, en relación con el art. 187 LGT. Se refiere a la doctrina del Tribunal Constitucional en relación con el alcance del principio de culpabilidad, con cita de la STC 76/1990, de 26 abril, dictada en relación con el artículo 77, apartado primero, de la Ley 230/1963, de 28 diciembre, general tributaria. Al respecto, el Tribunal declaró que el legislador da por supuesta la existencia de culpabilidad en los grados de dolo y culpa o negligencia grave, y, más allá de la simple negligencia se asume que los hechos no pueden ser sancionados. No existe, afirma el Tribunal, un régimen de responsabilidad objetiva en materia de infracciones tributarias. Concluye que no parece respetuoso con el principio de culpabilidad el hecho de que una acción u omisión culposa merezca el mismo reproche que una acción u omisión dolosa, de donde, a su vez, se sigue que la previsión contenida en el artículo 195 de la Ley general tributaria, puesta en relación con las que contiene el artículo 187 de la misma Ley, desconoce el principio jurídico conforme al cual toda sanción debe corresponderse con el grado de culpa de su autor, y es dicho desconocimiento, en la graduación, lo que ocasiona un menoscabo del principio de culpabilidad.</w:t>
      </w:r>
    </w:p>
    <w:p w:rsidR="006B7292" w:rsidRDefault="006B7292" w:rsidP="006B7292">
      <w:pPr>
        <w:pStyle w:val="TextoNormal"/>
      </w:pPr>
    </w:p>
    <w:p w:rsidR="006B7292" w:rsidRDefault="006B7292" w:rsidP="006B7292">
      <w:pPr>
        <w:pStyle w:val="TextoNormal"/>
      </w:pPr>
      <w:r>
        <w:t>d) El órgano judicial dictó Auto de 16 de mayo de 2014, planteando cuestión de inconstitucionalidad sobre el art. 195.2, en relación con el art. 187 LGT, por posible vulneración del artículo 25 de la Constitución, que consagra el principio de culpabilidad, aplicable al derecho sancionador de la Administración de acuerdo con la doctrina consolidada del Tribunal Constitucional.</w:t>
      </w:r>
    </w:p>
    <w:p w:rsidR="006B7292" w:rsidRDefault="006B7292" w:rsidP="006B7292">
      <w:pPr>
        <w:pStyle w:val="TextoNormal"/>
      </w:pPr>
    </w:p>
    <w:p w:rsidR="006B7292" w:rsidRDefault="006B7292" w:rsidP="006B7292">
      <w:pPr>
        <w:pStyle w:val="TextoNormal"/>
      </w:pPr>
      <w:r w:rsidRPr="006B7292">
        <w:rPr>
          <w:rStyle w:val="NumeroAFNegritaCaracter"/>
        </w:rPr>
        <w:t>3</w:t>
      </w:r>
      <w:r>
        <w:t>. El Auto de planteamiento de la cuestión de inconstitucionalidad fundamenta la duda acerca del art. 195.2, en relación con el art. 187 LGT, en las siguientes consideraciones:</w:t>
      </w:r>
    </w:p>
    <w:p w:rsidR="006B7292" w:rsidRDefault="006B7292" w:rsidP="006B7292">
      <w:pPr>
        <w:pStyle w:val="TextoNormal"/>
      </w:pPr>
    </w:p>
    <w:p w:rsidR="006B7292" w:rsidRDefault="006B7292" w:rsidP="006B7292">
      <w:pPr>
        <w:pStyle w:val="TextoNormal"/>
      </w:pPr>
      <w:r>
        <w:t>a) Comienza el razonamiento del Auto exponiendo de manera breve, en el fundamento primero, el asunto que motiva el planteamiento de la cuestión. Detalla que, una vez practicado el trámite de audiencia correspondiente, se propuso una sanción de multa de 8230,46 €, reducida luego a 5761,33 €, por conformidad en cuanto a la liquidación, y reducida después a 4.321 € por pago en periodo voluntario. La cuantía de la multa se alcanzaba conforme al párrafo segundo del artículo 195 de la ley general tributaria, que establece que la sanción consistirá en multa pecuniaria proporcional del 15 por 100 si se trata de partidas a compensar o deducir en la base imponible. En el correspondiente trámite de alegaciones, el interesado alegó que la consignación de la partida negativa se había producido por un error meramente material de transcripción, sin intención alguna de defraudar. Añadió que la Administración tenía perfecto conocimiento de los datos de bases negativas de ejercicios anteriores por las declaraciones anteriormente presentadas; y que la sanción era por tanto inmerecida.</w:t>
      </w:r>
    </w:p>
    <w:p w:rsidR="006B7292" w:rsidRDefault="006B7292" w:rsidP="006B7292">
      <w:pPr>
        <w:pStyle w:val="TextoNormal"/>
      </w:pPr>
    </w:p>
    <w:p w:rsidR="006B7292" w:rsidRDefault="006B7292" w:rsidP="006B7292">
      <w:pPr>
        <w:pStyle w:val="TextoNormal"/>
      </w:pPr>
      <w:r>
        <w:t>La Administración dictó resolución imponiendo una multa, y sobre la falta de voluntad de defraudar afirmó que en el presente caso se aprecia una omisión de la diligencia exigible ya que la acción u omisión constitutiva de la infracción no se ampara en una interpretación razonable de la norma distinta de la aplicada en el procedimiento de regularización.</w:t>
      </w:r>
    </w:p>
    <w:p w:rsidR="006B7292" w:rsidRDefault="006B7292" w:rsidP="006B7292">
      <w:pPr>
        <w:pStyle w:val="TextoNormal"/>
      </w:pPr>
    </w:p>
    <w:p w:rsidR="006B7292" w:rsidRDefault="006B7292" w:rsidP="006B7292">
      <w:pPr>
        <w:pStyle w:val="TextoNormal"/>
      </w:pPr>
      <w:r>
        <w:t>En el recurso de reposición, el sancionado, tras invocar diversas sentencias que no consideran punibles los meros errores de transcripción, razonaba que dicho error se debió al hecho de que la cantidad consignada de 62.117,62 € fue tomada por error del balance de otra empresa de la que el administrador de Confecciones Cym, don José Manuel correoso González, también es socio (Confecciones textiles Montearagón, S.A.). Recalca la ausencia de intención de defraudar así como el hecho de que la propia Administración ha podido detectar el error, pues no ha habido ocultación, ni tampoco perjuicio.</w:t>
      </w:r>
    </w:p>
    <w:p w:rsidR="006B7292" w:rsidRDefault="006B7292" w:rsidP="006B7292">
      <w:pPr>
        <w:pStyle w:val="TextoNormal"/>
      </w:pPr>
    </w:p>
    <w:p w:rsidR="006B7292" w:rsidRDefault="006B7292" w:rsidP="006B7292">
      <w:pPr>
        <w:pStyle w:val="TextoNormal"/>
      </w:pPr>
      <w:r>
        <w:t>La Administración desestimó el recurso de reposición con el argumento de que es posible mantener que la entidad actuó, como mínimo, de forma negligente. Interpuesta reclamación económica-administrativa, el Tribunal económico-administrativo regional, de Castilla-La Mancha, desestimó la misma por entender que la entidad recurrente debió haber actuado con mayor diligencia, y que el propio interesado ha reconocido la presente reclamación la existencia de un “descuido” en su proceder.</w:t>
      </w:r>
    </w:p>
    <w:p w:rsidR="006B7292" w:rsidRDefault="006B7292" w:rsidP="006B7292">
      <w:pPr>
        <w:pStyle w:val="TextoNormal"/>
      </w:pPr>
    </w:p>
    <w:p w:rsidR="006B7292" w:rsidRDefault="006B7292" w:rsidP="006B7292">
      <w:pPr>
        <w:pStyle w:val="TextoNormal"/>
      </w:pPr>
      <w:r>
        <w:t>b) Relatados así los hechos, examina el Auto los preceptos de la Ley general tributaria cuya constitucionalidad se discute. Se considera infringido el artículo 25.1 de la Constitución, en el que se encuentra implícito el principio de culpabilidad, excluyendo la imposición de sanciones sin atender a la conducta diligente del sancionado, según deriva de la doctrina contenida en las SSTC 76/1990 y 246/1991. La razón central del planteamiento de la cuestión radica en que el art. 195.2 LGT no permite graduar la sanción establecida dependiendo de que la comisión de la infracción se haya producido con dolo o, por el contrario, con simple negligencia. Expone así que la norma cuestionada impide a la sala graduar a la baja la sanción en este caso, pese a estar claro que no puede castigarse del mismo modo una conducta cuando se comete a título de dolo que cuando se comete a título de mera negligencia. Puesto que el artículo 195, apartado dos establece cuantías fijas, mientras que el artículo 187 no prevé una graduación por el grado de culpa, la falta de matización de la Administración tributaria deriva de las exigencias legales del precepto. Es claro así, que los preceptos cuestionados son aplicables al caso, y que su inconstitucionalidad, total o parcial afectarían a su resolución.</w:t>
      </w:r>
    </w:p>
    <w:p w:rsidR="006B7292" w:rsidRDefault="006B7292" w:rsidP="006B7292">
      <w:pPr>
        <w:pStyle w:val="TextoNormal"/>
      </w:pPr>
    </w:p>
    <w:p w:rsidR="006B7292" w:rsidRDefault="006B7292" w:rsidP="006B7292">
      <w:pPr>
        <w:pStyle w:val="TextoNormal"/>
      </w:pPr>
      <w:r>
        <w:t>c) Centra la duda de constitucionalidad partiendo de la doctrina contenida en la STC 76/1990, que descartó la existencia de un sistema de responsabilidad objetiva. Razona así que sólo hay una diferencia de grado, en cuanto a la lesión del principio de culpabilidad, entre sancionar una conducta incluso con ausencia de culpa, esto es, con responsabilidad objetiva, y lo que aquí sucede, que es sancionar una conducta sin ninguna consideración acerca de si la misma es culposa o dolosa. Tanto se infringe el principio de culpabilidad en un caso como en otro, de manera que si bien es cierto que la responsabilidad objetiva supone un desconocimiento mayor del principio de culpabilidad, la imposibilidad legal de apreciar el grado de culpabilidad, imposibilidad que estaría en el citado artículo 195, apartado dos, supone igualmente una vulneración de dicho principio.</w:t>
      </w:r>
    </w:p>
    <w:p w:rsidR="006B7292" w:rsidRDefault="006B7292" w:rsidP="006B7292">
      <w:pPr>
        <w:pStyle w:val="TextoNormal"/>
      </w:pPr>
    </w:p>
    <w:p w:rsidR="006B7292" w:rsidRDefault="006B7292" w:rsidP="006B7292">
      <w:pPr>
        <w:pStyle w:val="TextoNormal"/>
      </w:pPr>
      <w:r w:rsidRPr="006B7292">
        <w:rPr>
          <w:rStyle w:val="NumeroAFNegritaCaracter"/>
        </w:rPr>
        <w:t>4</w:t>
      </w:r>
      <w:r>
        <w:t>. Mediante providencia de 21 de octubre de 2014 de la Sección Cuarta de este Tribunal acordó, a los efectos que determina el art. 37.1 de la Ley Orgánica del Tribunal Constitucional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006B7292" w:rsidRDefault="006B7292" w:rsidP="006B7292">
      <w:pPr>
        <w:pStyle w:val="TextoNormal"/>
      </w:pPr>
    </w:p>
    <w:p w:rsidR="006B7292" w:rsidRDefault="006B7292" w:rsidP="006B7292">
      <w:pPr>
        <w:pStyle w:val="TextoNormal"/>
      </w:pPr>
      <w:r w:rsidRPr="006B7292">
        <w:rPr>
          <w:rStyle w:val="NumeroAFNegritaCaracter"/>
        </w:rPr>
        <w:t>5</w:t>
      </w:r>
      <w:r>
        <w:t>. El Fiscal General del Estado evacuó el trámite conferido mediante escrito registrado el 18 de noviembre de 2014, en el que considera que la cuestión de inconstitucionalidad es inadmisible por carecer manifiestamente de fundamento las dudas suscitadas por el órgano judicial que la ha promovido. En síntesis, se alega lo siguiente:</w:t>
      </w:r>
    </w:p>
    <w:p w:rsidR="006B7292" w:rsidRDefault="006B7292" w:rsidP="006B7292">
      <w:pPr>
        <w:pStyle w:val="TextoNormal"/>
      </w:pPr>
    </w:p>
    <w:p w:rsidR="006B7292" w:rsidRDefault="006B7292" w:rsidP="006B7292">
      <w:pPr>
        <w:pStyle w:val="TextoNormal"/>
      </w:pPr>
      <w:r>
        <w:t>a) Tras recoger de forma sucinta los antecedentes del presente asunto, así como transcribir los preceptos de cuya constitucionalidad se duda, considera el escrito del Fiscal que el juicio de relevancia no se ha formulado correctamente, ya que el pleito que da lugar a la duda de constitucionalidad se centra en si el contribuyente ha incurrido en la culpa mínima necesaria. En ese sentido, destaca que tanto en la vía administrativa como en la judicial la entidad demandante sostuvo la ausencia de culpabilidad de su conducta alegando que incurrió en un simple error de transcripción. Sin embargo, no se cuestionó en ningún momento el exceso de la sanción ni su falta de proporcionalidad por la inadecuada graduación. Por tanto, siendo el fundamento del pleito la improcedencia de la sanción por total falta de culpabilidad resulta cuanto menos dudoso la adecuada formulación del juicio de relevancia toda vez que el órgano judicial debe resolver, en coherencia con la pretensión del recurrente, sobre la existencia o no de culpabilidad, criterio que ya aparece expresado en el propio Auto de planteamiento toda vez que se comparte la calificación de negligente con la Administración. Pero lo que no debe resolverse es acerca del exceso de la sanción impuesta por la Administración tributaria, cuya graduación se pretende modular por la Sala que plantea la cuestión. Concluye que dirimir la graduación no era un requisito imprescindible para la resolución del pleito en el que se origina la cuestión.</w:t>
      </w:r>
    </w:p>
    <w:p w:rsidR="006B7292" w:rsidRDefault="006B7292" w:rsidP="006B7292">
      <w:pPr>
        <w:pStyle w:val="TextoNormal"/>
      </w:pPr>
    </w:p>
    <w:p w:rsidR="006B7292" w:rsidRDefault="006B7292" w:rsidP="006B7292">
      <w:pPr>
        <w:pStyle w:val="TextoNormal"/>
      </w:pPr>
      <w:r>
        <w:t>b) En cuanto al fondo, considera el escrito que la cuestión no se encuentra debidamente fundada. Afirma que cuando la Sala proponente de la cuestión exige poder aplicar el principio de culpabilidad como sistema de cuantificación o graduación de la sanción lo que realmente está haciendo es desplazar el principio de proporcionalidad de la sanción al principio de culpabilidad. Se incurre así, afirma el escrito del fiscal, en una confusión entre la aplicación del principio de culpabilidad y el principio de proporcionalidad desde la perspectiva de su individualización. Tras citar la doctrina del Tribunal Constitucional contenida entre otras en la STC 76/1990, de 26 abril, razona que la discrepancia sobre el criterio de graduación que cuestiona el Auto de planteamiento no está vinculada al principio de culpabilidad, sino a la aplicación de una de las manifestaciones del principio de proporcionalidad, siendo así que la apreciación de la existencia de culpabilidad supone una valoración previa a la cuantificación de la sanción. Añade, en este sentido, que en todo caso no se cuestiona en el Auto que la sanción prevista sea contraria al amplio margen de libertad que deriva de la posición constitucional del legislador, sin que se incluya tampoco ninguna consideración sobre la posible arbitrariedad de la norma.</w:t>
      </w:r>
    </w:p>
    <w:p w:rsidR="006B7292" w:rsidRDefault="006B7292" w:rsidP="006B7292">
      <w:pPr>
        <w:pStyle w:val="TextoNormal"/>
      </w:pPr>
    </w:p>
    <w:p w:rsidR="006B7292" w:rsidRDefault="006B7292" w:rsidP="006B7292">
      <w:pPr>
        <w:pStyle w:val="TextoNormal"/>
      </w:pPr>
      <w:r>
        <w:t>En todo caso, la Ley general tributaria contiene una estructura en la que la culpabilidad influye en la naturaleza —más o menos grave— de la infracción y consiguiente sanción en un momento previo a su imposición y su graduación única, lo que le lleva a concluir que la regulación contenida en la Ley es coherente con la observancia del principio de culpabilidad determinando su intensidad la naturaleza de la infracción, —leve, grave o muy grave—, sin que la circunstancia expuesta por el Auto de planteamiento implique que los artículos que se cuestionan ignoren en modo alguno el principio de culpabilidad a la hora de perfilar la sanción de la correspondiente infracción, y sin que pueda entenderse por tanto vulnerado el derecho fundamental del artículo 25 en lo que se refiere al principio de culpabilidad, considerando por ello que debe acordarse la inadmisión de la presente cuestión por ser esta notoriamente infundada.</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La presente cuestión de inconstitucionalidad se plantea por la Sala de lo Contencioso-Administrativo, Sección Segunda, del Tribunal Superior de Justicia de Castilla-La Mancha, respecto del art. 195.2 de la Ley 58/2003, de 17 de diciembre, general tributaria (LGT, en adelante).</w:t>
      </w:r>
    </w:p>
    <w:p w:rsidR="006B7292" w:rsidRDefault="006B7292" w:rsidP="006B7292">
      <w:pPr>
        <w:pStyle w:val="TextoNormal"/>
      </w:pPr>
    </w:p>
    <w:p w:rsidR="006B7292" w:rsidRDefault="006B7292" w:rsidP="006B7292">
      <w:pPr>
        <w:pStyle w:val="TextoNormal"/>
      </w:pPr>
      <w:r>
        <w:t>El precepto en el que se encuentra el párrafo cuestionado, tiene el siguiente tenor:</w:t>
      </w:r>
    </w:p>
    <w:p w:rsidR="006B7292" w:rsidRDefault="006B7292" w:rsidP="006B7292">
      <w:pPr>
        <w:pStyle w:val="TextoNormal"/>
      </w:pPr>
    </w:p>
    <w:p w:rsidR="006B7292" w:rsidRDefault="006B7292" w:rsidP="006B7292">
      <w:pPr>
        <w:pStyle w:val="TextoNormal"/>
      </w:pPr>
      <w:r>
        <w:t>“Artículo 195. Infracción tributaria por determinar o acreditar improcedentemente partidas positivas o negativas o créditos tributarios aparentes</w:t>
      </w:r>
    </w:p>
    <w:p w:rsidR="006B7292" w:rsidRDefault="006B7292" w:rsidP="006B7292">
      <w:pPr>
        <w:pStyle w:val="TextoNormal"/>
      </w:pPr>
    </w:p>
    <w:p w:rsidR="006B7292" w:rsidRDefault="006B7292" w:rsidP="006B7292">
      <w:pPr>
        <w:pStyle w:val="TextoNormal"/>
      </w:pPr>
      <w:r>
        <w:t>1. Constituye infracción tributaria determinar o acreditar improcedentemente partidas positivas o negativas o créditos tributarios a compensar o deducir en la base o en la cuota de declaraciones futuras, propias o de terceros.</w:t>
      </w:r>
    </w:p>
    <w:p w:rsidR="006B7292" w:rsidRDefault="006B7292" w:rsidP="006B7292">
      <w:pPr>
        <w:pStyle w:val="TextoNormal"/>
      </w:pPr>
    </w:p>
    <w:p w:rsidR="006B7292" w:rsidRDefault="006B7292" w:rsidP="006B7292">
      <w:pPr>
        <w:pStyle w:val="TextoNormal"/>
      </w:pPr>
      <w:r>
        <w:t>También se incurre en esta infracción cuando se declare incorrectamente la renta neta, las cuotas repercutidas, las cantidades o cuotas a deducir o los incentivos fiscales de un período impositivo sin que se produzca falta de ingreso u obtención indebida de devoluciones por haberse compensado en un procedimiento de comprobación o investigación cantidades pendientes de compensación, deducción o aplicación.</w:t>
      </w:r>
    </w:p>
    <w:p w:rsidR="006B7292" w:rsidRDefault="006B7292" w:rsidP="006B7292">
      <w:pPr>
        <w:pStyle w:val="TextoNormal"/>
      </w:pPr>
    </w:p>
    <w:p w:rsidR="006B7292" w:rsidRDefault="006B7292" w:rsidP="006B7292">
      <w:pPr>
        <w:pStyle w:val="TextoNormal"/>
      </w:pPr>
      <w:r>
        <w:t>La infracción tributaria prevista en este artículo será grave.</w:t>
      </w:r>
    </w:p>
    <w:p w:rsidR="006B7292" w:rsidRDefault="006B7292" w:rsidP="006B7292">
      <w:pPr>
        <w:pStyle w:val="TextoNormal"/>
      </w:pPr>
    </w:p>
    <w:p w:rsidR="006B7292" w:rsidRDefault="006B7292" w:rsidP="006B7292">
      <w:pPr>
        <w:pStyle w:val="TextoNormal"/>
      </w:pPr>
      <w:r>
        <w:t>La base de la sanción será el importe de las cantidades indebidamente determinadas o acreditadas. En el supuesto previsto en el segundo párrafo de este apartado, se entenderá que la cantidad indebidamente determinada o acreditada es el incremento de la renta neta o de las cuotas repercutidas, o la minoración de las cantidades o cuotas a deducir o de los incentivos fiscales, del período impositivo.</w:t>
      </w:r>
    </w:p>
    <w:p w:rsidR="006B7292" w:rsidRDefault="006B7292" w:rsidP="006B7292">
      <w:pPr>
        <w:pStyle w:val="TextoNormal"/>
      </w:pPr>
    </w:p>
    <w:p w:rsidR="006B7292" w:rsidRDefault="006B7292" w:rsidP="006B7292">
      <w:pPr>
        <w:pStyle w:val="TextoNormal"/>
      </w:pPr>
      <w:r>
        <w:t>2. La sanción consistirá en multa pecuniaria proporcional del 15 por ciento si se trata de partidas a compensar o deducir en la base imponible, o del 50 por ciento si se trata de partidas a deducir en la cuota o de créditos tributarios aparentes.</w:t>
      </w:r>
    </w:p>
    <w:p w:rsidR="006B7292" w:rsidRDefault="006B7292" w:rsidP="006B7292">
      <w:pPr>
        <w:pStyle w:val="TextoNormal"/>
      </w:pPr>
    </w:p>
    <w:p w:rsidR="006B7292" w:rsidRDefault="006B7292" w:rsidP="006B7292">
      <w:pPr>
        <w:pStyle w:val="TextoNormal"/>
      </w:pPr>
      <w:r>
        <w:t>3. Las sanciones impuestas conforme a lo previsto en este artículo serán deducibles en la parte proporcional correspondiente de las que pudieran proceder por las infracciones cometidas ulteriormente por el mismo sujeto infractor como consecuencia de la compensación o deducción de los conceptos aludidos, sin que el importe a deducir pueda exceder de la sanción correspondiente a dichas infracciones.”</w:t>
      </w:r>
    </w:p>
    <w:p w:rsidR="006B7292" w:rsidRDefault="006B7292" w:rsidP="006B7292">
      <w:pPr>
        <w:pStyle w:val="TextoNormal"/>
      </w:pPr>
    </w:p>
    <w:p w:rsidR="006B7292" w:rsidRDefault="006B7292" w:rsidP="006B7292">
      <w:pPr>
        <w:pStyle w:val="TextoNormal"/>
      </w:pPr>
      <w:r>
        <w:t>El art. 195.2 se cuestiona en relación con el art. 187 LGT, intitulado “[c]riterios de graduación de las sanciones tributarias”, ya que no permite graduar la sanción establecida en función de que la comisión de la infracción se haya producido con dolo o, por el contrario, con simple negligencia, estableciendo así la misma sanción en uno y otro caso. Consecuencia de lo anterior es que la norma cuestionada impide a la Sala graduar a la baja la sanción en el caso concreto, pese a estar claro que no puede castigarse del mismo modo una conducta cuando se comete a título de dolo que cuando se comete a título de mera negligencia. En concreto, como resulta de la fundamentación del Auto de planteamiento de la cuestión, la duda de constitucionalidad del órgano promotor reside así en la posible vulneración del art. 25 CE.</w:t>
      </w:r>
    </w:p>
    <w:p w:rsidR="006B7292" w:rsidRDefault="006B7292" w:rsidP="006B7292">
      <w:pPr>
        <w:pStyle w:val="TextoNormal"/>
      </w:pPr>
    </w:p>
    <w:p w:rsidR="006B7292" w:rsidRDefault="006B7292" w:rsidP="006B7292">
      <w:pPr>
        <w:pStyle w:val="TextoNormal"/>
      </w:pPr>
      <w:r>
        <w:t>El Fiscal General del Estado, por las razones que constan en los antecedentes, se opone a la admisión a trámite de la cuestión de inconstitucionalidad por no haberse formulado adecuadamente el juicio de relevancia y aplicabilidad exigido por el art. 35 de la Ley Orgánica del Tribunal Constitucional (LOTC); y por ser notoriamente infundado su planteamiento (art. 37.1 LOTC).</w:t>
      </w:r>
    </w:p>
    <w:p w:rsidR="006B7292" w:rsidRDefault="006B7292" w:rsidP="006B7292">
      <w:pPr>
        <w:pStyle w:val="TextoNormal"/>
      </w:pPr>
    </w:p>
    <w:p w:rsidR="006B7292" w:rsidRDefault="006B7292" w:rsidP="006B7292">
      <w:pPr>
        <w:pStyle w:val="TextoNormal"/>
      </w:pPr>
      <w:r w:rsidRPr="006B7292">
        <w:rPr>
          <w:rStyle w:val="NumeroAFNegritaCaracter"/>
        </w:rPr>
        <w:t>2</w:t>
      </w:r>
      <w:r>
        <w:t>. Conforme a lo dispuesto en el art. 37.1 LOTC, este Tribunal puede rechazar en trámite de admisión, mediante Auto y con la sola audiencia del Fiscal General del Estado, aquellas cuestiones de inconstitucionalidad que adolezcan de la falta de los necesarios requisitos procesales o que fueren notoriamente infundadas.</w:t>
      </w:r>
    </w:p>
    <w:p w:rsidR="006B7292" w:rsidRDefault="006B7292" w:rsidP="006B7292">
      <w:pPr>
        <w:pStyle w:val="TextoNormal"/>
      </w:pPr>
    </w:p>
    <w:p w:rsidR="006B7292" w:rsidRDefault="006B7292" w:rsidP="006B7292">
      <w:pPr>
        <w:pStyle w:val="TextoNormal"/>
      </w:pPr>
      <w:r w:rsidRPr="006B7292">
        <w:rPr>
          <w:rStyle w:val="NumeroAFNegritaCaracter"/>
        </w:rPr>
        <w:t>3</w:t>
      </w:r>
      <w:r>
        <w:t>. Como ha quedado expuesto en los antecedentes, el Fiscal considera que el juicio de relevancia no se ha formulado correctamente, ya que el pleito que da lugar a la duda de constitucionalidad se centró en si la conducta del contribuyente fue culpable, cuestión previa a la graduación de la sanción, sin que el recurrente hubiera planteado su oposición por un exceso de la sanción o por su falta de proporcionalidad.</w:t>
      </w:r>
    </w:p>
    <w:p w:rsidR="006B7292" w:rsidRDefault="006B7292" w:rsidP="006B7292">
      <w:pPr>
        <w:pStyle w:val="TextoNormal"/>
      </w:pPr>
    </w:p>
    <w:p w:rsidR="006B7292" w:rsidRDefault="006B7292" w:rsidP="006B7292">
      <w:pPr>
        <w:pStyle w:val="TextoNormal"/>
      </w:pPr>
      <w:r>
        <w:t>Como hemos reiterado, corresponde al promotor de la cuestión de inconstitucionalidad comprobar y exteriorizar la existencia del llamado juicio de relevancia, de manera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desprenda que no existe nexo causal entre la validez de los preceptos legales cuestionados y la decisión a adoptar en el proceso a quo, ya que en tales casos sólo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(por todas, STC 139/2005, de 26 de mayo, FJ 5). En el mismo sentido en el ATC 39/2012, de 28 de febrero, FJ 4, afirmamos que “existen supuestos,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 (ATC 10/2015, de 20 de enero, FJ 3).</w:t>
      </w:r>
    </w:p>
    <w:p w:rsidR="006B7292" w:rsidRDefault="006B7292" w:rsidP="006B7292">
      <w:pPr>
        <w:pStyle w:val="TextoNormal"/>
      </w:pPr>
    </w:p>
    <w:p w:rsidR="006B7292" w:rsidRDefault="006B7292" w:rsidP="006B7292">
      <w:pPr>
        <w:pStyle w:val="TextoNormal"/>
      </w:pPr>
      <w:r>
        <w:t>El juicio de relevancia previsto en el art. 35.2 LOTC es “el esquema argumental dirigido a probar que el fallo del proceso judicial depende de la validez de la norma cuestionada” (por todos, ATC 21/2001, de 30 de enero, FJ 1), por lo que debe comprobarse si se ha argumentado debidamente la existencia de un nexo causal entre la validez de los preceptos legales cuestionados y la decisión a adoptar en el proceso a quo.</w:t>
      </w:r>
    </w:p>
    <w:p w:rsidR="006B7292" w:rsidRDefault="006B7292" w:rsidP="006B7292">
      <w:pPr>
        <w:pStyle w:val="TextoNormal"/>
      </w:pPr>
    </w:p>
    <w:p w:rsidR="006B7292" w:rsidRDefault="006B7292" w:rsidP="006B7292">
      <w:pPr>
        <w:pStyle w:val="TextoNormal"/>
      </w:pPr>
      <w:r>
        <w:t>Pues bien, como ha quedado expuesto en los antecedentes, la controversia de fondo versaba efectivamente sobre la existencia o no de culpa en la actuación del contribuyente. Ahora bien, ello guarda conexión directa en el caso concreto, y así se argumenta en el Auto, con la graduación de la sanción y por tanto con la proporcionalidad de la norma cuestionada, que es donde el órgano judicial halla la duda de constitucionalidad que fundamenta la presente cuestión. Proyectando al supuesto la doctrina constitucional partidaria de un criterio flexible en el control del requisito del juicio de relevancia (ATC 239/2004, de 29 de junio, FJ 2, y las que allí se citan), debe considerarse que el juicio de relevancia ha quedado adecuadamente formulado, toda vez que en el Auto de planteamiento se contiene un razonamiento específico sobre la relevancia de la norma para el proceso a quo, de modo que se exteriorizan las dudas de constitucionalidad que se proyectan sobre la norma directamente aplicable al caso, esto es, el art. 195.2 LGT, en conexión con el art. 187 LGT. Realmente, tras la objeción del Ministerio Fiscal se encuentra una duda sobre los límites de los poderes del Tribunal proponente de la cuestión, en vista de las pretensiones de las partes, pero este es un tema que no afecta al juicio de relevancia expuesto correctamente en el Auto que la propone.</w:t>
      </w:r>
    </w:p>
    <w:p w:rsidR="006B7292" w:rsidRDefault="006B7292" w:rsidP="006B7292">
      <w:pPr>
        <w:pStyle w:val="TextoNormal"/>
      </w:pPr>
    </w:p>
    <w:p w:rsidR="006B7292" w:rsidRDefault="006B7292" w:rsidP="006B7292">
      <w:pPr>
        <w:pStyle w:val="TextoNormal"/>
      </w:pPr>
      <w:r w:rsidRPr="006B7292">
        <w:rPr>
          <w:rStyle w:val="NumeroAFNegritaCaracter"/>
        </w:rPr>
        <w:t>4</w:t>
      </w:r>
      <w:r>
        <w:t>. La duda del órgano promotor de la cuestión se ciñe a que el art. 195.2, en conexión con el art. 187 LGT, no establece criterios de graduación de la sanción allí prevista para aquellos casos en los que la comisión de la infracción se haya producido con simple negligencia. Por tanto, lo que se cuestiona es el sistema de graduación de sanciones establecido para el tipo infractor aplicado, que consiste en “determinar o acreditar improcedentemente partidas positivas o negativas o créditos tributarios aparentes” (art. 195.2 LGT).</w:t>
      </w:r>
    </w:p>
    <w:p w:rsidR="006B7292" w:rsidRDefault="006B7292" w:rsidP="006B7292">
      <w:pPr>
        <w:pStyle w:val="TextoNormal"/>
      </w:pPr>
    </w:p>
    <w:p w:rsidR="006B7292" w:rsidRDefault="006B7292" w:rsidP="006B7292">
      <w:pPr>
        <w:pStyle w:val="TextoNormal"/>
      </w:pPr>
      <w:r>
        <w:t>Se trata así de una duda que se refiere fundamentalmente al principio de proporcionalidad, que hemos reiterado que “no constituye en nuestro ordenamiento constitucional un canon de constitucionalidad autónomo cuya alegación pueda producirse de forma aislada respecto de otros preceptos constitucionales” (STC 161/1997, de 2 de octubre, FJ 8). De esta manera, cuando lo que se aduce es la existencia de un trato desproporcionado, debe primero alegarse en qué medida se afecta, además, al contenido de otros derechos constitucionales, pues sólo cuando la desproporción suponga vulneración de dichos derechos cabrá, en su caso, declarar la inconstitucionalidad de la norma (SSTC 55/1996, de 28 de marzo, FJ 3, y 136/1999, de 20 de julio, FJ 22).</w:t>
      </w:r>
    </w:p>
    <w:p w:rsidR="006B7292" w:rsidRDefault="006B7292" w:rsidP="006B7292">
      <w:pPr>
        <w:pStyle w:val="TextoNormal"/>
      </w:pPr>
    </w:p>
    <w:p w:rsidR="006B7292" w:rsidRDefault="006B7292" w:rsidP="006B7292">
      <w:pPr>
        <w:pStyle w:val="TextoNormal"/>
      </w:pPr>
      <w:r>
        <w:t>Pues bien, allí donde se encuentran efectivamente involucrados derechos fundamentales, como ocurre en el ámbito del art. 25.1 CE, hemos insistido en que el punto de partida del análisis es la potestad exclusiva del legislador para configurar el sistema de infracciones y sanciones atendiendo a los bienes jurídicamente protegidos, de suerte que la proporción entre las conductas que se pretenden evitar y las sanciones con las que intenta conseguirlo es puramente un “juicio de oportunidad”, que corresponde realizar al legislador. En consecuencia, el juicio de constitucionalidad se ciñe en estos casos “a verificar que la norma penal no produzca un patente derroche inútil de coacción que convierte la norma en arbitraria y que socava los principios elementales de justicia inherentes a la dignidad de la persona y al Estado de Derecho” [STC 60/2010, de 7 de octubre, FJ 7 a), con cita de las SSTC 127/2009, de 26 de mayo, FJ 8; 136/1999, de 20 de julio, FJ 23; 55/1996, de 28 de marzo, FFJJ 6 y ss., y 161/1997, de 2 de octubre, FFJJ 9 y ss.; entre otras]. El legislador dispone de un amplio margen de discrecionalidad para configurar el sistema de infracciones y sanciones y, en concreto, la proporcionalidad entre infracción y sanción (</w:t>
      </w:r>
      <w:r w:rsidRPr="006B7292">
        <w:rPr>
          <w:i/>
        </w:rPr>
        <w:t>in fine</w:t>
      </w:r>
      <w:r>
        <w:t xml:space="preserve">, STC 160/1987, de 27 de octubre, FJ 6). Tiene en concreto, como se ha reiterado, potestad exclusiva “para configurar los bienes penalmente protegidos, los comportamientos penalmente reprensibles, el tipo y la cuantía de las sanciones penales, y la proporción entre las conductas que pretende evitar y las penas con las que intenta conseguirlo” (SSTC 55/1996, de 28 de marzo, FJ 6; 161/1997, de 2 de octubre, FJ 9, y 136/1999, de 20 de julio, FJ 23). Esta doctrina es trasladable al ámbito administrativo sancionador, como también lo es que “no cabe deducir del artículo 25.1 de la Constitución Española un derecho fundamental a la proporcionalidad abstracta de la pena con la gravedad del delito” (STC 65/1986, de 22 de mayo, FJ 3, </w:t>
      </w:r>
      <w:r w:rsidRPr="006B7292">
        <w:rPr>
          <w:i/>
        </w:rPr>
        <w:t>in fine</w:t>
      </w:r>
      <w:r>
        <w:t>). A partir de lo anterior, corresponde primordialmente a los tribunales ordinarios determinar si se ha respetado la garantía del art. 25.1 CE en el plano aplicativo.</w:t>
      </w:r>
    </w:p>
    <w:p w:rsidR="006B7292" w:rsidRDefault="006B7292" w:rsidP="006B7292">
      <w:pPr>
        <w:pStyle w:val="TextoNormal"/>
      </w:pPr>
    </w:p>
    <w:p w:rsidR="006B7292" w:rsidRDefault="006B7292" w:rsidP="006B7292">
      <w:pPr>
        <w:pStyle w:val="TextoNormal"/>
      </w:pPr>
      <w:r>
        <w:t>En este caso debemos concluir, como hicimos en el ATC 20/2015, de 3 de febrero, que no se aprecia —ni lo alega el órgano judicial que promueve la cuestión de inconstitucionalidad— que exista un “patente derroche inútil de coacción que convierte la norma en arbitraria”, que pudiera conducir a apreciar una infracción del principio de proporcionalidad en la previsión legal de las sanciones administrativas (art. 25.1 CE). Todo ello sin perjuicio de que no corresponde a este Tribunal pronunciarse sobre si resulta oportuna o adecuada, en abstracto, la decisión del legislador de sancionar la conducta descrita en el art. 195.2 LGT con una cuantía fija del 15 por 100 de la cantidad indebidamente consignada como base imponible negativa.</w:t>
      </w:r>
    </w:p>
    <w:p w:rsidR="006B7292" w:rsidRDefault="006B7292" w:rsidP="006B7292">
      <w:pPr>
        <w:pStyle w:val="TextoNormal"/>
      </w:pPr>
    </w:p>
    <w:p w:rsidR="006B7292" w:rsidRDefault="006B7292" w:rsidP="006B7292">
      <w:pPr>
        <w:pStyle w:val="TextoNormal"/>
      </w:pPr>
      <w:r>
        <w:t>Lo que se sanciona en el art. 195.2 es la mera creación de un riesgo, siendo por lo tanto una infracción de actividad, no de resultado, que responde a la finalidad de prevenir la generación potencial de futuras mermas en los ingresos de la hacienda pública, con independencia de que las partidas negativas se lleguen o no a compensar con otras positivas. Dicha creación cierta del riesgo es sancionable siempre que concurran los requisitos establecidos en el art. 183.1 LGT, esto es, que se haya cometido una acción u omisión dolosa o culposa, debiendo en todo caso el órgano judicial verificar que se cumple efectivamente el tipo infractor descrito y que, en concreto, el art. 25.1 CE ha sido respetado en el plano aplicativo (SSTC 199/2014, de 15 de diciembre, FJ 3, y 218/2005, de 12 de septiembre, FJ 3).</w:t>
      </w:r>
    </w:p>
    <w:p w:rsidR="006B7292" w:rsidRDefault="006B7292" w:rsidP="006B7292">
      <w:pPr>
        <w:pStyle w:val="TextoNormal"/>
      </w:pPr>
    </w:p>
    <w:p w:rsidR="006B7292" w:rsidRDefault="006B7292" w:rsidP="006B7292">
      <w:pPr>
        <w:pStyle w:val="TextoNormal"/>
      </w:pPr>
      <w:r>
        <w:t>Como hemos reiterado tantas veces, la finalidad de la cuestión de inconstitucionalidad no es resolver controversias interpretativas sobre el alcance de determinado precepto legal, cuestión ésta extramuros de la jurisdicción constitucional y para la que el ordenamiento jurídico dispone de otros cauces (AATC 20/2015, de 3 de febrero, FJ 5, y 255/2013, de 5 de noviembre, FJ 4, con cita de otros muchos). Es tarea exclusiva del órgano judicial verificar la existencia de una motivación suficiente y de un juicio de culpabilidad, y comprobar que quien tiene atribuida la potestad de imponer la sanción, esto es, la Administración tributaria, motivó la concurrencia de culpabilidad del sujeto pasivo y que efectivamente concurrían elementos bastantes para considerar que hubo infracción del ordenamiento jurídico.</w:t>
      </w:r>
    </w:p>
    <w:p w:rsidR="006B7292" w:rsidRDefault="006B7292" w:rsidP="006B7292">
      <w:pPr>
        <w:pStyle w:val="TextoNormal"/>
      </w:pPr>
    </w:p>
    <w:p w:rsidR="006B7292" w:rsidRDefault="006B7292" w:rsidP="006B7292">
      <w:pPr>
        <w:pStyle w:val="TextoNormal"/>
      </w:pPr>
      <w:r>
        <w:t>Los razonamientos precedentes permiten concluir que no cabe apreciar la pretendida contradicción de las disposiciones cuestionadas con la Constitución, por lo que resulta procedente declarar en este momento procesal, de conformidad con lo alegado por el Fiscal General del Estado, que la cuestión resulta notoriamente infundada (art. 37.1 LOTC) y ha de ser por ello inadmitida.</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Inadmitir a trámite la presente cuestión de inconstitucionalidad.</w:t>
      </w:r>
    </w:p>
    <w:p w:rsidR="006B7292" w:rsidRDefault="006B7292" w:rsidP="006B7292">
      <w:pPr>
        <w:pStyle w:val="TextoNormal"/>
      </w:pPr>
    </w:p>
    <w:p w:rsidR="006B7292" w:rsidRDefault="006B7292" w:rsidP="006B7292">
      <w:pPr>
        <w:pStyle w:val="TextoNormal"/>
      </w:pPr>
      <w:r>
        <w:t>Madrid, a diez de septiembre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60" w:name="AUTO_2015_146"/>
      <w:r>
        <w:t>AUTO 146/2015, de 10 de septiembre de 2015</w:t>
      </w:r>
    </w:p>
    <w:bookmarkEnd w:id="160"/>
    <w:p w:rsidR="006B7292" w:rsidRDefault="006B7292" w:rsidP="006B7292">
      <w:pPr>
        <w:pStyle w:val="TtuloResolucin"/>
      </w:pPr>
      <w:r>
        <w:t>Pleno</w:t>
      </w:r>
    </w:p>
    <w:p w:rsidR="006B7292" w:rsidRDefault="006B7292" w:rsidP="006B7292">
      <w:pPr>
        <w:pStyle w:val="TextoNormalCentrado"/>
      </w:pPr>
      <w:r>
        <w:t>ECLI:ES:TC:2015:146A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Dispone estar a lo acordado en el ATC 112/2015, de 23 de junio, por el que se resuelve la cuestión de inconstitucionalidad 374-2015, planteada por el Juzgado de lo Social núm. 33 de Barcelona en relación con el epígrafe e) de la disposición adicional tercera de la Ley 40/2007, de 4 de diciembre, de medidas en materia de Seguridad Social.</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Juzgado de lo Social núm. 33 de Barcelona, por Auto de 13 de enero de 2015, acordó plantear cuestión de inconstitucionalidad en relación con el epígrafe e) de la disposición adicional tercera de la Ley 40/2007, de 4 de diciembre. El Pleno de este Tribunal, por ATC 112/2015, de 23 de junio, inadmitió la cuestión de inconstitucionalidad al considerar que las dudas de constitucionalidad formuladas, a los efectos previstos en el art. 37 de la Ley Orgánica del Tribunal Constitucional (LOTC), debían considerarse notoriamente infundadas.</w:t>
      </w:r>
    </w:p>
    <w:p w:rsidR="006B7292" w:rsidRDefault="006B7292" w:rsidP="006B7292">
      <w:pPr>
        <w:pStyle w:val="TextoNormal"/>
      </w:pPr>
    </w:p>
    <w:p w:rsidR="006B7292" w:rsidRDefault="006B7292" w:rsidP="006B7292">
      <w:pPr>
        <w:pStyle w:val="TextoNormal"/>
      </w:pPr>
      <w:r w:rsidRPr="006B7292">
        <w:rPr>
          <w:rStyle w:val="NumeroAFNegritaCaracter"/>
        </w:rPr>
        <w:t>2</w:t>
      </w:r>
      <w:r>
        <w:t>. El 28 de julio de 2015 tuvo entrada en el Registro General de este Tribunal un escrito del Juzgado de lo Social núm. 33 de Barcelona por el que se remitía testimonio del Auto de 10 de julio de 2015 dictado por ese órgano judicial. Esta resolución dispuso poner en conocimiento del Tribunal Constitucional que el ATC 112/2015, de 23 de junio, por el que se acordó inadmitir la cuestión de inconstitucionalidad registrada con el núm. 374-2015 promovida por ese órgano judicial, no había dado respuesta a una de las dudas de constitucionalidad formuladas.</w:t>
      </w:r>
    </w:p>
    <w:p w:rsidR="006B7292" w:rsidRDefault="006B7292" w:rsidP="006B7292">
      <w:pPr>
        <w:pStyle w:val="TextoNormal"/>
      </w:pPr>
    </w:p>
    <w:p w:rsidR="006B7292" w:rsidRDefault="006B7292" w:rsidP="006B7292">
      <w:pPr>
        <w:pStyle w:val="TextoNormal"/>
      </w:pPr>
      <w:r>
        <w:t>Según sostiene el Juzgado de lo Social núm. 33 de Barcelona, el ATC 112/2015, de 23 de junio da respuesta a una de las dudas de constitucionalidad suscitadas, la relativa a la posible vulneración del principio de igualdad, pero no se pronuncia sobre la otra duda formulada, la que considera que la norma cuestionada puede constituir una discriminación indirecta por razón de sexo “por el impacto de género que provoca en el sexo femenino” e infringir por este motivo el art. 14 CE. Por ello, invocando el art. 93.1 LOTC, en relación con el art. 267 de la Ley Orgánica del Poder Judicial y el 214 de la Ley de enjuiciamiento civil, que considera de aplicación supletoria a la jurisdicción constitucional (art. 80 LOTC), dispone poner en conocimiento de este Tribunal la posible omisión en la que ha podido incurrir al dictar el ATC 112/2015, de 23 de junio, que inadmitió la cuestión planteada en relación con el epígrafe e) de la disposición adicional tercera de la Ley 40/2007, de 4 de diciembre.</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Único. Por ATC 112/2015, de 23 de junio, del Pleno de este Tribunal se acordó inadmitir la cuestión de inconstitucionalidad planteada por el Juzgado de lo Social núm. 33 de Barcelona en relación con el epígrafe e) de la disposición adicional tercera de la Ley 40/2007, por considerar, a los efectos del art. 37.1 de la Ley Orgánica del Tribunal Constitucional (LOTC), que las dudas de constitucionalidad formuladas por el órgano judicial eran manifiestamente infundadas.</w:t>
      </w:r>
    </w:p>
    <w:p w:rsidR="006B7292" w:rsidRDefault="006B7292" w:rsidP="006B7292">
      <w:pPr>
        <w:pStyle w:val="TextoNormal"/>
      </w:pPr>
    </w:p>
    <w:p w:rsidR="006B7292" w:rsidRDefault="006B7292" w:rsidP="006B7292">
      <w:pPr>
        <w:pStyle w:val="TextoNormal"/>
      </w:pPr>
      <w:r>
        <w:t>El órgano judicial entiende que la referida resolución no se ha pronunciado sobre una de las dudas de constitucionalidad formuladas, en concreto, aquella por la que planteaba que la norma cuestionada podía constituir una discriminación indirecta por razón de sexo. Sin embargo, como se acaba de indicar, este Tribunal consideró que tales dudas eran manifiestamente infundadas y por este motivo acordó la inadmisión de la cuestión planteada.</w:t>
      </w:r>
    </w:p>
    <w:p w:rsidR="006B7292" w:rsidRDefault="006B7292" w:rsidP="006B7292">
      <w:pPr>
        <w:pStyle w:val="TextoNormal"/>
      </w:pPr>
    </w:p>
    <w:p w:rsidR="006B7292" w:rsidRDefault="006B7292" w:rsidP="006B7292">
      <w:pPr>
        <w:pStyle w:val="TextoNormal"/>
      </w:pPr>
      <w:r>
        <w:t>A pesar de ello, y de modo excepcional, el Tribunal cree oportuno insistir en las razones por las que se estimó que el precepto cuestionado no vulnera indirectamente la prohibición de discriminación por razón de sexo que establece el art. 14 CE, como entiende el órgano judicial que ha promovido esta cuestión de inconstitucionalidad. El establecimiento de un plazo improrrogable de doce meses para solicitar la pensión especial de viudedad que regula la disposición adicional tercera de la Ley 40/2007 no tiene un impacto adverso sobre las personas de un determinado sexo. Este requisito ha de cumplirlo el miembro supérstite de la pareja de hecho para poder tener derecho a la pensión de viudedad, sin que su establecimiento conlleve, en sí mismo, una situación menos favorable para las mujeres que para los hombres ni viceversa. Esta consideración no se ve afectada por la circunstancia de que las beneficiarias de las pensiones de viudedad sean más mujeres que hombres, pues lo que ahora se cuestiona es si el establecer un plazo para poder solicitar esta prestación constituye un requisito que perjudique más a las mujeres que a los hombres y, como acaba de indicarse, la sujeción a plazo temporal que la norma impone ni formal ni materialmente determina que las mujeres se encuentren en peor situación que los hombres para ejercer en ese plazo el derecho a solicitar la pensión de viudedad.</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Estar a lo acordado en el ATC 112/2015, de 23 de junio, por el que se resuelve la cuestión de inconstitucionalidad núm. 374-2015.</w:t>
      </w:r>
    </w:p>
    <w:p w:rsidR="006B7292" w:rsidRDefault="006B7292" w:rsidP="006B7292">
      <w:pPr>
        <w:pStyle w:val="TextoNormal"/>
      </w:pPr>
    </w:p>
    <w:p w:rsidR="006B7292" w:rsidRDefault="006B7292" w:rsidP="006B7292">
      <w:pPr>
        <w:pStyle w:val="TextoNormal"/>
      </w:pPr>
      <w:r>
        <w:t>Madrid, a diez de septiembre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61" w:name="AUTO_2015_147"/>
      <w:r>
        <w:t>AUTO 147/2015, de 10 de septiembre de 2015</w:t>
      </w:r>
    </w:p>
    <w:bookmarkEnd w:id="161"/>
    <w:p w:rsidR="006B7292" w:rsidRDefault="006B7292" w:rsidP="006B7292">
      <w:pPr>
        <w:pStyle w:val="TtuloResolucin"/>
      </w:pPr>
      <w:r>
        <w:t>Sección Primera</w:t>
      </w:r>
    </w:p>
    <w:p w:rsidR="006B7292" w:rsidRDefault="006B7292" w:rsidP="006B7292">
      <w:pPr>
        <w:pStyle w:val="TextoNormalCentrado"/>
      </w:pPr>
      <w:r>
        <w:t>ECLI:ES:TC:2015:147A</w:t>
      </w:r>
    </w:p>
    <w:p w:rsidR="006B7292" w:rsidRDefault="006B7292" w:rsidP="006B7292">
      <w:pPr>
        <w:pStyle w:val="TextoNormalCentrado"/>
      </w:pPr>
    </w:p>
    <w:p w:rsidR="006B7292" w:rsidRDefault="006B7292" w:rsidP="006B7292">
      <w:pPr>
        <w:pStyle w:val="SntesisDescriptiva"/>
      </w:pPr>
      <w:r>
        <w:t>Excms. Srs. don Francisco Pérez de los Cobos Orihuel, doña Encarnación Roca Trías y don Juan Antonio Xiol Ríos.</w:t>
      </w:r>
    </w:p>
    <w:p w:rsidR="006B7292" w:rsidRDefault="006B7292" w:rsidP="006B7292">
      <w:pPr>
        <w:pStyle w:val="SntesisDescriptiva"/>
      </w:pPr>
    </w:p>
    <w:p w:rsidR="006B7292" w:rsidRDefault="006B7292" w:rsidP="006B7292">
      <w:pPr>
        <w:pStyle w:val="TtuloResolucin"/>
      </w:pPr>
      <w:r>
        <w:t>*Este auto no incorpora doctrina constitucional.</w:t>
      </w:r>
    </w:p>
    <w:p w:rsidR="006B7292" w:rsidRDefault="006B7292">
      <w:pPr>
        <w:spacing w:after="160" w:line="259" w:lineRule="auto"/>
        <w:rPr>
          <w:rFonts w:ascii="Times New Roman" w:eastAsia="Times New Roman" w:hAnsi="Times New Roman" w:cs="Times New Roman"/>
          <w:b/>
          <w:sz w:val="24"/>
          <w:szCs w:val="24"/>
          <w:lang w:eastAsia="es-ES"/>
        </w:rPr>
      </w:pPr>
      <w:r>
        <w:br w:type="page"/>
      </w:r>
    </w:p>
    <w:p w:rsidR="006B7292" w:rsidRDefault="006B7292" w:rsidP="006B7292">
      <w:pPr>
        <w:pStyle w:val="TtuloResolucin"/>
      </w:pPr>
      <w:bookmarkStart w:id="162" w:name="AUTO_2015_148"/>
      <w:r>
        <w:t>AUTO 148/2015, de 10 de septiembre de 2015</w:t>
      </w:r>
    </w:p>
    <w:bookmarkEnd w:id="162"/>
    <w:p w:rsidR="006B7292" w:rsidRDefault="006B7292" w:rsidP="006B7292">
      <w:pPr>
        <w:pStyle w:val="TtuloResolucin"/>
      </w:pPr>
      <w:r>
        <w:t>Pleno</w:t>
      </w:r>
    </w:p>
    <w:p w:rsidR="006B7292" w:rsidRDefault="006B7292" w:rsidP="006B7292">
      <w:pPr>
        <w:pStyle w:val="TextoNormalCentrado"/>
      </w:pPr>
      <w:r>
        <w:t>ECLI:ES:TC:2015:148A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Desestima el recurso de súplica interpuesto por el Consejo de Gobierno de la Junta de Andalucía en relación con el ATC 139/2015, de 21 de julio, por el que se inadmite el recurso de inconstitucionalidad 3575-2015, planteado en relación con diversos preceptos de la Ley 15/2014, de 16 de septiembre, de racionalización del sector público y otras medidas de reforma administrativa.</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registrado en este Tribunal el día 17 de junio de 2015, el Letrado de la Junta de Andalucía, en representación de su Consejo de Gobierno, interpuso recurso de inconstitucionalidad contra el art. 23 y la disposición transitoria octava de la Ley 15/2014, de 16 de septiembre, de racionalización del sector público y otras medidas de reforma administrativa.</w:t>
      </w:r>
    </w:p>
    <w:p w:rsidR="006B7292" w:rsidRDefault="006B7292" w:rsidP="006B7292">
      <w:pPr>
        <w:pStyle w:val="TextoNormal"/>
      </w:pPr>
    </w:p>
    <w:p w:rsidR="006B7292" w:rsidRDefault="006B7292" w:rsidP="006B7292">
      <w:pPr>
        <w:pStyle w:val="TextoNormal"/>
      </w:pPr>
      <w:r>
        <w:t>Expone en los antecedentes que el recurso se interpone a solicitud del Consejero de Educación, Cultura y Deporte en funciones, dado que el plazo de interposición finaliza el 17 de junio, y ante la imposibilidad de recabar la previa autorización por parte del Consejo de Gobierno con anterioridad a la citada fecha. Con la demanda aporta la referida solicitud del Consejero autonómico en funciones.</w:t>
      </w:r>
    </w:p>
    <w:p w:rsidR="006B7292" w:rsidRDefault="006B7292" w:rsidP="006B7292">
      <w:pPr>
        <w:pStyle w:val="TextoNormal"/>
      </w:pPr>
    </w:p>
    <w:p w:rsidR="006B7292" w:rsidRDefault="006B7292" w:rsidP="006B7292">
      <w:pPr>
        <w:pStyle w:val="TextoNormal"/>
      </w:pPr>
      <w:r w:rsidRPr="006B7292">
        <w:rPr>
          <w:rStyle w:val="NumeroAFNegritaCaracter"/>
        </w:rPr>
        <w:t>2</w:t>
      </w:r>
      <w:r>
        <w:t>. Por Auto 139/2015, de 21 de julio, el Pleno del Tribunal acordó inadmitir a trámite el citado recurso de inconstitucionalidad, registrado con el núm. 3575-2015, al carecer de legitimación para su interposición el Consejero de Educación, Cultura y Deporte en funciones del Consejo de Gobierno de la Junta de Andalucía, de conformidad con lo establecido por los arts. 162.1 a) CE y 32.2 de la Ley Orgánica del Tribunal Constitucional (LOTC).</w:t>
      </w:r>
    </w:p>
    <w:p w:rsidR="006B7292" w:rsidRDefault="006B7292" w:rsidP="006B7292">
      <w:pPr>
        <w:pStyle w:val="TextoNormal"/>
      </w:pPr>
    </w:p>
    <w:p w:rsidR="006B7292" w:rsidRDefault="006B7292" w:rsidP="006B7292">
      <w:pPr>
        <w:pStyle w:val="TextoNormal"/>
      </w:pPr>
      <w:r w:rsidRPr="006B7292">
        <w:rPr>
          <w:rStyle w:val="NumeroAFNegritaCaracter"/>
        </w:rPr>
        <w:t>3</w:t>
      </w:r>
      <w:r>
        <w:t>. Con fecha 27 de julio de 2015 tuvo entrada en el Registro General de este Tribunal escrito de la Letrada de la Junta de Andalucía, en la representación que por su cargo ostenta, mediante el que interpone recurso de súplica contra el Auto de inadmisión de 21 de julio de 2015, con base en las alegaciones que seguidamente se resumen.</w:t>
      </w:r>
    </w:p>
    <w:p w:rsidR="006B7292" w:rsidRDefault="006B7292" w:rsidP="006B7292">
      <w:pPr>
        <w:pStyle w:val="TextoNormal"/>
      </w:pPr>
    </w:p>
    <w:p w:rsidR="006B7292" w:rsidRDefault="006B7292" w:rsidP="006B7292">
      <w:pPr>
        <w:pStyle w:val="TextoNormal"/>
      </w:pPr>
      <w:r>
        <w:t>En el acuerdo del Consejero de Educación, Cultura y Deporte en funciones que se acompañó al recurso de inconstitucionalidad, por razones de urgencia, se invocaba lo dispuesto en el art. 42 del Decreto 450/2000, de 26 de diciembre, por el que se aprueba el Reglamento de organización y funciones del Gabinete Jurídico de la Junta de Andalucía y del cuerpo de Letrados de la Junta de Andalucía, precepto que expresamente lo legitima a estos efectos. Si bien con carácter general el art. 41.2 del Reglamento de organización y funciones del Gabinete Jurídico de la Junta de Andalucía y del cuerpo de Letrados de la Junta de Andalucía dispone que es necesaria la autorización del Consejo de Gobierno para la interposición de recursos de inconstitucionalidad, el artículo 42 de la misma norma regula la forma en que dicha autorización debe prestarse en casos de urgencia acreditada: las demandas se presentarán a instancias de las autoridades competentes, dando cuenta de la actuación realizada al Consejo de Gobierno en el plazo de tres meses, para que éste la ratifique o acuerde el desistimiento en su caso. Por tanto, en todo caso, la formación de voluntad del órgano colegiado existe, si bien en ejercicio de su competencia en materia de autoorganización la Comunidad Autónoma ha establecido la posibilidad que ha quedado expuesta.</w:t>
      </w:r>
    </w:p>
    <w:p w:rsidR="006B7292" w:rsidRDefault="006B7292" w:rsidP="006B7292">
      <w:pPr>
        <w:pStyle w:val="TextoNormal"/>
      </w:pPr>
    </w:p>
    <w:p w:rsidR="006B7292" w:rsidRDefault="006B7292" w:rsidP="006B7292">
      <w:pPr>
        <w:pStyle w:val="TextoNormal"/>
      </w:pPr>
      <w:r>
        <w:t>Se ha hecho pues uso de lo dispuesto en el art. 42 del Reglamento de organización y funciones del Gabinete Jurídico de la Junta de Andalucía, interponiendo el recurso el Consejero competente en la materia, por razones de urgencia, ya que el resultado de la comisión bilateral (art. 33.2 de la Ley Orgánica del Tribunal Constitucional) fue infructuoso, disponiéndose de muy poco tiempo para recabar el acuerdo del Consejo de Gobierno, a lo que hay que añadir que éste se encontraba en funciones dado el periodo electoral en la Comunidad Autónoma.</w:t>
      </w:r>
    </w:p>
    <w:p w:rsidR="006B7292" w:rsidRDefault="006B7292" w:rsidP="006B7292">
      <w:pPr>
        <w:pStyle w:val="TextoNormal"/>
      </w:pPr>
    </w:p>
    <w:p w:rsidR="006B7292" w:rsidRDefault="006B7292" w:rsidP="006B7292">
      <w:pPr>
        <w:pStyle w:val="TextoNormal"/>
      </w:pPr>
      <w:r>
        <w:t>Estando la posibilidad de interponer recurso de inconstitucionalidad por vía de urgencia amparada en el ordenamiento jurídico, y habiendo sido invocado el citado art. 42 del Reglamento de organización y funciones del Gabinete Jurídico de la Junta de Andalucía en el escrito de interposición, lo único que habría que comprobar es que se ha dado cumplimiento al requisito establecido en el mismo, es decir, que por el Consejo de Gobierno se haya ratificado o no dicha interposición. Se aporta a este efecto certificado del acuerdo del Consejo de Gobierno, de 23 de junio de 2015, por el que se ratifica la interposición de recurso de inconstitucionalidad contra el art. 23 y la disposición transitoria octava de la Ley 15/2014, de 16 de septiembre, de racionalización del sector público y otras medidas de reforma administrativa, por lo que queda perfectamente conformada la voluntad del órgano colegiado.</w:t>
      </w:r>
    </w:p>
    <w:p w:rsidR="006B7292" w:rsidRDefault="006B7292" w:rsidP="006B7292">
      <w:pPr>
        <w:pStyle w:val="TextoNormal"/>
      </w:pPr>
    </w:p>
    <w:p w:rsidR="006B7292" w:rsidRDefault="006B7292" w:rsidP="006B7292">
      <w:pPr>
        <w:pStyle w:val="TextoNormal"/>
      </w:pPr>
      <w:r>
        <w:t>De no estimarse este recurso de súplica, se estaría vulnerando el derecho a la tutela judicial efectiva de esta Administración (STC 175/2001, de 26 de julio), en su vertiente de derecho de acceso, en cuanto que se le estaría vedando la posibilidad de acceder al Tribunal por una cuestión meramente formal, que viene amparada en una norma jurídica que entra en el ámbito exclusivo de la potestad de autoorganización de la Comunidad Autónoma.</w:t>
      </w:r>
    </w:p>
    <w:p w:rsidR="006B7292" w:rsidRDefault="006B7292" w:rsidP="006B7292">
      <w:pPr>
        <w:pStyle w:val="TextoNormal"/>
      </w:pPr>
    </w:p>
    <w:p w:rsidR="006B7292" w:rsidRDefault="006B7292" w:rsidP="006B7292">
      <w:pPr>
        <w:pStyle w:val="TextoNormal"/>
      </w:pPr>
      <w:r>
        <w:t>De pretenderse lo contrario, se estaría desconociendo incluso que en sede de actos administrativos anulables, resulta plenamente convalidable por el superior jerárquico competente lo hecho por el inferior que carecía de competencia (art. 67.3 de la Ley 30/1992, de 26 de noviembre, de régimen jurídico de las Administraciones públicas y del procedimiento administrativo común). Se estaría asimismo inaplicando, sin seguir los cauces procedimentales establecidos para ello, una norma que forma parte del ordenamiento jurídico, que no ha sido cuestionada, ni declarada contraria al mismo, y que permite la interposición del recurso y su posterior ratificación.</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Único. Dispone el art. 1.1 de la Ley Orgánica del Tribunal Constitucional (LOTC) que el Tribunal Constitucional está sometido sólo a la Constitución y a la Ley Orgánica del Tribunal Constitucional. Entre otras que no vienen ahora al caso, esta norma impone la consecuencia “de que no puede ni debe este Tribunal acoger legitimaciones procesales que no provengan directamente de la Constitución o, con los límites en ésta dispuestos, de su misma Ley Orgánica” (ATC 139/1985, de 27 de febrero, FJ 1).</w:t>
      </w:r>
    </w:p>
    <w:p w:rsidR="006B7292" w:rsidRDefault="006B7292" w:rsidP="006B7292">
      <w:pPr>
        <w:pStyle w:val="TextoNormal"/>
      </w:pPr>
    </w:p>
    <w:p w:rsidR="006B7292" w:rsidRDefault="006B7292" w:rsidP="006B7292">
      <w:pPr>
        <w:pStyle w:val="TextoNormal"/>
      </w:pPr>
      <w:r>
        <w:t>Por esta razón, cuando se ha tratado de determinar la legitimación procesal en el recurso de amparo, este Tribunal ha señalado que “la única regulación posible y atendible es la recogida en el art. 162.1 b) de la Constitución (CE) y en el art. 46 LOTC, normativa ésta cerrada y autosuficiente que no podría resultar innovada por cualesquiera otras disposiciones, de tal modo que los requisitos de legitimación para recurrir en amparo sólo deben ser analizados en virtud de reunir las condiciones requeridas por dichos preceptos” (STC 246/2004, de 20 de diciembre, FJ 2, reiterada en la STC 126/2013, de 3 de junio, FJ 2).</w:t>
      </w:r>
    </w:p>
    <w:p w:rsidR="006B7292" w:rsidRDefault="006B7292" w:rsidP="006B7292">
      <w:pPr>
        <w:pStyle w:val="TextoNormal"/>
      </w:pPr>
    </w:p>
    <w:p w:rsidR="006B7292" w:rsidRDefault="006B7292" w:rsidP="006B7292">
      <w:pPr>
        <w:pStyle w:val="TextoNormal"/>
      </w:pPr>
      <w:r>
        <w:t>Idéntica conclusión ha de alcanzarse cuando de lo que se trata es de la legitimación procesal en el recurso de inconstitucionalidad: la única regulación posible y atendible es la recogida en los arts. 162.1 a) CE y 32.2 LOTC, preceptos en los que quedó fundada la inadmisión del recurso de inconstitucionalidad núm. 3575-2015, acordada mediante el Auto de este Tribunal de 21 de julio de 2015, objeto de este recurso de súplica. También en este caso se trata de una regulación cerrada y autosuficiente que no podría resultar innovada por cualesquiera otras disposiciones, en este caso, el invocado Decreto 450/2000, de 26 de diciembre, por el que se aprueba el Reglamento de organización y funciones del Gabinete Jurídico de la Junta de Andalucía y del cuerpo de Letrados de la Junta de Andalucía. Por lo ya dicho, no procede tomar en consideración lo regulado en esta norma reglamentaria autonómica, al no resultar en modo alguno idónea para alterar lo establecido en la CE y en la Ley Orgánica del Tribunal Constitucional en orden a la regulación de la legitimación procesal para la interposición de un recurso de inconstitucionalidad, sin que haya lugar a solicitar de este Tribunal pronunciamiento ulterior acerca de su validez, por ser ajeno a su jurisdicción.</w:t>
      </w:r>
    </w:p>
    <w:p w:rsidR="006B7292" w:rsidRDefault="006B7292" w:rsidP="006B7292">
      <w:pPr>
        <w:pStyle w:val="TextoNormal"/>
      </w:pPr>
    </w:p>
    <w:p w:rsidR="006B7292" w:rsidRDefault="006B7292" w:rsidP="006B7292">
      <w:pPr>
        <w:pStyle w:val="TextoNormal"/>
      </w:pPr>
      <w:r>
        <w:t>Cabe añadir que en esta resolución no ha de entrar este Tribunal a dilucidar los hipotéticos efectos en este proceso del denominado acuerdo de ratificación del Consejo de Gobierno de la Junta de Andalucía, de 23 de junio de 2015, aportado solo con ocasión de la interposición del recurso de súplica: es en cualquier caso extemporáneo, toda vez que en la fecha de su adopción había ya vencido el plazo de nueve meses previsto por el art. 33.2 LOTC.</w:t>
      </w:r>
    </w:p>
    <w:p w:rsidR="006B7292" w:rsidRDefault="006B7292" w:rsidP="006B7292">
      <w:pPr>
        <w:pStyle w:val="TextoNormal"/>
      </w:pPr>
    </w:p>
    <w:p w:rsidR="006B7292" w:rsidRDefault="006B7292" w:rsidP="006B7292">
      <w:pPr>
        <w:pStyle w:val="TextoNormal"/>
      </w:pPr>
      <w:r>
        <w:t xml:space="preserve">Por otra parte, es ésta una cuestión por completo ajena a la esfera propia de la potestad de autoorganización de la Comunidad Autónoma, cuya legítima proyección </w:t>
      </w:r>
      <w:r w:rsidRPr="006B7292">
        <w:rPr>
          <w:i/>
        </w:rPr>
        <w:t>ad extra</w:t>
      </w:r>
      <w:r>
        <w:t>, que no está en discusión, tiene obvios límites, entre otros, el de no colidir con lo dispuesto por la Constitución y la Ley Orgánica del Tribunal Constitucional para la legitimación en una acción de inconstitucionalidad, que no es susceptible de transmisión o delegación, como hemos advertido desde la STC 42/1985, de 15 de marzo, FJ 2, citada en el Auto ahora recurrido.</w:t>
      </w:r>
    </w:p>
    <w:p w:rsidR="006B7292" w:rsidRDefault="006B7292" w:rsidP="006B7292">
      <w:pPr>
        <w:pStyle w:val="TextoNormal"/>
      </w:pPr>
    </w:p>
    <w:p w:rsidR="006B7292" w:rsidRDefault="006B7292" w:rsidP="006B7292">
      <w:pPr>
        <w:pStyle w:val="TextoNormal"/>
      </w:pPr>
      <w:r>
        <w:t>Por último, ha de rechazarse la alegada vulneración del derecho a la tutela judicial efectiva (art. 24.1 CE), pues ni tal derecho puede invocarse o ejercitarse “en contradicción o al margen de las normas procesales que respeten su contenido esencial” (ATC 110/1991, de 9 de abril), ni cabe desconocer que “el de inconstitucionalidad es un recurso abstracto y orientado, como tal, a la depuración objetiva del ordenamiento (SSTC 199/1987, de 16 de diciembre, FJ 1; y 385/1993, de 23 de diciembre, FJ 2), mediante el que no se defiende ningún interés o derecho propio, sino el interés general y la supremacía de la Constitución (STC 42/1985, de 15 de marzo, FJ 2)” (ATC 267/2014, de 4 de noviembre).</w:t>
      </w:r>
    </w:p>
    <w:p w:rsidR="006B7292" w:rsidRDefault="006B7292" w:rsidP="006B7292">
      <w:pPr>
        <w:pStyle w:val="TextoNormal"/>
      </w:pPr>
    </w:p>
    <w:p w:rsidR="006B7292" w:rsidRDefault="006B7292" w:rsidP="006B7292">
      <w:pPr>
        <w:pStyle w:val="TextoNormal"/>
      </w:pPr>
      <w:r>
        <w:t>El recurso de súplica no proporciona pues sustento que desvirtúe las razones que llevaron a la inadmisión del recurso de inconstitucionalidad núm. 3575-2015 por falta de legitimación del Consejero de Educación, Cultura y Deporte en funciones del Consejo de Gobierno de la Junta de Andalucía, razones contenidas en el Auto de este Tribunal 139/2015, de 21 de julio, a las que ahora nos remitimos y que ratificamos en su integridad.</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Desestimar el recurso de súplica interpuesto por la representante procesal del Consejo de Gobierno de la Junta de Andalucía contra el Auto del Pleno de este Tribunal de 21 de julio de 2015 por el que se inadmite a trámite el recurso de inconstitucionalidad núm. 3575-2015.</w:t>
      </w:r>
    </w:p>
    <w:p w:rsidR="006B7292" w:rsidRDefault="006B7292" w:rsidP="006B7292">
      <w:pPr>
        <w:pStyle w:val="TextoNormal"/>
      </w:pPr>
    </w:p>
    <w:p w:rsidR="006B7292" w:rsidRDefault="006B7292" w:rsidP="006B7292">
      <w:pPr>
        <w:pStyle w:val="TextoNormal"/>
      </w:pPr>
      <w:r>
        <w:t>Madrid, a diez de septiembre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63" w:name="AUTO_2015_149"/>
      <w:r>
        <w:t>AUTO 149/2015, de 10 de septiembre de 2015</w:t>
      </w:r>
    </w:p>
    <w:bookmarkEnd w:id="163"/>
    <w:p w:rsidR="006B7292" w:rsidRDefault="006B7292" w:rsidP="006B7292">
      <w:pPr>
        <w:pStyle w:val="TtuloResolucin"/>
      </w:pPr>
      <w:r>
        <w:t>Pleno</w:t>
      </w:r>
    </w:p>
    <w:p w:rsidR="006B7292" w:rsidRDefault="006B7292" w:rsidP="006B7292">
      <w:pPr>
        <w:pStyle w:val="TextoNormalCentrado"/>
      </w:pPr>
      <w:r>
        <w:t>ECLI:ES:TC:2015:149A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Inadmite a trámite el conflicto en defensa de la autonomía local 3974-2015, planteado por el Consejo Insular de Formentera en relación con diversos preceptos de la Ley del Parlamento de las Illes Balears 12/2014, de 16 de diciembre, agraria de las Illes Balears.</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t>Único. Mediante escrito presentado en el Registro General del Tribunal Constitucional el día 3 de julio de 2015, don Luis Pozas Osset, Procurador de los Tribunales actuando en nombre y representación del Consejo Insular de Formentera plantea conflicto en defensa de la autonomía local contra los arts. 5.1 v).3, 88 y 102.2 d) de la Ley 12/2014, de 16 de diciembre, agraria de las Illes Balears.</w:t>
      </w:r>
    </w:p>
    <w:p w:rsidR="006B7292" w:rsidRDefault="006B7292" w:rsidP="006B7292">
      <w:pPr>
        <w:pStyle w:val="TextoNormal"/>
      </w:pPr>
    </w:p>
    <w:p w:rsidR="006B7292" w:rsidRDefault="006B7292" w:rsidP="006B7292">
      <w:pPr>
        <w:pStyle w:val="TextoNormal"/>
      </w:pPr>
      <w:r>
        <w:t>El escrito de interposición del conflicto comienza con una extensa referencia a los antecedentes de la Ley 12/2014, describiendo pormenorizadamente su tramitación en lo relativo a los tres preceptos que son objeto del conflicto. Igualmente alude a la existencia del preceptivo acuerdo del Pleno del Consejo Insular de Formentera y al dictamen del Consejo Consultivo autonómico.</w:t>
      </w:r>
    </w:p>
    <w:p w:rsidR="006B7292" w:rsidRDefault="006B7292" w:rsidP="006B7292">
      <w:pPr>
        <w:pStyle w:val="TextoNormal"/>
      </w:pPr>
    </w:p>
    <w:p w:rsidR="006B7292" w:rsidRDefault="006B7292" w:rsidP="006B7292">
      <w:pPr>
        <w:pStyle w:val="TextoNormal"/>
      </w:pPr>
      <w:r>
        <w:t>En el apartado dedicado a los fundamentos de derecho alude, en primer lugar, a la legitimación del Consejo Insular para interponer el conflicto en defensa de la autonomía local respecto al art. 5.1 v).3 de la Ley 12/2014. Señala al respecto que el precepto se refiere explícitamente a la llamada sociedad rural menorquina, a fin de considerarla explotación agraria preferente a los efectos de la Ley y no contempla la denominada “explotación a mayoral”, propia de las islas de Ibiza y Formentera. De acuerdo con ello, defiende que ambas islas son “las destinatarias únicas de la omisión, desconsideración y discriminación del concreto artículo 5.1.v.3 de la Ley agraria”, entendiendo aplicable aquí la doctrina de la STC 240/2006 en relación a la legitimación de Ceuta y Melilla para interponer un conflicto de este tipo. A lo anterior añade la mención de la disposición adicional tercera.2 de la Ley Orgánica del Tribunal Constitucional (LOTC), que permite a los Consejos Insulares impugnar una ley autonómica, aunque no se alcance el porcentaje de población exigido por el art. 75.</w:t>
      </w:r>
      <w:r w:rsidRPr="006B7292">
        <w:rPr>
          <w:i/>
        </w:rPr>
        <w:t>ter</w:t>
      </w:r>
      <w:r>
        <w:t>.1 c) LOTC, de la que deduce que Formentera está legitimada en un supuesto como el presente en el que no se aplica esta norma sino el art. 75.</w:t>
      </w:r>
      <w:r w:rsidRPr="006B7292">
        <w:rPr>
          <w:i/>
        </w:rPr>
        <w:t>ter</w:t>
      </w:r>
      <w:r>
        <w:t>.1 a) LOTC, en relación con la disposición adicional tercera.1, por omitir el contenido específico de una institución propia del derecho civil de Formentera.</w:t>
      </w:r>
    </w:p>
    <w:p w:rsidR="006B7292" w:rsidRDefault="006B7292" w:rsidP="006B7292">
      <w:pPr>
        <w:pStyle w:val="TextoNormal"/>
      </w:pPr>
    </w:p>
    <w:p w:rsidR="006B7292" w:rsidRDefault="006B7292" w:rsidP="006B7292">
      <w:pPr>
        <w:pStyle w:val="TextoNormal"/>
      </w:pPr>
      <w:r>
        <w:t>Igualmente considera que las islas de Ibiza y Formentera cuentan con legitimación para impugnar el artículo 102.2 d), en similares términos a los expresados anteriormente, por cuanto el precepto establece que las parcelas en las que se quieran realizar edificios de nueva planta deberán tener una superficie mínima de 14.000 metros cuadrados, extensión que se afirma correspondiente con dos “quarterades”, que es la medida típica del Derecho agrario mallorquín, desconociendo la figura de los “tornalls”, unidad de medida propia de las islas de Ibiza y Formentera, que debería haberse tenido en cuenta en este caso.</w:t>
      </w:r>
    </w:p>
    <w:p w:rsidR="006B7292" w:rsidRDefault="006B7292" w:rsidP="006B7292">
      <w:pPr>
        <w:pStyle w:val="TextoNormal"/>
      </w:pPr>
    </w:p>
    <w:p w:rsidR="006B7292" w:rsidRDefault="006B7292" w:rsidP="006B7292">
      <w:pPr>
        <w:pStyle w:val="TextoNormal"/>
      </w:pPr>
      <w:r>
        <w:t>Finalmente, defiende que Formentera “es la destinataria única de la desconsideración provocada por el artículo 88 de la Ley agraria”, en la medida en que permite, en ciertas condiciones, la acampada en determinadas explotaciones agrarias, cuando las ordenanzas de Formentera y el plan territorial de la isla la prohíben de modo general. De acuerdo con ello, se considera que “Formentera es la destinataria única del levantamiento de la prohibición absoluta de la acampada”, de manera que el artículo 88 vulnera la autonomía local de Formentera por ser contrario a sus competencias en materia de urbanismo, ordenación turística y ordenación del territorio.</w:t>
      </w:r>
    </w:p>
    <w:p w:rsidR="006B7292" w:rsidRDefault="006B7292" w:rsidP="006B7292">
      <w:pPr>
        <w:pStyle w:val="TextoNormal"/>
      </w:pPr>
    </w:p>
    <w:p w:rsidR="006B7292" w:rsidRDefault="006B7292" w:rsidP="006B7292">
      <w:pPr>
        <w:pStyle w:val="TextoNormal"/>
      </w:pPr>
      <w:r>
        <w:t>Sobre el fondo del asunto, el escrito de interposición del conflicto sostiene que los artículos 5.1 v).3 y 102.2 d) atentan contra “el derecho agrario autónomo de Formentera, bien sea como institución civil compilada (la explotación a mayoral), bien sea como institución jurídico consuetudinaria no compilada (los tornalls)”, lo que provoca una vulneración de la autonomía del Consejo Insular, pues el derecho civil de la isla sería tanto un elemento significativo de la propia identidad de Formentera, ya que el propio Consejo Insular lo califica como “concepto estrictamente jurídico de preceptiva salvaguarda”. Finalmente, se sostiene que cabe la plena defensa de las instituciones mencionadas “a partir de las concretas atribuciones competenciales de carácter administrativo que el art. 70 del citado EAIB le reconoce como propias, por ser un Consejo Insular”. Específicamente el art. 102.2 d) atentaría también “contra la específica y concreta escala territorial y de hábitats propias de Formentera como isla, todo ello en relación a las propias competencias administrativas que el EAIB otorga al Consell Insular de Formentera”, entendiendo vulneradas sus competencias en materia de urbanismo, patrimonio cultural e histórico, agricultura y ordenación del territorio.</w:t>
      </w:r>
    </w:p>
    <w:p w:rsidR="006B7292" w:rsidRDefault="006B7292" w:rsidP="006B7292">
      <w:pPr>
        <w:pStyle w:val="TextoNormal"/>
      </w:pPr>
    </w:p>
    <w:p w:rsidR="006B7292" w:rsidRDefault="006B7292" w:rsidP="006B7292">
      <w:pPr>
        <w:pStyle w:val="TextoNormal"/>
      </w:pPr>
      <w:r>
        <w:t>Respecto al artículo 88, se alega que atenta contra el modelo territorial, urbanístico y turístico de Formentera “todo ello en relación a las propias competencias administrativas que el Estatuto de Autonomía de las Illes Balears otorga al Consell Insular de Formentera, lo que provoca la vulneración patente de la autonomía local de la isla de Formentera”, en la medida en que las ordenanzas locales y el plan territorial de Formentera establecen la prohibición de acampada en toda la isla.</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Consejo Insular de Formentera ha planteado ante este Tribunal conflicto en defensa de la autonomía local, contra los arts. 5.1 v).3, 88 y 102.2 d) de la Ley 12/2014, de 16 de diciembre, agraria de las Illes Balears.</w:t>
      </w:r>
    </w:p>
    <w:p w:rsidR="006B7292" w:rsidRDefault="006B7292" w:rsidP="006B7292">
      <w:pPr>
        <w:pStyle w:val="TextoNormal"/>
      </w:pPr>
    </w:p>
    <w:p w:rsidR="006B7292" w:rsidRDefault="006B7292" w:rsidP="006B7292">
      <w:pPr>
        <w:pStyle w:val="TextoNormal"/>
      </w:pPr>
      <w:r>
        <w:t>El conflicto se fundamenta en la vulneración de la autonomía local de Formentera que sería la destinataria única de las normas impugnadas. Así, a los efectos de la Ley 12/2014, se reprocha al artículo 5.1 v).3 que no considere explotación agraria preferente la denominada “explotación a mayoral”, propia de las islas de Ibiza y Formentera, cuando, por el contrario, sí lo hace con la “sociedad rural menorquina”. El escrito de planteamiento defiende también que Formentera es la destinataria única del artículo 88, norma que permite, en ciertas condiciones, la acampada en las explotaciones agrarias prioritarias, cuando las ordenanzas de Formentera y el plan territorial de la isla la prohíben de modo general. Finalmente se opone al artículo 102.2 d), por cuanto entiende que el precepto establece que las parcelas en las que se quieran realizar edificios de nueva planta deberán tener una superficie mínima de 14.000 metros cuadrados, extensión que se afirma, se corresponde con dos “quarterades”, medida típica del Derecho agrario mallorquín; con ello se habría desconocido la figura de los “tornalls”, unidad de medida propia de las islas de Ibiza y Formentera, que es la que, a juicio del promotor del conflicto, hubiera debido utilizarse.</w:t>
      </w:r>
    </w:p>
    <w:p w:rsidR="006B7292" w:rsidRDefault="006B7292" w:rsidP="006B7292">
      <w:pPr>
        <w:pStyle w:val="TextoNormal"/>
      </w:pPr>
    </w:p>
    <w:p w:rsidR="006B7292" w:rsidRDefault="006B7292" w:rsidP="006B7292">
      <w:pPr>
        <w:pStyle w:val="TextoNormal"/>
      </w:pPr>
      <w:r>
        <w:t>El art. 75.</w:t>
      </w:r>
      <w:r w:rsidRPr="006B7292">
        <w:rPr>
          <w:i/>
        </w:rPr>
        <w:t>quinquies</w:t>
      </w:r>
      <w:r>
        <w:t xml:space="preserve"> de la Ley Orgánica del Tribunal Constitucional (LOTC) dispone que “planteado el conflicto, el Tribunal podrá acordar, mediante Auto motivado, la inadmisión por falta de legitimación u otros requisitos exigibles y no subsanables o cuando estuviere notoriamente infundada la controversia suscitada”. El objeto de esta resolución es valorar si el Consejo Insular de Formentera satisface el requisito de la legitimación, para la interposición del conflicto, así como los otros exigidos en la Ley.</w:t>
      </w:r>
    </w:p>
    <w:p w:rsidR="006B7292" w:rsidRDefault="006B7292" w:rsidP="006B7292">
      <w:pPr>
        <w:pStyle w:val="TextoNormal"/>
      </w:pPr>
    </w:p>
    <w:p w:rsidR="006B7292" w:rsidRDefault="006B7292" w:rsidP="006B7292">
      <w:pPr>
        <w:pStyle w:val="TextoNormal"/>
      </w:pPr>
      <w:r w:rsidRPr="006B7292">
        <w:rPr>
          <w:rStyle w:val="NumeroAFNegritaCaracter"/>
        </w:rPr>
        <w:t>2</w:t>
      </w:r>
      <w:r>
        <w:t>. El primero de los requisitos insubsanables a que hace referencia el art. 75.</w:t>
      </w:r>
      <w:r w:rsidRPr="006B7292">
        <w:rPr>
          <w:i/>
        </w:rPr>
        <w:t>quinquies</w:t>
      </w:r>
      <w:r>
        <w:t xml:space="preserve"> LOTC, se refiere a la legitimación exigible para plantear el conflicto en defensa de la autonomía local. Dicho requisito se encuentra regulado en el art. 75.</w:t>
      </w:r>
      <w:r w:rsidRPr="006B7292">
        <w:rPr>
          <w:i/>
        </w:rPr>
        <w:t>ter</w:t>
      </w:r>
      <w:r>
        <w:t>.1 LOTC, que la atribuye a los municipios y provincias en que la Ley resulte aplicable, pudiendo aquellos entes locales hacerlo aisladamente o en forma conjunta, en este último caso con exigencia, además, de que dichos municipios o provincias representen una determinada mayoría y unos determinados porcentajes de la población correspondiente al ámbito de aplicación de la Ley. Ambas previsiones han de ponerse en relación con la disposición adicional tercera.1 LOTC, según la cual “Las referencias a las provincias contenidas en esta Ley se entenderán realizadas a las islas en las Comunidades Autónomas de las Illes Balears y Canarias”.</w:t>
      </w:r>
    </w:p>
    <w:p w:rsidR="006B7292" w:rsidRDefault="006B7292" w:rsidP="006B7292">
      <w:pPr>
        <w:pStyle w:val="TextoNormal"/>
      </w:pPr>
    </w:p>
    <w:p w:rsidR="006B7292" w:rsidRDefault="006B7292" w:rsidP="006B7292">
      <w:pPr>
        <w:pStyle w:val="TextoNormal"/>
      </w:pPr>
      <w:r>
        <w:t>El Consejo Insular de Formentera promueve el conflicto por considerarse destinatario único de las normas que impugna, por lo que debe valorarse en este trámite si satisface el requisito de legitimación exigido en el art. 75.</w:t>
      </w:r>
      <w:r w:rsidRPr="006B7292">
        <w:rPr>
          <w:i/>
        </w:rPr>
        <w:t>ter</w:t>
      </w:r>
      <w:r>
        <w:t>.1 a) y disposición adicional tercera LOTC.</w:t>
      </w:r>
    </w:p>
    <w:p w:rsidR="006B7292" w:rsidRDefault="006B7292" w:rsidP="006B7292">
      <w:pPr>
        <w:pStyle w:val="TextoNormal"/>
      </w:pPr>
    </w:p>
    <w:p w:rsidR="006B7292" w:rsidRDefault="006B7292" w:rsidP="006B7292">
      <w:pPr>
        <w:pStyle w:val="TextoNormal"/>
      </w:pPr>
      <w:r>
        <w:t>A tal fin, procede reproducir los preceptos objeto del presente conflicto, en los aspectos que han sido concretamente cuestionados:</w:t>
      </w:r>
    </w:p>
    <w:p w:rsidR="006B7292" w:rsidRDefault="006B7292" w:rsidP="006B7292">
      <w:pPr>
        <w:pStyle w:val="TextoNormal"/>
      </w:pPr>
    </w:p>
    <w:p w:rsidR="006B7292" w:rsidRDefault="006B7292" w:rsidP="006B7292">
      <w:pPr>
        <w:pStyle w:val="TextoNormal"/>
      </w:pPr>
      <w:r>
        <w:t>“Artículo 5. Definiciones</w:t>
      </w:r>
    </w:p>
    <w:p w:rsidR="006B7292" w:rsidRDefault="006B7292" w:rsidP="006B7292">
      <w:pPr>
        <w:pStyle w:val="TextoNormal"/>
      </w:pPr>
    </w:p>
    <w:p w:rsidR="006B7292" w:rsidRDefault="006B7292" w:rsidP="006B7292">
      <w:pPr>
        <w:pStyle w:val="TextoNormal"/>
      </w:pPr>
      <w:r>
        <w:t>1. A los efectos de esta ley, de la legislación autonómica de las Illes Balears y de los instrumentos de ordenación económica, territorial, urbanística, medioambiental y de cualquier otra clase, de competencia autonómica, insular o local, habrá que ajustarse preceptivamente a las definiciones establecidas en la presente ley, que entiende por:… v) Explotación agraria preferente: explotación agraria que se encuentra en alguna de las situaciones siguientes:… 3. Ser una explotación agraria cuyo titular sea una sociedad rural menorquina…”</w:t>
      </w:r>
    </w:p>
    <w:p w:rsidR="006B7292" w:rsidRDefault="006B7292" w:rsidP="006B7292">
      <w:pPr>
        <w:pStyle w:val="TextoNormal"/>
      </w:pPr>
    </w:p>
    <w:p w:rsidR="006B7292" w:rsidRDefault="006B7292" w:rsidP="006B7292">
      <w:pPr>
        <w:pStyle w:val="TextoNormal"/>
      </w:pPr>
      <w:r>
        <w:t>“Artículo 88. Agroocio en explotaciones agrarias preferentes</w:t>
      </w:r>
    </w:p>
    <w:p w:rsidR="006B7292" w:rsidRDefault="006B7292" w:rsidP="006B7292">
      <w:pPr>
        <w:pStyle w:val="TextoNormal"/>
      </w:pPr>
    </w:p>
    <w:p w:rsidR="006B7292" w:rsidRDefault="006B7292" w:rsidP="006B7292">
      <w:pPr>
        <w:pStyle w:val="TextoNormal"/>
      </w:pPr>
      <w:r>
        <w:t>Dentro de las actividades de excursionismo, senderismo y análogas, se permite la pernoctación al aire libre, en tiendas de campaña, como máximo de diez personas a la vez durante dos noches consecutivas en los espacios que se habiliten expresamente en las explotaciones agrarias preferentes.”</w:t>
      </w:r>
    </w:p>
    <w:p w:rsidR="006B7292" w:rsidRDefault="006B7292" w:rsidP="006B7292">
      <w:pPr>
        <w:pStyle w:val="TextoNormal"/>
      </w:pPr>
    </w:p>
    <w:p w:rsidR="006B7292" w:rsidRDefault="006B7292" w:rsidP="006B7292">
      <w:pPr>
        <w:pStyle w:val="TextoNormal"/>
      </w:pPr>
      <w:r>
        <w:t>“Artículo 102. Informe de la administración pública competente en materia agraria</w:t>
      </w:r>
    </w:p>
    <w:p w:rsidR="006B7292" w:rsidRDefault="006B7292" w:rsidP="006B7292">
      <w:pPr>
        <w:pStyle w:val="TextoNormal"/>
      </w:pPr>
    </w:p>
    <w:p w:rsidR="006B7292" w:rsidRDefault="006B7292" w:rsidP="006B7292">
      <w:pPr>
        <w:pStyle w:val="TextoNormal"/>
      </w:pPr>
      <w:r>
        <w:t>…</w:t>
      </w:r>
    </w:p>
    <w:p w:rsidR="006B7292" w:rsidRDefault="006B7292" w:rsidP="006B7292">
      <w:pPr>
        <w:pStyle w:val="TextoNormal"/>
      </w:pPr>
    </w:p>
    <w:p w:rsidR="006B7292" w:rsidRDefault="006B7292" w:rsidP="006B7292">
      <w:pPr>
        <w:pStyle w:val="TextoNormal"/>
      </w:pPr>
      <w:r>
        <w:t>2. El informe de la administración pública competente en materia agraria será favorable si se cumplen las siguientes condiciones: … d) Para las edificaciones de nueva planta, que la parcela donde se quiera edificar tenga una superficie mínima de 14.000 m2.”</w:t>
      </w:r>
    </w:p>
    <w:p w:rsidR="006B7292" w:rsidRDefault="006B7292" w:rsidP="006B7292">
      <w:pPr>
        <w:pStyle w:val="TextoNormal"/>
      </w:pPr>
    </w:p>
    <w:p w:rsidR="006B7292" w:rsidRDefault="006B7292" w:rsidP="006B7292">
      <w:pPr>
        <w:pStyle w:val="TextoNormal"/>
      </w:pPr>
      <w:r w:rsidRPr="006B7292">
        <w:rPr>
          <w:rStyle w:val="NumeroAFNegritaCaracter"/>
        </w:rPr>
        <w:t>3</w:t>
      </w:r>
      <w:r>
        <w:t>. La interpretación realizada por este Tribunal respecto a la expresión “destinatario único” que emplea el art. 75.</w:t>
      </w:r>
      <w:r w:rsidRPr="006B7292">
        <w:rPr>
          <w:i/>
        </w:rPr>
        <w:t>ter</w:t>
      </w:r>
      <w:r>
        <w:t>.1 a) LOTC debe servir de base para comprobar si el Consejo Insular de Formentera satisface la exigencia de ser destinatario único de las tres normas que impugnan a los efectos de determinar su legitimación en la presente impugnación.</w:t>
      </w:r>
    </w:p>
    <w:p w:rsidR="006B7292" w:rsidRDefault="006B7292" w:rsidP="006B7292">
      <w:pPr>
        <w:pStyle w:val="TextoNormal"/>
      </w:pPr>
    </w:p>
    <w:p w:rsidR="006B7292" w:rsidRDefault="006B7292" w:rsidP="006B7292">
      <w:pPr>
        <w:pStyle w:val="TextoNormal"/>
      </w:pPr>
      <w:r>
        <w:t xml:space="preserve">La STC 121/2012, FJ 3, define el concepto de destinatario único en los términos siguientes: “El supuesto contemplado en este precepto de nuestra Ley Orgánica se refiere al municipio o provincia que sea destinatario único de la ley, expresión que no puede considerarse equivalente o exactamente coincidente con las denominadas leyes singulares o leyes de caso único. Ya hemos definido este último tipo de normas como ‘aquellas dictadas en atención a un supuesto de hecho concreto y singular, que agotan su contenido y eficacia en la adopción y ejecución de la medida tomada por el legislador ante ese supuesto de hecho, aislado en la Ley singular y no comunicable con ningún otro’ (STC 166/1986, de 19 de diciembre, FJ 10; en el mismo sentido, ATC 291/1997, de 22 de julio). Por el contrario, el caso contemplado en el art. 75 </w:t>
      </w:r>
      <w:r w:rsidRPr="006B7292">
        <w:rPr>
          <w:i/>
        </w:rPr>
        <w:t>ter</w:t>
      </w:r>
      <w:r>
        <w:t>.1 a) LOTC no puede ser definido en tan estrictos términos, sino que bastará, a efectos de entender satisfecho lo previsto en el mismo, con que la norma resulte aplicable exclusivamente a ese concreto municipio o provincia, hallándonos en el supuesto contemplado por nuestra Ley Orgánica cuando de la norma en cuestión resulte claro que, desde el punto de vista material, se encuentra dirigida a regular la situación de un solo sujeto, que resulta ser el único al que, en realidad, resultaría aplicable la ley o el precepto cuestionado”. Por su parte, conforme a la STC 37/2014, de 11 de marzo, FJ 2, este concepto de destinatario único de la ley “debe ser determinado caso por caso, a partir del ámbito territorial de la disposición legal presuntamente vulneradora de la autonomía local y de su contenido material.”</w:t>
      </w:r>
    </w:p>
    <w:p w:rsidR="006B7292" w:rsidRDefault="006B7292" w:rsidP="006B7292">
      <w:pPr>
        <w:pStyle w:val="TextoNormal"/>
      </w:pPr>
    </w:p>
    <w:p w:rsidR="006B7292" w:rsidRDefault="006B7292" w:rsidP="006B7292">
      <w:pPr>
        <w:pStyle w:val="TextoNormal"/>
      </w:pPr>
      <w:r w:rsidRPr="006B7292">
        <w:rPr>
          <w:rStyle w:val="NumeroAFNegritaCaracter"/>
        </w:rPr>
        <w:t>4</w:t>
      </w:r>
      <w:r>
        <w:t>. Aplicando ambos criterios a las disposiciones ahora impugnadas no es posible considerar que Formentera sea destinataria única de las normas objeto de conflicto.</w:t>
      </w:r>
    </w:p>
    <w:p w:rsidR="006B7292" w:rsidRDefault="006B7292" w:rsidP="006B7292">
      <w:pPr>
        <w:pStyle w:val="TextoNormal"/>
      </w:pPr>
    </w:p>
    <w:p w:rsidR="006B7292" w:rsidRDefault="006B7292" w:rsidP="006B7292">
      <w:pPr>
        <w:pStyle w:val="TextoNormal"/>
      </w:pPr>
      <w:r>
        <w:t>En un sentido similar a lo que ya ocurría en los AATC 236/2014, de 7 de octubre, y 70/2015, de 14 de abril, el promotor del conflicto confunde en su planteamiento, el indudable carácter general de las normas que impugna con los efectos pretendidamente discriminatorios que, a su entender, se producen al ser aplicadas en Formentera, cuestión del todo ajena al ámbito de aplicación de las normas, que es lo que ha de dilucidarse a efectos de cumplir con la legitimación exigida por el art.75.</w:t>
      </w:r>
      <w:r w:rsidRPr="006B7292">
        <w:rPr>
          <w:i/>
        </w:rPr>
        <w:t>ter</w:t>
      </w:r>
      <w:r>
        <w:t>.1 a) LOTC, en relación con la disposición adicional tercera.1 LOTC, para promover un proceso constitucional como el conflicto en defensa de la autonomía local.</w:t>
      </w:r>
    </w:p>
    <w:p w:rsidR="006B7292" w:rsidRDefault="006B7292" w:rsidP="006B7292">
      <w:pPr>
        <w:pStyle w:val="TextoNormal"/>
      </w:pPr>
    </w:p>
    <w:p w:rsidR="006B7292" w:rsidRDefault="006B7292" w:rsidP="006B7292">
      <w:pPr>
        <w:pStyle w:val="TextoNormal"/>
      </w:pPr>
      <w:r>
        <w:t>Los argumentos son los siguientes:</w:t>
      </w:r>
    </w:p>
    <w:p w:rsidR="006B7292" w:rsidRDefault="006B7292" w:rsidP="006B7292">
      <w:pPr>
        <w:pStyle w:val="TextoNormal"/>
      </w:pPr>
    </w:p>
    <w:p w:rsidR="006B7292" w:rsidRDefault="006B7292" w:rsidP="006B7292">
      <w:pPr>
        <w:pStyle w:val="TextoNormal"/>
      </w:pPr>
      <w:r>
        <w:t>a) Es patente que la totalidad de la Ley 12/2014 es de aplicación en el ámbito territorial de la Comunidad Autónoma, pues así resulta de su artículo 3 al disponer: “[E]sta ley, de acuerdo con lo previsto en el artículo 2 de la Ley Orgánica 1/ 2007, de 28 de febrero, de reforma del Estatuto de Autonomía de las Illes Balears, se aplica a todo el territorio de la comunidad autónoma de las Illes Balears formado por las islas de Mallorca, Menorca, Ibiza, Formentera y Cabrera, y las demás islas menores adyacentes”.</w:t>
      </w:r>
    </w:p>
    <w:p w:rsidR="006B7292" w:rsidRDefault="006B7292" w:rsidP="006B7292">
      <w:pPr>
        <w:pStyle w:val="TextoNormal"/>
      </w:pPr>
    </w:p>
    <w:p w:rsidR="006B7292" w:rsidRDefault="006B7292" w:rsidP="006B7292">
      <w:pPr>
        <w:pStyle w:val="TextoNormal"/>
      </w:pPr>
      <w:r>
        <w:t>b) Por otra parte, los tres preceptos objeto del conflicto contienen normas de estructura general, tanto por lo genérico de sus destinatarios como por la posibilidad de aplicarlas de forma reiterada. En suma, del mero tenor literal de las tres previsiones impugnadas se desprende, sin dificultad, que se trata de normas que no pueden ser calificadas como de “destinatario único”, a los efectos previstos por el art. 75.</w:t>
      </w:r>
      <w:r w:rsidRPr="006B7292">
        <w:rPr>
          <w:i/>
        </w:rPr>
        <w:t>ter</w:t>
      </w:r>
      <w:r>
        <w:t>.1 a) LOTC, de acuerdo con la jurisprudencia ya citada.</w:t>
      </w:r>
    </w:p>
    <w:p w:rsidR="006B7292" w:rsidRDefault="006B7292" w:rsidP="006B7292">
      <w:pPr>
        <w:pStyle w:val="TextoNormal"/>
      </w:pPr>
    </w:p>
    <w:p w:rsidR="006B7292" w:rsidRDefault="006B7292" w:rsidP="006B7292">
      <w:pPr>
        <w:pStyle w:val="TextoNormal"/>
      </w:pPr>
      <w:r>
        <w:t>El artículo 5.1 v).3, en el aspecto cuestionado, define con carácter general una de las posibles situaciones determinantes de la declaración como explotación agraria preferente, como es la “[S]er una explotación agraria cuyo titular sea una sociedad rural menorquina”, con lo que es evidente que, teniendo ese objeto, la norma no tiene relación con Formentera. Tal como ya se ha puesto de relieve, de hecho la queja que se plantea se basa en lo que se entiende como una discriminación que habría sido causada por la omisión del reconocimiento como explotación agraria preferente de la denominada explotación a mayoral, vigente en Ibiza y Formentera. Omisión legislativa que, en lo que ahora importa, en nada afecta al carácter general de la definición legal de la explotación agraria preferente, sus efectos y la definición de los supuestos en los que procede dicha declaración Ello permite excluir que la norma pueda ser calificada como de destinatario único y que, además, éste sea la isla de Formentera.</w:t>
      </w:r>
    </w:p>
    <w:p w:rsidR="006B7292" w:rsidRDefault="006B7292" w:rsidP="006B7292">
      <w:pPr>
        <w:pStyle w:val="TextoNormal"/>
      </w:pPr>
    </w:p>
    <w:p w:rsidR="006B7292" w:rsidRDefault="006B7292" w:rsidP="006B7292">
      <w:pPr>
        <w:pStyle w:val="TextoNormal"/>
      </w:pPr>
      <w:r>
        <w:t>En cuanto a la impugnación del artículo 88, es indudable que, con independencia de la relación que pueda existir entre las normas de ordenación territorial de Formentera y el precepto impugnado, éste se aplica a las denominadas actividades de agroocio que se desarrollen en las explotaciones agrarias calificadas como preferentes en los términos de la Ley 12/2014 en cualquier lugar de Baleares y no sólo en Formentera. Que la regulación local vigente en la isla entre en contradicción con esa previsión legal, que es lo que alega el promotor del conflicto, no le convierte en destinatario único de la norma, pues la regulación material no concierne directa y exclusivamente a las explotaciones de Formentera, sino a cualquier explotación agraria calificada como preferente, que desarrolle las denominadas actividades de agroocio en cualquier lugar de la Comunidad Autónoma.</w:t>
      </w:r>
    </w:p>
    <w:p w:rsidR="006B7292" w:rsidRDefault="006B7292" w:rsidP="006B7292">
      <w:pPr>
        <w:pStyle w:val="TextoNormal"/>
      </w:pPr>
    </w:p>
    <w:p w:rsidR="006B7292" w:rsidRDefault="006B7292" w:rsidP="006B7292">
      <w:pPr>
        <w:pStyle w:val="TextoNormal"/>
      </w:pPr>
      <w:r>
        <w:t>El artículo 102 d) condiciona el informe favorable de la administración agrícola previo a la concesión de licencia para las actuaciones de edificación, construcción o instalación de nueva planta, vinculadas a la actividad agraria o complementaria a que la parcela donde se quiera edificar tenga una superficie mínima de 14.000 metros cuadrados. Su propio tenor literal evidencia el carácter general de la norma susceptible de ser aplicada por los cuatro Consejos Insulares de Baleares, destinatarios de la norma en tanto que administraciones competentes en materia agraria conforme al art. 19 de la propia Ley 12/2014. De nuevo el supuesto carácter de destinatario único de la norma se vincula a la discriminación que sufriría Formentera por no emplearse una unidad de medida típica de la isla (tornells) que el recurrente considera digna de utilización. Queja que, por lo demás, se construye por referencia a otra unidad de medida, las “quarterades”, típica del Derecho agrario mallorquín, que se considera, siquiera indirectamente, adoptada en la norma que se impugna. En realidad es patente que dicha unidad de medida no se menciona en el artículo 102 d), que se limita a utilizar la medida de superficie en metros cuadrados, en línea con lo dispuesto en el art. 2 de la Ley 32/2014, de 22 de diciembre, de metrología, lo que, también desde esta perspectiva, evidencia el manifiesto carácter general de la disposición impugnada.</w:t>
      </w:r>
    </w:p>
    <w:p w:rsidR="006B7292" w:rsidRDefault="006B7292" w:rsidP="006B7292">
      <w:pPr>
        <w:pStyle w:val="TextoNormal"/>
      </w:pPr>
    </w:p>
    <w:p w:rsidR="006B7292" w:rsidRDefault="006B7292" w:rsidP="006B7292">
      <w:pPr>
        <w:pStyle w:val="TextoNormal"/>
      </w:pPr>
      <w:r w:rsidRPr="006B7292">
        <w:rPr>
          <w:rStyle w:val="NumeroAFNegritaCaracter"/>
        </w:rPr>
        <w:t>5</w:t>
      </w:r>
      <w:r>
        <w:t>. De aquí se deduce que, el Consejo Insular de Formentera no es el único destinatario de los preceptos que impugna. Por ello carece, por sí solo, de legitimación para interponer el presente conflicto en defensa de la autonomía local.</w:t>
      </w:r>
    </w:p>
    <w:p w:rsidR="006B7292" w:rsidRDefault="006B7292" w:rsidP="006B7292">
      <w:pPr>
        <w:pStyle w:val="TextoNormal"/>
      </w:pPr>
    </w:p>
    <w:p w:rsidR="006B7292" w:rsidRDefault="006B7292" w:rsidP="006B7292">
      <w:pPr>
        <w:pStyle w:val="TextoNormal"/>
      </w:pPr>
      <w:r>
        <w:t>En consecuencia, de acuerdo con lo dispuesto en el art. 75.</w:t>
      </w:r>
      <w:r w:rsidRPr="006B7292">
        <w:rPr>
          <w:i/>
        </w:rPr>
        <w:t>quinque</w:t>
      </w:r>
      <w:r>
        <w:t>.1 LOTC, procede declarar la inadmisión del presente conflicto por ese motivo.</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Inadmitir a trámite el presente conflicto en defensa de la autonomía local.</w:t>
      </w:r>
    </w:p>
    <w:p w:rsidR="006B7292" w:rsidRDefault="006B7292" w:rsidP="006B7292">
      <w:pPr>
        <w:pStyle w:val="TextoNormal"/>
      </w:pPr>
    </w:p>
    <w:p w:rsidR="006B7292" w:rsidRDefault="006B7292" w:rsidP="006B7292">
      <w:pPr>
        <w:pStyle w:val="TextoNormal"/>
      </w:pPr>
      <w:r>
        <w:t>Madrid, a diez de septiembre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64" w:name="AUTO_2015_150"/>
      <w:r>
        <w:t>AUTO 150/2015, de 17 de septiembre de 2015</w:t>
      </w:r>
    </w:p>
    <w:bookmarkEnd w:id="164"/>
    <w:p w:rsidR="006B7292" w:rsidRDefault="006B7292" w:rsidP="006B7292">
      <w:pPr>
        <w:pStyle w:val="TtuloResolucin"/>
      </w:pPr>
      <w:r>
        <w:t>Sección Primera</w:t>
      </w:r>
    </w:p>
    <w:p w:rsidR="006B7292" w:rsidRDefault="006B7292" w:rsidP="006B7292">
      <w:pPr>
        <w:pStyle w:val="TextoNormalCentrado"/>
      </w:pPr>
      <w:r>
        <w:t>ECLI:ES:TC:2015:150A</w:t>
      </w:r>
    </w:p>
    <w:p w:rsidR="006B7292" w:rsidRDefault="006B7292" w:rsidP="006B7292">
      <w:pPr>
        <w:pStyle w:val="TextoNormalCentrado"/>
      </w:pPr>
    </w:p>
    <w:p w:rsidR="006B7292" w:rsidRDefault="006B7292" w:rsidP="006B7292">
      <w:pPr>
        <w:pStyle w:val="SntesisDescriptiva"/>
      </w:pPr>
      <w:r>
        <w:t>Excms. Srs. don Francisco Pérez de los Cobos Orihuel, doña Encarnación Roca Trías y don Juan Antonio Xiol Ríos.</w:t>
      </w:r>
    </w:p>
    <w:p w:rsidR="006B7292" w:rsidRDefault="006B7292" w:rsidP="006B7292">
      <w:pPr>
        <w:pStyle w:val="SntesisDescriptiva"/>
      </w:pPr>
    </w:p>
    <w:p w:rsidR="006B7292" w:rsidRDefault="006B7292" w:rsidP="006B7292">
      <w:pPr>
        <w:pStyle w:val="TtuloResolucin"/>
      </w:pPr>
      <w:r>
        <w:t>*Este auto no incorpora doctrina constitucional.</w:t>
      </w:r>
    </w:p>
    <w:p w:rsidR="006B7292" w:rsidRDefault="006B7292">
      <w:pPr>
        <w:spacing w:after="160" w:line="259" w:lineRule="auto"/>
        <w:rPr>
          <w:rFonts w:ascii="Times New Roman" w:eastAsia="Times New Roman" w:hAnsi="Times New Roman" w:cs="Times New Roman"/>
          <w:b/>
          <w:sz w:val="24"/>
          <w:szCs w:val="24"/>
          <w:lang w:eastAsia="es-ES"/>
        </w:rPr>
      </w:pPr>
      <w:r>
        <w:br w:type="page"/>
      </w:r>
    </w:p>
    <w:p w:rsidR="006B7292" w:rsidRDefault="006B7292" w:rsidP="006B7292">
      <w:pPr>
        <w:pStyle w:val="TtuloResolucin"/>
      </w:pPr>
      <w:bookmarkStart w:id="165" w:name="AUTO_2015_151"/>
      <w:r>
        <w:t>AUTO 151/2015, de 21 de septiembre de 2015</w:t>
      </w:r>
    </w:p>
    <w:bookmarkEnd w:id="165"/>
    <w:p w:rsidR="006B7292" w:rsidRDefault="006B7292" w:rsidP="006B7292">
      <w:pPr>
        <w:pStyle w:val="TtuloResolucin"/>
      </w:pPr>
      <w:r>
        <w:t>Sala Primera</w:t>
      </w:r>
    </w:p>
    <w:p w:rsidR="006B7292" w:rsidRDefault="006B7292" w:rsidP="006B7292">
      <w:pPr>
        <w:pStyle w:val="TextoNormalCentrado"/>
      </w:pPr>
      <w:r>
        <w:t>ECLI:ES:TC:2015:151A</w:t>
      </w:r>
    </w:p>
    <w:p w:rsidR="006B7292" w:rsidRDefault="006B7292" w:rsidP="006B7292">
      <w:pPr>
        <w:pStyle w:val="TextoNormalCentrado"/>
      </w:pPr>
    </w:p>
    <w:p w:rsidR="006B7292" w:rsidRDefault="006B7292" w:rsidP="006B7292">
      <w:pPr>
        <w:pStyle w:val="SntesisDescriptiva"/>
      </w:pPr>
      <w:r>
        <w:t>Excms. Srs. don Francisco Pérez de los Cobos Orihuel, doña Encarnación Roca Trías, don Andrés Ollero Tassara, don Santiago Martínez-Vares García y don Juan Antonio Xiol Ríos.</w:t>
      </w:r>
    </w:p>
    <w:p w:rsidR="006B7292" w:rsidRDefault="006B7292" w:rsidP="006B7292">
      <w:pPr>
        <w:pStyle w:val="SntesisDescriptiva"/>
      </w:pPr>
    </w:p>
    <w:p w:rsidR="006B7292" w:rsidRDefault="006B7292" w:rsidP="006B7292">
      <w:pPr>
        <w:pStyle w:val="TtuloResolucin"/>
      </w:pPr>
      <w:r>
        <w:t>*Este auto no incorpora doctrina constitucional.</w:t>
      </w:r>
    </w:p>
    <w:p w:rsidR="006B7292" w:rsidRDefault="006B7292">
      <w:pPr>
        <w:spacing w:after="160" w:line="259" w:lineRule="auto"/>
        <w:rPr>
          <w:rFonts w:ascii="Times New Roman" w:eastAsia="Times New Roman" w:hAnsi="Times New Roman" w:cs="Times New Roman"/>
          <w:b/>
          <w:sz w:val="24"/>
          <w:szCs w:val="24"/>
          <w:lang w:eastAsia="es-ES"/>
        </w:rPr>
      </w:pPr>
      <w:r>
        <w:br w:type="page"/>
      </w:r>
    </w:p>
    <w:p w:rsidR="006B7292" w:rsidRDefault="006B7292" w:rsidP="006B7292">
      <w:pPr>
        <w:pStyle w:val="TtuloResolucin"/>
      </w:pPr>
      <w:bookmarkStart w:id="166" w:name="AUTO_2015_152"/>
      <w:r>
        <w:t>AUTO 152/2015, de 21 de septiembre de 2015</w:t>
      </w:r>
    </w:p>
    <w:bookmarkEnd w:id="166"/>
    <w:p w:rsidR="006B7292" w:rsidRDefault="006B7292" w:rsidP="006B7292">
      <w:pPr>
        <w:pStyle w:val="TtuloResolucin"/>
      </w:pPr>
      <w:r>
        <w:t>Sala Primera</w:t>
      </w:r>
    </w:p>
    <w:p w:rsidR="006B7292" w:rsidRDefault="006B7292" w:rsidP="006B7292">
      <w:pPr>
        <w:pStyle w:val="TextoNormalCentrado"/>
      </w:pPr>
      <w:r>
        <w:t>ECLI:ES:TC:2015:152A</w:t>
      </w:r>
    </w:p>
    <w:p w:rsidR="006B7292" w:rsidRDefault="006B7292" w:rsidP="006B7292">
      <w:pPr>
        <w:pStyle w:val="TextoNormalCentrado"/>
      </w:pPr>
    </w:p>
    <w:p w:rsidR="006B7292" w:rsidRDefault="006B7292" w:rsidP="006B7292">
      <w:pPr>
        <w:pStyle w:val="SntesisDescriptiva"/>
      </w:pPr>
      <w:r>
        <w:t>Excms. Srs. don Francisco Pérez de los Cobos Orihuel, doña Encarnación Roca Trías, don Andrés Ollero Tassara, don Santiago Martínez-Vares García y don Juan Antonio Xiol Ríos.</w:t>
      </w:r>
    </w:p>
    <w:p w:rsidR="006B7292" w:rsidRDefault="006B7292" w:rsidP="006B7292">
      <w:pPr>
        <w:pStyle w:val="SntesisDescriptiva"/>
      </w:pPr>
    </w:p>
    <w:p w:rsidR="006B7292" w:rsidRDefault="006B7292" w:rsidP="006B7292">
      <w:pPr>
        <w:pStyle w:val="TtuloResolucin"/>
      </w:pPr>
      <w:r>
        <w:t>*Este auto no incorpora doctrina constitucional.</w:t>
      </w:r>
    </w:p>
    <w:p w:rsidR="006B7292" w:rsidRDefault="006B7292">
      <w:pPr>
        <w:spacing w:after="160" w:line="259" w:lineRule="auto"/>
        <w:rPr>
          <w:rFonts w:ascii="Times New Roman" w:eastAsia="Times New Roman" w:hAnsi="Times New Roman" w:cs="Times New Roman"/>
          <w:b/>
          <w:sz w:val="24"/>
          <w:szCs w:val="24"/>
          <w:lang w:eastAsia="es-ES"/>
        </w:rPr>
      </w:pPr>
      <w:r>
        <w:br w:type="page"/>
      </w:r>
    </w:p>
    <w:p w:rsidR="006B7292" w:rsidRDefault="006B7292" w:rsidP="006B7292">
      <w:pPr>
        <w:pStyle w:val="TtuloResolucin"/>
      </w:pPr>
      <w:bookmarkStart w:id="167" w:name="AUTO_2015_153"/>
      <w:r>
        <w:t>AUTO 153/2015, de 21 de septiembre de 2015</w:t>
      </w:r>
    </w:p>
    <w:bookmarkEnd w:id="167"/>
    <w:p w:rsidR="006B7292" w:rsidRDefault="006B7292" w:rsidP="006B7292">
      <w:pPr>
        <w:pStyle w:val="TtuloResolucin"/>
      </w:pPr>
      <w:r>
        <w:t>Sección Primera</w:t>
      </w:r>
    </w:p>
    <w:p w:rsidR="006B7292" w:rsidRDefault="006B7292" w:rsidP="006B7292">
      <w:pPr>
        <w:pStyle w:val="TextoNormalCentrado"/>
      </w:pPr>
      <w:r>
        <w:t>ECLI:ES:TC:2015:153A</w:t>
      </w:r>
    </w:p>
    <w:p w:rsidR="006B7292" w:rsidRDefault="006B7292" w:rsidP="006B7292">
      <w:pPr>
        <w:pStyle w:val="TextoNormalCentrado"/>
      </w:pPr>
    </w:p>
    <w:p w:rsidR="006B7292" w:rsidRDefault="006B7292" w:rsidP="006B7292">
      <w:pPr>
        <w:pStyle w:val="SntesisDescriptiva"/>
      </w:pPr>
      <w:r>
        <w:t>Excms. Srs. don Francisco Pérez de los Cobos Orihuel, doña Encarnación Roca Trías y don Juan Antonio Xiol Ríos.</w:t>
      </w:r>
    </w:p>
    <w:p w:rsidR="006B7292" w:rsidRDefault="006B7292" w:rsidP="006B7292">
      <w:pPr>
        <w:pStyle w:val="SntesisDescriptiva"/>
      </w:pPr>
    </w:p>
    <w:p w:rsidR="006B7292" w:rsidRDefault="006B7292" w:rsidP="006B7292">
      <w:pPr>
        <w:pStyle w:val="TtuloResolucin"/>
      </w:pPr>
      <w:r>
        <w:t>*Este auto no incorpora doctrina constitucional.</w:t>
      </w:r>
    </w:p>
    <w:p w:rsidR="006B7292" w:rsidRDefault="006B7292">
      <w:pPr>
        <w:spacing w:after="160" w:line="259" w:lineRule="auto"/>
        <w:rPr>
          <w:rFonts w:ascii="Times New Roman" w:eastAsia="Times New Roman" w:hAnsi="Times New Roman" w:cs="Times New Roman"/>
          <w:b/>
          <w:sz w:val="24"/>
          <w:szCs w:val="24"/>
          <w:lang w:eastAsia="es-ES"/>
        </w:rPr>
      </w:pPr>
      <w:r>
        <w:br w:type="page"/>
      </w:r>
    </w:p>
    <w:p w:rsidR="006B7292" w:rsidRDefault="006B7292" w:rsidP="006B7292">
      <w:pPr>
        <w:pStyle w:val="TtuloResolucin"/>
      </w:pPr>
      <w:bookmarkStart w:id="168" w:name="AUTO_2015_154"/>
      <w:r>
        <w:t>AUTO 154/2015, de 22 de septiembre de 2015</w:t>
      </w:r>
    </w:p>
    <w:bookmarkEnd w:id="168"/>
    <w:p w:rsidR="006B7292" w:rsidRDefault="006B7292" w:rsidP="006B7292">
      <w:pPr>
        <w:pStyle w:val="TtuloResolucin"/>
      </w:pPr>
      <w:r>
        <w:t>Pleno</w:t>
      </w:r>
    </w:p>
    <w:p w:rsidR="006B7292" w:rsidRDefault="006B7292" w:rsidP="006B7292">
      <w:pPr>
        <w:pStyle w:val="TextoNormalCentrado"/>
      </w:pPr>
      <w:r>
        <w:t>ECLI:ES:TC:2015:154A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Inadmite a trámite la cuestión de inconstitucionalidad 1339-2015, planteada por el Tribunal Superior de Justicia de Murcia en relación con el artículo 2 del Real Decreto-ley 20/2012, de 13 de julio, de medidas para garantizar la estabilidad presupuestaria y de fomento de la competitividad y el artículo 2.1 de la Ley de la Asamblea Regional de Murcia 9/2012, de 8 de noviembre, de adaptación de la normativa regional en materia de función pública.</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día 9 de marzo de 2015 tuvo entrada en el Registro General de este Tribunal escrito de la Sala de lo Social del Tribunal Superior de Justicia de Murcia, al que se acompaña, junto con el testimonio del procedimiento correspondiente, Auto de 17 de noviembre de 2014 por el que se plantea cuestión de inconstitucionalidad en relación con el art. 2 del Real Decreto-ley 20/2012, de 13 de julio, de medidas para garantizar la estabilidad presupuestaria y de fomento de la competitividad y con el art. 2.1 de la Ley 9/2012, de 8 de noviembre, de la Comunidad Autónoma de la Región de Murcia, de adaptación de la normativa regional en materia de función pública al Real Decreto-ley 20/2012, de 13 de julio, de medidas para garantizar la estabilidad presupuestaria y de fomento de la competitividad, por posible vulneración del art. 9.3 CE.</w:t>
      </w:r>
    </w:p>
    <w:p w:rsidR="006B7292" w:rsidRDefault="006B7292" w:rsidP="006B7292">
      <w:pPr>
        <w:pStyle w:val="TextoNormal"/>
      </w:pPr>
    </w:p>
    <w:p w:rsidR="006B7292" w:rsidRDefault="006B7292" w:rsidP="006B7292">
      <w:pPr>
        <w:pStyle w:val="TextoNormal"/>
      </w:pPr>
      <w:r>
        <w:t>El art. 2 del Real Decreto-ley 20/2012, relativo a la “paga extraordinaria del mes de diciembre de 2012 del personal del sector público”, establece lo siguiente:</w:t>
      </w:r>
    </w:p>
    <w:p w:rsidR="006B7292" w:rsidRDefault="006B7292" w:rsidP="006B7292">
      <w:pPr>
        <w:pStyle w:val="TextoNormal"/>
      </w:pPr>
    </w:p>
    <w:p w:rsidR="006B7292" w:rsidRDefault="006B7292" w:rsidP="006B7292">
      <w:pPr>
        <w:pStyle w:val="TextoNormal"/>
      </w:pPr>
      <w:r>
        <w:t>“1. En el año 2012 el personal del sector público definido en el artículo 22. Uno de la Ley 2/2012, de 29 de junio, de Presupuestos Generales del Estado, verá reducida sus retribuciones en las cuantías que corresponda percibir en el mes de diciembre como consecuencia de la supresión tanto de la paga extraordinaria como de la paga adicional de complemento específico o pagas adicionales equivalentes de dicho mes.</w:t>
      </w:r>
    </w:p>
    <w:p w:rsidR="006B7292" w:rsidRDefault="006B7292" w:rsidP="006B7292">
      <w:pPr>
        <w:pStyle w:val="TextoNormal"/>
      </w:pPr>
    </w:p>
    <w:p w:rsidR="006B7292" w:rsidRDefault="006B7292" w:rsidP="006B7292">
      <w:pPr>
        <w:pStyle w:val="TextoNormal"/>
      </w:pPr>
      <w:r>
        <w:t>2. Para hacer efectivo lo dispuesto en el apartado anterior, se adoptarán las siguientes medidas:</w:t>
      </w:r>
    </w:p>
    <w:p w:rsidR="006B7292" w:rsidRDefault="006B7292" w:rsidP="006B7292">
      <w:pPr>
        <w:pStyle w:val="TextoNormal"/>
      </w:pPr>
    </w:p>
    <w:p w:rsidR="006B7292" w:rsidRDefault="006B7292" w:rsidP="006B7292">
      <w:pPr>
        <w:pStyle w:val="TextoNormal"/>
      </w:pPr>
      <w:r>
        <w:t>2.1 El personal funcionario no percibirá en el mes de diciembre las cantidades a que se refiere el artículo 22.Cinco.2 de la Ley 2/2012, de 29 de junio, de Presupuestos Generales del Estado para el año 2012 en concepto de sueldo y trienios.</w:t>
      </w:r>
    </w:p>
    <w:p w:rsidR="006B7292" w:rsidRDefault="006B7292" w:rsidP="006B7292">
      <w:pPr>
        <w:pStyle w:val="TextoNormal"/>
      </w:pPr>
    </w:p>
    <w:p w:rsidR="006B7292" w:rsidRDefault="006B7292" w:rsidP="006B7292">
      <w:pPr>
        <w:pStyle w:val="TextoNormal"/>
      </w:pPr>
      <w:r>
        <w:t>Tampoco se percibirá las cuantías correspondientes al resto de los conceptos retributivos que integran tanto la paga extraordinaria como la paga adicional de complemento específico o pagas adicionales equivalentes del mes de diciembre, pudiendo, en este caso, acordarse por cada Administración competente que dicha reducción se ejecute de forma prorrateada entre las nóminas pendientes de percibir en el presente ejercicio a partir de la entrada en vigor de este Real Decreto-ley.</w:t>
      </w:r>
    </w:p>
    <w:p w:rsidR="006B7292" w:rsidRDefault="006B7292" w:rsidP="006B7292">
      <w:pPr>
        <w:pStyle w:val="TextoNormal"/>
      </w:pPr>
    </w:p>
    <w:p w:rsidR="006B7292" w:rsidRDefault="006B7292" w:rsidP="006B7292">
      <w:pPr>
        <w:pStyle w:val="TextoNormal"/>
      </w:pPr>
      <w:r>
        <w:t>2.2 El personal laboral no percibirá las cantidades en concepto de gratificación extraordinaria con ocasión de las fiestas de Navidad o paga extraordinaria o equivalente del mes de diciembre del año 2012. Esta reducción comprenderá la de todos los conceptos retributivos que forman parte de dicha paga de acuerdo con los convenios colectivos que resulten de aplicación.</w:t>
      </w:r>
    </w:p>
    <w:p w:rsidR="006B7292" w:rsidRDefault="006B7292" w:rsidP="006B7292">
      <w:pPr>
        <w:pStyle w:val="TextoNormal"/>
      </w:pPr>
    </w:p>
    <w:p w:rsidR="006B7292" w:rsidRDefault="006B7292" w:rsidP="006B7292">
      <w:pPr>
        <w:pStyle w:val="TextoNormal"/>
      </w:pPr>
      <w:r>
        <w:t>La aplicación directa de esta medida se realizará en la nómina del mes de diciembre de 2012, sin perjuicio de que pueda alterarse la distribución definitiva de la reducción en los ámbitos correspondientes mediante la negociación colectiva, pudiendo, en este caso, acordarse que dicha reducción se ejecute de forma prorrateada entre las nóminas pendientes de percibir en el presente ejercicio a partir de la entrada en vigor de este Real Decreto-ley.</w:t>
      </w:r>
    </w:p>
    <w:p w:rsidR="006B7292" w:rsidRDefault="006B7292" w:rsidP="006B7292">
      <w:pPr>
        <w:pStyle w:val="TextoNormal"/>
      </w:pPr>
    </w:p>
    <w:p w:rsidR="006B7292" w:rsidRDefault="006B7292" w:rsidP="006B7292">
      <w:pPr>
        <w:pStyle w:val="TextoNormal"/>
      </w:pPr>
      <w:r>
        <w:t>La reducción retributiva establecida en el apartado 1 de este artículo será también de aplicación al personal laboral de alta dirección, al personal con contrato mercantil y al no acogido a convenio colectivo que no tenga la consideración de alto cargo.</w:t>
      </w:r>
    </w:p>
    <w:p w:rsidR="006B7292" w:rsidRDefault="006B7292" w:rsidP="006B7292">
      <w:pPr>
        <w:pStyle w:val="TextoNormal"/>
      </w:pPr>
    </w:p>
    <w:p w:rsidR="006B7292" w:rsidRDefault="006B7292" w:rsidP="006B7292">
      <w:pPr>
        <w:pStyle w:val="TextoNormal"/>
      </w:pPr>
      <w:r>
        <w:t>3. La reducción retributiva contenida en los apartados anteriores será de aplicación, asimismo, al personal de las fundaciones del sector público y de los consorcios participados mayoritariamente por las Administraciones que integran el sector público, así como al del Banco de España y personal directivo y resto de personal de las mutuas de accidentes de trabajo y enfermedades profesionales de la Seguridad Social y de sus entidades y centros mancomunados.</w:t>
      </w:r>
    </w:p>
    <w:p w:rsidR="006B7292" w:rsidRDefault="006B7292" w:rsidP="006B7292">
      <w:pPr>
        <w:pStyle w:val="TextoNormal"/>
      </w:pPr>
    </w:p>
    <w:p w:rsidR="006B7292" w:rsidRDefault="006B7292" w:rsidP="006B7292">
      <w:pPr>
        <w:pStyle w:val="TextoNormal"/>
      </w:pPr>
      <w:r>
        <w:t>4. Las cantidades derivadas de la supresión de la paga extraordinaria y de las pagas adicionales de complemento específico o pagas adicionales equivalentes de acuerdo con lo dispuesto en este artículo se destinarán en ejercicios futuros a realizar aportaciones a planes de pensiones o contratos de seguro colectivo que incluyan la cobertura de la contingencia de jubilación, con sujeción a lo establecido en la Ley Orgánica 2/2012, de Estabilidad Presupuestaria y Sostenibilidad Financiera y en los términos y con el alcance que se determine en las correspondientes leyes de presupuestos.</w:t>
      </w:r>
    </w:p>
    <w:p w:rsidR="006B7292" w:rsidRDefault="006B7292" w:rsidP="006B7292">
      <w:pPr>
        <w:pStyle w:val="TextoNormal"/>
      </w:pPr>
    </w:p>
    <w:p w:rsidR="006B7292" w:rsidRDefault="006B7292" w:rsidP="006B7292">
      <w:pPr>
        <w:pStyle w:val="TextoNormal"/>
      </w:pPr>
      <w:r>
        <w:t>5. En aquellos casos en que no se contemple expresamente en su régimen retributivo la percepción de pagas extraordinarias o se perciban más de dos al año se reducirá una catorceava parte de las retribuciones totales anuales excluidos incentivos al rendimiento. Dicha reducción se prorrateará entre las nóminas pendientes de percibir en el presente ejercicio a partir de la entrada en vigor de este Real Decreto-ley.</w:t>
      </w:r>
    </w:p>
    <w:p w:rsidR="006B7292" w:rsidRDefault="006B7292" w:rsidP="006B7292">
      <w:pPr>
        <w:pStyle w:val="TextoNormal"/>
      </w:pPr>
    </w:p>
    <w:p w:rsidR="006B7292" w:rsidRDefault="006B7292" w:rsidP="006B7292">
      <w:pPr>
        <w:pStyle w:val="TextoNormal"/>
      </w:pPr>
      <w:r>
        <w:t>6. Lo dispuesto en los apartados anteriores no será de aplicación a aquellos empleados públicos cuyas retribuciones por jornada completa, excluidos incentivos al rendimiento, no alcancen en cómputo anual 1,5 veces el salario mínimo interprofesional establecido en el Real Decreto 1888/2011, de 30 de diciembre.</w:t>
      </w:r>
    </w:p>
    <w:p w:rsidR="006B7292" w:rsidRDefault="006B7292" w:rsidP="006B7292">
      <w:pPr>
        <w:pStyle w:val="TextoNormal"/>
      </w:pPr>
    </w:p>
    <w:p w:rsidR="006B7292" w:rsidRDefault="006B7292" w:rsidP="006B7292">
      <w:pPr>
        <w:pStyle w:val="TextoNormal"/>
      </w:pPr>
      <w:r>
        <w:t>7. El presente artículo tiene carácter básico dictándose al amparo de lo dispuesto en los artículos 149.1.13.ª y 156.1 de la Constitución.”</w:t>
      </w:r>
    </w:p>
    <w:p w:rsidR="006B7292" w:rsidRDefault="006B7292" w:rsidP="006B7292">
      <w:pPr>
        <w:pStyle w:val="TextoNormal"/>
      </w:pPr>
    </w:p>
    <w:p w:rsidR="006B7292" w:rsidRDefault="006B7292" w:rsidP="006B7292">
      <w:pPr>
        <w:pStyle w:val="TextoNormal"/>
      </w:pPr>
      <w:r>
        <w:t>Por su parte, el art. 2.1 de la Ley 9/2012, de 8 de noviembre, dispone:</w:t>
      </w:r>
    </w:p>
    <w:p w:rsidR="006B7292" w:rsidRDefault="006B7292" w:rsidP="006B7292">
      <w:pPr>
        <w:pStyle w:val="TextoNormal"/>
      </w:pPr>
    </w:p>
    <w:p w:rsidR="006B7292" w:rsidRDefault="006B7292" w:rsidP="006B7292">
      <w:pPr>
        <w:pStyle w:val="TextoNormal"/>
      </w:pPr>
      <w:r>
        <w:t>“En el año 2012 el personal al servicio del sector público regional definido en el artículo 22.1 de la Ley 6/2011, de 26 de diciembre, de Presupuestos Generales de la Comunidad Autónoma de la Región de Murcia para el ejercicio 2012, verá reducida sus retribuciones en las cuantías que corresponda percibir en el mes de diciembre, como consecuencia de la supresión tanto de la paga extraordinaria como de la paga adicional de complemento específico o pagas adicionales equivalentes de dicho mes.”</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de hecho del planteamiento de la presente cuestión de inconstitucionalidad son, sucintamente expuestos, los siguientes:</w:t>
      </w:r>
    </w:p>
    <w:p w:rsidR="006B7292" w:rsidRDefault="006B7292" w:rsidP="006B7292">
      <w:pPr>
        <w:pStyle w:val="TextoNormal"/>
      </w:pPr>
    </w:p>
    <w:p w:rsidR="006B7292" w:rsidRDefault="006B7292" w:rsidP="006B7292">
      <w:pPr>
        <w:pStyle w:val="TextoNormal"/>
      </w:pPr>
      <w:r>
        <w:t>a) La federación de servicios públicos del sindicato UGT de la Región de Murcia interpuso demanda de conflicto colectivo en relación con la decisión del Ayuntamiento de Alcantarilla de no abonar la paga extraordinaria del mes de diciembre de 2012 en aplicación del Real Decreto-ley 20/2012. En la demanda se solicita como pretensión principal que se reconozca el derecho de los afectados por el conflicto colectivo a la percepción de la paga extraordinaria de Navidad del año 2012, en la cuantía legalmente establecida y con carácter subsidiario, que se reconozca el derecho a percibir la parte proporcional de la paga extraordinaria de diciembre de 2012, del 1 de junio al 14 de julio, en el caso de que se entienda que su devengo es semestral.</w:t>
      </w:r>
    </w:p>
    <w:p w:rsidR="006B7292" w:rsidRDefault="006B7292" w:rsidP="006B7292">
      <w:pPr>
        <w:pStyle w:val="TextoNormal"/>
      </w:pPr>
    </w:p>
    <w:p w:rsidR="006B7292" w:rsidRDefault="006B7292" w:rsidP="006B7292">
      <w:pPr>
        <w:pStyle w:val="TextoNormal"/>
      </w:pPr>
      <w:r>
        <w:t>b) Por Sentencia de 3 de febrero de 2014, el Juzgado de lo Social núm. 2 de Murcia estimó la pretensión subsidiaria de la demanda y declaró el derecho del personal laboral del Ayuntamiento de Alcantarilla a percibir las cantidades correspondientes a la parte proporcional de la paga extraordinaria del mes de diciembre de 2012 por los servicios prestados en el período comprendido entre el 1 de junio y el 14 de julio de 2012. Frente a dicha resolución, la representación procesal del Ayuntamiento de Alcantarilla interpuso recurso de suplicación ante la Sala de lo Social del Tribunal Superior de Justicia de Murcia.</w:t>
      </w:r>
    </w:p>
    <w:p w:rsidR="006B7292" w:rsidRDefault="006B7292" w:rsidP="006B7292">
      <w:pPr>
        <w:pStyle w:val="TextoNormal"/>
      </w:pPr>
    </w:p>
    <w:p w:rsidR="006B7292" w:rsidRDefault="006B7292" w:rsidP="006B7292">
      <w:pPr>
        <w:pStyle w:val="TextoNormal"/>
      </w:pPr>
      <w:r>
        <w:t>c) El órgano judicial dictó el Auto de 17 de noviembre de 2014 planteando la cuestión de inconstitucionalidad en relación con el art. 2 del Real Decreto-ley 20/2012, de 13 de julio, y con el art. 2.1 de la Ley 9/2012, de 8 de noviembre.</w:t>
      </w:r>
    </w:p>
    <w:p w:rsidR="006B7292" w:rsidRDefault="006B7292" w:rsidP="006B7292">
      <w:pPr>
        <w:pStyle w:val="TextoNormal"/>
      </w:pPr>
    </w:p>
    <w:p w:rsidR="006B7292" w:rsidRDefault="006B7292" w:rsidP="006B7292">
      <w:pPr>
        <w:pStyle w:val="TextoNormal"/>
      </w:pPr>
      <w:r w:rsidRPr="006B7292">
        <w:rPr>
          <w:rStyle w:val="NumeroAFNegritaCaracter"/>
        </w:rPr>
        <w:t>3</w:t>
      </w:r>
      <w:r>
        <w:t>. El Auto fundamenta el planteamiento de la cuestión de inconstitucionalidad en las consideraciones que seguidamente, y de forma resumida, se indican:</w:t>
      </w:r>
    </w:p>
    <w:p w:rsidR="006B7292" w:rsidRDefault="006B7292" w:rsidP="006B7292">
      <w:pPr>
        <w:pStyle w:val="TextoNormal"/>
      </w:pPr>
    </w:p>
    <w:p w:rsidR="006B7292" w:rsidRDefault="006B7292" w:rsidP="006B7292">
      <w:pPr>
        <w:pStyle w:val="TextoNormal"/>
      </w:pPr>
      <w:r>
        <w:t>Tras hacer referencia al Real Decreto-ley 20/2012, de 13 de julio, de medidas para garantizar la estabilidad presupuestaria y de fomento de la competitividad, que entró en vigor el 15 de julio de 2012 y a la Ley 9/2012, de 8 de noviembre, de adaptación de la normativa regional en materia de función pública al Real Decreto-ley 20/2012, de 13 de julio, de medidas para garantizar la estabilidad presupuestaria y de fomento de la competitividad, el órgano judicial expone que la Sentencia recurrida resolvió reconocer a la parte demandante la parte devengada de la paga extraordinaria, pues no procedía descontar o detraer de la paga extraordinaria correspondiente a diciembre de 2012, la parte proporcional de la misma ya devengada al momento de la entrada en vigor de la citada norma, lo que ocurrió el 15 de julio de 2012, porque se trata de paga de devengo mensual. A ello añade que, de acuerdo con el art. 9.3 CE no cabe que la supresión opere de modo retroactivo sino sólo a partir del 15 de julio, teniendo en cuenta la doctrina jurisprudencial según la cual las pagas extras se devengan día a día y son salario diferido.</w:t>
      </w:r>
    </w:p>
    <w:p w:rsidR="006B7292" w:rsidRDefault="006B7292" w:rsidP="006B7292">
      <w:pPr>
        <w:pStyle w:val="TextoNormal"/>
      </w:pPr>
    </w:p>
    <w:p w:rsidR="006B7292" w:rsidRDefault="006B7292" w:rsidP="006B7292">
      <w:pPr>
        <w:pStyle w:val="TextoNormal"/>
      </w:pPr>
      <w:r>
        <w:t>Razona el órgano judicial que la paga extraordinaria tiene naturaleza salarial y que, conforme a la jurisprudencia del Tribunal Supremo, es de devengo diario y cobro aplazado. Entiende por ello que el derecho del trabajador a percibir la parte proporcional de la paga extraordinaria devengada y no pagada debe calificarse como derecho individual, habiendo establecido la doctrina del Tribunal Constitucional que los derechos a una retribución ya generada, aunque no haya sido percibida, son derechos individuales a los efectos del art. 9.3 CE (AATC 179/2011, de 13 de noviembre, y 8/2013, de 15 de enero).</w:t>
      </w:r>
    </w:p>
    <w:p w:rsidR="006B7292" w:rsidRDefault="006B7292" w:rsidP="006B7292">
      <w:pPr>
        <w:pStyle w:val="TextoNormal"/>
      </w:pPr>
    </w:p>
    <w:p w:rsidR="006B7292" w:rsidRDefault="006B7292" w:rsidP="006B7292">
      <w:pPr>
        <w:pStyle w:val="TextoNormal"/>
      </w:pPr>
      <w:r>
        <w:t>Considera el órgano judicial que los términos del art. 2 del Real Decreto-ley 20/2012 son claros en cuanto que viene a suprimir la percepción de la paga extraordinaria del mes de diciembre del año 2012 para el personal laboral del sector público, lo que, a su juicio, se confirma en el artículo 6, precepto que aclara dudas al afirmar que la supresión se refiere a todo el año 2012. Por ello considera que se confirma la naturaleza retroactiva de la supresión acordada por el artículo 2, que alcanza a las partes devengadas durante todo el año 2012.</w:t>
      </w:r>
    </w:p>
    <w:p w:rsidR="006B7292" w:rsidRDefault="006B7292" w:rsidP="006B7292">
      <w:pPr>
        <w:pStyle w:val="TextoNormal"/>
      </w:pPr>
    </w:p>
    <w:p w:rsidR="006B7292" w:rsidRDefault="006B7292" w:rsidP="006B7292">
      <w:pPr>
        <w:pStyle w:val="TextoNormal"/>
      </w:pPr>
      <w:r>
        <w:t>El Auto concluye señalando que “en atención a lo anteriormente expuesto … procede plantear la cuestión de inconstitucionalidad de los artículos 2 Real Decreto-ley 20/2012 y 2.1 de la Ley Autonómica 9/2012, por posible infracción de la prohibición de retroactividad de las normas restrictivas de derechos individuales que garantiza el artículo 9.3 de la CE y del principio de seguridad jurídica”.</w:t>
      </w:r>
    </w:p>
    <w:p w:rsidR="006B7292" w:rsidRDefault="006B7292" w:rsidP="006B7292">
      <w:pPr>
        <w:pStyle w:val="TextoNormal"/>
      </w:pPr>
    </w:p>
    <w:p w:rsidR="006B7292" w:rsidRDefault="006B7292" w:rsidP="006B7292">
      <w:pPr>
        <w:pStyle w:val="TextoNormal"/>
      </w:pPr>
      <w:r w:rsidRPr="006B7292">
        <w:rPr>
          <w:rStyle w:val="NumeroAFNegritaCaracter"/>
        </w:rPr>
        <w:t>4</w:t>
      </w:r>
      <w:r>
        <w:t>. Por diligencia de ordenación de la Secretaria de Justicia del Pleno, de fecha 12 de marzo de 2015, y al no constar en este asunto la resolución que establece el art. 35 de la Ley Orgánica del Tribunal Constitucional (LOTC), en relación con la pertinencia de plantear la cuestión de inconstitucionalidad, ni los escritos de alegaciones presentadas por las partes personadas y por el Ministerio Fiscal, se solicitó al Tribunal Superior de Justicia de Murcia copia de los documentos mencionados, o certificación sobre tal extremo.</w:t>
      </w:r>
    </w:p>
    <w:p w:rsidR="006B7292" w:rsidRDefault="006B7292" w:rsidP="006B7292">
      <w:pPr>
        <w:pStyle w:val="TextoNormal"/>
      </w:pPr>
    </w:p>
    <w:p w:rsidR="006B7292" w:rsidRDefault="006B7292" w:rsidP="006B7292">
      <w:pPr>
        <w:pStyle w:val="TextoNormal"/>
      </w:pPr>
      <w:r>
        <w:t>A dichos efectos, el 21 de abril de 2015 tuvo entrada en el Registro General de este Tribunal escrito del Secretario judicial de la Sala de lo Social del Tribunal Superior de Justicia de Murcia al que se acompaña certificación en la que se señala que “en el procedimiento de referencia no consta la presentación de escritos de alegaciones por las partes ni por el Ministerio Fiscal sobre la pertinencia de plantear cuestión de inconstitucionalidad”.</w:t>
      </w:r>
    </w:p>
    <w:p w:rsidR="006B7292" w:rsidRDefault="006B7292" w:rsidP="006B7292">
      <w:pPr>
        <w:pStyle w:val="TextoNormal"/>
      </w:pPr>
    </w:p>
    <w:p w:rsidR="006B7292" w:rsidRDefault="006B7292" w:rsidP="006B7292">
      <w:pPr>
        <w:pStyle w:val="TextoNormal"/>
      </w:pPr>
      <w:r>
        <w:t>Posteriormente, por diligencia de ordenación de la Secretaria de Justicia de Pleno, de fecha 30 de abril de 2015, se pone de manifiesto que no consta la resolución que establece el art. 35 LOTC, sobre la pertinencia de plantear cuestión de inconstitucionalidad por lo que se solicita se remita copia de dicha resolución así como su notificación a todas las partes personadas y al Ministerio Fiscal.</w:t>
      </w:r>
    </w:p>
    <w:p w:rsidR="006B7292" w:rsidRDefault="006B7292" w:rsidP="006B7292">
      <w:pPr>
        <w:pStyle w:val="TextoNormal"/>
      </w:pPr>
    </w:p>
    <w:p w:rsidR="006B7292" w:rsidRDefault="006B7292" w:rsidP="006B7292">
      <w:pPr>
        <w:pStyle w:val="TextoNormal"/>
      </w:pPr>
      <w:r>
        <w:t>Por certificación del Secretario judicial de la Sala de lo Social del Tribunal Superior de Justicia de Murcia, de 12 de mayo de 2015, se pone de manifiesto que “examinadas las actuaciones de referencia no consta en las mismas providencia o resolución por la que se haya abierto el trámite de audiencia a las partes conforme al art. 35 LOTC”.</w:t>
      </w:r>
    </w:p>
    <w:p w:rsidR="006B7292" w:rsidRDefault="006B7292" w:rsidP="006B7292">
      <w:pPr>
        <w:pStyle w:val="TextoNormal"/>
      </w:pPr>
    </w:p>
    <w:p w:rsidR="006B7292" w:rsidRDefault="006B7292" w:rsidP="006B7292">
      <w:pPr>
        <w:pStyle w:val="TextoNormal"/>
      </w:pPr>
      <w:r w:rsidRPr="006B7292">
        <w:rPr>
          <w:rStyle w:val="NumeroAFNegritaCaracter"/>
        </w:rPr>
        <w:t>5</w:t>
      </w:r>
      <w:r>
        <w:t>. Mediante providencia de 26 de mayo de 2015, la Sección Segunda de este Tribunal, en virtud del art. 37.1 LOTC, acordó oír al Fiscal General del Estado, al objeto de que, en el plazo de diez días, alegara lo que estimara oportuno en cuanto a la admisibilidad de la presente cuestión en relación con la falta de cumplimiento de los requisitos procesales (falta de cumplimiento del trámite de audiencia) y por si hubiese devenido notoriamente infundada.</w:t>
      </w:r>
    </w:p>
    <w:p w:rsidR="006B7292" w:rsidRDefault="006B7292" w:rsidP="006B7292">
      <w:pPr>
        <w:pStyle w:val="TextoNormal"/>
      </w:pPr>
    </w:p>
    <w:p w:rsidR="006B7292" w:rsidRDefault="006B7292" w:rsidP="006B7292">
      <w:pPr>
        <w:pStyle w:val="TextoNormal"/>
      </w:pPr>
      <w:r w:rsidRPr="006B7292">
        <w:rPr>
          <w:rStyle w:val="NumeroAFNegritaCaracter"/>
        </w:rPr>
        <w:t>6</w:t>
      </w:r>
      <w:r>
        <w:t>. El Fiscal General del Estado evacuó el trámite conferido mediante escrito registrado el 19 de junio de 2015, en el que interesa la inadmisión de la presente cuestión de inconstitucionalidad.</w:t>
      </w:r>
    </w:p>
    <w:p w:rsidR="006B7292" w:rsidRDefault="006B7292" w:rsidP="006B7292">
      <w:pPr>
        <w:pStyle w:val="TextoNormal"/>
      </w:pPr>
    </w:p>
    <w:p w:rsidR="006B7292" w:rsidRDefault="006B7292" w:rsidP="006B7292">
      <w:pPr>
        <w:pStyle w:val="TextoNormal"/>
      </w:pPr>
      <w:r>
        <w:t>El Ministerio Fiscal pone de manifiesto que según certificación expedida en fecha 12 de mayo de 2015 por la Sra. Secretaria del Tribunal Superior de Justicia de Murcia, examinadas las actuaciones del proceso subyacente y, en concreto, las correspondientes al recurso de suplicación “no consta en las mismas providencia o resolución por la que se haya abierto el trámite de audiencia a las partes conforme al art. 35 LOTC”.</w:t>
      </w:r>
    </w:p>
    <w:p w:rsidR="006B7292" w:rsidRDefault="006B7292" w:rsidP="006B7292">
      <w:pPr>
        <w:pStyle w:val="TextoNormal"/>
      </w:pPr>
    </w:p>
    <w:p w:rsidR="006B7292" w:rsidRDefault="006B7292" w:rsidP="006B7292">
      <w:pPr>
        <w:pStyle w:val="TextoNormal"/>
      </w:pPr>
      <w:r>
        <w:t>Afirma el Fiscal General del Estado que la jurisprudencia constitucional ha sido muy exigente con el cumplimiento de los requisitos legales del art. 35 LOTC por parte de los órganos judiciales en cuanto tal mandato deriva esencialmente de la necesidad de que tanto el Ministerio Fiscal como las partes personadas puedan identificar la norma objeto de control de constitucionalidad. Asimismo, pone de relieve que la facultad de plantear la cuestión de inconstitucionalidad corresponde en exclusiva al órgano judicial y que dicha facultad presupone que la proposición de tal objeto no se satisface con el mero enunciado de la existencia de una aparente contradicción normativa sino que exige la acabada formulación por parte del órgano jurisdiccional que, planteándose la duda de constitucionalidad en los exactos términos que el órgano judicial considere adecuados, la somete posteriormente al conocimiento en plazo común de todas las partes intervinientes para que por escrito ofrezcan su criterio referido estrictamente a los concretos extremos en que el órgano judicial la suscita.</w:t>
      </w:r>
    </w:p>
    <w:p w:rsidR="006B7292" w:rsidRDefault="006B7292" w:rsidP="006B7292">
      <w:pPr>
        <w:pStyle w:val="TextoNormal"/>
      </w:pPr>
    </w:p>
    <w:p w:rsidR="006B7292" w:rsidRDefault="006B7292" w:rsidP="006B7292">
      <w:pPr>
        <w:pStyle w:val="TextoNormal"/>
      </w:pPr>
      <w:r>
        <w:t xml:space="preserve">En este caso, señala el Ministerio Fiscal, la Sala de lo Social Tribunal Superior de Justicia de Murcia no efectúa dichas iniciales consideraciones mediante la oportuna resolución dictada en los términos exigidos por el art. 35.2 LOTC, tal y como pone de relieve la certificación expedida a la que anteriormente ha hecho referencia. En consecuencia, de acuerdo con lo afirmado en los AATC 221/2013, de 9 de octubre, FJ 5; 24/2013, de 29 de enero, FJ 3, y 266/2014, de 4 de noviembre, a su juicio no se cumple lo establecido en el art. 35.2 LOTC por lo que ha de resolverse la inadmisión </w:t>
      </w:r>
      <w:r w:rsidRPr="006B7292">
        <w:rPr>
          <w:i/>
        </w:rPr>
        <w:t>a limine</w:t>
      </w:r>
      <w:r>
        <w:t xml:space="preserve"> de la presente cuestión de inconstitucionalidad.</w:t>
      </w:r>
    </w:p>
    <w:p w:rsidR="006B7292" w:rsidRDefault="006B7292" w:rsidP="006B7292">
      <w:pPr>
        <w:pStyle w:val="TextoNormal"/>
      </w:pPr>
    </w:p>
    <w:p w:rsidR="006B7292" w:rsidRDefault="006B7292" w:rsidP="006B7292">
      <w:pPr>
        <w:pStyle w:val="TextoNormal"/>
      </w:pPr>
      <w:r>
        <w:t>En segundo lugar, afirma que, a tenor de lo dispuesto en STC 83/2015, de 30 abril, procede afirmar que la recuperación de la parte proporcional correspondiente a los primeros 44 días de la paga extra de diciembre de 2012, en virtud de lo establecido en la disposición adicional duodécima de la Ley 36/2014, de presupuestos generales del Estado para 2015, supone la satisfacción extraprocesal de la pretensión deducida en el proceso laboral sobre la que se articula el presente procedimiento. Por ello estima que, por ambas razones, ha de procederse a la inadmisión de la presente cuestión de inconstitucionalidad.</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La presente cuestión de inconstitucionalidad se plantea por la Sala de lo Social del Tribunal Superior de Justicia de Murcia, en relación con el art. 2 del Real Decreto-ley 20/2012, de 13 de julio, de medidas para garantizar la estabilidad presupuestaria y de fomento de la competitividad y con el art. 2.1 de la Ley 9/2012, de 8 de noviembre, de la Comunidad Autónoma de la Región de Murcia, de adaptación de la normativa regional en materia de función pública al Real Decreto-ley 20/2012, de 13 de julio, de medidas para garantizar la estabilidad presupuestaria y de fomento de la competitividad, por posible vulneración del art. 9.3 CE.</w:t>
      </w:r>
    </w:p>
    <w:p w:rsidR="006B7292" w:rsidRDefault="006B7292" w:rsidP="006B7292">
      <w:pPr>
        <w:pStyle w:val="TextoNormal"/>
      </w:pPr>
    </w:p>
    <w:p w:rsidR="006B7292" w:rsidRDefault="006B7292" w:rsidP="006B7292">
      <w:pPr>
        <w:pStyle w:val="TextoNormal"/>
      </w:pPr>
      <w:r>
        <w:t>El órgano judicial que promueve la cuestión considera, en síntesis, que el art. 2 del Real Decreto-ley 20/2012, de 13 de julio, suprime la percepción de la paga extraordinaria del mes de diciembre del año 2012 para el personal laboral del sector público, y que dicha supresión tiene naturaleza retroactiva ya que alcanza a derechos ya devengados a la fecha de entrada en vigor del Real Decreto-ley. Considera el órgano judicial que dicha regulación, atendiendo a la consolidada jurisprudencia según la cual las pagas extraordinarias son salario diferido que se devenga día a día, podría considerarse contraria al art. 9.3 CE, que garantiza la irretroactividad de las disposiciones restrictivas de derechos individuales y la seguridad jurídica.</w:t>
      </w:r>
    </w:p>
    <w:p w:rsidR="006B7292" w:rsidRDefault="006B7292" w:rsidP="006B7292">
      <w:pPr>
        <w:pStyle w:val="TextoNormal"/>
      </w:pPr>
    </w:p>
    <w:p w:rsidR="006B7292" w:rsidRDefault="006B7292" w:rsidP="006B7292">
      <w:pPr>
        <w:pStyle w:val="TextoNormal"/>
      </w:pPr>
      <w:r>
        <w:t>El Fiscal General del Estado ha apreciado el incumplimiento de los requisitos procesales para su promoción de acuerdo con el art. 35 de la Ley Orgánica del Tribunal Constitucional (LOTC) y ha planteado la posible satisfacción extraprocesal de la pretensión deducida en el proceso laboral sobre el que se articula el presente procedimiento.</w:t>
      </w:r>
    </w:p>
    <w:p w:rsidR="006B7292" w:rsidRDefault="006B7292" w:rsidP="006B7292">
      <w:pPr>
        <w:pStyle w:val="TextoNormal"/>
      </w:pPr>
    </w:p>
    <w:p w:rsidR="006B7292" w:rsidRDefault="006B7292" w:rsidP="006B7292">
      <w:pPr>
        <w:pStyle w:val="TextoNormal"/>
      </w:pPr>
      <w:r w:rsidRPr="006B7292">
        <w:rPr>
          <w:rStyle w:val="NumeroAFNegritaCaracter"/>
        </w:rPr>
        <w:t>2</w:t>
      </w:r>
      <w:r>
        <w:t>. El art. 37.1 LOTC establece que este Tribunal puede rechazar, en trámite de admisión, mediante Auto y sin otra audiencia que la del Fiscal General del Estado, la cuestión de inconstitucionalidad cuando faltaren las condiciones procesales o fuere notoriamente infundada la cuestión suscitada. Pues bien, el análisis de la presente cuestión de inconstitucionalidad pone de manifiesto que en la misma concurre el primer motivo de inadmisión, dado que no se ha cumplido el trámite de audiencia a las partes y al Ministerio Fiscal, previsto en el art. 35.2 LOTC.</w:t>
      </w:r>
    </w:p>
    <w:p w:rsidR="006B7292" w:rsidRDefault="006B7292" w:rsidP="006B7292">
      <w:pPr>
        <w:pStyle w:val="TextoNormal"/>
      </w:pPr>
    </w:p>
    <w:p w:rsidR="006B7292" w:rsidRDefault="006B7292" w:rsidP="006B7292">
      <w:pPr>
        <w:pStyle w:val="TextoNormal"/>
      </w:pPr>
      <w:r w:rsidRPr="006B7292">
        <w:rPr>
          <w:rStyle w:val="NumeroAFNegritaCaracter"/>
        </w:rPr>
        <w:t>3</w:t>
      </w:r>
      <w:r>
        <w:t>. En las actuaciones remitidas por el órgano judicial se advierte que no se ha cumplido el trámite de audiencia a las partes y al Ministerio Fiscal previsto en el art. 35 LOTC, cuyo apartado segundo dispone que “antes de adoptar mediante auto su decisión definitiva, el órgano judicial oirá a las partes y al Ministerio Fiscal para que en el plazo común e improrrogable de 10 días puedan alegar lo que deseen sobre la pertinencia de plantear la cuestión de inconstitucionalidad, o sobre el fondo de ésta”. Con esta forma de proceder se ha privado a las partes y al Ministerio Fiscal de la oportunidad de hacer llegar al órgano judicial su parecer acerca de la conveniencia de plantear la cuestión de inconstitucionalidad respecto del precepto cuestionado, vulnerando la reiterada doctrina de éste Tribunal, sobre la finalidad de la audiencia del art. 35.2 LOTC (ATC 56/2011, de 18 de mayo, FJ 2, entre otros).</w:t>
      </w:r>
    </w:p>
    <w:p w:rsidR="006B7292" w:rsidRDefault="006B7292" w:rsidP="006B7292">
      <w:pPr>
        <w:pStyle w:val="TextoNormal"/>
      </w:pPr>
    </w:p>
    <w:p w:rsidR="006B7292" w:rsidRDefault="006B7292" w:rsidP="006B7292">
      <w:pPr>
        <w:pStyle w:val="TextoNormal"/>
      </w:pPr>
      <w:r>
        <w:t>En efecto, mediante certificación del Secretario del Tribunal Superior de Justicia de Murcia se pone de manifiesto que “examinadas las actuaciones de referencia no consta en las mismas providencia o resolución por la que se haya abierto el trámite de audiencia a las partes conforme al art. 35 LOTC”.</w:t>
      </w:r>
    </w:p>
    <w:p w:rsidR="006B7292" w:rsidRDefault="006B7292" w:rsidP="006B7292">
      <w:pPr>
        <w:pStyle w:val="TextoNormal"/>
      </w:pPr>
    </w:p>
    <w:p w:rsidR="006B7292" w:rsidRDefault="006B7292" w:rsidP="006B7292">
      <w:pPr>
        <w:pStyle w:val="TextoNormal"/>
      </w:pPr>
      <w:r>
        <w:t>Al respecto ha de tenerse en cuenta que en STC 61/2013, de 14 de marzo, FJ 2, se afirmó que “es preciso comenzar recordando que el art. 35.2 LOTC exige del órgano judicial proponente que, antes de adoptar mediante Auto su decisión definitiva sobre el planteamiento de la cuestión, oiga a las partes y al Ministerio Fiscal para que ‘puedan alegar lo que deseen sobre la pertinencia de plantear la cuestión de inconstitucionalidad, o sobre el fondo de ésta’. Este trámite de audiencia tiene, según ha declarado este Tribunal, el doble objetivo de garantizar la audiencia de las partes y del Ministerio Fiscal ante una posible decisión judicial de tanta entidad como es el abrir un proceso de inconstitucionalidad y poner a disposición del Juez un medio que le permita conocer la opinión de los sujetos interesados con el fin de facilitar su reflexión sobre la conveniencia o no de proceder a la apertura de dicho proceso (STC 166/1986, de 19 de diciembre, FJ 4, y ATC 121/1998, de 21 de mayo, FJ 3), posibilitando, al mismo tiempo, que las alegaciones de las partes, incorporadas, cuando existan, a la documentación remitida al Tribunal Constitucional, puedan ser tenidas en cuenta por éste a fin de examinar tanto la viabilidad de la cuestión misma como el alcance del problema constitucional en ella planteado (ATC 108/1993, de 30 de marzo, FJ 2)”.</w:t>
      </w:r>
    </w:p>
    <w:p w:rsidR="006B7292" w:rsidRDefault="006B7292" w:rsidP="006B7292">
      <w:pPr>
        <w:pStyle w:val="TextoNormal"/>
      </w:pPr>
    </w:p>
    <w:p w:rsidR="006B7292" w:rsidRDefault="006B7292" w:rsidP="006B7292">
      <w:pPr>
        <w:pStyle w:val="TextoNormal"/>
      </w:pPr>
      <w:r>
        <w:t>En consecuencia, la traslación de la doctrina constitucional expuesta al presente procedimiento, en que, como se ha dicho, el órgano judicial no ha cumplido el trámite de audiencia a las partes y al Ministerio Fiscal, lleva a concluir que no se han cumplido las exigencias establecidas por el art. 35.2 LOTC. Por tal razón, procede inadmitir la cuestión de inconstitucionalidad planteada.</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Inadmitir a trámite la presente cuestión de inconstitucionalidad.</w:t>
      </w:r>
    </w:p>
    <w:p w:rsidR="006B7292" w:rsidRDefault="006B7292" w:rsidP="006B7292">
      <w:pPr>
        <w:pStyle w:val="TextoNormal"/>
      </w:pPr>
    </w:p>
    <w:p w:rsidR="006B7292" w:rsidRDefault="006B7292" w:rsidP="006B7292">
      <w:pPr>
        <w:pStyle w:val="TextoNormal"/>
      </w:pPr>
      <w:r>
        <w:t>Madrid, a veintidós de septiembre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69" w:name="AUTO_2015_155"/>
      <w:r>
        <w:t>AUTO 155/2015, de 22 de septiembre de 2015</w:t>
      </w:r>
    </w:p>
    <w:bookmarkEnd w:id="169"/>
    <w:p w:rsidR="006B7292" w:rsidRDefault="006B7292" w:rsidP="006B7292">
      <w:pPr>
        <w:pStyle w:val="TtuloResolucin"/>
      </w:pPr>
      <w:r>
        <w:t>Pleno</w:t>
      </w:r>
    </w:p>
    <w:p w:rsidR="006B7292" w:rsidRDefault="006B7292" w:rsidP="006B7292">
      <w:pPr>
        <w:pStyle w:val="TextoNormalCentrado"/>
      </w:pPr>
      <w:r>
        <w:t>ECLI:ES:TC:2015:155A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Inadmite a trámite la cuestión de inconstitucionalidad 2688-2015, planteada por el Juzgado de Primera Instancia e Instrucción núm. 7 de San Javier en relación con el artículo 1.1 de la Ley 1/2013, de 14 de mayo, de medidas para reforzar la protección a los deudores hipotecarios, reestructuración de deuda y alquiler social.</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día 12 de mayo de 2015 tuvo entrada en el Registro General de este Tribunal escrito del Juzgado de Primera Instancia núm. 7 de San Javier (Murcia), al que se acompaña, además del testimonio del correspondiente procedimiento, Auto de 30 de abril de 2015, por el que se acuerda plantear una cuestión de inconstitucionalidad respecto al art. 1.1 de la Ley 1/2013, de 14 de mayo, de medidas para reforzar la protección a los deudores hipotecarios, reestructuración de deuda y alquiler social, modificado por el art. 3 del Real Decreto-ley 1/2015, de 27 de febrero, de mecanismo de segunda oportunidad, reducción de carga financiera y otras medidas de orden social.</w:t>
      </w:r>
    </w:p>
    <w:p w:rsidR="006B7292" w:rsidRDefault="006B7292" w:rsidP="006B7292">
      <w:pPr>
        <w:pStyle w:val="TextoNormal"/>
      </w:pPr>
    </w:p>
    <w:p w:rsidR="006B7292" w:rsidRDefault="006B7292" w:rsidP="006B7292">
      <w:pPr>
        <w:pStyle w:val="TextoNormal"/>
      </w:pPr>
      <w:r>
        <w:t>El artículo cuestionado dispone lo siguiente:</w:t>
      </w:r>
    </w:p>
    <w:p w:rsidR="006B7292" w:rsidRDefault="006B7292" w:rsidP="006B7292">
      <w:pPr>
        <w:pStyle w:val="TextoNormal"/>
      </w:pPr>
    </w:p>
    <w:p w:rsidR="006B7292" w:rsidRDefault="006B7292" w:rsidP="006B7292">
      <w:pPr>
        <w:pStyle w:val="TextoNormal"/>
      </w:pPr>
      <w:r>
        <w:t>“Artículo 3. Modificación de la Ley 1/2013, de 14 de mayo, de medidas para reforzar la protección a los deudores hipotecarios, reestructuración de deuda y alquiler social</w:t>
      </w:r>
    </w:p>
    <w:p w:rsidR="006B7292" w:rsidRDefault="006B7292" w:rsidP="006B7292">
      <w:pPr>
        <w:pStyle w:val="TextoNormal"/>
      </w:pPr>
    </w:p>
    <w:p w:rsidR="006B7292" w:rsidRDefault="006B7292" w:rsidP="006B7292">
      <w:pPr>
        <w:pStyle w:val="TextoNormal"/>
      </w:pPr>
      <w:r>
        <w:t>Los apartados 1, 2 y 3 del artículo 1 de la Ley 1/2013, de 14 de mayo, de medidas para reforzar la protección a los deudores hipotecarios, reestructuración de deuda y alquiler social, quedan redactados como sigue:</w:t>
      </w:r>
    </w:p>
    <w:p w:rsidR="006B7292" w:rsidRDefault="006B7292" w:rsidP="006B7292">
      <w:pPr>
        <w:pStyle w:val="TextoNormal"/>
      </w:pPr>
    </w:p>
    <w:p w:rsidR="006B7292" w:rsidRDefault="006B7292" w:rsidP="006B7292">
      <w:pPr>
        <w:pStyle w:val="TextoNormal"/>
      </w:pPr>
      <w:r>
        <w:t>‘1. Hasta transcurridos cuatro años desde la entrada en vigor de esta Ley, no procederá el lanzamiento cuando en un proceso judicial o extrajudicial de ejecución hipotecaria se hubiera adjudicado al acreedor, o a persona que actúe por su cuenta, la vivienda habitual de personas que se encuentren en los supuestos de especial vulnerabilidad y en las circunstancias económicas previstas en este artículo.</w:t>
      </w:r>
    </w:p>
    <w:p w:rsidR="006B7292" w:rsidRDefault="006B7292" w:rsidP="006B7292">
      <w:pPr>
        <w:pStyle w:val="TextoNormal"/>
      </w:pPr>
    </w:p>
    <w:p w:rsidR="006B7292" w:rsidRDefault="006B7292" w:rsidP="006B7292">
      <w:pPr>
        <w:pStyle w:val="TextoNormal"/>
      </w:pPr>
      <w:r>
        <w:t>2. Los supuestos de especial vulnerabilidad a los que se refiere el apartado anterior son:</w:t>
      </w:r>
    </w:p>
    <w:p w:rsidR="006B7292" w:rsidRDefault="006B7292" w:rsidP="006B7292">
      <w:pPr>
        <w:pStyle w:val="TextoNormal"/>
      </w:pPr>
    </w:p>
    <w:p w:rsidR="006B7292" w:rsidRDefault="006B7292" w:rsidP="006B7292">
      <w:pPr>
        <w:pStyle w:val="TextoNormal"/>
      </w:pPr>
      <w:r>
        <w:t>a) Familia numerosa, de conformidad con la legislación vigente.</w:t>
      </w:r>
    </w:p>
    <w:p w:rsidR="006B7292" w:rsidRDefault="006B7292" w:rsidP="006B7292">
      <w:pPr>
        <w:pStyle w:val="TextoNormal"/>
      </w:pPr>
    </w:p>
    <w:p w:rsidR="006B7292" w:rsidRDefault="006B7292" w:rsidP="006B7292">
      <w:pPr>
        <w:pStyle w:val="TextoNormal"/>
      </w:pPr>
      <w:r>
        <w:t>b) Unidad familiar monoparental con dos hijos a cargo.</w:t>
      </w:r>
    </w:p>
    <w:p w:rsidR="006B7292" w:rsidRDefault="006B7292" w:rsidP="006B7292">
      <w:pPr>
        <w:pStyle w:val="TextoNormal"/>
      </w:pPr>
    </w:p>
    <w:p w:rsidR="006B7292" w:rsidRDefault="006B7292" w:rsidP="006B7292">
      <w:pPr>
        <w:pStyle w:val="TextoNormal"/>
      </w:pPr>
      <w:r>
        <w:t>c) Unidad familiar de la que forme parte un menor de tres años.</w:t>
      </w:r>
    </w:p>
    <w:p w:rsidR="006B7292" w:rsidRDefault="006B7292" w:rsidP="006B7292">
      <w:pPr>
        <w:pStyle w:val="TextoNormal"/>
      </w:pPr>
    </w:p>
    <w:p w:rsidR="006B7292" w:rsidRDefault="006B7292" w:rsidP="006B7292">
      <w:pPr>
        <w:pStyle w:val="TextoNormal"/>
      </w:pPr>
      <w:r>
        <w:t>d) Unidad familiar en la que alguno de sus miembros tenga declarada discapacidad superior al 33 por ciento, situación de dependencia o enfermedad que le incapacite acreditadamente de forma permanente para realizar una actividad laboral.</w:t>
      </w:r>
    </w:p>
    <w:p w:rsidR="006B7292" w:rsidRDefault="006B7292" w:rsidP="006B7292">
      <w:pPr>
        <w:pStyle w:val="TextoNormal"/>
      </w:pPr>
    </w:p>
    <w:p w:rsidR="006B7292" w:rsidRDefault="006B7292" w:rsidP="006B7292">
      <w:pPr>
        <w:pStyle w:val="TextoNormal"/>
      </w:pPr>
      <w:r>
        <w:t>e) Unidad familiar en la que el deudor hipotecario se encuentre en situación de desempleo y haya agotado las prestaciones por desempleo.</w:t>
      </w:r>
    </w:p>
    <w:p w:rsidR="006B7292" w:rsidRDefault="006B7292" w:rsidP="006B7292">
      <w:pPr>
        <w:pStyle w:val="TextoNormal"/>
      </w:pPr>
    </w:p>
    <w:p w:rsidR="006B7292" w:rsidRDefault="006B7292" w:rsidP="006B7292">
      <w:pPr>
        <w:pStyle w:val="TextoNormal"/>
      </w:pPr>
      <w:r>
        <w:t>f) Unidad familiar con la que convivan, en la misma vivienda, una o más personas que estén unidas con el titular de la hipoteca o su cónyuge por vínculo de parentesco hasta el tercer grado de consanguinidad o afinidad, y que se encuentren en situación personal de discapacidad, dependencia, enfermedad grave que les incapacite acreditadamente de forma temporal o permanente para realizar una actividad laboral.</w:t>
      </w:r>
    </w:p>
    <w:p w:rsidR="006B7292" w:rsidRDefault="006B7292" w:rsidP="006B7292">
      <w:pPr>
        <w:pStyle w:val="TextoNormal"/>
      </w:pPr>
    </w:p>
    <w:p w:rsidR="006B7292" w:rsidRDefault="006B7292" w:rsidP="006B7292">
      <w:pPr>
        <w:pStyle w:val="TextoNormal"/>
      </w:pPr>
      <w:r>
        <w:t>g) Unidad familiar en que exista una víctima de violencia de género, conforme a lo establecido en la legislación vigente, en el caso de que la vivienda objeto de lanzamiento constituya su domicilio habitual.</w:t>
      </w:r>
    </w:p>
    <w:p w:rsidR="006B7292" w:rsidRDefault="006B7292" w:rsidP="006B7292">
      <w:pPr>
        <w:pStyle w:val="TextoNormal"/>
      </w:pPr>
    </w:p>
    <w:p w:rsidR="006B7292" w:rsidRDefault="006B7292" w:rsidP="006B7292">
      <w:pPr>
        <w:pStyle w:val="TextoNormal"/>
      </w:pPr>
      <w:r>
        <w:t>h) El deudor mayor de 60 años’.</w:t>
      </w:r>
    </w:p>
    <w:p w:rsidR="006B7292" w:rsidRDefault="006B7292" w:rsidP="006B7292">
      <w:pPr>
        <w:pStyle w:val="TextoNormal"/>
      </w:pPr>
    </w:p>
    <w:p w:rsidR="006B7292" w:rsidRDefault="006B7292" w:rsidP="006B7292">
      <w:pPr>
        <w:pStyle w:val="TextoNormal"/>
      </w:pPr>
      <w:r>
        <w:t>3. Para que sea de aplicación lo previsto en el apartado 1 deberán concurrir, además de los supuestos de especial vulnerabilidad previstos en el apartado anterior, las circunstancias económicas siguientes:</w:t>
      </w:r>
    </w:p>
    <w:p w:rsidR="006B7292" w:rsidRDefault="006B7292" w:rsidP="006B7292">
      <w:pPr>
        <w:pStyle w:val="TextoNormal"/>
      </w:pPr>
    </w:p>
    <w:p w:rsidR="006B7292" w:rsidRDefault="006B7292" w:rsidP="006B7292">
      <w:pPr>
        <w:pStyle w:val="TextoNormal"/>
      </w:pPr>
      <w:r>
        <w:t>a) Que el conjunto de los ingresos de los miembros de la unidad familiar no supere el límite de tres veces el Indicador Público de Renta de Efectos Múltiples anual de catorce pagas. Dicho límite será de cuatro veces el Indicador Público de Renta de Efectos Múltiples anual de catorce pagas en los supuestos previstos en las letras d) y f) del apartado anterior, y de cinco veces dicho indicador en el caso de que el ejecutado sea persona con parálisis cerebral, con enfermedad mental o con discapacidad intelectual, con un grado de discapacidad reconocido igual o superior al 33 por ciento, o persona con discapacidad física o sensorial, con un grado de discapacidad reconocido igual o superior al 65 por ciento, así como en los casos de enfermedad grave que incapacite acreditadamente, a la persona o a su cuidador, para realizar una actividad laboral.</w:t>
      </w:r>
    </w:p>
    <w:p w:rsidR="006B7292" w:rsidRDefault="006B7292" w:rsidP="006B7292">
      <w:pPr>
        <w:pStyle w:val="TextoNormal"/>
      </w:pPr>
    </w:p>
    <w:p w:rsidR="006B7292" w:rsidRDefault="006B7292" w:rsidP="006B7292">
      <w:pPr>
        <w:pStyle w:val="TextoNormal"/>
      </w:pPr>
      <w:r>
        <w:t>b) Que, en los cuatro años anteriores al momento de la solicitud, la unidad familiar haya sufrido una alteración significativa de sus circunstancias económicas, en términos de esfuerzo de acceso a la vivienda.</w:t>
      </w:r>
    </w:p>
    <w:p w:rsidR="006B7292" w:rsidRDefault="006B7292" w:rsidP="006B7292">
      <w:pPr>
        <w:pStyle w:val="TextoNormal"/>
      </w:pPr>
    </w:p>
    <w:p w:rsidR="006B7292" w:rsidRDefault="006B7292" w:rsidP="006B7292">
      <w:pPr>
        <w:pStyle w:val="TextoNormal"/>
      </w:pPr>
      <w:r>
        <w:t>c) Que la cuota hipotecaria resulte superior al 50 por cien de los ingresos netos que perciba el conjunto de los miembros de la unidad familiar.</w:t>
      </w:r>
    </w:p>
    <w:p w:rsidR="006B7292" w:rsidRDefault="006B7292" w:rsidP="006B7292">
      <w:pPr>
        <w:pStyle w:val="TextoNormal"/>
      </w:pPr>
    </w:p>
    <w:p w:rsidR="006B7292" w:rsidRDefault="006B7292" w:rsidP="006B7292">
      <w:pPr>
        <w:pStyle w:val="TextoNormal"/>
      </w:pPr>
      <w:r>
        <w:t>d) Que se trate de un crédito o préstamo garantizado con hipoteca que recaiga sobre la única vivienda en propiedad del deudor y concedido para la adquisición de la misma.”</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de hecho de la presente cuestión de inconstitucionalidad son, en síntesis, los siguientes:</w:t>
      </w:r>
    </w:p>
    <w:p w:rsidR="006B7292" w:rsidRDefault="006B7292" w:rsidP="006B7292">
      <w:pPr>
        <w:pStyle w:val="TextoNormal"/>
      </w:pPr>
    </w:p>
    <w:p w:rsidR="006B7292" w:rsidRDefault="006B7292" w:rsidP="006B7292">
      <w:pPr>
        <w:pStyle w:val="TextoNormal"/>
      </w:pPr>
      <w:r>
        <w:t>a) La entidad bancaria Cajamar Caja Rural, Sociedad Cooperativa de Crédito, interpuso demanda de ejecución hipotecaria contra la deudora doña Wilma Laurita Jima Torres y sus avalistas don Jorge Eduardo Arévalo Honores y doña Jenny del Rocío Jima Torres. El Juzgado de Primera Instancia e Instrucción núm. 7 de San Javier (Murcia), dictó Auto de 14 de noviembre de 2012, despachando ejecución y ordenando requerir al ejecutado de pago, a fin de que efectuara el pago de las cantidades reclamadas.</w:t>
      </w:r>
    </w:p>
    <w:p w:rsidR="006B7292" w:rsidRDefault="006B7292" w:rsidP="006B7292">
      <w:pPr>
        <w:pStyle w:val="TextoNormal"/>
      </w:pPr>
    </w:p>
    <w:p w:rsidR="006B7292" w:rsidRDefault="006B7292" w:rsidP="006B7292">
      <w:pPr>
        <w:pStyle w:val="TextoNormal"/>
      </w:pPr>
      <w:r>
        <w:t>b) Seguido en todos sus trámites el procedimiento, con fecha de 2 de diciembre de 2014, se dicta decreto de adjudicación de la vivienda hipotecada a favor de la entidad ejecutante.</w:t>
      </w:r>
    </w:p>
    <w:p w:rsidR="006B7292" w:rsidRDefault="006B7292" w:rsidP="006B7292">
      <w:pPr>
        <w:pStyle w:val="TextoNormal"/>
      </w:pPr>
    </w:p>
    <w:p w:rsidR="006B7292" w:rsidRDefault="006B7292" w:rsidP="006B7292">
      <w:pPr>
        <w:pStyle w:val="TextoNormal"/>
      </w:pPr>
      <w:r>
        <w:t>c) Con fecha de 15 de abril de 2015, la deudora ejecutada presentó escrito solicitando la aplicación de las medidas previstas en el art. 1 de la Ley 1/2013, de 14 de mayo, de medidas para reforzar la protección a los deudores hipotecarios, reestructuración de deuda y alquiler social, modificado por el art. 3 del Real Decreto-ley 1/2015, de 27 de febrero, de mecanismo de segunda oportunidad, reducción de carga financiera y otras medidas de orden social, norma vigente y aplicable en el momento de presentación del citado escrito. En consecuencia, solicitaba que se procediese a la suspensión del lanzamiento durante un periodo de cuatro años, dado que, en principio, se cumplían los requisitos legales exigidos para ello: la vivienda se había adjudicado al acreedor y la familia que habitaba la vivienda hipotecada se encontraba dentro de los supuestos de especial vulnerabilidad definidos en los apartados 2 a 4 del artículo 1.</w:t>
      </w:r>
    </w:p>
    <w:p w:rsidR="006B7292" w:rsidRDefault="006B7292" w:rsidP="006B7292">
      <w:pPr>
        <w:pStyle w:val="TextoNormal"/>
      </w:pPr>
    </w:p>
    <w:p w:rsidR="006B7292" w:rsidRDefault="006B7292" w:rsidP="006B7292">
      <w:pPr>
        <w:pStyle w:val="TextoNormal"/>
      </w:pPr>
      <w:r>
        <w:t>d) Concluso el procedimiento y dentro del plazo para dictar Sentencia, el órgano judicial dictó de oficio providencia, de 15 de abril de 2015, por la que acordó oír a las partes y al Ministerio Fiscal para que alegasen sobre la pertinencia de plantear cuestión de inconstitucionalidad en relación con el art. 1.1 de la Ley 1/2013, de 14 de mayo, de medidas para reforzar la protección a los deudores hipotecarios, reestructuración de deuda y alquiler social, modificado por el art. 3 del Real Decreto-ley 1/2015, de 27 de febrero, de mecanismo de segunda oportunidad, reducción de carga financiera y otras medidas de orden social, por considerar que podría vulnerar lo dispuesto en los arts. 1 y 14 CE. En el plazo previsto, ambas partes presentaron sus alegaciones. Así la entidad ejecutante se opuso por entender que ninguna vulneración constitucional se puede apreciar en la norma, dado que posee una naturaleza excepcional, además de limitar proporcionalmente los casos en que procede la suspensión del lanzamiento. Sostiene que no es igual la posición de fortaleza económica de las entidades bancarias adjudicatarias que la de las personas físicas que acuden a la subasta con el fin de adquirir el inmueble subastado. Por su parte, la deudora hipotecaria, mostró igualmente su disconformidad con el planteamiento de la cuestión de inconstitucionalidad, al entender que no sería el caso planteado por ser el adjudicatario la entidad ejecutante y no un tercero. El Ministerio Fiscal, por escrito de 30 de abril de 2015, tan sólo hizo constar su no oposición al planteamiento de la cuestión.</w:t>
      </w:r>
    </w:p>
    <w:p w:rsidR="006B7292" w:rsidRDefault="006B7292" w:rsidP="006B7292">
      <w:pPr>
        <w:pStyle w:val="TextoNormal"/>
      </w:pPr>
    </w:p>
    <w:p w:rsidR="006B7292" w:rsidRDefault="006B7292" w:rsidP="006B7292">
      <w:pPr>
        <w:pStyle w:val="TextoNormal"/>
      </w:pPr>
      <w:r>
        <w:t>e) El órgano judicial dictó Auto de 30 de abril de 2015 planteando la cuestión de inconstitucionalidad en relación con el art. 1.1 de la Ley 1/2013, de 14 de mayo, de medidas para reforzar la protección a los deudores hipotecarios, reestructuración de deuda y alquiler social, modificado por el art. 3 del Real Decreto-ley 1/2015, de 27 de febrero, de mecanismo de segunda oportunidad, reducción de carga financiera y otras medidas de orden social.</w:t>
      </w:r>
    </w:p>
    <w:p w:rsidR="006B7292" w:rsidRDefault="006B7292" w:rsidP="006B7292">
      <w:pPr>
        <w:pStyle w:val="TextoNormal"/>
      </w:pPr>
    </w:p>
    <w:p w:rsidR="006B7292" w:rsidRDefault="006B7292" w:rsidP="006B7292">
      <w:pPr>
        <w:pStyle w:val="TextoNormal"/>
      </w:pPr>
      <w:r w:rsidRPr="006B7292">
        <w:rPr>
          <w:rStyle w:val="NumeroAFNegritaCaracter"/>
        </w:rPr>
        <w:t>3</w:t>
      </w:r>
      <w:r>
        <w:t xml:space="preserve">. En la fundamentación del Auto de planteamiento se señalan de forma muy sucinta los antecedentes de la cuestión, tras lo cual se pone de manifiesto que para decidir sobre la pretensión del proceso </w:t>
      </w:r>
      <w:r w:rsidRPr="006B7292">
        <w:rPr>
          <w:i/>
        </w:rPr>
        <w:t>a quo</w:t>
      </w:r>
      <w:r>
        <w:t xml:space="preserve"> —la solicitud por parte de la deudora hipotecaria de la suspensión del lanzamiento— debe aplicarse el art. 1 de la Ley 1/2013, modificado por el art. 3 del Real Decreto-ley 1/2015, de 27 de febrero, de mecanismo de segunda oportunidad, reducción de carga financiera y otras medidas de orden social, al ser el precepto que establece los supuestos en los que dicha suspensión puede ser acordada. El órgano judicial afirma tener dudas sobre el respeto de la norma al principio de igualdad contenido en los arts. 1 y 14 CE, pues entiende que la ley no hace depender la concesión de la suspensión de la ejecución sólo de la mayor o menor vulnerabilidad del solicitante, lo que entraría dentro de los parámetros de los arts. 1 y 14 CE, sino que también la hace depender de que la vivienda haya sido adjudicada en un proceso judicial o extrajudicial de ejecución hipotecaria al acreedor o a persona que actúe por su cuenta. De esta manera, si la vivienda de una familia que cumpla con los requisitos para la concesión de la suspensión previstos en el art. 1 de la Ley 1/2013, modificado por el art. 3 del Real Decreto-ley 1/2015, de 27 de febrero, es adjudicada a una persona física o jurídica diferente a la acreedora, dicha familia no podría acogerse a la suspensión del lanzamiento, a pesar de encontrarse en una situación idéntica, en cuanto a su especial vulnerabilidad, a la prevista en la norma cuestionada. También razona que se generaría desigualdad desde el punto de vista del adquirente del bien, pues si no es el acreedor hipotecario o persona que actúe por cuenta del mismo, podrá disfrutar del inmueble, pero si es el acreedor se verá privado de su uso durante cuatro años, sin que exista justificación suficiente para dicha diferencia de trato.</w:t>
      </w:r>
    </w:p>
    <w:p w:rsidR="006B7292" w:rsidRDefault="006B7292" w:rsidP="006B7292">
      <w:pPr>
        <w:pStyle w:val="TextoNormal"/>
      </w:pPr>
    </w:p>
    <w:p w:rsidR="006B7292" w:rsidRDefault="006B7292" w:rsidP="006B7292">
      <w:pPr>
        <w:pStyle w:val="TextoNormal"/>
      </w:pPr>
      <w:r w:rsidRPr="006B7292">
        <w:rPr>
          <w:rStyle w:val="NumeroAFNegritaCaracter"/>
        </w:rPr>
        <w:t>4</w:t>
      </w:r>
      <w:r>
        <w:t>. Mediante providencia de 23 de junio de 2015, la Sección Primera de este Tribunal acordó, a los efectos que determina el art. 37.1 de la Ley Orgánica del Tribunal Constitucional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006B7292" w:rsidRDefault="006B7292" w:rsidP="006B7292">
      <w:pPr>
        <w:pStyle w:val="TextoNormal"/>
      </w:pPr>
    </w:p>
    <w:p w:rsidR="006B7292" w:rsidRDefault="006B7292" w:rsidP="006B7292">
      <w:pPr>
        <w:pStyle w:val="TextoNormal"/>
      </w:pPr>
      <w:r w:rsidRPr="006B7292">
        <w:rPr>
          <w:rStyle w:val="NumeroAFNegritaCaracter"/>
        </w:rPr>
        <w:t>5</w:t>
      </w:r>
      <w:r>
        <w:t>. El Fiscal General del Estado evacuó el trámite conferido mediante escrito registrado el 30 de julio de 2015. Considera que la cuestión de inconstitucionalidad es inadmisible alegando en síntesis lo siguiente:</w:t>
      </w:r>
    </w:p>
    <w:p w:rsidR="006B7292" w:rsidRDefault="006B7292" w:rsidP="006B7292">
      <w:pPr>
        <w:pStyle w:val="TextoNormal"/>
      </w:pPr>
    </w:p>
    <w:p w:rsidR="006B7292" w:rsidRDefault="006B7292" w:rsidP="006B7292">
      <w:pPr>
        <w:pStyle w:val="TextoNormal"/>
      </w:pPr>
      <w:r>
        <w:t xml:space="preserve">a) Una vez identificado, </w:t>
      </w:r>
      <w:r w:rsidRPr="006B7292">
        <w:rPr>
          <w:i/>
        </w:rPr>
        <w:t>prima facie</w:t>
      </w:r>
      <w:r>
        <w:t>, el precepto legal cuestionado y el contexto legislativo en el que fue aprobado, parte el Fiscal de que la presente cuestión de inconstitucionalidad es idéntica a otras anteriores planteadas por el mismo órgano judicial que este Tribunal inadmitió por AATC 221/2014, de 9 de septiembre, y 74/2015, de 28 de abril, y que su falta de relevancia apreciada por el Tribunal en las referidas resoluciones concurren también en la presente cuestión de inconstitucionalidad.</w:t>
      </w:r>
    </w:p>
    <w:p w:rsidR="006B7292" w:rsidRDefault="006B7292" w:rsidP="006B7292">
      <w:pPr>
        <w:pStyle w:val="TextoNormal"/>
      </w:pPr>
    </w:p>
    <w:p w:rsidR="006B7292" w:rsidRDefault="006B7292" w:rsidP="006B7292">
      <w:pPr>
        <w:pStyle w:val="TextoNormal"/>
      </w:pPr>
      <w:r>
        <w:t xml:space="preserve">Admite el Fiscal que, la providencia de 15 de abril de 2015 del Juzgado de Primera Instancia e Instrucción núm. 7 de San Javier identifica formalmente, tanto el precepto legal cuestionado, como los preceptos constitucionales que se estiman vulnerados, con mención expresa de los arts. 1 y 14 CE, así como que la norma cuestionada resulta de aplicación al proceso </w:t>
      </w:r>
      <w:r w:rsidRPr="006B7292">
        <w:rPr>
          <w:i/>
        </w:rPr>
        <w:t>a quo</w:t>
      </w:r>
      <w:r>
        <w:t xml:space="preserve"> (art. 35 LOTC), por cuanto la ejecutada ha solicitado acogerse a la suspensión del lanzamiento de su vivienda por un periodo de cuatro años, conforme a lo previsto en el art. 1 de la Ley 1/2013, de 14 de mayo, en su redacción dada por el art. 3 del Real Decreto-ley 1/2015, de 27 de febrero, alegando encontrarse en una situación de especial vulnerabilidad. Por tanto, estima cumplido correctamente el juicio de aplicabilidad exigido por la doctrina constitucional (SSTC 221/21014, de 9 de septiembre, FJ 3, y 74/2015, de 28 de abril, FJ 3).</w:t>
      </w:r>
    </w:p>
    <w:p w:rsidR="006B7292" w:rsidRDefault="006B7292" w:rsidP="006B7292">
      <w:pPr>
        <w:pStyle w:val="TextoNormal"/>
      </w:pPr>
    </w:p>
    <w:p w:rsidR="006B7292" w:rsidRDefault="006B7292" w:rsidP="006B7292">
      <w:pPr>
        <w:pStyle w:val="TextoNormal"/>
      </w:pPr>
      <w:r>
        <w:t>b) Se señala seguidamente que, pese a que el juicio de aplicabilidad exigido por la doctrina constitucional ha de considerarse también cumplido, no ocurre igual con el juicio de relevancia, pues los términos en los que el órgano judicial plantea su duda de constitucionalidad carecen de toda vinculación con el objeto del proceso, lo que desnaturaliza el carácter concreto del control de constitucionalidad propio de toda cuestión de inconstitucionalidad (ATC 221/2014, de 9 de septiembre, FJ 3). El razonamiento del órgano judicial consiste fundamentalmente en entender que “si el objeto de la ley es la protección de las familias en situación de especial vulnerabilidad, no encuentra encaje constitucional una diferencia de trato no basado en las circunstancias de las familias sino en la persona física o jurídica que finalmente adquiere el bien”. Pues bien, tal argumentación aparecería en opinión del Fiscal totalmente desconectada de las circunstancias concurrentes del caso sometido a enjuiciamiento, ya que en ningún momento del proceso se discutió si la entidad bancaria adjudicataria de la vivienda tenía o no la condición de acreedor o actuaba o no por cuenta de este último. Todo lo contrario, la condición de acreedor de la parte ejecutante resulta plenamente acreditada a la luz de la documentación aportada en la causa y tan siquiera el órgano judicial la discute como argumento para justificar su duda de constitucionalidad.</w:t>
      </w:r>
    </w:p>
    <w:p w:rsidR="006B7292" w:rsidRDefault="006B7292" w:rsidP="006B7292">
      <w:pPr>
        <w:pStyle w:val="TextoNormal"/>
      </w:pPr>
    </w:p>
    <w:p w:rsidR="006B7292" w:rsidRDefault="006B7292" w:rsidP="006B7292">
      <w:pPr>
        <w:pStyle w:val="TextoNormal"/>
      </w:pPr>
      <w:r>
        <w:t>En definitiva, se estima que la fundamentación de los motivos de inconstitucionalidad de la disposición cuestionada se ha llevado a cabo de un modo abstracto, sin conexión causal con las circunstancias concretas del proceso a quo, desnaturalizando, por tanto, el carácter concreto del control de constitucionalidad propio de toda cuestión de inconstitucionalidad y convirtiéndola en un juicio abstracto, desconectado del caso concreto sometido a enjuiciamiento, como se concluyó también en los AATC 221/2014, FJ 3, y 75/2015, de 28 de abril, FJ 3.</w:t>
      </w:r>
    </w:p>
    <w:p w:rsidR="006B7292" w:rsidRDefault="006B7292" w:rsidP="006B7292">
      <w:pPr>
        <w:pStyle w:val="TextoNormal"/>
      </w:pPr>
    </w:p>
    <w:p w:rsidR="006B7292" w:rsidRDefault="006B7292" w:rsidP="006B7292">
      <w:pPr>
        <w:pStyle w:val="TextoNormal"/>
      </w:pPr>
      <w:r>
        <w:t>Por las razones expuestas el Fiscal General del Estado concluye su escrito solicitando, conforme a lo previsto en el art. 37.1 LOTC, que se dicte resolución acordando la inadmisión de la presente cuestión de inconstitucionalidad.</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Juzgado de Primera Instancia e Instrucción núm. 7 de San Javier (Murcia) plantea cuestión de inconstitucionalidad respecto al art. 1.1 de la Ley 1/2013, de 14 de mayo, de medidas para reforzar la protección a los deudores hipotecarios, reestructuración de deuda y alquiler social, modificado por el art. 3 del Real Decreto-ley 1/2015, de 27 de febrero, de mecanismo de segunda oportunidad, reducción de carga financiera y otras medidas de orden social.</w:t>
      </w:r>
    </w:p>
    <w:p w:rsidR="006B7292" w:rsidRDefault="006B7292" w:rsidP="006B7292">
      <w:pPr>
        <w:pStyle w:val="TextoNormal"/>
      </w:pPr>
    </w:p>
    <w:p w:rsidR="006B7292" w:rsidRDefault="006B7292" w:rsidP="006B7292">
      <w:pPr>
        <w:pStyle w:val="TextoNormal"/>
      </w:pPr>
      <w:r>
        <w:t>Como resulta de la fundamentación del Auto de planteamiento de la cuestión, la duda de constitucionalidad del citado Juzgado reside en la posible vulneración de los arts. 1 y 14 CE. El Juzgado considera que la vulneración se produciría porque el art. 1 de la Ley 1/2013 exige para que pueda concederse al deudor hipotecario una moratoria de lanzamiento de la vivienda habitual, que la adjudicación de la vivienda en el procedimiento de ejecución se hubiera realizado a favor del acreedor o persona que actúe por su cuenta, en tanto que dicha moratoria no resulta posible si la adjudicación tiene lugar a favor de un tercero que no ostente esta condición. Tal distinción, a su juicio, no encuentra encaje constitucional, al carecer de toda justificación objetiva y razonable desde la perspectiva de la finalidad de protección de la norma de las unidades familiares especialmente vulnerables, pues la suspensión del lanzamiento no dependería de las concretas circunstancias de vulnerabilidad del ejecutado, sino de la condición de acreedor o no de la persona física o jurídica adjudicataria de la vivienda.</w:t>
      </w:r>
    </w:p>
    <w:p w:rsidR="006B7292" w:rsidRDefault="006B7292" w:rsidP="006B7292">
      <w:pPr>
        <w:pStyle w:val="TextoNormal"/>
      </w:pPr>
    </w:p>
    <w:p w:rsidR="006B7292" w:rsidRDefault="006B7292" w:rsidP="006B7292">
      <w:pPr>
        <w:pStyle w:val="TextoNormal"/>
      </w:pPr>
      <w:r>
        <w:t>El Fiscal General del Estado, en el trámite previsto en el art. 37.1 de la Ley Orgánica del Tribunal Constitucional (LOTC), se ha opuesto a la admisión de la presente cuestión de inconstitucionalidad por no haberse formulado adecuadamente el juicio de relevancia exigido por el art. 35 LOTC.</w:t>
      </w:r>
    </w:p>
    <w:p w:rsidR="006B7292" w:rsidRDefault="006B7292" w:rsidP="006B7292">
      <w:pPr>
        <w:pStyle w:val="TextoNormal"/>
      </w:pPr>
    </w:p>
    <w:p w:rsidR="006B7292" w:rsidRDefault="006B7292" w:rsidP="006B7292">
      <w:pPr>
        <w:pStyle w:val="TextoNormal"/>
      </w:pPr>
      <w:r w:rsidRPr="006B7292">
        <w:rPr>
          <w:rStyle w:val="NumeroAFNegritaCaracter"/>
        </w:rPr>
        <w:t>2</w:t>
      </w:r>
      <w:r>
        <w:t>. Conforme a lo dispuesto en el art. 37.1 LOTC, este Tribunal puede rechazar en trámite de admisión, mediante Auto y con la sola audiencia del Fiscal General del Estado, aquellas cuestiones de inconstitucionalidad que no cumplan los requisitos procesales o que fueren notoriamente infundadas.</w:t>
      </w:r>
    </w:p>
    <w:p w:rsidR="006B7292" w:rsidRDefault="006B7292" w:rsidP="006B7292">
      <w:pPr>
        <w:pStyle w:val="TextoNormal"/>
      </w:pPr>
    </w:p>
    <w:p w:rsidR="006B7292" w:rsidRDefault="006B7292" w:rsidP="006B7292">
      <w:pPr>
        <w:pStyle w:val="TextoNormal"/>
      </w:pPr>
      <w:r>
        <w:t>En el presente caso, como ha puesto de manifiesto el Fiscal General del Estado, el Auto de planteamiento no cumple el requisito que establece el art. 35.2 LOTC por el que se exige al órgano judicial especifique o justifique en qué medida la decisión del proceso depende de la validez de la norma en cuestión. De acuerdo con la doctrina constitucional (entre otros muchos, ATC 221/2014, de 9 de septiembre, FJ 3) mediante el juicio de relevancia el órgano judicial debe probar que el fallo en el proceso principal depende de la norma legal cuya constitucionalidad se cuestiona y que garantiza que el control de constitucionalidad no se convierta en un control abstracto, para lo que el órgano judicial no tiene legitimación (SSTC 84/2012, de 18 de abril, FJ 2; y 146/2012, de 54 de julio, FJ 3; y ATC 116/2014, de 8 de abril, FJ 3), pues “la cuestión de inconstitucionalidad no es un procedimiento dirigido a discutir en general y en abstracto normas con rango de ley en toda su extensión, función ésta que queda reservada por nuestra Constitución, principalmente, al recurso de inconstitucionalidad” (AATC 221/2014, de 9 de septiembre, FJ 3, y 243/2013, de 22 de octubre, FJ 3, entre otros).</w:t>
      </w:r>
    </w:p>
    <w:p w:rsidR="006B7292" w:rsidRDefault="006B7292" w:rsidP="006B7292">
      <w:pPr>
        <w:pStyle w:val="TextoNormal"/>
      </w:pPr>
    </w:p>
    <w:p w:rsidR="006B7292" w:rsidRDefault="006B7292" w:rsidP="006B7292">
      <w:pPr>
        <w:pStyle w:val="TextoNormal"/>
      </w:pPr>
      <w:r>
        <w:t>En el Auto del Juzgado de Primera Instancia e Instrucción núm. 7 de San Javier se afirma únicamente que el art. 1 de la Ley 1/2013, modificado por el art. 3 del Real Decreto-ley 1/2015, es “una norma de rango de ley aplicable al caso y de cuya validez depende el fallo, la decisión sobre si procede o no acordar la suspensión solicitada”. Esta afirmación, no permite entender cumplido este requisito procesal, pues, aunque este Tribunal, como regla general, es flexible en la apreciación de esta exigencia, en este caso nos encontramos ante un supuesto en el que es notorio que no existe esa necesaria interrelación entre la decisión del proceso y la validez de la norma cuestionada. Como ha puesto de manifiesto el Fiscal General del Estado, el órgano judicial ha planteado su duda de constitucionalidad en términos abstractos, sin tomar en consideración las circunstancias del caso que tiene que juzgar y por ello sin analizar si en ese caso concreto la aplicación de la norma conllevaría la lesión del principio de igualdad en la que el órgano judicial fundamenta el planteamiento de la cuestión.</w:t>
      </w:r>
    </w:p>
    <w:p w:rsidR="006B7292" w:rsidRDefault="006B7292" w:rsidP="006B7292">
      <w:pPr>
        <w:pStyle w:val="TextoNormal"/>
      </w:pPr>
    </w:p>
    <w:p w:rsidR="006B7292" w:rsidRDefault="006B7292" w:rsidP="006B7292">
      <w:pPr>
        <w:pStyle w:val="TextoNormal"/>
      </w:pPr>
      <w:r>
        <w:t>En efecto, como se ha indicado, el Juzgado considera que la norma cuestionada es contraria al principio de igualdad porque para que proceda suspender el lanzamiento en los procesos de ejecución hipotecaria, además de encontrarse el deudor en algunas de las situaciones de vulnerabilidad que regula el apartado segundo y reunir los requisitos económicos establecidos en el apartado tercero, es preciso que la vivienda haya sido adjudicada al acreedor o a la persona que actúe por su cuenta. Según se afirma en el Auto de planteamiento, esta última exigencia conlleva una diferencia de trato en relación con los supuestos en los que la vivienda es adjudicada a un tercero que no tiene la condición de acreedor que carece de justificación, pues, se entiende que hace depender la suspensión del lanzamiento, no de las condiciones de vulnerabilidad y económicas del deudor, que es a quien la norma pretende proteger, sino de la condición de acreedor o no del adjudicatario de la vivienda hipotecada.</w:t>
      </w:r>
    </w:p>
    <w:p w:rsidR="006B7292" w:rsidRDefault="006B7292" w:rsidP="006B7292">
      <w:pPr>
        <w:pStyle w:val="TextoNormal"/>
      </w:pPr>
    </w:p>
    <w:p w:rsidR="006B7292" w:rsidRDefault="006B7292" w:rsidP="006B7292">
      <w:pPr>
        <w:pStyle w:val="TextoNormal"/>
      </w:pPr>
      <w:r>
        <w:t>Tal circunstancia, sin embargo, no se ha plantado en el proceso que ha dado lugar al planteamiento de la cuestión, pues en ese proceso la vivienda fue adjudicada al acreedor hipotecario sin que durante la sustanciación del mismo ninguna de las partes cuestionara este extremo, tal y como pone de manifiesto el Fiscal General del Estado. En consecuencia, dados los términos en los que el órgano judicial plantea la duda de constitucionalidad, es manifiesto que el fallo del proceso no puede depender de la validez de la norma cuestionada, pues la inconstitucionalidad que se le imputa solo sería relevante si la misma no pudiera aplicarse por haberse adjudicado la vivienda hipotecada a quien no tuviera la condición de acreedor, lo que, como acaba de indicarse, no ha sucedido en el presente supuesto. Resulta, por tanto, que en el presente caso no solo el órgano judicial no ha exteriorizado debidamente el juicio de relevancia, sino que, además, es notorio que la decisión del proceso no depende de la validez de la norma.</w:t>
      </w:r>
    </w:p>
    <w:p w:rsidR="006B7292" w:rsidRDefault="006B7292" w:rsidP="006B7292">
      <w:pPr>
        <w:pStyle w:val="TextoNormal"/>
      </w:pPr>
    </w:p>
    <w:p w:rsidR="006B7292" w:rsidRDefault="006B7292" w:rsidP="006B7292">
      <w:pPr>
        <w:pStyle w:val="TextoNormal"/>
      </w:pPr>
      <w:r>
        <w:t>Debe tenerse en cuenta que, de acuerdo con la doctrina de este Tribunal, (entre otras muchas, STC 174/1998, de 23 de julio, FJ 1) “aunque se viene sosteniendo que es al órgano judicial que plantea la cuestión al que, en principio, corresponde comprobar la existencia del llamado juicio de relevancia, también se ha afirmado que esta regla debe ceder en los supuestos que ‘de manera notoria, sin necesidad de examinar el fondo debatido y en aplicación de principios jurídicos básicos se desprenda que dicho nexo causal no existe’ (STC 41/1990, en el mismo sentido SSTC 83/1984, 4/1988, 19/1988, 36/1991, 189/1991, 90/1994), ya que sólo de este modo es posible garantizar el control concreto de constitucionalidad que corresponde a la cuestión de inconstitucionalidad (STC 90/1994) y evitar que los órganos judiciales ‘puedan transferir al Tribunal Constitucional la decisión de litigios que pueden ser resueltos sin acudir a las facultades que este Tribunal tiene para excluir del ordenamiento las normas inconstitucionales’ (STC 6/1991)”.</w:t>
      </w:r>
    </w:p>
    <w:p w:rsidR="006B7292" w:rsidRDefault="006B7292" w:rsidP="006B7292">
      <w:pPr>
        <w:pStyle w:val="TextoNormal"/>
      </w:pPr>
    </w:p>
    <w:p w:rsidR="006B7292" w:rsidRDefault="006B7292" w:rsidP="006B7292">
      <w:pPr>
        <w:pStyle w:val="TextoNormal"/>
      </w:pPr>
      <w:r>
        <w:t xml:space="preserve">En el presente caso, tal y como se ha indicado, es patente que el fallo del proceso no depende de la validez de la norma cuestionada, pues, al haberse adjudicado la vivienda al acreedor, no concurre la circunstancia que según el Juez que plantea la cuestión determinaría su invalidez: que la vivienda se hubiera adjudicado a quien no tuviera la condición de acreedor, que es el supuesto en el que el fallo del proceso sí que dependería de la validez de la norma. De ahí que, como sostiene el Fiscal General del Estado, el Juzgado está cuestionando la validez de la norma de un modo abstracto, sin conexión con las circunstancias concretas del proceso </w:t>
      </w:r>
      <w:r w:rsidRPr="006B7292">
        <w:rPr>
          <w:i/>
        </w:rPr>
        <w:t>a quo</w:t>
      </w:r>
      <w:r>
        <w:t>, lo que excede del ámbito de este proceso constitucional, que ha efectuar un control concreto de constitucionalidad de las normas con rango de ley.</w:t>
      </w:r>
    </w:p>
    <w:p w:rsidR="006B7292" w:rsidRDefault="006B7292" w:rsidP="006B7292">
      <w:pPr>
        <w:pStyle w:val="TextoNormal"/>
      </w:pPr>
    </w:p>
    <w:p w:rsidR="006B7292" w:rsidRDefault="006B7292" w:rsidP="006B7292">
      <w:pPr>
        <w:pStyle w:val="TextoNormal"/>
      </w:pPr>
      <w:r>
        <w:t xml:space="preserve">A esta misma conclusión se llegó en los AATC 221/2014, de 9 de septiembre, FJ 3, y 74/2015, de 28 de abril, FJ 3, por los inadmitieron sendas cuestiones de inconstitucionalidad planteadas por el mismo órgano judicial que suscita la presente cuestión y por las que se cuestionaba también el art. 1/2013 del Real Decreto-ley 2013, pero en su redacción originaria, en virtud de unos argumentos muy parecidos a los expuestos en el Auto de planteamiento de la presente cuestión. En los Autos citados se sostuvo que “los términos en los que el órgano judicial plantea su duda de constitucionalidad carecen de toda conexión o vinculación con el objeto del proceso, lo que provoca, como consecuencia, la desnaturalización del carácter concreto del control de constitucionalidad propio de toda cuestión de inconstitucionalidad”. Por esta razón los referidos Autos inadmitieron las cuestiones de inconstitucionalidad planteadas, al apreciar que lo que a través de la mismas se pretendía era efectuar “un juicio de constitucionalidad en abstracto, desligado del proceso </w:t>
      </w:r>
      <w:r w:rsidRPr="006B7292">
        <w:rPr>
          <w:i/>
        </w:rPr>
        <w:t>a quo</w:t>
      </w:r>
      <w:r>
        <w:t>, “lo que, cabalmente, no puede constituir nunca el objeto de un procedimiento constitucional de este tipo” (SSTC 147/2012, de 5 de julio, FJ 3; y 6/2010, de 14 de abril, FJ 2; y ATC 57/2014, de 25 de febrero, FJ 4).</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Inadmitir a trámite la cuestión de inconstitucionalidad núm. 2688-2015, planteada por el Juzgado de Primera Instancia núm. 7 de San Javier (Murcia).</w:t>
      </w:r>
    </w:p>
    <w:p w:rsidR="006B7292" w:rsidRDefault="006B7292" w:rsidP="006B7292">
      <w:pPr>
        <w:pStyle w:val="TextoNormal"/>
      </w:pPr>
    </w:p>
    <w:p w:rsidR="006B7292" w:rsidRDefault="006B7292" w:rsidP="006B7292">
      <w:pPr>
        <w:pStyle w:val="TextoNormal"/>
      </w:pPr>
      <w:r>
        <w:t>Madrid, a veintidós de septiembre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70" w:name="AUTO_2015_156"/>
      <w:r>
        <w:t>AUTO 156/2015, de 23 de septiembre de 2015</w:t>
      </w:r>
    </w:p>
    <w:bookmarkEnd w:id="170"/>
    <w:p w:rsidR="006B7292" w:rsidRDefault="006B7292" w:rsidP="006B7292">
      <w:pPr>
        <w:pStyle w:val="TtuloResolucin"/>
      </w:pPr>
      <w:r>
        <w:t>Sección Primera</w:t>
      </w:r>
    </w:p>
    <w:p w:rsidR="006B7292" w:rsidRDefault="006B7292" w:rsidP="006B7292">
      <w:pPr>
        <w:pStyle w:val="TextoNormalCentrado"/>
      </w:pPr>
      <w:r>
        <w:t>ECLI:ES:TC:2015:156A</w:t>
      </w:r>
    </w:p>
    <w:p w:rsidR="006B7292" w:rsidRDefault="006B7292" w:rsidP="006B7292">
      <w:pPr>
        <w:pStyle w:val="TextoNormalCentrado"/>
      </w:pPr>
    </w:p>
    <w:p w:rsidR="006B7292" w:rsidRDefault="006B7292" w:rsidP="006B7292">
      <w:pPr>
        <w:pStyle w:val="SntesisDescriptiva"/>
      </w:pPr>
      <w:r>
        <w:t>Excms. Srs. don Francisco Pérez de los Cobos Orihuel, doña Encarnación Roca Trías y don Juan Antonio Xiol Ríos.</w:t>
      </w:r>
    </w:p>
    <w:p w:rsidR="006B7292" w:rsidRDefault="006B7292" w:rsidP="006B7292">
      <w:pPr>
        <w:pStyle w:val="SntesisDescriptiva"/>
      </w:pPr>
    </w:p>
    <w:p w:rsidR="006B7292" w:rsidRDefault="006B7292" w:rsidP="006B7292">
      <w:pPr>
        <w:pStyle w:val="TtuloResolucin"/>
      </w:pPr>
      <w:r>
        <w:t>*Este auto no incorpora doctrina constitucional.</w:t>
      </w:r>
    </w:p>
    <w:p w:rsidR="006B7292" w:rsidRDefault="006B7292">
      <w:pPr>
        <w:spacing w:after="160" w:line="259" w:lineRule="auto"/>
        <w:rPr>
          <w:rFonts w:ascii="Times New Roman" w:eastAsia="Times New Roman" w:hAnsi="Times New Roman" w:cs="Times New Roman"/>
          <w:b/>
          <w:sz w:val="24"/>
          <w:szCs w:val="24"/>
          <w:lang w:eastAsia="es-ES"/>
        </w:rPr>
      </w:pPr>
      <w:r>
        <w:br w:type="page"/>
      </w:r>
    </w:p>
    <w:p w:rsidR="006B7292" w:rsidRDefault="006B7292" w:rsidP="006B7292">
      <w:pPr>
        <w:pStyle w:val="TtuloResolucin"/>
      </w:pPr>
      <w:bookmarkStart w:id="171" w:name="AUTO_2015_157"/>
      <w:r>
        <w:t>AUTO 157/2015, de 25 de septiembre de 2015</w:t>
      </w:r>
    </w:p>
    <w:bookmarkEnd w:id="171"/>
    <w:p w:rsidR="006B7292" w:rsidRDefault="006B7292" w:rsidP="006B7292">
      <w:pPr>
        <w:pStyle w:val="TtuloResolucin"/>
      </w:pPr>
      <w:r>
        <w:t>Sección Cuarta</w:t>
      </w:r>
    </w:p>
    <w:p w:rsidR="006B7292" w:rsidRDefault="006B7292" w:rsidP="006B7292">
      <w:pPr>
        <w:pStyle w:val="TextoNormalCentrado"/>
      </w:pPr>
      <w:r>
        <w:t>ECLI:ES:TC:2015:157A</w:t>
      </w:r>
    </w:p>
    <w:p w:rsidR="006B7292" w:rsidRDefault="006B7292" w:rsidP="006B7292">
      <w:pPr>
        <w:pStyle w:val="TextoNormalCentrado"/>
      </w:pPr>
    </w:p>
    <w:p w:rsidR="006B7292" w:rsidRDefault="006B7292" w:rsidP="006B7292">
      <w:pPr>
        <w:pStyle w:val="SntesisDescriptiva"/>
      </w:pPr>
      <w:r>
        <w:t>Excms. Srs. don Fernando Valdés Dal-Ré, don Ricardo Enríquez Sancho y don Antonio Narváez Rodríguez.</w:t>
      </w:r>
    </w:p>
    <w:p w:rsidR="006B7292" w:rsidRDefault="006B7292" w:rsidP="006B7292">
      <w:pPr>
        <w:pStyle w:val="SntesisDescriptiva"/>
      </w:pPr>
    </w:p>
    <w:p w:rsidR="006B7292" w:rsidRDefault="006B7292" w:rsidP="006B7292">
      <w:pPr>
        <w:pStyle w:val="TtuloResolucin"/>
      </w:pPr>
      <w:r>
        <w:t>*Este auto no incorpora doctrina constitucional.</w:t>
      </w:r>
    </w:p>
    <w:p w:rsidR="006B7292" w:rsidRDefault="006B7292">
      <w:pPr>
        <w:spacing w:after="160" w:line="259" w:lineRule="auto"/>
        <w:rPr>
          <w:rFonts w:ascii="Times New Roman" w:eastAsia="Times New Roman" w:hAnsi="Times New Roman" w:cs="Times New Roman"/>
          <w:b/>
          <w:sz w:val="24"/>
          <w:szCs w:val="24"/>
          <w:lang w:eastAsia="es-ES"/>
        </w:rPr>
      </w:pPr>
      <w:r>
        <w:br w:type="page"/>
      </w:r>
    </w:p>
    <w:p w:rsidR="006B7292" w:rsidRDefault="006B7292" w:rsidP="006B7292">
      <w:pPr>
        <w:pStyle w:val="TtuloResolucin"/>
      </w:pPr>
      <w:bookmarkStart w:id="172" w:name="AUTO_2015_158"/>
      <w:r>
        <w:t>AUTO 158/2015, de 25 de septiembre de 2015</w:t>
      </w:r>
    </w:p>
    <w:bookmarkEnd w:id="172"/>
    <w:p w:rsidR="006B7292" w:rsidRDefault="006B7292" w:rsidP="006B7292">
      <w:pPr>
        <w:pStyle w:val="TtuloResolucin"/>
      </w:pPr>
      <w:r>
        <w:t>Sección Tercera</w:t>
      </w:r>
    </w:p>
    <w:p w:rsidR="006B7292" w:rsidRDefault="006B7292" w:rsidP="006B7292">
      <w:pPr>
        <w:pStyle w:val="TextoNormalCentrado"/>
      </w:pPr>
      <w:r>
        <w:t>ECLI:ES:TC:2015:158A</w:t>
      </w:r>
    </w:p>
    <w:p w:rsidR="006B7292" w:rsidRDefault="006B7292" w:rsidP="006B7292">
      <w:pPr>
        <w:pStyle w:val="TextoNormalCentrado"/>
      </w:pPr>
    </w:p>
    <w:p w:rsidR="006B7292" w:rsidRDefault="006B7292" w:rsidP="006B7292">
      <w:pPr>
        <w:pStyle w:val="SntesisDescriptiva"/>
      </w:pPr>
      <w:r>
        <w:t>Excms. Srs. doña Adela Asua Batarrita, don Juan José González Rivas y don Pedro José González-Trevijano Sánchez.</w:t>
      </w:r>
    </w:p>
    <w:p w:rsidR="006B7292" w:rsidRDefault="006B7292" w:rsidP="006B7292">
      <w:pPr>
        <w:pStyle w:val="SntesisDescriptiva"/>
      </w:pPr>
    </w:p>
    <w:p w:rsidR="006B7292" w:rsidRDefault="006B7292" w:rsidP="006B7292">
      <w:pPr>
        <w:pStyle w:val="TtuloResolucin"/>
      </w:pPr>
      <w:r>
        <w:t>*Este auto no incorpora doctrina constitucional.</w:t>
      </w:r>
    </w:p>
    <w:p w:rsidR="006B7292" w:rsidRDefault="006B7292">
      <w:pPr>
        <w:spacing w:after="160" w:line="259" w:lineRule="auto"/>
        <w:rPr>
          <w:rFonts w:ascii="Times New Roman" w:eastAsia="Times New Roman" w:hAnsi="Times New Roman" w:cs="Times New Roman"/>
          <w:b/>
          <w:sz w:val="24"/>
          <w:szCs w:val="24"/>
          <w:lang w:eastAsia="es-ES"/>
        </w:rPr>
      </w:pPr>
      <w:r>
        <w:br w:type="page"/>
      </w:r>
    </w:p>
    <w:p w:rsidR="006B7292" w:rsidRDefault="006B7292" w:rsidP="006B7292">
      <w:pPr>
        <w:pStyle w:val="TtuloResolucin"/>
      </w:pPr>
      <w:bookmarkStart w:id="173" w:name="AUTO_2015_159"/>
      <w:r>
        <w:t>AUTO 159/2015, de 1 de octubre de 2015</w:t>
      </w:r>
    </w:p>
    <w:bookmarkEnd w:id="173"/>
    <w:p w:rsidR="006B7292" w:rsidRDefault="006B7292" w:rsidP="006B7292">
      <w:pPr>
        <w:pStyle w:val="TtuloResolucin"/>
      </w:pPr>
      <w:r>
        <w:t>Sección Cuarta</w:t>
      </w:r>
    </w:p>
    <w:p w:rsidR="006B7292" w:rsidRDefault="006B7292" w:rsidP="006B7292">
      <w:pPr>
        <w:pStyle w:val="TextoNormalCentrado"/>
      </w:pPr>
      <w:r>
        <w:t>ECLI:ES:TC:2015:159A</w:t>
      </w:r>
    </w:p>
    <w:p w:rsidR="006B7292" w:rsidRDefault="006B7292" w:rsidP="006B7292">
      <w:pPr>
        <w:pStyle w:val="TextoNormalCentrado"/>
      </w:pPr>
    </w:p>
    <w:p w:rsidR="006B7292" w:rsidRDefault="006B7292" w:rsidP="006B7292">
      <w:pPr>
        <w:pStyle w:val="SntesisDescriptiva"/>
      </w:pPr>
      <w:r>
        <w:t>Excms. Srs. don Fernando Valdés Dal-Ré, don Ricardo Enríquez Sancho y don Antonio Narváez Rodríguez.</w:t>
      </w:r>
    </w:p>
    <w:p w:rsidR="006B7292" w:rsidRDefault="006B7292" w:rsidP="006B7292">
      <w:pPr>
        <w:pStyle w:val="SntesisDescriptiva"/>
      </w:pPr>
    </w:p>
    <w:p w:rsidR="006B7292" w:rsidRDefault="006B7292" w:rsidP="006B7292">
      <w:pPr>
        <w:pStyle w:val="SntesisDescriptiva"/>
      </w:pPr>
      <w:r>
        <w:t>Estima el recurso de súplica del Ministerio Fiscal sobre inadmisión del recurso de amparo 115-2015, promovido por el Ayuntamiento de Toledo en proceso contencioso-administrativo.</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Por escrito presentado en el Registro General de este Tribunal el día 8 de enero de 2015, la representación del Ayuntamiento de Toledo interpuso recurso de amparo contra los Autos de la Sala de lo Contencioso-Administrativo del Tribunal Supremo de 23 de octubre y 3 de abril de 2014, dictados en el recurso de casación núm. 239-2012, y contra la Sentencia de la Sala de lo Contencioso-Administrativo del Tribunal Superior de Justicia de Castilla-La Mancha de 28 de noviembre de 2011, objeto del recurso de casación citado, y que estimando el recurso contencioso-administrativo núm. 735-2007, anula el plan de ordenación municipal de Toledo aprobado definitivamente por orden de la Consejería de Vivienda y Urbanismo de 26 de marzo de 2007.</w:t>
      </w:r>
    </w:p>
    <w:p w:rsidR="006B7292" w:rsidRDefault="006B7292" w:rsidP="006B7292">
      <w:pPr>
        <w:pStyle w:val="TextoNormal"/>
      </w:pPr>
    </w:p>
    <w:p w:rsidR="006B7292" w:rsidRDefault="006B7292" w:rsidP="006B7292">
      <w:pPr>
        <w:pStyle w:val="TextoNormal"/>
      </w:pPr>
      <w:r w:rsidRPr="006B7292">
        <w:rPr>
          <w:rStyle w:val="NumeroAFNegritaCaracter"/>
        </w:rPr>
        <w:t>2</w:t>
      </w:r>
      <w:r>
        <w:t>. Por providencia de 7 de julio de 2015, la Sección Cuarta de este Tribunal acordó no admitir a trámite el recurso de amparo, con arreglo a lo previsto en el art. 50.1 a) de la Ley Orgánica del Tribunal Constitucional (LOTC).</w:t>
      </w:r>
    </w:p>
    <w:p w:rsidR="006B7292" w:rsidRDefault="006B7292" w:rsidP="006B7292">
      <w:pPr>
        <w:pStyle w:val="TextoNormal"/>
      </w:pPr>
    </w:p>
    <w:p w:rsidR="006B7292" w:rsidRDefault="006B7292" w:rsidP="006B7292">
      <w:pPr>
        <w:pStyle w:val="TextoNormal"/>
      </w:pPr>
      <w:r w:rsidRPr="006B7292">
        <w:rPr>
          <w:rStyle w:val="NumeroAFNegritaCaracter"/>
        </w:rPr>
        <w:t>3</w:t>
      </w:r>
      <w:r>
        <w:t>. Por escrito registrado el 22 de septiembre de 2015, el Fiscal ante el Tribunal Constitucional ha puesto de manifiesto que el recurso de amparo núm. 6011-2014, promovido por el mismo recurrente y con la misma fundamentación fáctica y jurídica, ha sido sin embargo admitido por este Tribunal, por lo que, en aras de mantener la uniformidad en la resolución de casos idénticos y evitar así resoluciones diferentes, interesa que se deje sin efecto la providencia de inadmisión de fecha 7 de julio de 2015.</w:t>
      </w:r>
    </w:p>
    <w:p w:rsidR="006B7292" w:rsidRDefault="006B7292" w:rsidP="006B7292">
      <w:pPr>
        <w:pStyle w:val="TextoNormal"/>
      </w:pPr>
    </w:p>
    <w:p w:rsidR="006B7292" w:rsidRDefault="006B7292" w:rsidP="006B7292">
      <w:pPr>
        <w:pStyle w:val="TextoNormal"/>
      </w:pPr>
      <w:r w:rsidRPr="006B7292">
        <w:rPr>
          <w:rStyle w:val="NumeroAFNegritaCaracter"/>
        </w:rPr>
        <w:t>4</w:t>
      </w:r>
      <w:r>
        <w:t>. Por diligencia de ordenación de 23 de septiembre de 2015 se tuvo por recibido el escrito presentado por el Ministerio Fiscal y se acordó dar traslado del mismo a la parte recurrente para que, en el plazo de tres días, alegara lo que estimase pertinente.</w:t>
      </w:r>
    </w:p>
    <w:p w:rsidR="006B7292" w:rsidRDefault="006B7292" w:rsidP="006B7292">
      <w:pPr>
        <w:pStyle w:val="TextoNormal"/>
      </w:pPr>
    </w:p>
    <w:p w:rsidR="006B7292" w:rsidRDefault="006B7292" w:rsidP="006B7292">
      <w:pPr>
        <w:pStyle w:val="TextoNormal"/>
      </w:pPr>
      <w:r w:rsidRPr="006B7292">
        <w:rPr>
          <w:rStyle w:val="NumeroAFNegritaCaracter"/>
        </w:rPr>
        <w:t>5</w:t>
      </w:r>
      <w:r>
        <w:t>. Por escrito registrado el 30 de septiembre de 2015, la representación del Ayuntamiento de Toledo, tras exponer la estrecha y manifiesta conexión entre el presente recurso de amparo y el recurso núm. 6011-2014 admitido a trámite por este Tribunal, solicita que se deje sin efecto la citada providencia de 7 de julio de 2015, con la consiguiente reposición de las actuaciones al momento inmediatamente anterior al dictado de la misma, así como la admisión a trámite del presente recurso de amparo y su acumulación al que se sigue con el núm. 6011-2014.</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Único. Atendidas las alegaciones del Ministerio Fiscal y de la parte recurrente en amparo, advertido el error material en que ha incurrido la providencia de 7 de julio de 2015 en la identificación del objeto del presente amparo, que no solo se dirige contra los Autos de la Sección Primera de la Sala de lo Contencioso-Administrativo del Tribunal Supremo de 23 de octubre y 3 de abril de 2014, sino también contra la Sentencia de la Sección Primera de la Sala de lo Contencioso-Administrativo del Tribunal Superior de Justicia de Castilla-La Mancha, de 28 de noviembre de 2011, recaída en el recurso contencioso-administrativo núm. 735-2007, se deja sin efecto la citada providencia.</w:t>
      </w:r>
    </w:p>
    <w:p w:rsidR="006B7292" w:rsidRDefault="006B7292" w:rsidP="006B7292">
      <w:pPr>
        <w:pStyle w:val="TextoNormal"/>
      </w:pPr>
    </w:p>
    <w:p w:rsidR="006B7292" w:rsidRDefault="006B7292" w:rsidP="006B7292">
      <w:pPr>
        <w:pStyle w:val="TextoNormal"/>
      </w:pPr>
      <w:r>
        <w:t>Por todo lo expuesto, la Sección</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Dejar sin efecto la providencia de 7 de julio de 2015 por la que se acuerda no admitir a trámite el presente recurso de amparo núm. 115-2015.</w:t>
      </w:r>
    </w:p>
    <w:p w:rsidR="006B7292" w:rsidRDefault="006B7292" w:rsidP="006B7292">
      <w:pPr>
        <w:pStyle w:val="TextoNormal"/>
      </w:pPr>
    </w:p>
    <w:p w:rsidR="006B7292" w:rsidRDefault="006B7292" w:rsidP="006B7292">
      <w:pPr>
        <w:pStyle w:val="TextoNormal"/>
      </w:pPr>
      <w:r>
        <w:t>Madrid, a uno de octubre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74" w:name="AUTO_2015_160"/>
      <w:r>
        <w:t>AUTO 160/2015, de 1 de octubre de 2015</w:t>
      </w:r>
    </w:p>
    <w:bookmarkEnd w:id="174"/>
    <w:p w:rsidR="006B7292" w:rsidRDefault="006B7292" w:rsidP="006B7292">
      <w:pPr>
        <w:pStyle w:val="TtuloResolucin"/>
      </w:pPr>
      <w:r>
        <w:t>Sección Cuarta</w:t>
      </w:r>
    </w:p>
    <w:p w:rsidR="006B7292" w:rsidRDefault="006B7292" w:rsidP="006B7292">
      <w:pPr>
        <w:pStyle w:val="TextoNormalCentrado"/>
      </w:pPr>
      <w:r>
        <w:t>ECLI:ES:TC:2015:160A</w:t>
      </w:r>
    </w:p>
    <w:p w:rsidR="006B7292" w:rsidRDefault="006B7292" w:rsidP="006B7292">
      <w:pPr>
        <w:pStyle w:val="TextoNormalCentrado"/>
      </w:pPr>
    </w:p>
    <w:p w:rsidR="006B7292" w:rsidRDefault="006B7292" w:rsidP="006B7292">
      <w:pPr>
        <w:pStyle w:val="SntesisDescriptiva"/>
      </w:pPr>
      <w:r>
        <w:t>Excms. Srs. don Fernando Valdés Dal-Ré, don Ricardo Enríquez Sancho y don Antonio Narváez Rodríguez.</w:t>
      </w:r>
    </w:p>
    <w:p w:rsidR="006B7292" w:rsidRDefault="006B7292" w:rsidP="006B7292">
      <w:pPr>
        <w:pStyle w:val="SntesisDescriptiva"/>
      </w:pPr>
    </w:p>
    <w:p w:rsidR="006B7292" w:rsidRDefault="006B7292" w:rsidP="006B7292">
      <w:pPr>
        <w:pStyle w:val="SntesisDescriptiva"/>
      </w:pPr>
      <w:r>
        <w:t>Estima el recurso de súplica del Ministerio Fiscal sobre inadmisión del recurso de amparo 145-2015, promovido por el Ayuntamiento de Toledo en proceso contencioso-administrativo.</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presentado en este Tribunal el 9 de enero de 2015, el Procurador de los Tribunales don Alberto Collado Martín, en nombre y representación del Ayuntamiento de Toledo, interpuso recurso de amparo contra la Sentencia de 19 de julio de 2011 de la Sección Primera de la Sala de lo Contencioso-Administrativo del Tribunal Superior de Justicia de Castilla-La Mancha, que estimó el recurso contencioso-administrativo núm. 555-2007, formulado contra la Orden de 26 de marzo de 2007 de la Consejería de Vivienda y Urbanismo (aprobación definitiva del plan de ordenación municipal de Toledo); contra el Auto de 3 de abril de 2014 de la Sección Primera de la Sala Tercera del Tribunal Supremo, recaído en el recurso de casación núm. 4897-2011, por el que dicha Sala acordó declarar la pérdida sobrevenida del objeto del recurso de casación interpuesto por el Ayuntamiento citado contra la mencionada Sentencia de 19 de julio de 2011; así como contra el Auto de 23 de octubre de 2014, dictado en el incidente de nulidad de actuaciones interpuesto en el reseñado recurso de casación núm. 4897-2011.</w:t>
      </w:r>
    </w:p>
    <w:p w:rsidR="006B7292" w:rsidRDefault="006B7292" w:rsidP="006B7292">
      <w:pPr>
        <w:pStyle w:val="TextoNormal"/>
      </w:pPr>
    </w:p>
    <w:p w:rsidR="006B7292" w:rsidRDefault="006B7292" w:rsidP="006B7292">
      <w:pPr>
        <w:pStyle w:val="TextoNormal"/>
      </w:pPr>
      <w:r w:rsidRPr="006B7292">
        <w:rPr>
          <w:rStyle w:val="NumeroAFNegritaCaracter"/>
        </w:rPr>
        <w:t>2</w:t>
      </w:r>
      <w:r>
        <w:t>. El recurrente en amparo dirige la demanda, por vulneración de sus derechos fundamentales a la tutela judicial efectiva sin indefensión y a un proceso con todas las garantías (arts. 24.1 y 2 CE), contra la Sentencia y Autos mencionados en el encabezamiento, solicitando que se declare la nulidad de los mismos y la retroacción de las actuaciones al momento inmediatamente anterior al pronunciamiento del recurso de casación, apelando directamente a la Sala Tercera del Tribunal Supremo para que proceda al acatamiento estricto de la doctrina del Tribunal Constitucional.</w:t>
      </w:r>
    </w:p>
    <w:p w:rsidR="006B7292" w:rsidRDefault="006B7292" w:rsidP="006B7292">
      <w:pPr>
        <w:pStyle w:val="TextoNormal"/>
      </w:pPr>
    </w:p>
    <w:p w:rsidR="006B7292" w:rsidRDefault="006B7292" w:rsidP="006B7292">
      <w:pPr>
        <w:pStyle w:val="TextoNormal"/>
      </w:pPr>
      <w:r>
        <w:t>A su juicio, las resoluciones recurridas inaplicaron una normativa autonómica de carácter urbanístico sin el previo planteamiento de cuestión de inconstitucionalidad, lo que vulneraría los derechos fundamentales invocados. En ese sentido, en primer lugar, denuncia que las resoluciones judiciales dictadas en el proceso se apartan de modo consciente de la doctrina constitucional recogida, entre otras muchas, en las SSTC 73/2000, de 14 de marzo, 104/2000, de 13 de abril; 120/2000, de 10 de mayo; 173/2002, de 9 de octubre; 66/2011, de 16 de mayo; 187/2012, de 29 de octubre, o 177/2013, de 21 de octubre, lo que supone una quiebra del mandato recogido en el art. 5.1 de la Ley Orgánica del Poder Judicial.</w:t>
      </w:r>
    </w:p>
    <w:p w:rsidR="006B7292" w:rsidRDefault="006B7292" w:rsidP="006B7292">
      <w:pPr>
        <w:pStyle w:val="TextoNormal"/>
      </w:pPr>
    </w:p>
    <w:p w:rsidR="006B7292" w:rsidRDefault="006B7292" w:rsidP="006B7292">
      <w:pPr>
        <w:pStyle w:val="TextoNormal"/>
      </w:pPr>
      <w:r>
        <w:t>Las resoluciones judiciales habrían incurrido en un exceso de jurisdicción por inaplicación de las leyes autonómicas vigentes en materia de urbanismo sin el previo planteamiento de una cuestión de inconstitucionalidad, con expresa vulneración de lo declarado en supuestos idénticos por el Tribunal Constitucional (entre otras en las citadas SSTC 187/2012 y 177/2013), cuando afirma que “la depuración del ordenamiento legal, vigente en la Constitución, corresponde de forma exclusiva al Tribunal Constitucional”. Considera el recurrente que, “al vulnerar una de las garantías que integran el contenido del proceso debido, se ha colocado al Ayuntamiento de Toledo recurrente en amparo en situación de efectiva indefensión pues ni tuvo oportunidad ni ocasión de prever, dado el sometimiento judicial al imperio de la ley, tal preterición del sistema de fuentes, ni pudo hacer uso del trámite de alegaciones del art. 35 LOTC”.</w:t>
      </w:r>
    </w:p>
    <w:p w:rsidR="006B7292" w:rsidRDefault="006B7292" w:rsidP="006B7292">
      <w:pPr>
        <w:pStyle w:val="TextoNormal"/>
      </w:pPr>
    </w:p>
    <w:p w:rsidR="006B7292" w:rsidRDefault="006B7292" w:rsidP="006B7292">
      <w:pPr>
        <w:pStyle w:val="TextoNormal"/>
      </w:pPr>
      <w:r w:rsidRPr="006B7292">
        <w:rPr>
          <w:rStyle w:val="NumeroAFNegritaCaracter"/>
        </w:rPr>
        <w:t>3</w:t>
      </w:r>
      <w:r>
        <w:t>. La Sección Cuarta de este Tribunal acordó la inadmisión del recurso de amparo por medio de providencia de 23 de julio de 2015, por inexistencia de la vulneración denunciada.</w:t>
      </w:r>
    </w:p>
    <w:p w:rsidR="006B7292" w:rsidRDefault="006B7292" w:rsidP="006B7292">
      <w:pPr>
        <w:pStyle w:val="TextoNormal"/>
      </w:pPr>
    </w:p>
    <w:p w:rsidR="006B7292" w:rsidRDefault="006B7292" w:rsidP="006B7292">
      <w:pPr>
        <w:pStyle w:val="TextoNormal"/>
      </w:pPr>
      <w:r w:rsidRPr="006B7292">
        <w:rPr>
          <w:rStyle w:val="NumeroAFNegritaCaracter"/>
        </w:rPr>
        <w:t>4</w:t>
      </w:r>
      <w:r>
        <w:t>. Por escrito registrado en este Tribunal el día 22 de septiembre de 2015, el Fiscal ante el Tribunal Constitucional interpone recurso de súplica contra la mencionada providencia y solicita que sea dejada sin efecto, sin perjuicio de que el Tribunal pueda apreciar la concurrencia de otras posibles causas de inadmisión del recurso, distintas a la acogida en la providencia recurrida.</w:t>
      </w:r>
    </w:p>
    <w:p w:rsidR="006B7292" w:rsidRDefault="006B7292" w:rsidP="006B7292">
      <w:pPr>
        <w:pStyle w:val="TextoNormal"/>
      </w:pPr>
    </w:p>
    <w:p w:rsidR="006B7292" w:rsidRDefault="006B7292" w:rsidP="006B7292">
      <w:pPr>
        <w:pStyle w:val="TextoNormal"/>
      </w:pPr>
      <w:r>
        <w:t>Señala a tal fin que el presente recurso de amparo guarda plena identidad con el recurso núm. 6011-2014, del mismo recurrente, referido a la misma cuestión litigiosa y admitido a trámite. Tal identidad sustancial entre las pretensiones deducidas en el presente recurso y en el de referencia, afirma el Fiscal, revelarían una aparente desigualdad en la valoración de la concurrencia potencial de lesión de los derechos fundamentales invocados, razón por la cual formula la pretensión de nulidad de la providencia de inadmisión.</w:t>
      </w:r>
    </w:p>
    <w:p w:rsidR="006B7292" w:rsidRDefault="006B7292" w:rsidP="006B7292">
      <w:pPr>
        <w:pStyle w:val="TextoNormal"/>
      </w:pPr>
    </w:p>
    <w:p w:rsidR="006B7292" w:rsidRDefault="006B7292" w:rsidP="006B7292">
      <w:pPr>
        <w:pStyle w:val="TextoNormal"/>
      </w:pPr>
      <w:r w:rsidRPr="006B7292">
        <w:rPr>
          <w:rStyle w:val="NumeroAFNegritaCaracter"/>
        </w:rPr>
        <w:t>5</w:t>
      </w:r>
      <w:r>
        <w:t>. Mediante diligencia de ordenación de 23 de septiembre de 2015 de la Secretaria de Justicia de la Sala Segunda, se confirió traslado del mencionado escrito a las partes del proceso constitucional a fin de que, en el plazo de tres días, pudieran formular las alegaciones que estimasen pertinentes (art. 93.2 de la Ley Orgánica del Tribunal Constitucional: LOTC).</w:t>
      </w:r>
    </w:p>
    <w:p w:rsidR="006B7292" w:rsidRDefault="006B7292" w:rsidP="006B7292">
      <w:pPr>
        <w:pStyle w:val="TextoNormal"/>
      </w:pPr>
    </w:p>
    <w:p w:rsidR="006B7292" w:rsidRDefault="006B7292" w:rsidP="006B7292">
      <w:pPr>
        <w:pStyle w:val="TextoNormal"/>
      </w:pPr>
      <w:r>
        <w:t>Por escrito registrado en este Tribunal el día 30 de septiembre de 2015, la representación procesal del Ayuntamiento de Toledo interesa la estimación del recurso de súplica formulado, adhiriéndose a las alegaciones del Ministerio Fiscal. Subraya la estrecha, directa y manifiesta conexión entre el presente recurso de amparo y el recurso núm. 6011-2014, según acreditan la coincidencia en la parte recurrente, los contenidos de las resoluciones recurridas y los motivos y fundamentos de las demandas de amparo. Y pone de manifiesto, como consecuencia de lo expuesto, el riesgo de vulneración del principio de igualdad en la aplicación de la ley (art. 14 CE) que comportaría la desestimación del presente recurso de súplica. Concluye su alegato indicando que sería necesario acumular los dos recursos relacionados, de darse la admisión del que es objeto de sus alegaciones.</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Único. Examinadas las alegaciones presentadas hay que coincidir con el Ministerio Fiscal y con la parte demandante de amparo en que el recurso no revela, en contra de lo que apreciamos en nuestra providencia de 23 de julio de 2015, la manifiesta inexistencia de la violación de los derechos fundamentales que se invocan; violación que, de acuerdo con el art. 44.1 de la Ley Orgánica del Tribunal Constitucional, es condición para que este Tribunal pueda ejercer dicha tutela.</w:t>
      </w:r>
    </w:p>
    <w:p w:rsidR="006B7292" w:rsidRDefault="006B7292" w:rsidP="006B7292">
      <w:pPr>
        <w:pStyle w:val="TextoNormal"/>
      </w:pPr>
    </w:p>
    <w:p w:rsidR="006B7292" w:rsidRDefault="006B7292" w:rsidP="006B7292">
      <w:pPr>
        <w:pStyle w:val="TextoNormal"/>
      </w:pPr>
      <w:r>
        <w:t>Como razonadamente se expone, el presente recurso plantea una problemática de constitucionalidad que no es ajena a la suscitada en otro que fue previamente admitido a trámite (recurso de amparo núm. 6011-2014), por lo demás resuelto recientemente en Sentencia estimatoria de la Sala Primera de este Tribunal, de fecha 21 de septiembre de 2015.</w:t>
      </w:r>
    </w:p>
    <w:p w:rsidR="006B7292" w:rsidRDefault="006B7292" w:rsidP="006B7292">
      <w:pPr>
        <w:pStyle w:val="TextoNormal"/>
      </w:pPr>
    </w:p>
    <w:p w:rsidR="006B7292" w:rsidRDefault="006B7292" w:rsidP="006B7292">
      <w:pPr>
        <w:pStyle w:val="TextoNormal"/>
      </w:pPr>
      <w:r>
        <w:t xml:space="preserve">Sin perjuicio de la decisión que se adopte sobre la admisibilidad de este recurso tras el examen conjunto de los requisitos exigidos en la Ley Orgánica del Tribunal Constitucional y, en su caso, sobre la suspensión solicitada en el escrito de demanda, concluimos que la identidad sustancial que se verifica entre los dos recursos puestos en relación no permite descartar </w:t>
      </w:r>
      <w:r w:rsidRPr="006B7292">
        <w:rPr>
          <w:i/>
        </w:rPr>
        <w:t>prima facie</w:t>
      </w:r>
      <w:r>
        <w:t xml:space="preserve"> la existencia de las lesiones que se denuncian en el presente proceso constitucional. En razón de ello, se acuerda reponer las actuaciones al momento anterior al del dictado de la providencia de 23 de julio de 2015, para decidir nuevamente sobre la admisión a trámite de la demanda.</w:t>
      </w:r>
    </w:p>
    <w:p w:rsidR="006B7292" w:rsidRDefault="006B7292" w:rsidP="006B7292">
      <w:pPr>
        <w:pStyle w:val="TextoNormal"/>
      </w:pPr>
    </w:p>
    <w:p w:rsidR="006B7292" w:rsidRDefault="006B7292" w:rsidP="006B7292">
      <w:pPr>
        <w:pStyle w:val="TextoNormal"/>
      </w:pPr>
      <w:r>
        <w:t>Por todo lo expuesto, la Sección</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Estimar el recurso de súplica interpuesto por el Ministerio Fiscal, dejando sin efecto la providencia de 23 de julio de 2015 por la que se acuerda no admitir a trámite el recurso de amparo núm. 145-2015.</w:t>
      </w:r>
    </w:p>
    <w:p w:rsidR="006B7292" w:rsidRDefault="006B7292" w:rsidP="006B7292">
      <w:pPr>
        <w:pStyle w:val="TextoNormal"/>
      </w:pPr>
    </w:p>
    <w:p w:rsidR="006B7292" w:rsidRDefault="006B7292" w:rsidP="006B7292">
      <w:pPr>
        <w:pStyle w:val="TextoNormal"/>
      </w:pPr>
      <w:r>
        <w:t>Madrid, a uno de octubre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75" w:name="AUTO_2015_161"/>
      <w:r>
        <w:t>AUTO 161/2015, de 5 de octubre de 2015</w:t>
      </w:r>
    </w:p>
    <w:bookmarkEnd w:id="175"/>
    <w:p w:rsidR="006B7292" w:rsidRDefault="006B7292" w:rsidP="006B7292">
      <w:pPr>
        <w:pStyle w:val="TtuloResolucin"/>
      </w:pPr>
      <w:r>
        <w:t>Sección Segunda</w:t>
      </w:r>
    </w:p>
    <w:p w:rsidR="006B7292" w:rsidRDefault="006B7292" w:rsidP="006B7292">
      <w:pPr>
        <w:pStyle w:val="TextoNormalCentrado"/>
      </w:pPr>
      <w:r>
        <w:t>ECLI:ES:TC:2015:161A</w:t>
      </w:r>
    </w:p>
    <w:p w:rsidR="006B7292" w:rsidRDefault="006B7292" w:rsidP="006B7292">
      <w:pPr>
        <w:pStyle w:val="TextoNormalCentrado"/>
      </w:pPr>
    </w:p>
    <w:p w:rsidR="006B7292" w:rsidRDefault="006B7292" w:rsidP="006B7292">
      <w:pPr>
        <w:pStyle w:val="SntesisDescriptiva"/>
      </w:pPr>
      <w:r>
        <w:t>Excms. Srs. don Andrés Ollero Tassara y don Santiago Martínez-Vares García.</w:t>
      </w:r>
    </w:p>
    <w:p w:rsidR="006B7292" w:rsidRDefault="006B7292" w:rsidP="006B7292">
      <w:pPr>
        <w:pStyle w:val="SntesisDescriptiva"/>
      </w:pPr>
    </w:p>
    <w:p w:rsidR="006B7292" w:rsidRDefault="006B7292" w:rsidP="006B7292">
      <w:pPr>
        <w:pStyle w:val="TtuloResolucin"/>
      </w:pPr>
      <w:r>
        <w:t>*Este auto no incorpora doctrina constitucional.</w:t>
      </w:r>
    </w:p>
    <w:p w:rsidR="006B7292" w:rsidRDefault="006B7292">
      <w:pPr>
        <w:spacing w:after="160" w:line="259" w:lineRule="auto"/>
        <w:rPr>
          <w:rFonts w:ascii="Times New Roman" w:eastAsia="Times New Roman" w:hAnsi="Times New Roman" w:cs="Times New Roman"/>
          <w:b/>
          <w:sz w:val="24"/>
          <w:szCs w:val="24"/>
          <w:lang w:eastAsia="es-ES"/>
        </w:rPr>
      </w:pPr>
      <w:r>
        <w:br w:type="page"/>
      </w:r>
    </w:p>
    <w:p w:rsidR="006B7292" w:rsidRDefault="006B7292" w:rsidP="006B7292">
      <w:pPr>
        <w:pStyle w:val="TtuloResolucin"/>
      </w:pPr>
      <w:bookmarkStart w:id="176" w:name="AUTO_2015_162"/>
      <w:r>
        <w:t>AUTO 162/2015, de 5 de octubre de 2015</w:t>
      </w:r>
    </w:p>
    <w:bookmarkEnd w:id="176"/>
    <w:p w:rsidR="006B7292" w:rsidRDefault="006B7292" w:rsidP="006B7292">
      <w:pPr>
        <w:pStyle w:val="TtuloResolucin"/>
      </w:pPr>
      <w:r>
        <w:t>Sección Segunda</w:t>
      </w:r>
    </w:p>
    <w:p w:rsidR="006B7292" w:rsidRDefault="006B7292" w:rsidP="006B7292">
      <w:pPr>
        <w:pStyle w:val="TextoNormalCentrado"/>
      </w:pPr>
      <w:r>
        <w:t>ECLI:ES:TC:2015:162A</w:t>
      </w:r>
    </w:p>
    <w:p w:rsidR="006B7292" w:rsidRDefault="006B7292" w:rsidP="006B7292">
      <w:pPr>
        <w:pStyle w:val="TextoNormalCentrado"/>
      </w:pPr>
    </w:p>
    <w:p w:rsidR="006B7292" w:rsidRDefault="006B7292" w:rsidP="006B7292">
      <w:pPr>
        <w:pStyle w:val="SntesisDescriptiva"/>
      </w:pPr>
      <w:r>
        <w:t>Excms. Srs. don Andrés Ollero Tassara y don Santiago Martínez-Vares García.</w:t>
      </w:r>
    </w:p>
    <w:p w:rsidR="006B7292" w:rsidRDefault="006B7292" w:rsidP="006B7292">
      <w:pPr>
        <w:pStyle w:val="SntesisDescriptiva"/>
      </w:pPr>
    </w:p>
    <w:p w:rsidR="006B7292" w:rsidRDefault="006B7292" w:rsidP="006B7292">
      <w:pPr>
        <w:pStyle w:val="TtuloResolucin"/>
      </w:pPr>
      <w:r>
        <w:t>*Este auto no incorpora doctrina constitucional.</w:t>
      </w:r>
    </w:p>
    <w:p w:rsidR="006B7292" w:rsidRDefault="006B7292">
      <w:pPr>
        <w:spacing w:after="160" w:line="259" w:lineRule="auto"/>
        <w:rPr>
          <w:rFonts w:ascii="Times New Roman" w:eastAsia="Times New Roman" w:hAnsi="Times New Roman" w:cs="Times New Roman"/>
          <w:b/>
          <w:sz w:val="24"/>
          <w:szCs w:val="24"/>
          <w:lang w:eastAsia="es-ES"/>
        </w:rPr>
      </w:pPr>
      <w:r>
        <w:br w:type="page"/>
      </w:r>
    </w:p>
    <w:p w:rsidR="006B7292" w:rsidRDefault="006B7292" w:rsidP="006B7292">
      <w:pPr>
        <w:pStyle w:val="TtuloResolucin"/>
      </w:pPr>
      <w:bookmarkStart w:id="177" w:name="AUTO_2015_163"/>
      <w:r>
        <w:t>AUTO 163/2015, de 5 de octubre de 2015</w:t>
      </w:r>
    </w:p>
    <w:bookmarkEnd w:id="177"/>
    <w:p w:rsidR="006B7292" w:rsidRDefault="006B7292" w:rsidP="006B7292">
      <w:pPr>
        <w:pStyle w:val="TtuloResolucin"/>
      </w:pPr>
      <w:r>
        <w:t>Sección Segunda</w:t>
      </w:r>
    </w:p>
    <w:p w:rsidR="006B7292" w:rsidRDefault="006B7292" w:rsidP="006B7292">
      <w:pPr>
        <w:pStyle w:val="TextoNormalCentrado"/>
      </w:pPr>
      <w:r>
        <w:t>ECLI:ES:TC:2015:163A</w:t>
      </w:r>
    </w:p>
    <w:p w:rsidR="006B7292" w:rsidRDefault="006B7292" w:rsidP="006B7292">
      <w:pPr>
        <w:pStyle w:val="TextoNormalCentrado"/>
      </w:pPr>
    </w:p>
    <w:p w:rsidR="006B7292" w:rsidRDefault="006B7292" w:rsidP="006B7292">
      <w:pPr>
        <w:pStyle w:val="SntesisDescriptiva"/>
      </w:pPr>
      <w:r>
        <w:t>Excms. Srs. don Andrés Ollero Tassara y don Santiago Martínez-Vares García.</w:t>
      </w:r>
    </w:p>
    <w:p w:rsidR="006B7292" w:rsidRDefault="006B7292" w:rsidP="006B7292">
      <w:pPr>
        <w:pStyle w:val="SntesisDescriptiva"/>
      </w:pPr>
    </w:p>
    <w:p w:rsidR="006B7292" w:rsidRDefault="006B7292" w:rsidP="006B7292">
      <w:pPr>
        <w:pStyle w:val="TtuloResolucin"/>
      </w:pPr>
      <w:r>
        <w:t>*Este auto no incorpora doctrina constitucional.</w:t>
      </w:r>
    </w:p>
    <w:p w:rsidR="006B7292" w:rsidRDefault="006B7292">
      <w:pPr>
        <w:spacing w:after="160" w:line="259" w:lineRule="auto"/>
        <w:rPr>
          <w:rFonts w:ascii="Times New Roman" w:eastAsia="Times New Roman" w:hAnsi="Times New Roman" w:cs="Times New Roman"/>
          <w:b/>
          <w:sz w:val="24"/>
          <w:szCs w:val="24"/>
          <w:lang w:eastAsia="es-ES"/>
        </w:rPr>
      </w:pPr>
      <w:r>
        <w:br w:type="page"/>
      </w:r>
    </w:p>
    <w:p w:rsidR="006B7292" w:rsidRDefault="006B7292" w:rsidP="006B7292">
      <w:pPr>
        <w:pStyle w:val="TtuloResolucin"/>
      </w:pPr>
      <w:bookmarkStart w:id="178" w:name="AUTO_2015_164"/>
      <w:r>
        <w:t>AUTO 164/2015, de 5 de octubre de 2015</w:t>
      </w:r>
    </w:p>
    <w:bookmarkEnd w:id="178"/>
    <w:p w:rsidR="006B7292" w:rsidRDefault="006B7292" w:rsidP="006B7292">
      <w:pPr>
        <w:pStyle w:val="TtuloResolucin"/>
      </w:pPr>
      <w:r>
        <w:t>Sección Segunda</w:t>
      </w:r>
    </w:p>
    <w:p w:rsidR="006B7292" w:rsidRDefault="006B7292" w:rsidP="006B7292">
      <w:pPr>
        <w:pStyle w:val="TextoNormalCentrado"/>
      </w:pPr>
      <w:r>
        <w:t>ECLI:ES:TC:2015:164A</w:t>
      </w:r>
    </w:p>
    <w:p w:rsidR="006B7292" w:rsidRDefault="006B7292" w:rsidP="006B7292">
      <w:pPr>
        <w:pStyle w:val="TextoNormalCentrado"/>
      </w:pPr>
    </w:p>
    <w:p w:rsidR="006B7292" w:rsidRDefault="006B7292" w:rsidP="006B7292">
      <w:pPr>
        <w:pStyle w:val="SntesisDescriptiva"/>
      </w:pPr>
      <w:r>
        <w:t>Excms. Srs. don Andrés Ollero Tassara y don Santiago Martínez-Vares García.</w:t>
      </w:r>
    </w:p>
    <w:p w:rsidR="006B7292" w:rsidRDefault="006B7292" w:rsidP="006B7292">
      <w:pPr>
        <w:pStyle w:val="SntesisDescriptiva"/>
      </w:pPr>
    </w:p>
    <w:p w:rsidR="006B7292" w:rsidRDefault="006B7292" w:rsidP="006B7292">
      <w:pPr>
        <w:pStyle w:val="SntesisDescriptiva"/>
      </w:pPr>
      <w:r>
        <w:t>Se declara incompetente para el enjuiciamiento de la impugnación de la resolución de la Comisión Central de Asistencia Jurídica Gratuita solicitada en el recurso de amparo 221-2015, promovido por don Juan Francisco Romero Sánchez.</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que tuvo entrada en este Tribunal el 14 de enero de 2015, don Juan Francisco Romero Sánchez manifestó su intención de interponer recurso de amparo contra la Sentencia de 21 de mayo de 2014 de la Sección Primera de la Audiencia Provincial de Guadalajara en el recurso de apelación núm. 48-2014, formulado contra la Sentencia del Juzgado de Instrucción núm. 1 de Guadalajara dictada en el juicio de faltas núm. 409-2013, así como frente a otras resoluciones posteriores dictadas en el referido rollo de apelación. Asimismo manifestó haber presentado solicitud de asistencia jurídica gratuita ante el Colegio de Abogados de Madrid para la designación de profesionales del turno de oficio al efecto de formalizar dicho recurso de amparo, por lo que interesaba la suspensión de los plazos que pudieran precluir, todo ello de conformidad con el art. 16 de la Ley 1/1996, de 10 de enero, de asistencia jurídica gratuita.</w:t>
      </w:r>
    </w:p>
    <w:p w:rsidR="006B7292" w:rsidRDefault="006B7292" w:rsidP="006B7292">
      <w:pPr>
        <w:pStyle w:val="TextoNormal"/>
      </w:pPr>
    </w:p>
    <w:p w:rsidR="006B7292" w:rsidRDefault="006B7292" w:rsidP="006B7292">
      <w:pPr>
        <w:pStyle w:val="TextoNormal"/>
      </w:pPr>
      <w:r w:rsidRPr="006B7292">
        <w:rPr>
          <w:rStyle w:val="NumeroAFNegritaCaracter"/>
        </w:rPr>
        <w:t>2</w:t>
      </w:r>
      <w:r>
        <w:t>. Por diligencia de ordenación del Secretario de Justicia de la Sección Segunda de la Sala Primera de este Tribunal de 27 de enero de 2015 se requirió al demandante para que aportase copia de la Sentencia que pretende recurrir en amparo y se participó el número del recurso al Sr. Decano del Colegio de Abogados de Madrid a los efectos oportunos de designación de profesionales del turno de oficio.</w:t>
      </w:r>
    </w:p>
    <w:p w:rsidR="006B7292" w:rsidRDefault="006B7292" w:rsidP="006B7292">
      <w:pPr>
        <w:pStyle w:val="TextoNormal"/>
      </w:pPr>
    </w:p>
    <w:p w:rsidR="006B7292" w:rsidRDefault="006B7292" w:rsidP="006B7292">
      <w:pPr>
        <w:pStyle w:val="TextoNormal"/>
      </w:pPr>
      <w:r w:rsidRPr="006B7292">
        <w:rPr>
          <w:rStyle w:val="NumeroAFNegritaCaracter"/>
        </w:rPr>
        <w:t>3</w:t>
      </w:r>
      <w:r>
        <w:t>. El Colegio de Procuradores de Madrid, mediante despacho que tuvo entrada en el Registro General de este Tribunal el 24 de marzo de 2015, comunicó que corresponde la designación en turno de oficio para la representación del recurrente al Procurador don Ernesto García Lozano Martín y a la Letrada doña Paula Mercedes Zapatero Rodríguez para su defensa. Recibido el precedente despacho, el Secretario de Justicia de la Sección Segunda de la Sala Primera de este Tribunal, por diligencia de ordenación de 25 de marzo de 2015, tuvo por efectuadas dichas designaciones y concedió al Procurador don Ernesto García Lozano Martín un plazo de treinta días para que, bajo la dirección de la Letrada de oficio mencionada, formulase la correspondiente demanda de amparo con los requisitos prevenidos en el art. 49 de la Ley Orgánica del Tribunal Constitucional (LOTC), sin perjuicio de que la Letrada proceda, en su caso, conforme a lo dispuesto en los arts. 32 y ss. de la Ley 1/1996, de 10 de enero, de asistencia jurídica gratuita. En cumplimiento de dicho requerimiento, los profesionales del turno de oficio designados para la representación y defensa de don Juan Francisco Romero Sánchez procedieron a formalizar la demanda de amparo, que fue presentada en el Registro General de este Tribunal el 13 de mayo de 2015.</w:t>
      </w:r>
    </w:p>
    <w:p w:rsidR="006B7292" w:rsidRDefault="006B7292" w:rsidP="006B7292">
      <w:pPr>
        <w:pStyle w:val="TextoNormal"/>
      </w:pPr>
    </w:p>
    <w:p w:rsidR="006B7292" w:rsidRDefault="006B7292" w:rsidP="006B7292">
      <w:pPr>
        <w:pStyle w:val="TextoNormal"/>
      </w:pPr>
      <w:r w:rsidRPr="006B7292">
        <w:rPr>
          <w:rStyle w:val="NumeroAFNegritaCaracter"/>
        </w:rPr>
        <w:t>4</w:t>
      </w:r>
      <w:r>
        <w:t>. Tras los correspondientes trámites, la Comisión central de asistencia jurídica gratuita dictó resolución de 27 abril de 2015 denegando el derecho solicitado para el presente recurso de amparo, al apreciarse signos externos en el expediente que indicarían que el recurrente dispone de medios económicos que superan el límite fijado por la Ley 1/1996, de asistencia jurídica gratuita. El interesado impugnó esta resolución, hecho que la Comisión central de asistencia jurídica gratuita puso en conocimiento de este Tribunal través de oficio registrado el 10 de junio de 2015, en el que señalaba que daba traslado del expediente al Decanato de los Juzgados de Madrid para su resolución. Turnada dicha impugnación al Juzgado de Instrucción núm. 51 de Madrid (diligencias indeterminadas núm. 578-2015), por Auto de 29 de junio de 2015 el Juzgado resolvió declararse incompetente para conocer de la impugnación de la denegación del beneficio de justicia gratuita. Contra este Auto no se interpuso recurso.</w:t>
      </w:r>
    </w:p>
    <w:p w:rsidR="006B7292" w:rsidRDefault="006B7292" w:rsidP="006B7292">
      <w:pPr>
        <w:pStyle w:val="TextoNormal"/>
      </w:pPr>
    </w:p>
    <w:p w:rsidR="006B7292" w:rsidRDefault="006B7292" w:rsidP="006B7292">
      <w:pPr>
        <w:pStyle w:val="TextoNormal"/>
      </w:pPr>
      <w:r w:rsidRPr="006B7292">
        <w:rPr>
          <w:rStyle w:val="NumeroAFNegritaCaracter"/>
        </w:rPr>
        <w:t>5</w:t>
      </w:r>
      <w:r>
        <w:t>. Mediante diligencia de ordenación del Secretario de Justicia de la Sección Segunda de la Sala Primera de este Tribunal de 16 de julio de 2015 se tuvo por recibido el Auto dictado el 29 de junio de 2015 por el Juzgado de Instrucción núm. 51 de Madrid en las diligencias indeterminadas núm. 578-2015, al que se acompaña el expediente de impugnación de la resolución denegatoria de la Comisión Central de Asistencia Jurídica Gratuita y se acordó conceder un plazo de tres días al recurrente y al Abogado del Estado para que se pronunciaran sobre la competencia de este Tribunal en orden a conocer de la impugnación a la que se refiere el art. 20 de la Ley 1/1996, de 10 de enero, de asistencia jurídica gratuita.</w:t>
      </w:r>
    </w:p>
    <w:p w:rsidR="006B7292" w:rsidRDefault="006B7292" w:rsidP="006B7292">
      <w:pPr>
        <w:pStyle w:val="TextoNormal"/>
      </w:pPr>
    </w:p>
    <w:p w:rsidR="006B7292" w:rsidRDefault="006B7292" w:rsidP="006B7292">
      <w:pPr>
        <w:pStyle w:val="TextoNormal"/>
      </w:pPr>
      <w:r w:rsidRPr="006B7292">
        <w:rPr>
          <w:rStyle w:val="NumeroAFNegritaCaracter"/>
        </w:rPr>
        <w:t>6</w:t>
      </w:r>
      <w:r>
        <w:t>. El Abogado del Estado evacuó el trámite en escrito que tuvo entrada en el Registro General de este Tribunal el 22 de julio de 2015. Considera que el Tribunal Constitucional carece de competencia para resolver la impugnación promovida, al no tratarse de una insuficiencia económica sobrevenida tras la interposición del recurso de amparo.</w:t>
      </w:r>
    </w:p>
    <w:p w:rsidR="006B7292" w:rsidRDefault="006B7292" w:rsidP="006B7292">
      <w:pPr>
        <w:pStyle w:val="TextoNormal"/>
      </w:pPr>
    </w:p>
    <w:p w:rsidR="006B7292" w:rsidRDefault="006B7292" w:rsidP="006B7292">
      <w:pPr>
        <w:pStyle w:val="TextoNormal"/>
      </w:pPr>
      <w:r>
        <w:t>Recuerda que la insuficiencia económica sobrevenida “con posterioridad a la interposición del recurso de amparo” es el único supuesto en el que correspondería al Tribunal Constitucional resolver la impugnación del acto denegatorio de asistencia jurídica gratuita (cita los AATC 138/1997, de 7 de mayo; 204/1997, de 4 de junio; 120/2011, de 19 de septiembre; 54/2012, de 26 de marzo; 80/2012, de 7 de mayo; 112/2012, de 31 de mayo, y 95/2013, de 7 de mayo). Por tanto, de conformidad con los arts. 9 y 10 del acuerdo del Pleno del Tribunal Constitucional de 18 de junio de 1996, en consonancia con lo dispuesto en el art. 20 de la Ley 1/1996, de 10 de enero, de asistencia jurídica gratuita, procede que el Tribunal declare su incompetencia para resolver la impugnación formulada por el recurrente contra la resolución de la Comisión central de asistencia jurídica gratuita que le denegó el beneficio de justicia gratuita.</w:t>
      </w:r>
    </w:p>
    <w:p w:rsidR="006B7292" w:rsidRDefault="006B7292" w:rsidP="006B7292">
      <w:pPr>
        <w:pStyle w:val="TextoNormal"/>
      </w:pPr>
    </w:p>
    <w:p w:rsidR="006B7292" w:rsidRDefault="006B7292" w:rsidP="006B7292">
      <w:pPr>
        <w:pStyle w:val="TextoNormal"/>
      </w:pPr>
      <w:r w:rsidRPr="006B7292">
        <w:rPr>
          <w:rStyle w:val="NumeroAFNegritaCaracter"/>
        </w:rPr>
        <w:t>7</w:t>
      </w:r>
      <w:r>
        <w:t>. Los profesionales del turno de oficio designados para la representación y defensa del demandante de amparo manifestaron, por escrito registrado en este Tribunal el 23 de julio de 2015, que únicamente fueron designados para la interposición del recurso de amparo y no para el expediente de impugnación de la resolución denegatoria de la solicitud de asistencia jurídica gratuita.</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En los AATC 120/2011, de 19 de septiembre; 54/2012, de 26 de marzo; 80/2012, de 7 de mayo; 112/2012, de 31 de mayo; 95/2013, de 7 de mayo, y 114/2015, de 26 de junio, entre otros muchos, hemos establecido que la insuficiencia económica sobrevenida con posterioridad a la interposición del recurso de amparo es el único supuesto en el que correspondería al Tribunal Constitucional resolver la impugnación del acto denegatorio de asistencia jurídica gratuita.</w:t>
      </w:r>
    </w:p>
    <w:p w:rsidR="006B7292" w:rsidRDefault="006B7292" w:rsidP="006B7292">
      <w:pPr>
        <w:pStyle w:val="TextoNormal"/>
      </w:pPr>
    </w:p>
    <w:p w:rsidR="006B7292" w:rsidRDefault="006B7292" w:rsidP="006B7292">
      <w:pPr>
        <w:pStyle w:val="TextoNormal"/>
      </w:pPr>
      <w:r>
        <w:t>Debe recordarse que el art. 1 del acuerdo de 18 de junio de 1996 del Pleno del Tribunal Constitucional, sobre asistencia jurídica gratuita en los procesos de amparo constitucional, establece que el derecho a la asistencia jurídica gratuita, “en los casos contemplados en los arts. 2 a 5 de la Ley 1/1996, de 10 de enero, y con el contenido previsto en el art. 6, se ejercitará ante este Tribunal de conformidad con lo previsto en la Ley Orgánica del Tribunal Constitucional, con lo establecido en aquella Ley y en el presente acuerdo”. El art. 20 de la Ley 1/1996, cuando regula la competencia para conocer de las impugnaciones contra las resoluciones que reconozcan o denieguen el derecho a la asistencia jurídica gratuita, distingue entre los casos en los que se haya iniciado el procedimiento para cuya tramitación se solicitó este beneficio y aquellos otros en los que este procedimiento todavía no haya comenzado. En el primer caso, esto es, cuando se solicita el beneficio de justicia gratuita una vez iniciado el procedimiento, la competencia para resolver estas impugnaciones corresponde al Juzgado o Tribunal que esté conociendo del procedimiento. En el segundo supuesto, es decir, cuando todavía no se haya iniciado el procedimiento para cuya tramitación se solicitó este beneficio, la competencia para la resolución de estas impugnaciones le corresponde al Juzgado que por turno de reparto corresponda.</w:t>
      </w:r>
    </w:p>
    <w:p w:rsidR="006B7292" w:rsidRDefault="006B7292" w:rsidP="006B7292">
      <w:pPr>
        <w:pStyle w:val="TextoNormal"/>
      </w:pPr>
    </w:p>
    <w:p w:rsidR="006B7292" w:rsidRDefault="006B7292" w:rsidP="006B7292">
      <w:pPr>
        <w:pStyle w:val="TextoNormal"/>
      </w:pPr>
      <w:r>
        <w:t>Pues bien, como se señalaba —por todos— en el ATC 120/2011, de 19 de septiembre, FJ 2, “resulta, por tanto, que, según lo dispuesto en el acuerdo del Pleno de este Tribunal, de 18 de junio de 1996, en consonancia con lo dispuesto en el art. 20 de la Ley 1/1996, de 10 enero, la competencia para resolver este tipo de reclamaciones sólo corresponde al Tribunal Constitucional cuando la situación de insuficiencia económica sobreviene una vez interpuesto el recurso de amparo, de lo que debe deducirse que en el supuesto de que la insuficiencia económica se produzca antes de la interposición de este recurso, este Tribunal no es competente para su resolución. Así lo hemos afirmado en los AATC 138/1997, de 7 de mayo, FJ 3; y 204/1997, de 4 junio, FJ 3, en los que expresamente hemos sostenido que el Tribunal es competente ‘para conocer de la impugnación contra la denegación del reconocimiento en el exclusivo supuesto en que la situación de insuficiencia económica sobrevenga con posterioridad a la interposición del recurso de amparo’.”</w:t>
      </w:r>
    </w:p>
    <w:p w:rsidR="006B7292" w:rsidRDefault="006B7292" w:rsidP="006B7292">
      <w:pPr>
        <w:pStyle w:val="TextoNormal"/>
      </w:pPr>
    </w:p>
    <w:p w:rsidR="006B7292" w:rsidRDefault="006B7292" w:rsidP="006B7292">
      <w:pPr>
        <w:pStyle w:val="TextoNormal"/>
      </w:pPr>
      <w:r w:rsidRPr="006B7292">
        <w:rPr>
          <w:rStyle w:val="NumeroAFNegritaCaracter"/>
        </w:rPr>
        <w:t>2</w:t>
      </w:r>
      <w:r>
        <w:t>. En el presente asunto el debate sobre la suficiencia o insuficiencia económica y el derecho al beneficio tiene ocasión a raíz de la solicitud de designación, en su caso, de Abogado y Procurador del turno de oficio, que tuvo lugar al tiempo de anunciarse la intención de interponer el recurso de amparo, como concretase la diligencia de ordenación del Secretario de Justicia de la Sección Segunda de la Sala Primera de este Tribunal de 27 de enero de 2015. Una solicitud finalmente resuelta en sentido denegatorio por la Comisión Central de Asistencia Jurídica Gratuita, en resolución de 27 de abril de 2015, y turnada después, cuando fue impugnada, al Juzgado de Instrucción núm. 51 de Madrid. No existe, en consecuencia, ningún elemento que suscite la cuestión relativa a la insuficiencia económica del recurrente por razones sobrevenidas a la interposición del recurso de amparo, lo que conlleva, como se acaba de indicar, que este Tribunal carezca de competencia para resolver la impugnación formulada contra la resolución de la Comisión central de asistencia jurídica gratuita que denegó el beneficio.</w:t>
      </w:r>
    </w:p>
    <w:p w:rsidR="006B7292" w:rsidRDefault="006B7292" w:rsidP="006B7292">
      <w:pPr>
        <w:pStyle w:val="TextoNormal"/>
      </w:pPr>
    </w:p>
    <w:p w:rsidR="006B7292" w:rsidRDefault="006B7292" w:rsidP="006B7292">
      <w:pPr>
        <w:pStyle w:val="TextoNormal"/>
      </w:pPr>
      <w:r>
        <w:t>De conformidad con lo previsto en el art. 4.1 LOTC y en el acuerdo de 18 de junio de 1996 del Pleno del Tribunal Constitucional, sobre asistencia jurídica gratuita en los procesos de amparo constitucional.</w:t>
      </w:r>
    </w:p>
    <w:p w:rsidR="006B7292" w:rsidRDefault="006B7292" w:rsidP="006B7292">
      <w:pPr>
        <w:pStyle w:val="TextoNormal"/>
      </w:pPr>
    </w:p>
    <w:p w:rsidR="006B7292" w:rsidRDefault="006B7292" w:rsidP="006B7292">
      <w:pPr>
        <w:pStyle w:val="TextoNormal"/>
      </w:pPr>
      <w:r>
        <w:t>Por todo lo expuesto, la Sección</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1º Declararse incompetente para el enjuiciamiento de la impugnación de la resolución de la Comisión Central de Asistencia Jurídica Gratuita en relación con el recurso de amparo núm. 221-2015, formulada por don Juan Francisco Romero Sánchez.</w:t>
      </w:r>
    </w:p>
    <w:p w:rsidR="006B7292" w:rsidRDefault="006B7292" w:rsidP="006B7292">
      <w:pPr>
        <w:pStyle w:val="TextoNormal"/>
      </w:pPr>
    </w:p>
    <w:p w:rsidR="006B7292" w:rsidRDefault="006B7292" w:rsidP="006B7292">
      <w:pPr>
        <w:pStyle w:val="TextoNormal"/>
      </w:pPr>
      <w:r>
        <w:t>2º Devolver al Juzgado de Instrucción núm. 51 de Madrid las actuaciones que en su día fueron remitidas a este Tribunal.</w:t>
      </w:r>
    </w:p>
    <w:p w:rsidR="006B7292" w:rsidRDefault="006B7292" w:rsidP="006B7292">
      <w:pPr>
        <w:pStyle w:val="TextoNormal"/>
      </w:pPr>
    </w:p>
    <w:p w:rsidR="006B7292" w:rsidRDefault="006B7292" w:rsidP="006B7292">
      <w:pPr>
        <w:pStyle w:val="TextoNormal"/>
      </w:pPr>
      <w:r>
        <w:t>Madrid, a cinco de octubre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79" w:name="AUTO_2015_165"/>
      <w:r>
        <w:t>AUTO 165/2015, de 6 de octubre de 2015</w:t>
      </w:r>
    </w:p>
    <w:bookmarkEnd w:id="179"/>
    <w:p w:rsidR="006B7292" w:rsidRDefault="006B7292" w:rsidP="006B7292">
      <w:pPr>
        <w:pStyle w:val="TtuloResolucin"/>
      </w:pPr>
      <w:r>
        <w:t>Pleno</w:t>
      </w:r>
    </w:p>
    <w:p w:rsidR="006B7292" w:rsidRDefault="006B7292" w:rsidP="006B7292">
      <w:pPr>
        <w:pStyle w:val="TextoNormalCentrado"/>
      </w:pPr>
      <w:r>
        <w:t>ECLI:ES:TC:2015:165A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Acuerda la extinción, por pérdida de objeto, del recurso de inconstitucionalidad 6478-2011, interpuesto por el Consejo de Gobierno de la Comunidad Autónoma de la Región de Murcia en relación con la disposición adicional primera del Real Decreto-ley 12/2011, de 26 de agosto, por el que se modifica la Ley de enjuiciamiento civil.</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presentado en el Registro General de este Tribunal el 28 de noviembre de 2011, el Letrado de la Comunidad Autónoma de la Región de Murcia, actuando en la representación que legalmente ostenta, interpuso recurso de inconstitucionalidad contra la disposición adicional primera del Real Decreto-ley 12/2011, de 26 de agosto, citado en el encabezamiento, que tiene el siguiente tenor:</w:t>
      </w:r>
    </w:p>
    <w:p w:rsidR="006B7292" w:rsidRDefault="006B7292" w:rsidP="006B7292">
      <w:pPr>
        <w:pStyle w:val="TextoNormal"/>
      </w:pPr>
    </w:p>
    <w:p w:rsidR="006B7292" w:rsidRDefault="006B7292" w:rsidP="006B7292">
      <w:pPr>
        <w:pStyle w:val="TextoNormal"/>
      </w:pPr>
      <w:r>
        <w:t>“Disposición final primera. Modificación del texto refundido de la Ley de Aguas aprobado por Real Decreto Legislativo 1/2001, de 20 de julio.</w:t>
      </w:r>
    </w:p>
    <w:p w:rsidR="006B7292" w:rsidRDefault="006B7292" w:rsidP="006B7292">
      <w:pPr>
        <w:pStyle w:val="TextoNormal"/>
      </w:pPr>
    </w:p>
    <w:p w:rsidR="006B7292" w:rsidRDefault="006B7292" w:rsidP="006B7292">
      <w:pPr>
        <w:pStyle w:val="TextoNormal"/>
      </w:pPr>
      <w:r>
        <w:t>Se añade una nueva disposición adicional en el texto refundido de la Ley de Aguas aprobado por Real Decreto Legislativo 1/2001, de 20 de julio, con la siguiente redacción:</w:t>
      </w:r>
    </w:p>
    <w:p w:rsidR="006B7292" w:rsidRDefault="006B7292" w:rsidP="006B7292">
      <w:pPr>
        <w:pStyle w:val="TextoNormal"/>
      </w:pPr>
    </w:p>
    <w:p w:rsidR="006B7292" w:rsidRDefault="006B7292" w:rsidP="006B7292">
      <w:pPr>
        <w:pStyle w:val="TextoNormal"/>
      </w:pPr>
      <w:r>
        <w:t>‘Disposición adicional decimocuarta. Competencias autonómicas en materia de policía de dominio público hidráulico.</w:t>
      </w:r>
    </w:p>
    <w:p w:rsidR="006B7292" w:rsidRDefault="006B7292" w:rsidP="006B7292">
      <w:pPr>
        <w:pStyle w:val="TextoNormal"/>
      </w:pPr>
    </w:p>
    <w:p w:rsidR="006B7292" w:rsidRDefault="006B7292" w:rsidP="006B7292">
      <w:pPr>
        <w:pStyle w:val="TextoNormal"/>
      </w:pPr>
      <w:r>
        <w:t>En las cuencas hidrográficas intercomunitarias, corresponderá a las Comunidades Autónomas que tengan prevista la competencia ejecutiva sobre las facultades de policía de dominio público hidráulico en sus Estatutos de Autonomía, el ejercicio, dentro de su ámbito territorial, de las funciones señaladas en el apartado 2 del artículo 94 de esta Ley, así como la tramitación de los procedimientos a que den lugar dichas actuaciones hasta la propuesta de resolución.</w:t>
      </w:r>
    </w:p>
    <w:p w:rsidR="006B7292" w:rsidRDefault="006B7292" w:rsidP="006B7292">
      <w:pPr>
        <w:pStyle w:val="TextoNormal"/>
      </w:pPr>
    </w:p>
    <w:p w:rsidR="006B7292" w:rsidRDefault="006B7292" w:rsidP="006B7292">
      <w:pPr>
        <w:pStyle w:val="TextoNormal"/>
      </w:pPr>
      <w:r>
        <w:t>En el ejercicio de estas funciones, será aplicable a los órganos competentes de las Comunidades Autónomas lo dispuesto en los apartados 3 y 4 del artículo 94.’”</w:t>
      </w:r>
    </w:p>
    <w:p w:rsidR="006B7292" w:rsidRDefault="006B7292" w:rsidP="006B7292">
      <w:pPr>
        <w:pStyle w:val="TextoNormal"/>
      </w:pPr>
    </w:p>
    <w:p w:rsidR="006B7292" w:rsidRDefault="006B7292" w:rsidP="006B7292">
      <w:pPr>
        <w:pStyle w:val="TextoNormal"/>
      </w:pPr>
      <w:r w:rsidRPr="006B7292">
        <w:rPr>
          <w:rStyle w:val="NumeroAFNegritaCaracter"/>
        </w:rPr>
        <w:t>2</w:t>
      </w:r>
      <w:r>
        <w:t>. La fundamentación del recurso es, resumidamente, la que a continuación se expone:</w:t>
      </w:r>
    </w:p>
    <w:p w:rsidR="006B7292" w:rsidRDefault="006B7292" w:rsidP="006B7292">
      <w:pPr>
        <w:pStyle w:val="TextoNormal"/>
      </w:pPr>
    </w:p>
    <w:p w:rsidR="006B7292" w:rsidRDefault="006B7292" w:rsidP="006B7292">
      <w:pPr>
        <w:pStyle w:val="TextoNormal"/>
      </w:pPr>
      <w:r>
        <w:t>a) En primer lugar, se denuncia la infracción del art. 86.1 CE al no responder la norma impugnada a ninguna situación de “extraordinaria y urgente necesidad”, como exige el citado precepto constitucional para que el Gobierno pueda dictar un real decreto-ley.</w:t>
      </w:r>
    </w:p>
    <w:p w:rsidR="006B7292" w:rsidRDefault="006B7292" w:rsidP="006B7292">
      <w:pPr>
        <w:pStyle w:val="TextoNormal"/>
      </w:pPr>
    </w:p>
    <w:p w:rsidR="006B7292" w:rsidRDefault="006B7292" w:rsidP="006B7292">
      <w:pPr>
        <w:pStyle w:val="TextoNormal"/>
      </w:pPr>
      <w:r>
        <w:t>El escrito de interposición comienza afirmando que el precepto, aunque no se reconozca expresamente, pretende dar cobertura a la encomienda atribuida a la Junta de Andalucía sobre la gestión del río Guadalquivir mediante convenio suscrito entre esa comunidad y el Ministerio de Medio Ambiente el día 7 de abril de 2011, como salida transitoria a la declaración de inconstitucionalidad del art. 51 de la Ley Orgánica 5/2007, de reforma del Estatuto de Autonomía para Andalucía, establecida por la STC 30/2011, de 16 de marzo.</w:t>
      </w:r>
    </w:p>
    <w:p w:rsidR="006B7292" w:rsidRDefault="006B7292" w:rsidP="006B7292">
      <w:pPr>
        <w:pStyle w:val="TextoNormal"/>
      </w:pPr>
    </w:p>
    <w:p w:rsidR="006B7292" w:rsidRDefault="006B7292" w:rsidP="006B7292">
      <w:pPr>
        <w:pStyle w:val="TextoNormal"/>
      </w:pPr>
      <w:r>
        <w:t>A continuación, argumenta que la justificación ofrecida por el Gobierno en la exposición de motivos del Real Decreto-ley 12/2011 no se ajusta a la doctrina de este Tribunal sobre la posibilidad de controlar el correcto ejercicio por parte del Gobierno de la potestad legislativa provisional y de urgencia que este artículo le reconoce. Recuerda que la expresión “extraordinaria y urgente necesidad” del art. 86.1 CE no es una expresión vacía de significado sino la constatación de un límite a la actuación mediante decretos leyes, cuya inexistencia conlleva la declaración de inconstitucionalidad (cita en este sentido las SSTC 29/1982, de 31 de mayo; 155/2005, de 9 de junio, y 68/2007, de 28 de marzo). Asimismo, recuerda que, según esa misma jurisprudencia, la definición de esa situación de extraordinaria y urgente necesidad ha de ser explícita y razonada y que debe existir una conexión de sentido entre el presupuesto habilitante y las medidas que se aprueban por medio del decreto-ley para subvenir a esa situación.</w:t>
      </w:r>
    </w:p>
    <w:p w:rsidR="006B7292" w:rsidRDefault="006B7292" w:rsidP="006B7292">
      <w:pPr>
        <w:pStyle w:val="TextoNormal"/>
      </w:pPr>
    </w:p>
    <w:p w:rsidR="006B7292" w:rsidRDefault="006B7292" w:rsidP="006B7292">
      <w:pPr>
        <w:pStyle w:val="TextoNormal"/>
      </w:pPr>
      <w:r>
        <w:t>Frente a ello, la exposición de motivos se limita a explicar, a propósito de esta concreta disposición, que “[c]on esta medida se pretende dotar de mayor seguridad jurídica a las relaciones interadministrativas en materia de aguas, todo ello conforme a la reciente doctrina del Tribunal Constitucional contenida en la Sentencia 30/2011, de 16 de marzo”. Fórmula de estilo que en modo alguno satisface los condicionamientos constitucionales antes expuestos.</w:t>
      </w:r>
    </w:p>
    <w:p w:rsidR="006B7292" w:rsidRDefault="006B7292" w:rsidP="006B7292">
      <w:pPr>
        <w:pStyle w:val="TextoNormal"/>
      </w:pPr>
    </w:p>
    <w:p w:rsidR="006B7292" w:rsidRDefault="006B7292" w:rsidP="006B7292">
      <w:pPr>
        <w:pStyle w:val="TextoNormal"/>
      </w:pPr>
      <w:r>
        <w:t>b) En segundo lugar, el Consejo de Gobierno recurrente discute el contenido de la disposición aprobada, que le parece que vulnera la distribución constitucional de competencias al infringir el principio de unidad de gestión que, según aquél, se deriva de los arts. 148.1.10 y 149.1.22 CE, tal y como ha sido interpretado por la STC 227/1988, de 29 de noviembre, y las posteriores SSTC161/1996, 15/1998, 110/1998, 118/1998, 166/2000 y 123/2003. Llama especialmente la atención sobre el hecho de que la tesis “fragmentadora” de la cuenca hidrográfica como unidad de gestión, hoy contenida en el art. 16 del texto refundido de la Ley de aguas, postulada por el Gobierno vasco en su recurso de inconstitucionalidad contra la Ley de aguas de 1985, haya sido expresamente rechazada desde “criterios lógicos, técnicos y de experiencia” por la citada STC 227/1988, FJ 15. Le parece entonces que el principio de unidad de gestión e indivisibilidad de las cuencas hidrográficas permiten distinguir tan solo entre las intercomunitarias y las internas o intracomunitarias. Sobre las primeras el Estado ejerce competencias plenas, en tanto que sobre las segundas son las Comunidades Autónomas las que lo hacen, sin perjuicio del respeto a la legislación básica estatal.</w:t>
      </w:r>
    </w:p>
    <w:p w:rsidR="006B7292" w:rsidRDefault="006B7292" w:rsidP="006B7292">
      <w:pPr>
        <w:pStyle w:val="TextoNormal"/>
      </w:pPr>
    </w:p>
    <w:p w:rsidR="006B7292" w:rsidRDefault="006B7292" w:rsidP="006B7292">
      <w:pPr>
        <w:pStyle w:val="TextoNormal"/>
      </w:pPr>
      <w:r>
        <w:t>Esta interpretación vendría avalada además, según la parte recurrente, por el art. 45.2 CE y su mandato de utilización racional de todos los recursos naturales, como ya tuvo ocasión de advertir la STC 227/1988, FJ 15.</w:t>
      </w:r>
    </w:p>
    <w:p w:rsidR="006B7292" w:rsidRDefault="006B7292" w:rsidP="006B7292">
      <w:pPr>
        <w:pStyle w:val="TextoNormal"/>
      </w:pPr>
    </w:p>
    <w:p w:rsidR="006B7292" w:rsidRDefault="006B7292" w:rsidP="006B7292">
      <w:pPr>
        <w:pStyle w:val="TextoNormal"/>
      </w:pPr>
      <w:r>
        <w:t>Por consiguiente, concluye, el legislador estatal no puede redefinir las competencias exclusivas del Estado en relación con una cuenca hidrográfica intercomunitaria mediante un entendimiento fragmentador de la cuenca que conduzca a compartimentar el régimen jurídico y la administración de sus aguas. Todo lo contrario, debe asegurar la administración unitaria del recurso por medios de sus potestades normativas y ejecutivas. Y la disposición recurrida ha vulnerado este mandato, en primer lugar, porque las facultades previstas en el art. 94.2 del texto refundido de la Ley de aguas, que la citada disposición recurrida atribuye a las comunidades autónomas con competencias en la materia, son “muy relevantes” y “desbordan ampliamente las amparadas en el concepto de ‘policía fluvial’”. Y cita como ejemplo de ello el hecho de que puedan las comunidades autónomas, a partir de la reforma, intervenir en procedimientos concesionales (v. gr. para su revisión o caducidad), así como en la principal herramienta para corregir abusos y usos ilícitos (expedientes sancionadores). Y en segundo lugar, porque no le parece suficiente para evitar lo anterior la cautela de limitar las competencias atribuidas a las comunidades autónomas a la “tramitación” de los correspondientes procedimientos, manteniendo la competencia de la confederación hidrográfica para dictar la oportuna resolución. En la práctica, ello supone dejar a éstas desprovistas de su capacidad material y técnica para ejercer en plenitud sus facultades de administración y control del dominio público hidráulico (no podrán, por ejemplo, iniciar el correspondiente procedimiento).</w:t>
      </w:r>
    </w:p>
    <w:p w:rsidR="006B7292" w:rsidRDefault="006B7292" w:rsidP="006B7292">
      <w:pPr>
        <w:pStyle w:val="TextoNormal"/>
      </w:pPr>
    </w:p>
    <w:p w:rsidR="006B7292" w:rsidRDefault="006B7292" w:rsidP="006B7292">
      <w:pPr>
        <w:pStyle w:val="TextoNormal"/>
      </w:pPr>
      <w:r>
        <w:t>Critica además la ineficiencia del sistema, que traerá consigo entre otros defectos de funcionamiento inevitables duplicidades, por ejemplo en los sistemas automatizados de información hidráulica o de control de calidad de agua.</w:t>
      </w:r>
    </w:p>
    <w:p w:rsidR="006B7292" w:rsidRDefault="006B7292" w:rsidP="006B7292">
      <w:pPr>
        <w:pStyle w:val="TextoNormal"/>
      </w:pPr>
    </w:p>
    <w:p w:rsidR="006B7292" w:rsidRDefault="006B7292" w:rsidP="006B7292">
      <w:pPr>
        <w:pStyle w:val="TextoNormal"/>
      </w:pPr>
      <w:r>
        <w:t>Por todo ello concluye que el criterio de unidad de gestión es indisponible para el legislador, pues le parece evidente que los usos y aprovechamientos que se realizan en el territorio de una comunidad autónoma condicionan las posibilidades de uso en las demás de la misma cuenca. Y solicita, por ello, que se declare la inconstitucionalidad de la disposición recurrida.</w:t>
      </w:r>
    </w:p>
    <w:p w:rsidR="006B7292" w:rsidRDefault="006B7292" w:rsidP="006B7292">
      <w:pPr>
        <w:pStyle w:val="TextoNormal"/>
      </w:pPr>
    </w:p>
    <w:p w:rsidR="006B7292" w:rsidRDefault="006B7292" w:rsidP="006B7292">
      <w:pPr>
        <w:pStyle w:val="TextoNormal"/>
      </w:pPr>
      <w:r w:rsidRPr="006B7292">
        <w:rPr>
          <w:rStyle w:val="NumeroAFNegritaCaracter"/>
        </w:rPr>
        <w:t>3</w:t>
      </w:r>
      <w:r>
        <w:t>. El Pleno del Tribunal, mediante providencia de 13 de enero de 2012, admitió a trámite el presente recurso de inconstitucionalidad y acordó dar traslado de las actuaciones,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estimaran pertinentes, acordándose en el mismo trámite publicar la incoación del recurso en el “Boletín Oficial del Estado”.</w:t>
      </w:r>
    </w:p>
    <w:p w:rsidR="006B7292" w:rsidRDefault="006B7292" w:rsidP="006B7292">
      <w:pPr>
        <w:pStyle w:val="TextoNormal"/>
      </w:pPr>
    </w:p>
    <w:p w:rsidR="006B7292" w:rsidRDefault="006B7292" w:rsidP="006B7292">
      <w:pPr>
        <w:pStyle w:val="TextoNormal"/>
      </w:pPr>
      <w:r w:rsidRPr="006B7292">
        <w:rPr>
          <w:rStyle w:val="NumeroAFNegritaCaracter"/>
        </w:rPr>
        <w:t>4</w:t>
      </w:r>
      <w:r>
        <w:t>. El día 17 de enero de 2012, el Abogado del Estado presentó en el Registro General de este Tribunal un escrito en el que solicitaba que se le tuviera por comparecido en este proceso en nombre del Gobierno de la Nación e interesando, además, la prórroga del plazo concedido para formular alegaciones por el máximo legal, solicitudes que fueron atendidas mediante providencia del Pleno de 18 de enero de 2012.</w:t>
      </w:r>
    </w:p>
    <w:p w:rsidR="006B7292" w:rsidRDefault="006B7292" w:rsidP="006B7292">
      <w:pPr>
        <w:pStyle w:val="TextoNormal"/>
      </w:pPr>
    </w:p>
    <w:p w:rsidR="006B7292" w:rsidRDefault="006B7292" w:rsidP="006B7292">
      <w:pPr>
        <w:pStyle w:val="TextoNormal"/>
      </w:pPr>
      <w:r w:rsidRPr="006B7292">
        <w:rPr>
          <w:rStyle w:val="NumeroAFNegritaCaracter"/>
        </w:rPr>
        <w:t>5</w:t>
      </w:r>
      <w:r>
        <w:t>. La Mesa del Senado, por escrito de su Presidente registrado el 25 de enero de 2012, acordó dar por personada a esa Cámara y por ofrecida su colaboración a los efectos del art. 88.1 LOTC.</w:t>
      </w:r>
    </w:p>
    <w:p w:rsidR="006B7292" w:rsidRDefault="006B7292" w:rsidP="006B7292">
      <w:pPr>
        <w:pStyle w:val="TextoNormal"/>
      </w:pPr>
    </w:p>
    <w:p w:rsidR="006B7292" w:rsidRDefault="006B7292" w:rsidP="006B7292">
      <w:pPr>
        <w:pStyle w:val="TextoNormal"/>
      </w:pPr>
      <w:r w:rsidRPr="006B7292">
        <w:rPr>
          <w:rStyle w:val="NumeroAFNegritaCaracter"/>
        </w:rPr>
        <w:t>6</w:t>
      </w:r>
      <w:r>
        <w:t>. Lo mismo hizo la Mesa del Congreso de los Diputados a través de escrito de su Presidente presentado en el Registro General de este Tribunal el día 3 de febrero de 2012.</w:t>
      </w:r>
    </w:p>
    <w:p w:rsidR="006B7292" w:rsidRDefault="006B7292" w:rsidP="006B7292">
      <w:pPr>
        <w:pStyle w:val="TextoNormal"/>
      </w:pPr>
    </w:p>
    <w:p w:rsidR="006B7292" w:rsidRDefault="006B7292" w:rsidP="006B7292">
      <w:pPr>
        <w:pStyle w:val="TextoNormal"/>
      </w:pPr>
      <w:r w:rsidRPr="006B7292">
        <w:rPr>
          <w:rStyle w:val="NumeroAFNegritaCaracter"/>
        </w:rPr>
        <w:t>7</w:t>
      </w:r>
      <w:r>
        <w:t>. El 15 de febrero de 2012 tuvo entrada en este Tribunal el escrito de alegaciones del Abogado del Estado. En él, se defiende la plena conformidad con la Constitución de la disposición recurrida de acuerdo con los argumentos que, sucintamente, se exponen a continuación.</w:t>
      </w:r>
    </w:p>
    <w:p w:rsidR="006B7292" w:rsidRDefault="006B7292" w:rsidP="006B7292">
      <w:pPr>
        <w:pStyle w:val="TextoNormal"/>
      </w:pPr>
    </w:p>
    <w:p w:rsidR="006B7292" w:rsidRDefault="006B7292" w:rsidP="006B7292">
      <w:pPr>
        <w:pStyle w:val="TextoNormal"/>
      </w:pPr>
      <w:r>
        <w:t>a) Comienza precisando que no hará alegaciones en Derecho sobre la intención oculta del Gobierno apuntada por el Consejo recurrente. Advierte que no es objeto del recurso de inconstitucionalidad depurar esas supuestas intenciones, sino examinar y resolver el encaje constitucional de la norma recurrida. De todos modos, deja constancia de los siguientes hechos, que le parecen relevantes para examinar el primer motivo del recurso:</w:t>
      </w:r>
    </w:p>
    <w:p w:rsidR="006B7292" w:rsidRDefault="006B7292" w:rsidP="006B7292">
      <w:pPr>
        <w:pStyle w:val="TextoNormal"/>
      </w:pPr>
    </w:p>
    <w:p w:rsidR="006B7292" w:rsidRDefault="006B7292" w:rsidP="006B7292">
      <w:pPr>
        <w:pStyle w:val="TextoNormal"/>
      </w:pPr>
      <w:r>
        <w:t>La STC 30/2011, de 16 de marzo, declaró inconstitucional y nulo el art. 51 de la Ley Orgánica 2/2007, de 19 de mayo, de reforma del Estatuto de Autonomía de Andalucía (EAAnd, en adelante).</w:t>
      </w:r>
    </w:p>
    <w:p w:rsidR="006B7292" w:rsidRDefault="006B7292" w:rsidP="006B7292">
      <w:pPr>
        <w:pStyle w:val="TextoNormal"/>
      </w:pPr>
    </w:p>
    <w:p w:rsidR="006B7292" w:rsidRDefault="006B7292" w:rsidP="006B7292">
      <w:pPr>
        <w:pStyle w:val="TextoNormal"/>
      </w:pPr>
      <w:r>
        <w:t>Como consecuencia de esa Sentencia, dice el Abogado del Estado, se tuvieron que arbitrar con carácter inmediato medidas de carácter temporal y provisional en orden a garantizar la continuidad y normalidad en la prestación del servicio público de gestión de los recursos y aprovechamientos hidráulicos en las aguas de la cuenca de Guadalquivir. Medidas que se plasmaron a través de un convenio de colaboración entre el Estado y la Comunidad Autónoma de Andalucía suscrito el 7 de noviembre de 2011.</w:t>
      </w:r>
    </w:p>
    <w:p w:rsidR="006B7292" w:rsidRDefault="006B7292" w:rsidP="006B7292">
      <w:pPr>
        <w:pStyle w:val="TextoNormal"/>
      </w:pPr>
    </w:p>
    <w:p w:rsidR="006B7292" w:rsidRDefault="006B7292" w:rsidP="006B7292">
      <w:pPr>
        <w:pStyle w:val="TextoNormal"/>
      </w:pPr>
      <w:r>
        <w:t>Sin embargo, la Sala Tercera del Tribunal Supremo, en tres Sentencias de 13 y 14 de junio de 2011, dictadas en los recursos núms. 66-2008, 1-2009 y 2-2009, declaró la nulidad del Real Decreto 1666/2008, de 17 de octubre, sobre traspaso de funciones y servicios de la Administración del Estado a la Comunidad Autónoma de Andalucía en materia de recursos y aprovechamientos hidráulicos correspondientes a las aguas de la cuenca del Guadalquivir que discurren íntegramente por el territorio de aquella Comunidad Autónoma. En dichas Sentencias se razonaba que “la declaración de inconstitucionalidad y consiguiente anulación del artículo 51 EAAnd”, producida por la STC 30/2011 ya citada, “priva de soporte constitucional y anula el fundamento del traspaso de funciones y servicios de la Administración del Estado a la Comunidad Autónoma de Andalucía”, razón por la cual procedía declarar “no… la mera ineficacia pro futuro, con alcance únicamente prospectivo, de la regulación contenida en aquel precepto, sino su nulidad al resultar contrario a la Constitución”.</w:t>
      </w:r>
    </w:p>
    <w:p w:rsidR="006B7292" w:rsidRDefault="006B7292" w:rsidP="006B7292">
      <w:pPr>
        <w:pStyle w:val="TextoNormal"/>
      </w:pPr>
    </w:p>
    <w:p w:rsidR="006B7292" w:rsidRDefault="006B7292" w:rsidP="006B7292">
      <w:pPr>
        <w:pStyle w:val="TextoNormal"/>
      </w:pPr>
      <w:r>
        <w:t>En ejecución de las referidas Sentencias, el Gobierno aprobó el Real Decreto 1498/2011, de 21 de octubre, por el que se reintegraron a la Administración del Estado los medios materiales y personales traspasados a la Comunidad Autónoma de Andalucía por el Real Decreto 1666/2008 declarado nulo. Un Real Decreto que motivó, además, que el Tribunal Supremo rechazara el incidente de ejecución intentado por la Asociación Feragua de Comunidades de Regantes de Andalucía en el recurso núm. 1-2009 antes mencionado, precisamente por haberse ejecutado ya esas Sentencias a través del citado Real Decreto 1498/2011, de 21 de octubre (Auto de la Sección Tercera de la Sala Tercera del Tribunal Supremo de 15 de diciembre de 2012).</w:t>
      </w:r>
    </w:p>
    <w:p w:rsidR="006B7292" w:rsidRDefault="006B7292" w:rsidP="006B7292">
      <w:pPr>
        <w:pStyle w:val="TextoNormal"/>
      </w:pPr>
    </w:p>
    <w:p w:rsidR="006B7292" w:rsidRDefault="006B7292" w:rsidP="006B7292">
      <w:pPr>
        <w:pStyle w:val="TextoNormal"/>
      </w:pPr>
      <w:r>
        <w:t>De todo ello deduce el Abogado del Estado que existe una justificación “explícita y razonada” para el dictado del Real Decreto-ley recurrido, en los términos exigidos por nuestra jurisprudencia. Admite que puede discutirse si en el párrafo antes transcrito de la exposición de motivos existe una mención terminante y categórica a los hechos determinantes de la situación de extraordinaria y urgente necesidad, pero, según su parecer, tal circunstancia no permite concluir que deba calificarse automáticamente de abusiva o arbitraria la actuación del Gobierno, sino que debe conducir al examen de si esos hechos o circunstancias relatados pueden servir de cobertura al Real Decreto-ley cuestionado. Y así, le parece que la declaración de inconstitucionalidad del art. 51 del EAAnd y las consecuencias a las que esa declaración de nulidad dio lugar (la nulidad, asimismo, del Real Decreto de traspaso núm. 1666/2008, antes citado) escenificaron una “situación de extraordinaria y urgente necesidad” que justifica la reacción legislativa inmediata del Gobierno.</w:t>
      </w:r>
    </w:p>
    <w:p w:rsidR="006B7292" w:rsidRDefault="006B7292" w:rsidP="006B7292">
      <w:pPr>
        <w:pStyle w:val="TextoNormal"/>
      </w:pPr>
    </w:p>
    <w:p w:rsidR="006B7292" w:rsidRDefault="006B7292" w:rsidP="006B7292">
      <w:pPr>
        <w:pStyle w:val="TextoNormal"/>
      </w:pPr>
      <w:r>
        <w:t>A su juicio, la misma conclusión se deduce del debate de convalidación, del que extracta el siguiente pasaje de la intervención de la Sra. Ministra de medio ambiente y medio rural y marino:</w:t>
      </w:r>
    </w:p>
    <w:p w:rsidR="006B7292" w:rsidRDefault="006B7292" w:rsidP="006B7292">
      <w:pPr>
        <w:pStyle w:val="TextoNormal"/>
      </w:pPr>
    </w:p>
    <w:p w:rsidR="006B7292" w:rsidRDefault="006B7292" w:rsidP="006B7292">
      <w:pPr>
        <w:pStyle w:val="TextoNormal"/>
      </w:pPr>
      <w:r>
        <w:t>“El Tribunal Constitucional, en su sentencia de 16 de marzo, declaró la inconstitucionalidad y nulidad del artículo 51 del Estatuto de Autonomía de Andalucía... Este pronunciamiento del Tribunal Constitucional lo reafirmó el propio Tribunal Constitucional el 17 de marzo en su sentencia 32/2011, en relación con la Ley Orgánica Estatuto de Autonomía de Castilla y León. Habidos los pronunciamientos del Tribunal Constitucional, hemos planteado, porque esos pronunciamientos lo han motivado, la modificación del sistema de gestión del agua en nuestro ordenamiento para dotarlo de mayor seguridad jurídica en lo que se refiere a las relaciones interadministrativas en materia de agua…</w:t>
      </w:r>
    </w:p>
    <w:p w:rsidR="006B7292" w:rsidRDefault="006B7292" w:rsidP="006B7292">
      <w:pPr>
        <w:pStyle w:val="TextoNormal"/>
      </w:pPr>
    </w:p>
    <w:p w:rsidR="006B7292" w:rsidRDefault="006B7292" w:rsidP="006B7292">
      <w:pPr>
        <w:pStyle w:val="TextoNormal"/>
      </w:pPr>
      <w:r>
        <w:t>En definitiva… a través de esta nueva disposición adicional se viene a dar cumplimiento a las previsiones estatutarias en el marco de la reciente doctrina sentada por el Tribunal Constitucional, contribuyendo con ello a la seguridad jurídica en las relaciones intracomunitarias en materia de agua y también preservando la unidad de cuenca a la hora de gestionarlas.”</w:t>
      </w:r>
    </w:p>
    <w:p w:rsidR="006B7292" w:rsidRDefault="006B7292" w:rsidP="006B7292">
      <w:pPr>
        <w:pStyle w:val="TextoNormal"/>
      </w:pPr>
    </w:p>
    <w:p w:rsidR="006B7292" w:rsidRDefault="006B7292" w:rsidP="006B7292">
      <w:pPr>
        <w:pStyle w:val="TextoNormal"/>
      </w:pPr>
      <w:r>
        <w:t>Estas circunstancias le parecen suficientes para rechazar el carácter abusivo o arbitrario del Real Decreto-ley 12/2011, pretendido de contrario.</w:t>
      </w:r>
    </w:p>
    <w:p w:rsidR="006B7292" w:rsidRDefault="006B7292" w:rsidP="006B7292">
      <w:pPr>
        <w:pStyle w:val="TextoNormal"/>
      </w:pPr>
    </w:p>
    <w:p w:rsidR="006B7292" w:rsidRDefault="006B7292" w:rsidP="006B7292">
      <w:pPr>
        <w:pStyle w:val="TextoNormal"/>
      </w:pPr>
      <w:r>
        <w:t>b) En cuanto al contenido de la disposición impugnada, la representación del Gobierno destaca que la razón de decidir de las SSTC 30/2011, de 16 de marzo, y 32/2011, de 17 de marzo, que anularon dos preceptos estatutarios y que están en el origen del Real Decreto-ley impugnado, fue la inconstitucionalidad del contenido de esos preceptos pero también la inconstitucionalidad del vehículo formal empleado para su aprobación, del tipo normativo, que fue un Estatuto de Autonomía. Así, resulta de los dos siguientes pasajes de las referidas Sentencias, que extracta:</w:t>
      </w:r>
    </w:p>
    <w:p w:rsidR="006B7292" w:rsidRDefault="006B7292" w:rsidP="006B7292">
      <w:pPr>
        <w:pStyle w:val="TextoNormal"/>
      </w:pPr>
    </w:p>
    <w:p w:rsidR="006B7292" w:rsidRDefault="006B7292" w:rsidP="006B7292">
      <w:pPr>
        <w:pStyle w:val="TextoNormal"/>
      </w:pPr>
      <w:r>
        <w:t xml:space="preserve">En primer lugar, del fundamento jurídico 8 de la STC 31/2011, donde se dice: “con la definición estatutaria del criterio territorial determinante de la delimitación de las competencias atribuidas al Estado por el art. 149.1.22 CE no sólo se están asumiendo competencias fuera del ámbito que acabamos de señalar —arts. 148 y 149 CE </w:t>
      </w:r>
      <w:r w:rsidRPr="006B7292">
        <w:rPr>
          <w:i/>
        </w:rPr>
        <w:t>a sensu contrario</w:t>
      </w:r>
      <w:r>
        <w:t>— sino que además se menoscaban gravemente ‘las funciones propias’ de las competencias estatales … Tal función integradora padecería de manera irremisible si los Estatutos de Autonomía fueran constitucionalmente capaces de imponer un criterio de delimitación competencial respecto de potestades y funciones que, como es el caso con las aguas que discurren por varias Comunidades Autónomas, han de proyectarse sobre una realidad física supracomunitaria, cuya disciplina sería sencillamente imposible si los criterios adoptados en los Estatutos de las Comunidades Autónomas interesadas resultaran incompatibles o excluyentes”.</w:t>
      </w:r>
    </w:p>
    <w:p w:rsidR="006B7292" w:rsidRDefault="006B7292" w:rsidP="006B7292">
      <w:pPr>
        <w:pStyle w:val="TextoNormal"/>
      </w:pPr>
    </w:p>
    <w:p w:rsidR="006B7292" w:rsidRDefault="006B7292" w:rsidP="006B7292">
      <w:pPr>
        <w:pStyle w:val="TextoNormal"/>
      </w:pPr>
      <w:r>
        <w:t>Y, en segundo lugar, del fundamento jurídico 12 de la misma STC 30/2011, donde se razona: “[p]or último, y en relación con el art. 50.2 EAAnd, afirma el Consejo de Gobierno extremeño que sus dudas de constitucionalidad se centran en el último inciso del precepto, en cuanto atribuye a la Comunidad Autónoma de Andalucía facultades de policía del dominio público hidráulico sin dejar claro el tipo de cuencas al que se está haciendo referencia. De acuerdo con el propio recurrente, si se tratara de las intercomunitarias, sería constitucionalmente improcedente que el Estatuto asumiera así una competencia que corresponde al Estado (STC 161/1996, de 15 de junio). Así es, en efecto, y tal es la razón por la que, declarada la inconstitucionalidad del art. 51 EAAnd, esa interpretación no puede caber en el art. 50.2 EAAnd. Todo ello sin perjuicio de que, como alega el Abogado del Estado, nada impide que la legislación estatal de aguas confiera a las Comunidades Autónomas funciones o facultades de ‘policía del dominio público hidráulico’ en cuencas intercomunitarias (STC 161/1996, de 17 de octubre), o que, según el art. 17 d) de la Ley de aguas, entre las funciones del Estado en relación con el dominio público hidráulico se encuentre el otorgamiento de autorizaciones cuya tramitación puede encomendarse a las Comunidades Autónomas”.</w:t>
      </w:r>
    </w:p>
    <w:p w:rsidR="006B7292" w:rsidRDefault="006B7292" w:rsidP="006B7292">
      <w:pPr>
        <w:pStyle w:val="TextoNormal"/>
      </w:pPr>
    </w:p>
    <w:p w:rsidR="006B7292" w:rsidRDefault="006B7292" w:rsidP="006B7292">
      <w:pPr>
        <w:pStyle w:val="TextoNormal"/>
      </w:pPr>
      <w:r>
        <w:t xml:space="preserve">Por consiguiente, de los pasajes transcritos de la STC 30/2011 deduce que el principio de unidad de gestión de las cuencas intercomunitarias no implica atribución exclusiva y excluyente al Estado de todas las competencias en relación con dichas cuencas, y en concreto no impide a la legislación del Estado atribuir a las Comunidades Autónomas competencias ejecutivas en materia de policía de aguas, que es lo que aquí se ha hecho. Así lo confirma la normativa anterior a la reforma, donde se contienen previsiones semejantes. Es el caso del art. 17 d) del texto refundido de la Ley de aguas, que prevé la encomienda a las Comunidades Autónomas de la tramitación de las autorizaciones referentes al dominio público hidráulico en esta clase de cuencas, y también de la modificación de las zonas de servidumbre y de policía de los márgenes de los cauces públicos, previsto en el art. 9.3 del reglamento de dominio público hidráulico, aprobado por Real Decreto 849/1986, de 11 de abril. Pudiendo citarse, además, en el mismo sentido los supuestos de colaboración del art. 25 del texto refundido de la Ley de aguas, y, </w:t>
      </w:r>
      <w:r w:rsidRPr="006B7292">
        <w:rPr>
          <w:i/>
        </w:rPr>
        <w:t>a sensu contrario</w:t>
      </w:r>
      <w:r>
        <w:t xml:space="preserve">, el art. 36 </w:t>
      </w:r>
      <w:r w:rsidRPr="006B7292">
        <w:rPr>
          <w:i/>
        </w:rPr>
        <w:t>bis</w:t>
      </w:r>
      <w:r>
        <w:t>.4 del texto refundido de la Ley de aguas en relación con las cuencas intracomunitarias.</w:t>
      </w:r>
    </w:p>
    <w:p w:rsidR="006B7292" w:rsidRDefault="006B7292" w:rsidP="006B7292">
      <w:pPr>
        <w:pStyle w:val="TextoNormal"/>
      </w:pPr>
    </w:p>
    <w:p w:rsidR="006B7292" w:rsidRDefault="006B7292" w:rsidP="006B7292">
      <w:pPr>
        <w:pStyle w:val="TextoNormal"/>
      </w:pPr>
      <w:r>
        <w:t>Por todo lo expuesto, termina su escrito solicitando de este Tribunal el dictado de una sentencia íntegramente desestimatoria del recurso de inconstitucionalidad interpuesto.</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Único. El Consejo de Gobierno de la Comunidad Autónoma de la Región de Murcia ha interpuesto recurso de inconstitucionalidad contra la disposición final primera del Real Decreto-ley 12/2011, de 26 de agosto, por el que se modifica la Ley 1/2000, de 7 de enero, de enjuiciamiento civil, para la aplicación del convenio internacional sobre el embargo preventivo de buques y se regulan competencias autonómicas en materia de policía de dominio público hidráulico.</w:t>
      </w:r>
    </w:p>
    <w:p w:rsidR="006B7292" w:rsidRDefault="006B7292" w:rsidP="006B7292">
      <w:pPr>
        <w:pStyle w:val="TextoNormal"/>
      </w:pPr>
    </w:p>
    <w:p w:rsidR="006B7292" w:rsidRDefault="006B7292" w:rsidP="006B7292">
      <w:pPr>
        <w:pStyle w:val="TextoNormal"/>
      </w:pPr>
      <w:r>
        <w:t>Pues bien, la STC 196/2015, de 24 de septiembre, recaída en el recurso de inconstitucionalidad 6363-2011 promovido por el Consell de la Generalitat Valenciana ha declarado ya la inconstitucionalidad y nulidad de la referida disposición. Por tanto, una vez que la norma discutida ha sido declarada nula por la Sentencia indicada, que vincula a todos los poderes públicos (arts. 38.1 y 39.1 de la Ley Orgánica del Tribunal Constitucional), el presente proceso de inconstitucionalidad núm. 6478-2011 ha quedado ya sin finalidad por desaparición sobrevenida de su objeto (así, entre otros, AATC 148/2011, de 7 de noviembre, FJ único, y 149/2011, de 7 de noviembre, FJ único), figura ésta de la extinción procesal “cuya integración dentro de nuestro sistema de justicia constitucional resulta plenamente viable, pese al silencio de la Ley Orgánica del Tribunal Constitucional, en razón a la virtualidad propia de los principios que inspiran la institución procesal” (ATC 14/1996, de 17 de enero, FJ único).</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Declarar extinguido el recurso de inconstitucionalidad núm. 6478-2011, por desaparición sobrevenida de su objeto.</w:t>
      </w:r>
    </w:p>
    <w:p w:rsidR="006B7292" w:rsidRDefault="006B7292" w:rsidP="006B7292">
      <w:pPr>
        <w:pStyle w:val="TextoNormal"/>
      </w:pPr>
    </w:p>
    <w:p w:rsidR="006B7292" w:rsidRDefault="006B7292" w:rsidP="006B7292">
      <w:pPr>
        <w:pStyle w:val="TextoNormal"/>
      </w:pPr>
      <w:r>
        <w:t>Madrid, a seis de octubre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80" w:name="AUTO_2015_166"/>
      <w:r>
        <w:t>AUTO 166/2015, de 6 de octubre de 2015</w:t>
      </w:r>
    </w:p>
    <w:bookmarkEnd w:id="180"/>
    <w:p w:rsidR="006B7292" w:rsidRDefault="006B7292" w:rsidP="006B7292">
      <w:pPr>
        <w:pStyle w:val="TtuloResolucin"/>
      </w:pPr>
      <w:r>
        <w:t>Pleno</w:t>
      </w:r>
    </w:p>
    <w:p w:rsidR="006B7292" w:rsidRDefault="006B7292" w:rsidP="006B7292">
      <w:pPr>
        <w:pStyle w:val="TextoNormalCentrado"/>
      </w:pPr>
      <w:r>
        <w:t>ECLI:ES:TC:2015:166A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Acuerda la extinción, por pérdida de objeto, del recurso de inconstitucionalidad 6523-2011, interpuesto por las Cortes Valencianas en relación con la disposición final primera del Real Decreto-ley 12/2011, de 26 de agosto, por el que se modifica la Ley de enjuiciamiento civil.</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presentado en el Registro General de este Tribunal el 30 de noviembre de 2011, el Letrado de las Cortes Valencianas, actuando en la representación que legalmente ostenta, interpuso recurso de inconstitucionalidad contra la disposición final primera del Real Decreto-ley 12/2011, de 26 de agosto, citado en el encabezamiento, que tiene el siguiente tenor:</w:t>
      </w:r>
    </w:p>
    <w:p w:rsidR="006B7292" w:rsidRDefault="006B7292" w:rsidP="006B7292">
      <w:pPr>
        <w:pStyle w:val="TextoNormal"/>
      </w:pPr>
    </w:p>
    <w:p w:rsidR="006B7292" w:rsidRDefault="006B7292" w:rsidP="006B7292">
      <w:pPr>
        <w:pStyle w:val="TextoNormal"/>
      </w:pPr>
      <w:r>
        <w:t>“Disposición final primera. Modificación del texto refundido de la Ley de Aguas aprobado por Real Decreto Legislativo 1/2001, de 20 de julio.</w:t>
      </w:r>
    </w:p>
    <w:p w:rsidR="006B7292" w:rsidRDefault="006B7292" w:rsidP="006B7292">
      <w:pPr>
        <w:pStyle w:val="TextoNormal"/>
      </w:pPr>
    </w:p>
    <w:p w:rsidR="006B7292" w:rsidRDefault="006B7292" w:rsidP="006B7292">
      <w:pPr>
        <w:pStyle w:val="TextoNormal"/>
      </w:pPr>
      <w:r>
        <w:t>Se añade una nueva disposición adicional en el texto refundido de la Ley de Aguas aprobado por Real Decreto Legislativo 1/2001, de 20 de julio, con la siguiente redacción:</w:t>
      </w:r>
    </w:p>
    <w:p w:rsidR="006B7292" w:rsidRDefault="006B7292" w:rsidP="006B7292">
      <w:pPr>
        <w:pStyle w:val="TextoNormal"/>
      </w:pPr>
    </w:p>
    <w:p w:rsidR="006B7292" w:rsidRDefault="006B7292" w:rsidP="006B7292">
      <w:pPr>
        <w:pStyle w:val="TextoNormal"/>
      </w:pPr>
      <w:r>
        <w:t>‘Disposición adicional decimocuarta. Competencias autonómicas en materia de policía de dominio público hidráulico.</w:t>
      </w:r>
    </w:p>
    <w:p w:rsidR="006B7292" w:rsidRDefault="006B7292" w:rsidP="006B7292">
      <w:pPr>
        <w:pStyle w:val="TextoNormal"/>
      </w:pPr>
    </w:p>
    <w:p w:rsidR="006B7292" w:rsidRDefault="006B7292" w:rsidP="006B7292">
      <w:pPr>
        <w:pStyle w:val="TextoNormal"/>
      </w:pPr>
      <w:r>
        <w:t>En las cuencas hidrográficas intercomunitarias, corresponderá a las Comunidades Autónomas que tengan prevista la competencia ejecutiva sobre las facultades de policía de dominio público hidráulico en sus Estatutos de Autonomía, el ejercicio, dentro de su ámbito territorial, de las funciones señaladas en el apartado 2 del artículo 94 de esta Ley, así como la tramitación de los procedimientos a que den lugar dichas actuaciones hasta la propuesta de resolución.</w:t>
      </w:r>
    </w:p>
    <w:p w:rsidR="006B7292" w:rsidRDefault="006B7292" w:rsidP="006B7292">
      <w:pPr>
        <w:pStyle w:val="TextoNormal"/>
      </w:pPr>
    </w:p>
    <w:p w:rsidR="006B7292" w:rsidRDefault="006B7292" w:rsidP="006B7292">
      <w:pPr>
        <w:pStyle w:val="TextoNormal"/>
      </w:pPr>
      <w:r>
        <w:t>En el ejercicio de estas funciones, será aplicable a los órganos competentes de las Comunidades Autónomas lo dispuesto en los apartados 3 y 4 del artículo 94.’”</w:t>
      </w:r>
    </w:p>
    <w:p w:rsidR="006B7292" w:rsidRDefault="006B7292" w:rsidP="006B7292">
      <w:pPr>
        <w:pStyle w:val="TextoNormal"/>
      </w:pPr>
    </w:p>
    <w:p w:rsidR="006B7292" w:rsidRDefault="006B7292" w:rsidP="006B7292">
      <w:pPr>
        <w:pStyle w:val="TextoNormal"/>
      </w:pPr>
      <w:r w:rsidRPr="006B7292">
        <w:rPr>
          <w:rStyle w:val="NumeroAFNegritaCaracter"/>
        </w:rPr>
        <w:t>2</w:t>
      </w:r>
      <w:r>
        <w:t>. Los motivos de este recurso de inconstitucionalidad son los que, sucintamente, se recogen a continuación:</w:t>
      </w:r>
    </w:p>
    <w:p w:rsidR="006B7292" w:rsidRDefault="006B7292" w:rsidP="006B7292">
      <w:pPr>
        <w:pStyle w:val="TextoNormal"/>
      </w:pPr>
    </w:p>
    <w:p w:rsidR="006B7292" w:rsidRDefault="006B7292" w:rsidP="006B7292">
      <w:pPr>
        <w:pStyle w:val="TextoNormal"/>
      </w:pPr>
      <w:r>
        <w:t>a) En primer lugar, se denuncia la infracción del art. 86.1 CE al no responder la norma impugnada a ninguna situación de “extraordinaria y urgente necesidad”, como exige el citado precepto constitucional para que el Gobierno pueda dictar un real decreto-ley.</w:t>
      </w:r>
    </w:p>
    <w:p w:rsidR="006B7292" w:rsidRDefault="006B7292" w:rsidP="006B7292">
      <w:pPr>
        <w:pStyle w:val="TextoNormal"/>
      </w:pPr>
    </w:p>
    <w:p w:rsidR="006B7292" w:rsidRDefault="006B7292" w:rsidP="006B7292">
      <w:pPr>
        <w:pStyle w:val="TextoNormal"/>
      </w:pPr>
      <w:r>
        <w:t>El escrito de interposición recuerda la doctrina de este Tribunal acerca de la posibilidad de controlar el correcto ejercicio por parte del Gobierno de la potestad legislativa provisional y de urgencia que este artículo le reconoce, con la consiguiente posibilidad de declarar la nulidad de un real decreto-ley cuando se hace un “uso abusivo o arbitrario” del mismo por inexistencia del presupuesto habilitante (cita las SSTC 29/1982, 6/1983, 182/1997 y 68/2007).</w:t>
      </w:r>
    </w:p>
    <w:p w:rsidR="006B7292" w:rsidRDefault="006B7292" w:rsidP="006B7292">
      <w:pPr>
        <w:pStyle w:val="TextoNormal"/>
      </w:pPr>
    </w:p>
    <w:p w:rsidR="006B7292" w:rsidRDefault="006B7292" w:rsidP="006B7292">
      <w:pPr>
        <w:pStyle w:val="TextoNormal"/>
      </w:pPr>
      <w:r>
        <w:t>En este sentido, la parte recurrente denuncia que no existen circunstancias que hayan requerido de esta acción normativa del Gobierno. Y así, constata que el apartado II de la exposición de motivos del Real Decreto-ley recurrido simplemente se dice: “[c]on esta medida se pretende dotar de mayor seguridad jurídica a las relaciones interadministrativas en materia de aguas, todo ello conforme a la reciente doctrina del Tribunal Constitucional contenida en la Sentencia 30/2011, de 16 de marzo”. Una justificación que le parece insuficiente para explicitar una situación de extraordinaria y urgente necesidad que pueda permitir al Gobierno dictar un real decreto-ley.</w:t>
      </w:r>
    </w:p>
    <w:p w:rsidR="006B7292" w:rsidRDefault="006B7292" w:rsidP="006B7292">
      <w:pPr>
        <w:pStyle w:val="TextoNormal"/>
      </w:pPr>
    </w:p>
    <w:p w:rsidR="006B7292" w:rsidRDefault="006B7292" w:rsidP="006B7292">
      <w:pPr>
        <w:pStyle w:val="TextoNormal"/>
      </w:pPr>
      <w:r>
        <w:t>b) Aun dentro de los presupuestos de validez de los decretos-leyes, el Parlamento recurrente considera que la disposición se ha dictado fuera del ámbito acotado a este tipo de norma en el art. 86.1 CE, pues ese instrumento normativo no puede afectar al régimen de las Comunidades Autónomas, según el precepto indicado. Habiendo precisado el Tribunal Constitucional que ese régimen abarca “el ámbito que la Constitución reserva a determinadas leyes para delimitar las competencias del Estado y las diferentes Comunidades Autónomas o para regular o armonizar el ejercicio de las competencias de éstas” [STC 29/1982, FJ 2 b)]. Por ello, incide el Tribunal Constitucional, el Real Decreto-ley no puede tener como fin atribuir competencias o delimitar positivamente la esfera de competencias de las Comunidades Autónomas (STC 23/1993).</w:t>
      </w:r>
    </w:p>
    <w:p w:rsidR="006B7292" w:rsidRDefault="006B7292" w:rsidP="006B7292">
      <w:pPr>
        <w:pStyle w:val="TextoNormal"/>
      </w:pPr>
    </w:p>
    <w:p w:rsidR="006B7292" w:rsidRDefault="006B7292" w:rsidP="006B7292">
      <w:pPr>
        <w:pStyle w:val="TextoNormal"/>
      </w:pPr>
      <w:r>
        <w:t>c) Pasando ahora al contenido de la disposición cuestionada, la parte recurrente considera que la misma infringe el principio de unidad de gestión e indivisibilidad de las cuencas hidrográficas intercomunitarias, establecido en los arts. 14 y 16 bis del texto refundido de la Ley de aguas y consagrado por la STC 227/1988, FJ 15. De hecho, las SSTC 30/2011 y 32/2011, que están en el origen del presente Real Decreto-ley vinieron a corregir, dice, las tendencias fragmentadoras de este principio que se habían manifestado en los procesos de reformas estatutarias iniciados a partir de 2006. En concreto, la STC 30/2011 declaró la inconstitucionalidad de la asunción por las Comunidades Autónomas de competencias sobre cuencas intercomunitarias porque ello supone “compartimentar el régimen jurídico y la administración de las aguas pertenecientes a la misma cuenca intercomunitaria e impedir que las competencias reservadas al Estado por el art. 149.1.22 CE y ejercidas por éste a través de la legislación estatal en materia de aguas desplieguen la función integradora y de reducción a la unidad que les es propia”, y en parecidos términos se pronunció la también citada STC 32/2011.</w:t>
      </w:r>
    </w:p>
    <w:p w:rsidR="006B7292" w:rsidRDefault="006B7292" w:rsidP="006B7292">
      <w:pPr>
        <w:pStyle w:val="TextoNormal"/>
      </w:pPr>
    </w:p>
    <w:p w:rsidR="006B7292" w:rsidRDefault="006B7292" w:rsidP="006B7292">
      <w:pPr>
        <w:pStyle w:val="TextoNormal"/>
      </w:pPr>
      <w:r>
        <w:t>Recuerda que esos principios de unidad de cuenca y unidad de gestión derivan de las obligaciones impuestas por la Directiva 2000/60/CE, del Parlamento Europeo y del Consejo, de 23 de octubre de 2000, por la que se establece un marco comunitario de actuación en el ámbito de la política de aguas, y que el incumplimiento de las obligaciones impuestas por las normas comunitarias puede dar lugar a la responsabilidad del Estado en el marco de la Unión Europea (art. 23 de la Directiva y STJUE de 7 de mayo de 2009, asunto C-516/07).</w:t>
      </w:r>
    </w:p>
    <w:p w:rsidR="006B7292" w:rsidRDefault="006B7292" w:rsidP="006B7292">
      <w:pPr>
        <w:pStyle w:val="TextoNormal"/>
      </w:pPr>
    </w:p>
    <w:p w:rsidR="006B7292" w:rsidRDefault="006B7292" w:rsidP="006B7292">
      <w:pPr>
        <w:pStyle w:val="TextoNormal"/>
      </w:pPr>
      <w:r>
        <w:t>Y subraya, para terminar, que el dominio público hidráulico no se puede transferir ni delegar, como tuvo ocasión de señalar el Tribunal Constitucional en la fundamental STC 227/1988, y después en la STC 247/2007 sobre el derecho al agua de los valencianos y las valencianas. De modo que aunque en ocasiones se admita que la propiedad pública de un bien y el ejercicio de las competencias públicas que lo utilizan como soporte natural puedan separarse, solo la fórmula demanial garantiza una más racional utilización de los recursos en esta materia.</w:t>
      </w:r>
    </w:p>
    <w:p w:rsidR="006B7292" w:rsidRDefault="006B7292" w:rsidP="006B7292">
      <w:pPr>
        <w:pStyle w:val="TextoNormal"/>
      </w:pPr>
    </w:p>
    <w:p w:rsidR="006B7292" w:rsidRDefault="006B7292" w:rsidP="006B7292">
      <w:pPr>
        <w:pStyle w:val="TextoNormal"/>
      </w:pPr>
      <w:r>
        <w:t>d) En cuarto lugar, la cámara recurrente denuncia que la reforma del texto refundido de la Ley de aguas se ha llevado a cabo sin los trámites de información pública e informes preceptivos que impone la legislación vigente. En concreto, no se ha recabado informe del Consejo Nacional del Agua y del Consejo Asesor del Medio Ambiente (art. 20 del texto refundido de la Ley de aguas), ni tampoco consta que se haya sometido a información pública como exige el art. 15 del texto refundido de la Ley de aguas y el art. 8 del convenio de Aarhus sobre el acceso a la información, la participación del público en la toma de decisiones y el acceso a la justicia en materia de medio ambiente.</w:t>
      </w:r>
    </w:p>
    <w:p w:rsidR="006B7292" w:rsidRDefault="006B7292" w:rsidP="006B7292">
      <w:pPr>
        <w:pStyle w:val="TextoNormal"/>
      </w:pPr>
    </w:p>
    <w:p w:rsidR="006B7292" w:rsidRDefault="006B7292" w:rsidP="006B7292">
      <w:pPr>
        <w:pStyle w:val="TextoNormal"/>
      </w:pPr>
      <w:r w:rsidRPr="006B7292">
        <w:rPr>
          <w:rStyle w:val="NumeroAFNegritaCaracter"/>
        </w:rPr>
        <w:t>3</w:t>
      </w:r>
      <w:r>
        <w:t>. El Pleno del Tribunal, mediante providencia de 13 de enero de 2012, admitió a trámite el presente recurso de inconstitucionalidad y acordó dar traslado de las actuaciones,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estimaran pertinentes, acordándose en el mismo trámite publicar la incoación del recurso en el “Boletín Oficial del Estado”.</w:t>
      </w:r>
    </w:p>
    <w:p w:rsidR="006B7292" w:rsidRDefault="006B7292" w:rsidP="006B7292">
      <w:pPr>
        <w:pStyle w:val="TextoNormal"/>
      </w:pPr>
    </w:p>
    <w:p w:rsidR="006B7292" w:rsidRDefault="006B7292" w:rsidP="006B7292">
      <w:pPr>
        <w:pStyle w:val="TextoNormal"/>
      </w:pPr>
      <w:r w:rsidRPr="006B7292">
        <w:rPr>
          <w:rStyle w:val="NumeroAFNegritaCaracter"/>
        </w:rPr>
        <w:t>4</w:t>
      </w:r>
      <w:r>
        <w:t>. El día 17 de enero de 2012, el Abogado del Estado presentó en el Registro General de este Tribunal un escrito en el que solicitaba que se le tuviera por comparecido en este proceso en nombre del Gobierno de la Nación e interesando, además, la prórroga del plazo concedido para formular alegaciones por el máximo legal, solicitudes que fueron atendidas mediante providencia del Pleno de 18 de enero de 2012.</w:t>
      </w:r>
    </w:p>
    <w:p w:rsidR="006B7292" w:rsidRDefault="006B7292" w:rsidP="006B7292">
      <w:pPr>
        <w:pStyle w:val="TextoNormal"/>
      </w:pPr>
    </w:p>
    <w:p w:rsidR="006B7292" w:rsidRDefault="006B7292" w:rsidP="006B7292">
      <w:pPr>
        <w:pStyle w:val="TextoNormal"/>
      </w:pPr>
      <w:r w:rsidRPr="006B7292">
        <w:rPr>
          <w:rStyle w:val="NumeroAFNegritaCaracter"/>
        </w:rPr>
        <w:t>5</w:t>
      </w:r>
      <w:r>
        <w:t>. La Mesa del Senado, por escrito de su Presidente registrado el 25 de enero de 2012, acordó dar por personada a esa Cámara y por ofrecida su colaboración a los efectos del art. 88.1 LOTC.</w:t>
      </w:r>
    </w:p>
    <w:p w:rsidR="006B7292" w:rsidRDefault="006B7292" w:rsidP="006B7292">
      <w:pPr>
        <w:pStyle w:val="TextoNormal"/>
      </w:pPr>
    </w:p>
    <w:p w:rsidR="006B7292" w:rsidRDefault="006B7292" w:rsidP="006B7292">
      <w:pPr>
        <w:pStyle w:val="TextoNormal"/>
      </w:pPr>
      <w:r w:rsidRPr="006B7292">
        <w:rPr>
          <w:rStyle w:val="NumeroAFNegritaCaracter"/>
        </w:rPr>
        <w:t>6</w:t>
      </w:r>
      <w:r>
        <w:t>. Lo mismo hizo la Mesa del Congreso de los Diputados a través de escrito de su Presidente presentado en el Registro General de este Tribunal el día 3 de febrero de 2012.</w:t>
      </w:r>
    </w:p>
    <w:p w:rsidR="006B7292" w:rsidRDefault="006B7292" w:rsidP="006B7292">
      <w:pPr>
        <w:pStyle w:val="TextoNormal"/>
      </w:pPr>
    </w:p>
    <w:p w:rsidR="006B7292" w:rsidRDefault="006B7292" w:rsidP="006B7292">
      <w:pPr>
        <w:pStyle w:val="TextoNormal"/>
      </w:pPr>
      <w:r w:rsidRPr="006B7292">
        <w:rPr>
          <w:rStyle w:val="NumeroAFNegritaCaracter"/>
        </w:rPr>
        <w:t>7</w:t>
      </w:r>
      <w:r>
        <w:t>. El 15 de febrero de 2012 tuvo entrada en este Tribunal el escrito de alegaciones del Abogado del Estado. En él, se defiende la plena conformidad con la Constitución de la disposición recurrida de acuerdo con los argumentos que, sucintamente, se exponen a continuación.</w:t>
      </w:r>
    </w:p>
    <w:p w:rsidR="006B7292" w:rsidRDefault="006B7292" w:rsidP="006B7292">
      <w:pPr>
        <w:pStyle w:val="TextoNormal"/>
      </w:pPr>
    </w:p>
    <w:p w:rsidR="006B7292" w:rsidRDefault="006B7292" w:rsidP="006B7292">
      <w:pPr>
        <w:pStyle w:val="TextoNormal"/>
      </w:pPr>
      <w:r>
        <w:t>a) En cuanto a la falta de presupuesto habilitante, le parece oportuno comenzar recordando una serie de hechos significativos que traen causa de la STC 30/2011, de 16 de marzo, por la que se declaró inconstitucional y nulo el art. 51 de la Ley Orgánica 2/2007, de 19 de mayo, de reforma del Estatuto de Autonomía de Andalucía (EAAnd, en adelante), en una interpretación reiterada en la STC 32/2011, de 17 de marzo, esta vez en relación con el art. 75.1 del Estatuto de Autonomía de Castilla y León aprobado por Ley Orgánica 14/2007, de 30 de noviembre.</w:t>
      </w:r>
    </w:p>
    <w:p w:rsidR="006B7292" w:rsidRDefault="006B7292" w:rsidP="006B7292">
      <w:pPr>
        <w:pStyle w:val="TextoNormal"/>
      </w:pPr>
    </w:p>
    <w:p w:rsidR="006B7292" w:rsidRDefault="006B7292" w:rsidP="006B7292">
      <w:pPr>
        <w:pStyle w:val="TextoNormal"/>
      </w:pPr>
      <w:r>
        <w:t>Como consecuencia de la primera de esas Sentencias, dice el Abogado del Estado, se tuvieron que arbitrar con carácter inmediato medidas de carácter temporal y provisional en orden a garantizar la continuidad y normalidad en la prestación del servicio público de gestión de los recursos y aprovechamientos hidráulicos en las aguas de la cuenca de Guadalquivir. Medidas que se plasmaron a través de un convenio de colaboración entre el Estado y la Comunidad Autónoma de Andalucía suscrito el 7 de noviembre de 2011.</w:t>
      </w:r>
    </w:p>
    <w:p w:rsidR="006B7292" w:rsidRDefault="006B7292" w:rsidP="006B7292">
      <w:pPr>
        <w:pStyle w:val="TextoNormal"/>
      </w:pPr>
    </w:p>
    <w:p w:rsidR="006B7292" w:rsidRDefault="006B7292" w:rsidP="006B7292">
      <w:pPr>
        <w:pStyle w:val="TextoNormal"/>
      </w:pPr>
      <w:r>
        <w:t>Sin embargo, la Sala Tercera del Tribunal Supremo, en tres Sentencias de 13 y 14 de junio de 2011, dictadas en los recursos núms. 66-2008, 1-2009 y 2-2009, declaró la nulidad del Real Decreto 1666/2008, de 17 de octubre, sobre traspaso de funciones y servicios de la Administración del Estado a la Comunidad Autónoma de Andalucía en materia de recursos y aprovechamientos hidráulicos correspondientes a las aguas de la cuenca del Guadalquivir que discurren íntegramente por el territorio de la comunidad autónoma. En esas Sentencias se razonaba que “la declaración de inconstitucionalidad y consiguiente anulación del artículo 51 EAAnd”, producida por la STC 30/2011 ya citada, “priva de soporte constitucional y anula el fundamento del traspaso de funciones y servicios de la Administración del Estado a la Comunidad Autónoma de Andalucía”, razón por la cual procedía declarar “no… la mera ineficacia pro futuro, con alcance únicamente prospectivo, de la regulación contenida en aquel precepto, sino su nulidad al resultar contrario a la Constitución”.</w:t>
      </w:r>
    </w:p>
    <w:p w:rsidR="006B7292" w:rsidRDefault="006B7292" w:rsidP="006B7292">
      <w:pPr>
        <w:pStyle w:val="TextoNormal"/>
      </w:pPr>
    </w:p>
    <w:p w:rsidR="006B7292" w:rsidRDefault="006B7292" w:rsidP="006B7292">
      <w:pPr>
        <w:pStyle w:val="TextoNormal"/>
      </w:pPr>
      <w:r>
        <w:t>En ejecución de las referidas Sentencias el Gobierno procedió a aprobar el Real Decreto 1498/2011, de 21 de octubre, por el que se reintegraron a la Administración del Estado los medios materiales y personales traspasados a la Comunidad Autónoma de Andalucía por el Real Decreto 1666/2008 declarado nulo. Un Real Decreto que motivó además que el Tribunal Supremo rechazara el incidente de ejecución intentado por la Asociación Feragua de Comunidades de Regantes de Andalucía en el recurso núm 1-2009 antes mencionado, precisamente por haberse ejecutado ya esas Sentencias a través del citado Real Decreto 1498/2011, de 21 de octubre (Auto de la Sección Tercera de la Sala Tercera del Tribunal Supremo de 15 de diciembre de 2012).</w:t>
      </w:r>
    </w:p>
    <w:p w:rsidR="006B7292" w:rsidRDefault="006B7292" w:rsidP="006B7292">
      <w:pPr>
        <w:pStyle w:val="TextoNormal"/>
      </w:pPr>
    </w:p>
    <w:p w:rsidR="006B7292" w:rsidRDefault="006B7292" w:rsidP="006B7292">
      <w:pPr>
        <w:pStyle w:val="TextoNormal"/>
      </w:pPr>
      <w:r>
        <w:t>De todo ello deduce el Abogado del Estado que existe una justificación “explícita y razonada” para el dictado del Real Decreto-ley recurrido, en los términos exigidos por nuestra jurisprudencia. Admite que puede discutirse si en el párrafo antes transcrito de la exposición de motivos existe una mención terminante y categórica a los hechos determinantes de la situación de extraordinaria y urgente necesidad, pero ello no determina para él que deba calificarse automáticamente de abusiva o arbitraria la actuación del Gobierno, sino que debe conducir al examen de si esos hechos o circunstancias relatados pueden servir de cobertura al Real Decreto-ley cuestionado. Y así, le parece que la declaración de inconstitucionalidad del art. 51 del Estatuto de Autonomía de Andalucía y las consecuencias a las que esa declaración de nulidad dio lugar (la nulidad, asimismo, del Real Decreto de traspaso núm. 1666/2008, antes citado) escenificaron una “situación de extraordinaria y urgente necesidad” que justifica la reacción legislativa inmediata del Gobierno.</w:t>
      </w:r>
    </w:p>
    <w:p w:rsidR="006B7292" w:rsidRDefault="006B7292" w:rsidP="006B7292">
      <w:pPr>
        <w:pStyle w:val="TextoNormal"/>
      </w:pPr>
    </w:p>
    <w:p w:rsidR="006B7292" w:rsidRDefault="006B7292" w:rsidP="006B7292">
      <w:pPr>
        <w:pStyle w:val="TextoNormal"/>
      </w:pPr>
      <w:r>
        <w:t>Y esto mismo se deduce del debate de convalidación, del que extracta el siguiente pasaje de la intervención de la Ministra de medio ambiente y medio rural y marino:</w:t>
      </w:r>
    </w:p>
    <w:p w:rsidR="006B7292" w:rsidRDefault="006B7292" w:rsidP="006B7292">
      <w:pPr>
        <w:pStyle w:val="TextoNormal"/>
      </w:pPr>
    </w:p>
    <w:p w:rsidR="006B7292" w:rsidRDefault="006B7292" w:rsidP="006B7292">
      <w:pPr>
        <w:pStyle w:val="TextoNormal"/>
      </w:pPr>
      <w:r>
        <w:t>“El Tribunal Constitucional, en su sentencia de 16 de marzo, declaró la inconstitucionalidad y nulidad del artículo 51 del Estatuto de Autonomía de Andalucía... Este pronunciamiento del Tribunal Constitucional lo reafirmó el propio Tribunal Constitucional el 17 de marzo en su sentencia 32/2011, en relación con la Ley Orgánica Estatuto de Autonomía de Castilla y León. Habidos los pronunciamientos del Tribunal Constitucional, hemos planteado, porque esos pronunciamientos lo han motivado, la modificación del sistema de gestión del agua en nuestro ordenamiento para dotarlo de mayor seguridad jurídica en lo que se refiere a las relaciones interadministrativas en materia de agua…</w:t>
      </w:r>
    </w:p>
    <w:p w:rsidR="006B7292" w:rsidRDefault="006B7292" w:rsidP="006B7292">
      <w:pPr>
        <w:pStyle w:val="TextoNormal"/>
      </w:pPr>
    </w:p>
    <w:p w:rsidR="006B7292" w:rsidRDefault="006B7292" w:rsidP="006B7292">
      <w:pPr>
        <w:pStyle w:val="TextoNormal"/>
      </w:pPr>
      <w:r>
        <w:t>En definitiva… a través de esta nueva disposición adicional se viene a dar cumplimiento a las previsiones estatutarias en el marco de la reciente doctrina sentada por el Tribunal Constitucional, contribuyendo con ello a la seguridad jurídica en las relaciones intracomunitarias en materia de agua y también preservando la unidad de cuenca a la hora de gestionarlas.”</w:t>
      </w:r>
    </w:p>
    <w:p w:rsidR="006B7292" w:rsidRDefault="006B7292" w:rsidP="006B7292">
      <w:pPr>
        <w:pStyle w:val="TextoNormal"/>
      </w:pPr>
    </w:p>
    <w:p w:rsidR="006B7292" w:rsidRDefault="006B7292" w:rsidP="006B7292">
      <w:pPr>
        <w:pStyle w:val="TextoNormal"/>
      </w:pPr>
      <w:r>
        <w:t>Estas circunstancias le parecen suficientes para rechazar el carácter abusivo o arbitrario del Real Decreto-ley 12/2011, pretendido de contrario.</w:t>
      </w:r>
    </w:p>
    <w:p w:rsidR="006B7292" w:rsidRDefault="006B7292" w:rsidP="006B7292">
      <w:pPr>
        <w:pStyle w:val="TextoNormal"/>
      </w:pPr>
    </w:p>
    <w:p w:rsidR="006B7292" w:rsidRDefault="006B7292" w:rsidP="006B7292">
      <w:pPr>
        <w:pStyle w:val="TextoNormal"/>
      </w:pPr>
      <w:r>
        <w:t>b) Sobre el ámbito material de los reales decretos-leyes, el Abogado del estado puntualiza que en realidad la doctrina constitucional ha dicho que “[e]sta limitación del art. 86.2 debe interpretarse en el sentido de que el Real Decreto-ley no puede afectar al régimen jurídico constitucional de las Comunidades Autónomas, incluida la posición institucional que les otorga la Constitución, es decir, en el sentido de que el Real Decreto-ley no puede regular el objeto propio de aquellas leyes que, de acuerdo con el art. 28.1 de la Ley Orgánica del Tribunal Constitucional, sirven de parámetro para enjuiciar la constitucionalidad de las demás … Estas leyes determinadoras de competencias no son, con carácter general, las que se dicten en el ejercicio de las competencias que el art. 149.1 de la Constitución reserva al Estado … Por lo que se refiere a la delimitación de competencias entre el Estado y las Comunidades Autónomas, de acuerdo con lo que determina el art. 147.2 d) de la Constitución, son los Estatutos de Autonomía las normas llamadas a fijar las competencias asumidas dentro del marco establecido en la Constitución y los Estatutos, en los que éstos ocupan una posición jerárquicamente subordinada a aquélla. Sin embargo, de ello no cabe deducir que toda ley estatal que pretenda delimitar competencias entre el Estado y las Comunidades Autónomas sea inconstitucional por pretender ejercer una función reservada al Estatuto. La reserva que la Constitución hace al Estatuto en esta materia no es total o absoluta; las leyes estatales pueden cumplir en unas ocasiones una función atributiva de competencias —Leyes Orgánicas de transferencia o delegación— y en otras, una función delimitadora de su contenido, como ha reconocido este Tribunal en reiteradas ocasiones. Tal sucede cuando la Constitución remite a una Ley del Estado para precisar el alcance de la competencia que las Comunidades Autónomas pueden asumir…” (SSTC 29/1986, 23/1993, 225/1993, 11/2002 y 332/2005).</w:t>
      </w:r>
    </w:p>
    <w:p w:rsidR="006B7292" w:rsidRDefault="006B7292" w:rsidP="006B7292">
      <w:pPr>
        <w:pStyle w:val="TextoNormal"/>
      </w:pPr>
    </w:p>
    <w:p w:rsidR="006B7292" w:rsidRDefault="006B7292" w:rsidP="006B7292">
      <w:pPr>
        <w:pStyle w:val="TextoNormal"/>
      </w:pPr>
      <w:r>
        <w:t>c) En cuanto al contenido de la disposición impugnada, la representación del Gobierno destaca que la razón de decidir de las SSTC 30/2011, de 16 de marzo, y 32/2011, de 17 de marzo, que anularon dos preceptos estatutarios y que están en el origen del Real Decreto-ley impugnado, fue la inconstitucionalidad del contenido de esos preceptos pero también la inconstitucionalidad del vehículo formal empleado para su aprobación, del tipo normativo, que fue un Estatuto de Autonomía. Así resulta de los dos siguientes pasajes de las referidas Sentencias, que extracta:</w:t>
      </w:r>
    </w:p>
    <w:p w:rsidR="006B7292" w:rsidRDefault="006B7292" w:rsidP="006B7292">
      <w:pPr>
        <w:pStyle w:val="TextoNormal"/>
      </w:pPr>
    </w:p>
    <w:p w:rsidR="006B7292" w:rsidRDefault="006B7292" w:rsidP="006B7292">
      <w:pPr>
        <w:pStyle w:val="TextoNormal"/>
      </w:pPr>
      <w:r>
        <w:t>En primer lugar, del fundamento jurídico 8 de la STC 31/2011, donde se dice: “con la definición estatutaria del criterio territorial determinante de la delimitación de las competencias atribuidas al Estado por el art. 149.1.22 CE no sólo se están asumiendo competencias fuera del ámbito que acabamos de señalar —arts. 148 y 149 CE a sensu contrario— sino que además se menoscaban gravemente ‘las funciones propias’ de las competencias estatales … Tal función integradora padecería de manera irremisible si los Estatutos de Autonomía fueran constitucionalmente capaces de imponer un criterio de delimitación competencial respecto de potestades y funciones que, como es el caso con las aguas que discurren por varias Comunidades Autónomas, han de proyectarse sobre una realidad física supracomunitaria, cuya disciplina sería sencillamente imposible si los criterios adoptados en los Estatutos de las Comunidades Autónomas interesadas resultaran incompatibles o excluyentes”.</w:t>
      </w:r>
    </w:p>
    <w:p w:rsidR="006B7292" w:rsidRDefault="006B7292" w:rsidP="006B7292">
      <w:pPr>
        <w:pStyle w:val="TextoNormal"/>
      </w:pPr>
    </w:p>
    <w:p w:rsidR="006B7292" w:rsidRDefault="006B7292" w:rsidP="006B7292">
      <w:pPr>
        <w:pStyle w:val="TextoNormal"/>
      </w:pPr>
      <w:r>
        <w:t>Y, en segundo lugar, del fundamento jurídico 12 de la misma STC 30/2011, donde se razona: “[p]or último, y en relación con el art. 50.2 EAAnd, afirma el Consejo de Gobierno extremeño que sus dudas de constitucionalidad se centran en el último inciso del precepto, en cuanto atribuye a la Comunidad Autónoma de Andalucía facultades de policía del dominio público hidráulico sin dejar claro el tipo de cuencas al que se está haciendo referencia. De acuerdo con el propio recurrente, si se tratara de las intercomunitarias, sería constitucionalmente improcedente que el Estatuto asumiera así una competencia que corresponde al Estado (STC 161/1996, de 15 de junio). Así es, en efecto, y tal es la razón por la que, declarada la inconstitucionalidad del art. 51 EAAnd, esa interpretación no puede caber en el art. 50.2 EAAnd. Todo ello sin perjuicio de que, como alega el Abogado del Estado, nada impide que la legislación estatal de aguas confiera a las Comunidades Autónomas funciones o facultades de ‘policía del dominio público hidráulico’ en cuencas intercomunitarias (STC 161/1996, de 17 de octubre), o que, según el art. 17 d) de la Ley de aguas, entre las funciones del Estado en relación con el dominio público hidráulico se encuentre el otorgamiento de autorizaciones cuya tramitación puede encomendarse a las Comunidades Autónomas”.</w:t>
      </w:r>
    </w:p>
    <w:p w:rsidR="006B7292" w:rsidRDefault="006B7292" w:rsidP="006B7292">
      <w:pPr>
        <w:pStyle w:val="TextoNormal"/>
      </w:pPr>
    </w:p>
    <w:p w:rsidR="006B7292" w:rsidRDefault="006B7292" w:rsidP="006B7292">
      <w:pPr>
        <w:pStyle w:val="TextoNormal"/>
      </w:pPr>
      <w:r>
        <w:t xml:space="preserve">Por consiguiente, de los pasajes transcritos de la STC 30/2011 deduce que el principio de unidad de gestión de las cuencas intercomunitarias no impide a la legislación del Estado atribuir a las Comunidades Autónomas competencias ejecutivas en materia de policía de aguas, que es lo que aquí se ha hecho. Así lo confirma la normativa anterior a la reforma, donde se contienen previsiones semejantes. Es el caso del art. 17 d) del texto refundido de la Ley de aguas, que prevé la encomienda a las Comunidades Autónomas de la tramitación de las autorizaciones referentes al dominio público hidráulico en esta clase de cuencas, y también de la modificación de las zonas de servidumbre y de policía de los márgenes de los cauces públicos, previsto en el art. 9.3 del Reglamento de dominio público hidráulico, aprobado por Real Decreto 849/1986, de 11 de abril. Pudiendo citarse, además, en el mismo sentido los supuestos de colaboración del art. 25 del texto refundido de la Ley de aguas, y a sensu contrario, el art. 36 </w:t>
      </w:r>
      <w:r w:rsidRPr="006B7292">
        <w:rPr>
          <w:i/>
        </w:rPr>
        <w:t>bis</w:t>
      </w:r>
      <w:r>
        <w:t>.4 del texto refundido de la Ley de aguas en relación con las cuencas intracomunitarias.</w:t>
      </w:r>
    </w:p>
    <w:p w:rsidR="006B7292" w:rsidRDefault="006B7292" w:rsidP="006B7292">
      <w:pPr>
        <w:pStyle w:val="TextoNormal"/>
      </w:pPr>
    </w:p>
    <w:p w:rsidR="006B7292" w:rsidRDefault="006B7292" w:rsidP="006B7292">
      <w:pPr>
        <w:pStyle w:val="TextoNormal"/>
      </w:pPr>
      <w:r>
        <w:t>d) Finalmente, el Abogado del Estado contesta a las referencias que hace el escrito de interposición al marco comunitario de actuación en el ámbito de la política de aguas. Y lo hace en el sentido de recordar, como la propia parte conoce y asume en su recurso, que no es objeto del recurso de inconstitucionalidad analizar las obligaciones impuestas por el derecho comunitario, reflexiones por completo ajenas a un recurso de inconstitucionalidad.</w:t>
      </w:r>
    </w:p>
    <w:p w:rsidR="006B7292" w:rsidRDefault="006B7292" w:rsidP="006B7292">
      <w:pPr>
        <w:pStyle w:val="TextoNormal"/>
      </w:pPr>
    </w:p>
    <w:p w:rsidR="006B7292" w:rsidRDefault="006B7292" w:rsidP="006B7292">
      <w:pPr>
        <w:pStyle w:val="TextoNormal"/>
      </w:pPr>
      <w:r>
        <w:t>Por todo lo expuesto, termina su escrito solicitando de este Tribunal el dictado de una sentencia íntegramente desestimatoria del recurso de inconstitucionalidad interpuesto.</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Único. El Letrado de las Cortes Valencianas ha interpuesto recurso de inconstitucionalidad contra la disposición final primera del Real Decreto-ley 12/2011, de 26 de agosto, por el que se modifica la Ley 1/2000, de 7 de enero, de enjuiciamiento civil, para la aplicación del Convenio internacional sobre el embargo preventivo de buques y se regulan competencias autonómicas en materia de policía de dominio público hidráulico.</w:t>
      </w:r>
    </w:p>
    <w:p w:rsidR="006B7292" w:rsidRDefault="006B7292" w:rsidP="006B7292">
      <w:pPr>
        <w:pStyle w:val="TextoNormal"/>
      </w:pPr>
    </w:p>
    <w:p w:rsidR="006B7292" w:rsidRDefault="006B7292" w:rsidP="006B7292">
      <w:pPr>
        <w:pStyle w:val="TextoNormal"/>
      </w:pPr>
      <w:r>
        <w:t>Pues bien, la STC 196-2015, de 24 de septiembre de 2015, recaída en el recurso de inconstitucionalidad 6363-2011 promovido por el Consell de la Generalitat Valenciana ha declarado ya la inconstitucionalidad y nulidad de la referida disposición. Por tanto, una vez que la norma discutida ha sido declarada nula por la Sentencia indicada, que vincula a todos los poderes públicos (arts. 38.1 y 39.1 de la Ley Orgánica del Tribunal Constitucional), el presente proceso de inconstitucionalidad núm. 6523-2011 ha quedado ya sin finalidad por desaparición sobrevenida de su objeto (así, entre otros, AATC 148/2011, de 7 de noviembre, FJ único; y 149/2011, de 7 de noviembre, FJ único), figura ésta de la extinción procesal “cuya integración dentro de nuestro sistema de justicia constitucional resulta plenamente viable, pese al silencio de la Ley Orgánica del Tribunal Constitucional, en razón a la virtualidad propia de los principios que inspiran la institución procesal” (ATC 14/1996, de 17 de enero, FJ único).</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Declarar extinguido el recurso de inconstitucionalidad núm. 6523-2011, por desaparición sobrevenida de su objeto.</w:t>
      </w:r>
    </w:p>
    <w:p w:rsidR="006B7292" w:rsidRDefault="006B7292" w:rsidP="006B7292">
      <w:pPr>
        <w:pStyle w:val="TextoNormal"/>
      </w:pPr>
    </w:p>
    <w:p w:rsidR="006B7292" w:rsidRDefault="006B7292" w:rsidP="006B7292">
      <w:pPr>
        <w:pStyle w:val="TextoNormal"/>
      </w:pPr>
      <w:r>
        <w:t>Madrid, a seis de octubre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81" w:name="AUTO_2015_167"/>
      <w:r>
        <w:t>AUTO 167/2015, de 6 de octubre de 2015</w:t>
      </w:r>
    </w:p>
    <w:bookmarkEnd w:id="181"/>
    <w:p w:rsidR="006B7292" w:rsidRDefault="006B7292" w:rsidP="006B7292">
      <w:pPr>
        <w:pStyle w:val="TtuloResolucin"/>
      </w:pPr>
      <w:r>
        <w:t>Pleno</w:t>
      </w:r>
    </w:p>
    <w:p w:rsidR="006B7292" w:rsidRDefault="006B7292" w:rsidP="006B7292">
      <w:pPr>
        <w:pStyle w:val="TextoNormalCentrado"/>
      </w:pPr>
      <w:r>
        <w:t>ECLI:ES:TC:2015:167A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Inadmite a trámite la cuestión de inconstitucionalidad 823-2015, planteada por el Tribunal Superior de Justicia de Murcia en relación con el artículo 2 del Real Decreto-ley 20/2012, de 13 de julio, de medidas para garantizar la estabilidad presupuestaria y de fomento de la competitividad.</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día 11 de febrero de 2015 tuvo entrada en el Registro General de este Tribunal un oficio de la Sala de lo Social del Tribunal Superior de Justicia de Murcia al que se acompaña, junto con el testimonio del procedimiento correspondiente (recurso de suplicación núm. 399-2014), el Auto de 10 de noviembre de 2014, por el que se acuerda plantear cuestión de inconstitucionalidad respecto del art. 2 del Real Decreto-ley 20/2012, de 13 de julio, de medidas para garantizar la estabilidad presupuestaria y de fomento de la competitividad, por posible vulneración del art. 9.3 C.E.</w:t>
      </w:r>
    </w:p>
    <w:p w:rsidR="006B7292" w:rsidRDefault="006B7292" w:rsidP="006B7292">
      <w:pPr>
        <w:pStyle w:val="TextoNormal"/>
      </w:pPr>
    </w:p>
    <w:p w:rsidR="006B7292" w:rsidRDefault="006B7292" w:rsidP="006B7292">
      <w:pPr>
        <w:pStyle w:val="TextoNormal"/>
      </w:pPr>
      <w:r>
        <w:t>El precepto cuestionado dispone, en lo que interesa, lo siguiente:</w:t>
      </w:r>
    </w:p>
    <w:p w:rsidR="006B7292" w:rsidRDefault="006B7292" w:rsidP="006B7292">
      <w:pPr>
        <w:pStyle w:val="TextoNormal"/>
      </w:pPr>
    </w:p>
    <w:p w:rsidR="006B7292" w:rsidRDefault="006B7292" w:rsidP="006B7292">
      <w:pPr>
        <w:pStyle w:val="TextoNormal"/>
      </w:pPr>
      <w:r>
        <w:t>“1. En el año 2012 el personal del sector público definido en el artículo 22. Uno de la Ley 2/2012, de 29 de junio, de Presupuestos Generales del Estado, verá reducida sus retribuciones en las cuantías que corresponda percibir en el mes de diciembre como consecuencia de la supresión tanto de la paga extraordinaria como de la paga adicional de complemento específico o pagas adicionales equivalentes de dicho mes.</w:t>
      </w:r>
    </w:p>
    <w:p w:rsidR="006B7292" w:rsidRDefault="006B7292" w:rsidP="006B7292">
      <w:pPr>
        <w:pStyle w:val="TextoNormal"/>
      </w:pPr>
    </w:p>
    <w:p w:rsidR="006B7292" w:rsidRDefault="006B7292" w:rsidP="006B7292">
      <w:pPr>
        <w:pStyle w:val="TextoNormal"/>
      </w:pPr>
      <w:r>
        <w:t>2. Para hacer efectivo lo dispuesto en el apartado anterior, se adoptarán las siguientes medidas:</w:t>
      </w:r>
    </w:p>
    <w:p w:rsidR="006B7292" w:rsidRDefault="006B7292" w:rsidP="006B7292">
      <w:pPr>
        <w:pStyle w:val="TextoNormal"/>
      </w:pPr>
    </w:p>
    <w:p w:rsidR="006B7292" w:rsidRDefault="006B7292" w:rsidP="006B7292">
      <w:pPr>
        <w:pStyle w:val="TextoNormal"/>
      </w:pPr>
      <w:r>
        <w:t>2.1 El personal funcionario no percibirá en el mes de diciembre las cantidades a que se refiere el artículo 22.Cinco.2 de la Ley 2/2012, de 29 de junio, de Presupuestos Generales del Estado para el año 2012 en concepto de sueldo y trienios.</w:t>
      </w:r>
    </w:p>
    <w:p w:rsidR="006B7292" w:rsidRDefault="006B7292" w:rsidP="006B7292">
      <w:pPr>
        <w:pStyle w:val="TextoNormal"/>
      </w:pPr>
    </w:p>
    <w:p w:rsidR="006B7292" w:rsidRDefault="006B7292" w:rsidP="006B7292">
      <w:pPr>
        <w:pStyle w:val="TextoNormal"/>
      </w:pPr>
      <w:r>
        <w:t>Tampoco se percibirá las cuantías correspondientes al resto de los conceptos retributivos que integran tanto la paga extraordinaria como la paga adicional de complemento específico o pagas adicionales equivalentes del mes de diciembre, pudiendo, en este caso, acordarse por cada Administración competente que dicha reducción se ejecute de forma prorrateada entre las nóminas pendientes de percibir en el presente ejercicio a partir de la entrada en vigor de este Real Decreto-ley.</w:t>
      </w:r>
    </w:p>
    <w:p w:rsidR="006B7292" w:rsidRDefault="006B7292" w:rsidP="006B7292">
      <w:pPr>
        <w:pStyle w:val="TextoNormal"/>
      </w:pPr>
    </w:p>
    <w:p w:rsidR="006B7292" w:rsidRDefault="006B7292" w:rsidP="006B7292">
      <w:pPr>
        <w:pStyle w:val="TextoNormal"/>
      </w:pPr>
      <w:r>
        <w:t>2.2 El personal laboral no percibirá las cantidades en concepto de gratificación extraordinaria con ocasión de las fiestas de Navidad o paga extraordinaria o equivalente del mes de diciembre del año 2012. Esta reducción comprenderá la de todos los conceptos retributivos que forman parte de dicha paga de acuerdo con los convenios colectivos que resulten de aplicación.</w:t>
      </w:r>
    </w:p>
    <w:p w:rsidR="006B7292" w:rsidRDefault="006B7292" w:rsidP="006B7292">
      <w:pPr>
        <w:pStyle w:val="TextoNormal"/>
      </w:pPr>
    </w:p>
    <w:p w:rsidR="006B7292" w:rsidRDefault="006B7292" w:rsidP="006B7292">
      <w:pPr>
        <w:pStyle w:val="TextoNormal"/>
      </w:pPr>
      <w:r>
        <w:t>La aplicación directa de esta medida se realizará en la nómina del mes de diciembre de 2012, sin perjuicio de que pueda alterarse la distribución definitiva de la reducción en los ámbitos correspondientes mediante la negociación colectiva, pudiendo, en este caso, acordarse que dicha reducción se ejecute de forma prorrateada entre las nóminas pendientes de percibir en el presente ejercicio a partir de la entrada en vigor de este Real Decreto-ley.</w:t>
      </w:r>
    </w:p>
    <w:p w:rsidR="006B7292" w:rsidRDefault="006B7292" w:rsidP="006B7292">
      <w:pPr>
        <w:pStyle w:val="TextoNormal"/>
      </w:pPr>
    </w:p>
    <w:p w:rsidR="006B7292" w:rsidRDefault="006B7292" w:rsidP="006B7292">
      <w:pPr>
        <w:pStyle w:val="TextoNormal"/>
      </w:pPr>
      <w:r>
        <w:t>La reducción retributiva establecida en el apartado 1 de este artículo será también de aplicación al personal laboral de alta dirección, al personal con contrato mercantil y al no acogido a convenio colectivo que no tenga la consideración de alto cargo.</w:t>
      </w:r>
    </w:p>
    <w:p w:rsidR="006B7292" w:rsidRDefault="006B7292" w:rsidP="006B7292">
      <w:pPr>
        <w:pStyle w:val="TextoNormal"/>
      </w:pPr>
    </w:p>
    <w:p w:rsidR="006B7292" w:rsidRDefault="006B7292" w:rsidP="006B7292">
      <w:pPr>
        <w:pStyle w:val="TextoNormal"/>
      </w:pPr>
      <w:r>
        <w:t>3. La reducción retributiva contenida en los apartados anteriores será de aplicación, asimismo, al personal de las fundaciones del sector público y de los consorcios participados mayoritariamente por las Administraciones que integran el sector público, así como al del Banco de España y personal directivo y resto de personal de las mutuas de accidentes de trabajo y enfermedades profesionales de la Seguridad Social y de sus entidades y centros mancomunados.</w:t>
      </w:r>
    </w:p>
    <w:p w:rsidR="006B7292" w:rsidRDefault="006B7292" w:rsidP="006B7292">
      <w:pPr>
        <w:pStyle w:val="TextoNormal"/>
      </w:pPr>
    </w:p>
    <w:p w:rsidR="006B7292" w:rsidRDefault="006B7292" w:rsidP="006B7292">
      <w:pPr>
        <w:pStyle w:val="TextoNormal"/>
      </w:pPr>
      <w:r>
        <w:t>4. Las cantidades derivadas de la supresión de la paga extraordinaria y de las pagas adicionales de complemento específico o pagas adicionales equivalentes de acuerdo con lo dispuesto en este artículo se destinarán en ejercicios futuros a realizar aportaciones a planes de pensiones o contratos de seguro colectivo que incluyan la cobertura de la contingencia de jubilación, con sujeción a lo establecido en la Ley Orgánica 2/2012, de Estabilidad Presupuestaria y Sostenibilidad Financiera y en los términos y con el alcance que se determine en las correspondientes leyes de presupuestos.</w:t>
      </w:r>
    </w:p>
    <w:p w:rsidR="006B7292" w:rsidRDefault="006B7292" w:rsidP="006B7292">
      <w:pPr>
        <w:pStyle w:val="TextoNormal"/>
      </w:pPr>
    </w:p>
    <w:p w:rsidR="006B7292" w:rsidRDefault="006B7292" w:rsidP="006B7292">
      <w:pPr>
        <w:pStyle w:val="TextoNormal"/>
      </w:pPr>
      <w:r>
        <w:t>5. En aquellos casos en que no se contemple expresamente en su régimen retributivo la percepción de pagas extraordinarias o se perciban más de dos al año se reducirá una catorceava parte de las retribuciones totales anuales excluidos incentivos al rendimiento. Dicha reducción se prorrateará entre las nóminas pendientes de percibir en el presente ejercicio a partir de la entrada en vigor de este Real Decreto-ley.</w:t>
      </w:r>
    </w:p>
    <w:p w:rsidR="006B7292" w:rsidRDefault="006B7292" w:rsidP="006B7292">
      <w:pPr>
        <w:pStyle w:val="TextoNormal"/>
      </w:pPr>
    </w:p>
    <w:p w:rsidR="006B7292" w:rsidRDefault="006B7292" w:rsidP="006B7292">
      <w:pPr>
        <w:pStyle w:val="TextoNormal"/>
      </w:pPr>
      <w:r>
        <w:t>6. Lo dispuesto en los apartados anteriores no será de aplicación a aquellos empleados públicos cuyas retribuciones por jornada completa, excluidos incentivos al rendimiento, no alcancen en cómputo anual 1,5 veces el salario mínimo interprofesional establecido en el Real Decreto 1888/2011, de 30 de diciembre.</w:t>
      </w:r>
    </w:p>
    <w:p w:rsidR="006B7292" w:rsidRDefault="006B7292" w:rsidP="006B7292">
      <w:pPr>
        <w:pStyle w:val="TextoNormal"/>
      </w:pPr>
    </w:p>
    <w:p w:rsidR="006B7292" w:rsidRDefault="006B7292" w:rsidP="006B7292">
      <w:pPr>
        <w:pStyle w:val="TextoNormal"/>
      </w:pPr>
      <w:r>
        <w:t>7. El presente artículo tiene carácter básico dictándose al amparo de lo dispuesto en los artículos 149.1.13 y 156.1 de la Constitución.”</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de hecho del planteamiento de la presente cuestión de inconstitucionalidad son, sucintamente expuestos, los siguientes:</w:t>
      </w:r>
    </w:p>
    <w:p w:rsidR="006B7292" w:rsidRDefault="006B7292" w:rsidP="006B7292">
      <w:pPr>
        <w:pStyle w:val="TextoNormal"/>
      </w:pPr>
    </w:p>
    <w:p w:rsidR="006B7292" w:rsidRDefault="006B7292" w:rsidP="006B7292">
      <w:pPr>
        <w:pStyle w:val="TextoNormal"/>
      </w:pPr>
      <w:r>
        <w:t>a) La federación de servicios públicos del sindicato UGT de la Región de Murcia promovió demanda de conflicto colectivo que afecta a todo el personal laboral del Ayuntamiento de Caravaca de la Cruz, reclamando el pago de la paga extraordinaria de Navidad de 2012 o, subsidiariamente, el de la parte proporcional de la misma devengada antes de la entrada en vigor del Real Decreto-ley 20/2012, de 13 de julio, de medidas para garantizar la estabilidad presupuestaria y de fomento de la competitividad (15 de julio de 2012), esto es, desde el 1 de junio hasta el 15 de julio de dicho año. El Juzgado de lo Social núm. 5 de Murcia desestimó la pretensión principal, pero estimó la subsidiaria.</w:t>
      </w:r>
    </w:p>
    <w:p w:rsidR="006B7292" w:rsidRDefault="006B7292" w:rsidP="006B7292">
      <w:pPr>
        <w:pStyle w:val="TextoNormal"/>
      </w:pPr>
    </w:p>
    <w:p w:rsidR="006B7292" w:rsidRDefault="006B7292" w:rsidP="006B7292">
      <w:pPr>
        <w:pStyle w:val="TextoNormal"/>
      </w:pPr>
      <w:r>
        <w:t>La representación municipal recurrió en suplicación. Transcurrido el plazo legalmente previsto para impugnar el recurso de suplicación, y sin que los que fueron actores en la instancia lo impugnasen, se remitieron las actuaciones a la Sala de lo Social del Tribunal Superior de Justicia de Murcia.</w:t>
      </w:r>
    </w:p>
    <w:p w:rsidR="006B7292" w:rsidRDefault="006B7292" w:rsidP="006B7292">
      <w:pPr>
        <w:pStyle w:val="TextoNormal"/>
      </w:pPr>
    </w:p>
    <w:p w:rsidR="006B7292" w:rsidRDefault="006B7292" w:rsidP="006B7292">
      <w:pPr>
        <w:pStyle w:val="TextoNormal"/>
      </w:pPr>
      <w:r>
        <w:t>b) Concluso el procedimiento y dentro del plazo para dictar Sentencia, el órgano judicial dictó sentencia (</w:t>
      </w:r>
      <w:r w:rsidRPr="006B7292">
        <w:rPr>
          <w:i/>
        </w:rPr>
        <w:t>sic</w:t>
      </w:r>
      <w:r>
        <w:t>) de 18 de julio de 2014 por la que acordó oír a las partes y al Ministerio Fiscal, “por plazo común e improrrogable de 10 días”, para que alegasen sobre “si procede plantear cuestión de inconstitucionalidad en relación con el art. 2 del Real Decreto-ley 20/2012 que acuerda suprimir la paga extra de diciembre de 2012 y art. 2.1 de la Ley Autonómica 9/2012 por ser contrarios al art. 9.3 CE”. Esta resolución no se notificó a la federación de servicios públicos del sindicato UGT de la Región de Murcia porque, a pesar de ser emplazada para personarse en el indicado recurso de suplicación, dejó pasar el plazo correspondiente sin hacer efectiva esa personación.</w:t>
      </w:r>
    </w:p>
    <w:p w:rsidR="006B7292" w:rsidRDefault="006B7292" w:rsidP="006B7292">
      <w:pPr>
        <w:pStyle w:val="TextoNormal"/>
      </w:pPr>
    </w:p>
    <w:p w:rsidR="006B7292" w:rsidRDefault="006B7292" w:rsidP="006B7292">
      <w:pPr>
        <w:pStyle w:val="TextoNormal"/>
      </w:pPr>
      <w:r>
        <w:t>c) El Ministerio Fiscal y la parte recurrente en suplicación consideraron procedente el planteamiento de la cuestión. Esta última alega que, no obstante que la norma cuestionada no lesiona el art. 9.3 CE, “entiende esta parte que la sentencia del Tribunal Constitucional pronunciándose sobre la constitucionalidad o no del citado Real Decreto-ley en este punto podría afectar a la resolución del presente proceso judicial”.</w:t>
      </w:r>
    </w:p>
    <w:p w:rsidR="006B7292" w:rsidRDefault="006B7292" w:rsidP="006B7292">
      <w:pPr>
        <w:pStyle w:val="TextoNormal"/>
      </w:pPr>
    </w:p>
    <w:p w:rsidR="006B7292" w:rsidRDefault="006B7292" w:rsidP="006B7292">
      <w:pPr>
        <w:pStyle w:val="TextoNormal"/>
      </w:pPr>
      <w:r>
        <w:t>d) La Sala de lo Social del Tribunal Superior de Justicia de Murcia dictó el Auto de 10 de noviembre de 2014, por el que se acuerda plantear cuestión de inconstitucionalidad respecto del art. 2 del Real Decreto-ley 20/2012, de 13 de julio, de medidas para garantizar la estabilidad presupuestaria y de fomento de la competitividad, por posible vulneración del art. 9.3 CE.</w:t>
      </w:r>
    </w:p>
    <w:p w:rsidR="006B7292" w:rsidRDefault="006B7292" w:rsidP="006B7292">
      <w:pPr>
        <w:pStyle w:val="TextoNormal"/>
      </w:pPr>
    </w:p>
    <w:p w:rsidR="006B7292" w:rsidRDefault="006B7292" w:rsidP="006B7292">
      <w:pPr>
        <w:pStyle w:val="TextoNormal"/>
      </w:pPr>
      <w:r w:rsidRPr="006B7292">
        <w:rPr>
          <w:rStyle w:val="NumeroAFNegritaCaracter"/>
        </w:rPr>
        <w:t>3</w:t>
      </w:r>
      <w:r>
        <w:t>. El Auto, luego de dedicar los antecedentes a transcribir los arts. 2, 3 y 6 del Real Decreto-ley 20/2012, consigna tres fundamentos de derecho. En el primero razona expresamente acerca del juicio de relevancia. Señala que el demandante en la instancia solicitaba el abono de la parte de la paga extraordinaria de Navidad de 2012 que ya se había devengado al tiempo en se dictó el precepto legal que la suprimía y que esta Sala había estimado en sentencias previas esta pretensión, al entender que dicho precepto legal no eliminaba expresamente toda la paga correspondiente a 2012, entendiendo en consecuencia que solo suprimía la parte devengada a partir de su entrada en vigor. Añade que desde que el Tribunal Constitucional ha admitido cuestiones de inconstitucionalidad contra este precepto legal y respecto de situaciones idénticas, entendiendo que aquel precepto legal sí suprimía la paga extraordinaria de todo 2012, incluida la parte ya devengada al momento de su entrada en vigor, la Sala adapta su criterio y ya no puede resolver el fondo sin plantear la oportuna cuestión de inconstitucionalidad.</w:t>
      </w:r>
    </w:p>
    <w:p w:rsidR="006B7292" w:rsidRDefault="006B7292" w:rsidP="006B7292">
      <w:pPr>
        <w:pStyle w:val="TextoNormal"/>
      </w:pPr>
    </w:p>
    <w:p w:rsidR="006B7292" w:rsidRDefault="006B7292" w:rsidP="006B7292">
      <w:pPr>
        <w:pStyle w:val="TextoNormal"/>
      </w:pPr>
      <w:r>
        <w:t>En el segundo fundamento de derecho afirma que es doctrina reiterada del Tribunal Supremo que la paga extra es un salario que se devenga día a día aun cuando se pague de un modo diferido en el tiempo. De ahí deriva que la eliminación del abono de la paga extra por lo que hace al mes de junio y los días de julio previos a la entrada en vigor del Real Decreto-ley 20/2012 es una disposición restrictiva de derechos que, por estar ya consolidados en el patrimonio del trabajador, tiene efectos retroactivos prohibidos por el art. 9.3 CE. El tercer fundamento es una simple alusión al art. 163 CE.</w:t>
      </w:r>
    </w:p>
    <w:p w:rsidR="006B7292" w:rsidRDefault="006B7292" w:rsidP="006B7292">
      <w:pPr>
        <w:pStyle w:val="TextoNormal"/>
      </w:pPr>
    </w:p>
    <w:p w:rsidR="006B7292" w:rsidRDefault="006B7292" w:rsidP="006B7292">
      <w:pPr>
        <w:pStyle w:val="TextoNormal"/>
      </w:pPr>
      <w:r>
        <w:t>La Sala acuerda, en consecuencia, “plantear ante el Tribunal Constitucional cuestión de inconstitucionalidad en relación con el art. 2 Real Decreto-ley 20/2012, de 13 de julio, por posible infracción de la prohibición de retroactividad de las normas restrictivas de derechos individuales que garantiza el art. 9.3 CE, en relación con el principio de seguridad jurídica del mismo precepto”.</w:t>
      </w:r>
    </w:p>
    <w:p w:rsidR="006B7292" w:rsidRDefault="006B7292" w:rsidP="006B7292">
      <w:pPr>
        <w:pStyle w:val="TextoNormal"/>
      </w:pPr>
    </w:p>
    <w:p w:rsidR="006B7292" w:rsidRDefault="006B7292" w:rsidP="006B7292">
      <w:pPr>
        <w:pStyle w:val="TextoNormal"/>
      </w:pPr>
      <w:r w:rsidRPr="006B7292">
        <w:rPr>
          <w:rStyle w:val="NumeroAFNegritaCaracter"/>
        </w:rPr>
        <w:t>4</w:t>
      </w:r>
      <w:r>
        <w:t>. Por providencia de 23 de junio de 2015, la Sección Tercera del Tribunal Constitucional acordó oír al Fiscal General del Estado para que, en el plazo de diez días, y a los efectos que determina el art. 37.1 de la Ley Orgánica del Tribunal Constitucional (LOTC), alegase lo que considerase conveniente acerca de la admisibilidad de la presente cuestión de inconstitucionalidad, en relación con el cumplimiento de los requisitos procesales (art. 35.2 LOTC) y por si fuera notoriamente infundada.</w:t>
      </w:r>
    </w:p>
    <w:p w:rsidR="006B7292" w:rsidRDefault="006B7292" w:rsidP="006B7292">
      <w:pPr>
        <w:pStyle w:val="TextoNormal"/>
      </w:pPr>
    </w:p>
    <w:p w:rsidR="006B7292" w:rsidRDefault="006B7292" w:rsidP="006B7292">
      <w:pPr>
        <w:pStyle w:val="TextoNormal"/>
      </w:pPr>
      <w:r w:rsidRPr="006B7292">
        <w:rPr>
          <w:rStyle w:val="NumeroAFNegritaCaracter"/>
        </w:rPr>
        <w:t>5</w:t>
      </w:r>
      <w:r>
        <w:t>. El Fiscal General del Estado evacuó el trámite conferido mediante escrito registrado el 10 de septiembre de 2015, en el que interesa la inadmisión de la presente cuestión de inconstitucionalidad.</w:t>
      </w:r>
    </w:p>
    <w:p w:rsidR="006B7292" w:rsidRDefault="006B7292" w:rsidP="006B7292">
      <w:pPr>
        <w:pStyle w:val="TextoNormal"/>
      </w:pPr>
    </w:p>
    <w:p w:rsidR="006B7292" w:rsidRDefault="006B7292" w:rsidP="006B7292">
      <w:pPr>
        <w:pStyle w:val="TextoNormal"/>
      </w:pPr>
      <w:r>
        <w:t xml:space="preserve">Afirma, en relación a la regularidad del trámite de audiencia </w:t>
      </w:r>
      <w:r w:rsidRPr="006B7292">
        <w:rPr>
          <w:i/>
        </w:rPr>
        <w:t>ex</w:t>
      </w:r>
      <w:r>
        <w:t xml:space="preserve"> art. 35.2 LOTC, que “en el presente caso resulta que el traslado que se efectúa mediante la resolución de fecha 18 de julio de 2014 se comunica a la representación procesal del Ayuntamiento de Caravaca de la Cruz, así como al Ministerio Fiscal, pero no a la Federación de Servicios Públicos del Sindicato UGT en tanto demandante en el proceso subyacente por el que se plantea el conflicto colectivo ante el Juzgado de lo Social núm. 5 de Murcia. Dicha omisión no permite, en opinión del Fiscal, se tenga por correctamente evacuado el trámite de audiencia que prevé el art. 35.2 LOTC”.</w:t>
      </w:r>
    </w:p>
    <w:p w:rsidR="006B7292" w:rsidRDefault="006B7292" w:rsidP="006B7292">
      <w:pPr>
        <w:pStyle w:val="TextoNormal"/>
      </w:pPr>
    </w:p>
    <w:p w:rsidR="006B7292" w:rsidRDefault="006B7292" w:rsidP="006B7292">
      <w:pPr>
        <w:pStyle w:val="TextoNormal"/>
      </w:pPr>
      <w:r>
        <w:t>No obstante lo anterior, en la medida en que la providencia de 23 de junio de 2015 también se solicita informe sobre si la cuestión fuera notoriamente infundada, el Fiscal sostiene que “tras el dictado de la STC 83/2015, de 30 de abril, que declaró la pérdida de objeto de la cuestión de inconstitucionalidad allí planteada, al suscitarse la oposición del art. 2 del Real Decreto-ley 20/2012, de 13 de julio, al art. 9.3 CE, no cabe sino reiterar los términos de la citada resolución”.</w:t>
      </w:r>
    </w:p>
    <w:p w:rsidR="006B7292" w:rsidRDefault="006B7292" w:rsidP="006B7292">
      <w:pPr>
        <w:pStyle w:val="TextoNormal"/>
      </w:pPr>
    </w:p>
    <w:p w:rsidR="006B7292" w:rsidRDefault="006B7292" w:rsidP="006B7292">
      <w:pPr>
        <w:pStyle w:val="TextoNormal"/>
      </w:pPr>
      <w:r>
        <w:t>Recuerda así, en primer lugar, que allí se tuvo en cuenta que “la disposición adicional duodécima de la Ley 36/2014, de 26 de diciembre, de presupuestos generales del Estado para 2015 … establece, en su apartado 1.1,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según establece el apartado 1.2; y en su apartado 2 dispone las reglas para el abono de dichas cantidades al personal del sector público estatal (entre el que se encuentran los trabajadores de las sociedades mercantiles públicas), previsiones cuya aplicación efectiva se ha llevado a cabo en el ámbito del sector público estatal conforme a las instrucciones contenidas en la resolución conjunta de las Secretarías de Estado de Presupuestos y Gastos y de Administraciones Públicas de 29 de diciembre de 2014”.</w:t>
      </w:r>
    </w:p>
    <w:p w:rsidR="006B7292" w:rsidRDefault="006B7292" w:rsidP="006B7292">
      <w:pPr>
        <w:pStyle w:val="TextoNormal"/>
      </w:pPr>
    </w:p>
    <w:p w:rsidR="006B7292" w:rsidRDefault="006B7292" w:rsidP="006B7292">
      <w:pPr>
        <w:pStyle w:val="TextoNormal"/>
      </w:pPr>
      <w:r>
        <w:t xml:space="preserve">Apunta, en segundo lugar, que “en el fundamento jurídico tercero de la citada STC 83/2015 se puso de manifiesto la innegable incidencia que tenía la medida contenida en la disposición adicional duodécima de la Ley 36/2014, de presupuestos generales del Estado para 2015, sobre la pretensión deducida en el pleito </w:t>
      </w:r>
      <w:r w:rsidRPr="006B7292">
        <w:rPr>
          <w:i/>
        </w:rPr>
        <w:t>a quo</w:t>
      </w:r>
      <w:r>
        <w:t>, ‘… que afecta de modo determinante a la subsistencia del presente proceso constitucional, dada la estrecha vinculación existente entre toda cuestión de inconstitucionalidad y el procedimiento judicial de que dimana’.”</w:t>
      </w:r>
    </w:p>
    <w:p w:rsidR="006B7292" w:rsidRDefault="006B7292" w:rsidP="006B7292">
      <w:pPr>
        <w:pStyle w:val="TextoNormal"/>
      </w:pPr>
    </w:p>
    <w:p w:rsidR="006B7292" w:rsidRDefault="006B7292" w:rsidP="006B7292">
      <w:pPr>
        <w:pStyle w:val="TextoNormal"/>
      </w:pPr>
      <w:r>
        <w:t>Concluye el Fiscal que “por lo anterior, siendo idéntico el objeto de la presente cuestión de inconstitucionalidad, la Fiscal General del Estado considera debiera procederse a declarar la extinción de la presente cuestión de inconstitucionalidad por desaparición sobrevenida de su objeto y, por ende, notoriamente infundada”.</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La presente cuestión de inconstitucionalidad se plantea por la Sala de lo Social del Tribunal Superior de Justicia de Murcia, en relación con el art. 2 del Real Decreto-ley 20/2012, de 13 de julio, de medidas para garantizar la estabilidad presupuestaria y de fomento de la competitividad, por posible vulneración del art. 9.3 CE.</w:t>
      </w:r>
    </w:p>
    <w:p w:rsidR="006B7292" w:rsidRDefault="006B7292" w:rsidP="006B7292">
      <w:pPr>
        <w:pStyle w:val="TextoNormal"/>
      </w:pPr>
    </w:p>
    <w:p w:rsidR="006B7292" w:rsidRDefault="006B7292" w:rsidP="006B7292">
      <w:pPr>
        <w:pStyle w:val="TextoNormal"/>
      </w:pPr>
      <w:r>
        <w:t>El órgano judicial considera que el art. 2 del Real Decreto-ley 20/2012, de 13 de julio, al suprimir la percepción de la paga extraordinaria del mes de diciembre del año 2012 para el personal laboral del sector público, incluida aquella parte que ya se había devengado al tiempo de entrar en vigor de la norma, podría considerarse contrario al art. 9.3 CE, que garantiza la irretroactividad de las disposiciones restrictivas de derechos individuales y el principio de seguridad jurídica.</w:t>
      </w:r>
    </w:p>
    <w:p w:rsidR="006B7292" w:rsidRDefault="006B7292" w:rsidP="006B7292">
      <w:pPr>
        <w:pStyle w:val="TextoNormal"/>
      </w:pPr>
    </w:p>
    <w:p w:rsidR="006B7292" w:rsidRDefault="006B7292" w:rsidP="006B7292">
      <w:pPr>
        <w:pStyle w:val="TextoNormal"/>
      </w:pPr>
      <w:r>
        <w:t>El Fiscal General del Estado, en el trámite previsto en el art. 37.1 de la Ley Orgánica del Tribunal Constitucional (LOTC), se ha opuesto a la admisión de la presente cuestión de inconstitucionalidad por entender que no se ha sustanciado correctamente el trámite de audiencia exigido por el art. 35.2 LOTC; no obstante lo cual, y en la medida en que la providencia de 23 de junio de 2015 también se solicita informe sobre si la cuestión fuera notoriamente infundada, el Fiscal argumenta, con el detalle señalado en los antecedentes, que “debiera procederse a declarar la extinción de la presente cuestión de inconstitucionalidad por desaparición sobrevenida de su objeto y, por ende, notoriamente infundada”.</w:t>
      </w:r>
    </w:p>
    <w:p w:rsidR="006B7292" w:rsidRDefault="006B7292" w:rsidP="006B7292">
      <w:pPr>
        <w:pStyle w:val="TextoNormal"/>
      </w:pPr>
    </w:p>
    <w:p w:rsidR="006B7292" w:rsidRDefault="006B7292" w:rsidP="006B7292">
      <w:pPr>
        <w:pStyle w:val="TextoNormal"/>
      </w:pPr>
      <w:r w:rsidRPr="006B7292">
        <w:rPr>
          <w:rStyle w:val="NumeroAFNegritaCaracter"/>
        </w:rPr>
        <w:t>2</w:t>
      </w:r>
      <w:r>
        <w:t>. El art. 37.1 LOTC establece que este Tribunal puede rechazar, en trámite de admisión, mediante Auto y sin otra audiencia que la del Fiscal General del Estado, la cuestión de inconstitucionalidad cuando faltaren las condiciones procesales o fuere notoriamente infundada la cuestión suscitada.</w:t>
      </w:r>
    </w:p>
    <w:p w:rsidR="006B7292" w:rsidRDefault="006B7292" w:rsidP="006B7292">
      <w:pPr>
        <w:pStyle w:val="TextoNormal"/>
      </w:pPr>
    </w:p>
    <w:p w:rsidR="006B7292" w:rsidRDefault="006B7292" w:rsidP="006B7292">
      <w:pPr>
        <w:pStyle w:val="TextoNormal"/>
      </w:pPr>
      <w:r>
        <w:t>El análisis de la presente cuestión de inconstitucionalidad pone de manifiesto que en la misma concurre el primer motivo de inadmisión, dado que no se ha cumplido adecuadamente el trámite de audiencia a las partes y al Ministerio Fiscal previsto en el art. 35.2 LOTC.</w:t>
      </w:r>
    </w:p>
    <w:p w:rsidR="006B7292" w:rsidRDefault="006B7292" w:rsidP="006B7292">
      <w:pPr>
        <w:pStyle w:val="TextoNormal"/>
      </w:pPr>
    </w:p>
    <w:p w:rsidR="006B7292" w:rsidRDefault="006B7292" w:rsidP="006B7292">
      <w:pPr>
        <w:pStyle w:val="TextoNormal"/>
      </w:pPr>
      <w:r>
        <w:t>Como resulta de los antecedentes, la Sala de lo Social, una vez conclusa la tramitación del recurso de suplicación que estaba pendiente ante ella, dictó resolución de 18 de julio de 2014 por la que acordó oír a las partes y al Fiscal para que alegasen sobre “si procede plantear cuestión de inconstitucionalidad en relación con el art. 2 del Real Decreto-ley 20/2012 que acuerda suprimir la paga extra de diciembre de 2012 y art. 2.1 de la Ley Autonómica 9/2012 por ser contrarios al art. 9.3 CE”. Sin embargo, como consta igualmente en los antecedentes, de esta resolución solo se dio trasladó al Ayuntamiento de Caravaca de la Cruz, como parte recurrente, y al Ministerio Fiscal. No se dio traslado, por el contrario, a la federación de servicios públicos del sindicato UGT de la Región de Murcia, que había promovido el pleito en la primera instancia y en ella había obtenido la estimación de la pretensión subsidiaria, consistente en que se reconociera el derecho a la paga extraordinaria de Navidad de 2012 en la parte proporcional de la misma devengada antes de la entrada en vigor del Real Decreto-ley 20/2012. La razón de que no se diera el traslado a dicha federación es que, a pesar de ser emplazada para personarse en el indicado recurso de suplicación, dejó pasar el plazo correspondiente sin hacer efectiva esa personación.</w:t>
      </w:r>
    </w:p>
    <w:p w:rsidR="006B7292" w:rsidRDefault="006B7292" w:rsidP="006B7292">
      <w:pPr>
        <w:pStyle w:val="TextoNormal"/>
      </w:pPr>
    </w:p>
    <w:p w:rsidR="006B7292" w:rsidRDefault="006B7292" w:rsidP="006B7292">
      <w:pPr>
        <w:pStyle w:val="TextoNormal"/>
      </w:pPr>
      <w:r>
        <w:t xml:space="preserve">El ATC 220/2012, de 27 de noviembre, enjuiciando un caso similar, resolvió que “por lo demás, el emplazamiento que se realizó a las partes [ante el Tribunal Superior de Justicia de Madrid] no tiene valor alguno a los efectos del trámite de audiencia previsto en el artículo 35.2 LOTC, pues dicha audiencia a las partes no es una secuencia del proceso </w:t>
      </w:r>
      <w:r w:rsidRPr="006B7292">
        <w:rPr>
          <w:i/>
        </w:rPr>
        <w:t>a quo</w:t>
      </w:r>
      <w:r>
        <w:t xml:space="preserve"> sino una pieza preliminar del posterior proceso constitucional. Así, quien no comparece en el proceso o deja de atender los llamamientos judiciales lo hace en orden a las pretensiones y posiciones de las demás partes que se ventilan en ese mismo proceso, pero no respecto de aquellas cuestiones que, estrictamente hablando, no forman parte del mismo como es el eventual planteamiento de una cuestión de inconstitucionalidad. En rigor, dicho trámite de audiencia constituye así el momento inicial del procedimiento dado que lo que se ventila no es sino la posibilidad de alegar lo que al derecho de las partes convenga sobre la pertinencia de plantear la cuestión. De este modo lo determinante es que las partes, comparecidas ante la Sala o no, tengan la opción de ser oídas y expresar su parecer sobre una decisión de tanta entidad como el planteamiento de una cuestión de inconstitucionalidad”.</w:t>
      </w:r>
    </w:p>
    <w:p w:rsidR="006B7292" w:rsidRDefault="006B7292" w:rsidP="006B7292">
      <w:pPr>
        <w:pStyle w:val="TextoNormal"/>
      </w:pPr>
    </w:p>
    <w:p w:rsidR="006B7292" w:rsidRDefault="006B7292" w:rsidP="006B7292">
      <w:pPr>
        <w:pStyle w:val="TextoNormal"/>
      </w:pPr>
      <w:r>
        <w:t xml:space="preserve">La federación de servicios públicos del sindicato UGT de la Región de Murcia, que vio estimada su pretensión subsidiaria en la primera instancia, no atendió el emplazamiento para personarse en el recurso de suplicación promovido por el Ayuntamiento de Caravaca de la Cruz, decisión que toma a la luz del contenido del recurso de suplicación, esto es, “en orden a las pretensiones y posiciones de las demás partes que se ventilan en ese mismo proceso”. Pero al tomar la decisión de no personarse no pudo tener en consideración “aquellas cuestiones que, estrictamente hablando, no forman parte del mismo como es el eventual planteamiento de una cuestión de inconstitucionalidad”. Estas cuestiones surgen después y son distintas, y es por ello que se corresponde con la lógica del trámite </w:t>
      </w:r>
      <w:r w:rsidRPr="006B7292">
        <w:rPr>
          <w:i/>
        </w:rPr>
        <w:t>ex</w:t>
      </w:r>
      <w:r>
        <w:t xml:space="preserve"> art. 35.2 LOTC que “lo determinante es que las partes, comparecidas ante la Sala o no, tengan la opción de ser oídas y expresar su parecer sobre una decisión de tanta entidad como el planteamiento de una cuestión de inconstitucionalidad”.</w:t>
      </w:r>
    </w:p>
    <w:p w:rsidR="006B7292" w:rsidRDefault="006B7292" w:rsidP="006B7292">
      <w:pPr>
        <w:pStyle w:val="TextoNormal"/>
      </w:pPr>
    </w:p>
    <w:p w:rsidR="006B7292" w:rsidRDefault="006B7292" w:rsidP="006B7292">
      <w:pPr>
        <w:pStyle w:val="TextoNormal"/>
      </w:pPr>
      <w:r>
        <w:t xml:space="preserve">En conclusión, y como también entiende el Ministerio Fiscal, para que el trámite </w:t>
      </w:r>
      <w:r w:rsidRPr="006B7292">
        <w:rPr>
          <w:i/>
        </w:rPr>
        <w:t>ex</w:t>
      </w:r>
      <w:r>
        <w:t xml:space="preserve"> art. 35.2 LOTC hubiera sido correctamente satisfecho habría sido necesario notificar la resolución de 18 de julio de 2014, que da apertura al mismo, a la federación de servicios públicos del sindicato UGT de la Región de Murcia, a pesar de que no estuviera comparecida ante la Sala promotora de la cuestión. Solo de esa manera el trámite de audiencia habría cumplido el doble objetivo de garantizar la audiencia de las partes, incluida la Federación de Servicios Públicos del Sindicato UGT de la Región de Murcia, y del Ministerio Fiscal ante una posible decisión judicial de tanta entidad como es el abrir un proceso de inconstitucionalidad y poner a disposición del Juez un medio que le permita conocer la opinión de los sujetos interesados con el fin de facilitar su reflexión sobre la conveniencia o no de proceder a la apertura de dicho proceso (por todas, ATC 33/2009, de 27 de enero, FJ 2).</w:t>
      </w:r>
    </w:p>
    <w:p w:rsidR="006B7292" w:rsidRDefault="006B7292" w:rsidP="006B7292">
      <w:pPr>
        <w:pStyle w:val="TextoNormal"/>
      </w:pPr>
    </w:p>
    <w:p w:rsidR="006B7292" w:rsidRDefault="006B7292" w:rsidP="006B7292">
      <w:pPr>
        <w:pStyle w:val="TextoNormal"/>
      </w:pPr>
      <w:r>
        <w:t>Al no haberse realizado este traslado no se ha cumplido con una de las exigencias consignadas en el art. 35.2 LOTC, por lo que procede inadmitir esta cuestión de inconstitucionalidad por falta de uno de los requisitos procesales esenciales.</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Inadmitir a trámite la presente cuestión de inconstitucionalidad.</w:t>
      </w:r>
    </w:p>
    <w:p w:rsidR="006B7292" w:rsidRDefault="006B7292" w:rsidP="006B7292">
      <w:pPr>
        <w:pStyle w:val="TextoNormal"/>
      </w:pPr>
    </w:p>
    <w:p w:rsidR="006B7292" w:rsidRDefault="006B7292" w:rsidP="006B7292">
      <w:pPr>
        <w:pStyle w:val="TextoNormal"/>
      </w:pPr>
      <w:r>
        <w:t>Madrid, a seis de octubre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82" w:name="AUTO_2015_168"/>
      <w:r>
        <w:t>AUTO 168/2015, de 6 de octubre de 2015</w:t>
      </w:r>
    </w:p>
    <w:bookmarkEnd w:id="182"/>
    <w:p w:rsidR="006B7292" w:rsidRDefault="006B7292" w:rsidP="006B7292">
      <w:pPr>
        <w:pStyle w:val="TtuloResolucin"/>
      </w:pPr>
      <w:r>
        <w:t>Pleno</w:t>
      </w:r>
    </w:p>
    <w:p w:rsidR="006B7292" w:rsidRDefault="006B7292" w:rsidP="006B7292">
      <w:pPr>
        <w:pStyle w:val="TextoNormalCentrado"/>
      </w:pPr>
      <w:r>
        <w:t>ECLI:ES:TC:2015:168A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Desestima el recurso de súplica de la representación procesal sobre inadmisión del conflicto en defensa de la autonomía local 3974-2015, planteado por el Consejo Insular de Formentera respecto de diversos preceptos de la Ley del Parlamento de las Illes Balears 12/2014, de 16 de diciembre, agraria.</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presentado en el Registro General del Tribunal Constitucional el día 3 de julio de 2015, don L.P.O., Procurador de los Tribunales actuando en nombre y representación del Consejo Insular de Formentera plantea conflicto en defensa de la autonomía local contra los arts. 5.1 v).3, 88 y 102.2 d) de la Ley 12/2014, de 16 de diciembre, agraria de las Illes Balears.</w:t>
      </w:r>
    </w:p>
    <w:p w:rsidR="006B7292" w:rsidRDefault="006B7292" w:rsidP="006B7292">
      <w:pPr>
        <w:pStyle w:val="TextoNormal"/>
      </w:pPr>
    </w:p>
    <w:p w:rsidR="006B7292" w:rsidRDefault="006B7292" w:rsidP="006B7292">
      <w:pPr>
        <w:pStyle w:val="TextoNormal"/>
      </w:pPr>
      <w:r>
        <w:t xml:space="preserve">En cuanto a la legitimación del Consejo Insular para interponer el conflicto en defensa de la autonomía local respecto al art. 5.1 v).3 de la Ley 12/2014 señala que el precepto se refiere explícitamente a la llamada sociedad rural menorquina, a fin de considerarla explotación agraria preferente a los efectos de la Ley y no contempla la denominada “explotación a mayoral”, propia de las islas de Ibiza y Formentera. De acuerdo con ello, defiende que ambas islas son “las destinatarias únicas de la omisión, desconsideración y discriminación del concreto artículo 5.1.v.3 de la Ley agraria”, entendiendo aplicable aquí la doctrina de la STC 240/2006 en relación a la legitimación de Ceuta y Melilla para interponer un conflicto de este tipo. A lo anterior añade la mención de la disposición adicional tercera.2 de la Ley Orgánica del Tribunal Constitucional (LOTC), que permite a los Consejos Insulares impugnar una ley autonómica, aunque no se alcance el porcentaje de población exigido por el art. 75 </w:t>
      </w:r>
      <w:r w:rsidRPr="006B7292">
        <w:rPr>
          <w:i/>
        </w:rPr>
        <w:t>ter</w:t>
      </w:r>
      <w:r>
        <w:t xml:space="preserve">.1 c) LOTC, de la que deduce que Formentera está legitimada en un supuesto como el presente en el que no se aplica esta norma sino el art. 75 </w:t>
      </w:r>
      <w:r w:rsidRPr="006B7292">
        <w:rPr>
          <w:i/>
        </w:rPr>
        <w:t>ter</w:t>
      </w:r>
      <w:r>
        <w:t>.1 a) LOTC, en relación con la disposición adicional tercera.1, por omitir el contenido específico de una institución propia del derecho civil de Formentera.</w:t>
      </w:r>
    </w:p>
    <w:p w:rsidR="006B7292" w:rsidRDefault="006B7292" w:rsidP="006B7292">
      <w:pPr>
        <w:pStyle w:val="TextoNormal"/>
      </w:pPr>
    </w:p>
    <w:p w:rsidR="006B7292" w:rsidRDefault="006B7292" w:rsidP="006B7292">
      <w:pPr>
        <w:pStyle w:val="TextoNormal"/>
      </w:pPr>
      <w:r>
        <w:t xml:space="preserve">Igualmente considera que las islas de Ibiza y Formentera cuentan con legitimación para impugnar el art. 102.2 d), en similares términos a los expresados anteriormente, por cuanto el precepto establece que las parcelas en las que se quieran realizar edificios de nueva planta deberán tener una superficie mínima de 14.000 metros cuadrados, extensión que se afirma correspondiente con dos </w:t>
      </w:r>
      <w:r w:rsidRPr="006B7292">
        <w:rPr>
          <w:i/>
        </w:rPr>
        <w:t>quarterades</w:t>
      </w:r>
      <w:r>
        <w:t xml:space="preserve">, que es la medida típica del derecho agrario mallorquín, desconociendo la figura de los </w:t>
      </w:r>
      <w:r w:rsidRPr="006B7292">
        <w:rPr>
          <w:i/>
        </w:rPr>
        <w:t>tornalls</w:t>
      </w:r>
      <w:r>
        <w:t>, unidad de medida propia de las islas de Ibiza y Formentera, que debería haberse tenido en cuenta en este caso.</w:t>
      </w:r>
    </w:p>
    <w:p w:rsidR="006B7292" w:rsidRDefault="006B7292" w:rsidP="006B7292">
      <w:pPr>
        <w:pStyle w:val="TextoNormal"/>
      </w:pPr>
    </w:p>
    <w:p w:rsidR="006B7292" w:rsidRDefault="006B7292" w:rsidP="006B7292">
      <w:pPr>
        <w:pStyle w:val="TextoNormal"/>
      </w:pPr>
      <w:r>
        <w:t>Finalmente, defiende que Formentera “es la destinataria única de la desconsideración provocada por el artículo 88 de la Ley agraria”, en la medida en que permite, en ciertas condiciones, la acampada en determinadas explotaciones agrarias, cuando las ordenanzas de Formentera y el plan territorial de la isla la prohíben de modo general. De acuerdo con ello, se considera que “Formentera es la destinataria única del levantamiento de la prohibición absoluta de la acampada”, de manera que el artículo 88 vulnera la autonomía local de Formentera por ser contrario a sus competencias en materia de urbanismo, ordenación turística y ordenación del territorio.</w:t>
      </w:r>
    </w:p>
    <w:p w:rsidR="006B7292" w:rsidRDefault="006B7292" w:rsidP="006B7292">
      <w:pPr>
        <w:pStyle w:val="TextoNormal"/>
      </w:pPr>
    </w:p>
    <w:p w:rsidR="006B7292" w:rsidRDefault="006B7292" w:rsidP="006B7292">
      <w:pPr>
        <w:pStyle w:val="TextoNormal"/>
      </w:pPr>
      <w:r w:rsidRPr="006B7292">
        <w:rPr>
          <w:rStyle w:val="NumeroAFNegritaCaracter"/>
        </w:rPr>
        <w:t>2</w:t>
      </w:r>
      <w:r>
        <w:t xml:space="preserve">. El Pleno de este Tribunal, por Auto de 10 de septiembre de 2015, acordó inadmitir a trámite el presente conflicto en defensa de la autonomía local (art. 75 </w:t>
      </w:r>
      <w:r w:rsidRPr="006B7292">
        <w:rPr>
          <w:i/>
        </w:rPr>
        <w:t>quinquies</w:t>
      </w:r>
      <w:r>
        <w:t xml:space="preserve">.1 LOTC), por carecer el Consejo Insular de Formentera de legitimación para interponerlo al no cumplirse el requisito exigido por el art. 75 </w:t>
      </w:r>
      <w:r w:rsidRPr="006B7292">
        <w:rPr>
          <w:i/>
        </w:rPr>
        <w:t>ter</w:t>
      </w:r>
      <w:r>
        <w:t>.1 a) en relación con la disposición adicional tercera.1 LOTC, en cuanto que no era el destinatario único de los preceptos que pretendía impugnar.</w:t>
      </w:r>
    </w:p>
    <w:p w:rsidR="006B7292" w:rsidRDefault="006B7292" w:rsidP="006B7292">
      <w:pPr>
        <w:pStyle w:val="TextoNormal"/>
      </w:pPr>
    </w:p>
    <w:p w:rsidR="006B7292" w:rsidRDefault="006B7292" w:rsidP="006B7292">
      <w:pPr>
        <w:pStyle w:val="TextoNormal"/>
      </w:pPr>
      <w:r w:rsidRPr="006B7292">
        <w:rPr>
          <w:rStyle w:val="NumeroAFNegritaCaracter"/>
        </w:rPr>
        <w:t>3</w:t>
      </w:r>
      <w:r>
        <w:t>. Mediante escrito presentado en el Registro General de este Tribunal el día 21 de septiembre de 2015 el Procurador de los Tribunales don L.P.O., actuando en nombre y representación del Consejo Insular de Formentera, interpuso recurso de súplica contra el referido Auto de 10 de septiembre de 2015, con la argumentación que a continuación se resume.</w:t>
      </w:r>
    </w:p>
    <w:p w:rsidR="006B7292" w:rsidRDefault="006B7292" w:rsidP="006B7292">
      <w:pPr>
        <w:pStyle w:val="TextoNormal"/>
      </w:pPr>
    </w:p>
    <w:p w:rsidR="006B7292" w:rsidRDefault="006B7292" w:rsidP="006B7292">
      <w:pPr>
        <w:pStyle w:val="TextoNormal"/>
      </w:pPr>
      <w:r>
        <w:t>Indica que al art. 5.1 v).3 se le reprocha que no considere explotación agraria preferente la denominada “explotación a mayoral”, propia de las islas de Ibiza y Formentera, cuando, por el contrario, sí lo hace con la “sociedad rural menorquina”. Esta circunstancia determinaría la legitimación del Consejo Insular de Formentera para impugnar este precepto por cuanto tendría lo que se califica de ámbito territorial “de manera implícita, oculto, pero cierto y también inconcuso” que comprendería las islas de Ibiza y Formentera, que serían así destinatarias únicas por omisión de lo que se califica como efectos perniciosos o desfavorables para su autonomía local derivada de la falta de tratamiento equiparado entre ambas instituciones. Reitera la aplicación a este caso de la doctrina de la STC 240/2006, de 20 de julio, en relación a la legitimación de Ceuta y Melilla para interponer un conflicto de este tipo, ya que las islas de Ibiza y Formentera serían destinatario único aunque dual de la norma controvertida. Considera también que la legitimación derivaría de lo dispuesto en el art. 75.ter.1 c) en relación con la disposición adicional tercera.2 LOTC, que posibilita la impugnación de las leyes autonómicas por dos de los cuatro consejos insulares existentes, sin exigencia de población. De ello deduce que, cuando el ámbito de aplicación de la norma se refiera específicamente a dos islas o consejos insulares, como es el caso en el que se defiende que son destinatarias de lo que se califica como negativo de la norma, bastaría la decisión de uno de ellos para impugnar la norma.</w:t>
      </w:r>
    </w:p>
    <w:p w:rsidR="006B7292" w:rsidRDefault="006B7292" w:rsidP="006B7292">
      <w:pPr>
        <w:pStyle w:val="TextoNormal"/>
      </w:pPr>
    </w:p>
    <w:p w:rsidR="006B7292" w:rsidRDefault="006B7292" w:rsidP="006B7292">
      <w:pPr>
        <w:pStyle w:val="TextoNormal"/>
      </w:pPr>
      <w:r>
        <w:t xml:space="preserve">El argumento de la discriminación sufrida por Formentera justifica también la legitimación para impugnar el art. 102.2 d), por cuanto el precepto establece que las parcelas en las que se quieran realizar edificios de nueva planta deberán tener una superficie mínima de 14.000 metros cuadrados, extensión que se afirma correspondiente con dos </w:t>
      </w:r>
      <w:r w:rsidRPr="006B7292">
        <w:rPr>
          <w:i/>
        </w:rPr>
        <w:t>quarterades</w:t>
      </w:r>
      <w:r>
        <w:t xml:space="preserve">, que es la medida típica del derecho agrario mallorquín, desconociendo la figura de los </w:t>
      </w:r>
      <w:r w:rsidRPr="006B7292">
        <w:rPr>
          <w:i/>
        </w:rPr>
        <w:t>tornalls</w:t>
      </w:r>
      <w:r>
        <w:t xml:space="preserve">, unidad de medida propia de las islas de Ibiza y Formentera, que debería haberse tenido en cuenta en este caso. Igualmente reitera la alegación relativa a la aplicación del art. 75 </w:t>
      </w:r>
      <w:r w:rsidRPr="006B7292">
        <w:rPr>
          <w:i/>
        </w:rPr>
        <w:t>ter</w:t>
      </w:r>
      <w:r>
        <w:t>.1 c) en relación con la disposición adicional tercera.2 LOTC, defiendo que en este caso la regla ha de ser entendida en relación a los Consejos Insulares de Ibiza y Formentera.</w:t>
      </w:r>
    </w:p>
    <w:p w:rsidR="006B7292" w:rsidRDefault="006B7292" w:rsidP="006B7292">
      <w:pPr>
        <w:pStyle w:val="TextoNormal"/>
      </w:pPr>
    </w:p>
    <w:p w:rsidR="006B7292" w:rsidRDefault="006B7292" w:rsidP="006B7292">
      <w:pPr>
        <w:pStyle w:val="TextoNormal"/>
      </w:pPr>
      <w:r>
        <w:t>Finalmente, defiende que Formentera “es la destinataria única de la desconsideración provocada por el artículo 88 de la Ley agraria”, en la medida en que permite, en ciertas condiciones, la acampada en determinadas explotaciones agrarias, cuando las ordenanzas de Formentera y el plan territorial de la isla la prohíben de modo general, atentándose así contra su modelo turístico y urbanístico territorial. De este modo, desde lo que se califica como una visión material de la norma, se defiende el carácter de destinatario único por ser los efectos de su aplicación distintos en Formentera respecto a las restantes islas del archipiélago, que no se verían concernidas por el asunto.</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La representación procesal del Consejo Insular de Formentera interpone recurso de súplica contra el Auto del Pleno de este Tribunal, de 10 de septiembre de 2015, por el que se inadmitió a trámite el conflicto en defensa de la autonomía local núm. 3074-2015 planteado contra los arts. 5.1 v).3, 88 y 102.2 d) de la Ley 12/2014, de 16 de diciembre, agraria de las Illes Balears.</w:t>
      </w:r>
    </w:p>
    <w:p w:rsidR="006B7292" w:rsidRDefault="006B7292" w:rsidP="006B7292">
      <w:pPr>
        <w:pStyle w:val="TextoNormal"/>
      </w:pPr>
    </w:p>
    <w:p w:rsidR="006B7292" w:rsidRDefault="006B7292" w:rsidP="006B7292">
      <w:pPr>
        <w:pStyle w:val="TextoNormal"/>
      </w:pPr>
      <w:r>
        <w:t xml:space="preserve">La decisión de inadmisión se fundó en que el Consejo Insular de Formentera, al no ser el único destinatario de la regulación contenida en los preceptos que impugnaba, carecía, por sí solo, de legitimación para promover el conflicto en defensa de la autonomía local, por cuanto se incumplía el requisito exigido por el art. 75 </w:t>
      </w:r>
      <w:r w:rsidRPr="006B7292">
        <w:rPr>
          <w:i/>
        </w:rPr>
        <w:t>ter</w:t>
      </w:r>
      <w:r>
        <w:t>.1 a) en relación con la disposición adicional tercera.l de la Ley Orgánica del Tribunal Constitucional (LOTC).</w:t>
      </w:r>
    </w:p>
    <w:p w:rsidR="006B7292" w:rsidRDefault="006B7292" w:rsidP="006B7292">
      <w:pPr>
        <w:pStyle w:val="TextoNormal"/>
      </w:pPr>
    </w:p>
    <w:p w:rsidR="006B7292" w:rsidRDefault="006B7292" w:rsidP="006B7292">
      <w:pPr>
        <w:pStyle w:val="TextoNormal"/>
      </w:pPr>
      <w:r w:rsidRPr="006B7292">
        <w:rPr>
          <w:rStyle w:val="NumeroAFNegritaCaracter"/>
        </w:rPr>
        <w:t>2</w:t>
      </w:r>
      <w:r>
        <w:t xml:space="preserve">. La representación procesal del Consejo Insular de Formentera manifiesta su disconformidad con tal decisión en cuanto sostiene ser el destinatario único de los preceptos cuestionados. Así, en lo que respecta a los arts. 5.1 v).3 y 102.2 d), señala que Formentera es destinataria única, en el sentido de la STC 240/2006, de la omisión que imputa a ambos preceptos, defendiendo, alternativamente, su legitimación al amparo de lo previsto en el art. 75 </w:t>
      </w:r>
      <w:r w:rsidRPr="006B7292">
        <w:rPr>
          <w:i/>
        </w:rPr>
        <w:t>ter</w:t>
      </w:r>
      <w:r>
        <w:t>.1 c) en relación con la disposición adicional tercera.2 LOTC. Con respecto al art. 88 alega ser el destinatario único de la norma por entender que la misma produce en Formentera unos efectos perjudiciales que no se darían en el resto de las islas.</w:t>
      </w:r>
    </w:p>
    <w:p w:rsidR="006B7292" w:rsidRDefault="006B7292" w:rsidP="006B7292">
      <w:pPr>
        <w:pStyle w:val="TextoNormal"/>
      </w:pPr>
    </w:p>
    <w:p w:rsidR="006B7292" w:rsidRDefault="006B7292" w:rsidP="006B7292">
      <w:pPr>
        <w:pStyle w:val="TextoNormal"/>
      </w:pPr>
      <w:r>
        <w:t>El examen de los argumentos que se contienen en el recurso de súplica conduce a su desestimación, por cuanto se vienen, sustancialmente, a reproducir los alegatos ya expuestos en el escrito de planteamiento del conflicto, sin desvirtuar en ningún momento las razones por las que en el mencionado Auto de 10 de septiembre de 2015 se acordó la inadmisión del conflicto en defensa de la autonomía local.</w:t>
      </w:r>
    </w:p>
    <w:p w:rsidR="006B7292" w:rsidRDefault="006B7292" w:rsidP="006B7292">
      <w:pPr>
        <w:pStyle w:val="TextoNormal"/>
      </w:pPr>
    </w:p>
    <w:p w:rsidR="006B7292" w:rsidRDefault="006B7292" w:rsidP="006B7292">
      <w:pPr>
        <w:pStyle w:val="TextoNormal"/>
      </w:pPr>
      <w:r w:rsidRPr="006B7292">
        <w:rPr>
          <w:rStyle w:val="NumeroAFNegritaCaracter"/>
        </w:rPr>
        <w:t>3</w:t>
      </w:r>
      <w:r>
        <w:t>. En efecto, por lo que hace a la impugnación de los arts. 5.1 v).3 y 102.2 d), el recurso reitera los argumentos plasmados en el escrito de interposición del conflicto acerca de lo que se entiende como una omisión o desconsideración del legislador autonómico respecto a la peculiar situación de Formentera. Afirmaciones que, todo lo más, pueden caer en el ámbito de la discrepancia con las decisiones adoptadas por el legislador balear, sin que legitimen para la interposición del conflicto contra dos normas de evidente estructura general y que, por su contenido material, no pretenden regular un supuesto de hecho concreto y singular concurrente en la isla de Formentera, de modo que solamente en dicha isla resultase de aplicación el precepto.</w:t>
      </w:r>
    </w:p>
    <w:p w:rsidR="006B7292" w:rsidRDefault="006B7292" w:rsidP="006B7292">
      <w:pPr>
        <w:pStyle w:val="TextoNormal"/>
      </w:pPr>
    </w:p>
    <w:p w:rsidR="006B7292" w:rsidRDefault="006B7292" w:rsidP="006B7292">
      <w:pPr>
        <w:pStyle w:val="TextoNormal"/>
      </w:pPr>
      <w:r>
        <w:t>Por otra parte, la invocación de la regla del art. 75.</w:t>
      </w:r>
      <w:r w:rsidRPr="006B7292">
        <w:rPr>
          <w:i/>
        </w:rPr>
        <w:t>ter</w:t>
      </w:r>
      <w:r>
        <w:t>.1 c) en relación con la disposición adicional tercera.2 LOTC, de la que resulta la legitimación de dos Consejos Insulares para promover el conflicto frente a leyes y disposiciones normativas con rango de Ley de las Illes Balears, resulta contradictoria con las alegaciones anteriormente formuladas en cuanto admite que las dos normas objeto del conflicto no le son aplicables en su condición de destinatario único y supone, además, pretender aplicar dos reglas de legitimación distintas y excluyentes entre sí en la interposición del conflicto. Por lo demás, tampoco puede forzarse la interpretación de los referidos preceptos para modular un requisito que está definido con meridiana claridad en la Ley Orgánica del Tribunal Constitucional al exigir la concurrencia de la voluntad impugnatoria de, al menos, dos Consejos Insulares para plantear un proceso de este tipo frente a normas con rango de ley de las Illes Balears que, como es el caso, se aplican en la totalidad del ámbito territorial de la Comunidad Autónoma.</w:t>
      </w:r>
    </w:p>
    <w:p w:rsidR="006B7292" w:rsidRDefault="006B7292" w:rsidP="006B7292">
      <w:pPr>
        <w:pStyle w:val="TextoNormal"/>
      </w:pPr>
    </w:p>
    <w:p w:rsidR="006B7292" w:rsidRDefault="006B7292" w:rsidP="006B7292">
      <w:pPr>
        <w:pStyle w:val="TextoNormal"/>
      </w:pPr>
      <w:r>
        <w:t>Finalmente, en lo que respecta al artículo 88 el recurso no hace sino reiterar argumentos ya expuestos en el escrito de interposición, por lo que no queda sino recordar que resulta claro que, atendiendo a su contenido, la norma no pretende regular la situación de un solo sujeto, sino que, en todo caso, tiene un carácter abstracto y general, con independencia de los efectos que la vigencia del precepto legal pueda producir sobre la regulación local vigente en la isla.</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Desestimar el recurso de súplica interpuesto por el Consejo Insular de Formentera contra el Auto del Pleno de este Tribunal de 10 de septiembre de 2015 por el que se inadmite a trámite el conflicto en defensa de la autonomía local núm. 3974-2015.</w:t>
      </w:r>
    </w:p>
    <w:p w:rsidR="006B7292" w:rsidRDefault="006B7292" w:rsidP="006B7292">
      <w:pPr>
        <w:pStyle w:val="TextoNormal"/>
      </w:pPr>
    </w:p>
    <w:p w:rsidR="006B7292" w:rsidRDefault="006B7292" w:rsidP="006B7292">
      <w:pPr>
        <w:pStyle w:val="TextoNormal"/>
      </w:pPr>
      <w:r>
        <w:t>Madrid, a seis de octubre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83" w:name="AUTO_2015_169"/>
      <w:r>
        <w:t>AUTO 169/2015, de 6 de octubre de 2015</w:t>
      </w:r>
    </w:p>
    <w:bookmarkEnd w:id="183"/>
    <w:p w:rsidR="006B7292" w:rsidRDefault="006B7292" w:rsidP="006B7292">
      <w:pPr>
        <w:pStyle w:val="TtuloResolucin"/>
      </w:pPr>
      <w:r>
        <w:t>Pleno</w:t>
      </w:r>
    </w:p>
    <w:p w:rsidR="006B7292" w:rsidRDefault="006B7292" w:rsidP="006B7292">
      <w:pPr>
        <w:pStyle w:val="TextoNormalCentrado"/>
      </w:pPr>
      <w:r>
        <w:t>ECLI:ES:TC:2015:169A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Acuerda el desistimiento en el recurso de inconstitucionalidad 4315-2015, planteado por el Presidente del Gobierno en relación con diversos preceptos de la Ley de comercio de las Illes Balears 11/2014, de 15 de octubre.</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presentado en el Registro General de este Tribunal el 20 de julio de 2015, el Abogado del Estado, en nombre del Presidente del Gobierno, interpuso recurso de inconstitucionalidad contra los arts. 13, 14.1 y 6, 22.8 y 23.3 y la disposición adicional tercera de la Ley 11/2014, de 15 de octubre, de comercio de las Illes Balears. El Abogado del Estado invocó el art. 161.2 CE y el art. 30 de la Ley Orgánica del Tribunal Constitucional (LOTC) a fin de que se produjese la suspensión de los preceptos impugnados.</w:t>
      </w:r>
    </w:p>
    <w:p w:rsidR="006B7292" w:rsidRDefault="006B7292" w:rsidP="006B7292">
      <w:pPr>
        <w:pStyle w:val="TextoNormal"/>
      </w:pPr>
    </w:p>
    <w:p w:rsidR="006B7292" w:rsidRDefault="006B7292" w:rsidP="006B7292">
      <w:pPr>
        <w:pStyle w:val="TextoNormal"/>
      </w:pPr>
      <w:r w:rsidRPr="006B7292">
        <w:rPr>
          <w:rStyle w:val="NumeroAFNegritaCaracter"/>
        </w:rPr>
        <w:t>2</w:t>
      </w:r>
      <w:r>
        <w:t>. El Pleno del Tribunal Constitucional, por providencia de 21 de julio de 2015, a propuesta de la Sección Segunda, acordó admitir a trámite el recurso, que fue registrado con el núm. 4315-2015.</w:t>
      </w:r>
    </w:p>
    <w:p w:rsidR="006B7292" w:rsidRDefault="006B7292" w:rsidP="006B7292">
      <w:pPr>
        <w:pStyle w:val="TextoNormal"/>
      </w:pPr>
    </w:p>
    <w:p w:rsidR="006B7292" w:rsidRDefault="006B7292" w:rsidP="006B7292">
      <w:pPr>
        <w:pStyle w:val="TextoNormal"/>
      </w:pPr>
      <w:r w:rsidRPr="006B7292">
        <w:rPr>
          <w:rStyle w:val="NumeroAFNegritaCaracter"/>
        </w:rPr>
        <w:t>3</w:t>
      </w:r>
      <w:r>
        <w:t>. Por escrito registrado el 7 de septiembre de 2015 el Abogado del Estado traslada a este Tribunal la certificación del acuerdo adoptado por el Consejo de Ministros, en sesión celebrada el 4 de septiembre de 2015, por el que se solicita del Presidente del Gobierno el desistimiento del recurso de inconstitucionalidad núm. 4315-2015, interpuesto contra los arts. 13, 14.1 y 6, 22.8 y 23.3 y la disposición adicional tercera de la Ley 11/2014, de 15 de octubre, de comercio de las Illes Balears, así como la del acuerdo del Presidente del Gobierno de la misma fecha, solicitando que se le tenga por desistido en dicho recurso y, por este motivo, se ponga fin al proceso constitucional, de conformidad con el art. 80 LOTC.</w:t>
      </w:r>
    </w:p>
    <w:p w:rsidR="006B7292" w:rsidRDefault="006B7292" w:rsidP="006B7292">
      <w:pPr>
        <w:pStyle w:val="TextoNormal"/>
      </w:pPr>
    </w:p>
    <w:p w:rsidR="006B7292" w:rsidRDefault="006B7292" w:rsidP="006B7292">
      <w:pPr>
        <w:pStyle w:val="TextoNormal"/>
      </w:pPr>
      <w:r w:rsidRPr="006B7292">
        <w:rPr>
          <w:rStyle w:val="NumeroAFNegritaCaracter"/>
        </w:rPr>
        <w:t>4</w:t>
      </w:r>
      <w:r>
        <w:t>. Por providencia del Pleno de 10 de septiembre de 2015 se acordó oír al Gobierno y al Parlamento de las Illes Balears para que, en el plazo de diez días, alegaran lo que estimasen pertinente en relación con la solicitud de desistimiento formulada por el Presidente del Gobierno.</w:t>
      </w:r>
    </w:p>
    <w:p w:rsidR="006B7292" w:rsidRDefault="006B7292" w:rsidP="006B7292">
      <w:pPr>
        <w:pStyle w:val="TextoNormal"/>
      </w:pPr>
    </w:p>
    <w:p w:rsidR="006B7292" w:rsidRDefault="006B7292" w:rsidP="006B7292">
      <w:pPr>
        <w:pStyle w:val="TextoNormal"/>
      </w:pPr>
      <w:r w:rsidRPr="006B7292">
        <w:rPr>
          <w:rStyle w:val="NumeroAFNegritaCaracter"/>
        </w:rPr>
        <w:t>5</w:t>
      </w:r>
      <w:r>
        <w:t>. Por escrito registrado en este Tribunal el 17 de septiembre de 2015, el Abogado de la Comunidad Autónoma de las Illes Balears, en la representación que legalmente ostenta del Gobierno de la misma, manifiesta que no tiene nada que oponer a la solicitud de desistimiento formulada por el Presidente del Gobierno, por lo que procede que se dicte Auto declarando terminado el presente proceso constitucional.</w:t>
      </w:r>
    </w:p>
    <w:p w:rsidR="006B7292" w:rsidRDefault="006B7292" w:rsidP="006B7292">
      <w:pPr>
        <w:pStyle w:val="TextoNormal"/>
      </w:pPr>
    </w:p>
    <w:p w:rsidR="006B7292" w:rsidRDefault="006B7292" w:rsidP="006B7292">
      <w:pPr>
        <w:pStyle w:val="TextoNormal"/>
      </w:pPr>
      <w:r w:rsidRPr="006B7292">
        <w:rPr>
          <w:rStyle w:val="NumeroAFNegritaCaracter"/>
        </w:rPr>
        <w:t>6</w:t>
      </w:r>
      <w:r>
        <w:t>. Por escrito que tuvo entrada en el Registro General de este Tribunal el 21 de septiembre de 2015, la Presidenta del Parlamento de las Illes Balears comunicó el acuerdo de la Mesa de la Diputación Permanente de esa Cámara de no formular alegaciones en relación con la solicitud de desistimiento formulada por el Presidente del Gobierno.</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Único. El desistimiento aparece contemplado como modo de terminación de los procesos constitucionales en el art. 86 de la Ley Orgánica del Tribunal Constitucional (LOTC), cuyo artículo 80 remite, a su vez, a la Ley de enjuiciamiento civil (LEC) para la regulación con carácter supletorio de este acto procesal (arts. 19.1 y 20.2 LEC), que puede ser parcial, cuando afecta a alguna de las pretensiones en caso de pluralidad del objeto, y total, cuando se refiere a todas o a la única pretensión deducida en el proceso (por todas, SSTC 96/1990, de 24 de mayo, FJ 1; y 237/1992, de 15 de diciembre, AATC 33/1993, de 26 de enero, 173/1997, de 20 de mayo, 79/2008, de 11 de marzo, y 288/2013, de 17 de diciembre, entre otros muchos).</w:t>
      </w:r>
    </w:p>
    <w:p w:rsidR="006B7292" w:rsidRDefault="006B7292" w:rsidP="006B7292">
      <w:pPr>
        <w:pStyle w:val="TextoNormal"/>
      </w:pPr>
    </w:p>
    <w:p w:rsidR="006B7292" w:rsidRDefault="006B7292" w:rsidP="006B7292">
      <w:pPr>
        <w:pStyle w:val="TextoNormal"/>
      </w:pPr>
      <w:r>
        <w:t>Así pues, en virtud de los citados preceptos puede estimarse como forma admitida para poner fin a un recurso de inconstitucionalidad, total o parcialmente, la manifestación de la voluntad de desistir, siempre que, según reiterada doctrina de este Tribunal, no se advierta interés constitucional que justifique la prosecución del proceso hasta su finalización por Sentencia (por todos, AATC 34/1993, de 26 de enero, 30/2006, de 1 de febrero, 79/2008, de 11 de marzo, 288/2013, de 17 de diciembre, y 186/2014, de 15 de julio).</w:t>
      </w:r>
    </w:p>
    <w:p w:rsidR="006B7292" w:rsidRDefault="006B7292" w:rsidP="006B7292">
      <w:pPr>
        <w:pStyle w:val="TextoNormal"/>
      </w:pPr>
    </w:p>
    <w:p w:rsidR="006B7292" w:rsidRDefault="006B7292" w:rsidP="006B7292">
      <w:pPr>
        <w:pStyle w:val="TextoNormal"/>
      </w:pPr>
      <w:r>
        <w:t>Ni el Gobierno ni el Parlamento de las Illes Balears se oponen a la solicitud de desistimiento formulada por el Presidente del Gobierno y no se advierte interés constitucional que justifique la prosecución del recurso hasta su finalización por Sentencia, por lo que procede acceder a lo solicitado.</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Tener por desistido al Abogado del Estado, en la representación que legalmente ostenta, en el recurso de inconstitucionalidad núm. 4315-2015, promovido contra los arts. 13, 14.1 y 6, 22.8 y 23.3 y la disposición adicional tercera de la Ley 11/2014, de 15 de octubre, de comercio de las Illes Balears, declarando extinguido el proceso.</w:t>
      </w:r>
    </w:p>
    <w:p w:rsidR="006B7292" w:rsidRDefault="006B7292" w:rsidP="006B7292">
      <w:pPr>
        <w:pStyle w:val="TextoNormal"/>
      </w:pPr>
    </w:p>
    <w:p w:rsidR="006B7292" w:rsidRDefault="006B7292" w:rsidP="006B7292">
      <w:pPr>
        <w:pStyle w:val="TextoNormal"/>
      </w:pPr>
      <w:r>
        <w:t>Madrid, a seis de octubre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84" w:name="AUTO_2015_170"/>
      <w:r>
        <w:t>AUTO 170/2015, de 7 de octubre de 2015</w:t>
      </w:r>
    </w:p>
    <w:bookmarkEnd w:id="184"/>
    <w:p w:rsidR="006B7292" w:rsidRDefault="006B7292" w:rsidP="006B7292">
      <w:pPr>
        <w:pStyle w:val="TtuloResolucin"/>
      </w:pPr>
      <w:r>
        <w:t>Pleno</w:t>
      </w:r>
    </w:p>
    <w:p w:rsidR="006B7292" w:rsidRDefault="006B7292" w:rsidP="006B7292">
      <w:pPr>
        <w:pStyle w:val="TextoNormalCentrado"/>
      </w:pPr>
      <w:r>
        <w:t>ECLI:ES:TC:2015:170A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Mantiene la suspensión acordada en el recurso de inconstitucionalidad 1534-2015, interpuesto por el Presidente del Gobierno en relación con la totalidad de la Ley Foral 24/2014, de 2 de diciembre, reguladora de los colectivos de usuarios de cannabis en Navarra.</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presentado en el Registro General de este Tribunal el día 16 de marzo de 2015, el Abogado del Estado, en la representación que legalmente ostenta, interpuso recurso de inconstitucionalidad contra la totalidad de la Ley Foral 24/2014, de 2 de diciembre, reguladora de los colectivos de usuarios de cannabis en Navarra. El Abogado del Estado invocó el art. 161.2 CE a fin de que se acordase la suspensión de los preceptos impugnados.</w:t>
      </w:r>
    </w:p>
    <w:p w:rsidR="006B7292" w:rsidRDefault="006B7292" w:rsidP="006B7292">
      <w:pPr>
        <w:pStyle w:val="TextoNormal"/>
      </w:pPr>
    </w:p>
    <w:p w:rsidR="006B7292" w:rsidRDefault="006B7292" w:rsidP="006B7292">
      <w:pPr>
        <w:pStyle w:val="TextoNormal"/>
      </w:pPr>
      <w:r w:rsidRPr="006B7292">
        <w:rPr>
          <w:rStyle w:val="NumeroAFNegritaCaracter"/>
        </w:rPr>
        <w:t>2</w:t>
      </w:r>
      <w:r>
        <w:t>. Por providencia de 14 de abril de 2015 el Pleno del Tribunal Constitucional, a propuesta de la Sección Tercera, acordó admitir a trámite el recurso de inconstitucionalidad, dar traslado de la demanda y documentos presentados, conforme establece el art. 34 de la Ley Orgánica del Tribunal Constitucional (LOTC), al Congreso de los Diputados y al Senado así como al Gobierno de Navarra y al Parlamento de Navarra, al objeto de que en el plazo de quince días pudieran personarse en el proceso y formular las alegaciones que estimaren convenientes. Asimismo se tuvo por invocado por el Presidente del Gobierno el art. 161.2 CE, lo que, a su tenor y conforme dispone el art. 30 LOTC, produce la suspensión de la vigencia y aplicación de los preceptos impugnados desde la fecha de interposición del recurso —16 de marzo de 2015— para las partes del proceso y desde el día en que aparezca publicada la suspensión en el “Boletín Oficial del Estado” para los terceros, lo que se comunicó a los Presidentes del Gobierno de Navarra y del Parlamento de Navarra. Por último, también se ordenó publicar la incoación del recurso en el “Boletín Oficial del Estado” y en el “Boletín Oficial de Navarra”. El recurso se publicó en el “Boletín Oficial del Estado”, núm. 92, de 17 de abril de 2015.</w:t>
      </w:r>
    </w:p>
    <w:p w:rsidR="006B7292" w:rsidRDefault="006B7292" w:rsidP="006B7292">
      <w:pPr>
        <w:pStyle w:val="TextoNormal"/>
      </w:pPr>
    </w:p>
    <w:p w:rsidR="006B7292" w:rsidRDefault="006B7292" w:rsidP="006B7292">
      <w:pPr>
        <w:pStyle w:val="TextoNormal"/>
      </w:pPr>
      <w:r w:rsidRPr="006B7292">
        <w:rPr>
          <w:rStyle w:val="NumeroAFNegritaCaracter"/>
        </w:rPr>
        <w:t>3</w:t>
      </w:r>
      <w:r>
        <w:t>. El Vicepresidente Primero del Senado, mediante escrito registrado el día 22 de abril de 2015, comunicó que la Mesa de la Cámara, en su reunión de 21 de abril, había acordado la personación en este procedimiento y el ofrecimiento de su colaboración a los efectos del art. 88.1 LOTC. La Vicepresidenta Primera y Presidenta en funciones del Congreso de los Diputados, mediante escrito registrado el día 22 de abril de 2015, comunicó que la Mesa de la Cámara había acordado la personación en este procedimiento, el ofrecimiento de su colaboración a los efectos del art. 88.1 LOTC y la remisión a la Dirección de Estudios, Análisis y Publicaciones y a la asesoría jurídica de la Secretaría General.</w:t>
      </w:r>
    </w:p>
    <w:p w:rsidR="006B7292" w:rsidRDefault="006B7292" w:rsidP="006B7292">
      <w:pPr>
        <w:pStyle w:val="TextoNormal"/>
      </w:pPr>
    </w:p>
    <w:p w:rsidR="006B7292" w:rsidRDefault="006B7292" w:rsidP="006B7292">
      <w:pPr>
        <w:pStyle w:val="TextoNormal"/>
      </w:pPr>
      <w:r w:rsidRPr="006B7292">
        <w:rPr>
          <w:rStyle w:val="NumeroAFNegritaCaracter"/>
        </w:rPr>
        <w:t>4</w:t>
      </w:r>
      <w:r>
        <w:t>. Por escrito registrado el día 24 de abril de 2015 el Gobierno de Navarra acordó darse por enterado de la interposición del recurso de inconstitucionalidad núm. 1534-2015, promovido por el Presidente del Gobierno contra la Ley Foral 24/2014, de 2 de diciembre, reguladora de los colectivos de usuarios de cannabis en Navarra y comunicar ese acuerdo al Excmo. Sr. Presidente del Tribunal Constitucional.</w:t>
      </w:r>
    </w:p>
    <w:p w:rsidR="006B7292" w:rsidRDefault="006B7292" w:rsidP="006B7292">
      <w:pPr>
        <w:pStyle w:val="TextoNormal"/>
      </w:pPr>
    </w:p>
    <w:p w:rsidR="006B7292" w:rsidRDefault="006B7292" w:rsidP="006B7292">
      <w:pPr>
        <w:pStyle w:val="TextoNormal"/>
      </w:pPr>
      <w:r w:rsidRPr="006B7292">
        <w:rPr>
          <w:rStyle w:val="NumeroAFNegritaCaracter"/>
        </w:rPr>
        <w:t>5</w:t>
      </w:r>
      <w:r>
        <w:t>. Por escrito registrado el día 12 de mayo de 2014 el Letrado del Parlamento de Navarra comunicó el acuerdo de la Mesa del Parlamento de Navarra, adoptado el día 23 de abril de 2015, de personación en el presente procedimiento, de disponer que las alegaciones que hayan de formularse ante el Tribunal Constitucional defiendan la constitucionalidad de la Ley Foral así como de solicitar el inmediato levantamiento de la suspensión de la vigencia y aplicación de la Ley Foral. En el mismo escrito el Letrado del Parlamento de Navarra, en nombre y representación del Parlamento de Navarra, formula las siguientes alegaciones en defensa de la constitucionalidad de la Ley Foral 24/2014, de 2 de diciembre.</w:t>
      </w:r>
    </w:p>
    <w:p w:rsidR="006B7292" w:rsidRDefault="006B7292" w:rsidP="006B7292">
      <w:pPr>
        <w:pStyle w:val="TextoNormal"/>
      </w:pPr>
    </w:p>
    <w:p w:rsidR="006B7292" w:rsidRDefault="006B7292" w:rsidP="006B7292">
      <w:pPr>
        <w:pStyle w:val="TextoNormal"/>
      </w:pPr>
      <w:r>
        <w:t>a) Comienza el escrito señalando que el Parlamento de Navarra ha adoptado en esta materia una posición política sobre los efectos terapéuticos del cannabis a instancia de la comisión promotora de la iniciativa legislativa popular convertida en ley foral, y que, habida cuenta de la diversa posición de los grupos parlamentarios de la Cámara sobre la cuestión, ofrece su colaboración al Tribunal mediante la aportación de la iniciativa legislativa popular, los debates de toma en consideración en el Pleno de la Cámara y los informes de los servicios jurídicos del Parlamento de Navarra.</w:t>
      </w:r>
    </w:p>
    <w:p w:rsidR="006B7292" w:rsidRDefault="006B7292" w:rsidP="006B7292">
      <w:pPr>
        <w:pStyle w:val="TextoNormal"/>
      </w:pPr>
    </w:p>
    <w:p w:rsidR="006B7292" w:rsidRDefault="006B7292" w:rsidP="006B7292">
      <w:pPr>
        <w:pStyle w:val="TextoNormal"/>
      </w:pPr>
      <w:r>
        <w:t>b) Seguidamente señala que el objeto de la Ley Foral es establecer las normas generales para la constitución, organización y funcionamiento de los clubes de personas consumidoras de cannabis, para lo que Navarra tiene competencias al amparo del art. 44.19 de la Ley Orgánica de reintegración y amejoramiento del régimen foral de Navarra para regular las asociaciones de carácter docente, cultural, artístico, benéfico, asistencial y similares que desarrollen principalmente sus funciones en Navarra. El particular colectivo de usuarios, al que se dirige la Ley Foral, se engloba dentro del término genérico “y similares” al que alude el precitado artículo. La Ley Foral trata únicamente de regular estas asociaciones, que se están constituyendo al amparo del derecho de asociación en Navarra y otras Comunidades Autónomas. Subraya que en ningún caso pretende legalizar total o parcialmente el consumo de cannabis, para lo que efectivamente Navarra carece de competencias.</w:t>
      </w:r>
    </w:p>
    <w:p w:rsidR="006B7292" w:rsidRDefault="006B7292" w:rsidP="006B7292">
      <w:pPr>
        <w:pStyle w:val="TextoNormal"/>
      </w:pPr>
    </w:p>
    <w:p w:rsidR="006B7292" w:rsidRDefault="006B7292" w:rsidP="006B7292">
      <w:pPr>
        <w:pStyle w:val="TextoNormal"/>
      </w:pPr>
      <w:r>
        <w:t>c) El Letrado señala que la Ley Foral simplemente pretende predeterminar unas normas generales sobre la constitución, organización y funcionamiento de los clubes de personas consumidoras de cannabis, que ya están funcionando legalmente al amparo del derecho de asociación: garantizando que las personas que integren el club sean ciertas y determinadas, que todas ellas sean consumidoras con anterioridad a la entrada en el club, que el consumo de la sustancia se lleve a cabo en lugar cerrado y de manera conjunta, que las cantidades de sustancia sean pequeñas y no excedan del consumo personal y evitando que las sustancias puedan llegar a terceros ajenos al club. Partiendo de esta realidad, la Ley Foral pretende dotar a estas asociaciones de un marco legal respecto al consumo de cannabis para uso personal pero controlado y dentro de una existencia permitida, no por esta Ley Foral, sino por la legislación estatal de aplicación (Código penal y Ley Orgánica 1/1992, de seguridad ciudadana).</w:t>
      </w:r>
    </w:p>
    <w:p w:rsidR="006B7292" w:rsidRDefault="006B7292" w:rsidP="006B7292">
      <w:pPr>
        <w:pStyle w:val="TextoNormal"/>
      </w:pPr>
    </w:p>
    <w:p w:rsidR="006B7292" w:rsidRDefault="006B7292" w:rsidP="006B7292">
      <w:pPr>
        <w:pStyle w:val="TextoNormal"/>
      </w:pPr>
      <w:r>
        <w:t>d) En cuanto a la alegada infracción del art. 149.1.6, 16 y 29 CE, el Letrado del Parlamento de Navarra señala que la Ley Foral se limita a desarrollar, desde su competencia, unas normas concretas para la constitución, organización y funcionamiento de unos clubes, y no como afirma el recurrente, a regular el consumo, abastecimiento y dispensación de cannabis; los preceptos autonómicos tampoco contravienen ni modificación materia penal ni de seguridad pública de competencia estatal, sino que parten de una realidad permitida tanto por el Código penal como por la Ley Orgánica 1/1992, de seguridad ciudadana. Por las mismas razones, señala el Letrado, no debe impugnarse la totalidad de la Ley Foral 24/2014.</w:t>
      </w:r>
    </w:p>
    <w:p w:rsidR="006B7292" w:rsidRDefault="006B7292" w:rsidP="006B7292">
      <w:pPr>
        <w:pStyle w:val="TextoNormal"/>
      </w:pPr>
    </w:p>
    <w:p w:rsidR="006B7292" w:rsidRDefault="006B7292" w:rsidP="006B7292">
      <w:pPr>
        <w:pStyle w:val="TextoNormal"/>
      </w:pPr>
      <w:r>
        <w:t>e) Finaliza el Letrado del Parlamento de Navarra solicitando la tramitación de la pieza de suspensión sobre el levantamiento o confirmación de la suspensión antes de que transcurran los cinco meses al que se refiere el art. 161.2 CE.</w:t>
      </w:r>
    </w:p>
    <w:p w:rsidR="006B7292" w:rsidRDefault="006B7292" w:rsidP="006B7292">
      <w:pPr>
        <w:pStyle w:val="TextoNormal"/>
      </w:pPr>
    </w:p>
    <w:p w:rsidR="006B7292" w:rsidRDefault="006B7292" w:rsidP="006B7292">
      <w:pPr>
        <w:pStyle w:val="TextoNormal"/>
      </w:pPr>
      <w:r w:rsidRPr="006B7292">
        <w:rPr>
          <w:rStyle w:val="NumeroAFNegritaCaracter"/>
        </w:rPr>
        <w:t>6</w:t>
      </w:r>
      <w:r>
        <w:t>. El 18 de mayo de 2015 el Pleno del Tribunal Constitucional acordó incorporar a las actuaciones el escrito de alegaciones que formula el Letrado del Parlamento de Navarra, en representación de dicho Parlamento, y conceder a las partes personadas —Abogado del Estado y Parlamento de Navarra— un plazo de cinco días para exponer lo que consideraren conveniente acerca del mantenimiento o levantamiento de la suspensión acordada.</w:t>
      </w:r>
    </w:p>
    <w:p w:rsidR="006B7292" w:rsidRDefault="006B7292" w:rsidP="006B7292">
      <w:pPr>
        <w:pStyle w:val="TextoNormal"/>
      </w:pPr>
    </w:p>
    <w:p w:rsidR="006B7292" w:rsidRDefault="006B7292" w:rsidP="006B7292">
      <w:pPr>
        <w:pStyle w:val="TextoNormal"/>
      </w:pPr>
      <w:r w:rsidRPr="006B7292">
        <w:rPr>
          <w:rStyle w:val="NumeroAFNegritaCaracter"/>
        </w:rPr>
        <w:t>7</w:t>
      </w:r>
      <w:r>
        <w:t>. El Abogado del Estado, mediante escrito registrado el día 26 de mayo de 2015, evacuó el trámite conferido interesando el mantenimiento de la suspensión, por los motivos que, sintéticamente, se exponen a continuación.</w:t>
      </w:r>
    </w:p>
    <w:p w:rsidR="006B7292" w:rsidRDefault="006B7292" w:rsidP="006B7292">
      <w:pPr>
        <w:pStyle w:val="TextoNormal"/>
      </w:pPr>
    </w:p>
    <w:p w:rsidR="006B7292" w:rsidRDefault="006B7292" w:rsidP="006B7292">
      <w:pPr>
        <w:pStyle w:val="TextoNormal"/>
      </w:pPr>
      <w:r>
        <w:t>Comienza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88/2008, de 2 de abril, FJ 2, con cita de otros). En fin, ha de procederse a considerar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Así estima indudable que lo que habrá de dilucidarse es si la hipótesis que formula respecto a la probabilidad de los perjuicios que ocasionaría la aplicación de la norma recurrida está lo suficientemente fundada.</w:t>
      </w:r>
    </w:p>
    <w:p w:rsidR="006B7292" w:rsidRDefault="006B7292" w:rsidP="006B7292">
      <w:pPr>
        <w:pStyle w:val="TextoNormal"/>
      </w:pPr>
    </w:p>
    <w:p w:rsidR="006B7292" w:rsidRDefault="006B7292" w:rsidP="006B7292">
      <w:pPr>
        <w:pStyle w:val="TextoNormal"/>
      </w:pPr>
      <w:r>
        <w:t>Entrando ya a abordar los concretos perjuicios que ocasionaría el levantamiento de la suspensión para la salud y la seguridad pública, el Abogado del Estado señala que los perjuicios que ocasionaría la vigencia de la Ley Foral son evidentes, al tratarse de la regulación sobre el consumo, abastecimiento y dispensación de un estupefaciente, afectando de manera grave a la seguridad pública y a la salud. La representación procesal del Gobierno aporta informes del Ministerio del Interior y del Ministerio de Sanidad, Asuntos Sociales y Consumo que acreditan tales perjuicios, de los que extrae los siguientes perjuicios:</w:t>
      </w:r>
    </w:p>
    <w:p w:rsidR="006B7292" w:rsidRDefault="006B7292" w:rsidP="006B7292">
      <w:pPr>
        <w:pStyle w:val="TextoNormal"/>
      </w:pPr>
    </w:p>
    <w:p w:rsidR="006B7292" w:rsidRDefault="006B7292" w:rsidP="006B7292">
      <w:pPr>
        <w:pStyle w:val="TextoNormal"/>
      </w:pPr>
      <w:r>
        <w:t>— En relación con la seguridad pública, se aduce en primer lugar la evolución ascendente del número de denuncias en los últimos años en Navarra, alcanzando en ese periodo un aumento cercano al 27 por 100: la mayoría de las denuncias están relacionadas con la marihuana (el 78,73 por 100), las cuales se han incrementado en cuatro años en un 46,42 por 100. En segundo lugar, se señala que, dentro de los cannábicos, las sustancias que registran las mayores cantidades incautadas por consumo y pequeño tráfico (cantidad inferior a cinco kilogramos) han sido la resina de hachís y la marihuana. El hachís presenta algunas fluctuaciones en el periodo objeto de estudio, con una subida en 2013 del 87,32 por 100 respecto a 2012, para luego volver a descender en 2014 un 39,73 por 100. La cantidad de marihuana intervenida mantiene la tendencia ascendente en los cinco últimos años con un aumento en este periodo del 67 por 100. En tercer lugar, se indica que en 2014 han continuado activos dos planes de operativos de respuesta policial al tráfico minorista de drogas, en las zonas de ocio y en los centros educativos y sus entornos: al amparo de dichos planes se realizaron trece detenciones en total, doce en zonas de ocio y una en el entorno de un colegio.</w:t>
      </w:r>
    </w:p>
    <w:p w:rsidR="006B7292" w:rsidRDefault="006B7292" w:rsidP="006B7292">
      <w:pPr>
        <w:pStyle w:val="TextoNormal"/>
      </w:pPr>
    </w:p>
    <w:p w:rsidR="006B7292" w:rsidRDefault="006B7292" w:rsidP="006B7292">
      <w:pPr>
        <w:pStyle w:val="TextoNormal"/>
      </w:pPr>
      <w:r>
        <w:t>— En relación con la salud pública, en primer lugar se analiza el consumo de cannabis en la población española. El cannabis es la droga que se percibe como de menor riesgo y la que se percibe como más fácilmente disponible, por detrás del alcohol, tanto en estudiantes de 14 a 18 años como en población general de 15 a 65 años. La Fiscalía del País Vasco atribuyó a la acción de los clubes cannábicos un 14 por 100 de incremento del consumo de cannabis en menores. También se refiere a estudios realizados a raíz de la legalización del consumo de cannabis en estados como Colorado que arrojan, como ejemplo, que en los tres primeros meses de legalización el consumo de esta sustancia en menores de edad se incrementó en un 150 por 100 y que el número de menores en tratamiento por abuso o adicción a esa sustancia se incrementó en un 30 por 100. Del informe EDADES, adjuntado como anexo, se extraen los siguientes aspectos: la mayor tasa de personas que empiezan a consumir cannabis se da en menores de edad; el número de personas que el pasado año comenzaron a consumir cannabis supera a las que se iniciaron en el consumo de tabaco; el 25 por 100 de los que han consumido en el último año presentan consumo problemático, siendo 687.000 el número de personas (15-64 años) que realizan un consumo problemático de cannabis. En segundo lugar, se analiza los efectos sobre la salud, y se señala que el incremento del consumo, especialmente entre los adolescentes, puede tener repercusiones en todas las esferas de la persona; que la evidencia sugiere un vínculo entre el consumo de marihuana a una edad temprana y un mayor riesgo de padecer psicosis entre los que tienen predisposición para la enfermedad; que su consumo se asocia al fracaso escolar; que aumenta la frecuencia cardiaca; que se han encontrado asociaciones entre el consumo de marihuana y otros problemas de salud mental, como la depresión, la ansiedad, los pensamientos suicidas entre los adolescentes y los trastornos de la personalidad, que incluye la falta de motivación para participar en actividades típicamente gratificantes; que la marihuana es adictiva, lo que dificulta el abandono del consumo; que facilitar el acceso a cualquier droga solo puede derivar en una mayor carga de enfermedad y mayor problemática social, con importante incremento de los costes sociosanitarios.</w:t>
      </w:r>
    </w:p>
    <w:p w:rsidR="006B7292" w:rsidRDefault="006B7292" w:rsidP="006B7292">
      <w:pPr>
        <w:pStyle w:val="TextoNormal"/>
      </w:pPr>
    </w:p>
    <w:p w:rsidR="006B7292" w:rsidRDefault="006B7292" w:rsidP="006B7292">
      <w:pPr>
        <w:pStyle w:val="TextoNormal"/>
      </w:pPr>
      <w:r>
        <w:t>El Abogado del Estado concluye que los informes aportados, resumidos en las alegaciones anteriores, evidencian graves y peligrosos perjuicios para la salud y la seguridad pública, lo que implicaría el levantamiento de la suspensión de la Ley Foral recurrida.</w:t>
      </w:r>
    </w:p>
    <w:p w:rsidR="006B7292" w:rsidRDefault="006B7292" w:rsidP="006B7292">
      <w:pPr>
        <w:pStyle w:val="TextoNormal"/>
      </w:pPr>
    </w:p>
    <w:p w:rsidR="006B7292" w:rsidRDefault="006B7292" w:rsidP="006B7292">
      <w:pPr>
        <w:pStyle w:val="TextoNormal"/>
      </w:pPr>
      <w:r w:rsidRPr="006B7292">
        <w:rPr>
          <w:rStyle w:val="NumeroAFNegritaCaracter"/>
        </w:rPr>
        <w:t>8</w:t>
      </w:r>
      <w:r>
        <w:t>. El Letrado del Parlamento de Navarra presentó sus alegaciones, que tuvieron entrada en el Registro General de este Tribunal el 29 de mayo de 2015, interesando el levantamiento de la suspensión que pesa sobre Ley Foral impugnada por las razones que, resumidamente, se exponen a continuación.</w:t>
      </w:r>
    </w:p>
    <w:p w:rsidR="006B7292" w:rsidRDefault="006B7292" w:rsidP="006B7292">
      <w:pPr>
        <w:pStyle w:val="TextoNormal"/>
      </w:pPr>
    </w:p>
    <w:p w:rsidR="006B7292" w:rsidRDefault="006B7292" w:rsidP="006B7292">
      <w:pPr>
        <w:pStyle w:val="TextoNormal"/>
      </w:pPr>
      <w:r>
        <w:t>Comienza recordando algunos aspectos de la doctrina constitucional sobre el mantenimiento o levantamiento de la suspensión inicialmente acordada en virtud del art. 161.2 CE. Señala que el Tribunal Constitucional ha reconocido que la suspensión, cuando se produce, “crea una situación que cabe definir como provisional y en buena medida excepcional, por lo que el efecto limitativo de la eficacia de una norma que dicho automatismo comporta no puede ser prolongado sin una justificación expresa y suficiente” (AATC 178/1986, de 20 de febrero, FJ 1; 266/1991, de 17 de septiembre, FJ 1; y 154/1994, de 3 de mayo, FJ 1). Recuerda que, según doctrina reiterada, el plazo de los cinco meses que enuncia el art. 161.2 CE es un límite máximo, que no impide el levantamiento anterior de la suspensión inicialmente acordada. Afirma que el mantenimiento o el levantamiento de la suspensión debe decidirse ponderando el alcance y consecuencias que de ambas medidas se pudiera derivar tanto para los intereses públicos como para los particulares afectados (ATC 108/2011, FJ 2), siendo uno de los criterios especialmente relevantes el de irreparabilidad o dificultad de reparación de los perjuicios que pudieran generarse, y que la suspensión no puede prolongarse en el tiempo sin la existencia de una justificación expresa y suficiente (ATC 221/1995, FJ 3).</w:t>
      </w:r>
    </w:p>
    <w:p w:rsidR="006B7292" w:rsidRDefault="006B7292" w:rsidP="006B7292">
      <w:pPr>
        <w:pStyle w:val="TextoNormal"/>
      </w:pPr>
    </w:p>
    <w:p w:rsidR="006B7292" w:rsidRDefault="006B7292" w:rsidP="006B7292">
      <w:pPr>
        <w:pStyle w:val="TextoNormal"/>
      </w:pPr>
      <w:r>
        <w:t>Entrando en la ponderación de las circunstancias del caso a la luz de la doctrina constitucional, el Letrado del Parlamento de Navarra alega en primer lugar la falta de argumentación que justifique la suspensión de la Ley Foral en el escrito de interposición del recurso de inconstitucionalidad, que se limita a invocar el art. 161.2 CE; y, en segundo lugar, que en todo incidente de suspensión es carga de la parte recurrente justificar los perjuicios que el levantamiento se derivan y a quien corresponde detallar los argumentos que la justifiquen (ATC 157/2008, de 12 de junio), lo que no se ha cumplido en el presente caso.</w:t>
      </w:r>
    </w:p>
    <w:p w:rsidR="006B7292" w:rsidRDefault="006B7292" w:rsidP="006B7292">
      <w:pPr>
        <w:pStyle w:val="TextoNormal"/>
      </w:pPr>
    </w:p>
    <w:p w:rsidR="006B7292" w:rsidRDefault="006B7292" w:rsidP="006B7292">
      <w:pPr>
        <w:pStyle w:val="TextoNormal"/>
      </w:pPr>
      <w:r>
        <w:t>En tercer lugar, destaca que la ponderación de los intereses concernidos ha de efectuarse mediante el estricto examen de las situaciones de hecho creadas y al margen de la viabilidad de las pretensiones que se formulan en la demanda (ATC 105/2010, de 29 de julio, FJ 2). El Letrado afirma que no se aprecia ningún perjuicio, irreparable, de imposible o difícil reparación, que impida el levantamiento de la suspensión, con base en las siguientes consideraciones: no existen perjuicios irreversibles para el interés general; el interés general también se ve beneficiado con el respeto de la presunción de legitimidad de que gozan las leyes en cuanto expresión de la voluntad popular; los perjuicios que se alegan no son más que consecuencia de la discrepancia de fondo acerca del ejercicio de sus competencias por la Comunidad Foral de Navarra, lo que ha descartado el Tribunal Constitucional (AATC 417/1990 y 149/1999); los perjuicios que se alegan tienen carácter preventivo ante la falta de concreción y aportación de dato real; y, finalmente, los clubes a los que se refiere la Ley Foral ya están funcionando legalmente al amparo del derecho de asociación, y lo que busca dicha norma es que las personas que integren el club sean ciertas y determinadas, todas ellas sean consumidoras con anterioridad en el club, que el consumo de la sustancia se lleve a cabo en lugar cerrado y de manera conjunta, que las cantidades de sustancia sean pequeñas y no excedan del consumo personal, y evitar que las sustancias puedan llegar a terceros ajenos al club.</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objeto de la presente resolución consiste en determinar si procede levantar o mantener la suspensión de la vigencia de la Ley Foral 24/2014, de 2 de diciembre, reguladora de los colectivos de usuarios de cannabis en Navarra, norma que se encuentra suspendida en su aplicación como consecuencia de la invocación de los arts. 161.2 CE y 30 de la Ley Orgánica del Tribunal Constitucional (LOTC) al promoverse el recurso de inconstitucionalidad contra dichos preceptos por el Presidente del Gobierno.</w:t>
      </w:r>
    </w:p>
    <w:p w:rsidR="006B7292" w:rsidRDefault="006B7292" w:rsidP="006B7292">
      <w:pPr>
        <w:pStyle w:val="TextoNormal"/>
      </w:pPr>
    </w:p>
    <w:p w:rsidR="006B7292" w:rsidRDefault="006B7292" w:rsidP="006B7292">
      <w:pPr>
        <w:pStyle w:val="TextoNormal"/>
      </w:pPr>
      <w:r w:rsidRPr="006B7292">
        <w:rPr>
          <w:rStyle w:val="NumeroAFNegritaCaracter"/>
        </w:rPr>
        <w:t>2</w:t>
      </w:r>
      <w:r>
        <w:t>. La Ley Foral 24/2014, de 2 de diciembre, reguladora de los colectivos de usuarios de cannabis en Navarra está formada por veintitrés artículos y dos disposiciones adicionales. Tiene como objeto “establecer las normas generales para la constitución, organización y funcionamiento de los clubes de personas consumidoras de cannabis” (artículo 1). Su exposición de motivos señala que “pretende insertar en la legislación actual a los colectivos de usuarios de cannabis en Navarra … aportando seguridad jurídica tanto a las personas que componen dichos colectivos como a la sociedad en general, beneficiándose, de esta manera, la protección de la salud pública”. La Ley Foral 24/2014 se afirma dictada al amparo de lo dispuesto en la Ley Orgánica 1/2002, de 22 de marzo, reguladora del derecho de asociación, en cuanto a la consideración de los clubes de personas consumidoras de cannabis como asociaciones sin ánimo de lucro (art. 3). Regula la forma jurídica de los clubes de personas consumidoras de cannabis, su régimen jurídico y sus fines (arts. 4, 6 y 8). Sus preceptos imponen diversas obligaciones a los clubs de personas consumidoras de cannabis, a sus locales y a los miembros de esos clubs. Los clubs deben cumplir con los requisitos sanitarios y de seguridad que se establezcan (arts. 9 y 11), deben realizar actividades dirigidas a sus miembros tendentes a evitar el consumo abusivo y a facilitar un uso responsable del cannabis (art. 12), deben permitir la entrada únicamente a sus miembros (art. 13), deben elaborar un registro de sus integrantes, para poder determinar en todo momento quiénes son sus miembros (art. 14), y deben procurar que sus miembros accedan a una sustancia libre de adulteraciones, sometida a los controles sanitarios que se establezcan (art. 20). Los socios fundadores deberán ser consumidores habituales de cannabis con anterioridad al inicio de la actividad del club (art. 7) y solo podrán ser socios las personas mayores de edad que acrediten su condición de consumidores de cannabis con anterioridad a la presentación de su solicitud de ingreso (art. 15). Todas las personas integrantes de los clubes deben cumplir con lo dispuesto en las leyes y en las normas internas de funcionamiento (art. 18), deben recibir formación en prevención de posibles riesgos y daños asociados al consumo de cannabis (art. 19), tienen derecho a estar correctamente informados sobre el cannabis, sus propiedades, sus efectos y los posibles riesgos o daños que pudieran derivarse de su consumo (art. 21), deben hacer un consumo responsable del cannabis, así como evitar la propaganda, publicidad o promoción del consumo del cannabis a personas ajenas al club (art. 22), no podrán retirar más cantidad de cannabis por persona y día que la establecida por la asociación, calculada según las medidas de prevención de riesgos y en función de los estándares internacionales (art. 23).</w:t>
      </w:r>
    </w:p>
    <w:p w:rsidR="006B7292" w:rsidRDefault="006B7292" w:rsidP="006B7292">
      <w:pPr>
        <w:pStyle w:val="TextoNormal"/>
      </w:pPr>
    </w:p>
    <w:p w:rsidR="006B7292" w:rsidRDefault="006B7292" w:rsidP="006B7292">
      <w:pPr>
        <w:pStyle w:val="TextoNormal"/>
      </w:pPr>
      <w:r>
        <w:t>La representación procesal del Gobierno alega que la Ley Foral vulnera las competencias estatales en materia de legislación penal (art. 149.1.6 CE), de estupefacientes (art. 149.1.16 CE) y de seguridad pública (art. 149.1.29 CE) y que la Comunidad Autónoma de Navarra carece de título competencial que le habilite a dictar la regulación impugnada.</w:t>
      </w:r>
    </w:p>
    <w:p w:rsidR="006B7292" w:rsidRDefault="006B7292" w:rsidP="006B7292">
      <w:pPr>
        <w:pStyle w:val="TextoNormal"/>
      </w:pPr>
    </w:p>
    <w:p w:rsidR="006B7292" w:rsidRDefault="006B7292" w:rsidP="006B7292">
      <w:pPr>
        <w:pStyle w:val="TextoNormal"/>
      </w:pPr>
      <w:r w:rsidRPr="006B7292">
        <w:rPr>
          <w:rStyle w:val="NumeroAFNegritaCaracter"/>
        </w:rPr>
        <w:t>3</w:t>
      </w:r>
      <w:r>
        <w:t>. El Abogado del Estado, con apoyo en informes del Ministerio del Interior y del Ministerio de Sanidad, Asuntos Sociales y Consumo, sostiene que las disposiciones impugnadas pueden presentar un impacto significativo sobre la salud y la seguridad públicas. En virtud de todo ello, solicita que este Tribunal acuerde el mantenimiento de la suspensión.</w:t>
      </w:r>
    </w:p>
    <w:p w:rsidR="006B7292" w:rsidRDefault="006B7292" w:rsidP="006B7292">
      <w:pPr>
        <w:pStyle w:val="TextoNormal"/>
      </w:pPr>
    </w:p>
    <w:p w:rsidR="006B7292" w:rsidRDefault="006B7292" w:rsidP="006B7292">
      <w:pPr>
        <w:pStyle w:val="TextoNormal"/>
      </w:pPr>
      <w:r>
        <w:t>Por el contrario, el Letrado del Parlamento de Navarra considera que no existen perjuicios irreversibles para el interés general; que los perjuicios alegados no son más que consecuencia de la discrepancia de fondo acerca del ejercicio de sus competencias por la Comunidad Foral de Navarra; que los perjuicios alegados tienen carácter preventivo ante la falta de concreción y aportación de dato real; y, finalmente, que los clubes a los que se refiere la Ley Foral ya están funcionando legalmente al amparo del derecho de asociación, y que lo que busca dicha norma es que las personas que integren el club sean ciertas y determinadas, todas ellas sean consumidoras con anterioridad en el club, que el consumo de la sustancia se lleve a cabo en lugar cerrado y de manera conjunta, que las cantidades de sustancia sean pequeñas y no excedan del consumo personal, y evitar que las sustancias puedan llegar a terceros ajenos al club.</w:t>
      </w:r>
    </w:p>
    <w:p w:rsidR="006B7292" w:rsidRDefault="006B7292" w:rsidP="006B7292">
      <w:pPr>
        <w:pStyle w:val="TextoNormal"/>
      </w:pPr>
    </w:p>
    <w:p w:rsidR="006B7292" w:rsidRDefault="006B7292" w:rsidP="006B7292">
      <w:pPr>
        <w:pStyle w:val="TextoNormal"/>
      </w:pPr>
      <w:r w:rsidRPr="006B7292">
        <w:rPr>
          <w:rStyle w:val="NumeroAFNegritaCaracter"/>
        </w:rPr>
        <w:t>4</w:t>
      </w:r>
      <w:r>
        <w:t>. Antes de resolver el presente incidente cautelar debemos realizar algunas consideraciones preliminares.</w:t>
      </w:r>
    </w:p>
    <w:p w:rsidR="006B7292" w:rsidRDefault="006B7292" w:rsidP="006B7292">
      <w:pPr>
        <w:pStyle w:val="TextoNormal"/>
      </w:pPr>
    </w:p>
    <w:p w:rsidR="006B7292" w:rsidRDefault="006B7292" w:rsidP="006B7292">
      <w:pPr>
        <w:pStyle w:val="TextoNormal"/>
      </w:pPr>
      <w:r>
        <w:t>El incidente cautelar opera con autonomía respecto al procedimiento principal en el que se debe dilucidar la validez o invalidez de las normas legales recurridas exclusivamente desde una perspectiva competencial. Una vez producida la suspensión por invocación del art. 161.2 CE por el Presidente del Gobierno, el mantenimiento o levantamiento de la suspensión de la eficacia de las disposiciones autonómicas impugnadas constituye una genuina medida procesal cautelar, cuya finalidad consiste en asegurar el objeto litigioso, evitando la producción de datos y perjuicios irreparables o de difícil reparación.</w:t>
      </w:r>
    </w:p>
    <w:p w:rsidR="006B7292" w:rsidRDefault="006B7292" w:rsidP="006B7292">
      <w:pPr>
        <w:pStyle w:val="TextoNormal"/>
      </w:pPr>
    </w:p>
    <w:p w:rsidR="006B7292" w:rsidRDefault="006B7292" w:rsidP="006B7292">
      <w:pPr>
        <w:pStyle w:val="TextoNormal"/>
      </w:pPr>
      <w:r>
        <w:t>La naturaleza propia, genuinamente cautelar, que caracteriza al incidente de suspensión delimita también el marco jurídico en el que debe desenvolverse. En primer lugar, la suspensión acordada cautelarmente tiene un carácter excepcional, pues las leyes gozan de la presunción de legitimidad, en cuanto expresión de la voluntad popular, mientras no se constate que han infringido la Constitución (por todos, ATC 277/2009, de 10 de diciembre, FJ 2). En segundo lugar, la decisión sobre el mantenimiento o el levantamiento de la suspensión de la vigencia de las disposiciones impugnadas se debe desvincular plenamente de la decisión sobre la cuestión de fondo, que deberá ventilarse mediante sentencia (por todos, ATC 18/2007, de 18 de enero, FJ 5).</w:t>
      </w:r>
    </w:p>
    <w:p w:rsidR="006B7292" w:rsidRDefault="006B7292" w:rsidP="006B7292">
      <w:pPr>
        <w:pStyle w:val="TextoNormal"/>
      </w:pPr>
    </w:p>
    <w:p w:rsidR="006B7292" w:rsidRDefault="006B7292" w:rsidP="006B7292">
      <w:pPr>
        <w:pStyle w:val="TextoNormal"/>
      </w:pPr>
      <w:r>
        <w:t>En cuanto a la forma de sustanciar este tipo de incidentes de suspensión contamos también con doctrina reiterada. En el reciente ATC 298/2013, de 17 de diciembre, señalamos lo siguiente: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(en este sentido, AATC 24/2011, de 3 de marzo, FJ 2; 44/2011, de 12 de abril, FJ 2; 239/2012, de 12 de diciembre, FJ 2; 60/2013, de 26 de febrero, FJ 2; 122/2013, de 21 de mayo, FJ 2; 123/2013, de 21 de mayo, FJ 2; y 157/2013, de 11 de julio, FJ 2, entre otros)”.</w:t>
      </w:r>
    </w:p>
    <w:p w:rsidR="006B7292" w:rsidRDefault="006B7292" w:rsidP="006B7292">
      <w:pPr>
        <w:pStyle w:val="TextoNormal"/>
      </w:pPr>
    </w:p>
    <w:p w:rsidR="006B7292" w:rsidRDefault="006B7292" w:rsidP="006B7292">
      <w:pPr>
        <w:pStyle w:val="TextoNormal"/>
      </w:pPr>
      <w:r w:rsidRPr="006B7292">
        <w:rPr>
          <w:rStyle w:val="NumeroAFNegritaCaracter"/>
        </w:rPr>
        <w:t>5</w:t>
      </w:r>
      <w:r>
        <w:t>. Por lo tanto, este Tribunal debe examinar ahora si los perjuicios que el Abogado del Estado asocia al levantamiento de la suspensión son reales y efectivos y tienen suficiente entidad para prevalecer sobre la presunción de constitucionalidad de que gozan las normas legales y sobre los menoscabos de intereses públicos y privados que pueden seguirse del mantenimiento de la suspensión, todo ello sin prejuzgar el fondo de la cuestión planteada que no es el objeto de esta pieza de suspensión.</w:t>
      </w:r>
    </w:p>
    <w:p w:rsidR="006B7292" w:rsidRDefault="006B7292" w:rsidP="006B7292">
      <w:pPr>
        <w:pStyle w:val="TextoNormal"/>
      </w:pPr>
    </w:p>
    <w:p w:rsidR="006B7292" w:rsidRDefault="006B7292" w:rsidP="006B7292">
      <w:pPr>
        <w:pStyle w:val="TextoNormal"/>
      </w:pPr>
      <w:r>
        <w:t>Como el Abogado del Estado alega por separado los perjuicios para la seguridad pública y los perjuicios para la salud pública, comenzaremos con el análisis del riesgo para la seguridad pública, interés general y público constitucionalmente reconocido (por todas, STC 81/1983, FJ 3), si bien existe una relación evidente entre ambos intereses generales, pues la salud pública constituye el bien jurídico protegido en los delitos relativos al tráfico y favorecimiento del consumo ilegal de drogas y estupefacientes.</w:t>
      </w:r>
    </w:p>
    <w:p w:rsidR="006B7292" w:rsidRDefault="006B7292" w:rsidP="006B7292">
      <w:pPr>
        <w:pStyle w:val="TextoNormal"/>
      </w:pPr>
    </w:p>
    <w:p w:rsidR="006B7292" w:rsidRDefault="006B7292" w:rsidP="006B7292">
      <w:pPr>
        <w:pStyle w:val="TextoNormal"/>
      </w:pPr>
      <w:r>
        <w:t>De entre las varias dimensiones con las que nuestro ordenamiento constitucional contempla la seguridad pública, los perjuicios alegados por el Abogado del Estado se ciñen a la relativa a la prevención y persecución de aquellas conductas tipificadas como infracciones penales o administrativas. Una parte de sus alegaciones se limita a ofrecer datos policiales sobre denuncias u operativos relacionadas con el consumo y el pequeño tráfico de diversas sustancias incluidas dentro de los cannábicos: así, se indica que en 2014 hubo 6.516 denuncias en total sobre consumo ilegal y tenencia de estas sustancias en Navarra —las cuales, con todo, no necesariamente culminaron en la condena por infracción penal o sanción administrativa impuesta por los órganos competentes— y en cuanto a detenciones, se efectuaron trece en 2014 en relación con el tráfico minorista de drogas.</w:t>
      </w:r>
    </w:p>
    <w:p w:rsidR="006B7292" w:rsidRDefault="006B7292" w:rsidP="006B7292">
      <w:pPr>
        <w:pStyle w:val="TextoNormal"/>
      </w:pPr>
    </w:p>
    <w:p w:rsidR="006B7292" w:rsidRDefault="006B7292" w:rsidP="006B7292">
      <w:pPr>
        <w:pStyle w:val="TextoNormal"/>
      </w:pPr>
      <w:r>
        <w:t>No obstante, según el propio informe del Ministerio del Interior aportado por el Abogado del Estado, el número total de las denuncias formuladas en Navarra por las Fuerzas y Cuerpos del Estado (de las denuncias tramitadas por la policía foral no se ofrecen datos) ha ido descendiendo: de 4.145 en 2010 a 3.735 en 2014; y que, si bien las denuncias en la relación a marihuana “han aumentado en ese mismo periodo un 46 por ciento”, las denuncias por tenencia o consumo de hachís se “han reducido a la mitad”. Datos que no son concluyentes en ningún sentido concreto a efectos de resolver el presente incidente cautelar.</w:t>
      </w:r>
    </w:p>
    <w:p w:rsidR="006B7292" w:rsidRDefault="006B7292" w:rsidP="006B7292">
      <w:pPr>
        <w:pStyle w:val="TextoNormal"/>
      </w:pPr>
    </w:p>
    <w:p w:rsidR="006B7292" w:rsidRDefault="006B7292" w:rsidP="006B7292">
      <w:pPr>
        <w:pStyle w:val="TextoNormal"/>
      </w:pPr>
      <w:r>
        <w:t>Para justificar el mantenimiento de la suspensión inicialmente acordada, el Abogado del Estado alega asimismo la producción de perjuicios partiendo de una interpretación de la aplicabilidad de la Ley autonómica en relación con la legislación estatal que expresamente es rebatida por la representación de la institución autonómica personada en este proceso constitucional. Así, el Abogado del Estado considera que la Ley autonómica permite la realización de conductas tipificadas como ilícitos penales o administrativos en la legislación estatal. Pero es cierto que la Ley impugnada dice fundamentarse en la perspectiva opuesta. Su exposición de motivos señala expresamente, tras recordar el contenido de los arts. 368 del Código penal (CP) y 25 de la Ley Orgánica 1/1992, de 21 de febrero, sobre protección de la seguridad ciudadana y apelando a la jurisprudencia en la aplicación de ambos preceptos, que “[e]l consumo de cannabis, por tanto, no constituye ilícito penal o administrativo cuando se somete a los límites impuestos por la norma e interpretados por la jurisprudencia, admitiéndose dentro de dichos límites tanto el consumo compartido como el abastecimiento para el consumo privado”. Y la exposición de motivos resalta asimismo que la actividad de los clubes de usuarios de cannabis debe respetar siempre los límites impuestos por la ley y la jurisprudencia.</w:t>
      </w:r>
    </w:p>
    <w:p w:rsidR="006B7292" w:rsidRDefault="006B7292" w:rsidP="006B7292">
      <w:pPr>
        <w:pStyle w:val="TextoNormal"/>
      </w:pPr>
    </w:p>
    <w:p w:rsidR="006B7292" w:rsidRDefault="006B7292" w:rsidP="006B7292">
      <w:pPr>
        <w:pStyle w:val="TextoNormal"/>
      </w:pPr>
      <w:r>
        <w:t>No es función de este Tribunal enjuiciar los hechos contemplados por la Ley autonómica con arreglo a la legalidad penal ni señalar cuál de las dos posturas señaladas es la correcta. A este Tribunal solo le corresponde valorar, en el marco del presente incidente, los perjuicios que puedan derivarse del mantenimiento o la suspensión de la vigencia de los preceptos impugnados. En dicha tarea, no obstante, no podemos ignorar ni la legislación aplicable ni la interpretación que el Tribunal Supremo, como órgano jurisdiccional superior en el orden penal, haya podido sentar en sus pronunciamientos.</w:t>
      </w:r>
    </w:p>
    <w:p w:rsidR="006B7292" w:rsidRDefault="006B7292" w:rsidP="006B7292">
      <w:pPr>
        <w:pStyle w:val="TextoNormal"/>
      </w:pPr>
    </w:p>
    <w:p w:rsidR="006B7292" w:rsidRDefault="006B7292" w:rsidP="006B7292">
      <w:pPr>
        <w:pStyle w:val="TextoNormal"/>
      </w:pPr>
      <w:r>
        <w:t>El tenor legal del art. 368 CP dice expresamente: “Los que ejecuten actos de cultivo, elaboración o tráfico, o de otro modo promuevan, favorezcan o faciliten el consumo ilegal de drogas tóxicas, estupefacientes o sustancias psicotrópicas, o las posean con aquellos fines, serán castigados con las penas de prisión de tres a seis años y multa del tanto al triplo del valor de la droga objeto del delito si se tratare de sustancias o productos que causen grave daño a la salud, y de prisión de uno a tres años y multa del tanto al duplo en los demás casos”.</w:t>
      </w:r>
    </w:p>
    <w:p w:rsidR="006B7292" w:rsidRDefault="006B7292" w:rsidP="006B7292">
      <w:pPr>
        <w:pStyle w:val="TextoNormal"/>
      </w:pPr>
    </w:p>
    <w:p w:rsidR="006B7292" w:rsidRDefault="006B7292" w:rsidP="006B7292">
      <w:pPr>
        <w:pStyle w:val="TextoNormal"/>
      </w:pPr>
      <w:r>
        <w:t>Es cierto que no cualquier tipo de posesión o de consumo de cannabis se encuentra prohibido en nuestro ordenamiento: solamente el consumo ilegal y la posesión preordenada al cultivo, elaboración o tráfico se consideran infracciones penales (art. 368 CP); y solamente constituyen infracciones administrativas el consumo o la tenencia ilícitos en lugares públicos, la tolerancia del consumo o la falta de diligencia en impedirlo en locales o establecimientos públicos y la ejecución de actos de plantación y cultivo ilícitos en lugares visibles al público [art. 36, apartados 16, 18 y 19, de la Ley Orgánica 4/2015, de 30 de marzo, de protección de la seguridad ciudadana; en parecidos términos los arts. 25.1 y 23 i) de la Ley Orgánica 1/1992, de 21 de febrero, sobre protección de la seguridad ciudadana] así como los consumos inicialmente autorizados que se realizan con un objeto distinto de aquel para el que han sido autorizados sin haber pedido una nueva autorización (art. 22, inciso segundo, de la Ley 17/1967, de 8 de abril, por la que se actualizan las normas vigentes sobre estupefacientes y adaptándolas a lo establecido en el convenio de 1961 de las Naciones Unidas).</w:t>
      </w:r>
    </w:p>
    <w:p w:rsidR="006B7292" w:rsidRDefault="006B7292" w:rsidP="006B7292">
      <w:pPr>
        <w:pStyle w:val="TextoNormal"/>
      </w:pPr>
    </w:p>
    <w:p w:rsidR="006B7292" w:rsidRDefault="006B7292" w:rsidP="006B7292">
      <w:pPr>
        <w:pStyle w:val="TextoNormal"/>
      </w:pPr>
      <w:r>
        <w:t>No obstante, debe subrayarse que si bien la conducta típica básica del art. 368 CP como delito contra la salud pública adopta múltiples manifestaciones abarcando a las que, de cualquier modo, “promuevan, favorezcan o faciliten el consumo ilegal de drogas tóxicas”, la jurisprudencia del Tribunal Supremo entiende que la promoción, favorecimiento o facilitación afecta a la salud pública como bien jurídico tutelado en tanto que tales conductas se sitúan en una cadena de tráfico o de favorecimiento mediante una difusión indiscriminada de las sustancias prohibidas hacia destinatarios indeterminados". Por ello, cuando quede excluido el riesgo típico para la salud pública porque no exista posibilidad de difusión, de facilitación o de promoción del consumo por terceras personas indeterminadas o indiscriminadamente, aquellas conductas, que no despliegan peligro para la salud de terceros, son consideradas penalmente atípicas (entre otras, SSTS de 16 de julio de 1994, de 5 de febrero de 1996 y de 23 de febrero de 2011). En este ámbito de conductas penalmente inocuas se marcan las prácticas de consumo compartido de drogas no gravemente nocivas para la salud en lugares determinados, cerrados a la presencia de terceros, de manera que se excluya la participación en un circuito de difusión de las sustancias estupefacientes.</w:t>
      </w:r>
    </w:p>
    <w:p w:rsidR="006B7292" w:rsidRDefault="006B7292" w:rsidP="006B7292">
      <w:pPr>
        <w:pStyle w:val="TextoNormal"/>
      </w:pPr>
    </w:p>
    <w:p w:rsidR="006B7292" w:rsidRDefault="006B7292" w:rsidP="006B7292">
      <w:pPr>
        <w:pStyle w:val="TextoNormal"/>
      </w:pPr>
      <w:r>
        <w:t>Recientemente el Tribunal Supremo se ha pronunciado sobre un caso de asociación de consumidores de cannabis considerando que incurre en la conducta prohibida en el art. 368 CP, precisando que “la filosofía que inspira la doctrina sobre atipicidad del consumo compartido no es extrapolable a un supuesto como el que se está analizando”, en referencia a aquella concreta asociación. A tal efecto, precisa que el consumo compartido “atípico” deberá circunscribirse a un “grupo reducido de adictos o drogodependientes y ser estos identificables y determinados" (STS 484/2015, de 7 de septiembre). Con la cautela propia de este incidente, no puede afirmarse con contundencia que la regulación de los clubes de consumidores de cannabis contenida en la Ley navarra excluya la posibilidad de que a su amparo se desborden los contornos de la doctrina del autoconsumo compartido, como conducta penalmente atípica conforme a la interpretación jurisprudencial señalada. De una parte, la estructura y el funcionamiento de tales clubes es susceptible de rebasar el marco de las invitaciones o donaciones asiduas entre consumidores en el ámbito de una relación de convivencia, de amistad o de recreación común, que ha aceptado la jurisprudencia como elemento esencial de la doctrina del autoconsumo compartido. Así, no se prevé limitación alguna en cuanto al número de personas que pueden integrar esos clubes, al exigirse solo la condición de consumidor, es decir, que la decisión de consumir droga se haya tomado y ejecutado con anterioridad a la integración en la asociación. Incluso aunque la interacción social gire en torno al interés en consumir droga en condiciones seguras y socialmente normalizadas, el carácter potencialmente ilimitado del número de personas que se pueden integrar en esos clubes no parece compadecerse con las notas definitorias del autoconsumo compartido que se desprenden de la jurisprudencia. De otra parte, la Ley impugnada faculta a cada uno de los miembros de la asociación a retirar la cantidad por persona y día que establezca aquella (art. 23), en principio para su consumo personal fuera de los locales del club, pero sin garantía de que las cantidades retiradas por esta vía terminen siendo accesibles a terceras personas que la adquieran y la circulen para su consumo ilegal. En definitiva, la regulación de los clubes de consumidores de cannabis contenida en la Ley navarra ampara conductas que no permiten descartar la posibilidad de que resulten penalmente relevantes y subsumibles en la previsión típica del art. 368 CP, como delito contra la salud pública.</w:t>
      </w:r>
    </w:p>
    <w:p w:rsidR="006B7292" w:rsidRDefault="006B7292" w:rsidP="006B7292">
      <w:pPr>
        <w:pStyle w:val="TextoNormal"/>
      </w:pPr>
    </w:p>
    <w:p w:rsidR="006B7292" w:rsidRDefault="006B7292" w:rsidP="006B7292">
      <w:pPr>
        <w:pStyle w:val="TextoNormal"/>
      </w:pPr>
      <w:r>
        <w:t>En suma, una vez acreditada la existencia de una relación causal entre la vigencia de la Ley impugnada, que regula las actividades de unas asociaciones constituidas en torno a la práctica del consumo de cannabis, y la posible realización en el marco de sus previsiones, de conductas que podrían ser subsumibles en el tipo penal contemplado en el art. 368 CP, este Tribunal debe concluir que la vigencia de la Ley autonómica tendría un impacto claramente negativo no solo en la seguridad y salud públicas, sino también en la seguridad jurídica, al permitir que se crearan situaciones de hecho que dificultarían gravemente la restauración de la legalidad penal si las conductas contempladas por la Ley fueran después calificadas como infracciones penales, produciendo con ello perjuicios importantes e irreversibles o difícilmente reversibles en los intereses públicos.</w:t>
      </w:r>
    </w:p>
    <w:p w:rsidR="006B7292" w:rsidRDefault="006B7292" w:rsidP="006B7292">
      <w:pPr>
        <w:pStyle w:val="TextoNormal"/>
      </w:pPr>
    </w:p>
    <w:p w:rsidR="006B7292" w:rsidRDefault="006B7292" w:rsidP="006B7292">
      <w:pPr>
        <w:pStyle w:val="TextoNormal"/>
      </w:pPr>
      <w:r>
        <w:t>Ante la señalada relación directa no puede prevalecer la presunción de validez propia de las leyes emanadas de una asamblea legislativa democráticamente elegida. Por ello, nuestra decisión debe consistir en mantener la suspensión de la norma controvertida en su totalidad.</w:t>
      </w:r>
    </w:p>
    <w:p w:rsidR="006B7292" w:rsidRDefault="006B7292" w:rsidP="006B7292">
      <w:pPr>
        <w:pStyle w:val="TextoNormal"/>
      </w:pPr>
    </w:p>
    <w:p w:rsidR="006B7292" w:rsidRDefault="006B7292" w:rsidP="006B7292">
      <w:pPr>
        <w:pStyle w:val="TextoNormal"/>
      </w:pPr>
      <w:r>
        <w:t>Acreditada la existencia de perjuicios importantes para la seguridad pública, no es necesario ya examinar los demás perjuicios alegados por el Abogado del Estado.</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Mantener la suspensión de la Ley Foral 24/2014, de 2 de diciembre, reguladora de los colectivos de usuarios de cannabis en Navarra.</w:t>
      </w:r>
    </w:p>
    <w:p w:rsidR="006B7292" w:rsidRDefault="006B7292" w:rsidP="006B7292">
      <w:pPr>
        <w:pStyle w:val="TextoNormal"/>
      </w:pPr>
    </w:p>
    <w:p w:rsidR="006B7292" w:rsidRDefault="006B7292" w:rsidP="006B7292">
      <w:pPr>
        <w:pStyle w:val="TextoNormal"/>
      </w:pPr>
      <w:r>
        <w:t>Madrid, a siete de octubre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85" w:name="AUTO_2015_171"/>
      <w:r>
        <w:t>AUTO 171/2015, de 20 de octubre de 2015</w:t>
      </w:r>
    </w:p>
    <w:bookmarkEnd w:id="185"/>
    <w:p w:rsidR="006B7292" w:rsidRDefault="006B7292" w:rsidP="006B7292">
      <w:pPr>
        <w:pStyle w:val="TtuloResolucin"/>
      </w:pPr>
      <w:r>
        <w:t>Pleno</w:t>
      </w:r>
    </w:p>
    <w:p w:rsidR="006B7292" w:rsidRDefault="006B7292" w:rsidP="006B7292">
      <w:pPr>
        <w:pStyle w:val="TextoNormalCentrado"/>
      </w:pPr>
      <w:r>
        <w:t>ECLI:ES:TC:2015:171A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Acuerda la extinción, por pérdida de objeto, del recurso de inconstitucionalidad 5952-2014, interpuesto por el Consejo de Gobierno del Principado de Asturias en relación con el artículo 124 del Real Decreto-ley 8/2014, de 4 de julio, de aprobación de medidas urgentes para el crecimiento, la competitividad y la eficacia.</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registrado en este Tribunal el día 3 de octubre de 2014 el Letrado del servicio jurídico del Principado de Asturias, en la representación que ostenta del Consejo de Gobierno de esa Comunidad Autónoma, interpuso recurso de inconstitucionalidad contra el art. 124 del Real Decreto-ley 8/2014, de 4 de julio, de aprobación de medidas urgentes para el crecimiento, la competitividad y la eficiencia, publicado en el “Boletín Oficial del Estado” de 5 de julio de 2014.</w:t>
      </w:r>
    </w:p>
    <w:p w:rsidR="006B7292" w:rsidRDefault="006B7292" w:rsidP="006B7292">
      <w:pPr>
        <w:pStyle w:val="TextoNormal"/>
      </w:pPr>
    </w:p>
    <w:p w:rsidR="006B7292" w:rsidRDefault="006B7292" w:rsidP="006B7292">
      <w:pPr>
        <w:pStyle w:val="TextoNormal"/>
      </w:pPr>
      <w:r>
        <w:t>Comienza el escrito describiendo el contenido del precepto impugnado, que modifica el art. 19 de la Ley 16/2012 —precepto que estableció un impuesto sobre los depósitos de las entidades de crédito con un tipo de gravamen del 0 por 100 estableciendo ahora un tipo de gravamen del 0,03 por 100, sin contemplar medida de compensación alguna —adecuada o no— para la Comunidad Autónoma del Principado de Asturias, cuya Ley 3/2012 configura un impuesto sobre los referidos depósitos con tipos de gravamen que oscilan entre el 0,3 y el 0,5 por 100, en función de la base imponible.</w:t>
      </w:r>
    </w:p>
    <w:p w:rsidR="006B7292" w:rsidRDefault="006B7292" w:rsidP="006B7292">
      <w:pPr>
        <w:pStyle w:val="TextoNormal"/>
      </w:pPr>
    </w:p>
    <w:p w:rsidR="006B7292" w:rsidRDefault="006B7292" w:rsidP="006B7292">
      <w:pPr>
        <w:pStyle w:val="TextoNormal"/>
      </w:pPr>
      <w:r>
        <w:t xml:space="preserve">Expone así que el art. 41 de la Ley 3/2012, de 28 de diciembre, de presupuestos generales del Principado de Asturias para 2013 (“BOPA” 29 de diciembre de 2012), creó, con efectos de 30 de diciembre de 2012, un impuesto autonómico sobre depósitos en entidades de crédito, impuesto que fue objeto de recurso interpuesto por el Presidente del Gobierno, dando lugar al recurso de inconstitucionalidad 631-2013, en cuyo seno, se acordó inicialmente, </w:t>
      </w:r>
      <w:r w:rsidRPr="006B7292">
        <w:rPr>
          <w:i/>
        </w:rPr>
        <w:t>ex</w:t>
      </w:r>
      <w:r>
        <w:t xml:space="preserve"> art. 161.2 CE, la suspensión del tributo autonómico; si bien, finalmente, el Tribunal Constitucional, por Auto de 9 de julio de 2013, acordó el levantamiento de la suspensión de los preceptos impugnados —art. 41 y disposición final séptima del meritado cuerpo legal—, razón por la cual dicho tributo es plenamente eficaz, aplicable y exigible en el ámbito territorial de Asturias. Por su parte, el Principado de Asturias interpuso, asimismo, recurso de inconstitucionalidad contra el art. 19 de la Ley 16/2012 —recurso de inconstitucionalidad 1881-2013—, a cuyos fundamentos jurídicos se remite ahora la demanda.</w:t>
      </w:r>
    </w:p>
    <w:p w:rsidR="006B7292" w:rsidRDefault="006B7292" w:rsidP="006B7292">
      <w:pPr>
        <w:pStyle w:val="TextoNormal"/>
      </w:pPr>
    </w:p>
    <w:p w:rsidR="006B7292" w:rsidRDefault="006B7292" w:rsidP="006B7292">
      <w:pPr>
        <w:pStyle w:val="TextoNormal"/>
      </w:pPr>
      <w:r>
        <w:t>Se refiere después a la norma ahora impugnada, el art. 124 del Real Decreto-ley 8/2014, que modifica los apartados 5, 7 a 10 y 13 del art. 19 de la Ley 16/2012, de 27 de diciembre; renumera el apartado 14 como 15; y añade un nuevo apartado 14, modificaciones que tienen efecto desde el 1 de enero de 2014. Destaca que la modificación más relevante que se introduce es la referida al tipo de gravamen, que pasa de ser cero o inexistente al 0,03 por 100.</w:t>
      </w:r>
    </w:p>
    <w:p w:rsidR="006B7292" w:rsidRDefault="006B7292" w:rsidP="006B7292">
      <w:pPr>
        <w:pStyle w:val="TextoNormal"/>
      </w:pPr>
    </w:p>
    <w:p w:rsidR="006B7292" w:rsidRDefault="006B7292" w:rsidP="006B7292">
      <w:pPr>
        <w:pStyle w:val="TextoNormal"/>
      </w:pPr>
      <w:r>
        <w:t>A partir de lo anterior, el recurso se fundamenta en los siguientes cinco motivos de inconstitucionalidad.</w:t>
      </w:r>
    </w:p>
    <w:p w:rsidR="006B7292" w:rsidRDefault="006B7292" w:rsidP="006B7292">
      <w:pPr>
        <w:pStyle w:val="TextoNormal"/>
      </w:pPr>
    </w:p>
    <w:p w:rsidR="006B7292" w:rsidRDefault="006B7292" w:rsidP="006B7292">
      <w:pPr>
        <w:pStyle w:val="TextoNormal"/>
      </w:pPr>
      <w:r>
        <w:t>a) Se vulnera el art. 6.2 de la Ley Orgánica de financiación de las Comunidades Autónomas (LOFCA), al no contemplar la norma impugnada medida de compensación alguna para el Principado de Asturias, pese a establecer un tributo que recae sobre un hecho imponible previamente gravado por la Comunidad Autónoma y hacerlo con un menor tipo de gravamen, lo que implica una disminución de ingresos para ésta. Se refiere en este punto igualmente al art. 19 de la Ley 16/2012, norma que tampoco estableció medidas de compensación adecuadas, añadiendo en este punto los motivos de inconstitucionalidad referidos también en el recurso 1881-2013 interpuesto por la misma Comunidad Autónoma. En fin, concluye que la reducción de tipos por parte del Instituto de Educación Continua estatal supone que los ingresos disminuyen, en consecuencia, a menos de un 10 por 100 de los originarios previstos por el impuesto autonómico. Tal reducción de ingresos conduce irremediablemente a que el Estado, conforme a lo dispuesto en el art. 6.2 LOFCA, deba establecer las medidas de compensación oportunas.</w:t>
      </w:r>
    </w:p>
    <w:p w:rsidR="006B7292" w:rsidRDefault="006B7292" w:rsidP="006B7292">
      <w:pPr>
        <w:pStyle w:val="TextoNormal"/>
      </w:pPr>
    </w:p>
    <w:p w:rsidR="006B7292" w:rsidRDefault="006B7292" w:rsidP="006B7292">
      <w:pPr>
        <w:pStyle w:val="TextoNormal"/>
      </w:pPr>
      <w:r>
        <w:t>b) Se vulneran asimismo los principios de irretroactividad de las normas restrictivas de derechos individuales, seguridad jurídica e interdicción de la arbitrariedad (art. 9.3 CE). En concreto, la demanda reprocha a la norma que retrotrae sus efectos a 1 de enero de 2014, lo que supone que se incrementa la carga tributaria de los contribuyentes de forma sorpresiva e inesperada. Dicho carácter retroactivo afecta también a la seguridad jurídica de los sujetos pasivos del tributo. Al respecto se cita, entre otras, la STC 126/1987, de 26 de julio, FJ 9.</w:t>
      </w:r>
    </w:p>
    <w:p w:rsidR="006B7292" w:rsidRDefault="006B7292" w:rsidP="006B7292">
      <w:pPr>
        <w:pStyle w:val="TextoNormal"/>
      </w:pPr>
    </w:p>
    <w:p w:rsidR="006B7292" w:rsidRDefault="006B7292" w:rsidP="006B7292">
      <w:pPr>
        <w:pStyle w:val="TextoNormal"/>
      </w:pPr>
      <w:r>
        <w:t>En fin, aduce que su carácter retroactivo afecta a la seguridad jurídica de los sujetos pasivos ya que, como ha declarado este Tribunal en su Sentencia 100/2012, de 8 de mayo, este principio “protege la confianza de los ciudadanos que ajustan su conducta económica a la legislación vigente frente a cambios normativos que no sean razonablemente previsibles, ya que la retroactividad posible de las normas no puede trascender la interdicción de la arbitrariedad” (SSTC 150/1990, de 4 de octubre, FJ 8; 182/1997, de 28 de octubre, FJ 11, y 90/2009, de 20 de abril, FJ 4). De esta manera, los contribuyentes han acomodado su actuación a la regulación vigente y no han podido prever de ninguna forma los efectos retroactivos de un tributo estatal que, en algunas Comunidades Autónomas ocupa el espacio de un tributo autonómico ya existente; y, en otras, crea un nuevo impuesto en un ámbito que no estaba sometido a tributo alguno.</w:t>
      </w:r>
    </w:p>
    <w:p w:rsidR="006B7292" w:rsidRDefault="006B7292" w:rsidP="006B7292">
      <w:pPr>
        <w:pStyle w:val="TextoNormal"/>
      </w:pPr>
    </w:p>
    <w:p w:rsidR="006B7292" w:rsidRDefault="006B7292" w:rsidP="006B7292">
      <w:pPr>
        <w:pStyle w:val="TextoNormal"/>
      </w:pPr>
      <w:r>
        <w:t>c) Vulneración de los principios de estabilidad presupuestaria (art. 135 CE) y de lealtad institucional.</w:t>
      </w:r>
    </w:p>
    <w:p w:rsidR="006B7292" w:rsidRDefault="006B7292" w:rsidP="006B7292">
      <w:pPr>
        <w:pStyle w:val="TextoNormal"/>
      </w:pPr>
    </w:p>
    <w:p w:rsidR="006B7292" w:rsidRDefault="006B7292" w:rsidP="006B7292">
      <w:pPr>
        <w:pStyle w:val="TextoNormal"/>
      </w:pPr>
      <w:r>
        <w:t>La queja se centra en la reducción del tipo de gravamen con respecto a lo establecido en el tributo autonómico, reducción que va a ocasionar una merma de recaudación que, sin compensación, supone una importante disminución de ingresos que pone en peligro la configuración de ejercicios presupuestarios futuros en un marco de programación presupuestaria.</w:t>
      </w:r>
    </w:p>
    <w:p w:rsidR="006B7292" w:rsidRDefault="006B7292" w:rsidP="006B7292">
      <w:pPr>
        <w:pStyle w:val="TextoNormal"/>
      </w:pPr>
    </w:p>
    <w:p w:rsidR="006B7292" w:rsidRDefault="006B7292" w:rsidP="006B7292">
      <w:pPr>
        <w:pStyle w:val="TextoNormal"/>
      </w:pPr>
      <w:r>
        <w:t>Expone que esta Comunidad Autónoma elaboró sus presupuestos para 2014 con un cálculo de ingresos procedentes del citado impuesto basado en la aplicación de un tipo de gravamen comprendido entre el 0,3 y el 0,5 por 100 de esta manera, la aprobación a mitad del ejercicio presupuestario del Real Decreto-ley 8/2014, con una reducción de los tipos de gravamen a un 0,03 por 100 y sin previsión de compensación alguna, además de los efectos retroactivos otorgados al tributo desde el 1 de enero del mismo ejercicio, suponen una importante disminución de ingresos para la Comunidad Autónoma que realizó sus previsiones presupuestarias en la confianza de la normativa vigente.</w:t>
      </w:r>
    </w:p>
    <w:p w:rsidR="006B7292" w:rsidRDefault="006B7292" w:rsidP="006B7292">
      <w:pPr>
        <w:pStyle w:val="TextoNormal"/>
      </w:pPr>
    </w:p>
    <w:p w:rsidR="006B7292" w:rsidRDefault="006B7292" w:rsidP="006B7292">
      <w:pPr>
        <w:pStyle w:val="TextoNormal"/>
      </w:pPr>
      <w:r>
        <w:t>Además, no solo el vigente ejercicio presupuestario se ve claramente afectado por la disposición cuestionada. El Real Decreto-ley 8/2014 pone en peligro, se alega, la configuración de ejercicios presupuestarios futuros en un marco de programación presupuestaria el Principado de Asturias, en el proceso de programación a medio o largo plazo de la actividad pública económica, debe elaborar escenarios presupuestarios plurianuales que permitan la vinculación de los datos económicos a los objetivos de estabilidad presupuestaria y sostenibilidad financiera. Es cierto que el Estado, en el ejercicio de su potestad tributaria originaria, puede modificar el ordenamiento jurídico e introducir como propios hechos imponibles gravados por las Comunidades Autónomas, pero no podrá hacerlo sin la debida compensación de los ingresos tributarios autonómicos desplazados por la norma estatal añade, que se produce una quiebra del principio de lealtad institucional ante la adopción por el Ejecutivo estatal de una medida que perjudica gravemente a la Comunidad Autónoma.</w:t>
      </w:r>
    </w:p>
    <w:p w:rsidR="006B7292" w:rsidRDefault="006B7292" w:rsidP="006B7292">
      <w:pPr>
        <w:pStyle w:val="TextoNormal"/>
      </w:pPr>
    </w:p>
    <w:p w:rsidR="006B7292" w:rsidRDefault="006B7292" w:rsidP="006B7292">
      <w:pPr>
        <w:pStyle w:val="TextoNormal"/>
      </w:pPr>
      <w:r>
        <w:t>La regulación de un instrumento tributario estatal cuyo objeto ya estaba ocupado por un tributo autonómico, prescindiendo de todo cauce compensatorio o cooperativo, y cuya consecuencia se contrae a la reducción de ingresos para la Comunidad Autónoma, quiebra el principio de lealtad institucional que ha de presidir las relaciones entre éstas y el Estado, habiendo declarado el Tribunal Constitucional que: “un principio inherente de colaboración y lealtad constitucional ... postula la adopción de procedimientos de consulta, negociación o, en su caso, la búsqueda del acuerdo previo” (STC 13/2007, de 18 de enero). La lealtad institucional adquiere aún más relevancia en contexto de dificultades económicas en el que el cálculo de los ingresos públicos es primordial para el cumplimiento del ya citado principio de estabilidad presupuestaria.</w:t>
      </w:r>
    </w:p>
    <w:p w:rsidR="006B7292" w:rsidRDefault="006B7292" w:rsidP="006B7292">
      <w:pPr>
        <w:pStyle w:val="TextoNormal"/>
      </w:pPr>
    </w:p>
    <w:p w:rsidR="006B7292" w:rsidRDefault="006B7292" w:rsidP="006B7292">
      <w:pPr>
        <w:pStyle w:val="TextoNormal"/>
      </w:pPr>
      <w:r>
        <w:t>d) En cuarto lugar, aduce la demanda que falta en este caso el presupuesto habilitante exigido por el art. 86.1 CE, pues la modificación del tributo mediante decreto-ley no guarda relación con la situación de urgencia a la que se dice atender (la necesidad de encarar adecuadamente una incipiente fase de recuperación económica) sino que persigue el objetivo de garantizar una tributación armonizada en todo el territorio nacional, lo que no justifica el recurso a la figura del decreto-ley. Tras citar extensamente la doctrina de este Tribunal (entre otras, la STC 96/2014, de 12 de junio, y las SSTC 29/1982, de 31 de mayo, FJ 3; 182/1997, de 20 de octubre, FJ 3; 137/2003, de 3 de julio, FJ 4, y 1/2012, de 13 de enero, FJ 7), se refiere a la exposición de motivos del Decreto-ley 8/2014, así como al debate de convalidación, para concluir que ni de la exposición de motivos de la norma objeto del presente dictamen, ni del debate de convalidación del Real Decreto-ley, se deduce que el Gobierno considere la situación económica actual como “problemática”, sino precisamente todo lo contrario. En este sentido, entiende que hay una clara recuperación y las medidas adoptadas son únicamente para proceder a su afianzamiento. A ello añade que la actuación relativa al Impuesto sobre los depósitos en las entidades de crédito no parece tener relación con esa pretendida recuperación sino con el objetivo de garantizar una tributación armonizada en todo el territorio nacional, lo que no justifica el recurso a la figura del decreto-ley. No se cumple por tanto con el citado presupuesto habilitante.</w:t>
      </w:r>
    </w:p>
    <w:p w:rsidR="006B7292" w:rsidRDefault="006B7292" w:rsidP="006B7292">
      <w:pPr>
        <w:pStyle w:val="TextoNormal"/>
      </w:pPr>
    </w:p>
    <w:p w:rsidR="006B7292" w:rsidRDefault="006B7292" w:rsidP="006B7292">
      <w:pPr>
        <w:pStyle w:val="TextoNormal"/>
      </w:pPr>
      <w:r>
        <w:t>e) Vulneración del principio de reserva de ley en materia tributaria (arts. 31.3 y 131 —</w:t>
      </w:r>
      <w:r w:rsidRPr="006B7292">
        <w:rPr>
          <w:i/>
        </w:rPr>
        <w:t>sic</w:t>
      </w:r>
      <w:r>
        <w:t xml:space="preserve"> art. 133— CE), en conexión con los límites materiales al decreto-ley contenidos en el art. 86.1 CE. Se afirma, en concreto, que el precepto impugnado altera el elemento esencial del tributo, la carga tributaria, que pasa de ser inexistente a comportar un significativo gravamen sobre los depósitos bancarios. En este punto, y partiendo de la doctrina de la reserva de ley en materia tributaria (con cita de la STC 100/2012, de 8 de mayo, y las SSTC 182/1997, de 28 de octubre, FJ 8; 137/2003, de 3 de julio, FJ 6; 108/2004, de 30 de junio, FJ 7; 245/2004, de 16 de diciembre, FJ 4; y 189/2005, de 7 de julio, FJ 7), afirma que es cierto que el hecho de que una materia esté reservada a la ley ordinaria, con carácter absoluto o relativo, no excluye la regulación extraordinaria y provisional de la misma mediante decreto-ley (182/1997, de 20 de octubre, FJ 8). A continuación, se refiere al límite material del art. 86.1 CE en materia tributaria, de suerte que es preciso tener en cuenta “la configuración constitucional del derecho o deber afectado en cada caso y la naturaleza y alcance de la concreta regulación de que se trate” (SSTC 182/1997, de 28 de octubre, FJ 8; 137/2003, de 3 de julio, FJ 6; 108/2004, de 30 de junio, FJ 7; 245/2004, de 16 de diciembre, FJ 4; 189/2005, de 7 de julio, FJ 7; 329/2005, de 15 de diciembre FJ 8, y 100/2012, de 8 de mayo).</w:t>
      </w:r>
    </w:p>
    <w:p w:rsidR="006B7292" w:rsidRDefault="006B7292" w:rsidP="006B7292">
      <w:pPr>
        <w:pStyle w:val="TextoNormal"/>
      </w:pPr>
    </w:p>
    <w:p w:rsidR="006B7292" w:rsidRDefault="006B7292" w:rsidP="006B7292">
      <w:pPr>
        <w:pStyle w:val="TextoNormal"/>
      </w:pPr>
      <w:r>
        <w:t xml:space="preserve">De lo anterior resulta que el decreto-ley no podrá alterar ni el régimen general, ni aquellos elementos esenciales de los tributos que inciden en la determinación de la carga tributaria, afectando así al deber general de los ciudadanos de contribuir al sostenimiento de los gastos públicos de acuerdo con su riqueza mediante un sistema tributario justo. A partir de lo anterior, resalta que dado que el art. 19 de la Ley 16/2012 estableció un tipo de gravamen cero, el art. 124 del Real Decreto-ley 8/2014 supone la incorporación </w:t>
      </w:r>
      <w:r w:rsidRPr="006B7292">
        <w:rPr>
          <w:i/>
        </w:rPr>
        <w:t>ex novo</w:t>
      </w:r>
      <w:r>
        <w:t xml:space="preserve"> de este gravamen al sistema tributario estatal.</w:t>
      </w:r>
    </w:p>
    <w:p w:rsidR="006B7292" w:rsidRDefault="006B7292" w:rsidP="006B7292">
      <w:pPr>
        <w:pStyle w:val="TextoNormal"/>
      </w:pPr>
    </w:p>
    <w:p w:rsidR="006B7292" w:rsidRDefault="006B7292" w:rsidP="006B7292">
      <w:pPr>
        <w:pStyle w:val="TextoNormal"/>
      </w:pPr>
      <w:r>
        <w:t>A ello añade que, en todo caso, el precepto impugnado altera un elemento esencial del tributo, esto es, la carga tributaria, que pasa de ser inexistente, con un tipo de gravamen del 0 por 100, a comportar un gravamen muy significativo sobre los depósitos bancarios, cuya base imponible —saldo de depósitos bancarios— es señaladamente amplia, de tal forma que aún con un tipo de gravamen del 0,03 por 100 se hace recaer una gran deuda tributaria sobre las entidades bancarias sujetas al impuesto.</w:t>
      </w:r>
    </w:p>
    <w:p w:rsidR="006B7292" w:rsidRDefault="006B7292" w:rsidP="006B7292">
      <w:pPr>
        <w:pStyle w:val="TextoNormal"/>
      </w:pPr>
    </w:p>
    <w:p w:rsidR="006B7292" w:rsidRDefault="006B7292" w:rsidP="006B7292">
      <w:pPr>
        <w:pStyle w:val="TextoNormal"/>
      </w:pPr>
      <w:r>
        <w:t>Concluye que la figura del real decreto-ley no resulta por lo tanto adecuada para la creación del impuesto estatal sobre los depósitos en las entidades de crédito, en tanto altera la obligación constitucional de contribuir, vulnerando así el art. 86.1 CE. Ello supone, además, la violación del principio de reserva de ley en materia tributaria consagrado en los arts. 31.3 y 131.1 CE.</w:t>
      </w:r>
    </w:p>
    <w:p w:rsidR="006B7292" w:rsidRDefault="006B7292" w:rsidP="006B7292">
      <w:pPr>
        <w:pStyle w:val="TextoNormal"/>
      </w:pPr>
    </w:p>
    <w:p w:rsidR="006B7292" w:rsidRDefault="006B7292" w:rsidP="006B7292">
      <w:pPr>
        <w:pStyle w:val="TextoNormal"/>
      </w:pPr>
      <w:r>
        <w:t>Finaliza afirmando que la previsible conversión en Ley del Real Decreto-ley 8/2014 no permite entender sanados ambos defectos pues, como ya se señaló, reiterada jurisprudencia constitucional (por todas STC 109/2014, de 26 de junio), ha indicado que la convalidación de la disposición por el Congreso de los Diputados o su conversión en Ley no pueden: “corregir un defecto que ha de concebirse como necesariamente insubsanable, pues, en otro caso, los límites del art. 86 CE sólo serían operativos en el tiempo que media entre el Decreto-ley y su convalidación o su conversión en ley, esto es, en un tiempo en el que este Tribunal nunca podrá materialmente pronunciarse”.</w:t>
      </w:r>
    </w:p>
    <w:p w:rsidR="006B7292" w:rsidRDefault="006B7292" w:rsidP="006B7292">
      <w:pPr>
        <w:pStyle w:val="TextoNormal"/>
      </w:pPr>
    </w:p>
    <w:p w:rsidR="006B7292" w:rsidRDefault="006B7292" w:rsidP="006B7292">
      <w:pPr>
        <w:pStyle w:val="TextoNormal"/>
      </w:pPr>
      <w:r w:rsidRPr="006B7292">
        <w:rPr>
          <w:rStyle w:val="NumeroAFNegritaCaracter"/>
        </w:rPr>
        <w:t>2</w:t>
      </w:r>
      <w:r>
        <w:t>. Por providencia de 21 de octubre de 2014 el Pleno del Tribunal Constitucional, a propuesta de la Sección Segunda, acordó admitir a trámite el recurso de inconstitucionalidad,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estimaren convenientes. Asimismo, se ordenó publicar la incoación del recurso en el “Boletín Oficial del Estado”, lo que se llevó a efecto en el núm. 258, de 24 de octubre de 2014.</w:t>
      </w:r>
    </w:p>
    <w:p w:rsidR="006B7292" w:rsidRDefault="006B7292" w:rsidP="006B7292">
      <w:pPr>
        <w:pStyle w:val="TextoNormal"/>
      </w:pPr>
    </w:p>
    <w:p w:rsidR="006B7292" w:rsidRDefault="006B7292" w:rsidP="006B7292">
      <w:pPr>
        <w:pStyle w:val="TextoNormal"/>
      </w:pPr>
      <w:r w:rsidRPr="006B7292">
        <w:rPr>
          <w:rStyle w:val="NumeroAFNegritaCaracter"/>
        </w:rPr>
        <w:t>3</w:t>
      </w:r>
      <w:r>
        <w:t>. Mediante escrito presentado en el Registro General de este Tribunal con fecha de 29 de octubre de 2014, el Presidente del Senado comunicó el acuerdo de la Mesa de la Cámara por el que se persona en el procedimiento y ofrece su colaboración a efectos del art. 88.1 LOTC.</w:t>
      </w:r>
    </w:p>
    <w:p w:rsidR="006B7292" w:rsidRDefault="006B7292" w:rsidP="006B7292">
      <w:pPr>
        <w:pStyle w:val="TextoNormal"/>
      </w:pPr>
    </w:p>
    <w:p w:rsidR="006B7292" w:rsidRDefault="006B7292" w:rsidP="006B7292">
      <w:pPr>
        <w:pStyle w:val="TextoNormal"/>
      </w:pPr>
      <w:r w:rsidRPr="006B7292">
        <w:rPr>
          <w:rStyle w:val="NumeroAFNegritaCaracter"/>
        </w:rPr>
        <w:t>4</w:t>
      </w:r>
      <w:r>
        <w:t>. El 28 de octubre de 2014 se registró el escrito del Presidente del Congreso de los Diputados comunicando el acuerdo de la Mesa de la Cámara por el que ésta se persona en el procedimiento y da por ofrecida su colaboración a los efectos del art. 88.1 LOTC, remitiendo asimismo el recurso a la Dirección de Estudios, Análisis y Publicaciones y a la asesoría jurídica de la Secretaría General.</w:t>
      </w:r>
    </w:p>
    <w:p w:rsidR="006B7292" w:rsidRDefault="006B7292" w:rsidP="006B7292">
      <w:pPr>
        <w:pStyle w:val="TextoNormal"/>
      </w:pPr>
    </w:p>
    <w:p w:rsidR="006B7292" w:rsidRDefault="006B7292" w:rsidP="006B7292">
      <w:pPr>
        <w:pStyle w:val="TextoNormal"/>
      </w:pPr>
      <w:r w:rsidRPr="006B7292">
        <w:rPr>
          <w:rStyle w:val="NumeroAFNegritaCaracter"/>
        </w:rPr>
        <w:t>5</w:t>
      </w:r>
      <w:r>
        <w:t>. El 30 de octubre de 2014 se registró el escrito del Abogado del Estado por el que se solicita que se le tenga por personado, en la representación que legalmente ostenta, así como que se le conceda una prórroga por ocho días del plazo para formular alegaciones.</w:t>
      </w:r>
    </w:p>
    <w:p w:rsidR="006B7292" w:rsidRDefault="006B7292" w:rsidP="006B7292">
      <w:pPr>
        <w:pStyle w:val="TextoNormal"/>
      </w:pPr>
    </w:p>
    <w:p w:rsidR="006B7292" w:rsidRDefault="006B7292" w:rsidP="006B7292">
      <w:pPr>
        <w:pStyle w:val="TextoNormal"/>
      </w:pPr>
      <w:r w:rsidRPr="006B7292">
        <w:rPr>
          <w:rStyle w:val="NumeroAFNegritaCaracter"/>
        </w:rPr>
        <w:t>6</w:t>
      </w:r>
      <w:r>
        <w:t>. El Pleno, mediante providencia de 31 de octubre de 2014, acuerda incorporar a las actuaciones el escrito del Abogado del Estado, teniéndosele por personado en el presente proceso, así como conceder la prórroga solicitada, ampliando en ocho días más el plazo establecido en la anterior providencia de 21 de octubre.</w:t>
      </w:r>
    </w:p>
    <w:p w:rsidR="006B7292" w:rsidRDefault="006B7292" w:rsidP="006B7292">
      <w:pPr>
        <w:pStyle w:val="TextoNormal"/>
      </w:pPr>
    </w:p>
    <w:p w:rsidR="006B7292" w:rsidRDefault="006B7292" w:rsidP="006B7292">
      <w:pPr>
        <w:pStyle w:val="TextoNormal"/>
      </w:pPr>
      <w:r w:rsidRPr="006B7292">
        <w:rPr>
          <w:rStyle w:val="NumeroAFNegritaCaracter"/>
        </w:rPr>
        <w:t>7</w:t>
      </w:r>
      <w:r>
        <w:t>. El 25 de noviembre de 2014 tiene entrada en este Tribunal el escrito de alegaciones del Abogado del Estado.</w:t>
      </w:r>
    </w:p>
    <w:p w:rsidR="006B7292" w:rsidRDefault="006B7292" w:rsidP="006B7292">
      <w:pPr>
        <w:pStyle w:val="TextoNormal"/>
      </w:pPr>
    </w:p>
    <w:p w:rsidR="006B7292" w:rsidRDefault="006B7292" w:rsidP="006B7292">
      <w:pPr>
        <w:pStyle w:val="TextoNormal"/>
      </w:pPr>
      <w:r>
        <w:t>Comienza describiendo los elementos esenciales del impuesto sobre depósitos en las entidades de crédito regulado en el art. 19 de la Ley 16/2012, de 27 de diciembre, por la que se adoptan diversas medidas tributarias dirigidas a la consolidación de las finanzas públicas y al impulso de la actividad económica, precepto reformado por el art. 124 del Real Decreto-ley 8/2014, de 4 de julio, de aprobación de medidas urgentes para el crecimiento, la competitividad y la eficiencia, objeto de la impugnación.</w:t>
      </w:r>
    </w:p>
    <w:p w:rsidR="006B7292" w:rsidRDefault="006B7292" w:rsidP="006B7292">
      <w:pPr>
        <w:pStyle w:val="TextoNormal"/>
      </w:pPr>
    </w:p>
    <w:p w:rsidR="006B7292" w:rsidRDefault="006B7292" w:rsidP="006B7292">
      <w:pPr>
        <w:pStyle w:val="TextoNormal"/>
      </w:pPr>
      <w:r>
        <w:t>A partir de ahí, contesta a las alegaciones de inconstitucionalidad con modificación del orden de las impugnaciones de la demanda:</w:t>
      </w:r>
    </w:p>
    <w:p w:rsidR="006B7292" w:rsidRDefault="006B7292" w:rsidP="006B7292">
      <w:pPr>
        <w:pStyle w:val="TextoNormal"/>
      </w:pPr>
    </w:p>
    <w:p w:rsidR="006B7292" w:rsidRDefault="006B7292" w:rsidP="006B7292">
      <w:pPr>
        <w:pStyle w:val="TextoNormal"/>
      </w:pPr>
      <w:r>
        <w:t>a) Tras recordar las reformas que al art. 19 de la Ley 16/2012 introduce el art. 124 del Real Decreto-ley 8/2014, responde en primer lugar a la infracción de los artículos 31.3, 133.1 y 3; y 131 de la Constitución, a partir de la doctrina sobre el principio de reserva de ley contenida entre otras en la STC 100/2012, de 8 mayo, FJ 7, y con referencia al carácter originario de la potestad tributaria estatal consagrada en el artículo 6 de la Ley Orgánica de financiación de las Comunidades Autónomas (LOFCA), que dispone que los tributos que establezcan las Comunidades Autónomas no podrán recaer sobre hechos imponibles gravados por el Estado. Se refiere a continuación a las razones de política económica que justificaron el establecimiento inicial de un tipo de gravamen cero para este tributo en el art. 19 de la Ley 16/2012, tipo de gravamen que ahora resulta modificado, y que debe ser tenido en cuenta en el marco de grave crisis de este sector. Añade que el art. 124 del Real Decreto-ley que se impugna supone el ejercicio de la potestad originaria exclusiva del Estado en materia tributaria, sin que se trate, como afirma la demanda, de una imposición aparente o ficticia. Descarta asimismo que exista “ausencia de armonización o auténtico equilibrio en cuanto al deseable desarrollo regional y sectorial”, que el artículo 131 de la Constitución presenta en todo caso como un objetivo constitucional programático. En todo caso, finaliza, la invocación de este precepto en el escrito del recurso resulta tan genérica que tampoco cabe efectuar mayor consideración de contrario.</w:t>
      </w:r>
    </w:p>
    <w:p w:rsidR="006B7292" w:rsidRDefault="006B7292" w:rsidP="006B7292">
      <w:pPr>
        <w:pStyle w:val="TextoNormal"/>
      </w:pPr>
    </w:p>
    <w:p w:rsidR="006B7292" w:rsidRDefault="006B7292" w:rsidP="006B7292">
      <w:pPr>
        <w:pStyle w:val="TextoNormal"/>
      </w:pPr>
      <w:r>
        <w:t xml:space="preserve">b) Tampoco infringe el art. 124 del Real Decreto-ley 8/2014 el art. 6.2 LOFCA, pues no se agrava con el mismo la posición de partida de la hacienda autonómica ya que lo que determina precisamente es que el producto de la recaudación genere ingresos fiscales adicionales en la hacienda autonómica. Añade además que el artículo 124 no crea </w:t>
      </w:r>
      <w:r w:rsidRPr="006B7292">
        <w:rPr>
          <w:i/>
        </w:rPr>
        <w:t>ex novo</w:t>
      </w:r>
      <w:r>
        <w:t xml:space="preserve"> un tributo, sino que establece un tipo de gravamen a un tributo previamente existente. En todo caso, la compensación que ha previsto la reforma del art. 19 de la Ley 16/2012 no resulta algo aleatorio y arbitrario como pretende la demanda, sino que se respeta el tenor del art. 6.2 LOFCA que requiere la adopción por parte del Estado de medidas de compensación adecuadas a favor de las Comunidades Autónomas que se hallen en el supuesto de hecho previsto, esto es que experimenten una disminución de ingresos por la creación del impuesto estatal. En este caso, el legislador optó por prever dichas medidas en la misma Ley 16/2012, respecto de las Comunidades Autónomas que hubieran establecido la misma clase de impuesto con anterioridad al 1 de diciembre de 2012. Estas medidas se transforman ahora en destinar el importe de la recaudación de la subida del tipo a las Comunidades Autónomas donde estén radicadas en la sede sus sucursales sujetas a gravamen.</w:t>
      </w:r>
    </w:p>
    <w:p w:rsidR="006B7292" w:rsidRDefault="006B7292" w:rsidP="006B7292">
      <w:pPr>
        <w:pStyle w:val="TextoNormal"/>
      </w:pPr>
    </w:p>
    <w:p w:rsidR="006B7292" w:rsidRDefault="006B7292" w:rsidP="006B7292">
      <w:pPr>
        <w:pStyle w:val="TextoNormal"/>
      </w:pPr>
      <w:r>
        <w:t>c) En tercer lugar, interesa la desestimación del motivo referido a la vulneración del principio constitucional de estabilidad presupuestaria, lo que parece ubicarse en el principio de lealtad institucional exigido por el artículo 135, apartado 1, de la Constitución, que establece que todas las Administraciones públicas adecuarán sus actuaciones al principio de estabilidad presupuestaria. Al respecto se alega que precisamente una unificación normativa impositiva favorece el principio de estabilidad presupuestaria, añadiendo que en todo caso la eventual insuficiencia de recursos financieros puede también tener su origen en un exceso de gasto o en deficiencias estructurales o coyunturales.</w:t>
      </w:r>
    </w:p>
    <w:p w:rsidR="006B7292" w:rsidRDefault="006B7292" w:rsidP="006B7292">
      <w:pPr>
        <w:pStyle w:val="TextoNormal"/>
      </w:pPr>
    </w:p>
    <w:p w:rsidR="006B7292" w:rsidRDefault="006B7292" w:rsidP="006B7292">
      <w:pPr>
        <w:pStyle w:val="TextoNormal"/>
      </w:pPr>
      <w:r>
        <w:t>d) En cuarto lugar, considera que no se ha vulnerado el art. 9.3 CE en los términos que interesa la demanda, pues la norma impugnada entra en vigor en el mismo ejercicio fiscal en el que se promulgaba, de modo que no incurre en una retroactividad contraria al citado precepto constitucional, ya que no prevé la aplicación de sus efectos a situaciones ya consumadas en el pasado, o a ejercicios fiscales anteriores, relativos a impuestos ya devengados. Añade que, en todo caso, la medida introducida en el Decreto-ley era previsible. Se refiere igualmente al principio de no confiscación del art. 31 CE, que no se habría vulnerado por la subida del tipo de gravamen desde el 0 al 0,03 por 100.</w:t>
      </w:r>
    </w:p>
    <w:p w:rsidR="006B7292" w:rsidRDefault="006B7292" w:rsidP="006B7292">
      <w:pPr>
        <w:pStyle w:val="TextoNormal"/>
      </w:pPr>
    </w:p>
    <w:p w:rsidR="006B7292" w:rsidRDefault="006B7292" w:rsidP="006B7292">
      <w:pPr>
        <w:pStyle w:val="TextoNormal"/>
      </w:pPr>
      <w:r>
        <w:t>e) Por último, se refiere el alegato al presupuesto de extraordinaria y urgente necesidad que exige el art. 86 de la Constitución, como presupuesto habilitante para este tipo de norma. Se recoge la doctrina constitucional en relación con la urgente y extraordinaria necesidad con cita, entre otras, de las SSTC 6/1983 y 111/1983; y, más recientemente, SSTC 137/2011; y 142/2014, de 11 septiembre. A dicha doctrina añade la doctrina acerca de la especial aptitud del Real Decreto-ley para atender a las denominadas coyunturas económicas problemáticas, refiriéndose a la doctrina contenida en la STC 23/1993, de 21 de enero, FJ 5. Añade asimismo una referencia a la contenida en la STC 39/2013, de 14 febrero, en cuyo fundamento jurídico 5 se afirmó que la valoración de la extraordinaria y urgente necesidad de una medida puede ser independiente de su imprevisibilidad e, incluso, de que tenga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 Finaliza recordando que resulta ajena a la función fiscalizadora de este Tribunal la consideración sobre la mayor o menor bondad técnica de las medidas adoptadas, circunscribiéndose su labor a constatar “la existencia de la necesaria conexión de sentido entre la situación de urgencia definida y las medidas concretas adoptadas para subvenir la misma” (STC 329/2005, de 15 de diciembre, FJ 11).</w:t>
      </w:r>
    </w:p>
    <w:p w:rsidR="006B7292" w:rsidRDefault="006B7292" w:rsidP="006B7292">
      <w:pPr>
        <w:pStyle w:val="TextoNormal"/>
      </w:pPr>
    </w:p>
    <w:p w:rsidR="006B7292" w:rsidRDefault="006B7292" w:rsidP="006B7292">
      <w:pPr>
        <w:pStyle w:val="TextoNormal"/>
      </w:pPr>
      <w:r>
        <w:t>A partir de lo anterior, se refiere a la justificación global del Real Decreto-ley contenida en la exposición de motivos y que se refiere a un paquete de medidas con el objetivo de saneamiento fiscal, destinadas a aumentar la competitividad y fomentar el funcionamiento eficiente de los mercados así como de la financiación. En cuanto al trámite de convalidación del Real Decreto-Ley, se recogen en el escrito las afirmaciones de la Vicepresidenta del Gobierno en el debate que tuvo lugar en el Congreso. Por lo que se refiere a la justificación concreta de la reforma que se introduce en el citado Decreto-ley a la Ley 16/2012, transcribe la justificación contenida en la norma que se refiere a la “necesidad de modificación urgente con el objeto de garantizar una tributación armonizada de los depósitos constituidos en las entidades de crédito en todo el territorio español. A tal fin, se establece, con efectos del 1 de enero de 2014, un tipo de gravamen del 0,03 por cien, cuya recaudación será destinada a las Comunidades Autónomas donde radique en la sede central o las sucursales de los contribuyentes en las que se mantengan los fondos de terceros gravados. Además se introducen mejoras técnicas en la configuración de la base imponible del impuesto”. Considera, en consecuencia, justificada la urgente necesidad como presupuesto habilitante del artículo 86 CE.</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Único. En la STC 211/2015, de 8 de octubre, hemos declarado inconstitucional y nulo el art. 124 del Real Decreto-ley 8/2014, de 4 de julio, de aprobación de medidas urgentes para el crecimiento, la competitividad y la eficiencia.</w:t>
      </w:r>
    </w:p>
    <w:p w:rsidR="006B7292" w:rsidRDefault="006B7292" w:rsidP="006B7292">
      <w:pPr>
        <w:pStyle w:val="TextoNormal"/>
      </w:pPr>
    </w:p>
    <w:p w:rsidR="006B7292" w:rsidRDefault="006B7292" w:rsidP="006B7292">
      <w:pPr>
        <w:pStyle w:val="TextoNormal"/>
      </w:pPr>
      <w:r>
        <w:t>De acuerdo con nuestra doctrina, la finalidad de los procesos de inconstitucionalidad es depurar el ordenamiento jurídico (STC 216/2012, de 14 de noviembre, FJ 2, con cita de otras muchas), de manera que este Tribunal no deberá pronunciarse sobre aquellas normas que hayan sido expulsadas de dicho ordenamiento.</w:t>
      </w:r>
    </w:p>
    <w:p w:rsidR="006B7292" w:rsidRDefault="006B7292" w:rsidP="006B7292">
      <w:pPr>
        <w:pStyle w:val="TextoNormal"/>
      </w:pPr>
    </w:p>
    <w:p w:rsidR="006B7292" w:rsidRDefault="006B7292" w:rsidP="006B7292">
      <w:pPr>
        <w:pStyle w:val="TextoNormal"/>
      </w:pPr>
      <w:r>
        <w:t>Debemos, en consecuencia, declarar que el presente recurso de inconstitucionalidad ha perdido su objeto de forma sobrevenida, por haber sido la norma que se impugna expulsada ya del ordenamiento jurídico.</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Declarar extinguido el recurso de inconstitucionalidad núm. 5952-2014 por desaparición sobrevenida de su objeto.</w:t>
      </w:r>
    </w:p>
    <w:p w:rsidR="006B7292" w:rsidRDefault="006B7292" w:rsidP="006B7292">
      <w:pPr>
        <w:pStyle w:val="TextoNormal"/>
      </w:pPr>
    </w:p>
    <w:p w:rsidR="006B7292" w:rsidRDefault="006B7292" w:rsidP="006B7292">
      <w:pPr>
        <w:pStyle w:val="TextoNormal"/>
      </w:pPr>
      <w:r>
        <w:t>Madrid, a veinte de octubre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86" w:name="AUTO_2015_172"/>
      <w:r>
        <w:t>AUTO 172/2015, de 20 de octubre de 2015</w:t>
      </w:r>
    </w:p>
    <w:bookmarkEnd w:id="186"/>
    <w:p w:rsidR="006B7292" w:rsidRDefault="006B7292" w:rsidP="006B7292">
      <w:pPr>
        <w:pStyle w:val="TtuloResolucin"/>
      </w:pPr>
      <w:r>
        <w:t>Pleno</w:t>
      </w:r>
    </w:p>
    <w:p w:rsidR="006B7292" w:rsidRDefault="006B7292" w:rsidP="006B7292">
      <w:pPr>
        <w:pStyle w:val="TextoNormalCentrado"/>
      </w:pPr>
      <w:r>
        <w:t>ECLI:ES:TC:2015:172A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Inadmite a trámite la cuestión de inconstitucionalidad 217-2015, planteada por la Sala de lo Contencioso-Administrativo del Tribunal Supremo en relación con varios preceptos de la Ley Orgánica 6/1985, de 1 de julio, del Poder Judicial y del Real Decreto-ley 20/2012, de 13 de julio, de medidas para garantizar la estabilidad presupuestaria y de fomento de la competitividad.</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14 de enero de 2015 tuvo entrada en el Registro General de este Tribunal, un oficio del Secretario de la Sección Séptima de la Sala Tercera del Tribunal Supremo, por el que remite testimonio completo de las actuaciones correspondientes al recurso 162-2013, entre las que se incorpora el Auto de la citada Sección y Sala, de 21 de noviembre de 2014, por el que se plantea cuestión de inconstitucionalidad contra la disposición transitoria cuadragésima primera de la Ley Orgánica 6/1985, de 1 de julio, del Poder Judicial; arts. 2.1 y 3.3 del Real Decreto-ley 20/2012, de 13 de julio, de medidas para garantizar la estabilidad presupuestaria y de fomento de la competitividad, y art. 3.3 bis del mismo Real Decreto-ley, en su versión modificada por la Ley 10/2012, de 20 de noviembre, por posible vulneración de los arts. 9.3, 14 y 33.3 CE.</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de hecho del planteamiento de la presente cuestión de inconstitucionalidad son, sucintamente expuestos, los siguientes:</w:t>
      </w:r>
    </w:p>
    <w:p w:rsidR="006B7292" w:rsidRDefault="006B7292" w:rsidP="006B7292">
      <w:pPr>
        <w:pStyle w:val="TextoNormal"/>
      </w:pPr>
    </w:p>
    <w:p w:rsidR="006B7292" w:rsidRDefault="006B7292" w:rsidP="006B7292">
      <w:pPr>
        <w:pStyle w:val="TextoNormal"/>
      </w:pPr>
      <w:r>
        <w:t>a) Un funcionario del cuerpo de gestión procesal y administrativa, que presta servicios en el Tribunal Constitucional, interpuso recurso contencioso-administrativo contra la resolución de la Presidencia del Tribunal Constitucional, de 22 de abril de 2013, desestimatoria del recurso de alzada interpuesto contra las nóminas de los meses de agosto, septiembre, octubre, noviembre y diciembre del año 2012. En el mismo, solicitaba el abono de las cantidades detraídas en las nóminas recurridas, y, subsidiariamente, el abono de la parte proporcional de la paga extraordinaria de diciembre correspondiente al periodo que media entre el 1 de junio de 2012 y el 15 de julio del mismo año. Estas mismas pretensiones se repitieron en el suplico de la demanda contencioso-administrativa presentada ante el Tribunal Supremo. En ella se solicitaba que se reconociera al recurrente el derecho a percibir la paga extraordinaria del mes de diciembre de 2012 que le fue detraída de las nóminas de los citados meses y, subsidiariamente, el abono de la parte proporcional de la paga extraordinaria de diciembre correspondiente a los cuarenta y cuatro días anteriores a la publicación del citado Real Decreto-ley.</w:t>
      </w:r>
    </w:p>
    <w:p w:rsidR="006B7292" w:rsidRDefault="006B7292" w:rsidP="006B7292">
      <w:pPr>
        <w:pStyle w:val="TextoNormal"/>
      </w:pPr>
    </w:p>
    <w:p w:rsidR="006B7292" w:rsidRDefault="006B7292" w:rsidP="006B7292">
      <w:pPr>
        <w:pStyle w:val="TextoNormal"/>
      </w:pPr>
      <w:r>
        <w:t>b) El 2 de diciembre de 2013, el Abogado del Estado presentó un escrito en el que se relacionan las cuestiones de inconstitucionalidad admitidas por el Tribunal Constitucional y relativas a la medida de supresión de la paga extra correspondiente a diciembre de 2012 suplicando la declaración de pérdida sobrevenida del objeto del proceso, a lo que se opuso el recurrente. Mediante providencia de la Sección Séptima de la Sala Tercera del Tribunal Supremo se declaró no haber lugar a la pretensión de la Abogacía del Estado por no haberse acreditado que se hubieran satisfecho fuera del proceso las pretensiones ejercitadas</w:t>
      </w:r>
    </w:p>
    <w:p w:rsidR="006B7292" w:rsidRDefault="006B7292" w:rsidP="006B7292">
      <w:pPr>
        <w:pStyle w:val="TextoNormal"/>
      </w:pPr>
    </w:p>
    <w:p w:rsidR="006B7292" w:rsidRDefault="006B7292" w:rsidP="006B7292">
      <w:pPr>
        <w:pStyle w:val="TextoNormal"/>
      </w:pPr>
      <w:r>
        <w:t xml:space="preserve">c) Una vez declaradas conclusas las actuaciones y señalada fecha para votación y fallo, mediante providencia de la misma Sección y Sala, de 3 de octubre de 2014, se acordó, con suspensión del plazo para dictar sentencia, oír a las partes y al Ministerio Fiscal por el plazo común e improrrogable de diez días, para que alegasen sobre la pertinencia de plantear cuestión de inconstitucionalidad acerca de la disposición transitoria cuadragésima primera de la Ley Orgánica 6/1985, de 1 de julio, del Poder Judicial; arts. 2.1 y 3.3 del Real Decreto-ley 20/2012, de 13 de julio, de medidas para garantizar la estabilidad presupuestaria y de fomento de la competitividad, y art. 3.3 </w:t>
      </w:r>
      <w:r w:rsidRPr="006B7292">
        <w:rPr>
          <w:i/>
        </w:rPr>
        <w:t>bis</w:t>
      </w:r>
      <w:r>
        <w:t xml:space="preserve"> del mismo Real Decreto-ley, en su versión modificada por la Ley 10/2012, de 20 de noviembre, por posible infracción de la prohibición de retroactividad de las normas restrictivas de derechos individuales que garantiza el art. 9.3 CE, en relación con el principio de seguridad jurídica del mismo art. 9.3 CE, del principio de igualdad del art. 14 CE y de la interdicción de ser privados de bienes y derechos del art. 33.3 CE.</w:t>
      </w:r>
    </w:p>
    <w:p w:rsidR="006B7292" w:rsidRDefault="006B7292" w:rsidP="006B7292">
      <w:pPr>
        <w:pStyle w:val="TextoNormal"/>
      </w:pPr>
    </w:p>
    <w:p w:rsidR="006B7292" w:rsidRDefault="006B7292" w:rsidP="006B7292">
      <w:pPr>
        <w:pStyle w:val="TextoNormal"/>
      </w:pPr>
      <w:r>
        <w:t>d) El Abogado del Estado presentó alegaciones principales y complementarias, oponiendo la inaplicabilidad del art. 3.3 del Real decreto-ley 20/2012, en su redacción modificada por la disposición final 4.1 de la Ley 10/2012. El art. 3.3 del Real Decreto-ley 20/2012, en su redacción originaria, sí se refiere al personal de los cuerpos al servicio de la Administración de Justicia, al que pertenece el recurrente, pero, tras la reforma operada por la Ley 10/2012, es el art. 3.3 bis el que se refiere a este personal, siendo por tanto el art.3.3 inaplicable al caso. En cuanto a la pretensión principal del recurrente y la vulneración de la prohibición de retroactividad del art. 9.3 CE, señala que el recurrente considera que el día 29 de diciembre de 2012, fecha en que entró en vigor la modificación de la Ley Orgánica del Poder Judicial (LOPJ) que le afectaba, ya tenía devengada la paga extra de 2012 por aplicación del art. 519 LOPJ, y que tampoco le eran deducibles las cantidades minoradas de forma prorrateada en los meses anteriores pero siguientes a la entrada en vigor del Real Decreto-ley 20/2012, aunque no realiza respecto a estas últimas una argumentación diferente.</w:t>
      </w:r>
    </w:p>
    <w:p w:rsidR="006B7292" w:rsidRDefault="006B7292" w:rsidP="006B7292">
      <w:pPr>
        <w:pStyle w:val="TextoNormal"/>
      </w:pPr>
    </w:p>
    <w:p w:rsidR="006B7292" w:rsidRDefault="006B7292" w:rsidP="006B7292">
      <w:pPr>
        <w:pStyle w:val="TextoNormal"/>
      </w:pPr>
      <w:r>
        <w:t>Considera el Abogado del Estado que es suficiente el Real Decreto-ley (y no la modificación de la Ley Orgánica del Poder Judicial) para efectuar la modificación retributiva, tanto para la reducción afectante a conceptos salariales a percibir en los meses subsiguientes, por modificación de la Ley de presupuestos generales del Estado que establece su cuantía, como para la paga a percibir en diciembre, por haber sido modificado el art. 519 LOPJ por el Real Decreto-ley citado en lo relativo a la percepción de dos pagas extraordinarias al año.</w:t>
      </w:r>
    </w:p>
    <w:p w:rsidR="006B7292" w:rsidRDefault="006B7292" w:rsidP="006B7292">
      <w:pPr>
        <w:pStyle w:val="TextoNormal"/>
      </w:pPr>
    </w:p>
    <w:p w:rsidR="006B7292" w:rsidRDefault="006B7292" w:rsidP="006B7292">
      <w:pPr>
        <w:pStyle w:val="TextoNormal"/>
      </w:pPr>
      <w:r>
        <w:t>En cuanto a la pretensión subsidiaria respecto a la paga extra que se hubiera podido generar entre el 1 de junio y el 15 de julio de 2012, considera que las dudas de inconstitucionalidad en relación a la prohibición de retroactividad no están fundadas, pues el Real Decreto-ley 20/2012 y la propia modificación de la Ley Orgánica del Poder Judicial no constituyen disposiciones sancionadoras o no favorables restrictivas de derechos individuales en el sentido del art. 9.3 CE, y aunque lo fueran, no establecen una retroactividad auténtica prohibida por el citado precepto. Y en todo caso, de considerarse que existe una retroactividad auténtica, concurren excepcionales circunstancias de interés público que la justifican. Tampoco estaría en juego la seguridad jurídica en los términos en que el Tribunal Constitucional la ha definido, esto es la certidumbre razonablemente exigible para su cumplimiento o sobre la previsibilidad de sus efectos. La lesión del art. 33.3 CE no se alega de forma independiente de la lesión de los anteriores preceptos constitucionales, por lo que, descartada su lesión, habría que descartar también la de este precepto, todo ello sin perjuicio de recordar la doctrina constitucional sobre los derechos adquiridos de los funcionarios públicos que se encuentran en una situación estatutaria. Finalmente, tampoco habría resultado afectado el art. 14 CE, pues este no impide la desigualdad causada por la sucesión temporal de normas. Concluye, en consecuencia, suplicando el no planteamiento de la cuestión por no existir dudas sobre su constitucionalidad. En sus alegaciones complementarias y dado que en el Auto de planteamiento de otra cuestión de inconstitucionalidad (cuestión de inconstitucionalidad 3123-2014) plantea dudas sobre la forma en que se ha aplicado la supresión de la paga, explica la forma en que se ha realizado.</w:t>
      </w:r>
    </w:p>
    <w:p w:rsidR="006B7292" w:rsidRDefault="006B7292" w:rsidP="006B7292">
      <w:pPr>
        <w:pStyle w:val="TextoNormal"/>
      </w:pPr>
    </w:p>
    <w:p w:rsidR="006B7292" w:rsidRDefault="006B7292" w:rsidP="006B7292">
      <w:pPr>
        <w:pStyle w:val="TextoNormal"/>
      </w:pPr>
      <w:r>
        <w:t>d) El recurrente reiteró los argumentos expuestos en la demanda que le llevaron a solicitar el planteamiento de la correspondiente cuestión de inconstitucionalidad.</w:t>
      </w:r>
    </w:p>
    <w:p w:rsidR="006B7292" w:rsidRDefault="006B7292" w:rsidP="006B7292">
      <w:pPr>
        <w:pStyle w:val="TextoNormal"/>
      </w:pPr>
    </w:p>
    <w:p w:rsidR="006B7292" w:rsidRDefault="006B7292" w:rsidP="006B7292">
      <w:pPr>
        <w:pStyle w:val="TextoNormal"/>
      </w:pPr>
      <w:r>
        <w:t>e) El Ministerio Fiscal destaca la similitud de la cuestión de inconstitucionalidad sobre la que se solicitan alegaciones y la ya interpuesta por Auto de 2 de abril de 2014 (cuestión de inconstitucionalidad 3123-2014) y no se opone a su planteamiento a partir de las argumentaciones entonces realizadas.</w:t>
      </w:r>
    </w:p>
    <w:p w:rsidR="006B7292" w:rsidRDefault="006B7292" w:rsidP="006B7292">
      <w:pPr>
        <w:pStyle w:val="TextoNormal"/>
      </w:pPr>
    </w:p>
    <w:p w:rsidR="006B7292" w:rsidRDefault="006B7292" w:rsidP="006B7292">
      <w:pPr>
        <w:pStyle w:val="TextoNormal"/>
      </w:pPr>
      <w:r>
        <w:t xml:space="preserve">f) Por Auto de 21 de noviembre de 2014, la </w:t>
      </w:r>
      <w:r>
        <w:tab/>
        <w:t>Sección Séptima de la Sala de lo Contencioso-Administrativo del Tribunal Supremo plantea cuestión de inconstitucionalidad sobre la disposición transitoria cuadragésima primera de la Ley Orgánica 6/1985, de 1 de julio, del Poder Judicial; arts. 2.1 y 3.3 del Real Decreto-ley 20/2012, de 13 de julio, de medidas para garantizar la estabilidad presupuestaria y de fomento de la competitividad y art. 3.3 bis del mismo Real Decreto-ley 20/2012, en su versión modificada por la Ley 10/2012, de 20 de noviembre, por posible vulneración de los arts. 9.3, 14 y 33.3 CE.</w:t>
      </w:r>
    </w:p>
    <w:p w:rsidR="006B7292" w:rsidRDefault="006B7292" w:rsidP="006B7292">
      <w:pPr>
        <w:pStyle w:val="TextoNormal"/>
      </w:pPr>
    </w:p>
    <w:p w:rsidR="006B7292" w:rsidRDefault="006B7292" w:rsidP="006B7292">
      <w:pPr>
        <w:pStyle w:val="TextoNormal"/>
      </w:pPr>
      <w:r w:rsidRPr="006B7292">
        <w:rPr>
          <w:rStyle w:val="NumeroAFNegritaCaracter"/>
        </w:rPr>
        <w:t>3</w:t>
      </w:r>
      <w:r>
        <w:t>. En cuanto al contenido del Auto de promoción importa destacar lo siguiente:</w:t>
      </w:r>
    </w:p>
    <w:p w:rsidR="006B7292" w:rsidRDefault="006B7292" w:rsidP="006B7292">
      <w:pPr>
        <w:pStyle w:val="TextoNormal"/>
      </w:pPr>
    </w:p>
    <w:p w:rsidR="006B7292" w:rsidRDefault="006B7292" w:rsidP="006B7292">
      <w:pPr>
        <w:pStyle w:val="TextoNormal"/>
      </w:pPr>
      <w:r>
        <w:t>En los antecedentes de hecho expone el contenido de la demanda y se pronuncia sobre la excepción de inadmisibilidad planteada por el Abogado del Estado así como sobre la posible pérdida de objeto del recurso. Respecto a lo primero indica que el Abogado del Estado plantea una excepción de inadmisibilidad del recurso por carencia de jurisdicción, ya que entiende que lo pretendido por el recurrente no es un pronunciamiento sobre la legalidad ordinaria sino de constitucionalidad. Aunque los alegatos de la demanda cuestionan la constitucionalidad del Real Decreto-ley 20/2012 y de la Ley Orgánica del Poder Judicial, el proceso no se reduce a una denuncia en abstracto, pues es meramente instrumental de la pretensión que formula el demandante que es genuinamente administrativa: que se le abone la integridad de su paga extraordinaria (3.158,02 €) o subsidiariamente la parte de la misma que retribuya los 44 días que ya había devengado. Sobre lo segundo, el Auto estima que el recurso no ha perdido objeto, pues la admisión a trámite de otras cuestiones no tiene efectos suspensivos sobre los procesos en curso. La pérdida de objeto procede de la anulación de disposiciones generales lo que no se ha producido en este caso, sin que tampoco pueda prosperar la causa de inadmisión de falta de legitimación parcial respecto de algunas disposiciones del Real Decreto-ley, pues son evidentes los efectos positivos que una hipotética estimación de sus pretensiones y consiguiente anulación del acto impugnado produciría en la esfera jurídica de sus intereses.</w:t>
      </w:r>
    </w:p>
    <w:p w:rsidR="006B7292" w:rsidRDefault="006B7292" w:rsidP="006B7292">
      <w:pPr>
        <w:pStyle w:val="TextoNormal"/>
      </w:pPr>
    </w:p>
    <w:p w:rsidR="006B7292" w:rsidRDefault="006B7292" w:rsidP="006B7292">
      <w:pPr>
        <w:pStyle w:val="TextoNormal"/>
      </w:pPr>
      <w:r>
        <w:t>Respecto a las cuestiones de fondo, el órgano judicial entiende que confrontada la legalidad ordinaria, esto es, la contenida, en la Ley de presupuestos para 2012 en relación con el Real Decreto-ley 20/2012, y, de otro, la regulación de las pagas extraordinarias del personal al servicio de la administración de justicia, ninguna de las pretensiones puede ser resuelta sin el planteamiento de la cuestión de inconstitucionalidad. El art. 519.1 LOPJ reconoce al personal al servicio de la administración de justicia el derecho a percibir dos pagas extras indicando los conceptos (“Los funcionarios tendrán derecho a percibir dos pagas extraordinarias al año por importe, cada una de ellas, de una mensualidad de sueldo y antigüedad y, en su caso, una cantidad proporcional del complemento general del puesto en los términos que se fijen por ley para la Administración de Justicia, que se harán efectivas en los meses de junio y diciembre, siempre que los perceptores estuvieran en servicio activo o con derecho a devengo del sueldo el día primero de los meses indicados”). Hasta el día 29 de diciembre de 2102 no entró en vigor la Ley Orgánica 8/2012, de 27 de diciembre, que introduce en la Ley Orgánica del Poder Judicial la disposición transitoria cuadragésima primera, que suprime para el mes de diciembre la expresada paga en la forma que establece el Real Decreto-ley 20/2012. Conforme a lo previsto en la Ley de presupuestos del Estado para 1988, el devengo se produce semestralmente. El 1 de diciembre la paga extra se habría devengado en su totalidad, antes, por tanto, de la modificación de la Ley Orgánica del Poder Judicial. No cabe duda de que el Real Decreto-ley 20/2012 suprimió la paga extraordinaria reclamada, pero ello podría ser contradictorio con lo establecido en el art. 519 LOPJ. Sin embargo, no se produce realmente contradicción entre ambos, ya que el Real Decreto-ley 20/2012 señala que la reducción se llevará a efecto de acuerdo con lo previsto en el art. 2 LOPJ. Entiende, no obstante, que la supresión de la paga extra de los funcionarios del tipo del recurrente no se podía hacer por ministerio del Real Decreto-ley, siendo necesaria la modificación de la Ley Orgánica del Poder Judicial que, por haberse publicado tras el 1 de diciembre, opera una retroactividad auténtica prohibida por el art. 9.3 CE. Frente a la argumentación del Abogado del Estado, según la cual el Real Decreto-ley 20/2012 habría modificado el art. 519 LOPJ, al que no puede atribuirse carácter de orgánico, el Auto señala que el Tribunal Constitucional ha considerado (STC 131/2010) que a él le corresponde el monopolio para determinarlo de manera que la Sala está obligada a considerar que el art. 519 LOPJ “blinda” con rango formal de ley orgánica un determinado contenido de la paga extra en discusión.</w:t>
      </w:r>
    </w:p>
    <w:p w:rsidR="006B7292" w:rsidRDefault="006B7292" w:rsidP="006B7292">
      <w:pPr>
        <w:pStyle w:val="TextoNormal"/>
      </w:pPr>
    </w:p>
    <w:p w:rsidR="006B7292" w:rsidRDefault="006B7292" w:rsidP="006B7292">
      <w:pPr>
        <w:pStyle w:val="TextoNormal"/>
      </w:pPr>
      <w:r>
        <w:t>El Auto plantea una segunda cuestión de inconstitucionalidad, subsidiaria a la anterior, en correspondencia con la pretensión, también subsidiaria, del recurrente. Esta segunda es similar a la planteada en la cuestión de inconstitucionalidad 3123-2014. A juicio de la Sección las pagas extras son retribuciones de generación duradera o de periodo, de suerte que la paga extra de 2012, suprimida por el Real Decreto-ley 20/2012, constituye un salario diferido, generado y debido, pero no percibido. Los preceptos cuestionados entrarían en contradicción con lo dispuesto en el art. 9.3 CE que garantiza la irretroactividad de las disposiciones restrictivas de derechos individuales y la seguridad jurídica, puesto que se estaría suprimiendo el derecho a percibir la paga extra ya generada antes de la entrada en vigor del Real Decreto-ley 20/2012 durante el periodo que transcurre entre el 1 de junio de 2012, y el 15 de julio de 2012. Se trata, por tanto de derechos adquiridos de los funcionarios y no de meras expectativas derivadas de su condición estatutaria. De ahí que aunque no se plantea la supresión a futuro, sí en lo que afecta a los días ya trabajados, de manera que no sería posible estimar la pretensión subsidiaria sin el planteamiento de la cuestión de inconstitucionalidad.</w:t>
      </w:r>
    </w:p>
    <w:p w:rsidR="006B7292" w:rsidRDefault="006B7292" w:rsidP="006B7292">
      <w:pPr>
        <w:pStyle w:val="TextoNormal"/>
      </w:pPr>
    </w:p>
    <w:p w:rsidR="006B7292" w:rsidRDefault="006B7292" w:rsidP="006B7292">
      <w:pPr>
        <w:pStyle w:val="TextoNormal"/>
      </w:pPr>
      <w:r w:rsidRPr="006B7292">
        <w:rPr>
          <w:rStyle w:val="NumeroAFNegritaCaracter"/>
        </w:rPr>
        <w:t>4</w:t>
      </w:r>
      <w:r>
        <w:t>. Por providencia de la Sección Primera de este Tribunal, de fecha 21 de julio de 2015, se acordó, a los efectos que determina el art. 37.1 de la Ley Orgánica del Tribunal Constitucional, oír al Fiscal General del Estado para que, en el plazo de diez días, alegara lo que considerara conveniente acerca de la admisibilidad de la presente cuestión de inconstitucionalidad, por si fuere notoriamente infundada y satisfacción extraprocesal.</w:t>
      </w:r>
    </w:p>
    <w:p w:rsidR="006B7292" w:rsidRDefault="006B7292" w:rsidP="006B7292">
      <w:pPr>
        <w:pStyle w:val="TextoNormal"/>
      </w:pPr>
    </w:p>
    <w:p w:rsidR="006B7292" w:rsidRDefault="006B7292" w:rsidP="006B7292">
      <w:pPr>
        <w:pStyle w:val="TextoNormal"/>
      </w:pPr>
      <w:r w:rsidRPr="006B7292">
        <w:rPr>
          <w:rStyle w:val="NumeroAFNegritaCaracter"/>
        </w:rPr>
        <w:t>5</w:t>
      </w:r>
      <w:r>
        <w:t>. El 17 de septiembre de 2015 la Fiscal General del Estado presentó su escrito de alegaciones considerando que “debiera procederse a declarar la extinción de la presente cuestión de inconstitucionalidad por desaparición sobrevenida de su objeto, y por ende, notoriamente infundada”.</w:t>
      </w:r>
    </w:p>
    <w:p w:rsidR="006B7292" w:rsidRDefault="006B7292" w:rsidP="006B7292">
      <w:pPr>
        <w:pStyle w:val="TextoNormal"/>
      </w:pPr>
    </w:p>
    <w:p w:rsidR="006B7292" w:rsidRDefault="006B7292" w:rsidP="006B7292">
      <w:pPr>
        <w:pStyle w:val="TextoNormal"/>
      </w:pPr>
      <w:r>
        <w:t>Las alegaciones de la Fiscal General del Estado reproducen los preceptos cuestionados e indican que tras el dictado de la STC 83/2015, de 30 de abril, que declaró la pérdida de objeto de la cuestión allí planteada, no cabe sino reiterar sus términos también reproducidos en las SSTC 100/2015, 113/2015, y 114/2015. En todas ellas se pone de manifiesto la incidencia de la disposición adicional duodécima de la Ley 36/2014, de presupuestos generales del Estado para 2015, sobre la pretensión deducida en el pleito a quo, afectando a la propia subsistencia del proceso constitucional.</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La Sección Séptima de la Sala de lo Contencioso-Administrativo del Tribunal Supremo plantea cuestión de inconstitucionalidad en relación con la disposición transitoria cuadragésima primera de la Ley Orgánica 6/1985, de 1 de julio, del Poder Judicial; los arts. 2.1 y 3.3 del Real Decreto-ley 20/2012, de 13 de julio, de medidas para garantizar la estabilidad presupuestaria y de fomento de la competitividad, y el art. 3.3 bis del mismo Real Decreto-ley 20/2012, en su versión modificada por la Ley 10/2012, de 20 de noviembre, por posible vulneración de los arts. 9.3, 14 y 33.3 CE.</w:t>
      </w:r>
    </w:p>
    <w:p w:rsidR="006B7292" w:rsidRDefault="006B7292" w:rsidP="006B7292">
      <w:pPr>
        <w:pStyle w:val="TextoNormal"/>
      </w:pPr>
    </w:p>
    <w:p w:rsidR="006B7292" w:rsidRDefault="006B7292" w:rsidP="006B7292">
      <w:pPr>
        <w:pStyle w:val="TextoNormal"/>
      </w:pPr>
      <w:r>
        <w:t xml:space="preserve">Como ya se ha expuesto, el órgano judicial formula en realidad dos dudas de constitucionalidad que se corresponden con la pretensión principal y subsidiaria de la demanda en el proceso </w:t>
      </w:r>
      <w:r w:rsidRPr="006B7292">
        <w:rPr>
          <w:i/>
        </w:rPr>
        <w:t>a quo</w:t>
      </w:r>
      <w:r>
        <w:t>.</w:t>
      </w:r>
    </w:p>
    <w:p w:rsidR="006B7292" w:rsidRDefault="006B7292" w:rsidP="006B7292">
      <w:pPr>
        <w:pStyle w:val="TextoNormal"/>
      </w:pPr>
    </w:p>
    <w:p w:rsidR="006B7292" w:rsidRDefault="006B7292" w:rsidP="006B7292">
      <w:pPr>
        <w:pStyle w:val="TextoNormal"/>
      </w:pPr>
      <w:r>
        <w:t xml:space="preserve">La primera duda de constitucionalidad se refiere a la disposición transitoria cuadragésima primera LOPJ, en relación con los preceptos del Real Decreto-ley 20/2012, cuestionando la medida de supresión de la paga extraordinaria de diciembre de 2012 en sí misma considerada que se habría realizado en los términos previstos en el art. 3.3 y posterior art. 3.3 bis del Real Decreto-ley 20/2012. La disposición transitoria cuadragésima primera LOPJ establece que la supresión de la percepción de la paga extraordinaria del mes de diciembre de 2012 a los miembros del cuerpo de Secretarios Judiciales y al resto del personal al servicio de la Administración de Justicia tendrá lugar en la forma que establece el Real Decreto-ley 20/2012, adecuando dicha paga a fin de que la minoración resultante sea análoga a la de los restantes funcionarios. Lo que sostiene el órgano judicial es que la supresión de la paga extra dispuesta en el mencionado Real Decreto-ley 20/2012 y llevada a cabo, en el caso del proceso </w:t>
      </w:r>
      <w:r w:rsidRPr="006B7292">
        <w:rPr>
          <w:i/>
        </w:rPr>
        <w:t>a quo</w:t>
      </w:r>
      <w:r>
        <w:t xml:space="preserve"> en las nóminas correspondientes a los meses de agosto a diciembre de 2012, debía hacerse, para el personal al servicio de la Administración de Justicia, en la forma dispuesta en la Ley Orgánica del Poder Judicial (LOPJ), de suerte que el 29 de diciembre de 2012, momento en el que entró en vigor la Ley Orgánica 8/2012, de 27 de diciembre, que introduce la cuestionada disposición transitoria cuadragésima primera LOPJ, el derecho a la percepción de la paga extraordinaria ya se había perfeccionado. Por ello, la mencionada disposición transitoria cuadragésima primera LOPJ incurriría en una retroactividad auténtica, proscrita por el art. 9.3 CE.</w:t>
      </w:r>
    </w:p>
    <w:p w:rsidR="006B7292" w:rsidRDefault="006B7292" w:rsidP="006B7292">
      <w:pPr>
        <w:pStyle w:val="TextoNormal"/>
      </w:pPr>
    </w:p>
    <w:p w:rsidR="006B7292" w:rsidRDefault="006B7292" w:rsidP="006B7292">
      <w:pPr>
        <w:pStyle w:val="TextoNormal"/>
      </w:pPr>
      <w:r>
        <w:t>De modo subsidiario, para el caso de que el Tribunal no estimase la anterior cuestión, la Sección entiende que los preceptos cuestionados pueden vulnerar el principio constitucional de interdicción de la retroactividad de las disposiciones sancionadoras no favorables o restrictivas de derechos individuales (art. 9.3 CE), al no contemplar excepción alguna respecto de las cuantías ya devengadas por el funcionario al momento de la entrada en vigor del Real Decreto-ley 20/2012, esto es, desde el 1 de junio al 14 de julio de 2012. Igualmente considera afectados los principios de igualdad y de seguridad jurídica de los arts. 14 y 9.3 CE, por las modificaciones normativas que afectaron a la supresión de la paga extraordinaria en el caso de los funcionarios al servicio de la Administración de Justicia.</w:t>
      </w:r>
    </w:p>
    <w:p w:rsidR="006B7292" w:rsidRDefault="006B7292" w:rsidP="006B7292">
      <w:pPr>
        <w:pStyle w:val="TextoNormal"/>
      </w:pPr>
    </w:p>
    <w:p w:rsidR="006B7292" w:rsidRDefault="006B7292" w:rsidP="006B7292">
      <w:pPr>
        <w:pStyle w:val="TextoNormal"/>
      </w:pPr>
      <w:r>
        <w:t>La Fiscal General del Estado ha solicitado que se declare la extinción de la presente cuestión de inconstitucionalidad por desaparición sobrevenida de su objeto.</w:t>
      </w:r>
    </w:p>
    <w:p w:rsidR="006B7292" w:rsidRDefault="006B7292" w:rsidP="006B7292">
      <w:pPr>
        <w:pStyle w:val="TextoNormal"/>
      </w:pPr>
    </w:p>
    <w:p w:rsidR="006B7292" w:rsidRDefault="006B7292" w:rsidP="006B7292">
      <w:pPr>
        <w:pStyle w:val="TextoNormal"/>
      </w:pPr>
      <w:r w:rsidRPr="006B7292">
        <w:rPr>
          <w:rStyle w:val="NumeroAFNegritaCaracter"/>
        </w:rPr>
        <w:t>2</w:t>
      </w:r>
      <w:r>
        <w:t>. Conforme a lo dispuesto en el art. 37.1 de la Ley Orgánica del Tribunal Constitucional (LOTC), este Tribunal puede rechazar en trámite de admisión, mediante Auto y con la sola audiencia del Fiscal General del Estado, aquellas cuestiones de inconstitucionalidad que adolezcan de la falta de los necesarios requisitos procesales o que fueren notoriamente infundadas.</w:t>
      </w:r>
    </w:p>
    <w:p w:rsidR="006B7292" w:rsidRDefault="006B7292" w:rsidP="006B7292">
      <w:pPr>
        <w:pStyle w:val="TextoNormal"/>
      </w:pPr>
    </w:p>
    <w:p w:rsidR="006B7292" w:rsidRDefault="006B7292" w:rsidP="006B7292">
      <w:pPr>
        <w:pStyle w:val="TextoNormal"/>
      </w:pPr>
      <w:r>
        <w:t>Por otra parte, este Tribunal también ha señalado reiteradamente que la desaparición sobrevenida del objeto del proceso constitucional, aunque no está expresamente contemplada en el art. 86.1 LOTC como una de las causas de terminación extraordinaria, puede darse, provocando la conclusión del proceso sin que sea necesario un pronunciamiento sobre el reproche de inconstitucionalidad planteado (por todas, STC 6/2010, de 14 de abril, FJ 2; AATC 311/2007, de 19 de junio, FJ único; y 29/2009, de 27 de enero, FJ 1). Hemos dicho reiteradamente que la estrecha vinculación entre toda cuestión de inconstitucionalidad y el proceso judicial de que dimana da lugar a que determinadas incidencias que acaecen en este puedan afectar a la subsistencia del proceso constitucional (por todas, SSTC 22/2010, de 27 de abril, FJ 2; 87/2012, de 18 de abril, FJ 3).</w:t>
      </w:r>
    </w:p>
    <w:p w:rsidR="006B7292" w:rsidRDefault="006B7292" w:rsidP="006B7292">
      <w:pPr>
        <w:pStyle w:val="TextoNormal"/>
      </w:pPr>
    </w:p>
    <w:p w:rsidR="006B7292" w:rsidRDefault="006B7292" w:rsidP="006B7292">
      <w:pPr>
        <w:pStyle w:val="TextoNormal"/>
      </w:pPr>
      <w:r>
        <w:t>Ambas circunstancias concurren aquí, tal como se expone a continuación.</w:t>
      </w:r>
    </w:p>
    <w:p w:rsidR="006B7292" w:rsidRDefault="006B7292" w:rsidP="006B7292">
      <w:pPr>
        <w:pStyle w:val="TextoNormal"/>
      </w:pPr>
    </w:p>
    <w:p w:rsidR="006B7292" w:rsidRDefault="006B7292" w:rsidP="006B7292">
      <w:pPr>
        <w:pStyle w:val="TextoNormal"/>
      </w:pPr>
      <w:r w:rsidRPr="006B7292">
        <w:rPr>
          <w:rStyle w:val="NumeroAFNegritaCaracter"/>
        </w:rPr>
        <w:t>3</w:t>
      </w:r>
      <w:r>
        <w:t xml:space="preserve">. Por lo que respecta a la cuestión de inconstitucionalidad que se plantea en relación a la disposición transitoria cuadragésima primera LOPJ, a partir de la constatación de que el recurrente en el proceso </w:t>
      </w:r>
      <w:r w:rsidRPr="006B7292">
        <w:rPr>
          <w:i/>
        </w:rPr>
        <w:t>a quo</w:t>
      </w:r>
      <w:r>
        <w:t xml:space="preserve"> es un funcionario de carrera del cuerpo de gestión procesal y administrativo, el órgano judicial procede directamente a confrontar la medida de supresión de la paga extra contenida en las normas que cuestiona con la de las pagas extraordinarias de los funcionarios al servicio de la Administración de Justicia que se regulan en el art. 519 LOPJ.</w:t>
      </w:r>
    </w:p>
    <w:p w:rsidR="006B7292" w:rsidRDefault="006B7292" w:rsidP="006B7292">
      <w:pPr>
        <w:pStyle w:val="TextoNormal"/>
      </w:pPr>
    </w:p>
    <w:p w:rsidR="006B7292" w:rsidRDefault="006B7292" w:rsidP="006B7292">
      <w:pPr>
        <w:pStyle w:val="TextoNormal"/>
      </w:pPr>
      <w:r>
        <w:t>Sin embargo, en el razonamiento del órgano judicial acerca de la aplicabilidad de la norma cuestionada al caso que ha de resolver, no se toma en consideración que, pese a que efectivamente se trata de un funcionario perteneciente a los cuerpos de la administración de justicia, presta sus servicios en el Tribunal Constitucional, el cual goza de un régimen específico en lo relativo a su personal.</w:t>
      </w:r>
    </w:p>
    <w:p w:rsidR="006B7292" w:rsidRDefault="006B7292" w:rsidP="006B7292">
      <w:pPr>
        <w:pStyle w:val="TextoNormal"/>
      </w:pPr>
    </w:p>
    <w:p w:rsidR="006B7292" w:rsidRDefault="006B7292" w:rsidP="006B7292">
      <w:pPr>
        <w:pStyle w:val="TextoNormal"/>
      </w:pPr>
      <w:r>
        <w:t>En concreto, el art. 96.2 LOTC dispone que el personal al servicio del Tribunal Constitucional se rige por lo establecido en dicha Ley y en el Reglamento que en su desarrollo se dicte, y, con carácter supletorio, en lo que sea aplicable por la legislación vigente para el personal al servicio de la Administración de Justicia. El mencionado Reglamento es el de organización y personal del Tribunal Constitucional aprobado por el Pleno el 5 de julio de 1990. Con carácter general, el art. 51 del Reglamento establece que este personal se regirá por lo dispuesto en la Ley Orgánica del Tribunal Constitucional, en el presente Reglamento y en las demás normas y resoluciones dictadas por los órganos de gobierno del propio Tribunal, teniendo carácter de normas supletorias, en lo que sean aplicables, las contenidas en la legislación vigente para el personal al servicio de la Administración de Justicia y, en su caso, en la legislación en materia de función pública. El art. 96 del Reglamento de organización y funcionamiento atribuye al Pleno la ordenación mediante acuerdos de las retribuciones de su personal, en el marco de las previsiones de la relación de puestos de trabajo y con arreglo a una serie de criterios establecidos en el mencionado precepto. En dicho marco es el acuerdo de 19 de diciembre de 2002, del Pleno del Tribunal Constitucional, por el que se regula el régimen de retribuciones del personal al servicio del Tribunal Constitucional (“BOE” de 24 de diciembre de 2002) el que regula las pagas extraordinarias del personal al servicio del Tribunal, al establecer, en cuanto a las retribuciones del personal funcionario que las pagas extraordinarias se rigen por su normativa específica y las previsiones de la Ley de presupuestos de cada ejercicio [art. 2.1 c)].</w:t>
      </w:r>
    </w:p>
    <w:p w:rsidR="006B7292" w:rsidRDefault="006B7292" w:rsidP="006B7292">
      <w:pPr>
        <w:pStyle w:val="TextoNormal"/>
      </w:pPr>
    </w:p>
    <w:p w:rsidR="006B7292" w:rsidRDefault="006B7292" w:rsidP="006B7292">
      <w:pPr>
        <w:pStyle w:val="TextoNormal"/>
      </w:pPr>
      <w:r>
        <w:t>De lo anteriormente expuesto se deduce que la aplicación de la Ley Orgánica del Poder Judicial al régimen retributivo del personal al servicio del Tribunal Constitucional no es directa, como parece desprenderse del razonamiento del Auto sino, en todo caso, supletoria, en defecto de regulación sustantiva contenida en la normativa reguladora del Tribunal Constitucional y en los acuerdos adoptados por el Pleno.</w:t>
      </w:r>
    </w:p>
    <w:p w:rsidR="006B7292" w:rsidRDefault="006B7292" w:rsidP="006B7292">
      <w:pPr>
        <w:pStyle w:val="TextoNormal"/>
      </w:pPr>
    </w:p>
    <w:p w:rsidR="006B7292" w:rsidRDefault="006B7292" w:rsidP="006B7292">
      <w:pPr>
        <w:pStyle w:val="TextoNormal"/>
      </w:pPr>
      <w:r>
        <w:t xml:space="preserve">El Auto de planteamiento no se ha pronunciado acerca de la aplicabilidad al caso de la normativa que se ha expuesto, lo que a su vez impide a este Tribunal acceder a la justificación que exige el art. 35.2 LOTC sobre la relación de dependencia entre el fallo del procedimiento </w:t>
      </w:r>
      <w:r w:rsidRPr="006B7292">
        <w:rPr>
          <w:i/>
        </w:rPr>
        <w:t>a quo</w:t>
      </w:r>
      <w:r>
        <w:t xml:space="preserve"> y la validez de los preceptos discutidos.</w:t>
      </w:r>
    </w:p>
    <w:p w:rsidR="006B7292" w:rsidRDefault="006B7292" w:rsidP="006B7292">
      <w:pPr>
        <w:pStyle w:val="TextoNormal"/>
      </w:pPr>
    </w:p>
    <w:p w:rsidR="006B7292" w:rsidRDefault="006B7292" w:rsidP="006B7292">
      <w:pPr>
        <w:pStyle w:val="TextoNormal"/>
      </w:pPr>
      <w:r>
        <w:t>Por tanto, la cuestión de inconstitucionalidad que se plantea de modo principal debe inadmitirse.</w:t>
      </w:r>
    </w:p>
    <w:p w:rsidR="006B7292" w:rsidRDefault="006B7292" w:rsidP="006B7292">
      <w:pPr>
        <w:pStyle w:val="TextoNormal"/>
      </w:pPr>
    </w:p>
    <w:p w:rsidR="006B7292" w:rsidRDefault="006B7292" w:rsidP="006B7292">
      <w:pPr>
        <w:pStyle w:val="TextoNormal"/>
      </w:pPr>
      <w:r w:rsidRPr="006B7292">
        <w:rPr>
          <w:rStyle w:val="NumeroAFNegritaCaracter"/>
        </w:rPr>
        <w:t>4</w:t>
      </w:r>
      <w:r>
        <w:t>. Por lo que respecta a la cuestión que se formula con carácter subsidiario, resulta idéntica a la examinada en la STC 210/2015, de 8 de octubre. Por tanto, al igual que en ese caso, debemos remitirnos a lo dicho recientemente en la STC 83/2015, de 30 de abril, FJ 3, sobre la posible pérdida de objeto de la cuestión de inconstitucionalidad, como consecuencia de lo establecido en la disposición adicional duodécima de la Ley 36/2014, de 26 de diciembre, de presupuestos generales del Estado para 2015. Bajo el epígrafe “recuperación de la paga extraordinaria y adicional del mes de diciembre de 2012”, se establece, en su apartado 1.1,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según establece el apartado 1.2. En su apartado 2 dispone las reglas para el abono de dichas cantidades al personal del sector público estatal definido en las letras que relaciona del apartado 1 del art. 22 de la Ley 2/2012, de 29 de junio, de presupuestos generales del Estado para 2012, entre las que se encuentra la letra e), referida a los órganos constitucionales del Estado. La efectiva aplicación de estas previsiones se ha llevado a cabo en el ámbito del sector público estatal así definido conforme a las instrucciones contenidas en la Resolución conjunta de las Secretarías de Estado de Presupuestos y Gastos y de Administraciones Públicas de 29 de diciembre de 2014 (publicada en el “Boletín Oficial del Estado” de 2 de enero de 2015). En ella se precisa: “el reconocimiento del derecho a recuperar las cantidades dejadas de percibir se produce por imperativo de la propia Ley de Presupuestos Generales del Estado para 2015 y produce sus efectos a partir de este último año, por lo que todas las cantidades que se reconozcan en virtud de lo dispuesto en la disposición adicional constituyen percepciones correspondientes al ejercicio de 2015”. En el presente caso ha de estarse a lo dispuesto en el apartado II de la referida Instrucción, que contiene las reglas aplicables, entre otros, a los funcionarios civiles del Estado, condición que reúne el demandante en el proceso del que trae causa la presente cuestión de inconstitucionalidad.</w:t>
      </w:r>
    </w:p>
    <w:p w:rsidR="006B7292" w:rsidRDefault="006B7292" w:rsidP="006B7292">
      <w:pPr>
        <w:pStyle w:val="TextoNormal"/>
      </w:pPr>
    </w:p>
    <w:p w:rsidR="006B7292" w:rsidRDefault="006B7292" w:rsidP="006B7292">
      <w:pPr>
        <w:pStyle w:val="TextoNormal"/>
      </w:pPr>
      <w:r>
        <w:t xml:space="preserve">En la STC 83/2015, FJ 3, se recuerda la reiterada doctrina constitucional sobre los efectos extintivos del objeto del proceso en las cuestiones de inconstitucionalidad, como consecuencia de la derogación o modificación de la norma legal cuestionada. Se puso de manifiesto que era innegable la incidencia que tenía la medida contenida en la disposición adicional duodécima de la Ley 36/2014, de presupuestos generales del Estado para 2015, sobre la pretensión deducida en el pleito </w:t>
      </w:r>
      <w:r w:rsidRPr="006B7292">
        <w:rPr>
          <w:i/>
        </w:rPr>
        <w:t>a quo</w:t>
      </w:r>
      <w:r>
        <w:t>, “que afecta de modo determinante a la subsistencia del presente proceso constitucional, dada la estrecha vinculación existente entre toda cuestión de inconstitucionalidad y el procedimiento judicial de que dimana.”</w:t>
      </w:r>
    </w:p>
    <w:p w:rsidR="006B7292" w:rsidRDefault="006B7292" w:rsidP="006B7292">
      <w:pPr>
        <w:pStyle w:val="TextoNormal"/>
      </w:pPr>
    </w:p>
    <w:p w:rsidR="006B7292" w:rsidRDefault="006B7292" w:rsidP="006B7292">
      <w:pPr>
        <w:pStyle w:val="TextoNormal"/>
      </w:pPr>
      <w:r>
        <w:t xml:space="preserve">En la presente cuestión de inconstitucionalidad se discute si la supresión del derecho de un funcionario de la Administración de Justicia al servicio del Tribunal Constitucional a percibir la parte proporcional (en concreto, 44 días, por el periodo 1 de junio al 14 de julio de 2012) de la paga extra de diciembre de 2012, por entenderse ya devengada al momento de la entrada en vigor del Real Decreto-ley 20/2012, contraviene diversos preceptos constitucionales entre los que se encuentra el principio de irretroactividad establecido en el 9.3 CE. Planteada la cuestión en esos términos es obligado concluir, como hicimos en la STC 83/2015, que la recuperación por este funcionario de la parte proporcional correspondiente a los primeros 44 días de la paga extra de diciembre de 2012, en virtud de lo establecido en la citada disposición adicional duodécima de la Ley 36/2014, de presupuestos generales del Estado para 2015 supone la satisfacción extraprocesal de la pretensión deducida en el proceso contencioso-administrativo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(STC 83/2015, FJ 3). Pérdida de objeto que ha de determinar, en este momento procesal, la inadmisión de la cuestión, dada la satisfacción extraprocesal de la pretensión que, de modo subsidiario, se formulaba en el proceso </w:t>
      </w:r>
      <w:r w:rsidRPr="006B7292">
        <w:rPr>
          <w:i/>
        </w:rPr>
        <w:t>a quo</w:t>
      </w:r>
      <w:r>
        <w:t>.</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Inadmitir a trámite la cuestión de inconstitucionalidad núm. 217-2015 planteada por la Sección Séptima de la Sala de lo Contencioso-Administrativo del Tribunal Supremo.</w:t>
      </w:r>
    </w:p>
    <w:p w:rsidR="006B7292" w:rsidRDefault="006B7292" w:rsidP="006B7292">
      <w:pPr>
        <w:pStyle w:val="TextoNormal"/>
      </w:pPr>
    </w:p>
    <w:p w:rsidR="006B7292" w:rsidRDefault="006B7292" w:rsidP="006B7292">
      <w:pPr>
        <w:pStyle w:val="TextoNormal"/>
      </w:pPr>
      <w:r>
        <w:t>Madrid, a veinte de octubre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87" w:name="AUTO_2015_173"/>
      <w:r>
        <w:t>AUTO 173/2015, de 20 de octubre de 2015</w:t>
      </w:r>
    </w:p>
    <w:bookmarkEnd w:id="187"/>
    <w:p w:rsidR="006B7292" w:rsidRDefault="006B7292" w:rsidP="006B7292">
      <w:pPr>
        <w:pStyle w:val="TtuloResolucin"/>
      </w:pPr>
      <w:r>
        <w:t>Pleno</w:t>
      </w:r>
    </w:p>
    <w:p w:rsidR="006B7292" w:rsidRDefault="006B7292" w:rsidP="006B7292">
      <w:pPr>
        <w:pStyle w:val="TextoNormalCentrado"/>
      </w:pPr>
      <w:r>
        <w:t>ECLI:ES:TC:2015:173A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Inadmite a trámite la cuestión de inconstitucionalidad 1340-2015, planteada por la Sala de lo Social del Tribunal Superior de Justicia de Murcia en relación con el artículo 2 del Real Decreto-ley 20/2012, de 13 de julio, de medidas para garantizar la estabilidad presupuestaria y de fomento de la competitividad.</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Con fecha 9 de marzo de 2015 tuvo entrada en este Tribunal escrito de la Sala de lo Social del Tribunal Superior de Justicia de Murcia al que se acompaña, además del testimonio del procedimiento (conflicto colectivo 9-2014), el Auto de 15 de diciembre de 2014 por el que se acuerda plantear cuestión de inconstitucionalidad en relación con los arts. 2, apartados 1 y 2.2, y 6 del Real Decreto-ley 20/2012, de 13 de julio, de medidas para garantizar la estabilidad presupuestaria y de fomento de la competitividad, “por posible infracción de la prohibición de retroactividad de las normas restrictivas de derechos individuales que garantiza el art. 9.3 CE, en relación con el principio de seguridad jurídica del mismo precepto”.</w:t>
      </w:r>
    </w:p>
    <w:p w:rsidR="006B7292" w:rsidRDefault="006B7292" w:rsidP="006B7292">
      <w:pPr>
        <w:pStyle w:val="TextoNormal"/>
      </w:pPr>
    </w:p>
    <w:p w:rsidR="006B7292" w:rsidRDefault="006B7292" w:rsidP="006B7292">
      <w:pPr>
        <w:pStyle w:val="TextoNormal"/>
      </w:pPr>
      <w:r>
        <w:t>El art. 2 del Real Decreto-ley 20/2012, en los apartados cuestionados, dispone:</w:t>
      </w:r>
    </w:p>
    <w:p w:rsidR="006B7292" w:rsidRDefault="006B7292" w:rsidP="006B7292">
      <w:pPr>
        <w:pStyle w:val="TextoNormal"/>
      </w:pPr>
    </w:p>
    <w:p w:rsidR="006B7292" w:rsidRDefault="006B7292" w:rsidP="006B7292">
      <w:pPr>
        <w:pStyle w:val="TextoNormal"/>
      </w:pPr>
      <w:r>
        <w:t>“Artículo 2. Paga extraordinaria del mes de diciembre de 2012 del personal del sector público.</w:t>
      </w:r>
    </w:p>
    <w:p w:rsidR="006B7292" w:rsidRDefault="006B7292" w:rsidP="006B7292">
      <w:pPr>
        <w:pStyle w:val="TextoNormal"/>
      </w:pPr>
    </w:p>
    <w:p w:rsidR="006B7292" w:rsidRDefault="006B7292" w:rsidP="006B7292">
      <w:pPr>
        <w:pStyle w:val="TextoNormal"/>
      </w:pPr>
      <w:r>
        <w:t>‘1. En el año 2012 el personal del sector público definido en el artículo 22. Uno de la Ley 2/2012, de 29 de junio, de Presupuestos Generales del Estado, verá reducida sus retribuciones en las cuantías que corresponda percibir en el mes de diciembre como consecuencia de la supresión tanto de la paga extraordinaria como de la paga adicional de complemento específico o pagas adicionales equivalentes de dicho mes.</w:t>
      </w:r>
    </w:p>
    <w:p w:rsidR="006B7292" w:rsidRDefault="006B7292" w:rsidP="006B7292">
      <w:pPr>
        <w:pStyle w:val="TextoNormal"/>
      </w:pPr>
    </w:p>
    <w:p w:rsidR="006B7292" w:rsidRDefault="006B7292" w:rsidP="006B7292">
      <w:pPr>
        <w:pStyle w:val="TextoNormal"/>
      </w:pPr>
      <w:r>
        <w:t>2. Para hacer efectivo lo dispuesto en el apartado anterior, se adoptarán las siguientes medidas:</w:t>
      </w:r>
    </w:p>
    <w:p w:rsidR="006B7292" w:rsidRDefault="006B7292" w:rsidP="006B7292">
      <w:pPr>
        <w:pStyle w:val="TextoNormal"/>
      </w:pPr>
    </w:p>
    <w:p w:rsidR="006B7292" w:rsidRDefault="006B7292" w:rsidP="006B7292">
      <w:pPr>
        <w:pStyle w:val="TextoNormal"/>
      </w:pPr>
      <w:r>
        <w:t>2.1 …</w:t>
      </w:r>
    </w:p>
    <w:p w:rsidR="006B7292" w:rsidRDefault="006B7292" w:rsidP="006B7292">
      <w:pPr>
        <w:pStyle w:val="TextoNormal"/>
      </w:pPr>
    </w:p>
    <w:p w:rsidR="006B7292" w:rsidRDefault="006B7292" w:rsidP="006B7292">
      <w:pPr>
        <w:pStyle w:val="TextoNormal"/>
      </w:pPr>
      <w:r>
        <w:t>2.2 El personal laboral no percibirá las cantidades en concepto de gratificación extraordinaria con ocasión de las fiestas de Navidad o paga extraordinaria o equivalente del mes de diciembre del año 2012. Esta reducción comprenderá la de todos los conceptos retributivos que forman parte de dicha paga de acuerdo con los convenios colectivos que resulten de aplicación.</w:t>
      </w:r>
    </w:p>
    <w:p w:rsidR="006B7292" w:rsidRDefault="006B7292" w:rsidP="006B7292">
      <w:pPr>
        <w:pStyle w:val="TextoNormal"/>
      </w:pPr>
    </w:p>
    <w:p w:rsidR="006B7292" w:rsidRDefault="006B7292" w:rsidP="006B7292">
      <w:pPr>
        <w:pStyle w:val="TextoNormal"/>
      </w:pPr>
      <w:r>
        <w:t>La aplicación directa de esta medida se realizará en la nómina del mes de diciembre de 2012, sin perjuicio de que pueda alterarse la distribución definitiva de la reducción en los ámbitos correspondientes mediante la negociación colectiva, pudiendo, en este caso, acordarse que dicha reducción se ejecute de forma prorrateada entre las nóminas pendientes de percibir en el presente ejercicio a partir de la entrada en vigor de este Real Decreto-ley.</w:t>
      </w:r>
    </w:p>
    <w:p w:rsidR="006B7292" w:rsidRDefault="006B7292" w:rsidP="006B7292">
      <w:pPr>
        <w:pStyle w:val="TextoNormal"/>
      </w:pPr>
    </w:p>
    <w:p w:rsidR="006B7292" w:rsidRDefault="006B7292" w:rsidP="006B7292">
      <w:pPr>
        <w:pStyle w:val="TextoNormal"/>
      </w:pPr>
      <w:r>
        <w:t>La reducción retributiva establecida en el apartado 1 de este artículo será también de aplicación al personal laboral de alta dirección, al personal con contrato mercantil y al no acogido a convenio colectivo que no tenga la consideración de alto cargo.’”</w:t>
      </w:r>
    </w:p>
    <w:p w:rsidR="006B7292" w:rsidRDefault="006B7292" w:rsidP="006B7292">
      <w:pPr>
        <w:pStyle w:val="TextoNormal"/>
      </w:pPr>
    </w:p>
    <w:p w:rsidR="006B7292" w:rsidRDefault="006B7292" w:rsidP="006B7292">
      <w:pPr>
        <w:pStyle w:val="TextoNormal"/>
      </w:pPr>
      <w:r>
        <w:t>Y el art. 6 del Real Decreto-ley 20/2012 establece:</w:t>
      </w:r>
    </w:p>
    <w:p w:rsidR="006B7292" w:rsidRDefault="006B7292" w:rsidP="006B7292">
      <w:pPr>
        <w:pStyle w:val="TextoNormal"/>
      </w:pPr>
    </w:p>
    <w:p w:rsidR="006B7292" w:rsidRDefault="006B7292" w:rsidP="006B7292">
      <w:pPr>
        <w:pStyle w:val="TextoNormal"/>
      </w:pPr>
      <w:r>
        <w:t>“Artículo 6. Aplicación del artículo 31 del Estatuto de los trabajadores, aprobado por Real Decreto Legislativo 1/1995, de 24 de marzo, al personal laboral del sector público.</w:t>
      </w:r>
    </w:p>
    <w:p w:rsidR="006B7292" w:rsidRDefault="006B7292" w:rsidP="006B7292">
      <w:pPr>
        <w:pStyle w:val="TextoNormal"/>
      </w:pPr>
    </w:p>
    <w:p w:rsidR="006B7292" w:rsidRDefault="006B7292" w:rsidP="006B7292">
      <w:pPr>
        <w:pStyle w:val="TextoNormal"/>
      </w:pPr>
      <w:r>
        <w:t>Durante el año 2012, se suprime para el personal laboral del sector público la percepción de la gratificación extraordinaria con ocasión de las fiestas de Navidad contenida en el artículo 31 del Estatuto de los Trabajadores, aprobado por Real Decreto Legislativo 1/1995, de 24 de marzo, y sin perjuicio de lo dispuesto en el artículo 2, apartado 2.2 de este mismo Real Decreto-ley.”</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de hecho del planteamiento de la presente cuestión de inconstitucionalidad son, sucintamente expuestos, los siguientes:</w:t>
      </w:r>
    </w:p>
    <w:p w:rsidR="006B7292" w:rsidRDefault="006B7292" w:rsidP="006B7292">
      <w:pPr>
        <w:pStyle w:val="TextoNormal"/>
      </w:pPr>
    </w:p>
    <w:p w:rsidR="006B7292" w:rsidRDefault="006B7292" w:rsidP="006B7292">
      <w:pPr>
        <w:pStyle w:val="TextoNormal"/>
      </w:pPr>
      <w:r>
        <w:t>a) Los sindicatos SIME, CSIF, UGT, CCOO interpusieron demanda de conflicto colectivo contra la Universidad de Murcia por el impago, al personal docente e investigador contratado laboral de la citada Universidad, de la paga extraordinaria o de pagas equivalentes correspondientes al mes de diciembre de 2012. Subsidiariamente, reclaman el “derecho a la percepción de la parte proporcional de la paga extraordinaria del mes de diciembre de 2012 por el periodo de 1 de enero al 14 de julio de 2012”, esto es, la parte que ya se había devengado al tiempo de entrada en vigor del Real Decreto-ley 20/2012, de 13 de julio.</w:t>
      </w:r>
    </w:p>
    <w:p w:rsidR="006B7292" w:rsidRDefault="006B7292" w:rsidP="006B7292">
      <w:pPr>
        <w:pStyle w:val="TextoNormal"/>
      </w:pPr>
    </w:p>
    <w:p w:rsidR="006B7292" w:rsidRDefault="006B7292" w:rsidP="006B7292">
      <w:pPr>
        <w:pStyle w:val="TextoNormal"/>
      </w:pPr>
      <w:r>
        <w:t>b) Concluso el procedimiento y dentro del plazo para dictar Sentencia, la Sala de lo Social del Tribunal Superior de Justicia de Murcia dictó Auto de 30 de octubre de 2014 por la que, en relación a la pretensión subsidiaria, acordó oír a las partes y al Ministerio Fiscal para que alegasen en relación a la pertinencia de plantear cuestión de inconstitucionalidad sobre el art. 2 del Real Decreto-ley 20/2012, de 13 de julio, de medidas para garantizar la estabilidad presupuestaria y de fomento de la competitividad, por posible vulneración del art. 9.3 CE.</w:t>
      </w:r>
    </w:p>
    <w:p w:rsidR="006B7292" w:rsidRDefault="006B7292" w:rsidP="006B7292">
      <w:pPr>
        <w:pStyle w:val="TextoNormal"/>
      </w:pPr>
    </w:p>
    <w:p w:rsidR="006B7292" w:rsidRDefault="006B7292" w:rsidP="006B7292">
      <w:pPr>
        <w:pStyle w:val="TextoNormal"/>
      </w:pPr>
      <w:r>
        <w:t>c) El Ministerio Fiscal, en escrito de 5 de noviembre de 2104, consideró procedente “plantear cuestión de inconstitucionalidad en relación con el art. 2 Real Decreto-ley 20/2012, de 13 de julio, de medidas para garantizar la estabilidad presupuestaria y de fomento de la competitividad, que acordó suprimir la paga extra de diciembre, y el art. 2.1 de la Ley autonómica 9/2012, en atención a la posible vulneración del principio de seguridad jurídica e irretroactividad de las normas sancionadoras o restrictivas de derechos individuales consagrado por el art. 9.3 CE”.</w:t>
      </w:r>
    </w:p>
    <w:p w:rsidR="006B7292" w:rsidRDefault="006B7292" w:rsidP="006B7292">
      <w:pPr>
        <w:pStyle w:val="TextoNormal"/>
      </w:pPr>
    </w:p>
    <w:p w:rsidR="006B7292" w:rsidRDefault="006B7292" w:rsidP="006B7292">
      <w:pPr>
        <w:pStyle w:val="TextoNormal"/>
      </w:pPr>
      <w:r>
        <w:t>La universidad de Murcia, como parte demandada, expresó, en escrito de 14 de noviembre de 2014, su parecer favorable con el planteamiento de la cuestión.</w:t>
      </w:r>
    </w:p>
    <w:p w:rsidR="006B7292" w:rsidRDefault="006B7292" w:rsidP="006B7292">
      <w:pPr>
        <w:pStyle w:val="TextoNormal"/>
      </w:pPr>
    </w:p>
    <w:p w:rsidR="006B7292" w:rsidRDefault="006B7292" w:rsidP="006B7292">
      <w:pPr>
        <w:pStyle w:val="TextoNormal"/>
      </w:pPr>
      <w:r>
        <w:t>Obra en el expediente que, en respuesta a la diligencia de ordenación de la Secretaría de Justicia del Pleno del Tribunal Constitucional de 12 de marzo de 2015, que interesaba que “se remita copia completa … de los escritos de alegaciones de las partes del Ministerio Fiscal en el trámite previsto en el art. 35.2 LOTC… certificando, en su caso, si alguno de ellos no han formulado alegaciones”. Consta también, en contestación a este escrito, certificación de la Secretaria Judicial del órgano judicial cuestionante de 16 de abril de 2015 según la que “en los autos de referencia no consta que por las demandantes SIME, CSIF, UGT, CCOO se hayan efectuado alegaciones en cuanto a la cuestión de inconstitucionalidad”.</w:t>
      </w:r>
    </w:p>
    <w:p w:rsidR="006B7292" w:rsidRDefault="006B7292" w:rsidP="006B7292">
      <w:pPr>
        <w:pStyle w:val="TextoNormal"/>
      </w:pPr>
    </w:p>
    <w:p w:rsidR="006B7292" w:rsidRDefault="006B7292" w:rsidP="006B7292">
      <w:pPr>
        <w:pStyle w:val="TextoNormal"/>
      </w:pPr>
      <w:r>
        <w:t>d) La Sala de lo Social del Tribunal Superior de Justicia de Murcia dictó el Auto de 15 de diciembre de 2014 por el que se acuerda plantear cuestión de inconstitucionalidad en relación con los arts. 2, apartados 1 y 2.2, y 6 del Real Decreto-ley 20/2012, de 13 de julio, de medidas para garantizar la estabilidad presupuestaria y de fomento de la competitividad, “por posible infracción de la prohibición de retroactividad de las normas restrictivas de derechos individuales que garantiza el art. 9.3 CE, en relación con el principio de seguridad jurídica del mismo precepto”.</w:t>
      </w:r>
    </w:p>
    <w:p w:rsidR="006B7292" w:rsidRDefault="006B7292" w:rsidP="006B7292">
      <w:pPr>
        <w:pStyle w:val="TextoNormal"/>
      </w:pPr>
    </w:p>
    <w:p w:rsidR="006B7292" w:rsidRDefault="006B7292" w:rsidP="006B7292">
      <w:pPr>
        <w:pStyle w:val="TextoNormal"/>
      </w:pPr>
      <w:r w:rsidRPr="006B7292">
        <w:rPr>
          <w:rStyle w:val="NumeroAFNegritaCaracter"/>
        </w:rPr>
        <w:t>3</w:t>
      </w:r>
      <w:r>
        <w:t>. El Auto, luego de dedicar los antecedentes de hecho a exponer la pretensión que se hacía valer en la demanda, y en concreto que con carácter subsidiario se reconozca el derecho a percibir la parte de la paga extraordinaria del mes de diciembre de 2014 ya devengada a la entrada en vigor del Real Decreto-ley 20/2012, consigna una serie de fundamentos de derecho.</w:t>
      </w:r>
    </w:p>
    <w:p w:rsidR="006B7292" w:rsidRDefault="006B7292" w:rsidP="006B7292">
      <w:pPr>
        <w:pStyle w:val="TextoNormal"/>
      </w:pPr>
    </w:p>
    <w:p w:rsidR="006B7292" w:rsidRDefault="006B7292" w:rsidP="006B7292">
      <w:pPr>
        <w:pStyle w:val="TextoNormal"/>
      </w:pPr>
      <w:r>
        <w:t>En el primero razona expresamente acerca del juicio de relevancia. Señala que los demandantes solicitan subsidiariamente el abono de la parte de la paga extraordinaria de Navidad de 2012 que ya se había devengado al tiempo en se dictó el precepto legal que la suprimía y que esta Sala había estimado en sentencias previas esta pretensión, al entender que dicho precepto legal no eliminaba expresamente toda la paga correspondiente a 2012, entendiendo en consecuencia que solo suprimía la parte devengada a partir de su entrada en vigor. Añade que desde que el Tribunal Constitucional ha admitido cuestiones de inconstitucionalidad contra este precepto legal y respecto de situaciones idénticas, reconociendo que aquel precepto legal sí suprimía la paga extraordinaria de todo 2012, incluida la parte ya devengada al momento de su entrada en vigor, la Sala adapta su criterio y ya no puede resolver el fondo sin plantear la oportuna cuestión de inconstitucionalidad.</w:t>
      </w:r>
    </w:p>
    <w:p w:rsidR="006B7292" w:rsidRDefault="006B7292" w:rsidP="006B7292">
      <w:pPr>
        <w:pStyle w:val="TextoNormal"/>
      </w:pPr>
    </w:p>
    <w:p w:rsidR="006B7292" w:rsidRDefault="006B7292" w:rsidP="006B7292">
      <w:pPr>
        <w:pStyle w:val="TextoNormal"/>
      </w:pPr>
      <w:r>
        <w:t>En el segundo fundamento de derecho afirma que es doctrina reiterada del Tribunal Supremo que la paga extra es un salario que se devenga día a día aun cuando se pague de un modo diferido en el tiempo. De ahí deriva que la eliminación del abono de la paga extra por lo que hace al mes de junio y los días de julio previos a la entrada en vigor del Real Decreto-ley 20/2012 es una disposición restrictiva de derechos que, por estar ya consolidados en el patrimonio del trabajador, tiene efectos retroactivos prohibidos por el art. 9.3 CE. El tercer fundamento es una simple alusión al art. 163 CE.</w:t>
      </w:r>
    </w:p>
    <w:p w:rsidR="006B7292" w:rsidRDefault="006B7292" w:rsidP="006B7292">
      <w:pPr>
        <w:pStyle w:val="TextoNormal"/>
      </w:pPr>
    </w:p>
    <w:p w:rsidR="006B7292" w:rsidRDefault="006B7292" w:rsidP="006B7292">
      <w:pPr>
        <w:pStyle w:val="TextoNormal"/>
      </w:pPr>
      <w:r>
        <w:t>La Sala acuerda, en consecuencia, “plantear ante el Tribunal Constitucional cuestión de inconstitucionalidad en relación con los arts. 2, apartados 1 y 2.2, y 6 del Real Decreto-ley 20/2012, de 13 de julio, por posible infracción de la prohibición de retroactividad de las normas restrictivas de derechos individuales que garantiza el art. 9.3 CE, en relación con el principio de seguridad jurídica del mismo precepto”.</w:t>
      </w:r>
    </w:p>
    <w:p w:rsidR="006B7292" w:rsidRDefault="006B7292" w:rsidP="006B7292">
      <w:pPr>
        <w:pStyle w:val="TextoNormal"/>
      </w:pPr>
    </w:p>
    <w:p w:rsidR="006B7292" w:rsidRDefault="006B7292" w:rsidP="006B7292">
      <w:pPr>
        <w:pStyle w:val="TextoNormal"/>
      </w:pPr>
      <w:r w:rsidRPr="006B7292">
        <w:rPr>
          <w:rStyle w:val="NumeroAFNegritaCaracter"/>
        </w:rPr>
        <w:t>4</w:t>
      </w:r>
      <w:r>
        <w:t xml:space="preserve">. Por providencia de 23 de junio de 2015, la Sección Tercera del Tribunal Constitucional acordó oír al Fiscal General del Estado para que, en el plazo de diez días, y a los efectos que determina el art. 37.1 de la Ley Orgánica del Tribunal Constitucional (LOTC), alegase lo que considerase conveniente “acerca de los requisitos de procedibilidad de la presente cuestión de inconstitucionalidad, concretamente de la ausencia sobrevenida de relevancia para la resolución del proceso </w:t>
      </w:r>
      <w:r w:rsidRPr="006B7292">
        <w:rPr>
          <w:i/>
        </w:rPr>
        <w:t>a quo</w:t>
      </w:r>
      <w:r>
        <w:t>”.</w:t>
      </w:r>
    </w:p>
    <w:p w:rsidR="006B7292" w:rsidRDefault="006B7292" w:rsidP="006B7292">
      <w:pPr>
        <w:pStyle w:val="TextoNormal"/>
      </w:pPr>
    </w:p>
    <w:p w:rsidR="006B7292" w:rsidRDefault="006B7292" w:rsidP="006B7292">
      <w:pPr>
        <w:pStyle w:val="TextoNormal"/>
      </w:pPr>
      <w:r w:rsidRPr="006B7292">
        <w:rPr>
          <w:rStyle w:val="NumeroAFNegritaCaracter"/>
        </w:rPr>
        <w:t>5</w:t>
      </w:r>
      <w:r>
        <w:t>. El Fiscal General del Estado evacuó el trámite conferido mediante escrito registrado el 10 de septiembre de 2015, en el que interesa la inadmisión de la presente cuestión de inconstitucionalidad.</w:t>
      </w:r>
    </w:p>
    <w:p w:rsidR="006B7292" w:rsidRDefault="006B7292" w:rsidP="006B7292">
      <w:pPr>
        <w:pStyle w:val="TextoNormal"/>
      </w:pPr>
    </w:p>
    <w:p w:rsidR="006B7292" w:rsidRDefault="006B7292" w:rsidP="006B7292">
      <w:pPr>
        <w:pStyle w:val="TextoNormal"/>
      </w:pPr>
      <w:r>
        <w:t>Argumenta en apoyo de su criterio que “por lo que se refiere al extremo planteado por ese Tribunal en la Providencia de 23 de junio de 2015, baste decir que a tenor de lo resuelto en la STC 83/2015, de 30 de abril, procede afirmar que la recuperación de la parte proporcional correspondiente a los primeros 44 días de la paga extra de diciembre de 2012, en virtud de lo establecido en la disposición adicional duodécima de la Ley 36/2014, de Presupuestos Generales del Estado para 2015, supone la satisfacción extraprocesal de la pretensión deducida en el proceso laboral sobre la que se articula el presente procedimiento. Por dicha razón, estima la Fiscal debiera procederse a la inadmisión a trámite de la presente cuestión de inconstitucionalidad”.</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La presente cuestión de inconstitucionalidad se plantea por la Sala de lo Social del Tribunal Superior de Justicia de Murcia, en relación con los art. 2, apartados 1 y 2.2, y 6 del Real Decreto-ley 20/2012, de 13 de julio, de medidas para garantizar la estabilidad presupuestaria y de fomento de la competitividad, por posible vulneración del art. 9.3 CE.</w:t>
      </w:r>
    </w:p>
    <w:p w:rsidR="006B7292" w:rsidRDefault="006B7292" w:rsidP="006B7292">
      <w:pPr>
        <w:pStyle w:val="TextoNormal"/>
      </w:pPr>
    </w:p>
    <w:p w:rsidR="006B7292" w:rsidRDefault="006B7292" w:rsidP="006B7292">
      <w:pPr>
        <w:pStyle w:val="TextoNormal"/>
      </w:pPr>
      <w:r>
        <w:t>El órgano judicial considera que los preceptos impugnados, al suprimir la percepción de la paga extraordinaria del mes de diciembre del año 2012 para el personal laboral del sector público, incluida aquella parte que ya se había devengado al tiempo de entrar en vigor de la norma, podría considerarse contrario al art. 9.3 CE, que garantiza la irretroactividad de las disposiciones restrictivas de derechos individuales y el principio de seguridad jurídica.</w:t>
      </w:r>
    </w:p>
    <w:p w:rsidR="006B7292" w:rsidRDefault="006B7292" w:rsidP="006B7292">
      <w:pPr>
        <w:pStyle w:val="TextoNormal"/>
      </w:pPr>
    </w:p>
    <w:p w:rsidR="006B7292" w:rsidRDefault="006B7292" w:rsidP="006B7292">
      <w:pPr>
        <w:pStyle w:val="TextoNormal"/>
      </w:pPr>
      <w:r>
        <w:t xml:space="preserve">El Fiscal General del Estado, en el trámite previsto en el art. 37.1 de la Ley Orgánica del Tribunal Constitucional (LOTC), en el que se le ha consultado acerca de “la ausencia sobrevenida de relevancia para la resolución del proceso </w:t>
      </w:r>
      <w:r w:rsidRPr="006B7292">
        <w:rPr>
          <w:i/>
        </w:rPr>
        <w:t>a quo</w:t>
      </w:r>
      <w:r>
        <w:t>”, insta la inadmisión de la presente cuestión de inconstitucionalidad. Funda su criterio en la “satisfacción extraprocesal de la pretensión deducida en el proceso laboral sobre la que se articula el presente procedimiento”, acaecida a su juicio como consecuencia de la disposición adicional duodécima de la Ley 36/2014, de 26 de diciembre, de presupuestos generales del Estado para 2015, y por tanto de un modo sobrevenido al dictado del Auto de 15 de diciembre de 2014 por el que se acuerda plantear la presente cuestión de inconstitucionalidad.</w:t>
      </w:r>
    </w:p>
    <w:p w:rsidR="006B7292" w:rsidRDefault="006B7292" w:rsidP="006B7292">
      <w:pPr>
        <w:pStyle w:val="TextoNormal"/>
      </w:pPr>
    </w:p>
    <w:p w:rsidR="006B7292" w:rsidRDefault="006B7292" w:rsidP="006B7292">
      <w:pPr>
        <w:pStyle w:val="TextoNormal"/>
      </w:pPr>
      <w:r w:rsidRPr="006B7292">
        <w:rPr>
          <w:rStyle w:val="NumeroAFNegritaCaracter"/>
        </w:rPr>
        <w:t>2</w:t>
      </w:r>
      <w:r>
        <w:t xml:space="preserve">. El art. 37.1 LOTC establece que este Tribunal puede rechazar, en trámite de admisión, mediante Auto y sin otra audiencia que la del Fiscal General del Estado, la cuestión de inconstitucionalidad cuando faltaren las condiciones procesales exigibles, entre ellas la conexión de relevancia entre la norma legal cuestionada y la pretensión deducida en el pleito </w:t>
      </w:r>
      <w:r w:rsidRPr="006B7292">
        <w:rPr>
          <w:i/>
        </w:rPr>
        <w:t>a quo</w:t>
      </w:r>
      <w:r>
        <w:t>.</w:t>
      </w:r>
    </w:p>
    <w:p w:rsidR="006B7292" w:rsidRDefault="006B7292" w:rsidP="006B7292">
      <w:pPr>
        <w:pStyle w:val="TextoNormal"/>
      </w:pPr>
    </w:p>
    <w:p w:rsidR="006B7292" w:rsidRDefault="006B7292" w:rsidP="006B7292">
      <w:pPr>
        <w:pStyle w:val="TextoNormal"/>
      </w:pPr>
      <w:r>
        <w:t>Los juicios de aplicabilidad y relevancia, que exigen los arts. 163 CE y 35.1 LOTC para asegurar que la cuestión de inconstitucionalidad opera realmente como un control de constitucionalidad concreto, constan expresamente en el Auto de planteamiento y, si nos atenemos a las circunstancias concurrentes al tiempo de dictarse el mismo el 15 de diciembre de 2014, ninguna objeción merecen.</w:t>
      </w:r>
    </w:p>
    <w:p w:rsidR="006B7292" w:rsidRDefault="006B7292" w:rsidP="006B7292">
      <w:pPr>
        <w:pStyle w:val="TextoNormal"/>
      </w:pPr>
    </w:p>
    <w:p w:rsidR="006B7292" w:rsidRDefault="006B7292" w:rsidP="006B7292">
      <w:pPr>
        <w:pStyle w:val="TextoNormal"/>
      </w:pPr>
      <w:r>
        <w:t xml:space="preserve">Estas circunstancias, sin embargo, han cambiado sustancialmente en el </w:t>
      </w:r>
      <w:r w:rsidRPr="006B7292">
        <w:rPr>
          <w:i/>
        </w:rPr>
        <w:t>interim</w:t>
      </w:r>
      <w:r>
        <w:t>, pues, del modo que se expondrá a continuación, se ha verificado la recuperación por esos trabajadores (el personal docente e investigador contratado laboral de la universidad de Murcia) de la parte proporcional correspondiente a los primeros cuarenta y cuatro días de la paga extra de diciembre de 2012, lo que “supone la satisfacción extraprocesal de la pretensión deducida en el proceso laboral sobre la que se articula la presente cuestión” (STC 83/2015, de 30 de abril).</w:t>
      </w:r>
    </w:p>
    <w:p w:rsidR="006B7292" w:rsidRDefault="006B7292" w:rsidP="006B7292">
      <w:pPr>
        <w:pStyle w:val="TextoNormal"/>
      </w:pPr>
    </w:p>
    <w:p w:rsidR="006B7292" w:rsidRDefault="006B7292" w:rsidP="006B7292">
      <w:pPr>
        <w:pStyle w:val="TextoNormal"/>
      </w:pPr>
      <w:r w:rsidRPr="006B7292">
        <w:rPr>
          <w:rStyle w:val="NumeroAFNegritaCaracter"/>
        </w:rPr>
        <w:t>3</w:t>
      </w:r>
      <w:r>
        <w:t>. La disposición adicional duodécima de la Ley 36/2014, de 26 de diciembre, de presupuestos generales del Estado para el año 2015, dispuso en su apartado 1 que “cada Administración Pública, en su ámbito, podrá aprobar el abono de cantidades en concepto de recuperación de los importes efectivamente dejados de percibir como consecuencia de la supresión de la paga extraordinaria, así como de la paga adicional de complemento específico o pagas adicionales equivalentes, correspondientes al mes de diciembre de 2012, por aplicación del Real Decreto-ley 20/2012, de 13 de julio, de medidas para garantizar la estabilidad presupuestaria y de fomento de la competitividad, con el alcance y límites establecidos en la presente disposición”.</w:t>
      </w:r>
    </w:p>
    <w:p w:rsidR="006B7292" w:rsidRDefault="006B7292" w:rsidP="006B7292">
      <w:pPr>
        <w:pStyle w:val="TextoNormal"/>
      </w:pPr>
    </w:p>
    <w:p w:rsidR="006B7292" w:rsidRDefault="006B7292" w:rsidP="006B7292">
      <w:pPr>
        <w:pStyle w:val="TextoNormal"/>
      </w:pPr>
      <w:r>
        <w:t>El ámbito relevante en este caso es el de la Región de Murcia, pues el art. 22 (titulado “Retribuciones del personal al servicio del sector público regional”) de la Ley de la Región de Murcia 6/2011, de 26 de diciembre, de presupuestos generales de la Comunidad Autónoma de la Región de Murcia para el ejercicio 2012, señala que “a efectos de lo establecido en el presente título, constituyen el sector público regional: e) Las universidades de titularidad pública competencia de la Comunidad Autónoma de la Región de Murcia, en la medida que resulte de la aplicación de la normativa básica del Estado”.</w:t>
      </w:r>
    </w:p>
    <w:p w:rsidR="006B7292" w:rsidRDefault="006B7292" w:rsidP="006B7292">
      <w:pPr>
        <w:pStyle w:val="TextoNormal"/>
      </w:pPr>
    </w:p>
    <w:p w:rsidR="006B7292" w:rsidRDefault="006B7292" w:rsidP="006B7292">
      <w:pPr>
        <w:pStyle w:val="TextoNormal"/>
      </w:pPr>
      <w:r>
        <w:t>En este ámbito se ha dictado la disposición adicional vigesimoséptima de la Ley Regional 13/2014, de 23 de diciembre, de presupuestos generales de la Comunidad Autónoma de la Región de Murcia para el ejercicio 2015, que prevé, bajo la rúbrica “Recuperación de la paga extraordinaria y pagas adicionales del mes de diciembre de 2012 en el sector público regional”:</w:t>
      </w:r>
    </w:p>
    <w:p w:rsidR="006B7292" w:rsidRDefault="006B7292" w:rsidP="006B7292">
      <w:pPr>
        <w:pStyle w:val="TextoNormal"/>
      </w:pPr>
    </w:p>
    <w:p w:rsidR="006B7292" w:rsidRDefault="006B7292" w:rsidP="006B7292">
      <w:pPr>
        <w:pStyle w:val="TextoNormal"/>
      </w:pPr>
      <w:r>
        <w:t>“1. En los términos y condiciones que se establezcan en la normativa básica estatal presupuestaria para el ejercicio 2015, en el sector público regional se podrán abonar las cantidades equivalentes a la parte proporcional correspondiente a 44 días de la paga extraordinaria, paga adicional de complemento específico o pagas adicionales equivalentes, incluyendo en esas pagas los conceptos de complemento de destino y complemento específico correspondientes al mes de diciembre de 2012, en concepto de recuperación de los importes efectivamente dejados de percibir por aplicación del Real Decreto-ley 20/2012, de 20 de julio, de medidas para garantizar la estabilidad presupuestaria y de fomento de la competitividad, adaptado a esta Administración regional mediante la Ley 9/2012, de 8 de noviembre.</w:t>
      </w:r>
    </w:p>
    <w:p w:rsidR="006B7292" w:rsidRDefault="006B7292" w:rsidP="006B7292">
      <w:pPr>
        <w:pStyle w:val="TextoNormal"/>
      </w:pPr>
    </w:p>
    <w:p w:rsidR="006B7292" w:rsidRDefault="006B7292" w:rsidP="006B7292">
      <w:pPr>
        <w:pStyle w:val="TextoNormal"/>
      </w:pPr>
      <w:r>
        <w:t>2. Se faculta al Consejo de Gobierno para que adopte durante el ejercicio 2015, en su caso, las medidas necesarias en aplicación y ejecución de esta disposición.”</w:t>
      </w:r>
    </w:p>
    <w:p w:rsidR="006B7292" w:rsidRDefault="006B7292" w:rsidP="006B7292">
      <w:pPr>
        <w:pStyle w:val="TextoNormal"/>
      </w:pPr>
    </w:p>
    <w:p w:rsidR="006B7292" w:rsidRDefault="006B7292" w:rsidP="006B7292">
      <w:pPr>
        <w:pStyle w:val="TextoNormal"/>
      </w:pPr>
      <w:r>
        <w:t>Se ha dictado, en aplicación de lo previsto en el apartado anterior, el acuerdo del Consejo de Gobierno de la Región de Murcia de fecha 6 de febrero de 2015, sobre medidas necesarias para la recuperación de los importes efectivamente dejados de percibir correspondientes a los primeros cuarenta días de la paga extraordinaria del mes de diciembre de 2012. En él, por lo que aquí interesa, se dispone:</w:t>
      </w:r>
    </w:p>
    <w:p w:rsidR="006B7292" w:rsidRDefault="006B7292" w:rsidP="006B7292">
      <w:pPr>
        <w:pStyle w:val="TextoNormal"/>
      </w:pPr>
    </w:p>
    <w:p w:rsidR="006B7292" w:rsidRDefault="006B7292" w:rsidP="006B7292">
      <w:pPr>
        <w:pStyle w:val="TextoNormal"/>
      </w:pPr>
      <w:r>
        <w:t>“Primero. Ámbito de aplicación.</w:t>
      </w:r>
    </w:p>
    <w:p w:rsidR="006B7292" w:rsidRDefault="006B7292" w:rsidP="006B7292">
      <w:pPr>
        <w:pStyle w:val="TextoNormal"/>
      </w:pPr>
    </w:p>
    <w:p w:rsidR="006B7292" w:rsidRDefault="006B7292" w:rsidP="006B7292">
      <w:pPr>
        <w:pStyle w:val="TextoNormal"/>
      </w:pPr>
      <w:r>
        <w:t>1. El presente Acuerdo será de aplicación al personal al servicio del sector público regional definido en el artículo 22.1 de la Ley 6/2011, de 26 de noviembre, de Presupuestos Generales de la Comunidad Autónoma de la Región de Murcia para el año 2012, siempre que hubiera dejado de percibir importes efectivamente como consecuencia de la aplicación de lo establecido en los artículos 2 y 5 de la Ley 9/2012, de 8 de noviembre, de adaptación de la normativa regional en materia de función pública al Real Decreto-ley 20/2012, de 13 de julio, de medidas para garantizar la estabilidad presupuestaria y de fomento de la competitividad; y se encuentre en servicio activo el primer día hábil del mes de marzo de 2015.</w:t>
      </w:r>
    </w:p>
    <w:p w:rsidR="006B7292" w:rsidRDefault="006B7292" w:rsidP="006B7292">
      <w:pPr>
        <w:pStyle w:val="TextoNormal"/>
      </w:pPr>
    </w:p>
    <w:p w:rsidR="006B7292" w:rsidRDefault="006B7292" w:rsidP="006B7292">
      <w:pPr>
        <w:pStyle w:val="TextoNormal"/>
      </w:pPr>
      <w:r>
        <w:t>…</w:t>
      </w:r>
    </w:p>
    <w:p w:rsidR="006B7292" w:rsidRDefault="006B7292" w:rsidP="006B7292">
      <w:pPr>
        <w:pStyle w:val="TextoNormal"/>
      </w:pPr>
    </w:p>
    <w:p w:rsidR="006B7292" w:rsidRDefault="006B7292" w:rsidP="006B7292">
      <w:pPr>
        <w:pStyle w:val="TextoNormal"/>
      </w:pPr>
      <w:r>
        <w:t>2. Sin perjuicio de lo anterior, el presente Acuerdo será de aplicación al personal que haya prestado servicios en el sector público regional a que se refiere el artículo 22.1 de la Ley de 26 de noviembre, de Presupuestos Generales de la Comunidad Autónoma de la Región de Murcia para el año 2012, que no se encuentren en activo el primer día hábil del mes de marzo de 2015, siempre que hubieran dejado de percibir importes efectivamente en aplicación de la citada Ley 9/2012, de 8 de noviembre.</w:t>
      </w:r>
    </w:p>
    <w:p w:rsidR="006B7292" w:rsidRDefault="006B7292" w:rsidP="006B7292">
      <w:pPr>
        <w:pStyle w:val="TextoNormal"/>
      </w:pPr>
    </w:p>
    <w:p w:rsidR="006B7292" w:rsidRDefault="006B7292" w:rsidP="006B7292">
      <w:pPr>
        <w:pStyle w:val="TextoNormal"/>
      </w:pPr>
      <w:r>
        <w:t>Segundo. Recuperación de importes efectivamente dejados de percibir en el mes de diciembre de 2012.</w:t>
      </w:r>
    </w:p>
    <w:p w:rsidR="006B7292" w:rsidRDefault="006B7292" w:rsidP="006B7292">
      <w:pPr>
        <w:pStyle w:val="TextoNormal"/>
      </w:pPr>
    </w:p>
    <w:p w:rsidR="006B7292" w:rsidRDefault="006B7292" w:rsidP="006B7292">
      <w:pPr>
        <w:pStyle w:val="TextoNormal"/>
      </w:pPr>
      <w:r>
        <w:t>1. De conformidad con lo establecido en la Disposición adicional décima segunda de la Ley 36/2014, de 26 de diciembre, de Presupuestos Generales del Estado para el año 2015, se procederá al abono de cantidades en concepto de recuperación de los importes efectivamente dejados de percibir como consecuencia de la supresión de la paga extraordinaria, así como de la paga adicional de complemento específico o pagas adicionales equivalentes correspondientes al mes de diciembre de 2012, por aplicación del Real Decreto-ley 20/2012, de 13 de julio.</w:t>
      </w:r>
    </w:p>
    <w:p w:rsidR="006B7292" w:rsidRDefault="006B7292" w:rsidP="006B7292">
      <w:pPr>
        <w:pStyle w:val="TextoNormal"/>
      </w:pPr>
    </w:p>
    <w:p w:rsidR="006B7292" w:rsidRDefault="006B7292" w:rsidP="006B7292">
      <w:pPr>
        <w:pStyle w:val="TextoNormal"/>
      </w:pPr>
      <w:r>
        <w:t>…</w:t>
      </w:r>
    </w:p>
    <w:p w:rsidR="006B7292" w:rsidRDefault="006B7292" w:rsidP="006B7292">
      <w:pPr>
        <w:pStyle w:val="TextoNormal"/>
      </w:pPr>
    </w:p>
    <w:p w:rsidR="006B7292" w:rsidRDefault="006B7292" w:rsidP="006B7292">
      <w:pPr>
        <w:pStyle w:val="TextoNormal"/>
      </w:pPr>
      <w:r>
        <w:t>2. Las cantidades que podrán abonarse por los conceptos señalados en el apartado 1 anterior, sobre el importe dejado de percibir por cada persona en aplicación de las normas legales citadas en el apartado anterior, serán las equivalentes a la parte proporcional correspondiente a los primeros 44 días de la paga extraordinaria …. del mes de diciembre de 2012.</w:t>
      </w:r>
    </w:p>
    <w:p w:rsidR="006B7292" w:rsidRDefault="006B7292" w:rsidP="006B7292">
      <w:pPr>
        <w:pStyle w:val="TextoNormal"/>
      </w:pPr>
    </w:p>
    <w:p w:rsidR="006B7292" w:rsidRDefault="006B7292" w:rsidP="006B7292">
      <w:pPr>
        <w:pStyle w:val="TextoNormal"/>
      </w:pPr>
      <w:r>
        <w:t>Tercero. Fecha y organismo que deberá realizar el pago.</w:t>
      </w:r>
    </w:p>
    <w:p w:rsidR="006B7292" w:rsidRDefault="006B7292" w:rsidP="006B7292">
      <w:pPr>
        <w:pStyle w:val="TextoNormal"/>
      </w:pPr>
    </w:p>
    <w:p w:rsidR="006B7292" w:rsidRDefault="006B7292" w:rsidP="006B7292">
      <w:pPr>
        <w:pStyle w:val="TextoNormal"/>
      </w:pPr>
      <w:r>
        <w:t>El abono de las cantidades que puedan corresponder como consecuencia de la aplicación de lo establecido en el punto segundo de este Acuerdo se realizará en la nómina del mes de marzo del presente año.</w:t>
      </w:r>
    </w:p>
    <w:p w:rsidR="006B7292" w:rsidRDefault="006B7292" w:rsidP="006B7292">
      <w:pPr>
        <w:pStyle w:val="TextoNormal"/>
      </w:pPr>
    </w:p>
    <w:p w:rsidR="006B7292" w:rsidRDefault="006B7292" w:rsidP="006B7292">
      <w:pPr>
        <w:pStyle w:val="TextoNormal"/>
      </w:pPr>
      <w:r>
        <w:t>Las cantidades que correspondan serán abonadas por la consejería, organismo autónomo o entidad en la que el personal se encuentre prestando servicio el primer día hábil del mes de marzo de 2015. En los casos en que el personal no se encuentre en activo o hubiera perdido la condición de empleado público con anterioridad a dicha fecha y tenga derecho a percibir determinada cuantía, esta será abonada por la consejería, organismo autónomo o entidad a la que le hubiera correspondido abonar la paga extraordinaria, paga adicional de complemento específico y pagas adicionales equivalentes, y paga de productividad semestral, factores de complemento de destino y complemento específico, de diciembre de 2012.”</w:t>
      </w:r>
    </w:p>
    <w:p w:rsidR="006B7292" w:rsidRDefault="006B7292" w:rsidP="006B7292">
      <w:pPr>
        <w:pStyle w:val="TextoNormal"/>
      </w:pPr>
    </w:p>
    <w:p w:rsidR="006B7292" w:rsidRDefault="006B7292" w:rsidP="006B7292">
      <w:pPr>
        <w:pStyle w:val="TextoNormal"/>
      </w:pPr>
      <w:r>
        <w:t>Los preceptos reseñados acreditan que en la nómina del mes de marzo de 2015 ha tenido lugar el abono al personal docente e investigador contratado laboral de la universidad de Murcia de la parte proporcional relativa a los primeros 44 días de la paga extraordinaria del mes de diciembre de 2012.</w:t>
      </w:r>
    </w:p>
    <w:p w:rsidR="006B7292" w:rsidRDefault="006B7292" w:rsidP="006B7292">
      <w:pPr>
        <w:pStyle w:val="TextoNormal"/>
      </w:pPr>
    </w:p>
    <w:p w:rsidR="006B7292" w:rsidRDefault="006B7292" w:rsidP="006B7292">
      <w:pPr>
        <w:pStyle w:val="TextoNormal"/>
      </w:pPr>
      <w:r w:rsidRPr="006B7292">
        <w:rPr>
          <w:rStyle w:val="NumeroAFNegritaCaracter"/>
        </w:rPr>
        <w:t>4</w:t>
      </w:r>
      <w:r>
        <w:t>. Dicho abono “supone la satisfacción extraprocesal de la pretensión deducida en el proceso laboral sobre la que se articula la presente cuestión” (STC 83/2015, de 30 de abril), pues el I convenio colectivo del personal docente e investigador contratado laboral de las universidades públicas de la Región de Murcia, firmado el 30 de junio de 2009, dispone en su artículo 55.1 que “las pagas extraordinarias se devengarán de la misma forma que la regulada para los cuerpos docentes”.</w:t>
      </w:r>
    </w:p>
    <w:p w:rsidR="006B7292" w:rsidRDefault="006B7292" w:rsidP="006B7292">
      <w:pPr>
        <w:pStyle w:val="TextoNormal"/>
      </w:pPr>
    </w:p>
    <w:p w:rsidR="006B7292" w:rsidRDefault="006B7292" w:rsidP="006B7292">
      <w:pPr>
        <w:pStyle w:val="TextoNormal"/>
      </w:pPr>
      <w:r>
        <w:t>Esto conlleva que, tal y como se desprende del art. 33 de la Ley 33/1987, de 23 de diciembre, de presupuestos generales del Estado para 1988, que se aplica por remisión del art. 26 de la Ley 2/2012, de 29 de junio, de presupuestos generales del Estado para el año 2012, las pagas extraordinarias del personal docente e investigador contratado laboral de la universidad de Murcia se devengarán en cómputo semestral el día 1 de los meses de junio y diciembre.</w:t>
      </w:r>
    </w:p>
    <w:p w:rsidR="006B7292" w:rsidRDefault="006B7292" w:rsidP="006B7292">
      <w:pPr>
        <w:pStyle w:val="TextoNormal"/>
      </w:pPr>
    </w:p>
    <w:p w:rsidR="006B7292" w:rsidRDefault="006B7292" w:rsidP="006B7292">
      <w:pPr>
        <w:pStyle w:val="TextoNormal"/>
      </w:pPr>
      <w:r>
        <w:t xml:space="preserve">Debido a esta regla de devengo en cómputo semestral, la parte proporcional de la paga extraordinaria del mes de diciembre de 2012 que ya se había devengado a la entrada en vigor del Real Decreto-ley 20/2012 es la que comprende del 1 de junio al 14 de julio de 2012, de manera que el abono realizado en los términos del fundamento jurídico anterior coincide con la pretensión subsidiaria de los recurrentes en el pleito </w:t>
      </w:r>
      <w:r w:rsidRPr="006B7292">
        <w:rPr>
          <w:i/>
        </w:rPr>
        <w:t>a quo</w:t>
      </w:r>
      <w:r>
        <w:t xml:space="preserve"> que determina que la Sala eleve esta cuestión.</w:t>
      </w:r>
    </w:p>
    <w:p w:rsidR="006B7292" w:rsidRDefault="006B7292" w:rsidP="006B7292">
      <w:pPr>
        <w:pStyle w:val="TextoNormal"/>
      </w:pPr>
    </w:p>
    <w:p w:rsidR="006B7292" w:rsidRDefault="006B7292" w:rsidP="006B7292">
      <w:pPr>
        <w:pStyle w:val="TextoNormal"/>
      </w:pPr>
      <w:r w:rsidRPr="006B7292">
        <w:rPr>
          <w:rStyle w:val="NumeroAFNegritaCaracter"/>
        </w:rPr>
        <w:t>5</w:t>
      </w:r>
      <w:r>
        <w:t xml:space="preserve">. En conclusión, ha quedado satisfecha extraprocesalmente la pretensión sobre la que la Sala articula la presente cuestión. Como destacó la STC 83/2015, de 30 de abril, tal circunstancia, aun cuando no conlleve la extinción del proceso </w:t>
      </w:r>
      <w:r w:rsidRPr="006B7292">
        <w:rPr>
          <w:i/>
        </w:rPr>
        <w:t>a quo</w:t>
      </w:r>
      <w:r>
        <w:t>, tiene un innegable efecto sobre la viabilidad de aquélla. Afirmamos en aquella resolución que “aun cuando el enjuiciamiento constitucional de la norma cuestionada sigue siendo posible y ésta plantea un problema constitucional de interés, ya no se trataría de un juicio de constitucionalidad en concreto, al que se refiere el art. 163 CE, sino en abstracto, sin efectos para el caso, lo que resulta improcedente en toda cuestión de inconstitucionalidad”.</w:t>
      </w:r>
    </w:p>
    <w:p w:rsidR="006B7292" w:rsidRDefault="006B7292" w:rsidP="006B7292">
      <w:pPr>
        <w:pStyle w:val="TextoNormal"/>
      </w:pPr>
    </w:p>
    <w:p w:rsidR="006B7292" w:rsidRDefault="006B7292" w:rsidP="006B7292">
      <w:pPr>
        <w:pStyle w:val="TextoNormal"/>
      </w:pPr>
      <w:r>
        <w:t xml:space="preserve">Esta realidad, en el presente estadio procesal, supone que, sobrevenidamente, la norma que se cuestiona ya no es determinante de la resolución del proceso </w:t>
      </w:r>
      <w:r w:rsidRPr="006B7292">
        <w:rPr>
          <w:i/>
        </w:rPr>
        <w:t>a quo</w:t>
      </w:r>
      <w:r>
        <w:t xml:space="preserve"> y, por tanto, falta uno de los requisitos de procedibilidad de este tipo de proceso constitucional, cual es la necesaria relevancia de la norma cuestionada para la decisión judicial que haya de tomarse.</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Inadmitir a trámite la presente cuestión de inconstitucionalidad.</w:t>
      </w:r>
    </w:p>
    <w:p w:rsidR="006B7292" w:rsidRDefault="006B7292" w:rsidP="006B7292">
      <w:pPr>
        <w:pStyle w:val="TextoNormal"/>
      </w:pPr>
    </w:p>
    <w:p w:rsidR="006B7292" w:rsidRDefault="006B7292" w:rsidP="006B7292">
      <w:pPr>
        <w:pStyle w:val="TextoNormal"/>
      </w:pPr>
      <w:r>
        <w:t>Madrid, a veinte de octubre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88" w:name="AUTO_2015_174"/>
      <w:r>
        <w:t>AUTO 174/2015, de 20 de octubre de 2015</w:t>
      </w:r>
    </w:p>
    <w:bookmarkEnd w:id="188"/>
    <w:p w:rsidR="006B7292" w:rsidRDefault="006B7292" w:rsidP="006B7292">
      <w:pPr>
        <w:pStyle w:val="TtuloResolucin"/>
      </w:pPr>
      <w:r>
        <w:t>Sección Tercera</w:t>
      </w:r>
    </w:p>
    <w:p w:rsidR="006B7292" w:rsidRDefault="006B7292" w:rsidP="006B7292">
      <w:pPr>
        <w:pStyle w:val="TextoNormalCentrado"/>
      </w:pPr>
      <w:r>
        <w:t>ECLI:ES:TC:2015:174A</w:t>
      </w:r>
    </w:p>
    <w:p w:rsidR="006B7292" w:rsidRDefault="006B7292" w:rsidP="006B7292">
      <w:pPr>
        <w:pStyle w:val="TextoNormalCentrado"/>
      </w:pPr>
    </w:p>
    <w:p w:rsidR="006B7292" w:rsidRDefault="006B7292" w:rsidP="006B7292">
      <w:pPr>
        <w:pStyle w:val="SntesisDescriptiva"/>
      </w:pPr>
      <w:r>
        <w:t>Excms. Srs. doña Adela Asua Batarrita, don Juan José González Rivas y don Pedro José González-Trevijano Sánchez.</w:t>
      </w:r>
    </w:p>
    <w:p w:rsidR="006B7292" w:rsidRDefault="006B7292" w:rsidP="006B7292">
      <w:pPr>
        <w:pStyle w:val="SntesisDescriptiva"/>
      </w:pPr>
    </w:p>
    <w:p w:rsidR="006B7292" w:rsidRDefault="006B7292" w:rsidP="006B7292">
      <w:pPr>
        <w:pStyle w:val="TtuloResolucin"/>
      </w:pPr>
      <w:r>
        <w:t>*Este auto no incorpora doctrina constitucional.</w:t>
      </w:r>
    </w:p>
    <w:p w:rsidR="006B7292" w:rsidRDefault="006B7292">
      <w:pPr>
        <w:spacing w:after="160" w:line="259" w:lineRule="auto"/>
        <w:rPr>
          <w:rFonts w:ascii="Times New Roman" w:eastAsia="Times New Roman" w:hAnsi="Times New Roman" w:cs="Times New Roman"/>
          <w:b/>
          <w:sz w:val="24"/>
          <w:szCs w:val="24"/>
          <w:lang w:eastAsia="es-ES"/>
        </w:rPr>
      </w:pPr>
      <w:r>
        <w:br w:type="page"/>
      </w:r>
    </w:p>
    <w:p w:rsidR="006B7292" w:rsidRDefault="006B7292" w:rsidP="006B7292">
      <w:pPr>
        <w:pStyle w:val="TtuloResolucin"/>
      </w:pPr>
      <w:bookmarkStart w:id="189" w:name="AUTO_2015_175"/>
      <w:r>
        <w:t>AUTO 175/2015, de 21 de octubre de 2015</w:t>
      </w:r>
    </w:p>
    <w:bookmarkEnd w:id="189"/>
    <w:p w:rsidR="006B7292" w:rsidRDefault="006B7292" w:rsidP="006B7292">
      <w:pPr>
        <w:pStyle w:val="TtuloResolucin"/>
      </w:pPr>
      <w:r>
        <w:t>Sección Primera</w:t>
      </w:r>
    </w:p>
    <w:p w:rsidR="006B7292" w:rsidRDefault="006B7292" w:rsidP="006B7292">
      <w:pPr>
        <w:pStyle w:val="TextoNormalCentrado"/>
      </w:pPr>
      <w:r>
        <w:t>ECLI:ES:TC:2015:175A</w:t>
      </w:r>
    </w:p>
    <w:p w:rsidR="006B7292" w:rsidRDefault="006B7292" w:rsidP="006B7292">
      <w:pPr>
        <w:pStyle w:val="TextoNormalCentrado"/>
      </w:pPr>
    </w:p>
    <w:p w:rsidR="006B7292" w:rsidRDefault="006B7292" w:rsidP="006B7292">
      <w:pPr>
        <w:pStyle w:val="SntesisDescriptiva"/>
      </w:pPr>
      <w:r>
        <w:t>Excms. Srs. don Francisco Pérez de los Cobos Orihuel, doña Encarnación Roca Trías y don Juan Antonio Xiol Ríos.</w:t>
      </w:r>
    </w:p>
    <w:p w:rsidR="006B7292" w:rsidRDefault="006B7292" w:rsidP="006B7292">
      <w:pPr>
        <w:pStyle w:val="SntesisDescriptiva"/>
      </w:pPr>
    </w:p>
    <w:p w:rsidR="006B7292" w:rsidRDefault="006B7292" w:rsidP="006B7292">
      <w:pPr>
        <w:pStyle w:val="SntesisDescriptiva"/>
      </w:pPr>
      <w:r>
        <w:t>Se declara incompetente para enjuiciar la impugnación solicitada en el recurso de amparo 7375-2014 contra la resolución de la Comisión central de asistencia gratuita promovida por don Manuel Tena Gallench en causa penal.</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registrado en este Tribunal el 21 de noviembre de 2014, don Manuel Tena Gallench solicitó que, teniendo reconocida la asistencia jurídica gratuita y habiendo actuado con profesionales del turno de oficio en la vía judicial previa, se le designaran profesionales del turno de oficio para interponer recurso de amparo contra la providencia de la Sección Tercera de la Audiencia Provincial de Alicante de 14 de octubre de 2014, por la que se inadmite el incidente de nulidad de actuaciones interpuesto contra la Sentencia de 10 de julio de 2014, por la que se desestima el recurso de apelación núm. 124-2013 interpuesto contra la Sentencia del Juzgado de Instrucción núm. 1 de Denia de 20 de mayo de 2013, dictada en el juicio de faltas núm. 326-2013.</w:t>
      </w:r>
    </w:p>
    <w:p w:rsidR="006B7292" w:rsidRDefault="006B7292" w:rsidP="006B7292">
      <w:pPr>
        <w:pStyle w:val="TextoNormal"/>
      </w:pPr>
    </w:p>
    <w:p w:rsidR="006B7292" w:rsidRDefault="006B7292" w:rsidP="006B7292">
      <w:pPr>
        <w:pStyle w:val="TextoNormal"/>
      </w:pPr>
      <w:r w:rsidRPr="006B7292">
        <w:rPr>
          <w:rStyle w:val="NumeroAFNegritaCaracter"/>
        </w:rPr>
        <w:t>2</w:t>
      </w:r>
      <w:r>
        <w:t>. La Comisión central de asistencia jurídica gratuita dictó resolución de 8 de mayo de 2015 denegando al actor el derecho de asistencia jurídica gratuita solicitado “por manifiesto abuso y ejercicio antisocial del Derecho a la Asistencia Jurídica Gratuita”. El interesado impugnó la resolución denegatoria del beneficio y la Comisión central lo remitió al Decanato de los Juzgados de Instrucción de Madrid para su resolución.</w:t>
      </w:r>
    </w:p>
    <w:p w:rsidR="006B7292" w:rsidRDefault="006B7292" w:rsidP="006B7292">
      <w:pPr>
        <w:pStyle w:val="TextoNormal"/>
      </w:pPr>
    </w:p>
    <w:p w:rsidR="006B7292" w:rsidRDefault="006B7292" w:rsidP="006B7292">
      <w:pPr>
        <w:pStyle w:val="TextoNormal"/>
      </w:pPr>
      <w:r w:rsidRPr="006B7292">
        <w:rPr>
          <w:rStyle w:val="NumeroAFNegritaCaracter"/>
        </w:rPr>
        <w:t>3</w:t>
      </w:r>
      <w:r>
        <w:t>. Turnada dicha impugnación al Juzgado de Instrucción núm. 17 de Madrid, que dio lugar a las diligencias indeterminadas núm. 509-2015, la Secretaria de Justicia de ese Juzgado por diligencia de ordenación de 12 de junio de 2015 resolvió que, al haberse promovido la solicitud de la asistencia jurídica gratuita para la interposición de un recurso de amparo ante el Tribunal Constitucional, y de conformidad con el art. 10 del acuerdo de 18 de junio de 1996, del Pleno del Tribunal Constitucional sobre asistencia jurídica gratuita en los procesos de amparo constitucional, es el propio Tribunal Constitucional el competente para resolver la impugnación planteada. Esta diligencia fue remitida a este Tribunal por la Comisión central de asistencia jurídica gratuita, mediante oficio registrado el día 24 de junio de 2015.</w:t>
      </w:r>
    </w:p>
    <w:p w:rsidR="006B7292" w:rsidRDefault="006B7292" w:rsidP="006B7292">
      <w:pPr>
        <w:pStyle w:val="TextoNormal"/>
      </w:pPr>
    </w:p>
    <w:p w:rsidR="006B7292" w:rsidRDefault="006B7292" w:rsidP="006B7292">
      <w:pPr>
        <w:pStyle w:val="TextoNormal"/>
      </w:pPr>
      <w:r w:rsidRPr="006B7292">
        <w:rPr>
          <w:rStyle w:val="NumeroAFNegritaCaracter"/>
        </w:rPr>
        <w:t>4</w:t>
      </w:r>
      <w:r>
        <w:t>. La Secretaría de Justicia de la Sala Primera de este Tribunal, mediante diligencia de ordenación de 1 de julio de 2015, tuvo por recibida la comunicación y acordó conceder un plazo común de cinco días, al Ministerio Fiscal, al Abogado del Estado y al recurrente en amparo, para que presentaran alegaciones acerca de la competencia para conocer de la impugnación a la que se refiere el art. 20 de la Ley 1/1996, de 10 de enero, de asistencia jurídica gratuita.</w:t>
      </w:r>
    </w:p>
    <w:p w:rsidR="006B7292" w:rsidRDefault="006B7292" w:rsidP="006B7292">
      <w:pPr>
        <w:pStyle w:val="TextoNormal"/>
      </w:pPr>
    </w:p>
    <w:p w:rsidR="006B7292" w:rsidRDefault="006B7292" w:rsidP="006B7292">
      <w:pPr>
        <w:pStyle w:val="TextoNormal"/>
      </w:pPr>
      <w:r w:rsidRPr="006B7292">
        <w:rPr>
          <w:rStyle w:val="NumeroAFNegritaCaracter"/>
        </w:rPr>
        <w:t>5</w:t>
      </w:r>
      <w:r>
        <w:t>. El Abogado del Estado, mediante escrito registrado el 9 de julio de 2015, alegó que, comprobado que el beneficio de justicia gratuita fue presentado con posterioridad a la presentación de la demanda de amparo, el Tribunal Constitucional es el competente para resolver sobre la impugnación planteada, pero como la solicitud denegada se ha producido respecto de un procedimiento de divorcio distinto, no procede la concisión del beneficio de justicia gratuita.</w:t>
      </w:r>
    </w:p>
    <w:p w:rsidR="006B7292" w:rsidRDefault="006B7292" w:rsidP="006B7292">
      <w:pPr>
        <w:pStyle w:val="TextoNormal"/>
      </w:pPr>
    </w:p>
    <w:p w:rsidR="006B7292" w:rsidRDefault="006B7292" w:rsidP="006B7292">
      <w:pPr>
        <w:pStyle w:val="TextoNormal"/>
      </w:pPr>
      <w:r w:rsidRPr="006B7292">
        <w:rPr>
          <w:rStyle w:val="NumeroAFNegritaCaracter"/>
        </w:rPr>
        <w:t>6</w:t>
      </w:r>
      <w:r>
        <w:t>. El Ministerio Fiscal, mediante escrito registrado el 14 de julio de 2015, presentó alegaciones interesando que el Tribunal Constitucional se declarara incompetente para la resolución de denegación del derecho a la asistencia jurídica gratuita, argumentando que, conforme es jurisprudencia constitucional reiterada, solo tiene competencia en los supuestos de solicitudes sobrevenidas a la presentación del recurso de amparo, lo que no es el caso.</w:t>
      </w:r>
    </w:p>
    <w:p w:rsidR="006B7292" w:rsidRDefault="006B7292" w:rsidP="006B7292">
      <w:pPr>
        <w:pStyle w:val="TextoNormal"/>
      </w:pPr>
    </w:p>
    <w:p w:rsidR="006B7292" w:rsidRDefault="006B7292" w:rsidP="006B7292">
      <w:pPr>
        <w:pStyle w:val="TextoNormal"/>
      </w:pPr>
      <w:r w:rsidRPr="006B7292">
        <w:rPr>
          <w:rStyle w:val="NumeroAFNegritaCaracter"/>
        </w:rPr>
        <w:t>7</w:t>
      </w:r>
      <w:r>
        <w:t>. El recurrente, mediante escrito registrado el 28 de julio de 2015, presentó alegaciones interesando se admita la competencia y se revoque la resolución impugnada.</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Único. Este Tribunal ha reiterado que solo es competente para resolver sobre la impugnación de la denegación del derecho a la asistencia jurídica gratuita a que se refiere el art. 20 de la Ley 1/1996, de 10 de enero, de asistencia jurídica gratuita, cuando concurre la circunstancia de que la insuficiencia económica del solicitante en que fundamenta su solicitud se produce con carácter sobrevenido a la propia interposición de la demanda de amparo, de conformidad con lo establecido en el art. 10 del acuerdo de 18 de junio de 1996, del Pleno del Tribunal Constitucional, sobre asistencia jurídica gratuita en los procesos de amparo constitucional (así, AATC 138/1997, de 7 de mayo, 120/2011, de 19 de septiembre, 54/2012, de 26 de marzo, 80/2012, de 7 de mayo, 112/2012, de 31 de mayo, o 95/2013, de 7 de mayo).</w:t>
      </w:r>
    </w:p>
    <w:p w:rsidR="006B7292" w:rsidRDefault="006B7292" w:rsidP="006B7292">
      <w:pPr>
        <w:pStyle w:val="TextoNormal"/>
      </w:pPr>
    </w:p>
    <w:p w:rsidR="006B7292" w:rsidRDefault="006B7292" w:rsidP="006B7292">
      <w:pPr>
        <w:pStyle w:val="TextoNormal"/>
      </w:pPr>
      <w:r>
        <w:t>En el presente caso, a pesar de lo afirmado por el Abogado del Estado, y tal como constata el Ministerio Fiscal y se desprende de manera inequívoca de las actuaciones, la solicitud nombramiento de profesionales del turno de oficio se produjo en el primer escrito dirigido a este Tribunal, con carácter previo a cualquier tipo de interposición de la demanda de amparo —que todavía no se ha verificado—, y, además, alegando que se tenía reconocido ese derecho en la vía judicial previa en la que ya se había actuado con profesionales del turno de oficio. Por tanto, siendo indubitado que la situación económica en que se fundamentaría el reconocimiento del derecho a la asistencia jurídica gratuita controvertido no es sobrevenida a la interposición de un recurso de amparo que todavía no se ha presentado, este Tribunal no es el competente para resolver sobre la impugnación presentada.</w:t>
      </w:r>
    </w:p>
    <w:p w:rsidR="006B7292" w:rsidRDefault="006B7292" w:rsidP="006B7292">
      <w:pPr>
        <w:pStyle w:val="TextoNormal"/>
      </w:pPr>
    </w:p>
    <w:p w:rsidR="006B7292" w:rsidRDefault="006B7292" w:rsidP="006B7292">
      <w:pPr>
        <w:pStyle w:val="TextoNormal"/>
      </w:pPr>
      <w:r>
        <w:t>Por todo lo expuesto, la Sección</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1º Declararse incompetente para enjuiciar la impugnación formulada por don Manuel Tena Gallench contra la resolución de la Comisión central de asistencia jurídica gratuita de 8 de mayo de 2015 en relación con el recurso de amparo núm. 7375-2014.</w:t>
      </w:r>
    </w:p>
    <w:p w:rsidR="006B7292" w:rsidRDefault="006B7292" w:rsidP="006B7292">
      <w:pPr>
        <w:pStyle w:val="TextoNormal"/>
      </w:pPr>
    </w:p>
    <w:p w:rsidR="006B7292" w:rsidRDefault="006B7292" w:rsidP="006B7292">
      <w:pPr>
        <w:pStyle w:val="TextoNormal"/>
      </w:pPr>
      <w:r>
        <w:t>2º Devolver a dicha Comisión las actuaciones que en su día remitieron a este Tribunal.</w:t>
      </w:r>
    </w:p>
    <w:p w:rsidR="006B7292" w:rsidRDefault="006B7292" w:rsidP="006B7292">
      <w:pPr>
        <w:pStyle w:val="TextoNormal"/>
      </w:pPr>
    </w:p>
    <w:p w:rsidR="006B7292" w:rsidRDefault="006B7292" w:rsidP="006B7292">
      <w:pPr>
        <w:pStyle w:val="TextoNormal"/>
      </w:pPr>
      <w:r>
        <w:t>Madrid, a veintiuno de octubre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90" w:name="AUTO_2015_176"/>
      <w:r>
        <w:t>AUTO 176/2015, de 30 de octubre de 2015</w:t>
      </w:r>
    </w:p>
    <w:bookmarkEnd w:id="190"/>
    <w:p w:rsidR="006B7292" w:rsidRDefault="006B7292" w:rsidP="006B7292">
      <w:pPr>
        <w:pStyle w:val="TtuloResolucin"/>
      </w:pPr>
      <w:r>
        <w:t>Sección Tercera</w:t>
      </w:r>
    </w:p>
    <w:p w:rsidR="006B7292" w:rsidRDefault="006B7292" w:rsidP="006B7292">
      <w:pPr>
        <w:pStyle w:val="TextoNormalCentrado"/>
      </w:pPr>
      <w:r>
        <w:t>ECLI:ES:TC:2015:176A</w:t>
      </w:r>
    </w:p>
    <w:p w:rsidR="006B7292" w:rsidRDefault="006B7292" w:rsidP="006B7292">
      <w:pPr>
        <w:pStyle w:val="TextoNormalCentrado"/>
      </w:pPr>
    </w:p>
    <w:p w:rsidR="006B7292" w:rsidRDefault="006B7292" w:rsidP="006B7292">
      <w:pPr>
        <w:pStyle w:val="SntesisDescriptiva"/>
      </w:pPr>
      <w:r>
        <w:t>Excms. Srs. doña Adela Asua Batarrita, don Juan José González Rivas y don Pedro José González-Trevijano Sánchez.</w:t>
      </w:r>
    </w:p>
    <w:p w:rsidR="006B7292" w:rsidRDefault="006B7292" w:rsidP="006B7292">
      <w:pPr>
        <w:pStyle w:val="SntesisDescriptiva"/>
      </w:pPr>
    </w:p>
    <w:p w:rsidR="006B7292" w:rsidRDefault="006B7292" w:rsidP="006B7292">
      <w:pPr>
        <w:pStyle w:val="SntesisDescriptiva"/>
      </w:pPr>
      <w:r>
        <w:t>Estima el recurso de súplica del Ministerio Fiscal sobre inadmisión del recurso de amparo 4692-2014, promovido por don Francisco de Paula Martorell de la Capilla en causa penal.</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Por escrito presentado en el Registro General de este Tribunal el 16 de julio de 2014, don Francisco de Paula Martorell de la Capilla, representado por la Procuradora de los Tribunales, doña María Ángeles López Santacruz y asistido por la Letrada doña María del Carmen Martorell Jorba, interpuso recurso de amparo contra la Sentencia de 2 de diciembre de 2013 de la Sección Octava de la Audiencia Provincial de Barcelona, dictada en rollo de apelación núm. 10-2012 y contra el Auto de 24 de abril de 2014, dictado por la Sala de lo Penal del Tribunal Supremo en recurso de casación núm. 233-2014.</w:t>
      </w:r>
    </w:p>
    <w:p w:rsidR="006B7292" w:rsidRDefault="006B7292" w:rsidP="006B7292">
      <w:pPr>
        <w:pStyle w:val="TextoNormal"/>
      </w:pPr>
    </w:p>
    <w:p w:rsidR="006B7292" w:rsidRDefault="006B7292" w:rsidP="006B7292">
      <w:pPr>
        <w:pStyle w:val="TextoNormal"/>
      </w:pPr>
      <w:r w:rsidRPr="006B7292">
        <w:rPr>
          <w:rStyle w:val="NumeroAFNegritaCaracter"/>
        </w:rPr>
        <w:t>2</w:t>
      </w:r>
      <w:r>
        <w:t>. Los hechos relevantes para resolver la presente súplica son los siguientes:</w:t>
      </w:r>
    </w:p>
    <w:p w:rsidR="006B7292" w:rsidRDefault="006B7292" w:rsidP="006B7292">
      <w:pPr>
        <w:pStyle w:val="TextoNormal"/>
      </w:pPr>
    </w:p>
    <w:p w:rsidR="006B7292" w:rsidRDefault="006B7292" w:rsidP="006B7292">
      <w:pPr>
        <w:pStyle w:val="TextoNormal"/>
      </w:pPr>
      <w:r>
        <w:t>a) El recurrente en amparo fue condenado por la Audiencia Provincial de Barcelona, mediante Sentencia de 2 de diciembre de 2013, como autor responsable de un delito continuado de violación, sobre la persona de su hija menor de edad, sin la concurrencia de circunstancias modificativas, a la pena de 15 años de prisión e inhabilitación absoluta durante el tiempo de la condena. Igualmente se acordó la prohibición de aproximación a la víctima. La Sentencia condenatoria fue recurrida en casación al entenderse vulnerado el derecho a la presunción de inocencia por insuficiencia probatoria. Alegaba el recurrente que la prueba de cargo fundamental es la declaración de la víctima, y que esta declaración no puede ser considerada prueba de cargo suficiente.</w:t>
      </w:r>
    </w:p>
    <w:p w:rsidR="006B7292" w:rsidRDefault="006B7292" w:rsidP="006B7292">
      <w:pPr>
        <w:pStyle w:val="TextoNormal"/>
      </w:pPr>
    </w:p>
    <w:p w:rsidR="006B7292" w:rsidRDefault="006B7292" w:rsidP="006B7292">
      <w:pPr>
        <w:pStyle w:val="TextoNormal"/>
      </w:pPr>
      <w:r>
        <w:t>Mediante Auto de 24 de abril de 2014, el Tribunal Supremo acordó no haber lugar a la admisión del recurso de casación formalizado. Consideró el Tribunal Supremo que la declaración de la víctima responde a las exigencias constitucionales impuestas por la jurisprudencia del Tribunal Constitucional para poder considerar aquella como prueba de cargo suficiente, añadiendo que existen pruebas testificales y periciales que vendrían a corroborar la declaración de la víctima.</w:t>
      </w:r>
    </w:p>
    <w:p w:rsidR="006B7292" w:rsidRDefault="006B7292" w:rsidP="006B7292">
      <w:pPr>
        <w:pStyle w:val="TextoNormal"/>
      </w:pPr>
    </w:p>
    <w:p w:rsidR="006B7292" w:rsidRDefault="006B7292" w:rsidP="006B7292">
      <w:pPr>
        <w:pStyle w:val="TextoNormal"/>
      </w:pPr>
      <w:r>
        <w:t>b) Recurridos en amparo la Sentencia condenatoria y el Auto que inadmite el recurso de casación, se invoca ante este Tribunal Constitucional que dichas resoluciones judiciales habrían vulnerado el derecho a la presunción de inocencia (art. 24.2 CE) del recurrente en amparo. La demanda afirmaba que el órgano judicial hizo gala de un “voluntarismo activo y reconstructivo” al construir el discurso de la Sentencia, supliendo inaceptablemente la profunda y evidente ausencia de datos corroborativos mínimos que conecten los hechos denunciados con un resultado probatorio y que otorguen veracidad al principal testimonio de cargo que, a su vez, es valorado como prueba directa y determinante de la condena. Asimismo, se alegaba la vulneración del derecho a la tutela judicial efectiva en la vertiente del derecho de todo condenado a que el fallo condenatorio y la pena sean sometidos a un tribunal superior, esto es, en lo que hace al derecho a la doble instancia penal.</w:t>
      </w:r>
    </w:p>
    <w:p w:rsidR="006B7292" w:rsidRDefault="006B7292" w:rsidP="006B7292">
      <w:pPr>
        <w:pStyle w:val="TextoNormal"/>
      </w:pPr>
    </w:p>
    <w:p w:rsidR="006B7292" w:rsidRDefault="006B7292" w:rsidP="006B7292">
      <w:pPr>
        <w:pStyle w:val="TextoNormal"/>
      </w:pPr>
      <w:r>
        <w:t>c) Por providencia de 2 de diciembre de 2014, la Sección Tercera de este Tribunal acordó la inadmisión a trámite de la demanda de amparo, con arreglo a lo previsto en el art. 50.1 a) de la Ley Orgánica del Tribunal Constitucional (LOTC), en relación con el art. 44.1 a) LOTC, toda vez que el recurrente no habría agotado debidamente todos los medios impugnatorios dentro de la vía judicial.</w:t>
      </w:r>
    </w:p>
    <w:p w:rsidR="006B7292" w:rsidRDefault="006B7292" w:rsidP="006B7292">
      <w:pPr>
        <w:pStyle w:val="TextoNormal"/>
      </w:pPr>
    </w:p>
    <w:p w:rsidR="006B7292" w:rsidRDefault="006B7292" w:rsidP="006B7292">
      <w:pPr>
        <w:pStyle w:val="TextoNormal"/>
      </w:pPr>
      <w:r>
        <w:t xml:space="preserve">d) El Ministerio Fiscal, mediante escrito de 24 de diciembre de 2014, interpuso recurso de súplica frente a la citada providencia, al estimar que, si bien la decisión de inadmisión se revelaba como ajustada respecto del segundo motivo de amparo alegado en la demanda (vulneración del derecho fundamental a la doble instancia penal), puesto que el mismo ni fue invocado ni se sometió a la posibilidad de subsanación por la jurisdicción ordinaria mediante el oportuno incidente de nulidad de actuaciones (art. 241.1 de la Ley Orgánica del Poder Judicial: LOPJ), no lo era respecto de la invocación del derecho a la presunción de inocencia </w:t>
      </w:r>
      <w:r w:rsidRPr="006B7292">
        <w:rPr>
          <w:i/>
        </w:rPr>
        <w:t>ex</w:t>
      </w:r>
      <w:r>
        <w:t xml:space="preserve"> art. 24.2 CE, por lo que interesaba que se dejara sin efecto la providencia de inadmisión. Tras dar el oportuno traslado a la parte recurrente, la Sección Tercera del Tribunal Constitucional, mediante Auto de 15 de junio de 2015 (ATC 106/2015), estimó el recurso de súplica y, de acuerdo con lo solicitado por el Fiscal, se limitó el pronunciamiento a dejar sin efecto la providencia recurrida, dejando pendiente el estudio y decisión sobre la admisión o inadmisión del recurso de amparo.</w:t>
      </w:r>
    </w:p>
    <w:p w:rsidR="006B7292" w:rsidRDefault="006B7292" w:rsidP="006B7292">
      <w:pPr>
        <w:pStyle w:val="TextoNormal"/>
      </w:pPr>
    </w:p>
    <w:p w:rsidR="006B7292" w:rsidRDefault="006B7292" w:rsidP="006B7292">
      <w:pPr>
        <w:pStyle w:val="TextoNormal"/>
      </w:pPr>
      <w:r>
        <w:t>e) Mediante providencia de 8 de septiembre de 2015, la Sección Tercera del Tribunal Constitucional acordó no admitir a trámite el recurso de amparo núm. 4692-2014 por los siguientes motivos:</w:t>
      </w:r>
    </w:p>
    <w:p w:rsidR="006B7292" w:rsidRDefault="006B7292" w:rsidP="006B7292">
      <w:pPr>
        <w:pStyle w:val="TextoNormal"/>
      </w:pPr>
    </w:p>
    <w:p w:rsidR="006B7292" w:rsidRDefault="006B7292" w:rsidP="006B7292">
      <w:pPr>
        <w:pStyle w:val="TextoNormal"/>
      </w:pPr>
      <w:r>
        <w:t>“a) Respecto de la vulneración del derecho a la presunción de inocencia (art. 24.2 CE), con arreglo a lo previsto en el art. 50.1 a) LOTC, en relación con su art. 44.1 a), toda vez que el recurrente no ha agotado debidamente los medios de impugnación dentro de la vía judicial (no interposición del incidente de nulidad de actuaciones previsto en el art. 241.1 LOPJ).</w:t>
      </w:r>
    </w:p>
    <w:p w:rsidR="006B7292" w:rsidRDefault="006B7292" w:rsidP="006B7292">
      <w:pPr>
        <w:pStyle w:val="TextoNormal"/>
      </w:pPr>
    </w:p>
    <w:p w:rsidR="006B7292" w:rsidRDefault="006B7292" w:rsidP="006B7292">
      <w:pPr>
        <w:pStyle w:val="TextoNormal"/>
      </w:pPr>
      <w:r>
        <w:t>b) Y en cuanto a la vulneración del derecho a la tutela judicial efectiva (art. 24.1 CE) en la vertiente del derecho de todo condenado a que el fallo condenatorio y la pena sean sometidos a un tribunal superior, con arreglo a lo previsto en el art. 50.1 a) LOTC, dada la manifiesta inexistencia de violación de un derecho fundamental tutelable en amparo, violación que, de acuerdo con el art. 44.1 LOTC, es condición para que este Tribunal pueda ejercer dicha tutela.”</w:t>
      </w:r>
    </w:p>
    <w:p w:rsidR="006B7292" w:rsidRDefault="006B7292" w:rsidP="006B7292">
      <w:pPr>
        <w:pStyle w:val="TextoNormal"/>
      </w:pPr>
    </w:p>
    <w:p w:rsidR="006B7292" w:rsidRDefault="006B7292" w:rsidP="006B7292">
      <w:pPr>
        <w:pStyle w:val="TextoNormal"/>
      </w:pPr>
      <w:r w:rsidRPr="006B7292">
        <w:rPr>
          <w:rStyle w:val="NumeroAFNegritaCaracter"/>
        </w:rPr>
        <w:t>3</w:t>
      </w:r>
      <w:r>
        <w:t>. Mediante escrito presentado en el Registro General de este Tribunal el 17 de septiembre de 2015, la representación procesal del recurrente en amparo comparece para poner de manifiesto que la providencia de 8 de septiembre de 2015 resuelve de forma contradictoria con lo declarado en el Auto 106/2015, de 15 de junio, sobre la inadmisión del recurso de amparo, solicitando que el Tribunal deje sin efecto la providencia de la Sección Tercera de la Sala Segunda, de 8 de septiembre de 2015, y se proceda, por congruencia, a la admisión del recurso de amparo.</w:t>
      </w:r>
    </w:p>
    <w:p w:rsidR="006B7292" w:rsidRDefault="006B7292" w:rsidP="006B7292">
      <w:pPr>
        <w:pStyle w:val="TextoNormal"/>
      </w:pPr>
    </w:p>
    <w:p w:rsidR="006B7292" w:rsidRDefault="006B7292" w:rsidP="006B7292">
      <w:pPr>
        <w:pStyle w:val="TextoNormal"/>
      </w:pPr>
      <w:r w:rsidRPr="006B7292">
        <w:rPr>
          <w:rStyle w:val="NumeroAFNegritaCaracter"/>
        </w:rPr>
        <w:t>4</w:t>
      </w:r>
      <w:r>
        <w:t>. El 7 de octubre de 2015, el Fiscal ante el Tribunal Constitucional interpone recurso de súplica contra la providencia de inadmisión de 8 de septiembre de 2015, poniendo de manifiesto el contenido del Auto del Tribunal Constitucional 106/2015, de 15 de junio, y su contradicción con la providencia respecto de la que se interpone el recurso de súplica. El Fiscal interesa en su recurso que se deje sin efecto la providencia de inadmisión de 8 de septiembre de 2015, sin perjuicio de la adopción de la resolución procedente en orden a la admisión o no, por otras causas, del recurso de amparo interpuesto.</w:t>
      </w:r>
    </w:p>
    <w:p w:rsidR="006B7292" w:rsidRDefault="006B7292" w:rsidP="006B7292">
      <w:pPr>
        <w:pStyle w:val="TextoNormal"/>
      </w:pPr>
    </w:p>
    <w:p w:rsidR="006B7292" w:rsidRDefault="006B7292" w:rsidP="006B7292">
      <w:pPr>
        <w:pStyle w:val="TextoNormal"/>
      </w:pPr>
      <w:r w:rsidRPr="006B7292">
        <w:rPr>
          <w:rStyle w:val="NumeroAFNegritaCaracter"/>
        </w:rPr>
        <w:t>5</w:t>
      </w:r>
      <w:r>
        <w:t>. Mediante diligencia de ordenación de 8 de octubre de 2015, se dio traslado a la parte recurrente en amparo para que, de conformidad con el art. 93.2 LOTC, efectuara las alegaciones oportunas en el término de tres días. La parte recurrente en amparo se adhiere, mediante escrito registrado el 15 de octubre de 2015, al recurso de súplica del Ministerio Fiscal remitiéndose a sus propias alegaciones contenidas en los escritos de 13 de enero de 2015, y de 17 de septiembre de 2015.</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Único. El Ministerio Fiscal ha interpuesto el presente recurso de súplica por considerar que la providencia de inadmisión del recurso de amparo, fechada el 8 de septiembre de 2015, y cuyo contenido literal se transcribe en los antecedentes, es contradictoria con lo dispuesto por este mismo Tribunal en el ATC 106/2015, de 15 de junio.</w:t>
      </w:r>
    </w:p>
    <w:p w:rsidR="006B7292" w:rsidRDefault="006B7292" w:rsidP="006B7292">
      <w:pPr>
        <w:pStyle w:val="TextoNormal"/>
      </w:pPr>
    </w:p>
    <w:p w:rsidR="006B7292" w:rsidRDefault="006B7292" w:rsidP="006B7292">
      <w:pPr>
        <w:pStyle w:val="TextoNormal"/>
      </w:pPr>
      <w:r>
        <w:t>Efectivamente, esta Sección debe reconocer que la discrepancia apuntada por el Ministerio Fiscal, tiene su fundamento porque se ha producido un error en la redacción de la providencia impugnada, lo que esta Sección asume y lamenta.</w:t>
      </w:r>
    </w:p>
    <w:p w:rsidR="006B7292" w:rsidRDefault="006B7292" w:rsidP="006B7292">
      <w:pPr>
        <w:pStyle w:val="TextoNormal"/>
      </w:pPr>
    </w:p>
    <w:p w:rsidR="006B7292" w:rsidRDefault="006B7292" w:rsidP="006B7292">
      <w:pPr>
        <w:pStyle w:val="TextoNormal"/>
      </w:pPr>
      <w:r>
        <w:t>La deliberación de la Sección, en el trámite de admisión del presente recurso de amparo una vez fue admitido el primer recurso de súplica del Ministerio Fiscal, mantuvo la inadmisión del recurso de amparo pero, en coherencia con lo resuelto en su ATC 106/2015, diferenció los motivos de la inadmisión respecto a las dos quejas formuladas por el recurrente. Se mantuvo la inadmisión por falta de agotamiento respecto a la queja sobre la doble instancia, y respecto al derecho a la presunción de inocencia se estimó que concurría el motivo de inexistencia de violación del derecho fundamental. No obstante, el texto de la providencia de 8 de septiembre de 2015, invirtió los motivos de la inadmisión de las correspondientes quejas.</w:t>
      </w:r>
    </w:p>
    <w:p w:rsidR="006B7292" w:rsidRDefault="006B7292" w:rsidP="006B7292">
      <w:pPr>
        <w:pStyle w:val="TextoNormal"/>
      </w:pPr>
    </w:p>
    <w:p w:rsidR="006B7292" w:rsidRDefault="006B7292" w:rsidP="006B7292">
      <w:pPr>
        <w:pStyle w:val="TextoNormal"/>
      </w:pPr>
      <w:r>
        <w:t>Así, resulta evidente tras la lectura del ATC 106/2015, que la causa de inadmisión del motivo de impugnación vinculado a la vulneración del derecho a la tutela judicial efectiva (art. 24.1 CE) en la vertiente del derecho de todo condenado a que el fallo condenatorio y la pena sean sometidos a un Tribunal superior, es la falta de adecuado agotamiento de los medios de impugnación dentro de la vía judicial, en la medida en que no se interpuso en tiempo y forma el oportuno incidente de nulidad de actuaciones previsto en el art. 241.1 de la Ley Orgánica del Poder Judicial (LOPJ). Tal pronunciamiento, estaba ya plasmado en la providencia de 2 de diciembre de 2014 de la Sección Tercera de este Tribunal, y no fue impugnado por el Ministerio Fiscal. Por ello, el ATC 106/2015, que anuló la providencia de 2 de diciembre de 2014, reconoce que la aplicación de la causa de inadmisión por falta de agotamiento no debía proyectarse sobre la queja referida al derecho a la presunción de inocencia. Dicho Auto, en su fundamento jurídico único establecía que “en el presente caso, es de destacar que el Tribunal Supremo, a pesar de inadmitir el recurso de casación planteado por la parte recurrente, entró a valorar la queja sobre la presunción de inocencia, dando respuesta de fondo suficiente sobre la misma en el Auto recurrido en amparo. Debe compartirse el criterio manifestado por el Ministerio Fiscal cuando considera que, respecto de este motivo la vía judicial previa, debe estimarse bien agotada. Procede, por tanto, dejar sin efecto la providencia de inadmisión de 2 de diciembre de 2014”.</w:t>
      </w:r>
    </w:p>
    <w:p w:rsidR="006B7292" w:rsidRDefault="006B7292" w:rsidP="006B7292">
      <w:pPr>
        <w:pStyle w:val="TextoNormal"/>
      </w:pPr>
    </w:p>
    <w:p w:rsidR="006B7292" w:rsidRDefault="006B7292" w:rsidP="006B7292">
      <w:pPr>
        <w:pStyle w:val="TextoNormal"/>
      </w:pPr>
      <w:r>
        <w:t>Sin embargo, la posterior providencia de 8 de septiembre de 2015, impugnada en el presente recurso de súplica, vuelve a indicar que no se ha agotado correctamente la vía judicial previa en relación con la invocación del derecho a la presunción de inocencia, lo cual es evidentemente contrario al criterio recogido expresamente en el ATC 106/2015 y fruto de un error en la trascripción de los motivos de inadmisión.</w:t>
      </w:r>
    </w:p>
    <w:p w:rsidR="006B7292" w:rsidRDefault="006B7292" w:rsidP="006B7292">
      <w:pPr>
        <w:pStyle w:val="TextoNormal"/>
      </w:pPr>
    </w:p>
    <w:p w:rsidR="006B7292" w:rsidRDefault="006B7292" w:rsidP="006B7292">
      <w:pPr>
        <w:pStyle w:val="TextoNormal"/>
      </w:pPr>
      <w:r>
        <w:t>En cuanto a la queja sobre el derecho a la presunción de inocencia (art. 24.2 CE), la providencia debía haber recogido que concurría la causa de inadmisión prevista en el art. 50.1 a) LOTC, por inexistencia de violación de un derecho fundamental tutelable en amparo, violación que, de acuerdo con el art. 44.1 LOTC, es condición para que este Tribunal pueda ejercer dicha tutela.</w:t>
      </w:r>
    </w:p>
    <w:p w:rsidR="006B7292" w:rsidRDefault="006B7292" w:rsidP="006B7292">
      <w:pPr>
        <w:pStyle w:val="TextoNormal"/>
      </w:pPr>
    </w:p>
    <w:p w:rsidR="006B7292" w:rsidRDefault="006B7292" w:rsidP="006B7292">
      <w:pPr>
        <w:pStyle w:val="TextoNormal"/>
      </w:pPr>
      <w:r>
        <w:t>Y en cuanto a la queja relativa al derecho a la tutela judicial efectiva (art. 24.1 CE) en la vertiente del derecho de todo condenado a que el fallo condenatorio y la pena sean sometidos a un tribunal superior, debía haberse consignado como motivo de inadmisión el previsto en el art. 44.1 a) LOTC, toda vez que el recurrente no habría agotado debidamente los medios de impugnación dentro de la vía judicial, al no haber interpuesto el incidente de nulidad de actuaciones previsto en el art. 241.1 LOPJ. Lo cual ya había sido puesto de manifiesto en la providencia de 2 de diciembre de 2014.</w:t>
      </w:r>
    </w:p>
    <w:p w:rsidR="006B7292" w:rsidRDefault="006B7292" w:rsidP="006B7292">
      <w:pPr>
        <w:pStyle w:val="TextoNormal"/>
      </w:pPr>
    </w:p>
    <w:p w:rsidR="006B7292" w:rsidRDefault="006B7292" w:rsidP="006B7292">
      <w:pPr>
        <w:pStyle w:val="TextoNormal"/>
      </w:pPr>
      <w:r>
        <w:t>Procede, por tanto, dejar sin efecto la providencia de inadmisión de 8 de septiembre de 2015.</w:t>
      </w:r>
    </w:p>
    <w:p w:rsidR="006B7292" w:rsidRDefault="006B7292" w:rsidP="006B7292">
      <w:pPr>
        <w:pStyle w:val="TextoNormal"/>
      </w:pPr>
    </w:p>
    <w:p w:rsidR="006B7292" w:rsidRDefault="006B7292" w:rsidP="006B7292">
      <w:pPr>
        <w:pStyle w:val="TextoNormal"/>
      </w:pPr>
      <w:r>
        <w:t>Ahora bien, respecto del alcance de los efectos del presente Auto debemos hacer la siguiente consideración. Si bien el recurso de súplica previsto en el art. 50.3 LOTC tiene como finalidad específica reconsiderar la providencia recurrida por el Ministerio público, sin que su estimación implique necesariamente la admisión del recurso de amparo, en el presente caso, habida cuenta del pronunciamiento contenido en este Auto, la mera reposición de las actuaciones al momento anterior a dictarse la providencia anulada como es práctica habitual (AATC 13/2003, de 20 de enero, 182/2003, de 2 de julio, y 48/2006, de 14 de febrero), llevaría a un trámite innecesario dado que esta Sección ha puesto ya de manifiesto las causas de inadmisión del recurso, a resultas de la corrección del error de transcripción detectado en la providencia impugnada.</w:t>
      </w:r>
    </w:p>
    <w:p w:rsidR="006B7292" w:rsidRDefault="006B7292" w:rsidP="006B7292">
      <w:pPr>
        <w:pStyle w:val="TextoNormal"/>
      </w:pPr>
    </w:p>
    <w:p w:rsidR="006B7292" w:rsidRDefault="006B7292" w:rsidP="006B7292">
      <w:pPr>
        <w:pStyle w:val="TextoNormal"/>
      </w:pPr>
      <w:r>
        <w:t>Por ello, al igual que hemos procedido en otras ocasiones cuando las circunstancias del recurso de amparo así lo aconsejaban (ATC 260/2007, de 24 de mayo), el fallo del presente Auto resuelve también sobre las causas de inadmisión del recurso de amparo.</w:t>
      </w:r>
    </w:p>
    <w:p w:rsidR="006B7292" w:rsidRDefault="006B7292" w:rsidP="006B7292">
      <w:pPr>
        <w:pStyle w:val="TextoNormal"/>
      </w:pPr>
    </w:p>
    <w:p w:rsidR="006B7292" w:rsidRDefault="006B7292" w:rsidP="006B7292">
      <w:pPr>
        <w:pStyle w:val="TextoNormal"/>
      </w:pPr>
      <w:r>
        <w:t>Por todo lo expuesto, la Sección</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Estimar el recurso de súplica interpuesto por el Ministerio Fiscal y, en consecuencia:</w:t>
      </w:r>
    </w:p>
    <w:p w:rsidR="006B7292" w:rsidRDefault="006B7292" w:rsidP="006B7292">
      <w:pPr>
        <w:pStyle w:val="TextoNormal"/>
      </w:pPr>
    </w:p>
    <w:p w:rsidR="006B7292" w:rsidRDefault="006B7292" w:rsidP="006B7292">
      <w:pPr>
        <w:pStyle w:val="TextoNormal"/>
      </w:pPr>
      <w:r>
        <w:t>1º Dejar sin efecto la providencia de 8 de septiembre de 2015 que declaró la inadmisión del presente recurso de amparo.</w:t>
      </w:r>
    </w:p>
    <w:p w:rsidR="006B7292" w:rsidRDefault="006B7292" w:rsidP="006B7292">
      <w:pPr>
        <w:pStyle w:val="TextoNormal"/>
      </w:pPr>
    </w:p>
    <w:p w:rsidR="006B7292" w:rsidRDefault="006B7292" w:rsidP="006B7292">
      <w:pPr>
        <w:pStyle w:val="TextoNormal"/>
      </w:pPr>
      <w:r>
        <w:t>2º Inadmitir el presente recurso de amparo con base en las siguientes causas:</w:t>
      </w:r>
    </w:p>
    <w:p w:rsidR="006B7292" w:rsidRDefault="006B7292" w:rsidP="006B7292">
      <w:pPr>
        <w:pStyle w:val="TextoNormal"/>
      </w:pPr>
    </w:p>
    <w:p w:rsidR="006B7292" w:rsidRDefault="006B7292" w:rsidP="006B7292">
      <w:pPr>
        <w:pStyle w:val="TextoNormal"/>
      </w:pPr>
      <w:r>
        <w:t>a) En cuanto a la vulneración del derecho a la tutela judicial efectiva (art. 24.1 CE) en la vertiente del derecho de todo condenado a que el fallo condenatorio y la pena sean sometidos a un Tribunal superior, con arreglo a lo previsto en el art. 50.1 a) LOTC, en relación con su art. 44.1 a), toda vez que el recurrente no ha agotado debidamente los medios de impugnación dentro de la vía judicial (no interposición del incidente de nulidad de actuaciones previsto en el art. 241.1 LOPJ).</w:t>
      </w:r>
    </w:p>
    <w:p w:rsidR="006B7292" w:rsidRDefault="006B7292" w:rsidP="006B7292">
      <w:pPr>
        <w:pStyle w:val="TextoNormal"/>
      </w:pPr>
    </w:p>
    <w:p w:rsidR="006B7292" w:rsidRDefault="006B7292" w:rsidP="006B7292">
      <w:pPr>
        <w:pStyle w:val="TextoNormal"/>
      </w:pPr>
      <w:r>
        <w:t>b) Respecto de la vulneración del derecho a la presunción de inocencia (art. 24.2 CE), con arreglo a lo previsto en el art. 50.1 a) LOTC, dada la manifiesta inexistencia de violación de un derecho fundamental tutelable en amparo, violación que, de acuerdo con el art. 44.1 LOTC, es condición para que este Tribunal pueda ejercer dicha tutela.</w:t>
      </w:r>
    </w:p>
    <w:p w:rsidR="006B7292" w:rsidRDefault="006B7292" w:rsidP="006B7292">
      <w:pPr>
        <w:pStyle w:val="TextoNormal"/>
      </w:pPr>
    </w:p>
    <w:p w:rsidR="006B7292" w:rsidRDefault="006B7292" w:rsidP="006B7292">
      <w:pPr>
        <w:pStyle w:val="TextoNormal"/>
      </w:pPr>
      <w:r>
        <w:t>Madrid, a treinta de octubre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91" w:name="AUTO_2015_177"/>
      <w:r>
        <w:t>AUTO 177/2015, de 2 de noviembre de 2015</w:t>
      </w:r>
    </w:p>
    <w:bookmarkEnd w:id="191"/>
    <w:p w:rsidR="006B7292" w:rsidRDefault="006B7292" w:rsidP="006B7292">
      <w:pPr>
        <w:pStyle w:val="TtuloResolucin"/>
      </w:pPr>
      <w:r>
        <w:t>Sala Segunda</w:t>
      </w:r>
    </w:p>
    <w:p w:rsidR="006B7292" w:rsidRDefault="006B7292" w:rsidP="006B7292">
      <w:pPr>
        <w:pStyle w:val="TextoNormalCentrado"/>
      </w:pPr>
      <w:r>
        <w:t>ECLI:ES:TC:2015:177A</w:t>
      </w:r>
    </w:p>
    <w:p w:rsidR="006B7292" w:rsidRDefault="006B7292" w:rsidP="006B7292">
      <w:pPr>
        <w:pStyle w:val="TextoNormalCentrado"/>
      </w:pPr>
    </w:p>
    <w:p w:rsidR="006B7292" w:rsidRDefault="006B7292" w:rsidP="006B7292">
      <w:pPr>
        <w:pStyle w:val="SntesisDescriptiva"/>
      </w:pPr>
      <w:r>
        <w:t>Excms. Srs. doña Adela Asua Batarrita, don Fernando Valdés Dal-Ré, don Juan José González Rivas,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Rectifica un error material de la Sentencia 181/2015, de 7 de septiembre, en el recurso de amparo 4572-2013, promovido por Girabelmar, S.L., y otras dos personas en pleito civil.</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En el recurso de amparo núm. 4572-2013, interpuesto por Girabelmar, S.L., don Gino Van De Velde y don Rachid El Asri contra el Auto del Juzgado de Primera Instancia núm. 1 de Marbella de 27 de junio de 2013, desestimatorio de la nulidad de actuaciones instada por los actores en el juicio verbal de desahucio y reclamación de rentas núm. 1093-2012, se dictó Sentencia por esta Sala Segunda con fecha 7 de septiembre de 2015, en cuyo fallo se acuerda lo siguiente:</w:t>
      </w:r>
    </w:p>
    <w:p w:rsidR="006B7292" w:rsidRDefault="006B7292" w:rsidP="006B7292">
      <w:pPr>
        <w:pStyle w:val="TextoNormal"/>
      </w:pPr>
    </w:p>
    <w:p w:rsidR="006B7292" w:rsidRDefault="006B7292" w:rsidP="006B7292">
      <w:pPr>
        <w:pStyle w:val="TextoNormal"/>
      </w:pPr>
      <w:r>
        <w:t>“Estimar el recurso de amparo interpuesto por Girabelmar, S.L., don Gino Van De Velde y don Rachid El Asri, y, en consecuencia:</w:t>
      </w:r>
    </w:p>
    <w:p w:rsidR="006B7292" w:rsidRDefault="006B7292" w:rsidP="006B7292">
      <w:pPr>
        <w:pStyle w:val="TextoNormal"/>
      </w:pPr>
    </w:p>
    <w:p w:rsidR="006B7292" w:rsidRDefault="006B7292" w:rsidP="006B7292">
      <w:pPr>
        <w:pStyle w:val="TextoNormal"/>
      </w:pPr>
      <w:r>
        <w:t>1º Declarar que ha sido vulnerado el derecho fundamental de los actores a la tutela judicial efectiva (art. 24.1 CE).</w:t>
      </w:r>
    </w:p>
    <w:p w:rsidR="006B7292" w:rsidRDefault="006B7292" w:rsidP="006B7292">
      <w:pPr>
        <w:pStyle w:val="TextoNormal"/>
      </w:pPr>
    </w:p>
    <w:p w:rsidR="006B7292" w:rsidRDefault="006B7292" w:rsidP="006B7292">
      <w:pPr>
        <w:pStyle w:val="TextoNormal"/>
      </w:pPr>
      <w:r>
        <w:t>2º Restablecerlos en su derecho y, a tal fin, declarar la nulidad del Auto del Juzgado de Primera Instancia núm. 1 de Marbella, de 27 de junio de 2013, dictado en el juicio de desahucio núm. 1093-2012, así como de todo lo actuado a partir de la diligencia de ordenación de 13 de diciembre de 2012, inclusive.</w:t>
      </w:r>
    </w:p>
    <w:p w:rsidR="006B7292" w:rsidRDefault="006B7292" w:rsidP="006B7292">
      <w:pPr>
        <w:pStyle w:val="TextoNormal"/>
      </w:pPr>
    </w:p>
    <w:p w:rsidR="006B7292" w:rsidRDefault="006B7292" w:rsidP="006B7292">
      <w:pPr>
        <w:pStyle w:val="TextoNormal"/>
      </w:pPr>
      <w:r>
        <w:t>3º Retrotraer las actuaciones al momento inmediatamente anterior al de dictarse la diligencia de ordenación de 13 de diciembre de 2012, que acordó citar a la parte demandada por medio de edictos, para que se dicte nueva resolución judicial respetuosa con el derecho fundamental reconocido.”</w:t>
      </w:r>
    </w:p>
    <w:p w:rsidR="006B7292" w:rsidRDefault="006B7292" w:rsidP="006B7292">
      <w:pPr>
        <w:pStyle w:val="TextoNormal"/>
      </w:pPr>
    </w:p>
    <w:p w:rsidR="006B7292" w:rsidRDefault="006B7292" w:rsidP="006B7292">
      <w:pPr>
        <w:pStyle w:val="TextoNormal"/>
      </w:pPr>
      <w:r>
        <w:t>La Sentencia fue notificada a la representación de Vista Isleña, S.L., personada en el procedimiento, el pasado día 11 de septiembre de 2015.</w:t>
      </w:r>
    </w:p>
    <w:p w:rsidR="006B7292" w:rsidRDefault="006B7292" w:rsidP="006B7292">
      <w:pPr>
        <w:pStyle w:val="TextoNormal"/>
      </w:pPr>
    </w:p>
    <w:p w:rsidR="006B7292" w:rsidRDefault="006B7292" w:rsidP="006B7292">
      <w:pPr>
        <w:pStyle w:val="TextoNormal"/>
      </w:pPr>
      <w:r w:rsidRPr="006B7292">
        <w:rPr>
          <w:rStyle w:val="NumeroAFNegritaCaracter"/>
        </w:rPr>
        <w:t>2</w:t>
      </w:r>
      <w:r>
        <w:t>. Mediante escrito presentado en este Tribunal el 14 de septiembre de 2015, la Procuradora doña Iciar de la Peña Argacha, en representación de Vista Isleña, S.L., al amparo de lo previsto en el art. 93.1 de la Ley Orgánica del Tribunal Constitucional, interesa la aclaración y subsanación de dicha Sentencia en cuanto a los siguientes extremos: a) No haber enviado el letrado don Mauricio Faltoyano Gil ningún correo electrónico a don Gino Van de Velde, frente a lo que se dice en el fundamento jurídico 4, párrafo quinto, de la Sentencia. b) El conocimiento extraprocesal de la existencia del juicio de desahucio por parte de los actores. c) Que el procedimiento de resolución de contrato promovido por los arrendatarios no se siguió ante el Juzgado de Primera Instancia núm. 18 de Málaga, sino ante el Juzgado de Primera Instancia núm. 4 de Marbella. d) Como consecuencia de la entidad de los errores groseros padecidos, habría que modificar el fallo, porque el Tribunal no ha abundado en la conducta negligente de los actores. e) Que la resolución dictada por este Tribunal resulta extemporánea, injusta y gravosa, causando verdadera indefensión a la parte recurrida.</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art. 93.1 de la Ley Orgánica del Tribunal Constitucional (LOTC) prevé que, en el plazo de dos días a contar desde la notificación, las partes podrán solicitar la aclaración de la Sentencia, si bien, como hemos declarado en anteriores ocasiones, dicha tarea no puede ir más allá de “aclarar algún concepto oscuro y rectificar cualquier error material”, o bien suplir las omisiones o defectos de que adolezcan, según establecen los arts. 267 de la Ley Orgánica del Poder Judicial y 214 y 215.1 de la Ley de enjuiciamiento civil (aplicables supletoriamente a los procesos constitucionales de conformidad con lo dispuesto en el art. 80 LOTC), y no podrá suponer, en ningún caso, variación o modificación de la Sentencia (AATC 232/1999, de 11 de octubre, FJ 1; 104/2003, de 7 de abril, FJ único; y 202/2003, de 16 de junio, FJ 1).</w:t>
      </w:r>
    </w:p>
    <w:p w:rsidR="006B7292" w:rsidRDefault="006B7292" w:rsidP="006B7292">
      <w:pPr>
        <w:pStyle w:val="TextoNormal"/>
      </w:pPr>
    </w:p>
    <w:p w:rsidR="006B7292" w:rsidRDefault="006B7292" w:rsidP="006B7292">
      <w:pPr>
        <w:pStyle w:val="TextoNormal"/>
      </w:pPr>
      <w:r w:rsidRPr="006B7292">
        <w:rPr>
          <w:rStyle w:val="NumeroAFNegritaCaracter"/>
        </w:rPr>
        <w:t>2</w:t>
      </w:r>
      <w:r>
        <w:t>. En el presente supuesto, sólo cabe rectificar el primero de los errores denunciados por la representación de Vista Isleña, S.L., pues, efectivamente, del examen de la extensa documentación que componen las actuaciones, a pesar de que al pie de alguno de los correos aparezca la dirección de correo electrónico del Letrado de Vista Isleña, S.L., quien figura como remitente de todos los correos electrónicos es el Administrador único de dicha entidad. Por lo tanto, procede suprimir en el párrafo quinto del fundamento jurídico 4 de la Sentencia de 7 de septiembre de 2015 la mención “del letrado de la citada entidad”, si bien ello no altera en modo alguno el innegable hecho de la profusión de correos electrónicos entre la entidad arrendadora y el Sr. Van De Velde con posterioridad a la presentación de la demanda de desahucio.</w:t>
      </w:r>
    </w:p>
    <w:p w:rsidR="006B7292" w:rsidRDefault="006B7292" w:rsidP="006B7292">
      <w:pPr>
        <w:pStyle w:val="TextoNormal"/>
      </w:pPr>
    </w:p>
    <w:p w:rsidR="006B7292" w:rsidRDefault="006B7292" w:rsidP="006B7292">
      <w:pPr>
        <w:pStyle w:val="TextoNormal"/>
      </w:pPr>
      <w:r>
        <w:t>No concurre, sin embargo, el error denunciado en la referencia al procedimiento promovido por los arrendatarios para la resolución del contrato de arrendamiento, pues el único dato que figura en las actuaciones remitidas a este Tribunal es que la demanda fue turnada al Juzgado de Primera Instancia núm. 18 de Málaga, sin que haya constancia alguna de las vicisitudes posteriores que dicho proceso pueda haber seguido. Por consiguiente, no ha lugar a la corrección solicitada.</w:t>
      </w:r>
    </w:p>
    <w:p w:rsidR="006B7292" w:rsidRDefault="006B7292" w:rsidP="006B7292">
      <w:pPr>
        <w:pStyle w:val="TextoNormal"/>
      </w:pPr>
    </w:p>
    <w:p w:rsidR="006B7292" w:rsidRDefault="006B7292" w:rsidP="006B7292">
      <w:pPr>
        <w:pStyle w:val="TextoNormal"/>
      </w:pPr>
      <w:r w:rsidRPr="006B7292">
        <w:rPr>
          <w:rStyle w:val="NumeroAFNegritaCaracter"/>
        </w:rPr>
        <w:t>3</w:t>
      </w:r>
      <w:r>
        <w:t>. En cuanto a las otras cuestiones planteadas, que pueden concretarse en la discrepancia de la solicitante de la aclaración acerca de la valoración sobre el posible conocimiento extraprocesal de la existencia del juicio de desahucio por parte de los actores y las consecuencias que ello debería tener sobre el fallo de nuestra Sentencia, no cabe aceptar lo solicitado, pues, en definitiva, lo que pretende la representación de Vista Isleña, S.L., no es aclarar ningún concepto oscuro o subsanar un error evidente, sino, lisa y llanamente, la modificación no sólo de la fundamentación, sino incluso del fallo de la Sentencia, con los que muestra su más abierta y crítica discrepancia. Tal pretensión no puede ser atendida en ningún caso, pues, como hemos declarado reiteradamente, la solicitud de aclaración no constituye un medio de impugnación encaminado a la sustitución o revisión de la decisión adoptada, ya que contra las Sentencias del Tribunal Constitucional no cabe recurso alguno (entre otros, AATC 439/2006, de 11 de diciembre, FJ 1; 363/2007, de 11 de septiembre, FJ 1; 70/2008, de 26 de febrero, FJ 1 y 32/2010, de 2 de marzo, FJ 1), impedimento que la solicitante trata de orillar improcedentemente a través de esta vía.</w:t>
      </w:r>
    </w:p>
    <w:p w:rsidR="006B7292" w:rsidRDefault="006B7292" w:rsidP="006B7292">
      <w:pPr>
        <w:pStyle w:val="TextoNormal"/>
      </w:pPr>
    </w:p>
    <w:p w:rsidR="006B7292" w:rsidRDefault="006B7292" w:rsidP="006B7292">
      <w:pPr>
        <w:pStyle w:val="TextoNormal"/>
      </w:pPr>
      <w:r>
        <w:t>Por todo lo expuesto, la Sala</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Haber lugar a la rectificación solicitada del error existente en el fundamento jurídico 4 de la Sentencia de 7 de septiembre de 2015, dictada en el recurso de amparo núm. 4572-2013, en el sentido de suprimir la expresión “del Letrado de la citada entidad”, en los términos del fundamento jurídico 2 de la presente resolución.</w:t>
      </w:r>
    </w:p>
    <w:p w:rsidR="006B7292" w:rsidRDefault="006B7292" w:rsidP="006B7292">
      <w:pPr>
        <w:pStyle w:val="TextoNormal"/>
      </w:pPr>
    </w:p>
    <w:p w:rsidR="006B7292" w:rsidRDefault="006B7292" w:rsidP="006B7292">
      <w:pPr>
        <w:pStyle w:val="TextoNormal"/>
      </w:pPr>
      <w:r>
        <w:t>Denegar el resto de las aclaraciones solicitadas por Vista Isleña, S.L.</w:t>
      </w:r>
    </w:p>
    <w:p w:rsidR="006B7292" w:rsidRDefault="006B7292" w:rsidP="006B7292">
      <w:pPr>
        <w:pStyle w:val="TextoNormal"/>
      </w:pPr>
    </w:p>
    <w:p w:rsidR="006B7292" w:rsidRDefault="006B7292" w:rsidP="006B7292">
      <w:pPr>
        <w:pStyle w:val="TextoNormal"/>
      </w:pPr>
      <w:r>
        <w:t>Madrid, a dos de noviembre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92" w:name="AUTO_2015_178"/>
      <w:r>
        <w:t>AUTO 178/2015, de 2 de noviembre de 2015</w:t>
      </w:r>
    </w:p>
    <w:bookmarkEnd w:id="192"/>
    <w:p w:rsidR="006B7292" w:rsidRDefault="006B7292" w:rsidP="006B7292">
      <w:pPr>
        <w:pStyle w:val="TtuloResolucin"/>
      </w:pPr>
      <w:r>
        <w:t>Sala Segunda</w:t>
      </w:r>
    </w:p>
    <w:p w:rsidR="006B7292" w:rsidRDefault="006B7292" w:rsidP="006B7292">
      <w:pPr>
        <w:pStyle w:val="TextoNormalCentrado"/>
      </w:pPr>
      <w:r>
        <w:t>ECLI:ES:TC:2015:178A</w:t>
      </w:r>
    </w:p>
    <w:p w:rsidR="006B7292" w:rsidRDefault="006B7292" w:rsidP="006B7292">
      <w:pPr>
        <w:pStyle w:val="TextoNormalCentrado"/>
      </w:pPr>
    </w:p>
    <w:p w:rsidR="006B7292" w:rsidRDefault="006B7292" w:rsidP="006B7292">
      <w:pPr>
        <w:pStyle w:val="SntesisDescriptiva"/>
      </w:pPr>
      <w:r>
        <w:t>Excms. Srs. doña Adela Asua Batarrita, don Fernando Valdés Dal-Ré, don Juan José González Rivas,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Acuerda la suspensión en el recurso de amparo 878-2014, promovido por don José Luis Calvo Picallo en pleito civil.</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13 de febrero de 2014 tuvo entrada en el Registro General de este Tribunal escrito firmado por el Procurador de los Tribunales don Argimiro Vázquez Guillén, en nombre y representación de don José Luis Calvo Picallo, en virtud del cual interponía recurso de amparo contra el Auto del Juzgado de Primera Instancia núm. 5 de El Ferrol de 15 de enero de 2014, que desestimó el incidente de nulidad de actuaciones promovido por el actor, y el Auto de dicho Juzgado de 9 de octubre de 2013 que desestimaba la oposición planteada en el procedimiento de ejecución hipotecaria núm. 228-2011.</w:t>
      </w:r>
    </w:p>
    <w:p w:rsidR="006B7292" w:rsidRDefault="006B7292" w:rsidP="006B7292">
      <w:pPr>
        <w:pStyle w:val="TextoNormal"/>
      </w:pPr>
    </w:p>
    <w:p w:rsidR="006B7292" w:rsidRDefault="006B7292" w:rsidP="006B7292">
      <w:pPr>
        <w:pStyle w:val="TextoNormal"/>
      </w:pPr>
      <w:r>
        <w:t>En el citado Auto del Juzgado de 9 de octubre de 2013 desestimaba la oposición planteada porque ninguno de los motivos en los que la misma se sustentaba tiene acogida en el art. 695 de la Ley de enjuiciamiento civil (LEC) y porque, careciendo la entidad demandada de la condición de consumidor a tenor de lo dispuesto en el Real Decreto Legislativo 1/2007, de 16 de noviembre, no le es de aplicación el motivo de oposición invocado, que es el recogido en el art. 695.1.4 LEC, virtualidad inaplicativa que no resulta modificada por el hecho de que el Sr. Calvo fuera fiador de la entidad deudora, ya que lo decisivo, en opinión del Juzgado, es la condición de las partes intervinientes en el contrato. Como consecuencia de la desestimación de la oposición se acordaba la continuación de la tramitación de la ejecución.</w:t>
      </w:r>
    </w:p>
    <w:p w:rsidR="006B7292" w:rsidRDefault="006B7292" w:rsidP="006B7292">
      <w:pPr>
        <w:pStyle w:val="TextoNormal"/>
      </w:pPr>
    </w:p>
    <w:p w:rsidR="006B7292" w:rsidRDefault="006B7292" w:rsidP="006B7292">
      <w:pPr>
        <w:pStyle w:val="TextoNormal"/>
      </w:pPr>
      <w:r>
        <w:t>Promovido por el recurrente incidente de nulidad, el Auto de 15 de enero de 2014 lo desestimó razonando que la resolución impugnada sí había dado respuesta a las causas de oposición a la ejecución hipotecaria alegadas, aunque en sentido desestimatorio, y que tampoco había ocasionado indefensión, al no haber solicitado la parte ni resultar precisa la celebración de la vista, por haber vertido aquélla sus alegaciones previamente por escrito.</w:t>
      </w:r>
    </w:p>
    <w:p w:rsidR="006B7292" w:rsidRDefault="006B7292" w:rsidP="006B7292">
      <w:pPr>
        <w:pStyle w:val="TextoNormal"/>
      </w:pPr>
    </w:p>
    <w:p w:rsidR="006B7292" w:rsidRDefault="006B7292" w:rsidP="006B7292">
      <w:pPr>
        <w:pStyle w:val="TextoNormal"/>
      </w:pPr>
      <w:r>
        <w:t>En cuanto al fondo, el Auto consideraba que la exclusión del concepto de consumidor y, por ende, de la protección a las personas jurídicas, resultaba acorde a las determinaciones del Tribunal de Justicia de la Unión Europea y a la exposición de motivos de la Ley 1/2013.</w:t>
      </w:r>
    </w:p>
    <w:p w:rsidR="006B7292" w:rsidRDefault="006B7292" w:rsidP="006B7292">
      <w:pPr>
        <w:pStyle w:val="TextoNormal"/>
      </w:pPr>
    </w:p>
    <w:p w:rsidR="006B7292" w:rsidRDefault="006B7292" w:rsidP="006B7292">
      <w:pPr>
        <w:pStyle w:val="TextoNormal"/>
      </w:pPr>
      <w:r w:rsidRPr="006B7292">
        <w:rPr>
          <w:rStyle w:val="NumeroAFNegritaCaracter"/>
        </w:rPr>
        <w:t>2</w:t>
      </w:r>
      <w:r>
        <w:t>. El demandante de amparo se queja en su recurso de la vulneración de su derecho a la tutela judicial efectiva sin indefensión (art. 24.1 CE), en la medida en que el Auto se ha negado a resolver sobre las causas de oposición a la ejecución esgrimidas, de relevante entidad, so pretexto de no encontrarse entre las del art. 695 LEC, y se ha dictado omitiendo la celebración de vista que, de forma imperativa, imponía la disposición transitoria cuarta de la Ley 1/2013, privándole de la posibilidad de argumentar sobre la nulidad de las cláusulas abusivas.</w:t>
      </w:r>
    </w:p>
    <w:p w:rsidR="006B7292" w:rsidRDefault="006B7292" w:rsidP="006B7292">
      <w:pPr>
        <w:pStyle w:val="TextoNormal"/>
      </w:pPr>
    </w:p>
    <w:p w:rsidR="006B7292" w:rsidRDefault="006B7292" w:rsidP="006B7292">
      <w:pPr>
        <w:pStyle w:val="TextoNormal"/>
      </w:pPr>
      <w:r>
        <w:t>En la demanda se solicita por medio de otrosí la suspensión de los Autos recurridos recaídos en el procedimiento de ejecución hipotecaria núm. 228-2011, con el fin de que no se cause un daño irreparable ejecutando y desahuciando a las personas de la vivienda objeto de la ejecución.</w:t>
      </w:r>
    </w:p>
    <w:p w:rsidR="006B7292" w:rsidRDefault="006B7292" w:rsidP="006B7292">
      <w:pPr>
        <w:pStyle w:val="TextoNormal"/>
      </w:pPr>
    </w:p>
    <w:p w:rsidR="006B7292" w:rsidRDefault="006B7292" w:rsidP="006B7292">
      <w:pPr>
        <w:pStyle w:val="TextoNormal"/>
      </w:pPr>
      <w:r w:rsidRPr="006B7292">
        <w:rPr>
          <w:rStyle w:val="NumeroAFNegritaCaracter"/>
        </w:rPr>
        <w:t>3</w:t>
      </w:r>
      <w:r>
        <w:t>. Mediante providencia de 6 de octubre de 2015 la Sección Tercera de este Tribunal acordó admitir a trámite el recurso de amparo y dirigir comunicación al Juzgado de Primera Instancia núm. 5 de El Ferrol, a fin de que, en el plazo de diez días, remitiera certificación o fotocopia adverada de las actuaciones y emplazara a quienes hubieran sido parte en el proceso del que trae causa el presente recurso de amparo.</w:t>
      </w:r>
    </w:p>
    <w:p w:rsidR="006B7292" w:rsidRDefault="006B7292" w:rsidP="006B7292">
      <w:pPr>
        <w:pStyle w:val="TextoNormal"/>
      </w:pPr>
    </w:p>
    <w:p w:rsidR="006B7292" w:rsidRDefault="006B7292" w:rsidP="006B7292">
      <w:pPr>
        <w:pStyle w:val="TextoNormal"/>
      </w:pPr>
      <w:r w:rsidRPr="006B7292">
        <w:rPr>
          <w:rStyle w:val="NumeroAFNegritaCaracter"/>
        </w:rPr>
        <w:t>4</w:t>
      </w:r>
      <w:r>
        <w:t>. Por providencia de la misma fecha, la Sección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estimaran pertinente sobre dicha suspensión.</w:t>
      </w:r>
    </w:p>
    <w:p w:rsidR="006B7292" w:rsidRDefault="006B7292" w:rsidP="006B7292">
      <w:pPr>
        <w:pStyle w:val="TextoNormal"/>
      </w:pPr>
    </w:p>
    <w:p w:rsidR="006B7292" w:rsidRDefault="006B7292" w:rsidP="006B7292">
      <w:pPr>
        <w:pStyle w:val="TextoNormal"/>
      </w:pPr>
      <w:r w:rsidRPr="006B7292">
        <w:rPr>
          <w:rStyle w:val="NumeroAFNegritaCaracter"/>
        </w:rPr>
        <w:t>5</w:t>
      </w:r>
      <w:r>
        <w:t>. Mediante escrito presentado el 15 de octubre de 2015, el Procurador don Argimiro Vázquez Guillén, en nombre y representación de don José Luis Calvo Picallo, formuló sus alegaciones, afirmando, en síntesis, que de no acordarse la suspensión, se producirían perjuicios irreparables dado que se trata de una vivienda en que reside la familia del demandante, constituida por la que fue su esposa y sus dos hijos, uno de ellos menor edad, vivienda de la que se verían privados y que, de ser subastada, pasaría a un tercer hipotecario, haciendo perder al amparo su finalidad. De otra parte, aduce, la suspensión no ocasionará perturbación grave a un interés constitucionalmente protegido, ni a los derechos fundamentales o libertades de otra persona.</w:t>
      </w:r>
    </w:p>
    <w:p w:rsidR="006B7292" w:rsidRDefault="006B7292" w:rsidP="006B7292">
      <w:pPr>
        <w:pStyle w:val="TextoNormal"/>
      </w:pPr>
    </w:p>
    <w:p w:rsidR="006B7292" w:rsidRDefault="006B7292" w:rsidP="006B7292">
      <w:pPr>
        <w:pStyle w:val="TextoNormal"/>
      </w:pPr>
      <w:r w:rsidRPr="006B7292">
        <w:rPr>
          <w:rStyle w:val="NumeroAFNegritaCaracter"/>
        </w:rPr>
        <w:t>6</w:t>
      </w:r>
      <w:r>
        <w:t>. El Ministerio Fiscal, en escrito registrado el 16 de octubre de 2015, interesa que se otorgue la suspensión solicitada. Tras exponer los antecedentes del caso, señala el Fiscal, con cita de la doctrina de este Tribunal plasmada en el ATC 37/2014, de 10 de febrero, que la procedencia de la suspensión obedece a que el acreedor hipotecario puede fácilmente consolidar una posición sobre los bienes hipotecados jurídicamente inatacable o de muy difícil y costoso restablecimiento, lo que daría lugar, en el caso de que se otorgase el amparo que se pide, a que el mismo perdiera la finalidad que se pretende con su planteamiento.</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objeto de esta pieza de suspensión consiste en determinar la procedencia o no de la medida cautelar instada por la parte recurrente en amparo y dirigida contra los Autos de 9 de octubre de 2013 y 15 de enero de 2014, dictados por el Juzgado de Primera Instancia núm. 5 de El Ferrol en el juicio de ejecución hipotecaria núm. 228-2011.</w:t>
      </w:r>
    </w:p>
    <w:p w:rsidR="006B7292" w:rsidRDefault="006B7292" w:rsidP="006B7292">
      <w:pPr>
        <w:pStyle w:val="TextoNormal"/>
      </w:pPr>
    </w:p>
    <w:p w:rsidR="006B7292" w:rsidRDefault="006B7292" w:rsidP="006B7292">
      <w:pPr>
        <w:pStyle w:val="TextoNormal"/>
      </w:pPr>
      <w:r w:rsidRPr="006B7292">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6B7292" w:rsidRDefault="006B7292" w:rsidP="006B7292">
      <w:pPr>
        <w:pStyle w:val="TextoNormal"/>
      </w:pPr>
    </w:p>
    <w:p w:rsidR="006B7292" w:rsidRDefault="006B7292" w:rsidP="006B7292">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w:t>
      </w:r>
    </w:p>
    <w:p w:rsidR="006B7292" w:rsidRDefault="006B7292" w:rsidP="006B7292">
      <w:pPr>
        <w:pStyle w:val="TextoNormal"/>
      </w:pPr>
    </w:p>
    <w:p w:rsidR="006B7292" w:rsidRDefault="006B7292" w:rsidP="006B7292">
      <w:pPr>
        <w:pStyle w:val="TextoNormal"/>
      </w:pPr>
      <w:r>
        <w:t>Por ello, la regla general es la improcedencia de la suspensión de las resoluciones judiciales, por la perturbación de la función jurisdiccional que la misma supone, salvo en los casos en los que se acredite tanto el carácter irreparable del perjuicio para los derechos fundamentales, como la pérdida de la finalidad del amparo en caso de mantenerse la ejecución de la resolución (por todos, AATC 40/2008, de 11 de febrero; 59/2008, de 20 de febrero; 2/2009, de 12 de enero. y 12/2009, de 26 de enero).</w:t>
      </w:r>
    </w:p>
    <w:p w:rsidR="006B7292" w:rsidRDefault="006B7292" w:rsidP="006B7292">
      <w:pPr>
        <w:pStyle w:val="TextoNormal"/>
      </w:pPr>
    </w:p>
    <w:p w:rsidR="006B7292" w:rsidRDefault="006B7292" w:rsidP="006B7292">
      <w:pPr>
        <w:pStyle w:val="TextoNormal"/>
      </w:pPr>
      <w:r>
        <w:t>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(entre los últimos, AATC 44/2008, de 11 de febrero, FJ 1; 59/2008, de 20 de febrero, FJ 1; 67/2008, de 25 de febrero, FJ 1; 109/2008, de 14 de abril, FJ 1; 111/2008, de 14 de abril, FJ 1; 118/2008, de 28 de abril, FJ 1, y 172/2008, de 23 de junio, FJ 1).</w:t>
      </w:r>
    </w:p>
    <w:p w:rsidR="006B7292" w:rsidRDefault="006B7292" w:rsidP="006B7292">
      <w:pPr>
        <w:pStyle w:val="TextoNormal"/>
      </w:pPr>
    </w:p>
    <w:p w:rsidR="006B7292" w:rsidRDefault="006B7292" w:rsidP="006B7292">
      <w:pPr>
        <w:pStyle w:val="TextoNormal"/>
      </w:pPr>
      <w:r>
        <w:t>También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(por todos, AATC 251/2000, de 30 de octubre, FJ 1; 63/2001, de 26 de marzo, FJ 1; 170/2001, de 22 de junio, FJ 1; 9/2003, de 20 de enero, FJ 1; 338/2005, de 26 de septiembre, FJ 1; 286/2007, de 18 de junio, FJ 1, y 233/2008, de 21 de julio, FJ 1).</w:t>
      </w:r>
    </w:p>
    <w:p w:rsidR="006B7292" w:rsidRDefault="006B7292" w:rsidP="006B7292">
      <w:pPr>
        <w:pStyle w:val="TextoNormal"/>
      </w:pPr>
    </w:p>
    <w:p w:rsidR="006B7292" w:rsidRDefault="006B7292" w:rsidP="006B7292">
      <w:pPr>
        <w:pStyle w:val="TextoNormal"/>
      </w:pPr>
      <w:r>
        <w:t>Sólo hemos accedido a la suspensión en aquellos supuestos en los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de 2 de julio, FJ único, y 52/1989, de 30 de enero, FJ único).</w:t>
      </w:r>
    </w:p>
    <w:p w:rsidR="006B7292" w:rsidRDefault="006B7292" w:rsidP="006B7292">
      <w:pPr>
        <w:pStyle w:val="TextoNormal"/>
      </w:pPr>
    </w:p>
    <w:p w:rsidR="006B7292" w:rsidRDefault="006B7292" w:rsidP="006B7292">
      <w:pPr>
        <w:pStyle w:val="TextoNormal"/>
      </w:pPr>
      <w:r w:rsidRPr="006B7292">
        <w:rPr>
          <w:rStyle w:val="NumeroAFNegritaCaracter"/>
        </w:rPr>
        <w:t>3</w:t>
      </w:r>
      <w:r>
        <w:t>. La aplicación de la doctrina jurisprudencial de este Tribunal conduce a considerar que, en el presente caso, se solicita la suspensión del procedimiento de ejecución hipotecaria núm. 228-2011, seguido ante el Juzgado de Primera Instancia núm. 5 de El Ferrol, para evitar que se lleve a cabo la venta en pública subasta de la finca hipotecada, alegando el actor que, de ejecutarse dicha venta, no podría recuperar el inmueble, a pesar de que se le otorgara en su día el amparo solicitado. Aduce, además, que el procedimiento de ejecución hipotecaria se sigue contra la vivienda en que reside la familia del demandante, constituida por la que fue su esposa y sus dos hijos, uno de ellos menor de edad; y acompaña copia de sentencia de divorcio y convenio regulador en que se atribuye el uso de la vivienda familiar ubicada en Mourente núm. 12 en A Capela a los hijos y a la esposa, así como certificado de empadronamiento.</w:t>
      </w:r>
    </w:p>
    <w:p w:rsidR="006B7292" w:rsidRDefault="006B7292" w:rsidP="006B7292">
      <w:pPr>
        <w:pStyle w:val="TextoNormal"/>
      </w:pPr>
    </w:p>
    <w:p w:rsidR="006B7292" w:rsidRDefault="006B7292" w:rsidP="006B7292">
      <w:pPr>
        <w:pStyle w:val="TextoNormal"/>
      </w:pPr>
      <w:r>
        <w:t>A la vista de esta solicitud, interesa subrayar que una consolidada doctrina constitucional, de la que son buena muestra, entre otros muchos, los AATC 220/2008, de 14 de julio, FJ 2; y 64/2009, de 23 de febrero, FJ 2, citados por el Ministerio Fiscal, o los más recientes AATC 56/2013, de 13 de febrero, FJ 2; 74/2013, de 8 de abril, FJ 2; 152/2013, de 8 de julio, FJ 2, y 37/2014,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6B7292" w:rsidRDefault="006B7292" w:rsidP="006B7292">
      <w:pPr>
        <w:pStyle w:val="TextoNormal"/>
      </w:pPr>
    </w:p>
    <w:p w:rsidR="006B7292" w:rsidRDefault="006B7292" w:rsidP="006B7292">
      <w:pPr>
        <w:pStyle w:val="TextoNormal"/>
      </w:pPr>
      <w:r w:rsidRPr="006B7292">
        <w:rPr>
          <w:rStyle w:val="NumeroAFNegritaCaracter"/>
        </w:rPr>
        <w:t>4</w:t>
      </w:r>
      <w:r>
        <w:t>. El análisis de dicha doctrina, y las circunstancias del caso permiten concluir reconociendo la procedencia de adoptar la medida cautelar solicitada, ya que, en otro caso, se podría materializar la transmisión del dominio del inmueble en cuestión si fuera subastado, creando una situación difícilmente reversible que haría perder la finalidad al presente recurso de amparo.</w:t>
      </w:r>
    </w:p>
    <w:p w:rsidR="006B7292" w:rsidRDefault="006B7292" w:rsidP="006B7292">
      <w:pPr>
        <w:pStyle w:val="TextoNormal"/>
      </w:pPr>
    </w:p>
    <w:p w:rsidR="006B7292" w:rsidRDefault="006B7292" w:rsidP="006B7292">
      <w:pPr>
        <w:pStyle w:val="TextoNormal"/>
      </w:pPr>
      <w:r>
        <w:t>Además, no se percibe en este momento procesal que la suspensión de la ejecución pueda entrañar una perturbación grave de los intereses generales o de los derechos fundamentales y libertades públicas de un tercero.</w:t>
      </w:r>
    </w:p>
    <w:p w:rsidR="006B7292" w:rsidRDefault="006B7292" w:rsidP="006B7292">
      <w:pPr>
        <w:pStyle w:val="TextoNormal"/>
      </w:pPr>
    </w:p>
    <w:p w:rsidR="006B7292" w:rsidRDefault="006B7292" w:rsidP="006B7292">
      <w:pPr>
        <w:pStyle w:val="TextoNormal"/>
      </w:pPr>
      <w:r>
        <w:t>Por todo lo expuesto, la Sala</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Suspender la ejecución de los Autos del Juzgado de Primera Instancia núm. 5 de Ferrol de 9 de octubre de 2013 y 15 de enero de 2014, recaídos en el procedimiento de ejecución hipotecaria núm. 228-2011.</w:t>
      </w:r>
    </w:p>
    <w:p w:rsidR="006B7292" w:rsidRDefault="006B7292" w:rsidP="006B7292">
      <w:pPr>
        <w:pStyle w:val="TextoNormal"/>
      </w:pPr>
    </w:p>
    <w:p w:rsidR="006B7292" w:rsidRDefault="006B7292" w:rsidP="006B7292">
      <w:pPr>
        <w:pStyle w:val="TextoNormal"/>
      </w:pPr>
      <w:r>
        <w:t>Madrid, a dos de noviembre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93" w:name="AUTO_2015_179"/>
      <w:r>
        <w:t>AUTO 179/2015, de 2 de noviembre de 2015</w:t>
      </w:r>
    </w:p>
    <w:bookmarkEnd w:id="193"/>
    <w:p w:rsidR="006B7292" w:rsidRDefault="006B7292" w:rsidP="006B7292">
      <w:pPr>
        <w:pStyle w:val="TtuloResolucin"/>
      </w:pPr>
      <w:r>
        <w:t>Sala Primera</w:t>
      </w:r>
    </w:p>
    <w:p w:rsidR="006B7292" w:rsidRDefault="006B7292" w:rsidP="006B7292">
      <w:pPr>
        <w:pStyle w:val="TextoNormalCentrado"/>
      </w:pPr>
      <w:r>
        <w:t>ECLI:ES:TC:2015:179A</w:t>
      </w:r>
    </w:p>
    <w:p w:rsidR="006B7292" w:rsidRDefault="006B7292" w:rsidP="006B7292">
      <w:pPr>
        <w:pStyle w:val="TextoNormalCentrado"/>
      </w:pPr>
    </w:p>
    <w:p w:rsidR="006B7292" w:rsidRDefault="006B7292" w:rsidP="006B7292">
      <w:pPr>
        <w:pStyle w:val="SntesisDescriptiva"/>
      </w:pPr>
      <w:r>
        <w:t>Excms. Srs. don Francisco Pérez de los Cobos Orihuel, doña Encarnación Roca Trías, don Andrés Ollero Tassara, don Santiago Martínez-Vares García y don Juan Antonio Xiol Ríos.</w:t>
      </w:r>
    </w:p>
    <w:p w:rsidR="006B7292" w:rsidRDefault="006B7292" w:rsidP="006B7292">
      <w:pPr>
        <w:pStyle w:val="SntesisDescriptiva"/>
      </w:pPr>
    </w:p>
    <w:p w:rsidR="006B7292" w:rsidRDefault="006B7292" w:rsidP="006B7292">
      <w:pPr>
        <w:pStyle w:val="SntesisDescriptiva"/>
      </w:pPr>
      <w:r>
        <w:t>Acuerda la suspensión en el recurso de amparo 6312-2014, promovido por doña R. C. M. Segura en pleito civil.</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xml:space="preserve">. Mediante escrito presentado en el Registro General de este Tribunal el día 21 de octubre de 2014, la Procuradora de los Tribunales doña María Amparo Alonso León, en nombre y representación de doña R. C. M. Segura, interpuso recurso de amparo contra el Auto de 9 de enero de 2014 del Juzgado de Primera Instancia núm. 16 de Granada, que acordó no admitir a trámite el incidente de nulidad de actuaciones por ella promovido en el procedimiento de oposición de medidas de menores (núm. 1634-2013), que la actora había interpuesto con la finalidad de que se ejecutara la Sentencia del Tribunal Europeo de Derechos Humanos, de 18 de junio de 2013 (caso </w:t>
      </w:r>
      <w:r w:rsidRPr="006B7292">
        <w:rPr>
          <w:i/>
        </w:rPr>
        <w:t>RMS c. España</w:t>
      </w:r>
      <w:r>
        <w:t>), que declaró que España había vulnerado su derecho a la vida familiar (art. 8 del Convenio europeo para la protección de los derechos humanos y de las libertades fundamentales: CEDH), por cuanto las autoridades españolas no habían desplegado los esfuerzos adecuados y suficientes para proteger su derecho a vivir con su hija menor.</w:t>
      </w:r>
    </w:p>
    <w:p w:rsidR="006B7292" w:rsidRDefault="006B7292" w:rsidP="006B7292">
      <w:pPr>
        <w:pStyle w:val="TextoNormal"/>
      </w:pPr>
    </w:p>
    <w:p w:rsidR="006B7292" w:rsidRDefault="006B7292" w:rsidP="006B7292">
      <w:pPr>
        <w:pStyle w:val="TextoNormal"/>
      </w:pPr>
      <w:r w:rsidRPr="006B7292">
        <w:rPr>
          <w:rStyle w:val="NumeroAFNegritaCaracter"/>
        </w:rPr>
        <w:t>2</w:t>
      </w:r>
      <w:r>
        <w:t>. La demandante de amparo considera que la resolución recurrida ha vulnerado su derecho a un proceso con todas la garantías (art. 24. 2 CE) y a la tutela judicial efectiva (art. 24 CE) en relación con el derecho a la integridad física y moral de la menor (art. 15 CE). Según se expone en el escrito de demanda, la hija menor de la demandante fue declarada en situación de desamparo provisional por la Junta de Andalucía y entregada en acogimiento familiar por resolución de 14 de febrero de 2007. Tal decisión, posteriormente fue confirmada por del el Juzgado de Primera Instancia núm. 16 de Granada en virtud de sentencia, de fecha de 4 de septiembre de 2009, cuya apelación fue desestimada por otra de 18 de junio de 2010 de la Audiencia Provincial de Granada.</w:t>
      </w:r>
    </w:p>
    <w:p w:rsidR="006B7292" w:rsidRDefault="006B7292" w:rsidP="006B7292">
      <w:pPr>
        <w:pStyle w:val="TextoNormal"/>
      </w:pPr>
    </w:p>
    <w:p w:rsidR="006B7292" w:rsidRDefault="006B7292" w:rsidP="006B7292">
      <w:pPr>
        <w:pStyle w:val="TextoNormal"/>
      </w:pPr>
      <w:r>
        <w:t xml:space="preserve">Interpuesto por la actora recurso de amparo, este Tribunal Constitucional lo inadmitió por providencia de 3 de noviembre de 2011. Ante esta situación, la Sra. Mba Segura interpuso demanda ante el Tribunal Europeo de Derechos Humanos, que estimándola, dictó Sentencia en fecha de 18 de junio de 2013 (caso </w:t>
      </w:r>
      <w:r w:rsidRPr="006B7292">
        <w:rPr>
          <w:i/>
        </w:rPr>
        <w:t>R.M.S. contra España</w:t>
      </w:r>
      <w:r>
        <w:t>), declarando que España había vulnerado el derecho a la vida familiar de la actora, por cuanto las autoridades españolas no habían desplegado los esfuerzos adecuados y suficientes para hacer respetar su derecho a vivir con su hija (art. 8 CEDH).</w:t>
      </w:r>
    </w:p>
    <w:p w:rsidR="006B7292" w:rsidRDefault="006B7292" w:rsidP="006B7292">
      <w:pPr>
        <w:pStyle w:val="TextoNormal"/>
      </w:pPr>
    </w:p>
    <w:p w:rsidR="006B7292" w:rsidRDefault="006B7292" w:rsidP="006B7292">
      <w:pPr>
        <w:pStyle w:val="TextoNormal"/>
      </w:pPr>
      <w:r>
        <w:t>Para hacer efectiva la Sentencia, la Sra. Mba Segura instó, ante el Juzgado de Primera Instancia núm. 16 de Granada incidente extraordinario de nulidad de actuaciones), que fue inadmitido por Auto de 9 de enero de 2014. Para llegar a esta fallo afirma el órgano judicial que “no se dan los requisitos previstos en el mencionado art. 241 LOPJ para la apertura del interesado incidente de nulidad de actuaciones”. Recurrido en apelación, Sección quinta de la Audiencia Provincial, en fecha de 3 de septiembre de 2014, confirmando el Auto de inadmisión. Para la Audiencia provincial “de conformidad con lo preceptuado en los arts. 238-1, párrafo 31, de la Ley 1/2000, de enjuiciamiento Civil, contra la resolución por la que se inadmita a trámite el incidente no cabrá recurso alguno. Todo lo cual conduce a declarar procedente la inadmisión del recurso”.</w:t>
      </w:r>
    </w:p>
    <w:p w:rsidR="006B7292" w:rsidRDefault="006B7292" w:rsidP="006B7292">
      <w:pPr>
        <w:pStyle w:val="TextoNormal"/>
      </w:pPr>
    </w:p>
    <w:p w:rsidR="006B7292" w:rsidRDefault="006B7292" w:rsidP="006B7292">
      <w:pPr>
        <w:pStyle w:val="TextoNormal"/>
      </w:pPr>
      <w:r>
        <w:t>Hay que subrayar ahora que, paralelamente a este procedimiento, se ha venido siguiendo ante el mismo órgano judicial, el proceso de adopción de la hija menor de la demandante por su familia de acogida (autos núm. 599-2011), a lo que la Sra. Mba Segura se ha opuesto en tiempo y forma. La vista estaba señalada para el día 27 de noviembre de 2014, si bien en el momento de dictarse esta resolución no se ha celebrado por hallarse suspendida.</w:t>
      </w:r>
    </w:p>
    <w:p w:rsidR="006B7292" w:rsidRDefault="006B7292" w:rsidP="006B7292">
      <w:pPr>
        <w:pStyle w:val="TextoNormal"/>
      </w:pPr>
    </w:p>
    <w:p w:rsidR="006B7292" w:rsidRDefault="006B7292" w:rsidP="006B7292">
      <w:pPr>
        <w:pStyle w:val="TextoNormal"/>
      </w:pPr>
      <w:r>
        <w:t>En la demanda de amparo, la Sra. Mba afirma que las resoluciones judiciales citadas han vulnerado su derecho a un proceso con todas las garantías (art. 24.2 CE), ya que no han permitido la reapertura de un procedimiento interno que, según ha constatado el Tribunal Europeo de Derechos Humanos, ha dado lugar a la vulneración de un derecho fundamental. Asimismo alega la vulneración del derecho a la tutela judicial efectiva (art. 24.1 CE) por falta de motivación del Auto de inadmisión del incidente extraordinario de nulidad de actuaciones, y porque no se ha interpretado el derecho a la integridad física y moral de la menor (art. 15 CE) en el sentido indicado en la Sentencia del Tribunal Europeo de Derechos Humanos al analizar el art. 8 CEDH (derecho al respeto a la vida privada y familiar), lo que supone, a su vez, la vulneración del art. 10.2 CE.</w:t>
      </w:r>
    </w:p>
    <w:p w:rsidR="006B7292" w:rsidRDefault="006B7292" w:rsidP="006B7292">
      <w:pPr>
        <w:pStyle w:val="TextoNormal"/>
      </w:pPr>
    </w:p>
    <w:p w:rsidR="006B7292" w:rsidRDefault="006B7292" w:rsidP="006B7292">
      <w:pPr>
        <w:pStyle w:val="TextoNormal"/>
      </w:pPr>
      <w:r>
        <w:t>Por todo ello, y con invocación de la doctrina de este Tribunal, solicita como medida cautelar urgente la suspensión del juicio señalado en el procedimiento sobre oposición a la adopción, seguido bajo el número de autos 1153-2013, a instancias de la Consejería de Salud y Bienestar social de la Junta de Andalucía, así como que se libre oficio al punto de encuentro familiar, al objeto de fijar un régimen de visitas entre la menor y su madre, pudiendo ser ampliado a otros familiares cercanos, tales como la abuela materna y hermanos. Fundamenta su solicitud en el hecho de que de permitirse que el procedimiento de adopción prosiga su curso, el amparo perdería su finalidad y se generarían graves e irreparables perjuicios tanto para su hija menor como para ella, siendo como es un deber de todas las Administraciones velar por el establecimiento de un adecuado régimen de relaciones familiares y de programas de reintegración familiar.</w:t>
      </w:r>
    </w:p>
    <w:p w:rsidR="006B7292" w:rsidRDefault="006B7292" w:rsidP="006B7292">
      <w:pPr>
        <w:pStyle w:val="TextoNormal"/>
      </w:pPr>
    </w:p>
    <w:p w:rsidR="006B7292" w:rsidRDefault="006B7292" w:rsidP="006B7292">
      <w:pPr>
        <w:pStyle w:val="TextoNormal"/>
      </w:pPr>
      <w:r w:rsidRPr="006B7292">
        <w:rPr>
          <w:rStyle w:val="NumeroAFNegritaCaracter"/>
        </w:rPr>
        <w:t>3</w:t>
      </w:r>
      <w:r>
        <w:t>. Mediante providencia de 21 de septiembre de 2015, la Sala Primera acordó admitir a trámite el recurso de amparo, apreciando que concurre una especial trascendencia constitucional (art. 50.1 de la Ley Orgánica del Tribunal Constitucional: LOTC), dado que el recurso plantea un problema o afecta a una faceta de un derecho fundamental sobre el que no hay doctrina de este Tribunal [STC 155/2009, de 25 de junio, FJ 2 a)]. De conformidad con lo previsto en el art. 11.2 LOTC, y en aplicación del art. 51 LOTC se requiera al Juzgado de Primera Instancia núm. 16 de Granada a fin de que, en plazo que no exceda de diez días, remita certificación o copia adverada de las actuaciones correspondientes al procedimiento de oposición de medidas en protección de menores núm. 1634-2013; debiendo previamente emplazarse a quienes hubieran sido parte en el procedimiento para que en el plazo de diez días puedan comparecer en el recurso de amparo, si así lo desean, salvo la parte recurrente en amparo. En providencia de esa misma fecha, la Sala Primera acordó formar la oportuna pieza separada de suspensión y, de conformidad con lo dispuesto en el art. 56 LOTC, otorgar un plazo común de tres días a la demandante de amparo y al Ministerio Fiscal para formular las alegaciones que tuvieran por conveniente sobre la suspensión interesada.</w:t>
      </w:r>
    </w:p>
    <w:p w:rsidR="006B7292" w:rsidRDefault="006B7292" w:rsidP="006B7292">
      <w:pPr>
        <w:pStyle w:val="TextoNormal"/>
      </w:pPr>
    </w:p>
    <w:p w:rsidR="006B7292" w:rsidRDefault="006B7292" w:rsidP="006B7292">
      <w:pPr>
        <w:pStyle w:val="TextoNormal"/>
      </w:pPr>
      <w:r w:rsidRPr="006B7292">
        <w:rPr>
          <w:rStyle w:val="NumeroAFNegritaCaracter"/>
        </w:rPr>
        <w:t>4</w:t>
      </w:r>
      <w:r>
        <w:t>. La representación de la recurrente presentó escrito de alegaciones con fecha 29 de septiembre de 2015, en el que reproduce, en síntesis, las alegaciones formuladas en su demanda, si bien añade que el procedimiento de adopción de su hija menor se encuentra actualmente en suspenso, a causa de un accidente sufrido por la demandante de amparo, que le impide asistir a dicho acto al estar a la espera de tratamiento y rehabilitación en el hospital de parapléjicos de Toledo. Por idéntico motivo, está también en suspenso la vista señalada para la pieza de medidas cautelares núm. 1634-2013, en la que se solicitaba por la demandante de amparo la fijación de un régimen de visitas. Se aporta con el escrito de alegaciones copia de la diligencia de ordenación dictada por el Juzgado de Primera Instancia núm. 16 de Granada, de fecha de 30 de abril de 2015, por la que se acuerda la suspensión del proceso de oposición a la adopción instada por la Junta de Andalucía, hasta tanto la promotora de este procedimiento de amparo solicite su continuación.</w:t>
      </w:r>
    </w:p>
    <w:p w:rsidR="006B7292" w:rsidRDefault="006B7292" w:rsidP="006B7292">
      <w:pPr>
        <w:pStyle w:val="TextoNormal"/>
      </w:pPr>
    </w:p>
    <w:p w:rsidR="006B7292" w:rsidRDefault="006B7292" w:rsidP="006B7292">
      <w:pPr>
        <w:pStyle w:val="TextoNormal"/>
      </w:pPr>
      <w:r>
        <w:t>Por este motivo, urge a que la suspensión solicitada en la demanda de amparo se acuerde, pues de nada serviría la estimación del presente recurso si en el ínterin se otorga la adopción de la menor, que impediría definitivamente el restablecimiento de las medidas materno-filiales.</w:t>
      </w:r>
    </w:p>
    <w:p w:rsidR="006B7292" w:rsidRDefault="006B7292" w:rsidP="006B7292">
      <w:pPr>
        <w:pStyle w:val="TextoNormal"/>
      </w:pPr>
    </w:p>
    <w:p w:rsidR="006B7292" w:rsidRDefault="006B7292" w:rsidP="006B7292">
      <w:pPr>
        <w:pStyle w:val="TextoNormal"/>
      </w:pPr>
      <w:r w:rsidRPr="006B7292">
        <w:rPr>
          <w:rStyle w:val="NumeroAFNegritaCaracter"/>
        </w:rPr>
        <w:t>5</w:t>
      </w:r>
      <w:r>
        <w:t>. El Ministerio Fiscal, en escrito registrado el 6 de octubre de 2015, interesa la denegación de la medida cautelar de suspensión solicitada.</w:t>
      </w:r>
    </w:p>
    <w:p w:rsidR="006B7292" w:rsidRDefault="006B7292" w:rsidP="006B7292">
      <w:pPr>
        <w:pStyle w:val="TextoNormal"/>
      </w:pPr>
    </w:p>
    <w:p w:rsidR="006B7292" w:rsidRDefault="006B7292" w:rsidP="006B7292">
      <w:pPr>
        <w:pStyle w:val="TextoNormal"/>
      </w:pPr>
      <w:r>
        <w:t>Inicia sus consideraciones indagando cuáles puedan ser los propósitos de la recurrente al haber dirigido la petición de suspensión al Juzgado de Primera Instancia núm. 16 de Granada y no al Tribunal Constitucional, aunque reconoce que pudiera tratarse de un simple error. Sin embargo, subraya que si lo que se pretende es suspender la vista sobre la adopción de la menor, señalada para el 27 de noviembre de 2014, actualmente tal solicitud ha perdido virtualidad, por no haberse celebrado. A mayor abundamiento, recuerda que, en el presente caso, la suspensión que se pretende afecta a dos procedimientos judiciales distintos, seguidos ante el mismo Juzgado, pero estrechamente conectados: el relativo a la adopción de la menor (núm. 1153-2013) y el relativo al acogimiento de la misma (núm. 1624-2013), siendo respecto a éste último, por el que recayó la Sentencia condenatoria del Tribunal Europeo de Derechos Humanos. En definitiva, para el Ministerio público debe entenderse que no procede plantearse la petición de suspensión, ya sea por estar incorrectamente planteada, ya por ser irrelevante en el momento actual.</w:t>
      </w:r>
    </w:p>
    <w:p w:rsidR="006B7292" w:rsidRDefault="006B7292" w:rsidP="006B7292">
      <w:pPr>
        <w:pStyle w:val="TextoNormal"/>
      </w:pPr>
    </w:p>
    <w:p w:rsidR="006B7292" w:rsidRDefault="006B7292" w:rsidP="006B7292">
      <w:pPr>
        <w:pStyle w:val="TextoNormal"/>
      </w:pPr>
      <w:r>
        <w:t xml:space="preserve">A pesar de los argumentos anteriores, el Fiscal realiza la concesión de que pudiera pensarse que, aunque se trate de distintos procedimientos, dado que se encuentran en íntima conexión, una posible declaración de nulidad del acogimiento temporal de la menor (en ejecución de la Sentencia del Tribunal Europeo de Derechos Humanos, caso </w:t>
      </w:r>
      <w:r w:rsidRPr="006B7292">
        <w:rPr>
          <w:i/>
        </w:rPr>
        <w:t>RMS c. España</w:t>
      </w:r>
      <w:r>
        <w:t>, de 18 de junio de 2013) vincularía necesariamente la decisión en el procedimiento de adopción. Por todo ello, cabría entender que la petición de suspensión solicitada por la madre se refiere al entero proceso de adopción y no sólo al concreto acto de la vista sobre su oposición a tal medida.</w:t>
      </w:r>
    </w:p>
    <w:p w:rsidR="006B7292" w:rsidRDefault="006B7292" w:rsidP="006B7292">
      <w:pPr>
        <w:pStyle w:val="TextoNormal"/>
      </w:pPr>
    </w:p>
    <w:p w:rsidR="006B7292" w:rsidRDefault="006B7292" w:rsidP="006B7292">
      <w:pPr>
        <w:pStyle w:val="TextoNormal"/>
      </w:pPr>
      <w:r>
        <w:t>Pues bien, tras llevar a cabo un análisis de la doctrina de este Tribunal sobre la suspensión de la ejecución del acto recurrido en amparo, en virtud de lo previsto en el art. 56.2 LOTC, el Ministerio Fiscal entiende que en este caso no es posible saber en estos momentos cuál es el destino del procedimiento cuya suspensión se solicita, “siendo perfectamente imaginable que haya recaído resolución, por lo tanto no constando en absoluto que a la recurrente en amparo se le hayan limitado sus posibilidades de tutela judicial en el procedimiento”, teniendo en cuenta, por otra parte, que la estabilidad emocional del niño “no se va a ver afectada porque se produzca o no la suspensión, pues en nada variará eso su estatus vital, ya que seguirá viviendo en el mismo entorno”. Razones que le llevan a solicitar, como se ha indicado, la denegación de la suspensión interesada.</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art. 56.2 de la Ley Orgánica del Tribunal Constitucional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6B7292" w:rsidRDefault="006B7292" w:rsidP="006B7292">
      <w:pPr>
        <w:pStyle w:val="TextoNormal"/>
      </w:pPr>
    </w:p>
    <w:p w:rsidR="006B7292" w:rsidRDefault="006B7292" w:rsidP="006B7292">
      <w:pPr>
        <w:pStyle w:val="TextoNormal"/>
      </w:pPr>
      <w:r w:rsidRPr="006B7292">
        <w:rPr>
          <w:rStyle w:val="NumeroAFNegritaCaracter"/>
        </w:rPr>
        <w:t>2</w:t>
      </w:r>
      <w:r>
        <w:t>. De acuerdo con la doctrina reiterada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muchos, AATC 2/2001, de 15 de enero, FJ 1; 4/2006, de 16 de enero, FJ 1, y 127/2010, de 4 de octubre, FJ 1). En principio, pues, no procede la suspensión de las resoluciones judiciales por la perturbación de la función jurisdiccional que la misma supone, excepto si el recurrente acredita suficientemente la irreparabilidad que para sus derechos fundamentales pudiera tener la ejecución, privando al amparo de su finalidad; igualmente que la suspensión no produzca las perturbaciones graves a las que se refiere el art. 56.2 LOTC.</w:t>
      </w:r>
    </w:p>
    <w:p w:rsidR="006B7292" w:rsidRDefault="006B7292" w:rsidP="006B7292">
      <w:pPr>
        <w:pStyle w:val="TextoNormal"/>
      </w:pPr>
    </w:p>
    <w:p w:rsidR="006B7292" w:rsidRDefault="006B7292" w:rsidP="006B7292">
      <w:pPr>
        <w:pStyle w:val="TextoNormal"/>
      </w:pPr>
      <w:r>
        <w:t>En este sentido, por perjuicio irreparable ha de entenderse aquel que provoque que el restablecimiento del recurrente en el derecho constitucional vulnerado sea tardío y convierta el amparo en meramente ilusorio y nominal (por todos, ATC 212/2009, de 9 de julio, FJ 1).</w:t>
      </w:r>
    </w:p>
    <w:p w:rsidR="006B7292" w:rsidRDefault="006B7292" w:rsidP="006B7292">
      <w:pPr>
        <w:pStyle w:val="TextoNormal"/>
      </w:pPr>
    </w:p>
    <w:p w:rsidR="006B7292" w:rsidRDefault="006B7292" w:rsidP="006B7292">
      <w:pPr>
        <w:pStyle w:val="TextoNormal"/>
      </w:pPr>
      <w:r>
        <w:t>Por ese motivo no accede este Tribunal, por regla general, a la solicitud de suspensión de resoluciones que imponen obligaciones de pago de cantidad o, en general, de contenido económico o patrimonial, pues la lesión que de ellas se deriva es normalmente reparable (AATC 18/2001, de 29 de enero, FJ 1; 106/2001, de 7 de mayo, FJ 2; 120/2001, de 8 de mayo, FJ 2, y 161/2001, de 18 de junio, FJ 2; entre otros muchos).</w:t>
      </w:r>
    </w:p>
    <w:p w:rsidR="006B7292" w:rsidRDefault="006B7292" w:rsidP="006B7292">
      <w:pPr>
        <w:pStyle w:val="TextoNormal"/>
      </w:pPr>
    </w:p>
    <w:p w:rsidR="006B7292" w:rsidRDefault="006B7292" w:rsidP="006B7292">
      <w:pPr>
        <w:pStyle w:val="TextoNormal"/>
      </w:pPr>
      <w:r>
        <w:t>El mismo art. 56.1 LOTC, después de establecer esta regla, remite a un juicio motivado de ponderación en el que hay que confrontar, de un lado, el perjuicio que se causa al recurrente como consecuencia de la eficacia de la resolución recurrida y, de otro, el perjuicio que causa al interés público o a terceros la suspensión de la ejecución de aquélla. Por ello, con relación a los casos en que puedan resultar afectados los intereses de un menor, con arreglo a la doctrina de este Tribunal, “la ponderación de intereses en juego para decidir acerca del otorgamiento o denegación de la suspensión instada debe ser extremadamente cuidadosa y subordinada en todo caso a la protección jurídica de la persona y de los derechos de personalidad de los menores afectados”, resultando a veces “que la protección de los derechos e intereses de los menores queda de momento mejor garantizada por el mantenimiento y la no alteración de su ámbito afectivo y de convivencia actual durante la tramitación del recurso de amparo”, ya que los sucesivos cambios de su entorno afectivo y de convivencia podrían causarles graves perjuicios en su personalidad en formación (AATC 21/2002, de 25 de febrero, FJ 3; 148/2002, de 23 de julio, FJ 3; 273/2003, de 22 de julio, FJ 3; 198/2004, de 26 de mayo, FJ 1, y 108/2005, de 14 de marzo, FJ 1).</w:t>
      </w:r>
    </w:p>
    <w:p w:rsidR="006B7292" w:rsidRDefault="006B7292" w:rsidP="006B7292">
      <w:pPr>
        <w:pStyle w:val="TextoNormal"/>
      </w:pPr>
    </w:p>
    <w:p w:rsidR="006B7292" w:rsidRDefault="006B7292" w:rsidP="006B7292">
      <w:pPr>
        <w:pStyle w:val="TextoNormal"/>
      </w:pPr>
      <w:r w:rsidRPr="006B7292">
        <w:rPr>
          <w:rStyle w:val="NumeroAFNegritaCaracter"/>
        </w:rPr>
        <w:t>3</w:t>
      </w:r>
      <w:r>
        <w:t xml:space="preserve">. A la vista de las circunstancias que concurren en este caso hay que advertir, en primer lugar que, en todo caso, la prosecución del procedimiento de adopción de la menor, como pone de manifiesto el Ministerio Fiscal, se encuentra íntimamente ligada a una posible declaración de nulidad del acogimiento temporal de la misma en ejecución de la Sentencia del Tribunal Europeo de Derechos Humanos, de 18 de junio de 2013 (caso </w:t>
      </w:r>
      <w:r w:rsidRPr="006B7292">
        <w:rPr>
          <w:i/>
        </w:rPr>
        <w:t>RMS c. España</w:t>
      </w:r>
      <w:r>
        <w:t>), que ha declarado lisa y llanamente que “el TEDH estima que las Autoridades administrativas españoles hubieran debido contemplar otras medidas menos radicales que la de tomar a su cargo a la niña. El TEDH considera que el papel de las Autoridades de protección social es precisamente el de ayudar a las personas en dificultades que no tengan los conocimientos necesarios del sistema, de guiarlas en sus trámites, y de aconsejarlas, entre otras cosas, sobre los distintos tipos de prestaciones sociales disponibles, sobre las posibilidades de obtener una vivienda social o sobre medios para remontar sus dificultades, tal como la demandante había buscado hacerlo, inicialmente, (párrafo 8 citado anteriormente). Observa por otra parte que tanto el Juez de Primera Instancia núm. 3 de Granada, en su sentencia del 18 de mayo de 2007, como la Audiencia Provincial de Granada, en su sentencia del 27 de junio de 2008, rechazaron tomar en cuenta el cambio de la situación financiera que la demandante pretendía hacer valer para oponerse a la declaración de desamparo de su hija (párrafo 28 citado anteriormente) y se limitaron a confirmar la declaración de desamparo adoptada por la Administración (§ 86)”. Añadiendo que “es así como el tiempo transcurrido, consecuencia de la inercia de la Administración, y la propia inercia de las jurisdicciones internas, que no han estimado irrazonables los motivos dados por la Administración para privar a una madre de su hija fundándose, únicamente, en motivos económicos —la salud mental de la madre, inicialmente esgrimida, no fue objeto de ninguna peritación—, han contribuido, de manera decisiva, a la imposibilidad de cualquier reagrupamiento familiar entre la demandante y su hija. La demandante y su hija se vieron por última vez el 27 de septiembre de 2005, y, desde entonces, la demandante no ha cesado de reclamarla, tanto ante los órganos competentes de la Administración, como ante las jurisdicciones internas (§ 92)”. Para finalizar concluyendo que “habida cuenta de estas consideraciones y no obstante el margen de apreciación del Estado demandado en la materia, el TEDH concluye que las Autoridades españolas no han desplegado los esfuerzos adecuados y suficientes para hacer respetar el derecho de la demandante a vivir con su hija, ignorando así su derecho al respeto de su vida privada y familiar, garantizado por el artículo 8 (§ 93)”.</w:t>
      </w:r>
    </w:p>
    <w:p w:rsidR="006B7292" w:rsidRDefault="006B7292" w:rsidP="006B7292">
      <w:pPr>
        <w:pStyle w:val="TextoNormal"/>
      </w:pPr>
    </w:p>
    <w:p w:rsidR="006B7292" w:rsidRDefault="006B7292" w:rsidP="006B7292">
      <w:pPr>
        <w:pStyle w:val="TextoNormal"/>
      </w:pPr>
      <w:r>
        <w:t xml:space="preserve">En segundo lugar, conviene no olvidar que la demandante nos ha solicitado amparo, a la vista de que el órgano judicial </w:t>
      </w:r>
      <w:r w:rsidRPr="006B7292">
        <w:rPr>
          <w:i/>
        </w:rPr>
        <w:t>a quo</w:t>
      </w:r>
      <w:r>
        <w:t xml:space="preserve"> no ha procedido a ejecutar la Sentencia del Tribunal de Estrasburgo a la que se acaba de hacer referencia, por lo que no se observa un interés inmediato en su cumplimiento. En consecuencia, en el supuesto de no accederse a la suspensión, el Tribunal entiende que la prolongación en el tiempo de esta situación procesal en la que la madre ha visto temporalmente interrumpidas sus relaciones familiares con la menor, haría perder al recurso de amparo su finalidad, pues, en definitiva, este recurso de amparo se halla dirigido a garantizar el arbitrio de cuantas medidas sean necesarias, en cumplimiento de los arts. 18.1 y 39 CE (en relación con el art. 8 del Convenio europeo para la protección de los derechos humanos y de las libertades fundamentales: CEDH), para favorecer el restablecimiento de las relaciones personales y el respeto a la vida familiar, de modo tal que se procure el mantenimiento del vínculo entre la menor y su familia y, si ello fuera beneficioso, su reintegración al núcleo familiar en el momento oportuno.</w:t>
      </w:r>
    </w:p>
    <w:p w:rsidR="006B7292" w:rsidRDefault="006B7292" w:rsidP="006B7292">
      <w:pPr>
        <w:pStyle w:val="TextoNormal"/>
      </w:pPr>
    </w:p>
    <w:p w:rsidR="006B7292" w:rsidRDefault="006B7292" w:rsidP="006B7292">
      <w:pPr>
        <w:pStyle w:val="TextoNormal"/>
      </w:pPr>
      <w:r>
        <w:t>Por otro lado, hemos de decir que la suspensión solicitada, ni perturba gravemente interés general alguno específico distinto al genérico que existe en que las resoluciones judiciales se cumplan en sus justos términos que, en cualquier caso, admite excepciones, ni afecta en este caso, en términos constitucionalmente inaceptables, al derecho de terceros a la ejecución de las resoluciones judiciales (art. 24.1 CE), pues, en todo caso, el interés que puedan tener o las simples expectativas legítimas han de considerarse supeditados al de la menor.</w:t>
      </w:r>
    </w:p>
    <w:p w:rsidR="006B7292" w:rsidRDefault="006B7292" w:rsidP="006B7292">
      <w:pPr>
        <w:pStyle w:val="TextoNormal"/>
      </w:pPr>
    </w:p>
    <w:p w:rsidR="006B7292" w:rsidRDefault="006B7292" w:rsidP="006B7292">
      <w:pPr>
        <w:pStyle w:val="TextoNormal"/>
      </w:pPr>
      <w:r w:rsidRPr="006B7292">
        <w:rPr>
          <w:rStyle w:val="NumeroAFNegritaCaracter"/>
        </w:rPr>
        <w:t>4</w:t>
      </w:r>
      <w:r>
        <w:t>. Igualmente hemos de aclarar que el riesgo real que se derivaría de la falta de suspensión del procedimiento de adopción no radica, en el peligro de que tal medida sea declarada judicialmente, pues, como ya hemos advertido, al estar estrechamente vinculados ambos procedimientos, la nulidad del procedimiento de acogimiento conllevaría irremediablemente el de adopción.</w:t>
      </w:r>
    </w:p>
    <w:p w:rsidR="006B7292" w:rsidRDefault="006B7292" w:rsidP="006B7292">
      <w:pPr>
        <w:pStyle w:val="TextoNormal"/>
      </w:pPr>
    </w:p>
    <w:p w:rsidR="006B7292" w:rsidRDefault="006B7292" w:rsidP="006B7292">
      <w:pPr>
        <w:pStyle w:val="TextoNormal"/>
      </w:pPr>
      <w:r>
        <w:t>A juicio de este Tribunal el riesgo cierto ha de encontrarse en la excesiva prolongación de la falta del necesario contacto entre la menor y su familia, por obra de un procedimiento que se ha alargado en el tiempo más de diez años. En tal sentido, debemos insistir en que en casos como el presente la ponderación de intereses en juego para decidir acerca del otorgamiento o denegación de la suspensión instada debe ser extremadamente cuidadosa y subordinada, en todo caso, a la protección jurídica de la persona y de los derechos de personalidad del menor afectado. Es cierto que en otros casos hemos declarado que la protección de los derechos e intereses de los menores queda en ocasiones mejor garantizada por el mantenimiento y la no alteración de su ámbito afectivo y de convivencia actual durante la tramitación del recurso de amparo, ya que, de accederse a la suspensión y ser desestimada posteriormente la demanda de amparo, los menores se verían obligados, al menos, a cambiar por dos veces su entorno afectivo y de convivencia, lo que podría causarles graves perjuicios en su personalidad en formación, pudiendo resultar irreversible el daño sufrido y su reparación ineficaz y tardía en caso de que el fallo que llegara a recaer en el proceso de amparo fuese estimatorio (ATC 350/1992, de 19 de noviembre; 180/1995, de 19 de junio; 225/1995, de 24 de julio; 254/1995, de 25 de septiembre, y 206/2000, de 18 de diciembre).</w:t>
      </w:r>
    </w:p>
    <w:p w:rsidR="006B7292" w:rsidRDefault="006B7292" w:rsidP="006B7292">
      <w:pPr>
        <w:pStyle w:val="TextoNormal"/>
      </w:pPr>
    </w:p>
    <w:p w:rsidR="006B7292" w:rsidRDefault="006B7292" w:rsidP="006B7292">
      <w:pPr>
        <w:pStyle w:val="TextoNormal"/>
      </w:pPr>
      <w:r>
        <w:t xml:space="preserve">Pero ese criterio de atención preferente a protección y bienestar del menor, que justifica en otros casos nuestro rechazo a la suspensión, no concurre en el presente recurso. En primer lugar, porque la suspensión solicitada recae sobre el procedimiento de adopción de la menor y el de oposición al acogimiento temporal (que lleva siendo efectivo desde hace diez años) y, en consecuencia, no se altera su entorno afectivo y habitual. Por el contrario, en el momento en que este Tribunal ha de pronunciarse sobre la suspensión solicitada, el Juzgado de Primera Instancia núm. 16 de Granada no ha adoptado medida alguna dirigida al cumplimiento de la Sentencia del Tribunal Europeo de Derechos Humanos, así como tampoco ha ponderado si era o no beneficioso para la menor un paulatino y pautado acercamiento a su madre biológica, como es obligado en estos casos. Recordemos, a este respecto, que la decisión de cualquier Administración de tomar un menor a su cargo, separándolo de su familia, debe ser adoptada en principio como una medida temporal, a anular en cuanto las circunstancias se presten a ello, y que todo acto de ejecución debe estar de acuerdo con un fin último: unir de nuevo a los padres biológicos con el niño. Todos los poderes públicos tienen la obligación positiva de tomar medidas para facilitar la reunión de la familia en cuanto sea verdaderamente posible (art. 39 CE), desde el inicio del período en que toman el menor a su cargo y cada vez con más fuerza, lo que debe siempre estar en equilibrio con el deber de considerar el interés superior del menor (en el mismo sentido, STEDH de 12 de julio de 2001, caso </w:t>
      </w:r>
      <w:r w:rsidRPr="006B7292">
        <w:rPr>
          <w:i/>
        </w:rPr>
        <w:t>K. y T. contra Finlandia</w:t>
      </w:r>
      <w:r>
        <w:t xml:space="preserve">; STEDH de 10 de mayo de 2001, caso </w:t>
      </w:r>
      <w:r w:rsidRPr="006B7292">
        <w:rPr>
          <w:i/>
        </w:rPr>
        <w:t>T.P. y K.M. contra Reino Unido</w:t>
      </w:r>
      <w:r>
        <w:t xml:space="preserve">). Se trata de obligaciones de contenido positivo y de actuaciones temporales que deben ser reexaminadas periódicamente para comprobar las posibilidades de reunificación familiar. Es casi una obviedad recordar que tales posibilidades dismuyen progresivamente cuanto menos se permita el contacto entre padres e hijos, o se realizan en tan pocas ocasiones que hace imposible el surgimiento de lo que nace como un vínculo natural (STEDH de 14 de enero de 2003, caso </w:t>
      </w:r>
      <w:r w:rsidRPr="006B7292">
        <w:rPr>
          <w:i/>
        </w:rPr>
        <w:t>K.A. contra Finlandia</w:t>
      </w:r>
      <w:r>
        <w:t>, § 139).</w:t>
      </w:r>
    </w:p>
    <w:p w:rsidR="006B7292" w:rsidRDefault="006B7292" w:rsidP="006B7292">
      <w:pPr>
        <w:pStyle w:val="TextoNormal"/>
      </w:pPr>
    </w:p>
    <w:p w:rsidR="006B7292" w:rsidRDefault="006B7292" w:rsidP="006B7292">
      <w:pPr>
        <w:pStyle w:val="TextoNormal"/>
      </w:pPr>
      <w:r w:rsidRPr="006B7292">
        <w:rPr>
          <w:rStyle w:val="NumeroAFNegritaCaracter"/>
        </w:rPr>
        <w:t>5</w:t>
      </w:r>
      <w:r>
        <w:t>. La conclusión que se alcanza tras todo lo expuesto, es favorable a la pretensión interesada, pues la falta de suspensión del proceso de adopción podría generar un daño irreparable en las relaciones familiares de la menor, como consecuencia de la demora en dotar de efectividad a la STEDH de 18 de junio de 2013 y la prolongada omisión de medidas tendentes a su reintegración en el núcleo familiar natural, afectando directamente a la restauración de las relaciones de afectividad entre madre e hija, interrumpidas desde el año 2005 en contra del art. 8 CEDH, según la Sentencia del Tribunal Europeo de Derechos Humanos.</w:t>
      </w:r>
    </w:p>
    <w:p w:rsidR="006B7292" w:rsidRDefault="006B7292" w:rsidP="006B7292">
      <w:pPr>
        <w:pStyle w:val="TextoNormal"/>
      </w:pPr>
    </w:p>
    <w:p w:rsidR="006B7292" w:rsidRDefault="006B7292" w:rsidP="006B7292">
      <w:pPr>
        <w:pStyle w:val="TextoNormal"/>
      </w:pPr>
      <w:r>
        <w:t>Compartimos con el Tribunal Europeo de Derechos Humanos la valoración de que estamos en presencia de un riesgo irreversible, pues “el tiempo transcurrido, consecuencia de la inercia de la Administración y la propia inercia de las jurisdicciones internas … ha contribuido, de manera decisiva, a la imposibilidad de cualquier reagrupamiento familiar entre la demandante y su hija”, que se ha visto agravado por la negativa del órgano judicial a llevar a efecto la Sentencia del Tribunal Europeo de Derechos Humanos y por seguir tramitando un proceso posterior de adopción a favor de los padres de acogida, en perjuicio del derecho de la demandante.</w:t>
      </w:r>
    </w:p>
    <w:p w:rsidR="006B7292" w:rsidRDefault="006B7292" w:rsidP="006B7292">
      <w:pPr>
        <w:pStyle w:val="TextoNormal"/>
      </w:pPr>
    </w:p>
    <w:p w:rsidR="006B7292" w:rsidRDefault="006B7292" w:rsidP="006B7292">
      <w:pPr>
        <w:pStyle w:val="TextoNormal"/>
      </w:pPr>
      <w:r>
        <w:t>En consecuencia, una vez ponderados los intereses en juego, que son el interés general de que las resoluciones judiciales firmes sean efectivas, por un lado, y el interés general a que el derecho a la vida familiar de la recurrente (arts. 18 y 39 CE), sea restaurado con la mayor celeridad para evitar que la demora pueda afectar irreversiblemente a la recuperación de relaciones afectivas normalizadas entre madre e hija, se debe acceder a la suspensión solicitada.</w:t>
      </w:r>
    </w:p>
    <w:p w:rsidR="006B7292" w:rsidRDefault="006B7292" w:rsidP="006B7292">
      <w:pPr>
        <w:pStyle w:val="TextoNormal"/>
      </w:pPr>
    </w:p>
    <w:p w:rsidR="006B7292" w:rsidRDefault="006B7292" w:rsidP="006B7292">
      <w:pPr>
        <w:pStyle w:val="TextoNormal"/>
      </w:pPr>
      <w:r>
        <w:t>Por último, no huelga recordar que con tal juicio no se está anticipando el sentido del fallo que haya de tener lugar en el recurso de amparo interpuesto, pues —como decíamos en el ATC 206/2000— no se trata ahora de determinar si la resolución judicial objeto de dicho recurso ha vulnerado los derechos aducidos en la demanda de amparo, sino, simplemente, si el posible daño que pudiera generarse por la falta de suspensión, de hacerse efectivo, sería reparable por una sentencia de este Tribunal estimatoria de las pretensiones deducidas en el amparo solicitado. Habiendo concluido, conforme a lo antes razonado, la existencia real de tal riesgo, su imposible reparación en el caso de recaer una sentencia de amparo estimatoria que conllevara la nulidad de la resolución judicial impugnada, unida a la ausencia de perturbación de otros intereses generales de mayor consideración, y no apreciándose menoscabo relevante de los derechos fundamentales o libertades públicas de terceros, ha de acordarse, como se indicaba, la suspensión solicitada.</w:t>
      </w:r>
    </w:p>
    <w:p w:rsidR="006B7292" w:rsidRDefault="006B7292" w:rsidP="006B7292">
      <w:pPr>
        <w:pStyle w:val="TextoNormal"/>
      </w:pPr>
    </w:p>
    <w:p w:rsidR="006B7292" w:rsidRDefault="006B7292" w:rsidP="006B7292">
      <w:pPr>
        <w:pStyle w:val="TextoNormal"/>
      </w:pPr>
      <w:r w:rsidRPr="006B7292">
        <w:rPr>
          <w:rStyle w:val="NumeroAFNegritaCaracter"/>
        </w:rPr>
        <w:t>6</w:t>
      </w:r>
      <w:r>
        <w:t>. Asimismo, en atención a la importancia de los valores e intereses en juego en este caso procede resolver en el plazo más breve posible el presente recurso de amparo, incluso anteponiéndolo en el orden de los señalamientos, una vez concluida su tramitación (AATC 144/1990, de 29 de marzo; 169/1995, de 5 de junio; 246/1996, de 16 de septiembre, y 272/2001, de 29 de octubre, por todos).</w:t>
      </w:r>
    </w:p>
    <w:p w:rsidR="006B7292" w:rsidRDefault="006B7292" w:rsidP="006B7292">
      <w:pPr>
        <w:pStyle w:val="TextoNormal"/>
      </w:pPr>
    </w:p>
    <w:p w:rsidR="006B7292" w:rsidRDefault="006B7292" w:rsidP="006B7292">
      <w:pPr>
        <w:pStyle w:val="TextoNormal"/>
      </w:pPr>
      <w:r>
        <w:t>Por todo lo expuesto, la Sala</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Otorgar la suspensión cautelar del procedimiento de adopción incoado ante el Juzgado de Primera Instancia núm. 16 de Granada, con el núm. de autos 599-2011, y del incidente de oposición a la adopción seguido bajo los autos núm. 1634-2013, sin perjuicio de las medidas que puedan adoptarse al respecto por la jurisdicción ordinaria.</w:t>
      </w:r>
    </w:p>
    <w:p w:rsidR="006B7292" w:rsidRDefault="006B7292" w:rsidP="006B7292">
      <w:pPr>
        <w:pStyle w:val="TextoNormal"/>
      </w:pPr>
    </w:p>
    <w:p w:rsidR="006B7292" w:rsidRDefault="006B7292" w:rsidP="006B7292">
      <w:pPr>
        <w:pStyle w:val="TextoNormal"/>
      </w:pPr>
      <w:r>
        <w:t>Madrid, a dos de noviembre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94" w:name="AUTO_2015_180"/>
      <w:r>
        <w:t>AUTO 180/2015, de 3 de noviembre de 2015</w:t>
      </w:r>
    </w:p>
    <w:bookmarkEnd w:id="194"/>
    <w:p w:rsidR="006B7292" w:rsidRDefault="006B7292" w:rsidP="006B7292">
      <w:pPr>
        <w:pStyle w:val="TtuloResolucin"/>
      </w:pPr>
      <w:r>
        <w:t>Pleno</w:t>
      </w:r>
    </w:p>
    <w:p w:rsidR="006B7292" w:rsidRDefault="006B7292" w:rsidP="006B7292">
      <w:pPr>
        <w:pStyle w:val="TextoNormalCentrado"/>
      </w:pPr>
      <w:r>
        <w:t>ECLI:ES:TC:2015:180A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Inadmite a trámite la cuestión de inconstitucionalidad 7231-2014, planteada por la Sección Cuarta de la Audiencia Provincial de Tarragona en relación con el artículo 89.1 del Código penal.</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Con fecha 1 de diciembre de 2014 tuvo entrada en el Registro General de este Tribunal un escrito de la Sección Cuarta de la Audiencia Provincial de Tarragona, al que se acompaña, junto con las actuaciones originales del correspondiente procedimiento, el Auto de 24 de septiembre de 2014 por el que se acuerda plantear cuestión de inconstitucionalidad respecto al art. 89.1 del Código penal (CP), en la redacción dada al mismo por la Ley Orgánica 5/2010, de 22 de junio, por posible vulneración de los arts. 18, 25 y 9 CE.</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de hecho de la cuestión son, sucintamente expuestos, los siguientes:</w:t>
      </w:r>
    </w:p>
    <w:p w:rsidR="006B7292" w:rsidRDefault="006B7292" w:rsidP="006B7292">
      <w:pPr>
        <w:pStyle w:val="TextoNormal"/>
      </w:pPr>
    </w:p>
    <w:p w:rsidR="006B7292" w:rsidRDefault="006B7292" w:rsidP="006B7292">
      <w:pPr>
        <w:pStyle w:val="TextoNormal"/>
      </w:pPr>
      <w:r>
        <w:t>a) Por Sentencia del Juzgado de lo Penal núm. 3 de Tarragona de 2 de noviembre de 2012, en el procedimiento abreviado 282-2009, se condenó al acusado como autor de un delito de falsedad en documento oficial con la concurrencia de la atenuante cualificada de dilaciones indebidas a la pena de cinco meses de prisión y cinco meses de multa con una cuota diaria de cuatro euros, con responsabilidad personal subsidiaria en su caso. En el fallo se ordenaba la sustitución de la pena de prisión por la expulsión del territorio nacional con prohibición de entrada en el plazo de cinco años conforme a lo dispuesto en el art. 89 CP, pues no existió acreditación del arraigo en territorio español.</w:t>
      </w:r>
    </w:p>
    <w:p w:rsidR="006B7292" w:rsidRDefault="006B7292" w:rsidP="006B7292">
      <w:pPr>
        <w:pStyle w:val="TextoNormal"/>
      </w:pPr>
    </w:p>
    <w:p w:rsidR="006B7292" w:rsidRDefault="006B7292" w:rsidP="006B7292">
      <w:pPr>
        <w:pStyle w:val="TextoNormal"/>
      </w:pPr>
      <w:r>
        <w:t>b) La Sentencia fue recurrida en apelación —rollo 1155-2012-EV— exclusivamente en lo relativo a la sustitución de la pena por la expulsión, acompañando al recurso prueba documental, que se aceptó por Auto de la Sección Cuarta de la Audiencia Provincial de Tarragona de 11 de febrero de 2013, en tanto que referida a la decisión sustitutiva de la pena por expulsión y al amparo de la previsión de audiencia diferida del art. 89.1, inciso 2 CP. En el Auto se acordó asimismo celebrar vista, que tuvo lugar el 28 de febrero de 2013.</w:t>
      </w:r>
    </w:p>
    <w:p w:rsidR="006B7292" w:rsidRDefault="006B7292" w:rsidP="006B7292">
      <w:pPr>
        <w:pStyle w:val="TextoNormal"/>
      </w:pPr>
    </w:p>
    <w:p w:rsidR="006B7292" w:rsidRDefault="006B7292" w:rsidP="006B7292">
      <w:pPr>
        <w:pStyle w:val="TextoNormal"/>
      </w:pPr>
      <w:r>
        <w:t xml:space="preserve">c) Celebrada la vista, donde quedó acreditado el sólido arraigo en España del condenado, la Sección Cuarta de la Audiencia Provincial de Tarragona dictó providencia 1 de marzo de 2013 por la que acordó dar trámite de alegaciones a las partes personadas y al Ministerio Fiscal acerca de la pertinencia de promover cuestión de inconstitucionalidad sobre el art. 89.1 CP, en la redacción operada por la Ley Orgánica 5/2010, por si “al establecer como único criterio para la denegación de la expulsión sustitutiva que se identifiquen ‘razones que justifiquen el cumplimiento de la condena en un centro penitenciario en España’ podría vulnerar el artículo 18 CE —en su dimensión de derecho a la vida privada y familiar—; el artículo 25 CE —en cuanto garantiza el respeto de la pena al principio de resocialización—; el artículo 9 CE —en la medida en que previene el principio de interdicción de la arbitrariedad en el ejercicio del poder púbico y del correlativo sometimiento de todos los agentes públicos a la Constitución y, </w:t>
      </w:r>
      <w:r w:rsidRPr="006B7292">
        <w:rPr>
          <w:i/>
        </w:rPr>
        <w:t>per relationem</w:t>
      </w:r>
      <w:r>
        <w:t>, a los Tratados internacionales que en materia de derechos fundamentales hayan sido ratificados por España—; y el artículo 10.1 y 2 CE en relación, por un lado, con el derecho a la dignidad personal y, por otro, el derecho a la vida privada y familiar que reconoce el artículo 8 CEDH a la luz de la jurisprudencia del Tribunal Europeo de Derechos Humanos que interpreta el contenido reaccional del referido derecho convencional”.</w:t>
      </w:r>
    </w:p>
    <w:p w:rsidR="006B7292" w:rsidRDefault="006B7292" w:rsidP="006B7292">
      <w:pPr>
        <w:pStyle w:val="TextoNormal"/>
      </w:pPr>
    </w:p>
    <w:p w:rsidR="006B7292" w:rsidRDefault="006B7292" w:rsidP="006B7292">
      <w:pPr>
        <w:pStyle w:val="TextoNormal"/>
      </w:pPr>
      <w:r>
        <w:t>d) El Ministerio Fiscal, mediante escrito de 7 de marzo de 2013, alegó que no se oponía al planteamiento de la cuestión de inconstitucionalidad, tras limitar su informe al análisis del cumplimiento de los requisitos formales y reservarse el pronunciamiento sobre el fondo para el momento procesal adecuado.</w:t>
      </w:r>
    </w:p>
    <w:p w:rsidR="006B7292" w:rsidRDefault="006B7292" w:rsidP="006B7292">
      <w:pPr>
        <w:pStyle w:val="TextoNormal"/>
      </w:pPr>
    </w:p>
    <w:p w:rsidR="006B7292" w:rsidRDefault="006B7292" w:rsidP="006B7292">
      <w:pPr>
        <w:pStyle w:val="TextoNormal"/>
      </w:pPr>
      <w:r>
        <w:t>e) La representación procesal del condenado formuló alegaciones en escrito de 20 de marzo de 2013, donde manifestó su adhesión a la oportunidad de promover la cuestión de inconstitucionalidad por entender que se cumplen las condiciones procesales y materiales para su interposición. Sostiene que el precepto cuestionado, además de los derechos reseñados en la providencia, vulnera el derecho a la igualdad reconocido en el art. 14 CE en relación directa con el art. 17.1 CE al otorgar a los extranjeros en situación irregular un tratamiento discriminatorio en el modo de ejecutar las sentencias condenatorias en el ámbito penal.</w:t>
      </w:r>
    </w:p>
    <w:p w:rsidR="006B7292" w:rsidRDefault="006B7292" w:rsidP="006B7292">
      <w:pPr>
        <w:pStyle w:val="TextoNormal"/>
      </w:pPr>
    </w:p>
    <w:p w:rsidR="006B7292" w:rsidRDefault="006B7292" w:rsidP="006B7292">
      <w:pPr>
        <w:pStyle w:val="TextoNormal"/>
      </w:pPr>
      <w:r>
        <w:t>f) Tras celebrarse vista el 8 de abril en el que las partes ratificaron el contenido de sus escritos, la Sección Cuarta de la Audiencia Provincial de Tarragona, por Auto de 24 de septiembre de 2014, planteó cuestión de inconstitucionalidad en relación con el art. 89.1 CP en lo referido a la previsión como único criterio para denegar la expulsión de extranjero en situación irregular en España condenado a pena privativa de libertad inferior a seis años que se identifiquen “razones que justifiquen el cumplimiento de la condena en un centro penitenciario en España”.</w:t>
      </w:r>
    </w:p>
    <w:p w:rsidR="006B7292" w:rsidRDefault="006B7292" w:rsidP="006B7292">
      <w:pPr>
        <w:pStyle w:val="TextoNormal"/>
      </w:pPr>
    </w:p>
    <w:p w:rsidR="006B7292" w:rsidRDefault="006B7292" w:rsidP="006B7292">
      <w:pPr>
        <w:pStyle w:val="TextoNormal"/>
      </w:pPr>
      <w:r>
        <w:t>El Auto comienza justificando la decisión de plantear la cuestión a pesar de haber constatado que el arraigo del condenado hacía absolutamente desproporcionada la expulsión y que lo indicado era sustituir o suspender la pena de prisión así como de conocer que la jurisprudencia del Tribunal Supremo aboga por atender a las circunstancias personales del penado de conformidad con las exigencias derivadas de la jurisprudencia del Tribunal Europeo de Derechos Humanos sobre el art. 8 del Convenio europeo para la protección de los derechos humanos y de las libertades fundamentales (CEDH). La razón que se aduce es que, en la reforma del art. 89.1 CP introducida por la Ley Orgánica 5/2010, el legislador “hace caso omiso al Tribunal Supremo, al Tribunal Constitucional, al menos a su sentencia 146/2009, y a una reiterada doctrina del TEDH” y patentiza una voluntad expresa contraria a incluir las consideraciones exigidas por el Tribunal Europeo de Derechos Humanos y el Tribunal de Justicia de la Unión Europea para acordar la expulsión del territorio nacional.</w:t>
      </w:r>
    </w:p>
    <w:p w:rsidR="006B7292" w:rsidRDefault="006B7292" w:rsidP="006B7292">
      <w:pPr>
        <w:pStyle w:val="TextoNormal"/>
      </w:pPr>
    </w:p>
    <w:p w:rsidR="006B7292" w:rsidRDefault="006B7292" w:rsidP="006B7292">
      <w:pPr>
        <w:pStyle w:val="TextoNormal"/>
      </w:pPr>
      <w:r>
        <w:t>La Sala parte de que la aplicación del art. 89.1 CP conduce a la expulsión, pues se dan los dos requisitos legales que contempla: (i) que la pena de prisión sea inferior a seis años y (ii) que no hay razones para su cumplimiento en centro penitenciario en España, sin que el nivel de arraigo se considere una razón justificativa para el cumplimiento en centro penitenciario, pues la pena debe ser suspendida o sustituida por medidas menos aflictivas. Esa consecuencia —sigue diciendo el órgano judicial— resulta constitucionalmente inaceptable a la luz de la jurisprudencia del Tribunal de Justicia de la Unión Europea y del Tribunal Europeo de Derechos Humanos sobre el estándar de adecuación de la medida de expulsión con el derecho a la intimidad y a la vida privada y familiar, que entiende recibida de forma expresa en la STC 140/2009, citando además la STC 236/2007, el Voto particular a la STC 186/2013 y la STC 46/2014. Y ello porque el precepto impide toda valoración de las circunstancias personales, sociales, familiares de la persona condenada cuando no concurren razones que justifiquen cumplir la pena en centro penitenciario en España al ordenar la consecuencia de expulsión del condenado.</w:t>
      </w:r>
    </w:p>
    <w:p w:rsidR="006B7292" w:rsidRDefault="006B7292" w:rsidP="006B7292">
      <w:pPr>
        <w:pStyle w:val="TextoNormal"/>
      </w:pPr>
    </w:p>
    <w:p w:rsidR="006B7292" w:rsidRDefault="006B7292" w:rsidP="006B7292">
      <w:pPr>
        <w:pStyle w:val="TextoNormal"/>
      </w:pPr>
      <w:r>
        <w:t>Sentado lo anterior, la Sala plantea si, como jueces ordinarios, pueden “reparar dicha disfunción prescriptiva mediante una interpretación constitucionalmente adecuadora” y, tras un extenso estudio del espacio de libertad del legislador, las condiciones que impone la Constitución a la intervención legislativa jurídico-penal y los límites que el principio democrático impone a la interpretación judicial de la norma penal conforme y orientada a la Constitución, concluye que esa tarea desborda su papel en tanto la interpretación reductora del precepto penal elude el texto normativo y es en realidad reconfiguradora o alternativa. La razón que aduce es que, en la reforma del art. 89.1 CP introducida por la Ley Orgánica 5/2010, el legislador “hace caso omiso al Tribunal Supremo, al Tribunal Constitucional, al menos a su sentencia 146/2009, y a una reiterada doctrina del TEDH” y patentiza una voluntad expresa contraria a incluir las consideraciones exigidas por el Tribunal Europeo de Derechos Humanos y el Tribunal de Justicia de la Unión Europea para acordar la expulsión del territorio nacional.</w:t>
      </w:r>
    </w:p>
    <w:p w:rsidR="006B7292" w:rsidRDefault="006B7292" w:rsidP="006B7292">
      <w:pPr>
        <w:pStyle w:val="TextoNormal"/>
      </w:pPr>
    </w:p>
    <w:p w:rsidR="006B7292" w:rsidRDefault="006B7292" w:rsidP="006B7292">
      <w:pPr>
        <w:pStyle w:val="TextoNormal"/>
      </w:pPr>
      <w:r>
        <w:t>A partir de ambas aseveraciones, la Sala estima que las exigencias de protección constitucional (arts. 18, 25 y 9 CE en relación con la jurisprudencia del Tribunal Europeo de Derechos Humanos y el Tribunal de Justicia de la Unión Europea) reclaman introducir como elementos valorativos de la decisión de expulsar los marcadores de arraigo en el país de la persona y que, en la medida en que el art. 89.1 CP no lo permite por renuncia expresa del legislador de 2010, es inconstitucional, sin que “la reparación normativa” que evite esa contrariedad a la Constitución esté a disposición de los jueces ordinarios.</w:t>
      </w:r>
    </w:p>
    <w:p w:rsidR="006B7292" w:rsidRDefault="006B7292" w:rsidP="006B7292">
      <w:pPr>
        <w:pStyle w:val="TextoNormal"/>
      </w:pPr>
    </w:p>
    <w:p w:rsidR="006B7292" w:rsidRDefault="006B7292" w:rsidP="006B7292">
      <w:pPr>
        <w:pStyle w:val="TextoNormal"/>
      </w:pPr>
      <w:r>
        <w:t>El Auto de planteamiento termina con una referencia al juicio de relevancia procesal, donde el órgano judicial se limita a señalar la oportunidad del momento procesal en el que se plantea conforme al art. 35 de la Ley Orgánica del Tribunal Constitucional (LOTC).</w:t>
      </w:r>
    </w:p>
    <w:p w:rsidR="006B7292" w:rsidRDefault="006B7292" w:rsidP="006B7292">
      <w:pPr>
        <w:pStyle w:val="TextoNormal"/>
      </w:pPr>
    </w:p>
    <w:p w:rsidR="006B7292" w:rsidRDefault="006B7292" w:rsidP="006B7292">
      <w:pPr>
        <w:pStyle w:val="TextoNormal"/>
      </w:pPr>
      <w:r w:rsidRPr="006B7292">
        <w:rPr>
          <w:rStyle w:val="NumeroAFNegritaCaracter"/>
        </w:rPr>
        <w:t>3</w:t>
      </w:r>
      <w:r>
        <w:t>. Por providencia de 23 de junio de 2015, la Sección Segunda del Tribunal Constitucional acordó, a los efectos que determina el art. 37.1 LOTC, oír al Fiscal General del Estado para que, en el plazo de diez días, alegara lo que considerara conveniente acerca de la admisibilidad de la presente cuestión de inconstitucionalidad, por si fuera notoriamente infundada.</w:t>
      </w:r>
    </w:p>
    <w:p w:rsidR="006B7292" w:rsidRDefault="006B7292" w:rsidP="006B7292">
      <w:pPr>
        <w:pStyle w:val="TextoNormal"/>
      </w:pPr>
    </w:p>
    <w:p w:rsidR="006B7292" w:rsidRDefault="006B7292" w:rsidP="006B7292">
      <w:pPr>
        <w:pStyle w:val="TextoNormal"/>
      </w:pPr>
      <w:r w:rsidRPr="006B7292">
        <w:rPr>
          <w:rStyle w:val="NumeroAFNegritaCaracter"/>
        </w:rPr>
        <w:t>4</w:t>
      </w:r>
      <w:r>
        <w:t>. La Fiscal General del Estado formuló sus alegaciones por escrito registrado en este Tribunal el 7 de septiembre de 2015, interesando su inadmisión desde dos alternativas. Bien de conformidad con los arts. 37.1 y 35.2 LOTC, ya que, como consecuencia de la modificación operada en la norma cuestionada por la Ley Orgánica 1/2015, ha decaído el objeto de la cuestión porque la norma vigente no vulnera ninguno de los preceptos constitucionales que se invocan en el Auto de planteamiento. Bien por tratarse de una cuestión notoriamente infundada en aplicación de lo dispuesto en el art. 37.1 LOTC.</w:t>
      </w:r>
    </w:p>
    <w:p w:rsidR="006B7292" w:rsidRDefault="006B7292" w:rsidP="006B7292">
      <w:pPr>
        <w:pStyle w:val="TextoNormal"/>
      </w:pPr>
    </w:p>
    <w:p w:rsidR="006B7292" w:rsidRDefault="006B7292" w:rsidP="006B7292">
      <w:pPr>
        <w:pStyle w:val="TextoNormal"/>
      </w:pPr>
      <w:r>
        <w:t>La Fiscal General expone que, conforme a la redacción dada al art. 89 CP por la Ley Orgánica 1/2015, sólo son sustituibles por la expulsión del territorio nacional las penas de prisión superiores a un año y siempre que no resulte desproporcionada, para lo que debe atenderse a las circunstancias del hecho y las personales del autor, en particular su arraigo en España, previéndose una Audiencia específica con objeto de determinar tales circunstancias si no pudo hacerse en el proceso. A la luz de tales elementos concluye que ha decaído el objeto de la presente cuestión, pues, en el momento de dictarse la Sentencia que resuelva el recurso de apelación, “no puede mantenerse la sustitución acordada en la primera instancia, porque las penas impuestas, por razón de su naturaleza y duración, no son susceptibles de sustitución por la expulsión y, en el caso de que la misma pudiera acordarse, únicamente podría adoptarse dicha decisión si, tras la audiencia celebrada, la expulsión no resultara desproporcionada tomando en consideración las circunstancias del hecho y las personales del recurrente, entre las que debe atenderse especialmente al arraigo que el mismo tuviera en España”.</w:t>
      </w:r>
    </w:p>
    <w:p w:rsidR="006B7292" w:rsidRDefault="006B7292" w:rsidP="006B7292">
      <w:pPr>
        <w:pStyle w:val="TextoNormal"/>
      </w:pPr>
    </w:p>
    <w:p w:rsidR="006B7292" w:rsidRDefault="006B7292" w:rsidP="006B7292">
      <w:pPr>
        <w:pStyle w:val="TextoNormal"/>
      </w:pPr>
      <w:r>
        <w:t xml:space="preserve">Con independencia de lo anterior, la Fiscal General del Estado defiende que la cuestión carece de fundamento también en relación con el precepto cuestionado en su redacción procedente de la Ley Orgánica 5/2010 con apoyo en la jurisprudencia del Tribunal Constitucional sobre el carácter notoriamente infundado de las cuestiones que se apoyan en interpretaciones arbitrarias, irrazonables o apartadas de las comúnmente realizadas por los Tribunales de Justicia o las que el Tribunal considere </w:t>
      </w:r>
      <w:r w:rsidRPr="006B7292">
        <w:rPr>
          <w:i/>
        </w:rPr>
        <w:t>a limine</w:t>
      </w:r>
      <w:r>
        <w:t xml:space="preserve"> inviables. A su entender, es posible una interpretación del art. 89.1 CP que, con respeto a su tenor literal, le otorgue un significado compatible con la Constitución, tal y como el Tribunal Supremo y el Tribunal Constitucional han alumbrado. En particular aduce dos razones en apoyo de tal comprensión. De un lado y por mor del principio de legalidad penal, al interpretar la alusión del art. 89.1 CP a “razones que justifiquen el cumplimiento de la condena en un centro penitenciario en España”, habrá de tenerse en cuenta todo el régimen legal de cumplimiento de las penas privativas de libertad, incluida la previsión de suspensión de la ejecución, que es de aplicación también cuando el penado sea extranjero y que impide la expulsión cuando dicha forma de cumplimiento sea de aplicación por efecto del art. 25.2 CE. De otro lado y desde la consideración de la expulsión de extranjeros condenados por la comisión de un delito como medida de seguridad (art. 96.3.2 CP), rechaza una aplicación automática de la expulsión si no procede cumplir condena en un centro penitenciario español, pues deben respetarse los presupuestos legales de las medidas de seguridad (art. 95.1 CP: comisión de un delito y pronóstico de reincidencia) y la exigencia de que a la hora de sustituir una medida de seguridad por expulsión se atienda a si está justificada la procedencia del cumplimiento de la medida en España en general, y no sólo en un centro penitenciario.</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La Sección Cuarta de la Audiencia Provincial de Tarragona plantea cuestión de inconstitucionalidad en relación con el art. 89.1 del Código penal (CP), en su redacción conforme a la Ley Orgánica 5/2010, por posible vulneración de los arts. 18, 25 y 9 CE. Dicho precepto establecía que “Las penas privativas de libertad inferiores a seis años impuestas a un extranjero no residente legalmente en España serán sustituidas en la sentencia por su expulsión del territorio español, salvo que el Juez o Tribunal, previa audiencia del penado, del Ministerio Fiscal y de las partes personadas, de forma motivada, aprecie razones que justifiquen el cumplimiento de la condena en un centro penitenciario en España”.</w:t>
      </w:r>
    </w:p>
    <w:p w:rsidR="006B7292" w:rsidRDefault="006B7292" w:rsidP="006B7292">
      <w:pPr>
        <w:pStyle w:val="TextoNormal"/>
      </w:pPr>
    </w:p>
    <w:p w:rsidR="006B7292" w:rsidRDefault="006B7292" w:rsidP="006B7292">
      <w:pPr>
        <w:pStyle w:val="TextoNormal"/>
      </w:pPr>
      <w:r>
        <w:t>El órgano judicial considera que esa norma obliga a sustituir la pena de prisión impuesta a un extranjero sin residencia legal siempre que la pena no exceda de los seis años y no existan razones que justifiquen su cumplimiento en un centro penitenciario en España, sin atender al arraigo que pudiera tener en España como exigiría el respeto a los derechos invocados.</w:t>
      </w:r>
    </w:p>
    <w:p w:rsidR="006B7292" w:rsidRDefault="006B7292" w:rsidP="006B7292">
      <w:pPr>
        <w:pStyle w:val="TextoNormal"/>
      </w:pPr>
    </w:p>
    <w:p w:rsidR="006B7292" w:rsidRDefault="006B7292" w:rsidP="006B7292">
      <w:pPr>
        <w:pStyle w:val="TextoNormal"/>
      </w:pPr>
      <w:r>
        <w:t>La Fiscal General del Estado, en el trámite previsto en el art. 37.1 de la Ley Orgánica del Tribunal Constitucional (LOTC), considera que la cuestión no debería ser admitida a trámite, pues ha decaído el objeto de la cuestión y, en todo caso, se asienta en una interpretación insostenible del precepto que atiende sólo a su tenor literal.</w:t>
      </w:r>
    </w:p>
    <w:p w:rsidR="006B7292" w:rsidRDefault="006B7292" w:rsidP="006B7292">
      <w:pPr>
        <w:pStyle w:val="TextoNormal"/>
      </w:pPr>
    </w:p>
    <w:p w:rsidR="006B7292" w:rsidRDefault="006B7292" w:rsidP="006B7292">
      <w:pPr>
        <w:pStyle w:val="TextoNormal"/>
      </w:pPr>
      <w:r w:rsidRPr="006B7292">
        <w:rPr>
          <w:rStyle w:val="NumeroAFNegritaCaracter"/>
        </w:rPr>
        <w:t>2</w:t>
      </w:r>
      <w:r>
        <w:t>. El art. 37.1 LOTC contempla la posibilidad de que el Tribunal rechace, en trámite de admisión, mediante Auto y sin otra audiencia que la del Fiscal General del Estado, la cuestión de inconstitucionalidad cuando faltaren las condiciones procesales o fuere notoriamente infundada la cuestión suscitada. Ambas circunstancias concurren en el presente caso.</w:t>
      </w:r>
    </w:p>
    <w:p w:rsidR="006B7292" w:rsidRDefault="006B7292" w:rsidP="006B7292">
      <w:pPr>
        <w:pStyle w:val="TextoNormal"/>
      </w:pPr>
    </w:p>
    <w:p w:rsidR="006B7292" w:rsidRDefault="006B7292" w:rsidP="006B7292">
      <w:pPr>
        <w:pStyle w:val="TextoNormal"/>
      </w:pPr>
      <w:r w:rsidRPr="006B7292">
        <w:rPr>
          <w:rStyle w:val="NumeroAFNegritaCaracter"/>
        </w:rPr>
        <w:t>3</w:t>
      </w:r>
      <w:r>
        <w:t>. Como advierte la Fiscal General del Estado, la entrada en vigor el 1 de julio de 2015 de la Ley Orgánica 1/2015, de 30 de marzo, ha supuesto la modificación de la redacción cuestionada del art. 89.1 CP proveniente de la Ley Orgánica 5/2010. Ello obliga a analizar si esa modificación legal sufrida por el precepto con posterioridad a plantearse la cuestión puede dar lugar a la desaparición sobrevenida del objeto de este procedimiento. El vigente art. 89 CP, en lo que aquí interesa, dispone:</w:t>
      </w:r>
    </w:p>
    <w:p w:rsidR="006B7292" w:rsidRDefault="006B7292" w:rsidP="006B7292">
      <w:pPr>
        <w:pStyle w:val="TextoNormal"/>
      </w:pPr>
    </w:p>
    <w:p w:rsidR="006B7292" w:rsidRDefault="006B7292" w:rsidP="006B7292">
      <w:pPr>
        <w:pStyle w:val="TextoNormal"/>
      </w:pPr>
      <w:r>
        <w:t>“1. Las penas de prisión de más de un año impuestas a un ciudadano extranjero serán sustituidas por su expulsión del territorio español.</w:t>
      </w:r>
    </w:p>
    <w:p w:rsidR="006B7292" w:rsidRDefault="006B7292" w:rsidP="006B7292">
      <w:pPr>
        <w:pStyle w:val="TextoNormal"/>
      </w:pPr>
    </w:p>
    <w:p w:rsidR="006B7292" w:rsidRDefault="006B7292" w:rsidP="006B7292">
      <w:pPr>
        <w:pStyle w:val="TextoNormal"/>
      </w:pPr>
      <w:r>
        <w:t>…</w:t>
      </w:r>
    </w:p>
    <w:p w:rsidR="006B7292" w:rsidRDefault="006B7292" w:rsidP="006B7292">
      <w:pPr>
        <w:pStyle w:val="TextoNormal"/>
      </w:pPr>
    </w:p>
    <w:p w:rsidR="006B7292" w:rsidRDefault="006B7292" w:rsidP="006B7292">
      <w:pPr>
        <w:pStyle w:val="TextoNormal"/>
      </w:pPr>
      <w:r>
        <w:t>3. El juez o tribunal resolverá en sentencia sobre la sustitución de la ejecución de la pena siempre que ello resulte posible. En los demás casos, una vez declarada la firmeza de la sentencia, se pronunciará con la mayor urgencia, previa audiencia al Fiscal y a las demás partes, sobre la concesión o no de la sustitución de la ejecución de la pena.</w:t>
      </w:r>
    </w:p>
    <w:p w:rsidR="006B7292" w:rsidRDefault="006B7292" w:rsidP="006B7292">
      <w:pPr>
        <w:pStyle w:val="TextoNormal"/>
      </w:pPr>
    </w:p>
    <w:p w:rsidR="006B7292" w:rsidRDefault="006B7292" w:rsidP="006B7292">
      <w:pPr>
        <w:pStyle w:val="TextoNormal"/>
      </w:pPr>
      <w:r>
        <w:t>4. No procederá la sustitución cuando, a la vista de las circunstancias del hecho y las personales del autor, en particular su arraigo en España, la expulsión resulte desproporcionada.”</w:t>
      </w:r>
    </w:p>
    <w:p w:rsidR="006B7292" w:rsidRDefault="006B7292" w:rsidP="006B7292">
      <w:pPr>
        <w:pStyle w:val="TextoNormal"/>
      </w:pPr>
    </w:p>
    <w:p w:rsidR="006B7292" w:rsidRDefault="006B7292" w:rsidP="006B7292">
      <w:pPr>
        <w:pStyle w:val="TextoNormal"/>
      </w:pPr>
      <w:r>
        <w:t xml:space="preserve">Al respecto este Tribunal ha insistido en que, “a diferencia de lo que sucede en los recursos de inconstitucionalidad, en los que, como regla general y salvo que se trate de una controversia competencial, la derogación de la norma legal impugnada supone la pérdida de objeto del proceso (por todas, SSTC 196/1997, de 13 de noviembre, FJ 2; y 233/1999, de 16 de diciembre, FJ 3),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w:t>
      </w:r>
      <w:r w:rsidRPr="006B7292">
        <w:rPr>
          <w:i/>
        </w:rPr>
        <w:t>a quo</w:t>
      </w:r>
      <w:r>
        <w:t xml:space="preserve"> y de su validez dependa la decisión a adoptar en el mismo (SSTC 200/2001, de 4 de octubre, FJ 3; y 37/2002, de 14 de febrero, FJ 3, entre otras muchas)” (STC 160/2012, de 20 de septiembre, FJ 2).</w:t>
      </w:r>
    </w:p>
    <w:p w:rsidR="006B7292" w:rsidRDefault="006B7292" w:rsidP="006B7292">
      <w:pPr>
        <w:pStyle w:val="TextoNormal"/>
      </w:pPr>
    </w:p>
    <w:p w:rsidR="006B7292" w:rsidRDefault="006B7292" w:rsidP="006B7292">
      <w:pPr>
        <w:pStyle w:val="TextoNormal"/>
      </w:pPr>
      <w:r>
        <w:t xml:space="preserve">Habrá de examinarse entonces la aplicabilidad del derogado y aquí cuestionado art. 89.1 CP en relación con la vigente redacción del precepto, teniendo en cuenta del principio de retroactividad de la ley penal más favorable acogido en el art. 2.2 CP con carácter general y en las disposiciones transitorias primera y tercera de la propia Ley Orgánica 1/2015 con carácter particular. Conforme a estas últimas, se aplicará la nueva Ley “una vez que entre en vigor, si las disposiciones de la misma son más favorables para el reo, aunque los hechos hubieran sido cometidos con anterioridad a su entrada en vigor” y “en las sentencias dictadas conforme a la legislación que se deroga y que no sean firmes por estar pendientes de recurso, se observarán, una vez transcurrido el período de </w:t>
      </w:r>
      <w:r w:rsidRPr="006B7292">
        <w:rPr>
          <w:i/>
        </w:rPr>
        <w:t>vacatio</w:t>
      </w:r>
      <w:r>
        <w:t>, las siguientes reglas: a) Si se trata de un recurso de apelación, las partes podrán invocar y el juez o tribunal aplicará de oficio los preceptos de la nueva ley, cuando resulten más favorables al reo”.</w:t>
      </w:r>
    </w:p>
    <w:p w:rsidR="006B7292" w:rsidRDefault="006B7292" w:rsidP="006B7292">
      <w:pPr>
        <w:pStyle w:val="TextoNormal"/>
      </w:pPr>
    </w:p>
    <w:p w:rsidR="006B7292" w:rsidRDefault="006B7292" w:rsidP="006B7292">
      <w:pPr>
        <w:pStyle w:val="TextoNormal"/>
      </w:pPr>
      <w:r>
        <w:t>Ya una primera lectura de los números uno, tres y cuatro del actual art. 89 CP más arriba transcritos evidencia, sin ulterior esfuerzo, que la nueva regulación no contempla la sustitución por expulsión de las penas de prisión inferiores a un año y obliga en todo caso a analizar la proporcionalidad de la medida, para lo que se señala como criterio preferente el arraigo del condenado, sobre el que deberá discutirse en el procedimiento. A tenor de tales pronunciamientos, hay que dar la razón a la Fiscal General del Estado cuando opone a la admisión de la presente cuestión el hecho de que el actual art. 89 CP impedirá que, en el momento de dictarse sentencia para resolver el recurso de apelación se mantenga la sustitución por expulsión de la pena de cinco meses de prisión y multa acordada en la instancia e impugnada por el apelante. Tras la entrada en vigor de la Ley Orgánica 1/2015, esas penas no son susceptibles de sustitución por la expulsión por razón de su naturaleza y duración y, en todo caso, dicha decisión está condicionada a que no resulte desproporcionada en atención a las circunstancias del hecho y personales del autor, entre las que se atenderá especialmente al arraigo del autor, que en el presente caso se consideró probado por el órgano judicial proponente.</w:t>
      </w:r>
    </w:p>
    <w:p w:rsidR="006B7292" w:rsidRDefault="006B7292" w:rsidP="006B7292">
      <w:pPr>
        <w:pStyle w:val="TextoNormal"/>
      </w:pPr>
    </w:p>
    <w:p w:rsidR="006B7292" w:rsidRDefault="006B7292" w:rsidP="006B7292">
      <w:pPr>
        <w:pStyle w:val="TextoNormal"/>
      </w:pPr>
      <w:r>
        <w:t>En definitiva, sería improcedente que la Audiencia Provincial pueda resolver el recurso de apelación mediante la aplicación del art. 89.1 CP en la redacción vigente al tiempo de plantearse la cuestión de inconstitucionalidad, lo que implica una desaparición sobrevenida de los presupuestos de apertura del presente proceso constitucional, que determina su extinción, pues plantea, en su caso, un juicio de constitucionalidad sin efectos para el caso, lo que resulta improcedente en toda cuestión de inconstitucionalidad (STC 6/2010, de 7 de mayo, FJ 3, con ulteriores referencias).</w:t>
      </w:r>
    </w:p>
    <w:p w:rsidR="006B7292" w:rsidRDefault="006B7292" w:rsidP="006B7292">
      <w:pPr>
        <w:pStyle w:val="TextoNormal"/>
      </w:pPr>
    </w:p>
    <w:p w:rsidR="006B7292" w:rsidRDefault="006B7292" w:rsidP="006B7292">
      <w:pPr>
        <w:pStyle w:val="TextoNormal"/>
      </w:pPr>
      <w:r w:rsidRPr="006B7292">
        <w:rPr>
          <w:rStyle w:val="NumeroAFNegritaCaracter"/>
        </w:rPr>
        <w:t>4</w:t>
      </w:r>
      <w:r>
        <w:t xml:space="preserve">. Al margen de la falta de relevancia sobrevenida del precepto cuestionado, también la falta de fundamento de la cuestión conduce a su rechazo. Subraya la doctrina constitucional que “el concepto de ‘cuestión notoriamente infundada’ no es concebido como un juicio peyorativo sobre la duda de constitucionalidad que traslada el órgano judicial, sino que esta expresión legal encierra un cierto grado de indefinición, que se traduce procesalmente en la necesidad de otorgar a este Tribunal un determinado margen de apreciación a la hora de controlar la solidez de la fundamentación de las cuestiones de inconstitucionalidad, de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otros procesos en los que resulta aplicable la norma cuestionada (AATC 180/2011, de 13 de diciembre, FJ 5; 119/2012, de 5 de junio, FJ 3;162/2012, de 13 de septiembre, FJ 2; y 237/2012, de 11 de diciembre, FJ 2)” (ATC 43/2014, de 12 de febrero). Esta falta notoria de fundamento concurrirá “cuando resulte evidente que la norma legal cuestionada … es manifiestamente constitucional” (STC 27/1991, de 14 de febrero, FJ 3; AATC 206/2009, de 30 de junio, 250/2014, de 21 de octubre, y 60/2015, de 17 de marzo, entre otros muchos). Expresamente este Tribunal ha considerado notoriamente infundadas, “no sólo las cuestiones de inconstitucionalidad que carecen de toda motivación, sino también aquellas en las que el órgano judicial ha efectuado una interpretación del precepto legal cuestionado arbitraria o irrazonable o simplemente que se aparta de la comúnmente realizada por los Tribunales de Justicia y las que el Tribunal considera </w:t>
      </w:r>
      <w:r w:rsidRPr="006B7292">
        <w:rPr>
          <w:i/>
        </w:rPr>
        <w:t>a limine</w:t>
      </w:r>
      <w:r>
        <w:t xml:space="preserve"> inviables” (AATC 467/2007, de 17 de diciembre, FJ 3, y 84/2013, de 23 de abril, FJ 2).</w:t>
      </w:r>
    </w:p>
    <w:p w:rsidR="006B7292" w:rsidRDefault="006B7292" w:rsidP="006B7292">
      <w:pPr>
        <w:pStyle w:val="TextoNormal"/>
      </w:pPr>
    </w:p>
    <w:p w:rsidR="006B7292" w:rsidRDefault="006B7292" w:rsidP="006B7292">
      <w:pPr>
        <w:pStyle w:val="TextoNormal"/>
      </w:pPr>
      <w:r>
        <w:t>La puesta en relación de esta doctrina con el planteamiento adoptado al proponer la cuestión revela que nos encontramos ante una cuestión notoriamente infundada, pues el precepto controvertido es susceptible de una evidente interpretación conforme a la Constitución, generalizada en la práctica judicial y en la doctrina, que no desborda el tenor literal del precepto, como reconoce el propio órgano proponente. De hecho, la Audiencia no duda acerca de cuál es la interpretación conforme y orientada a la Constitución y es consciente, además, de que es la interpretación auspiciada por este Tribunal en materia de expulsión en general (SSTC 242/1994, de 20 de julio, FFJJ 6 y 7; 24/2000, de 31 de enero, FJ 4, y 140/2009, de 15 de junio, FJ 6) y por el Tribunal Supremo sobre la expulsión penal sustitutiva en particular. Cabe apuntar que la doctrina de este último Tribunal al respecto arranca ya de 2004 (así ya en la STS 8 de julio de 2004) y establece que para efectuar una correcta ponderación de los intereses y derechos en juego siempre se debe dar audiencia al penado (aunque la redacción previa a la reforma de la Ley Orgánica 5/2010 no la recogiera) para valorar de manera correcta las concretas circunstancias del penado, laborales, arraigo y situación familiar, lo que condujo a que la inmensa mayoría de juzgados y tribunales no aplicaran de manera automática la medida. La Sala podía haber acomodado por vía interpretativa el precepto aplicable con tan sólo entender que la audiencia prevista legalmente para decidir sobre la expulsión permite dar cauce a las circunstancias personales y de arraigo del condenado que, conforme a la norma cuestionada, deben tener efectos excluyentes de la expulsión en tanto supongan “razones que justifiquen el cumplimiento de la condena en un centro penitenciario en España”. La finalidad de los procesos de inconstitucionalidad es la expulsión del ordenamiento jurídico de aquellas normas que se hallen en franca contradicción con la Constitución, y no la anulación de un determinado modo de interpretarlas, incluso por muy sólido que éste sea, cuando aquéllas ofrecen otras significaciones posibles; en este caso la interpretación prácticamente unánime, que, a partir de los mismos elementos normativos, permite llegar a conclusiones opuestas a las que sustenta el órgano judicial proponente.</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Inadmitir la cuestión de inconstitucionalidad núm. 7231-2014 planteada por la Sección Cuarta de la Audiencia Provincial de Tarragona.</w:t>
      </w:r>
    </w:p>
    <w:p w:rsidR="006B7292" w:rsidRDefault="006B7292" w:rsidP="006B7292">
      <w:pPr>
        <w:pStyle w:val="TextoNormal"/>
      </w:pPr>
    </w:p>
    <w:p w:rsidR="006B7292" w:rsidRDefault="006B7292" w:rsidP="006B7292">
      <w:pPr>
        <w:pStyle w:val="TextoNormal"/>
      </w:pPr>
      <w:r>
        <w:t>Madrid, a tres de noviembre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95" w:name="AUTO_2015_181"/>
      <w:r>
        <w:t>AUTO 181/2015, de 3 de noviembre de 2015</w:t>
      </w:r>
    </w:p>
    <w:bookmarkEnd w:id="195"/>
    <w:p w:rsidR="006B7292" w:rsidRDefault="006B7292" w:rsidP="006B7292">
      <w:pPr>
        <w:pStyle w:val="TtuloResolucin"/>
      </w:pPr>
      <w:r>
        <w:t>Pleno</w:t>
      </w:r>
    </w:p>
    <w:p w:rsidR="006B7292" w:rsidRDefault="006B7292" w:rsidP="006B7292">
      <w:pPr>
        <w:pStyle w:val="TextoNormalCentrado"/>
      </w:pPr>
      <w:r>
        <w:t>ECLI:ES:TC:2015:181A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Mantiene la suspensión acordada en el recurso de inconstitucionalidad 3492-2015, interpuesto por el Presidente del Gobierno en relación con el último inciso del artículo 34 de la Ley 2/2015, de 11 de marzo, de presupuestos de la Generalitat de Cataluña para 2015.</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presentado en el Registro General de este Tribunal el 15 de junio de 2015, el Abogado del Estado, en nombre del Presidente del Gobierno, interpuso recurso de inconstitucionalidad contra el último inciso del art. 34 de la Ley 2/2015, de 11 de marzo, de presupuestos de la Generalitat de Cataluña para 2015 (“previa autorización del Gobierno, de la puesta en funcionamiento de nuevos servicios públicos”). La citada Ley 2/2015 se publicó en el “Diario Oficial de la Generalitat de Cataluña” núm. 6880, de 13 de marzo de 2015.</w:t>
      </w:r>
    </w:p>
    <w:p w:rsidR="006B7292" w:rsidRDefault="006B7292" w:rsidP="006B7292">
      <w:pPr>
        <w:pStyle w:val="TextoNormal"/>
      </w:pPr>
    </w:p>
    <w:p w:rsidR="006B7292" w:rsidRDefault="006B7292" w:rsidP="006B7292">
      <w:pPr>
        <w:pStyle w:val="TextoNormal"/>
      </w:pPr>
      <w:r>
        <w:t>El Abogado del Estado invocó el art. 161.2 CE, en relación con el art. 30 de la Ley Orgánica del Tribunal Constitucional (LOTC), a fin de que se produjese la suspensión del inciso del precepto de la Ley recurrida.</w:t>
      </w:r>
    </w:p>
    <w:p w:rsidR="006B7292" w:rsidRDefault="006B7292" w:rsidP="006B7292">
      <w:pPr>
        <w:pStyle w:val="TextoNormal"/>
      </w:pPr>
    </w:p>
    <w:p w:rsidR="006B7292" w:rsidRDefault="006B7292" w:rsidP="006B7292">
      <w:pPr>
        <w:pStyle w:val="TextoNormal"/>
      </w:pPr>
      <w:r w:rsidRPr="006B7292">
        <w:rPr>
          <w:rStyle w:val="NumeroAFNegritaCaracter"/>
        </w:rPr>
        <w:t>2</w:t>
      </w:r>
      <w:r>
        <w:t>. El Pleno del Tribunal Constitucional, por providencia de 25 de junio de 2015, acordó admitir a trámite el recurso de inconstitucionalidad, dar traslado de la demanda y documentos presentados, conforme establece el art. 34 LOTC, al Congreso de los Diputados y al Senado, así como al Gobierno y al Parlamento de Cataluña, por conducto de sus Presidentes, al objeto de que en el plazo de quince días pudieran personarse en el proceso y formular las alegaciones que estimaren convenientes. Asimismo, se acordó tener por invocado el art. 161.2 CE, lo que, conforme dispone el art. 30 LOTC, produce la suspensión de la vigencia y aplicación de la Ley impugnada desde la fecha de interposición del recurso para las partes del proceso —15 de junio de 2015— y desde el día en que aparezca publicada la suspensión en el “Boletín Oficial del Estado” para los terceros. Por último, también se ordenó publicar la incoación del recurso en el “Boletín Oficial del Estado” (publicación que tuvo lugar el 1 de julio de 2015) y en el “Diari Oficial de Generalitat de Catalunya”.</w:t>
      </w:r>
    </w:p>
    <w:p w:rsidR="006B7292" w:rsidRDefault="006B7292" w:rsidP="006B7292">
      <w:pPr>
        <w:pStyle w:val="TextoNormal"/>
      </w:pPr>
    </w:p>
    <w:p w:rsidR="006B7292" w:rsidRDefault="006B7292" w:rsidP="006B7292">
      <w:pPr>
        <w:pStyle w:val="TextoNormal"/>
      </w:pPr>
      <w:r w:rsidRPr="006B7292">
        <w:rPr>
          <w:rStyle w:val="NumeroAFNegritaCaracter"/>
        </w:rPr>
        <w:t>3</w:t>
      </w:r>
      <w:r>
        <w:t>. Por sendos escritos registrados en el Tribunal Constitucional el 9 de julio de 2015, el Presidente del Congreso de los Diputados y el Presidente del Senado comunicaron que, por acuerdo de la Mesa de sus respectivas Cámaras, se había acordado darse por personadas en este procedimiento y ofrecer su colaboración a los efectos del art. 88.1 LOTC.</w:t>
      </w:r>
    </w:p>
    <w:p w:rsidR="006B7292" w:rsidRDefault="006B7292" w:rsidP="006B7292">
      <w:pPr>
        <w:pStyle w:val="TextoNormal"/>
      </w:pPr>
    </w:p>
    <w:p w:rsidR="006B7292" w:rsidRDefault="006B7292" w:rsidP="006B7292">
      <w:pPr>
        <w:pStyle w:val="TextoNormal"/>
      </w:pPr>
      <w:r w:rsidRPr="006B7292">
        <w:rPr>
          <w:rStyle w:val="NumeroAFNegritaCaracter"/>
        </w:rPr>
        <w:t>4</w:t>
      </w:r>
      <w:r>
        <w:t>. La Abogada de la Generalitat de Cataluña, por escrito registrado en este Tribunal el 23 de julio de 2015, en representación y defensa del Gobierno de la Generalitat, formuló alegaciones solicitando la desestimación del recurso de inconstitucionalidad.</w:t>
      </w:r>
    </w:p>
    <w:p w:rsidR="006B7292" w:rsidRDefault="006B7292" w:rsidP="006B7292">
      <w:pPr>
        <w:pStyle w:val="TextoNormal"/>
      </w:pPr>
    </w:p>
    <w:p w:rsidR="006B7292" w:rsidRDefault="006B7292" w:rsidP="006B7292">
      <w:pPr>
        <w:pStyle w:val="TextoNormal"/>
      </w:pPr>
      <w:r w:rsidRPr="006B7292">
        <w:rPr>
          <w:rStyle w:val="NumeroAFNegritaCaracter"/>
        </w:rPr>
        <w:t>5</w:t>
      </w:r>
      <w:r>
        <w:t>. Por escrito registrado en este Tribunal el 24 de julio de 2015, el Letrado del Parlamento de Cataluña, en la representación que ostenta, compareció en el proceso y formuló alegaciones interesando la desestimación del recurso de inconstitucionalidad.</w:t>
      </w:r>
    </w:p>
    <w:p w:rsidR="006B7292" w:rsidRDefault="006B7292" w:rsidP="006B7292">
      <w:pPr>
        <w:pStyle w:val="TextoNormal"/>
      </w:pPr>
    </w:p>
    <w:p w:rsidR="006B7292" w:rsidRDefault="006B7292" w:rsidP="006B7292">
      <w:pPr>
        <w:pStyle w:val="TextoNormal"/>
      </w:pPr>
      <w:r w:rsidRPr="006B7292">
        <w:rPr>
          <w:rStyle w:val="NumeroAFNegritaCaracter"/>
        </w:rPr>
        <w:t>6</w:t>
      </w:r>
      <w:r>
        <w:t>. El Pleno, por providencia de 10 de septiembre de 2015, otorgó a las partes personadas —Abogado del Estado, Gobierno de Cataluña y Parlamento de Cataluña— un plazo de cinco días para que expusieran los que considerasen conveniente acerca del mantenimiento o levantamiento de la suspensión.</w:t>
      </w:r>
    </w:p>
    <w:p w:rsidR="006B7292" w:rsidRDefault="006B7292" w:rsidP="006B7292">
      <w:pPr>
        <w:pStyle w:val="TextoNormal"/>
      </w:pPr>
    </w:p>
    <w:p w:rsidR="006B7292" w:rsidRDefault="006B7292" w:rsidP="006B7292">
      <w:pPr>
        <w:pStyle w:val="TextoNormal"/>
      </w:pPr>
      <w:r w:rsidRPr="006B7292">
        <w:rPr>
          <w:rStyle w:val="NumeroAFNegritaCaracter"/>
        </w:rPr>
        <w:t>7</w:t>
      </w:r>
      <w:r>
        <w:t>. El Abogado del Estado, por escrito registrado en este Tribunal el 21 de septiembre de 2015, formuló sus alegaciones. En su opinión, de acuerdo con la jurisprudencia constitucional recaída en este tipo de incidentes, debe mantenerse la suspensión del inciso del precepto impugnado. A su juicio, el levantamiento de la suspensión produciría un doble quebranto a los intereses generales, pues, por una parte, iría en contra del interés general que exige la adopción de medidas de contención de gasto público y, por otra, sería contraria al interés del personal del sector público que prestara los nuevos servicios públicos y de los ciudadanos que los utilizaran.</w:t>
      </w:r>
    </w:p>
    <w:p w:rsidR="006B7292" w:rsidRDefault="006B7292" w:rsidP="006B7292">
      <w:pPr>
        <w:pStyle w:val="TextoNormal"/>
      </w:pPr>
    </w:p>
    <w:p w:rsidR="006B7292" w:rsidRDefault="006B7292" w:rsidP="006B7292">
      <w:pPr>
        <w:pStyle w:val="TextoNormal"/>
      </w:pPr>
      <w:r>
        <w:t>En relación con el perjuicio que causaría al interés general el levantamiento de la suspensión de la eficacia de la parte del precepto que ha sido recurrido alega que, según se sostiene en el informe de 3 de julio del Ministerio de Hacienda y Administraciones Públicas, la suspensión del precepto es necesaria para que sea real y efectivo el ahorro en los gastos de personal que persigue la prohibición de incrementos retributivos del art. 20.2 de la Ley de presupuestos generales del Estado para 2015. Según se expone, esta finalidad no se conseguiría si se levanta la suspensión de la eficacia del precepto recurrido, pues en tal caso los incrementos retributivos que Cataluña acordase al amparo del art. 34 de la Ley 2/2015, generarían derechos inmediatamente exigibles por los empleados públicos que ocupan los puestos de trabajo, tal y como se pone de manifiesto en el referido informe de 3 de julio de 2015, del Ministerio de Economía y Hacienda. El Abogado del Estado, siguiendo el informe que se acaba de citar, considera que la congelación de las retribuciones del sector público establecidas en el art. 20.2 de la Ley de presupuestos generales del Estado para 2015 constituye uno de los elementos esenciales de contención del gasto público en capítulo de gastos de personal y, dado el peso relativo de los gastos de personal en el conjunto de gastos del sector público, constituye una de las medidas adoptadas para cumplir con los objetivos de déficit asumidos por el Gobierno. Por ello considera que levantar la suspensión de una medida como la prevista en el inciso del precepto autonómico ahora recurrido podría poner en peligro la efectividad de una de las medidas de política económica general orientada a contener la expansión de uno de los componentes esenciales del gasto público. El Abogado del Estado invoca también la doctrina establecida en los AATC 87/2012, 86/2013, 298/2013 para fundamentar que el mantenimiento de la suspensión es una medida necesaria para evitar daños al interés general, pues esta medida garantiza la eficacia de las medidas económicas generales adoptadas por el Estado en materia de contención del endeudamiento público. Por ello considera que el levantamiento de la suspensión supondría una frustración de la política presupuestaria y de contención del gasto, que ocasionaría un grave daño al interés general, que, además de suponer una desigualdad entre las Comunidades Autónomas, tendría como consecuencia que España no cumpliera sus compromisos con la Unión Europea.</w:t>
      </w:r>
    </w:p>
    <w:p w:rsidR="006B7292" w:rsidRDefault="006B7292" w:rsidP="006B7292">
      <w:pPr>
        <w:pStyle w:val="TextoNormal"/>
      </w:pPr>
    </w:p>
    <w:p w:rsidR="006B7292" w:rsidRDefault="006B7292" w:rsidP="006B7292">
      <w:pPr>
        <w:pStyle w:val="TextoNormal"/>
      </w:pPr>
      <w:r>
        <w:t>Por otra parte, señala también que en el caso de que se acordase la suspensión solicitada esta medida no afectaría a las facultades de organización de la Comunidad Autónoma para aprobar cualquier tipo de modificación de plantillas o expedientes de gastos que sean necesarios para la puesta en funcionamiento de nuevos servicios públicos siempre que no conlleve aumento de gastos de personal.</w:t>
      </w:r>
    </w:p>
    <w:p w:rsidR="006B7292" w:rsidRDefault="006B7292" w:rsidP="006B7292">
      <w:pPr>
        <w:pStyle w:val="TextoNormal"/>
      </w:pPr>
    </w:p>
    <w:p w:rsidR="006B7292" w:rsidRDefault="006B7292" w:rsidP="006B7292">
      <w:pPr>
        <w:pStyle w:val="TextoNormal"/>
      </w:pPr>
      <w:r>
        <w:t>Se alega, además, que el levantamiento de la suspensión originaría un grave quebranto para el personal que estuviera destinado en los servicios públicos que se crearan si la sentencia que se dicte finalmente fuera de estimación del recurso y la consiguiente declaración de inconstitucionalidad y nulidad del inciso del precepto, ya que en tal caso habría que suprimir los nuevos servicios creados, lo que provoca una situación de incertidumbre que, a su juicio, debe evitarse. Por el contrario, si se mantiene la suspensión y finalmente el recurso fuese desestimatorio, no se ocasionarían perjuicios, pues al no crearse el nuevo servicio no se crearían expectativas para el personal del sector público. El Abogado del Estado alega, que de acuerdo con la doctrina establecida en el ATC 87/2012, en estos supuestos en los que la norma impugnada incide en la situación administrativa de los empleados públicos, la dificultad de deshacer las situaciones creadas y los perjuicios que todo ello puede generar fundamenta el mantenimiento de la suspensión.</w:t>
      </w:r>
    </w:p>
    <w:p w:rsidR="006B7292" w:rsidRDefault="006B7292" w:rsidP="006B7292">
      <w:pPr>
        <w:pStyle w:val="TextoNormal"/>
      </w:pPr>
    </w:p>
    <w:p w:rsidR="006B7292" w:rsidRDefault="006B7292" w:rsidP="006B7292">
      <w:pPr>
        <w:pStyle w:val="TextoNormal"/>
      </w:pPr>
      <w:r>
        <w:t>Las consideraciones expuestas llevan al Abogado del Estado a solicitar el mantenimiento de la suspensión del inciso del precepto impugnado.</w:t>
      </w:r>
    </w:p>
    <w:p w:rsidR="006B7292" w:rsidRDefault="006B7292" w:rsidP="006B7292">
      <w:pPr>
        <w:pStyle w:val="TextoNormal"/>
      </w:pPr>
    </w:p>
    <w:p w:rsidR="006B7292" w:rsidRDefault="006B7292" w:rsidP="006B7292">
      <w:pPr>
        <w:pStyle w:val="TextoNormal"/>
      </w:pPr>
      <w:r w:rsidRPr="006B7292">
        <w:rPr>
          <w:rStyle w:val="NumeroAFNegritaCaracter"/>
        </w:rPr>
        <w:t>8</w:t>
      </w:r>
      <w:r>
        <w:t>. La Generalitat de Cataluña presentó su escrito de alegaciones el 28 de septiembre de 2015. Tras exponer la doctrina constitucional sobre los criterios que deben regir el mantenimiento o levantamiento de la suspensión en este tipo de incidentes, aduce que, en este caso, debe levantarse la suspensión al considerar que la eficacia del inciso del precepto impugnado no origina daños irreversibles o de difícil reparación, reales y efectivos, a los intereses generales ni a los de terceros. La Generalitat alega, en primer lugar, que no existe contradicción entre el inciso impugnado y la normativa básica estatal. Según se aduce, el inciso del art. 34 de la Ley de presupuestos generales de Cataluña impugnado permite a los órganos o unidades de los departamentos de la Generalitat de Cataluña o a las entidades de su sector público que puedan tramitar expedientes de ampliación de plantillas que comporten para dicha unidad un incremento global de su gasto de personal, siempre que sea para la puesta en marcha de nuevos servicios y cuenten con la autorización del Gobierno. Ahora bien, según sostiene la Abogada de la Generalitat, este incremento de plantilla y gasto de personal no conlleva en ningún caso un incremento de la masa salarial del personal al servicio de la Generalitat de Cataluña y de su sector público, puesto que, para que tal incremento se produzca es necesario haber reducido gastos de personal en otro servicio, quedando así compensado globalmente el gasto de personal de todo el sector público de la Generalitat. De otro modo, de acuerdo con lo previsto en el art. 16 de la Ley de presupuestos generales de Cataluña, el acto será nulo.</w:t>
      </w:r>
    </w:p>
    <w:p w:rsidR="006B7292" w:rsidRDefault="006B7292" w:rsidP="006B7292">
      <w:pPr>
        <w:pStyle w:val="TextoNormal"/>
      </w:pPr>
    </w:p>
    <w:p w:rsidR="006B7292" w:rsidRDefault="006B7292" w:rsidP="006B7292">
      <w:pPr>
        <w:pStyle w:val="TextoNormal"/>
      </w:pPr>
      <w:r>
        <w:t>Se afirma también que la interpretación conjunta y sistemática de los arts. 33 y 34 de la Ley de presupuestos generales de Cataluña conduce a entender que no existe una contradicción entre esta normativa y la básica estatal. Estos preceptos no infringen lo dispuesto en el art. 21 de la Ley de presupuestos generales del Estado para 2015, en relación con el cumplimiento de las limitaciones a la oferta de empleo público, puesto que el art. 33.1 de la Ley de presupuestos de Cataluña, recoge literalmente el contenido de art. 21.1 de la Ley de presupuestos del Estado, que dispone que en el ejercicio 2015 las ofertas de empleo público que se aprueben deberán ajustarse a las disponibilidades presupuestarias y a las tasas de reposición de efectivos de la normativa básica estatal. De igual modo, también se adecua a la normativa básica estatal el apartado 2 del art. 33 de la Ley de presupuestos de Cataluña, que, en relación con la incorporación de nuevo personal en las sociedades mercantiles públicas, fundaciones del sector público y consorcios participados, se remite en su integridad a las determinaciones de la referida normativa. Y a la misma conclusión se llega respecto el apartado 4 del art. 33 de la Ley de presupuestos de Cataluña, al regular el nombramiento de funcionarios y personal interino y la contratación de personal temporal, pues, según sostiene la Generalitat, se adapta en su integridad al art. 21.2 de la Ley de presupuestos del Estado, al no permitir nuevos nombramientos ni nuevos contratos, salvo en los casos excepcionales que cita, y para ello reproduce literalmente la norma estatal.</w:t>
      </w:r>
    </w:p>
    <w:p w:rsidR="006B7292" w:rsidRDefault="006B7292" w:rsidP="006B7292">
      <w:pPr>
        <w:pStyle w:val="TextoNormal"/>
      </w:pPr>
    </w:p>
    <w:p w:rsidR="006B7292" w:rsidRDefault="006B7292" w:rsidP="006B7292">
      <w:pPr>
        <w:pStyle w:val="TextoNormal"/>
      </w:pPr>
      <w:r>
        <w:t>Por todo ello, se sostiene que el contraste de los preceptos básicos —arts. 20 y 21 y las disposiciones adicionales decimoquinta a decimoséptima de la Ley de presupuestos generales del Estado— con los arts. 16, 33 y 34 Ley de presupuestos generales de Cataluña demuestra que no existe disparidad alguna entre ellos. No obstante, se alega también que como esta cuestión es, precisamente, la cuestión de fondo planteada en este proceso constitucional, es preciso examinar si la eficacia del inciso impugnado puede causar o no daños de difícil o imposible reparación a los intereses generales o a los de terceros.</w:t>
      </w:r>
    </w:p>
    <w:p w:rsidR="006B7292" w:rsidRDefault="006B7292" w:rsidP="006B7292">
      <w:pPr>
        <w:pStyle w:val="TextoNormal"/>
      </w:pPr>
    </w:p>
    <w:p w:rsidR="006B7292" w:rsidRDefault="006B7292" w:rsidP="006B7292">
      <w:pPr>
        <w:pStyle w:val="TextoNormal"/>
      </w:pPr>
      <w:r>
        <w:t>La Abogada de la Generalitat entiende que la eficacia del precepto impugnado no pone en peligro la efectividad de la medida de política económica general de limitar el incremento de gasto de personal dado que, en definitiva, el incremento de gasto que se genere debe ser compensado mediante la correspondiente reducción de gasto de personal, pues de otro modo ese acto será nulo de pleno derecho. Entiende, además, que el interés del Estado en que no se incremente el gasto de personal en este periodo queda garantizado por los diversos mecanismos judiciales que dispone para reaccionar frente a actos o resoluciones que incumplan la normativa básica.</w:t>
      </w:r>
    </w:p>
    <w:p w:rsidR="006B7292" w:rsidRDefault="006B7292" w:rsidP="006B7292">
      <w:pPr>
        <w:pStyle w:val="TextoNormal"/>
      </w:pPr>
    </w:p>
    <w:p w:rsidR="006B7292" w:rsidRDefault="006B7292" w:rsidP="006B7292">
      <w:pPr>
        <w:pStyle w:val="TextoNormal"/>
      </w:pPr>
      <w:r>
        <w:t>Junto a ello se alega también que el mantenimiento de la suspensión del precepto impugnado impide a la Generalitat tramitar expedientes singulares de ampliación de plantilla imposibilitando la puesta en marcha de nuevos servicios públicos (por ejemplo, una nueva línea de ferrocarril o la apertura de un nuevo hospital) con el correspondiente incremento de plantilla y gasto de personal en la nueva unidad, aunque este incremento de gasto se efectúe con la equivalente reducción global de gasto de personal y de plantilla, lo que impide que pueda haber un incremento de la masa salarial del personal al servicio de la Generalitat y de su sector público, que es lo que prohíbe la norma básica estatal. Por ello se considera que el mantenimiento de la suspensión genera un evidente perjuicio a la Administración de la Generalitat y a la ciudadanía al limitar severamente el funcionamiento regular de los nuevos servicios.</w:t>
      </w:r>
    </w:p>
    <w:p w:rsidR="006B7292" w:rsidRDefault="006B7292" w:rsidP="006B7292">
      <w:pPr>
        <w:pStyle w:val="TextoNormal"/>
      </w:pPr>
    </w:p>
    <w:p w:rsidR="006B7292" w:rsidRDefault="006B7292" w:rsidP="006B7292">
      <w:pPr>
        <w:pStyle w:val="TextoNormal"/>
      </w:pPr>
      <w:r>
        <w:t>Por todo ello se considera que el mantenimiento de la suspensión del último inciso del art. 34 de la Ley de presupuestos generales de Cataluña limita a la Generalitat de Cataluña el ejercicio de su potestad de autoorganización al impedirle crear nuevos servicios dentro de los márgenes que establece la normativa básica estatal, por lo que interesa que se levante la suspensión del último inciso del art. 34 de la Ley 2/2015, de 11 de marzo, de presupuestos de la Generalitat de Cataluña para 2015.</w:t>
      </w:r>
    </w:p>
    <w:p w:rsidR="006B7292" w:rsidRDefault="006B7292" w:rsidP="006B7292">
      <w:pPr>
        <w:pStyle w:val="TextoNormal"/>
      </w:pPr>
    </w:p>
    <w:p w:rsidR="006B7292" w:rsidRDefault="006B7292" w:rsidP="006B7292">
      <w:pPr>
        <w:pStyle w:val="TextoNormal"/>
      </w:pPr>
      <w:r w:rsidRPr="006B7292">
        <w:rPr>
          <w:rStyle w:val="NumeroAFNegritaCaracter"/>
        </w:rPr>
        <w:t>9</w:t>
      </w:r>
      <w:r>
        <w:t>. El Parlamento de Cataluña, por escrito registrado en este Tribunal el 29 de septiembre de 2015, formuló alegaciones. El letrado del Parlamento expone en primer lugar la doctrina constitucional sobre la resolución de este tipo de incidentes de suspensión. A continuación, pone de manifiesto que, de acuerdo con la referida doctrina, el Tribunal debe partir de la presunción de legitimidad de las normas, en especial las que tienen fuerza de ley. Por ello considera que, como el inciso del precepto recurrido es una ley aprobada por el Parlamento de Cataluña, la posibilidad de que se mantenga su suspensión es excepcional y solo procederá en el caso de que se demostrara que su eficacia produce unos perjuicios muy graves e irreparables al interés general o a terceros afectados, pues, de otro modo, en virtud del principio de presunción de legitimidad de las normas y de la actuación constitucional de los poderes públicos, debería levantarse la suspensión.</w:t>
      </w:r>
    </w:p>
    <w:p w:rsidR="006B7292" w:rsidRDefault="006B7292" w:rsidP="006B7292">
      <w:pPr>
        <w:pStyle w:val="TextoNormal"/>
      </w:pPr>
    </w:p>
    <w:p w:rsidR="006B7292" w:rsidRDefault="006B7292" w:rsidP="006B7292">
      <w:pPr>
        <w:pStyle w:val="TextoNormal"/>
      </w:pPr>
      <w:r>
        <w:t>Según sostiene el Letrado del Parlamento de Cataluña, el levantamiento de la suspensión del último inciso del art. 34 de la Ley 2/2015, de 11 de marzo, de presupuestos de la Generalitat de Cataluña para 2015, no supone ningún perjuicio irreparable o de difícil reparación ni para los intereses generales ni tampoco para los privados, pues el inciso recurrido no permite en ningún caso un incremento de la masa salarial del personal al servicio de la Generalitat de Cataluña y de su sector público, puesto que el incremento de gasto que la creación de los nuevos servicios pueda generar no puede conllevar un aumento global del gasto de personal, pues, si así fuese, este incremento de gasto, estaría viciado de nulidad, de acuerdo con lo dispuesto en el art. 16.1 de la Ley 2/2015, y el Gobierno de la nación podría impugnarlo. De ahí que se considere que los perjuicios que pudiera causar el levantamiento de la suspensión no son actuales o de materialización en un futuro inmediato, y por ello se considera que si tales daños se produjeran sería entonces, en un nuevo incidente, cuando deberían invocarse.</w:t>
      </w:r>
    </w:p>
    <w:p w:rsidR="006B7292" w:rsidRDefault="006B7292" w:rsidP="006B7292">
      <w:pPr>
        <w:pStyle w:val="TextoNormal"/>
      </w:pPr>
    </w:p>
    <w:p w:rsidR="006B7292" w:rsidRDefault="006B7292" w:rsidP="006B7292">
      <w:pPr>
        <w:pStyle w:val="TextoNormal"/>
      </w:pPr>
      <w:r>
        <w:t>A juicio del Letrado del Parlamento de Cataluña, es el mantenimiento de la suspensión lo que ocasiona daños de imposible o difícil reparación, pues daría lugar a la “congelación” de la estructura administrativa y de personal de la Generalitat, lo que conllevaría, a su vez, que su autonomía política estuviera también “congelada” y supondría un claro perjuicio para el sistema de autogobierno de la Generalitat de Cataluña.</w:t>
      </w:r>
    </w:p>
    <w:p w:rsidR="006B7292" w:rsidRDefault="006B7292" w:rsidP="006B7292">
      <w:pPr>
        <w:pStyle w:val="TextoNormal"/>
      </w:pPr>
    </w:p>
    <w:p w:rsidR="006B7292" w:rsidRDefault="006B7292" w:rsidP="006B7292">
      <w:pPr>
        <w:pStyle w:val="TextoNormal"/>
      </w:pPr>
      <w:r>
        <w:t>Por todo ello, solicita que se acuerde el levantamiento de la suspensión del último inciso del art. 34 de la Ley 2/2015, de 11 de marzo, de presupuestos de la Generalitat de Cataluña para 2015.</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objeto de la presente resolución consiste en determinar si procede levantar o mantener la suspensión del último inciso del art. 34 de la Ley 2/2015, de 11 de marzo, de presupuestos de la Generalitat de Cataluña para 2015 (“previa autorización del Gobierno, de la puesta en funcionamiento de nuevos servicios públicos”) que se encuentra suspendido en su aplicación como consecuencia de la invocación del art. 161.2 CE en el recurso de inconstitucionalidad promovido contra el mismo por el Presidente del Gobierno.</w:t>
      </w:r>
    </w:p>
    <w:p w:rsidR="006B7292" w:rsidRDefault="006B7292" w:rsidP="006B7292">
      <w:pPr>
        <w:pStyle w:val="TextoNormal"/>
      </w:pPr>
    </w:p>
    <w:p w:rsidR="006B7292" w:rsidRDefault="006B7292" w:rsidP="006B7292">
      <w:pPr>
        <w:pStyle w:val="TextoNormal"/>
      </w:pPr>
      <w:r w:rsidRPr="006B7292">
        <w:rPr>
          <w:rStyle w:val="NumeroAFNegritaCaracter"/>
        </w:rPr>
        <w:t>2</w:t>
      </w:r>
      <w:r>
        <w:t>. De acuerdo con la doctrina reiterada de este Tribunal para decidir acerca del mantenimiento o levantamiento de la suspensión es necesario, como declaran, entre otros muchos, los AATC 157/2013, de 11 de julio, FJ 2; y 67/2015, de 14 de abril, FJ 1,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w:t>
      </w:r>
    </w:p>
    <w:p w:rsidR="006B7292" w:rsidRDefault="006B7292" w:rsidP="006B7292">
      <w:pPr>
        <w:pStyle w:val="TextoNormal"/>
      </w:pPr>
    </w:p>
    <w:p w:rsidR="006B7292" w:rsidRDefault="006B7292" w:rsidP="006B7292">
      <w:pPr>
        <w:pStyle w:val="TextoNormal"/>
      </w:pPr>
      <w:r>
        <w:t>Resulta, por tanto, que, el objeto de este incidente no es vindicar o defender la titularidad de la competencia discutida, sino alegar y acreditar o, al menos razonar consistentemente, que la vigencia del inciso recurrido puede ocasionar perjuicios irreparables o de difícil reparación a los intereses generales o a terceros. Por ello, de lo que en este incidente se trata es de dilucidar si los perjuicios que han sido alegados por el Abogado del Estado, tienen la gravedad y consistencia necesarias como para prevalecer sobre la presunción de legitimidad de la Ley recurrida (AATC 75/2010, de 30 de junio, FJ 2; 157/2013, FJ 2; 298/2013, FJ 2, y 265/2014, de 4 de noviembre, FJ 2), pues solo en el caso de que se acrediten tales perjuicios podrá mantenerse la suspensión de la norma impugnada.</w:t>
      </w:r>
    </w:p>
    <w:p w:rsidR="006B7292" w:rsidRDefault="006B7292" w:rsidP="006B7292">
      <w:pPr>
        <w:pStyle w:val="TextoNormal"/>
      </w:pPr>
    </w:p>
    <w:p w:rsidR="006B7292" w:rsidRDefault="006B7292" w:rsidP="006B7292">
      <w:pPr>
        <w:pStyle w:val="TextoNormal"/>
      </w:pPr>
      <w:r w:rsidRPr="006B7292">
        <w:rPr>
          <w:rStyle w:val="NumeroAFNegritaCaracter"/>
        </w:rPr>
        <w:t>3</w:t>
      </w:r>
      <w:r>
        <w:t>. Como ha quedado expuesto en los antecedentes, el Abogado del Estado solicita el mantenimiento de la suspensión del inciso recurrido (“previa autorización del Gobierno, de la puesta en funcionamiento de nuevos servicios públicos”) del art. 34 de la Ley del Parlamento de Cataluña 2/2015, de 11 de marzo, de presupuestos generales de la Generalitat de Cataluña para 2015. A su juicio, el levantamiento de la suspensión produciría unos graves e irreparables daños al interés general, pues impediría la efectividad de las medidas adoptadas por el Estado para la contención del déficit público. El Abogado del Estado, con apoyo en el informe elaborado por el Director General de Costes de Personal y Pensiones Públicas el 17 de septiembre de 2015, considera que la creación de los nuevos servicios que permite el precepto impugnado supondría un incremento de gasto en materia de personal incompatible con las medidas establecidas por el Estado para contener el gasto público, lo que conllevaría, además, que España no pudiera cumplir el compromiso adquirido con la Unión Europea en relación con esta materia. También se alega que crearía desigualdad entre las Comunidades Autónomas.</w:t>
      </w:r>
    </w:p>
    <w:p w:rsidR="006B7292" w:rsidRDefault="006B7292" w:rsidP="006B7292">
      <w:pPr>
        <w:pStyle w:val="TextoNormal"/>
      </w:pPr>
    </w:p>
    <w:p w:rsidR="006B7292" w:rsidRDefault="006B7292" w:rsidP="006B7292">
      <w:pPr>
        <w:pStyle w:val="TextoNormal"/>
      </w:pPr>
      <w:r>
        <w:t>Junto a ello se sostiene que el levantamiento de la suspensión causaría perjuicios graves a los empleados del sector público catalán y a los usuarios de los nuevos servicios en el supuesto de que la norma fuera declarada inconstitucional, pues tal declaración determinaría la supresión de los servicios creados y la eliminación de las situaciones que inciden en la situación profesional de los empleados públicos del sector público catalán. Por ello considera que, dada la dificultad de deshacer las situaciones que en materia de personal supondría la creación de tales servicios, ha de mantenerse la suspensión de la norma impugnada, invocando a estos efectos la doctrina establecida en el ATC 87/2012, de 10 de mayo, FJ 10. Según sostiene el Abogado del Estado esta situación de incertidumbre no se produciría si se mantiene la suspensión del inciso recurrido.</w:t>
      </w:r>
    </w:p>
    <w:p w:rsidR="006B7292" w:rsidRDefault="006B7292" w:rsidP="006B7292">
      <w:pPr>
        <w:pStyle w:val="TextoNormal"/>
      </w:pPr>
    </w:p>
    <w:p w:rsidR="006B7292" w:rsidRDefault="006B7292" w:rsidP="006B7292">
      <w:pPr>
        <w:pStyle w:val="TextoNormal"/>
      </w:pPr>
      <w:r>
        <w:t>Por el contario, tanto la Generalitat como el Parlamento de Cataluña sostienen que el levantamiento de la suspensión no produciría los daños de difícil o imposible reparación aducidos por el Abogado del Estado, pues entienden que el inciso recurrido no puede originarlos ya que la previsión que en él se contiene no es contraria a las medidas estatales de contención de gasto público. A su juicio, la creación de los nuevos servicios no puede conllevar un incremento global de la plantilla de personal del sector público catalán, ya que para crear nuevos servicios es preciso primero haber reducido el gasto de personal en otros servicios. De ahí que, en su opinión, la vigencia del precepto no puede ocasionar perjuicios a las medidas estatales de contención de gasto público, pues su creación no puede conllevar un incremento global de la masa salarial del personal al servicio de la Generalitat y de su sector público.</w:t>
      </w:r>
    </w:p>
    <w:p w:rsidR="006B7292" w:rsidRDefault="006B7292" w:rsidP="006B7292">
      <w:pPr>
        <w:pStyle w:val="TextoNormal"/>
      </w:pPr>
    </w:p>
    <w:p w:rsidR="006B7292" w:rsidRDefault="006B7292" w:rsidP="006B7292">
      <w:pPr>
        <w:pStyle w:val="TextoNormal"/>
      </w:pPr>
      <w:r>
        <w:t>Para determinar si la vigencia del inciso del precepto recurrido causa o no los graves e irreparables perjuicios alegados por el Abogado del Estado es preciso, en primer lugar, determinar si el referido inciso permite la creación de los nuevos servicios públicos aunque su instauración conlleve un aumento del gasto global en materia de personal, tal y como sostiene el Abogado del Estado o, por el contrario, su creación solo es posible si no conlleva un incremento de la masa salarial del personal al servicio del sector público catalán, como sostienen la Generalitat y el Parlamento de Cataluña. Si este fuera el sentido del inciso recurrido, al no afectar al gasto global en materia de personal de la Generalitat y de su sector público, no podría impedir la efectividad de las medidas adoptadas por el Estado con el fin de contener del déficit público, por lo que en tal caso ningún perjuicio ocasionaría la vigencia de la norma a los intereses generales.</w:t>
      </w:r>
    </w:p>
    <w:p w:rsidR="006B7292" w:rsidRDefault="006B7292" w:rsidP="006B7292">
      <w:pPr>
        <w:pStyle w:val="TextoNormal"/>
      </w:pPr>
    </w:p>
    <w:p w:rsidR="006B7292" w:rsidRDefault="006B7292" w:rsidP="006B7292">
      <w:pPr>
        <w:pStyle w:val="TextoNormal"/>
      </w:pPr>
      <w:r>
        <w:t>El tenor del precepto en el que se encuentra el inciso impugnado impide llegar a la conclusión que sostienen tanto la Generalitat como el Parlamento de Cataluña. El art. 34 de la Ley 2/2015 dispone que “[e]n el ejercicio 2015 no pueden tramitarse expedientes de ampliación de plantilla ni disposiciones o expedientes de creación o de reestructuración de unidades orgánicas que conlleven un incremento global del gasto de personal, salvo las unidades derivadas de un traspaso de servicios o, previa autorización del Gobierno, de la puesta en funcionamiento de nuevos servicios públicos”, por lo que es claro que este precepto establece una regla general: la prohibición de tramitar expedientes de ampliación de plantillas o de creación o reestructuración de unidades orgánicas que conlleven un incremento global en materia de gastos de personal y dos excepciones a esa regla general (“salvo”): la primera, que se trate de unidades derivadas de un traspaso de servicios, y la segunda, establecida en el inciso recurrido, que, “previa autorización del Gobierno, de la puesta en funcionamiento de nuevos servicios públicos”.</w:t>
      </w:r>
    </w:p>
    <w:p w:rsidR="006B7292" w:rsidRDefault="006B7292" w:rsidP="006B7292">
      <w:pPr>
        <w:pStyle w:val="TextoNormal"/>
      </w:pPr>
    </w:p>
    <w:p w:rsidR="006B7292" w:rsidRDefault="006B7292" w:rsidP="006B7292">
      <w:pPr>
        <w:pStyle w:val="TextoNormal"/>
      </w:pPr>
      <w:r>
        <w:t>Resulta por tanto que, de acuerdo con lo expresamente dispuesto en el art. 34 de la Ley 2/2015, en el inciso recurrido, se está estableciendo una excepción a la regla general que impide ampliar la plantilla si conlleva un incremento de los gastos globales en materia de personal. De otro modo, carecería de sentido la salvedad que se establece, ya que la creación de nuevos servicios que no conlleven un aumento global en los gastos de personal no se encuentra prohibida por la limitación del incremento de gastos en materia personal que, como regla general, establece el art. 34 de la Ley 2/2015 en su primer inciso.</w:t>
      </w:r>
    </w:p>
    <w:p w:rsidR="006B7292" w:rsidRDefault="006B7292" w:rsidP="006B7292">
      <w:pPr>
        <w:pStyle w:val="TextoNormal"/>
      </w:pPr>
    </w:p>
    <w:p w:rsidR="006B7292" w:rsidRDefault="006B7292" w:rsidP="006B7292">
      <w:pPr>
        <w:pStyle w:val="TextoNormal"/>
      </w:pPr>
      <w:r>
        <w:t>En consecuencia, ha de entenderse que el inciso impugnado establece la posibilidad de que, si el Gobierno de la Generalitat lo autoriza, puedan crearse nuevos servicios públicos aunque su creación conlleve un incremento global de los gastos de personal. Sin prejuzgar la cuestión de fondo que se plantea en el presente recurso de inconstitucionalidad, ha de tenerse en cuenta que las limitaciones de la masa retributiva global del sector público establecidas en los arts. 20 y 21 de la Ley 36/2014, de presupuestos generales del Estado para el año 2015 (el artículo 20.2 en relación con las retribuciones del personal y el 21.1, respecto de la oferta de empleo público) constituye una medida tendente a la contención del gasto público. En relación con este tipo de medidas, en particular respecto a las adoptadas en materia de retribuciones de los empleados públicos, este Tribunal, como pone de manifiesto el ATC 298/2013, de 17 de diciembre, FJ 4, ha entendido que “se trata de una medida dirigida a contener la expansión relativa de uno de los componentes esenciales del gasto público (STC 63/1986, de 21 de mayo, FJ 11), ‘puesto que la incidencia en la autonomía financiera y presupuestaria de las Comunidades Autónomas está directamente relacionada con la responsabilidad del Estado de garantizar el equilibrio económico general’ (STC 148/2006, FJ 6; y SSTC 171/1996, de 30 de octubre, FJ 2; y 103/1997, de 22 de mayo FJ 1).” (ATC 86/2013, de 23 de abril, FJ 5).</w:t>
      </w:r>
    </w:p>
    <w:p w:rsidR="006B7292" w:rsidRDefault="006B7292" w:rsidP="006B7292">
      <w:pPr>
        <w:pStyle w:val="TextoNormal"/>
      </w:pPr>
    </w:p>
    <w:p w:rsidR="006B7292" w:rsidRDefault="006B7292" w:rsidP="006B7292">
      <w:pPr>
        <w:pStyle w:val="TextoNormal"/>
      </w:pPr>
      <w:r>
        <w:t>De igual modo, este Tribunal ha sostenido que la adopción por parte de las Comunidades Autónomas de medidas que puedan impedir la eficacia de las adoptadas por el Estado para contener el gasto público puede causar un daño grave e irreparable a los intereses generales. El ATC 108/2011, de 5 de julio, acordó mantener la suspensión de la norma impugnada al considerar que su eficacia podía poner en peligro la efectividad de una medida de política económica general —la restricción del acceso al crédito por parte de las corporaciones locales— “encaminada a lograr la contención del déficit y endeudamiento públicos, con las correlativas e indeseables consecuencias que, en el contexto de la actual situación económica y financiera, pudieran generarse para el conjunto de la economía española y, en especial para el equilibrio financiero de las cuentas públicas” Según se afirma en esta resolución, en estos casos, “el mantenimiento de la suspensión aparece como lo más conveniente para los intereses generales”. A la misma conclusión llegaron el ATC 86/2013, de 23 de abril, que mantuvo la suspensión de la decisión del Gobierno Vasco por la que se establecía que los trabajadores del sector público vasco cobrasen la paga extraordinaria y el ATC 298/2013, que mantuvo la suspensión de la Ley Foral 25/2013, de 2 de julio, por la que se creó, con efectos para el año 2012, un complemento personal transitorio por pérdida de poder adquisitivo. En todos estos casos el Tribunal ha apreciado que poner en riesgo la efectividad de las medidas estatales que tienen como finalidad contener el gasto público constituye un perjuicio con la entidad suficiente para acordar el mantenimiento de la suspensión de la norma o resolución autonómica impugnada que produce el referido efecto.</w:t>
      </w:r>
    </w:p>
    <w:p w:rsidR="006B7292" w:rsidRDefault="006B7292" w:rsidP="006B7292">
      <w:pPr>
        <w:pStyle w:val="TextoNormal"/>
      </w:pPr>
    </w:p>
    <w:p w:rsidR="006B7292" w:rsidRDefault="006B7292" w:rsidP="006B7292">
      <w:pPr>
        <w:pStyle w:val="TextoNormal"/>
      </w:pPr>
      <w:r>
        <w:t>En el presente caso, el inciso del precepto recurrido, al constituir una excepción a la regla general que establece ese mismo precepto por la que se prohíbe el incremento global de los gastos en materia de personal, puede afectar a las medidas de contención de gasto de personal establecidas por el legislador estatal e impedir la eficacia de una de las medidas de política económica general —la que impone la limitación de la masa retributiva global del sector público— por lo que, con el fin de evitar graves e irreparables daños al interés general debe mantenerse su suspensión.</w:t>
      </w:r>
    </w:p>
    <w:p w:rsidR="006B7292" w:rsidRDefault="006B7292" w:rsidP="006B7292">
      <w:pPr>
        <w:pStyle w:val="TextoNormal"/>
      </w:pPr>
    </w:p>
    <w:p w:rsidR="006B7292" w:rsidRDefault="006B7292" w:rsidP="006B7292">
      <w:pPr>
        <w:pStyle w:val="TextoNormal"/>
      </w:pPr>
      <w:r>
        <w:t>Junto a ello debe tenerse en cuenta que, como ha puesto de manifiesto el Abogado del Estado, la vigencia del inciso del precepto recurrido es susceptible también de ocasionar otros perjuicios al interés general. La puesta en funcionamiento de los nuevos servicios a los que se refiere la norma impugnada exige el establecimiento de una plantilla de personal que lleve a cabo su prestación, lo que va a dar lugar a la creación de nuevas situaciones jurídicas en materia de personal. Estas nuevas situaciones jurídicas creadas como consecuencia de la vigencia de la norma pueden llegar a consolidarse, y por esta razón, en el caso de que la norma fuera declarada inconstitucional, serían muy difíciles de eliminar. De ahí que también por este motivo la vigencia del precepto ocasionaría un perjuicio grave al interés general (AATC 87/2012, de 10 de mayo, FJ 3; y 356/1993, de 1 de diciembre, FJ 2). Esta circunstancia tiene especial relevancia en este caso, en el que la creación de esos servicios conlleva no respetar el límite en el aumento de gasto de personal que con carácter general establece el art. 34 de la Ley 2/2015, pues supondría que el sector público catalán tuviera un gasto global en materia de personal que no se ajustaría a sus previsiones globales de gasto público.</w:t>
      </w:r>
    </w:p>
    <w:p w:rsidR="006B7292" w:rsidRDefault="006B7292" w:rsidP="006B7292">
      <w:pPr>
        <w:pStyle w:val="TextoNormal"/>
      </w:pPr>
    </w:p>
    <w:p w:rsidR="006B7292" w:rsidRDefault="006B7292" w:rsidP="006B7292">
      <w:pPr>
        <w:pStyle w:val="TextoNormal"/>
      </w:pPr>
      <w:r>
        <w:t>En conclusión, procede mantener la suspensión del último inciso del art. 34 de la Ley 2/2015, de 11 de marzo, de presupuestos de la Generalitat de Cataluña para 2015 (“previa autorización del Gobierno, de la puesta en funcionamiento de nuevos servicios públicos”).</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Mantener la suspensión del inciso último (“previa autorización del Gobierno, de la puesta en funcionamiento de nuevos servicios públicos”) del art. 34 de la Ley 2/2015, de 11 de marzo, de presupuestos de la Generalitat de Cataluña para el 2015.</w:t>
      </w:r>
    </w:p>
    <w:p w:rsidR="006B7292" w:rsidRDefault="006B7292" w:rsidP="006B7292">
      <w:pPr>
        <w:pStyle w:val="TextoNormal"/>
      </w:pPr>
    </w:p>
    <w:p w:rsidR="006B7292" w:rsidRDefault="006B7292" w:rsidP="006B7292">
      <w:pPr>
        <w:pStyle w:val="TextoNormal"/>
      </w:pPr>
      <w:r>
        <w:t>Madrid, a tres de noviembre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96" w:name="AUTO_2015_182"/>
      <w:r>
        <w:t>AUTO 182/2015, de 3 de noviembre de 2015</w:t>
      </w:r>
    </w:p>
    <w:bookmarkEnd w:id="196"/>
    <w:p w:rsidR="006B7292" w:rsidRDefault="006B7292" w:rsidP="006B7292">
      <w:pPr>
        <w:pStyle w:val="TtuloResolucin"/>
      </w:pPr>
      <w:r>
        <w:t>Pleno</w:t>
      </w:r>
    </w:p>
    <w:p w:rsidR="006B7292" w:rsidRDefault="006B7292" w:rsidP="006B7292">
      <w:pPr>
        <w:pStyle w:val="TextoNormalCentrado"/>
      </w:pPr>
      <w:r>
        <w:t>ECLI:ES:TC:2015:182A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Mantiene la suspensión acordada en el recurso de inconstitucionalidad 3493-2015, interpuesto por el Presidente del Gobierno en relación con diversos preceptos de la Ley del Parlamento de Cataluña 3/2015, de 11 de marzo, de medidas fiscales, financieras y administrativas.</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Por escrito registrado en el Tribunal Constitucional el 15 de junio de 2015, el Abogado del Estado interpuso, en representación del Presidente del Gobierno, recurso de inconstitucionalidad contra los artículos 69 y 95, así como contra las disposiciones adicionales vigesimosegunda, vigesimotercera, vigesimocuarta, vigesimoquinta y vigesimosexta de la Ley de Cataluña 3/2015, de 11 de marzo, de medidas fiscales, financieras y administrativas, publicada en el “Diario Oficial de la Generalitat de Cataluña” núm. 6830, de 13 de marzo de 2015. El Abogado del Estado invocó el art. 161.2 CE y el art. 30 de la Ley Orgánica del Tribunal Constitucional (LOTC), en orden a la suspensión de la vigencia y aplicación de los preceptos impugnados.</w:t>
      </w:r>
    </w:p>
    <w:p w:rsidR="006B7292" w:rsidRDefault="006B7292" w:rsidP="006B7292">
      <w:pPr>
        <w:pStyle w:val="TextoNormal"/>
      </w:pPr>
    </w:p>
    <w:p w:rsidR="006B7292" w:rsidRDefault="006B7292" w:rsidP="006B7292">
      <w:pPr>
        <w:pStyle w:val="TextoNormal"/>
      </w:pPr>
      <w:r w:rsidRPr="006B7292">
        <w:rPr>
          <w:rStyle w:val="NumeroAFNegritaCaracter"/>
        </w:rPr>
        <w:t>2</w:t>
      </w:r>
      <w:r>
        <w:t>. Por providencia de 25 de junio de 2015, el Pleno del Tribunal, a propuesta de la Sección Segunda, acordó admitir a trámite el recurso de inconstitucionalidad y dar traslado de la demanda y documentos presentados (art. 34 LOTC) al Congreso de los Diputados y al Senado, así como a la Generalitat de Cataluña y al Parlamento de Cataluña, para que en el plazo de quince días pudieran personarse en el proceso y formular las alegaciones que estimaren convenientes; tener por invocado por el Presidente del Gobierno el art. 161.2 CE, lo que, a su tenor y conforme dispone el art. 30 LOTC, produce la suspensión de la vigencia y aplicación de los preceptos impugnados desde la fecha de interposición del recurso, 15 de junio de 2015, para las partes del proceso y desde el día en que aparezca publicada la suspensión en el “Boletín Oficial del Estado” para los terceros, comunicándose así a los Presidentes de la Generalitat y del Parlamento de Cataluña. Se acordó, por último, publicar la incoación del recurso en el “Boletín Oficial del Estado” y en el “Diari Oficial de la Generalitat de Cataluña”.</w:t>
      </w:r>
    </w:p>
    <w:p w:rsidR="006B7292" w:rsidRDefault="006B7292" w:rsidP="006B7292">
      <w:pPr>
        <w:pStyle w:val="TextoNormal"/>
      </w:pPr>
    </w:p>
    <w:p w:rsidR="006B7292" w:rsidRDefault="006B7292" w:rsidP="006B7292">
      <w:pPr>
        <w:pStyle w:val="TextoNormal"/>
      </w:pPr>
      <w:r w:rsidRPr="006B7292">
        <w:rPr>
          <w:rStyle w:val="NumeroAFNegritaCaracter"/>
        </w:rPr>
        <w:t>3</w:t>
      </w:r>
      <w:r>
        <w:t>. Por sendos escritos registrados en el Tribunal Constitucional el 9 de julio de 2015, el Presidente del Congreso de los Diputados y el Presidente del Senado comunicaron que, por acuerdo de la Mesa de sus respectivas Cámaras, se había acordado darse por personadas en este procedimiento y ofrecer su colaboración a los efectos del art. 88.1 LOTC.</w:t>
      </w:r>
    </w:p>
    <w:p w:rsidR="006B7292" w:rsidRDefault="006B7292" w:rsidP="006B7292">
      <w:pPr>
        <w:pStyle w:val="TextoNormal"/>
      </w:pPr>
    </w:p>
    <w:p w:rsidR="006B7292" w:rsidRDefault="006B7292" w:rsidP="006B7292">
      <w:pPr>
        <w:pStyle w:val="TextoNormal"/>
      </w:pPr>
      <w:r w:rsidRPr="006B7292">
        <w:rPr>
          <w:rStyle w:val="NumeroAFNegritaCaracter"/>
        </w:rPr>
        <w:t>4</w:t>
      </w:r>
      <w:r>
        <w:t>. Los Abogados de la Generalitat de Cataluña, en representación del Gobierno de la Generalitat, cumplimentaron el trámite de alegaciones mediante escrito registrado en este Tribunal el 23 de julio de 2015, en el que se solicita se acuerde desestimar el recurso y declarar que los preceptos impugnados resultan plenamente conformes con la Constitución Española. Mediante otrosí solicitan el levantamiento inmediato de la suspensión de los preceptos impugnados.</w:t>
      </w:r>
    </w:p>
    <w:p w:rsidR="006B7292" w:rsidRDefault="006B7292" w:rsidP="006B7292">
      <w:pPr>
        <w:pStyle w:val="TextoNormal"/>
      </w:pPr>
    </w:p>
    <w:p w:rsidR="006B7292" w:rsidRDefault="006B7292" w:rsidP="006B7292">
      <w:pPr>
        <w:pStyle w:val="TextoNormal"/>
      </w:pPr>
      <w:r>
        <w:t>Dejando a un lado, en este momento procesal, las alegaciones relativas a la oposición a la demanda que plantea el recurso de inconstitucionalidad, el Gobierno de la Generalitat de Cataluña comienza recordando la consolidada doctrina constitucional tanto sobre la posibilidad de levantamiento anticipado de la suspensión, como sobre los criterios a considerar para levantar o mantener la misma y justifica su petición de levantamiento de la suspensión en que la vigencia y aplicación de los preceptos impugnados no causa ningún perjuicio efectivo, directo e inmediato de los intereses públicos o privados concernidos y, en cambio, el mantenimiento de la suspensión genera daños irreparables y aboca a situaciones irreversibles dejando sin objeto la finalidad del proceso y el efecto útil de la Sentencia que en su día se dicte. Concretamente, los Abogados de la Generalitat, manifiestan lo que, resumidamente, se expone a continuación:</w:t>
      </w:r>
    </w:p>
    <w:p w:rsidR="006B7292" w:rsidRDefault="006B7292" w:rsidP="006B7292">
      <w:pPr>
        <w:pStyle w:val="TextoNormal"/>
      </w:pPr>
    </w:p>
    <w:p w:rsidR="006B7292" w:rsidRDefault="006B7292" w:rsidP="006B7292">
      <w:pPr>
        <w:pStyle w:val="TextoNormal"/>
      </w:pPr>
      <w:r>
        <w:t>a) Artículo 69.</w:t>
      </w:r>
    </w:p>
    <w:p w:rsidR="006B7292" w:rsidRDefault="006B7292" w:rsidP="006B7292">
      <w:pPr>
        <w:pStyle w:val="TextoNormal"/>
      </w:pPr>
    </w:p>
    <w:p w:rsidR="006B7292" w:rsidRDefault="006B7292" w:rsidP="006B7292">
      <w:pPr>
        <w:pStyle w:val="TextoNormal"/>
      </w:pPr>
      <w:r>
        <w:t>En relación con dicho precepto, que habilita al Servicio Meteorológico de Cataluña para que pueda ejercer la función de prestar servicios de abastecimiento de información meteorológica de apoyo a la navegación aérea, el levantamiento de la suspensión de su vigencia y aplicación no puede causar ningún perjuicio ni a los intereses generales del Estado ni a los de terceros ya que se trata de una facultad potencial para llevar a cabo dicha actividad pero cuyo ejercicio efectivo está supeditado a la obtención de una previa certificación de la Secretaría de Estado de Medio Ambiente y a su posterior designación como proveedor de Servicios por parte de la Administración estatal. El mantenimiento de la suspensión, por el contrario, impediría que el Servicio Meteorológico de Cataluña instara nuevamente el procedimiento para obtener la certificación que le permita operar como proveedor de servicios meteorológicos de apoyo a la navegación aérea, lo que le situaría en enorme desventaja frente a otros eventuales competidores que opten por la prestación de dichos servicios.</w:t>
      </w:r>
    </w:p>
    <w:p w:rsidR="006B7292" w:rsidRDefault="006B7292" w:rsidP="006B7292">
      <w:pPr>
        <w:pStyle w:val="TextoNormal"/>
      </w:pPr>
    </w:p>
    <w:p w:rsidR="006B7292" w:rsidRDefault="006B7292" w:rsidP="006B7292">
      <w:pPr>
        <w:pStyle w:val="TextoNormal"/>
      </w:pPr>
      <w:r>
        <w:t>b) Artículo 95.</w:t>
      </w:r>
    </w:p>
    <w:p w:rsidR="006B7292" w:rsidRDefault="006B7292" w:rsidP="006B7292">
      <w:pPr>
        <w:pStyle w:val="TextoNormal"/>
      </w:pPr>
    </w:p>
    <w:p w:rsidR="006B7292" w:rsidRDefault="006B7292" w:rsidP="006B7292">
      <w:pPr>
        <w:pStyle w:val="TextoNormal"/>
      </w:pPr>
      <w:r>
        <w:t>Respecto a este precepto, que añade una disposición adicional al Decreto-ley 1/2009 (equipamientos comerciales), en virtud de la cual se admite la ubicación de establecimientos comerciales de determinadas dimensiones en las instalaciones portuarias de los puertos de titularidad pública situados en el entorno de tramas urbanas, el levantamiento de la suspensión no produciría ningún tipo de perjuicios para los intereses públicos del Estado ni a los de terceros, puesto que los establecimientos comerciales desarrollan una actividad de suministro de productos destinada a satisfacer las necesidades de los ciudadanos, que no interfiere ni en las competencias ni en la actuación de las Administraciones públicas. Por el contrario, el mantenimiento de la suspensión provocaría daños irreparables en todos aquellos operadores comerciales que deseen ejercer su actividad en los referidos espacios portuarios.</w:t>
      </w:r>
    </w:p>
    <w:p w:rsidR="006B7292" w:rsidRDefault="006B7292" w:rsidP="006B7292">
      <w:pPr>
        <w:pStyle w:val="TextoNormal"/>
      </w:pPr>
    </w:p>
    <w:p w:rsidR="006B7292" w:rsidRDefault="006B7292" w:rsidP="006B7292">
      <w:pPr>
        <w:pStyle w:val="TextoNormal"/>
      </w:pPr>
      <w:r>
        <w:t>c) Disposiciones adicionales vigesimosegunda a vigesimosexta.</w:t>
      </w:r>
    </w:p>
    <w:p w:rsidR="006B7292" w:rsidRDefault="006B7292" w:rsidP="006B7292">
      <w:pPr>
        <w:pStyle w:val="TextoNormal"/>
      </w:pPr>
    </w:p>
    <w:p w:rsidR="006B7292" w:rsidRDefault="006B7292" w:rsidP="006B7292">
      <w:pPr>
        <w:pStyle w:val="TextoNormal"/>
      </w:pPr>
      <w:r>
        <w:t>Se alega, con carácter general, que la Ley no anuda al cumplimiento de estos mandatos parlamentarios carácter vinculante ni eficacia jurídica para terceros ajenos al Gobierno y a la Administración de la Generalitat por lo que su cumplimiento no puede generar perjuicio alguno al interés general, menos aún de carácter irreversible, ya que ese cumplimiento se reduce a la preparación interna de los planes, inventarios y catálogos o anteproyectos para la futura creación de órganos.</w:t>
      </w:r>
    </w:p>
    <w:p w:rsidR="006B7292" w:rsidRDefault="006B7292" w:rsidP="006B7292">
      <w:pPr>
        <w:pStyle w:val="TextoNormal"/>
      </w:pPr>
    </w:p>
    <w:p w:rsidR="006B7292" w:rsidRDefault="006B7292" w:rsidP="006B7292">
      <w:pPr>
        <w:pStyle w:val="TextoNormal"/>
      </w:pPr>
      <w:r>
        <w:t>Concretamente, la mera preparación de proyectos normativos, como la propuesta de normativa tributaria de Cataluña (disposición adicional vigesimosegunda), o el anteproyecto de ley de creación de la Agencia Catalana de la Protección Social (disposición adicional vigesimoquinta.1 y 2) no van a tener eficacia jurídica ni aplicación alguna por sí mismos, puesto que una vez preparados por el Gobierno de la Generalitat, se tendrán que presentar ante el Parlamento de Cataluña para su tramitación y, en su caso, aprobación. Por su parte, el plan director de la Administración tributaria de Cataluña (disposición adicional vigesimosegunda) no es más que una programación indicativa interna para la organización de los propios servicios de la Administración de la Generalitat, por lo que no altera la legislación tributaria vigente. Que se prevea una eventual asunción de nuevas funciones y competencias tributarias, es una previsión de futuro, sometido a que se produzca el incremento del acervo competencial de la Generalitat.</w:t>
      </w:r>
    </w:p>
    <w:p w:rsidR="006B7292" w:rsidRDefault="006B7292" w:rsidP="006B7292">
      <w:pPr>
        <w:pStyle w:val="TextoNormal"/>
      </w:pPr>
    </w:p>
    <w:p w:rsidR="006B7292" w:rsidRDefault="006B7292" w:rsidP="006B7292">
      <w:pPr>
        <w:pStyle w:val="TextoNormal"/>
      </w:pPr>
      <w:r>
        <w:t>En el mismo sentido, el plan director de la protección social (disposición adicional vigesimoquinta.3) es una programación indicativa interna de la Administración de la Generalitat, cuyo objeto es la organización de los propios servicios y la planificación de su propio modelo de gestión de las prestaciones sociales en Cataluña. Asimismo, es un mero plan indicativo el plan director relativo a los sectores de la energía, de las telecomunicaciones y los sistemas de información y del transporte ferroviario (disposición adicional vigesimosexta): es un plan que prevé para un futuro escenario un modelo teórico de políticas de competencia y de regulación de los sectores de la energía, de las telecomunicaciones y los sistemas de información y del transporte ferroviario.</w:t>
      </w:r>
    </w:p>
    <w:p w:rsidR="006B7292" w:rsidRDefault="006B7292" w:rsidP="006B7292">
      <w:pPr>
        <w:pStyle w:val="TextoNormal"/>
      </w:pPr>
    </w:p>
    <w:p w:rsidR="006B7292" w:rsidRDefault="006B7292" w:rsidP="006B7292">
      <w:pPr>
        <w:pStyle w:val="TextoNormal"/>
      </w:pPr>
      <w:r>
        <w:t>Finalmente, el inventario del patrimonio de las administraciones públicas de Cataluña (disposición adicional vigesimotercera) y el catálogo de infraestructuras estratégicas (disposición adicional vigesimocuarta) son instrumentos de recopilación y sistematización de información, disposiciones organizativas en el ámbito interno de la Administración carentes de eficacia jurídica para terceros que no modifican el ordenamiento jurídico sino que cumplen una función instrumental al servicio de las competencias de la Comunidad Autónoma en materia de gestión de su propio patrimonio, tutela financiera de las entidades locales, seguridad pública para la protección de personas y bienes y mantenimiento de la seguridad ciudadana o protección civil.</w:t>
      </w:r>
    </w:p>
    <w:p w:rsidR="006B7292" w:rsidRDefault="006B7292" w:rsidP="006B7292">
      <w:pPr>
        <w:pStyle w:val="TextoNormal"/>
      </w:pPr>
    </w:p>
    <w:p w:rsidR="006B7292" w:rsidRDefault="006B7292" w:rsidP="006B7292">
      <w:pPr>
        <w:pStyle w:val="TextoNormal"/>
      </w:pPr>
      <w:r>
        <w:t>En consecuencia, el levantamiento de la suspensión tendrá únicamente como efecto el de restaurar la vigencia de los mandatos parlamentarios dirigidos al Gobierno de la Generalitat para preparar esos instrumentos que han de facilitar el acceso a la información a los propios servicios de la Administración de la Generalitat; para preparar los planes directores para una más eficaz prestación de sus servicios y para preparar unos proyectos de ley que el Parlamento requiere para el eventual desarrollo de su acción legislativa. En ninguno de esos casos la vigencia de las disposiciones suspendidas puede causar perjuicios al interés general por lo que procede el levantamiento de la suspensión.</w:t>
      </w:r>
    </w:p>
    <w:p w:rsidR="006B7292" w:rsidRDefault="006B7292" w:rsidP="006B7292">
      <w:pPr>
        <w:pStyle w:val="TextoNormal"/>
      </w:pPr>
    </w:p>
    <w:p w:rsidR="006B7292" w:rsidRDefault="006B7292" w:rsidP="006B7292">
      <w:pPr>
        <w:pStyle w:val="TextoNormal"/>
      </w:pPr>
      <w:r>
        <w:t>A ello se añade que los perjuicios que se pudieran producir por el levantamiento de la suspensión no son actuales ni presentes, habiendo afirmado reiteradamente el Tribunal que la mera invocación de perjuicios hipotéticos no puede justificar el mantenimiento de la suspensión. Además, no serían perjuicios irreversibles porque las disposiciones aprobadas conforme a las normas ahora impugnadas podrían ser objeto del correspondiente control de legalidad o de constitucionalidad.</w:t>
      </w:r>
    </w:p>
    <w:p w:rsidR="006B7292" w:rsidRDefault="006B7292" w:rsidP="006B7292">
      <w:pPr>
        <w:pStyle w:val="TextoNormal"/>
      </w:pPr>
    </w:p>
    <w:p w:rsidR="006B7292" w:rsidRDefault="006B7292" w:rsidP="006B7292">
      <w:pPr>
        <w:pStyle w:val="TextoNormal"/>
      </w:pPr>
      <w:r>
        <w:t>Por el contrario, el mantenimiento de la suspensión causaría perjuicios al interés general, de carácter irreversible y no reparable al bloquear el normal desarrollo de la acción del Parlamento de Cataluña de impulso de la acción del Gobierno de la Generalitat mediante la preparación de los proyectos de ley, planes, inventarios y catálogos. En este sentido, se considera que, dado el plazo de resolución de los recursos de inconstitucionalidad, el mantenimiento de la suspensión no permitiría, dentro de la vigente legislatura, la presentación, tramitación y aprobación de los proyectos de leyes previstos en las disposiciones adicionales vigesimosegunda, y vigesimoquinta.1 y 2, y estos perjuicios si tendrían carácter irreversible y no reparable. Además, no disponer de los instrumentos de información interna como el inventario y el catálogo previstos en las disposiciones adicionales vigesimotercera y vigesimocuarta redundarían en un perjuicio en la prestación de servicios como la gestión económica del patrimonio público, o el ejercicio de competencias en materia de seguridad pública y protección civil, perjuicio que no sería resarcible mediante el ulterior alzamiento de la suspensión como consecuencia de la resolución final del recurso en el que se declarase la constitucionalidad de las disposiciones. Finalmente, no poder dar cumplimiento a los mandatos parlamentarios de preparar los planes directores previstos en las disposiciones adicionales vigesimosegunda, vigesimoquinta.3 y vigesimosexta redundaría en perjuicio de la mejor prestación de servicios públicos por parte de la Administración de la Generalitat.</w:t>
      </w:r>
    </w:p>
    <w:p w:rsidR="006B7292" w:rsidRDefault="006B7292" w:rsidP="006B7292">
      <w:pPr>
        <w:pStyle w:val="TextoNormal"/>
      </w:pPr>
    </w:p>
    <w:p w:rsidR="006B7292" w:rsidRDefault="006B7292" w:rsidP="006B7292">
      <w:pPr>
        <w:pStyle w:val="TextoNormal"/>
      </w:pPr>
      <w:r>
        <w:t>Por todo ello se solicita el levantamiento de la suspensión de los preceptos impugnados.</w:t>
      </w:r>
    </w:p>
    <w:p w:rsidR="006B7292" w:rsidRDefault="006B7292" w:rsidP="006B7292">
      <w:pPr>
        <w:pStyle w:val="TextoNormal"/>
      </w:pPr>
    </w:p>
    <w:p w:rsidR="006B7292" w:rsidRDefault="006B7292" w:rsidP="006B7292">
      <w:pPr>
        <w:pStyle w:val="TextoNormal"/>
      </w:pPr>
      <w:r w:rsidRPr="006B7292">
        <w:rPr>
          <w:rStyle w:val="NumeroAFNegritaCaracter"/>
        </w:rPr>
        <w:t>5</w:t>
      </w:r>
      <w:r>
        <w:t>. Mediante escrito que tuvo entrada en el Tribunal Constitucional el 24 de julio de 2015, los Letrados del Parlamento de Cataluña, presentaron, en la representación que les es propia, escrito de alegaciones, en el que se solicita se declare la plena constitucionalidad de las disposiciones impugnadas.</w:t>
      </w:r>
    </w:p>
    <w:p w:rsidR="006B7292" w:rsidRDefault="006B7292" w:rsidP="006B7292">
      <w:pPr>
        <w:pStyle w:val="TextoNormal"/>
      </w:pPr>
    </w:p>
    <w:p w:rsidR="006B7292" w:rsidRDefault="006B7292" w:rsidP="006B7292">
      <w:pPr>
        <w:pStyle w:val="TextoNormal"/>
      </w:pPr>
      <w:r w:rsidRPr="006B7292">
        <w:rPr>
          <w:rStyle w:val="NumeroAFNegritaCaracter"/>
        </w:rPr>
        <w:t>6</w:t>
      </w:r>
      <w:r>
        <w:t>. El Pleno, por providencia de 1 de septiembre de 2015, acordó incorporar a los autos los escritos de los Abogados de la Generalitat de Cataluña y de los Letrados del Parlamento de Cataluña y, en cuanto a la solicitud que formula la representación legal de la Generalitat de Cataluña sobre el levantamiento de la suspensión de los preceptos objeto del recurso, acordó oír al Abogado del Estado y al Parlamento de Cataluña para que, en el plazo de cinco días, expusieran lo que considerasen conveniente acerca del mantenimiento o levantamiento de dicha suspensión.</w:t>
      </w:r>
    </w:p>
    <w:p w:rsidR="006B7292" w:rsidRDefault="006B7292" w:rsidP="006B7292">
      <w:pPr>
        <w:pStyle w:val="TextoNormal"/>
      </w:pPr>
    </w:p>
    <w:p w:rsidR="006B7292" w:rsidRDefault="006B7292" w:rsidP="006B7292">
      <w:pPr>
        <w:pStyle w:val="TextoNormal"/>
      </w:pPr>
      <w:r w:rsidRPr="006B7292">
        <w:rPr>
          <w:rStyle w:val="NumeroAFNegritaCaracter"/>
        </w:rPr>
        <w:t>7</w:t>
      </w:r>
      <w:r>
        <w:t>. El Abogado del Estado, por escrito registrado en este Tribunal el 9 de septiembre de 2015, formuló alegaciones solicitando el mantenimiento de la suspensión de los preceptos impugnados en el presente recurso de inconstitucionalidad, por los motivos que se exponen a continuación.</w:t>
      </w:r>
    </w:p>
    <w:p w:rsidR="006B7292" w:rsidRDefault="006B7292" w:rsidP="006B7292">
      <w:pPr>
        <w:pStyle w:val="TextoNormal"/>
      </w:pPr>
    </w:p>
    <w:p w:rsidR="006B7292" w:rsidRDefault="006B7292" w:rsidP="006B7292">
      <w:pPr>
        <w:pStyle w:val="TextoNormal"/>
      </w:pPr>
      <w:r>
        <w:t>Comienza el Abogado del Estado recordando la doctrina constitucional sobre la resolución de este tipo de incidentes para, a continuación, exponer como criterio de ordenación que va a seguirse en esta pieza de suspensión el de la diferenciación entre dos grupos de preceptos: el artículo 69 y el artículo 95, que incurren en infracciones competenciales, y las disposiciones adicionales vigesimosegunda a vigesimosexta que, a juicio del Abogado del Estado, tienen por objeto la creación de estructuras de Estado dentro de un proceso de transición nacional para la “desconexión” del Estado. Para fundamentar sus alegaciones aporta informe de la Dirección General de Coordinación de Competencias con las Comunidades Autónomas y las Entidades Locales del Ministerio de Hacienda y Administraciones Públicas, de 7 de septiembre de 2015, y se remite a toda la documentación aportada con la demanda de interposición del recurso de inconstitucionalidad.</w:t>
      </w:r>
    </w:p>
    <w:p w:rsidR="006B7292" w:rsidRDefault="006B7292" w:rsidP="006B7292">
      <w:pPr>
        <w:pStyle w:val="TextoNormal"/>
      </w:pPr>
    </w:p>
    <w:p w:rsidR="006B7292" w:rsidRDefault="006B7292" w:rsidP="006B7292">
      <w:pPr>
        <w:pStyle w:val="TextoNormal"/>
      </w:pPr>
      <w:r>
        <w:t>Por otra parte, subraya la íntima conexión entre el presente recurso de inconstitucionalidad y el conflicto positivo de competencia núm. 3808-2015 en la medida en que en el objeto de ambos procesos constitucionales se adoptan una serie de medidas llamadas a culminar el denominado “proceso de transición nacional”.</w:t>
      </w:r>
    </w:p>
    <w:p w:rsidR="006B7292" w:rsidRDefault="006B7292" w:rsidP="006B7292">
      <w:pPr>
        <w:pStyle w:val="TextoNormal"/>
      </w:pPr>
    </w:p>
    <w:p w:rsidR="006B7292" w:rsidRDefault="006B7292" w:rsidP="006B7292">
      <w:pPr>
        <w:pStyle w:val="TextoNormal"/>
      </w:pPr>
      <w:r>
        <w:t>Observa el Abogado del Estado que, si bien es un hecho notorio, conviene contextualizar las disposiciones adicionales recurridas dentro del denominado, por el Gobierno catalán, “proceso de transición nacional”, cuyo momento esencial habría sido fijado en las elecciones a convocar para el próximo 27 de septiembre, elecciones que, en palabras del Presidente de la Generalitat de Cataluña, tendrán carácter plebiscitario. Es también de conocimiento público, expone, que todas las actuaciones que en los últimos años están realizando las instituciones catalanas en el autodenominado proceso de transición nacional siguen las pautas y directrices de los informes elaborados por el denominado Consejo Asesor para la Transición Nacional de Cataluña. Dentro de tales pautas y directrices está —se dice— la creación de estructuras de Estado cuyo objeto es tener preparada la legislación y la estructura de la administración autonómica catalana para el momento de esa eventual independencia de Cataluña y de lo que, en palabras de la Generalitat, sería “la desconexión” de Cataluña de España y, por tanto, de la legislación estatal y de las instituciones de la Administración general del Estado que en Cataluña gestionan los servicios y competencias estatales. Adicionalmente, estas previsiones se realizan para un supuesto inconstitucional que es el de la separación de Cataluña del Estado español, obviando las exigencias constitucionales al efecto, y vulnerando los arts. 1.2, 2, 9.1 y 168 CE.</w:t>
      </w:r>
    </w:p>
    <w:p w:rsidR="006B7292" w:rsidRDefault="006B7292" w:rsidP="006B7292">
      <w:pPr>
        <w:pStyle w:val="TextoNormal"/>
      </w:pPr>
    </w:p>
    <w:p w:rsidR="006B7292" w:rsidRDefault="006B7292" w:rsidP="006B7292">
      <w:pPr>
        <w:pStyle w:val="TextoNormal"/>
      </w:pPr>
      <w:r>
        <w:t>Estamos pues, afirma el Abogado del Estado, ante una situación de trascendencia nacional. Ello comporta que se dé la concurrencia en este caso de circunstancias específicas que justifican el mantenimiento de la suspensión. En primer lugar, por la trascendencia constitucional del caso que determina la aplicación de la doctrina recogida en el ATC 156/2013, de 11 de julio.</w:t>
      </w:r>
    </w:p>
    <w:p w:rsidR="006B7292" w:rsidRDefault="006B7292" w:rsidP="006B7292">
      <w:pPr>
        <w:pStyle w:val="TextoNormal"/>
      </w:pPr>
    </w:p>
    <w:p w:rsidR="006B7292" w:rsidRDefault="006B7292" w:rsidP="006B7292">
      <w:pPr>
        <w:pStyle w:val="TextoNormal"/>
      </w:pPr>
      <w:r>
        <w:t>En segundo lugar, que la ausencia de cobertura competencial, supuesto en el que a juicio del Abogado del Estado se encuentra este caso concreto, puede determinar excepcionalmente el mantenimiento de la suspensión. Al respecto señala que las normas cuestionadas encomiendan al Gobierno de la Generalitat la adopción de una serie de medidas llamadas a culminar el denominado “proceso de transición nacional”, sin respetar las competencias estatales reconocidas en la Constitución con carácter general y en concreto, al amparo de los títulos competenciales previstos en el art. 149.1.13, 14, 10, 3, 17, 20, 21, 22, 24 y 25 CE, ya que se le encomienda la aprobación de planes administrativos vinculantes. La ley impugnada, careciendo de competencia para ello, ordena a una Administración pública que con sus recursos públicos configure unas “estructuras de Estado” sin seguir el procedimiento indicado para ello. Sin perjuicio de que los planes no asumen directamente las competencias sobre las que se proyectan, su propia redacción, además de inconstitucional, afecta a la Constitución española y genera, por la confusión que provoca, por afectar a la reputación del propio Estado español y por el riesgo que genera también a los ciudadanos y en los mercados, un perjuicio grave para el interés general. Ello se hace, afirma el Abogado del Estado, en un contexto muy determinado, al hilo del proceso electoral y con el previo pronunciamiento del Tribunal en numerosas sentencias sobre la inadecuación de la imposición unilateral, fuera de todo procedimiento, de un proceso secesionista. Las disposiciones impugnadas crean una verdadera inseguridad jurídica, en la medida en que generan incertidumbre sobre el régimen jurídico aplicable. En el contexto descrito considera el Abogado del Estado que no parece desproporcionado afirmar el interés general en que la seguridad jurídica se garantice respecto a la validez jurídica de la propia Constitución, evitando el menoscabo de la legitimidad jurídico-política del procedimiento de reforma constitucional en términos incompatibles con el vigente orden constitucional.</w:t>
      </w:r>
    </w:p>
    <w:p w:rsidR="006B7292" w:rsidRDefault="006B7292" w:rsidP="006B7292">
      <w:pPr>
        <w:pStyle w:val="TextoNormal"/>
      </w:pPr>
    </w:p>
    <w:p w:rsidR="006B7292" w:rsidRDefault="006B7292" w:rsidP="006B7292">
      <w:pPr>
        <w:pStyle w:val="TextoNormal"/>
      </w:pPr>
      <w:r>
        <w:t>A ello se añade que la doctrina constitucional ha tenido en cuenta para mantener la suspensión de una norma la existencia de jurisprudencia estimatoria de una pretensión similar a la deducida en el proceso principal (AATC 814/1988, de 21 de junio, y 91/1991, de 12 de marzo). En este sentido, considera relevantes para este caso las SSTC 103/2008, de 11 de septiembre, FJ 4; y 42/2014, de 25 de marzo.</w:t>
      </w:r>
    </w:p>
    <w:p w:rsidR="006B7292" w:rsidRDefault="006B7292" w:rsidP="006B7292">
      <w:pPr>
        <w:pStyle w:val="TextoNormal"/>
      </w:pPr>
    </w:p>
    <w:p w:rsidR="006B7292" w:rsidRDefault="006B7292" w:rsidP="006B7292">
      <w:pPr>
        <w:pStyle w:val="TextoNormal"/>
      </w:pPr>
      <w:r>
        <w:t>En definitiva pone de relieve que el contenido de las disposiciones impugnadas es evidentemente inconstitucional al atribuirse funciones de planificación y de promoción legislativa en materias que exceden de su competencia y que se integran materialmente en un proceso de reforma constitucional por la vía de hecho.</w:t>
      </w:r>
    </w:p>
    <w:p w:rsidR="006B7292" w:rsidRDefault="006B7292" w:rsidP="006B7292">
      <w:pPr>
        <w:pStyle w:val="TextoNormal"/>
      </w:pPr>
    </w:p>
    <w:p w:rsidR="006B7292" w:rsidRDefault="006B7292" w:rsidP="006B7292">
      <w:pPr>
        <w:pStyle w:val="TextoNormal"/>
      </w:pPr>
      <w:r>
        <w:t>Tras exponer las razones por las que se considera que, en su conjunto, debe mantenerse la suspensión de las disposiciones adicionales, expone de manera individualizada las mismas reiterando su relación con los proyectos de planes aprobados por el Gobierno de la Generalitat el 17 de febrero de 2015 y que son objeto del conflicto positivo de competencia núm. 3808-2015. Asimismo, señala que las alegaciones se van a centrar en los perjuicios causados por el hecho de que se elaboren y aprueben dichos planes, sin abordar los perjuicios que causaría la efectiva asunción por la Generalitat de Cataluña de las competencias estatales a las que se refieren las disposiciones impugnadas, perjuicios que se detallan en el citado informe del Ministerio de Hacienda y Administraciones Públicas, de 7 de septiembre de 2015, que aporta el Abogado del Estado. Se trata, entiende, de actuaciones y planes vinculantes que tienden al concreto establecimiento de previsiones de actuación reales y efectivas, si bien su eficacia se demora al momento en que se asuman tales competencias.</w:t>
      </w:r>
    </w:p>
    <w:p w:rsidR="006B7292" w:rsidRDefault="006B7292" w:rsidP="006B7292">
      <w:pPr>
        <w:pStyle w:val="TextoNormal"/>
      </w:pPr>
    </w:p>
    <w:p w:rsidR="006B7292" w:rsidRDefault="006B7292" w:rsidP="006B7292">
      <w:pPr>
        <w:pStyle w:val="TextoNormal"/>
      </w:pPr>
      <w:r>
        <w:t>a) Disposición adicional vigésima segunda. Plan director de la Administración tributaria de Cataluña.</w:t>
      </w:r>
    </w:p>
    <w:p w:rsidR="006B7292" w:rsidRDefault="006B7292" w:rsidP="006B7292">
      <w:pPr>
        <w:pStyle w:val="TextoNormal"/>
      </w:pPr>
    </w:p>
    <w:p w:rsidR="006B7292" w:rsidRDefault="006B7292" w:rsidP="006B7292">
      <w:pPr>
        <w:pStyle w:val="TextoNormal"/>
      </w:pPr>
      <w:r>
        <w:t>Entiende el Abogado del Estado que este precepto se dirige a crear un plan director que haga posible “la Administración tributaria de Cataluña” a la que se ha referido el Presidente de la Generalitat en varias de sus declaraciones —una de ellas aportada en la demanda como anexo— , así como otros portavoces y que se plasma en el informe del Consejo Asesor para la Transición Nacional de Cataluña, igualmente incorporado como anexo, según el cual, la “administración tributaria del Estado propio” gestionaría todos los impuestos catalanes, incluidos los que recaen sobre el tráfico exterior. Esta es la voluntad del precepto impugnado, cuyo inciso final dice que debe incluirse la propuesta de la normativa tributaria de Cataluña, obviando que su Parlamento no dispone de la capacidad de modificar la legislación tributaria española, más allá del ejercicio de las competencias normativas en materia de tributos propios y cedidos y que, por tanto, la Generalitat no puede desarrollar una política fiscal propia, ni tiene tampoco competencias para aprobar una ley general tributaria propia.</w:t>
      </w:r>
    </w:p>
    <w:p w:rsidR="006B7292" w:rsidRDefault="006B7292" w:rsidP="006B7292">
      <w:pPr>
        <w:pStyle w:val="TextoNormal"/>
      </w:pPr>
    </w:p>
    <w:p w:rsidR="006B7292" w:rsidRDefault="006B7292" w:rsidP="006B7292">
      <w:pPr>
        <w:pStyle w:val="TextoNormal"/>
      </w:pPr>
      <w:r>
        <w:t>El sentido de la norma impugnada ha de verse en el contexto de las declaraciones de las autoridades de la Generalitat, a cuyo efecto el escrito de alegaciones se remite a la documentación incorporada en anexos a la demanda y cita lo que figura en la página web de la Generalitat de Cataluña junto con la reseña de los acuerdos adoptados el 17 de febrero de 2015, objeto del procedimiento núm. 3808-2015. Es evidente —se concluye— que el propósito de la disposición impugnada es la planificación de una agencia tributaria catalana encargada de administrar la totalidad de los tributos soportados en Cataluña en orden a alcanzar la “soberanía fiscal” a la que se refiere el documento citado. Además, se fija un plazo para la elaboración de este informe de cinco meses tras la entrada en vigor de la Ley. En el contexto en el que se dicta la norma y por los antecedentes que han servido para su elaboración, la finalidad es asumir las competencias tributarias del Estado cuando se produzca la secesión de Cataluña de España. En ningún momento se considera que tal resultado únicamente podría obtenerse, en su caso, a través de una reforma completa de la Constitución, siguiendo el procedimiento previsto en el art. 168 CE. Carece de sentido y es inconstitucional que se dediquen medios personales y materiales para la ejecución de este plan que persigue la asunción del conjunto de la competencia tributaria por la Generalitat de Cataluña. Este hecho, el carácter formal y oficial del diseño de una Administración tributaria catalana que excede notoriamente de sus competencias, en los términos ya expuestos, es el que es inconstitucional. La STC 42/2014 y la reciente STC 138/2015 no ponen objeción a las iniciativas de reforma constitucional, pero siempre que se hagan por los cauces previstos constitucionalmente, no fuera de la norma fundamental.</w:t>
      </w:r>
    </w:p>
    <w:p w:rsidR="006B7292" w:rsidRDefault="006B7292" w:rsidP="006B7292">
      <w:pPr>
        <w:pStyle w:val="TextoNormal"/>
      </w:pPr>
    </w:p>
    <w:p w:rsidR="006B7292" w:rsidRDefault="006B7292" w:rsidP="006B7292">
      <w:pPr>
        <w:pStyle w:val="TextoNormal"/>
      </w:pPr>
      <w:r>
        <w:t>El mantenimiento de la suspensión de la elaboración y aprobación de estos planes se justifica tanto en la manifiesta incompetencia del Parlamento de Cataluña para desarrollar un modelo fiscal separado y contradictorio con el Estado como en que la aprobación del plan produce un perjuicio a los contribuyentes por la confusión que genera la creación de un sistema tributario diferente al del Estado; el plan genera incertidumbre tanto a personas físicas como jurídicas sobre el cumplimiento de sus obligaciones tributarias, incertidumbre que se genera, asimismo, en los inversores y en los mercados financieros.</w:t>
      </w:r>
    </w:p>
    <w:p w:rsidR="006B7292" w:rsidRDefault="006B7292" w:rsidP="006B7292">
      <w:pPr>
        <w:pStyle w:val="TextoNormal"/>
      </w:pPr>
    </w:p>
    <w:p w:rsidR="006B7292" w:rsidRDefault="006B7292" w:rsidP="006B7292">
      <w:pPr>
        <w:pStyle w:val="TextoNormal"/>
      </w:pPr>
      <w:r>
        <w:t>b) Disposición adicional vigésima tercera. Inventario del patrimonio de las Administraciones públicas de Cataluña.</w:t>
      </w:r>
    </w:p>
    <w:p w:rsidR="006B7292" w:rsidRDefault="006B7292" w:rsidP="006B7292">
      <w:pPr>
        <w:pStyle w:val="TextoNormal"/>
      </w:pPr>
    </w:p>
    <w:p w:rsidR="006B7292" w:rsidRDefault="006B7292" w:rsidP="006B7292">
      <w:pPr>
        <w:pStyle w:val="TextoNormal"/>
      </w:pPr>
      <w:r>
        <w:t>Entiende el Abogado del Estado que nada cabría objetar, en principio, a que la Generalitat elaborase tal inventario sobre su patrimonio, pero, en el contexto en que ha sido aprobado el texto se refiere no sólo a la Administración de la Generalitat, sino, en general, “a las administraciones públicas de Cataluña”. Esta mención parece comprender, un inventario que abarca no sólo a la Generalitat, sino también a las entidades locales y al propio Estado, en la medida en que la Administración general del Estado está desplegada en Cataluña. Dicho contexto es el informe número 7 del Consejo Asesor para la Transición Nacional de Cataluña, relativo a “la distribución de activos y pasivos”, que aborda diversos aspectos de la sucesión de Estados en materias de bienes y deudas y estudia los aspectos más importantes de la transferencia de activos y deudas del Estado español en caso de secesión de Cataluña. Su finalidad es establecer los criterios aplicables para determinar los activos y obligaciones que deben ser trasmitidos, abordándose la independencia de Cataluña a partir del supuesto de que es planteada por la comunidad internacional como caso de secesión sin terminación de la personalidad jurídica del Estado español.</w:t>
      </w:r>
    </w:p>
    <w:p w:rsidR="006B7292" w:rsidRDefault="006B7292" w:rsidP="006B7292">
      <w:pPr>
        <w:pStyle w:val="TextoNormal"/>
      </w:pPr>
    </w:p>
    <w:p w:rsidR="006B7292" w:rsidRDefault="006B7292" w:rsidP="006B7292">
      <w:pPr>
        <w:pStyle w:val="TextoNormal"/>
      </w:pPr>
      <w:r>
        <w:t>Los perjuicios alegados por el Abogado del Estado son la generación de una gran inseguridad jurídica, que al extenderse a la noción de los “pasivos” de “las administraciones públicas de Cataluña” genera gran incertidumbre en los mercados financieros. Los pasivos son la deuda pública de la Generalitat y la estatal. Considera el Abogado del Estado que es un hecho notorio que la elaboración y aprobación de un plan de estas características, donde se plantee un desglose de la deuda pública que corresponde a Cataluña y la que corresponde al resto del Estado es susceptible de generar dudas sobre el pago de los intereses y el capital de la deuda pública, elevando el coste de la deuda pública en su conjunto, en un contexto financiero todavía muy delicado. La realización de ese inventario creará inquietudes en los mercados financieros por el mero hecho de que se proponga una modificación de las condiciones jurídicas de la deuda pública.</w:t>
      </w:r>
    </w:p>
    <w:p w:rsidR="006B7292" w:rsidRDefault="006B7292" w:rsidP="006B7292">
      <w:pPr>
        <w:pStyle w:val="TextoNormal"/>
      </w:pPr>
    </w:p>
    <w:p w:rsidR="006B7292" w:rsidRDefault="006B7292" w:rsidP="006B7292">
      <w:pPr>
        <w:pStyle w:val="TextoNormal"/>
      </w:pPr>
      <w:r>
        <w:t>c) Disposición adicional vigésima cuarta. Catálogo de infraestructuras estratégicas.</w:t>
      </w:r>
    </w:p>
    <w:p w:rsidR="006B7292" w:rsidRDefault="006B7292" w:rsidP="006B7292">
      <w:pPr>
        <w:pStyle w:val="TextoNormal"/>
      </w:pPr>
    </w:p>
    <w:p w:rsidR="006B7292" w:rsidRDefault="006B7292" w:rsidP="006B7292">
      <w:pPr>
        <w:pStyle w:val="TextoNormal"/>
      </w:pPr>
      <w:r>
        <w:t>Esta previsión debe también relacionarse con distintos contenidos del libro blanco para la transición nacional y con el denominado plan de infraestructuras estratégicas, décimo de los aprobados por el Consejo de Gobierno de la Generalitat el 17 de febrero de 2015, así como con la exposición de su contenido realizada por el Presidente de la Generalitat en su comparecencia del mismo día. Tras reproducir pasajes de aquel plan y de la comparecencia ulterior del Presidente de la Generalitat, observa el Abogado del Estado que en lo así previsto no se excluyen los aeropuertos y puertos de interés general o las telecomunicaciones y todo ello para garantizar la continuidad del servicio y el funcionamiento de las infraestructuras estratégicas de Cataluña en caso de una desconexión legal con el Estado, lo que se entiende resulta inconstitucional.</w:t>
      </w:r>
    </w:p>
    <w:p w:rsidR="006B7292" w:rsidRDefault="006B7292" w:rsidP="006B7292">
      <w:pPr>
        <w:pStyle w:val="TextoNormal"/>
      </w:pPr>
    </w:p>
    <w:p w:rsidR="006B7292" w:rsidRDefault="006B7292" w:rsidP="006B7292">
      <w:pPr>
        <w:pStyle w:val="TextoNormal"/>
      </w:pPr>
      <w:r>
        <w:t>Afirma el Abogado del Estado la incompetencia de la Generalitat para la elaboración de dicho plan, así como las flagrantes contradicciones con la Ley 8/2011, de 28 de abril, por la que se establecen medidas para la protección de las infraestructuras críticas. Ello determina que mediante este plan se arrojen dudas sobre las entidades competentes para velar por la seguridad pública de este tipo de infraestructuras de interés general, sobre su titularidad y su régimen jurídico. La aplicación de esta disposición provocaría un perjuicio irreparable en la medida en que existirían dos planes diferentes de aplicación para las infraestructuras críticas de competencia estatal en el territorio de Cataluña, generándose una situación de inseguridad jurídica esencial para las fuerzas y cuerpos de seguridad del Estado que deben aplicar dichas previsiones, pudiendo generarse graves anomalías en el funcionamiento de las mismas, riesgos para la seguridad pública y el transporte, y actuaciones contradictorias de las fuerzas y cuerpos de seguridad, que pudieran verse enfrentados por órdenes contradictorias. Asimismo, afectaría a los ciudadanos que podrían verse sujetos al cumplimiento de obligaciones contradictorias establecidas por dos marcos jurídicos diferentes.</w:t>
      </w:r>
    </w:p>
    <w:p w:rsidR="006B7292" w:rsidRDefault="006B7292" w:rsidP="006B7292">
      <w:pPr>
        <w:pStyle w:val="TextoNormal"/>
      </w:pPr>
    </w:p>
    <w:p w:rsidR="006B7292" w:rsidRDefault="006B7292" w:rsidP="006B7292">
      <w:pPr>
        <w:pStyle w:val="TextoNormal"/>
      </w:pPr>
      <w:r>
        <w:t>d) Disposición adicional vigésima quinta. Creación de la Agencia Catalana de la Protección Social.</w:t>
      </w:r>
    </w:p>
    <w:p w:rsidR="006B7292" w:rsidRDefault="006B7292" w:rsidP="006B7292">
      <w:pPr>
        <w:pStyle w:val="TextoNormal"/>
      </w:pPr>
    </w:p>
    <w:p w:rsidR="006B7292" w:rsidRDefault="006B7292" w:rsidP="006B7292">
      <w:pPr>
        <w:pStyle w:val="TextoNormal"/>
      </w:pPr>
      <w:r>
        <w:t>El Abogado del Estado considera que esta disposición supone que se va a aprobar un plan director de la protección social con vistas a la creación de la Agencia Catalana de la Protección Social con la previsión de incorporar las competencias que ejerce la Administración del Estado. Al disponer que “La estructura de la Agencia debe prever una eventual asunción de las competencias que en el momento de entrada en vigor de esta ley ejerce la Administración del Estado” y al referirse al plan director de la protección social que “debe constituir el instrumento de planificación estratégica del futuro modelo de gestión de las prestaciones sociales en Cataluña”, está refiriéndose a las competencias sobre seguridad social que ejerce la Administración del Estado, así como a las prestaciones de la Seguridad Social ya que se refiere a las prestaciones sociales en Cataluña y entre ellas están las de Seguridad Social. Atendiendo a lo señalado en el plan objeto de impugnación en el conflicto positivo de competencia núm. 3808-2015, dicha es la finalidad de la disposición adicional ahora recurrida, por lo que se vulnera el orden competencial y causa perjuicios similares a los expuestos en relación con el plan para crear una Agencia Tributaria catalana. En efecto, en una materia como la Seguridad Social, el plan dirigido a la creación de la Agencia catalana de protección social produce perjuicios al interés general en la medida en que pone en cuestión y crea incertidumbre respecto de los cotizantes y los mercados sobre el futuro mantenimiento de los principios en que se fundamenta la Seguridad Social española (unidad, universalidad, solidaridad e igualdad) y su repercusión en el equilibrio económico y financiero del Estado.</w:t>
      </w:r>
    </w:p>
    <w:p w:rsidR="006B7292" w:rsidRDefault="006B7292" w:rsidP="006B7292">
      <w:pPr>
        <w:pStyle w:val="TextoNormal"/>
      </w:pPr>
    </w:p>
    <w:p w:rsidR="006B7292" w:rsidRDefault="006B7292" w:rsidP="006B7292">
      <w:pPr>
        <w:pStyle w:val="TextoNormal"/>
      </w:pPr>
      <w:r>
        <w:t>e) Disposición adicional vigésima sexta. Plan director relativo a los sectores de la energía, de las telecomunicaciones y los sistemas de información y del transporte ferroviario.</w:t>
      </w:r>
    </w:p>
    <w:p w:rsidR="006B7292" w:rsidRDefault="006B7292" w:rsidP="006B7292">
      <w:pPr>
        <w:pStyle w:val="TextoNormal"/>
      </w:pPr>
    </w:p>
    <w:p w:rsidR="006B7292" w:rsidRDefault="006B7292" w:rsidP="006B7292">
      <w:pPr>
        <w:pStyle w:val="TextoNormal"/>
      </w:pPr>
      <w:r>
        <w:t>Los perjuicios de la elaboración del plan se concretan en que ocasionan una quiebra esencial en la seguridad jurídica, incompatible con el funcionamiento de los mercados, produciendo un quebranto en la actividad económica, en la convivencia social, y en el funcionamiento de las instituciones y servicios públicos. No sólo los empleados públicos sino todos los ciudadanos se ven sometidos a obligaciones provenientes de dos marcos jurídicos diferentes y, en su caso, resultarían titulares de derechos distintos derivados de los mismos. Asimismo, se afirma que es muy difícil la seguridad sobre el marco regulatorio de estos sectores si, mediante un plan, se cuestiona la competencia sobre ellos, no sólo para los actores españoles, sino también para los extranjeros que se cuestionen mantener sus inversiones en España o acometer nuevos proyectos.</w:t>
      </w:r>
    </w:p>
    <w:p w:rsidR="006B7292" w:rsidRDefault="006B7292" w:rsidP="006B7292">
      <w:pPr>
        <w:pStyle w:val="TextoNormal"/>
      </w:pPr>
    </w:p>
    <w:p w:rsidR="006B7292" w:rsidRDefault="006B7292" w:rsidP="006B7292">
      <w:pPr>
        <w:pStyle w:val="TextoNormal"/>
      </w:pPr>
      <w:r>
        <w:t>Finalmente, el Abogado del Estado se refiere a los perjuicios que produciría el mantenimiento de la suspensión de los artículos 69 y 95 de la Ley, que se impugnan por motivos competenciales diferentes.</w:t>
      </w:r>
    </w:p>
    <w:p w:rsidR="006B7292" w:rsidRDefault="006B7292" w:rsidP="006B7292">
      <w:pPr>
        <w:pStyle w:val="TextoNormal"/>
      </w:pPr>
    </w:p>
    <w:p w:rsidR="006B7292" w:rsidRDefault="006B7292" w:rsidP="006B7292">
      <w:pPr>
        <w:pStyle w:val="TextoNormal"/>
      </w:pPr>
      <w:r>
        <w:t>En relación con el artículo 69, que atribuye competencia al Servicio Meteorológico de Cataluña, la función de prestar servicios de abastecimiento de información meteorológica de apoyo a la navegación aérea, el Abogado del Estado se apoya en el informe de la Dirección General de Aviación Civil, del Ministerio de Fomento, de 3 de septiembre de 2015, en el que se pone de manifiesto que, “la pluralidad de usuarios y la reciente liberalización de proveedores de servicios de tránsito aéreo de aeródromo, frente a la situación anterior en la que ENAIRE era el único proveedor designado, puede determinar que, siendo aplicable la ley catalana impugnada, alguno de ellos considere lícita la prestación de servicios por el Servicio Meteorológico de Cataluña para la provisión de información meteorológica de apoyo a la navegación aérea, aunque dicho servicio meteorológico no haya sido designado por el Estado, con los riesgos de inseguridad jurídica así como para la adecuada prestación de un servicio que afecta a la seguridad aérea”.</w:t>
      </w:r>
    </w:p>
    <w:p w:rsidR="006B7292" w:rsidRDefault="006B7292" w:rsidP="006B7292">
      <w:pPr>
        <w:pStyle w:val="TextoNormal"/>
      </w:pPr>
    </w:p>
    <w:p w:rsidR="006B7292" w:rsidRDefault="006B7292" w:rsidP="006B7292">
      <w:pPr>
        <w:pStyle w:val="TextoNormal"/>
      </w:pPr>
      <w:r>
        <w:t>El Abogado del Estado considera que el levantamiento de la suspensión conllevaría el incumplimiento por parte del Estado español de la norma comunitaria europea que regula esta materia, así como la generación de riesgos para la seguridad de la navegación aérea.</w:t>
      </w:r>
    </w:p>
    <w:p w:rsidR="006B7292" w:rsidRDefault="006B7292" w:rsidP="006B7292">
      <w:pPr>
        <w:pStyle w:val="TextoNormal"/>
      </w:pPr>
    </w:p>
    <w:p w:rsidR="006B7292" w:rsidRDefault="006B7292" w:rsidP="006B7292">
      <w:pPr>
        <w:pStyle w:val="TextoNormal"/>
      </w:pPr>
      <w:r>
        <w:t>Respecto al artículo 95 el Abogado del Estado se apoya en el anteriormente citado informe de la Dirección General de Coordinación de Competencias con las Comunidades Autónomas y las Entidades Locales del Ministerio de Hacienda y Administraciones Públicas, de 7 de septiembre de 2015. Tras exponer los motivos de impugnación del referido precepto, el Abogado del Estado considera que ha de mantenerse la suspensión del mismo, en primer lugar, porque existe riesgo de apertura de un procedimiento de infracción por incumplimiento del Derecho comunitario por parte de la Comisión Europea, en la medida en que la vulneración del art. 49 del Tratado de funcionamiento de la Unión Europea (libertad de establecimiento) ya motivó la Sentencia del Tribunal de Justicia de la Unión Europea en el asunto C-400/08, en la que se condenó al Reino de España por idéntico motivo, por tanto debería mantenerse la suspensión de la aplicación de esta disposición para demorar el inicio del procedimiento. En segundo lugar, pone de manifiesto que el modelo comercial restrictivo ocasiona perjuicios económicos, lo que se refleja en los datos económicos del comercio en Cataluña en comparación con los del resto de España en la última década que indican que su evolución es menos positiva debido a la situación de la legislación catalana: el número de establecimientos al por menor en Cataluña en el período 2000-2014 pasó de 108.242 a 94.982, reduciéndose un 12.3 por 100 frente al conjunto de España que disminuyó un 5,4 por 100 (fuente DIRCE del INE). El número de ocupados del comercio minorista creció 1,6 puntos por debajo de la media española. Entre enero de 2000 y octubre de 2014, los precios de consumo en Cataluña crecieron un 49,5 por 100, esto 5,2 puntos por encima de la media española. Cataluña tiene una proporción elevada de locales de comercio de pequeño tamaño y menor densidad de locales de entre 1.000 y 2.500 metros cuadrados y de más de 2.500 metros cuadrados, lo cual puede deberse en parte a las dificultades para implantarse fuera de las tramas urbanas consolidadas, ya que dentro de la misma existen limitaciones de espacio.</w:t>
      </w:r>
    </w:p>
    <w:p w:rsidR="006B7292" w:rsidRDefault="006B7292" w:rsidP="006B7292">
      <w:pPr>
        <w:pStyle w:val="TextoNormal"/>
      </w:pPr>
    </w:p>
    <w:p w:rsidR="006B7292" w:rsidRDefault="006B7292" w:rsidP="006B7292">
      <w:pPr>
        <w:pStyle w:val="TextoNormal"/>
      </w:pPr>
      <w:r>
        <w:t>A ello añade que hay una previa Sentencia estimatoria de una pretensión similar deducida en el proceso principal lo que de acuerdo con la doctrina constitucional justifica el mantenimiento de la suspensión. La modificación impugnada reproduce para este precepto la discusión competencial ya planteada respecto de la instalación de grandes establecimientos fuera de la trama urbana consolidada en el territorio de Cataluña que ha sido resuelta por la STC 193/2013, de 21 de noviembre. Entiende el Abogado del Estado que el art. 95 de la Ley 3/2015 sería la decisión formulada legalmente de no cumplir la referida STC, contraviniendo las determinaciones que sobre el alcance de la fuerza vinculante de las sentencias se prevén en los arts. 164 CE y 87 LOTC, sobre la vinculación de todos los poderes públicos a lo que el Tribunal Constitucional resuelva, con lo que el daño al interés general a ponderar en este incidente de suspensión resulta de notable profundidad y alcance.</w:t>
      </w:r>
    </w:p>
    <w:p w:rsidR="006B7292" w:rsidRDefault="006B7292" w:rsidP="006B7292">
      <w:pPr>
        <w:pStyle w:val="TextoNormal"/>
      </w:pPr>
    </w:p>
    <w:p w:rsidR="006B7292" w:rsidRDefault="006B7292" w:rsidP="006B7292">
      <w:pPr>
        <w:pStyle w:val="TextoNormal"/>
      </w:pPr>
      <w:r>
        <w:t xml:space="preserve">Finalmente se aduce que estamos ante un supuesto de ausencia evidente de cobertura competencial, aspecto que el Tribunal Constitucional tiene en cuenta para mantener la suspensión (cita AATC 101/1993, FJ 1; 243/1993, FJ 1, y 335/1993, FJ 1), y que en determinados supuestos de hecho idénticos en que la controversia competencial ya ha sido resuelta por este Tribunal, se refuerza el </w:t>
      </w:r>
      <w:r w:rsidRPr="006B7292">
        <w:rPr>
          <w:i/>
        </w:rPr>
        <w:t>fumus boni iuris</w:t>
      </w:r>
      <w:r>
        <w:t xml:space="preserve"> a favor del mantenimiento cautelar de la competencia de la Ley de Estado controvertida.</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objeto de la presente resolución consiste en determinar si procede levantar o mantener la suspensión de la vigencia de los artículos 69 y 95, así como de las disposiciones adicionales vigesimosegunda a vigesimosexta, de la Ley de Cataluña 3/2015, de 11 de marzo, de medidas fiscales, financieras y administrativas, que se encuentran suspendidos en su aplicación, como consecuencia de la invocación del art. 161.2 CE y 30 de la Ley Orgánica del Tribunal Constitucional (LOTC), al promoverse el recurso de inconstitucionalidad contra dichos preceptos por el Presidente del Gobierno.</w:t>
      </w:r>
    </w:p>
    <w:p w:rsidR="006B7292" w:rsidRDefault="006B7292" w:rsidP="006B7292">
      <w:pPr>
        <w:pStyle w:val="TextoNormal"/>
      </w:pPr>
    </w:p>
    <w:p w:rsidR="006B7292" w:rsidRDefault="006B7292" w:rsidP="006B7292">
      <w:pPr>
        <w:pStyle w:val="TextoNormal"/>
      </w:pPr>
      <w:r>
        <w:t>La demanda aduce que tanto los artículos 69 y 95 como las disposiciones adicionales vigesimosegunda a vigesimosexta incurren en infracciones competenciales. Asimismo, achaca a las disposiciones adicionales la vulneración de los artículos 1.2, 2, 9.1 y 168 CE, por crear, habilitar o preparar lo que la demanda denomina “estructuras de Estado”.</w:t>
      </w:r>
    </w:p>
    <w:p w:rsidR="006B7292" w:rsidRDefault="006B7292" w:rsidP="006B7292">
      <w:pPr>
        <w:pStyle w:val="TextoNormal"/>
      </w:pPr>
    </w:p>
    <w:p w:rsidR="006B7292" w:rsidRDefault="006B7292" w:rsidP="006B7292">
      <w:pPr>
        <w:pStyle w:val="TextoNormal"/>
      </w:pPr>
      <w:r w:rsidRPr="006B7292">
        <w:rPr>
          <w:rStyle w:val="NumeroAFNegritaCaracter"/>
        </w:rPr>
        <w:t>2</w:t>
      </w:r>
      <w:r>
        <w:t>. Una vez expuestos someramente los términos del recurso de inconstitucionalidad, cuyo contenido no compete resolver en este momento procesal, hemos de centrarnos ahora en la cuestión de si procede o no levantar la suspensión de la vigencia de las disposiciones impugnadas por el Estado.</w:t>
      </w:r>
    </w:p>
    <w:p w:rsidR="006B7292" w:rsidRDefault="006B7292" w:rsidP="006B7292">
      <w:pPr>
        <w:pStyle w:val="TextoNormal"/>
      </w:pPr>
    </w:p>
    <w:p w:rsidR="006B7292" w:rsidRDefault="006B7292" w:rsidP="006B7292">
      <w:pPr>
        <w:pStyle w:val="TextoNormal"/>
      </w:pPr>
      <w:r>
        <w:t>Como ha quedado expuesto detalladamente en los antecedentes, la representación de la Generalitat de Cataluña ha solicitado el levantamiento de la suspensión de los preceptos impugnados. La representación procesal del Parlamento de Cataluña no ha realizado ninguna alegación al respecto, ni en la contestación a la demanda ni en el plazo conferido para formular lo que estimasen conveniente acerca del mantenimiento o levantamiento de dicha suspensión.</w:t>
      </w:r>
    </w:p>
    <w:p w:rsidR="006B7292" w:rsidRDefault="006B7292" w:rsidP="006B7292">
      <w:pPr>
        <w:pStyle w:val="TextoNormal"/>
      </w:pPr>
    </w:p>
    <w:p w:rsidR="006B7292" w:rsidRDefault="006B7292" w:rsidP="006B7292">
      <w:pPr>
        <w:pStyle w:val="TextoNormal"/>
      </w:pPr>
      <w:r>
        <w:t>Por su parte, el Abogado del Estado ha interesado el mantenimiento de la suspensión, diferenciando, en sus alegaciones, los perjuicios que produciría el levantamiento de la suspensión de las disposiciones adicionales vigesimosegunda a vigesimosexta y de los arts. 69 y 95 de la Ley impugnada.</w:t>
      </w:r>
    </w:p>
    <w:p w:rsidR="006B7292" w:rsidRDefault="006B7292" w:rsidP="006B7292">
      <w:pPr>
        <w:pStyle w:val="TextoNormal"/>
      </w:pPr>
    </w:p>
    <w:p w:rsidR="006B7292" w:rsidRDefault="006B7292" w:rsidP="006B7292">
      <w:pPr>
        <w:pStyle w:val="TextoNormal"/>
      </w:pPr>
      <w:r w:rsidRPr="006B7292">
        <w:rPr>
          <w:rStyle w:val="NumeroAFNegritaCaracter"/>
        </w:rPr>
        <w:t>3</w:t>
      </w:r>
      <w:r>
        <w:t>. En relación con las disposiciones adicionales vigesimosegunda a vigesimosexta, ambas representaciones procesales realizan alegaciones con carácter general en relación con los perjuicios anudados al levantamiento o mantenimiento de la suspensión de las disposiciones adicionales en su conjunto. Así, el Abogado del Estado, contextualiza las mismas dentro del denominado, por el Gobierno catalán, “proceso de transición nacional” en el que se siguen una serie de pautas y directrices dentro de las que se encuentra la creación de estructuras de Estado cuyo objeto es tener preparada la legislación y la estructura de la administración autonómica catalana para el momento de esa eventual independencia de Cataluña y de lo que, en palabras de la Generalitat, sería “la desconexión” de Cataluña de España y, por tanto, de la legislación estatal y de las instituciones de la Administración General del Estado que en Cataluña gestionan los servicios y competencias estatales. Adicionalmente, estas previsiones se realizan para un supuesto inconstitucional que es el de la separación de Cataluña del Estado español, obviando las exigencias constitucionales al efecto, por lo que se vulneran los arts. 1.2, 2, 9.1 y 168 CE. Estamos, alega el Abogado del Estado, ante una situación de trascendencia nacional, lo que comporta que se dé la concurrencia en este caso de circunstancias específicas que justifican el mantenimiento de la suspensión, aplicando lo afirmado en el ATC 156/2013, de 11 de julio, en el que se acordó mantener la suspensión de la resolución 5/X, de 23 de enero de 2013, del Parlamento de Cataluña, por la que se aprobó la declaración de soberanía y del derecho a decidir del pueblo de Cataluña. A ello añade la falta de cobertura competencial, el perjuicio para el interés general dimanante de la inseguridad jurídica que produce dicha regulación así como la existencia de jurisprudencia estimatoria de una pretensión similar a la deducida en el proceso principal.</w:t>
      </w:r>
    </w:p>
    <w:p w:rsidR="006B7292" w:rsidRDefault="006B7292" w:rsidP="006B7292">
      <w:pPr>
        <w:pStyle w:val="TextoNormal"/>
      </w:pPr>
    </w:p>
    <w:p w:rsidR="006B7292" w:rsidRDefault="006B7292" w:rsidP="006B7292">
      <w:pPr>
        <w:pStyle w:val="TextoNormal"/>
      </w:pPr>
      <w:r>
        <w:t>Por su parte, los Abogados de la Generalitat alegan que la Ley no anuda al cumplimiento de los mandatos parlamentarios contenidos en las disposiciones adicionales carácter vinculante ni eficacia jurídica para terceros ajenos al Gobierno y a la Administración de la Generalitat por lo que su cumplimiento no puede generar perjuicio alguno al interés general ya que los mismos se reducen a la preparación interna de los planes, inventarios y catálogos o anteproyectos para la futura creación de órganos. En consecuencia, el levantamiento de la suspensión tendrá únicamente como efecto el de restaurar la vigencia de los mandatos parlamentarios dirigidos al Gobierno de la Generalitat para preparar esos instrumentos que han de facilitar el acceso a la información a los propios servicios de la Administración de la Generalitat; para preparar los planes directores para una más eficaz prestación de sus servicios y para preparar unos proyectos de ley, que el Parlamento requiere para el eventual desarrollo de su acción legislativa. A ello se añade que los perjuicios que se pudieran producir por el levantamiento de la suspensión no son actuales ni presentes, habiendo afirmado reiteradamente el Tribunal que la mera invocación de perjuicios hipotéticos no puede justificar el mantenimiento de la suspensión. Además, no serían perjuicios irreversibles porque las disposiciones aprobadas conforme a las normas ahora impugnadas podrían ser objeto del correspondiente control de legalidad o de constitucionalidad.</w:t>
      </w:r>
    </w:p>
    <w:p w:rsidR="006B7292" w:rsidRDefault="006B7292" w:rsidP="006B7292">
      <w:pPr>
        <w:pStyle w:val="TextoNormal"/>
      </w:pPr>
    </w:p>
    <w:p w:rsidR="006B7292" w:rsidRDefault="006B7292" w:rsidP="006B7292">
      <w:pPr>
        <w:pStyle w:val="TextoNormal"/>
      </w:pPr>
      <w:r>
        <w:t>Por el contrario, el mantenimiento de la suspensión, aducen los Abogados de la Generalitat, causaría perjuicios al interés general, de carácter irreversible y no reparable al bloquear el normal desarrollo de la acción del Parlamento de Cataluña de impulso de la acción del Gobierno de la Generalitat mediante la preparación de los proyectos de ley, planes, inventarios y catálogos.</w:t>
      </w:r>
    </w:p>
    <w:p w:rsidR="006B7292" w:rsidRDefault="006B7292" w:rsidP="006B7292">
      <w:pPr>
        <w:pStyle w:val="TextoNormal"/>
      </w:pPr>
    </w:p>
    <w:p w:rsidR="006B7292" w:rsidRDefault="006B7292" w:rsidP="006B7292">
      <w:pPr>
        <w:pStyle w:val="TextoNormal"/>
      </w:pPr>
      <w:r w:rsidRPr="006B7292">
        <w:rPr>
          <w:rStyle w:val="NumeroAFNegritaCaracter"/>
        </w:rPr>
        <w:t>4</w:t>
      </w:r>
      <w:r>
        <w:t>. Tal y como ha quedado recogido en los antecedentes y acabamos de exponer someramente, las partes en este incidente cautelar han expuesto los perjuicios que derivarían del mantenimiento o levantamiento de la suspensión de las disposiciones adicionales en su conjunto, aunque también hayan alegado dichos perjuicios respecto de cada una de ellas.</w:t>
      </w:r>
    </w:p>
    <w:p w:rsidR="006B7292" w:rsidRDefault="006B7292" w:rsidP="006B7292">
      <w:pPr>
        <w:pStyle w:val="TextoNormal"/>
      </w:pPr>
    </w:p>
    <w:p w:rsidR="006B7292" w:rsidRDefault="006B7292" w:rsidP="006B7292">
      <w:pPr>
        <w:pStyle w:val="TextoNormal"/>
      </w:pPr>
      <w:r>
        <w:t>Entre dichas alegaciones cobra especial relevancia la relación subrayada por el Abogado del Estado entre este proceso constitucional y el conflicto positivo de competencia núm. 3808-2015. Dicha relación la encuentra la representación estatal en que, a su juicio, el objeto de ambos procesos constitucionales son una serie de disposiciones que adoptan medidas llamadas a culminar el denominado “proceso de transición nacional”, relación que, además, se aduce al exponer los perjuicios que causaría el levantamiento de la suspensión de cada una de las disposiciones adicionales.</w:t>
      </w:r>
    </w:p>
    <w:p w:rsidR="006B7292" w:rsidRDefault="006B7292" w:rsidP="006B7292">
      <w:pPr>
        <w:pStyle w:val="TextoNormal"/>
      </w:pPr>
    </w:p>
    <w:p w:rsidR="006B7292" w:rsidRDefault="006B7292" w:rsidP="006B7292">
      <w:pPr>
        <w:pStyle w:val="TextoNormal"/>
      </w:pPr>
      <w:r>
        <w:t>Dicho conflicto de competencia tiene por objeto el plan Ejecutivo para la preparación de las estructuras de Estado y el plan de infraestructuras estratégicas en los cuales se cuestiona expresamente el plan sobre la hacienda pública catalana, que la representación estatal relaciona con la disposición adicional vigesimosegunda de la Ley ahora impugnada; el plan y diseño de la Administración y Tesorería de la Seguridad Social catalana, que el Abogado del Estado pone en relación con la disposición adicional vigesimoquinta, relativa a la creación de la Agencia Catalana de la Protección Social; y el plan de infraestructuras estratégicas que el Abogado del Estado relaciona con la disposición adicional vigesimocuarta de la Ley 3/2015.</w:t>
      </w:r>
    </w:p>
    <w:p w:rsidR="006B7292" w:rsidRDefault="006B7292" w:rsidP="006B7292">
      <w:pPr>
        <w:pStyle w:val="TextoNormal"/>
      </w:pPr>
    </w:p>
    <w:p w:rsidR="006B7292" w:rsidRDefault="006B7292" w:rsidP="006B7292">
      <w:pPr>
        <w:pStyle w:val="TextoNormal"/>
      </w:pPr>
      <w:r>
        <w:t>En efecto, y sin anticipar en modo alguno la solución que merezca esta controversia, lo cierto es que parece evidente la relación entre el contenido de las referidas disposiciones adicionales y los planes objeto del citado conflicto de competencia, que prevén la creación de estructuras para la eventual asunción de competencias estatales. La constatación de dicha relación no supone en modo alguno anticipar la resolución que debamos dar al presente recurso de inconstitucionalidad sino que únicamente nos permite advertir que no cabe descartar que el conjunto de las disposiciones adicionales ahora impugnadas puedan formar parte del denominado proceso de transición nacional y que, por lo tanto, podamos aplicar la doctrina establecida en el conflicto positivo de competencia núm. 3808-2015, de esta misma fecha, para poder resolver el presente incidente cautelar. En el referido Auto, FJ 5, señalamos que “ambas partes reconocen que ese proceso de Transición Nacional existe y que se han adoptado distintos tipos de actuaciones para lograr su consecución, entre las que se encuentran, como admiten ambas partes, la creación del Comisionado al que se refiere el Decreto y los planes publicados en la página web de la Generalitat que constituyen el objeto del presente conflicto de competencia”.</w:t>
      </w:r>
    </w:p>
    <w:p w:rsidR="006B7292" w:rsidRDefault="006B7292" w:rsidP="006B7292">
      <w:pPr>
        <w:pStyle w:val="TextoNormal"/>
      </w:pPr>
    </w:p>
    <w:p w:rsidR="006B7292" w:rsidRDefault="006B7292" w:rsidP="006B7292">
      <w:pPr>
        <w:pStyle w:val="TextoNormal"/>
      </w:pPr>
      <w:r>
        <w:t>Atendiendo a dicha circunstancia entendimos, como también hemos de afirmar ahora, que en el presente proceso constitucional se suscitan cuestiones que desbordan el planteamiento ordinario de una controversia competencial, aunque también lo sea. Estas cuestiones inciden en ámbitos de la máxima relevancia jurídico-constitucional: la defensa de la integridad misma de la Constitución, como sostiene el Abogado del Estado y la iniciación de un proceso de reforma constitucional, de acuerdo con la legalidad vigente, a juicio del Abogado de la Generalitat.</w:t>
      </w:r>
    </w:p>
    <w:p w:rsidR="006B7292" w:rsidRDefault="006B7292" w:rsidP="006B7292">
      <w:pPr>
        <w:pStyle w:val="TextoNormal"/>
      </w:pPr>
    </w:p>
    <w:p w:rsidR="006B7292" w:rsidRDefault="006B7292" w:rsidP="006B7292">
      <w:pPr>
        <w:pStyle w:val="TextoNormal"/>
      </w:pPr>
      <w:r>
        <w:t>En consecuencia resulta trasladable a los efectos de adoptar nuestra decisión en este incidente cautelar sobre las disposiciones adicionales vigesimosegunda a vigesimosexta de la Ley del Parlamento de Cataluña 3/2015, lo afirmado en el conflicto positivo de competencia núm. 3808-2015, de esta misma fecha, FJ 5, de acuerdo con el cual debemos reiterar que una controversia de este género suscita, en cuanto a la decisión sobre la suspensión, consideraciones que escapan a la habitual ponderación sobre los efectos que se seguirían ya de mantenerla ya de alzarla, consideraciones que aconsejan, atendida la relevancia de lo aquí en discusión, mantener la suspensión de la disposición y actuaciones objeto del presente conflicto de competencia. En el mismo sentido nos pronunciamos en el ATC 156/2013, de 11 de julio, en el que, al encontrarnos también ante una cuestión de gran relieve constitucional, afirmamos que “dicho hecho era suficiente para inclinar el juicio de ponderación que, según reiterada jurisprudencia, debe realizarse en estos casos, en favor de la ratificación de la suspensión acordada durante el tiempo indispensable para la resolución de la impugnación interpuesta”.</w:t>
      </w:r>
    </w:p>
    <w:p w:rsidR="006B7292" w:rsidRDefault="006B7292" w:rsidP="006B7292">
      <w:pPr>
        <w:pStyle w:val="TextoNormal"/>
      </w:pPr>
    </w:p>
    <w:p w:rsidR="006B7292" w:rsidRDefault="006B7292" w:rsidP="006B7292">
      <w:pPr>
        <w:pStyle w:val="TextoNormal"/>
      </w:pPr>
      <w:r>
        <w:t>Por todo ello, procede mantener la suspensión de las disposiciones adicionales vigesimosegunda, vigesimotercera, vigesimocuarta, vigesimoquinta y vigesimosexta de la Ley del Parlamento de Cataluña 3/2015, de 11 de marzo, de medidas fiscales, financieras y administrativas.</w:t>
      </w:r>
    </w:p>
    <w:p w:rsidR="006B7292" w:rsidRDefault="006B7292" w:rsidP="006B7292">
      <w:pPr>
        <w:pStyle w:val="TextoNormal"/>
      </w:pPr>
    </w:p>
    <w:p w:rsidR="006B7292" w:rsidRDefault="006B7292" w:rsidP="006B7292">
      <w:pPr>
        <w:pStyle w:val="TextoNormal"/>
      </w:pPr>
      <w:r w:rsidRPr="006B7292">
        <w:rPr>
          <w:rStyle w:val="NumeroAFNegritaCaracter"/>
        </w:rPr>
        <w:t>5</w:t>
      </w:r>
      <w:r>
        <w:t>. El art. 69 de la Ley del Parlamento de Cataluña 3/2015, añade una letra, la k bis, al art. 4 de la Ley 15/2001, de 14 de noviembre, de meteorología, atribuyendo al Servicio Meteorológico de Cataluña la función de prestar servicios de abastecimiento de información meteorológica de apoyo a la navegación aérea.</w:t>
      </w:r>
    </w:p>
    <w:p w:rsidR="006B7292" w:rsidRDefault="006B7292" w:rsidP="006B7292">
      <w:pPr>
        <w:pStyle w:val="TextoNormal"/>
      </w:pPr>
    </w:p>
    <w:p w:rsidR="006B7292" w:rsidRDefault="006B7292" w:rsidP="006B7292">
      <w:pPr>
        <w:pStyle w:val="TextoNormal"/>
      </w:pPr>
      <w:r>
        <w:t>El Abogado del Estado, con apoyo en el informe de la Dirección General de Aviación Civil, del Ministerio de Fomento, de 3 de septiembre de 2015, afirma que el levantamiento de la suspensión del art. 69 de la Ley 3/2015 conllevaría el incumplimiento por parte del Estado español de la norma comunitaria europea que regula esta materia, así como la generación de riesgos para la seguridad de la navegación aérea, en la medida en que, como se señala en el referido informe, “la pluralidad de usuarios y la reciente liberalización de proveedores de servicios de tránsito aéreo de aeródromo, frente a la situación anterior en la que ENAIRE era el único proveedor designado, puede determinar que, siendo aplicable la ley catalana impugnada, alguno de ellos considere lícita la prestación de servicios por el Servicio Meteorológico de Cataluña para la provisión de información meteorológica de apoyo a la navegación aérea, aunque dicho servicio meteorológico no haya sido designado por el Estado, con los riesgos de inseguridad jurídica así como para la adecuada prestación de un servicio que afecta a la seguridad aérea”.</w:t>
      </w:r>
    </w:p>
    <w:p w:rsidR="006B7292" w:rsidRDefault="006B7292" w:rsidP="006B7292">
      <w:pPr>
        <w:pStyle w:val="TextoNormal"/>
      </w:pPr>
    </w:p>
    <w:p w:rsidR="006B7292" w:rsidRDefault="006B7292" w:rsidP="006B7292">
      <w:pPr>
        <w:pStyle w:val="TextoNormal"/>
      </w:pPr>
      <w:r>
        <w:t>Tal y como ha quedado recogido en los antecedentes, la representación procesal del Gobierno de la Generalitat de Cataluña considera que el levantamiento de la suspensión de la vigencia y aplicación del citado precepto no puede causar ningún perjuicio ya que su ejercicio efectivo está supeditado a la obtención de una previa certificación de la Secretaría de Estado de Medio Ambiente y a su posterior designación como proveedor de servicios por parte de la Administración estatal. El mantenimiento de la suspensión, por el contrario, impediría que el Servicio Meteorológico de Cataluña instara nuevamente el procedimiento para operar como proveedor de servicios meteorológicos de apoyo a la navegación aérea, lo que le situaría en enorme desventaja frente a otros eventuales competidores que opten por la prestación de dichos servicios.</w:t>
      </w:r>
    </w:p>
    <w:p w:rsidR="006B7292" w:rsidRDefault="006B7292" w:rsidP="006B7292">
      <w:pPr>
        <w:pStyle w:val="TextoNormal"/>
      </w:pPr>
    </w:p>
    <w:p w:rsidR="006B7292" w:rsidRDefault="006B7292" w:rsidP="006B7292">
      <w:pPr>
        <w:pStyle w:val="TextoNormal"/>
      </w:pPr>
      <w:r>
        <w:t>Es cierto, como señala la representación de la Generalitat de Cataluña, que el ejercicio de la función de prestar servicios de información meteorológica de apoyo a la navegación aérea está condicionada a la obtención de una previa certificación y a su posterior designación como proveedor de este tipo de servicios por parte de la Administración estatal [orden MAM/1792/2006, de 5 de junio y Reglamento (CE) 2096/2005, de 20 de diciembre]. Ahora bien, lo que ahora nos corresponde examinar es el precepto recurrido, y este precepto se limita a atribuir al Servicio Meteorológico de Cataluña la referida función, sin hacer ninguna salvedad a que el ejercicio de la misma dependa de un ulterior trámite. Basta la posibilidad de que el levantamiento de la suspensión del precepto impugnado pueda conllevar la prestación del referido servicio sin haber obtenido la previa certificación estatal como proveedor de este tipo de servicios y sin haber sido designado por el Estado para prestarlo, para que la vigencia de la norma pueda ocasionar un grave e irreparable daño para el interés general. En este caso, al estar afectada la seguridad aérea, es suficiente la mera existencia de este riesgo para que proceda mantener la suspensión del precepto. Como ya señalamos en el ATC 247/2008, aunque referido en ese caso a la seguridad en materia de transporte por carretera, “nos encontramos ante un ámbito especialmente sensible para la vida e integridad de las personas … lo que deja fuera de toda duda la afectación a los intereses generales”.</w:t>
      </w:r>
    </w:p>
    <w:p w:rsidR="006B7292" w:rsidRDefault="006B7292" w:rsidP="006B7292">
      <w:pPr>
        <w:pStyle w:val="TextoNormal"/>
      </w:pPr>
    </w:p>
    <w:p w:rsidR="006B7292" w:rsidRDefault="006B7292" w:rsidP="006B7292">
      <w:pPr>
        <w:pStyle w:val="TextoNormal"/>
      </w:pPr>
      <w:r>
        <w:t>Por todo ello, y sin que ello suponga prejuzgar el sentido en el que deba interpretarse el precepto impugnado, cuestión que excede del ámbito propio de este incidente, hemos de concluir que dados los daños que ocasiona al interés general poner en riesgo la seguridad aérea, no procede levantar su suspensión.</w:t>
      </w:r>
    </w:p>
    <w:p w:rsidR="006B7292" w:rsidRDefault="006B7292" w:rsidP="006B7292">
      <w:pPr>
        <w:pStyle w:val="TextoNormal"/>
      </w:pPr>
    </w:p>
    <w:p w:rsidR="006B7292" w:rsidRDefault="006B7292" w:rsidP="006B7292">
      <w:pPr>
        <w:pStyle w:val="TextoNormal"/>
      </w:pPr>
      <w:r w:rsidRPr="006B7292">
        <w:rPr>
          <w:rStyle w:val="NumeroAFNegritaCaracter"/>
        </w:rPr>
        <w:t>6</w:t>
      </w:r>
      <w:r>
        <w:t>. Finalmente, el art. 95 de la Ley 3/2015, de 11 de marzo, modifica el Decreto-ley 1/2009 (equipamientos comerciales), añadiendo la siguiente disposición adicional, la duodécima, al mismo:</w:t>
      </w:r>
    </w:p>
    <w:p w:rsidR="006B7292" w:rsidRDefault="006B7292" w:rsidP="006B7292">
      <w:pPr>
        <w:pStyle w:val="TextoNormal"/>
      </w:pPr>
    </w:p>
    <w:p w:rsidR="006B7292" w:rsidRDefault="006B7292" w:rsidP="006B7292">
      <w:pPr>
        <w:pStyle w:val="TextoNormal"/>
      </w:pPr>
      <w:r>
        <w:t>“Los pequeños y medianos establecimientos comerciales, individuales o colectivos, pueden implantarse dentro de las instalaciones de los puertos de titularidad pública, con gestión directa o indirecta, siempre y cuando estén situados en los entornos de la trama urbana consolidada del municipio, no perjudiquen el uso portuario y así se justifique mediante un informe favorable del departamento competente en materia de puertos. Estos establecimientos comerciales no pueden configurar, en ningún caso, un gran establecimiento comercial o gran establecimiento comercial territorial, sin perjuicio de los establecimientos comerciales singulares regulados por el artículo 6.b.”</w:t>
      </w:r>
    </w:p>
    <w:p w:rsidR="006B7292" w:rsidRDefault="006B7292" w:rsidP="006B7292">
      <w:pPr>
        <w:pStyle w:val="TextoNormal"/>
      </w:pPr>
    </w:p>
    <w:p w:rsidR="006B7292" w:rsidRDefault="006B7292" w:rsidP="006B7292">
      <w:pPr>
        <w:pStyle w:val="TextoNormal"/>
      </w:pPr>
      <w:r>
        <w:t xml:space="preserve">El Abogado del Estado alega, en los términos expuestos en los antecedentes, la posibilidad de apertura de un procedimiento de infracción por incumplimiento del Derecho comunitario por parte de la Comisión Europea, los perjuicios económicos que causa la legislación catalana, la existencia de una sentencia estimatoria de una pretensión similar deducida en el proceso principal así como que estamos ante un supuesto de ausencia evidente de cobertura competencial lo que determinaría, de acuerdo con la doctrina constitucional el mantenimiento de la suspensión. Afirma el Abogado del Estado que, en determinados supuestos en que la controversia competencial ya ha sido resuelta por este Tribunal, se refuerza el </w:t>
      </w:r>
      <w:r w:rsidRPr="006B7292">
        <w:rPr>
          <w:i/>
        </w:rPr>
        <w:t>fumus boni iuris</w:t>
      </w:r>
      <w:r>
        <w:t xml:space="preserve"> a favor del mantenimiento cautelar de la competencia del Estado controvertida.</w:t>
      </w:r>
    </w:p>
    <w:p w:rsidR="006B7292" w:rsidRDefault="006B7292" w:rsidP="006B7292">
      <w:pPr>
        <w:pStyle w:val="TextoNormal"/>
      </w:pPr>
    </w:p>
    <w:p w:rsidR="006B7292" w:rsidRDefault="006B7292" w:rsidP="006B7292">
      <w:pPr>
        <w:pStyle w:val="TextoNormal"/>
      </w:pPr>
      <w:r>
        <w:t>El primer perjuicio alegado por el Abogado del Estado no puede justificar el mantenimiento de la suspensión del precepto impugnado dado que, como recogimos en el ATC 10/2013, de 15 de enero, FJ 3, “tampoco puede ser acogido el perjuicio relativo a la apertura de un eventual procedimiento de infracción al Reino de España por vulneración del principio de libre circulación de servicios pues el mismo no presenta, en este momento, el grado de certeza necesario para su consideración como tal, al no ser más que una hipótesis que no se ha materializado, sin perjuicio de señalar que, caso de abrirse dicho procedimiento, el eventual perjuicio podría ser evitado atendiendo, en su caso, a las indicaciones de la Comisión Europea respecto a los preceptos en cuestión a fin de evitar una, también en este momento eventual, impugnación ante el Tribunal de Luxemburgo, todo ello sin perjuicio, llegado el caso, de la aplicación de lo previsto en la disposición final cuarta de la ya mencionada Ley 17/2009 la cual prevé que las Administraciones públicas que, en el ejercicio de sus competencias, incumplieran lo dispuesto en la misma o en el Derecho comunitario, dando lugar a que el Reino de España sea sancionado por las instituciones europeas asumirán, en la parte que les sea imputable, las responsabilidades que de tal incumplimiento se hubieran derivado” (ATC 42/2011, de 12 de abril, FJ 3).</w:t>
      </w:r>
    </w:p>
    <w:p w:rsidR="006B7292" w:rsidRDefault="006B7292" w:rsidP="006B7292">
      <w:pPr>
        <w:pStyle w:val="TextoNormal"/>
      </w:pPr>
    </w:p>
    <w:p w:rsidR="006B7292" w:rsidRDefault="006B7292" w:rsidP="006B7292">
      <w:pPr>
        <w:pStyle w:val="TextoNormal"/>
      </w:pPr>
      <w:r>
        <w:t>El segundo perjuicio alegado por el Abogado del Estado tampoco puede, por sí solo, determinar el mantenimiento de la suspensión, ya que los datos económicos aportados por el Abogado del Estado hacen referencia, en general, a la regulación catalana sobre establecimientos comerciales, pero no ponen de manifiesto que los perjuicios económicos a los que aluden sean imputables al precepto ahora recurrido. En un sentido similar nos pronunciamos en el ATC 67/2015, de 14 de abril, FJ 3.</w:t>
      </w:r>
    </w:p>
    <w:p w:rsidR="006B7292" w:rsidRDefault="006B7292" w:rsidP="006B7292">
      <w:pPr>
        <w:pStyle w:val="TextoNormal"/>
      </w:pPr>
    </w:p>
    <w:p w:rsidR="006B7292" w:rsidRDefault="006B7292" w:rsidP="006B7292">
      <w:pPr>
        <w:pStyle w:val="TextoNormal"/>
      </w:pPr>
      <w:r>
        <w:t>En tercer lugar, el Abogado del Estado aduce la existencia de una previa Sentencia estimatoria de una pretensión similar deducida en el proceso principal lo que de acuerdo con la doctrina constitucional justifica el mantenimiento de la suspensión.</w:t>
      </w:r>
    </w:p>
    <w:p w:rsidR="006B7292" w:rsidRDefault="006B7292" w:rsidP="006B7292">
      <w:pPr>
        <w:pStyle w:val="TextoNormal"/>
      </w:pPr>
    </w:p>
    <w:p w:rsidR="006B7292" w:rsidRDefault="006B7292" w:rsidP="006B7292">
      <w:pPr>
        <w:pStyle w:val="TextoNormal"/>
      </w:pPr>
      <w:r>
        <w:t>Entiende el Abogado del Estado que la modificación impugnada reproduce para este precepto la discusión competencial ya planteada respecto de la instalación de grandes establecimientos fuera de la trama urbana consolidada en el territorio de Cataluña que ha sido resuelta por la STC 193/2013, de 21 de noviembre. Aun reconociendo las similitudes que existen entre el problema constitucional suscitado en el recurso de inconstitucionalidad resuelto por la STC 193/2013 y el que se plantea en este recurso de inconstitucionalidad, el precepto impugnado en este recurso no es igual, ni siquiera muy similar, al que fue objeto de impugnación en aquel. Entre estos dos preceptos existen diferencias bastantes que impiden considerar que nos encontramos ante preceptos “muy similares —e incluso literalmente idénticos—”, que son los casos, en los que este Tribunal ha considerado un supuesto de apariencia de buen derecho, que, por excepción, permite acordar el mantenimiento de la suspensión por este motivo (AATC 78/1987, de 22 de enero, FJ 2; y 183/2011, de 14 de diciembre, FJ 4).</w:t>
      </w:r>
    </w:p>
    <w:p w:rsidR="006B7292" w:rsidRDefault="006B7292" w:rsidP="006B7292">
      <w:pPr>
        <w:pStyle w:val="TextoNormal"/>
      </w:pPr>
    </w:p>
    <w:p w:rsidR="006B7292" w:rsidRDefault="006B7292" w:rsidP="006B7292">
      <w:pPr>
        <w:pStyle w:val="TextoNormal"/>
      </w:pPr>
      <w:r>
        <w:t>Finalmente, el Abogado del Estado, incidiendo en que ya ha sido resuelta la validez constitucional de la restricción que contempla el art. 95 de la Ley 3/2015, entiende que estamos ante un supuesto de ausencia evidente de cobertura competencial. Atendiendo a lo señalado anteriormente, y sin podernos ahora anticipar al pronunciamiento del fondo de esta controversia, al haber descartado la identidad entre ambos supuestos, no podemos tampoco entender que estamos ante uno de los casos en los que hemos admitido la ausencia evidente de cobertura competencial para mantener la suspensión de este precepto.</w:t>
      </w:r>
    </w:p>
    <w:p w:rsidR="006B7292" w:rsidRDefault="006B7292" w:rsidP="006B7292">
      <w:pPr>
        <w:pStyle w:val="TextoNormal"/>
      </w:pPr>
    </w:p>
    <w:p w:rsidR="006B7292" w:rsidRDefault="006B7292" w:rsidP="006B7292">
      <w:pPr>
        <w:pStyle w:val="TextoNormal"/>
      </w:pPr>
      <w:r>
        <w:t>De acuerdo con lo anterior, procede el levantamiento de la suspensión del art. 95 de la Ley 3/2015.</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1º Mantener la suspensión del art. 69, y de las disposiciones adicionales vigesimosegunda, vigesimotercera, vigesimocuarta, vigesimoquinta y vigesimosexta de la Ley del Parlamento de Cataluña 3/2015, de 11 de marzo, de medidas fiscales, financieras y administrativas.</w:t>
      </w:r>
    </w:p>
    <w:p w:rsidR="006B7292" w:rsidRDefault="006B7292" w:rsidP="006B7292">
      <w:pPr>
        <w:pStyle w:val="TextoNormal"/>
      </w:pPr>
    </w:p>
    <w:p w:rsidR="006B7292" w:rsidRDefault="006B7292" w:rsidP="006B7292">
      <w:pPr>
        <w:pStyle w:val="TextoNormal"/>
      </w:pPr>
      <w:r>
        <w:t>2º Levantar la suspensión del art. 95 de la misma Ley.</w:t>
      </w:r>
    </w:p>
    <w:p w:rsidR="006B7292" w:rsidRDefault="006B7292" w:rsidP="006B7292">
      <w:pPr>
        <w:pStyle w:val="TextoNormal"/>
      </w:pPr>
    </w:p>
    <w:p w:rsidR="006B7292" w:rsidRDefault="006B7292" w:rsidP="006B7292">
      <w:pPr>
        <w:pStyle w:val="TextoNormal"/>
      </w:pPr>
      <w:r>
        <w:t>Madrid, a tres de noviembre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97" w:name="AUTO_2015_183"/>
      <w:r>
        <w:t>AUTO 183/2015, de 3 de noviembre de 2015</w:t>
      </w:r>
    </w:p>
    <w:bookmarkEnd w:id="197"/>
    <w:p w:rsidR="006B7292" w:rsidRDefault="006B7292" w:rsidP="006B7292">
      <w:pPr>
        <w:pStyle w:val="TtuloResolucin"/>
      </w:pPr>
      <w:r>
        <w:t>Pleno</w:t>
      </w:r>
    </w:p>
    <w:p w:rsidR="006B7292" w:rsidRDefault="006B7292" w:rsidP="006B7292">
      <w:pPr>
        <w:pStyle w:val="TextoNormalCentrado"/>
      </w:pPr>
      <w:r>
        <w:t>ECLI:ES:TC:2015:183A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Inadmite a trámite la cuestión de inconstitucionalidad 3502-2015, planteada por la Sala de lo Social del Tribunal Superior de Justicia de Murcia en relación con los artículos 2 del Real Decreto-ley 20/2012, de 13 de julio, de medidas para garantizar la estabilidad presupuesta y de fomento de la competitividad y 2.1 de la Ley de la Asamblea Regional de Murcia 9/2012, de 8 de noviembre.</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día 16 de junio de 2015 tuvo entrada en el Registro General de este Tribunal un oficio de la Sala de lo Social del Tribunal Superior de Justicia de Murcia al que se acompaña, junto con el testimonio del procedimiento correspondiente (recurso de suplicación núm. 700-2014), el Auto de 20 de abril de 2015, por el que se acuerda plantear cuestión de inconstitucionalidad respecto del art. 2 del Real Decreto-ley 20/2012, de 13 de julio, de medidas para garantizar la estabilidad presupuestaria y de fomento de la competitividad, y el art. 2.1 de la Ley autonómica 9/2012, de 8 de noviembre, por posible vulneración del art. 9.3 C.E.</w:t>
      </w:r>
    </w:p>
    <w:p w:rsidR="006B7292" w:rsidRDefault="006B7292" w:rsidP="006B7292">
      <w:pPr>
        <w:pStyle w:val="TextoNormal"/>
      </w:pPr>
    </w:p>
    <w:p w:rsidR="006B7292" w:rsidRDefault="006B7292" w:rsidP="006B7292">
      <w:pPr>
        <w:pStyle w:val="TextoNormal"/>
      </w:pPr>
      <w:r>
        <w:t>El primer precepto cuestionado dispone, en lo que interesa, lo siguiente:</w:t>
      </w:r>
    </w:p>
    <w:p w:rsidR="006B7292" w:rsidRDefault="006B7292" w:rsidP="006B7292">
      <w:pPr>
        <w:pStyle w:val="TextoNormal"/>
      </w:pPr>
    </w:p>
    <w:p w:rsidR="006B7292" w:rsidRDefault="006B7292" w:rsidP="006B7292">
      <w:pPr>
        <w:pStyle w:val="TextoNormal"/>
      </w:pPr>
      <w:r>
        <w:t>“1. En el año 2012 el personal del sector público definido en el artículo 22. Uno de la Ley 2/2012, de 29 de junio, de Presupuestos Generales del Estado, verá reducida sus retribuciones en las cuantías que corresponda percibir en el mes de diciembre como consecuencia de la supresión tanto de la paga extraordinaria como de la paga adicional de complemento específico o pagas adicionales equivalentes de dicho mes.</w:t>
      </w:r>
    </w:p>
    <w:p w:rsidR="006B7292" w:rsidRDefault="006B7292" w:rsidP="006B7292">
      <w:pPr>
        <w:pStyle w:val="TextoNormal"/>
      </w:pPr>
    </w:p>
    <w:p w:rsidR="006B7292" w:rsidRDefault="006B7292" w:rsidP="006B7292">
      <w:pPr>
        <w:pStyle w:val="TextoNormal"/>
      </w:pPr>
      <w:r>
        <w:t>2. Para hacer efectivo lo dispuesto en el apartado anterior, se adoptarán las siguientes medidas:</w:t>
      </w:r>
    </w:p>
    <w:p w:rsidR="006B7292" w:rsidRDefault="006B7292" w:rsidP="006B7292">
      <w:pPr>
        <w:pStyle w:val="TextoNormal"/>
      </w:pPr>
    </w:p>
    <w:p w:rsidR="006B7292" w:rsidRDefault="006B7292" w:rsidP="006B7292">
      <w:pPr>
        <w:pStyle w:val="TextoNormal"/>
      </w:pPr>
      <w:r>
        <w:t>2.1 El personal funcionario no percibirá en el mes de diciembre las cantidades a que se refiere el artículo 22.Cinco.2 de la Ley 2/2012, de 29 de junio, de Presupuestos Generales del Estado para el año 2012 en concepto de sueldo y trienios.</w:t>
      </w:r>
    </w:p>
    <w:p w:rsidR="006B7292" w:rsidRDefault="006B7292" w:rsidP="006B7292">
      <w:pPr>
        <w:pStyle w:val="TextoNormal"/>
      </w:pPr>
    </w:p>
    <w:p w:rsidR="006B7292" w:rsidRDefault="006B7292" w:rsidP="006B7292">
      <w:pPr>
        <w:pStyle w:val="TextoNormal"/>
      </w:pPr>
      <w:r>
        <w:t>Tampoco se percibirá las cuantías correspondientes al resto de los conceptos retributivos que integran tanto la paga extraordinaria como la paga adicional de complemento específico o pagas adicionales equivalentes del mes de diciembre, pudiendo, en este caso, acordarse por cada Administración competente que dicha reducción se ejecute de forma prorrateada entre las nóminas pendientes de percibir en el presente ejercicio a partir de la entrada en vigor de este Real Decreto-ley.</w:t>
      </w:r>
    </w:p>
    <w:p w:rsidR="006B7292" w:rsidRDefault="006B7292" w:rsidP="006B7292">
      <w:pPr>
        <w:pStyle w:val="TextoNormal"/>
      </w:pPr>
    </w:p>
    <w:p w:rsidR="006B7292" w:rsidRDefault="006B7292" w:rsidP="006B7292">
      <w:pPr>
        <w:pStyle w:val="TextoNormal"/>
      </w:pPr>
      <w:r>
        <w:t>2.2 El personal laboral no percibirá las cantidades en concepto de gratificación extraordinaria con ocasión de las fiestas de Navidad o paga extraordinaria o equivalente del mes de diciembre del año 2012. Esta reducción comprenderá la de todos los conceptos retributivos que forman parte de dicha paga de acuerdo con los convenios colectivos que resulten de aplicación.</w:t>
      </w:r>
    </w:p>
    <w:p w:rsidR="006B7292" w:rsidRDefault="006B7292" w:rsidP="006B7292">
      <w:pPr>
        <w:pStyle w:val="TextoNormal"/>
      </w:pPr>
    </w:p>
    <w:p w:rsidR="006B7292" w:rsidRDefault="006B7292" w:rsidP="006B7292">
      <w:pPr>
        <w:pStyle w:val="TextoNormal"/>
      </w:pPr>
      <w:r>
        <w:t>La aplicación directa de esta medida se realizará en la nómina del mes de diciembre de 2012, sin perjuicio de que pueda alterarse la distribución definitiva de la reducción en los ámbitos correspondientes mediante la negociación colectiva, pudiendo, en este caso, acordarse que dicha reducción se ejecute de forma prorrateada entre las nóminas pendientes de percibir en el presente ejercicio a partir de la entrada en vigor de este Real Decreto-ley.</w:t>
      </w:r>
    </w:p>
    <w:p w:rsidR="006B7292" w:rsidRDefault="006B7292" w:rsidP="006B7292">
      <w:pPr>
        <w:pStyle w:val="TextoNormal"/>
      </w:pPr>
    </w:p>
    <w:p w:rsidR="006B7292" w:rsidRDefault="006B7292" w:rsidP="006B7292">
      <w:pPr>
        <w:pStyle w:val="TextoNormal"/>
      </w:pPr>
      <w:r>
        <w:t>La reducción retributiva establecida en el apartado 1 de este artículo será también de aplicación al personal laboral de alta dirección, al personal con contrato mercantil y al no acogido a convenio colectivo que no tenga la consideración de alto cargo.</w:t>
      </w:r>
    </w:p>
    <w:p w:rsidR="006B7292" w:rsidRDefault="006B7292" w:rsidP="006B7292">
      <w:pPr>
        <w:pStyle w:val="TextoNormal"/>
      </w:pPr>
    </w:p>
    <w:p w:rsidR="006B7292" w:rsidRDefault="006B7292" w:rsidP="006B7292">
      <w:pPr>
        <w:pStyle w:val="TextoNormal"/>
      </w:pPr>
      <w:r>
        <w:t>3. La reducción retributiva contenida en los apartados anteriores será de aplicación, asimismo, al personal de las fundaciones del sector público y de los consorcios participados mayoritariamente por las Administraciones que integran el sector público, así como al del Banco de España y personal directivo y resto de personal de las mutuas de accidentes de trabajo y enfermedades profesionales de la Seguridad Social y de sus entidades y centros mancomunados.</w:t>
      </w:r>
    </w:p>
    <w:p w:rsidR="006B7292" w:rsidRDefault="006B7292" w:rsidP="006B7292">
      <w:pPr>
        <w:pStyle w:val="TextoNormal"/>
      </w:pPr>
    </w:p>
    <w:p w:rsidR="006B7292" w:rsidRDefault="006B7292" w:rsidP="006B7292">
      <w:pPr>
        <w:pStyle w:val="TextoNormal"/>
      </w:pPr>
      <w:r>
        <w:t>4. Las cantidades derivadas de la supresión de la paga extraordinaria y de las pagas adicionales de complemento específico o pagas adicionales equivalentes de acuerdo con lo dispuesto en este artículo se destinarán en ejercicios futuros a realizar aportaciones a planes de pensiones o contratos de seguro colectivo que incluyan la cobertura de la contingencia de jubilación, con sujeción a lo establecido en la Ley Orgánica 2/2012, de Estabilidad Presupuestaria y Sostenibilidad Financiera y en los términos y con el alcance que se determine en las correspondientes leyes de presupuestos.</w:t>
      </w:r>
    </w:p>
    <w:p w:rsidR="006B7292" w:rsidRDefault="006B7292" w:rsidP="006B7292">
      <w:pPr>
        <w:pStyle w:val="TextoNormal"/>
      </w:pPr>
    </w:p>
    <w:p w:rsidR="006B7292" w:rsidRDefault="006B7292" w:rsidP="006B7292">
      <w:pPr>
        <w:pStyle w:val="TextoNormal"/>
      </w:pPr>
      <w:r>
        <w:t>5. En aquellos casos en que no se contemple expresamente en su régimen retributivo la percepción de pagas extraordinarias o se perciban más de dos al año se reducirá una catorceava parte de las retribuciones totales anuales excluidos incentivos al rendimiento. Dicha reducción se prorrateará entre las nóminas pendientes de percibir en el presente ejercicio a partir de la entrada en vigor de este Real Decreto-ley.</w:t>
      </w:r>
    </w:p>
    <w:p w:rsidR="006B7292" w:rsidRDefault="006B7292" w:rsidP="006B7292">
      <w:pPr>
        <w:pStyle w:val="TextoNormal"/>
      </w:pPr>
    </w:p>
    <w:p w:rsidR="006B7292" w:rsidRDefault="006B7292" w:rsidP="006B7292">
      <w:pPr>
        <w:pStyle w:val="TextoNormal"/>
      </w:pPr>
      <w:r>
        <w:t>6. Lo dispuesto en los apartados anteriores no será de aplicación a aquellos empleados públicos cuyas retribuciones por jornada completa, excluidos incentivos al rendimiento, no alcancen en cómputo anual 1,5 veces el salario mínimo interprofesional establecido en el Real Decreto 1888/2011, de 30 de diciembre.</w:t>
      </w:r>
    </w:p>
    <w:p w:rsidR="006B7292" w:rsidRDefault="006B7292" w:rsidP="006B7292">
      <w:pPr>
        <w:pStyle w:val="TextoNormal"/>
      </w:pPr>
    </w:p>
    <w:p w:rsidR="006B7292" w:rsidRDefault="006B7292" w:rsidP="006B7292">
      <w:pPr>
        <w:pStyle w:val="TextoNormal"/>
      </w:pPr>
      <w:r>
        <w:t>7. El presente artículo tiene carácter básico dictándose al amparo de lo dispuesto en los artículos 149.1.13 y 156.1 de la Constitución.”</w:t>
      </w:r>
    </w:p>
    <w:p w:rsidR="006B7292" w:rsidRDefault="006B7292" w:rsidP="006B7292">
      <w:pPr>
        <w:pStyle w:val="TextoNormal"/>
      </w:pPr>
    </w:p>
    <w:p w:rsidR="006B7292" w:rsidRDefault="006B7292" w:rsidP="006B7292">
      <w:pPr>
        <w:pStyle w:val="TextoNormal"/>
      </w:pPr>
      <w:r>
        <w:t>Por su parte, el apartado primero del precepto autonómico cuestionado dispone:</w:t>
      </w:r>
    </w:p>
    <w:p w:rsidR="006B7292" w:rsidRDefault="006B7292" w:rsidP="006B7292">
      <w:pPr>
        <w:pStyle w:val="TextoNormal"/>
      </w:pPr>
    </w:p>
    <w:p w:rsidR="006B7292" w:rsidRDefault="006B7292" w:rsidP="006B7292">
      <w:pPr>
        <w:pStyle w:val="TextoNormal"/>
      </w:pPr>
      <w:r>
        <w:t>“1. En el año 2012 el personal al servicio del sector público regional definido en el artículo 22.1 de la Ley 6/2011, de 26 de diciembre, de presupuestos generales de la Comunidad Autónoma de la Región de Murcia para el ejercicio 2012, verá reducida sus retribuciones en las cuantías que corresponda percibir en el mes de diciembre, como consecuencia de la supresión tanto de la paga extraordinaria como de la paga adicional de complemento específico o pagas adicionales equivalentes de dicho mes.”</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de hecho del planteamiento de la presente cuestión de inconstitucionalidad son, sucintamente expuestos, los siguientes:</w:t>
      </w:r>
    </w:p>
    <w:p w:rsidR="006B7292" w:rsidRDefault="006B7292" w:rsidP="006B7292">
      <w:pPr>
        <w:pStyle w:val="TextoNormal"/>
      </w:pPr>
    </w:p>
    <w:p w:rsidR="006B7292" w:rsidRDefault="006B7292" w:rsidP="006B7292">
      <w:pPr>
        <w:pStyle w:val="TextoNormal"/>
      </w:pPr>
      <w:r>
        <w:t>a) El sindicato Unión General de Trabajadores de la Región de Murcia promovió demanda de conflicto colectivo que afecta a todo el personal laboral de la empresa Bahía de Mazarrón Ingeniería Urbana 2007, S.L., de titularidad del Ayuntamiento de Mazarrón, reclamando el pago de la paga extraordinaria de Navidad de 2012 o, subsidiariamente, el de la parte proporcional de la misma devengada antes de la entrada en vigor del Real Decreto-ley 20/2012, de 13 de julio, de medidas para garantizar la estabilidad presupuestaria y de fomento de la competitividad (15 de julio de 2012), esto es, desde el 1 de junio hasta el 15 de julio de dicho año. El Juzgado de lo Social núm. 6 de Murcia desestimó la pretensión principal, pero estimó la subsidiaria.</w:t>
      </w:r>
    </w:p>
    <w:p w:rsidR="006B7292" w:rsidRDefault="006B7292" w:rsidP="006B7292">
      <w:pPr>
        <w:pStyle w:val="TextoNormal"/>
      </w:pPr>
    </w:p>
    <w:p w:rsidR="006B7292" w:rsidRDefault="006B7292" w:rsidP="006B7292">
      <w:pPr>
        <w:pStyle w:val="TextoNormal"/>
      </w:pPr>
      <w:r>
        <w:t>La representación de la empresa municipal recurrió en suplicación. El sindicato recurrente en la instancia, y que había visto estimada parcialmente su pretensión, impugnó el recurso de suplicación.</w:t>
      </w:r>
    </w:p>
    <w:p w:rsidR="006B7292" w:rsidRDefault="006B7292" w:rsidP="006B7292">
      <w:pPr>
        <w:pStyle w:val="TextoNormal"/>
      </w:pPr>
    </w:p>
    <w:p w:rsidR="006B7292" w:rsidRDefault="006B7292" w:rsidP="006B7292">
      <w:pPr>
        <w:pStyle w:val="TextoNormal"/>
      </w:pPr>
      <w:r>
        <w:t>b) Concluso el procedimiento y dentro del plazo para dictar Sentencia, el órgano judicial dictó Auto (</w:t>
      </w:r>
      <w:r w:rsidRPr="006B7292">
        <w:rPr>
          <w:i/>
        </w:rPr>
        <w:t>sic</w:t>
      </w:r>
      <w:r>
        <w:t>) de 9 de diciembre de 2014, cuya fundamentación jurídica es: “suscitándose la problemática de si los artículos 2.2 y 5.1 de la Ley 4/2013, de 12 de junio, de la Comunidad Autónoma de la Región de Murcia, que aplicarían la reducción de las retribuciones salariales en 2013 al personal laboral a su servicio, de forma equivalente a las que experimente el personal funcionario de la Administración Pública de la Región de Murcia, en los porcentajes establecidos en el art. 3.1 de dicha Ley autonómica ha incurrido en un exceso de competencia a la luz de los arts. 149.7, 13 y 14 de la CE y 10.11 del Estatuto de Autonomía de la Región de Murcia”.</w:t>
      </w:r>
    </w:p>
    <w:p w:rsidR="006B7292" w:rsidRDefault="006B7292" w:rsidP="006B7292">
      <w:pPr>
        <w:pStyle w:val="TextoNormal"/>
      </w:pPr>
    </w:p>
    <w:p w:rsidR="006B7292" w:rsidRDefault="006B7292" w:rsidP="006B7292">
      <w:pPr>
        <w:pStyle w:val="TextoNormal"/>
      </w:pPr>
      <w:r>
        <w:t>En consecuencia, la Sala acordó oír a las partes y al Ministerio Fiscal, “por plazo común e improrrogable de 10 días” sobre “si el art. 3.1 de dicha Ley autonómica ha incurrido en un exceso de competencia, a la luz de los artículos 149.7, 13 y 14 de la CE y 10.11 del Estatuto de Autonomía de la Región de Murcia”.</w:t>
      </w:r>
    </w:p>
    <w:p w:rsidR="006B7292" w:rsidRDefault="006B7292" w:rsidP="006B7292">
      <w:pPr>
        <w:pStyle w:val="TextoNormal"/>
      </w:pPr>
    </w:p>
    <w:p w:rsidR="006B7292" w:rsidRDefault="006B7292" w:rsidP="006B7292">
      <w:pPr>
        <w:pStyle w:val="TextoNormal"/>
      </w:pPr>
      <w:r>
        <w:t>c) El Ministerio Fiscal y la parte recurrente en suplicación consideraron procedente que se plantease cuestión respecto Real Decreto-ley 20/2012. Esta última alega que, no obstante que la norma cuestionada no lesiona el art. 9.3 CE, “entiende esta parte que la sentencia del Tribunal Constitucional pronunciándose sobre la constitucionalidad o no del citado Real Decreto-Ley en este punto podría afectar a la resolución del presente proceso judicial”.</w:t>
      </w:r>
    </w:p>
    <w:p w:rsidR="006B7292" w:rsidRDefault="006B7292" w:rsidP="006B7292">
      <w:pPr>
        <w:pStyle w:val="TextoNormal"/>
      </w:pPr>
    </w:p>
    <w:p w:rsidR="006B7292" w:rsidRDefault="006B7292" w:rsidP="006B7292">
      <w:pPr>
        <w:pStyle w:val="TextoNormal"/>
      </w:pPr>
      <w:r>
        <w:t>d) La Sala de lo Social del Tribunal Superior de Justicia de Murcia dictó el Auto de 16 de junio de 2015, por el que se acuerda plantear cuestión de inconstitucionalidad respecto del art. 2 del Real Decreto-ley 20/2012, de 13 de julio, de medidas para garantizar la estabilidad presupuestaria y de fomento de la competitividad, y el art. 2.1 de la Ley autonómica 9/2012, por posible vulneración del art. 9.3 CE.</w:t>
      </w:r>
    </w:p>
    <w:p w:rsidR="006B7292" w:rsidRDefault="006B7292" w:rsidP="006B7292">
      <w:pPr>
        <w:pStyle w:val="TextoNormal"/>
      </w:pPr>
    </w:p>
    <w:p w:rsidR="006B7292" w:rsidRDefault="006B7292" w:rsidP="006B7292">
      <w:pPr>
        <w:pStyle w:val="TextoNormal"/>
      </w:pPr>
      <w:r w:rsidRPr="006B7292">
        <w:rPr>
          <w:rStyle w:val="NumeroAFNegritaCaracter"/>
        </w:rPr>
        <w:t>3</w:t>
      </w:r>
      <w:r>
        <w:t>. El Auto, luego de dedicar los antecedentes a transcribir los arts. 2, 3 y 6 del Real Decreto-ley 20/2012, consigna tres fundamentos de derecho. En el primero razona expresamente acerca del juicio de relevancia. Señala que el demandante en la instancia solicitaba el abono de la parte de la paga extraordinaria de Navidad de 2012 que ya se había devengado al tiempo en se dictó el precepto legal que la suprimía y que esta Sala había estimado en sentencias previas esta pretensión, al entender que dicho precepto legal no eliminaba expresamente toda la paga correspondiente a 2012, entendiendo en consecuencia que solo suprimía la parte devengada a partir de su entrada en vigor. Añade que desde que el Tribunal Constitucional ha admitido cuestiones de inconstitucionalidad contra este precepto legal y respecto de situaciones idénticas, entendiendo que aquel precepto legal sí suprimía la paga extraordinaria de todo 2012, incluida la parte ya devengada al momento de su entrada en vigor, la Sala adapta su criterio y ya no puede resolver el fondo sin plantear la oportuna cuestión de inconstitucionalidad.</w:t>
      </w:r>
    </w:p>
    <w:p w:rsidR="006B7292" w:rsidRDefault="006B7292" w:rsidP="006B7292">
      <w:pPr>
        <w:pStyle w:val="TextoNormal"/>
      </w:pPr>
    </w:p>
    <w:p w:rsidR="006B7292" w:rsidRDefault="006B7292" w:rsidP="006B7292">
      <w:pPr>
        <w:pStyle w:val="TextoNormal"/>
      </w:pPr>
      <w:r>
        <w:t>En el segundo fundamento de derecho afirma que es doctrina reiterada del Tribunal Supremo que la paga extra es un salario que se devenga día a día aun cuando se pague de un modo diferido en el tiempo. De ahí deriva que la eliminación del abono de la paga extra por lo que hace al mes de junio y los días de julio previos a la entrada en vigor del Real Decreto-ley 20/2012 es una disposición restrictiva de derechos que, por estar ya consolidados en el patrimonio del trabajador, tiene efectos retroactivos prohibidos por el art. 9.3 CE. El tercer fundamento es una simple alusión al art. 163 CE.</w:t>
      </w:r>
    </w:p>
    <w:p w:rsidR="006B7292" w:rsidRDefault="006B7292" w:rsidP="006B7292">
      <w:pPr>
        <w:pStyle w:val="TextoNormal"/>
      </w:pPr>
    </w:p>
    <w:p w:rsidR="006B7292" w:rsidRDefault="006B7292" w:rsidP="006B7292">
      <w:pPr>
        <w:pStyle w:val="TextoNormal"/>
      </w:pPr>
      <w:r>
        <w:t>La Sala acuerda, en consecuencia, “plantear ante el Tribunal Constitucional cuestión de inconstitucionalidad en relación con los arts. 2 Real Decreto-ley 20/2012, de 13 de julio, y 2.1 de la Ley autonómica 9/2012, por posible infracción de la prohibición de retroactividad de las normas restrictivas de derechos individuales que garantiza el art. 9.3 CE, en relación con el principio de seguridad jurídica del mismo precepto”.</w:t>
      </w:r>
    </w:p>
    <w:p w:rsidR="006B7292" w:rsidRDefault="006B7292" w:rsidP="006B7292">
      <w:pPr>
        <w:pStyle w:val="TextoNormal"/>
      </w:pPr>
    </w:p>
    <w:p w:rsidR="006B7292" w:rsidRDefault="006B7292" w:rsidP="006B7292">
      <w:pPr>
        <w:pStyle w:val="TextoNormal"/>
      </w:pPr>
      <w:r w:rsidRPr="006B7292">
        <w:rPr>
          <w:rStyle w:val="NumeroAFNegritaCaracter"/>
        </w:rPr>
        <w:t>4</w:t>
      </w:r>
      <w:r>
        <w:t>. Por providencia de 7 de julio de 2015, la Sección Tercera del Tribunal Constitucional acordó oír al Fiscal General del Estado para que, en el plazo de diez días, y a los efectos que determina el art. 37.1 de la Ley Orgánica del Tribunal Constitucional (LOTC), alegase lo que considerase conveniente acerca de la admisibilidad de la presente cuestión de inconstitucionalidad, en relación con el cumplimiento de los requisitos procesales (art. 35.2 LOTC).</w:t>
      </w:r>
    </w:p>
    <w:p w:rsidR="006B7292" w:rsidRDefault="006B7292" w:rsidP="006B7292">
      <w:pPr>
        <w:pStyle w:val="TextoNormal"/>
      </w:pPr>
    </w:p>
    <w:p w:rsidR="006B7292" w:rsidRDefault="006B7292" w:rsidP="006B7292">
      <w:pPr>
        <w:pStyle w:val="TextoNormal"/>
      </w:pPr>
      <w:r w:rsidRPr="006B7292">
        <w:rPr>
          <w:rStyle w:val="NumeroAFNegritaCaracter"/>
        </w:rPr>
        <w:t>5</w:t>
      </w:r>
      <w:r>
        <w:t>. El Fiscal General del Estado evacuó el trámite conferido mediante escrito registrado el 10 de septiembre de 2015, en el que interesa la inadmisión de la presente cuestión de inconstitucionalidad.</w:t>
      </w:r>
    </w:p>
    <w:p w:rsidR="006B7292" w:rsidRDefault="006B7292" w:rsidP="006B7292">
      <w:pPr>
        <w:pStyle w:val="TextoNormal"/>
      </w:pPr>
    </w:p>
    <w:p w:rsidR="006B7292" w:rsidRDefault="006B7292" w:rsidP="006B7292">
      <w:pPr>
        <w:pStyle w:val="TextoNormal"/>
      </w:pPr>
      <w:r>
        <w:t>Afirma que “la Sala de lo Social no efectúa correctamente el cometido asignado por el art. 35 LOTC, y ello por dos motivos fundamentales”. En primer lugar, porque “lo que se plantea a las partes para su consideración, mediante el auto de fecha 9 de diciembre de 2014 es la pretendida inconstitucionalidad de los arts. 2.2, 3.1 y 5.1 de la Ley autonómica 4/2013, de 12 de junio, haciéndose hincapié en que la supuesta inconstitucionalidad se hallaría en el hecho de un posible exceso de competencia autonómica a la luz de los arts. 149.7, 13 y 14 CE y 10.11 del Estatuto de Autonomía de la Región de Murcia. Sin embargo, y una vez oídas las partes, lo que se plantea en el auto de 20 de abril no es tal sino el art. 2 del Real Decreto-ley 20/2012, de 13 de julio, de medidas para garantizar la estabilidad presupuestaria y de fomento de la competitividad, y el art. 2.1 de la Ley de la Región de Murcia 9/2012. Tal manifiesta inconsecuencia no permite, en opinión del Fiscal, se tenga por correctamente evacuado el trámite de audiencia que prevé el art. 35.2 LOTC”</w:t>
      </w:r>
    </w:p>
    <w:p w:rsidR="006B7292" w:rsidRDefault="006B7292" w:rsidP="006B7292">
      <w:pPr>
        <w:pStyle w:val="TextoNormal"/>
      </w:pPr>
    </w:p>
    <w:p w:rsidR="006B7292" w:rsidRDefault="006B7292" w:rsidP="006B7292">
      <w:pPr>
        <w:pStyle w:val="TextoNormal"/>
      </w:pPr>
      <w:r>
        <w:t>Sostiene el Fiscal que “en segundo término, se incurre también en el auto de 9 de diciembre de 2014 en una nueva quiebra procesal que viene a perjudicar la regularidad del trámite de audiencia, ya que lo que se pregunta a las partes por plazo de diez días versa sobre normas (arts. 2.2, 3.1 y 5.1 de la Ley autonómica 4/2013, de 12 de junio, y arts. 149.7, 13 y 14 CE y 10.11 del Estatuto de Autonomía de la Región de Murcia) que no resultan aplicables al proceso subyacente, ya que éste se plantea un conflicto colectivo en relación con la supresión de la paga extraordinaria correspondiente al mes de diciembre de 2012, pero no la supresión que un año después y mediante la citada Ley autonómica 4/2013, de 12 de junio, es aprobada por la Comunidad Autónoma de la Región de Murcia”.</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La presente cuestión de inconstitucionalidad se plantea por la Sala de lo Social del Tribunal Superior de Justicia de Murcia, en relación con los arts. 2 del Real Decreto-ley 20/2012, de 13 de julio, de medidas para garantizar la estabilidad presupuestaria y de fomento de la competitividad, y 2.1 de la Ley autonómica 9/2012, por posible vulneración del art. 9.3 CE.</w:t>
      </w:r>
    </w:p>
    <w:p w:rsidR="006B7292" w:rsidRDefault="006B7292" w:rsidP="006B7292">
      <w:pPr>
        <w:pStyle w:val="TextoNormal"/>
      </w:pPr>
    </w:p>
    <w:p w:rsidR="006B7292" w:rsidRDefault="006B7292" w:rsidP="006B7292">
      <w:pPr>
        <w:pStyle w:val="TextoNormal"/>
      </w:pPr>
      <w:r>
        <w:t>El órgano judicial considera que los preceptos impugnados, al suprimir la percepción de la paga extraordinaria del mes de diciembre del año 2012 para el personal laboral del sector público, incluida aquella parte que ya se había devengado al tiempo de entrar en vigor de la norma, podría considerarse contrario al art. 9.3 CE, que garantiza la irretroactividad de las disposiciones restrictivas de derechos individuales y el principio de seguridad jurídica.</w:t>
      </w:r>
    </w:p>
    <w:p w:rsidR="006B7292" w:rsidRDefault="006B7292" w:rsidP="006B7292">
      <w:pPr>
        <w:pStyle w:val="TextoNormal"/>
      </w:pPr>
    </w:p>
    <w:p w:rsidR="006B7292" w:rsidRDefault="006B7292" w:rsidP="006B7292">
      <w:pPr>
        <w:pStyle w:val="TextoNormal"/>
      </w:pPr>
      <w:r>
        <w:t>El Fiscal General del Estado, en el trámite previsto en el art. 37.1 de la Ley Orgánica del Tribunal Constitucional (LOTC), se ha opuesto a la admisión de la presente cuestión de inconstitucionalidad por entender que no se ha sustanciado correctamente el trámite de audiencia exigido por el art. 35.2 LOTC.</w:t>
      </w:r>
    </w:p>
    <w:p w:rsidR="006B7292" w:rsidRDefault="006B7292" w:rsidP="006B7292">
      <w:pPr>
        <w:pStyle w:val="TextoNormal"/>
      </w:pPr>
    </w:p>
    <w:p w:rsidR="006B7292" w:rsidRDefault="006B7292" w:rsidP="006B7292">
      <w:pPr>
        <w:pStyle w:val="TextoNormal"/>
      </w:pPr>
      <w:r w:rsidRPr="006B7292">
        <w:rPr>
          <w:rStyle w:val="NumeroAFNegritaCaracter"/>
        </w:rPr>
        <w:t>2</w:t>
      </w:r>
      <w:r>
        <w:t>. El art. 37.1 LOTC establece que este Tribunal puede rechazar, en trámite de admisión, mediante Auto y sin otra audiencia que la del Fiscal General del Estado, la cuestión de inconstitucionalidad cuando faltaren las condiciones procesales que se exigen para su viabilidad. El análisis de la presente cuestión de inconstitucionalidad pone de manifiesto que, como argumenta el Fiscal, en la misma no se ha cumplido adecuadamente el trámite de audiencia a las partes y al Ministerio Fiscal previsto en el art. 35.2 LOTC, lo que conlleva su inadmisión.</w:t>
      </w:r>
    </w:p>
    <w:p w:rsidR="006B7292" w:rsidRDefault="006B7292" w:rsidP="006B7292">
      <w:pPr>
        <w:pStyle w:val="TextoNormal"/>
      </w:pPr>
    </w:p>
    <w:p w:rsidR="006B7292" w:rsidRDefault="006B7292" w:rsidP="006B7292">
      <w:pPr>
        <w:pStyle w:val="TextoNormal"/>
      </w:pPr>
      <w:r>
        <w:t>Como resulta de los antecedentes, la Sala de lo Social, una vez conclusa la tramitación del recurso de suplicación que estaba pendiente ante ella, dictó resolución de 9 de diciembre de 2014, por el que otorgó a las partes y al Ministerio Fiscal el trámite previsto en el art. 35 LOTC. Sin embargo, como consta igualmente en los antecedentes, lo otorgó sobre “si el art. 3.1 de dicha Ley autonómica [Ley 4/2013, de 12 de junio] ha incurrido en un exceso de competencia, a la luz de los artículos 149.1.7, 13 y 14 de la CE y 10.11 del Estatuto de Autonomía de la Región de Murcia”. En otras palabras, la Sala no concedió este trámite respecto los arts. 2 del Real Decreto-ley 20/2012, de 13 de julio, de medidas para garantizar la estabilidad presupuestaria y de fomento de la competitividad, y 2.1 de la Ley autonómica 9/2012, que son los preceptos que luego cuestiona en su auto de planteamiento.</w:t>
      </w:r>
    </w:p>
    <w:p w:rsidR="006B7292" w:rsidRDefault="006B7292" w:rsidP="006B7292">
      <w:pPr>
        <w:pStyle w:val="TextoNormal"/>
      </w:pPr>
    </w:p>
    <w:p w:rsidR="006B7292" w:rsidRDefault="006B7292" w:rsidP="006B7292">
      <w:pPr>
        <w:pStyle w:val="TextoNormal"/>
      </w:pPr>
      <w:r>
        <w:t>La regla general, según la doctrina constitucional (por todas, STC 33/2009, de 27 de enero, FJ 2), es que “la importancia de la audiencia del art. 35.2 LOTC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dudas como las normas de la Constitución que se consideren vulneradas” (FJ 2). No hacerlo, como ocurre en este caso, donde no se identifican correctamente ni los preceptos legales sobre cuya constitucionalidad se albergan dudas ni las normas de la Constitución que se consideren vulneradas, supondría, en aplicación de esta regla general, la inadmisión de la cuestión de inconstitucionalidad por falta de requisitos procesales.</w:t>
      </w:r>
    </w:p>
    <w:p w:rsidR="006B7292" w:rsidRDefault="006B7292" w:rsidP="006B7292">
      <w:pPr>
        <w:pStyle w:val="TextoNormal"/>
      </w:pPr>
    </w:p>
    <w:p w:rsidR="006B7292" w:rsidRDefault="006B7292" w:rsidP="006B7292">
      <w:pPr>
        <w:pStyle w:val="TextoNormal"/>
      </w:pPr>
      <w:r w:rsidRPr="006B7292">
        <w:rPr>
          <w:rStyle w:val="NumeroAFNegritaCaracter"/>
        </w:rPr>
        <w:t>3</w:t>
      </w:r>
      <w:r>
        <w:t>. Es cierto, no obstante, que la doctrina constitucional ha admitido excepciones, esto es, que las variaciones en la identificación del objeto de la cuestión de inconstitucionalidad no deben conducir inexorablemente a la inadmisión de la misma por falta de los requisitos procesales. Esto ocurrirá cuando el defecto en que incurre la providencia de apertura del trámite de audiencia no alcanza a producir confusión en los destinatarios, de modo que éstos pueden superar ese defecto y entender correctamente cuál era la duda que se les plantea, pues en estos casos no se habrá impedido a las partes el efectivo ejercicio de su derecho de audiencia en el trámite previsto por el art. 35.2 LOTC.</w:t>
      </w:r>
    </w:p>
    <w:p w:rsidR="006B7292" w:rsidRDefault="006B7292" w:rsidP="006B7292">
      <w:pPr>
        <w:pStyle w:val="TextoNormal"/>
      </w:pPr>
    </w:p>
    <w:p w:rsidR="006B7292" w:rsidRDefault="006B7292" w:rsidP="006B7292">
      <w:pPr>
        <w:pStyle w:val="TextoNormal"/>
      </w:pPr>
      <w:r>
        <w:t xml:space="preserve">Hay más probabilidades de que esto suceda cuando la incorrecta identificación afecte solo al precepto constitucional que se entiende vulnerado, pues la correcta identificación del precepto legal que se cuestiona y el objeto del proceso </w:t>
      </w:r>
      <w:r w:rsidRPr="006B7292">
        <w:rPr>
          <w:i/>
        </w:rPr>
        <w:t>a quo</w:t>
      </w:r>
      <w:r>
        <w:t xml:space="preserve"> pueden, en algunos casos, ser datos suficientes para que las partes superen ese error, entiendan correctamente la duda de constitucionalidad planteada y evacuen el trámite de audiencia en consecuencia. Este fue el caso de la STC 296/1994, de 10 de noviembre. Concluimos entonces que “esa errática designación [de los preceptos constitucionales eventualmente infringidos por el precepto legal cuestionado] en modo alguno introdujo confusión acerca de cuáles eran los correctos términos en que se planteaba la duda de inconstitucionalidad y que, en este punto, el precepto constitucional afectado, además del 157.1, era el 133.1 y 2, sin que la omisión de cita de alguno de esos dos números o la mención del 131.1 y 2 —que no guarda la más mínima relación con el problema planteado— pudiera imputarse a causa distinta del simple error mecanográfico totalmente intrascendente” (FJ 2).</w:t>
      </w:r>
    </w:p>
    <w:p w:rsidR="006B7292" w:rsidRDefault="006B7292" w:rsidP="006B7292">
      <w:pPr>
        <w:pStyle w:val="TextoNormal"/>
      </w:pPr>
    </w:p>
    <w:p w:rsidR="006B7292" w:rsidRDefault="006B7292" w:rsidP="006B7292">
      <w:pPr>
        <w:pStyle w:val="TextoNormal"/>
      </w:pPr>
      <w:r>
        <w:t>Es más difícil de admitir que la incorrecta identificación sea superable cuando afecta al precepto legal que el órgano judicial cuestiona, salvo quizá en los casos en que ambos preceptos tengan el mismo contenido normativo. Así parece desprenderse del ATC 33/2009, de 27 de enero, donde se afirma que “no hay, por tanto, identidad sustantiva entre los dos preceptos legales sucesivamente identificados por el órgano judicial promotor de la presente cuestión como objeto de la duda de constitucionalidad cuya resolución ahora se reclama de este Tribunal Constitucional. Lo que impide entender adecuadamente realizado el trámite de audiencia del art. 35.2 LOTC”.</w:t>
      </w:r>
    </w:p>
    <w:p w:rsidR="006B7292" w:rsidRDefault="006B7292" w:rsidP="006B7292">
      <w:pPr>
        <w:pStyle w:val="TextoNormal"/>
      </w:pPr>
    </w:p>
    <w:p w:rsidR="006B7292" w:rsidRDefault="006B7292" w:rsidP="006B7292">
      <w:pPr>
        <w:pStyle w:val="TextoNormal"/>
      </w:pPr>
      <w:r>
        <w:t>Más allá de lo que se resolvió en el ATC 33/2009, resulta evidente que, aunque las partes a partir del contexto puedan sospechar que el precepto legal cuestionado que se identifica en el trámite de audiencia no es el relevante, probablemente no tendrán elementos para identificar cuál es el precepto legal que sí lo es, sobre todo cuando la identificación de los preceptos constitucionales que se consideran infringidos también es errónea.</w:t>
      </w:r>
    </w:p>
    <w:p w:rsidR="006B7292" w:rsidRDefault="006B7292" w:rsidP="006B7292">
      <w:pPr>
        <w:pStyle w:val="TextoNormal"/>
      </w:pPr>
    </w:p>
    <w:p w:rsidR="006B7292" w:rsidRDefault="006B7292" w:rsidP="006B7292">
      <w:pPr>
        <w:pStyle w:val="TextoNormal"/>
      </w:pPr>
      <w:r>
        <w:t>Conectando con lo que se acaba de indicar, más difícil aún resulta que las partes puedan superar la identificación errónea del objeto de la cuestión de inconstitucionalidad cuando ésta afecta tanto al precepto legal cuestionado como al precepto constitucional que se entiende infringido, sencillamente porque el contexto del que puede derivarse la superación de ese defecto resulta más abierto, pues se cuenta con un elemento menos que lo conforme.</w:t>
      </w:r>
    </w:p>
    <w:p w:rsidR="006B7292" w:rsidRDefault="006B7292" w:rsidP="006B7292">
      <w:pPr>
        <w:pStyle w:val="TextoNormal"/>
      </w:pPr>
    </w:p>
    <w:p w:rsidR="006B7292" w:rsidRDefault="006B7292" w:rsidP="006B7292">
      <w:pPr>
        <w:pStyle w:val="TextoNormal"/>
      </w:pPr>
      <w:r w:rsidRPr="006B7292">
        <w:rPr>
          <w:rStyle w:val="NumeroAFNegritaCaracter"/>
        </w:rPr>
        <w:t>4</w:t>
      </w:r>
      <w:r>
        <w:t>. Trasladando estas ideas al caso concreto, tenemos que partir de que el Fiscal y una de las partes, separándose completamente de lo que se les consultaba en la providencia que abría el trámite de audiencia, evacuaron el trámite en los términos que luego el órgano promotor trasladó a su auto de planteamiento. Por el contrario, la otra parte, la que había vencido en la instancia y se había opuesto en el recurso de suplicación, no presentó alegaciones. Por tanto, no podemos afirmar que del comportamiento de las partes se deduzca que todas ellas entendieron la duda de constitucionalidad sobre la que se solicitaba su parecer. Para que pudiéramos llegar a esta conclusión sería necesario que todas las partes, incluida la representación de UGT Región de Murcia, hubieran evacuado el trámite en los términos que luego el órgano promotor trasladó a su auto de planteamiento. Y esto, como se ha puesto de relieve, no ha sucedido.</w:t>
      </w:r>
    </w:p>
    <w:p w:rsidR="006B7292" w:rsidRDefault="006B7292" w:rsidP="006B7292">
      <w:pPr>
        <w:pStyle w:val="TextoNormal"/>
      </w:pPr>
    </w:p>
    <w:p w:rsidR="006B7292" w:rsidRDefault="006B7292" w:rsidP="006B7292">
      <w:pPr>
        <w:pStyle w:val="TextoNormal"/>
      </w:pPr>
      <w:r>
        <w:t xml:space="preserve">Cabría aún que entendiéramos que la providencia de apertura del trámite de audiencia no ha generado confusión, no tanto porque las partes demuestren con sus escritos haberla superado, sino porque de esa providencia en sí misma considerada, integrada con el contexto, se derivase con claridad cuál es la duda de constitucionalidad sobre la que se consulta a las partes. Pero esto tampoco ocurre en este supuesto porque no se puede imponer como necesario que una duda de constitucionalidad referida al art. 2.1 de una Ley autonómica por un eventual exceso competencial (arts. 149.1.7, 13 y 14) sea susceptible de interpretarse como una duda de constitucionalidad referida a una norma estatal por eventual lesión del art. 9.3 CE. De este modo, al no aparecer como necesario ese entendimiento, si cualquiera de las partes no hubiera ajustado su conducta al mismo, como ocurre en este caso con la representación de UGT Región de Murcia, no cabe reputar que la finalidad del trámite de audiencia </w:t>
      </w:r>
      <w:r w:rsidRPr="006B7292">
        <w:rPr>
          <w:i/>
        </w:rPr>
        <w:t>ex</w:t>
      </w:r>
      <w:r>
        <w:t xml:space="preserve"> art. 35.2 LOTC se haya cumplido a pesar de la identificación errónea realizada en la resolución que lo abre.</w:t>
      </w:r>
    </w:p>
    <w:p w:rsidR="006B7292" w:rsidRDefault="006B7292" w:rsidP="006B7292">
      <w:pPr>
        <w:pStyle w:val="TextoNormal"/>
      </w:pPr>
    </w:p>
    <w:p w:rsidR="006B7292" w:rsidRDefault="006B7292" w:rsidP="006B7292">
      <w:pPr>
        <w:pStyle w:val="TextoNormal"/>
      </w:pPr>
      <w:r w:rsidRPr="006B7292">
        <w:rPr>
          <w:rStyle w:val="NumeroAFNegritaCaracter"/>
        </w:rPr>
        <w:t>5</w:t>
      </w:r>
      <w:r>
        <w:t>. Los datos y razonamientos expuestos conducen a concluir que en la resolución de 9 de diciembre de 2014, por el que otorgó a las partes y al Ministerio Fiscal el trámite previsto en el art. 35 LOTC, no se identificaron correctamente ni los preceptos legales sobre cuya constitucionalidad se albergan dudas ni las normas de la Constitución que se consideren vulneradas, lo que, teniendo en cuenta la doctrina constitucional expuesta en los fundamentos jurídicos segundo y tercero y las circunstancias del caso concreto reseñadas en el fundamento jurídico cuarto, supone que dicho trámite no se ha realizado satisfactoriamente, con lo que procede la inadmisión de la presente cuestión de inconstitucionalidad por faltar uno de los requisitos procesales exigidos para que sea viable.</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Inadmitir a trámite la presente cuestión de inconstitucionalidad.</w:t>
      </w:r>
    </w:p>
    <w:p w:rsidR="006B7292" w:rsidRDefault="006B7292" w:rsidP="006B7292">
      <w:pPr>
        <w:pStyle w:val="TextoNormal"/>
      </w:pPr>
    </w:p>
    <w:p w:rsidR="006B7292" w:rsidRDefault="006B7292" w:rsidP="006B7292">
      <w:pPr>
        <w:pStyle w:val="TextoNormal"/>
      </w:pPr>
      <w:r>
        <w:t>Madrid, a tres de noviembre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98" w:name="AUTO_2015_184"/>
      <w:r>
        <w:t>AUTO 184/2015, de 3 de noviembre de 2015</w:t>
      </w:r>
    </w:p>
    <w:bookmarkEnd w:id="198"/>
    <w:p w:rsidR="006B7292" w:rsidRDefault="006B7292" w:rsidP="006B7292">
      <w:pPr>
        <w:pStyle w:val="TtuloResolucin"/>
      </w:pPr>
      <w:r>
        <w:t>Pleno</w:t>
      </w:r>
    </w:p>
    <w:p w:rsidR="006B7292" w:rsidRDefault="006B7292" w:rsidP="006B7292">
      <w:pPr>
        <w:pStyle w:val="TextoNormalCentrado"/>
      </w:pPr>
      <w:r>
        <w:t>ECLI:ES:TC:2015:184A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Inadmite a trámite la cuestión de inconstitucionalidad 3634-2015, planteada por la Sala de lo Contencioso-Administrativo del Tribunal Superior de Justicia de Canarias en relación con los apartados 1, 3 y 4 del artículo 15 de la Ley del Parlamento de Canarias 6/2009, de 6 de mayo, de medidas urgentes en materia de ordenación territorial para la dinamización sectorial y la ordenación del turismo.</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registrado en este Tribunal el 22 de junio de 2015, acompañado del Auto de 14 de abril del mismo año, la Sección Segunda de la Sala de lo Contencioso-Administrativo del Tribunal Superior de Justicia de Canarias plantea cuestión de inconstitucionalidad. Se refiere a los apartados 1, 3 y 4 del art. 15 de la Ley canaria 6/2009, de 6 de mayo, de medidas urgentes en materia de ordenación territorial para la dinamización sectorial y la ordenación del turismo, en la redacción vigente en noviembre de 2012. Plantea la posible infracción de la garantía constitucional de la autonomía municipal (arts. 137 y 140 CE), en relación con el art. 25 y concordantes de la Ley 7/1985, de abril, de bases del régimen local (LBRL), así como de los principios de interdicción de arbitrariedad (art. 9.3 CE) e igualdad (art. 14 CE).</w:t>
      </w:r>
    </w:p>
    <w:p w:rsidR="006B7292" w:rsidRDefault="006B7292" w:rsidP="006B7292">
      <w:pPr>
        <w:pStyle w:val="TextoNormal"/>
      </w:pPr>
    </w:p>
    <w:p w:rsidR="006B7292" w:rsidRDefault="006B7292" w:rsidP="006B7292">
      <w:pPr>
        <w:pStyle w:val="TextoNormal"/>
      </w:pPr>
      <w:r>
        <w:t>El art. 15 de la Ley canaria 6/2009, sobre “proyectos de sustitución, rehabilitación y reforma” —derogado por la Ley 2/2013, de 29 de mayo, de renovación y modernización turística de Canarias (disposición derogatoria única)— dispone:</w:t>
      </w:r>
    </w:p>
    <w:p w:rsidR="006B7292" w:rsidRDefault="006B7292" w:rsidP="006B7292">
      <w:pPr>
        <w:pStyle w:val="TextoNormal"/>
      </w:pPr>
    </w:p>
    <w:p w:rsidR="006B7292" w:rsidRDefault="006B7292" w:rsidP="006B7292">
      <w:pPr>
        <w:pStyle w:val="TextoNormal"/>
      </w:pPr>
      <w:r>
        <w:t>“1. Los planes o programas específicos de modernización, mejora e incremento de la competitividad del sector, aprobados por el Gobierno de Canarias, quedan sometidos al cumplimiento del trámite de cooperación administrativa previsto en el artículo 11 del Texto Refundido aprobado por el Decreto Legislativo 1/2000.</w:t>
      </w:r>
    </w:p>
    <w:p w:rsidR="006B7292" w:rsidRDefault="006B7292" w:rsidP="006B7292">
      <w:pPr>
        <w:pStyle w:val="TextoNormal"/>
      </w:pPr>
    </w:p>
    <w:p w:rsidR="006B7292" w:rsidRDefault="006B7292" w:rsidP="006B7292">
      <w:pPr>
        <w:pStyle w:val="TextoNormal"/>
      </w:pPr>
      <w:r>
        <w:t>2. Las actuaciones particulares relativas a proyectos de sustitución, de rehabilitación de la planta alojativa o de la infraestructura turística, o a los de remodelación urbanística incluidas en los planes y programas de modernización, mejora y competitividad del sector turístico a que se refiere el apartado anterior podrán ser exceptuadas por el ayuntamiento de la licencia municipal, quedando, en este caso, sometidos al régimen de comunicación previa a aquél.</w:t>
      </w:r>
    </w:p>
    <w:p w:rsidR="006B7292" w:rsidRDefault="006B7292" w:rsidP="006B7292">
      <w:pPr>
        <w:pStyle w:val="TextoNormal"/>
      </w:pPr>
    </w:p>
    <w:p w:rsidR="006B7292" w:rsidRDefault="006B7292" w:rsidP="006B7292">
      <w:pPr>
        <w:pStyle w:val="TextoNormal"/>
      </w:pPr>
      <w:r>
        <w:t>A tal efecto, el promotor deberá comunicar al ayuntamiento el inicio de la actividad de ejecución del proyecto, con una antelación de 30 días, mediante escrito al que se acompañe una descripción suficiente de la actuación y las autorizaciones otorgadas. Dentro de ese período de 30 días, el ayuntamiento sólo podrá denegar el inicio de las actividades si la actuación proyectada no se ajusta al Plan de Modernización, Mejora y Competitividad aprobado por el Gobierno o a las autorizaciones otorgadas.</w:t>
      </w:r>
    </w:p>
    <w:p w:rsidR="006B7292" w:rsidRDefault="006B7292" w:rsidP="006B7292">
      <w:pPr>
        <w:pStyle w:val="TextoNormal"/>
      </w:pPr>
    </w:p>
    <w:p w:rsidR="006B7292" w:rsidRDefault="006B7292" w:rsidP="006B7292">
      <w:pPr>
        <w:pStyle w:val="TextoNormal"/>
      </w:pPr>
      <w:r>
        <w:t>3. En el caso de que los proyectos de sustitución, rehabilitación o mejora a que se refieren los apartados anteriores no se encuentren previstos en el planeamiento vigente, o sean contrarios a las determinaciones del mismo, el Plan o programa específico que les dé cobertura y que promueva y apruebe el Gobierno tendrá una tramitación abreviada y de fase única, en la que se dará cumplimiento a las exigencias de la evaluación ambiental estratégica, prevista en la Ley 9/2006, de 28 de abril, sobre evaluación de los efectos de determinados planes y programas en el medio ambiente, salvo que, por evidenciarse su limitada trascendencia territorial y ambiental, la Comisión de Ordenación del Territorio y Medio Ambiente de Canarias, a quien además le corresponde aprobar el informe previo a la aprobación por el Gobierno de dicho plan o programa, determine su exención en aplicación de la normativa vigente.</w:t>
      </w:r>
    </w:p>
    <w:p w:rsidR="006B7292" w:rsidRDefault="006B7292" w:rsidP="006B7292">
      <w:pPr>
        <w:pStyle w:val="TextoNormal"/>
      </w:pPr>
    </w:p>
    <w:p w:rsidR="006B7292" w:rsidRDefault="006B7292" w:rsidP="006B7292">
      <w:pPr>
        <w:pStyle w:val="TextoNormal"/>
      </w:pPr>
      <w:r>
        <w:t>En el supuesto de que se determine la necesidad de llevar a cabo la evaluación ambiental estratégica del plan o programa, o la declaración de impacto ambiental de cualquiera de los proyectos previstos en la actuación planificada, será dicha comisión el órgano ambiental competente para la aprobación de la memoria ambiental, o la declaración de impacto ambiental, en su caso.</w:t>
      </w:r>
    </w:p>
    <w:p w:rsidR="006B7292" w:rsidRDefault="006B7292" w:rsidP="006B7292">
      <w:pPr>
        <w:pStyle w:val="TextoNormal"/>
      </w:pPr>
    </w:p>
    <w:p w:rsidR="006B7292" w:rsidRDefault="006B7292" w:rsidP="006B7292">
      <w:pPr>
        <w:pStyle w:val="TextoNormal"/>
      </w:pPr>
      <w:r>
        <w:t>El documento de planeamiento abreviado será sometido a informe del ayuntamiento en cuyo término municipal se lleve a cabo la actuación y del cabildo insular correspondiente, y se expondrá al trámite de información pública, que, en el caso de precisarse su evaluación ambiental estratégica, contendrá el estudio de sostenibilidad, extendiéndose el plazo de información pública a cuarenta y cinco días naturales.</w:t>
      </w:r>
    </w:p>
    <w:p w:rsidR="006B7292" w:rsidRDefault="006B7292" w:rsidP="006B7292">
      <w:pPr>
        <w:pStyle w:val="TextoNormal"/>
      </w:pPr>
    </w:p>
    <w:p w:rsidR="006B7292" w:rsidRDefault="006B7292" w:rsidP="006B7292">
      <w:pPr>
        <w:pStyle w:val="TextoNormal"/>
      </w:pPr>
      <w:r>
        <w:t>4. El Plan o programa específico, una vez aprobado por el Gobierno, será incorporado a los instrumentos de ordenación territorial y de planeamiento urbanístico pertinentes como modificación de los mismos, en el ámbito afectado, en su caso.”</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de hecho de la presente cuestión de inconstitucionalidad son, sucintamente expuestos, los siguientes:</w:t>
      </w:r>
    </w:p>
    <w:p w:rsidR="006B7292" w:rsidRDefault="006B7292" w:rsidP="006B7292">
      <w:pPr>
        <w:pStyle w:val="TextoNormal"/>
      </w:pPr>
    </w:p>
    <w:p w:rsidR="006B7292" w:rsidRDefault="006B7292" w:rsidP="006B7292">
      <w:pPr>
        <w:pStyle w:val="TextoNormal"/>
      </w:pPr>
      <w:r>
        <w:t>a) El 20 de diciembre de 2011 el Ayuntamiento de San Bartolomé de Tirajana (Las Palmas) suscribe con Gesplan —entidad pública dependiente del Gobierno de Canarias— convenio relativo a la redacción del plan de modernización, mejora e incremento de la competitividad del ámbito turístico del sur de Gran Canaria. El epígrafe IV de su parte expositiva señala: “la empresa pública del Gobierno de Canarias, Gesplan, ha recibido la encomienda por parte de aquel mediante Orden número 169 de 16 de marzo de 2011, relativa a la redacción del Plan… instrumento amparado por la Ley 6/2009 y cuyo objeto fundamental será contribuir decididamente a la recualificación de este importantísimo destino turístico de Canarias”. El epígrafe VI afirma: “para el desarrollo de los trabajos de redacción y tramitación hasta su puesta en vigor mediante la correspondiente aprobación definitiva por el Gobierno de Canarias, será fundamental desarrollar un marco de estrecha colaboración con el Ayuntamiento de la Villa de San Bartolomé de Tirajana, a los efectos de aportar al equipo redactor la información y apoyos precisos para el buen fin de los trabajos”.</w:t>
      </w:r>
    </w:p>
    <w:p w:rsidR="006B7292" w:rsidRDefault="006B7292" w:rsidP="006B7292">
      <w:pPr>
        <w:pStyle w:val="TextoNormal"/>
      </w:pPr>
    </w:p>
    <w:p w:rsidR="006B7292" w:rsidRDefault="006B7292" w:rsidP="006B7292">
      <w:pPr>
        <w:pStyle w:val="TextoNormal"/>
      </w:pPr>
      <w:r>
        <w:t>b) El Decreto 90/2012, de 22 de noviembre, aprueba el plan de modernización, mejora e incremento de la competitividad del sector turístico de San Bartolomé de Tirajana “Maspalomas Costa Canaria”. Conforme a la exposición de motivos del Decreto, el plan: “se fundamenta en el artículo 15 de la Ley 6/2009, de 6 de mayo, de medidas urgentes en materia de ordenación territorial para la dinamización sectorial y la ordenación del turismo, precepto en el cual se introduce la figura de los planes y programas específicos de modernización, mejora e incremento de la competitividad del sector, como instrumentos aptos para dar cobertura a concretos proyectos de sustitución, de rehabilitación de la planta alojativa o de la infraestructura turística, o a los de remodelación urbanística”. La finalidad del plan es, según la exposición de motivos del Decreto, “un nuevo modelo de desarrollo turístico de las urbanizaciones de Maspalomas, Playa del Inglés y San Agustín basado en dos líneas de actuación; la rehabilitación de espacio público (calles y avenidas, paseo marítimo y plazas) y la renovación de los establecimientos turísticos y de sus complementarios (comerciales y recreativos) insertos en la trama del ámbito de actuación. El presente Plan incorpora 16 propuestas en el espacio privado y la oportunidad de diseñar diversas actuaciones en espacios públicos, distribuidas entre un Sistema Verde, un Sistema de Actividad y un Sistema Costero”.</w:t>
      </w:r>
    </w:p>
    <w:p w:rsidR="006B7292" w:rsidRDefault="006B7292" w:rsidP="006B7292">
      <w:pPr>
        <w:pStyle w:val="TextoNormal"/>
      </w:pPr>
    </w:p>
    <w:p w:rsidR="006B7292" w:rsidRDefault="006B7292" w:rsidP="006B7292">
      <w:pPr>
        <w:pStyle w:val="TextoNormal"/>
      </w:pPr>
      <w:r>
        <w:t>c) La asociación para la defensa del centro comercial anexo interpone recurso contencioso-administrativo contra el Decreto 90/2012, de 22 de noviembre, por el que se aprueba el plan indicado. El Gobierno de Canarias y el Ayuntamiento de San Bartolomé de Tirajana contestan la demanda, oponiéndose a todas sus alegaciones, entre ellas, la aducida vulneración de la garantía constitucional de la autonomía municipal derivada de la ausencia de suficientes mecanismos de intervención local en la propia Ley 6/2009.</w:t>
      </w:r>
    </w:p>
    <w:p w:rsidR="006B7292" w:rsidRDefault="006B7292" w:rsidP="006B7292">
      <w:pPr>
        <w:pStyle w:val="TextoNormal"/>
      </w:pPr>
    </w:p>
    <w:p w:rsidR="006B7292" w:rsidRDefault="006B7292" w:rsidP="006B7292">
      <w:pPr>
        <w:pStyle w:val="TextoNormal"/>
      </w:pPr>
      <w:r>
        <w:t>d) La providencia de 17 de diciembre de 2014 de la Sección Segunda de la Sala de lo Contencioso-Administrativo del Tribunal Superior de Justicia de Canarias señala el 20 de febrero de 2015 para la votación y fallo del procedimiento judicial.</w:t>
      </w:r>
    </w:p>
    <w:p w:rsidR="006B7292" w:rsidRDefault="006B7292" w:rsidP="006B7292">
      <w:pPr>
        <w:pStyle w:val="TextoNormal"/>
      </w:pPr>
    </w:p>
    <w:p w:rsidR="006B7292" w:rsidRDefault="006B7292" w:rsidP="006B7292">
      <w:pPr>
        <w:pStyle w:val="TextoNormal"/>
      </w:pPr>
      <w:r>
        <w:t>e) La providencia de 9 de marzo de 2015 del mismo órgano judicial suspende el plazo para dictar sentencia y concede a las partes y al Ministerio Fiscal plazo para alegar sobre la conveniencia de plantear cuestión de inconstitucionalidad respecto de los apartados 1, 3 y 4 del art. 15 de la Ley 6/2009 por posible contradicción con el principio de autonomía municipal (arts. 137 y 140 CE; art. 25 y concordantes LBRL). También señala la posible infracción de los arts. 9.3 y 14 CE habida cuenta de que el precepto obvia en los planes o programas que regula los principios de equidistribución de beneficios y cargas y el procedimiento de elaboración y revisión del planeamiento.</w:t>
      </w:r>
    </w:p>
    <w:p w:rsidR="006B7292" w:rsidRDefault="006B7292" w:rsidP="006B7292">
      <w:pPr>
        <w:pStyle w:val="TextoNormal"/>
      </w:pPr>
    </w:p>
    <w:p w:rsidR="006B7292" w:rsidRDefault="006B7292" w:rsidP="006B7292">
      <w:pPr>
        <w:pStyle w:val="TextoNormal"/>
      </w:pPr>
      <w:r>
        <w:t xml:space="preserve">f) El Fiscal no se opone al planteamiento de la cuestión, precisando que no le corresponde entrar en el fondo del asunto, toda vez que ello estaría reservado al Fiscal General del Estado </w:t>
      </w:r>
      <w:r w:rsidRPr="006B7292">
        <w:rPr>
          <w:i/>
        </w:rPr>
        <w:t>ex</w:t>
      </w:r>
      <w:r>
        <w:t xml:space="preserve"> art. 37.2 de la Ley Orgánica del Tribunal Constitucional (LOTC). La asociación para la defensa del centro comercial anexo se muestra favorable al planteamiento. El Gobierno de la Comunidad Autónoma de Canarias, el Cabildo insular de Gran Canaria y el Ayuntamiento de San Bartolomé de Tirajana se oponen al planteamiento de la cuestión.</w:t>
      </w:r>
    </w:p>
    <w:p w:rsidR="006B7292" w:rsidRDefault="006B7292" w:rsidP="006B7292">
      <w:pPr>
        <w:pStyle w:val="TextoNormal"/>
      </w:pPr>
    </w:p>
    <w:p w:rsidR="006B7292" w:rsidRDefault="006B7292" w:rsidP="006B7292">
      <w:pPr>
        <w:pStyle w:val="TextoNormal"/>
      </w:pPr>
      <w:r>
        <w:t>g) El órgano judicial dicta Auto de 14 de abril de 2015 planteando la cuestión de inconstitucionalidad en relación con los apartados 1, 3 y 4 del art. 15 de la Ley canaria 6/2009, por posible infracción de la garantía constitucional de la autonomía municipal (arts. 137 y 140 CE), en relación con el art. 25 y concordantes de la Ley 7/1985, de abril, de bases del régimen local, así como de los principios de interdicción de arbitrariedad (art. 9.3 CE) e igualdad (art. 14 CE).</w:t>
      </w:r>
    </w:p>
    <w:p w:rsidR="006B7292" w:rsidRDefault="006B7292" w:rsidP="006B7292">
      <w:pPr>
        <w:pStyle w:val="TextoNormal"/>
      </w:pPr>
    </w:p>
    <w:p w:rsidR="006B7292" w:rsidRDefault="006B7292" w:rsidP="006B7292">
      <w:pPr>
        <w:pStyle w:val="TextoNormal"/>
      </w:pPr>
      <w:r w:rsidRPr="006B7292">
        <w:rPr>
          <w:rStyle w:val="NumeroAFNegritaCaracter"/>
        </w:rPr>
        <w:t>3</w:t>
      </w:r>
      <w:r>
        <w:t xml:space="preserve">. El Auto de planteamiento destaca que la tramitación, la aprobación y los contenidos del plan de modernización recurrido en el procedimiento judicial </w:t>
      </w:r>
      <w:r w:rsidRPr="006B7292">
        <w:rPr>
          <w:i/>
        </w:rPr>
        <w:t>a quo</w:t>
      </w:r>
      <w:r>
        <w:t xml:space="preserve"> se han sometido al art. 15 de la Ley 9/2009. Por tal razón, afirma, el artículo 15, sobre el que pesan las dudas de constitucionalidad, constituye el parámetro de control para resolver el recurso contencioso-administrativo. La Ley 2/2013 ha introducido un nuevo régimen para este tipo de planes a la vez que deroga el precepto cuestionado. Ahora bien, aclara, esta nueva regulación carece de aplicación retroactiva, no contiene norma alguna sobre transitoriedad y, en todo caso, es claro que en el proceso </w:t>
      </w:r>
      <w:r w:rsidRPr="006B7292">
        <w:rPr>
          <w:i/>
        </w:rPr>
        <w:t>a quo</w:t>
      </w:r>
      <w:r>
        <w:t xml:space="preserve"> habrá de aplicarse el artículo 15, pues es el manejado en la elaboración del plan impugnado. Destaca en este sentido que el proceso judicial no es un recurso directo contra reglamentos. No se está, por tanto, ante aquellos supuestos que ha aislado el Tribunal Constitucional en que procede la inadmisión de la cuestión porque su enjuiciamiento no proyectaría resultados sobre el litigio (STC 147/2012, de 5 de julio, FJ 3). Señala también que es claro que la respuesta a las infracciones denunciadas por el recurrente —entre ellas, la relativa a la vulneración de la garantía constitucional de la autonomía local— exige el examen de la constitucionalidad del precepto cuestionado. Comoquiera que este ha dado cobertura a la elaboración del plan impugnado, no haría falta mayor argumentación para evidenciar que la Sentencia que lo declarase inconstitucional afectaría al resultado del proceso </w:t>
      </w:r>
      <w:r w:rsidRPr="006B7292">
        <w:rPr>
          <w:i/>
        </w:rPr>
        <w:t>a quo</w:t>
      </w:r>
      <w:r>
        <w:t xml:space="preserve">. Insiste en que los planes de modernización no se identifican con (ni equivalen a) ninguno de los instrumentos de ordenación territorial y/o urbanística del ordenamiento canario. No puede afirmarse </w:t>
      </w:r>
      <w:r w:rsidRPr="006B7292">
        <w:rPr>
          <w:i/>
        </w:rPr>
        <w:t>a priori</w:t>
      </w:r>
      <w:r>
        <w:t xml:space="preserve"> que se trata de planes generales, parciales, especiales ni de programas de ejecución, aunque, paradójicamente, su contenido prevalezca sobre los planes generales de ordenación o territoriales. La Ley controvertida ha disciplinado estos planes al margen de toda la regulación estatal y canaria. Tal deficiencia se aprecia claramente si se compara la previsión cuestionada con la nueva regulación de la Ley 2/2013.</w:t>
      </w:r>
    </w:p>
    <w:p w:rsidR="006B7292" w:rsidRDefault="006B7292" w:rsidP="006B7292">
      <w:pPr>
        <w:pStyle w:val="TextoNormal"/>
      </w:pPr>
    </w:p>
    <w:p w:rsidR="006B7292" w:rsidRDefault="006B7292" w:rsidP="006B7292">
      <w:pPr>
        <w:pStyle w:val="TextoNormal"/>
      </w:pPr>
      <w:r>
        <w:t>Respecto de la vulneración de la autonomía municipal, el Auto razona, citando doctrina constitucional, que la indisponibilidad de las competencias desautoriza cualquier alegato asentado sobre la idea de aquiescencia (STC 95/2014, de 12 de junio, FJ 3, y SSTS de 5 de octubre y 30 de diciembre de 2005). Entrando en el fondo, considera que el precepto propicia la modificación del planteamiento elaborado y aprobado por el ayuntamiento por la sola voluntad de una instancia territorial distinta: el Gobierno de Canarias. Ello, además, afectando a toda clase de suelos, sin límite respecto de las posibles operaciones de revisión que afectan a la categorización, sistemas generales o previsiones de ejecución. A este respecto, el Auto insiste en que los nuevos planes de modernización han sido configurados al margen de los múltiples instrumentos de ordenación territorial y urbanística, ajeno a la ordenación jerárquica y sin sometimiento a las demás normas canarias. Ni siquiera se regula si puede operar sobre determinada clase de suelo, clasificar o desclasificar, modificar sistemas generales, etc. Sin embargo, de acuerdo con su memoria, el plan impugnado contempla intervenciones de toda naturaleza: establece las condiciones particulares de la edificación y prevé intervenciones en espacio público (principalmente calles, espacios libres y áreas de oportunidad) dirigidas a reinterpretar y reorientar su función. Incluye también intervenciones en espacio privado, en particular, de sustitución, renovación, rehabilitación o reforma en espacios establecimientos de alojamiento y espacios comerciales así como de implantación de dos equipamientos de ocio en suelo rústico. Esta descripción sería suficiente para descartar que las actuaciones se refieran exclusivamente a suelo urbano consolidado.</w:t>
      </w:r>
    </w:p>
    <w:p w:rsidR="006B7292" w:rsidRDefault="006B7292" w:rsidP="006B7292">
      <w:pPr>
        <w:pStyle w:val="TextoNormal"/>
      </w:pPr>
    </w:p>
    <w:p w:rsidR="006B7292" w:rsidRDefault="006B7292" w:rsidP="006B7292">
      <w:pPr>
        <w:pStyle w:val="TextoNormal"/>
      </w:pPr>
      <w:r>
        <w:t>En relación con la vulneración de la autonomía municipal, se afirma que los nuevos planes de modernización pueden afectar exclusivamente a parte del territorio de un municipio —como ocurre en el que es objeto del recurso—, modificando el plan general y afectando a intereses cuya gestión corresponde al ayuntamiento. Sin embargo, la participación local ha quedado limitada a un informe no vinculante con idéntico alcance que los informes de otras Administraciones o el resultado de la información pública. El Auto insiste en que la iniciativa para la aprobación del plan impugnado en modo alguno correspondió en el caso al ayuntamiento. No debe confundirse la iniciativa para la formulación y tramitación del plan, que conforme a la regulación cuestionada corresponde al Gobierno canario (sin que estuviera prevista entonces la exigencia de conformidad de los ayuntamientos que prevé ahora la Ley 2/2013) con el convenio suscrito para la redacción del plan.</w:t>
      </w:r>
    </w:p>
    <w:p w:rsidR="006B7292" w:rsidRDefault="006B7292" w:rsidP="006B7292">
      <w:pPr>
        <w:pStyle w:val="TextoNormal"/>
      </w:pPr>
    </w:p>
    <w:p w:rsidR="006B7292" w:rsidRDefault="006B7292" w:rsidP="006B7292">
      <w:pPr>
        <w:pStyle w:val="TextoNormal"/>
      </w:pPr>
      <w:r>
        <w:t>En cuanto a los intereses supramunicipales, la invocación general del turismo como sector estratégico —que ni siquiera están en la Ley cuestionada— no sería suficiente para desapoderar a los ayuntamientos en una profusión de ámbitos (alojativo, restauración, equipamientos y actividades deportivas y culturales, medio-ambiente). La mera incidencia económica o en la creación de empleo justifica un interés social, pero no es determinante por sí del interés supramunicipal, de otro modo cualquier proyecto o plan podría ser reclamado para sí por la Comunidad Autónoma o el Estado.</w:t>
      </w:r>
    </w:p>
    <w:p w:rsidR="006B7292" w:rsidRDefault="006B7292" w:rsidP="006B7292">
      <w:pPr>
        <w:pStyle w:val="TextoNormal"/>
      </w:pPr>
    </w:p>
    <w:p w:rsidR="006B7292" w:rsidRDefault="006B7292" w:rsidP="006B7292">
      <w:pPr>
        <w:pStyle w:val="TextoNormal"/>
      </w:pPr>
      <w:r>
        <w:t>Respecto de las demás posibles vulneraciones, el Auto razona que los planes de modernización, al no someterse a regulación legal alguna, no están sujetos a principios rectores de la planificación y ejecución que recoge la legislación urbanística, tanto la básica estatal como la canaria. La equidistribución de beneficios y cargas es uno de tales principios. Como los planes de modernización no están sometidos a él, “no podríamos enjuiciar su contenido caso de que se invoque —como así se hace en los recursos en que hablamos—”. No puede alegarse de contrario que los planes afectan exclusivamente a suelos urbanos consolidados —donde la aplicación de tal principio puede tener mayor modulación—, por cuanto que “las actuaciones de tales planes pueden afectar, y de hecho lo hace el que es objeto de recurso, a otra clase de suelo o incluso de equipamientos, sistema general viario, de ocio, etc.”.</w:t>
      </w:r>
    </w:p>
    <w:p w:rsidR="006B7292" w:rsidRDefault="006B7292" w:rsidP="006B7292">
      <w:pPr>
        <w:pStyle w:val="TextoNormal"/>
      </w:pPr>
    </w:p>
    <w:p w:rsidR="006B7292" w:rsidRDefault="006B7292" w:rsidP="006B7292">
      <w:pPr>
        <w:pStyle w:val="TextoNormal"/>
      </w:pPr>
      <w:r>
        <w:t xml:space="preserve">Según el Auto, algo similar puede decirse de la ausencia de la regulación que prohíbe las denominadas “reservas de dispensación” que son una aplicación del principio de inderogabilidad singular de los reglamentos recogidas desde el art. 57.3 del texto refundido de la Ley del suelo de 1973 hasta el art. 44.1 del texto refundido de las leyes de ordenación de Canarias, y que igualmente tienen anclaje constitucional al suponer discriminación </w:t>
      </w:r>
      <w:r w:rsidRPr="006B7292">
        <w:rPr>
          <w:i/>
        </w:rPr>
        <w:t>ex</w:t>
      </w:r>
      <w:r>
        <w:t xml:space="preserve"> art. 14 CE.</w:t>
      </w:r>
    </w:p>
    <w:p w:rsidR="006B7292" w:rsidRDefault="006B7292" w:rsidP="006B7292">
      <w:pPr>
        <w:pStyle w:val="TextoNormal"/>
      </w:pPr>
    </w:p>
    <w:p w:rsidR="006B7292" w:rsidRDefault="006B7292" w:rsidP="006B7292">
      <w:pPr>
        <w:pStyle w:val="TextoNormal"/>
      </w:pPr>
      <w:r>
        <w:t>El Auto afirma, en fin, que las previsiones cuestionadas vulneran también la prohibición de arbitrariedad (art. 9.3 CE) porque no regulan el contenido y los límites de los planes de modernización, lo que permitiría la modificación de cualquiera de los extremos incluidos en los planes de ordenación territorial o urbanística.</w:t>
      </w:r>
    </w:p>
    <w:p w:rsidR="006B7292" w:rsidRDefault="006B7292" w:rsidP="006B7292">
      <w:pPr>
        <w:pStyle w:val="TextoNormal"/>
      </w:pPr>
    </w:p>
    <w:p w:rsidR="006B7292" w:rsidRDefault="006B7292" w:rsidP="006B7292">
      <w:pPr>
        <w:pStyle w:val="TextoNormal"/>
      </w:pPr>
      <w:r>
        <w:t>El Auto cuenta con voto particular suscrito por una de las Magistradas que componen la Sala. Razona que, por mucho que se quiera apurar el criterio de interpretación flexible de la Ley Orgánica del Tribunal Constitucional, el Auto no alcanza a formular el juicio de relevancia porque no específica en qué medida la decisión del proceso depende de la validez de la norma cuya inconstitucionalidad se cuestiona. Considera que el Ayuntamiento de San Bartolomé de Tirajana tiene la iniciativa de colaboración a través de la entidad Gesplan para llevar a cabo la modernización del sector turístico, habiendo firmando al efecto el correspondiente convenio. Tal ayuntamiento es quien solicitó la intervención de la Administración autonómica, existiendo una activa participación local, tal como resulta del epígrafe IV de la parte expositiva del señalado convenio. El artículo 15.1 cuestionado prevé la intervención local a través del mecanismo de cooperación previsto en el art. 11 del Decreto Legislativo 1/2000. Sostiene que los motivos de la demanda plantean cuestiones de legalidad ordinaria que pueden resolverse sin planteamiento de la cuestión. Lo mismo cabría afirmar respecto de la supuesta inconstitucionalidad del artículo 15, apartados 1, 3 y 4, por obviar en los planes regulados los principios de equidistribución y procedimiento de elaboración y revisión del planeamiento. Los planes que se desarrollen recaen sobre suelos turísticos maduros o plenamente consolidados. Corresponderá a la jurisdicción ordinaria determinar si tales principios resultan vulnerados con relación a los supuestos específicos de ejecución de los distintos planes. En el presente caso, nadie cuestiona que el quiosco de Meloneras, el edificio de aparcamientos y Ocean Park están ubicados en suelo urbano consolidado. Por ello en nada afectaría al resultado del procedimiento declarar inconstitucional el art. 15 de la citada Ley. Se afirma, finalmente, que el Ayuntamiento de San Bartolomé de Tirajana, que es el más interesado “en estas lides”, no considera que haya sufrido la vulneración de su autonomía, por lo que también por ello no procedía el planteamiento de la cuestión.</w:t>
      </w:r>
    </w:p>
    <w:p w:rsidR="006B7292" w:rsidRDefault="006B7292" w:rsidP="006B7292">
      <w:pPr>
        <w:pStyle w:val="TextoNormal"/>
      </w:pPr>
    </w:p>
    <w:p w:rsidR="006B7292" w:rsidRDefault="006B7292" w:rsidP="006B7292">
      <w:pPr>
        <w:pStyle w:val="TextoNormal"/>
      </w:pPr>
      <w:r w:rsidRPr="006B7292">
        <w:rPr>
          <w:rStyle w:val="NumeroAFNegritaCaracter"/>
        </w:rPr>
        <w:t>4</w:t>
      </w:r>
      <w:r>
        <w:t>. Mediante providencia de 10 de septiembre de 2015, a los efectos del art. 37.1 LOTC, la Sección Segunda de este Tribunal confiere plazo de diez días al Fiscal General del Estado para que alegue lo que considere conveniente acerca de la admisibilidad de la presente cuestión de inconstitucionalidad en relación con el cumplimiento de los requisitos procesales (art. 35.2 LOTC) y por si fuese notoriamente infundada.</w:t>
      </w:r>
    </w:p>
    <w:p w:rsidR="006B7292" w:rsidRDefault="006B7292" w:rsidP="006B7292">
      <w:pPr>
        <w:pStyle w:val="TextoNormal"/>
      </w:pPr>
    </w:p>
    <w:p w:rsidR="006B7292" w:rsidRDefault="006B7292" w:rsidP="006B7292">
      <w:pPr>
        <w:pStyle w:val="TextoNormal"/>
      </w:pPr>
      <w:r w:rsidRPr="006B7292">
        <w:rPr>
          <w:rStyle w:val="NumeroAFNegritaCaracter"/>
        </w:rPr>
        <w:t>5</w:t>
      </w:r>
      <w:r>
        <w:t>. La Fiscal General del Estado evacua el trámite conferido mediante escrito registrado en este Tribunal el 16 de octubre de 2015. Interesa la inadmisión de la presente cuestión tanto por incumplimiento de los presupuestos procesales como por considerarla notoriamente infundada.</w:t>
      </w:r>
    </w:p>
    <w:p w:rsidR="006B7292" w:rsidRDefault="006B7292" w:rsidP="006B7292">
      <w:pPr>
        <w:pStyle w:val="TextoNormal"/>
      </w:pPr>
    </w:p>
    <w:p w:rsidR="006B7292" w:rsidRDefault="006B7292" w:rsidP="006B7292">
      <w:pPr>
        <w:pStyle w:val="TextoNormal"/>
      </w:pPr>
      <w:r>
        <w:t xml:space="preserve">La Fiscal denuncia defectos en la providencia por la que se confirió audiencia en el proceso judicial </w:t>
      </w:r>
      <w:r w:rsidRPr="006B7292">
        <w:rPr>
          <w:i/>
        </w:rPr>
        <w:t>a quo</w:t>
      </w:r>
      <w:r>
        <w:t xml:space="preserve"> a las partes y al Ministerio Fiscal para que alegasen sobre la conveniencia de plantear la cuestión de inconstitucionalidad (art. 35.2 LOTC). El órgano judicial habría hecho referencia a la infracción de los arts. 9.3 y 14 CE sólo en el Auto de planteamiento, sin haberla recogido adecuadamente en la providencia inicial de audiencia; por tanto, las partes en el proceso judicial </w:t>
      </w:r>
      <w:r w:rsidRPr="006B7292">
        <w:rPr>
          <w:i/>
        </w:rPr>
        <w:t>a quo</w:t>
      </w:r>
      <w:r>
        <w:t xml:space="preserve"> no han podido alegar sobre ella, frustrándose así la finalidad del trámite previsto en el art. 35.2 LOTC. Ciertamente, afirma la Fiscal, la providencia inicial de audiencia relaciona los arts. 9.3 y 14 CE entre los preceptos posiblemente vulnerados. Sin embargo, sólo después, en el Auto de planteamiento, el órgano judicial ha aludido al concreto principio, de entre los que enuncia el art. 9.3 CE, que entiende infringido. A su vez, la providencia de audiencia conecta la infracción del art. 14 CE con el principio de equidistribución de cargas y beneficios, pero el Auto de planteamiento la extiende al régimen de “reserva de dispensación”. Como consecuencia de ello, los informes presentados, aunque aluden genéricamente a los arts. 9.3 y 14 CE, carecen de toda referencia a la interdicción de la arbitrariedad y a las reservas de dispensación.</w:t>
      </w:r>
    </w:p>
    <w:p w:rsidR="006B7292" w:rsidRDefault="006B7292" w:rsidP="006B7292">
      <w:pPr>
        <w:pStyle w:val="TextoNormal"/>
      </w:pPr>
    </w:p>
    <w:p w:rsidR="006B7292" w:rsidRDefault="006B7292" w:rsidP="006B7292">
      <w:pPr>
        <w:pStyle w:val="TextoNormal"/>
      </w:pPr>
      <w:r>
        <w:t>Por otra parte, habría de inadmitirse la cuestión por incumplimiento del juicio de relevancia. El Auto de planteamiento se habría limitado a afirmar que el recurso contencioso-administrativo denuncia la vulneración de la garantía constitucional de la autonomía municipal (arts. 137 y 140 CE) y la infracción de una serie de principios recogidos en otras leyes estatales y autonómicas. Habría añadido únicamente que la primera impugnación sólo puede resolverse despejando previamente si la previsión cuestionada vulnera la garantía constitucional de la autonomía municipal. Respecto de lo demás, el órgano judicial se habría limitado a señalar que el precepto cuestionado, al excluir la aplicación de la legislación autonómica y estatal, conduce “a la posibilidad de que se violen determinados principios de contenido constitucional que dichas normas consagran”. Según la Fiscal, de esta manera se desplaza al Tribunal Constitucional la impugnación que plantea el recurrente, que el órgano judicial parece asumir, pero sin relacionarla con la relevancia que ha de tener la presente cuestión para decidir el proceso. Respecto de las infracciones normativas denunciadas por el demandante, el Auto sólo aludiría a “una genérica contradicción con los principios constitucionales y con la posibilidad de que se vulneren en su aplicación determinados principios constitucionales”. Se estaría trasformando la resolución de las cuestiones planteadas en el pleito, cuya resolución corresponde a la jurisdicción ordinaria, en un enjuiciamiento genérico de la constitucionalidad de la norma.</w:t>
      </w:r>
    </w:p>
    <w:p w:rsidR="006B7292" w:rsidRDefault="006B7292" w:rsidP="006B7292">
      <w:pPr>
        <w:pStyle w:val="TextoNormal"/>
      </w:pPr>
    </w:p>
    <w:p w:rsidR="006B7292" w:rsidRDefault="006B7292" w:rsidP="006B7292">
      <w:pPr>
        <w:pStyle w:val="TextoNormal"/>
      </w:pPr>
      <w:r>
        <w:t>La cuestión planteada sería, además, notoriamente infundada, según la Fiscal General del Estado. El art. 15 de la Ley 6/2009 no vulneraría la garantía constitucional de la autonomía municipal (arts. 137 y 140 CE) por tres razones. En primer lugar, la Comunidad Autónoma de Canarias tiene atribuida la competencia sobre la ordenación territorial; su ejercicio puede incidir sobre la regulación municipal de acuerdo con los arts. 2 y 25 LBRL, tal como ha declarado el Tribunal Constitucional [SSTC 61/1997, de 20 de marzo, FJ 25 b), y 240/2006, de 20 de julio, FJ 10, y ATC 251/2009, de 13 de octubre, FJ 3]. En segundo lugar, la regulación controvertida concierne intereses supramunicipales (la sostenibilidad ambiental y el turismo, principal motor de la economía de Islas Canarias), tal como resulta de la exposición de motivos de la Ley 6/2009. En tercer lugar, el art. 15 de la Ley indicada no elimina la intervención municipal (cita AATC 251/2009, de 13 de octubre, y 9/2013, de 15 de enero); corresponde al ayuntamiento la emisión del informe sobre el documento de planeamiento abreviado (apartado 3), la participación en un trámite de cooperación administrativa (apartado 1) y la denegación del inicio de las actividades que no se ajusten al plan de modernización (apartado 2). El art. 15 de la Ley 6/2009, a diferencia del actualmente aplicable (art. 8 de la Ley 2/2013), no atribuye expresamente la iniciativa al ayuntamiento. No obstante, en el presente caso, el plan impugnado se ha aprobado con la participación del ayuntamiento a través de un convenio con la entidad Gesplan. El Auto de planteamiento se ha referido a ello, pero sólo bajo una perspectiva general y abstracta de indisponibilidad de la autonomía municipal, sin ponderar la participación municipal efectivamente acontecida en este caso, que ha ido más allá del informe legalmente previsto (cita el ATC 251/2009, de 13 de octubre, FJ 5).</w:t>
      </w:r>
    </w:p>
    <w:p w:rsidR="006B7292" w:rsidRDefault="006B7292" w:rsidP="006B7292">
      <w:pPr>
        <w:pStyle w:val="TextoNormal"/>
      </w:pPr>
    </w:p>
    <w:p w:rsidR="006B7292" w:rsidRDefault="006B7292" w:rsidP="006B7292">
      <w:pPr>
        <w:pStyle w:val="TextoNormal"/>
      </w:pPr>
      <w:r>
        <w:t xml:space="preserve">La cuestión sería también notoriamente infundada en lo que afecta al resto de las posibles vulneraciones. Los principios a los que alude el Auto de planteamiento no aparecen en el art. 15 cuestionado, pero no por ello dejan de operar a través del texto refundido de la Ley del suelo aprobado por Real Decreto Legislativo 2/2008, de 20 de junio (arts. 8.3 y 9.7), y el texto refundido de las Leyes de ordenación del territorio de Canarias y de espacios naturales de Canarias, aprobado por Decreto Legislativo 1/2000, de 8 de mayo (arts. 71 y 72). La norma cuestionada no podría derogar la legislación estatal y autonómica ni aplicarse de forma aislada y prevalente, como parece entender el órgano judicial. Ciertamente, la selección de la norma es una función genuinamente judicial, pero la interpretación del Auto de planteamiento supone una suerte de exclusión normativa contraria al régimen de distribución competencial articulada sin el procedimiento debido: cuestión de inconstitucionalidad. Frente a lo razonado en el Auto de planteamiento, la Fiscal entiende que procede una aplicación integradora conforme a la que el Decreto 90/2012 debería examinarse en el proceso judicial </w:t>
      </w:r>
      <w:r w:rsidRPr="006B7292">
        <w:rPr>
          <w:i/>
        </w:rPr>
        <w:t>a quo</w:t>
      </w:r>
      <w:r>
        <w:t xml:space="preserve"> a la luz del conjunto de la normativa estatal y autonómica y, por tanto, sin que de la sola dicción del artículo 15 cuestionado se derive la vulneración del art. 14 CE. A su vez, el Auto de planteamiento razona la vulneración de los arts. 14 y 9.3 CE como una consecuencia posible de que el artículo 15 no haya explicitado aquellos principios. Ello comporta un juicio abstracto y potencial de constitucionalidad que se articula al margen del verdadero objeto del procedimiento judicial, que es la impugnación de aspectos concretos del plan aprobado por el Decreto 90/2012. La Fiscal añade, sin entrar a cuestiones de legalidad ordinaria, que las actuaciones previstas se proyectan sobre suelo consolidado, lo que determina una mayor flexibilidad en la aplicación de los principios teóricamente vulnerados (con cita de la STC 94/2014, de 12 de junio, FFJJ 3 y 4). Destaca, en fin, que el Auto no ha ofrecido una argumentación suficiente, respecto de la proscrita interdicción de la arbitrariedad (art. 9.3 CE), con capacidad para desvirtuar la presunción de constitucionalidad de la previsión cuestionada.</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Tribunal Superior de Justicia de Canarias plantea la presente cuestión respecto de los apartados 1, 3 y 4 del art. 15 de la Ley canaria 6/2009, de 6 de mayo, de medidas urgentes en materia de ordenación territorial para la dinamización sectorial y la ordenación del turismo (en la redacción vigente en noviembre de 2012), por posible infracción de la garantía constitucional de la autonomía municipal (arts. 137 y 140 CE), en relación con el art. 25 y concordantes de la Ley 7/1985, de abril, de bases del régimen local (LBRL), así como de los principios de interdicción de arbitrariedad (art. 9.3 CE) e igualdad (art. 14 CE).</w:t>
      </w:r>
    </w:p>
    <w:p w:rsidR="006B7292" w:rsidRDefault="006B7292" w:rsidP="006B7292">
      <w:pPr>
        <w:pStyle w:val="TextoNormal"/>
      </w:pPr>
    </w:p>
    <w:p w:rsidR="006B7292" w:rsidRDefault="006B7292" w:rsidP="006B7292">
      <w:pPr>
        <w:pStyle w:val="TextoNormal"/>
      </w:pPr>
      <w:r w:rsidRPr="006B7292">
        <w:rPr>
          <w:rStyle w:val="NumeroAFNegritaCaracter"/>
        </w:rPr>
        <w:t>2</w:t>
      </w:r>
      <w:r>
        <w:t xml:space="preserve">. De acuerdo con el art. 37.1 de la Ley Orgánica del Tribunal Constitucional (LOTC), este Tribunal puede, previa audiencia al Fiscal General del Estado, rechazar </w:t>
      </w:r>
      <w:r w:rsidRPr="006B7292">
        <w:rPr>
          <w:i/>
        </w:rPr>
        <w:t>a limine</w:t>
      </w:r>
      <w:r>
        <w:t xml:space="preserve"> las cuestiones de inconstitucionalidad que incumplan las condiciones procesales o sean notoriamente infundadas. Según consta en los antecedentes, en el presente asunto se ha oído a la Fiscal General del Estado, quien considera inadmisible la presente cuestión por razones de ambos tipos. Abordaremos primero los defectos de orden procesal en que ha podido incurrir el Auto de planteamiento (art. 35.2 LOTC).</w:t>
      </w:r>
    </w:p>
    <w:p w:rsidR="006B7292" w:rsidRDefault="006B7292" w:rsidP="006B7292">
      <w:pPr>
        <w:pStyle w:val="TextoNormal"/>
      </w:pPr>
    </w:p>
    <w:p w:rsidR="006B7292" w:rsidRDefault="006B7292" w:rsidP="006B7292">
      <w:pPr>
        <w:pStyle w:val="TextoNormal"/>
      </w:pPr>
      <w:r>
        <w:t xml:space="preserve">a) La Fiscal General del Estado denuncia defectos en la providencia por la que el Tribunal Superior de Justicia de Canarias confirió audiencia al Ministerio Fiscal y a las partes del proceso judicial </w:t>
      </w:r>
      <w:r w:rsidRPr="006B7292">
        <w:rPr>
          <w:i/>
        </w:rPr>
        <w:t>a quo</w:t>
      </w:r>
      <w:r>
        <w:t xml:space="preserve"> para que alegasen sobre la conveniencia de plantear la cuestión de inconstitucionalidad (art. 35.2 LOTC).</w:t>
      </w:r>
    </w:p>
    <w:p w:rsidR="006B7292" w:rsidRDefault="006B7292" w:rsidP="006B7292">
      <w:pPr>
        <w:pStyle w:val="TextoNormal"/>
      </w:pPr>
    </w:p>
    <w:p w:rsidR="006B7292" w:rsidRDefault="006B7292" w:rsidP="006B7292">
      <w:pPr>
        <w:pStyle w:val="TextoNormal"/>
      </w:pPr>
      <w:r>
        <w:t xml:space="preserve">A este respecto, corresponde apreciar que la providencia de audiencia en el procedimiento judicial </w:t>
      </w:r>
      <w:r w:rsidRPr="006B7292">
        <w:rPr>
          <w:i/>
        </w:rPr>
        <w:t>a quo</w:t>
      </w:r>
      <w:r>
        <w:t xml:space="preserve"> cita explícitamente los preceptos que después se cuestionan (apartados 1, 3 y 4 del art. 15 de la Ley 6/2009) y se refiere específicamente a los motivos por los que podrían ser inconstitucionales (vulneración de principio autonomía municipal y, vinculada a la ausencia de un régimen de equidistribución, infracción de los principios de arbitrariedad e igualdad). Es verdad que, tal como destaca la Fiscal General del Estado, al mencionar el art. 9.3 CE, la providencia de audiencia no concreta el principio jurídico, de entre los múltiples que enuncia este precepto, que resultaría vulnerado en el caso; sólo después el Auto de planteamiento ha señalado específicamente que la duda de constitucionalidad se refiere a la arbitrariedad en que ha podido incurrir el art. 15 de la Ley 6/2009. No obstante, la indicada providencia, al explicar la razón por la que el artículo 15 podría vulnerar el art. 9.3 CE (por obviar en los planes regulados la obligación de que se respeten los principios de equidistribución de beneficios y cargas y el procedimiento de elaboración y revisión del planeamiento), acota suficientemente el problema constitucional planteado. La relativa indeterminación denunciada no ha frustrado en este punto la finalidad del trámite de audiencia previsto en el art. 25.2 LOTC, que es el criterio fundamental para resolver si este tipo de irregularidades formales debe conducir a la inadmisión de las cuestiones de inconstitucionalidad (por todas, STC 222/2012, de 27 de noviembre, FJ 4).</w:t>
      </w:r>
    </w:p>
    <w:p w:rsidR="006B7292" w:rsidRDefault="006B7292" w:rsidP="006B7292">
      <w:pPr>
        <w:pStyle w:val="TextoNormal"/>
      </w:pPr>
    </w:p>
    <w:p w:rsidR="006B7292" w:rsidRDefault="006B7292" w:rsidP="006B7292">
      <w:pPr>
        <w:pStyle w:val="TextoNormal"/>
      </w:pPr>
      <w:r>
        <w:t xml:space="preserve">Ahora bien, en esa providencia de audiencia no aparece referencia alguna a la posible vulneración del art. 14 CE vinculada a la interpretación de que el precepto cuestionado, al disciplinar el denominado plan de modernización al margen de toda la regulación urbanística general, impediría la aplicación del régimen de “reservas de dispensación”. La indicada vulneración se produciría, no por lo establecido en el 15 de la Ley 6/2009, sino por lo que deja de establecer y ello sobre la base de la interpretación de que el legislador autonómico ha querido regular aquellos planes de modernización como un compartimento estanco, por completo aislado del resto del ordenamiento jurídico. El órgano judicial, al sugerir por vez primera en el Auto de planteamiento que esa omisión podría vulnerar el art. 14 CE, ha privado a las partes y al Ministerio Fiscal de la oportunidad de alegar al respecto en el trámite de audiencia previa, tal como ha denunciado la Fiscal General del Estado. Consecuentemente, la cuestión de inconstitucionalidad resulta inadmisible en este específico punto, por defectos en el trámite de audiencia en el procedimiento judicial </w:t>
      </w:r>
      <w:r w:rsidRPr="006B7292">
        <w:rPr>
          <w:i/>
        </w:rPr>
        <w:t>a quo</w:t>
      </w:r>
      <w:r>
        <w:t xml:space="preserve"> (art. 35.2 LOTC).</w:t>
      </w:r>
    </w:p>
    <w:p w:rsidR="006B7292" w:rsidRDefault="006B7292" w:rsidP="006B7292">
      <w:pPr>
        <w:pStyle w:val="TextoNormal"/>
      </w:pPr>
    </w:p>
    <w:p w:rsidR="006B7292" w:rsidRDefault="006B7292" w:rsidP="006B7292">
      <w:pPr>
        <w:pStyle w:val="TextoNormal"/>
      </w:pPr>
      <w:r>
        <w:t>b) Según la Fiscal General del Estado, la cuestión habría de inadmitirse en todo lo demás por incumplimiento del juicio de relevancia (apartados 1 y 2 del art. 35 LOTC). El Auto de planteamiento habría aludido sólo a una genérica contradicción del art. 15 (apartados 1, 3 y 4) de la Ley 6/2009 con los arts. 137, 140, 9.3 y 14 CE. Estaría transformando la resolución de las cuestiones concretas de legalidad ordinaria que plantea el recurso contencioso-administrativo, dirigido contra el plan de modernización aprobado por el Decreto 90/2012, en un enjuiciamiento abstracto sobre la constitucionalidad de la Ley que proporciona cobertura al indicado plan.</w:t>
      </w:r>
    </w:p>
    <w:p w:rsidR="006B7292" w:rsidRDefault="006B7292" w:rsidP="006B7292">
      <w:pPr>
        <w:pStyle w:val="TextoNormal"/>
      </w:pPr>
    </w:p>
    <w:p w:rsidR="006B7292" w:rsidRDefault="006B7292" w:rsidP="006B7292">
      <w:pPr>
        <w:pStyle w:val="TextoNormal"/>
      </w:pPr>
      <w:r>
        <w:t xml:space="preserve">El Auto de planteamiento ha razonado que el art. 15 de la Ley 6/2009 es aplicable en el procedimiento judicial y que de su constitucionalidad depende el fallo. Destaca que la tramitación, la aprobación y los contenidos del plan que debe enjuiciar se han sometido a ese precepto legal. Por tal razón el artículo 15, sobre el que pesan las dudas de constitucionalidad, constituye el parámetro de control para resolver el recurso contencioso-administrativo (se razona ampliamente que no resulta aplicable la nueva regulación de la Ley 2/2013). Por eso no haría falta mayor argumentación para explicar que la Sentencia que lo declarase inconstitucional afectaría al resultado del proceso </w:t>
      </w:r>
      <w:r w:rsidRPr="006B7292">
        <w:rPr>
          <w:i/>
        </w:rPr>
        <w:t>a quo</w:t>
      </w:r>
      <w:r>
        <w:t>. Sugiere así que tal declaración conduciría a la anulación del señalado plan de modernización. Insiste en que, según el recurrente, el art. 15 vulnera la Constitución y, en particular, la autonomía local y que tales vicios se han transmitido al plan aprobado a su amparo. El órgano judicial argumenta igualmente que la circunstancia de que el Ayuntamiento de San Bartolomé de Tirajana entienda respetada su autonomía municipal no impide considerar que la previsión cuestionada sea contraria a los arts. 137 y 140 CE. Da a entender que, si el Tribunal Constitucional declarase por ello su nulidad, el Tribunal Superior de Justicia de Canarias podría declarar la del acto de aplicación, esto es, la del plan de modernización aprobado por el Decreto 90/2012. El Tribunal Superior de Justicia de Canarias ha razonado igualmente que, a su modo de ver, la regulación autonómica de los planes de referencia es cerrada e impermeable al principio de equidistribución que recoge la legislación básica estatal. Por tal razón el plan de modernización sometido a su enjuiciamiento, pese a incluir actuaciones sobre todo tipo de suelos, no habría podido realizar la oportuna equidistribución de beneficios y cargas. El precepto cuestionado vulneraría por ello los arts. 14 y 9.3 CE.</w:t>
      </w:r>
    </w:p>
    <w:p w:rsidR="006B7292" w:rsidRDefault="006B7292" w:rsidP="006B7292">
      <w:pPr>
        <w:pStyle w:val="TextoNormal"/>
      </w:pPr>
    </w:p>
    <w:p w:rsidR="006B7292" w:rsidRDefault="006B7292" w:rsidP="006B7292">
      <w:pPr>
        <w:pStyle w:val="TextoNormal"/>
      </w:pPr>
      <w:r>
        <w:t xml:space="preserve">Tales argumentos son suficientes para entender satisfecho el juicio de relevancia, teniendo en cuenta que corresponde a este Tribunal sólo el control externo de las razones ofrecidas por el órgano judicial para sostener que el resultado del proceso </w:t>
      </w:r>
      <w:r w:rsidRPr="006B7292">
        <w:rPr>
          <w:i/>
        </w:rPr>
        <w:t>a quo</w:t>
      </w:r>
      <w:r>
        <w:t xml:space="preserve"> depende de la validez de la normativa cuestionada. No cabe sustituir, rectificar o integrar su criterio, salvo que la aplicación de principios jurídicos básicos revele que la argumentación judicial carece notoriamente de consistencia (por todas, STC 166/2012, de 1 de octubre, FJ 2).</w:t>
      </w:r>
    </w:p>
    <w:p w:rsidR="006B7292" w:rsidRDefault="006B7292" w:rsidP="006B7292">
      <w:pPr>
        <w:pStyle w:val="TextoNormal"/>
      </w:pPr>
    </w:p>
    <w:p w:rsidR="006B7292" w:rsidRDefault="006B7292" w:rsidP="006B7292">
      <w:pPr>
        <w:pStyle w:val="TextoNormal"/>
      </w:pPr>
      <w:r>
        <w:t xml:space="preserve">Si las consideraciones de fondo del Auto de planteamiento fueran correctas (la pretendida ausencia de intereses supramunicipales y la fuerte presencia de intereses municipales), el Tribunal Constitucional podría llegar a entender que la ley debió asegurar una intervención municipal mayor (p. ej., que la tramitación y la aprobación debió corresponder al propio Ayuntamiento). Ello condicionaría objetivamente el resultado del proceso </w:t>
      </w:r>
      <w:r w:rsidRPr="006B7292">
        <w:rPr>
          <w:i/>
        </w:rPr>
        <w:t>a quo</w:t>
      </w:r>
      <w:r>
        <w:t xml:space="preserve"> porque, tal como sugiere el Auto de planteamiento, el órgano judicial podría basarse en la anulación del precepto cuestionado que acordase este Tribunal para anular el específico acto de aplicación sometido a su enjuiciamiento. De la misma manera, una sentencia constitucional que acogiera los demás razonamientos de fondo del Tribunal Superior de Justicia de Canarias —que el precepto cuestionado, al establecer una regulación sectorial por completo aislada de la legislación general, contradice los arts. 14 y 9.3 CE— sería evidentemente relevante en el procedimiento judicial </w:t>
      </w:r>
      <w:r w:rsidRPr="006B7292">
        <w:rPr>
          <w:i/>
        </w:rPr>
        <w:t>a quo</w:t>
      </w:r>
      <w:r>
        <w:t>. Según razona el órgano judicial, también ello podría conducir a la anulación del plan elaborado al amparo de la previsión cuestionada.</w:t>
      </w:r>
    </w:p>
    <w:p w:rsidR="006B7292" w:rsidRDefault="006B7292" w:rsidP="006B7292">
      <w:pPr>
        <w:pStyle w:val="TextoNormal"/>
      </w:pPr>
    </w:p>
    <w:p w:rsidR="006B7292" w:rsidRDefault="006B7292" w:rsidP="006B7292">
      <w:pPr>
        <w:pStyle w:val="TextoNormal"/>
      </w:pPr>
      <w:r>
        <w:t>Todo ello no significa que las consideraciones de la Fiscal General del Estado sean superfluas o carentes de sentido. Serán pertinentes para valorar si las dudas de constitucionalidad planteadas son notoriamente infundadas.</w:t>
      </w:r>
    </w:p>
    <w:p w:rsidR="006B7292" w:rsidRDefault="006B7292" w:rsidP="006B7292">
      <w:pPr>
        <w:pStyle w:val="TextoNormal"/>
      </w:pPr>
    </w:p>
    <w:p w:rsidR="006B7292" w:rsidRDefault="006B7292" w:rsidP="006B7292">
      <w:pPr>
        <w:pStyle w:val="TextoNormal"/>
      </w:pPr>
      <w:r w:rsidRPr="006B7292">
        <w:rPr>
          <w:rStyle w:val="NumeroAFNegritaCaracter"/>
        </w:rPr>
        <w:t>3</w:t>
      </w:r>
      <w:r>
        <w:t>. El concepto de cuestión notoriamente infundada encierra un cierto grado de indefinición que se traduce procesalmente en un margen de apreciación del Tribunal Constitucional a la hora de controlar su solidez. Hay supuestos en los que un examen preliminar permite apreciar la falta de viabilidad de la cuestión suscitada. Resulta conveniente en tales casos resolver la cuestión en esta primera fase procesal, máxime si la admisión pudiera provocar efectos no deseables, como la paralización de múltiples procesos en los que resulte aplicable la norma cuestionada; esto no significa, necesariamente, que carezca de forma total y absoluta de fundamentación o que ésta sea arbitraria (por todos, ATC 133/2014, de 6 de mayo, FJ 2). En consecuencia, corresponde abordar separadamente las dudas de constitucionalidad suscitadas, por si fueran notoriamente infundadas en el sentido indicado.</w:t>
      </w:r>
    </w:p>
    <w:p w:rsidR="006B7292" w:rsidRDefault="006B7292" w:rsidP="006B7292">
      <w:pPr>
        <w:pStyle w:val="TextoNormal"/>
      </w:pPr>
    </w:p>
    <w:p w:rsidR="006B7292" w:rsidRDefault="006B7292" w:rsidP="006B7292">
      <w:pPr>
        <w:pStyle w:val="TextoNormal"/>
      </w:pPr>
      <w:r>
        <w:t>a) El art. 15 de la Ley canaria 6/2009 regula un tipo específico de plan (o programa) destinado a la modernización, mejora e incremento de la competitividad del sector turístico. Puede incluir “proyectos de sustitución, de rehabilitación de la planta alojativa o de la infraestructura turística, o a los de remodelación urbanística” imprevistos en (o contrarios a) el planeamiento vigente (apartado 3). Tras su aprobación, que corresponde al Gobierno de Canarias (apartado 1), al plan debe incorporarse “a los instrumentos de ordenación territorial y de planeamiento urbanístico pertinentes como modificación de los mismos, en el ámbito afectado, en su caso” (apartado 4).</w:t>
      </w:r>
    </w:p>
    <w:p w:rsidR="006B7292" w:rsidRDefault="006B7292" w:rsidP="006B7292">
      <w:pPr>
        <w:pStyle w:val="TextoNormal"/>
      </w:pPr>
    </w:p>
    <w:p w:rsidR="006B7292" w:rsidRDefault="006B7292" w:rsidP="006B7292">
      <w:pPr>
        <w:pStyle w:val="TextoNormal"/>
      </w:pPr>
      <w:r>
        <w:t>El Auto de planteamiento no discute que la Comunidad Autónoma de Canarias tenga atribuidas competencias en materia de ordenación del territorio y urbanismo (art. 30.15 del Estatuto de Autonomía de Canarias) ni que la previsión cuestionada sea una concreta expresión de su ejercicio. Lo planteado es si la Comunidad Autónoma, al ejercer esas competencias estatutarias a través del art. 15 de la Ley 6/2009, ha podido vulnerar la garantía constitucional de la autonomía municipal (arts. 137 y 140 CE) por reducir la intervención de los ayuntamientos a un mero informe en un ámbito de fuerte interés local.</w:t>
      </w:r>
    </w:p>
    <w:p w:rsidR="006B7292" w:rsidRDefault="006B7292" w:rsidP="006B7292">
      <w:pPr>
        <w:pStyle w:val="TextoNormal"/>
      </w:pPr>
    </w:p>
    <w:p w:rsidR="006B7292" w:rsidRDefault="006B7292" w:rsidP="006B7292">
      <w:pPr>
        <w:pStyle w:val="TextoNormal"/>
      </w:pPr>
      <w:r>
        <w:t>Para valorar si hay vulneración de la garantía constitucional de la autonomía municipal corresponde determinar: a) si hay intereses supralocales que justifiquen que la Comunidad Autónoma haya centralizado en su Administración la competencia para elaborar y aprobar estos planes; b) si el legislador autonómico ha ponderado los intereses municipales afectados; y c) si ha asegurado a los ayuntamientos implicados un nivel de intervención tendencialmente correlativo a la intensidad de tales intereses; todo ello sobre la base de que la Comunidad Autónoma puede ejercer en uno u otro sentido su libertad de configuración a la hora de distribuir funciones, pero garantizando el derecho de la comunidad local a participar a través de órganos propios en el gobierno y administración [STC 154/2015, de 9 de julio, FJ 5 a) y las que allí se citan].</w:t>
      </w:r>
    </w:p>
    <w:p w:rsidR="006B7292" w:rsidRDefault="006B7292" w:rsidP="006B7292">
      <w:pPr>
        <w:pStyle w:val="TextoNormal"/>
      </w:pPr>
    </w:p>
    <w:p w:rsidR="006B7292" w:rsidRDefault="006B7292" w:rsidP="006B7292">
      <w:pPr>
        <w:pStyle w:val="TextoNormal"/>
      </w:pPr>
      <w:r>
        <w:t>Sin duda alguna, el sector turístico encierra intereses públicos que trascienden el ámbito municipal. El turismo ha sido históricamente un pilar de la economía española. Hoy es un motor de su recuperación y, en lo que aquí más interesa, la principal industria de las Islas Canarias. Expresan los relevantes intereses supralocales implicados en esta actividad: el plan nacional e integral de turismo 2012-2015 (que pretende impulsar la competitividad de las empresas), el plan estratégico promocional del turismo en Canarias 2012-2016 (que pretende estructurar el modelo de desarrollo del turismo canario durante el periodo de referencia, orientando decisiones y conciliando los intereses de los distintos agentes) y el propio Estatuto de Autonomía de Canarias. Este atribuye a la Comunidad Autónoma competencias sobre turismo y otras materias vinculadas, como patrimonio (histórico, artístico, monumental, arquitectónico y arqueológico), cultura, deporte, espectáculos, ocio y esparcimiento (apartados 9, 20 y 21 del artículo 30). La Ley controvertida, al regular los denominados planes de modernización, responde directamente a estos intereses supramunicipales. Su exposición de motivos destaca en este sentido la necesidad de “abordar el marco en el que el turismo, principal actividad económica del archipiélago, deba desarrollarse en los próximos años, garantizando la sostenibilidad de su ocupación territorial”. Constata también “que el proceso de renovación de la planta alojativa que debe constituir el eje fundamental de la cualificación de la oferta turística canaria, junto con el equipamiento complementario ambiental territorialmente sostenible, no ha alcanzado suficiente impulso”.</w:t>
      </w:r>
    </w:p>
    <w:p w:rsidR="006B7292" w:rsidRDefault="006B7292" w:rsidP="006B7292">
      <w:pPr>
        <w:pStyle w:val="TextoNormal"/>
      </w:pPr>
    </w:p>
    <w:p w:rsidR="006B7292" w:rsidRDefault="006B7292" w:rsidP="006B7292">
      <w:pPr>
        <w:pStyle w:val="TextoNormal"/>
      </w:pPr>
      <w:r>
        <w:t>Es igualmente evidente que los planes de modernización que regula el precepto cuestionado conciernen muy directamente a intereses municipales. El urbanismo es un ámbito de interés municipal preferente, tal como reflejan el art. 25.2 LBRL, la legislación canaria (art. 11 de la Ley 7/2015, de 1 de abril, de los municipios de Canarias) y el propio planeamiento municipal (singularmente, en este caso, el plan general de ordenación de San Bartolomé de Tirajana). De ello se ha hecho eco este Tribunal en múltiples ocasiones: “no es necesario argumentar particularmente que, entre los asuntos de interés de los Municipios y a los que por tanto se extienden sus competencias, está el urbanismo” [SSTC 40/1998, de 19 de febrero, FJ 39; 159/2001, de 5 de julio, FJ 4; 204/2002, de 31 de octubre, FJ 13; 104/2013, de 25 de abril, FJ 6; 154/2015, FJ 5 a)].</w:t>
      </w:r>
    </w:p>
    <w:p w:rsidR="006B7292" w:rsidRDefault="006B7292" w:rsidP="006B7292">
      <w:pPr>
        <w:pStyle w:val="TextoNormal"/>
      </w:pPr>
    </w:p>
    <w:p w:rsidR="006B7292" w:rsidRDefault="006B7292" w:rsidP="006B7292">
      <w:pPr>
        <w:pStyle w:val="TextoNormal"/>
      </w:pPr>
      <w:r>
        <w:t>A la vista del precepto cuestionado, resulta claro que el legislador canario no ha desatendido los intereses municipales. El “documento de planteamiento abreviado” que conlleva proyectos de sustitución, rehabilitación o mejora imprevistos en (o contrarios a) el planeamiento vigente “será sometido a informe del ayuntamiento en cuyo término municipal se lleve a cabo la actuación y del cabildo insular correspondiente” (artículo 15.3). A su vez, a través de la remisión al artículo 11 del texto refundido aprobado por el Decreto Legislativo 1/2000, el art. 15.1 de la Ley controvertida, prevé que “en todo caso” el Gobierno canario “consultará a los Ayuntamientos en cuyos términos municipales pretenda llevarse a cabo la actuación”, proporcionándoles “efectivamente”: “la posibilidad de exponer y hacer valer de manera suficiente y motivada las exigencias que, en orden al contenido de la actuación en curso de aprobación, resulten de los intereses públicos cuya gestión les esté encomendada”, brindando así “la ocasión de alcanzar un acuerdo sobre el contenido del mismo”. Si las “discrepancias manifestadas” no se superasen de este modo, la Administración autonómica habrá de emitir una “resolución justificativa de los motivos que han impedido alcanzar, a su juicio, una definición acordada del interés público”.</w:t>
      </w:r>
    </w:p>
    <w:p w:rsidR="006B7292" w:rsidRDefault="006B7292" w:rsidP="006B7292">
      <w:pPr>
        <w:pStyle w:val="TextoNormal"/>
      </w:pPr>
    </w:p>
    <w:p w:rsidR="006B7292" w:rsidRDefault="006B7292" w:rsidP="006B7292">
      <w:pPr>
        <w:pStyle w:val="TextoNormal"/>
      </w:pPr>
      <w:r>
        <w:t>Al atribuir al Gobierno canario la competencia para aprobar los planes de modernización, el precepto cuestionado se ha apoyado en la efectiva concurrencia de intereses supralocales sin descuidar los municipales. La cuestión queda de este modo ceñida a determinar si hay suficiente correlación entre la intensidad de los intereses municipales y la de la intervención local legalmente prevista. Esta ha de canalizarse no sólo en informes, sino también en la efectiva apertura de un diálogo que, si no concluye en un acuerdo de todas las Administraciones implicadas, obligue a la Comunidad Autónoma a explicar cumplidamente por qué ha sido imposible esta definición consensuada del interés público.</w:t>
      </w:r>
    </w:p>
    <w:p w:rsidR="006B7292" w:rsidRDefault="006B7292" w:rsidP="006B7292">
      <w:pPr>
        <w:pStyle w:val="TextoNormal"/>
      </w:pPr>
    </w:p>
    <w:p w:rsidR="006B7292" w:rsidRDefault="006B7292" w:rsidP="006B7292">
      <w:pPr>
        <w:pStyle w:val="TextoNormal"/>
      </w:pPr>
      <w:r>
        <w:t xml:space="preserve">En el presente asunto, el Ayuntamiento de San Bartolomé de Tirajana ha promovido la iniciativa de elaboración y tramitación del plan mediante la suscripción de un convenio con una entidad pública dependiente del Gobierno canario. A la vista de la parte expositiva del indicado convenio, de la memoria del plan y de las alegaciones del ayuntamiento en el proceso </w:t>
      </w:r>
      <w:r w:rsidRPr="006B7292">
        <w:rPr>
          <w:i/>
        </w:rPr>
        <w:t>a quo</w:t>
      </w:r>
      <w:r>
        <w:t>, cabe afirmar que este ha participado activamente en la elaboración del instrumento y que el Gobierno canario ha tomado su criterio en consideración. Esta observación es relevante en cuanto expresión de que el art. 15 de la Ley 6/2009 facilita una efectiva ponderación de los intereses municipales involucrados. La determinación concreta de si el plan de modernización aprobado por el Decreto 90/2012 ha asignado el peso que corresponde a aquellos intereses desborda el enjuiciamiento que incumbe a este Tribunal.</w:t>
      </w:r>
    </w:p>
    <w:p w:rsidR="006B7292" w:rsidRDefault="006B7292" w:rsidP="006B7292">
      <w:pPr>
        <w:pStyle w:val="TextoNormal"/>
      </w:pPr>
    </w:p>
    <w:p w:rsidR="006B7292" w:rsidRDefault="006B7292" w:rsidP="006B7292">
      <w:pPr>
        <w:pStyle w:val="TextoNormal"/>
      </w:pPr>
      <w:r>
        <w:t>Lo que le concierne es nada más que la valoración de si el precepto cuestionado vulnera en abstracto la garantía constitucional de la autonomía municipal; sin perjuicio de que, cuando de planeamiento urbanístico se trata, los arts. 137 y 140 CE obligan directamente a las Administraciones autonómicas actuantes a realizar una ponderación suficiente de los intereses municipales. Su ausencia puede viciar los planes, pero no la norma legal que habilitó su tramitación. Así lo ha declarado este Tribunal: “es evidente que la relevancia de esa participación dependerá en la práctica de que en el procedimiento de aprobación de la modificación del planeamiento el órgano competente para la aprobación definitiva atribuya, en el juicio de ponderación en que esencialmente consiste la decisión sobre el planeamiento, a los intereses hechos valer en el trámite de audiencia por las entidades locales, el peso y la importancia que han de corresponder a dichos intereses. Pero el control judicial de esa efectividad y relevancia de la intervención de las entidades locales no puede realizarse, como es lógico, en este juicio abstracto de constitucionalidad de la norma cuestionada, sino por la vía de la concreta impugnación ante los órganos judiciales competentes de la decisión sobre el planeamiento urbanístico que se adopte” (STC 51/2004, de 13 de abril, FJ 10).</w:t>
      </w:r>
    </w:p>
    <w:p w:rsidR="006B7292" w:rsidRDefault="006B7292" w:rsidP="006B7292">
      <w:pPr>
        <w:pStyle w:val="TextoNormal"/>
      </w:pPr>
    </w:p>
    <w:p w:rsidR="006B7292" w:rsidRDefault="006B7292" w:rsidP="006B7292">
      <w:pPr>
        <w:pStyle w:val="TextoNormal"/>
      </w:pPr>
      <w:r>
        <w:t>La STC 154/2015, FJ 6 e) ha reafirmado esta doctrina al enjuiciar un precepto que centraliza también determinadas facultades de planificación. Permite a la Consejería competente establecerse como Administración actuante para la formulación, tramitación y aprobación de instrumentos de planeamiento en las delimitaciones de reserva de terrenos para el patrimonio autonómico de suelo): “el precepto impugnado no es contrario a la garantía constitucional de la autonomía municipal (arts. 137 y 140 CE), sin perjuicio de que la jurisdicción contencioso-administrativa podrá controlar las eventuales extralimitaciones en que incurra la Administración autonómica al ejercer las competencias urbanísticas atribuidas y, en particular, la concurrencia de intereses supralocales legitimantes, la efectiva apertura de canales de participación local durante todas las fases del planeamiento así como la asignación a la intervención local del peso correspondiente a los intereses municipales afectados”.</w:t>
      </w:r>
    </w:p>
    <w:p w:rsidR="006B7292" w:rsidRDefault="006B7292" w:rsidP="006B7292">
      <w:pPr>
        <w:pStyle w:val="TextoNormal"/>
      </w:pPr>
    </w:p>
    <w:p w:rsidR="006B7292" w:rsidRDefault="006B7292" w:rsidP="006B7292">
      <w:pPr>
        <w:pStyle w:val="TextoNormal"/>
      </w:pPr>
      <w:r>
        <w:t>Consecuentemente, corresponde apreciar que el art. 15 de la Ley 6/2009 es conforme a la garantía constitucional de la autonomía local, habida cuenta de que prevé una serie de mecanismos que permiten en abstracto que la Administración autonómica confeccione los planes de modernización, asignando a los intereses municipales un peso tendencialmente correspondiente a su relevancia. La potestad de planeamiento es “fuertemente discrecional” y “encierra una infinidad de decisiones que atañen al municipio exclusiva o prevalentemente” [STC 154/2015, FJ 6 c)]. Ello no impide que la justicia ordinaria pueda resolver que los concretos planes de modernización aprobados a su amparo no se ajustan a la indicada garantía constitucional, si no hubieran tenido suficientemente en cuenta las valoraciones de oportunidad en cuestiones de relevancia prevalente o exclusivamente municipal manifestadas por los ayuntamientos concernidos.</w:t>
      </w:r>
    </w:p>
    <w:p w:rsidR="006B7292" w:rsidRDefault="006B7292" w:rsidP="006B7292">
      <w:pPr>
        <w:pStyle w:val="TextoNormal"/>
      </w:pPr>
    </w:p>
    <w:p w:rsidR="006B7292" w:rsidRDefault="006B7292" w:rsidP="006B7292">
      <w:pPr>
        <w:pStyle w:val="TextoNormal"/>
      </w:pPr>
      <w:r>
        <w:t>Por todo ello, hay que estar de acuerdo con la Fiscal General del Estado cuando afirma que el órgano judicial ha transformado cuestiones concretas que pertenecen a la justicia ordinaria (relativas a la legalidad de un específico plan) en cuestiones abstractas propias de la justicia constitucional (sobre la constitucionalidad de la Ley que proporcionó cobertura a ese plan). En resumen: el precepto cuestionado no plantea un problema de garantía constitucional de la autonomía municipal. Si lo hace el Decreto 90/2012 aprobado a su amparo y, en particular, si el Gobierno autonómico ha ponderado suficientemente el criterio del Ayuntamiento de San Bartolomé de Tirajana en cuanto exponente de los intereses de la comunidad local, habrá de establecerlo el Tribunal Superior de Justicia de Canarias en el recurso contencioso-administrativo formulado por la Asociación para la defensa del Centro Comercial Anexo.</w:t>
      </w:r>
    </w:p>
    <w:p w:rsidR="006B7292" w:rsidRDefault="006B7292" w:rsidP="006B7292">
      <w:pPr>
        <w:pStyle w:val="TextoNormal"/>
      </w:pPr>
    </w:p>
    <w:p w:rsidR="006B7292" w:rsidRDefault="006B7292" w:rsidP="006B7292">
      <w:pPr>
        <w:pStyle w:val="TextoNormal"/>
      </w:pPr>
      <w:r>
        <w:t xml:space="preserve">b) El órgano judicial considera que las previsiones cuestionadas han podido vulnerar el art. 14 CE, al interpretar que no permiten aplicar el principio general de equidistribución de cargas y beneficios. A este respecto, conviene destacar que la elaboración del plan controvertido en el proceso </w:t>
      </w:r>
      <w:r w:rsidRPr="006B7292">
        <w:rPr>
          <w:i/>
        </w:rPr>
        <w:t>a quo</w:t>
      </w:r>
      <w:r>
        <w:t xml:space="preserve"> no se ha ajustado a dicha interpretación. El plan se ha confeccionado al amparo del precepto cuestionado, pero teniendo en cuenta también como “legislación de aplicación” (pp. 9-10 de la Memoria justificativa) la normativa urbanística general, tanto la básica estatal (texto refundido de la Ley del Suelo aprobado por Real Decreto Legislativo 2/2008, de 20 de junio) como la autonómica de desarrollo (texto refundido de las Leyes de ordenación del territorio de Canarias y de espacios naturales de Canarias aprobado por el Decreto Legislativo 1/2000, de 8 de mayo y el Reglamento de gestión y ejecución del sistema de planeamiento de Canarias aprobado por el Decreto 183/2004, de 21 de diciembre). La Memoria justificativa cita constantemente las bases estatales, considerándolas de “obligado cumplimiento” (p. 56).</w:t>
      </w:r>
    </w:p>
    <w:p w:rsidR="006B7292" w:rsidRDefault="006B7292" w:rsidP="006B7292">
      <w:pPr>
        <w:pStyle w:val="TextoNormal"/>
      </w:pPr>
    </w:p>
    <w:p w:rsidR="006B7292" w:rsidRDefault="006B7292" w:rsidP="006B7292">
      <w:pPr>
        <w:pStyle w:val="TextoNormal"/>
      </w:pPr>
      <w:r>
        <w:t>A la vista del tipo de actuaciones programadas, no parece que el plan impugnado plantee problemas de equidistribución de beneficios y cargas. Regula actuaciones destinadas a revitalizar el sector turístico en las zonas por él delimitadas, que son de dos tipos: públicas y privadas. Las primeras se limitan a la intervención sobre el viario, zonas verdes y espacios libres para dotarlas de equipamientos públicos o convertirlas en sede de determinadas actividades atractivas de un turismo de calidad; todo ello no plantea problema alguno de equidistribución. Respecto de las privadas, el plan distingue dos modalidades de actuación. Unas se corresponden con actuaciones en suelo rústico que permiten acoger proyectos ya determinados. Los proyectos en suelo rústico residual no cambian la clasificación del suelo, ni implican aprovechamiento urbanístico; se trata sólo de la realización de usos en suelo no urbanizable que exigen la aprobación de un proyecto como lo exigen las huertas solares o la construcción de un almacén de recogida de los productos de la cosecha. Esto tampoco tiene que ver con la equidistribución de los beneficios y cargas derivados de la ejecución del planeamiento porque se trata de un proyecto pero no de un plan. La otra forma de intervención en ámbito privado se corresponde con una serie de actuaciones en suelo urbano que son exclusivamente de dotación. Consisten en el reconocimiento de plazas adicionales, incremento de edificabilidad y cambio de usos para favorecer la creación de establecimientos comerciales. Ninguna de las dieciséis actuaciones previstas requiere renovación integral de la urbanización. Se incluyen dentro, no de las denominadas “actuaciones de transformación urbanística”, sino de las operaciones de dotación a cuyos deberes (art. 16 del texto refundido de la Ley del suelo) se refiere específicamente la memoria (p. 167). Las actuaciones de dotación no conllevan el derecho y deber de ejecutar la urbanización en régimen de equidistribución de beneficios y cargas porque no suponen una urbanización integral; está ya hecha y no es necesario renovarla como ocurre en las actuaciones de reforma interior. Es deber de los propietarios ceder las dotaciones que son necesarias por el cambio de uso o el incremento de la edificabilidad así como la parte correspondiente del incremento del aprovechamiento lucrativo. Tampoco este tipo de actuaciones plantea pues un problema de equidistribución de beneficios y cargas.</w:t>
      </w:r>
    </w:p>
    <w:p w:rsidR="006B7292" w:rsidRDefault="006B7292" w:rsidP="006B7292">
      <w:pPr>
        <w:pStyle w:val="TextoNormal"/>
      </w:pPr>
    </w:p>
    <w:p w:rsidR="006B7292" w:rsidRDefault="006B7292" w:rsidP="006B7292">
      <w:pPr>
        <w:pStyle w:val="TextoNormal"/>
      </w:pPr>
      <w:r>
        <w:t>Las antecedentes consideraciones cobran relevancia en la medida en que son indicativas de que el precepto cuestionado no ha excluido la aplicación de la legislación urbanística general (estatal y autonómica). Lo relevante desde la perspectiva del control abstracto en que consiste el enjuiciamiento de la constitucionalidad de las leyes es que, frente a lo razonado por el promotor de la cuestión, nada hay en el precepto impugnado que permita afirmar que los planes o programas de modernización no están sujetos a la legislación básica estatal, en general, ni al principio de equidistribución de beneficios y cargas, en particular. El art. 15 de la Ley 6/2009 no impide la aplicación de tal legislación por lo que en modo alguno puede interpretarse que haya quedado excluida.</w:t>
      </w:r>
    </w:p>
    <w:p w:rsidR="006B7292" w:rsidRDefault="006B7292" w:rsidP="006B7292">
      <w:pPr>
        <w:pStyle w:val="TextoNormal"/>
      </w:pPr>
    </w:p>
    <w:p w:rsidR="006B7292" w:rsidRDefault="006B7292" w:rsidP="006B7292">
      <w:pPr>
        <w:pStyle w:val="TextoNormal"/>
      </w:pPr>
      <w:r>
        <w:t>También en este caso, tal como sugieren las alegaciones de la Fiscal General del Estado, la solución del problema de si el plan de modernización aprobado por el Decreto 90/2012 incumple el principio de equidistribución de cargas y beneficios, corresponde, no a este Tribunal, sino al Superior de Justicia de Canarias. Habrá de afrontarlo al resolver el recurso contencioso-administrativo formulado por la asociación para la defensa del centro comercial anexo. La infracción en que pudiera eventualmente incurrir el plan en modo alguno puede redirigirse contra el precepto cuestionado. No está de más recordar que la equidistribución, esto es, el reparto igualitario de los beneficios y cargas derivados de la ejecución del planeamiento, no aspira a lograr una igualdad suprema, sino que es un intento de igualar en la medida establecida por la Ley. No hay equidistribución de beneficios y cargas entre distintas clases de suelo; tampoco tiene que haberla necesariamente entre sectores distintos de la misma clase de suelo, ni siquiera entre los propietarios afectados por el mismo plan, pero incluidos en diferentes ámbitos o unidades de ejecución.</w:t>
      </w:r>
    </w:p>
    <w:p w:rsidR="006B7292" w:rsidRDefault="006B7292" w:rsidP="006B7292">
      <w:pPr>
        <w:pStyle w:val="TextoNormal"/>
      </w:pPr>
    </w:p>
    <w:p w:rsidR="006B7292" w:rsidRDefault="006B7292" w:rsidP="006B7292">
      <w:pPr>
        <w:pStyle w:val="TextoNormal"/>
      </w:pPr>
      <w:r>
        <w:t>Cabe pues descartar que el artículo 15 incurra en arbitrariedad por permitir que los planes de modernización desarrollen proyectos de sustitución, rehabilitación o mejora en contra de las determinaciones del planeamiento vigente (apartado 3), obligando a los municipios a incorporarlo en los instrumentos urbanísticos correspondientes (apartado 4). Este Tribunal ha descartado recientemente que incurran en inconstitucionalidad normas autonómicas similares, que también hacen valer intereses supramunicipales para centralizar en la Administración autonómica la elaboración de determinados planes con previsión de que a ellos habrá de adaptarse el planeamiento urbanístico municipal [STC 57/2015, de 18 de marzo, FJ 18, letras a) y d)]. Puede por ello excluirse también que el precepto cuestionado vulnere el principio de interdicción de la arbitrariedad (art. 9.3 CE).</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Inadmitir a trámite la cuestión de inconstitucionalidad núm. 3634-2015.</w:t>
      </w:r>
    </w:p>
    <w:p w:rsidR="006B7292" w:rsidRDefault="006B7292" w:rsidP="006B7292">
      <w:pPr>
        <w:pStyle w:val="TextoNormal"/>
      </w:pPr>
    </w:p>
    <w:p w:rsidR="006B7292" w:rsidRDefault="006B7292" w:rsidP="006B7292">
      <w:pPr>
        <w:pStyle w:val="TextoNormal"/>
      </w:pPr>
      <w:r>
        <w:t>Madrid, a tres de noviembre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199" w:name="AUTO_2015_185"/>
      <w:r>
        <w:t>AUTO 185/2015, de 3 de noviembre de 2015</w:t>
      </w:r>
    </w:p>
    <w:bookmarkEnd w:id="199"/>
    <w:p w:rsidR="006B7292" w:rsidRDefault="006B7292" w:rsidP="006B7292">
      <w:pPr>
        <w:pStyle w:val="TtuloResolucin"/>
      </w:pPr>
      <w:r>
        <w:t>Pleno</w:t>
      </w:r>
    </w:p>
    <w:p w:rsidR="006B7292" w:rsidRDefault="006B7292" w:rsidP="006B7292">
      <w:pPr>
        <w:pStyle w:val="TextoNormalCentrado"/>
      </w:pPr>
      <w:r>
        <w:t>ECLI:ES:TC:2015:185A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Mantiene parcialmente la suspensión acordada en el conflicto positivo de competencia 3647-2015, planteado por el Gobierno de la Nación en relación con la disposición final cuarta del Decreto de la Generalitat de Cataluña 69 /2015, de 5 de mayo, por el que se modifica la demarcación de los registros de la propiedad, mercantiles y de bienes muebles de Cataluña.</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presentado en el Registro General de este Tribunal Constitucional el día 22 de junio de 2015 el Abogado del Estado, en la representación que ostenta, promueve, de modo directo, conflicto positivo de competencia contra los arts. 1, 2, 3, y disposiciones adicionales primera, segunda y tercera; transitoria y finales primera, segunda, tercera y cuarta del Decreto de la Generalitat de Cataluña 69/2015, de 5 de mayo, por el que se modifica la demarcación de los registros de la propiedad, mercantiles y de bienes muebles de Cataluña.</w:t>
      </w:r>
    </w:p>
    <w:p w:rsidR="006B7292" w:rsidRDefault="006B7292" w:rsidP="006B7292">
      <w:pPr>
        <w:pStyle w:val="TextoNormal"/>
      </w:pPr>
    </w:p>
    <w:p w:rsidR="006B7292" w:rsidRDefault="006B7292" w:rsidP="006B7292">
      <w:pPr>
        <w:pStyle w:val="TextoNormal"/>
      </w:pPr>
      <w:r>
        <w:t>El Abogado del Estado invocó el art. 161.2 CE a fin de que se acordase la suspensión de los preceptos impugnados en el presente conflicto.</w:t>
      </w:r>
    </w:p>
    <w:p w:rsidR="006B7292" w:rsidRDefault="006B7292" w:rsidP="006B7292">
      <w:pPr>
        <w:pStyle w:val="TextoNormal"/>
      </w:pPr>
    </w:p>
    <w:p w:rsidR="006B7292" w:rsidRDefault="006B7292" w:rsidP="006B7292">
      <w:pPr>
        <w:pStyle w:val="TextoNormal"/>
      </w:pPr>
      <w:r w:rsidRPr="006B7292">
        <w:rPr>
          <w:rStyle w:val="NumeroAFNegritaCaracter"/>
        </w:rPr>
        <w:t>2</w:t>
      </w:r>
      <w:r>
        <w:t>. Por providencia de 7 de julio de 2015 el Pleno del Tribunal Constitucional, a propuesta de la Sección Primera, acordó admitir a trámite el conflicto positivo de competencia y dar traslado de la demanda y documentos presentados a la Generalitat de Cataluña, por conducto de su Presidente, al objeto de que en el plazo de veinte días y, por medio de la representación procesal que determina el artículo 82.2 de la Ley Orgánica del Tribunal Constitucional (LOTC), aporte cuantos documentos y alegaciones considere convenientes; tener por invocado por el Gobierno el artículo 161.2 de la Constitución, lo que, a su tenor y conforme dispone el art. 64.2 LOTC, produce la suspensión de la vigencia y aplicación de los preceptos impugnados desde el día 22 de junio de 2015, fecha de interposición del conflicto, que será comunicado al Presidente de la Generalitat de Cataluña; comunicar la incoación del conflicto a la Sala de lo Contencioso-Administrativo del Tribunal Superior de Justicia de Cataluña, por si ante la misma estuvieran impugnados o se impugnaren los citados preceptos, en cuyo caso se suspenderá el curso del proceso hasta la decisión del conflicto, según dispone el art. 61.2 LOTC y publicar la incoación del conflicto en el “Boletín Oficial del Estado” y en el “Diari Oficial de la Generalitat de Cataluña”.</w:t>
      </w:r>
    </w:p>
    <w:p w:rsidR="006B7292" w:rsidRDefault="006B7292" w:rsidP="006B7292">
      <w:pPr>
        <w:pStyle w:val="TextoNormal"/>
      </w:pPr>
    </w:p>
    <w:p w:rsidR="006B7292" w:rsidRDefault="006B7292" w:rsidP="006B7292">
      <w:pPr>
        <w:pStyle w:val="TextoNormal"/>
      </w:pPr>
      <w:r w:rsidRPr="006B7292">
        <w:rPr>
          <w:rStyle w:val="NumeroAFNegritaCaracter"/>
        </w:rPr>
        <w:t>3</w:t>
      </w:r>
      <w:r>
        <w:t>. El Pleno del Tribunal, próximo a finalizar el plazo de cinco meses señalado en el art. 161.2 CE desde que se produjo la suspensión de los preceptos impugnados, acordó por providencia de 10 de septiembre de 2015 oír a las partes personadas acerca de la procedencia de mantener o levantar esa suspensión.</w:t>
      </w:r>
    </w:p>
    <w:p w:rsidR="006B7292" w:rsidRDefault="006B7292" w:rsidP="006B7292">
      <w:pPr>
        <w:pStyle w:val="TextoNormal"/>
      </w:pPr>
    </w:p>
    <w:p w:rsidR="006B7292" w:rsidRDefault="006B7292" w:rsidP="006B7292">
      <w:pPr>
        <w:pStyle w:val="TextoNormal"/>
      </w:pPr>
      <w:r w:rsidRPr="006B7292">
        <w:rPr>
          <w:rStyle w:val="NumeroAFNegritaCaracter"/>
        </w:rPr>
        <w:t>4</w:t>
      </w:r>
      <w:r>
        <w:t>. El Abogado del Estado, mediante escrito registrado en este Tribunal el 21 de septiembre de 2015, interesó el mantenimiento de la suspensión de los preceptos impugnados con fundamento en las alegaciones siguientes:</w:t>
      </w:r>
    </w:p>
    <w:p w:rsidR="006B7292" w:rsidRDefault="006B7292" w:rsidP="006B7292">
      <w:pPr>
        <w:pStyle w:val="TextoNormal"/>
      </w:pPr>
    </w:p>
    <w:p w:rsidR="006B7292" w:rsidRDefault="006B7292" w:rsidP="006B7292">
      <w:pPr>
        <w:pStyle w:val="TextoNormal"/>
      </w:pPr>
      <w:r>
        <w:t>Tras recordar la doctrina constitucional sobre la resolución de esta clase de incidentes de suspensión así como hacer referencia al fondo del conflicto planteado, examina los perjuicios que causaría el levantamiento de la suspensión sintetizando para ello los recogidos en un informe elaborado al efecto por la Dirección General de los Registros y del Notariado, dependiente del Ministerio de Justicia, que adjunta a su escrito.</w:t>
      </w:r>
    </w:p>
    <w:p w:rsidR="006B7292" w:rsidRDefault="006B7292" w:rsidP="006B7292">
      <w:pPr>
        <w:pStyle w:val="TextoNormal"/>
      </w:pPr>
    </w:p>
    <w:p w:rsidR="006B7292" w:rsidRDefault="006B7292" w:rsidP="006B7292">
      <w:pPr>
        <w:pStyle w:val="TextoNormal"/>
      </w:pPr>
      <w:r>
        <w:t>Los perjuicios asociados al levantamiento de la suspensión que pesa sobre los arts. 1, 2 y 3 serían, según el Abogado del Estado, consecuencia de la medida estable y con vocación de permanencia consistente en la reordenación y supresión de registros que deriva de ellos, lo que originaría un grave quebranto material “tanto en la esfera de lo que es la reordenación de territorial pretendidamente definitivo, como en el ámbito puramente estatutario y personal de los Registradores y del personal de los Registros de la Propiedad afectados por dicha reordenación”, por la necesidad, de estimarse el conflicto, de tener que deshacer “demarcaciones territoriales ya ejecutadas, reordenar el territorio y afectar de nuevo a situaciones personales ya definidas en cuanto que plazas ya proveídas y derechos de personal, ya consolidados”.</w:t>
      </w:r>
    </w:p>
    <w:p w:rsidR="006B7292" w:rsidRDefault="006B7292" w:rsidP="006B7292">
      <w:pPr>
        <w:pStyle w:val="TextoNormal"/>
      </w:pPr>
    </w:p>
    <w:p w:rsidR="006B7292" w:rsidRDefault="006B7292" w:rsidP="006B7292">
      <w:pPr>
        <w:pStyle w:val="TextoNormal"/>
      </w:pPr>
      <w:r>
        <w:t xml:space="preserve">Tales perjuicios se concretan en tres planos distintos. El primero es el relativo a las incertidumbres causadas sobre la determinación del Registrador competente en relación con el territorio afectado, con la consiguiente modificación de las circunscripciones territoriales y la consolidación de situaciones de muy difícil reversión caso de estimarse el conflicto, dadas las modificaciones que se habrían introducido en la ordenación territorial de los Registros. Estas modificaciones afectarían, además, a la ubicación material de los libros, así como obligarían al traslado de asientos motivado por las alteraciones territoriales en la demarcación de los registros y, de estimarse el conflicto, provocarían perjuicios económicos para el Registrador que hubiera debido mantener la competencia, por los aranceles dejados de percibir. En segundo lugar, se verían alterados los concursos de provisión de las plazas vacantes, en la medida que se ven alteradas por la demarcación ahora suspendida, padeciendo asimismo el derecho de los Registradores a proveer los Registros ahora suprimidos. En tercer lugar se afecta también al régimen de interinidades y sustituciones entre los Registradores, afectando a sus derechos en esta materia, así como a los derechos de los particulares, en cuanto que los arts. 19 </w:t>
      </w:r>
      <w:r w:rsidRPr="006B7292">
        <w:rPr>
          <w:i/>
        </w:rPr>
        <w:t>bis</w:t>
      </w:r>
      <w:r>
        <w:t xml:space="preserve"> y 275 </w:t>
      </w:r>
      <w:r w:rsidRPr="006B7292">
        <w:rPr>
          <w:i/>
        </w:rPr>
        <w:t>bis</w:t>
      </w:r>
      <w:r>
        <w:t xml:space="preserve"> de la Ley hipotecaria conceden a los interesados que obtuvieren calificación negativa de los títulos presentados el derecho a solicitar del registrador del cuadro de sustituciones la calificación de dichos títulos. Dicho cuadro viene predeterminado e incorpora los Registros vigentes, de modo que la supresión de un Registro, si posteriormente es anulada, afectará al derecho del interesado que podía haber instado en su momento la referida calificación sustitutoria.</w:t>
      </w:r>
    </w:p>
    <w:p w:rsidR="006B7292" w:rsidRDefault="006B7292" w:rsidP="006B7292">
      <w:pPr>
        <w:pStyle w:val="TextoNormal"/>
      </w:pPr>
    </w:p>
    <w:p w:rsidR="006B7292" w:rsidRDefault="006B7292" w:rsidP="006B7292">
      <w:pPr>
        <w:pStyle w:val="TextoNormal"/>
      </w:pPr>
      <w:r>
        <w:t>El Abogado del Estado señala, respecto a la disposición adicional primera, que el ejercicio de la potestad en ella regulada “ocasionará perjuicios inmediatos tanto para el Registrador que se vea obligado a realizar dichas aperturas sufragando el coste de su mantenimiento, como en relación con la eficacia de lo actuado en las mismas, toda vez que no está regulada la utilización de esta nueva figura de oficinas en la legislación estatal”. Sobre la disposición adicional segunda, indica que repercute en el concurso ordinario inmediato causando perjuicios por la creación de situaciones jurídicas consolidadas de difícil reversión, caso de estimarse el conflicto. En cuanto a la disposición adicional tercera, alega que “el nombramiento autonómico de registradores accidentales afecta a los derechos y en general a la situación estatutaria de los Registradores, tanto los nombrados como los titulares de Registros afectados por el nombramiento”, entendiendo que los perjuicios “ofrecen condición de notoriedad, pues redunda en sus funciones y en su régimen económico y arancelario regulado por ley estatal”. La disposición transitoria genera el perjuicio, ya apuntado, de la adjudicación de concursos en ejecución de una norma luego anulada, afectando además a los futuros al obviar la limitación del art. 490 del Reglamento hipotecario. Por último, el mantenimiento de la suspensión de la disposición final primera se justifica alegando que el criterio objetivo para fijar agrupaciones personales en relación con los Registros debe ser fijado por el Estado, por lo que la creación discrecional de agrupaciones personales por el Consejero puede perjudicar a los Registradores afectados, que ven su situación estatutaria vulnerada por quien no tiene competencia para ello, con perjuicios económicos de difícil restauración.</w:t>
      </w:r>
    </w:p>
    <w:p w:rsidR="006B7292" w:rsidRDefault="006B7292" w:rsidP="006B7292">
      <w:pPr>
        <w:pStyle w:val="TextoNormal"/>
      </w:pPr>
    </w:p>
    <w:p w:rsidR="006B7292" w:rsidRDefault="006B7292" w:rsidP="006B7292">
      <w:pPr>
        <w:pStyle w:val="TextoNormal"/>
      </w:pPr>
      <w:r w:rsidRPr="006B7292">
        <w:rPr>
          <w:rStyle w:val="NumeroAFNegritaCaracter"/>
        </w:rPr>
        <w:t>5</w:t>
      </w:r>
      <w:r>
        <w:t>. El Abogado de la Generalitat de Cataluña formuló sus alegaciones mediante escrito registrado el día 28 de septiembre de 2015, y solicitó el levantamiento de la suspensión de los preceptos impugnados en el presente conflicto.</w:t>
      </w:r>
    </w:p>
    <w:p w:rsidR="006B7292" w:rsidRDefault="006B7292" w:rsidP="006B7292">
      <w:pPr>
        <w:pStyle w:val="TextoNormal"/>
      </w:pPr>
    </w:p>
    <w:p w:rsidR="006B7292" w:rsidRDefault="006B7292" w:rsidP="006B7292">
      <w:pPr>
        <w:pStyle w:val="TextoNormal"/>
      </w:pPr>
      <w:r>
        <w:t>Indica que este caso presenta unas características singulares que hacen que los efectos prácticos de mantener o levantar la suspensión del Decreto 69/20l5 carezcan propiamente de trascendencia para cambiar la situación fáctica, de manera que la decisión al respecto resulta de escaso relieve, puesto que el citado Decreto sólo ha creado unas situaciones de hecho de menor importancia para el interés general. Dejando de lado la cuestión competencial de fondo, indica que los efectos de la norma se concretan en la supresión de los 32 Registros, que no estaban en activo al no prestar servicios como tales, pues en algunos de ellos se había aplazado su cobertura, sin que se suscitase reparo alguno por parte del Estado, y otros, pese a haberse ofertado, no se habían cubierto, lo que determinó que, mediante la Orden JUS/53/2013, de 2 de abril, que dispone el aplazamiento de la efectividad de la demarcación registral ejecutada en relación con determinados Registros creados por el Real Decreto 172/2007, se decidiera su reintegración en el Registro del que procedían, o su agrupación a Registros próximos, por cuestiones de servicio público. En consecuencia estima que “el mantenimiento de la suspensión puede significar volver a una situación formal de integración provisional de esos registros en sus respectivos registros de origen, pero sin que tenga repercusiones de orden práctico para el interés general o cause perjuicio alguno, ya que el servicio registral sigue funcionando igual que antes”, en cuanto tiene que ver con la supresión de unos registros inoperantes, de manera que aunque teóricamente siguen existiendo por haberse suspendido su supresión, en la práctica siguen sin operar, como consecuencia de las diversas Órdenes de aplazamiento de su cobertura del Departamento de Justicia de la Generalitat. Indica, además, que la impugnación y consiguiente suspensión del Decreto 69/2015 se refiere a todos sus artículos y disposiciones, con la única excepción de su disposición derogatoria, lo que comporta, por un lado, que la supresión de los Registros inoperantes demarcados en Cataluña no resulte vigente y, por otro, que las Órdenes de aplazamiento de la provisión de esos mismos Registros estén derogadas, lo que ha obligado a recuperar la situación anterior a la impugnación mediante la Orden JUS/297/20 15, de 17 de septiembre, por la que se aplaza la provisión en concurso de los Registros afectados por la admisión a trámite del conflicto positivo de competencia.</w:t>
      </w:r>
    </w:p>
    <w:p w:rsidR="006B7292" w:rsidRDefault="006B7292" w:rsidP="006B7292">
      <w:pPr>
        <w:pStyle w:val="TextoNormal"/>
      </w:pPr>
    </w:p>
    <w:p w:rsidR="006B7292" w:rsidRDefault="006B7292" w:rsidP="006B7292">
      <w:pPr>
        <w:pStyle w:val="TextoNormal"/>
      </w:pPr>
      <w:r>
        <w:t>Por tanto, en opinión del Abogado de la Generalitat, los efectos para el interés general de la suspensión del Decreto 69/2015 se centran en la declaración de la situación jurídica de tales Registros. Si se levanta la suspensión, los registros que figuran en su anexo deberán considerarse suprimidos, mientras que si se mantiene la suspensión seguirán siendo Registros creados por el Real Decreto 172/2007, de 9 de febrero, pero cuya provisión ha sido aplazada. En cuanto a la situación de hecho será prácticamente la misma, pues en todo caso se trata de Registros inoperantes. En consecuencia, a su entender, los perjuicios en el orden práctico que han de producirse como consecuencia de levantarse la suspensión son irrelevantes.</w:t>
      </w:r>
    </w:p>
    <w:p w:rsidR="006B7292" w:rsidRDefault="006B7292" w:rsidP="006B7292">
      <w:pPr>
        <w:pStyle w:val="TextoNormal"/>
      </w:pPr>
    </w:p>
    <w:p w:rsidR="006B7292" w:rsidRDefault="006B7292" w:rsidP="006B7292">
      <w:pPr>
        <w:pStyle w:val="TextoNormal"/>
      </w:pPr>
      <w:r>
        <w:t>Por último, se refiere a la situación de dos Registros que, de acuerdo con la referida Orden JUS/53/2013, se agruparon en registros próximos en lugar de regresar al de su procedencia. Esos dos registros se suprimieron como consecuencia del Decreto 69/2015, quedando sin efecto las agrupaciones y volviendo las circunscripciones de cada uno de ellos a los registros de los que procedía inicialmente. Ante esa situación, el Abogado de la Generalitat señala que alguno de los registradores afectados ha planteado que la suspensión implica volver a la situación anterior a la entrada en vigor del Decreto 69/2015, con los evidentes perjuicios para los registradores afectados. Señala que “esta parte entiende que, de acuerdo con el tenor literal del punto 3 de la Providencia de ese Tribunal de 7 de julio 2015, por la que se acordó admitir a trámite el presente conflicto, los efectos de la suspensión de la vigencia y aplicación de los preceptos impugnados lo son desde la fecha de su interposición, esto es, a partir del día 22 de junio de 2015, de manera que no quedan afectadas las actuaciones que en aplicación del Decreto 69/2015 tuvieron lugar desde su entrada en vigor y hasta su impugnación ante el Tribunal, sin que haya lugar a la retrocesión de las mismas”. Por ello, para evitar equívocos al respecto y favorecer la necesaria seguridad jurídica, solicita que ese extremo se aclare en la resolución de este Tribunal que decida sobre el presente trámite.</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objeto de la presente resolución consiste en determinar si procede levantar o mantener la suspensión de la vigencia que afecta a los arts. 1, 2, 3, y disposiciones adicionales primera, segunda y tercera; transitoria y finales primera, segunda, tercera y cuarta del Decreto de la Generalitat de Cataluña 69/2015, de 5 de mayo, por el que se modifica la demarcación de los registros de la propiedad, mercantiles y de bienes muebles de Cataluña. Dichos artículos se encuentran suspendidos en su aplicación, como consecuencia de la invocación del art. 161.2 CE, al promoverse el conflicto positivo de competencia contra los mismos por el Gobierno de la Nación.</w:t>
      </w:r>
    </w:p>
    <w:p w:rsidR="006B7292" w:rsidRDefault="006B7292" w:rsidP="006B7292">
      <w:pPr>
        <w:pStyle w:val="TextoNormal"/>
      </w:pPr>
    </w:p>
    <w:p w:rsidR="006B7292" w:rsidRDefault="006B7292" w:rsidP="006B7292">
      <w:pPr>
        <w:pStyle w:val="TextoNormal"/>
      </w:pPr>
      <w:r>
        <w:t>El artículo 1 establece el régimen y los criterios objetivos de demarcación, modificando la demarcación de los Registros de la propiedad demarcados en Cataluña. El artículo 2 regula la “modificación de distritos hipotecarios en aplicación del principio de organización territorial” mediante su alteración por segregación y posterior agrupación de parte de su distrito con otros limítrofes. El artículo 3 contiene el régimen y los criterios objetivos de demarcación de los Registros de la propiedad y mercantiles en el futuro. En cuanto a las disposiciones adicionales, la primera regula la “instalación de oficinas de atención al usuario”, la segunda el “concurso especial” y la tercera, el “nombramiento de registradores accidentales”. La disposición transitoria (“concursos”) previene que, desde la entrada en vigor del Decreto, los Registradores afectados por la demarcación prevista en él podrán participar en concursos de provisión de vacantes. La disposición final primera (“agrupaciones personales”) autoriza la creación de Registros de la propiedad y mercantiles en régimen de división personal cuando sea necesario o conveniente para la prestación del servicio público registral. La disposición final segunda autoriza al Consejero competente para dictar las normas necesarias para la interpretación y ejecución del Decreto y, en particular, para determinar las fechas de funcionamiento independiente de los Registros y para regular el periodo de transición hasta el funcionamiento independiente, así como para desagrupar los registros de la propiedad agrupados mediante esta norma. Asimismo, autoriza al Director General competente a resolver las dudas sobre los límites físicos de la demarcación que puedan surgir en su aplicación práctica y a resolver otros problemas relativos a ella. De conformidad con la disposición final tercera (“revisión de la demarcación registral”), el Departamento de Justicia elaborará en el plazo máximo de cinco años desde la entrada en vigor de la norma y a través de la Dirección General de Derecho y Entidades Jurídicas los estudios necesarios para modificar la demarcación registral de Cataluña. La disposición final cuarta prevé la entrada en vigor de la norma el día siguiente al de su publicación en el “Diario Oficial de la Generalitat de Cataluña”.</w:t>
      </w:r>
    </w:p>
    <w:p w:rsidR="006B7292" w:rsidRDefault="006B7292" w:rsidP="006B7292">
      <w:pPr>
        <w:pStyle w:val="TextoNormal"/>
      </w:pPr>
    </w:p>
    <w:p w:rsidR="006B7292" w:rsidRDefault="006B7292" w:rsidP="006B7292">
      <w:pPr>
        <w:pStyle w:val="TextoNormal"/>
      </w:pPr>
      <w:r>
        <w:t>El conflicto se fundamenta en la vulneración de las competencias estatales de los arts. 149.1.8 y 149.1.18 CE en relación a la ordenación de los Registros y a la definición del régimen estatutario de los Registradores de la propiedad, respectivamente. Al respecto se argumenta que se fija un régimen propio de ordenación de los Registros demarcados en Cataluña que va más allá de la competencia ejecutiva autonómica, innovando la demarcación actualmente existente de forma unilateral, sin título competencial que le habilite para ello. Se alega también que el Decreto 69/2015 incluye previsiones que afectan de manera directa al régimen estatutario de los registradores que debe ser establecido por el Estado, al amparo de la competencia exclusiva que le reconoce el art. 149.1.18 CE.</w:t>
      </w:r>
    </w:p>
    <w:p w:rsidR="006B7292" w:rsidRDefault="006B7292" w:rsidP="006B7292">
      <w:pPr>
        <w:pStyle w:val="TextoNormal"/>
      </w:pPr>
    </w:p>
    <w:p w:rsidR="006B7292" w:rsidRDefault="006B7292" w:rsidP="006B7292">
      <w:pPr>
        <w:pStyle w:val="TextoNormal"/>
      </w:pPr>
      <w:r w:rsidRPr="006B7292">
        <w:rPr>
          <w:rStyle w:val="NumeroAFNegritaCaracter"/>
        </w:rPr>
        <w:t>2</w:t>
      </w:r>
      <w:r>
        <w:t>. Con carácter previo a cualquier otra consideración y a la vista de la petición formulada por el Abogado de la Generalitat de Cataluña acerca de la situación de determinados Registros, en relación con los efectos de la suspensión derivada de la admisión a trámite del presente conflicto, es preciso dejar sentado que el objeto de este incidente es, exclusivamente y tal y como se establece en la providencia del Pleno de este Tribunal Constitucional de 10 de septiembre de 2015, por la que se abrió el trámite de audiencia a las partes, pronunciarnos acerca del levantamiento de la suspensión inicialmente acordada de las normas impugnadas. Por tanto, y de acuerdo con lo que ya señalamos en ATC 156/2008, de 12 de junio, FJ 2, “obvio es decir que en el mismo no pueden tener cabida otras consideraciones carentes de esa finalidad de proporcionar a este Tribunal Constitucional, para su ponderación, las razones que, a juicio de las partes en el presente proceso, aconsejan la continuación de la suspensión o, en su caso, su alzamiento” (en el mismo sentido, ATC 298/2013, de 17 de diciembre, FJ 4, y 114/2014, de 8 de abril, FJ 2). En todo caso, la suspensión de la vigencia y aplicación de los preceptos impugnados constituye un efecto inmediato del conflicto positivo de competencia cuando es el Gobierno de la Nación el que interpone el recurso e invoca el art. 161.2 CE y se admite a trámite el conflicto, no siendo finalidad del presente incidente la determinación del eventual régimen de aplicación a concretos Registros, sino, exclusivamente, decidir, previa la correspondiente ponderación, acerca de la suspensión de la vigencia de los preceptos sobre los que se ha trabado la controversia.</w:t>
      </w:r>
    </w:p>
    <w:p w:rsidR="006B7292" w:rsidRDefault="006B7292" w:rsidP="006B7292">
      <w:pPr>
        <w:pStyle w:val="TextoNormal"/>
      </w:pPr>
    </w:p>
    <w:p w:rsidR="006B7292" w:rsidRDefault="006B7292" w:rsidP="006B7292">
      <w:pPr>
        <w:pStyle w:val="TextoNormal"/>
      </w:pPr>
      <w:r w:rsidRPr="006B7292">
        <w:rPr>
          <w:rStyle w:val="NumeroAFNegritaCaracter"/>
        </w:rPr>
        <w:t>3</w:t>
      </w:r>
      <w:r>
        <w:t>. Expuestos los contenidos de la norma impugnada, los términos en los que se ha planteado el conflicto y contestadas las alegaciones de la Generalitat de Cataluña, hemos de centrarnos en la cuestión de si procede o no procede levantar la suspensión de vigencia de las disposiciones impugnadas por el Estado.</w:t>
      </w:r>
    </w:p>
    <w:p w:rsidR="006B7292" w:rsidRDefault="006B7292" w:rsidP="006B7292">
      <w:pPr>
        <w:pStyle w:val="TextoNormal"/>
      </w:pPr>
    </w:p>
    <w:p w:rsidR="006B7292" w:rsidRDefault="006B7292" w:rsidP="006B7292">
      <w:pPr>
        <w:pStyle w:val="TextoNormal"/>
      </w:pPr>
      <w:r>
        <w:t>Sobre este tipo de incidentes de suspensión es reiterada nuestra doctrina según la cual,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de la Ley impugnada.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(arts. 161.2 CE y 30 de la Ley Orgánica del Tribunal Constitucional: LOTC), aporte y razone con detalle los argumentos que la justifiquen, pues debe partirse de la presunción de constitucionalidad de las normas objeto de recurso (por todos, ATC 122/2015, de 7 de julio, FJ 2)</w:t>
      </w:r>
    </w:p>
    <w:p w:rsidR="006B7292" w:rsidRDefault="006B7292" w:rsidP="006B7292">
      <w:pPr>
        <w:pStyle w:val="TextoNormal"/>
      </w:pPr>
    </w:p>
    <w:p w:rsidR="006B7292" w:rsidRDefault="006B7292" w:rsidP="006B7292">
      <w:pPr>
        <w:pStyle w:val="TextoNormal"/>
      </w:pPr>
      <w:r>
        <w:t>Asimismo, hemos de partir de que la resolución de este incidente ha de quedar desvinculada de la que en su día se adopte respecto del debate de fondo,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(ATC 265/2014, de 4 de noviembre, FJ 2, con cita de otros).</w:t>
      </w:r>
    </w:p>
    <w:p w:rsidR="006B7292" w:rsidRDefault="006B7292" w:rsidP="006B7292">
      <w:pPr>
        <w:pStyle w:val="TextoNormal"/>
      </w:pPr>
    </w:p>
    <w:p w:rsidR="006B7292" w:rsidRDefault="006B7292" w:rsidP="006B7292">
      <w:pPr>
        <w:pStyle w:val="TextoNormal"/>
      </w:pPr>
      <w:r w:rsidRPr="006B7292">
        <w:rPr>
          <w:rStyle w:val="NumeroAFNegritaCaracter"/>
        </w:rPr>
        <w:t>4</w:t>
      </w:r>
      <w:r>
        <w:t>. Procede entrar en la ponderación propia de este incidente cautelar, examinando si los perjuicios que han sido alegados por el Abogado del Estado, sobre el que pesa la carga de acreditar su existencia y su imposible o difícil reparación, tienen la gravedad y consistencia necesarias como para justificar el mantenimiento de la suspensión, prevaleciendo sobre la presunción de legitimidad de la regulación autonómica y los intereses que se vinculan a su aplicación efectiva. De tal forma, en este incidente deberemos determinar los intereses que han de prevalecer, por ser menos resistentes al perjuicio o acreedores de una protección preferente, y cuáles deben ceder, por ser su lesión menos onerosa o de menor incidencia su sacrificio en caso de colisión. Para ello debemos tener cuenta, de una parte, la irreparabilidad o dificultad de reparación de las situaciones que pudieran generarse y, de otra, la trascendencia de los intereses subyacentes, generales y particulares.</w:t>
      </w:r>
    </w:p>
    <w:p w:rsidR="006B7292" w:rsidRDefault="006B7292" w:rsidP="006B7292">
      <w:pPr>
        <w:pStyle w:val="TextoNormal"/>
      </w:pPr>
    </w:p>
    <w:p w:rsidR="006B7292" w:rsidRDefault="006B7292" w:rsidP="006B7292">
      <w:pPr>
        <w:pStyle w:val="TextoNormal"/>
      </w:pPr>
      <w:r>
        <w:t>Dicho esto, debemos constatar, en primer lugar, la ausencia de alegaciones por parte del Abogado del Estado para fundamentar el mantenimiento de la suspensión de las disposiciones finales segunda y tercera. Por tanto, sin perjuicio de lo que luego se dirá respecto a la disposición final segunda, procede el levantamiento de la suspensión de la disposición final tercera, por cuanto en relación con ella, el Abogado del Estado no mantiene que su entrada en vigor pudiera producir perjuicios a los intereses públicos generales, o de terceros. Tampoco ha formulado alegaciones sobre la disposición final cuarta, si bien en este caso su propio contenido, relativo a la entrada en vigor de la norma al día siguiente de su publicación oficial, hace que no sea posible que este Tribunal resuelva acerca del levantamiento o mantenimiento de la suspensión de una decisión que ya ha agotado sus efectos antes incluso de plantearse el conflicto (en un sentido similar, ATC 54/2015, de 3 de marzo, FJ único).</w:t>
      </w:r>
    </w:p>
    <w:p w:rsidR="006B7292" w:rsidRDefault="006B7292" w:rsidP="006B7292">
      <w:pPr>
        <w:pStyle w:val="TextoNormal"/>
      </w:pPr>
    </w:p>
    <w:p w:rsidR="006B7292" w:rsidRDefault="006B7292" w:rsidP="006B7292">
      <w:pPr>
        <w:pStyle w:val="TextoNormal"/>
      </w:pPr>
      <w:r w:rsidRPr="006B7292">
        <w:rPr>
          <w:rStyle w:val="NumeroAFNegritaCaracter"/>
        </w:rPr>
        <w:t>5</w:t>
      </w:r>
      <w:r>
        <w:t>. Siguiendo el orden de las alegaciones formuladas por el Abogado del Estado comenzaremos la ponderación propia de este incidente con los perjuicios que asocia al levantamiento de la suspensión que pesa sobre los arts. 1, 2 y 3 del Decreto 69/2015.</w:t>
      </w:r>
    </w:p>
    <w:p w:rsidR="006B7292" w:rsidRDefault="006B7292" w:rsidP="006B7292">
      <w:pPr>
        <w:pStyle w:val="TextoNormal"/>
      </w:pPr>
    </w:p>
    <w:p w:rsidR="006B7292" w:rsidRDefault="006B7292" w:rsidP="006B7292">
      <w:pPr>
        <w:pStyle w:val="TextoNormal"/>
      </w:pPr>
      <w:r>
        <w:t>Según ha quedado expuesto en los antecedentes, el Abogado del Estado vincula tales perjuicios a las dificultades para revertir la ordenación misma de la demarcación registral y la competencia territorial de cada registrador en el caso de estimarse el conflicto en este punto, así como a la perturbación que la vigencia de estos preceptos producen en el régimen de provisión de plazas vacantes que resultarían de contenido parcialmente incierto y alterado y, por último a la indeterminación del régimen de sustituciones e interinidades entre los registradores de Cataluña.</w:t>
      </w:r>
    </w:p>
    <w:p w:rsidR="006B7292" w:rsidRDefault="006B7292" w:rsidP="006B7292">
      <w:pPr>
        <w:pStyle w:val="TextoNormal"/>
      </w:pPr>
    </w:p>
    <w:p w:rsidR="006B7292" w:rsidRDefault="006B7292" w:rsidP="006B7292">
      <w:pPr>
        <w:pStyle w:val="TextoNormal"/>
      </w:pPr>
      <w:r>
        <w:t>Por su parte, el Abogado de la Generalitat, en unas alegaciones generales, pero aplicables esencialmente a lo dispuesto en el artículo 1, ha señalado que se trata de unos Registros que, por unas circunstancias u otras, nunca han llegado a operar en la práctica, de manera que los efectos de la suspensión se centran en la declaración de la situación jurídica de los Registros, pues, si se levanta la suspensión deberán considerarse suprimidos, mientras que si se mantiene se tratará de registros creados por el Real Decreto 172/2007, de 9 de febrero, por el que se modifica la demarcación de los Registros de la Propiedad, Mercantiles y de Bienes Muebles, pero cuya provisión ha sido aplazada reiteradamente desde entonces. Razón por la cual estima que los perjuicios que ha de producir el levantamiento de la suspensión no son irreparables.</w:t>
      </w:r>
    </w:p>
    <w:p w:rsidR="006B7292" w:rsidRDefault="006B7292" w:rsidP="006B7292">
      <w:pPr>
        <w:pStyle w:val="TextoNormal"/>
      </w:pPr>
    </w:p>
    <w:p w:rsidR="006B7292" w:rsidRDefault="006B7292" w:rsidP="006B7292">
      <w:pPr>
        <w:pStyle w:val="TextoNormal"/>
      </w:pPr>
      <w:r>
        <w:t>En la ponderación que se nos demanda debemos tener presente que el Real Decreto 172/2007 realizó en su momento una amplia reordenación de la demarcación registral en toda España, que implicó, entre otras cosas, la creación de nuevos Registros de la Propiedad y Mercantiles, cuya ejecución en Cataluña tuvo lugar en los términos de las sucesivas órdenes dictadas al efecto, al amparo de la competencia ejecutiva del art. 147.1 c) del Estatuto de Autonomía de Cataluña (STC 31/2010, de 28 de junio, FJ 90), órdenes que, en relación a determinados Registros, disponen, el aplazamiento de la ejecución y efectividad de la demarcación registral establecida en el mencionado Real Decreto 172/2007.</w:t>
      </w:r>
    </w:p>
    <w:p w:rsidR="006B7292" w:rsidRDefault="006B7292" w:rsidP="006B7292">
      <w:pPr>
        <w:pStyle w:val="TextoNormal"/>
      </w:pPr>
    </w:p>
    <w:p w:rsidR="006B7292" w:rsidRDefault="006B7292" w:rsidP="006B7292">
      <w:pPr>
        <w:pStyle w:val="TextoNormal"/>
      </w:pPr>
      <w:r>
        <w:t>Señalado lo anterior, la ponderación que se nos exige conduce al mantenimiento de la suspensión inicialmente adoptada. Como señala el Abogado del Estado, no puede obviarse que si se aplicasen las previsiones de los artículos 1, 2 y 3, acerca de la supresión y reagrupación de Registros, modificación territorial de distritos hipotecarios y criterios de demarcación de los registros, serían notables los perjuicios derivados de la consolidación de situaciones jurídicas difíciles de reparar, con la consiguiente necesidad de removerlas, si, en su momento, llegara a apreciarse la inconstitucionalidad de los mismos (así, en los AATC 114/2011, de 19 de julio, FJ 6; y 208/1991, de 2 de julio, FJ 3). En efecto, si se alza la suspensión, los efectos de la alteración de la situación jurídica de los Registros afectados, derivados de la vigencia de los preceptos que examinamos, no pueden calificarse de irrelevantes en la medida en que el levantamiento de la suspensión determina la supresión y modificación de Registros y demarcaciones que, caso de estimarse el conflicto, deberían ser recreadas o corregidas para ajustarlas a lo previsto en el Real Decreto 172/2007. Pese a lo que parece sostener de contrario el Abogado de la Generalitat de Cataluña, específicamente respecto al artículo 1, desde el punto de vista de la reversión de las situaciones creadas, no es lo mismo, el que, por diversas razones coyunturales que ahora no vienen al caso, se encuentre aplazada la cobertura de determinadas plazas, con que dichas plazas, creadas en su momento por el Real Decreto 172/2007, hayan, simplemente, dejado de existir. Por el contrario, los efectos del mantenimiento de la suspensión, serían de menor entidad y más fácilmente reparables aunque posteriormente se declarara la constitucionalidad de las normas impugnadas.</w:t>
      </w:r>
    </w:p>
    <w:p w:rsidR="006B7292" w:rsidRDefault="006B7292" w:rsidP="006B7292">
      <w:pPr>
        <w:pStyle w:val="TextoNormal"/>
      </w:pPr>
    </w:p>
    <w:p w:rsidR="006B7292" w:rsidRDefault="006B7292" w:rsidP="006B7292">
      <w:pPr>
        <w:pStyle w:val="TextoNormal"/>
      </w:pPr>
      <w:r>
        <w:t xml:space="preserve">A la misma conclusión conduce, por lo demás, la ponderación de los perjuicios asociados con la alteración que los preceptos ahora suspendidos podrían producir en el régimen de concursos y de sustituciones e interinidades de los registradores en Cataluña. Lo cierto es que se verían notablemente afectadas por la dificultad de revertir las consecuencias de la aplicación de estos preceptos, caso de que fueran declarados contrarios al orden competencial y, por tanto, inconstitucionales (en un sentido similar AATC 161/2012, de 13 de septiembre, FJ 3; y 87/2012, de 10 de mayo, FJ 3). Y ello pese a que no puede estimarse el perjuicio vinculado a la aplicación de los arts. 19 </w:t>
      </w:r>
      <w:r w:rsidRPr="006B7292">
        <w:rPr>
          <w:i/>
        </w:rPr>
        <w:t>bis</w:t>
      </w:r>
      <w:r>
        <w:t xml:space="preserve"> y 275 </w:t>
      </w:r>
      <w:r w:rsidRPr="006B7292">
        <w:rPr>
          <w:i/>
        </w:rPr>
        <w:t>bis</w:t>
      </w:r>
      <w:r>
        <w:t xml:space="preserve"> de la Ley hipotecaria, pues en ningún caso la aplicación de la norma pondría en cuestión el derecho de los interesados contemplado en dichos preceptos, en la medida en que no se pone en cuestión el derecho a solicitar una nueva calificación en caso de que la inicial fuera negativa.</w:t>
      </w:r>
    </w:p>
    <w:p w:rsidR="006B7292" w:rsidRDefault="006B7292" w:rsidP="006B7292">
      <w:pPr>
        <w:pStyle w:val="TextoNormal"/>
      </w:pPr>
    </w:p>
    <w:p w:rsidR="006B7292" w:rsidRDefault="006B7292" w:rsidP="006B7292">
      <w:pPr>
        <w:pStyle w:val="TextoNormal"/>
      </w:pPr>
      <w:r>
        <w:t>Añádase a lo anterior, por último, que, según expone el Abogado de la Generalitat de Cataluña, la suspensión del Decreto 69/2015 no ha tenido repercusiones de orden práctico en el funcionamiento de los Registros de Cataluña que hayan perjudicado el servicio público prestado a los ciudadanos, ni alterado la situación de hecho previamente existente, de modo que el mantenimiento de la suspensión no perjudica en exceso a los intereses a cuyos fines sirven las normas controvertidas. Por tanto, desde el punto de vista del juicio de proporcionalidad inherente a la ponderación sobre la procedencia del mantenimiento de una medida de suspensión acordada al amparo del art. 161.2 CE, y en relación con los intereses aducidos por la representación procesal de la Generalitat de Cataluña, no se puede calificar de excesivo o desproporcionado mantener la suspensión.</w:t>
      </w:r>
    </w:p>
    <w:p w:rsidR="006B7292" w:rsidRDefault="006B7292" w:rsidP="006B7292">
      <w:pPr>
        <w:pStyle w:val="TextoNormal"/>
      </w:pPr>
    </w:p>
    <w:p w:rsidR="006B7292" w:rsidRDefault="006B7292" w:rsidP="006B7292">
      <w:pPr>
        <w:pStyle w:val="TextoNormal"/>
      </w:pPr>
      <w:r>
        <w:t>Una vez ponderados los hechos e intereses en presencia, procede concluir que los posibles perjuicios a los intereses generales derivados del levantamiento de la suspensión de los arts. 1, 2 y 3 del Decreto 69/2015 son suficientes para que este Tribunal Constitucional se pronuncie a favor del mantenimiento de la suspensión en su día acordada en fase cautelar y aún sin anticipar la resolución de fondo que en su día resulte procedente. Esta decisión implica también el mantenimiento de la suspensión del segundo párrafo de la disposición adicional primera, de las disposiciones adicionales segunda y tercera, de la disposición transitoria y de la disposición final segunda, salvo su primer inciso, en cuanto que todas ellas, de un modo u otro, tienen una relación instrumental con los preceptos ahora suspendidos [AATC 88/2013, de 23 de abril, FJ 4; 114/2014, de 8 de abril, FJ 9, y 124/2013, de 21 de mayo, FJ 4 c)].</w:t>
      </w:r>
    </w:p>
    <w:p w:rsidR="006B7292" w:rsidRDefault="006B7292" w:rsidP="006B7292">
      <w:pPr>
        <w:pStyle w:val="TextoNormal"/>
      </w:pPr>
    </w:p>
    <w:p w:rsidR="006B7292" w:rsidRDefault="006B7292" w:rsidP="006B7292">
      <w:pPr>
        <w:pStyle w:val="TextoNormal"/>
      </w:pPr>
      <w:r w:rsidRPr="006B7292">
        <w:rPr>
          <w:rStyle w:val="NumeroAFNegritaCaracter"/>
        </w:rPr>
        <w:t>6</w:t>
      </w:r>
      <w:r>
        <w:t>. Resta examinar los perjuicios que el Abogado del Estado vincula a la vigencia del primer párrafo de la disposición adicional primera y de la disposición final primera del Decreto 69/2015, sobre los que también ha formulado alegaciones.</w:t>
      </w:r>
    </w:p>
    <w:p w:rsidR="006B7292" w:rsidRDefault="006B7292" w:rsidP="006B7292">
      <w:pPr>
        <w:pStyle w:val="TextoNormal"/>
      </w:pPr>
    </w:p>
    <w:p w:rsidR="006B7292" w:rsidRDefault="006B7292" w:rsidP="006B7292">
      <w:pPr>
        <w:pStyle w:val="TextoNormal"/>
      </w:pPr>
      <w:r>
        <w:t>En cuanto a la posibilidad a la que alude el primer párrafo de la disposición adicional primera de que el Consejero pueda acordar, a propuesta de la Dirección General de Derecho y Entidades Jurídicas, que el registrador o los registradores en división personal instalen, en el término municipal que se señale, una oficina abierta al público, el Abogado del Estado considera que producirá un perjuicio económico para el registrador afectado, a lo que añade que esta posibilidad no está regulada por el competente para ello que sería el Estado, conforme al art. 149.1.18 CE.</w:t>
      </w:r>
    </w:p>
    <w:p w:rsidR="006B7292" w:rsidRDefault="006B7292" w:rsidP="006B7292">
      <w:pPr>
        <w:pStyle w:val="TextoNormal"/>
      </w:pPr>
    </w:p>
    <w:p w:rsidR="006B7292" w:rsidRDefault="006B7292" w:rsidP="006B7292">
      <w:pPr>
        <w:pStyle w:val="TextoNormal"/>
      </w:pPr>
      <w:r>
        <w:t>Ambos perjuicios carecen de la consistencia suficiente para justificar el mantenimiento de la suspensión de este primer párrafo, pues debe partirse de la existencia de una presunción de constitucionalidad a favor de las normas en conflicto, de manera que no basta con invocar la existencia de perjuicios, sino que es necesario demostrar o, al menos razonar consistentemente sobre su procedencia. No se alega la existencia de un perjuicio verdaderamente irreparable o de muy difícil reparación, pues, en todo caso, los perjuicios a los intereses del registrador que se mencionan son, además de hipotéticos, en cuanto dependientes de una decisión que no se ha producido, de carácter patrimonial y, por tanto, susceptibles de reparación, ya que, en caso de que el precepto fuera en su día declarado inconstitucional, los —en este momento eventuales— perjuicios serían susceptibles de ser evaluados y, en su caso, indemnizados. Igualmente hay que descartar el alegato relativo a la falta de cobertura competencial de la norma cuestionada, pues se trata de una cuestión vinculada a la pretensión de fondo de este proceso constitucional, cuando lo jurídicamente relevante en este momento procesal es la determinación de las consecuencias que podrían derivarse del alzamiento o mantenimiento de la suspensión. En efecto, las divergencias de carácter competencial no pueden, por ese solo hecho, llevar irremisiblemente en los procesos en los que se ventilen cuestiones de este tipo a la suspensión de la norma autonómica, pues ello conduciría siempre al mantenimiento de la suspensión de las normas autonómicas impugnadas (ATC 107/2011, de 5 de julio, FJ 4).</w:t>
      </w:r>
    </w:p>
    <w:p w:rsidR="006B7292" w:rsidRDefault="006B7292" w:rsidP="006B7292">
      <w:pPr>
        <w:pStyle w:val="TextoNormal"/>
      </w:pPr>
    </w:p>
    <w:p w:rsidR="006B7292" w:rsidRDefault="006B7292" w:rsidP="006B7292">
      <w:pPr>
        <w:pStyle w:val="TextoNormal"/>
      </w:pPr>
      <w:r>
        <w:t>En cuanto a la disposición final primera, el Abogado del Estado se limita a señalar que el criterio objetivo para fijar agrupaciones personales en relación con los Registros ha de ser determinado por el Estado, estimando que los Registradores afectados verían su situación estatutaria vulnerada por quien carece de competencia para ello, con perjuicios económicos de difícil restauración. Formulados también de manera genérica se trata, una vez más, en realidad de consideraciones sobre el fondo del asunto ajenas al presente incidente, o de perjuicios patrimoniales simplemente enunciados, lo que conduce al levantamiento de la suspensión.</w:t>
      </w:r>
    </w:p>
    <w:p w:rsidR="006B7292" w:rsidRDefault="006B7292" w:rsidP="006B7292">
      <w:pPr>
        <w:pStyle w:val="TextoNormal"/>
      </w:pPr>
    </w:p>
    <w:p w:rsidR="006B7292" w:rsidRDefault="006B7292" w:rsidP="006B7292">
      <w:pPr>
        <w:pStyle w:val="TextoNormal"/>
      </w:pPr>
      <w:r>
        <w:t>Junto a ellos procede el levantamiento de la suspensión del primer inciso de la disposición final segunda (“Se autoriza al consejero o consejera competente en materia de notarías y registros públicos de la propiedad, mercantiles y de bienes muebles a dictar las normas que sean necesarias para interpretar y ejecutar este Decreto”), en cuanto que guarda relación con los preceptos cuya suspensión hemos levantado en la presente resolución.</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a) Declarar la desaparición sobrevenida del objeto del incidente sobre el mantenimiento o levantamiento de la suspensión de la disposición final cuarta del Decreto de la Generalitat de Cataluña 69/2015, de 5 de mayo, por el que se modifica la demarcación de los registros de la propiedad, mercantiles y de bienes muebles de Cataluña.</w:t>
      </w:r>
    </w:p>
    <w:p w:rsidR="006B7292" w:rsidRDefault="006B7292" w:rsidP="006B7292">
      <w:pPr>
        <w:pStyle w:val="TextoNormal"/>
      </w:pPr>
    </w:p>
    <w:p w:rsidR="006B7292" w:rsidRDefault="006B7292" w:rsidP="006B7292">
      <w:pPr>
        <w:pStyle w:val="TextoNormal"/>
      </w:pPr>
      <w:r>
        <w:t>b) Mantener la suspensión de los arts. 1, 2 y 3 y del segundo párrafo de la disposición adicional primera, de las disposiciones adicionales segunda y tercera, de la disposición transitoria y de la disposición final segunda, salvo su primer inciso, del Decreto de la Generalitat de Cataluña 69/2015, de 5 de mayo, por el que se modifica la demarcación de los registros de la propiedad, mercantiles y de bienes muebles de Cataluña.</w:t>
      </w:r>
    </w:p>
    <w:p w:rsidR="006B7292" w:rsidRDefault="006B7292" w:rsidP="006B7292">
      <w:pPr>
        <w:pStyle w:val="TextoNormal"/>
      </w:pPr>
    </w:p>
    <w:p w:rsidR="006B7292" w:rsidRDefault="006B7292" w:rsidP="006B7292">
      <w:pPr>
        <w:pStyle w:val="TextoNormal"/>
      </w:pPr>
      <w:r>
        <w:t>c) Levantar la suspensión del primer párrafo de la disposición adicional primera, de la disposición final primera, del inciso inicial de la disposición final segunda (“se autoriza al consejero o consejera competente en materia de notarías y registros públicos de la propiedad, mercantiles y de bienes muebles a dictar las normas que sean necesarias para interpretar y ejecutar este Decreto”) y de la disposición final tercera del Decreto de la Generalitat de Cataluña 69/2015, de 5 de mayo, por el que se modifica la demarcación de los registros de la propiedad, mercantiles y de bienes muebles de Cataluña.</w:t>
      </w:r>
    </w:p>
    <w:p w:rsidR="006B7292" w:rsidRDefault="006B7292" w:rsidP="006B7292">
      <w:pPr>
        <w:pStyle w:val="TextoNormal"/>
      </w:pPr>
    </w:p>
    <w:p w:rsidR="006B7292" w:rsidRDefault="006B7292" w:rsidP="006B7292">
      <w:pPr>
        <w:pStyle w:val="TextoNormal"/>
      </w:pPr>
      <w:r>
        <w:t>Madrid, a tres de noviembre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00" w:name="AUTO_2015_186"/>
      <w:r>
        <w:t>AUTO 186/2015, de 3 de noviembre de 2015</w:t>
      </w:r>
    </w:p>
    <w:bookmarkEnd w:id="200"/>
    <w:p w:rsidR="006B7292" w:rsidRDefault="006B7292" w:rsidP="006B7292">
      <w:pPr>
        <w:pStyle w:val="TtuloResolucin"/>
      </w:pPr>
      <w:r>
        <w:t>Pleno</w:t>
      </w:r>
    </w:p>
    <w:p w:rsidR="006B7292" w:rsidRDefault="006B7292" w:rsidP="006B7292">
      <w:pPr>
        <w:pStyle w:val="TextoNormalCentrado"/>
      </w:pPr>
      <w:r>
        <w:t>ECLI:ES:TC:2015:186A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Mantiene la suspensión acordada en el conflicto positivo de competencia 3808-2015, interpuesto por el Abogado del Estado en relación con el Decreto de la Generalitat de Cataluña 16/2015, de 24 de febrero, por el que se crea el Comisionado para la Transición Nacional.</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Por escrito registrado en el Tribunal Constitucional el 26 de junio de 2015, el Abogado del Estado, en la representación que ostenta, promueve conflicto positivo de competencia contra el Decreto de la Generalitat de Cataluña 16/2015, de 24 de febrero, por el que se crea el Comisionado para la Transición Nacional (publicado en el “Diario Oficial de la Generalitat de Cataluña”, de 26 de febrero de 2015); y contra los denominados respectivamente plan ejecutivo para la preparación de las estructuras de Estado y plan de infraestructuras estratégicas; y contra las previsiones y las actuaciones desarrolladas en aplicación o al amparo de dicho Decreto o de los referidos planes o coincidentes con su finalidad.</w:t>
      </w:r>
    </w:p>
    <w:p w:rsidR="006B7292" w:rsidRDefault="006B7292" w:rsidP="006B7292">
      <w:pPr>
        <w:pStyle w:val="TextoNormal"/>
      </w:pPr>
    </w:p>
    <w:p w:rsidR="006B7292" w:rsidRDefault="006B7292" w:rsidP="006B7292">
      <w:pPr>
        <w:pStyle w:val="TextoNormal"/>
      </w:pPr>
      <w:r>
        <w:t>El Abogado del Estado invocó el art. 161.2 CE y el art. 64.2 de la Ley Orgánica del Tribunal Constitucional (LOTC) a fin de que se produzca la suspensión de la aplicación de las disposiciones y actuaciones impugnadas.</w:t>
      </w:r>
    </w:p>
    <w:p w:rsidR="006B7292" w:rsidRDefault="006B7292" w:rsidP="006B7292">
      <w:pPr>
        <w:pStyle w:val="TextoNormal"/>
      </w:pPr>
    </w:p>
    <w:p w:rsidR="006B7292" w:rsidRDefault="006B7292" w:rsidP="006B7292">
      <w:pPr>
        <w:pStyle w:val="TextoNormal"/>
      </w:pPr>
      <w:r w:rsidRPr="006B7292">
        <w:rPr>
          <w:rStyle w:val="NumeroAFNegritaCaracter"/>
        </w:rPr>
        <w:t>2</w:t>
      </w:r>
      <w:r>
        <w:t>. Por providencia de 7 de julio de 2015, el Pleno del Tribunal Constitucional, a propuesta de la Sección Segunda, acordó admitir a trámite el conflicto positivo de competencia y dar traslado de la demanda y documentos presentados al Gobierno de la Generalitat de Cataluña, por conducto de su Presidente, al objeto de que, en el plazo de veinte días y, por medio de la representación procesal que determina el art. 82.2 LOTC, aportase cuantos documentos y alegaciones considerase convenientes. Asimismo, se tuvo por invocado por el Gobierno el art. 161.2 CE, lo que, a su tenor y conforme dispone el art. 64.2 LOTC, produce la suspensión de la vigencia y aplicación de las disposiciones y actuaciones impugnadas desde el día 26 de junio de 2015, fecha de interposición del conflicto, lo que se comunicó al Presidente del Gobierno de la Generalitat de Cataluña. Igualmente, se acordó comunicar la interposición del presente conflicto a la Sala de lo Contencioso-Administrativo del Tribunal Superior de Justicia de Cataluña por si ante la misma estuviere impugnado o se impugnasen las citadas disposiciones y actuaciones, en cuyo caso se suspenderá el curso del proceso hasta la decisión del conflicto, según dispone el art. 61.2 LOTC, así como publicar la incoación del conflicto en el “Boletín Oficial del Estado” y en el “Diari Oficial de la Generalitat de Cataluña”.</w:t>
      </w:r>
    </w:p>
    <w:p w:rsidR="006B7292" w:rsidRDefault="006B7292" w:rsidP="006B7292">
      <w:pPr>
        <w:pStyle w:val="TextoNormal"/>
      </w:pPr>
    </w:p>
    <w:p w:rsidR="006B7292" w:rsidRDefault="006B7292" w:rsidP="006B7292">
      <w:pPr>
        <w:pStyle w:val="TextoNormal"/>
      </w:pPr>
      <w:r w:rsidRPr="006B7292">
        <w:rPr>
          <w:rStyle w:val="NumeroAFNegritaCaracter"/>
        </w:rPr>
        <w:t>3</w:t>
      </w:r>
      <w:r>
        <w:t>. Mediante escrito registrado el 3 de agosto de 2015, el Abogado de la Generalitat de Cataluña, en nombre y representación del Gobierno de la Generalitat, presenta sus alegaciones frente a la demanda que plantea el conflicto positivo de competencia solicitando se dicte Sentencia en la que se desestime el conflicto positivo de competencia planteado y se declare que la competencia controvertida corresponde a la Generalitat de Cataluña y, mediante otrosí, solicita el levantamiento inmediato de la suspensión de vigencia de las disposiciones y actuaciones impugnadas.</w:t>
      </w:r>
    </w:p>
    <w:p w:rsidR="006B7292" w:rsidRDefault="006B7292" w:rsidP="006B7292">
      <w:pPr>
        <w:pStyle w:val="TextoNormal"/>
      </w:pPr>
    </w:p>
    <w:p w:rsidR="006B7292" w:rsidRDefault="006B7292" w:rsidP="006B7292">
      <w:pPr>
        <w:pStyle w:val="TextoNormal"/>
      </w:pPr>
      <w:r>
        <w:t>Dejando a un lado, en este momento procesal, las alegaciones relativas a la oposición a la demanda que plantea el conflicto de competencia, el Gobierno de la Generalitat de Cataluña comienza recordando la consolidada doctrina constitucional tanto sobre la posibilidad de levantamiento anticipado de la suspensión, como sobre los criterios a considerar para levantar o mantener la misma y justifica su petición de levantamiento de la suspensión en que no produciría perjuicios ni daría lugar a situaciones consolidadas e irreversibles. En este sentido se afirma que el Decreto 16/2015 es una norma organizativa de la Administración de la propia Generalitat de Cataluña, que encomienda al Comisionado para la transición nacional, las funciones de preparación, propuesta, impulso y coordinación de las medidas y actuaciones preparatorias, de planificación, de implementación y de seguimiento de la creación de las estructuras de Estado. En el desempeño de sus funciones, el Comisionado habrá de identificar unas actuaciones preparatorias de futuras medidas del llamado proceso de transición nacional, en el marco de la legalidad vigente, y ha de programar los estadios de su implementación. Además, ha de planificar, impulsar y coordinar las actuaciones que deberán llevar a cabo las unidades administrativas de la Generalitat durante los procesos preparatorio y de implementación y ha de seguir el cumplimiento de la programación establecida informando al Consejero de la Presidencia y elaborando un informe sobre el balance del proceso de implementación de las estructuras de Estado.</w:t>
      </w:r>
    </w:p>
    <w:p w:rsidR="006B7292" w:rsidRDefault="006B7292" w:rsidP="006B7292">
      <w:pPr>
        <w:pStyle w:val="TextoNormal"/>
      </w:pPr>
    </w:p>
    <w:p w:rsidR="006B7292" w:rsidRDefault="006B7292" w:rsidP="006B7292">
      <w:pPr>
        <w:pStyle w:val="TextoNormal"/>
      </w:pPr>
      <w:r>
        <w:t>Se aduce que el Comisionado no aprueba normas jurídicas, ni planes ejecutivos, ni lleva a cabo actuaciones con eficacia jurídica frente a terceros, sino que se limita a prever y programar las futuras actuaciones que, en su caso, se hayan de llevar a cabo en el proceso de transición nacional, y cuando proceda hacer su seguimiento e informar de ellas. A ello se añade que el Decreto 16/2015, en su artículo 2 a) determina que el ejercicio de sus actuaciones se inscribirá en el “marco de la legalidad vigente”. En consecuencia, según sostiene la Generalitat, no cabe presumir, en contra de la dicción propia de esta norma, que el Comisionado vaya a actuar al margen del orden constitucional establecido, ni que de su actuación vayan a resultar perjuicios para el interés general. En este sentido, alega el Abogado de la Generalitat que desde el día 26 de febrero de 2015, fecha de entrada en vigor del Decreto 16/2015 de creación del Comisionado y de su nombramiento, hasta el día 26 de junio de 2015, fecha en que se produjeron los efectos suspensivos por la presentación de este conflicto con invocación del art. 161.2 CE, el Comisionado ha estado desempeñando su labor, sin que ello haya generado efecto jurídico, perturbación ni menoscabo alguno, al pacífico y diario ejercicio por la Administración del Estado en Cataluña de las competencias que les son propias.</w:t>
      </w:r>
    </w:p>
    <w:p w:rsidR="006B7292" w:rsidRDefault="006B7292" w:rsidP="006B7292">
      <w:pPr>
        <w:pStyle w:val="TextoNormal"/>
      </w:pPr>
    </w:p>
    <w:p w:rsidR="006B7292" w:rsidRDefault="006B7292" w:rsidP="006B7292">
      <w:pPr>
        <w:pStyle w:val="TextoNormal"/>
      </w:pPr>
      <w:r>
        <w:t>En relación con el plan ejecutivo de las estructuras de Estado, afirma el Abogado de la Generalitat que no tiene eficacia jurídica, son simples estudios y previsiones de futuro sobre el impulso y posible desarrollo de la hacienda propia o relativo al diseño de una futura Administración y tesorería de la seguridad social catalana, que no han sido siquiera aprobados como proyectos, puesto que se hallan en preparación, y sus previsiones y las actuaciones en aplicación de los mismos que, en su caso puedan llevarse a cabo en su día para darles efectividad, no son otra cosa que meras hipótesis de futuro, sujetas a la condición de que llegasen a producirse los escenarios y los marcos constitucionales y legales que los hagan viables.</w:t>
      </w:r>
    </w:p>
    <w:p w:rsidR="006B7292" w:rsidRDefault="006B7292" w:rsidP="006B7292">
      <w:pPr>
        <w:pStyle w:val="TextoNormal"/>
      </w:pPr>
    </w:p>
    <w:p w:rsidR="006B7292" w:rsidRDefault="006B7292" w:rsidP="006B7292">
      <w:pPr>
        <w:pStyle w:val="TextoNormal"/>
      </w:pPr>
      <w:r>
        <w:t>A su vez, considera que las previsiones de impulso al desarrollo de la hacienda propia no es más que una programación indicativa interna para la organización de los propios servicios de la Administración de la Generalitat, la realización de estudios y la preparación de anteproyectos normativos, por lo que en nada altera la legislación tributaria vigente. Que prevea una eventual asunción de nuevas funciones y competencias tributarias, no es más que una previsión de futuro, sometida a la condición de que efectivamente ese incremento del acervo competencial de la Generalitat llegue a producirse.</w:t>
      </w:r>
    </w:p>
    <w:p w:rsidR="006B7292" w:rsidRDefault="006B7292" w:rsidP="006B7292">
      <w:pPr>
        <w:pStyle w:val="TextoNormal"/>
      </w:pPr>
    </w:p>
    <w:p w:rsidR="006B7292" w:rsidRDefault="006B7292" w:rsidP="006B7292">
      <w:pPr>
        <w:pStyle w:val="TextoNormal"/>
      </w:pPr>
      <w:r>
        <w:t>De igual modo, entiende que el plan y diseño de la Administración y la Tesorería de la Seguridad Social catalana, es una pura preparación de un modelo teórico y de la programación indicativa interna de la Administración de la Generalitat para, en su caso, poderla llevar a efecto, si encontrase cobertura en otro marco constitucional distinto.</w:t>
      </w:r>
    </w:p>
    <w:p w:rsidR="006B7292" w:rsidRDefault="006B7292" w:rsidP="006B7292">
      <w:pPr>
        <w:pStyle w:val="TextoNormal"/>
      </w:pPr>
    </w:p>
    <w:p w:rsidR="006B7292" w:rsidRDefault="006B7292" w:rsidP="006B7292">
      <w:pPr>
        <w:pStyle w:val="TextoNormal"/>
      </w:pPr>
      <w:r>
        <w:t>Por su parte, el plan de infraestructuras estratégicas ni tiene carácter vinculante ni eficacia jurídica para terceros ajenos al Gobierno y a la Administración de la Generalitat, por lo que difícilmente cabe imaginar que su preparación y sus previsiones vayan a generar perjuicio alguno para el interés general, y menos de carácter irreversible puesto que su contenido son meras previsiones de futuro sin eficacia presente o actual.</w:t>
      </w:r>
    </w:p>
    <w:p w:rsidR="006B7292" w:rsidRDefault="006B7292" w:rsidP="006B7292">
      <w:pPr>
        <w:pStyle w:val="TextoNormal"/>
      </w:pPr>
    </w:p>
    <w:p w:rsidR="006B7292" w:rsidRDefault="006B7292" w:rsidP="006B7292">
      <w:pPr>
        <w:pStyle w:val="TextoNormal"/>
      </w:pPr>
      <w:r>
        <w:t>En conclusión se alega que si se levanta la suspensión del Decreto y de las previsiones relativas a dichos planes y actuaciones, su efecto será únicamente el de restaurar la vigencia de la figura del Comisionado para la Transición Nacional, que podrá seguir con el desempeño de sus funciones y preparar los estudios y propuestas relativos a los planes y sus previsiones que, en su caso, el Gobierno de la Generalitat podrá en su día asumir para aprobar proyectos normativos que habrán de seguir para su aprobación los cauces y procedimientos previstos en el ordenamiento vigente. En ninguno de estos casos se puede producir un perjuicio para el interés general, y si se produce, estos no serían actuales ni presentes por lo que resulta de aplicación la doctrina de este Tribunal sobre que la mera invocación de perjuicios hipotéticos o futuros en modo alguno puede justificar el mantenimiento de la suspensión. En todo caso, no cabe predicar que lleguen a producirse situaciones irreversibles de hecho o de derecho, que pudieran dejar sin objeto el proceso de inconstitucionalidad planteado. Si los estudios, planes, anteproyectos o propuestas normativas previstos, se preparasen y llegasen algún día a traducirse en normas o actos con eficacia jurídica, podrían a su vez ser objeto de controles de constitucionalidad y de legalidad.</w:t>
      </w:r>
    </w:p>
    <w:p w:rsidR="006B7292" w:rsidRDefault="006B7292" w:rsidP="006B7292">
      <w:pPr>
        <w:pStyle w:val="TextoNormal"/>
      </w:pPr>
    </w:p>
    <w:p w:rsidR="006B7292" w:rsidRDefault="006B7292" w:rsidP="006B7292">
      <w:pPr>
        <w:pStyle w:val="TextoNormal"/>
      </w:pPr>
      <w:r>
        <w:t>Por el contrario, el mantenimiento de la suspensión provocaría perjuicios de carácter irreversible y no reparable al suspender la efectividad del Comisionado para la Transición Nacional, así como las actuaciones dirigidas a la preparación de los planes, bloqueando el normal desarrollo de la labor de estudio y confección de esos instrumentos para la mejora de los servicios prestados por la Administración de la Generalitat de Catalunya y la preparación, en su caso, de proyectos normativos que una vez vehiculados y aprobados por los procedimientos que resulten adecuados, permitan acoger en un nuevo marco normativo y constitucional las aspiraciones de incrementar la capacidad de autogobierno de la Generalitat que en Catalunya demanda una parte tan significativa de sus ciudadanos.</w:t>
      </w:r>
    </w:p>
    <w:p w:rsidR="006B7292" w:rsidRDefault="006B7292" w:rsidP="006B7292">
      <w:pPr>
        <w:pStyle w:val="TextoNormal"/>
      </w:pPr>
    </w:p>
    <w:p w:rsidR="006B7292" w:rsidRDefault="006B7292" w:rsidP="006B7292">
      <w:pPr>
        <w:pStyle w:val="TextoNormal"/>
      </w:pPr>
      <w:r>
        <w:t>Afirma el Abogado de la Generalitat que la historia ha demostrado que no hay norma jurídica que resista inmutable a los cambios que la evolución social requiere, y remitiéndose a la contestación a la demanda señala que, si el actual tenor del título X de la Constitución Española se interpretase en el sentido de que impide la preparación previa de una iniciativa de reforma o de revisión constitucional, resultaría materialmente inviable el procedimiento de reforma que la propia Constitución ha previsto. Por tanto, todo sujeto legitimado por los arts. 166 y 87.1 y 2 de la Constitución para ejercer la iniciativa de reforma constitucional, también la Generalitat de Cataluña, han de poder prepararla antes de, en su caso, llegar a formalizarla.</w:t>
      </w:r>
    </w:p>
    <w:p w:rsidR="006B7292" w:rsidRDefault="006B7292" w:rsidP="006B7292">
      <w:pPr>
        <w:pStyle w:val="TextoNormal"/>
      </w:pPr>
    </w:p>
    <w:p w:rsidR="006B7292" w:rsidRDefault="006B7292" w:rsidP="006B7292">
      <w:pPr>
        <w:pStyle w:val="TextoNormal"/>
      </w:pPr>
      <w:r w:rsidRPr="006B7292">
        <w:rPr>
          <w:rStyle w:val="NumeroAFNegritaCaracter"/>
        </w:rPr>
        <w:t>4</w:t>
      </w:r>
      <w:r>
        <w:t>. Por providencia de 1 de septiembre de 2015 el Pleno del Tribunal acordó incorporar a los autos el escrito de alegaciones que formula el Abogado de la Generalitat, en representación de su Gobierno, y en cuanto a la solicitud que formula en el otrosí sobre el levantamiento de la suspensión de las disposiciones y actuaciones objeto del conflicto, oír al Abogado del Estado, para que, en el plazo de cinco días, exponga lo que estimen procedente sobre el levantamiento o mantenimiento de dicha suspensión.</w:t>
      </w:r>
    </w:p>
    <w:p w:rsidR="006B7292" w:rsidRDefault="006B7292" w:rsidP="006B7292">
      <w:pPr>
        <w:pStyle w:val="TextoNormal"/>
      </w:pPr>
    </w:p>
    <w:p w:rsidR="006B7292" w:rsidRDefault="006B7292" w:rsidP="006B7292">
      <w:pPr>
        <w:pStyle w:val="TextoNormal"/>
      </w:pPr>
      <w:r w:rsidRPr="006B7292">
        <w:rPr>
          <w:rStyle w:val="NumeroAFNegritaCaracter"/>
        </w:rPr>
        <w:t>5</w:t>
      </w:r>
      <w:r>
        <w:t>. El Abogado del Estado, mediante escrito registrado en este Tribunal el 9 de septiembre de 2015, formuló sus alegaciones interesando el mantenimiento de la suspensión, por los motivos que, sintéticamente, se exponen a continuación.</w:t>
      </w:r>
    </w:p>
    <w:p w:rsidR="006B7292" w:rsidRDefault="006B7292" w:rsidP="006B7292">
      <w:pPr>
        <w:pStyle w:val="TextoNormal"/>
      </w:pPr>
    </w:p>
    <w:p w:rsidR="006B7292" w:rsidRDefault="006B7292" w:rsidP="006B7292">
      <w:pPr>
        <w:pStyle w:val="TextoNormal"/>
      </w:pPr>
      <w:r>
        <w:t>Comienza el Abogado del Estado recordando la doctrina constitucional sobre la resolución de este tipo de incidentes para, a continuación, exponer la relación entre el objeto del presente conflicto de competencia, que se concreta en el Decreto de la Generalitat de Cataluña 16/2015, de 24 de febrero, por el que se crea el Comisionado para la Transición Nacional y en un conjunto de actuaciones contenidas en el plan ejecutivo para la preparación de las estructuras de Estado y plan de infraestructuras estratégicas, y las disposiciones adicionales vigesimosegunda a vigesimosexta de la Ley del Parlamento de Cataluña 3/2015, de 11 de marzo, de medidas fiscales, financieras y administrativas, impugnadas en el recurso de inconstitucionalidad núm. 3493-2015. Dichas disposiciones adicionales contienen la elaboración de dos planes directores, uno sobre la Administración Tributaria de Cataluña (disposición adicional vigesimosegunda) y otro sobre los sectores de la energía, telecomunicaciones, sistemas de información y de transporte ferroviario (disposición adicional vigesimosexta), que deben incluir una propuesta normativa, y deberán prever “una eventual asunción de nuevas funciones y competencias”. Asimismo, incluyen la elaboración de un anteproyecto de ley de creación de la Agencia Catalana de la Protección Social que “deberá prever la asunción de las competencias que en el momento de entrada en vigor de esta Ley ejerce la Administración del Estado” (disposición adicional vigesimoquinta); la elaboración de un inventario del patrimonio de las administraciones públicas de Cataluña y su valoración (disposición adicional vigesimotercera); y la elaboración de un catálogo de infraestructuras estratégicas y la creación de una comisión interdepartamental “que desarrolle las medidas oportunas para garantizar la continuidad del servicio y el funcionamiento de las infraestructuras estratégicas de Cataluña” (disposición adicional vigesimocuarta).</w:t>
      </w:r>
    </w:p>
    <w:p w:rsidR="006B7292" w:rsidRDefault="006B7292" w:rsidP="006B7292">
      <w:pPr>
        <w:pStyle w:val="TextoNormal"/>
      </w:pPr>
    </w:p>
    <w:p w:rsidR="006B7292" w:rsidRDefault="006B7292" w:rsidP="006B7292">
      <w:pPr>
        <w:pStyle w:val="TextoNormal"/>
      </w:pPr>
      <w:r>
        <w:t>Estas disposiciones, Ley de medidas y el Decreto por el que se crea el Comisionado para la Transición Nacional, además de los planes publicados en la página web de la Generalitat y las declaraciones públicas de los máximos responsables de las Instituciones catalanas, ponen de manifiesto que la Comunidad Autónoma está adoptando una serie de medidas llamadas a culminar el denominado “proceso de transición nacional”, sin respetar las competencias estatales reconocidas en la Constitución. Observa el Abogado del Estado que conviene contextualizar las disposiciones recurridas dentro del denominado, por el Gobierno catalán, “proceso de transición nacional”, cuyo momento esencial habría sido fijado en las elecciones del 27 de septiembre, elecciones que, en palabras del Presidente de la Generalitat de Cataluña, tendrán carácter plebiscitario. Es también de conocimiento público, expone, que todas las actuaciones que en los últimos años están realizando las instituciones catalanas en el autodenominado proceso de transición nacional siguen las pautas y directrices de los informes elaborados por el denominado Consejo Asesor para la Transición Nacional de Cataluña. Dentro de tales pautas y directrices está —se dice— la creación de estructuras de Estado cuyo objeto es tener preparada la legislación y la estructura de la administración autonómica catalana para el momento de esa eventual independencia de Cataluña y de lo que, en palabras de la Generalitat, sería “la desconexión” de Cataluña de España y, por tanto, de la legislación estatal y de las instituciones de la Administración general del Estado que en Cataluña gestionan los servicios y competencias estatales. Adicionalmente, estas previsiones se realizan para un supuesto inconstitucional que es el de la separación de Cataluña del Estado español, obviando las exigencias constitucionales al efecto, y vulnerando los arts. 1.2, 2, 9.1 y 168 CE.</w:t>
      </w:r>
    </w:p>
    <w:p w:rsidR="006B7292" w:rsidRDefault="006B7292" w:rsidP="006B7292">
      <w:pPr>
        <w:pStyle w:val="TextoNormal"/>
      </w:pPr>
    </w:p>
    <w:p w:rsidR="006B7292" w:rsidRDefault="006B7292" w:rsidP="006B7292">
      <w:pPr>
        <w:pStyle w:val="TextoNormal"/>
      </w:pPr>
      <w:r>
        <w:t>Estamos pues, afirma el Abogado del Estado, ante una situación de trascendencia nacional. Ello comporta que resulte de aplicación el ATC 156/2013, de 11 de julio, que acordó el mantenimiento de la suspensión por la transcendencia del objeto de la impugnación que afectaba a una cuestión de gran relieve constitucional.</w:t>
      </w:r>
    </w:p>
    <w:p w:rsidR="006B7292" w:rsidRDefault="006B7292" w:rsidP="006B7292">
      <w:pPr>
        <w:pStyle w:val="TextoNormal"/>
      </w:pPr>
    </w:p>
    <w:p w:rsidR="006B7292" w:rsidRDefault="006B7292" w:rsidP="006B7292">
      <w:pPr>
        <w:pStyle w:val="TextoNormal"/>
      </w:pPr>
      <w:r>
        <w:t>Además, se aduce que la ausencia evidente de cobertura competencial, supuesto en el que a juicio del Abogado del Estado se encuentra este caso concreto, puede determinar excepcionalmente el mantenimiento de la suspensión. Al respecto señala que las normas cuestionadas encomiendan al Gobierno de la Generalitat la adopción de una serie de medidas llamadas a culminar el denominado “proceso de transición nacional”, sin respetar las competencias estatales reconocidas en la Constitución con carácter general y en concreto, al amparo de los títulos competenciales previstos en el art. 149.1.13, 14, 10, 3, 17, 20, 21, 22, 24 y 25 CE, ya que se encomienda la aprobación de planes administrativos vinculantes.</w:t>
      </w:r>
    </w:p>
    <w:p w:rsidR="006B7292" w:rsidRDefault="006B7292" w:rsidP="006B7292">
      <w:pPr>
        <w:pStyle w:val="TextoNormal"/>
      </w:pPr>
    </w:p>
    <w:p w:rsidR="006B7292" w:rsidRDefault="006B7292" w:rsidP="006B7292">
      <w:pPr>
        <w:pStyle w:val="TextoNormal"/>
      </w:pPr>
      <w:r>
        <w:t>Las disposiciones y actuaciones impugnadas careciendo de competencia para ello, ordenan a una Administración pública que con sus recursos públicos configure unas “estructuras de Estado” sin seguir el procedimiento indicado para ello. Sin perjuicio de que los planes no asumen directamente las competencias sobre las que se proyectan, su propia redacción, además de inconstitucional, afecta a la Constitución española y genera, por la confusión que provoca, por afectar a la reputación del propio Estado español y por el riesgo que genera también a los ciudadanos y en los mercados, un perjuicio grave para el interés general. Ello se hace, afirma el Abogado del Estado, en un contexto muy determinado, al hilo del proceso electoral y con el previo pronunciamiento del Tribunal en numerosas sentencias sobre la inadecuación de la imposición unilateral, fuera de todo procedimiento, de un proceso secesionista. Las disposiciones impugnadas crean una verdadera inseguridad jurídica, en la medida en que generan incertidumbre sobre el régimen jurídico aplicable. En el contexto descrito considera el Abogado del Estado que no parece desproporcionado afirmar el interés general en que la seguridad jurídica se garantice respecto a la validez jurídica de la propia Constitución, evitando el menoscabo de la legitimidad jurídico-política del procedimiento de reforma constitucional en términos incompatibles con el vigente orden constitucional.</w:t>
      </w:r>
    </w:p>
    <w:p w:rsidR="006B7292" w:rsidRDefault="006B7292" w:rsidP="006B7292">
      <w:pPr>
        <w:pStyle w:val="TextoNormal"/>
      </w:pPr>
    </w:p>
    <w:p w:rsidR="006B7292" w:rsidRDefault="006B7292" w:rsidP="006B7292">
      <w:pPr>
        <w:pStyle w:val="TextoNormal"/>
      </w:pPr>
      <w:r>
        <w:t>A ello se añade que la doctrina constitucional ha tenido en cuenta para mantener la suspensión de una norma la existencia de jurisprudencia estimatoria de una pretensión similar a la deducida en el proceso principal (AATC 814/1988, de 21 de junio, y 91/1991, de 12 de marzo). En este sentido, considera relevantes para este caso las SSTC 103/2008, de 11 de septiembre, FJ 4, y 42/2014, de 25 de marzo que contienen un criterio de interpretación constitucional que resulta de aplicación al Decreto 16/2015.</w:t>
      </w:r>
    </w:p>
    <w:p w:rsidR="006B7292" w:rsidRDefault="006B7292" w:rsidP="006B7292">
      <w:pPr>
        <w:pStyle w:val="TextoNormal"/>
      </w:pPr>
    </w:p>
    <w:p w:rsidR="006B7292" w:rsidRDefault="006B7292" w:rsidP="006B7292">
      <w:pPr>
        <w:pStyle w:val="TextoNormal"/>
      </w:pPr>
      <w:r>
        <w:t>En definitiva, afirma el Abogado del Estado que la elaboración de planes, catálogos, inventarios y propuestas legislativas cuya finalidad es la desconexión del Estado, no solo exceden del ámbito competencial catalán y son materialmente parte de una vía de hecho de reforma constitucional, sino que, al ser planteados de forma unilateral infringen, además, los principios que deben de regir cualquier planteamiento o alternativa a la actual configuración del Estado y vulneran el principio democrático sobre el que se aprobó la Constitución.</w:t>
      </w:r>
    </w:p>
    <w:p w:rsidR="006B7292" w:rsidRDefault="006B7292" w:rsidP="006B7292">
      <w:pPr>
        <w:pStyle w:val="TextoNormal"/>
      </w:pPr>
    </w:p>
    <w:p w:rsidR="006B7292" w:rsidRDefault="006B7292" w:rsidP="006B7292">
      <w:pPr>
        <w:pStyle w:val="TextoNormal"/>
      </w:pPr>
      <w:r>
        <w:t>A continuación, el Abogado del Estado expone los perjuicios que derivarían del levantamiento de la suspensión de cada una de las disposiciones y actuaciones impugnadas:</w:t>
      </w:r>
    </w:p>
    <w:p w:rsidR="006B7292" w:rsidRDefault="006B7292" w:rsidP="006B7292">
      <w:pPr>
        <w:pStyle w:val="TextoNormal"/>
      </w:pPr>
    </w:p>
    <w:p w:rsidR="006B7292" w:rsidRDefault="006B7292" w:rsidP="006B7292">
      <w:pPr>
        <w:pStyle w:val="TextoNormal"/>
      </w:pPr>
      <w:r>
        <w:t>a) Decreto 16/2015, de 24 de febrero, de creación del Comisionado para la transición nacional. El Abogado del Estado aporta informe de 7 de septiembre de 2015, de la Dirección General de Coordinación de Competencias con las Comunidades Autónomas y las Entidades Locales del Ministerio de Hacienda y Administraciones Públicas, para fundamentar sus alegaciones que se concretan en que la finalidades para las que se crea y actúa el Comisionado, de acuerdo con el Decreto 16/2015, menoscaban la legitimidad de la Constitución al partir del presupuesto de una soberanía incompatible con la establecida por ésta, y ello porque al definir normativamente la finalidad a cumplir por el Comisionado y detallar las actuaciones necesarias para la “desconexión con España”, estas medidas sólo pueden realizarse asumiendo competencias estatales intransferibles, al margen de los procedimientos constitucionalmente establecidos. Entiende el Abogado del Estado que el Decreto 16/2015 otorga apariencia de juridicidad a la culminación del proceso nacional mediante la independencia unilateral y a la preparación de las “estructuras de Estado” es decir de los planes para asumir por vía de hecho las competencias del Estado en Cataluña. En definitiva, la encomienda realizada al Comisionado para la transición nacional por el Decreto 16/2015, posee un contenido evidentemente inconstitucional al atribuirle funciones de planificación y de promoción legislativa en materias que exceden de su competencia y que se integran materialmente en un proceso de reforma constitucional por la vía de hecho.</w:t>
      </w:r>
    </w:p>
    <w:p w:rsidR="006B7292" w:rsidRDefault="006B7292" w:rsidP="006B7292">
      <w:pPr>
        <w:pStyle w:val="TextoNormal"/>
      </w:pPr>
    </w:p>
    <w:p w:rsidR="006B7292" w:rsidRDefault="006B7292" w:rsidP="006B7292">
      <w:pPr>
        <w:pStyle w:val="TextoNormal"/>
      </w:pPr>
      <w:r>
        <w:t>En primer lugar se aduce que el art. 1 del Decreto 16/2015, de 24 de febrero, infringe el régimen constitucional de reparto de competencias entre el Estado y la Comunidad Autónoma de Cataluña al prever la creación de estructuras de Estado que implican necesariamente la asunción de competencias que, si son de Estado, es la Administración del Estado en Cataluña quien actualmente las ejerce, en virtud de sus títulos específicos. En consecuencia, la vigencia del Decreto 16/2015 supondría el despliegue y proyección de la legislación autonómica en ámbitos sectoriales sobre los que esas competencias estatales se ejercen actualmente. Esa infracción sustantiva, entiende el Abogado del Estado, es de tal relieve constitucional, que resultaría aplicable la doctrina legal sentada por el Tribunal Constitucional en el Auto de 11 de julio de 2013, a efectos ahora del mantenimiento cautelar de la suspensión del Decreto autonómico impugnado. Sólo el sujeto titular de la soberanía podría hablar, en una norma jurídica vinculante, de dotar a un tercero o de dotarse a sí mismo de estructuras de Estado, o sólo con el concurso de la voluntad de dicho sujeto cabría hablar de culminar ese tercero su transición nacional, y por el cauce en todo caso de la necesaria y previa modificación constitucional, conforme al art. 168 CE. Es, por lo tanto, la creación misma del Comisionado como órgano administrativo, lo que infringe la Constitución y el Estatuto de Autonomía, cuanto que sus fines establecidos van más allá de las competencias asumidas por la Generalitat dentro del bloque de la constitucionalidad; fines que establece de modo explícito el art. 1 del Decreto, y que son la razón de ser del Organismo como tal.</w:t>
      </w:r>
    </w:p>
    <w:p w:rsidR="006B7292" w:rsidRDefault="006B7292" w:rsidP="006B7292">
      <w:pPr>
        <w:pStyle w:val="TextoNormal"/>
      </w:pPr>
    </w:p>
    <w:p w:rsidR="006B7292" w:rsidRDefault="006B7292" w:rsidP="006B7292">
      <w:pPr>
        <w:pStyle w:val="TextoNormal"/>
      </w:pPr>
      <w:r>
        <w:t>Los fines previstos en el artículo 1 se llevarán a cabo en las fases a las que se refiere el artículo 2 de lo que infiere el Abogado del Estado que no se trata de una norma puramente organizativa o de elaboración de estudios, aprobada tan solo para llevar a cabo un programa general de transición nacional o de independencia de Cataluña, de acuerdo con lo pactado con el Estado o así previsto normativamente en función de ello. Por el contrario, se trata de una norma que de manera unilateral se dirige a lograr el objetivo de la independencia de Cataluña, y que para ello arbitra e instrumenta la adopción de las medidas que considera precisas para facilitar ese objetivo, pero sin contar necesariamente con la voluntad del Estado, con la voluntad del conjunto del pueblo español, ni a partir de una hipotética reforma constitucional, que el mismo Decreto juzgara necesaria.</w:t>
      </w:r>
    </w:p>
    <w:p w:rsidR="006B7292" w:rsidRDefault="006B7292" w:rsidP="006B7292">
      <w:pPr>
        <w:pStyle w:val="TextoNormal"/>
      </w:pPr>
    </w:p>
    <w:p w:rsidR="006B7292" w:rsidRDefault="006B7292" w:rsidP="006B7292">
      <w:pPr>
        <w:pStyle w:val="TextoNormal"/>
      </w:pPr>
      <w:r>
        <w:t>Además de los perjuicios derivados de la manifiesta incompetencia de la Generalitat para la adopción de este Decreto y la aplicabilidad de la doctrina del ATC de 11 de julio de 2013, el Abogado del Estado entiende que han de ponderarse los efectos derivados directamente del Decreto como norma jurídica aplicable, que otorga apariencia de juridicidad a la supuesta culminación del proceso nacional mediante una —invocada ya, por la eficacia misma del Decreto— independencia unilateral de Cataluña.</w:t>
      </w:r>
    </w:p>
    <w:p w:rsidR="006B7292" w:rsidRDefault="006B7292" w:rsidP="006B7292">
      <w:pPr>
        <w:pStyle w:val="TextoNormal"/>
      </w:pPr>
    </w:p>
    <w:p w:rsidR="006B7292" w:rsidRDefault="006B7292" w:rsidP="006B7292">
      <w:pPr>
        <w:pStyle w:val="TextoNormal"/>
      </w:pPr>
      <w:r>
        <w:t>En este sentido, el Decreto no modifica la Constitución directamente pero menoscaba su legitimidad al partir del presupuesto de una soberanía incompatible con la establecida constitucionalmente, porque no solo determina la realización de unas actuaciones y de unos gastos por un poder público al margen del Estado de Derecho, sino que su vigencia misma, simultánea con la Constitución, implicaría a la vez la simultánea vigencia de normas jurídicas que parten de una atribución de distinta soberanía, pues la pretendida legitimidad del Decreto partiría de una imputación de la soberanía de origen distinta de la establecida constitucionalmente.</w:t>
      </w:r>
    </w:p>
    <w:p w:rsidR="006B7292" w:rsidRDefault="006B7292" w:rsidP="006B7292">
      <w:pPr>
        <w:pStyle w:val="TextoNormal"/>
      </w:pPr>
    </w:p>
    <w:p w:rsidR="006B7292" w:rsidRDefault="006B7292" w:rsidP="006B7292">
      <w:pPr>
        <w:pStyle w:val="TextoNormal"/>
      </w:pPr>
      <w:r>
        <w:t>El Decreto posibilita, aduce el Abogado del Estado, que por la Generalitat de Cataluña se adopten unilateralmente previsiones para el caso de una declaración unilateral de independencia del Estado español y, en consecuencia, dichas actuaciones se dirigen, precisamente, a asumir aquellas funciones que corresponden al Estado en el territorio de Cataluña o a planificar o prever cómo se asumirán dichas funciones por la Generalitat de Cataluña. Se insiste en que la norma cuestionada dispone la creación de un Comisionado y la aprobación de unos planes ejecutivos, que se entiende son planes administrativos vinculantes. Al respecto, considera el Abogado del Estado que la vigencia del Decreto permitiría seguir funcionando al Comisionado como órgano administrativo dependiente de la Administración de la Generalitat, y, por lo tanto, avanzando en la adopción de medidas para el impulso, coordinación e implementación, actuaciones que suponen actividad ejecutiva externa, no de mero estudio o interiorización de objetivos. Si no se mantiene la suspensión de la norma irían desarrollándose actividades que supongan ese impulso, coordinación e implementación que como tales constituirían ya actividad ejecutiva dirigida a esa transición nacional de Cataluña y a dotarse de estructuras de Estado, formuladas precisa y explícitamente, que el Decreto pretende mediante la creación del Comisionado dirigido a tal fin.</w:t>
      </w:r>
    </w:p>
    <w:p w:rsidR="006B7292" w:rsidRDefault="006B7292" w:rsidP="006B7292">
      <w:pPr>
        <w:pStyle w:val="TextoNormal"/>
      </w:pPr>
    </w:p>
    <w:p w:rsidR="006B7292" w:rsidRDefault="006B7292" w:rsidP="006B7292">
      <w:pPr>
        <w:pStyle w:val="TextoNormal"/>
      </w:pPr>
      <w:r>
        <w:t>Afirma el Abogado del Estado que el mantenimiento de la suspensión de la vigencia de la norma resultaría necesario para paralizar el cumplimiento de las fases que el art. 2 del Decreto marca al propio Comisionado, que si bien en su primera fase debe identificar actuaciones y medidas a implementar y a programar los estadios de su aplicación, en las demás fases, esto es, en la planificación, impulso, coordinación y seguimiento del cumplimiento, se iría claramente desarrollando ya una estructura tangible, y visible para los ciudadanos, en orden al logro de una finalidad, la transición política hacia la independencia de todo punto contraria a la Constitución, como actividad unilateral, esto es, a impulso sólo de la Generalitat, transición paulatina que se iría desarrollando o tomando cuerpo, si efectivamente se aplica el Decreto como norma jurídica vinculante, que es en lo que consiste.</w:t>
      </w:r>
    </w:p>
    <w:p w:rsidR="006B7292" w:rsidRDefault="006B7292" w:rsidP="006B7292">
      <w:pPr>
        <w:pStyle w:val="TextoNormal"/>
      </w:pPr>
    </w:p>
    <w:p w:rsidR="006B7292" w:rsidRDefault="006B7292" w:rsidP="006B7292">
      <w:pPr>
        <w:pStyle w:val="TextoNormal"/>
      </w:pPr>
      <w:r>
        <w:t>b) Planes ejecutivos elaborados por la Generalitat, aprobados por el Gobierno de la Generalitat el 17 de febrero de 2015.</w:t>
      </w:r>
    </w:p>
    <w:p w:rsidR="006B7292" w:rsidRDefault="006B7292" w:rsidP="006B7292">
      <w:pPr>
        <w:pStyle w:val="TextoNormal"/>
      </w:pPr>
    </w:p>
    <w:p w:rsidR="006B7292" w:rsidRDefault="006B7292" w:rsidP="006B7292">
      <w:pPr>
        <w:pStyle w:val="TextoNormal"/>
      </w:pPr>
      <w:r>
        <w:t>Respecto a las razones para el mantenimiento de la suspensión de los diferentes planes, además de poner de relieve que son actuaciones y planes vinculantes, propios de la Administración activa, que tienden al concreto establecimiento de previsiones reales o efectivas, si bien su eficacia se demora al momento en que asuman tales competencias, se aduce lo siguiente:</w:t>
      </w:r>
    </w:p>
    <w:p w:rsidR="006B7292" w:rsidRDefault="006B7292" w:rsidP="006B7292">
      <w:pPr>
        <w:pStyle w:val="TextoNormal"/>
      </w:pPr>
    </w:p>
    <w:p w:rsidR="006B7292" w:rsidRDefault="006B7292" w:rsidP="006B7292">
      <w:pPr>
        <w:pStyle w:val="TextoNormal"/>
      </w:pPr>
      <w:r>
        <w:t>i. Hacienda pública catalana.</w:t>
      </w:r>
    </w:p>
    <w:p w:rsidR="006B7292" w:rsidRDefault="006B7292" w:rsidP="006B7292">
      <w:pPr>
        <w:pStyle w:val="TextoNormal"/>
      </w:pPr>
    </w:p>
    <w:p w:rsidR="006B7292" w:rsidRDefault="006B7292" w:rsidP="006B7292">
      <w:pPr>
        <w:pStyle w:val="TextoNormal"/>
      </w:pPr>
      <w:r>
        <w:t>Este plan se relaciona con la disposición adicional vigesimosegunda de la Ley 3/2015, anteriormente citada. Entiende el Abogado del Estado que este precepto se dirige a crear un plan director que haga posible “la Administración tributaria de Cataluña” a la que se ha referido el Presidente de la Generalitat en varias de sus declaraciones —una de ellas aportada en la demanda como anexo— , así como otros portavoces y que se plasma en el informe del Consejo asesor para la transición nacional de Cataluña, igualmente incorporado como anexo, según el cual, la “administración tributaria del Estado propio” gestionaría todos los impuestos catalanes, incluidos los que recaen sobre el tráfico exterior. Esta es la voluntad del precepto impugnado, cuyo inciso final dice que debe incluirse la propuesta de la normativa tributaria de Cataluña, obviando que su Parlamento no dispone de la capacidad de modificar la legislación tributaria española, más allá del ejercicio de las competencias normativas en materia de tributos propios y cedidos y que, por tanto, la Generalitat no puede desarrollar una política fiscal propia, ni tiene tampoco competencias para aprobar una ley general tributaria propia.</w:t>
      </w:r>
    </w:p>
    <w:p w:rsidR="006B7292" w:rsidRDefault="006B7292" w:rsidP="006B7292">
      <w:pPr>
        <w:pStyle w:val="TextoNormal"/>
      </w:pPr>
    </w:p>
    <w:p w:rsidR="006B7292" w:rsidRDefault="006B7292" w:rsidP="006B7292">
      <w:pPr>
        <w:pStyle w:val="TextoNormal"/>
      </w:pPr>
      <w:r>
        <w:t>El sentido de la norma impugnada ha de verse en el contexto de las declaraciones de las autoridades de la Generalitat, a cuyo efecto el escrito de alegaciones se remite a la documentación incorporada en anexos a la demanda y cita lo que figura en la página web de la Generalitat de Cataluña junto con la reseña de los acuerdos adoptados el 17 de febrero de 2015. Es evidente —se concluye— que el propósito de la disposición impugnada es la planificación de una agencia tributaria catalana encargada de administrar la totalidad de los tributos soportados en Cataluña en orden a alcanzar la “soberanía fiscal” a la que se refiere el documento citado. Además, se fija un plazo para la elaboración de este informe de cinco meses tras la entrada en vigor de la Ley. La finalidad es asumir las competencias tributarias del Estado cuando se produzca la secesión de Cataluña de España. En ningún momento se considera que tal resultado únicamente podría obtenerse, en su caso, a través de una reforma completa de la Constitución, siguiendo el procedimiento previsto en el art. 168 CE. Carece de sentido y es inconstitucional que se dediquen medios personales y materiales para la ejecución de este plan que persigue la asunción del conjunto de la competencia tributaria por la Generalitat de Cataluña. Este hecho, el carácter formal y oficial del diseño de una Administración tributaria catalana que excede notoriamente de sus competencias, en los términos ya expuestos, es el que es inconstitucional. La STC 42/2014 y la Sentencia 138/2015 no ponen objeción a las iniciativas de reforma constitucional, pero siempre que se hagan por los cauces previstos constitucionalmente, no fuera de la norma fundamental.</w:t>
      </w:r>
    </w:p>
    <w:p w:rsidR="006B7292" w:rsidRDefault="006B7292" w:rsidP="006B7292">
      <w:pPr>
        <w:pStyle w:val="TextoNormal"/>
      </w:pPr>
    </w:p>
    <w:p w:rsidR="006B7292" w:rsidRDefault="006B7292" w:rsidP="006B7292">
      <w:pPr>
        <w:pStyle w:val="TextoNormal"/>
      </w:pPr>
      <w:r>
        <w:t>El mantenimiento de la suspensión de la elaboración y aprobación de estos planes se justifica tanto en la manifiesta incompetencia del Parlamento de Cataluña para desarrollar un modelo fiscal separado y contradictorio con el Estado como en que la aprobación del plan produce un perjuicio a los contribuyentes por la confusión que genera la creación de un sistema tributario diferente al del Estado; el plan genera incertidumbre tanto a personas físicas como jurídicas sobre el cumplimiento de sus obligaciones tributarias, incertidumbre que se genera, asimismo, en los inversores y en los mercados financieros.</w:t>
      </w:r>
    </w:p>
    <w:p w:rsidR="006B7292" w:rsidRDefault="006B7292" w:rsidP="006B7292">
      <w:pPr>
        <w:pStyle w:val="TextoNormal"/>
      </w:pPr>
    </w:p>
    <w:p w:rsidR="006B7292" w:rsidRDefault="006B7292" w:rsidP="006B7292">
      <w:pPr>
        <w:pStyle w:val="TextoNormal"/>
      </w:pPr>
      <w:r>
        <w:t>ii. Plan y diseño de la Administración y Tesorería de la Seguridad Social.</w:t>
      </w:r>
    </w:p>
    <w:p w:rsidR="006B7292" w:rsidRDefault="006B7292" w:rsidP="006B7292">
      <w:pPr>
        <w:pStyle w:val="TextoNormal"/>
      </w:pPr>
    </w:p>
    <w:p w:rsidR="006B7292" w:rsidRDefault="006B7292" w:rsidP="006B7292">
      <w:pPr>
        <w:pStyle w:val="TextoNormal"/>
      </w:pPr>
      <w:r>
        <w:t>Este plan se pone en relación con la disposición adicional vigesimoquinta de la Ley del Parlamento de Cataluña 3/2015, relativa a la creación de la Agencia Catalana de la Protección Social. El Abogado del Estado considera que se va a aprobar un plan director de la protección social con vistas a la creación de la Agencia Catalana de la Protección Social con la previsión de incorporar las competencias que ejerce la Administración del Estado y que está refiriéndose a las competencias sobre seguridad social que ejerce la Administración del Estado, así como a las prestaciones de la Tesorería de la Seguridad Social, ya que se refiere a las prestaciones encomendadas a esta entidad, como son el ingreso de las cotizaciones y las prestaciones por desempleo y pensiones sociales en Cataluña y entre ellas están las de Seguridad Social, ateniéndose al contenido del plan aprobado el 17 de febrero de 2015. En una materia como Seguridad Social, este plan produce perjuicios al interés general en la medida en que pone en cuestión y crea incertidumbre respecto de los cotizantes y los mercados sobre el futuro mantenimiento de los principios en que se fundamenta la Seguridad Social española (unidad, universalidad, solidaridad e igualdad) y su repercusión en el equilibrio económico y financiero del Estado.</w:t>
      </w:r>
    </w:p>
    <w:p w:rsidR="006B7292" w:rsidRDefault="006B7292" w:rsidP="006B7292">
      <w:pPr>
        <w:pStyle w:val="TextoNormal"/>
      </w:pPr>
    </w:p>
    <w:p w:rsidR="006B7292" w:rsidRDefault="006B7292" w:rsidP="006B7292">
      <w:pPr>
        <w:pStyle w:val="TextoNormal"/>
      </w:pPr>
      <w:r>
        <w:t>iii. Plan de infraestructuras estratégicas.</w:t>
      </w:r>
    </w:p>
    <w:p w:rsidR="006B7292" w:rsidRDefault="006B7292" w:rsidP="006B7292">
      <w:pPr>
        <w:pStyle w:val="TextoNormal"/>
      </w:pPr>
    </w:p>
    <w:p w:rsidR="006B7292" w:rsidRDefault="006B7292" w:rsidP="006B7292">
      <w:pPr>
        <w:pStyle w:val="TextoNormal"/>
      </w:pPr>
      <w:r>
        <w:t>El Abogado del Estado relaciona este plan con el previsto en la disposición adicional vigesimocuarta de la Ley 3/2015. Afirma el Abogado del Estado la incompetencia de la Generalitat para la elaboración de dicho plan, así como las flagrantes contradicciones con la Ley 8/2011, de 28 de abril, por la que se establecen medidas para la protección de las infraestructuras críticas. Ello determina que mediante este plan se arrojen dudas sobre las entidades competentes para velar por la seguridad pública de este tipo de infraestructuras de interés general, sobre su titularidad y su régimen jurídico. La aplicación de esta disposición provocaría un perjuicio irreparable en la medida en que existirían dos planes diferentes de aplicación para las infraestructuras críticas de competencia estatal en el territorio de Cataluña, generándose una situación de inseguridad jurídica esencial especialmente para las fuerzas y cuerpos de seguridad del Estado que deben aplicar dichas previsiones, pudiendo generarse graves anomalías en el funcionamiento de las mismas, riesgos para la seguridad pública y el transporte, y actuaciones contradictorias de las fuerzas y cuerpos de seguridad, que pudieran verse enfrentados por órdenes contradictorias. Asimismo, afectaría a los ciudadanos que podrían verse sujetos al cumplimiento de obligaciones contradictorias establecidas por dos marcos jurídicos diferentes. En el ámbito del transporte y la energía, los perjuicios de la mera elaboración y aprobación del plan son evidentes, en cuanto ocasiona una quiebra esencial de la seguridad jurídica incompatible con el funcionamiento de los mercados, produciendo un quebranto cierto e inmediato no solo de la actividad económica, sino de la propia convivencia social y del funcionamiento de las instituciones y los servicios públicos. No solo empleados públicos también los ciudadanos se ven sujetos al cumplimiento de obligaciones contradictorias establecidas por dos marcos jurídicos diferentes en base a distintas atribuciones de la soberanía, en última instancia, y resultar igualmente titulares de derechos diferentes reconocidos para el mismo supuesto de hecho por dos ordenamientos jurídicos contradictorios. Es muy difícil la seguridad sobre el marco regulatorio de estos sectores si, mediante un plan, se cuestiona la competencia sobre ellos, y ello no solo para los actores españoles sino también por los extranjeros que se cuestionen mantener sus inversiones en España o acometer nuevos proyectos.</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objeto de la presente resolución consiste en determinar si procede levantar o mantener la suspensión de la vigencia del Decreto de la Generalitat de Cataluña 16/2015, de 24 de febrero, por el que se crea el Comisionado para la transición nacional; y de los denominados respectivamente plan ejecutivo para la preparación de las estructuras de Estado y plan de infraestructuras estratégicas; así como de las previsiones y las actuaciones desarrolladas en aplicación o al amparo de dicho Decreto o de los referidos planes o coincidentes con su finalidad. La aplicación de dicha disposición y actuaciones fue suspendida como consecuencia de la invocación del art. 161.2 CE y 64.2 de la Ley Orgánica del Tribunal Constitucional, al promoverse el conflicto de competencia contra las mismas por el Gobierno de la Nación.</w:t>
      </w:r>
    </w:p>
    <w:p w:rsidR="006B7292" w:rsidRDefault="006B7292" w:rsidP="006B7292">
      <w:pPr>
        <w:pStyle w:val="TextoNormal"/>
      </w:pPr>
    </w:p>
    <w:p w:rsidR="006B7292" w:rsidRDefault="006B7292" w:rsidP="006B7292">
      <w:pPr>
        <w:pStyle w:val="TextoNormal"/>
      </w:pPr>
      <w:r w:rsidRPr="006B7292">
        <w:rPr>
          <w:rStyle w:val="NumeroAFNegritaCaracter"/>
        </w:rPr>
        <w:t>2</w:t>
      </w:r>
      <w:r>
        <w:t>. Como ha quedado recogido pormenorizadamente en los antecedentes, la representación de la Generalitat de Cataluña ha solicitado el levantamiento de la suspensión del Decreto 16/2015, y actuaciones impugnadas, fundamentándose sus alegaciones en que la mismas no producirían perjuicios ni darían lugar a situaciones consolidadas e irreversibles, por las funciones que el Decreto 16/2015 atribuye al Comisionado que ha de ejercerlas en el “marco de la legalidad vigente”, por lo que se considera que de su actuación no van a resultar perjuicios de carácter general. Respecto a los planes se alega que son simples estudios y previsiones de futuro o programaciones indicativas internas.</w:t>
      </w:r>
    </w:p>
    <w:p w:rsidR="006B7292" w:rsidRDefault="006B7292" w:rsidP="006B7292">
      <w:pPr>
        <w:pStyle w:val="TextoNormal"/>
      </w:pPr>
    </w:p>
    <w:p w:rsidR="006B7292" w:rsidRDefault="006B7292" w:rsidP="006B7292">
      <w:pPr>
        <w:pStyle w:val="TextoNormal"/>
      </w:pPr>
      <w:r>
        <w:t>De acuerdo con ello, se aduce que el levantamiento de la suspensión comportaría restaurar la vigencia de la figura del Comisionado para la transición nacional, que podrá seguir con el desempeño de sus funciones y preparar los estudios y propuestas relativos a los planes y sus previsiones que, en su caso, el Gobierno de la Generalitat podrá en su día asumir para aprobar proyectos normativos que habrán de seguir para su aprobación los cauces y procedimientos previstos en el ordenamiento vigente, lo que no puede producir perjuicios para el interés general, y si se producen, no serían actuales ni presentes ni producirían situaciones irreversibles de hecho o de derecho. Por el contrario, el mantenimiento de la suspensión provocaría perjuicios de carácter irreversible y no reparable ya que bloquearían el normal desarrollo de la labor de estudio y confección de esos instrumentos para la mejora de los servicios prestados por la Administración de la Generalitat de Cataluña y la preparación, en su caso, de proyectos normativos que, una vez vehiculados y aprobados por los procedimientos que resulten adecuados, permitan acoger en un nuevo marco normativo y constitucional las aspiraciones de incrementar la capacidad de autogobierno de la Generalitat que en Cataluña demanda una parte tan significativa de sus ciudadanos. Afirma el Abogado de la Generalitat que si el actual tenor del título X de la Constitución Española se interpretase en el sentido de que impide la preparación previa de una iniciativa de reforma o de revisión constitucional, resultaría materialmente inviable el procedimiento de reforma que la propia Constitución ha previsto, por lo que todo sujeto legitimado por los arts. 166 y 87.1 y 2 CE para ejercer la iniciativa de reforma constitucional, también la Generalitat de Cataluña, han de poder prepararla antes de, en su caso, llegar a formalizarla.</w:t>
      </w:r>
    </w:p>
    <w:p w:rsidR="006B7292" w:rsidRDefault="006B7292" w:rsidP="006B7292">
      <w:pPr>
        <w:pStyle w:val="TextoNormal"/>
      </w:pPr>
    </w:p>
    <w:p w:rsidR="006B7292" w:rsidRDefault="006B7292" w:rsidP="006B7292">
      <w:pPr>
        <w:pStyle w:val="TextoNormal"/>
      </w:pPr>
      <w:r>
        <w:t>Por su parte, el Abogado del Estado ha interesado el mantenimiento de la suspensión. En sus alegaciones, tras relacionar el objeto del presente proceso constitucional con las disposiciones adicionales vigesimosegunda a vigesimosexta de la Ley de Cataluña 3/2015, de 11 de marzo, de medidas fiscales, financieras y administrativas, impugnadas en el recurso de inconstitucionalidad núm. 3493-2015, contextualiza las disposiciones y actuaciones objeto del presente conflicto de competencia dentro del llamado, por el Gobierno catalán, “proceso de transición nacional” en el que se siguen una serie de pautas y directrices dentro de las que se encuentra la creación de estructuras de Estado cuyo objeto es tener preparada la legislación y la estructura de la administración autonómica catalana para el momento de esa eventual independencia de Cataluña y de lo que, en palabras de la Generalitat, sería “la desconexión” de Cataluña de España y, por tanto, de la legislación estatal y de las instituciones de la Administración general del Estado que en Cataluña gestionan los servicios y competencias estatales. Al respecto considera que estas previsiones se realizan para un supuesto inconstitucional que es el de la separación de Cataluña del Estado español. Por ello alega el Abogado del Estado que es una situación de trascendencia nacional, lo que comporta que se da la concurrencia en este caso de circunstancias específicas que justifican el mantenimiento de la suspensión aplicando lo afirmado en el ATC 156/2013, de 11 de julio, en el que se acordó mantener la suspensión de la resolución 5/X, de 23 de enero de 2013, del Parlamento de Cataluña, por la que se aprueba la declaración de soberanía y del derecho a decidir del pueblo de Cataluña. A ello añade la falta de cobertura competencial para el cumplimiento de las disposiciones y actuaciones impugnadas, el perjuicio para el interés general dimanante de la inseguridad jurídica que produce dicha regulación, así como la existencia de jurisprudencia estimatoria de una pretensión similar a la deducida en el proceso principal.</w:t>
      </w:r>
    </w:p>
    <w:p w:rsidR="006B7292" w:rsidRDefault="006B7292" w:rsidP="006B7292">
      <w:pPr>
        <w:pStyle w:val="TextoNormal"/>
      </w:pPr>
    </w:p>
    <w:p w:rsidR="006B7292" w:rsidRDefault="006B7292" w:rsidP="006B7292">
      <w:pPr>
        <w:pStyle w:val="TextoNormal"/>
      </w:pPr>
      <w:r>
        <w:t>El Abogado del Estado considera necesario mantener la suspensión del Decreto de la Generalitat de Cataluña 16/2015, de 24 de febrero, por el que se crea el Comisionado para la transición nacional, a tenor de lo dispuesto en sus arts. 1 y 2, para que no se desarrollen las actividades previstas en dichos preceptos dirigidas al logro de una finalidad que es la transición política a la independencia. Respecto a los planes objeto del presente proceso constitucional aduce concretamente que la pretensión de los mismos, de asunción de las competencias tributarias del Estado y sobre seguridad social, genera perjuicios sobre el interés general por la confusión e incertidumbre que produce sobre el cumplimiento de las obligaciones tributarias así como respecto al propio mantenimiento de los principios en que se fundamenta la seguridad social española. Perjuicios que se anudan, asimismo, al levantamiento de la suspensión del plan de infraestructuras críticas.</w:t>
      </w:r>
    </w:p>
    <w:p w:rsidR="006B7292" w:rsidRDefault="006B7292" w:rsidP="006B7292">
      <w:pPr>
        <w:pStyle w:val="TextoNormal"/>
      </w:pPr>
    </w:p>
    <w:p w:rsidR="006B7292" w:rsidRDefault="006B7292" w:rsidP="006B7292">
      <w:pPr>
        <w:pStyle w:val="TextoNormal"/>
      </w:pPr>
      <w:r w:rsidRPr="006B7292">
        <w:rPr>
          <w:rStyle w:val="NumeroAFNegritaCaracter"/>
        </w:rPr>
        <w:t>3</w:t>
      </w:r>
      <w:r>
        <w:t>. Como se ha indicado, el objeto del presente proceso constitucional lo integran el Decreto de la Generalitat de Cataluña 16/2015, de 24 de febrero, por el que se crea el Comisionado para la transición nacional y los denominados respectivamente plan ejecutivo para la preparación de las estructuras de Estado y plan de infraestructuras estratégicas; y contra las previsiones y las actuaciones desarrolladas en aplicación o al amparo de dicho Decreto o de los referidos planes o coincidentes con su finalidad. La existencia de estos planes no está materializada en ningún acuerdo formalizado del Consejo de Gobierno de la Generalitat de Cataluña y su existencia se ha constatado en la demanda a través de la página web de la Generalitat de Cataluña, incluidos como una especie de documentación adjunta en la información relativa a los acuerdos adoptados en el Consejo de Gobierno de 17 de febrero de 2015.</w:t>
      </w:r>
    </w:p>
    <w:p w:rsidR="006B7292" w:rsidRDefault="006B7292" w:rsidP="006B7292">
      <w:pPr>
        <w:pStyle w:val="TextoNormal"/>
      </w:pPr>
    </w:p>
    <w:p w:rsidR="006B7292" w:rsidRDefault="006B7292" w:rsidP="006B7292">
      <w:pPr>
        <w:pStyle w:val="TextoNormal"/>
      </w:pPr>
      <w:r>
        <w:t>El Decreto impugnado crea el Comisionado para la transición nacional al que se le atribuyen, en general, “las funciones inherentes al impulso, la coordinación y la implementación de las medidas necesarias para la culminación del proceso de Transición Nacional y el seguimiento de las estructuras de estado, de acuerdo con las directrices fijadas por el Gobierno y bajo la superior dirección del titular del departamento” (artículo 1). Estas funciones, conforme se pormenorizan el art. 2 del Decreto 16/2015, son las siguientes:</w:t>
      </w:r>
    </w:p>
    <w:p w:rsidR="006B7292" w:rsidRDefault="006B7292" w:rsidP="006B7292">
      <w:pPr>
        <w:pStyle w:val="TextoNormal"/>
      </w:pPr>
    </w:p>
    <w:p w:rsidR="006B7292" w:rsidRDefault="006B7292" w:rsidP="006B7292">
      <w:pPr>
        <w:pStyle w:val="TextoNormal"/>
      </w:pPr>
      <w:r>
        <w:t>“a) La identificación de las actuaciones preparatorias y de las medidas a implementar para culminar el proceso de Transición Nacional, mediante las actuaciones necesarias, en el marco de la legalidad vigente, así como la programación de los estadios de su implementación.</w:t>
      </w:r>
    </w:p>
    <w:p w:rsidR="006B7292" w:rsidRDefault="006B7292" w:rsidP="006B7292">
      <w:pPr>
        <w:pStyle w:val="TextoNormal"/>
      </w:pPr>
    </w:p>
    <w:p w:rsidR="006B7292" w:rsidRDefault="006B7292" w:rsidP="006B7292">
      <w:pPr>
        <w:pStyle w:val="TextoNormal"/>
      </w:pPr>
      <w:r>
        <w:t>b) La planificación, el impulso y la coordinación de las actuaciones a llevar a cabo por parte de los departamentos de la Generalitat y los organismos, empresas y entidades que se adscriben o se relacionan con ella durante los procesos preparatorios y de implementación de las actuaciones referidas a la letra anterior.</w:t>
      </w:r>
    </w:p>
    <w:p w:rsidR="006B7292" w:rsidRDefault="006B7292" w:rsidP="006B7292">
      <w:pPr>
        <w:pStyle w:val="TextoNormal"/>
      </w:pPr>
    </w:p>
    <w:p w:rsidR="006B7292" w:rsidRDefault="006B7292" w:rsidP="006B7292">
      <w:pPr>
        <w:pStyle w:val="TextoNormal"/>
      </w:pPr>
      <w:r>
        <w:t>c) El seguimiento del cumplimiento de la programación establecida, del que deberá informar al consejero de la Presidencia.</w:t>
      </w:r>
    </w:p>
    <w:p w:rsidR="006B7292" w:rsidRDefault="006B7292" w:rsidP="006B7292">
      <w:pPr>
        <w:pStyle w:val="TextoNormal"/>
      </w:pPr>
    </w:p>
    <w:p w:rsidR="006B7292" w:rsidRDefault="006B7292" w:rsidP="006B7292">
      <w:pPr>
        <w:pStyle w:val="TextoNormal"/>
      </w:pPr>
      <w:r>
        <w:t>d) La elaboración de un informe sobre el balance del proceso de implantación de las estructuras de estado, que deberá entregar al Gobierno en septiembre de 2015.”</w:t>
      </w:r>
    </w:p>
    <w:p w:rsidR="006B7292" w:rsidRDefault="006B7292" w:rsidP="006B7292">
      <w:pPr>
        <w:pStyle w:val="TextoNormal"/>
      </w:pPr>
    </w:p>
    <w:p w:rsidR="006B7292" w:rsidRDefault="006B7292" w:rsidP="006B7292">
      <w:pPr>
        <w:pStyle w:val="TextoNormal"/>
      </w:pPr>
      <w:r>
        <w:t>Desde la perspectiva propia de este incidente cautelar, y a los solos efectos de constatar si el levantamiento de la suspensión de la vigencia y aplicación del Decreto lleva anudados los perjuicios aducidos por el Abogado del Estado, cabe notar que, como establece el art. 1 del Decreto todas las actuaciones tienen como finalidad “la culminación del proceso de Transición Nacional y el seguimiento de las estructuras de Estado”. Además, debe tenerse en cuenta que las funciones que se atribuyen al Comisionado no consisten solo en realizar actividades preparatorias de un hipotético proceso de transición nacional, sino que, de acuerdo con lo que establece el propio Decreto de lo que se trata es de “culminar” ese proceso y para ello han de efectuarse las actuaciones preparatorias, implementarlas y proceder a su seguimiento. En consecuencia, de acuerdo con lo establecido en el propio Decreto las funciones que se atribuye al Comisionado no son solo preparatorias sino también necesarias para que el proceso pueda concluirse o “culminarse”.</w:t>
      </w:r>
    </w:p>
    <w:p w:rsidR="006B7292" w:rsidRDefault="006B7292" w:rsidP="006B7292">
      <w:pPr>
        <w:pStyle w:val="TextoNormal"/>
      </w:pPr>
    </w:p>
    <w:p w:rsidR="006B7292" w:rsidRDefault="006B7292" w:rsidP="006B7292">
      <w:pPr>
        <w:pStyle w:val="TextoNormal"/>
      </w:pPr>
      <w:r>
        <w:t>Sin entrar a examinar el fondo del asunto, que no es lo que corresponde en este momento procesal y, en consecuencia, sin valorar qué efectos concretos tiene el referido proceso de transición nacional y las actuaciones necesarias para culminarlo, lo que sí tenemos que tener en cuenta es que ambas partes reconocen que ese proceso de transición nacional existe y que se han adoptado distintos tipos de actuaciones para lograr su consecución, entre las que se encuentran, como admiten ambas partes, la creación del Comisionado al que se refiere el Decreto y los planes publicados en la página web de la Generalitat que constituyen el objeto del presente conflicto de competencia.</w:t>
      </w:r>
    </w:p>
    <w:p w:rsidR="006B7292" w:rsidRDefault="006B7292" w:rsidP="006B7292">
      <w:pPr>
        <w:pStyle w:val="TextoNormal"/>
      </w:pPr>
    </w:p>
    <w:p w:rsidR="006B7292" w:rsidRDefault="006B7292" w:rsidP="006B7292">
      <w:pPr>
        <w:pStyle w:val="TextoNormal"/>
      </w:pPr>
      <w:r>
        <w:t>Es por ello que, atendiendo al objeto del conflicto y a las alegaciones realizadas por las partes, hemos de constatar que en el presente conflicto de competencia se suscitan cuestiones que desbordan el planteamiento ordinario de una controversia competencial, aunque también lo sea. Estas cuestiones inciden en ámbitos de la máxima relevancia jurídico-constitucional: la defensa de la integridad misma de la Constitución, como sostiene el Abogado del Estado y la iniciación de un proceso de reforma constitucional, de acuerdo con la legalidad vigente, a juicio del Abogado de la Generalitat.</w:t>
      </w:r>
    </w:p>
    <w:p w:rsidR="006B7292" w:rsidRDefault="006B7292" w:rsidP="006B7292">
      <w:pPr>
        <w:pStyle w:val="TextoNormal"/>
      </w:pPr>
    </w:p>
    <w:p w:rsidR="006B7292" w:rsidRDefault="006B7292" w:rsidP="006B7292">
      <w:pPr>
        <w:pStyle w:val="TextoNormal"/>
      </w:pPr>
      <w:r>
        <w:t>Así las cosas, una controversia de este género suscita, en cuanto a la decisión sobre la suspensión, consideraciones que escapan a la habitual ponderación sobre los efectos que se seguirían ya de mantenerla ya de alzarla, consideraciones que aconsejan, atendida la relevancia de lo aquí en discusión, mantener la suspensión de la disposición y actuaciones objeto del presente conflicto de competencias. En el mismo sentido nos pronunciamos en el ATC 156/2013, de 11 de julio, al encontrarnos también ante una cuestión de gran relieve constitucional en el que afirmamos que dicho hecho era suficiente para inclinar el juicio de ponderación que, según reiterada jurisprudencia, debe realizarse en estos casos, en favor de la ratificación de la suspensión acordada durante el tiempo indispensable para la resolución de la impugnación interpuesta.</w:t>
      </w:r>
    </w:p>
    <w:p w:rsidR="006B7292" w:rsidRDefault="006B7292" w:rsidP="006B7292">
      <w:pPr>
        <w:pStyle w:val="TextoNormal"/>
      </w:pPr>
    </w:p>
    <w:p w:rsidR="006B7292" w:rsidRDefault="006B7292" w:rsidP="006B7292">
      <w:pPr>
        <w:pStyle w:val="TextoNormal"/>
      </w:pPr>
      <w:r>
        <w:t>Por todo ello, procede mantener la suspensión del Decreto de la Generalitat de Cataluña 16/2015, de 24 de febrero, por el que se crea el Comisionado para la Transición Nacional y de los denominados respectivamente plan ejecutivo para la preparación de las estructuras de Estado y plan de infraestructuras estratégicas; y de las previsiones y las actuaciones desarrolladas en aplicación o al amparo de dicho Decreto o de los referidos planes o coincidentes con su finalidad.</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Mantener la suspensión tanto del Decreto de la Generalitat de Cataluña 16/2015, de 24 de febrero, por el que se crea el Comisionado para la Transición Nacional; como también contra los denominados plan ejecutivo para la preparación de las estructuras de Estado y plan de infraestructuras estratégicas; y contra las previsiones y las actuaciones desarrolladas en aplicación o al amparo de dicho Decreto o de los referidos planes o coincidentes con su finalidad.</w:t>
      </w:r>
    </w:p>
    <w:p w:rsidR="006B7292" w:rsidRDefault="006B7292" w:rsidP="006B7292">
      <w:pPr>
        <w:pStyle w:val="TextoNormal"/>
      </w:pPr>
    </w:p>
    <w:p w:rsidR="006B7292" w:rsidRDefault="006B7292" w:rsidP="006B7292">
      <w:pPr>
        <w:pStyle w:val="TextoNormal"/>
      </w:pPr>
      <w:r>
        <w:t>Madrid, a tres de noviembre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01" w:name="AUTO_2015_187"/>
      <w:r>
        <w:t>AUTO 187/2015, de 4 de noviembre de 2015</w:t>
      </w:r>
    </w:p>
    <w:bookmarkEnd w:id="201"/>
    <w:p w:rsidR="006B7292" w:rsidRDefault="006B7292" w:rsidP="006B7292">
      <w:pPr>
        <w:pStyle w:val="TtuloResolucin"/>
      </w:pPr>
      <w:r>
        <w:t>Sección Primera</w:t>
      </w:r>
    </w:p>
    <w:p w:rsidR="006B7292" w:rsidRDefault="006B7292" w:rsidP="006B7292">
      <w:pPr>
        <w:pStyle w:val="TextoNormalCentrado"/>
      </w:pPr>
      <w:r>
        <w:t>ECLI:ES:TC:2015:187A</w:t>
      </w:r>
    </w:p>
    <w:p w:rsidR="006B7292" w:rsidRDefault="006B7292" w:rsidP="006B7292">
      <w:pPr>
        <w:pStyle w:val="TextoNormalCentrado"/>
      </w:pPr>
    </w:p>
    <w:p w:rsidR="006B7292" w:rsidRDefault="006B7292" w:rsidP="006B7292">
      <w:pPr>
        <w:pStyle w:val="SntesisDescriptiva"/>
      </w:pPr>
      <w:r>
        <w:t>Excms. Srs. don Francisco Pérez de los Cobos Orihuel, doña Encarnación Roca Trías y don Juan Antonio Xiol Ríos.</w:t>
      </w:r>
    </w:p>
    <w:p w:rsidR="006B7292" w:rsidRDefault="006B7292" w:rsidP="006B7292">
      <w:pPr>
        <w:pStyle w:val="SntesisDescriptiva"/>
      </w:pPr>
    </w:p>
    <w:p w:rsidR="006B7292" w:rsidRDefault="006B7292" w:rsidP="006B7292">
      <w:pPr>
        <w:pStyle w:val="TtuloResolucin"/>
      </w:pPr>
      <w:r>
        <w:t>*Este auto no incorpora doctrina constitucional.</w:t>
      </w:r>
    </w:p>
    <w:p w:rsidR="006B7292" w:rsidRDefault="006B7292">
      <w:pPr>
        <w:spacing w:after="160" w:line="259" w:lineRule="auto"/>
        <w:rPr>
          <w:rFonts w:ascii="Times New Roman" w:eastAsia="Times New Roman" w:hAnsi="Times New Roman" w:cs="Times New Roman"/>
          <w:b/>
          <w:sz w:val="24"/>
          <w:szCs w:val="24"/>
          <w:lang w:eastAsia="es-ES"/>
        </w:rPr>
      </w:pPr>
      <w:r>
        <w:br w:type="page"/>
      </w:r>
    </w:p>
    <w:p w:rsidR="006B7292" w:rsidRDefault="006B7292" w:rsidP="006B7292">
      <w:pPr>
        <w:pStyle w:val="TtuloResolucin"/>
      </w:pPr>
      <w:bookmarkStart w:id="202" w:name="AUTO_2015_188"/>
      <w:r>
        <w:t>AUTO 188/2015, de 5 de noviembre de 2015</w:t>
      </w:r>
    </w:p>
    <w:bookmarkEnd w:id="202"/>
    <w:p w:rsidR="006B7292" w:rsidRDefault="006B7292" w:rsidP="006B7292">
      <w:pPr>
        <w:pStyle w:val="TtuloResolucin"/>
      </w:pPr>
      <w:r>
        <w:t>Pleno</w:t>
      </w:r>
    </w:p>
    <w:p w:rsidR="006B7292" w:rsidRDefault="006B7292" w:rsidP="006B7292">
      <w:pPr>
        <w:pStyle w:val="TextoNormalCentrado"/>
      </w:pPr>
      <w:r>
        <w:t>ECLI:ES:TC:2015:188A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Inadmite a trámite la cuestión de inconstitucionalidad 3749-2015, planteada por el Juzgado de lo Contencioso-Administrativo núm. 1 de Barcelona en relación con los artículos 62 del texto articulado de la Ley de funcionarios civiles del Estado, aprobado por Decreto 315/1964, de 7 de febrero, y 78.3 de la Ley 7/2007, de 12 de abril, del estatuto básico del empleado público.</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25 de junio de 2015 tuvo entrada en el Registro General de este Tribunal escrito del Juzgado de lo Contencioso-Administrativo núm. 1 de Barcelona, al que se acompaña, además del testimonio del procedimiento correspondiente, el Auto de 4 de junio de 2015, por el que se acuerda plantear cuestión de inconstitucionalidad en relación con el art. 62 de la Ley de funcionarios civiles del Estado, texto articulado aprobado por Decreto 315/1964, de 7 de febrero, y el art. 78.3 de la Ley 7/2007, de 12 de abril, del estatuto básico del empleado público.</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de hecho del planteamiento de la presente cuestión de inconstitucionalidad son, sucintamente expuestos, los siguientes:</w:t>
      </w:r>
    </w:p>
    <w:p w:rsidR="006B7292" w:rsidRDefault="006B7292" w:rsidP="006B7292">
      <w:pPr>
        <w:pStyle w:val="TextoNormal"/>
      </w:pPr>
    </w:p>
    <w:p w:rsidR="006B7292" w:rsidRDefault="006B7292" w:rsidP="006B7292">
      <w:pPr>
        <w:pStyle w:val="TextoNormal"/>
      </w:pPr>
      <w:r>
        <w:t>a) El 22 de julio de 2014, dos funcionarios públicos de carrera con categoría de agentes o mozos del Cuerpo de Policía de la Generalitat-Mossos d´Esquadra, interpusieron recurso contencioso-administrativo contra la desestimación presunta por silencio administrativo negativo, del recurso de reposición deducido en su día contra la resolución de 5 de marzo de 2014, de la Dirección General de Policía de la Administración de la Generalitat de Cataluña, por la que se deniega la permuta de destinos instada en su momento por los recurrentes; denegación que resultó íntegramente confirmada por resolución administrativa expresa posterior, el 28 de julio de 2014.</w:t>
      </w:r>
    </w:p>
    <w:p w:rsidR="006B7292" w:rsidRDefault="006B7292" w:rsidP="006B7292">
      <w:pPr>
        <w:pStyle w:val="TextoNormal"/>
      </w:pPr>
    </w:p>
    <w:p w:rsidR="006B7292" w:rsidRDefault="006B7292" w:rsidP="006B7292">
      <w:pPr>
        <w:pStyle w:val="TextoNormal"/>
      </w:pPr>
      <w:r>
        <w:t>b) Tras la celebración de la vista oral y conclusas las actuaciones, mediante providencia de 14 de mayo de 2015, el Juzgado de lo Contencioso-Administrativo núm. 1 de Barcelona, vistas las actuaciones y con suspensión del plazo para dictar sentencia, acuerda, de conformidad con lo dispuesto en el art. 35.2 de la Ley Orgánica del Tribunal Constitucional (LOTC), dar audiencia a las partes comparecidas y al Ministerio Fiscal, para que en el plazo común e improrrogable de diez días puedan alegar lo que estimen conveniente sobre la pertinencia de plantear cuestión de inconstitucionalidad en relación con el art. 62 de la Ley de funcionarios civiles del Estado, cuyo texto articulado fue aprobado por Decreto 315/1964, de 7 de febrero, y en relación con el art. 78.3 de la Ley 7/2007, de 12 de abril, del estatuto básico del empleado público, en cuanto dichos preceptos contemplan la permuta de destinos entre funcionarios públicos de carrera, como forma de provisión definitiva de puestos de trabajo funcionariales, con infracción de los principios constitucionales de mérito y capacidad en el acceso y provisión de funciones en virtud de los arts. 23.2 y 103.3 CE. Considera el órgano judicial que dichos preceptos constituyen el único fundamento normativo de rango legal desarrollado en Cataluña para el colectivo específico de la función pública policial autonómica, por los arts. 2.3 y 25 del Reglamento de provisión de puestos de trabajo del Cuerpo de Policía de la Generalitat-Mossos d´Esquadra, aprobado por Decreto autonómico 401/2006, de 24 de octubre, objeto de la controversia procesal de autos.</w:t>
      </w:r>
    </w:p>
    <w:p w:rsidR="006B7292" w:rsidRDefault="006B7292" w:rsidP="006B7292">
      <w:pPr>
        <w:pStyle w:val="TextoNormal"/>
      </w:pPr>
    </w:p>
    <w:p w:rsidR="006B7292" w:rsidRDefault="006B7292" w:rsidP="006B7292">
      <w:pPr>
        <w:pStyle w:val="TextoNormal"/>
      </w:pPr>
      <w:r>
        <w:t>Señala la providencia que la pretendida permuta se hace en detrimento del eventual mejor derecho de cualesquiera otros funcionarios públicos, agentes del mismo cuerpo de la policía autonómica interesados en la provisión de dichos destinos y con eventual mayor mérito y capacidad al efecto, incluso con mayor antigüedad que los dos funcionarios agentes que, privadamente, concertaron dicha permuta, expresión de una concepción patrimonialista de los puestos de trabajo de las Administraciones públicas, y en ausencia de cualquier razón de interés general o de cualquier necesidad del servicio público policial que la justifique y sí solo de razones de interés particular de los dos funcionarios afectados.</w:t>
      </w:r>
    </w:p>
    <w:p w:rsidR="006B7292" w:rsidRDefault="006B7292" w:rsidP="006B7292">
      <w:pPr>
        <w:pStyle w:val="TextoNormal"/>
      </w:pPr>
    </w:p>
    <w:p w:rsidR="006B7292" w:rsidRDefault="006B7292" w:rsidP="006B7292">
      <w:pPr>
        <w:pStyle w:val="TextoNormal"/>
      </w:pPr>
      <w:r>
        <w:t>c) Por escrito de 28 de mayo de 2015, el Fiscal, despachando el trámite de audiencia, emite informe en el que considera que se dan tanto el juicio de aplicabilidad como el de relevancia, y estima pertinente el planteamiento de la cuestión de inconstitucionalidad. Por su parte, y en escrito de 3 de junio de 2015, el Gabinete jurídico de la Generalitat se opone al planteamiento de la cuestión de inconstitucionalidad, por considerar que la permuta, tal y como está configurada legalmente, no contradice los preceptos constitucionales invocados.</w:t>
      </w:r>
    </w:p>
    <w:p w:rsidR="006B7292" w:rsidRDefault="006B7292" w:rsidP="006B7292">
      <w:pPr>
        <w:pStyle w:val="TextoNormal"/>
      </w:pPr>
    </w:p>
    <w:p w:rsidR="006B7292" w:rsidRDefault="006B7292" w:rsidP="006B7292">
      <w:pPr>
        <w:pStyle w:val="TextoNormal"/>
      </w:pPr>
      <w:r>
        <w:t>d) El órgano judicial dictó el Auto de 4 de junio de 2015, planteando la cuestión de inconstitucionalidad en relación con el art. 62 de la Ley de funcionarios civiles del Estado, texto articulado aprobado por Decreto 315/1964, de 7 de febrero; y el art. 78.3 de la Ley 7/2007, de 12 de abril, del estatuto básico del empleado público.</w:t>
      </w:r>
    </w:p>
    <w:p w:rsidR="006B7292" w:rsidRDefault="006B7292" w:rsidP="006B7292">
      <w:pPr>
        <w:pStyle w:val="TextoNormal"/>
      </w:pPr>
    </w:p>
    <w:p w:rsidR="006B7292" w:rsidRDefault="006B7292" w:rsidP="006B7292">
      <w:pPr>
        <w:pStyle w:val="TextoNormal"/>
      </w:pPr>
      <w:r w:rsidRPr="006B7292">
        <w:rPr>
          <w:rStyle w:val="NumeroAFNegritaCaracter"/>
        </w:rPr>
        <w:t>3</w:t>
      </w:r>
      <w:r>
        <w:t>. El Auto de planteamiento de la cuestión de inconstitucionalidad se fundamenta en las consideraciones que seguidamente se indican:</w:t>
      </w:r>
    </w:p>
    <w:p w:rsidR="006B7292" w:rsidRDefault="006B7292" w:rsidP="006B7292">
      <w:pPr>
        <w:pStyle w:val="TextoNormal"/>
      </w:pPr>
    </w:p>
    <w:p w:rsidR="006B7292" w:rsidRDefault="006B7292" w:rsidP="006B7292">
      <w:pPr>
        <w:pStyle w:val="TextoNormal"/>
      </w:pPr>
      <w:r>
        <w:t xml:space="preserve">Tras exponer los antecedentes de hecho de la presente cuestión de inconstitucionalidad, el Auto comienza por pronunciarse sobre los preceptos con fuerza de ley cuya constitucionalidad se cuestiona. El art. 62 de la Ley de funcionarios civiles del Estado de 1964 (en adelante LFCE), cuya actual vigencia ha mantenido el apartado a) de la disposición derogatoria única de la Ley 7/2007, del estatuto básico del empleado público (en adelante LEEP), regula la permuta de destinos entre funcionarios públicos de carrera en el marco de los distintos modos o sistemas de provisión definitiva de los puestos de trabajo de naturaleza funcionarial en el seno de las Administraciones públicas. A su vez, el art. 78.3 LEEP —cuya naturaleza de norma básica estatal se establece en la disposición final primera, </w:t>
      </w:r>
      <w:r w:rsidRPr="006B7292">
        <w:rPr>
          <w:i/>
        </w:rPr>
        <w:t>ex</w:t>
      </w:r>
      <w:r>
        <w:t xml:space="preserve"> art.149.1.18 CE—, tras enunciar en sus apartados 1 y 2 los principios de igualdad, mérito, capacidad y publicidad como principios rectores de la provisión de los puestos de trabajo funcionariales en las Administraciones públicas, y después de prescribir que la provisión de puestos de trabajo se llevará a efecto en cada Administración por los sistemas ordinarios de concurso o libre designación, con convocatoria pública, remite a las posteriores leyes sectoriales, estatales o autonómicas de desarrollo de la normativa básica, la posible regulación de otros modos o “sistemas extraordinarios” de provisión definitiva de los puestos de trabajo, entre ellos, la permuta de destinos funcionariales.</w:t>
      </w:r>
    </w:p>
    <w:p w:rsidR="006B7292" w:rsidRDefault="006B7292" w:rsidP="006B7292">
      <w:pPr>
        <w:pStyle w:val="TextoNormal"/>
      </w:pPr>
    </w:p>
    <w:p w:rsidR="006B7292" w:rsidRDefault="006B7292" w:rsidP="006B7292">
      <w:pPr>
        <w:pStyle w:val="TextoNormal"/>
      </w:pPr>
      <w:r>
        <w:t>Respecto de tales normas de rango legal, considera el órgano judicial que pudieran ser contrarias e incompatibles con la Constitución, y que la decisión del presente proceso judicial depende estrictamente de su validez. En lo que respecta al art. 62 de la Ley de funcionarios civiles del Estado, podría eventualmente optarse por su inaplicación judicial, por la inconstitucionalidad sobrevenida y efectos derogatorios del propio texto constitucional, atendida su condición de norma legal preconstitucional. Pese a que la Ley 30/1984, de 2 de agosto, de medidas para la reforma de la función pública, silencia por completo en su texto articulado dicha institución de la permuta funcionarial, al regular con carácter básico en su artículo 20 los distintos modos de provisión de puestos de trabajo reservados a funcionarios públicos, se mantuvo la vigencia del precepto controvertido, por omisión de mención expresa en su disposición derogatoria primera.1; vigencia que asimismo mantiene más tarde mediante igual omisión de cita expresa, el apartado a) de la disposición derogatoria única LEEP. En todo caso, nunca podría darse la eventual opción por su inaplicación judicial respecto de la segunda de las normas legales cuestionadas, el art. 78.3 LEEP, al tratarse de una norma legal básica y postconstitucional.</w:t>
      </w:r>
    </w:p>
    <w:p w:rsidR="006B7292" w:rsidRDefault="006B7292" w:rsidP="006B7292">
      <w:pPr>
        <w:pStyle w:val="TextoNormal"/>
      </w:pPr>
    </w:p>
    <w:p w:rsidR="006B7292" w:rsidRDefault="006B7292" w:rsidP="006B7292">
      <w:pPr>
        <w:pStyle w:val="TextoNormal"/>
      </w:pPr>
      <w:r>
        <w:t>Afirma el Auto que ambos preceptos legales constituyen el único fundamento legal para el vigente régimen jurídico de la permuta funcionarial, respecto del colectivo específico al que se refiere el litigo de autos —la función pública policial autonómica de Cataluña—, régimen jurídico que se contiene en los arts. 2.3 y 25 del vigente Reglamento de provisión de puestos de trabajo del cuerpo de Mozos de Escuadra de Cataluña, aprobado mediante Decreto autonómico 401/2006, de 24 de octubre. Añade el Auto que ni la vigente Ley 30/1984, de medidas para la reforma de la función pública, ni el texto único de la Ley de la función pública de la Administración de la Generalitat de Cataluña, aprobado por Decreto Legislativo 1/1997, de 31 de octubre, ni la Ley Orgánica 2/1986, de 13 de marzo, de fuerzas y cuerpos de seguridad del Estado, o la Ley autonómica 10/1994, de 11 de julio, de policía de la Generalitat-Mossos d´Esquadra, contienen mención alguna a la permuta de los destinos funcionariales, más allá de la referencia colateral contenida en esta última Ley autonómica, respecto de la institución de la permuta, para la definición del tipo disciplinario de falta leve contenido en su artículo 70 f).</w:t>
      </w:r>
    </w:p>
    <w:p w:rsidR="006B7292" w:rsidRDefault="006B7292" w:rsidP="006B7292">
      <w:pPr>
        <w:pStyle w:val="TextoNormal"/>
      </w:pPr>
    </w:p>
    <w:p w:rsidR="006B7292" w:rsidRDefault="006B7292" w:rsidP="006B7292">
      <w:pPr>
        <w:pStyle w:val="TextoNormal"/>
      </w:pPr>
      <w:r>
        <w:t>Entiende el juzgador que ambos preceptos contravienen abiertamente los principios constitucionales de igualdad, mérito y capacidad que, junto al de publicidad, presiden el acceso y permanencia en las funciones de cargos públicos, de conformidad con lo dispuesto en los arts. 23.2 y 103.3 CE; modelo que no permite el pretendido intercambio privado o permuta de sus respectivos puestos de trabajo entre funcionarios públicos en detrimento del eventual mejor derecho de cualesquiera otros funcionarios públicos de carrera del mismo cuerpo policial interesados en la provisión concursada de los destinos objeto de permuta, y con eventual mejor derecho para ello que los dos funcionarios públicos que, bilateral y privadamente, concertaron en su día dicha permuta.</w:t>
      </w:r>
    </w:p>
    <w:p w:rsidR="006B7292" w:rsidRDefault="006B7292" w:rsidP="006B7292">
      <w:pPr>
        <w:pStyle w:val="TextoNormal"/>
      </w:pPr>
    </w:p>
    <w:p w:rsidR="006B7292" w:rsidRDefault="006B7292" w:rsidP="006B7292">
      <w:pPr>
        <w:pStyle w:val="TextoNormal"/>
      </w:pPr>
      <w:r>
        <w:t>Los arts. 23.2 y 103.3 CE, seguidos en el ámbito funcionarial con carácter básico y general por la Ley del estatuto básico del empleado público y con carácter específico para el cuerpo policial autonómico aquí concernido, por el art. 6.6 de la Ley Orgánica 2/1986, de fuerzas y cuerpos de seguridad, y los arts. 21.1 y 33 de la Ley 10/1994, de policía de la Generalitat-Mossos d´Esquadra, someten la provisión de puestos de trabajo en las Administraciones públicas a los principios de igualdad, mérito y capacidad, que son los que en principio deben desprenderse de “los requisitos que señalen las leyes” a los que se refiere el art. 23.2 y por conexión también el art. 103.3 CE.</w:t>
      </w:r>
    </w:p>
    <w:p w:rsidR="006B7292" w:rsidRDefault="006B7292" w:rsidP="006B7292">
      <w:pPr>
        <w:pStyle w:val="TextoNormal"/>
      </w:pPr>
    </w:p>
    <w:p w:rsidR="006B7292" w:rsidRDefault="006B7292" w:rsidP="006B7292">
      <w:pPr>
        <w:pStyle w:val="TextoNormal"/>
      </w:pPr>
      <w:r>
        <w:t>No es absoluta la vigencia y efectividad de dichos principios en todos los sistemas de provisión de puestos de trabajo funcionariales y en todas las Administraciones públicas, como ponen de manifiesto algunos sistemas de provisión tanto definitiva como provisional —la libre designación y la redistribución de efectivos o el traslado forzoso, entre los definitivos, o la comisión de servicios y la adscripción provisional por reingreso en el servicio activo o por otros motivos, entre los provisionales—, en los que no operan los principios de igualdad, mérito y capacidad.</w:t>
      </w:r>
    </w:p>
    <w:p w:rsidR="006B7292" w:rsidRDefault="006B7292" w:rsidP="006B7292">
      <w:pPr>
        <w:pStyle w:val="TextoNormal"/>
      </w:pPr>
    </w:p>
    <w:p w:rsidR="006B7292" w:rsidRDefault="006B7292" w:rsidP="006B7292">
      <w:pPr>
        <w:pStyle w:val="TextoNormal"/>
      </w:pPr>
      <w:r>
        <w:t>La jurisprudencia del Tribunal Constitucional, es cierto, ha modulado la vigencia y efectividad de los repetidos principios constitucionales de igualdad, mérito y capacidad en algunos supuestos particulares por razón de su concurrencia con otros principios, bienes o derechos constitucionalmente protegidos por la misma Carta Magna, tales como los de eficacia, jerarquía y organización administrativa (STC 365/1993), o incluso el de protección a la familia (STC 192/1991 y STC 200/1991, entendiendo que, por específicas razones de rango constitucional, merecen distinta consideración, el acceso a la función pública o la promoción de la propia carrera administrativa, incluida la provisión definitiva de los puestos de trabajo y, por ello, dicha jurisprudencia constitucional constata puntualmente el diferente rigor e intensidad con el que en cada uno de dichos ámbitos —selección y provisión— operan los derechos y valores constitucionales.</w:t>
      </w:r>
    </w:p>
    <w:p w:rsidR="006B7292" w:rsidRDefault="006B7292" w:rsidP="006B7292">
      <w:pPr>
        <w:pStyle w:val="TextoNormal"/>
      </w:pPr>
    </w:p>
    <w:p w:rsidR="006B7292" w:rsidRDefault="006B7292" w:rsidP="006B7292">
      <w:pPr>
        <w:pStyle w:val="TextoNormal"/>
      </w:pPr>
      <w:r>
        <w:t>Afirma también el Auto de planteamiento que ninguna de tales causas de justificación concurre en el supuesto de la permuta de destinos funcionariales, pues ésta, a diferencia de otros sistemas extraordinarios de provisión de puestos de trabajo, no encuentra su razón justificativa en ningún principio, bien o derecho constitucional protegido, sino tan sólo en los intereses personales o particulares de los dos sujetos de la permuta funcionarial. Tampoco encuentra amparo en razones de interés público o de interés general, sino en los meros intereses particulares o privados de los dos agentes policiales codemandantes, como expresión de una superada concepción patrimonialista de los puestos de trabajo integrantes de las Administraciones públicas, que pudiera resultar hoy incompatible con los actuales modelos constitucionales tanto de función pública como de Administraciones públicas, tan sólo al servicio objetivo de los intereses generales (art. 103. 1 CE).</w:t>
      </w:r>
    </w:p>
    <w:p w:rsidR="006B7292" w:rsidRDefault="006B7292" w:rsidP="006B7292">
      <w:pPr>
        <w:pStyle w:val="TextoNormal"/>
      </w:pPr>
    </w:p>
    <w:p w:rsidR="006B7292" w:rsidRDefault="006B7292" w:rsidP="006B7292">
      <w:pPr>
        <w:pStyle w:val="TextoNormal"/>
      </w:pPr>
      <w:r>
        <w:t xml:space="preserve">A continuación, el Auto aborda el juicio de relevancia de la presente cuestión de inconstitucionalidad, considerando que las dos normas cuya constitucionalidad se cuestiona resultan aplicables al fallo judicial, dado que los recurrentes son funcionarios públicos de carrera, y los mismos fundan tanto su pretensión anulatoria de la actuación administrativa impugnada como su pretensión de reconocimiento de su derecho a la permuta, en la vigencia y efectividad de dicha institución, para la que entienden que cumplen los requisitos requeridos legal y reglamentariamente, sin contradicción con razones de interés general. Considera pues el órgano judicial que de la compatibilidad constitucional o no de la repetida institución de la permuta depende estrictamente el fallo judicial que deba dictarse para la resolución de la </w:t>
      </w:r>
      <w:r w:rsidRPr="006B7292">
        <w:rPr>
          <w:i/>
        </w:rPr>
        <w:t>litis</w:t>
      </w:r>
      <w:r>
        <w:t>, siendo así que resulta incontrovertido en autos que la regulación del régimen jurídico de la misma en relación con los demandantes (arts. 2.3 y 25 del Reglamento de provisión de puestos de trabajo del cuerpo de Mozos de Esquadra de Cataluña de 2006), encuentra su fundamento legal sólo en los cuestionados arts. 62 LFCE y 78.3 LEEP, aún no resultando éstos de aplicación directa sino supletoria o por remisión legal específica al personal funcionario de las fuerzas y cuerpos de seguridad incluidas entre ellas las autonómicas [arts. 2.5 y 4 e) LEEP]. Pudiendo ser ambos preceptos de rango legal contrarios, sin justificación constitucional alguna, a los repetidos principios constitucionales de igualdad, mérito y capacidad en el acceso y permanencia en las funciones y cargos públicos, incluida la provisión definitiva de los puestos de trabajo funcionariales. Concluye pues el Auto afirmando que la cuestión se plantea en relación con el art. 62 de la Ley de funcionarios civiles del Estado, y 78.3 de la Ley del estatuto básico del empleado público, en cuanto contemplan la permuta de destinos como forma de provisión definitiva de puestos de trabajo, con infracción de los principios constitucionales de igualdad, mérito y capacidad, consagrados en los arts. 23.2 y 103.3 CE.</w:t>
      </w:r>
    </w:p>
    <w:p w:rsidR="006B7292" w:rsidRDefault="006B7292" w:rsidP="006B7292">
      <w:pPr>
        <w:pStyle w:val="TextoNormal"/>
      </w:pPr>
    </w:p>
    <w:p w:rsidR="006B7292" w:rsidRDefault="006B7292" w:rsidP="006B7292">
      <w:pPr>
        <w:pStyle w:val="TextoNormal"/>
      </w:pPr>
      <w:r w:rsidRPr="006B7292">
        <w:rPr>
          <w:rStyle w:val="NumeroAFNegritaCaracter"/>
        </w:rPr>
        <w:t>4</w:t>
      </w:r>
      <w:r>
        <w:t>. Mediante providencia de 22 de septiembre de 2015, la Sección Tercera de este Tribunal acordó, a los efectos que determina el art. 37.1 LOTC, oír al Fiscal General del Estado para que, en el plazo de diez días, alegase lo que considerara conveniente acerca de la admisibilidad de la presente cuestión de inconstitucionalidad, en relación con la falta de cumplimiento de los requisitos procesales (art. 35.2 LOTC) y por si fuere notoriamente infundada.</w:t>
      </w:r>
    </w:p>
    <w:p w:rsidR="006B7292" w:rsidRDefault="006B7292" w:rsidP="006B7292">
      <w:pPr>
        <w:pStyle w:val="TextoNormal"/>
      </w:pPr>
    </w:p>
    <w:p w:rsidR="006B7292" w:rsidRDefault="006B7292" w:rsidP="006B7292">
      <w:pPr>
        <w:pStyle w:val="TextoNormal"/>
      </w:pPr>
      <w:r w:rsidRPr="006B7292">
        <w:rPr>
          <w:rStyle w:val="NumeroAFNegritaCaracter"/>
        </w:rPr>
        <w:t>5</w:t>
      </w:r>
      <w:r>
        <w:t>. La Fiscal General del Estado evacuó el trámite conferido mediante escrito registrado en este Tribunal el 16 de octubre de 2015, en el que interesa la inadmisión de la presente cuestión de inconstitucionalidad por deficiencias en el cumplimiento de los requisitos procesales y por ser notoriamente infundada.</w:t>
      </w:r>
    </w:p>
    <w:p w:rsidR="006B7292" w:rsidRDefault="006B7292" w:rsidP="006B7292">
      <w:pPr>
        <w:pStyle w:val="TextoNormal"/>
      </w:pPr>
    </w:p>
    <w:p w:rsidR="006B7292" w:rsidRDefault="006B7292" w:rsidP="006B7292">
      <w:pPr>
        <w:pStyle w:val="TextoNormal"/>
      </w:pPr>
      <w:r>
        <w:t>Considera el Ministerio Fiscal que, si bien el órgano judicial ha exteriorizado debidamente en el Auto de planteamiento de esta cuestión el juicio de aplicabilidad de los preceptos controvertidos, dicho juicio resulta notoriamente inconsistente, pues, por un lado, en relación al art. 62 del Decreto 315/1964, entiende que cabría optar por su inaplicación, en atención a su condición de norma preconstitucional y a los efectos derogatorios que sobre ésta posee el texto constitucional, razón por la cual convierte el art. 78.3 de la Ley 7/2007, en el verdadero objeto de la cuestión de inconstitucionalidad; y, por otro, el problema estriba en que dicho precepto ni siquiera se encuentra en vigor, tal y como resulta del apartado 2 de la disposición final cuarta de la misma Ley 7/2007. Lo que significa, en definitiva, que, siendo el juicio de aplicabilidad efectuado notoriamente inconsistente, la cuestión debería ser inadmitida.</w:t>
      </w:r>
    </w:p>
    <w:p w:rsidR="006B7292" w:rsidRDefault="006B7292" w:rsidP="006B7292">
      <w:pPr>
        <w:pStyle w:val="TextoNormal"/>
      </w:pPr>
    </w:p>
    <w:p w:rsidR="006B7292" w:rsidRDefault="006B7292" w:rsidP="006B7292">
      <w:pPr>
        <w:pStyle w:val="TextoNormal"/>
      </w:pPr>
      <w:r>
        <w:t>En lo relativo al juicio de relevancia, afirma que la lectura del Auto de planteamiento induce a pensar que el objeto de la presente cuestión no es otro que el de efectuar un control abstracto del ordenamiento jurídico, dado que el Auto no precisa adecuadamente en qué medida las normas cuestionadas impiden la desestimación del recurso contencioso-administrativo, más allá de la genérica consideración de que el instituto de las permutas de puestos de trabajo es, en el concepto del juzgador, inconstitucional; y porque, si lo que se pretende es confirmar las resoluciones administrativas impugnadas, no es necesario para ello provocar una declaración de inconstitucionalidad de los preceptos controvertidos. Todo lo cual debería conducir, asimismo, a la inadmisión de la presente cuestión de inconstitucionalidad.</w:t>
      </w:r>
    </w:p>
    <w:p w:rsidR="006B7292" w:rsidRDefault="006B7292" w:rsidP="006B7292">
      <w:pPr>
        <w:pStyle w:val="TextoNormal"/>
      </w:pPr>
    </w:p>
    <w:p w:rsidR="006B7292" w:rsidRDefault="006B7292" w:rsidP="006B7292">
      <w:pPr>
        <w:pStyle w:val="TextoNormal"/>
      </w:pPr>
      <w:r>
        <w:t xml:space="preserve">Precisa además, a este respecto, que para la resolución de la cuestión planteada en el procedimiento </w:t>
      </w:r>
      <w:r w:rsidRPr="006B7292">
        <w:rPr>
          <w:i/>
        </w:rPr>
        <w:t>a quo</w:t>
      </w:r>
      <w:r>
        <w:t>, habría que considerar, junto con la normativa autonómica, constituida fundamentalmente por los arts. 2.3 y 25 del Decreto 401/2006, de 24 de octubre, por el que se aprueba el Reglamento de provisión de puestos de trabajo del cuerpo de Mossos d´Esquadra, las disposiciones de la Ley Orgánica 2/1986, de 13 de marzo, de fuerzas y cuerpos de seguridad, que pudieran ser aplicables, bien de modo directo, bien con carácter supletorio. En este sentido, los apartados 1 y 2 de la disposición final segunda de la citada Ley Orgánica, vienen a establecer que la policía autónoma de Cataluña se regirá por su Estatuto de Autonomía, normas que lo desarrollen, y supletoriamente por esa Ley Orgánica 2/1986, excepción hecho de los establecido, entre otros —y en lo que ahora interesa— en su artículo 6, que será de aplicación directa al régimen de la policía autónoma de Cataluña. El artículo 6 en su apartado 6 dispone que “los puestos de servicio en las respectivas categorías se proveerán conforme a los principios de mérito, capacidad y antigüedad, a tenor de lo dispuesto en la correspondiente reglamentación”.</w:t>
      </w:r>
    </w:p>
    <w:p w:rsidR="006B7292" w:rsidRDefault="006B7292" w:rsidP="006B7292">
      <w:pPr>
        <w:pStyle w:val="TextoNormal"/>
      </w:pPr>
    </w:p>
    <w:p w:rsidR="006B7292" w:rsidRDefault="006B7292" w:rsidP="006B7292">
      <w:pPr>
        <w:pStyle w:val="TextoNormal"/>
      </w:pPr>
      <w:r>
        <w:t>Lo anterior supone, a juicio del Ministerio Fiscal, que el régimen estatutario de la policía de la Generalitat no se encuentra sujeto a la normativa básica del régimen estatutario de los funcionarios públicos, sino a la normativa que acaba de ser especificada; y que el juicio de relevancia sobre el art. 62 del Decreto 315/1964 y del art. 78.3 de la Ley 7/2007, que ha exteriorizado el órgano judicial, resulta notoriamente inconsistente, lo que habría de conducir a la inadmisión de la presente cuestión de inconstitucionalidad, conforme a lo establecido en el art. 37.1 LOTC.</w:t>
      </w:r>
    </w:p>
    <w:p w:rsidR="006B7292" w:rsidRDefault="006B7292" w:rsidP="006B7292">
      <w:pPr>
        <w:pStyle w:val="TextoNormal"/>
      </w:pPr>
    </w:p>
    <w:p w:rsidR="006B7292" w:rsidRDefault="006B7292" w:rsidP="006B7292">
      <w:pPr>
        <w:pStyle w:val="TextoNormal"/>
      </w:pPr>
      <w:r>
        <w:t>Por último, y en relación al carácter notoriamente infundado de la cuestión planteada, se afirma que el órgano judicial no se ha planteado la posibilidad de que, respetando la existencia en el ordenamiento jurídico de la institución de la permuta de puestos de trabajo, pudiera ésta ser entendida y aplicada en términos constitucionalmente aceptables, sin necesidad de declaración de inconstitucionalidad alguna. Esta interpretación constitucional consistiría en modular la aplicación de los preceptos que contemplan la posibilidad de la permuta de puestos de trabajo entre funcionarios públicos con la introducción de los principios que resultan de los arts. 23.3 y 103. 1 y 3 CE: primacía del acceso en condiciones de igualdad, supremacía de los intereses públicos o generales, y preeminencia de los principios de mérito y capacidad. Lo que se traduciría en entender que la permuta de puestos de trabajo habrá de tener un carácter excepcional, obedecer a un interés público o general, y no privar de eficacia a los sistemas ordinarios de provisión de puestos de trabajo, basados en los principios de igualdad, mérito y capacidad. Esta interpretación resultaría sin mayores dificultades del juego conjunto de los arts. 25 del Decreto 401/2006, de 24 de octubre, 6.6 de la Ley Orgánica 2/1986, de 13 de marzo, y 23.2 y 103.1 y 3 CE, por lo que la cuestión planteada resultaría notoriamente infundada.</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Juzgado de lo Contencioso-Administrativo núm. 1 de Barcelona plantea cuestión de inconstitucionalidad en relación con el art. 62 de la Ley de funcionarios civiles del Estado (LFCE), texto articulado aprobado por Decreto 315/1964, de 7 de febrero; y el art. 78.3 de la Ley 7/2007, de 12 de abril, del estatuto básico del empleado público (LEEP).</w:t>
      </w:r>
    </w:p>
    <w:p w:rsidR="006B7292" w:rsidRDefault="006B7292" w:rsidP="006B7292">
      <w:pPr>
        <w:pStyle w:val="TextoNormal"/>
      </w:pPr>
    </w:p>
    <w:p w:rsidR="006B7292" w:rsidRDefault="006B7292" w:rsidP="006B7292">
      <w:pPr>
        <w:pStyle w:val="TextoNormal"/>
      </w:pPr>
      <w:r>
        <w:t>El art. 62 LFCE regula la permuta de destinos entre funcionarios públicos de carrera y dispone literalmente lo siguiente:</w:t>
      </w:r>
    </w:p>
    <w:p w:rsidR="006B7292" w:rsidRDefault="006B7292" w:rsidP="006B7292">
      <w:pPr>
        <w:pStyle w:val="TextoNormal"/>
      </w:pPr>
    </w:p>
    <w:p w:rsidR="006B7292" w:rsidRDefault="006B7292" w:rsidP="006B7292">
      <w:pPr>
        <w:pStyle w:val="TextoNormal"/>
      </w:pPr>
      <w:r>
        <w:t>“1. El subsecretario, en su Departamento y el Vicepresidente de la Comisión Superior de Personal, si se trata de Ministerios distintos, podrán autorizar excepcionalmente permutas de destinos entre funcionarios en activo, o en excedencia especial, siempre que concurran las siguientes circunstancias:</w:t>
      </w:r>
    </w:p>
    <w:p w:rsidR="006B7292" w:rsidRDefault="006B7292" w:rsidP="006B7292">
      <w:pPr>
        <w:pStyle w:val="TextoNormal"/>
      </w:pPr>
    </w:p>
    <w:p w:rsidR="006B7292" w:rsidRDefault="006B7292" w:rsidP="006B7292">
      <w:pPr>
        <w:pStyle w:val="TextoNormal"/>
      </w:pPr>
      <w:r>
        <w:t>a) Que los puestos de trabajo en que sirvan sean de igual naturaleza y corresponda idéntica forma de provisión.</w:t>
      </w:r>
    </w:p>
    <w:p w:rsidR="006B7292" w:rsidRDefault="006B7292" w:rsidP="006B7292">
      <w:pPr>
        <w:pStyle w:val="TextoNormal"/>
      </w:pPr>
    </w:p>
    <w:p w:rsidR="006B7292" w:rsidRDefault="006B7292" w:rsidP="006B7292">
      <w:pPr>
        <w:pStyle w:val="TextoNormal"/>
      </w:pPr>
      <w:r>
        <w:t>b) Que los funcionarios que pretendan la permuta cuenten respectivamente con un número de años de servicio que difiera entre sí en más de cinco.</w:t>
      </w:r>
    </w:p>
    <w:p w:rsidR="006B7292" w:rsidRDefault="006B7292" w:rsidP="006B7292">
      <w:pPr>
        <w:pStyle w:val="TextoNormal"/>
      </w:pPr>
    </w:p>
    <w:p w:rsidR="006B7292" w:rsidRDefault="006B7292" w:rsidP="006B7292">
      <w:pPr>
        <w:pStyle w:val="TextoNormal"/>
      </w:pPr>
      <w:r>
        <w:t>c) Que se emita informe previo de los jefes de los solicitantes o de los Subsecretarios respectivos.</w:t>
      </w:r>
    </w:p>
    <w:p w:rsidR="006B7292" w:rsidRDefault="006B7292" w:rsidP="006B7292">
      <w:pPr>
        <w:pStyle w:val="TextoNormal"/>
      </w:pPr>
    </w:p>
    <w:p w:rsidR="006B7292" w:rsidRDefault="006B7292" w:rsidP="006B7292">
      <w:pPr>
        <w:pStyle w:val="TextoNormal"/>
      </w:pPr>
      <w:r>
        <w:t>2. En el plazo de diez años a partir de la concesión de una permuta, no podrá autorizarse otra a cualquiera de los interesados.</w:t>
      </w:r>
    </w:p>
    <w:p w:rsidR="006B7292" w:rsidRDefault="006B7292" w:rsidP="006B7292">
      <w:pPr>
        <w:pStyle w:val="TextoNormal"/>
      </w:pPr>
    </w:p>
    <w:p w:rsidR="006B7292" w:rsidRDefault="006B7292" w:rsidP="006B7292">
      <w:pPr>
        <w:pStyle w:val="TextoNormal"/>
      </w:pPr>
      <w:r>
        <w:t>3. No podrá autorizarse permuta entre funcionarios cuando a alguno de ellos le falten menos de diez años para cumplir la edad de jubilación forzosa.</w:t>
      </w:r>
    </w:p>
    <w:p w:rsidR="006B7292" w:rsidRDefault="006B7292" w:rsidP="006B7292">
      <w:pPr>
        <w:pStyle w:val="TextoNormal"/>
      </w:pPr>
    </w:p>
    <w:p w:rsidR="006B7292" w:rsidRDefault="006B7292" w:rsidP="006B7292">
      <w:pPr>
        <w:pStyle w:val="TextoNormal"/>
      </w:pPr>
      <w:r>
        <w:t>4. Serán anuladas las permutas si en los dos años siguientes a la fecha en que tengan lugar se produce la jubilación voluntaria de alguno de los permutantes.”</w:t>
      </w:r>
    </w:p>
    <w:p w:rsidR="006B7292" w:rsidRDefault="006B7292" w:rsidP="006B7292">
      <w:pPr>
        <w:pStyle w:val="TextoNormal"/>
      </w:pPr>
    </w:p>
    <w:p w:rsidR="006B7292" w:rsidRDefault="006B7292" w:rsidP="006B7292">
      <w:pPr>
        <w:pStyle w:val="TextoNormal"/>
      </w:pPr>
      <w:r>
        <w:t>Por su parte, el art. 78.3 LEEP señala:</w:t>
      </w:r>
    </w:p>
    <w:p w:rsidR="006B7292" w:rsidRDefault="006B7292" w:rsidP="006B7292">
      <w:pPr>
        <w:pStyle w:val="TextoNormal"/>
      </w:pPr>
    </w:p>
    <w:p w:rsidR="006B7292" w:rsidRDefault="006B7292" w:rsidP="006B7292">
      <w:pPr>
        <w:pStyle w:val="TextoNormal"/>
      </w:pPr>
      <w:r>
        <w:t>“Las Leyes de Función Pública que se dicten en desarrollo del presente Estatuto podrán establecer otros procedimientos de provisión en los supuestos de movilidad a que se refiere el artículo 81.2, permutas entre puestos de trabajo, movilidad por motivos de salud o rehabilitación del funcionario, reingreso al servicio activo, ceso o remoción en los puestos de trabajo y supresión de los mismos.”</w:t>
      </w:r>
    </w:p>
    <w:p w:rsidR="006B7292" w:rsidRDefault="006B7292" w:rsidP="006B7292">
      <w:pPr>
        <w:pStyle w:val="TextoNormal"/>
      </w:pPr>
    </w:p>
    <w:p w:rsidR="006B7292" w:rsidRDefault="006B7292" w:rsidP="006B7292">
      <w:pPr>
        <w:pStyle w:val="TextoNormal"/>
      </w:pPr>
      <w:r>
        <w:t>Como se ha expuesto en los antecedentes de la presente resolución, el órgano judicial considera que los mencionados preceptos —que regulan la permuta como forma de provisión definitiva de puestos de trabajo— podrían considerarse contrarios a lo dispuesto en los arts. 23.2 y 103. 1 CE, por infracción de los principios constitucionales de igualdad, mérito y capacidad que, junto al de publicidad, presiden el acceso y permanencia en las funciones y cargos públicos, y que no permitirían el intercambio privado o permuta de puestos de trabajo entre funcionarios públicos.</w:t>
      </w:r>
    </w:p>
    <w:p w:rsidR="006B7292" w:rsidRDefault="006B7292" w:rsidP="006B7292">
      <w:pPr>
        <w:pStyle w:val="TextoNormal"/>
      </w:pPr>
    </w:p>
    <w:p w:rsidR="006B7292" w:rsidRDefault="006B7292" w:rsidP="006B7292">
      <w:pPr>
        <w:pStyle w:val="TextoNormal"/>
      </w:pPr>
      <w:r>
        <w:t>La Fiscal General del Estado, en el trámite previsto en el art. 37.1 de la Ley Orgánica del Tribunal Constitucional (LOTC), se ha opuesto a la admisión a trámite de la presente cuestión de inconstitucionalidad, por entender que no se han formulado adecuadamente por el órgano judicial los juicios de aplicabilidad y relevancia exigidos por el art. 35 LOTC, y por ser notoriamente infundada en su planteamiento.</w:t>
      </w:r>
    </w:p>
    <w:p w:rsidR="006B7292" w:rsidRDefault="006B7292" w:rsidP="006B7292">
      <w:pPr>
        <w:pStyle w:val="TextoNormal"/>
      </w:pPr>
    </w:p>
    <w:p w:rsidR="006B7292" w:rsidRDefault="006B7292" w:rsidP="006B7292">
      <w:pPr>
        <w:pStyle w:val="TextoNormal"/>
      </w:pPr>
      <w:r w:rsidRPr="006B7292">
        <w:rPr>
          <w:rStyle w:val="NumeroAFNegritaCaracter"/>
        </w:rPr>
        <w:t>2</w:t>
      </w:r>
      <w:r>
        <w:t>. Conforme a lo dispuesto en el art. 37 LOTC, este Tribunal puede rechazar en trámite de admisión, mediante Auto y con la sola audiencia del Fiscal General del Estado, aquellas cuestiones de inconstitucionalidad que adolezcan de falta de los necesarios requisitos procesales o que fueren notoriamente infundadas. En el presente caso, la cuestión de inconstitucionalidad debe ser inadmitida por incorrecto cumplimiento de los requisitos procesales y, en concreto, del juicio de aplicabilidad que establece el art. 35.2 LOTC.</w:t>
      </w:r>
    </w:p>
    <w:p w:rsidR="006B7292" w:rsidRDefault="006B7292" w:rsidP="006B7292">
      <w:pPr>
        <w:pStyle w:val="TextoNormal"/>
      </w:pPr>
    </w:p>
    <w:p w:rsidR="006B7292" w:rsidRDefault="006B7292" w:rsidP="006B7292">
      <w:pPr>
        <w:pStyle w:val="TextoNormal"/>
      </w:pPr>
      <w:r>
        <w:t>Es constante la doctrina constitucional que señala que corresponde al órgano judicial proponente determinar con claridad que la disposición cuestionada es aplicable a los hechos enjuiciados en el proceso en cuyo seno se suscita, de modo que el control que corresponde efectuar a este Tribunal es meramente externo, sin que pueda sustituirlo en la selección e interpretación de la norma aplicable. Este Tribunal “no puede ponderar o revisar tal apreciación del propio órgano judicial sobre las normas que en cada caso estime aplicables, a salvo el supuesto de que el criterio que así se exponga resulte con toda evidencia errado” (STC 87/2014, de 29 de mayo, FJ 2, con cita de otras).</w:t>
      </w:r>
    </w:p>
    <w:p w:rsidR="006B7292" w:rsidRDefault="006B7292" w:rsidP="006B7292">
      <w:pPr>
        <w:pStyle w:val="TextoNormal"/>
      </w:pPr>
    </w:p>
    <w:p w:rsidR="006B7292" w:rsidRDefault="006B7292" w:rsidP="006B7292">
      <w:pPr>
        <w:pStyle w:val="TextoNormal"/>
      </w:pPr>
      <w:r>
        <w:t>Aun siendo ésta la regla general, “es lo cierto que existen supuestos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 pues con ello se garantiza que la cuestión responde a la finalidad concreta que la justifica” [STC 40/2014, de 11 de marzo, FJ 2 b), con cita de la STC 151/2011, de 29 de septiembre, FJ 3] y se evita que el control de constitucionalidad se convierta en un control abstracto, para lo que el órgano judicial no tiene legitimación (SSTC 84/2012, de 18 de abril, FJ 2; y 146/2012, de 5 de julio, FJ 3). Así pues, el control que puede hacer este Tribunal está limitado a los supuestos en que la argumentación judicial, sin necesidad de entrar en el fondo, resulte falta de consistencia [SSTC 87/2012, de 18 de abril, FJ 2; 146/2012, de 54 de julio, FJ 3 j), y 60/2013, de 13 de marzo FJ 1 b)].</w:t>
      </w:r>
    </w:p>
    <w:p w:rsidR="006B7292" w:rsidRDefault="006B7292" w:rsidP="006B7292">
      <w:pPr>
        <w:pStyle w:val="TextoNormal"/>
      </w:pPr>
    </w:p>
    <w:p w:rsidR="006B7292" w:rsidRDefault="006B7292" w:rsidP="006B7292">
      <w:pPr>
        <w:pStyle w:val="TextoNormal"/>
      </w:pPr>
      <w:r w:rsidRPr="006B7292">
        <w:rPr>
          <w:rStyle w:val="NumeroAFNegritaCaracter"/>
        </w:rPr>
        <w:t>3</w:t>
      </w:r>
      <w:r>
        <w:t>. El juicio de aplicabilidad formulado en el Auto de planteamiento de la presente cuestión de inconstitucionalidad parte de la afirmación de que el art. 62 LFCE y el art. 78.3 LEEP constituyen el único fundamento legal para el vigente régimen jurídico de la permuta funcionarial, respecto del colectivo específico al que se refiere el litigio de autos —la función pública policial autonómica—, añadiendo que ni la Ley 30/1984, de medidas para la reforma de la función pública, ni el texto único de la Ley de la función pública de la Administración de la Generalitat de Cataluña, aprobado por Decreto Legislativo 1/1997, de 31 de octubre, ni la Ley Orgánica 2/1986, de fuerzas y cuerpos de seguridad del Estado, o la Ley autonómica 10/1994, de 11 de julio, de policía de la Generalitat-Mossos d´Esquadra contienen mención alguna a la permuta de destinos funcionariales.</w:t>
      </w:r>
    </w:p>
    <w:p w:rsidR="006B7292" w:rsidRDefault="006B7292" w:rsidP="006B7292">
      <w:pPr>
        <w:pStyle w:val="TextoNormal"/>
      </w:pPr>
    </w:p>
    <w:p w:rsidR="006B7292" w:rsidRDefault="006B7292" w:rsidP="006B7292">
      <w:pPr>
        <w:pStyle w:val="TextoNormal"/>
      </w:pPr>
      <w:r>
        <w:t>En relación con ello, y como expresamente señala el informe emitido por la Fiscal General del Estado, ha de tenerse presente que la provisión de puestos de trabajo por el personal de la policía autónoma de Cataluña se rige por una normativa sectorial específica, lo que determina que ni la Ley de funcionarios civiles del Estado ni la Ley del estatuto básico del empleado público resulten de aplicación directa o supletoria en dicho ámbito.</w:t>
      </w:r>
    </w:p>
    <w:p w:rsidR="006B7292" w:rsidRDefault="006B7292" w:rsidP="006B7292">
      <w:pPr>
        <w:pStyle w:val="TextoNormal"/>
      </w:pPr>
    </w:p>
    <w:p w:rsidR="006B7292" w:rsidRDefault="006B7292" w:rsidP="006B7292">
      <w:pPr>
        <w:pStyle w:val="TextoNormal"/>
      </w:pPr>
      <w:r>
        <w:t>En concreto, la Ley Orgánica 2/1986, de 13 de marzo, de fuerzas y cuerpos de seguridad del Estado, en los apartados 1 y 2 de su disposición final segunda, dispone que: “la Policía Autónoma de Cataluña se rige por su Estatuto de Autonomía y normas que lo desarrollen, respecto a las que la presente Ley tendrá carácter supletorio, de conformidad con el artículo 13.1 de aquél” (apartado 1), añadiendo que “no obstante lo establecido en el número anterior, por su carácter general, serán de aplicación directa al régimen de la Policía Autónoma de Cataluña, los artículos 5, 6, 7 y 8 de esta Ley” (apartado 2).</w:t>
      </w:r>
    </w:p>
    <w:p w:rsidR="006B7292" w:rsidRDefault="006B7292" w:rsidP="006B7292">
      <w:pPr>
        <w:pStyle w:val="TextoNormal"/>
      </w:pPr>
    </w:p>
    <w:p w:rsidR="006B7292" w:rsidRDefault="006B7292" w:rsidP="006B7292">
      <w:pPr>
        <w:pStyle w:val="TextoNormal"/>
      </w:pPr>
      <w:r>
        <w:t>El art. 6 de la Ley Orgánica 2/1986 —que expresamente se declara de aplicación directa al régimen de la policía autónoma de Cataluña— dispone en su apartado 6 que “los puestos de servicio en la respectivas categorías se proveerán conforme a los principios de mérito, capacidad y antigüedad, a tenor de lo dispuesto en la correspondiente reglamentación”.</w:t>
      </w:r>
    </w:p>
    <w:p w:rsidR="006B7292" w:rsidRDefault="006B7292" w:rsidP="006B7292">
      <w:pPr>
        <w:pStyle w:val="TextoNormal"/>
      </w:pPr>
    </w:p>
    <w:p w:rsidR="006B7292" w:rsidRDefault="006B7292" w:rsidP="006B7292">
      <w:pPr>
        <w:pStyle w:val="TextoNormal"/>
      </w:pPr>
      <w:r>
        <w:t>Lo anterior supone que el régimen estatutario de la policía autonómica de Cataluña- Mossos d´Esquadra se rige por su legislación sectorial específica, constituida por su Estatuto de Autonomía y normas que lo desarrollen, siendo de aplicación supletoria lo dispuesto en la Ley Orgánica 2/1986, de fuerzas y cuerpos de seguridad; la cual, sin embargo, resulta de aplicación directa en lo que se refiere a la provisión de puestos de servicio en las respectivas categoría, que se regirá por lo establecido en el art. 6.6 de la citada Ley Orgánica y por lo que disponga la correspondiente reglamentación, siendo esta última, en el supuesto que nos ocupa, el Decreto 401/2006, de 24 de octubre, por el que se aprueba el Reglamento para la provisión de puestos de trabajo del cuerpo de Mossos d´Esquadra, que, en sus arts. 2.3 y 25 contempla la permuta de puestos de trabajo para la función pública policial autonómica.</w:t>
      </w:r>
    </w:p>
    <w:p w:rsidR="006B7292" w:rsidRDefault="006B7292" w:rsidP="006B7292">
      <w:pPr>
        <w:pStyle w:val="TextoNormal"/>
      </w:pPr>
    </w:p>
    <w:p w:rsidR="006B7292" w:rsidRDefault="006B7292" w:rsidP="006B7292">
      <w:pPr>
        <w:pStyle w:val="TextoNormal"/>
      </w:pPr>
      <w:r>
        <w:t>En definitiva, pues, procede acoger la objeción procesal formulada por el Ministerio Fiscal, y, en consecuencia, apreciar que el régimen estatutario de los Mossos d´Esquadra no se rige por lo dispuesto en el art. 62 LFCE y art. 78.3 LEEP, siéndole de aplicación su normativa específica. De ello resulta que el juicio de aplicabilidad realizado por el órgano judicial carece de consistencia, pues no se ha razonado suficientemente la aplicabilidad de lo dispuesto en los preceptos controvertidos, lo que determina la inadmisión a trámite de la presente cuestión de inconstitucionalidad.</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Inadmitir a trámite la presente cuestión de inconstitucionalidad</w:t>
      </w:r>
    </w:p>
    <w:p w:rsidR="006B7292" w:rsidRDefault="006B7292" w:rsidP="006B7292">
      <w:pPr>
        <w:pStyle w:val="TextoNormal"/>
      </w:pPr>
    </w:p>
    <w:p w:rsidR="006B7292" w:rsidRDefault="006B7292" w:rsidP="006B7292">
      <w:pPr>
        <w:pStyle w:val="TextoNormal"/>
      </w:pPr>
      <w:r>
        <w:t>Madrid, a cinco de noviembre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03" w:name="AUTO_2015_189"/>
      <w:r>
        <w:t>AUTO 189/2015, de 5 de noviembre de 2015</w:t>
      </w:r>
    </w:p>
    <w:bookmarkEnd w:id="203"/>
    <w:p w:rsidR="006B7292" w:rsidRDefault="006B7292" w:rsidP="006B7292">
      <w:pPr>
        <w:pStyle w:val="TtuloResolucin"/>
      </w:pPr>
      <w:r>
        <w:t>Pleno</w:t>
      </w:r>
    </w:p>
    <w:p w:rsidR="006B7292" w:rsidRDefault="006B7292" w:rsidP="006B7292">
      <w:pPr>
        <w:pStyle w:val="TtuloBOE"/>
      </w:pPr>
      <w:r>
        <w:t>(BOE núm. 296, de 11 de diciembre de 2015)</w:t>
      </w:r>
    </w:p>
    <w:p w:rsidR="006B7292" w:rsidRDefault="006B7292" w:rsidP="006B7292">
      <w:pPr>
        <w:pStyle w:val="TextoNormalCentrado"/>
      </w:pPr>
      <w:r>
        <w:t>ECLI:ES:TC:2015:189A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Deniega la suspensión en el recurso de amparo 6205-2015, promovido por los Diputados del Grupo Parlamentario de Ciudadanos en el Parlamento de Cataluña respecto de los acuerdos de la Mesa de la Cámara que admitieron a trámite la “propuesta de resolución sobre el inicio del proceso político en Cataluña como consecuencia de los resultados electorales”.</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que tuvo entrada en el Registro General de este Tribunal el 4 de noviembre de 2015, el Procurador de los Tribunales don José Luis García Guardia, en nombre y representación de los Diputados del grupo parlamentario de Ciudadanos en el Parlamento de Cataluña, presentó recurso de amparo contra el acuerdo de la Mesa del Parlamento de Cataluña, de 27 de octubre de 2015, por el que se admite a trámite la “propuesta de resolución sobre el inicio del proceso político en Cataluña como consecuencia de los resultados electorales” y contra el acuerdo de la misma Mesa, de 3 de noviembre de 2015, por el que se desestima la solicitud de reconsideración del anterior acuerdo formulada por los grupos parlamentarios de Ciudadanos y del Partido Socialista de Cataluña. Los recurrentes invocan como fundamento de su pretensión la vulneración del derecho reconocido en el art. 23 CE.</w:t>
      </w:r>
    </w:p>
    <w:p w:rsidR="006B7292" w:rsidRDefault="006B7292" w:rsidP="006B7292">
      <w:pPr>
        <w:pStyle w:val="TextoNormal"/>
      </w:pPr>
    </w:p>
    <w:p w:rsidR="006B7292" w:rsidRDefault="006B7292" w:rsidP="006B7292">
      <w:pPr>
        <w:pStyle w:val="TextoNormal"/>
      </w:pPr>
      <w:r w:rsidRPr="006B7292">
        <w:rPr>
          <w:rStyle w:val="NumeroAFNegritaCaracter"/>
        </w:rPr>
        <w:t>2</w:t>
      </w:r>
      <w:r>
        <w:t xml:space="preserve">. En la misma demanda, tras referir los hechos y los fundamentos jurídicos del recurso de amparo, mediante otrosí, los recurrentes solicitan la suspensión </w:t>
      </w:r>
      <w:r w:rsidRPr="006B7292">
        <w:rPr>
          <w:i/>
        </w:rPr>
        <w:t>inaudita parte</w:t>
      </w:r>
      <w:r>
        <w:t>, en la propia providencia de admisión a trámite del recurso de amparo planteado, e incluso antes de tal admisión a trámite, de los acuerdos impugnados. Así, señalan los recurrentes que el presente recurso de amparo presenta circunstancias absolutamente excepcionales, desconocidas hasta ahora en nuestra democracia constitucional y que exigen la inmediata suspensión de la ejecución de los acuerdos impugnados. La finalidad del amparo presentado reside, según los recurrentes, en evitar que se tramite la propuesta de resolución y que el Parlamento la apruebe instando al Gobierno de la Generalitat a desconocer la Constitución y las resoluciones del Tribunal Constitucional. Se señala que de llegar a celebrarse el Pleno del Parlamento catalán anunciado para el día 9 de noviembre, un posterior pronunciamiento declarativo del Tribunal no serviría para remediar la lesión de derechos que se ocasionaría, pues el Pleno ya habría sido celebrado y se habrían originado los consiguientes efectos: la suma de una desconexión del orden constitucional español, la desobediencia de las instituciones catalanas a todas las resoluciones que puedan dictar las instituciones constitucionales españolas y el inicio de un proceso constituyente exclusivamente catalán para la secesión de ese territorio y la creación de una República independiente de Cataluña.</w:t>
      </w:r>
    </w:p>
    <w:p w:rsidR="006B7292" w:rsidRDefault="006B7292" w:rsidP="006B7292">
      <w:pPr>
        <w:pStyle w:val="TextoNormal"/>
      </w:pPr>
    </w:p>
    <w:p w:rsidR="006B7292" w:rsidRDefault="006B7292" w:rsidP="006B7292">
      <w:pPr>
        <w:pStyle w:val="TextoNormal"/>
      </w:pPr>
      <w:r>
        <w:t>Recuerda el escrito de los recurrentes que en el ATC 156/2013, de 11 de julio, se acordó mantener la suspensión de la resolución entonces impugnada por versar sobre una cuestión de gran relieve constitucional. Para los recurrentes, si entonces se apreció el gran relieve constitucional, con mayor razón debe valorarse ahora que, de celebrarse el Pleno y aprobarse la “propuesta de resolución sobre el inicio del proceso político en Cataluña como consecuencia de los resultados electorales”, se habrá operado la desconexión del orden constitucional español, la insumisión al mismo y la desobediencia a todas las resoluciones de las instituciones españolas.</w:t>
      </w:r>
    </w:p>
    <w:p w:rsidR="006B7292" w:rsidRDefault="006B7292" w:rsidP="006B7292">
      <w:pPr>
        <w:pStyle w:val="TextoNormal"/>
      </w:pPr>
    </w:p>
    <w:p w:rsidR="006B7292" w:rsidRDefault="006B7292" w:rsidP="006B7292">
      <w:pPr>
        <w:pStyle w:val="TextoNormal"/>
      </w:pPr>
      <w:r>
        <w:t>De no adoptarse la suspensión de los acuerdos impugnados, la posterior estimación del presente amparo quedaría privada de efectividad en la medida que con el mismo se trata de impedir la aprobación de la propuesta de resolución sobre el inicio del proceso político en Cataluña como consecuencia de los resultados electorales. Por otra parte, sostienen los recurrentes que no se aprecia que la suspensión pueda afectar a intereses constitucionalmente protegidos o a derechos fundamentales de terceras personas, pues de entenderse por el Tribunal que no se vulneran los derechos alegados podría celebrarse el pleno y el debate de la propuesta.</w:t>
      </w:r>
    </w:p>
    <w:p w:rsidR="006B7292" w:rsidRDefault="006B7292" w:rsidP="006B7292">
      <w:pPr>
        <w:pStyle w:val="TextoNormal"/>
      </w:pPr>
    </w:p>
    <w:p w:rsidR="006B7292" w:rsidRDefault="006B7292" w:rsidP="006B7292">
      <w:pPr>
        <w:pStyle w:val="TextoNormal"/>
      </w:pPr>
      <w:r w:rsidRPr="006B7292">
        <w:rPr>
          <w:rStyle w:val="NumeroAFNegritaCaracter"/>
        </w:rPr>
        <w:t>3</w:t>
      </w:r>
      <w:r>
        <w:t>. El Pleno, en su reunión de 4 de noviembre de 2015 y conforme establece el art. 10.1 n) de la Ley Orgánica del Tribunal, a propuesta de la Sala Primera acordó recabar para sí el conocimiento del recurso de amparo que se tramita en la Sala bajo el número 6205-2015, interpuesto por los diputados del Grupo Parlamentario de Ciudadanos en el Parlamento de Cataluña.</w:t>
      </w:r>
    </w:p>
    <w:p w:rsidR="006B7292" w:rsidRDefault="006B7292" w:rsidP="006B7292">
      <w:pPr>
        <w:pStyle w:val="TextoNormal"/>
      </w:pPr>
    </w:p>
    <w:p w:rsidR="006B7292" w:rsidRDefault="006B7292" w:rsidP="006B7292">
      <w:pPr>
        <w:pStyle w:val="TextoNormal"/>
      </w:pPr>
      <w:r w:rsidRPr="006B7292">
        <w:rPr>
          <w:rStyle w:val="NumeroAFNegritaCaracter"/>
        </w:rPr>
        <w:t>4</w:t>
      </w:r>
      <w:r>
        <w:t>. Por providencia de 5 de noviembre de 2015, el Pleno acordó admitir a trámite el presente recurso de amparo.</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Admitido a trámite, por providencia de esta misma fecha, el recurso de amparo 6205-2015, interpuesto por Diputados del grupo parlamentario Ciudadanos del Parlamento de Cataluña, debe resolverse ahora la solicitud de suspensión cautelar formulada en la propia demanda de amparo, solicitud que afecta, como en los antecedentes queda expuesto, a los distintos actos parlamentarios recurridos. Los demandantes de amparo solicitan, con base en el art. 56.6 de la Ley Orgánica del Tribunal Constitucional (LOTC), la inmediata suspensión de acuerdos de la Mesa del Parlamento de Cataluña que han dado lugar a la admisión y tramitación de una iniciativa parlamentaria, en relación con la cual entienden que, de no adoptarse la medida cautelar, desembocaría en la convocatoria de un pleno de la Cámara autonómica en el que, tras el correspondiente debate, se adoptaría una resolución o declaración de contenido incompatible con la Constitución, que daría comienzo a un proceso constituyente para la secesión de Cataluña.</w:t>
      </w:r>
    </w:p>
    <w:p w:rsidR="006B7292" w:rsidRDefault="006B7292" w:rsidP="006B7292">
      <w:pPr>
        <w:pStyle w:val="TextoNormal"/>
      </w:pPr>
    </w:p>
    <w:p w:rsidR="006B7292" w:rsidRDefault="006B7292" w:rsidP="006B7292">
      <w:pPr>
        <w:pStyle w:val="TextoNormal"/>
      </w:pPr>
      <w:r w:rsidRPr="006B7292">
        <w:rPr>
          <w:rStyle w:val="NumeroAFNegritaCaracter"/>
        </w:rPr>
        <w:t>2</w:t>
      </w:r>
      <w:r>
        <w:t>. La respuesta a tal petición debe sustentarse en las siguientes consideraciones:</w:t>
      </w:r>
    </w:p>
    <w:p w:rsidR="006B7292" w:rsidRDefault="006B7292" w:rsidP="006B7292">
      <w:pPr>
        <w:pStyle w:val="TextoNormal"/>
      </w:pPr>
    </w:p>
    <w:p w:rsidR="006B7292" w:rsidRDefault="006B7292" w:rsidP="006B7292">
      <w:pPr>
        <w:pStyle w:val="TextoNormal"/>
      </w:pPr>
      <w:r>
        <w:t>a) Nuestro sistema de justicia constitucional contempla la posibilidad de que este Tribunal suspenda la ejecución de cualquier acto de los poderes públicos por razón del cual se reclame el amparo. Esta facultad, reconocida en el art. 56 LOTC, se sustenta en la necesidad de asegurar la efectividad de la futura sentencia, esto es, de preservar la integridad del derecho fundamental cuya vulneración se denuncia, en tanto en cuanto la ejecución del acto o resolución impugnados pudiera ocasionar un perjuicio que hiciese perder al amparo su finalidad; siempre y cuando, además, la suspensión no ocasione perturbación grave a un interés constitucionalmente protegido, ni a los derechos fundamentales o libertades públicas de una tercera persona (art. 56.2 LOTC).</w:t>
      </w:r>
    </w:p>
    <w:p w:rsidR="006B7292" w:rsidRDefault="006B7292" w:rsidP="006B7292">
      <w:pPr>
        <w:pStyle w:val="TextoNormal"/>
      </w:pPr>
    </w:p>
    <w:p w:rsidR="006B7292" w:rsidRDefault="006B7292" w:rsidP="006B7292">
      <w:pPr>
        <w:pStyle w:val="TextoNormal"/>
      </w:pPr>
      <w:r>
        <w:t>Adicionalmente, el art. 56.6 LOTC atribuye a este Tribunal la facultad de adoptar, en la propia resolución de admisión a trámite de los recursos de amparo, medidas cautelares sin oír a las partes, en supuestos de urgencia excepcional.</w:t>
      </w:r>
    </w:p>
    <w:p w:rsidR="006B7292" w:rsidRDefault="006B7292" w:rsidP="006B7292">
      <w:pPr>
        <w:pStyle w:val="TextoNormal"/>
      </w:pPr>
    </w:p>
    <w:p w:rsidR="006B7292" w:rsidRDefault="006B7292" w:rsidP="006B7292">
      <w:pPr>
        <w:pStyle w:val="TextoNormal"/>
      </w:pPr>
      <w:r>
        <w:t>b) Sin embargo, lo anterior no debe hacer olvidar que la mera interposición de un recurso de amparo no obsta a la vigencia, efectividad o ejecutoriedad de las disposiciones generales, actos administrativos o resoluciones judiciales que sean objeto de impugnación. La Ley Orgánica del Tribunal Constitucional establece el principio de que “la interposición del recurso de amparo no suspenderá los efectos del acto o sentencia impugnados” (art. 56.1), lo cual es consecuencia de la presunción de legitimidad que alcanza a todas las actuaciones de los poderes públicos, presunción inherente a la entera actividad pública (legislativa, ejecutiva y judicial).</w:t>
      </w:r>
    </w:p>
    <w:p w:rsidR="006B7292" w:rsidRDefault="006B7292" w:rsidP="006B7292">
      <w:pPr>
        <w:pStyle w:val="TextoNormal"/>
      </w:pPr>
    </w:p>
    <w:p w:rsidR="006B7292" w:rsidRDefault="006B7292" w:rsidP="006B7292">
      <w:pPr>
        <w:pStyle w:val="TextoNormal"/>
      </w:pPr>
      <w:r>
        <w:t>Consecuentemente, la suspensión se configura como una medida de carácter excepcional y de aplicación restrictiva (por todos, ATC 117/2015, de 6 de julio, FJ 1). A lo cual se añade que la acreditación del perjuicio es carga del recurrente, quien, además de alegar, debe probar o, por lo menos, justificar —ofreciendo un principio razonable de prueba— la irreparabilidad o dificultad de la reparación de los perjuicios de seguirse la ejecución del acto impugnado (ATC 90/2014, de 27 de marzo, FJ 1, entre otros muchos). Por lo mismo, no procede la suspensión de actos o resoluciones ya ejecutados, por haberse producido en tal caso una pérdida de objeto de tal solicitud (ATC 288/2007, de 18 de junio, FJ único y resoluciones allí citadas).</w:t>
      </w:r>
    </w:p>
    <w:p w:rsidR="006B7292" w:rsidRDefault="006B7292" w:rsidP="006B7292">
      <w:pPr>
        <w:pStyle w:val="TextoNormal"/>
      </w:pPr>
    </w:p>
    <w:p w:rsidR="006B7292" w:rsidRDefault="006B7292" w:rsidP="006B7292">
      <w:pPr>
        <w:pStyle w:val="TextoNormal"/>
      </w:pPr>
      <w:r>
        <w:t>c) En todo caso, el criterio para resolver cualquier pretensión suspensiva ha de ser el de la preservación de la eficacia de un posible pronunciamiento estimatorio, sin prejuzgar cuál haya de ser el sentido de la futura sentencia que ponga fin al proceso de amparo (por todos, AATC 64/1990, de 30 de enero, FJ único, y 319/2003, de 13 de octubre, FJ 4); previsión tanto más difícil en cuanto el recurso de amparo verse sobre aspectos o facetas del derecho fundamental invocado acerca de los cuales el Tribunal no haya tenido aún ocasión de pronunciarse.</w:t>
      </w:r>
    </w:p>
    <w:p w:rsidR="006B7292" w:rsidRDefault="006B7292" w:rsidP="006B7292">
      <w:pPr>
        <w:pStyle w:val="TextoNormal"/>
      </w:pPr>
    </w:p>
    <w:p w:rsidR="006B7292" w:rsidRDefault="006B7292" w:rsidP="006B7292">
      <w:pPr>
        <w:pStyle w:val="TextoNormal"/>
      </w:pPr>
      <w:r w:rsidRPr="006B7292">
        <w:rPr>
          <w:rStyle w:val="NumeroAFNegritaCaracter"/>
        </w:rPr>
        <w:t>3</w:t>
      </w:r>
      <w:r>
        <w:t>. Llegado el momento de proyectar las anteriores consideraciones sobre la presente solicitud, son diversos los intereses jurídicos que, como en cualquier otro caso, deben ser valorados para determinar la procedencia de la suspensión de los acuerdos contra los que se ha promovido el recurso de amparo.</w:t>
      </w:r>
    </w:p>
    <w:p w:rsidR="006B7292" w:rsidRDefault="006B7292" w:rsidP="006B7292">
      <w:pPr>
        <w:pStyle w:val="TextoNormal"/>
      </w:pPr>
    </w:p>
    <w:p w:rsidR="006B7292" w:rsidRDefault="006B7292" w:rsidP="006B7292">
      <w:pPr>
        <w:pStyle w:val="TextoNormal"/>
      </w:pPr>
      <w:r>
        <w:t>De un lado, nuestro sistema de justicia constitucional posibilita, en los términos expuestos, la suspensión de la efectividad de los actos parlamentarios por razón de las cuales se reclame el amparo. De otra, este Tribunal ha destacado, como uno de los fundamentos del sistema democrático, que el Parlamento es la sede natural del debate político y que el eventual resultado del debate parlamentario es cuestión que no debe condicionar anticipadamente la viabilidad misma del debate (en este sentido, ATC 135/2004, de 20 de abril, FJ 6).</w:t>
      </w:r>
    </w:p>
    <w:p w:rsidR="006B7292" w:rsidRDefault="006B7292" w:rsidP="006B7292">
      <w:pPr>
        <w:pStyle w:val="TextoNormal"/>
      </w:pPr>
    </w:p>
    <w:p w:rsidR="006B7292" w:rsidRDefault="006B7292" w:rsidP="006B7292">
      <w:pPr>
        <w:pStyle w:val="TextoNormal"/>
      </w:pPr>
      <w:r>
        <w:t>En este caso la petición cautelar trasciende a la función propia del recurso de amparo, promoviendo un control de constitucionalidad sobre una resolución que no se ha adoptado y cuyo contenido último se desconoce. Por ello, la no adopción de la medida cautelar solicitada, frente a lo que sostienen los demandantes de amparo, no hace perder al recurso de amparo su finalidad, pues la eventual sentencia estimatoria de la demanda conllevaría la declaración de nulidad de todos aquellos actos, incluidos los de trámite, que hubieran resultado lesivos de los derechos fundamentales de los demandantes de amparo, con la consiguiente adopción por este Tribunal de las medidas precisas para restablecer a los recurrentes en la integridad de sus derechos y facultades como miembros de las Cámara.</w:t>
      </w:r>
    </w:p>
    <w:p w:rsidR="006B7292" w:rsidRDefault="006B7292" w:rsidP="006B7292">
      <w:pPr>
        <w:pStyle w:val="TextoNormal"/>
      </w:pPr>
    </w:p>
    <w:p w:rsidR="006B7292" w:rsidRDefault="006B7292" w:rsidP="006B7292">
      <w:pPr>
        <w:pStyle w:val="TextoNormal"/>
      </w:pPr>
      <w:r>
        <w:t>En todo caso, no es posible compartir la afirmación de los recurrentes de que, de llegar a celebrarse el Pleno del Parlamento catalán previsto para el día 9 de noviembre, un posterior pronunciamiento del Tribunal no serviría para remediar “la desconexión del orden constitucional español, con ignorancia de todas las resoluciones que dicten las instituciones españolas, en particular este Tribunal Constitucional, y el inicio de un proceso constituyente en Cataluña para la secesión y la creación de una República catalana independiente”.</w:t>
      </w:r>
    </w:p>
    <w:p w:rsidR="006B7292" w:rsidRDefault="006B7292" w:rsidP="006B7292">
      <w:pPr>
        <w:pStyle w:val="TextoNormal"/>
      </w:pPr>
    </w:p>
    <w:p w:rsidR="006B7292" w:rsidRDefault="006B7292" w:rsidP="006B7292">
      <w:pPr>
        <w:pStyle w:val="TextoNormal"/>
      </w:pPr>
      <w:r>
        <w:t>Sin desconocer el riesgo de que en el anunciado Pleno del Parlamento catalán se apruebe una resolución acorde con la propuesta tramitada, ello no debe llevar a distorsionar el momento asignado por el Ordenamiento constitucional a cada institución para ejercer sus competencias. En este momento es a la propia Cámara autonómica a la que corresponde velar porque su actuación se desarrolle en el marco de la Constitución. El deber de fidelidad a la Constitución por parte de los poderes públicos (que en la STC 42/2014, de 25 de marzo, FJ 4, fue destacado en relación con las Asambleas Legislativas de las Comunidades Autónomas) “constituye un soporte esencial del funcionamiento del Estado autonómico y cuya observancia resulta obligada” (STC 247/2007, de 12 diciembre, FJ 4). Por tanto, son las Asambleas parlamentarias, en su condición de poderes constituidos, las que, en primer lugar, deben velar por que sus decisiones se acomoden, en todo momento, a la Constitución y al resto del ordenamiento jurídico (art. 9.1 CE), sin perjuicio de que la última palabra, cuando así se le pida, le corresponderá a este Tribunal Constitucional. Así ocurrió en la STC 42/2014, de 25 de marzo, en la que este Tribunal enjuició, declaró inconstitucional y anuló parcialmente, la resolución 5/X del Parlamento de Cataluña, por la que se aprobó la denominada “Declaración de soberanía y del derecho a decidir del pueblo de Cataluña”.</w:t>
      </w:r>
    </w:p>
    <w:p w:rsidR="006B7292" w:rsidRDefault="006B7292" w:rsidP="006B7292">
      <w:pPr>
        <w:pStyle w:val="TextoNormal"/>
      </w:pPr>
    </w:p>
    <w:p w:rsidR="006B7292" w:rsidRDefault="006B7292" w:rsidP="006B7292">
      <w:pPr>
        <w:pStyle w:val="TextoNormal"/>
      </w:pPr>
      <w:r>
        <w:t>En última instancia, el contenido de las disposiciones, resoluciones o actos emanados de un poder público, cualquiera que sea, no menoscaba la integridad de las competencias que la Constitución encomienda a este Tribunal, que ejercerá cuando proceda, con prudencia y determinación.</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Denegar la suspensión de las resoluciones impugnadas.</w:t>
      </w:r>
    </w:p>
    <w:p w:rsidR="006B7292" w:rsidRDefault="006B7292" w:rsidP="006B7292">
      <w:pPr>
        <w:pStyle w:val="TextoNormal"/>
      </w:pPr>
    </w:p>
    <w:p w:rsidR="006B7292" w:rsidRDefault="006B7292" w:rsidP="006B7292">
      <w:pPr>
        <w:pStyle w:val="TextoNormal"/>
      </w:pPr>
      <w:r>
        <w:t>Publíquese este Auto en el “Boletín Oficial del Estado”.</w:t>
      </w:r>
    </w:p>
    <w:p w:rsidR="006B7292" w:rsidRDefault="006B7292" w:rsidP="006B7292">
      <w:pPr>
        <w:pStyle w:val="TextoNormal"/>
      </w:pPr>
    </w:p>
    <w:p w:rsidR="006B7292" w:rsidRDefault="006B7292" w:rsidP="006B7292">
      <w:pPr>
        <w:pStyle w:val="TextoNormal"/>
      </w:pPr>
      <w:r>
        <w:t>Madrid, a cinco de noviembre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04" w:name="AUTO_2015_190"/>
      <w:r>
        <w:t>AUTO 190/2015, de 5 de noviembre de 2015</w:t>
      </w:r>
    </w:p>
    <w:bookmarkEnd w:id="204"/>
    <w:p w:rsidR="006B7292" w:rsidRDefault="006B7292" w:rsidP="006B7292">
      <w:pPr>
        <w:pStyle w:val="TtuloResolucin"/>
      </w:pPr>
      <w:r>
        <w:t>Pleno</w:t>
      </w:r>
    </w:p>
    <w:p w:rsidR="006B7292" w:rsidRDefault="006B7292" w:rsidP="006B7292">
      <w:pPr>
        <w:pStyle w:val="TtuloBOE"/>
      </w:pPr>
      <w:r>
        <w:t>(BOE núm. 296, de 11 de diciembre de 2015)</w:t>
      </w:r>
    </w:p>
    <w:p w:rsidR="006B7292" w:rsidRDefault="006B7292" w:rsidP="006B7292">
      <w:pPr>
        <w:pStyle w:val="TextoNormalCentrado"/>
      </w:pPr>
      <w:r>
        <w:t>ECLI:ES:TC:2015:190A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Deniega la suspensión en el recurso de amparo 6207-2015, promovido por los Diputados del Parlamento de Cataluña elegidos por las listas del Partido Popular respecto de los acuerdos de la Mesa de la Cámara que admitieron a trámite la “propuesta de resolución sobre el inicio del proceso político en Cataluña como consecuencia de los resultados electorales”.</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que tuvo entrada en el Registro General de este Tribunal el 4 de noviembre de 2015, el Procurador de los Tribunales don Manuel Sánchez-Puelles y González-Carvajal, en nombre y representación de los Diputados del Parlamento de Cataluña elegidos por las listas del Partido Popular don Xavier García Albiol, don José Enrique Millo i Rocher, don Santiago Rodríguez i Serra, doña Andrea Levy Soler, don Alejandro Fernández Álvarez, doña Maria José García Cuevas, doña Esperanza García González, don Juan Bautista Milián Querol, don Alberto Villagrasa Gil y doña Marisa Xandri Pujol, presentó recurso de amparo contra las siguientes resoluciones: el acuerdo de la Mesa del Parlamento de Cataluña, de 27 de octubre de 2015, por el que se admite a trámite la “propuesta de resolución sobre el inicio del proceso político en Cataluña como consecuencia de los resultados electorales” de los Grupos Parlamentarios de Junts pel Sí (JxSí) y Candidatura d’Unitat Popular (CUP); el acuerdo la Mesa del Parlamento de Cataluña, de 28 de octubre de 2015, por el que se acuerda la tramitación de la citada propuesta por el procedimiento de urgencia; el acuerdo de la Presidenta del Parlamento, de 2 de noviembre de 2015, de convocar la Junta de Portavoces para el día siguiente; los acuerdos de la Mesa del Parlamento de Cataluña, de 3 de noviembre de 2015, por los que se desestiman los escritos de petición de reconsideración presentados por los grupos parlamentarios y se acuerda abrir el trámite de enmiendas. Los recurrentes invocan como fundamento de su pretensión la vulneración del derecho reconocido en el art. 23.2 CE.</w:t>
      </w:r>
    </w:p>
    <w:p w:rsidR="006B7292" w:rsidRDefault="006B7292" w:rsidP="006B7292">
      <w:pPr>
        <w:pStyle w:val="TextoNormal"/>
      </w:pPr>
    </w:p>
    <w:p w:rsidR="006B7292" w:rsidRDefault="006B7292" w:rsidP="006B7292">
      <w:pPr>
        <w:pStyle w:val="TextoNormal"/>
      </w:pPr>
      <w:r w:rsidRPr="006B7292">
        <w:rPr>
          <w:rStyle w:val="NumeroAFNegritaCaracter"/>
        </w:rPr>
        <w:t>2</w:t>
      </w:r>
      <w:r>
        <w:t xml:space="preserve">. En la misma demanda, tras referir los hechos y los fundamentos jurídicos del recurso de amparo, mediante otrosí, los recurrentes solicitan la suspensión </w:t>
      </w:r>
      <w:r w:rsidRPr="006B7292">
        <w:rPr>
          <w:i/>
        </w:rPr>
        <w:t>inaudita parte</w:t>
      </w:r>
      <w:r>
        <w:t xml:space="preserve"> previa a la admisión a trámite del recurso de amparo planteado, por concurrir un supuesto de urgencia excepcional. Los recurrentes señalan que, en el caso de no adoptarse la medida de suspensión </w:t>
      </w:r>
      <w:r w:rsidRPr="006B7292">
        <w:rPr>
          <w:i/>
        </w:rPr>
        <w:t>inaudita parte</w:t>
      </w:r>
      <w:r>
        <w:t xml:space="preserve"> y con carácter urgente, perdería su finalidad el recurso de amparo de forma evidente, ya que la deliberación y votación en el Pleno del Parlamento catalán de la propuesta de resolución se ha anunciado para el próximo lunes 9 de noviembre; a lo que se añade que la no suspensión de los acuerdos impugnados, además, atentaría contra el interés general de España, produciendo una perturbación en el orden constitucional de convivencia.</w:t>
      </w:r>
    </w:p>
    <w:p w:rsidR="006B7292" w:rsidRDefault="006B7292" w:rsidP="006B7292">
      <w:pPr>
        <w:pStyle w:val="TextoNormal"/>
      </w:pPr>
    </w:p>
    <w:p w:rsidR="006B7292" w:rsidRDefault="006B7292" w:rsidP="006B7292">
      <w:pPr>
        <w:pStyle w:val="TextoNormal"/>
      </w:pPr>
      <w:r w:rsidRPr="006B7292">
        <w:rPr>
          <w:rStyle w:val="NumeroAFNegritaCaracter"/>
        </w:rPr>
        <w:t>3</w:t>
      </w:r>
      <w:r>
        <w:t>. Por providencia de 4 de noviembre de 2015, el Pleno, en su reunión de esta fecha y conforme establece el art. 10.1 n) de la Ley Orgánica del Tribunal Constitucional, a propuesta de la Sala Primera, acordó recabar para sí el conocimiento del presente recurso de amparo que se tramita en la mencionada Sala Primera bajo el número 6207-2015.</w:t>
      </w:r>
    </w:p>
    <w:p w:rsidR="006B7292" w:rsidRDefault="006B7292" w:rsidP="006B7292">
      <w:pPr>
        <w:pStyle w:val="TextoNormal"/>
      </w:pPr>
    </w:p>
    <w:p w:rsidR="006B7292" w:rsidRDefault="006B7292" w:rsidP="006B7292">
      <w:pPr>
        <w:pStyle w:val="TextoNormal"/>
      </w:pPr>
      <w:r w:rsidRPr="006B7292">
        <w:rPr>
          <w:rStyle w:val="NumeroAFNegritaCaracter"/>
        </w:rPr>
        <w:t>4</w:t>
      </w:r>
      <w:r>
        <w:t>. Por providencia de 5 de noviembre de 2015 el Pleno acordó admitir a trámite el presente recurso de amparo.</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Admitido a trámite, por providencia de esta misma fecha, el recurso de amparo 6207-2015, interpuesto por Diputados del Parlamento de Cataluña elegidos por las listas del Partido Popular, debe resolverse ahora la solicitud de suspensión cautelar formulada en la propia demanda de amparo, solicitud que afecta, como en los antecedentes queda expuesto, a los distintos actos parlamentarios recurridos. Los demandantes de amparo solicitan, con base en el art. 56.6 de la Ley Orgánica del Tribunal Constitucional (LOTC), la inmediata suspensión de acuerdos de la Mesa y de la Presidenta del Parlamento de Cataluña que han dado lugar a la admisión y tramitación de una iniciativa parlamentaria, en relación con la cual entienden que, de no adoptarse la medida cautelar, desembocaría en la convocatoria de un pleno de la Cámara autonómica en el que, tras el correspondiente debate, se adoptaría una resolución o declaración de contenido incompatible con la Constitución.</w:t>
      </w:r>
    </w:p>
    <w:p w:rsidR="006B7292" w:rsidRDefault="006B7292" w:rsidP="006B7292">
      <w:pPr>
        <w:pStyle w:val="TextoNormal"/>
      </w:pPr>
    </w:p>
    <w:p w:rsidR="006B7292" w:rsidRDefault="006B7292" w:rsidP="006B7292">
      <w:pPr>
        <w:pStyle w:val="TextoNormal"/>
      </w:pPr>
      <w:r w:rsidRPr="006B7292">
        <w:rPr>
          <w:rStyle w:val="NumeroAFNegritaCaracter"/>
        </w:rPr>
        <w:t>2</w:t>
      </w:r>
      <w:r>
        <w:t>. La respuesta a tal petición debe sustentarse en las siguientes consideraciones:</w:t>
      </w:r>
    </w:p>
    <w:p w:rsidR="006B7292" w:rsidRDefault="006B7292" w:rsidP="006B7292">
      <w:pPr>
        <w:pStyle w:val="TextoNormal"/>
      </w:pPr>
    </w:p>
    <w:p w:rsidR="006B7292" w:rsidRDefault="006B7292" w:rsidP="006B7292">
      <w:pPr>
        <w:pStyle w:val="TextoNormal"/>
      </w:pPr>
      <w:r>
        <w:t>a) Nuestro sistema de justicia constitucional contempla la posibilidad de que este Tribunal suspenda la ejecución de cualquier acto de los poderes públicos por razón del cual se reclame el amparo. Esta facultad, reconocida en el art. 56 LOTC, se sustenta en la necesidad de asegurar la efectividad de la futura sentencia, esto es, de preservar la integridad del derecho fundamental cuya vulneración se denuncia, en tanto en cuanto la ejecución del acto o resolución impugnados pudiera ocasionar un perjuicio que hiciese perder al amparo su finalidad; siempre y cuando, además, la suspensión no ocasione perturbación grave a un interés constitucionalmente protegido, ni a los derechos fundamentales o libertades públicas de una tercera persona (art. 56.2 LOTC).</w:t>
      </w:r>
    </w:p>
    <w:p w:rsidR="006B7292" w:rsidRDefault="006B7292" w:rsidP="006B7292">
      <w:pPr>
        <w:pStyle w:val="TextoNormal"/>
      </w:pPr>
    </w:p>
    <w:p w:rsidR="006B7292" w:rsidRDefault="006B7292" w:rsidP="006B7292">
      <w:pPr>
        <w:pStyle w:val="TextoNormal"/>
      </w:pPr>
      <w:r>
        <w:t>Adicionalmente, el art. 56.6 LOTC atribuye a este Tribunal la facultad de adoptar, en la propia resolución de admisión a trámite de los recursos de amparo, medidas cautelares sin oír a las partes, en supuestos de urgencia excepcional.</w:t>
      </w:r>
    </w:p>
    <w:p w:rsidR="006B7292" w:rsidRDefault="006B7292" w:rsidP="006B7292">
      <w:pPr>
        <w:pStyle w:val="TextoNormal"/>
      </w:pPr>
    </w:p>
    <w:p w:rsidR="006B7292" w:rsidRDefault="006B7292" w:rsidP="006B7292">
      <w:pPr>
        <w:pStyle w:val="TextoNormal"/>
      </w:pPr>
      <w:r>
        <w:t>b) Sin embargo, lo anterior no debe hacer olvidar que la mera interposición de un recurso de amparo no obsta a la vigencia, efectividad o ejecutoriedad de las disposiciones generales, actos administrativos o resoluciones judiciales que sean objeto de impugnación. La Ley Orgánica del Tribunal Constitucional establece el principio de que “la interposición del recurso de amparo no suspenderá los efectos del acto o sentencia impugnados” (art. 56.1), lo cual es consecuencia de la presunción de legitimidad que alcanza a todas las actuaciones de los poderes públicos, presunción inherente a la entera actividad pública (legislativa, ejecutiva y judicial).</w:t>
      </w:r>
    </w:p>
    <w:p w:rsidR="006B7292" w:rsidRDefault="006B7292" w:rsidP="006B7292">
      <w:pPr>
        <w:pStyle w:val="TextoNormal"/>
      </w:pPr>
    </w:p>
    <w:p w:rsidR="006B7292" w:rsidRDefault="006B7292" w:rsidP="006B7292">
      <w:pPr>
        <w:pStyle w:val="TextoNormal"/>
      </w:pPr>
      <w:r>
        <w:t>Consecuentemente, la suspensión se configura como una medida de carácter excepcional y de aplicación restrictiva (por todos, ATC 117/2015, de 6 de julio, FJ 1). A lo cual se añade que la acreditación del perjuicio es carga del recurrente, quien, además de alegar, debe probar o, por lo menos, justificar —ofreciendo un principio razonable de prueba— la irreparabilidad o dificultad de la reparación de los perjuicios de seguirse la ejecución del acto impugnado (ATC 90/2014, de 27 de marzo, FJ 1, entre otros muchos). Por lo mismo, no procede la suspensión de actos o resoluciones ya ejecutados, por haberse producido en tal caso una pérdida de objeto de tal solicitud (ATC 288/2007, de 18 de junio, FJ único y resoluciones allí citadas).</w:t>
      </w:r>
    </w:p>
    <w:p w:rsidR="006B7292" w:rsidRDefault="006B7292" w:rsidP="006B7292">
      <w:pPr>
        <w:pStyle w:val="TextoNormal"/>
      </w:pPr>
    </w:p>
    <w:p w:rsidR="006B7292" w:rsidRDefault="006B7292" w:rsidP="006B7292">
      <w:pPr>
        <w:pStyle w:val="TextoNormal"/>
      </w:pPr>
      <w:r>
        <w:t>c) En todo caso, el criterio para resolver cualquier pretensión suspensiva ha de ser el de la preservación de la eficacia de un posible pronunciamiento estimatorio, sin prejuzgar cuál haya de ser el sentido de la futura sentencia que ponga fin al proceso de amparo (por todos, AATC 64/1990, de 30 de enero, FJ único; y 319/2003, de 13 de octubre, FJ 4); previsión tanto más difícil en cuanto el recurso de amparo verse sobre aspectos o facetas del derecho fundamental invocado acerca de los cuales el Tribunal no haya tenido aún ocasión de pronunciarse.</w:t>
      </w:r>
    </w:p>
    <w:p w:rsidR="006B7292" w:rsidRDefault="006B7292" w:rsidP="006B7292">
      <w:pPr>
        <w:pStyle w:val="TextoNormal"/>
      </w:pPr>
    </w:p>
    <w:p w:rsidR="006B7292" w:rsidRDefault="006B7292" w:rsidP="006B7292">
      <w:pPr>
        <w:pStyle w:val="TextoNormal"/>
      </w:pPr>
      <w:r w:rsidRPr="006B7292">
        <w:rPr>
          <w:rStyle w:val="NumeroAFNegritaCaracter"/>
        </w:rPr>
        <w:t>3</w:t>
      </w:r>
      <w:r>
        <w:t>. Llegado el momento de proyectar las anteriores consideraciones sobre la presente solicitud, son diversos los intereses jurídicos que, como en cualquier otro caso, deben ser valorados para determinar la procedencia de la suspensión de los acuerdos contra los que se ha promovido el recurso de amparo.</w:t>
      </w:r>
    </w:p>
    <w:p w:rsidR="006B7292" w:rsidRDefault="006B7292" w:rsidP="006B7292">
      <w:pPr>
        <w:pStyle w:val="TextoNormal"/>
      </w:pPr>
    </w:p>
    <w:p w:rsidR="006B7292" w:rsidRDefault="006B7292" w:rsidP="006B7292">
      <w:pPr>
        <w:pStyle w:val="TextoNormal"/>
      </w:pPr>
      <w:r>
        <w:t>De un lado, nuestro sistema de justicia constitucional posibilita, en los términos expuestos, la suspensión de la efectividad de los actos parlamentarios por razón de las cuales se reclame el amparo. De otra, este Tribunal ha destacado, como uno de los fundamentos del sistema democrático, que el Parlamento es la sede natural del debate político y que el eventual resultado del debate parlamentario es cuestión que no debe condicionar anticipadamente la viabilidad misma del debate (en este sentido, ATC 135/2004, de 20 de abril, FJ 6).</w:t>
      </w:r>
    </w:p>
    <w:p w:rsidR="006B7292" w:rsidRDefault="006B7292" w:rsidP="006B7292">
      <w:pPr>
        <w:pStyle w:val="TextoNormal"/>
      </w:pPr>
    </w:p>
    <w:p w:rsidR="006B7292" w:rsidRDefault="006B7292" w:rsidP="006B7292">
      <w:pPr>
        <w:pStyle w:val="TextoNormal"/>
      </w:pPr>
      <w:r>
        <w:t>En este caso la petición cautelar trasciende a la función propia del recurso de amparo, promoviendo un control de constitucionalidad sobre una resolución que no se ha adoptado y cuyo contenido último se desconoce. Por ello, la no adopción de la medida cautelar solicitada, frente a lo que sostienen los demandantes de amparo, no hace perder al recurso de amparo su finalidad, pues la eventual sentencia estimatoria de la demanda conllevaría la declaración de nulidad de todos aquellos actos, incluidos los de trámite, que hubieran resultado lesivos de los derechos fundamentales de los demandantes de amparo, con la consiguiente adopción por este Tribunal de las medidas precisas para restablecer a los recurrentes en la integridad de sus derechos y facultades como miembros de las Cámara.</w:t>
      </w:r>
    </w:p>
    <w:p w:rsidR="006B7292" w:rsidRDefault="006B7292" w:rsidP="006B7292">
      <w:pPr>
        <w:pStyle w:val="TextoNormal"/>
      </w:pPr>
    </w:p>
    <w:p w:rsidR="006B7292" w:rsidRDefault="006B7292" w:rsidP="006B7292">
      <w:pPr>
        <w:pStyle w:val="TextoNormal"/>
      </w:pPr>
      <w:r>
        <w:t>Sin desconocer el riesgo de que en el anunciado Pleno del Parlamento catalán se apruebe una resolución acorde con la propuesta tramitada, ello no debe llevar a distorsionar el momento asignado por el Ordenamiento constitucional a cada institución para ejercer sus competencias. En este momento es a la propia Cámara autonómica a la que corresponde velar porque su actuación se desarrolle en el marco de la Constitución. El deber de fidelidad a la Constitución por parte de los poderes públicos (que en la STC 42/2014, de 25 de marzo, FJ 4, fue destacado en relación con las Asambleas Legislativas de las Comunidades Autónomas) “constituye un soporte esencial del funcionamiento del Estado autonómico y cuya observancia resulta obligada” (STC 247/2007, de 12 diciembre, FJ 4). Por tanto, son las Asambleas parlamentarias, en su condición de poderes constituidos, las que, en primer lugar, deben velar por que sus decisiones se acomoden, en todo momento, a la Constitución y al resto del ordenamiento jurídico (art. 9.1 CE), sin perjuicio de que la última palabra, cuando así se le pida, le corresponderá a este Tribunal Constitucional, tal y como ocurrió en la STC 42/2014, de 25 de marzo, en la que este Tribunal enjuició, declaró inconstitucional y anuló parcialmente, la resolución 5/X del Parlamento de Cataluña, por la que se aprobó la denominada “Declaración de soberanía y del derecho a decidir del pueblo de Cataluña”.</w:t>
      </w:r>
    </w:p>
    <w:p w:rsidR="006B7292" w:rsidRDefault="006B7292" w:rsidP="006B7292">
      <w:pPr>
        <w:pStyle w:val="TextoNormal"/>
      </w:pPr>
    </w:p>
    <w:p w:rsidR="006B7292" w:rsidRDefault="006B7292" w:rsidP="006B7292">
      <w:pPr>
        <w:pStyle w:val="TextoNormal"/>
      </w:pPr>
      <w:r>
        <w:t>En última instancia, el contenido de las disposiciones, resoluciones o actos emanados de un poder público, cualquiera que sea, no menoscaba la integridad de las competencias que la Constitución encomienda a este Tribunal, que ejercerá cuando proceda, con prudencia y determinación.</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Denegar la suspensión de las resoluciones impugnadas.</w:t>
      </w:r>
    </w:p>
    <w:p w:rsidR="006B7292" w:rsidRDefault="006B7292" w:rsidP="006B7292">
      <w:pPr>
        <w:pStyle w:val="TextoNormal"/>
      </w:pPr>
    </w:p>
    <w:p w:rsidR="006B7292" w:rsidRDefault="006B7292" w:rsidP="006B7292">
      <w:pPr>
        <w:pStyle w:val="TextoNormal"/>
      </w:pPr>
      <w:r>
        <w:t>Publíquese este Auto en el “Boletín Oficial del Estado”.</w:t>
      </w:r>
    </w:p>
    <w:p w:rsidR="006B7292" w:rsidRDefault="006B7292" w:rsidP="006B7292">
      <w:pPr>
        <w:pStyle w:val="TextoNormal"/>
      </w:pPr>
    </w:p>
    <w:p w:rsidR="006B7292" w:rsidRDefault="006B7292" w:rsidP="006B7292">
      <w:pPr>
        <w:pStyle w:val="TextoNormal"/>
      </w:pPr>
      <w:r>
        <w:t>Madrid, a cinco de noviembre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05" w:name="AUTO_2015_191"/>
      <w:r>
        <w:t>AUTO 191/2015, de 17 de noviembre de 2015</w:t>
      </w:r>
    </w:p>
    <w:bookmarkEnd w:id="205"/>
    <w:p w:rsidR="006B7292" w:rsidRDefault="006B7292" w:rsidP="006B7292">
      <w:pPr>
        <w:pStyle w:val="TtuloResolucin"/>
      </w:pPr>
      <w:r>
        <w:t>Sección Tercera</w:t>
      </w:r>
    </w:p>
    <w:p w:rsidR="006B7292" w:rsidRDefault="006B7292" w:rsidP="006B7292">
      <w:pPr>
        <w:pStyle w:val="TextoNormalCentrado"/>
      </w:pPr>
      <w:r>
        <w:t>ECLI:ES:TC:2015:191A</w:t>
      </w:r>
    </w:p>
    <w:p w:rsidR="006B7292" w:rsidRDefault="006B7292" w:rsidP="006B7292">
      <w:pPr>
        <w:pStyle w:val="TextoNormalCentrado"/>
      </w:pPr>
    </w:p>
    <w:p w:rsidR="006B7292" w:rsidRDefault="006B7292" w:rsidP="006B7292">
      <w:pPr>
        <w:pStyle w:val="SntesisDescriptiva"/>
      </w:pPr>
      <w:r>
        <w:t>Excms. Srs. doña Adela Asua Batarrita, don Juan José González Rivas y don Pedro José González-Trevijano Sánchez.</w:t>
      </w:r>
    </w:p>
    <w:p w:rsidR="006B7292" w:rsidRDefault="006B7292" w:rsidP="006B7292">
      <w:pPr>
        <w:pStyle w:val="SntesisDescriptiva"/>
      </w:pPr>
    </w:p>
    <w:p w:rsidR="006B7292" w:rsidRDefault="006B7292" w:rsidP="006B7292">
      <w:pPr>
        <w:pStyle w:val="TtuloResolucin"/>
      </w:pPr>
      <w:r>
        <w:t>*Este auto no incorpora doctrina constitucional.</w:t>
      </w:r>
    </w:p>
    <w:p w:rsidR="006B7292" w:rsidRDefault="006B7292">
      <w:pPr>
        <w:spacing w:after="160" w:line="259" w:lineRule="auto"/>
        <w:rPr>
          <w:rFonts w:ascii="Times New Roman" w:eastAsia="Times New Roman" w:hAnsi="Times New Roman" w:cs="Times New Roman"/>
          <w:b/>
          <w:sz w:val="24"/>
          <w:szCs w:val="24"/>
          <w:lang w:eastAsia="es-ES"/>
        </w:rPr>
      </w:pPr>
      <w:r>
        <w:br w:type="page"/>
      </w:r>
    </w:p>
    <w:p w:rsidR="006B7292" w:rsidRDefault="006B7292" w:rsidP="006B7292">
      <w:pPr>
        <w:pStyle w:val="TtuloResolucin"/>
      </w:pPr>
      <w:bookmarkStart w:id="206" w:name="AUTO_2015_192"/>
      <w:r>
        <w:t>AUTO 192/2015, de 17 de noviembre de 2015</w:t>
      </w:r>
    </w:p>
    <w:bookmarkEnd w:id="206"/>
    <w:p w:rsidR="006B7292" w:rsidRDefault="006B7292" w:rsidP="006B7292">
      <w:pPr>
        <w:pStyle w:val="TtuloResolucin"/>
      </w:pPr>
      <w:r>
        <w:t>Sección Tercera</w:t>
      </w:r>
    </w:p>
    <w:p w:rsidR="006B7292" w:rsidRDefault="006B7292" w:rsidP="006B7292">
      <w:pPr>
        <w:pStyle w:val="TextoNormalCentrado"/>
      </w:pPr>
      <w:r>
        <w:t>ECLI:ES:TC:2015:192A</w:t>
      </w:r>
    </w:p>
    <w:p w:rsidR="006B7292" w:rsidRDefault="006B7292" w:rsidP="006B7292">
      <w:pPr>
        <w:pStyle w:val="TextoNormalCentrado"/>
      </w:pPr>
    </w:p>
    <w:p w:rsidR="006B7292" w:rsidRDefault="006B7292" w:rsidP="006B7292">
      <w:pPr>
        <w:pStyle w:val="SntesisDescriptiva"/>
      </w:pPr>
      <w:r>
        <w:t>Excms. Srs. doña Adela Asua Batarrita, don Juan José González Rivas y don Pedro José González-Trevijano Sánchez.</w:t>
      </w:r>
    </w:p>
    <w:p w:rsidR="006B7292" w:rsidRDefault="006B7292" w:rsidP="006B7292">
      <w:pPr>
        <w:pStyle w:val="SntesisDescriptiva"/>
      </w:pPr>
    </w:p>
    <w:p w:rsidR="006B7292" w:rsidRDefault="006B7292" w:rsidP="006B7292">
      <w:pPr>
        <w:pStyle w:val="SntesisDescriptiva"/>
      </w:pPr>
      <w:r>
        <w:t>Acuerda el desistimiento en el recurso de amparo 1788-2015, promovido en litigio social.</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Por la Procuradora de los Tribunales doña Ana Lázaro Gogorza en nombre de Gestión Ambiental de Navarra, S.A., se presentó recurso de amparo el día 26 de marzo de 2015.</w:t>
      </w:r>
    </w:p>
    <w:p w:rsidR="006B7292" w:rsidRDefault="006B7292" w:rsidP="006B7292">
      <w:pPr>
        <w:pStyle w:val="TextoNormal"/>
      </w:pPr>
    </w:p>
    <w:p w:rsidR="006B7292" w:rsidRDefault="006B7292" w:rsidP="006B7292">
      <w:pPr>
        <w:pStyle w:val="TextoNormal"/>
      </w:pPr>
      <w:r w:rsidRPr="006B7292">
        <w:rPr>
          <w:rStyle w:val="NumeroAFNegritaCaracter"/>
        </w:rPr>
        <w:t>2</w:t>
      </w:r>
      <w:r>
        <w:t>. El día 5 de octubre de 2015, por la misma Procuradora Sra. Lázaro Gogorza, se presentó escrito desistiendo del recurso planteado.</w:t>
      </w:r>
    </w:p>
    <w:p w:rsidR="006B7292" w:rsidRDefault="006B7292" w:rsidP="006B7292">
      <w:pPr>
        <w:pStyle w:val="TextoNormal"/>
      </w:pPr>
    </w:p>
    <w:p w:rsidR="006B7292" w:rsidRDefault="006B7292" w:rsidP="006B7292">
      <w:pPr>
        <w:pStyle w:val="TextoNormal"/>
      </w:pPr>
      <w:r w:rsidRPr="006B7292">
        <w:rPr>
          <w:rStyle w:val="NumeroAFNegritaCaracter"/>
        </w:rPr>
        <w:t>3</w:t>
      </w:r>
      <w:r>
        <w:t>. Por diligencia de ordenación de fecha 6 de octubre siguiente, se acordó dar traslado al Ministerio Fiscal para formular alegaciones sobre el desistimiento pretendido, lo que hizo por escrito de 19 de octubre último, en el sentido de no oponerse al desistimiento.</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Único. El desistimiento es una forma de terminación del procedimiento previsto en los arts. 80 y 86 de nuestra Ley Orgánica (LOTC), que se remite en el primero de dichos preceptos, en cuanto a requisitos y procedimiento, a lo establecido en la Ley Orgánica del Poder Judicial y en la Ley de enjuiciamiento civil. En el presente caso se han cumplido los requisitos legalmente exigidos, el Ministerio Fiscal no ha opuesto objeción alguna a la voluntad de desistir manifestada por el recurrente y, por otro lado, no se aprecia perjuicio de parte ni daño para el interés general o público. Por tanto, dado el carácter rogado que, en principio, tiene la jurisdicción de amparo constitucional [arts. 161.1 b) CE y 41.3 LOTC], procede acceder al desistimiento solicitado.</w:t>
      </w:r>
    </w:p>
    <w:p w:rsidR="006B7292" w:rsidRDefault="006B7292" w:rsidP="006B7292">
      <w:pPr>
        <w:pStyle w:val="TextoNormal"/>
      </w:pPr>
    </w:p>
    <w:p w:rsidR="006B7292" w:rsidRDefault="006B7292" w:rsidP="006B7292">
      <w:pPr>
        <w:pStyle w:val="TextoNormal"/>
      </w:pPr>
      <w:r>
        <w:t>Por todo lo expuesto, la Sección</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Tener por desistido del recurso de amparo a Gestión Ambiental de Navarra, S.A., y archivar las presentes actuaciones.</w:t>
      </w:r>
    </w:p>
    <w:p w:rsidR="006B7292" w:rsidRDefault="006B7292" w:rsidP="006B7292">
      <w:pPr>
        <w:pStyle w:val="TextoNormal"/>
      </w:pPr>
    </w:p>
    <w:p w:rsidR="006B7292" w:rsidRDefault="006B7292" w:rsidP="006B7292">
      <w:pPr>
        <w:pStyle w:val="TextoNormal"/>
      </w:pPr>
      <w:r>
        <w:t>Madrid, a diecisiete de noviembre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07" w:name="AUTO_2015_193"/>
      <w:r>
        <w:t>AUTO 193/2015, de 18 de noviembre de 2015</w:t>
      </w:r>
    </w:p>
    <w:bookmarkEnd w:id="207"/>
    <w:p w:rsidR="006B7292" w:rsidRDefault="006B7292" w:rsidP="006B7292">
      <w:pPr>
        <w:pStyle w:val="TtuloResolucin"/>
      </w:pPr>
      <w:r>
        <w:t>Pleno</w:t>
      </w:r>
    </w:p>
    <w:p w:rsidR="006B7292" w:rsidRDefault="006B7292" w:rsidP="006B7292">
      <w:pPr>
        <w:pStyle w:val="TextoNormalCentrado"/>
      </w:pPr>
      <w:r>
        <w:t>ECLI:ES:TC:2015:193A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Inadmite a trámite la cuestión de inconstitucionalidad 3668-2015, planteada por la Sala de lo Contencioso-Administrativo del tribunal Superior de Justicia de Canarias en relación con los apartados 1, 3 y 4 del artículo 15 de la Ley del Parlamento de Canarias 6/2009, de 6 de mayo, de medidas urgentes en materia de ordenación territorial para la dinamización sectorial y la ordenación del turismo.</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registrado en este Tribunal el 23 de junio de 2015, acompañado del Auto de 14 de abril del mismo año, la Sección Segunda de la Sala de lo Contencioso-Administrativo del Tribunal Superior de Justicia de Canarias plantea cuestión de inconstitucionalidad. Se refiere a los apartados 1, 3 y 4 del art. 15 de la Ley canaria 6/2009, de 6 de mayo, de medidas urgentes en materia de ordenación territorial para la dinamización sectorial y la ordenación del turismo, en la redacción vigente en noviembre de 2012. Plantea la posible infracción de la garantía constitucional de la autonomía municipal (arts. 137 y 140 CE), en relación con el art. 25 y concordantes de la Ley 7/1985, de 2 de abril, de bases del régimen local (LBRL), así como de los principios de interdicción de arbitrariedad (art. 9.3 CE) e igualdad (art. 14 CE).</w:t>
      </w:r>
    </w:p>
    <w:p w:rsidR="006B7292" w:rsidRDefault="006B7292" w:rsidP="006B7292">
      <w:pPr>
        <w:pStyle w:val="TextoNormal"/>
      </w:pPr>
    </w:p>
    <w:p w:rsidR="006B7292" w:rsidRDefault="006B7292" w:rsidP="006B7292">
      <w:pPr>
        <w:pStyle w:val="TextoNormal"/>
      </w:pPr>
      <w:r>
        <w:t>El art. 15 de la Ley canaria 6/2009, sobre “proyectos de sustitución, rehabilitación y reforma” —derogado por la Ley 2/2013, de 29 de mayo, de renovación y modernización turística de Canarias (disposición derogatoria única)— dispone:</w:t>
      </w:r>
    </w:p>
    <w:p w:rsidR="006B7292" w:rsidRDefault="006B7292" w:rsidP="006B7292">
      <w:pPr>
        <w:pStyle w:val="TextoNormal"/>
      </w:pPr>
    </w:p>
    <w:p w:rsidR="006B7292" w:rsidRDefault="006B7292" w:rsidP="006B7292">
      <w:pPr>
        <w:pStyle w:val="TextoNormal"/>
      </w:pPr>
      <w:r>
        <w:t>“1. Los planes o programas específicos de modernización, mejora e incremento de la competitividad del sector, aprobados por el Gobierno de Canarias, quedan sometidos al cumplimiento del trámite de cooperación administrativa previsto en el artículo 11 del Texto Refundido aprobado por el Decreto Legislativo 1/2000.</w:t>
      </w:r>
    </w:p>
    <w:p w:rsidR="006B7292" w:rsidRDefault="006B7292" w:rsidP="006B7292">
      <w:pPr>
        <w:pStyle w:val="TextoNormal"/>
      </w:pPr>
    </w:p>
    <w:p w:rsidR="006B7292" w:rsidRDefault="006B7292" w:rsidP="006B7292">
      <w:pPr>
        <w:pStyle w:val="TextoNormal"/>
      </w:pPr>
      <w:r>
        <w:t>2. Las actuaciones particulares relativas a proyectos de sustitución, de rehabilitación de la planta alojativa o de la infraestructura turística, o a los de remodelación urbanística incluidas en los planes y programas de modernización, mejora y competitividad del sector turístico a que se refiere el apartado anterior podrán ser exceptuadas por el ayuntamiento de la licencia municipal, quedando, en este caso, sometidos al régimen de comunicación previa a aquél.</w:t>
      </w:r>
    </w:p>
    <w:p w:rsidR="006B7292" w:rsidRDefault="006B7292" w:rsidP="006B7292">
      <w:pPr>
        <w:pStyle w:val="TextoNormal"/>
      </w:pPr>
    </w:p>
    <w:p w:rsidR="006B7292" w:rsidRDefault="006B7292" w:rsidP="006B7292">
      <w:pPr>
        <w:pStyle w:val="TextoNormal"/>
      </w:pPr>
      <w:r>
        <w:t>A tal efecto, el promotor deberá comunicar al ayuntamiento el inicio de la actividad de ejecución del proyecto, con una antelación de 30 días, mediante escrito al que se acompañe una descripción suficiente de la actuación y las autorizaciones otorgadas. Dentro de ese período de 30 días, el ayuntamiento sólo podrá denegar el inicio de las actividades si la actuación proyectada no se ajusta al Plan de Modernización, Mejora y Competitividad aprobado por el Gobierno o a las autorizaciones otorgadas.</w:t>
      </w:r>
    </w:p>
    <w:p w:rsidR="006B7292" w:rsidRDefault="006B7292" w:rsidP="006B7292">
      <w:pPr>
        <w:pStyle w:val="TextoNormal"/>
      </w:pPr>
    </w:p>
    <w:p w:rsidR="006B7292" w:rsidRDefault="006B7292" w:rsidP="006B7292">
      <w:pPr>
        <w:pStyle w:val="TextoNormal"/>
      </w:pPr>
      <w:r>
        <w:t>3. En el caso de que los proyectos de sustitución, rehabilitación o mejora a que se refieren los apartados anteriores no se encuentren previstos en el planeamiento vigente, o sean contrarios a las determinaciones del mismo, el Plan o programa específico que les dé cobertura y que promueva y apruebe el Gobierno tendrá una tramitación abreviada y de fase única, en la que se dará cumplimiento a las exigencias de la evaluación ambiental estratégica, prevista en la Ley 9/2006, de 28 de abril, sobre evaluación de los efectos de determinados planes y programas en el medio ambiente, salvo que, por evidenciarse su limitada trascendencia territorial y ambiental, la Comisión de Ordenación del Territorio y Medio Ambiente de Canarias, a quien además le corresponde aprobar el informe previo a la aprobación por el Gobierno de dicho plan o programa, determine su exención en aplicación de la normativa vigente.</w:t>
      </w:r>
    </w:p>
    <w:p w:rsidR="006B7292" w:rsidRDefault="006B7292" w:rsidP="006B7292">
      <w:pPr>
        <w:pStyle w:val="TextoNormal"/>
      </w:pPr>
    </w:p>
    <w:p w:rsidR="006B7292" w:rsidRDefault="006B7292" w:rsidP="006B7292">
      <w:pPr>
        <w:pStyle w:val="TextoNormal"/>
      </w:pPr>
      <w:r>
        <w:t>En el supuesto de que se determine la necesidad de llevar a cabo la evaluación ambiental estratégica del plan o programa, o la declaración de impacto ambiental de cualquiera de los proyectos previstos en la actuación planificada, será dicha comisión el órgano ambiental competente para la aprobación de la memoria ambiental, o la declaración de impacto ambiental, en su caso.</w:t>
      </w:r>
    </w:p>
    <w:p w:rsidR="006B7292" w:rsidRDefault="006B7292" w:rsidP="006B7292">
      <w:pPr>
        <w:pStyle w:val="TextoNormal"/>
      </w:pPr>
    </w:p>
    <w:p w:rsidR="006B7292" w:rsidRDefault="006B7292" w:rsidP="006B7292">
      <w:pPr>
        <w:pStyle w:val="TextoNormal"/>
      </w:pPr>
      <w:r>
        <w:t>El documento de planeamiento abreviado será sometido a informe del ayuntamiento en cuyo término municipal se lleve a cabo la actuación y del cabildo insular correspondiente, y se expondrá al trámite de información pública, que, en el caso de precisarse su evaluación ambiental estratégica, contendrá el estudio de sostenibilidad, extendiéndose el plazo de información pública a cuarenta y cinco días naturales.</w:t>
      </w:r>
    </w:p>
    <w:p w:rsidR="006B7292" w:rsidRDefault="006B7292" w:rsidP="006B7292">
      <w:pPr>
        <w:pStyle w:val="TextoNormal"/>
      </w:pPr>
    </w:p>
    <w:p w:rsidR="006B7292" w:rsidRDefault="006B7292" w:rsidP="006B7292">
      <w:pPr>
        <w:pStyle w:val="TextoNormal"/>
      </w:pPr>
      <w:r>
        <w:t>4. El Plan o programa específico, una vez aprobado por el Gobierno, será incorporado a los instrumentos de ordenación territorial y de planeamiento urbanístico pertinentes como modificación de los mismos, en el ámbito afectado, en su caso.”</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de hecho de la presente cuestión de inconstitucionalidad son, sucintamente expuestos, los siguientes:</w:t>
      </w:r>
    </w:p>
    <w:p w:rsidR="006B7292" w:rsidRDefault="006B7292" w:rsidP="006B7292">
      <w:pPr>
        <w:pStyle w:val="TextoNormal"/>
      </w:pPr>
    </w:p>
    <w:p w:rsidR="006B7292" w:rsidRDefault="006B7292" w:rsidP="006B7292">
      <w:pPr>
        <w:pStyle w:val="TextoNormal"/>
      </w:pPr>
      <w:r>
        <w:t>a) El 20 de diciembre de 2011 el Ayuntamiento de San Bartolomé de Tirajana (Las Palmas) suscribe con Gesplan —entidad pública dependiente del Gobierno de Canarias— convenio relativo a la redacción del plan de modernización, mejora e incremento de la competitividad del ámbito turístico del sur de Gran Canaria. El epígrafe IV de su parte expositiva señala: “la empresa pública del Gobierno de Canarias, Gesplan, ha recibido la encomienda por parte de aquel mediante Orden número 169 de 16 de marzo de 2011, relativa a la redacción del Plan… instrumento amparado por la Ley 6/2009 y cuyo objeto fundamental será contribuir decididamente a la recualificación de este importantísimo destino turístico de Canarias”. El epígrafe VI afirma: “para el desarrollo de los trabajos de redacción y tramitación hasta su puesta en vigor mediante la correspondiente aprobación definitiva por el Gobierno de Canarias, será fundamental desarrollar un marco de estrecha colaboración con el Ayuntamiento de la Villa de San Bartolomé de Tirajana, a los efectos de aportar al equipo redactor la información y apoyos precisos para el buen fin de los trabajos”.</w:t>
      </w:r>
    </w:p>
    <w:p w:rsidR="006B7292" w:rsidRDefault="006B7292" w:rsidP="006B7292">
      <w:pPr>
        <w:pStyle w:val="TextoNormal"/>
      </w:pPr>
    </w:p>
    <w:p w:rsidR="006B7292" w:rsidRDefault="006B7292" w:rsidP="006B7292">
      <w:pPr>
        <w:pStyle w:val="TextoNormal"/>
      </w:pPr>
      <w:r>
        <w:t>b) El Decreto 90/2012, de 22 de noviembre, aprueba el plan de modernización, mejora e incremento de la competitividad del sector turístico de San Bartolomé de Tirajana “Maspalomas Costa Canaria”. Conforme a la exposición de motivos del Decreto, el plan: “se fundamenta en el artículo 15 de la Ley 6/2009, de 6 de mayo, de medidas urgentes en materia de ordenación territorial para la dinamización sectorial y la ordenación del turismo, precepto en el cual se introduce la figura de los planes y programas específicos de modernización, mejora e incremento de la competitividad del sector, como instrumentos aptos para dar cobertura a concretos proyectos de sustitución, de rehabilitación de la planta alojativa o de la infraestructura turística, o a los de remodelación urbanística”. La finalidad del plan es, según la exposición de motivos del Decreto, “un nuevo modelo de desarrollo turístico de las urbanizaciones de Maspalomas, Playa del Inglés y San Agustín basado en dos líneas de actuación; la rehabilitación de espacio público (calles y avenidas, paseo marítimo y plazas) y la renovación de los establecimientos turísticos y de sus complementarios (comerciales y recreativos) insertos en la trama del ámbito de actuación. El presente Plan incorpora 16 propuestas en el espacio privado y la oportunidad de diseñar diversas actuaciones en espacios públicos, distribuidas entre un Sistema Verde, un Sistema de Actividad y un Sistema Costero”.</w:t>
      </w:r>
    </w:p>
    <w:p w:rsidR="006B7292" w:rsidRDefault="006B7292" w:rsidP="006B7292">
      <w:pPr>
        <w:pStyle w:val="TextoNormal"/>
      </w:pPr>
    </w:p>
    <w:p w:rsidR="006B7292" w:rsidRDefault="006B7292" w:rsidP="006B7292">
      <w:pPr>
        <w:pStyle w:val="TextoNormal"/>
      </w:pPr>
      <w:r>
        <w:t>c) Don Ángel López Navarro, en su calidad de concejal del municipio de San Bartalomé de Tirajana, interpone recurso contencioso-administrativo contra el Decreto 90/2012, de 22 de noviembre, por el que se aprueba el plan indicado.</w:t>
      </w:r>
    </w:p>
    <w:p w:rsidR="006B7292" w:rsidRDefault="006B7292" w:rsidP="006B7292">
      <w:pPr>
        <w:pStyle w:val="TextoNormal"/>
      </w:pPr>
    </w:p>
    <w:p w:rsidR="006B7292" w:rsidRDefault="006B7292" w:rsidP="006B7292">
      <w:pPr>
        <w:pStyle w:val="TextoNormal"/>
      </w:pPr>
      <w:r>
        <w:t>d) La providencia de 17 de diciembre de 2014 de la Sección Segunda de la Sala de lo Contencioso-Administrativo del Tribunal Superior de Justicia de Canarias señala el 27 de febrero de 2015 para la votación y fallo del procedimiento judicial.</w:t>
      </w:r>
    </w:p>
    <w:p w:rsidR="006B7292" w:rsidRDefault="006B7292" w:rsidP="006B7292">
      <w:pPr>
        <w:pStyle w:val="TextoNormal"/>
      </w:pPr>
    </w:p>
    <w:p w:rsidR="006B7292" w:rsidRDefault="006B7292" w:rsidP="006B7292">
      <w:pPr>
        <w:pStyle w:val="TextoNormal"/>
      </w:pPr>
      <w:r>
        <w:t>e) La providencia de 9 de marzo de 2015 del mismo órgano judicial suspende el plazo para dictar sentencia y concede a las partes y al Ministerio Fiscal plazo para alegar sobre la conveniencia de plantear cuestión de inconstitucionalidad respecto de los apartados 1, 3 y 4 del art. 15 de la Ley 6/2009 por posible contradicción con el principio de autonomía municipal (arts. 137 y 140 CE; art. 25 y concordantes LBRL). También señala la posible infracción de los arts. 9.3 y 14 CE habida cuenta de que el precepto obvia en los planes o programas que regula los principios de equidistribución de beneficios y cargas y el procedimiento de elaboración y revisión del planeamiento.</w:t>
      </w:r>
    </w:p>
    <w:p w:rsidR="006B7292" w:rsidRDefault="006B7292" w:rsidP="006B7292">
      <w:pPr>
        <w:pStyle w:val="TextoNormal"/>
      </w:pPr>
    </w:p>
    <w:p w:rsidR="006B7292" w:rsidRDefault="006B7292" w:rsidP="006B7292">
      <w:pPr>
        <w:pStyle w:val="TextoNormal"/>
      </w:pPr>
      <w:r>
        <w:t xml:space="preserve">f) El Fiscal no se opone al planteamiento de la cuestión, precisando que no le corresponde entrar en el fondo del asunto, toda vez que ello estaría reservado al Fiscal General del Estado </w:t>
      </w:r>
      <w:r w:rsidRPr="006B7292">
        <w:rPr>
          <w:i/>
        </w:rPr>
        <w:t>ex</w:t>
      </w:r>
      <w:r>
        <w:t xml:space="preserve"> art. 37.2 de la Ley Orgánica del Tribunal Constitucional (LOTC). Don Ángel López Navarro se muestra favorable al planteamiento. El Gobierno de la Comunidad Autónoma de Canarias, el Cabildo insular de Gran Canaria y el Ayuntamiento de San Bartolomé de Tirajana se oponen al planteamiento de la cuestión.</w:t>
      </w:r>
    </w:p>
    <w:p w:rsidR="006B7292" w:rsidRDefault="006B7292" w:rsidP="006B7292">
      <w:pPr>
        <w:pStyle w:val="TextoNormal"/>
      </w:pPr>
    </w:p>
    <w:p w:rsidR="006B7292" w:rsidRDefault="006B7292" w:rsidP="006B7292">
      <w:pPr>
        <w:pStyle w:val="TextoNormal"/>
      </w:pPr>
      <w:r>
        <w:t>g) El órgano judicial dicta Auto de 14 de abril de 2015 planteando la cuestión de inconstitucionalidad en relación con los apartados 1, 3 y 4 del art. 15 de la Ley canaria 6/2009, por posible infracción de la garantía constitucional de la autonomía municipal (arts. 137 y 140 CE), en relación con el art. 25 y concordantes de la Ley 7/1985, de abril, de bases del régimen local, así como de los principios de interdicción de arbitrariedad (art. 9.3 CE) e igualdad (art. 14 CE).</w:t>
      </w:r>
    </w:p>
    <w:p w:rsidR="006B7292" w:rsidRDefault="006B7292" w:rsidP="006B7292">
      <w:pPr>
        <w:pStyle w:val="TextoNormal"/>
      </w:pPr>
    </w:p>
    <w:p w:rsidR="006B7292" w:rsidRDefault="006B7292" w:rsidP="006B7292">
      <w:pPr>
        <w:pStyle w:val="TextoNormal"/>
      </w:pPr>
      <w:r w:rsidRPr="006B7292">
        <w:rPr>
          <w:rStyle w:val="NumeroAFNegritaCaracter"/>
        </w:rPr>
        <w:t>3</w:t>
      </w:r>
      <w:r>
        <w:t xml:space="preserve">. El Auto de planteamiento destaca que la tramitación, la aprobación y los contenidos del plan de modernización recurrido en el procedimiento judicial </w:t>
      </w:r>
      <w:r w:rsidRPr="006B7292">
        <w:rPr>
          <w:i/>
        </w:rPr>
        <w:t>a quo</w:t>
      </w:r>
      <w:r>
        <w:t xml:space="preserve"> se han sometido al art. 15 de la Ley 9/2009. Por tal razón, afirma, el artículo 15, sobre el que pesan las dudas de constitucionalidad, constituye el parámetro de control para resolver el recurso contencioso-administrativo. La Ley 2/2013 ha introducido un nuevo régimen para este tipo de planes a la vez que deroga el precepto cuestionado. Ahora bien, aclara, esta nueva regulación carece de aplicación retroactiva, no contiene norma alguna sobre transitoriedad y, en todo caso, es claro que en el proceso </w:t>
      </w:r>
      <w:r w:rsidRPr="006B7292">
        <w:rPr>
          <w:i/>
        </w:rPr>
        <w:t>a quo</w:t>
      </w:r>
      <w:r>
        <w:t xml:space="preserve"> habrá de aplicarse el artículo 15, pues es el manejado en la elaboración del plan impugnado. Destaca en este sentido que el proceso judicial no es un recurso directo contra reglamentos. No se está, por tanto, ante aquellos supuestos que ha aislado el Tribunal Constitucional en los que procede la inadmisión de la cuestión porque su enjuiciamiento no proyectaría resultados sobre el litigio (SSTC 147/2012, de 5 de julio, FJ 3). Señala también que es claro que la respuesta a las infracciones denunciadas por el recurrente —entre ellas, la relativa a la vulneración de la garantía constitucional de la autonomía local— exige el examen de la constitucionalidad del precepto cuestionado. Comoquiera que este ha dado cobertura a la elaboración del plan impugnado, no haría falta mayor argumentación para evidenciar que la Sentencia que lo declarase inconstitucional afectaría al resultado del proceso </w:t>
      </w:r>
      <w:r w:rsidRPr="006B7292">
        <w:rPr>
          <w:i/>
        </w:rPr>
        <w:t>a quo</w:t>
      </w:r>
      <w:r>
        <w:t xml:space="preserve">. Insiste en que los planes de modernización no se identifican con (ni equivalen a) ninguno de los instrumentos de ordenación territorial y/o urbanística del ordenamiento canario. No puede afirmarse </w:t>
      </w:r>
      <w:r w:rsidRPr="006B7292">
        <w:rPr>
          <w:i/>
        </w:rPr>
        <w:t>a priori</w:t>
      </w:r>
      <w:r>
        <w:t xml:space="preserve"> que se trata de planes generales, parciales, especiales ni de programas de ejecución, aunque, paradójicamente, su contenido prevalezca sobre los planes generales de ordenación o territoriales. La Ley controvertida ha disciplinado estos planes al margen de toda la regulación estatal y canaria. Tal deficiencia se aprecia claramente si se compara la previsión cuestionada con la nueva regulación de la Ley 2/2013.</w:t>
      </w:r>
    </w:p>
    <w:p w:rsidR="006B7292" w:rsidRDefault="006B7292" w:rsidP="006B7292">
      <w:pPr>
        <w:pStyle w:val="TextoNormal"/>
      </w:pPr>
    </w:p>
    <w:p w:rsidR="006B7292" w:rsidRDefault="006B7292" w:rsidP="006B7292">
      <w:pPr>
        <w:pStyle w:val="TextoNormal"/>
      </w:pPr>
      <w:r>
        <w:t>Respecto de la vulneración de la autonomía municipal, el Auto razona, citando doctrina constitucional, que la indisponibilidad de las competencias desautoriza cualquier alegato asentado sobre la idea de aquiescencia (STC 95/2014, de 12 de junio, FJ 3; SSTS de 5 de octubre y 30 de diciembre de 2005). Entrando en el fondo, considera que el precepto propicia la modificación del planteamiento elaborado y aprobado por el ayuntamiento por la sola voluntad de una instancia territorial distinta: el Gobierno de Canarias. Ello, además, afectando a toda clase de suelos, sin límite respecto de las posibles operaciones de revisión que afectan a la categorización, sistemas generales o previsiones de ejecución. A este respecto, el Auto insiste en que los nuevos planes de modernización han sido configurados al margen de los múltiples instrumentos de ordenación territorial y urbanística, ajeno a la ordenación jerárquica y sin sometimiento a las demás normas canarias. Ni siquiera se regula si puede operar sobre determinada clase de suelo, clasificar o desclasificar, modificar sistemas generales, etc. Sin embargo, de acuerdo con su memoria, el plan impugnado contempla intervenciones de toda naturaleza: establece las condiciones particulares de la edificación y prevé intervenciones en espacio público (principalmente calles, espacios libres y áreas de oportunidad) dirigidas a reinterpretar y reorientar su función. Incluye también intervenciones en espacio privado, en particular, de sustitución, renovación, rehabilitación o reforma en espacios establecimientos de alojamiento y espacios comerciales así como de implantación de dos equipamientos de ocio en suelo rústico. Esta descripción sería suficiente para descartar que las actuaciones se refieran exclusivamente a suelo urbano consolidado.</w:t>
      </w:r>
    </w:p>
    <w:p w:rsidR="006B7292" w:rsidRDefault="006B7292" w:rsidP="006B7292">
      <w:pPr>
        <w:pStyle w:val="TextoNormal"/>
      </w:pPr>
    </w:p>
    <w:p w:rsidR="006B7292" w:rsidRDefault="006B7292" w:rsidP="006B7292">
      <w:pPr>
        <w:pStyle w:val="TextoNormal"/>
      </w:pPr>
      <w:r>
        <w:t>En relación con la vulneración de la autonomía municipal, se afirma que los nuevos planes de modernización pueden afectar exclusivamente a parte del territorio de un municipio —como ocurre en el que es objeto del recurso—, modificando el plan general y afectando a intereses cuya gestión corresponde al ayuntamiento. Sin embargo, la participación local ha quedado limitada a un informe no vinculante con idéntico alcance que los informes de otras Administraciones o el resultado de la información pública. El Auto insiste en que la iniciativa para la aprobación del plan impugnado en modo alguno correspondió en el caso al ayuntamiento. No debe confundirse la iniciativa para la formulación y tramitación del plan, que conforme a la regulación cuestionada corresponde al Gobierno canario (sin que estuviera prevista entonces la exigencia de conformidad de los ayuntamientos que prevé ahora la Ley 2/2013) con el convenio suscrito para la redacción del plan.</w:t>
      </w:r>
    </w:p>
    <w:p w:rsidR="006B7292" w:rsidRDefault="006B7292" w:rsidP="006B7292">
      <w:pPr>
        <w:pStyle w:val="TextoNormal"/>
      </w:pPr>
    </w:p>
    <w:p w:rsidR="006B7292" w:rsidRDefault="006B7292" w:rsidP="006B7292">
      <w:pPr>
        <w:pStyle w:val="TextoNormal"/>
      </w:pPr>
      <w:r>
        <w:t>En cuanto a los intereses supramunicipales, la invocación general del turismo como sector estratégico —que ni siquiera están en la Ley cuestionada— no sería suficiente para desapoderar a los ayuntamientos en una profusión de ámbitos (alojativo, restauración, equipamientos y actividades deportivas y culturales, medio-ambiente). La mera incidencia económica o en la creación de empleo justifica un interés social, pero no es determinante por sí del interés supramunicipal, de otro modo cualquier proyecto o plan podría ser reclamado para sí por la Comunidad Autónoma o el Estado.</w:t>
      </w:r>
    </w:p>
    <w:p w:rsidR="006B7292" w:rsidRDefault="006B7292" w:rsidP="006B7292">
      <w:pPr>
        <w:pStyle w:val="TextoNormal"/>
      </w:pPr>
    </w:p>
    <w:p w:rsidR="006B7292" w:rsidRDefault="006B7292" w:rsidP="006B7292">
      <w:pPr>
        <w:pStyle w:val="TextoNormal"/>
      </w:pPr>
      <w:r>
        <w:t>Respecto de las demás posibles vulneraciones, el Auto razona que los planes de modernización, al no someterse a regulación legal alguna, no están sujetos a principios rectores de la planificación y ejecución que recoge la legislación urbanística, tanto la básica estatal como la canaria. La equidistribución de beneficios y cargas es uno de tales principios. Como los planes de modernización no están sometidos a él, “no podríamos enjuiciar su contenido caso de que se invoque —como así se hace en los recursos en que hablamos—”. No puede alegarse de contrario que los planes afectan exclusivamente a suelos urbanos consolidados —donde la aplicación de tal principio puede tener mayor modulación—, por cuanto que “las actuaciones de tales planes pueden afectar, y de hecho lo hace el que es objeto de recurso, a otra clase de suelo o incluso de equipamientos, sistema general viario, de ocio, etc.”.</w:t>
      </w:r>
    </w:p>
    <w:p w:rsidR="006B7292" w:rsidRDefault="006B7292" w:rsidP="006B7292">
      <w:pPr>
        <w:pStyle w:val="TextoNormal"/>
      </w:pPr>
    </w:p>
    <w:p w:rsidR="006B7292" w:rsidRDefault="006B7292" w:rsidP="006B7292">
      <w:pPr>
        <w:pStyle w:val="TextoNormal"/>
      </w:pPr>
      <w:r>
        <w:t xml:space="preserve">Según el Auto, algo similar puede decirse de la ausencia de la regulación que prohíbe las denominadas “reservas de dispensación” que son una aplicación del principio de inderogabilidad singular de los reglamentos recogidas desde el art. 57.3 del texto refundido de la Ley del suelo de 1973 hasta el art. 44.1 del texto refundido de las leyes de ordenación de Canarias, y que igualmente tienen anclaje constitucional al suponer discriminación </w:t>
      </w:r>
      <w:r w:rsidRPr="006B7292">
        <w:rPr>
          <w:i/>
        </w:rPr>
        <w:t>ex</w:t>
      </w:r>
      <w:r>
        <w:t xml:space="preserve"> art. 14 CE.</w:t>
      </w:r>
    </w:p>
    <w:p w:rsidR="006B7292" w:rsidRDefault="006B7292" w:rsidP="006B7292">
      <w:pPr>
        <w:pStyle w:val="TextoNormal"/>
      </w:pPr>
    </w:p>
    <w:p w:rsidR="006B7292" w:rsidRDefault="006B7292" w:rsidP="006B7292">
      <w:pPr>
        <w:pStyle w:val="TextoNormal"/>
      </w:pPr>
      <w:r>
        <w:t>El Auto afirma, en fin, que las previsiones cuestionadas vulneran también la prohibición de arbitrariedad (art. 9.3 CE) porque no regulan el contenido y los límites de los planes de modernización, lo que permitiría la modificación de cualquiera de los extremos incluidos en los planes de ordenación territorial o urbanística.</w:t>
      </w:r>
    </w:p>
    <w:p w:rsidR="006B7292" w:rsidRDefault="006B7292" w:rsidP="006B7292">
      <w:pPr>
        <w:pStyle w:val="TextoNormal"/>
      </w:pPr>
    </w:p>
    <w:p w:rsidR="006B7292" w:rsidRDefault="006B7292" w:rsidP="006B7292">
      <w:pPr>
        <w:pStyle w:val="TextoNormal"/>
      </w:pPr>
      <w:r>
        <w:t>El Auto cuenta con voto particular suscrito por una de las Magistradas que componen la Sala. Razona que, por mucho que se quiera apurar el criterio de interpretación flexible de la Ley Orgánica del Tribunal Constitucional, el Auto no alcanza a formular el juicio de relevancia porque no específica en qué medida la decisión del proceso depende de la validez de la norma cuya inconstitucionalidad se cuestiona. Considera que el Ayuntamiento de San Bartolomé de Tirajana tiene la iniciativa de colaboración a través de la entidad Gesplan para llevar a cabo la modernización del sector turístico, habiendo firmando al efecto el correspondiente convenio. Tal ayuntamiento es quien solicitó la intervención de la Administración autonómica, existiendo una activa participación local, tal como resulta del epígrafe IV de la parte expositiva del señalado convenio. El artículo 15.1 cuestionado prevé la intervención local a través del mecanismo de cooperación previsto en el art. 11 del Decreto Legislativo 1/2000. Sostiene que los motivos de la demanda plantean cuestiones de legalidad ordinaria que pueden resolverse sin planteamiento de la cuestión. Lo mismo cabría afirmar respecto de la supuesta inconstitucionalidad del artículo 15, apartados 1, 3 y 4, por obviar en los planes regulados los principios de equidistribución y procedimiento de elaboración y revisión del planeamiento. Los planes que se desarrollen recaen sobre suelos turísticos maduros o plenamente consolidados. Corresponderá a la jurisdicción ordinaria determinar si tales principios resultan vulnerados con relación a los supuestos específicos de ejecución de los distintos planes. En el presente caso, nadie cuestiona que el quiosco de Meloneras, el edificio de aparcamientos y Ocean Park están ubicados en suelo urbano consolidado. Por ello en nada afectaría al resultado del procedimiento declarar inconstitucional el art. 15 de la citada Ley. Se afirma, finalmente, que el Ayuntamiento de San Bartolomé de Tirajana, que es el más interesado “en estas lides”, no considera que haya sufrido la vulneración de su autonomía, por lo que también por ello no procedía el planteamiento de la cuestión.</w:t>
      </w:r>
    </w:p>
    <w:p w:rsidR="006B7292" w:rsidRDefault="006B7292" w:rsidP="006B7292">
      <w:pPr>
        <w:pStyle w:val="TextoNormal"/>
      </w:pPr>
    </w:p>
    <w:p w:rsidR="006B7292" w:rsidRDefault="006B7292" w:rsidP="006B7292">
      <w:pPr>
        <w:pStyle w:val="TextoNormal"/>
      </w:pPr>
      <w:r w:rsidRPr="006B7292">
        <w:rPr>
          <w:rStyle w:val="NumeroAFNegritaCaracter"/>
        </w:rPr>
        <w:t>4</w:t>
      </w:r>
      <w:r>
        <w:t>. Mediante providencia de 10 de septiembre de 2015, a los efectos del art. 37.1 LOTC, la Sección Segunda de este Tribunal confiere plazo de diez días al Fiscal General del Estado para que alegue lo que considere conveniente acerca de la admisibilidad de la presente cuestión de inconstitucionalidad en relación con el cumplimiento de los requisitos procesales (art. 35.2 LOTC) y por si fuese notoriamente infundada.</w:t>
      </w:r>
    </w:p>
    <w:p w:rsidR="006B7292" w:rsidRDefault="006B7292" w:rsidP="006B7292">
      <w:pPr>
        <w:pStyle w:val="TextoNormal"/>
      </w:pPr>
    </w:p>
    <w:p w:rsidR="006B7292" w:rsidRDefault="006B7292" w:rsidP="006B7292">
      <w:pPr>
        <w:pStyle w:val="TextoNormal"/>
      </w:pPr>
      <w:r w:rsidRPr="006B7292">
        <w:rPr>
          <w:rStyle w:val="NumeroAFNegritaCaracter"/>
        </w:rPr>
        <w:t>5</w:t>
      </w:r>
      <w:r>
        <w:t>. La Fiscal General del Estado evacua el trámite conferido mediante escrito registrado en este Tribunal el 13 de octubre de 2015. Interesa la inadmisión de la presente cuestión tanto por incumplimiento de los presupuestos procesales como por considerarla notoriamente infundada.</w:t>
      </w:r>
    </w:p>
    <w:p w:rsidR="006B7292" w:rsidRDefault="006B7292" w:rsidP="006B7292">
      <w:pPr>
        <w:pStyle w:val="TextoNormal"/>
      </w:pPr>
    </w:p>
    <w:p w:rsidR="006B7292" w:rsidRDefault="006B7292" w:rsidP="006B7292">
      <w:pPr>
        <w:pStyle w:val="TextoNormal"/>
      </w:pPr>
      <w:r>
        <w:t xml:space="preserve">La Fiscal denuncia defectos en la providencia por la que se confirió audiencia en el proceso judicial </w:t>
      </w:r>
      <w:r w:rsidRPr="006B7292">
        <w:rPr>
          <w:i/>
        </w:rPr>
        <w:t>a quo</w:t>
      </w:r>
      <w:r>
        <w:t xml:space="preserve"> a las partes y al Ministerio Fiscal para que alegasen sobre la conveniencia de plantear la cuestión de inconstitucionalidad (art. 35.2 LOTC). El órgano judicial habría hecho referencia a la infracción de los arts. 9.3 y 14 CE sólo en el Auto de planteamiento, sin haberla recogido adecuadamente en la providencia inicial de audiencia; por tanto, las partes en el proceso judicial </w:t>
      </w:r>
      <w:r w:rsidRPr="006B7292">
        <w:rPr>
          <w:i/>
        </w:rPr>
        <w:t>a quo</w:t>
      </w:r>
      <w:r>
        <w:t xml:space="preserve"> no han podido alegar sobre ella, frustrándose así la finalidad del trámite previsto en el art. 35.2 LOTC. Ciertamente, afirma la Fiscal, la providencia inicial de audiencia relaciona los arts. 9.3 y 14 CE entre los preceptos posiblemente vulnerados. Sin embargo, sólo después, en el Auto de planteamiento, el órgano judicial ha aludido al concreto principio, de entre los que enuncia el art. 9.3 CE, que entiende infringido. A su vez, la providencia de audiencia conecta la infracción del art. 14 CE con el principio de equidistribución de cargas y beneficios, pero el Auto de planteamiento la extiende al régimen de “reserva de dispensación”. Como consecuencia de ello, los informes presentados, aunque aluden genéricamente a los arts. 9.3 y 14 CE, carecen de toda referencia a la interdicción de la arbitrariedad y a las reservas de dispensación.</w:t>
      </w:r>
    </w:p>
    <w:p w:rsidR="006B7292" w:rsidRDefault="006B7292" w:rsidP="006B7292">
      <w:pPr>
        <w:pStyle w:val="TextoNormal"/>
      </w:pPr>
    </w:p>
    <w:p w:rsidR="006B7292" w:rsidRDefault="006B7292" w:rsidP="006B7292">
      <w:pPr>
        <w:pStyle w:val="TextoNormal"/>
      </w:pPr>
      <w:r>
        <w:t>Por otra parte, habría de inadmitirse la cuestión por incumplimiento del juicio de relevancia. El Auto de planteamiento se habría limitado a afirmar que el recurso contencioso-administrativo denuncia la vulneración de la garantía constitucional de la autonomía municipal (arts. 137 y 140 CE) y la infracción de una serie de principios recogidos en otras leyes estatales y autonómicas. Habría añadido únicamente que la primera impugnación sólo puede resolverse despejando previamente si la previsión cuestionada vulnera la garantía constitucional de la autonomía municipal. Respecto de lo demás, el órgano judicial se habría limitado a señalar que el precepto cuestionado, al excluir la aplicación de la legislación autonómica y estatal, conduce “a la posibilidad de que se violen determinados principios de contenido constitucional que dichas normas consagran”. Según la Fiscal, de esta manera se desplaza al Tribunal Constitucional la impugnación que plantea el recurrente, que el órgano judicial parece asumir, pero sin relacionarla con la relevancia que ha de tener la presente cuestión para decidir el proceso. Respecto de las infracciones normativas denunciadas por el demandante, el Auto sólo aludiría a “una genérica contradicción con los principios constitucionales y con la posibilidad de que se vulneren en su aplicación determinados principios constitucionales”. Se estaría trasformando la resolución de las cuestiones planteadas en el pleito, cuya resolución corresponde a la jurisdicción ordinaria, en un enjuiciamiento genérico de la constitucionalidad de la norma.</w:t>
      </w:r>
    </w:p>
    <w:p w:rsidR="006B7292" w:rsidRDefault="006B7292" w:rsidP="006B7292">
      <w:pPr>
        <w:pStyle w:val="TextoNormal"/>
      </w:pPr>
    </w:p>
    <w:p w:rsidR="006B7292" w:rsidRDefault="006B7292" w:rsidP="006B7292">
      <w:pPr>
        <w:pStyle w:val="TextoNormal"/>
      </w:pPr>
      <w:r>
        <w:t>La cuestión planteada sería, además, notoriamente infundada, según la Fiscal General del Estado. El art. 15 de la Ley 6/2009 no vulneraría la garantía constitucional de la autonomía municipal (arts. 137 y 140 CE) por tres razones. En primer lugar, la Comunidad Autónoma de Canarias tiene atribuida la competencia sobre la ordenación territorial; su ejercicio puede incidir sobre la regulación municipal de acuerdo con los arts. 2 y 25 LBRL, tal como ha declarado el Tribunal Constitucional [SSTC 61/1997, de 20 de marzo, FJ 25 b); 240/2006, de 20 de julio, FJ 10; ATC 251/2009, de 13 de octubre, FJ 3]. En segundo lugar, la regulación controvertida concierne intereses supramunicipales (la sostenibilidad ambiental y el turismo, principal motor de la economía de las Islas Canarias), tal como resulta de la exposición de motivos de la Ley 6/2009. En tercer lugar, el art. 15 de la Ley indicada no elimina la intervención municipal (cita AATC 251/2009, de 13 de octubre, y 9/2013, de 15 de enero); corresponde al ayuntamiento la emisión del informe sobre el documento de planeamiento abreviado (apartado 3), la participación en un trámite de cooperación administrativa (apartado 1) y la denegación del inicio de las actividades que no se ajusten al plan de modernización (apartado 2). El art. 15 de la Ley 6/2009, a diferencia del actualmente aplicable (art. 8 de la Ley 2/2013), no atribuye expresamente la iniciativa al ayuntamiento. No obstante, en el presente caso, el plan impugnado se ha aprobado con la participación del ayuntamiento a través de un convenio con la entidad Gesplan. El Auto de planteamiento se ha referido a ello, pero sólo bajo una perspectiva general y abstracta de indisponibilidad de la autonomía municipal, sin ponderar la participación municipal efectivamente acontecida en este caso, que ha ido más allá del informe legalmente previsto (cita el ATC 251/2009, de 13 de octubre, FJ 5).</w:t>
      </w:r>
    </w:p>
    <w:p w:rsidR="006B7292" w:rsidRDefault="006B7292" w:rsidP="006B7292">
      <w:pPr>
        <w:pStyle w:val="TextoNormal"/>
      </w:pPr>
    </w:p>
    <w:p w:rsidR="006B7292" w:rsidRDefault="006B7292" w:rsidP="006B7292">
      <w:pPr>
        <w:pStyle w:val="TextoNormal"/>
      </w:pPr>
      <w:r>
        <w:t xml:space="preserve">La cuestión sería también notoriamente infundada en lo que afecta al resto de las posibles vulneraciones. Los principios a los que alude el Auto de planteamiento no aparecen en el art. 15 cuestionado, pero no por ello dejan de operar a través del texto refundido de la Ley del suelo aprobado por Real Decreto Legislativo 2/2008, de 20 de junio (arts. 8.3 y 9.7), y el texto refundido de las Leyes de ordenación del territorio de Canarias y de espacios naturales de Canarias, aprobado por Decreto Legislativo 1/2000, de 8 de mayo (arts. 71 y 72). La norma cuestionada no podría derogar la legislación estatal y autonómica ni aplicarse de forma aislada y prevalente, como parece entender el órgano judicial. Ciertamente, la selección de la norma es una función genuinamente judicial, pero la interpretación del Auto de planteamiento supone una suerte de exclusión normativa contraria al régimen de distribución competencial articulada sin el procedimiento debido: cuestión de inconstitucionalidad. Frente a lo razonado en el Auto de planteamiento, la Fiscal entiende que procede una aplicación integradora conforme a la que el Decreto 90/2012 debería examinarse en el proceso judicial </w:t>
      </w:r>
      <w:r w:rsidRPr="006B7292">
        <w:rPr>
          <w:i/>
        </w:rPr>
        <w:t>a quo</w:t>
      </w:r>
      <w:r>
        <w:t xml:space="preserve"> a la luz del conjunto de la normativa estatal y autonómica y, por tanto, sin que de la sola dicción del artículo 15 cuestionado se derive la vulneración del art. 14 CE. A su vez, el Auto de planteamiento razona la vulneración de los arts. 14 y 9.3 CE como una consecuencia posible de que el artículo 15 no haya explicitado aquellos principios. Ello comporta un juicio abstracto y potencial de constitucionalidad que se articula al margen del verdadero objeto del procedimiento judicial, que es la impugnación de aspectos concretos del plan aprobado por el Decreto 90/2012. La Fiscal añade, sin entrar a cuestiones de legalidad ordinaria, que las actuaciones previstas se proyectan sobre suelo consolidado, lo que determina una mayor flexibilidad en la aplicación de los principios teóricamente vulnerados (con cita de la STC 94/2014, de 12 de junio, FFJJ 3 y 4). Destaca, en fin, que el Auto no ha ofrecido una argumentación suficiente, respecto de la proscrita interdicción de la arbitrariedad (art. 9.3 CE), con capacidad para desvirtuar la presunción de constitucionalidad de la previsión cuestionada.</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Tribunal Superior de Justicia de Canarias plantea la presente cuestión respecto de los apartados 1, 3 y 4 del art. 15 de la Ley canaria 6/2009, de 6 de mayo, de medidas urgentes en materia de ordenación territorial para la dinamización sectorial y la ordenación del turismo (en la redacción vigente en noviembre de 2012), por posible infracción de la garantía constitucional de la autonomía municipal (arts. 137 y 140 CE), en relación con el art. 25 y concordantes de la Ley 7/1985, de abril, de bases del régimen local (LBRL), así como de los principios de interdicción de arbitrariedad (art. 9.3 CE) e igualdad (art. 14 CE).</w:t>
      </w:r>
    </w:p>
    <w:p w:rsidR="006B7292" w:rsidRDefault="006B7292" w:rsidP="006B7292">
      <w:pPr>
        <w:pStyle w:val="TextoNormal"/>
      </w:pPr>
    </w:p>
    <w:p w:rsidR="006B7292" w:rsidRDefault="006B7292" w:rsidP="006B7292">
      <w:pPr>
        <w:pStyle w:val="TextoNormal"/>
      </w:pPr>
      <w:r w:rsidRPr="006B7292">
        <w:rPr>
          <w:rStyle w:val="NumeroAFNegritaCaracter"/>
        </w:rPr>
        <w:t>2</w:t>
      </w:r>
      <w:r>
        <w:t xml:space="preserve">. De acuerdo con el art. 37.1 de la Ley Orgánica del Tribunal Constitucional (LOTC), este Tribunal puede, previa audiencia al Fiscal General del Estado, rechazar </w:t>
      </w:r>
      <w:r w:rsidRPr="006B7292">
        <w:rPr>
          <w:i/>
        </w:rPr>
        <w:t>a limine</w:t>
      </w:r>
      <w:r>
        <w:t xml:space="preserve"> las cuestiones de inconstitucionalidad que incumplan las condiciones procesales o sean notoriamente infundadas. Según consta en los antecedentes, en el presente asunto se ha oído a la Fiscal General del Estado, quien considera inadmisible la presente cuestión por razones de ambos tipos. Abordaremos primero los defectos de orden procesal en que ha podido incurrir el Auto de planteamiento (art. 35.2 LOTC).</w:t>
      </w:r>
    </w:p>
    <w:p w:rsidR="006B7292" w:rsidRDefault="006B7292" w:rsidP="006B7292">
      <w:pPr>
        <w:pStyle w:val="TextoNormal"/>
      </w:pPr>
    </w:p>
    <w:p w:rsidR="006B7292" w:rsidRDefault="006B7292" w:rsidP="006B7292">
      <w:pPr>
        <w:pStyle w:val="TextoNormal"/>
      </w:pPr>
      <w:r>
        <w:t xml:space="preserve">a) La Fiscal General del Estado denuncia defectos en la providencia por la que el Tribunal Superior de Justicia de Canarias confirió audiencia al Ministerio Fiscal y a las partes del proceso judicial </w:t>
      </w:r>
      <w:r w:rsidRPr="006B7292">
        <w:rPr>
          <w:i/>
        </w:rPr>
        <w:t>a quo</w:t>
      </w:r>
      <w:r>
        <w:t xml:space="preserve"> para que alegasen sobre la conveniencia de plantear la cuestión de inconstitucionalidad (art. 35.2 LOTC).</w:t>
      </w:r>
    </w:p>
    <w:p w:rsidR="006B7292" w:rsidRDefault="006B7292" w:rsidP="006B7292">
      <w:pPr>
        <w:pStyle w:val="TextoNormal"/>
      </w:pPr>
    </w:p>
    <w:p w:rsidR="006B7292" w:rsidRDefault="006B7292" w:rsidP="006B7292">
      <w:pPr>
        <w:pStyle w:val="TextoNormal"/>
      </w:pPr>
      <w:r>
        <w:t xml:space="preserve">A este respecto, corresponde apreciar que la providencia de audiencia en el procedimiento judicial </w:t>
      </w:r>
      <w:r w:rsidRPr="006B7292">
        <w:rPr>
          <w:i/>
        </w:rPr>
        <w:t>a quo</w:t>
      </w:r>
      <w:r>
        <w:t xml:space="preserve"> cita explícitamente los preceptos que después se cuestionan (apartados 1, 3 y 4 del art. 15 de la Ley 6/2009) y se refiere específicamente a los motivos por los que podrían ser inconstitucionales (vulneración de principio autonomía municipal y, vinculada a la ausencia de un régimen de equidistribución, infracción de los principios de arbitrariedad e igualdad). Es verdad que, tal como destaca la Fiscal General del Estado, al mencionar el art. 9.3 CE, la providencia de audiencia no concreta el principio jurídico, de entre los múltiples que enuncia este precepto, que resultaría vulnerado en el caso; sólo después el Auto de planteamiento ha señalado específicamente que la duda de constitucionalidad se refiere a la arbitrariedad en que ha podido incurrir el art. 15 de la Ley 6/2009. No obstante, la indicada providencia, al explicar la razón por la que el artículo 15 podría vulnerar el art. 9.3 CE (por obviar en los planes regulados la obligación de que se respeten los principios de equidistribución de beneficios y cargas y el procedimiento de elaboración y revisión del planeamiento), acota suficientemente el problema constitucional planteado. La relativa indeterminación denunciada no ha frustrado en este punto la finalidad del trámite de audiencia previsto en el art. 25.2 LOTC, que es el criterio fundamental para resolver si este tipo de irregularidades formales debe conducir a la inadmisión de las cuestiones de inconstitucionalidad (por todas, STC 222/2012, de 27 de noviembre, FJ 4).</w:t>
      </w:r>
    </w:p>
    <w:p w:rsidR="006B7292" w:rsidRDefault="006B7292" w:rsidP="006B7292">
      <w:pPr>
        <w:pStyle w:val="TextoNormal"/>
      </w:pPr>
    </w:p>
    <w:p w:rsidR="006B7292" w:rsidRDefault="006B7292" w:rsidP="006B7292">
      <w:pPr>
        <w:pStyle w:val="TextoNormal"/>
      </w:pPr>
      <w:r>
        <w:t xml:space="preserve">Ahora bien, en esa providencia de audiencia no aparece referencia alguna a la posible vulneración del art. 14 CE vinculada a la interpretación de que el precepto cuestionado, al disciplinar el denominado plan de modernización al margen de toda la regulación urbanística general, impediría la aplicación del régimen de “reservas de dispensación”. La indicada vulneración se produciría, no por lo establecido en el 15 de la Ley 6/2009, sino por lo que deja de establecer y ello sobre la base de la interpretación de que el legislador autonómico ha querido regular aquellos planes de modernización como un compartimento estanco, por completo aislado del resto del ordenamiento jurídico. El órgano judicial, al sugerir por vez primera en el Auto de planteamiento que esa omisión podría vulnerar el art. 14 CE, ha privado a las partes y al Ministerio Fiscal de la oportunidad de alegar al respecto en el trámite de audiencia previa, tal como ha denunciado la Fiscal General del Estado. Consecuentemente, la cuestión de inconstitucionalidad resulta inadmisible en este específico punto, por defectos en el trámite de audiencia en el procedimiento judicial </w:t>
      </w:r>
      <w:r w:rsidRPr="006B7292">
        <w:rPr>
          <w:i/>
        </w:rPr>
        <w:t>a quo</w:t>
      </w:r>
      <w:r>
        <w:t xml:space="preserve"> (art. 35.2 LOTC).</w:t>
      </w:r>
    </w:p>
    <w:p w:rsidR="006B7292" w:rsidRDefault="006B7292" w:rsidP="006B7292">
      <w:pPr>
        <w:pStyle w:val="TextoNormal"/>
      </w:pPr>
    </w:p>
    <w:p w:rsidR="006B7292" w:rsidRDefault="006B7292" w:rsidP="006B7292">
      <w:pPr>
        <w:pStyle w:val="TextoNormal"/>
      </w:pPr>
      <w:r>
        <w:t>b) Según la Fiscal General del Estado, la cuestión habría de inadmitirse en todo lo demás por incumplimiento del juicio de relevancia (apartados 1 y 2 del art. 35 LOTC). El Auto de planteamiento habría aludido sólo a una genérica contradicción del art. 15 (apartados 1, 3 y 4) de la Ley 6/2009 con los arts. 137, 140, 9.3 y 14 CE. Estaría transformando la resolución de las cuestiones concretas de legalidad ordinaria que plantea el recurso contencioso-administrativo, dirigido contra el plan de modernización aprobado por el Decreto 90/2012, en un enjuiciamiento abstracto sobre la constitucionalidad de la Ley que proporciona cobertura al indicado plan.</w:t>
      </w:r>
    </w:p>
    <w:p w:rsidR="006B7292" w:rsidRDefault="006B7292" w:rsidP="006B7292">
      <w:pPr>
        <w:pStyle w:val="TextoNormal"/>
      </w:pPr>
    </w:p>
    <w:p w:rsidR="006B7292" w:rsidRDefault="006B7292" w:rsidP="006B7292">
      <w:pPr>
        <w:pStyle w:val="TextoNormal"/>
      </w:pPr>
      <w:r>
        <w:t xml:space="preserve">El Auto de planteamiento ha razonado que el art. 15 de la Ley 6/2009 es aplicable en el procedimiento judicial y que de su constitucionalidad depende el fallo. Destaca que la tramitación, la aprobación y los contenidos del plan que debe enjuiciar se han sometido a ese precepto legal. Por tal razón el artículo 15, sobre el que pesan las dudas de constitucionalidad, constituye el parámetro de control para resolver el recurso contencioso-administrativo (se razona ampliamente que no resulta aplicable la nueva regulación de la Ley 2/2013). Por eso no haría falta mayor argumentación para explicar que la Sentencia que lo declarase inconstitucional afectaría al resultado del proceso </w:t>
      </w:r>
      <w:r w:rsidRPr="006B7292">
        <w:rPr>
          <w:i/>
        </w:rPr>
        <w:t>a quo</w:t>
      </w:r>
      <w:r>
        <w:t>. Sugiere así que tal declaración conduciría a la anulación del señalado plan de modernización. Insiste en que, según el recurrente, el artículo 15 vulnera la Constitución y, en particular, la autonomía local y que tales vicios se han transmitido al plan aprobado a su amparo. El órgano judicial argumenta igualmente que la circunstancia de que el Ayuntamiento de San Bartolomé de Tirajana entienda respetada su autonomía municipal no impide considerar que la previsión cuestionada sea contraria a los arts. 137 y 140 CE. Da a entender que, si el Tribunal Constitucional declarase por ello su nulidad, el Tribunal Superior de Justicia de Canarias podría declarar la del acto de aplicación, esto es, la del plan de modernización aprobado por el Decreto 90/2012. El Tribunal Superior de Justicia de Canarias ha razonado igualmente que, a su modo de ver, la regulación autonómica de los planes de referencia es cerrada e impermeable al principio de equidistribución que recoge la legislación básica estatal. Por tal razón el plan de modernización sometido a su enjuiciamiento, pese a incluir actuaciones sobre todo tipo de suelos, no habría podido realizar la oportuna equidistribución de beneficios y cargas. El precepto cuestionado vulneraría por ello los arts. 14 y 9.3 CE.</w:t>
      </w:r>
    </w:p>
    <w:p w:rsidR="006B7292" w:rsidRDefault="006B7292" w:rsidP="006B7292">
      <w:pPr>
        <w:pStyle w:val="TextoNormal"/>
      </w:pPr>
    </w:p>
    <w:p w:rsidR="006B7292" w:rsidRDefault="006B7292" w:rsidP="006B7292">
      <w:pPr>
        <w:pStyle w:val="TextoNormal"/>
      </w:pPr>
      <w:r>
        <w:t xml:space="preserve">Tales argumentos son suficientes para entender satisfecho el juicio de relevancia, teniendo en cuenta que corresponde a este Tribunal sólo el control externo de las razones ofrecidas por el órgano judicial para sostener que el resultado del proceso </w:t>
      </w:r>
      <w:r w:rsidRPr="006B7292">
        <w:rPr>
          <w:i/>
        </w:rPr>
        <w:t>a quo</w:t>
      </w:r>
      <w:r>
        <w:t xml:space="preserve"> depende de la validez de la normativa cuestionada. No cabe sustituir, rectificar o integrar su criterio, salvo que la aplicación de principios jurídicos básicos revele que la argumentación judicial carece notoriamente de consistencia (por todas, STC 166/2012, de 1 de octubre, FJ 2).</w:t>
      </w:r>
    </w:p>
    <w:p w:rsidR="006B7292" w:rsidRDefault="006B7292" w:rsidP="006B7292">
      <w:pPr>
        <w:pStyle w:val="TextoNormal"/>
      </w:pPr>
    </w:p>
    <w:p w:rsidR="006B7292" w:rsidRDefault="006B7292" w:rsidP="006B7292">
      <w:pPr>
        <w:pStyle w:val="TextoNormal"/>
      </w:pPr>
      <w:r>
        <w:t xml:space="preserve">Si las consideraciones de fondo del Auto de planteamiento fueran correctas (la pretendida ausencia de intereses supramunicipales y la fuerte presencia de intereses municipales), el Tribunal Constitucional podría llegar a entender que la Ley debió asegurar una intervención municipal mayor (p. ej., que la tramitación y la aprobación debió corresponder al propio ayuntamiento). Ello condicionaría objetivamente el resultado del proceso </w:t>
      </w:r>
      <w:r w:rsidRPr="006B7292">
        <w:rPr>
          <w:i/>
        </w:rPr>
        <w:t>a quo</w:t>
      </w:r>
      <w:r>
        <w:t xml:space="preserve"> porque, tal como sugiere el Auto de planteamiento, el órgano judicial podría basarse en la anulación del precepto cuestionado que acordase este Tribunal para anular el específico acto de aplicación sometido a su enjuiciamiento. De la misma manera, una sentencia constitucional que acogiera los demás razonamientos de fondo del Tribunal Superior de Justicia de Canarias —que el precepto cuestionado, al establecer una regulación sectorial por completo aislada de la legislación general, contradice los arts. 14 y 9.3 CE— sería evidentemente relevante en el procedimiento judicial </w:t>
      </w:r>
      <w:r w:rsidRPr="006B7292">
        <w:rPr>
          <w:i/>
        </w:rPr>
        <w:t>a quo</w:t>
      </w:r>
      <w:r>
        <w:t>. Según razona el órgano judicial, también ello podría conducir a la anulación del plan elaborado al amparo de la previsión cuestionada.</w:t>
      </w:r>
    </w:p>
    <w:p w:rsidR="006B7292" w:rsidRDefault="006B7292" w:rsidP="006B7292">
      <w:pPr>
        <w:pStyle w:val="TextoNormal"/>
      </w:pPr>
    </w:p>
    <w:p w:rsidR="006B7292" w:rsidRDefault="006B7292" w:rsidP="006B7292">
      <w:pPr>
        <w:pStyle w:val="TextoNormal"/>
      </w:pPr>
      <w:r>
        <w:t>Todo ello significa que las consideraciones de la Fiscal General del Estado son relevantes. Serán pertinentes para valorar si las dudas de constitucionalidad planteadas son notoriamente infundadas.</w:t>
      </w:r>
    </w:p>
    <w:p w:rsidR="006B7292" w:rsidRDefault="006B7292" w:rsidP="006B7292">
      <w:pPr>
        <w:pStyle w:val="TextoNormal"/>
      </w:pPr>
    </w:p>
    <w:p w:rsidR="006B7292" w:rsidRDefault="006B7292" w:rsidP="006B7292">
      <w:pPr>
        <w:pStyle w:val="TextoNormal"/>
      </w:pPr>
      <w:r w:rsidRPr="006B7292">
        <w:rPr>
          <w:rStyle w:val="NumeroAFNegritaCaracter"/>
        </w:rPr>
        <w:t>3</w:t>
      </w:r>
      <w:r>
        <w:t>. El concepto de cuestión notoriamente infundada encierra un cierto grado de indefinición que se traduce procesalmente en un margen de apreciación del Tribunal Constitucional a la hora de controlar su solidez. Hay supuestos en los que un examen preliminar permite apreciar la falta de viabilidad de la cuestión suscitada. Resulta conveniente en tales casos resolver la cuestión en esta primera fase procesal, máxime si la admisión pudiera provocar efectos no deseables, como la paralización de múltiples procesos en los que resulte aplicable la norma cuestionada; esto no significa, necesariamente, que carezca de forma total y absoluta de fundamentación o que ésta sea arbitraria (por todos, ATC 133/2014, de 6 de mayo, FJ 2). En consecuencia, corresponde abordar separadamente las dudas de constitucionalidad suscitadas, por si fueran notoriamente infundadas en el sentido indicado.</w:t>
      </w:r>
    </w:p>
    <w:p w:rsidR="006B7292" w:rsidRDefault="006B7292" w:rsidP="006B7292">
      <w:pPr>
        <w:pStyle w:val="TextoNormal"/>
      </w:pPr>
    </w:p>
    <w:p w:rsidR="006B7292" w:rsidRDefault="006B7292" w:rsidP="006B7292">
      <w:pPr>
        <w:pStyle w:val="TextoNormal"/>
      </w:pPr>
      <w:r>
        <w:t>a) El art. 15 de la Ley canaria 6/2009 regula un tipo específico de plan (o programa) destinado a la modernización, mejora e incremento de la competitividad del sector turístico. Puede incluir “proyectos de sustitución, de rehabilitación de la planta alojativa o de la infraestructura turística, o a los de remodelación urbanística” imprevistos en (o contrarios a) el planeamiento vigente (apartado 3). Tras su aprobación, que corresponde al Gobierno de Canarias (apartado 1), al plan debe incorporarse “a los instrumentos de ordenación territorial y de planeamiento urbanístico pertinentes como modificación de los mismos, en el ámbito afectado, en su caso” (apartado 4).</w:t>
      </w:r>
    </w:p>
    <w:p w:rsidR="006B7292" w:rsidRDefault="006B7292" w:rsidP="006B7292">
      <w:pPr>
        <w:pStyle w:val="TextoNormal"/>
      </w:pPr>
    </w:p>
    <w:p w:rsidR="006B7292" w:rsidRDefault="006B7292" w:rsidP="006B7292">
      <w:pPr>
        <w:pStyle w:val="TextoNormal"/>
      </w:pPr>
      <w:r>
        <w:t>El Auto de planteamiento no discute que la Comunidad Autónoma de Canarias tenga atribuidas competencias en materia de ordenación del territorio y urbanismo (art. 30.15 del Estatuto de Autonomía de Canarias) ni que la previsión cuestionada sea una concreta expresión de su ejercicio. Lo planteado es si la Comunidad Autónoma, al ejercer esas competencias estatutarias a través del art. 15 de la Ley 6/2009, ha podido vulnerar la garantía constitucional de la autonomía municipal (arts. 137 y 140 CE) por reducir la intervención de los ayuntamientos a un mero informe en un ámbito de fuerte interés local.</w:t>
      </w:r>
    </w:p>
    <w:p w:rsidR="006B7292" w:rsidRDefault="006B7292" w:rsidP="006B7292">
      <w:pPr>
        <w:pStyle w:val="TextoNormal"/>
      </w:pPr>
    </w:p>
    <w:p w:rsidR="006B7292" w:rsidRDefault="006B7292" w:rsidP="006B7292">
      <w:pPr>
        <w:pStyle w:val="TextoNormal"/>
      </w:pPr>
      <w:r>
        <w:t>Para valorar si hay vulneración de la garantía constitucional de la autonomía municipal corresponde determinar: a) si hay intereses supralocales que justifiquen que la Comunidad Autónoma haya centralizado en su Administración la competencia para elaborar y aprobar estos planes; b) si el legislador autonómico ha ponderado los intereses municipales afectados; y c) si ha asegurado a los ayuntamientos implicados un nivel de intervención tendencialmente correlativo a la intensidad de tales intereses; todo ello sobre la base de que la Comunidad Autónoma puede ejercer en uno u otro sentido su libertad de configuración a la hora de distribuir funciones, pero garantizando el derecho de la comunidad local a participar a través de órganos propios en el gobierno y administración [STC 154/2015, de 9 de julio, FJ 5 a) y las que allí se citan].</w:t>
      </w:r>
    </w:p>
    <w:p w:rsidR="006B7292" w:rsidRDefault="006B7292" w:rsidP="006B7292">
      <w:pPr>
        <w:pStyle w:val="TextoNormal"/>
      </w:pPr>
    </w:p>
    <w:p w:rsidR="006B7292" w:rsidRDefault="006B7292" w:rsidP="006B7292">
      <w:pPr>
        <w:pStyle w:val="TextoNormal"/>
      </w:pPr>
      <w:r>
        <w:t>El sector turístico encierra intereses públicos que trascienden el ámbito municipal. El turismo ha sido históricamente un pilar de la economía española. Hoy es un motor de su recuperación y, en lo que aquí más interesa, la principal industria de las Islas Canarias. Expresan los relevantes intereses supralocales implicados en esta actividad: el plan nacional e integral de turismo 2012-2015 (que pretende impulsar la competitividad de las empresas), el plan estratégico promocional del turismo en Canarias 2012-2016 (que pretende estructurar el modelo de desarrollo del turismo canario durante el periodo de referencia, orientando decisiones y conciliando los intereses de los distintos agentes) y el propio Estatuto de Autonomía de Canarias. Este atribuye a la Comunidad Autónoma competencias sobre turismo y otras materias vinculadas, como patrimonio (histórico, artístico, monumental, arquitectónico y arqueológico), cultura, deporte, espectáculos, ocio y esparcimiento (apartados 9, 20 y 21 del artículo 30). La Ley controvertida, al regular los denominados planes de modernización, responde directamente a estos intereses supramunicipales. Su exposición de motivos destaca en este sentido la necesidad de “abordar el marco en el que el turismo, principal actividad económica del archipiélago, deba desarrollarse en los próximos años, garantizando la sostenibilidad de su ocupación territorial”. Constata también “que el proceso de renovación de la planta alojativa que debe constituir el eje fundamental de la cualificación de la oferta turística canaria, junto con el equipamiento complementario ambiental territorialmente sostenible, no ha alcanzado suficiente impulso”.</w:t>
      </w:r>
    </w:p>
    <w:p w:rsidR="006B7292" w:rsidRDefault="006B7292" w:rsidP="006B7292">
      <w:pPr>
        <w:pStyle w:val="TextoNormal"/>
      </w:pPr>
    </w:p>
    <w:p w:rsidR="006B7292" w:rsidRDefault="006B7292" w:rsidP="006B7292">
      <w:pPr>
        <w:pStyle w:val="TextoNormal"/>
      </w:pPr>
      <w:r>
        <w:t>Es igualmente evidente que los planes de modernización que regula el precepto cuestionado conciernen muy directamente a intereses municipales. El urbanismo es un ámbito de interés municipal preferente, tal como reflejan el art. 25.2 LBRL, la legislación canaria (art. 11 de la Ley 7/2015, de 1 de abril, de los municipios de Canarias) y el propio planeamiento municipal (singularmente, en este caso, el plan general de ordenación de San Bartolomé de Tirajana). De ello se ha hecho eco este Tribunal en múltiples ocasiones: “no es necesario argumentar particularmente que, entre los asuntos de interés de los Municipios y a los que por tanto se extienden sus competencias, está el urbanismo” [SSTC 40/1998, de 19 de febrero, FJ 39; 159/2001, de 5 de julio, FJ 4; 204/2002, de 31 de octubre, FJ 13; 104/2013, de 25 de abril, FJ 6, y 154/2015, FJ 5 a)].</w:t>
      </w:r>
    </w:p>
    <w:p w:rsidR="006B7292" w:rsidRDefault="006B7292" w:rsidP="006B7292">
      <w:pPr>
        <w:pStyle w:val="TextoNormal"/>
      </w:pPr>
    </w:p>
    <w:p w:rsidR="006B7292" w:rsidRDefault="006B7292" w:rsidP="006B7292">
      <w:pPr>
        <w:pStyle w:val="TextoNormal"/>
      </w:pPr>
      <w:r>
        <w:t>A la vista del precepto cuestionado, resulta claro que el legislador canario no ha desatendido los intereses municipales. El “documento de planteamiento abreviado” que conlleva proyectos de sustitución, rehabilitación o mejora imprevistos en (o contrarios a) el planeamiento vigente “será sometido a informe del ayuntamiento en cuyo término municipal se lleve a cabo la actuación y del cabildo insular correspondiente” (artículo 15.3). A su vez, a través de la remisión al art. 11 del texto refundido aprobado por el Decreto Legislativo 1/2000, el art. 15.1 de la Ley controvertida, prevé que “en todo caso” el Gobierno canario “consultará a los Ayuntamientos en cuyos términos municipales pretenda llevarse a cabo la actuación”, proporcionándoles “efectivamente”: “la posibilidad de exponer y hacer valer de manera suficiente y motivada las exigencias que, en orden al contenido de la actuación en curso de aprobación, resulten de los intereses públicos cuya gestión les esté encomendada”, brindando así “la ocasión de alcanzar un acuerdo sobre el contenido del mismo”. Si las “discrepancias manifestadas” no se superasen de este modo, la Administración autonómica habrá de emitir una “resolución justificativa de los motivos que han impedido alcanzar, a su juicio, una definición acordada del interés público”.</w:t>
      </w:r>
    </w:p>
    <w:p w:rsidR="006B7292" w:rsidRDefault="006B7292" w:rsidP="006B7292">
      <w:pPr>
        <w:pStyle w:val="TextoNormal"/>
      </w:pPr>
    </w:p>
    <w:p w:rsidR="006B7292" w:rsidRDefault="006B7292" w:rsidP="006B7292">
      <w:pPr>
        <w:pStyle w:val="TextoNormal"/>
      </w:pPr>
      <w:r>
        <w:t>Al atribuir al Gobierno canario la competencia para aprobar los planes de modernización, el precepto cuestionado se ha apoyado en la efectiva concurrencia de intereses supralocales sin descuidar los municipales. La cuestión queda de este modo ceñida a determinar si hay suficiente correlación entre la intensidad de los intereses municipales y la de la intervención local legalmente prevista. Esta ha de canalizarse no sólo en informes, sino también en la efectiva apertura de un diálogo que, si no concluye en un acuerdo de todas las Administraciones implicadas, obligue a la Comunidad Autónoma a explicar cumplidamente por qué ha sido imposible esta definición consensuada del interés público.</w:t>
      </w:r>
    </w:p>
    <w:p w:rsidR="006B7292" w:rsidRDefault="006B7292" w:rsidP="006B7292">
      <w:pPr>
        <w:pStyle w:val="TextoNormal"/>
      </w:pPr>
    </w:p>
    <w:p w:rsidR="006B7292" w:rsidRDefault="006B7292" w:rsidP="006B7292">
      <w:pPr>
        <w:pStyle w:val="TextoNormal"/>
      </w:pPr>
      <w:r>
        <w:t xml:space="preserve">En el presente asunto, el Ayuntamiento de San Bartolomé de Tirajana ha promovido la iniciativa de elaboración y tramitación del plan mediante la suscripción de un convenio con una entidad pública dependiente del Gobierno canario. A la vista de la parte expositiva del indicado convenio, de la memoria del plan y de las alegaciones del ayuntamiento en el proceso </w:t>
      </w:r>
      <w:r w:rsidRPr="006B7292">
        <w:rPr>
          <w:i/>
        </w:rPr>
        <w:t>a quo</w:t>
      </w:r>
      <w:r>
        <w:t>, cabe afirmar que este ha participado activamente en la elaboración del instrumento y que el Gobierno canario ha tomado su criterio en consideración. Esta observación es relevante en cuanto expresión de que el art. 15 de la Ley 6/2009 facilita una efectiva ponderación de los intereses municipales involucrados. La determinación concreta de si el plan de modernización aprobado por el Decreto 90/2012 ha asignado el peso que corresponde a aquellos intereses desborda el enjuiciamiento que incumbe a este Tribunal.</w:t>
      </w:r>
    </w:p>
    <w:p w:rsidR="006B7292" w:rsidRDefault="006B7292" w:rsidP="006B7292">
      <w:pPr>
        <w:pStyle w:val="TextoNormal"/>
      </w:pPr>
    </w:p>
    <w:p w:rsidR="006B7292" w:rsidRDefault="006B7292" w:rsidP="006B7292">
      <w:pPr>
        <w:pStyle w:val="TextoNormal"/>
      </w:pPr>
      <w:r>
        <w:t>Lo que le concierne es nada más que la valoración de si el precepto cuestionado vulnera en abstracto la garantía constitucional de la autonomía municipal; sin perjuicio de que, cuando de planeamiento urbanístico se trata, los arts. 137 y 140 CE obligan directamente a las Administraciones autonómicas actuantes a realizar una ponderación suficiente de los intereses municipales. Su ausencia puede viciar los planes, pero no la norma legal que habilitó su tramitación. Así lo ha declarado este Tribunal: “Es evidente que la relevancia de esa participación dependerá en la práctica de que en el procedimiento de aprobación de la modificación del planeamiento el órgano competente para la aprobación definitiva atribuya, en el juicio de ponderación en que esencialmente consiste la decisión sobre el planeamiento, a los intereses hechos valer en el trámite de audiencia por las entidades locales, el peso y la importancia que han de corresponder a dichos intereses. Pero el control judicial de esa efectividad y relevancia de la intervención de las entidades locales no puede realizarse, como es lógico, en este juicio abstracto de constitucionalidad de la norma cuestionada, sino por la vía de la concreta impugnación ante los órganos judiciales competentes de la decisión sobre el planeamiento urbanístico que se adopte” (STC 51/2004, de 13 de abril, FJ 10).</w:t>
      </w:r>
    </w:p>
    <w:p w:rsidR="006B7292" w:rsidRDefault="006B7292" w:rsidP="006B7292">
      <w:pPr>
        <w:pStyle w:val="TextoNormal"/>
      </w:pPr>
    </w:p>
    <w:p w:rsidR="006B7292" w:rsidRDefault="006B7292" w:rsidP="006B7292">
      <w:pPr>
        <w:pStyle w:val="TextoNormal"/>
      </w:pPr>
      <w:r>
        <w:t>La STC 154/2015, FJ 6 e) ha reafirmado esta doctrina al enjuiciar un precepto que centraliza también determinadas facultades de planificación. Permite a la Consejería competente establecerse como Administración actuante para la formulación, tramitación y aprobación de instrumentos de planeamiento en las delimitaciones de reserva de terrenos para el patrimonio autonómico de suelo): “el precepto impugnado no es contrario a la garantía constitucional de la autonomía municipal (arts. 137 y 140 CE), sin perjuicio de que la jurisdicción contencioso-administrativa podrá controlar las eventuales extralimitaciones en que incurra la Administración autonómica al ejercer las competencias urbanísticas atribuidas y, en particular, la concurrencia de intereses supralocales legitimantes, la efectiva apertura de canales de participación local durante todas las fases del planeamiento así como la asignación a la intervención local del peso correspondiente a los intereses municipales afectados”.</w:t>
      </w:r>
    </w:p>
    <w:p w:rsidR="006B7292" w:rsidRDefault="006B7292" w:rsidP="006B7292">
      <w:pPr>
        <w:pStyle w:val="TextoNormal"/>
      </w:pPr>
    </w:p>
    <w:p w:rsidR="006B7292" w:rsidRDefault="006B7292" w:rsidP="006B7292">
      <w:pPr>
        <w:pStyle w:val="TextoNormal"/>
      </w:pPr>
      <w:r>
        <w:t>Consecuentemente, corresponde apreciar que el art. 15 de la Ley 6/2009 es conforme a la garantía constitucional de la autonomía local, habida cuenta de que prevé una serie de mecanismos que permiten en abstracto que la Administración autonómica confeccione los planes de modernización, asignando a los intereses municipales un peso tendencialmente correspondiente a su relevancia. La potestad de planeamiento es “fuertemente discrecional” y “encierra una infinidad de decisiones que atañen al municipio exclusiva o prevalentemente” [STC 154/2015, FJ 6 c)]. Ello no impide que la justicia ordinaria pueda resolver que los concretos planes de modernización aprobados a su amparo no se ajustan a la indicada garantía constitucional, si no hubieran tenido suficientemente en cuenta las valoraciones de oportunidad en cuestiones de relevancia prevalente o exclusivamente municipal manifestadas por los ayuntamientos concernidos.</w:t>
      </w:r>
    </w:p>
    <w:p w:rsidR="006B7292" w:rsidRDefault="006B7292" w:rsidP="006B7292">
      <w:pPr>
        <w:pStyle w:val="TextoNormal"/>
      </w:pPr>
    </w:p>
    <w:p w:rsidR="006B7292" w:rsidRDefault="006B7292" w:rsidP="006B7292">
      <w:pPr>
        <w:pStyle w:val="TextoNormal"/>
      </w:pPr>
      <w:r>
        <w:t>Por todo ello, hay que estar de acuerdo con la Fiscal General del Estado cuando afirma que el órgano judicial ha transformado cuestiones concretas que pertenecen a la justicia ordinaria (relativas a la legalidad de un específico plan) en cuestiones abstractas propias de la justicia constitucional (sobre la constitucionalidad de la Ley que proporcionó cobertura a ese plan). En resumen: el precepto cuestionado no plantea un problema de garantía constitucional de la autonomía municipal. Si lo hace el Decreto 90/2012 aprobado a su amparo y, en particular, si el Gobierno autonómico ha ponderado suficientemente el criterio del Ayuntamiento de San Bartolomé de Tirajana en cuanto exponente de los intereses de la comunidad local, habrá de establecerlo el Tribunal Superior de Justicia de Canarias en el procedimiento judicia</w:t>
      </w:r>
      <w:r w:rsidRPr="006B7292">
        <w:rPr>
          <w:i/>
        </w:rPr>
        <w:t>l a q</w:t>
      </w:r>
      <w:r>
        <w:t>uo.</w:t>
      </w:r>
    </w:p>
    <w:p w:rsidR="006B7292" w:rsidRDefault="006B7292" w:rsidP="006B7292">
      <w:pPr>
        <w:pStyle w:val="TextoNormal"/>
      </w:pPr>
    </w:p>
    <w:p w:rsidR="006B7292" w:rsidRDefault="006B7292" w:rsidP="006B7292">
      <w:pPr>
        <w:pStyle w:val="TextoNormal"/>
      </w:pPr>
      <w:r>
        <w:t xml:space="preserve">b) El órgano judicial considera que las previsiones cuestionadas han podido vulnerar el art. 14 CE, al interpretar que no permiten aplicar el principio general de equidistribución de cargas y beneficios. A este respecto, conviene destacar que la elaboración del plan controvertido en el proceso </w:t>
      </w:r>
      <w:r w:rsidRPr="006B7292">
        <w:rPr>
          <w:i/>
        </w:rPr>
        <w:t>a quo</w:t>
      </w:r>
      <w:r>
        <w:t xml:space="preserve"> no se ha ajustado a dicha interpretación. El plan se ha confeccionado al amparo del precepto cuestionado, pero teniendo en cuenta también como “legislación de aplicación” (pp. 9-10 de la Memoria justificativa) la normativa urbanística general, tanto la básica estatal (texto refundido de la Ley del suelo aprobado por Real Decreto Legislativo 2/2008, de 20 de junio) como la autonómica de desarrollo (texto refundido de las Leyes de ordenación del territorio de Canarias y de espacios naturales de Canarias aprobado por el Decreto Legislativo 1/2000, de 8 de mayo y el Reglamento de gestión y ejecución del sistema de planeamiento de Canarias aprobado por el Decreto 183/2004, de 21 de diciembre). La memoria justificativa cita constantemente las bases estatales, considerándolas de “obligado cumplimiento” (p. 56).</w:t>
      </w:r>
    </w:p>
    <w:p w:rsidR="006B7292" w:rsidRDefault="006B7292" w:rsidP="006B7292">
      <w:pPr>
        <w:pStyle w:val="TextoNormal"/>
      </w:pPr>
    </w:p>
    <w:p w:rsidR="006B7292" w:rsidRDefault="006B7292" w:rsidP="006B7292">
      <w:pPr>
        <w:pStyle w:val="TextoNormal"/>
      </w:pPr>
      <w:r>
        <w:t>A la vista del tipo de actuaciones programadas, no parece que el plan impugnado plantee problemas de equidistribución de beneficios y cargas. Regula actuaciones destinadas a revitalizar el sector turístico en las zonas por él delimitadas, que son de dos tipos: públicas y privadas. Las primeras se limitan a la intervención sobre el viario, zonas verdes y espacios libres para dotarlas de equipamientos públicos o convertirlas en sede de determinadas actividades atractivas de un turismo de calidad; todo ello no plantea problema alguno de equidistribución. Respecto de las privadas, el plan distingue dos modalidades de actuación. Unas se corresponden con actuaciones en suelo rústico que permiten acoger proyectos ya determinados. Los proyectos en suelo rústico residual no cambian la clasificación del suelo, ni implican aprovechamiento urbanístico; se trata sólo de la realización de usos en suelo no urbanizable que exigen la aprobación de un proyecto como lo exigen las huertas solares o la construcción de un almacén de recogida de los productos de la cosecha. Esto tampoco tiene que ver con la equidistribución de los beneficios y cargas derivados de la ejecución del planeamiento porque se trata de un proyecto pero no de un plan. La otra forma de intervención en ámbito privado se corresponde con una serie de actuaciones en suelo urbano que son exclusivamente de dotación. Consisten en el reconocimiento de plazas adicionales, incremento de edificabilidad y cambio de usos para favorecer la creación de establecimientos comerciales. Ninguna de las dieciséis actuaciones previstas requiere renovación integral de la urbanización. Se incluyen dentro, no de las denominadas “actuaciones de transformación urbanística”, sino de las operaciones de dotación a cuyos deberes (art. 16 del texto refundido de la Ley del suelo) se refiere específicamente la memoria (p. 167). Las actuaciones de dotación no conllevan el derecho y deber de ejecutar la urbanización en régimen de equidistribución de beneficios y cargas porque no suponen una urbanización integral; está ya hecha y no es necesario renovarla como ocurre en las actuaciones de reforma interior. Es deber de los propietarios ceder las dotaciones que son necesarias por el cambio de uso o el incremento de la edificabilidad así como la parte correspondiente del incremento del aprovechamiento lucrativo. Tampoco este tipo de actuaciones plantea pues un problema de equidistribución de beneficios y cargas.</w:t>
      </w:r>
    </w:p>
    <w:p w:rsidR="006B7292" w:rsidRDefault="006B7292" w:rsidP="006B7292">
      <w:pPr>
        <w:pStyle w:val="TextoNormal"/>
      </w:pPr>
    </w:p>
    <w:p w:rsidR="006B7292" w:rsidRDefault="006B7292" w:rsidP="006B7292">
      <w:pPr>
        <w:pStyle w:val="TextoNormal"/>
      </w:pPr>
      <w:r>
        <w:t>Las antecedentes consideraciones cobran relevancia en la medida en que son indicativas de que el precepto cuestionado no ha excluido la aplicación de la legislación urbanística general (estatal y autonómica). Lo relevante desde la perspectiva del control abstracto en que consiste el enjuiciamiento de la constitucionalidad de las leyes es que, frente a lo razonado por el promotor de la cuestión, nada hay en el precepto impugnado que permita afirmar que los planes o programas de modernización no están sujetos a la legislación básica estatal, en general, ni al principio de equidistribución de beneficios y cargas, en particular. El art. 15 de la Ley 6/2009 no impide la aplicación de tal legislación por lo que en modo alguno puede interpretarse que haya quedado excluida.</w:t>
      </w:r>
    </w:p>
    <w:p w:rsidR="006B7292" w:rsidRDefault="006B7292" w:rsidP="006B7292">
      <w:pPr>
        <w:pStyle w:val="TextoNormal"/>
      </w:pPr>
    </w:p>
    <w:p w:rsidR="006B7292" w:rsidRDefault="006B7292" w:rsidP="006B7292">
      <w:pPr>
        <w:pStyle w:val="TextoNormal"/>
      </w:pPr>
      <w:r>
        <w:t xml:space="preserve">También en este caso, tal como sugieren las alegaciones de la Fiscal General del Estado, la solución del problema de si el plan de modernización aprobado por el Decreto 90/2012 incumple el principio de equidistribución de cargas y beneficios, corresponde, no a este Tribunal, sino al Superior de Justicia de Canarias. Habrá de afrontarlo al resolver el recurso contencioso-administrativo formulado en el procedimiento judicial </w:t>
      </w:r>
      <w:r w:rsidRPr="006B7292">
        <w:rPr>
          <w:i/>
        </w:rPr>
        <w:t>a quo</w:t>
      </w:r>
      <w:r>
        <w:t>. La infracción en que pudiera eventualmente incurrir el plan en modo alguno puede redirigirse contra el precepto cuestionado. No está de más recordar que la equidistribución, esto es, el reparto igualitario de los beneficios y cargas derivados de la ejecución del planeamiento, no aspira a lograr una igualdad suprema, sino que es un intento de igualar en la medida establecida por la Ley. No hay equidistribución de beneficios y cargas entre distintas clases de suelo; tampoco tiene que haberla necesariamente entre sectores distintos de la misma clase de suelo, ni siquiera entre los propietarios afectados por el mismo plan, pero incluidos en diferentes ámbitos o unidades de ejecución.</w:t>
      </w:r>
    </w:p>
    <w:p w:rsidR="006B7292" w:rsidRDefault="006B7292" w:rsidP="006B7292">
      <w:pPr>
        <w:pStyle w:val="TextoNormal"/>
      </w:pPr>
    </w:p>
    <w:p w:rsidR="006B7292" w:rsidRDefault="006B7292" w:rsidP="006B7292">
      <w:pPr>
        <w:pStyle w:val="TextoNormal"/>
      </w:pPr>
      <w:r>
        <w:t>Cabe pues descartar que el artículo 15 incurra en arbitrariedad por permitir que los planes de modernización desarrollen proyectos de sustitución, rehabilitación o mejora en contra de las determinaciones del planeamiento vigente (apartado 3), obligando a los municipios a incorporarlo en los instrumentos urbanísticos correspondientes (apartado 4). Este Tribunal ha descartado recientemente que incurran en inconstitucionalidad normas autonómicas similares, que también hacen valer intereses supramunicipales para centralizar en la Administración autonómica la elaboración de determinados planes con previsión de que a ellos habrá de adaptarse el planeamiento urbanístico municipal [STC 57/2015, de 18 de marzo, FJ 18, letras a) y d)]. Puede por ello excluirse también que el precepto cuestionado vulnere el principio de interdicción de la arbitrariedad (art. 9.3 CE).</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Inadmitir a trámite la cuestión de inconstitucionalidad núm. 3668-2015.</w:t>
      </w:r>
    </w:p>
    <w:p w:rsidR="006B7292" w:rsidRDefault="006B7292" w:rsidP="006B7292">
      <w:pPr>
        <w:pStyle w:val="TextoNormal"/>
      </w:pPr>
    </w:p>
    <w:p w:rsidR="006B7292" w:rsidRDefault="006B7292" w:rsidP="006B7292">
      <w:pPr>
        <w:pStyle w:val="TextoNormal"/>
      </w:pPr>
      <w:r>
        <w:t>Madrid, a dieciocho de noviembre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08" w:name="AUTO_2015_194"/>
      <w:r>
        <w:t>AUTO 194/2015, de 18 de noviembre de 2015</w:t>
      </w:r>
    </w:p>
    <w:bookmarkEnd w:id="208"/>
    <w:p w:rsidR="006B7292" w:rsidRDefault="006B7292" w:rsidP="006B7292">
      <w:pPr>
        <w:pStyle w:val="TtuloResolucin"/>
      </w:pPr>
      <w:r>
        <w:t>Pleno</w:t>
      </w:r>
    </w:p>
    <w:p w:rsidR="006B7292" w:rsidRDefault="006B7292" w:rsidP="006B7292">
      <w:pPr>
        <w:pStyle w:val="TextoNormalCentrado"/>
      </w:pPr>
      <w:r>
        <w:t>ECLI:ES:TC:2015:194A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Inadmite a trámite la cuestión de inconstitucionalidad 4242-2015, planteada por la Sala de lo Contencioso-Administrativo del Tribunal Superior de Justicia de Canarias en relación con los apartados 1, 3 y 4 del artículo 15 de la Ley del Parlamento de Canarias 6/2009, de 6 de mayo, de medidas urgentes en materia de ordenación territorial para la dinamización sectorial y la ordenación del turismo.</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registrado en este Tribunal el 16 de julio de 2015, acompañado del Auto de 14 de abril del mismo año, la Sección Segunda de la Sala de lo Contencioso-Administrativo del Tribunal Superior de Justicia de Canarias plantea cuestión de inconstitucionalidad. Se refiere a los apartados 1, 3 y 4 del art. 15 de la Ley canaria 6/2009, de 6 de mayo, de medidas urgentes en materia de ordenación territorial para la dinamización sectorial y la ordenación del turismo, en la redacción vigente en noviembre de 2012. Plantea la posible infracción de la garantía constitucional de la autonomía municipal (arts. 137 y 140 CE), en relación con el art. 25 y concordantes de la Ley 7/1985, de 2 de abril, de bases del régimen local (LBRL), así como de los principios de interdicción de arbitrariedad (art. 9.3 CE) e igualdad (art. 14 CE).</w:t>
      </w:r>
    </w:p>
    <w:p w:rsidR="006B7292" w:rsidRDefault="006B7292" w:rsidP="006B7292">
      <w:pPr>
        <w:pStyle w:val="TextoNormal"/>
      </w:pPr>
    </w:p>
    <w:p w:rsidR="006B7292" w:rsidRDefault="006B7292" w:rsidP="006B7292">
      <w:pPr>
        <w:pStyle w:val="TextoNormal"/>
      </w:pPr>
      <w:r>
        <w:t>El art. 15 de la Ley canaria 6/2009, sobre “proyectos de sustitución, rehabilitación y reforma” —derogado por la Ley 2/2013, de 29 de mayo, de renovación y modernización turística de Canarias (disposición derogatoria única)— dispone:</w:t>
      </w:r>
    </w:p>
    <w:p w:rsidR="006B7292" w:rsidRDefault="006B7292" w:rsidP="006B7292">
      <w:pPr>
        <w:pStyle w:val="TextoNormal"/>
      </w:pPr>
    </w:p>
    <w:p w:rsidR="006B7292" w:rsidRDefault="006B7292" w:rsidP="006B7292">
      <w:pPr>
        <w:pStyle w:val="TextoNormal"/>
      </w:pPr>
      <w:r>
        <w:t>“1. Los planes o programas específicos de modernización, mejora e incremento de la competitividad del sector, aprobados por el Gobierno de Canarias, quedan sometidos al cumplimiento del trámite de cooperación administrativa previsto en el artículo 11 del Texto Refundido aprobado por el Decreto Legislativo 1/2000.</w:t>
      </w:r>
    </w:p>
    <w:p w:rsidR="006B7292" w:rsidRDefault="006B7292" w:rsidP="006B7292">
      <w:pPr>
        <w:pStyle w:val="TextoNormal"/>
      </w:pPr>
    </w:p>
    <w:p w:rsidR="006B7292" w:rsidRDefault="006B7292" w:rsidP="006B7292">
      <w:pPr>
        <w:pStyle w:val="TextoNormal"/>
      </w:pPr>
      <w:r>
        <w:t>2. Las actuaciones particulares relativas a proyectos de sustitución, de rehabilitación de la planta alojativa o de la infraestructura turística, o a los de remodelación urbanística incluidas en los planes y programas de modernización, mejora y competitividad del sector turístico a que se refiere el apartado anterior podrán ser exceptuadas por el ayuntamiento de la licencia municipal, quedando, en este caso, sometidos al régimen de comunicación previa a aquél.</w:t>
      </w:r>
    </w:p>
    <w:p w:rsidR="006B7292" w:rsidRDefault="006B7292" w:rsidP="006B7292">
      <w:pPr>
        <w:pStyle w:val="TextoNormal"/>
      </w:pPr>
    </w:p>
    <w:p w:rsidR="006B7292" w:rsidRDefault="006B7292" w:rsidP="006B7292">
      <w:pPr>
        <w:pStyle w:val="TextoNormal"/>
      </w:pPr>
      <w:r>
        <w:t>A tal efecto, el promotor deberá comunicar al ayuntamiento el inicio de la actividad de ejecución del proyecto, con una antelación de 30 días, mediante escrito al que se acompañe una descripción suficiente de la actuación y las autorizaciones otorgadas. Dentro de ese período de 30 días, el ayuntamiento sólo podrá denegar el inicio de las actividades si la actuación proyectada no se ajusta al Plan de Modernización, Mejora y Competitividad aprobado por el Gobierno o a las autorizaciones otorgadas.</w:t>
      </w:r>
    </w:p>
    <w:p w:rsidR="006B7292" w:rsidRDefault="006B7292" w:rsidP="006B7292">
      <w:pPr>
        <w:pStyle w:val="TextoNormal"/>
      </w:pPr>
    </w:p>
    <w:p w:rsidR="006B7292" w:rsidRDefault="006B7292" w:rsidP="006B7292">
      <w:pPr>
        <w:pStyle w:val="TextoNormal"/>
      </w:pPr>
      <w:r>
        <w:t>3. En el caso de que los proyectos de sustitución, rehabilitación o mejora a que se refieren los apartados anteriores no se encuentren previstos en el planeamiento vigente, o sean contrarios a las determinaciones del mismo, el Plan o programa específico que les dé cobertura y que promueva y apruebe el Gobierno tendrá una tramitación abreviada y de fase única, en la que se dará cumplimiento a las exigencias de la evaluación ambiental estratégica, prevista en la Ley 9/2006, de 28 de abril, sobre evaluación de los efectos de determinados planes y programas en el medio ambiente, salvo que, por evidenciarse su limitada trascendencia territorial y ambiental, la Comisión de Ordenación del Territorio y Medio Ambiente de Canarias, a quien además le corresponde aprobar el informe previo a la aprobación por el Gobierno de dicho plan o programa, determine su exención en aplicación de la normativa vigente.</w:t>
      </w:r>
    </w:p>
    <w:p w:rsidR="006B7292" w:rsidRDefault="006B7292" w:rsidP="006B7292">
      <w:pPr>
        <w:pStyle w:val="TextoNormal"/>
      </w:pPr>
    </w:p>
    <w:p w:rsidR="006B7292" w:rsidRDefault="006B7292" w:rsidP="006B7292">
      <w:pPr>
        <w:pStyle w:val="TextoNormal"/>
      </w:pPr>
      <w:r>
        <w:t>En el supuesto de que se determine la necesidad de llevar a cabo la evaluación ambiental estratégica del plan o programa, o la declaración de impacto ambiental de cualquiera de los proyectos previstos en la actuación planificada, será dicha comisión el órgano ambiental competente para la aprobación de la memoria ambiental, o la declaración de impacto ambiental, en su caso.</w:t>
      </w:r>
    </w:p>
    <w:p w:rsidR="006B7292" w:rsidRDefault="006B7292" w:rsidP="006B7292">
      <w:pPr>
        <w:pStyle w:val="TextoNormal"/>
      </w:pPr>
    </w:p>
    <w:p w:rsidR="006B7292" w:rsidRDefault="006B7292" w:rsidP="006B7292">
      <w:pPr>
        <w:pStyle w:val="TextoNormal"/>
      </w:pPr>
      <w:r>
        <w:t>El documento de planeamiento abreviado será sometido a informe del ayuntamiento en cuyo término municipal se lleve a cabo la actuación y del cabildo insular correspondiente, y se expondrá al trámite de información pública, que, en el caso de precisarse su evaluación ambiental estratégica, contendrá el estudio de sostenibilidad, extendiéndose el plazo de información pública a cuarenta y cinco días naturales.</w:t>
      </w:r>
    </w:p>
    <w:p w:rsidR="006B7292" w:rsidRDefault="006B7292" w:rsidP="006B7292">
      <w:pPr>
        <w:pStyle w:val="TextoNormal"/>
      </w:pPr>
    </w:p>
    <w:p w:rsidR="006B7292" w:rsidRDefault="006B7292" w:rsidP="006B7292">
      <w:pPr>
        <w:pStyle w:val="TextoNormal"/>
      </w:pPr>
      <w:r>
        <w:t>4. El Plan o programa específico, una vez aprobado por el Gobierno, será incorporado a los instrumentos de ordenación territorial y de planeamiento urbanístico pertinentes como modificación de los mismos, en el ámbito afectado, en su caso.”</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de hecho de la presente cuestión de inconstitucionalidad son, sucintamente expuestos, los siguientes:</w:t>
      </w:r>
    </w:p>
    <w:p w:rsidR="006B7292" w:rsidRDefault="006B7292" w:rsidP="006B7292">
      <w:pPr>
        <w:pStyle w:val="TextoNormal"/>
      </w:pPr>
    </w:p>
    <w:p w:rsidR="006B7292" w:rsidRDefault="006B7292" w:rsidP="006B7292">
      <w:pPr>
        <w:pStyle w:val="TextoNormal"/>
      </w:pPr>
      <w:r>
        <w:t>a) El 20 de diciembre de 2011 el Ayuntamiento de San Bartolomé de Tirajana (Las Palmas) suscribe con Gesplan —entidad pública dependiente del Gobierno de Canarias— convenio relativo a la redacción del plan de modernización, mejora e incremento de la competitividad del ámbito turístico del sur de Gran Canaria. El epígrafe IV de su parte expositiva señala: “la empresa pública del Gobierno de Canarias, Gesplan, ha recibido la encomienda por parte de aquel mediante Orden número 169 de 16 de marzo de 2011, relativa a la redacción del Plan… instrumento amparado por la Ley 6/2009 y cuyo objeto fundamental será contribuir decididamente a la recualificación de este importantísimo destino turístico de Canarias”. El epígrafe VI afirma: “para el desarrollo de los trabajos de redacción y tramitación hasta su puesta en vigor mediante la correspondiente aprobación definitiva por el Gobierno de Canarias, será fundamental desarrollar un marco de estrecha colaboración con el Ayuntamiento de la Villa de San Bartolomé de Tirajana, a los efectos de aportar al equipo redactor la información y apoyos precisos para el buen fin de los trabajos”.</w:t>
      </w:r>
    </w:p>
    <w:p w:rsidR="006B7292" w:rsidRDefault="006B7292" w:rsidP="006B7292">
      <w:pPr>
        <w:pStyle w:val="TextoNormal"/>
      </w:pPr>
    </w:p>
    <w:p w:rsidR="006B7292" w:rsidRDefault="006B7292" w:rsidP="006B7292">
      <w:pPr>
        <w:pStyle w:val="TextoNormal"/>
      </w:pPr>
      <w:r>
        <w:t>b) El Decreto 90/2012, de 22 de noviembre, aprueba el plan de modernización, mejora e incremento de la competitividad del sector turístico de San Bartolomé de Tirajana “Maspalomas Costa Canaria”. Conforme a la exposición de motivos del Decreto, el plan: “se fundamenta en el artículo 15 de la Ley 6/2009, de 6 de mayo, de medidas urgentes en materia de ordenación territorial para la dinamización sectorial y la ordenación del turismo, precepto en el cual se introduce la figura de los planes y programas específicos de modernización, mejora e incremento de la competitividad del sector, como instrumentos aptos para dar cobertura a concretos proyectos de sustitución, de rehabilitación de la planta alojativa o de la infraestructura turística, o a los de remodelación urbanística”. La finalidad del plan es, según la exposición de motivos del Decreto, “un nuevo modelo de desarrollo turístico de las urbanizaciones de Maspalomas, Playa del Inglés y San Agustín basado en dos líneas de actuación; la rehabilitación de espacio público (calles y avenidas, paseo marítimo y plazas) y la renovación de los establecimientos turísticos y de sus complementarios (comerciales y recreativos) insertos en la trama del ámbito de actuación. El presente Plan incorpora 16 propuestas en el espacio privado y la oportunidad de diseñar diversas actuaciones en espacios públicos, distribuidas entre un Sistema Verde, un Sistema de Actividad y un Sistema Costero”.</w:t>
      </w:r>
    </w:p>
    <w:p w:rsidR="006B7292" w:rsidRDefault="006B7292" w:rsidP="006B7292">
      <w:pPr>
        <w:pStyle w:val="TextoNormal"/>
      </w:pPr>
    </w:p>
    <w:p w:rsidR="006B7292" w:rsidRDefault="006B7292" w:rsidP="006B7292">
      <w:pPr>
        <w:pStyle w:val="TextoNormal"/>
      </w:pPr>
      <w:r>
        <w:t>c) La entidad Maspalomas Resort, S.L., interpone recurso contencioso-administrativo contra el Decreto 90/2012, de 22 de noviembre, por el que se aprueba el plan indicado.</w:t>
      </w:r>
    </w:p>
    <w:p w:rsidR="006B7292" w:rsidRDefault="006B7292" w:rsidP="006B7292">
      <w:pPr>
        <w:pStyle w:val="TextoNormal"/>
      </w:pPr>
    </w:p>
    <w:p w:rsidR="006B7292" w:rsidRDefault="006B7292" w:rsidP="006B7292">
      <w:pPr>
        <w:pStyle w:val="TextoNormal"/>
      </w:pPr>
      <w:r>
        <w:t>d) La providencia de 27 de febrero de 2015 de la Sección Segunda de la Sala de lo Contencioso-Administrativo del Tribunal Superior de Justicia de Canarias señala 3 de marzo de 2015 para la votación y fallo del procedimiento judicial.</w:t>
      </w:r>
    </w:p>
    <w:p w:rsidR="006B7292" w:rsidRDefault="006B7292" w:rsidP="006B7292">
      <w:pPr>
        <w:pStyle w:val="TextoNormal"/>
      </w:pPr>
    </w:p>
    <w:p w:rsidR="006B7292" w:rsidRDefault="006B7292" w:rsidP="006B7292">
      <w:pPr>
        <w:pStyle w:val="TextoNormal"/>
      </w:pPr>
      <w:r>
        <w:t>e) La providencia de 9 de marzo de 2015 del mismo órgano judicial suspende el plazo para dictar sentencia y concede a las partes y al Ministerio Fiscal plazo para alegar sobre la conveniencia de plantear cuestión de inconstitucionalidad respecto de los apartados 1, 3 y 4 del art. 15 de la Ley 6/2009 por posible contradicción con el principio de autonomía municipal (arts. 137 y 140 CE; art. 25 y concordantes LBRL). También señala la posible infracción de los arts. 9.3 y 14 CE habida cuenta de que el precepto obvia en los planes o programas que regula los principios de equidistribución de beneficios y cargas y el procedimiento de elaboración y revisión del planeamiento.</w:t>
      </w:r>
    </w:p>
    <w:p w:rsidR="006B7292" w:rsidRDefault="006B7292" w:rsidP="006B7292">
      <w:pPr>
        <w:pStyle w:val="TextoNormal"/>
      </w:pPr>
    </w:p>
    <w:p w:rsidR="006B7292" w:rsidRDefault="006B7292" w:rsidP="006B7292">
      <w:pPr>
        <w:pStyle w:val="TextoNormal"/>
      </w:pPr>
      <w:r>
        <w:t xml:space="preserve">f) El Fiscal no se opone al planteamiento de la cuestión, precisando que no le corresponde entrar en el fondo del asunto, toda vez que ello estaría reservado al Fiscal General del Estado </w:t>
      </w:r>
      <w:r w:rsidRPr="006B7292">
        <w:rPr>
          <w:i/>
        </w:rPr>
        <w:t>ex</w:t>
      </w:r>
      <w:r>
        <w:t xml:space="preserve"> art. 37.2 de la Ley Orgánica del Tribunal Constitucional (LOTC). La entidad Maspalomas Resort, S.L., considera que las previsiones controvertidas son inconstitucionales, pero se opone al planteamiento por entender que el plan de modernización debería anularse en todo caso. El Gobierno de la Comunidad Autónoma de Canarias, el Cabildo insular de Gran Canaria y el Ayuntamiento de San Bartolomé de Tirajana se oponen al planteamiento de la cuestión.</w:t>
      </w:r>
    </w:p>
    <w:p w:rsidR="006B7292" w:rsidRDefault="006B7292" w:rsidP="006B7292">
      <w:pPr>
        <w:pStyle w:val="TextoNormal"/>
      </w:pPr>
    </w:p>
    <w:p w:rsidR="006B7292" w:rsidRDefault="006B7292" w:rsidP="006B7292">
      <w:pPr>
        <w:pStyle w:val="TextoNormal"/>
      </w:pPr>
      <w:r>
        <w:t>g) El órgano judicial dicta Auto de 14 de abril de 2015 planteando la cuestión de inconstitucionalidad en relación con los apartados 1, 3 y 4 del art. 15 de la Ley canaria 6/2009, por posible infracción de la garantía constitucional de la autonomía municipal (arts. 137 y 140 CE), en relación con el art. 25 y concordantes de la Ley 7/1985, de abril, de bases del régimen local, así como de los principios de interdicción de arbitrariedad (art. 9.3 CE) e igualdad (art. 14 CE).</w:t>
      </w:r>
    </w:p>
    <w:p w:rsidR="006B7292" w:rsidRDefault="006B7292" w:rsidP="006B7292">
      <w:pPr>
        <w:pStyle w:val="TextoNormal"/>
      </w:pPr>
    </w:p>
    <w:p w:rsidR="006B7292" w:rsidRDefault="006B7292" w:rsidP="006B7292">
      <w:pPr>
        <w:pStyle w:val="TextoNormal"/>
      </w:pPr>
      <w:r w:rsidRPr="006B7292">
        <w:rPr>
          <w:rStyle w:val="NumeroAFNegritaCaracter"/>
        </w:rPr>
        <w:t>3</w:t>
      </w:r>
      <w:r>
        <w:t xml:space="preserve">. El Auto de planteamiento destaca que la tramitación, la aprobación y los contenidos del plan de modernización recurrido en el procedimiento judicial </w:t>
      </w:r>
      <w:r w:rsidRPr="006B7292">
        <w:rPr>
          <w:i/>
        </w:rPr>
        <w:t>a quo</w:t>
      </w:r>
      <w:r>
        <w:t xml:space="preserve"> se han sometido al art. 15 de la Ley 9/2009. Por tal razón, afirma, el artículo 15, sobre el que pesan las dudas de constitucionalidad, constituye el parámetro de control para resolver el recurso contencioso-administrativo. La Ley 2/2013 ha introducido un nuevo régimen para este tipo de planes a la vez que deroga el precepto cuestionado. Ahora bien, aclara, esta nueva regulación carece de aplicación retroactiva, no contiene norma alguna sobre transitoriedad y, en todo caso, es claro que en el proceso </w:t>
      </w:r>
      <w:r w:rsidRPr="006B7292">
        <w:rPr>
          <w:i/>
        </w:rPr>
        <w:t>a quo</w:t>
      </w:r>
      <w:r>
        <w:t xml:space="preserve"> habrá de aplicarse el artículo 15, pues es el manejado en la elaboración del plan impugnado. Destaca en este sentido que el proceso judicial no es un recurso directo contra reglamentos. No se está, por tanto, ante aquellos supuestos que ha aislado el Tribunal Constitucional en los que procede la inadmisión de la cuestión porque su enjuiciamiento no proyectaría resultados sobre el litigio (SSTC 147/2012, de 5 de julio, FJ 3). Señala también que es claro que la respuesta a las infracciones denunciadas por el recurrente —entre ellas, la relativa a la vulneración de la garantía constitucional de la autonomía local— exige el examen de la constitucionalidad del precepto cuestionado. Comoquiera que este ha dado cobertura a la elaboración del plan impugnado, no haría falta mayor argumentación para evidenciar que la Sentencia que lo declarase inconstitucional afectaría al resultado del proceso </w:t>
      </w:r>
      <w:r w:rsidRPr="006B7292">
        <w:rPr>
          <w:i/>
        </w:rPr>
        <w:t>a quo</w:t>
      </w:r>
      <w:r>
        <w:t xml:space="preserve">. Insiste en que los planes de modernización no se identifican con (ni equivalen a) ninguno de los instrumentos de ordenación territorial y/o urbanística del ordenamiento canario. No puede afirmarse </w:t>
      </w:r>
      <w:r w:rsidRPr="006B7292">
        <w:rPr>
          <w:i/>
        </w:rPr>
        <w:t>a priori</w:t>
      </w:r>
      <w:r>
        <w:t xml:space="preserve"> que se trata de planes generales, parciales, especiales ni de programas de ejecución, aunque, paradójicamente, su contenido prevalezca sobre los planes generales de ordenación o territoriales. La Ley controvertida ha disciplinado estos planes al margen de toda la regulación estatal y canaria. Tal deficiencia se aprecia claramente si se compara la previsión cuestionada con la nueva regulación de la Ley 2/2013.</w:t>
      </w:r>
    </w:p>
    <w:p w:rsidR="006B7292" w:rsidRDefault="006B7292" w:rsidP="006B7292">
      <w:pPr>
        <w:pStyle w:val="TextoNormal"/>
      </w:pPr>
    </w:p>
    <w:p w:rsidR="006B7292" w:rsidRDefault="006B7292" w:rsidP="006B7292">
      <w:pPr>
        <w:pStyle w:val="TextoNormal"/>
      </w:pPr>
      <w:r>
        <w:t>Respecto de la vulneración de la autonomía municipal, el Auto razona, citando doctrina constitucional, que la indisponibilidad de las competencias desautoriza cualquier alegato asentado sobre la idea de aquiescencia (STC 95/2014, de 12 de junio, FJ 3; SSTS de 5 de octubre y 30 de diciembre de 2005). Entrando en el fondo, considera que el precepto propicia la modificación del planteamiento elaborado y aprobado por el ayuntamiento por la sola voluntad de una instancia territorial distinta: el Gobierno de Canarias. Ello, además, afectando a toda clase de suelos, sin límite respecto de las posibles operaciones de revisión que afectan a la categorización, sistemas generales o previsiones de ejecución. A este respecto, el Auto insiste en que los nuevos planes de modernización han sido configurados al margen de los múltiples instrumentos de ordenación territorial y urbanística, ajeno a la ordenación jerárquica y sin sometimiento a las demás normas canarias. Ni siquiera se regula si puede operar sobre determinada clase de suelo, clasificar o desclasificar, modificar sistemas generales, etc. Sin embargo, de acuerdo con su memoria, el plan impugnado contempla intervenciones de toda naturaleza: establece las condiciones particulares de la edificación y prevé intervenciones en espacio público (principalmente calles, espacios libres y áreas de oportunidad) dirigidas a reinterpretar y reorientar su función. Incluye también intervenciones en espacio privado, en particular, de sustitución, renovación, rehabilitación o reforma en espacios establecimientos de alojamiento y espacios comerciales así como de implantación de dos equipamientos de ocio en suelo rústico. Esta descripción sería suficiente para descartar que las actuaciones se refieran exclusivamente a suelo urbano consolidado.</w:t>
      </w:r>
    </w:p>
    <w:p w:rsidR="006B7292" w:rsidRDefault="006B7292" w:rsidP="006B7292">
      <w:pPr>
        <w:pStyle w:val="TextoNormal"/>
      </w:pPr>
    </w:p>
    <w:p w:rsidR="006B7292" w:rsidRDefault="006B7292" w:rsidP="006B7292">
      <w:pPr>
        <w:pStyle w:val="TextoNormal"/>
      </w:pPr>
      <w:r>
        <w:t>En relación con la vulneración de la autonomía municipal, se afirma que los nuevos planes de modernización pueden afectar exclusivamente a parte del territorio de un municipio —como ocurre en el que es objeto del recurso—, modificando el plan general y afectando a intereses cuya gestión corresponde al ayuntamiento. Sin embargo, la participación local ha quedado limitada a un informe no vinculante con idéntico alcance que los informes de otras Administraciones o el resultado de la información pública. El Auto insiste en que la iniciativa para la aprobación del plan impugnado en modo alguno correspondió en el caso al ayuntamiento. No debe confundirse la iniciativa para la formulación y tramitación del plan, que conforme a la regulación cuestionada corresponde al Gobierno canario (sin que estuviera prevista entonces la exigencia de conformidad de los ayuntamientos que prevé ahora la Ley 2/2013) con el convenio suscrito para la redacción del plan.</w:t>
      </w:r>
    </w:p>
    <w:p w:rsidR="006B7292" w:rsidRDefault="006B7292" w:rsidP="006B7292">
      <w:pPr>
        <w:pStyle w:val="TextoNormal"/>
      </w:pPr>
    </w:p>
    <w:p w:rsidR="006B7292" w:rsidRDefault="006B7292" w:rsidP="006B7292">
      <w:pPr>
        <w:pStyle w:val="TextoNormal"/>
      </w:pPr>
      <w:r>
        <w:t>En cuanto a los intereses supramunicipales, la invocación general del turismo como sector estratégico —que ni siquiera están en la Ley cuestionada— no sería suficiente para desapoderar a los ayuntamientos en una profusión de ámbitos (alojativo, restauración, equipamientos y actividades deportivas y culturales, medio-ambiente). La mera incidencia económica o en la creación de empleo justifica un interés social, pero no es determinante por sí del interés supramunicipal, de otro modo cualquier proyecto o plan podría ser reclamado para sí por la Comunidad Autónoma o el Estado.</w:t>
      </w:r>
    </w:p>
    <w:p w:rsidR="006B7292" w:rsidRDefault="006B7292" w:rsidP="006B7292">
      <w:pPr>
        <w:pStyle w:val="TextoNormal"/>
      </w:pPr>
    </w:p>
    <w:p w:rsidR="006B7292" w:rsidRDefault="006B7292" w:rsidP="006B7292">
      <w:pPr>
        <w:pStyle w:val="TextoNormal"/>
      </w:pPr>
      <w:r>
        <w:t>Respecto de las demás posibles vulneraciones, el Auto razona que los planes de modernización, al no someterse a regulación legal alguna, no están sujetos a principios rectores de la planificación y ejecución que recoge la legislación urbanística, tanto la básica estatal como la canaria. La equidistribución de beneficios y cargas es uno de tales principios. Como los planes de modernización no están sometidos a él, “no podríamos enjuiciar su contenido caso de que se invoque —como así se hace en los recursos en que hablamos—”. No puede alegarse de contrario que los planes afectan exclusivamente a suelos urbanos consolidados —donde la aplicación de tal principio puede tener mayor modulación—, por cuanto que “las actuaciones de tales planes pueden afectar, y de hecho lo hace el que es objeto de recurso, a otra clase de suelo o incluso de equipamientos, sistema general viario, de ocio, etc.”</w:t>
      </w:r>
    </w:p>
    <w:p w:rsidR="006B7292" w:rsidRDefault="006B7292" w:rsidP="006B7292">
      <w:pPr>
        <w:pStyle w:val="TextoNormal"/>
      </w:pPr>
    </w:p>
    <w:p w:rsidR="006B7292" w:rsidRDefault="006B7292" w:rsidP="006B7292">
      <w:pPr>
        <w:pStyle w:val="TextoNormal"/>
      </w:pPr>
      <w:r>
        <w:t xml:space="preserve">Según el Auto, algo similar puede decirse de la ausencia de la regulación que prohíbe las denominadas “reservas de dispensación” que son una aplicación del principio de inderogabilidad singular de los reglamentos recogidas desde el art. 57.3 del texto refundido de la Ley del suelo de 1973 hasta el art. 44.1 del texto refundido de las Leyes de ordenación de Canarias, y que igualmente tienen anclaje constitucional al suponer discriminación </w:t>
      </w:r>
      <w:r w:rsidRPr="006B7292">
        <w:rPr>
          <w:i/>
        </w:rPr>
        <w:t>ex</w:t>
      </w:r>
      <w:r>
        <w:t xml:space="preserve"> art. 14 CE.</w:t>
      </w:r>
    </w:p>
    <w:p w:rsidR="006B7292" w:rsidRDefault="006B7292" w:rsidP="006B7292">
      <w:pPr>
        <w:pStyle w:val="TextoNormal"/>
      </w:pPr>
    </w:p>
    <w:p w:rsidR="006B7292" w:rsidRDefault="006B7292" w:rsidP="006B7292">
      <w:pPr>
        <w:pStyle w:val="TextoNormal"/>
      </w:pPr>
      <w:r>
        <w:t>El Auto afirma, en fin, que las previsiones cuestionadas vulneran también la prohibición de arbitrariedad (art. 9.3 CE) porque no regulan el contenido y los límites de los planes de modernización, lo que permitiría la modificación de cualquiera de los extremos incluidos en los planes de ordenación territorial o urbanística.</w:t>
      </w:r>
    </w:p>
    <w:p w:rsidR="006B7292" w:rsidRDefault="006B7292" w:rsidP="006B7292">
      <w:pPr>
        <w:pStyle w:val="TextoNormal"/>
      </w:pPr>
    </w:p>
    <w:p w:rsidR="006B7292" w:rsidRDefault="006B7292" w:rsidP="006B7292">
      <w:pPr>
        <w:pStyle w:val="TextoNormal"/>
      </w:pPr>
      <w:r>
        <w:t>El Auto cuenta con voto particular suscrito por una de las Magistradas que componen la Sala. Razona que, por mucho que se quiera apurar el criterio de interpretación flexible de la Ley Orgánica del Tribunal Constitucional, el Auto no alcanza a formular el juicio de relevancia porque no específica en qué medida la decisión del proceso depende de la validez de la norma cuya inconstitucionalidad se cuestiona. Considera que el Ayuntamiento de San Bartolomé de Tirajana tiene la iniciativa de colaboración a través de la entidad Gesplan para llevar a cabo la modernización del sector turístico, habiendo firmando al efecto el correspondiente convenio. Tal ayuntamiento es quien solicitó la intervención de la Administración autonómica, existiendo una activa participación local, tal como resulta del epígrafe IV de la parte expositiva del señalado convenio. El artículo 15.1 cuestionado prevé la intervención local a través del mecanismo de cooperación previsto en el art. 11 del Decreto Legislativo 1/2000. Sostiene que los motivos de la demanda plantean cuestiones de legalidad ordinaria que pueden resolverse sin planteamiento de la cuestión. Lo mismo cabría afirmar respecto de la supuesta inconstitucionalidad del artículo 15, apartados 1, 3 y 4, por obviar en los planes regulados los principios de equidistribución y procedimiento de elaboración y revisión del planeamiento. Los planes que se desarrollen recaen sobre suelos turísticos maduros o plenamente consolidados. Corresponderá a la jurisdicción ordinaria determinar si tales principios resultan vulnerados con relación a los supuestos específicos de ejecución de los distintos planes. En el presente caso, nadie cuestiona que el quiosco de Meloneras, el edificio de aparcamientos y Ocean Park están ubicados en suelo urbano consolidado. Por ello en nada afectaría al resultado del procedimiento declarar inconstitucional el art. 15 de la citada Ley. Se afirma, finalmente, que el Ayuntamiento de San Bartolomé de Tirajana, que es el más interesado “en estas lides”, no considera que haya sufrido la vulneración de su autonomía, por lo que también por ello no procedía el planteamiento de la cuestión.</w:t>
      </w:r>
    </w:p>
    <w:p w:rsidR="006B7292" w:rsidRDefault="006B7292" w:rsidP="006B7292">
      <w:pPr>
        <w:pStyle w:val="TextoNormal"/>
      </w:pPr>
    </w:p>
    <w:p w:rsidR="006B7292" w:rsidRDefault="006B7292" w:rsidP="006B7292">
      <w:pPr>
        <w:pStyle w:val="TextoNormal"/>
      </w:pPr>
      <w:r w:rsidRPr="006B7292">
        <w:rPr>
          <w:rStyle w:val="NumeroAFNegritaCaracter"/>
        </w:rPr>
        <w:t>4</w:t>
      </w:r>
      <w:r>
        <w:t>. Mediante providencia de 10 de septiembre de 2015, a los efectos del art. 37.1 LOTC, la Sección Segunda de este Tribunal confiere plazo de diez días al Fiscal General del Estado para que alegue lo que considere conveniente acerca de la admisibilidad de la presente cuestión de inconstitucionalidad en relación con el cumplimiento de los requisitos procesales (art. 35.2 LOTC) y por si fuese notoriamente infundada.</w:t>
      </w:r>
    </w:p>
    <w:p w:rsidR="006B7292" w:rsidRDefault="006B7292" w:rsidP="006B7292">
      <w:pPr>
        <w:pStyle w:val="TextoNormal"/>
      </w:pPr>
    </w:p>
    <w:p w:rsidR="006B7292" w:rsidRDefault="006B7292" w:rsidP="006B7292">
      <w:pPr>
        <w:pStyle w:val="TextoNormal"/>
      </w:pPr>
      <w:r w:rsidRPr="006B7292">
        <w:rPr>
          <w:rStyle w:val="NumeroAFNegritaCaracter"/>
        </w:rPr>
        <w:t>5</w:t>
      </w:r>
      <w:r>
        <w:t>. La Fiscal General del Estado evacua el trámite conferido mediante escrito registrado en este Tribunal el 13 de octubre de 2015. Interesa la inadmisión de la presente cuestión tanto por incumplimiento de los presupuestos procesales como por considerarla notoriamente infundada.</w:t>
      </w:r>
    </w:p>
    <w:p w:rsidR="006B7292" w:rsidRDefault="006B7292" w:rsidP="006B7292">
      <w:pPr>
        <w:pStyle w:val="TextoNormal"/>
      </w:pPr>
    </w:p>
    <w:p w:rsidR="006B7292" w:rsidRDefault="006B7292" w:rsidP="006B7292">
      <w:pPr>
        <w:pStyle w:val="TextoNormal"/>
      </w:pPr>
      <w:r>
        <w:t xml:space="preserve">La Fiscal denuncia defectos en la providencia por la que se confirió audiencia en el proceso judicial </w:t>
      </w:r>
      <w:r w:rsidRPr="006B7292">
        <w:rPr>
          <w:i/>
        </w:rPr>
        <w:t>a quo</w:t>
      </w:r>
      <w:r>
        <w:t xml:space="preserve"> a las partes y al Ministerio Fiscal para que alegasen sobre la conveniencia de plantear la cuestión de inconstitucionalidad (art. 35.2 LOTC). El órgano judicial habría hecho referencia a la infracción de los arts. 9.3 y 14 CE sólo en el Auto de planteamiento, sin haberla recogido adecuadamente en la providencia inicial de audiencia; por tanto, las partes en el proceso judicial </w:t>
      </w:r>
      <w:r w:rsidRPr="006B7292">
        <w:rPr>
          <w:i/>
        </w:rPr>
        <w:t>a quo</w:t>
      </w:r>
      <w:r>
        <w:t xml:space="preserve"> no han podido alegar sobre ella, frustrándose así la finalidad del trámite previsto en el art. 35.2 LOTC. Ciertamente, afirma la Fiscal, la providencia inicial de audiencia relaciona los arts. 9.3 y 14 CE entre los preceptos posiblemente vulnerados. Sin embargo, sólo después, en el Auto de planteamiento, el órgano judicial ha aludido al concreto principio, de entre los que enuncia el art. 9.3 CE, que entiende infringido. A su vez, la providencia de audiencia conecta la infracción del art. 14 CE con el principio de equidistribución de cargas y beneficios, pero el Auto de planteamiento la extiende al régimen de “reserva de dispensación”. Como consecuencia de ello, los informes presentados, aunque aluden genéricamente a los arts. 9.3 y 14 CE, carecen de toda referencia a la interdicción de la arbitrariedad y a las reservas de dispensación.</w:t>
      </w:r>
    </w:p>
    <w:p w:rsidR="006B7292" w:rsidRDefault="006B7292" w:rsidP="006B7292">
      <w:pPr>
        <w:pStyle w:val="TextoNormal"/>
      </w:pPr>
    </w:p>
    <w:p w:rsidR="006B7292" w:rsidRDefault="006B7292" w:rsidP="006B7292">
      <w:pPr>
        <w:pStyle w:val="TextoNormal"/>
      </w:pPr>
      <w:r>
        <w:t>Por otra parte, habría de inadmitirse la cuestión por incumplimiento del juicio de relevancia. El Auto de planteamiento se habría limitado a afirmar que el recurso contencioso-administrativo denuncia la vulneración de la garantía constitucional de la autonomía municipal (arts. 137 y 140 CE) y la infracción de una serie de principios recogidos en otras leyes estatales y autonómicas. Habría añadido únicamente que la primera impugnación sólo puede resolverse despejando previamente si la previsión cuestionada vulnera la garantía constitucional de la autonomía municipal. Respecto de lo demás, el órgano judicial se habría limitado a señalar que el precepto cuestionado, al excluir la aplicación de la legislación autonómica y estatal, conduce “a la posibilidad de que se violen determinados principios de contenido constitucional que dichas normas consagran”. Según la Fiscal, de esta manera se desplaza al Tribunal Constitucional la impugnación que plantea el recurrente, que el órgano judicial parece asumir, pero sin relacionarla con la relevancia que ha de tener la presente cuestión para decidir el proceso. Respecto de las infracciones normativas denunciadas por el demandante, el Auto sólo aludiría a “una genérica contradicción con los principios constitucionales y con la posibilidad de que se vulneren en su aplicación determinados principios constitucionales”. Se estaría trasformando la resolución de las cuestiones planteadas en el pleito, cuya resolución corresponde a la jurisdicción ordinaria, en un enjuiciamiento genérico de la constitucionalidad de la norma.</w:t>
      </w:r>
    </w:p>
    <w:p w:rsidR="006B7292" w:rsidRDefault="006B7292" w:rsidP="006B7292">
      <w:pPr>
        <w:pStyle w:val="TextoNormal"/>
      </w:pPr>
    </w:p>
    <w:p w:rsidR="006B7292" w:rsidRDefault="006B7292" w:rsidP="006B7292">
      <w:pPr>
        <w:pStyle w:val="TextoNormal"/>
      </w:pPr>
      <w:r>
        <w:t>La cuestión planteada sería, además, notoriamente infundada, según la Fiscal General del Estado. El art. 15 de la Ley 6/2009 no vulneraría la garantía constitucional de la autonomía municipal (arts. 137 y 140 CE) por tres razones. En primer lugar, la Comunidad Autónoma de Canarias tiene atribuida la competencia sobre la ordenación territorial; su ejercicio puede incidir sobre la regulación municipal de acuerdo con los arts. 2 y 25 LBRL, tal como ha declarado el Tribunal Constitucional [SSTC 61/1997, de 20 de marzo, FJ 25 b); 240/2006, de 20 de julio, FJ 10; ATC 251/2009, de 13 de octubre, FJ 3]. En segundo lugar, la regulación controvertida concierne intereses supramunicipales (la sostenibilidad ambiental y el turismo, principal motor de la economía de las Islas Canarias), tal como resulta de la exposición de motivos de la Ley 6/2009. En tercer lugar, el art. 15 de la Ley indicada no elimina la intervención municipal (cita AATC 251/2009, de 13 de octubre, y 9/2013, de 15 de enero); corresponde al ayuntamiento la emisión del informe sobre el documento de planeamiento abreviado (apartado 3), la participación en un trámite de cooperación administrativa (apartado 1) y la denegación del inicio de las actividades que no se ajusten al plan de modernización (apartado 2). El art. 15 de la Ley 6/2009, a diferencia del actualmente aplicable (art. 8 de la Ley 2/2013), no atribuye expresamente la iniciativa al ayuntamiento. No obstante, en el presente caso, el plan impugnado se ha aprobado con la participación del ayuntamiento a través de un convenio con la entidad Gesplan. El Auto de planteamiento se ha referido a ello, pero sólo bajo una perspectiva general y abstracta de indisponibilidad de la autonomía municipal, sin ponderar la participación municipal efectivamente acontecida en este caso, que ha ido más allá del informe legalmente previsto (cita el ATC 251/2009, de 13 de octubre, FJ 5).</w:t>
      </w:r>
    </w:p>
    <w:p w:rsidR="006B7292" w:rsidRDefault="006B7292" w:rsidP="006B7292">
      <w:pPr>
        <w:pStyle w:val="TextoNormal"/>
      </w:pPr>
    </w:p>
    <w:p w:rsidR="006B7292" w:rsidRDefault="006B7292" w:rsidP="006B7292">
      <w:pPr>
        <w:pStyle w:val="TextoNormal"/>
      </w:pPr>
      <w:r>
        <w:t xml:space="preserve">La cuestión sería también notoriamente infundada en lo que afecta al resto de las posibles vulneraciones. Los principios a los que alude el Auto de planteamiento no aparecen en el artículo 15 cuestionado, pero no por ello dejan de operar a través del texto refundido de la Ley del suelo aprobado por Real Decreto Legislativo 2/2008, de 20 de junio (arts. 8.3 y 9.7), y el texto refundido de las Leyes de ordenación del territorio de Canarias y de espacios naturales de Canarias, aprobado por Decreto Legislativo 1/2000, de 8 de mayo (arts. 71 y 72). La norma cuestionada no podría derogar la legislación estatal y autonómica ni aplicarse de forma aislada y prevalente, como parece entender el órgano judicial. Ciertamente, la selección de la norma es una función genuinamente judicial, pero la interpretación del Auto de planteamiento supone una suerte de exclusión normativa contraria al régimen de distribución competencial articulada sin el procedimiento debido: cuestión de inconstitucionalidad. Frente a lo razonado en el Auto de planteamiento, la Fiscal entiende que procede una aplicación integradora conforme a la que el Decreto 90/2012 debería examinarse en el proceso judicial </w:t>
      </w:r>
      <w:r w:rsidRPr="006B7292">
        <w:rPr>
          <w:i/>
        </w:rPr>
        <w:t>a quo</w:t>
      </w:r>
      <w:r>
        <w:t xml:space="preserve"> a la luz del conjunto de la normativa estatal y autonómica y, por tanto, sin que de la sola dicción del artículo 15 cuestionado se derive la vulneración del art. 14 CE. A su vez, el Auto de planteamiento razona la vulneración de los arts. 14 y 9.3 CE como una consecuencia posible de que el artículo 15 no haya explicitado aquellos principios. Ello comporta un juicio abstracto y potencial de constitucionalidad que se articula al margen del verdadero objeto del procedimiento judicial, que es la impugnación de aspectos concretos del plan aprobado por el Decreto 90/2012. La Fiscal añade, sin entrar a cuestiones de legalidad ordinaria, que las actuaciones previstas se proyectan sobre suelo consolidado, lo que determina una mayor flexibilidad en la aplicación de los principios teóricamente vulnerados (con cita de la STC 94/2014, de 12 de junio, FFJJ 3 y 4). Destaca, en fin, que el Auto no ha ofrecido una argumentación suficiente, respecto de la proscrita interdicción de la arbitrariedad (art. 9.3 CE), con capacidad para desvirtuar la presunción de constitucionalidad de la previsión cuestionada.</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Tribunal Superior de Justicia de Canarias plantea la presente cuestión respecto de los apartados 1, 3 y 4 del art. 15 de la Ley canaria 6/2009, de 6 de mayo, de medidas urgentes en materia de ordenación territorial para la dinamización sectorial y la ordenación del turismo (en la redacción vigente en noviembre de 2012), por posible infracción de la garantía constitucional de la autonomía municipal (arts. 137 y 140 CE), en relación con el art. 25 y concordantes de la Ley 7/1985, de abril, de bases del régimen local (LBRL), así como de los principios de interdicción de arbitrariedad (art. 9.3 CE) e igualdad (art. 14 CE).</w:t>
      </w:r>
    </w:p>
    <w:p w:rsidR="006B7292" w:rsidRDefault="006B7292" w:rsidP="006B7292">
      <w:pPr>
        <w:pStyle w:val="TextoNormal"/>
      </w:pPr>
    </w:p>
    <w:p w:rsidR="006B7292" w:rsidRDefault="006B7292" w:rsidP="006B7292">
      <w:pPr>
        <w:pStyle w:val="TextoNormal"/>
      </w:pPr>
      <w:r w:rsidRPr="006B7292">
        <w:rPr>
          <w:rStyle w:val="NumeroAFNegritaCaracter"/>
        </w:rPr>
        <w:t>2</w:t>
      </w:r>
      <w:r>
        <w:t xml:space="preserve">. De acuerdo con el art. 37.1 de la Ley Orgánica del Tribunal Constitucional (LOTC), este Tribunal puede, previa audiencia al Fiscal General del Estado, rechazar </w:t>
      </w:r>
      <w:r w:rsidRPr="006B7292">
        <w:rPr>
          <w:i/>
        </w:rPr>
        <w:t>a limine</w:t>
      </w:r>
      <w:r>
        <w:t xml:space="preserve"> las cuestiones de inconstitucionalidad que incumplan las condiciones procesales o sean notoriamente infundadas. Según consta en los antecedentes, en el presente asunto se ha oído a la Fiscal General del Estado, quien considera inadmisible la presente cuestión por razones de ambos tipos. Abordaremos primero los defectos de orden procesal en que ha podido incurrir el Auto de planteamiento (art. 35.2 LOTC).</w:t>
      </w:r>
    </w:p>
    <w:p w:rsidR="006B7292" w:rsidRDefault="006B7292" w:rsidP="006B7292">
      <w:pPr>
        <w:pStyle w:val="TextoNormal"/>
      </w:pPr>
    </w:p>
    <w:p w:rsidR="006B7292" w:rsidRDefault="006B7292" w:rsidP="006B7292">
      <w:pPr>
        <w:pStyle w:val="TextoNormal"/>
      </w:pPr>
      <w:r>
        <w:t xml:space="preserve">a) La Fiscal General del Estado denuncia defectos en la providencia por la que el Tribunal Superior de Justicia de Canarias confirió audiencia al Ministerio Fiscal y a las partes del proceso judicial </w:t>
      </w:r>
      <w:r w:rsidRPr="006B7292">
        <w:rPr>
          <w:i/>
        </w:rPr>
        <w:t>a quo</w:t>
      </w:r>
      <w:r>
        <w:t xml:space="preserve"> para que alegasen sobre la conveniencia de plantear la cuestión de inconstitucionalidad (art. 35.2 LOTC).</w:t>
      </w:r>
    </w:p>
    <w:p w:rsidR="006B7292" w:rsidRDefault="006B7292" w:rsidP="006B7292">
      <w:pPr>
        <w:pStyle w:val="TextoNormal"/>
      </w:pPr>
    </w:p>
    <w:p w:rsidR="006B7292" w:rsidRDefault="006B7292" w:rsidP="006B7292">
      <w:pPr>
        <w:pStyle w:val="TextoNormal"/>
      </w:pPr>
      <w:r>
        <w:t xml:space="preserve">A este respecto, corresponde apreciar que la providencia de audiencia en el procedimiento judicial </w:t>
      </w:r>
      <w:r w:rsidRPr="006B7292">
        <w:rPr>
          <w:i/>
        </w:rPr>
        <w:t>a quo</w:t>
      </w:r>
      <w:r>
        <w:t xml:space="preserve"> cita explícitamente los preceptos que después se cuestionan (apartados 1, 3 y 4 del art. 15 de la Ley 6/2009) y se refiere específicamente a los motivos por los que podrían ser inconstitucionales (vulneración de principio autonomía municipal y, vinculada a la ausencia de un régimen de equidistribución, infracción de los principios de arbitrariedad e igualdad). Es verdad que, tal como destaca la Fiscal General del Estado, al mencionar el art. 9.3 CE, la providencia de audiencia no concreta el principio jurídico, de entre los múltiples que enuncia este precepto, que resultaría vulnerado en el caso; sólo después el Auto de planteamiento ha señalado específicamente que la duda de constitucionalidad se refiere a la arbitrariedad en que ha podido incurrir el art. 15 de la Ley 6/2009. No obstante, la indicada providencia, al explicar la razón por la que el artículo 15 podría vulnerar el art. 9.3 CE (por obviar en los planes regulados la obligación de que se respeten los principios de equidistribución de beneficios y cargas y el procedimiento de elaboración y revisión del planeamiento), acota suficientemente el problema constitucional planteado. La relativa indeterminación denunciada no ha frustrado en este punto la finalidad del trámite de audiencia previsto en el art. 25.2 LOTC, que es el criterio fundamental para resolver si este tipo de irregularidades formales debe conducir a la inadmisión de las cuestiones de inconstitucionalidad (por todas, STC 222/2012, de 27 de noviembre, FJ 4).</w:t>
      </w:r>
    </w:p>
    <w:p w:rsidR="006B7292" w:rsidRDefault="006B7292" w:rsidP="006B7292">
      <w:pPr>
        <w:pStyle w:val="TextoNormal"/>
      </w:pPr>
    </w:p>
    <w:p w:rsidR="006B7292" w:rsidRDefault="006B7292" w:rsidP="006B7292">
      <w:pPr>
        <w:pStyle w:val="TextoNormal"/>
      </w:pPr>
      <w:r>
        <w:t xml:space="preserve">Ahora bien, en esa providencia de audiencia no aparece referencia alguna a la posible vulneración del art. 14 CE vinculada a la interpretación de que el precepto cuestionado, al disciplinar el denominado plan de modernización al margen de toda la regulación urbanística general, impediría la aplicación del régimen de “reservas de dispensación”. La indicada vulneración se produciría, no por lo establecido en el art. 15 de la Ley 6/2009, sino por lo que deja de establecer y ello sobre la base de la interpretación de que el legislador autonómico ha querido regular aquellos planes de modernización como un compartimento estanco, por completo aislado del resto del ordenamiento jurídico. El órgano judicial, al sugerir por vez primera en el Auto de planteamiento que esa omisión podría vulnerar el art. 14 CE, ha privado a las partes y al Ministerio Fiscal de la oportunidad de alegar al respecto en el trámite de audiencia previa, tal como ha denunciado la Fiscal General del Estado. Consecuentemente, la cuestión de inconstitucionalidad resulta inadmisible en este específico punto, por defectos en el trámite de audiencia en el procedimiento judicial </w:t>
      </w:r>
      <w:r w:rsidRPr="006B7292">
        <w:rPr>
          <w:i/>
        </w:rPr>
        <w:t>a quo</w:t>
      </w:r>
      <w:r>
        <w:t xml:space="preserve"> (art. 35.2 LOTC).</w:t>
      </w:r>
    </w:p>
    <w:p w:rsidR="006B7292" w:rsidRDefault="006B7292" w:rsidP="006B7292">
      <w:pPr>
        <w:pStyle w:val="TextoNormal"/>
      </w:pPr>
    </w:p>
    <w:p w:rsidR="006B7292" w:rsidRDefault="006B7292" w:rsidP="006B7292">
      <w:pPr>
        <w:pStyle w:val="TextoNormal"/>
      </w:pPr>
      <w:r>
        <w:t>b) Según la Fiscal General del Estado, la cuestión habría de inadmitirse en todo lo demás por incumplimiento del juicio de relevancia (apartados 1 y 2 del art. 35 LOTC). El Auto de planteamiento habría aludido sólo a una genérica contradicción del art. 15 (apartados 1, 3 y 4) de la Ley 6/2009 con los arts. 137, 140, 9.3 y 14 CE. Estaría transformando la resolución de las cuestiones concretas de legalidad ordinaria que plantea el recurso contencioso-administrativo, dirigido contra el plan de modernización aprobado por el Decreto 90/2012, en un enjuiciamiento abstracto sobre la constitucionalidad de la Ley que proporciona cobertura al indicado plan.</w:t>
      </w:r>
    </w:p>
    <w:p w:rsidR="006B7292" w:rsidRDefault="006B7292" w:rsidP="006B7292">
      <w:pPr>
        <w:pStyle w:val="TextoNormal"/>
      </w:pPr>
    </w:p>
    <w:p w:rsidR="006B7292" w:rsidRDefault="006B7292" w:rsidP="006B7292">
      <w:pPr>
        <w:pStyle w:val="TextoNormal"/>
      </w:pPr>
      <w:r>
        <w:t xml:space="preserve">El Auto de planteamiento ha razonado que el art. 15 de la Ley 6/2009 es aplicable en el procedimiento judicial y que de su constitucionalidad depende el fallo. Destaca que la tramitación, la aprobación y los contenidos del plan que debe enjuiciar se han sometido a ese precepto legal. Por tal razón el artículo 15, sobre el que pesan las dudas de constitucionalidad, constituye el parámetro de control para resolver el recurso contencioso-administrativo (se razona ampliamente que no resulta aplicable la nueva regulación de la Ley 2/2013). Por eso no haría falta mayor argumentación para explicar que la Sentencia que lo declarase inconstitucional afectaría al resultado del proceso </w:t>
      </w:r>
      <w:r w:rsidRPr="006B7292">
        <w:rPr>
          <w:i/>
        </w:rPr>
        <w:t>a quo</w:t>
      </w:r>
      <w:r>
        <w:t>. Sugiere así que tal declaración conduciría a la anulación del señalado plan de modernización. Insiste en que, según el recurrente, el artículo 15 vulnera la Constitución y, en particular, la autonomía local y que tales vicios se han transmitido al plan aprobado a su amparo. El órgano judicial argumenta igualmente que la circunstancia de que el Ayuntamiento de San Bartolomé de Tirajana entienda respetada su autonomía municipal no impide considerar que la previsión cuestionada sea contraria a los arts. 137 y 140 CE. Da a entender que, si el Tribunal Constitucional declarase por ello su nulidad, el Tribunal Superior de Justicia de Canarias podría declarar la del acto de aplicación, esto es, la del plan de modernización aprobado por el Decreto 90/2012. El Tribunal Superior de Justicia de Canarias ha razonado igualmente que, a su modo de ver, la regulación autonómica de los planes de referencia es cerrada e impermeable al principio de equidistribución que recoge la legislación básica estatal. Por tal razón el plan de modernización sometido a su enjuiciamiento, pese a incluir actuaciones sobre todo tipo de suelos, no habría podido realizar la oportuna equidistribución de beneficios y cargas. El precepto cuestionado vulneraría por ello los arts. 14 y 9.3 CE.</w:t>
      </w:r>
    </w:p>
    <w:p w:rsidR="006B7292" w:rsidRDefault="006B7292" w:rsidP="006B7292">
      <w:pPr>
        <w:pStyle w:val="TextoNormal"/>
      </w:pPr>
    </w:p>
    <w:p w:rsidR="006B7292" w:rsidRDefault="006B7292" w:rsidP="006B7292">
      <w:pPr>
        <w:pStyle w:val="TextoNormal"/>
      </w:pPr>
      <w:r>
        <w:t xml:space="preserve">Tales argumentos son suficientes para entender satisfecho el juicio de relevancia, teniendo en cuenta que corresponde a este Tribunal sólo el control externo de las razones ofrecidas por el órgano judicial para sostener que el resultado del proceso </w:t>
      </w:r>
      <w:r w:rsidRPr="006B7292">
        <w:rPr>
          <w:i/>
        </w:rPr>
        <w:t>a quo</w:t>
      </w:r>
      <w:r>
        <w:t xml:space="preserve"> depende de la validez de la normativa cuestionada. No cabe sustituir, rectificar o integrar su criterio, salvo que la aplicación de principios jurídicos básicos revele que la argumentación judicial carece notoriamente de consistencia (por todas, STC 166/2012, de 1 de octubre, FJ 2).</w:t>
      </w:r>
    </w:p>
    <w:p w:rsidR="006B7292" w:rsidRDefault="006B7292" w:rsidP="006B7292">
      <w:pPr>
        <w:pStyle w:val="TextoNormal"/>
      </w:pPr>
    </w:p>
    <w:p w:rsidR="006B7292" w:rsidRDefault="006B7292" w:rsidP="006B7292">
      <w:pPr>
        <w:pStyle w:val="TextoNormal"/>
      </w:pPr>
      <w:r>
        <w:t xml:space="preserve">Si las consideraciones de fondo del Auto de planteamiento fueran correctas (la pretendida ausencia de intereses supramunicipales y la fuerte presencia de intereses municipales), el Tribunal Constitucional podría llegar a entender que la Ley debió asegurar una intervención municipal mayor (p. ej., que la tramitación y la aprobación debió corresponder al propio ayuntamiento). Ello condicionaría objetivamente el resultado del proceso </w:t>
      </w:r>
      <w:r w:rsidRPr="006B7292">
        <w:rPr>
          <w:i/>
        </w:rPr>
        <w:t>a quo</w:t>
      </w:r>
      <w:r>
        <w:t xml:space="preserve"> porque, tal como sugiere el Auto de planteamiento, el órgano judicial podría basarse en la anulación del precepto cuestionado que acordase este Tribunal para anular el específico acto de aplicación sometido a su enjuiciamiento. De la misma manera, una sentencia constitucional que acogiera los demás razonamientos de fondo del Tribunal Superior de Justicia de Canarias —que el precepto cuestionado, al establecer una regulación sectorial por completo aislada de la legislación general, contradice los arts. 14 y 9.3 CE— sería evidentemente relevante en el procedimiento judicial </w:t>
      </w:r>
      <w:r w:rsidRPr="006B7292">
        <w:rPr>
          <w:i/>
        </w:rPr>
        <w:t>a quo</w:t>
      </w:r>
      <w:r>
        <w:t>. Según razona el órgano judicial, también ello podría conducir a la anulación del plan elaborado al amparo de la previsión cuestionada.</w:t>
      </w:r>
    </w:p>
    <w:p w:rsidR="006B7292" w:rsidRDefault="006B7292" w:rsidP="006B7292">
      <w:pPr>
        <w:pStyle w:val="TextoNormal"/>
      </w:pPr>
    </w:p>
    <w:p w:rsidR="006B7292" w:rsidRDefault="006B7292" w:rsidP="006B7292">
      <w:pPr>
        <w:pStyle w:val="TextoNormal"/>
      </w:pPr>
      <w:r>
        <w:t>Todo ello significa que las consideraciones de la Fiscal General del Estado son relevantes. Serán pertinentes para valorar si las dudas de constitucionalidad planteadas son notoriamente infundadas.</w:t>
      </w:r>
    </w:p>
    <w:p w:rsidR="006B7292" w:rsidRDefault="006B7292" w:rsidP="006B7292">
      <w:pPr>
        <w:pStyle w:val="TextoNormal"/>
      </w:pPr>
    </w:p>
    <w:p w:rsidR="006B7292" w:rsidRDefault="006B7292" w:rsidP="006B7292">
      <w:pPr>
        <w:pStyle w:val="TextoNormal"/>
      </w:pPr>
      <w:r w:rsidRPr="006B7292">
        <w:rPr>
          <w:rStyle w:val="NumeroAFNegritaCaracter"/>
        </w:rPr>
        <w:t>3</w:t>
      </w:r>
      <w:r>
        <w:t>. El concepto de cuestión notoriamente infundada encierra un cierto grado de indefinición que se traduce procesalmente en un margen de apreciación del Tribunal Constitucional a la hora de controlar su solidez. Hay supuestos en los que un examen preliminar permite apreciar la falta de viabilidad de la cuestión suscitada. Resulta conveniente en tales casos resolver la cuestión en esta primera fase procesal, máxime si la admisión pudiera provocar efectos no deseables, como la paralización de múltiples procesos en los que resulte aplicable la norma cuestionada; esto no significa, necesariamente, que carezca de forma total y absoluta de fundamentación o que ésta sea arbitraria (por todos, ATC 133/2014, de 6 de mayo, FJ 2). En consecuencia, corresponde abordar separadamente las dudas de constitucionalidad suscitadas, por si fueran notoriamente infundadas en el sentido indicado.</w:t>
      </w:r>
    </w:p>
    <w:p w:rsidR="006B7292" w:rsidRDefault="006B7292" w:rsidP="006B7292">
      <w:pPr>
        <w:pStyle w:val="TextoNormal"/>
      </w:pPr>
    </w:p>
    <w:p w:rsidR="006B7292" w:rsidRDefault="006B7292" w:rsidP="006B7292">
      <w:pPr>
        <w:pStyle w:val="TextoNormal"/>
      </w:pPr>
      <w:r>
        <w:t>a) El art. 15 de la Ley canaria 6/2009 regula un tipo específico de plan (o programa) destinado a la modernización, mejora e incremento de la competitividad del sector turístico. Puede incluir “proyectos de sustitución, de rehabilitación de la planta alojativa o de la infraestructura turística, o a los de remodelación urbanística” imprevistos en (o contrarios a) el planeamiento vigente (apartado 3). Tras su aprobación, que corresponde al Gobierno de Canarias (apartado 1), al plan debe incorporarse “a los instrumentos de ordenación territorial y de planeamiento urbanístico pertinentes como modificación de los mismos, en el ámbito afectado, en su caso” (apartado 4).</w:t>
      </w:r>
    </w:p>
    <w:p w:rsidR="006B7292" w:rsidRDefault="006B7292" w:rsidP="006B7292">
      <w:pPr>
        <w:pStyle w:val="TextoNormal"/>
      </w:pPr>
    </w:p>
    <w:p w:rsidR="006B7292" w:rsidRDefault="006B7292" w:rsidP="006B7292">
      <w:pPr>
        <w:pStyle w:val="TextoNormal"/>
      </w:pPr>
      <w:r>
        <w:t>El Auto de planteamiento no discute que la Comunidad Autónoma de Canarias tenga atribuidas competencias en materia de ordenación del territorio y urbanismo (art. 30.15 del Estatuto de Autonomía de Canarias) ni que la previsión cuestionada sea una concreta expresión de su ejercicio. Lo planteado es si la Comunidad Autónoma, al ejercer esas competencias estatutarias a través del art. 15 de la Ley 6/2009, ha podido vulnerar la garantía constitucional de la autonomía municipal (arts. 137 y 140 CE) por reducir la intervención de los ayuntamientos a un mero informe en un ámbito de fuerte interés local.</w:t>
      </w:r>
    </w:p>
    <w:p w:rsidR="006B7292" w:rsidRDefault="006B7292" w:rsidP="006B7292">
      <w:pPr>
        <w:pStyle w:val="TextoNormal"/>
      </w:pPr>
    </w:p>
    <w:p w:rsidR="006B7292" w:rsidRDefault="006B7292" w:rsidP="006B7292">
      <w:pPr>
        <w:pStyle w:val="TextoNormal"/>
      </w:pPr>
      <w:r>
        <w:t>Para valorar si hay vulneración de la garantía constitucional de la autonomía municipal corresponde determinar: a) si hay intereses supralocales que justifiquen que la Comunidad Autónoma haya centralizado en su Administración la competencia para elaborar y aprobar estos planes; b) si el legislador autonómico ha ponderado los intereses municipales afectados; y c) si ha asegurado a los ayuntamientos implicados un nivel de intervención tendencialmente correlativo a la intensidad de tales intereses; todo ello sobre la base de que la Comunidad Autónoma puede ejercer en uno u otro sentido su libertad de configuración a la hora de distribuir funciones, pero garantizando el derecho de la comunidad local a participar a través de órganos propios en el gobierno y administración [STC 154/2015, de 9 de julio, FJ 5 a) y las que allí se citan].</w:t>
      </w:r>
    </w:p>
    <w:p w:rsidR="006B7292" w:rsidRDefault="006B7292" w:rsidP="006B7292">
      <w:pPr>
        <w:pStyle w:val="TextoNormal"/>
      </w:pPr>
    </w:p>
    <w:p w:rsidR="006B7292" w:rsidRDefault="006B7292" w:rsidP="006B7292">
      <w:pPr>
        <w:pStyle w:val="TextoNormal"/>
      </w:pPr>
      <w:r>
        <w:t>El sector turístico encierra intereses públicos que trascienden el ámbito municipal. El turismo constituye la principal industria de las Islas Canarias. Ello expresa los relevantes intereses supralocales implicados en esta actividad: el plan nacional e integral de turismo 2012-2015 (que pretende impulsar la competitividad de las empresas), el plan estratégico promocional del turismo en Canarias 2012-2016 (que pretende estructurar el modelo de desarrollo del turismo canario durante el periodo de referencia, orientando decisiones y conciliando los intereses de los distintos agentes) y el propio Estatuto de Autonomía de Canarias. Este atribuye a la Comunidad Autónoma competencias sobre turismo y otras materias vinculadas, como patrimonio (histórico, artístico, monumental, arquitectónico y arqueológico), cultura, deporte, espectáculos, ocio y esparcimiento (apartados 9, 20 y 21 del artículo 30). La Ley controvertida, al regular los denominados planes de modernización, responde directamente a estos intereses supramunicipales. Su exposición de motivos destaca en este sentido la necesidad de “abordar el marco en el que el turismo, principal actividad económica del archipiélago, deba desarrollarse en los próximos años, garantizando la sostenibilidad de su ocupación territorial”. Constata también “que el proceso de renovación de la planta alojativa que debe constituir el eje fundamental de la cualificación de la oferta turística canaria, junto con el equipamiento complementario ambiental territorialmente sostenible, no ha alcanzado suficiente impulso”.</w:t>
      </w:r>
    </w:p>
    <w:p w:rsidR="006B7292" w:rsidRDefault="006B7292" w:rsidP="006B7292">
      <w:pPr>
        <w:pStyle w:val="TextoNormal"/>
      </w:pPr>
    </w:p>
    <w:p w:rsidR="006B7292" w:rsidRDefault="006B7292" w:rsidP="006B7292">
      <w:pPr>
        <w:pStyle w:val="TextoNormal"/>
      </w:pPr>
      <w:r>
        <w:t>Es igualmente evidente que los planes de modernización que regula el precepto cuestionado conciernen muy directamente a intereses municipales. El urbanismo es un ámbito de interés municipal preferente, tal como reflejan el art. 25.2 LBRL, la legislación canaria (art. 11 de la Ley 7/2015, de 1 de abril, de los municipios de Canarias) y el propio planeamiento municipal (singularmente, en este caso, el plan general de ordenación de San Bartolomé de Tirajana). De ello se ha hecho eco este Tribunal en múltiples ocasiones: “no es necesario argumentar particularmente que, entre los asuntos de interés de los Municipios y a los que por tanto se extienden sus competencias, está el urbanismo” [SSTC 40/1998, de 19 de febrero, FJ 39; 159/2001, de 5 de julio, FJ 4; 204/2002, de 31 de octubre, FJ 13; 104/2013, de 25 de abril, FJ 6; y 154/2015, FJ 5 a)].</w:t>
      </w:r>
    </w:p>
    <w:p w:rsidR="006B7292" w:rsidRDefault="006B7292" w:rsidP="006B7292">
      <w:pPr>
        <w:pStyle w:val="TextoNormal"/>
      </w:pPr>
    </w:p>
    <w:p w:rsidR="006B7292" w:rsidRDefault="006B7292" w:rsidP="006B7292">
      <w:pPr>
        <w:pStyle w:val="TextoNormal"/>
      </w:pPr>
      <w:r>
        <w:t>A la vista del precepto cuestionado, resulta claro que el legislador canario no ha desatendido los intereses municipales. El “documento de planteamiento abreviado” que conlleva proyectos de sustitución, rehabilitación o mejora imprevistos en (o contrarios a) el planeamiento vigente “será sometido a informe del ayuntamiento en cuyo término municipal se lleve a cabo la actuación y del cabildo insular correspondiente” (artículo 15.3). A su vez, a través de la remisión al art. 11 del texto refundido aprobado por el Decreto Legislativo 1/2000, el art. 15.1 de la Ley controvertida, prevé que “en todo caso” el Gobierno canario “consultará a los ayuntamientos en cuyos términos municipales pretenda llevarse a cabo la actuación”, proporcionándoles “efectivamente”: “la posibilidad de exponer y hacer valer de manera suficiente y motivada las exigencias que, en orden al contenido de la actuación en curso de aprobación, resulten de los intereses públicos cuya gestión les esté encomendada”, brindando así “la ocasión de alcanzar un acuerdo sobre el contenido del mismo”. Si las “discrepancias manifestadas” no se superasen de este modo, la Administración autonómica habrá de emitir una “resolución justificativa de los motivos que han impedido alcanzar, a su juicio, una definición acordada del interés público”.</w:t>
      </w:r>
    </w:p>
    <w:p w:rsidR="006B7292" w:rsidRDefault="006B7292" w:rsidP="006B7292">
      <w:pPr>
        <w:pStyle w:val="TextoNormal"/>
      </w:pPr>
    </w:p>
    <w:p w:rsidR="006B7292" w:rsidRDefault="006B7292" w:rsidP="006B7292">
      <w:pPr>
        <w:pStyle w:val="TextoNormal"/>
      </w:pPr>
      <w:r>
        <w:t>Al atribuir al Gobierno canario la competencia para aprobar los planes de modernización, el precepto cuestionado se ha apoyado en la efectiva concurrencia de intereses supralocales sin descuidar los municipales. La cuestión queda de este modo ceñida a determinar si hay suficiente correlación entre la intensidad de los intereses municipales y la de la intervención local legalmente prevista. Esta ha de canalizarse no sólo en informes, sino también en la efectiva apertura de un diálogo que, si no concluye en un acuerdo de todas las Administraciones implicadas, obligue a la Comunidad Autónoma a explicar cumplidamente por qué ha sido imposible esta definición consensuada del interés público.</w:t>
      </w:r>
    </w:p>
    <w:p w:rsidR="006B7292" w:rsidRDefault="006B7292" w:rsidP="006B7292">
      <w:pPr>
        <w:pStyle w:val="TextoNormal"/>
      </w:pPr>
    </w:p>
    <w:p w:rsidR="006B7292" w:rsidRDefault="006B7292" w:rsidP="006B7292">
      <w:pPr>
        <w:pStyle w:val="TextoNormal"/>
      </w:pPr>
      <w:r>
        <w:t xml:space="preserve">En el presente asunto, el Ayuntamiento de San Bartolomé de Tirajana ha promovido la iniciativa de elaboración y tramitación del plan mediante la suscripción de un convenio con una entidad pública dependiente del Gobierno canario. A la vista de la parte expositiva del indicado convenio, de la memoria del plan y de las alegaciones del ayuntamiento en el proceso </w:t>
      </w:r>
      <w:r w:rsidRPr="006B7292">
        <w:rPr>
          <w:i/>
        </w:rPr>
        <w:t>a quo</w:t>
      </w:r>
      <w:r>
        <w:t>, cabe afirmar que este ha participado activamente en la elaboración del instrumento y que el Gobierno canario ha tomado su criterio en consideración. Esta observación es relevante en cuanto expresión de que el art. 15 de la Ley 6/2009 facilita una efectiva ponderación de los intereses municipales involucrados. La determinación concreta de si el plan de modernización aprobado por el Decreto 90/2012 ha asignado el peso que corresponde a aquellos intereses desborda el enjuiciamiento que incumbe a este Tribunal.</w:t>
      </w:r>
    </w:p>
    <w:p w:rsidR="006B7292" w:rsidRDefault="006B7292" w:rsidP="006B7292">
      <w:pPr>
        <w:pStyle w:val="TextoNormal"/>
      </w:pPr>
    </w:p>
    <w:p w:rsidR="006B7292" w:rsidRDefault="006B7292" w:rsidP="006B7292">
      <w:pPr>
        <w:pStyle w:val="TextoNormal"/>
      </w:pPr>
      <w:r>
        <w:t>Lo que le concierne es nada más que la valoración de si el precepto cuestionado vulnera en abstracto la garantía constitucional de la autonomía municipal; sin perjuicio de que, cuando de planeamiento urbanístico se trata, los arts. 137 y 140 CE obligan directamente a las Administraciones autonómicas actuantes a realizar una ponderación suficiente de los intereses municipales. Su ausencia puede viciar los planes, pero no la norma legal que habilitó su tramitación. Así lo ha declarado este Tribunal: “Es evidente que la relevancia de esa participación dependerá en la práctica de que en el procedimiento de aprobación de la modificación del planeamiento el órgano competente para la aprobación definitiva atribuya, en el juicio de ponderación en que esencialmente consiste la decisión sobre el planeamiento, a los intereses hechos valer en el trámite de audiencia por las entidades locales, el peso y la importancia que han de corresponder a dichos intereses. Pero el control judicial de esa efectividad y relevancia de la intervención de las entidades locales no puede realizarse, como es lógico, en este juicio abstracto de constitucionalidad de la norma cuestionada, sino por la vía de la concreta impugnación ante los órganos judiciales competentes de la decisión sobre el planeamiento urbanístico que se adopte” (STC 51/2004, de 13 de abril, FJ 10).</w:t>
      </w:r>
    </w:p>
    <w:p w:rsidR="006B7292" w:rsidRDefault="006B7292" w:rsidP="006B7292">
      <w:pPr>
        <w:pStyle w:val="TextoNormal"/>
      </w:pPr>
    </w:p>
    <w:p w:rsidR="006B7292" w:rsidRDefault="006B7292" w:rsidP="006B7292">
      <w:pPr>
        <w:pStyle w:val="TextoNormal"/>
      </w:pPr>
      <w:r>
        <w:t>La STC 154/2015, FJ 6 e) ha reafirmado esta doctrina al enjuiciar un precepto que centraliza también determinadas facultades de planificación. Permite a la Consejería competente establecerse como Administración actuante para la formulación, tramitación y aprobación de instrumentos de planeamiento en las delimitaciones de reserva de terrenos para el patrimonio autonómico de suelo): “el precepto impugnado no es contrario a la garantía constitucional de la autonomía municipal (arts. 137 y 140 CE), sin perjuicio de que la jurisdicción contencioso-administrativa podrá controlar las eventuales extralimitaciones en que incurra la Administración autonómica al ejercer las competencias urbanísticas atribuidas y, en particular, la concurrencia de intereses supralocales legitimantes, la efectiva apertura de canales de participación local durante todas las fases del planeamiento así como la asignación a la intervención local del peso correspondiente a los intereses municipales afectados”.</w:t>
      </w:r>
    </w:p>
    <w:p w:rsidR="006B7292" w:rsidRDefault="006B7292" w:rsidP="006B7292">
      <w:pPr>
        <w:pStyle w:val="TextoNormal"/>
      </w:pPr>
    </w:p>
    <w:p w:rsidR="006B7292" w:rsidRDefault="006B7292" w:rsidP="006B7292">
      <w:pPr>
        <w:pStyle w:val="TextoNormal"/>
      </w:pPr>
      <w:r>
        <w:t>Consecuentemente, corresponde apreciar que el art. 15 de la Ley 6/2009 es conforme a la garantía constitucional de la autonomía local, habida cuenta de que prevé una serie de mecanismos que permiten en abstracto que la Administración autonómica confeccione los planes de modernización, asignando a los intereses municipales un peso tendencialmente correspondiente a su relevancia. La potestad de planeamiento es “fuertemente discrecional” y “encierra una infinidad de decisiones que atañen al municipio exclusiva o prevalentemente” [STC 154/2015, FJ 6 c)]. Ello no impide que la justicia ordinaria pueda resolver que los concretos planes de modernización aprobados a su amparo no se ajustan a la indicada garantía constitucional, si no hubieran tenido suficientemente en cuenta las valoraciones de oportunidad en cuestiones de relevancia prevalente o exclusivamente municipal manifestadas por los Ayuntamientos concernidos.</w:t>
      </w:r>
    </w:p>
    <w:p w:rsidR="006B7292" w:rsidRDefault="006B7292" w:rsidP="006B7292">
      <w:pPr>
        <w:pStyle w:val="TextoNormal"/>
      </w:pPr>
    </w:p>
    <w:p w:rsidR="006B7292" w:rsidRDefault="006B7292" w:rsidP="006B7292">
      <w:pPr>
        <w:pStyle w:val="TextoNormal"/>
      </w:pPr>
      <w:r>
        <w:t>Por todo ello, hay que estar de acuerdo con la Fiscal General del Estado cuando afirma que el órgano judicial ha transformado cuestiones concretas que pertenecen a la justicia ordinaria (relativas a la legalidad de un específico plan) en cuestiones abstractas propias de la justicia constitucional (sobre la constitucionalidad de la Ley que proporcionó cobertura a ese plan). En resumen: el precepto cuestionado no plantea un problema de garantía constitucional de la autonomía municipal. Si lo hace el Decreto 90/2012 aprobado a su amparo y, en particular, si el Gobierno autonómico ha ponderado suficientemente el criterio del Ayuntamiento de San Bartolomé de Tirajana en cuanto exponente de los intereses de la comunidad local, habrá de establecerlo el Tribunal Superior de Justicia de Canarias en el procedimiento judicia</w:t>
      </w:r>
      <w:r w:rsidRPr="006B7292">
        <w:rPr>
          <w:i/>
        </w:rPr>
        <w:t>l a q</w:t>
      </w:r>
      <w:r>
        <w:t>uo.</w:t>
      </w:r>
    </w:p>
    <w:p w:rsidR="006B7292" w:rsidRDefault="006B7292" w:rsidP="006B7292">
      <w:pPr>
        <w:pStyle w:val="TextoNormal"/>
      </w:pPr>
    </w:p>
    <w:p w:rsidR="006B7292" w:rsidRDefault="006B7292" w:rsidP="006B7292">
      <w:pPr>
        <w:pStyle w:val="TextoNormal"/>
      </w:pPr>
      <w:r>
        <w:t xml:space="preserve">b) El órgano judicial considera que las previsiones cuestionadas han podido vulnerar el art. 14 CE, al interpretar que no permiten aplicar el principio general de equidistribución de cargas y beneficios. A este respecto, conviene destacar que la elaboración del plan controvertido en el proceso </w:t>
      </w:r>
      <w:r w:rsidRPr="006B7292">
        <w:rPr>
          <w:i/>
        </w:rPr>
        <w:t>a quo</w:t>
      </w:r>
      <w:r>
        <w:t xml:space="preserve"> no se ha ajustado a dicha interpretación. El plan se ha confeccionado al amparo del precepto cuestionado, pero teniendo en cuenta también como “legislación de aplicación” (pp. 9-10 de la memoria justificativa) la normativa urbanística general, tanto la básica estatal (texto refundido de la Ley del suelo aprobado por Real Decreto Legislativo 2/2008, de 20 de junio) como la autonómica de desarrollo (texto refundido de las Leyes de ordenación del territorio de Canarias y de espacios naturales de Canarias aprobado por el Decreto Legislativo 1/2000, de 8 de mayo y el Reglamento de gestión y ejecución del sistema de planeamiento de Canarias aprobado por el Decreto 183/2004, de 21 de diciembre). La memoria justificativa cita constantemente las bases estatales, considerándolas de “obligado cumplimiento” (p. 56).</w:t>
      </w:r>
    </w:p>
    <w:p w:rsidR="006B7292" w:rsidRDefault="006B7292" w:rsidP="006B7292">
      <w:pPr>
        <w:pStyle w:val="TextoNormal"/>
      </w:pPr>
    </w:p>
    <w:p w:rsidR="006B7292" w:rsidRDefault="006B7292" w:rsidP="006B7292">
      <w:pPr>
        <w:pStyle w:val="TextoNormal"/>
      </w:pPr>
      <w:r>
        <w:t>A la vista del tipo de actuaciones programadas, no parece que el plan impugnado plantee problemas de equidistribución de beneficios y cargas. Regula actuaciones destinadas a revitalizar el sector turístico en las zonas por él delimitadas, que son de dos tipos: públicas y privadas. Las primeras se limitan a la intervención sobre el viario, zonas verdes y espacios libres para dotarlas de equipamientos públicos o convertirlas en sede de determinadas actividades atractivas de un turismo de calidad; todo ello no plantea problema alguno de equidistribución. Respecto de las privadas, el plan distingue dos modalidades de actuación. Unas se corresponden con actuaciones en suelo rústico que permiten acoger proyectos ya determinados. Los proyectos en suelo rústico residual no cambian la clasificación del suelo, ni implican aprovechamiento urbanístico; se trata sólo de la realización de usos en suelo no urbanizable que exigen la aprobación de un proyecto como lo exigen las huertas solares o la construcción de un almacén de recogida de los productos de la cosecha. Esto tampoco tiene que ver con la equidistribución de los beneficios y cargas derivados de la ejecución del planeamiento porque se trata de un proyecto pero no de un plan. La otra forma de intervención en ámbito privado se corresponde con una serie de actuaciones en suelo urbano que son exclusivamente de dotación. Consisten en el reconocimiento de plazas adicionales, incremento de edificabilidad y cambio de usos para favorecer la creación de establecimientos comerciales. Ninguna de las dieciséis actuaciones previstas requiere renovación integral de la urbanización. Se incluyen dentro, no de las denominadas “actuaciones de transformación urbanística”, sino de las operaciones de dotación a cuyos deberes (art. 16 del texto refundido de la Ley de suelo) se refiere específicamente la memoria (p. 167). Las actuaciones de dotación no conllevan el derecho y deber de ejecutar la urbanización en régimen de equidistribución de beneficios y cargas porque no suponen una urbanización integral; está ya hecha y no es necesario renovarla como ocurre en las actuaciones de reforma interior. Es deber de los propietarios ceder las dotaciones que son necesarias por el cambio de uso o el incremento de la edificabilidad así como la parte correspondiente del incremento del aprovechamiento lucrativo. Tampoco este tipo de actuaciones plantea pues un problema de equidistribución de beneficios y cargas.</w:t>
      </w:r>
    </w:p>
    <w:p w:rsidR="006B7292" w:rsidRDefault="006B7292" w:rsidP="006B7292">
      <w:pPr>
        <w:pStyle w:val="TextoNormal"/>
      </w:pPr>
    </w:p>
    <w:p w:rsidR="006B7292" w:rsidRDefault="006B7292" w:rsidP="006B7292">
      <w:pPr>
        <w:pStyle w:val="TextoNormal"/>
      </w:pPr>
      <w:r>
        <w:t>Las antecedentes consideraciones cobran relevancia en la medida en que son indicativas de que el precepto cuestionado no ha excluido la aplicación de la legislación urbanística general (estatal y autonómica). Lo relevante desde la perspectiva del control abstracto en que consiste el enjuiciamiento de la constitucionalidad de las leyes es que, frente a lo razonado por el promotor de la cuestión, nada hay en el precepto impugnado que permita afirmar que los planes o programas de modernización no están sujetos a la legislación básica estatal, en general, ni al principio de equidistribución de beneficios y cargas, en particular. El art. 15 de la Ley 6/2009 no impide la aplicación de tal legislación por lo que en modo alguno puede interpretarse que haya quedado excluida.</w:t>
      </w:r>
    </w:p>
    <w:p w:rsidR="006B7292" w:rsidRDefault="006B7292" w:rsidP="006B7292">
      <w:pPr>
        <w:pStyle w:val="TextoNormal"/>
      </w:pPr>
    </w:p>
    <w:p w:rsidR="006B7292" w:rsidRDefault="006B7292" w:rsidP="006B7292">
      <w:pPr>
        <w:pStyle w:val="TextoNormal"/>
      </w:pPr>
      <w:r>
        <w:t xml:space="preserve">También en este caso, tal como sugieren las alegaciones de la Fiscal General del Estado, la solución del problema de si el plan de modernización aprobado por el Decreto 90/2012 incumple el principio de equidistribución de cargas y beneficios, corresponde, no a este Tribunal, sino al Superior de Justicia de Canarias. Habrá de afrontarlo al resolver el recurso contencioso-administrativo formulado en el procedimiento judicial </w:t>
      </w:r>
      <w:r w:rsidRPr="006B7292">
        <w:rPr>
          <w:i/>
        </w:rPr>
        <w:t>a quo</w:t>
      </w:r>
      <w:r>
        <w:t>. La infracción en que pudiera eventualmente incurrir el plan en modo alguno puede redirigirse contra el precepto cuestionado. No está de más recordar que la equidistribución, esto es, el reparto igualitario de los beneficios y cargas derivados de la ejecución del planeamiento, no aspira a lograr una igualdad suprema, sino que es un intento de igualar en la medida establecida por la Ley. No hay equidistribución de beneficios y cargas entre distintas clases de suelo; tampoco tiene que haberla necesariamente entre sectores distintos de la misma clase de suelo, ni siquiera entre los propietarios afectados por el mismo plan, pero incluidos en diferentes ámbitos o unidades de ejecución.</w:t>
      </w:r>
    </w:p>
    <w:p w:rsidR="006B7292" w:rsidRDefault="006B7292" w:rsidP="006B7292">
      <w:pPr>
        <w:pStyle w:val="TextoNormal"/>
      </w:pPr>
    </w:p>
    <w:p w:rsidR="006B7292" w:rsidRDefault="006B7292" w:rsidP="006B7292">
      <w:pPr>
        <w:pStyle w:val="TextoNormal"/>
      </w:pPr>
      <w:r>
        <w:t>Cabe pues descartar que el artículo 15 incurra en arbitrariedad por permitir que los planes de modernización desarrollen proyectos de sustitución, rehabilitación o mejora en contra de las determinaciones del planeamiento vigente (apartado 3), obligando a los municipios a incorporarlo en los instrumentos urbanísticos correspondientes (apartado 4). Este Tribunal ha descartado recientemente que incurran en inconstitucionalidad normas autonómicas similares, que también hacen valer intereses supramunicipales para centralizar en la Administración autonómica la elaboración de determinados planes con previsión de que a ellos habrá de adaptarse el planeamiento urbanístico municipal [STC 57/2015, de 18 de marzo, FJ 18, letras a) y d)]. Puede por ello excluirse también que el precepto cuestionado vulnere el principio de interdicción de la arbitrariedad (art. 9.3 CE).</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Inadmitir a trámite la cuestión de inconstitucionalidad núm. 4242-2015.</w:t>
      </w:r>
    </w:p>
    <w:p w:rsidR="006B7292" w:rsidRDefault="006B7292" w:rsidP="006B7292">
      <w:pPr>
        <w:pStyle w:val="TextoNormal"/>
      </w:pPr>
    </w:p>
    <w:p w:rsidR="006B7292" w:rsidRDefault="006B7292" w:rsidP="006B7292">
      <w:pPr>
        <w:pStyle w:val="TextoNormal"/>
      </w:pPr>
      <w:r>
        <w:t>Madrid, a dieciocho de noviembre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09" w:name="AUTO_2015_195"/>
      <w:r>
        <w:t>AUTO 195/2015, de 18 de noviembre de 2015</w:t>
      </w:r>
    </w:p>
    <w:bookmarkEnd w:id="209"/>
    <w:p w:rsidR="006B7292" w:rsidRDefault="006B7292" w:rsidP="006B7292">
      <w:pPr>
        <w:pStyle w:val="TtuloResolucin"/>
      </w:pPr>
      <w:r>
        <w:t>Pleno</w:t>
      </w:r>
    </w:p>
    <w:p w:rsidR="006B7292" w:rsidRDefault="006B7292" w:rsidP="006B7292">
      <w:pPr>
        <w:pStyle w:val="TextoNormalCentrado"/>
      </w:pPr>
      <w:r>
        <w:t>ECLI:ES:TC:2015:195A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Inadmite a trámite la cuestión de inconstitucionalidad 4243-2015, planteada por el Juzgado de Primera Instancia e Instrucción número 2 de Zamora, en relación con diversos preceptos de la Ley 10/2012, de 20 de noviembre, por la que se regulan determinadas tasas en el ámbito de la Administración de Justicia y del Instituto Nacional de Toxicología y Ciencias Forenses, en la redacción dada por el Real Decreto-ley 3/2013, de 22 de febrero.</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día 16 de julio de 2015 entró en el Registro General de este Tribunal un escrito del Juzgado de Primera Instancia e Instrucción núm. 2 de Zamora, al que se acompaña, junto con el testimonio del correspondiente procedimiento (procedimiento ordinario núm. 314-2014), el Auto de 6 de julio de 2015 en el que se acuerda plantear cuestión de inconstitucionalidad en relación con los arts. 7.1, 7.3 y 8.2 de la Ley 10/2012, de 20 de noviembre, por la que se regulan determinadas tasas en el ámbito de la Administración de Justicia y del Instituto Nacional de Toxicología y Ciencias Forenses, en la redacción dada por el Real Decreto-ley 3/2013, por ser contrarios a los arts. 24.1 y 31.1 CE.</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de la cuestión son los siguientes:</w:t>
      </w:r>
    </w:p>
    <w:p w:rsidR="006B7292" w:rsidRDefault="006B7292" w:rsidP="006B7292">
      <w:pPr>
        <w:pStyle w:val="TextoNormal"/>
      </w:pPr>
    </w:p>
    <w:p w:rsidR="006B7292" w:rsidRDefault="006B7292" w:rsidP="006B7292">
      <w:pPr>
        <w:pStyle w:val="TextoNormal"/>
      </w:pPr>
      <w:r>
        <w:t>a) Por el citado juzgado se dictó el 22 de diciembre de 2014 Sentencia, en el procedimiento de juicio ordinario núm. 354-2014, por la que se desestimó la demanda interpuesta por doña N.F.G. contra Banco Caja España de Inversiones, Salamanca y Soria, en la que se reclamaba la anulación de una cláusula de un contrato de préstamo hipotecario.</w:t>
      </w:r>
    </w:p>
    <w:p w:rsidR="006B7292" w:rsidRDefault="006B7292" w:rsidP="006B7292">
      <w:pPr>
        <w:pStyle w:val="TextoNormal"/>
      </w:pPr>
    </w:p>
    <w:p w:rsidR="006B7292" w:rsidRDefault="006B7292" w:rsidP="006B7292">
      <w:pPr>
        <w:pStyle w:val="TextoNormal"/>
      </w:pPr>
      <w:r>
        <w:t>b) La parte actora interpuso el 5 de febrero de 2015 recurso de apelación contra dicha Sentencia, en la que por medio de otrosí indicaba el carácter excesivo y desproporcionado de las tasas que devengaba dicha interposición, interesando el planteamiento de una cuestión de inconstitucionalidad en cuanto a la norma legal que las establecía, concretamente respecto de los arts. 7.1, 7.3 y 8.2 de la Ley 10/2012, en la redacción dada por el Real Decreto-ley 3/2013, por ser contrarios a los arts. 24.1 y 31.1 CE.</w:t>
      </w:r>
    </w:p>
    <w:p w:rsidR="006B7292" w:rsidRDefault="006B7292" w:rsidP="006B7292">
      <w:pPr>
        <w:pStyle w:val="TextoNormal"/>
      </w:pPr>
    </w:p>
    <w:p w:rsidR="006B7292" w:rsidRDefault="006B7292" w:rsidP="006B7292">
      <w:pPr>
        <w:pStyle w:val="TextoNormal"/>
      </w:pPr>
      <w:r>
        <w:t>c) Sin mediar otro trámite, el Juzgado de Primera Instancia e Instrucción núm. 2 de Zamora, mediante providencia de 9 de marzo de 2015, acordó que: “presentado recurso de apelación contra la sentencia dictada en este procedimiento de fecha 22/12/2014, únase. A la vista de la solicitud de cuestión de inconstitucionalidad en el primer otrosí digo, de acuerdo con el art. 35.2 de la Ley Orgánica del Tribunal Constitucional (LOTC), acuerdo conceder a las partes y al Ministerio Fiscal un plazo común e improrrogable de diez días hábiles a fin de que aleguen cuanto a su derecho convenga sobre la pertinencia de plantear ante el Tribunal Constitucional cuestión suscitando la posible constitucionalidad del siguiente preceptos legales (</w:t>
      </w:r>
      <w:r w:rsidRPr="006B7292">
        <w:rPr>
          <w:i/>
        </w:rPr>
        <w:t>sic</w:t>
      </w:r>
      <w:r>
        <w:t>): La Ley 10/2012, de 20 de noviembre”.</w:t>
      </w:r>
    </w:p>
    <w:p w:rsidR="006B7292" w:rsidRDefault="006B7292" w:rsidP="006B7292">
      <w:pPr>
        <w:pStyle w:val="TextoNormal"/>
      </w:pPr>
    </w:p>
    <w:p w:rsidR="006B7292" w:rsidRDefault="006B7292" w:rsidP="006B7292">
      <w:pPr>
        <w:pStyle w:val="TextoNormal"/>
      </w:pPr>
      <w:r>
        <w:t>d) Evacuando el trámite otorgado, la representación de la parte apelante (escrito de 20 marzo de 2015) y el Ministerio Fiscal (escrito de 13 de abril de 2015) coinciden en que procede plantear cuestión de inconstitucionalidad respecto de los arts. 7.1, 7.3 y 8.2 de la Ley 10/2012, en la redacción dada por el Real Decreto-ley 3/2013, en relación a los arts. 24.1 y 31.1 CE. La entidad de crédito que venció en la primera instancia, y que aparece como apelada, no evacuó el traslado concedido.</w:t>
      </w:r>
    </w:p>
    <w:p w:rsidR="006B7292" w:rsidRDefault="006B7292" w:rsidP="006B7292">
      <w:pPr>
        <w:pStyle w:val="TextoNormal"/>
      </w:pPr>
    </w:p>
    <w:p w:rsidR="006B7292" w:rsidRDefault="006B7292" w:rsidP="006B7292">
      <w:pPr>
        <w:pStyle w:val="TextoNormal"/>
      </w:pPr>
      <w:r>
        <w:t>e) El órgano judicial dictó el Auto de 6 de julio de 2015 en el que se acuerda plantear cuestión de inconstitucionalidad respecto de los arts. 7.1, 7.3 y 8.2 de la Ley 10/2012, en la redacción dada por el Real Decreto-ley 3/2013, por contrariar los arts. 24.1 y 31.1 CE.</w:t>
      </w:r>
    </w:p>
    <w:p w:rsidR="006B7292" w:rsidRDefault="006B7292" w:rsidP="006B7292">
      <w:pPr>
        <w:pStyle w:val="TextoNormal"/>
      </w:pPr>
    </w:p>
    <w:p w:rsidR="006B7292" w:rsidRDefault="006B7292" w:rsidP="006B7292">
      <w:pPr>
        <w:pStyle w:val="TextoNormal"/>
      </w:pPr>
      <w:r w:rsidRPr="006B7292">
        <w:rPr>
          <w:rStyle w:val="NumeroAFNegritaCaracter"/>
        </w:rPr>
        <w:t>3</w:t>
      </w:r>
      <w:r>
        <w:t>. El Auto de planteamiento se inicia con un apartado de antecedentes de hecho, debiendo destacarse, por lo que luego se dirá, que el antecedente de hecho tercero afirma literalmente que “de la solicitud planteada [en el primer otrosí del recurso de apelación] se dio traslado a las partes y al Ministerio Fiscal por un plazo de 10 días, dentro del cual la parte demandante y el Ministerio Fiscal mostraron su conformidad con el planteamiento de la cuestión, no formulando alegaciones la parte demandada”.</w:t>
      </w:r>
    </w:p>
    <w:p w:rsidR="006B7292" w:rsidRDefault="006B7292" w:rsidP="006B7292">
      <w:pPr>
        <w:pStyle w:val="TextoNormal"/>
      </w:pPr>
    </w:p>
    <w:p w:rsidR="006B7292" w:rsidRDefault="006B7292" w:rsidP="006B7292">
      <w:pPr>
        <w:pStyle w:val="TextoNormal"/>
      </w:pPr>
      <w:r>
        <w:t>El fundamento de derecho segundo se refiere a los requisitos procesales. Señala que “concurren … los presupuestos constitucionalmente exigidos para el planteamiento de la cuestión de inconstitucionalidad, al tratarse de una norma con rango de ley y ser aplicable al caso de autos, pues aunque la tasa regulada no es exigible ya a las personas físicas tras la reforma operada por Real Decreto-Ley 1/2015, en el caso el hecho imponible existía cuando se interpuso el recurso conforme a la anterior regulación”. Y añade que “no cabe duda de que en el caso la decisión del proceso depende de la validez de las normas cuestionadas, pues se está ante uno de los supuestos del hecho imponible previstos que supone el devengo de la tasa regulada, en concreto la interposición de un recurso de apelación, no habiéndose acompañado por la parte demandante junto con el escrito de interposición del recurso el justificante de pago de dicha tasa, lo que en aplicación del art. 8.2 de la Ley 10/2012 debe dar lugar a la preclusión del trámite y consiguiente imposibilidad de formalizar el recurso, con archivo del procedimiento”.</w:t>
      </w:r>
    </w:p>
    <w:p w:rsidR="006B7292" w:rsidRDefault="006B7292" w:rsidP="006B7292">
      <w:pPr>
        <w:pStyle w:val="TextoNormal"/>
      </w:pPr>
    </w:p>
    <w:p w:rsidR="006B7292" w:rsidRDefault="006B7292" w:rsidP="006B7292">
      <w:pPr>
        <w:pStyle w:val="TextoNormal"/>
      </w:pPr>
      <w:r>
        <w:t>El fundamento de derecho tercero razona sobre la adecuación constitucional de los preceptos cuestionados. Comienza por su contenido normativo y expone que “el art. 7 de la Ley 10/2012, en la redacción dada por el Real Decreto-ley 3/2013, establece en su apartado 1o una tasa de 800 €, como cantidad fija, para la interposición de un recurso de apelación en la jurisdicción civil, añadiendo el apartado 3 o que ‘cuando el sujeto pasivo sea persona física se satisfará, además, la cantidad que resulte de aplicar a la base imponible de la tasa un tipo del 0,10 por ciento con el límite de cuantía variable de 2.000 euros’. Por su parte el art. 8.2 establece que ‘el justificante del pago de la tasa con arreglo al modelo oficial, debidamente validado, acompañará a todo escrito procesal mediante el que se realice el hecho imponible de este tributo. En caso de que no se acompañase dicho justificante, el Secretario judicial requerirá al sujeto pasivo para que lo aporte en el plazo de diez días, no dando curso al escrito hasta que tal omisión fuese subsanada. La ausencia de subsanación de tal deficiencia, tras el requerimiento del Secretario judicial a que se refiere el precepto, dará lugar a la preclusión del acto procesal y a la consiguiente continuación o finalización del procedimiento, según proceda’.”</w:t>
      </w:r>
    </w:p>
    <w:p w:rsidR="006B7292" w:rsidRDefault="006B7292" w:rsidP="006B7292">
      <w:pPr>
        <w:pStyle w:val="TextoNormal"/>
      </w:pPr>
    </w:p>
    <w:p w:rsidR="006B7292" w:rsidRDefault="006B7292" w:rsidP="006B7292">
      <w:pPr>
        <w:pStyle w:val="TextoNormal"/>
      </w:pPr>
      <w:r>
        <w:t>Luego expone la doctrina constitucional sobre la relación entre la exigencia de tasas judiciales y el acceso a la justicia reconocido en el art. 24 CE. Dice el auto que “el Tribunal Constitucional ha reiterado en sentencias núm. 103/2012, de 9 de mayo, y núm. 20/2012, de 16 de febrero, que es constitucional subordinar la prestación de la actividad jurisdiccional al abono de unas tasas judiciales, pues su exigencia persigue un fin constitucionalmente lícito como es contribuir a financiar los costes generados por la actividad jurisdiccional, pero ello siempre y cuando la cuantía de tales tasas no sea excesiva a la luz de las circunstancias propias de cada caso, para evitar que se impida en la práctica el acceso a la jurisdicción o se obstaculice en un caso concreto en términos irrazonables”. Y añade el auto que las citadas sentencias concluyen que la tasa regulada en el art. 35 de la Ley 53/2002 es constitucional dado que “solamente quedan sujetas al pago de esta tasa judicial las personas jurídicas con ánimo de lucro cuya cifra de negocios hubiere alcanzado, en el periodo impositivo anterior, un importe neto superior a seis millones de euros, y únicamente cuando promueven procesos en que se controvierten derechos de contenido económico, circunstancias todas ellas que acreditan que la exigencia de la tasa judicial cuestionada persigue un fin constitucionalmente lícito, como es que las entidades mercantiles con un elevado volumen de facturación contribuyan a financiar los costes generados por la actividad jurisdiccional que conlleva juzgar las demandas que libremente deciden presentar ante los Tribunales del orden civil para defender sus derechos e intereses legítimos, y lo hace sin limitar de un modo desproporcionado el derecho de acceso a la jurisdicción, pues no alcanza a ser un obstáculo siquiera significativo para el mismo”.</w:t>
      </w:r>
    </w:p>
    <w:p w:rsidR="006B7292" w:rsidRDefault="006B7292" w:rsidP="006B7292">
      <w:pPr>
        <w:pStyle w:val="TextoNormal"/>
      </w:pPr>
    </w:p>
    <w:p w:rsidR="006B7292" w:rsidRDefault="006B7292" w:rsidP="006B7292">
      <w:pPr>
        <w:pStyle w:val="TextoNormal"/>
      </w:pPr>
      <w:r>
        <w:t xml:space="preserve">A partir de esta doctrina constitucional, el Auto razona que distinta situación se produce en relación con las tasas que para las personas físicas prevé la Ley 10/2012, en la redacción dada por el Real Decreto-ley 3/2013, que se establecen genéricamente para toda persona física, sin atender ni a su concreta situación económica ni a la naturaleza del objeto del pleito civil. El art. 7 de la Ley 10/2012 establece una cantidad fija y otra variable que se calcula sobre la cuantía del procedimiento, pero sin tener en ningún caso en cuenta la concreta situación económica del recurrente, lo que suscita, argumenta el Auto, serias dudas sobre su adecuación al principio de capacidad económica previsto en el art. 31.1 CE. De otro lado, sigue razonando el Auto, el elevado importe de la tasa por la interposición del recurso de apelación, varias veces superior a la prevista para la interposición de la demanda, fijado además sin atención alguna a la capacidad económica del recurrente, puede suponer un obstáculo excesivo, irrazonable y desproporcionado para el acceso al recurso, con lo que podría vulnerarse también el derecho a la tutela judicial efectiva </w:t>
      </w:r>
      <w:r w:rsidRPr="006B7292">
        <w:rPr>
          <w:i/>
        </w:rPr>
        <w:t>ex</w:t>
      </w:r>
      <w:r>
        <w:t xml:space="preserve"> art. 24 CE, dado que conforme al art. 8.2 de la Ley 20/2012 la no acreditación de su pago supone la imposibilidad de admitir a trámite el recurso.</w:t>
      </w:r>
    </w:p>
    <w:p w:rsidR="006B7292" w:rsidRDefault="006B7292" w:rsidP="006B7292">
      <w:pPr>
        <w:pStyle w:val="TextoNormal"/>
      </w:pPr>
    </w:p>
    <w:p w:rsidR="006B7292" w:rsidRDefault="006B7292" w:rsidP="006B7292">
      <w:pPr>
        <w:pStyle w:val="TextoNormal"/>
      </w:pPr>
      <w:r>
        <w:t>Por último, el Auto sostiene que la consideración de la tasa como un obstáculo al acceso a la tutela judicial efectiva aparece confirmado por la importante reducción del número de recursos tramitados durante la vigencia de la tasa, e incluso reconocido por la exposición de motivos del Real Decreto-ley 1/2015, que modificó la Ley 10/2012, al señalar que dicha reforma persigue “poner fin a una situación que había generado un enorme rechazo social y, al tiempo, eliminar un elemento de retraimiento en el acceso a los Tribunales ...”; y al razonar que “transcurrido un plazo razonable desde la adopción del Real Decreto-ley 3/2013, de 22 de febrero, en materia de tasas por el ejercicio de la potestad jurisdiccional, se ha podido constatar que resulta inaplazable atender a la situación económica desfavorable de un importante número de ciudadanos que, no siendo beneficiarios del derecho de asistencia jurídica gratuita, debe ser objeto de atención en cuanto al impacto que sobre ellos está teniendo el sistema de tasas por el ejercicio de la potestad jurisdiccional”.</w:t>
      </w:r>
    </w:p>
    <w:p w:rsidR="006B7292" w:rsidRDefault="006B7292" w:rsidP="006B7292">
      <w:pPr>
        <w:pStyle w:val="TextoNormal"/>
      </w:pPr>
    </w:p>
    <w:p w:rsidR="006B7292" w:rsidRDefault="006B7292" w:rsidP="006B7292">
      <w:pPr>
        <w:pStyle w:val="TextoNormal"/>
      </w:pPr>
      <w:r w:rsidRPr="006B7292">
        <w:rPr>
          <w:rStyle w:val="NumeroAFNegritaCaracter"/>
        </w:rPr>
        <w:t>4</w:t>
      </w:r>
      <w:r>
        <w:t>. Por providencia de 10 de septiembre de 2015, la Sección Tercera del Tribunal Constitucional acordó oír al Fiscal General del Estado para que, en el plazo de diez días, y a los efectos que determina el art. 37.1 LOTC, alegase lo que considerase conveniente acerca de la admisibilidad de la presente cuestión de inconstitucionalidad, en relación con la falta de cumplimiento de los requisitos procesales (art. 35.2 LOTC).</w:t>
      </w:r>
    </w:p>
    <w:p w:rsidR="006B7292" w:rsidRDefault="006B7292" w:rsidP="006B7292">
      <w:pPr>
        <w:pStyle w:val="TextoNormal"/>
      </w:pPr>
    </w:p>
    <w:p w:rsidR="006B7292" w:rsidRDefault="006B7292" w:rsidP="006B7292">
      <w:pPr>
        <w:pStyle w:val="TextoNormal"/>
      </w:pPr>
      <w:r w:rsidRPr="006B7292">
        <w:rPr>
          <w:rStyle w:val="NumeroAFNegritaCaracter"/>
        </w:rPr>
        <w:t>5</w:t>
      </w:r>
      <w:r>
        <w:t>. El Fiscal General del Estado evacuó el trámite conferido mediante escrito registrado el 16 de octubre de 2015, en el que interesa la inadmisión de la presente cuestión de inconstitucionalidad.</w:t>
      </w:r>
    </w:p>
    <w:p w:rsidR="006B7292" w:rsidRDefault="006B7292" w:rsidP="006B7292">
      <w:pPr>
        <w:pStyle w:val="TextoNormal"/>
      </w:pPr>
    </w:p>
    <w:p w:rsidR="006B7292" w:rsidRDefault="006B7292" w:rsidP="006B7292">
      <w:pPr>
        <w:pStyle w:val="TextoNormal"/>
      </w:pPr>
      <w:r>
        <w:t>Señala el Fiscal que “la primera censura que puede hacerse a esta resolución judicial es la ausencia total de determinación de los preceptos legales cuestionados. Identificación que fue sustituida por una genérica remisión a la Ley 10/2012, de 20 de noviembre, sin mayores concreciones ni precisiones. A esta indeterminación absoluta habría que añadir la ausencia de toda mención al Real Decreto-ley 3/2013, que afectó sustancialmente a algunos de los preceptos de la citada Ley 10/2012, y que ya estaba en vigor en el momento de la apertura del trámite de audiencia”.</w:t>
      </w:r>
    </w:p>
    <w:p w:rsidR="006B7292" w:rsidRDefault="006B7292" w:rsidP="006B7292">
      <w:pPr>
        <w:pStyle w:val="TextoNormal"/>
      </w:pPr>
    </w:p>
    <w:p w:rsidR="006B7292" w:rsidRDefault="006B7292" w:rsidP="006B7292">
      <w:pPr>
        <w:pStyle w:val="TextoNormal"/>
      </w:pPr>
      <w:r>
        <w:t>Como segundo motivo de censura, el Fiscal advierte “que tampoco la providencia de apertura del trámite de audiencia identificó el precepto o preceptos constitucionales que el órgano judicial estimaba vulnerados. Omisión que incumple nuevamente las exigencias impuestas por la doctrina constitucional, al establecer que ‘la concreta duda de constitucionalidad debe desprenderse claramente de lo contenido en la providencia por la que se lleva a cabo el trámite de audiencia’ (vid., por ejemplo, AATC 66/2015, FJ 2; 221/2014, FJ 2, 206/2014, FJ 2; y 56/2014, FJ 2), bien mediante la cita concreta de los preceptos constitucionales lesionados, bien mediante una mínima justificación de la duda de constitucionalidad que se pretende plantear (vid. AATC 66/2015, FJ 2; 116/2014, FJ 2; y 267/2013, FJ 3)”.</w:t>
      </w:r>
    </w:p>
    <w:p w:rsidR="006B7292" w:rsidRDefault="006B7292" w:rsidP="006B7292">
      <w:pPr>
        <w:pStyle w:val="TextoNormal"/>
      </w:pPr>
    </w:p>
    <w:p w:rsidR="006B7292" w:rsidRDefault="006B7292" w:rsidP="006B7292">
      <w:pPr>
        <w:pStyle w:val="TextoNormal"/>
      </w:pPr>
      <w:r>
        <w:t>Reconoce, no obstante, que “la doctrina constitucional ha admitido excepciones, esto es, que los defectos en la identificación en la providencia de apertura del trámite de audiencia del objeto de la cuestión de inconstitucionalidad no deben conducir inexorablemente a la inadmisión de la misma por falta de los requisitos procesales. Esto ocurrirá cuando el defecto en que incurre la providencia de apertura del trámite de audiencia no alcanza a producir confusión en los destinatarios, de modo que éstos superan ese defecto, entienden correctamente cuál era la duda que se les plantea y alegan sobre ella. En estos casos no se habrá impedido a las partes el efectivo ejercicio de su derecho de audiencia, ni se habrá privado al órgano judicial de la opinión de los sujetos interesados que facilite su reflexión sobre la conveniencia o no plantear la cuestión de inconstitucionalidad, fines que son los perseguidos por el trámite previsto por el art. 35.2 LOTC (vid., por ejemplo, ATC 136/2015, FJ 2)”.</w:t>
      </w:r>
    </w:p>
    <w:p w:rsidR="006B7292" w:rsidRDefault="006B7292" w:rsidP="006B7292">
      <w:pPr>
        <w:pStyle w:val="TextoNormal"/>
      </w:pPr>
    </w:p>
    <w:p w:rsidR="006B7292" w:rsidRDefault="006B7292" w:rsidP="006B7292">
      <w:pPr>
        <w:pStyle w:val="TextoNormal"/>
      </w:pPr>
      <w:r>
        <w:t>Pero estima “que esta excepción no es aplicable en el presente caso. Si examinamos el contenido del dictamen presentado por el Ministerio Fiscal, favorable al planteamiento de la cuestión de inconstitucionalidad, toma como referencia el contenido del escrito presentado por la parte apelante para concretar el alcance de la duda de constitucionalidad planteada, pues nada indicó el órgano judicial en la providencia de apertura del trámite de audiencia. Lo mismo cabe decir, por razones obvias, del escrito presentado por la parte apelante, impulsora del planteamiento de la cuestión de inconstitucionalidad, quien al inicio de su escrito se remite al contenido de la solicitud de planteamiento de la cuestión. A destacar, sin embargo, que la parte demandada no presentó escrito alguno, quizás, precisamente, por la falta de concreción de la duda de constitucionalidad que planteaba el órgano judicial, impidiéndole de esta forma conocer el alcance concreto de la misma”.</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La presente cuestión de inconstitucionalidad se plantea por el Juzgado de Primera Instancia e Instrucción núm. 2 de Zamora en relación con los arts. 7.1, 7.3 y 8.2 de la Ley 10/2012, de 20 de noviembre, por la que se regulan determinadas tasas en el ámbito de la Administración de Justicia y del Instituto Nacional de Toxicología y Ciencias Forenses, en la redacción dada por el Real Decreto-ley 3/2013, por posible vulneración de los arts. 24.1 y 31.1 CE.</w:t>
      </w:r>
    </w:p>
    <w:p w:rsidR="006B7292" w:rsidRDefault="006B7292" w:rsidP="006B7292">
      <w:pPr>
        <w:pStyle w:val="TextoNormal"/>
      </w:pPr>
    </w:p>
    <w:p w:rsidR="006B7292" w:rsidRDefault="006B7292" w:rsidP="006B7292">
      <w:pPr>
        <w:pStyle w:val="TextoNormal"/>
      </w:pPr>
      <w:r>
        <w:t xml:space="preserve">En los términos desarrollados en los antecedentes, el órgano judicial considera que la tasa que, por el juego combinado de los preceptos impugnados, debe acompañarse al recurso de apelación presentado por doña N.F.G. constituye un obstáculo excesivo, irrazonable y desproporcionado para el acceso al recurso, con lo que podría vulnerarse también el derecho a la tutela judicial efectiva </w:t>
      </w:r>
      <w:r w:rsidRPr="006B7292">
        <w:rPr>
          <w:i/>
        </w:rPr>
        <w:t>ex</w:t>
      </w:r>
      <w:r>
        <w:t xml:space="preserve"> art. 24 CE. Entiende también que, al tratarse de una cantidad fija y otra variable que se calcula sobre la cuantía del procedimiento (sin tener en ningún caso en cuenta la concreta situación económica del recurrente), dicha tasa suscita serias dudas sobre su adecuación al principio de capacidad económica previsto en el art. 31.1 CE.</w:t>
      </w:r>
    </w:p>
    <w:p w:rsidR="006B7292" w:rsidRDefault="006B7292" w:rsidP="006B7292">
      <w:pPr>
        <w:pStyle w:val="TextoNormal"/>
      </w:pPr>
    </w:p>
    <w:p w:rsidR="006B7292" w:rsidRDefault="006B7292" w:rsidP="006B7292">
      <w:pPr>
        <w:pStyle w:val="TextoNormal"/>
      </w:pPr>
      <w:r>
        <w:t>El Fiscal General del Estado, en el trámite previsto en el art. 37.1 de la Ley Orgánica del Tribunal Constitucional (LOTC), se ha opuesto a la admisión de la presente cuestión de inconstitucionalidad por entender que no se ha sustanciado correctamente el trámite de audiencia exigido por el art. 35.2 LOTC.</w:t>
      </w:r>
    </w:p>
    <w:p w:rsidR="006B7292" w:rsidRDefault="006B7292" w:rsidP="006B7292">
      <w:pPr>
        <w:pStyle w:val="TextoNormal"/>
      </w:pPr>
    </w:p>
    <w:p w:rsidR="006B7292" w:rsidRDefault="006B7292" w:rsidP="006B7292">
      <w:pPr>
        <w:pStyle w:val="TextoNormal"/>
      </w:pPr>
      <w:r w:rsidRPr="006B7292">
        <w:rPr>
          <w:rStyle w:val="NumeroAFNegritaCaracter"/>
        </w:rPr>
        <w:t>2</w:t>
      </w:r>
      <w:r>
        <w:t>. El art. 37.1 LOTC establece que este Tribunal puede rechazar, en trámite de admisión, mediante Auto y sin otra audiencia que la del Fiscal General del Estado, la cuestión de inconstitucionalidad cuando faltaren las condiciones procesales que se exigen para su viabilidad. El análisis de la presente cuestión de inconstitucionalidad pone de manifiesto que en la misma no se ha respetado el tiempo legalmente indicado para presentarla, y, además, que, tal y como argumenta el Fiscal, no se ha cumplido adecuadamente el trámite de audiencia a las partes y al Ministerio Fiscal previsto en el art. 35.2 LOTC, todo lo cual conlleva su inadmisión.</w:t>
      </w:r>
    </w:p>
    <w:p w:rsidR="006B7292" w:rsidRDefault="006B7292" w:rsidP="006B7292">
      <w:pPr>
        <w:pStyle w:val="TextoNormal"/>
      </w:pPr>
    </w:p>
    <w:p w:rsidR="006B7292" w:rsidRDefault="006B7292" w:rsidP="006B7292">
      <w:pPr>
        <w:pStyle w:val="TextoNormal"/>
      </w:pPr>
      <w:r w:rsidRPr="006B7292">
        <w:rPr>
          <w:rStyle w:val="NumeroAFNegritaCaracter"/>
        </w:rPr>
        <w:t>3</w:t>
      </w:r>
      <w:r>
        <w:t xml:space="preserve">. Como resulta de los antecedentes, el órgano judicial, una vez presentado el recurso de apelación, y sin mediar ningún otro trámite, dictó providencia de 9 de marzo de 2015, por la que se abre el trámite de audiencia </w:t>
      </w:r>
      <w:r w:rsidRPr="006B7292">
        <w:rPr>
          <w:i/>
        </w:rPr>
        <w:t>ex</w:t>
      </w:r>
      <w:r>
        <w:t xml:space="preserve"> art. 35.2 LOTC. De acuerdo a estas circunstancias, aprecia el Tribunal que la cuestión de inconstitucionalidad no se ha formalizado en el momento procesal que exige el art. 35.2 LOTC, pues, según el art. 8.2 de la Ley 10/2012, la resolución de finalización del procedimiento, que es la que depende de la validez de los preceptos legales cuestionados, solo se podrá dictar (a) previo requerimiento del Secretario Judicial para que se subsane el defecto en el plazo de diez días y (b) previo transcurso de ese plazo sin que se hubiera subsanado. En este caso no consta que tal requerimiento se haya producido, con lo que el procedimiento no está concluso como exige el art. 35.2 LOTC.</w:t>
      </w:r>
    </w:p>
    <w:p w:rsidR="006B7292" w:rsidRDefault="006B7292" w:rsidP="006B7292">
      <w:pPr>
        <w:pStyle w:val="TextoNormal"/>
      </w:pPr>
    </w:p>
    <w:p w:rsidR="006B7292" w:rsidRDefault="006B7292" w:rsidP="006B7292">
      <w:pPr>
        <w:pStyle w:val="TextoNormal"/>
      </w:pPr>
      <w:r w:rsidRPr="006B7292">
        <w:rPr>
          <w:rStyle w:val="NumeroAFNegritaCaracter"/>
        </w:rPr>
        <w:t>4</w:t>
      </w:r>
      <w:r>
        <w:t>. En segundo lugar, la providencia de 9 de marzo de 2015, como se ha dejado constancia en los antecedentes, no menciona en absoluto cuáles son las normas constitucionales que el órgano judicial entiende vulneradas. Además, la indicación en dicha resolución de la norma legal de cuya constitucionalidad se duda se realiza genéricamente por alusión a “la Ley 10/2012, de 20 de noviembre”, sin precisar qué concretos preceptos de esa Ley se consideran inconstitucionales.</w:t>
      </w:r>
    </w:p>
    <w:p w:rsidR="006B7292" w:rsidRDefault="006B7292" w:rsidP="006B7292">
      <w:pPr>
        <w:pStyle w:val="TextoNormal"/>
      </w:pPr>
    </w:p>
    <w:p w:rsidR="006B7292" w:rsidRDefault="006B7292" w:rsidP="006B7292">
      <w:pPr>
        <w:pStyle w:val="TextoNormal"/>
      </w:pPr>
      <w:r>
        <w:t>La regla general, según la doctrina constitucional (por todas, STC 33/2009, de 27 de enero, FJ 2), es que “la importancia de la audiencia del art. 35.2 LOTC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dudas como las normas de la Constitución que se consideren vulneradas” (FJ 2).</w:t>
      </w:r>
    </w:p>
    <w:p w:rsidR="006B7292" w:rsidRDefault="006B7292" w:rsidP="006B7292">
      <w:pPr>
        <w:pStyle w:val="TextoNormal"/>
      </w:pPr>
    </w:p>
    <w:p w:rsidR="006B7292" w:rsidRDefault="006B7292" w:rsidP="006B7292">
      <w:pPr>
        <w:pStyle w:val="TextoNormal"/>
      </w:pPr>
      <w:r>
        <w:t>No hacerlo, como ocurre en este caso, donde, como pone de relieve el Ministerio Fiscal, hay una “indeterminación absoluta” tanto de los preceptos legales sobre cuya constitucionalidad se albergan dudas como de las normas de la Constitución que se consideren vulneradas, supondría, en aplicación de esta regla general, la inadmisión de la cuestión de inconstitucionalidad por falta de requisitos procesales.</w:t>
      </w:r>
    </w:p>
    <w:p w:rsidR="006B7292" w:rsidRDefault="006B7292" w:rsidP="006B7292">
      <w:pPr>
        <w:pStyle w:val="TextoNormal"/>
      </w:pPr>
    </w:p>
    <w:p w:rsidR="006B7292" w:rsidRDefault="006B7292" w:rsidP="006B7292">
      <w:pPr>
        <w:pStyle w:val="TextoNormal"/>
      </w:pPr>
      <w:r>
        <w:t>Es cierto, no obstante, que la doctrina constitucional ha admitido excepciones, esto es, que las variaciones en la identificación del objeto de la cuestión de inconstitucionalidad no deben conducir inexorablemente a la inadmisión de la misma por falta de los requisitos procesales. Esto ocurrirá cuando el defecto en que incurre la providencia de apertura del trámite de audiencia no alcanza a producir confusión en los destinatarios, de modo que éstos pueden superar ese defecto y entender correctamente cuál era la duda que se les plantea, pues en estos casos no se habrá impedido a las partes el efectivo ejercicio de su derecho de audiencia en el trámite previsto por el art. 35.2 LOTC (ATC 136/2015, de 21 de julio, FJ 2).</w:t>
      </w:r>
    </w:p>
    <w:p w:rsidR="006B7292" w:rsidRDefault="006B7292" w:rsidP="006B7292">
      <w:pPr>
        <w:pStyle w:val="TextoNormal"/>
      </w:pPr>
    </w:p>
    <w:p w:rsidR="006B7292" w:rsidRDefault="006B7292" w:rsidP="006B7292">
      <w:pPr>
        <w:pStyle w:val="TextoNormal"/>
      </w:pPr>
      <w:r>
        <w:t>En este caso la parte apelante y el Ministerio Fiscal, a pesar de la indeterminación de la providencia de 9 de marzo de 2015, entendieron que esta resolución judicial, que se dicta “a la vista de la solicitud de cuestión de inconstitucionalidad en el primer otrosí digo [del recurso de apelación]”, ciñe el trámite de audiencia a los arts. 7.1, 7.3 y 8.2 de la Ley 10/2012, en la redacción dada por el Real Decreto-ley 3/2013, por su eventual contradicción con los arts. 24.1 y 31.1 CE, pues esa es la duda de constitucionalidad que exponía el recurso de apelación en su primer otrosí digo.</w:t>
      </w:r>
    </w:p>
    <w:p w:rsidR="006B7292" w:rsidRDefault="006B7292" w:rsidP="006B7292">
      <w:pPr>
        <w:pStyle w:val="TextoNormal"/>
      </w:pPr>
    </w:p>
    <w:p w:rsidR="006B7292" w:rsidRDefault="006B7292" w:rsidP="006B7292">
      <w:pPr>
        <w:pStyle w:val="TextoNormal"/>
      </w:pPr>
      <w:r>
        <w:t xml:space="preserve">Sin embargo, la parte apelada no ha evacuado el traslado, por lo que no puede decirse que el trámite de audiencia </w:t>
      </w:r>
      <w:r w:rsidRPr="006B7292">
        <w:rPr>
          <w:i/>
        </w:rPr>
        <w:t>ex</w:t>
      </w:r>
      <w:r>
        <w:t xml:space="preserve"> art. 35.2 LOTC, a pesar de su realización defectuosa, haya surtido la eficacia que es propia de su finalidad, con lo que la excepción que estamos analizando no concurriría en este caso, procediendo, en aplicación de la regla general, la inadmisión de esta cuestión de inconstitucionalidad por no haberse realizado correctamente el trámite de audiencia y, por tanto, faltar uno de los requisitos procesales exigidos por el art. 35.2 LOTC.</w:t>
      </w:r>
    </w:p>
    <w:p w:rsidR="006B7292" w:rsidRDefault="006B7292" w:rsidP="006B7292">
      <w:pPr>
        <w:pStyle w:val="TextoNormal"/>
      </w:pPr>
    </w:p>
    <w:p w:rsidR="006B7292" w:rsidRDefault="006B7292" w:rsidP="006B7292">
      <w:pPr>
        <w:pStyle w:val="TextoNormal"/>
      </w:pPr>
      <w:r w:rsidRPr="006B7292">
        <w:rPr>
          <w:rStyle w:val="NumeroAFNegritaCaracter"/>
        </w:rPr>
        <w:t>5</w:t>
      </w:r>
      <w:r>
        <w:t>. Una última mención merece que la providencia de 9 de marzo de 2015 afirme que se dicta “a la vista de la solicitud de cuestión de inconstitucionalidad en el primer otrosí digo [del recurso de apelación]”, cuando ese primer otrosí digo del recurso de apelación, como se ha expuesto con detalle en los antecedentes, contiene un razonamiento completo alusivo a los preceptos legales de cuya constitucionalidad se duda y a las normas constitucionales que se consideran vulneradas.</w:t>
      </w:r>
    </w:p>
    <w:p w:rsidR="006B7292" w:rsidRDefault="006B7292" w:rsidP="006B7292">
      <w:pPr>
        <w:pStyle w:val="TextoNormal"/>
      </w:pPr>
    </w:p>
    <w:p w:rsidR="006B7292" w:rsidRDefault="006B7292" w:rsidP="006B7292">
      <w:pPr>
        <w:pStyle w:val="TextoNormal"/>
      </w:pPr>
      <w:r>
        <w:t>De la consideración de las circunstancias descritas se desprende que la providencia de 9 de marzo de 2015, en lugar de suscitar la opinión de las partes y del Fiscal sobre una duda de constitucionalidad que tiene el órgano judicial, se remitió a la duda de constitucionalidad que expresaba la parte apelante en el primer otrosí del recurso de apelación. Esta conclusión se corresponde con los hechos y, además, resulta confirmada por el propio órgano judicial cuando en el auto de planteamiento, concretamente en el antecedentes de hecho tercero, afirma “de la solicitud planteada [en el primer otrosí del recurso de apelación] se dio traslado a las partes y al Ministerio Fiscal por un plazo de 10 días, dentro del cual la parte demandante y el Ministerio Fiscal mostraron su conformidad con el planteamiento de la cuestión”.</w:t>
      </w:r>
    </w:p>
    <w:p w:rsidR="006B7292" w:rsidRDefault="006B7292" w:rsidP="006B7292">
      <w:pPr>
        <w:pStyle w:val="TextoNormal"/>
      </w:pPr>
    </w:p>
    <w:p w:rsidR="006B7292" w:rsidRDefault="006B7292" w:rsidP="006B7292">
      <w:pPr>
        <w:pStyle w:val="TextoNormal"/>
      </w:pPr>
      <w:r>
        <w:t xml:space="preserve">La duda de constitucionalidad que da lugar a que el Tribunal Constitucional se pronuncie en este cauce procesal ha de ser necesariamente del órgano judicial. Así, el órgano judicial no se puede limitar, a la hora de promover una cuestión de inconstitucionalidad, a remitirse a las dudas que sobre la constitucionalidad de una norma hayan expresado las partes, doctrina constitucional que se ha referido tanto a la regularidad del juicio de relevancia realizado en el auto de planteamiento (ATC 95/2004, de 23 de marzo, FJ 2) como a la corrección de la providencia por la que se otorga el trámite de audiencia </w:t>
      </w:r>
      <w:r w:rsidRPr="006B7292">
        <w:rPr>
          <w:i/>
        </w:rPr>
        <w:t>ex</w:t>
      </w:r>
      <w:r>
        <w:t xml:space="preserve"> art. 35.2 (ATC 104/2011, de 5 de julio, FJ 2).</w:t>
      </w:r>
    </w:p>
    <w:p w:rsidR="006B7292" w:rsidRDefault="006B7292" w:rsidP="006B7292">
      <w:pPr>
        <w:pStyle w:val="TextoNormal"/>
      </w:pPr>
    </w:p>
    <w:p w:rsidR="006B7292" w:rsidRDefault="006B7292" w:rsidP="006B7292">
      <w:pPr>
        <w:pStyle w:val="TextoNormal"/>
      </w:pPr>
      <w:r>
        <w:t xml:space="preserve">Por todo ello, que la providencia de 9 de marzo de 2015 afirme que se dicta “a la vista de la solicitud de cuestión de inconstitucionalidad en el primer otrosí digo [del recurso de apelación]”, en la medida que con ello no hace otra cosa que remitirse a las dudas que sobre la constitucionalidad de una norma ha expresado la parte apelante, no es relevante, y en este sentido se manifiesta también el Ministerio Fiscal, para corregir la indeterminación de que adolecería dicha providencia y que determinaría que en este caso no se haya realizado correctamente el trámite de audiencia </w:t>
      </w:r>
      <w:r w:rsidRPr="006B7292">
        <w:rPr>
          <w:i/>
        </w:rPr>
        <w:t>ex</w:t>
      </w:r>
      <w:r>
        <w:t xml:space="preserve"> art. 35.2 LOTC, con lo que procedería inadmitir esta cuestión de inconstitucionalidad también por la falta de este requisito procesal.</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Inadmitir a trámite la presente cuestión de inconstitucionalidad.</w:t>
      </w:r>
    </w:p>
    <w:p w:rsidR="006B7292" w:rsidRDefault="006B7292" w:rsidP="006B7292">
      <w:pPr>
        <w:pStyle w:val="TextoNormal"/>
      </w:pPr>
    </w:p>
    <w:p w:rsidR="006B7292" w:rsidRDefault="006B7292" w:rsidP="006B7292">
      <w:pPr>
        <w:pStyle w:val="TextoNormal"/>
      </w:pPr>
      <w:r>
        <w:t>Madrid, a dieciocho de noviembre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10" w:name="AUTO_2015_196"/>
      <w:r>
        <w:t>AUTO 196/2015, de 18 de noviembre de 2015</w:t>
      </w:r>
    </w:p>
    <w:bookmarkEnd w:id="210"/>
    <w:p w:rsidR="006B7292" w:rsidRDefault="006B7292" w:rsidP="006B7292">
      <w:pPr>
        <w:pStyle w:val="TtuloResolucin"/>
      </w:pPr>
      <w:r>
        <w:t>Pleno</w:t>
      </w:r>
    </w:p>
    <w:p w:rsidR="006B7292" w:rsidRDefault="006B7292" w:rsidP="006B7292">
      <w:pPr>
        <w:pStyle w:val="TextoNormalCentrado"/>
      </w:pPr>
      <w:r>
        <w:t>ECLI:ES:TC:2015:196A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Levanta la suspensión en el recurso de inconstitucionalidad 4567-2015, interpuesto por el Presidente del Gobierno en relación con el capítulo I de la Ley del Parlamento de Cataluña 15/2014, de 4 de diciembre, del impuesto sobre la provisión de contenidos por parte de los prestadores de servicios de comunicaciones electrónicas y de fomento del sector y de la difusión de la cultura digital.</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presentado en el Registro General de este Tribunal el 28 de julio de 2015, el Abogado del Estado, en nombre del Presidente del Gobierno, interpuso recurso de inconstitucionalidad contra el capítulo I de la Ley del Parlamento de Cataluña 15/2014, de 4 de diciembre, del impuesto sobre la provisión de contenidos por parte de los prestadores de servicios de comunicaciones electrónicas y de fomento del sector y de la difusión de la cultura digital. La citada Ley 15/2014 se publicó en el “Diario Oficial de la Generalitat de Cataluña” núm. 6767, de 10 de diciembre de 2014.</w:t>
      </w:r>
    </w:p>
    <w:p w:rsidR="006B7292" w:rsidRDefault="006B7292" w:rsidP="006B7292">
      <w:pPr>
        <w:pStyle w:val="TextoNormal"/>
      </w:pPr>
    </w:p>
    <w:p w:rsidR="006B7292" w:rsidRDefault="006B7292" w:rsidP="006B7292">
      <w:pPr>
        <w:pStyle w:val="TextoNormal"/>
      </w:pPr>
      <w:r>
        <w:t>En esencia, el Abogado del Estado sostiene que el impuesto sobre la provisión de contenidos por parte de los prestadores del servicio de comunicaciones electrónicas creado y regulado por el capítulo I de la Ley recurrida, coincide, en el sentido del art. 6.2 de la Ley Orgánica 8/1980, de 22 de septiembre, de financiación de las comunidades autónomas (LOFCA), con el impuesto sobre el valor añadido regulado por la Ley estatal 37/1992, de 28 de diciembre. El “hecho imponible” (art. 6.2 LOFCA) del impuesto autonómico es, para él, idéntico al previsto en la citada Ley 37/1992, y consiste en la prestación de servicios de telecomunicación y la prestación de servicios por vía electrónica incluidos como tal hecho imponible en el art. 69.3, apartados 3 y 4, de la ley estatal.</w:t>
      </w:r>
    </w:p>
    <w:p w:rsidR="006B7292" w:rsidRDefault="006B7292" w:rsidP="006B7292">
      <w:pPr>
        <w:pStyle w:val="TextoNormal"/>
      </w:pPr>
    </w:p>
    <w:p w:rsidR="006B7292" w:rsidRDefault="006B7292" w:rsidP="006B7292">
      <w:pPr>
        <w:pStyle w:val="TextoNormal"/>
      </w:pPr>
      <w:r>
        <w:t>El Abogado del Estado invocó el art. 161.2 CE, en relación con el art. 30 LOTC, a fin de que se produjese la suspensión del inciso del precepto de la Ley recurrida.</w:t>
      </w:r>
    </w:p>
    <w:p w:rsidR="006B7292" w:rsidRDefault="006B7292" w:rsidP="006B7292">
      <w:pPr>
        <w:pStyle w:val="TextoNormal"/>
      </w:pPr>
    </w:p>
    <w:p w:rsidR="006B7292" w:rsidRDefault="006B7292" w:rsidP="006B7292">
      <w:pPr>
        <w:pStyle w:val="TextoNormal"/>
      </w:pPr>
      <w:r w:rsidRPr="006B7292">
        <w:rPr>
          <w:rStyle w:val="NumeroAFNegritaCaracter"/>
        </w:rPr>
        <w:t>2</w:t>
      </w:r>
      <w:r>
        <w:t>. El Pleno del Tribunal Constitucional, por providencia de 10 de septiembre de 2015, acordó admitir a trámite el recurso de inconstitucionalidad, dar traslado de la demanda y documentos presentados, conforme establece el art. 34 de la Ley Orgánica del Tribunal Constitucional (LOTC), al Congreso de los Diputados y al Senado, así como al Gobierno y al Parlamento de Cataluña, por conducto de sus Presidentes, al objeto de que en el plazo de quince días pudieran personarse en el proceso y formular las alegaciones que estimaren convenientes. Asimismo, se acordó tener por invocado el art. 161.2 CE, lo que, conforme dispone el art. 30 LOTC, produce la suspensión de la vigencia y aplicación de la Ley impugnada desde la fecha de interposición del recurso para las partes del proceso —28 de julio de 2015— y desde el día en que aparezca publicada la suspensión en el “Boletín Oficial del Estado” para los terceros. Por último, también se ordenó publicar la incoación del recurso en el “Boletín Oficial del Estado” (publicación que tuvo lugar el 16 de septiembre de 2015) y en el “Diari Oficial de Generalitat de Catalunya”.</w:t>
      </w:r>
    </w:p>
    <w:p w:rsidR="006B7292" w:rsidRDefault="006B7292" w:rsidP="006B7292">
      <w:pPr>
        <w:pStyle w:val="TextoNormal"/>
      </w:pPr>
    </w:p>
    <w:p w:rsidR="006B7292" w:rsidRDefault="006B7292" w:rsidP="006B7292">
      <w:pPr>
        <w:pStyle w:val="TextoNormal"/>
      </w:pPr>
      <w:r w:rsidRPr="006B7292">
        <w:rPr>
          <w:rStyle w:val="NumeroAFNegritaCaracter"/>
        </w:rPr>
        <w:t>3</w:t>
      </w:r>
      <w:r>
        <w:t>. Por sendos escritos registrados en el Tribunal Constitucional el 23 y 24 de septiembre de 2015, el Presidente del Senado y el Presidente del Congreso de los Diputados comunicaron que, por acuerdo de la Mesa de sus respectivas Cámaras, se había acordado darse por personadas en este procedimiento y ofrecer su colaboración a los efectos del art. 88.1 LOTC.</w:t>
      </w:r>
    </w:p>
    <w:p w:rsidR="006B7292" w:rsidRDefault="006B7292" w:rsidP="006B7292">
      <w:pPr>
        <w:pStyle w:val="TextoNormal"/>
      </w:pPr>
    </w:p>
    <w:p w:rsidR="006B7292" w:rsidRDefault="006B7292" w:rsidP="006B7292">
      <w:pPr>
        <w:pStyle w:val="TextoNormal"/>
      </w:pPr>
      <w:r w:rsidRPr="006B7292">
        <w:rPr>
          <w:rStyle w:val="NumeroAFNegritaCaracter"/>
        </w:rPr>
        <w:t>4</w:t>
      </w:r>
      <w:r>
        <w:t>. La Abogada de la Generalitat de Cataluña, por escrito registrado en este Tribunal el 6 de octubre de 2015, en representación y defensa del Gobierno de la Generalitat, formuló alegaciones solicitando la desestimación del recurso de inconstitucionalidad. Asimismo, solicitó por otrosí el levantamiento inmediato, antes del transcurso del plazo de cinco meses, de la suspensión acordada. Recuerda que es doctrina consolidada de este Tribunal que el plazo de cinco meses previsto en el art. 161.2 CE opera como límite máximo para ratificar o levantar la suspensión, pero que se incluye entre las potestades del Tribunal Constitucional la de pronunciarse al respecto antes del transcurso de esos cinco meses, y expone luego una consideraciones de carácter general sobre los criterios a los que, a su juicio, debe atender este Tribunal para adoptar esa decisión, que son la presunción de legitimidad de las normas, la ponderación de los intereses en presencia, tanto el general y público como los particulares o privados de terceras personas afectadas, y la existencia de perjuicios de imposible o difícil reparación que puede producir la suspensión de la norma.</w:t>
      </w:r>
    </w:p>
    <w:p w:rsidR="006B7292" w:rsidRDefault="006B7292" w:rsidP="006B7292">
      <w:pPr>
        <w:pStyle w:val="TextoNormal"/>
      </w:pPr>
    </w:p>
    <w:p w:rsidR="006B7292" w:rsidRDefault="006B7292" w:rsidP="006B7292">
      <w:pPr>
        <w:pStyle w:val="TextoNormal"/>
      </w:pPr>
      <w:r>
        <w:t>Adentrándose ya en el concreto caso de la Ley 15/2014, argumenta que la aplicación del impuesto autonómico no causaría perjuicios de interés general en cuanto no perjudicaría la correcta aplicación del impuesto estatal. El importe del impuesto autonómico, añade, no forma parte de los elementos de la base imponible del IVA definidos en el art. 87 de la ley del impuesto estatal. Por lo tanto, éste seguiría devengándose sin interferencia alguna del impuesto autonómico. Además, recuerda que el art. 6 de la Ley 15/2014 impide a los prestadores del servicio, sujetos pasivos del impuesto a título de sustitutos del contribuyente, repercutir ese impuesto sobre las personas físicas o jurídicas que tengan contratado el servicio.</w:t>
      </w:r>
    </w:p>
    <w:p w:rsidR="006B7292" w:rsidRDefault="006B7292" w:rsidP="006B7292">
      <w:pPr>
        <w:pStyle w:val="TextoNormal"/>
      </w:pPr>
    </w:p>
    <w:p w:rsidR="006B7292" w:rsidRDefault="006B7292" w:rsidP="006B7292">
      <w:pPr>
        <w:pStyle w:val="TextoNormal"/>
      </w:pPr>
      <w:r>
        <w:t>Además, los perjuicios causados a los operadores en el hipotético caso de que este Tribunal Constitucional declarase la nulidad del impuesto serían solamente económicos, y no habría ninguna dificultad en proceder a la devolución, al tratarse de un impuesto que únicamente deben liquidar un número reducido y claramente limitado de sujetos. De hecho, sostiene, solo 16 prestadores del servicio se han visto afectados por este impuesto y han presentado la autoliquidación correspondiente. Y no solo es reducido el número de operadores afectados; también es muy reducido el importe del impuesto en relación con el volumen de negocios de esas entidades afectadas. Así que según sus cálculos basados en las autoliquidaciones presentadas hasta la fecha, las cantidades que deben autoliquidarse en cada periodo impositivo, que se corresponde con un mes, no se prevé que superen la cifra global de 1.061.770,71 €, mientras que según la información publicada por la Comisión Nacional del Mercado y las Comunicaciones, los ingresos por servicios de internet de banda ancha fija y móvil obtenido por los operadores fue de 6.425,65 millones de euros.</w:t>
      </w:r>
    </w:p>
    <w:p w:rsidR="006B7292" w:rsidRDefault="006B7292" w:rsidP="006B7292">
      <w:pPr>
        <w:pStyle w:val="TextoNormal"/>
      </w:pPr>
    </w:p>
    <w:p w:rsidR="006B7292" w:rsidRDefault="006B7292" w:rsidP="006B7292">
      <w:pPr>
        <w:pStyle w:val="TextoNormal"/>
      </w:pPr>
      <w:r>
        <w:t>Esa doble condición de reducido número de afectados y reducido impacto de las cantidades autoliquidadas en relación con el volumen de negocios de las operadoras debe conducir, en opinión de la Abogada de la Generalitat, y en aplicación de la doctrina contenida en los AATC 417/1997, 173/2002 y 123/2013, al levantamiento de la suspensión.</w:t>
      </w:r>
    </w:p>
    <w:p w:rsidR="006B7292" w:rsidRDefault="006B7292" w:rsidP="006B7292">
      <w:pPr>
        <w:pStyle w:val="TextoNormal"/>
      </w:pPr>
    </w:p>
    <w:p w:rsidR="006B7292" w:rsidRDefault="006B7292" w:rsidP="006B7292">
      <w:pPr>
        <w:pStyle w:val="TextoNormal"/>
      </w:pPr>
      <w:r>
        <w:t>Frente a todo ello, el mantenimiento de la medida cautelar ocasionaría graves perjuicios a la hacienda pública de la Generalitat de Cataluña, puesto que implicaría una disminución de sus ingresos. Unos ingresos que además tienen un destino específico, ya que se destinan al fomento de la industria audiovisual de Cataluña y a la difusión de la cultura digital, según la propia Ley del impuesto, lo que entronca con las competencias que ostenta la comunidad autónoma en materia de cultura de acuerdo con el art. 127 de su Estatuto de Autonomía.</w:t>
      </w:r>
    </w:p>
    <w:p w:rsidR="006B7292" w:rsidRDefault="006B7292" w:rsidP="006B7292">
      <w:pPr>
        <w:pStyle w:val="TextoNormal"/>
      </w:pPr>
    </w:p>
    <w:p w:rsidR="006B7292" w:rsidRDefault="006B7292" w:rsidP="006B7292">
      <w:pPr>
        <w:pStyle w:val="TextoNormal"/>
      </w:pPr>
      <w:r w:rsidRPr="006B7292">
        <w:rPr>
          <w:rStyle w:val="NumeroAFNegritaCaracter"/>
        </w:rPr>
        <w:t>5</w:t>
      </w:r>
      <w:r>
        <w:t>. Por escrito registrado en este Tribunal el 7 de octubre de 2015, el Letrado del Parlament de Cataluña, en la representación que ostenta, compareció en el proceso y formuló alegaciones interesando la desestimación del recurso de inconstitucionalidad. Igualmente solicitó por otrosí el levantamiento inmediato de la citada suspensión, sin dejar transcurrir el plazo de cinco meses previsto en el art. 161.2 CE.</w:t>
      </w:r>
    </w:p>
    <w:p w:rsidR="006B7292" w:rsidRDefault="006B7292" w:rsidP="006B7292">
      <w:pPr>
        <w:pStyle w:val="TextoNormal"/>
      </w:pPr>
    </w:p>
    <w:p w:rsidR="006B7292" w:rsidRDefault="006B7292" w:rsidP="006B7292">
      <w:pPr>
        <w:pStyle w:val="TextoNormal"/>
      </w:pPr>
      <w:r>
        <w:t>El Letrado del Parlament de Cataluña insiste en la naturaleza excepcional de la suspensión de la vigencia y aplicación de las leyes, derivada de la presunción de constitucionalidad de las mismas, consecuencia a su vez del principio democrático. Y subraya también la necesidad de que sea el Gobierno quien aporte los razonamientos y pruebas que permitan justificar la suspensión, según doctrina de este Tribunal.</w:t>
      </w:r>
    </w:p>
    <w:p w:rsidR="006B7292" w:rsidRDefault="006B7292" w:rsidP="006B7292">
      <w:pPr>
        <w:pStyle w:val="TextoNormal"/>
      </w:pPr>
    </w:p>
    <w:p w:rsidR="006B7292" w:rsidRDefault="006B7292" w:rsidP="006B7292">
      <w:pPr>
        <w:pStyle w:val="TextoNormal"/>
      </w:pPr>
      <w:r>
        <w:t>Entrando ya en el concreto caso de la Ley 15/2014 recurrida, considera que únicamente se producirían daños reales y perjuicios irreparables si se mantiene la suspensión; no, por el contrario, si se alza la medida. El impuesto recurrido viene a aumentar las fuentes de ingresos de la Generalitat de Cataluña, y en el actual contexto de crisis y consolidación fiscal, mantener la suspensión implicaría comprometer los compromisos financieros de Cataluña y del conjunto del Reino de España con relación a los umbrales de déficit fijados en el marco europeo. En este sentido, recuerda que actualmente la estabilidad presupuestaria es un imperativo constitucional tras la reforma del art. 135 CE, y que el mantenimiento de la suspensión impediría a la comunidad autónoma alcanzar ese objetivo.</w:t>
      </w:r>
    </w:p>
    <w:p w:rsidR="006B7292" w:rsidRDefault="006B7292" w:rsidP="006B7292">
      <w:pPr>
        <w:pStyle w:val="TextoNormal"/>
      </w:pPr>
    </w:p>
    <w:p w:rsidR="006B7292" w:rsidRDefault="006B7292" w:rsidP="006B7292">
      <w:pPr>
        <w:pStyle w:val="TextoNormal"/>
      </w:pPr>
      <w:r w:rsidRPr="006B7292">
        <w:rPr>
          <w:rStyle w:val="NumeroAFNegritaCaracter"/>
        </w:rPr>
        <w:t>6</w:t>
      </w:r>
      <w:r>
        <w:t>. El Pleno, por providencia de 9 de octubre de 2015, acordó incorporar a los autos los escritos presentados por la Abogada de la Generalitat y el Letrado del Parlament de Cataluña y, atendida la solicitud de levantamiento inmediato de la suspensión acordada contenida en esos escritos, otorgar al Abogado del Estado un plazo de cinco días para que expusiera lo que estimara procedente acerca del mantenimiento o levantamiento de la suspensión.</w:t>
      </w:r>
    </w:p>
    <w:p w:rsidR="006B7292" w:rsidRDefault="006B7292" w:rsidP="006B7292">
      <w:pPr>
        <w:pStyle w:val="TextoNormal"/>
      </w:pPr>
    </w:p>
    <w:p w:rsidR="006B7292" w:rsidRDefault="006B7292" w:rsidP="006B7292">
      <w:pPr>
        <w:pStyle w:val="TextoNormal"/>
      </w:pPr>
      <w:r w:rsidRPr="006B7292">
        <w:rPr>
          <w:rStyle w:val="NumeroAFNegritaCaracter"/>
        </w:rPr>
        <w:t>7</w:t>
      </w:r>
      <w:r>
        <w:t>. El Abogado del Estado, por escrito registrado en este Tribunal el 21 de octubre de 2015, formuló sus alegaciones. En su opinión, de acuerdo con la jurisprudencia constitucional recaída en este tipo de incidentes, debe mantenerse la suspensión del inciso del precepto impugnado. A su juicio, el levantamiento de la suspensión produciría quebrantos tanto al interés general, en la medida en que la vigencia del impuesto afectaría negativamente al despliegue de las redes de comunicaciones electrónicas de nueva generación, con la consiguiente pérdida de crecimiento económico y competitividad, como al interés particular o privado, en la medida en que supondría una detracción de recursos a los prestadores de servicios de comunicaciones electrónicas en Cataluña que perjudicaría su capacidad de inversión. Justifica todo ello por referencia al informe emitido por la Secretaría de Estado de Telecomunicaciones y para la Sociedad de la Información que acompaña a su escrito de alegaciones.</w:t>
      </w:r>
    </w:p>
    <w:p w:rsidR="006B7292" w:rsidRDefault="006B7292" w:rsidP="006B7292">
      <w:pPr>
        <w:pStyle w:val="TextoNormal"/>
      </w:pPr>
    </w:p>
    <w:p w:rsidR="006B7292" w:rsidRDefault="006B7292" w:rsidP="006B7292">
      <w:pPr>
        <w:pStyle w:val="TextoNormal"/>
      </w:pPr>
      <w:r>
        <w:t>En relación con el primer perjuicio alegado, y según se manifiesta en el citado informe, recuerda que el pasado día 31 de marzo de 2015 ha finalizado de forma satisfactoria el proceso de liberación de la banda de frecuencias radioeléctricas de 790 a 862 MHz exigida por la normativa comunitaria, de modo que esas frecuencias, utilizadas hasta entonces para el servicio de radiodifusión televisiva, han pasado a estar destinadas a la prestación de nuevos servicios de comunicaciones electrónicas, que son considerados clave para la recuperación económica. Pero para que las ventajas del despliegue de las nuevas redes se materialicen, los operadores de comunicaciones electrónicas deben realizar importantes inversiones. Unas inversiones que dificulta el impuesto autonómico recurrido. Además, y en este mismo orden de perjuicios al interés general, el impuesto autonómico ocasionaría, siempre según el citado informe de la Secretaría de Estado de Telecomunicaciones y para la Sociedad de la Información, una distorsión del mercado de las comunicaciones electrónicas en cuanto no todos los operadores se encuentran en la misma situación de acceso al crédito, resultando especialmente complejo para los de menor tamaño acceder a la financiación externa. Finalmente, y aun dentro de la ponderación del interés general afectado, el impuesto autonómico provocaría también una clara distorsión al principio de unidad de mercado, pues para los operadores todo usuario en Cataluña representaría un gasto no repercutible, mientras que no lo sería en el resto del territorio nacional.</w:t>
      </w:r>
    </w:p>
    <w:p w:rsidR="006B7292" w:rsidRDefault="006B7292" w:rsidP="006B7292">
      <w:pPr>
        <w:pStyle w:val="TextoNormal"/>
      </w:pPr>
    </w:p>
    <w:p w:rsidR="006B7292" w:rsidRDefault="006B7292" w:rsidP="006B7292">
      <w:pPr>
        <w:pStyle w:val="TextoNormal"/>
      </w:pPr>
      <w:r>
        <w:t>Finalmente, en cuanto a los intereses particulares afectados, y según se acredita en el informe de la Secretaría de Estado de Telecomunicaciones y para la Sociedad de la Información, el alzamiento de la suspensión y la consiguiente aplicación del impuesto recurrido ocasionaría a los operadores una detracción de 24.240.000 € anuales, de acuerdo con el número de usuarios de banda ancha fija y móvil en Cataluña, que asciende a 8.080.000, multiplicado por la cuota tributaria, que es de 0,25 € por contrato de servicio.</w:t>
      </w:r>
    </w:p>
    <w:p w:rsidR="006B7292" w:rsidRDefault="006B7292" w:rsidP="006B7292">
      <w:pPr>
        <w:pStyle w:val="TextoNormal"/>
      </w:pPr>
    </w:p>
    <w:p w:rsidR="006B7292" w:rsidRDefault="006B7292" w:rsidP="006B7292">
      <w:pPr>
        <w:pStyle w:val="TextoNormal"/>
      </w:pPr>
      <w:r>
        <w:t>Frente a ello, termina el Abogado del Estado, el perjuicio que se produce según los letrados de la Generalitat y del Parlament de Cataluña, representado por la pérdida de ingresos para la comunidad autónoma, ni se ha acreditado a través de informe alguno, ni es comparable, para él, con las disfunciones que crea el impuesto en el sector de las telecomunicaciones, según ya se ha alegado.</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objeto de la presente resolución consiste en determinar si procede levantar o mantener la suspensión del capítulo I de la Ley del Parlamento de Cataluña 15/2014, de 4 de diciembre, del impuesto sobre la provisión de contenidos por parte de los prestadores de servicios de comunicaciones electrónicas y de fomento del sector y de la difusión de la cultura digital, que se encuentra suspendido en su aplicación como consecuencia de la invocación del art. 161.2 CE por el Presidente del Gobierno en su escrito de interposición del recurso de inconstitucionalidad.</w:t>
      </w:r>
    </w:p>
    <w:p w:rsidR="006B7292" w:rsidRDefault="006B7292" w:rsidP="006B7292">
      <w:pPr>
        <w:pStyle w:val="TextoNormal"/>
      </w:pPr>
    </w:p>
    <w:p w:rsidR="006B7292" w:rsidRDefault="006B7292" w:rsidP="006B7292">
      <w:pPr>
        <w:pStyle w:val="TextoNormal"/>
      </w:pPr>
      <w:r>
        <w:t>En su recurso, el Abogado del Estado considera que el impuesto regulado en ese capítulo de la Ley, que contiene los artículos 1 a 13, es inconstitucional por incurrir en la prohibición contenida en el art. 6.2 de la Ley Orgánica de financiación de las Comunidades Autónomas (LOFCA) al gravar un “hecho imponible” ya gravado por el Estado. Así, considera que “la disponibilidad del servicio de acceso a contenidos existentes en redes de comunicaciones electrónicas mediante la contratación con un operador de servicios”, que es el hecho imponible gravado por el impuesto autonómico según el art. 3.1 de la Ley recurrida, coincide con la prestación de “servicios de telecomunicación” y con los “servicios prestador por vía electrónica” definidos como hechos imponibles del impuesto sobre el valor añadido en los arts. 4 y 69.3, apartados 3 y 4, de la Ley 37/1992, de 28 de diciembre.</w:t>
      </w:r>
    </w:p>
    <w:p w:rsidR="006B7292" w:rsidRDefault="006B7292" w:rsidP="006B7292">
      <w:pPr>
        <w:pStyle w:val="TextoNormal"/>
      </w:pPr>
    </w:p>
    <w:p w:rsidR="006B7292" w:rsidRDefault="006B7292" w:rsidP="006B7292">
      <w:pPr>
        <w:pStyle w:val="TextoNormal"/>
      </w:pPr>
      <w:r w:rsidRPr="006B7292">
        <w:rPr>
          <w:rStyle w:val="NumeroAFNegritaCaracter"/>
        </w:rPr>
        <w:t>2</w:t>
      </w:r>
      <w:r>
        <w:t>. Expuestos los términos del recurso de inconstitucionalidad, cuyo contenido no compete resolver en este momento procesal, hemos de centrarnos en la cuestión de si procede o no procede levantar la suspensión de vigencia de las disposiciones impugnadas por el Estado, tal y como han solicitado las representaciones de la Generalitat y del Parlament de Cataluña. La solicitud de levantamiento anticipado de la suspensión sin esperar al transcurso de los cinco meses previstos en el art. 161.2 CE resulta viable procesalmente, pues, conforme a nuestra doctrina, los cinco meses a los que hace referencia el citado precepto constitucional son, precisamente, el límite máximo inicialmente previsto para la suspensión, incluyéndose entre las potestades de este Tribunal la de ratificar o levantar la suspensión dentro de ese plazo (por todos, ATC 88/2013, de 23 de abril, FJ 2, y los allí citados).</w:t>
      </w:r>
    </w:p>
    <w:p w:rsidR="006B7292" w:rsidRDefault="006B7292" w:rsidP="006B7292">
      <w:pPr>
        <w:pStyle w:val="TextoNormal"/>
      </w:pPr>
    </w:p>
    <w:p w:rsidR="006B7292" w:rsidRDefault="006B7292" w:rsidP="006B7292">
      <w:pPr>
        <w:pStyle w:val="TextoNormal"/>
      </w:pPr>
      <w:r>
        <w:t>Sobre este tipo de incidentes de suspensión es reiterada nuestra doctrina según la cual para su resolución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(así, entre otros muchos, AATC 157/2013, de 11 de julio, FJ 2; y 67/2015, de 14 de abril, FJ 1).</w:t>
      </w:r>
    </w:p>
    <w:p w:rsidR="006B7292" w:rsidRDefault="006B7292" w:rsidP="006B7292">
      <w:pPr>
        <w:pStyle w:val="TextoNormal"/>
      </w:pPr>
    </w:p>
    <w:p w:rsidR="006B7292" w:rsidRDefault="006B7292" w:rsidP="006B7292">
      <w:pPr>
        <w:pStyle w:val="TextoNormal"/>
      </w:pPr>
      <w:r w:rsidRPr="006B7292">
        <w:rPr>
          <w:rStyle w:val="NumeroAFNegritaCaracter"/>
        </w:rPr>
        <w:t>3</w:t>
      </w:r>
      <w:r>
        <w:t>. Así pues, de lo que se trata en este incidente es de dilucidar si los perjuicios que ha alegado el Abogado del Estado tienen la gravedad y la consistencia necesarias como para prevalecer sobre la presunción de constitucionalidad de la Ley catalana impugnada.</w:t>
      </w:r>
    </w:p>
    <w:p w:rsidR="006B7292" w:rsidRDefault="006B7292" w:rsidP="006B7292">
      <w:pPr>
        <w:pStyle w:val="TextoNormal"/>
      </w:pPr>
    </w:p>
    <w:p w:rsidR="006B7292" w:rsidRDefault="006B7292" w:rsidP="006B7292">
      <w:pPr>
        <w:pStyle w:val="TextoNormal"/>
      </w:pPr>
      <w:r>
        <w:t>Los concretos perjuicios que se derivarían, según el Abogado del Estado, del levantamiento de la suspensión han quedado detallados en el apartado de los antecedentes. Resumidamente, la representación del recurrente alega que la vigencia del impuesto detraería más de 24 millones de euros cada año a los prestadores de servicios de comunicaciones electrónicas (perjuicio al interés particular), lo que a su vez dificultaría la inversión de los operadores necesaria para el despliegue de las redes de comunicaciones electrónicas de nueva generación, que el Gobierno considera “clave” para la recuperación económica y para el crecimiento de la competitividad y del empleo en nuestra economía (quebranto para el interés general), además de distorsionar el principio de unidad de mercado.</w:t>
      </w:r>
    </w:p>
    <w:p w:rsidR="006B7292" w:rsidRDefault="006B7292" w:rsidP="006B7292">
      <w:pPr>
        <w:pStyle w:val="TextoNormal"/>
      </w:pPr>
    </w:p>
    <w:p w:rsidR="006B7292" w:rsidRDefault="006B7292" w:rsidP="006B7292">
      <w:pPr>
        <w:pStyle w:val="TextoNormal"/>
      </w:pPr>
      <w:r>
        <w:t>a) Por lo que respecta al primero de los perjuicios alegados, el particular o privado de los prestadores del servicio, que se vería damnificado o afectado por el gasto o la disminución de ingresos que para esos operadores representa el impuesto autonómico creado, este Tribunal ha valorado en ocasiones anteriores que “el reducido número de afectados por el tributo autonómico permite que, en caso de una eventual futura declaración de inconstitucionalidad de la norma legal impugnada, sea fácil la identificación de los afectados y la devolución del impuesto recaudado, razón por la cual las cargas y molestias que las operaciones de devolución pudieran producir respecto a los intereses particulares de las empresas afectadas deben ceder ante los más graves perjuicios que para los intereses generales de la Hacienda de la Comunidad Autónoma tendría la merma de los ingresos presupuestados” (AATC 173/2002, de 1 de octubre, FJ 3; 123/2013, de 21 de mayo, FJ 6; y 154/2013, de 9 de julio, FJ 5), mientras que por el contrario, cuando el número de sujetos afectados por una medida tributaria tiene “carácter masivo”, el carácter excesivamente oneroso de las cargas, molestias y costes que, en su caso, conllevarían las operaciones de devolución de las cantidades ya ingresadas, tanto para los sujetos afectados como para la propia Administración autonómica, sí pueden justificar la suspensión de la norma impugnada [ATC 142/2013, de 4 de junio, FJ 3 c), y 122/2013, de 21 de mayo, FJ 5 b)].</w:t>
      </w:r>
    </w:p>
    <w:p w:rsidR="006B7292" w:rsidRDefault="006B7292" w:rsidP="006B7292">
      <w:pPr>
        <w:pStyle w:val="TextoNormal"/>
      </w:pPr>
    </w:p>
    <w:p w:rsidR="006B7292" w:rsidRDefault="006B7292" w:rsidP="006B7292">
      <w:pPr>
        <w:pStyle w:val="TextoNormal"/>
      </w:pPr>
      <w:r>
        <w:t>Como en este caso, y según ha alegado la Generalitat de Cataluña, en una información no cuestionada por el Abogado del Estado, son solo dieciséis los sujetos afectados por el impuesto autonómico creado, y además estos operadores no pueden exigir a sus clientes, usuarios del servicio, el importe de las obligaciones tributarias satisfechas según expresamente prevé el art. 6.3 de la Ley recurrida (circunstancia que también hemos valorado en el citado ATC 173/2002, FJ 3), este primer perjuicio no puede justificar el mantenimiento de la suspensión.</w:t>
      </w:r>
    </w:p>
    <w:p w:rsidR="006B7292" w:rsidRDefault="006B7292" w:rsidP="006B7292">
      <w:pPr>
        <w:pStyle w:val="TextoNormal"/>
      </w:pPr>
    </w:p>
    <w:p w:rsidR="006B7292" w:rsidRDefault="006B7292" w:rsidP="006B7292">
      <w:pPr>
        <w:pStyle w:val="TextoNormal"/>
      </w:pPr>
      <w:r>
        <w:t>b) En cuanto al segundo, que atañe a los intereses generales en la medida en que ese quebranto económico ocasionado a los prestadores de servicios de comunicaciones electrónicas dificultaría el despliegue de las redes de comunicaciones electrónicas de nueva generación, que debe realizarse según la normativa del sector mediante inversiones de los propios operadores, hemos de efectuar dos precisiones.</w:t>
      </w:r>
    </w:p>
    <w:p w:rsidR="006B7292" w:rsidRDefault="006B7292" w:rsidP="006B7292">
      <w:pPr>
        <w:pStyle w:val="TextoNormal"/>
      </w:pPr>
    </w:p>
    <w:p w:rsidR="006B7292" w:rsidRDefault="006B7292" w:rsidP="006B7292">
      <w:pPr>
        <w:pStyle w:val="TextoNormal"/>
      </w:pPr>
      <w:r>
        <w:t>La primera, que la reducción de las inversiones de los operadores en esta concreta partida (despliegue de redes) y su relación de causalidad con el impuesto autonómico creado constituye una mera hipótesis no contrastada. No es irrelevante a estos efectos recordar el dato aportado por la Abogada de la Generalitat de Cataluña y extraído, dice, de la información facilitada por la Comisión Nacional de los Mercados y de las Comunicaciones, extremo que no ha cuestionado el Abogado del Estado. Según esa información oficial los ingresos obtenidos por los operadores solo por servicios de internet de banda ancha fija y móvil en España en el año 2012 ascendieron a 6.425,65 millones de euros, frente a los poco más de 24 millones de euros anuales que representa la recaudación por el impuesto creado (y recurrido), según los cálculos efectuados por el propio Abogado del Estado, y por tanto más favorables a su tesis (la Generalitat los cuantifica en 10,5 millones de euros). Del contraste entre estas cantidades no se deduce, por tanto, evidencia alguna de que ese gasto que representa el impuesto autonómico creado por la Ley recurrida pueda menoscabar o dificultar de manera relevante o trascendente el despliegue de las redes de comunicaciones electrónicas de nueva generación, teniendo en cuenta los ingresos que por este servicio obtienen los operadores.</w:t>
      </w:r>
    </w:p>
    <w:p w:rsidR="006B7292" w:rsidRDefault="006B7292" w:rsidP="006B7292">
      <w:pPr>
        <w:pStyle w:val="TextoNormal"/>
      </w:pPr>
    </w:p>
    <w:p w:rsidR="006B7292" w:rsidRDefault="006B7292" w:rsidP="006B7292">
      <w:pPr>
        <w:pStyle w:val="TextoNormal"/>
      </w:pPr>
      <w:r>
        <w:t>En todo caso, no es ocioso advertir que, pese a todo, mantiene el Gobierno de la Nación sus competencias sobre la materia, y así la Ley 9/2014, de 9 de mayo, general de telecomunicaciones define como uno de sus objetivos “promover el despliegue de redes” [art. 3 c)] siendo este objetivo un título que habilita, e incluso obliga al Gobierno a desarrollar políticas de fomento con el referido fin de conseguir el despliegue de redes de nueva generación, de acuerdo con las disposiciones adicionales decimoséptima y decimoctava de la misma Ley. Según estas disposiciones el Gobierno “desarrollará un plan con medidas para potenciar la innovación en el ámbito de las tecnologías de la información y las comunicaciones” (disposición adicional decimoséptima) y asimismo “establecerá una Estrategia Nacional de Redes Ultrarrápidas que tenga como objetivo impulsar el despliegue de redes de acceso ultrarrápido a la banda ancha, tanto fijo como móvil, de cara a lograr su universalización” (disposición adicional decimoctava), estrategia que le permite “identificar aquellas zonas donde existan brechas de mercado” (párrafo tercero de la citada disposición) y actuar en consecuencia (art. 9 de la Ley).</w:t>
      </w:r>
    </w:p>
    <w:p w:rsidR="006B7292" w:rsidRDefault="006B7292" w:rsidP="006B7292">
      <w:pPr>
        <w:pStyle w:val="TextoNormal"/>
      </w:pPr>
    </w:p>
    <w:p w:rsidR="006B7292" w:rsidRDefault="006B7292" w:rsidP="006B7292">
      <w:pPr>
        <w:pStyle w:val="TextoNormal"/>
      </w:pPr>
      <w:r>
        <w:t>Por lo tanto, y a estos efectos meramente cautelares, no se aprecia que exista un vínculo consistente, que permita anudar al levantamiento de la suspensión, y consiguiente aplicación del impuesto recurrido, el efecto de producir una inmediata reducción o paralización del despliegue de las redes de comunicaciones de nueva generación de forma tal que cause un perjuicio de imposible o muy difícil reparación para la deseada (por el legislador) universalización del acceso a redes ultrarrápidas (disposición adicional decimoctava de la Ley general de telecomunicaciones), o que afecte de un modo tan relevante o trascendente a las indudables ventajas que estas nuevas tecnologías representan como para prevalecer sobre la presunción de legitimidad de la Ley recurrida (AATC 153/2013, FJ 3; y 154/2013, FJ 4).</w:t>
      </w:r>
    </w:p>
    <w:p w:rsidR="006B7292" w:rsidRDefault="006B7292" w:rsidP="006B7292">
      <w:pPr>
        <w:pStyle w:val="TextoNormal"/>
      </w:pPr>
    </w:p>
    <w:p w:rsidR="006B7292" w:rsidRDefault="006B7292" w:rsidP="006B7292">
      <w:pPr>
        <w:pStyle w:val="TextoNormal"/>
      </w:pPr>
      <w:r>
        <w:t>c) Finalmente, las distorsiones en el principio de unidad de mercado alegadas sin mayor adición ni argumentación adicional por el Abogado del Estado no pueden justificar tampoco el mantenimiento de la suspensión, pues por esta vía podría llegar a suspenderse con carácter meramente cautelar cualquier medida legislativa de las comunidades autónomas. Como se recuerda en el ATC 80/2008, de 11 de marzo, FJ 6, para que esta clase de perjuicio pueda ser tomado en consideración es necesario “que esa afirmación haya venido acompañada de una justificación concreta de los perjuicios de imposible o difícil reparación que habrían de producirse por la mera existencia de una diversidad regulatoria”, una diversidad que, por otra parte, “es consustancial con el carácter autonómico de nuestro Estado”.</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Levantar la suspensión del capítulo I de la Ley del Parlamento de Cataluña 15/2014, de 4 de diciembre, del impuesto sobre la provisión de contenidos por parte de los prestadores de servicios de comunicaciones electrónicas y de fomento del sector y de la difusión de la cultura digital.</w:t>
      </w:r>
    </w:p>
    <w:p w:rsidR="006B7292" w:rsidRDefault="006B7292" w:rsidP="006B7292">
      <w:pPr>
        <w:pStyle w:val="TextoNormal"/>
      </w:pPr>
    </w:p>
    <w:p w:rsidR="006B7292" w:rsidRDefault="006B7292" w:rsidP="006B7292">
      <w:pPr>
        <w:pStyle w:val="TextoNormal"/>
      </w:pPr>
      <w:r>
        <w:t>Madrid, a dieciocho de noviembre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11" w:name="AUTO_2015_197"/>
      <w:r>
        <w:t>AUTO 197/2015, de 30 de noviembre de 2015</w:t>
      </w:r>
    </w:p>
    <w:bookmarkEnd w:id="211"/>
    <w:p w:rsidR="006B7292" w:rsidRDefault="006B7292" w:rsidP="006B7292">
      <w:pPr>
        <w:pStyle w:val="TtuloResolucin"/>
      </w:pPr>
      <w:r>
        <w:t>Sala Segunda</w:t>
      </w:r>
    </w:p>
    <w:p w:rsidR="006B7292" w:rsidRDefault="006B7292" w:rsidP="006B7292">
      <w:pPr>
        <w:pStyle w:val="TextoNormalCentrado"/>
      </w:pPr>
      <w:r>
        <w:t>ECLI:ES:TC:2015:197A</w:t>
      </w:r>
    </w:p>
    <w:p w:rsidR="006B7292" w:rsidRDefault="006B7292" w:rsidP="006B7292">
      <w:pPr>
        <w:pStyle w:val="TextoNormalCentrado"/>
      </w:pPr>
    </w:p>
    <w:p w:rsidR="006B7292" w:rsidRDefault="006B7292" w:rsidP="006B7292">
      <w:pPr>
        <w:pStyle w:val="SntesisDescriptiva"/>
      </w:pPr>
      <w:r>
        <w:t>Excms. Srs. doña Adela Asua Batarrita, don Fernando Valdés Dal-Ré, don Juan José González Rivas,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Inadmite el incidente de ejecución de la STC 138/2014, de 8 de septiembre, dictada en el recurso de amparo 5167-2013, promovido por don P.R.R. en pleito civil.</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La Procuradora de los Tribunales doña María Fuencisla Martínez Mínguez, en nombre y representación de don P. R. R., por escrito de fecha 20 de mayo de 2015, promovió, al amparo del art. 92 de la Ley Orgánica del Tribunal Constitucional (LOTC), incidente de ejecución de la STC 138/2014, de 8 de septiembre, dictada por la Sala Segunda de este Tribunal en el recurso de amparo núm. 5167-2013, por entender que se había producido por parte del órgano judicial la contravención de la misma.</w:t>
      </w:r>
    </w:p>
    <w:p w:rsidR="006B7292" w:rsidRDefault="006B7292" w:rsidP="006B7292">
      <w:pPr>
        <w:pStyle w:val="TextoNormal"/>
      </w:pPr>
    </w:p>
    <w:p w:rsidR="006B7292" w:rsidRDefault="006B7292" w:rsidP="006B7292">
      <w:pPr>
        <w:pStyle w:val="TextoNormal"/>
      </w:pPr>
      <w:r w:rsidRPr="006B7292">
        <w:rPr>
          <w:rStyle w:val="NumeroAFNegritaCaracter"/>
        </w:rPr>
        <w:t>2</w:t>
      </w:r>
      <w:r>
        <w:t>. El incidente de ejecución tiene su origen en los siguientes antecedentes:</w:t>
      </w:r>
    </w:p>
    <w:p w:rsidR="006B7292" w:rsidRDefault="006B7292" w:rsidP="006B7292">
      <w:pPr>
        <w:pStyle w:val="TextoNormal"/>
      </w:pPr>
    </w:p>
    <w:p w:rsidR="006B7292" w:rsidRDefault="006B7292" w:rsidP="006B7292">
      <w:pPr>
        <w:pStyle w:val="TextoNormal"/>
      </w:pPr>
      <w:r>
        <w:t xml:space="preserve">a) El demandante presentó, en fecha 10 de septiembre de 2013, recurso de amparo contra la Sentencia de 13 de febrero de 2012, dictada por el Juzgado de Primera Instancia núm. 3 de Mérida, en los autos de juicio verbal núm. 525-2011, así como contra la Sentencia de 12 de julio de 2012, dictada por la Sección Tercera de la Audiencia Provincial de Badajoz en el recurso de apelación núm. 200-2012, y el Auto de 18 de junio de 2013, dictado por la Sala de lo Civil del Tribunal Supremo, en el recurso de casación núm. 2606-2012, alegando que las citadas resoluciones lesionaron el art. 24.1 CE, en relación con el art. 39 CE y el principio del </w:t>
      </w:r>
      <w:r w:rsidRPr="006B7292">
        <w:rPr>
          <w:i/>
        </w:rPr>
        <w:t>favor filii</w:t>
      </w:r>
      <w:r>
        <w:t>, al llevar a cabo una interpretación irracional de los arts. 94 y 160 del Código civil, como consecuencia de reconocer en favor de los abuelos maternos un régimen de comunicación y estancia con sus hijos menores igual al que le correspondería al progenitor no custodio.</w:t>
      </w:r>
    </w:p>
    <w:p w:rsidR="006B7292" w:rsidRDefault="006B7292" w:rsidP="006B7292">
      <w:pPr>
        <w:pStyle w:val="TextoNormal"/>
      </w:pPr>
    </w:p>
    <w:p w:rsidR="006B7292" w:rsidRDefault="006B7292" w:rsidP="006B7292">
      <w:pPr>
        <w:pStyle w:val="TextoNormal"/>
      </w:pPr>
      <w:r>
        <w:t>b) El recurso de amparo fue resuelto por la STC 138/2014, de 8 de septiembre, que otorgó el amparo por vulneración del derecho a la tutela judicial efectiva (art. 24.1 CE).</w:t>
      </w:r>
      <w:r>
        <w:tab/>
        <w:t>El fallo de la Sentencia contiene los siguientes pronunciamientos:</w:t>
      </w:r>
    </w:p>
    <w:p w:rsidR="006B7292" w:rsidRDefault="006B7292" w:rsidP="006B7292">
      <w:pPr>
        <w:pStyle w:val="TextoNormal"/>
      </w:pPr>
    </w:p>
    <w:p w:rsidR="006B7292" w:rsidRDefault="006B7292" w:rsidP="006B7292">
      <w:pPr>
        <w:pStyle w:val="TextoNormal"/>
      </w:pPr>
      <w:r>
        <w:t>“1º Declarar vulnerado el derecho del recurrente a la tutela judicial efectiva (art. 24.l CE).</w:t>
      </w:r>
    </w:p>
    <w:p w:rsidR="006B7292" w:rsidRDefault="006B7292" w:rsidP="006B7292">
      <w:pPr>
        <w:pStyle w:val="TextoNormal"/>
      </w:pPr>
    </w:p>
    <w:p w:rsidR="006B7292" w:rsidRDefault="006B7292" w:rsidP="006B7292">
      <w:pPr>
        <w:pStyle w:val="TextoNormal"/>
      </w:pPr>
      <w:r>
        <w:t>2° Restablecer en su derecho y, a tal fin, declarar la nulidad de la Sentencia de 13 de febrero de 2012, dictada por el Juzgado de Primera Instancia núm. 3 de Mérida en juicio verbal 525-2011, así como de la sentencia de 12 de julio de 2012 dictada por la Sección Tercera de la Audiencia Provincial de Badajoz en recurso de apelación 200-2012 y del Auto de la Sala Primera del Tribunal Supremo de fecha 18 de junio de 2013.</w:t>
      </w:r>
    </w:p>
    <w:p w:rsidR="006B7292" w:rsidRDefault="006B7292" w:rsidP="006B7292">
      <w:pPr>
        <w:pStyle w:val="TextoNormal"/>
      </w:pPr>
    </w:p>
    <w:p w:rsidR="006B7292" w:rsidRDefault="006B7292" w:rsidP="006B7292">
      <w:pPr>
        <w:pStyle w:val="TextoNormal"/>
      </w:pPr>
      <w:r>
        <w:t>3º Retrotraer las actuaciones al momento anterior a haberse dictado la primera de las referidas resoluciones, para que se dicte una nueva resolución judicial respetuosa con el derecho fundamental vulnerado.”</w:t>
      </w:r>
    </w:p>
    <w:p w:rsidR="006B7292" w:rsidRDefault="006B7292" w:rsidP="006B7292">
      <w:pPr>
        <w:pStyle w:val="TextoNormal"/>
      </w:pPr>
    </w:p>
    <w:p w:rsidR="006B7292" w:rsidRDefault="006B7292" w:rsidP="006B7292">
      <w:pPr>
        <w:pStyle w:val="TextoNormal"/>
      </w:pPr>
      <w:r>
        <w:t>c) Notificada la Sentencia de amparo, el Juzgado de Primera Instancia núm. 3 de Mérida procedió a dictar nueva Sentencia en fecha 22 de diciembre de 2014. En el nuevo fallo se acordó estimar en su totalidad la demanda en su día interpuesta por la representación procesal de doña M. E. A. G. y don I. R. G. contra don P. R. R., reconociendo a los primeros, en su condición de abuelos maternos de los dos hijos menores de edad del demandado, el mismo régimen de visitas y estancia que se había establecido en la anterior Sentencia de fecha 13 de febrero de 2012.</w:t>
      </w:r>
    </w:p>
    <w:p w:rsidR="006B7292" w:rsidRDefault="006B7292" w:rsidP="006B7292">
      <w:pPr>
        <w:pStyle w:val="TextoNormal"/>
      </w:pPr>
    </w:p>
    <w:p w:rsidR="006B7292" w:rsidRDefault="006B7292" w:rsidP="006B7292">
      <w:pPr>
        <w:pStyle w:val="TextoNormal"/>
      </w:pPr>
      <w:r>
        <w:t xml:space="preserve">d) En su escrito de planteamiento del incidente de ejecución, la representación procesal de don P. R. R. denuncia que la nueva Sentencia dictada por el Juzgado de Primera Instancia núm. 3 de Mérida, de fecha 22 de diciembre de 2014, infringió lo decidido en la STC 138/2014. Sostiene dicho escrito que la nueva Sentencia ha reproducido de forma mimética el régimen de visitas y estancia fijado en la Sentencia anulada por este Tribunal. A juicio del recurrente, el Juez </w:t>
      </w:r>
      <w:r w:rsidRPr="006B7292">
        <w:rPr>
          <w:i/>
        </w:rPr>
        <w:t>a quo</w:t>
      </w:r>
      <w:r>
        <w:t xml:space="preserve"> llevó a cabo una ponderación meramente formal, vulnerando el mandato contenido en la STC 138/2014 de tomar en cuenta el interés de los menores, sin dar explicación suficiente y sin concretar los elementos del acervo probatorio que determinan la idoneidad desde la perspectiva del interés del menor, según se afirmaba en la Sentencia de este Tribunal. Denuncia, además, que la Juez </w:t>
      </w:r>
      <w:r w:rsidRPr="006B7292">
        <w:rPr>
          <w:i/>
        </w:rPr>
        <w:t>a quo</w:t>
      </w:r>
      <w:r>
        <w:t xml:space="preserve"> no tuvo en cuenta el contenido de las actas de exploración de los dos menores que obraban en el expediente ni dice nada al respecto. Además, llama la atención sobre el argumento sostenido en la nueva sentencia, según el cual “el régimen que se estimaba adecuado haya dejado de serlo por haber variado las circunstancias”, a pesar de lo cual, habiendo tenido la Juez </w:t>
      </w:r>
      <w:r w:rsidRPr="006B7292">
        <w:rPr>
          <w:i/>
        </w:rPr>
        <w:t>a quo</w:t>
      </w:r>
      <w:r>
        <w:t xml:space="preserve"> la posibilidad de practicar actuaciones con carácter previo al dictado de esta nueva Sentencia, como hubiera sido una nueva exploración de los menores, acaba concluyendo que lo que dispone en su nueva sentencia no es lo adecuado.</w:t>
      </w:r>
    </w:p>
    <w:p w:rsidR="006B7292" w:rsidRDefault="006B7292" w:rsidP="006B7292">
      <w:pPr>
        <w:pStyle w:val="TextoNormal"/>
      </w:pPr>
    </w:p>
    <w:p w:rsidR="006B7292" w:rsidRDefault="006B7292" w:rsidP="006B7292">
      <w:pPr>
        <w:pStyle w:val="TextoNormal"/>
      </w:pPr>
      <w:r>
        <w:t xml:space="preserve">Sostiene el recurrente que si no era adecuado no cabía justificación alguna para su adopción, vulnerándose con ello el mandato constitucional de individualización del interés del menor. Termina afirmando que la nueva sentencia vulnera el art. 39 CE, que reconoce el derecho prioritario y prevalente a tener en cuenta el interés del menor y el derecho a la tutela judicial efectiva (art. 24 CE). La nueva Sentencia, afirma, debe considerarse inmotivada, arbitraria o irrazonable, en la medida en que demuestra una clara resistencia y cuestionamiento hacia la doctrina constitucional, y vuelve a vulnerar el derecho al </w:t>
      </w:r>
      <w:r w:rsidRPr="006B7292">
        <w:rPr>
          <w:i/>
        </w:rPr>
        <w:t>favor filii</w:t>
      </w:r>
      <w:r>
        <w:t>, al efectuar una ponderación meramente aparente o formal, haciendo prevalecer el interés de los abuelos respecto de los menores. Suplica que se declare la nulidad de la Sentencia de 22 de diciembre de 2014, dictada por el Juzgado de Primera Instancia núm. 3 de Mérida, y que se adopten “las medidas ejecutivas que fueren procedentes incluso, proponiéndolo al efecto, excluyendo la posibilidad de que se dicte nueva resolución en el proceso seguido ante dicho Juzgado.”</w:t>
      </w:r>
    </w:p>
    <w:p w:rsidR="006B7292" w:rsidRDefault="006B7292" w:rsidP="006B7292">
      <w:pPr>
        <w:pStyle w:val="TextoNormal"/>
      </w:pPr>
    </w:p>
    <w:p w:rsidR="006B7292" w:rsidRDefault="006B7292" w:rsidP="006B7292">
      <w:pPr>
        <w:pStyle w:val="TextoNormal"/>
      </w:pPr>
      <w:r w:rsidRPr="006B7292">
        <w:rPr>
          <w:rStyle w:val="NumeroAFNegritaCaracter"/>
        </w:rPr>
        <w:t>3</w:t>
      </w:r>
      <w:r>
        <w:t>. La Sala Segunda de este Tribunal acordó, por resolución de fecha 21 de mayo de 2015, admitir a trámite el incidente de ejecución y dar traslado al Ministerio Fiscal y al Juzgado de Primera Instancia núm. 3 de Mérida para que efectuasen las alegaciones que estimasen pertinentes.</w:t>
      </w:r>
    </w:p>
    <w:p w:rsidR="006B7292" w:rsidRDefault="006B7292" w:rsidP="006B7292">
      <w:pPr>
        <w:pStyle w:val="TextoNormal"/>
      </w:pPr>
    </w:p>
    <w:p w:rsidR="006B7292" w:rsidRDefault="006B7292" w:rsidP="006B7292">
      <w:pPr>
        <w:pStyle w:val="TextoNormal"/>
      </w:pPr>
      <w:r w:rsidRPr="006B7292">
        <w:rPr>
          <w:rStyle w:val="NumeroAFNegritaCaracter"/>
        </w:rPr>
        <w:t>4</w:t>
      </w:r>
      <w:r>
        <w:t>. Tras dos escritos del Ministerio Fiscal de 16 y 29 de junio de 2015 en que solicitaba que remitiera copia certificada de la Sentencia de fecha 22 de diciembre de 2014, dictada en los autos de juicio verbal núm. 525-2011, así como certificación de la firmeza o no de la misma, y un escrito del promotor del incidente al que acompañaba copia simple de tal Sentencia, y recabados tales documentos por diligencia de ordenación de 17 de junio 2015, el 9 de julio de 2015 tuvo entrada oficio procedente del Juzgado de Primera Instancia núm. 3 de Mérida al que se acompaña certificación de la Sentencia con expresión de que no es firme al haberse interpuesto recurso de apelación, así como diligencia de ordenación del Secretario Judicial de dicho Juzgado en la que se tiene por interpuesto recurso de apelación.</w:t>
      </w:r>
    </w:p>
    <w:p w:rsidR="006B7292" w:rsidRDefault="006B7292" w:rsidP="006B7292">
      <w:pPr>
        <w:pStyle w:val="TextoNormal"/>
      </w:pPr>
    </w:p>
    <w:p w:rsidR="006B7292" w:rsidRDefault="006B7292" w:rsidP="006B7292">
      <w:pPr>
        <w:pStyle w:val="TextoNormal"/>
      </w:pPr>
      <w:r w:rsidRPr="006B7292">
        <w:rPr>
          <w:rStyle w:val="NumeroAFNegritaCaracter"/>
        </w:rPr>
        <w:t>5</w:t>
      </w:r>
      <w:r>
        <w:t>. El Ministerio Fiscal, en escrito de 30 de julio de 2015, ha informado en el sentido de que procede inadmitir el incidente de ejecución al haberse simultaneado el mismo con el recurso de apelación, lo que viene impuesto por el requisito de la subsidiariedad del recurso de amparo, con cita del ATC 205/2007, de 16 de abril.</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Único. De acuerdo con lo expresado en los antecedentes y como destaca el Ministerio Fiscal, el presente incidente de ejecución, promovido al amparo de lo dispuesto en el art. 92 de la Ley Orgánica del Tribunal Constitucional (LOTC), está simultaneándose con la vía judicial ordinaria al no constar finalizado el recurso de apelación interpuesto contra la Sentencia de 22 de diciembre de 2014, dictada por el Juzgado de primera Instancia núm. 3 de Mérida, contra la que se dirige también este incidente. Ello determina que deba inadmitirse el mismo en aplicación de las exigencias de subsidiariedad de la jurisdicción de amparo [art. 44.1 a) LOTC], que impiden un pronunciamiento sobre el fondo en tanto que la misma cuestión que ahora se plantea se encuentra pendiente de decisión en la vía judicial, tal y como resolvió el precedente ATC 205/2007, de 16 de abril.</w:t>
      </w:r>
    </w:p>
    <w:p w:rsidR="006B7292" w:rsidRDefault="006B7292" w:rsidP="006B7292">
      <w:pPr>
        <w:pStyle w:val="TextoNormal"/>
      </w:pPr>
    </w:p>
    <w:p w:rsidR="006B7292" w:rsidRDefault="006B7292" w:rsidP="006B7292">
      <w:pPr>
        <w:pStyle w:val="TextoNormal"/>
      </w:pPr>
      <w:r>
        <w:t>Por todo lo expuesto, la Sala</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Inadmitir el incidente de ejecución de la STC 138/2014, de 8 de septiembre, dictada en el recurso de amparo núm. 5167-2013, identificado en los antecedentes de esta resolución.</w:t>
      </w:r>
    </w:p>
    <w:p w:rsidR="006B7292" w:rsidRDefault="006B7292" w:rsidP="006B7292">
      <w:pPr>
        <w:pStyle w:val="TextoNormal"/>
      </w:pPr>
    </w:p>
    <w:p w:rsidR="006B7292" w:rsidRDefault="006B7292" w:rsidP="006B7292">
      <w:pPr>
        <w:pStyle w:val="TextoNormal"/>
      </w:pPr>
      <w:r>
        <w:t>Madrid, a treinta de noviembre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12" w:name="AUTO_2015_198"/>
      <w:r>
        <w:t>AUTO 198/2015, de 30 de noviembre de 2015</w:t>
      </w:r>
    </w:p>
    <w:bookmarkEnd w:id="212"/>
    <w:p w:rsidR="006B7292" w:rsidRDefault="006B7292" w:rsidP="006B7292">
      <w:pPr>
        <w:pStyle w:val="TtuloResolucin"/>
      </w:pPr>
      <w:r>
        <w:t>Sala Primera</w:t>
      </w:r>
    </w:p>
    <w:p w:rsidR="006B7292" w:rsidRDefault="006B7292" w:rsidP="006B7292">
      <w:pPr>
        <w:pStyle w:val="TextoNormalCentrado"/>
      </w:pPr>
      <w:r>
        <w:t>ECLI:ES:TC:2015:198A</w:t>
      </w:r>
    </w:p>
    <w:p w:rsidR="006B7292" w:rsidRDefault="006B7292" w:rsidP="006B7292">
      <w:pPr>
        <w:pStyle w:val="TextoNormalCentrado"/>
      </w:pPr>
    </w:p>
    <w:p w:rsidR="006B7292" w:rsidRDefault="006B7292" w:rsidP="006B7292">
      <w:pPr>
        <w:pStyle w:val="SntesisDescriptiva"/>
      </w:pPr>
      <w:r>
        <w:t>Excms. Srs. don Francisco Pérez de los Cobos Orihuel, doña Encarnación Roca Trías, don Andrés Ollero Tassara, don Santiago Martínez-Vares García y don Juan Antonio Xiol Ríos.</w:t>
      </w:r>
    </w:p>
    <w:p w:rsidR="006B7292" w:rsidRDefault="006B7292" w:rsidP="006B7292">
      <w:pPr>
        <w:pStyle w:val="SntesisDescriptiva"/>
      </w:pPr>
    </w:p>
    <w:p w:rsidR="006B7292" w:rsidRDefault="006B7292" w:rsidP="006B7292">
      <w:pPr>
        <w:pStyle w:val="SntesisDescriptiva"/>
      </w:pPr>
      <w:r>
        <w:t>Rectifica el error material en cuanto al número de autos 1153-2013 solicitado en el recurso de amparo 6312-2014, promovido por doña R. C. M. Segura en pleito civil.</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presentado en el Registro General de este Tribunal el día 21 de octubre de 2014, la Procuradora de los Tribunales doña María Amparo Alonso León, en nombre y representación de doña R. C. M. Segura, interpuso recurso de amparo contra el Auto de fecha de 9 de enero de 2014, dictado por el Juzgado de Primera Instancia núm. 16 de Granada, que acordó no admitir a trámite el incidente de nulidad de actuaciones por ella promovido en el procedimiento de oposición de medidas de menores (autos núm. 1634-2013) y contra el Auto de la Sección Quinta de la Audiencia Provincial de Granada, de 3 de septiembre de 2014, recaído en recurso de apelación núm. 157-2014, solicitando como medida cautelar urgente la suspensión del procedimiento sobre oposición a la adopción seguido igualmente ante el Juzgado de Primera Instancia núm. 16 de Granada bajo los autos núm. 1153-2013 y señalado para el próximo día 27 de noviembre de 2015.</w:t>
      </w:r>
    </w:p>
    <w:p w:rsidR="006B7292" w:rsidRDefault="006B7292" w:rsidP="006B7292">
      <w:pPr>
        <w:pStyle w:val="TextoNormal"/>
      </w:pPr>
    </w:p>
    <w:p w:rsidR="006B7292" w:rsidRDefault="006B7292" w:rsidP="006B7292">
      <w:pPr>
        <w:pStyle w:val="TextoNormal"/>
      </w:pPr>
      <w:r w:rsidRPr="006B7292">
        <w:rPr>
          <w:rStyle w:val="NumeroAFNegritaCaracter"/>
        </w:rPr>
        <w:t>2</w:t>
      </w:r>
      <w:r>
        <w:t>. El Tribunal Constitucional, en virtud de Auto, de fecha de 2 de noviembre de 2015, acordó “otorgar la suspensión cautelar del procedimiento de adopción incoado ante el Juzgado de Primera Instancia núm. 16 de Granada, con el núm. de autos 599-11, y del incidente de oposición a la adopción seguido bajo los autos núm. 1634-2013, sin perjuicio de las medidas que puedan adoptarse al respecto por la jurisdicción ordinaria”.</w:t>
      </w:r>
    </w:p>
    <w:p w:rsidR="006B7292" w:rsidRDefault="006B7292" w:rsidP="006B7292">
      <w:pPr>
        <w:pStyle w:val="TextoNormal"/>
      </w:pPr>
    </w:p>
    <w:p w:rsidR="006B7292" w:rsidRDefault="006B7292" w:rsidP="006B7292">
      <w:pPr>
        <w:pStyle w:val="TextoNormal"/>
      </w:pPr>
      <w:r w:rsidRPr="006B7292">
        <w:rPr>
          <w:rStyle w:val="NumeroAFNegritaCaracter"/>
        </w:rPr>
        <w:t>3</w:t>
      </w:r>
      <w:r>
        <w:t>. Por escrito de 4 de noviembre de 2015, la Procuradora de los Tribunales doña María Amparo Alonso León, en nombre y representación de doña R. C. M. Segura, solicita la rectificación del número de autos relativo al incidente de oposición a la adopción, al observar en el fallo un mero error material. Se alega que en la parte dispositiva del referido Auto del Tribunal Constitucional, de 2 de noviembre de 2015, se indica como número de autos relativo al incidente de oposición a la adopción el 1634-2013, cuando éstos se corresponden con el incidente de nulidad de actuaciones respecto de la sentencia dictada en el procedimiento de acogimiento, siendo el número correcto de autos sobre el incidente de oposición a la adopción los 1153-2013.</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art. 93.1 de la Ley Orgánica del Tribunal Constitucional establece que en el plazo de dos días, a contar desde la notificación, las partes podrán solicitar la aclaración de la sentencia. Esta actuación judicial, de acuerdo con el art. 267.1 de la Ley Orgánica del Poder Judicial, deberá limitarse a “aclarar algún concepto oscuro y suplir cualquier omisión que contengan” sobre puntos discutidos en el litigio, siendo posible también rectificar los errores materiales manifiestos y los aritméticos allí contenidos, pero no podrá suponer, sin embargo, variación o modificación de la resolución judicial (entre otros, AATC 363/2007, de 11 de septiembre; 439/2006, de 11 de diciembre; 70/2008, de 26 de febrero; 32/2010, de 2 de marzo, y 134/2013, de 3 de junio).</w:t>
      </w:r>
    </w:p>
    <w:p w:rsidR="006B7292" w:rsidRDefault="006B7292" w:rsidP="006B7292">
      <w:pPr>
        <w:pStyle w:val="TextoNormal"/>
      </w:pPr>
    </w:p>
    <w:p w:rsidR="006B7292" w:rsidRDefault="006B7292" w:rsidP="006B7292">
      <w:pPr>
        <w:pStyle w:val="TextoNormal"/>
      </w:pPr>
      <w:r w:rsidRPr="006B7292">
        <w:rPr>
          <w:rStyle w:val="NumeroAFNegritaCaracter"/>
        </w:rPr>
        <w:t>2</w:t>
      </w:r>
      <w:r>
        <w:t>. La parte solicita la rectificación de un error material contenido en la parte dispositiva del Auto, de fecha de 2 de noviembre de 2015, en relación con el número de autos del incidente de oposición a la adopción seguido ante el Juzgado de Primera Instancia núm. 16 de Granada. Constando el error material advertido, procede la rectificación solicitada. Por ello, donde dice “autos núm. 1634-2013” en relación con el incidente de oposición a la adopción, debe decir “autos núm. 1153-2013”.</w:t>
      </w:r>
    </w:p>
    <w:p w:rsidR="006B7292" w:rsidRDefault="006B7292" w:rsidP="006B7292">
      <w:pPr>
        <w:pStyle w:val="TextoNormal"/>
      </w:pPr>
    </w:p>
    <w:p w:rsidR="006B7292" w:rsidRDefault="006B7292" w:rsidP="006B7292">
      <w:pPr>
        <w:pStyle w:val="TextoNormal"/>
      </w:pPr>
      <w:r>
        <w:t>Por todo lo expuesto, la Sala</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Rectificar el error material en cuanto al número de autos 1153-2013 relativo al incidente de oposición a la adopción seguido ante el Juzgado de Primera Instancia núm. 16 de Granada. Así, donde dice “autos 1634-2013” en relación con el incidente de oposición a la adopción, debe decir “autos 1153-2013”.</w:t>
      </w:r>
    </w:p>
    <w:p w:rsidR="006B7292" w:rsidRDefault="006B7292" w:rsidP="006B7292">
      <w:pPr>
        <w:pStyle w:val="TextoNormal"/>
      </w:pPr>
    </w:p>
    <w:p w:rsidR="006B7292" w:rsidRDefault="006B7292" w:rsidP="006B7292">
      <w:pPr>
        <w:pStyle w:val="TextoNormal"/>
      </w:pPr>
      <w:r>
        <w:t>Madrid, a treinta de noviembre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13" w:name="AUTO_2015_199"/>
      <w:r>
        <w:t>AUTO 199/2015, de 30 de noviembre de 2015</w:t>
      </w:r>
    </w:p>
    <w:bookmarkEnd w:id="213"/>
    <w:p w:rsidR="006B7292" w:rsidRDefault="006B7292" w:rsidP="006B7292">
      <w:pPr>
        <w:pStyle w:val="TtuloResolucin"/>
      </w:pPr>
      <w:r>
        <w:t>Sección Segunda</w:t>
      </w:r>
    </w:p>
    <w:p w:rsidR="006B7292" w:rsidRDefault="006B7292" w:rsidP="006B7292">
      <w:pPr>
        <w:pStyle w:val="TextoNormalCentrado"/>
      </w:pPr>
      <w:r>
        <w:t>ECLI:ES:TC:2015:199A</w:t>
      </w:r>
    </w:p>
    <w:p w:rsidR="006B7292" w:rsidRDefault="006B7292" w:rsidP="006B7292">
      <w:pPr>
        <w:pStyle w:val="TextoNormalCentrado"/>
      </w:pPr>
    </w:p>
    <w:p w:rsidR="006B7292" w:rsidRDefault="006B7292" w:rsidP="006B7292">
      <w:pPr>
        <w:pStyle w:val="SntesisDescriptiva"/>
      </w:pPr>
      <w:r>
        <w:t>Excms. Srs. don Andrés Ollero Tassara y don Santiago Martínez-Vares García.</w:t>
      </w:r>
    </w:p>
    <w:p w:rsidR="006B7292" w:rsidRDefault="006B7292" w:rsidP="006B7292">
      <w:pPr>
        <w:pStyle w:val="SntesisDescriptiva"/>
      </w:pPr>
    </w:p>
    <w:p w:rsidR="006B7292" w:rsidRDefault="006B7292" w:rsidP="006B7292">
      <w:pPr>
        <w:pStyle w:val="TtuloResolucin"/>
      </w:pPr>
      <w:r>
        <w:t>*Este auto no incorpora doctrina constitucional.</w:t>
      </w:r>
    </w:p>
    <w:p w:rsidR="006B7292" w:rsidRDefault="006B7292">
      <w:pPr>
        <w:spacing w:after="160" w:line="259" w:lineRule="auto"/>
        <w:rPr>
          <w:rFonts w:ascii="Times New Roman" w:eastAsia="Times New Roman" w:hAnsi="Times New Roman" w:cs="Times New Roman"/>
          <w:b/>
          <w:sz w:val="24"/>
          <w:szCs w:val="24"/>
          <w:lang w:eastAsia="es-ES"/>
        </w:rPr>
      </w:pPr>
      <w:r>
        <w:br w:type="page"/>
      </w:r>
    </w:p>
    <w:p w:rsidR="006B7292" w:rsidRDefault="006B7292" w:rsidP="006B7292">
      <w:pPr>
        <w:pStyle w:val="TtuloResolucin"/>
      </w:pPr>
      <w:bookmarkStart w:id="214" w:name="AUTO_2015_200"/>
      <w:r>
        <w:t>AUTO 200/2015, de 30 de noviembre de 2015</w:t>
      </w:r>
    </w:p>
    <w:bookmarkEnd w:id="214"/>
    <w:p w:rsidR="006B7292" w:rsidRDefault="006B7292" w:rsidP="006B7292">
      <w:pPr>
        <w:pStyle w:val="TtuloResolucin"/>
      </w:pPr>
      <w:r>
        <w:t>Sección Segunda</w:t>
      </w:r>
    </w:p>
    <w:p w:rsidR="006B7292" w:rsidRDefault="006B7292" w:rsidP="006B7292">
      <w:pPr>
        <w:pStyle w:val="TextoNormalCentrado"/>
      </w:pPr>
      <w:r>
        <w:t>ECLI:ES:TC:2015:200A</w:t>
      </w:r>
    </w:p>
    <w:p w:rsidR="006B7292" w:rsidRDefault="006B7292" w:rsidP="006B7292">
      <w:pPr>
        <w:pStyle w:val="TextoNormalCentrado"/>
      </w:pPr>
    </w:p>
    <w:p w:rsidR="006B7292" w:rsidRDefault="006B7292" w:rsidP="006B7292">
      <w:pPr>
        <w:pStyle w:val="SntesisDescriptiva"/>
      </w:pPr>
      <w:r>
        <w:t>Excms. Srs. don Andrés Ollero Tassara y don Santiago Martínez-Vares García.</w:t>
      </w:r>
    </w:p>
    <w:p w:rsidR="006B7292" w:rsidRDefault="006B7292" w:rsidP="006B7292">
      <w:pPr>
        <w:pStyle w:val="SntesisDescriptiva"/>
      </w:pPr>
    </w:p>
    <w:p w:rsidR="006B7292" w:rsidRDefault="006B7292" w:rsidP="006B7292">
      <w:pPr>
        <w:pStyle w:val="TtuloResolucin"/>
      </w:pPr>
      <w:r>
        <w:t>*Este auto no incorpora doctrina constitucional.</w:t>
      </w:r>
    </w:p>
    <w:p w:rsidR="006B7292" w:rsidRDefault="006B7292">
      <w:pPr>
        <w:spacing w:after="160" w:line="259" w:lineRule="auto"/>
        <w:rPr>
          <w:rFonts w:ascii="Times New Roman" w:eastAsia="Times New Roman" w:hAnsi="Times New Roman" w:cs="Times New Roman"/>
          <w:b/>
          <w:sz w:val="24"/>
          <w:szCs w:val="24"/>
          <w:lang w:eastAsia="es-ES"/>
        </w:rPr>
      </w:pPr>
      <w:r>
        <w:br w:type="page"/>
      </w:r>
    </w:p>
    <w:p w:rsidR="006B7292" w:rsidRDefault="006B7292" w:rsidP="006B7292">
      <w:pPr>
        <w:pStyle w:val="TtuloResolucin"/>
      </w:pPr>
      <w:bookmarkStart w:id="215" w:name="AUTO_2015_201"/>
      <w:r>
        <w:t>AUTO 201/2015, de 1 de diciembre de 2015</w:t>
      </w:r>
    </w:p>
    <w:bookmarkEnd w:id="215"/>
    <w:p w:rsidR="006B7292" w:rsidRDefault="006B7292" w:rsidP="006B7292">
      <w:pPr>
        <w:pStyle w:val="TtuloResolucin"/>
      </w:pPr>
      <w:r>
        <w:t>Pleno</w:t>
      </w:r>
    </w:p>
    <w:p w:rsidR="006B7292" w:rsidRDefault="006B7292" w:rsidP="006B7292">
      <w:pPr>
        <w:pStyle w:val="TextoNormalCentrado"/>
      </w:pPr>
      <w:r>
        <w:t>ECLI:ES:TC:2015:201A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Inadmite a trámite la cuestión de inconstitucionalidad 7765-2014, planteada por la Sala de lo Contencioso-Administrativo del Tribunal Superior de Justicia de Castilla-La Mancha en relación con los artículos 22 de la Ley 8/2007, de 28 de mayo, de suelo, y 23 del Real Decreto Legislativo 2/2008, de 20 de junio, texto refundido de la Ley de suelo.</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26 de diciembre de 2014 tuvo entrada en el Tribunal Constitucional el Auto de la Sección Segunda de la Sala de lo Contencioso-Administrativo del Tribunal Superior de Justicia de Castilla-La Mancha, de fecha 14 de noviembre del mismo año, dictado en el procedimiento ordinario 750-2010, por el que se acuerda el planteamiento de la cuestión de inconstitucionalidad en relación a los apartados 1 a) y 2 del art. 22 de la Ley 8/2007, de 28 de mayo, de suelo, y los apartados 1 a) y 2 del art. 23 del Real Decreto Legislativo 2/2008, de 20 de junio, que aprueba el texto refundido de la Ley de suelo.</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en lo que interesa a este proceso constitucional, son los siguientes:</w:t>
      </w:r>
    </w:p>
    <w:p w:rsidR="006B7292" w:rsidRDefault="006B7292" w:rsidP="006B7292">
      <w:pPr>
        <w:pStyle w:val="TextoNormal"/>
      </w:pPr>
    </w:p>
    <w:p w:rsidR="006B7292" w:rsidRDefault="006B7292" w:rsidP="006B7292">
      <w:pPr>
        <w:pStyle w:val="TextoNormal"/>
      </w:pPr>
      <w:r>
        <w:t>a) En el proceso contencioso-administrativo del que trae causa la presente cuestión, la representación procesal de don Francisco Fernández Olalla, impugnó la resolución del Jurado regional de valoraciones que fijaba el justiprecio de la finca 87 del polígono 1, parcela 136 del término municipal de Cabanillas del Campo referido a la expropiación de terrenos para la ejecución del proyecto de expropiación “Modificado núm. 1. Construcción de la carretera de conexión entre la N-320 (Alovera) y CM-101 (Fontanar). Tramo Alovera-Cabanillas del Campo (Guadalajara)”. Deliberado el asunto, la Sala entendió que, dadas las especiales circunstancias que reúne la parcela expropiada, los preceptos en que se fundamenta la valoración del Jurado regional de valoraciones, podrían ser inconstitucionales por cuanto que la limitan al valor obtenido por capitalización de rentas, no permitiendo otro incremento sobre el valor básico así obtenido que hasta un máximo del doble, atendiendo a factores objetivos de localización, y sin posibilidad de apreciar la existencia de expectativas urbanísticas.</w:t>
      </w:r>
    </w:p>
    <w:p w:rsidR="006B7292" w:rsidRDefault="006B7292" w:rsidP="006B7292">
      <w:pPr>
        <w:pStyle w:val="TextoNormal"/>
      </w:pPr>
    </w:p>
    <w:p w:rsidR="006B7292" w:rsidRDefault="006B7292" w:rsidP="006B7292">
      <w:pPr>
        <w:pStyle w:val="TextoNormal"/>
      </w:pPr>
      <w:r>
        <w:t>b) Conclusas las actuaciones y señalada fecha para votación y fallo, la Sala dictó providencia, de 24 de septiembre de 2014, en la que se acordaba dar traslado a las partes, de acuerdo con lo establecido en el art. 35.2 de la Ley Orgánica del Tribunal Constitucional (LOTC), para que en el plazo común de diez días pudieran alegar sobre la pertinencia de plantear cuestión de inconstitucionalidad sobre los apartados 1 a) y 2 del art. 22 de la Ley 8/2007, de 28 de mayo, de suelo, y los apartados 1 a) y 2 del art. 23 del Real Decreto Legislativo 2/2008, de 20 de junio, que aprueba el texto refundido de la Ley de suelo.</w:t>
      </w:r>
    </w:p>
    <w:p w:rsidR="006B7292" w:rsidRDefault="006B7292" w:rsidP="006B7292">
      <w:pPr>
        <w:pStyle w:val="TextoNormal"/>
      </w:pPr>
    </w:p>
    <w:p w:rsidR="006B7292" w:rsidRDefault="006B7292" w:rsidP="006B7292">
      <w:pPr>
        <w:pStyle w:val="TextoNormal"/>
      </w:pPr>
      <w:r>
        <w:t>c) El Ministerio Fiscal y la parte demandante concluyeron en la conveniencia de plantear cuestión de inconstitucionalidad sobre los preceptos citados en la providencia.</w:t>
      </w:r>
    </w:p>
    <w:p w:rsidR="006B7292" w:rsidRDefault="006B7292" w:rsidP="006B7292">
      <w:pPr>
        <w:pStyle w:val="TextoNormal"/>
      </w:pPr>
    </w:p>
    <w:p w:rsidR="006B7292" w:rsidRDefault="006B7292" w:rsidP="006B7292">
      <w:pPr>
        <w:pStyle w:val="TextoNormal"/>
      </w:pPr>
      <w:r w:rsidRPr="006B7292">
        <w:rPr>
          <w:rStyle w:val="NumeroAFNegritaCaracter"/>
        </w:rPr>
        <w:t>3</w:t>
      </w:r>
      <w:r>
        <w:t>. El Auto de la Sala de 14 de noviembre de 2014, de planteamiento de la cuestión, se basa en los razonamientos que a continuación se exponen.</w:t>
      </w:r>
    </w:p>
    <w:p w:rsidR="006B7292" w:rsidRDefault="006B7292" w:rsidP="006B7292">
      <w:pPr>
        <w:pStyle w:val="TextoNormal"/>
      </w:pPr>
    </w:p>
    <w:p w:rsidR="006B7292" w:rsidRDefault="006B7292" w:rsidP="006B7292">
      <w:pPr>
        <w:pStyle w:val="TextoNormal"/>
      </w:pPr>
      <w:r>
        <w:t>Tras recoger los antecedentes del caso y reproducir las normas cuestionadas, la fundamentación del Auto comienza por hacer referencia al cumplimiento de los requisitos del art. 35 LOTC, señalando que es incontrovertida la aplicación de la Ley 8/2007 en el expediente expropiatorio, que se ha concedido a las partes el trámite de audiencia según exige la Ley Orgánica del Tribunal Constitucional y que la cuestión se plantea estando concluso el procedimiento, a falta tan sólo de dictar la resolución final del mismo.</w:t>
      </w:r>
    </w:p>
    <w:p w:rsidR="006B7292" w:rsidRDefault="006B7292" w:rsidP="006B7292">
      <w:pPr>
        <w:pStyle w:val="TextoNormal"/>
      </w:pPr>
    </w:p>
    <w:p w:rsidR="006B7292" w:rsidRDefault="006B7292" w:rsidP="006B7292">
      <w:pPr>
        <w:pStyle w:val="TextoNormal"/>
      </w:pPr>
      <w:r>
        <w:t>En lo que respecta a la aplicabilidad de las normas cuya constitucionalidad se cuestiona, señala el Auto que dichos preceptos son de aplicación, vista la fecha de entrada en vigor de la Ley 8/2007, el 1 de julio de 2007, y conforme a lo establecido en la disposición transitoria tercera del Real Decreto Legislativo 2/2008, habida cuenta de que el proyecto relativo a las obras fue aprobado por resolución de la Consejería de Obras Públicas de la Junta de Comunidades de Castilla-La Mancha, de fecha 21 de mayo del 2007, si bien el requerimiento de la Administración a los titulares de bienes y derechos objeto de expropiación fue efectuado el 21 de noviembre de 2007, fecha esta posterior a la entrada en vigor de la Ley 8/2007, por lo que, a efectos de valoraciones, debía aplicarse la referida Ley al caso enjuiciado.</w:t>
      </w:r>
    </w:p>
    <w:p w:rsidR="006B7292" w:rsidRDefault="006B7292" w:rsidP="006B7292">
      <w:pPr>
        <w:pStyle w:val="TextoNormal"/>
      </w:pPr>
    </w:p>
    <w:p w:rsidR="006B7292" w:rsidRDefault="006B7292" w:rsidP="006B7292">
      <w:pPr>
        <w:pStyle w:val="TextoNormal"/>
      </w:pPr>
      <w:r>
        <w:t>En cuanto al juicio de relevancia, tras citar la doctrina constitucional de aplicación, señala que el suelo expropiado está en situación de suelo rural, lo que determina que, al amparo de lo previsto en el art. 22.1 a) y 2 de la Ley 8/2007 y 23.1 a) y 2 del texto refundido, los terrenos han de ser valorados por el sistema de capitalización de rentas, método que sólo responde a la valoración del rendimiento agrícola, pero no al valor real de los terrenos según su situación, descartándose expresamente la valoración de las expectativas urbanísticas. Por ello, la relevancia del planteamiento de la cuestión de inconstitucionalidad reside en que tales preceptos impidieron al jurado de expropiación —e impiden ahora a la propia Sala— valorar los terrenos en base a su valor real, valor al que podía llegarse, según la legislación anterior, por el método de comparación con fincas análogas, que constituía anteriormente el método principal de valoración, siendo subsidiario el de capitalización de rentas, criterio este último que, por su insuficiencia para reflejar el valor real, fue corregido por la jurisprudencia, defendiendo la posibilidad de incrementar hasta en un 500 por 100 el valor obtenido por capitalización, atendiendo a las expectativas urbanísticas de los terrenos.</w:t>
      </w:r>
    </w:p>
    <w:p w:rsidR="006B7292" w:rsidRDefault="006B7292" w:rsidP="006B7292">
      <w:pPr>
        <w:pStyle w:val="TextoNormal"/>
      </w:pPr>
    </w:p>
    <w:p w:rsidR="006B7292" w:rsidRDefault="006B7292" w:rsidP="006B7292">
      <w:pPr>
        <w:pStyle w:val="TextoNormal"/>
      </w:pPr>
      <w:r>
        <w:t>Entrando en el análisis de los fundamentos del planteamiento de la cuestión, invoca el Auto el art. 33.3 CE, que está inspirado en el mantenimiento de la indemnidad. Señala como antecedente inmediato el art. 43 de la Ley de expropiación forzosa, que consagraba el criterio estimativo en el caso de que la valoración realizada conforme a los criterios legales no resultara conforme con el valor real del bien. Afirma que la disposición adicional quinta de la Ley 8/2007, de 28 de mayo (recogida después en la disposición adicional quinta del Real Decreto Legislativo 2/2008, de 20 de junio), determina que en la actualidad tanto los jurados como los Tribunales de Justicia se encuentran encorsetados por las rígidas reglas que al efecto se contienen y que, por lo que se refiere al suelo rural, consisten en la aplicación del método de capitalización de rentas, que se encuentra con la barrera de que el valor no puede ser corregido al alza sino hasta un máximo del doble, en función de factores objetivos de localización, sin que, en todo caso, puedan tenerse en cuenta expectativas derivadas de la asignación de edificabilidades y usos por la ordenación territorial o urbanística, que no hayan sido aún plenamente realizados. Entiende la Sala promotora que dichas limitaciones contravienen el art. 33.3 CE.</w:t>
      </w:r>
    </w:p>
    <w:p w:rsidR="006B7292" w:rsidRDefault="006B7292" w:rsidP="006B7292">
      <w:pPr>
        <w:pStyle w:val="TextoNormal"/>
      </w:pPr>
    </w:p>
    <w:p w:rsidR="006B7292" w:rsidRDefault="006B7292" w:rsidP="006B7292">
      <w:pPr>
        <w:pStyle w:val="TextoNormal"/>
      </w:pPr>
      <w:r>
        <w:t>Se recoge, asimismo, la doctrina del Tribunal Constitucional sobre el contenido real de la indemnización o “justo precio”, recogida en la STC 166/1986, de 19 de diciembre, FJ 13 B) y en la STC 313/2006, de 8 de noviembre, FJ 9, según la cual la garantía constitucional de la correspondiente indemnización concede el derecho a percibir la contraprestación económica que corresponda al valor real de los bienes y derechos expropiados, cualquiera que sea éste, pues lo que garantiza la Constitución es el razonable equilibrio entre el daño expropiatorio y su reparación.</w:t>
      </w:r>
    </w:p>
    <w:p w:rsidR="006B7292" w:rsidRDefault="006B7292" w:rsidP="006B7292">
      <w:pPr>
        <w:pStyle w:val="TextoNormal"/>
      </w:pPr>
    </w:p>
    <w:p w:rsidR="006B7292" w:rsidRDefault="006B7292" w:rsidP="006B7292">
      <w:pPr>
        <w:pStyle w:val="TextoNormal"/>
      </w:pPr>
      <w:r>
        <w:t>Se invoca también por la Sala la doctrina del Tribunal Europeo de Derechos Humanos, señalando que, a su entender, los preceptos que se cuestionan vulnerarían el art. 1 del protocolo adicional del Convenio de Roma. A partir de éste, se citan numerosas Sentencias del referido Tribunal, de las que la Sala deduce que, si bien el Tribunal Europeo de Derechos Humanos reconoce excepciones a la regla del reembolso equivalente al pleno valor de mercado, en los supuestos de expropiaciones por causa de utilidad pública, sólo una indemnización íntegra puede ser considerada como razonablemente proporcionada al valor del bien.</w:t>
      </w:r>
    </w:p>
    <w:p w:rsidR="006B7292" w:rsidRDefault="006B7292" w:rsidP="006B7292">
      <w:pPr>
        <w:pStyle w:val="TextoNormal"/>
      </w:pPr>
    </w:p>
    <w:p w:rsidR="006B7292" w:rsidRDefault="006B7292" w:rsidP="006B7292">
      <w:pPr>
        <w:pStyle w:val="TextoNormal"/>
      </w:pPr>
      <w:r>
        <w:t>El Auto hace referencia, acto seguido, a la abundante doctrina del Tribunal Supremo favorable a la valoración de las expectativas urbanísticas en suelo no urbanizable, señalando que, tradicionalmente, bajo la vigencia de la Ley de suelo de 1976, las expectativas urbanísticas fueron un elemento más de valoración en los suelos no urbanizables, y que, desde entonces, con la única excepción de los ocho años que estuvo vigente la Ley de suelo 8/1990, y su texto refundido, aprobado por Real Decreto Legislativo 1/1992, nuestra legislación urbanística ha permitido su valoración hasta la vigente Ley 8/2007, en la que se ha vuelto a prohibir expresamente tal posibilidad.</w:t>
      </w:r>
    </w:p>
    <w:p w:rsidR="006B7292" w:rsidRDefault="006B7292" w:rsidP="006B7292">
      <w:pPr>
        <w:pStyle w:val="TextoNormal"/>
      </w:pPr>
    </w:p>
    <w:p w:rsidR="006B7292" w:rsidRDefault="006B7292" w:rsidP="006B7292">
      <w:pPr>
        <w:pStyle w:val="TextoNormal"/>
      </w:pPr>
      <w:r>
        <w:t>Incluye igualmente el Auto de planteamiento la cita de una serie de modificaciones normativas posteriores que, a juicio de la Sala, vendrían a evidenciar la insuficiencia del método de capitalización para obtener el valor real del suelo rural. En este sentido, se señala que aunque tanto la Ley 8/2007 como el Real Decreto Legislativo 2/2008 establecían la posibilidad de que la Ley de presupuestos generales del Estado modificara el tipo de capitalización de la renta anual y fijara valores mínimos según tipos de cultivos y aprovechamientos de la tierra, cuando la evolución observada en los precios del suelo y en los tipos de interés corriera el riesgo de alejar de forma significativa el resultado de las valoraciones respecto de los precios de mercado del suelo rural sin consideración de expectativas urbanísticas, aquélla no hizo uso de tal posibilidad. En cambio el art. 10.2 del Real Decreto-ley 6/2010, de 9 de abril, cambió el criterio para trasladar dicha corrección a lo que se dispusiera reglamentariamente, permitiendo dicha corrección “cuando el resultado de las valoraciones se aleje de forma significativa respecto de los precios de mercado del suelo rural sin expectativas urbanísticas”. Esta habilitación fue utilizada por el Real Decreto 1492/2011, de 24 de octubre, por el que se aprueba el Reglamento de valoraciones de la Ley de suelo, cuyo artículo 12.1 b) establece que cuando en el suelo rural se desarrollen actividades agropecuarias o forestales, se utilizará como tipo de capitalización el resultado de multiplicar el tipo de capitalización general por el coeficiente corrector establecido en la tabla del anexo I del Reglamento, según el tipo de cultivo o aprovechamiento. Con ello se viene a demostrar que el legislador era consciente, desde un primer momento, de que una valoración calculada por el método de capitalización de rentas podía estar alejada de los precios de mercado del suelo rural, y, sin embargo, no hizo uso de dicha posibilidad hasta el Reglamento de 2011. Ello no quiere decir que los coeficientes que contempla el Reglamento sean suficientes para obtener el valor de mercado del suelo rural, sino que el método de capitalización de rentas, como único método y no como subsidiario del de comparación, es a todas luces insuficiente para valorar las fincas rústicas por lo que realmente valen.</w:t>
      </w:r>
    </w:p>
    <w:p w:rsidR="006B7292" w:rsidRDefault="006B7292" w:rsidP="006B7292">
      <w:pPr>
        <w:pStyle w:val="TextoNormal"/>
      </w:pPr>
    </w:p>
    <w:p w:rsidR="006B7292" w:rsidRDefault="006B7292" w:rsidP="006B7292">
      <w:pPr>
        <w:pStyle w:val="TextoNormal"/>
      </w:pPr>
      <w:r>
        <w:t xml:space="preserve">Por todo lo anterior, entiende la Sala que los preceptos cuestionados vulneran claramente el art. 33.3 CE en los términos en que dicho precepto ha sido interpretado por el Tribunal Constitucional y por el Tribunal Supremo, ya que impiden, en cuanto al suelo rural, llegar a un justiprecio que refleje el valor real de los terrenos o, al menos, una aproximación al mismo, lo que se evidencia en las expropiaciones de fincas próximas al suelo urbano. También resultan contrarios a la jurisprudencia del Tribunal Europeo de Derechos Humanos, en cuanto que, en expropiaciones con fines de utilidad pública, sólo la indemnización íntegra puede ser considerada como razonablemente proporcionada al valor del bien que se expropia. En este punto, aclara el órgano promotor de la cuestión que por “valoración de expectativas urbanísticas” no está defendiendo que se deban valorar puras hipótesis, valores no reales o perjuicios meramente hipotéticos, inciertos o futuros. Lo que se pretende valorar no es la expectativa misma sino el incremento real de valor que la misma genera actualmente sobre el valor del suelo en el mercado, basándose en circunstancias actuales que son proyectadas al futuro por el mercado, lo cual genera, a su vez, un incremento real y actual del valor. Por otra parte, se plantea si es pertinente aquí la invocación del carácter supuestamente especulativo de este tipo de valores, teniendo en cuenta la obligación de los poderes públicos </w:t>
      </w:r>
      <w:r w:rsidRPr="006B7292">
        <w:rPr>
          <w:i/>
        </w:rPr>
        <w:t>ex</w:t>
      </w:r>
      <w:r>
        <w:t xml:space="preserve"> art. 47 CE de evitar la especulación del suelo. Afirma la Sala que resultaría sumamente paradójico que todos los agentes económicos tuvieran que padecer las elevaciones de valor del suelo, derivadas de unas u otras circunstancias, y que, sin embargo, los poderes públicos, precisamente obligados a velar por evitar la especulación, fuesen los únicos que quedasen al margen de sus efectos negativos a base de diseñar métodos legales de valoración artificiosos y alejados del hallazgo del valor real. A juicio de la Sala, la lucha contra la especulación consiste en eliminarla del mercado y no en dejar a las Administraciones públicas y sólo a ellas al margen de sus efectos negativos, mientras que el resto de los operadores económicos no sólo tienen que soportar sus consecuencias sino que, en el momento en que sufran una expropiación, no van a poder obtener por el suelo el valor que tienen que soportar en el resto de operaciones inmobiliarias. La Administración debiera pagar por el suelo lo que a la fecha de valoración debería abonar cualquiera que quisiera o necesitara adquirirlo, incluidas las expectativas, con independencia de que se hubieran cumplido o no después.</w:t>
      </w:r>
    </w:p>
    <w:p w:rsidR="006B7292" w:rsidRDefault="006B7292" w:rsidP="006B7292">
      <w:pPr>
        <w:pStyle w:val="TextoNormal"/>
      </w:pPr>
    </w:p>
    <w:p w:rsidR="006B7292" w:rsidRDefault="006B7292" w:rsidP="006B7292">
      <w:pPr>
        <w:pStyle w:val="TextoNormal"/>
      </w:pPr>
      <w:r>
        <w:t>En suma, entiende la Sala que el coeficiente que, tanto el art. 22 de la Ley 8/2007 como su correlativo 23 del texto refundido de 2008 contemplan, es claramente insuficiente para que los propietarios puedan obtener esa indemnización íntegra por la pérdida del bien expropiado.</w:t>
      </w:r>
    </w:p>
    <w:p w:rsidR="006B7292" w:rsidRDefault="006B7292" w:rsidP="006B7292">
      <w:pPr>
        <w:pStyle w:val="TextoNormal"/>
      </w:pPr>
    </w:p>
    <w:p w:rsidR="006B7292" w:rsidRDefault="006B7292" w:rsidP="006B7292">
      <w:pPr>
        <w:pStyle w:val="TextoNormal"/>
      </w:pPr>
      <w:r w:rsidRPr="006B7292">
        <w:rPr>
          <w:rStyle w:val="NumeroAFNegritaCaracter"/>
        </w:rPr>
        <w:t>4</w:t>
      </w:r>
      <w:r>
        <w:t>. Mediante providencia de 17 de marzo de 2015, la Sección Cuarta de este Tribunal, en virtud del art. 37.1 LOTC, acordó oír al Fiscal General del Estado, al objeto de que, en el plazo de diez días, alegara lo que estimara oportuno en cuanto a la admisibilidad de la presente cuestión en relación con la falta de cumplimiento de los requisitos procesales (art. 35.2 LOTC) y por si fuese notoriamente infundada.</w:t>
      </w:r>
    </w:p>
    <w:p w:rsidR="006B7292" w:rsidRDefault="006B7292" w:rsidP="006B7292">
      <w:pPr>
        <w:pStyle w:val="TextoNormal"/>
      </w:pPr>
    </w:p>
    <w:p w:rsidR="006B7292" w:rsidRDefault="006B7292" w:rsidP="006B7292">
      <w:pPr>
        <w:pStyle w:val="TextoNormal"/>
      </w:pPr>
      <w:r w:rsidRPr="006B7292">
        <w:rPr>
          <w:rStyle w:val="NumeroAFNegritaCaracter"/>
        </w:rPr>
        <w:t>5</w:t>
      </w:r>
      <w:r>
        <w:t>. La Fiscal General del Estado evacuó el trámite conferido mediante escrito registrado el 21 de abril de 2015, en el que interesa la inadmisión de la presente cuestión de inconstitucionalidad.</w:t>
      </w:r>
    </w:p>
    <w:p w:rsidR="006B7292" w:rsidRDefault="006B7292" w:rsidP="006B7292">
      <w:pPr>
        <w:pStyle w:val="TextoNormal"/>
      </w:pPr>
    </w:p>
    <w:p w:rsidR="006B7292" w:rsidRDefault="006B7292" w:rsidP="006B7292">
      <w:pPr>
        <w:pStyle w:val="TextoNormal"/>
      </w:pPr>
      <w:r>
        <w:t xml:space="preserve">El Ministerio Fiscal, como primer óbice, pone de manifiesto que el trámite de audiencia a las partes no fue adecuadamente cumplimentado, pues la providencia de audiencia no fue notificada al Letrado de la Junta de Comunidades de Castilla-La Mancha, por lo que no tuvo, en consecuencia la oportunidad de presentar alegaciones, lo que, a su juicio, debería determinar la inadmisión </w:t>
      </w:r>
      <w:r w:rsidRPr="006B7292">
        <w:rPr>
          <w:i/>
        </w:rPr>
        <w:t>a limine</w:t>
      </w:r>
      <w:r>
        <w:t xml:space="preserve"> de la presente cuestión de inconstitucionalidad.</w:t>
      </w:r>
    </w:p>
    <w:p w:rsidR="006B7292" w:rsidRDefault="006B7292" w:rsidP="006B7292">
      <w:pPr>
        <w:pStyle w:val="TextoNormal"/>
      </w:pPr>
    </w:p>
    <w:p w:rsidR="006B7292" w:rsidRDefault="006B7292" w:rsidP="006B7292">
      <w:pPr>
        <w:pStyle w:val="TextoNormal"/>
      </w:pPr>
      <w:r>
        <w:t>En cuanto al juicio de aplicabilidad de los preceptos cuestionados, señala el Ministerio Fiscal que el Tribunal que plantea la cuestión estima aplicable la Ley 8/2007, de 29 de mayo, y nada razona, sin embargo, el Auto de planteamiento sobre la aplicabilidad del Real Decreto Legislativo 2/2008, de 20 de junio, que aprueba el texto refundido de la Ley de suelo. Siendo obvio, de un lado, que ambas normas legales, la Ley 8/2007, de 29 de mayo, ya derogada, y la actualmente vigente, el Real Decreto Legislativo 2/2008, de 20 de junio, que aprueba el texto refundido de la Ley de suelo, ni estaban ni pudieron estar en vigor en un mismo momento, y, de otro, que se requirió a la recurrente para la presentación de la hoja de aprecio varios meses antes de la aprobación y entrada en vigor del texto refundido, considera el Fiscal que procede inadmitir la cuestión de inconstitucionalidad planteada en relación con los apartados 1 a) y 2 del art. 23 del texto refundido.</w:t>
      </w:r>
    </w:p>
    <w:p w:rsidR="006B7292" w:rsidRDefault="006B7292" w:rsidP="006B7292">
      <w:pPr>
        <w:pStyle w:val="TextoNormal"/>
      </w:pPr>
    </w:p>
    <w:p w:rsidR="006B7292" w:rsidRDefault="006B7292" w:rsidP="006B7292">
      <w:pPr>
        <w:pStyle w:val="TextoNormal"/>
      </w:pPr>
      <w:r>
        <w:t>Afirma la Fiscal General del Estado que en lo que se refiere a la cuestión planteada en relación con los apartados 1 a) y 2 del art. 22 de la Ley 8/2007, de 28 de mayo, de suelo, la STC 141/2014, de 11 de septiembre, tras analizar el art. 22.1 a) de la Ley de suelo, entendió que era constitucional una vez depurado el inciso de “hasta un máximo del doble”, cuya inconstitucionalidad y nulidad declaró. Por ello, una vez eliminado del ordenamiento jurídico el inciso anteriormente señalado, y en la línea de lo dispuesto en el ATC 61/2015 cabe concluir que la duda de inconstitucionalidad planteada en relación al art. 22.1 a) de la Ley del suelo ha perdido objeto y en lo que se refiere al art. 22.2 de la Ley de suelo resulta notoriamente infundada. Por todo ello considera que procede inadmitir a trámite la cuestión de inconstitucionalidad.</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La Sección Segunda de la Sala de lo Contencioso-Administrativo del Tribunal Superior de Justicia de Castilla-La Mancha, por Auto de 14 de noviembre de 2014, plantea cuestión de inconstitucionalidad respecto de los apartados 1 a) y 2 del art. 22 de la Ley 8/2007, de 28 de mayo, de suelo, y los apartados 1 a) y 2 del art. 23 del Real Decreto Legislativo 2/2008, de 20 de junio, que aprueba el texto refundido de la Ley de suelo.</w:t>
      </w:r>
    </w:p>
    <w:p w:rsidR="006B7292" w:rsidRDefault="006B7292" w:rsidP="006B7292">
      <w:pPr>
        <w:pStyle w:val="TextoNormal"/>
      </w:pPr>
    </w:p>
    <w:p w:rsidR="006B7292" w:rsidRDefault="006B7292" w:rsidP="006B7292">
      <w:pPr>
        <w:pStyle w:val="TextoNormal"/>
      </w:pPr>
      <w:r>
        <w:t>Conforme a lo dispuesto en el art. 37.1 de la Ley Orgánica del Tribunal Constitucional (LOTC), este Tribunal puede rechazar en trámite de admisión, mediante Auto y con la sola audiencia del Fiscal General del Estado, aquella cuestión de inconstitucionalidad que adolezca de la falta de los necesarios requisitos procesales o que fueren notoriamente infundadas.</w:t>
      </w:r>
    </w:p>
    <w:p w:rsidR="006B7292" w:rsidRDefault="006B7292" w:rsidP="006B7292">
      <w:pPr>
        <w:pStyle w:val="TextoNormal"/>
      </w:pPr>
    </w:p>
    <w:p w:rsidR="006B7292" w:rsidRDefault="006B7292" w:rsidP="006B7292">
      <w:pPr>
        <w:pStyle w:val="TextoNormal"/>
      </w:pPr>
      <w:r w:rsidRPr="006B7292">
        <w:rPr>
          <w:rStyle w:val="NumeroAFNegritaCaracter"/>
        </w:rPr>
        <w:t>2</w:t>
      </w:r>
      <w:r>
        <w:t>. En lo que se refiere a la falta de los necesarios requisitos procesales:</w:t>
      </w:r>
    </w:p>
    <w:p w:rsidR="006B7292" w:rsidRDefault="006B7292" w:rsidP="006B7292">
      <w:pPr>
        <w:pStyle w:val="TextoNormal"/>
      </w:pPr>
    </w:p>
    <w:p w:rsidR="006B7292" w:rsidRDefault="006B7292" w:rsidP="006B7292">
      <w:pPr>
        <w:pStyle w:val="TextoNormal"/>
      </w:pPr>
      <w:r>
        <w:t>a) Por lo que se refiere al primero de los óbices opuestos por la Fiscal General del Estado, relativo a que la providencia de apertura del trámite de audiencia a las partes y al Ministerio Fiscal del art. 35.2 LOTC no habría sido notificada a la representación de la Junta de Castilla-La Mancha, hemos de desestimarlo en la medida en que consta en las actuaciones que la indicada resolución fue comunicada y recibida, vía Lexnet, por la parte el día 16 de octubre de 2014, constando debidamente documentado en autos el correspondiente acto de comunicación, por lo que aquélla tuvo conocimiento de su contenido y, en consecuencia, tuvo oportunidad efectiva de formular sus alegaciones.</w:t>
      </w:r>
    </w:p>
    <w:p w:rsidR="006B7292" w:rsidRDefault="006B7292" w:rsidP="006B7292">
      <w:pPr>
        <w:pStyle w:val="TextoNormal"/>
      </w:pPr>
    </w:p>
    <w:p w:rsidR="006B7292" w:rsidRDefault="006B7292" w:rsidP="006B7292">
      <w:pPr>
        <w:pStyle w:val="TextoNormal"/>
      </w:pPr>
      <w:r>
        <w:t>b) En lo que respecta al juicio de aplicabilidad realizado por el Auto de planteamiento, si bien está —sin perjuicio de lo que se establece en el apartado siguiente de la presente resolución— correctamente realizado en relación con la aplicación de la Ley 8/2007, de 28 de mayo en lugar de la Ley 6/1998 (la pieza separada de justiprecio se inició en octubre de 2007 estando en vigor la Ley de suelo), no lo está en relación con el texto refundido sobre cuya aplicabilidad no se incluye argumentación alguna. Siendo obvio, de un lado, que ambas normas legales, la derogada y la actualmente vigente, ni estaban ni pudieron estar en vigor en un mismo momento, y, de otro, que la pieza separada de justiprecio se inició en octubre de 2007, procede inadmitir la cuestión de inconstitucionalidad planteada en relación con los apartados 1 a) y 2 del art. 23 del texto refundido por incumplir el necesario juicio de aplicabilidad (entre otros el ATC 61/2015, de 17 de marzo).</w:t>
      </w:r>
    </w:p>
    <w:p w:rsidR="006B7292" w:rsidRDefault="006B7292" w:rsidP="006B7292">
      <w:pPr>
        <w:pStyle w:val="TextoNormal"/>
      </w:pPr>
    </w:p>
    <w:p w:rsidR="006B7292" w:rsidRDefault="006B7292" w:rsidP="006B7292">
      <w:pPr>
        <w:pStyle w:val="TextoNormal"/>
      </w:pPr>
      <w:r>
        <w:t>c) Respecto de los apartados 1 a) y 2 del art. 22 de la Ley 8/2007, de 28 de mayo, de suelo, el Auto de 14 de noviembre, considera que los mismos contravienen la Constitución (art. 33.3 CE). El contenido de las normas impugnadas, según el Auto de planteamiento de la cuestión, es el siguiente:</w:t>
      </w:r>
    </w:p>
    <w:p w:rsidR="006B7292" w:rsidRDefault="006B7292" w:rsidP="006B7292">
      <w:pPr>
        <w:pStyle w:val="TextoNormal"/>
      </w:pPr>
    </w:p>
    <w:p w:rsidR="006B7292" w:rsidRDefault="006B7292" w:rsidP="006B7292">
      <w:pPr>
        <w:pStyle w:val="TextoNormal"/>
      </w:pPr>
      <w:r>
        <w:t>“Valoración en el suelo rural.</w:t>
      </w:r>
    </w:p>
    <w:p w:rsidR="006B7292" w:rsidRDefault="006B7292" w:rsidP="006B7292">
      <w:pPr>
        <w:pStyle w:val="TextoNormal"/>
      </w:pPr>
    </w:p>
    <w:p w:rsidR="006B7292" w:rsidRDefault="006B7292" w:rsidP="006B7292">
      <w:pPr>
        <w:pStyle w:val="TextoNormal"/>
      </w:pPr>
      <w:r>
        <w:t>1. Cuando el suelo sea rural a los efectos de esta Ley:</w:t>
      </w:r>
    </w:p>
    <w:p w:rsidR="006B7292" w:rsidRDefault="006B7292" w:rsidP="006B7292">
      <w:pPr>
        <w:pStyle w:val="TextoNormal"/>
      </w:pPr>
    </w:p>
    <w:p w:rsidR="006B7292" w:rsidRDefault="006B7292" w:rsidP="006B7292">
      <w:pPr>
        <w:pStyle w:val="TextoNormal"/>
      </w:pPr>
      <w:r>
        <w:t>a) Los terrenos se tasarán mediante la capitalización de la renta anual real o potencial, la que sea superior, de la explotación según su estado en el momento al que deba entenderse referida la valoración.</w:t>
      </w:r>
    </w:p>
    <w:p w:rsidR="006B7292" w:rsidRDefault="006B7292" w:rsidP="006B7292">
      <w:pPr>
        <w:pStyle w:val="TextoNormal"/>
      </w:pPr>
    </w:p>
    <w:p w:rsidR="006B7292" w:rsidRDefault="006B7292" w:rsidP="006B7292">
      <w:pPr>
        <w:pStyle w:val="TextoNormal"/>
      </w:pPr>
      <w:r>
        <w:t>La renta potencial se calculará atendiendo al rendimiento del uso, disfrute o explotación de que sean susceptibles los terrenos conforme a la legislación que les sea aplicable, utilizando los medios técnicos normales para su producción. Incluirá, en su caso, como ingresos las subvenciones que, con carácter estable, se otorguen a los cultivos y aprovechamientos considerados para su cálculo y se descontarán los costes necesarios para la explotación considerada.</w:t>
      </w:r>
    </w:p>
    <w:p w:rsidR="006B7292" w:rsidRDefault="006B7292" w:rsidP="006B7292">
      <w:pPr>
        <w:pStyle w:val="TextoNormal"/>
      </w:pPr>
    </w:p>
    <w:p w:rsidR="006B7292" w:rsidRDefault="006B7292" w:rsidP="006B7292">
      <w:pPr>
        <w:pStyle w:val="TextoNormal"/>
      </w:pPr>
      <w:r>
        <w:t>El valor del suelo rural así obtenido podrá ser corregido al alza hasta un máximo del doble en función de factores objetivos de localización, como la accesibilidad a núcleos de población o a centros de actividad económica o la ubicación en entornos de singular valor ambiental o paisajístico, cuya aplicación y ponderación habrá de ser justificada en el correspondiente expediente de valoración, todo ello en los términos que reglamentariamente se establezcan.</w:t>
      </w:r>
    </w:p>
    <w:p w:rsidR="006B7292" w:rsidRDefault="006B7292" w:rsidP="006B7292">
      <w:pPr>
        <w:pStyle w:val="TextoNormal"/>
      </w:pPr>
    </w:p>
    <w:p w:rsidR="006B7292" w:rsidRDefault="006B7292" w:rsidP="006B7292">
      <w:pPr>
        <w:pStyle w:val="TextoNormal"/>
      </w:pPr>
      <w:r>
        <w:t>b) Las edificaciones, construcciones e instalaciones, cuando deban valorarse con independencia del suelo, se tasarán por el método de coste de reposición según su estado y antigüedad en el momento al que deba entenderse referida la valoración.</w:t>
      </w:r>
    </w:p>
    <w:p w:rsidR="006B7292" w:rsidRDefault="006B7292" w:rsidP="006B7292">
      <w:pPr>
        <w:pStyle w:val="TextoNormal"/>
      </w:pPr>
    </w:p>
    <w:p w:rsidR="006B7292" w:rsidRDefault="006B7292" w:rsidP="006B7292">
      <w:pPr>
        <w:pStyle w:val="TextoNormal"/>
      </w:pPr>
      <w:r>
        <w:t>c) Las plantaciones y los sembrados preexistentes, así como las indemnizaciones por razón de arrendamientos rústicos u otros derechos, se tasarán con arreglo a los criterios de las Leyes de Expropiación Forzosa y de Arrendamientos Rústicos.</w:t>
      </w:r>
    </w:p>
    <w:p w:rsidR="006B7292" w:rsidRDefault="006B7292" w:rsidP="006B7292">
      <w:pPr>
        <w:pStyle w:val="TextoNormal"/>
      </w:pPr>
    </w:p>
    <w:p w:rsidR="006B7292" w:rsidRDefault="006B7292" w:rsidP="006B7292">
      <w:pPr>
        <w:pStyle w:val="TextoNormal"/>
      </w:pPr>
      <w:r>
        <w:t>2. En ninguno de los casos previstos en el apartado anterior podrán considerarse expectativas derivadas de la asignación de edificabilidades y usos por la ordenación territorial o urbanística que no hayan sido aún plenamente realizados.”</w:t>
      </w:r>
    </w:p>
    <w:p w:rsidR="006B7292" w:rsidRDefault="006B7292" w:rsidP="006B7292">
      <w:pPr>
        <w:pStyle w:val="TextoNormal"/>
      </w:pPr>
    </w:p>
    <w:p w:rsidR="006B7292" w:rsidRDefault="006B7292" w:rsidP="006B7292">
      <w:pPr>
        <w:pStyle w:val="TextoNormal"/>
      </w:pPr>
      <w:r>
        <w:t>Cabe señalar que la cuestión planteada se ha presentado frente a un precepto que ya había sido parcialmente declarado inconstitucional y nulo por parte de este Tribunal.</w:t>
      </w:r>
    </w:p>
    <w:p w:rsidR="006B7292" w:rsidRDefault="006B7292" w:rsidP="006B7292">
      <w:pPr>
        <w:pStyle w:val="TextoNormal"/>
      </w:pPr>
    </w:p>
    <w:p w:rsidR="006B7292" w:rsidRDefault="006B7292" w:rsidP="006B7292">
      <w:pPr>
        <w:pStyle w:val="TextoNormal"/>
      </w:pPr>
      <w:r>
        <w:t>En efecto, la STC 141/2014, de 11 de septiembre, (“BOE” núm. 243, de 7 de octubre de 2014), declaró “la inconstitucionalidad y, por tanto, la nulidad del inciso ‘hasta un máximo del doble’ del art. 22.1 a), párrafo tercero, de la Ley 8/2007, de 28 de mayo, de suelo y del art. 23.1 a), párrafo tercero, del texto refundido de la Ley de suelo, aprobado por Real Decreto legislativo 2/2008, de 20 de junio”.</w:t>
      </w:r>
    </w:p>
    <w:p w:rsidR="006B7292" w:rsidRDefault="006B7292" w:rsidP="006B7292">
      <w:pPr>
        <w:pStyle w:val="TextoNormal"/>
      </w:pPr>
    </w:p>
    <w:p w:rsidR="006B7292" w:rsidRDefault="006B7292" w:rsidP="006B7292">
      <w:pPr>
        <w:pStyle w:val="TextoNormal"/>
      </w:pPr>
      <w:r>
        <w:t>La declaración de inconstitucionalidad y nulidad contenida en el fallo de la STC 141/2014, de 11 de septiembre, produjo plenos efectos de cosa juzgada a partir de su publicación, el 7 de octubre de 2014, en el “Boletín Oficial del Estado” (arts. 164.1 CE y 38.1 LOTC) por lo que, al haber resultado expulsados ya del ordenamiento jurídico parte de los preceptos cuestionados en el posterior Auto de 14 de noviembre de 2014 y haber quedado resuelta con anterioridad y en sentido estimatorio la duda de constitucionalidad allí planteada, las cuestiones de inconstitucionalidad planteadas en relación a tales incisos no tienen razón de ser, pues no se plantean frente a una norma con rango de ley, de cuya validez dependa el fallo.</w:t>
      </w:r>
    </w:p>
    <w:p w:rsidR="006B7292" w:rsidRDefault="006B7292" w:rsidP="006B7292">
      <w:pPr>
        <w:pStyle w:val="TextoNormal"/>
      </w:pPr>
    </w:p>
    <w:p w:rsidR="006B7292" w:rsidRDefault="006B7292" w:rsidP="006B7292">
      <w:pPr>
        <w:pStyle w:val="TextoNormal"/>
      </w:pPr>
      <w:r>
        <w:t>Siendo el efecto inmediato de la anulación de cualquier norma o parte de ella, su expulsión del ordenamiento jurídico la duda que se suscita en el Auto de 14 de noviembre en relación con el inciso declarado inconstitucional y nulo resulta vacía de contenido, sin finalidad práctica alguna.</w:t>
      </w:r>
    </w:p>
    <w:p w:rsidR="006B7292" w:rsidRDefault="006B7292" w:rsidP="006B7292">
      <w:pPr>
        <w:pStyle w:val="TextoNormal"/>
      </w:pPr>
    </w:p>
    <w:p w:rsidR="006B7292" w:rsidRDefault="006B7292" w:rsidP="006B7292">
      <w:pPr>
        <w:pStyle w:val="TextoNormal"/>
      </w:pPr>
      <w:r w:rsidRPr="006B7292">
        <w:rPr>
          <w:rStyle w:val="NumeroAFNegritaCaracter"/>
        </w:rPr>
        <w:t>3</w:t>
      </w:r>
      <w:r>
        <w:t>. En relación con el resto de apartados cuestionados, la STC 141/2014, de 11 de septiembre, afirmó su no inconstitucionalidad al establecer “que el sistema de valoración a efectos indemnizatorios que parte del criterio de la capitalización de rentas, modulado en atención a otros factores, es un sistema que incorpora criterios acordes con la idea del valor real o económico del bien y que, en principio y en abstracto, puede ofrecer un proporcional equilibrio entre el daño sufrido y la indemnización correspondiente, en línea con la doctrina del Tribunal Europeo de Derechos Humanos” (FJ 9).</w:t>
      </w:r>
    </w:p>
    <w:p w:rsidR="006B7292" w:rsidRDefault="006B7292" w:rsidP="006B7292">
      <w:pPr>
        <w:pStyle w:val="TextoNormal"/>
      </w:pPr>
    </w:p>
    <w:p w:rsidR="006B7292" w:rsidRDefault="006B7292" w:rsidP="006B7292">
      <w:pPr>
        <w:pStyle w:val="TextoNormal"/>
      </w:pPr>
      <w:r>
        <w:t>Lo anterior conlleva que los argumentos con los que la STC 141/2014, de 11 de septiembre, desestimó la cuestión allí planteada, determinen la inadmisión de la presente cuestión en este punto por notoriamente infundada.</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Inadmitir a trámite la cuestión de inconstitucionalidad núm. 7765-2014 planteada por la Sección Segunda de la Sala de lo Contencioso-Administrativo del Tribunal Superior de Justicia de Castilla-La Mancha.</w:t>
      </w:r>
    </w:p>
    <w:p w:rsidR="006B7292" w:rsidRDefault="006B7292" w:rsidP="006B7292">
      <w:pPr>
        <w:pStyle w:val="TextoNormal"/>
      </w:pPr>
    </w:p>
    <w:p w:rsidR="006B7292" w:rsidRDefault="006B7292" w:rsidP="006B7292">
      <w:pPr>
        <w:pStyle w:val="TextoNormal"/>
      </w:pPr>
      <w:r>
        <w:t>Madrid, a uno de diciembre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16" w:name="AUTO_2015_202"/>
      <w:r>
        <w:t>AUTO 202/2015, de 1 de diciembre de 2015</w:t>
      </w:r>
    </w:p>
    <w:bookmarkEnd w:id="216"/>
    <w:p w:rsidR="006B7292" w:rsidRDefault="006B7292" w:rsidP="006B7292">
      <w:pPr>
        <w:pStyle w:val="TtuloResolucin"/>
      </w:pPr>
      <w:r>
        <w:t>Pleno</w:t>
      </w:r>
    </w:p>
    <w:p w:rsidR="006B7292" w:rsidRDefault="006B7292" w:rsidP="006B7292">
      <w:pPr>
        <w:pStyle w:val="TextoNormalCentrado"/>
      </w:pPr>
      <w:r>
        <w:t>ECLI:ES:TC:2015:202A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Levanta la suspensión en el recurso de inconstitucionalidad 4292-2015, interpuesto por el Presidente del Gobierno en relación con diversos preceptos de la Ley del Parlamento de Cataluña 12/2014, de 10 de octubre, del impuesto sobre la emisión de óxidos de nitrógeno a la atmósfera producida por la aviación comercial, del impuesto sobre la emisión de gases y partículas a la atmósfera producida por la industria y del impuesto sobre la producción de energía eléctrica de origen nuclear.</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Abogado del Estado, en representación del Presidente del Gobierno, mediante escrito presentado en este Tribunal el día 17 de julio de 2015, planteó recurso de inconstitucionalidad contra los arts. 1.1 c) y 21 a 30 de la Ley del Parlamento de Cataluña 12/2014, de 10 de octubre, del impuesto sobre la emisión de óxidos de nitrógeno a la atmósfera producida por la aviación comercial, del impuesto sobre la emisión de gases y partículas a la atmósfera producida por la industria y del impuesto sobre la producción de energía eléctrica de origen nuclear.</w:t>
      </w:r>
    </w:p>
    <w:p w:rsidR="006B7292" w:rsidRDefault="006B7292" w:rsidP="006B7292">
      <w:pPr>
        <w:pStyle w:val="TextoNormal"/>
      </w:pPr>
    </w:p>
    <w:p w:rsidR="006B7292" w:rsidRDefault="006B7292" w:rsidP="006B7292">
      <w:pPr>
        <w:pStyle w:val="TextoNormal"/>
      </w:pPr>
      <w:r>
        <w:t>El Abogado del Estado sostiene que el impuesto autonómico sobre la producción de energía eléctrica de origen nuclear vulnera el art. 6.2 de la Ley Orgánica 8/1980, de 22 de septiembre, de financiación de las Comunidades Autónomas (LOFCA), porque su hecho imponible y demás elementos son coincidentes con los del impuesto estatal sobre la producción de combustible nuclear gastado y residuos radiactivos resultantes de la generación de energía nucleoeléctrica, regulado en los arts. 15 a 18 de la Ley 15/2012, de 27 de diciembre, de medidas fiscales para la sostenibilidad energética.</w:t>
      </w:r>
    </w:p>
    <w:p w:rsidR="006B7292" w:rsidRDefault="006B7292" w:rsidP="006B7292">
      <w:pPr>
        <w:pStyle w:val="TextoNormal"/>
      </w:pPr>
    </w:p>
    <w:p w:rsidR="006B7292" w:rsidRDefault="006B7292" w:rsidP="006B7292">
      <w:pPr>
        <w:pStyle w:val="TextoNormal"/>
      </w:pPr>
      <w:r>
        <w:t>En el escrito se hizo invocación expresa del art. 161.2 de la Constitución, al objeto de que fuese ordenada la suspensión de la citada Ley.</w:t>
      </w:r>
    </w:p>
    <w:p w:rsidR="006B7292" w:rsidRDefault="006B7292" w:rsidP="006B7292">
      <w:pPr>
        <w:pStyle w:val="TextoNormal"/>
      </w:pPr>
    </w:p>
    <w:p w:rsidR="006B7292" w:rsidRDefault="006B7292" w:rsidP="006B7292">
      <w:pPr>
        <w:pStyle w:val="TextoNormal"/>
      </w:pPr>
      <w:r w:rsidRPr="006B7292">
        <w:rPr>
          <w:rStyle w:val="NumeroAFNegritaCaracter"/>
        </w:rPr>
        <w:t>2</w:t>
      </w:r>
      <w:r>
        <w:t>. El Pleno del Tribunal Constitucional, mediante la providencia de 21 de julio de 2015, acordó la admisión a trámite del recurso de inconstitucionalidad y el traslado de la demanda y documentos presentados, conforme establece el art. 34 de la Ley Orgánica del Tribunal Constitucional (LOTC), al Congreso de los Diputados y al Senado, así como al Gobierno y al Parlamento de Cataluña, por conducto de sus Presidentes, al objeto de que en el plazo de quince días pudieran personarse en el proceso y formular las alegaciones que estimaren convenientes. Asimismo, se acordó tener por invocado el art. 161.2 CE, lo que, conforme dispone el art. 30 LOTC, produce la suspensión de la vigencia y aplicación de la Ley impugnada desde la fecha de interposición del recurso para las partes del proceso —17 de julio de 2015— y desde el día en que aparezca publicada la suspensión en el “Boletín Oficial del Estado” para los terceros. Por último, también se ordenó publicar la incoación del recurso en el “Boletín Oficial del Estado” y en el “Diari Oficial de la Generalitat de Catalunya”, lo que se llevó a efecto, respectivamente, en los núm. 176, de 24 de julio de 2015, y en el 6.926, de 3 de agosto de 2015.</w:t>
      </w:r>
    </w:p>
    <w:p w:rsidR="006B7292" w:rsidRDefault="006B7292" w:rsidP="006B7292">
      <w:pPr>
        <w:pStyle w:val="TextoNormal"/>
      </w:pPr>
    </w:p>
    <w:p w:rsidR="006B7292" w:rsidRDefault="006B7292" w:rsidP="006B7292">
      <w:pPr>
        <w:pStyle w:val="TextoNormal"/>
      </w:pPr>
      <w:r w:rsidRPr="006B7292">
        <w:rPr>
          <w:rStyle w:val="NumeroAFNegritaCaracter"/>
        </w:rPr>
        <w:t>3</w:t>
      </w:r>
      <w:r>
        <w:t>. El 14 de agosto de 2015 la Abogada de la Generalitat de Cataluña se personó en el presente recurso de inconstitucionalidad interesando la desestimación íntegra del recurso. En otrosí al citado escrito de alegaciones, solicitó el levantamiento inmediato, antes del transcurso del plazo de cinco meses, de la suspensión acordada. En apoyo de su solicitud, recuerda que es doctrina consolidada de este Tribunal que el plazo de cinco meses previsto en el art. 161.2 CE opera como límite máximo para ratificar o levantar la suspensión, pero que entre las potestades del Tribunal Constitucional se encuentra la de pronunciarse al respecto antes del transcurso de esos cinco meses, exponiendo seguidamente la doctrina de este Tribunal acerca del marco en el que debe encuadrarse la decisión sobre la ratificación o el levantamiento de la suspensión, que en concreto debe tener en cuenta la presunción de legitimidad de las leyes y la ponderación de los intereses que se pudieran ver perjudicados por la suspensión.</w:t>
      </w:r>
    </w:p>
    <w:p w:rsidR="006B7292" w:rsidRDefault="006B7292" w:rsidP="006B7292">
      <w:pPr>
        <w:pStyle w:val="TextoNormal"/>
      </w:pPr>
    </w:p>
    <w:p w:rsidR="006B7292" w:rsidRDefault="006B7292" w:rsidP="006B7292">
      <w:pPr>
        <w:pStyle w:val="TextoNormal"/>
      </w:pPr>
      <w:r>
        <w:t>A continuación, alega que el levantamiento de la suspensión de los preceptos de la Ley de Catalunya 12/2014 impugnados no produciría perjuicios ni daría lugar a situaciones consolidadas e irreversibles. En concreto, y por lo que se refiere al tributo del Estado con el que se alega que coincide, hace constar que la aplicación del tributo autonómico no interfiere en la exigibilidad del impuesto estatal sobre el combustible nuclear gastado, que se seguirá devengando sin que el Estado deje de percibir ingresos por el mismo.</w:t>
      </w:r>
    </w:p>
    <w:p w:rsidR="006B7292" w:rsidRDefault="006B7292" w:rsidP="006B7292">
      <w:pPr>
        <w:pStyle w:val="TextoNormal"/>
      </w:pPr>
    </w:p>
    <w:p w:rsidR="006B7292" w:rsidRDefault="006B7292" w:rsidP="006B7292">
      <w:pPr>
        <w:pStyle w:val="TextoNormal"/>
      </w:pPr>
      <w:r>
        <w:t>Añade que el levantamiento de la suspensión tampoco generaría daños a los sujetos pasivos del impuesto en el hipotético caso de que, al resolver el fondo, este Tribunal declarara la inconstitucionalidad del mismo, toda vez que se trata de sujetos identificados por lo que no habría dificultad para proceder a la devolución. Según la doctrina del Tribunal en incidentes similares, este dato abogaría por el levantamiento de la suspensión (se citan entre otros los AATC 417/1997, 173/2002 y 123/2013).</w:t>
      </w:r>
    </w:p>
    <w:p w:rsidR="006B7292" w:rsidRDefault="006B7292" w:rsidP="006B7292">
      <w:pPr>
        <w:pStyle w:val="TextoNormal"/>
      </w:pPr>
    </w:p>
    <w:p w:rsidR="006B7292" w:rsidRDefault="006B7292" w:rsidP="006B7292">
      <w:pPr>
        <w:pStyle w:val="TextoNormal"/>
      </w:pPr>
      <w:r>
        <w:t>Por el contrario, se sostiene, el mantenimiento de la medida cautelar de suspensión sí ocasionaría graves perjuicios a la hacienda pública de la Generalitat de Cataluña, ya que supondría una disminución de sus ingresos. Se cita en este sentido el informe de la Dirección General de Tributos de la Generalidad de Cataluña, de 10 de agosto de 2015, según el cual la recaudación en concepto del impuesto sobre la utilización del combustible nuclear para la producción de energía eléctrica estimado en la memoria de evaluación de impacto ascendía a 43.193.556 € anuales, de suerte que la pérdida de esta fuente de ingresos contribuiría a agravar la situación de las finanzas de la Generalitat de Cataluña, cuyo déficit público ascendió el año 2013 al 1,96 por 100 del PIB, frente al límite fijado por el Gobierno del 1,58 por 100; y en el año 2014 al 2,13 por 100 del PIB, más del doble del 1 por 100 fijado como objetivo por el Ministerio de Hacienda. A este perjuicio añade el derivado de la pérdida de ingresos correspondientes al gravamen sobre elementos patrimoniales afectos a actividades, regulado en la Ley 4/1997 de protección civil, al que están sujetas las centrales nucleares y del que han quedado exentas a raíz de la disposición adicional segunda de la Ley 12/2014, que exime de pago para evitar la doble tributación a que de otro modo estarían sujetas las centrales nucleares. Estos ingresos se cuantifican en 385.731 € anuales.</w:t>
      </w:r>
    </w:p>
    <w:p w:rsidR="006B7292" w:rsidRDefault="006B7292" w:rsidP="006B7292">
      <w:pPr>
        <w:pStyle w:val="TextoNormal"/>
      </w:pPr>
    </w:p>
    <w:p w:rsidR="006B7292" w:rsidRDefault="006B7292" w:rsidP="006B7292">
      <w:pPr>
        <w:pStyle w:val="TextoNormal"/>
      </w:pPr>
      <w:r w:rsidRPr="006B7292">
        <w:rPr>
          <w:rStyle w:val="NumeroAFNegritaCaracter"/>
        </w:rPr>
        <w:t>4</w:t>
      </w:r>
      <w:r>
        <w:t>. Por escrito registrado en el Tribunal Constitucional el día 26 de agosto de 2015, el Presidente del Senado comunica que, por acuerdo de la Mesa de la Cámara, se da por personada a la misma en este procedimiento y se ofrece su colaboración a los efectos del art. 88.1 LOTC.</w:t>
      </w:r>
    </w:p>
    <w:p w:rsidR="006B7292" w:rsidRDefault="006B7292" w:rsidP="006B7292">
      <w:pPr>
        <w:pStyle w:val="TextoNormal"/>
      </w:pPr>
    </w:p>
    <w:p w:rsidR="006B7292" w:rsidRDefault="006B7292" w:rsidP="006B7292">
      <w:pPr>
        <w:pStyle w:val="TextoNormal"/>
      </w:pPr>
      <w:r w:rsidRPr="006B7292">
        <w:rPr>
          <w:rStyle w:val="NumeroAFNegritaCaracter"/>
        </w:rPr>
        <w:t>5</w:t>
      </w:r>
      <w:r>
        <w:t>. Por escrito registrado en este Tribunal el 3 de septiembre de 2015, el Letrado del Parlament de Cataluña, en la representación que ostenta, comparece en el proceso y formula alegaciones interesando la desestimación del recurso de inconstitucionalidad. Igualmente solicita por otrosí el levantamiento inmediato de la citada suspensión, sin dejar transcurrir el plazo de cinco meses previsto en el art. 161.2 CE.</w:t>
      </w:r>
    </w:p>
    <w:p w:rsidR="006B7292" w:rsidRDefault="006B7292" w:rsidP="006B7292">
      <w:pPr>
        <w:pStyle w:val="TextoNormal"/>
      </w:pPr>
    </w:p>
    <w:p w:rsidR="006B7292" w:rsidRDefault="006B7292" w:rsidP="006B7292">
      <w:pPr>
        <w:pStyle w:val="TextoNormal"/>
      </w:pPr>
      <w:r>
        <w:t>El Letrado del Parlament inicia su alegato recordando la naturaleza excepcional de la suspensión de la vigencia y aplicación de las leyes, consecuencia de la presunción de constitucionalidad de las mismas, y del propio principio democrático. En ese sentido, insiste en que debe ser el Gobierno quien aporte los razonamientos y pruebas que permitan justificar la suspensión, según la doctrina de este Tribunal que cita en su escrito.</w:t>
      </w:r>
    </w:p>
    <w:p w:rsidR="006B7292" w:rsidRDefault="006B7292" w:rsidP="006B7292">
      <w:pPr>
        <w:pStyle w:val="TextoNormal"/>
      </w:pPr>
    </w:p>
    <w:p w:rsidR="006B7292" w:rsidRDefault="006B7292" w:rsidP="006B7292">
      <w:pPr>
        <w:pStyle w:val="TextoNormal"/>
      </w:pPr>
      <w:r>
        <w:t>Por lo que se refiere en concreto al impuesto impugnado en este proceso, alega que de hecho los daños y perjuicios irreparables sólo tendrían lugar si se mantuviese la suspensión, pero no si se alzase la medida. En este punto, razona que el impuesto recurrido viene a aumentar las fuentes de ingresos de la Generalitat de Cataluña, por lo que el mantenimiento de la suspensión pondría en peligro el propio cumplimiento de las obligaciones derivadas de la estabilidad presupuestaria, recogidas en el vigente art. 135 CE.</w:t>
      </w:r>
    </w:p>
    <w:p w:rsidR="006B7292" w:rsidRDefault="006B7292" w:rsidP="006B7292">
      <w:pPr>
        <w:pStyle w:val="TextoNormal"/>
      </w:pPr>
    </w:p>
    <w:p w:rsidR="006B7292" w:rsidRDefault="006B7292" w:rsidP="006B7292">
      <w:pPr>
        <w:pStyle w:val="TextoNormal"/>
      </w:pPr>
      <w:r>
        <w:t>Añade a lo anterior que el impuesto actualmente suspendido refuerza de hecho las fuentes de financiación en materia medioambiental, ya que el art. 22 de la Ley 12/2014 establece la afección de su recaudación para atender la financiación de los medios y las actividades de protección civil, así como disminuir los riesgos derivados de la actividad gravada. Asimismo, el hecho de que la misma Ley haya eximido del gravamen de protección civil a las centrales nucleares, para evitar que se produzca doble imposición, provoca que, de mantenerse la suspensión, dichas centrales no vayan a contribuir a sufragar los dispositivos y planificación de protección, ni por tanto se grave el potencial riesgo para el medio ambiente de ser usado el combustible nuclear.</w:t>
      </w:r>
    </w:p>
    <w:p w:rsidR="006B7292" w:rsidRDefault="006B7292" w:rsidP="006B7292">
      <w:pPr>
        <w:pStyle w:val="TextoNormal"/>
      </w:pPr>
    </w:p>
    <w:p w:rsidR="006B7292" w:rsidRDefault="006B7292" w:rsidP="006B7292">
      <w:pPr>
        <w:pStyle w:val="TextoNormal"/>
      </w:pPr>
      <w:r w:rsidRPr="006B7292">
        <w:rPr>
          <w:rStyle w:val="NumeroAFNegritaCaracter"/>
        </w:rPr>
        <w:t>6</w:t>
      </w:r>
      <w:r>
        <w:t>. El Pleno, por providencia de 10 de septiembre de 2015, acordó incorporar a los autos los escritos presentados por la Abogada de la Generalitat y el Letrado del Parlament de Cataluña y, atendida la solicitud de levantamiento inmediato de la suspensión acordada contenida en esos escritos, otorgar al Abogado del Estado un plazo de cinco días para que expusiera lo que estimara procedente acerca del mantenimiento o levantamiento de la suspensión.</w:t>
      </w:r>
    </w:p>
    <w:p w:rsidR="006B7292" w:rsidRDefault="006B7292" w:rsidP="006B7292">
      <w:pPr>
        <w:pStyle w:val="TextoNormal"/>
      </w:pPr>
    </w:p>
    <w:p w:rsidR="006B7292" w:rsidRDefault="006B7292" w:rsidP="006B7292">
      <w:pPr>
        <w:pStyle w:val="TextoNormal"/>
      </w:pPr>
      <w:r w:rsidRPr="006B7292">
        <w:rPr>
          <w:rStyle w:val="NumeroAFNegritaCaracter"/>
        </w:rPr>
        <w:t>7</w:t>
      </w:r>
      <w:r>
        <w:t>. El 21 de septiembre de 2015 tuvo entrada en el Tribunal el escrito de alegaciones del Abogado del Estado, interesando, con apoyo en la doctrina de este Tribunal, el mantenimiento de la suspensión de los preceptos impugnados.</w:t>
      </w:r>
    </w:p>
    <w:p w:rsidR="006B7292" w:rsidRDefault="006B7292" w:rsidP="006B7292">
      <w:pPr>
        <w:pStyle w:val="TextoNormal"/>
      </w:pPr>
    </w:p>
    <w:p w:rsidR="006B7292" w:rsidRDefault="006B7292" w:rsidP="006B7292">
      <w:pPr>
        <w:pStyle w:val="TextoNormal"/>
      </w:pPr>
      <w:r>
        <w:t>Tras recordar la doctrina de este Tribunal en los incidentes de suspensión, destaca que el principal perjuicio que produciría el levantamiento de la misma causaría una grave disfunción en la aplicación del régimen económico del sistema eléctrico.</w:t>
      </w:r>
    </w:p>
    <w:p w:rsidR="006B7292" w:rsidRDefault="006B7292" w:rsidP="006B7292">
      <w:pPr>
        <w:pStyle w:val="TextoNormal"/>
      </w:pPr>
    </w:p>
    <w:p w:rsidR="006B7292" w:rsidRDefault="006B7292" w:rsidP="006B7292">
      <w:pPr>
        <w:pStyle w:val="TextoNormal"/>
      </w:pPr>
      <w:r>
        <w:t>Se refiere a continuación a los perjuicios alegados por la Generalitat de Cataluña, refiriéndose en concreto al argumento de que este tributo tendría un reducido número de afectados, por lo que de acuerdo con la doctrina de este Tribunal debería levantarse la suspensión. Frente a ello, considera que no son trasladables a este caso los criterios que sirvieron para la adopción del ATC 123/2013 y equivalentes. Es cierto que los sujetos pasivos del impuesto son identificables, como se comprueba en el informe de la Dirección General de Política Energética y Minas, de 16 septiembre 2015, que se adjunta y al que se remite. En este sentido los sujetos pasivos son dos empresas, Endesa Generación, S.A., e Iberdrola Generación, S.A. Ahora bien, el problema no puede limitarse, a su juicio, a este hecho ya que no se trata sólo del interés de dichas empresas sino en concreto de su repercusión en los costes del sistema eléctrico, en todos los consumidores de electricidad en España, afectando así por tanto al interés general. En tal sentido recoge una cita literal del informe anterior en el que se concluye que el devengo y pago del impuesto establecido por la Ley del Parlamento de Cataluña 12/2014 repercutiría finalmente sobre el conjunto de los consumidores del sistema eléctrico, dado su carácter unificado a nivel nacional, trasladándose esta carga impositiva autonómica a nivel nacional, lo que supondría un incremento en el precio de la electricidad.</w:t>
      </w:r>
    </w:p>
    <w:p w:rsidR="006B7292" w:rsidRDefault="006B7292" w:rsidP="006B7292">
      <w:pPr>
        <w:pStyle w:val="TextoNormal"/>
      </w:pPr>
    </w:p>
    <w:p w:rsidR="006B7292" w:rsidRDefault="006B7292" w:rsidP="006B7292">
      <w:pPr>
        <w:pStyle w:val="TextoNormal"/>
      </w:pPr>
      <w:r>
        <w:t>Seguidamente expone el sistema de formación de precios en el mercado mayorista de electricidad, tras lo que considera evidente que este impuesto será repercutido por las empresas productoras de energía eléctrica obtenida en las centrales nucleares en la fijación de sus ofertas. No se dan por tanto las circunstancias que dieron lugar a la adopción del ATC 123/2013 en el que era factible la devolución de las cuotas a los afectados por el impuesto en dicho momento enjuiciado. Por el contrario, la medida impugnada en este proceso incide sobre un servicio de interés económico general tan básico como es el suministro eléctrico, afectando a todos los consumidores en España y que tiene como efecto el incremento del precio de dicho suministro eléctrico. Concluye que las cantidades devengadas e ingresadas podrán ser devueltas a las empresas eléctricas, pero no a los consumidores. Por ello, el perjuicio irreversible que se alega en los escritos de la Comunidad Autónoma por la eventual pérdida de ingresos no es comparable con la disfunción que este tributo crea en el régimen económico del sistema eléctrico. Adicionalmente se refiere también al perjuicio que la medida impugnada produce al interés particular de las empresas eléctricas porque se concentra en sólo dos empresas una cuota tributaria media anual de 43,19 millones de euros.</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objeto de la presente resolución consiste en determinar si procede levantar o mantener la suspensión de la vigencia que afecta a los arts. 1.1 c); y 21 a 30 de la Ley del Parlamento de Cataluña 12/2014, de 10 de octubre, del impuesto sobre la emisión de óxidos de nitrógeno a la atmósfera producida por la aviación comercial, del impuesto sobre la emisión de gases y partículas a la atmósfera producida por la industria y del impuesto sobre la producción de energía eléctrica de origen nuclear.</w:t>
      </w:r>
    </w:p>
    <w:p w:rsidR="006B7292" w:rsidRDefault="006B7292" w:rsidP="006B7292">
      <w:pPr>
        <w:pStyle w:val="TextoNormal"/>
      </w:pPr>
    </w:p>
    <w:p w:rsidR="006B7292" w:rsidRDefault="006B7292" w:rsidP="006B7292">
      <w:pPr>
        <w:pStyle w:val="TextoNormal"/>
      </w:pPr>
      <w:r>
        <w:t>Los preceptos impugnados contienen la regulación del impuesto sobre la producción de energía eléctrica de origen nuclear, cuya aplicación se encuentra suspendida como consecuencia de la invocación del art. 161.2 CE por el Presidente del Gobierno en su escrito de interposición del recurso de inconstitucionalidad.</w:t>
      </w:r>
    </w:p>
    <w:p w:rsidR="006B7292" w:rsidRDefault="006B7292" w:rsidP="006B7292">
      <w:pPr>
        <w:pStyle w:val="TextoNormal"/>
      </w:pPr>
    </w:p>
    <w:p w:rsidR="006B7292" w:rsidRDefault="006B7292" w:rsidP="006B7292">
      <w:pPr>
        <w:pStyle w:val="TextoNormal"/>
      </w:pPr>
      <w:r>
        <w:t>La demanda considera que el impuesto autonómico es contrario al art. 6.2 de la Ley Orgánica de financiación de las Comunidades Autónomas (LOFCA), al recaer sobre un hecho imponible ya gravado por el impuesto estatal sobre la producción de combustible nuclear gastado y residuos radiactivos resultantes de la generación de energía nucleoeléctrica, regulado en los arts. 15 a 18 de la Ley 15/2012, de 27 de diciembre, de medidas fiscales para la sostenibilidad energética.</w:t>
      </w:r>
    </w:p>
    <w:p w:rsidR="006B7292" w:rsidRDefault="006B7292" w:rsidP="006B7292">
      <w:pPr>
        <w:pStyle w:val="TextoNormal"/>
      </w:pPr>
    </w:p>
    <w:p w:rsidR="006B7292" w:rsidRDefault="006B7292" w:rsidP="006B7292">
      <w:pPr>
        <w:pStyle w:val="TextoNormal"/>
      </w:pPr>
      <w:r w:rsidRPr="006B7292">
        <w:rPr>
          <w:rStyle w:val="NumeroAFNegritaCaracter"/>
        </w:rPr>
        <w:t>2</w:t>
      </w:r>
      <w:r>
        <w:t>. De acuerdo con nuestra reiterada doctrina, para decidir si procede el mantenimiento o levantamiento de la suspensión acordada por invocación del art. 161.2 CE,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w:t>
      </w:r>
    </w:p>
    <w:p w:rsidR="006B7292" w:rsidRDefault="006B7292" w:rsidP="006B7292">
      <w:pPr>
        <w:pStyle w:val="TextoNormal"/>
      </w:pPr>
    </w:p>
    <w:p w:rsidR="006B7292" w:rsidRDefault="006B7292" w:rsidP="006B7292">
      <w:pPr>
        <w:pStyle w:val="TextoNormal"/>
      </w:pPr>
      <w:r>
        <w:t>Hemos insistido en numerosas resoluciones en que tal valoración debe efectuarse mediante el estricto examen de las situaciones de hecho creadas y al margen de la viabilidad de las pretensiones que se formulan en la demanda. Asimismo, también hemos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(en este sentido, AATC 24/2011, de 3 de marzo, FJ 2; 44/2011, de 12 de abril, FJ 2; 239/2012, de 12 de diciembre, FJ 2; 60/2013, de 26 de febrero, FJ 2; 157/2013, de 11 de julio, FJ 2, y 67/2015, de 14 de abril, FJ 1.</w:t>
      </w:r>
    </w:p>
    <w:p w:rsidR="006B7292" w:rsidRDefault="006B7292" w:rsidP="006B7292">
      <w:pPr>
        <w:pStyle w:val="TextoNormal"/>
      </w:pPr>
    </w:p>
    <w:p w:rsidR="006B7292" w:rsidRDefault="006B7292" w:rsidP="006B7292">
      <w:pPr>
        <w:pStyle w:val="TextoNormal"/>
      </w:pPr>
      <w:r w:rsidRPr="006B7292">
        <w:rPr>
          <w:rStyle w:val="NumeroAFNegritaCaracter"/>
        </w:rPr>
        <w:t>3</w:t>
      </w:r>
      <w:r>
        <w:t>. En este incidente nos corresponde únicamente determinar si los perjuicios que han sido alegados por el Abogado del Estado, sobre el que pesa la carga de acreditar la existencia de los perjuicios y la imposible o difícil reparación de los mismos, tienen la gravedad y consistencia necesarias como para prevalecer sobre la presunción de constitucionalidad de los preceptos de la Ley del Parlamento de Cataluña que se impugna.</w:t>
      </w:r>
    </w:p>
    <w:p w:rsidR="006B7292" w:rsidRDefault="006B7292" w:rsidP="006B7292">
      <w:pPr>
        <w:pStyle w:val="TextoNormal"/>
      </w:pPr>
    </w:p>
    <w:p w:rsidR="006B7292" w:rsidRDefault="006B7292" w:rsidP="006B7292">
      <w:pPr>
        <w:pStyle w:val="TextoNormal"/>
      </w:pPr>
      <w:r>
        <w:t>Como ha quedado expuesto en los antecedentes, el Abogado del Estado considera que el levantamiento de la suspensión y, por tanto, la aplicación del impuesto catalán, generaría una grave disfunción en el régimen económico del sistema eléctrico, ya que su exacción incrementaría sus costes, que serían repercutidos a todos los consumidores de España. Por ello, y pese a que el impuesto tiene como sujetos pasivos a dos entidades claramente identificadas, su repercusión a los consumidores haría muy difícil la devolución, de manera que no es posible aplicar la doctrina mantenida, entre otros, en el ATC 123/2013, de 21 de mayo, en el que se levantó la suspensión del Decreto-ley de Cataluña 5/2012, de 18 de diciembre, del impuesto sobre los depósitos en las entidades de crédito.</w:t>
      </w:r>
    </w:p>
    <w:p w:rsidR="006B7292" w:rsidRDefault="006B7292" w:rsidP="006B7292">
      <w:pPr>
        <w:pStyle w:val="TextoNormal"/>
      </w:pPr>
    </w:p>
    <w:p w:rsidR="006B7292" w:rsidRDefault="006B7292" w:rsidP="006B7292">
      <w:pPr>
        <w:pStyle w:val="TextoNormal"/>
      </w:pPr>
      <w:r>
        <w:t>Añade a lo anterior el perjuicio que el impuesto supondría a las dos grandes empresas citadas, que tendrían que soportar el pago de una cuota que asciende a cerca de 43 millones de euros.</w:t>
      </w:r>
    </w:p>
    <w:p w:rsidR="006B7292" w:rsidRDefault="006B7292" w:rsidP="006B7292">
      <w:pPr>
        <w:pStyle w:val="TextoNormal"/>
      </w:pPr>
    </w:p>
    <w:p w:rsidR="006B7292" w:rsidRDefault="006B7292" w:rsidP="006B7292">
      <w:pPr>
        <w:pStyle w:val="TextoNormal"/>
      </w:pPr>
      <w:r>
        <w:t>Como exponen las partes en el proceso, este Tribunal ha tenido en cuenta con anterioridad el hecho de que el impuesto cuya constitucionalidad se examina afecte a un número reducido e identificable de afectados por el tributo autonómico, ya que ello “permite que, en caso de una eventual futura declaración de inconstitucionalidad de la norma legal impugnada, sea fácil la identificación de los afectados y la devolución del impuesto recaudado, razón por la cual las cargas y molestias que las operaciones de devolución pudieran producir respecto a los intereses particulares de las empresas afectadas deben ceder ante los más graves perjuicios que para los intereses generales de la Hacienda de la Comunidad Autónoma tendría la merma de los ingresos presupuestados” (AATC 173/2002, de 1 de octubre, FJ 3; 123/2013, de 21 de mayo, FJ 6; y 154/2013, de 9 de julio, FJ 5). En aplicación de dicha doctrina este Tribunal resolvió, respectivamente, levantar la suspensión de la vigencia de la Ley de la Asamblea de Extremadura 14/2001, de 29 de noviembre, del impuesto sobre depósitos de las entidades de crédito (ATC 174/2002), así como del impuesto homónimo establecido por la misma Comunidad Autónoma de Cataluña (AATC 123 y 154 de 2013). Más recientemente, y establecido por esta misma Comunidad Autónoma, el impuesto sobre la provisión de contenidos por parte de los prestadores de servicios de comunicaciones electrónicas y de fomento del sector y de la difusión de la cultura digital (ATC, de 18 de noviembre, recurso de inconstitucionalidad 4567-2015). A la misma conclusión se llegó, en el ATC 253/1992, de 9 de septiembre, en relación con la Ley del Parlamento de las Illes Balears 12/1991, de 20 de diciembre, reguladora del impuesto sobre instalaciones que incidan en el medio ambiente. En este caso se trataba también, como en el presente, de un tributo que podía tener alguna incidencia sobre los costes del suministro eléctrico y ser trasladado a los consumidores finales, si bien entonces este Tribunal consideró que no se trataba de un riesgo efectivo, toda vez que “en su práctica totalidad se trata de precios autorizados, no fijados libremente por el mercado y, en consecuencia, la repercusión que, como riesgo, apunta el Abogado del Estado, de producirse, no tendrá lugar de forma automática, ni inmediata, ni incontrolable por parte de los poderes públicos” (ATC 253/1992, FJ 3).</w:t>
      </w:r>
    </w:p>
    <w:p w:rsidR="006B7292" w:rsidRDefault="006B7292" w:rsidP="006B7292">
      <w:pPr>
        <w:pStyle w:val="TextoNormal"/>
      </w:pPr>
    </w:p>
    <w:p w:rsidR="006B7292" w:rsidRDefault="006B7292" w:rsidP="006B7292">
      <w:pPr>
        <w:pStyle w:val="TextoNormal"/>
      </w:pPr>
      <w:r>
        <w:t>Frente a ello, en aquellos casos en los que los afectados por la medida es mucho mayor, el carácter excesivamente oneroso de las cargas y costes que, en su caso, conllevarían las operaciones de devolución de las cantidades ya ingresadas, tanto para los sujetos afectados como para la propia Administración autonómica, sí pueden justificar la suspensión de la norma impugnada. Así se concluyó en los AATC 122/2013, de 21 de mayo, FJ 5 b) y 142/2013, de 4 de junio, FJ 3 c), en relación con el “euro por receta”, en el que la decisión de mantener la suspensión se fundó en el coste que para la propia Comunidad Autónoma habría resultado a consecuencia del alto número de contribuyentes. En efecto, tuvimos allí en cuenta “no sólo el carácter excesivamente oneroso de las cargas, molestias y costes que, en su caso, conllevarían para los sujetos pasivos las operaciones de devolución de las cantidades ya ingresadas, sino también para la propia Administración autonómica, que se vería obligada a arbitrar un procedimiento de devolución individualizado con unos costes de gestión que, incluso, podrían llegar a superar la cuantía recaudada por la propia exacción de la tasa” [ATC 122/2013, FJ 5 b)].</w:t>
      </w:r>
    </w:p>
    <w:p w:rsidR="006B7292" w:rsidRDefault="006B7292" w:rsidP="006B7292">
      <w:pPr>
        <w:pStyle w:val="TextoNormal"/>
      </w:pPr>
    </w:p>
    <w:p w:rsidR="006B7292" w:rsidRDefault="006B7292" w:rsidP="006B7292">
      <w:pPr>
        <w:pStyle w:val="TextoNormal"/>
      </w:pPr>
      <w:r w:rsidRPr="006B7292">
        <w:rPr>
          <w:rStyle w:val="NumeroAFNegritaCaracter"/>
        </w:rPr>
        <w:t>4</w:t>
      </w:r>
      <w:r>
        <w:t>. Como ha quedado expuesto, en el presente proceso el Abogado del Estado considera que, si bien son sólo dos los sujetos pasivos del impuesto, su repercusión en la estructura de costes del suministro eléctrico supondría que la afectación tuviera carácter masivo de los afectados, pues se procedería a repercutir el coste del impuesto, de suerte que todos los consumidores de electricidad de España verían incrementada su factura. Según este alegato, estaríamos por tanto ante un supuesto similar al decidido en los citados AATC 122 y 142 de 2013, ya que el coste de una eventual recuperación del impuesto superaría, con creces, la propia recaudación del impuesto.</w:t>
      </w:r>
    </w:p>
    <w:p w:rsidR="006B7292" w:rsidRDefault="006B7292" w:rsidP="006B7292">
      <w:pPr>
        <w:pStyle w:val="TextoNormal"/>
      </w:pPr>
    </w:p>
    <w:p w:rsidR="006B7292" w:rsidRDefault="006B7292" w:rsidP="006B7292">
      <w:pPr>
        <w:pStyle w:val="TextoNormal"/>
      </w:pPr>
      <w:r>
        <w:t>Este argumento debe ser sin embargo desestimado partiendo del propio alegato del Abogado del Estado, que no prueba que la repercusión del coste a la factura de la electricidad resulte inmediata. Antes al contrario, el propio examen del sistema de retribución de los sujetos que operan en el sector eléctrico permite concluir que la afectación masiva a los consumidores, que el Abogado del Estado plantea como principal perjuicio, es sólo una posibilidad no inmediata. En efecto, lejos de ser un efecto automático, la vigente Ley 24/2013, de 26 de diciembre, del sector eléctrico, establece que será el Gobierno, previo informe de la Comisión Nacional de los Mercados y la Competencia, el encargado de establecer la metodología de cálculo de los cargos que deberán satisfacer los consumidores y, en su caso, los productores de energía eléctrica, y que cubrirán los costes del sistema que se determinen, sin perjuicio de lo dispuesto para los peajes de transporte y distribución. En la determinación de dichos cargos, los artículos 16 (“peajes de acceso a las redes y cargos asociados a los costes del sistema”) y 17 (“precios voluntarios para el pequeño consumidor y tarifas de último recurso”) de la citada Ley prevén la posibilidad de que se pueda tener en cuenta, como suplemento territorial, el coste de los eventuales impuestos establecidos, en aquellos casos, como el presente, en los que las actividades eléctricas hubieran sido gravadas con un tributo autonómico (art. 16.4 y 17.6 Ley 24/2013). En concreto, y como expusimos en la reciente STC 136/2015, de 11 de junio, FJ 6, en relación con la regulación, similar en este punto, contenida en la Ley 54/1997, de 27 de noviembre, del sector eléctrico, la norma deja en manos del propio Estado la posibilidad de decidir si se mantiene un precio uniforme en todo el territorio nacional o si, por el contrario, se lleva a cabo una repercusión de los tributos, autonómicos o locales, que recaigan sobre las actividades eléctricas. Al mismo tiempo, el Estado puede optar entre que se repercuta o no el eventual tributo, en función por ejemplo de que estime que la misma resulta, o no, perjudicial para el régimen económico del sector eléctrico (SSTC 136/2015, 168/2004, de 6 de octubre, FJ 11; y 148/2011, de 28 de septiembre, FJ 5).</w:t>
      </w:r>
    </w:p>
    <w:p w:rsidR="006B7292" w:rsidRDefault="006B7292" w:rsidP="006B7292">
      <w:pPr>
        <w:pStyle w:val="TextoNormal"/>
      </w:pPr>
    </w:p>
    <w:p w:rsidR="006B7292" w:rsidRDefault="006B7292" w:rsidP="006B7292">
      <w:pPr>
        <w:pStyle w:val="TextoNormal"/>
      </w:pPr>
      <w:r>
        <w:t>Debemos en consecuencia descartar que estemos ante un supuesto similar al decidido en el ATC 122/2013, de 21 de mayo, en relación con las tasas sobre los actos preparatorios y los servicios accesorios de mejora de la información inherentes al proceso para la prescripción y dispensación de medicamentos y productos sanitarios mediante la emisión de recetas médicas y órdenes de dispensación (el denominado “euro por receta”), y por la prestación de servicios personales y materiales en el ámbito de la administración de la Administración de Justicia, en el que habida cuenta el gran número de sujetos pasivos afectados.</w:t>
      </w:r>
    </w:p>
    <w:p w:rsidR="006B7292" w:rsidRDefault="006B7292" w:rsidP="006B7292">
      <w:pPr>
        <w:pStyle w:val="TextoNormal"/>
      </w:pPr>
    </w:p>
    <w:p w:rsidR="006B7292" w:rsidRDefault="006B7292" w:rsidP="006B7292">
      <w:pPr>
        <w:pStyle w:val="TextoNormal"/>
      </w:pPr>
      <w:r>
        <w:t>Por último, el Abogado del Estado invoca también como perjuicio la afectación que al interés particular de las dos empresas sujetos pasivos del impuesto supone la misma, toda vez que deberán afrontar, ellas dos, el pago de una cuota tributaria media anual de 43,19 millones de euros.</w:t>
      </w:r>
    </w:p>
    <w:p w:rsidR="006B7292" w:rsidRDefault="006B7292" w:rsidP="006B7292">
      <w:pPr>
        <w:pStyle w:val="TextoNormal"/>
      </w:pPr>
    </w:p>
    <w:p w:rsidR="006B7292" w:rsidRDefault="006B7292" w:rsidP="006B7292">
      <w:pPr>
        <w:pStyle w:val="TextoNormal"/>
      </w:pPr>
      <w:r>
        <w:t>Debemos también desestimar este argumento, pues como hemos afirmado en tantos incidentes similares sobre el levantamiento de la suspensión de tributos autonómicos, en tanto se produce una decisión sobre el fondo del asunto, estos supuestos perjuicios alegados por el Abogado del Estado no pueden prevalecer sobre la presunción de legitimidad de la Ley tributaria autonómica. A ello debe añadirse, como también se ha reiterado, que “el reducido número de afectados por el tributo autonómico permite que, en caso de una eventual futura declaración de inconstitucionalidad de la norma legal impugnada, sea fácil la identificación de los afectados y la devolución del impuesto recaudado, razón por la cual las cargas y molestias que las operaciones de devolución pudieran producir respecto a los intereses particulares de las empresas afectadas deben ceder ante los más graves perjuicios que para los intereses generales de la Hacienda de la Comunidad Autónoma tendría la merma de los ingresos presupuestados” (por todos, AATC 253/1992, de 9 de septiembre, FJ 3; 417/1997, de 16 de diciembre, FJ 2; 72/1999, de 23 de marzo, FJ 4; 5/2002, de 15 de enero, FJ 5, y 173/2002, de 1 de octubre, FJ 4).</w:t>
      </w:r>
    </w:p>
    <w:p w:rsidR="006B7292" w:rsidRDefault="006B7292" w:rsidP="006B7292">
      <w:pPr>
        <w:pStyle w:val="TextoNormal"/>
      </w:pPr>
    </w:p>
    <w:p w:rsidR="006B7292" w:rsidRDefault="006B7292" w:rsidP="006B7292">
      <w:pPr>
        <w:pStyle w:val="TextoNormal"/>
      </w:pPr>
      <w:r>
        <w:t>A partir de lo anterior, y de acuerdo con la decisión adoptada en tantos otros supuestos similares, procede levantar en este caso la suspensión.</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Levantar la suspensión de los arts. 1.1 c) y 21 a 30 de la Ley del Parlamento de Cataluña 12/2014, de 10 de octubre, del impuesto sobre la emisión de óxidos de nitrógeno a la atmósfera producida por la aviación comercial, del impuesto sobre la emisión de gases y partículas a la atmósfera producida por la industria y del impuesto sobre la producción de energía eléctrica de origen nuclear.</w:t>
      </w:r>
    </w:p>
    <w:p w:rsidR="006B7292" w:rsidRDefault="006B7292" w:rsidP="006B7292">
      <w:pPr>
        <w:pStyle w:val="TextoNormal"/>
      </w:pPr>
    </w:p>
    <w:p w:rsidR="006B7292" w:rsidRDefault="006B7292" w:rsidP="006B7292">
      <w:pPr>
        <w:pStyle w:val="TextoNormal"/>
      </w:pPr>
      <w:r>
        <w:t>Madrid, a uno de diciembre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17" w:name="AUTO_2015_203"/>
      <w:r>
        <w:t>AUTO 203/2015, de 2 de diciembre de 2015</w:t>
      </w:r>
    </w:p>
    <w:bookmarkEnd w:id="217"/>
    <w:p w:rsidR="006B7292" w:rsidRDefault="006B7292" w:rsidP="006B7292">
      <w:pPr>
        <w:pStyle w:val="TtuloResolucin"/>
      </w:pPr>
      <w:r>
        <w:t>Sección Primera</w:t>
      </w:r>
    </w:p>
    <w:p w:rsidR="006B7292" w:rsidRDefault="006B7292" w:rsidP="006B7292">
      <w:pPr>
        <w:pStyle w:val="TextoNormalCentrado"/>
      </w:pPr>
      <w:r>
        <w:t>ECLI:ES:TC:2015:203A</w:t>
      </w:r>
    </w:p>
    <w:p w:rsidR="006B7292" w:rsidRDefault="006B7292" w:rsidP="006B7292">
      <w:pPr>
        <w:pStyle w:val="TextoNormalCentrado"/>
      </w:pPr>
    </w:p>
    <w:p w:rsidR="006B7292" w:rsidRDefault="006B7292" w:rsidP="006B7292">
      <w:pPr>
        <w:pStyle w:val="SntesisDescriptiva"/>
      </w:pPr>
      <w:r>
        <w:t>Excms. Srs. don Francisco Pérez de los Cobos Orihuel, doña Encarnación Roca Trías y don Juan Antonio Xiol Ríos.</w:t>
      </w:r>
    </w:p>
    <w:p w:rsidR="006B7292" w:rsidRDefault="006B7292" w:rsidP="006B7292">
      <w:pPr>
        <w:pStyle w:val="SntesisDescriptiva"/>
      </w:pPr>
    </w:p>
    <w:p w:rsidR="006B7292" w:rsidRDefault="006B7292" w:rsidP="006B7292">
      <w:pPr>
        <w:pStyle w:val="TtuloResolucin"/>
      </w:pPr>
      <w:r>
        <w:t>*Este auto no incorpora doctrina constitucional.</w:t>
      </w:r>
    </w:p>
    <w:p w:rsidR="006B7292" w:rsidRDefault="006B7292">
      <w:pPr>
        <w:spacing w:after="160" w:line="259" w:lineRule="auto"/>
        <w:rPr>
          <w:rFonts w:ascii="Times New Roman" w:eastAsia="Times New Roman" w:hAnsi="Times New Roman" w:cs="Times New Roman"/>
          <w:b/>
          <w:sz w:val="24"/>
          <w:szCs w:val="24"/>
          <w:lang w:eastAsia="es-ES"/>
        </w:rPr>
      </w:pPr>
      <w:r>
        <w:br w:type="page"/>
      </w:r>
    </w:p>
    <w:p w:rsidR="006B7292" w:rsidRDefault="006B7292" w:rsidP="006B7292">
      <w:pPr>
        <w:pStyle w:val="TtuloResolucin"/>
      </w:pPr>
      <w:bookmarkStart w:id="218" w:name="AUTO_2015_204"/>
      <w:r>
        <w:t>AUTO 204/2015, de 2 de diciembre de 2015</w:t>
      </w:r>
    </w:p>
    <w:bookmarkEnd w:id="218"/>
    <w:p w:rsidR="006B7292" w:rsidRDefault="006B7292" w:rsidP="006B7292">
      <w:pPr>
        <w:pStyle w:val="TtuloResolucin"/>
      </w:pPr>
      <w:r>
        <w:t>Sección Primera</w:t>
      </w:r>
    </w:p>
    <w:p w:rsidR="006B7292" w:rsidRDefault="006B7292" w:rsidP="006B7292">
      <w:pPr>
        <w:pStyle w:val="TextoNormalCentrado"/>
      </w:pPr>
      <w:r>
        <w:t>ECLI:ES:TC:2015:204A</w:t>
      </w:r>
    </w:p>
    <w:p w:rsidR="006B7292" w:rsidRDefault="006B7292" w:rsidP="006B7292">
      <w:pPr>
        <w:pStyle w:val="TextoNormalCentrado"/>
      </w:pPr>
    </w:p>
    <w:p w:rsidR="006B7292" w:rsidRDefault="006B7292" w:rsidP="006B7292">
      <w:pPr>
        <w:pStyle w:val="SntesisDescriptiva"/>
      </w:pPr>
      <w:r>
        <w:t>Excms. Srs. don Francisco Pérez de los Cobos Orihuel, doña Encarnación Roca Trías y don Juan Antonio Xiol Ríos.</w:t>
      </w:r>
    </w:p>
    <w:p w:rsidR="006B7292" w:rsidRDefault="006B7292" w:rsidP="006B7292">
      <w:pPr>
        <w:pStyle w:val="SntesisDescriptiva"/>
      </w:pPr>
    </w:p>
    <w:p w:rsidR="006B7292" w:rsidRDefault="006B7292" w:rsidP="006B7292">
      <w:pPr>
        <w:pStyle w:val="TtuloResolucin"/>
      </w:pPr>
      <w:r>
        <w:t>*Este auto no incorpora doctrina constitucional.</w:t>
      </w:r>
    </w:p>
    <w:p w:rsidR="006B7292" w:rsidRDefault="006B7292">
      <w:pPr>
        <w:spacing w:after="160" w:line="259" w:lineRule="auto"/>
        <w:rPr>
          <w:rFonts w:ascii="Times New Roman" w:eastAsia="Times New Roman" w:hAnsi="Times New Roman" w:cs="Times New Roman"/>
          <w:b/>
          <w:sz w:val="24"/>
          <w:szCs w:val="24"/>
          <w:lang w:eastAsia="es-ES"/>
        </w:rPr>
      </w:pPr>
      <w:r>
        <w:br w:type="page"/>
      </w:r>
    </w:p>
    <w:p w:rsidR="006B7292" w:rsidRDefault="006B7292" w:rsidP="006B7292">
      <w:pPr>
        <w:pStyle w:val="TtuloResolucin"/>
      </w:pPr>
      <w:bookmarkStart w:id="219" w:name="AUTO_2015_205"/>
      <w:r>
        <w:t>AUTO 205/2015, de 4 de diciembre de 2015</w:t>
      </w:r>
    </w:p>
    <w:bookmarkEnd w:id="219"/>
    <w:p w:rsidR="006B7292" w:rsidRDefault="006B7292" w:rsidP="006B7292">
      <w:pPr>
        <w:pStyle w:val="TtuloResolucin"/>
      </w:pPr>
      <w:r>
        <w:t>Sección Segunda</w:t>
      </w:r>
    </w:p>
    <w:p w:rsidR="006B7292" w:rsidRDefault="006B7292" w:rsidP="006B7292">
      <w:pPr>
        <w:pStyle w:val="TextoNormalCentrado"/>
      </w:pPr>
      <w:r>
        <w:t>ECLI:ES:TC:2015:205A</w:t>
      </w:r>
    </w:p>
    <w:p w:rsidR="006B7292" w:rsidRDefault="006B7292" w:rsidP="006B7292">
      <w:pPr>
        <w:pStyle w:val="TextoNormalCentrado"/>
      </w:pPr>
    </w:p>
    <w:p w:rsidR="006B7292" w:rsidRDefault="006B7292" w:rsidP="006B7292">
      <w:pPr>
        <w:pStyle w:val="SntesisDescriptiva"/>
      </w:pPr>
      <w:r>
        <w:t>Excms. Srs. don Andrés Ollero Tassara y don Santiago Martínez-Vares García.</w:t>
      </w:r>
    </w:p>
    <w:p w:rsidR="006B7292" w:rsidRDefault="006B7292" w:rsidP="006B7292">
      <w:pPr>
        <w:pStyle w:val="SntesisDescriptiva"/>
      </w:pPr>
    </w:p>
    <w:p w:rsidR="006B7292" w:rsidRDefault="006B7292" w:rsidP="006B7292">
      <w:pPr>
        <w:pStyle w:val="SntesisDescriptiva"/>
      </w:pPr>
      <w:r>
        <w:t>Desestima el recurso de súplica del Ministerio Fiscal sobre inadmisión del recurso de amparo 2677-2015, promovido por don José Antonio Otero Arias en pleito civil.</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recibido en el Registro General de este Tribunal Constitucional el 11 de mayo de 2015, la Procuradora doña Mónica de la Paloma Fente Delgado en nombre y representación de don José Antonio Otero Arias, interpuso recurso de amparo contra el Auto de 8 de abril de 2015 dictado por el Juzgado de Primera Instancia e Instrucción núm. 1 de Chantada, desestimatorio del incidente de nulidad de actuaciones instado contra las actuaciones derivadas del procedimiento de ejecución de títulos judiciales núm. 837-2010.</w:t>
      </w:r>
    </w:p>
    <w:p w:rsidR="006B7292" w:rsidRDefault="006B7292" w:rsidP="006B7292">
      <w:pPr>
        <w:pStyle w:val="TextoNormal"/>
      </w:pPr>
    </w:p>
    <w:p w:rsidR="006B7292" w:rsidRDefault="006B7292" w:rsidP="006B7292">
      <w:pPr>
        <w:pStyle w:val="TextoNormal"/>
      </w:pPr>
      <w:r w:rsidRPr="006B7292">
        <w:rPr>
          <w:rStyle w:val="NumeroAFNegritaCaracter"/>
        </w:rPr>
        <w:t>2</w:t>
      </w:r>
      <w:r>
        <w:t>. La Sección Segunda de este Tribunal, mediante providencia de 13 de octubre de 2015, acordó inadmitir a trámite la demanda de amparo, de conformidad con el art. 50.1 a) en relación con el art. 44.2, ambos de la Ley Orgánica del Tribunal Constitucional (LOTC), por extemporaneidad, toda vez que el recurso había sido presentado fuera de plazo.</w:t>
      </w:r>
    </w:p>
    <w:p w:rsidR="006B7292" w:rsidRDefault="006B7292" w:rsidP="006B7292">
      <w:pPr>
        <w:pStyle w:val="TextoNormal"/>
      </w:pPr>
    </w:p>
    <w:p w:rsidR="006B7292" w:rsidRDefault="006B7292" w:rsidP="006B7292">
      <w:pPr>
        <w:pStyle w:val="TextoNormal"/>
      </w:pPr>
      <w:r w:rsidRPr="006B7292">
        <w:rPr>
          <w:rStyle w:val="NumeroAFNegritaCaracter"/>
        </w:rPr>
        <w:t>3</w:t>
      </w:r>
      <w:r>
        <w:t>. Contra la referida providencia el Ministerio Fiscal, mediante escrito presentado el 13 de noviembre de 2015, interpuso recurso de súplica, alegando que son varias las resoluciones dictadas por el Juzgado de Primera Instancia e Instrucción núm. 1 de Chantada, siendo la última de ellas el Auto resolutorio del incidente de nulidad dictado en fecha de 8 de abril de 2015. Dicho Auto fue notificado el 15 de abril al propio recurrente y el 13 de abril al Procurador, por lo que tomando en consideración cualquiera de las dos fechas se habría producido un lapso temporal de 17 o 19 días que en ningún caso habría excedido del plazo legalmente establecido para la presentación de la demanda de amparo. Solicitando, en consecuencia el Ministerio Fiscal, que se deje sin efecto la providencia de inadmisión.</w:t>
      </w:r>
    </w:p>
    <w:p w:rsidR="006B7292" w:rsidRDefault="006B7292" w:rsidP="006B7292">
      <w:pPr>
        <w:pStyle w:val="TextoNormal"/>
      </w:pPr>
    </w:p>
    <w:p w:rsidR="006B7292" w:rsidRDefault="006B7292" w:rsidP="006B7292">
      <w:pPr>
        <w:pStyle w:val="TextoNormal"/>
      </w:pPr>
      <w:r w:rsidRPr="006B7292">
        <w:rPr>
          <w:rStyle w:val="NumeroAFNegritaCaracter"/>
        </w:rPr>
        <w:t>4</w:t>
      </w:r>
      <w:r>
        <w:t>. Por diligencia de ordenación de 17 de noviembre de 2015 se acordó dar traslado del recurso de súplica al demandante, para que en el plazo de tres días alegara lo que estimase pertinente, de conformidad con el art. 93.2 LOTC. Su representación procesal presentó el 25 de noviembre de 2015 escrito en el que se adhiere al recurso de súplica interpuesto por el Ministerio Fiscal.</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Ministerio Fiscal parte de la notificación de la última de las resoluciones dictadas, en concreto del Auto de 8 de abril de 2015 dictado por el Juzgado de Primera Instancia e Instrucción núm. 1 de Chantada, y considera que se habría respetado el plazo de interposición del recurso de amparo que prevé el art. 44.2 de la Ley Orgánica del Tribunal Constitucional (LOTC).</w:t>
      </w:r>
    </w:p>
    <w:p w:rsidR="006B7292" w:rsidRDefault="006B7292" w:rsidP="006B7292">
      <w:pPr>
        <w:pStyle w:val="TextoNormal"/>
      </w:pPr>
    </w:p>
    <w:p w:rsidR="006B7292" w:rsidRDefault="006B7292" w:rsidP="006B7292">
      <w:pPr>
        <w:pStyle w:val="TextoNormal"/>
      </w:pPr>
      <w:r>
        <w:t xml:space="preserve">Planteada la cuestión en tales términos, es de ver si el cómputo del plazo de presentación de la demanda debe iniciarse con la notificación del referido Auto, como afirma el Ministerio Fiscal, o bien, si la supuesta vulneración traída ahora en amparo se materializó en resoluciones anteriores que agotaron la vía jurisdiccional determinando que el </w:t>
      </w:r>
      <w:r w:rsidRPr="006B7292">
        <w:rPr>
          <w:i/>
        </w:rPr>
        <w:t>dies a quo</w:t>
      </w:r>
      <w:r>
        <w:t xml:space="preserve"> del cómputo del plazo fuera anterior.</w:t>
      </w:r>
    </w:p>
    <w:p w:rsidR="006B7292" w:rsidRDefault="006B7292" w:rsidP="006B7292">
      <w:pPr>
        <w:pStyle w:val="TextoNormal"/>
      </w:pPr>
    </w:p>
    <w:p w:rsidR="006B7292" w:rsidRDefault="006B7292" w:rsidP="006B7292">
      <w:pPr>
        <w:pStyle w:val="TextoNormal"/>
      </w:pPr>
      <w:r>
        <w:t>Conviene a tales efectos recordar que según reiterada doctrina de este Tribunal, el plazo legal de treinta días que establece el art. 44.2 LOTC para la interposición del recurso de amparo es de caducidad, improrrogable, no susceptible de suspensión y en modo alguno puede quedar al arbitrio de las partes. Por ello no cabe su alargamiento o suspensión mediante la prolongación artificial de la vía judicial previa al recurso de amparo a través de la interposición de recursos manifiestamente improcedentes, de modo que el tiempo invertido en la resolución de esos medios de impugnación manifiestamente improcedentes, cuando exceda del plazo establecido para presentar el recurso de amparo, determinará la extemporaneidad de éste (por todas, STC 200/2012, de 12 de noviembre, FJ 2, y las que en ella se citan)</w:t>
      </w:r>
    </w:p>
    <w:p w:rsidR="006B7292" w:rsidRDefault="006B7292" w:rsidP="006B7292">
      <w:pPr>
        <w:pStyle w:val="TextoNormal"/>
      </w:pPr>
    </w:p>
    <w:p w:rsidR="006B7292" w:rsidRDefault="006B7292" w:rsidP="006B7292">
      <w:pPr>
        <w:pStyle w:val="TextoNormal"/>
      </w:pPr>
      <w:r>
        <w:t>Ahora bien, la interpretación de lo que debe entenderse por recurso manifiestamente improcedente debe realizarse, como recuerda la mencionada STC 200/2012 ,en todo caso de forma restrictiva en aras a la armonización de las exigencias del principio de seguridad jurídica y del derecho a la tutela judicial efectiva, limitando su apreciación a los casos en que tal improcedencia derive de manera terminante, clara e inequívoca del propio texto legal, sin dudas que hayan de resolverse con criterios interpretativos de alguna dificultad. Y en lo que se refiere al incidente de nulidad de actuaciones, con arreglo a lo dispuesto en el párrafo primero del art. 241.1 de la Ley Orgánica del Poder Judicial (en la redacción que le ha dado la Ley Orgánica 6/2007, de 24 de mayo), debe afirmarse que “no es un recurso más, sino un remedio al que se puede acudir ‘excepcionalmente’ para reparar la vulneración de un derecho fundamental de los referidos en el art. 53.2 CE, ‘siempre que no haya podido denunciarse antes de recaer resolución que ponga fin al proceso y siempre que dicha resolución no sea susceptible de recurso ordinario ni extraordinario’” (STC 200/2012, FJ 2).</w:t>
      </w:r>
    </w:p>
    <w:p w:rsidR="006B7292" w:rsidRDefault="006B7292" w:rsidP="006B7292">
      <w:pPr>
        <w:pStyle w:val="TextoNormal"/>
      </w:pPr>
    </w:p>
    <w:p w:rsidR="006B7292" w:rsidRDefault="006B7292" w:rsidP="006B7292">
      <w:pPr>
        <w:pStyle w:val="TextoNormal"/>
      </w:pPr>
      <w:r w:rsidRPr="006B7292">
        <w:rPr>
          <w:rStyle w:val="NumeroAFNegritaCaracter"/>
        </w:rPr>
        <w:t>2</w:t>
      </w:r>
      <w:r>
        <w:t>. Para dar respuesta al recurso de súplica interpuesto por el Ministerio Fiscal, es obligado reflejar cual ha sido el iter procesal por el que ha discurrido el procedimiento de ejecución de títulos judiciales seguido con el núm. 837-2010 ante el Juzgado de Primera Instancia e Instrucción núm. 1 de Chantada.</w:t>
      </w:r>
    </w:p>
    <w:p w:rsidR="006B7292" w:rsidRDefault="006B7292" w:rsidP="006B7292">
      <w:pPr>
        <w:pStyle w:val="TextoNormal"/>
      </w:pPr>
    </w:p>
    <w:p w:rsidR="006B7292" w:rsidRDefault="006B7292" w:rsidP="006B7292">
      <w:pPr>
        <w:pStyle w:val="TextoNormal"/>
      </w:pPr>
      <w:r>
        <w:t xml:space="preserve">En tal sentido, la controversia judicial de la que trae causa el recurso de amparo se manifiesta en la ejecución de la Sentencia que condenaba al ahora demandante de amparo —que sustituyó, por sucesión </w:t>
      </w:r>
      <w:r w:rsidRPr="006B7292">
        <w:rPr>
          <w:i/>
        </w:rPr>
        <w:t>mortis-causa</w:t>
      </w:r>
      <w:r>
        <w:t xml:space="preserve"> a la inicialmente demandada— a restituir el goce pacífico de la servidumbre de acueducto a favor de la finca del ejecutante, realizando a tal fin las obras que fueran necesarias. Tras diversas incidencias, que versaron sobre la naturaleza del pronunciamiento de la Sentencia y la concreción de las obras a ejecutar, el referido Juzgado resolvió por Auto de 30 de diciembre de 2013, indicando que “el informe pericial aportado a las actuaciones por el ejecutante, ratificado en el acto de la vista y explicado pormenorizadamente, resuelve la contienda con la colocación de un tubo de hormigón que restituirá el agua tal y como se ordenó en sentencia.”.</w:t>
      </w:r>
    </w:p>
    <w:p w:rsidR="006B7292" w:rsidRDefault="006B7292" w:rsidP="006B7292">
      <w:pPr>
        <w:pStyle w:val="TextoNormal"/>
      </w:pPr>
    </w:p>
    <w:p w:rsidR="006B7292" w:rsidRDefault="006B7292" w:rsidP="006B7292">
      <w:pPr>
        <w:pStyle w:val="TextoNormal"/>
      </w:pPr>
      <w:r>
        <w:t xml:space="preserve">Frente a dicha resolución el demandante de amparo interpuso recurso de apelación en el que formulaba como único motivo de impugnación que “la ejecución de la sentencia en los términos que propone es inviable al afectar al propietario de una finca que no fue parte en el proceso (la 584)” </w:t>
      </w:r>
      <w:r w:rsidRPr="006B7292">
        <w:rPr>
          <w:i/>
        </w:rPr>
        <w:t>sic</w:t>
      </w:r>
      <w:r>
        <w:t>. Dicho recurso fue desestimado por Auto de 5 de marzo de 2014, dictado por la Sección Primera de la Audiencia Provincial de Lugo, en cuyo razonamiento jurídico además de recriminar al ejecutado “la oposición manifiesta y sin verdadera causa al cumplimiento de la resolución dictada”, refiere que “el informe pericial aportado a las actuaciones por el ejecutante … resuelve la cuestión al señalar que basta con la colocación de un tubo de hormigón que restituirá el agua tal y como se ordenó por esta Audiencia”. Al pie del Auto se expresaba la naturaleza irrecurrible del mismo, siendo desestimada ulteriormente por Auto de 2 de abril de 2014 la aclaración interesada por el demandante de amparo.</w:t>
      </w:r>
    </w:p>
    <w:p w:rsidR="006B7292" w:rsidRDefault="006B7292" w:rsidP="006B7292">
      <w:pPr>
        <w:pStyle w:val="TextoNormal"/>
      </w:pPr>
    </w:p>
    <w:p w:rsidR="006B7292" w:rsidRDefault="006B7292" w:rsidP="006B7292">
      <w:pPr>
        <w:pStyle w:val="TextoNormal"/>
      </w:pPr>
      <w:r>
        <w:t>Transcurridos varios meses, en concreto el 28 de enero de 2015, el demandante de amparo, presenta ante el Juzgado de Primera Instancia e Instrucción de Chantada incidente de nulidad de actuaciones en el que resucita su decaída pretensión de nulidad, derivada de la pretensión de indefensión ocasionada por afectar el procedimiento al propietario de la finca núm. 584, que no había sido parte en el procedimiento —advirtiendo ahora, que el titular dominical era el propio demandante de amparo desde hacía varios años—. Por Auto de 8 de abril de 2015 se desestima el incidente de nulidad apreciando temeridad e imponiendo sanción.</w:t>
      </w:r>
    </w:p>
    <w:p w:rsidR="006B7292" w:rsidRDefault="006B7292" w:rsidP="006B7292">
      <w:pPr>
        <w:pStyle w:val="TextoNormal"/>
      </w:pPr>
    </w:p>
    <w:p w:rsidR="006B7292" w:rsidRDefault="006B7292" w:rsidP="006B7292">
      <w:pPr>
        <w:pStyle w:val="TextoNormal"/>
      </w:pPr>
      <w:r>
        <w:t>En la demanda de amparo se plantea nuevamente la supuesta indefensión sufrida al afectar la servidumbre de acueducto a la finca núm. 584, propiedad del demandante, sin que éste hubiera sido parte en el procedimiento.</w:t>
      </w:r>
    </w:p>
    <w:p w:rsidR="006B7292" w:rsidRDefault="006B7292" w:rsidP="006B7292">
      <w:pPr>
        <w:pStyle w:val="TextoNormal"/>
      </w:pPr>
    </w:p>
    <w:p w:rsidR="006B7292" w:rsidRDefault="006B7292" w:rsidP="006B7292">
      <w:pPr>
        <w:pStyle w:val="TextoNormal"/>
      </w:pPr>
      <w:r>
        <w:t>Pues bien, de lo expuesto resulta que dicha vulneración ya la denunció el demandante de amparo en el recurso de apelación que fue desestimado por Auto de la Sección Primera de la Audiencia Provincial de Lugo de 5 de marzo de 2014, sin que contra el mismo pudiera interponerse recurso alguno. Ni tan siquiera cabía la posibilidad de alegar mediante el incidente de nulidad de actuaciones la indefensión sufrida, al haber sido invocada en el previo recurso de apelación. Resuelto el recurso de aclaración contra dicho Auto, en ese momento la vía judicial quedó agotada y comenzaba el cómputo del plazo para interponer el recurso de amparo.</w:t>
      </w:r>
    </w:p>
    <w:p w:rsidR="006B7292" w:rsidRDefault="006B7292" w:rsidP="006B7292">
      <w:pPr>
        <w:pStyle w:val="TextoNormal"/>
      </w:pPr>
    </w:p>
    <w:p w:rsidR="006B7292" w:rsidRDefault="006B7292" w:rsidP="006B7292">
      <w:pPr>
        <w:pStyle w:val="TextoNormal"/>
      </w:pPr>
      <w:r>
        <w:t>Es indudable que, en las circunstancias que concurren en este caso, la formulación ocho meses después del incidente de nulidad de actuaciones ante el Juzgado de Primera Instancia e Instrucción, reiterando la pretendida indefensión sufrida por el propietario de la finca núm. 584 (a la postre el propio demandante), no solo era manifiestamente improcedente —de temeraria fue calificada por el Juzgado—, sino que era inútil para revocar un pronunciamiento firme de la Audiencia Provincial. Por ello debemos concluir que no puede computarse el plazo del art. 44.2 LOTC desde la notificación al recurrente del Auto desestimando el incidente de nulidad, como pretende el Ministerio Fiscal, sino desde que se le notificó el Auto de 2 de abril de 2014 por el que se desestimó la aclaración solicitada frente al Auto de la Audiencia Provincial de Lugo de 5 de marzo de 2014 que desestimó la nulidad interesada por la indefensión denunciada. De este modo, cuando se presenta la demanda de amparo el 11 de mayo de 2015, había transcurrido con creces el plazo de treinta días previsto en el art. 44.2 LOTC para la interposición del recurso de amparo, por lo que el mismo resulta extemporáneo.</w:t>
      </w:r>
    </w:p>
    <w:p w:rsidR="006B7292" w:rsidRDefault="006B7292" w:rsidP="006B7292">
      <w:pPr>
        <w:pStyle w:val="TextoNormal"/>
      </w:pPr>
    </w:p>
    <w:p w:rsidR="006B7292" w:rsidRDefault="006B7292" w:rsidP="006B7292">
      <w:pPr>
        <w:pStyle w:val="TextoNormal"/>
      </w:pPr>
      <w:r>
        <w:t>Por todo lo expuesto, la Sección</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Desestimar el recurso de súplica interpuesto por el Ministerio Fiscal contra la providencia de 13 de octubre de 2015.</w:t>
      </w:r>
    </w:p>
    <w:p w:rsidR="006B7292" w:rsidRDefault="006B7292" w:rsidP="006B7292">
      <w:pPr>
        <w:pStyle w:val="TextoNormal"/>
      </w:pPr>
    </w:p>
    <w:p w:rsidR="006B7292" w:rsidRDefault="006B7292" w:rsidP="006B7292">
      <w:pPr>
        <w:pStyle w:val="TextoNormal"/>
      </w:pPr>
      <w:r>
        <w:t>Madrid, a cuatro de diciembre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20" w:name="AUTO_2015_206"/>
      <w:r>
        <w:t>AUTO 206/2015, de 9 de diciembre de 2015</w:t>
      </w:r>
    </w:p>
    <w:bookmarkEnd w:id="220"/>
    <w:p w:rsidR="006B7292" w:rsidRDefault="006B7292" w:rsidP="006B7292">
      <w:pPr>
        <w:pStyle w:val="TtuloResolucin"/>
      </w:pPr>
      <w:r>
        <w:t>Sección Primera</w:t>
      </w:r>
    </w:p>
    <w:p w:rsidR="006B7292" w:rsidRDefault="006B7292" w:rsidP="006B7292">
      <w:pPr>
        <w:pStyle w:val="TextoNormalCentrado"/>
      </w:pPr>
      <w:r>
        <w:t>ECLI:ES:TC:2015:206A</w:t>
      </w:r>
    </w:p>
    <w:p w:rsidR="006B7292" w:rsidRDefault="006B7292" w:rsidP="006B7292">
      <w:pPr>
        <w:pStyle w:val="TextoNormalCentrado"/>
      </w:pPr>
    </w:p>
    <w:p w:rsidR="006B7292" w:rsidRDefault="006B7292" w:rsidP="006B7292">
      <w:pPr>
        <w:pStyle w:val="SntesisDescriptiva"/>
      </w:pPr>
      <w:r>
        <w:t>Excms. Srs. don Francisco Pérez de los Cobos Orihuel, doña Encarnación Roca Trías y don Juan Antonio Xiol Ríos.</w:t>
      </w:r>
    </w:p>
    <w:p w:rsidR="006B7292" w:rsidRDefault="006B7292" w:rsidP="006B7292">
      <w:pPr>
        <w:pStyle w:val="SntesisDescriptiva"/>
      </w:pPr>
    </w:p>
    <w:p w:rsidR="006B7292" w:rsidRDefault="006B7292" w:rsidP="006B7292">
      <w:pPr>
        <w:pStyle w:val="TtuloResolucin"/>
      </w:pPr>
      <w:r>
        <w:t>*Este auto no incorpora doctrina constitucional.</w:t>
      </w:r>
    </w:p>
    <w:p w:rsidR="006B7292" w:rsidRDefault="006B7292">
      <w:pPr>
        <w:spacing w:after="160" w:line="259" w:lineRule="auto"/>
        <w:rPr>
          <w:rFonts w:ascii="Times New Roman" w:eastAsia="Times New Roman" w:hAnsi="Times New Roman" w:cs="Times New Roman"/>
          <w:b/>
          <w:sz w:val="24"/>
          <w:szCs w:val="24"/>
          <w:lang w:eastAsia="es-ES"/>
        </w:rPr>
      </w:pPr>
      <w:r>
        <w:br w:type="page"/>
      </w:r>
    </w:p>
    <w:p w:rsidR="006B7292" w:rsidRDefault="006B7292" w:rsidP="006B7292">
      <w:pPr>
        <w:pStyle w:val="TtuloResolucin"/>
      </w:pPr>
      <w:bookmarkStart w:id="221" w:name="AUTO_2015_207"/>
      <w:r>
        <w:t>AUTO 207/2015, de 14 de diciembre de 2015</w:t>
      </w:r>
    </w:p>
    <w:bookmarkEnd w:id="221"/>
    <w:p w:rsidR="006B7292" w:rsidRDefault="006B7292" w:rsidP="006B7292">
      <w:pPr>
        <w:pStyle w:val="TtuloResolucin"/>
      </w:pPr>
      <w:r>
        <w:t>Sala Primera</w:t>
      </w:r>
    </w:p>
    <w:p w:rsidR="006B7292" w:rsidRDefault="006B7292" w:rsidP="006B7292">
      <w:pPr>
        <w:pStyle w:val="TextoNormalCentrado"/>
      </w:pPr>
      <w:r>
        <w:t>ECLI:ES:TC:2015:207A</w:t>
      </w:r>
    </w:p>
    <w:p w:rsidR="006B7292" w:rsidRDefault="006B7292" w:rsidP="006B7292">
      <w:pPr>
        <w:pStyle w:val="TextoNormalCentrado"/>
      </w:pPr>
    </w:p>
    <w:p w:rsidR="006B7292" w:rsidRDefault="006B7292" w:rsidP="006B7292">
      <w:pPr>
        <w:pStyle w:val="SntesisDescriptiva"/>
      </w:pPr>
      <w:r>
        <w:t>Excms. Srs. don Francisco Pérez de los Cobos Orihuel, doña Encarnación Roca Trías, don Andrés Ollero Tassara, don Santiago Martínez-Vares García y don Juan Antonio Xiol Ríos.</w:t>
      </w:r>
    </w:p>
    <w:p w:rsidR="006B7292" w:rsidRDefault="006B7292" w:rsidP="006B7292">
      <w:pPr>
        <w:pStyle w:val="SntesisDescriptiva"/>
      </w:pPr>
    </w:p>
    <w:p w:rsidR="006B7292" w:rsidRDefault="006B7292" w:rsidP="006B7292">
      <w:pPr>
        <w:pStyle w:val="SntesisDescriptiva"/>
      </w:pPr>
      <w:r>
        <w:t>Deniega la suspensión en el recurso de amparo 114-2015, promovido por el Ayuntamiento de Toledo en proceso contencioso-administrativo.</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día 8 de enero de 2015 tuvo entrada en el Registro General de este Tribunal Constitucional, un escrito del Procurador de los Tribunales don Alberto Collado Martín, en nombre y representación del Ayuntamiento de Toledo, por el que interponía recurso de amparo contra las siguientes resoluciones: (i) la Sentencia de la Sección Primera de la Sala de lo Contencioso-Administrativo del Tribunal Superior de Justicia de Castilla-La Mancha, de 15 de diciembre de 2011, estimatoria de recurso contencioso-administrativo interpuesto contra la entidad aquí recurrente; (ii) el Auto de la Sección Primera de la Sala de lo Contencioso-Administrativo del Tribunal Supremo, de 3 de abril de 2014, que declaró la pérdida sobrevenida del objeto del recurso de casación interpuesto contra dicha Sentencia; y (iii) el Auto de 23 de octubre de 2014, de la misma Sala y Sección del Tribunal Supremo, que desestimó el incidente de nulidad de actuaciones promovido contra el citado Auto de 3 de abril de 2014. La demanda les atribuye la vulneración de los derechos a la tutela judicial efectiva (art. 24.1 CE) y a un proceso con todas las garantías (art. 24.2 CE), por exceso de jurisdicción.</w:t>
      </w:r>
    </w:p>
    <w:p w:rsidR="006B7292" w:rsidRDefault="006B7292" w:rsidP="006B7292">
      <w:pPr>
        <w:pStyle w:val="TextoNormal"/>
      </w:pPr>
    </w:p>
    <w:p w:rsidR="006B7292" w:rsidRDefault="006B7292" w:rsidP="006B7292">
      <w:pPr>
        <w:pStyle w:val="TextoNormal"/>
      </w:pPr>
      <w:r w:rsidRPr="006B7292">
        <w:rPr>
          <w:rStyle w:val="NumeroAFNegritaCaracter"/>
        </w:rPr>
        <w:t>2</w:t>
      </w:r>
      <w:r>
        <w:t>. Sucintamente, los hechos relevantes para resolver la pretensión de suspensión de la demandante son los siguientes:</w:t>
      </w:r>
    </w:p>
    <w:p w:rsidR="006B7292" w:rsidRDefault="006B7292" w:rsidP="006B7292">
      <w:pPr>
        <w:pStyle w:val="TextoNormal"/>
      </w:pPr>
    </w:p>
    <w:p w:rsidR="006B7292" w:rsidRDefault="006B7292" w:rsidP="006B7292">
      <w:pPr>
        <w:pStyle w:val="TextoNormal"/>
      </w:pPr>
      <w:r>
        <w:t>a) La Sección Primera de la Sala de lo Contencioso-Administrativo del Tribunal Superior de Justicia de Castilla-La Mancha dictó Sentencia el 15 de diciembre de 2011 estimando el recurso contencioso-administrativo núm. 542-2007, promovido “contra la Orden de 26 de marzo de 2007 de la Consejería de Vivienda y Urbanismo por la que se aprueba definitivamente el Plan de Ordenación Municipal del Toledo, el cual se declara contrario a derecho y se anula”.</w:t>
      </w:r>
    </w:p>
    <w:p w:rsidR="006B7292" w:rsidRDefault="006B7292" w:rsidP="006B7292">
      <w:pPr>
        <w:pStyle w:val="TextoNormal"/>
      </w:pPr>
    </w:p>
    <w:p w:rsidR="006B7292" w:rsidRDefault="006B7292" w:rsidP="006B7292">
      <w:pPr>
        <w:pStyle w:val="TextoNormal"/>
      </w:pPr>
      <w:r>
        <w:t xml:space="preserve">Como </w:t>
      </w:r>
      <w:r w:rsidRPr="006B7292">
        <w:rPr>
          <w:i/>
        </w:rPr>
        <w:t>ratio decidendi</w:t>
      </w:r>
      <w:r>
        <w:t xml:space="preserve"> de esta Sentencia, la Sala de instancia aprecia que el plan debía haberse sometido a un segundo trámite de información pública, dadas las sustanciales modificaciones introducidas respecto al proyecto objeto inicialmente de información pública. Con aplicación de doctrina precedente de la Sala Tercera del Tribunal Supremo, señala que a esta exigencia de nuevo trámite de información no obsta el tenor del art. 36.2 a) del texto refundido de la Ley de ordenación del territorio y de la actividad urbanística de Castilla-La Mancha (Decreto Legislativo 1/2004, de 28 de diciembre), precepto que expresamente dispensa de abrir nuevo trámite en tal circunstancia, resultando sin embargo que el mismo se opone a lo previsto por la norma básica del Estado en la materia, el art. 6.1 de la Ley 6/1998, de 13 de abril, sobre el régimen del suelo y valoraciones, todos ellos entonces vigentes, dando lugar a que la Sala de instancia no aplicara la norma autonómica por ese motivo.</w:t>
      </w:r>
    </w:p>
    <w:p w:rsidR="006B7292" w:rsidRDefault="006B7292" w:rsidP="006B7292">
      <w:pPr>
        <w:pStyle w:val="TextoNormal"/>
      </w:pPr>
    </w:p>
    <w:p w:rsidR="006B7292" w:rsidRDefault="006B7292" w:rsidP="006B7292">
      <w:pPr>
        <w:pStyle w:val="TextoNormal"/>
      </w:pPr>
      <w:r>
        <w:t>b) Contra la Sentencia de 15 de diciembre de 2011 se interpuso recurso de casación por el Ayuntamiento de Toledo (núm. 226-2012), dictando la Sección Primera de la Sala de lo Contencioso-Administrativo del Tribunal Supremo, Auto de 3 de abril de 2014 por el que acuerda: “declarar la pérdida sobrevenida de objeto de los recursos de casación interpuestos en el rollo 226-2012 por la Junta de Comunidades de Castilla-La Mancha y por el Ayuntamiento de Toledo”.</w:t>
      </w:r>
    </w:p>
    <w:p w:rsidR="006B7292" w:rsidRDefault="006B7292" w:rsidP="006B7292">
      <w:pPr>
        <w:pStyle w:val="TextoNormal"/>
      </w:pPr>
    </w:p>
    <w:p w:rsidR="006B7292" w:rsidRDefault="006B7292" w:rsidP="006B7292">
      <w:pPr>
        <w:pStyle w:val="TextoNormal"/>
      </w:pPr>
      <w:r>
        <w:t>El Auto pone de relieve la sustancial identidad de objeto del citado recurso con el resuelto en sentido desestimatorio por la Sección Quinta de la misma Sala Tercera del Alto Tribunal en su Sentencia de 27 de febrero de 2014 (recurso de casación núm. 5116-2011), promovido también por el Ayuntamiento de Toledo contra Sentencia del Tribunal Superior de Justicia de Castilla-La Mancha de 26 de julio de 2011, por la que la Sala de instancia anuló la Orden de 26 de marzo de 2007 de la Consejería de Vivienda y Urbanismo por la que se aprueba definitivamente el plan de ordenación municipal de Toledo, Sentencia esta última que queda confirmada. Seguidamente, en su razonamiento jurídico segundo el Auto indica: “esta circunstancia sobrevenida priva de objeto a los recursos de casación que ahora examinamos, pues carece de sentido que, aunque sea por la vía de enjuiciar el contenido de la sentencia aquí recurrida, nos pronunciemos sobre si es o no ajustada a derecho una disposición de carácter general —tal es la naturaleza de los planes de ordenación— que ya ha sido declarada nula por sentencia firme y que, por tanto, ha sido expulsada del ordenamiento jurídico”. Cita en su apoyo el art. 72.2 de la Ley 29/1998, reguladora de la jurisdicción contencioso-administrativa, afirmando que “o bien carece de interés abundar o insistir en una nulidad ya declarada, o bien resulta nocivo para la seguridad jurídica contradecir o alterar lo ya señalado por sentencia firme”.</w:t>
      </w:r>
    </w:p>
    <w:p w:rsidR="006B7292" w:rsidRDefault="006B7292" w:rsidP="006B7292">
      <w:pPr>
        <w:pStyle w:val="TextoNormal"/>
      </w:pPr>
    </w:p>
    <w:p w:rsidR="006B7292" w:rsidRDefault="006B7292" w:rsidP="006B7292">
      <w:pPr>
        <w:pStyle w:val="TextoNormal"/>
      </w:pPr>
      <w:r>
        <w:t>Y remacha en el razonamiento jurídico tercero, concluyendo que “los presentes recursos de casación han quedado privado de objeto”.</w:t>
      </w:r>
    </w:p>
    <w:p w:rsidR="006B7292" w:rsidRDefault="006B7292" w:rsidP="006B7292">
      <w:pPr>
        <w:pStyle w:val="TextoNormal"/>
      </w:pPr>
    </w:p>
    <w:p w:rsidR="006B7292" w:rsidRDefault="006B7292" w:rsidP="006B7292">
      <w:pPr>
        <w:pStyle w:val="TextoNormal"/>
      </w:pPr>
      <w:r>
        <w:t>c) Promovido incidente de nulidad de actuaciones por el Ayuntamiento de Toledo contra esta resolución, fundado en las mismas razones invocadas por dicha parte en el incidente de nulidad instado contra la Sentencia de 27 de febrero de 2014 a la que se ha hecho referencia, la Sección Primera de la Sala de lo Contencioso-Administrativo del Tribunal Supremo dictó Auto el 23 de octubre de 2014 en desestimación de lo pedido, trasladando para ello los argumentos ya vertidos en el Auto de 15 de julio de 2014, por el que había desestimado a su vez el incidente de nulidad instado contra la referida Sentencia de 27 de febrero de 2014.</w:t>
      </w:r>
    </w:p>
    <w:p w:rsidR="006B7292" w:rsidRDefault="006B7292" w:rsidP="006B7292">
      <w:pPr>
        <w:pStyle w:val="TextoNormal"/>
      </w:pPr>
    </w:p>
    <w:p w:rsidR="006B7292" w:rsidRDefault="006B7292" w:rsidP="006B7292">
      <w:pPr>
        <w:pStyle w:val="TextoNormal"/>
      </w:pPr>
      <w:r w:rsidRPr="006B7292">
        <w:rPr>
          <w:rStyle w:val="NumeroAFNegritaCaracter"/>
        </w:rPr>
        <w:t>3</w:t>
      </w:r>
      <w:r>
        <w:t>. La demanda de amparo alega la vulneración de los derechos a la tutela judicial efectiva (art. 24.1 CE) y a un proceso con todas las garantías (art. 24.2 CE), por incurrir las resoluciones impugnadas en un exceso de jurisdicción, consistente en no aplicar una ley autonómica vigente que resultaba pertinente al caso —aduciendo haber seleccionado una norma estatal básica—, sin plantear antes cuestión de inconstitucionalidad del art. 163 CE ante este Tribunal Constitucional con el fin de obtener un pronunciamiento sobre ello, tal y como exige nuestra doctrina, que al efecto se invoca (SSTC 73/2000, 104/2000, 120/2000, 173/2002, 66/2011, 187/2012 y 177/2013). Este exceso de jurisdicción produjo además, según la demanda, que se haya colocado al Ayuntamiento de Toledo en una “situación de efectiva indefensión, pues ni tuvo oportunidad ni ocasión de prever, dado el sometimiento judicial al imperio de la ley, tal preterición del sistema de fuentes, ni pudo hacer uso del trámite de alegaciones del artículo 35 LOTC”.</w:t>
      </w:r>
    </w:p>
    <w:p w:rsidR="006B7292" w:rsidRDefault="006B7292" w:rsidP="006B7292">
      <w:pPr>
        <w:pStyle w:val="TextoNormal"/>
      </w:pPr>
    </w:p>
    <w:p w:rsidR="006B7292" w:rsidRDefault="006B7292" w:rsidP="006B7292">
      <w:pPr>
        <w:pStyle w:val="TextoNormal"/>
      </w:pPr>
      <w:r>
        <w:t>Por “otrosí tercero digo” en la misma demanda, se solicitó la suspensión de los efectos de las resoluciones judiciales recurridas en amparo. Con cita del art. 56.2 de la Ley Orgánica del Tribunal Constitucional (LOTC) y doctrina general de este Tribunal sobre la posibilidad de acordar la suspensión de las resoluciones firmes, argumenta la parte que en el presente caso, de no concederse ésta, se causaría un perjuicio que haría perder al amparo su finalidad, dado que dichas resoluciones han procedido a anular el plan general de ordenación municipal de Toledo aprobado el 26 de marzo de 2007, el cual en estos años ha “desplegado plenamente efectos a través de diversos planes parciales, estudios de detalle y otros instrumentos de planeamiento así como multitud de actos de desarrollo ejecución (especialmente licencias), a los que aún han de seguir otros muchos hasta el cumplimiento de la política territorial, urbanística, medioambiental y social plasmada en aquel Plan General”. Prosigue el escrito diciendo que no acordar la suspensión supondría la paralización del plan y el “restablecimiento de la situación urbanística de Toledo a la situación anterior al mismo, con la consiguiente demolición de cuanto se ha construido al amparo de la nueva ordenación municipal de 2007”. Y añade: “Los perjuicios que con ello se habrían de provocar serían indiscriminados para todas las personas que han decidido invertir en la ciudad de Toledo, provocando una verdadera catástrofe de consecuencias incalculables…”.</w:t>
      </w:r>
    </w:p>
    <w:p w:rsidR="006B7292" w:rsidRDefault="006B7292" w:rsidP="006B7292">
      <w:pPr>
        <w:pStyle w:val="TextoNormal"/>
      </w:pPr>
    </w:p>
    <w:p w:rsidR="006B7292" w:rsidRDefault="006B7292" w:rsidP="006B7292">
      <w:pPr>
        <w:pStyle w:val="TextoNormal"/>
      </w:pPr>
      <w:r>
        <w:t>Se alega también que la suspensión viene exigida por los intereses generales, prevalentes éstos frente al exclusivo interés particular del actor en la instancia, además de que la medida no afectaría a los derechos fundamentales ni a las libertades de terceros. Se invoca por último el art. 30 LOTC, respecto a la no suspensión de disposiciones generales que son objeto de planteamiento de una cuestión de constitucionalidad admitida a trámite por este Tribunal, precepto que se habría aplicado si los órganos judiciales competentes, “como debió haberse hecho”, hubieran elevado la cuestión.</w:t>
      </w:r>
    </w:p>
    <w:p w:rsidR="006B7292" w:rsidRDefault="006B7292" w:rsidP="006B7292">
      <w:pPr>
        <w:pStyle w:val="TextoNormal"/>
      </w:pPr>
    </w:p>
    <w:p w:rsidR="006B7292" w:rsidRDefault="006B7292" w:rsidP="006B7292">
      <w:pPr>
        <w:pStyle w:val="TextoNormal"/>
      </w:pPr>
      <w:r w:rsidRPr="006B7292">
        <w:rPr>
          <w:rStyle w:val="NumeroAFNegritaCaracter"/>
        </w:rPr>
        <w:t>4</w:t>
      </w:r>
      <w:r>
        <w:t>. Por providencia de 5 de octubre de 2015, la Sala Primera acordó admitir a trámite el recurso de amparo, “apreciando que concurre en el mismo una especial trascendencia constitucional (art. 50.1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w:t>
      </w:r>
    </w:p>
    <w:p w:rsidR="006B7292" w:rsidRDefault="006B7292" w:rsidP="006B7292">
      <w:pPr>
        <w:pStyle w:val="TextoNormal"/>
      </w:pPr>
    </w:p>
    <w:p w:rsidR="006B7292" w:rsidRDefault="006B7292" w:rsidP="006B7292">
      <w:pPr>
        <w:pStyle w:val="TextoNormal"/>
      </w:pPr>
      <w:r w:rsidRPr="006B7292">
        <w:rPr>
          <w:rStyle w:val="NumeroAFNegritaCaracter"/>
        </w:rPr>
        <w:t>5</w:t>
      </w:r>
      <w:r>
        <w:t>. El propio día 5 de octubre de 2015, mediante nueva providencia de la Sala Primera de este Tribunal se acordó “formar con el precedente testimonio la presente pieza separada de suspensión” y, de conformidad con lo prevenido en el art. 56 LOTC, conceder plazo común de tres días al Ministerio Fiscal y al solicitante del amparo para formular alegaciones.</w:t>
      </w:r>
    </w:p>
    <w:p w:rsidR="006B7292" w:rsidRDefault="006B7292" w:rsidP="006B7292">
      <w:pPr>
        <w:pStyle w:val="TextoNormal"/>
      </w:pPr>
    </w:p>
    <w:p w:rsidR="006B7292" w:rsidRDefault="006B7292" w:rsidP="006B7292">
      <w:pPr>
        <w:pStyle w:val="TextoNormal"/>
      </w:pPr>
      <w:r w:rsidRPr="006B7292">
        <w:rPr>
          <w:rStyle w:val="NumeroAFNegritaCaracter"/>
        </w:rPr>
        <w:t>6</w:t>
      </w:r>
      <w:r>
        <w:t>. Por escrito de 14 de octubre de 2015, la representación procesal de la recurrente mantuvo la petición de suspensión de los efectos de las resoluciones judiciales impugnadas, afirmando que ésta resulta procedente “[m]ás aún, tras la reciente STC, de esta Sala Primera, de 21 de septiembre de 2015 (recurso 6011-2014)”.</w:t>
      </w:r>
    </w:p>
    <w:p w:rsidR="006B7292" w:rsidRDefault="006B7292" w:rsidP="006B7292">
      <w:pPr>
        <w:pStyle w:val="TextoNormal"/>
      </w:pPr>
    </w:p>
    <w:p w:rsidR="006B7292" w:rsidRDefault="006B7292" w:rsidP="006B7292">
      <w:pPr>
        <w:pStyle w:val="TextoNormal"/>
      </w:pPr>
      <w:r>
        <w:t xml:space="preserve">En sustento de su afirmación, tras exponer las razones por las que se ha venido defendiendo la directa relación entre este recurso de amparo y el identificado con el núm. 6011-2014, lo que trae consigo que “los motivos y fundamentos de las demandas de amparo son idénticos”, el escrito incide en el sentido estimatorio de la Sentencia de la Sala Primera de este Tribunal, de 21 de septiembre de 2015, resolutoria de aquel recurso núm. 6011-2014, que otorga el amparo al Ayuntamiento de Toledo por vulneración de los mismos derechos fundamentales invocados aquí como infringidos. Al parecer de la corporación local recurrente, esta declaración de nulidad del Tribunal conforma un </w:t>
      </w:r>
      <w:r w:rsidRPr="006B7292">
        <w:rPr>
          <w:i/>
        </w:rPr>
        <w:t>fumus boni iuris</w:t>
      </w:r>
      <w:r>
        <w:t xml:space="preserve"> justificativo de la medida de suspensión, en línea con lo afirmado en similar sentido por la doctrina constitucional en materia de recursos de inconstitucionalidad, con cita de los AATC 243/1993 y 78/1987.</w:t>
      </w:r>
    </w:p>
    <w:p w:rsidR="006B7292" w:rsidRDefault="006B7292" w:rsidP="006B7292">
      <w:pPr>
        <w:pStyle w:val="TextoNormal"/>
      </w:pPr>
    </w:p>
    <w:p w:rsidR="006B7292" w:rsidRDefault="006B7292" w:rsidP="006B7292">
      <w:pPr>
        <w:pStyle w:val="TextoNormal"/>
      </w:pPr>
      <w:r>
        <w:t>Se ocupa en segundo lugar el escrito de alegaciones, de concretar los perjuicios “irreparables, reales y concretos que se derivarían de la no suspensión de las resoluciones judiciales impugnadas”, acompañando como documento de apoyo un informe firmado por un arquitecto municipal. En tal sentido, se refiere en primer término a la “protección del interés ecológico y medioambiental en el POM del año 2007” sobre ciertas zonas que identifica, citando doctrina del Tribunal sobre la protección del medioambiente como valor superior y su consideración como criterio para acordar la suspensión de normas en recursos de inconstitucionalidad (cita los AATC 353/1995, de 20 de diciembre, FJ 2; 88/2008, de 2 de abril; 34/2009, de 27 de enero; 225/2009, de 27 de julio; 227/2009, de 10 de diciembre; 56/2010, de 29 de mayo, y 114/2011, de 19 de julio). En segundo lugar, indica la protección que acomete aquel mismo plan sobre el patrimonio histórico, artístico y cultural, a través de la carta arqueológica incorporada al mismo, con una zonificación de Toledo dividida en “ámbitos de protección arqueológica" y “ámbitos de prevención arqueológica”, así como también mediante el catálogo de bienes de protección monumental, lo cual debe ser ponderado para resolver la suspensión (con cita del ATC 104/2010, de 28 de julio). En tercer y último lugar, se habla en el escrito de alegaciones de “grandes infraestructuras de la ciudad” que quedarían afectadas, como autopistas, puentes, o el Hospital General de Toledo, así como zonas de equipamiento público.</w:t>
      </w:r>
    </w:p>
    <w:p w:rsidR="006B7292" w:rsidRDefault="006B7292" w:rsidP="006B7292">
      <w:pPr>
        <w:pStyle w:val="TextoNormal"/>
      </w:pPr>
    </w:p>
    <w:p w:rsidR="006B7292" w:rsidRDefault="006B7292" w:rsidP="006B7292">
      <w:pPr>
        <w:pStyle w:val="TextoNormal"/>
      </w:pPr>
      <w:r>
        <w:t>Finalmente, se reitera la invocación hecha en la demanda al art. 30 LOTC, por cuanto de haberse planteado la cuestión de inconstitucionalidad, no se hubiera suspendido la vigencia ni la aplicación de la ley autonómica, cuyo indebido desplazamiento por las resoluciones recurridas es lo que ha provocado la anulación del plan.</w:t>
      </w:r>
    </w:p>
    <w:p w:rsidR="006B7292" w:rsidRDefault="006B7292" w:rsidP="006B7292">
      <w:pPr>
        <w:pStyle w:val="TextoNormal"/>
      </w:pPr>
    </w:p>
    <w:p w:rsidR="006B7292" w:rsidRDefault="006B7292" w:rsidP="006B7292">
      <w:pPr>
        <w:pStyle w:val="TextoNormal"/>
      </w:pPr>
      <w:r w:rsidRPr="006B7292">
        <w:rPr>
          <w:rStyle w:val="NumeroAFNegritaCaracter"/>
        </w:rPr>
        <w:t>7</w:t>
      </w:r>
      <w:r>
        <w:t>. Con fecha de 16 de octubre de 2015 tuvo entrada en el Registro General de este Tribunal, escrito del Fiscal, en el que considera que “no procede acceder a la suspensión solicitada por la Administración recurrente … sin perjuicio de que por el Tribunal Constitucional se pondere la Sentencia dictada por el mismo con fecha 21 de septiembre de 2015 (recurso de amparo 6011-2014), a los efectos de acordar de oficio la suspensión” de las resoluciones recurridas.</w:t>
      </w:r>
    </w:p>
    <w:p w:rsidR="006B7292" w:rsidRDefault="006B7292" w:rsidP="006B7292">
      <w:pPr>
        <w:pStyle w:val="TextoNormal"/>
      </w:pPr>
    </w:p>
    <w:p w:rsidR="006B7292" w:rsidRDefault="006B7292" w:rsidP="006B7292">
      <w:pPr>
        <w:pStyle w:val="TextoNormal"/>
      </w:pPr>
      <w:r>
        <w:t>Así, luego de relatar los antecedentes procesales que dan lugar a las resoluciones recurridas en este amparo y destacar el hecho de su identidad de objeto con el del recurso de amparo núm. 6011-2014, donde se denegó la solicitud de suspensión realizada por la misma entidad recurrente, el Fiscal indica que, a tenor de la STC de 21 de septiembre de 2015, la STS de 27 de febrero de 2014 ha quedado sin efecto, por lo que la eventual ejecución de aquella Sentencia no se puede producir (art. 55 LOTC), toda vez que ha sido anulada, y consiguientemente tampoco podría producir efectos en el presente procedimiento. Por su parte, respecto a las resoluciones recurridas en el presente recurso de amparo, se recuerda la doctrina establecida en el ATC 117/2015, de 6 de julio, por el que no se accedía a la suspensión solicitada en relación con la ejecución de la Sentencia de 26 de julio de 2011 del Tribunal Superior de Justicia de Castilla-La Mancha. En aplicación de dicha doctrina (fundamento jurídico 4) y dado que las argumentaciones de la solicitud de suspensión son sustanciales a las planteadas en el recurso de amparo 6011-2014 en que dicho Auto denegatorio se dictó, también aquí el Fiscal considera improcedente la suspensión solicitada. A tal conclusión no es óbice el escrito de alegaciones presentado por el Ayuntamiento de Toledo, dado que, por un lado, se remite a las consideraciones efectuadas en la demanda, y por otro, considera que, en cuanto a los concretos y reales perjuicios a que se hace referencia, más bien se trataría de las consecuencias de la aplicación de una normativa preexistente y de la demora en la ejecución de proyectos, pero sin que su falta de desarrollo pueda equipararse a perjuicio irreversible, máxime cuando esta situación aún está condicionada por la decisión que se adopte por el Tribunal Superior de Justicia de Castilla-La Mancha en ejecución de la STC de 21 de septiembre de 2015, que acordó la retroacción de actuaciones. Todo ello sin perjuicio de que se reitere la solicitud en un futuro (art. 57 LOTC y ATC 26/2011, FJ 3).</w:t>
      </w:r>
    </w:p>
    <w:p w:rsidR="006B7292" w:rsidRDefault="006B7292" w:rsidP="006B7292">
      <w:pPr>
        <w:pStyle w:val="TextoNormal"/>
      </w:pPr>
    </w:p>
    <w:p w:rsidR="006B7292" w:rsidRDefault="006B7292" w:rsidP="006B7292">
      <w:pPr>
        <w:pStyle w:val="TextoNormal"/>
      </w:pPr>
      <w:r>
        <w:t xml:space="preserve">Añade el Fiscal que el hecho de que la STC de 21 de septiembre de 2015 haya dejado sin efecto la STS de 27 de febrero de 2014 significa que el plan deja de estar anulado en el proceso núm. 556-2007 del Tribunal Superior de Justicia de Castilla-La Mancha. De esta manera, indica, el ATS aquí impugnado —que acuerda la pérdida sobrevenida de objeto—, cuya </w:t>
      </w:r>
      <w:r w:rsidRPr="006B7292">
        <w:rPr>
          <w:i/>
        </w:rPr>
        <w:t>ratio decidendi</w:t>
      </w:r>
      <w:r>
        <w:t xml:space="preserve"> es la preexistencia de la STS de 27 de febrero de 2014, queda huérfano de todo fundamento, si bien, en cuanto no está anulado, continúa desplegando todos sus efectos, y, por tanto, la confirmación de la Sentencia del Tribunal Superior de Justicia de Castilla-La Mancha de 18 de julio de 2011, y, consecuentemente, la nulidad del plan de ordenación de Toledo. Remarca el Fiscal el carácter paradójico y contradictorio de la situación, pues los efectos de la Sentencia del Tribunal Constitucional se ven constreñidos por la eficacia de la Sentencia y Auto aquí recurridos, que siguen desplegando sus efectos cuando la razón de su fundamento —la STS de 27 de febrero de 2014— se encuentra anulada. Tales resoluciones aquí recurridas, indica, hacen prevalecer la anulación de un plan que por virtud de la STC de 21 de septiembre de 2015 ha dejado de estar anulado. Afirma que, siendo cierto que los efectos del amparo solo se proyectan sobre el proceso en que se acuerda, se produce una situación de incertidumbre e inseguridad jurídica, pues no es posible que un plan de ordenación se encuentre a su vez vigente y nulo. A su entender, esta situación significaría un perjuicio actual por la simultaneidad de sentencias contradictorias que despliegan conjuntamente su eficacia, poniendo de relieve que la resolución aquí impugnada se sobrepondría sobre el pronunciamiento de amparo y haría perder a este segundo amparo su finalidad, al continuar aplicándose el plan de 2007 fuera del proceso a que se refiere el recurso de amparo 6011-2014, en tanto el recurso actual no fuera objeto de resolución. En evitación de este resultado incoherente, contrario a la seguridad jurídica (art. 9.3 CE) y a la ejecutividad de las resoluciones judiciales y del propio Tribunal Constitucional, como manifestación del derecho a la tutela judicial efectiva (art. 24.1 CE), considera que existiría un interés público en que sea respetada la realidad jurídica surgida tras la STC reseñada, por lo que debería acomodarse la situación a lo acordado en ella. Recuerda por último que el art. 56.2 LOTC prevé la suspensión no solo a instancia del recurrente, sino también de oficio, lo que podría estar justificado en este caso a fin de respetar la coherencia del pronunciamiento de esta jurisdicción constitucional.</w:t>
      </w:r>
    </w:p>
    <w:p w:rsidR="006B7292" w:rsidRDefault="006B7292" w:rsidP="006B7292">
      <w:pPr>
        <w:pStyle w:val="TextoNormal"/>
      </w:pPr>
    </w:p>
    <w:p w:rsidR="006B7292" w:rsidRDefault="006B7292" w:rsidP="006B7292">
      <w:pPr>
        <w:pStyle w:val="TextoNormal"/>
      </w:pPr>
      <w:r w:rsidRPr="006B7292">
        <w:rPr>
          <w:rStyle w:val="NumeroAFNegritaCaracter"/>
        </w:rPr>
        <w:t>8</w:t>
      </w:r>
      <w:r>
        <w:t>. Mediante diligencia de ordenación del Secretario de Justicia de la Sala Primera de 18 de noviembre de 2015 se indicó que, habiéndose personado el Procurador don Francisco Velasco Muñoz-Cuéllar, en representación de la Junta de Comunidades de Castilla-La Mancha, de conformidad con lo prevenido en el art. 56 LOTC se concedía un plazo de tres días al citado Procurador para que en dicho término alegase lo que estimase pertinente en relación con la petición de suspensión interesada por el recurrente.</w:t>
      </w:r>
    </w:p>
    <w:p w:rsidR="006B7292" w:rsidRDefault="006B7292" w:rsidP="006B7292">
      <w:pPr>
        <w:pStyle w:val="TextoNormal"/>
      </w:pPr>
    </w:p>
    <w:p w:rsidR="006B7292" w:rsidRDefault="006B7292" w:rsidP="006B7292">
      <w:pPr>
        <w:pStyle w:val="TextoNormal"/>
      </w:pPr>
      <w:r w:rsidRPr="006B7292">
        <w:rPr>
          <w:rStyle w:val="NumeroAFNegritaCaracter"/>
        </w:rPr>
        <w:t>9</w:t>
      </w:r>
      <w:r>
        <w:t>. El 25 de noviembre de 2015 tuvo entrada en el Registro General de este Tribunal un escrito de don Francisco Velasco Muñoz-Cuéllar, Procurador de los Tribunales y de la Junta de Comunidades de Castilla-La Mancha, en el que manifiesta no oponerse a la suspensión interesada por el Ayuntamiento de Toledo.</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La entidad demandante de amparo solicita en un otrosí digo de su escrito de demanda la suspensión de los efectos de las resoluciones judiciales impugnadas en el presente recurso, las cuales, como ya se expuso en los antecedentes, son la Sentencia de la Sección Primera de la Sala de lo Contencioso-Administrativo del Tribunal Superior de Justicia de Castilla-La Mancha de 15 de diciembre de 2011, que acordó estimar el recurso contencioso-administrativo interpuesto contra el plan de ordenación municipal de Toledo, aprobado por Orden de 26 de marzo de 2007 de la Consejería de Vivienda y Urbanismo, declarando su nulidad; el Auto de la Sección Primera de la Sala de lo Contencioso-Administrativo del Tribunal Supremo, de 3 de abril de 2014, que declaró la pérdida sobrevenida del objeto del recurso de casación interpuesto contra la anterior, al existir ya una Sentencia firme de la Sección Quinta de la misma Sala Tercera del Tribunal Supremo que asienta doctrina contraria a la pretensión de la recurrente; y el Auto de 23 de octubre de 2014, que desestima el incidente de nulidad de actuaciones promovido por la misma parte procesal, contra el Auto que acaba de indicarse. Con posterioridad y según se ha dejado expuesto, una vez admitido a trámite este recurso de amparo y ordenada por la Sala Primera de este Tribunal la apertura de pieza separada de suspensión, la parte demandante ha presentado escrito de alegaciones en el que se amplían las formuladas inicialmente, de un lado aludiendo al dictado de la STC 195/2015, de 21 de septiembre, de la Sala Primera de este Tribunal, que declara nulas las resoluciones judiciales impugnadas en el recurso de amparo núm. 6011-2014, de objeto sustancialmente idéntico al que aquí nos ocupa. Y de otro lado, intentando concretar los daños irreparables que a su criterio ocasionaría la no suspensión, en virtud de la paralización del plan de ordenación municipal de Toledo.</w:t>
      </w:r>
    </w:p>
    <w:p w:rsidR="006B7292" w:rsidRDefault="006B7292" w:rsidP="006B7292">
      <w:pPr>
        <w:pStyle w:val="TextoNormal"/>
      </w:pPr>
    </w:p>
    <w:p w:rsidR="006B7292" w:rsidRDefault="006B7292" w:rsidP="006B7292">
      <w:pPr>
        <w:pStyle w:val="TextoNormal"/>
      </w:pPr>
      <w:r>
        <w:t>Así estructurada la pretensión de suspensión de las resoluciones judiciales recurridas, conviene seguir en su respuesta el mismo orden con el que han sido presentadas a esta Sala por la recurrente.</w:t>
      </w:r>
    </w:p>
    <w:p w:rsidR="006B7292" w:rsidRDefault="006B7292" w:rsidP="006B7292">
      <w:pPr>
        <w:pStyle w:val="TextoNormal"/>
      </w:pPr>
    </w:p>
    <w:p w:rsidR="006B7292" w:rsidRDefault="006B7292" w:rsidP="006B7292">
      <w:pPr>
        <w:pStyle w:val="TextoNormal"/>
      </w:pPr>
      <w:r w:rsidRPr="006B7292">
        <w:rPr>
          <w:rStyle w:val="NumeroAFNegritaCaracter"/>
        </w:rPr>
        <w:t>2</w:t>
      </w:r>
      <w:r>
        <w:t>. De esta manera, por lo que concierne en primer lugar a los motivos que se esgrimen en la demanda de amparo, dado que presentan idéntico contenido a los que se defendieron a su vez por el mismo Ayuntamiento en la solicitud de suspensión de las resoluciones impugnadas en el recurso de amparo núm. 6011-2014, cuyo objeto, según se ha venido destacando por ella misma y con acierto, resulta sustancialmente el mismo al que aquí se dilucida, procede por una elemental razón de unidad de criterio reiterar las afirmaciones realizadas en el ATC 117/2015, de 6 de julio, por el que se acordó denegar la suspensión solicitada en aquel recurso de amparo núm. 6011-2014.</w:t>
      </w:r>
    </w:p>
    <w:p w:rsidR="006B7292" w:rsidRDefault="006B7292" w:rsidP="006B7292">
      <w:pPr>
        <w:pStyle w:val="TextoNormal"/>
      </w:pPr>
    </w:p>
    <w:p w:rsidR="006B7292" w:rsidRDefault="006B7292" w:rsidP="006B7292">
      <w:pPr>
        <w:pStyle w:val="TextoNormal"/>
      </w:pPr>
      <w:r>
        <w:t>Como expresa el fundamento jurídico primero de dicho ATC 117/2015, en relación al régimen general aplicable para la suspensión de resoluciones firmes, “dispone el art. 56.2 de la Ley Orgánica del Tribunal Constitucional (LOTC) que cuando la ejecución del acto o sentencia impugnados produzca un perjuicio al recurrente que pudiese hacer perder al amparo su finalidad, la Sala o, en su caso, la Sección que conozca de un recurso de amparo podrá disponer la suspensión, total o parcial, de sus efectos, siempre y cuando la suspensión no ocasione perturbación grave a un interés constitucionalmente protegido, ni a los derechos fundamentales o libertades de otra persona. 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y siempre ‘que la suspensión no ocasione perturbación grave a un interés constitucionalmente protegido, ni a los derechos fundamentales o libertades de otra persona’ (art. 56.2 LOTC).”</w:t>
      </w:r>
    </w:p>
    <w:p w:rsidR="006B7292" w:rsidRDefault="006B7292" w:rsidP="006B7292">
      <w:pPr>
        <w:pStyle w:val="TextoNormal"/>
      </w:pPr>
    </w:p>
    <w:p w:rsidR="006B7292" w:rsidRDefault="006B7292" w:rsidP="006B7292">
      <w:pPr>
        <w:pStyle w:val="TextoNormal"/>
      </w:pPr>
      <w:r>
        <w:t>Seguidamente, el fundamento jurídico segundo de este ATC 117/2015 se refiere al requisito del carácter no reparable del perjuicio, asentando que “es doctrina reiterada y unánime de este Tribunal, que la previsión contenida ahora en el art. 56.2 LOTC (en la redacción anterior a la reforma de la Ley Orgánica 6/2007 la establecía el art. 56.1 LOTC), que exige como uno de los requisitos para otorgar la suspensión que la ejecución del acto del poder público por razón del cual se reclama el amparo ocasione ‘un perjuicio al recurrente que pudiera hacer perder al amparo su finalidad’, debe interpretarse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 (ATC 125/2003, de 23 de abril, FJ 2; y, en el mismo sentido AATC 20/2009, de 26 de enero, 94/2010, y 95/2010, ambos de 19 de julio, 122/2012, de 18 de junio, entre muchos). Por esta razón este Tribunal no accede, salvo excepciones, a la solicitud de suspensión de resoluciones que imponen obligaciones de pago de cantidad o, en general, de contenido económico o patrimonial, pues la lesión que de ellas se deriva es normalmente reparable (AATC 125/2003, de 23 de abril; 326/2005, de 12 de septiembre; 152/2006, de 8 de mayo; 357/2006, de 9 de octubre; 118/2008, de 28 de abril; 388/2008, de 15 de diciembre; y 20/2009 de 26 de enero; 95/2010, de 19 de julio, y 81/2012, de 7 de mayo, entre otros muchos). Con relación a los perjuicios de carácter patrimonial o económico hemos señalado que, por más que puedan producir efectos desfavorables a quien demanda amparo, no pueden considerarse, en principio, como causa suficiente para acordar la suspensión de una resolución judicial firme (AATC 93/2002, de 3 de junio; 106/2002, de 17 de junio; 165/2003, de 19 de mayo; 326/2005, de 12 de septiembre, y 386/2008, de 15 de diciembre, por todos). Sólo en el caso de que el recurrente en amparo justificase cumplidamente que el no otorgamiento de la suspensión le ocasionaría un perjuicio irreparable que haría perder al amparo su finalidad, (entre otros, ATC 185/2014, de 8 de julio), y siempre que de dicha medida cautelar no se siga perturbación grave de los intereses generales o de los derechos y libertades fundamentales de un tercero, procedería acordar la suspensión interesada.”</w:t>
      </w:r>
    </w:p>
    <w:p w:rsidR="006B7292" w:rsidRDefault="006B7292" w:rsidP="006B7292">
      <w:pPr>
        <w:pStyle w:val="TextoNormal"/>
      </w:pPr>
    </w:p>
    <w:p w:rsidR="006B7292" w:rsidRDefault="006B7292" w:rsidP="006B7292">
      <w:pPr>
        <w:pStyle w:val="TextoNormal"/>
      </w:pPr>
      <w:r>
        <w:t>Y el fundamento jurídico tercero del mismo Auto 117/2015, completando la visión panorámica de la doctrina aplicable en esta materia, señala respecto a la carga procesal que concierne a la parte recurrente, que “[t]ambién es doctrina constante del Tribunal que para excepcionar la regla general de la no suspensión es carga del recurrente probar que la ejecución del acto o Sentencia impugnados deba producirle un perjuicio que hiciere perder al amparo su finalidad (por todos AATC 39/2008, de 11 de febrero, FJ 1; 40/2008, de 11 de febrero, FJ 3; y 59/2008, de 20 de febrero, FJ 2). Así respecto de la carga alegatoria y probatoria del incidente en ATC 81/2012, de 7 de mayo, FJ 3, con cita de otros, hemos afirmado: ‘la acreditación del perjuicio es carga del recurrente, quien debe precisar los concretos perjuicios que de la ejecución se deriven, así como justificar o argumentar razonadamente la irreparabilidad de los mismos (AATC 107/1981, 226/1982, 385/1983, y 193/1984). A la par hemos dicho que, en todo caso, el perjuicio irreparable debe ser real, sin que sea posible alegar un perjuicio futuro o hipotético o un simple temor (AATC 490/1984, 399/1985, y 51/1989, entre otros muchos),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w:t>
      </w:r>
    </w:p>
    <w:p w:rsidR="006B7292" w:rsidRDefault="006B7292" w:rsidP="006B7292">
      <w:pPr>
        <w:pStyle w:val="TextoNormal"/>
      </w:pPr>
    </w:p>
    <w:p w:rsidR="006B7292" w:rsidRDefault="006B7292" w:rsidP="006B7292">
      <w:pPr>
        <w:pStyle w:val="TextoNormal"/>
      </w:pPr>
      <w:r w:rsidRPr="006B7292">
        <w:rPr>
          <w:rStyle w:val="NumeroAFNegritaCaracter"/>
        </w:rPr>
        <w:t>3</w:t>
      </w:r>
      <w:r>
        <w:t>. Partiendo pues de esta doctrina constitucional, el ATC 117/2015 entra a examinar en su fundamento jurídico cuarto los motivos aducidos por la entidad recurrente para apoyar la solicitud de suspensión, no apreciando éstos suficientemente sólidos por las razones que igualmente reproducimos: “En el presente caso, del examen de la solicitud de suspensión formulada cabe concluir que no se han acreditado circunstancias excepcionales que lleven a conceder la suspensión pedida. En efecto, como bien indica el Ministerio Fiscal, la suspensión que se solicita tiene un contenido patrimonial, que se circunscribe a la anulación del plan de ordenación municipal de Toledo, con retroacción de actuaciones de tramitación hasta la fase de nueva información pública. Ahora bien, dicho pronunciamiento no comporta como afirma el recurrente ‘la demolición de todo cuanto se ha construido’, ni tal consecuencia resulta acreditada por el documento núm. 6 al que alude el demandante y que se acompaña con la demanda. Debe insistirse en que el perjuicio irreparable debe ser real, sin que sea posible alegar un perjuicio futuro o hipotético. No basta con afirmaciones genéricas relativas a que la ejecución comportará ‘una verdadera catástrofe de consecuencias incalculables no solo en pérdidas económicas o patrimoniales, incluyendo demoliciones de lo construido con arreglo al Plan y anulación de infinidad de autorizaciones de usos, sino computables también en el número de puestos de trabajo que puede quedar sacrificados’, sino que se deben precisar los concretos perjuicios que de la ejecución se derivaran. Carga probatoria que la Administración recurrente no aporta, al omitir datos concretos que puedan ser calificados de principio razonable de prueba y que permitan avalar lo manifestado, sino que se limita a efectuar una afirmación genérica e inconcreta carente de la necesaria acreditación. En tal sentido, como indica el Ministerio Fiscal, ni la anulación del plan comporta necesariamente la inminente demolición de todo cuanto se ha construido, ni supone la anulación de infinidad de autorizaciones de usos, determinantes del cese inmediato de actividades y sacrificio de puestos de trabajo. Ahora bien, la ausencia actual de las circunstancias excepcionales que llevan a conceder la suspensión pedida, esto es, la falta de acreditación de un perjuicio irreparable, real y concreto, no es óbice para que en un momento posterior durante el curso del procedimiento de amparo, el recurrente pueda plantear de nuevo ante este Tribunal la procedencia de la suspensión, ‘en virtud de circunstancias sobrevenidas o que no pudieron ser conocidas al tiempo de sustanciarse el incidente de suspensión’ (</w:t>
      </w:r>
      <w:r w:rsidRPr="006B7292">
        <w:rPr>
          <w:i/>
        </w:rPr>
        <w:t>ex</w:t>
      </w:r>
      <w:r>
        <w:t xml:space="preserve"> art. 57 LOTC), que satisfagan el presupuesto exigido”.</w:t>
      </w:r>
    </w:p>
    <w:p w:rsidR="006B7292" w:rsidRDefault="006B7292" w:rsidP="006B7292">
      <w:pPr>
        <w:pStyle w:val="TextoNormal"/>
      </w:pPr>
    </w:p>
    <w:p w:rsidR="006B7292" w:rsidRDefault="006B7292" w:rsidP="006B7292">
      <w:pPr>
        <w:pStyle w:val="TextoNormal"/>
      </w:pPr>
      <w:r>
        <w:t>Todos estos razonamientos, a los efectos de la presente pieza separada, arrojan como primera conclusión la de rechazar los argumentos alegados en el “otrosí tercero digo” de la demanda de amparo para justificar la medida de suspensión de las resoluciones judiciales aquí impugnadas.</w:t>
      </w:r>
    </w:p>
    <w:p w:rsidR="006B7292" w:rsidRDefault="006B7292" w:rsidP="006B7292">
      <w:pPr>
        <w:pStyle w:val="TextoNormal"/>
      </w:pPr>
    </w:p>
    <w:p w:rsidR="006B7292" w:rsidRDefault="006B7292" w:rsidP="006B7292">
      <w:pPr>
        <w:pStyle w:val="TextoNormal"/>
      </w:pPr>
      <w:r w:rsidRPr="006B7292">
        <w:rPr>
          <w:rStyle w:val="NumeroAFNegritaCaracter"/>
        </w:rPr>
        <w:t>4</w:t>
      </w:r>
      <w:r>
        <w:t>. Queda por referirnos, en segundo y último lugar, a las alegaciones adicionales realizadas por el Ayuntamiento de Toledo en el trámite del art. 56.4 LOTC, abierto dentro de este procedimiento incidental. Se adelanta, sin embargo, que las mismas no permiten alcanzar un resultado estimatorio.</w:t>
      </w:r>
    </w:p>
    <w:p w:rsidR="006B7292" w:rsidRDefault="006B7292" w:rsidP="006B7292">
      <w:pPr>
        <w:pStyle w:val="TextoNormal"/>
      </w:pPr>
    </w:p>
    <w:p w:rsidR="006B7292" w:rsidRDefault="006B7292" w:rsidP="006B7292">
      <w:pPr>
        <w:pStyle w:val="TextoNormal"/>
      </w:pPr>
      <w:r>
        <w:t>a) Respecto de la incidencia que pudiera tener la estimación del recurso de amparo núm. 6011-2014, por la STC 195/2015, de 21 de septiembre, de la Sala Primera de este Tribunal, es necesario tener en cuenta un dato capital y es que, si bien la misma acuerda la nulidad de las resoluciones impugnadas, incluyendo la dictada en la instancia por la Sección competente del Tribunal Superior de Justicia de Castilla-La Mancha, de igual contenido a la aquí impugnada, en ningún caso dicha STC 195/2015 se ha pronunciado sobre la validez del plan de ordenación municipal citado, cuyo despliegue de efectos es lo que viene a instar el ayuntamiento recurrente con la medida de suspensión.</w:t>
      </w:r>
    </w:p>
    <w:p w:rsidR="006B7292" w:rsidRDefault="006B7292" w:rsidP="006B7292">
      <w:pPr>
        <w:pStyle w:val="TextoNormal"/>
      </w:pPr>
    </w:p>
    <w:p w:rsidR="006B7292" w:rsidRDefault="006B7292" w:rsidP="006B7292">
      <w:pPr>
        <w:pStyle w:val="TextoNormal"/>
      </w:pPr>
      <w:r>
        <w:t>De manera distinta, lo que hace la STC 195/2015, FFJJ 6 y 7, es apreciar que existe vulneración de los derechos fundamentales que se alegan (tutela judicial efectiva —art. 24.1 CE— y proceso con todas las garantías —art. 24.2 CE—), por haberse resuelto el recurso contencioso-administrativo de referencia, tanto en instancia como en casación, eludiendo un precepto autonómico que resultaba aplicable, y ello por achacársele su inconstitucionalidad —oposición a norma básica del Estado—, sin plantear la cuestión de los arts. 163 CE y 35 de la Ley Orgánica del Tribunal Constitucional (LOTC) ante esta jurisdicción constitucional, para que nos pronunciáramos al respecto.</w:t>
      </w:r>
    </w:p>
    <w:p w:rsidR="006B7292" w:rsidRDefault="006B7292" w:rsidP="006B7292">
      <w:pPr>
        <w:pStyle w:val="TextoNormal"/>
      </w:pPr>
    </w:p>
    <w:p w:rsidR="006B7292" w:rsidRDefault="006B7292" w:rsidP="006B7292">
      <w:pPr>
        <w:pStyle w:val="TextoNormal"/>
      </w:pPr>
      <w:r>
        <w:t>De allí que la STC 195/2015 precise en su fundamento jurídico 7, que “dicha vulneración tiene su origen en las resoluciones judiciales impugnadas y no en el art. 36.2 A) párrafo segundo (debe entenderse referido al párrafo tercero), del texto refundido de la Ley de ordenación del territorio y de la actividad urbanística, en tanto que el mismo no ha sido aplicado en el proceso contencioso-administrativo, por lo que no procede plantear la autocuestión de inconstitucionalidad (art. 55.2 LOTC)”.</w:t>
      </w:r>
    </w:p>
    <w:p w:rsidR="006B7292" w:rsidRDefault="006B7292" w:rsidP="006B7292">
      <w:pPr>
        <w:pStyle w:val="TextoNormal"/>
      </w:pPr>
    </w:p>
    <w:p w:rsidR="006B7292" w:rsidRDefault="006B7292" w:rsidP="006B7292">
      <w:pPr>
        <w:pStyle w:val="TextoNormal"/>
      </w:pPr>
      <w:r>
        <w:t>La nulidad de las resoluciones impugnadas obliga a la retroacción de actuaciones, según añade el fundamento jurídico 8, para que la Sala de instancia en ese recurso contencioso-administrativo núm. 556-2007, “dicte otra resolución que resulte respetuosa con los derechos fundamentales reconocidos”, pero sin prejuzgar como es obvio cuál ha de ser el resultado de dicho nuevo enjuiciamiento.</w:t>
      </w:r>
    </w:p>
    <w:p w:rsidR="006B7292" w:rsidRDefault="006B7292" w:rsidP="006B7292">
      <w:pPr>
        <w:pStyle w:val="TextoNormal"/>
      </w:pPr>
    </w:p>
    <w:p w:rsidR="006B7292" w:rsidRDefault="006B7292" w:rsidP="006B7292">
      <w:pPr>
        <w:pStyle w:val="TextoNormal"/>
      </w:pPr>
      <w:r>
        <w:t>En todo caso, no puede desconocerse que una de las alternativas probables tras dicha retroacción de actuaciones, en virtud de lo declarado en esta STC 195/2015, es que la Sala de instancia, caso de mantener su parecer contrario a la constitucionalidad del precepto autonómico ya indicado, eleve la cuestión de inconstitucionalidad a este Tribunal para que conozcamos de ello. De suceder así, la decisión a adoptar acerca de la validez o nulidad del plan de ordenación municipal de Toledo, tendrá que aguardar primero a la tramitación y resolución definitiva de la indicada cuestión; y una vez despejada esa incógnita constitucional, desde luego no está descartado tampoco un desenlace en la jurisdicción ordinaria que conlleve declarar la nulidad del plan.</w:t>
      </w:r>
    </w:p>
    <w:p w:rsidR="006B7292" w:rsidRDefault="006B7292" w:rsidP="006B7292">
      <w:pPr>
        <w:pStyle w:val="TextoNormal"/>
      </w:pPr>
    </w:p>
    <w:p w:rsidR="006B7292" w:rsidRDefault="006B7292" w:rsidP="006B7292">
      <w:pPr>
        <w:pStyle w:val="TextoNormal"/>
      </w:pPr>
      <w:r>
        <w:t>No cabe equiparar esta situación, por lo dicho, con la de un precepto legal impugnado en un recurso de inconstitucionalidad, cuya literalidad es similar a la de otro que ya ha sido declarado nulo por este Tribunal, razón por la que en alguna ocasión hemos acordado suspender los efectos de aquél mientras se tramita el correspondiente proceso (vgr., ATC 78/1987, de 22 de enero, FJ 2; también ATC 183/2011, de 14 de diciembre, FFJJ 4 y 6). Una doctrina que, con ajenidad al ámbito del amparo, aduce sin éxito el escrito de la entidad recurrente.</w:t>
      </w:r>
    </w:p>
    <w:p w:rsidR="006B7292" w:rsidRDefault="006B7292" w:rsidP="006B7292">
      <w:pPr>
        <w:pStyle w:val="TextoNormal"/>
      </w:pPr>
    </w:p>
    <w:p w:rsidR="006B7292" w:rsidRDefault="006B7292" w:rsidP="006B7292">
      <w:pPr>
        <w:pStyle w:val="TextoNormal"/>
      </w:pPr>
      <w:r>
        <w:t>Debe tenerse en cuenta, además, que en el presente caso los Autos dictados por la Sección Primera, Sala Tercera, del Tribunal Supremo, resolvieron archivar el recurso de casación interpuesto, al apreciar una pérdida sobrevenida de objeto. La “suspensión” que se solicita respecto de ellos, de concederse, estrictamente traería consigo tan sólo la reanudación del procedimiento de casación interrumpido, pero sin condicionar su resultado, cosa que únicamente depende de la Sentencia que ponga fin al presente recurso de amparo.</w:t>
      </w:r>
    </w:p>
    <w:p w:rsidR="006B7292" w:rsidRDefault="006B7292" w:rsidP="006B7292">
      <w:pPr>
        <w:pStyle w:val="TextoNormal"/>
      </w:pPr>
    </w:p>
    <w:p w:rsidR="006B7292" w:rsidRDefault="006B7292" w:rsidP="006B7292">
      <w:pPr>
        <w:pStyle w:val="TextoNormal"/>
      </w:pPr>
      <w:r>
        <w:t>En definitiva, no cabe apreciar la existencia de una circunstancia nueva susceptible de modificar el criterio adoptado por el ATC 117/2015, de 6 de julio, para denegar la suspensión solicitada.</w:t>
      </w:r>
    </w:p>
    <w:p w:rsidR="006B7292" w:rsidRDefault="006B7292" w:rsidP="006B7292">
      <w:pPr>
        <w:pStyle w:val="TextoNormal"/>
      </w:pPr>
    </w:p>
    <w:p w:rsidR="006B7292" w:rsidRDefault="006B7292" w:rsidP="006B7292">
      <w:pPr>
        <w:pStyle w:val="TextoNormal"/>
      </w:pPr>
      <w:r>
        <w:t>b) Otro tanto ha de decirse, por último, en cuanto a las aseveraciones que se formulan por el ayuntamiento recurrente en su escrito del art. 56.4 LOTC, intentando concretar los perjuicios que ocasiona la paralización del plan de ordenación municipal de Toledo.</w:t>
      </w:r>
    </w:p>
    <w:p w:rsidR="006B7292" w:rsidRDefault="006B7292" w:rsidP="006B7292">
      <w:pPr>
        <w:pStyle w:val="TextoNormal"/>
      </w:pPr>
    </w:p>
    <w:p w:rsidR="006B7292" w:rsidRDefault="006B7292" w:rsidP="006B7292">
      <w:pPr>
        <w:pStyle w:val="TextoNormal"/>
      </w:pPr>
      <w:r>
        <w:t>Ante todo, éstas se limitan esencialmente a indicar que el plan contiene previsiones sobre el uso del suelo en dicho término municipal, que repercuten en aspectos medioambientales y en la protección del patrimonio histórico, artístico y cultural de la ciudad, extremo que no se pone en duda, pero sin que se aporten datos que acrediten verosímilmente cuáles serían los daños “irreparables, reales y concretos” que a juicio del recurrente ocasionaría una eventual aplicación del plan anterior en esos ámbitos, mientras se tramita el presente recurso de amparo.</w:t>
      </w:r>
    </w:p>
    <w:p w:rsidR="006B7292" w:rsidRDefault="006B7292" w:rsidP="006B7292">
      <w:pPr>
        <w:pStyle w:val="TextoNormal"/>
      </w:pPr>
    </w:p>
    <w:p w:rsidR="006B7292" w:rsidRDefault="006B7292" w:rsidP="006B7292">
      <w:pPr>
        <w:pStyle w:val="TextoNormal"/>
      </w:pPr>
      <w:r>
        <w:t>En fin, como reconoce el escrito de alegaciones, todas las citas de doctrina constitucional que se incluyen como apoyo en este punto, versan sobre la suspensión de normas legales en recursos de inconstitucionalidad donde, precisamente, y a diferencia de este amparo, sí se resuelve acerca de la nulidad de la disposición general de que se trata. Tampoco alcanza virtualidad la cita que se hace del art. 30 LOTC, puesto que claramente no es un dispositivo aplicable dentro del recurso de amparo.</w:t>
      </w:r>
    </w:p>
    <w:p w:rsidR="006B7292" w:rsidRDefault="006B7292" w:rsidP="006B7292">
      <w:pPr>
        <w:pStyle w:val="TextoNormal"/>
      </w:pPr>
    </w:p>
    <w:p w:rsidR="006B7292" w:rsidRDefault="006B7292" w:rsidP="006B7292">
      <w:pPr>
        <w:pStyle w:val="TextoNormal"/>
      </w:pPr>
      <w:r>
        <w:t>Por todo lo expuesto, la Sala</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Denegar la suspensión solicitada.</w:t>
      </w:r>
    </w:p>
    <w:p w:rsidR="006B7292" w:rsidRDefault="006B7292" w:rsidP="006B7292">
      <w:pPr>
        <w:pStyle w:val="TextoNormal"/>
      </w:pPr>
    </w:p>
    <w:p w:rsidR="006B7292" w:rsidRDefault="006B7292" w:rsidP="006B7292">
      <w:pPr>
        <w:pStyle w:val="TextoNormal"/>
      </w:pPr>
      <w:r>
        <w:t>Madrid, a catorce de diciembre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22" w:name="AUTO_2015_208"/>
      <w:r>
        <w:t>AUTO 208/2015, de 14 de diciembre de 2015</w:t>
      </w:r>
    </w:p>
    <w:bookmarkEnd w:id="222"/>
    <w:p w:rsidR="006B7292" w:rsidRDefault="006B7292" w:rsidP="006B7292">
      <w:pPr>
        <w:pStyle w:val="TtuloResolucin"/>
      </w:pPr>
      <w:r>
        <w:t>Sala Segunda</w:t>
      </w:r>
    </w:p>
    <w:p w:rsidR="006B7292" w:rsidRDefault="006B7292" w:rsidP="006B7292">
      <w:pPr>
        <w:pStyle w:val="TextoNormalCentrado"/>
      </w:pPr>
      <w:r>
        <w:t>ECLI:ES:TC:2015:208A</w:t>
      </w:r>
    </w:p>
    <w:p w:rsidR="006B7292" w:rsidRDefault="006B7292" w:rsidP="006B7292">
      <w:pPr>
        <w:pStyle w:val="TextoNormalCentrado"/>
      </w:pPr>
    </w:p>
    <w:p w:rsidR="006B7292" w:rsidRDefault="006B7292" w:rsidP="006B7292">
      <w:pPr>
        <w:pStyle w:val="SntesisDescriptiva"/>
      </w:pPr>
      <w:r>
        <w:t>Excms. Srs. doña Adela Asua Batarrita, don Fernando Valdés Dal-Ré, don Juan José González Rivas,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Deniega la suspensión en el recurso de amparo 115-2015, promovido por el Ayuntamiento de Toledo en proceso contencioso-administrativo.</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día 8 de enero de 2015 tuvo entrada en el Registro General de este Tribunal Constitucional, un escrito del Procurador de los Tribunales don Alberto Collado Martín, en nombre y representación del Ayuntamiento de Toledo, por el que interponía recurso de amparo contra las siguientes resoluciones: (i) la Sentencia de la Sección Primera de la Sala de lo Contencioso-Administrativo del Tribunal Superior de Justicia de Castilla La Mancha, de 28 de noviembre de 2011, estimatoria de recurso contencioso-administrativo interpuesto contra la entidad aquí recurrente; (ii) el Auto de la Sección Primera de la Sala de lo Contencioso-Administrativo del Tribunal Supremo, de 3 de abril de 2014, que declaró la pérdida sobrevenida del objeto del recurso de casación interpuesto contra dicha Sentencia; y (iii) el Auto de 23 de octubre de 2014, de la misma Sala y Sección del Tribunal Supremo, que desestimó el incidente de nulidad de actuaciones promovido contra el citado Auto de 3 de abril. La demanda les atribuye la vulneración de los derechos a la tutela judicial efectiva (art. 24.1 CE) y a un proceso con todas las garantías (art. 24.2 CE), por exceso de jurisdicción.</w:t>
      </w:r>
    </w:p>
    <w:p w:rsidR="006B7292" w:rsidRDefault="006B7292" w:rsidP="006B7292">
      <w:pPr>
        <w:pStyle w:val="TextoNormal"/>
      </w:pPr>
    </w:p>
    <w:p w:rsidR="006B7292" w:rsidRDefault="006B7292" w:rsidP="006B7292">
      <w:pPr>
        <w:pStyle w:val="TextoNormal"/>
      </w:pPr>
      <w:r w:rsidRPr="006B7292">
        <w:rPr>
          <w:rStyle w:val="NumeroAFNegritaCaracter"/>
        </w:rPr>
        <w:t>2</w:t>
      </w:r>
      <w:r>
        <w:t>. Sucintamente, los hechos relevantes para resolver la pretensión de suspensión de la demandante son los siguientes:</w:t>
      </w:r>
    </w:p>
    <w:p w:rsidR="006B7292" w:rsidRDefault="006B7292" w:rsidP="006B7292">
      <w:pPr>
        <w:pStyle w:val="TextoNormal"/>
      </w:pPr>
    </w:p>
    <w:p w:rsidR="006B7292" w:rsidRDefault="006B7292" w:rsidP="006B7292">
      <w:pPr>
        <w:pStyle w:val="TextoNormal"/>
      </w:pPr>
      <w:r>
        <w:t>a) La Sección Primera de la Sala de lo Contencioso-Administrativo del Tribunal Superior de Justicia de Castilla-La Mancha, dictó Sentencia el 28 de noviembre de 2011 estimando el recurso contencioso-administrativo núm. 735-2007, promovido por la mercantil Miratorre, S.A., “contra la resolución de fecha 26 de marzo de 2007, de la Consejería de Vivienda y Urbanismo por la que se aprueba definitivamente el Plan de Ordenación Municipal de Toledo, el cual se declara contrario a derecho y se anula”.</w:t>
      </w:r>
    </w:p>
    <w:p w:rsidR="006B7292" w:rsidRDefault="006B7292" w:rsidP="006B7292">
      <w:pPr>
        <w:pStyle w:val="TextoNormal"/>
      </w:pPr>
    </w:p>
    <w:p w:rsidR="006B7292" w:rsidRDefault="006B7292" w:rsidP="006B7292">
      <w:pPr>
        <w:pStyle w:val="TextoNormal"/>
      </w:pPr>
      <w:r>
        <w:t xml:space="preserve">La </w:t>
      </w:r>
      <w:r w:rsidRPr="006B7292">
        <w:rPr>
          <w:i/>
        </w:rPr>
        <w:t>ratio decidendi</w:t>
      </w:r>
      <w:r>
        <w:t xml:space="preserve"> de esta Sentencia es la misma que ya había empleado la Sala en Sentencia de 26 de julio de 2011 para estimar el recurso contencioso-administrativo núm. 556-2007, interpuesto por otros interesados contra el mismo plan de ordenación municipal de Toledo. En síntesis, tanto en aquel como en este caso la Sala de instancia aprecia que el plan debía ser sometido a un segundo trámite de información pública, dadas las sustanciales alteraciones introducidas en su texto tras las alegaciones recibidas en el (único) trámite de información pública abierto al efecto. Con aplicación de doctrina precedente de la Sala Tercera del Tribunal Supremo, señala la Sala de instancia que a esta exigencia de nuevo trámite de información no obsta el tenor del art. 36.2 a) del texto refundido de la Ley de ordenación del territorio y de la actividad urbanística de Castilla-La Mancha (Decreto Legislativo 1/12004, de 28 de diciembre), precepto que expresamente dispensa de abrir nuevo trámite en tal circunstancia, resultando sin embargo el mismo inconstitucional, por oponerse a lo previsto por la norma básica del Estado en la materia, el art. 6.1 de la Ley 6/1998, de 13 de abril, sobre el régimen del suelo y valoraciones, todos ellos entonces vigentes, afirmando la Sala de instancia que procedía dejar de aplicar la norma autonómica por ese motivo.</w:t>
      </w:r>
    </w:p>
    <w:p w:rsidR="006B7292" w:rsidRDefault="006B7292" w:rsidP="006B7292">
      <w:pPr>
        <w:pStyle w:val="TextoNormal"/>
      </w:pPr>
    </w:p>
    <w:p w:rsidR="006B7292" w:rsidRDefault="006B7292" w:rsidP="006B7292">
      <w:pPr>
        <w:pStyle w:val="TextoNormal"/>
      </w:pPr>
      <w:r>
        <w:t>b) Contra la Sentencia de 28 de noviembre de 2011 se interpuso recurso de casación por el Ayuntamiento de Toledo (núm. 239-2012), dictando la Sección Primera de la Sala de lo Contencioso-Administrativo del Tribunal Supremo, Auto de 3 de abril de 2014 por el que acuerda: “declarar la pérdida sobrevenida de objeto de los recursos de casación interpuestos en el rollo 239/2012 por la Junta de Comunidades de Castilla-La Mancha y por el Ayuntamiento de Toledo”.</w:t>
      </w:r>
    </w:p>
    <w:p w:rsidR="006B7292" w:rsidRDefault="006B7292" w:rsidP="006B7292">
      <w:pPr>
        <w:pStyle w:val="TextoNormal"/>
      </w:pPr>
    </w:p>
    <w:p w:rsidR="006B7292" w:rsidRDefault="006B7292" w:rsidP="006B7292">
      <w:pPr>
        <w:pStyle w:val="TextoNormal"/>
      </w:pPr>
      <w:r>
        <w:t>Explica el Auto en su razonamiento jurídico segundo, que dada la sustancial identidad de objeto del citado recurso, con el resuelto en sentido desestimatorio por la Sección Quinta de la misma Sala Tercera del Alto Tribunal en su Sentencia de 27 de febrero de 2014 (recurso de casación núm. 5116-2011), promovido también por el Ayuntamiento de Toledo contra la antedicha Sentencia del Tribunal Superior de Justicia de 26 de julio de 2011, esta “circunstancia sobrevenida priva de objeto a los recursos de casación que ahora examinamos, pues carece de sentido que, aunque sea por la vía de enjuiciar el contenido de la sentencia aquí recurrida, nos pronunciemos sobre si es o no ajustada a derecho una disposición de carácter general —tal es la naturaleza de los planes de ordenación— que ya ha sido declarada nula por sentencia firme y que, por tanto, ha sido expulsada del ordenamiento jurídico”. Cita en su apoyo el art. 72.2 de la Ley 29/1998, reguladora de la jurisdicción contencioso-administrativa, afirmando que “o bien carece de interés abundar o insistir en una nulidad ya declarada, o bien resulta nocivo para la seguridad jurídica contradecir o alterar lo ya señalado por sentencia firme”.</w:t>
      </w:r>
    </w:p>
    <w:p w:rsidR="006B7292" w:rsidRDefault="006B7292" w:rsidP="006B7292">
      <w:pPr>
        <w:pStyle w:val="TextoNormal"/>
      </w:pPr>
    </w:p>
    <w:p w:rsidR="006B7292" w:rsidRDefault="006B7292" w:rsidP="006B7292">
      <w:pPr>
        <w:pStyle w:val="TextoNormal"/>
      </w:pPr>
      <w:r>
        <w:t>Y termina el razonamiento jurídico tercero, concluyendo que “los presentes recursos de casación han quedado privados de objeto”.</w:t>
      </w:r>
    </w:p>
    <w:p w:rsidR="006B7292" w:rsidRDefault="006B7292" w:rsidP="006B7292">
      <w:pPr>
        <w:pStyle w:val="TextoNormal"/>
      </w:pPr>
    </w:p>
    <w:p w:rsidR="006B7292" w:rsidRDefault="006B7292" w:rsidP="006B7292">
      <w:pPr>
        <w:pStyle w:val="TextoNormal"/>
      </w:pPr>
      <w:r>
        <w:t>c) Promovido incidente de nulidad de actuaciones por el Ayuntamiento de Toledo contra esta resolución, fundado en las mismas razones invocadas por dicha parte en el incidente de nulidad instado contra la Sentencia de 27 de febrero de 2014 a la que se ha hecho referencia, la Sección Primera de la Sala de lo Contencioso-Administrativo del Tribunal Supremo dictó Auto el 23 de octubre de 2014 en desestimación de lo pedido, trasladando para ello los argumentos ya vertidos en su Auto de 25 de julio de 2014, por el que había desestimado a su vez el incidente de nulidad instado contra la referida Sentencia de 27 de febrero de 2014.</w:t>
      </w:r>
    </w:p>
    <w:p w:rsidR="006B7292" w:rsidRDefault="006B7292" w:rsidP="006B7292">
      <w:pPr>
        <w:pStyle w:val="TextoNormal"/>
      </w:pPr>
    </w:p>
    <w:p w:rsidR="006B7292" w:rsidRDefault="006B7292" w:rsidP="006B7292">
      <w:pPr>
        <w:pStyle w:val="TextoNormal"/>
      </w:pPr>
      <w:r w:rsidRPr="006B7292">
        <w:rPr>
          <w:rStyle w:val="NumeroAFNegritaCaracter"/>
        </w:rPr>
        <w:t>3</w:t>
      </w:r>
      <w:r>
        <w:t>. La demanda de amparo alega la vulneración de los derechos a la tutela judicial efectiva (art. 24.1 CE) y a un proceso con todas las garantías (art. 24.2 CE), por incurrir las resoluciones impugnadas en un exceso de jurisdicción, consistente en no aplicar una ley autonómica vigente que resultaba pertinente al caso, al considerarla inconstitucional, sin plantear antes cuestión del art. 163 CE ante este Tribunal Constitucional con el fin de que obtener un pronunciamiento sobre ello, tal y como exige nuestra doctrina, que al efecto se invoca (SSTC 73/2000, 104/2000, 120/2000, 173/2002, 66/2011, 187/2012 y 177/2013). Este exceso de jurisdicción produjo además, según la demanda, que se haya colocado al Ayuntamiento de Toledo en una “situación de efectiva indefensión, pues ni tuvo oportunidad ni ocasión de prever, dado el sometimiento judicial al imperio de la ley, tal preterición del sistema de fuentes, ni pudo hacer uso del trámite de alegaciones del artículo 35 LOTC”.</w:t>
      </w:r>
    </w:p>
    <w:p w:rsidR="006B7292" w:rsidRDefault="006B7292" w:rsidP="006B7292">
      <w:pPr>
        <w:pStyle w:val="TextoNormal"/>
      </w:pPr>
    </w:p>
    <w:p w:rsidR="006B7292" w:rsidRDefault="006B7292" w:rsidP="006B7292">
      <w:pPr>
        <w:pStyle w:val="TextoNormal"/>
      </w:pPr>
      <w:r>
        <w:t>Por “otrosí tercero digo” en la misma demanda, se solicitó la suspensión de los efectos de las resoluciones judiciales recurridas en amparo. Con cita del art. 56.2 LOTC y doctrina general de este Tribunal sobre la posibilidad de acordar la suspensión de las resoluciones firmes, argumenta la parte que en el presente caso, de no concederse ésta, se causaría un perjuicio que haría perder al amparo su finalidad, dado que dichas resoluciones han procedido a anular el plan general de ordenación municipal de Toledo aprobado el 26 de marzo de 2007, el cual en estos años ha “desplegado plenamente efectos a través de diversos planes parciales, estudios de detalle y otros instrumentos de planeamiento así como multitud de actos de desarrollo o ejecución (especialmente licencias), a los que aún han de seguir otros muchos hasta el cumplimiento de la política territorial, urbanística, medioambiental y social plasmada en aquel Plan General”. Prosigue el escrito diciendo que no acordar la suspensión supondría la paralización del plan y el “restablecimiento de la situación urbanística de Toledo a la situación anterior al mismo, con la consiguiente demolición de cuanto se ha construido al amparo de la nueva ordenación municipal de 2007”. Y añade: “los perjuicios que con ello se habrían de provocar serían indiscriminados para todas las personas que han decidido invertir en la ciudad de Toledo, provocando una verdadera catástrofe de consecuencias incalculables”.</w:t>
      </w:r>
    </w:p>
    <w:p w:rsidR="006B7292" w:rsidRDefault="006B7292" w:rsidP="006B7292">
      <w:pPr>
        <w:pStyle w:val="TextoNormal"/>
      </w:pPr>
    </w:p>
    <w:p w:rsidR="006B7292" w:rsidRDefault="006B7292" w:rsidP="006B7292">
      <w:pPr>
        <w:pStyle w:val="TextoNormal"/>
      </w:pPr>
      <w:r>
        <w:t>Se alega también que la suspensión viene exigida por los intereses generales, prevalentes éstos frente al exclusivo interés particular de la mercantil actora en la instancia, además de que la medida no afectaría a los derechos fundamentales ni a las libertades de terceros. Se invoca por último el art. 30 LOTC, respecto a la no suspensión de disposiciones generales que son objeto de planteamiento de una cuestión de constitucionalidad admitida a trámite por este Tribunal, precepto que se habría aplicado si los órganos judiciales competentes, “como debió haberse hecho”, hubieran elevado la cuestión.</w:t>
      </w:r>
    </w:p>
    <w:p w:rsidR="006B7292" w:rsidRDefault="006B7292" w:rsidP="006B7292">
      <w:pPr>
        <w:pStyle w:val="TextoNormal"/>
      </w:pPr>
    </w:p>
    <w:p w:rsidR="006B7292" w:rsidRDefault="006B7292" w:rsidP="006B7292">
      <w:pPr>
        <w:pStyle w:val="TextoNormal"/>
      </w:pPr>
      <w:r w:rsidRPr="006B7292">
        <w:rPr>
          <w:rStyle w:val="NumeroAFNegritaCaracter"/>
        </w:rPr>
        <w:t>4</w:t>
      </w:r>
      <w:r>
        <w:t>. Por providencia de la Sección Cuarta de este Tribunal, de 7 de julio de 2015, se acordó la inadmisión del recurso “dada la manifiesta inexistencia de violación de un derecho fundamental tutelable en amparo”.</w:t>
      </w:r>
    </w:p>
    <w:p w:rsidR="006B7292" w:rsidRDefault="006B7292" w:rsidP="006B7292">
      <w:pPr>
        <w:pStyle w:val="TextoNormal"/>
      </w:pPr>
    </w:p>
    <w:p w:rsidR="006B7292" w:rsidRDefault="006B7292" w:rsidP="006B7292">
      <w:pPr>
        <w:pStyle w:val="TextoNormal"/>
      </w:pPr>
      <w:r>
        <w:t>El Ministerio Fiscal presentó escrito registrado el 22 de septiembre de 2015, afirmando que si bien no recurrió la providencia en el plazo de tres días del art. 50.3 LOTC, lo que supuso su firmeza, no obstante solicita se reconsidere esa decisión dado que el objeto del presente recurso resulta coincidente con el del recurso de amparo núm. 6011-2014, interpuesto por la misma entidad territorial y admitido a trámite. Solicitud a la que se adhirió el Ayuntamiento recurrente, por escrito de su representación procesal registrado el 30 de septiembre de 2015.</w:t>
      </w:r>
    </w:p>
    <w:p w:rsidR="006B7292" w:rsidRDefault="006B7292" w:rsidP="006B7292">
      <w:pPr>
        <w:pStyle w:val="TextoNormal"/>
      </w:pPr>
    </w:p>
    <w:p w:rsidR="006B7292" w:rsidRDefault="006B7292" w:rsidP="006B7292">
      <w:pPr>
        <w:pStyle w:val="TextoNormal"/>
      </w:pPr>
      <w:r>
        <w:t>En su respuesta, la Sección Cuarta de este Tribunal dictó Auto el 1 de octubre de 2015 por el que, constatando error material en la providencia de 7 de julio anterior, dejó ésta sin efecto, dado que el objeto del recurso se extendía a la Sentencia de la Sección Primera de la Sala de lo Contencioso-Administrativo del Tribunal Superior de Justicia de Castilla-La Mancha.</w:t>
      </w:r>
    </w:p>
    <w:p w:rsidR="006B7292" w:rsidRDefault="006B7292" w:rsidP="006B7292">
      <w:pPr>
        <w:pStyle w:val="TextoNormal"/>
      </w:pPr>
    </w:p>
    <w:p w:rsidR="006B7292" w:rsidRDefault="006B7292" w:rsidP="006B7292">
      <w:pPr>
        <w:pStyle w:val="TextoNormal"/>
      </w:pPr>
      <w:r>
        <w:t>Como consecuencia de ello, la Sección examinó de nuevo el presente recurso de amparo, dictando providencia con fecha 5 de octubre de 2015 por la que acordó su admisión a trámite, “apreciando que concurre en el mismo una especial trascendencia constitucional (art. 50.1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w:t>
      </w:r>
    </w:p>
    <w:p w:rsidR="006B7292" w:rsidRDefault="006B7292" w:rsidP="006B7292">
      <w:pPr>
        <w:pStyle w:val="TextoNormal"/>
      </w:pPr>
    </w:p>
    <w:p w:rsidR="006B7292" w:rsidRDefault="006B7292" w:rsidP="006B7292">
      <w:pPr>
        <w:pStyle w:val="TextoNormal"/>
      </w:pPr>
      <w:r w:rsidRPr="006B7292">
        <w:rPr>
          <w:rStyle w:val="NumeroAFNegritaCaracter"/>
        </w:rPr>
        <w:t>5</w:t>
      </w:r>
      <w:r>
        <w:t xml:space="preserve">. El propio día 5 de octubre de 2015, la Sección Cuarta de este Tribunal dictó otra providencia, acordando “formar con la precedente fotocopia, la oportuna pieza para la tramitación del incidente sobre suspensión”, concediendo plazo común de tres días a la entidad recurrente y al Ministerio Fiscal, </w:t>
      </w:r>
      <w:r w:rsidRPr="006B7292">
        <w:rPr>
          <w:i/>
        </w:rPr>
        <w:t>ex</w:t>
      </w:r>
      <w:r>
        <w:t xml:space="preserve"> art. 56.4 LOTC, para formular alegaciones.</w:t>
      </w:r>
    </w:p>
    <w:p w:rsidR="006B7292" w:rsidRDefault="006B7292" w:rsidP="006B7292">
      <w:pPr>
        <w:pStyle w:val="TextoNormal"/>
      </w:pPr>
    </w:p>
    <w:p w:rsidR="006B7292" w:rsidRDefault="006B7292" w:rsidP="006B7292">
      <w:pPr>
        <w:pStyle w:val="TextoNormal"/>
      </w:pPr>
      <w:r w:rsidRPr="006B7292">
        <w:rPr>
          <w:rStyle w:val="NumeroAFNegritaCaracter"/>
        </w:rPr>
        <w:t>6</w:t>
      </w:r>
      <w:r>
        <w:t>. Por escrito de 14 de octubre de 2015, la representación procesal de la recurrente mantuvo la petición de suspensión de los efectos de las resoluciones judiciales impugnadas, afirmando que ésta resulta procedente “[m]ás aún, si cabe, tras la reciente STC, Sala Primera, de 21 de septiembre de 2015 (recurso 6011-2014)”.</w:t>
      </w:r>
    </w:p>
    <w:p w:rsidR="006B7292" w:rsidRDefault="006B7292" w:rsidP="006B7292">
      <w:pPr>
        <w:pStyle w:val="TextoNormal"/>
      </w:pPr>
    </w:p>
    <w:p w:rsidR="006B7292" w:rsidRDefault="006B7292" w:rsidP="006B7292">
      <w:pPr>
        <w:pStyle w:val="TextoNormal"/>
      </w:pPr>
      <w:r>
        <w:t xml:space="preserve">En sustento de su afirmación, tras exponer las razones por las que se ha venido defendiendo la directa relación entre este recurso de amparo y el identificado con el núm. 6011-2014, lo que trae consigo que “los motivos y fundamentos de las demandas de amparo son idénticos”, el escrito incide en el sentido estimatorio de la Sentencia de la Sala Primera de este Tribunal, de 21 de septiembre de 2015, resolutoria de aquel recurso núm. 6011-2014, que otorga el amparo al Ayuntamiento de Toledo por vulneración de los mismos derechos fundamentales invocados aquí como infringidos. Al parecer de la corporación local recurrente, esta declaración de nulidad del Tribunal conforma un </w:t>
      </w:r>
      <w:r w:rsidRPr="006B7292">
        <w:rPr>
          <w:i/>
        </w:rPr>
        <w:t>fumus boni iuris</w:t>
      </w:r>
      <w:r>
        <w:t xml:space="preserve"> justificativo de la medida de suspensión, en línea con lo afirmado en similar sentido por la doctrina constitucional en materia de recursos de inconstitucionalidad, con cita de los AATC 243/1993 y 78/1987.</w:t>
      </w:r>
    </w:p>
    <w:p w:rsidR="006B7292" w:rsidRDefault="006B7292" w:rsidP="006B7292">
      <w:pPr>
        <w:pStyle w:val="TextoNormal"/>
      </w:pPr>
    </w:p>
    <w:p w:rsidR="006B7292" w:rsidRDefault="006B7292" w:rsidP="006B7292">
      <w:pPr>
        <w:pStyle w:val="TextoNormal"/>
      </w:pPr>
      <w:r>
        <w:t>Se ocupa en segundo lugar el escrito de alegaciones, de concretar los “perjuicios irreparables, reales y concretos que se derivarían de la no suspensión de las resoluciones judiciales impugnadas”, acompañando como documento de apoyo un informe firmado por un arquitecto municipal. En tal sentido, se refiere en primer término a la “protección del interés ecológico y medioambiental en el plan de ordenación municipal del año 2007” sobre ciertas zonas que identifica; citando doctrina del Tribunal sobre la protección del medioambiente como valor superior y su consideración como criterio para acordar la suspensión de normas en recursos de inconstitucionalidad (cita los AATC 353/1995, de 20 de diciembre, FJ 2; 88/2008, de 2 de abril; 34/2009, de 27 de enero; 225/2009, de 27 de julio; 227/2009, de 10 de diciembre; 56/2010, de 29 de mayo, y 114/2011, de 19 de julio). En segundo lugar, indica la protección que acomete aquel mismo plan sobre el patrimonio histórico, artístico y cultural, a través de la carta arqueológica incorporada al mismo, con una zonificación de Toledo dividida en “ámbitos de protección arqueológica" y “ámbitos de prevención arqueológica”; así como también el catálogo de bienes de protección monumental, lo cual debe ser ponderado para resolver la suspensión (con cita del ATC 104/2010, de 28 de julio). En tercer y último lugar, se habla en el escrito de alegaciones de “grandes infraestructuras de la ciudad” que quedarían afectadas, como autopistas, puentes, el Hospital General de Toledo; y zonas de equipamiento público.</w:t>
      </w:r>
    </w:p>
    <w:p w:rsidR="006B7292" w:rsidRDefault="006B7292" w:rsidP="006B7292">
      <w:pPr>
        <w:pStyle w:val="TextoNormal"/>
      </w:pPr>
    </w:p>
    <w:p w:rsidR="006B7292" w:rsidRDefault="006B7292" w:rsidP="006B7292">
      <w:pPr>
        <w:pStyle w:val="TextoNormal"/>
      </w:pPr>
      <w:r>
        <w:t>Finalmente, se reitera la invocación hecha en la demanda al art. 30 LOTC, por cuanto de haberse planteado la cuestión de inconstitucionalidad no hubiera supuesto la suspensión de la vigencia del plan.</w:t>
      </w:r>
    </w:p>
    <w:p w:rsidR="006B7292" w:rsidRDefault="006B7292" w:rsidP="006B7292">
      <w:pPr>
        <w:pStyle w:val="TextoNormal"/>
      </w:pPr>
    </w:p>
    <w:p w:rsidR="006B7292" w:rsidRDefault="006B7292" w:rsidP="006B7292">
      <w:pPr>
        <w:pStyle w:val="TextoNormal"/>
      </w:pPr>
      <w:r w:rsidRPr="006B7292">
        <w:rPr>
          <w:rStyle w:val="NumeroAFNegritaCaracter"/>
        </w:rPr>
        <w:t>7</w:t>
      </w:r>
      <w:r>
        <w:t>. Con fecha 16 de octubre de 2015 tuvo entrada en el Registro General de este Tribunal, escrito del Fiscal por el que interesa “denegar la suspensión … sin perjuicio de que por el Tribunal Constitucional se pondere la sentencia de 21 de septiembre de 2015 a los efectos de acordar de oficio la suspensión” de las resoluciones recurridas.</w:t>
      </w:r>
    </w:p>
    <w:p w:rsidR="006B7292" w:rsidRDefault="006B7292" w:rsidP="006B7292">
      <w:pPr>
        <w:pStyle w:val="TextoNormal"/>
      </w:pPr>
    </w:p>
    <w:p w:rsidR="006B7292" w:rsidRDefault="006B7292" w:rsidP="006B7292">
      <w:pPr>
        <w:pStyle w:val="TextoNormal"/>
      </w:pPr>
      <w:r>
        <w:t>Así, luego de relatar los antecedentes procesales que dan lugar a las resoluciones recurridas en este amparo y destacar el hecho de su identidad de objeto con el del recurso de amparo núm. 6011-2014, donde se denegó la solicitud de suspensión realizada por la misma entidad recurrente, el Fiscal formula una primera conclusión y es que: “dado que se produce una identidad de alegaciones de suspensión con el recurso de amparo núm. 6011-2014, debe desestimarse la petición de suspensión interesada en el presente recurso por los mismos argumentos del Auto de 6 de julio de 2015”.</w:t>
      </w:r>
    </w:p>
    <w:p w:rsidR="006B7292" w:rsidRDefault="006B7292" w:rsidP="006B7292">
      <w:pPr>
        <w:pStyle w:val="TextoNormal"/>
      </w:pPr>
    </w:p>
    <w:p w:rsidR="006B7292" w:rsidRDefault="006B7292" w:rsidP="006B7292">
      <w:pPr>
        <w:pStyle w:val="TextoNormal"/>
      </w:pPr>
      <w:r>
        <w:t>No obstante, a continuación el escrito de alegaciones toma en cuenta que la Sala Primera de este Tribunal, con fecha 21 de septiembre de 2015, dictó Sentencia estimatoria en aquel recurso de amparo, declarando la nulidad tanto de la Sentencia del Tribunal Superior de Justicia de Castilla-La Mancha que acordaba la nulidad del plan de ordenación municipal, como de las resoluciones dictadas en casación por el Tribunal Supremo. Atendido que la Sentencia del Tribunal Superior de Justicia impugnada en este amparo núm. 115-2015, resulta “sustancialmente idéntica a la sentencia de la misma Sala de 26 de julio de 2011”, entiende el Fiscal que “no se puede ignorar la nueva realidad jurídica derivada del fallo de este Alto Tribunal que anula dichas resoluciones”, de modo que el pronunciamiento de la referida Sentencia de instancia que aquí se cuestiona, supone “una realidad jurídica discrepante de la generada por el fallo de este Alto Tribunal”, “creándose una situación contradictoria sobre la validez o nulidad del Plan”; dicotomía que a su parecer “genera un riesgo y daño actual para un principio constitucional como el de la seguridad jurídica, art. 9.3 CE”. Y añade que “aun cuando no quepa hablar de un posible daño irreparable de no acordarse la suspensión de la ejecución de las resoluciones impugnadas, existiría un interés público en que la realidad jurídica que surge a partir del momento en que se dicta la sentencia de 21 de septiembre de 2015 del Tribunal Constitucional sea respetada”.</w:t>
      </w:r>
    </w:p>
    <w:p w:rsidR="006B7292" w:rsidRDefault="006B7292" w:rsidP="006B7292">
      <w:pPr>
        <w:pStyle w:val="TextoNormal"/>
      </w:pPr>
    </w:p>
    <w:p w:rsidR="006B7292" w:rsidRDefault="006B7292" w:rsidP="006B7292">
      <w:pPr>
        <w:pStyle w:val="TextoNormal"/>
      </w:pPr>
      <w:r>
        <w:t>El Fiscal cita por último el art. 56.2 LOTC, sobre la posibilidad de oficio del Tribunal para acordar la suspensión, de lo que se deduce que éste tiene la posibilidad de ponderar circunstancias no alegadas “y más cuando es un nuevo hecho que no ha podido ser considerado por el demandante de amparo” —se entiende que se refiere en este caso a la STC 195/2015, de 21 de septiembre—.</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La entidad demandante de amparo, solicita en un otrosí digo de su escrito de demanda la suspensión de los efectos ejecutivos de las resoluciones judiciales impugnadas en el presente recurso, las cuales, como ya se expuso en los antecedentes, son la Sentencia de la Sección Primera de la Sala de lo Contencioso-Administrativo del Tribunal Superior de Justicia de Castilla La Mancha, de 28 de noviembre de 2011, que acordó estimar el recurso contencioso-administrativo interpuesto contra el plan de ordenación municipal de Toledo, aprobado por Orden de 26 de marzo de 2007 de la Consejería de Vivienda y Urbanismo, declarando su nulidad; el Auto de la Sección Primera de la Sala de lo Contencioso-Administrativo del Tribunal Supremo, de 3 de abril de 2014, que declaró la pérdida sobrevenida del objeto del recurso de casación interpuesto contra la anterior, al existir ya una Sentencia firme de la Sección Quinta de la misma Sala Tercera del Tribunal Supremo que asienta doctrina contraria a la pretensión de la recurrente; y el Auto de 23 de octubre de 2014, que desestima el incidente de nulidad de actuaciones promovido por la misma parte procesal, contra el Auto que acaba de indicarse. Con posterioridad y según se ha dejado expuesto, una vez admitido a trámite este recurso de amparo y ordenado por la Sección Cuarta de este Tribunal la apertura de pieza separada de suspensión, la parte demandante ha presentado escrito de alegaciones en el que amplían las formuladas inicialmente, de un lado aludiendo al dictado de la STC 195/2015, de la Sala Primera de este Tribunal, que declara nulas las resoluciones judiciales impugnadas en el recurso de amparo núm. 6011-2014, de objeto sustancialmente idéntico al que aquí nos ocupa. Y de otro lado, intentando concretar los daños irreparables que a su criterio ocasionaría la no suspensión, en virtud de la paralización del plan de ordenación municipal de Toledo.</w:t>
      </w:r>
    </w:p>
    <w:p w:rsidR="006B7292" w:rsidRDefault="006B7292" w:rsidP="006B7292">
      <w:pPr>
        <w:pStyle w:val="TextoNormal"/>
      </w:pPr>
    </w:p>
    <w:p w:rsidR="006B7292" w:rsidRDefault="006B7292" w:rsidP="006B7292">
      <w:pPr>
        <w:pStyle w:val="TextoNormal"/>
      </w:pPr>
      <w:r>
        <w:t>Así estructurada la pretensión de suspensión de las resoluciones judiciales recurridas, conviene seguir en su respuesta el mismo orden con el que han sido presentadas a esta Sala por la recurrente.</w:t>
      </w:r>
    </w:p>
    <w:p w:rsidR="006B7292" w:rsidRDefault="006B7292" w:rsidP="006B7292">
      <w:pPr>
        <w:pStyle w:val="TextoNormal"/>
      </w:pPr>
    </w:p>
    <w:p w:rsidR="006B7292" w:rsidRDefault="006B7292" w:rsidP="006B7292">
      <w:pPr>
        <w:pStyle w:val="TextoNormal"/>
      </w:pPr>
      <w:r w:rsidRPr="006B7292">
        <w:rPr>
          <w:rStyle w:val="NumeroAFNegritaCaracter"/>
        </w:rPr>
        <w:t>2</w:t>
      </w:r>
      <w:r>
        <w:t>. De esta manera, por lo que concierne en primer lugar a los motivos que se esgrimen en la demanda de amparo, dado que presentan idéntico contenido a los que se defendieron a su vez por el mismo ayuntamiento en la solicitud de suspensión de las resoluciones impugnadas en el recurso de amparo núm. 6011-2014, cuyo objeto, según se ha venido destacando por ella misma y con acierto, resulta sustancialmente el mismo al que aquí se dilucida, procede por una elemental razón de unidad de criterio hacer nuestras las afirmaciones realizadas por la Sala Primera de este Tribunal, en el ATC 117/2015, de 6 de julio, por el que se acordó denegar la suspensión solicitada en aquel recurso de amparo núm. 6011-2014.</w:t>
      </w:r>
    </w:p>
    <w:p w:rsidR="006B7292" w:rsidRDefault="006B7292" w:rsidP="006B7292">
      <w:pPr>
        <w:pStyle w:val="TextoNormal"/>
      </w:pPr>
    </w:p>
    <w:p w:rsidR="006B7292" w:rsidRDefault="006B7292" w:rsidP="006B7292">
      <w:pPr>
        <w:pStyle w:val="TextoNormal"/>
      </w:pPr>
      <w:r>
        <w:t>Como expresa el fundamento jurídico primero de dicho ATC 117/2015, en relación al régimen general aplicable para la suspensión de resoluciones firmes, “dispone el art. 56.2 de la Ley Orgánica del Tribunal Constitucional (LOTC) que cuando la ejecución del acto o sentencia impugnados produzca un perjuicio al recurrente que pudiese hacer perder al amparo su finalidad, la Sala o, en su caso, la Sección que conozca de un recurso de amparo podrá disponer la suspensión, total o parcial, de sus efectos, siempre y cuando la suspensión no ocasione perturbación grave a un interés constitucionalmente protegido, ni a los derechos fundamentales o libertades de otra persona. 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y siempre ‘que la suspensión no ocasione perturbación grave a un interés constitucionalmente protegido, ni a los derechos fundamentales o libertades de otra persona’ (art. 56.2 LOTC)”.</w:t>
      </w:r>
    </w:p>
    <w:p w:rsidR="006B7292" w:rsidRDefault="006B7292" w:rsidP="006B7292">
      <w:pPr>
        <w:pStyle w:val="TextoNormal"/>
      </w:pPr>
    </w:p>
    <w:p w:rsidR="006B7292" w:rsidRDefault="006B7292" w:rsidP="006B7292">
      <w:pPr>
        <w:pStyle w:val="TextoNormal"/>
      </w:pPr>
      <w:r>
        <w:t>Seguidamente, el fundamento jurídico segundo de este ATC 117/2015 se refiere al requisito del carácter no reparable del perjuicio, asentando que “es doctrina reiterada y unánime de este Tribunal, que la previsión contenida ahora en el art. 56.2 LOTC (en la redacción anterior a la reforma de la Ley Orgánica 6/2007 la establecía el art. 56.1 LOTC), que exige como uno de los requisitos para otorgar la suspensión que la ejecución del acto del poder público por razón del cual se reclama el amparo ocasione ‘un perjuicio al recurrente que pudiera hacer perder al amparo su finalidad’, debe interpretarse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(ATC 125/2003, de 23 de abril, FJ 2, y, en el mismo sentido AATC 20/2009, de 26 de enero, 94/2010, y 95/2010, ambos de 19 de julio, 122/2012, de 18 de junio, entre muchos). Por esta razón este Tribunal no accede, salvo excepciones, a la solicitud de suspensión de resoluciones que imponen obligaciones de pago de cantidad o, en general, de contenido económico o patrimonial, pues la lesión que de ellas se deriva es normalmente reparable (AATC 125/2003, de 23 de abril; 326/2005, de 12 de septiembre; 152/2006, de 8 de mayo; 357/2006, de 9 de octubre; 118/2008, de 28 de abril; 388/2008, de 15 de diciembre, y 20/2009 de 26 de enero, 95/2010, de 19 de julio, y 81/2012, de 7 de mayo, entre otros muchos). Con relación a los perjuicios de carácter patrimonial o económico hemos señalado que, por más que puedan producir efectos desfavorables a quien demanda amparo, no pueden considerarse, en principio, como causa suficiente para acordar la suspensión de una resolución judicial firme (AATC 93/2002, de 3 de junio; 106/2002, de 17 de junio; 165/2003, de 19 de mayo; 326/2005, de 12 de septiembre, y 386/2008, de 15 de diciembre, por todos). Sólo en el caso de que el recurrente en amparo justificase cumplidamente que el no otorgamiento de la suspensión le ocasionaría un perjuicio irreparable que haría perder al amparo su finalidad, (entre otros, ATC 185/2014, de 8 de julio), y siempre que de dicha medida cautelar no se siga perturbación grave de los intereses generales o de los derechos y libertades fundamentales de un tercero, procedería acordar la suspensión interesada”.</w:t>
      </w:r>
    </w:p>
    <w:p w:rsidR="006B7292" w:rsidRDefault="006B7292" w:rsidP="006B7292">
      <w:pPr>
        <w:pStyle w:val="TextoNormal"/>
      </w:pPr>
    </w:p>
    <w:p w:rsidR="006B7292" w:rsidRDefault="006B7292" w:rsidP="006B7292">
      <w:pPr>
        <w:pStyle w:val="TextoNormal"/>
      </w:pPr>
      <w:r>
        <w:t>Y el fundamento jurídico tercero del mismo Auto 117/2015, completando la visión panorámica de la doctrina aplicable en esta materia, señala respecto a la carga procesal que concierne a la parte recurrente, que “[t]ambién es doctrina constante del Tribunal que para excepcionar la regla general de la no suspensión es carga del recurrente probar que la ejecución del acto o Sentencia impugnados deba producirle un perjuicio que hiciere perder al amparo su finalidad (por todos AATC 39/2008, de 11 de febrero, FJ 1; 40/2008, de 11 de febrero, FJ 3; y 59/2008, de 20 de febrero, FJ 2). Así respecto de la carga alegatoria y probatoria del incidente en ATC 81/2012, de 7 de mayo, FJ 3, con cita de otros, hemos afirmado: ‘la acreditación del perjuicio es carga del recurrente, quien debe precisar los concretos perjuicios que de la ejecución se deriven, así como justificar o argumentar razonadamente la irreparabilidad de los mismos (AATC 107/1981, 226/1982, 385/1983, y 193/1984). A la par hemos dicho que, en todo caso, el perjuicio irreparable debe ser real, sin que sea posible alegar un perjuicio futuro o hipotético o un simple temor (AATC 490/1984, 399/1985, y 51/1989, entre otros muchos),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w:t>
      </w:r>
    </w:p>
    <w:p w:rsidR="006B7292" w:rsidRDefault="006B7292" w:rsidP="006B7292">
      <w:pPr>
        <w:pStyle w:val="TextoNormal"/>
      </w:pPr>
    </w:p>
    <w:p w:rsidR="006B7292" w:rsidRDefault="006B7292" w:rsidP="006B7292">
      <w:pPr>
        <w:pStyle w:val="TextoNormal"/>
      </w:pPr>
      <w:r w:rsidRPr="006B7292">
        <w:rPr>
          <w:rStyle w:val="NumeroAFNegritaCaracter"/>
        </w:rPr>
        <w:t>3</w:t>
      </w:r>
      <w:r>
        <w:t>. Partiendo pues de esta doctrina constitucional, el ATC 117/2015 entra a examinar en su fundamento jurídico cuarto los motivos aducidos por la entidad recurrente para apoyar la solicitud de suspensión, no apreciando éstos suficientemente sólidos por las razones que igualmente reproducimos: “En el presente caso, del examen de la solicitud de suspensión formulada cabe concluir que no se han acreditado circunstancias excepcionales que lleven a conceder la suspensión pedida. En efecto, como bien indica el Ministerio Fiscal, la suspensión que se solicita tiene un contenido patrimonial, que se circunscribe a la anulación del plan de ordenación municipal de Toledo, con retroacción de actuaciones de tramitación hasta la fase de nueva información pública. Ahora bien, dicho pronunciamiento no comporta como afirma el recurrente ‘la demolición de todo cuanto se ha construido’, ni tal consecuencia resulta acreditada por el documento núm. 6 al que alude el demandante y que se acompaña con la demanda. Debe insistirse en que el perjuicio irreparable debe ser real, sin que sea posible alegar un perjuicio futuro o hipotético. No basta con afirmaciones genéricas relativas a que la ejecución comportará ‘una verdadera catástrofe de consecuencias incalculables no solo en pérdidas económicas o patrimoniales, incluyendo demoliciones de lo construido con arreglo al Plan y anulación de infinidad de autorizaciones de usos, sino computables también en el número de puestos de trabajo que puede quedar sacrificados’, sino que se deben precisar los concretos perjuicios que de la ejecución se derivaran. Carga probatoria que la Administración recurrente no aporta, al omitir datos concretos que puedan ser calificados de principio razonable de prueba y que permitan avalar lo manifestado, sino que se limita a efectuar una afirmación genérica e inconcreta carente de la necesaria acreditación. En tal sentido, como indica el Ministerio Fiscal, ni la anulación del plan comporta necesariamente la inminente demolición de todo cuanto se ha construido, ni supone la anulación de infinidad de autorizaciones de usos, determinantes del cese inmediato de actividades y sacrificio de puestos de trabajo. Ahora bien, la ausencia actual de las circunstancias excepcionales que llevan a conceder la suspensión pedida, esto es, la falta de acreditación de un perjuicio irreparable, real y concreto, no es óbice para que en un momento posterior durante el curso del procedimiento de amparo, el recurrente pueda plantear de nuevo ante este Tribunal la procedencia de la suspensión, ‘en virtud de circunstancias sobrevenidas o que no pudieron ser conocidas al tiempo de sustanciarse el incidente de suspensión’ (</w:t>
      </w:r>
      <w:r w:rsidRPr="006B7292">
        <w:rPr>
          <w:i/>
        </w:rPr>
        <w:t>ex</w:t>
      </w:r>
      <w:r>
        <w:t xml:space="preserve"> art. 57 LOTC), que satisfagan el presupuesto exigido”.</w:t>
      </w:r>
    </w:p>
    <w:p w:rsidR="006B7292" w:rsidRDefault="006B7292" w:rsidP="006B7292">
      <w:pPr>
        <w:pStyle w:val="TextoNormal"/>
      </w:pPr>
    </w:p>
    <w:p w:rsidR="006B7292" w:rsidRDefault="006B7292" w:rsidP="006B7292">
      <w:pPr>
        <w:pStyle w:val="TextoNormal"/>
      </w:pPr>
      <w:r>
        <w:t>Como ya se ha adelantado, esta Sala considera correctas y asume como propias las razones dadas en el mencionado ATC 117/2015, lo que arroja como primera conclusión, a los efectos de la presente pieza separada, de rechazar los argumentos alegados en el “otrosí tercero digo” de la demanda de amparo para justificar la medida de suspensión de las resoluciones judiciales aquí impugnadas.</w:t>
      </w:r>
    </w:p>
    <w:p w:rsidR="006B7292" w:rsidRDefault="006B7292" w:rsidP="006B7292">
      <w:pPr>
        <w:pStyle w:val="TextoNormal"/>
      </w:pPr>
    </w:p>
    <w:p w:rsidR="006B7292" w:rsidRDefault="006B7292" w:rsidP="006B7292">
      <w:pPr>
        <w:pStyle w:val="TextoNormal"/>
      </w:pPr>
      <w:r w:rsidRPr="006B7292">
        <w:rPr>
          <w:rStyle w:val="NumeroAFNegritaCaracter"/>
        </w:rPr>
        <w:t>4</w:t>
      </w:r>
      <w:r>
        <w:t>. Queda por referirnos, en segundo y último lugar, a las alegaciones adicionales realizadas por el Ayuntamiento de Toledo en el trámite del art. 56.4 LOTC, abierto dentro de este procedimiento incidental, y que apoya al menos en parte el Ministerio Fiscal. Se adelanta, sin embargo, que las mismas no permiten alcanzar un resultado estimatorio:</w:t>
      </w:r>
    </w:p>
    <w:p w:rsidR="006B7292" w:rsidRDefault="006B7292" w:rsidP="006B7292">
      <w:pPr>
        <w:pStyle w:val="TextoNormal"/>
      </w:pPr>
    </w:p>
    <w:p w:rsidR="006B7292" w:rsidRDefault="006B7292" w:rsidP="006B7292">
      <w:pPr>
        <w:pStyle w:val="TextoNormal"/>
      </w:pPr>
      <w:r>
        <w:t>a) Respecto de la incidencia que pudiera tener la estimación del recurso de amparo núm. 6011-2014, por la STC 195/2015, de 21 de septiembre, de la Sala Primera de este Tribunal, es necesario tener en cuenta un dato capital y es que, si bien la misma acuerda la nulidad de las resoluciones impugnadas, incluyendo la dictada en la instancia por la Sección competente del Tribunal Superior de Justicia de Castilla-La Mancha, de igual contenido a la aquí impugnada, en ningún caso dicha STC 195/2015 se ha pronunciado sobre la validez del plan de ordenación municipal citado, cuyo “despliegue de efectos” es lo que viene a instar el Ayuntamiento recurrente con la medida de suspensión.</w:t>
      </w:r>
    </w:p>
    <w:p w:rsidR="006B7292" w:rsidRDefault="006B7292" w:rsidP="006B7292">
      <w:pPr>
        <w:pStyle w:val="TextoNormal"/>
      </w:pPr>
    </w:p>
    <w:p w:rsidR="006B7292" w:rsidRDefault="006B7292" w:rsidP="006B7292">
      <w:pPr>
        <w:pStyle w:val="TextoNormal"/>
      </w:pPr>
      <w:r>
        <w:t>De manera distinta, lo que hace la STC 195/2015, FFJJ 6 y 7, es apreciar que existe vulneración de los derechos fundamentales que se alegan (tutela judicial efectiva —art. 24.1 CE— y proceso con todas las garantías (art. 24.2 CE), por haberse resuelto el recurso contencioso-administrativo de referencia, tanto en instancia como en casación, eludiendo un precepto autonómico que resultaba aplicable, y ello por achacársele su inconstitucionalidad —oposición a norma básica del Estado—, sin plantear la cuestión de los arts. 163 CE y 35 LOTC ante esta jurisdicción constitucional, para que nos pronunciáramos al respecto.</w:t>
      </w:r>
    </w:p>
    <w:p w:rsidR="006B7292" w:rsidRDefault="006B7292" w:rsidP="006B7292">
      <w:pPr>
        <w:pStyle w:val="TextoNormal"/>
      </w:pPr>
    </w:p>
    <w:p w:rsidR="006B7292" w:rsidRDefault="006B7292" w:rsidP="006B7292">
      <w:pPr>
        <w:pStyle w:val="TextoNormal"/>
      </w:pPr>
      <w:r>
        <w:t>De allí que la STC 195/2015 precise en su fundamento jurídico 7, que “dicha vulneración tiene su origen en las resoluciones judiciales impugnadas y no en el art. 36.2 A) párrafo segundo (debe entenderse referido al párrafo tercero), del texto refundido de la Ley de ordenación del territorio y de la actividad urbanística, en tanto que el mismo no ha sido aplicado en el proceso contencioso-administrativo, por lo que no procede plantear la autocuestión de inconstitucionalidad (art. 55.2 LOTC)”.</w:t>
      </w:r>
    </w:p>
    <w:p w:rsidR="006B7292" w:rsidRDefault="006B7292" w:rsidP="006B7292">
      <w:pPr>
        <w:pStyle w:val="TextoNormal"/>
      </w:pPr>
    </w:p>
    <w:p w:rsidR="006B7292" w:rsidRDefault="006B7292" w:rsidP="006B7292">
      <w:pPr>
        <w:pStyle w:val="TextoNormal"/>
      </w:pPr>
      <w:r>
        <w:t>La nulidad de las resoluciones impugnadas obliga a la retroacción de actuaciones, según añade el fundamento jurídico 8, para que la Sala de instancia en ese recurso contencioso-administrativo núm. 556-2007, “dicte otra resolución que resulte respetuosa con los derechos fundamentales reconocidos”, pero sin prejuzgar como es obvio cuál ha de ser el resultado de dicho nuevo enjuiciamiento.</w:t>
      </w:r>
    </w:p>
    <w:p w:rsidR="006B7292" w:rsidRDefault="006B7292" w:rsidP="006B7292">
      <w:pPr>
        <w:pStyle w:val="TextoNormal"/>
      </w:pPr>
    </w:p>
    <w:p w:rsidR="006B7292" w:rsidRDefault="006B7292" w:rsidP="006B7292">
      <w:pPr>
        <w:pStyle w:val="TextoNormal"/>
      </w:pPr>
      <w:r>
        <w:t>En todo caso, no puede desconocerse que una de las alternativas probables tras dicha retroacción de actuaciones, en virtud de lo declarado en esta STC 195/2015, es que la Sala de instancia, caso de mantener su parecer contrario a la constitucionalidad del precepto autonómico ya indicado, eleve la cuestión de inconstitucionalidad a este Tribunal para que conozcamos de ello. De suceder así, la decisión a adoptar acerca de la validez o nulidad del plan de ordenación municipal de Toledo, tendrá que aguardar primero a la tramitación y resolución definitiva de la indicada cuestión; y una vez despejada esa incógnita constitucional, desde luego no está descartado tampoco un desenlace en la jurisdicción ordinaria que conlleve declarar la nulidad del plan.</w:t>
      </w:r>
    </w:p>
    <w:p w:rsidR="006B7292" w:rsidRDefault="006B7292" w:rsidP="006B7292">
      <w:pPr>
        <w:pStyle w:val="TextoNormal"/>
      </w:pPr>
    </w:p>
    <w:p w:rsidR="006B7292" w:rsidRDefault="006B7292" w:rsidP="006B7292">
      <w:pPr>
        <w:pStyle w:val="TextoNormal"/>
      </w:pPr>
      <w:r>
        <w:t>No cabe equiparar esta situación, por lo dicho, con la de un precepto legal impugnado en un recurso de inconstitucionalidad, cuya literalidad es similar a la de otro que ya ha sido declarado nulo por este Tribunal, razón por la que en alguna ocasión hemos acordado suspender los efectos de aquél mientras se tramita el correspondiente proceso (vgr., ATC 78/1987, de 22 de enero, FJ 2; también ATC 183/2011, de 14 de diciembre, FFJJ 4 y 6). Una doctrina que, con ajenidad al ámbito del amparo, aduce sin éxito el escrito de la entidad recurrente.</w:t>
      </w:r>
    </w:p>
    <w:p w:rsidR="006B7292" w:rsidRDefault="006B7292" w:rsidP="006B7292">
      <w:pPr>
        <w:pStyle w:val="TextoNormal"/>
      </w:pPr>
    </w:p>
    <w:p w:rsidR="006B7292" w:rsidRDefault="006B7292" w:rsidP="006B7292">
      <w:pPr>
        <w:pStyle w:val="TextoNormal"/>
      </w:pPr>
      <w:r>
        <w:t>Debe tenerse presente, además, que en el presente caso los Autos dictados por la Sección Primera, Sala Tercera, del Tribunal Supremo, resolvieron archivar el recurso de casación interpuesto, al apreciar una pérdida sobrevenida de objeto. La “suspensión” que se solicita respecto de ellos, de concederse, estrictamente traería consigo tan sólo la reanudación del procedimiento de casación interrumpido, pero sin condicionar su resultado, cosa que únicamente depende de la Sentencia que ponga fin al presente recurso de amparo.</w:t>
      </w:r>
    </w:p>
    <w:p w:rsidR="006B7292" w:rsidRDefault="006B7292" w:rsidP="006B7292">
      <w:pPr>
        <w:pStyle w:val="TextoNormal"/>
      </w:pPr>
    </w:p>
    <w:p w:rsidR="006B7292" w:rsidRDefault="006B7292" w:rsidP="006B7292">
      <w:pPr>
        <w:pStyle w:val="TextoNormal"/>
      </w:pPr>
      <w:r>
        <w:t>En definitiva, no cabe apreciar la existencia de una circunstancia nueva susceptible de modificar el criterio adoptado por el ATC 117/2015, de 6 de julio, para denegar la suspensión solicitada.</w:t>
      </w:r>
    </w:p>
    <w:p w:rsidR="006B7292" w:rsidRDefault="006B7292" w:rsidP="006B7292">
      <w:pPr>
        <w:pStyle w:val="TextoNormal"/>
      </w:pPr>
    </w:p>
    <w:p w:rsidR="006B7292" w:rsidRDefault="006B7292" w:rsidP="006B7292">
      <w:pPr>
        <w:pStyle w:val="TextoNormal"/>
      </w:pPr>
      <w:r>
        <w:t>b) Otro tanto ha de decirse, por último, en cuanto a las aseveraciones que se formulan por el ayuntamiento recurrente en su escrito del art. 56.4 LOTC, intentando concretar los perjuicios que ocasiona la paralización del plan de ordenación municipal de Toledo.</w:t>
      </w:r>
    </w:p>
    <w:p w:rsidR="006B7292" w:rsidRDefault="006B7292" w:rsidP="006B7292">
      <w:pPr>
        <w:pStyle w:val="TextoNormal"/>
      </w:pPr>
    </w:p>
    <w:p w:rsidR="006B7292" w:rsidRDefault="006B7292" w:rsidP="006B7292">
      <w:pPr>
        <w:pStyle w:val="TextoNormal"/>
      </w:pPr>
      <w:r>
        <w:t>Ante todo, éstas se limitan esencialmente a indicar que el plan contiene previsiones sobre el uso del suelo en dicho término municipal, que repercuten en aspectos medioambientales y en la protección del patrimonio histórico, artístico y cultural de la ciudad, extremo que no se pone en duda, pero sin que se aporten datos que acrediten verosímilmente cuáles serían los daños “irreparables, reales y concretos” que ocasionaría, a juicio del recurrente, una eventual aplicación del plan anterior en esos ámbitos, mientras se tramita el presente recurso de amparo.</w:t>
      </w:r>
    </w:p>
    <w:p w:rsidR="006B7292" w:rsidRDefault="006B7292" w:rsidP="006B7292">
      <w:pPr>
        <w:pStyle w:val="TextoNormal"/>
      </w:pPr>
    </w:p>
    <w:p w:rsidR="006B7292" w:rsidRDefault="006B7292" w:rsidP="006B7292">
      <w:pPr>
        <w:pStyle w:val="TextoNormal"/>
      </w:pPr>
      <w:r>
        <w:t>En fin, como reconoce el escrito de alegaciones, todas las citas de doctrina constitucional que se incluyen como apoyo en este punto, versan sobre la suspensión de normas legales en recursos de inconstitucionalidad donde, precisamente, y a diferencia de este amparo, sí se resuelve acerca de la nulidad de la disposición general de que se trata. Tampoco alcanza virtualidad la cita que se hace del art. 30 LOTC, puesto que claramente no es una disposición aplicable dentro del recurso de amparo.</w:t>
      </w:r>
    </w:p>
    <w:p w:rsidR="006B7292" w:rsidRDefault="006B7292" w:rsidP="006B7292">
      <w:pPr>
        <w:pStyle w:val="TextoNormal"/>
      </w:pPr>
    </w:p>
    <w:p w:rsidR="006B7292" w:rsidRDefault="006B7292" w:rsidP="006B7292">
      <w:pPr>
        <w:pStyle w:val="TextoNormal"/>
      </w:pPr>
      <w:r>
        <w:t>Por todo lo expuesto, la Sala</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Denegar la suspensión solicitada.</w:t>
      </w:r>
    </w:p>
    <w:p w:rsidR="006B7292" w:rsidRDefault="006B7292" w:rsidP="006B7292">
      <w:pPr>
        <w:pStyle w:val="TextoNormal"/>
      </w:pPr>
    </w:p>
    <w:p w:rsidR="006B7292" w:rsidRDefault="006B7292" w:rsidP="006B7292">
      <w:pPr>
        <w:pStyle w:val="TextoNormal"/>
      </w:pPr>
      <w:r>
        <w:t>Madrid, a catorce de diciembre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23" w:name="AUTO_2015_209"/>
      <w:r>
        <w:t>AUTO 209/2015, de 14 de diciembre de 2015</w:t>
      </w:r>
    </w:p>
    <w:bookmarkEnd w:id="223"/>
    <w:p w:rsidR="006B7292" w:rsidRDefault="006B7292" w:rsidP="006B7292">
      <w:pPr>
        <w:pStyle w:val="TtuloResolucin"/>
      </w:pPr>
      <w:r>
        <w:t>Sala Segunda</w:t>
      </w:r>
    </w:p>
    <w:p w:rsidR="006B7292" w:rsidRDefault="006B7292" w:rsidP="006B7292">
      <w:pPr>
        <w:pStyle w:val="TextoNormalCentrado"/>
      </w:pPr>
      <w:r>
        <w:t>ECLI:ES:TC:2015:209A</w:t>
      </w:r>
    </w:p>
    <w:p w:rsidR="006B7292" w:rsidRDefault="006B7292" w:rsidP="006B7292">
      <w:pPr>
        <w:pStyle w:val="TextoNormalCentrado"/>
      </w:pPr>
    </w:p>
    <w:p w:rsidR="006B7292" w:rsidRDefault="006B7292" w:rsidP="006B7292">
      <w:pPr>
        <w:pStyle w:val="SntesisDescriptiva"/>
      </w:pPr>
      <w:r>
        <w:t>Excms. Srs. doña Adela Asua Batarrita, don Fernando Valdés Dal-Ré, don Juan José González Rivas,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Deniega la suspensión en el recurso de amparo 145-2015, promovido por el Ayuntamiento de Toledo en proceso contencioso-administrativo.</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día 9 de enero de 2015 tuvo entrada en el Registro General de este Tribunal Constitucional un escrito del Procurador de los Tribunales don Alberto Collado Martín, en nombre y representación del Ayuntamiento de Toledo, por el que interponía recurso de amparo contra las siguientes resoluciones: (i) la Sentencia de la Sección Primera de la Sala de lo Contencioso-Administrativo del Tribunal Superior de Justicia de Castilla-La Mancha, de 19 de julio de 2011, estimatoria del recurso contencioso-administrativo interpuesto contra la entidad aquí recurrente y la Consejería de Vivienda y Urbanismo de la Junta de Comunidades de Castilla-La Mancha; (ii) el Auto de la Sección Primera de la Sala de lo Contencioso-Administrativo del Tribunal Supremo, de 3 de abril de 2014, que declaró la pérdida sobrevenida del objeto de los recursos de casación interpuestos contra dicha Sentencia; y (iii) el Auto de 23 de octubre de 2014, de la misma Sala y Sección del Tribunal Supremo, que desestimó el incidente de nulidad de actuaciones promovido contra el citado Auto de 3 de abril. La demanda les atribuye la vulneración de los derechos a la tutela judicial efectiva (art. 24.1 CE) y a un proceso con todas las garantías (art. 24.2 CE), por exceso de jurisdicción.</w:t>
      </w:r>
    </w:p>
    <w:p w:rsidR="006B7292" w:rsidRDefault="006B7292" w:rsidP="006B7292">
      <w:pPr>
        <w:pStyle w:val="TextoNormal"/>
      </w:pPr>
    </w:p>
    <w:p w:rsidR="006B7292" w:rsidRDefault="006B7292" w:rsidP="006B7292">
      <w:pPr>
        <w:pStyle w:val="TextoNormal"/>
      </w:pPr>
      <w:r w:rsidRPr="006B7292">
        <w:rPr>
          <w:rStyle w:val="NumeroAFNegritaCaracter"/>
        </w:rPr>
        <w:t>2</w:t>
      </w:r>
      <w:r>
        <w:t>. Sucintamente, los hechos relevantes para resolver la pretensión de suspensión formulada por la demandante son los siguientes:</w:t>
      </w:r>
    </w:p>
    <w:p w:rsidR="006B7292" w:rsidRDefault="006B7292" w:rsidP="006B7292">
      <w:pPr>
        <w:pStyle w:val="TextoNormal"/>
      </w:pPr>
    </w:p>
    <w:p w:rsidR="006B7292" w:rsidRDefault="006B7292" w:rsidP="006B7292">
      <w:pPr>
        <w:pStyle w:val="TextoNormal"/>
      </w:pPr>
      <w:r>
        <w:t>a) La Sección Primera de la Sala de lo Contencioso-Administrativo del Tribunal Superior de Justicia de Castilla-La Mancha dictó Sentencia, el 19 de julio de 2011, estimando el recurso contencioso-administrativo núm. 555-2007, promovido contra la Orden de 26 de marzo de 2007 de la Consejería de Vivienda y Urbanismo de la Junta de Comunidades de Castilla- La Mancha, por la que se aprueba definitivamente el plan de ordenación municipal de Toledo. Ese plan se declara contrario a derecho y se anula porque debió ser sometido a un segundo trámite de información pública, dadas las sustanciales alteraciones introducidas en su texto tras las alegaciones recibidas en el (único) trámite de información pública abierto al efecto. Razona la resolución judicial que el tenor del art. 36.2 a) del texto refundido de la Ley de ordenación del territorio y de la actividad urbanística de Castilla-La Mancha (Decreto Legislativo 1/2004, de 28 de diciembre), precepto que expresamente dispensa de abrir nuevo trámite en tal circunstancia, no obsta la necesidad de evacuación del mismo, toda vez que esa previsión normativa autonómica se opone a la norma básica del Estado en la materia: el art. 6.1 de la Ley 6/1998, de 13 de abril, sobre el régimen del suelo y valoraciones (normas, todos ellas, entonces vigentes).</w:t>
      </w:r>
    </w:p>
    <w:p w:rsidR="006B7292" w:rsidRDefault="006B7292" w:rsidP="006B7292">
      <w:pPr>
        <w:pStyle w:val="TextoNormal"/>
      </w:pPr>
    </w:p>
    <w:p w:rsidR="006B7292" w:rsidRDefault="006B7292" w:rsidP="006B7292">
      <w:pPr>
        <w:pStyle w:val="TextoNormal"/>
      </w:pPr>
      <w:r>
        <w:t>b) Recurrida en casación la Sentencia de 19 de julio de 2011, la Sección Primera de la Sala de lo Contencioso-Administrativo del Tribunal Supremo dictó Auto, de 3 de abril de 2014, por el que acuerda: “declarar la pérdida sobrevenida de objeto de los recursos de casación interpuestos en el rollo 4897-2012 por la Junta de Comunidades de Castilla-La Mancha y por el Ayuntamiento de Toledo”. Explicaba el Auto en su razonamiento jurídico segundo que existía una sustancial identidad entre el objeto de los recursos formalizados y el del resuelto en sentido desestimatorio en la Sentencia de 27 de febrero de 2014 (recurso de casación núm. 5116-2011), que declaró la nulidad de la misma resolución impugnada (Orden de 26 de marzo de 2007 de la Consejería de Vivienda y Urbanismo de la Junta de Comunidades de Castilla-La Mancha). Esta circunstancia sobrevenida, concluye, “priva de objeto a los recursos de casación que ahora examinamos, pues carece de sentido que, aunque sea por la vía de enjuiciar el contenido de la sentencia aquí recurrida, nos pronunciemos sobre si es o no ajustada a derecho una disposición de carácter general -tal es la naturaleza de los planes de ordenación- que ya ha sido declarada nula por sentencia firme y que, por tanto, ha sido expulsada del ordenamiento jurídico”. Cita en su apoyo el art. 72.2 de la Ley 29/1998, de 13 de julio, reguladora de la jurisdicción contencioso-administrativa.</w:t>
      </w:r>
    </w:p>
    <w:p w:rsidR="006B7292" w:rsidRDefault="006B7292" w:rsidP="006B7292">
      <w:pPr>
        <w:pStyle w:val="TextoNormal"/>
      </w:pPr>
    </w:p>
    <w:p w:rsidR="006B7292" w:rsidRDefault="006B7292" w:rsidP="006B7292">
      <w:pPr>
        <w:pStyle w:val="TextoNormal"/>
      </w:pPr>
      <w:r>
        <w:t>c) Promovido incidente de nulidad de actuaciones por el Ayuntamiento de Toledo contra el Auto de 3 de abril de 2014, la Sección Primera de la Sala de lo Contencioso-Administrativo del Tribunal Supremo dictó Auto desestimatorio, de 23 de octubre de 2014, trasladando al caso los argumentos del Auto de 15 de julio de 2014, por el que había desestimado en su día el incidente de nulidad instado contra la Sentencia de 27 de febrero de 2014, antes citada.</w:t>
      </w:r>
    </w:p>
    <w:p w:rsidR="006B7292" w:rsidRDefault="006B7292" w:rsidP="006B7292">
      <w:pPr>
        <w:pStyle w:val="TextoNormal"/>
      </w:pPr>
    </w:p>
    <w:p w:rsidR="006B7292" w:rsidRDefault="006B7292" w:rsidP="006B7292">
      <w:pPr>
        <w:pStyle w:val="TextoNormal"/>
      </w:pPr>
      <w:r w:rsidRPr="006B7292">
        <w:rPr>
          <w:rStyle w:val="NumeroAFNegritaCaracter"/>
        </w:rPr>
        <w:t>3</w:t>
      </w:r>
      <w:r>
        <w:t>. La demanda de amparo alega la vulneración de los derechos a la tutela judicial efectiva (art. 24.1 CE) y a un proceso con todas las garantías (art. 24.2 CE), por incurrir las resoluciones impugnadas en exceso de jurisdicción, causado por no aplicarse una ley autonómica vigente que resultaba pertinente al caso, al considerarla contraria a las bases estatales, sin plantear antes cuestión de inconstitucionalidad ante este Tribunal. Esa circunstancia produce además, según la demanda, que se haya colocado al Ayuntamiento de Toledo en una “situación de efectiva indefensión pues ni tuvo oportunidad ni ocasión de prever, dado el sometimiento judicial al imperio de la ley, tal preterición del sistema de fuentes, ni pudo hacer uso del trámite de alegaciones del artículo 35 LOTC”.</w:t>
      </w:r>
    </w:p>
    <w:p w:rsidR="006B7292" w:rsidRDefault="006B7292" w:rsidP="006B7292">
      <w:pPr>
        <w:pStyle w:val="TextoNormal"/>
      </w:pPr>
    </w:p>
    <w:p w:rsidR="006B7292" w:rsidRDefault="006B7292" w:rsidP="006B7292">
      <w:pPr>
        <w:pStyle w:val="TextoNormal"/>
      </w:pPr>
      <w:r>
        <w:t>Por otrosí se solicita en la demanda la suspensión de los efectos de las resoluciones judiciales recurridas en amparo. Con cita del art. 56.2 de la Ley Orgánica del Tribunal Constitucional (LOTC) y doctrina general de este Tribunal sobre la posibilidad de acordar la suspensión de las resoluciones firmes, argumenta la parte recurrente que, de no concederse, se causaría un perjuicio que haría perder al amparo su finalidad, dado que dichas resoluciones han procedido a anular el plan general de ordenación municipal de Toledo aprobado el 26 de marzo de 2007, el cual en estos años ha “desplegado plenamente efectos a través de diversos planes parciales, estudios de detalle y otros instrumentos de planeamiento así como multitud de actos de desarrollo y ejecución (especialmente licencias), a los que aún han de seguir otros muchos hasta el cumplimiento de la política territorial, urbanística, medioambiental y social plasmada en aquel Plan General”. La no suspensión, añade, supondría además la paralización del plan y el “restablecimiento de la situación urbanística de Toledo a la situación anterior al mismo, con la consiguiente demolición de cuanto se ha construido al amparo de la nueva ordenación municipal de 2007”, de modo que los perjuicios que con ello se habrían de provocar “serían indiscriminados para todas las personas que han decidido invertir en la ciudad de Toledo, provocando una verdadera catástrofe de consecuencias incalculables no sólo en pérdidas económicas o patrimoniales, incluyendo demoliciones de lo construido con arreglo al Plan y anulación de infinidad de autorizaciones de usos, sino computables también en el número de puestos de trabajo que pueden quedar sacrificados”. Finalmente, subraya el ayuntamiento que la suspensión viene exigida por los intereses generales; que la medida no afectaría a los derechos fundamentales ni a las libertades de terceros, y que, de acuerdo con el art. 30 LOTC, la norma autonómica no se habría suspendido de haberse elevado la pertinente cuestión de inconstitucionalidad.</w:t>
      </w:r>
    </w:p>
    <w:p w:rsidR="006B7292" w:rsidRDefault="006B7292" w:rsidP="006B7292">
      <w:pPr>
        <w:pStyle w:val="TextoNormal"/>
      </w:pPr>
    </w:p>
    <w:p w:rsidR="006B7292" w:rsidRDefault="006B7292" w:rsidP="006B7292">
      <w:pPr>
        <w:pStyle w:val="TextoNormal"/>
      </w:pPr>
      <w:r w:rsidRPr="006B7292">
        <w:rPr>
          <w:rStyle w:val="NumeroAFNegritaCaracter"/>
        </w:rPr>
        <w:t>4</w:t>
      </w:r>
      <w:r>
        <w:t>. Por providencia de la Sección Cuarta de este Tribunal, de 23 de julio de 2015, se acordó la inadmisión del recurso “dada la manifiesta inexistencia de violación de un derecho fundamental tutelable en amparo”.</w:t>
      </w:r>
    </w:p>
    <w:p w:rsidR="006B7292" w:rsidRDefault="006B7292" w:rsidP="006B7292">
      <w:pPr>
        <w:pStyle w:val="TextoNormal"/>
      </w:pPr>
    </w:p>
    <w:p w:rsidR="006B7292" w:rsidRDefault="006B7292" w:rsidP="006B7292">
      <w:pPr>
        <w:pStyle w:val="TextoNormal"/>
      </w:pPr>
      <w:r>
        <w:t>El Ministerio Fiscal presentó escrito, registrado el 22 de septiembre de 2015, solicitando que tal providencia se dejara sin efecto, habida cuenta que el objeto del presente recurso de amparo guarda plena identidad con el recurso núm. 6011-2014, interpuesto por el mismo demandante y admitido a trámite. Se adhirió a esa petición el ayuntamiento recurrente, con fecha 30 de septiembre de 2015.</w:t>
      </w:r>
    </w:p>
    <w:p w:rsidR="006B7292" w:rsidRDefault="006B7292" w:rsidP="006B7292">
      <w:pPr>
        <w:pStyle w:val="TextoNormal"/>
      </w:pPr>
    </w:p>
    <w:p w:rsidR="006B7292" w:rsidRDefault="006B7292" w:rsidP="006B7292">
      <w:pPr>
        <w:pStyle w:val="TextoNormal"/>
      </w:pPr>
      <w:r>
        <w:t>La Sección Cuarta de este Tribunal dictó Auto el 1 de octubre de 2015 dejando sin efecto la providencia del 23 de julio anterior. Y examinado de nuevo el recurso de amparo por la Sección, en providencia de 5 de octubre de 2015 acordó su admisión a trámite, “apreciando que concurre en el mismo una especial trascendencia constitucional (art. 50.1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w:t>
      </w:r>
    </w:p>
    <w:p w:rsidR="006B7292" w:rsidRDefault="006B7292" w:rsidP="006B7292">
      <w:pPr>
        <w:pStyle w:val="TextoNormal"/>
      </w:pPr>
    </w:p>
    <w:p w:rsidR="006B7292" w:rsidRDefault="006B7292" w:rsidP="006B7292">
      <w:pPr>
        <w:pStyle w:val="TextoNormal"/>
      </w:pPr>
      <w:r w:rsidRPr="006B7292">
        <w:rPr>
          <w:rStyle w:val="NumeroAFNegritaCaracter"/>
        </w:rPr>
        <w:t>5</w:t>
      </w:r>
      <w:r>
        <w:t xml:space="preserve">. El propio día 5 de octubre de 2015, la Sección Cuarta de este Tribunal acordó formar la oportuna pieza para la tramitación del incidente sobre suspensión, concediendo plazo común de tres días a la entidad recurrente y al Ministerio Fiscal, </w:t>
      </w:r>
      <w:r w:rsidRPr="006B7292">
        <w:rPr>
          <w:i/>
        </w:rPr>
        <w:t>ex</w:t>
      </w:r>
      <w:r>
        <w:t xml:space="preserve"> art. 56 LOTC, para formular alegaciones.</w:t>
      </w:r>
    </w:p>
    <w:p w:rsidR="006B7292" w:rsidRDefault="006B7292" w:rsidP="006B7292">
      <w:pPr>
        <w:pStyle w:val="TextoNormal"/>
      </w:pPr>
    </w:p>
    <w:p w:rsidR="006B7292" w:rsidRDefault="006B7292" w:rsidP="006B7292">
      <w:pPr>
        <w:pStyle w:val="TextoNormal"/>
      </w:pPr>
      <w:r w:rsidRPr="006B7292">
        <w:rPr>
          <w:rStyle w:val="NumeroAFNegritaCaracter"/>
        </w:rPr>
        <w:t>6</w:t>
      </w:r>
      <w:r>
        <w:t>. Por escrito de 14 de octubre de 2015, la representación procesal del ayuntamiento recurrente mantuvo la petición de suspensión de los efectos de las resoluciones judiciales impugnadas, sosteniendo su procedencia más aún, si cabe, tras la Sentencia dictada el 21 de septiembre de 2015 en el recurso núm. 6011-2014, que otorgó el amparo al Ayuntamiento de Toledo. En la opinión de la corporación local, la anulación de resoluciones judiciales idénticas en dicho pronunciamiento constitucional confiere al asunto actual apariencia de buen derecho, lo que justificaría la medida de suspensión solicitada.</w:t>
      </w:r>
    </w:p>
    <w:p w:rsidR="006B7292" w:rsidRDefault="006B7292" w:rsidP="006B7292">
      <w:pPr>
        <w:pStyle w:val="TextoNormal"/>
      </w:pPr>
    </w:p>
    <w:p w:rsidR="006B7292" w:rsidRDefault="006B7292" w:rsidP="006B7292">
      <w:pPr>
        <w:pStyle w:val="TextoNormal"/>
      </w:pPr>
      <w:r>
        <w:t>Se ocupa seguidamente de concretar los “perjuicios más relevantes, irreparables, reales y concretos que se derivarían de la no suspensión de las resoluciones judiciales impugnadas”, acompañando a tal fin, como documento de apoyo, el informe de un arquitecto municipal. En tal sentido, se refiere en primer término a la “protección del interés ecológico y medioambiental en el POM del año 2007” sobre ciertas zonas que identifica, citando doctrina de este Tribunal sobre la protección del medioambiente como valor superior y su consideración como criterio para acordar la suspensión de normas en recursos de inconstitucionalidad (cita los AATC 353/1995, de 20 de diciembre, 88/2008, de 2 de abril, 34/2009, de 27 de enero, 225/2009, de 27 de julio, 227/2009, de 10 de diciembre, 56/2010, de 29 de mayo, y 114/2011, de 19 de julio). En segundo lugar, destaca la protección que ofrece aquel plan al patrimonio histórico, artístico y cultural, a través de la carta arqueológica incorporada al mismo, con una zonificación de Toledo dividida en “ámbitos de protección arqueológica” y “ámbitos de prevención arqueológica”, y, asimismo, por medio del catálogo de bienes de protección monumental, lo cual debe ser ponderado para resolver la suspensión (ATC 104/2010, de 28 de julio). En tercer y último lugar, menciona el escrito de alegaciones grandes infraestructuras de la ciudad que quedarían afectadas, como autopistas, puentes, el hospital general de Toledo y zonas de equipamiento público. Como elemento de cierre, reitera la invocación hecha en la demanda del art. 30 LOTC, por cuanto el planteamiento de una cuestión de inconstitucionalidad no hubiera supuesto la suspensión de la vigencia del plan controvertido.</w:t>
      </w:r>
    </w:p>
    <w:p w:rsidR="006B7292" w:rsidRDefault="006B7292" w:rsidP="006B7292">
      <w:pPr>
        <w:pStyle w:val="TextoNormal"/>
      </w:pPr>
    </w:p>
    <w:p w:rsidR="006B7292" w:rsidRDefault="006B7292" w:rsidP="006B7292">
      <w:pPr>
        <w:pStyle w:val="TextoNormal"/>
      </w:pPr>
      <w:r w:rsidRPr="006B7292">
        <w:rPr>
          <w:rStyle w:val="NumeroAFNegritaCaracter"/>
        </w:rPr>
        <w:t>7</w:t>
      </w:r>
      <w:r>
        <w:t>. El día 16 de octubre de 2015 tuvo entrada en el Registro General de este Tribunal escrito del Ministerio Fiscal interesando la denegación de la suspensión, sin perjuicio de que por el Tribunal Constitucional se pudieran ponderar las consecuencias de la Sentencia de 21 de septiembre de 2015, en el recurso de amparo núm. 6011-2014, a los efectos de acordar de oficio la suspensión de las resoluciones recurridas.</w:t>
      </w:r>
    </w:p>
    <w:p w:rsidR="006B7292" w:rsidRDefault="006B7292" w:rsidP="006B7292">
      <w:pPr>
        <w:pStyle w:val="TextoNormal"/>
      </w:pPr>
    </w:p>
    <w:p w:rsidR="006B7292" w:rsidRDefault="006B7292" w:rsidP="006B7292">
      <w:pPr>
        <w:pStyle w:val="TextoNormal"/>
      </w:pPr>
      <w:r>
        <w:t>Tras relatar los antecedentes procesales que dan lugar a las resoluciones recurridas en este amparo y destacar la identidad de objeto del recurso con el del amparo núm. 6011-2014, en el que se denegó la solicitud de suspensión realizada por el ayuntamiento recurrente, el Fiscal considera que, atendiendo a ello, debería desestimarse la petición.</w:t>
      </w:r>
    </w:p>
    <w:p w:rsidR="006B7292" w:rsidRDefault="006B7292" w:rsidP="006B7292">
      <w:pPr>
        <w:pStyle w:val="TextoNormal"/>
      </w:pPr>
    </w:p>
    <w:p w:rsidR="006B7292" w:rsidRDefault="006B7292" w:rsidP="006B7292">
      <w:pPr>
        <w:pStyle w:val="TextoNormal"/>
      </w:pPr>
      <w:r>
        <w:t>No obstante, el escrito de alegaciones tiene en cuenta seguidamente la Sentencia constitucional de 21 de septiembre de 2015, que declaró la nulidad de la Sentencia del Tribunal Superior de Justicia de Castilla-La Mancha que acordaba la nulidad del plan de ordenación municipal y de las resoluciones dictadas en casación por el Tribunal Supremo en ese procedimiento. A la vista de esa circunstancia, advierte que una misma norma y un mismo plan de ordenación pueden tener y no tener vigencia al mismo tiempo, lo que provoca sin duda un perjuicio irreparable, actual y permanente, que subsistirá en tanto mantengan su validez formal algunas de las resoluciones judiciales que anularon la Orden de fecha 26 de marzo de 2007 de la Consejería de Vivienda y Urbanismo de la Junta de Comunidades de Castilla-La Mancha, por la que se aprueba definitivamente el plan de ordenación municipal de Toledo, como la Sentencia de 19 de julio de 2011 y los Autos del Tribunal Supremo que son objeto del presente amparo. Estima por ello, desde ese enfoque, que procedería acordar la suspensión.</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La entidad demandante de amparo solicita en un otrosí de su escrito de demanda la suspensión de los efectos ejecutivos de las resoluciones judiciales impugnadas, citadas en los antecedentes del presente pronunciamiento.</w:t>
      </w:r>
    </w:p>
    <w:p w:rsidR="006B7292" w:rsidRDefault="006B7292" w:rsidP="006B7292">
      <w:pPr>
        <w:pStyle w:val="TextoNormal"/>
      </w:pPr>
    </w:p>
    <w:p w:rsidR="006B7292" w:rsidRDefault="006B7292" w:rsidP="006B7292">
      <w:pPr>
        <w:pStyle w:val="TextoNormal"/>
      </w:pPr>
      <w:r w:rsidRPr="006B7292">
        <w:rPr>
          <w:rStyle w:val="NumeroAFNegritaCaracter"/>
        </w:rPr>
        <w:t>2</w:t>
      </w:r>
      <w:r>
        <w:t>. Por lo que concierne en primer lugar a los motivos que se esgrimen en la demanda de amparo y que presentan idéntico contenido que los que se defendieron por el mismo ayuntamiento en la solicitud de suspensión de las resoluciones impugnadas en el recurso de amparo núm. 6011-2014 (cuyo objeto, según se ha venido destacando, resulta sustancialmente el mismo al que aquí se dilucida), procede, por una elemental razón de unidad de criterio, hacer nuestras las afirmaciones realizadas en aquel proceso constitucional por la Sala Primera de este Tribunal en el ATC 117/2015, de 6 de julio, que acordó denegar la suspensión solicitada.</w:t>
      </w:r>
    </w:p>
    <w:p w:rsidR="006B7292" w:rsidRDefault="006B7292" w:rsidP="006B7292">
      <w:pPr>
        <w:pStyle w:val="TextoNormal"/>
      </w:pPr>
    </w:p>
    <w:p w:rsidR="006B7292" w:rsidRDefault="006B7292" w:rsidP="006B7292">
      <w:pPr>
        <w:pStyle w:val="TextoNormal"/>
      </w:pPr>
      <w:r>
        <w:t>Como expresa el fundamento jurídico primero de dicho ATC 117/2015, en relación al régimen general aplicable para la suspensión de resoluciones firmes, “dispone el art. 56.2 de la Ley Orgánica del Tribunal Constitucional (LOTC) que cuando la ejecución del acto o sentencia impugnados produzca un perjuicio al recurrente que pudiese hacer perder al amparo su finalidad, la Sala o, en su caso, la Sección que conozca de un recurso de amparo podrá disponer la suspensión, total o parcial, de sus efectos, siempre y cuando la suspensión no ocasione perturbación grave a un interés constitucionalmente protegido, ni a los derechos fundamentales o libertades de otra persona. 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y siempre ‘que la suspensión no ocasione perturbación grave a un interés constitucionalmente protegido, ni a los derechos fundamentales o libertades de otra persona’ (art. 56.2 LOTC)”.</w:t>
      </w:r>
    </w:p>
    <w:p w:rsidR="006B7292" w:rsidRDefault="006B7292" w:rsidP="006B7292">
      <w:pPr>
        <w:pStyle w:val="TextoNormal"/>
      </w:pPr>
    </w:p>
    <w:p w:rsidR="006B7292" w:rsidRDefault="006B7292" w:rsidP="006B7292">
      <w:pPr>
        <w:pStyle w:val="TextoNormal"/>
      </w:pPr>
      <w:r>
        <w:t>Seguidamente, el fundamento jurídico segundo del ATC 117/2015 se refiere al requisito del carácter no reparable del perjuicio, señalando que “es doctrina reiterada y unánime de este Tribunal, que la previsión contenida ahora en el art. 56.2 LOTC (en la redacción anterior a la reforma de la Ley Orgánica 6/2007 la establecía el art. 56.1 LOTC), que exige como uno de los requisitos para otorgar la suspensión que la ejecución del acto del poder público por razón del cual se reclama el amparo ocasione ‘un perjuicio al recurrente que pudiera hacer perder al amparo su finalidad’, debe interpretarse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(ATC 125/2003, de 23 de abril, FJ 2, y, en el mismo sentido AATC 20/2009, de 26 de enero, 94/2010, y 95/2010, ambos de 19 de julio, 122/2012, de 18 de junio, entre muchos). Por esta razón este Tribunal no accede, salvo excepciones, a la solicitud de suspensión de resoluciones que imponen obligaciones de pago de cantidad o, en general, de contenido económico o patrimonial, pues la lesión que de ellas se deriva es normalmente reparable (AATC 125/2003, de 23 de abril; 326/2005, de 12 de septiembre; 152/2006, de 8 de mayo; 357/2006, de 9 de octubre; 118/2008, de 28 de abril; 388/2008, de 15 de diciembre, y 20/2009 de 26 de enero, 95/2010, de 19 de julio, y 81/2012, de 7 de mayo, entre otros muchos). Con relación a los perjuicios de carácter patrimonial o económico hemos señalado que, por más que puedan producir efectos desfavorables a quien demanda amparo, no pueden considerarse, en principio, como causa suficiente para acordar la suspensión de una resolución judicial firme (AATC 93/2002, de 3 de junio, 106/2002, de 17 de junio, 165/2003, de 19 de mayo, 326/2005, de 12 de septiembre, y 386/2008, de 15 de diciembre, por todos). Sólo en el caso de que el recurrente en amparo justificase cumplidamente que el no otorgamiento de la suspensión le ocasionaría un perjuicio irreparable que haría perder al amparo su finalidad, (entre otros, ATC 185/2014, de 8 de julio), y siempre que de dicha medida cautelar no se siga perturbación grave de los intereses generales o de los derechos y libertades fundamentales de un tercero, procedería acordar la suspensión interesada”.</w:t>
      </w:r>
    </w:p>
    <w:p w:rsidR="006B7292" w:rsidRDefault="006B7292" w:rsidP="006B7292">
      <w:pPr>
        <w:pStyle w:val="TextoNormal"/>
      </w:pPr>
    </w:p>
    <w:p w:rsidR="006B7292" w:rsidRDefault="006B7292" w:rsidP="006B7292">
      <w:pPr>
        <w:pStyle w:val="TextoNormal"/>
      </w:pPr>
      <w:r>
        <w:t>Y el fundamento jurídico tercero del mismo Auto 117/2015, completando el enunciado de la doctrina aplicable en esta materia, señala respecto a la carga procesal que concierne a la parte recurrente “[t]ambién es doctrina constante del Tribunal que para excepcionar la regla general de la no suspensión es carga del recurrente probar que la ejecución del acto o Sentencia impugnados deba producirle un perjuicio que hiciere perder al amparo su finalidad (por todos AATC 39/2008, de 11 de febrero, FJ 1; 40/2008, de 11 de febrero, FJ 3; y 59/2008, de 20 de febrero, FJ 2). Así respecto de la carga alegatoria y probatoria del incidente en ATC 81/2012, de 7 de mayo, FJ 3, con cita de otros, hemos afirmado: ‘la acreditación del perjuicio es carga del recurrente, quien debe precisar los concretos perjuicios que de la ejecución se deriven, así como justificar o argumentar razonadamente la irreparabilidad de los mismos (AATC 107/1981, 226/1982, 385/1983, y 193/1984). Al tiempo hemos dicho que, en todo caso, el perjuicio irreparable debe ser real, sin que sea posible alegar un perjuicio futuro o hipotético o un simple temor (AATC 490/1984, 399/1985, y 51/1989, entre otros muchos),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w:t>
      </w:r>
    </w:p>
    <w:p w:rsidR="006B7292" w:rsidRDefault="006B7292" w:rsidP="006B7292">
      <w:pPr>
        <w:pStyle w:val="TextoNormal"/>
      </w:pPr>
    </w:p>
    <w:p w:rsidR="006B7292" w:rsidRDefault="006B7292" w:rsidP="006B7292">
      <w:pPr>
        <w:pStyle w:val="TextoNormal"/>
      </w:pPr>
      <w:r w:rsidRPr="006B7292">
        <w:rPr>
          <w:rStyle w:val="NumeroAFNegritaCaracter"/>
        </w:rPr>
        <w:t>3</w:t>
      </w:r>
      <w:r>
        <w:t>. Partiendo pues de esta doctrina constitucional, el ATC 117/2015 entra a examinar en su fundamento jurídico cuarto los motivos aducidos por la entidad recurrente para apoyar la solicitud de suspensión, no apreciando éstos suficientemente sólidos por las razones que igualmente reproducimos: “En el presente caso, del examen de la solicitud de suspensión formulada cabe concluir que no se han acreditado circunstancias excepcionales que lleven a conceder la suspensión pedida. En efecto, como bien indica el Ministerio Fiscal, la suspensión que se solicita tiene un contenido patrimonial, que se circunscribe a la anulación del plan de ordenación municipal de Toledo, con retroacción de actuaciones de tramitación hasta la fase de nueva información pública. Ahora bien, dicho pronunciamiento no comporta, como afirma el recurrente, ‘la demolición de todo cuanto se ha construido’, ni tal consecuencia resulta acreditada por el documento núm. 6 al que alude el demandante y que se acompaña con la demanda. Debe insistirse en que el perjuicio irreparable debe ser real, sin que sea posible alegar un perjuicio futuro o hipotético. No basta con afirmaciones genéricas relativas a que la ejecución comportará ‘una verdadera catástrofe de consecuencias incalculables no solo en pérdidas económicas o patrimoniales, incluyendo demoliciones de lo construido con arreglo al Plan y anulación de infinidad de autorizaciones de usos, sino computables también en el número de puestos de trabajo que puede quedar sacrificados’, sino que se deben precisar los concretos perjuicios que de la ejecución se derivaran. Carga probatoria que la Administración recurrente no aporta, al omitir datos concretos que puedan ser calificados de principio razonable de prueba y que permitan avalar lo manifestado, sino que se limita a efectuar una afirmación genérica e inconcreta carente de la necesaria acreditación. En tal sentido, como indica el Ministerio Fiscal, ni la anulación del plan comporta necesariamente la inminente demolición de todo cuanto se ha construido, ni supone la anulación de infinidad de autorizaciones de usos, determinantes del cese inmediato de actividades y sacrificio de puestos de trabajo.</w:t>
      </w:r>
    </w:p>
    <w:p w:rsidR="006B7292" w:rsidRDefault="006B7292" w:rsidP="006B7292">
      <w:pPr>
        <w:pStyle w:val="TextoNormal"/>
      </w:pPr>
    </w:p>
    <w:p w:rsidR="006B7292" w:rsidRDefault="006B7292" w:rsidP="006B7292">
      <w:pPr>
        <w:pStyle w:val="TextoNormal"/>
      </w:pPr>
      <w:r>
        <w:t>Ahora bien, la ausencia actual de las circunstancias excepcionales que llevan a conceder la suspensión pedida, esto es, la falta de acreditación de un perjuicio irreparable, real y concreto, no es óbice para que en un momento posterior durante el curso del procedimiento de amparo, el recurrente pueda plantear de nuevo ante este Tribunal la procedencia de la suspensión, ‘en virtud de circunstancias sobrevenidas o que no pudieron ser conocidas al tiempo de sustanciarse el incidente de suspensión’ (</w:t>
      </w:r>
      <w:r w:rsidRPr="006B7292">
        <w:rPr>
          <w:i/>
        </w:rPr>
        <w:t>ex</w:t>
      </w:r>
      <w:r>
        <w:t xml:space="preserve"> art. 57 LOTC), que satisfagan el presupuesto exigido”.</w:t>
      </w:r>
    </w:p>
    <w:p w:rsidR="006B7292" w:rsidRDefault="006B7292" w:rsidP="006B7292">
      <w:pPr>
        <w:pStyle w:val="TextoNormal"/>
      </w:pPr>
    </w:p>
    <w:p w:rsidR="006B7292" w:rsidRDefault="006B7292" w:rsidP="006B7292">
      <w:pPr>
        <w:pStyle w:val="TextoNormal"/>
      </w:pPr>
      <w:r>
        <w:t>Por consiguiente, esta Sala de este Tribunal, con base en las razones dadas en el mencionado ATC 117/2015, rechaza los argumentos alegados en el otrosí tercero de la demanda de amparo para justificar la medida de suspensión de las resoluciones judiciales impugnadas.</w:t>
      </w:r>
    </w:p>
    <w:p w:rsidR="006B7292" w:rsidRDefault="006B7292" w:rsidP="006B7292">
      <w:pPr>
        <w:pStyle w:val="TextoNormal"/>
      </w:pPr>
    </w:p>
    <w:p w:rsidR="006B7292" w:rsidRDefault="006B7292" w:rsidP="006B7292">
      <w:pPr>
        <w:pStyle w:val="TextoNormal"/>
      </w:pPr>
      <w:r w:rsidRPr="006B7292">
        <w:rPr>
          <w:rStyle w:val="NumeroAFNegritaCaracter"/>
        </w:rPr>
        <w:t>4</w:t>
      </w:r>
      <w:r>
        <w:t>. Queda por referirnos, por último, a las alegaciones adicionales realizadas por el Ayuntamiento de Toledo en el trámite del art. 56.4 de la Ley Orgánica del Tribunal Constitucional (LOTC), abierto dentro de este procedimiento incidental, y que apoya al menos en parte el Ministerio Fiscal. Se adelanta, sin embargo, que las mismas no permiten alcanzar un resultado estimatorio:</w:t>
      </w:r>
    </w:p>
    <w:p w:rsidR="006B7292" w:rsidRDefault="006B7292" w:rsidP="006B7292">
      <w:pPr>
        <w:pStyle w:val="TextoNormal"/>
      </w:pPr>
    </w:p>
    <w:p w:rsidR="006B7292" w:rsidRDefault="006B7292" w:rsidP="006B7292">
      <w:pPr>
        <w:pStyle w:val="TextoNormal"/>
      </w:pPr>
      <w:r>
        <w:t>a) Respecto de la incidencia que pudiera tener la estimación del recurso de amparo núm. 6011-2014 por la STC 195/2015, de 21 de septiembre, de la Sala Primera de este Tribunal, es necesario tener en cuenta un dato capital: si bien la misma acuerda la nulidad de las resoluciones impugnadas, incluyendo la dictada en la instancia por la Sección competente del Tribunal Superior de Justicia de Castilla-La Mancha, de igual contenido a la aquí recurrida, en ningún caso se pronuncia sobre la validez del plan de ordenación municipal citado, cuyo “despliegue de efectos” es lo que viene a instar el ayuntamiento recurrente con la medida de suspensión.</w:t>
      </w:r>
    </w:p>
    <w:p w:rsidR="006B7292" w:rsidRDefault="006B7292" w:rsidP="006B7292">
      <w:pPr>
        <w:pStyle w:val="TextoNormal"/>
      </w:pPr>
    </w:p>
    <w:p w:rsidR="006B7292" w:rsidRDefault="006B7292" w:rsidP="006B7292">
      <w:pPr>
        <w:pStyle w:val="TextoNormal"/>
      </w:pPr>
      <w:r>
        <w:t>De manera distinta, lo que hace la STC 195/2015, FFJJ 6 y 7, es apreciar que existe vulneración de los derechos fundamentales que se alegan (tutela judicial efectiva —art. 24.1 CE— y proceso con todas las garantías —art. 24.2 CE—) por haberse resuelto el recurso contencioso-administrativo de referencia, tanto en instancia como en casación, eludiendo un precepto autonómico que resultaba aplicable, y ello por achacársele su inconstitucionalidad —oposición a norma básica del Estado— sin plantear la cuestión de los arts. 163 CE y 35 LOTC ante esta jurisdicción constitucional para que nos pronunciáramos al respecto.</w:t>
      </w:r>
    </w:p>
    <w:p w:rsidR="006B7292" w:rsidRDefault="006B7292" w:rsidP="006B7292">
      <w:pPr>
        <w:pStyle w:val="TextoNormal"/>
      </w:pPr>
    </w:p>
    <w:p w:rsidR="006B7292" w:rsidRDefault="006B7292" w:rsidP="006B7292">
      <w:pPr>
        <w:pStyle w:val="TextoNormal"/>
      </w:pPr>
      <w:r>
        <w:t>De ahí que la STC 195/2015 precise en su FJ 7 que “dicha vulneración tiene su origen en las resoluciones judiciales impugnadas y no en el art. 36.2 A) párrafo segundo (debe entenderse referido al párrafo tercero), del texto refundido de la Ley de ordenación del territorio y de la actividad urbanística, en tanto que el mismo no ha sido aplicado en el proceso contencioso-administrativo, por lo que no procede plantear la autocuestión de inconstitucionalidad (art. 55.2 LOTC)”.</w:t>
      </w:r>
    </w:p>
    <w:p w:rsidR="006B7292" w:rsidRDefault="006B7292" w:rsidP="006B7292">
      <w:pPr>
        <w:pStyle w:val="TextoNormal"/>
      </w:pPr>
    </w:p>
    <w:p w:rsidR="006B7292" w:rsidRDefault="006B7292" w:rsidP="006B7292">
      <w:pPr>
        <w:pStyle w:val="TextoNormal"/>
      </w:pPr>
      <w:r>
        <w:t>La nulidad de las resoluciones impugnadas obliga a la retroacción de actuaciones, según añade el fundamento jurídico 8, para que la Sala de instancia en ese recurso contencioso-administrativo núm. 556-2007, “dicte otra resolución que resulte respetuosa con los derechos fundamentales reconocidos”, pero sin prejuzgar como es obvio cuál ha de ser el resultado de dicho nuevo enjuiciamiento.</w:t>
      </w:r>
    </w:p>
    <w:p w:rsidR="006B7292" w:rsidRDefault="006B7292" w:rsidP="006B7292">
      <w:pPr>
        <w:pStyle w:val="TextoNormal"/>
      </w:pPr>
    </w:p>
    <w:p w:rsidR="006B7292" w:rsidRDefault="006B7292" w:rsidP="006B7292">
      <w:pPr>
        <w:pStyle w:val="TextoNormal"/>
      </w:pPr>
      <w:r>
        <w:t>En todo caso, no puede desconocerse que una de las alternativas probables tras dicha retroacción de actuaciones, en virtud de lo declarado en esta STC 195/2015, es que la Sala de instancia, caso de mantener su parecer contrario a la constitucionalidad del precepto autonómico ya indicado, eleve la cuestión de inconstitucionalidad a este Tribunal. De suceder así, la decisión a adoptar acerca de la validez o nulidad del plan de ordenación municipal de Toledo tendrá que aguardar primero a la tramitación y resolución definitiva de la indicada cuestión; y una vez despejada esa incógnita constitucional, desde luego no está descartado tampoco un desenlace en la jurisdicción ordinaria que conlleve declarar la nulidad del plan.</w:t>
      </w:r>
    </w:p>
    <w:p w:rsidR="006B7292" w:rsidRDefault="006B7292" w:rsidP="006B7292">
      <w:pPr>
        <w:pStyle w:val="TextoNormal"/>
      </w:pPr>
    </w:p>
    <w:p w:rsidR="006B7292" w:rsidRDefault="006B7292" w:rsidP="006B7292">
      <w:pPr>
        <w:pStyle w:val="TextoNormal"/>
      </w:pPr>
      <w:r>
        <w:t>No cabe equiparar esta situación, por lo dicho, con la de un precepto legal impugnado en un recurso de inconstitucionalidad, cuya literalidad es similar a la de otro que ya ha sido declarado nulo por este Tribunal, razón por la que en alguna ocasión hemos acordado suspender los efectos de aquél mientras se tramita el correspondiente proceso (vgr., ATC 78/1987, de 22 de enero, FJ 2; también ATC 183/2011, de 14 de diciembre, FFJJ 4 y 6). Una doctrina que, con ajenidad al ámbito del amparo, aduce sin éxito el escrito de la entidad recurrente.</w:t>
      </w:r>
    </w:p>
    <w:p w:rsidR="006B7292" w:rsidRDefault="006B7292" w:rsidP="006B7292">
      <w:pPr>
        <w:pStyle w:val="TextoNormal"/>
      </w:pPr>
    </w:p>
    <w:p w:rsidR="006B7292" w:rsidRDefault="006B7292" w:rsidP="006B7292">
      <w:pPr>
        <w:pStyle w:val="TextoNormal"/>
      </w:pPr>
      <w:r>
        <w:t>Debe tenerse presente, además, que en el presente caso los Autos dictados por la Sección Primera, Sala Tercera, del Tribunal Supremo, resolvieron archivar el recurso de casación interpuesto, al apreciar una pérdida sobrevenida de objeto. La “suspensión” que se solicita respecto de ellos, de concederse, estrictamente traería consigo tan sólo la reanudación del procedimiento de casación interrumpido, pero sin condicionar su resultado, cosa que únicamente depende de la Sentencia que ponga fin al presente recurso de amparo.</w:t>
      </w:r>
    </w:p>
    <w:p w:rsidR="006B7292" w:rsidRDefault="006B7292" w:rsidP="006B7292">
      <w:pPr>
        <w:pStyle w:val="TextoNormal"/>
      </w:pPr>
    </w:p>
    <w:p w:rsidR="006B7292" w:rsidRDefault="006B7292" w:rsidP="006B7292">
      <w:pPr>
        <w:pStyle w:val="TextoNormal"/>
      </w:pPr>
      <w:r>
        <w:t>En definitiva, no cabe apreciar la existencia de una circunstancia nueva susceptible de modificar el criterio adoptado por el ATC 117/2015, de 6 de julio, para denegar la suspensión solicitada.</w:t>
      </w:r>
    </w:p>
    <w:p w:rsidR="006B7292" w:rsidRDefault="006B7292" w:rsidP="006B7292">
      <w:pPr>
        <w:pStyle w:val="TextoNormal"/>
      </w:pPr>
    </w:p>
    <w:p w:rsidR="006B7292" w:rsidRDefault="006B7292" w:rsidP="006B7292">
      <w:pPr>
        <w:pStyle w:val="TextoNormal"/>
      </w:pPr>
      <w:r>
        <w:t>b) Otro tanto ha de decirse, en fin, en cuanto a las aseveraciones que se formulan por el ayuntamiento recurrente en su escrito del art. 56.4 LOTC, intentando concretar los perjuicios que ocasiona la paralización del plan de ordenación municipal de Toledo.</w:t>
      </w:r>
    </w:p>
    <w:p w:rsidR="006B7292" w:rsidRDefault="006B7292" w:rsidP="006B7292">
      <w:pPr>
        <w:pStyle w:val="TextoNormal"/>
      </w:pPr>
    </w:p>
    <w:p w:rsidR="006B7292" w:rsidRDefault="006B7292" w:rsidP="006B7292">
      <w:pPr>
        <w:pStyle w:val="TextoNormal"/>
      </w:pPr>
      <w:r>
        <w:t>Ante todo, éstas se limitan esencialmente a indicar que el plan contiene previsiones sobre el uso del suelo en dicho término municipal, que repercuten en aspectos medioambientales y en la protección del patrimonio histórico, artístico y cultural de la ciudad, extremo que no se pone en duda, pero sin que se aporten datos que acrediten verosímilmente cuáles serían los daños “irreparables, reales y concretos” que, a juicio de la recurrente, ocasionaría una eventual aplicación del plan anterior en esos ámbitos mientras se tramita el presente recurso de amparo.</w:t>
      </w:r>
    </w:p>
    <w:p w:rsidR="006B7292" w:rsidRDefault="006B7292" w:rsidP="006B7292">
      <w:pPr>
        <w:pStyle w:val="TextoNormal"/>
      </w:pPr>
    </w:p>
    <w:p w:rsidR="006B7292" w:rsidRDefault="006B7292" w:rsidP="006B7292">
      <w:pPr>
        <w:pStyle w:val="TextoNormal"/>
      </w:pPr>
      <w:r>
        <w:t>Como reconoce el escrito de alegaciones, todas las citas de doctrina constitucional que se incluyen como apoyo en este punto versan sobre la suspensión de normas legales en recursos de inconstitucionalidad, donde, precisamente, y a diferencia de este amparo, sí se resuelve acerca de la nulidad de la disposición general de que se trata. Tampoco alcanza virtualidad la cita que se hace del art. 30 LOTC, puesto que claramente no es una disposición aplicable dentro del recurso de amparo.</w:t>
      </w:r>
    </w:p>
    <w:p w:rsidR="006B7292" w:rsidRDefault="006B7292" w:rsidP="006B7292">
      <w:pPr>
        <w:pStyle w:val="TextoNormal"/>
      </w:pPr>
    </w:p>
    <w:p w:rsidR="006B7292" w:rsidRDefault="006B7292" w:rsidP="006B7292">
      <w:pPr>
        <w:pStyle w:val="TextoNormal"/>
      </w:pPr>
      <w:r>
        <w:t>Por todo lo expuesto, la Sala</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Denegar la suspensión solicitada.</w:t>
      </w:r>
    </w:p>
    <w:p w:rsidR="006B7292" w:rsidRDefault="006B7292" w:rsidP="006B7292">
      <w:pPr>
        <w:pStyle w:val="TextoNormal"/>
      </w:pPr>
    </w:p>
    <w:p w:rsidR="006B7292" w:rsidRDefault="006B7292" w:rsidP="006B7292">
      <w:pPr>
        <w:pStyle w:val="TextoNormal"/>
      </w:pPr>
      <w:r>
        <w:t>Madrid, a catorce de diciembre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24" w:name="AUTO_2015_210"/>
      <w:r>
        <w:t>AUTO 210/2015, de 14 de diciembre de 2015</w:t>
      </w:r>
    </w:p>
    <w:bookmarkEnd w:id="224"/>
    <w:p w:rsidR="006B7292" w:rsidRDefault="006B7292" w:rsidP="006B7292">
      <w:pPr>
        <w:pStyle w:val="TtuloResolucin"/>
      </w:pPr>
      <w:r>
        <w:t>Sala Primera</w:t>
      </w:r>
    </w:p>
    <w:p w:rsidR="006B7292" w:rsidRDefault="006B7292" w:rsidP="006B7292">
      <w:pPr>
        <w:pStyle w:val="TextoNormalCentrado"/>
      </w:pPr>
      <w:r>
        <w:t>ECLI:ES:TC:2015:210A</w:t>
      </w:r>
    </w:p>
    <w:p w:rsidR="006B7292" w:rsidRDefault="006B7292" w:rsidP="006B7292">
      <w:pPr>
        <w:pStyle w:val="TextoNormalCentrado"/>
      </w:pPr>
    </w:p>
    <w:p w:rsidR="006B7292" w:rsidRDefault="006B7292" w:rsidP="006B7292">
      <w:pPr>
        <w:pStyle w:val="SntesisDescriptiva"/>
      </w:pPr>
      <w:r>
        <w:t>Excms. Srs. don Francisco Pérez de los Cobos Orihuel, doña Encarnación Roca Trías, don Andrés Ollero Tassara, don Santiago Martínez-Vares García y don Juan Antonio Xiol Ríos.</w:t>
      </w:r>
    </w:p>
    <w:p w:rsidR="006B7292" w:rsidRDefault="006B7292" w:rsidP="006B7292">
      <w:pPr>
        <w:pStyle w:val="SntesisDescriptiva"/>
      </w:pPr>
    </w:p>
    <w:p w:rsidR="006B7292" w:rsidRDefault="006B7292" w:rsidP="006B7292">
      <w:pPr>
        <w:pStyle w:val="SntesisDescriptiva"/>
      </w:pPr>
      <w:r>
        <w:t>Deniega la suspensión en el recurso de amparo 146-2015, promovido por el Ayuntamiento de Toledo en proceso contencioso-administrativo.</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día 9 de enero de 2015 tuvo entrada en el Registro General de este Tribunal Constitucional, un escrito del Procurador de los Tribunales don Alberto Collado Martín, en nombre y representación del Ayuntamiento de Toledo, por el que interponía recurso de amparo contra las siguientes resoluciones: (i) la Sentencia de la Sección Primera de la Sala de lo Contencioso-Administrativo del Tribunal Superior de Justicia de Castilla-La Mancha, de 18 de julio de 2011, estimatoria de recurso contencioso-administrativo interpuesto contra la entidad aquí recurrente; (ii) el Auto de la Sección Primera de la Sala de lo Contencioso-Administrativo del Tribunal Supremo, de 3 de abril de 2014, que declaró la pérdida sobrevenida del objeto del recurso de casación interpuesto contra dicha Sentencia; y (iii) el Auto de 23 de octubre de 2014, de la misma Sala y Sección del Tribunal Supremo, que desestimó el incidente de nulidad de actuaciones promovido contra el citado Auto de 3 de abril de 2014. La demanda les atribuye la vulneración de los derechos a la tutela judicial efectiva (art. 24.1 CE) y a un proceso con todas las garantías (art. 24.2 CE), por exceso de jurisdicción.</w:t>
      </w:r>
    </w:p>
    <w:p w:rsidR="006B7292" w:rsidRDefault="006B7292" w:rsidP="006B7292">
      <w:pPr>
        <w:pStyle w:val="TextoNormal"/>
      </w:pPr>
    </w:p>
    <w:p w:rsidR="006B7292" w:rsidRDefault="006B7292" w:rsidP="006B7292">
      <w:pPr>
        <w:pStyle w:val="TextoNormal"/>
      </w:pPr>
      <w:r w:rsidRPr="006B7292">
        <w:rPr>
          <w:rStyle w:val="NumeroAFNegritaCaracter"/>
        </w:rPr>
        <w:t>2</w:t>
      </w:r>
      <w:r>
        <w:t>. Sucintamente, los hechos relevantes para resolver la pretensión de suspensión de la demandante son los siguientes:</w:t>
      </w:r>
    </w:p>
    <w:p w:rsidR="006B7292" w:rsidRDefault="006B7292" w:rsidP="006B7292">
      <w:pPr>
        <w:pStyle w:val="TextoNormal"/>
      </w:pPr>
    </w:p>
    <w:p w:rsidR="006B7292" w:rsidRDefault="006B7292" w:rsidP="006B7292">
      <w:pPr>
        <w:pStyle w:val="TextoNormal"/>
      </w:pPr>
      <w:r>
        <w:t>a) La Sección Primera de la Sala de lo Contencioso-Administrativo del Tribunal Superior de Justicia de Castilla-La Mancha dictó Sentencia el 18 de julio de 2011 estimando el recurso contencioso-administrativo núm. 516-2007, promovido “contra la Orden de 26 de marzo de 2007 de la Consejería de Vivienda y Urbanismo por la que se aprueba definitivamente el Plan de Ordenación Municipal del Toledo, el cual se declara contrario a derecho y se anula”.</w:t>
      </w:r>
    </w:p>
    <w:p w:rsidR="006B7292" w:rsidRDefault="006B7292" w:rsidP="006B7292">
      <w:pPr>
        <w:pStyle w:val="TextoNormal"/>
      </w:pPr>
    </w:p>
    <w:p w:rsidR="006B7292" w:rsidRDefault="006B7292" w:rsidP="006B7292">
      <w:pPr>
        <w:pStyle w:val="TextoNormal"/>
      </w:pPr>
      <w:r>
        <w:t xml:space="preserve">Como </w:t>
      </w:r>
      <w:r w:rsidRPr="006B7292">
        <w:rPr>
          <w:i/>
        </w:rPr>
        <w:t>ratio decidendi</w:t>
      </w:r>
      <w:r>
        <w:t xml:space="preserve"> de esta Sentencia, la Sala de instancia aprecia que el plan debía haberse sometido a un segundo trámite de información pública, dadas las sustanciales modificaciones introducidas respecto al proyecto objeto inicialmente de información pública. Con aplicación de doctrina precedente de la Sala Tercera del Tribunal Supremo, señala que a esta exigencia de nuevo trámite de información no obsta el tenor del art. 36.2 a) del texto refundido de la Ley de ordenación del territorio y de la actividad urbanística de Castilla-La Mancha (Decreto Legislativo 1/2004, de 28 de diciembre), precepto que expresamente dispensa de abrir nuevo trámite en tal circunstancia, resultando sin embargo que el mismo se opone a lo previsto por la norma básica del Estado en la materia, el art. 6.1 de la Ley 6/1998, de 13 de abril, sobre el régimen del suelo y valoraciones, todos ellos entonces vigentes, dando lugar a que la Sala de instancia no aplicara la norma autonómica por ese motivo.</w:t>
      </w:r>
    </w:p>
    <w:p w:rsidR="006B7292" w:rsidRDefault="006B7292" w:rsidP="006B7292">
      <w:pPr>
        <w:pStyle w:val="TextoNormal"/>
      </w:pPr>
    </w:p>
    <w:p w:rsidR="006B7292" w:rsidRDefault="006B7292" w:rsidP="006B7292">
      <w:pPr>
        <w:pStyle w:val="TextoNormal"/>
      </w:pPr>
      <w:r>
        <w:t>b) Contra la Sentencia de 18 de julio de 2011 se interpuso recurso de casación por el Ayuntamiento de Toledo (núm. 4773-2011), dictando la Sección Primera de la Sala de lo Contencioso-Administrativo del Tribunal Supremo, Auto de 3 de abril de 2014 por el que acuerda: “declarar la pérdida sobrevenida de objeto de los recursos de casación interpuestos en el rollo 4773-2011 por la Junta de Comunidades de Castilla-La Mancha y por el Ayuntamiento de Toledo”.</w:t>
      </w:r>
    </w:p>
    <w:p w:rsidR="006B7292" w:rsidRDefault="006B7292" w:rsidP="006B7292">
      <w:pPr>
        <w:pStyle w:val="TextoNormal"/>
      </w:pPr>
    </w:p>
    <w:p w:rsidR="006B7292" w:rsidRDefault="006B7292" w:rsidP="006B7292">
      <w:pPr>
        <w:pStyle w:val="TextoNormal"/>
      </w:pPr>
      <w:r>
        <w:t>El Auto pone de relieve la sustancial identidad de objeto del citado recurso con el resuelto en sentido desestimatorio por la Sección Quinta de la misma Sala Tercera del Alto Tribunal en su Sentencia de 27 de febrero de 2014 (recurso de casación núm. 5116-2011), promovido también por el Ayuntamiento de Toledo contra Sentencia del Tribunal Superior de Justicia de Castilla-La Mancha de 26 de julio de 2011, por la que la Sala de instancia anuló la Orden de 26 de marzo de 2007 de la Consejería de Vivienda y Urbanismo por la que se aprueba definitivamente el plan de ordenación municipal de Toledo, Sentencia esta última que queda confirmada. Seguidamente, en su razonamiento jurídico segundo el Auto indica: “esta circunstancia sobrevenida priva de objeto a los recursos de casación que ahora examinamos, pues carece de sentido que, aunque sea por la vía de enjuiciar el contenido de la sentencia aquí recurrida, nos pronunciemos sobre si es o no ajustada a derecho una disposición de carácter general —tal es la naturaleza de los planes de ordenación— que ya ha sido declarada nula por sentencia firme y que, por tanto, ha sido expulsada del ordenamiento jurídico”. Cita en su apoyo el art. 72.2 de la Ley 29/1998, reguladora de la jurisdicción contencioso-administrativa, afirmando que “o bien carece de interés abundar o insistir en una nulidad ya declarada, o bien resulta nocivo para la seguridad jurídica contradecir o alterar lo ya señalado por sentencia firme”.</w:t>
      </w:r>
    </w:p>
    <w:p w:rsidR="006B7292" w:rsidRDefault="006B7292" w:rsidP="006B7292">
      <w:pPr>
        <w:pStyle w:val="TextoNormal"/>
      </w:pPr>
    </w:p>
    <w:p w:rsidR="006B7292" w:rsidRDefault="006B7292" w:rsidP="006B7292">
      <w:pPr>
        <w:pStyle w:val="TextoNormal"/>
      </w:pPr>
      <w:r>
        <w:t>Y remacha en el razonamiento jurídico tercero, concluyendo que “los presentes recursos de casación han quedado privado de objeto”.</w:t>
      </w:r>
    </w:p>
    <w:p w:rsidR="006B7292" w:rsidRDefault="006B7292" w:rsidP="006B7292">
      <w:pPr>
        <w:pStyle w:val="TextoNormal"/>
      </w:pPr>
    </w:p>
    <w:p w:rsidR="006B7292" w:rsidRDefault="006B7292" w:rsidP="006B7292">
      <w:pPr>
        <w:pStyle w:val="TextoNormal"/>
      </w:pPr>
      <w:r>
        <w:t>c) Promovido incidente de nulidad de actuaciones por el Ayuntamiento de Toledo contra esta resolución, fundado en las mismas razones invocadas por dicha parte en el incidente de nulidad instado contra la Sentencia de 27 de febrero de 2014 a la que se ha hecho referencia, la Sección Primera de la Sala de lo Contencioso-Administrativo del Tribunal Supremo dictó Auto el 23 de octubre de 2014 en desestimación de lo pedido, trasladando para ello los argumentos ya vertidos en el Auto de 15 de julio de 2014, por el que había desestimado a su vez el incidente de nulidad instado contra la referida Sentencia de 27 de febrero de 2014.</w:t>
      </w:r>
    </w:p>
    <w:p w:rsidR="006B7292" w:rsidRDefault="006B7292" w:rsidP="006B7292">
      <w:pPr>
        <w:pStyle w:val="TextoNormal"/>
      </w:pPr>
    </w:p>
    <w:p w:rsidR="006B7292" w:rsidRDefault="006B7292" w:rsidP="006B7292">
      <w:pPr>
        <w:pStyle w:val="TextoNormal"/>
      </w:pPr>
      <w:r w:rsidRPr="006B7292">
        <w:rPr>
          <w:rStyle w:val="NumeroAFNegritaCaracter"/>
        </w:rPr>
        <w:t>3</w:t>
      </w:r>
      <w:r>
        <w:t>. La demanda de amparo alega la vulneración de los derechos a la tutela judicial efectiva (art. 24.1 CE) y a un proceso con todas las garantías (art. 24.2 CE), por incurrir las resoluciones impugnadas en un exceso de jurisdicción, consistente en no aplicar una ley autonómica vigente que resultaba pertinente al caso —aduciendo haber seleccionado una norma estatal básica—, sin plantear antes cuestión de inconstitucionalidad del art. 163 CE ante este Tribunal Constitucional con el fin de obtener un pronunciamiento sobre ello, tal y como exige nuestra doctrina, que al efecto se invoca (SSTC 73/2000, 104/2000, 120/2000, 173/2002, 66/2011, 187/2012 y 177/2013). Este exceso de jurisdicción produjo además, según la demanda, que se haya colocado al Ayuntamiento de Toledo en una “situación de efectiva indefensión, pues ni tuvo oportunidad ni ocasión de prever, dado el sometimiento judicial al imperio de la ley, tal preterición del sistema de fuentes, ni pudo hacer uso del trámite de alegaciones del artículo 35 LOTC”.</w:t>
      </w:r>
    </w:p>
    <w:p w:rsidR="006B7292" w:rsidRDefault="006B7292" w:rsidP="006B7292">
      <w:pPr>
        <w:pStyle w:val="TextoNormal"/>
      </w:pPr>
    </w:p>
    <w:p w:rsidR="006B7292" w:rsidRDefault="006B7292" w:rsidP="006B7292">
      <w:pPr>
        <w:pStyle w:val="TextoNormal"/>
      </w:pPr>
      <w:r>
        <w:t>Por “otrosí tercero digo” en la misma demanda, se solicitó la suspensión de los efectos de las resoluciones judiciales recurridas en amparo. Con cita del art. 56.2 de la Ley Orgánica del Tribunal Constitucional (LOTC) y doctrina general de este Tribunal sobre la posibilidad de acordar la suspensión de las resoluciones firmes, argumenta la parte que en el presente caso, de no concederse ésta, se causaría un perjuicio que haría perder al amparo su finalidad, dado que dichas resoluciones han procedido a anular el plan general de ordenación municipal de Toledo aprobado el 26 de marzo de 2007, el cual en estos años ha “desplegado plenamente efectos a través de diversos planes parciales, estudios de detalle y otros instrumentos de planeamiento así como multitud de actos de desarrollo ejecución (especialmente licencias), a los que aún han de seguir otros muchos hasta el cumplimiento de la política territorial, urbanística, medioambiental y social plasmada en aquel Plan General”. Prosigue el escrito diciendo que no acordar la suspensión supondría la paralización del plan y el “restablecimiento de la situación urbanística de Toledo a la situación anterior al mismo, con la consiguiente demolición de cuanto se ha construido al amparo de la nueva ordenación municipal de 2007”. Y añade: “Los perjuicios que con ello se habrían de provocar serían indiscriminados para todas las personas que han decidido invertir en la ciudad de Toledo, provocando una verdadera catástrofe de consecuencias incalculables”.</w:t>
      </w:r>
    </w:p>
    <w:p w:rsidR="006B7292" w:rsidRDefault="006B7292" w:rsidP="006B7292">
      <w:pPr>
        <w:pStyle w:val="TextoNormal"/>
      </w:pPr>
    </w:p>
    <w:p w:rsidR="006B7292" w:rsidRDefault="006B7292" w:rsidP="006B7292">
      <w:pPr>
        <w:pStyle w:val="TextoNormal"/>
      </w:pPr>
      <w:r>
        <w:t>Se alega también que la suspensión viene exigida por los intereses generales, prevalentes éstos frente al exclusivo interés particular del actor en la instancia, además de que la medida no afectaría a los derechos fundamentales ni a las libertades de terceros. Se invoca por último el art. 30 LOTC, respecto a la no suspensión de disposiciones generales que son objeto de planteamiento de una cuestión de inconstitucionalidad admitida a trámite por este Tribunal, precepto que se habría aplicado si los órganos judiciales competentes, “como debió haberse hecho”, hubieran elevado la cuestión.</w:t>
      </w:r>
    </w:p>
    <w:p w:rsidR="006B7292" w:rsidRDefault="006B7292" w:rsidP="006B7292">
      <w:pPr>
        <w:pStyle w:val="TextoNormal"/>
      </w:pPr>
    </w:p>
    <w:p w:rsidR="006B7292" w:rsidRDefault="006B7292" w:rsidP="006B7292">
      <w:pPr>
        <w:pStyle w:val="TextoNormal"/>
      </w:pPr>
      <w:r w:rsidRPr="006B7292">
        <w:rPr>
          <w:rStyle w:val="NumeroAFNegritaCaracter"/>
        </w:rPr>
        <w:t>4</w:t>
      </w:r>
      <w:r>
        <w:t>. Por providencia de 5 de octubre de 2015, la Sala Primera acordó admitir a trámite el recurso de amparo, “apreciando que concurre en el mismo una especial trascendencia constitucional (art. 50.1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w:t>
      </w:r>
    </w:p>
    <w:p w:rsidR="006B7292" w:rsidRDefault="006B7292" w:rsidP="006B7292">
      <w:pPr>
        <w:pStyle w:val="TextoNormal"/>
      </w:pPr>
    </w:p>
    <w:p w:rsidR="006B7292" w:rsidRDefault="006B7292" w:rsidP="006B7292">
      <w:pPr>
        <w:pStyle w:val="TextoNormal"/>
      </w:pPr>
      <w:r w:rsidRPr="006B7292">
        <w:rPr>
          <w:rStyle w:val="NumeroAFNegritaCaracter"/>
        </w:rPr>
        <w:t>5</w:t>
      </w:r>
      <w:r>
        <w:t>. El propio día 5 de octubre de 2015, mediante nueva providencia de la Sala Primera de este Tribunal se acordó “formar con el precedente testimonio la presente pieza separada de suspensión” y, de conformidad con lo prevenido en el art. 56 LOTC, conceder plazo común de tres días al Ministerio Fiscal y al solicitante del amparo para formular alegaciones.</w:t>
      </w:r>
    </w:p>
    <w:p w:rsidR="006B7292" w:rsidRDefault="006B7292" w:rsidP="006B7292">
      <w:pPr>
        <w:pStyle w:val="TextoNormal"/>
      </w:pPr>
    </w:p>
    <w:p w:rsidR="006B7292" w:rsidRDefault="006B7292" w:rsidP="006B7292">
      <w:pPr>
        <w:pStyle w:val="TextoNormal"/>
      </w:pPr>
      <w:r w:rsidRPr="006B7292">
        <w:rPr>
          <w:rStyle w:val="NumeroAFNegritaCaracter"/>
        </w:rPr>
        <w:t>6</w:t>
      </w:r>
      <w:r>
        <w:t>. Por escrito de 14 de octubre de 2015, la representación procesal de la recurrente mantuvo la petición de suspensión de los efectos de las resoluciones judiciales impugnadas, afirmando que ésta resulta procedente “[m]ás aún, tras la reciente STC, de esta Sala Primera, de 21 de septiembre de 2015 (recurso 6011-2014)”.</w:t>
      </w:r>
    </w:p>
    <w:p w:rsidR="006B7292" w:rsidRDefault="006B7292" w:rsidP="006B7292">
      <w:pPr>
        <w:pStyle w:val="TextoNormal"/>
      </w:pPr>
    </w:p>
    <w:p w:rsidR="006B7292" w:rsidRDefault="006B7292" w:rsidP="006B7292">
      <w:pPr>
        <w:pStyle w:val="TextoNormal"/>
      </w:pPr>
      <w:r>
        <w:t xml:space="preserve">En sustento de su afirmación, tras exponer las razones por las que se ha venido defendiendo la directa relación entre este recurso de amparo y el identificado con el núm. 6011-2014, lo que trae consigo que “los motivos y fundamentos de las demandas de amparo son idénticos”, el escrito incide en el sentido estimatorio de la Sentencia de la Sala Primera de este Tribunal, de 21 de septiembre de 2015, resolutoria de aquel recurso núm. 6011-2014, que otorga el amparo al Ayuntamiento de Toledo por vulneración de los mismos derechos fundamentales invocados aquí como infringidos. Al parecer de la corporación local recurrente, esta declaración de nulidad del Tribunal conforma un </w:t>
      </w:r>
      <w:r w:rsidRPr="006B7292">
        <w:rPr>
          <w:i/>
        </w:rPr>
        <w:t>fumus boni iuris</w:t>
      </w:r>
      <w:r>
        <w:t xml:space="preserve"> justificativo de la medida de suspensión, en línea con lo afirmado en similar sentido por la doctrina constitucional en materia de recursos de inconstitucionalidad, con cita de los AATC 243/1993 y 78/1987.</w:t>
      </w:r>
    </w:p>
    <w:p w:rsidR="006B7292" w:rsidRDefault="006B7292" w:rsidP="006B7292">
      <w:pPr>
        <w:pStyle w:val="TextoNormal"/>
      </w:pPr>
    </w:p>
    <w:p w:rsidR="006B7292" w:rsidRDefault="006B7292" w:rsidP="006B7292">
      <w:pPr>
        <w:pStyle w:val="TextoNormal"/>
      </w:pPr>
      <w:r>
        <w:t>Se ocupa en segundo lugar el escrito de alegaciones, de concretar los perjuicios “irreparables, reales y concretos que se derivarían de la no suspensión de las resoluciones judiciales impugnadas”, acompañando como documento de apoyo un informe firmado por un Arquitecto Municipal. En tal sentido, se refiere en primer término a la “protección del interés ecológico y medioambiental en el POM del año 2007” sobre ciertas zonas que identifica, citando doctrina del Tribunal sobre la protección del medioambiente como valor superior y su consideración como criterio para acordar la suspensión de normas en recursos de inconstitucionalidad (cita los AATC 353/1995, de 20 de diciembre, FJ 2; 88/2008, de 2 de abril, 34/2009, de 27 de enero, 225/2009, de 27 de julio, 227/2009, de 10 de diciembre, 56/2010, de 29 de mayo, y 114/2011, de 19 de julio). En segundo lugar, indica la protección que acomete aquel mismo plan sobre el patrimonio histórico, artístico y cultural, a través de la carta arqueológica incorporada al mismo, con una zonificación de Toledo dividida en “ámbitos de protección arqueológica" y “ámbitos de prevención arqueológica”, así como también mediante el catálogo de bienes de protección monumental, lo cual debe ser ponderado para resolver la suspensión (con cita del ATC 104/2010, de 28 de julio). En tercer y último lugar, se habla en el escrito de alegaciones de “grandes infraestructuras de la ciudad” que quedarían afectadas, como autopistas, puentes, o el Hospital General de Toledo, así como zonas de equipamiento público.</w:t>
      </w:r>
    </w:p>
    <w:p w:rsidR="006B7292" w:rsidRDefault="006B7292" w:rsidP="006B7292">
      <w:pPr>
        <w:pStyle w:val="TextoNormal"/>
      </w:pPr>
    </w:p>
    <w:p w:rsidR="006B7292" w:rsidRDefault="006B7292" w:rsidP="006B7292">
      <w:pPr>
        <w:pStyle w:val="TextoNormal"/>
      </w:pPr>
      <w:r>
        <w:t>Finalmente, se reitera la invocación hecha en la demanda al art. 30 LOTC, por cuanto de haberse planteado la cuestión de inconstitucionalidad, no se hubiera suspendido la vigencia ni la aplicación de la ley autonómica, cuyo indebido desplazamiento por las resoluciones recurridas es lo que ha provocado la anulación del plan.</w:t>
      </w:r>
    </w:p>
    <w:p w:rsidR="006B7292" w:rsidRDefault="006B7292" w:rsidP="006B7292">
      <w:pPr>
        <w:pStyle w:val="TextoNormal"/>
      </w:pPr>
    </w:p>
    <w:p w:rsidR="006B7292" w:rsidRDefault="006B7292" w:rsidP="006B7292">
      <w:pPr>
        <w:pStyle w:val="TextoNormal"/>
      </w:pPr>
      <w:r w:rsidRPr="006B7292">
        <w:rPr>
          <w:rStyle w:val="NumeroAFNegritaCaracter"/>
        </w:rPr>
        <w:t>7</w:t>
      </w:r>
      <w:r>
        <w:t>. Con fecha de 20 de octubre de 2015 tuvo entrada en el Registro General de este Tribunal, escrito del Fiscal, en el que considera que “no procede acceder a la suspensión solicitada por la Administración recurrente … sin perjuicio de que por el Tribunal Constitucional se pondere la Sentencia dictada por el mismo con fecha 21 de septiembre de 2015 (recurso de amparo 6011-2014), a los efectos de acordar de oficio la suspensión” de las resoluciones recurridas.</w:t>
      </w:r>
    </w:p>
    <w:p w:rsidR="006B7292" w:rsidRDefault="006B7292" w:rsidP="006B7292">
      <w:pPr>
        <w:pStyle w:val="TextoNormal"/>
      </w:pPr>
    </w:p>
    <w:p w:rsidR="006B7292" w:rsidRDefault="006B7292" w:rsidP="006B7292">
      <w:pPr>
        <w:pStyle w:val="TextoNormal"/>
      </w:pPr>
      <w:r>
        <w:t>Así, luego de relatar los antecedentes procesales que dan lugar a las resoluciones recurridas en este amparo y destacar el hecho de su identidad de objeto con el del recurso de amparo núm. 6011-2014, donde se denegó la solicitud de suspensión realizada por la misma entidad recurrente, el Fiscal indica que, a tenor de la STC de 21 de septiembre de 2015, la STS de 27 de febrero de 2014 ha quedado sin efecto, por lo que la eventual ejecución de aquella Sentencia no se puede producir (art. 55 LOTC), toda vez que ha sido anulada, y consiguientemente tampoco podría producir efectos en el presente procedimiento. Por su parte, respecto a las resoluciones recurridas en el presente recurso de amparo, se recuerda la doctrina establecida en el ATC 117/2015, de 6 de julio, por el que no se accedía a la suspensión solicitada en relación con la ejecución de la Sentencia de 26 de julio de 2011 del Tribunal Superior de Justicia de Castilla-La Mancha. En aplicación de dicha doctrina (fundamento jurídico 4) y dado que las argumentaciones de la solicitud de suspensión son sustanciales a las planteadas en el recurso de amparo 6011-2014 en que dicho Auto denegatorio se dictó, también aquí el Fiscal considera improcedente la suspensión solicitada. A tal conclusión no es óbice el escrito de alegaciones presentado por el Ayuntamiento de Toledo, dado que, por un lado, se remite a las consideraciones efectuadas en la demanda, y por otro, considera que, en cuanto a los concretos y reales perjuicios a que se hace referencia, más bien se trataría de las consecuencias de la aplicación de una normativa preexistente y de la demora en la ejecución de proyectos, pero sin que su falta de desarrollo pueda equipararse a perjuicio irreversible, máxime cuando esta situación aún está condicionada por la decisión que se adopte por el Tribunal Superior de Justicia de Castilla-La Mancha en ejecución de la STC de 21 de septiembre de 2015, que acordó la retroacción de actuaciones. Todo ello sin perjuicio de que se reitere la solicitud en un futuro (art. 57 LOTC, ATC 26/2011, FJ 3).</w:t>
      </w:r>
    </w:p>
    <w:p w:rsidR="006B7292" w:rsidRDefault="006B7292" w:rsidP="006B7292">
      <w:pPr>
        <w:pStyle w:val="TextoNormal"/>
      </w:pPr>
    </w:p>
    <w:p w:rsidR="006B7292" w:rsidRDefault="006B7292" w:rsidP="006B7292">
      <w:pPr>
        <w:pStyle w:val="TextoNormal"/>
      </w:pPr>
      <w:r>
        <w:t xml:space="preserve">Añade el Fiscal que el hecho de que la STC de 21 de septiembre de 2015 haya dejado sin efecto la STS de 27 de febrero de 2014 significa que el plan deja de estar anulado en el proceso núm. 556-2007 del Tribunal Superior de Justicia de Castilla-La Mancha. De esta manera, indica, el ATS aquí impugnado —que acuerda la pérdida sobrevenida de objeto—, cuya </w:t>
      </w:r>
      <w:r w:rsidRPr="006B7292">
        <w:rPr>
          <w:i/>
        </w:rPr>
        <w:t>ratio decidendi</w:t>
      </w:r>
      <w:r>
        <w:t xml:space="preserve"> es la preexistencia de la STS de 27 de febrero de 2014, queda huérfano de todo fundamento, si bien, en cuanto no está anulado, continúa desplegando todos sus efectos, y, por tanto, la confirmación de la Sentencia del Tribunal Superior de Justicia de Castilla-La Mancha de 18 de julio de 2011, y, consecuentemente, la nulidad del plan de ordenación de Toledo. Remarca el Fiscal el carácter paradójico y contradictorio de la situación, pues los efectos de la Sentencia del Tribunal Constitucional se ven constreñidos por la eficacia de la Sentencia y Auto aquí recurridos, que siguen desplegando sus efectos cuando la razón de su fundamento —la STS de 27 de febrero de 2014— se encuentra anulada. Tales resoluciones aquí recurridas, indica, hacen prevalecer la anulación de un plan que por virtud de la STC de 21 de septiembre de 2015 ha dejado de estar anulado. Afirma que, siendo cierto que los efectos del amparo solo se proyectan sobre el proceso en que se acuerda, se produce una situación de incertidumbre e inseguridad jurídica, pues no es posible que un plan de ordenación se encuentre a su vez vigente y nulo. A su entender, esta situación significaría un perjuicio actual por la simultaneidad de sentencias contradictorias que despliegan conjuntamente su eficacia, poniendo de relieve que la resolución aquí impugnada se sobrepondría sobre el pronunciamiento de amparo y haría perder a este segundo amparo su finalidad, al continuar aplicándose el plan de 2007 fuera del proceso a que se refiere el recurso de amparo 6011-2014, en tanto el recurso actual no fuera objeto de resolución. En evitación de este resultado incoherente, contrario a la seguridad jurídica (art. 9.3 CE) y a la ejecutividad de las resoluciones judiciales y del propio Tribunal Constitucional, como manifestación del derecho a la tutela judicial efectiva (art. 24.1 CE), considera que existiría un interés público en que sea respetada la realidad jurídica surgida tras la STC reseñada, por lo que debería acomodarse la situación a lo acordado en ella. Recuerda por último que el art. 56.2 LOTC prevé la suspensión no solo a instancia del recurrente, sino también de oficio, lo que podría estar justificado en este caso a fin de respetar la coherencia del pronunciamiento de esta jurisdicción constitucional.</w:t>
      </w:r>
    </w:p>
    <w:p w:rsidR="006B7292" w:rsidRDefault="006B7292" w:rsidP="006B7292">
      <w:pPr>
        <w:pStyle w:val="TextoNormal"/>
      </w:pPr>
    </w:p>
    <w:p w:rsidR="006B7292" w:rsidRDefault="006B7292" w:rsidP="006B7292">
      <w:pPr>
        <w:pStyle w:val="TextoNormal"/>
      </w:pPr>
      <w:r w:rsidRPr="006B7292">
        <w:rPr>
          <w:rStyle w:val="NumeroAFNegritaCaracter"/>
        </w:rPr>
        <w:t>8</w:t>
      </w:r>
      <w:r>
        <w:t>. Mediante diligencia de ordenación del Secretario de Justicia de la Sala Primera de 26 de noviembre de 2015 se indicó que, habiéndose personado el Procurador don Francisco Velasco Muñoz-Cuéllar, en representación de la Junta de Comunidades de Castilla-La Mancha, de conformidad con lo prevenido en el art. 56 LOTC se concedía un plazo de tres días al citado Procurador para que en dicho término alegase lo que estimase pertinente en relación con la petición de suspensión interesada por el recurrente.</w:t>
      </w:r>
    </w:p>
    <w:p w:rsidR="006B7292" w:rsidRDefault="006B7292" w:rsidP="006B7292">
      <w:pPr>
        <w:pStyle w:val="TextoNormal"/>
      </w:pPr>
    </w:p>
    <w:p w:rsidR="006B7292" w:rsidRDefault="006B7292" w:rsidP="006B7292">
      <w:pPr>
        <w:pStyle w:val="TextoNormal"/>
      </w:pPr>
      <w:r w:rsidRPr="006B7292">
        <w:rPr>
          <w:rStyle w:val="NumeroAFNegritaCaracter"/>
        </w:rPr>
        <w:t>9</w:t>
      </w:r>
      <w:r>
        <w:t>. El 2 de diciembre de 2015 tuvo entrada en el Registro General de este Tribunal un escrito de don Francisco Velasco Muñoz-Cuéllar, Procurador de los Tribunales y de la Junta de Comunidades de Castilla-La Mancha, en el que manifiesta no oponerse a la suspensión interesada por el Ayuntamiento de Toledo.</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La entidad demandante de amparo solicita en un otrosí digo de su escrito de demanda la suspensión de los efectos de las resoluciones judiciales impugnadas en el presente recurso, las cuales, como ya se expuso en los antecedentes, son la Sentencia de la Sección Primera de la Sala de lo Contencioso-Administrativo del Tribunal Superior de Justicia de Castilla-La Mancha de 18 de julio de 2011, que acordó estimar el recurso contencioso-administrativo interpuesto contra el plan de ordenación municipal de Toledo, aprobado por Orden de 26 de marzo de 2007 de la Consejería de Vivienda y Urbanismo, declarando su nulidad; el Auto de la Sección Primera de la Sala de lo Contencioso-Administrativo del Tribunal Supremo, de 3 de abril de 2014, que declaró la pérdida sobrevenida del objeto del recurso de casación interpuesto contra la anterior, al existir ya una Sentencia firme de la Sección Quinta de la misma Sala Tercera del Tribunal Supremo que asienta doctrina contraria a la pretensión de la recurrente; y el Auto de 23 de octubre de 2014, que desestima el incidente de nulidad de actuaciones promovido por la misma parte procesal, contra el Auto que acaba de indicarse. Con posterioridad y según se ha dejado expuesto, una vez admitido a trámite este recurso de amparo y ordenada por la Sala Primera de este Tribunal la apertura de pieza separada de suspensión, la parte demandante ha presentado escrito de alegaciones en el que se amplían las formuladas inicialmente, de un lado aludiendo al dictado de la STC 195/2015, de 21 de septiembre, de la Sala Primera de este Tribunal, que declara nulas las resoluciones judiciales impugnadas en el recurso de amparo núm. 6011-2014, de objeto sustancialmente idéntico al que aquí nos ocupa. Y de otro lado, intentando concretar los daños irreparables que a su criterio ocasionaría la no suspensión, en virtud de la paralización del plan de ordenación municipal de Toledo.</w:t>
      </w:r>
    </w:p>
    <w:p w:rsidR="006B7292" w:rsidRDefault="006B7292" w:rsidP="006B7292">
      <w:pPr>
        <w:pStyle w:val="TextoNormal"/>
      </w:pPr>
    </w:p>
    <w:p w:rsidR="006B7292" w:rsidRDefault="006B7292" w:rsidP="006B7292">
      <w:pPr>
        <w:pStyle w:val="TextoNormal"/>
      </w:pPr>
      <w:r>
        <w:t>Así estructurada la pretensión de suspensión de las resoluciones judiciales recurridas, conviene seguir en su respuesta el mismo orden con el que han sido presentadas a esta Sala por la recurrente.</w:t>
      </w:r>
    </w:p>
    <w:p w:rsidR="006B7292" w:rsidRDefault="006B7292" w:rsidP="006B7292">
      <w:pPr>
        <w:pStyle w:val="TextoNormal"/>
      </w:pPr>
    </w:p>
    <w:p w:rsidR="006B7292" w:rsidRDefault="006B7292" w:rsidP="006B7292">
      <w:pPr>
        <w:pStyle w:val="TextoNormal"/>
      </w:pPr>
      <w:r w:rsidRPr="006B7292">
        <w:rPr>
          <w:rStyle w:val="NumeroAFNegritaCaracter"/>
        </w:rPr>
        <w:t>2</w:t>
      </w:r>
      <w:r>
        <w:t>. De esta manera, por lo que concierne en primer lugar a los motivos que se esgrimen en la demanda de amparo, dado que presentan idéntico contenido a los que se defendieron a su vez por el mismo ayuntamiento en la solicitud de suspensión de las resoluciones impugnadas en el recurso de amparo núm. 6011-2014, cuyo objeto, según se ha venido destacando por ella misma y con acierto, resulta sustancialmente el mismo al que aquí se dilucida, procede por una elemental razón de unidad de criterio reiterar las afirmaciones realizadas en el ATC 117/2015, de 6 de julio, por el que se acordó denegar la suspensión solicitada en aquel recurso de amparo núm. 6011-2014.</w:t>
      </w:r>
    </w:p>
    <w:p w:rsidR="006B7292" w:rsidRDefault="006B7292" w:rsidP="006B7292">
      <w:pPr>
        <w:pStyle w:val="TextoNormal"/>
      </w:pPr>
    </w:p>
    <w:p w:rsidR="006B7292" w:rsidRDefault="006B7292" w:rsidP="006B7292">
      <w:pPr>
        <w:pStyle w:val="TextoNormal"/>
      </w:pPr>
      <w:r>
        <w:t>Como expresa el fundamento jurídico primero de dicho ATC 117/2015, en relación al régimen general aplicable para la suspensión de resoluciones firmes, “dispone el art. 56.2 de la Ley Orgánica del Tribunal Constitucional (LOTC) que cuando la ejecución del acto o sentencia impugnados produzca un perjuicio al recurrente que pudiese hacer perder al amparo su finalidad, la Sala o, en su caso, la Sección que conozca de un recurso de amparo podrá disponer la suspensión, total o parcial, de sus efectos, siempre y cuando la suspensión no ocasione perturbación grave a un interés constitucionalmente protegido, ni a los derechos fundamentales o libertades de otra persona. 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y siempre “que la suspensión no ocasione perturbación grave a un interés constitucionalmente protegido, ni a los derechos fundamentales o libertades de otra persona” (art. 56.2 LOTC)”.</w:t>
      </w:r>
    </w:p>
    <w:p w:rsidR="006B7292" w:rsidRDefault="006B7292" w:rsidP="006B7292">
      <w:pPr>
        <w:pStyle w:val="TextoNormal"/>
      </w:pPr>
    </w:p>
    <w:p w:rsidR="006B7292" w:rsidRDefault="006B7292" w:rsidP="006B7292">
      <w:pPr>
        <w:pStyle w:val="TextoNormal"/>
      </w:pPr>
      <w:r>
        <w:t>Seguidamente, el fundamento jurídico segundo de este ATC 117/2015 se refiere al requisito del carácter no reparable del perjuicio, asentando que: “…es doctrina reiterada y unánime de este Tribunal, que la previsión contenida ahora en el art. 56.2 LOTC (en la redacción anterior a la reforma de la Ley Orgánica 6/2007 la establecía el art. 56.1 LOTC), que exige como uno de los requisitos para otorgar la suspensión que la ejecución del acto del poder público por razón del cual se reclama el amparo ocasione ‘un perjuicio al recurrente que pudiera hacer perder al amparo su finalidad’, debe interpretarse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 (ATC 125/2003, de 23 de abril, FJ 2; y, en el mismo sentido AATC 20/2009, de 26 de enero, 94/2010, y 95/2010, ambos de 19 de julio, 122/2012, de 18 de junio, entre muchos). Por esta razón este Tribunal no accede, salvo excepciones, a la solicitud de suspensión de resoluciones que imponen obligaciones de pago de cantidad o, en general, de contenido económico o patrimonial, pues la lesión que de ellas se deriva es normalmente reparable (AATC 125/2003, de 23 de abril; 326/2005, de 12 de septiembre; 152/2006, de 8 de mayo; 357/2006, de 9 de octubre; 118/2008, de 28 de abril; 388/2008, de 15 de diciembre, y 20/2009 de 26 de enero, 95/2010, de 19 de julio, y 81/2012, de 7 de mayo, entre otros muchos). Con relación a los perjuicios de carácter patrimonial o económico hemos señalado que, por más que puedan producir efectos desfavorables a quien demanda amparo, no pueden considerarse, en principio, como causa suficiente para acordar la suspensión de una resolución judicial firme (AATC 93/2002, de 3 de junio, 106/2002, de 17 de junio, 165/2003, de 19 de mayo, 326/2005, de 12 de septiembre, y 386/2008, de 15 de diciembre, por todos). Sólo en el caso de que el recurrente en amparo justificase cumplidamente que el no otorgamiento de la suspensión le ocasionaría un perjuicio irreparable que haría perder al amparo su finalidad, (entre otros, ATC 185/2014, de 8 de julio), y siempre que de dicha medida cautelar no se siga perturbación grave de los intereses generales o de los derechos y libertades fundamentales de un tercero, procedería acordar la suspensión interesada”.</w:t>
      </w:r>
    </w:p>
    <w:p w:rsidR="006B7292" w:rsidRDefault="006B7292" w:rsidP="006B7292">
      <w:pPr>
        <w:pStyle w:val="TextoNormal"/>
      </w:pPr>
    </w:p>
    <w:p w:rsidR="006B7292" w:rsidRDefault="006B7292" w:rsidP="006B7292">
      <w:pPr>
        <w:pStyle w:val="TextoNormal"/>
      </w:pPr>
      <w:r>
        <w:t>Y el fundamento jurídico tercero del mismo Auto 117/2015, completando la visión panorámica de la doctrina aplicable en esta materia, señala respecto a la carga procesal que concierne a la parte recurrente, que: “[t]ambién es doctrina constante del Tribunal que para excepcionar la regla general de la no suspensión es carga del recurrente probar que la ejecución del acto o Sentencia impugnados deba producirle un perjuicio que hiciere perder al amparo su finalidad (por todos AATC 39/2008, de 11 de febrero, FJ 1; 40/2008, de 11 de febrero, FJ 3; y 59/2008, de 20 de febrero, FJ 2). Así respecto de la carga alegatoria y probatoria del incidente en ATC 81/2012, de 7 de mayo, FJ 3, con cita de otros, hemos afirmado: ‘la acreditación del perjuicio es carga del recurrente, quien debe precisar los concretos perjuicios que de la ejecución se deriven, así como justificar o argumentar razonadamente la irreparabilidad de los mismos (AATC 107/1981, 226/1982, 385/1983, y 193/1984). A la par hemos dicho que, en todo caso, el perjuicio irreparable debe ser real, sin que sea posible alegar un perjuicio futuro o hipotético o un simple temor (AATC 490/1984, 399/1985, y 51/1989, entre otros muchos),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w:t>
      </w:r>
    </w:p>
    <w:p w:rsidR="006B7292" w:rsidRDefault="006B7292" w:rsidP="006B7292">
      <w:pPr>
        <w:pStyle w:val="TextoNormal"/>
      </w:pPr>
    </w:p>
    <w:p w:rsidR="006B7292" w:rsidRDefault="006B7292" w:rsidP="006B7292">
      <w:pPr>
        <w:pStyle w:val="TextoNormal"/>
      </w:pPr>
      <w:r w:rsidRPr="006B7292">
        <w:rPr>
          <w:rStyle w:val="NumeroAFNegritaCaracter"/>
        </w:rPr>
        <w:t>3</w:t>
      </w:r>
      <w:r>
        <w:t>. Partiendo pues de esta doctrina constitucional, el ATC 117/2015 entra a examinar en su fundamento jurídico cuarto los motivos aducidos por la entidad recurrente para apoyar la solicitud de suspensión, no apreciando éstos suficientemente sólidos por las razones que igualmente reproducimos: “en el presente caso, del examen de la solicitud de suspensión formulada cabe concluir que no se han acreditado circunstancias excepcionales que lleven a conceder la suspensión pedida. En efecto, como bien indica el Ministerio Fiscal, la suspensión que se solicita tiene un contenido patrimonial, que se circunscribe a la anulación del plan de ordenación municipal de Toledo, con retroacción de actuaciones de tramitación hasta la fase de nueva información pública. Ahora bien, dicho pronunciamiento no comporta como afirma el recurrente ‘la demolición de todo cuanto se ha construido’, ni tal consecuencia resulta acreditada por el documento núm. 6 al que alude el demandante y que se acompaña con la demanda. Debe insistirse en que el perjuicio irreparable debe ser real, sin que sea posible alegar un perjuicio futuro o hipotético. No basta con afirmaciones genéricas relativas a que la ejecución comportará ‘una verdadera catástrofe de consecuencias incalculables no solo en pérdidas económicas o patrimoniales, incluyendo demoliciones de lo construido con arreglo al Plan y anulación de infinidad de autorizaciones de usos, sino computables también en el número de puestos de trabajo que puede quedar sacrificados’, sino que se deben precisar los concretos perjuicios que de la ejecución se derivaran. Carga probatoria que la Administración recurrente no aporta, al omitir datos concretos que puedan ser calificados de principio razonable de prueba y que permitan avalar lo manifestado, sino que se limita a efectuar una afirmación genérica e inconcreta carente de la necesaria acreditación. En tal sentido, como indica el Ministerio Fiscal, ni la anulación del plan comporta necesariamente la inminente demolición de todo cuanto se ha construido, ni supone la anulación de infinidad de autorizaciones de usos, determinantes del cese inmediato de actividades y sacrificio de puestos de trabajo. Ahora bien, la ausencia actual de las circunstancias excepcionales que llevan a conceder la suspensión pedida, esto es, la falta de acreditación de un perjuicio irreparable, real y concreto, no es óbice para que en un momento posterior durante el curso del procedimiento de amparo, el recurrente pueda plantear de nuevo ante este Tribunal la procedencia de la suspensión, ‘en virtud de circunstancias sobrevenidas o que no pudieron ser conocidas al tiempo de sustanciarse el incidente de suspensión’ (</w:t>
      </w:r>
      <w:r w:rsidRPr="006B7292">
        <w:rPr>
          <w:i/>
        </w:rPr>
        <w:t>ex</w:t>
      </w:r>
      <w:r>
        <w:t xml:space="preserve"> art. 57 LOTC), que satisfagan el presupuesto exigido”.</w:t>
      </w:r>
    </w:p>
    <w:p w:rsidR="006B7292" w:rsidRDefault="006B7292" w:rsidP="006B7292">
      <w:pPr>
        <w:pStyle w:val="TextoNormal"/>
      </w:pPr>
    </w:p>
    <w:p w:rsidR="006B7292" w:rsidRDefault="006B7292" w:rsidP="006B7292">
      <w:pPr>
        <w:pStyle w:val="TextoNormal"/>
      </w:pPr>
      <w:r>
        <w:t>Todos estos razonamientos, a los efectos de la presente pieza separada, arrojan como primera conclusión la de rechazar los argumentos alegados en el “otrosí tercero digo” de la demanda de amparo para justificar la medida de suspensión de las resoluciones judiciales aquí impugnadas.</w:t>
      </w:r>
    </w:p>
    <w:p w:rsidR="006B7292" w:rsidRDefault="006B7292" w:rsidP="006B7292">
      <w:pPr>
        <w:pStyle w:val="TextoNormal"/>
      </w:pPr>
    </w:p>
    <w:p w:rsidR="006B7292" w:rsidRDefault="006B7292" w:rsidP="006B7292">
      <w:pPr>
        <w:pStyle w:val="TextoNormal"/>
      </w:pPr>
      <w:r w:rsidRPr="006B7292">
        <w:rPr>
          <w:rStyle w:val="NumeroAFNegritaCaracter"/>
        </w:rPr>
        <w:t>4</w:t>
      </w:r>
      <w:r>
        <w:t>. Queda por referirnos, en segundo y último lugar, a las alegaciones adicionales realizadas por el Ayuntamiento de Toledo en el trámite del art. 56.4 LOTC, abierto dentro de este procedimiento incidental. Se adelanta, sin embargo, que las mismas no permiten alcanzar un resultado estimatorio.</w:t>
      </w:r>
    </w:p>
    <w:p w:rsidR="006B7292" w:rsidRDefault="006B7292" w:rsidP="006B7292">
      <w:pPr>
        <w:pStyle w:val="TextoNormal"/>
      </w:pPr>
    </w:p>
    <w:p w:rsidR="006B7292" w:rsidRDefault="006B7292" w:rsidP="006B7292">
      <w:pPr>
        <w:pStyle w:val="TextoNormal"/>
      </w:pPr>
      <w:r>
        <w:t>a) Respecto de la incidencia que pudiera tener la estimación del recurso de amparo núm. 6011-2014, por la STC 195/2015, de 21 de septiembre, de la Sala Primera de este Tribunal, es necesario tener en cuenta un dato capital y es que, si bien la misma acuerda la nulidad de las resoluciones impugnadas, incluyendo la dictada en la instancia por la Sección competente del Tribunal Superior de Justicia de Castilla-La Mancha, de igual contenido a la aquí impugnada, en ningún caso dicha STC 195/2015 se ha pronunciado sobre la validez del plan de ordenación municipal citado, cuyo despliegue de efectos es lo que viene a instar el ayuntamiento recurrente con la medida de suspensión.</w:t>
      </w:r>
    </w:p>
    <w:p w:rsidR="006B7292" w:rsidRDefault="006B7292" w:rsidP="006B7292">
      <w:pPr>
        <w:pStyle w:val="TextoNormal"/>
      </w:pPr>
    </w:p>
    <w:p w:rsidR="006B7292" w:rsidRDefault="006B7292" w:rsidP="006B7292">
      <w:pPr>
        <w:pStyle w:val="TextoNormal"/>
      </w:pPr>
      <w:r>
        <w:t>De manera distinta, lo que hace la STC 195/2015, FFJJ 6 y 7, es apreciar que existe vulneración de los derechos fundamentales que se alegan (tutela judicial efectiva —art. 24.1 CE— y proceso con todas las garantías art. 24.2 CE—), por haberse resuelto el recurso contencioso-administrativo de referencia, tanto en instancia como en casación, eludiendo un precepto autonómico que resultaba aplicable, y ello por achacársele su inconstitucionalidad —oposición a norma básica del Estado—, sin plantear la cuestión de los arts. 163 CE y 35 LOTC ante esta jurisdicción constitucional, para que nos pronunciáramos al respecto.</w:t>
      </w:r>
    </w:p>
    <w:p w:rsidR="006B7292" w:rsidRDefault="006B7292" w:rsidP="006B7292">
      <w:pPr>
        <w:pStyle w:val="TextoNormal"/>
      </w:pPr>
    </w:p>
    <w:p w:rsidR="006B7292" w:rsidRDefault="006B7292" w:rsidP="006B7292">
      <w:pPr>
        <w:pStyle w:val="TextoNormal"/>
      </w:pPr>
      <w:r>
        <w:t>De allí que la STC 195/2015 precise en su fundamento jurídico 7, que “dicha vulneración tiene su origen en las resoluciones judiciales impugnadas y no en el art. 36.2 A) párrafo segundo (debe entenderse referido al párrafo tercero), del texto refundido de la Ley de ordenación del territorio y de la actividad urbanística, en tanto que el mismo no ha sido aplicado en el proceso contencioso-administrativo, por lo que no procede plantear la autocuestión de inconstitucionalidad (art. 55.2 LOTC)”.</w:t>
      </w:r>
    </w:p>
    <w:p w:rsidR="006B7292" w:rsidRDefault="006B7292" w:rsidP="006B7292">
      <w:pPr>
        <w:pStyle w:val="TextoNormal"/>
      </w:pPr>
    </w:p>
    <w:p w:rsidR="006B7292" w:rsidRDefault="006B7292" w:rsidP="006B7292">
      <w:pPr>
        <w:pStyle w:val="TextoNormal"/>
      </w:pPr>
      <w:r>
        <w:t>La nulidad de las resoluciones impugnadas obliga a la retroacción de actuaciones, según añade el fundamento jurídico 8, para que la Sala de instancia en ese recurso contencioso-administrativo núm. 556-2007, “dicte otra resolución que resulte respetuosa con los derechos fundamentales reconocidos”, pero sin prejuzgar como es obvio cuál ha de ser el resultado de dicho nuevo enjuiciamiento.</w:t>
      </w:r>
    </w:p>
    <w:p w:rsidR="006B7292" w:rsidRDefault="006B7292" w:rsidP="006B7292">
      <w:pPr>
        <w:pStyle w:val="TextoNormal"/>
      </w:pPr>
    </w:p>
    <w:p w:rsidR="006B7292" w:rsidRDefault="006B7292" w:rsidP="006B7292">
      <w:pPr>
        <w:pStyle w:val="TextoNormal"/>
      </w:pPr>
      <w:r>
        <w:t>En todo caso, no puede desconocerse que una de las alternativas probables tras dicha retroacción de actuaciones, en virtud de lo declarado en esta STC 195/2015, es que la Sala de instancia, caso de mantener su parecer contrario a la constitucionalidad del precepto autonómico ya indicado, eleve la cuestión de inconstitucionalidad a este Tribunal para que conozcamos de ello. De suceder así, la decisión a adoptar acerca de la validez o nulidad del plan de ordenación municipal de Toledo, tendrá que aguardar primero a la tramitación y resolución definitiva de la indicada cuestión; y una vez despejada esa incógnita constitucional, desde luego no está descartado tampoco un desenlace en la jurisdicción ordinaria que conlleve declarar la nulidad del plan.</w:t>
      </w:r>
    </w:p>
    <w:p w:rsidR="006B7292" w:rsidRDefault="006B7292" w:rsidP="006B7292">
      <w:pPr>
        <w:pStyle w:val="TextoNormal"/>
      </w:pPr>
    </w:p>
    <w:p w:rsidR="006B7292" w:rsidRDefault="006B7292" w:rsidP="006B7292">
      <w:pPr>
        <w:pStyle w:val="TextoNormal"/>
      </w:pPr>
      <w:r>
        <w:t>No cabe equiparar esta situación, por lo dicho, con la de un precepto legal impugnado en un recurso de inconstitucionalidad, cuya literalidad es similar a la de otro que ya ha sido declarado nulo por este Tribunal, razón por la que en alguna ocasión hemos acordado suspender los efectos de aquél mientras se tramita el correspondiente proceso (vgr., ATC 78/1987, de 22 de enero, FJ 2; también ATC 183/2011, de 14 de diciembre, FFJJ 4 y 6). Una doctrina que, con ajenidad al ámbito del amparo, aduce sin éxito el escrito de la entidad recurrente.</w:t>
      </w:r>
    </w:p>
    <w:p w:rsidR="006B7292" w:rsidRDefault="006B7292" w:rsidP="006B7292">
      <w:pPr>
        <w:pStyle w:val="TextoNormal"/>
      </w:pPr>
    </w:p>
    <w:p w:rsidR="006B7292" w:rsidRDefault="006B7292" w:rsidP="006B7292">
      <w:pPr>
        <w:pStyle w:val="TextoNormal"/>
      </w:pPr>
      <w:r>
        <w:t>Debe tenerse en cuenta, además, que en el presente caso los Autos dictados por la Sección Primera, Sala Tercera, del Tribunal Supremo, resolvieron archivar el recurso de casación interpuesto, al apreciar una pérdida sobrevenida de objeto. La “suspensión” que se solicita respecto de ellos, de concederse, estrictamente traería consigo tan sólo la reanudación del procedimiento de casación interrumpido, pero sin condicionar su resultado, cosa que únicamente depende de la Sentencia que ponga fin al presente recurso de amparo.</w:t>
      </w:r>
    </w:p>
    <w:p w:rsidR="006B7292" w:rsidRDefault="006B7292" w:rsidP="006B7292">
      <w:pPr>
        <w:pStyle w:val="TextoNormal"/>
      </w:pPr>
    </w:p>
    <w:p w:rsidR="006B7292" w:rsidRDefault="006B7292" w:rsidP="006B7292">
      <w:pPr>
        <w:pStyle w:val="TextoNormal"/>
      </w:pPr>
      <w:r>
        <w:t>En definitiva, no cabe apreciar la existencia de una circunstancia nueva susceptible de modificar el criterio adoptado por el ATC 117/2015, de 6 de julio, para denegar la suspensión solicitada.</w:t>
      </w:r>
    </w:p>
    <w:p w:rsidR="006B7292" w:rsidRDefault="006B7292" w:rsidP="006B7292">
      <w:pPr>
        <w:pStyle w:val="TextoNormal"/>
      </w:pPr>
    </w:p>
    <w:p w:rsidR="006B7292" w:rsidRDefault="006B7292" w:rsidP="006B7292">
      <w:pPr>
        <w:pStyle w:val="TextoNormal"/>
      </w:pPr>
      <w:r>
        <w:t>b) Otro tanto ha de decirse, por último, en cuanto a las aseveraciones que se formulan por el ayuntamiento recurrente en su escrito del art. 56.4 LOTC, intentando concretar los perjuicios que ocasiona la paralización del plan de ordenación municipal de Toledo.</w:t>
      </w:r>
    </w:p>
    <w:p w:rsidR="006B7292" w:rsidRDefault="006B7292" w:rsidP="006B7292">
      <w:pPr>
        <w:pStyle w:val="TextoNormal"/>
      </w:pPr>
    </w:p>
    <w:p w:rsidR="006B7292" w:rsidRDefault="006B7292" w:rsidP="006B7292">
      <w:pPr>
        <w:pStyle w:val="TextoNormal"/>
      </w:pPr>
      <w:r>
        <w:t>Ante todo, éstas se limitan esencialmente a indicar que el plan contiene previsiones sobre el uso del suelo en dicho término municipal, que repercuten en aspectos medioambientales y en la protección del patrimonio histórico, artístico y cultural de la ciudad, extremo que no se pone en duda, pero sin que se aporten datos que acrediten verosímilmente cuáles serían los daños “irreparables, reales y concretos” que ocasiona la aplicación del plan anterior en esos ámbitos, mientras se tramita el presente recurso de amparo.</w:t>
      </w:r>
    </w:p>
    <w:p w:rsidR="006B7292" w:rsidRDefault="006B7292" w:rsidP="006B7292">
      <w:pPr>
        <w:pStyle w:val="TextoNormal"/>
      </w:pPr>
    </w:p>
    <w:p w:rsidR="006B7292" w:rsidRDefault="006B7292" w:rsidP="006B7292">
      <w:pPr>
        <w:pStyle w:val="TextoNormal"/>
      </w:pPr>
      <w:r>
        <w:t>En fin, como reconoce el escrito de alegaciones, todas las citas de doctrina constitucional que se incluyen como apoyo en este punto, versan sobre la suspensión de normas legales en recursos de inconstitucionalidad donde, precisamente, y a diferencia de este amparo, sí se resuelve acerca de la nulidad de la disposición general de que se trata. Tampoco alcanza virtualidad la cita que se hace del art. 30 LOTC, puesto que claramente no es un dispositivo aplicable dentro del recurso de amparo.</w:t>
      </w:r>
    </w:p>
    <w:p w:rsidR="006B7292" w:rsidRDefault="006B7292" w:rsidP="006B7292">
      <w:pPr>
        <w:pStyle w:val="TextoNormal"/>
      </w:pPr>
    </w:p>
    <w:p w:rsidR="006B7292" w:rsidRDefault="006B7292" w:rsidP="006B7292">
      <w:pPr>
        <w:pStyle w:val="TextoNormal"/>
      </w:pPr>
      <w:r>
        <w:t>Por todo lo expuesto, la Sala</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Denegar la suspensión solicitada.</w:t>
      </w:r>
    </w:p>
    <w:p w:rsidR="006B7292" w:rsidRDefault="006B7292" w:rsidP="006B7292">
      <w:pPr>
        <w:pStyle w:val="TextoNormal"/>
      </w:pPr>
    </w:p>
    <w:p w:rsidR="006B7292" w:rsidRDefault="006B7292" w:rsidP="006B7292">
      <w:pPr>
        <w:pStyle w:val="TextoNormal"/>
      </w:pPr>
      <w:r>
        <w:t>Madrid, a catorce de diciembre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25" w:name="AUTO_2015_211"/>
      <w:r>
        <w:t>AUTO 211/2015, de 14 de diciembre de 2015</w:t>
      </w:r>
    </w:p>
    <w:bookmarkEnd w:id="225"/>
    <w:p w:rsidR="006B7292" w:rsidRDefault="006B7292" w:rsidP="006B7292">
      <w:pPr>
        <w:pStyle w:val="TtuloResolucin"/>
      </w:pPr>
      <w:r>
        <w:t>Sala Primera</w:t>
      </w:r>
    </w:p>
    <w:p w:rsidR="006B7292" w:rsidRDefault="006B7292" w:rsidP="006B7292">
      <w:pPr>
        <w:pStyle w:val="TextoNormalCentrado"/>
      </w:pPr>
      <w:r>
        <w:t>ECLI:ES:TC:2015:211A</w:t>
      </w:r>
    </w:p>
    <w:p w:rsidR="006B7292" w:rsidRDefault="006B7292" w:rsidP="006B7292">
      <w:pPr>
        <w:pStyle w:val="TextoNormalCentrado"/>
      </w:pPr>
    </w:p>
    <w:p w:rsidR="006B7292" w:rsidRDefault="006B7292" w:rsidP="006B7292">
      <w:pPr>
        <w:pStyle w:val="SntesisDescriptiva"/>
      </w:pPr>
      <w:r>
        <w:t>Excms. Srs. don Francisco Pérez de los Cobos Orihuel, doña Encarnación Roca Trías, don Andrés Ollero Tassara, don Santiago Martínez-Vares García y don Juan Antonio Xiol Ríos.</w:t>
      </w:r>
    </w:p>
    <w:p w:rsidR="006B7292" w:rsidRDefault="006B7292" w:rsidP="006B7292">
      <w:pPr>
        <w:pStyle w:val="SntesisDescriptiva"/>
      </w:pPr>
    </w:p>
    <w:p w:rsidR="006B7292" w:rsidRDefault="006B7292" w:rsidP="006B7292">
      <w:pPr>
        <w:pStyle w:val="SntesisDescriptiva"/>
      </w:pPr>
      <w:r>
        <w:t>Acuerda la extinción, por desaparición sobrevenida de objeto, de la cuestión de inconstitucionalidad 504-2015, planteada por la Sala de lo Contencioso-Administrativo del Tribunal Superior de Justicia de Cantabria en relación con el artículo 65 bis.1 de la Ley 2/2001, de 25 de junio, de ordenación territorial y del régimen urbanístico del suelo de Cantabria.</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xml:space="preserve">. Por escrito registrado en este Tribunal el 28 de enero de 2015, la Sala de lo Contencioso-Administrativo del Tribunal Superior de Justicia de Cantabria remitió testimonio del Auto de 14 de enero de 2015 por el que se acordó plantear cuestión de inconstitucionalidad en relación con el art. 65 </w:t>
      </w:r>
      <w:r w:rsidRPr="006B7292">
        <w:rPr>
          <w:i/>
        </w:rPr>
        <w:t>bis</w:t>
      </w:r>
      <w:r>
        <w:t>.1 de la Ley 2/2001, de 25 de junio, de ordenación territorial y del régimen urbanístico del suelo de Cantabria, añadido por el art. 1 de la Ley 4/2013, de 20 de junio, en cuanto dice “órdenes de demolición judiciales”, por posible vulneración de los arts. 24, 117.3 y 149.1.6 CE.</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de hecho del planteamiento de la presente cuestión de inconstitucionalidad son, sucintamente expuestos, los siguientes:</w:t>
      </w:r>
    </w:p>
    <w:p w:rsidR="006B7292" w:rsidRDefault="006B7292" w:rsidP="006B7292">
      <w:pPr>
        <w:pStyle w:val="TextoNormal"/>
      </w:pPr>
    </w:p>
    <w:p w:rsidR="006B7292" w:rsidRDefault="006B7292" w:rsidP="006B7292">
      <w:pPr>
        <w:pStyle w:val="TextoNormal"/>
      </w:pPr>
      <w:r>
        <w:t>a) Por Sentencia de 24 de julio de 2001, la Sala de lo Contencioso-Administrativo del Tribunal Superior de Justicia de Cantabria (confirmada por Sentencia del Tribunal Supremo de 9 de octubre de 2003) estimó el recurso contencioso-administrativo núm. 1749-1998 y declaró la nulidad de la resolución recurrida y la obligación del Ayuntamiento de Piélagos de demoler 21 viviendas en Liencres.</w:t>
      </w:r>
    </w:p>
    <w:p w:rsidR="006B7292" w:rsidRDefault="006B7292" w:rsidP="006B7292">
      <w:pPr>
        <w:pStyle w:val="TextoNormal"/>
      </w:pPr>
    </w:p>
    <w:p w:rsidR="006B7292" w:rsidRDefault="006B7292" w:rsidP="006B7292">
      <w:pPr>
        <w:pStyle w:val="TextoNormal"/>
      </w:pPr>
      <w:r>
        <w:t>b) La parte recurrente instó la ejecución de la referida Sentencia.</w:t>
      </w:r>
    </w:p>
    <w:p w:rsidR="006B7292" w:rsidRDefault="006B7292" w:rsidP="006B7292">
      <w:pPr>
        <w:pStyle w:val="TextoNormal"/>
      </w:pPr>
    </w:p>
    <w:p w:rsidR="006B7292" w:rsidRDefault="006B7292" w:rsidP="006B7292">
      <w:pPr>
        <w:pStyle w:val="TextoNormal"/>
      </w:pPr>
      <w:r>
        <w:t>c) El Ayuntamiento interpuso el 26 de septiembre de 2014 el incidente procesal previsto en el art. 105 de la Ley reguladora de la jurisdicción contencioso-administrativa (LJCA) solicitando que la Sala acordara la inejecutabilidad de la Sentencia recaída.</w:t>
      </w:r>
    </w:p>
    <w:p w:rsidR="006B7292" w:rsidRDefault="006B7292" w:rsidP="006B7292">
      <w:pPr>
        <w:pStyle w:val="TextoNormal"/>
      </w:pPr>
    </w:p>
    <w:p w:rsidR="006B7292" w:rsidRDefault="006B7292" w:rsidP="006B7292">
      <w:pPr>
        <w:pStyle w:val="TextoNormal"/>
      </w:pPr>
      <w:r>
        <w:t>d) Por providencia de 8 de octubre de 2014, se dio traslado a las partes personadas para que alegaran lo que a su derecho conviniera.</w:t>
      </w:r>
    </w:p>
    <w:p w:rsidR="006B7292" w:rsidRDefault="006B7292" w:rsidP="006B7292">
      <w:pPr>
        <w:pStyle w:val="TextoNormal"/>
      </w:pPr>
    </w:p>
    <w:p w:rsidR="006B7292" w:rsidRDefault="006B7292" w:rsidP="006B7292">
      <w:pPr>
        <w:pStyle w:val="TextoNormal"/>
      </w:pPr>
      <w:r>
        <w:t xml:space="preserve">e) A la vista de las alegaciones efectuadas por las partes la Sala de lo Contencioso-Administrativo del Tribunal Superior de Justicia, mediante providencia de 20 de noviembre de 2014, acordó en virtud del art. 35.2 de la Ley Orgánica del Tribunal Constitucional (LOTC), con suspensión del plazo para dictar resolución, oír a las partes por posible inconstitucionalidad de la normativa autonómica. En concreto, dudaba de la constitucionalidad del art. art. 65 </w:t>
      </w:r>
      <w:r w:rsidRPr="006B7292">
        <w:rPr>
          <w:i/>
        </w:rPr>
        <w:t>bis</w:t>
      </w:r>
      <w:r>
        <w:t>.1 de la Ley 2/2001, de 25 de junio, de ordenación territorial y del régimen urbanístico del suelo de Cantabria, añadido por el art. 1 de la Ley 4/2013, de 20 de junio, en la parte que se refiere a las órdenes de demolición judicial. Entendía que el inciso del precepto legal impugnado pudiera ser contrario a los arts. 24, 117.3 y 149.1.6 CE.</w:t>
      </w:r>
    </w:p>
    <w:p w:rsidR="006B7292" w:rsidRDefault="006B7292" w:rsidP="006B7292">
      <w:pPr>
        <w:pStyle w:val="TextoNormal"/>
      </w:pPr>
    </w:p>
    <w:p w:rsidR="006B7292" w:rsidRDefault="006B7292" w:rsidP="006B7292">
      <w:pPr>
        <w:pStyle w:val="TextoNormal"/>
      </w:pPr>
      <w:r>
        <w:t>f) Oídas las partes personadas en el proceso, la Sala de lo Contencioso-Administrativo del el Tribunal Superior de Justicia, mediante Auto de 14 de enero de 2015, acordó plantear cuestión de inconstitucionalidad sobre el precepto antes citado.</w:t>
      </w:r>
    </w:p>
    <w:p w:rsidR="006B7292" w:rsidRDefault="006B7292" w:rsidP="006B7292">
      <w:pPr>
        <w:pStyle w:val="TextoNormal"/>
      </w:pPr>
    </w:p>
    <w:p w:rsidR="006B7292" w:rsidRDefault="006B7292" w:rsidP="006B7292">
      <w:pPr>
        <w:pStyle w:val="TextoNormal"/>
      </w:pPr>
      <w:r w:rsidRPr="006B7292">
        <w:rPr>
          <w:rStyle w:val="NumeroAFNegritaCaracter"/>
        </w:rPr>
        <w:t>3</w:t>
      </w:r>
      <w:r>
        <w:t>. En cuanto al contenido del Auto de promoción importa destacar lo siguiente:</w:t>
      </w:r>
    </w:p>
    <w:p w:rsidR="006B7292" w:rsidRDefault="006B7292" w:rsidP="006B7292">
      <w:pPr>
        <w:pStyle w:val="TextoNormal"/>
      </w:pPr>
    </w:p>
    <w:p w:rsidR="006B7292" w:rsidRDefault="006B7292" w:rsidP="006B7292">
      <w:pPr>
        <w:pStyle w:val="TextoNormal"/>
      </w:pPr>
      <w:r>
        <w:t>Tras exponer que los hechos que han dado lugar al planteamiento de la cuestión y justificar que el precepto cuestionado, al ser la norma en la que se fundamenta el incidente por el que se solicita la suspensión de la ejecución de la Sentencia, es relevante para el fallo, entra a analizar las razones por las que duda de su constitucionalidad.</w:t>
      </w:r>
    </w:p>
    <w:p w:rsidR="006B7292" w:rsidRDefault="006B7292" w:rsidP="006B7292">
      <w:pPr>
        <w:pStyle w:val="TextoNormal"/>
      </w:pPr>
    </w:p>
    <w:p w:rsidR="006B7292" w:rsidRDefault="006B7292" w:rsidP="006B7292">
      <w:pPr>
        <w:pStyle w:val="TextoNormal"/>
      </w:pPr>
      <w:r>
        <w:t xml:space="preserve">Según se afirma en esta resolución el art. 65 </w:t>
      </w:r>
      <w:r w:rsidRPr="006B7292">
        <w:rPr>
          <w:i/>
        </w:rPr>
        <w:t>bis</w:t>
      </w:r>
      <w:r>
        <w:t>.1 de la Ley de ordenación territorial y del régimen urbanístico del suelo de Cantabria, en la parte que se refiere a las órdenes de demolición judiciales, puede ser lesivo del art. 149.1.6 CE, al derecho a la ejecución de Sentencias que garantiza el art. 24 CE y al art. 117.3 CE.</w:t>
      </w:r>
    </w:p>
    <w:p w:rsidR="006B7292" w:rsidRDefault="006B7292" w:rsidP="006B7292">
      <w:pPr>
        <w:pStyle w:val="TextoNormal"/>
      </w:pPr>
    </w:p>
    <w:p w:rsidR="006B7292" w:rsidRDefault="006B7292" w:rsidP="006B7292">
      <w:pPr>
        <w:pStyle w:val="TextoNormal"/>
      </w:pPr>
      <w:r>
        <w:t>La Sala sostiene, en primer lugar, que el referido precepto, al establecer que “durante el tiempo en el que estén vigentes las autorizaciones provisionales las edificaciones afectadas se mantendrán en la situación en la que se encuentren y les será de aplicación el régimen previsto para los edificios de fuera de ordenación”, está introduciendo una causa de suspensión de la ejecución de las sentencias que vulnera las competencias que el art. 149.1.6 CE atribuye al Estado en materia de legislación procesal.</w:t>
      </w:r>
    </w:p>
    <w:p w:rsidR="006B7292" w:rsidRDefault="006B7292" w:rsidP="006B7292">
      <w:pPr>
        <w:pStyle w:val="TextoNormal"/>
      </w:pPr>
    </w:p>
    <w:p w:rsidR="006B7292" w:rsidRDefault="006B7292" w:rsidP="006B7292">
      <w:pPr>
        <w:pStyle w:val="TextoNormal"/>
      </w:pPr>
      <w:r>
        <w:t>También considera que la autorización provisional que establece el precepto cuestionado, al impedir la demolición acordada en la Sentencia, es contraria al derecho a la ejecución de sentencias, derecho que forma parte del derecho fundamental a la tutela judicial efectiva (art. 24.1 CE), y puede lesionar el art 117.3 CE, ya que permite que la Administración pueda frustrar el cumplimiento del fallo de la sentencia.</w:t>
      </w:r>
    </w:p>
    <w:p w:rsidR="006B7292" w:rsidRDefault="006B7292" w:rsidP="006B7292">
      <w:pPr>
        <w:pStyle w:val="TextoNormal"/>
      </w:pPr>
    </w:p>
    <w:p w:rsidR="006B7292" w:rsidRDefault="006B7292" w:rsidP="006B7292">
      <w:pPr>
        <w:pStyle w:val="TextoNormal"/>
      </w:pPr>
      <w:r>
        <w:t>En el Auto de planteamiento se invoca la doctrina establecida en la STC 82/2014, de 28 de mayo, en la que se ha considerado contrario a la competencia estatal en materia de legislación procesal que el legislador autonómico establezca una causa de suspensión o aplazamiento de la ejecución de las sentencias que han de ejecutarse mediante el derribo de las edificaciones y ha apreciado también que, en la medida en que la efectividad de la demolición judicialmente acordada depende de que la Administración resuelva un procedimiento de responsabilidad patrimonial y, en su caso, abone la indemnización acordada al perjudicado, “la ejecución de la Sentencia termina por escapar del control judicial, único competente para hacer ejecutar lo juzgado a tenor de lo dispuesto en el art. 117.3 CE”.</w:t>
      </w:r>
    </w:p>
    <w:p w:rsidR="006B7292" w:rsidRDefault="006B7292" w:rsidP="006B7292">
      <w:pPr>
        <w:pStyle w:val="TextoNormal"/>
      </w:pPr>
    </w:p>
    <w:p w:rsidR="006B7292" w:rsidRDefault="006B7292" w:rsidP="006B7292">
      <w:pPr>
        <w:pStyle w:val="TextoNormal"/>
      </w:pPr>
      <w:r>
        <w:t xml:space="preserve">Las anteriores consideraciones llevan a la Sala a plantear cuestión de inconstitucionalidad en relación con el art. 65 </w:t>
      </w:r>
      <w:r w:rsidRPr="006B7292">
        <w:rPr>
          <w:i/>
        </w:rPr>
        <w:t>bis</w:t>
      </w:r>
      <w:r>
        <w:t>.1 de la Ley 2/2001, de 25 de junio, de ordenación territorial y régimen urbanístico, modificada por la Ley 4/2013, en la parte que se refiere a las órdenes de demolición judiciales.</w:t>
      </w:r>
    </w:p>
    <w:p w:rsidR="006B7292" w:rsidRDefault="006B7292" w:rsidP="006B7292">
      <w:pPr>
        <w:pStyle w:val="TextoNormal"/>
      </w:pPr>
    </w:p>
    <w:p w:rsidR="006B7292" w:rsidRDefault="006B7292" w:rsidP="006B7292">
      <w:pPr>
        <w:pStyle w:val="TextoNormal"/>
      </w:pPr>
      <w:r w:rsidRPr="006B7292">
        <w:rPr>
          <w:rStyle w:val="NumeroAFNegritaCaracter"/>
        </w:rPr>
        <w:t>4</w:t>
      </w:r>
      <w:r>
        <w:t>. Por providencia de 14 de abril de 2015, el Pleno, a propuesta de la Sección Segunda, acordó admitir a trámite la cuestión de inconstitucionalidad, deferir su conocimiento a la Sala Primera a la que por turno objetivo ha correspondido, y dar traslado de las actuaciones al Congreso de los Diputados y al Senado por conducto de sus Presidentes, al Gobierno por conducto del Ministro de Justicia, y al Fiscal General del Estado, así como al Gobierno y al Parlamento de Cantabria por conducto de sus Presidentes, al objeto de que, en el improrrogable plazo de quince días, pudieran personarse en el proceso y formular las alegaciones que estimasen convenientes. Asimismo se acordó comunicar la admisión al órgano judicial proponente a fin de que, de conformidad con el art. 35.3 LOTC, permaneciera suspendido el proceso judicial hasta que se resolviera la cuestión de inconstitucionalidad. En la misma providencia acordó el Tribunal publicar la incoación de la cuestión de inconstitucionalidad en el “Boletín Oficial del Estado” y en el “Boletín Oficial de Cantabria”.</w:t>
      </w:r>
    </w:p>
    <w:p w:rsidR="006B7292" w:rsidRDefault="006B7292" w:rsidP="006B7292">
      <w:pPr>
        <w:pStyle w:val="TextoNormal"/>
      </w:pPr>
    </w:p>
    <w:p w:rsidR="006B7292" w:rsidRDefault="006B7292" w:rsidP="006B7292">
      <w:pPr>
        <w:pStyle w:val="TextoNormal"/>
      </w:pPr>
      <w:r w:rsidRPr="006B7292">
        <w:rPr>
          <w:rStyle w:val="NumeroAFNegritaCaracter"/>
        </w:rPr>
        <w:t>5</w:t>
      </w:r>
      <w:r>
        <w:t>. El Presidente del Congreso de los Diputados, mediante escrito que tuvo entrada el 23 de abril de 2015, comunicó que la Mesa de la Cámara había acordado personarse en el proceso, ofreciendo su colaboración a los efectos del art. 88.1 LOTC. Lo mismo hizo el Presidente del Senado mediante escrito que tuvo entrada el 29 de abril de 2015.</w:t>
      </w:r>
    </w:p>
    <w:p w:rsidR="006B7292" w:rsidRDefault="006B7292" w:rsidP="006B7292">
      <w:pPr>
        <w:pStyle w:val="TextoNormal"/>
      </w:pPr>
    </w:p>
    <w:p w:rsidR="006B7292" w:rsidRDefault="006B7292" w:rsidP="006B7292">
      <w:pPr>
        <w:pStyle w:val="TextoNormal"/>
      </w:pPr>
      <w:r w:rsidRPr="006B7292">
        <w:rPr>
          <w:rStyle w:val="NumeroAFNegritaCaracter"/>
        </w:rPr>
        <w:t>6</w:t>
      </w:r>
      <w:r>
        <w:t>. El Abogado del Estado se persona y presenta alegaciones en escrito de 6 de mayo de 2015 solicitando la estimación de la cuestión de inconstitucionalidad presentada.</w:t>
      </w:r>
    </w:p>
    <w:p w:rsidR="006B7292" w:rsidRDefault="006B7292" w:rsidP="006B7292">
      <w:pPr>
        <w:pStyle w:val="TextoNormal"/>
      </w:pPr>
    </w:p>
    <w:p w:rsidR="006B7292" w:rsidRDefault="006B7292" w:rsidP="006B7292">
      <w:pPr>
        <w:pStyle w:val="TextoNormal"/>
      </w:pPr>
      <w:r>
        <w:t xml:space="preserve">Sostiene, en primer término, que la autorización provisional que prevé el art. 65 </w:t>
      </w:r>
      <w:r w:rsidRPr="006B7292">
        <w:rPr>
          <w:i/>
        </w:rPr>
        <w:t>bis</w:t>
      </w:r>
      <w:r>
        <w:t>.1 de la Ley cántabra 2/2001 no es una verdadera autorización por cuanto ni implica una actividad de auténtica verificación o comprobación de la conformidad de la construcción con el planeamiento urbanístico, ni crea una situación definitiva, sino interina, ni persigue un interés público, sino particular, quedando además la situación creada sometida a término (caducidad, revocación o sustitución por licencia definitiva). En su opinión, la regulación persigue una adaptación del planeamiento a las condiciones de la edificación.</w:t>
      </w:r>
    </w:p>
    <w:p w:rsidR="006B7292" w:rsidRDefault="006B7292" w:rsidP="006B7292">
      <w:pPr>
        <w:pStyle w:val="TextoNormal"/>
      </w:pPr>
    </w:p>
    <w:p w:rsidR="006B7292" w:rsidRDefault="006B7292" w:rsidP="006B7292">
      <w:pPr>
        <w:pStyle w:val="TextoNormal"/>
      </w:pPr>
      <w:r>
        <w:t xml:space="preserve">Afirma, en segundo lugar, que el art. 65 </w:t>
      </w:r>
      <w:r w:rsidRPr="006B7292">
        <w:rPr>
          <w:i/>
        </w:rPr>
        <w:t>bis</w:t>
      </w:r>
      <w:r>
        <w:t>.1 en el inciso referido a las demoliciones judiciales, vulnera el derecho a la tutela judicial efectiva en su vertiente de derecho a la ejecución de las sentencias en sus propios términos. Señala, a estos efectos, que de acuerdo con la doctrina constitucional (SSTC 4/1988, 153/1992 y 73/2000), son contrarias al art. 24.1 en relación con los arts. 117.3 y 118 CE, las previsiones normativas que sacrifican, de forma desproporcionada, el pronunciamiento contenido en el fallo de una resolución judicial firme, de modo que de forma patente o manifiesta no exista la debida proporción entre el interés encarnado en la Ley y el concreto interés tutelado por el fallo a ejecutar, es decir, la debida proporción entre la finalidad perseguida y el sacrificio impuesto.</w:t>
      </w:r>
    </w:p>
    <w:p w:rsidR="006B7292" w:rsidRDefault="006B7292" w:rsidP="006B7292">
      <w:pPr>
        <w:pStyle w:val="TextoNormal"/>
      </w:pPr>
    </w:p>
    <w:p w:rsidR="006B7292" w:rsidRDefault="006B7292" w:rsidP="006B7292">
      <w:pPr>
        <w:pStyle w:val="TextoNormal"/>
      </w:pPr>
      <w:r>
        <w:t xml:space="preserve">Analizado el presente caso conforme a estos parámetros, el Abogado del Estado afirma que ni la ley ni la defensa que de ella hace la Comunidad Autónoma ponderan debidamente los intereses en juego, sin que se advierta por qué razón el interés en conservar las edificaciones declaradas ilegales se antepone a la ejecución de las resoluciones judiciales firmes y llega a la conclusión de que, en realidad, la previsión del art. 65 </w:t>
      </w:r>
      <w:r w:rsidRPr="006B7292">
        <w:rPr>
          <w:i/>
        </w:rPr>
        <w:t>bis</w:t>
      </w:r>
      <w:r>
        <w:t>.1 genera un sacrificio injustificado de la intangibilidad y de la debida ejecución del fallo por un título que no constituye sino una situación interina no apta para enervar la fuerza de una sentencia judicial firme.</w:t>
      </w:r>
    </w:p>
    <w:p w:rsidR="006B7292" w:rsidRDefault="006B7292" w:rsidP="006B7292">
      <w:pPr>
        <w:pStyle w:val="TextoNormal"/>
      </w:pPr>
    </w:p>
    <w:p w:rsidR="006B7292" w:rsidRDefault="006B7292" w:rsidP="006B7292">
      <w:pPr>
        <w:pStyle w:val="TextoNormal"/>
      </w:pPr>
      <w:r>
        <w:t>En tercer lugar, argumenta que la regulación autonómica invade la competencia exclusiva del Estado en materia de legislación procesal por cuanto ésta abarca la regulación de la ejecución de las resoluciones judiciales. Y ello sin que, por otra parte, pueda considerarse que se trata de una norma especial que deriva de las particularidades del derecho sustantivo de la Comunidad Autónoma de Cantabria.</w:t>
      </w:r>
    </w:p>
    <w:p w:rsidR="006B7292" w:rsidRDefault="006B7292" w:rsidP="006B7292">
      <w:pPr>
        <w:pStyle w:val="TextoNormal"/>
      </w:pPr>
    </w:p>
    <w:p w:rsidR="006B7292" w:rsidRDefault="006B7292" w:rsidP="006B7292">
      <w:pPr>
        <w:pStyle w:val="TextoNormal"/>
      </w:pPr>
      <w:r>
        <w:t>Por último, sostiene que la norma cuestionada invade la exclusividad de la potestad jurisdiccional consagrada en el art. 117.3 CE al quebrar el régimen uniforme de ejecución de las sentencias contencioso-administrativas reconociendo la facultad de interferir en la ejecución de un pronunciamiento de una sentencia contencioso-administrativa firme mediante una autorización que se opone y contradice el pronunciamiento jurisdiccional supeditando el ejercicio de la potestad judicial de ejecutar (art. 117.3 CE), la obligación de cumplir las sentencias firmes (art. 118 CE) y el derecho fundamental a la ejecución (art. 24 CE), a la concesión de una autorización provisional a la obra cuya demolición ordenó la jurisdicción.</w:t>
      </w:r>
    </w:p>
    <w:p w:rsidR="006B7292" w:rsidRDefault="006B7292" w:rsidP="006B7292">
      <w:pPr>
        <w:pStyle w:val="TextoNormal"/>
      </w:pPr>
    </w:p>
    <w:p w:rsidR="006B7292" w:rsidRDefault="006B7292" w:rsidP="006B7292">
      <w:pPr>
        <w:pStyle w:val="TextoNormal"/>
      </w:pPr>
      <w:r w:rsidRPr="006B7292">
        <w:rPr>
          <w:rStyle w:val="NumeroAFNegritaCaracter"/>
        </w:rPr>
        <w:t>7</w:t>
      </w:r>
      <w:r>
        <w:t>. La representación procesal del Ayuntamiento de Piélagos comparece en el proceso por escrito registrado el día 7 de mayo de 2015.</w:t>
      </w:r>
    </w:p>
    <w:p w:rsidR="006B7292" w:rsidRDefault="006B7292" w:rsidP="006B7292">
      <w:pPr>
        <w:pStyle w:val="TextoNormal"/>
      </w:pPr>
    </w:p>
    <w:p w:rsidR="006B7292" w:rsidRDefault="006B7292" w:rsidP="006B7292">
      <w:pPr>
        <w:pStyle w:val="TextoNormal"/>
      </w:pPr>
      <w:r w:rsidRPr="006B7292">
        <w:rPr>
          <w:rStyle w:val="NumeroAFNegritaCaracter"/>
        </w:rPr>
        <w:t>8</w:t>
      </w:r>
      <w:r>
        <w:t>. El Letrado del Parlamento de Cantabria presenta su escrito de alegaciones el 12 de mayo de 2015 en el que, en primer término, pone en entredicho que el planteamiento de la cuestión cumpla con el juicio de aplicabilidad y relevancia, pues, en su opinión, el contenido del fallo del litigio no ha de variar con independencia de si se declara o no inconstitucional la ley, ya que, en cualquier caso se va a restablecer la legalidad, pues la Ley del Parlamento de Cantabria persigue el restablecimiento evitando que se proceda a la demolición cuando se ha producido la modificación posterior del planeamiento de forma que lo construido se adecua ahora a él.</w:t>
      </w:r>
    </w:p>
    <w:p w:rsidR="006B7292" w:rsidRDefault="006B7292" w:rsidP="006B7292">
      <w:pPr>
        <w:pStyle w:val="TextoNormal"/>
      </w:pPr>
    </w:p>
    <w:p w:rsidR="006B7292" w:rsidRDefault="006B7292" w:rsidP="006B7292">
      <w:pPr>
        <w:pStyle w:val="TextoNormal"/>
      </w:pPr>
      <w:r>
        <w:t>Rechaza, en segundo lugar, que la Ley esté realmente previendo una suspensión de la ejecución de un fallo, pues considera que no interfiere en la legislación procesal ni en la resolución o ejecución del proceso, sino que se limita a prever una medida de restitución de la legalidad urbanística. La regulación tiene, además, a su juicio, amparo en las competencias que el Estatuto atribuye a la Comunidad Autónoma de Cantabria en materia de “organización, régimen y funcionamiento de sus instituciones de autogobierno” (art. 24.1 del Estatuto de Autonomía de Cantabria: EACant), “urbanismo y vivienda” (art. 24.3 EACant) y “procedimiento administrativo derivado de las especialidades de la organización propia” (art. 24.32 EACant).</w:t>
      </w:r>
    </w:p>
    <w:p w:rsidR="006B7292" w:rsidRDefault="006B7292" w:rsidP="006B7292">
      <w:pPr>
        <w:pStyle w:val="TextoNormal"/>
      </w:pPr>
    </w:p>
    <w:p w:rsidR="006B7292" w:rsidRDefault="006B7292" w:rsidP="006B7292">
      <w:pPr>
        <w:pStyle w:val="TextoNormal"/>
      </w:pPr>
      <w:r>
        <w:t>Defiende el Letrado del Parlamento de Cantabria que las autorizaciones provisionales no son legislación procesal, sino legislación urbanística, pues “la previsión y regulación de las “autorizaciones provisionales” es una clara manifestación de la gestión de los instrumentos planificadores y de la disciplina urbanística, como potestades que integran la materia urbanismo y que el Estatuto de Autonomía para Cantabria atribuye a la Comunidad Autónoma”. Y añade que “la ejecución de la sentencia también se produce cuando se adecua lo construido al planeamiento, sin que se suspenda el procedimiento judicial”.</w:t>
      </w:r>
    </w:p>
    <w:p w:rsidR="006B7292" w:rsidRDefault="006B7292" w:rsidP="006B7292">
      <w:pPr>
        <w:pStyle w:val="TextoNormal"/>
      </w:pPr>
    </w:p>
    <w:p w:rsidR="006B7292" w:rsidRDefault="006B7292" w:rsidP="006B7292">
      <w:pPr>
        <w:pStyle w:val="TextoNormal"/>
      </w:pPr>
      <w:r w:rsidRPr="006B7292">
        <w:rPr>
          <w:rStyle w:val="NumeroAFNegritaCaracter"/>
        </w:rPr>
        <w:t>9</w:t>
      </w:r>
      <w:r>
        <w:t>. Por diligencia de ordenación de la Secretaría del Pleno de 18 de mayo de 2015 se acordó unir a las actuaciones el escrito presentado por la representación procesal del Ayuntamiento de Piélagos, tenerla por personada y parte en el presente procedimiento así como otorgarle un plazo de quince días para que formule alegaciones.</w:t>
      </w:r>
    </w:p>
    <w:p w:rsidR="006B7292" w:rsidRDefault="006B7292" w:rsidP="006B7292">
      <w:pPr>
        <w:pStyle w:val="TextoNormal"/>
      </w:pPr>
    </w:p>
    <w:p w:rsidR="006B7292" w:rsidRDefault="006B7292" w:rsidP="006B7292">
      <w:pPr>
        <w:pStyle w:val="TextoNormal"/>
      </w:pPr>
      <w:r w:rsidRPr="006B7292">
        <w:rPr>
          <w:rStyle w:val="NumeroAFNegritaCaracter"/>
        </w:rPr>
        <w:t>10</w:t>
      </w:r>
      <w:r>
        <w:t>. El Gobierno de Cantabria formuló sus alegaciones por escrito registrado el 19 de mayo de 2015.</w:t>
      </w:r>
    </w:p>
    <w:p w:rsidR="006B7292" w:rsidRDefault="006B7292" w:rsidP="006B7292">
      <w:pPr>
        <w:pStyle w:val="TextoNormal"/>
      </w:pPr>
    </w:p>
    <w:p w:rsidR="006B7292" w:rsidRDefault="006B7292" w:rsidP="006B7292">
      <w:pPr>
        <w:pStyle w:val="TextoNormal"/>
      </w:pPr>
      <w:r>
        <w:t xml:space="preserve">Expone los antecedentes del caso y sostiene que la autorización provisional que se regula en el art. 65 </w:t>
      </w:r>
      <w:r w:rsidRPr="006B7292">
        <w:rPr>
          <w:i/>
        </w:rPr>
        <w:t>bis</w:t>
      </w:r>
      <w:r>
        <w:t xml:space="preserve">.1 de la Ley 2/2001 es una nueva figura jurídica dirigida a conferir mayor eficacia a los planeamientos en tramitación mediante la anticipación parcial de sus efectos, con el fin de evitar causar perjuicios irreparables a los intereses de los particulares y al propio interés público. De esta forma, explica el Gobierno de Cantabria, se trata de una figura vinculada por un lado al planeamiento urbanístico, puesto que supone dar eficacia anticipada al planeamiento en tramitación, y, por otra, a la disciplina urbanística, por cuanto implica que no toda infracción de la legalidad ha de llevar aparejada la demolición de forma irremediable, especialmente cuando no se trata de zonas protegidas por alguna razón (costas, espacios naturales, bienes de interés cultural…). Es decir, en su opinión, se trata de una regulación basada en el principio de proporcionalidad que trata de conjugar el equilibrio justo entre la garantía de los intereses públicos y el mantenimiento del </w:t>
      </w:r>
      <w:r w:rsidRPr="006B7292">
        <w:rPr>
          <w:i/>
        </w:rPr>
        <w:t>ius aedificandi</w:t>
      </w:r>
      <w:r>
        <w:t xml:space="preserve"> cuando ello es posible. No se aplica, dirá, indiscriminadamente a cualesquiera edificaciones o construcciones preexistentes, pues el “plan de derribos” de 2011 contempla en muchos casos la demolición como única vía para ejecutar las sentencias, mientras que el art. 65 bis.1 lo que regula es aquellos supuestos en que por medio de una ordenación que atienda al interés público sea posible legalizar la obra o edificación anteriormente ilegal.</w:t>
      </w:r>
    </w:p>
    <w:p w:rsidR="006B7292" w:rsidRDefault="006B7292" w:rsidP="006B7292">
      <w:pPr>
        <w:pStyle w:val="TextoNormal"/>
      </w:pPr>
    </w:p>
    <w:p w:rsidR="006B7292" w:rsidRDefault="006B7292" w:rsidP="006B7292">
      <w:pPr>
        <w:pStyle w:val="TextoNormal"/>
      </w:pPr>
      <w:r>
        <w:t xml:space="preserve">Destaca que el art. 65 </w:t>
      </w:r>
      <w:r w:rsidRPr="006B7292">
        <w:rPr>
          <w:i/>
        </w:rPr>
        <w:t>bis</w:t>
      </w:r>
      <w:r>
        <w:t xml:space="preserve">.1 no concede ni otorga directamente autorización provisional alguna, sino que es una norma de carácter general que regula la posibilidad de otorgar autorizaciones provisionales. Por tanto, sostiene que el art. 65 </w:t>
      </w:r>
      <w:r w:rsidRPr="006B7292">
        <w:rPr>
          <w:i/>
        </w:rPr>
        <w:t>bis</w:t>
      </w:r>
      <w:r>
        <w:t>.1 precisa de posteriores actos administrativos aplicativos y que serán las concretas autorizaciones provisionales que se otorguen al amparo de la norma las que puedan llegar a determinar, en su caso y si se dan los requisitos legalmente establecidos en la Ley reguladora de la jurisdicción contencioso-administrativa, la imposibilidad legal de proceder a la ejecución de una resolución judicial firme. En consecuencia, mantiene que esos actos administrativos concretos, esas autorizaciones provisionales que se otorguen en cada caso, sí son controlables y fiscalizables por los propios juzgados y tribunales contencioso-administrativos encargados de ejecutar las sentencias.</w:t>
      </w:r>
    </w:p>
    <w:p w:rsidR="006B7292" w:rsidRDefault="006B7292" w:rsidP="006B7292">
      <w:pPr>
        <w:pStyle w:val="TextoNormal"/>
      </w:pPr>
    </w:p>
    <w:p w:rsidR="006B7292" w:rsidRDefault="006B7292" w:rsidP="006B7292">
      <w:pPr>
        <w:pStyle w:val="TextoNormal"/>
      </w:pPr>
      <w:r>
        <w:t xml:space="preserve">Por último, considera que el art. 65 </w:t>
      </w:r>
      <w:r w:rsidRPr="006B7292">
        <w:rPr>
          <w:i/>
        </w:rPr>
        <w:t>bis</w:t>
      </w:r>
      <w:r>
        <w:t xml:space="preserve">.1 no constituye, en ningún caso, norma de carácter procesal o que altere la legislación procesal o introduzca una causa de suspensión del procedimiento de ejecución judicial no previsto en la Ley reguladora de la jurisdicción contencioso-administrativa, pues entiende que es una norma sustantiva, urbanística, que regula una nueva figura o instrucción del derecho urbanístico autonómico “dirigida a conferir a los planeamientos en tramitación (mediante la anticipación parcial de sus efectos), con el fin último de evitar la causación de perjuicios irreparables a los propietarios de construcciones y, en muchos casos, al propio interés público”. En cualquier caso, estima que la pretendida suspensión de la ejecución procesal no nace o se deriva directamente de la Ley del Parlamento de Cantabria 4/2013, no es efecto inmediato y necesario de la aprobación y vigencia de la norma —artículo 65 </w:t>
      </w:r>
      <w:r w:rsidRPr="006B7292">
        <w:rPr>
          <w:i/>
        </w:rPr>
        <w:t>bis</w:t>
      </w:r>
      <w:r>
        <w:t>—, por lo que el vicio de inconstitucionalidad que se le imputa decae automáticamente. Lo que afecta a la ejecución de la sentencia, en su opinión, es, en su caso, la concreta autorización provisional que se otorgue por el ayuntamiento si se cumplen los requisitos necesarios para ello.</w:t>
      </w:r>
    </w:p>
    <w:p w:rsidR="006B7292" w:rsidRDefault="006B7292" w:rsidP="006B7292">
      <w:pPr>
        <w:pStyle w:val="TextoNormal"/>
      </w:pPr>
    </w:p>
    <w:p w:rsidR="006B7292" w:rsidRDefault="006B7292" w:rsidP="006B7292">
      <w:pPr>
        <w:pStyle w:val="TextoNormal"/>
      </w:pPr>
      <w:r>
        <w:t xml:space="preserve">Afirma que el Tribunal deberá tener en cuenta en la fase de ejecución de la Sentencia la existencia de la autorización provisional y la posibilidad de que la misma constituya una causa de imposibilidad legal de ejecución, pero podrá controlar o incluso anular la autorización provisional de conformidad con lo dispuesto en el art. 103.4 LJCA. Es decir, el hecho de que la autorización provisional se haya otorgado de conformidad con el art. 65 bis no impide el control que el Tribunal puede y debe realizar </w:t>
      </w:r>
      <w:r w:rsidRPr="006B7292">
        <w:rPr>
          <w:i/>
        </w:rPr>
        <w:t>ex</w:t>
      </w:r>
      <w:r>
        <w:t xml:space="preserve"> art. 103.4 LJCA, esto es el examen de si la modificación del planeamiento tiene o no la única finalidad de convertir lo ilegal en legal sino la de atender racionalmente el interés público urbanístico.</w:t>
      </w:r>
    </w:p>
    <w:p w:rsidR="006B7292" w:rsidRDefault="006B7292" w:rsidP="006B7292">
      <w:pPr>
        <w:pStyle w:val="TextoNormal"/>
      </w:pPr>
    </w:p>
    <w:p w:rsidR="006B7292" w:rsidRDefault="006B7292" w:rsidP="006B7292">
      <w:pPr>
        <w:pStyle w:val="TextoNormal"/>
      </w:pPr>
      <w:r>
        <w:t>A diferencia del caso de la STC 92/2013, en el presente caso el Gobierno de Cantabria defiende que la Ley 4/2013 no incide per se de forma directa en la ejecución, sino que será, en su caso, la correspondiente autorización provisional la que lo haga y la misma estará sujeta al control jurisdiccional. Rechaza el Gobierno de Cantabria que la regulación resulte contraria al derecho a la tutela judicial efectiva pues el derecho a la ejecución de la sentencia en sus propios términos “no impide que en determinados supuestos ésta devenga legal o materialmente imposible, lo cual habrá de apreciarse por el órgano judicial en resolución motivada, pues el cumplimiento o ejecución de las Sentencias depende de las características de cada proceso y del contenido del fallo”, tal y como ha reconocido el Tribunal Constitucional (STC 73/2000, de 14 de marzo).</w:t>
      </w:r>
    </w:p>
    <w:p w:rsidR="006B7292" w:rsidRDefault="006B7292" w:rsidP="006B7292">
      <w:pPr>
        <w:pStyle w:val="TextoNormal"/>
      </w:pPr>
    </w:p>
    <w:p w:rsidR="006B7292" w:rsidRDefault="006B7292" w:rsidP="006B7292">
      <w:pPr>
        <w:pStyle w:val="TextoNormal"/>
      </w:pPr>
      <w:r>
        <w:t>Y, por último, afirma también que, en todo caso, no se sacrifica de forma desproporcionada el pronunciamiento contenido en el fallo. En primer lugar, señala que las autorizaciones provisionales tienen una vigencia máxima de cuatro años de duración que es un plazo razonable que no sacrifica indefinidamente el contenido del fallo. En segundo lugar, destaca que la finalidad es evitar la causación de perjuicios irreparables no solo a los propietarios de las viviendas, sino también y principalmente al interés público, dados los enormes costes que tendrían para las arcas públicas, no sólo locales sino también autonómicas, la demolición de las viviendas con orden de derribo y la indemnización a todos los propietarios. Señala que el cálculo estimado que todo ello tendría para la hacienda de la Comunidad Autónoma se fija en torno a unos 300.000.000 €. Y, en tercer lugar, defiende que además no se sacrifica de forma desproporcionada el interés del restablecimiento de la legalidad urbanística que subyace en el fallo de la Sentencia, pues estas autorizaciones solo se otorgan a aquellas edificaciones o construcciones preexistentes que resulten compatibles con la nueva ordenación urbanística contenida en el planeamiento en tramitación persiguiendo precisamente el restablecimiento de la legalidad urbanística.</w:t>
      </w:r>
    </w:p>
    <w:p w:rsidR="006B7292" w:rsidRDefault="006B7292" w:rsidP="006B7292">
      <w:pPr>
        <w:pStyle w:val="TextoNormal"/>
      </w:pPr>
    </w:p>
    <w:p w:rsidR="006B7292" w:rsidRDefault="006B7292" w:rsidP="006B7292">
      <w:pPr>
        <w:pStyle w:val="TextoNormal"/>
      </w:pPr>
      <w:r w:rsidRPr="006B7292">
        <w:rPr>
          <w:rStyle w:val="NumeroAFNegritaCaracter"/>
        </w:rPr>
        <w:t>11</w:t>
      </w:r>
      <w:r>
        <w:t>. El Ayuntamiento de Piélagos formuló sus alegaciones mediante escrito registrado el día 21 de mayo de 2015 en el que interesa la desestimación de la cuestión por considerar que la norma autonómica discutida no afecta a la legislación procesal, pues se trata de una norma sustantiva de carácter urbanístico que es reflejo de los supuestos de inejecución de sentencia previstos en la legislación reguladora de la jurisdicción contencioso-administrativa.</w:t>
      </w:r>
    </w:p>
    <w:p w:rsidR="006B7292" w:rsidRDefault="006B7292" w:rsidP="006B7292">
      <w:pPr>
        <w:pStyle w:val="TextoNormal"/>
      </w:pPr>
    </w:p>
    <w:p w:rsidR="006B7292" w:rsidRDefault="006B7292" w:rsidP="006B7292">
      <w:pPr>
        <w:pStyle w:val="TextoNormal"/>
      </w:pPr>
      <w:r w:rsidRPr="006B7292">
        <w:rPr>
          <w:rStyle w:val="NumeroAFNegritaCaracter"/>
        </w:rPr>
        <w:t>12</w:t>
      </w:r>
      <w:r>
        <w:t>. La Fiscal General del Estado comparece mediante escrito registrado el 27 de mayo de 2015 y formula sus alegaciones que apoyan el criterio de la Sala. Estima la Fiscal General del Estado que la norma cuestionada afecta, por un lado, al orden constitucional de distribución de competencias entre el Estado y la Comunidad Autónoma de Cantabria (art. 149.1.6 CE) y, por otro lado, al derecho fundamental a la ejecución de las sentencias en sus propios términos y a la garantía constitucional de integridad jurisdiccional de los jueces y tribunales (arts. 24 y 117.3 CE).</w:t>
      </w:r>
    </w:p>
    <w:p w:rsidR="006B7292" w:rsidRDefault="006B7292" w:rsidP="006B7292">
      <w:pPr>
        <w:pStyle w:val="TextoNormal"/>
      </w:pPr>
    </w:p>
    <w:p w:rsidR="006B7292" w:rsidRDefault="006B7292" w:rsidP="006B7292">
      <w:pPr>
        <w:pStyle w:val="TextoNormal"/>
      </w:pPr>
      <w:r>
        <w:t>En relación con el problema competencial, la Fiscal General del Estado pone de manifiesto que, a diferencia de otros Estatutos de Autonomía, el de Cantabria no contempla que el legislador autonómico pueda regular materia procesal. Por otra parte, en relación con el art. 117.3 CE afirma que la norma cuestionada incide en la regulación de la ejecución de sentencias al introducir un trámite ajeno a la propia ejecución de la Sentencia y que aunque sólo paraliza ésta temporalmente en el fondo lo que pretende es legalizar las edificaciones que han de ser derribadas, puesto que “es fácilmente comprensible que en el nuevo planeamiento municipal que se redacte las determinaciones urbanísticas de las parcelas en que se encuentran levantadas las edificaciones declaradas ilegales coincidirán casi al pie de la letra con la realidad de lo edificado, de modo que posteriormente no existirá dificultad alguna para que tales edificaciones obtengan una nueva licencia de obra, con la consiguiente anulación de los efectos de la declaración de ilegalidad efectuada por los Tribunales”.</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 xml:space="preserve">Único. La presente cuestión de inconstitucionalidad ha sido promovida por la Sala de lo Contencioso-Administrativo del Tribunal Superior de Justicia de Cantabria en relación con el art. 65 </w:t>
      </w:r>
      <w:r w:rsidRPr="006B7292">
        <w:rPr>
          <w:i/>
        </w:rPr>
        <w:t>bis</w:t>
      </w:r>
      <w:r>
        <w:t>.1 de la Ley 2/2001, de 25 de junio, de ordenación territorial y del régimen urbanístico del suelo de Cantabria, introducido por la Ley 4/2013, de 20 de junio, en la parte del mismo que se refiere a las órdenes de demolición judiciales.</w:t>
      </w:r>
    </w:p>
    <w:p w:rsidR="006B7292" w:rsidRDefault="006B7292" w:rsidP="006B7292">
      <w:pPr>
        <w:pStyle w:val="TextoNormal"/>
      </w:pPr>
    </w:p>
    <w:p w:rsidR="006B7292" w:rsidRDefault="006B7292" w:rsidP="006B7292">
      <w:pPr>
        <w:pStyle w:val="TextoNormal"/>
      </w:pPr>
      <w:r>
        <w:t>El precepto dispone que “iniciado el procedimiento dirigido a la formación, modificación o revisión de los planes urbanísticos y demás instrumentos de planeamiento, y para impedir que se generen perjuicios irreparables al interés público o a los propietarios de edificaciones o actuaciones que, habiendo sido previamente declaradas ilegales y sobre las que hubiesen recaído órdenes de demolición administrativas o judiciales, puedan resultar conformes con la nueva ordenación que se está tramitando, el órgano municipal competente para aprobar inicialmente el plan podrá otorgar, de oficio o a instancia de los interesados, autorizaciones provisionales que afecten a dichas edificaciones o actuaciones preexistentes, previa comprobación de que resultan conformes con el nuevo planeamiento municipal en tramitación. Si el procedimiento se inicia a solicitud del interesado, transcurrido el plazo de tres meses sin haberse notificado resolución alguna podrá entender desestimada su petición”.</w:t>
      </w:r>
    </w:p>
    <w:p w:rsidR="006B7292" w:rsidRDefault="006B7292" w:rsidP="006B7292">
      <w:pPr>
        <w:pStyle w:val="TextoNormal"/>
      </w:pPr>
    </w:p>
    <w:p w:rsidR="006B7292" w:rsidRDefault="006B7292" w:rsidP="006B7292">
      <w:pPr>
        <w:pStyle w:val="TextoNormal"/>
      </w:pPr>
      <w:r>
        <w:t>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 y 117.3 CE que consagran, respectivamente, el derecho a la tutela judicial efectiva y, por tanto, también, su vertiente de derecho a la ejecución de sentencias, y la potestad exclusiva de jueces y tribunales para ejecutar lo juzgado.</w:t>
      </w:r>
    </w:p>
    <w:p w:rsidR="006B7292" w:rsidRDefault="006B7292" w:rsidP="006B7292">
      <w:pPr>
        <w:pStyle w:val="TextoNormal"/>
      </w:pPr>
    </w:p>
    <w:p w:rsidR="006B7292" w:rsidRDefault="006B7292" w:rsidP="006B7292">
      <w:pPr>
        <w:pStyle w:val="TextoNormal"/>
      </w:pPr>
      <w:r>
        <w:t xml:space="preserve">Este Tribunal, en su reciente STC 254/2015, de 30 de noviembre, estimatoria de la cuestión de inconstitucionalidad núm. 6860-2014, dictada con posterioridad a que la presente cuestión fuera admitida a trámite, ha declarado inconstitucional y nulo el inciso “o judiciales” del artículo 65 </w:t>
      </w:r>
      <w:r w:rsidRPr="006B7292">
        <w:rPr>
          <w:i/>
        </w:rPr>
        <w:t>bis</w:t>
      </w:r>
      <w:r>
        <w:t>.1 de la Ley 2/2001, de 25 de junio, de ordenación territorial y de régimen urbanístico del suelo de Cantabria, introducido por la Ley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w:t>
      </w:r>
    </w:p>
    <w:p w:rsidR="006B7292" w:rsidRDefault="006B7292" w:rsidP="006B7292">
      <w:pPr>
        <w:pStyle w:val="TextoNormal"/>
      </w:pPr>
    </w:p>
    <w:p w:rsidR="006B7292" w:rsidRDefault="006B7292" w:rsidP="006B7292">
      <w:pPr>
        <w:pStyle w:val="TextoNormal"/>
      </w:pPr>
      <w:r>
        <w:t>Se sigue de ello que el referido inciso ha sido expulsado del ordenamiento, una vez anulado por inconstitucional, lo que impone ahora apreciar, conforme a reiterada doctrina de este Tribunal (por todos, ATC 28/2015, de 16 de febrero, FJ único), la desaparición sobrevenida del objeto de la presente cuestión, al haber quedado disipada la duda de constitucionalidad planteada por el órgano judicial.</w:t>
      </w:r>
    </w:p>
    <w:p w:rsidR="006B7292" w:rsidRDefault="006B7292" w:rsidP="006B7292">
      <w:pPr>
        <w:pStyle w:val="TextoNormal"/>
      </w:pPr>
    </w:p>
    <w:p w:rsidR="006B7292" w:rsidRDefault="006B7292" w:rsidP="006B7292">
      <w:pPr>
        <w:pStyle w:val="TextoNormal"/>
      </w:pPr>
      <w:r>
        <w:t>Por todo lo expuesto, la Sala</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Declarar la extinción de la cuestión de inconstitucionalidad núm. 504-2015, por desaparición sobrevenida de su objeto.</w:t>
      </w:r>
    </w:p>
    <w:p w:rsidR="006B7292" w:rsidRDefault="006B7292" w:rsidP="006B7292">
      <w:pPr>
        <w:pStyle w:val="TextoNormal"/>
      </w:pPr>
    </w:p>
    <w:p w:rsidR="006B7292" w:rsidRDefault="006B7292" w:rsidP="006B7292">
      <w:pPr>
        <w:pStyle w:val="TextoNormal"/>
      </w:pPr>
      <w:r>
        <w:t>Madrid, a catorce de diciembre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26" w:name="AUTO_2015_212"/>
      <w:r>
        <w:t>AUTO 212/2015, de 14 de diciembre de 2015</w:t>
      </w:r>
    </w:p>
    <w:bookmarkEnd w:id="226"/>
    <w:p w:rsidR="006B7292" w:rsidRDefault="006B7292" w:rsidP="006B7292">
      <w:pPr>
        <w:pStyle w:val="TtuloResolucin"/>
      </w:pPr>
      <w:r>
        <w:t>Sala Segunda</w:t>
      </w:r>
    </w:p>
    <w:p w:rsidR="006B7292" w:rsidRDefault="006B7292" w:rsidP="006B7292">
      <w:pPr>
        <w:pStyle w:val="TextoNormalCentrado"/>
      </w:pPr>
      <w:r>
        <w:t>ECLI:ES:TC:2015:212A</w:t>
      </w:r>
    </w:p>
    <w:p w:rsidR="006B7292" w:rsidRDefault="006B7292" w:rsidP="006B7292">
      <w:pPr>
        <w:pStyle w:val="TextoNormalCentrado"/>
      </w:pPr>
    </w:p>
    <w:p w:rsidR="006B7292" w:rsidRDefault="006B7292" w:rsidP="006B7292">
      <w:pPr>
        <w:pStyle w:val="SntesisDescriptiva"/>
      </w:pPr>
      <w:r>
        <w:t>Excms. Srs. doña Adela Asua Batarrita, don Fernando Valdés Dal-Ré, don Juan José González Rivas,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Deniega la suspensión en el recurso de amparo 582-2015, promovido por el Ayuntamiento de Toledo en proceso contencioso-administrativo.</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día 30 de enero de 2015 tuvo entrada en el Registro General de este Tribunal Constitucional, un escrito del Procurador de los Tribunales don Alberto Collado Martín, en nombre y representación del Ayuntamiento de Toledo, por el que interponía recurso de amparo contra las siguientes resoluciones: (i) la Sentencia de la Sección Primera de la Sala de lo Contencioso-Administrativo del Tribunal Superior de Justicia de Castilla La Mancha, de 15 de diciembre del 2011, estimatoria de recurso contencioso-administrativo interpuesto contra la entidad aquí recurrente; (ii) el Auto de la Sección Primera de la Sala de lo Contencioso-Administrativo del Tribunal Supremo, de 3 de abril de 2014, que declaró la pérdida sobrevenida del objeto del recurso de casación interpuesto contra dicha Sentencia; y (iii) el Auto de 13 de noviembre de 2014, de la misma Sala y Sección del Tribunal Supremo, que desestimó el incidente de nulidad de actuaciones promovido contra el citado Auto de 3 de abril. La demanda les atribuye la vulneración de los derechos a la tutela judicial efectiva (art. 24.1 CE) y a un proceso con todas las garantías (art. 24.2 CE), por exceso de jurisdicción.</w:t>
      </w:r>
    </w:p>
    <w:p w:rsidR="006B7292" w:rsidRDefault="006B7292" w:rsidP="006B7292">
      <w:pPr>
        <w:pStyle w:val="TextoNormal"/>
      </w:pPr>
    </w:p>
    <w:p w:rsidR="006B7292" w:rsidRDefault="006B7292" w:rsidP="006B7292">
      <w:pPr>
        <w:pStyle w:val="TextoNormal"/>
      </w:pPr>
      <w:r w:rsidRPr="006B7292">
        <w:rPr>
          <w:rStyle w:val="NumeroAFNegritaCaracter"/>
        </w:rPr>
        <w:t>2</w:t>
      </w:r>
      <w:r>
        <w:t>. Sucintamente, los hechos relevantes para resolver la pretensión de suspensión de la demandante son los siguientes:</w:t>
      </w:r>
    </w:p>
    <w:p w:rsidR="006B7292" w:rsidRDefault="006B7292" w:rsidP="006B7292">
      <w:pPr>
        <w:pStyle w:val="TextoNormal"/>
      </w:pPr>
    </w:p>
    <w:p w:rsidR="006B7292" w:rsidRDefault="006B7292" w:rsidP="006B7292">
      <w:pPr>
        <w:pStyle w:val="TextoNormal"/>
      </w:pPr>
      <w:r>
        <w:t>a) La Sección Primera de la Sala de lo Contencioso-Administrativo del Tribunal Superior de Justicia de Castilla-La Mancha dictó Sentencia, en fecha 15 de diciembre del 2011, en cuya virtud estimó el recurso contencioso-administrativo núm. 542-2007, promovido por las mercantiles Inversiones Doalca, S.L., y Galafre 21, S.L., contra la resolución de fecha 26 de marzo de 2007, de la Consejería de Vivienda y Urbanismo de la Junta de Comunidades de Castilla- La Mancha, por la que se aprueba definitivamente el plan de ordenación municipal de Toledo, el cual se declara contrario a derecho y se anula.</w:t>
      </w:r>
    </w:p>
    <w:p w:rsidR="006B7292" w:rsidRDefault="006B7292" w:rsidP="006B7292">
      <w:pPr>
        <w:pStyle w:val="TextoNormal"/>
      </w:pPr>
    </w:p>
    <w:p w:rsidR="006B7292" w:rsidRDefault="006B7292" w:rsidP="006B7292">
      <w:pPr>
        <w:pStyle w:val="TextoNormal"/>
      </w:pPr>
      <w:r>
        <w:t xml:space="preserve">La </w:t>
      </w:r>
      <w:r w:rsidRPr="006B7292">
        <w:rPr>
          <w:i/>
        </w:rPr>
        <w:t>ratio decidendi</w:t>
      </w:r>
      <w:r>
        <w:t xml:space="preserve"> de esta Sentencia es la misma que ya había empleado la Sala en Sentencia de 26 de julio de 2011 para estimar el recurso contencioso-administrativo núm. 556-2007, interpuesto por otros interesados contra el mismo plan de ordenación municipal de Toledo. En síntesis, tanto en aquel como en este caso la Sala de instancia aprecia que el plan debía ser sometido a un segundo trámite de información pública, dadas las sustanciales alteraciones introducidas en su texto tras las alegaciones recibidas en el (único) trámite de información pública abierto al efecto. Con aplicación de doctrina precedente de la Sala Tercera del Tribunal Supremo, señala la Sala de instancia que a esta exigencia de nuevo trámite de información no obsta el tenor del art. 36.2 a) del texto refundido de la Ley de ordenación del territorio y de la actividad urbanística de Castilla-La Mancha (Decreto Legislativo 1/12004, de 28 de diciembre), precepto que expresamente dispensa de abrir nuevo trámite en tal circunstancia, resultando sin embargo el mismo inconstitucional, por oponerse a lo previsto por la norma básica del Estado en la materia, el art. 6.1 de la Ley 6/1998, de 13 de abril, sobre el régimen del suelo y valoraciones, todos ellos entonces vigentes, afirmando la Sala de instancia que procedía dejar de aplicar la norma autonómica por ese motivo.</w:t>
      </w:r>
    </w:p>
    <w:p w:rsidR="006B7292" w:rsidRDefault="006B7292" w:rsidP="006B7292">
      <w:pPr>
        <w:pStyle w:val="TextoNormal"/>
      </w:pPr>
    </w:p>
    <w:p w:rsidR="006B7292" w:rsidRDefault="006B7292" w:rsidP="006B7292">
      <w:pPr>
        <w:pStyle w:val="TextoNormal"/>
      </w:pPr>
      <w:r>
        <w:t>b) Contra la Sentencia de 15 de diciembre 2011 se interpuso recurso de casación por el Ayuntamiento de Toledo (núm. 225-2012). La Sección Primera de la Sala de lo Contencioso-Administrativo del Tribunal Supremo dictó Auto, de fecha 3 de abril de 2014, por el que acuerda: “declarar la pérdida sobrevenida de objeto de los recursos de casación interpuestos en el rollo 225-2012 por la Junta de Comunidades de Castilla-La Mancha y por el Ayuntamiento de Toledo”.</w:t>
      </w:r>
    </w:p>
    <w:p w:rsidR="006B7292" w:rsidRDefault="006B7292" w:rsidP="006B7292">
      <w:pPr>
        <w:pStyle w:val="TextoNormal"/>
      </w:pPr>
    </w:p>
    <w:p w:rsidR="006B7292" w:rsidRDefault="006B7292" w:rsidP="006B7292">
      <w:pPr>
        <w:pStyle w:val="TextoNormal"/>
      </w:pPr>
      <w:r>
        <w:t>Explica el Auto en su razonamiento jurídico segundo, que dada la sustancial identidad de objeto del citado recurso, con el resuelto en sentido desestimatorio por la Sección Quinta de la misma Sala Tercera del Alto Tribunal en su Sentencia de 27 de febrero de 2014 (recurso de casación núm. 5116-2011), promovido también por el Ayuntamiento de Toledo contra la antedicha Sentencia del Tribunal Superior de Justicia de 26 de julio de 2011, esta “circunstancia sobrevenida priva de objeto a los recursos de casación que ahora examinamos, pues carece de sentido que, aunque sea por la vía de enjuiciar el contenido de la sentencia aquí recurrida, nos pronunciemos sobre si es o no ajustada a derecho una disposición de carácter general —tal es la naturaleza de los planes de ordenación— que ya ha sido declarada nula por sentencia firme y que, por tanto, ha sido expulsada del ordenamiento jurídico”. Cita en su apoyo el art. 72.2 de la Ley 29/1998, reguladora de la jurisdicción contencioso-administrativa, afirmando que “o bien carece de interés abundar o insistir en una nulidad ya declarada, o bien resulta nocivo para la seguridad jurídica contradecir o alterar lo ya señalado por sentencia firme”.</w:t>
      </w:r>
    </w:p>
    <w:p w:rsidR="006B7292" w:rsidRDefault="006B7292" w:rsidP="006B7292">
      <w:pPr>
        <w:pStyle w:val="TextoNormal"/>
      </w:pPr>
    </w:p>
    <w:p w:rsidR="006B7292" w:rsidRDefault="006B7292" w:rsidP="006B7292">
      <w:pPr>
        <w:pStyle w:val="TextoNormal"/>
      </w:pPr>
      <w:r>
        <w:t>Y finaliza en el razonamiento jurídico tercero, concluyendo que “los presentes recursos de casación han quedado privados de objeto”.</w:t>
      </w:r>
    </w:p>
    <w:p w:rsidR="006B7292" w:rsidRDefault="006B7292" w:rsidP="006B7292">
      <w:pPr>
        <w:pStyle w:val="TextoNormal"/>
      </w:pPr>
    </w:p>
    <w:p w:rsidR="006B7292" w:rsidRDefault="006B7292" w:rsidP="006B7292">
      <w:pPr>
        <w:pStyle w:val="TextoNormal"/>
      </w:pPr>
      <w:r>
        <w:t>c) Promovido incidente de nulidad de actuaciones por el Ayuntamiento de Toledo contra esta resolución, fundado en las mismas razones invocadas por dicha parte en el incidente de nulidad instado contra la Sentencia de 27 de febrero de 2014 a la que se ha hecho referencia, la Sección Primera de la Sala de lo Contencioso-Administrativo del Tribunal Supremo dictó Auto el 13 de noviembre del 2014 en desestimación de lo pedido, trasladando para ello los argumentos ya vertidos en su Auto de 15 de julio de 2014, por el que había desestimado a su vez el incidente de nulidad instado contra la referida Sentencia de 27 de febrero de 2014.</w:t>
      </w:r>
    </w:p>
    <w:p w:rsidR="006B7292" w:rsidRDefault="006B7292" w:rsidP="006B7292">
      <w:pPr>
        <w:pStyle w:val="TextoNormal"/>
      </w:pPr>
    </w:p>
    <w:p w:rsidR="006B7292" w:rsidRDefault="006B7292" w:rsidP="006B7292">
      <w:pPr>
        <w:pStyle w:val="TextoNormal"/>
      </w:pPr>
      <w:r w:rsidRPr="006B7292">
        <w:rPr>
          <w:rStyle w:val="NumeroAFNegritaCaracter"/>
        </w:rPr>
        <w:t>3</w:t>
      </w:r>
      <w:r>
        <w:t>. La demanda de amparo alega la vulneración de los derechos a la tutela judicial efectiva (art. 24.1 CE), por incumplimiento del deber de acatar la doctrina constitucional (art. 5.1 de la Ley Orgánica del Poder Judicial), y a un proceso con todas las garantías (art. 24.2 CE), por incurrir las resoluciones impugnadas en un exceso de jurisdicción, consistente en no aplicar una ley autonómica vigente que resultaba pertinente al caso, al considerarla inconstitucional, sin plantear antes cuestión del art. 163 CE ante este Tribunal Constitucional, con el fin de que obtener un pronunciamiento sobre ello, tal y como exige nuestra doctrina, que al efecto se invoca (SSTC 73/2000, 104/2000, 120/2000, 173/2002, 66/2011, 187/2012 y 177/2013). Este exceso de jurisdicción produjo además, según se indica en la demanda, que se haya colocado al Ayuntamiento de Toledo en una “situación de efectiva indefensión, pues ni tuvo oportunidad ni ocasión de prever, dado el sometimiento judicial al imperio de la ley, tal preterición del sistema de fuentes, ni pudo hacer uso del trámite de alegaciones del artículo 35 LOTC”.</w:t>
      </w:r>
    </w:p>
    <w:p w:rsidR="006B7292" w:rsidRDefault="006B7292" w:rsidP="006B7292">
      <w:pPr>
        <w:pStyle w:val="TextoNormal"/>
      </w:pPr>
    </w:p>
    <w:p w:rsidR="006B7292" w:rsidRDefault="006B7292" w:rsidP="006B7292">
      <w:pPr>
        <w:pStyle w:val="TextoNormal"/>
      </w:pPr>
      <w:r>
        <w:t>Por “otrosí tercero digo” en la misma demanda, se solicitó la suspensión de los efectos de las resoluciones judiciales recurridas en amparo. Con cita del art. 56.2 de la Ley Orgánica del Tribunal Constitucional (LOTC) y doctrina general de este Tribunal sobre la posibilidad de acordar la suspensión de las resoluciones firmes, argumenta la parte que en el presente caso, de no concederse ésta, se causaría un perjuicio que haría perder al amparo su finalidad, dado que dichas resoluciones han procedido a anular el plan general de ordenación municipal de Toledo aprobado el 26 de marzo de 2007, el cual en estos años ha “desplegado plenamente efectos a través de diversos planes parciales, estudios de detalle y otros instrumentos de planeamiento así como multitud de actos de desarrollo o ejecución (especialmente licencias), a los que aún han de seguir otros muchos hasta el cumplimiento de la política territorial, urbanística, medioambiental y social plasmada en aquel Plan General”. Prosigue el escrito diciendo que no acordar la suspensión supondría la paralización del plan y el “restablecimiento de la situación urbanística de Toledo a la situación anterior al mismo, con la consiguiente demolición de cuanto se ha construido al amparo de la nueva ordenación municipal de 2007”. Y añade: “los perjuicios que con ello se habrían de provocar serían indiscriminados para todas las personas que han decidido invertir en la ciudad de Toledo, provocando una verdadera catástrofe de consecuencias incalculables”.</w:t>
      </w:r>
    </w:p>
    <w:p w:rsidR="006B7292" w:rsidRDefault="006B7292" w:rsidP="006B7292">
      <w:pPr>
        <w:pStyle w:val="TextoNormal"/>
      </w:pPr>
    </w:p>
    <w:p w:rsidR="006B7292" w:rsidRDefault="006B7292" w:rsidP="006B7292">
      <w:pPr>
        <w:pStyle w:val="TextoNormal"/>
      </w:pPr>
      <w:r>
        <w:t>Se alega también que la suspensión viene exigida por los intereses generales, prevalentes éstos frente al exclusivo interés particular de la mercantil actora en la instancia, además de que la medida no afectaría a los derechos fundamentales ni a las libertades de terceros. Se invoca por último el art. 30 LOTC, respecto a la no suspensión de disposiciones generales que son objeto de planteamiento de una cuestión de constitucionalidad admitida a trámite por este Tribunal, precepto que se habría aplicado si los órganos judiciales competentes, “como debió haberse hecho”, hubieran elevado la cuestión.</w:t>
      </w:r>
    </w:p>
    <w:p w:rsidR="006B7292" w:rsidRDefault="006B7292" w:rsidP="006B7292">
      <w:pPr>
        <w:pStyle w:val="TextoNormal"/>
      </w:pPr>
    </w:p>
    <w:p w:rsidR="006B7292" w:rsidRDefault="006B7292" w:rsidP="006B7292">
      <w:pPr>
        <w:pStyle w:val="TextoNormal"/>
      </w:pPr>
      <w:r w:rsidRPr="006B7292">
        <w:rPr>
          <w:rStyle w:val="NumeroAFNegritaCaracter"/>
        </w:rPr>
        <w:t>4</w:t>
      </w:r>
      <w:r>
        <w:t>. Por providencia de la Sección Tercera de este Tribunal, de 6 de octubre del 2015, se acordó la admisión del recurso. En dicha resolución se apreció que el recurso presenta especial transcendencia constitucional, como consecuencia de que la doctrina de este Tribunal sobre el derecho fundamental que se alega podría ser incumplida de modo general y reiterado por la jurisdicción ordinaria o pudieran existir resoluciones contradictorias sobre el derecho fundamental [STC 155/2009, FJ 2 e)]. Asimismo, se acordó formar la oportuna pieza para la sustanciación del incidente de suspensión.</w:t>
      </w:r>
    </w:p>
    <w:p w:rsidR="006B7292" w:rsidRDefault="006B7292" w:rsidP="006B7292">
      <w:pPr>
        <w:pStyle w:val="TextoNormal"/>
      </w:pPr>
    </w:p>
    <w:p w:rsidR="006B7292" w:rsidRDefault="006B7292" w:rsidP="006B7292">
      <w:pPr>
        <w:pStyle w:val="TextoNormal"/>
      </w:pPr>
      <w:r w:rsidRPr="006B7292">
        <w:rPr>
          <w:rStyle w:val="NumeroAFNegritaCaracter"/>
        </w:rPr>
        <w:t>5</w:t>
      </w:r>
      <w:r>
        <w:t>. El mismo día 5 de octubre de 2015, la Sección Tercera de este Tribunal dictó otra providencia en cuya virtud acordó formar pieza para la tramitación del incidente sobre suspensión, concediendo un plazo común de tres días a la entidad recurrente y al Ministerio Fiscal para formular alegaciones en relación con la suspensión interesada.</w:t>
      </w:r>
    </w:p>
    <w:p w:rsidR="006B7292" w:rsidRDefault="006B7292" w:rsidP="006B7292">
      <w:pPr>
        <w:pStyle w:val="TextoNormal"/>
      </w:pPr>
    </w:p>
    <w:p w:rsidR="006B7292" w:rsidRDefault="006B7292" w:rsidP="006B7292">
      <w:pPr>
        <w:pStyle w:val="TextoNormal"/>
      </w:pPr>
      <w:r w:rsidRPr="006B7292">
        <w:rPr>
          <w:rStyle w:val="NumeroAFNegritaCaracter"/>
        </w:rPr>
        <w:t>6</w:t>
      </w:r>
      <w:r>
        <w:t>. Por escrito de 14 de octubre de 2015, la representación procesal de la recurrente mantuvo la petición de suspensión de los efectos de las resoluciones judiciales impugnadas, afirmando que ésta resulta procedente, más aún tras la reciente STC, Sala Primera, de 21 de septiembre de 2015 (recurso 6011-2014).</w:t>
      </w:r>
    </w:p>
    <w:p w:rsidR="006B7292" w:rsidRDefault="006B7292" w:rsidP="006B7292">
      <w:pPr>
        <w:pStyle w:val="TextoNormal"/>
      </w:pPr>
    </w:p>
    <w:p w:rsidR="006B7292" w:rsidRDefault="006B7292" w:rsidP="006B7292">
      <w:pPr>
        <w:pStyle w:val="TextoNormal"/>
      </w:pPr>
      <w:r>
        <w:t xml:space="preserve">En sustento de su afirmación, tras exponer las razones por las que se ha venido defendiendo la directa relación entre este recurso de amparo y el identificado con el núm. 6011-2014, lo que trae consigo que “los motivos y fundamentos de las demandas de amparo son idénticos”, el escrito incide en el sentido estimatorio de la Sentencia de la Sala Primera de este Tribunal, de 21 de septiembre de 2015, resolutoria de aquel recurso núm. 6011-2014, que otorga el amparo al Ayuntamiento de Toledo por vulneración de los mismos derechos fundamentales invocados aquí como infringidos. Al parecer de la corporación local recurrente, esta declaración de nulidad del Tribunal conforma un </w:t>
      </w:r>
      <w:r w:rsidRPr="006B7292">
        <w:rPr>
          <w:i/>
        </w:rPr>
        <w:t>fumus boni iuris</w:t>
      </w:r>
      <w:r>
        <w:t xml:space="preserve"> justificativo de la medida de suspensión, en línea con lo afirmado en similar sentido por la doctrina constitucional en materia de recursos de inconstitucionalidad, con cita de los AATC 243/1993 y 78/1987.</w:t>
      </w:r>
    </w:p>
    <w:p w:rsidR="006B7292" w:rsidRDefault="006B7292" w:rsidP="006B7292">
      <w:pPr>
        <w:pStyle w:val="TextoNormal"/>
      </w:pPr>
    </w:p>
    <w:p w:rsidR="006B7292" w:rsidRDefault="006B7292" w:rsidP="006B7292">
      <w:pPr>
        <w:pStyle w:val="TextoNormal"/>
      </w:pPr>
      <w:r>
        <w:t>En segundo lugar, concreta los perjuicios irreparables, reales y concretos que se derivarían de la no suspensión de las resoluciones judiciales impugnadas, acompañando como documento de apoyo un informe firmado por un arquitecto municipal. En tal sentido, se refiere en primer término a la “protección del interés ecológico y medioambiental en el POM del año 2007” sobre ciertas zonas que identifica; citando doctrina del Tribunal sobre la protección del medioambiente como valor superior y su consideración como criterio para acordar la suspensión de normas en recursos de inconstitucionalidad (cita los AATC 353/1995, de 20 de diciembre, FJ 2; 88/2008, de 2 de abril; 34/2009, de 27 de enero; 225/2009, de 27 de julio; 227/2009, de 10 de diciembre; 56/2010, de 29 de mayo, y 114/2011, de 19 de julio). En segundo lugar, indica la protección que acomete aquel mismo plan sobre el patrimonio histórico, artístico y cultural, a través de la carta arqueológica incorporada al mismo, con una zonificación de Toledo dividida en “ámbitos de protección arqueológica" y “ámbitos de prevención arqueológica”; así como también el catálogo de bienes de protección monumental, lo cual debe ser ponderado para resolver la suspensión (con cita del ATC 104/2010, de 28 de julio). En tercer y último lugar, se habla en el escrito de alegaciones de “grandes infraestructuras de la ciudad” que quedarían afectadas, como autopistas, puentes, el hospital general de Toledo; y zonas de equipamiento público.</w:t>
      </w:r>
    </w:p>
    <w:p w:rsidR="006B7292" w:rsidRDefault="006B7292" w:rsidP="006B7292">
      <w:pPr>
        <w:pStyle w:val="TextoNormal"/>
      </w:pPr>
    </w:p>
    <w:p w:rsidR="006B7292" w:rsidRDefault="006B7292" w:rsidP="006B7292">
      <w:pPr>
        <w:pStyle w:val="TextoNormal"/>
      </w:pPr>
      <w:r>
        <w:t>Finalmente, se reitera la invocación hecha en la demanda al art. 30 LOTC, por cuanto de haberse planteado la cuestión de inconstitucionalidad no hubiera supuesto la suspensión de la vigencia del plan.</w:t>
      </w:r>
    </w:p>
    <w:p w:rsidR="006B7292" w:rsidRDefault="006B7292" w:rsidP="006B7292">
      <w:pPr>
        <w:pStyle w:val="TextoNormal"/>
      </w:pPr>
    </w:p>
    <w:p w:rsidR="006B7292" w:rsidRDefault="006B7292" w:rsidP="006B7292">
      <w:pPr>
        <w:pStyle w:val="TextoNormal"/>
      </w:pPr>
      <w:r w:rsidRPr="006B7292">
        <w:rPr>
          <w:rStyle w:val="NumeroAFNegritaCaracter"/>
        </w:rPr>
        <w:t>7</w:t>
      </w:r>
      <w:r>
        <w:t>. Con fecha 23 de octubre de 2015 tuvo entrada en el Registro General de este Tribunal el escrito del Fiscal. En el citado escrito manifiesta que no procede acceder a la suspensión interesada, sin perjuicio de que por el Tribunal Constitucional se pondere la Sentencia recaída en el recurso de amparo 6011-2014 (actualmente identificada como STC 195/2015, de 21 de septiembre) a los efectos de acordar de oficio la suspensión de las resoluciones recurridas.</w:t>
      </w:r>
    </w:p>
    <w:p w:rsidR="006B7292" w:rsidRDefault="006B7292" w:rsidP="006B7292">
      <w:pPr>
        <w:pStyle w:val="TextoNormal"/>
      </w:pPr>
    </w:p>
    <w:p w:rsidR="006B7292" w:rsidRDefault="006B7292" w:rsidP="006B7292">
      <w:pPr>
        <w:pStyle w:val="TextoNormal"/>
      </w:pPr>
      <w:r>
        <w:t>Tras relatar los antecedentes procesales que dan lugar a las resoluciones recurridas en este amparo y destacar la identidad de objeto que presenta con el del recurso de amparo núm. 6011-2014, el Fiscal considera que como quiera que las argumentaciones efectuadas por el demandante son sustancialmente iguales a las planteadas en el recurso de amparo 6011-2014, en el cual se denegó la suspensión por ATC 117/2015, de seis de julio, también debe desestimarse la petición de suspensión interesada en el presente recurso, por los mismos argumentos dados en el Auto último citado.</w:t>
      </w:r>
    </w:p>
    <w:p w:rsidR="006B7292" w:rsidRDefault="006B7292" w:rsidP="006B7292">
      <w:pPr>
        <w:pStyle w:val="TextoNormal"/>
      </w:pPr>
    </w:p>
    <w:p w:rsidR="006B7292" w:rsidRDefault="006B7292" w:rsidP="006B7292">
      <w:pPr>
        <w:pStyle w:val="TextoNormal"/>
      </w:pPr>
      <w:r>
        <w:t>No obstante, a continuación advierte que la Sala Primera de este Tribuna dictó Sentencia estimatoria en aquel recurso de amparo, en fecha 21 de septiembre de 2015, (STC 195/2015), declarando la nulidad tanto de la Sentencia del Tribunal Superior de Justicia de Castilla-La Mancha que acordaba la nulidad del plan de ordenación municipal, como de las resoluciones dictadas en casación por el Tribunal Supremo. Y como la Sentencia del Tribunal Superior de Justicia impugnada en este recurso de amparo núm. 582-2015 es sustancialmente idéntica a la Sentencia de la misma Sala de fecha 26 de julio de 2011, entiende el Fiscal que no se puede ignorar la nueva realidad jurídica derivada del fallo de este Alto Tribunal que anula dichas resoluciones, de modo que la referida Sentencia de instancia que aquí se cuestiona tampoco se acomoda a lo resuelto por el Tribunal Constitucional, creándose así una situación contradictoria sobre la validez o nulidad del plan; dicotomía que, a su parecer, produce un resultado incoherente y contrario al principio constitucional de la seguridad jurídica (art. 9.3 CE) y a la ejecutividad de las resoluciones judiciales y del propio Tribunal Constitucional, como manifestación del derecho a la tutela judicial efectiva (art. 24.1 CE). Por ello, considera que existe un interés público en que sea respetada la realidad jurídica surgida tras la STC 195/2015 ya indicada, por lo que debería acomodarse la situación a lo acordado en la última Sentencia objeto de cita.</w:t>
      </w:r>
    </w:p>
    <w:p w:rsidR="006B7292" w:rsidRDefault="006B7292" w:rsidP="006B7292">
      <w:pPr>
        <w:pStyle w:val="TextoNormal"/>
      </w:pPr>
    </w:p>
    <w:p w:rsidR="006B7292" w:rsidRDefault="006B7292" w:rsidP="006B7292">
      <w:pPr>
        <w:pStyle w:val="TextoNormal"/>
      </w:pPr>
      <w:r>
        <w:t>Por último, el Fiscal invoca el art. 56.2 LOTC recordando la posibilidad que ofrece el citado precepto para declarar de oficio la suspensión. Ello podría estar justificado en el presente caso, a fin de respetar la coherencia del pronunciamiento de esta jurisdicción constitucional.</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La entidad demandante de amparo, solicita en un otrosí digo de su escrito de demanda la suspensión de los efectos ejecutivos de las resoluciones judiciales impugnadas en el presente recurso, las cuales, como ya se expuso en los antecedentes, son la Sentencia de la Sección Primera de la Sala de lo Contencioso-Administrativo del Tribunal Superior de Justicia de Castilla La Mancha, de 15 de diciembre de 2011, que acordó estimar el recurso contencioso-administrativo interpuesto contra el plan de ordenación municipal de Toledo, aprobado por Orden de 26 de marzo de 2007 de la Consejería de Vivienda y Urbanismo, declarando su nulidad; el Auto de la Sección Primera de la Sala de lo Contencioso-Administrativo del Tribunal Supremo, de 3 de abril de 2014, que declaró la pérdida sobrevenida del objeto del recurso de casación interpuesto contra la anterior, al existir ya una Sentencia firme de la Sección Quinta de la misma Sala Tercera del Tribunal Supremo que asienta doctrina contraria a la pretensión de la recurrente; y el Auto de 13 de noviembre de 2014, que desestima el incidente de nulidad de actuaciones promovido por la misma parte procesal, contra el Auto que acaba de indicarse. Con posterioridad, según ha quedado expuesto, una vez admitido a trámite este recurso de amparo y ordenado por la Sección Tercera de este Tribunal la apertura de pieza separada de suspensión, la parte demandante ha presentado escrito de alegaciones en el que amplían las formuladas inicialmente, de un lado aludiendo al dictado de la STC 195/2015, de la Sala Primera de este Tribunal, que declara nulas las resoluciones judiciales impugnadas en el recurso de amparo núm. 6011-2014, de objeto sustancialmente idéntico al que aquí nos ocupa. Y de otro lado, intentando concretar los daños irreparables que a su criterio ocasionaría la no suspensión, en virtud de la paralización del plan de ordenación municipal de Toledo.</w:t>
      </w:r>
    </w:p>
    <w:p w:rsidR="006B7292" w:rsidRDefault="006B7292" w:rsidP="006B7292">
      <w:pPr>
        <w:pStyle w:val="TextoNormal"/>
      </w:pPr>
    </w:p>
    <w:p w:rsidR="006B7292" w:rsidRDefault="006B7292" w:rsidP="006B7292">
      <w:pPr>
        <w:pStyle w:val="TextoNormal"/>
      </w:pPr>
      <w:r>
        <w:t>Así estructurada la pretensión de suspensión de las resoluciones judiciales recurridas, conviene seguir en su respuesta el mismo orden con el que han sido presentadas a esta Sala por la recurrente.</w:t>
      </w:r>
    </w:p>
    <w:p w:rsidR="006B7292" w:rsidRDefault="006B7292" w:rsidP="006B7292">
      <w:pPr>
        <w:pStyle w:val="TextoNormal"/>
      </w:pPr>
    </w:p>
    <w:p w:rsidR="006B7292" w:rsidRDefault="006B7292" w:rsidP="006B7292">
      <w:pPr>
        <w:pStyle w:val="TextoNormal"/>
      </w:pPr>
      <w:r w:rsidRPr="006B7292">
        <w:rPr>
          <w:rStyle w:val="NumeroAFNegritaCaracter"/>
        </w:rPr>
        <w:t>2</w:t>
      </w:r>
      <w:r>
        <w:t>. De esta manera, por lo que concierne en primer lugar a los motivos que se esgrimen en la demanda de amparo, dado que presentan idéntico contenido a los que se defendieron a su vez por el mismo ayuntamiento en la solicitud de suspensión de las resoluciones impugnadas en el recurso de amparo núm. 6011-2014, cuyo objeto, según se ha venido destacando por ella misma y con acierto, resulta sustancialmente el mismo al que aquí se dilucida, procede por una elemental razón de unidad de criterio hacer nuestras las afirmaciones realizadas por la Sala Primera de este Tribunal, en el ATC 117/2015, de 6 de julio, por el que se acordó denegar la suspensión solicitada en aquel recurso de amparo núm. 6011-2014.</w:t>
      </w:r>
    </w:p>
    <w:p w:rsidR="006B7292" w:rsidRDefault="006B7292" w:rsidP="006B7292">
      <w:pPr>
        <w:pStyle w:val="TextoNormal"/>
      </w:pPr>
    </w:p>
    <w:p w:rsidR="006B7292" w:rsidRDefault="006B7292" w:rsidP="006B7292">
      <w:pPr>
        <w:pStyle w:val="TextoNormal"/>
      </w:pPr>
      <w:r>
        <w:t>Como expresa el fundamento jurídico primero de dicho ATC 117/2015, en relación al régimen general aplicable para la suspensión de resoluciones firmes, “dispone el art. 56.2 de la Ley Orgánica del Tribunal Constitucional (LOTC) que cuando la ejecución del acto o sentencia impugnados produzca un perjuicio al recurrente que pudiese hacer perder al amparo su finalidad, la Sala o, en su caso, la Sección que conozca de un recurso de amparo podrá disponer la suspensión, total o parcial, de sus efectos, siempre y cuando la suspensión no ocasione perturbación grave a un interés constitucionalmente protegido, ni a los derechos fundamentales o libertades de otra persona. 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 principio, pues, no procede la suspensión de las resoluciones judiciales por la perturbación de la función jurisdiccional que la misma supone, excepto en el caso de que el recurrente acredite suficientemente la irreversibilidad que para sus derechos fundamentales pudiera tener la ejecución y siempre “que la suspensión no ocasione perturbación grave a un interés constitucionalmente protegido, ni a los derechos fundamentales o libertades de otra persona” (art. 56.2 LOTC)”.</w:t>
      </w:r>
    </w:p>
    <w:p w:rsidR="006B7292" w:rsidRDefault="006B7292" w:rsidP="006B7292">
      <w:pPr>
        <w:pStyle w:val="TextoNormal"/>
      </w:pPr>
    </w:p>
    <w:p w:rsidR="006B7292" w:rsidRDefault="006B7292" w:rsidP="006B7292">
      <w:pPr>
        <w:pStyle w:val="TextoNormal"/>
      </w:pPr>
      <w:r>
        <w:t>Seguidamente, el fundamento jurídico segundo de este ATC 117/2015 se refiere al requisito del carácter no reparable del perjuicio, asentando que “es doctrina reiterada y unánime de este Tribunal, que la previsión contenida ahora en el art. 56.2 LOTC (en la redacción anterior a la reforma de la Ley Orgánica 6/2007 la establecía el art. 56.1 LOTC), que exige como uno de los requisitos para otorgar la suspensión que la ejecución del acto del poder público por razón del cual se reclama el amparo ocasione ‘un perjuicio al recurrente que pudiera hacer perder al amparo su finalidad’, debe interpretarse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(ATC 125/2003, de 23 de abril, FJ 2; y, en el mismo sentido AATC 20/2009, de 26 de enero, 94/2010, y 95/2010, ambos de 19 de julio, 122/2012, de 18 de junio, entre muchos). Por esta razón este Tribunal no accede, salvo excepciones, a la solicitud de suspensión de resoluciones que imponen obligaciones de pago de cantidad o, en general, de contenido económico o patrimonial, pues la lesión que de ellas se deriva es normalmente reparable (AATC 125/2003, de 23 de abril; 326/2005, de 12 de septiembre; 152/2006, de 8 de mayo; 357/2006, de 9 de octubre; 118/2008, de 28 de abril; 388/2008, de 15 de diciembre; y 20/2009 de 26 de enero; 95/2010, de 19 de julio, y 81/2012, de 7 de mayo, entre otros muchos). Con relación a los perjuicios de carácter patrimonial o económico hemos señalado que, por más que puedan producir efectos desfavorables a quien demanda amparo, no pueden considerarse, en principio, como causa suficiente para acordar la suspensión de una resolución judicial firme (AATC 93/2002, de 3 de junio; 106/2002, de 17 de junio; 165/2003, de 19 de mayo; 326/2005, de 12 de septiembre, y 386/2008, de 15 de diciembre, por todos). Sólo en el caso de que el recurrente en amparo justificase cumplidamente que el no otorgamiento de la suspensión le ocasionaría un perjuicio irreparable que haría perder al amparo su finalidad, (entre otros, ATC 185/2014, de 8 de julio), y siempre que de dicha medida cautelar no se siga perturbación grave de los intereses generales o de los derechos y libertades fundamentales de un tercero, procedería acordar la suspensión interesada”.</w:t>
      </w:r>
    </w:p>
    <w:p w:rsidR="006B7292" w:rsidRDefault="006B7292" w:rsidP="006B7292">
      <w:pPr>
        <w:pStyle w:val="TextoNormal"/>
      </w:pPr>
    </w:p>
    <w:p w:rsidR="006B7292" w:rsidRDefault="006B7292" w:rsidP="006B7292">
      <w:pPr>
        <w:pStyle w:val="TextoNormal"/>
      </w:pPr>
      <w:r>
        <w:t>Y el fundamento jurídico tercero del mismo Auto 117/2015, completando la visión panorámica de la doctrina aplicable en esta materia, señala respecto a la carga procesal que concierne a la parte recurrente, que “también es doctrina constante del Tribunal que para excepcionar la regla general de la no suspensión es carga del recurrente probar que la ejecución del acto o Sentencia impugnados deba producirle un perjuicio que hiciere perder al amparo su finalidad (por todos AATC 39/2008, de 11 de febrero, FJ 1; 40/2008, de 11 de febrero, FJ 3; y 59/2008, de 20 de febrero, FJ 2). Así respecto de la carga alegatoria y probatoria del incidente en ATC 81/2012, de 7 de mayo, FJ 3, con cita de otros, hemos afirmado: ‘la acreditación del perjuicio es carga del recurrente, quien debe precisar los concretos perjuicios que de la ejecución se deriven, así como justificar o argumentar razonadamente la irreparabilidad de los mismos (AATC 107/1981, 226/1982, 385/1983, y 193/1984). A la par hemos dicho que, en todo caso, el perjuicio irreparable debe ser real, sin que sea posible alegar un perjuicio futuro o hipotético o un simple temor (AATC 490/1984, 399/1985, y 51/1989, entre otros muchos),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w:t>
      </w:r>
    </w:p>
    <w:p w:rsidR="006B7292" w:rsidRDefault="006B7292" w:rsidP="006B7292">
      <w:pPr>
        <w:pStyle w:val="TextoNormal"/>
      </w:pPr>
    </w:p>
    <w:p w:rsidR="006B7292" w:rsidRDefault="006B7292" w:rsidP="006B7292">
      <w:pPr>
        <w:pStyle w:val="TextoNormal"/>
      </w:pPr>
      <w:r w:rsidRPr="006B7292">
        <w:rPr>
          <w:rStyle w:val="NumeroAFNegritaCaracter"/>
        </w:rPr>
        <w:t>3</w:t>
      </w:r>
      <w:r>
        <w:t>. Partiendo pues de esta doctrina constitucional, el ATC 117/2015 entra a examinar en su fundamento jurídico cuarto los motivos aducidos por la entidad recurrente para apoyar la solicitud de suspensión, no apreciando éstos suficientemente sólidos por las razones que igualmente reproducimos: “En el presente caso, del examen de la solicitud de suspensión formulada cabe concluir que no se han acreditado circunstancias excepcionales que lleven a conceder la suspensión pedida. En efecto, como bien indica el Ministerio Fiscal, la suspensión que se solicita tiene un contenido patrimonial, que se circunscribe a la anulación del plan de ordenación municipal de Toledo, con retroacción de actuaciones de tramitación hasta la fase de nueva información pública. Ahora bien, dicho pronunciamiento no comporta como afirma el recurrente ‘la demolición de todo cuanto se ha construido’, ni tal consecuencia resulta acreditada por el documento núm. 6 al que alude el demandante y que se acompaña con la demanda. Debe insistirse en que el perjuicio irreparable debe ser real, sin que sea posible alegar un perjuicio futuro o hipotético. No basta con afirmaciones genéricas relativas a que la ejecución comportará ‘una verdadera catástrofe de consecuencias incalculables no solo en pérdidas económicas o patrimoniales, incluyendo demoliciones de lo construido con arreglo al Plan y anulación de infinidad de autorizaciones de usos, sino computables también en el número de puestos de trabajo que puede quedar sacrificados’, sino que se deben precisar los concretos perjuicios que de la ejecución se derivaran. Carga probatoria que la Administración recurrente no aporta, al omitir datos concretos que puedan ser calificados de principio razonable de prueba y que permitan avalar lo manifestado, sino que se limita a efectuar una afirmación genérica e inconcreta carente de la necesaria acreditación. En tal sentido, como indica el Ministerio Fiscal, ni la anulación del plan comporta necesariamente la inminente demolición de todo cuanto se ha construido, ni supone la anulación de infinidad de autorizaciones de usos, determinantes del cese inmediato de actividades y sacrificio de puestos de trabajo. Ahora bien, la ausencia actual de las circunstancias excepcionales que llevan a conceder la suspensión pedida, esto es, la falta de acreditación de un perjuicio irreparable, real y concreto, no es óbice para que en un momento posterior durante el curso del procedimiento de amparo, el recurrente pueda plantear de nuevo ante este Tribunal la procedencia de la suspensión, ‘en virtud de circunstancias sobrevenidas o que no pudieron ser conocidas al tiempo de sustanciarse el incidente de suspensión’ (</w:t>
      </w:r>
      <w:r w:rsidRPr="006B7292">
        <w:rPr>
          <w:i/>
        </w:rPr>
        <w:t>ex</w:t>
      </w:r>
      <w:r>
        <w:t xml:space="preserve"> art. 57 LOTC), que satisfagan el presupuesto exigido”.</w:t>
      </w:r>
    </w:p>
    <w:p w:rsidR="006B7292" w:rsidRDefault="006B7292" w:rsidP="006B7292">
      <w:pPr>
        <w:pStyle w:val="TextoNormal"/>
      </w:pPr>
    </w:p>
    <w:p w:rsidR="006B7292" w:rsidRDefault="006B7292" w:rsidP="006B7292">
      <w:pPr>
        <w:pStyle w:val="TextoNormal"/>
      </w:pPr>
      <w:r>
        <w:t>Como ya se ha adelantado, esta Sala considera correctas y asume como propias las razones dadas en el mencionado ATC 117/2015, lo que arroja como primera conclusión, a los efectos de la presente pieza separada, de rechazar los argumentos alegados en el “otrosí tercero digo” de la demanda de amparo para justificar la medida de suspensión de las resoluciones judiciales aquí impugnadas.</w:t>
      </w:r>
    </w:p>
    <w:p w:rsidR="006B7292" w:rsidRDefault="006B7292" w:rsidP="006B7292">
      <w:pPr>
        <w:pStyle w:val="TextoNormal"/>
      </w:pPr>
    </w:p>
    <w:p w:rsidR="006B7292" w:rsidRDefault="006B7292" w:rsidP="006B7292">
      <w:pPr>
        <w:pStyle w:val="TextoNormal"/>
      </w:pPr>
      <w:r w:rsidRPr="006B7292">
        <w:rPr>
          <w:rStyle w:val="NumeroAFNegritaCaracter"/>
        </w:rPr>
        <w:t>4</w:t>
      </w:r>
      <w:r>
        <w:t>. Queda por referirnos, en segundo y último lugar, a las alegaciones adicionales realizadas por el Ayuntamiento de Toledo en el trámite del art. 56.4 LOTC, abierto dentro de este procedimiento incidental, y que apoya al menos en parte el Ministerio Fiscal. Se adelanta, sin embargo, que las mismas no permiten alcanzar un resultado estimatorio:</w:t>
      </w:r>
    </w:p>
    <w:p w:rsidR="006B7292" w:rsidRDefault="006B7292" w:rsidP="006B7292">
      <w:pPr>
        <w:pStyle w:val="TextoNormal"/>
      </w:pPr>
    </w:p>
    <w:p w:rsidR="006B7292" w:rsidRDefault="006B7292" w:rsidP="006B7292">
      <w:pPr>
        <w:pStyle w:val="TextoNormal"/>
      </w:pPr>
      <w:r>
        <w:t>a) Respecto de la incidencia que pudiera tener la estimación del recurso de amparo núm. 6011-2014, por la STC 195/2015, de 21 de septiembre, de la Sala Primera de este Tribunal, es necesario tener en cuenta un dato capital y es que, si bien la misma acuerda la nulidad de las resoluciones impugnadas, incluyendo la dictada en la instancia por la Sección competente del Tribunal Superior de Justicia de Castilla-La Mancha, de igual contenido a la aquí impugnada, en ningún caso dicha STC 195/2015 se ha pronunciado sobre la validez del plan de ordenación municipal citado, cuyo “despliegue de efectos” es lo que viene a instar el ayuntamiento recurrente con la medida de suspensión.</w:t>
      </w:r>
    </w:p>
    <w:p w:rsidR="006B7292" w:rsidRDefault="006B7292" w:rsidP="006B7292">
      <w:pPr>
        <w:pStyle w:val="TextoNormal"/>
      </w:pPr>
    </w:p>
    <w:p w:rsidR="006B7292" w:rsidRDefault="006B7292" w:rsidP="006B7292">
      <w:pPr>
        <w:pStyle w:val="TextoNormal"/>
      </w:pPr>
      <w:r>
        <w:t>De manera distinta, lo que hace la STC 195/2015, FFJJ 6 y 7, es apreciar que existe vulneración de los derechos fundamentales que se alegan (tutela judicial efectiva —art. 24.1 CE— y proceso con todas las garantías (art. 24.2 CE), por haberse resuelto el recurso contencioso-administrativo de referencia, tanto en instancia como en casación, eludiendo un precepto autonómico que resultaba aplicable, y ello por achacársele su inconstitucionalidad —oposición a norma básica del Estado—, sin plantear la cuestión de los arts. 163 CE y 35 LOTC ante esta jurisdicción constitucional, para que nos pronunciáramos al respecto.</w:t>
      </w:r>
    </w:p>
    <w:p w:rsidR="006B7292" w:rsidRDefault="006B7292" w:rsidP="006B7292">
      <w:pPr>
        <w:pStyle w:val="TextoNormal"/>
      </w:pPr>
    </w:p>
    <w:p w:rsidR="006B7292" w:rsidRDefault="006B7292" w:rsidP="006B7292">
      <w:pPr>
        <w:pStyle w:val="TextoNormal"/>
      </w:pPr>
      <w:r>
        <w:t>De allí que la STC 195/2015 precise en su fundamento jurídico 7, que “dicha vulneración tiene su origen en las resoluciones judiciales impugnadas y no en el art. 36.2 A) párrafo segundo (debe entenderse referido al párrafo tercero), del texto refundido de la Ley de ordenación del territorio y de la actividad urbanística, en tanto que el mismo no ha sido aplicado en el proceso contencioso-administrativo, por lo que no procede plantear la autocuestión de inconstitucionalidad (art. 55.2 LOTC)”.</w:t>
      </w:r>
    </w:p>
    <w:p w:rsidR="006B7292" w:rsidRDefault="006B7292" w:rsidP="006B7292">
      <w:pPr>
        <w:pStyle w:val="TextoNormal"/>
      </w:pPr>
    </w:p>
    <w:p w:rsidR="006B7292" w:rsidRDefault="006B7292" w:rsidP="006B7292">
      <w:pPr>
        <w:pStyle w:val="TextoNormal"/>
      </w:pPr>
      <w:r>
        <w:t>La nulidad de las resoluciones impugnadas obliga a la retroacción de actuaciones, según añade el fundamento jurídico 8, para que la Sala de instancia en ese recurso contencioso-administrativo núm. 556-2007, “dicte otra resolución que resulte respetuosa con los derechos fundamentales reconocidos”, pero sin prejuzgar como es obvio cuál ha de ser el resultado de dicho nuevo enjuiciamiento.</w:t>
      </w:r>
    </w:p>
    <w:p w:rsidR="006B7292" w:rsidRDefault="006B7292" w:rsidP="006B7292">
      <w:pPr>
        <w:pStyle w:val="TextoNormal"/>
      </w:pPr>
    </w:p>
    <w:p w:rsidR="006B7292" w:rsidRDefault="006B7292" w:rsidP="006B7292">
      <w:pPr>
        <w:pStyle w:val="TextoNormal"/>
      </w:pPr>
      <w:r>
        <w:t>En todo caso, no puede desconocerse que una de las alternativas probables tras dicha retroacción de actuaciones, en virtud de lo declarado en esta STC 195/2015, es que la Sala de instancia, caso de mantener su parecer contrario a la constitucionalidad del precepto autonómico ya indicado, eleve la cuestión de inconstitucionalidad a este Tribunal para que conozcamos de ello. De suceder así, la decisión a adoptar acerca de la validez o nulidad del plan de ordenación municipal de Toledo, tendrá que aguardar primero a la tramitación y resolución definitiva de la indicada cuestión; y una vez despejada esa incógnita constitucional, desde luego no está descartado tampoco un desenlace en la jurisdicción ordinaria que conlleve declarar la nulidad del plan.</w:t>
      </w:r>
    </w:p>
    <w:p w:rsidR="006B7292" w:rsidRDefault="006B7292" w:rsidP="006B7292">
      <w:pPr>
        <w:pStyle w:val="TextoNormal"/>
      </w:pPr>
    </w:p>
    <w:p w:rsidR="006B7292" w:rsidRDefault="006B7292" w:rsidP="006B7292">
      <w:pPr>
        <w:pStyle w:val="TextoNormal"/>
      </w:pPr>
      <w:r>
        <w:t>No cabe equiparar esta situación, por lo dicho, con la de un precepto legal impugnado en un recurso de inconstitucionalidad, cuya literalidad es similar a la de otro que ya ha sido declarado nulo por este Tribunal, razón por la que en alguna ocasión hemos acordado suspender los efectos de aquél mientras se tramita el correspondiente proceso (vgr. ATC 78/1987, de 22 de enero, FJ 2; también ATC 183/2011, de 14 de diciembre, FFJJ 4 y 6). Una doctrina que, con ajenidad al ámbito del amparo, aduce sin éxito el escrito de la entidad recurrente.</w:t>
      </w:r>
    </w:p>
    <w:p w:rsidR="006B7292" w:rsidRDefault="006B7292" w:rsidP="006B7292">
      <w:pPr>
        <w:pStyle w:val="TextoNormal"/>
      </w:pPr>
    </w:p>
    <w:p w:rsidR="006B7292" w:rsidRDefault="006B7292" w:rsidP="006B7292">
      <w:pPr>
        <w:pStyle w:val="TextoNormal"/>
      </w:pPr>
      <w:r>
        <w:t>Debe tenerse presente, además, que en el presente caso los Autos dictados por la Sección Primera, Sala Tercera, del Tribunal Supremo, resolvieron archivar el recurso de casación interpuesto, al apreciar una pérdida sobrevenida de objeto. La “suspensión” que se solicita respecto de ellos, de concederse, estrictamente traería consigo tan sólo la reanudación del procedimiento de casación interrumpido, pero sin condicionar su resultado, cosa que únicamente depende de la Sentencia que ponga fin al presente recurso de amparo.</w:t>
      </w:r>
    </w:p>
    <w:p w:rsidR="006B7292" w:rsidRDefault="006B7292" w:rsidP="006B7292">
      <w:pPr>
        <w:pStyle w:val="TextoNormal"/>
      </w:pPr>
    </w:p>
    <w:p w:rsidR="006B7292" w:rsidRDefault="006B7292" w:rsidP="006B7292">
      <w:pPr>
        <w:pStyle w:val="TextoNormal"/>
      </w:pPr>
      <w:r>
        <w:t>En definitiva, no cabe apreciar la existencia de una circunstancia nueva susceptible de modificar el criterio adoptado por el ATC 117/2015, de 6 de julio, para denegar la suspensión solicitada.</w:t>
      </w:r>
    </w:p>
    <w:p w:rsidR="006B7292" w:rsidRDefault="006B7292" w:rsidP="006B7292">
      <w:pPr>
        <w:pStyle w:val="TextoNormal"/>
      </w:pPr>
    </w:p>
    <w:p w:rsidR="006B7292" w:rsidRDefault="006B7292" w:rsidP="006B7292">
      <w:pPr>
        <w:pStyle w:val="TextoNormal"/>
      </w:pPr>
      <w:r>
        <w:t>b) Otro tanto ha de decirse, por último, en cuanto a las aseveraciones que se formulan por el ayuntamiento recurrente en su escrito del art. 56.4 LOTC, intentando concretar los perjuicios que ocasiona la paralización del plan de ordenación municipal de Toledo.</w:t>
      </w:r>
    </w:p>
    <w:p w:rsidR="006B7292" w:rsidRDefault="006B7292" w:rsidP="006B7292">
      <w:pPr>
        <w:pStyle w:val="TextoNormal"/>
      </w:pPr>
    </w:p>
    <w:p w:rsidR="006B7292" w:rsidRDefault="006B7292" w:rsidP="006B7292">
      <w:pPr>
        <w:pStyle w:val="TextoNormal"/>
      </w:pPr>
      <w:r>
        <w:t>Ante todo, éstas se limitan esencialmente a indicar que el plan contiene previsiones sobre el uso del suelo en dicho término municipal, que repercuten en aspectos medioambientales y en la protección del patrimonio histórico, artístico y cultural de la ciudad, extremo que no se pone en duda, pero sin que se aporten datos que acrediten verosímilmente cuáles serían los daños “irreparables, reales y concretos” que, a juicio de la entidad recurrente, ocasionaría una eventual aplicación del plan anterior en esos ámbitos, mientras se tramita el presente recurso de amparo.</w:t>
      </w:r>
    </w:p>
    <w:p w:rsidR="006B7292" w:rsidRDefault="006B7292" w:rsidP="006B7292">
      <w:pPr>
        <w:pStyle w:val="TextoNormal"/>
      </w:pPr>
    </w:p>
    <w:p w:rsidR="006B7292" w:rsidRDefault="006B7292" w:rsidP="006B7292">
      <w:pPr>
        <w:pStyle w:val="TextoNormal"/>
      </w:pPr>
      <w:r>
        <w:t>En fin, como reconoce el escrito de alegaciones, todas las citas de doctrina constitucional que se incluyen como apoyo en este punto, versan sobre la suspensión de normas legales en recursos de inconstitucionalidad donde, precisamente, y a diferencia de este amparo, sí se resuelve acerca de la nulidad de la disposición general de que se trata. Tampoco alcanza virtualidad la cita que se hace del art. 30 LOTC, puesto que claramente no es una disposición aplicable dentro del recurso de amparo.</w:t>
      </w:r>
    </w:p>
    <w:p w:rsidR="006B7292" w:rsidRDefault="006B7292" w:rsidP="006B7292">
      <w:pPr>
        <w:pStyle w:val="TextoNormal"/>
      </w:pPr>
    </w:p>
    <w:p w:rsidR="006B7292" w:rsidRDefault="006B7292" w:rsidP="006B7292">
      <w:pPr>
        <w:pStyle w:val="TextoNormal"/>
      </w:pPr>
      <w:r>
        <w:t>Por todo lo expuesto, la Sala</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Denegar la suspensión solicitada.</w:t>
      </w:r>
    </w:p>
    <w:p w:rsidR="006B7292" w:rsidRDefault="006B7292" w:rsidP="006B7292">
      <w:pPr>
        <w:pStyle w:val="TextoNormal"/>
      </w:pPr>
    </w:p>
    <w:p w:rsidR="006B7292" w:rsidRDefault="006B7292" w:rsidP="006B7292">
      <w:pPr>
        <w:pStyle w:val="TextoNormal"/>
      </w:pPr>
      <w:r>
        <w:t>Madrid, a catorce de diciembre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27" w:name="AUTO_2015_213"/>
      <w:r>
        <w:t>AUTO 213/2015, de 14 de diciembre de 2015</w:t>
      </w:r>
    </w:p>
    <w:bookmarkEnd w:id="227"/>
    <w:p w:rsidR="006B7292" w:rsidRDefault="006B7292" w:rsidP="006B7292">
      <w:pPr>
        <w:pStyle w:val="TtuloResolucin"/>
      </w:pPr>
      <w:r>
        <w:t>Sala Primera</w:t>
      </w:r>
    </w:p>
    <w:p w:rsidR="006B7292" w:rsidRDefault="006B7292" w:rsidP="006B7292">
      <w:pPr>
        <w:pStyle w:val="TextoNormalCentrado"/>
      </w:pPr>
      <w:r>
        <w:t>ECLI:ES:TC:2015:213A</w:t>
      </w:r>
    </w:p>
    <w:p w:rsidR="006B7292" w:rsidRDefault="006B7292" w:rsidP="006B7292">
      <w:pPr>
        <w:pStyle w:val="TextoNormalCentrado"/>
      </w:pPr>
    </w:p>
    <w:p w:rsidR="006B7292" w:rsidRDefault="006B7292" w:rsidP="006B7292">
      <w:pPr>
        <w:pStyle w:val="SntesisDescriptiva"/>
      </w:pPr>
      <w:r>
        <w:t>Excms. Srs. don Francisco Pérez de los Cobos Orihuel, doña Encarnación Roca Trías, don Andrés Ollero Tassara, don Santiago Martínez-Vares García y don Juan Antonio Xiol Ríos.</w:t>
      </w:r>
    </w:p>
    <w:p w:rsidR="006B7292" w:rsidRDefault="006B7292" w:rsidP="006B7292">
      <w:pPr>
        <w:pStyle w:val="SntesisDescriptiva"/>
      </w:pPr>
    </w:p>
    <w:p w:rsidR="006B7292" w:rsidRDefault="006B7292" w:rsidP="006B7292">
      <w:pPr>
        <w:pStyle w:val="SntesisDescriptiva"/>
      </w:pPr>
      <w:r>
        <w:t>Deniega la suspensión en el recurso de amparo 583-2015, promovido por el Ayuntamiento de Toledo en proceso contencioso-administrativo.</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día 30 de enero de 2015 tuvo entrada en el Registro General de este Tribunal Constitucional, un escrito del Procurador de los Tribunales don Alberto Collado Martín, en nombre y representación del Ayuntamiento de Toledo, por el que interponía recurso de amparo contra las siguientes resoluciones: (i) la Sentencia de la Sección Primera de la Sala de lo Contencioso-Administrativo del Tribunal Superior de Justicia de Castilla-La Mancha, de 28 de noviembre de 2011, estimatoria de recurso contencioso-administrativo interpuesto contra la entidad aquí recurrente; (ii) el Auto de la Sección Primera de la Sala de lo Contencioso-Administrativo del Tribunal Supremo, de 3 de abril de 2014, que declaró la pérdida sobrevenida del objeto del recurso de casación interpuesto contra dicha Sentencia; y (iii) el Auto de 13 de noviembre de 2014, de la misma Sala y Sección del Tribunal Supremo, que desestimó el incidente de nulidad de actuaciones promovido contra el citado Auto de 3 de abril de 2014. La demanda les atribuye la vulneración de los derechos a la tutela judicial efectiva (art. 24.1 CE) y a un proceso con todas las garantías (art. 24.2 CE), por exceso de jurisdicción.</w:t>
      </w:r>
    </w:p>
    <w:p w:rsidR="006B7292" w:rsidRDefault="006B7292" w:rsidP="006B7292">
      <w:pPr>
        <w:pStyle w:val="TextoNormal"/>
      </w:pPr>
    </w:p>
    <w:p w:rsidR="006B7292" w:rsidRDefault="006B7292" w:rsidP="006B7292">
      <w:pPr>
        <w:pStyle w:val="TextoNormal"/>
      </w:pPr>
      <w:r w:rsidRPr="006B7292">
        <w:rPr>
          <w:rStyle w:val="NumeroAFNegritaCaracter"/>
        </w:rPr>
        <w:t>2</w:t>
      </w:r>
      <w:r>
        <w:t>. Sucintamente, los hechos relevantes para resolver la pretensión de suspensión de la demandante son los siguientes:</w:t>
      </w:r>
    </w:p>
    <w:p w:rsidR="006B7292" w:rsidRDefault="006B7292" w:rsidP="006B7292">
      <w:pPr>
        <w:pStyle w:val="TextoNormal"/>
      </w:pPr>
    </w:p>
    <w:p w:rsidR="006B7292" w:rsidRDefault="006B7292" w:rsidP="006B7292">
      <w:pPr>
        <w:pStyle w:val="TextoNormal"/>
      </w:pPr>
      <w:r>
        <w:t>a) La Sección Primera de la Sala de lo Contencioso-Administrativo del Tribunal Superior de Justicia de Castilla-La Mancha dictó Sentencia el 28 de noviembre de 2011 estimando el recurso contencioso-administrativo núm. 550-2007, promovido “contra la Orden de la Consejería de Vivienda y Urbanismo, de fecha 26 de marzo de 2007, por la que se aprobó definitivamente el Plan de Ordenación Municipal del Toledo, el cual se declara contrario a derecho y se anula”.</w:t>
      </w:r>
    </w:p>
    <w:p w:rsidR="006B7292" w:rsidRDefault="006B7292" w:rsidP="006B7292">
      <w:pPr>
        <w:pStyle w:val="TextoNormal"/>
      </w:pPr>
    </w:p>
    <w:p w:rsidR="006B7292" w:rsidRDefault="006B7292" w:rsidP="006B7292">
      <w:pPr>
        <w:pStyle w:val="TextoNormal"/>
      </w:pPr>
      <w:r>
        <w:t xml:space="preserve">Como </w:t>
      </w:r>
      <w:r w:rsidRPr="006B7292">
        <w:rPr>
          <w:i/>
        </w:rPr>
        <w:t>ratio decidendi</w:t>
      </w:r>
      <w:r>
        <w:t xml:space="preserve"> de esta Sentencia, la Sala de instancia aprecia que el plan debía haberse sometido a un segundo trámite de información pública, dadas las sustanciales modificaciones introducidas respecto al proyecto objeto inicialmente de información pública. Con aplicación de doctrina precedente de la Sala Tercera del Tribunal Supremo, señala que a esta exigencia de nuevo trámite de información no obsta el tenor del art. 36.2 a) del texto refundido de la Ley de ordenación del territorio y de la actividad urbanística de Castilla-La Mancha (Decreto Legislativo 1/2004, de 28 de diciembre), precepto que expresamente dispensa de abrir nuevo trámite en tal circunstancia, resultando sin embargo que el mismo se opone a lo previsto por la norma básica del Estado en la materia, el art. 6.1 de la Ley 6/1998, de 13 de abril, sobre el régimen del suelo y valoraciones, todos ellos entonces vigentes, dando lugar a que la Sala de instancia no aplicara la norma autonómica por ese motivo.</w:t>
      </w:r>
    </w:p>
    <w:p w:rsidR="006B7292" w:rsidRDefault="006B7292" w:rsidP="006B7292">
      <w:pPr>
        <w:pStyle w:val="TextoNormal"/>
      </w:pPr>
    </w:p>
    <w:p w:rsidR="006B7292" w:rsidRDefault="006B7292" w:rsidP="006B7292">
      <w:pPr>
        <w:pStyle w:val="TextoNormal"/>
      </w:pPr>
      <w:r>
        <w:t>b) Contra la Sentencia de 28 de noviembre de 2011 se interpuso recurso de casación por el Ayuntamiento de Toledo (núm. 240-2012), dictando la Sección Primera de la Sala de lo Contencioso-Administrativo del Tribunal Supremo, Auto de 3 de abril de 2014 por el que acuerda: “declarar la pérdida sobrevenida de objeto de los recursos de casación interpuestos en el rollo 240-2012 por la Junta de Comunidades de Castilla-La Mancha y por el Ayuntamiento de Toledo”.</w:t>
      </w:r>
    </w:p>
    <w:p w:rsidR="006B7292" w:rsidRDefault="006B7292" w:rsidP="006B7292">
      <w:pPr>
        <w:pStyle w:val="TextoNormal"/>
      </w:pPr>
    </w:p>
    <w:p w:rsidR="006B7292" w:rsidRDefault="006B7292" w:rsidP="006B7292">
      <w:pPr>
        <w:pStyle w:val="TextoNormal"/>
      </w:pPr>
      <w:r>
        <w:t>El Auto pone de relieve la sustancial identidad de objeto del citado recurso con el resuelto en sentido desestimatorio por la Sección Quinta de la misma Sala Tercera del Alto Tribunal en su Sentencia de 27 de febrero de 2014 (recurso de casación núm. 5116-2011), promovido también por el Ayuntamiento de Toledo contra Sentencia del Tribunal Superior de Justicia de Castilla-La Mancha de 26 de julio de 2011, por la que la Sala de instancia anuló la Orden de 26 de marzo de 2007 de la Consejería de Vivienda y Urbanismo por la que se aprueba definitivamente el plan de ordenación municipal de Toledo, Sentencia esta última que queda confirmada. Seguidamente, en su razonamiento jurídico segundo el Auto indica: “esta circunstancia sobrevenida priva de objeto a los recursos de casación que ahora examinamos, pues carece de sentido que, aunque sea por la vía de enjuiciar el contenido de la sentencia aquí recurrida, nos pronunciemos sobre si es o no ajustada a derecho una disposición de carácter general —tal es la naturaleza de los planes de ordenación— que ya ha sido declarada nula por sentencia firme y que, por tanto, ha sido expulsada del ordenamiento jurídico”. Cita en su apoyo el art. 72.2 de la Ley 29/1998, reguladora de la jurisdicción contencioso-administrativa, afirmando que “o bien carece de interés abundar o insistir en una nulidad ya declarada, o bien resulta nocivo para la seguridad jurídica contradecir o alterar lo ya señalado por sentencia firme”.</w:t>
      </w:r>
    </w:p>
    <w:p w:rsidR="006B7292" w:rsidRDefault="006B7292" w:rsidP="006B7292">
      <w:pPr>
        <w:pStyle w:val="TextoNormal"/>
      </w:pPr>
    </w:p>
    <w:p w:rsidR="006B7292" w:rsidRDefault="006B7292" w:rsidP="006B7292">
      <w:pPr>
        <w:pStyle w:val="TextoNormal"/>
      </w:pPr>
      <w:r>
        <w:t>Y remacha en el razonamiento jurídico tercero, concluyendo que “los presentes recursos de casación han quedado privado de objeto”.</w:t>
      </w:r>
    </w:p>
    <w:p w:rsidR="006B7292" w:rsidRDefault="006B7292" w:rsidP="006B7292">
      <w:pPr>
        <w:pStyle w:val="TextoNormal"/>
      </w:pPr>
    </w:p>
    <w:p w:rsidR="006B7292" w:rsidRDefault="006B7292" w:rsidP="006B7292">
      <w:pPr>
        <w:pStyle w:val="TextoNormal"/>
      </w:pPr>
      <w:r>
        <w:t>c) Promovido incidente de nulidad de actuaciones por el Ayuntamiento de Toledo contra esta resolución, fundado en las mismas razones invocadas por dicha parte en el incidente de nulidad instado contra la Sentencia de 27 de febrero de 2014 a la que se ha hecho referencia, la Sección Primera de la Sala de lo Contencioso-Administrativo del Tribunal Supremo dictó Auto el 13 de noviembre de 2014 en desestimación de lo pedido, trasladando para ello los argumentos ya vertidos en el Auto de 15 de julio de 2014, por el que había desestimado a su vez el incidente de nulidad instado contra la referida Sentencia de 27 de febrero de 2014.</w:t>
      </w:r>
    </w:p>
    <w:p w:rsidR="006B7292" w:rsidRDefault="006B7292" w:rsidP="006B7292">
      <w:pPr>
        <w:pStyle w:val="TextoNormal"/>
      </w:pPr>
    </w:p>
    <w:p w:rsidR="006B7292" w:rsidRDefault="006B7292" w:rsidP="006B7292">
      <w:pPr>
        <w:pStyle w:val="TextoNormal"/>
      </w:pPr>
      <w:r w:rsidRPr="006B7292">
        <w:rPr>
          <w:rStyle w:val="NumeroAFNegritaCaracter"/>
        </w:rPr>
        <w:t>3</w:t>
      </w:r>
      <w:r>
        <w:t>. La demanda de amparo alega la vulneración de los derechos a la tutela judicial efectiva (art. 24.1 CE) y a un proceso con todas las garantías (art. 24.2 CE), por incurrir las resoluciones impugnadas en un exceso de jurisdicción, consistente en no aplicar una ley autonómica vigente que resultaba pertinente al caso —aduciendo haber seleccionado una norma estatal básica—, sin plantear antes cuestión de inconstitucionalidad del art. 163 CE ante este Tribunal Constitucional con el fin de obtener un pronunciamiento sobre ello, tal y como exige nuestra doctrina, que al efecto se invoca (SSTC 73/2000, 104/2000, 120/2000, 173/2002, 66/2011, 187/2012 y 177/2013). Este exceso de jurisdicción produjo además, según la demanda, que se haya colocado al Ayuntamiento de Toledo en una “situación de efectiva indefensión, pues ni tuvo oportunidad ni ocasión de prever, dado el sometimiento judicial al imperio de la ley, tal preterición del sistema de fuentes, ni pudo hacer uso del trámite de alegaciones del artículo 35 LOTC”.</w:t>
      </w:r>
    </w:p>
    <w:p w:rsidR="006B7292" w:rsidRDefault="006B7292" w:rsidP="006B7292">
      <w:pPr>
        <w:pStyle w:val="TextoNormal"/>
      </w:pPr>
    </w:p>
    <w:p w:rsidR="006B7292" w:rsidRDefault="006B7292" w:rsidP="006B7292">
      <w:pPr>
        <w:pStyle w:val="TextoNormal"/>
      </w:pPr>
      <w:r>
        <w:t>Por “otrosí tercero digo” en la misma demanda, se solicitó la suspensión de los efectos de las resoluciones judiciales recurridas en amparo. Con cita del art. 56.2 de la Ley Orgánica del Tribunal Constitucional (LOTC) y doctrina general de este Tribunal sobre la posibilidad de acordar la suspensión de las resoluciones firmes, argumenta la parte que en el presente caso, de no concederse ésta, se causaría un perjuicio que haría perder al amparo su finalidad, dado que dichas resoluciones han procedido a anular el plan general de ordenación municipal de Toledo aprobado el 26 de marzo de 2007, el cual en estos años ha “desplegado plenamente efectos a través de diversos planes parciales, estudios de detalle y otros instrumentos de planeamiento así como multitud de actos de desarrollo ejecución (especialmente licencias), a los que aún han de seguir otros muchos hasta el cumplimiento de la política territorial, urbanística, medioambiental y social plasmada en aquel Plan General”. Prosigue el escrito diciendo que no acordar la suspensión supondría la paralización del plan y el “restablecimiento de la situación urbanística de Toledo a la situación anterior al mismo, con la consiguiente demolición de cuanto se ha construido al amparo de la nueva ordenación municipal de 2007”. Y añade: “Los perjuicios que con ello se habrían de provocar serían indiscriminados para todas las personas que han decidido invertir en la ciudad de Toledo, provocando una verdadera catástrofe de consecuencias incalculable”.</w:t>
      </w:r>
    </w:p>
    <w:p w:rsidR="006B7292" w:rsidRDefault="006B7292" w:rsidP="006B7292">
      <w:pPr>
        <w:pStyle w:val="TextoNormal"/>
      </w:pPr>
    </w:p>
    <w:p w:rsidR="006B7292" w:rsidRDefault="006B7292" w:rsidP="006B7292">
      <w:pPr>
        <w:pStyle w:val="TextoNormal"/>
      </w:pPr>
      <w:r>
        <w:t>Se alega también que la suspensión viene exigida por los intereses generales, prevalentes éstos frente al exclusivo interés particular del actor en la instancia, además de que la medida no afectaría a los derechos fundamentales ni a las libertades de terceros. Se invoca por último el art. 30 LOTC, respecto a la no suspensión de disposiciones generales que son objeto de planteamiento de una cuestión de constitucionalidad admitida a trámite por este Tribunal, precepto que se habría aplicado si los órganos judiciales competentes, “como debió haberse hecho”, hubieran elevado la cuestión.</w:t>
      </w:r>
    </w:p>
    <w:p w:rsidR="006B7292" w:rsidRDefault="006B7292" w:rsidP="006B7292">
      <w:pPr>
        <w:pStyle w:val="TextoNormal"/>
      </w:pPr>
    </w:p>
    <w:p w:rsidR="006B7292" w:rsidRDefault="006B7292" w:rsidP="006B7292">
      <w:pPr>
        <w:pStyle w:val="TextoNormal"/>
      </w:pPr>
      <w:r w:rsidRPr="006B7292">
        <w:rPr>
          <w:rStyle w:val="NumeroAFNegritaCaracter"/>
        </w:rPr>
        <w:t>4</w:t>
      </w:r>
      <w:r>
        <w:t>. Por providencia de 5 de octubre de 2015, la Sala Primera acordó admitir a trámite el recurso de amparo, “apreciando que concurre en el mismo una especial trascendencia constitucional (art. 50.1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w:t>
      </w:r>
    </w:p>
    <w:p w:rsidR="006B7292" w:rsidRDefault="006B7292" w:rsidP="006B7292">
      <w:pPr>
        <w:pStyle w:val="TextoNormal"/>
      </w:pPr>
    </w:p>
    <w:p w:rsidR="006B7292" w:rsidRDefault="006B7292" w:rsidP="006B7292">
      <w:pPr>
        <w:pStyle w:val="TextoNormal"/>
      </w:pPr>
      <w:r w:rsidRPr="006B7292">
        <w:rPr>
          <w:rStyle w:val="NumeroAFNegritaCaracter"/>
        </w:rPr>
        <w:t>5</w:t>
      </w:r>
      <w:r>
        <w:t>. El propio día 5 de octubre de 2015, mediante nueva providencia de la Sala Primera de este Tribunal se acordó “formar con el precedente testimonio la presente pieza separada de suspensión” y, de conformidad con lo prevenido en el art. 56 LOTC, conceder plazo común de tres días al Ministerio Fiscal y al solicitante del amparo para formular alegaciones.</w:t>
      </w:r>
    </w:p>
    <w:p w:rsidR="006B7292" w:rsidRDefault="006B7292" w:rsidP="006B7292">
      <w:pPr>
        <w:pStyle w:val="TextoNormal"/>
      </w:pPr>
    </w:p>
    <w:p w:rsidR="006B7292" w:rsidRDefault="006B7292" w:rsidP="006B7292">
      <w:pPr>
        <w:pStyle w:val="TextoNormal"/>
      </w:pPr>
      <w:r w:rsidRPr="006B7292">
        <w:rPr>
          <w:rStyle w:val="NumeroAFNegritaCaracter"/>
        </w:rPr>
        <w:t>6</w:t>
      </w:r>
      <w:r>
        <w:t>. Por escrito de 14 de octubre de 2015, la representación procesal de la recurrente mantuvo la petición de suspensión de los efectos de las resoluciones judiciales impugnadas, afirmando que ésta resulta procedente “[m]ás aún, tras la reciente STC, de esta Sala Primera, de 21 de septiembre de 2015 (recurso 6011-2014)”.</w:t>
      </w:r>
    </w:p>
    <w:p w:rsidR="006B7292" w:rsidRDefault="006B7292" w:rsidP="006B7292">
      <w:pPr>
        <w:pStyle w:val="TextoNormal"/>
      </w:pPr>
    </w:p>
    <w:p w:rsidR="006B7292" w:rsidRDefault="006B7292" w:rsidP="006B7292">
      <w:pPr>
        <w:pStyle w:val="TextoNormal"/>
      </w:pPr>
      <w:r>
        <w:t xml:space="preserve">En sustento de su afirmación, tras exponer las razones por las que se ha venido defendiendo la directa relación entre este recurso de amparo y el identificado con el núm. 6011-2014, lo que trae consigo que “los motivos y fundamentos de las demandas de amparo son idénticos”, el escrito incide en el sentido estimatorio de la Sentencia de la Sala Primera de este Tribunal, de 21 de septiembre de 2015, resolutoria de aquel recurso núm. 6011-2014, que otorga el amparo al Ayuntamiento de Toledo por vulneración de los mismos derechos fundamentales invocados aquí como infringidos. Al parecer de la corporación local recurrente, esta declaración de nulidad del Tribunal conforma un </w:t>
      </w:r>
      <w:r w:rsidRPr="006B7292">
        <w:rPr>
          <w:i/>
        </w:rPr>
        <w:t>fumus boni iuris</w:t>
      </w:r>
      <w:r>
        <w:t xml:space="preserve"> justificativo de la medida de suspensión, en línea con lo afirmado en similar sentido por la doctrina constitucional en materia de recursos de inconstitucionalidad, con cita de los AATC 243/1993 y 78/1987.</w:t>
      </w:r>
    </w:p>
    <w:p w:rsidR="006B7292" w:rsidRDefault="006B7292" w:rsidP="006B7292">
      <w:pPr>
        <w:pStyle w:val="TextoNormal"/>
      </w:pPr>
    </w:p>
    <w:p w:rsidR="006B7292" w:rsidRDefault="006B7292" w:rsidP="006B7292">
      <w:pPr>
        <w:pStyle w:val="TextoNormal"/>
      </w:pPr>
      <w:r>
        <w:t>Se ocupa en segundo lugar el escrito de alegaciones, de concretar los perjuicios “irreparables, reales y concretos que se derivarían de la no suspensión de las resoluciones judiciales impugnadas”, acompañando como documento de apoyo un informe firmado por un arquitecto municipal. En tal sentido, se refiere en primer término a la “protección del interés ecológico y medioambiental en el POM del año 2007” sobre ciertas zonas que identifica, citando doctrina del Tribunal sobre la protección del medioambiente como valor superior y su consideración como criterio para acordar la suspensión de normas en recursos de inconstitucionalidad (cita los AATC 353/1995, de 20 de diciembre, FJ 2; 88/2008, de 2 de abril; 34/2009, de 27 de enero; 225/2009, de 27 de julio; 227/2009, de 10 de diciembre; 56/2010, de 29 de mayo, y 114/2011, de 19 de julio). En segundo lugar, indica la protección que acomete aquel mismo plan sobre el patrimonio histórico, artístico y cultural, a través de la carta arqueológica incorporada al mismo, con una zonificación de Toledo dividida en “ámbitos de protección arqueológica" y “ámbitos de prevención arqueológica”, así como también mediante el catálogo de bienes de protección monumental, lo cual debe ser ponderado para resolver la suspensión (con cita del ATC 104/2010, de 28 de julio). En tercer y último lugar, se habla en el escrito de alegaciones de “grandes infraestructuras de la ciudad” que quedarían afectadas, como autopistas, puentes, o el Hospital General de Toledo, así como zonas de equipamiento público.</w:t>
      </w:r>
    </w:p>
    <w:p w:rsidR="006B7292" w:rsidRDefault="006B7292" w:rsidP="006B7292">
      <w:pPr>
        <w:pStyle w:val="TextoNormal"/>
      </w:pPr>
    </w:p>
    <w:p w:rsidR="006B7292" w:rsidRDefault="006B7292" w:rsidP="006B7292">
      <w:pPr>
        <w:pStyle w:val="TextoNormal"/>
      </w:pPr>
      <w:r>
        <w:t>Finalmente, se reitera la invocación hecha en la demanda al art. 30 LOTC, por cuanto de haberse planteado la cuestión de inconstitucionalidad, no se hubiera suspendido la vigencia ni la aplicación de la ley autonómica, cuyo indebido desplazamiento por las resoluciones recurridas es lo que ha provocado la anulación del plan.</w:t>
      </w:r>
    </w:p>
    <w:p w:rsidR="006B7292" w:rsidRDefault="006B7292" w:rsidP="006B7292">
      <w:pPr>
        <w:pStyle w:val="TextoNormal"/>
      </w:pPr>
    </w:p>
    <w:p w:rsidR="006B7292" w:rsidRDefault="006B7292" w:rsidP="006B7292">
      <w:pPr>
        <w:pStyle w:val="TextoNormal"/>
      </w:pPr>
      <w:r w:rsidRPr="006B7292">
        <w:rPr>
          <w:rStyle w:val="NumeroAFNegritaCaracter"/>
        </w:rPr>
        <w:t>7</w:t>
      </w:r>
      <w:r>
        <w:t>. Con fecha de 20 de octubre de 2015 tuvo entrada en el Registro General de este Tribunal, escrito del Fiscal, en el que considera que “no procede acceder a la suspensión solicitada por la Administración recurrente … sin perjuicio de que por el Tribunal Constitucional se pondere la Sentencia dictada por el mismo con fecha 21 de septiembre de 2015 (recurso de amparo 6011-2014), a los efectos de acordar de oficio la suspensión” de las resoluciones recurridas.</w:t>
      </w:r>
    </w:p>
    <w:p w:rsidR="006B7292" w:rsidRDefault="006B7292" w:rsidP="006B7292">
      <w:pPr>
        <w:pStyle w:val="TextoNormal"/>
      </w:pPr>
    </w:p>
    <w:p w:rsidR="006B7292" w:rsidRDefault="006B7292" w:rsidP="006B7292">
      <w:pPr>
        <w:pStyle w:val="TextoNormal"/>
      </w:pPr>
      <w:r>
        <w:t>Así, luego de relatar los antecedentes procesales que dan lugar a las resoluciones recurridas en este amparo y destacar el hecho de su identidad de objeto con el del recurso de amparo núm. 6011-2014, donde se denegó la solicitud de suspensión realizada por la misma entidad recurrente, el Fiscal indica que, a tenor de la STC de 21 de septiembre de 2015, la STS de 27 de febrero de 2014 ha quedado sin efecto, por lo que la eventual ejecución de aquella Sentencia no se puede producir (art. 55 LOTC), toda vez que ha sido anulada, y consiguientemente tampoco podría producir efectos en el presente procedimiento. Por su parte, respecto a las resoluciones recurridas en el presente recurso de amparo, se recuerda la doctrina establecida en el ATC 117/2015, de 6 de julio, por el que no se accedía a la suspensión solicitada en relación con la ejecución de la Sentencia de 26 de julio de 2011 del Tribunal Superior de Justicia de Castilla-La Mancha. En aplicación de dicha doctrina (fundamento jurídico 4) y dado que las argumentaciones de la solicitud de suspensión son sustanciales a las planteadas en el recurso de amparo 6011-2014 en que dicho Auto denegatorio se dictó, también aquí el Fiscal considera improcedente la suspensión solicitada. A tal conclusión no es óbice el escrito de alegaciones presentado por el Ayuntamiento de Toledo, dado que, por un lado, se remite a las consideraciones efectuadas en la demanda, y por otro, considera que, en cuanto a los concretos y reales perjuicios a que se hace referencia, más bien se trataría de las consecuencias de la aplicación de una normativa preexistente y de la demora en la ejecución de proyectos, pero sin que su falta de desarrollo pueda equipararse a perjuicio irreversible, máxime cuando esta situación aún está condicionada por la decisión que se adopte por el Tribunal Superior de Justicia de Castilla-La Mancha en ejecución de la STC de 21 de septiembre de 2015, que acordó la retroacción de actuaciones. Todo ello sin perjuicio de que se reitere la solicitud en un futuro (art. 57 LOTC y ATC 26/2011, FJ 3).</w:t>
      </w:r>
    </w:p>
    <w:p w:rsidR="006B7292" w:rsidRDefault="006B7292" w:rsidP="006B7292">
      <w:pPr>
        <w:pStyle w:val="TextoNormal"/>
      </w:pPr>
    </w:p>
    <w:p w:rsidR="006B7292" w:rsidRDefault="006B7292" w:rsidP="006B7292">
      <w:pPr>
        <w:pStyle w:val="TextoNormal"/>
      </w:pPr>
      <w:r>
        <w:t xml:space="preserve">Añade el Fiscal que el hecho de que la STC de 21 de septiembre de 2015 haya dejado sin efecto la STS de 27 de febrero de 2014 significa que el plan deja de estar anulado en el proceso núm. 556-2007 del Tribunal Superior de Justicia de Castilla-La Mancha. De esta manera, indica, el ATS aquí impugnado —que acuerda la pérdida sobrevenida de objeto—, cuya </w:t>
      </w:r>
      <w:r w:rsidRPr="006B7292">
        <w:rPr>
          <w:i/>
        </w:rPr>
        <w:t>ratio decidendi</w:t>
      </w:r>
      <w:r>
        <w:t xml:space="preserve"> es la preexistencia de la STS de 27 de febrero de 2014, queda huérfano de todo fundamento, si bien, en cuanto no está anulado, continúa desplegando todos sus efectos, y, por tanto, la confirmación de la Sentencia del Tribunal Superior de Justicia de Castilla-La Mancha de 18 de julio de 2011, y, consecuentemente, la nulidad del plan de ordenación de Toledo. Remarca el Fiscal el carácter paradójico y contradictorio de la situación, pues los efectos de la Sentencia del Tribunal Constitucional se ven constreñidos por la eficacia de la Sentencia y Auto aquí recurridos, que siguen desplegando sus efectos cuando la razón de su fundamento —la STS de 27 de febrero de 2014— se encuentra anulada. Tales resoluciones aquí recurridas, indica, hacen prevalecer la anulación de un plan que por virtud de la STC de 21 de septiembre de 2015 ha dejado de estar anulado. Afirma que, siendo cierto que los efectos del amparo solo se proyectan sobre el proceso en que se acuerda, se produce una situación de incertidumbre e inseguridad jurídica, pues no es posible que un plan de ordenación se encuentre a su vez vigente y nulo. A su entender, esta situación significaría un perjuicio actual por la simultaneidad de sentencias contradictorias que despliegan conjuntamente su eficacia, poniendo de relieve que la resolución aquí impugnada se sobrepondría sobre el pronunciamiento de amparo y haría perder a este segundo amparo su finalidad, al continuar aplicándose el plan de 2007 fuera del proceso a que se refiere el recurso de amparo 6011-2014, en tanto el recurso actual no fuera objeto de resolución. En evitación de este resultado incoherente, contrario a la seguridad jurídica (art. 9.3 CE) y a la ejecutividad de las resoluciones judiciales y del propio Tribunal Constitucional, como manifestación del derecho a la tutela judicial efectiva (art. 24.1 CE), considera que existiría un interés público en que sea respetada la realidad jurídica surgida tras la STC reseñada, por lo que debería acomodarse la situación a lo acordado en ella. Recuerda por último que el art. 56.2 LOTC prevé la suspensión no solo a instancia del recurrente, sino también de oficio, lo que podría estar justificado en este caso a fin de respetar la coherencia del pronunciamiento de esta jurisdicción constitucional.</w:t>
      </w:r>
    </w:p>
    <w:p w:rsidR="006B7292" w:rsidRDefault="006B7292" w:rsidP="006B7292">
      <w:pPr>
        <w:pStyle w:val="TextoNormal"/>
      </w:pPr>
    </w:p>
    <w:p w:rsidR="006B7292" w:rsidRDefault="006B7292" w:rsidP="006B7292">
      <w:pPr>
        <w:pStyle w:val="TextoNormal"/>
      </w:pPr>
      <w:r w:rsidRPr="006B7292">
        <w:rPr>
          <w:rStyle w:val="NumeroAFNegritaCaracter"/>
        </w:rPr>
        <w:t>8</w:t>
      </w:r>
      <w:r>
        <w:t>. Mediante diligencia de ordenación del Secretario de Justicia de la Sala Primera de 18 de noviembre de 2015 se indicó que, habiéndose personado el Procurador don Francisco Velasco Muñoz-Cuéllar, en representación de la Junta de Comunidades de Castilla-La Mancha, de conformidad con lo prevenido en el art. 56 LOTC se concedía un plazo de tres días al citado Procurador para que en dicho término alegase lo que estimase pertinente en relación con la petición de suspensión interesada por el recurrente.</w:t>
      </w:r>
    </w:p>
    <w:p w:rsidR="006B7292" w:rsidRDefault="006B7292" w:rsidP="006B7292">
      <w:pPr>
        <w:pStyle w:val="TextoNormal"/>
      </w:pPr>
    </w:p>
    <w:p w:rsidR="006B7292" w:rsidRDefault="006B7292" w:rsidP="006B7292">
      <w:pPr>
        <w:pStyle w:val="TextoNormal"/>
      </w:pPr>
      <w:r w:rsidRPr="006B7292">
        <w:rPr>
          <w:rStyle w:val="NumeroAFNegritaCaracter"/>
        </w:rPr>
        <w:t>9</w:t>
      </w:r>
      <w:r>
        <w:t>. El 25 de noviembre de 2015 tuvo entrada en el Registro General de este Tribunal un escrito de don Francisco Velasco Muñoz-Cuéllar, Procurador de los Tribunales y de la Junta de Comunidades de Castilla-La Mancha, en el que manifiesta no oponerse a la suspensión interesada por el Ayuntamiento de Toledo.</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La entidad demandante de amparo solicita en un otrosí digo de su escrito de demanda la suspensión de los efectos de las resoluciones judiciales impugnadas en el presente recurso, las cuales, como ya se expuso en los antecedentes, son la Sentencia de la Sección Primera de la Sala de lo Contencioso-Administrativo del Tribunal Superior de Justicia de Castilla-La Mancha de 28 de noviembre de 2011, que acordó estimar el recurso contencioso-administrativo interpuesto contra el plan de ordenación municipal de Toledo, aprobado por Orden de 26 de marzo de 2007 de la Consejería de Vivienda y Urbanismo, declarando su nulidad; el Auto de la Sección Primera de la Sala de lo Contencioso-Administrativo del Tribunal Supremo, de 3 de abril de 2014, que declaró la pérdida sobrevenida del objeto del recurso de casación interpuesto contra la anterior, al existir ya una Sentencia firme de la Sección Quinta de la misma Sala Tercera del Tribunal Supremo que asienta doctrina contraria a la pretensión de la recurrente; y el Auto de 13 de noviembre de 2014, que desestima el incidente de nulidad de actuaciones promovido por la misma parte procesal, contra el Auto que acaba de indicarse. Con posterioridad y según se ha dejado expuesto, una vez admitido a trámite este recurso de amparo y ordenada por la Sala Primera de este Tribunal la apertura de pieza separada de suspensión, la parte demandante ha presentado escrito de alegaciones en el que se amplían las formuladas inicialmente, de un lado aludiendo al dictado de la STC 195/2015, de 21 de septiembre, de la Sala Primera de este Tribunal, que declara nulas las resoluciones judiciales impugnadas en el recurso de amparo núm. 6011-2014, de objeto sustancialmente idéntico al que aquí nos ocupa. Y de otro lado, intentando concretar los daños irreparables que a su criterio ocasionaría la no suspensión, en virtud de la paralización del plan de ordenación municipal de Toledo.</w:t>
      </w:r>
    </w:p>
    <w:p w:rsidR="006B7292" w:rsidRDefault="006B7292" w:rsidP="006B7292">
      <w:pPr>
        <w:pStyle w:val="TextoNormal"/>
      </w:pPr>
    </w:p>
    <w:p w:rsidR="006B7292" w:rsidRDefault="006B7292" w:rsidP="006B7292">
      <w:pPr>
        <w:pStyle w:val="TextoNormal"/>
      </w:pPr>
      <w:r>
        <w:t>Así estructurada la pretensión de suspensión de las resoluciones judiciales recurridas, conviene seguir en su respuesta el mismo orden con el que han sido presentadas a esta Sala por la recurrente.</w:t>
      </w:r>
    </w:p>
    <w:p w:rsidR="006B7292" w:rsidRDefault="006B7292" w:rsidP="006B7292">
      <w:pPr>
        <w:pStyle w:val="TextoNormal"/>
      </w:pPr>
    </w:p>
    <w:p w:rsidR="006B7292" w:rsidRDefault="006B7292" w:rsidP="006B7292">
      <w:pPr>
        <w:pStyle w:val="TextoNormal"/>
      </w:pPr>
      <w:r w:rsidRPr="006B7292">
        <w:rPr>
          <w:rStyle w:val="NumeroAFNegritaCaracter"/>
        </w:rPr>
        <w:t>2</w:t>
      </w:r>
      <w:r>
        <w:t>. De esta manera, por lo que concierne en primer lugar a los motivos que se esgrimen en la demanda de amparo, dado que presentan idéntico contenido a los que se defendieron a su vez por el mismo ayuntamiento en la solicitud de suspensión de las resoluciones impugnadas en el recurso de amparo núm. 6011-2014, cuyo objeto, según se ha venido destacando por ella misma y con acierto, resulta sustancialmente el mismo al que aquí se dilucida, procede por una elemental razón de unidad de criterio reiterar las afirmaciones realizadas en el ATC 117/2015, de 6 de julio, por el que se acordó denegar la suspensión solicitada en aquel recurso de amparo núm. 6011-2014.</w:t>
      </w:r>
    </w:p>
    <w:p w:rsidR="006B7292" w:rsidRDefault="006B7292" w:rsidP="006B7292">
      <w:pPr>
        <w:pStyle w:val="TextoNormal"/>
      </w:pPr>
    </w:p>
    <w:p w:rsidR="006B7292" w:rsidRDefault="006B7292" w:rsidP="006B7292">
      <w:pPr>
        <w:pStyle w:val="TextoNormal"/>
      </w:pPr>
      <w:r>
        <w:t>Como expresa el fundamento jurídico primero de dicho ATC 117/2015, en relación al régimen general aplicable para la suspensión de resoluciones firmes, “dispone el art. 56.2 de la Ley Orgánica del Tribunal Constitucional (LOTC) que cuando la ejecución del acto o sentencia impugnados produzca un perjuicio al recurrente que pudiese hacer perder al amparo su finalidad, la Sala o, en su caso, la Sección que conozca de un recurso de amparo podrá disponer la suspensión, total o parcial, de sus efectos, siempre y cuando la suspensión no ocasione perturbación grave a un interés constitucionalmente protegido, ni a los derechos fundamentales o libertades de otra persona. 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y siempre ‘que la suspensión no ocasione perturbación grave a un interés constitucionalmente protegido, ni a los derechos fundamentales o libertades de otra persona’ (art. 56.2 LOTC)”.</w:t>
      </w:r>
    </w:p>
    <w:p w:rsidR="006B7292" w:rsidRDefault="006B7292" w:rsidP="006B7292">
      <w:pPr>
        <w:pStyle w:val="TextoNormal"/>
      </w:pPr>
    </w:p>
    <w:p w:rsidR="006B7292" w:rsidRDefault="006B7292" w:rsidP="006B7292">
      <w:pPr>
        <w:pStyle w:val="TextoNormal"/>
      </w:pPr>
      <w:r>
        <w:t>Seguidamente, el fundamento jurídico segundo de este ATC 117/2015 se refiere al requisito del carácter no reparable del perjuicio, asentando que “es doctrina reiterada y unánime de este Tribunal, que la previsión contenida ahora en el art. 56.2 LOTC (en la redacción anterior a la reforma de la Ley Orgánica 6/2007 la establecía el art. 56.1 LOTC), que exige como uno de los requisitos para otorgar la suspensión que la ejecución del acto del poder público por razón del cual se reclama el amparo ocasione ‘un perjuicio al recurrente que pudiera hacer perder al amparo su finalidad’, debe interpretarse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(ATC 125/2003, de 23 de abril, FJ 2, y, en el mismo sentido AATC 20/2009, de 26 de enero, 94/2010, y 95/2010, ambos de 19 de julio, 122/2012, de 18 de junio, entre muchos). Por esta razón este Tribunal no accede, salvo excepciones, a la solicitud de suspensión de resoluciones que imponen obligaciones de pago de cantidad o, en general, de contenido económico o patrimonial, pues la lesión que de ellas se deriva es normalmente reparable (AATC 125/2003, de 23 de abril, 326/2005, de 12 de septiembre, 152/2006, de 8 de mayo, 357/2006, de 9 de octubre, 118/2008, de 28 de abril, 388/2008, de 15 de diciembre, y 20/2009 de 26 de enero, 95/2010, de 19 de julio, y 81/2012, de 7 de mayo, entre otros muchos). Con relación a los perjuicios de carácter patrimonial o económico hemos señalado que, por más que puedan producir efectos desfavorables a quien demanda amparo, no pueden considerarse, en principio, como causa suficiente para acordar la suspensión de una resolución judicial firme (AATC 93/2002, de 3 de junio, 106/2002, de 17 de junio, 165/2003, de 19 de mayo, 326/2005, de 12 de septiembre, y 386/2008, de 15 de diciembre, por todos). Sólo en el caso de que el recurrente en amparo justificase cumplidamente que el no otorgamiento de la suspensión le ocasionaría un perjuicio irreparable que haría perder al amparo su finalidad, (entre otros, ATC 185/2014, de 8 de julio), y siempre que de dicha medida cautelar no se siga perturbación grave de los intereses generales o de los derechos y libertades fundamentales de un tercero, procedería acordar la suspensión interesada.</w:t>
      </w:r>
    </w:p>
    <w:p w:rsidR="006B7292" w:rsidRDefault="006B7292" w:rsidP="006B7292">
      <w:pPr>
        <w:pStyle w:val="TextoNormal"/>
      </w:pPr>
    </w:p>
    <w:p w:rsidR="006B7292" w:rsidRDefault="006B7292" w:rsidP="006B7292">
      <w:pPr>
        <w:pStyle w:val="TextoNormal"/>
      </w:pPr>
      <w:r>
        <w:t>Y el fundamento jurídico tercero del mismo Auto 117/2015, completando la visión panorámica de la doctrina aplicable en esta materia, señala respecto a la carga procesal que concierne a la parte recurrente, que “también es doctrina constante del Tribunal que para excepcionar la regla general de la no suspensión es carga del recurrente probar que la ejecución del acto o Sentencia impugnados deba producirle un perjuicio que hiciere perder al amparo su finalidad (por todos AATC 39/2008, de 11 de febrero, FJ 1; 40/2008, de 11 de febrero, FJ 3; y 59/2008, de 20 de febrero, FJ 2). Así respecto de la carga alegatoria y probatoria del incidente en ATC 81/2012, de 7 de mayo, FJ 3, con cita de otros, hemos afirmado: ‘la acreditación del perjuicio es carga del recurrente, quien debe precisar los concretos perjuicios que de la ejecución se deriven, así como justificar o argumentar razonadamente la irreparabilidad de los mismos (AATC 107/1981, 226/1982, 385/1983, y 193/1984). A la par hemos dicho que, en todo caso, el perjuicio irreparable debe ser real, sin que sea posible alegar un perjuicio futuro o hipotético o un simple temor (AATC 490/1984, 399/1985, y 51/1989, entre otros muchos),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w:t>
      </w:r>
    </w:p>
    <w:p w:rsidR="006B7292" w:rsidRDefault="006B7292" w:rsidP="006B7292">
      <w:pPr>
        <w:pStyle w:val="TextoNormal"/>
      </w:pPr>
    </w:p>
    <w:p w:rsidR="006B7292" w:rsidRDefault="006B7292" w:rsidP="006B7292">
      <w:pPr>
        <w:pStyle w:val="TextoNormal"/>
      </w:pPr>
      <w:r w:rsidRPr="006B7292">
        <w:rPr>
          <w:rStyle w:val="NumeroAFNegritaCaracter"/>
        </w:rPr>
        <w:t>3</w:t>
      </w:r>
      <w:r>
        <w:t>. Partiendo pues de esta doctrina constitucional, el ATC 117/2015 entra a examinar en su fundamento jurídico cuarto los motivos aducidos por la entidad recurrente para apoyar la solicitud de suspensión, no apreciando éstos suficientemente sólidos por las razones que igualmente reproducimos: “En el presente caso, del examen de la solicitud de suspensión formulada cabe concluir que no se han acreditado circunstancias excepcionales que lleven a conceder la suspensión pedida. En efecto, como bien indica el Ministerio Fiscal, la suspensión que se solicita tiene un contenido patrimonial, que se circunscribe a la anulación del plan de ordenación municipal de Toledo, con retroacción de actuaciones de tramitación hasta la fase de nueva información pública. Ahora bien, dicho pronunciamiento no comporta como afirma el recurrente ‘la demolición de todo cuanto se ha construido’, ni tal consecuencia resulta acreditada por el documento núm. 6 al que alude el demandante y que se acompaña con la demanda. Debe insistirse en que el perjuicio irreparable debe ser real, sin que sea posible alegar un perjuicio futuro o hipotético. No basta con afirmaciones genéricas relativas a que la ejecución comportará “una verdadera catástrofe de consecuencias incalculables no solo en pérdidas económicas o patrimoniales, incluyendo demoliciones de lo construido con arreglo al Plan y anulación de infinidad de autorizaciones de usos, sino computables también en el número de puestos de trabajo que puede quedar sacrificados”, sino que se deben precisar los concretos perjuicios que de la ejecución se derivaran. Carga probatoria que la Administración recurrente no aporta, al omitir datos concretos que puedan ser calificados de principio razonable de prueba y que permitan avalar lo manifestado, sino que se limita a efectuar una afirmación genérica e inconcreta carente de la necesaria acreditación. En tal sentido, como indica el Ministerio Fiscal, ni la anulación del plan comporta necesariamente la inminente demolición de todo cuanto se ha construido, ni supone la anulación de infinidad de autorizaciones de usos, determinantes del cese inmediato de actividades y sacrificio de puestos de trabajo. Ahora bien, la ausencia actual de las circunstancias excepcionales que llevan a conceder la suspensión pedida, esto es, la falta de acreditación de un perjuicio irreparable, real y concreto, no es óbice para que en un momento posterior durante el curso del procedimiento de amparo, el recurrente pueda plantear de nuevo ante este Tribunal la procedencia de la suspensión, ‘en virtud de circunstancias sobrevenidas o que no pudieron ser conocidas al tiempo de sustanciarse el incidente de suspensión’ (</w:t>
      </w:r>
      <w:r w:rsidRPr="006B7292">
        <w:rPr>
          <w:i/>
        </w:rPr>
        <w:t>ex</w:t>
      </w:r>
      <w:r>
        <w:t xml:space="preserve"> art. 57 LOTC), que satisfagan el presupuesto exigido”.</w:t>
      </w:r>
    </w:p>
    <w:p w:rsidR="006B7292" w:rsidRDefault="006B7292" w:rsidP="006B7292">
      <w:pPr>
        <w:pStyle w:val="TextoNormal"/>
      </w:pPr>
    </w:p>
    <w:p w:rsidR="006B7292" w:rsidRDefault="006B7292" w:rsidP="006B7292">
      <w:pPr>
        <w:pStyle w:val="TextoNormal"/>
      </w:pPr>
      <w:r>
        <w:t>Todos estos razonamientos, a los efectos de la presente pieza separada, arrojan como primera conclusión la de rechazar los argumentos alegados en el “otrosí tercero digo” de la demanda de amparo para justificar la medida de suspensión de las resoluciones judiciales aquí impugnadas.</w:t>
      </w:r>
    </w:p>
    <w:p w:rsidR="006B7292" w:rsidRDefault="006B7292" w:rsidP="006B7292">
      <w:pPr>
        <w:pStyle w:val="TextoNormal"/>
      </w:pPr>
    </w:p>
    <w:p w:rsidR="006B7292" w:rsidRDefault="006B7292" w:rsidP="006B7292">
      <w:pPr>
        <w:pStyle w:val="TextoNormal"/>
      </w:pPr>
      <w:r w:rsidRPr="006B7292">
        <w:rPr>
          <w:rStyle w:val="NumeroAFNegritaCaracter"/>
        </w:rPr>
        <w:t>4</w:t>
      </w:r>
      <w:r>
        <w:t>. Queda por referirnos, en segundo y último lugar, a las alegaciones adicionales realizadas por el Ayuntamiento de Toledo en el trámite del art. 56.4 LOTC, abierto dentro de este procedimiento incidental. Se adelanta, sin embargo, que las mismas no permiten alcanzar un resultado estimatorio.</w:t>
      </w:r>
    </w:p>
    <w:p w:rsidR="006B7292" w:rsidRDefault="006B7292" w:rsidP="006B7292">
      <w:pPr>
        <w:pStyle w:val="TextoNormal"/>
      </w:pPr>
    </w:p>
    <w:p w:rsidR="006B7292" w:rsidRDefault="006B7292" w:rsidP="006B7292">
      <w:pPr>
        <w:pStyle w:val="TextoNormal"/>
      </w:pPr>
      <w:r>
        <w:t>a) Respecto de la incidencia que pudiera tener la estimación del recurso de amparo núm. 6011-2014, por la STC 195/2015, de 21 de septiembre, de la Sala Primera de este Tribunal, es necesario tener en cuenta un dato capital y es que, si bien la misma acuerda la nulidad de las resoluciones impugnadas, incluyendo la dictada en la instancia por la Sección competente del Tribunal Superior de Justicia de Castilla-La Mancha, de igual contenido a la aquí impugnada, en ningún caso dicha STC 195/2015 se ha pronunciado sobre la validez del plan de ordenación municipal citado, cuyo despliegue de efectos es lo que viene a instar el Ayuntamiento recurrente con la medida de suspensión.</w:t>
      </w:r>
    </w:p>
    <w:p w:rsidR="006B7292" w:rsidRDefault="006B7292" w:rsidP="006B7292">
      <w:pPr>
        <w:pStyle w:val="TextoNormal"/>
      </w:pPr>
    </w:p>
    <w:p w:rsidR="006B7292" w:rsidRDefault="006B7292" w:rsidP="006B7292">
      <w:pPr>
        <w:pStyle w:val="TextoNormal"/>
      </w:pPr>
      <w:r>
        <w:t>De manera distinta, lo que hace la STC 195/2015, FFJJ 6 y 7, es apreciar que existe vulneración de los derechos fundamentales que se alegan (tutela judicial efectiva —art. 24.1 CE— y proceso con todas las garantías —art. 24.2 CE—), por haberse resuelto el recurso contencioso-administrativo de referencia, tanto en instancia como en casación, eludiendo un precepto autonómico que resultaba aplicable, y ello por achacársele su inconstitucionalidad —oposición a norma básica del Estado—, sin plantear la cuestión de los arts. 163 CE y 35 LOTC ante esta jurisdicción constitucional, para que nos pronunciáramos al respecto.</w:t>
      </w:r>
    </w:p>
    <w:p w:rsidR="006B7292" w:rsidRDefault="006B7292" w:rsidP="006B7292">
      <w:pPr>
        <w:pStyle w:val="TextoNormal"/>
      </w:pPr>
    </w:p>
    <w:p w:rsidR="006B7292" w:rsidRDefault="006B7292" w:rsidP="006B7292">
      <w:pPr>
        <w:pStyle w:val="TextoNormal"/>
      </w:pPr>
      <w:r>
        <w:t>De allí que la STC 195/2015 precise en su fundamento jurídico 7, que “dicha vulneración tiene su origen en las resoluciones judiciales impugnadas y no en el art. 36.2 A) párrafo segundo (debe entenderse referido al párrafo tercero), del texto refundido de la Ley de ordenación del territorio y de la actividad urbanística, en tanto que el mismo no ha sido aplicado en el proceso contencioso-administrativo, por lo que no procede plantear la autocuestión de inconstitucionalidad (art. 55.2 LOTC)”.</w:t>
      </w:r>
    </w:p>
    <w:p w:rsidR="006B7292" w:rsidRDefault="006B7292" w:rsidP="006B7292">
      <w:pPr>
        <w:pStyle w:val="TextoNormal"/>
      </w:pPr>
    </w:p>
    <w:p w:rsidR="006B7292" w:rsidRDefault="006B7292" w:rsidP="006B7292">
      <w:pPr>
        <w:pStyle w:val="TextoNormal"/>
      </w:pPr>
      <w:r>
        <w:t>La nulidad de las resoluciones impugnadas obliga a la retroacción de actuaciones, según añade el fundamento jurídico 8, para que la Sala de instancia en ese recurso contencioso-administrativo núm. 556-2007, “dicte otra resolución que resulte respetuosa con los derechos fundamentales reconocidos”, pero sin prejuzgar como es obvio cuál ha de ser el resultado de dicho nuevo enjuiciamiento.</w:t>
      </w:r>
    </w:p>
    <w:p w:rsidR="006B7292" w:rsidRDefault="006B7292" w:rsidP="006B7292">
      <w:pPr>
        <w:pStyle w:val="TextoNormal"/>
      </w:pPr>
    </w:p>
    <w:p w:rsidR="006B7292" w:rsidRDefault="006B7292" w:rsidP="006B7292">
      <w:pPr>
        <w:pStyle w:val="TextoNormal"/>
      </w:pPr>
      <w:r>
        <w:t>En todo caso, no puede desconocerse que una de las alternativas probables tras dicha retroacción de actuaciones, en virtud de lo declarado en esta STC 195/2015, es que la Sala de instancia, caso de mantener su parecer contrario a la constitucionalidad del precepto autonómico ya indicado, eleve la cuestión de inconstitucionalidad a este Tribunal para que conozcamos de ello. De suceder así, la decisión a adoptar acerca de la validez o nulidad del plan de ordenación municipal de Toledo, tendrá que aguardar primero a la tramitación y resolución definitiva de la indicada cuestión; y una vez despejada esa incógnita constitucional, desde luego no está descartado tampoco un desenlace en la jurisdicción ordinaria que conlleve declarar la nulidad del plan.</w:t>
      </w:r>
    </w:p>
    <w:p w:rsidR="006B7292" w:rsidRDefault="006B7292" w:rsidP="006B7292">
      <w:pPr>
        <w:pStyle w:val="TextoNormal"/>
      </w:pPr>
    </w:p>
    <w:p w:rsidR="006B7292" w:rsidRDefault="006B7292" w:rsidP="006B7292">
      <w:pPr>
        <w:pStyle w:val="TextoNormal"/>
      </w:pPr>
      <w:r>
        <w:t>No cabe equiparar esta situación, por lo dicho, con la de un precepto legal impugnado en un recurso de inconstitucionalidad, cuya literalidad es similar a la de otro que ya ha sido declarado nulo por este Tribunal, razón por la que en alguna ocasión hemos acordado suspender los efectos de aquél mientras se tramita el correspondiente proceso (vgr., ATC 78/1987, de 22 de enero, FJ 2; también ATC 183/2011, de 14 de diciembre, FFJJ 4 y 6). Una doctrina que, con ajenidad al ámbito del amparo, aduce sin éxito el escrito de la entidad recurrente.</w:t>
      </w:r>
    </w:p>
    <w:p w:rsidR="006B7292" w:rsidRDefault="006B7292" w:rsidP="006B7292">
      <w:pPr>
        <w:pStyle w:val="TextoNormal"/>
      </w:pPr>
    </w:p>
    <w:p w:rsidR="006B7292" w:rsidRDefault="006B7292" w:rsidP="006B7292">
      <w:pPr>
        <w:pStyle w:val="TextoNormal"/>
      </w:pPr>
      <w:r>
        <w:t>Debe tenerse en cuenta, además, que en el presente caso los Autos dictados por la Sección Primera, Sala Tercera, del Tribunal Supremo, resolvieron archivar el recurso de casación interpuesto, al apreciar una pérdida sobrevenida de objeto. La “suspensión” que se solicita respecto de ellos, de concederse, estrictamente traería consigo tan sólo la reanudación del procedimiento de casación interrumpido, pero sin condicionar su resultado, cosa que únicamente depende de la Sentencia que ponga fin al presente recurso de amparo.</w:t>
      </w:r>
    </w:p>
    <w:p w:rsidR="006B7292" w:rsidRDefault="006B7292" w:rsidP="006B7292">
      <w:pPr>
        <w:pStyle w:val="TextoNormal"/>
      </w:pPr>
    </w:p>
    <w:p w:rsidR="006B7292" w:rsidRDefault="006B7292" w:rsidP="006B7292">
      <w:pPr>
        <w:pStyle w:val="TextoNormal"/>
      </w:pPr>
      <w:r>
        <w:t>En definitiva, no cabe apreciar la existencia de una circunstancia nueva susceptible de modificar el criterio adoptado por el ATC 117/2015, de 6 de julio, para denegar la suspensión solicitada.</w:t>
      </w:r>
    </w:p>
    <w:p w:rsidR="006B7292" w:rsidRDefault="006B7292" w:rsidP="006B7292">
      <w:pPr>
        <w:pStyle w:val="TextoNormal"/>
      </w:pPr>
    </w:p>
    <w:p w:rsidR="006B7292" w:rsidRDefault="006B7292" w:rsidP="006B7292">
      <w:pPr>
        <w:pStyle w:val="TextoNormal"/>
      </w:pPr>
      <w:r>
        <w:t>b) Otro tanto ha de decirse, por último, en cuanto a las aseveraciones que se formulan por el Ayuntamiento recurrente en su escrito del art. 56.4 LOTC, intentando concretar los perjuicios que ocasiona la paralización del plan de ordenación municipal de Toledo.</w:t>
      </w:r>
    </w:p>
    <w:p w:rsidR="006B7292" w:rsidRDefault="006B7292" w:rsidP="006B7292">
      <w:pPr>
        <w:pStyle w:val="TextoNormal"/>
      </w:pPr>
    </w:p>
    <w:p w:rsidR="006B7292" w:rsidRDefault="006B7292" w:rsidP="006B7292">
      <w:pPr>
        <w:pStyle w:val="TextoNormal"/>
      </w:pPr>
      <w:r>
        <w:t>Ante todo, éstas se limitan esencialmente a indicar que el plan contiene previsiones sobre el uso del suelo en dicho término municipal, que repercuten en aspectos medioambientales y en la protección del patrimonio histórico, artístico y cultural de la ciudad, extremo que no se pone en duda, pero sin que se aporten datos que acrediten verosímilmente cuáles serían los daños “irreparables, reales y concretos” que a juicio del recurrente ocasionaría una eventual aplicación del Plan anterior en esos ámbitos, mientras se tramita el presente recurso de amparo.</w:t>
      </w:r>
    </w:p>
    <w:p w:rsidR="006B7292" w:rsidRDefault="006B7292" w:rsidP="006B7292">
      <w:pPr>
        <w:pStyle w:val="TextoNormal"/>
      </w:pPr>
    </w:p>
    <w:p w:rsidR="006B7292" w:rsidRDefault="006B7292" w:rsidP="006B7292">
      <w:pPr>
        <w:pStyle w:val="TextoNormal"/>
      </w:pPr>
      <w:r>
        <w:t>En fin, como reconoce el escrito de alegaciones, todas las citas de doctrina constitucional que se incluyen como apoyo en este punto, versan sobre la suspensión de normas legales en recursos de inconstitucionalidad donde, precisamente, y a diferencia de este amparo, sí se resuelve acerca de la nulidad de la disposición general de que se trata. Tampoco alcanza virtualidad la cita que se hace del art. 30 LOTC, puesto que claramente no es un dispositivo aplicable dentro del recurso de amparo.</w:t>
      </w:r>
    </w:p>
    <w:p w:rsidR="006B7292" w:rsidRDefault="006B7292" w:rsidP="006B7292">
      <w:pPr>
        <w:pStyle w:val="TextoNormal"/>
      </w:pPr>
    </w:p>
    <w:p w:rsidR="006B7292" w:rsidRDefault="006B7292" w:rsidP="006B7292">
      <w:pPr>
        <w:pStyle w:val="TextoNormal"/>
      </w:pPr>
      <w:r>
        <w:t>Por todo lo expuesto, la Sala</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Denegar la suspensión solicitada.</w:t>
      </w:r>
    </w:p>
    <w:p w:rsidR="006B7292" w:rsidRDefault="006B7292" w:rsidP="006B7292">
      <w:pPr>
        <w:pStyle w:val="TextoNormal"/>
      </w:pPr>
    </w:p>
    <w:p w:rsidR="006B7292" w:rsidRDefault="006B7292" w:rsidP="006B7292">
      <w:pPr>
        <w:pStyle w:val="TextoNormal"/>
      </w:pPr>
      <w:r>
        <w:t>Madrid, a catorce de diciembre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28" w:name="AUTO_2015_214"/>
      <w:r>
        <w:t>AUTO 214/2015, de 14 de diciembre de 2015</w:t>
      </w:r>
    </w:p>
    <w:bookmarkEnd w:id="228"/>
    <w:p w:rsidR="006B7292" w:rsidRDefault="006B7292" w:rsidP="006B7292">
      <w:pPr>
        <w:pStyle w:val="TtuloResolucin"/>
      </w:pPr>
      <w:r>
        <w:t>Sala Segunda</w:t>
      </w:r>
    </w:p>
    <w:p w:rsidR="006B7292" w:rsidRDefault="006B7292" w:rsidP="006B7292">
      <w:pPr>
        <w:pStyle w:val="TextoNormalCentrado"/>
      </w:pPr>
      <w:r>
        <w:t>ECLI:ES:TC:2015:214A</w:t>
      </w:r>
    </w:p>
    <w:p w:rsidR="006B7292" w:rsidRDefault="006B7292" w:rsidP="006B7292">
      <w:pPr>
        <w:pStyle w:val="TextoNormalCentrado"/>
      </w:pPr>
    </w:p>
    <w:p w:rsidR="006B7292" w:rsidRDefault="006B7292" w:rsidP="006B7292">
      <w:pPr>
        <w:pStyle w:val="SntesisDescriptiva"/>
      </w:pPr>
      <w:r>
        <w:t>Excms. Srs. doña Adela Asua Batarrita, don Fernando Valdés Dal-Ré, don Juan José González Rivas,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Acuerda la extinción, por desaparición sobrevenida de objeto, de la cuestión de inconstitucionalidad 1044-2015, planteada por la Sala de lo Contencioso-Administrativo del Tribunal Superior de Justicia de Cantabria en relación con el artículo 65 bis.1 de la Ley 2/2001, de 25 de junio, de ordenación territorial y del régimen urbanístico del suelo de Cantabria.</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xml:space="preserve">. El 24 de febrero de 2015 tuvo entrada en el Registro General de este Tribunal escrito de la Sala de lo Contencioso-Administrativo del Tribunal Superior de Justicia de Cantabria al que se acompaña, además del testimonio del procedimiento correspondiente, el Auto de 19 de enero de 2015 por el que se acuerda plantear cuestión de inconstitucionalidad en relación con el art. 65 </w:t>
      </w:r>
      <w:r w:rsidRPr="006B7292">
        <w:rPr>
          <w:i/>
        </w:rPr>
        <w:t>bis</w:t>
      </w:r>
      <w:r>
        <w:t>.1 de la Ley 2/2001, de 25 de junio, de ordenación territorial y del régimen urbanístico del suelo de Cantabria, añadido por el art. 1 de la Ley 4/2013, de 20 de junio, en cuanto se refiere a las “órdenes de demolición judiciales”, por posible vulneración de los arts. 24.2, 11.3 y 149.1.6 CE.</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de hecho del planteamiento de la presente cuestión de inconstitucionalidad son, sucintamente expuestos, los siguientes:</w:t>
      </w:r>
    </w:p>
    <w:p w:rsidR="006B7292" w:rsidRDefault="006B7292" w:rsidP="006B7292">
      <w:pPr>
        <w:pStyle w:val="TextoNormal"/>
      </w:pPr>
    </w:p>
    <w:p w:rsidR="006B7292" w:rsidRDefault="006B7292" w:rsidP="006B7292">
      <w:pPr>
        <w:pStyle w:val="TextoNormal"/>
      </w:pPr>
      <w:r>
        <w:t>a) Por Sentencia de 22 de noviembre de 2002, la Sala de lo Contencioso-Administrativo del Tribunal Superior de Justicia de Cantabria estimó el recurso contencioso-administrativo núm. 1131-2001 y declaró la nulidad de la aprobación definitiva por el Ayuntamiento de San Vicente de la Barquera, del proyecto de urbanización promovido por la Junta de Compensación de Santa Marina, con el deber de derribo de lo construido. La Sentencia fue confirmada por el Tribunal Supremo en fecha 28 de junio de 2006.</w:t>
      </w:r>
    </w:p>
    <w:p w:rsidR="006B7292" w:rsidRDefault="006B7292" w:rsidP="006B7292">
      <w:pPr>
        <w:pStyle w:val="TextoNormal"/>
      </w:pPr>
    </w:p>
    <w:p w:rsidR="006B7292" w:rsidRDefault="006B7292" w:rsidP="006B7292">
      <w:pPr>
        <w:pStyle w:val="TextoNormal"/>
      </w:pPr>
      <w:r>
        <w:t>b) La parte recurrente instó la ejecución de la referida Sentencia.</w:t>
      </w:r>
    </w:p>
    <w:p w:rsidR="006B7292" w:rsidRDefault="006B7292" w:rsidP="006B7292">
      <w:pPr>
        <w:pStyle w:val="TextoNormal"/>
      </w:pPr>
    </w:p>
    <w:p w:rsidR="006B7292" w:rsidRDefault="006B7292" w:rsidP="006B7292">
      <w:pPr>
        <w:pStyle w:val="TextoNormal"/>
      </w:pPr>
      <w:r>
        <w:t>c) El Ayuntamiento de San Vicente de la Barquera promovió el 24 de septiembre de 2014, el incidente procesal previsto en el art. 105 de la Ley reguladora de la jurisdicción contencioso-administrativa (LJCA), solicitando que la Sala acordara la inejecutabilidad de la Sentencia recaída, al haberse dictado por el propio Ayuntamiento una autorización provisional.</w:t>
      </w:r>
    </w:p>
    <w:p w:rsidR="006B7292" w:rsidRDefault="006B7292" w:rsidP="006B7292">
      <w:pPr>
        <w:pStyle w:val="TextoNormal"/>
      </w:pPr>
    </w:p>
    <w:p w:rsidR="006B7292" w:rsidRDefault="006B7292" w:rsidP="006B7292">
      <w:pPr>
        <w:pStyle w:val="TextoNormal"/>
      </w:pPr>
      <w:r>
        <w:t>d) Del anterior escrito se dio traslado a las partes personadas para que alegaran lo que a su derecho conviniera.</w:t>
      </w:r>
    </w:p>
    <w:p w:rsidR="006B7292" w:rsidRDefault="006B7292" w:rsidP="006B7292">
      <w:pPr>
        <w:pStyle w:val="TextoNormal"/>
      </w:pPr>
    </w:p>
    <w:p w:rsidR="006B7292" w:rsidRDefault="006B7292" w:rsidP="006B7292">
      <w:pPr>
        <w:pStyle w:val="TextoNormal"/>
      </w:pPr>
      <w:r>
        <w:t>e) A la vista de las alegaciones efectuadas, por providencia de 4 de diciembre de 2014, la Sala de lo Contencioso-Administrativo del Tribunal Superior de Justicia acordó, en virtud del art. 35.2 de la Ley Orgánica del Tribunal Constitucional (LOTC), y con suspensión del plazo para dictar resolución, oír a las partes y al Ministerio Fiscal, por término común de diez días, sobre la posible inconstitucionalidad de la normativa autonómica; en concreto, del art. 65 bis de la Ley 2/2001, de 25 de junio, de ordenación territorial y del régimen urbanístico del suelo de Cantabria, añadido por el art. 1 de la Ley 4/2013, de 20 de junio, conforme al cual se introduce la posibilidad de que durante cuatro años los edificios tengan el régimen de fuera de ordenación y no se puedan demoler, a pesar de estar afectados por orden de derribo judicial. Entiende que el inciso del precepto legal impugnado pudiera ser contrario a los arts. 24.2, 117.3 y 149.1.6 CE.</w:t>
      </w:r>
    </w:p>
    <w:p w:rsidR="006B7292" w:rsidRDefault="006B7292" w:rsidP="006B7292">
      <w:pPr>
        <w:pStyle w:val="TextoNormal"/>
      </w:pPr>
    </w:p>
    <w:p w:rsidR="006B7292" w:rsidRDefault="006B7292" w:rsidP="006B7292">
      <w:pPr>
        <w:pStyle w:val="TextoNormal"/>
      </w:pPr>
      <w:r>
        <w:t>f) Oídas las partes personadas en el proceso, la Sala de lo Contencioso-Administrativo del Tribunal Superior de Justicia, mediante Auto de 19 de enero de 2015, acordó plantear la cuestión de inconstitucionalidad sobre el precepto antes citado.</w:t>
      </w:r>
    </w:p>
    <w:p w:rsidR="006B7292" w:rsidRDefault="006B7292" w:rsidP="006B7292">
      <w:pPr>
        <w:pStyle w:val="TextoNormal"/>
      </w:pPr>
    </w:p>
    <w:p w:rsidR="006B7292" w:rsidRDefault="006B7292" w:rsidP="006B7292">
      <w:pPr>
        <w:pStyle w:val="TextoNormal"/>
      </w:pPr>
      <w:r w:rsidRPr="006B7292">
        <w:rPr>
          <w:rStyle w:val="NumeroAFNegritaCaracter"/>
        </w:rPr>
        <w:t>3</w:t>
      </w:r>
      <w:r>
        <w:t>. El Auto de planteamiento, tras exponer los hechos que han dado lugar al planteamiento de la cuestión y justificar que el precepto cuestionado es relevante para el fallo, entra a analizar las razones por las que duda de su constitucionalidad.</w:t>
      </w:r>
    </w:p>
    <w:p w:rsidR="006B7292" w:rsidRDefault="006B7292" w:rsidP="006B7292">
      <w:pPr>
        <w:pStyle w:val="TextoNormal"/>
      </w:pPr>
    </w:p>
    <w:p w:rsidR="006B7292" w:rsidRDefault="006B7292" w:rsidP="006B7292">
      <w:pPr>
        <w:pStyle w:val="TextoNormal"/>
      </w:pPr>
      <w:r>
        <w:t xml:space="preserve">Afirma el Auto que el art. 65 </w:t>
      </w:r>
      <w:r w:rsidRPr="006B7292">
        <w:rPr>
          <w:i/>
        </w:rPr>
        <w:t>bis</w:t>
      </w:r>
      <w:r>
        <w:t>.1 de la Ley de ordenación territorial y del régimen urbanístico del suelo de Cantabria, en la parte que se refiere a las órdenes judiciales de demolición, puede infringir el art. 149.1.6 CE, y vulnerar el derecho a la ejecución de Sentencias que garantizan los arts. 24 y 117.3 CE.</w:t>
      </w:r>
    </w:p>
    <w:p w:rsidR="006B7292" w:rsidRDefault="006B7292" w:rsidP="006B7292">
      <w:pPr>
        <w:pStyle w:val="TextoNormal"/>
      </w:pPr>
    </w:p>
    <w:p w:rsidR="006B7292" w:rsidRDefault="006B7292" w:rsidP="006B7292">
      <w:pPr>
        <w:pStyle w:val="TextoNormal"/>
      </w:pPr>
      <w:r>
        <w:t>Sostiene la Sala que el referido precepto, por el que se introduce la posibilidad de que durante cuatro años los edificios afectados por autorizaciones provisionales, tengan el régimen de fuera de ordenación y no se puedan demoler, a pesar de que estén afectados por orden de derribo judicial, trata de interferir en las sentencia de derribo pendientes de ejecución. Y esta causa de suspensión de la ejecución judicial es inconstitucional por falta de competencia de la Comunidad Autónoma para regular el proceso judicial, conforme al art. 149.1.6 CE. A ello añade que esta situación de suspensión durante cuatro años hace que durante este tiempo, la Administración tenga en sus manos la posibilidad de frustrar la propia efectividad de la ejecución al impedir el cumplimiento del fallo, entrando así la disposición en conflicto con el art. 117.3 CE.</w:t>
      </w:r>
    </w:p>
    <w:p w:rsidR="006B7292" w:rsidRDefault="006B7292" w:rsidP="006B7292">
      <w:pPr>
        <w:pStyle w:val="TextoNormal"/>
      </w:pPr>
    </w:p>
    <w:p w:rsidR="006B7292" w:rsidRDefault="006B7292" w:rsidP="006B7292">
      <w:pPr>
        <w:pStyle w:val="TextoNormal"/>
      </w:pPr>
      <w:r>
        <w:t>En el Auto de planteamiento se invoca la doctrina establecida en la STC 82/2014, de 28 de mayo, en la que se ha considerado contrario a la competencia estatal en materia de legislación procesal que el legislador autonómico establezca una causa de suspensión o aplazamiento de la ejecución de las sentencias que han de ejecutarse mediante el derribo de las edificaciones y ha apreciado también que, en la medida en que la efectividad de la demolición judicialmente acordada depende de que la Administración resuelva un procedimiento de responsabilidad patrimonial, y, en su caso abone la indemnización acordada al perjudicado, “la ejecución de la Sentencia termina por escapar del control judicial, único competente para hacer ejecutar lo juzgado a tenor de lo dispuesto en el art. 117.3 CE”.</w:t>
      </w:r>
    </w:p>
    <w:p w:rsidR="006B7292" w:rsidRDefault="006B7292" w:rsidP="006B7292">
      <w:pPr>
        <w:pStyle w:val="TextoNormal"/>
      </w:pPr>
    </w:p>
    <w:p w:rsidR="006B7292" w:rsidRDefault="006B7292" w:rsidP="006B7292">
      <w:pPr>
        <w:pStyle w:val="TextoNormal"/>
      </w:pPr>
      <w:r>
        <w:t xml:space="preserve">Las anteriores consideraciones llevan a la Sala a plantear cuestión de inconstitucionalidad en relación con el art. 65 </w:t>
      </w:r>
      <w:r w:rsidRPr="006B7292">
        <w:rPr>
          <w:i/>
        </w:rPr>
        <w:t>bis</w:t>
      </w:r>
      <w:r>
        <w:t>.1 de la Ley 2/2001, de 25 de junio, de ordenación territorial y régimen urbanístico, modificada por la Ley 4/2013, en la parte que se refiere a las órdenes de demolición judiciales.</w:t>
      </w:r>
    </w:p>
    <w:p w:rsidR="006B7292" w:rsidRDefault="006B7292" w:rsidP="006B7292">
      <w:pPr>
        <w:pStyle w:val="TextoNormal"/>
      </w:pPr>
    </w:p>
    <w:p w:rsidR="006B7292" w:rsidRDefault="006B7292" w:rsidP="006B7292">
      <w:pPr>
        <w:pStyle w:val="TextoNormal"/>
      </w:pPr>
      <w:r w:rsidRPr="006B7292">
        <w:rPr>
          <w:rStyle w:val="NumeroAFNegritaCaracter"/>
        </w:rPr>
        <w:t>4</w:t>
      </w:r>
      <w:r>
        <w:t>. Por providencia de 14 de abril de 2015, el Pleno, a propuesta de la Sección Tercera, acordó admitir a trámite la cuestión de inconstitucionalidad, deferir su conocimiento a la Sala Segunda a la que por turno objetivo ha correspondido, y dar traslado de las actuaciones al Congreso de los Diputados y al Senado por conducto de sus Presidentes, al Gobierno por conducto del Ministro de Justicia, y al Fiscal General del Estado, así como al Gobierno y al Parlamento de Cantabria por conducto de sus Presidentes, al objeto de que, en el improrrogable plazo de quince días, pudieran personarse en el proceso y formular las alegaciones que estimasen convenientes. Asimismo se acordó comunicar la admisión al órgano judicial proponente a fin de que, de conformidad con el art. 35.3 LOTC, permaneciera suspendido el proceso judicial hasta que se resolviera la cuestión de inconstitucionalidad. En la misma providencia acordó el Tribunal publicar la incoación de la cuestión de inconstitucionalidad en el “Boletín Oficial del Estado” y en el “Boletín Oficial de Cantabria”.</w:t>
      </w:r>
    </w:p>
    <w:p w:rsidR="006B7292" w:rsidRDefault="006B7292" w:rsidP="006B7292">
      <w:pPr>
        <w:pStyle w:val="TextoNormal"/>
      </w:pPr>
    </w:p>
    <w:p w:rsidR="006B7292" w:rsidRDefault="006B7292" w:rsidP="006B7292">
      <w:pPr>
        <w:pStyle w:val="TextoNormal"/>
      </w:pPr>
      <w:r w:rsidRPr="006B7292">
        <w:rPr>
          <w:rStyle w:val="NumeroAFNegritaCaracter"/>
        </w:rPr>
        <w:t>5</w:t>
      </w:r>
      <w:r>
        <w:t>. El Presidente del Congreso de los Diputados, mediante escrito que tuvo entrada el 23 de abril de 2015, comunicó que la Mesa de la Cámara había acordado personarse en el proceso, ofreciendo su colaboración a los efectos del art. 88.1 LOTC. Lo mismo hizo el Presidente del Senado mediante escrito que tuvo entrada el 29 de abril de 2015.</w:t>
      </w:r>
    </w:p>
    <w:p w:rsidR="006B7292" w:rsidRDefault="006B7292" w:rsidP="006B7292">
      <w:pPr>
        <w:pStyle w:val="TextoNormal"/>
      </w:pPr>
    </w:p>
    <w:p w:rsidR="006B7292" w:rsidRDefault="006B7292" w:rsidP="006B7292">
      <w:pPr>
        <w:pStyle w:val="TextoNormal"/>
      </w:pPr>
      <w:r w:rsidRPr="006B7292">
        <w:rPr>
          <w:rStyle w:val="NumeroAFNegritaCaracter"/>
        </w:rPr>
        <w:t>6</w:t>
      </w:r>
      <w:r>
        <w:t>. El Abogado del Estado se persona y presenta alegaciones en escrito de 6 de mayo de 2015 solicitando la estimación de la cuestión de inconstitucionalidad presentada.</w:t>
      </w:r>
    </w:p>
    <w:p w:rsidR="006B7292" w:rsidRDefault="006B7292" w:rsidP="006B7292">
      <w:pPr>
        <w:pStyle w:val="TextoNormal"/>
      </w:pPr>
    </w:p>
    <w:p w:rsidR="006B7292" w:rsidRDefault="006B7292" w:rsidP="006B7292">
      <w:pPr>
        <w:pStyle w:val="TextoNormal"/>
      </w:pPr>
      <w:r>
        <w:t xml:space="preserve">Sostiene el Abogado del Estado, en primer término, que la autorización provisional que prevé el art. 65 </w:t>
      </w:r>
      <w:r w:rsidRPr="006B7292">
        <w:rPr>
          <w:i/>
        </w:rPr>
        <w:t>bis</w:t>
      </w:r>
      <w:r>
        <w:t>.1 de la Ley cántabra 2/2001 no es una verdadera autorización por cuanto ni implica una actividad de auténtica verificación o comprobación de la conformidad de la construcción con el planeamiento urbanístico, ni crea una situación definitiva, sino interina, ni persigue un interés público, sino particular, quedando además la situación creada sometida a término (caducidad, revocación o sustitución por licencia definitiva). En su opinión, la regulación persigue una adaptación del planeamiento a las condiciones de la edificación.</w:t>
      </w:r>
    </w:p>
    <w:p w:rsidR="006B7292" w:rsidRDefault="006B7292" w:rsidP="006B7292">
      <w:pPr>
        <w:pStyle w:val="TextoNormal"/>
      </w:pPr>
    </w:p>
    <w:p w:rsidR="006B7292" w:rsidRDefault="006B7292" w:rsidP="006B7292">
      <w:pPr>
        <w:pStyle w:val="TextoNormal"/>
      </w:pPr>
      <w:r>
        <w:t xml:space="preserve">Afirma, en segundo lugar, que el art. 65 </w:t>
      </w:r>
      <w:r w:rsidRPr="006B7292">
        <w:rPr>
          <w:i/>
        </w:rPr>
        <w:t>bis</w:t>
      </w:r>
      <w:r>
        <w:t>.1 en el inciso referido a las demoliciones judiciales, vulnera el derecho a la tutela judicial efectiva en su vertiente de derecho a la ejecución de las sentencias en sus propios términos. Señala, a estos efectos, que de acuerdo con la doctrina constitucional (SSTC 4/1988, 153/1992 y 73/2000), son contrarias al art. 24.1 en relación con los arts. 117.3 y 118 CE, las previsiones normativas que sacrifican, de forma desproporcionada, el pronunciamiento contenido en el fallo de una resolución judicial firme, de modo que de forma patente o manifiesta no exista la debida proporción entre el interés encarnado en la Ley y el concreto interés tutelado por el fallo a ejecutar, es decir, la debida proporción entre la finalidad perseguida y el sacrificio impuesto.</w:t>
      </w:r>
    </w:p>
    <w:p w:rsidR="006B7292" w:rsidRDefault="006B7292" w:rsidP="006B7292">
      <w:pPr>
        <w:pStyle w:val="TextoNormal"/>
      </w:pPr>
    </w:p>
    <w:p w:rsidR="006B7292" w:rsidRDefault="006B7292" w:rsidP="006B7292">
      <w:pPr>
        <w:pStyle w:val="TextoNormal"/>
      </w:pPr>
      <w:r>
        <w:t xml:space="preserve">Analizado el presente caso conforme a estos parámetros, el Abogado del Estado afirma que ni la ley ni la defensa que de ella hace la Comunidad Autónoma ponderan debidamente los intereses en juego, sin que se advierta por qué razón el interés en conservar las edificaciones declaradas ilegales se antepone a la ejecución de las resoluciones judiciales firmes y llega a la conclusión de que, en realidad, la previsión del art. 65 </w:t>
      </w:r>
      <w:r w:rsidRPr="006B7292">
        <w:rPr>
          <w:i/>
        </w:rPr>
        <w:t>bis</w:t>
      </w:r>
      <w:r>
        <w:t>.1 genera un sacrificio injustificado de la intangibilidad y de la debida ejecución del fallo por un título que no constituye sino una situación interina no apta para enervar la fuerza de una sentencia judicial firme.</w:t>
      </w:r>
    </w:p>
    <w:p w:rsidR="006B7292" w:rsidRDefault="006B7292" w:rsidP="006B7292">
      <w:pPr>
        <w:pStyle w:val="TextoNormal"/>
      </w:pPr>
    </w:p>
    <w:p w:rsidR="006B7292" w:rsidRDefault="006B7292" w:rsidP="006B7292">
      <w:pPr>
        <w:pStyle w:val="TextoNormal"/>
      </w:pPr>
      <w:r>
        <w:t>En tercer lugar, el Abogado del Estado argumenta que la regulación autonómica invade la competencia exclusiva del Estado en materia de legislación procesal por cuanto ésta abarca la regulación de la ejecución de las resoluciones judiciales. Y ello sin que, por otra parte, pueda considerarse que se trata de una norma especial que deriva de las particularidades del derecho sustantivo de la Comunidad Autónoma de Cantabria.</w:t>
      </w:r>
    </w:p>
    <w:p w:rsidR="006B7292" w:rsidRDefault="006B7292" w:rsidP="006B7292">
      <w:pPr>
        <w:pStyle w:val="TextoNormal"/>
      </w:pPr>
    </w:p>
    <w:p w:rsidR="006B7292" w:rsidRDefault="006B7292" w:rsidP="006B7292">
      <w:pPr>
        <w:pStyle w:val="TextoNormal"/>
      </w:pPr>
      <w:r>
        <w:t>Por último, el Abogado del Estado sostiene que la norma cuestionada invade la exclusividad de la potestad jurisdiccional consagrada en el art. 117.3 CE al quebrar el régimen uniforme de ejecución de las sentencias contencioso-administrativas, reconociendo la facultad de interferir en la ejecución de un pronunciamiento de una sentencia contencioso-administrativa firme mediante una autorización que se opone y contradice el pronunciamiento jurisdiccional, supeditando el ejercicio de la potestad judicial de ejecutar (art. 117.3 CE), la obligación de cumplir las sentencias firmes (art. 118 CE) y el derecho fundamental a la ejecución (art. 24 CE), a la concesión de una autorización provisional a la obra cuya demolición ordenó la jurisdicción.</w:t>
      </w:r>
    </w:p>
    <w:p w:rsidR="006B7292" w:rsidRDefault="006B7292" w:rsidP="006B7292">
      <w:pPr>
        <w:pStyle w:val="TextoNormal"/>
      </w:pPr>
    </w:p>
    <w:p w:rsidR="006B7292" w:rsidRDefault="006B7292" w:rsidP="006B7292">
      <w:pPr>
        <w:pStyle w:val="TextoNormal"/>
      </w:pPr>
      <w:r w:rsidRPr="006B7292">
        <w:rPr>
          <w:rStyle w:val="NumeroAFNegritaCaracter"/>
        </w:rPr>
        <w:t>7</w:t>
      </w:r>
      <w:r>
        <w:t>. El Letrado del Parlamento de Cantabria presenta su escrito de alegaciones el 12 de mayo de 2015 en el que, en primer término, pone en entredicho que el planteamiento de la cuestión cumpla con el juicio de aplicabilidad y relevancia, pues, en su opinión, el contenido del fallo del litigio no ha de variar con independencia de si se declara o no inconstitucional la ley, ya que, en cualquier caso se va a restablecer la legalidad, pues la Ley del Parlamento de Cantabria persigue el restablecimiento evitando que se proceda a la demolición cuando se ha producido la modificación posterior del planeamiento de forma que lo construido se adecua ahora a él.</w:t>
      </w:r>
    </w:p>
    <w:p w:rsidR="006B7292" w:rsidRDefault="006B7292" w:rsidP="006B7292">
      <w:pPr>
        <w:pStyle w:val="TextoNormal"/>
      </w:pPr>
    </w:p>
    <w:p w:rsidR="006B7292" w:rsidRDefault="006B7292" w:rsidP="006B7292">
      <w:pPr>
        <w:pStyle w:val="TextoNormal"/>
      </w:pPr>
      <w:r>
        <w:t>Rechaza, en segundo lugar, que la Ley esté realmente previendo una suspensión de la ejecución de un fallo, pues considera que no interfiere en la legislación procesal ni en la resolución o ejecución del proceso, sino que se limita a prever una medida de restitución de la legalidad urbanística. La regulación tiene, además, a su juicio, amparo en las competencias que el Estatuto atribuye a la Comunidad Autónoma de Cantabria en materia de “organización, régimen y funcionamiento de sus instituciones de autogobierno” (art. 24.1 del Estatuto de Autonomía de Cantabria EACant), “urbanismo y vivienda” (art. 24.3 EACant) y “procedimiento administrativo derivado de las especialidades de la organización propia” (art. 24.32 EACant).</w:t>
      </w:r>
    </w:p>
    <w:p w:rsidR="006B7292" w:rsidRDefault="006B7292" w:rsidP="006B7292">
      <w:pPr>
        <w:pStyle w:val="TextoNormal"/>
      </w:pPr>
    </w:p>
    <w:p w:rsidR="006B7292" w:rsidRDefault="006B7292" w:rsidP="006B7292">
      <w:pPr>
        <w:pStyle w:val="TextoNormal"/>
      </w:pPr>
      <w:r>
        <w:t>Defiende el Letrado del Parlamento de Cantabria que las autorizaciones provisionales no son legislación procesal, sino legislación urbanística, pues “la previsión y regulación de las ‘autorizaciones provisionales’ es una clara manifestación de la gestión de los instrumentos planificadores y de la disciplina urbanística, como potestades que integran la materia urbanismo y que el Estatuto de Autonomía para Cantabria atribuye a la Comunidad Autónoma”. Y añade que “la ejecución de la sentencia también se produce cuando se adecua lo construido al planeamiento, sin que se suspenda el procedimiento judicial”.</w:t>
      </w:r>
    </w:p>
    <w:p w:rsidR="006B7292" w:rsidRDefault="006B7292" w:rsidP="006B7292">
      <w:pPr>
        <w:pStyle w:val="TextoNormal"/>
      </w:pPr>
    </w:p>
    <w:p w:rsidR="006B7292" w:rsidRDefault="006B7292" w:rsidP="006B7292">
      <w:pPr>
        <w:pStyle w:val="TextoNormal"/>
      </w:pPr>
      <w:r w:rsidRPr="006B7292">
        <w:rPr>
          <w:rStyle w:val="NumeroAFNegritaCaracter"/>
        </w:rPr>
        <w:t>8</w:t>
      </w:r>
      <w:r>
        <w:t>. El Director General del servicio jurídico, en nombre y representación del Gobierno de Cantabria formuló sus alegaciones por escrito registrado el 14 de mayo de 2015.</w:t>
      </w:r>
    </w:p>
    <w:p w:rsidR="006B7292" w:rsidRDefault="006B7292" w:rsidP="006B7292">
      <w:pPr>
        <w:pStyle w:val="TextoNormal"/>
      </w:pPr>
    </w:p>
    <w:p w:rsidR="006B7292" w:rsidRDefault="006B7292" w:rsidP="006B7292">
      <w:pPr>
        <w:pStyle w:val="TextoNormal"/>
      </w:pPr>
      <w:r>
        <w:t xml:space="preserve">Tras exponer los antecedentes del caso, sostiene el Letrado que la autorización provisional que se regula en el art. 65 </w:t>
      </w:r>
      <w:r w:rsidRPr="006B7292">
        <w:rPr>
          <w:i/>
        </w:rPr>
        <w:t>bis</w:t>
      </w:r>
      <w:r>
        <w:t xml:space="preserve">.1 de la Ley 2/2001 es una nueva figura jurídica dirigida a conferir mayor eficacia a los planeamientos en tramitación mediante la anticipación parcial de sus efectos, con el fin de evitar causar perjuicios irreparables a los intereses de los particulares y al propio interés público. De esta forma, explica el Gobierno de Cantabria, se trata de una figura vinculada por un lado al planeamiento urbanístico, puesto que supone dar eficacia anticipada al planeamiento en tramitación, y, por otra, a la disciplina urbanística, por cuanto implica que no toda infracción de la legalidad ha de llevar aparejada la demolición de forma irremediable, especialmente cuando no se trata de zonas protegidas por alguna razón (costas, espacios naturales, bienes de interés cultural…). Es decir, en su opinión, se trata de una regulación basada en el principio de proporcionalidad que trata de conjugar el equilibrio justo entre la garantía de los intereses públicos y el mantenimiento del </w:t>
      </w:r>
      <w:r w:rsidRPr="006B7292">
        <w:rPr>
          <w:i/>
        </w:rPr>
        <w:t>ius aedificandi</w:t>
      </w:r>
      <w:r>
        <w:t xml:space="preserve"> cuando ello es posible. No se aplica, dirá, indiscriminadamente a cualesquiera edificaciones o construcciones preexistentes, pues el “plan de derribos” de 2011 contempla en muchos casos la demolición como única vía para ejecutar las sentencias, mientras que el art. 65 </w:t>
      </w:r>
      <w:r w:rsidRPr="006B7292">
        <w:rPr>
          <w:i/>
        </w:rPr>
        <w:t>bis</w:t>
      </w:r>
      <w:r>
        <w:t>.1 lo que regula es aquellos supuestos en que por medio de una ordenación que atienda al interés público sea posible legalizar la obra o edificación anteriormente ilegal.</w:t>
      </w:r>
    </w:p>
    <w:p w:rsidR="006B7292" w:rsidRDefault="006B7292" w:rsidP="006B7292">
      <w:pPr>
        <w:pStyle w:val="TextoNormal"/>
      </w:pPr>
    </w:p>
    <w:p w:rsidR="006B7292" w:rsidRDefault="006B7292" w:rsidP="006B7292">
      <w:pPr>
        <w:pStyle w:val="TextoNormal"/>
      </w:pPr>
      <w:r>
        <w:t xml:space="preserve">Destaca asimismo que el art. 65 </w:t>
      </w:r>
      <w:r w:rsidRPr="006B7292">
        <w:rPr>
          <w:i/>
        </w:rPr>
        <w:t>bis</w:t>
      </w:r>
      <w:r>
        <w:t xml:space="preserve">.1 no concede ni otorga directamente autorización provisional alguna, sino que es una norma de carácter general que regula la posibilidad de otorgar autorizaciones provisionales. Por tanto, sostiene que el art. 65 </w:t>
      </w:r>
      <w:r w:rsidRPr="006B7292">
        <w:rPr>
          <w:i/>
        </w:rPr>
        <w:t>bis</w:t>
      </w:r>
      <w:r>
        <w:t>.1 precisa de posteriores actos administrativos aplicativos y que serán las concretas autorizaciones provisionales que se otorguen al amparo de la norma las que puedan llegar a determinar, en su caso y si se dan los requisitos legalmente establecidos en la Ley reguladora de la jurisdicción contencioso-administrativa, la imposibilidad legal de proceder a la ejecución de una resolución judicial firme. En consecuencia, mantiene que esos actos administrativos concretos, esas autorizaciones provisionales que se otorguen en cada caso, sí son controlables y fiscalizables por los propios juzgados y tribunales contencioso-administrativos encargados de ejecutar las sentencias.</w:t>
      </w:r>
    </w:p>
    <w:p w:rsidR="006B7292" w:rsidRDefault="006B7292" w:rsidP="006B7292">
      <w:pPr>
        <w:pStyle w:val="TextoNormal"/>
      </w:pPr>
    </w:p>
    <w:p w:rsidR="006B7292" w:rsidRDefault="006B7292" w:rsidP="006B7292">
      <w:pPr>
        <w:pStyle w:val="TextoNormal"/>
      </w:pPr>
      <w:r>
        <w:t xml:space="preserve">Afirma el representante del Gobierno de Cantabria que el art. 65 </w:t>
      </w:r>
      <w:r w:rsidRPr="006B7292">
        <w:rPr>
          <w:i/>
        </w:rPr>
        <w:t>bis</w:t>
      </w:r>
      <w:r>
        <w:t xml:space="preserve">.1 no constituye, en ningún caso, norma de carácter procesal o que altere la legislación procesal o introduzca una causa de suspensión del procedimiento de ejecución judicial no previsto en la Ley reguladora de la jurisdicción contencioso-administrativa, pues entiende que es una norma sustantiva, urbanística, que regula una nueva figura o instrucción del derecho urbanístico autonómico “dirigida a conferir a los planeamientos en tramitación (mediante la anticipación parcial de sus efectos), con el fin último de evitar la causación de perjuicios irreparables a los propietarios de construcciones y, en muchos casos, al propio interés público”. En cualquier caso, estima que la pretendida suspensión de la ejecución procesal no nace o se deriva directamente de la Ley de Cantabria 4/2013, no es efecto inmediato y necesario de la aprobación y vigencia de la norma —artículo 65 </w:t>
      </w:r>
      <w:r w:rsidRPr="006B7292">
        <w:rPr>
          <w:i/>
        </w:rPr>
        <w:t>bis</w:t>
      </w:r>
      <w:r>
        <w:t>—, por lo que el vicio de inconstitucionalidad que se le imputa decae automáticamente. Lo que afecta a la ejecución de la sentencia, en su opinión, es, en su caso, la concreta autorización provisional que se otorgue por el ayuntamiento si se cumplen los requisitos necesarios para ello.</w:t>
      </w:r>
    </w:p>
    <w:p w:rsidR="006B7292" w:rsidRDefault="006B7292" w:rsidP="006B7292">
      <w:pPr>
        <w:pStyle w:val="TextoNormal"/>
      </w:pPr>
    </w:p>
    <w:p w:rsidR="006B7292" w:rsidRDefault="006B7292" w:rsidP="006B7292">
      <w:pPr>
        <w:pStyle w:val="TextoNormal"/>
      </w:pPr>
      <w:r>
        <w:t xml:space="preserve">Continúa señalando que el Tribunal deberá tener en cuenta en la fase de ejecución de la Sentencia la existencia de la autorización provisional y la posibilidad de que la misma constituya una causa de imposibilidad legal de ejecución, pero podrá controlar o incluso anular la autorización provisional de conformidad con lo dispuesto en el art. 103.4 LJCA. Es decir, el hecho de que la autorización provisional se haya otorgado de conformidad con el art. 65 </w:t>
      </w:r>
      <w:r w:rsidRPr="006B7292">
        <w:rPr>
          <w:i/>
        </w:rPr>
        <w:t>bis</w:t>
      </w:r>
      <w:r>
        <w:t xml:space="preserve"> no impide el control que el Tribunal puede y debe realizar </w:t>
      </w:r>
      <w:r w:rsidRPr="006B7292">
        <w:rPr>
          <w:i/>
        </w:rPr>
        <w:t>ex</w:t>
      </w:r>
      <w:r>
        <w:t xml:space="preserve"> art. 103.4 LJCA, esto es el examen de si la modificación del planeamiento tiene o no la única finalidad de convertir lo ilegal en legal sino la de atender racionalmente el interés público urbanístico.</w:t>
      </w:r>
    </w:p>
    <w:p w:rsidR="006B7292" w:rsidRDefault="006B7292" w:rsidP="006B7292">
      <w:pPr>
        <w:pStyle w:val="TextoNormal"/>
      </w:pPr>
    </w:p>
    <w:p w:rsidR="006B7292" w:rsidRDefault="006B7292" w:rsidP="006B7292">
      <w:pPr>
        <w:pStyle w:val="TextoNormal"/>
      </w:pPr>
      <w:r>
        <w:t>A diferencia del caso de la STC 92/2013, en el presente supuesto, se afirma, la Ley 4/2013 no incide per se de forma directa en la ejecución, sino que será, en su caso, la correspondiente autorización provisional la que lo haga y la misma estará sujeta al control jurisdiccional. Rechaza el Gobierno de Cantabria que la regulación resulte contraria al derecho a la tutela judicial efectiva, pues el derecho a la ejecución de la sentencia en sus propios términos “no impide que en determinados supuestos ésta devenga legal o materialmente imposible, lo cual habrá de apreciarse por el órgano judicial en resolución motivada, pues el cumplimiento o ejecución de las Sentencias depende de las características de cada proceso y del contenido del fallo”, tal y como ha reconocido el Tribunal Constitucional (STC 73/2000, de 14 de marzo).</w:t>
      </w:r>
    </w:p>
    <w:p w:rsidR="006B7292" w:rsidRDefault="006B7292" w:rsidP="006B7292">
      <w:pPr>
        <w:pStyle w:val="TextoNormal"/>
      </w:pPr>
    </w:p>
    <w:p w:rsidR="006B7292" w:rsidRDefault="006B7292" w:rsidP="006B7292">
      <w:pPr>
        <w:pStyle w:val="TextoNormal"/>
      </w:pPr>
      <w:r>
        <w:t>Y, por último, señala también que, en todo caso, no se sacrifica de forma desproporcionada el pronunciamiento contenido en el fallo. En primer lugar, las autorizaciones provisionales tienen una vigencia máxima de cuatro años de duración que es un plazo razonable que no sacrifica indefinidamente el contenido del fallo. En segundo lugar, la finalidad es evitar la causación de perjuicios irreparables no solo a los propietarios de las viviendas, sino también y principalmente al interés público, dados los enormes costes que tendrían para las arcas públicas, no sólo locales sino también autonómicas, la demolición de las viviendas con orden de derribo y la indemnización a todos los propietarios. Señala que el cálculo estimado que todo ello tendría para la hacienda de la Comunidad Autónoma se fija en torno a unos 300.000.000 €. Y, en tercer lugar, no se sacrifica de forma desproporcionada el interés del restablecimiento de la legalidad urbanística que subyace en el fallo de la Sentencia, pues estas autorizaciones solo se otorgan a aquellas edificaciones o construcciones preexistentes que resulten compatibles con la nueva ordenación urbanística contenida en el planeamiento en tramitación persiguiendo precisamente el restablecimiento de la legalidad urbanística.</w:t>
      </w:r>
    </w:p>
    <w:p w:rsidR="006B7292" w:rsidRDefault="006B7292" w:rsidP="006B7292">
      <w:pPr>
        <w:pStyle w:val="TextoNormal"/>
      </w:pPr>
    </w:p>
    <w:p w:rsidR="006B7292" w:rsidRDefault="006B7292" w:rsidP="006B7292">
      <w:pPr>
        <w:pStyle w:val="TextoNormal"/>
      </w:pPr>
      <w:r w:rsidRPr="006B7292">
        <w:rPr>
          <w:rStyle w:val="NumeroAFNegritaCaracter"/>
        </w:rPr>
        <w:t>9</w:t>
      </w:r>
      <w:r>
        <w:t>. La Fiscal General del Estado comparece mediante escrito registrado el 22 de mayo de 2015 y formula sus alegaciones que apoyan el criterio de la Sala. Estima la Fiscal General del Estado que la norma cuestionada afecta, por un lado, al orden constitucional de distribución de competencias entre el Estado y la Comunidad Autónoma de Cantabria (art. 149.1.6 CE) y, por otro lado, al derecho fundamental a la ejecución de las sentencias en sus propios términos y a la garantía constitucional de integridad jurisdiccional de los jueces y tribunales (arts. 24 y 117.3 CE).</w:t>
      </w:r>
    </w:p>
    <w:p w:rsidR="006B7292" w:rsidRDefault="006B7292" w:rsidP="006B7292">
      <w:pPr>
        <w:pStyle w:val="TextoNormal"/>
      </w:pPr>
    </w:p>
    <w:p w:rsidR="006B7292" w:rsidRDefault="006B7292" w:rsidP="006B7292">
      <w:pPr>
        <w:pStyle w:val="TextoNormal"/>
      </w:pPr>
      <w:r>
        <w:t>En relación con el problema competencial, la Fiscal General del Estado pone de manifiesto que, a diferencia de otros Estatutos de Autonomía, el de Cantabria no contempla que el legislador autonómico pueda regular materia procesal. Por otra parte, en relación con el art. 117.3 CE afirma que la norma cuestionada incide en la regulación de la ejecución de sentencias al introducir un trámite ajeno a la propia ejecución de la Sentencia, y que aunque sólo paraliza ésta temporalmente, en el fondo lo que pretende es legalizar las edificaciones que han de ser derribadas, puesto que “es fácilmente comprensible que en el nuevo planeamiento municipal que se redacte las determinaciones urbanísticas de las parcelas en que se encuentran levantadas las edificaciones declaradas ilegales coincidirán casi al pie de la letra con la realidad de lo edificado, de modo que posteriormente no existirá dificultad alguna para que tales edificaciones obtengan una nueva licencia de obra, con la consiguiente anulación de los efectos de la declaración de ilegalidad efectuada por los Tribunales”.</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 xml:space="preserve">Único. La presente cuestión de inconstitucionalidad ha sido promovida por la Sala de lo Contencioso-Administrativo del Tribunal Superior de Justicia de Cantabria en relación con el art. 65 </w:t>
      </w:r>
      <w:r w:rsidRPr="006B7292">
        <w:rPr>
          <w:i/>
        </w:rPr>
        <w:t>bis</w:t>
      </w:r>
      <w:r>
        <w:t>.1 la Ley de Cantabria 2/2001, de 25 de junio, de ordenación territorial y de régimen urbanístico del suelo de Cantabria, introducido por la Ley de Cantabria 4/2013, de 20 de junio, en la parte del mismo que se refiere a las órdenes de demolición judiciales.</w:t>
      </w:r>
    </w:p>
    <w:p w:rsidR="006B7292" w:rsidRDefault="006B7292" w:rsidP="006B7292">
      <w:pPr>
        <w:pStyle w:val="TextoNormal"/>
      </w:pPr>
    </w:p>
    <w:p w:rsidR="006B7292" w:rsidRDefault="006B7292" w:rsidP="006B7292">
      <w:pPr>
        <w:pStyle w:val="TextoNormal"/>
      </w:pPr>
      <w:r>
        <w:t>El precepto dispone que “iniciado el procedimiento dirigido a la formación, modificación o revisión de los planes urbanísticos y demás instrumentos de planeamiento, y para impedir que se generen perjuicios irreparables al interés público o a los propietarios de edificaciones o actuaciones que, habiendo sido previamente declaradas ilegales y sobre las que hubiesen recaído órdenes de demolición administrativas o judiciales, puedan resultar conformes con la nueva ordenación que se está tramitando, el órgano municipal competente para aprobar inicialmente el plan podrá otorgar, de oficio o a instancia de los interesados, autorizaciones provisionales que afecten a dichas edificaciones o actuaciones preexistentes, previa comprobación de que resultan conformes con el nuevo planeamiento municipal en tramitación. Si el procedimiento se inicia a solicitud del interesado, transcurrido el plazo de tres meses sin haberse notificado resolución alguna podrá entender desestimada su petición.”</w:t>
      </w:r>
    </w:p>
    <w:p w:rsidR="006B7292" w:rsidRDefault="006B7292" w:rsidP="006B7292">
      <w:pPr>
        <w:pStyle w:val="TextoNormal"/>
      </w:pPr>
    </w:p>
    <w:p w:rsidR="006B7292" w:rsidRDefault="006B7292" w:rsidP="006B7292">
      <w:pPr>
        <w:pStyle w:val="TextoNormal"/>
      </w:pPr>
      <w:r>
        <w:t>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24.1 y 117.3 CE que consagran, respectivamente, el derecho a la tutela judicial efectiva y, por tanto, también, su vertiente de derecho a la ejecución de sentencias, y la potestad exclusiva de jueces y tribunales para ejecutar lo juzgado.</w:t>
      </w:r>
    </w:p>
    <w:p w:rsidR="006B7292" w:rsidRDefault="006B7292" w:rsidP="006B7292">
      <w:pPr>
        <w:pStyle w:val="TextoNormal"/>
      </w:pPr>
    </w:p>
    <w:p w:rsidR="006B7292" w:rsidRDefault="006B7292" w:rsidP="006B7292">
      <w:pPr>
        <w:pStyle w:val="TextoNormal"/>
      </w:pPr>
      <w:r>
        <w:t xml:space="preserve">Este Tribunal, en su reciente STC 254/2015, de 30 de noviembre, estimatoria de la cuestión de inconstitucionalidad núm. 6860-2014, dictada con posterioridad al momento en que la presente cuestión fue admitida a trámite, ha declarado inconstitucional y nulo el inciso “o judiciales” del art. 65 </w:t>
      </w:r>
      <w:r w:rsidRPr="006B7292">
        <w:rPr>
          <w:i/>
        </w:rPr>
        <w:t>bis</w:t>
      </w:r>
      <w:r>
        <w:t>.1 de la Ley 2/2001, de 25 de junio, de ordenación territorial y de régimen urbanístico del suelo de Cantabria, introducido por la Ley de Cantabria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w:t>
      </w:r>
    </w:p>
    <w:p w:rsidR="006B7292" w:rsidRDefault="006B7292" w:rsidP="006B7292">
      <w:pPr>
        <w:pStyle w:val="TextoNormal"/>
      </w:pPr>
    </w:p>
    <w:p w:rsidR="006B7292" w:rsidRDefault="006B7292" w:rsidP="006B7292">
      <w:pPr>
        <w:pStyle w:val="TextoNormal"/>
      </w:pPr>
      <w:r>
        <w:t>Se sigue de ello que el referido inciso ha sido expulsado del ordenamiento, una vez anulado por inconstitucional, lo que impone ahora apreciar, conforme a reiterada doctrina de este Tribunal (por todos, ATC 28/2015, de 16 de febrero, FJ único), la desaparición sobrevenida del objeto de la presente cuestión, al haber quedado disipada la duda de constitucionalidad planteada por el órgano judicial.</w:t>
      </w:r>
    </w:p>
    <w:p w:rsidR="006B7292" w:rsidRDefault="006B7292" w:rsidP="006B7292">
      <w:pPr>
        <w:pStyle w:val="TextoNormal"/>
      </w:pPr>
    </w:p>
    <w:p w:rsidR="006B7292" w:rsidRDefault="006B7292" w:rsidP="006B7292">
      <w:pPr>
        <w:pStyle w:val="TextoNormal"/>
      </w:pPr>
      <w:r>
        <w:t>Por todo lo expuesto, la Sala</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Declarar la extinción de la cuestión de inconstitucionalidad núm. 1044-2015, por desaparición sobrevenida de su objeto.</w:t>
      </w:r>
    </w:p>
    <w:p w:rsidR="006B7292" w:rsidRDefault="006B7292" w:rsidP="006B7292">
      <w:pPr>
        <w:pStyle w:val="TextoNormal"/>
      </w:pPr>
    </w:p>
    <w:p w:rsidR="006B7292" w:rsidRDefault="006B7292" w:rsidP="006B7292">
      <w:pPr>
        <w:pStyle w:val="TextoNormal"/>
      </w:pPr>
      <w:r>
        <w:t>Madrid, a catorce de diciembre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29" w:name="AUTO_2015_215"/>
      <w:r>
        <w:t>AUTO 215/2015, de 14 de diciembre de 2015</w:t>
      </w:r>
    </w:p>
    <w:bookmarkEnd w:id="229"/>
    <w:p w:rsidR="006B7292" w:rsidRDefault="006B7292" w:rsidP="006B7292">
      <w:pPr>
        <w:pStyle w:val="TtuloResolucin"/>
      </w:pPr>
      <w:r>
        <w:t>Sala Primera</w:t>
      </w:r>
    </w:p>
    <w:p w:rsidR="006B7292" w:rsidRDefault="006B7292" w:rsidP="006B7292">
      <w:pPr>
        <w:pStyle w:val="TextoNormalCentrado"/>
      </w:pPr>
      <w:r>
        <w:t>ECLI:ES:TC:2015:215A</w:t>
      </w:r>
    </w:p>
    <w:p w:rsidR="006B7292" w:rsidRDefault="006B7292" w:rsidP="006B7292">
      <w:pPr>
        <w:pStyle w:val="TextoNormalCentrado"/>
      </w:pPr>
    </w:p>
    <w:p w:rsidR="006B7292" w:rsidRDefault="006B7292" w:rsidP="006B7292">
      <w:pPr>
        <w:pStyle w:val="SntesisDescriptiva"/>
      </w:pPr>
      <w:r>
        <w:t>Excms. Srs. don Francisco Pérez de los Cobos Orihuel, doña Encarnación Roca Trías, don Andrés Ollero Tassara, don Santiago Martínez-Vares García y don Juan Antonio Xiol Ríos.</w:t>
      </w:r>
    </w:p>
    <w:p w:rsidR="006B7292" w:rsidRDefault="006B7292" w:rsidP="006B7292">
      <w:pPr>
        <w:pStyle w:val="SntesisDescriptiva"/>
      </w:pPr>
    </w:p>
    <w:p w:rsidR="006B7292" w:rsidRDefault="006B7292" w:rsidP="006B7292">
      <w:pPr>
        <w:pStyle w:val="SntesisDescriptiva"/>
      </w:pPr>
      <w:r>
        <w:t>Acuerda la extinción, por desaparición sobrevenida de objeto, de la cuestión de inconstitucionalidad 2209-2015, planteada por el Juzgado de lo Contencioso-Administrativo núm. 1 de Santander en relación con el artículo 65 bis.1 de la Ley 2/2001, de 25 de junio, de ordenación territorial y del régimen urbanístico del suelo de Cantabria.</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xml:space="preserve">. Por escrito registrado en este Tribunal el 20 de abril de 2015, el Juzgado de lo Contencioso-Administrativo núm. 1 de Santander remitió testimonio del Auto de 23 de marzo de 2015 por el que se acordó plantear cuestión de inconstitucionalidad del art. 65 </w:t>
      </w:r>
      <w:r w:rsidRPr="006B7292">
        <w:rPr>
          <w:i/>
        </w:rPr>
        <w:t>bis</w:t>
      </w:r>
      <w:r>
        <w:t>. 1, inciso “o judiciales”, en relación con los efectos previstos en los apartados 2 y 3, de la Ley 2/2001, de 25 de junio, de ordenación territorial y del régimen urbanístico del suelo de Cantabria, añadido por el art. 1 de la Ley 4/2013, de 20 de junio, por considerar que es contrario a los arts. 24.2, 117.3 y 149.1.6 CE. Junto a esta resolución se acompaña copia testimoniada de las actuaciones.</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de hecho del planteamiento de la presente cuestión de inconstitucionalidad son, sucintamente expuestos, los siguientes:</w:t>
      </w:r>
    </w:p>
    <w:p w:rsidR="006B7292" w:rsidRDefault="006B7292" w:rsidP="006B7292">
      <w:pPr>
        <w:pStyle w:val="TextoNormal"/>
      </w:pPr>
    </w:p>
    <w:p w:rsidR="006B7292" w:rsidRDefault="006B7292" w:rsidP="006B7292">
      <w:pPr>
        <w:pStyle w:val="TextoNormal"/>
      </w:pPr>
      <w:r>
        <w:t>a) Mediante Sentencia de 15 de mayo de 2001 del Juzgado de lo Contencioso-Administrativo núm. 1 de Santander, recaída en el procedimiento ordinario 369-1999, se estimó el recurso contencioso-administrativo interpuesto por la asociación para la defensa de los recursos naturales de Cantabria (ARCA) contra la resolución del Ayuntamiento de Piélagos, de 23 de diciembre de 1998, en la que se concedía licencia para la construcción de veinte viviendas unifamiliares en Liencres. La Sentencia disponía la anulación del acto administrativo referido así como la demolición de lo indebidamente construido a su amparo. La resolución fue confirmada en apelación por Sentencia de la Sala de lo Contencioso-Administrativo del Tribunal Superior de Justicia de Cantabria, de 14 de septiembre de 2001, y declarada firme mediante Auto de 3 de diciembre de 2001.</w:t>
      </w:r>
    </w:p>
    <w:p w:rsidR="006B7292" w:rsidRDefault="006B7292" w:rsidP="006B7292">
      <w:pPr>
        <w:pStyle w:val="TextoNormal"/>
      </w:pPr>
    </w:p>
    <w:p w:rsidR="006B7292" w:rsidRDefault="006B7292" w:rsidP="006B7292">
      <w:pPr>
        <w:pStyle w:val="TextoNormal"/>
      </w:pPr>
      <w:r>
        <w:t>b) Instada la ejecución de la Sentencia por la recurrente, se acordó la ejecución forzosa. En el procedimiento de ejecución, se planteó incidente de inejecución al amparo de lo dispuesto en la disposición adicional sexta de la Ley 2/2001, de 25 de junio, introducida por el art. 2 de la Ley 2/2011, de 4 de abril, que prescribe la tramitación de los oportunos expedientes de responsabilidad patrimonial de la Administración, con determinación y abono de las correspondientes indemnizaciones, antes de proceder a una demolición, lo que motivó el planteamiento de cuestión de inconstitucionalidad en relación con la misma. El Tribunal Constitucional declaró la inconstitucionalidad de parte de la referida disposición.</w:t>
      </w:r>
    </w:p>
    <w:p w:rsidR="006B7292" w:rsidRDefault="006B7292" w:rsidP="006B7292">
      <w:pPr>
        <w:pStyle w:val="TextoNormal"/>
      </w:pPr>
    </w:p>
    <w:p w:rsidR="006B7292" w:rsidRDefault="006B7292" w:rsidP="006B7292">
      <w:pPr>
        <w:pStyle w:val="TextoNormal"/>
      </w:pPr>
      <w:r>
        <w:t>c) El Ayuntamiento de Piélagos promovió el 26 de septiembre de 2014, el incidente procesal previsto en el art. 105 de la Ley reguladora de la jurisdicción contencioso-administrativa (LJCA), solicitando que la Sala acordara la imposibilidad jurídica de ejecutar la Sentencia recaída, al haberse publicado la Ley del Parlamento de Cantabria 4/2013, de 20 de junio, que afecta directamente al contenido del fallo, al encontrarse el referido Ayuntamiento inmerso en el proceso de revisión del plan general de ordenación urbana, en cuya virtud se había otorgado por el Pleno de la corporación autorización provisional a las viviendas integrantes de la “Urbanización Entrelindes” afectadas por sentencias firmes de derribo.</w:t>
      </w:r>
    </w:p>
    <w:p w:rsidR="006B7292" w:rsidRDefault="006B7292" w:rsidP="006B7292">
      <w:pPr>
        <w:pStyle w:val="TextoNormal"/>
      </w:pPr>
    </w:p>
    <w:p w:rsidR="006B7292" w:rsidRDefault="006B7292" w:rsidP="006B7292">
      <w:pPr>
        <w:pStyle w:val="TextoNormal"/>
      </w:pPr>
      <w:r>
        <w:t>d) Por diligencia de ordenación del Secretario judicial de 6 de octubre de 2014, se dio traslado a las partes personadas y a los interesados en la ejecución de la cuestión incidental planteada para que en el plazo común de veinte días alegaran lo que estimaran pertinente.</w:t>
      </w:r>
    </w:p>
    <w:p w:rsidR="006B7292" w:rsidRDefault="006B7292" w:rsidP="006B7292">
      <w:pPr>
        <w:pStyle w:val="TextoNormal"/>
      </w:pPr>
    </w:p>
    <w:p w:rsidR="006B7292" w:rsidRDefault="006B7292" w:rsidP="006B7292">
      <w:pPr>
        <w:pStyle w:val="TextoNormal"/>
      </w:pPr>
      <w:r>
        <w:t>e) A la vista de las alegaciones efectuadas, por providencia de 16 de febrero de 2015, el Juzgado de lo Contencioso-Administrativo núm. 1 de Santander acordó, en virtud del art. 35.2 de la Ley Orgánica del Tribunal Constitucional (LOTC), y con suspensión del plazo para dictar resolución, oír a las partes y al Ministerio Fiscal, por término común de diez días, sobre la posible inconstitucionalidad de la normativa autonómica; en concreto, del art. 65 bis.1, inciso “o judiciales” de la Ley 2/2001, de 25 de junio, añadido por el art. 1 de la Ley 4/2013, de 20 de junio, conforme al cual se introduce la posibilidad de obtener autorizaciones provisionales que afecten a las edificaciones que hayan sido declaradas ilegales y sobre las que hubiesen recaído orden de demolición administrativa o judicial. Concretamente se plantea si pudiera adolecer dicha normativa de falta de competencia de la Comunidad Autónoma para introducir una causa de suspensión en el procedimiento de ejecución judicial no previsto en la normativa procesal cuya competencia es exclusiva del Estado conforme al art. 149.1. 6 CE, pudiera afectar al derecho a la tutela judicial efectiva del art. 24 CE y a la competencia exclusiva de jueces y tribunales para juzgar y hacer ejecutar lo juzgado, conforme al art. 117 CE. Todo ello en relación con los arts. 9.3, 24.1. 106.1, 117 y 118 CE.</w:t>
      </w:r>
    </w:p>
    <w:p w:rsidR="006B7292" w:rsidRDefault="006B7292" w:rsidP="006B7292">
      <w:pPr>
        <w:pStyle w:val="TextoNormal"/>
      </w:pPr>
    </w:p>
    <w:p w:rsidR="006B7292" w:rsidRDefault="006B7292" w:rsidP="006B7292">
      <w:pPr>
        <w:pStyle w:val="TextoNormal"/>
      </w:pPr>
      <w:r>
        <w:t xml:space="preserve">f) Oídas las partes personadas en el proceso, el Juzgado de lo Contencioso-Administrativo, mediante Auto de 23 de marzo de 2015, acordó plantear la cuestión de inconstitucionalidad del art. 65 </w:t>
      </w:r>
      <w:r w:rsidRPr="006B7292">
        <w:rPr>
          <w:i/>
        </w:rPr>
        <w:t>bis</w:t>
      </w:r>
      <w:r>
        <w:t>.1, inciso “o judiciales”, en relación con los efectos previstos en los apartados 2 y 3, de la Ley 2/2001, de 25 de junio, añadido por el art. 1 de la Ley 4/2013, de 20 de junio por ser contrarios a los arts. 24.2, 117.3 y 149.1.6 CE.</w:t>
      </w:r>
    </w:p>
    <w:p w:rsidR="006B7292" w:rsidRDefault="006B7292" w:rsidP="006B7292">
      <w:pPr>
        <w:pStyle w:val="TextoNormal"/>
      </w:pPr>
    </w:p>
    <w:p w:rsidR="006B7292" w:rsidRDefault="006B7292" w:rsidP="006B7292">
      <w:pPr>
        <w:pStyle w:val="TextoNormal"/>
      </w:pPr>
      <w:r w:rsidRPr="006B7292">
        <w:rPr>
          <w:rStyle w:val="NumeroAFNegritaCaracter"/>
        </w:rPr>
        <w:t>3</w:t>
      </w:r>
      <w:r>
        <w:t>. En cuanto al contenido del Auto de promoción importa destacar lo siguiente:</w:t>
      </w:r>
    </w:p>
    <w:p w:rsidR="006B7292" w:rsidRDefault="006B7292" w:rsidP="006B7292">
      <w:pPr>
        <w:pStyle w:val="TextoNormal"/>
      </w:pPr>
    </w:p>
    <w:p w:rsidR="006B7292" w:rsidRDefault="006B7292" w:rsidP="006B7292">
      <w:pPr>
        <w:pStyle w:val="TextoNormal"/>
      </w:pPr>
      <w:r>
        <w:t>Tras exponer los antecedentes del caso, en especial en relación con el procedimiento ordinario (369-1999), el Auto razona que el ayuntamiento plantea causa de imposibilidad jurídica de ejecutar el fallo de la Sentencia por entrar en vigor la Ley 4/2013 que modifica la Ley 2/2001, de 25 de junio, que introduce la tramitación de un procedimiento administrativo para la obtención de una autorización provisional que afecte a las edificaciones que hayan sido declaradas ilegales y sobre las que hubiese recaído orden de demolición judicial por sentencia firme. Dicha norma es de aplicación preceptiva y determina el contenido de la resolución. Destaca que en relación a este procedimiento y otros pendientes de idéntico trámite, en los que al amparo de esta previsión legal y como consecuencia de autorizaciones provisionales concedidas a inmuebles pendientes de demolición por orden judicial, la Sala de lo Contencioso-Administrativo del Tribunal Superior de Justicia ha planteado cuestión de inconstitucionalidad que ha sido admitida por providencia del Tribunal Constitucional de 20 de enero de 2015.</w:t>
      </w:r>
    </w:p>
    <w:p w:rsidR="006B7292" w:rsidRDefault="006B7292" w:rsidP="006B7292">
      <w:pPr>
        <w:pStyle w:val="TextoNormal"/>
      </w:pPr>
    </w:p>
    <w:p w:rsidR="006B7292" w:rsidRDefault="006B7292" w:rsidP="006B7292">
      <w:pPr>
        <w:pStyle w:val="TextoNormal"/>
      </w:pPr>
      <w:r>
        <w:t xml:space="preserve">A continuación indica que la solicitud de inejecución que debe resolverse se apoya en el art. 65 </w:t>
      </w:r>
      <w:r w:rsidRPr="006B7292">
        <w:rPr>
          <w:i/>
        </w:rPr>
        <w:t>bis</w:t>
      </w:r>
      <w:r>
        <w:t>.1, inciso “o judiciales” de la Ley 2/2001, modificada por la Ley 4/2013. El precepto invierte los términos generales y tradicionales del derecho urbanístico pues en lugar de suspender la concesión de licencias de construcción mientras se están tramitando nuevos planes de ordenación, lo que hace es suspender las ejecuciones judiciales mientras se tramitan estos planes, que parecen buscar la legalización de edificios que tienen sentencia de derribo, a veces, desde hace más de 15 años.</w:t>
      </w:r>
    </w:p>
    <w:p w:rsidR="006B7292" w:rsidRDefault="006B7292" w:rsidP="006B7292">
      <w:pPr>
        <w:pStyle w:val="TextoNormal"/>
      </w:pPr>
    </w:p>
    <w:p w:rsidR="006B7292" w:rsidRDefault="006B7292" w:rsidP="006B7292">
      <w:pPr>
        <w:pStyle w:val="TextoNormal"/>
      </w:pPr>
      <w:r>
        <w:t>Considera que la normativa trata de interferir en las sentencias de derribo, vulnerando varios preceptos constitucionales, dos de ellos íntimamente unidos: tutela judicial efectiva y suspensión del procedimiento judicial.</w:t>
      </w:r>
    </w:p>
    <w:p w:rsidR="006B7292" w:rsidRDefault="006B7292" w:rsidP="006B7292">
      <w:pPr>
        <w:pStyle w:val="TextoNormal"/>
      </w:pPr>
    </w:p>
    <w:p w:rsidR="006B7292" w:rsidRDefault="006B7292" w:rsidP="006B7292">
      <w:pPr>
        <w:pStyle w:val="TextoNormal"/>
      </w:pPr>
      <w:r>
        <w:t>Conforme al art. 149.1.6 CE, el Estado tiene competencia exclusiva sobre la legislación procesal, regida para los órganos contencioso-administrativos por la Ley 29/1998, de 13 de julio, Ley estatal no susceptible de modificación mediante Ley autonómica en virtud del principio de distribución de competencias, normativa estatal que, conforme a su art. 105.1, no permite suspensión alguna en la ejecución de sentencias.</w:t>
      </w:r>
    </w:p>
    <w:p w:rsidR="006B7292" w:rsidRDefault="006B7292" w:rsidP="006B7292">
      <w:pPr>
        <w:pStyle w:val="TextoNormal"/>
      </w:pPr>
    </w:p>
    <w:p w:rsidR="006B7292" w:rsidRDefault="006B7292" w:rsidP="006B7292">
      <w:pPr>
        <w:pStyle w:val="TextoNormal"/>
      </w:pPr>
      <w:r>
        <w:t>Razona que la ejecución de las sentencias forma parte derecho a la tutela judicial efectiva en su vertiente de derecho a la ejecución (art. 24 CE), correspondiendo el ejercicio de esta potestad jurisdiccional en exclusiva a los juzgados y tribunales (art. 117.3 CE), siendo obligatorio cumplir las resoluciones firmes y prestar colaboración requerida por los jueces y tribunales (art. 118 CE). Entiende que la efectividad de la Ley autonómica incide en la ejecución procesal al introducir una causa de suspensión no prevista en la Ley estatal para la que tanto el Gobierno Autonómico, como el ayuntamiento, carecen de competencias.</w:t>
      </w:r>
    </w:p>
    <w:p w:rsidR="006B7292" w:rsidRDefault="006B7292" w:rsidP="006B7292">
      <w:pPr>
        <w:pStyle w:val="TextoNormal"/>
      </w:pPr>
    </w:p>
    <w:p w:rsidR="006B7292" w:rsidRDefault="006B7292" w:rsidP="006B7292">
      <w:pPr>
        <w:pStyle w:val="TextoNormal"/>
      </w:pPr>
      <w:r>
        <w:t>Indica que este precepto recuerda al de la Ley 2/2001, de 25 de junio, que fue declarado inconstitucional por la STC 92/2013. La suspensión durante cuatro años hace que el ayuntamiento tenga en sus manos la posibilidad de frustrar la efectividad de la ejecución del fallo, entrando la disposición en conflicto con el art. 117.3 CE y 105.1 LJCA 28/1998.</w:t>
      </w:r>
    </w:p>
    <w:p w:rsidR="006B7292" w:rsidRDefault="006B7292" w:rsidP="006B7292">
      <w:pPr>
        <w:pStyle w:val="TextoNormal"/>
      </w:pPr>
    </w:p>
    <w:p w:rsidR="006B7292" w:rsidRDefault="006B7292" w:rsidP="006B7292">
      <w:pPr>
        <w:pStyle w:val="TextoNormal"/>
      </w:pPr>
      <w:r>
        <w:t xml:space="preserve">Descarta que pueda oponerse que la causa de la inejecución sea el acto administrativo, pues este se ampara en la norma cuestionada, dejando </w:t>
      </w:r>
      <w:r w:rsidRPr="006B7292">
        <w:rPr>
          <w:i/>
        </w:rPr>
        <w:t>sine die</w:t>
      </w:r>
      <w:r>
        <w:t xml:space="preserve"> la ejecución de la Sentencia firme, anticipando la eficacia de una norma que no es tal. Considera que tampoco se trata del otorgamiento de una nueva licencia, tras la anulada, sino de una licencia provisional cuyo encaje de legalidad se debe efectuar con un proyecto, cuyo control judicial no es posible al no tratarse de un acto definitivo, lo que supone dejar en manos del ejecutado la ejecución de sentencias firmes.</w:t>
      </w:r>
    </w:p>
    <w:p w:rsidR="006B7292" w:rsidRDefault="006B7292" w:rsidP="006B7292">
      <w:pPr>
        <w:pStyle w:val="TextoNormal"/>
      </w:pPr>
    </w:p>
    <w:p w:rsidR="006B7292" w:rsidRDefault="006B7292" w:rsidP="006B7292">
      <w:pPr>
        <w:pStyle w:val="TextoNormal"/>
      </w:pPr>
      <w:r w:rsidRPr="006B7292">
        <w:rPr>
          <w:rStyle w:val="NumeroAFNegritaCaracter"/>
        </w:rPr>
        <w:t>4</w:t>
      </w:r>
      <w:r>
        <w:t>. Por providencias de 23 y 25 de junio de 2015, el Pleno, a propuesta de la Sección Segunda, acordó admitir a trámite la cuestión de inconstitucionalidad, deferir su conocimiento a la Sala Primera a la que por turno objetivo correspondió, y dar traslado de las actuaciones al Congreso de los Diputados y al Senado por conducto de sus Presidentes, al Gobierno por conducto del Ministro de Justicia, y al Fiscal General del Estado, así como al Gobierno y al Parlamento de Cantabria por conducto de sus Presidentes, al objeto de que, en el improrrogable plazo de quince días, pudieran personarse en el proceso y formular las alegaciones que estimasen convenientes. Asimismo se acordó comunicar la admisión al órgano judicial proponente a fin de que, de conformidad con el art. 35.3 LOTC, permaneciera suspendido el proceso judicial hasta que se resolviera la cuestión de inconstitucionalidad. En la misma providencia acordó el Tribunal publicar la incoación de la cuestión de inconstitucionalidad en el “Boletín Oficial del Estado” y en el “Boletín Oficial de Cantabria”.</w:t>
      </w:r>
    </w:p>
    <w:p w:rsidR="006B7292" w:rsidRDefault="006B7292" w:rsidP="006B7292">
      <w:pPr>
        <w:pStyle w:val="TextoNormal"/>
      </w:pPr>
    </w:p>
    <w:p w:rsidR="006B7292" w:rsidRDefault="006B7292" w:rsidP="006B7292">
      <w:pPr>
        <w:pStyle w:val="TextoNormal"/>
      </w:pPr>
      <w:r w:rsidRPr="006B7292">
        <w:rPr>
          <w:rStyle w:val="NumeroAFNegritaCaracter"/>
        </w:rPr>
        <w:t>5</w:t>
      </w:r>
      <w:r>
        <w:t>. El Presidente del Senado, mediante escrito que tuvo entrada el 1 de julio de 2015, comunicó que la Mesa de la Cámara había acordado personarse en el proceso, ofreciendo su colaboración a los efectos del art. 88.1 LOTC. Lo mismo hizo el Presidente del Congreso de los Diputados mediante escrito que tuvo entrada el 3 de julio de 2015.</w:t>
      </w:r>
    </w:p>
    <w:p w:rsidR="006B7292" w:rsidRDefault="006B7292" w:rsidP="006B7292">
      <w:pPr>
        <w:pStyle w:val="TextoNormal"/>
      </w:pPr>
    </w:p>
    <w:p w:rsidR="006B7292" w:rsidRDefault="006B7292" w:rsidP="006B7292">
      <w:pPr>
        <w:pStyle w:val="TextoNormal"/>
      </w:pPr>
      <w:r w:rsidRPr="006B7292">
        <w:rPr>
          <w:rStyle w:val="NumeroAFNegritaCaracter"/>
        </w:rPr>
        <w:t>6</w:t>
      </w:r>
      <w:r>
        <w:t>. El Abogado del Estado se persona y presenta alegaciones en escrito registrado el 7 de julio de 2015 solicitando la estimación de la cuestión de inconstitucionalidad presentada.</w:t>
      </w:r>
    </w:p>
    <w:p w:rsidR="006B7292" w:rsidRDefault="006B7292" w:rsidP="006B7292">
      <w:pPr>
        <w:pStyle w:val="TextoNormal"/>
      </w:pPr>
    </w:p>
    <w:p w:rsidR="006B7292" w:rsidRDefault="006B7292" w:rsidP="006B7292">
      <w:pPr>
        <w:pStyle w:val="TextoNormal"/>
      </w:pPr>
      <w:r>
        <w:t xml:space="preserve">Sostiene el Abogado del Estado, en primer término, que la autorización provisional que prevé el art. 65 </w:t>
      </w:r>
      <w:r w:rsidRPr="006B7292">
        <w:rPr>
          <w:i/>
        </w:rPr>
        <w:t>bis</w:t>
      </w:r>
      <w:r>
        <w:t>.1 de la Ley cántabra 2/2001 no es una verdadera autorización por cuanto ni implica una actividad de auténtica verificación o comprobación de la conformidad de la construcción con el planeamiento urbanístico, ni crea una situación definitiva, sino interina, ni persigue un interés público, sino particular, quedando además la situación creada sometida a término (caducidad, revocación o sustitución por licencia definitiva). En su opinión, la regulación persigue una adaptación del planeamiento a las condiciones de la edificación.</w:t>
      </w:r>
    </w:p>
    <w:p w:rsidR="006B7292" w:rsidRDefault="006B7292" w:rsidP="006B7292">
      <w:pPr>
        <w:pStyle w:val="TextoNormal"/>
      </w:pPr>
    </w:p>
    <w:p w:rsidR="006B7292" w:rsidRDefault="006B7292" w:rsidP="006B7292">
      <w:pPr>
        <w:pStyle w:val="TextoNormal"/>
      </w:pPr>
      <w:r>
        <w:t xml:space="preserve">Afirma, en segundo lugar, que el art. 65 </w:t>
      </w:r>
      <w:r w:rsidRPr="006B7292">
        <w:rPr>
          <w:i/>
        </w:rPr>
        <w:t>bis</w:t>
      </w:r>
      <w:r>
        <w:t>.1 en el inciso referido a las demoliciones judiciales, vulnera el derecho a la tutela judicial efectiva en su vertiente de derecho a la ejecución de las sentencias en sus propios términos. Señala, a estos efectos, que de acuerdo con la doctrina constitucional (SSTC 4/1988, 153/1992, y 73/2000), son contrarias al art. 24.1 en relación con los arts. 117.3 y 118 CE, las previsiones normativas que sacrifican, de forma desproporcionada, el pronunciamiento contenido en el fallo de una resolución judicial firme, de modo que de forma patente o manifiesta no exista la debida proporción entre el interés encarnado en la Ley y el concreto interés tutelado por el fallo a ejecutar, es decir, la debida proporción entre la finalidad perseguida y el sacrificio impuesto.</w:t>
      </w:r>
    </w:p>
    <w:p w:rsidR="006B7292" w:rsidRDefault="006B7292" w:rsidP="006B7292">
      <w:pPr>
        <w:pStyle w:val="TextoNormal"/>
      </w:pPr>
    </w:p>
    <w:p w:rsidR="006B7292" w:rsidRDefault="006B7292" w:rsidP="006B7292">
      <w:pPr>
        <w:pStyle w:val="TextoNormal"/>
      </w:pPr>
      <w:r>
        <w:t xml:space="preserve">Analizado el presente caso conforme a estos parámetros, el Abogado del Estado afirma que la ley no pondera los intereses en juego ni calibra si la finalidad de la norma enjuiciada es proporcional al sacrificio que genera en el derecho fundamental a la tutela judicial efectiva y llega a la conclusión de que, en realidad, la previsión del artículo. 65 </w:t>
      </w:r>
      <w:r w:rsidRPr="006B7292">
        <w:rPr>
          <w:i/>
        </w:rPr>
        <w:t>bis</w:t>
      </w:r>
      <w:r>
        <w:t>.1 genera un sacrificio injustificado de la intangibilidad y de la debida ejecución del fallo por un título que no constituye sino una situación interina no apta para enervar la fuerza de una sentencia judicial firme.</w:t>
      </w:r>
    </w:p>
    <w:p w:rsidR="006B7292" w:rsidRDefault="006B7292" w:rsidP="006B7292">
      <w:pPr>
        <w:pStyle w:val="TextoNormal"/>
      </w:pPr>
    </w:p>
    <w:p w:rsidR="006B7292" w:rsidRDefault="006B7292" w:rsidP="006B7292">
      <w:pPr>
        <w:pStyle w:val="TextoNormal"/>
      </w:pPr>
      <w:r>
        <w:t>En tercer lugar, el Abogado del Estado argumenta que la regulación autonómica invade la competencia exclusiva del Estado en materia de legislación procesal por cuanto ésta abarca la regulación de la ejecución de las resoluciones judiciales. Y ello sin que, por otra parte, pueda considerarse que se trata de una norma especial que deriva de las particularidades del derecho sustantivo de la Comunidad Autónoma de Cantabria.</w:t>
      </w:r>
    </w:p>
    <w:p w:rsidR="006B7292" w:rsidRDefault="006B7292" w:rsidP="006B7292">
      <w:pPr>
        <w:pStyle w:val="TextoNormal"/>
      </w:pPr>
    </w:p>
    <w:p w:rsidR="006B7292" w:rsidRDefault="006B7292" w:rsidP="006B7292">
      <w:pPr>
        <w:pStyle w:val="TextoNormal"/>
      </w:pPr>
      <w:r>
        <w:t>Por último, el Abogado del Estado sostiene que la norma cuestionada invade la exclusividad de la potestad jurisdiccional consagrada en el art. 117.3 CE al quebrar el régimen uniforme de ejecución de las sentencias contencioso-administrativas reconociendo la facultad de interferir en la ejecución de un pronunciamiento de una sentencia contencioso-administrativa firme mediante una autorización que se opone y contradice el pronunciamiento jurisdiccional supeditando el ejercicio de la potestad judicial de ejecutar (art. 117.3 CE), la obligación de cumplir las sentencias firmes (art. 118 CE) y el derecho fundamental a la ejecución (art. 24 CE), a la concesión de una autorización provisional a la obra cuya demolición ordenó la jurisdicción.</w:t>
      </w:r>
    </w:p>
    <w:p w:rsidR="006B7292" w:rsidRDefault="006B7292" w:rsidP="006B7292">
      <w:pPr>
        <w:pStyle w:val="TextoNormal"/>
      </w:pPr>
    </w:p>
    <w:p w:rsidR="006B7292" w:rsidRDefault="006B7292" w:rsidP="006B7292">
      <w:pPr>
        <w:pStyle w:val="TextoNormal"/>
      </w:pPr>
      <w:r w:rsidRPr="006B7292">
        <w:rPr>
          <w:rStyle w:val="NumeroAFNegritaCaracter"/>
        </w:rPr>
        <w:t>7</w:t>
      </w:r>
      <w:r>
        <w:t>. El Letrado del Parlamento de Cantabria presenta su escrito de alegaciones el 20 de julio de 2015 en el que, en primer término, pone en entredicho que el planteamiento de la cuestión cumpla con el juicio de aplicabilidad y relevancia, pues, en su opinión, el contenido del fallo del litigio no ha de variar con independencia de si se declara o no inconstitucional la Ley, ya que, en cualquier caso se va a restablecer la legalidad, pues la Ley del Parlamento de Cantabria persigue el restablecimiento evitando que se proceda a la demolición cuando se ha producido la modificación posterior del planeamiento de forma que lo construido se adecua ahora a él.</w:t>
      </w:r>
    </w:p>
    <w:p w:rsidR="006B7292" w:rsidRDefault="006B7292" w:rsidP="006B7292">
      <w:pPr>
        <w:pStyle w:val="TextoNormal"/>
      </w:pPr>
    </w:p>
    <w:p w:rsidR="006B7292" w:rsidRDefault="006B7292" w:rsidP="006B7292">
      <w:pPr>
        <w:pStyle w:val="TextoNormal"/>
      </w:pPr>
      <w:r>
        <w:t>Rechaza, en segundo lugar, que la Ley esté realmente previendo una suspensión de la ejecución de un fallo, pues considera que no interfiere en la legislación procesal ni en la resolución o ejecución del proceso, sino que se limita a prever una medida de restitución de la legalidad urbanística. La regulación tiene, además, a su juicio, amparo en las competencias que el Estatuto atribuye a la Comunidad Autónoma de Cantabria en materia de “organización, régimen y funcionamiento de sus instituciones de autogobierno” (art. 24.1 del Estatuto de Autonomía de Cantabria: EACant), “urbanismo y vivienda” (art. 24.3 EACant) y “procedimiento administrativo derivado de las especialidades de la organización propia” (art. 24.32 EACant).</w:t>
      </w:r>
    </w:p>
    <w:p w:rsidR="006B7292" w:rsidRDefault="006B7292" w:rsidP="006B7292">
      <w:pPr>
        <w:pStyle w:val="TextoNormal"/>
      </w:pPr>
    </w:p>
    <w:p w:rsidR="006B7292" w:rsidRDefault="006B7292" w:rsidP="006B7292">
      <w:pPr>
        <w:pStyle w:val="TextoNormal"/>
      </w:pPr>
      <w:r>
        <w:t>Defiende el Letrado del Parlamento de Cantabria que las autorizaciones provisionales no son legislación procesal, sino legislación urbanística, pues “la previsión y regulación de las “autorizaciones provisionales” es una clara manifestación de la gestión de los instrumentos planificadores y de la disciplina urbanística, como potestades que integran la materia urbanismo y que el Estatuto de Autonomía para Cantabria atribuye a la Comunidad Autónoma”. Y añade que “la ejecución de la sentencia también se produce cuando se adecua lo construido al planeamiento, sin que se suspenda el procedimiento judicial”.</w:t>
      </w:r>
    </w:p>
    <w:p w:rsidR="006B7292" w:rsidRDefault="006B7292" w:rsidP="006B7292">
      <w:pPr>
        <w:pStyle w:val="TextoNormal"/>
      </w:pPr>
    </w:p>
    <w:p w:rsidR="006B7292" w:rsidRDefault="006B7292" w:rsidP="006B7292">
      <w:pPr>
        <w:pStyle w:val="TextoNormal"/>
      </w:pPr>
      <w:r w:rsidRPr="006B7292">
        <w:rPr>
          <w:rStyle w:val="NumeroAFNegritaCaracter"/>
        </w:rPr>
        <w:t>8</w:t>
      </w:r>
      <w:r>
        <w:t>. El Gobierno de Cantabria formuló sus alegaciones por escrito registrado el 21 de julio de 2015.</w:t>
      </w:r>
    </w:p>
    <w:p w:rsidR="006B7292" w:rsidRDefault="006B7292" w:rsidP="006B7292">
      <w:pPr>
        <w:pStyle w:val="TextoNormal"/>
      </w:pPr>
    </w:p>
    <w:p w:rsidR="006B7292" w:rsidRDefault="006B7292" w:rsidP="006B7292">
      <w:pPr>
        <w:pStyle w:val="TextoNormal"/>
      </w:pPr>
      <w:r>
        <w:t xml:space="preserve">Expone los antecedentes del caso y sostiene que la autorización provisional que se regula en el art. 65 </w:t>
      </w:r>
      <w:r w:rsidRPr="006B7292">
        <w:rPr>
          <w:i/>
        </w:rPr>
        <w:t>bis</w:t>
      </w:r>
      <w:r>
        <w:t xml:space="preserve">.1 Ley 2/2001 es una nueva figura jurídica dirigida a conferir mayor eficacia a los planeamientos en tramitación mediante la anticipación parcial de sus efectos, con el fin de evitar causar perjuicios irreparables a los intereses de los particulares y al propio interés público. De esta forma, explica el Gobierno de Cantabria, se trata de una figura vinculada por un lado al planeamiento urbanístico, puesto que supone dar eficacia anticipada al planeamiento en tramitación, y, por otra, a la disciplina urbanística, por cuanto implica que no toda infracción de la legalidad ha de llevar aparejada la demolición de forma irremediable. Es decir, en su opinión, se trata de una regulación basada en el principio de proporcionalidad que trata de conjugar el equilibrio justo entre la garantía de los intereses públicos y el mantenimiento del </w:t>
      </w:r>
      <w:r w:rsidRPr="006B7292">
        <w:rPr>
          <w:i/>
        </w:rPr>
        <w:t>ius aedificandi</w:t>
      </w:r>
      <w:r>
        <w:t xml:space="preserve"> cuando ello es posible. No se aplica, dirá, indiscriminadamente a cualesquiera edificaciones o construcciones preexistentes, pues el “plan de derribos” de 2011 contempla en muchos casos la demolición como única vía para ejecutar las sentencias, mientras que el art. 65 </w:t>
      </w:r>
      <w:r w:rsidRPr="006B7292">
        <w:rPr>
          <w:i/>
        </w:rPr>
        <w:t>bis</w:t>
      </w:r>
      <w:r>
        <w:t>.1 lo que regula es aquellos supuestos en que por medio de una ordenación que atienda al interés público sea posible legalizar la obra o edificación anteriormente ilegal.</w:t>
      </w:r>
    </w:p>
    <w:p w:rsidR="006B7292" w:rsidRDefault="006B7292" w:rsidP="006B7292">
      <w:pPr>
        <w:pStyle w:val="TextoNormal"/>
      </w:pPr>
    </w:p>
    <w:p w:rsidR="006B7292" w:rsidRDefault="006B7292" w:rsidP="006B7292">
      <w:pPr>
        <w:pStyle w:val="TextoNormal"/>
      </w:pPr>
      <w:r>
        <w:t xml:space="preserve">Destaca el Gobierno de Cantabria que el art. 65 </w:t>
      </w:r>
      <w:r w:rsidRPr="006B7292">
        <w:rPr>
          <w:i/>
        </w:rPr>
        <w:t>bis</w:t>
      </w:r>
      <w:r>
        <w:t xml:space="preserve">.1 no concede ni otorga directamente autorización provisional alguna, sino que es una norma de carácter general que regula la posibilidad de otorgar autorizaciones provisionales. Por tanto, sostiene que el art. 65 </w:t>
      </w:r>
      <w:r w:rsidRPr="006B7292">
        <w:rPr>
          <w:i/>
        </w:rPr>
        <w:t>bis</w:t>
      </w:r>
      <w:r>
        <w:t>.1 precisa de posteriores actos administrativos aplicativos y que serán las concretas autorizaciones provisionales que se otorguen al amparo de la norma las que puedan llegar a determinar, en su caso y si se dan los requisitos legalmente establecidos en la Ley reguladora de la jurisdicción contencioso-administrativa, la imposibilidad legal de proceder a la ejecución de una resolución judicial firme. En consecuencia, mantiene que esos actos administrativos concretos, esas autorizaciones provisionales que se otorguen en cada caso, sí son controlables y fiscalizables por los propios juzgados y tribunales contencioso-administrativos encargados de ejecutar las sentencias.</w:t>
      </w:r>
    </w:p>
    <w:p w:rsidR="006B7292" w:rsidRDefault="006B7292" w:rsidP="006B7292">
      <w:pPr>
        <w:pStyle w:val="TextoNormal"/>
      </w:pPr>
    </w:p>
    <w:p w:rsidR="006B7292" w:rsidRDefault="006B7292" w:rsidP="006B7292">
      <w:pPr>
        <w:pStyle w:val="TextoNormal"/>
      </w:pPr>
      <w:r>
        <w:t xml:space="preserve">Por último, el Gobierno de Cantabria considera que el art. 65 </w:t>
      </w:r>
      <w:r w:rsidRPr="006B7292">
        <w:rPr>
          <w:i/>
        </w:rPr>
        <w:t>bis</w:t>
      </w:r>
      <w:r>
        <w:t xml:space="preserve">.1 no constituye, en ningún caso, norma de carácter procesal o que altere la legislación procesal o introduzca una causa de suspensión del procedimiento de ejecución judicial no previsto en la Ley reguladora de la jurisdicción contencioso-administrativa, pues entiende que es una norma sustantiva, urbanística, que regula una nueva figura o instrucción del derecho urbanístico autonómico “dirigida a conferir a los planeamientos en tramitación (mediante la anticipación parcial de sus efectos), con el fin último de evitar la causación de perjuicios irreparables a los propietarios de construcciones y, en muchos casos, al propio interés público”. En cualquier caso, estima que la pretendida suspensión de la ejecución procesal no nace o se deriva directamente de la Ley del Parlamento de Cantabria 4/2013, no es efecto inmediato y necesario de la aprobación y vigencia de la norma —artículo 65 </w:t>
      </w:r>
      <w:r w:rsidRPr="006B7292">
        <w:rPr>
          <w:i/>
        </w:rPr>
        <w:t>bis</w:t>
      </w:r>
      <w:r>
        <w:t>—, por lo que el vicio de inconstitucionalidad que se le imputa decae automáticamente. Lo que afecta a la ejecución de la sentencia, en su opinión, es, en su caso, la concreta autorización provisional que se otorgue por el Ayuntamiento si se cumplen los requisitos necesarios para ello.</w:t>
      </w:r>
    </w:p>
    <w:p w:rsidR="006B7292" w:rsidRDefault="006B7292" w:rsidP="006B7292">
      <w:pPr>
        <w:pStyle w:val="TextoNormal"/>
      </w:pPr>
    </w:p>
    <w:p w:rsidR="006B7292" w:rsidRDefault="006B7292" w:rsidP="006B7292">
      <w:pPr>
        <w:pStyle w:val="TextoNormal"/>
      </w:pPr>
      <w:r>
        <w:t xml:space="preserve">Afirma el Gobierno de Cantabria que el Tribunal deberá tener en cuenta en la fase de ejecución de la Sentencia la existencia de la autorización provisional y la posibilidad de que la misma constituya una causa de imposibilidad legal de ejecución, pero podrá controlar o incluso anular la autorización provisional de conformidad con lo dispuesto en el art. 103.4 LJCA. Es decir, el hecho de que la autorización provisional se haya otorgado de conformidad con el art. 65 </w:t>
      </w:r>
      <w:r w:rsidRPr="006B7292">
        <w:rPr>
          <w:i/>
        </w:rPr>
        <w:t>bis</w:t>
      </w:r>
      <w:r>
        <w:t xml:space="preserve"> no impide el control que el Tribunal puede y debe realizar </w:t>
      </w:r>
      <w:r w:rsidRPr="006B7292">
        <w:rPr>
          <w:i/>
        </w:rPr>
        <w:t>ex</w:t>
      </w:r>
      <w:r>
        <w:t xml:space="preserve"> art. 103.4 LJCA, esto es el examen de si la modificación del planeamiento tiene o no la única finalidad de convertir lo ilegal en legal sino la de atender racionalmente el interés público urbanístico.</w:t>
      </w:r>
    </w:p>
    <w:p w:rsidR="006B7292" w:rsidRDefault="006B7292" w:rsidP="006B7292">
      <w:pPr>
        <w:pStyle w:val="TextoNormal"/>
      </w:pPr>
    </w:p>
    <w:p w:rsidR="006B7292" w:rsidRDefault="006B7292" w:rsidP="006B7292">
      <w:pPr>
        <w:pStyle w:val="TextoNormal"/>
      </w:pPr>
      <w:r>
        <w:t>A diferencia del caso de la STC 92/2013, en el presente caso el Gobierno de Cantabria afirma que la Ley 4/2013 no incide per se de forma directa en la ejecución, sino que será, en su caso, la correspondiente autorización provisional la que lo haga y la misma estará sujeta al control jurisdiccional. Rechaza el Gobierno de Cantabria que la regulación resulte contraria al derecho a la tutela judicial efectiva pues el derecho a la ejecución de la sentencia en sus propios términos “no impide que en determinados supuestos ésta devenga legal o materialmente imposible, lo cual habrá de apreciarse por el órgano judicial en resolución motivada, pues el cumplimiento o ejecución de las Sentencias depende de las características de cada proceso y del contenido del fallo”, tal y como ha reconocido el Tribunal Constitucional (STC 73/2000, de 14 de marzo).</w:t>
      </w:r>
    </w:p>
    <w:p w:rsidR="006B7292" w:rsidRDefault="006B7292" w:rsidP="006B7292">
      <w:pPr>
        <w:pStyle w:val="TextoNormal"/>
      </w:pPr>
    </w:p>
    <w:p w:rsidR="006B7292" w:rsidRDefault="006B7292" w:rsidP="006B7292">
      <w:pPr>
        <w:pStyle w:val="TextoNormal"/>
      </w:pPr>
      <w:r>
        <w:t>Y, por último, afirma también que, en todo caso, no se sacrifica de forma desproporcionada el pronunciamiento contenido en el fallo. En primer lugar, señala que las autorizaciones provisionales tienen una vigencia máxima de cuatro años de duración que es un plazo razonable que no sacrifica indefinidamente el contenido del fallo. En segundo lugar, destaca que la finalidad es evitar la causación de perjuicios irreparables no solo a los propietarios de las viviendas, sino también y principalmente al interés público, dados los enormes costes que tendrían para las arcas públicas, no sólo locales sino también autonómicas, la demolición de las viviendas con orden de derribo y la indemnización a todos los propietarios. Señala que el cálculo estimado que todo ello tendría para la hacienda de la Comunidad Autónoma se fija en torno a unos 300.000.000 €. Y, en tercer lugar, defiende que además no se sacrifica de forma desproporcionada el interés del restablecimiento de la legalidad urbanística que subyace en el fallo de la Sentencia, pues estas autorizaciones solo se otorgan a aquellas edificaciones o construcciones preexistentes que resulten compatibles con la nueva ordenación urbanística contenida en el planeamiento en tramitación persiguiendo precisamente el restablecimiento de la legalidad urbanística.</w:t>
      </w:r>
    </w:p>
    <w:p w:rsidR="006B7292" w:rsidRDefault="006B7292" w:rsidP="006B7292">
      <w:pPr>
        <w:pStyle w:val="TextoNormal"/>
      </w:pPr>
    </w:p>
    <w:p w:rsidR="006B7292" w:rsidRDefault="006B7292" w:rsidP="006B7292">
      <w:pPr>
        <w:pStyle w:val="TextoNormal"/>
      </w:pPr>
      <w:r w:rsidRPr="006B7292">
        <w:rPr>
          <w:rStyle w:val="NumeroAFNegritaCaracter"/>
        </w:rPr>
        <w:t>9</w:t>
      </w:r>
      <w:r>
        <w:t>. La Fiscal General del Estado comparece mediante escrito registrado el 24 de julio de 2015 y formula sus alegaciones que apoyan el criterio de la Sala. Estima la Fiscal General del Estado que la norma cuestionada afecta, por un lado, al orden constitucional de distribución de competencias entre el Estado y la Comunidad Autónoma de Cantabria (art. 149.1.6 CE) y, por otro lado, al derecho fundamental a la ejecución de las sentencias en sus propios términos y a la garantía constitucional de integridad jurisdiccional de los jueces y tribunales (arts. 24 y 117.3 CE).</w:t>
      </w:r>
    </w:p>
    <w:p w:rsidR="006B7292" w:rsidRDefault="006B7292" w:rsidP="006B7292">
      <w:pPr>
        <w:pStyle w:val="TextoNormal"/>
      </w:pPr>
    </w:p>
    <w:p w:rsidR="006B7292" w:rsidRDefault="006B7292" w:rsidP="006B7292">
      <w:pPr>
        <w:pStyle w:val="TextoNormal"/>
      </w:pPr>
      <w:r>
        <w:t>En relación con el problema competencial, la Fiscal General del Estado pone de manifiesto que, a diferencia de otros Estatutos de Autonomía, el de Cantabria no contempla que el legislador autonómico pueda regular materia procesal. Por otra parte, en relación con el art. 117.3 CE afirma que la norma cuestionada está disponiendo la paralización de las ejecuciones ordenadas por los jueces y tribunales consistentes en el derribo de las edificaciones ilegalmente ejecutadas, con lo que está involucrándose en una función estrictamente jurisdiccional.</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 xml:space="preserve">Único. La presente cuestión de inconstitucionalidad ha sido promovida por el Juzgado de lo Contencioso-Administrativo número 1 de Santander en relación con el art. 65 </w:t>
      </w:r>
      <w:r w:rsidRPr="006B7292">
        <w:rPr>
          <w:i/>
        </w:rPr>
        <w:t>bis</w:t>
      </w:r>
      <w:r>
        <w:t xml:space="preserve">.1 de la Ley del Parlamento de Cantabria 2/2001, de 25 de junio, de ordenación territorial y de régimen urbanístico del suelo de Cantabria, introducido por la Ley 4/2013, de 20 de junio, inciso “o judiciales”, en relación con los efectos previstos en los apartados 2 y 3. El art. 65 </w:t>
      </w:r>
      <w:r w:rsidRPr="006B7292">
        <w:rPr>
          <w:i/>
        </w:rPr>
        <w:t>bis</w:t>
      </w:r>
      <w:r>
        <w:t>.1 dispone:</w:t>
      </w:r>
    </w:p>
    <w:p w:rsidR="006B7292" w:rsidRDefault="006B7292" w:rsidP="006B7292">
      <w:pPr>
        <w:pStyle w:val="TextoNormal"/>
      </w:pPr>
    </w:p>
    <w:p w:rsidR="006B7292" w:rsidRDefault="006B7292" w:rsidP="006B7292">
      <w:pPr>
        <w:pStyle w:val="TextoNormal"/>
      </w:pPr>
      <w:r>
        <w:t>“Iniciado el procedimiento dirigido a la formación, modificación o revisión de los planes urbanísticos y demás instrumentos de planeamiento, y para impedir que se generen perjuicios irreparables al interés público o a los propietarios de edificaciones o actuaciones que, habiendo sido previamente declaradas ilegales y sobre las que hubiesen recaído órdenes de demolición administrativas o judiciales, puedan resultar conformes con la nueva ordenación que se está tramitando, el órgano municipal competente para aprobar inicialmente el plan podrá otorgar, de oficio o a instancia de los interesados, autorizaciones provisionales que afecten a dichas edificaciones o actuaciones preexistentes, previa comprobación de que resultan conformes con el nuevo planeamiento municipal en tramitación. Si el procedimiento se inicia a solicitud del interesado, transcurrido el plazo de tres meses sin haberse notificado resolución alguna podrá entender desestimada su petición.”</w:t>
      </w:r>
    </w:p>
    <w:p w:rsidR="006B7292" w:rsidRDefault="006B7292" w:rsidP="006B7292">
      <w:pPr>
        <w:pStyle w:val="TextoNormal"/>
      </w:pPr>
    </w:p>
    <w:p w:rsidR="006B7292" w:rsidRDefault="006B7292" w:rsidP="006B7292">
      <w:pPr>
        <w:pStyle w:val="TextoNormal"/>
      </w:pPr>
      <w:r>
        <w:t>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24.1 y 117.3 CE que consagran, respectivamente, el derecho a la tutela judicial efectiva y, por tanto, también, su vertiente de derecho a la ejecución de sentencias, y la potestad exclusiva de jueces y tribunales para ejecutar lo juzgado.</w:t>
      </w:r>
    </w:p>
    <w:p w:rsidR="006B7292" w:rsidRDefault="006B7292" w:rsidP="006B7292">
      <w:pPr>
        <w:pStyle w:val="TextoNormal"/>
      </w:pPr>
    </w:p>
    <w:p w:rsidR="006B7292" w:rsidRDefault="006B7292" w:rsidP="006B7292">
      <w:pPr>
        <w:pStyle w:val="TextoNormal"/>
      </w:pPr>
      <w:r>
        <w:t xml:space="preserve">Este Tribunal, en su reciente STC 254/2015, de 30 de noviembre, estimatoria de la cuestión de inconstitucionalidad núm. 6860-2014, dictada con posterioridad a que la presente cuestión fuera admitida a trámite, ha declarado inconstitucional y nulo el inciso “o judiciales” del art. 65 </w:t>
      </w:r>
      <w:r w:rsidRPr="006B7292">
        <w:rPr>
          <w:i/>
        </w:rPr>
        <w:t>bis</w:t>
      </w:r>
      <w:r>
        <w:t>.1 de la Ley 2/2001, de 25 de junio, de ordenación territorial y de régimen urbanístico del suelo de Cantabria, introducido por la Ley del Parlamento de Cantabria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w:t>
      </w:r>
    </w:p>
    <w:p w:rsidR="006B7292" w:rsidRDefault="006B7292" w:rsidP="006B7292">
      <w:pPr>
        <w:pStyle w:val="TextoNormal"/>
      </w:pPr>
    </w:p>
    <w:p w:rsidR="006B7292" w:rsidRDefault="006B7292" w:rsidP="006B7292">
      <w:pPr>
        <w:pStyle w:val="TextoNormal"/>
      </w:pPr>
      <w:r>
        <w:t>Se sigue de ello que el referido inciso ha sido expulsado del ordenamiento, una vez anulado por inconstitucional, lo que impone ahora apreciar, conforme a reiterada doctrina de este Tribunal (por todos, ATC 28/2015, de 16 de febrero, FJ único) la desaparición sobrevenida del objeto de la presente cuestión, al haber quedado disipada la duda de constitucionalidad planteada por el órgano judicial.</w:t>
      </w:r>
    </w:p>
    <w:p w:rsidR="006B7292" w:rsidRDefault="006B7292" w:rsidP="006B7292">
      <w:pPr>
        <w:pStyle w:val="TextoNormal"/>
      </w:pPr>
    </w:p>
    <w:p w:rsidR="006B7292" w:rsidRDefault="006B7292" w:rsidP="006B7292">
      <w:pPr>
        <w:pStyle w:val="TextoNormal"/>
      </w:pPr>
      <w:r>
        <w:t>Por todo lo expuesto, la Sala</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Declarar la extinción de la cuestión de inconstitucionalidad núm. 2209-2015, por desaparición sobrevenida de su objeto.</w:t>
      </w:r>
    </w:p>
    <w:p w:rsidR="006B7292" w:rsidRDefault="006B7292" w:rsidP="006B7292">
      <w:pPr>
        <w:pStyle w:val="TextoNormal"/>
      </w:pPr>
    </w:p>
    <w:p w:rsidR="006B7292" w:rsidRDefault="006B7292" w:rsidP="006B7292">
      <w:pPr>
        <w:pStyle w:val="TextoNormal"/>
      </w:pPr>
      <w:r>
        <w:t>Madrid, a catorce de diciembre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30" w:name="AUTO_2015_216"/>
      <w:r>
        <w:t>AUTO 216/2015, de 14 de diciembre de 2015</w:t>
      </w:r>
    </w:p>
    <w:bookmarkEnd w:id="230"/>
    <w:p w:rsidR="006B7292" w:rsidRDefault="006B7292" w:rsidP="006B7292">
      <w:pPr>
        <w:pStyle w:val="TtuloResolucin"/>
      </w:pPr>
      <w:r>
        <w:t>Sala Primera</w:t>
      </w:r>
    </w:p>
    <w:p w:rsidR="006B7292" w:rsidRDefault="006B7292" w:rsidP="006B7292">
      <w:pPr>
        <w:pStyle w:val="TextoNormalCentrado"/>
      </w:pPr>
      <w:r>
        <w:t>ECLI:ES:TC:2015:216A</w:t>
      </w:r>
    </w:p>
    <w:p w:rsidR="006B7292" w:rsidRDefault="006B7292" w:rsidP="006B7292">
      <w:pPr>
        <w:pStyle w:val="TextoNormalCentrado"/>
      </w:pPr>
    </w:p>
    <w:p w:rsidR="006B7292" w:rsidRDefault="006B7292" w:rsidP="006B7292">
      <w:pPr>
        <w:pStyle w:val="SntesisDescriptiva"/>
      </w:pPr>
      <w:r>
        <w:t>Excms. Srs. don Francisco Pérez de los Cobos Orihuel, doña Encarnación Roca Trías, don Andrés Ollero Tassara, don Santiago Martínez-Vares García y don Juan Antonio Xiol Ríos.</w:t>
      </w:r>
    </w:p>
    <w:p w:rsidR="006B7292" w:rsidRDefault="006B7292" w:rsidP="006B7292">
      <w:pPr>
        <w:pStyle w:val="SntesisDescriptiva"/>
      </w:pPr>
    </w:p>
    <w:p w:rsidR="006B7292" w:rsidRDefault="006B7292" w:rsidP="006B7292">
      <w:pPr>
        <w:pStyle w:val="SntesisDescriptiva"/>
      </w:pPr>
      <w:r>
        <w:t>Acuerda la extinción, por desaparición sobrevenida de objeto, de la cuestión de inconstitucionalidad 3214-2015, planteada por el Juzgado de lo Contencioso-Administrativo núm. 3 de Santander en relación con el artículo 65 bis.1 de la Ley 2/2001, de 25 de junio, de ordenación territorial y del régimen urbanístico del suelo de Cantabria.</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xml:space="preserve">. Por escrito registrado en este Tribunal el 2 de junio de 2015, el Juzgado de lo Contencioso-Administrativo núm. 3 de Santander remitió testimonio del Auto de 14 de mayo de 2015 por el que se acordó plantear cuestión de inconstitucionalidad en relación con el art. 65 </w:t>
      </w:r>
      <w:r w:rsidRPr="006B7292">
        <w:rPr>
          <w:i/>
        </w:rPr>
        <w:t>bis</w:t>
      </w:r>
      <w:r>
        <w:t>.1 de la Ley 2/2001, de 25 de junio, de ordenación territorial y del régimen urbanístico del suelo de Cantabria, añadido por el art. 1 de la Ley 4/2013, de 20 de junio, en cuanto dice “órdenes de demolición judiciales”, por posible vulneración de los arts. 24, 117.3 y 149.1.6 CE.</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de hecho del planteamiento de la presente cuestión de inconstitucionalidad son, sucintamente expuestos, los siguientes:</w:t>
      </w:r>
    </w:p>
    <w:p w:rsidR="006B7292" w:rsidRDefault="006B7292" w:rsidP="006B7292">
      <w:pPr>
        <w:pStyle w:val="TextoNormal"/>
      </w:pPr>
    </w:p>
    <w:p w:rsidR="006B7292" w:rsidRDefault="006B7292" w:rsidP="006B7292">
      <w:pPr>
        <w:pStyle w:val="TextoNormal"/>
      </w:pPr>
      <w:r>
        <w:t>a) Mediante Sentencia de 15 de marzo de 2007 del Juzgado de lo Contencioso-Administrativo núm. 3 de Santander, recaída en el procedimiento ordinario 143-2003, se estimó el recurso contencioso-administrativo interpuesto por tres particulares contra la resolución del Ayuntamiento de Vega de Liébana de 27 de marzo de 2003, por el que se concede a otro particular licencia para la construcción de un estercolero. La resolución fue confirmada en apelación por Sentencia de la Sala de lo Contencioso-Administrativo del Tribunal Superior de Justicia de Cantabria de 21 de enero de 2008.</w:t>
      </w:r>
    </w:p>
    <w:p w:rsidR="006B7292" w:rsidRDefault="006B7292" w:rsidP="006B7292">
      <w:pPr>
        <w:pStyle w:val="TextoNormal"/>
      </w:pPr>
    </w:p>
    <w:p w:rsidR="006B7292" w:rsidRDefault="006B7292" w:rsidP="006B7292">
      <w:pPr>
        <w:pStyle w:val="TextoNormal"/>
      </w:pPr>
      <w:r>
        <w:t xml:space="preserve">b) Instada la ejecución de la Sentencia por los recurrrentes, se ordenó al alcalde de Vega de Liébana la adopción de las medidas oportunas para el cumplimiento del fallo de la Sentencia. El ayuntamiento planteó varios incidentes solicitando la declaración de imposibilidad legal de ejecutar la Sentencia, todos ellos desestimados por el órgano judicial, el cual, por providencia de 30 de abril de 2014, otorgó un plazo de un mes para la inmediata ejecución del fallo, providencia confirmada por Auto de 18 de junio de 2014 que desestimó el recurso de reposición interpuesto por el Ayuntamiento de Vega de Liébana. El 19 de diciembre de 2014, el ayuntamiento solicitó al órgano judicial que acordase la suspensión de la ejecución de la Sentencia y el mantenimiento de la instalación en situación de fuera de ordenación mientras estuviera vigente la autorización provisional. El ayuntamiento adujo que la edificación que en ejecución de sentencia debía ser demolida, había sido provisionalmente autorizada en virtud de lo dispuesto en el art. 65 </w:t>
      </w:r>
      <w:r w:rsidRPr="006B7292">
        <w:rPr>
          <w:i/>
        </w:rPr>
        <w:t>bis</w:t>
      </w:r>
      <w:r>
        <w:t xml:space="preserve"> de la Ley de ordenación territorial y del régimen urbanístico del suelo de Cantabria, que establece que en el caso de que se esté modificando el planeamiento, las edificaciones o actuaciones que hubieran sido previamente declaradas ilegales y sobre las que hubiera recaído una orden de demolición, pero que pudieran resultar conformes con la nueva ordenación, podrán ser autorizadas provisionalmente, lo que conlleva que durante este tiempo les resulte aplicable el régimen previsto para los edificios fuera de ordenación.</w:t>
      </w:r>
    </w:p>
    <w:p w:rsidR="006B7292" w:rsidRDefault="006B7292" w:rsidP="006B7292">
      <w:pPr>
        <w:pStyle w:val="TextoNormal"/>
      </w:pPr>
    </w:p>
    <w:p w:rsidR="006B7292" w:rsidRDefault="006B7292" w:rsidP="006B7292">
      <w:pPr>
        <w:pStyle w:val="TextoNormal"/>
      </w:pPr>
      <w:r>
        <w:t>c) Por providencia de 10 de abril de 2015, el Juzgado de lo Contencioso-Administrativo núm. 3 de Santander acordó oír a las partes y al Ministerio Fiscal por el término común de diez días sobre la pertinencia de plantear cuestión de inconstitucionalidad sobre la Ley 4/2013, de 20 de junio, “por si pudiera adolecer dicha normativa de falta de competencia de la Comunidad Autónoma para introducir una causa de suspensión en el procedimiento de ejecución judicial no previsto por la normativa procesal, cuya competencia es exclusiva del Estado conforme al art. 149.1.6 de la Constitución, pudiera afectar al derecho a la tutela judicial efectiva del art. 24 CE y a la competencia exclusiva de jueces y tribunales para ejecutar lo juzgado, conforme al art. 117.1 CE. Todo ello en relación con los arts. 9.3, 24.1, 106.1, 117 y 118 del texto constitucional”.</w:t>
      </w:r>
    </w:p>
    <w:p w:rsidR="006B7292" w:rsidRDefault="006B7292" w:rsidP="006B7292">
      <w:pPr>
        <w:pStyle w:val="TextoNormal"/>
      </w:pPr>
    </w:p>
    <w:p w:rsidR="006B7292" w:rsidRDefault="006B7292" w:rsidP="006B7292">
      <w:pPr>
        <w:pStyle w:val="TextoNormal"/>
      </w:pPr>
      <w:r>
        <w:t>d) Evacuado el trámite de audiencia del art. 35.2 de la Ley Orgánica del Tribunal Constitucional (LOTC) con el resultado que consta en las actuaciones, por Auto de 14 de mayo de 2015 el órgano judicial acordó plantear cuestión de inconstitucionalidad sobre el precepto antes citado.</w:t>
      </w:r>
    </w:p>
    <w:p w:rsidR="006B7292" w:rsidRDefault="006B7292" w:rsidP="006B7292">
      <w:pPr>
        <w:pStyle w:val="TextoNormal"/>
      </w:pPr>
    </w:p>
    <w:p w:rsidR="006B7292" w:rsidRDefault="006B7292" w:rsidP="006B7292">
      <w:pPr>
        <w:pStyle w:val="TextoNormal"/>
      </w:pPr>
      <w:r w:rsidRPr="006B7292">
        <w:rPr>
          <w:rStyle w:val="NumeroAFNegritaCaracter"/>
        </w:rPr>
        <w:t>3</w:t>
      </w:r>
      <w:r>
        <w:t>. En cuanto al contenido del Auto de promoción importa destacar lo siguiente:</w:t>
      </w:r>
    </w:p>
    <w:p w:rsidR="006B7292" w:rsidRDefault="006B7292" w:rsidP="006B7292">
      <w:pPr>
        <w:pStyle w:val="TextoNormal"/>
      </w:pPr>
    </w:p>
    <w:p w:rsidR="006B7292" w:rsidRDefault="006B7292" w:rsidP="006B7292">
      <w:pPr>
        <w:pStyle w:val="TextoNormal"/>
      </w:pPr>
      <w:r>
        <w:t>Tras exponer los antecedentes del caso, el Auto razona que el ayuntamiento plantea causa de imposibilidad jurídica de ejecutar el fallo de la Sentencia por entrar en vigor la Ley 4/2013 que modifica la Ley 2/2001, de 25 de junio, que introduce la tramitación de un procedimiento administrativo para la obtención de una autorización provisional que afecte a las edificaciones que hayan sido declaradas ilegales y sobre las que hubiese recaído orden de demolición judicial por sentencia firme. Dicha norma es de aplicación preceptiva y determina el contenido de la resolución. Destaca que sobre esta norma se han planteado sendas cuestiones de inconstitucionalidad por la Sala de lo Contencioso-Administrativo del Tribunal Superior de Justicia y por el Juzgado de lo Contencioso-Administrativo núm. 1 de Santander, cuyos fundamentos expone y acoge por entenderlos plenamente aplicables al caso.</w:t>
      </w:r>
    </w:p>
    <w:p w:rsidR="006B7292" w:rsidRDefault="006B7292" w:rsidP="006B7292">
      <w:pPr>
        <w:pStyle w:val="TextoNormal"/>
      </w:pPr>
    </w:p>
    <w:p w:rsidR="006B7292" w:rsidRDefault="006B7292" w:rsidP="006B7292">
      <w:pPr>
        <w:pStyle w:val="TextoNormal"/>
      </w:pPr>
      <w:r>
        <w:t xml:space="preserve">A continuación indica que la solicitud de inejecución que debe resolverse se apoya en el art. 65 </w:t>
      </w:r>
      <w:r w:rsidRPr="006B7292">
        <w:rPr>
          <w:i/>
        </w:rPr>
        <w:t>bis</w:t>
      </w:r>
      <w:r>
        <w:t>.1 de la Ley 2/2001, modificada por la Ley 4/2013. El precepto invierte los términos generales y tradicionales del derecho urbanístico pues, en lugar de suspender la concesión de licencias de construcción mientras se están tramitando nuevos planes de ordenación, lo que hace es suspender las ejecuciones judiciales mientras se tramitan estos planes, que parecen buscar la legalización de edificios que tienen sentencia de derribo, a veces, desde hace más de 15 años. Considera que la normativa trata de interferir en las sentencias de derribo, vulnerando varios preceptos constitucionales, dos de ellos íntimamente unidos: tutela judicial efectiva y suspensión del procedimiento judicial.</w:t>
      </w:r>
    </w:p>
    <w:p w:rsidR="006B7292" w:rsidRDefault="006B7292" w:rsidP="006B7292">
      <w:pPr>
        <w:pStyle w:val="TextoNormal"/>
      </w:pPr>
    </w:p>
    <w:p w:rsidR="006B7292" w:rsidRDefault="006B7292" w:rsidP="006B7292">
      <w:pPr>
        <w:pStyle w:val="TextoNormal"/>
      </w:pPr>
      <w:r>
        <w:t>Conforme al art. 149.1.6 CE, el Estado tiene competencia exclusiva sobre la legislación procesal, regida para los órganos contencioso-administrativos por la Ley 29/1998, de 13 de julio.</w:t>
      </w:r>
    </w:p>
    <w:p w:rsidR="006B7292" w:rsidRDefault="006B7292" w:rsidP="006B7292">
      <w:pPr>
        <w:pStyle w:val="TextoNormal"/>
      </w:pPr>
    </w:p>
    <w:p w:rsidR="006B7292" w:rsidRDefault="006B7292" w:rsidP="006B7292">
      <w:pPr>
        <w:pStyle w:val="TextoNormal"/>
      </w:pPr>
      <w:r>
        <w:t>Razona también que la ejecución de las sentencia forma parte del derecho a la tutela judicial efectiva en su vertiente de derecho a la ejecución (art. 24.1 CE), correspondiendo el ejercicio de esta potestad jurisdiccional en exclusiva a los juzgados y tribunales (art. 117.3 CE), siendo obligatorio cumplir las resoluciones firmes y prestar colaboración requerida por los jueces y tribunales (art. 118 CE). Entiende que la efectividad de la Ley autonómica incide en la ejecución procesal al introducir una causa de suspensión no prevista en la Ley estatal para la que tanto el Gobierno Autonómico, como el ayuntamiento, carecen de competencias. Indica que este precepto recuerda al de la Ley 2/2001, de 25 de junio, que fue declarado inconstitucional por la STC 92/2013. La suspensión durante cuatro años hace que el ayuntamiento tenga en sus manos la posibilidad de frustrar la efectividad de la ejecución del fallo, entrando la disposición en conflicto con el art. 117.3 CE.</w:t>
      </w:r>
    </w:p>
    <w:p w:rsidR="006B7292" w:rsidRDefault="006B7292" w:rsidP="006B7292">
      <w:pPr>
        <w:pStyle w:val="TextoNormal"/>
      </w:pPr>
    </w:p>
    <w:p w:rsidR="006B7292" w:rsidRDefault="006B7292" w:rsidP="006B7292">
      <w:pPr>
        <w:pStyle w:val="TextoNormal"/>
      </w:pPr>
      <w:r>
        <w:t xml:space="preserve">Descarta que pueda oponerse que la causa de la inejecución sea el acto administrativo, pues este se ampara en la norma cuestionada, dejando </w:t>
      </w:r>
      <w:r w:rsidRPr="006B7292">
        <w:rPr>
          <w:i/>
        </w:rPr>
        <w:t>sine die</w:t>
      </w:r>
      <w:r>
        <w:t xml:space="preserve"> la ejecución de la sentencia firme, anticipando la eficacia de una norma que no es tal. Considera que tampoco se trata del otorgamiento de una nueva licencia, tras la anulada, sino de una licencia provisional cuyo encaje de legalidad se debe efectuar con un proyecto, cuyo control judicial no es posible al no tratarse de un acto definitivo, lo que supone dejar en manos del ejecutado la ejecución de sentencias firmes. Tras exponer que los hechos que han dado lugar al planteamiento de la cuestión y justificar que el precepto cuestionado, al ser la relevante para el fallo, la norma en la que se fundamenta el incidente por el que se solicita la suspensión de la ejecución de la Sentencia, entra a analizar las razones por las que duda de su constitucionalidad. Argumenta que la resolución del incidente depende de la validez de la norma legal, al permitir dejar inmuebles con sentencia firme de derribo en situación provisional, </w:t>
      </w:r>
      <w:r w:rsidRPr="006B7292">
        <w:rPr>
          <w:i/>
        </w:rPr>
        <w:t>sine die</w:t>
      </w:r>
      <w:r>
        <w:t>, paralizando la ejecución judicial, evitando la demolición ordenada.</w:t>
      </w:r>
    </w:p>
    <w:p w:rsidR="006B7292" w:rsidRDefault="006B7292" w:rsidP="006B7292">
      <w:pPr>
        <w:pStyle w:val="TextoNormal"/>
      </w:pPr>
    </w:p>
    <w:p w:rsidR="006B7292" w:rsidRDefault="006B7292" w:rsidP="006B7292">
      <w:pPr>
        <w:pStyle w:val="TextoNormal"/>
      </w:pPr>
      <w:r>
        <w:t xml:space="preserve">Las anteriores consideraciones llevan al órgano judicial a plantear cuestión de inconstitucionalidad en relación con el art. 65 </w:t>
      </w:r>
      <w:r w:rsidRPr="006B7292">
        <w:rPr>
          <w:i/>
        </w:rPr>
        <w:t>bis</w:t>
      </w:r>
      <w:r>
        <w:t>.1 de la Ley 2/2001, de 25 de junio, de ordenación territorial y régimen urbanístico, modificada por la Ley 4/2013, en la parte que se refiere a las órdenes de demolición judiciales.</w:t>
      </w:r>
    </w:p>
    <w:p w:rsidR="006B7292" w:rsidRDefault="006B7292" w:rsidP="006B7292">
      <w:pPr>
        <w:pStyle w:val="TextoNormal"/>
      </w:pPr>
    </w:p>
    <w:p w:rsidR="006B7292" w:rsidRDefault="006B7292" w:rsidP="006B7292">
      <w:pPr>
        <w:pStyle w:val="TextoNormal"/>
      </w:pPr>
      <w:r w:rsidRPr="006B7292">
        <w:rPr>
          <w:rStyle w:val="NumeroAFNegritaCaracter"/>
        </w:rPr>
        <w:t>4</w:t>
      </w:r>
      <w:r>
        <w:t>. Por providencia de 21 de julio de 2015, el Pleno, a propuesta de la Sección Primera, acordó admitir a trámite la cuestión de inconstitucionalidad, deferir su conocimiento a la Sala Primera a la que por turno objetivo ha correspondido, y dar traslado de las actuaciones al Congreso de los Diputados y al Senado por conducto de sus Presidentes, al Gobierno por conducto del Ministro de Justicia, y al Fiscal General del Estado, así como al Gobierno y al Parlamento de Cantabria por conducto de sus Presidentes, al objeto de que, en el improrrogable plazo de quince días, pudieran personarse en el proceso y formular las alegaciones que estimasen convenientes. Asimismo se acordó comunicar la admisión al órgano judicial proponente a fin de que, de conformidad con el art. 35.3 LOTC, permaneciera suspendido el proceso judicial hasta que se resolviera la cuestión de inconstitucionalidad. En la misma providencia acordó el Tribunal publicar la incoación de la cuestión de inconstitucionalidad en el “Boletín Oficial del Estado” y en el “Boletín Oficial de Cantabria”.</w:t>
      </w:r>
    </w:p>
    <w:p w:rsidR="006B7292" w:rsidRDefault="006B7292" w:rsidP="006B7292">
      <w:pPr>
        <w:pStyle w:val="TextoNormal"/>
      </w:pPr>
    </w:p>
    <w:p w:rsidR="006B7292" w:rsidRDefault="006B7292" w:rsidP="006B7292">
      <w:pPr>
        <w:pStyle w:val="TextoNormal"/>
      </w:pPr>
      <w:r w:rsidRPr="006B7292">
        <w:rPr>
          <w:rStyle w:val="NumeroAFNegritaCaracter"/>
        </w:rPr>
        <w:t>5</w:t>
      </w:r>
      <w:r>
        <w:t>. El Presidente del Senado, mediante escrito que tuvo entrada el 26 de agosto de 2015, comunicó que la Mesa de la Cámara había acordado personarse en el proceso, ofreciendo su colaboración a los efectos del art. 88.1 LOTC. Lo mismo hizo el Presidente del Congreso de los Diputados mediante escrito que tuvo entrada el 10 de septiembre de 2015.</w:t>
      </w:r>
    </w:p>
    <w:p w:rsidR="006B7292" w:rsidRDefault="006B7292" w:rsidP="006B7292">
      <w:pPr>
        <w:pStyle w:val="TextoNormal"/>
      </w:pPr>
    </w:p>
    <w:p w:rsidR="006B7292" w:rsidRDefault="006B7292" w:rsidP="006B7292">
      <w:pPr>
        <w:pStyle w:val="TextoNormal"/>
      </w:pPr>
      <w:r w:rsidRPr="006B7292">
        <w:rPr>
          <w:rStyle w:val="NumeroAFNegritaCaracter"/>
        </w:rPr>
        <w:t>6</w:t>
      </w:r>
      <w:r>
        <w:t>. El Abogado del Estado se persona y presenta alegaciones en escrito de 11 de septiembre de 2015, solicitando la estimación de la cuestión de inconstitucionalidad.</w:t>
      </w:r>
    </w:p>
    <w:p w:rsidR="006B7292" w:rsidRDefault="006B7292" w:rsidP="006B7292">
      <w:pPr>
        <w:pStyle w:val="TextoNormal"/>
      </w:pPr>
    </w:p>
    <w:p w:rsidR="006B7292" w:rsidRDefault="006B7292" w:rsidP="006B7292">
      <w:pPr>
        <w:pStyle w:val="TextoNormal"/>
      </w:pPr>
      <w:r>
        <w:t xml:space="preserve">Sostiene, en primer término, que la autorización provisional que prevé el art. 65 </w:t>
      </w:r>
      <w:r w:rsidRPr="006B7292">
        <w:rPr>
          <w:i/>
        </w:rPr>
        <w:t>bis</w:t>
      </w:r>
      <w:r>
        <w:t>.1 de la Ley cántabra 2/2001 no es una verdadera autorización por cuanto ni implica una actividad de auténtica verificación o comprobación de la conformidad de la construcción con el planeamiento urbanístico, ni crea una situación definitiva, sino interina, ni persigue un interés público, sino particular, quedando además la situación creada sometida a término (caducidad, revocación o sustitución por licencia definitiva). En su opinión, la regulación persigue una adaptación del planeamiento a las condiciones de la edificación.</w:t>
      </w:r>
    </w:p>
    <w:p w:rsidR="006B7292" w:rsidRDefault="006B7292" w:rsidP="006B7292">
      <w:pPr>
        <w:pStyle w:val="TextoNormal"/>
      </w:pPr>
    </w:p>
    <w:p w:rsidR="006B7292" w:rsidRDefault="006B7292" w:rsidP="006B7292">
      <w:pPr>
        <w:pStyle w:val="TextoNormal"/>
      </w:pPr>
      <w:r>
        <w:t xml:space="preserve">Afirma, en segundo lugar, que el art. 65 </w:t>
      </w:r>
      <w:r w:rsidRPr="006B7292">
        <w:rPr>
          <w:i/>
        </w:rPr>
        <w:t>bis</w:t>
      </w:r>
      <w:r>
        <w:t>.1 en el inciso referido a las demoliciones judiciales, vulnera el derecho a la tutela judicial efectiva, en su vertiente de derecho a la ejecución de las sentencias en sus propios términos. Señala, a estos efectos, que de acuerdo con la doctrina constitucional (SSTC 4/1988, 153/1992 y 73/2000), son contrarias al art. 24.1 en relación con los arts. 117.3 y 118 CE, las previsiones normativas que sacrifican, de forma desproporcionada, el pronunciamiento contenido en el fallo de una resolución judicial firme, de modo que, de forma patente o manifiesta, no exista la debida proporción entre el interés encarnado en la Ley y el concreto interés tutelado por el fallo a ejecutar, es decir, la debida proporción entre la finalidad perseguida y el sacrificio impuesto.</w:t>
      </w:r>
    </w:p>
    <w:p w:rsidR="006B7292" w:rsidRDefault="006B7292" w:rsidP="006B7292">
      <w:pPr>
        <w:pStyle w:val="TextoNormal"/>
      </w:pPr>
    </w:p>
    <w:p w:rsidR="006B7292" w:rsidRDefault="006B7292" w:rsidP="006B7292">
      <w:pPr>
        <w:pStyle w:val="TextoNormal"/>
      </w:pPr>
      <w:r>
        <w:t xml:space="preserve">Analizado el presente caso conforme a estos parámetros, el Abogado del Estado afirma que ni la Ley ni la defensa que de ella hace la Comunidad Autónoma ponderan debidamente los intereses en juego, sin que se advierta por qué razón el interés en conservar las edificaciones declaradas ilegales se antepone a la ejecución de las resoluciones judiciales firmes y llega a la conclusión que, en realidad, la previsión del artículo 65 </w:t>
      </w:r>
      <w:r w:rsidRPr="006B7292">
        <w:rPr>
          <w:i/>
        </w:rPr>
        <w:t>bis</w:t>
      </w:r>
      <w:r>
        <w:t>.1 genera un sacrificio injustificado de la intangibilidad y de la debida ejecución del fallo por un título que no constituye sino una situación interina no apta para enervar la fuerza de una sentencia judicial firme.</w:t>
      </w:r>
    </w:p>
    <w:p w:rsidR="006B7292" w:rsidRDefault="006B7292" w:rsidP="006B7292">
      <w:pPr>
        <w:pStyle w:val="TextoNormal"/>
      </w:pPr>
    </w:p>
    <w:p w:rsidR="006B7292" w:rsidRDefault="006B7292" w:rsidP="006B7292">
      <w:pPr>
        <w:pStyle w:val="TextoNormal"/>
      </w:pPr>
      <w:r>
        <w:t>En tercer lugar, argumenta que la regulación autonómica invade la competencia exclusiva del Estado en materia de legislación procesal, por cuanto ésta abarca la regulación de la ejecución de las resoluciones judiciales. Y ello sin que, por otra parte, pueda considerarse que se trata de una norma especial que deriva de las particularidades del derecho sustantivo de la Comunidad Autónoma de Cantabria.</w:t>
      </w:r>
    </w:p>
    <w:p w:rsidR="006B7292" w:rsidRDefault="006B7292" w:rsidP="006B7292">
      <w:pPr>
        <w:pStyle w:val="TextoNormal"/>
      </w:pPr>
    </w:p>
    <w:p w:rsidR="006B7292" w:rsidRDefault="006B7292" w:rsidP="006B7292">
      <w:pPr>
        <w:pStyle w:val="TextoNormal"/>
      </w:pPr>
      <w:r>
        <w:t>Por último, sostiene que la norma cuestionada invade la exclusividad de la potestad jurisdiccional consagrada en el art. 117.3 CE, al quebrar el régimen uniforme de ejecución de las sentencias contencioso-administrativas, reconociendo la facultad de interferir en la ejecución de un pronunciamiento de una sentencia contencioso-administrativa firme mediante una autorización que se opone y contradice el pronunciamiento jurisdiccional y supeditando el ejercicio de la potestad judicial de ejecutar (art. 117.3 CE), la obligación de cumplir las sentencias firmes (art. 118 CE) y el derecho fundamental a la ejecución (art. 24 CE), a la concesión de una autorización provisional a la obra cuya demolición ordenó la jurisdicción.</w:t>
      </w:r>
    </w:p>
    <w:p w:rsidR="006B7292" w:rsidRDefault="006B7292" w:rsidP="006B7292">
      <w:pPr>
        <w:pStyle w:val="TextoNormal"/>
      </w:pPr>
    </w:p>
    <w:p w:rsidR="006B7292" w:rsidRDefault="006B7292" w:rsidP="006B7292">
      <w:pPr>
        <w:pStyle w:val="TextoNormal"/>
      </w:pPr>
      <w:r w:rsidRPr="006B7292">
        <w:rPr>
          <w:rStyle w:val="NumeroAFNegritaCaracter"/>
        </w:rPr>
        <w:t>7</w:t>
      </w:r>
      <w:r>
        <w:t>. El Letrado del Parlamento de Cantabria presenta su escrito de alegaciones el 11 de septiembre de 2015 en el que, en primer término, pone en entredicho que el planteamiento de la cuestión cumpla con el juicio de aplicabilidad y relevancia, pues, en su opinión, el contenido del fallo del litigio no ha de variar, con independencia de si se declara o no inconstitucional la Ley, ya que, en cualquier caso se va a restablecer la legalidad, pues la Ley del Parlamento de Cantabria persigue el restablecimiento, evitando que se proceda a la demolición cuando se ha producido la modificación posterior del planeamiento de forma que lo construido se adecua ahora a él.</w:t>
      </w:r>
    </w:p>
    <w:p w:rsidR="006B7292" w:rsidRDefault="006B7292" w:rsidP="006B7292">
      <w:pPr>
        <w:pStyle w:val="TextoNormal"/>
      </w:pPr>
    </w:p>
    <w:p w:rsidR="006B7292" w:rsidRDefault="006B7292" w:rsidP="006B7292">
      <w:pPr>
        <w:pStyle w:val="TextoNormal"/>
      </w:pPr>
      <w:r>
        <w:t>Rechaza, en segundo lugar, que la Ley esté realmente previendo una suspensión de la ejecución de un fallo, pues considera que no interfiere en la legislación procesal ni en la resolución o ejecución del proceso, sino que se limita a prever una medida de restitución de la legalidad urbanística. La regulación tiene, además, a su juicio, amparo en las competencias que el Estatuto atribuye a la Comunidad Autónoma de Cantabria en materia de “organización, régimen y funcionamiento de sus instituciones de autogobierno” (art. 24.1 del Estatuto de Autonomía de Cantabria: EACant), “urbanismo y vivienda” (art. 24.3 EACant) y “procedimiento administrativo derivado de las especialidades de la organización propia” (art. 24.32 EACant).</w:t>
      </w:r>
    </w:p>
    <w:p w:rsidR="006B7292" w:rsidRDefault="006B7292" w:rsidP="006B7292">
      <w:pPr>
        <w:pStyle w:val="TextoNormal"/>
      </w:pPr>
    </w:p>
    <w:p w:rsidR="006B7292" w:rsidRDefault="006B7292" w:rsidP="006B7292">
      <w:pPr>
        <w:pStyle w:val="TextoNormal"/>
      </w:pPr>
      <w:r>
        <w:t>Defiende el Letrado del Parlamento de Cantabria que las autorizaciones provisionales no son legislación procesal, sino legislación urbanística, pues “la previsión y regulación de las “autorizaciones provisionales” es una clara manifestación de la gestión de los instrumentos planificadores y de la disciplina urbanística, como potestades que integran la materia urbanismo y que el Estatuto de Autonomía para Cantabria atribuye a la Comunidad Autónoma”. Y añade que “la ejecución de la sentencia también se produce cuando se adecua lo construido al planeamiento, sin que se suspenda el procedimiento judicial”.</w:t>
      </w:r>
    </w:p>
    <w:p w:rsidR="006B7292" w:rsidRDefault="006B7292" w:rsidP="006B7292">
      <w:pPr>
        <w:pStyle w:val="TextoNormal"/>
      </w:pPr>
    </w:p>
    <w:p w:rsidR="006B7292" w:rsidRDefault="006B7292" w:rsidP="006B7292">
      <w:pPr>
        <w:pStyle w:val="TextoNormal"/>
      </w:pPr>
      <w:r w:rsidRPr="006B7292">
        <w:rPr>
          <w:rStyle w:val="NumeroAFNegritaCaracter"/>
        </w:rPr>
        <w:t>8</w:t>
      </w:r>
      <w:r>
        <w:t>. El Gobierno de Cantabria formuló sus alegaciones por escrito registrado el 18 de septiembre de 2015.</w:t>
      </w:r>
    </w:p>
    <w:p w:rsidR="006B7292" w:rsidRDefault="006B7292" w:rsidP="006B7292">
      <w:pPr>
        <w:pStyle w:val="TextoNormal"/>
      </w:pPr>
    </w:p>
    <w:p w:rsidR="006B7292" w:rsidRDefault="006B7292" w:rsidP="006B7292">
      <w:pPr>
        <w:pStyle w:val="TextoNormal"/>
      </w:pPr>
      <w:r>
        <w:t xml:space="preserve">Expone los antecedentes del caso y sostiene que la autorización provisional que se regula en el art. 65 </w:t>
      </w:r>
      <w:r w:rsidRPr="006B7292">
        <w:rPr>
          <w:i/>
        </w:rPr>
        <w:t>bis</w:t>
      </w:r>
      <w:r>
        <w:t xml:space="preserve">.1 de la Ley 2/2001 es una nueva figura jurídica dirigida a conferir mayor eficacia a los planeamientos en tramitación mediante la anticipación parcial de sus efectos, con el fin de evitar causar perjuicios irreparables a los intereses de los particulares y al propio interés público. De esta forma, explica el Gobierno de Cantabria, se trata de una figura vinculada por un lado al planeamiento urbanístico, puesto que supone dar eficacia anticipada al planeamiento en tramitación, y, por otra, a la disciplina urbanística, por cuanto implica que no toda infracción de la legalidad ha de llevar aparejada la demolición de forma irremediable, especialmente cuando no se trata de zonas protegidas por alguna razón (costas, espacios naturales, bienes de interés cultural…). Es decir, en su opinión, se trata de una regulación basada en el principio de proporcionalidad que trata de conjugar el equilibrio justo entre la garantía de los intereses públicos y el mantenimiento del </w:t>
      </w:r>
      <w:r w:rsidRPr="006B7292">
        <w:rPr>
          <w:i/>
        </w:rPr>
        <w:t>ius aedificandi</w:t>
      </w:r>
      <w:r>
        <w:t xml:space="preserve"> cuando ello es posible. No se aplica, dirá, indiscriminadamente a cualesquiera edificaciones o construcciones preexistentes, pues el “plan de derribos” de 2011 contempla en muchos casos la demolición como única vía para ejecutar las sentencias, mientras que el art. 65 </w:t>
      </w:r>
      <w:r w:rsidRPr="006B7292">
        <w:rPr>
          <w:i/>
        </w:rPr>
        <w:t>bis</w:t>
      </w:r>
      <w:r>
        <w:t>.1 lo que regula son aquellos supuestos en que por medio de una ordenación que atienda al interés público, sea posible legalizar la obra o edificación anteriormente ilegal.</w:t>
      </w:r>
    </w:p>
    <w:p w:rsidR="006B7292" w:rsidRDefault="006B7292" w:rsidP="006B7292">
      <w:pPr>
        <w:pStyle w:val="TextoNormal"/>
      </w:pPr>
    </w:p>
    <w:p w:rsidR="006B7292" w:rsidRDefault="006B7292" w:rsidP="006B7292">
      <w:pPr>
        <w:pStyle w:val="TextoNormal"/>
      </w:pPr>
      <w:r>
        <w:t xml:space="preserve">Destaca que el art. 65 </w:t>
      </w:r>
      <w:r w:rsidRPr="006B7292">
        <w:rPr>
          <w:i/>
        </w:rPr>
        <w:t>bis</w:t>
      </w:r>
      <w:r>
        <w:t xml:space="preserve">.1 no concede ni otorga directamente autorización provisional alguna, sino que es una norma de carácter general que regula la posibilidad de otorgar autorizaciones provisionales. Por tanto, sostiene que el art. 65 </w:t>
      </w:r>
      <w:r w:rsidRPr="006B7292">
        <w:rPr>
          <w:i/>
        </w:rPr>
        <w:t>bis</w:t>
      </w:r>
      <w:r>
        <w:t>.1 precisa de posteriores actos administrativos aplicativos y que serán las concretas autorizaciones provisionales que se otorguen al amparo de la norma las que puedan llegar a determinar, en su caso y si se dan los requisitos legalmente establecidos en la Ley reguladora de la jurisdicción contencioso-administrativa, la imposibilidad legal de proceder a la ejecución de una resolución judicial firme. En consecuencia, mantiene que esos actos administrativos concretos, esas autorizaciones provisionales que se otorguen en cada caso, sí son controlables y fiscalizables por los propios juzgados y tribunales contencioso-administrativos encargados de ejecutar las sentencias.</w:t>
      </w:r>
    </w:p>
    <w:p w:rsidR="006B7292" w:rsidRDefault="006B7292" w:rsidP="006B7292">
      <w:pPr>
        <w:pStyle w:val="TextoNormal"/>
      </w:pPr>
    </w:p>
    <w:p w:rsidR="006B7292" w:rsidRDefault="006B7292" w:rsidP="006B7292">
      <w:pPr>
        <w:pStyle w:val="TextoNormal"/>
      </w:pPr>
      <w:r>
        <w:t xml:space="preserve">Por último, considera que el art. 65 </w:t>
      </w:r>
      <w:r w:rsidRPr="006B7292">
        <w:rPr>
          <w:i/>
        </w:rPr>
        <w:t>bis</w:t>
      </w:r>
      <w:r>
        <w:t xml:space="preserve">.1 no constituye, en ningún caso, norma de carácter procesal o que altere la legislación procesal o introduzca una causa de suspensión del procedimiento de ejecución judicial no previsto en la Ley reguladora de la jurisdicción contencioso-administrativa, pues entiende que es una norma sustantiva, urbanística, que regula una nueva figura o instrucción del derecho urbanístico autonómico “dirigida a conferir a los planeamientos en tramitación (mediante la anticipación parcial de sus efectos), con el fin último de evitar la causación de perjuicios irreparables a los propietarios de construcciones y, en muchos casos, al propio interés público”. En cualquier caso, estima que la pretendida suspensión de la ejecución procesal no nace o se deriva directamente de la Ley 4/2013, no es efecto inmediato y necesario de la aprobación y vigencia de la norma —artículo 65 </w:t>
      </w:r>
      <w:r w:rsidRPr="006B7292">
        <w:rPr>
          <w:i/>
        </w:rPr>
        <w:t>bis</w:t>
      </w:r>
      <w:r>
        <w:t>—, por lo que el vicio de inconstitucionalidad que se le imputa decae automáticamente. Lo que afecta a la ejecución de la Sentencia, en su opinión, es, en su caso, la concreta autorización provisional que se otorgue por el ayuntamiento si se cumplen los requisitos necesarios para ello.</w:t>
      </w:r>
    </w:p>
    <w:p w:rsidR="006B7292" w:rsidRDefault="006B7292" w:rsidP="006B7292">
      <w:pPr>
        <w:pStyle w:val="TextoNormal"/>
      </w:pPr>
    </w:p>
    <w:p w:rsidR="006B7292" w:rsidRDefault="006B7292" w:rsidP="006B7292">
      <w:pPr>
        <w:pStyle w:val="TextoNormal"/>
      </w:pPr>
      <w:r>
        <w:t xml:space="preserve">Afirma que el Tribunal deberá tener en cuenta en la fase de ejecución de la sentencia la existencia de la autorización provisional y la posibilidad de que la misma constituya una causa de imposibilidad legal de ejecución, pero podrá controlar o incluso anular la autorización provisional de conformidad con lo dispuesto en el art. 103.4 de la Ley reguladora de la jurisdicción contencioso-administrativa (LJCA). Es decir, el hecho de que la autorización provisional se haya otorgado de conformidad con el artículo 65 </w:t>
      </w:r>
      <w:r w:rsidRPr="006B7292">
        <w:rPr>
          <w:i/>
        </w:rPr>
        <w:t>bis</w:t>
      </w:r>
      <w:r>
        <w:t xml:space="preserve">, no impide el control que el Tribunal puede y debe realizar </w:t>
      </w:r>
      <w:r w:rsidRPr="006B7292">
        <w:rPr>
          <w:i/>
        </w:rPr>
        <w:t>ex</w:t>
      </w:r>
      <w:r>
        <w:t xml:space="preserve"> art. 103.4 LJCA, esto es el examen de si la modificación del planeamiento tiene o no la única finalidad de convertir lo ilegal en legal, sino la de atender racionalmente el interés público urbanístico.</w:t>
      </w:r>
    </w:p>
    <w:p w:rsidR="006B7292" w:rsidRDefault="006B7292" w:rsidP="006B7292">
      <w:pPr>
        <w:pStyle w:val="TextoNormal"/>
      </w:pPr>
    </w:p>
    <w:p w:rsidR="006B7292" w:rsidRDefault="006B7292" w:rsidP="006B7292">
      <w:pPr>
        <w:pStyle w:val="TextoNormal"/>
      </w:pPr>
      <w:r>
        <w:t xml:space="preserve">A diferencia del caso de la STC 92/2013, en el presente caso el Gobierno de Cantabria defiende que la Ley 4/2013 no incide </w:t>
      </w:r>
      <w:r w:rsidRPr="006B7292">
        <w:rPr>
          <w:i/>
        </w:rPr>
        <w:t>per se</w:t>
      </w:r>
      <w:r>
        <w:t xml:space="preserve"> de forma directa en la ejecución, sino que será, en su caso, la correspondiente autorización provisional la que lo haga y la misma estará sujeta al control jurisdiccional. Rechaza el Gobierno de Cantabria que la regulación resulte contraria al derecho a la tutela judicial efectiva, pues el derecho a la ejecución de la sentencia en sus propios términos “no impide que en determinados supuestos ésta devenga legal o materialmente imposible, lo cual habrá de apreciarse por el órgano judicial en resolución motivada, pues el cumplimiento o ejecución de las Sentencias depende de las características de cada proceso y del contenido del fallo”, tal y como ha reconocido el Tribunal Constitucional (STC 73/2000, de 14 de marzo).</w:t>
      </w:r>
    </w:p>
    <w:p w:rsidR="006B7292" w:rsidRDefault="006B7292" w:rsidP="006B7292">
      <w:pPr>
        <w:pStyle w:val="TextoNormal"/>
      </w:pPr>
    </w:p>
    <w:p w:rsidR="006B7292" w:rsidRDefault="006B7292" w:rsidP="006B7292">
      <w:pPr>
        <w:pStyle w:val="TextoNormal"/>
      </w:pPr>
      <w:r>
        <w:t>Y, por último, afirma también que, en todo caso, no se sacrifica de forma desproporcionada el pronunciamiento contenido en el fallo. En primer lugar, señala que las autorizaciones provisionales tienen una vigencia máxima de cuatro años de duración, que es un plazo razonable que no sacrifica indefinidamente el contenido del fallo. En segundo lugar, destaca que la finalidad es evitar la causación de perjuicios irreparables no solo a los propietarios de las viviendas, sino también y principalmente al interés público, dados los enormes costes que tendrían para las arcas públicas, no sólo locales sino también autonómicas, la demolición de las viviendas con orden de derribo y la indemnización a todos los propietarios. Señala que el cálculo estimado que todo ello tendría para la hacienda de la Comunidad Autónoma se fija en torno a unos 300.000.000 €. Y, en tercer lugar, defiende que además no se sacrifica de forma desproporcionada el interés del restablecimiento de la legalidad urbanística que subyace en el fallo de la Sentencia, pues estas autorizaciones solo se otorgan a aquellas edificaciones o construcciones preexistentes que resulten compatibles con la nueva ordenación urbanística contenida en el planeamiento en tramitación, persiguiendo precisamente el restablecimiento de la legalidad urbanística.</w:t>
      </w:r>
    </w:p>
    <w:p w:rsidR="006B7292" w:rsidRDefault="006B7292" w:rsidP="006B7292">
      <w:pPr>
        <w:pStyle w:val="TextoNormal"/>
      </w:pPr>
    </w:p>
    <w:p w:rsidR="006B7292" w:rsidRDefault="006B7292" w:rsidP="006B7292">
      <w:pPr>
        <w:pStyle w:val="TextoNormal"/>
      </w:pPr>
      <w:r w:rsidRPr="006B7292">
        <w:rPr>
          <w:rStyle w:val="NumeroAFNegritaCaracter"/>
        </w:rPr>
        <w:t>9</w:t>
      </w:r>
      <w:r>
        <w:t>. La Fiscal General del Estado comparece mediante escrito registrado el 22 de septiembre de 2015 y formula sus alegaciones que apoyan el criterio de la Sala. Estima la Fiscal General del Estado que la norma cuestionada afecta, por un lado, al orden constitucional de distribución de competencias entre el Estado y la Comunidad Autónoma de Cantabria (art. 149.1.6 CE) y, por otro lado, al derecho fundamental a la ejecución de las sentencias en sus propios términos y a la garantía constitucional de integridad jurisdiccional de los jueces y tribunales (arts. 24 y 117.3 CE).</w:t>
      </w:r>
    </w:p>
    <w:p w:rsidR="006B7292" w:rsidRDefault="006B7292" w:rsidP="006B7292">
      <w:pPr>
        <w:pStyle w:val="TextoNormal"/>
      </w:pPr>
    </w:p>
    <w:p w:rsidR="006B7292" w:rsidRDefault="006B7292" w:rsidP="006B7292">
      <w:pPr>
        <w:pStyle w:val="TextoNormal"/>
      </w:pPr>
      <w:r>
        <w:t>En relación con el problema competencial, la Fiscal General del Estado pone de manifiesto que, a diferencia de otros Estatutos de Autonomía, el de Cantabria no contempla que el legislador autonómico pueda regular materia procesal. Por otra parte, en relación con el art. 117.3 CE afirma que la norma cuestionada incide en la regulación de la ejecución de sentencias al introducir un trámite ajeno a la propia ejecución de la Sentencia y que aunque sólo la paraliza temporalmente, en el fondo lo que pretende es legalizar las edificaciones que han de ser derribadas, puesto que “es fácilmente comprensible que en el nuevo planeamiento municipal que se redacte las determinaciones urbanísticas de las parcelas en que se encuentran levantadas las edificaciones declaradas ilegales coincidirán casi al pie de la letra con la realidad de lo edificado, de modo que posteriormente no existirá dificultad alguna para que tales edificaciones obtengan una nueva licencia de obra, con la consiguiente anulación de los efectos de la declaración de ilegalidad efectuada por los Tribunales”.</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 xml:space="preserve">Único. La presente cuestión de inconstitucionalidad ha sido promovida por el Juzgado de lo Contencioso-Administrativo núm. 3 de Santander en relación con el art. 65 </w:t>
      </w:r>
      <w:r w:rsidRPr="006B7292">
        <w:rPr>
          <w:i/>
        </w:rPr>
        <w:t>bis</w:t>
      </w:r>
      <w:r>
        <w:t>.1 de la Ley 2/2001, de 25 de junio, de ordenación territorial y del régimen urbanístico del suelo de Cantabria, introducido por la Ley 4/2013, de 20 de junio, en la parte del mismo que se refiere a las órdenes de demolición judiciales.</w:t>
      </w:r>
    </w:p>
    <w:p w:rsidR="006B7292" w:rsidRDefault="006B7292" w:rsidP="006B7292">
      <w:pPr>
        <w:pStyle w:val="TextoNormal"/>
      </w:pPr>
    </w:p>
    <w:p w:rsidR="006B7292" w:rsidRDefault="006B7292" w:rsidP="006B7292">
      <w:pPr>
        <w:pStyle w:val="TextoNormal"/>
      </w:pPr>
      <w:r>
        <w:t>El precepto dispone que “iniciado el procedimiento dirigido a la formación, modificación o revisión de los planes urbanísticos y demás instrumentos de planeamiento, y para impedir que se generen perjuicios irreparables al interés público o a los propietarios de edificaciones o actuaciones que, habiendo sido previamente declaradas ilegales y sobre las que hubiesen recaído órdenes de demolición administrativas o judiciales, puedan resultar conformes con la nueva ordenación que se está tramitando, el órgano municipal competente para aprobar inicialmente el plan podrá otorgar, de oficio o a instancia de los interesados, autorizaciones provisionales que afecten a dichas edificaciones o actuaciones preexistentes, previa comprobación de que resultan conformes con el nuevo planeamiento municipal en tramitación. Si el procedimiento se inicia a solicitud del interesado, transcurrido el plazo de tres meses sin haberse notificado resolución alguna podrá entender desestimada su petición.”</w:t>
      </w:r>
    </w:p>
    <w:p w:rsidR="006B7292" w:rsidRDefault="006B7292" w:rsidP="006B7292">
      <w:pPr>
        <w:pStyle w:val="TextoNormal"/>
      </w:pPr>
    </w:p>
    <w:p w:rsidR="006B7292" w:rsidRDefault="006B7292" w:rsidP="006B7292">
      <w:pPr>
        <w:pStyle w:val="TextoNormal"/>
      </w:pPr>
      <w:r>
        <w:t>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 y 117.3 CE que consagran, respectivamente, el derecho a la tutela judicial efectiva y, por tanto, también, su vertiente de derecho a la ejecución de sentencias, y la potestad exclusiva de jueces y tribunales para ejecutar lo juzgado.</w:t>
      </w:r>
    </w:p>
    <w:p w:rsidR="006B7292" w:rsidRDefault="006B7292" w:rsidP="006B7292">
      <w:pPr>
        <w:pStyle w:val="TextoNormal"/>
      </w:pPr>
    </w:p>
    <w:p w:rsidR="006B7292" w:rsidRDefault="006B7292" w:rsidP="006B7292">
      <w:pPr>
        <w:pStyle w:val="TextoNormal"/>
      </w:pPr>
      <w:r>
        <w:t xml:space="preserve">Este Tribunal, en su reciente STC 254/2015, de 30 de noviembre, estimatoria de la cuestión de inconstitucionalidad núm. 6860-2014, dictada con posterioridad a que la presente cuestión fuera admitida a trámite, ha declarado inconstitucional y nulo el inciso “o judiciales” del art. 65 </w:t>
      </w:r>
      <w:r w:rsidRPr="006B7292">
        <w:rPr>
          <w:i/>
        </w:rPr>
        <w:t>bis</w:t>
      </w:r>
      <w:r>
        <w:t>.1 de la Ley 2/2001, de 25 de junio, de ordenación territorial y de régimen urbanístico del suelo de Cantabria, introducido por la Ley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w:t>
      </w:r>
    </w:p>
    <w:p w:rsidR="006B7292" w:rsidRDefault="006B7292" w:rsidP="006B7292">
      <w:pPr>
        <w:pStyle w:val="TextoNormal"/>
      </w:pPr>
    </w:p>
    <w:p w:rsidR="006B7292" w:rsidRDefault="006B7292" w:rsidP="006B7292">
      <w:pPr>
        <w:pStyle w:val="TextoNormal"/>
      </w:pPr>
      <w:r>
        <w:t>Se sigue de ello que el referido inciso ha sido expulsado del ordenamiento, una vez anulado por inconstitucional, lo que impone ahora apreciar, conforme a reiterada doctrina de este Tribunal (por todos, ATC 28/2015, de 16 de febrero, FJ único), la desaparición sobrevenida del objeto de la presente cuestión, al haber quedado disipada la duda de constitucionalidad planteada por el órgano judicial.</w:t>
      </w:r>
    </w:p>
    <w:p w:rsidR="006B7292" w:rsidRDefault="006B7292" w:rsidP="006B7292">
      <w:pPr>
        <w:pStyle w:val="TextoNormal"/>
      </w:pPr>
    </w:p>
    <w:p w:rsidR="006B7292" w:rsidRDefault="006B7292" w:rsidP="006B7292">
      <w:pPr>
        <w:pStyle w:val="TextoNormal"/>
      </w:pPr>
      <w:r>
        <w:t>Por todo lo expuesto, la Sala</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Declarar la extinción de la cuestión de inconstitucionalidad núm. 3214-2015, por desaparición sobrevenida de su objeto.</w:t>
      </w:r>
    </w:p>
    <w:p w:rsidR="006B7292" w:rsidRDefault="006B7292" w:rsidP="006B7292">
      <w:pPr>
        <w:pStyle w:val="TextoNormal"/>
      </w:pPr>
    </w:p>
    <w:p w:rsidR="006B7292" w:rsidRDefault="006B7292" w:rsidP="006B7292">
      <w:pPr>
        <w:pStyle w:val="TextoNormal"/>
      </w:pPr>
      <w:r>
        <w:t>Madrid, a catorce de diciembre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31" w:name="AUTO_2015_217"/>
      <w:r>
        <w:t>AUTO 217/2015, de 14 de diciembre de 2015</w:t>
      </w:r>
    </w:p>
    <w:bookmarkEnd w:id="231"/>
    <w:p w:rsidR="006B7292" w:rsidRDefault="006B7292" w:rsidP="006B7292">
      <w:pPr>
        <w:pStyle w:val="TtuloResolucin"/>
      </w:pPr>
      <w:r>
        <w:t>Sala Primera</w:t>
      </w:r>
    </w:p>
    <w:p w:rsidR="006B7292" w:rsidRDefault="006B7292" w:rsidP="006B7292">
      <w:pPr>
        <w:pStyle w:val="TextoNormalCentrado"/>
      </w:pPr>
      <w:r>
        <w:t>ECLI:ES:TC:2015:217A</w:t>
      </w:r>
    </w:p>
    <w:p w:rsidR="006B7292" w:rsidRDefault="006B7292" w:rsidP="006B7292">
      <w:pPr>
        <w:pStyle w:val="TextoNormalCentrado"/>
      </w:pPr>
    </w:p>
    <w:p w:rsidR="006B7292" w:rsidRDefault="006B7292" w:rsidP="006B7292">
      <w:pPr>
        <w:pStyle w:val="SntesisDescriptiva"/>
      </w:pPr>
      <w:r>
        <w:t>Excms. Srs. don Francisco Pérez de los Cobos Orihuel, doña Encarnación Roca Trías, don Andrés Ollero Tassara, don Santiago Martínez-Vares García y don Juan Antonio Xiol Ríos.</w:t>
      </w:r>
    </w:p>
    <w:p w:rsidR="006B7292" w:rsidRDefault="006B7292" w:rsidP="006B7292">
      <w:pPr>
        <w:pStyle w:val="SntesisDescriptiva"/>
      </w:pPr>
    </w:p>
    <w:p w:rsidR="006B7292" w:rsidRDefault="006B7292" w:rsidP="006B7292">
      <w:pPr>
        <w:pStyle w:val="SntesisDescriptiva"/>
      </w:pPr>
      <w:r>
        <w:t>Acuerda la extinción, por desaparición sobrevenida de objeto, de la cuestión de inconstitucionalidad 4651-2015, planteada por el Juzgado de lo Contencioso-Administrativo núm. 1 de Santander en relación con el artículo 65 bis.1 de la Ley 2/2001, de 25 de junio, de ordenación territorial y del régimen urbanístico del suelo de Cantabria.</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xml:space="preserve">. Por escrito registrado en este Tribunal el 31 de julio de 2015, el Juzgado de lo Contencioso-Administrativo núm. 1 de Santander remitió testimonio del Auto de 13 de julio de 2015 por el que se acordó plantear cuestión de inconstitucionalidad del art. 65 </w:t>
      </w:r>
      <w:r w:rsidRPr="006B7292">
        <w:rPr>
          <w:i/>
        </w:rPr>
        <w:t>bis</w:t>
      </w:r>
      <w:r>
        <w:t>. 1, inciso “o judiciales”, en relación con los efectos previstos en los apartados 2 y 3, de la Ley 2/2001, de 25 de junio, de ordenación territorial y del régimen urbanístico del suelo de Cantabria, añadido por el art. 1 de la Ley 4/2013, de 20 de junio, por considerar que es contrario a los arts. 24.2, 117.3 y 149.1.6 CE. Junto a esta resolución se acompaña copia testimoniada de las actuaciones.</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de hecho del planteamiento de la presente cuestión de inconstitucionalidad son, sucintamente expuestos, los siguientes:</w:t>
      </w:r>
    </w:p>
    <w:p w:rsidR="006B7292" w:rsidRDefault="006B7292" w:rsidP="006B7292">
      <w:pPr>
        <w:pStyle w:val="TextoNormal"/>
      </w:pPr>
    </w:p>
    <w:p w:rsidR="006B7292" w:rsidRDefault="006B7292" w:rsidP="006B7292">
      <w:pPr>
        <w:pStyle w:val="TextoNormal"/>
      </w:pPr>
      <w:r>
        <w:t>a) Mediante Sentencia de 6 de marzo de 2001 del Juzgado de lo Contencioso-Administrativo núm. 1 de Santander, recaída en el procedimiento ordinario 182-1999, se estimó el recurso contencioso administrativo interpuesto por Arca contra el acuerdo de la comisión de gobierno del Ayuntamiento de Miengo de 31 de marzo de 1998 en el que se concedía a Delfín Cruz, S.A., licencia para la construcción de 20 viviendas, garajes y locales en el polígono residencial de Cuchía, anulándose la licencia y acordándose la demolición de lo indebidamente construido a su amparo. La resolución fue confirmada en apelación por Sentencia de la Sala de lo Contencioso-Administrativo del Tribunal Superior de Justicia de Cantabria de 17 de julio de 2001.</w:t>
      </w:r>
    </w:p>
    <w:p w:rsidR="006B7292" w:rsidRDefault="006B7292" w:rsidP="006B7292">
      <w:pPr>
        <w:pStyle w:val="TextoNormal"/>
      </w:pPr>
    </w:p>
    <w:p w:rsidR="006B7292" w:rsidRDefault="006B7292" w:rsidP="006B7292">
      <w:pPr>
        <w:pStyle w:val="TextoNormal"/>
      </w:pPr>
      <w:r>
        <w:t>b) Instada la ejecución por la recurrente, se acordó la ejecución forzosa por Auto de 29 de septiembre de 2003, tras lo que se plantearon incidentes de inejecución y causas de oposición a la misma que fueron desestimados.</w:t>
      </w:r>
    </w:p>
    <w:p w:rsidR="006B7292" w:rsidRDefault="006B7292" w:rsidP="006B7292">
      <w:pPr>
        <w:pStyle w:val="TextoNormal"/>
      </w:pPr>
    </w:p>
    <w:p w:rsidR="006B7292" w:rsidRDefault="006B7292" w:rsidP="006B7292">
      <w:pPr>
        <w:pStyle w:val="TextoNormal"/>
      </w:pPr>
      <w:r>
        <w:t>c) En este procedimiento ejecutivo, se planteó incidente de inejecución a consecuencia de la entrada en vigor de la Ley 2/2011, de 4 de abril, por la que se modifica la Ley 2/2001, de 25 de junio, de ordenación territorial y régimen urbanístico del suelo de Cantabria, en relación con los procedimientos de indemnización patrimonial en materia urbanística. Tras el planteamiento de cuestión de inconstitucionalidad en relación con la disposición adicional sexta de la citada norma y el pronunciamiento del Tribunal Constitucional, se continuó el trámite.</w:t>
      </w:r>
    </w:p>
    <w:p w:rsidR="006B7292" w:rsidRDefault="006B7292" w:rsidP="006B7292">
      <w:pPr>
        <w:pStyle w:val="TextoNormal"/>
      </w:pPr>
    </w:p>
    <w:p w:rsidR="006B7292" w:rsidRDefault="006B7292" w:rsidP="006B7292">
      <w:pPr>
        <w:pStyle w:val="TextoNormal"/>
      </w:pPr>
      <w:r>
        <w:t xml:space="preserve">d) La Ley 2/2001 ha sido modificada por la Ley 4/2013, que introduce el artículo 65 bis, en el que se prevé las autorizaciones provisionales que afectan a inmuebles previamente declarados ilegales con Sentencia firme de derribo. El Ayuntamiento de Miengo, por resolución de 6 de febrero de 2015, concedió a 20 viviendas, locales y garajes afectados por este fallo, autorización provisional al considerar que las mismas resultan conformes con el nuevo planeamiento que se está tramitando y aún no ha sido aprobado ni entrado en vigor, por lo que, durante el tiempo de efecto de la autorización quedan en situación de fuera de la ordenación. El ayuntamiento y la comunidad de propietarios interesada y parte en la ejecución, sobre la base de esta resolución municipal, invocan los efectos del artículo 65 </w:t>
      </w:r>
      <w:r w:rsidRPr="006B7292">
        <w:rPr>
          <w:i/>
        </w:rPr>
        <w:t>bis</w:t>
      </w:r>
      <w:r>
        <w:t xml:space="preserve"> y solicitan la inejecución de la Sentencia por imposibilidad legal.</w:t>
      </w:r>
    </w:p>
    <w:p w:rsidR="006B7292" w:rsidRDefault="006B7292" w:rsidP="006B7292">
      <w:pPr>
        <w:pStyle w:val="TextoNormal"/>
      </w:pPr>
    </w:p>
    <w:p w:rsidR="006B7292" w:rsidRDefault="006B7292" w:rsidP="006B7292">
      <w:pPr>
        <w:pStyle w:val="TextoNormal"/>
      </w:pPr>
      <w:r>
        <w:t>e) Por providencia de 5 de junio de 2015, el Juzgado de lo Contencioso-Administrativo núm. 1 de Santander acordó oír a las partes y al Ministerio Fiscal por el término común de diez días sobre la pertinencia de plantear cuestión de inconstitucionalidad sobre la Ley 4/2013, de 20 de junio, “por si pudiera adolecer dicha normativa de falta de competencia de la Comunidad Autónoma para introducir una causa de suspensión en el procedimiento de ejecución judicial no previsto por la normativa procesal, cuya competencia es exclusiva del Estado conforme al art. 149.1.6 de la Constitución, pudiera afectar al derecho a la tutela judicial efectiva del art. 24 CE y a la competencia exclusiva de jueces y tribunales para ejecutar lo juzgado, conforme al art. 117.1 CE. Todo ello en relación con los arts. 9.3, 24.1, 106.1, 117 y 118 del texto constitucional”.</w:t>
      </w:r>
    </w:p>
    <w:p w:rsidR="006B7292" w:rsidRDefault="006B7292" w:rsidP="006B7292">
      <w:pPr>
        <w:pStyle w:val="TextoNormal"/>
      </w:pPr>
    </w:p>
    <w:p w:rsidR="006B7292" w:rsidRDefault="006B7292" w:rsidP="006B7292">
      <w:pPr>
        <w:pStyle w:val="TextoNormal"/>
      </w:pPr>
      <w:r>
        <w:t xml:space="preserve">f) Oídas las partes, el órgano judicial dictó Auto de 13 de julio de 2015 planteando la cuestión de inconstitucionalidad respecto al art. 65 </w:t>
      </w:r>
      <w:r w:rsidRPr="006B7292">
        <w:rPr>
          <w:i/>
        </w:rPr>
        <w:t>bis</w:t>
      </w:r>
      <w:r>
        <w:t>.1, inciso “o judiciales”, en relación con los efectos previstos en los apartados 2 y 3, de la Ley 2/2001, de 25 de junio, de ordenación territorial y del régimen urbanístico del suelo de Cantabria, añadido por el art. 1 de la Ley 4/2013, de 20 de junio.</w:t>
      </w:r>
    </w:p>
    <w:p w:rsidR="006B7292" w:rsidRDefault="006B7292" w:rsidP="006B7292">
      <w:pPr>
        <w:pStyle w:val="TextoNormal"/>
      </w:pPr>
    </w:p>
    <w:p w:rsidR="006B7292" w:rsidRDefault="006B7292" w:rsidP="006B7292">
      <w:pPr>
        <w:pStyle w:val="TextoNormal"/>
      </w:pPr>
      <w:r w:rsidRPr="006B7292">
        <w:rPr>
          <w:rStyle w:val="NumeroAFNegritaCaracter"/>
        </w:rPr>
        <w:t>3</w:t>
      </w:r>
      <w:r>
        <w:t>. En cuanto al contenido del Auto de promoción importa destacar lo siguiente:</w:t>
      </w:r>
    </w:p>
    <w:p w:rsidR="006B7292" w:rsidRDefault="006B7292" w:rsidP="006B7292">
      <w:pPr>
        <w:pStyle w:val="TextoNormal"/>
      </w:pPr>
    </w:p>
    <w:p w:rsidR="006B7292" w:rsidRDefault="006B7292" w:rsidP="006B7292">
      <w:pPr>
        <w:pStyle w:val="TextoNormal"/>
      </w:pPr>
      <w:r>
        <w:t>Tras exponer los antecedentes del caso el Auto razona que el ayuntamiento plantea causa de imposibilidad jurídica de ejecutar el fallo de la Sentencia por entrar en vigor la Ley 4/2013 que modifica la Ley 2/2001, de 25 de junio, que introduce la tramitación de un procedimiento administrativo para la obtención de una autorización provisional que afecte a las edificaciones que hayan sido declaradas ilegales y sobre las que hubiese recaído orden de demolición judicial por sentencia firme. Dicha norma es de aplicación preceptiva y determina el contenido de la resolución. Destaca que sobre esta norma se han planteado sendas cuestiones de inconstitucionalidad por la Sala de lo Contencioso administrativo del Tribunal Superior de Justicia y por el Juzgado de lo Contencioso-Administrativo núm. 1 de Santander, cuyos fundamentos expone y acoge por entenderlos plenamente aplicables al caso.</w:t>
      </w:r>
    </w:p>
    <w:p w:rsidR="006B7292" w:rsidRDefault="006B7292" w:rsidP="006B7292">
      <w:pPr>
        <w:pStyle w:val="TextoNormal"/>
      </w:pPr>
    </w:p>
    <w:p w:rsidR="006B7292" w:rsidRDefault="006B7292" w:rsidP="006B7292">
      <w:pPr>
        <w:pStyle w:val="TextoNormal"/>
      </w:pPr>
      <w:r>
        <w:t xml:space="preserve">A continuación indica que la solicitud de inejecución que debe resolverse se apoya en el art. 65 </w:t>
      </w:r>
      <w:r w:rsidRPr="006B7292">
        <w:rPr>
          <w:i/>
        </w:rPr>
        <w:t>bis</w:t>
      </w:r>
      <w:r>
        <w:t>.1 inciso “o judiciales” de la Ley 2/2001, modificada por la Ley 4/2013. El precepto invierte los términos generales y tradicionales del derecho urbanístico pues en lugar de suspender la concesión de licencias de construcción mientras se están tramitando nuevos planes de ordenación, lo que hace es suspender las ejecuciones judiciales mientras se tramitan estos planes, que parecen buscar la legalización de edificios que tienen sentencia de derribo, a veces, desde hace más de 15 años.</w:t>
      </w:r>
    </w:p>
    <w:p w:rsidR="006B7292" w:rsidRDefault="006B7292" w:rsidP="006B7292">
      <w:pPr>
        <w:pStyle w:val="TextoNormal"/>
      </w:pPr>
    </w:p>
    <w:p w:rsidR="006B7292" w:rsidRDefault="006B7292" w:rsidP="006B7292">
      <w:pPr>
        <w:pStyle w:val="TextoNormal"/>
      </w:pPr>
      <w:r>
        <w:t>Considera que la normativa trata de interferir en las sentencias de derribo, vulnerando varios preceptos constitucionales, dos de ellos íntimamente unidos: tutela judicial efectiva y suspensión del procedimiento judicial.</w:t>
      </w:r>
    </w:p>
    <w:p w:rsidR="006B7292" w:rsidRDefault="006B7292" w:rsidP="006B7292">
      <w:pPr>
        <w:pStyle w:val="TextoNormal"/>
      </w:pPr>
    </w:p>
    <w:p w:rsidR="006B7292" w:rsidRDefault="006B7292" w:rsidP="006B7292">
      <w:pPr>
        <w:pStyle w:val="TextoNormal"/>
      </w:pPr>
      <w:r>
        <w:t>Conforme al art. 149.1.6 CE, el Estado tiene competencia exclusiva sobre la legislación procesal, regida para los órganos contencioso-administrativos por la Ley 29/1998, de 13 de julio, Ley estatal no susceptible de modificación mediante Ley autonómica en virtud del principio de distribución de competencias, normativa estatal que, conforme a su artículo 105.1, no permite suspensión alguna en la ejecución de sentencias.</w:t>
      </w:r>
    </w:p>
    <w:p w:rsidR="006B7292" w:rsidRDefault="006B7292" w:rsidP="006B7292">
      <w:pPr>
        <w:pStyle w:val="TextoNormal"/>
      </w:pPr>
    </w:p>
    <w:p w:rsidR="006B7292" w:rsidRDefault="006B7292" w:rsidP="006B7292">
      <w:pPr>
        <w:pStyle w:val="TextoNormal"/>
      </w:pPr>
      <w:r>
        <w:t>Razona que la ejecución de las sentencias forma parte derecho a la tutela judicial efectiva en su vertiente de derecho a la ejecución (art. 24 CE), correspondiendo el ejercicio de esta potestad jurisdiccional en exclusiva a los juzgados y tribunales (art. 117.3 CE), siendo obligatorio cumplir las resoluciones firmes y prestar la colaboración requerida por los jueces y tribunales (art. 118 CE). Entiende que la efectividad de la Ley autonómica incide en la ejecución procesal al introducir una causa de suspensión no prevista en la Ley estatal para la que tanto el Gobierno Autonómico, como el ayuntamiento, carecen de competencias.</w:t>
      </w:r>
    </w:p>
    <w:p w:rsidR="006B7292" w:rsidRDefault="006B7292" w:rsidP="006B7292">
      <w:pPr>
        <w:pStyle w:val="TextoNormal"/>
      </w:pPr>
    </w:p>
    <w:p w:rsidR="006B7292" w:rsidRDefault="006B7292" w:rsidP="006B7292">
      <w:pPr>
        <w:pStyle w:val="TextoNormal"/>
      </w:pPr>
      <w:r>
        <w:t>Indica que este precepto recuerda al de la Ley 2/2001, de 25 de junio, que fue declarado inconstitucional por la STC 92/2013. La suspensión durante cuatro años hace que el ayuntamiento tenga en sus manos la posibilidad de frustrar la efectividad de la ejecución del fallo, entrando la disposición en conflicto con el art. 117.3 CE y 105.1 de la Ley reguladora de la jurisdicción contencioso-administrativa 29/1998.</w:t>
      </w:r>
    </w:p>
    <w:p w:rsidR="006B7292" w:rsidRDefault="006B7292" w:rsidP="006B7292">
      <w:pPr>
        <w:pStyle w:val="TextoNormal"/>
      </w:pPr>
    </w:p>
    <w:p w:rsidR="006B7292" w:rsidRDefault="006B7292" w:rsidP="006B7292">
      <w:pPr>
        <w:pStyle w:val="TextoNormal"/>
      </w:pPr>
      <w:r>
        <w:t xml:space="preserve">Descarta que pueda oponerse que la causa de la inejecución sea el acto administrativo, pues este se ampara en la norma cuestionada, dejando </w:t>
      </w:r>
      <w:r w:rsidRPr="006B7292">
        <w:rPr>
          <w:i/>
        </w:rPr>
        <w:t>sine die</w:t>
      </w:r>
      <w:r>
        <w:t xml:space="preserve"> la ejecución de la sentencia firme, anticipando la eficacia de una norma que no es tal. Considera que tampoco se trata del otorgamiento de una nueva licencia, tras la anulada, sino de una licencia provisional cuyo encaje de legalidad se debe efectuar con un proyecto, cuyo control judicial no es posible al no tratarse de un acto definitivo, lo que supone dejar en manos del ejecutado la ejecución de sentencias firmes.</w:t>
      </w:r>
    </w:p>
    <w:p w:rsidR="006B7292" w:rsidRDefault="006B7292" w:rsidP="006B7292">
      <w:pPr>
        <w:pStyle w:val="TextoNormal"/>
      </w:pPr>
    </w:p>
    <w:p w:rsidR="006B7292" w:rsidRDefault="006B7292" w:rsidP="006B7292">
      <w:pPr>
        <w:pStyle w:val="TextoNormal"/>
      </w:pPr>
      <w:r w:rsidRPr="006B7292">
        <w:rPr>
          <w:rStyle w:val="NumeroAFNegritaCaracter"/>
        </w:rPr>
        <w:t>4</w:t>
      </w:r>
      <w:r>
        <w:t>. Por providencia de 20 de octubre de 2015, el Pleno, a propuesta de la Sección Segunda, acordó admitir a trámite la cuestión de inconstitucionalidad, deferir su conocimiento a la Sala Primera a la que por turno objetivo correspondió, y dar traslado de las actuaciones al Congreso de los Diputados y al Senado por conducto de sus Presidentes, al Gobierno por conducto del Ministro de Justicia, y al Fiscal General del Estado, así como al Gobierno y al Parlamento de Cantabria por conducto de sus Presidentes, al objeto de que, en el improrrogable plazo de quince días, pudieran personarse en el proceso y formular las alegaciones que estimasen convenientes. Asimismo se acordó comunicar la admisión al órgano judicial proponente a fin de que, de conformidad con el art. 35.3 de la Ley Orgánica del Tribunal Constitucional (LOTC), permaneciera suspendido el proceso judicial hasta que se resolviera la cuestión de inconstitucionalidad. En la misma providencia acordó el Tribunal publicar la incoación de la cuestión de inconstitucionalidad en el “Boletín Oficial del Estado” y en el “Boletín Oficial de Cantabria”.</w:t>
      </w:r>
    </w:p>
    <w:p w:rsidR="006B7292" w:rsidRDefault="006B7292" w:rsidP="006B7292">
      <w:pPr>
        <w:pStyle w:val="TextoNormal"/>
      </w:pPr>
    </w:p>
    <w:p w:rsidR="006B7292" w:rsidRDefault="006B7292" w:rsidP="006B7292">
      <w:pPr>
        <w:pStyle w:val="TextoNormal"/>
      </w:pPr>
      <w:r w:rsidRPr="006B7292">
        <w:rPr>
          <w:rStyle w:val="NumeroAFNegritaCaracter"/>
        </w:rPr>
        <w:t>5</w:t>
      </w:r>
      <w:r>
        <w:t>. El Presidente del Congreso de los Diputados, mediante escrito que tuvo entrada el 30 de octubre de 2015, comunicó que la Mesa de la Cámara había acordado personarse en el proceso, ofreciendo su colaboración a los efectos del art. 88.1 LOTC. Lo mismo hizo el Presidente del Senado mediante escrito que tuvo entrada el 3 de noviembre de 2015.</w:t>
      </w:r>
    </w:p>
    <w:p w:rsidR="006B7292" w:rsidRDefault="006B7292" w:rsidP="006B7292">
      <w:pPr>
        <w:pStyle w:val="TextoNormal"/>
      </w:pPr>
    </w:p>
    <w:p w:rsidR="006B7292" w:rsidRDefault="006B7292" w:rsidP="006B7292">
      <w:pPr>
        <w:pStyle w:val="TextoNormal"/>
      </w:pPr>
      <w:r w:rsidRPr="006B7292">
        <w:rPr>
          <w:rStyle w:val="NumeroAFNegritaCaracter"/>
        </w:rPr>
        <w:t>6</w:t>
      </w:r>
      <w:r>
        <w:t>. El Abogado del Estado se persona y presenta alegaciones en escrito registrado el 17 de noviembre de 2015 solicitando la estimación de la cuestión de inconstitucionalidad presentada.</w:t>
      </w:r>
    </w:p>
    <w:p w:rsidR="006B7292" w:rsidRDefault="006B7292" w:rsidP="006B7292">
      <w:pPr>
        <w:pStyle w:val="TextoNormal"/>
      </w:pPr>
    </w:p>
    <w:p w:rsidR="006B7292" w:rsidRDefault="006B7292" w:rsidP="006B7292">
      <w:pPr>
        <w:pStyle w:val="TextoNormal"/>
      </w:pPr>
      <w:r>
        <w:t xml:space="preserve">Sostiene el Abogado del Estado, en primer término, que la autorización provisional que prevé el art. 65 </w:t>
      </w:r>
      <w:r w:rsidRPr="006B7292">
        <w:rPr>
          <w:i/>
        </w:rPr>
        <w:t>bis</w:t>
      </w:r>
      <w:r>
        <w:t>.1 de la Ley cántabra 2/2001 no es una verdadera autorización por cuanto ni implica una actividad de auténtica verificación o comprobación de la conformidad de la construcción con el planeamiento urbanístico, ni crea una situación definitiva, sino interina, ni persigue un interés público, sino particular, quedando además la situación creada sometida a término (caducidad, revocación o sustitución por licencia definitiva). En su opinión, la regulación persigue una adaptación del planeamiento a las condiciones de la edificación.</w:t>
      </w:r>
    </w:p>
    <w:p w:rsidR="006B7292" w:rsidRDefault="006B7292" w:rsidP="006B7292">
      <w:pPr>
        <w:pStyle w:val="TextoNormal"/>
      </w:pPr>
    </w:p>
    <w:p w:rsidR="006B7292" w:rsidRDefault="006B7292" w:rsidP="006B7292">
      <w:pPr>
        <w:pStyle w:val="TextoNormal"/>
      </w:pPr>
      <w:r>
        <w:t xml:space="preserve">Afirma, en segundo lugar, que el art. 65 </w:t>
      </w:r>
      <w:r w:rsidRPr="006B7292">
        <w:rPr>
          <w:i/>
        </w:rPr>
        <w:t>bis</w:t>
      </w:r>
      <w:r>
        <w:t>.1 en el inciso referido a las demoliciones judiciales, vulnera el derecho a la tutela judicial efectiva en su vertiente de derecho a la ejecución de las sentencias en sus propios términos. Señala, a estos efectos, que de acuerdo con la doctrina constitucional (SSTC 4/1988, 153/1992, y 73/2000), son contrarias al art. 24.1 en relación con los arts. 117.3 y 118 CE, las previsiones normativas que sacrifican, de forma desproporcionada, el pronunciamiento contenido en el fallo de una resolución judicial firme, de modo que de forma patente o manifiesta no exista la debida proporción entre el interés encarnado en la Ley y el concreto interés tutelado por el fallo a ejecutar, es decir, la debida proporción entre la finalidad perseguida y el sacrificio impuesto.</w:t>
      </w:r>
    </w:p>
    <w:p w:rsidR="006B7292" w:rsidRDefault="006B7292" w:rsidP="006B7292">
      <w:pPr>
        <w:pStyle w:val="TextoNormal"/>
      </w:pPr>
    </w:p>
    <w:p w:rsidR="006B7292" w:rsidRDefault="006B7292" w:rsidP="006B7292">
      <w:pPr>
        <w:pStyle w:val="TextoNormal"/>
      </w:pPr>
      <w:r>
        <w:t xml:space="preserve">Analizado el presente caso conforme a estos parámetros, el Abogado del Estado afirma que la Ley no pondera los intereses en juego ni calibra si la finalidad de la norma enjuiciada es proporcional al sacrificio que genera en el derecho fundamental a la tutela judicial efectiva y llega a la conclusión de que, en realidad, la previsión del art. 65 </w:t>
      </w:r>
      <w:r w:rsidRPr="006B7292">
        <w:rPr>
          <w:i/>
        </w:rPr>
        <w:t>bis</w:t>
      </w:r>
      <w:r>
        <w:t>.1 genera un sacrificio injustificado de la intangibilidad y de la debida ejecución del fallo por un título que no constituye sino una situación interina no apta para enervar la fuerza de una sentencia judicial firme.</w:t>
      </w:r>
    </w:p>
    <w:p w:rsidR="006B7292" w:rsidRDefault="006B7292" w:rsidP="006B7292">
      <w:pPr>
        <w:pStyle w:val="TextoNormal"/>
      </w:pPr>
    </w:p>
    <w:p w:rsidR="006B7292" w:rsidRDefault="006B7292" w:rsidP="006B7292">
      <w:pPr>
        <w:pStyle w:val="TextoNormal"/>
      </w:pPr>
      <w:r>
        <w:t>En tercer lugar, el Abogado del Estado argumenta que la regulación autonómica invade la competencia exclusiva del Estado en materia de legislación procesal por cuanto ésta abarca la regulación de la ejecución de las resoluciones judiciales. Y ello sin que, por otra parte, pueda considerarse que se trata de una norma especial que deriva de las particularidades del derecho sustantivo de la Comunidad Autónoma de Cantabria.</w:t>
      </w:r>
    </w:p>
    <w:p w:rsidR="006B7292" w:rsidRDefault="006B7292" w:rsidP="006B7292">
      <w:pPr>
        <w:pStyle w:val="TextoNormal"/>
      </w:pPr>
    </w:p>
    <w:p w:rsidR="006B7292" w:rsidRDefault="006B7292" w:rsidP="006B7292">
      <w:pPr>
        <w:pStyle w:val="TextoNormal"/>
      </w:pPr>
      <w:r>
        <w:t>Por último, el Abogado del Estado sostiene que la norma cuestionada invade la exclusividad de la potestad jurisdiccional consagrada en el art. 117.3 CE al quebrar el régimen uniforme de ejecución de las sentencias contencioso-administrativas reconociendo la facultad de interferir en la ejecución de un pronunciamiento de una sentencia contencioso-administrativa firme mediante una autorización que se opone y contradice el pronunciamiento jurisdiccional supeditando el ejercicio de la potestad judicial de ejecutar (art. 117.3 CE), la obligación de cumplir las sentencias firmes (art. 118 CE) y el derecho fundamental a la ejecución (art. 24 CE), a la concesión de una autorización provisional a la obra cuya demolición ordenó la jurisdicción.</w:t>
      </w:r>
    </w:p>
    <w:p w:rsidR="006B7292" w:rsidRDefault="006B7292" w:rsidP="006B7292">
      <w:pPr>
        <w:pStyle w:val="TextoNormal"/>
      </w:pPr>
    </w:p>
    <w:p w:rsidR="006B7292" w:rsidRDefault="006B7292" w:rsidP="006B7292">
      <w:pPr>
        <w:pStyle w:val="TextoNormal"/>
      </w:pPr>
      <w:r w:rsidRPr="006B7292">
        <w:rPr>
          <w:rStyle w:val="NumeroAFNegritaCaracter"/>
        </w:rPr>
        <w:t>7</w:t>
      </w:r>
      <w:r>
        <w:t>. El Letrado del Parlamento de Cantabria presenta su escrito de alegaciones el 24 de noviembre de 2015 en el que, en primer término, pone en entredicho que el planteamiento de la cuestión cumpla con el juicio de aplicabilidad y relevancia, pues, en su opinión, el contenido del fallo del litigio no ha de variar con independencia de si se declara o no inconstitucional la ley, ya que, en cualquier caso se va a restablecer la legalidad, pues la Ley del Parlamento de Cantabria persigue el restablecimiento evitando que se proceda a la demolición cuando se ha producido la modificación posterior del planeamiento de forma que lo construido se adecua ahora a él.</w:t>
      </w:r>
    </w:p>
    <w:p w:rsidR="006B7292" w:rsidRDefault="006B7292" w:rsidP="006B7292">
      <w:pPr>
        <w:pStyle w:val="TextoNormal"/>
      </w:pPr>
    </w:p>
    <w:p w:rsidR="006B7292" w:rsidRDefault="006B7292" w:rsidP="006B7292">
      <w:pPr>
        <w:pStyle w:val="TextoNormal"/>
      </w:pPr>
      <w:r>
        <w:t>Rechaza, en segundo lugar, que la Ley esté realmente previendo una suspensión de la ejecución de un fallo, pues considera que no interfiere en la legislación procesal ni en la resolución o ejecución del proceso, sino que se limita a prever una medida de restitución de la legalidad urbanística. La regulación tiene, además, a su juicio, amparo en las competencias que el Estatuto atribuye a la Comunidad Autónoma de Cantabria en materia de “organización, régimen y funcionamiento de sus instituciones de autogobierno” (art. 24.1 del Estatuto de Autonomía de Cantabria: EACant), “urbanismo y vivienda” (art. 24.3 EACant) y “procedimiento administrativo derivado de las especialidades de la organización propia” (art. 24.32 EACant).</w:t>
      </w:r>
    </w:p>
    <w:p w:rsidR="006B7292" w:rsidRDefault="006B7292" w:rsidP="006B7292">
      <w:pPr>
        <w:pStyle w:val="TextoNormal"/>
      </w:pPr>
    </w:p>
    <w:p w:rsidR="006B7292" w:rsidRDefault="006B7292" w:rsidP="006B7292">
      <w:pPr>
        <w:pStyle w:val="TextoNormal"/>
      </w:pPr>
      <w:r>
        <w:t>Defiende el Letrado del Parlamento de Cantabria que las autorizaciones provisionales no son legislación procesal, sino legislación urbanística, pues “la previsión y regulación de las “autorizaciones provisionales” es una clara manifestación de la gestión de los instrumentos planificadores y de la disciplina urbanística, como potestades que integran la materia urbanismo y que el Estatuto de Autonomía para Cantabria atribuye a la Comunidad Autónoma”. Y añade que “la ejecución de la sentencia también se produce cuando se adecua lo construido al planeamiento, sin que se suspenda el procedimiento judicial”.</w:t>
      </w:r>
    </w:p>
    <w:p w:rsidR="006B7292" w:rsidRDefault="006B7292" w:rsidP="006B7292">
      <w:pPr>
        <w:pStyle w:val="TextoNormal"/>
      </w:pPr>
    </w:p>
    <w:p w:rsidR="006B7292" w:rsidRDefault="006B7292" w:rsidP="006B7292">
      <w:pPr>
        <w:pStyle w:val="TextoNormal"/>
      </w:pPr>
      <w:r w:rsidRPr="006B7292">
        <w:rPr>
          <w:rStyle w:val="NumeroAFNegritaCaracter"/>
        </w:rPr>
        <w:t>8</w:t>
      </w:r>
      <w:r>
        <w:t>. El Gobierno de Cantabria formuló sus alegaciones por escrito registrado el 24 de noviembre de 2015.</w:t>
      </w:r>
    </w:p>
    <w:p w:rsidR="006B7292" w:rsidRDefault="006B7292" w:rsidP="006B7292">
      <w:pPr>
        <w:pStyle w:val="TextoNormal"/>
      </w:pPr>
    </w:p>
    <w:p w:rsidR="006B7292" w:rsidRDefault="006B7292" w:rsidP="006B7292">
      <w:pPr>
        <w:pStyle w:val="TextoNormal"/>
      </w:pPr>
      <w:r>
        <w:t xml:space="preserve">Expone los antecedentes del caso y sostiene que la autorización provisional que se regula en el art. 65 </w:t>
      </w:r>
      <w:r w:rsidRPr="006B7292">
        <w:rPr>
          <w:i/>
        </w:rPr>
        <w:t>bis</w:t>
      </w:r>
      <w:r>
        <w:t xml:space="preserve">.1 Ley 2/2001 es una nueva figura jurídica dirigida a conferir mayor eficacia a los planeamientos en tramitación mediante la anticipación parcial de sus efectos, con el fin de evitar causar perjuicios irreparables a los intereses de los particulares y al propio interés público. De esta forma, explica el Gobierno de Cantabria, se trata de una figura vinculada por un lado al planeamiento urbanístico, puesto que supone dar eficacia anticipada al planeamiento en tramitación, y, por otra, a la disciplina urbanística, por cuanto implica que no toda infracción de la legalidad ha de llevar aparejada la demolición de forma irremediable. Es decir, en su opinión, se trata de una regulación basada en el principio de proporcionalidad que trata de conjugar el equilibrio justo entre la garantía de los intereses públicos y el mantenimiento del </w:t>
      </w:r>
      <w:r w:rsidRPr="006B7292">
        <w:rPr>
          <w:i/>
        </w:rPr>
        <w:t>ius aedificandi</w:t>
      </w:r>
      <w:r>
        <w:t xml:space="preserve"> cuando ello es posible. No se aplica, dirá, indiscriminadamente a cualesquiera edificaciones o construcciones preexistentes, pues el “plan de derribos” de 2011 contempla en muchos casos la demolición como única vía para ejecutar las sentencias, mientras que el artículo 65 </w:t>
      </w:r>
      <w:r w:rsidRPr="006B7292">
        <w:rPr>
          <w:i/>
        </w:rPr>
        <w:t>bis</w:t>
      </w:r>
      <w:r>
        <w:t>.1 lo que regula es aquellos supuestos en que por medio de una ordenación que atienda al interés público sea posible legalizar la obra o edificación anteriormente ilegal.</w:t>
      </w:r>
    </w:p>
    <w:p w:rsidR="006B7292" w:rsidRDefault="006B7292" w:rsidP="006B7292">
      <w:pPr>
        <w:pStyle w:val="TextoNormal"/>
      </w:pPr>
    </w:p>
    <w:p w:rsidR="006B7292" w:rsidRDefault="006B7292" w:rsidP="006B7292">
      <w:pPr>
        <w:pStyle w:val="TextoNormal"/>
      </w:pPr>
      <w:r>
        <w:t xml:space="preserve">Destaca el Gobierno de Cantabria que el artículo 65 </w:t>
      </w:r>
      <w:r w:rsidRPr="006B7292">
        <w:rPr>
          <w:i/>
        </w:rPr>
        <w:t>bis</w:t>
      </w:r>
      <w:r>
        <w:t xml:space="preserve">.1 no concede ni otorga directamente autorización provisional alguna, sino que es una norma de carácter general que regula la posibilidad de otorgar autorizaciones provisionales. Por tanto, sostiene que el artículo 65 </w:t>
      </w:r>
      <w:r w:rsidRPr="006B7292">
        <w:rPr>
          <w:i/>
        </w:rPr>
        <w:t>bis</w:t>
      </w:r>
      <w:r>
        <w:t>.1 precisa de posteriores actos administrativos aplicativos y que serán las concretas autorizaciones provisionales que se otorguen al amparo de la norma las que puedan llegar a determinar, en su caso y si se dan los requisitos legalmente establecidos en la Ley reguladora de la jurisdicción contencioso-administrativa, la imposibilidad legal de proceder a la ejecución de una resolución judicial firme. En consecuencia, mantiene que esos actos administrativos concretos, esas autorizaciones provisionales que se otorguen en cada caso, sí son controlables y fiscalizables por los propios juzgados y tribunales contencioso-administrativos encargados de ejecutar las sentencias.</w:t>
      </w:r>
    </w:p>
    <w:p w:rsidR="006B7292" w:rsidRDefault="006B7292" w:rsidP="006B7292">
      <w:pPr>
        <w:pStyle w:val="TextoNormal"/>
      </w:pPr>
    </w:p>
    <w:p w:rsidR="006B7292" w:rsidRDefault="006B7292" w:rsidP="006B7292">
      <w:pPr>
        <w:pStyle w:val="TextoNormal"/>
      </w:pPr>
      <w:r>
        <w:t xml:space="preserve">Por último, el Gobierno de Cantabria considera que el artículo 65 </w:t>
      </w:r>
      <w:r w:rsidRPr="006B7292">
        <w:rPr>
          <w:i/>
        </w:rPr>
        <w:t>bis</w:t>
      </w:r>
      <w:r>
        <w:t xml:space="preserve">.1 no constituye, en ningún caso, norma de carácter procesal o que altere la legislación procesal o introduzca una causa de suspensión del procedimiento de ejecución judicial no previsto en la Ley reguladora de la jurisdicción contencioso-administrativa, pues entiende que es una norma sustantiva, urbanística, que regula una nueva figura o instrucción del derecho urbanístico autonómico “dirigida a conferir a los planeamientos en tramitación (mediante la anticipación parcial de sus efectos), con el fin último de evitar la causación de perjuicios irreparables a los propietarios de construcciones y, en muchos casos, al propio interés público”. En cualquier caso, estima que la pretendida suspensión de la ejecución procesal no nace o se deriva directamente de la Ley del Parlamento de Cantabria 4/2013, no es efecto inmediato y necesario de la aprobación y vigencia de la norma —artículo 65 </w:t>
      </w:r>
      <w:r w:rsidRPr="006B7292">
        <w:rPr>
          <w:i/>
        </w:rPr>
        <w:t>bis</w:t>
      </w:r>
      <w:r>
        <w:t>—, por lo que el vicio de inconstitucionalidad que se le imputa decae automáticamente. Lo que afecta a la ejecución de la sentencia, en su opinión, es, en su caso, la concreta autorización provisional que se otorgue por el ayuntamiento si se cumplen los requisitos necesarios para ello.</w:t>
      </w:r>
    </w:p>
    <w:p w:rsidR="006B7292" w:rsidRDefault="006B7292" w:rsidP="006B7292">
      <w:pPr>
        <w:pStyle w:val="TextoNormal"/>
      </w:pPr>
    </w:p>
    <w:p w:rsidR="006B7292" w:rsidRDefault="006B7292" w:rsidP="006B7292">
      <w:pPr>
        <w:pStyle w:val="TextoNormal"/>
      </w:pPr>
      <w:r>
        <w:t xml:space="preserve">Afirma el Gobierno de Cantabria que el Tribunal deberá tener en cuenta en la fase de ejecución de la sentencia la existencia de la autorización provisional y la posibilidad de que la misma constituya una causa de imposibilidad legal de ejecución, pero podrá controlar o incluso anular la autorización provisional de conformidad con lo dispuesto en el art. 103.4 LJCA. Es decir, el hecho de que la autorización provisional se haya otorgado de conformidad con el art. 65 </w:t>
      </w:r>
      <w:r w:rsidRPr="006B7292">
        <w:rPr>
          <w:i/>
        </w:rPr>
        <w:t>bis</w:t>
      </w:r>
      <w:r>
        <w:t xml:space="preserve"> no impide el control que el Tribunal puede y debe realizar </w:t>
      </w:r>
      <w:r w:rsidRPr="006B7292">
        <w:rPr>
          <w:i/>
        </w:rPr>
        <w:t>ex</w:t>
      </w:r>
      <w:r>
        <w:t xml:space="preserve"> art. 103.4 LJCA, esto es el examen de si la modificación del planeamiento tiene o no la única finalidad de convertir lo ilegal en legal sino la de atender racionalmente el interés público urbanístico.</w:t>
      </w:r>
    </w:p>
    <w:p w:rsidR="006B7292" w:rsidRDefault="006B7292" w:rsidP="006B7292">
      <w:pPr>
        <w:pStyle w:val="TextoNormal"/>
      </w:pPr>
    </w:p>
    <w:p w:rsidR="006B7292" w:rsidRDefault="006B7292" w:rsidP="006B7292">
      <w:pPr>
        <w:pStyle w:val="TextoNormal"/>
      </w:pPr>
      <w:r>
        <w:t>A diferencia del caso de la STC 92/2013, en el presente caso el Gobierno de Cantabria afirma que la Ley 4/2013 no incide per se de forma directa en la ejecución, sino que será, en su caso, la correspondiente autorización provisional la que lo haga y la misma estará sujeta al control jurisdiccional. Rechaza el Gobierno de Cantabria que la regulación resulte contraria al derecho a la tutela judicial efectiva pues el derecho a la ejecución de la sentencia en sus propios términos “no impide que en determinados supuestos ésta devenga legal o materialmente imposible, lo cual habrá de apreciarse por el órgano judicial en resolución motivada, pues el cumplimiento o ejecución de las Sentencias depende de las características de cada proceso y del contenido del fallo”, tal y como ha reconocido el Tribunal Constitucional (STC 73/2000, de 14 de marzo).</w:t>
      </w:r>
    </w:p>
    <w:p w:rsidR="006B7292" w:rsidRDefault="006B7292" w:rsidP="006B7292">
      <w:pPr>
        <w:pStyle w:val="TextoNormal"/>
      </w:pPr>
    </w:p>
    <w:p w:rsidR="006B7292" w:rsidRDefault="006B7292" w:rsidP="006B7292">
      <w:pPr>
        <w:pStyle w:val="TextoNormal"/>
      </w:pPr>
      <w:r>
        <w:t>Y, por último, afirma también que, en todo caso, no se sacrifica de forma desproporcionada el pronunciamiento contenido en el fallo. En primer lugar, señala que las autorizaciones provisionales tienen una vigencia máxima de cuatro años de duración que es un plazo razonable que no sacrifica indefinidamente el contenido del fallo. En segundo lugar, destaca que la finalidad es evitar la causación de perjuicios irreparables no solo a los propietarios de las viviendas, sino también y principalmente al interés público, dados los enormes costes que tendrían para las arcas públicas, no sólo locales sino también autonómicas, la demolición de las viviendas con orden de derribo y la indemnización a todos los propietarios. Señala que el cálculo estimado que todo ello tendría para la hacienda de la Comunidad Autónoma se fija en torno a unos 300.000.000 €. Y, en tercer lugar, defiende que además no se sacrifica de forma desproporcionada el interés del restablecimiento de la legalidad urbanística que subyace en el fallo de la Sentencia, pues estas autorizaciones solo se otorgan a aquellas edificaciones o construcciones preexistentes que resulten compatibles con la nueva ordenación urbanística contenida en el planeamiento en tramitación persiguiendo precisamente el restablecimiento de la legalidad urbanística.</w:t>
      </w:r>
    </w:p>
    <w:p w:rsidR="006B7292" w:rsidRDefault="006B7292" w:rsidP="006B7292">
      <w:pPr>
        <w:pStyle w:val="TextoNormal"/>
      </w:pPr>
    </w:p>
    <w:p w:rsidR="006B7292" w:rsidRDefault="006B7292" w:rsidP="006B7292">
      <w:pPr>
        <w:pStyle w:val="TextoNormal"/>
      </w:pPr>
      <w:r w:rsidRPr="006B7292">
        <w:rPr>
          <w:rStyle w:val="NumeroAFNegritaCaracter"/>
        </w:rPr>
        <w:t>9</w:t>
      </w:r>
      <w:r>
        <w:t>. La Fiscal General del Estado comparece mediante escrito registrado el 3 de diciembre de 2015 y formula sus alegaciones que apoyan el criterio de la Sala. Estima la Fiscal General del Estado que la norma cuestionada afecta, por un lado, al orden constitucional de distribución de competencias entre el Estado y la Comunidad Autónoma de Cantabria (art. 149.1.6 CE) y, por otro lado, al derecho fundamental a la ejecución de las sentencias en sus propios términos y a la garantía constitucional de integridad jurisdiccional de los jueces y tribunales (arts. 24 y 117.3 CE).</w:t>
      </w:r>
    </w:p>
    <w:p w:rsidR="006B7292" w:rsidRDefault="006B7292" w:rsidP="006B7292">
      <w:pPr>
        <w:pStyle w:val="TextoNormal"/>
      </w:pPr>
    </w:p>
    <w:p w:rsidR="006B7292" w:rsidRDefault="006B7292" w:rsidP="006B7292">
      <w:pPr>
        <w:pStyle w:val="TextoNormal"/>
      </w:pPr>
      <w:r>
        <w:t>En relación con el problema competencial, la Fiscal General del Estado pone de manifiesto que, a diferencia de otros Estatutos de Autonomía, el de Cantabria no contempla que el legislador autonómico pueda regular materia procesal. Por otra parte, en relación con el art. 117.3 CE afirma que la norma cuestionada está disponiendo la paralización de las ejecuciones ordenadas por los jueces y tribunales consistentes en el derribo de las edificaciones ilegalmente ejecutadas, con lo que está involucrándose en una función estrictamente jurisdiccional.</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 xml:space="preserve">Único. La presente cuestión de inconstitucionalidad ha sido promovida por el Juzgado de lo Contencioso-Administrativo núm. 1 de Santander en relación con el art. 65 bis.1 de la Ley del Parlamento de Cantabria 2/2001, de 25 de junio, de ordenación territorial y de régimen urbanístico del suelo de Cantabria, introducido por la Ley 4/2013, de 20 de junio, inciso “o judiciales”, en relación con los efectos previstos en los apartados 2 y 3. El art. 65 </w:t>
      </w:r>
      <w:r w:rsidRPr="006B7292">
        <w:rPr>
          <w:i/>
        </w:rPr>
        <w:t>bis</w:t>
      </w:r>
      <w:r>
        <w:t>.1 dispone que</w:t>
      </w:r>
    </w:p>
    <w:p w:rsidR="006B7292" w:rsidRDefault="006B7292" w:rsidP="006B7292">
      <w:pPr>
        <w:pStyle w:val="TextoNormal"/>
      </w:pPr>
    </w:p>
    <w:p w:rsidR="006B7292" w:rsidRDefault="006B7292" w:rsidP="006B7292">
      <w:pPr>
        <w:pStyle w:val="TextoNormal"/>
      </w:pPr>
      <w:r>
        <w:t>“Iniciado el procedimiento dirigido a la formación, modificación o revisión de los planes urbanísticos y demás instrumentos de planeamiento, y para impedir que se generen perjuicios irreparables al interés público o a los propietarios de edificaciones o actuaciones que, habiendo sido previamente declaradas ilegales y sobre las que hubiesen recaído órdenes de demolición administrativas o judiciales, puedan resultar conformes con la nueva ordenación que se está tramitando, el órgano municipal competente para aprobar inicialmente el plan podrá otorgar, de oficio o a instancia de los interesados, autorizaciones provisionales que afecten a dichas edificaciones o actuaciones preexistentes, previa comprobación de que resultan conformes con el nuevo planeamiento municipal en tramitación. Si el procedimiento se inicia a solicitud del interesado, transcurrido el plazo de tres meses sin haberse notificado resolución alguna podrá entender desestimada su petición.”</w:t>
      </w:r>
    </w:p>
    <w:p w:rsidR="006B7292" w:rsidRDefault="006B7292" w:rsidP="006B7292">
      <w:pPr>
        <w:pStyle w:val="TextoNormal"/>
      </w:pPr>
    </w:p>
    <w:p w:rsidR="006B7292" w:rsidRDefault="006B7292" w:rsidP="006B7292">
      <w:pPr>
        <w:pStyle w:val="TextoNormal"/>
      </w:pPr>
      <w:r>
        <w:t>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24.1 y 117.3 CE que consagran, respectivamente, el derecho a la tutela judicial efectiva y, por tanto, también, su vertiente de derecho a la ejecución de sentencias, y la potestad exclusiva de jueces y tribunales para ejecutar lo juzgado.</w:t>
      </w:r>
    </w:p>
    <w:p w:rsidR="006B7292" w:rsidRDefault="006B7292" w:rsidP="006B7292">
      <w:pPr>
        <w:pStyle w:val="TextoNormal"/>
      </w:pPr>
    </w:p>
    <w:p w:rsidR="006B7292" w:rsidRDefault="006B7292" w:rsidP="006B7292">
      <w:pPr>
        <w:pStyle w:val="TextoNormal"/>
      </w:pPr>
      <w:r>
        <w:t xml:space="preserve">Este Tribunal, en su reciente STC 254/2015, de 30 de noviembre, estimatoria de la cuestión de inconstitucionalidad núm. 6860-2014, dictada con posterioridad a que la presente cuestión fuera admitida a trámite, ha declarado inconstitucional y nulo el inciso “o judiciales” del art. 65 </w:t>
      </w:r>
      <w:r w:rsidRPr="006B7292">
        <w:rPr>
          <w:i/>
        </w:rPr>
        <w:t>bis</w:t>
      </w:r>
      <w:r>
        <w:t>.1 de la Ley 2/2001, de 25 de junio, de ordenación territorial y de régimen urbanístico del suelo de Cantabria, introducido por la Ley del Parlamento de Cantabria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w:t>
      </w:r>
    </w:p>
    <w:p w:rsidR="006B7292" w:rsidRDefault="006B7292" w:rsidP="006B7292">
      <w:pPr>
        <w:pStyle w:val="TextoNormal"/>
      </w:pPr>
    </w:p>
    <w:p w:rsidR="006B7292" w:rsidRDefault="006B7292" w:rsidP="006B7292">
      <w:pPr>
        <w:pStyle w:val="TextoNormal"/>
      </w:pPr>
      <w:r>
        <w:t>Se sigue de ello que el referido inciso ha sido expulsado del ordenamiento, una vez anulado por inconstitucional, lo que impone ahora apreciar, conforme a reiterada doctrina de este Tribunal (por todos, ATC 28/2015, de 16 de febrero, FJ único) la desaparición sobrevenida del objeto de la presente cuestión, al haber quedado disipada la duda de constitucionalidad planteada por el órgano judicial.</w:t>
      </w:r>
    </w:p>
    <w:p w:rsidR="006B7292" w:rsidRDefault="006B7292" w:rsidP="006B7292">
      <w:pPr>
        <w:pStyle w:val="TextoNormal"/>
      </w:pPr>
    </w:p>
    <w:p w:rsidR="006B7292" w:rsidRDefault="006B7292" w:rsidP="006B7292">
      <w:pPr>
        <w:pStyle w:val="TextoNormal"/>
      </w:pPr>
      <w:r>
        <w:t>Por todo lo expuesto, la Sala</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Declarar la extinción de la cuestión de inconstitucionalidad núm. 4651-2015, por desaparición sobrevenida de su objeto.</w:t>
      </w:r>
    </w:p>
    <w:p w:rsidR="006B7292" w:rsidRDefault="006B7292" w:rsidP="006B7292">
      <w:pPr>
        <w:pStyle w:val="TextoNormal"/>
      </w:pPr>
    </w:p>
    <w:p w:rsidR="006B7292" w:rsidRDefault="006B7292" w:rsidP="006B7292">
      <w:pPr>
        <w:pStyle w:val="TextoNormal"/>
      </w:pPr>
      <w:r>
        <w:t>Madrid, a catorce de diciembre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32" w:name="AUTO_2015_218"/>
      <w:r>
        <w:t>AUTO 218/2015, de 14 de diciembre de 2015</w:t>
      </w:r>
    </w:p>
    <w:bookmarkEnd w:id="232"/>
    <w:p w:rsidR="006B7292" w:rsidRDefault="006B7292" w:rsidP="006B7292">
      <w:pPr>
        <w:pStyle w:val="TtuloResolucin"/>
      </w:pPr>
      <w:r>
        <w:t>Sala Primera</w:t>
      </w:r>
    </w:p>
    <w:p w:rsidR="006B7292" w:rsidRDefault="006B7292" w:rsidP="006B7292">
      <w:pPr>
        <w:pStyle w:val="TextoNormalCentrado"/>
      </w:pPr>
      <w:r>
        <w:t>ECLI:ES:TC:2015:218A</w:t>
      </w:r>
    </w:p>
    <w:p w:rsidR="006B7292" w:rsidRDefault="006B7292" w:rsidP="006B7292">
      <w:pPr>
        <w:pStyle w:val="TextoNormalCentrado"/>
      </w:pPr>
    </w:p>
    <w:p w:rsidR="006B7292" w:rsidRDefault="006B7292" w:rsidP="006B7292">
      <w:pPr>
        <w:pStyle w:val="SntesisDescriptiva"/>
      </w:pPr>
      <w:r>
        <w:t>Excms. Srs. don Francisco Pérez de los Cobos Orihuel, doña Encarnación Roca Trías, don Andrés Ollero Tassara, don Santiago Martínez-Vares García y don Juan Antonio Xiol Ríos.</w:t>
      </w:r>
    </w:p>
    <w:p w:rsidR="006B7292" w:rsidRDefault="006B7292" w:rsidP="006B7292">
      <w:pPr>
        <w:pStyle w:val="SntesisDescriptiva"/>
      </w:pPr>
    </w:p>
    <w:p w:rsidR="006B7292" w:rsidRDefault="006B7292" w:rsidP="006B7292">
      <w:pPr>
        <w:pStyle w:val="SntesisDescriptiva"/>
      </w:pPr>
      <w:r>
        <w:t>Acuerda la extinción, por desaparición sobrevenida de objeto, de la cuestión de inconstitucionalidad 4696-2015, planteada por la Sala de lo Contencioso-Administrativo del Tribunal Superior de Justicia de Cantabria en relación con el artículo 65 bis.1 de la Ley 2/2001, de 25 de junio, de ordenación territorial y del régimen urbanístico del suelo de Cantabria.</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xml:space="preserve">. Por escrito registrado en este Tribunal el 4 de agosto de 2015, la Sala de lo Contencioso-Administrativo del Tribunal Superior de Justicia de Cantabria remitió testimonio del Auto de 20 de julio de 2015 por el que se acordó plantear cuestión de inconstitucionalidad en relación con el art. 65 </w:t>
      </w:r>
      <w:r w:rsidRPr="006B7292">
        <w:rPr>
          <w:i/>
        </w:rPr>
        <w:t>bis</w:t>
      </w:r>
      <w:r>
        <w:t>.1 de la Ley 2/2001, de 25 de junio, de ordenación territorial y del régimen urbanístico del suelo de Cantabria, añadido por el art. 1 de la Ley 4/2013, de 20 de junio, en cuanto dice “órdenes de demolición judiciales”, por posible vulneración de los arts. 24, 117.3 y 149.1.6 CE.</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de hecho del planteamiento de la presente cuestión de inconstitucionalidad son, sucintamente expuestos, los siguientes:</w:t>
      </w:r>
    </w:p>
    <w:p w:rsidR="006B7292" w:rsidRDefault="006B7292" w:rsidP="006B7292">
      <w:pPr>
        <w:pStyle w:val="TextoNormal"/>
      </w:pPr>
    </w:p>
    <w:p w:rsidR="006B7292" w:rsidRDefault="006B7292" w:rsidP="006B7292">
      <w:pPr>
        <w:pStyle w:val="TextoNormal"/>
      </w:pPr>
      <w:r>
        <w:t>a) Por Sentencia de 19 de julio de 2000, la Sala de lo Contencioso-Administrativo del Tribunal Superior de Justicia de Cantabria (confirmada por Sentencia del Tribunal Supremo de 14 de enero de 2003) estimó el recurso contencioso-administrativo núm. 1996-1998 y declaró la nulidad de la resolución recurrida y la obligación del Ayuntamiento de Argoños de demoler 21 viviendas en dicho municipio.</w:t>
      </w:r>
    </w:p>
    <w:p w:rsidR="006B7292" w:rsidRDefault="006B7292" w:rsidP="006B7292">
      <w:pPr>
        <w:pStyle w:val="TextoNormal"/>
      </w:pPr>
    </w:p>
    <w:p w:rsidR="006B7292" w:rsidRDefault="006B7292" w:rsidP="006B7292">
      <w:pPr>
        <w:pStyle w:val="TextoNormal"/>
      </w:pPr>
      <w:r>
        <w:t>b) La parte recurrente instó la ejecución de la referida Sentencia.</w:t>
      </w:r>
    </w:p>
    <w:p w:rsidR="006B7292" w:rsidRDefault="006B7292" w:rsidP="006B7292">
      <w:pPr>
        <w:pStyle w:val="TextoNormal"/>
      </w:pPr>
    </w:p>
    <w:p w:rsidR="006B7292" w:rsidRDefault="006B7292" w:rsidP="006B7292">
      <w:pPr>
        <w:pStyle w:val="TextoNormal"/>
      </w:pPr>
      <w:r>
        <w:t>c) El Ayuntamiento de Argoños promovió el 25 de junio de 2013 el incidente procesal previsto en el art. 105 de la Ley reguladora de la jurisdicción contencioso-administrativa (LJCA) solicitando que la Sala acordara la inejecutabilidad de la Sentencia recaída. Oídas las partes, la Sala dictó Auto el 1 de septiembre de 2014 (confirmado en reposición) acordando no haber lugar a lo solicitado por el ayuntamiento.</w:t>
      </w:r>
    </w:p>
    <w:p w:rsidR="006B7292" w:rsidRDefault="006B7292" w:rsidP="006B7292">
      <w:pPr>
        <w:pStyle w:val="TextoNormal"/>
      </w:pPr>
    </w:p>
    <w:p w:rsidR="006B7292" w:rsidRDefault="006B7292" w:rsidP="006B7292">
      <w:pPr>
        <w:pStyle w:val="TextoNormal"/>
      </w:pPr>
      <w:r>
        <w:t xml:space="preserve">d) El Ayuntamiento de Argoños promovió el 22 de mayo de 2015 el incidente procesal previsto en el art. 109 LJCA, interesando de la Sala que acordase la inejecutabilidad de la Sentencia recaída, en tanto se cumplan las condiciones del art. 65 </w:t>
      </w:r>
      <w:r w:rsidRPr="006B7292">
        <w:rPr>
          <w:i/>
        </w:rPr>
        <w:t>bis</w:t>
      </w:r>
      <w:r>
        <w:t>.1 de la Ley 2/2001, de 25 de junio, de ordenación territorial y del régimen urbanístico del suelo de Cantabria, añadido por el art. 1 de la Ley 4/2013, de 20 de junio.</w:t>
      </w:r>
    </w:p>
    <w:p w:rsidR="006B7292" w:rsidRDefault="006B7292" w:rsidP="006B7292">
      <w:pPr>
        <w:pStyle w:val="TextoNormal"/>
      </w:pPr>
    </w:p>
    <w:p w:rsidR="006B7292" w:rsidRDefault="006B7292" w:rsidP="006B7292">
      <w:pPr>
        <w:pStyle w:val="TextoNormal"/>
      </w:pPr>
      <w:r>
        <w:t xml:space="preserve">e) A la vista de lo solicitado por el Ayuntamiento de Argoños, la Sala de lo Contencioso-Administrativo del Tribunal Superior de Justicia de Cantabria, mediante providencia de 28 de mayo de 2015, acordó en virtud del art. 35.2 de la Ley Orgánica del Tribunal Constitucional (LOTC), con suspensión del plazo para dictar resolución, oír a las partes sobre la posible inconstitucionalidad del art. 65 </w:t>
      </w:r>
      <w:r w:rsidRPr="006B7292">
        <w:rPr>
          <w:i/>
        </w:rPr>
        <w:t>bis</w:t>
      </w:r>
      <w:r>
        <w:t>.1 de la Ley 2/2001, de 25 de junio, de ordenación territorial y del régimen urbanístico del suelo de Cantabria, añadido por el art. 1 de la Ley 4/2013, de 20 de junio, en la parte que se refiere a las órdenes de demolición judicial. Entendía que este inciso del precepto legal pudiera ser contrario a los arts. 24, 117.3 y 149.1.6 CE.</w:t>
      </w:r>
    </w:p>
    <w:p w:rsidR="006B7292" w:rsidRDefault="006B7292" w:rsidP="006B7292">
      <w:pPr>
        <w:pStyle w:val="TextoNormal"/>
      </w:pPr>
    </w:p>
    <w:p w:rsidR="006B7292" w:rsidRDefault="006B7292" w:rsidP="006B7292">
      <w:pPr>
        <w:pStyle w:val="TextoNormal"/>
      </w:pPr>
      <w:r>
        <w:t>f) Oídas las partes personadas, la Sala de lo Contencioso-Administrativo del Tribunal Superior de Justicia de Cantabria, mediante Auto de 20 de julio de 2015, acordó plantear cuestión de inconstitucionalidad sobre el precepto citado.</w:t>
      </w:r>
    </w:p>
    <w:p w:rsidR="006B7292" w:rsidRDefault="006B7292" w:rsidP="006B7292">
      <w:pPr>
        <w:pStyle w:val="TextoNormal"/>
      </w:pPr>
    </w:p>
    <w:p w:rsidR="006B7292" w:rsidRDefault="006B7292" w:rsidP="006B7292">
      <w:pPr>
        <w:pStyle w:val="TextoNormal"/>
      </w:pPr>
      <w:r w:rsidRPr="006B7292">
        <w:rPr>
          <w:rStyle w:val="NumeroAFNegritaCaracter"/>
        </w:rPr>
        <w:t>3</w:t>
      </w:r>
      <w:r>
        <w:t>. En cuanto al contenido del Auto de planteamiento importa destacar lo siguiente:</w:t>
      </w:r>
    </w:p>
    <w:p w:rsidR="006B7292" w:rsidRDefault="006B7292" w:rsidP="006B7292">
      <w:pPr>
        <w:pStyle w:val="TextoNormal"/>
      </w:pPr>
    </w:p>
    <w:p w:rsidR="006B7292" w:rsidRDefault="006B7292" w:rsidP="006B7292">
      <w:pPr>
        <w:pStyle w:val="TextoNormal"/>
      </w:pPr>
      <w:r>
        <w:t>Tras exponer los hechos que han dado lugar al planteamiento de la cuestión y justificar que el precepto cuestionado, al ser la norma en la que se fundamenta el incidente por el que se solicita la suspensión de la ejecución de la Sentencia, es relevante para el fallo, entra a analizar las razones por las que duda de su constitucionalidad.</w:t>
      </w:r>
    </w:p>
    <w:p w:rsidR="006B7292" w:rsidRDefault="006B7292" w:rsidP="006B7292">
      <w:pPr>
        <w:pStyle w:val="TextoNormal"/>
      </w:pPr>
    </w:p>
    <w:p w:rsidR="006B7292" w:rsidRDefault="006B7292" w:rsidP="006B7292">
      <w:pPr>
        <w:pStyle w:val="TextoNormal"/>
      </w:pPr>
      <w:r>
        <w:t xml:space="preserve">Según se afirma en esta resolución, el art. 65 </w:t>
      </w:r>
      <w:r w:rsidRPr="006B7292">
        <w:rPr>
          <w:i/>
        </w:rPr>
        <w:t>bis</w:t>
      </w:r>
      <w:r>
        <w:t>.1 de la Ley de ordenación territorial y del régimen urbanístico del suelo de Cantabria, en la parte que se refiere a las órdenes de demolición judiciales, puede ser lesivo del art. 149.1.6 CE, así como del derecho a la ejecución de sentencias que garantiza el art. 24 CE y del art. 117.3 CE.</w:t>
      </w:r>
    </w:p>
    <w:p w:rsidR="006B7292" w:rsidRDefault="006B7292" w:rsidP="006B7292">
      <w:pPr>
        <w:pStyle w:val="TextoNormal"/>
      </w:pPr>
    </w:p>
    <w:p w:rsidR="006B7292" w:rsidRDefault="006B7292" w:rsidP="006B7292">
      <w:pPr>
        <w:pStyle w:val="TextoNormal"/>
      </w:pPr>
      <w:r>
        <w:t>La Sala sostiene, en primer lugar, que el referido precepto, al establecer que “durante el tiempo en el que estén vigentes las autorizaciones provisionales las edificaciones afectadas se mantendrán en la situación en la que se encuentren y les será de aplicación el régimen previsto para los edificios de fuera de ordenación”, está introduciendo una causa de suspensión de la ejecución de las sentencias que vulnera las competencias que el art. 149.1.6 CE atribuye al Estado en materia de legislación procesal.</w:t>
      </w:r>
    </w:p>
    <w:p w:rsidR="006B7292" w:rsidRDefault="006B7292" w:rsidP="006B7292">
      <w:pPr>
        <w:pStyle w:val="TextoNormal"/>
      </w:pPr>
    </w:p>
    <w:p w:rsidR="006B7292" w:rsidRDefault="006B7292" w:rsidP="006B7292">
      <w:pPr>
        <w:pStyle w:val="TextoNormal"/>
      </w:pPr>
      <w:r>
        <w:t>También considera que la autorización provisional que establece el precepto cuestionado, al impedir la demolición acordada en la Sentencia, es contraria al derecho a la ejecución de sentencias, que forma parte del derecho fundamental a la tutela judicial efectiva (art. 24.1 CE), y puede lesionar el art 117.3 CE, ya que permite a la Administración frustrar el cumplimiento del fallo de la Sentencia.</w:t>
      </w:r>
    </w:p>
    <w:p w:rsidR="006B7292" w:rsidRDefault="006B7292" w:rsidP="006B7292">
      <w:pPr>
        <w:pStyle w:val="TextoNormal"/>
      </w:pPr>
    </w:p>
    <w:p w:rsidR="006B7292" w:rsidRDefault="006B7292" w:rsidP="006B7292">
      <w:pPr>
        <w:pStyle w:val="TextoNormal"/>
      </w:pPr>
      <w:r>
        <w:t>En el Auto de planteamiento se invoca la doctrina establecida en la STC 82/2014, de 28 de mayo. En ella se considera contrario a la competencia estatal en materia de legislación procesal que el legislador autonómico establezca una causa de suspensión o aplazamiento de la ejecución de las sentencias que han de ejecutarse mediante el derribo de las edificaciones. Ha apreciado también que, en la medida en que la efectividad de la demolición judicialmente acordada depende de que la Administración resuelva un procedimiento de responsabilidad patrimonial y, en su caso, se abone la indemnización acordada al perjudicado, “la ejecución de la Sentencia termina por escapar del control judicial, único competente para hacer ejecutar lo juzgado a tenor de lo dispuesto en el art. 117.3 CE”.</w:t>
      </w:r>
    </w:p>
    <w:p w:rsidR="006B7292" w:rsidRDefault="006B7292" w:rsidP="006B7292">
      <w:pPr>
        <w:pStyle w:val="TextoNormal"/>
      </w:pPr>
    </w:p>
    <w:p w:rsidR="006B7292" w:rsidRDefault="006B7292" w:rsidP="006B7292">
      <w:pPr>
        <w:pStyle w:val="TextoNormal"/>
      </w:pPr>
      <w:r>
        <w:t xml:space="preserve">Las anteriores consideraciones llevan a la Sala a plantear cuestión de inconstitucionalidad en relación con el art. 65 </w:t>
      </w:r>
      <w:r w:rsidRPr="006B7292">
        <w:rPr>
          <w:i/>
        </w:rPr>
        <w:t>bis</w:t>
      </w:r>
      <w:r>
        <w:t>.1 de la Ley 2/2001, de 25 de junio, de ordenación territorial y del régimen urbanístico, añadido por el art. 1 de la Ley 4/2013, en la parte que se refiere a las órdenes de demolición judiciales.</w:t>
      </w:r>
    </w:p>
    <w:p w:rsidR="006B7292" w:rsidRDefault="006B7292" w:rsidP="006B7292">
      <w:pPr>
        <w:pStyle w:val="TextoNormal"/>
      </w:pPr>
    </w:p>
    <w:p w:rsidR="006B7292" w:rsidRDefault="006B7292" w:rsidP="006B7292">
      <w:pPr>
        <w:pStyle w:val="TextoNormal"/>
      </w:pPr>
      <w:r w:rsidRPr="006B7292">
        <w:rPr>
          <w:rStyle w:val="NumeroAFNegritaCaracter"/>
        </w:rPr>
        <w:t>4</w:t>
      </w:r>
      <w:r>
        <w:t>. El Pleno de este Tribunal, a propuesta de la Sección Segunda, acordó por providencia de 6 de octubre de 2015 admitir a trámite la cuestión de inconstitucionalidad, deferir su conocimiento a la Sala Primera, a la que por turno objetivo ha correspondido, y dar traslado de las actuaciones al Congreso de los Diputados y al Senado por conducto de sus Presidentes, al Gobierno por conducto del Ministro de Justicia, y al Fiscal General del Estado, así como al Gobierno y al Parlamento de Cantabria por conducto de sus Presidentes, al objeto de que, en el improrrogable plazo de quince días, pudieran personarse en el proceso y formular las alegaciones que estimasen convenientes. Asimismo se acordó comunicar la admisión al órgano judicial proponente a fin de que, de conformidad con el art. 35.3 LOTC, permaneciera suspendido el proceso judicial hasta que se resolviera la cuestión. En la misma providencia acordó este Tribunal publicar la incoación de la cuestión de inconstitucionalidad en el “Boletín Oficial del Estado” y en el “Boletín Oficial de Cantabria”.</w:t>
      </w:r>
    </w:p>
    <w:p w:rsidR="006B7292" w:rsidRDefault="006B7292" w:rsidP="006B7292">
      <w:pPr>
        <w:pStyle w:val="TextoNormal"/>
      </w:pPr>
    </w:p>
    <w:p w:rsidR="006B7292" w:rsidRDefault="006B7292" w:rsidP="006B7292">
      <w:pPr>
        <w:pStyle w:val="TextoNormal"/>
      </w:pPr>
      <w:r w:rsidRPr="006B7292">
        <w:rPr>
          <w:rStyle w:val="NumeroAFNegritaCaracter"/>
        </w:rPr>
        <w:t>5</w:t>
      </w:r>
      <w:r>
        <w:t>. El Presidente del Congreso, mediante escrito que tuvo entrada en el Registro General del Tribunal el 15 de octubre de 2015, comunicó que la Mesa de esta Cámara había acordado personarse en el proceso, ofreciendo su colaboración a los efectos del art. 88.1 LOTC. Lo mismo hizo el Presidente del Senado por escrito registrado en este Tribunal el 27 de octubre de 2015.</w:t>
      </w:r>
    </w:p>
    <w:p w:rsidR="006B7292" w:rsidRDefault="006B7292" w:rsidP="006B7292">
      <w:pPr>
        <w:pStyle w:val="TextoNormal"/>
      </w:pPr>
    </w:p>
    <w:p w:rsidR="006B7292" w:rsidRDefault="006B7292" w:rsidP="006B7292">
      <w:pPr>
        <w:pStyle w:val="TextoNormal"/>
      </w:pPr>
      <w:r w:rsidRPr="006B7292">
        <w:rPr>
          <w:rStyle w:val="NumeroAFNegritaCaracter"/>
        </w:rPr>
        <w:t>6</w:t>
      </w:r>
      <w:r>
        <w:t>. El Abogado del Estado se personó y presentó su escrito de alegaciones el 21 de octubre de 2015, solicitando la estimación de la cuestión de inconstitucionalidad.</w:t>
      </w:r>
    </w:p>
    <w:p w:rsidR="006B7292" w:rsidRDefault="006B7292" w:rsidP="006B7292">
      <w:pPr>
        <w:pStyle w:val="TextoNormal"/>
      </w:pPr>
    </w:p>
    <w:p w:rsidR="006B7292" w:rsidRDefault="006B7292" w:rsidP="006B7292">
      <w:pPr>
        <w:pStyle w:val="TextoNormal"/>
      </w:pPr>
      <w:r>
        <w:t xml:space="preserve">Sostiene, en primer término, que la autorización provisional que prevé el art. 65 </w:t>
      </w:r>
      <w:r w:rsidRPr="006B7292">
        <w:rPr>
          <w:i/>
        </w:rPr>
        <w:t>bis</w:t>
      </w:r>
      <w:r>
        <w:t>.1 de la Ley cántabra 2/2001 no es una verdadera autorización por cuanto ni implica una actividad de auténtica verificación o comprobación de la conformidad de la construcción con el planeamiento urbanístico, ni crea una situación definitiva, sino interina, ni persigue un interés público, sino particular, quedando además la situación creada sometida a término (caducidad, revocación o sustitución por licencia definitiva). En su opinión, la regulación persigue una adaptación del planeamiento a las condiciones de la edificación.</w:t>
      </w:r>
    </w:p>
    <w:p w:rsidR="006B7292" w:rsidRDefault="006B7292" w:rsidP="006B7292">
      <w:pPr>
        <w:pStyle w:val="TextoNormal"/>
      </w:pPr>
    </w:p>
    <w:p w:rsidR="006B7292" w:rsidRDefault="006B7292" w:rsidP="006B7292">
      <w:pPr>
        <w:pStyle w:val="TextoNormal"/>
      </w:pPr>
      <w:r>
        <w:t xml:space="preserve">Afirma, en segundo lugar, que el art. 65 </w:t>
      </w:r>
      <w:r w:rsidRPr="006B7292">
        <w:rPr>
          <w:i/>
        </w:rPr>
        <w:t>bis</w:t>
      </w:r>
      <w:r>
        <w:t>.1, en el inciso referido a las demoliciones judiciales, vulnera el derecho a la tutela judicial efectiva en su vertiente de derecho a la ejecución de las sentencias en sus propios términos. Señala, a estos efectos, que de acuerdo con la doctrina constitucional, son contrarias al art. 24.1 CE, en relación con los arts. 117.3 y 118 CE, las previsiones normativas que sacrifican, de forma desproporcionada, el pronunciamiento contenido en el fallo de una resolución judicial firme, de modo que de forma patente o manifiesta no exista la debida proporción entre el interés encarnado en la Ley y el concreto interés tutelado por el fallo a ejecutar, es decir, la debida proporción entre la finalidad perseguida y el sacrificio impuesto.</w:t>
      </w:r>
    </w:p>
    <w:p w:rsidR="006B7292" w:rsidRDefault="006B7292" w:rsidP="006B7292">
      <w:pPr>
        <w:pStyle w:val="TextoNormal"/>
      </w:pPr>
    </w:p>
    <w:p w:rsidR="006B7292" w:rsidRDefault="006B7292" w:rsidP="006B7292">
      <w:pPr>
        <w:pStyle w:val="TextoNormal"/>
      </w:pPr>
      <w:r>
        <w:t xml:space="preserve">Analizado el presente caso conforme a estos parámetros, el Abogado del Estado afirma que ni la ley ni la defensa que de ella hace la Comunidad Autónoma ponderan debidamente los intereses en juego, sin que se advierta por qué razón el interés en conservar las edificaciones declaradas ilegales se antepone a la ejecución de las resoluciones judiciales firmes. Llega a la conclusión de que, en realidad, la previsión del artículo 65 </w:t>
      </w:r>
      <w:r w:rsidRPr="006B7292">
        <w:rPr>
          <w:i/>
        </w:rPr>
        <w:t>bis</w:t>
      </w:r>
      <w:r>
        <w:t>.1 genera un sacrificio injustificado de la intangibilidad y de la debida ejecución del fallo, por un título que no constituye sino una situación interina no apta para enervar la fuerza de una sentencia judicial firme.</w:t>
      </w:r>
    </w:p>
    <w:p w:rsidR="006B7292" w:rsidRDefault="006B7292" w:rsidP="006B7292">
      <w:pPr>
        <w:pStyle w:val="TextoNormal"/>
      </w:pPr>
    </w:p>
    <w:p w:rsidR="006B7292" w:rsidRDefault="006B7292" w:rsidP="006B7292">
      <w:pPr>
        <w:pStyle w:val="TextoNormal"/>
      </w:pPr>
      <w:r>
        <w:t>En tercer lugar, argumenta que la regulación autonómica invade la competencia exclusiva del Estado en materia de legislación procesal (art. 149.1.6 CE), por cuanto ésta abarca la regulación de la ejecución de las resoluciones judiciales. Ello sin que, por otra parte, pueda considerarse que se trata de una norma especial que deriva de las particularidades del derecho sustantivo de la Comunidad Autónoma de Cantabria.</w:t>
      </w:r>
    </w:p>
    <w:p w:rsidR="006B7292" w:rsidRDefault="006B7292" w:rsidP="006B7292">
      <w:pPr>
        <w:pStyle w:val="TextoNormal"/>
      </w:pPr>
    </w:p>
    <w:p w:rsidR="006B7292" w:rsidRDefault="006B7292" w:rsidP="006B7292">
      <w:pPr>
        <w:pStyle w:val="TextoNormal"/>
      </w:pPr>
      <w:r>
        <w:t>Por último, sostiene que la norma cuestionada invade la exclusividad de la potestad jurisdiccional consagrada en el art. 117.3 CE al quebrar el régimen uniforme de ejecución de las sentencias contencioso-administrativas reconociendo la facultad de interferir en la ejecución de un pronunciamiento de una sentencia contencioso-administrativa firme mediante una autorización que se opone y contradice el pronunciamiento jurisdiccional; se supedita así el ejercicio de la potestad judicial de ejecutar (art. 117.3 CE), la obligación de cumplir las sentencias firmes (art. 118 CE) y el derecho fundamental a la ejecución (art. 24 CE), a la concesión de una autorización provisional a la obra cuya demolición ordenó la jurisdicción.</w:t>
      </w:r>
    </w:p>
    <w:p w:rsidR="006B7292" w:rsidRDefault="006B7292" w:rsidP="006B7292">
      <w:pPr>
        <w:pStyle w:val="TextoNormal"/>
      </w:pPr>
    </w:p>
    <w:p w:rsidR="006B7292" w:rsidRDefault="006B7292" w:rsidP="006B7292">
      <w:pPr>
        <w:pStyle w:val="TextoNormal"/>
      </w:pPr>
      <w:r w:rsidRPr="006B7292">
        <w:rPr>
          <w:rStyle w:val="NumeroAFNegritaCaracter"/>
        </w:rPr>
        <w:t>7</w:t>
      </w:r>
      <w:r>
        <w:t>. La Fiscal General del Estado compareció y formuló alegaciones mediante escrito registrado el 27 de octubre de 2015, interesando también la estimación de la cuestión de inconstitucionalidad, por entender que la norma cuestionada quebranta el orden constitucional de distribución de competencias al infringir el art. 149.1.6 CE y, además, infringe el derecho a la ejecución de las sentencias en sus propios términos (art. 24.1 CE) en relación con la reserva de jurisdicción de Jueces y Tribunales (art. 117.3 CE).</w:t>
      </w:r>
    </w:p>
    <w:p w:rsidR="006B7292" w:rsidRDefault="006B7292" w:rsidP="006B7292">
      <w:pPr>
        <w:pStyle w:val="TextoNormal"/>
      </w:pPr>
    </w:p>
    <w:p w:rsidR="006B7292" w:rsidRDefault="006B7292" w:rsidP="006B7292">
      <w:pPr>
        <w:pStyle w:val="TextoNormal"/>
      </w:pPr>
      <w:r>
        <w:t>En relación con el problema competencial, la Fiscal General del Estado pone de manifiesto que, a diferencia de otros Estatutos de Autonomía, el de Cantabria no contempla que el legislador autonómico pueda regular materia procesal. Por otra parte, en relación con el art. 117.3 CE afirma que la norma cuestionada incide en la regulación de la ejecución de sentencias al introducir un trámite ajeno a la propia ejecución. Aunque sólo paraliza ésta temporalmente en el fondo lo que pretende es legalizar las edificaciones que han de ser derribadas, puesto que “es fácilmente comprensible que en el nuevo planeamiento municipal que se redacte las determinaciones urbanísticas de las parcelas en que se encuentran levantadas las edificaciones declaradas ilegales coincidirán casi al pie de la letra con la realidad de lo edificado, de modo que posteriormente no existirá dificultad alguna para que tales edificaciones obtengan una nueva licencia de obra, con la consiguiente anulación de los efectos de la declaración de ilegalidad efectuada por los Tribunales”.</w:t>
      </w:r>
    </w:p>
    <w:p w:rsidR="006B7292" w:rsidRDefault="006B7292" w:rsidP="006B7292">
      <w:pPr>
        <w:pStyle w:val="TextoNormal"/>
      </w:pPr>
    </w:p>
    <w:p w:rsidR="006B7292" w:rsidRDefault="006B7292" w:rsidP="006B7292">
      <w:pPr>
        <w:pStyle w:val="TextoNormal"/>
      </w:pPr>
      <w:r w:rsidRPr="006B7292">
        <w:rPr>
          <w:rStyle w:val="NumeroAFNegritaCaracter"/>
        </w:rPr>
        <w:t>8</w:t>
      </w:r>
      <w:r>
        <w:t>. El Letrado del servicio jurídico del Gobierno de Cantabria compareció y formuló alegaciones en representación del mismo mediante escrito que tuvo entrada en el Registro General de este Tribunal el 28 de octubre de 2015, solicitando la desestimación de la cuestión de inconstitucionalidad.</w:t>
      </w:r>
    </w:p>
    <w:p w:rsidR="006B7292" w:rsidRDefault="006B7292" w:rsidP="006B7292">
      <w:pPr>
        <w:pStyle w:val="TextoNormal"/>
      </w:pPr>
    </w:p>
    <w:p w:rsidR="006B7292" w:rsidRDefault="006B7292" w:rsidP="006B7292">
      <w:pPr>
        <w:pStyle w:val="TextoNormal"/>
      </w:pPr>
      <w:r>
        <w:t xml:space="preserve">Tras exponer los antecedentes de la cuestión, sostiene que la autorización provisional que se regula en el art. 65 </w:t>
      </w:r>
      <w:r w:rsidRPr="006B7292">
        <w:rPr>
          <w:i/>
        </w:rPr>
        <w:t>bis</w:t>
      </w:r>
      <w:r>
        <w:t xml:space="preserve">.1 de la Ley 2/2001 es una nueva figura jurídica dirigida a conferir mayor eficacia a los planeamientos en tramitación mediante la anticipación parcial de sus efectos, con el fin de evitar causar perjuicios irreparables a los intereses de los particulares y al propio interés público. De esta forma —explica el Gobierno de Cantabria— se trata de una figura vinculada por un lado al planeamiento urbanístico, puesto que supone dar eficacia anticipada al planeamiento en tramitación, y, por otra, a la disciplina urbanística, por cuanto implica que no toda infracción de la legalidad ha de llevar aparejada la demolición de forma irremediable, especialmente cuando no se trata de zonas protegidas por alguna razón (costas, espacios naturales, bienes de interés cultural…). En su opinión, se trata de una regulación basada en el principio de proporcionalidad que trata de conjugar el equilibrio justo entre la garantía de los intereses públicos y el mantenimiento del </w:t>
      </w:r>
      <w:r w:rsidRPr="006B7292">
        <w:rPr>
          <w:i/>
        </w:rPr>
        <w:t>ius aedificandi</w:t>
      </w:r>
      <w:r>
        <w:t xml:space="preserve"> cuando ello sea posible. No se aplica indiscriminadamente a cualesquiera edificaciones o construcciones preexistentes, pues el “plan de derribos” de 2011 contempla en muchos casos la demolición como única vía para ejecutar las sentencias, mientras que el artículo 65 </w:t>
      </w:r>
      <w:r w:rsidRPr="006B7292">
        <w:rPr>
          <w:i/>
        </w:rPr>
        <w:t>bis</w:t>
      </w:r>
      <w:r>
        <w:t>.1 lo que regula es aquellos supuestos en que, por medio de una ordenación que atienda al interés público, sea posible legalizar la obra o edificación anteriormente ilegal.</w:t>
      </w:r>
    </w:p>
    <w:p w:rsidR="006B7292" w:rsidRDefault="006B7292" w:rsidP="006B7292">
      <w:pPr>
        <w:pStyle w:val="TextoNormal"/>
      </w:pPr>
    </w:p>
    <w:p w:rsidR="006B7292" w:rsidRDefault="006B7292" w:rsidP="006B7292">
      <w:pPr>
        <w:pStyle w:val="TextoNormal"/>
      </w:pPr>
      <w:r>
        <w:t xml:space="preserve">Destaca que el artículo 65 </w:t>
      </w:r>
      <w:r w:rsidRPr="006B7292">
        <w:rPr>
          <w:i/>
        </w:rPr>
        <w:t>bis</w:t>
      </w:r>
      <w:r>
        <w:t xml:space="preserve">.1 no concede ni otorga directamente autorización provisional alguna, sino que es una norma de carácter general que regula la posibilidad de otorgar autorizaciones provisionales. Por tanto, sostiene que el artículo 65 </w:t>
      </w:r>
      <w:r w:rsidRPr="006B7292">
        <w:rPr>
          <w:i/>
        </w:rPr>
        <w:t>bis</w:t>
      </w:r>
      <w:r>
        <w:t>.1 precisa de posteriores actos administrativos aplicativos; serán las concretas autorizaciones provisionales que se otorguen al amparo de la norma las que puedan llegar a determinar, en su caso y si se dan los requisitos legalmente establecidos en la Ley reguladora de la jurisdicción contencioso-administrativa, la imposibilidad legal de proceder a la ejecución de una resolución judicial firme. En consecuencia, mantiene que esos actos administrativos concretos, esas autorizaciones provisionales que se otorguen en cada caso, sí son controlables y fiscalizables por los propios juzgados y tribunales contencioso-administrativos encargados de ejecutar las sentencias.</w:t>
      </w:r>
    </w:p>
    <w:p w:rsidR="006B7292" w:rsidRDefault="006B7292" w:rsidP="006B7292">
      <w:pPr>
        <w:pStyle w:val="TextoNormal"/>
      </w:pPr>
    </w:p>
    <w:p w:rsidR="006B7292" w:rsidRDefault="006B7292" w:rsidP="006B7292">
      <w:pPr>
        <w:pStyle w:val="TextoNormal"/>
      </w:pPr>
      <w:r>
        <w:t xml:space="preserve">Considera asimismo que el artículo 65 </w:t>
      </w:r>
      <w:r w:rsidRPr="006B7292">
        <w:rPr>
          <w:i/>
        </w:rPr>
        <w:t>bis</w:t>
      </w:r>
      <w:r>
        <w:t>.1 no constituye, en ningún caso, norma de carácter procesal o que altere la legislación procesal o introduzca una causa de suspensión del procedimiento de ejecución judicial no previsto en la Ley reguladora de la jurisdicción contencioso-administrativa. Entiende que es una norma sustantiva, urbanística, que regula una nueva figura o instrucción del derecho urbanístico autonómico. En cualquier caso, estima que la pretendida suspensión de la ejecución procesal no nace o se deriva directamente de la Ley del Parlamento de Cantabria 4/2013, por lo que el vicio de inconstitucionalidad que se le imputa decae automáticamente. Lo que afecta a la ejecución de la Sentencia, en su opinión, es la concreta autorización provisional que se otorgue por el ayuntamiento si se cumplen los requisitos necesarios para ello.</w:t>
      </w:r>
    </w:p>
    <w:p w:rsidR="006B7292" w:rsidRDefault="006B7292" w:rsidP="006B7292">
      <w:pPr>
        <w:pStyle w:val="TextoNormal"/>
      </w:pPr>
    </w:p>
    <w:p w:rsidR="006B7292" w:rsidRDefault="006B7292" w:rsidP="006B7292">
      <w:pPr>
        <w:pStyle w:val="TextoNormal"/>
      </w:pPr>
      <w:r>
        <w:t xml:space="preserve">Afirma que el órgano judicial deberá tener en cuenta en la fase de ejecución de la Sentencia la existencia de la autorización provisional y la posibilidad de que la misma constituya una causa de imposibilidad legal de ejecución, pero podrá controlar o incluso anular la autorización provisional de conformidad con lo dispuesto en el art. 103.4 LJCA. Es decir, el hecho de que la autorización provisional se haya otorgado de conformidad con el artículo 65 </w:t>
      </w:r>
      <w:r w:rsidRPr="006B7292">
        <w:rPr>
          <w:i/>
        </w:rPr>
        <w:t>bis</w:t>
      </w:r>
      <w:r>
        <w:t xml:space="preserve">.1 no impide el control que el órgano judicial puede y debe realizar </w:t>
      </w:r>
      <w:r w:rsidRPr="006B7292">
        <w:rPr>
          <w:i/>
        </w:rPr>
        <w:t>ex</w:t>
      </w:r>
      <w:r>
        <w:t xml:space="preserve"> art. 103.4 LJCA.</w:t>
      </w:r>
    </w:p>
    <w:p w:rsidR="006B7292" w:rsidRDefault="006B7292" w:rsidP="006B7292">
      <w:pPr>
        <w:pStyle w:val="TextoNormal"/>
      </w:pPr>
    </w:p>
    <w:p w:rsidR="006B7292" w:rsidRDefault="006B7292" w:rsidP="006B7292">
      <w:pPr>
        <w:pStyle w:val="TextoNormal"/>
      </w:pPr>
      <w:r>
        <w:t xml:space="preserve">A diferencia del caso de la STC 92/2013, en el presente caso el Gobierno de Cantabria defiende que la Ley 4/2013 no incide </w:t>
      </w:r>
      <w:r w:rsidRPr="006B7292">
        <w:rPr>
          <w:i/>
        </w:rPr>
        <w:t>per se</w:t>
      </w:r>
      <w:r>
        <w:t xml:space="preserve"> de forma directa en la ejecución, sino que será, en su caso, la correspondiente autorización provisional la que lo haga y la misma estará sujeta al control jurisdiccional. Rechaza el Gobierno de Cantabria que la regulación resulte contraria al derecho a la tutela judicial efectiva, pues el derecho a la ejecución de la Sentencia en sus propios términos “no impide que en determinados supuestos ésta devenga legal o materialmente imposible, lo cual habrá de apreciarse por el órgano judicial en resolución motivada, pues el cumplimiento o ejecución de las Sentencias depende de las características de cada proceso y del contenido del fallo”, tal y como ha reconocido el Tribunal Constitucional (STC 73/2000, de 14 de marzo).</w:t>
      </w:r>
    </w:p>
    <w:p w:rsidR="006B7292" w:rsidRDefault="006B7292" w:rsidP="006B7292">
      <w:pPr>
        <w:pStyle w:val="TextoNormal"/>
      </w:pPr>
    </w:p>
    <w:p w:rsidR="006B7292" w:rsidRDefault="006B7292" w:rsidP="006B7292">
      <w:pPr>
        <w:pStyle w:val="TextoNormal"/>
      </w:pPr>
      <w:r>
        <w:t xml:space="preserve">Por último, afirma que tampoco se sacrifica de forma desproporcionada el pronunciamiento contenido en el fallo de la Sentencia firme recaída en el proceso </w:t>
      </w:r>
      <w:r w:rsidRPr="006B7292">
        <w:rPr>
          <w:i/>
        </w:rPr>
        <w:t>a quo</w:t>
      </w:r>
      <w:r>
        <w:t>. En primer lugar, señala que las autorizaciones provisionales tienen una vigencia máxima de cuatro años de duración, que es un plazo razonable que no sacrifica indefinidamente el contenido del fallo. En segundo lugar, destaca que la finalidad es evitar que se ocasionen perjuicios irreparables no solo a los propietarios de las viviendas, sino también y principalmente al interés público, dados los enormes costes que tendrían para las arcas públicas, no sólo locales sino también autonómicas, la demolición de las viviendas con orden de derribo y la indemnización a todos los propietarios. Señala que el cálculo estimado que todo ello tendría para la hacienda de la Comunidad Autónoma se fija en torno a unos 300 millones de euros. Por último, defiende que además no se sacrifica de forma desproporcionada el interés del restablecimiento de la legalidad urbanística que subyace en el fallo de la sentencia; estas autorizaciones solo se otorgan a aquellas edificaciones o construcciones preexistentes que resulten compatibles con la nueva ordenación urbanística contenida en el planeamiento en tramitación persiguiendo precisamente el restablecimiento de la legalidad urbanística.</w:t>
      </w:r>
    </w:p>
    <w:p w:rsidR="006B7292" w:rsidRDefault="006B7292" w:rsidP="006B7292">
      <w:pPr>
        <w:pStyle w:val="TextoNormal"/>
      </w:pPr>
    </w:p>
    <w:p w:rsidR="006B7292" w:rsidRDefault="006B7292" w:rsidP="006B7292">
      <w:pPr>
        <w:pStyle w:val="TextoNormal"/>
      </w:pPr>
      <w:r w:rsidRPr="006B7292">
        <w:rPr>
          <w:rStyle w:val="NumeroAFNegritaCaracter"/>
        </w:rPr>
        <w:t>9</w:t>
      </w:r>
      <w:r>
        <w:t>. El Letrado-Secretario General del Parlamento de Cantabria se personó en este Tribunal y presentó su escrito de alegaciones el 3 de noviembre de 2015, solicitando la desestimación de la cuestión de inconstitucionalidad.</w:t>
      </w:r>
    </w:p>
    <w:p w:rsidR="006B7292" w:rsidRDefault="006B7292" w:rsidP="006B7292">
      <w:pPr>
        <w:pStyle w:val="TextoNormal"/>
      </w:pPr>
    </w:p>
    <w:p w:rsidR="006B7292" w:rsidRDefault="006B7292" w:rsidP="006B7292">
      <w:pPr>
        <w:pStyle w:val="TextoNormal"/>
      </w:pPr>
      <w:r>
        <w:t xml:space="preserve">En primer término pone en entredicho que el planteamiento de la cuestión cumpla con el juicio de aplicabilidad y relevancia. En su opinión, el fallo del proceso </w:t>
      </w:r>
      <w:r w:rsidRPr="006B7292">
        <w:rPr>
          <w:i/>
        </w:rPr>
        <w:t>a quo</w:t>
      </w:r>
      <w:r>
        <w:t xml:space="preserve"> no ha de variar con independencia de que se declare o no inconstitucional la regulación cuestionada, ya que en cualquier caso se va a restablecer la legalidad urbanística, pues la Ley del Parlamento de Cantabria persigue el restablecimiento evitando que se proceda a la demolición cuando se ha producido la modificación posterior del planeamiento, de forma que lo construido se adecua ahora a este.</w:t>
      </w:r>
    </w:p>
    <w:p w:rsidR="006B7292" w:rsidRDefault="006B7292" w:rsidP="006B7292">
      <w:pPr>
        <w:pStyle w:val="TextoNormal"/>
      </w:pPr>
    </w:p>
    <w:p w:rsidR="006B7292" w:rsidRDefault="006B7292" w:rsidP="006B7292">
      <w:pPr>
        <w:pStyle w:val="TextoNormal"/>
      </w:pPr>
      <w:r>
        <w:t>Rechaza, en segundo lugar, que la Ley cántabra esté realmente previendo una suspensión de la ejecución de un fallo, pues considera que no interfiere en la legislación procesal ni en la resolución o ejecución del proceso, sino que se limita a prever una medida de restitución de la legalidad urbanística. La regulación tiene además, a su juicio, amparo en las competencias que el Estatuto atribuye a la Comunidad Autónoma de Cantabria en materia de “organización, régimen y funcionamiento de sus instituciones de autogobierno” (art. 24.1 del Estatuto de Autonomía de Cantabria: EACant), “urbanismo y vivienda” (art. 24.3 EACant) y “procedimiento administrativo derivado de las especialidades de la organización propia” (art. 24.32 EACant).</w:t>
      </w:r>
    </w:p>
    <w:p w:rsidR="006B7292" w:rsidRDefault="006B7292" w:rsidP="006B7292">
      <w:pPr>
        <w:pStyle w:val="TextoNormal"/>
      </w:pPr>
    </w:p>
    <w:p w:rsidR="006B7292" w:rsidRDefault="006B7292" w:rsidP="006B7292">
      <w:pPr>
        <w:pStyle w:val="TextoNormal"/>
      </w:pPr>
      <w:r>
        <w:t>Defiende el Letrado que las autorizaciones provisionales no son legislación procesal, sino legislación urbanística, pues “la previsión y regulación de las “autorizaciones provisionales” es una clara manifestación de la gestión de los instrumentos planificadores y de la disciplina urbanística, como potestades que integran la materia urbanismo y que el Estatuto de Autonomía para Cantabria atribuye a la Comunidad Autónoma”. Añade por último que “la ejecución de la sentencia también se produce cuando se adecua lo construido al planeamiento, sin que se suspenda el procedimiento judicial”.</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 xml:space="preserve">Único. La Sala de lo Contencioso-Administrativo del Tribunal Superior de Justicia de Cantabria plantea cuestión de inconstitucionalidad en relación con el art. 65 </w:t>
      </w:r>
      <w:r w:rsidRPr="006B7292">
        <w:rPr>
          <w:i/>
        </w:rPr>
        <w:t>bis</w:t>
      </w:r>
      <w:r>
        <w:t>.1 de la Ley 2/2001, de 25 de junio, de ordenación territorial y del régimen urbanístico del suelo de Cantabria, introducido por la Ley del Parlamento de Cantabria 4/2013, de 20 de junio, en la parte del mismo que se refiere a las órdenes de demolición judiciales.</w:t>
      </w:r>
    </w:p>
    <w:p w:rsidR="006B7292" w:rsidRDefault="006B7292" w:rsidP="006B7292">
      <w:pPr>
        <w:pStyle w:val="TextoNormal"/>
      </w:pPr>
    </w:p>
    <w:p w:rsidR="006B7292" w:rsidRDefault="006B7292" w:rsidP="006B7292">
      <w:pPr>
        <w:pStyle w:val="TextoNormal"/>
      </w:pPr>
      <w:r>
        <w:t>El precepto dispone que “iniciado el procedimiento dirigido a la formación, modificación o revisión de los planes urbanísticos y demás instrumentos de planeamiento, y para impedir que se generen perjuicios irreparables al interés público o a los propietarios de edificaciones o actuaciones que, habiendo sido previamente declaradas ilegales y sobre las que hubiesen recaído órdenes de demolición administrativas o judiciales, puedan resultar conformes con la nueva ordenación que se está tramitando, el órgano municipal competente para aprobar inicialmente el plan podrá otorgar, de oficio o a instancia de los interesados, autorizaciones provisionales que afecten a dichas edificaciones o actuaciones preexistentes, previa comprobación de que resultan conformes con el nuevo planeamiento municipal en tramitación. Si el procedimiento se inicia a solicitud del interesado, transcurrido el plazo de tres meses sin haberse notificado resolución alguna podrá entender desestimada su petición.”</w:t>
      </w:r>
    </w:p>
    <w:p w:rsidR="006B7292" w:rsidRDefault="006B7292" w:rsidP="006B7292">
      <w:pPr>
        <w:pStyle w:val="TextoNormal"/>
      </w:pPr>
    </w:p>
    <w:p w:rsidR="006B7292" w:rsidRDefault="006B7292" w:rsidP="006B7292">
      <w:pPr>
        <w:pStyle w:val="TextoNormal"/>
      </w:pPr>
      <w:r>
        <w:t>Entiende el órgano judicial que el precepto cuestionado suspende ejecuciones judiciales mientras se tramitan planes que tienen por objeto la legalización de edificios declarados ilegales en sentencias firmes cuya ejecución exige su derribo. Se vulnerarían de esta forma tanto el art. 149.1.6 CE, que atribuye al Estado la competencia exclusiva sobre legislación procesal, como los arts. 24 y 117.3 CE que consagran, respectivamente, el derecho a la tutela judicial efectiva y, por tanto, también, su vertiente de derecho a la ejecución de sentencias, así como la potestad exclusiva de jueces y tribunales para ejecutar lo juzgado.</w:t>
      </w:r>
    </w:p>
    <w:p w:rsidR="006B7292" w:rsidRDefault="006B7292" w:rsidP="006B7292">
      <w:pPr>
        <w:pStyle w:val="TextoNormal"/>
      </w:pPr>
    </w:p>
    <w:p w:rsidR="006B7292" w:rsidRDefault="006B7292" w:rsidP="006B7292">
      <w:pPr>
        <w:pStyle w:val="TextoNormal"/>
      </w:pPr>
      <w:r>
        <w:t xml:space="preserve">Este Tribunal, en su reciente STC 254/2015, de 30 de noviembre, estimatoria de la cuestión de inconstitucionalidad núm. 6860-2014, dictada con posterioridad a que la presente cuestión fuera admitida a trámite, ha declarado inconstitucional y nulo el inciso “o judiciales” del art. 65 </w:t>
      </w:r>
      <w:r w:rsidRPr="006B7292">
        <w:rPr>
          <w:i/>
        </w:rPr>
        <w:t>bis</w:t>
      </w:r>
      <w:r>
        <w:t>.1 de la Ley 2/2001, de 25 de junio, de ordenación territorial y de régimen urbanístico del suelo de Cantabria, introducido por la Ley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edificaciones, de manera que la ejecución de la Sentencia escapa del control del órgano judicial, único competente para hacer ejecutar lo juzgado a tenor de lo dispuesto en el art. 117.3 CE.</w:t>
      </w:r>
    </w:p>
    <w:p w:rsidR="006B7292" w:rsidRDefault="006B7292" w:rsidP="006B7292">
      <w:pPr>
        <w:pStyle w:val="TextoNormal"/>
      </w:pPr>
    </w:p>
    <w:p w:rsidR="006B7292" w:rsidRDefault="006B7292" w:rsidP="006B7292">
      <w:pPr>
        <w:pStyle w:val="TextoNormal"/>
      </w:pPr>
      <w:r>
        <w:t>Se sigue de ello que el referido inciso ha sido expulsado del ordenamiento, una vez anulado por inconstitucional, lo que impone ahora apreciar, conforme a reiterada doctrina de este Tribunal (por todos, ATC 28/2015, de 16 de febrero, FJ único), la desaparición sobrevenida del objeto de la presente cuestión, al haber quedado disipada la duda de constitucionalidad planteada por el órgano judicial.</w:t>
      </w:r>
    </w:p>
    <w:p w:rsidR="006B7292" w:rsidRDefault="006B7292" w:rsidP="006B7292">
      <w:pPr>
        <w:pStyle w:val="TextoNormal"/>
      </w:pPr>
    </w:p>
    <w:p w:rsidR="006B7292" w:rsidRDefault="006B7292" w:rsidP="006B7292">
      <w:pPr>
        <w:pStyle w:val="TextoNormal"/>
      </w:pPr>
      <w:r>
        <w:t>Por todo lo expuesto, la Sala</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Declarar la extinción de la cuestión de inconstitucionalidad núm. 4696-2015, por desaparición sobrevenida de su objeto.</w:t>
      </w:r>
    </w:p>
    <w:p w:rsidR="006B7292" w:rsidRDefault="006B7292" w:rsidP="006B7292">
      <w:pPr>
        <w:pStyle w:val="TextoNormal"/>
      </w:pPr>
    </w:p>
    <w:p w:rsidR="006B7292" w:rsidRDefault="006B7292" w:rsidP="006B7292">
      <w:pPr>
        <w:pStyle w:val="TextoNormal"/>
      </w:pPr>
      <w:r>
        <w:t>Madrid, a catorce de diciembre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33" w:name="AUTO_2015_219"/>
      <w:r>
        <w:t>AUTO 219/2015, de 14 de diciembre de 2015</w:t>
      </w:r>
    </w:p>
    <w:bookmarkEnd w:id="233"/>
    <w:p w:rsidR="006B7292" w:rsidRDefault="006B7292" w:rsidP="006B7292">
      <w:pPr>
        <w:pStyle w:val="TtuloResolucin"/>
      </w:pPr>
      <w:r>
        <w:t>Sala Primera</w:t>
      </w:r>
    </w:p>
    <w:p w:rsidR="006B7292" w:rsidRDefault="006B7292" w:rsidP="006B7292">
      <w:pPr>
        <w:pStyle w:val="TextoNormalCentrado"/>
      </w:pPr>
      <w:r>
        <w:t>ECLI:ES:TC:2015:219A</w:t>
      </w:r>
    </w:p>
    <w:p w:rsidR="006B7292" w:rsidRDefault="006B7292" w:rsidP="006B7292">
      <w:pPr>
        <w:pStyle w:val="TextoNormalCentrado"/>
      </w:pPr>
    </w:p>
    <w:p w:rsidR="006B7292" w:rsidRDefault="006B7292" w:rsidP="006B7292">
      <w:pPr>
        <w:pStyle w:val="SntesisDescriptiva"/>
      </w:pPr>
      <w:r>
        <w:t>Excms. Srs. don Francisco Pérez de los Cobos Orihuel, doña Encarnación Roca Trías, don Andrés Ollero Tassara, don Santiago Martínez-Vares García y don Juan Antonio Xiol Ríos.</w:t>
      </w:r>
    </w:p>
    <w:p w:rsidR="006B7292" w:rsidRDefault="006B7292" w:rsidP="006B7292">
      <w:pPr>
        <w:pStyle w:val="SntesisDescriptiva"/>
      </w:pPr>
    </w:p>
    <w:p w:rsidR="006B7292" w:rsidRDefault="006B7292" w:rsidP="006B7292">
      <w:pPr>
        <w:pStyle w:val="SntesisDescriptiva"/>
      </w:pPr>
      <w:r>
        <w:t>Acuerda la extinción, por desaparición sobrevenida de objeto, de la cuestión de inconstitucionalidad 4697-2015, planteada por la Sala de lo Contencioso-Administrativo del Tribunal Superior de Justicia de Cantabria en relación con el artículo 65 bis.1 de la Ley 2/2001, de 25 de junio, de ordenación territorial y del régimen urbanístico del suelo de Cantabria.</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xml:space="preserve">. Por escrito registrado en este Tribunal el 4 de agosto de 2015, la Sala de lo Contencioso-Administrativo del Tribunal Superior de Justicia de Cantabria remitió testimonio del Auto de 20 de julio de 2015 por el que se acordó plantear cuestión de inconstitucionalidad en relación con el art. 65 </w:t>
      </w:r>
      <w:r w:rsidRPr="006B7292">
        <w:rPr>
          <w:i/>
        </w:rPr>
        <w:t>bis</w:t>
      </w:r>
      <w:r>
        <w:t>.1 de la Ley 2/2001, de 25 de junio, de ordenación territorial y del régimen urbanístico del suelo de Cantabria, añadido por el art. 1 de la Ley 4/2013, de 20 de junio, en cuanto dice “órdenes de demolición judiciales”, por posible vulneración de los arts. 24, 117.3 y 149.1.6 CE.</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de hecho del planteamiento de la presente cuestión de inconstitucionalidad son, sucintamente expuestos, los siguientes:</w:t>
      </w:r>
    </w:p>
    <w:p w:rsidR="006B7292" w:rsidRDefault="006B7292" w:rsidP="006B7292">
      <w:pPr>
        <w:pStyle w:val="TextoNormal"/>
      </w:pPr>
    </w:p>
    <w:p w:rsidR="006B7292" w:rsidRDefault="006B7292" w:rsidP="006B7292">
      <w:pPr>
        <w:pStyle w:val="TextoNormal"/>
      </w:pPr>
      <w:r>
        <w:t>a) Por Sentencia de 1 de diciembre de 2000 la Sala de lo Contencioso-Administrativo del Tribunal Superior de Justicia de Cantabria estimó el recurso 1992-1998 interpuesto por la asociación para la defensa de los recursos naturales de Cantabria (ARCA) contra el acuerdo de la comisión de gobierno del Ayuntamiento de Argoños por el que se concedió licencia para la construcción de doce viviendas en ese municipio. La Sentencia anula la licencia por inexistencia del preceptivo estudio de detalle y por ocupar suelo no urbanizable de especial protección forestal y ordena el derribo de lo construido al amparo de la licencia anulada, salvo que técnicamente resultase posible su legalización.</w:t>
      </w:r>
    </w:p>
    <w:p w:rsidR="006B7292" w:rsidRDefault="006B7292" w:rsidP="006B7292">
      <w:pPr>
        <w:pStyle w:val="TextoNormal"/>
      </w:pPr>
    </w:p>
    <w:p w:rsidR="006B7292" w:rsidRDefault="006B7292" w:rsidP="006B7292">
      <w:pPr>
        <w:pStyle w:val="TextoNormal"/>
      </w:pPr>
      <w:r>
        <w:t>b) Declarada firme la Sentencia e instada su ejecución por la recurrente se ordenó la misma mediante Auto de 28 de enero de 2003 (confirmado el 28 de marzo). Tras diversas actuaciones procesales, el 15 de noviembre de 2005 la representación del citado ayuntamiento formuló una propuesta conjunta respecto a los diversos procedimientos judiciales en los que se había acordado el derribo de un total de 151 viviendas en Argoños. Por Auto de 6 de febrero de 2006 la Sala solicitó una propuesta independiente y diferenciada para cada uno de los procesos, rechazando el plan de financiación propuesto por la dilación en su cumplimiento. Igualmente, mediante Auto de 27 de septiembre de 2006 (confirmado el 10 de noviembre) se rechazó la pretendida propuesta individualizada, al establecerse una previsión de ejecución de la Sentencia para el año 2018. Con fecha 26 de mayo de 2008, el Ayuntamiento de Argoños solicitó la suspensión temporal de la ejecución de la sentencia a fin de que se requiriese al Gobierno de Cantabria el acuerdo de la Mesa del Parlamento de 17 de diciembre de 2007, relativo a la necesidad de elaborar un plan para solucionar los problemas de las personas afectadas por sentencias de derribo en Cantabria, presentándose el 24 de junio de 2008 un informe de la Consejería de Obras Públicas, Ordenación del Territorio, Vivienda y Urbanismo en relación con las medidas adoptadas por el Gobierno de Cantabria para el cumplimiento del citado plan. Por Auto de 3 de marzo de 2009 (confirmado el 24 de abril), se otorga al Ayuntamiento de Argoños un plazo de seis meses para proceder al derribo de las doce viviendas. El referido ayuntamiento solicitó el 28 de mayo de 2009 que se designase al Gobierno de Cantabria como responsable de la ejecución de la Sentencia, posibilidad rechazada por Auto de la Sala sentenciadora de 27 de julio de 2009 (confirmado el 26 de noviembre).</w:t>
      </w:r>
    </w:p>
    <w:p w:rsidR="006B7292" w:rsidRDefault="006B7292" w:rsidP="006B7292">
      <w:pPr>
        <w:pStyle w:val="TextoNormal"/>
      </w:pPr>
    </w:p>
    <w:p w:rsidR="006B7292" w:rsidRDefault="006B7292" w:rsidP="006B7292">
      <w:pPr>
        <w:pStyle w:val="TextoNormal"/>
      </w:pPr>
      <w:r>
        <w:t>Tras rechazar sucesivos incidentes de inejecución de sentencia interpuestos por el Ayuntamiento de Argoños, la Sala, por Auto de 15 de febrero de 2010 (confirmado por otros de 24 de junio y 27 de octubre), acordó la ejecución subsidiaria del derribo de las doce viviendas objeto de la licencia anulada, designando a la empresa pública Tragsa para llevar a cabo la demolición. Tras una nueva solicitud de inejecución formulada por el ayuntamiento y denegada por Auto de 3 de mayo de 2011, el ayuntamiento presentó un escrito solicitando la paralización de las actuaciones encaminadas al derribo de las doce viviendas señalando que, con la entrada en vigor de la disposición adicional sexta de la Ley 2/2011, de 4 de abril, por la que se modifica la Ley 2/2001, de 25 de junio, de ordenación territorial y del régimen urbanístico del suelo de Cantabria, resultaba obligada tal paralización en tanto se procedía a resolver el expediente de responsabilidad patrimonial incoado de oficio por el ayuntamiento y se ponía a disposición de los propietarios de las viviendas a derribar el importe de la indemnización que se reconozca.</w:t>
      </w:r>
    </w:p>
    <w:p w:rsidR="006B7292" w:rsidRDefault="006B7292" w:rsidP="006B7292">
      <w:pPr>
        <w:pStyle w:val="TextoNormal"/>
      </w:pPr>
    </w:p>
    <w:p w:rsidR="006B7292" w:rsidRDefault="006B7292" w:rsidP="006B7292">
      <w:pPr>
        <w:pStyle w:val="TextoNormal"/>
      </w:pPr>
      <w:r>
        <w:t>c) La Sala de lo Contencioso-Administrativo del Tribunal Superior de Justicia de Cantabria, tras oír a las partes y al Ministerio Fiscal conforme a lo previsto en el art. 35.2 de la Ley Orgánica del Tribunal Constitucional (LOTC), procedió a plantear cuestión de inconstitucionalidad respecto de la disposición adicional sexta de la Ley 2/2001, de 25 de junio, de ordenación territorial y del régimen urbanístico del suelo de Cantabria, introducida por el art. 2 de la Ley 2/2011, de 4 de abril. Dicha cuestión fue admitida a trámite y registrada con el núm. 5727-2011. Por ATC 104/2013, de 20 de mayo, el Pleno acordó declarar extinguida la misma por desaparición sobrevenida de su objeto, por ser idéntica a la núm. 4596-2011, resuelta por este Tribunal en la STC 92/2013, de 22 de abril, en la que se declara la inconstitucionalidad y nulidad de varios apartados de la disposición adicional sexta de la Ley 2/2001, de ordenación territorial y del régimen urbanístico del suelo de Cantabria, introducida por el art. 2 de la Ley 2/2011.</w:t>
      </w:r>
    </w:p>
    <w:p w:rsidR="006B7292" w:rsidRDefault="006B7292" w:rsidP="006B7292">
      <w:pPr>
        <w:pStyle w:val="TextoNormal"/>
      </w:pPr>
    </w:p>
    <w:p w:rsidR="006B7292" w:rsidRDefault="006B7292" w:rsidP="006B7292">
      <w:pPr>
        <w:pStyle w:val="TextoNormal"/>
      </w:pPr>
      <w:r>
        <w:t xml:space="preserve">d) Tras diversos intentos de ejecución de sentencia, el Ayuntamiento de Argoños promovió el 22 de mayo de 2015 incidente de ejecución al amparo del art. 109 de la Ley reguladora de la jurisdicción contencioso-administrativa (LJCA), interesando que se dicte Auto por el que se acuerde mantener las viviendas autorizadas por las licencias en su día otorgadas y sobre las que pesa la orden judicial de demolición, aplicándoles el régimen previsto para los edificios fuera de ordenación, en tanto se cumplan las condiciones previstas en el art. 65 </w:t>
      </w:r>
      <w:r w:rsidRPr="006B7292">
        <w:rPr>
          <w:i/>
        </w:rPr>
        <w:t>bis</w:t>
      </w:r>
      <w:r>
        <w:t xml:space="preserve"> de la Ley 2/2001, de 25 de junio, de ordenación territorial y régimen urbanístico del suelo en Cantabria, añadido por la Ley 4/2013, de 20 de junio.</w:t>
      </w:r>
    </w:p>
    <w:p w:rsidR="006B7292" w:rsidRDefault="006B7292" w:rsidP="006B7292">
      <w:pPr>
        <w:pStyle w:val="TextoNormal"/>
      </w:pPr>
    </w:p>
    <w:p w:rsidR="006B7292" w:rsidRDefault="006B7292" w:rsidP="006B7292">
      <w:pPr>
        <w:pStyle w:val="TextoNormal"/>
      </w:pPr>
      <w:r>
        <w:t xml:space="preserve">e) Por providencia de 28 de mayo de 2015 la Sala de lo Contencioso-Administrativo del Tribunal Superior de Justicia de Cantabria, de conformidad con lo dispuesto en el art. 35.2 LOTC, acordó oír a las partes personadas y al Ministerio Fiscal por el término común de diez días, sobre la pertinencia de plantear cuestión de inconstitucionalidad respecto del art. 65 </w:t>
      </w:r>
      <w:r w:rsidRPr="006B7292">
        <w:rPr>
          <w:i/>
        </w:rPr>
        <w:t>bis</w:t>
      </w:r>
      <w:r>
        <w:t xml:space="preserve"> de la Ley 2/2001, de 25 de junio, de ordenación territorial y del régimen urbanístico del suelo de Cantabria, añadido por la Ley 4/2013, de 20 de junio. En concreto, dudaba de la constitucionalidad del art. 65 </w:t>
      </w:r>
      <w:r w:rsidRPr="006B7292">
        <w:rPr>
          <w:i/>
        </w:rPr>
        <w:t>bis</w:t>
      </w:r>
      <w:r>
        <w:t>.1 de la Ley 2/2001, de 25 de junio, de ordenación territorial y del régimen urbanístico del suelo de Cantabria, añadido por el art. 1 de la Ley 4/2013, de 20 de junio, en la parte que se refiere a las órdenes de demolición judicial. Entendía que el inciso del precepto legal impugnado pudiera ser contrario al art. 24, 117.3 y 149.1.6 CE.</w:t>
      </w:r>
    </w:p>
    <w:p w:rsidR="006B7292" w:rsidRDefault="006B7292" w:rsidP="006B7292">
      <w:pPr>
        <w:pStyle w:val="TextoNormal"/>
      </w:pPr>
    </w:p>
    <w:p w:rsidR="006B7292" w:rsidRDefault="006B7292" w:rsidP="006B7292">
      <w:pPr>
        <w:pStyle w:val="TextoNormal"/>
      </w:pPr>
      <w:r>
        <w:t>f) Evacuado el trámite de audiencia del art. 35.2 LOTC, con el resultado que consta en las actuaciones, por Auto de 20 de julio de 2015 la Sala de lo Contencioso-Administrativo del Tribunal Superior de Justicia de Cantabria acordó plantear cuestión de inconstitucionalidad sobre el precepto antes citado.</w:t>
      </w:r>
    </w:p>
    <w:p w:rsidR="006B7292" w:rsidRDefault="006B7292" w:rsidP="006B7292">
      <w:pPr>
        <w:pStyle w:val="TextoNormal"/>
      </w:pPr>
    </w:p>
    <w:p w:rsidR="006B7292" w:rsidRDefault="006B7292" w:rsidP="006B7292">
      <w:pPr>
        <w:pStyle w:val="TextoNormal"/>
      </w:pPr>
      <w:r w:rsidRPr="006B7292">
        <w:rPr>
          <w:rStyle w:val="NumeroAFNegritaCaracter"/>
        </w:rPr>
        <w:t>3</w:t>
      </w:r>
      <w:r>
        <w:t>. En cuanto al contenido del Auto de promoción importa destacar lo siguiente:</w:t>
      </w:r>
    </w:p>
    <w:p w:rsidR="006B7292" w:rsidRDefault="006B7292" w:rsidP="006B7292">
      <w:pPr>
        <w:pStyle w:val="TextoNormal"/>
      </w:pPr>
    </w:p>
    <w:p w:rsidR="006B7292" w:rsidRDefault="006B7292" w:rsidP="006B7292">
      <w:pPr>
        <w:pStyle w:val="TextoNormal"/>
      </w:pPr>
      <w:r>
        <w:t>Tras exponer que los hechos que han dado lugar al planteamiento de la cuestión y justificar que el precepto cuestionado, al ser relevante para el fallo la norma en la que se fundamenta el incidente por el que se solicita la suspensión de la ejecución de la Sentencia, entra a analizar las razones por las que duda de su constitucionalidad.</w:t>
      </w:r>
    </w:p>
    <w:p w:rsidR="006B7292" w:rsidRDefault="006B7292" w:rsidP="006B7292">
      <w:pPr>
        <w:pStyle w:val="TextoNormal"/>
      </w:pPr>
    </w:p>
    <w:p w:rsidR="006B7292" w:rsidRDefault="006B7292" w:rsidP="006B7292">
      <w:pPr>
        <w:pStyle w:val="TextoNormal"/>
      </w:pPr>
      <w:r>
        <w:t xml:space="preserve">Según se afirma en esta resolución, el art. 65 </w:t>
      </w:r>
      <w:r w:rsidRPr="006B7292">
        <w:rPr>
          <w:i/>
        </w:rPr>
        <w:t>bis</w:t>
      </w:r>
      <w:r>
        <w:t>.1 de la Ley de ordenación territorial y del régimen urbanístico del suelo de Cantabria, en la parte que se refiere a las ordenes de demolición judiciales, puede ser lesivo del art. 149.1.6 CE, al derecho a la ejecución de sentencias que garantiza el art. 24 CE y al art. 117.3 CE.</w:t>
      </w:r>
    </w:p>
    <w:p w:rsidR="006B7292" w:rsidRDefault="006B7292" w:rsidP="006B7292">
      <w:pPr>
        <w:pStyle w:val="TextoNormal"/>
      </w:pPr>
    </w:p>
    <w:p w:rsidR="006B7292" w:rsidRDefault="006B7292" w:rsidP="006B7292">
      <w:pPr>
        <w:pStyle w:val="TextoNormal"/>
      </w:pPr>
      <w:r>
        <w:t>La Sala sostiene, en primer lugar, que el referido precepto, al establecer que “durante el tiempo en el que estén vigentes las autorizaciones provisionales las edificaciones afectadas se mantendrán en la situación en la que se encuentren y les será de aplicación el régimen previsto para los edificios de fuera de ordenación”, está introduciendo una causa de suspensión de la ejecución de las sentencias que vulnera las competencias que el art. 149.1.6 CE atribuye al Estado en materia de legislación procesal.</w:t>
      </w:r>
    </w:p>
    <w:p w:rsidR="006B7292" w:rsidRDefault="006B7292" w:rsidP="006B7292">
      <w:pPr>
        <w:pStyle w:val="TextoNormal"/>
      </w:pPr>
    </w:p>
    <w:p w:rsidR="006B7292" w:rsidRDefault="006B7292" w:rsidP="006B7292">
      <w:pPr>
        <w:pStyle w:val="TextoNormal"/>
      </w:pPr>
      <w:r>
        <w:t>También considera que la autorización provisional que establece el precepto cuestionado, al impedir la demolición acordada en la Sentencia, es contraria al derecho a la ejecución de sentencias, derecho que forma parte del derecho fundamental a la tutela judicial efectiva (art. 24.1 CE), y puede lesionar el art 117.3 CE, ya que permite que la Administración pueda frustrar el cumplimiento del fallo de la sentencia.</w:t>
      </w:r>
    </w:p>
    <w:p w:rsidR="006B7292" w:rsidRDefault="006B7292" w:rsidP="006B7292">
      <w:pPr>
        <w:pStyle w:val="TextoNormal"/>
      </w:pPr>
    </w:p>
    <w:p w:rsidR="006B7292" w:rsidRDefault="006B7292" w:rsidP="006B7292">
      <w:pPr>
        <w:pStyle w:val="TextoNormal"/>
      </w:pPr>
      <w:r>
        <w:t>En el Auto de planteamiento se invoca la doctrina establecida en la STC 82/2014, de 28 de mayo, en la que se ha considerado contrario a la competencia estatal en materia de legislación procesal que el legislador autonómico establezca una causa de suspensión o aplazamiento de la ejecución de las sentencias que han de ejecutarse mediante el derribo de las edificaciones y ha apreciado también que, en la medida en que la efectividad de la demolición judicialmente acordada depende de que la Administración resuelva un procedimiento de responsabilidad patrimonial y, en su caso, abone la indemnización acordada al perjudicado, “la ejecución de la Sentencia termina por escapar del control judicial, único competente para hacer ejecutar lo juzgado a tenor de lo dispuesto en el art. 117.3 CE”.</w:t>
      </w:r>
    </w:p>
    <w:p w:rsidR="006B7292" w:rsidRDefault="006B7292" w:rsidP="006B7292">
      <w:pPr>
        <w:pStyle w:val="TextoNormal"/>
      </w:pPr>
    </w:p>
    <w:p w:rsidR="006B7292" w:rsidRDefault="006B7292" w:rsidP="006B7292">
      <w:pPr>
        <w:pStyle w:val="TextoNormal"/>
      </w:pPr>
      <w:r>
        <w:t xml:space="preserve">Las anteriores consideraciones llevan a la Sala a plantear cuestión de inconstitucionalidad en relación con el art. 65 </w:t>
      </w:r>
      <w:r w:rsidRPr="006B7292">
        <w:rPr>
          <w:i/>
        </w:rPr>
        <w:t>bis</w:t>
      </w:r>
      <w:r>
        <w:t>.1 de la Ley 2/2001, de 25 de junio, de ordenación territorial y régimen urbanístico, modificada por la Ley 4/2013, en la parte que se refiere a las órdenes de demolición judiciales.</w:t>
      </w:r>
    </w:p>
    <w:p w:rsidR="006B7292" w:rsidRDefault="006B7292" w:rsidP="006B7292">
      <w:pPr>
        <w:pStyle w:val="TextoNormal"/>
      </w:pPr>
    </w:p>
    <w:p w:rsidR="006B7292" w:rsidRDefault="006B7292" w:rsidP="006B7292">
      <w:pPr>
        <w:pStyle w:val="TextoNormal"/>
      </w:pPr>
      <w:r w:rsidRPr="006B7292">
        <w:rPr>
          <w:rStyle w:val="NumeroAFNegritaCaracter"/>
        </w:rPr>
        <w:t>4</w:t>
      </w:r>
      <w:r>
        <w:t>. Por providencia de 20 de octubre de 2015, el Pleno, a propuesta de la Sección Primera, acordó admitir a trámite la cuestión de inconstitucionalidad, deferir su conocimiento a la Sala Primera a la que por turno objetivo ha correspondido, y dar traslado de las actuaciones al Congreso de los Diputados y al Senado por conducto de sus Presidentes, al Gobierno por conducto del Ministro de Justicia, y al Fiscal General del Estado, así como al Gobierno y al Parlamento de Cantabria por conducto de sus Presidentes, al objeto de que, en el improrrogable plazo de quince días, pudieran personarse en el proceso y formular las alegaciones que estimasen convenientes. Asimismo se acordó comunicar la admisión al órgano judicial proponente a fin de que, de conformidad con el art. 35.3 LOTC, permaneciera suspendido el proceso judicial hasta que se resolviera la cuestión de inconstitucionalidad. En la misma providencia el Tribunal acordó publicar la incoación de la cuestión de inconstitucionalidad en el “Boletín Oficial del Estado” y en el “Boletín Oficial de Cantabria”.</w:t>
      </w:r>
    </w:p>
    <w:p w:rsidR="006B7292" w:rsidRDefault="006B7292" w:rsidP="006B7292">
      <w:pPr>
        <w:pStyle w:val="TextoNormal"/>
      </w:pPr>
    </w:p>
    <w:p w:rsidR="006B7292" w:rsidRDefault="006B7292" w:rsidP="006B7292">
      <w:pPr>
        <w:pStyle w:val="TextoNormal"/>
      </w:pPr>
      <w:r w:rsidRPr="006B7292">
        <w:rPr>
          <w:rStyle w:val="NumeroAFNegritaCaracter"/>
        </w:rPr>
        <w:t>5</w:t>
      </w:r>
      <w:r>
        <w:t>. El Presidente del Congreso de los Diputados, mediante escrito que tuvo entrada el 30 de octubre de 2015, comunicó que la Mesa de la Cámara había acordado personarse en el proceso, ofreciendo su colaboración a los efectos del art. 88.1 LOTC. Lo mismo hizo el Presidente del Senado mediante escrito que tuvo entrada el 3 de noviembre de 2015.</w:t>
      </w:r>
    </w:p>
    <w:p w:rsidR="006B7292" w:rsidRDefault="006B7292" w:rsidP="006B7292">
      <w:pPr>
        <w:pStyle w:val="TextoNormal"/>
      </w:pPr>
    </w:p>
    <w:p w:rsidR="006B7292" w:rsidRDefault="006B7292" w:rsidP="006B7292">
      <w:pPr>
        <w:pStyle w:val="TextoNormal"/>
      </w:pPr>
      <w:r w:rsidRPr="006B7292">
        <w:rPr>
          <w:rStyle w:val="NumeroAFNegritaCaracter"/>
        </w:rPr>
        <w:t>6</w:t>
      </w:r>
      <w:r>
        <w:t>. El Abogado del Estado se persona y presenta alegaciones en escrito de 17 de noviembre de 2015, solicitando la estimación de la cuestión de inconstitucionalidad.</w:t>
      </w:r>
    </w:p>
    <w:p w:rsidR="006B7292" w:rsidRDefault="006B7292" w:rsidP="006B7292">
      <w:pPr>
        <w:pStyle w:val="TextoNormal"/>
      </w:pPr>
    </w:p>
    <w:p w:rsidR="006B7292" w:rsidRDefault="006B7292" w:rsidP="006B7292">
      <w:pPr>
        <w:pStyle w:val="TextoNormal"/>
      </w:pPr>
      <w:r>
        <w:t xml:space="preserve">Sostiene, en primer término, que la autorización provisional que prevé el art. 65 </w:t>
      </w:r>
      <w:r w:rsidRPr="006B7292">
        <w:rPr>
          <w:i/>
        </w:rPr>
        <w:t>bis</w:t>
      </w:r>
      <w:r>
        <w:t>.1 de la Ley cántabra 2/2001 no es una verdadera autorización por cuanto ni implica una actividad de auténtica verificación o comprobación de la conformidad de la construcción con el planeamiento urbanístico, ni crea una situación definitiva, sino interina, ni persigue un interés público, sino particular, quedando además la situación creada sometida a término (caducidad, revocación o sustitución por licencia definitiva). En su opinión, la regulación persigue una adaptación del planeamiento a las condiciones de la edificación.</w:t>
      </w:r>
    </w:p>
    <w:p w:rsidR="006B7292" w:rsidRDefault="006B7292" w:rsidP="006B7292">
      <w:pPr>
        <w:pStyle w:val="TextoNormal"/>
      </w:pPr>
    </w:p>
    <w:p w:rsidR="006B7292" w:rsidRDefault="006B7292" w:rsidP="006B7292">
      <w:pPr>
        <w:pStyle w:val="TextoNormal"/>
      </w:pPr>
      <w:r>
        <w:t xml:space="preserve">Afirma, en segundo lugar, que el art. 65 </w:t>
      </w:r>
      <w:r w:rsidRPr="006B7292">
        <w:rPr>
          <w:i/>
        </w:rPr>
        <w:t>bis</w:t>
      </w:r>
      <w:r>
        <w:t>.1 en el inciso referido a las demoliciones judiciales, vulnera el derecho a la tutela judicial efectiva en su vertiente de derecho a la ejecución de las sentencias en sus propios términos. Señala, a estos efectos, que de acuerdo con la doctrina constitucional (SSTC 4/1988, 153/1992, y 73/2000), son contrarias al art. 24.1 en relación con los arts. 117.3 y 118 CE, las previsiones normativas que sacrifican, de forma desproporcionada, el pronunciamiento contenido en el fallo de una resolución judicial firme, de modo que de forma patente o manifiesta no exista la debida proporción entre el interés encarnado en la Ley y el concreto interés tutelado por el fallo a ejecutar, es decir, la debida proporción entre la finalidad perseguida y el sacrificio impuesto.</w:t>
      </w:r>
    </w:p>
    <w:p w:rsidR="006B7292" w:rsidRDefault="006B7292" w:rsidP="006B7292">
      <w:pPr>
        <w:pStyle w:val="TextoNormal"/>
      </w:pPr>
    </w:p>
    <w:p w:rsidR="006B7292" w:rsidRDefault="006B7292" w:rsidP="006B7292">
      <w:pPr>
        <w:pStyle w:val="TextoNormal"/>
      </w:pPr>
      <w:r>
        <w:t xml:space="preserve">Analizado el presente caso conforme a estos parámetros, el Abogado del Estado afirma que ni la Ley ni la defensa que de ella hace la Comunidad Autónoma ponderan debidamente los intereses en juego, sin que se advierta por qué razón el interés en conservar las edificaciones declaradas ilegales se antepone a la ejecución de las resoluciones judiciales firmes y llega a la conclusión de que, en realidad, la previsión del art. 65 </w:t>
      </w:r>
      <w:r w:rsidRPr="006B7292">
        <w:rPr>
          <w:i/>
        </w:rPr>
        <w:t>bis</w:t>
      </w:r>
      <w:r>
        <w:t>.1 genera un sacrificio injustificado de la intangibilidad y de la debida ejecución del fallo por un título que no constituye sino una situación interina no apta para enervar la fuerza de una sentencia judicial firme.</w:t>
      </w:r>
    </w:p>
    <w:p w:rsidR="006B7292" w:rsidRDefault="006B7292" w:rsidP="006B7292">
      <w:pPr>
        <w:pStyle w:val="TextoNormal"/>
      </w:pPr>
    </w:p>
    <w:p w:rsidR="006B7292" w:rsidRDefault="006B7292" w:rsidP="006B7292">
      <w:pPr>
        <w:pStyle w:val="TextoNormal"/>
      </w:pPr>
      <w:r>
        <w:t>En tercer lugar, argumenta que la regulación autonómica invade la competencia exclusiva del Estado en materia de legislación procesal, por cuanto ésta abarca la regulación de la ejecución de las resoluciones judiciales. Y ello sin que, por otra parte, pueda considerarse que se trata de una norma especial que deriva de las particularidades del derecho sustantivo de la Comunidad Autónoma de Cantabria.</w:t>
      </w:r>
    </w:p>
    <w:p w:rsidR="006B7292" w:rsidRDefault="006B7292" w:rsidP="006B7292">
      <w:pPr>
        <w:pStyle w:val="TextoNormal"/>
      </w:pPr>
    </w:p>
    <w:p w:rsidR="006B7292" w:rsidRDefault="006B7292" w:rsidP="006B7292">
      <w:pPr>
        <w:pStyle w:val="TextoNormal"/>
      </w:pPr>
      <w:r>
        <w:t>Por último, sostiene que la norma cuestionada invade la exclusividad de la potestad jurisdiccional consagrada en el art. 117.3 CE al quebrar el régimen uniforme de ejecución de las sentencias contencioso-administrativas, reconociendo la facultad de interferir en la ejecución de un pronunciamiento de una sentencia contencioso-administrativa firme mediante una autorización que se opone y contradice el pronunciamiento jurisdiccional, supeditando el ejercicio de la potestad judicial de ejecutar (art. 117.3 CE), la obligación de cumplir las sentencias firmes (art. 118 CE) y el derecho fundamental a la ejecución (art. 24 CE), a la concesión de una autorización provisional a la obra cuya demolición ordenó la jurisdicción.</w:t>
      </w:r>
    </w:p>
    <w:p w:rsidR="006B7292" w:rsidRDefault="006B7292" w:rsidP="006B7292">
      <w:pPr>
        <w:pStyle w:val="TextoNormal"/>
      </w:pPr>
    </w:p>
    <w:p w:rsidR="006B7292" w:rsidRDefault="006B7292" w:rsidP="006B7292">
      <w:pPr>
        <w:pStyle w:val="TextoNormal"/>
      </w:pPr>
      <w:r w:rsidRPr="006B7292">
        <w:rPr>
          <w:rStyle w:val="NumeroAFNegritaCaracter"/>
        </w:rPr>
        <w:t>7</w:t>
      </w:r>
      <w:r>
        <w:t>. El Gobierno de Cantabria formuló sus alegaciones por escrito registrado el 23 de noviembre de 2015.</w:t>
      </w:r>
    </w:p>
    <w:p w:rsidR="006B7292" w:rsidRDefault="006B7292" w:rsidP="006B7292">
      <w:pPr>
        <w:pStyle w:val="TextoNormal"/>
      </w:pPr>
    </w:p>
    <w:p w:rsidR="006B7292" w:rsidRDefault="006B7292" w:rsidP="006B7292">
      <w:pPr>
        <w:pStyle w:val="TextoNormal"/>
      </w:pPr>
      <w:r>
        <w:t xml:space="preserve">Expone los antecedentes del caso y sostiene que la autorización provisional que se regula en el art. 65 </w:t>
      </w:r>
      <w:r w:rsidRPr="006B7292">
        <w:rPr>
          <w:i/>
        </w:rPr>
        <w:t>bis</w:t>
      </w:r>
      <w:r>
        <w:t xml:space="preserve">.1 de la Ley 2/2001 es una nueva figura jurídica dirigida a conferir mayor eficacia a los planeamientos en tramitación mediante la anticipación parcial de sus efectos, con el fin de evitar causar perjuicios irreparables a los intereses de los particulares y al propio interés público. De esta forma, explica el Gobierno de Cantabria, se trata de una figura vinculada por un lado al planeamiento urbanístico, puesto que supone dar eficacia anticipada al planeamiento en tramitación, y, por otra, a la disciplina urbanística, por cuanto implica que no toda infracción de la legalidad ha de llevar aparejada la demolición de forma irremediable, especialmente cuando no se trata de zonas protegidas por alguna razón (costas, espacios naturales, bienes de interés cultural…). Es decir, en su opinión, se trata de una regulación basada en el principio de proporcionalidad que trata de conjugar el equilibrio justo entre la garantía de los intereses públicos y el mantenimiento del </w:t>
      </w:r>
      <w:r w:rsidRPr="006B7292">
        <w:rPr>
          <w:i/>
        </w:rPr>
        <w:t>ius aedificandi</w:t>
      </w:r>
      <w:r>
        <w:t xml:space="preserve"> cuando ello es posible. No se aplica, dirá, indiscriminadamente a cualesquiera edificaciones o construcciones preexistentes, pues el “plan de derribos” de 2011 contempla en muchos casos la demolición como única vía para ejecutar las sentencias, mientras que el art. 65 </w:t>
      </w:r>
      <w:r w:rsidRPr="006B7292">
        <w:rPr>
          <w:i/>
        </w:rPr>
        <w:t>bis</w:t>
      </w:r>
      <w:r>
        <w:t>.1 lo que regula son aquellos supuestos en que por medio de una ordenación que atienda al interés público sea posible legalizar la obra o edificación anteriormente ilegal.</w:t>
      </w:r>
    </w:p>
    <w:p w:rsidR="006B7292" w:rsidRDefault="006B7292" w:rsidP="006B7292">
      <w:pPr>
        <w:pStyle w:val="TextoNormal"/>
      </w:pPr>
    </w:p>
    <w:p w:rsidR="006B7292" w:rsidRDefault="006B7292" w:rsidP="006B7292">
      <w:pPr>
        <w:pStyle w:val="TextoNormal"/>
      </w:pPr>
      <w:r>
        <w:t xml:space="preserve">Destaca que el art. 65 </w:t>
      </w:r>
      <w:r w:rsidRPr="006B7292">
        <w:rPr>
          <w:i/>
        </w:rPr>
        <w:t>bis</w:t>
      </w:r>
      <w:r>
        <w:t xml:space="preserve">.1 no concede ni otorga directamente autorización provisional alguna, sino que es una norma de carácter general que regula la posibilidad de otorgar autorizaciones provisionales. Por tanto, sostiene que el art. 65 </w:t>
      </w:r>
      <w:r w:rsidRPr="006B7292">
        <w:rPr>
          <w:i/>
        </w:rPr>
        <w:t>bis</w:t>
      </w:r>
      <w:r>
        <w:t>.1 precisa de posteriores actos administrativos aplicativos y que serán las concretas autorizaciones provisionales que se otorguen al amparo de la norma las que puedan llegar a determinar, en su caso y si se dan los requisitos legalmente establecidos en la Ley reguladora de la jurisdicción contencioso-administrativa, la imposibilidad legal de proceder a la ejecución de una resolución judicial firme. En consecuencia, mantiene que esos actos administrativos concretos, esas autorizaciones provisionales que se otorguen en cada caso, sí son controlables y fiscalizables por los propios juzgados y tribunales contencioso-administrativos encargados de ejecutar las sentencias.</w:t>
      </w:r>
    </w:p>
    <w:p w:rsidR="006B7292" w:rsidRDefault="006B7292" w:rsidP="006B7292">
      <w:pPr>
        <w:pStyle w:val="TextoNormal"/>
      </w:pPr>
    </w:p>
    <w:p w:rsidR="006B7292" w:rsidRDefault="006B7292" w:rsidP="006B7292">
      <w:pPr>
        <w:pStyle w:val="TextoNormal"/>
      </w:pPr>
      <w:r>
        <w:t xml:space="preserve">Por último, considera que el art. 65 </w:t>
      </w:r>
      <w:r w:rsidRPr="006B7292">
        <w:rPr>
          <w:i/>
        </w:rPr>
        <w:t>bis</w:t>
      </w:r>
      <w:r>
        <w:t xml:space="preserve">.1 no constituye, en ningún caso, una norma de carácter procesal o que altere la legislación procesal o introduzca una causa de suspensión del procedimiento de ejecución judicial no previsto en la Ley reguladora de la jurisdicción contencioso-administrativa, pues entiende que se trata de una norma sustantiva, urbanística, que regula una nueva figura o instrucción del derecho urbanístico autonómico “dirigida a conferir a los planeamientos en tramitación (mediante la anticipación parcial de sus efectos), con el fin último de evitar la causación de perjuicios irreparables a los propietarios de construcciones y, en muchos casos, al propio interés público”. En cualquier caso, estima que la pretendida suspensión de la ejecución procesal no nace o se deriva directamente de la Ley 4/2013, no es efecto inmediato y necesario de la aprobación y vigencia de la norma —art. 65 </w:t>
      </w:r>
      <w:r w:rsidRPr="006B7292">
        <w:rPr>
          <w:i/>
        </w:rPr>
        <w:t>bis</w:t>
      </w:r>
      <w:r>
        <w:t>—, por lo que el vicio de inconstitucionalidad que se le imputa decae automáticamente. Lo que afecta a la ejecución de la sentencia, en su opinión, es, en su caso, la concreta autorización provisional que se otorgue por el ayuntamiento, si se cumplen los requisitos necesarios para ello.</w:t>
      </w:r>
    </w:p>
    <w:p w:rsidR="006B7292" w:rsidRDefault="006B7292" w:rsidP="006B7292">
      <w:pPr>
        <w:pStyle w:val="TextoNormal"/>
      </w:pPr>
    </w:p>
    <w:p w:rsidR="006B7292" w:rsidRDefault="006B7292" w:rsidP="006B7292">
      <w:pPr>
        <w:pStyle w:val="TextoNormal"/>
      </w:pPr>
      <w:r>
        <w:t xml:space="preserve">Afirma que el Tribunal deberá tener en cuenta en la fase de ejecución de la Sentencia, la existencia de la autorización provisional y la posibilidad de que la misma constituya una causa de imposibilidad legal de ejecución, pero podrá controlar o incluso anularla de conformidad con lo dispuesto en el art. 103.4 LJCA. Es decir, el hecho de que la autorización provisional se haya otorgado de conformidad con el artículo 65 </w:t>
      </w:r>
      <w:r w:rsidRPr="006B7292">
        <w:rPr>
          <w:i/>
        </w:rPr>
        <w:t>bis</w:t>
      </w:r>
      <w:r>
        <w:t xml:space="preserve"> no impide el control que el Tribunal puede y debe realizar </w:t>
      </w:r>
      <w:r w:rsidRPr="006B7292">
        <w:rPr>
          <w:i/>
        </w:rPr>
        <w:t>ex</w:t>
      </w:r>
      <w:r>
        <w:t xml:space="preserve"> art. 103.4 LJCA, esto es el examen de si la modificación del planeamiento tiene o no la única finalidad de convertir lo ilegal en legal, sino la de atender racionalmente el interés público urbanístico.</w:t>
      </w:r>
    </w:p>
    <w:p w:rsidR="006B7292" w:rsidRDefault="006B7292" w:rsidP="006B7292">
      <w:pPr>
        <w:pStyle w:val="TextoNormal"/>
      </w:pPr>
    </w:p>
    <w:p w:rsidR="006B7292" w:rsidRDefault="006B7292" w:rsidP="006B7292">
      <w:pPr>
        <w:pStyle w:val="TextoNormal"/>
      </w:pPr>
      <w:r>
        <w:t>A diferencia del caso de la STC 92/2013, en el presente caso el Gobierno de Cantabria defiende que la Ley 4/2013 no incide per se de forma directa en la ejecución, sino que será, en su caso, la correspondiente autorización provisional la que lo haga y la misma estará sujeta al control jurisdiccional. Rechaza el Gobierno de Cantabria que la regulación resulte contraria al derecho a la tutela judicial efectiva, pues el derecho a la ejecución de la Sentencia en sus propios términos “no impide que en determinados supuestos ésta devenga legal o materialmente imposible, lo cual habrá de apreciarse por el órgano judicial en resolución motivada, pues el cumplimiento o ejecución de las Sentencias depende de las características de cada proceso y del contenido del fallo”, tal y como ha reconocido el Tribunal Constitucional (STC 73/2000, de 14 de marzo).</w:t>
      </w:r>
    </w:p>
    <w:p w:rsidR="006B7292" w:rsidRDefault="006B7292" w:rsidP="006B7292">
      <w:pPr>
        <w:pStyle w:val="TextoNormal"/>
      </w:pPr>
    </w:p>
    <w:p w:rsidR="006B7292" w:rsidRDefault="006B7292" w:rsidP="006B7292">
      <w:pPr>
        <w:pStyle w:val="TextoNormal"/>
      </w:pPr>
      <w:r>
        <w:t>Y, por último, afirma también que, en todo caso, no se sacrifica de forma desproporcionada el pronunciamiento contenido en el fallo. En primer lugar, señala que las autorizaciones provisionales tienen una vigencia máxima de cuatro años de duración que es un plazo razonable que no sacrifica indefinidamente el contenido del fallo. En segundo lugar, destaca que la finalidad es evitar la causación de perjuicios irreparables no solo a los propietarios de las viviendas, sino también y principalmente al interés público, dados los enormes costes que tendrían para las arcas públicas, no sólo locales sino también autonómicas, la demolición de las viviendas con orden de derribo y la indemnización a todos los propietarios. Señala que el cálculo estimado que todo ello tendría para la hacienda de la Comunidad Autónoma se fija en torno a unos 300.000.000 €. Y, en tercer lugar, defiende que además no se sacrifica de forma desproporcionada el interés del restablecimiento de la legalidad urbanística que subyace en el fallo de la Sentencia, pues estas autorizaciones solo se otorgan a aquellas edificaciones o construcciones preexistentes que resulten compatibles con la nueva ordenación urbanística contenida en el planeamiento en tramitación, persiguiendo precisamente el restablecimiento de la legalidad urbanística.</w:t>
      </w:r>
    </w:p>
    <w:p w:rsidR="006B7292" w:rsidRDefault="006B7292" w:rsidP="006B7292">
      <w:pPr>
        <w:pStyle w:val="TextoNormal"/>
      </w:pPr>
    </w:p>
    <w:p w:rsidR="006B7292" w:rsidRDefault="006B7292" w:rsidP="006B7292">
      <w:pPr>
        <w:pStyle w:val="TextoNormal"/>
      </w:pPr>
      <w:r w:rsidRPr="006B7292">
        <w:rPr>
          <w:rStyle w:val="NumeroAFNegritaCaracter"/>
        </w:rPr>
        <w:t>8</w:t>
      </w:r>
      <w:r>
        <w:t>. El Letrado del Parlamento de Cantabria presenta su escrito de alegaciones el 24 de noviembre de 2015 en el que, en primer término, pone en entredicho que el planteamiento de la cuestión cumpla con el juicio de aplicabilidad y relevancia, pues, en su opinión, el contenido del fallo del litigio no ha de variar, con independencia de si se declara o no inconstitucional la ley, ya que, en cualquier caso se va a restablecer la legalidad, pues la Ley de Cantabria persigue el restablecimiento, evitando que se proceda a la demolición cuando se ha producido la modificación posterior del planeamiento de forma que lo construido se adecua ahora a él.</w:t>
      </w:r>
    </w:p>
    <w:p w:rsidR="006B7292" w:rsidRDefault="006B7292" w:rsidP="006B7292">
      <w:pPr>
        <w:pStyle w:val="TextoNormal"/>
      </w:pPr>
    </w:p>
    <w:p w:rsidR="006B7292" w:rsidRDefault="006B7292" w:rsidP="006B7292">
      <w:pPr>
        <w:pStyle w:val="TextoNormal"/>
      </w:pPr>
      <w:r>
        <w:t>Rechaza, en segundo lugar, que la Ley esté realmente previendo una suspensión de la ejecución de un fallo, pues considera que no interfiere en la legislación procesal ni en la resolución o ejecución del proceso, sino que se limita a prever una medida de restitución de la legalidad urbanística. La regulación tiene, además, a su juicio, amparo en las competencias que el Estatuto atribuye a la Comunidad Autónoma de Cantabria en materia de “organización, régimen y funcionamiento de sus instituciones de autogobierno” (art. 24.1 del Estatuto de Autonomía de Cantabria: EACant), “urbanismo y vivienda” (art. 24.3 EACant) y “procedimiento administrativo derivado de las especialidades de la organización propia” (art. 24.32 EACant).</w:t>
      </w:r>
    </w:p>
    <w:p w:rsidR="006B7292" w:rsidRDefault="006B7292" w:rsidP="006B7292">
      <w:pPr>
        <w:pStyle w:val="TextoNormal"/>
      </w:pPr>
    </w:p>
    <w:p w:rsidR="006B7292" w:rsidRDefault="006B7292" w:rsidP="006B7292">
      <w:pPr>
        <w:pStyle w:val="TextoNormal"/>
      </w:pPr>
      <w:r>
        <w:t>Defiende el Letrado del Parlamento de Cantabria que las autorizaciones provisionales no son legislación procesal, sino legislación urbanística, pues “la previsión y regulación de las “autorizaciones provisionales” es una clara manifestación de la gestión de los instrumentos planificadores y de la disciplina urbanística, como potestades que integran la materia urbanismo y que el Estatuto de Autonomía para Cantabria atribuye a la Comunidad Autónoma”. Y añade que “la ejecución de la sentencia también se produce cuando se adecua lo construido al planeamiento, sin que se suspenda el procedimiento judicial”.</w:t>
      </w:r>
    </w:p>
    <w:p w:rsidR="006B7292" w:rsidRDefault="006B7292" w:rsidP="006B7292">
      <w:pPr>
        <w:pStyle w:val="TextoNormal"/>
      </w:pPr>
    </w:p>
    <w:p w:rsidR="006B7292" w:rsidRDefault="006B7292" w:rsidP="006B7292">
      <w:pPr>
        <w:pStyle w:val="TextoNormal"/>
      </w:pPr>
      <w:r w:rsidRPr="006B7292">
        <w:rPr>
          <w:rStyle w:val="NumeroAFNegritaCaracter"/>
        </w:rPr>
        <w:t>9</w:t>
      </w:r>
      <w:r>
        <w:t>. La Fiscal General del Estado comparece mediante escrito registrado el 24 de noviembre de 2015 y formula sus alegaciones que apoyan el criterio de la Sala. Estima la Fiscal General del Estado que la norma cuestionada afecta, por un lado, al orden constitucional de distribución de competencias entre el Estado y la Comunidad Autónoma de Cantabria (art. 149.1.6 CE) y, por otro lado, al derecho fundamental a la ejecución de las sentencias en sus propios términos y a la garantía constitucional de integridad jurisdiccional de los jueces y tribunales (arts. 24 y 117.3 CE).</w:t>
      </w:r>
    </w:p>
    <w:p w:rsidR="006B7292" w:rsidRDefault="006B7292" w:rsidP="006B7292">
      <w:pPr>
        <w:pStyle w:val="TextoNormal"/>
      </w:pPr>
    </w:p>
    <w:p w:rsidR="006B7292" w:rsidRDefault="006B7292" w:rsidP="006B7292">
      <w:pPr>
        <w:pStyle w:val="TextoNormal"/>
      </w:pPr>
      <w:r>
        <w:t>En relación con el problema competencial, la Fiscal General del Estado pone de manifiesto que, a diferencia de otros Estatutos de Autonomía, el de Cantabria no contempla que el legislador autonómico pueda regular materia procesal. Por otra parte, en relación con el art. 117.3 CE afirma que la norma cuestionada incide en la regulación de la ejecución de sentencias al introducir un trámite ajeno a la propia ejecución de la Sentencia y que aunque sólo paraliza ésta temporalmente, en el fondo lo que pretende es legalizar las edificaciones que han de ser derribadas, puesto que “es fácilmente comprensible que en el nuevo planeamiento municipal que se redacte las determinaciones urbanísticas de las parcelas en que se encuentran levantadas las edificaciones declaradas ilegales coincidirán casi al pie de la letra con la realidad de lo edificado, de modo que posteriormente no existirá dificultad alguna para que tales edificaciones obtengan una nueva licencia de obra, con la consiguiente anulación de los efectos de la declaración de ilegalidad efectuada por los Tribunales”.</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 xml:space="preserve">Único. La presente cuestión de inconstitucionalidad ha sido promovida por la Sala de lo Contencioso-Administrativo del Tribunal Superior de Justicia de Cantabria en relación con el art. 65 </w:t>
      </w:r>
      <w:r w:rsidRPr="006B7292">
        <w:rPr>
          <w:i/>
        </w:rPr>
        <w:t>bis</w:t>
      </w:r>
      <w:r>
        <w:t>.1 de la Ley 2/2001, de 25 de junio, de ordenación territorial y del régimen urbanístico del suelo de Cantabria, introducido por la Ley 4/2013, de 20 de junio, en la parte del mismo que se refiere a las órdenes de demolición judiciales.</w:t>
      </w:r>
    </w:p>
    <w:p w:rsidR="006B7292" w:rsidRDefault="006B7292" w:rsidP="006B7292">
      <w:pPr>
        <w:pStyle w:val="TextoNormal"/>
      </w:pPr>
    </w:p>
    <w:p w:rsidR="006B7292" w:rsidRDefault="006B7292" w:rsidP="006B7292">
      <w:pPr>
        <w:pStyle w:val="TextoNormal"/>
      </w:pPr>
      <w:r>
        <w:t>El precepto dispone que “iniciado el procedimiento dirigido a la formación, modificación o revisión de los planes urbanísticos y demás instrumentos de planeamiento, y para impedir que se generen perjuicios irreparables al interés público o a los propietarios de edificaciones o actuaciones que, habiendo sido previamente declaradas ilegales y sobre las que hubiesen recaído órdenes de demolición administrativas o judiciales, puedan resultar conformes con la nueva ordenación que se está tramitando, el órgano municipal competente para aprobar inicialmente el plan podrá otorgar, de oficio o a instancia de los interesados, autorizaciones provisionales que afecten a dichas edificaciones o actuaciones preexistentes, previa comprobación de que resultan conformes con el nuevo planeamiento municipal en tramitación. Si el procedimiento se inicia a solicitud del interesado, transcurrido el plazo de tres meses sin haberse notificado resolución alguna podrá entender desestimada su petición.”</w:t>
      </w:r>
    </w:p>
    <w:p w:rsidR="006B7292" w:rsidRDefault="006B7292" w:rsidP="006B7292">
      <w:pPr>
        <w:pStyle w:val="TextoNormal"/>
      </w:pPr>
    </w:p>
    <w:p w:rsidR="006B7292" w:rsidRDefault="006B7292" w:rsidP="006B7292">
      <w:pPr>
        <w:pStyle w:val="TextoNormal"/>
      </w:pPr>
      <w:r>
        <w:t>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 y 117.3 CE que consagran, respectivamente, el derecho a la tutela judicial efectiva y, por tanto, también, su vertiente de derecho a la ejecución de sentencias, y la potestad exclusiva de jueces y tribunales para ejecutar lo juzgado.</w:t>
      </w:r>
    </w:p>
    <w:p w:rsidR="006B7292" w:rsidRDefault="006B7292" w:rsidP="006B7292">
      <w:pPr>
        <w:pStyle w:val="TextoNormal"/>
      </w:pPr>
    </w:p>
    <w:p w:rsidR="006B7292" w:rsidRDefault="006B7292" w:rsidP="006B7292">
      <w:pPr>
        <w:pStyle w:val="TextoNormal"/>
      </w:pPr>
      <w:r>
        <w:t xml:space="preserve">Este Tribunal, en su reciente STC 254/2015, de 30 de noviembre, estimatoria de la cuestión de inconstitucionalidad núm. 6860-2014, dictada con posterioridad a que la presente cuestión fuera admitida a trámite, ha declarado inconstitucional y nulo el inciso “o judiciales” del art. 65 </w:t>
      </w:r>
      <w:r w:rsidRPr="006B7292">
        <w:rPr>
          <w:i/>
        </w:rPr>
        <w:t>bis</w:t>
      </w:r>
      <w:r>
        <w:t>.1 de la Ley 2/2001, de 25 de junio, de ordenación territorial y de régimen urbanístico del suelo de Cantabria, introducido por la Ley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w:t>
      </w:r>
    </w:p>
    <w:p w:rsidR="006B7292" w:rsidRDefault="006B7292" w:rsidP="006B7292">
      <w:pPr>
        <w:pStyle w:val="TextoNormal"/>
      </w:pPr>
    </w:p>
    <w:p w:rsidR="006B7292" w:rsidRDefault="006B7292" w:rsidP="006B7292">
      <w:pPr>
        <w:pStyle w:val="TextoNormal"/>
      </w:pPr>
      <w:r>
        <w:t>Se sigue de ello que el referido inciso ha sido expulsado del ordenamiento, una vez anulado por inconstitucional, lo que impone ahora apreciar, conforme a reiterada doctrina de este Tribunal (por todos, ATC 28/2015, de 16 de febrero, FJ único), la desaparición sobrevenida del objeto de la presente cuestión, al haber quedado disipada la duda de constitucionalidad planteada por el órgano judicial.</w:t>
      </w:r>
    </w:p>
    <w:p w:rsidR="006B7292" w:rsidRDefault="006B7292" w:rsidP="006B7292">
      <w:pPr>
        <w:pStyle w:val="TextoNormal"/>
      </w:pPr>
    </w:p>
    <w:p w:rsidR="006B7292" w:rsidRDefault="006B7292" w:rsidP="006B7292">
      <w:pPr>
        <w:pStyle w:val="TextoNormal"/>
      </w:pPr>
      <w:r>
        <w:t>Por todo lo expuesto, la Sala</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Declarar la extinción de la cuestión de inconstitucionalidad núm. 4697-2015, por desaparición sobrevenida de su objeto.</w:t>
      </w:r>
    </w:p>
    <w:p w:rsidR="006B7292" w:rsidRDefault="006B7292" w:rsidP="006B7292">
      <w:pPr>
        <w:pStyle w:val="TextoNormal"/>
      </w:pPr>
    </w:p>
    <w:p w:rsidR="006B7292" w:rsidRDefault="006B7292" w:rsidP="006B7292">
      <w:pPr>
        <w:pStyle w:val="TextoNormal"/>
      </w:pPr>
      <w:r>
        <w:t>Madrid, a catorce de diciembre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34" w:name="AUTO_2015_220"/>
      <w:r>
        <w:t>AUTO 220/2015, de 14 de diciembre de 2015</w:t>
      </w:r>
    </w:p>
    <w:bookmarkEnd w:id="234"/>
    <w:p w:rsidR="006B7292" w:rsidRDefault="006B7292" w:rsidP="006B7292">
      <w:pPr>
        <w:pStyle w:val="TtuloResolucin"/>
      </w:pPr>
      <w:r>
        <w:t>Sala Segunda</w:t>
      </w:r>
    </w:p>
    <w:p w:rsidR="006B7292" w:rsidRDefault="006B7292" w:rsidP="006B7292">
      <w:pPr>
        <w:pStyle w:val="TextoNormalCentrado"/>
      </w:pPr>
      <w:r>
        <w:t>ECLI:ES:TC:2015:220A</w:t>
      </w:r>
    </w:p>
    <w:p w:rsidR="006B7292" w:rsidRDefault="006B7292" w:rsidP="006B7292">
      <w:pPr>
        <w:pStyle w:val="TextoNormalCentrado"/>
      </w:pPr>
    </w:p>
    <w:p w:rsidR="006B7292" w:rsidRDefault="006B7292" w:rsidP="006B7292">
      <w:pPr>
        <w:pStyle w:val="SntesisDescriptiva"/>
      </w:pPr>
      <w:r>
        <w:t>Excms. Srs. doña Adela Asua Batarrita, don Fernando Valdés Dal-Ré, don Juan José González Rivas,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Acuerda la extinción, por desaparición sobrevenida de objeto, de la cuestión de inconstitucionalidad 4698-2015, planteada por la Sala de lo Contencioso-Administrativo del Tribunal Superior de Justicia de Cantabria en relación con el artículo 65 bis.1 de la Ley 2/2001, de 25 de junio, de ordenación territorial y del régimen urbanístico del suelo de Cantabria.</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xml:space="preserve">. Por escrito registrado en este Tribunal el 4 de agosto de 2015, la Sala de lo Contencioso-administrativo del Tribunal Superior de Justicia de Cantabria remitió testimonio del Auto de 20 de julio de 2015 por el que se acordó plantear cuestión de inconstitucionalidad en relación con el art. 65 </w:t>
      </w:r>
      <w:r w:rsidRPr="006B7292">
        <w:rPr>
          <w:i/>
        </w:rPr>
        <w:t>bis</w:t>
      </w:r>
      <w:r>
        <w:t>.1 de la Ley 2/2001, de 25 de junio, de ordenación territorial y del régimen urbanístico del suelo de Cantabria, añadido por el art. 1 de la Ley 4/2013, de 20 de junio, en cuanto dice “órdenes de demolición judiciales”, por posible vulneración de los arts. 24, 117.3 y 149.1.6 CE.</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de hecho del planteamiento de la presente cuestión de inconstitucionalidad son, sucintamente expuestos, los siguientes:</w:t>
      </w:r>
    </w:p>
    <w:p w:rsidR="006B7292" w:rsidRDefault="006B7292" w:rsidP="006B7292">
      <w:pPr>
        <w:pStyle w:val="TextoNormal"/>
      </w:pPr>
    </w:p>
    <w:p w:rsidR="006B7292" w:rsidRDefault="006B7292" w:rsidP="006B7292">
      <w:pPr>
        <w:pStyle w:val="TextoNormal"/>
      </w:pPr>
      <w:r>
        <w:t>a) En el recurso contencioso-administrativo núm. 1200-1998 y acumulado 1914-1998 recayó Sentencia en fecha de 22 de marzo de 2000 por la que estimando el recurso en nombre y representación de ARCA (asociación para la defensa de los recursos naturales de Cantabria) se declaró la nulidad de la licencia de obras de 17 de julio de 1997 otorgada por el Ayuntamiento de Argoños, que fue declarada firme por el Tribunal Supremo tras declarar la inadmisión del recurso de casación promovido por dicho ayuntamiento.</w:t>
      </w:r>
    </w:p>
    <w:p w:rsidR="006B7292" w:rsidRDefault="006B7292" w:rsidP="006B7292">
      <w:pPr>
        <w:pStyle w:val="TextoNormal"/>
      </w:pPr>
    </w:p>
    <w:p w:rsidR="006B7292" w:rsidRDefault="006B7292" w:rsidP="006B7292">
      <w:pPr>
        <w:pStyle w:val="TextoNormal"/>
      </w:pPr>
      <w:r>
        <w:t>b) Instada la ejecución por la recurrente, se produjeron diversos avatares. Así, la Sala promovió cuestión de inconstitucionalidad contra el art. 2 de la Ley 2/2011, de 4 de abril, por la que se modifica la Ley 2/2001, de 25 de junio, de ordenación territorial y del régimen urbanístico del suelo de Cantabria, a la que se añadía una nueva disposición adicional sexta, por vulneración de los arts. 149.1.6 y 149.1.18 CE en relación con los arts. 9.3, 24.1, 106.1, 117 y 118 CE. Dicha cuestión fue admitida a trámite y registrada con el núm. 5728-2011. Por ATC 105/2013, de 20 de mayo, el Pleno acordó declarar extinguida la misma por desaparición sobrevenida de su objeto, por ser idéntica a la núm. 4596-2011, resuelta por este Tribunal en la STC 92/2013, de 22 de abril, en la que se declara la inconstitucionalidad y nulidad de varios apartados de la disposición adicional sexta de la Ley 2/2001, de ordenación territorial y del régimen urbanístico del suelo de Cantabria, introducida por el art. 2 de la Ley 2/2011.</w:t>
      </w:r>
    </w:p>
    <w:p w:rsidR="006B7292" w:rsidRDefault="006B7292" w:rsidP="006B7292">
      <w:pPr>
        <w:pStyle w:val="TextoNormal"/>
      </w:pPr>
    </w:p>
    <w:p w:rsidR="006B7292" w:rsidRDefault="006B7292" w:rsidP="006B7292">
      <w:pPr>
        <w:pStyle w:val="TextoNormal"/>
      </w:pPr>
      <w:r>
        <w:t>El desarrollo posterior de la ejecución hasta el planteamiento de la cuestión de inconstitucionalidad se puede resumir así. La inicial propuesta de ejecución presentada por el Ayuntamiento de Argoños fue rechazada por la recurrente. Por Auto de 24 de marzo de 2014 la Sala requirió al Ayuntamiento de Argoños para que en el término improrrogable de un mes presentase una propuesta más ajustada a los términos de la STC 92/2013, de 22 de abril, FJ 6, con apercibimiento de continuar con la ejecución subsidiaria en su día acordada a través de la empresa Tragsa. La nueva propuesta fue rechazada por la recurrente. A solicitud del ayuntamiento se celebró vista para ajustar la propuesta municipal. El ayuntamiento solicitó que se designase ejecutante subsidiario al Gobierno de Cantabria y se relevare a la mercantil Tragsa y que se aprobara el plan-calendario de ejecución ajustado que había presentado. El Gobierno de Cantabria compareció en el procedimiento y solicitó igualmente que se le designase ejecutante subsidiario en lugar de Tragsa.</w:t>
      </w:r>
    </w:p>
    <w:p w:rsidR="006B7292" w:rsidRDefault="006B7292" w:rsidP="006B7292">
      <w:pPr>
        <w:pStyle w:val="TextoNormal"/>
      </w:pPr>
    </w:p>
    <w:p w:rsidR="006B7292" w:rsidRDefault="006B7292" w:rsidP="006B7292">
      <w:pPr>
        <w:pStyle w:val="TextoNormal"/>
      </w:pPr>
      <w:r>
        <w:t xml:space="preserve">c) La parte ejecutada planteó por escrito de 22 de mayo de 2015 un incidente de ejecución de sentencia. En dicho escrito se comunicaba que los propietarios de las viviendas objeto del procedimiento de ejecución habían solicitado y obtenido, con fecha de 25 de marzo de 2015, autorización provisional para sus construcciones de conformidad con lo establecido en el art. 65 </w:t>
      </w:r>
      <w:r w:rsidRPr="006B7292">
        <w:rPr>
          <w:i/>
        </w:rPr>
        <w:t>bis</w:t>
      </w:r>
      <w:r>
        <w:t>.1 de la Ley 2/2001, de 25 de junio, de ordenación territorial y del régimen urbanístico del suelo de Cantabria, introducido por el art. 1 de la Ley 4/2013, de 20 de junio, y se proponía un procedimiento de ejecución respetuoso con dicha autorización provisional.</w:t>
      </w:r>
    </w:p>
    <w:p w:rsidR="006B7292" w:rsidRDefault="006B7292" w:rsidP="006B7292">
      <w:pPr>
        <w:pStyle w:val="TextoNormal"/>
      </w:pPr>
    </w:p>
    <w:p w:rsidR="006B7292" w:rsidRDefault="006B7292" w:rsidP="006B7292">
      <w:pPr>
        <w:pStyle w:val="TextoNormal"/>
      </w:pPr>
      <w:r>
        <w:t xml:space="preserve">d) Por providencia de 28 de mayo de 2015 la Sala de lo Contencioso-Administrativo del Tribunal Superior de Justicia de Cantabria, de conformidad con lo dispuesto en el art. 35.2 de la Ley Orgánica del Tribunal Constitucional (LOTC), acordó oír a las partes personadas y al Ministerio Fiscal por el término común de diez días sobre la pertinencia de plantear cuestión de inconstitucionalidad respecto del art. 65 </w:t>
      </w:r>
      <w:r w:rsidRPr="006B7292">
        <w:rPr>
          <w:i/>
        </w:rPr>
        <w:t>bis</w:t>
      </w:r>
      <w:r>
        <w:t xml:space="preserve"> de la Ley 2/2001, de 25 de junio, de ordenación territorial y del régimen urbanístico del suelo de Cantabria, añadido por la Ley 4/2013, de 20 de junio. En concreto, dudaba de la constitucionalidad del art. art. 65 </w:t>
      </w:r>
      <w:r w:rsidRPr="006B7292">
        <w:rPr>
          <w:i/>
        </w:rPr>
        <w:t>bis</w:t>
      </w:r>
      <w:r>
        <w:t>.1 de la Ley 2/2001, de 25 de junio, de ordenación territorial y del régimen urbanístico del suelo de Cantabria, añadido por el art. 1 de la Ley 4/2013, de 20 de junio, en la parte que se refiere a las órdenes de demolición judicial. Entendía que el inciso del precepto legal impugnado pudiera ser contrario al art. 24, 117.3 y 149.1.6 CE.</w:t>
      </w:r>
    </w:p>
    <w:p w:rsidR="006B7292" w:rsidRDefault="006B7292" w:rsidP="006B7292">
      <w:pPr>
        <w:pStyle w:val="TextoNormal"/>
      </w:pPr>
    </w:p>
    <w:p w:rsidR="006B7292" w:rsidRDefault="006B7292" w:rsidP="006B7292">
      <w:pPr>
        <w:pStyle w:val="TextoNormal"/>
      </w:pPr>
      <w:r>
        <w:t>e) Evacuado el trámite de audiencia del art. 35.2 LOTC con el resultado que consta en las actuaciones, por Auto de 20 de julio de 2015 la Sala de lo Contencioso-Administrativo del Tribunal Superior de Justicia de Cantabria acordó plantear cuestión de inconstitucionalidad sobre el precepto antes citado.</w:t>
      </w:r>
    </w:p>
    <w:p w:rsidR="006B7292" w:rsidRDefault="006B7292" w:rsidP="006B7292">
      <w:pPr>
        <w:pStyle w:val="TextoNormal"/>
      </w:pPr>
    </w:p>
    <w:p w:rsidR="006B7292" w:rsidRDefault="006B7292" w:rsidP="006B7292">
      <w:pPr>
        <w:pStyle w:val="TextoNormal"/>
      </w:pPr>
      <w:r w:rsidRPr="006B7292">
        <w:rPr>
          <w:rStyle w:val="NumeroAFNegritaCaracter"/>
        </w:rPr>
        <w:t>3</w:t>
      </w:r>
      <w:r>
        <w:t>. En cuanto al contenido del Auto de promoción importa destacar lo siguiente:</w:t>
      </w:r>
    </w:p>
    <w:p w:rsidR="006B7292" w:rsidRDefault="006B7292" w:rsidP="006B7292">
      <w:pPr>
        <w:pStyle w:val="TextoNormal"/>
      </w:pPr>
    </w:p>
    <w:p w:rsidR="006B7292" w:rsidRDefault="006B7292" w:rsidP="006B7292">
      <w:pPr>
        <w:pStyle w:val="TextoNormal"/>
      </w:pPr>
      <w:r>
        <w:t>Tras exponer que los hechos que han dado lugar al planteamiento de la cuestión y justificar que el precepto cuestionado, al ser la norma en la que se fundamenta el incidente por el que se solicita la suspensión de la ejecución de la Sentencia, es relevante para el fallo, entra a analizar las razones por las que duda de su constitucionalidad.</w:t>
      </w:r>
    </w:p>
    <w:p w:rsidR="006B7292" w:rsidRDefault="006B7292" w:rsidP="006B7292">
      <w:pPr>
        <w:pStyle w:val="TextoNormal"/>
      </w:pPr>
    </w:p>
    <w:p w:rsidR="006B7292" w:rsidRDefault="006B7292" w:rsidP="006B7292">
      <w:pPr>
        <w:pStyle w:val="TextoNormal"/>
      </w:pPr>
      <w:r>
        <w:t xml:space="preserve">Según se afirma en esta resolución el art. 65 </w:t>
      </w:r>
      <w:r w:rsidRPr="006B7292">
        <w:rPr>
          <w:i/>
        </w:rPr>
        <w:t>bis</w:t>
      </w:r>
      <w:r>
        <w:t>.1 de la Ley de ordenación territorial y del régimen urbanístico del suelo de Cantabria, en la parte que se refiere a las ordenes de demolición judiciales, puede ser lesivo del art. 149.1.6 CE, al derecho a la ejecución de sentencias que garantiza el art. 24 CE y al art. 117.3 CE.</w:t>
      </w:r>
    </w:p>
    <w:p w:rsidR="006B7292" w:rsidRDefault="006B7292" w:rsidP="006B7292">
      <w:pPr>
        <w:pStyle w:val="TextoNormal"/>
      </w:pPr>
    </w:p>
    <w:p w:rsidR="006B7292" w:rsidRDefault="006B7292" w:rsidP="006B7292">
      <w:pPr>
        <w:pStyle w:val="TextoNormal"/>
      </w:pPr>
      <w:r>
        <w:t>La Sala sostiene, en primer lugar, que el referido precepto, al establecer que “durante el tiempo en el que estén vigentes las autorizaciones provisionales las edificaciones afectadas se mantendrán en la situación en la que se encuentren y les será de aplicación el régimen previsto para los edificios de fuera de ordenación”, está introduciendo una causa de suspensión de la ejecución de las sentencias que vulnera las competencias que el art. 149.1.6 CE atribuye al Estado en materia de legislación procesal.</w:t>
      </w:r>
    </w:p>
    <w:p w:rsidR="006B7292" w:rsidRDefault="006B7292" w:rsidP="006B7292">
      <w:pPr>
        <w:pStyle w:val="TextoNormal"/>
      </w:pPr>
    </w:p>
    <w:p w:rsidR="006B7292" w:rsidRDefault="006B7292" w:rsidP="006B7292">
      <w:pPr>
        <w:pStyle w:val="TextoNormal"/>
      </w:pPr>
      <w:r>
        <w:t>También considera que la autorización provisional que establece el precepto cuestionado, al impedir la demolición acordada en la Sentencia, es contraria al derecho a la ejecución de sentencias, derecho que forma parte del derecho fundamental a la tutela judicial efectiva (art. 24.1 CE), y puede lesionar el art 117.3 CE, ya que permite que la Administración pueda frustrar el cumplimiento del fallo de la sentencia.</w:t>
      </w:r>
    </w:p>
    <w:p w:rsidR="006B7292" w:rsidRDefault="006B7292" w:rsidP="006B7292">
      <w:pPr>
        <w:pStyle w:val="TextoNormal"/>
      </w:pPr>
    </w:p>
    <w:p w:rsidR="006B7292" w:rsidRDefault="006B7292" w:rsidP="006B7292">
      <w:pPr>
        <w:pStyle w:val="TextoNormal"/>
      </w:pPr>
      <w:r>
        <w:t>En el Auto de planteamiento se invoca la doctrina establecida en la STC 82/2014, de 28 de mayo, en la que se ha considerado contrario a la competencia estatal en materia de legislación procesal que el legislador autonómico establezca una causa de suspensión o aplazamiento de la ejecución de las sentencias que han de ejecutarse mediante el derribo de las edificaciones y ha apreciado también que, en la medida en que la efectividad de la demolición judicialmente acordada depende de que la Administración resuelva un procedimiento de responsabilidad patrimonial y, en su caso, abone la indemnización acordada al perjudicado, “la ejecución de la Sentencia termina por escapar del control judicial, único competente para hacer ejecutar lo juzgado a tenor de lo dispuesto en el art. 117.3 CE”.</w:t>
      </w:r>
    </w:p>
    <w:p w:rsidR="006B7292" w:rsidRDefault="006B7292" w:rsidP="006B7292">
      <w:pPr>
        <w:pStyle w:val="TextoNormal"/>
      </w:pPr>
    </w:p>
    <w:p w:rsidR="006B7292" w:rsidRDefault="006B7292" w:rsidP="006B7292">
      <w:pPr>
        <w:pStyle w:val="TextoNormal"/>
      </w:pPr>
      <w:r>
        <w:t xml:space="preserve">Las anteriores consideraciones llevan a la Sala a plantear cuestión de inconstitucionalidad en relación con el art. 65 </w:t>
      </w:r>
      <w:r w:rsidRPr="006B7292">
        <w:rPr>
          <w:i/>
        </w:rPr>
        <w:t>bis</w:t>
      </w:r>
      <w:r>
        <w:t>.1 de la Ley 2/2001, de 25 de junio, de ordenación territorial y régimen urbanístico, modificada por la Ley 4/2013, en la parte que se refiere a las órdenes de demolición judiciales.</w:t>
      </w:r>
    </w:p>
    <w:p w:rsidR="006B7292" w:rsidRDefault="006B7292" w:rsidP="006B7292">
      <w:pPr>
        <w:pStyle w:val="TextoNormal"/>
      </w:pPr>
    </w:p>
    <w:p w:rsidR="006B7292" w:rsidRDefault="006B7292" w:rsidP="006B7292">
      <w:pPr>
        <w:pStyle w:val="TextoNormal"/>
      </w:pPr>
      <w:r w:rsidRPr="006B7292">
        <w:rPr>
          <w:rStyle w:val="NumeroAFNegritaCaracter"/>
        </w:rPr>
        <w:t>4</w:t>
      </w:r>
      <w:r>
        <w:t>. Por providencia de 20 de octubre de 2015, el Pleno, a propuesta de la Sección Tercera, acordó admitir a trámite la cuestión de inconstitucionalidad, deferir su conocimiento a la Sala Segunda a la que por turno objetivo ha correspondido, y dar traslado de las actuaciones al Congreso de los Diputados y al Senado por conducto de sus Presidentes, al Gobierno por conducto del Ministro de Justicia, y al Fiscal General del Estado, así como al Gobierno y al Parlamento de Cantabria por conducto de sus Presidentes, al objeto de que, en el improrrogable plazo de quince días, pudieran personarse en el proceso y formular las alegaciones que estimasen convenientes. Asimismo se acordó comunicar la admisión al órgano judicial proponente a fin de que, de conformidad con el art. 35.3 LOTC, permaneciera suspendido el proceso judicial hasta que se resolviera la cuestión de inconstitucionalidad. En la misma providencia acordó el Tribunal publicar la incoación de la cuestión de inconstitucionalidad en el “Boletín Oficial del Estado” y en el “Boletín Oficial de Cantabria”.</w:t>
      </w:r>
    </w:p>
    <w:p w:rsidR="006B7292" w:rsidRDefault="006B7292" w:rsidP="006B7292">
      <w:pPr>
        <w:pStyle w:val="TextoNormal"/>
      </w:pPr>
    </w:p>
    <w:p w:rsidR="006B7292" w:rsidRDefault="006B7292" w:rsidP="006B7292">
      <w:pPr>
        <w:pStyle w:val="TextoNormal"/>
      </w:pPr>
      <w:r w:rsidRPr="006B7292">
        <w:rPr>
          <w:rStyle w:val="NumeroAFNegritaCaracter"/>
        </w:rPr>
        <w:t>5</w:t>
      </w:r>
      <w:r>
        <w:t>. El Presidente del Congreso de los Diputados, mediante escrito que tuvo entrada el 30 de octubre de 2015, comunicó que la Mesa de la Cámara había acordado personarse en el proceso, ofreciendo su colaboración a los efectos del art. 88.1 LOTC. Lo mismo hizo el Presidente del Senado mediante escrito que tuvo entrada el 3 de noviembre de 2015.</w:t>
      </w:r>
    </w:p>
    <w:p w:rsidR="006B7292" w:rsidRDefault="006B7292" w:rsidP="006B7292">
      <w:pPr>
        <w:pStyle w:val="TextoNormal"/>
      </w:pPr>
    </w:p>
    <w:p w:rsidR="006B7292" w:rsidRDefault="006B7292" w:rsidP="006B7292">
      <w:pPr>
        <w:pStyle w:val="TextoNormal"/>
      </w:pPr>
      <w:r w:rsidRPr="006B7292">
        <w:rPr>
          <w:rStyle w:val="NumeroAFNegritaCaracter"/>
        </w:rPr>
        <w:t>6</w:t>
      </w:r>
      <w:r>
        <w:t>. El Abogado del Estado se persona y presenta alegaciones en escrito de 17 de noviembre de 2015 solicitando la estimación de la cuestión de inconstitucionalidad.</w:t>
      </w:r>
    </w:p>
    <w:p w:rsidR="006B7292" w:rsidRDefault="006B7292" w:rsidP="006B7292">
      <w:pPr>
        <w:pStyle w:val="TextoNormal"/>
      </w:pPr>
    </w:p>
    <w:p w:rsidR="006B7292" w:rsidRDefault="006B7292" w:rsidP="006B7292">
      <w:pPr>
        <w:pStyle w:val="TextoNormal"/>
      </w:pPr>
      <w:r>
        <w:t xml:space="preserve">Sostiene, en primer término, que la autorización provisional que prevé el art. 65 </w:t>
      </w:r>
      <w:r w:rsidRPr="006B7292">
        <w:rPr>
          <w:i/>
        </w:rPr>
        <w:t>bis</w:t>
      </w:r>
      <w:r>
        <w:t>.1 de la Ley cántabra 2/2001 no es una verdadera autorización por cuanto ni implica una actividad de auténtica verificación o comprobación de la conformidad de la construcción con el planeamiento urbanístico, ni crea una situación definitiva, sino interina, ni persigue un interés público, sino particular, quedando además la situación creada sometida a término (caducidad, revocación o sustitución por licencia definitiva). En su opinión, la regulación persigue una adaptación del planeamiento a las condiciones de la edificación.</w:t>
      </w:r>
    </w:p>
    <w:p w:rsidR="006B7292" w:rsidRDefault="006B7292" w:rsidP="006B7292">
      <w:pPr>
        <w:pStyle w:val="TextoNormal"/>
      </w:pPr>
    </w:p>
    <w:p w:rsidR="006B7292" w:rsidRDefault="006B7292" w:rsidP="006B7292">
      <w:pPr>
        <w:pStyle w:val="TextoNormal"/>
      </w:pPr>
      <w:r>
        <w:t xml:space="preserve">Afirma, en segundo lugar, que el art. 65 </w:t>
      </w:r>
      <w:r w:rsidRPr="006B7292">
        <w:rPr>
          <w:i/>
        </w:rPr>
        <w:t>bis</w:t>
      </w:r>
      <w:r>
        <w:t>.1 en el inciso referido a las demoliciones judiciales, vulnera el derecho a la tutela judicial efectiva en su vertiente de derecho a la ejecución de las sentencias en sus propios términos. Señala, a estos efectos, que de acuerdo con la doctrina constitucional (SSTC 4/1988, 153/1992 y 73/2000), son contrarias al art. 24.1 en relación con los arts. 117.3 y 118 CE, las previsiones normativas que sacrifican, de forma desproporcionada, el pronunciamiento contenido en el fallo de una resolución judicial firme, de modo que de forma patente o manifiesta no exista la debida proporción entre el interés encarnado en la Ley y el concreto interés tutelado por el fallo a ejecutar, es decir, la debida proporción entre la finalidad perseguida y el sacrificio impuesto.</w:t>
      </w:r>
    </w:p>
    <w:p w:rsidR="006B7292" w:rsidRDefault="006B7292" w:rsidP="006B7292">
      <w:pPr>
        <w:pStyle w:val="TextoNormal"/>
      </w:pPr>
    </w:p>
    <w:p w:rsidR="006B7292" w:rsidRDefault="006B7292" w:rsidP="006B7292">
      <w:pPr>
        <w:pStyle w:val="TextoNormal"/>
      </w:pPr>
      <w:r>
        <w:t xml:space="preserve">Analizado el presente caso conforme a estos parámetros, el Abogado del Estado afirma que ni la ley ni la defensa que de ella hace la Comunidad Autónoma ponderan debidamente los intereses en juego, sin que se advierta por qué razón el interés en conservar las edificaciones declaradas ilegales se antepone a la ejecución de las resoluciones judiciales firmes y llega a la conclusión de que, en realidad, la previsión del art. 65 </w:t>
      </w:r>
      <w:r w:rsidRPr="006B7292">
        <w:rPr>
          <w:i/>
        </w:rPr>
        <w:t>bis</w:t>
      </w:r>
      <w:r>
        <w:t>.1 genera un sacrificio injustificado de la intangibilidad y de la debida ejecución del fallo por un título que no constituye sino una situación interina no apta para enervar la fuerza de una sentencia judicial firme.</w:t>
      </w:r>
    </w:p>
    <w:p w:rsidR="006B7292" w:rsidRDefault="006B7292" w:rsidP="006B7292">
      <w:pPr>
        <w:pStyle w:val="TextoNormal"/>
      </w:pPr>
    </w:p>
    <w:p w:rsidR="006B7292" w:rsidRDefault="006B7292" w:rsidP="006B7292">
      <w:pPr>
        <w:pStyle w:val="TextoNormal"/>
      </w:pPr>
      <w:r>
        <w:t>En tercer lugar, argumenta que la regulación autonómica invade la competencia exclusiva del Estado en materia de legislación procesal por cuanto ésta abarca la regulación de la ejecución de las resoluciones judiciales. Y ello sin que, por otra parte, pueda considerarse que se trata de una norma especial que deriva de las particularidades del derecho sustantivo de la Comunidad Autónoma de Cantabria.</w:t>
      </w:r>
    </w:p>
    <w:p w:rsidR="006B7292" w:rsidRDefault="006B7292" w:rsidP="006B7292">
      <w:pPr>
        <w:pStyle w:val="TextoNormal"/>
      </w:pPr>
    </w:p>
    <w:p w:rsidR="006B7292" w:rsidRDefault="006B7292" w:rsidP="006B7292">
      <w:pPr>
        <w:pStyle w:val="TextoNormal"/>
      </w:pPr>
      <w:r>
        <w:t>Por último, sostiene que la norma cuestionada invade la exclusividad de la potestad jurisdiccional consagrada en el art. 117.3 CE al quebrar el régimen uniforme de ejecución de las sentencias contencioso-administrativas reconociendo la facultad de interferir en la ejecución de un pronunciamiento de una sentencia contencioso-administrativa firme mediante una autorización que se opone y contradice el pronunciamiento jurisdiccional supeditando el ejercicio de la potestad judicial de ejecutar (art. 117.3 CE), la obligación de cumplir las sentencias firmes (art. 118 CE) y el derecho fundamental a la ejecución (art. 24 CE), a la concesión de una autorización provisional a la obra cuya demolición ordenó la jurisdicción.</w:t>
      </w:r>
    </w:p>
    <w:p w:rsidR="006B7292" w:rsidRDefault="006B7292" w:rsidP="006B7292">
      <w:pPr>
        <w:pStyle w:val="TextoNormal"/>
      </w:pPr>
    </w:p>
    <w:p w:rsidR="006B7292" w:rsidRDefault="006B7292" w:rsidP="006B7292">
      <w:pPr>
        <w:pStyle w:val="TextoNormal"/>
      </w:pPr>
      <w:r w:rsidRPr="006B7292">
        <w:rPr>
          <w:rStyle w:val="NumeroAFNegritaCaracter"/>
        </w:rPr>
        <w:t>7</w:t>
      </w:r>
      <w:r>
        <w:t>. La Fiscal General del Estado comparece mediante escrito registrado el 20 de noviembre de 2015 y formula sus alegaciones que apoyan el criterio de la Sala. Estima la Fiscal General del Estado que la norma cuestionada afecta, por un lado, al orden constitucional de distribución de competencias entre el Estado y la Comunidad Autónoma de Cantabria (art. 149.1.6 CE) y, por otro lado, al derecho fundamental a la ejecución de las sentencias en sus propios términos y a la garantía constitucional de integridad jurisdiccional de los jueces y tribunales (arts. 24 y 117.3 CE).</w:t>
      </w:r>
    </w:p>
    <w:p w:rsidR="006B7292" w:rsidRDefault="006B7292" w:rsidP="006B7292">
      <w:pPr>
        <w:pStyle w:val="TextoNormal"/>
      </w:pPr>
    </w:p>
    <w:p w:rsidR="006B7292" w:rsidRDefault="006B7292" w:rsidP="006B7292">
      <w:pPr>
        <w:pStyle w:val="TextoNormal"/>
      </w:pPr>
      <w:r>
        <w:t>En relación con el problema competencial, la Fiscal General del Estado pone de manifiesto que, a diferencia de otros Estatutos de Autonomía, el de Cantabria no contempla que el legislador autonómico pueda regular materia procesal. Por otra parte, en relación con el art. 117.3 CE afirma que la norma cuestionada incide en la regulación de la ejecución de sentencias al introducir un trámite ajeno a la propia ejecución de la Sentencia y que aunque sólo paraliza ésta temporalmente en el fondo lo que pretende es legalizar las edificaciones que han de ser derribadas, puesto que “es fácilmente comprensible que en el nuevo planeamiento municipal que se redacte las determinaciones urbanísticas de las parcelas en que se encuentran levantadas las edificaciones declaradas ilegales coincidirán casi al pie de la letra con la realidad de lo edificado, de modo que posteriormente no existirá dificultad alguna para que tales edificaciones obtengan una nueva licencia de obra, con la consiguiente anulación de los efectos de la declaración de ilegalidad efectuada por los Tribunales”.</w:t>
      </w:r>
    </w:p>
    <w:p w:rsidR="006B7292" w:rsidRDefault="006B7292" w:rsidP="006B7292">
      <w:pPr>
        <w:pStyle w:val="TextoNormal"/>
      </w:pPr>
    </w:p>
    <w:p w:rsidR="006B7292" w:rsidRDefault="006B7292" w:rsidP="006B7292">
      <w:pPr>
        <w:pStyle w:val="TextoNormal"/>
      </w:pPr>
      <w:r w:rsidRPr="006B7292">
        <w:rPr>
          <w:rStyle w:val="NumeroAFNegritaCaracter"/>
        </w:rPr>
        <w:t>8</w:t>
      </w:r>
      <w:r>
        <w:t>. El Gobierno de Cantabria formuló sus alegaciones por escrito registrado el 23 de noviembre de 2015.</w:t>
      </w:r>
    </w:p>
    <w:p w:rsidR="006B7292" w:rsidRDefault="006B7292" w:rsidP="006B7292">
      <w:pPr>
        <w:pStyle w:val="TextoNormal"/>
      </w:pPr>
    </w:p>
    <w:p w:rsidR="006B7292" w:rsidRDefault="006B7292" w:rsidP="006B7292">
      <w:pPr>
        <w:pStyle w:val="TextoNormal"/>
      </w:pPr>
      <w:r>
        <w:t xml:space="preserve">Expone los antecedentes del caso y sostiene que la autorización provisional que se regula en el art. 65 </w:t>
      </w:r>
      <w:r w:rsidRPr="006B7292">
        <w:rPr>
          <w:i/>
        </w:rPr>
        <w:t>bis</w:t>
      </w:r>
      <w:r>
        <w:t xml:space="preserve">.1 de la Ley 2/2001 es una nueva figura jurídica dirigida a conferir mayor eficacia a los planeamientos en tramitación mediante la anticipación parcial de sus efectos, con el fin de evitar causar perjuicios irreparables a los intereses de los particulares y al propio interés público. De esta forma, explica el Gobierno de Cantabria, se trata de una figura vinculada por un lado al planeamiento urbanístico, puesto que supone dar eficacia anticipada al planeamiento en tramitación, y, por otra, a la disciplina urbanística, por cuanto implica que no toda infracción de la legalidad ha de llevar aparejada la demolición de forma irremediable, especialmente cuando no se trata de zonas protegidas por alguna razón (costas, espacios naturales, bienes de interés cultural…). Es decir, en su opinión, se trata de una regulación basada en el principio de proporcionalidad que trata de conjugar el equilibrio justo entre la garantía de los intereses públicos y el mantenimiento del </w:t>
      </w:r>
      <w:r w:rsidRPr="006B7292">
        <w:rPr>
          <w:i/>
        </w:rPr>
        <w:t>ius aedificandi</w:t>
      </w:r>
      <w:r>
        <w:t xml:space="preserve"> cuando ello es posible. No se aplica, dirá, indiscriminadamente a cualesquiera edificaciones o construcciones preexistentes, pues el “plan de derribos” de 2011 contempla en muchos casos la demolición como única vía para ejecutar las sentencias, mientras que el art. 65 </w:t>
      </w:r>
      <w:r w:rsidRPr="006B7292">
        <w:rPr>
          <w:i/>
        </w:rPr>
        <w:t>bis</w:t>
      </w:r>
      <w:r>
        <w:t>.1 lo que regula es aquellos supuestos en que por medio de una ordenación que atienda al interés público sea posible legalizar la obra o edificación anteriormente ilegal.</w:t>
      </w:r>
    </w:p>
    <w:p w:rsidR="006B7292" w:rsidRDefault="006B7292" w:rsidP="006B7292">
      <w:pPr>
        <w:pStyle w:val="TextoNormal"/>
      </w:pPr>
    </w:p>
    <w:p w:rsidR="006B7292" w:rsidRDefault="006B7292" w:rsidP="006B7292">
      <w:pPr>
        <w:pStyle w:val="TextoNormal"/>
      </w:pPr>
      <w:r>
        <w:t xml:space="preserve">Destaca que el art. 65 </w:t>
      </w:r>
      <w:r w:rsidRPr="006B7292">
        <w:rPr>
          <w:i/>
        </w:rPr>
        <w:t>bis</w:t>
      </w:r>
      <w:r>
        <w:t xml:space="preserve">.1 no concede ni otorga directamente autorización provisional alguna, sino que es una norma de carácter general que regula la posibilidad de otorgar autorizaciones provisionales. Por tanto, sostiene que el art. 65 </w:t>
      </w:r>
      <w:r w:rsidRPr="006B7292">
        <w:rPr>
          <w:i/>
        </w:rPr>
        <w:t>bis</w:t>
      </w:r>
      <w:r>
        <w:t>.1 precisa de posteriores actos administrativos aplicativos y que serán las concretas autorizaciones provisionales que se otorguen al amparo de la norma las que puedan llegar a determinar, en su caso y si se dan los requisitos legalmente establecidos en la Ley reguladora de la jurisdicción contencioso-administrativa, la imposibilidad legal de proceder a la ejecución de una resolución judicial firme. En consecuencia, mantiene que esos actos administrativos concretos, esas autorizaciones provisionales que se otorguen en cada caso, sí son controlables y fiscalizables por los propios juzgados y tribunales contencioso-administrativos encargados de ejecutar las sentencias.</w:t>
      </w:r>
    </w:p>
    <w:p w:rsidR="006B7292" w:rsidRDefault="006B7292" w:rsidP="006B7292">
      <w:pPr>
        <w:pStyle w:val="TextoNormal"/>
      </w:pPr>
    </w:p>
    <w:p w:rsidR="006B7292" w:rsidRDefault="006B7292" w:rsidP="006B7292">
      <w:pPr>
        <w:pStyle w:val="TextoNormal"/>
      </w:pPr>
      <w:r>
        <w:t xml:space="preserve">Por último, considera que el art. 65 </w:t>
      </w:r>
      <w:r w:rsidRPr="006B7292">
        <w:rPr>
          <w:i/>
        </w:rPr>
        <w:t>bis</w:t>
      </w:r>
      <w:r>
        <w:t xml:space="preserve">.1 no constituye, en ningún caso, norma de carácter procesal o que altere la legislación procesal o introduzca una causa de suspensión del procedimiento de ejecución judicial no previsto en la Ley reguladora de la jurisdicción contencioso-administrativa (LJCA), pues entiende que es una norma sustantiva, urbanística, que regula una nueva figura o instrucción del derecho urbanístico autonómico “dirigida a conferir a los planeamientos en tramitación (mediante la anticipación parcial de sus efectos), con el fin último de evitar la causación de perjuicios irreparables a los propietarios de construcciones y, en muchos casos, al propio interés público”. En cualquier caso, estima que la pretendida suspensión de la ejecución procesal no nace o se deriva directamente de la Ley 4/2013, no es efecto inmediato y necesario de la aprobación y vigencia de la norma —artículo 65 </w:t>
      </w:r>
      <w:r w:rsidRPr="006B7292">
        <w:rPr>
          <w:i/>
        </w:rPr>
        <w:t>bis</w:t>
      </w:r>
      <w:r>
        <w:t>—, por lo que el vicio de inconstitucionalidad que se le imputa decae automáticamente. Lo que afecta a la ejecución de la Sentencia, en su opinión, es, en su caso, la concreta autorización provisional que se otorgue por el ayuntamiento si se cumplen los requisitos necesarios para ello.</w:t>
      </w:r>
    </w:p>
    <w:p w:rsidR="006B7292" w:rsidRDefault="006B7292" w:rsidP="006B7292">
      <w:pPr>
        <w:pStyle w:val="TextoNormal"/>
      </w:pPr>
    </w:p>
    <w:p w:rsidR="006B7292" w:rsidRDefault="006B7292" w:rsidP="006B7292">
      <w:pPr>
        <w:pStyle w:val="TextoNormal"/>
      </w:pPr>
      <w:r>
        <w:t xml:space="preserve">Afirma que el Tribunal deberá tener en cuenta en la fase de ejecución de la Sentencia la existencia de la autorización provisional y la posibilidad de que la misma constituya una causa de imposibilidad legal de ejecución, pero podrá controlar o incluso anular la autorización provisional de conformidad con lo dispuesto en el art. 103.4 LJCA. Es decir, el hecho de que la autorización provisional se haya otorgado de conformidad con el art. 65 </w:t>
      </w:r>
      <w:r w:rsidRPr="006B7292">
        <w:rPr>
          <w:i/>
        </w:rPr>
        <w:t>bis</w:t>
      </w:r>
      <w:r>
        <w:t xml:space="preserve"> no impide el control que el Tribunal puede y debe realizar </w:t>
      </w:r>
      <w:r w:rsidRPr="006B7292">
        <w:rPr>
          <w:i/>
        </w:rPr>
        <w:t>ex</w:t>
      </w:r>
      <w:r>
        <w:t xml:space="preserve"> art. 103.4 LJCA, esto es el examen de si la modificación del planeamiento tiene o no la única finalidad de convertir lo ilegal en legal sino la de atender racionalmente el interés público urbanístico.</w:t>
      </w:r>
    </w:p>
    <w:p w:rsidR="006B7292" w:rsidRDefault="006B7292" w:rsidP="006B7292">
      <w:pPr>
        <w:pStyle w:val="TextoNormal"/>
      </w:pPr>
    </w:p>
    <w:p w:rsidR="006B7292" w:rsidRDefault="006B7292" w:rsidP="006B7292">
      <w:pPr>
        <w:pStyle w:val="TextoNormal"/>
      </w:pPr>
      <w:r>
        <w:t>A diferencia del supuesto de la STC 92/2013, en el presente caso el Gobierno de Cantabria defiende que la Ley 4/2013 no incide per se de forma directa en la ejecución, sino que será, en su caso, la correspondiente autorización provisional la que lo haga y la misma estará sujeta al control jurisdiccional. Rechaza el Gobierno de Cantabria que la regulación resulte contraria al derecho a la tutela judicial efectiva pues el derecho a la ejecución de la sentencia en sus propios términos “no impide que en determinados supuestos ésta devenga legal o materialmente imposible, lo cual habrá de apreciarse por el órgano judicial en resolución motivada, pues el cumplimiento o ejecución de las Sentencias depende de las características de cada proceso y del contenido del fallo”, tal y como ha reconocido el Tribunal Constitucional (STC 73/2000, de 14 de marzo).</w:t>
      </w:r>
    </w:p>
    <w:p w:rsidR="006B7292" w:rsidRDefault="006B7292" w:rsidP="006B7292">
      <w:pPr>
        <w:pStyle w:val="TextoNormal"/>
      </w:pPr>
    </w:p>
    <w:p w:rsidR="006B7292" w:rsidRDefault="006B7292" w:rsidP="006B7292">
      <w:pPr>
        <w:pStyle w:val="TextoNormal"/>
      </w:pPr>
      <w:r>
        <w:t>Y, por último, afirma también que, en todo caso, no se sacrifica de forma desproporcionada el pronunciamiento contenido en el fallo. En primer lugar, señala que las autorizaciones provisionales tienen una vigencia máxima de cuatro años de duración que es un plazo razonable que no sacrifica indefinidamente el contenido del fallo. En segundo lugar, destaca que la finalidad es evitar la causación de perjuicios irreparables no solo a los propietarios de las viviendas, sino también y principalmente al interés público, dados los enormes costes que tendrían para las arcas públicas, no sólo locales sino también autonómicas, la demolición de las viviendas con orden de derribo y la indemnización a todos los propietarios. Señala que el cálculo estimado que todo ello tendría para la hacienda de la Comunidad Autónoma se fija en torno a unos 300.000.000 €. Y, en tercer lugar, defiende que además no se sacrifica de forma desproporcionada el interés del restablecimiento de la legalidad urbanística que subyace en el fallo de la Sentencia, pues estas autorizaciones solo se otorgan a aquellas edificaciones o construcciones preexistentes que resulten compatibles con la nueva ordenación urbanística contenida en el planeamiento en tramitación persiguiendo precisamente el restablecimiento de la legalidad urbanística.</w:t>
      </w:r>
    </w:p>
    <w:p w:rsidR="006B7292" w:rsidRDefault="006B7292" w:rsidP="006B7292">
      <w:pPr>
        <w:pStyle w:val="TextoNormal"/>
      </w:pPr>
    </w:p>
    <w:p w:rsidR="006B7292" w:rsidRDefault="006B7292" w:rsidP="006B7292">
      <w:pPr>
        <w:pStyle w:val="TextoNormal"/>
      </w:pPr>
      <w:r w:rsidRPr="006B7292">
        <w:rPr>
          <w:rStyle w:val="NumeroAFNegritaCaracter"/>
        </w:rPr>
        <w:t>9</w:t>
      </w:r>
      <w:r>
        <w:t>. El Letrado del Parlamento de Cantabria presenta su escrito de alegaciones el 24 de noviembre de 2015 en el que, en primer término, pone en entredicho que el planteamiento de la cuestión cumpla con el juicio de aplicabilidad y relevancia, pues, en su opinión, el contenido del fallo del litigio no ha de variar con independencia de si se declara o no inconstitucional la ley, ya que, en cualquier caso se va a restablecer la legalidad, pues la Ley de Cantabria persigue el restablecimiento evitando que se proceda a la demolición cuando se ha producido la modificación posterior del planeamiento de forma que lo construido se adecua ahora a él.</w:t>
      </w:r>
    </w:p>
    <w:p w:rsidR="006B7292" w:rsidRDefault="006B7292" w:rsidP="006B7292">
      <w:pPr>
        <w:pStyle w:val="TextoNormal"/>
      </w:pPr>
    </w:p>
    <w:p w:rsidR="006B7292" w:rsidRDefault="006B7292" w:rsidP="006B7292">
      <w:pPr>
        <w:pStyle w:val="TextoNormal"/>
      </w:pPr>
      <w:r>
        <w:t>Rechaza, en segundo lugar, que la Ley esté realmente previendo una suspensión de la ejecución de un fallo, pues considera que no interfiere en la legislación procesal ni en la resolución o ejecución del proceso, sino que se limita a prever una medida de restitución de la legalidad urbanística. La regulación tiene, además, a su juicio, amparo en las competencias que el Estatuto atribuye a la Comunidad Autónoma de Cantabria en materia de “organización, régimen y funcionamiento de sus instituciones de autogobierno” (art. 24.1 del Estatuto de Autonomía de Cantabria: EACant), “urbanismo y vivienda” (art. 24.3 EACant) y “procedimiento administrativo derivado de las especialidades de la organización propia” (art. 24.32 EACant).</w:t>
      </w:r>
    </w:p>
    <w:p w:rsidR="006B7292" w:rsidRDefault="006B7292" w:rsidP="006B7292">
      <w:pPr>
        <w:pStyle w:val="TextoNormal"/>
      </w:pPr>
    </w:p>
    <w:p w:rsidR="006B7292" w:rsidRDefault="006B7292" w:rsidP="006B7292">
      <w:pPr>
        <w:pStyle w:val="TextoNormal"/>
      </w:pPr>
      <w:r>
        <w:t>Defiende el Letrado del Parlamento de Cantabria que las autorizaciones provisionales no son legislación procesal, sino legislación urbanística, pues “la previsión y regulación de las “autorizaciones provisionales” es una clara manifestación de la gestión de los instrumentos planificadores y de la disciplina urbanística, como potestades que integran la materia urbanismo y que el Estatuto de Autonomía para Cantabria atribuye a la Comunidad Autónoma”. Y añade que “la ejecución de la sentencia también se produce cuando se adecua lo construido al planeamiento, sin que se suspenda el procedimiento judicial”.</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 xml:space="preserve">Único. La presente cuestión de inconstitucionalidad ha sido promovida por la Sala de lo Contencioso-Administrativo del Tribunal Superior de Justicia de Cantabria en relación con el art. 65 </w:t>
      </w:r>
      <w:r w:rsidRPr="006B7292">
        <w:rPr>
          <w:i/>
        </w:rPr>
        <w:t>bis</w:t>
      </w:r>
      <w:r>
        <w:t>.1 de la Ley 2/2001, de 25 de junio, de ordenación territorial y del régimen urbanístico del suelo de Cantabria, introducido por la Ley 4/2013, de 20 de junio, en la parte del mismo que se refiere a las órdenes de demolición judiciales.</w:t>
      </w:r>
    </w:p>
    <w:p w:rsidR="006B7292" w:rsidRDefault="006B7292" w:rsidP="006B7292">
      <w:pPr>
        <w:pStyle w:val="TextoNormal"/>
      </w:pPr>
    </w:p>
    <w:p w:rsidR="006B7292" w:rsidRDefault="006B7292" w:rsidP="006B7292">
      <w:pPr>
        <w:pStyle w:val="TextoNormal"/>
      </w:pPr>
      <w:r>
        <w:t>El precepto dispone que “iniciado el procedimiento dirigido a la formación, modificación o revisión de los planes urbanísticos y demás instrumentos de planeamiento, y para impedir que se generen perjuicios irreparables al interés público o a los propietarios de edificaciones o actuaciones que, habiendo sido previamente declaradas ilegales y sobre las que hubiesen recaído órdenes de demolición administrativas o judiciales, puedan resultar conformes con la nueva ordenación que se está tramitando, el órgano municipal competente para aprobar inicialmente el plan podrá otorgar, de oficio o a instancia de los interesados, autorizaciones provisionales que afecten a dichas edificaciones o actuaciones preexistentes, previa comprobación de que resultan conformes con el nuevo planeamiento municipal en tramitación. Si el procedimiento se inicia a solicitud del interesado, transcurrido el plazo de tres meses sin haberse notificado resolución alguna podrá entender desestimada su petición.”</w:t>
      </w:r>
    </w:p>
    <w:p w:rsidR="006B7292" w:rsidRDefault="006B7292" w:rsidP="006B7292">
      <w:pPr>
        <w:pStyle w:val="TextoNormal"/>
      </w:pPr>
    </w:p>
    <w:p w:rsidR="006B7292" w:rsidRDefault="006B7292" w:rsidP="006B7292">
      <w:pPr>
        <w:pStyle w:val="TextoNormal"/>
      </w:pPr>
      <w:r>
        <w:t>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 y 117.3 CE que consagran, respectivamente, el derecho a la tutela judicial efectiva y, por tanto, también, su vertiente de derecho a la ejecución de sentencias, y la potestad exclusiva de jueces y tribunales para ejecutar lo juzgado.</w:t>
      </w:r>
    </w:p>
    <w:p w:rsidR="006B7292" w:rsidRDefault="006B7292" w:rsidP="006B7292">
      <w:pPr>
        <w:pStyle w:val="TextoNormal"/>
      </w:pPr>
    </w:p>
    <w:p w:rsidR="006B7292" w:rsidRDefault="006B7292" w:rsidP="006B7292">
      <w:pPr>
        <w:pStyle w:val="TextoNormal"/>
      </w:pPr>
      <w:r>
        <w:t xml:space="preserve">Este Tribunal, en su reciente STC 254/2015, de 30 de noviembre, estimatoria de la cuestión de inconstitucionalidad núm. 6860-2014, dictada con posterioridad a que la presente cuestión fuera admitida a trámite, ha declarado inconstitucional y nulo el inciso “o judiciales” del art. 65 </w:t>
      </w:r>
      <w:r w:rsidRPr="006B7292">
        <w:rPr>
          <w:i/>
        </w:rPr>
        <w:t>bis</w:t>
      </w:r>
      <w:r>
        <w:t>.1 de la Ley 2/2001, de 25 de junio, de ordenación territorial y de régimen urbanístico del suelo de Cantabria, introducido por la Ley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w:t>
      </w:r>
    </w:p>
    <w:p w:rsidR="006B7292" w:rsidRDefault="006B7292" w:rsidP="006B7292">
      <w:pPr>
        <w:pStyle w:val="TextoNormal"/>
      </w:pPr>
    </w:p>
    <w:p w:rsidR="006B7292" w:rsidRDefault="006B7292" w:rsidP="006B7292">
      <w:pPr>
        <w:pStyle w:val="TextoNormal"/>
      </w:pPr>
      <w:r>
        <w:t>Se sigue de ello que el referido inciso ha sido expulsado del ordenamiento, una vez anulado por inconstitucional, lo que impone ahora apreciar, conforme a reiterada doctrina de este Tribunal (por todos, ATC 28/2015, de 16 de febrero, FJ único), la desaparición sobrevenida del objeto de la presente cuestión, al haber quedado disipada la duda de constitucionalidad planteada por el órgano judicial.</w:t>
      </w:r>
    </w:p>
    <w:p w:rsidR="006B7292" w:rsidRDefault="006B7292" w:rsidP="006B7292">
      <w:pPr>
        <w:pStyle w:val="TextoNormal"/>
      </w:pPr>
    </w:p>
    <w:p w:rsidR="006B7292" w:rsidRDefault="006B7292" w:rsidP="006B7292">
      <w:pPr>
        <w:pStyle w:val="TextoNormal"/>
      </w:pPr>
      <w:r>
        <w:t>Por todo lo expuesto, la Sala</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Declarar la extinción de la cuestión de inconstitucionalidad núm. 4698-2015, por desaparición sobrevenida de su objeto.</w:t>
      </w:r>
    </w:p>
    <w:p w:rsidR="006B7292" w:rsidRDefault="006B7292" w:rsidP="006B7292">
      <w:pPr>
        <w:pStyle w:val="TextoNormal"/>
      </w:pPr>
    </w:p>
    <w:p w:rsidR="006B7292" w:rsidRDefault="006B7292" w:rsidP="006B7292">
      <w:pPr>
        <w:pStyle w:val="TextoNormal"/>
      </w:pPr>
      <w:r>
        <w:t>Madrid, a catorce de diciembre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35" w:name="AUTO_2015_221"/>
      <w:r>
        <w:t>AUTO 221/2015, de 14 de diciembre de 2015</w:t>
      </w:r>
    </w:p>
    <w:bookmarkEnd w:id="235"/>
    <w:p w:rsidR="006B7292" w:rsidRDefault="006B7292" w:rsidP="006B7292">
      <w:pPr>
        <w:pStyle w:val="TtuloResolucin"/>
      </w:pPr>
      <w:r>
        <w:t>Sala Primera</w:t>
      </w:r>
    </w:p>
    <w:p w:rsidR="006B7292" w:rsidRDefault="006B7292" w:rsidP="006B7292">
      <w:pPr>
        <w:pStyle w:val="TextoNormalCentrado"/>
      </w:pPr>
      <w:r>
        <w:t>ECLI:ES:TC:2015:221A</w:t>
      </w:r>
    </w:p>
    <w:p w:rsidR="006B7292" w:rsidRDefault="006B7292" w:rsidP="006B7292">
      <w:pPr>
        <w:pStyle w:val="TextoNormalCentrado"/>
      </w:pPr>
    </w:p>
    <w:p w:rsidR="006B7292" w:rsidRDefault="006B7292" w:rsidP="006B7292">
      <w:pPr>
        <w:pStyle w:val="SntesisDescriptiva"/>
      </w:pPr>
      <w:r>
        <w:t>Excms. Srs. don Francisco Pérez de los Cobos Orihuel, doña Encarnación Roca Trías, don Andrés Ollero Tassara, don Santiago Martínez-Vares García y don Juan Antonio Xiol Ríos.</w:t>
      </w:r>
    </w:p>
    <w:p w:rsidR="006B7292" w:rsidRDefault="006B7292" w:rsidP="006B7292">
      <w:pPr>
        <w:pStyle w:val="SntesisDescriptiva"/>
      </w:pPr>
    </w:p>
    <w:p w:rsidR="006B7292" w:rsidRDefault="006B7292" w:rsidP="006B7292">
      <w:pPr>
        <w:pStyle w:val="SntesisDescriptiva"/>
      </w:pPr>
      <w:r>
        <w:t>Acuerda la extinción, por desaparición sobrevenida de objeto, de la cuestión de inconstitucionalidad 4773-2015, planteada por la Sala de lo Contencioso-Administrativo del Tribunal Superior de Justicia de Cantabria en relación con el artículo 65 bis.1 de la Ley 2/2001, de 25 de junio, de ordenación territorial y del régimen urbanístico del suelo de Cantabria.</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xml:space="preserve">. Por escrito registrado en este Tribunal el 18 de agosto de 2015, la Sala de lo Contencioso-Administrativo del Tribunal Superior de Justicia de Cantabria remitió testimonio del Auto de 21 de julio de 2015 por el que se acordó plantear cuestión de inconstitucionalidad en relación con el art. 65 </w:t>
      </w:r>
      <w:r w:rsidRPr="006B7292">
        <w:rPr>
          <w:i/>
        </w:rPr>
        <w:t>bis</w:t>
      </w:r>
      <w:r>
        <w:t>.1 de la Ley 2/2001, de 25 de junio, de ordenación territorial y del régimen urbanístico del suelo de Cantabria, añadido por el art. 1 de la Ley 4/2013, de 20 de junio, en cuanto dice “órdenes de demolición judiciales”, por posible vulneración de los arts. 24, 117.3 y 149.1.6 CE.</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de hecho del planteamiento de la presente cuestión de inconstitucionalidad son, sucintamente expuestos, los siguientes:</w:t>
      </w:r>
    </w:p>
    <w:p w:rsidR="006B7292" w:rsidRDefault="006B7292" w:rsidP="006B7292">
      <w:pPr>
        <w:pStyle w:val="TextoNormal"/>
      </w:pPr>
    </w:p>
    <w:p w:rsidR="006B7292" w:rsidRDefault="006B7292" w:rsidP="006B7292">
      <w:pPr>
        <w:pStyle w:val="TextoNormal"/>
      </w:pPr>
      <w:r>
        <w:t>a) Por Sentencia de 5 julio de 2000 la Sala de lo Contencioso-Administrativo del Tribunal Superior de Justicia de Cantabria estimó el recurso núm. 1991-1998 interpuesto por ARCA (asociación para la defensa de los recursos naturales de Cantabria) y declaró nula la resolución de la comisión de gobierno del Ayuntamiento de Argoños de 20 de junio de 1997, por la que se concede licencia de obras para la construcción de viviendas en la zona de Las llamas del municipio de Argoños y ordenó la demolición de lo ilegalmente construido.</w:t>
      </w:r>
    </w:p>
    <w:p w:rsidR="006B7292" w:rsidRDefault="006B7292" w:rsidP="006B7292">
      <w:pPr>
        <w:pStyle w:val="TextoNormal"/>
      </w:pPr>
    </w:p>
    <w:p w:rsidR="006B7292" w:rsidRDefault="006B7292" w:rsidP="006B7292">
      <w:pPr>
        <w:pStyle w:val="TextoNormal"/>
      </w:pPr>
      <w:r>
        <w:t>b) La parte recurrente instó la ejecución de la referida Sentencia.</w:t>
      </w:r>
    </w:p>
    <w:p w:rsidR="006B7292" w:rsidRDefault="006B7292" w:rsidP="006B7292">
      <w:pPr>
        <w:pStyle w:val="TextoNormal"/>
      </w:pPr>
    </w:p>
    <w:p w:rsidR="006B7292" w:rsidRDefault="006B7292" w:rsidP="006B7292">
      <w:pPr>
        <w:pStyle w:val="TextoNormal"/>
      </w:pPr>
      <w:r>
        <w:t>c) La Sala promovió cuestión de inconstitucionalidad contra el art. 2 de la Ley 2/2011, de 4 de abril, por la que se modifica la Ley 2/2001, de 25 de junio, de ordenación territorial y del régimen urbanístico del suelo de Cantabria, a la que se añadía una nueva disposición adicional sexta, por vulneración de los arts. 149.1.6 y 149.1.18 CE en relación con los arts. 9.3, 24.1, 106.1, 117 y 118 CE. Dicha cuestión fue admitida a trámite y registrada con el núm. 2465-2012. Por ATC 117/2013, de 20 de mayo, el Pleno acordó declarar extinguida la misma por desaparición sobrevenida de su objeto, por ser idéntica a la núm. 4596-2011, resuelta por este Tribunal en la STC 92/2013, de 22 de abril, en la que se declara la inconstitucionalidad y nulidad de varios apartados de la disposición adicional sexta de la Ley 2/2001, de ordenación territorial y del régimen urbanístico del suelo de Cantabria, introducida por el art. 2 de la Ley 2/2011.</w:t>
      </w:r>
    </w:p>
    <w:p w:rsidR="006B7292" w:rsidRDefault="006B7292" w:rsidP="006B7292">
      <w:pPr>
        <w:pStyle w:val="TextoNormal"/>
      </w:pPr>
    </w:p>
    <w:p w:rsidR="006B7292" w:rsidRDefault="006B7292" w:rsidP="006B7292">
      <w:pPr>
        <w:pStyle w:val="TextoNormal"/>
      </w:pPr>
      <w:r>
        <w:t>d) Una vez resulta la cuestión de constitucionalidad planteada, la Sala de lo Contencioso-Administrativo del Tribunal Superior de Justicia prosiguió con la ejecución de la Sentencia. Por providencia de 3 de junio de 2013, se acordó la celebración de una vista el día 25 de junio de 2013, a la que fueron llamados todos los interesados. Al no haber llegado a un acuerdo en el acto de la vista sobre la forma de llevar a cabo la ejecución, el Tribunal Superior de Justicia, por Auto de 28 de marzo de 2014, requirió al Alcalde del Ayuntamiento de Argoños para que en el término improrrogable de un mes presentara al Tribunal una propuesta de ejecución que se ajustara a lo decidido en la Sentencia, apercibiéndole con la ejecución subsidiaria. Asimismo le requirió para que le informara del resultado del procedimiento incoado al amparo de la disposición adicional sexta de la Ley 2/2011. El Alcalde, en cumplimiento de este requerimiento, presentó la propuesta de ejecución de la Sentencia e informó sobre los expedientes que se tramitaban al amparo de la referida disposición adicional sexta de la Ley 2/2011. Por providencia de 17 de julio de 2014, la Sala de lo Contencioso-Administrativo del Tribunal Superior de Justicia señaló el día 18 de septiembre de 2014 para la celebración de una vista con el fin de que las partes pudieran alegar lo que estimasen pertinente y ajustar la propuesta municipal a la ejecutoria.</w:t>
      </w:r>
    </w:p>
    <w:p w:rsidR="006B7292" w:rsidRDefault="006B7292" w:rsidP="006B7292">
      <w:pPr>
        <w:pStyle w:val="TextoNormal"/>
      </w:pPr>
    </w:p>
    <w:p w:rsidR="006B7292" w:rsidRDefault="006B7292" w:rsidP="006B7292">
      <w:pPr>
        <w:pStyle w:val="TextoNormal"/>
      </w:pPr>
      <w:r>
        <w:t xml:space="preserve">e) El 22 de mayo de 2015 el Ayuntamiento de Argoños, al amparo de lo dispuesto en los arts. 105 y 109 de la Ley reguladora de la jurisdicción contencioso-administrativa (LJCA), planteó un incidente en el que pone de manifiesto que, a petición de los terceros afectados por la Sentencia, propietarios de las viviendas a demoler, y en aplicación de lo dispuesto en el art. 65 </w:t>
      </w:r>
      <w:r w:rsidRPr="006B7292">
        <w:rPr>
          <w:i/>
        </w:rPr>
        <w:t>bis</w:t>
      </w:r>
      <w:r>
        <w:t xml:space="preserve">.1 de la Ley del Parlamento de Cantabria 2/2001, modificada por la Ley 4/2013, ha concedido autorización provisional a aquellas viviendas que resultaban conformes con la nueva ordenación urbanística que se estaba tramitando. Por todo ello solicita a la Sala que, tras dar audiencia a las partes, dicte una resolución por la que acuerde mantener a las edificaciones que han obtenido la referida licencia en la situación en la que se encuentran, aplicándoles el régimen previsto para los edificios fuera de ordenación, en tanto que se cumplan las condiciones establecidas en el art. 65 </w:t>
      </w:r>
      <w:r w:rsidRPr="006B7292">
        <w:rPr>
          <w:i/>
        </w:rPr>
        <w:t>bis</w:t>
      </w:r>
      <w:r>
        <w:t>.1 de la Ley 2/2001.</w:t>
      </w:r>
    </w:p>
    <w:p w:rsidR="006B7292" w:rsidRDefault="006B7292" w:rsidP="006B7292">
      <w:pPr>
        <w:pStyle w:val="TextoNormal"/>
      </w:pPr>
    </w:p>
    <w:p w:rsidR="006B7292" w:rsidRDefault="006B7292" w:rsidP="006B7292">
      <w:pPr>
        <w:pStyle w:val="TextoNormal"/>
      </w:pPr>
      <w:r>
        <w:t xml:space="preserve">f) Por providencia de 28 de mayo de 2015 la Sala de lo Contencioso-Administrativo del Tribunal Superior de Justicia de Cantabria, de conformidad con lo dispuesto en el art. 35.2 de la Ley Orgánica del Tribunal Constitucional (LOTC), acordó oír a las partes personadas y al Ministerio Fiscal por el término común de diez días sobre la pertinencia de plantear cuestión de inconstitucionalidad respecto del art. 65 </w:t>
      </w:r>
      <w:r w:rsidRPr="006B7292">
        <w:rPr>
          <w:i/>
        </w:rPr>
        <w:t>bis</w:t>
      </w:r>
      <w:r>
        <w:t xml:space="preserve"> de la Ley 2/2001, de 25 de junio, de ordenación territorial y del régimen urbanístico del suelo de Cantabria, añadido por la Ley 4/2013, de 20 de junio. En concreto, dudaba de la constitucionalidad del art. art. 65 </w:t>
      </w:r>
      <w:r w:rsidRPr="006B7292">
        <w:rPr>
          <w:i/>
        </w:rPr>
        <w:t>bis</w:t>
      </w:r>
      <w:r>
        <w:t>. 1 de la Ley 2/2001, de 25 de junio, de ordenación territorial y del régimen urbanístico del suelo de Cantabria, añadido por el art. 1 de la Ley 4/2013, de 20 de junio, en la parte que se refiere a las órdenes de demolición judicial. Entendía que el inciso del precepto legal impugnado pudiera ser contrario al art. 24, 117.3 y 149.1.6 CE.</w:t>
      </w:r>
    </w:p>
    <w:p w:rsidR="006B7292" w:rsidRDefault="006B7292" w:rsidP="006B7292">
      <w:pPr>
        <w:pStyle w:val="TextoNormal"/>
      </w:pPr>
    </w:p>
    <w:p w:rsidR="006B7292" w:rsidRDefault="006B7292" w:rsidP="006B7292">
      <w:pPr>
        <w:pStyle w:val="TextoNormal"/>
      </w:pPr>
      <w:r>
        <w:t>g) Evacuado el trámite de audiencia del art. 35.2 LOTC con el resultado que consta en las actuaciones, por Auto de 21 de julio de 2015 la Sala de lo Contencioso-Administrativo del Tribunal Superior de Justicia de Cantabria acordó plantear cuestión de inconstitucionalidad sobre el precepto antes citado.</w:t>
      </w:r>
    </w:p>
    <w:p w:rsidR="006B7292" w:rsidRDefault="006B7292" w:rsidP="006B7292">
      <w:pPr>
        <w:pStyle w:val="TextoNormal"/>
      </w:pPr>
    </w:p>
    <w:p w:rsidR="006B7292" w:rsidRDefault="006B7292" w:rsidP="006B7292">
      <w:pPr>
        <w:pStyle w:val="TextoNormal"/>
      </w:pPr>
      <w:r w:rsidRPr="006B7292">
        <w:rPr>
          <w:rStyle w:val="NumeroAFNegritaCaracter"/>
        </w:rPr>
        <w:t>3</w:t>
      </w:r>
      <w:r>
        <w:t>. En cuanto al contenido del Auto de promoción importa destacar lo siguiente:</w:t>
      </w:r>
    </w:p>
    <w:p w:rsidR="006B7292" w:rsidRDefault="006B7292" w:rsidP="006B7292">
      <w:pPr>
        <w:pStyle w:val="TextoNormal"/>
      </w:pPr>
    </w:p>
    <w:p w:rsidR="006B7292" w:rsidRDefault="006B7292" w:rsidP="006B7292">
      <w:pPr>
        <w:pStyle w:val="TextoNormal"/>
      </w:pPr>
      <w:r>
        <w:t>Tras exponer que los hechos que han dado lugar al planteamiento de la cuestión y justificar que el precepto cuestionado, al ser la norma en la que se fundamenta el incidente por el que se solicita la suspensión de la ejecución de la Sentencia, es relevante para el fallo, entra a analizar las razones por las que duda de su constitucionalidad.</w:t>
      </w:r>
    </w:p>
    <w:p w:rsidR="006B7292" w:rsidRDefault="006B7292" w:rsidP="006B7292">
      <w:pPr>
        <w:pStyle w:val="TextoNormal"/>
      </w:pPr>
    </w:p>
    <w:p w:rsidR="006B7292" w:rsidRDefault="006B7292" w:rsidP="006B7292">
      <w:pPr>
        <w:pStyle w:val="TextoNormal"/>
      </w:pPr>
      <w:r>
        <w:t xml:space="preserve">Según se afirma en esta resolución el art. 65 </w:t>
      </w:r>
      <w:r w:rsidRPr="006B7292">
        <w:rPr>
          <w:i/>
        </w:rPr>
        <w:t>bis</w:t>
      </w:r>
      <w:r>
        <w:t>.1 de la Ley de ordenación territorial y del régimen urbanístico del suelo de Cantabria, en la parte que se refiere a las órdenes de demolición judiciales, puede ser lesivo del art. 149.1.6 CE, al derecho a la ejecución de sentencias que garantiza el art. 24 CE y al art. 117.3 CE.</w:t>
      </w:r>
    </w:p>
    <w:p w:rsidR="006B7292" w:rsidRDefault="006B7292" w:rsidP="006B7292">
      <w:pPr>
        <w:pStyle w:val="TextoNormal"/>
      </w:pPr>
    </w:p>
    <w:p w:rsidR="006B7292" w:rsidRDefault="006B7292" w:rsidP="006B7292">
      <w:pPr>
        <w:pStyle w:val="TextoNormal"/>
      </w:pPr>
      <w:r>
        <w:t>La Sala sostiene, en primer lugar, que el referido precepto, al establecer que “durante el tiempo en el que estén vigentes las autorizaciones provisionales las edificaciones afectadas se mantendrán en la situación en la que se encuentren y les será de aplicación el régimen previsto para los edificios de fuera de ordenación”, está introduciendo una causa de suspensión de la ejecución de las sentencias que vulnera las competencias que el art. 149.1.6 CE atribuye al Estado en materia de legislación procesal.</w:t>
      </w:r>
    </w:p>
    <w:p w:rsidR="006B7292" w:rsidRDefault="006B7292" w:rsidP="006B7292">
      <w:pPr>
        <w:pStyle w:val="TextoNormal"/>
      </w:pPr>
    </w:p>
    <w:p w:rsidR="006B7292" w:rsidRDefault="006B7292" w:rsidP="006B7292">
      <w:pPr>
        <w:pStyle w:val="TextoNormal"/>
      </w:pPr>
      <w:r>
        <w:t>También considera que la autorización provisional que establece el precepto cuestionado, al impedir la demolición acordada en la Sentencia, es contraria al derecho a la ejecución de sentencias, derecho que forma parte del derecho fundamental a la tutela judicial efectiva (art. 24.1 CE), y puede lesionar el art 117.3 CE, ya que permite que la Administración pueda frustrar el cumplimiento del fallo de la sentencia.</w:t>
      </w:r>
    </w:p>
    <w:p w:rsidR="006B7292" w:rsidRDefault="006B7292" w:rsidP="006B7292">
      <w:pPr>
        <w:pStyle w:val="TextoNormal"/>
      </w:pPr>
    </w:p>
    <w:p w:rsidR="006B7292" w:rsidRDefault="006B7292" w:rsidP="006B7292">
      <w:pPr>
        <w:pStyle w:val="TextoNormal"/>
      </w:pPr>
      <w:r>
        <w:t>En el Auto de planteamiento se invoca la doctrina establecida en la STC 82/2014, de 28 de mayo, en la que se ha considerado contrario a la competencia estatal en materia de legislación procesal que el legislador autonómico establezca una causa de suspensión o aplazamiento de la ejecución de las sentencias que han de ejecutarse mediante el derribo de las edificaciones y ha apreciado también que, en la medida en que la efectividad de la demolición judicialmente acordada depende de que la Administración resuelva un procedimiento de responsabilidad patrimonial y, en su caso, abone la indemnización acordada al perjudicado, “la ejecución de la Sentencia termina por escapar del control judicial, único competente para hacer ejecutar lo juzgado a tenor de lo dispuesto en el art. 117.3 CE”.</w:t>
      </w:r>
    </w:p>
    <w:p w:rsidR="006B7292" w:rsidRDefault="006B7292" w:rsidP="006B7292">
      <w:pPr>
        <w:pStyle w:val="TextoNormal"/>
      </w:pPr>
    </w:p>
    <w:p w:rsidR="006B7292" w:rsidRDefault="006B7292" w:rsidP="006B7292">
      <w:pPr>
        <w:pStyle w:val="TextoNormal"/>
      </w:pPr>
      <w:r>
        <w:t xml:space="preserve">Las anteriores consideraciones llevan a la Sala a plantear cuestión de inconstitucionalidad en relación con el art. 65 </w:t>
      </w:r>
      <w:r w:rsidRPr="006B7292">
        <w:rPr>
          <w:i/>
        </w:rPr>
        <w:t>bis</w:t>
      </w:r>
      <w:r>
        <w:t>.1 de la Ley 2/2001, de 25 de junio, de ordenación territorial y régimen urbanístico, modificada por la Ley 4/2013, en la parte que se refiere a las órdenes de demolición judiciales.</w:t>
      </w:r>
    </w:p>
    <w:p w:rsidR="006B7292" w:rsidRDefault="006B7292" w:rsidP="006B7292">
      <w:pPr>
        <w:pStyle w:val="TextoNormal"/>
      </w:pPr>
    </w:p>
    <w:p w:rsidR="006B7292" w:rsidRDefault="006B7292" w:rsidP="006B7292">
      <w:pPr>
        <w:pStyle w:val="TextoNormal"/>
      </w:pPr>
      <w:r w:rsidRPr="006B7292">
        <w:rPr>
          <w:rStyle w:val="NumeroAFNegritaCaracter"/>
        </w:rPr>
        <w:t>4</w:t>
      </w:r>
      <w:r>
        <w:t>. Por providencia de 20 de octubre de 2015, el Pleno, a propuesta de la Sección Primera, acordó admitir a trámite la cuestión de inconstitucionalidad, deferir su conocimiento a la Sala Primera a la que por turno objetivo ha correspondido, y dar traslado de las actuaciones al Congreso de los Diputados y al Senado por conducto de sus Presidentes, al Gobierno por conducto del Ministro de Justicia, y al Fiscal General del Estado, así como al Gobierno y al Parlamento de Cantabria por conducto de sus Presidentes, al objeto de que, en el improrrogable plazo de quince días, pudieran personarse en el proceso y formular las alegaciones que estimasen convenientes. Asimismo se acordó comunicar la admisión al órgano judicial proponente a fin de que, de conformidad con el art. 35.3 LOTC, permaneciera suspendido el proceso judicial hasta que se resolviera la cuestión de inconstitucionalidad. En la misma providencia acordó el Tribunal publicar la incoación de la cuestión de inconstitucionalidad en el “Boletín Oficial del Estado” y en el “Boletín Oficial de Cantabria”.</w:t>
      </w:r>
    </w:p>
    <w:p w:rsidR="006B7292" w:rsidRDefault="006B7292" w:rsidP="006B7292">
      <w:pPr>
        <w:pStyle w:val="TextoNormal"/>
      </w:pPr>
    </w:p>
    <w:p w:rsidR="006B7292" w:rsidRDefault="006B7292" w:rsidP="006B7292">
      <w:pPr>
        <w:pStyle w:val="TextoNormal"/>
      </w:pPr>
      <w:r w:rsidRPr="006B7292">
        <w:rPr>
          <w:rStyle w:val="NumeroAFNegritaCaracter"/>
        </w:rPr>
        <w:t>5</w:t>
      </w:r>
      <w:r>
        <w:t>. El Presidente del Congreso de los Diputados, mediante escrito que tuvo entrada el 30 de octubre de 2015, comunicó que la Mesa de la Cámara había acordado personarse en el proceso, ofreciendo su colaboración a los efectos del art. 88.1 LOTC. Lo mismo hizo el Presidente del Senado mediante escrito que tuvo entrada el 3 de noviembre de 2015.</w:t>
      </w:r>
    </w:p>
    <w:p w:rsidR="006B7292" w:rsidRDefault="006B7292" w:rsidP="006B7292">
      <w:pPr>
        <w:pStyle w:val="TextoNormal"/>
      </w:pPr>
    </w:p>
    <w:p w:rsidR="006B7292" w:rsidRDefault="006B7292" w:rsidP="006B7292">
      <w:pPr>
        <w:pStyle w:val="TextoNormal"/>
      </w:pPr>
      <w:r w:rsidRPr="006B7292">
        <w:rPr>
          <w:rStyle w:val="NumeroAFNegritaCaracter"/>
        </w:rPr>
        <w:t>6</w:t>
      </w:r>
      <w:r>
        <w:t>. El Abogado del Estado se persona y presenta alegaciones en escrito de 17 de noviembre de 2015 solicitando la estimación de la cuestión de inconstitucionalidad.</w:t>
      </w:r>
    </w:p>
    <w:p w:rsidR="006B7292" w:rsidRDefault="006B7292" w:rsidP="006B7292">
      <w:pPr>
        <w:pStyle w:val="TextoNormal"/>
      </w:pPr>
    </w:p>
    <w:p w:rsidR="006B7292" w:rsidRDefault="006B7292" w:rsidP="006B7292">
      <w:pPr>
        <w:pStyle w:val="TextoNormal"/>
      </w:pPr>
      <w:r>
        <w:t xml:space="preserve">Sostiene, en primer término, que la autorización provisional que prevé el art. 65 </w:t>
      </w:r>
      <w:r w:rsidRPr="006B7292">
        <w:rPr>
          <w:i/>
        </w:rPr>
        <w:t>bis</w:t>
      </w:r>
      <w:r>
        <w:t>.1 de la Ley cántabra 2/2001 no es una verdadera autorización por cuanto ni implica una actividad de auténtica verificación o comprobación de la conformidad de la construcción con el planeamiento urbanístico, ni crea una situación definitiva, sino interina, ni persigue un interés público, sino particular, quedando además la situación creada sometida a término (caducidad, revocación o sustitución por licencia definitiva). En su opinión, la regulación persigue una adaptación del planeamiento a las condiciones de la edificación.</w:t>
      </w:r>
    </w:p>
    <w:p w:rsidR="006B7292" w:rsidRDefault="006B7292" w:rsidP="006B7292">
      <w:pPr>
        <w:pStyle w:val="TextoNormal"/>
      </w:pPr>
    </w:p>
    <w:p w:rsidR="006B7292" w:rsidRDefault="006B7292" w:rsidP="006B7292">
      <w:pPr>
        <w:pStyle w:val="TextoNormal"/>
      </w:pPr>
      <w:r>
        <w:t xml:space="preserve">Afirma, en segundo lugar, que el art. 65 </w:t>
      </w:r>
      <w:r w:rsidRPr="006B7292">
        <w:rPr>
          <w:i/>
        </w:rPr>
        <w:t>bis</w:t>
      </w:r>
      <w:r>
        <w:t>.1 en el inciso referido a las demoliciones judiciales, vulnera el derecho a la tutela judicial efectiva en su vertiente de derecho a la ejecución de las sentencias en sus propios términos. Señala, a estos efectos, que de acuerdo con la doctrina constitucional (SSTC 4/1988; 153/1992; y 73/2000), son contrarias al art. 24.1 en relación con los arts. 117.3 y 118 CE, las previsiones normativas que sacrifican, de forma desproporcionada, el pronunciamiento contenido en el fallo de una resolución judicial firme, de modo que de forma patente o manifiesta no exista la debida proporción entre el interés encarnado en la Ley y el concreto interés tutelado por el fallo a ejecutar, es decir, la debida proporción entre la finalidad perseguida y el sacrificio impuesto.</w:t>
      </w:r>
    </w:p>
    <w:p w:rsidR="006B7292" w:rsidRDefault="006B7292" w:rsidP="006B7292">
      <w:pPr>
        <w:pStyle w:val="TextoNormal"/>
      </w:pPr>
    </w:p>
    <w:p w:rsidR="006B7292" w:rsidRDefault="006B7292" w:rsidP="006B7292">
      <w:pPr>
        <w:pStyle w:val="TextoNormal"/>
      </w:pPr>
      <w:r>
        <w:t xml:space="preserve">Analizado el presente caso conforme a estos parámetros, el Abogado del Estado afirma que ni la ley ni la defensa que de ella hace la Comunidad Autónoma ponderan debidamente los intereses en juego, sin que se advierta por qué razón el interés en conservar las edificaciones declaradas ilegales se antepone a la ejecución de las resoluciones judiciales firmes y llega a la conclusión de que, en realidad, la previsión del art. 65 </w:t>
      </w:r>
      <w:r w:rsidRPr="006B7292">
        <w:rPr>
          <w:i/>
        </w:rPr>
        <w:t>bis</w:t>
      </w:r>
      <w:r>
        <w:t>.1 genera un sacrificio injustificado de la intangibilidad y de la debida ejecución del fallo por un título que no constituye sino una situación interina no apta para enervar la fuerza de una sentencia judicial firme.</w:t>
      </w:r>
    </w:p>
    <w:p w:rsidR="006B7292" w:rsidRDefault="006B7292" w:rsidP="006B7292">
      <w:pPr>
        <w:pStyle w:val="TextoNormal"/>
      </w:pPr>
    </w:p>
    <w:p w:rsidR="006B7292" w:rsidRDefault="006B7292" w:rsidP="006B7292">
      <w:pPr>
        <w:pStyle w:val="TextoNormal"/>
      </w:pPr>
      <w:r>
        <w:t>En tercer lugar, argumenta que la regulación autonómica invade la competencia exclusiva del Estado en materia de legislación procesal por cuanto ésta abarca la regulación de la ejecución de las resoluciones judiciales. Y ello sin que, por otra parte, pueda considerarse que se trata de una norma especial que deriva de las particularidades del derecho sustantivo de la Comunidad Autónoma de Cantabria.</w:t>
      </w:r>
    </w:p>
    <w:p w:rsidR="006B7292" w:rsidRDefault="006B7292" w:rsidP="006B7292">
      <w:pPr>
        <w:pStyle w:val="TextoNormal"/>
      </w:pPr>
    </w:p>
    <w:p w:rsidR="006B7292" w:rsidRDefault="006B7292" w:rsidP="006B7292">
      <w:pPr>
        <w:pStyle w:val="TextoNormal"/>
      </w:pPr>
      <w:r>
        <w:t>Por último, sostiene que la norma cuestionada invade la exclusividad de la potestad jurisdiccional consagrada en el art. 117.3 CE al quebrar el régimen uniforme de ejecución de las sentencias contencioso-administrativas reconociendo la facultad de interferir en la ejecución de un pronunciamiento de una sentencia contencioso-administrativa firme mediante una autorización que se opone y contradice el pronunciamiento jurisdiccional supeditando el ejercicio de la potestad judicial de ejecutar (art. 117.3 CE), la obligación de cumplir las sentencias firmes (art. 118 CE) y el derecho fundamental a la ejecución (art. 24 CE), a la concesión de una autorización provisional a la obra cuya demolición ordenó la jurisdicción.</w:t>
      </w:r>
    </w:p>
    <w:p w:rsidR="006B7292" w:rsidRDefault="006B7292" w:rsidP="006B7292">
      <w:pPr>
        <w:pStyle w:val="TextoNormal"/>
      </w:pPr>
    </w:p>
    <w:p w:rsidR="006B7292" w:rsidRDefault="006B7292" w:rsidP="006B7292">
      <w:pPr>
        <w:pStyle w:val="TextoNormal"/>
      </w:pPr>
      <w:r w:rsidRPr="006B7292">
        <w:rPr>
          <w:rStyle w:val="NumeroAFNegritaCaracter"/>
        </w:rPr>
        <w:t>7</w:t>
      </w:r>
      <w:r>
        <w:t>. La Fiscal General del Estado comparece mediante escrito registrado el 20 de noviembre de 2015 y formula sus alegaciones que apoyan el criterio de la Sala. Estima la Fiscal General del Estado que la norma cuestionada afecta, por un lado, al orden constitucional de distribución de competencias entre el Estado y la Comunidad Autónoma de Cantabria (art. 149.1.6 CE) y, por otro lado, al derecho fundamental a la ejecución de las sentencias en sus propios términos y a la garantía constitucional de integridad jurisdiccional de los jueces y tribunales (arts. 24 y 117.3 CE).</w:t>
      </w:r>
    </w:p>
    <w:p w:rsidR="006B7292" w:rsidRDefault="006B7292" w:rsidP="006B7292">
      <w:pPr>
        <w:pStyle w:val="TextoNormal"/>
      </w:pPr>
    </w:p>
    <w:p w:rsidR="006B7292" w:rsidRDefault="006B7292" w:rsidP="006B7292">
      <w:pPr>
        <w:pStyle w:val="TextoNormal"/>
      </w:pPr>
      <w:r>
        <w:t>En relación con el problema competencial, la Fiscal General del Estado pone de manifiesto que, a diferencia de otros Estatutos de Autonomía, el de Cantabria no contempla que el legislador autonómico pueda regular materia procesal. Por otra parte, en relación con el art. 117.3 CE afirma que la norma cuestionada incide en la regulación de la ejecución de sentencias al introducir un trámite ajeno a la propia ejecución de la Sentencia y que aunque solo paraliza ésta temporalmente en el fondo lo que pretende es legalizar las edificaciones que han de ser derribadas, puesto que “es fácilmente comprensible que en el nuevo planeamiento municipal que se redacte las determinaciones urbanísticas de las parcelas en que se encuentran levantadas las edificaciones declaradas ilegales coincidirán casi al pie de la letra con la realidad de lo edificado, de modo que posteriormente no existirá dificultad alguna para que tales edificaciones obtengan una nueva licencia de obra, con la consiguiente anulación de los efectos de la declaración de ilegalidad efectuada por los Tribunales”.</w:t>
      </w:r>
    </w:p>
    <w:p w:rsidR="006B7292" w:rsidRDefault="006B7292" w:rsidP="006B7292">
      <w:pPr>
        <w:pStyle w:val="TextoNormal"/>
      </w:pPr>
    </w:p>
    <w:p w:rsidR="006B7292" w:rsidRDefault="006B7292" w:rsidP="006B7292">
      <w:pPr>
        <w:pStyle w:val="TextoNormal"/>
      </w:pPr>
      <w:r w:rsidRPr="006B7292">
        <w:rPr>
          <w:rStyle w:val="NumeroAFNegritaCaracter"/>
        </w:rPr>
        <w:t>8</w:t>
      </w:r>
      <w:r>
        <w:t>. El Gobierno de Cantabria formuló sus alegaciones por escrito registrado el 23 de noviembre de 2015.</w:t>
      </w:r>
    </w:p>
    <w:p w:rsidR="006B7292" w:rsidRDefault="006B7292" w:rsidP="006B7292">
      <w:pPr>
        <w:pStyle w:val="TextoNormal"/>
      </w:pPr>
    </w:p>
    <w:p w:rsidR="006B7292" w:rsidRDefault="006B7292" w:rsidP="006B7292">
      <w:pPr>
        <w:pStyle w:val="TextoNormal"/>
      </w:pPr>
      <w:r>
        <w:t xml:space="preserve">Expone los antecedentes del caso y sostiene que la autorización provisional que se regula en el art. 65 </w:t>
      </w:r>
      <w:r w:rsidRPr="006B7292">
        <w:rPr>
          <w:i/>
        </w:rPr>
        <w:t>bis</w:t>
      </w:r>
      <w:r>
        <w:t xml:space="preserve">.1 de la Ley 2/2001 es una nueva figura jurídica dirigida a conferir mayor eficacia a los planeamientos en tramitación mediante la anticipación parcial de sus efectos, con el fin de evitar causar perjuicios irreparables a los intereses de los particulares y al propio interés público. De esta forma, explica el Gobierno de Cantabria, se trata de una figura vinculada por un lado al planeamiento urbanístico, puesto que supone dar eficacia anticipada al planeamiento en tramitación, y, por otra, a la disciplina urbanística, por cuanto implica que no toda infracción de la legalidad ha de llevar aparejada la demolición de forma irremediable, especialmente cuando no se trata de zonas protegidas por alguna razón (costas, espacios naturales, bienes de interés cultural…). Es decir, en su opinión, se trata de una regulación basada en el principio de proporcionalidad que trata de conjugar el equilibrio justo entre la garantía de los intereses públicos y el mantenimiento del </w:t>
      </w:r>
      <w:r w:rsidRPr="006B7292">
        <w:rPr>
          <w:i/>
        </w:rPr>
        <w:t>ius aedificandi</w:t>
      </w:r>
      <w:r>
        <w:t xml:space="preserve"> cuando ello es posible. No se aplica, dirá, indiscriminadamente a cualesquiera edificaciones o construcciones preexistentes, pues el “plan de derribos” de 2011 contempla en muchos casos la demolición como única vía para ejecutar las sentencias, mientras que el art. 65 </w:t>
      </w:r>
      <w:r w:rsidRPr="006B7292">
        <w:rPr>
          <w:i/>
        </w:rPr>
        <w:t>bis</w:t>
      </w:r>
      <w:r>
        <w:t>.1 lo que regula es aquellos supuestos en que por medio de una ordenación que atienda al interés público sea posible legalizar la obra o edificación anteriormente ilegal.</w:t>
      </w:r>
    </w:p>
    <w:p w:rsidR="006B7292" w:rsidRDefault="006B7292" w:rsidP="006B7292">
      <w:pPr>
        <w:pStyle w:val="TextoNormal"/>
      </w:pPr>
    </w:p>
    <w:p w:rsidR="006B7292" w:rsidRDefault="006B7292" w:rsidP="006B7292">
      <w:pPr>
        <w:pStyle w:val="TextoNormal"/>
      </w:pPr>
      <w:r>
        <w:t xml:space="preserve">Destaca que el art. 65 </w:t>
      </w:r>
      <w:r w:rsidRPr="006B7292">
        <w:rPr>
          <w:i/>
        </w:rPr>
        <w:t>bis</w:t>
      </w:r>
      <w:r>
        <w:t xml:space="preserve">.1 no concede ni otorga directamente autorización provisional alguna, sino que es una norma de carácter general que regula la posibilidad de otorgar autorizaciones provisionales. Por tanto, sostiene que el art. 65 </w:t>
      </w:r>
      <w:r w:rsidRPr="006B7292">
        <w:rPr>
          <w:i/>
        </w:rPr>
        <w:t>bis</w:t>
      </w:r>
      <w:r>
        <w:t>.1 precisa de posteriores actos administrativos aplicativos y que serán las concretas autorizaciones provisionales que se otorguen al amparo de la norma las que puedan llegar a determinar, en su caso y si se dan los requisitos legalmente establecidos en la Ley reguladora de la jurisdicción contencioso-administrativa, la imposibilidad legal de proceder a la ejecución de una resolución judicial firme. En consecuencia, mantiene que esos actos administrativos concretos, esas autorizaciones provisionales que se otorguen en cada caso, sí son controlables y fiscalizables por los propios juzgados y tribunales contencioso-administrativos encargados de ejecutar las sentencias.</w:t>
      </w:r>
    </w:p>
    <w:p w:rsidR="006B7292" w:rsidRDefault="006B7292" w:rsidP="006B7292">
      <w:pPr>
        <w:pStyle w:val="TextoNormal"/>
      </w:pPr>
    </w:p>
    <w:p w:rsidR="006B7292" w:rsidRDefault="006B7292" w:rsidP="006B7292">
      <w:pPr>
        <w:pStyle w:val="TextoNormal"/>
      </w:pPr>
      <w:r>
        <w:t xml:space="preserve">Por último, considera que el art. 65 </w:t>
      </w:r>
      <w:r w:rsidRPr="006B7292">
        <w:rPr>
          <w:i/>
        </w:rPr>
        <w:t>bis</w:t>
      </w:r>
      <w:r>
        <w:t xml:space="preserve">.1 no constituye, en ningún caso, norma de carácter procesal o que altere la legislación procesal o introduzca una causa de suspensión del procedimiento de ejecución judicial no previsto en la Ley reguladora de la jurisdicción contencioso-administrativa, pues entiende que es una norma sustantiva, urbanística, que regula una nueva figura o instrucción del derecho urbanístico autonómico “dirigida a conferir a los planeamientos en tramitación (mediante la anticipación parcial de sus efectos), con el fin último de evitar la causación de perjuicios irreparables a los propietarios de construcciones y, en muchos casos, al propio interés público”. En cualquier caso, estima que la pretendida suspensión de la ejecución procesal no nace o se deriva directamente de la Ley 4/2013, no es efecto inmediato y necesario de la aprobación y vigencia de la norma —artículo 65 </w:t>
      </w:r>
      <w:r w:rsidRPr="006B7292">
        <w:rPr>
          <w:i/>
        </w:rPr>
        <w:t>bis</w:t>
      </w:r>
      <w:r>
        <w:t>—, por lo que el vicio de inconstitucionalidad que se le imputa decae automáticamente. Lo que afecta a la ejecución de la Sentencia, en su opinión, es, en su caso, la concreta autorización provisional que se otorgue por el ayuntamiento si se cumplen los requisitos necesarios para ello.</w:t>
      </w:r>
    </w:p>
    <w:p w:rsidR="006B7292" w:rsidRDefault="006B7292" w:rsidP="006B7292">
      <w:pPr>
        <w:pStyle w:val="TextoNormal"/>
      </w:pPr>
    </w:p>
    <w:p w:rsidR="006B7292" w:rsidRDefault="006B7292" w:rsidP="006B7292">
      <w:pPr>
        <w:pStyle w:val="TextoNormal"/>
      </w:pPr>
      <w:r>
        <w:t xml:space="preserve">Afirma que el Tribunal deberá tener en cuenta en la fase de ejecución de la Sentencia la existencia de la autorización provisional y la posibilidad de que la misma constituya una causa de imposibilidad legal de ejecución, pero podrá controlar o incluso anular la autorización provisional de conformidad con lo dispuesto en el art. 103.4 LJCA. Es decir, el hecho de que la autorización provisional se haya otorgado de conformidad con el artículo 65 </w:t>
      </w:r>
      <w:r w:rsidRPr="006B7292">
        <w:rPr>
          <w:i/>
        </w:rPr>
        <w:t>bis</w:t>
      </w:r>
      <w:r>
        <w:t xml:space="preserve"> no impide el control que el Tribunal puede y debe realizar </w:t>
      </w:r>
      <w:r w:rsidRPr="006B7292">
        <w:rPr>
          <w:i/>
        </w:rPr>
        <w:t>ex</w:t>
      </w:r>
      <w:r>
        <w:t xml:space="preserve"> art. 103.4 LJCA, esto es el examen de si la modificación del planeamiento tiene o no la única finalidad de convertir lo ilegal en legal sino la de atender racionalmente el interés público urbanístico.</w:t>
      </w:r>
    </w:p>
    <w:p w:rsidR="006B7292" w:rsidRDefault="006B7292" w:rsidP="006B7292">
      <w:pPr>
        <w:pStyle w:val="TextoNormal"/>
      </w:pPr>
    </w:p>
    <w:p w:rsidR="006B7292" w:rsidRDefault="006B7292" w:rsidP="006B7292">
      <w:pPr>
        <w:pStyle w:val="TextoNormal"/>
      </w:pPr>
      <w:r>
        <w:t>A diferencia del caso de la STC 92/2013, en el presente caso el Gobierno de Cantabria defiende que la Ley 4/2013 no incide per se de forma directa en la ejecución, sino que será, en su caso, la correspondiente autorización provisional la que lo haga y la misma estará sujeta al control jurisdiccional. Rechaza el Gobierno de Cantabria que la regulación resulte contraria al derecho a la tutela judicial efectiva pues el derecho a la ejecución de la Sentencia en sus propios términos “no impide que en determinados supuestos ésta devenga legal o materialmente imposible, lo cual habrá de apreciarse por el órgano judicial en resolución motivada, pues el cumplimiento o ejecución de las Sentencias depende de las características de cada proceso y del contenido del fallo”, tal y como ha reconocido el Tribunal Constitucional (STC 73/2000, de 14 de marzo).</w:t>
      </w:r>
    </w:p>
    <w:p w:rsidR="006B7292" w:rsidRDefault="006B7292" w:rsidP="006B7292">
      <w:pPr>
        <w:pStyle w:val="TextoNormal"/>
      </w:pPr>
    </w:p>
    <w:p w:rsidR="006B7292" w:rsidRDefault="006B7292" w:rsidP="006B7292">
      <w:pPr>
        <w:pStyle w:val="TextoNormal"/>
      </w:pPr>
      <w:r>
        <w:t>Y, por último, afirma también que, en todo caso, no se sacrifica de forma desproporcionada el pronunciamiento contenido en el fallo. En primer lugar, señala que las autorizaciones provisionales tienen una vigencia máxima de cuatro años de duración que es un plazo razonable que no sacrifica indefinidamente el contenido del fallo. En segundo lugar, destaca que la finalidad es evitar la causación de perjuicios irreparables no solo a los propietarios de las viviendas, sino también y principalmente al interés público, dados los enormes costes que tendrían para las arcas públicas, no solo locales sino también autonómicas, la demolición de las viviendas con orden de derribo y la indemnización a todos los propietarios. Señala que el cálculo estimado que todo ello tendría para la hacienda de la Comunidad Autónoma se fija en torno a unos 300.000.000 €. Y, en tercer lugar, defiende que además no se sacrifica de forma desproporcionada el interés del restablecimiento de la legalidad urbanística que subyace en el fallo de la sentencia, pues estas autorizaciones solo se otorgan a aquellas edificaciones o construcciones preexistentes que resulten compatibles con la nueva ordenación urbanística contenida en el planeamiento en tramitación persiguiendo precisamente el restablecimiento de la legalidad urbanística.</w:t>
      </w:r>
    </w:p>
    <w:p w:rsidR="006B7292" w:rsidRDefault="006B7292" w:rsidP="006B7292">
      <w:pPr>
        <w:pStyle w:val="TextoNormal"/>
      </w:pPr>
    </w:p>
    <w:p w:rsidR="006B7292" w:rsidRDefault="006B7292" w:rsidP="006B7292">
      <w:pPr>
        <w:pStyle w:val="TextoNormal"/>
      </w:pPr>
      <w:r w:rsidRPr="006B7292">
        <w:rPr>
          <w:rStyle w:val="NumeroAFNegritaCaracter"/>
        </w:rPr>
        <w:t>9</w:t>
      </w:r>
      <w:r>
        <w:t>. El Letrado del Parlamento de Cantabria presenta su escrito de alegaciones el 24 de noviembre de 2015 en el que, en primer término, pone en entredicho que el planteamiento de la cuestión cumpla con el juicio de aplicabilidad y relevancia, pues, en su opinión, el contenido del fallo del litigio no ha de variar con independencia de si se declara o no inconstitucional la Ley, ya que, en cualquier caso se va a restablecer la legalidad, pues la Ley del Parlamento de Cantabria persigue el restablecimiento evitando que se proceda a la demolición cuando se ha producido la modificación posterior del planeamiento de forma que lo construido se adecua ahora a él.</w:t>
      </w:r>
    </w:p>
    <w:p w:rsidR="006B7292" w:rsidRDefault="006B7292" w:rsidP="006B7292">
      <w:pPr>
        <w:pStyle w:val="TextoNormal"/>
      </w:pPr>
    </w:p>
    <w:p w:rsidR="006B7292" w:rsidRDefault="006B7292" w:rsidP="006B7292">
      <w:pPr>
        <w:pStyle w:val="TextoNormal"/>
      </w:pPr>
      <w:r>
        <w:t>Rechaza, en segundo lugar, que la Ley esté realmente previendo una suspensión de la ejecución de un fallo, pues considera que no interfiere en la legislación procesal ni en la resolución o ejecución del proceso, sino que se limita a prever una medida de restitución de la legalidad urbanística. La regulación tiene, además, a su juicio, amparo en las competencias que el Estatuto atribuye a la Comunidad Autónoma de Cantabria en materia de “organización, régimen y funcionamiento de sus instituciones de autogobierno” (art. 24.1 del Estatuto de Autonomía de Cantabria: EACant), “urbanismo y vivienda” (art. 24.3 EACant) y “procedimiento administrativo derivado de las especialidades de la organización propia” (art. 24.32 EACant).</w:t>
      </w:r>
    </w:p>
    <w:p w:rsidR="006B7292" w:rsidRDefault="006B7292" w:rsidP="006B7292">
      <w:pPr>
        <w:pStyle w:val="TextoNormal"/>
      </w:pPr>
    </w:p>
    <w:p w:rsidR="006B7292" w:rsidRDefault="006B7292" w:rsidP="006B7292">
      <w:pPr>
        <w:pStyle w:val="TextoNormal"/>
      </w:pPr>
      <w:r>
        <w:t>Defiende el Letrado del Parlamento de Cantabria que las autorizaciones provisionales no son legislación procesal, sino legislación urbanística, pues “la previsión y regulación de las “autorizaciones provisionales” es una clara manifestación de la gestión de los instrumentos planificadores y de la disciplina urbanística, como potestades que integran la materia urbanismo y que el Estatuto de Autonomía para Cantabria atribuye a la Comunidad Autónoma”. Y añade que “la ejecución de la sentencia también se produce cuando se adecua lo construido al planeamiento, sin que se suspenda el procedimiento judicial”.</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 xml:space="preserve">Único. La presente cuestión de inconstitucionalidad ha sido promovida por la Sala de lo Contencioso-Administrativo del Tribunal Superior de Justicia de Cantabria en relación con el art. 65 </w:t>
      </w:r>
      <w:r w:rsidRPr="006B7292">
        <w:rPr>
          <w:i/>
        </w:rPr>
        <w:t>bis</w:t>
      </w:r>
      <w:r>
        <w:t>.1 de la Ley 2/2001, de 25 de junio, de ordenación territorial y del régimen urbanístico del suelo de Cantabria, introducido por la Ley 4/2013, de 20 de junio, en la parte del mismo que se refiere a las órdenes de demolición judiciales.</w:t>
      </w:r>
    </w:p>
    <w:p w:rsidR="006B7292" w:rsidRDefault="006B7292" w:rsidP="006B7292">
      <w:pPr>
        <w:pStyle w:val="TextoNormal"/>
      </w:pPr>
    </w:p>
    <w:p w:rsidR="006B7292" w:rsidRDefault="006B7292" w:rsidP="006B7292">
      <w:pPr>
        <w:pStyle w:val="TextoNormal"/>
      </w:pPr>
      <w:r>
        <w:t>El precepto dispone que “iniciado el procedimiento dirigido a la formación, modificación o revisión de los planes urbanísticos y demás instrumentos de planeamiento, y para impedir que se generen perjuicios irreparables al interés público o a los propietarios de edificaciones o actuaciones que, habiendo sido previamente declaradas ilegales y sobre las que hubiesen recaído órdenes de demolición administrativas o judiciales, puedan resultar conformes con la nueva ordenación que se está tramitando, el órgano municipal competente para aprobar inicialmente el plan podrá otorgar, de oficio o a instancia de los interesados, autorizaciones provisionales que afecten a dichas edificaciones o actuaciones preexistentes, previa comprobación de que resultan conformes con el nuevo planeamiento municipal en tramitación. Si el procedimiento se inicia a solicitud del interesado, transcurrido el plazo de tres meses sin haberse notificado resolución alguna podrá entender desestimada su petición.”</w:t>
      </w:r>
    </w:p>
    <w:p w:rsidR="006B7292" w:rsidRDefault="006B7292" w:rsidP="006B7292">
      <w:pPr>
        <w:pStyle w:val="TextoNormal"/>
      </w:pPr>
    </w:p>
    <w:p w:rsidR="006B7292" w:rsidRDefault="006B7292" w:rsidP="006B7292">
      <w:pPr>
        <w:pStyle w:val="TextoNormal"/>
      </w:pPr>
      <w:r>
        <w:t>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 y 117.3 CE que consagran, respectivamente, el derecho a la tutela judicial efectiva y, por tanto, también, su vertiente de derecho a la ejecución de sentencias, y la potestad exclusiva de jueces y tribunales para ejecutar lo juzgado.</w:t>
      </w:r>
    </w:p>
    <w:p w:rsidR="006B7292" w:rsidRDefault="006B7292" w:rsidP="006B7292">
      <w:pPr>
        <w:pStyle w:val="TextoNormal"/>
      </w:pPr>
    </w:p>
    <w:p w:rsidR="006B7292" w:rsidRDefault="006B7292" w:rsidP="006B7292">
      <w:pPr>
        <w:pStyle w:val="TextoNormal"/>
      </w:pPr>
      <w:r>
        <w:t xml:space="preserve">Este Tribunal, en su reciente STC 254/2015, de 30 de noviembre, estimatoria de la cuestión de inconstitucionalidad núm. 6860-2014, dictada con posterioridad a que la presente cuestión fuera admitida a trámite, ha declarado inconstitucional y nulo el inciso “o judiciales” del artículo 65 </w:t>
      </w:r>
      <w:r w:rsidRPr="006B7292">
        <w:rPr>
          <w:i/>
        </w:rPr>
        <w:t>bis</w:t>
      </w:r>
      <w:r>
        <w:t>.1 de la Ley 2/2001, de 25 de junio, de ordenación territorial y de régimen urbanístico del suelo de Cantabria, introducido por la Ley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w:t>
      </w:r>
    </w:p>
    <w:p w:rsidR="006B7292" w:rsidRDefault="006B7292" w:rsidP="006B7292">
      <w:pPr>
        <w:pStyle w:val="TextoNormal"/>
      </w:pPr>
    </w:p>
    <w:p w:rsidR="006B7292" w:rsidRDefault="006B7292" w:rsidP="006B7292">
      <w:pPr>
        <w:pStyle w:val="TextoNormal"/>
      </w:pPr>
      <w:r>
        <w:t>Se sigue de ello que el referido inciso ha sido expulsado del ordenamiento, una vez anulado por inconstitucional, lo que impone ahora apreciar, conforme a reiterada doctrina de este Tribunal (por todos, ATC 28/2015, de 16 de febrero, FJ único), la desaparición sobrevenida del objeto de la presente cuestión, al haber quedado disipada la duda de constitucionalidad planteada por el órgano judicial.</w:t>
      </w:r>
    </w:p>
    <w:p w:rsidR="006B7292" w:rsidRDefault="006B7292" w:rsidP="006B7292">
      <w:pPr>
        <w:pStyle w:val="TextoNormal"/>
      </w:pPr>
    </w:p>
    <w:p w:rsidR="006B7292" w:rsidRDefault="006B7292" w:rsidP="006B7292">
      <w:pPr>
        <w:pStyle w:val="TextoNormal"/>
      </w:pPr>
      <w:r>
        <w:t>Por todo lo expuesto, la Sala</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Declarar la extinción de la cuestión de inconstitucionalidad núm. 4773-2015, por desaparición sobrevenida de su objeto.</w:t>
      </w:r>
    </w:p>
    <w:p w:rsidR="006B7292" w:rsidRDefault="006B7292" w:rsidP="006B7292">
      <w:pPr>
        <w:pStyle w:val="TextoNormal"/>
      </w:pPr>
    </w:p>
    <w:p w:rsidR="006B7292" w:rsidRDefault="006B7292" w:rsidP="006B7292">
      <w:pPr>
        <w:pStyle w:val="TextoNormal"/>
      </w:pPr>
      <w:r>
        <w:t>Madrid, a catorce de diciembre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36" w:name="AUTO_2015_222"/>
      <w:r>
        <w:t>AUTO 222/2015, de 14 de diciembre de 2015</w:t>
      </w:r>
    </w:p>
    <w:bookmarkEnd w:id="236"/>
    <w:p w:rsidR="006B7292" w:rsidRDefault="006B7292" w:rsidP="006B7292">
      <w:pPr>
        <w:pStyle w:val="TtuloResolucin"/>
      </w:pPr>
      <w:r>
        <w:t>Sala Primera</w:t>
      </w:r>
    </w:p>
    <w:p w:rsidR="006B7292" w:rsidRDefault="006B7292" w:rsidP="006B7292">
      <w:pPr>
        <w:pStyle w:val="TextoNormalCentrado"/>
      </w:pPr>
      <w:r>
        <w:t>ECLI:ES:TC:2015:222A</w:t>
      </w:r>
    </w:p>
    <w:p w:rsidR="006B7292" w:rsidRDefault="006B7292" w:rsidP="006B7292">
      <w:pPr>
        <w:pStyle w:val="TextoNormalCentrado"/>
      </w:pPr>
    </w:p>
    <w:p w:rsidR="006B7292" w:rsidRDefault="006B7292" w:rsidP="006B7292">
      <w:pPr>
        <w:pStyle w:val="SntesisDescriptiva"/>
      </w:pPr>
      <w:r>
        <w:t>Excms. Srs. don Francisco Pérez de los Cobos Orihuel, doña Encarnación Roca Trías, don Andrés Ollero Tassara, don Santiago Martínez-Vares García y don Juan Antonio Xiol Ríos.</w:t>
      </w:r>
    </w:p>
    <w:p w:rsidR="006B7292" w:rsidRDefault="006B7292" w:rsidP="006B7292">
      <w:pPr>
        <w:pStyle w:val="SntesisDescriptiva"/>
      </w:pPr>
    </w:p>
    <w:p w:rsidR="006B7292" w:rsidRDefault="006B7292" w:rsidP="006B7292">
      <w:pPr>
        <w:pStyle w:val="SntesisDescriptiva"/>
      </w:pPr>
      <w:r>
        <w:t>Acuerda la extinción, por desaparición sobrevenida de objeto, de la cuestión de inconstitucionalidad 4774-2015, planteada por la Sala de lo Contencioso-Administrativo del Tribunal Superior de Justicia de Cantabria en relación con el artículo 65 bis.1 de la Ley 2/2001, de 25 de junio, de ordenación territorial y del régimen urbanístico del suelo de Cantabria.</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xml:space="preserve">. Por escrito registrado en este Tribunal el 18 de agosto de 2015, la Sala de lo Contencioso-Administrativo del Tribunal Superior de Justicia de Cantabria remitió testimonio del Auto de 21 de julio de 2015, por el que se acordó plantear cuestión de inconstitucionalidad en relación con la Ley del Parlamento de Cantabria 4/2013, de 20 de junio, por la que se modifica la Ley 2/2001, de 25 de junio, de ordenación territorial y del régimen urbanístico del suelo de Cantabria, y en concreto del art. 65 </w:t>
      </w:r>
      <w:r w:rsidRPr="006B7292">
        <w:rPr>
          <w:i/>
        </w:rPr>
        <w:t>bis</w:t>
      </w:r>
      <w:r>
        <w:t>.1 en cuanto dice “órdenes de demolición judiciales”, por posible vulneración de los arts. 24.2, 117.3 y 149.1.6 CE. Junto a esta resolución se acompaña copia testimoniada de las actuaciones.</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de hecho del planteamiento de la presente cuestión de inconstitucionalidad son, sucintamente expuestos, los siguientes:</w:t>
      </w:r>
    </w:p>
    <w:p w:rsidR="006B7292" w:rsidRDefault="006B7292" w:rsidP="006B7292">
      <w:pPr>
        <w:pStyle w:val="TextoNormal"/>
      </w:pPr>
    </w:p>
    <w:p w:rsidR="006B7292" w:rsidRDefault="006B7292" w:rsidP="006B7292">
      <w:pPr>
        <w:pStyle w:val="TextoNormal"/>
      </w:pPr>
      <w:r>
        <w:t>a) Por Sentencia de 28 de mayo de 2007, la Sala de lo Contencioso-Administrativo del Tribunal Superior de Justicia de Cantabria estimó el recurso contencioso-administrativo núm. 1993-1998 interpuesto por ARCA contra el acuerdo de la comisión de gobierno del Ayuntamiento de Argoños de 4 de noviembre de 1997, por el que se concedió licencia a ATC Urbanizaciones, S.L., para la construcción de 91 viviendas en la finca La Llana de dicho municipio, y declaró la nulidad de la resolución recurrida.</w:t>
      </w:r>
    </w:p>
    <w:p w:rsidR="006B7292" w:rsidRDefault="006B7292" w:rsidP="006B7292">
      <w:pPr>
        <w:pStyle w:val="TextoNormal"/>
      </w:pPr>
    </w:p>
    <w:p w:rsidR="006B7292" w:rsidRDefault="006B7292" w:rsidP="006B7292">
      <w:pPr>
        <w:pStyle w:val="TextoNormal"/>
      </w:pPr>
      <w:r>
        <w:t>b) La parte recurrente instó la ejecución de la referida Sentencia. La parte ejecutada planteó incidente procesal de los previstos en el art. 109 de la Ley reguladora de la jurisdicción contencioso-administrativa (LJCA), por lo que se dio traslado a las partes para que formulasen las alegaciones que a su derecho conviniera.</w:t>
      </w:r>
    </w:p>
    <w:p w:rsidR="006B7292" w:rsidRDefault="006B7292" w:rsidP="006B7292">
      <w:pPr>
        <w:pStyle w:val="TextoNormal"/>
      </w:pPr>
    </w:p>
    <w:p w:rsidR="006B7292" w:rsidRDefault="006B7292" w:rsidP="006B7292">
      <w:pPr>
        <w:pStyle w:val="TextoNormal"/>
      </w:pPr>
      <w:r>
        <w:t xml:space="preserve">c) Por providencia de 3 de junio de 2015 la Sala de lo Contencioso-Administrativo del Tribunal Superior de Justicia de Cantabria, de conformidad con lo dispuesto en el art. 35.2 de la Ley Orgánica del Tribunal Constitucional (LOTC), otorgó trámite de audiencia a las partes y al Ministerio Fiscal sobre la pertinencia de plantear cuestión de inconstitucionalidad en relación con el art. 65 </w:t>
      </w:r>
      <w:r w:rsidRPr="006B7292">
        <w:rPr>
          <w:i/>
        </w:rPr>
        <w:t>bis</w:t>
      </w:r>
      <w:r>
        <w:t xml:space="preserve"> de la Ley 2/2001 de 25 de junio, de ordenación territorial y del régimen urbanístico del suelo de Cantabria, modificado por la Ley 4/2013, por si este precepto pudiera incurrir en una infracción del art. 149.1.6 CE y vulnerar por ello las competencias del Estado en materia de legislación procesal al introducir una causa de suspensión en el procedimiento de ejecución judicial, por si pudiera ser contrario al derecho a la tutela judicial efectiva, en su vertiente de derecho a la ejecución de sentencias, del art. 24.2 CE, o por si pudiera vulnerar el art. 117.3 CE por incidir en la competencia exclusiva de los jueces y tribunales para juzgar y ejecutar lo juzgado.</w:t>
      </w:r>
    </w:p>
    <w:p w:rsidR="006B7292" w:rsidRDefault="006B7292" w:rsidP="006B7292">
      <w:pPr>
        <w:pStyle w:val="TextoNormal"/>
      </w:pPr>
    </w:p>
    <w:p w:rsidR="006B7292" w:rsidRDefault="006B7292" w:rsidP="006B7292">
      <w:pPr>
        <w:pStyle w:val="TextoNormal"/>
      </w:pPr>
      <w:r>
        <w:t>d) La Sala de lo Contencioso-Administrativo del Tribunal Superior de Justicia de Cantabria, mediante Auto de 21 de julio de 2015, acordó plantear cuestión de inconstitucionalidad sobre el precepto antes citado.</w:t>
      </w:r>
    </w:p>
    <w:p w:rsidR="006B7292" w:rsidRDefault="006B7292" w:rsidP="006B7292">
      <w:pPr>
        <w:pStyle w:val="TextoNormal"/>
      </w:pPr>
    </w:p>
    <w:p w:rsidR="006B7292" w:rsidRDefault="006B7292" w:rsidP="006B7292">
      <w:pPr>
        <w:pStyle w:val="TextoNormal"/>
      </w:pPr>
      <w:r w:rsidRPr="006B7292">
        <w:rPr>
          <w:rStyle w:val="NumeroAFNegritaCaracter"/>
        </w:rPr>
        <w:t>3</w:t>
      </w:r>
      <w:r>
        <w:t>. En cuanto al contenido del Auto de promoción importa destacar lo siguiente:</w:t>
      </w:r>
    </w:p>
    <w:p w:rsidR="006B7292" w:rsidRDefault="006B7292" w:rsidP="006B7292">
      <w:pPr>
        <w:pStyle w:val="TextoNormal"/>
      </w:pPr>
    </w:p>
    <w:p w:rsidR="006B7292" w:rsidRDefault="006B7292" w:rsidP="006B7292">
      <w:pPr>
        <w:pStyle w:val="TextoNormal"/>
      </w:pPr>
      <w:r>
        <w:t>Tras exponer que los hechos que han dado lugar al planteamiento de la cuestión y justificar que el precepto cuestionado, al ser la norma en la que se fundamenta el incidente por el que se solicita la suspensión de la ejecución de la Sentencia, es relevante para el fallo, entra a analizar las razones por las que duda de su constitucionalidad.</w:t>
      </w:r>
    </w:p>
    <w:p w:rsidR="006B7292" w:rsidRDefault="006B7292" w:rsidP="006B7292">
      <w:pPr>
        <w:pStyle w:val="TextoNormal"/>
      </w:pPr>
    </w:p>
    <w:p w:rsidR="006B7292" w:rsidRDefault="006B7292" w:rsidP="006B7292">
      <w:pPr>
        <w:pStyle w:val="TextoNormal"/>
      </w:pPr>
      <w:r>
        <w:t xml:space="preserve">Según se afirma en esta resolución el art. 65 </w:t>
      </w:r>
      <w:r w:rsidRPr="006B7292">
        <w:rPr>
          <w:i/>
        </w:rPr>
        <w:t>bis</w:t>
      </w:r>
      <w:r>
        <w:t>.1 de la Ley de ordenación territorial y del régimen urbanístico del suelo de Cantabria, en la parte que se refiere a las órdenes de demolición judiciales, puede ser lesivo del art. 149.1.6 CE, del derecho a la ejecución de sentencias que garantiza el art. 24 CE y del art. 117.3 CE.</w:t>
      </w:r>
    </w:p>
    <w:p w:rsidR="006B7292" w:rsidRDefault="006B7292" w:rsidP="006B7292">
      <w:pPr>
        <w:pStyle w:val="TextoNormal"/>
      </w:pPr>
    </w:p>
    <w:p w:rsidR="006B7292" w:rsidRDefault="006B7292" w:rsidP="006B7292">
      <w:pPr>
        <w:pStyle w:val="TextoNormal"/>
      </w:pPr>
      <w:r>
        <w:t>La Sala sostiene, en primer lugar, que el referido precepto, al establecer que “durante el tiempo en el que estén vigentes las autorizaciones provisionales las edificaciones afectadas se mantendrán en la situación en la que se encuentren y les será de aplicación el régimen previsto para los edificios de fuera de ordenación”, está introduciendo una causa de suspensión de la ejecución de las sentencias que vulnera las competencias que el art. 149.1.6 CE atribuye al Estado en materia de legislación procesal.</w:t>
      </w:r>
    </w:p>
    <w:p w:rsidR="006B7292" w:rsidRDefault="006B7292" w:rsidP="006B7292">
      <w:pPr>
        <w:pStyle w:val="TextoNormal"/>
      </w:pPr>
    </w:p>
    <w:p w:rsidR="006B7292" w:rsidRDefault="006B7292" w:rsidP="006B7292">
      <w:pPr>
        <w:pStyle w:val="TextoNormal"/>
      </w:pPr>
      <w:r>
        <w:t>También considera que la autorización provisional que establece el precepto cuestionado, al impedir la demolición acordada en la Sentencia, es contraria al derecho a la ejecución de sentencias, derecho que forma parte del derecho fundamental a la tutela judicial efectiva (art. 24.1 CE), y puede lesionar el art 117.3 CE, ya que permite que la Administración pueda frustrar el cumplimiento del fallo de la sentencia.</w:t>
      </w:r>
    </w:p>
    <w:p w:rsidR="006B7292" w:rsidRDefault="006B7292" w:rsidP="006B7292">
      <w:pPr>
        <w:pStyle w:val="TextoNormal"/>
      </w:pPr>
    </w:p>
    <w:p w:rsidR="006B7292" w:rsidRDefault="006B7292" w:rsidP="006B7292">
      <w:pPr>
        <w:pStyle w:val="TextoNormal"/>
      </w:pPr>
      <w:r>
        <w:t>En el Auto de planteamiento se invoca la doctrina establecida en la STC 82/2014, de 28 de mayo, en la que se ha considerado contrario a la competencia estatal en materia de legislación procesal que el legislador autonómico establezca una causa de suspensión o aplazamiento de la ejecución de las sentencias que han de ejecutarse mediante el derribo de las edificaciones y ha apreciado también que, en la medida en que la efectividad de la demolición judicialmente acordada depende de que la Administración resuelva un procedimiento de responsabilidad patrimonial y, en su caso, abone la indemnización acordada al perjudicado, “la ejecución de la Sentencia termina por escapar del control judicial, único competente para hacer ejecutar lo juzgado a tenor de lo dispuesto en el art. 117.3 CE”.</w:t>
      </w:r>
    </w:p>
    <w:p w:rsidR="006B7292" w:rsidRDefault="006B7292" w:rsidP="006B7292">
      <w:pPr>
        <w:pStyle w:val="TextoNormal"/>
      </w:pPr>
    </w:p>
    <w:p w:rsidR="006B7292" w:rsidRDefault="006B7292" w:rsidP="006B7292">
      <w:pPr>
        <w:pStyle w:val="TextoNormal"/>
      </w:pPr>
      <w:r>
        <w:t xml:space="preserve">Las anteriores consideraciones llevan a la Sala a plantear cuestión de inconstitucionalidad en relación con el art. 65 </w:t>
      </w:r>
      <w:r w:rsidRPr="006B7292">
        <w:rPr>
          <w:i/>
        </w:rPr>
        <w:t>bis</w:t>
      </w:r>
      <w:r>
        <w:t>.1, de la Ley 2/2001, de 25 de junio, de ordenación territorial y régimen urbanístico, modificada por la Ley 4/2013, en la parte que se refiere a las órdenes de demolición judiciales.</w:t>
      </w:r>
    </w:p>
    <w:p w:rsidR="006B7292" w:rsidRDefault="006B7292" w:rsidP="006B7292">
      <w:pPr>
        <w:pStyle w:val="TextoNormal"/>
      </w:pPr>
    </w:p>
    <w:p w:rsidR="006B7292" w:rsidRDefault="006B7292" w:rsidP="006B7292">
      <w:pPr>
        <w:pStyle w:val="TextoNormal"/>
      </w:pPr>
      <w:r w:rsidRPr="006B7292">
        <w:rPr>
          <w:rStyle w:val="NumeroAFNegritaCaracter"/>
        </w:rPr>
        <w:t>4</w:t>
      </w:r>
      <w:r>
        <w:t>. Por providencia de 20 de octubre de 2015, el Pleno, a propuesta de la Sección Segunda, acordó admitir a trámite la cuestión de inconstitucionalidad, deferir su conocimiento a la Sala Primera a la que por turno objetivo ha correspondido, y dar traslado de las actuaciones al Congreso de los Diputados y al Senado por conducto de sus Presidentes, al Gobierno por conducto del Ministro de Justicia, y al Fiscal General del Estado, así como al Gobierno y al Parlamento de Cantabria por conducto de sus Presidentes, al objeto de que, en el improrrogable plazo de quince días, pudieran personarse en el proceso y formular las alegaciones que estimasen convenientes. Asimismo se acordó comunicar la admisión al órgano judicial proponente a fin de que, de conformidad con el art. 35.3 LOTC, permaneciera suspendido el proceso judicial hasta que se resolviera la cuestión de inconstitucionalidad. En la misma providencia acordó el Tribunal publicar la incoación de la cuestión de inconstitucionalidad en el “Boletín Oficial del Estado” y en el “Boletín Oficial de Cantabria”.</w:t>
      </w:r>
    </w:p>
    <w:p w:rsidR="006B7292" w:rsidRDefault="006B7292" w:rsidP="006B7292">
      <w:pPr>
        <w:pStyle w:val="TextoNormal"/>
      </w:pPr>
    </w:p>
    <w:p w:rsidR="006B7292" w:rsidRDefault="006B7292" w:rsidP="006B7292">
      <w:pPr>
        <w:pStyle w:val="TextoNormal"/>
      </w:pPr>
      <w:r w:rsidRPr="006B7292">
        <w:rPr>
          <w:rStyle w:val="NumeroAFNegritaCaracter"/>
        </w:rPr>
        <w:t>5</w:t>
      </w:r>
      <w:r>
        <w:t>. El Presidente del Congreso de los Diputados, mediante escrito que tuvo entrada el 30 de octubre de 2015, comunicó que la Mesa de la Cámara había acordado personarse en el proceso, ofreciendo su colaboración a los efectos del art. 88.1 LOTC. Lo mismo hizo el Presidente del Senado mediante escrito que tuvo entrada el 3 de noviembre de 2015.</w:t>
      </w:r>
    </w:p>
    <w:p w:rsidR="006B7292" w:rsidRDefault="006B7292" w:rsidP="006B7292">
      <w:pPr>
        <w:pStyle w:val="TextoNormal"/>
      </w:pPr>
    </w:p>
    <w:p w:rsidR="006B7292" w:rsidRDefault="006B7292" w:rsidP="006B7292">
      <w:pPr>
        <w:pStyle w:val="TextoNormal"/>
      </w:pPr>
      <w:r w:rsidRPr="006B7292">
        <w:rPr>
          <w:rStyle w:val="NumeroAFNegritaCaracter"/>
        </w:rPr>
        <w:t>6</w:t>
      </w:r>
      <w:r>
        <w:t>. El Abogado del Estado se persona y presenta alegaciones en escrito registrado el 17 de noviembre de 2015 solicitando la estimación de la cuestión de inconstitucionalidad presentada.</w:t>
      </w:r>
    </w:p>
    <w:p w:rsidR="006B7292" w:rsidRDefault="006B7292" w:rsidP="006B7292">
      <w:pPr>
        <w:pStyle w:val="TextoNormal"/>
      </w:pPr>
    </w:p>
    <w:p w:rsidR="006B7292" w:rsidRDefault="006B7292" w:rsidP="006B7292">
      <w:pPr>
        <w:pStyle w:val="TextoNormal"/>
      </w:pPr>
      <w:r>
        <w:t xml:space="preserve">Sostiene el Abogado del Estado, en primer término, que la autorización provisional que prevé el art. 65 </w:t>
      </w:r>
      <w:r w:rsidRPr="006B7292">
        <w:rPr>
          <w:i/>
        </w:rPr>
        <w:t>bis</w:t>
      </w:r>
      <w:r>
        <w:t>.1 de la Ley cántabra 2/2001 no es una verdadera autorización por cuanto ni implica una actividad de auténtica verificación o comprobación de la conformidad de la construcción con el planeamiento urbanístico, ni crea una situación definitiva, sino interina, ni persigue un interés público, sino particular, quedando además la situación creada sometida a término (caducidad, revocación o sustitución por licencia definitiva). En su opinión, la regulación persigue una adaptación del planeamiento a las condiciones de la edificación.</w:t>
      </w:r>
    </w:p>
    <w:p w:rsidR="006B7292" w:rsidRDefault="006B7292" w:rsidP="006B7292">
      <w:pPr>
        <w:pStyle w:val="TextoNormal"/>
      </w:pPr>
    </w:p>
    <w:p w:rsidR="006B7292" w:rsidRDefault="006B7292" w:rsidP="006B7292">
      <w:pPr>
        <w:pStyle w:val="TextoNormal"/>
      </w:pPr>
      <w:r>
        <w:t xml:space="preserve">Afirma, en segundo lugar, que el art. 65 </w:t>
      </w:r>
      <w:r w:rsidRPr="006B7292">
        <w:rPr>
          <w:i/>
        </w:rPr>
        <w:t>bis</w:t>
      </w:r>
      <w:r>
        <w:t>.1 en el inciso referido a las demoliciones judiciales, vulnera el derecho a la tutela judicial efectiva en su vertiente de derecho a la ejecución de las sentencias en sus propios términos. Señala, a estos efectos, que de acuerdo con la doctrina constitucional (SSTC 4/1988, 153/1992, y 73/2000), son contrarias al art. 24.1 en relación con los arts. 117.3 y 118 CE, las previsiones normativas que sacrifican, de forma desproporcionada, el pronunciamiento contenido en el fallo de una resolución judicial firme, de modo que de forma patente o manifiesta no exista la debida proporción entre el interés encarnado en la Ley y el concreto interés tutelado por el fallo a ejecutar, es decir, la debida proporción entre la finalidad perseguida y el sacrificio impuesto.</w:t>
      </w:r>
    </w:p>
    <w:p w:rsidR="006B7292" w:rsidRDefault="006B7292" w:rsidP="006B7292">
      <w:pPr>
        <w:pStyle w:val="TextoNormal"/>
      </w:pPr>
    </w:p>
    <w:p w:rsidR="006B7292" w:rsidRDefault="006B7292" w:rsidP="006B7292">
      <w:pPr>
        <w:pStyle w:val="TextoNormal"/>
      </w:pPr>
      <w:r>
        <w:t>Analizado el presente caso conforme a estos parámetros, el Abogado del Estado afirma que la Ley no pondera los intereses en juego ni calibra si la finalidad de la norma enjuiciada es proporcional al sacrificio que genera en el derecho fundamental a la tutela judicial efectiva y llega a la conclusión de que, en realidad, la previsión del art. 65 bis.1 genera un sacrificio injustificado de la intangibilidad y de la debida ejecución del fallo por un título que no constituye sino una situación interina no apta para enervar la fuerza de una sentencia judicial firme.</w:t>
      </w:r>
    </w:p>
    <w:p w:rsidR="006B7292" w:rsidRDefault="006B7292" w:rsidP="006B7292">
      <w:pPr>
        <w:pStyle w:val="TextoNormal"/>
      </w:pPr>
    </w:p>
    <w:p w:rsidR="006B7292" w:rsidRDefault="006B7292" w:rsidP="006B7292">
      <w:pPr>
        <w:pStyle w:val="TextoNormal"/>
      </w:pPr>
      <w:r>
        <w:t>En tercer lugar, el Abogado del Estado argumenta que la regulación autonómica invade la competencia exclusiva del Estado en materia de legislación procesal por cuanto ésta abarca la regulación de la ejecución de las resoluciones judiciales. Y ello sin que, por otra parte, pueda considerarse que se trata de una norma especial que deriva de las particularidades del derecho sustantivo de la Comunidad Autónoma de Cantabria.</w:t>
      </w:r>
    </w:p>
    <w:p w:rsidR="006B7292" w:rsidRDefault="006B7292" w:rsidP="006B7292">
      <w:pPr>
        <w:pStyle w:val="TextoNormal"/>
      </w:pPr>
    </w:p>
    <w:p w:rsidR="006B7292" w:rsidRDefault="006B7292" w:rsidP="006B7292">
      <w:pPr>
        <w:pStyle w:val="TextoNormal"/>
      </w:pPr>
      <w:r>
        <w:t>Por último, el Abogado del Estado sostiene que la norma cuestionada invade la exclusividad de la potestad jurisdiccional consagrada en el art. 117.3 CE al quebrar el régimen uniforme de ejecución de las sentencias contencioso-administrativas reconociendo la facultad de interferir en la ejecución de un pronunciamiento de una sentencia contencioso-administrativa firme mediante una autorización que se opone y contradice el pronunciamiento jurisdiccional supeditando el ejercicio de la potestad judicial de ejecutar (art. 117.3 CE), la obligación de cumplir las sentencias firmes (art. 118 CE) y el derecho fundamental a la ejecución (art. 24 CE), a la concesión de una autorización provisional a la obra cuya demolición ordenó la jurisdicción.</w:t>
      </w:r>
    </w:p>
    <w:p w:rsidR="006B7292" w:rsidRDefault="006B7292" w:rsidP="006B7292">
      <w:pPr>
        <w:pStyle w:val="TextoNormal"/>
      </w:pPr>
    </w:p>
    <w:p w:rsidR="006B7292" w:rsidRDefault="006B7292" w:rsidP="006B7292">
      <w:pPr>
        <w:pStyle w:val="TextoNormal"/>
      </w:pPr>
      <w:r w:rsidRPr="006B7292">
        <w:rPr>
          <w:rStyle w:val="NumeroAFNegritaCaracter"/>
        </w:rPr>
        <w:t>7</w:t>
      </w:r>
      <w:r>
        <w:t>. La Fiscal General del Estado comparece mediante escrito registrado el 20 de noviembre de 2015 y formula sus alegaciones que apoyan el criterio de la Sala. Estima la Fiscal General del Estado que la norma cuestionada afecta, por un lado, al orden constitucional de distribución de competencias entre el Estado y la Comunidad Autónoma de Cantabria (art. 149.1.6 CE) y, por otro lado, al derecho fundamental a la ejecución de las sentencias en sus propios términos y a la garantía constitucional de integridad jurisdiccional de los jueces y tribunales (arts. 24 y 117.3 CE).</w:t>
      </w:r>
    </w:p>
    <w:p w:rsidR="006B7292" w:rsidRDefault="006B7292" w:rsidP="006B7292">
      <w:pPr>
        <w:pStyle w:val="TextoNormal"/>
      </w:pPr>
    </w:p>
    <w:p w:rsidR="006B7292" w:rsidRDefault="006B7292" w:rsidP="006B7292">
      <w:pPr>
        <w:pStyle w:val="TextoNormal"/>
      </w:pPr>
      <w:r>
        <w:t>En relación con el problema competencial, la Fiscal General del Estado pone de manifiesto que, a diferencia de otros Estatutos de Autonomía, el de Cantabria no contempla que el legislador autonómico pueda regular materia procesal. Por otra parte, en relación con el art. 117.3 CE afirma que la norma cuestionada está disponiendo la paralización de las ejecuciones ordenadas por los jueces y tribunales consistentes en el derribo de las edificaciones ilegalmente ejecutadas, con lo que está involucrándose en una función estrictamente jurisdiccional.</w:t>
      </w:r>
    </w:p>
    <w:p w:rsidR="006B7292" w:rsidRDefault="006B7292" w:rsidP="006B7292">
      <w:pPr>
        <w:pStyle w:val="TextoNormal"/>
      </w:pPr>
    </w:p>
    <w:p w:rsidR="006B7292" w:rsidRDefault="006B7292" w:rsidP="006B7292">
      <w:pPr>
        <w:pStyle w:val="TextoNormal"/>
      </w:pPr>
      <w:r w:rsidRPr="006B7292">
        <w:rPr>
          <w:rStyle w:val="NumeroAFNegritaCaracter"/>
        </w:rPr>
        <w:t>8</w:t>
      </w:r>
      <w:r>
        <w:t>. El Gobierno de Cantabria formuló sus alegaciones por escrito registrado el 23 de noviembre de 2015.</w:t>
      </w:r>
    </w:p>
    <w:p w:rsidR="006B7292" w:rsidRDefault="006B7292" w:rsidP="006B7292">
      <w:pPr>
        <w:pStyle w:val="TextoNormal"/>
      </w:pPr>
    </w:p>
    <w:p w:rsidR="006B7292" w:rsidRDefault="006B7292" w:rsidP="006B7292">
      <w:pPr>
        <w:pStyle w:val="TextoNormal"/>
      </w:pPr>
      <w:r>
        <w:t xml:space="preserve">Expone los antecedentes del caso y sostiene que la autorización provisional que se regula en el art. 65 </w:t>
      </w:r>
      <w:r w:rsidRPr="006B7292">
        <w:rPr>
          <w:i/>
        </w:rPr>
        <w:t>bis</w:t>
      </w:r>
      <w:r>
        <w:t xml:space="preserve">.1 Ley 2/2001 es una nueva figura jurídica dirigida a conferir mayor eficacia a los planeamientos en tramitación mediante la anticipación parcial de sus efectos, con el fin de evitar causar perjuicios irreparables a los intereses de los particulares y al propio interés público. De esta forma, explica el Gobierno de Cantabria, se trata de una figura vinculada por un lado al planeamiento urbanístico, puesto que supone dar eficacia anticipada al planeamiento en tramitación, y, por otra, a la disciplina urbanística, por cuanto implica que no toda infracción de la legalidad ha de llevar aparejada la demolición de forma irremediable. Es decir, en su opinión, se trata de una regulación basada en el principio de proporcionalidad que trata de conjugar el equilibrio justo entre la garantía de los intereses públicos y el mantenimiento del </w:t>
      </w:r>
      <w:r w:rsidRPr="006B7292">
        <w:rPr>
          <w:i/>
        </w:rPr>
        <w:t>ius aedificandi</w:t>
      </w:r>
      <w:r>
        <w:t xml:space="preserve"> cuando ello es posible. No se aplica, dirá, indiscriminadamente a cualesquiera edificaciones o construcciones preexistentes, pues el “plan de derribos” de 2011 contempla en muchos casos la demolición como única vía para ejecutar las sentencias, mientras que el art. 65 </w:t>
      </w:r>
      <w:r w:rsidRPr="006B7292">
        <w:rPr>
          <w:i/>
        </w:rPr>
        <w:t>bis</w:t>
      </w:r>
      <w:r>
        <w:t>.1 lo que regula es aquellos supuestos en que por medio de una ordenación que atienda al interés público sea posible legalizar la obra o edificación anteriormente ilegal.</w:t>
      </w:r>
    </w:p>
    <w:p w:rsidR="006B7292" w:rsidRDefault="006B7292" w:rsidP="006B7292">
      <w:pPr>
        <w:pStyle w:val="TextoNormal"/>
      </w:pPr>
    </w:p>
    <w:p w:rsidR="006B7292" w:rsidRDefault="006B7292" w:rsidP="006B7292">
      <w:pPr>
        <w:pStyle w:val="TextoNormal"/>
      </w:pPr>
      <w:r>
        <w:t xml:space="preserve">Destaca el Gobierno de Cantabria que el art. 65 </w:t>
      </w:r>
      <w:r w:rsidRPr="006B7292">
        <w:rPr>
          <w:i/>
        </w:rPr>
        <w:t>bis</w:t>
      </w:r>
      <w:r>
        <w:t xml:space="preserve">.1 no concede ni otorga directamente autorización provisional alguna, sino que es una norma de carácter general que regula la posibilidad de otorgar autorizaciones provisionales. Por tanto, sostiene que el art. 65 </w:t>
      </w:r>
      <w:r w:rsidRPr="006B7292">
        <w:rPr>
          <w:i/>
        </w:rPr>
        <w:t>bis</w:t>
      </w:r>
      <w:r>
        <w:t>.1 precisa de posteriores actos administrativos aplicativos y que serán las concretas autorizaciones provisionales que se otorguen al amparo de la norma las que puedan llegar a determinar, en su caso y si se dan los requisitos legalmente establecidos en la Ley reguladora de la jurisdicción contencioso-administrativa, la imposibilidad legal de proceder a la ejecución de una resolución judicial firme. En consecuencia, mantiene que esos actos administrativos concretos, esas autorizaciones provisionales que se otorguen en cada caso, sí son controlables y fiscalizables por los propios juzgados y tribunales contencioso-administrativos encargados de ejecutar las sentencias.</w:t>
      </w:r>
    </w:p>
    <w:p w:rsidR="006B7292" w:rsidRDefault="006B7292" w:rsidP="006B7292">
      <w:pPr>
        <w:pStyle w:val="TextoNormal"/>
      </w:pPr>
    </w:p>
    <w:p w:rsidR="006B7292" w:rsidRDefault="006B7292" w:rsidP="006B7292">
      <w:pPr>
        <w:pStyle w:val="TextoNormal"/>
      </w:pPr>
      <w:r>
        <w:t xml:space="preserve">Por último, el Gobierno de Cantabria considera que el art. 65 </w:t>
      </w:r>
      <w:r w:rsidRPr="006B7292">
        <w:rPr>
          <w:i/>
        </w:rPr>
        <w:t>bis</w:t>
      </w:r>
      <w:r>
        <w:t xml:space="preserve">.1 no constituye, en ningún caso, norma de carácter procesal o que altere la legislación procesal o introduzca una causa de suspensión del procedimiento de ejecución judicial no previsto en la Ley reguladora de la jurisdicción contencioso-administrativa, pues entiende que es una norma sustantiva, urbanística, que regula una nueva figura o instrucción del derecho urbanístico autonómico “dirigida a conferir a los planeamientos en tramitación (mediante la anticipación parcial de sus efectos), con el fin último de evitar la causación de perjuicios irreparables a los propietarios de construcciones y, en muchos casos, al propio interés público”. En cualquier caso, estima que la pretendida suspensión de la ejecución procesal no nace o se deriva directamente de la Ley de Cantabria 4/2013, no es efecto inmediato y necesario de la aprobación y vigencia de la norma —artículo 65 </w:t>
      </w:r>
      <w:r w:rsidRPr="006B7292">
        <w:rPr>
          <w:i/>
        </w:rPr>
        <w:t>bis</w:t>
      </w:r>
      <w:r>
        <w:t>—, por lo que el vicio de inconstitucionalidad que se le imputa decae automáticamente. Lo que afecta a la ejecución de la sentencia, en su opinión, es, en su caso, la concreta autorización provisional que se otorgue por el ayuntamiento si se cumplen los requisitos necesarios para ello.</w:t>
      </w:r>
    </w:p>
    <w:p w:rsidR="006B7292" w:rsidRDefault="006B7292" w:rsidP="006B7292">
      <w:pPr>
        <w:pStyle w:val="TextoNormal"/>
      </w:pPr>
    </w:p>
    <w:p w:rsidR="006B7292" w:rsidRDefault="006B7292" w:rsidP="006B7292">
      <w:pPr>
        <w:pStyle w:val="TextoNormal"/>
      </w:pPr>
      <w:r>
        <w:t xml:space="preserve">Afirma el Gobierno de Cantabria que el Tribunal deberá tener en cuenta en la fase de ejecución de la Sentencia la existencia de la autorización provisional y la posibilidad de que la misma constituya una causa de imposibilidad legal de ejecución, pero podrá controlar o incluso anular la autorización provisional de conformidad con lo dispuesto en el art. 103.4 LJCA. Es decir, el hecho de que la autorización provisional se haya otorgado de conformidad con el art. 65 </w:t>
      </w:r>
      <w:r w:rsidRPr="006B7292">
        <w:rPr>
          <w:i/>
        </w:rPr>
        <w:t>bis</w:t>
      </w:r>
      <w:r>
        <w:t xml:space="preserve"> no impide el control que el Tribunal puede y debe realizar </w:t>
      </w:r>
      <w:r w:rsidRPr="006B7292">
        <w:rPr>
          <w:i/>
        </w:rPr>
        <w:t>ex</w:t>
      </w:r>
      <w:r>
        <w:t xml:space="preserve"> art. 103.4 LJCA, esto es el examen de si la modificación del planeamiento tiene o no la única finalidad de convertir lo ilegal en legal sino la de atender racionalmente el interés público urbanístico.</w:t>
      </w:r>
    </w:p>
    <w:p w:rsidR="006B7292" w:rsidRDefault="006B7292" w:rsidP="006B7292">
      <w:pPr>
        <w:pStyle w:val="TextoNormal"/>
      </w:pPr>
    </w:p>
    <w:p w:rsidR="006B7292" w:rsidRDefault="006B7292" w:rsidP="006B7292">
      <w:pPr>
        <w:pStyle w:val="TextoNormal"/>
      </w:pPr>
      <w:r>
        <w:t>A diferencia del caso de la STC 92/2013, en el presente supuesto el Gobierno de Cantabria afirma que la Ley 4/2013 no incide per se de forma directa en la ejecución, sino que será, en su caso, la correspondiente autorización provisional la que lo haga y la misma estará sujeta al control jurisdiccional. Rechaza el Gobierno de Cantabria que la regulación resulte contraria al derecho a la tutela judicial efectiva pues el derecho a la ejecución de la sentencia en sus propios términos “no impide que en determinados supuestos ésta devenga legal o materialmente imposible, lo cual habrá de apreciarse por el órgano judicial en resolución motivada, pues el cumplimiento o ejecución de las Sentencias depende de las características de cada proceso y del contenido del fallo”, tal y como ha reconocido el Tribunal Constitucional (STC 73/2000, de 14 de marzo).</w:t>
      </w:r>
    </w:p>
    <w:p w:rsidR="006B7292" w:rsidRDefault="006B7292" w:rsidP="006B7292">
      <w:pPr>
        <w:pStyle w:val="TextoNormal"/>
      </w:pPr>
    </w:p>
    <w:p w:rsidR="006B7292" w:rsidRDefault="006B7292" w:rsidP="006B7292">
      <w:pPr>
        <w:pStyle w:val="TextoNormal"/>
      </w:pPr>
      <w:r>
        <w:t>Y, por último, afirma también que, en todo caso, no se sacrifica de forma desproporcionada el pronunciamiento contenido en el fallo. En primer lugar, señala que las autorizaciones provisionales tienen una vigencia máxima de cuatro años de duración que es un plazo razonable que no sacrifica indefinidamente el contenido del fallo. En segundo lugar, destaca que la finalidad es evitar la causación de perjuicios irreparables no solo a los propietarios de las viviendas, sino también y principalmente al interés público, dados los enormes costes que tendrían para las arcas públicas, no sólo locales sino también autonómicas, la demolición de las viviendas con orden de derribo y la indemnización a todos los propietarios. Señala que el cálculo estimado que todo ello tendría para la hacienda de la Comunidad Autónoma se fija en torno a unos 300.000.000 €. Y, en tercer lugar, defiende que además no se sacrifica de forma desproporcionada el interés del restablecimiento de la legalidad urbanística que subyace en el fallo de la Sentencia, pues estas autorizaciones solo se otorgan a aquellas edificaciones o construcciones preexistentes que resulten compatibles con la nueva ordenación urbanística contenida en el planeamiento en tramitación persiguiendo precisamente el restablecimiento de la legalidad urbanística.</w:t>
      </w:r>
    </w:p>
    <w:p w:rsidR="006B7292" w:rsidRDefault="006B7292" w:rsidP="006B7292">
      <w:pPr>
        <w:pStyle w:val="TextoNormal"/>
      </w:pPr>
    </w:p>
    <w:p w:rsidR="006B7292" w:rsidRDefault="006B7292" w:rsidP="006B7292">
      <w:pPr>
        <w:pStyle w:val="TextoNormal"/>
      </w:pPr>
      <w:r w:rsidRPr="006B7292">
        <w:rPr>
          <w:rStyle w:val="NumeroAFNegritaCaracter"/>
        </w:rPr>
        <w:t>9</w:t>
      </w:r>
      <w:r>
        <w:t>. El Letrado del Parlamento de Cantabria presenta su escrito de alegaciones el 23 de noviembre de 2015 en el que, en primer término, pone en entredicho que el planteamiento de la cuestión cumpla con el juicio de aplicabilidad y relevancia, pues, en su opinión, el contenido del fallo del litigio no ha de variar con independencia de si se declara o no inconstitucional la ley, ya que, en cualquier caso se va a restablecer la legalidad, pues la Ley del Parlamento de Cantabria persigue el restablecimiento evitando que se proceda a la demolición cuando se ha producido la modificación posterior del planeamiento de forma que lo construido se adecua ahora a él.</w:t>
      </w:r>
    </w:p>
    <w:p w:rsidR="006B7292" w:rsidRDefault="006B7292" w:rsidP="006B7292">
      <w:pPr>
        <w:pStyle w:val="TextoNormal"/>
      </w:pPr>
    </w:p>
    <w:p w:rsidR="006B7292" w:rsidRDefault="006B7292" w:rsidP="006B7292">
      <w:pPr>
        <w:pStyle w:val="TextoNormal"/>
      </w:pPr>
      <w:r>
        <w:t>Rechaza, en segundo lugar, que la Ley esté realmente previendo una suspensión de la ejecución de un fallo, pues considera que no interfiere en la legislación procesal ni en la resolución o ejecución del proceso, sino que se limita a prever una medida de restitución de la legalidad urbanística. La regulación tiene, además, a su juicio, amparo en las competencias que el Estatuto atribuye a la Comunidad Autónoma de Cantabria en materia de “organización, régimen y funcionamiento de sus instituciones de autogobierno” (art. 24.1 del Estatuto de Autonomía de Cantabria: EACant), “urbanismo y vivienda” (art. 24.3 EACant) y “procedimiento administrativo derivado de las especialidades de la organización propia” (art. 24.32 EACant).</w:t>
      </w:r>
    </w:p>
    <w:p w:rsidR="006B7292" w:rsidRDefault="006B7292" w:rsidP="006B7292">
      <w:pPr>
        <w:pStyle w:val="TextoNormal"/>
      </w:pPr>
    </w:p>
    <w:p w:rsidR="006B7292" w:rsidRDefault="006B7292" w:rsidP="006B7292">
      <w:pPr>
        <w:pStyle w:val="TextoNormal"/>
      </w:pPr>
      <w:r>
        <w:t>Defiende el Letrado del Parlamento de Cantabria que las autorizaciones provisionales no son legislación procesal, sino legislación urbanística, pues “la previsión y regulación de las “autorizaciones provisionales” es una clara manifestación de la gestión de los instrumentos planificadores y de la disciplina urbanística, como potestades que integran la materia urbanismo y que el Estatuto de Autonomía para Cantabria atribuye a la Comunidad Autónoma”. Y añade que “la ejecución de la sentencia también se produce cuando se adecua lo construido al planeamiento, sin que se suspenda el procedimiento judicial”.</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 xml:space="preserve">Único. La presente cuestión de inconstitucionalidad ha sido promovida por la Sala de lo Contencioso-Administrativo del Tribunal Superior de Justicia de Cantabria en relación con el art. 65 </w:t>
      </w:r>
      <w:r w:rsidRPr="006B7292">
        <w:rPr>
          <w:i/>
        </w:rPr>
        <w:t>bis</w:t>
      </w:r>
      <w:r>
        <w:t>.1 de la Ley del Parlamento de Cantabria 2/2001, de 25 de junio, de ordenación territorial y de régimen urbanístico del suelo de Cantabria, introducido por la Ley 4/2013, de 20 de junio, en la parte del mismo que se refiere a las órdenes de demolición judiciales. El precepto dispone:</w:t>
      </w:r>
    </w:p>
    <w:p w:rsidR="006B7292" w:rsidRDefault="006B7292" w:rsidP="006B7292">
      <w:pPr>
        <w:pStyle w:val="TextoNormal"/>
      </w:pPr>
    </w:p>
    <w:p w:rsidR="006B7292" w:rsidRDefault="006B7292" w:rsidP="006B7292">
      <w:pPr>
        <w:pStyle w:val="TextoNormal"/>
      </w:pPr>
      <w:r>
        <w:t>“Iniciado el procedimiento dirigido a la formación, modificación o revisión de los planes urbanísticos y demás instrumentos de planeamiento, y para impedir que se generen perjuicios irreparables al interés público o a los propietarios de edificaciones o actuaciones que, habiendo sido previamente declaradas ilegales y sobre las que hubiesen recaído órdenes de demolición administrativas o judiciales, puedan resultar conformes con la nueva ordenación que se está tramitando, el órgano municipal competente para aprobar inicialmente el plan podrá otorgar, de oficio o a instancia de los interesados, autorizaciones provisionales que afecten a dichas edificaciones o actuaciones preexistentes, previa comprobación de que resultan conformes con el nuevo planeamiento municipal en tramitación. Si el procedimiento se inicia a solicitud del interesado, transcurrido el plazo de tres meses sin haberse notificado resolución alguna podrá entender desestimada su petición.”</w:t>
      </w:r>
    </w:p>
    <w:p w:rsidR="006B7292" w:rsidRDefault="006B7292" w:rsidP="006B7292">
      <w:pPr>
        <w:pStyle w:val="TextoNormal"/>
      </w:pPr>
    </w:p>
    <w:p w:rsidR="006B7292" w:rsidRDefault="006B7292" w:rsidP="006B7292">
      <w:pPr>
        <w:pStyle w:val="TextoNormal"/>
      </w:pPr>
      <w:r>
        <w:t>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24.1 y 117.3 CE que consagran, respectivamente, el derecho a la tutela judicial efectiva y, por tanto, también, su vertiente de derecho a la ejecución de sentencias, y la potestad exclusiva de jueces y tribunales para ejecutar lo juzgado.</w:t>
      </w:r>
    </w:p>
    <w:p w:rsidR="006B7292" w:rsidRDefault="006B7292" w:rsidP="006B7292">
      <w:pPr>
        <w:pStyle w:val="TextoNormal"/>
      </w:pPr>
    </w:p>
    <w:p w:rsidR="006B7292" w:rsidRDefault="006B7292" w:rsidP="006B7292">
      <w:pPr>
        <w:pStyle w:val="TextoNormal"/>
      </w:pPr>
      <w:r>
        <w:t xml:space="preserve">Este Tribunal, en su reciente STC 254/2015, de 30 de noviembre, estimatoria de la cuestión de inconstitucionalidad núm. 6860-2014, dictada con posterioridad a que la presente cuestión fuera admitida a trámite, ha declarado inconstitucional y nulo el inciso “o judiciales” del art. 65 </w:t>
      </w:r>
      <w:r w:rsidRPr="006B7292">
        <w:rPr>
          <w:i/>
        </w:rPr>
        <w:t>bis</w:t>
      </w:r>
      <w:r>
        <w:t>.1 de la Ley 2/2001, de 25 de junio, de ordenación territorial y de régimen urbanístico del suelo de Cantabria, introducido por la Ley del Parlamento de Cantabria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w:t>
      </w:r>
    </w:p>
    <w:p w:rsidR="006B7292" w:rsidRDefault="006B7292" w:rsidP="006B7292">
      <w:pPr>
        <w:pStyle w:val="TextoNormal"/>
      </w:pPr>
    </w:p>
    <w:p w:rsidR="006B7292" w:rsidRDefault="006B7292" w:rsidP="006B7292">
      <w:pPr>
        <w:pStyle w:val="TextoNormal"/>
      </w:pPr>
      <w:r>
        <w:t>Se sigue de ello que el referido inciso ha sido expulsado del ordenamiento, una vez anulado por inconstitucional, lo que impone ahora apreciar, conforme a reiterada doctrina de este Tribunal (por todos, ATC 28/2015, de 16 de febrero, FJ único) la desaparición sobrevenida del objeto de la presente cuestión, al haber quedado disipada la duda de constitucionalidad planteada por el órgano judicial.</w:t>
      </w:r>
    </w:p>
    <w:p w:rsidR="006B7292" w:rsidRDefault="006B7292" w:rsidP="006B7292">
      <w:pPr>
        <w:pStyle w:val="TextoNormal"/>
      </w:pPr>
    </w:p>
    <w:p w:rsidR="006B7292" w:rsidRDefault="006B7292" w:rsidP="006B7292">
      <w:pPr>
        <w:pStyle w:val="TextoNormal"/>
      </w:pPr>
      <w:r>
        <w:t>Por todo lo expuesto, la Sala</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Declarar la extinción de la cuestión de inconstitucionalidad núm. 4774-2015, por desaparición sobrevenida de su objeto.</w:t>
      </w:r>
    </w:p>
    <w:p w:rsidR="006B7292" w:rsidRDefault="006B7292" w:rsidP="006B7292">
      <w:pPr>
        <w:pStyle w:val="TextoNormal"/>
      </w:pPr>
    </w:p>
    <w:p w:rsidR="006B7292" w:rsidRDefault="006B7292" w:rsidP="006B7292">
      <w:pPr>
        <w:pStyle w:val="TextoNormal"/>
      </w:pPr>
      <w:r>
        <w:t>Madrid, a catorce de diciembre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37" w:name="AUTO_2015_223"/>
      <w:r>
        <w:t>AUTO 223/2015, de 15 de diciembre de 2015</w:t>
      </w:r>
    </w:p>
    <w:bookmarkEnd w:id="237"/>
    <w:p w:rsidR="006B7292" w:rsidRDefault="006B7292" w:rsidP="006B7292">
      <w:pPr>
        <w:pStyle w:val="TtuloResolucin"/>
      </w:pPr>
      <w:r>
        <w:t>Pleno</w:t>
      </w:r>
    </w:p>
    <w:p w:rsidR="006B7292" w:rsidRDefault="006B7292" w:rsidP="006B7292">
      <w:pPr>
        <w:pStyle w:val="TextoNormalCentrado"/>
      </w:pPr>
      <w:r>
        <w:t>ECLI:ES:TC:2015:223A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Acuerda el desistimiento en el recurso de inconstitucionalidad 4308-2011, planteado por el Presidente del Gobierno en relación con varios apartados del artículo único de la Ley 9/2010, de 18 de octubre, de modificación de la Ley 15/2001, de 14 de diciembre, de suelo y ordenación territorial de Extremadura.</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escrito presentado en el Registro General de este Tribunal el 20 de julio de 2011, el Abogado del Estado, en nombre del Presidente del Gobierno, interpuso recurso de inconstitucionalidad contra los apartados cuatro, cinco, siete, trece, catorce, quince, treinta y cuarenta y ocho del artículo único de la Ley 9/2010, de 18 de octubre, de modificación de la Ley 15/2001, de 14 de diciembre, de suelo y ordenación territorial de Extremadura. El Abogado del Estado invocó el art. 161.2 CE y el art. 30 de la Ley Orgánica del Tribunal Constitucional (LOTC) a fin de que se produjese la suspensión de los preceptos impugnados.</w:t>
      </w:r>
    </w:p>
    <w:p w:rsidR="006B7292" w:rsidRDefault="006B7292" w:rsidP="006B7292">
      <w:pPr>
        <w:pStyle w:val="TextoNormal"/>
      </w:pPr>
    </w:p>
    <w:p w:rsidR="006B7292" w:rsidRDefault="006B7292" w:rsidP="006B7292">
      <w:pPr>
        <w:pStyle w:val="TextoNormal"/>
      </w:pPr>
      <w:r w:rsidRPr="006B7292">
        <w:rPr>
          <w:rStyle w:val="NumeroAFNegritaCaracter"/>
        </w:rPr>
        <w:t>2</w:t>
      </w:r>
      <w:r>
        <w:t>. El Pleno del Tribunal Constitucional, por providencia de 13 de septiembre de 2011, a propuesta de la Sección Primera, acordó admitir a trámite el recurso, que fue registrado con el núm. 4308-2011.</w:t>
      </w:r>
    </w:p>
    <w:p w:rsidR="006B7292" w:rsidRDefault="006B7292" w:rsidP="006B7292">
      <w:pPr>
        <w:pStyle w:val="TextoNormal"/>
      </w:pPr>
    </w:p>
    <w:p w:rsidR="006B7292" w:rsidRDefault="006B7292" w:rsidP="006B7292">
      <w:pPr>
        <w:pStyle w:val="TextoNormal"/>
      </w:pPr>
      <w:r w:rsidRPr="006B7292">
        <w:rPr>
          <w:rStyle w:val="NumeroAFNegritaCaracter"/>
        </w:rPr>
        <w:t>3</w:t>
      </w:r>
      <w:r>
        <w:t>. Por escrito registrado el 3 de noviembre de 2015, el Abogado del Estado traslada a este Tribunal la certificación del acuerdo adoptado por el Consejo de Ministros, en sesión celebrada el 30 de octubre de 2015, por el que se solicita del Presidente del Gobierno el desistimiento del recurso de inconstitucionalidad núm. 4308-2011, interpuesto contra los apartados cuatro, cinco, siete, trece, catorce, quince, treinta y cuarenta y ocho del artículo único de la Ley 9/2010, de 18 de octubre, de modificación de la Ley 15/2001, de 14 de diciembre, de suelo y ordenación territorial de Extremadura, así como la del acuerdo del Presidente del Gobierno de la misma fecha, solicitando que se le tenga por desistido en dicho recurso y, por este motivo, se ponga fin al proceso constitucional, de conformidad con el art. 80 LOTC.</w:t>
      </w:r>
    </w:p>
    <w:p w:rsidR="006B7292" w:rsidRDefault="006B7292" w:rsidP="006B7292">
      <w:pPr>
        <w:pStyle w:val="TextoNormal"/>
      </w:pPr>
    </w:p>
    <w:p w:rsidR="006B7292" w:rsidRDefault="006B7292" w:rsidP="006B7292">
      <w:pPr>
        <w:pStyle w:val="TextoNormal"/>
      </w:pPr>
      <w:r w:rsidRPr="006B7292">
        <w:rPr>
          <w:rStyle w:val="NumeroAFNegritaCaracter"/>
        </w:rPr>
        <w:t>4</w:t>
      </w:r>
      <w:r>
        <w:t>. Por providencia del Pleno de 5 de noviembre de 2015 se acordó oír a la Junta y a la Asamblea de Extremadura, para que, en el plazo de diez días, alegaran lo que estimasen procedente en relación con la solicitud de desistimiento formulada por el Presidente del Gobierno.</w:t>
      </w:r>
    </w:p>
    <w:p w:rsidR="006B7292" w:rsidRDefault="006B7292" w:rsidP="006B7292">
      <w:pPr>
        <w:pStyle w:val="TextoNormal"/>
      </w:pPr>
    </w:p>
    <w:p w:rsidR="006B7292" w:rsidRDefault="006B7292" w:rsidP="006B7292">
      <w:pPr>
        <w:pStyle w:val="TextoNormal"/>
      </w:pPr>
      <w:r w:rsidRPr="006B7292">
        <w:rPr>
          <w:rStyle w:val="NumeroAFNegritaCaracter"/>
        </w:rPr>
        <w:t>5</w:t>
      </w:r>
      <w:r>
        <w:t>. Por escrito registrado en este Tribunal el 23 de noviembre de 2015, el Letrado de la Junta de Extremadura, en la representación que legalmente ostenta, manifiesta que no se opone a la solicitud de desistimiento formulada por el Presidente del Gobierno, por lo que procede que se dicte Auto declarando terminado el presente proceso constitucional.</w:t>
      </w:r>
    </w:p>
    <w:p w:rsidR="006B7292" w:rsidRDefault="006B7292" w:rsidP="006B7292">
      <w:pPr>
        <w:pStyle w:val="TextoNormal"/>
      </w:pPr>
    </w:p>
    <w:p w:rsidR="006B7292" w:rsidRDefault="006B7292" w:rsidP="006B7292">
      <w:pPr>
        <w:pStyle w:val="TextoNormal"/>
      </w:pPr>
      <w:r>
        <w:t>La Asamblea de Extremadura no formuló alegaciones en relación con la solicitud de desistimiento presentada por el Presidente del Gobierno.</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t>Único. El desistimiento aparece contemplado como modo de terminación de los procesos constitucionales en el art. 86 de la Ley Orgánica del Tribunal Constitucional (LOTC), cuyo art. 80 remite, a su vez, a la Ley de enjuiciamiento civil (LEC) para la regulación con carácter supletorio de este acto procesal (arts. 19.1 y 20.2 LEC), que puede ser parcial, cuando afecta a alguna de las pretensiones en caso de pluralidad del objeto, y total, cuando se refiere a todas o a la única pretensión deducida en el proceso (por todas, SSTC 96/1990, de 24 de mayo, FJ 1, y 237/1992, de 15 de diciembre, AATC 33/1993, de 26 de enero; 173/1997, de 20 de mayo; 79/2008, de 11 de marzo, y 288/2013, de 17 de diciembre, entre otros muchos).</w:t>
      </w:r>
    </w:p>
    <w:p w:rsidR="006B7292" w:rsidRDefault="006B7292" w:rsidP="006B7292">
      <w:pPr>
        <w:pStyle w:val="TextoNormal"/>
      </w:pPr>
    </w:p>
    <w:p w:rsidR="006B7292" w:rsidRDefault="006B7292" w:rsidP="006B7292">
      <w:pPr>
        <w:pStyle w:val="TextoNormal"/>
      </w:pPr>
      <w:r>
        <w:t>Así pues, en virtud de los citados preceptos puede estimarse como forma admitida para poner fin a un recurso de inconstitucionalidad, total o parcialmente, la manifestación de la voluntad de desistir, siempre que, según reiterada doctrina de este Tribunal, no se advierta interés constitucional que justifique la prosecución del proceso hasta su finalización por sentencia (por todos, AATC 34/1993, de 26 de enero; 30/2006, de 1 de febrero; 79/2008, de 11 de marzo; 288/2013, de 17 de diciembre, y 186/2014, de 15 de julio).</w:t>
      </w:r>
    </w:p>
    <w:p w:rsidR="006B7292" w:rsidRDefault="006B7292" w:rsidP="006B7292">
      <w:pPr>
        <w:pStyle w:val="TextoNormal"/>
      </w:pPr>
    </w:p>
    <w:p w:rsidR="006B7292" w:rsidRDefault="006B7292" w:rsidP="006B7292">
      <w:pPr>
        <w:pStyle w:val="TextoNormal"/>
      </w:pPr>
      <w:r>
        <w:t>Ni la Junta ni la Asamblea de Extremadura se han opuesto a la solicitud de desistimiento formulada por el Presidente del Gobierno y no se advierte interés constitucional que justifique la prosecución del recurso hasta su finalización por sentencia, por lo que procede acceder a lo solicitado.</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Tener por desistido al Abogado del Estado, en la representación que legalmente ostenta, en el recurso de inconstitucionalidad núm. 4308-2011, promovido contra los apartados cuatro, cinco, siete, trece, catorce, quince, treinta y cuarenta y ocho del artículo único de la Ley 9/2010, de 18 de octubre, de modificación de la Ley 15/2001, de 14 de diciembre, de suelo y ordenación territorial de Extremadura, declarando extinguido el proceso.</w:t>
      </w:r>
    </w:p>
    <w:p w:rsidR="006B7292" w:rsidRDefault="006B7292" w:rsidP="006B7292">
      <w:pPr>
        <w:pStyle w:val="TextoNormal"/>
      </w:pPr>
    </w:p>
    <w:p w:rsidR="006B7292" w:rsidRDefault="006B7292" w:rsidP="006B7292">
      <w:pPr>
        <w:pStyle w:val="TextoNormal"/>
      </w:pPr>
      <w:r>
        <w:t>Madrid, a quince de diciembre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38" w:name="AUTO_2015_224"/>
      <w:r>
        <w:t>AUTO 224/2015, de 15 de diciembre de 2015</w:t>
      </w:r>
    </w:p>
    <w:bookmarkEnd w:id="238"/>
    <w:p w:rsidR="006B7292" w:rsidRDefault="006B7292" w:rsidP="006B7292">
      <w:pPr>
        <w:pStyle w:val="TtuloResolucin"/>
      </w:pPr>
      <w:r>
        <w:t>Pleno</w:t>
      </w:r>
    </w:p>
    <w:p w:rsidR="006B7292" w:rsidRDefault="006B7292" w:rsidP="006B7292">
      <w:pPr>
        <w:pStyle w:val="TextoNormalCentrado"/>
      </w:pPr>
      <w:r>
        <w:t>ECLI:ES:TC:2015:224A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Inadmite a trámite la cuestión de inconstitucionalidad 2888-2015, planteada por la Sala de lo Contencioso-Administrativo del Tribunal Superior de Justicia de Cataluña en relación con el artículo 31.1 de la Ley 39/2010, de 22 de diciembre, de presupuestos generales del Estado para 2011.</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21 de mayo de 2015 entró en el Registro General de este Tribunal un escrito de la Sección Cuarta de la Sala de lo Contencioso-Administrativo del Tribunal Superior de Justicia de Cataluña, al que se acompaña, junto al testimonio del recurso ordinario 249-2011, el Auto de 30 de marzo de 2015, en el que se acuerda “plantear cuestión de inconstitucionalidad del art. 31.Uno, que regula las retribuciones de la carrera judicial y Fiscal, de la Ley 39/2010, PGE para el año 2011, en relación con su antecedente necesario contenido en el art. 1 del Real Decreto-ley 8/2010, de 22 de mayo, que modificó el art. 32 de la Ley 26/2009, PGE para el año 2010”, por posible vulneración de lo dispuesto en los arts. 9.3, 14 y 31 CE.</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de hecho de la cuestión son los siguientes:</w:t>
      </w:r>
    </w:p>
    <w:p w:rsidR="006B7292" w:rsidRDefault="006B7292" w:rsidP="006B7292">
      <w:pPr>
        <w:pStyle w:val="TextoNormal"/>
      </w:pPr>
    </w:p>
    <w:p w:rsidR="006B7292" w:rsidRDefault="006B7292" w:rsidP="006B7292">
      <w:pPr>
        <w:pStyle w:val="TextoNormal"/>
      </w:pPr>
      <w:r>
        <w:t>a) Don C. E. V., Magistrado con destino en el Juzgado de lo Social núm. 26 de Barcelona, interpuso el 3 de marzo de 2011 recurso contencioso-administrativo contra las nóminas de los meses de enero, febrero y sucesivos de 2011, al implicar las mismas, en aplicación del art. 31.1 de la Ley 39/2010, de 22 de diciembre, de presupuestos generales del Estado para el año 2011, una “sustancial disminución respecto de los equivalentes periodos de la anualidad anterior”.</w:t>
      </w:r>
    </w:p>
    <w:p w:rsidR="006B7292" w:rsidRDefault="006B7292" w:rsidP="006B7292">
      <w:pPr>
        <w:pStyle w:val="TextoNormal"/>
      </w:pPr>
    </w:p>
    <w:p w:rsidR="006B7292" w:rsidRDefault="006B7292" w:rsidP="006B7292">
      <w:pPr>
        <w:pStyle w:val="TextoNormal"/>
      </w:pPr>
      <w:r>
        <w:t>Respecto a esta rebaja retributiva hay que tener en cuenta que el art 1.4 del Real Decreto-ley 8/2010 había modificado la Ley 26/2009, de 23 de diciembre, de presupuestos generales del Estado para 2010, en lo que hace a las retribuciones de los miembros de la carrera judicial. Dio nueva redacción al art. 32 de dicha Ley, introduciendo un apartado 32.1.II, en el que dispuso que a partir del 1 de junio de 2010 dichas retribuciones serían las que allí se indican. Así, el art. 32.1.II.1, donde se establece la cuantía a la que asciende el sueldo de cada una de las categorías de la carrera judicial, refleja una reducción del 9,73 por 100 respecto las retribuciones previstas hasta entonces y el art. 32.1.II.4 dispone que “las retribuciones complementarias de los miembros de las carreras judicial y fiscal experimentarán una reducción del 6 por ciento en el caso de magistrados y fiscales, y del 5 por ciento en el caso de jueces y abogados fiscales en términos anuales respecto de las vigentes a 31 de mayo de 2010”.</w:t>
      </w:r>
    </w:p>
    <w:p w:rsidR="006B7292" w:rsidRDefault="006B7292" w:rsidP="006B7292">
      <w:pPr>
        <w:pStyle w:val="TextoNormal"/>
      </w:pPr>
    </w:p>
    <w:p w:rsidR="006B7292" w:rsidRDefault="006B7292" w:rsidP="006B7292">
      <w:pPr>
        <w:pStyle w:val="TextoNormal"/>
      </w:pPr>
      <w:r>
        <w:t>Por su parte, el 31.1 de la Ley 39/2010, que es el precepto que da cobertura a la liquidaciones impugnadas, reitera para 2011 este mismo régimen introducido por el Real Decreto-ley 8/2010 en la Ley 26/2009. Dispone así que durante 2011 las distintas categorías de la carrera judicial percibirán en concepto de sueldo las mismas cantidades fijadas, por el Real Decreto-ley 8/2010, en el art. 32.1.II.1 de Ley 26/2009; y dispone también que sus retribuciones complementarias no experimentarán ningún incremento respecto de las vigentes a 31 de diciembre de 2010 en virtud de lo previsto en el art. 32.1.II.4 de la Ley 26/2009.</w:t>
      </w:r>
    </w:p>
    <w:p w:rsidR="006B7292" w:rsidRDefault="006B7292" w:rsidP="006B7292">
      <w:pPr>
        <w:pStyle w:val="TextoNormal"/>
      </w:pPr>
    </w:p>
    <w:p w:rsidR="006B7292" w:rsidRDefault="006B7292" w:rsidP="006B7292">
      <w:pPr>
        <w:pStyle w:val="TextoNormal"/>
      </w:pPr>
      <w:r>
        <w:t>La demanda afirma, entre otros motivos de impugnación, que tal rebaja retributiva vulnera (a) el principio de interdicción de la arbitrariedad (art. 9.3 CE), así como (b) el principio de igualdad y el derecho a no sufrir ninguna discriminación (art. 14 CE). En cuanto a esto último, la demanda razona, de un lado, que la reducción salarial se realiza conforme a “porcentajes sin parangón en el resto de colectivos de funcionarios” y, de otro, que la norma que justifica las liquidaciones “establece un criterio progresivo, y no simplemente porcentual, para articular el importe de las reducciones retributivas, criterio progresivo que nuestra CE (art. 31.1) únicamente contempla como posibilidad a la hora de diseñar el sistema tributario”. Consecuentemente, insta el planteamiento de cuestión de inconstitucionalidad respecto art. 31.1 de la Ley 39/2010.</w:t>
      </w:r>
    </w:p>
    <w:p w:rsidR="006B7292" w:rsidRDefault="006B7292" w:rsidP="006B7292">
      <w:pPr>
        <w:pStyle w:val="TextoNormal"/>
      </w:pPr>
    </w:p>
    <w:p w:rsidR="006B7292" w:rsidRDefault="006B7292" w:rsidP="006B7292">
      <w:pPr>
        <w:pStyle w:val="TextoNormal"/>
      </w:pPr>
      <w:r>
        <w:t>b) Por diligencia de ordenación de 22 de marzo de 2012 se señaló este asunto para votación y fallo. Sin embargo, por Auto de 11 de noviembre de 2013 se acordó la práctica de varias diligencias finales (art. 435.2 de la Ley de enjuiciamiento civil: LEC), entre ellas “que por el Ministerio de Justicia se certifique la incidencia total de la reducción practicada en las retribuciones anuales a los miembros de la carrera judicial por aplicación del Real Decreto-ley 8/2010 y el porcentaje que supone en cada concepto retributivo (sueldo base, antigüedad y resto de retribuciones complementarias) con determinación en cada uno de ellos y distinguiendo entre la categoría de Juez y Magistrado”.</w:t>
      </w:r>
    </w:p>
    <w:p w:rsidR="006B7292" w:rsidRDefault="006B7292" w:rsidP="006B7292">
      <w:pPr>
        <w:pStyle w:val="TextoNormal"/>
      </w:pPr>
    </w:p>
    <w:p w:rsidR="006B7292" w:rsidRDefault="006B7292" w:rsidP="006B7292">
      <w:pPr>
        <w:pStyle w:val="TextoNormal"/>
      </w:pPr>
      <w:r>
        <w:t>Por providencia de 8 de mayo de 2014 se acordó que “visto que efectivamente el Ministerio de Justicia no ha certificado los extremos interesados por este Tribunal en el Auto de 11 de noviembre de 2013, no obstante, y en aras de la economía procesal, constando, entre otros recursos que se tramitan en esta Sección, en el recurso ordinario núm. 980/10 el certificado de la incidencia total de la reducción practicada en las retribuciones anuales a los miembros de la carrera judicial por aplicación del Real Decreto-ley 8/2010, y siendo una certificación de carácter general que no es específica a ningún recurrente, se incorpora una copia testimoniada al presente recurso a los efectos probatorios oportunos”.</w:t>
      </w:r>
    </w:p>
    <w:p w:rsidR="006B7292" w:rsidRDefault="006B7292" w:rsidP="006B7292">
      <w:pPr>
        <w:pStyle w:val="TextoNormal"/>
      </w:pPr>
    </w:p>
    <w:p w:rsidR="006B7292" w:rsidRDefault="006B7292" w:rsidP="006B7292">
      <w:pPr>
        <w:pStyle w:val="TextoNormal"/>
      </w:pPr>
      <w:r>
        <w:t>Consta en el expediente, incorporado a este recurso ordinario núm. 249-2011 en virtud de dicha providencia, informe del Habilitado central de personal del Ministerio de Justicia de 22 de septiembre de 2013, que había sido registrado como prueba el 7 de noviembre de 2013 en otro proceso análogo, precisamente en el recurso ordinario núm. 980-2010. En este informe se certifica que la incidencia de la reducción practicada en las retribuciones básicas es del 9,73 por 100 para jueces y magistrados, mientras que en las retribuciones complementarias difiere, pues es del 6 por 100 para los magistrados y del 5 por 100 para los jueces. Esto supone que el porcentaje global de reducción dependerá del mayor o menor peso que tengan las retribuciones complementarias con relación al total. Aquellos cuyas retribuciones complementarias tengan más peso en el total de la retribución sufrirán un porcentaje global de reducción menor. Así, según dicho informe, el porcentaje de reducción global es del 5,90 por 100 para Magistrados del Tribunal Superior de Justicia, del 6,64 por 100 para Magistrados de órgano unipersonal y del 7,16 por 100 para jueces.</w:t>
      </w:r>
    </w:p>
    <w:p w:rsidR="006B7292" w:rsidRDefault="006B7292" w:rsidP="006B7292">
      <w:pPr>
        <w:pStyle w:val="TextoNormal"/>
      </w:pPr>
    </w:p>
    <w:p w:rsidR="006B7292" w:rsidRDefault="006B7292" w:rsidP="006B7292">
      <w:pPr>
        <w:pStyle w:val="TextoNormal"/>
      </w:pPr>
      <w:r>
        <w:t>c) Por providencia de 26 de junio de 2014, con suspensión del plazo para dictar sentencia, y visto el estado de las actuaciones y el resultado de las diligencias finales practicadas, se acordó al amparo de lo dispuesto en el art. 35.2 de la Ley Orgánica del Tribunal Constitucional (LOTC) oir a todas las partes y al Ministerio Fiscal por plazo común de diez días “sobre la procedencia del planteamiento de cuestión de inconstitucionalidad del art. 31.Uno de la Ley 39/2010, de 22 de diciembre, de Presupuestos Generales del Estado para el año 2011”.</w:t>
      </w:r>
    </w:p>
    <w:p w:rsidR="006B7292" w:rsidRDefault="006B7292" w:rsidP="006B7292">
      <w:pPr>
        <w:pStyle w:val="TextoNormal"/>
      </w:pPr>
    </w:p>
    <w:p w:rsidR="006B7292" w:rsidRDefault="006B7292" w:rsidP="006B7292">
      <w:pPr>
        <w:pStyle w:val="TextoNormal"/>
      </w:pPr>
      <w:r>
        <w:t>Por providencia de 29 de octubre de 2014, y a instancia del Ministerio Fiscal, se completó la anterior providencia “en el sentido de que para la resolución de presente recurso es necesario plantearse si este precepto … vulnera los arts. 9.3 CE (prohibición de la arbitrariedad), 14 CE (principio de igualdad en la aplicación de la ley), 31 CE (principio de progresividad conforme al cual cada uno contribuirá al sostenimiento de los gastos públicos conforme a su capacidad económica), 33.3 CE; y no respeta las previsiones del art. 403.1 LOPJ”. Tal planteamiento se apoyaba “en el Informe del Habilitado Central de Personal del Ministerio de Justicia, en el que se expone que para los Jueces —que son los que menos cobran— la rebaja salarial es del 7,16 por 100, para los Magistrados de Órgano Unipersonal (como el actor), la rebaja es del 6,64 por 100 y para los Magistrados de los TSJ —que son los que más cobran, sin que se informe sobre los Magistrados del Tribunal Supremo— la rebaja es del 5,90 por 100”.</w:t>
      </w:r>
    </w:p>
    <w:p w:rsidR="006B7292" w:rsidRDefault="006B7292" w:rsidP="006B7292">
      <w:pPr>
        <w:pStyle w:val="TextoNormal"/>
      </w:pPr>
    </w:p>
    <w:p w:rsidR="006B7292" w:rsidRDefault="006B7292" w:rsidP="006B7292">
      <w:pPr>
        <w:pStyle w:val="TextoNormal"/>
      </w:pPr>
      <w:r>
        <w:t xml:space="preserve">El recurrente, en escrito registrado el 14 de noviembre de 2014, razona que la norma cuestionada es relevante para resolver el pleito </w:t>
      </w:r>
      <w:r w:rsidRPr="006B7292">
        <w:rPr>
          <w:i/>
        </w:rPr>
        <w:t>a quo</w:t>
      </w:r>
      <w:r>
        <w:t xml:space="preserve"> y, además, que las dudas de constitucionalidad apoyadas en los arts. 14 (igualdad en la aplicación de la ley), 9.3 (prohibición de arbitrariedad), 31 (principio de progresividad) y 33.3 CE (privación de derechos salariales sin invocar una causa de utilidad pública o interés social) tienen fundamento. El Ministerio Fiscal, en escrito de 17 de noviembre de 2014, sostiene que “concurren los requisitos formales para el planteamiento de la cuestión en los términos propuestos”. El Abogado del Estado, en escrito de 26 de noviembre de 2014, se opone al planteamiento de la cuestión. Aparte de razonar que, a su juicio, el precepto legal cuestionado no vulnera el art. 14 CE, pone de relieve que la misma Sala ha dictado sentencia en caso análogo (recurso 980-2010) el 28 de abril de 2014 desestimando expresamente cualquier pretensión de inconstitucionalidad, así como que la Sentencia del Tribunal Supremo de 12 de abril de 2012 ha resuelto, con base en los AATC 179 y 184 de 2011, sobre idénticas cuestiones que las que aquí se suscitan sin apreciar razones para dudar de la constitucionalidad del Real Decreto-ley 8/2010.</w:t>
      </w:r>
    </w:p>
    <w:p w:rsidR="006B7292" w:rsidRDefault="006B7292" w:rsidP="006B7292">
      <w:pPr>
        <w:pStyle w:val="TextoNormal"/>
      </w:pPr>
    </w:p>
    <w:p w:rsidR="006B7292" w:rsidRDefault="006B7292" w:rsidP="006B7292">
      <w:pPr>
        <w:pStyle w:val="TextoNormal"/>
      </w:pPr>
      <w:r>
        <w:t>A la vista de lo alegado por las partes, la Sala acordó mediante providencia de 18 de diciembre de 2014 que el Habilitado central de personal del Ministerio de Justicia informe sobre el porcentaje de reducción que han sufrido los Magistrados del Tribunal Supremo y los miembros del Ministerio Fiscal cuyas retribuciones se fijan en las leyes de presupuestos anuales. El 12 de febrero de 2015 se incorporó a los autos del recurso núm. 249-2011 un informe de dicho habilitado de 30 de enero de 2015, en el que se indican las variaciones en los conceptos retributivos del personal solicitado, destacando en lo que aquí interesa que los Magistrados del Tribunal Supremo sufren una reducción retributiva que en términos globales alcanza al 9 por 100.</w:t>
      </w:r>
    </w:p>
    <w:p w:rsidR="006B7292" w:rsidRDefault="006B7292" w:rsidP="006B7292">
      <w:pPr>
        <w:pStyle w:val="TextoNormal"/>
      </w:pPr>
    </w:p>
    <w:p w:rsidR="006B7292" w:rsidRDefault="006B7292" w:rsidP="006B7292">
      <w:pPr>
        <w:pStyle w:val="TextoNormal"/>
      </w:pPr>
      <w:r>
        <w:t>Por diligencia de ordenación del Secretario Judicial de 12 de febrero de 2015 se tuvo por presentado el anterior escrito y se dio traslado del mismo “a las partes litigantes para que en el plazo de 10 días y en relación a su contenido manifiesten lo que a su interés convenga”. Consta que la parte recurrente evacuó este traslado, en escrito registrado el 26 de febrero de 2015, en el que dijo que “un simple cálculo matemático permite comprobar que los magistrados del Tribunal Supremo sufrieron una merma retributiva, en su conjunto, del 9 por 100; ligeramente inferior a la reducción experimentada por el salario base de los magistrados de órganos unipersonales, como el demandante (9,73 por 100, según certificado expedido por el mismo organismo en octubre de 2013), pero ciertamente superior a la merma global de sus retribuciones (6,64 por 100). No obstante lo anterior, esta circunstancia no desvirtúa los argumentos esgrimidos en los anteriores escritos de esta parte, especialmente en el último de ellos, presentado el 13 de noviembre de 2014, pues la desigualdad sufrida por el actor no lo era respecto a los magistrados del Tribunal Supremo, sino en relación a los magistrados de los Tribunales Superiores de Justicia, cuya merma retributiva fue de solo el 5,90 por 100”.</w:t>
      </w:r>
    </w:p>
    <w:p w:rsidR="006B7292" w:rsidRDefault="006B7292" w:rsidP="006B7292">
      <w:pPr>
        <w:pStyle w:val="TextoNormal"/>
      </w:pPr>
    </w:p>
    <w:p w:rsidR="006B7292" w:rsidRDefault="006B7292" w:rsidP="006B7292">
      <w:pPr>
        <w:pStyle w:val="TextoNormal"/>
      </w:pPr>
      <w:r>
        <w:t>d) Por Auto de 30 de marzo de 2015 la Sección Cuarta de la Sala de lo Contencioso-Administrativo del Tribunal Superior de Justicia de Cataluña acordó “plantear cuestión de inconstitucionalidad del art. 31. Uno, que regula las retribuciones de la carrera judicial y Fiscal, de la Ley 39/2010, PGE para el año 2011, en relación con su antecedente necesario contenido en el art. 1 del Real Decreto-ley 8/2010, de 22 de mayo, que modificó el art. 32 de la Ley 26/2009, PGE para el año 2010”, por posible vulneración de lo dispuesto en los arts. 9.3, 14 y 31 CE.</w:t>
      </w:r>
    </w:p>
    <w:p w:rsidR="006B7292" w:rsidRDefault="006B7292" w:rsidP="006B7292">
      <w:pPr>
        <w:pStyle w:val="TextoNormal"/>
      </w:pPr>
    </w:p>
    <w:p w:rsidR="006B7292" w:rsidRDefault="006B7292" w:rsidP="006B7292">
      <w:pPr>
        <w:pStyle w:val="TextoNormal"/>
      </w:pPr>
      <w:r w:rsidRPr="006B7292">
        <w:rPr>
          <w:rStyle w:val="NumeroAFNegritaCaracter"/>
        </w:rPr>
        <w:t>3</w:t>
      </w:r>
      <w:r>
        <w:t>. El órgano judicial, tras reseñar las circunstancias del caso y copiar la norma cuestionada, afirma que es importante tener en cuenta el antecedente de este precepto, dado que el art. 31.1 de la Ley 39/2010, de presupuestos generales del Estado para el año 2011, reproduce la medida de reducción salarial adoptada desde junio de 2010 en adelante en virtud del Real Decreto-ley 8/2010, de 22 de mayo, por el que se adoptan medidas extraordinarias para la reducción del déficit público, en cuya exposición de motivos se razona que “en el primer capítulo, se recogen las disposiciones encaminadas a reducir, con criterios de progresividad, la masa salarial del sector público en un 5 por ciento en términos anuales”.</w:t>
      </w:r>
    </w:p>
    <w:p w:rsidR="006B7292" w:rsidRDefault="006B7292" w:rsidP="006B7292">
      <w:pPr>
        <w:pStyle w:val="TextoNormal"/>
      </w:pPr>
    </w:p>
    <w:p w:rsidR="006B7292" w:rsidRDefault="006B7292" w:rsidP="006B7292">
      <w:pPr>
        <w:pStyle w:val="TextoNormal"/>
      </w:pPr>
      <w:r>
        <w:t>Alude, en segundo lugar, “al Informe del Habilitado Central de Personal, firmado y fechado el 22 de septiembre de 2013, que se aportó a estas actuaciones en virtud de diligencia final acordada por Auto de 11 de noviembre de 2013”, del que, en su opinión, se desprende que las distintas categorías de miembros de la carrera judicial soportan un menor porcentaje de reducción a medida que son mayores las retribuciones totales anuales. El órgano judicial, en consecuencia, considera que la medida de reducción salarial que contiene la norma impugnada no es objeto de “una aplicación equitativa y progresiva de la Ley, tal y como ésta propugna y la Constitución ordena en sus arts. 14, 9.3 y 31”.</w:t>
      </w:r>
    </w:p>
    <w:p w:rsidR="006B7292" w:rsidRDefault="006B7292" w:rsidP="006B7292">
      <w:pPr>
        <w:pStyle w:val="TextoNormal"/>
      </w:pPr>
    </w:p>
    <w:p w:rsidR="006B7292" w:rsidRDefault="006B7292" w:rsidP="006B7292">
      <w:pPr>
        <w:pStyle w:val="TextoNormal"/>
      </w:pPr>
      <w:r>
        <w:t>Respecto del art. 14 CE, el auto distingue, con cita de jurisprudencia del Tribunal Supremo y doctrina constitucional, entre la “igualdad ante la ley” y la “igualdad en la aplicación de la ley”, señalando que aquí estamos en el segundo caso y que la vulneración concurre porque la “diferencia de trato no se justifica en ninguna razón objetiva y directamente relacionada con la finalidad de la norma a aplicar”. Expone, en segundo lugar, que “el indicado precepto podría vulnerar el principio de capacidad económica —art. 31.1 CE— y el de progresividad. Así la STC 7/2010, de 27 de abril, recordaba: ‘dijimos tempranamente en la STC 27/1981, de 20 de julio, que el art. 31.1 CE ciñe el deber de contribuir al sostenimiento de los gastos públicos a unas fronteras precisas: de un lado, la de la capacidad económica de cada uno y, de otro, la del establecimiento, conservación y mejora de un sistema tributario justo inspirado en los principios de igualdad y progresividad (FJ 4)’ ”. En fin, por lo que hace al art. 9.3 CE, el órgano judicial razona que “si la finalidad de la norma es la contribución del colectivo a la consecución de los objetivos de reducción del déficit público impuestos por la Unión Europea para el conjunto de las Administraciones Públicas, ello se ha de llevar a cabo observando los principios de progresividad, equidad y proporcionalidad, puesto de que de lo contrario la gravosidad de tales medidas no sería soportada en términos equivalentes sino arbitrarios”.</w:t>
      </w:r>
    </w:p>
    <w:p w:rsidR="006B7292" w:rsidRDefault="006B7292" w:rsidP="006B7292">
      <w:pPr>
        <w:pStyle w:val="TextoNormal"/>
      </w:pPr>
    </w:p>
    <w:p w:rsidR="006B7292" w:rsidRDefault="006B7292" w:rsidP="006B7292">
      <w:pPr>
        <w:pStyle w:val="TextoNormal"/>
      </w:pPr>
      <w:r>
        <w:t>De otro lado, con un razonamiento orientado a sostener estas tres dudas de constitucionalidad, argumenta que “al constatarse en virtud del citado Informe [del Habilitado Central de Personal] la diferencia de trato entre los distintos miembros de la carrera judicial de forma más gravosa para aquellos que menos perciben como retribuciones, se está produciendo una diferencia de trato no justificada por la norma y, a la vista de sus dictados, no querida por la misma, al llamar al principio de progresividad. Esta diferencia de trato no se muestra como ‘razonable’ o incluso ‘proporcionada’ puesto que los que más soportan la medida de rebaja salarial son los que menos cobran por estar en el último peldaño de la estructura organizativa. Y, en definitiva, se torna injusta”.</w:t>
      </w:r>
    </w:p>
    <w:p w:rsidR="006B7292" w:rsidRDefault="006B7292" w:rsidP="006B7292">
      <w:pPr>
        <w:pStyle w:val="TextoNormal"/>
      </w:pPr>
    </w:p>
    <w:p w:rsidR="006B7292" w:rsidRDefault="006B7292" w:rsidP="006B7292">
      <w:pPr>
        <w:pStyle w:val="TextoNormal"/>
      </w:pPr>
      <w:r>
        <w:t>Luego, en el razonamiento jurídico octavo, se ocupa de los requisitos procesales exigidos para promover una cuestión de inconstitucionalidad, indicando que “este Tribunal, siguiendo los trámites del art. 35 de la LOTC 2/1979, confirió trámite de alegaciones a las partes, pronunciándose el actor en favor del planteamiento de la cuestión a la vista de los datos aportados por el Informe del Habilitado Central de Personal, el Ministerio Fiscal se pronunció también a favor y en contra el Abogado del Estado, que no entró a analizar esta cuestión concreta que se le puso de manifiesto”. A continuación, en cuanto al juicio de relevancia, argumenta que “en el presente caso la norma cuestionada es de obligada aplicación para las Administraciones Públicas destinatarias y de su validez depende el fallo del asunto, puesto que de estimarse la misma conforme a la Constitución y a los principios que la misma inspira no cabría cuestionarse infracción alguna, según se plantea por el actor, de los principios de igualdad en la aplicación de la Ley, capacidad económica y progresividad”.</w:t>
      </w:r>
    </w:p>
    <w:p w:rsidR="006B7292" w:rsidRDefault="006B7292" w:rsidP="006B7292">
      <w:pPr>
        <w:pStyle w:val="TextoNormal"/>
      </w:pPr>
    </w:p>
    <w:p w:rsidR="006B7292" w:rsidRDefault="006B7292" w:rsidP="006B7292">
      <w:pPr>
        <w:pStyle w:val="TextoNormal"/>
      </w:pPr>
      <w:r>
        <w:t>Por último, resalta el órgano judicial que “es cierto que este Tribunal ya había dictado otras sentencias que sobre la cuestión habían desestimado los reproches articulados contra las medidas de reducción salarial a la vista de los pronunciamientos ya citados del Tribunal Constitucional (Autos TC 179/2011 y 180/2011). Pero los datos aportados por el Informe del Habilitado Central no eran conocidos y, por ello, la distinta perspectiva que aportan respecto a la concreta aplicación de la ley convierte el juicio de relevancia de la cuestión en suficiente para la duda que se plantea”.</w:t>
      </w:r>
    </w:p>
    <w:p w:rsidR="006B7292" w:rsidRDefault="006B7292" w:rsidP="006B7292">
      <w:pPr>
        <w:pStyle w:val="TextoNormal"/>
      </w:pPr>
    </w:p>
    <w:p w:rsidR="006B7292" w:rsidRDefault="006B7292" w:rsidP="006B7292">
      <w:pPr>
        <w:pStyle w:val="TextoNormal"/>
      </w:pPr>
      <w:r w:rsidRPr="006B7292">
        <w:rPr>
          <w:rStyle w:val="NumeroAFNegritaCaracter"/>
        </w:rPr>
        <w:t>4</w:t>
      </w:r>
      <w:r>
        <w:t>. Mediante providencia de 6 de octubre de 2015 la Sección Tercera de este Tribunal acordó, a los efectos que determina el art. 37.1 de la Ley Orgánica del Tribunal Constitucional, oír al Fiscal General del Estado para que en el plazo de diez días alegase lo que considerara conveniente acerca de la admisibilidad de la presente cuestión de inconstitucionalidad, por si fuese notoriamente infundada.</w:t>
      </w:r>
    </w:p>
    <w:p w:rsidR="006B7292" w:rsidRDefault="006B7292" w:rsidP="006B7292">
      <w:pPr>
        <w:pStyle w:val="TextoNormal"/>
      </w:pPr>
    </w:p>
    <w:p w:rsidR="006B7292" w:rsidRDefault="006B7292" w:rsidP="006B7292">
      <w:pPr>
        <w:pStyle w:val="TextoNormal"/>
      </w:pPr>
      <w:r w:rsidRPr="006B7292">
        <w:rPr>
          <w:rStyle w:val="NumeroAFNegritaCaracter"/>
        </w:rPr>
        <w:t>5</w:t>
      </w:r>
      <w:r>
        <w:t xml:space="preserve">. El Fiscal General del Estado, en escrito registrado el 30 de octubre de 2015, y a pesar de que solo se le dio traslado por si la cuestión fuese notoriamente infundada, quiere “en relación al requisito procesal de la aplicabilidad y relevancia de la norma cuestionada llevar a la valoración del Tribunal la posibilidad de apreciar su incumplimiento”. Afirma que la pretensión de anulación de los actos de liquidación recurridos se funda en la demanda de una manera esencial en que la norma que le da cobertura impone al colectivo de la carrera judicial una merma retributiva superior al del resto de los empleados públicos. La cuestión relativa a la posible lesión del principio de igualdad </w:t>
      </w:r>
      <w:r w:rsidRPr="006B7292">
        <w:rPr>
          <w:i/>
        </w:rPr>
        <w:t>ad intra</w:t>
      </w:r>
      <w:r>
        <w:t xml:space="preserve">, entre las distintas categorías de la carrera judicial, no era la controversia suscitada en la demanda, sino que la introduce la Sala con posterioridad, con motivo de las diligencias finales practicadas </w:t>
      </w:r>
      <w:r w:rsidRPr="006B7292">
        <w:rPr>
          <w:i/>
        </w:rPr>
        <w:t>ex</w:t>
      </w:r>
      <w:r>
        <w:t xml:space="preserve"> art. 435.2 LEC, sin tramitar el incidente previsto en el art. 33.2 de la Ley reguladora de la jurisdicción contencioso-administrativa. Por tanto, sostiene el Fiscal que no se cumple el requisito del juicio de aplicabilidad y relevancia porque tal juicio ha sido establecido en relación con una pretensión que no fue la planteada por el recurrente en la demanda.</w:t>
      </w:r>
    </w:p>
    <w:p w:rsidR="006B7292" w:rsidRDefault="006B7292" w:rsidP="006B7292">
      <w:pPr>
        <w:pStyle w:val="TextoNormal"/>
      </w:pPr>
    </w:p>
    <w:p w:rsidR="006B7292" w:rsidRDefault="006B7292" w:rsidP="006B7292">
      <w:pPr>
        <w:pStyle w:val="TextoNormal"/>
      </w:pPr>
      <w:r>
        <w:t>Respecto al carácter notoriamente infundado de la duda de constitucionalidad, el Fiscal afirma que “la vulneración del principio genérico de igualdad ante la ley…exige como presupuesto que el trato desigual y discriminatorio que se alega se produzca en relación con sujetos con idéntica u homogénea situación”, así como que “el trato desigual y discriminatorio que se imputa en el auto de planteamiento a la aplicación del precepto legal cuestionado no se refiere a sujetos con una idéntica situación, puesto que se refiere a los miembros de un colectivo pertenecientes a diferentes categorías y en distintos puestos de trabajo”.</w:t>
      </w:r>
    </w:p>
    <w:p w:rsidR="006B7292" w:rsidRDefault="006B7292" w:rsidP="006B7292">
      <w:pPr>
        <w:pStyle w:val="TextoNormal"/>
      </w:pPr>
    </w:p>
    <w:p w:rsidR="006B7292" w:rsidRDefault="006B7292" w:rsidP="006B7292">
      <w:pPr>
        <w:pStyle w:val="TextoNormal"/>
      </w:pPr>
      <w:r>
        <w:t xml:space="preserve">Dejando a un lado que no concurre el presupuesto del término de comparación idóneo, y adentrándose en la razón en que se apoya la desigualdad alegada, el Fiscal considera rechazable que se vincule la supuesta infracción del principio de igualdad </w:t>
      </w:r>
      <w:r w:rsidRPr="006B7292">
        <w:rPr>
          <w:i/>
        </w:rPr>
        <w:t>ex</w:t>
      </w:r>
      <w:r>
        <w:t xml:space="preserve"> art. 14 CE con la falta de progresividad de las reducciones retributivas, pues a su juicio de ese modo se confunde la cláusula genérica de igualdad del art. 14 CE con la igualdad tributaria del art. 31 CE cuando es doctrina constitucional reiterada que “la reducción de retribuciones de los empleados públicos impuesta por el Real Decreto-ley 8/2010 no configura un tributo encubierto, por cuanto no establece un hecho imponible al que se anude una obligación de contribuir, de acuerdo con el deber constitucional de los ciudadanos de contribuir al sostenimiento de los gastos públicos, por lo que no cabe considerar que se haya producido lesión alguna de lo dispuesto en el art. 31 CE” [por todos, ATC 35/2012, FJ 3 a)].</w:t>
      </w:r>
    </w:p>
    <w:p w:rsidR="006B7292" w:rsidRDefault="006B7292" w:rsidP="006B7292">
      <w:pPr>
        <w:pStyle w:val="TextoNormal"/>
      </w:pPr>
    </w:p>
    <w:p w:rsidR="006B7292" w:rsidRDefault="006B7292" w:rsidP="006B7292">
      <w:pPr>
        <w:pStyle w:val="TextoNormal"/>
      </w:pPr>
      <w:r>
        <w:t>El Fiscal también reputa notoriamente infundada la invocación del principio de interdicción de la arbitrariedad (art. 9.3 CE) que el Auto de planteamiento liga a que la reducción retributiva afecta mayormente a las categorías de magistrados que menos cobran. Considera que la distinción entre categorías de magistrados en cuanto a la reducción retributiva que prevé la norma cuestionada, que efectivamente incide de un modo más intenso en los miembros inferiores de la carrera judicial si atendemos al porcentaje global de recorte, no carece de toda justificación objetiva, apuntando al efecto tres líneas argumentales.</w:t>
      </w:r>
    </w:p>
    <w:p w:rsidR="006B7292" w:rsidRDefault="006B7292" w:rsidP="006B7292">
      <w:pPr>
        <w:pStyle w:val="TextoNormal"/>
      </w:pPr>
    </w:p>
    <w:p w:rsidR="006B7292" w:rsidRDefault="006B7292" w:rsidP="006B7292">
      <w:pPr>
        <w:pStyle w:val="TextoNormal"/>
      </w:pPr>
      <w:r>
        <w:t>De un lado, dichas medidas de reducción salarial, como ya se ha expuesto, no tienen naturaleza tributaria, por lo que el principio de progresividad consagrado en el art. 31.1 CE no tiene aplicación en este ámbito, de modo que su desconocimiento no puede esgrimirse como fundamento de la arbitrariedad. En segundo lugar, tratándose de retribuciones el art. 403.1 de la Ley Orgánica del Poder Judicial dispone que, aparte de los principios de objetividad y equidad, se tendrán en cuenta otros criterios como la dedicación a la función jurisdiccional y la responsabilidad del cargo y el puesto de trabajo. Apunta, en último término, que la comparación en que se funda su argumento se ciñe a tres categorías judiciales en lugar de proyectarse sobre todas ellas, y en especial obvia el modo en que afecta esta reducción retributiva a los Magistrados del Tribunal Supremo. Advierte en este sentido que consta en el expediente judicial, mediante informe del Habilitado central de personal del Ministerio de Justicia de 30 de enero de 2015 evacuado a instancias de la propia Sala, que esta reducción retributiva en lo que hace a los Magistrados del Tribunal Supremo alcanza un porcentaje global del 9 por 100, sobre lo que el auto de planteamiento omite toda consideración.</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La presente cuestión de inconstitucionalidad se plantea en relación con el art. 31.1 de la Ley 39/2010, de presupuestos generales del Estado para el año 2011, que regula las retribuciones de la carrera judicial y fiscal, por posible vulneración de lo dispuesto en los arts. 9.3, 14 y 31 CE. El precepto cuestionado dispone para tales funcionarios públicos una rebaja en sus retribuciones respecto de las vigentes a 31 de mayo de 2010 cuyas características han quedado precisadas en los antecedentes. En lo que principalmente interesa, establece una reducción que afecta al sueldo en un porcentaje fijo del 9,73 por 100 y a las retribuciones complementarias en un porcentaje del 6 por 100 (magistrados y fiscales) o del 5 por 100 (jueces y abogados fiscales).</w:t>
      </w:r>
    </w:p>
    <w:p w:rsidR="006B7292" w:rsidRDefault="006B7292" w:rsidP="006B7292">
      <w:pPr>
        <w:pStyle w:val="TextoNormal"/>
      </w:pPr>
    </w:p>
    <w:p w:rsidR="006B7292" w:rsidRDefault="006B7292" w:rsidP="006B7292">
      <w:pPr>
        <w:pStyle w:val="TextoNormal"/>
      </w:pPr>
      <w:r>
        <w:t>La Sala que promueve la presente cuestión, que afirma expresamente en el auto de planteamiento que parte en su razonamiento del “Informe del Habilitado Central de Personal, firmado y fechado el 22 de septiembre de 2013, que se aportó a estas actuaciones en virtud de diligencia final acordada por Auto de 11 de noviembre de 2013”, funda sus dudas de constitucionalidad en que, tal y como se desprende de dicho informe, el marco normativo establecido en la norma cuestionada determina que las distintas categorías de miembros de la carrera judicial soportan un menor porcentaje de reducción a medida que son mayores las retribuciones totales anuales. De este modo, la incidencia global de la reducción salarial afectará menos a los miembros de la carrera judicial en cuyas retribuciones tengan más presencia las de carácter complementario, que son precisamente aquellos que más ganan. En concreto, según se desprende de dicho informe, para los jueces —que son los que menos cobran— la rebaja salarial es del 7,16 por 100, para los Magistrados de órgano unipersonal (como el actor) la rebaja es del 6,64 por 100 y para los Magistrados de los Tribunales Superiores de Justicia la rebaja es del 5,90 por 100. El órgano judicial, en consecuencia, considera que la medida de reducción salarial que contiene la norma impugnada no es objeto de “una aplicación equitativa y progresiva de la Ley, tal y como ésta propugna y la Constitución ordena en sus arts. 14, 9.3 y 31”.</w:t>
      </w:r>
    </w:p>
    <w:p w:rsidR="006B7292" w:rsidRDefault="006B7292" w:rsidP="006B7292">
      <w:pPr>
        <w:pStyle w:val="TextoNormal"/>
      </w:pPr>
    </w:p>
    <w:p w:rsidR="006B7292" w:rsidRDefault="006B7292" w:rsidP="006B7292">
      <w:pPr>
        <w:pStyle w:val="TextoNormal"/>
      </w:pPr>
      <w:r>
        <w:t xml:space="preserve">El Fiscal General del Estado, con las razones detalladas en los antecedentes, sostiene que no se han cumplido los requisitos procesales </w:t>
      </w:r>
      <w:r w:rsidRPr="006B7292">
        <w:rPr>
          <w:i/>
        </w:rPr>
        <w:t>ex</w:t>
      </w:r>
      <w:r>
        <w:t xml:space="preserve"> art. 35.2 de la Ley Orgánica del Tribunal Constitucional (LOTC) y, además, que la cuestión es notoriamente infundada, por lo que insta su inadmisión.</w:t>
      </w:r>
    </w:p>
    <w:p w:rsidR="006B7292" w:rsidRDefault="006B7292" w:rsidP="006B7292">
      <w:pPr>
        <w:pStyle w:val="TextoNormal"/>
      </w:pPr>
    </w:p>
    <w:p w:rsidR="006B7292" w:rsidRDefault="006B7292" w:rsidP="006B7292">
      <w:pPr>
        <w:pStyle w:val="TextoNormal"/>
      </w:pPr>
      <w:r w:rsidRPr="006B7292">
        <w:rPr>
          <w:rStyle w:val="NumeroAFNegritaCaracter"/>
        </w:rPr>
        <w:t>2</w:t>
      </w:r>
      <w:r>
        <w:t>. De acuerdo con el art. 37.1 LOTC, este Tribunal puede rechazar en trámite de admisión y mediante Auto, sin otra audiencia que la del Fiscal General del Estado, la cuestión de inconstitucionalidad cuando faltaren las condiciones procesales o fuere notoriamente infundada.</w:t>
      </w:r>
    </w:p>
    <w:p w:rsidR="006B7292" w:rsidRDefault="006B7292" w:rsidP="006B7292">
      <w:pPr>
        <w:pStyle w:val="TextoNormal"/>
      </w:pPr>
    </w:p>
    <w:p w:rsidR="006B7292" w:rsidRDefault="006B7292" w:rsidP="006B7292">
      <w:pPr>
        <w:pStyle w:val="TextoNormal"/>
      </w:pPr>
      <w:r>
        <w:t xml:space="preserve">El Fiscal General del Estado, a pesar de que solo se le dio traslado por si la cuestión fuese notoriamente infundada, quiere “en relación al requisito procesal de la aplicabilidad y relevancia de la norma cuestionada llevar a la valoración del Tribunal la posibilidad de apreciar su incumplimiento”. Sostiene que la cuestión relativa a la posible lesión del principio de igualdad </w:t>
      </w:r>
      <w:r w:rsidRPr="006B7292">
        <w:rPr>
          <w:i/>
        </w:rPr>
        <w:t>ad intra</w:t>
      </w:r>
      <w:r>
        <w:t xml:space="preserve">, entre las distintas categorías de la carrera judicial, no era la controversia suscitada en la demanda, sino que la introduce la Sala con posterioridad, con motivo de las diligencias finales practicadas </w:t>
      </w:r>
      <w:r w:rsidRPr="006B7292">
        <w:rPr>
          <w:i/>
        </w:rPr>
        <w:t>ex</w:t>
      </w:r>
      <w:r>
        <w:t xml:space="preserve"> art. 435.2 de la Ley de enjuiciamiento civil (LEC), sin tramitar el incidente previsto en el art. 33.2 de la Ley reguladora de la jurisdicción contencioso-administrativa (LJCA).</w:t>
      </w:r>
    </w:p>
    <w:p w:rsidR="006B7292" w:rsidRDefault="006B7292" w:rsidP="006B7292">
      <w:pPr>
        <w:pStyle w:val="TextoNormal"/>
      </w:pPr>
    </w:p>
    <w:p w:rsidR="006B7292" w:rsidRDefault="006B7292" w:rsidP="006B7292">
      <w:pPr>
        <w:pStyle w:val="TextoNormal"/>
      </w:pPr>
      <w:r>
        <w:t xml:space="preserve">La objeción del Fiscal sobre los juicios de aplicabilidad y relevancia no se funda en que el órgano judicial haya introducido una alteración en los actos que resultan impugnados por el demandante, ni tampoco en sentido estricto que lo haya hecho respecto de los motivos de impugnación, pues la desigualdad lesiva del art. 14 CE estaba ya invocada en la demanda. La modificación en el objeto del proceso que denuncia, y que a su juicio vicia los juicios de aplicabilidad y relevancia, afecta únicamente a las razones que sostienen la invocación del principio de igualdad consagrado en el art. 14 CE, dado que el demandante alegaba la diferencia con otros empleados públicos y la Sala razona la dependencia entre la norma cuestionada y el fallo del proceso </w:t>
      </w:r>
      <w:r w:rsidRPr="006B7292">
        <w:rPr>
          <w:i/>
        </w:rPr>
        <w:t>a quo</w:t>
      </w:r>
      <w:r>
        <w:t xml:space="preserve"> a partir de la distinción entre diversas categorías dentro de la carrera judicial.</w:t>
      </w:r>
    </w:p>
    <w:p w:rsidR="006B7292" w:rsidRDefault="006B7292" w:rsidP="006B7292">
      <w:pPr>
        <w:pStyle w:val="TextoNormal"/>
      </w:pPr>
    </w:p>
    <w:p w:rsidR="006B7292" w:rsidRDefault="006B7292" w:rsidP="006B7292">
      <w:pPr>
        <w:pStyle w:val="TextoNormal"/>
      </w:pPr>
      <w:r>
        <w:t>Debemos tener en cuenta para completar la delimitación del óbice de procedibilidad que se nos plantea que en la jurisdicción contencioso-administrativa el órgano judicial puede tener en cuenta motivos de impugnación distintos de los fijados en la demanda siempre que, para garantizar su derecho de defensa, los someta a la consideración de las partes, estableciendo el art. 33.2 LJCA un incidente al efecto.</w:t>
      </w:r>
    </w:p>
    <w:p w:rsidR="006B7292" w:rsidRDefault="006B7292" w:rsidP="006B7292">
      <w:pPr>
        <w:pStyle w:val="TextoNormal"/>
      </w:pPr>
    </w:p>
    <w:p w:rsidR="006B7292" w:rsidRDefault="006B7292" w:rsidP="006B7292">
      <w:pPr>
        <w:pStyle w:val="TextoNormal"/>
      </w:pPr>
      <w:r>
        <w:t xml:space="preserve">Para resolver sobre esta alegación del Fiscal General del Estado hemos de partir de una doctrina constitucional consolidada según la que “es a los Jueces y Tribunales ordinarios que plantean las cuestiones de inconstitucionalidad a quienes corresponde, </w:t>
      </w:r>
      <w:r w:rsidRPr="006B7292">
        <w:rPr>
          <w:i/>
        </w:rPr>
        <w:t>prima facie</w:t>
      </w:r>
      <w:r>
        <w:t xml:space="preserve">, comprobar y exteriorizar la existencia del llamado juicio de relevancia —es decir, el esquema argumental del que resulte que el fallo que haya de dictarse en el proceso </w:t>
      </w:r>
      <w:r w:rsidRPr="006B7292">
        <w:rPr>
          <w:i/>
        </w:rPr>
        <w:t>a quo</w:t>
      </w:r>
      <w:r>
        <w:t xml:space="preserve"> depende de la validez o falta de validez de la norma cuestionada—,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de constitucionalidad que corresponde a la cuestión de inconstitucionalidad en los términos en los que ésta es definida por el art. 163 CE” (ATC 85/2011, de 7 de junio, FJ 4).</w:t>
      </w:r>
    </w:p>
    <w:p w:rsidR="006B7292" w:rsidRDefault="006B7292" w:rsidP="006B7292">
      <w:pPr>
        <w:pStyle w:val="TextoNormal"/>
      </w:pPr>
    </w:p>
    <w:p w:rsidR="006B7292" w:rsidRDefault="006B7292" w:rsidP="006B7292">
      <w:pPr>
        <w:pStyle w:val="TextoNormal"/>
      </w:pPr>
      <w:r>
        <w:t xml:space="preserve">Este Tribunal aprecia que el órgano judicial razona expresamente en el Auto de planteamiento que el objeto del proceso, respecto del cual formula el juicio de aplicabilidad y relevancia, es el resultante de la incorporación al recurso ordinario núm. 249-2011 del informe del Habilitado central de personal del Ministerio de Justicia de 22 de septiembre de 2013, que había sido requerido como consecuencia de las diligencias finales </w:t>
      </w:r>
      <w:r w:rsidRPr="006B7292">
        <w:rPr>
          <w:i/>
        </w:rPr>
        <w:t>ex</w:t>
      </w:r>
      <w:r>
        <w:t xml:space="preserve"> art. 435.2 LEC que se acordó practicar.</w:t>
      </w:r>
    </w:p>
    <w:p w:rsidR="006B7292" w:rsidRDefault="006B7292" w:rsidP="006B7292">
      <w:pPr>
        <w:pStyle w:val="TextoNormal"/>
      </w:pPr>
    </w:p>
    <w:p w:rsidR="006B7292" w:rsidRDefault="006B7292" w:rsidP="006B7292">
      <w:pPr>
        <w:pStyle w:val="TextoNormal"/>
      </w:pPr>
      <w:r>
        <w:t xml:space="preserve">Considera este Tribunal igualmente relevante que en la providencia de 29 de octubre de 2014, por la que se otorgó audiencia a las partes </w:t>
      </w:r>
      <w:r w:rsidRPr="006B7292">
        <w:rPr>
          <w:i/>
        </w:rPr>
        <w:t>ex</w:t>
      </w:r>
      <w:r>
        <w:t xml:space="preserve"> art. 35.2 LOTC sobre las dudas de constitucionalidad del órgano judicial, el planteamiento de éste se apoyaba “en el Informe del Habilitado Central de Personal del Ministerio de Justicia, en el que se expone que para los Jueces —que son los que menos cobran— la rebaja salarial es del 7,16  por 100, para los Magistrados de Órgano Unipersonal (como el actor), la rebaja es del 6,64 por 100 y para los Magistrados de los TSJ —que son los que más cobran, sin que se informe sobre los Magistrados del Tribunal Supremo— la rebaja es del 5,90 por 100”, habiendo alegado todas las partes acerca de dicho nuevo modo de sostener la posible desigualdad lesiva del art. 14 CE que se hacía valer en la demanda.</w:t>
      </w:r>
    </w:p>
    <w:p w:rsidR="006B7292" w:rsidRDefault="006B7292" w:rsidP="006B7292">
      <w:pPr>
        <w:pStyle w:val="TextoNormal"/>
      </w:pPr>
    </w:p>
    <w:p w:rsidR="006B7292" w:rsidRDefault="006B7292" w:rsidP="006B7292">
      <w:pPr>
        <w:pStyle w:val="TextoNormal"/>
      </w:pPr>
      <w:r>
        <w:t xml:space="preserve">Teniendo en cuenta estas circunstancias del caso concreto, y a pesar de que no se haya verificado el incidente previsto en el art. 33.2 LJCA, el control externo que incumbe a este Tribunal sobre el modo como el órgano judicial delimita el objeto del proceso </w:t>
      </w:r>
      <w:r w:rsidRPr="006B7292">
        <w:rPr>
          <w:i/>
        </w:rPr>
        <w:t>a quo</w:t>
      </w:r>
      <w:r>
        <w:t>, y correlativamente formula los juicios de aplicabilidad y relevancia, nos conduce a declarar que en dichos juicios no hay tal falta de consistencia que justifique la inadmisión de esta cuestión de inconstitucionalidad por falta de requisitos procesales.</w:t>
      </w:r>
    </w:p>
    <w:p w:rsidR="006B7292" w:rsidRDefault="006B7292" w:rsidP="006B7292">
      <w:pPr>
        <w:pStyle w:val="TextoNormal"/>
      </w:pPr>
    </w:p>
    <w:p w:rsidR="006B7292" w:rsidRDefault="006B7292" w:rsidP="006B7292">
      <w:pPr>
        <w:pStyle w:val="TextoNormal"/>
      </w:pPr>
      <w:r w:rsidRPr="006B7292">
        <w:rPr>
          <w:rStyle w:val="NumeroAFNegritaCaracter"/>
        </w:rPr>
        <w:t>3</w:t>
      </w:r>
      <w:r>
        <w:t>. Pasando a considerar el fondo de las dudas de constitucionalidad que se formulan en el Auto de planteamiento, para verificar si resultan notoriamente infundadas en los términos que la doctrina constitucional atribuye a este concepto (por todos, ATC 43/2014, de 12 de febrero, FJ 3), debemos comenzar por la invocación del art. 14 CE, que según la Sala resultaría vulnerado porque la “diferencia de trato [en el porcentaje global de la reducción retributiva] no se justifica en ninguna razón objetiva y directamente relacionada con la finalidad de la norma a aplicar”.</w:t>
      </w:r>
    </w:p>
    <w:p w:rsidR="006B7292" w:rsidRDefault="006B7292" w:rsidP="006B7292">
      <w:pPr>
        <w:pStyle w:val="TextoNormal"/>
      </w:pPr>
    </w:p>
    <w:p w:rsidR="006B7292" w:rsidRDefault="006B7292" w:rsidP="006B7292">
      <w:pPr>
        <w:pStyle w:val="TextoNormal"/>
      </w:pPr>
      <w:r>
        <w:t>Lo propio del juicio de igualdad, ha dicho este Tribunal (por todas, STC 75/2011, de 29 de mayo, FJ 6), “es ‘su carácter relacional conforme al cual se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w:t>
      </w:r>
    </w:p>
    <w:p w:rsidR="006B7292" w:rsidRDefault="006B7292" w:rsidP="006B7292">
      <w:pPr>
        <w:pStyle w:val="TextoNormal"/>
      </w:pPr>
    </w:p>
    <w:p w:rsidR="006B7292" w:rsidRDefault="006B7292" w:rsidP="006B7292">
      <w:pPr>
        <w:pStyle w:val="TextoNormal"/>
      </w:pPr>
      <w:r>
        <w:t>Aplicando este criterio doctrinal al caso concreto, procede descartar la vulneración de la cláusula de igualdad del art. 14 CE por faltar uno de los presupuestos exigibles para proceder a verificar un juicio de esta clase, cual es que se ofrezca un término de comparación idóneo, esto es, que el juicio de igualdad pretenda establecerse entre sujetos que estén en situaciones subjetivas equiparables. Este presupuesto no concurre en este caso porque, acogiendo en este punto la alegación del Fiscal, la desigualdad alegada es la que dispone la norma cuestionada respecto de los miembros de un colectivo pertenecientes a diferentes categorías y que ocupan distintos puestos de trabajo, por lo que no se hallan en una situación homogénea.</w:t>
      </w:r>
    </w:p>
    <w:p w:rsidR="006B7292" w:rsidRDefault="006B7292" w:rsidP="006B7292">
      <w:pPr>
        <w:pStyle w:val="TextoNormal"/>
      </w:pPr>
    </w:p>
    <w:p w:rsidR="006B7292" w:rsidRDefault="006B7292" w:rsidP="006B7292">
      <w:pPr>
        <w:pStyle w:val="TextoNormal"/>
      </w:pPr>
      <w:r>
        <w:t xml:space="preserve">La invocación, en segundo lugar, del art. 31 CE, ya la consideremos de un modo principal o como connotación específica del principio de igualdad </w:t>
      </w:r>
      <w:r w:rsidRPr="006B7292">
        <w:rPr>
          <w:i/>
        </w:rPr>
        <w:t>ex</w:t>
      </w:r>
      <w:r>
        <w:t xml:space="preserve"> art. 14 CE, debe ser igualmente rechazada, pues, tal y como recuerda el Fiscal, es doctrina constitucional reiterada que “la reducción de retribuciones de los empleados públicos impuesta por el Real Decreto-ley 8/2010 [que reproduce el precepto cuestionado] no configura un tributo encubierto, por cuanto no establece un hecho imponible al que se anude una obligación de contribuir, de acuerdo con el deber constitucional de los ciudadanos de contribuir al sostenimiento de los gastos públicos, por lo que no cabe considerar que se haya producido lesión alguna de lo dispuesto en el art. 31 CE” [por todos, ATC 35/2012, FJ 3 a)].</w:t>
      </w:r>
    </w:p>
    <w:p w:rsidR="006B7292" w:rsidRDefault="006B7292" w:rsidP="006B7292">
      <w:pPr>
        <w:pStyle w:val="TextoNormal"/>
      </w:pPr>
    </w:p>
    <w:p w:rsidR="006B7292" w:rsidRDefault="006B7292" w:rsidP="006B7292">
      <w:pPr>
        <w:pStyle w:val="TextoNormal"/>
      </w:pPr>
      <w:r>
        <w:t xml:space="preserve">Por último, el auto de planteamiento razona que la reducción retributiva que prevé la norma cuestionada, en la medida que incide de un modo más intenso en los miembros de la carrera judicial que menos cobran, carece de toda justificación objetiva. Y en todo caso no observa los principios de progresividad, equidad y proporcionalidad, con lo que la gravosidad de tal medida no sería soportada en términos equivalentes sino arbitrarios y, por tanto, lesivos de la interdicción de la arbitrariedad </w:t>
      </w:r>
      <w:r w:rsidRPr="006B7292">
        <w:rPr>
          <w:i/>
        </w:rPr>
        <w:t>ex</w:t>
      </w:r>
      <w:r>
        <w:t xml:space="preserve"> art. 9.3 CE.</w:t>
      </w:r>
    </w:p>
    <w:p w:rsidR="006B7292" w:rsidRDefault="006B7292" w:rsidP="006B7292">
      <w:pPr>
        <w:pStyle w:val="TextoNormal"/>
      </w:pPr>
    </w:p>
    <w:p w:rsidR="006B7292" w:rsidRDefault="006B7292" w:rsidP="006B7292">
      <w:pPr>
        <w:pStyle w:val="TextoNormal"/>
      </w:pPr>
      <w:r>
        <w:t>No cabe acoger tampoco esta invocación por dos motivos. En primer lugar, porque, al no tratarse de medidas tributarias sino retributivas, la falta de observancia de los principios de progresividad, equidad y proporcionalidad no tiene el significado que pretende la Sala que promueve la cuestión, pudiendo el legislador tomar en cuenta otros criterios, entre ellos la dedicación a la función jurisdiccional y la responsabilidad del cargo y el puesto de trabajo, previstas expresamente en el art. 403.1 LOPJ al establecer la regulación específica de las retribuciones de los miembros de la carrera judicial.</w:t>
      </w:r>
    </w:p>
    <w:p w:rsidR="006B7292" w:rsidRDefault="006B7292" w:rsidP="006B7292">
      <w:pPr>
        <w:pStyle w:val="TextoNormal"/>
      </w:pPr>
    </w:p>
    <w:p w:rsidR="006B7292" w:rsidRDefault="006B7292" w:rsidP="006B7292">
      <w:pPr>
        <w:pStyle w:val="TextoNormal"/>
      </w:pPr>
      <w:r>
        <w:t xml:space="preserve">La segunda razón que motiva que rechacemos esta invocación del art. 9.3 CE es que el Auto de planteamiento, a la hora de formular la argumentación en la que funda esta vulneración, se limita a considerar algunas de las categorías integrantes de la carrera judicial, obviando por completo otras, como es el caso de los Magistrados del Tribunal Supremo, a pesar de que respecto de esta categoría obra en el proceso, requerido expresamente por la Sala, un informe del Habilitado central de personal del Ministerio de Justicia de 30 de enero de 2015, en el que se indica que la reducción retributiva operada por la norma cuestionada alcanzó respecto a los Magistrados del Tribunal Supremo un 9 por 100, porcentaje muy superior al 6,64 por 100 que incide respecto de los Magistrados de órgano unipersonal, categoría que ocupa el recurrente en el proceso </w:t>
      </w:r>
      <w:r w:rsidRPr="006B7292">
        <w:rPr>
          <w:i/>
        </w:rPr>
        <w:t>a quo</w:t>
      </w:r>
      <w:r>
        <w:t>.</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Inadmitir a trámite la presente cuestión de inconstitucionalidad núm. 2888-2015, planteada por la Sección Cuarta de la Sala de lo Contencioso-Administrativo del Tribunal Superior de Justicia de Cataluña.</w:t>
      </w:r>
    </w:p>
    <w:p w:rsidR="006B7292" w:rsidRDefault="006B7292" w:rsidP="006B7292">
      <w:pPr>
        <w:pStyle w:val="TextoNormal"/>
      </w:pPr>
    </w:p>
    <w:p w:rsidR="006B7292" w:rsidRDefault="006B7292" w:rsidP="006B7292">
      <w:pPr>
        <w:pStyle w:val="TextoNormal"/>
      </w:pPr>
      <w:r>
        <w:t>Madrid, a quince de diciembre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39" w:name="AUTO_2015_225"/>
      <w:r>
        <w:t>AUTO 225/2015, de 15 de diciembre de 2015</w:t>
      </w:r>
    </w:p>
    <w:bookmarkEnd w:id="239"/>
    <w:p w:rsidR="006B7292" w:rsidRDefault="006B7292" w:rsidP="006B7292">
      <w:pPr>
        <w:pStyle w:val="TtuloResolucin"/>
      </w:pPr>
      <w:r>
        <w:t>Pleno</w:t>
      </w:r>
    </w:p>
    <w:p w:rsidR="006B7292" w:rsidRDefault="006B7292" w:rsidP="006B7292">
      <w:pPr>
        <w:pStyle w:val="TextoNormalCentrado"/>
      </w:pPr>
      <w:r>
        <w:t>ECLI:ES:TC:2015:225A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Inadmite a trámite la cuestión de inconstitucionalidad 4017-2015, planteada por la Sala de lo Social del Tribunal Superior de Justicia de Murcia en relación con el artículo 2 de Real Decreto-ley 20/20112, de 13 de julio, de medidas para garantizar la estabilidad presupuestaria y de fomento de la competitividad, y el art. 2.1 de la Ley de la Asamblea Regional de Murcia 9/2012, de 8 de noviembre, de adaptación de la normativa regional en materia de función pública al Real Decreto-ley 20/2012.</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Mediante oficio registrado en este Tribunal el día 7 de julio de 2015, la Sala de lo Social del Tribunal Superior de Justicia de Murcia remitió oficio al que se acompañaba testimonio del procedimiento núm. 714-2014, del que forma parte el Auto de 27 de abril de 2015 mediante el que se plantea ante este Tribunal cuestión de inconstitucionalidad en relación con el art. 2 del Real Decreto-ley 20/2012, de 13 de julio, de medidas para garantizar la estabilidad presupuestaria y de fomento de la competitividad, y el art. 2.1 de la Ley de la Asamblea Regional de Murcia 9/2012, de 8 de noviembre, de adaptación de la normativa regional en materia de función pública al Real Decreto-ley 20/2012, por posible vulneración del art. 9.3 de la Constitución.</w:t>
      </w:r>
    </w:p>
    <w:p w:rsidR="006B7292" w:rsidRDefault="006B7292" w:rsidP="006B7292">
      <w:pPr>
        <w:pStyle w:val="TextoNormal"/>
      </w:pPr>
    </w:p>
    <w:p w:rsidR="006B7292" w:rsidRDefault="006B7292" w:rsidP="006B7292">
      <w:pPr>
        <w:pStyle w:val="TextoNormal"/>
      </w:pPr>
      <w:r w:rsidRPr="006B7292">
        <w:rPr>
          <w:rStyle w:val="NumeroAFNegritaCaracter"/>
        </w:rPr>
        <w:t>2</w:t>
      </w:r>
      <w:r>
        <w:t>. La presente cuestión de inconstitucionalidad tiene su origen en la demanda de conflicto colectivo seguida a instancia de la sección sindical de UGT-FSP de Murcia frente al Ayuntamiento de Calasparra en relación con la supresión de la paga extraordinaria de diciembre de 2012. Mediante escrito registrado el 5 de noviembre de 2013, el sindicato solicitó para todo el personal laboral del Ayuntamiento de Calasparra el abono de la totalidad de la paga extraordinaria o, con carácter subsidiario, la parte proporcional de la misma devengada desde el 1 de junio al 14 de julio de 2012. Agotada la vía administrativa previa, en diciembre de 2013 se planteó el conflicto ante el Juzgado de lo Social núm. 8 de Murcia, tramitado con el número 815-2013.</w:t>
      </w:r>
    </w:p>
    <w:p w:rsidR="006B7292" w:rsidRDefault="006B7292" w:rsidP="006B7292">
      <w:pPr>
        <w:pStyle w:val="TextoNormal"/>
      </w:pPr>
    </w:p>
    <w:p w:rsidR="006B7292" w:rsidRDefault="006B7292" w:rsidP="006B7292">
      <w:pPr>
        <w:pStyle w:val="TextoNormal"/>
      </w:pPr>
      <w:r>
        <w:t>Por Sentencia de 20 de enero de 2014, el Juzgado de lo Social núm. 8 de Murcia estimó la demanda en cuanto a su pretensión subsidiaria, en aplicación de la Sentencia de 3 de junio de 2013 de la Sala de lo Social del Tribunal Superior de Justicia de Murcia.</w:t>
      </w:r>
    </w:p>
    <w:p w:rsidR="006B7292" w:rsidRDefault="006B7292" w:rsidP="006B7292">
      <w:pPr>
        <w:pStyle w:val="TextoNormal"/>
      </w:pPr>
    </w:p>
    <w:p w:rsidR="006B7292" w:rsidRDefault="006B7292" w:rsidP="006B7292">
      <w:pPr>
        <w:pStyle w:val="TextoNormal"/>
      </w:pPr>
      <w:r>
        <w:t>Contra la Sentencia del Juzgado de lo Social el Ayuntamiento de Calasparra interpuso recurso de suplicación. Al recurso de suplicación se opuso la parte demandante, solicitando la confirmación de la Sentencia recurrida.</w:t>
      </w:r>
    </w:p>
    <w:p w:rsidR="006B7292" w:rsidRDefault="006B7292" w:rsidP="006B7292">
      <w:pPr>
        <w:pStyle w:val="TextoNormal"/>
      </w:pPr>
    </w:p>
    <w:p w:rsidR="006B7292" w:rsidRDefault="006B7292" w:rsidP="006B7292">
      <w:pPr>
        <w:pStyle w:val="TextoNormal"/>
      </w:pPr>
      <w:r>
        <w:t>Por Auto de 16 de diciembre de 2014, la Sala de lo Social del Tribunal Superior de Justicia señala que, aunque en casos esencialmente iguales entró en el fondo del asunto, el hecho de que el Tribunal Constitucional haya admitido a trámite cuestiones de inconstitucionalidad sobre el particular condiciona que la Sala, siguiendo el trámite del art. 35 y ss. de la Ley Orgánica del Tribunal Constitucional (LOTC), deba oír a las partes y al Ministerio Fiscal sobre si procede plantear cuestión de inconstitucionalidad en relación con el art. 2 del Real Decreto-ley 20/2012 que acuerda suprimir la paga extra de diciembre de 2012 y el art. 2.1 de la Ley autonómica 9/2012, por ser contrario al art. 9.3 CE. A este efecto se concede a las partes y al Ministerio Fiscal un plazo común e improrrogable de diez días para que aleguen lo que a su derecho convenga.</w:t>
      </w:r>
    </w:p>
    <w:p w:rsidR="006B7292" w:rsidRDefault="006B7292" w:rsidP="006B7292">
      <w:pPr>
        <w:pStyle w:val="TextoNormal"/>
      </w:pPr>
    </w:p>
    <w:p w:rsidR="006B7292" w:rsidRDefault="006B7292" w:rsidP="006B7292">
      <w:pPr>
        <w:pStyle w:val="TextoNormal"/>
      </w:pPr>
      <w:r>
        <w:t>Mediante escrito de 17 de diciembre de 2014, la representación procesal del Ayuntamiento de Calasparra alegó que el Real Decreto-ley 20/2012 no vulnera en modo alguno los preceptos constitucionales, pero que, no obstante, entiende que la Sentencia del Tribunal Constitucional pronunciándose sobre la constitucionalidad o no del citado Real Decreto-ley 20/2012 en este punto podría afectar a la resolución del presente proceso judicial; pide, por tanto, que la Sala acuerde plantear la cuestión de inconstitucionalidad.</w:t>
      </w:r>
    </w:p>
    <w:p w:rsidR="006B7292" w:rsidRDefault="006B7292" w:rsidP="006B7292">
      <w:pPr>
        <w:pStyle w:val="TextoNormal"/>
      </w:pPr>
    </w:p>
    <w:p w:rsidR="006B7292" w:rsidRDefault="006B7292" w:rsidP="006B7292">
      <w:pPr>
        <w:pStyle w:val="TextoNormal"/>
      </w:pPr>
      <w:r>
        <w:t>La otra parte no hace alegaciones.</w:t>
      </w:r>
    </w:p>
    <w:p w:rsidR="006B7292" w:rsidRDefault="006B7292" w:rsidP="006B7292">
      <w:pPr>
        <w:pStyle w:val="TextoNormal"/>
      </w:pPr>
    </w:p>
    <w:p w:rsidR="006B7292" w:rsidRDefault="006B7292" w:rsidP="006B7292">
      <w:pPr>
        <w:pStyle w:val="TextoNormal"/>
      </w:pPr>
      <w:r>
        <w:t>Mediante escrito fechado el 18 de febrero de 2015, el Fiscal se mostró favorable al planteamiento de la cuestión de inconstitucionalidad.</w:t>
      </w:r>
    </w:p>
    <w:p w:rsidR="006B7292" w:rsidRDefault="006B7292" w:rsidP="006B7292">
      <w:pPr>
        <w:pStyle w:val="TextoNormal"/>
      </w:pPr>
    </w:p>
    <w:p w:rsidR="006B7292" w:rsidRDefault="006B7292" w:rsidP="006B7292">
      <w:pPr>
        <w:pStyle w:val="TextoNormal"/>
      </w:pPr>
      <w:r>
        <w:t>Finalmente, la Sala de lo Social del Tribunal Superior de Justicia de Murcia dictó el Auto de 27 de abril de 2015, por el que acuerda suspender las actuaciones seguidas en el recurso de suplicación y elevar cuestión de inconstitucionalidad respecto a los arts. 2 del Real Decreto-ley 20/2012 y 2.1 de la Ley autonómica 9/2012, “por posible infracción de la prohibición de retroactividad de las normas restrictivas de derechos individuales que garantiza el art. 9.3 de la CE, en relación con el principio de seguridad jurídica del mismo precepto”.</w:t>
      </w:r>
    </w:p>
    <w:p w:rsidR="006B7292" w:rsidRDefault="006B7292" w:rsidP="006B7292">
      <w:pPr>
        <w:pStyle w:val="TextoNormal"/>
      </w:pPr>
    </w:p>
    <w:p w:rsidR="006B7292" w:rsidRDefault="006B7292" w:rsidP="006B7292">
      <w:pPr>
        <w:pStyle w:val="TextoNormal"/>
      </w:pPr>
      <w:r w:rsidRPr="006B7292">
        <w:rPr>
          <w:rStyle w:val="NumeroAFNegritaCaracter"/>
        </w:rPr>
        <w:t>3</w:t>
      </w:r>
      <w:r>
        <w:t>. El Auto de 27 de abril de 2015 de la Sala de lo Social del Tribunal Superior de Justicia de Murcia fundamenta el planteamiento de la cuestión de inconstitucionalidad en las consideraciones que seguidamente se indican.</w:t>
      </w:r>
    </w:p>
    <w:p w:rsidR="006B7292" w:rsidRDefault="006B7292" w:rsidP="006B7292">
      <w:pPr>
        <w:pStyle w:val="TextoNormal"/>
      </w:pPr>
    </w:p>
    <w:p w:rsidR="006B7292" w:rsidRDefault="006B7292" w:rsidP="006B7292">
      <w:pPr>
        <w:pStyle w:val="TextoNormal"/>
      </w:pPr>
      <w:r>
        <w:t>a) La Sala señala que en sentencias anteriores, dictadas en procesos con objeto similar, estimó que la retroactividad dispuesta por el Real Decreto-ley 20/2012 no era expresa, por lo que rechazó el planteamiento de la cuestión de inconstitucionalidad y condenó a la parte demandada a abonar la parte proporcional de la paga extraordinaria de 2012 ya devengada. No obstante, el hecho de que el Tribunal Constitucional haya admitido a trámite cuestiones de inconstitucionalidad en relación con el art. 2 del Real Decreto-ley 20/2012 promovidas por distintas Salas de lo Social y por la Audiencia Nacional, así como, recientemente, por la Sala Tercera del Tribunal Supremo en relación con los funcionarios, “determina que, con el fin de garantizar la igualdad en la aplicación de la ley, esta Sala deba cambiar de criterio”.</w:t>
      </w:r>
    </w:p>
    <w:p w:rsidR="006B7292" w:rsidRDefault="006B7292" w:rsidP="006B7292">
      <w:pPr>
        <w:pStyle w:val="TextoNormal"/>
      </w:pPr>
    </w:p>
    <w:p w:rsidR="006B7292" w:rsidRDefault="006B7292" w:rsidP="006B7292">
      <w:pPr>
        <w:pStyle w:val="TextoNormal"/>
      </w:pPr>
      <w:r>
        <w:t>b) A continuación se exponen los términos en los que se promueve la cuestión de inconstitucionalidad:</w:t>
      </w:r>
    </w:p>
    <w:p w:rsidR="006B7292" w:rsidRDefault="006B7292" w:rsidP="006B7292">
      <w:pPr>
        <w:pStyle w:val="TextoNormal"/>
      </w:pPr>
    </w:p>
    <w:p w:rsidR="006B7292" w:rsidRDefault="006B7292" w:rsidP="006B7292">
      <w:pPr>
        <w:pStyle w:val="TextoNormal"/>
      </w:pPr>
      <w:r>
        <w:t>— El art. 9.3 CE garantiza la irretroactividad de las disposiciones sancionadoras no favorables o las restrictivas de derechos individuales.</w:t>
      </w:r>
    </w:p>
    <w:p w:rsidR="006B7292" w:rsidRDefault="006B7292" w:rsidP="006B7292">
      <w:pPr>
        <w:pStyle w:val="TextoNormal"/>
      </w:pPr>
    </w:p>
    <w:p w:rsidR="006B7292" w:rsidRDefault="006B7292" w:rsidP="006B7292">
      <w:pPr>
        <w:pStyle w:val="TextoNormal"/>
      </w:pPr>
      <w:r>
        <w:t>— La retribución denominada “paga extraordinaria” que se regula en el art. 31 de la Ley del estatuto de los trabajadores (LET), tiene naturaleza salarial (art. 26 LET). La jurisprudencia del Tribunal Supremo (con cita de diversas sentencias) interpreta la paga extra como de devengo diario y cobro aplazado.</w:t>
      </w:r>
    </w:p>
    <w:p w:rsidR="006B7292" w:rsidRDefault="006B7292" w:rsidP="006B7292">
      <w:pPr>
        <w:pStyle w:val="TextoNormal"/>
      </w:pPr>
    </w:p>
    <w:p w:rsidR="006B7292" w:rsidRDefault="006B7292" w:rsidP="006B7292">
      <w:pPr>
        <w:pStyle w:val="TextoNormal"/>
      </w:pPr>
      <w:r>
        <w:t>— El derecho del trabajador a percibir la parte proporcional de la paga extraordinaria devengada y no pagada debe calificarse como derecho individual. La doctrina del Tribunal Constitucional ha establecido que los derechos a una retribución ya generada, aunque no percibida, son derechos individuales a los efectos del art. 9.3 CE (AATC 179/2011 y 8/2013).</w:t>
      </w:r>
    </w:p>
    <w:p w:rsidR="006B7292" w:rsidRDefault="006B7292" w:rsidP="006B7292">
      <w:pPr>
        <w:pStyle w:val="TextoNormal"/>
      </w:pPr>
    </w:p>
    <w:p w:rsidR="006B7292" w:rsidRDefault="006B7292" w:rsidP="006B7292">
      <w:pPr>
        <w:pStyle w:val="TextoNormal"/>
      </w:pPr>
      <w:r>
        <w:t>— Los términos del art. 2 del Real Decreto-ley 20/2012 son claros en cuanto que viene a suprimir la percepción de la paga extraordinaria del mes de diciembre del año 2012 para el personal laboral del sector público. Ello se confirma en el artículo 6, donde además se afirma que la supresión se refiere a todo el año 2012, corroborando la naturaleza retroactiva de la supresión acordada por el artículo 2 y excluyendo la interpretación de que la supresión tan solo alcanza a la parte de la paga extraordinaria devengada con posterioridad a la entrada en vigor del Real Decreto-ley 20/2012.</w:t>
      </w:r>
    </w:p>
    <w:p w:rsidR="006B7292" w:rsidRDefault="006B7292" w:rsidP="006B7292">
      <w:pPr>
        <w:pStyle w:val="TextoNormal"/>
      </w:pPr>
    </w:p>
    <w:p w:rsidR="006B7292" w:rsidRDefault="006B7292" w:rsidP="006B7292">
      <w:pPr>
        <w:pStyle w:val="TextoNormal"/>
      </w:pPr>
      <w:r>
        <w:t>En consecuencia, la Sala acuerda plantear cuestión de inconstitucionalidad en relación con los arts. 2 del Real Decreto-ley 20/2012, de 13 de julio, y 2.1 de la Ley autonómica 9/2012, por posible infracción de la prohibición de retroactividad de las normas restrictivas de derechos individuales que garantiza el art. 9.3 CE en relación con el principio de seguridad jurídica del mismo precepto.</w:t>
      </w:r>
    </w:p>
    <w:p w:rsidR="006B7292" w:rsidRDefault="006B7292" w:rsidP="006B7292">
      <w:pPr>
        <w:pStyle w:val="TextoNormal"/>
      </w:pPr>
    </w:p>
    <w:p w:rsidR="006B7292" w:rsidRDefault="006B7292" w:rsidP="006B7292">
      <w:pPr>
        <w:pStyle w:val="TextoNormal"/>
      </w:pPr>
      <w:r w:rsidRPr="006B7292">
        <w:rPr>
          <w:rStyle w:val="NumeroAFNegritaCaracter"/>
        </w:rPr>
        <w:t>4</w:t>
      </w:r>
      <w:r>
        <w:t>. Por providencia de 10 de septiembre de 2015, la Sección Tercera de este Tribunal Constitucional, a los efectos que determina el art. 37.1 de la Ley Orgánica del Tribunal Constitucional (LOTC), acordó oír al Fiscal General del Estado para que, en el plazo de diez días, alegue lo que considere conveniente acerca de la admisibilidad de la presente cuestión de inconstitucionalidad, por si fuera notoriamente infundada.</w:t>
      </w:r>
    </w:p>
    <w:p w:rsidR="006B7292" w:rsidRDefault="006B7292" w:rsidP="006B7292">
      <w:pPr>
        <w:pStyle w:val="TextoNormal"/>
      </w:pPr>
    </w:p>
    <w:p w:rsidR="006B7292" w:rsidRDefault="006B7292" w:rsidP="006B7292">
      <w:pPr>
        <w:pStyle w:val="TextoNormal"/>
      </w:pPr>
      <w:r w:rsidRPr="006B7292">
        <w:rPr>
          <w:rStyle w:val="NumeroAFNegritaCaracter"/>
        </w:rPr>
        <w:t>5</w:t>
      </w:r>
      <w:r>
        <w:t>. El Fiscal General del Estado presentó su informe en el Registro General de este Tribunal el 28 de septiembre de 2015.</w:t>
      </w:r>
    </w:p>
    <w:p w:rsidR="006B7292" w:rsidRDefault="006B7292" w:rsidP="006B7292">
      <w:pPr>
        <w:pStyle w:val="TextoNormal"/>
      </w:pPr>
    </w:p>
    <w:p w:rsidR="006B7292" w:rsidRDefault="006B7292" w:rsidP="006B7292">
      <w:pPr>
        <w:pStyle w:val="TextoNormal"/>
      </w:pPr>
      <w:r>
        <w:t xml:space="preserve">Afirma que tras el dictado de la STC 83/2015, de 30 de abril, que declaró la pérdida de objeto de la cuestión de inconstitucionalidad allí planteada, al suscitarse la oposición del art. 2 del Real Decreto-ley 20/2012, de 13 de julio, al art. 9.3 CE, no cabe sino reiterar los términos de la citada resolución, a su vez reproducidos en las SSTC 100/2015, 113/2015, y 114/2015, en los que se viene a poner de manifiesto la indudable incidencia que tenía la medida contenida en la disposición adicional duodécima de la Ley 36/2014, de presupuestos generales del Estado para 2015 sobre la pretensión deducida en el pleito </w:t>
      </w:r>
      <w:r w:rsidRPr="006B7292">
        <w:rPr>
          <w:i/>
        </w:rPr>
        <w:t>a quo</w:t>
      </w:r>
      <w:r>
        <w:t xml:space="preserve"> “que afecta de modo determinante a la subsistencia del presente proceso constitucional, dada la estrecha vinculación existente entre toda cuestión de inconstitucionalidad y el procedimiento judicial de que dimana”.</w:t>
      </w:r>
    </w:p>
    <w:p w:rsidR="006B7292" w:rsidRDefault="006B7292" w:rsidP="006B7292">
      <w:pPr>
        <w:pStyle w:val="TextoNormal"/>
      </w:pPr>
    </w:p>
    <w:p w:rsidR="006B7292" w:rsidRDefault="006B7292" w:rsidP="006B7292">
      <w:pPr>
        <w:pStyle w:val="TextoNormal"/>
      </w:pPr>
      <w:r>
        <w:t>Por ello, siendo idéntico el objeto de la presente cuestión de inconstitucionalidad, el Fiscal General del Estado considera que debe inadmitirse a trámite al resultar notoriamente infundada por haberse producido la desaparición sobrevenida de su objeto.</w:t>
      </w:r>
    </w:p>
    <w:p w:rsidR="006B7292" w:rsidRDefault="006B7292" w:rsidP="006B7292">
      <w:pPr>
        <w:pStyle w:val="TextoNormal"/>
      </w:pPr>
    </w:p>
    <w:p w:rsidR="006B7292" w:rsidRDefault="006B7292" w:rsidP="006B7292">
      <w:pPr>
        <w:pStyle w:val="TextoNormal"/>
      </w:pPr>
      <w:r w:rsidRPr="006B7292">
        <w:rPr>
          <w:rStyle w:val="NumeroAFNegritaCaracter"/>
        </w:rPr>
        <w:t>6</w:t>
      </w:r>
      <w:r>
        <w:t>. Por providencia de 14 de octubre de 2015 el Pleno acordó, de conformidad con lo dispuesto en el art. 88.1 LOTC, dirigir atenta comunicación al Ayuntamiento de Calasparra, a fin de que indique a este Tribunal si, en atención a lo previsto en la disposición adicional duodécima de la Ley 36/2014, de presupuestos generales del Estado para el año 2015, o por cualquier otra circunstancia, ha satisfecho al personal laboral de esa administración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6B7292" w:rsidRDefault="006B7292" w:rsidP="006B7292">
      <w:pPr>
        <w:pStyle w:val="TextoNormal"/>
      </w:pPr>
    </w:p>
    <w:p w:rsidR="006B7292" w:rsidRDefault="006B7292" w:rsidP="006B7292">
      <w:pPr>
        <w:pStyle w:val="TextoNormal"/>
      </w:pPr>
      <w:r w:rsidRPr="006B7292">
        <w:rPr>
          <w:rStyle w:val="NumeroAFNegritaCaracter"/>
        </w:rPr>
        <w:t>7</w:t>
      </w:r>
      <w:r>
        <w:t>. En contestación a dicha providencia, el Alcalde de Calasparra, por escrito registrado en este Tribunal el 18 de noviembre de 2015, ha comunicado que, en atención a lo previsto en la disposición adicional duodécima de la Ley 36/2014, de presupuestos generales del Estado para 2015, ha abonado a su personal laboral la parte correspondiente a 44 días de la paga extraordinaria de diciembre de 2012.</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La Sala de lo Social del Tribunal Superior de Justicia de Murcia plantea cuestión de inconstitucionalidad en relación con el art. 2 del Real Decreto-ley 20/2012, de 13 de julio, de medidas para garantizar la estabilidad presupuestaria y de fomento de la competitividad y el art. 2.1 de la Ley de la Asamblea Regional de Murcia 9/2012, de 8 de noviembre, de adaptación de la normativa regional en materia de función pública al Real Decreto-ley 20/2012, por posible vulneración del art. 9.3 de la Constitución.</w:t>
      </w:r>
    </w:p>
    <w:p w:rsidR="006B7292" w:rsidRDefault="006B7292" w:rsidP="006B7292">
      <w:pPr>
        <w:pStyle w:val="TextoNormal"/>
      </w:pPr>
    </w:p>
    <w:p w:rsidR="006B7292" w:rsidRDefault="006B7292" w:rsidP="006B7292">
      <w:pPr>
        <w:pStyle w:val="TextoNormal"/>
      </w:pPr>
      <w:r>
        <w:t>Según la Sala promotora de la cuestión, los citados preceptos, en cuanto suprimen la totalidad de la paga extraordinaria del mes de diciembre de 2012 al personal laboral del sector público, sin establecer ninguna excepción respecto de las cantidades ya devengadas a la fecha de su entrada en vigor, podrían contravenir el art. 9.3 CE. El Fiscal General del Estado sostiene que se ha producido una desaparición sobrevenida del objeto de la presente cuestión de inconstitucionalidad siguiendo lo dispuesto en la STC 83/2015, de 30 de abril.</w:t>
      </w:r>
    </w:p>
    <w:p w:rsidR="006B7292" w:rsidRDefault="006B7292" w:rsidP="006B7292">
      <w:pPr>
        <w:pStyle w:val="TextoNormal"/>
      </w:pPr>
    </w:p>
    <w:p w:rsidR="006B7292" w:rsidRDefault="006B7292" w:rsidP="006B7292">
      <w:pPr>
        <w:pStyle w:val="TextoNormal"/>
      </w:pPr>
      <w:r w:rsidRPr="006B7292">
        <w:rPr>
          <w:rStyle w:val="NumeroAFNegritaCaracter"/>
        </w:rPr>
        <w:t>2</w:t>
      </w:r>
      <w:r>
        <w:t>. Conforme a lo dispuesto en el art. 37.1 de la Ley Orgánica del Tribunal Constitucional (LOTC), este Tribunal puede rechazar en trámite de admisión, mediante Auto y con la sola audiencia del Fiscal General del Estado, aquellas cuestiones de inconstitucionalidad que adolezcan de la falta de los necesarios requisitos procesales o que fueren notoriamente infundadas.</w:t>
      </w:r>
    </w:p>
    <w:p w:rsidR="006B7292" w:rsidRDefault="006B7292" w:rsidP="006B7292">
      <w:pPr>
        <w:pStyle w:val="TextoNormal"/>
      </w:pPr>
    </w:p>
    <w:p w:rsidR="006B7292" w:rsidRDefault="006B7292" w:rsidP="006B7292">
      <w:pPr>
        <w:pStyle w:val="TextoNormal"/>
      </w:pPr>
      <w:r>
        <w:t>Por otra parte, este Tribunal también ha señalado reiteradamente que la desaparición sobrevenida del objeto del proceso constitucional, aunque no está expresamente contemplada en el art. 86.1 LOTC como una de las causas de terminación extraordinaria, puede darse, provocando la conclusión del proceso sin que sea necesario un pronunciamiento sobre el reproche de inconstitucionalidad planteado (por todas, STC 6/2010, de 14 de abril, FJ 2; AATC 311/2007, de 19 de junio, FJ único, y 29/2009, de 27 de enero, FJ 1). Hemos dicho reiteradamente que la estrecha vinculación entre toda cuestión de inconstitucionalidad y el proceso judicial de que dimana da lugar a que determinadas incidencias que acaecen en este puedan afectar a la subsistencia del proceso constitucional (por todas, SSTC 22/2010, de 27 de abril, FJ 2, y 87/2012, de 18 de abril, FJ 3).</w:t>
      </w:r>
    </w:p>
    <w:p w:rsidR="006B7292" w:rsidRDefault="006B7292" w:rsidP="006B7292">
      <w:pPr>
        <w:pStyle w:val="TextoNormal"/>
      </w:pPr>
    </w:p>
    <w:p w:rsidR="006B7292" w:rsidRDefault="006B7292" w:rsidP="006B7292">
      <w:pPr>
        <w:pStyle w:val="TextoNormal"/>
      </w:pPr>
      <w:r w:rsidRPr="006B7292">
        <w:rPr>
          <w:rStyle w:val="NumeroAFNegritaCaracter"/>
        </w:rPr>
        <w:t>3</w:t>
      </w:r>
      <w:r>
        <w:t>. Como señala el Fiscal General del Estado, debemos remitirnos a lo dicho recientemente en la STC 83/2015, de 30 de abril, FJ 3, sobre la posible pérdida de objeto de la cuestión de inconstitucionalidad, como consecuencia de lo establecido en la disposición adicional duodécima de la Ley 36/2014, de 26 de diciembre, de presupuestos generales del Estado para 2015. Bajo el epígrafe “Recuperación de la paga extraordinaria y adicional del mes de diciembre de 2012”, se establece, en su apartado 1.1,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según establece el apartado 1.2.</w:t>
      </w:r>
    </w:p>
    <w:p w:rsidR="006B7292" w:rsidRDefault="006B7292" w:rsidP="006B7292">
      <w:pPr>
        <w:pStyle w:val="TextoNormal"/>
      </w:pPr>
    </w:p>
    <w:p w:rsidR="006B7292" w:rsidRDefault="006B7292" w:rsidP="006B7292">
      <w:pPr>
        <w:pStyle w:val="TextoNormal"/>
      </w:pPr>
      <w:r>
        <w:t>Como consta en los antecedentes de esta resolución, de conformidad con lo dispuesto en el art. 88.1 LOTC, el Pleno de este Tribunal dirigió comunicación al Ayuntamiento de Calasparra, a fin de que indicara a este Tribunal si, en atención a lo previsto en la disposición adicional duodécima de la Ley 36/2014, de presupuestos generales del Estado para el año 2015, o por cualquier otra circunstancia, ha satisfecho al personal laboral de dicho ayuntamiento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 En contestación a dicha comunicación, el Ayuntamiento de Calasparra ha comunicado a este Tribunal que en atención a lo previsto en la disposición adicional duodécima de la Ley 36/2014, de presupuestos generales del Estado para 2015, ha abonado a su personal laboral la parte correspondiente a 44 días de la paga extraordinaria de diciembre de 2012.</w:t>
      </w:r>
    </w:p>
    <w:p w:rsidR="006B7292" w:rsidRDefault="006B7292" w:rsidP="006B7292">
      <w:pPr>
        <w:pStyle w:val="TextoNormal"/>
      </w:pPr>
    </w:p>
    <w:p w:rsidR="006B7292" w:rsidRDefault="006B7292" w:rsidP="006B7292">
      <w:pPr>
        <w:pStyle w:val="TextoNormal"/>
      </w:pPr>
      <w:r>
        <w:t xml:space="preserve">En la STC 83/2015, FJ 3, se recuerda la reiterada doctrina constitucional sobre los efectos extintivos del objeto del proceso en las cuestiones de inconstitucionalidad, como consecuencia de la derogación o modificación de la norma legal cuestionada. Se puso de manifiesto que era innegable la incidencia que tenía la medida contenida en la disposición adicional duodécima de la Ley 36/2014, de presupuestos generales del Estado para 2015, sobre la pretensión deducida en el pleito </w:t>
      </w:r>
      <w:r w:rsidRPr="006B7292">
        <w:rPr>
          <w:i/>
        </w:rPr>
        <w:t>a quo</w:t>
      </w:r>
      <w:r>
        <w:t>, “que afecta de modo determinante a la subsistencia del presente proceso constitucional, dada la estrecha vinculación existente entre toda cuestión de inconstitucionalidad y el procedimiento judicial de que dimana.”</w:t>
      </w:r>
    </w:p>
    <w:p w:rsidR="006B7292" w:rsidRDefault="006B7292" w:rsidP="006B7292">
      <w:pPr>
        <w:pStyle w:val="TextoNormal"/>
      </w:pPr>
    </w:p>
    <w:p w:rsidR="006B7292" w:rsidRDefault="006B7292" w:rsidP="006B7292">
      <w:pPr>
        <w:pStyle w:val="TextoNormal"/>
      </w:pPr>
      <w:r>
        <w:t>En la presente cuestión de inconstitucionalidad se discute si la supresión íntegra, al personal laboral del Ayuntamiento de Calasparra, de la paga extraordinaria de diciembre de 2012 sin derecho a percibir la parte proporcional de la paga que se entiende ya devengada en el momento de entrada en vigor del Real Decreto-ley 20/2012 (en concreto, 44 días), contraviene el art. 9.3 CE. Pues bien, planteada así la cuestión, el referido abono por parte del Ayuntamiento de Calasparra de la parte proporcional correspondiente a 44 días de la paga extraordinaria de diciembre de 2012 en virtud de lo establecido en la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006B7292" w:rsidRDefault="006B7292" w:rsidP="006B7292">
      <w:pPr>
        <w:pStyle w:val="TextoNormal"/>
      </w:pPr>
    </w:p>
    <w:p w:rsidR="006B7292" w:rsidRDefault="006B7292" w:rsidP="006B7292">
      <w:pPr>
        <w:pStyle w:val="TextoNormal"/>
      </w:pPr>
      <w:r>
        <w:t>De este modo, el objeto de la presente cuestión inconstitucionalidad ha desaparecido teniendo en cuenta los términos en los que la duda se plantea, lo que ha de determinar, en este momento procesal, su inadmisión.</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Inadmitir a trámite la presente cuestión de inconstitucionalidad.</w:t>
      </w:r>
    </w:p>
    <w:p w:rsidR="006B7292" w:rsidRDefault="006B7292" w:rsidP="006B7292">
      <w:pPr>
        <w:pStyle w:val="TextoNormal"/>
      </w:pPr>
    </w:p>
    <w:p w:rsidR="006B7292" w:rsidRDefault="006B7292" w:rsidP="006B7292">
      <w:pPr>
        <w:pStyle w:val="TextoNormal"/>
      </w:pPr>
      <w:r>
        <w:t>Madrid, a quince de diciembre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40" w:name="AUTO_2015_226"/>
      <w:r>
        <w:t>AUTO 226/2015, de 15 de diciembre de 2015</w:t>
      </w:r>
    </w:p>
    <w:bookmarkEnd w:id="240"/>
    <w:p w:rsidR="006B7292" w:rsidRDefault="006B7292" w:rsidP="006B7292">
      <w:pPr>
        <w:pStyle w:val="TtuloResolucin"/>
      </w:pPr>
      <w:r>
        <w:t>Pleno</w:t>
      </w:r>
    </w:p>
    <w:p w:rsidR="006B7292" w:rsidRDefault="006B7292" w:rsidP="006B7292">
      <w:pPr>
        <w:pStyle w:val="TextoNormalCentrado"/>
      </w:pPr>
      <w:r>
        <w:t>ECLI:ES:TC:2015:226A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Acuerda la suspensión parcial en el recurso de inconstitucionalidad 4682-2015, interpuesto por el Presidente del Gobierno en relación con varios artículos de la Ley 10/2014, de 27 de noviembre, de aguas y ríos de Aragón.</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Con fecha 31 de julio de 2015 tuvo entrada en el Registro General de este Tribunal el recurso de inconstitucionalidad interpuesto por el Presidente del Gobierno, representado por el Abogado del Estado, contra los arts. 1.2 b), c) y d); 4 aa); 5 a) y p); 7.1; 8, en cuanto a presas y embalses; 12.2 b) y 4; 15.1 b), c) y n); 19.2 a) 1, c) 2 y c) 3; 50; 67; 69 a), d) y f) 1; 70 a) y c); 71.3; 72; y 76.3; y disposición transitoria primera de la Ley 10/2014, de 27 de noviembre, de aguas y ríos de Aragón.</w:t>
      </w:r>
    </w:p>
    <w:p w:rsidR="006B7292" w:rsidRDefault="006B7292" w:rsidP="006B7292">
      <w:pPr>
        <w:pStyle w:val="TextoNormal"/>
      </w:pPr>
    </w:p>
    <w:p w:rsidR="006B7292" w:rsidRDefault="006B7292" w:rsidP="006B7292">
      <w:pPr>
        <w:pStyle w:val="TextoNormal"/>
      </w:pPr>
      <w:r>
        <w:t>El Abogado del Estado invocó los arts. 161.2 CE y 30 de la Ley Orgánica del Tribunal Constitucional (LOTC) a fin de que se acordase la suspensión de la aplicación de los preceptos recurridos.</w:t>
      </w:r>
    </w:p>
    <w:p w:rsidR="006B7292" w:rsidRDefault="006B7292" w:rsidP="006B7292">
      <w:pPr>
        <w:pStyle w:val="TextoNormal"/>
      </w:pPr>
    </w:p>
    <w:p w:rsidR="006B7292" w:rsidRDefault="006B7292" w:rsidP="006B7292">
      <w:pPr>
        <w:pStyle w:val="TextoNormal"/>
      </w:pPr>
      <w:r w:rsidRPr="006B7292">
        <w:rPr>
          <w:rStyle w:val="NumeroAFNegritaCaracter"/>
        </w:rPr>
        <w:t>2</w:t>
      </w:r>
      <w:r>
        <w:t>. Por providencia de 10 de septiembre de 2015, el Pleno, a propuesta de la Sección Cuarta, acordó: admitir a trámite el recurso de inconstitucionalidad, conforme a lo establecido por el art. 34 LOTC, dar traslado de la demanda y documentos presentados al Congreso de los Diputados, al Senado, a la Diputación General de Aragón y a las Cortes de Aragón, al objeto de que en el plazo de quince días pudieran personarse en el proceso y formular las alegaciones que estimaren convenientes, tener por invocado por el Presidente del Gobierno el art. 161.2 CE, lo que, a su tenor y de conformidad con el art. 30 LOTC, produce la suspensión de la vigencia y aplicación de los preceptos recurridos y publicar la incoación del recurso en el “Boletín Oficial del Estado” y en el “Boletín Oficial de Aragón”.</w:t>
      </w:r>
    </w:p>
    <w:p w:rsidR="006B7292" w:rsidRDefault="006B7292" w:rsidP="006B7292">
      <w:pPr>
        <w:pStyle w:val="TextoNormal"/>
      </w:pPr>
    </w:p>
    <w:p w:rsidR="006B7292" w:rsidRDefault="006B7292" w:rsidP="006B7292">
      <w:pPr>
        <w:pStyle w:val="TextoNormal"/>
      </w:pPr>
      <w:r w:rsidRPr="006B7292">
        <w:rPr>
          <w:rStyle w:val="NumeroAFNegritaCaracter"/>
        </w:rPr>
        <w:t>3</w:t>
      </w:r>
      <w:r>
        <w:t>. Por sendos escritos registrados en el Tribunal Constitucional los días 23 y 28 de septiembre de 2015, los Presidentes del Senado y del Congreso de los Diputados comunicaron los acuerdos de las Mesas de sus respectivas Cámaras de personarse en este procedimiento y ofrecer su colaboración a los efectos del art. 88.1 LOTC.</w:t>
      </w:r>
    </w:p>
    <w:p w:rsidR="006B7292" w:rsidRDefault="006B7292" w:rsidP="006B7292">
      <w:pPr>
        <w:pStyle w:val="TextoNormal"/>
      </w:pPr>
    </w:p>
    <w:p w:rsidR="006B7292" w:rsidRDefault="006B7292" w:rsidP="006B7292">
      <w:pPr>
        <w:pStyle w:val="TextoNormal"/>
      </w:pPr>
      <w:r w:rsidRPr="006B7292">
        <w:rPr>
          <w:rStyle w:val="NumeroAFNegritaCaracter"/>
        </w:rPr>
        <w:t>4</w:t>
      </w:r>
      <w:r>
        <w:t>. La Letrada de las Cortes de Aragón se personó en el proceso mediante escrito registrado el 25 de septiembre de 2015, solicitando prórroga del plazo concedido para formular alegaciones, que le fue concedida mediante providencia del Pleno de 28 de septiembre de 2015, por plazo de ocho días a contar desde la expiración del plazo ordinario. Con fecha 23 de octubre de 2015, tuvo entrada en el Registro General de este Tribunal el escrito de alegaciones formulado por la representante procesal de las Cortes de Aragón.</w:t>
      </w:r>
    </w:p>
    <w:p w:rsidR="006B7292" w:rsidRDefault="006B7292" w:rsidP="006B7292">
      <w:pPr>
        <w:pStyle w:val="TextoNormal"/>
      </w:pPr>
    </w:p>
    <w:p w:rsidR="006B7292" w:rsidRDefault="006B7292" w:rsidP="006B7292">
      <w:pPr>
        <w:pStyle w:val="TextoNormal"/>
      </w:pPr>
      <w:r w:rsidRPr="006B7292">
        <w:rPr>
          <w:rStyle w:val="NumeroAFNegritaCaracter"/>
        </w:rPr>
        <w:t>5</w:t>
      </w:r>
      <w:r>
        <w:t>. Con fecha 9 de octubre de 2015 tuvo entrada en el Registro General de este Tribunal escrito del Letrado de la Comunidad Autónoma de Aragón, en representación de su Gobierno, personándose en el proceso y formulando alegaciones.</w:t>
      </w:r>
    </w:p>
    <w:p w:rsidR="006B7292" w:rsidRDefault="006B7292" w:rsidP="006B7292">
      <w:pPr>
        <w:pStyle w:val="TextoNormal"/>
      </w:pPr>
    </w:p>
    <w:p w:rsidR="006B7292" w:rsidRDefault="006B7292" w:rsidP="006B7292">
      <w:pPr>
        <w:pStyle w:val="TextoNormal"/>
      </w:pPr>
      <w:r w:rsidRPr="006B7292">
        <w:rPr>
          <w:rStyle w:val="NumeroAFNegritaCaracter"/>
        </w:rPr>
        <w:t>6</w:t>
      </w:r>
      <w:r>
        <w:t>. Mediante providencia de 26 de octubre de 2015, el Pleno acordó oír a las partes personadas —Abogado del Estado, Gobierno de Aragón y Cortes de Aragón— para que, en el plazo de cinco días, expusieran lo que consideraran conveniente acerca del mantenimiento o levantamiento de la suspensión.</w:t>
      </w:r>
    </w:p>
    <w:p w:rsidR="006B7292" w:rsidRDefault="006B7292" w:rsidP="006B7292">
      <w:pPr>
        <w:pStyle w:val="TextoNormal"/>
      </w:pPr>
    </w:p>
    <w:p w:rsidR="006B7292" w:rsidRDefault="006B7292" w:rsidP="006B7292">
      <w:pPr>
        <w:pStyle w:val="TextoNormal"/>
      </w:pPr>
      <w:r w:rsidRPr="006B7292">
        <w:rPr>
          <w:rStyle w:val="NumeroAFNegritaCaracter"/>
        </w:rPr>
        <w:t>7</w:t>
      </w:r>
      <w:r>
        <w:t>. El Abogado del Estado, mediante escrito registrado en este Tribunal el 3 de noviembre de 2015, interesó el mantenimiento de la suspensión de los preceptos impugnados con fundamento en las alegaciones que seguidamente se resumen.</w:t>
      </w:r>
    </w:p>
    <w:p w:rsidR="006B7292" w:rsidRDefault="006B7292" w:rsidP="006B7292">
      <w:pPr>
        <w:pStyle w:val="TextoNormal"/>
      </w:pPr>
    </w:p>
    <w:p w:rsidR="006B7292" w:rsidRDefault="006B7292" w:rsidP="006B7292">
      <w:pPr>
        <w:pStyle w:val="TextoNormal"/>
      </w:pPr>
      <w:r>
        <w:t>a) El primer bloque del recurso se refiere a la impugnación de los preceptos de la Ley 10/2014 de Aragón que atribuyen a esta Comunidad Autónoma competencia para la gestión de la reserva hídrica de 6.550 hm3, en cuanto se trata de un aprovechamiento hidráulico de una cuenca hidrográfica supracomunitaria [arts. 1.2 b), c) y d); 4 aa); 5 a) y p); 7.1; 12.2 b) y 4; 15.1 b), c) y n); 19.2 a) 1, y c) 2; 50; 69 a), d) y f) 1; 70 a) y c) y disposición transitoria primera].</w:t>
      </w:r>
    </w:p>
    <w:p w:rsidR="006B7292" w:rsidRDefault="006B7292" w:rsidP="006B7292">
      <w:pPr>
        <w:pStyle w:val="TextoNormal"/>
      </w:pPr>
    </w:p>
    <w:p w:rsidR="006B7292" w:rsidRDefault="006B7292" w:rsidP="006B7292">
      <w:pPr>
        <w:pStyle w:val="TextoNormal"/>
      </w:pPr>
      <w:r>
        <w:t>Sin desconocer la doctrina constitucional (ATC 156/2008, de 12 de junio, FJ 6, con cita del ATC 18/2007, de 18 de enero, FJ 5), en este caso, la seguridad jurídica es un argumento esencial para resolver sobre la suspensión.</w:t>
      </w:r>
    </w:p>
    <w:p w:rsidR="006B7292" w:rsidRDefault="006B7292" w:rsidP="006B7292">
      <w:pPr>
        <w:pStyle w:val="TextoNormal"/>
      </w:pPr>
    </w:p>
    <w:p w:rsidR="006B7292" w:rsidRDefault="006B7292" w:rsidP="006B7292">
      <w:pPr>
        <w:pStyle w:val="TextoNormal"/>
      </w:pPr>
      <w:r>
        <w:t>La reserva hídrica cuya competencia reclama la Comunidad Autónoma de Aragón es un volumen de agua que procede de las cuencas hidrográficas intercomunitarias que transcurren por Aragón y, en especial, de la cuenca hidrográfica del Ebro. Por ello, las competencias de gestión sobre el volumen de agua que los planes hidrológicos —de cuenca o nacional— asignen para el uso de los aragoneses implica la gestión de las aguas de una cuenca hidrográfica supracomunitaria. De levantarse la suspensión de la Ley, la atribución de competencias a la Comunidad Autónoma de Aragón sobre esta reserva hídrica que actualmente gestiona el Estado ocasionaría perjuicios al interés general de difícil o imposible reparación, partiendo de que resulta imposible la aplicación simultánea de dos leyes contradictorias entre sí. Con cita del informe emitido por la Directora General del Agua del Ministerio de Agricultura, Alimentación y Medio Ambiente con fecha 6 de octubre de 2015 que acompaña a sus alegaciones, alega que la inaplicación de la legislación estatal vigente produciría un grave e irreparable perjuicio de orden constitucional, en cuanto que el Derecho vigente sería incumplido, y expone cómo la constitución del Instituto Aragonés del Agua como organismo de cuenca permitiría que éste pudiera gestionar la Junta central de usuarios del embalse de El Val.</w:t>
      </w:r>
    </w:p>
    <w:p w:rsidR="006B7292" w:rsidRDefault="006B7292" w:rsidP="006B7292">
      <w:pPr>
        <w:pStyle w:val="TextoNormal"/>
      </w:pPr>
    </w:p>
    <w:p w:rsidR="006B7292" w:rsidRDefault="006B7292" w:rsidP="006B7292">
      <w:pPr>
        <w:pStyle w:val="TextoNormal"/>
      </w:pPr>
      <w:r>
        <w:t>Las masas de agua afectadas por la Ley aragonesa no se circunscriben a una Comunidad Autónoma, y es imposible legislar y gestionar el uso con eficacia desde un ámbito territorial político-administrativo que no comprenda la totalidad de la ubicación de esos recursos. La Ley impugnada cuenta con la existencia de una “reserva de agua de uso exclusivo de los aragoneses” de 6.550 hm3 que sería extraída de los caudales de toda la cuenca, planteando problemas de gestión y la ruptura del principio de gestión unitaria que rige en la legislación de aguas, sin que en este momento esté diseñado otro modelo de gestión.</w:t>
      </w:r>
    </w:p>
    <w:p w:rsidR="006B7292" w:rsidRDefault="006B7292" w:rsidP="006B7292">
      <w:pPr>
        <w:pStyle w:val="TextoNormal"/>
      </w:pPr>
    </w:p>
    <w:p w:rsidR="006B7292" w:rsidRDefault="006B7292" w:rsidP="006B7292">
      <w:pPr>
        <w:pStyle w:val="TextoNormal"/>
      </w:pPr>
      <w:r>
        <w:t>Estas consideraciones de orden general se complementan con el análisis de cada precepto:</w:t>
      </w:r>
    </w:p>
    <w:p w:rsidR="006B7292" w:rsidRDefault="006B7292" w:rsidP="006B7292">
      <w:pPr>
        <w:pStyle w:val="TextoNormal"/>
      </w:pPr>
    </w:p>
    <w:p w:rsidR="006B7292" w:rsidRDefault="006B7292" w:rsidP="006B7292">
      <w:pPr>
        <w:pStyle w:val="TextoNormal"/>
      </w:pPr>
      <w:r>
        <w:t>(i) El ejercicio de las competencias atribuidas a la Comunidad Autónoma por el artículo 1.2, b) c) y d), ocasionaría disfuncionalidades en la gestión del aprovechamiento hidráulico de difícil solución. Estos preceptos tienen repercusión sobre las relaciones con los particulares y los intereses privados de las personas o entidades concesionarias: es imposible que convivan dos autorizaciones o concesiones sobre el agua emitidas por dos Administraciones distintas, que pueden mantener diferentes criterios, afectando a la seguridad jurídica. Es materialmente imposible que las dos Administraciones puedan otorgar concesiones sobre un mismo objeto como el agua. Por otra parte, se rompería la unidad de gestión de la cuenca, lo cual impediría un disfrute equitativo del agua por parte de ciudadanos que viven en otras comunidades autónomas; sería imposible una gestión sostenible medioambientalmente que cumpliera con la legislación de la Unión Europea, y quedaría gravemente afectado el disfrute equitativo del recurso por parte de ciudadanos que no residen o que desarrollan actividades que implican el uso del agua de la cuenca fuera de la Comunidad Autónoma de Aragón.</w:t>
      </w:r>
    </w:p>
    <w:p w:rsidR="006B7292" w:rsidRDefault="006B7292" w:rsidP="006B7292">
      <w:pPr>
        <w:pStyle w:val="TextoNormal"/>
      </w:pPr>
    </w:p>
    <w:p w:rsidR="006B7292" w:rsidRDefault="006B7292" w:rsidP="006B7292">
      <w:pPr>
        <w:pStyle w:val="TextoNormal"/>
      </w:pPr>
      <w:r>
        <w:t>No podría objetarse que queda condicionado el ejercicio de estas funciones a “aquellas que puedan ser ejercidas por la Comunidad Autónoma mediante transferencia, encomienda o convenio con la Administración General del Estado” (artículo 1.2, párrafo inicial), porque ni el precepto distingue las que quedarían de esta manera condicionadas ni, aunque dependiera de la voluntad del Estado la adopción de estas medidas inconstitucionales de transferencia, encomienda o convenio, desaparecería su valor vinculante como Ley.</w:t>
      </w:r>
    </w:p>
    <w:p w:rsidR="006B7292" w:rsidRDefault="006B7292" w:rsidP="006B7292">
      <w:pPr>
        <w:pStyle w:val="TextoNormal"/>
      </w:pPr>
    </w:p>
    <w:p w:rsidR="006B7292" w:rsidRDefault="006B7292" w:rsidP="006B7292">
      <w:pPr>
        <w:pStyle w:val="TextoNormal"/>
      </w:pPr>
      <w:r>
        <w:t xml:space="preserve">(ii) La definición del artículo 4 aa) de la reserva hídrica como el “aprovechamiento hídrico de una cuenca intercomunitaria” abunda en la tesis que se mantiene de que la Ley está configurada para un ejercicio inmediato de competencias por parte de la Comunidad Autónoma que colisiona con el </w:t>
      </w:r>
      <w:r w:rsidRPr="006B7292">
        <w:rPr>
          <w:i/>
        </w:rPr>
        <w:t>statu quo</w:t>
      </w:r>
      <w:r>
        <w:t xml:space="preserve"> actual.</w:t>
      </w:r>
    </w:p>
    <w:p w:rsidR="006B7292" w:rsidRDefault="006B7292" w:rsidP="006B7292">
      <w:pPr>
        <w:pStyle w:val="TextoNormal"/>
      </w:pPr>
    </w:p>
    <w:p w:rsidR="006B7292" w:rsidRDefault="006B7292" w:rsidP="006B7292">
      <w:pPr>
        <w:pStyle w:val="TextoNormal"/>
      </w:pPr>
      <w:r>
        <w:t>(iii) Igual sucede con el artículo 5 a), siendo trasladables las observaciones ya formuladas respecto del artículo 1.2, b) y c). En cuanto al art. 5 p), es nuevamente un claro ejemplo de la repercusión que la Ley impugnada tiene sobre las relaciones con los particulares y los intereses privados de las personas o entidades concesionarias o autorizadas para una determinada actividad.</w:t>
      </w:r>
    </w:p>
    <w:p w:rsidR="006B7292" w:rsidRDefault="006B7292" w:rsidP="006B7292">
      <w:pPr>
        <w:pStyle w:val="TextoNormal"/>
      </w:pPr>
    </w:p>
    <w:p w:rsidR="006B7292" w:rsidRDefault="006B7292" w:rsidP="006B7292">
      <w:pPr>
        <w:pStyle w:val="TextoNormal"/>
      </w:pPr>
      <w:r>
        <w:t>(iv) El artículo 7.1 admite el ejercicio de competencias autonómicas sobre aprovechamientos hidráulicos supracomunitarios en pugna con la del Estado, que dispone de su propio registro de aguas, y que no puede generar más que perjuicios e inseguridad. No puede reconocerse la eficacia de las inscripciones en el registro de aguas de Aragón, aquí previstas. Las concesiones se configuran como derechos reales, y por tanto pueden ser objeto de hipotecas o transmisiones entre particulares. Uno de los problemas que se pueden plantear es determinar, caso de que estuviera inscrita en ambos registros, cuál sería la certificación que se consideraría válida para la realización de estos negocios jurídicos.</w:t>
      </w:r>
    </w:p>
    <w:p w:rsidR="006B7292" w:rsidRDefault="006B7292" w:rsidP="006B7292">
      <w:pPr>
        <w:pStyle w:val="TextoNormal"/>
      </w:pPr>
    </w:p>
    <w:p w:rsidR="006B7292" w:rsidRDefault="006B7292" w:rsidP="006B7292">
      <w:pPr>
        <w:pStyle w:val="TextoNormal"/>
      </w:pPr>
      <w:r>
        <w:t>(v) Respecto del artículo 12.2 b) y 4, resulta extensible cuanto ya se ha indicado. Además, como se expuso en la demanda, la inscripción de la reserva de agua en el Registro de aguas de la Administración general del Estado no está contemplada en la legislación estatal, que únicamente prevé la inscripción de las concesiones administrativas de aguas, siendo así que la denominada “reserva de agua de uso exclusivo de los aragoneses” carece de tal consideración.</w:t>
      </w:r>
    </w:p>
    <w:p w:rsidR="006B7292" w:rsidRDefault="006B7292" w:rsidP="006B7292">
      <w:pPr>
        <w:pStyle w:val="TextoNormal"/>
      </w:pPr>
    </w:p>
    <w:p w:rsidR="006B7292" w:rsidRDefault="006B7292" w:rsidP="006B7292">
      <w:pPr>
        <w:pStyle w:val="TextoNormal"/>
      </w:pPr>
      <w:r>
        <w:t>(vi) Las competencias atribuidas a la Comunidad Autónoma de Aragón por el artículo 15.1 b), c) y n), al incidir en aprovechamientos hidráulicos supracomunitarios, están siendo ejercidas por el Estado.</w:t>
      </w:r>
    </w:p>
    <w:p w:rsidR="006B7292" w:rsidRDefault="006B7292" w:rsidP="006B7292">
      <w:pPr>
        <w:pStyle w:val="TextoNormal"/>
      </w:pPr>
    </w:p>
    <w:p w:rsidR="006B7292" w:rsidRDefault="006B7292" w:rsidP="006B7292">
      <w:pPr>
        <w:pStyle w:val="TextoNormal"/>
      </w:pPr>
      <w:r>
        <w:t>(vii) Las atribuciones al Instituto Aragonés del Agua previstas en el artículo 19.2 a).1 y c).2 ponen en cuestión las competencias estatales para la gestión unitaria de las cuencas hidrográficas supracomunitarias, y son de incompatible ejercicio simultáneo; su efectivo desarrollo ejecutivo es susceptible de causar perjuicios de imposible o difícil reparación a los interesados en estos procedimientos administrativos.</w:t>
      </w:r>
    </w:p>
    <w:p w:rsidR="006B7292" w:rsidRDefault="006B7292" w:rsidP="006B7292">
      <w:pPr>
        <w:pStyle w:val="TextoNormal"/>
      </w:pPr>
    </w:p>
    <w:p w:rsidR="006B7292" w:rsidRDefault="006B7292" w:rsidP="006B7292">
      <w:pPr>
        <w:pStyle w:val="TextoNormal"/>
      </w:pPr>
      <w:r>
        <w:t>(viii) El artículo 50 apodera al Gobierno de Aragón para la elaboración de los “planes de regadíos y usos agrarios” que tengan por objeto el aprovechamiento de la reserva hídrica, incidiendo en aprovechamientos hidráulicos procedentes de cuencas supracomunitarias cuya gestión se encuentra reservada, por el principio de unidad de cuenca, a la Administración General del Estado. Por ello, el ejercicio simultáneo puede ocasionar perjuicios de imposible o difícil reparación en una materia de tanta relevancia económica y social como son los planes de regadíos.</w:t>
      </w:r>
    </w:p>
    <w:p w:rsidR="006B7292" w:rsidRDefault="006B7292" w:rsidP="006B7292">
      <w:pPr>
        <w:pStyle w:val="TextoNormal"/>
      </w:pPr>
    </w:p>
    <w:p w:rsidR="006B7292" w:rsidRDefault="006B7292" w:rsidP="006B7292">
      <w:pPr>
        <w:pStyle w:val="TextoNormal"/>
      </w:pPr>
      <w:r>
        <w:t>(ix) Las competencias atribuidas al Instituto Aragonés del Agua por el artículo 69 a) d) y f).1 van referidas nuevamente a la reserva hídrica procedente de cuencas supracomunitarias, y su ejercicio de manera simultánea al Estado ocasionaría perjuicios al interés general de difícil reparación en una materia de gran trascendencia económica y social, como la regulada en este precepto.</w:t>
      </w:r>
    </w:p>
    <w:p w:rsidR="006B7292" w:rsidRDefault="006B7292" w:rsidP="006B7292">
      <w:pPr>
        <w:pStyle w:val="TextoNormal"/>
      </w:pPr>
    </w:p>
    <w:p w:rsidR="006B7292" w:rsidRDefault="006B7292" w:rsidP="006B7292">
      <w:pPr>
        <w:pStyle w:val="TextoNormal"/>
      </w:pPr>
      <w:r>
        <w:t>(x) Las funciones atribuidas al Instituto Aragonés del Agua por el artículo 70 a) y c) colisionarán indefectiblemente con las actuaciones estatales, especialmente por lo que hace al carácter “determinante” del informe previsto en el apartado c), en la medida que condiciona la actuación del Estado.</w:t>
      </w:r>
    </w:p>
    <w:p w:rsidR="006B7292" w:rsidRDefault="006B7292" w:rsidP="006B7292">
      <w:pPr>
        <w:pStyle w:val="TextoNormal"/>
      </w:pPr>
    </w:p>
    <w:p w:rsidR="006B7292" w:rsidRDefault="006B7292" w:rsidP="006B7292">
      <w:pPr>
        <w:pStyle w:val="TextoNormal"/>
      </w:pPr>
      <w:r>
        <w:t>(xi) La disposición transitoria primera contempla el traspaso de servicios y medios de la Administración general del Estado a la Comunidad Autónoma de Aragón como el mecanismo indicado para el ejercicio de las competencias autonómicas sobre las cuencas supracomunitarias, en especial sobre la reserva de agua de uso exclusivo de los aragoneses.</w:t>
      </w:r>
    </w:p>
    <w:p w:rsidR="006B7292" w:rsidRDefault="006B7292" w:rsidP="006B7292">
      <w:pPr>
        <w:pStyle w:val="TextoNormal"/>
      </w:pPr>
    </w:p>
    <w:p w:rsidR="006B7292" w:rsidRDefault="006B7292" w:rsidP="006B7292">
      <w:pPr>
        <w:pStyle w:val="TextoNormal"/>
      </w:pPr>
      <w:r>
        <w:t>Aunque la decisión sobre estos traspasos depende del Estado, en orden al mantenimiento de su suspensión participa de las razones enunciadas con motivo de las citas a actuaciones como transferencias, convenios o encomiendas que se realizan en la Ley y que han sido analizadas anteriormente. Se trata de una norma jurídica que, si no se encuentra suspendida hasta tanto se dicte sentencia, goza de eficacia generando las consiguientes disfunciones en la gestión del agua y que ordena, en su apartado 2, negociar unos traspasos de funciones y servicios que se verán afectados por la sentencia que se dicte en el caso.</w:t>
      </w:r>
    </w:p>
    <w:p w:rsidR="006B7292" w:rsidRDefault="006B7292" w:rsidP="006B7292">
      <w:pPr>
        <w:pStyle w:val="TextoNormal"/>
      </w:pPr>
    </w:p>
    <w:p w:rsidR="006B7292" w:rsidRDefault="006B7292" w:rsidP="006B7292">
      <w:pPr>
        <w:pStyle w:val="TextoNormal"/>
      </w:pPr>
      <w:r>
        <w:t>b) Respecto del bloque de preceptos que no han sido impugnados por su relación con la gestión de la reserva hídrica de 6.550 hm3, sino por reconocer otras competencias autonómicas que afectan igualmente a la gestión de las cuencas hidrográficas supracomunitarias, se exponen de forma individualizada las razones para mantener su suspensión.</w:t>
      </w:r>
    </w:p>
    <w:p w:rsidR="006B7292" w:rsidRDefault="006B7292" w:rsidP="006B7292">
      <w:pPr>
        <w:pStyle w:val="TextoNormal"/>
      </w:pPr>
    </w:p>
    <w:p w:rsidR="006B7292" w:rsidRDefault="006B7292" w:rsidP="006B7292">
      <w:pPr>
        <w:pStyle w:val="TextoNormal"/>
      </w:pPr>
      <w:r>
        <w:t>(i) En cuanto al artículo 8.1, no tiene ningún sentido la creación de un registro de seguridad de presas y embalses de Aragón, puesto que como se expuso en la demanda tales infraestructuras no son de su competencia.</w:t>
      </w:r>
    </w:p>
    <w:p w:rsidR="006B7292" w:rsidRDefault="006B7292" w:rsidP="006B7292">
      <w:pPr>
        <w:pStyle w:val="TextoNormal"/>
      </w:pPr>
    </w:p>
    <w:p w:rsidR="006B7292" w:rsidRDefault="006B7292" w:rsidP="006B7292">
      <w:pPr>
        <w:pStyle w:val="TextoNormal"/>
      </w:pPr>
      <w:r>
        <w:t>(ii) Respecto del artículo 19.2 c).3, como se expresó en la demanda, no hay inconveniente en que la declaración de las reservas naturales fluviales como figuras de protección ambiental se realice por la Comunidad Autónoma de Aragón, excepto cuanto se trate de parques nacionales. Ahora bien, como se expuso igualmente en la demanda, el precepto puede interpretarse en el sentido de que la Comunidad Autónoma de Aragón también ostenta competencias sobre el dominio público hidráulico de tales reservas, lo que genera la problemática ya expuesta sobre el ejercicio simultáneo y contradictorio de competencias que puede causar un perjuicio tanto al interés general como a los particulares afectados.</w:t>
      </w:r>
    </w:p>
    <w:p w:rsidR="006B7292" w:rsidRDefault="006B7292" w:rsidP="006B7292">
      <w:pPr>
        <w:pStyle w:val="TextoNormal"/>
      </w:pPr>
    </w:p>
    <w:p w:rsidR="006B7292" w:rsidRDefault="006B7292" w:rsidP="006B7292">
      <w:pPr>
        <w:pStyle w:val="TextoNormal"/>
      </w:pPr>
      <w:r>
        <w:t>(iii) De levantarse la suspensión del artículo 67, el informe preceptivo y determinante previsto en este precepto supondría que el Estado, en el ejercicio de sus competencias, no podría adoptar las decisiones con su propio criterio, debiendo seguir el expuesto por la Administración autonómica. Esta consecuencia es susceptible de causar un perjuicio de difícil reparación en la tramitación de los planes afectados.</w:t>
      </w:r>
    </w:p>
    <w:p w:rsidR="006B7292" w:rsidRDefault="006B7292" w:rsidP="006B7292">
      <w:pPr>
        <w:pStyle w:val="TextoNormal"/>
      </w:pPr>
    </w:p>
    <w:p w:rsidR="006B7292" w:rsidRDefault="006B7292" w:rsidP="006B7292">
      <w:pPr>
        <w:pStyle w:val="TextoNormal"/>
      </w:pPr>
      <w:r>
        <w:t>(iv) La legislación estatal contempla la posibilidad de que la tramitación de autorizaciones referentes al dominio público de cuencas supracomunitarias pueda ser encomendada a las Comunidades Autónomas, pero no prevé, en tal supuesto, las consecuencias que el impugnado artículo 71.3 anuda a la falta de comunicación de la resolución del organismo de cuenca en el plazo de tres meses. Se introduce así un condicionamiento para el ejercicio de las competencias estatales sobre las cuencas hidrográficas intercomunitarias, susceptible de perjudicar su correcto ejercicio.</w:t>
      </w:r>
    </w:p>
    <w:p w:rsidR="006B7292" w:rsidRDefault="006B7292" w:rsidP="006B7292">
      <w:pPr>
        <w:pStyle w:val="TextoNormal"/>
      </w:pPr>
    </w:p>
    <w:p w:rsidR="006B7292" w:rsidRDefault="006B7292" w:rsidP="006B7292">
      <w:pPr>
        <w:pStyle w:val="TextoNormal"/>
      </w:pPr>
      <w:r>
        <w:t>(v) El artículo 72 faculta a la Administración aragonesa para el ejercicio de facultades de policía tanto en las cuencas hidrográficas intracomunitarias, como en las supracomunitarias “cuando le sea atribuida por la legislación estatal, en los términos establecidos por el Estatuto de Autonomía, la legislación básica y el resto de la legislación vigente”. Este precepto es otra manifestación del riesgo que el levantamiento de la suspensión de la Ley puede poner el principio de gestión unitaria de la cuenca.</w:t>
      </w:r>
    </w:p>
    <w:p w:rsidR="006B7292" w:rsidRDefault="006B7292" w:rsidP="006B7292">
      <w:pPr>
        <w:pStyle w:val="TextoNormal"/>
      </w:pPr>
    </w:p>
    <w:p w:rsidR="006B7292" w:rsidRDefault="006B7292" w:rsidP="006B7292">
      <w:pPr>
        <w:pStyle w:val="TextoNormal"/>
      </w:pPr>
      <w:r>
        <w:t>(vi) El artículo 76 introduce, del mismo modo que el artículo 71.3, un condicionamiento para el ejercicio de las competencias estatales sobre las cuencas hidrográficas intercomunitarias, susceptible de causar perjuicios de difícil reparación en la gestión de la cuenca.</w:t>
      </w:r>
    </w:p>
    <w:p w:rsidR="006B7292" w:rsidRDefault="006B7292" w:rsidP="006B7292">
      <w:pPr>
        <w:pStyle w:val="TextoNormal"/>
      </w:pPr>
    </w:p>
    <w:p w:rsidR="006B7292" w:rsidRDefault="006B7292" w:rsidP="006B7292">
      <w:pPr>
        <w:pStyle w:val="TextoNormal"/>
      </w:pPr>
      <w:r w:rsidRPr="006B7292">
        <w:rPr>
          <w:rStyle w:val="NumeroAFNegritaCaracter"/>
        </w:rPr>
        <w:t>8</w:t>
      </w:r>
      <w:r>
        <w:t>. Con fecha 3 de noviembre de 2015 tuvo entrada escrito del representante procesal del Gobierno de Aragón, solicitando el levantamiento de la suspensión de los preceptos recurridos. En síntesis, alega al respecto lo siguiente:</w:t>
      </w:r>
    </w:p>
    <w:p w:rsidR="006B7292" w:rsidRDefault="006B7292" w:rsidP="006B7292">
      <w:pPr>
        <w:pStyle w:val="TextoNormal"/>
      </w:pPr>
    </w:p>
    <w:p w:rsidR="006B7292" w:rsidRDefault="006B7292" w:rsidP="006B7292">
      <w:pPr>
        <w:pStyle w:val="TextoNormal"/>
      </w:pPr>
      <w:r>
        <w:t>a) La aplicación de los criterios que emanan de la doctrina constitucional, en relación con la resolución de la cuestión incidental que aquí se plantea (por todos, ATC 205/2014, de 22 de julio), ha de llevar al levantamiento de la suspensión.</w:t>
      </w:r>
    </w:p>
    <w:p w:rsidR="006B7292" w:rsidRDefault="006B7292" w:rsidP="006B7292">
      <w:pPr>
        <w:pStyle w:val="TextoNormal"/>
      </w:pPr>
    </w:p>
    <w:p w:rsidR="006B7292" w:rsidRDefault="006B7292" w:rsidP="006B7292">
      <w:pPr>
        <w:pStyle w:val="TextoNormal"/>
      </w:pPr>
      <w:r>
        <w:t>Como cautela de cierre, adicional a los específicos condicionantes en salvaguarda de la competencia estatal que establece el legislador aragonés en los concretos preceptos impugnados, la disposición transitoria primera.2 condiciona su eficacia a “la negociación del traspaso de funciones y servicios, en los órganos de cooperación bilateral previstos en el Estatuto de Autonomía de Aragón”. Tanto atendiendo al objeto de la impugnación (que recae sobre un conjunto de preceptos estrictamente autoorganizativos y procedimentales) como a la previsión de su eficacia, condicionada al traspaso efectivo de funciones ejecutivas en el marco de la cooperación bilateral entre el Estado y la Comunidad Autónoma, determina la ausencia de concreto perjuicio alguno que pudiera seguirse del levantamiento de la suspensión.</w:t>
      </w:r>
    </w:p>
    <w:p w:rsidR="006B7292" w:rsidRDefault="006B7292" w:rsidP="006B7292">
      <w:pPr>
        <w:pStyle w:val="TextoNormal"/>
      </w:pPr>
    </w:p>
    <w:p w:rsidR="006B7292" w:rsidRDefault="006B7292" w:rsidP="006B7292">
      <w:pPr>
        <w:pStyle w:val="TextoNormal"/>
      </w:pPr>
      <w:r>
        <w:t xml:space="preserve">La incidencia que tales preceptos pudieran tener en el ejercicio de la competencia estatal queda así condicionada a la voluntad concordante del Estado y, con ello, a la salvaguarda del principio dispositivo del Estado en el ejercicio de sus propias competencias en la materia, no produciéndose en modo alguno el bloqueo de la competencia estatal. Se evidencia así que la norma autonómica carece de cualquier virtualidad en orden a una atribución competencial directa a favor de la Comunidad de las competencias estatales que pudiera ser eficaz </w:t>
      </w:r>
      <w:r w:rsidRPr="006B7292">
        <w:rPr>
          <w:i/>
        </w:rPr>
        <w:t>per se</w:t>
      </w:r>
      <w:r>
        <w:t xml:space="preserve"> al margen de la decisión estatal.</w:t>
      </w:r>
    </w:p>
    <w:p w:rsidR="006B7292" w:rsidRDefault="006B7292" w:rsidP="006B7292">
      <w:pPr>
        <w:pStyle w:val="TextoNormal"/>
      </w:pPr>
    </w:p>
    <w:p w:rsidR="006B7292" w:rsidRDefault="006B7292" w:rsidP="006B7292">
      <w:pPr>
        <w:pStyle w:val="TextoNormal"/>
      </w:pPr>
      <w:r>
        <w:t>Esta conclusión se advera con el análisis concreto del contenido de la Ley aragonesa 10/2014 objeto de litigio:</w:t>
      </w:r>
    </w:p>
    <w:p w:rsidR="006B7292" w:rsidRDefault="006B7292" w:rsidP="006B7292">
      <w:pPr>
        <w:pStyle w:val="TextoNormal"/>
      </w:pPr>
    </w:p>
    <w:p w:rsidR="006B7292" w:rsidRDefault="006B7292" w:rsidP="006B7292">
      <w:pPr>
        <w:pStyle w:val="TextoNormal"/>
      </w:pPr>
      <w:r>
        <w:t xml:space="preserve">(i) El artículo 1.2 b), c) y d) enumera, de forma genérica e introductoria las competencias autonómicas derivadas del artículo 72 y la disposición adicional quinta del Estatuto de Autonomía de Aragón (EAAr). Ningún daño o perjuicio para el interés general puede seguirse del alzamiento de la suspensión, ya que su eficacia queda condicionada </w:t>
      </w:r>
      <w:r w:rsidRPr="006B7292">
        <w:rPr>
          <w:i/>
        </w:rPr>
        <w:t>ex</w:t>
      </w:r>
      <w:r>
        <w:t xml:space="preserve"> art. 1.1, 1.2 párrafo introductorio, y disposición transitoria primera de la propia Ley.</w:t>
      </w:r>
    </w:p>
    <w:p w:rsidR="006B7292" w:rsidRDefault="006B7292" w:rsidP="006B7292">
      <w:pPr>
        <w:pStyle w:val="TextoNormal"/>
      </w:pPr>
    </w:p>
    <w:p w:rsidR="006B7292" w:rsidRDefault="006B7292" w:rsidP="006B7292">
      <w:pPr>
        <w:pStyle w:val="TextoNormal"/>
      </w:pPr>
      <w:r>
        <w:t>(ii) El artículo 4.aa) define la reserva hídrica “a efectos de esta ley” y no otros, determinándose su contenido no sólo por lo dispuesto en el Estatuto de Autonomía de Aragón, conforme a la interpretación constitucional de su disposición adicional quinta, sino también necesariamente por “la planificación hidrológica estatal a favor de la Comunidad Autónoma de Aragón”, por lo que tampoco se explica qué perjuicio puede derivarse del alzamiento de la suspensión.</w:t>
      </w:r>
    </w:p>
    <w:p w:rsidR="006B7292" w:rsidRDefault="006B7292" w:rsidP="006B7292">
      <w:pPr>
        <w:pStyle w:val="TextoNormal"/>
      </w:pPr>
    </w:p>
    <w:p w:rsidR="006B7292" w:rsidRDefault="006B7292" w:rsidP="006B7292">
      <w:pPr>
        <w:pStyle w:val="TextoNormal"/>
      </w:pPr>
      <w:r>
        <w:t>(iii) El artículo 5 a) y p) enuncia principios aplicativos que informan la Ley, dirigidos a “la actuación política y administrativa de los poderes públicos aragoneses”, que queda supeditada al “principio de unidad de la cuenca y el Estatuto de Autonomía, en el ejercicio de las competencias exclusivas o mediante delegación, encomienda o convenio con la Administración General del Estado”, lo que implica el sometimiento efectivo de la competencia autonómica a la competencia estatal.</w:t>
      </w:r>
    </w:p>
    <w:p w:rsidR="006B7292" w:rsidRDefault="006B7292" w:rsidP="006B7292">
      <w:pPr>
        <w:pStyle w:val="TextoNormal"/>
      </w:pPr>
    </w:p>
    <w:p w:rsidR="006B7292" w:rsidRDefault="006B7292" w:rsidP="006B7292">
      <w:pPr>
        <w:pStyle w:val="TextoNormal"/>
      </w:pPr>
      <w:r>
        <w:t>(iv) Los artículos 7.1 y 8 tienen por objeto la creación de sendos registros administrativos, y son manifestación de una potestad de autoorganización directamente tributaria del principio de autonomía; y el propio art. 12.4 de la Ley reconoce y salva la finalidad y funciones del Registro estatal de aguas.</w:t>
      </w:r>
    </w:p>
    <w:p w:rsidR="006B7292" w:rsidRDefault="006B7292" w:rsidP="006B7292">
      <w:pPr>
        <w:pStyle w:val="TextoNormal"/>
      </w:pPr>
    </w:p>
    <w:p w:rsidR="006B7292" w:rsidRDefault="006B7292" w:rsidP="006B7292">
      <w:pPr>
        <w:pStyle w:val="TextoNormal"/>
      </w:pPr>
      <w:r>
        <w:t>(v) El artículo 12, 2 b) y 4 expresa mandatos dirigidos a los poderes públicos de Aragón, por lo que del alzamiento de la suspensión no resulta perjuicio alguno para el interés general, cualquiera que fuese la efectividad última de la inscripción de la reserva hídrica de 6.550 hm3 en el Registro estatal de aguas. La existencia de una Administración hidráulica propia no niega, por sí misma, ni la competencia estatal en materia de aguas ni su ejercicio sobre el principio último de unidad de gestión de la cuenca y su función de coordinación, máxime a tenor de la disposición transitoria 1ª.</w:t>
      </w:r>
    </w:p>
    <w:p w:rsidR="006B7292" w:rsidRDefault="006B7292" w:rsidP="006B7292">
      <w:pPr>
        <w:pStyle w:val="TextoNormal"/>
      </w:pPr>
    </w:p>
    <w:p w:rsidR="006B7292" w:rsidRDefault="006B7292" w:rsidP="006B7292">
      <w:pPr>
        <w:pStyle w:val="TextoNormal"/>
      </w:pPr>
      <w:r>
        <w:t>(vi) El artículo 15.1, b), c) y n) define las competencias autonómicas bajo la salvedad de su sometimiento a “la legislación de aguas, y en coordinación con la Administración General del Estado”, como condicionante que incluye la planificación hidrológica de la reserva hídrica y su gestión “previa delegación de competencias por el Estado”, y la participación preceptiva en los procesos de autorizaciones, no su otorgamiento, lo que aclara el alcance de la atribución, así como las funciones de policía del dominio público hidráulico. Las cautelas legales salvan la competencia estatal y la función de coordinación propia del Estado, al tiempo que determinan la necesidad de su sometimiento al poder dispositivo del Estado para su desarrollo posterior.</w:t>
      </w:r>
    </w:p>
    <w:p w:rsidR="006B7292" w:rsidRDefault="006B7292" w:rsidP="006B7292">
      <w:pPr>
        <w:pStyle w:val="TextoNormal"/>
      </w:pPr>
    </w:p>
    <w:p w:rsidR="006B7292" w:rsidRDefault="006B7292" w:rsidP="006B7292">
      <w:pPr>
        <w:pStyle w:val="TextoNormal"/>
      </w:pPr>
      <w:r>
        <w:t xml:space="preserve">(vii) El artículo 19.2 a).1, c).2 y c).3 se enmarca igualmente en la salvedad que limita la eficacia inmediata de los mandatos legales cuestionados a la decisión previa de la Administración estatal </w:t>
      </w:r>
      <w:r w:rsidRPr="006B7292">
        <w:rPr>
          <w:i/>
        </w:rPr>
        <w:t>ex</w:t>
      </w:r>
      <w:r>
        <w:t xml:space="preserve"> disposición transitoria primera.</w:t>
      </w:r>
    </w:p>
    <w:p w:rsidR="006B7292" w:rsidRDefault="006B7292" w:rsidP="006B7292">
      <w:pPr>
        <w:pStyle w:val="TextoNormal"/>
      </w:pPr>
    </w:p>
    <w:p w:rsidR="006B7292" w:rsidRDefault="006B7292" w:rsidP="006B7292">
      <w:pPr>
        <w:pStyle w:val="TextoNormal"/>
      </w:pPr>
      <w:r>
        <w:t>(viii) El artículo 50 queda asimismo condicionado en su eficacia al ejercicio de la competencia estatal expresamente salvaguardada, en la lógica del artículo 19.2 f), cuya constitucionalidad no se ha puesto en duda en el recurso.</w:t>
      </w:r>
    </w:p>
    <w:p w:rsidR="006B7292" w:rsidRDefault="006B7292" w:rsidP="006B7292">
      <w:pPr>
        <w:pStyle w:val="TextoNormal"/>
      </w:pPr>
    </w:p>
    <w:p w:rsidR="006B7292" w:rsidRDefault="006B7292" w:rsidP="006B7292">
      <w:pPr>
        <w:pStyle w:val="TextoNormal"/>
      </w:pPr>
      <w:r>
        <w:t>(ix) El artículo 67 plantea una problemática similar a la resuelta en los AATC 304/2001, de 11 de diciembre, y 268/2011, de 16 de octubre.</w:t>
      </w:r>
    </w:p>
    <w:p w:rsidR="006B7292" w:rsidRDefault="006B7292" w:rsidP="006B7292">
      <w:pPr>
        <w:pStyle w:val="TextoNormal"/>
      </w:pPr>
    </w:p>
    <w:p w:rsidR="006B7292" w:rsidRDefault="006B7292" w:rsidP="006B7292">
      <w:pPr>
        <w:pStyle w:val="TextoNormal"/>
      </w:pPr>
      <w:r>
        <w:t>(x) El artículo 69, a) d) y f).1 tampoco determina perjuicio alguno, al operar sobre la salvedad tantas veces indicada.</w:t>
      </w:r>
    </w:p>
    <w:p w:rsidR="006B7292" w:rsidRDefault="006B7292" w:rsidP="006B7292">
      <w:pPr>
        <w:pStyle w:val="TextoNormal"/>
      </w:pPr>
    </w:p>
    <w:p w:rsidR="006B7292" w:rsidRDefault="006B7292" w:rsidP="006B7292">
      <w:pPr>
        <w:pStyle w:val="TextoNormal"/>
      </w:pPr>
      <w:r>
        <w:t>(xi) El artículo 70 a) y c) se limita a prever la participación del Instituto Aragonés del Agua en la tramitación de autorizaciones y concesiones, mediante la formulación de una propuesta de resolución para la toma de decisión por el organismo de cuenca estatal.</w:t>
      </w:r>
    </w:p>
    <w:p w:rsidR="006B7292" w:rsidRDefault="006B7292" w:rsidP="006B7292">
      <w:pPr>
        <w:pStyle w:val="TextoNormal"/>
      </w:pPr>
    </w:p>
    <w:p w:rsidR="006B7292" w:rsidRDefault="006B7292" w:rsidP="006B7292">
      <w:pPr>
        <w:pStyle w:val="TextoNormal"/>
      </w:pPr>
      <w:r>
        <w:t>(xii) Los artículos 71.3, 72 y 76.3, además de quedar condicionados por la disposición transitoria primera, recogen la manifiesta sujeción de la intervención de la Administración hidráulica de la Comunidad a la competencia estatal, decisoria y condicionante.</w:t>
      </w:r>
    </w:p>
    <w:p w:rsidR="006B7292" w:rsidRDefault="006B7292" w:rsidP="006B7292">
      <w:pPr>
        <w:pStyle w:val="TextoNormal"/>
      </w:pPr>
    </w:p>
    <w:p w:rsidR="006B7292" w:rsidRDefault="006B7292" w:rsidP="006B7292">
      <w:pPr>
        <w:pStyle w:val="TextoNormal"/>
      </w:pPr>
      <w:r>
        <w:t xml:space="preserve">(xiii) La disposición transitoria primera contempla el traspaso de servicios y medios como </w:t>
      </w:r>
      <w:r w:rsidRPr="006B7292">
        <w:rPr>
          <w:i/>
        </w:rPr>
        <w:t>prius</w:t>
      </w:r>
      <w:r>
        <w:t xml:space="preserve"> necesario, en la lógica de las competencias concurrentes y del respeto a la competencia estatal en las disposiciones afectadas por el apartado 1, y sobre un mandato que, en su apartado 2, va dirigido al Gobierno de Aragón, como expresión de una voluntad política y sin ulterior vinculación para el Estado en general y para el Gobierno de la Nación en particular, en lo que condiciona la eficacia última de una parte de la regulación autonómica en materia de aguas y ríos de Aragón.</w:t>
      </w:r>
    </w:p>
    <w:p w:rsidR="006B7292" w:rsidRDefault="006B7292" w:rsidP="006B7292">
      <w:pPr>
        <w:pStyle w:val="TextoNormal"/>
      </w:pPr>
    </w:p>
    <w:p w:rsidR="006B7292" w:rsidRDefault="006B7292" w:rsidP="006B7292">
      <w:pPr>
        <w:pStyle w:val="TextoNormal"/>
      </w:pPr>
      <w:r>
        <w:t>Resulta plenamente aplicable el criterio recogido en el ATC 60/2013, FJ 5, toda vez que la competencia autonómica requiere de su materialización mediante la adopción de medidas que vayan más allá de la norma impugnada por el recurso de inconstitucionalidad, en cuyo caso tales concretas medidas serían siempre susceptibles de un específico control de constitucionalidad.</w:t>
      </w:r>
    </w:p>
    <w:p w:rsidR="006B7292" w:rsidRDefault="006B7292" w:rsidP="006B7292">
      <w:pPr>
        <w:pStyle w:val="TextoNormal"/>
      </w:pPr>
    </w:p>
    <w:p w:rsidR="006B7292" w:rsidRDefault="006B7292" w:rsidP="006B7292">
      <w:pPr>
        <w:pStyle w:val="TextoNormal"/>
      </w:pPr>
      <w:r>
        <w:t>b) En conclusión, no procedería mantener la suspensión de la vigencia y eficacia de los preceptos impugnados cuando no concurre perjuicio al interés general, dada la constante remisión a la normativa vigente bajo los límites de la competencia estatal y, por tanto, a la necesidad de un desarrollo condicionado a la previa voluntad del Estado para su eficacia plena. En consecuencia, tales perjuicios sólo podrían formularse de un modo hipotético, en una defensa de la competencia estatal que resulta ajena a la finalidad y función propia de este incidente.</w:t>
      </w:r>
    </w:p>
    <w:p w:rsidR="006B7292" w:rsidRDefault="006B7292" w:rsidP="006B7292">
      <w:pPr>
        <w:pStyle w:val="TextoNormal"/>
      </w:pPr>
    </w:p>
    <w:p w:rsidR="006B7292" w:rsidRDefault="006B7292" w:rsidP="006B7292">
      <w:pPr>
        <w:pStyle w:val="TextoNormal"/>
      </w:pPr>
      <w:r>
        <w:t xml:space="preserve">El principio de unidad de cuenca no puede excluir, </w:t>
      </w:r>
      <w:r w:rsidRPr="006B7292">
        <w:rPr>
          <w:i/>
        </w:rPr>
        <w:t>per se</w:t>
      </w:r>
      <w:r>
        <w:t>, la participación de la Comunidad en la gestión de la cuenca, de la que no resulta afección a la seguridad jurídica, ni perjuicio concreto al interés general o al de terceros. Siempre queda salvada la supremacía de la función estatal como manifestación nuclear de su función de coordinación, por lo que tampoco puede concluirse que, con la vigencia y eficacia de los preceptos impugnados, se produzca un bloqueo de la competencia estatal.</w:t>
      </w:r>
    </w:p>
    <w:p w:rsidR="006B7292" w:rsidRDefault="006B7292" w:rsidP="006B7292">
      <w:pPr>
        <w:pStyle w:val="TextoNormal"/>
      </w:pPr>
    </w:p>
    <w:p w:rsidR="006B7292" w:rsidRDefault="006B7292" w:rsidP="006B7292">
      <w:pPr>
        <w:pStyle w:val="TextoNormal"/>
      </w:pPr>
      <w:r w:rsidRPr="006B7292">
        <w:rPr>
          <w:rStyle w:val="NumeroAFNegritaCaracter"/>
        </w:rPr>
        <w:t>9</w:t>
      </w:r>
      <w:r>
        <w:t>. La Letrada de las Cortes de Aragón solicitó el levantamiento de la suspensión mediante escrito presentado en el Registro General de este Tribunal con fecha 6 de noviembre de 2015. En apoyo de su pretensión, alega en síntesis lo siguiente:</w:t>
      </w:r>
    </w:p>
    <w:p w:rsidR="006B7292" w:rsidRDefault="006B7292" w:rsidP="006B7292">
      <w:pPr>
        <w:pStyle w:val="TextoNormal"/>
      </w:pPr>
    </w:p>
    <w:p w:rsidR="006B7292" w:rsidRDefault="006B7292" w:rsidP="006B7292">
      <w:pPr>
        <w:pStyle w:val="TextoNormal"/>
      </w:pPr>
      <w:r>
        <w:t>a) No pueden apreciarse perjuicios meramente invocados y fundamentados en una eventual invasión de la competencia estatal por parte de la Ley autonómica impugnada (ATC 278/2009, de 10 de diciembre, FJ 4).</w:t>
      </w:r>
    </w:p>
    <w:p w:rsidR="006B7292" w:rsidRDefault="006B7292" w:rsidP="006B7292">
      <w:pPr>
        <w:pStyle w:val="TextoNormal"/>
      </w:pPr>
    </w:p>
    <w:p w:rsidR="006B7292" w:rsidRDefault="006B7292" w:rsidP="006B7292">
      <w:pPr>
        <w:pStyle w:val="TextoNormal"/>
      </w:pPr>
      <w:r>
        <w:t xml:space="preserve">No concurren perjuicios de imposible o difícil reparación basados en un hipotético riesgo de fragmentación del principio de unidad de cuenca. El recurrente confunde la supraterritorialidad hidrológica como criterio delimitador de las competencias del Estado en materia de aguas, con una gestión unitaria excluyente del legítimo ejercicio de las competencias autonómicas constitucionalmente reconocidas </w:t>
      </w:r>
      <w:r w:rsidRPr="006B7292">
        <w:rPr>
          <w:i/>
        </w:rPr>
        <w:t>ex</w:t>
      </w:r>
      <w:r>
        <w:t xml:space="preserve"> art. 148.1.10 CE, al que, en ningún caso, cabe imputar un fraccionamiento de la cuenca hidrográfica cuando se trata de un aprovechamiento de interés autonómico reconocido como tal por la propia planificación hidrológica estatal y de cuenca. El límite constitucional a la gestión pública del agua viene impuesto por la concepción integral del recurso hidráulico y la gestión homogénea de los aprovechamientos, sean estos de interés estatal o autonómicos, sin que el reparto competencial constitucionalmente establecido permita excluir, sin más, a las Comunidades Autónomas de la gestión de los aprovechamientos hidráulicos de interés autonómico en las cuencas supracomunitarias. No se entiende cuál es el riesgo de fragmentación del principio de unidad de cuenca que se aduce de contrario, cuando se trata de un aprovechamiento que el propio legislador estatal de aguas en su función planificadora, tras un complejísimo proceso de planificación con participación de todas las comunidades autónomas y los usuarios implicados, ha establecido expresamente a disposición de la Comunidad Autónoma de Aragón, concretando tanto la asignación de recursos como los usos a los que están destinados.</w:t>
      </w:r>
    </w:p>
    <w:p w:rsidR="006B7292" w:rsidRDefault="006B7292" w:rsidP="006B7292">
      <w:pPr>
        <w:pStyle w:val="TextoNormal"/>
      </w:pPr>
    </w:p>
    <w:p w:rsidR="006B7292" w:rsidRDefault="006B7292" w:rsidP="006B7292">
      <w:pPr>
        <w:pStyle w:val="TextoNormal"/>
      </w:pPr>
      <w:r>
        <w:t>b) Los preceptos impugnados en ningún caso están atribuyendo competencias de gestión sobre tramo alguno de río, subcuenca o fracción de una cuenca hidrográfica supracomunitaria, toda vez que se limitan a regular un aprovechamiento de interés autonómico que, sin perjuicio de su previsión estatutaria, ha sido expresamente establecido por el propio legislador estatal, y se encuentra incluido en la planificación hidrológica estatal y de cuenca, con asignación y concreción de usos, y con inscripción de oficio en el Registro estatal de aguas a disposición de la Comunidad Autónoma de Aragón (disposición adicional decimotercera de la Ley 10/2001, de 5 de julio, del plan hidrológico nacional, y artículo 32.1 f) del plan hidrológico de la parte española de la demarcación hidrográfica del Ebro, aprobado por Real Decreto 129/2014, de 28 de febrero).</w:t>
      </w:r>
    </w:p>
    <w:p w:rsidR="006B7292" w:rsidRDefault="006B7292" w:rsidP="006B7292">
      <w:pPr>
        <w:pStyle w:val="TextoNormal"/>
      </w:pPr>
    </w:p>
    <w:p w:rsidR="006B7292" w:rsidRDefault="006B7292" w:rsidP="006B7292">
      <w:pPr>
        <w:pStyle w:val="TextoNormal"/>
      </w:pPr>
      <w:r>
        <w:t>Lo que regula el legislador aragonés es la decisión positiva de la Comunidad Autónoma de asumir lo que el legislador estatal ya ha dispuesto y disponga, y en esos términos ha de interpretarse el tenor literal del art. 1.2 de la Ley de Aragón 10/2014. Del mismo modo procede interpretar el tenor de los artículos 4 aa); 5 a) y p); 7.1; 12.2 b) y 4; 15.1 b), c) y n); 19. 2 a) 10 y c) 2; 50; 67; 69 a), d) y f) 10; 70 a) y c) y la disposición transitoria primera, en cuanto que la objeción de inconstitucionalidad que genéricamente se imputa es exactamente la misma, y en la medida que en todos ellos se introducen las pertinentes cláusulas de salvaguarda de las competencias estatales.</w:t>
      </w:r>
    </w:p>
    <w:p w:rsidR="006B7292" w:rsidRDefault="006B7292" w:rsidP="006B7292">
      <w:pPr>
        <w:pStyle w:val="TextoNormal"/>
      </w:pPr>
    </w:p>
    <w:p w:rsidR="006B7292" w:rsidRDefault="006B7292" w:rsidP="006B7292">
      <w:pPr>
        <w:pStyle w:val="TextoNormal"/>
      </w:pPr>
      <w:r>
        <w:t>No cabe afirmar que el Tribunal Constitucional ha desechado la participación de las Comunidades Autónomas en la gestión de las cuencas intercomunitarias, como tampoco lo ha hecho en relación con los aprovechamientos de interés comunitario (STC 30/2011, de 16 de marzo). Deberá en consecuencia prevalecer en este trámite incidental la presunción de constitucionalidad de la norma autonómica impugnada.</w:t>
      </w:r>
    </w:p>
    <w:p w:rsidR="006B7292" w:rsidRDefault="006B7292" w:rsidP="006B7292">
      <w:pPr>
        <w:pStyle w:val="TextoNormal"/>
      </w:pPr>
    </w:p>
    <w:p w:rsidR="006B7292" w:rsidRDefault="006B7292" w:rsidP="006B7292">
      <w:pPr>
        <w:pStyle w:val="TextoNormal"/>
      </w:pPr>
      <w:r>
        <w:t>La vigencia de las disposiciones relativas a la reserva hídrica a disposición de la Comunidad Autónoma dimanan de la legislación estatal y de la propia Constitución, por lo que procede el levantamiento de la suspensión de una norma autonómica de la que no procede inferir perjuicio alguno, dada su coincidencia con lo dispuesto por el legislador estatal en su función de planificación hidrológica. El hecho de que la reserva de agua de 6.500 hm3 no constituya una regulación prescriptiva que se imponga al legislador estatal por su mención estatutaria no merma el valor vinculante que para el mismo deriva de su inclusión en la planificación hidrológica estatal. La citada reserva hídrica a disposición de la Comunidad Autónoma de Aragón, cuya asignación de recursos para usos y demandas actuales y futuros se ha encargado de concretar el Estado en el ejercicio de su función planificadora, goza del efecto vinculante que el propio legislador estatal ha dispuesto para los planes hidrológicos, como señala la STC 227/1988, de 29 de noviembre.</w:t>
      </w:r>
    </w:p>
    <w:p w:rsidR="006B7292" w:rsidRDefault="006B7292" w:rsidP="006B7292">
      <w:pPr>
        <w:pStyle w:val="TextoNormal"/>
      </w:pPr>
    </w:p>
    <w:p w:rsidR="006B7292" w:rsidRDefault="006B7292" w:rsidP="006B7292">
      <w:pPr>
        <w:pStyle w:val="TextoNormal"/>
      </w:pPr>
      <w:r>
        <w:t>Es más, la vinculación del legislador estatal procede de la propia Constitución. El Gobierno recurrente se encuentra vinculado por el tenor literal de la Ley de aguas; el legislador estatal podrá modificarla pero no ignorarla, pues ningún poder público puede situarse al margen del Estado de Derecho (STC 237/2012, de 13 de diciembre, FJ 6).</w:t>
      </w:r>
    </w:p>
    <w:p w:rsidR="006B7292" w:rsidRDefault="006B7292" w:rsidP="006B7292">
      <w:pPr>
        <w:pStyle w:val="TextoNormal"/>
      </w:pPr>
    </w:p>
    <w:p w:rsidR="006B7292" w:rsidRDefault="006B7292" w:rsidP="006B7292">
      <w:pPr>
        <w:pStyle w:val="TextoNormal"/>
      </w:pPr>
      <w:r>
        <w:t>c) La existencia de normas autonómicas de factura idéntica a alguno de los preceptos objeto del presente recurso, respecto de las que el recurrente no ha opuesto la tacha de inconstitucionalidad que imputa al legislador aragonés, impiden el mantenimiento de la suspensión (art. 1 del Decreto 11/2013, de 13 de marzo, de la Comunidad de Castilla-La Mancha, por el que se atribuyen competencias en materia de seguridad de presas, embalses y balsas; art. 1 de la Orden TES/431/2013, de 16 de diciembre, por la que se crea y organiza el Registro de seguridad de presas y embalses de Cataluña; art. 1 del Decreto 12/2015, de 12 de marzo, de la Comunidad Autónoma de Cantabria).</w:t>
      </w:r>
    </w:p>
    <w:p w:rsidR="006B7292" w:rsidRDefault="006B7292" w:rsidP="006B7292">
      <w:pPr>
        <w:pStyle w:val="TextoNormal"/>
      </w:pPr>
    </w:p>
    <w:p w:rsidR="006B7292" w:rsidRDefault="006B7292" w:rsidP="006B7292">
      <w:pPr>
        <w:pStyle w:val="TextoNormal"/>
      </w:pPr>
      <w:r>
        <w:t>d) La categoría de los informes determinantes como un género distinto de los informes vinculantes constituye una creación del legislador estatal, y constituye una herramienta escrupulosamente respetuosa con el reparto constitucional de poder, que pretende hacer más permeables a los intereses autonómicos las decisiones del Estado, como ha señalado la doctrina, y permite la ponderación de los intereses afectados (STC 46/2007, de 1 de marzo, FJ 10) cuando se produce la concurrencia material entre dos títulos que inciden sobre un mismo espacio físico o un mismo recurso natural (aguas continentales y aprovechamientos hidráulicos de interés autonómico).</w:t>
      </w:r>
    </w:p>
    <w:p w:rsidR="006B7292" w:rsidRDefault="006B7292" w:rsidP="006B7292">
      <w:pPr>
        <w:pStyle w:val="TextoNormal"/>
      </w:pPr>
    </w:p>
    <w:p w:rsidR="006B7292" w:rsidRDefault="006B7292" w:rsidP="006B7292">
      <w:pPr>
        <w:pStyle w:val="TextoNormal"/>
      </w:pPr>
      <w:r>
        <w:t>De lo que se trata es de considerar los intereses del territorio, escuchando a la Administración autonómica implicada y, haciendo el ejercicio de ponderar la importancia relativa de cada uno de los intereses en juego, brindando la oportunidad, en definitiva, a través de una motivación pormenorizada, de modular las soluciones en atención a los legítimos intereses territoriales que convergen.</w:t>
      </w:r>
    </w:p>
    <w:p w:rsidR="006B7292" w:rsidRDefault="006B7292" w:rsidP="006B7292">
      <w:pPr>
        <w:pStyle w:val="TextoNormal"/>
      </w:pPr>
    </w:p>
    <w:p w:rsidR="006B7292" w:rsidRDefault="006B7292" w:rsidP="006B7292">
      <w:pPr>
        <w:pStyle w:val="TextoNormal"/>
      </w:pPr>
      <w:r>
        <w:t>Atendiendo al contenido de los arts. 19.2 c).2, 67 y 70 c) de la Ley impugnada, el levantamiento de la suspensión no produciría daño alguno o perjuicio a terceros, puesto que se limita a prever un mecanismo de colaboración y cooperación administrativa en orden a la adecuada coherencia del ejercicio de las competencias estatales con las competencias autonómicas que inciden sobre la materia (ATC 268/2001, de 16 de octubre).</w:t>
      </w:r>
    </w:p>
    <w:p w:rsidR="006B7292" w:rsidRDefault="006B7292" w:rsidP="006B7292">
      <w:pPr>
        <w:pStyle w:val="TextoNormal"/>
      </w:pPr>
    </w:p>
    <w:p w:rsidR="006B7292" w:rsidRDefault="006B7292" w:rsidP="006B7292">
      <w:pPr>
        <w:pStyle w:val="TextoNormal"/>
      </w:pPr>
      <w:r>
        <w:t>Con fundamento en las consideraciones anteriormente expuestas y siendo de cargo de quien insta la suspensión acreditar los perjuicios que aduce y, en su caso, la irreversibilidad de los mismos, en tanto se realiza el juicio de constitucionalidad sobre el fondo del asunto deberá prevalecer la presunción de legitimidad de la Ley impugnada, solicitándose a tal efecto el levantamiento de la suspensión.</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objeto de la presente resolución consiste en determinar si procede levantar o mantener la suspensión de la vigencia que afecta a los arts. 1.2 b), c) y d); 4 aa); 5 a) y p); 7.1; 8, en cuanto a presas y embalses; 12.2 b) y 4; 15.1 b), c) y n); 19.2 a) 1, c) 2 y c) 3; 50; 67; 69 a), d) y f) 1; 70 a) y c); 71.3; 72; 76.3 y disposición transitoria primera de la Ley 10/2014, de 27 de noviembre, de aguas y ríos de Aragón.</w:t>
      </w:r>
    </w:p>
    <w:p w:rsidR="006B7292" w:rsidRDefault="006B7292" w:rsidP="006B7292">
      <w:pPr>
        <w:pStyle w:val="TextoNormal"/>
      </w:pPr>
    </w:p>
    <w:p w:rsidR="006B7292" w:rsidRDefault="006B7292" w:rsidP="006B7292">
      <w:pPr>
        <w:pStyle w:val="TextoNormal"/>
      </w:pPr>
      <w:r>
        <w:t>El fundamento general de la impugnación de los preceptos transcritos es la vulneración del art. 149.1.22 CE y del principio de administración unitaria de las cuencas hidrográficas supracomunitarias o intercomunitarias contenido en el art. 14.1 del texto refundido de la Ley de aguas, aprobado por Real Decreto Legislativo 1/2001, de 20 de julio.</w:t>
      </w:r>
    </w:p>
    <w:p w:rsidR="006B7292" w:rsidRDefault="006B7292" w:rsidP="006B7292">
      <w:pPr>
        <w:pStyle w:val="TextoNormal"/>
      </w:pPr>
    </w:p>
    <w:p w:rsidR="006B7292" w:rsidRDefault="006B7292" w:rsidP="006B7292">
      <w:pPr>
        <w:pStyle w:val="TextoNormal"/>
      </w:pPr>
      <w:r>
        <w:t>Como posteriormente se detallará, el recurso se estructura en torno a dos grupos de preceptos: por un lado, los relacionados con la llamada reserva hídrica de 6.550 hm3, constituida en cuenca intercomunitaria, respecto de los que se impugna el reconocimiento de la competencia de esta Comunidad Autónoma para su gestión exclusiva, fragmentando con ello, según la demanda, la unidad de las cuencas del Ebro, el Tajo y el Júcar que, en razón de su carácter intercomunitario, deben ser gestionadas por el Estado de forma unitaria. Por otro lado, los preceptos que se reputan inconstitucionales por su capacidad para incidir en el ejercicio de las competencias del Estado sobre las cuencas intercomunitarias, que no se refieren en sentido estricto a la mencionada reserva hídrica.</w:t>
      </w:r>
    </w:p>
    <w:p w:rsidR="006B7292" w:rsidRDefault="006B7292" w:rsidP="006B7292">
      <w:pPr>
        <w:pStyle w:val="TextoNormal"/>
      </w:pPr>
    </w:p>
    <w:p w:rsidR="006B7292" w:rsidRDefault="006B7292" w:rsidP="006B7292">
      <w:pPr>
        <w:pStyle w:val="TextoNormal"/>
      </w:pPr>
      <w:r w:rsidRPr="006B7292">
        <w:rPr>
          <w:rStyle w:val="NumeroAFNegritaCaracter"/>
        </w:rPr>
        <w:t>2</w:t>
      </w:r>
      <w:r>
        <w:t>. Como ha quedado de manifiesto en el resumen recogido en los antecedentes de esta resolución, el contenido de buena parte de las alegaciones formuladas por las partes para postular el mantenimiento o el levantamiento de la suspensión está cabalmente dirigido a la ratificación de las posiciones mantenidas en defensa de su pretensión principal, sea estimatoria o desestimatoria, del recurso de inconstitucionalidad. Esta circunstancia aconseja que comencemos recordando que no se trata aquí de “vindicar o defender la titularidad de la competencia discutida, sino de alegar y acreditar los perjuicios irreparables o de difícil reparación que se producirían, en concreto, por la vigencia de los preceptos impugnados durante el tiempo que dure el proceso constitucional” [ATC 75/2010, de 30 de junio, FJ 2; en el mismo sentido, ATC 265/2014, de 4 de noviembre, FJ 2)]. O, por decirlo en palabras del ATC 60/2013, de 26 de febrero, “el motivo referido a la invasión competencial atiende a la defensa de la titularidad de la competencia controvertida, pero carece de entidad para alegar o acreditar, por sí mismo, los perjuicios irreparables o de difícil reparación que se producirían por la vigencia de los artículos discutidos” (FJ 5).</w:t>
      </w:r>
    </w:p>
    <w:p w:rsidR="006B7292" w:rsidRDefault="006B7292" w:rsidP="006B7292">
      <w:pPr>
        <w:pStyle w:val="TextoNormal"/>
      </w:pPr>
    </w:p>
    <w:p w:rsidR="006B7292" w:rsidRDefault="006B7292" w:rsidP="006B7292">
      <w:pPr>
        <w:pStyle w:val="TextoNormal"/>
      </w:pPr>
      <w:r>
        <w:t>La doctrina constitucional es constante: “para decidir si procede o no ratificar dentro del plazo de cinco meses que establece el art. 161.2 CE la suspensión de la Ley autonómica impugnada en un recurso de inconstitucionalidad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de la Ley impugnada.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(arts. 161.2 CE y 30 LOTC), aporte y razone con detalle los argumentos que la justifiquen, pues debe partirse en principio de la presunción de constitucionalidad de las normas objeto de recurso (por todos, AATC 355/2007, de 24 de julio, FJ 2; 225/2009, de 10 de diciembre, FJ 2; 44/2011, de 12 de abril, FJ 2; y 86/2012, de 8 de mayo, FJ 2)” (ATC 122/2015, de 7 de julio, FJ 2).</w:t>
      </w:r>
    </w:p>
    <w:p w:rsidR="006B7292" w:rsidRDefault="006B7292" w:rsidP="006B7292">
      <w:pPr>
        <w:pStyle w:val="TextoNormal"/>
      </w:pPr>
    </w:p>
    <w:p w:rsidR="006B7292" w:rsidRDefault="006B7292" w:rsidP="006B7292">
      <w:pPr>
        <w:pStyle w:val="TextoNormal"/>
      </w:pPr>
      <w:r>
        <w:t>Nuestro examen queda pues estrictamente ceñido a lo que resulta relevante para adoptar la decisión que constituye el único objeto de esta resolución, que “ha de ponderar, exclusivamente, los perjuicios que para los intereses generales o particulares puedan derivarse de una u otra medida y sin que pueda establecerse ninguna conexión entre la referida ponderación y la valoración de la legitimidad constitucional de los preceptos sometidos a debate en este proceso” (ATC 87/2011, de 8 de junio, FJ 3).</w:t>
      </w:r>
    </w:p>
    <w:p w:rsidR="006B7292" w:rsidRDefault="006B7292" w:rsidP="006B7292">
      <w:pPr>
        <w:pStyle w:val="TextoNormal"/>
      </w:pPr>
    </w:p>
    <w:p w:rsidR="006B7292" w:rsidRDefault="006B7292" w:rsidP="006B7292">
      <w:pPr>
        <w:pStyle w:val="TextoNormal"/>
      </w:pPr>
      <w:r w:rsidRPr="006B7292">
        <w:rPr>
          <w:rStyle w:val="NumeroAFNegritaCaracter"/>
        </w:rPr>
        <w:t>3</w:t>
      </w:r>
      <w:r>
        <w:t>. Analizaremos en primer lugar la procedencia de mantener o levantar la suspensión del bloque de preceptos impugnados que, según el recurso de inconstitucionalidad, están relacionados con la gestión de la reserva hídrica de 6.550 hm3 [arts 1.2 b), c) y d); 4 aa); 5 a) y p); 7.1; 12.2 b) y 4; 15.1 b), c) y n); 19.2 a) 1, y c) 2; 50; 69 a), d) y f) 1; 70 a) y c); y disposición transitoria primera]. En cuanto que se trata de un aprovechamiento hidráulico de una cuenca hidrográfica supracomunitaria, el Abogado del Estado alega la seguridad jurídica como argumento esencial para resolver sobre la suspensión. Considera que, de levantarse ésta, la atribución de competencias a la Comunidad Autónoma de Aragón sobre dicha reserva hídrica de 6.550 hm3, que actualmente gestiona el Estado, ocasionaría perjuicios al interés general de difícil o imposible reparación, al resultar imposible la aplicación simultánea de dos leyes contradictorias entre sí, planteando tanto problemas de gestión como la ruptura del principio de gestión unitaria que rige en la legislación de aguas.</w:t>
      </w:r>
    </w:p>
    <w:p w:rsidR="006B7292" w:rsidRDefault="006B7292" w:rsidP="006B7292">
      <w:pPr>
        <w:pStyle w:val="TextoNormal"/>
      </w:pPr>
    </w:p>
    <w:p w:rsidR="006B7292" w:rsidRDefault="006B7292" w:rsidP="006B7292">
      <w:pPr>
        <w:pStyle w:val="TextoNormal"/>
      </w:pPr>
      <w:r>
        <w:t>Es doctrina reiterada de este Tribunal que “los daños que pudieran ocasionarse a la seguridad jurídica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sería siempre necesaria en la medida en que en los conflictos de dicha naturaleza concurra una duplicidad de normas. Pero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 (ATC 60/2013, de 26 de febrero, FJ 5). De ahí que, en contra de lo que sostiene el Abogado del Estado, la mera existencia de dos regulaciones diferentes no puede justificar el mantenimiento de la suspensión, si no se pone de manifiesto qué perjuicios de imposible o difícil reparación pueden producirse como consecuencia de esa duplicidad normativa” (ATC 205/2014, de 22 de julio, FJ 3).</w:t>
      </w:r>
    </w:p>
    <w:p w:rsidR="006B7292" w:rsidRDefault="006B7292" w:rsidP="006B7292">
      <w:pPr>
        <w:pStyle w:val="TextoNormal"/>
      </w:pPr>
    </w:p>
    <w:p w:rsidR="006B7292" w:rsidRDefault="006B7292" w:rsidP="006B7292">
      <w:pPr>
        <w:pStyle w:val="TextoNormal"/>
      </w:pPr>
      <w:r>
        <w:t>Esta última exigencia no puede considerarse cumplida con la mera invocación de la existencia de un perjuicio de imposible o difícil reparación, sin proporcionar a este Tribunal los elementos de juicio que le permitan entrar a valorar la procedencia de mantener la suspensión mediante el estricto examen de las situaciones de hecho creadas y al margen de la viabilidad de las pretensiones que se formulen en la demanda, como tantas veces hemos señalado. Ni las alegaciones del Abogado del Estado ni el informe que las acompaña permiten considerar cumplida la carga de acreditar tales perjuicios, pues como advertimos en el ATC 205/2014, FJ 4, no basta con analizar esta cuestión desde una perspectiva abstracta, sin razonar suficientemente, a partir de las situaciones concretas que podrían producirse, sobre los perjuicios irreparables que puede ocasionar el levantamiento de la suspensión de cada uno de los preceptos impugnados.</w:t>
      </w:r>
    </w:p>
    <w:p w:rsidR="006B7292" w:rsidRDefault="006B7292" w:rsidP="006B7292">
      <w:pPr>
        <w:pStyle w:val="TextoNormal"/>
      </w:pPr>
    </w:p>
    <w:p w:rsidR="006B7292" w:rsidRDefault="006B7292" w:rsidP="006B7292">
      <w:pPr>
        <w:pStyle w:val="TextoNormal"/>
      </w:pPr>
      <w:r>
        <w:t>A ello hay que añadir que, en este caso, no cabría siquiera entrar a ponderar los eventuales perjuicios que podrían derivar de la aplicación simultánea de dos leyes contradictorias, en la medida en que sea la propia Ley de Aragón 10/2014 la que impida este resultado, al privar a una parte de sus preceptos de eficacia inmediata, como admite en diversas ocasiones el propio Abogado del Estado. Para ello, hay que partir de que, según el art. 1.2 de la Ley aragonesa objeto de este proceso, en la misma se regulan tanto “aquellas competencias exclusivas reconocidas por nuestro Estatuto de Autonomía” como “aquellas que puedan ser ejercidas por la Comunidad Autónoma mediante transferencia, encomienda o convenio con la Administración General del Estado”. Las primeras han de identificarse esencialmente con las que recaen sobre las “aguas que discurran íntegramente por su territorio” (art. 72.1 EAAr), y no están aquí en discusión. Sobre las segundas, la propia Ley aragonesa ha previsto en el citado artículo 1.2 que toda competencia autonómica que no haya sido reconocida como exclusiva por el Estatuto de Autonomía, como es el caso de las que afectan a la reserva hídrica sobre la que recae la controversia, que constituye un aprovechamiento hidráulico de una cuenca hidrográfica supracomunitaria (concretamente de la cuenca del Ebro, según precisa la disposición adicional quinta EAAr), no puede ejercerse de modo directo e inmediato, sino que requiere un previo acuerdo con el Estado, materializado a través de transferencia, encomienda o convenio. Y así lo corrobora la Ley aragonesa en su disposición transitoria primera, apartado 1, a cuyo tenor “la aplicación de las disposiciones de esta ley relativas a la participación en la tramitación de autorizaciones y concesiones, en especial sobre la reserva de agua de uso exclusivo de los aragoneses, requerirá el correspondiente traspaso de funciones y servicios de la Administración General del Estado a la Comunidad Autónoma de Aragón”.</w:t>
      </w:r>
    </w:p>
    <w:p w:rsidR="006B7292" w:rsidRDefault="006B7292" w:rsidP="006B7292">
      <w:pPr>
        <w:pStyle w:val="TextoNormal"/>
      </w:pPr>
    </w:p>
    <w:p w:rsidR="006B7292" w:rsidRDefault="006B7292" w:rsidP="006B7292">
      <w:pPr>
        <w:pStyle w:val="TextoNormal"/>
      </w:pPr>
      <w:r>
        <w:t>De este modo, el juego combinado del artículo 1.2, párrafo inicial, y de la disposición transitoria primera.1, que contienen la indicada salvedad, reiterada por lo demás a lo largo del articulado de la Ley, comporta que la eficacia de determinados preceptos queda supeditada a la concurrencia de la voluntad del Estado, resultando evidente que, de no mediar una decisión estatal que preste su consentimiento a cualquiera de las fórmulas contempladas en la Ley aragonesa (transferencia, encomienda o convenio), la gestión de la reserva hídrica de 6.550 hm3 permanece inalterada. Por este solo motivo, el levantamiento de la suspensión no es susceptible de producir los perjuicios, por lo demás genéricos, que alega el Abogado del Estado respecto de los arts. 1.2 b), c) y d); 4 aa); 5 a) y p); 7.1; 12.2 b); 15.1 b), c) y n); 19.2 a)1; 69, a), d) y f); 70, a) y c).</w:t>
      </w:r>
    </w:p>
    <w:p w:rsidR="006B7292" w:rsidRDefault="006B7292" w:rsidP="006B7292">
      <w:pPr>
        <w:pStyle w:val="TextoNormal"/>
      </w:pPr>
    </w:p>
    <w:p w:rsidR="006B7292" w:rsidRDefault="006B7292" w:rsidP="006B7292">
      <w:pPr>
        <w:pStyle w:val="TextoNormal"/>
      </w:pPr>
      <w:r w:rsidRPr="006B7292">
        <w:rPr>
          <w:rStyle w:val="NumeroAFNegritaCaracter"/>
        </w:rPr>
        <w:t>4</w:t>
      </w:r>
      <w:r>
        <w:t>. Procede seguidamente entrar en la ponderación propia de este incidente cautelar, en relación con un grupo de preceptos que, formando parte del bloque de impugnaciones relativas a la gestión de la reserva hídrica de 6.550 hm3, presentan características que los diferencian de los anteriores.</w:t>
      </w:r>
    </w:p>
    <w:p w:rsidR="006B7292" w:rsidRDefault="006B7292" w:rsidP="006B7292">
      <w:pPr>
        <w:pStyle w:val="TextoNormal"/>
      </w:pPr>
    </w:p>
    <w:p w:rsidR="006B7292" w:rsidRDefault="006B7292" w:rsidP="006B7292">
      <w:pPr>
        <w:pStyle w:val="TextoNormal"/>
      </w:pPr>
      <w:r>
        <w:t>a) El artículo 12.4 contiene un mandato dirigido expresamente a los poderes públicos aragoneses para que velen por la inscripción en el Registro de aguas de la Administración general del Estado de la reserva de agua establecida en 6.550 hm3 a favor de la Comunidad Autónoma de Aragón. Teniendo en cuenta que la norma queda circunscrita de modo que el mandato no se dirige a órganos estatales, y que “velar” no conlleva potestades concretas, sino meras pautas de orientación (STC 110/2011, de 22 de junio, FJ 9), el levantamiento de la suspensión no produce perjuicio alguno, al no ser susceptible de producir efecto vinculante que pueda influir en la práctica de las inscripciones en el Registro de aguas estatal.</w:t>
      </w:r>
    </w:p>
    <w:p w:rsidR="006B7292" w:rsidRDefault="006B7292" w:rsidP="006B7292">
      <w:pPr>
        <w:pStyle w:val="TextoNormal"/>
      </w:pPr>
    </w:p>
    <w:p w:rsidR="006B7292" w:rsidRDefault="006B7292" w:rsidP="006B7292">
      <w:pPr>
        <w:pStyle w:val="TextoNormal"/>
      </w:pPr>
      <w:r>
        <w:t>b) El artículo 19.2 c) 2 dispone que, en tanto no sea efectivo el convenio o encomienda previsto en el párrafo anterior (que no ha sido objeto de impugnación), el Instituto Aragonés del Agua emitirá informe preceptivo sobre los expedientes que tramiten los organismos de cuenca en el ejercicio de sus competencias sobre la utilización y aprovechamiento del dominio público hidráulico, informe que será determinante en lo referido a las concesiones relativas a la reserva de agua de uso exclusivo de los aragoneses.</w:t>
      </w:r>
    </w:p>
    <w:p w:rsidR="006B7292" w:rsidRDefault="006B7292" w:rsidP="006B7292">
      <w:pPr>
        <w:pStyle w:val="TextoNormal"/>
      </w:pPr>
    </w:p>
    <w:p w:rsidR="006B7292" w:rsidRDefault="006B7292" w:rsidP="006B7292">
      <w:pPr>
        <w:pStyle w:val="TextoNormal"/>
      </w:pPr>
      <w:r>
        <w:t>El carácter preceptivo del informe previsto con carácter general (por otro lado ya establecido en el ordenamiento estatal para las concesiones de aguas superficiales, art. 110.1 del Reglamento del dominio público hidráulico aprobado mediante Real Decreto 849/1986, de 11 de abril) supone la imposibilidad de identificar un perjuicio irreparable, ya que “su eficacia fundamental es de orden procedimental, no condicionando directamente y en cuanto al fondo las decisiones del Estado” (AATC 268/2001, de 16 de octubre, FJ 2; y 304/2001, de 11 de octubre, FJ 2). En cuanto al supuesto de informe “determinante” para las concesiones relativas a la reserva de agua de uso exclusivo de los aragoneses, cuyos efectos no precisa la Ley aragonesa, nuestra doctrina ya ha advertido que este tipo de informes no pueden asimilarse a los de carácter vinculante, suponiendo a lo sumo una exigencia reforzada de motivación en caso de discrepancia (STC 31/2010, de 28 de junio, FJ 117), por lo que tampoco condiciona la decisión de fondo que haya de adoptar el organismo de cuenca.</w:t>
      </w:r>
    </w:p>
    <w:p w:rsidR="006B7292" w:rsidRDefault="006B7292" w:rsidP="006B7292">
      <w:pPr>
        <w:pStyle w:val="TextoNormal"/>
      </w:pPr>
    </w:p>
    <w:p w:rsidR="006B7292" w:rsidRDefault="006B7292" w:rsidP="006B7292">
      <w:pPr>
        <w:pStyle w:val="TextoNormal"/>
      </w:pPr>
      <w:r>
        <w:t>c) Conforme a lo dispuesto por el artículo 50, el Gobierno de Aragón podrá elaborar aquellos planes de regadíos y otros usos agrarios, así como del resto de usos, que tengan por objeto el aprovechamiento de la reserva hídrica para uso exclusivo de los aragoneses, sea en el ámbito de sus competencias o mediante transferencia, encomienda o convenio con la Administración general del Estado. El eventual perjuicio “no resulta inmediatamente de lo dispuesto en este precepto legal sino que precisa, para su materialización, de medidas que, yendo más allá de la simple aplicación de la norma, complementen desde una perspectiva general las previsiones legales” que, de obstruir el ejercicio por el Estado de sus competencias podría “ser sometido al juicio de este Tribunal Constitucional (en similares términos, ATC 79/2003, de 6 de marzo, FJ 7, y las resoluciones allí citadas)” (ATC 60/2013, FJ 5).</w:t>
      </w:r>
    </w:p>
    <w:p w:rsidR="006B7292" w:rsidRDefault="006B7292" w:rsidP="006B7292">
      <w:pPr>
        <w:pStyle w:val="TextoNormal"/>
      </w:pPr>
    </w:p>
    <w:p w:rsidR="006B7292" w:rsidRDefault="006B7292" w:rsidP="006B7292">
      <w:pPr>
        <w:pStyle w:val="TextoNormal"/>
      </w:pPr>
      <w:r>
        <w:t>d) Por último, no procede mantener la suspensión de la disposición transitoria primera. Al margen de lo ya expuesto en cuanto que esta norma transitoria opera como presupuesto de la eficacia diferida de los preceptos impugnados que han quedado identificados en el fundamento jurídico 3, es manifiesto que ningún perjuicio puede ocasionar la vigencia de una norma que, habiendo condicionado la aplicación de una parte de la Ley aragonesa al previo traspaso de funciones y servicios, prevé a tal efecto abrir una negociación con la Administración general del Estado en los órganos de cooperación bilateral previstos en el Estatuto de Autonomía de Aragón. Resulta obvio que, para evitar los perjuicios que entiende irrogados, al Estado le basta con no acceder a las pretensiones que se le planteen en esa negociación bilateral.</w:t>
      </w:r>
    </w:p>
    <w:p w:rsidR="006B7292" w:rsidRDefault="006B7292" w:rsidP="006B7292">
      <w:pPr>
        <w:pStyle w:val="TextoNormal"/>
      </w:pPr>
    </w:p>
    <w:p w:rsidR="006B7292" w:rsidRDefault="006B7292" w:rsidP="006B7292">
      <w:pPr>
        <w:pStyle w:val="TextoNormal"/>
      </w:pPr>
      <w:r w:rsidRPr="006B7292">
        <w:rPr>
          <w:rStyle w:val="NumeroAFNegritaCaracter"/>
        </w:rPr>
        <w:t>5</w:t>
      </w:r>
      <w:r>
        <w:t>. De los preceptos impugnados por motivos diferentes a su relación con la gestión de la reserva hídrica de 6.550 hm3, procede señalar lo siguiente:</w:t>
      </w:r>
    </w:p>
    <w:p w:rsidR="006B7292" w:rsidRDefault="006B7292" w:rsidP="006B7292">
      <w:pPr>
        <w:pStyle w:val="TextoNormal"/>
      </w:pPr>
    </w:p>
    <w:p w:rsidR="006B7292" w:rsidRDefault="006B7292" w:rsidP="006B7292">
      <w:pPr>
        <w:pStyle w:val="TextoNormal"/>
      </w:pPr>
      <w:r>
        <w:t>a) El Abogado del Estado no alega perjuicio alguno asociado al artículo 8.1, que se limita a prever la posibilidad de creación de un registro de seguridad de presas, embalses y balsas de Aragón, cuando la competencia sobre estas infraestructuras corresponda a la Comunidad Autónoma. Se limita a indicar que su creación carece de sentido, toda vez que las presas y embalses no son de competencia autonómica, aseveración que habrá de dilucidarse en el momento de abordar examen del fondo de esta controversia.</w:t>
      </w:r>
    </w:p>
    <w:p w:rsidR="006B7292" w:rsidRDefault="006B7292" w:rsidP="006B7292">
      <w:pPr>
        <w:pStyle w:val="TextoNormal"/>
      </w:pPr>
    </w:p>
    <w:p w:rsidR="006B7292" w:rsidRDefault="006B7292" w:rsidP="006B7292">
      <w:pPr>
        <w:pStyle w:val="TextoNormal"/>
      </w:pPr>
      <w:r>
        <w:t>En esta resolución, además de reiterar lo ya dicho sobre las previsiones legales que precisan, para su materialización, de medidas que, yendo más allá de la simple aplicación de la norma, complementen desde una perspectiva general las previsiones legales (ATC 60/2013, FJ 5), solo nos cumple constatar que no se ha razonado o acreditado que la mera revisión de la existencia de este Registro autonómico produzca perjuicios que justifiquen el mantenimiento de la suspensión.</w:t>
      </w:r>
    </w:p>
    <w:p w:rsidR="006B7292" w:rsidRDefault="006B7292" w:rsidP="006B7292">
      <w:pPr>
        <w:pStyle w:val="TextoNormal"/>
      </w:pPr>
    </w:p>
    <w:p w:rsidR="006B7292" w:rsidRDefault="006B7292" w:rsidP="006B7292">
      <w:pPr>
        <w:pStyle w:val="TextoNormal"/>
      </w:pPr>
      <w:r>
        <w:t>b) Del artículo 19.2 c) 3 dice el Abogado del Estado que, salvo en los parques nacionales, no hay inconveniente en la declaración autonómica de reservas naturales fluviales como figuras de protección ambiental. Sitúa pues los perjuicios en una hipotética interpretación de que tal competencia autonómica abarque también la gestión del dominio público hidráulico en las reservas naturales fluviales.</w:t>
      </w:r>
    </w:p>
    <w:p w:rsidR="006B7292" w:rsidRDefault="006B7292" w:rsidP="006B7292">
      <w:pPr>
        <w:pStyle w:val="TextoNormal"/>
      </w:pPr>
    </w:p>
    <w:p w:rsidR="006B7292" w:rsidRDefault="006B7292" w:rsidP="006B7292">
      <w:pPr>
        <w:pStyle w:val="TextoNormal"/>
      </w:pPr>
      <w:r>
        <w:t>Sin entrar en el fondo de los motivos del recurso, es claro que más allá de esta posibilidad, que aparece formulada como mera hipótesis y que tiene que ver con el fondo de la controversia, de aquí no cabe extraer un perjuicio razonado o acreditado que justifique el mantenimiento de la suspensión de este precepto.</w:t>
      </w:r>
    </w:p>
    <w:p w:rsidR="006B7292" w:rsidRDefault="006B7292" w:rsidP="006B7292">
      <w:pPr>
        <w:pStyle w:val="TextoNormal"/>
      </w:pPr>
    </w:p>
    <w:p w:rsidR="006B7292" w:rsidRDefault="006B7292" w:rsidP="006B7292">
      <w:pPr>
        <w:pStyle w:val="TextoNormal"/>
      </w:pPr>
      <w:r>
        <w:t>c) El Abogado del Estado alega que el informe preceptivo y determinante previsto en el artículo 67 supondría que el Estado, en el ejercicio de sus propias competencias, no podría adoptar decisiones con su propio criterio, lo que causaría un perjuicio de difícil reparación en la tramitación de los planes afectados.</w:t>
      </w:r>
    </w:p>
    <w:p w:rsidR="006B7292" w:rsidRDefault="006B7292" w:rsidP="006B7292">
      <w:pPr>
        <w:pStyle w:val="TextoNormal"/>
      </w:pPr>
    </w:p>
    <w:p w:rsidR="006B7292" w:rsidRDefault="006B7292" w:rsidP="006B7292">
      <w:pPr>
        <w:pStyle w:val="TextoNormal"/>
      </w:pPr>
      <w:r>
        <w:t>Sin embargo, de la lectura del apartado 1 del precepto se desprende que el informe del Instituto Aragonés del Agua sobre actos y planes con incidencia en el territorio de las “distintas administraciones públicas” tiene únicamente carácter preceptivo; el carácter determinante del informe del Instituto Aragonés del Agua se predica en el apartado 2 solo de los informes relativos a los “instrumentos de ordenación del territorio y de planeamiento urbanístico”, por lo que no afecta a los actos y planes del Estado. Del mismo modo, los apartados 4 a 7, al hacer referencia a las “ordenanzas y actos que aprueben las entidades locales”, o a los ya mencionados instrumentos de ordenación del territorio y de planeamiento urbanístico, no comportan afectación alguna a la planificación estatal. En cuanto al apartado 3, no contiene referencia alguna al carácter determinante del informe a emitir por el Instituto Aragonés del Agua.</w:t>
      </w:r>
    </w:p>
    <w:p w:rsidR="006B7292" w:rsidRDefault="006B7292" w:rsidP="006B7292">
      <w:pPr>
        <w:pStyle w:val="TextoNormal"/>
      </w:pPr>
    </w:p>
    <w:p w:rsidR="006B7292" w:rsidRDefault="006B7292" w:rsidP="006B7292">
      <w:pPr>
        <w:pStyle w:val="TextoNormal"/>
      </w:pPr>
      <w:r>
        <w:t>De todo ello se desprende que, para los actos y planes estatales, el precepto sólo contempla la emisión de informes autonómicos a los que se confiere carácter preceptivo, pero no determinante y, desde luego, no vinculante. No cabe pues entender que las decisiones estatales quedan condicionadas en forma tal que pudieran seguirse perjuicios del alzamiento de la medida de suspensión [en el mismo sentido, AATC 268/2001, de 16 de octubre, FJ 2; y 304/2001, de 11 de diciembre, FJ 4 b)].</w:t>
      </w:r>
    </w:p>
    <w:p w:rsidR="006B7292" w:rsidRDefault="006B7292" w:rsidP="006B7292">
      <w:pPr>
        <w:pStyle w:val="TextoNormal"/>
      </w:pPr>
    </w:p>
    <w:p w:rsidR="006B7292" w:rsidRDefault="006B7292" w:rsidP="006B7292">
      <w:pPr>
        <w:pStyle w:val="TextoNormal"/>
      </w:pPr>
      <w:r>
        <w:t>d) El artículo 71.3 prevé que, en las aguas intercomunitarias, las resoluciones del organismo de cuenca en materia de autorizaciones de vertido se entenderán conformes con la propuesta formulada por el Instituto Aragonés del Agua cuando, en el plazo de tres meses, contados a partir de su fecha de entrada en el organismo de cuenca, éste no hubiera comunicado la resolución al Instituto Aragonés del Agua.</w:t>
      </w:r>
    </w:p>
    <w:p w:rsidR="006B7292" w:rsidRDefault="006B7292" w:rsidP="006B7292">
      <w:pPr>
        <w:pStyle w:val="TextoNormal"/>
      </w:pPr>
    </w:p>
    <w:p w:rsidR="006B7292" w:rsidRDefault="006B7292" w:rsidP="006B7292">
      <w:pPr>
        <w:pStyle w:val="TextoNormal"/>
      </w:pPr>
      <w:r>
        <w:t>A diferencia de los supuestos de informes preceptivos o determinantes que ya han sido previamente analizados, en este caso sí procede mantener la suspensión, al producirse un indebido condicionamiento de la decisión de fondo que, según el propio precepto, corresponde al organismo estatal de cuenca.</w:t>
      </w:r>
    </w:p>
    <w:p w:rsidR="006B7292" w:rsidRDefault="006B7292" w:rsidP="006B7292">
      <w:pPr>
        <w:pStyle w:val="TextoNormal"/>
      </w:pPr>
    </w:p>
    <w:p w:rsidR="006B7292" w:rsidRDefault="006B7292" w:rsidP="006B7292">
      <w:pPr>
        <w:pStyle w:val="TextoNormal"/>
      </w:pPr>
      <w:r>
        <w:t>e) De la propia dicción del artículo 72 se desprende que las competencias del Instituto Aragonés del Agua en relación con la policía de aguas y cauces en el territorio de Aragón dependen de que tal función ejecutiva le sea atribuida por la legislación estatal. Ninguna razón abona por tanto el mantenimiento de la suspensión de un precepto cuya eficacia está así condicionada a una previa decisión del legislador estatal.</w:t>
      </w:r>
    </w:p>
    <w:p w:rsidR="006B7292" w:rsidRDefault="006B7292" w:rsidP="006B7292">
      <w:pPr>
        <w:pStyle w:val="TextoNormal"/>
      </w:pPr>
    </w:p>
    <w:p w:rsidR="006B7292" w:rsidRDefault="006B7292" w:rsidP="006B7292">
      <w:pPr>
        <w:pStyle w:val="TextoNormal"/>
      </w:pPr>
      <w:r>
        <w:t>f) El artículo 76.3 plantea el mismo problema que el artículo 71.3, en este caso en relación con las concesiones o autorizaciones de reutilización de aguas regeneradas en el ámbito de las cuencas intercomunitarias.</w:t>
      </w:r>
    </w:p>
    <w:p w:rsidR="006B7292" w:rsidRDefault="006B7292" w:rsidP="006B7292">
      <w:pPr>
        <w:pStyle w:val="TextoNormal"/>
      </w:pPr>
    </w:p>
    <w:p w:rsidR="006B7292" w:rsidRDefault="006B7292" w:rsidP="006B7292">
      <w:pPr>
        <w:pStyle w:val="TextoNormal"/>
      </w:pPr>
      <w:r>
        <w:t>Las razones allí expuestas conducen también en este caso al mantenimiento de la suspensión.</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1º Mantener la suspensión de los arts. 71.3 y 76.3 de la Ley 10/2014, de 27 de noviembre, de aguas y ríos de Aragón.</w:t>
      </w:r>
    </w:p>
    <w:p w:rsidR="006B7292" w:rsidRDefault="006B7292" w:rsidP="006B7292">
      <w:pPr>
        <w:pStyle w:val="TextoNormal"/>
      </w:pPr>
    </w:p>
    <w:p w:rsidR="006B7292" w:rsidRDefault="006B7292" w:rsidP="006B7292">
      <w:pPr>
        <w:pStyle w:val="TextoNormal"/>
      </w:pPr>
      <w:r>
        <w:t>2º Levantar la suspensión de los artículos 1.2 b), c) y d); 4 aa); 5 a) y p); 7.1; 8, en cuanto a presas y embalses; 12.2 b) y 4; 15.1 b), c) y n); 19.2 a) 1, c) 2 y c) 3; 50; 67; 69 a), d) y f) 1; 70 a) y c); 72; y de la disposición transitoria primera de la misma Ley 10/2014.</w:t>
      </w:r>
    </w:p>
    <w:p w:rsidR="006B7292" w:rsidRDefault="006B7292" w:rsidP="006B7292">
      <w:pPr>
        <w:pStyle w:val="TextoNormal"/>
      </w:pPr>
    </w:p>
    <w:p w:rsidR="006B7292" w:rsidRDefault="006B7292" w:rsidP="006B7292">
      <w:pPr>
        <w:pStyle w:val="TextoNormal"/>
      </w:pPr>
      <w:r>
        <w:t>Madrid, a quince de diciembre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41" w:name="AUTO_2015_227"/>
      <w:r>
        <w:t>AUTO 227/2015, de 15 de diciembre de 2015</w:t>
      </w:r>
    </w:p>
    <w:bookmarkEnd w:id="241"/>
    <w:p w:rsidR="006B7292" w:rsidRDefault="006B7292" w:rsidP="006B7292">
      <w:pPr>
        <w:pStyle w:val="TtuloResolucin"/>
      </w:pPr>
      <w:r>
        <w:t>Pleno</w:t>
      </w:r>
    </w:p>
    <w:p w:rsidR="006B7292" w:rsidRDefault="006B7292" w:rsidP="006B7292">
      <w:pPr>
        <w:pStyle w:val="TextoNormalCentrado"/>
      </w:pPr>
      <w:r>
        <w:t>ECLI:ES:TC:2015:227A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Inadmite a trámite la cuestión de inconstitucionalidad 4735-2015, planteada por el Juzgado de lo Contencioso-Administrativo núm. 2 de Castellón de la Plana en relación con la disposición adicional segunda de la Ley 4/2013, de 4 de junio, de medidas para la flexibilización y fomento del mercado del alquiler de viviendas. Voto particular.</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Por escrito registrado en este Tribunal el día 7 de agosto de 2015, el Juzgado de lo Contencioso-Administrativo núm. 2 de Castellón de la Plana remitió testimonio del Auto de 12 de junio de 2015 por el que se acordó plantear cuestión de inconstitucionalidad en relación con la disposición adicional segunda de la Ley 4/2013, de 4 de junio, de medidas de flexibilización y fomento del mercado del alquiler de viviendas, por entenderla contraria al art. 9.3 CE, en su vertiente de prohibición de retroactividad de disposiciones sancionadoras no favorables o restrictivas de derechos, y al art. 33.3 CE.</w:t>
      </w:r>
    </w:p>
    <w:p w:rsidR="006B7292" w:rsidRDefault="006B7292" w:rsidP="006B7292">
      <w:pPr>
        <w:pStyle w:val="TextoNormal"/>
      </w:pPr>
    </w:p>
    <w:p w:rsidR="006B7292" w:rsidRDefault="006B7292" w:rsidP="006B7292">
      <w:pPr>
        <w:pStyle w:val="TextoNormal"/>
      </w:pPr>
      <w:r>
        <w:t>El precepto cuestionado tiene el siguiente tenor:</w:t>
      </w:r>
    </w:p>
    <w:p w:rsidR="006B7292" w:rsidRDefault="006B7292" w:rsidP="006B7292">
      <w:pPr>
        <w:pStyle w:val="TextoNormal"/>
      </w:pPr>
    </w:p>
    <w:p w:rsidR="006B7292" w:rsidRDefault="006B7292" w:rsidP="006B7292">
      <w:pPr>
        <w:pStyle w:val="TextoNormal"/>
      </w:pPr>
      <w:r>
        <w:t>“Disposición Adicional segunda. Régimen aplicable a las ayudas de los Planes Estatales de Vivienda y Renta Básica de Emancipación.</w:t>
      </w:r>
    </w:p>
    <w:p w:rsidR="006B7292" w:rsidRDefault="006B7292" w:rsidP="006B7292">
      <w:pPr>
        <w:pStyle w:val="TextoNormal"/>
      </w:pPr>
    </w:p>
    <w:p w:rsidR="006B7292" w:rsidRDefault="006B7292" w:rsidP="006B7292">
      <w:pPr>
        <w:pStyle w:val="TextoNormal"/>
      </w:pPr>
      <w:r>
        <w:t>A partir de la entrada en vigor de esta Ley será de aplicación el siguiente régimen a las ayudas de subsidiación de préstamos, Ayudas Estatales Directas a la Entrada y subvenciones reguladas en los Planes Estatales de Vivienda cuyos efectos se mantengan a la entrada en vigor de esta Ley y a las ayudas de Renta Básica de Emancipación establecidas por el Real Decreto 1472/ 2007, de 2 de noviembre:</w:t>
      </w:r>
    </w:p>
    <w:p w:rsidR="006B7292" w:rsidRDefault="006B7292" w:rsidP="006B7292">
      <w:pPr>
        <w:pStyle w:val="TextoNormal"/>
      </w:pPr>
    </w:p>
    <w:p w:rsidR="006B7292" w:rsidRDefault="006B7292" w:rsidP="006B7292">
      <w:pPr>
        <w:pStyle w:val="TextoNormal"/>
      </w:pPr>
      <w:r>
        <w:t>a) Se mantienen las ayudas de subsidiación de préstamos convenidos que se vinieran percibiendo.</w:t>
      </w:r>
    </w:p>
    <w:p w:rsidR="006B7292" w:rsidRDefault="006B7292" w:rsidP="006B7292">
      <w:pPr>
        <w:pStyle w:val="TextoNormal"/>
      </w:pPr>
    </w:p>
    <w:p w:rsidR="006B7292" w:rsidRDefault="006B7292" w:rsidP="006B7292">
      <w:pPr>
        <w:pStyle w:val="TextoNormal"/>
      </w:pPr>
      <w:r>
        <w:t>Asimismo se mantienen las ayudas de subsidiación de préstamos convenidos reconocidas, con anterioridad al 15 de julio de 2012, que cuenten con la conformidad del Ministerio de Fomento al préstamo, siempre que éste se formalice por el beneficiario en el plazo máximo de dos meses desde la entrada en vigor de esta Ley.</w:t>
      </w:r>
    </w:p>
    <w:p w:rsidR="006B7292" w:rsidRDefault="006B7292" w:rsidP="006B7292">
      <w:pPr>
        <w:pStyle w:val="TextoNormal"/>
      </w:pPr>
    </w:p>
    <w:p w:rsidR="006B7292" w:rsidRDefault="006B7292" w:rsidP="006B7292">
      <w:pPr>
        <w:pStyle w:val="TextoNormal"/>
      </w:pPr>
      <w:r>
        <w:t>Quedan suprimidas y sin efectos el resto de ayudas de subsidiación al préstamo reconocidas dentro del marco de los Planes Estatales de Vivienda.</w:t>
      </w:r>
    </w:p>
    <w:p w:rsidR="006B7292" w:rsidRDefault="006B7292" w:rsidP="006B7292">
      <w:pPr>
        <w:pStyle w:val="TextoNormal"/>
      </w:pPr>
    </w:p>
    <w:p w:rsidR="006B7292" w:rsidRDefault="006B7292" w:rsidP="006B7292">
      <w:pPr>
        <w:pStyle w:val="TextoNormal"/>
      </w:pPr>
      <w:r>
        <w:t>No se admitirán nuevos reconocimientos de ayudas de subsidiación de préstamos que procedan de concesiones, renovaciones, prórrogas, subrogaciones o de cualquier otra actuación protegida de los planes estatales de vivienda.</w:t>
      </w:r>
    </w:p>
    <w:p w:rsidR="006B7292" w:rsidRDefault="006B7292" w:rsidP="006B7292">
      <w:pPr>
        <w:pStyle w:val="TextoNormal"/>
      </w:pPr>
    </w:p>
    <w:p w:rsidR="006B7292" w:rsidRDefault="006B7292" w:rsidP="006B7292">
      <w:pPr>
        <w:pStyle w:val="TextoNormal"/>
      </w:pPr>
      <w:r>
        <w:t>b) Las Ayudas Estatales Directas a la Entrada que subsisten conforme a la disposición transitoria primera del Real Decreto 1713/ 2010, de 17 de diciembre, sólo podrán obtenerse cuando cuenten con la conformidad expresa del Ministerio de Fomento a la entrada en vigor de esta Ley, y siempre que el beneficiario formalice el préstamo en un plazo de dos meses desde la entrada en vigor de la misma.</w:t>
      </w:r>
    </w:p>
    <w:p w:rsidR="006B7292" w:rsidRDefault="006B7292" w:rsidP="006B7292">
      <w:pPr>
        <w:pStyle w:val="TextoNormal"/>
      </w:pPr>
    </w:p>
    <w:p w:rsidR="006B7292" w:rsidRDefault="006B7292" w:rsidP="006B7292">
      <w:pPr>
        <w:pStyle w:val="TextoNormal"/>
      </w:pPr>
      <w:r>
        <w:t>c) Se mantienen las ayudas del programa de inquilinos, ayudas a las áreas de rehabilitación integral y renovación urbana, rehabilitación aislada y programa RENOVE, acogidas a los Planes Estatales de Vivienda hasta que sean efectivas las nuevas líneas de ayudas del Plan Estatal de Fomento del Alquiler de viviendas, la rehabilitación edificatoria y la regeneración y renovación urbanas, 2013- 2016. Se suprimen y quedan sin efecto el resto de subvenciones acogidas a los Planes Estatales de Vivienda.</w:t>
      </w:r>
    </w:p>
    <w:p w:rsidR="006B7292" w:rsidRDefault="006B7292" w:rsidP="006B7292">
      <w:pPr>
        <w:pStyle w:val="TextoNormal"/>
      </w:pPr>
    </w:p>
    <w:p w:rsidR="006B7292" w:rsidRDefault="006B7292" w:rsidP="006B7292">
      <w:pPr>
        <w:pStyle w:val="TextoNormal"/>
      </w:pPr>
      <w:r>
        <w:t>d) Las ayudas de Renta Básica de Emancipación reguladas en el Real Decreto 1472/ 2007, de 2 de noviembre, que subsisten a la supresión realizada por el Real Decreto- ley 20/ 2011, de 30 de diciembre, y por el Real Decreto- ley 20/ 2012, de 13 de julio, se mantienen hasta que sean efectivas las nuevas líneas de ayudas, del Plan Estatal de Fomento del Alquiler de viviendas, la rehabilitación edificatoria y la regeneración y renovación urbanas 2013- 2016.”</w:t>
      </w:r>
    </w:p>
    <w:p w:rsidR="006B7292" w:rsidRDefault="006B7292" w:rsidP="006B7292">
      <w:pPr>
        <w:pStyle w:val="TextoNormal"/>
      </w:pPr>
    </w:p>
    <w:p w:rsidR="006B7292" w:rsidRDefault="006B7292" w:rsidP="006B7292">
      <w:pPr>
        <w:pStyle w:val="TextoNormal"/>
      </w:pPr>
      <w:r w:rsidRPr="006B7292">
        <w:rPr>
          <w:rStyle w:val="NumeroAFNegritaCaracter"/>
        </w:rPr>
        <w:t>2</w:t>
      </w:r>
      <w:r>
        <w:t>. Los antecedentes de hecho del planteamiento de la cuestión de inconstitucionalidad son, sucintamente expuestos, los siguientes:</w:t>
      </w:r>
    </w:p>
    <w:p w:rsidR="006B7292" w:rsidRDefault="006B7292" w:rsidP="006B7292">
      <w:pPr>
        <w:pStyle w:val="TextoNormal"/>
      </w:pPr>
    </w:p>
    <w:p w:rsidR="006B7292" w:rsidRDefault="006B7292" w:rsidP="006B7292">
      <w:pPr>
        <w:pStyle w:val="TextoNormal"/>
      </w:pPr>
      <w:r>
        <w:t>a) Con fecha 22 de julio de 2008, a don Ricardo Soria Sánchez y doña Belén Mas Beltrán se les concedió la subsidiación del préstamo convenido en la cuantía de 82 € mensuales por cada 10.000 € de préstamo durante “diez años”, de acuerdo con el art. 23 del Real Decreto 801/2005 y en el marco del plan de vivienda 2005-2008.</w:t>
      </w:r>
    </w:p>
    <w:p w:rsidR="006B7292" w:rsidRDefault="006B7292" w:rsidP="006B7292">
      <w:pPr>
        <w:pStyle w:val="TextoNormal"/>
      </w:pPr>
    </w:p>
    <w:p w:rsidR="006B7292" w:rsidRDefault="006B7292" w:rsidP="006B7292">
      <w:pPr>
        <w:pStyle w:val="TextoNormal"/>
      </w:pPr>
      <w:r>
        <w:t>De conformidad con la resolución indicada y la normativa aplicable, dentro del quinto año del periodo de subsidiación —en concreto el 21 de junio de 2013— los interesados solicitaron la prórroga de la subsidiación inicialmente concedida, por reunir los requisitos legalmente establecidos.</w:t>
      </w:r>
    </w:p>
    <w:p w:rsidR="006B7292" w:rsidRDefault="006B7292" w:rsidP="006B7292">
      <w:pPr>
        <w:pStyle w:val="TextoNormal"/>
      </w:pPr>
    </w:p>
    <w:p w:rsidR="006B7292" w:rsidRDefault="006B7292" w:rsidP="006B7292">
      <w:pPr>
        <w:pStyle w:val="TextoNormal"/>
      </w:pPr>
      <w:r>
        <w:t>La Administración competente, a través del servicio territorial de Castellón, resolvió inadmitir la solicitud de prórroga de la subsidiación, por cuanto se había solicitado tras la entrada en vigor de la Ley 4/2013, de 4 de junio, de medidas de flexibilización y fomento del mercado del alquiler de viviendas.</w:t>
      </w:r>
    </w:p>
    <w:p w:rsidR="006B7292" w:rsidRDefault="006B7292" w:rsidP="006B7292">
      <w:pPr>
        <w:pStyle w:val="TextoNormal"/>
      </w:pPr>
    </w:p>
    <w:p w:rsidR="006B7292" w:rsidRDefault="006B7292" w:rsidP="006B7292">
      <w:pPr>
        <w:pStyle w:val="TextoNormal"/>
      </w:pPr>
      <w:r>
        <w:t>b) Los interesados presentaron recurso de alzada contra dicha decisión y, posteriormente, recurso contencioso-administrativo frente a la desestimación del citado recurso de alzada, basada en los mismos motivos que la resolución originaria recurrida. El recurso contencioso-administrativo se fundamenta en la vulneración del principio de irretroactividad de las normas sancionadoras no favorables o restrictivas de derechos individuales (art. 9.3 CE) y del principio de buena fe y confianza legítima (art. 3 de la Ley de régimen jurídico de las Administraciones públicas y del procedimiento administrativo común), esto último en cuanto que un artículo que afecta al plan estatal de vivienda y rehabilitación 2009-2012 es aplicado a subvenciones otorgadas de conformidad con un plan de vivienda anterior.</w:t>
      </w:r>
    </w:p>
    <w:p w:rsidR="006B7292" w:rsidRDefault="006B7292" w:rsidP="006B7292">
      <w:pPr>
        <w:pStyle w:val="TextoNormal"/>
      </w:pPr>
    </w:p>
    <w:p w:rsidR="006B7292" w:rsidRDefault="006B7292" w:rsidP="006B7292">
      <w:pPr>
        <w:pStyle w:val="TextoNormal"/>
      </w:pPr>
      <w:r>
        <w:t>c) Con fecha de 25 de marzo de 2015 el Juzgado de lo Contencioso-Administrativo núm. 2 de Castellón dictó una providencia con el siguiente contenido: “dada cuenta, de conformidad con el art. 35 LOTC, en relación con el artículo 163 de la CE, vista la posible inconstitucionalidad de la disposición Adicional de la Ley 4/2013, de 4 de julio, este Juzgado ha decidido (</w:t>
      </w:r>
      <w:r w:rsidRPr="006B7292">
        <w:rPr>
          <w:i/>
        </w:rPr>
        <w:t>sic</w:t>
      </w:r>
      <w:r>
        <w:t>) plantear la cuestión de inconstitucionalidad ante el TC de la citada norma, pues entiende que concurren los requisitos para plantearla, por lo que al amparo de los citados artículos se da traslado a las partes y al Ministerio Fiscal, por plazo común de diez días, para que puedan alegar sobre la pertinencia de plantear la cuestión de inconstitucionalidad o sobre el fondo de ésta”.</w:t>
      </w:r>
    </w:p>
    <w:p w:rsidR="006B7292" w:rsidRDefault="006B7292" w:rsidP="006B7292">
      <w:pPr>
        <w:pStyle w:val="TextoNormal"/>
      </w:pPr>
    </w:p>
    <w:p w:rsidR="006B7292" w:rsidRDefault="006B7292" w:rsidP="006B7292">
      <w:pPr>
        <w:pStyle w:val="TextoNormal"/>
      </w:pPr>
      <w:r>
        <w:t>d) El 8 de abril se presenta en el decanato de los Juzgados de Castellón el escrito de alegaciones de la parte actora. En dicho escrito la parte recurrente se opone al planteamiento de la cuestión, en tanto se considera que los recurrentes tienen un derecho “ya reconocido” o consolidado y que por ello la nueva ley no puede privarles del mismo. Señala que los actores necesitan de forma urgente esta ayuda y que el Juzgado se ha pronunciado ya en contra el planteamiento de la cuestión en otros asuntos idénticos (procedimientos abreviados núms. 404-2013 y 173-2013).</w:t>
      </w:r>
    </w:p>
    <w:p w:rsidR="006B7292" w:rsidRDefault="006B7292" w:rsidP="006B7292">
      <w:pPr>
        <w:pStyle w:val="TextoNormal"/>
      </w:pPr>
    </w:p>
    <w:p w:rsidR="006B7292" w:rsidRDefault="006B7292" w:rsidP="006B7292">
      <w:pPr>
        <w:pStyle w:val="TextoNormal"/>
      </w:pPr>
      <w:r>
        <w:t>e) El 31 de marzo de 2015 tiene entrada en el mismo Decanato el escrito de alegaciones del Abogado de la Generalitat Valenciana. En dicho escrito se afirma, en primer lugar, la constitucionalidad de la disposición adicional segunda de la Ley 4/2013: se rechaza su carácter retroactivo; señala que se limita a impedir la concesión de nuevas ayudas, renovación, prórrogas o subrogaciones; y recuerda que el art. 35 del Real Decreto-ley 20/2012, de 13 de julio, de medidas para garantizar la estabilidad presupuestaria, ya suprimió todas las ayudas de subsidiación de préstamos contenidos del plan estatal de viviendas y rehabilitación 2009-2012. En segundo lugar, alega que no se opone ni a la suspensión del procedimiento en el estado en que se encuentra hasta que se resuelva el recurso de inconstitucionalidad núm. 5108-2013 interpuesto contra la disposición adicional segunda de la Ley 4/2013 ni al planteamiento de la cuestión de inconstitucionalidad propuesta por el Juzgado.</w:t>
      </w:r>
    </w:p>
    <w:p w:rsidR="006B7292" w:rsidRDefault="006B7292" w:rsidP="006B7292">
      <w:pPr>
        <w:pStyle w:val="TextoNormal"/>
      </w:pPr>
    </w:p>
    <w:p w:rsidR="006B7292" w:rsidRDefault="006B7292" w:rsidP="006B7292">
      <w:pPr>
        <w:pStyle w:val="TextoNormal"/>
      </w:pPr>
      <w:r>
        <w:t>f) En escrito de 28 de abril de 2015 el Ministerio Fiscal, tras recordar el tenor del art. 35.2 de la Ley Orgánica del Tribunal Constitucional (LOTC) y la doctrina del Tribunal Constitucional (ATC 35/2012, de 12 de febrero, FJ 4), señala que la providencia de 25 de marzo de 2015 no concreta el precepto constitucional que se supone infringido, ni especifica o justifica en qué medida la decisión del proceso depende de la validez de la norma en cuestión. Considera que ello es causa de inadmisión por razones estrictamente procesales (art. 37.1 LOTC).</w:t>
      </w:r>
    </w:p>
    <w:p w:rsidR="006B7292" w:rsidRDefault="006B7292" w:rsidP="006B7292">
      <w:pPr>
        <w:pStyle w:val="TextoNormal"/>
      </w:pPr>
    </w:p>
    <w:p w:rsidR="006B7292" w:rsidRDefault="006B7292" w:rsidP="006B7292">
      <w:pPr>
        <w:pStyle w:val="TextoNormal"/>
      </w:pPr>
      <w:r>
        <w:t>g) Mediante nueva providencia de 4 de mayo de 2015 el Juzgado de lo Contencioso-Administrativo núm. 2 de Castellón procede a subsanar el defecto denunciado, dando nuevo traslado de diez días para que se realicen alegaciones al amparo del art. 35 LOTC, con la finalidad de evitar una eventual inadmisión por motivos procesales de la cuestión por el Tribunal Constitucional.</w:t>
      </w:r>
    </w:p>
    <w:p w:rsidR="006B7292" w:rsidRDefault="006B7292" w:rsidP="006B7292">
      <w:pPr>
        <w:pStyle w:val="TextoNormal"/>
      </w:pPr>
    </w:p>
    <w:p w:rsidR="006B7292" w:rsidRDefault="006B7292" w:rsidP="006B7292">
      <w:pPr>
        <w:pStyle w:val="TextoNormal"/>
      </w:pPr>
      <w:r>
        <w:t>La nueva providencia señala que la decisión del Tribunal Constitucional sobre la constitucionalidad de la norma sería determinante para el sentido del fallo, pues en caso de considerarse constitucional la citada norma, se podría entender que la disposición adicional segunda ampara la decisión del acto administrativo; y en caso contrario, la decisión del acto administrativo quedaría sin cobertura jurídica. También se afirma que la citada norma podría vulnerar el art. 9.3 CE, en cuanto garantiza la irretroactividad de las disposiciones sancionadoras no favorables o restrictivas de derechos individuales, así como el art. 33.3 CE, “ello en los términos que esgrimen en el recurso de inconstitucionalidad 5108/2013, que ha sido admitido a trámite por el Tribunal Constitucional”.</w:t>
      </w:r>
    </w:p>
    <w:p w:rsidR="006B7292" w:rsidRDefault="006B7292" w:rsidP="006B7292">
      <w:pPr>
        <w:pStyle w:val="TextoNormal"/>
      </w:pPr>
    </w:p>
    <w:p w:rsidR="006B7292" w:rsidRDefault="006B7292" w:rsidP="006B7292">
      <w:pPr>
        <w:pStyle w:val="TextoNormal"/>
      </w:pPr>
      <w:r>
        <w:t>h) Con fecha 18 de mayo de 2015 el Ministerio Fiscal adopta nuevo escrito por el que se despacha el traslado conferido por providencia de 4 de mayo de 2015, en el que se reitera en el anterior informe y afirma que de la resolución del órgano judicial no resulta que la cuestión de inconstitucionalidad que se alega sea planteable, ya que la función de la misma no puede ser la de dirimir controversias interpretativas sobre la legalidad planteables entre órganos jurisdiccionales o la de resolver dudas sobre el alcance de un determinado precepto legal. Se reitera en el no cumplimiento de los requisitos legales del art. 35.2 LOTC, pues el órgano judicial no justifica en qué medida la decisión del proceso depende de la validez de la norma cuestionada. El resto de las partes no formularon alegaciones.</w:t>
      </w:r>
    </w:p>
    <w:p w:rsidR="006B7292" w:rsidRDefault="006B7292" w:rsidP="006B7292">
      <w:pPr>
        <w:pStyle w:val="TextoNormal"/>
      </w:pPr>
    </w:p>
    <w:p w:rsidR="006B7292" w:rsidRDefault="006B7292" w:rsidP="006B7292">
      <w:pPr>
        <w:pStyle w:val="TextoNormal"/>
      </w:pPr>
      <w:r w:rsidRPr="006B7292">
        <w:rPr>
          <w:rStyle w:val="NumeroAFNegritaCaracter"/>
        </w:rPr>
        <w:t>3</w:t>
      </w:r>
      <w:r>
        <w:t>. Por Auto de 12 de junio de 2015 el Juzgado acordó plantear cuestión de inconstitucionalidad respecto a la disposición adicional segunda de la Ley 4/2013, de 4 de junio, de medidas de flexibilización y fomento del mercado del alquiler de viviendas.</w:t>
      </w:r>
    </w:p>
    <w:p w:rsidR="006B7292" w:rsidRDefault="006B7292" w:rsidP="006B7292">
      <w:pPr>
        <w:pStyle w:val="TextoNormal"/>
      </w:pPr>
    </w:p>
    <w:p w:rsidR="006B7292" w:rsidRDefault="006B7292" w:rsidP="006B7292">
      <w:pPr>
        <w:pStyle w:val="TextoNormal"/>
      </w:pPr>
      <w:r>
        <w:t>El Auto comienza con una exposición de los antecedentes del caso y del resultado del trámite de audiencia. Tras ello, inicia sus razonamientos jurídicos explicando que ha sido el “estudio profundo” del objeto del debate el que le ha llevado a apartarse de sus precedentes (procedimientos abreviados núms. 404-2013 y 173-2013) en los que acordó no suspender el procedimiento hasta la resolución del recurso de inconstitucionalidad núm. 5108-2013, antes citado, interpuesto contra la misma disposición.</w:t>
      </w:r>
    </w:p>
    <w:p w:rsidR="006B7292" w:rsidRDefault="006B7292" w:rsidP="006B7292">
      <w:pPr>
        <w:pStyle w:val="TextoNormal"/>
      </w:pPr>
    </w:p>
    <w:p w:rsidR="006B7292" w:rsidRDefault="006B7292" w:rsidP="006B7292">
      <w:pPr>
        <w:pStyle w:val="TextoNormal"/>
      </w:pPr>
      <w:r>
        <w:t>Esto sentado, señala que la decisión sobre la constitucionalidad de la norma sería determinante del sentido del fallo, pues en el caso de considerarse constitucional la norma se podría entender que “visto que no estamos ante un derecho adquirido del actor, sino ante una solicitud de prórroga, y por lo tanto, ante una expectativa de derecho del actor, la citada Disposición Adicional Segunda ampara la decisión del acto administrativo. No obstante, caso de resolverse por el Tribunal Constitucional al que tengo el honor de dirigirme que la citada Disposición Adicional Segunda de la Ley 4/2013, de 4 de junio, de medidas de flexibilización y fomento del mercado del alquiler de viviendas es inconstitucional, la decisión del acto administrativo quedaría sin cobertura jurídica”.</w:t>
      </w:r>
    </w:p>
    <w:p w:rsidR="006B7292" w:rsidRDefault="006B7292" w:rsidP="006B7292">
      <w:pPr>
        <w:pStyle w:val="TextoNormal"/>
      </w:pPr>
    </w:p>
    <w:p w:rsidR="006B7292" w:rsidRDefault="006B7292" w:rsidP="006B7292">
      <w:pPr>
        <w:pStyle w:val="TextoNormal"/>
      </w:pPr>
      <w:r>
        <w:t>Expuesto lo anterior estima que procede el planteamiento de la cuestión de inconstitucionalidad por vulneración del art. 9.3 CE, en cuanto establece la garantía de la irretroactividad de las disposiciones sancionadoras no favorables o restrictivas de derechos individuales y por vulneración del art. 33.3 CE, planteamiento que se realiza en los mismos términos que se esgrimen en el recurso de inconstitucionalidad 5108-2013.</w:t>
      </w:r>
    </w:p>
    <w:p w:rsidR="006B7292" w:rsidRDefault="006B7292" w:rsidP="006B7292">
      <w:pPr>
        <w:pStyle w:val="TextoNormal"/>
      </w:pPr>
    </w:p>
    <w:p w:rsidR="006B7292" w:rsidRDefault="006B7292" w:rsidP="006B7292">
      <w:pPr>
        <w:pStyle w:val="TextoNormal"/>
      </w:pPr>
      <w:r>
        <w:t>Entrando ya a exponer las dudas de inconstitucionalidad, el órgano judicial dedica un primer bloque de alegaciones a analizar la naturaleza de las ayudas a la adquisición de viviendas de protección oficial y el mantenimiento de las situaciones jurídicas preexistentes. El órgano judicial invoca el art. 47 CE y otros instrumentos internacionales que se refieren al derecho a una vivienda digna, como la Carta social europea (art. 31) y la Declaración universal de derechos humanos (art. 25.1). A continuación se explica con detalle el funcionamiento del sistema de subsidiación de préstamos cualificados para viviendas protegidas en sucesivas normas, coincidentes generalmente con la aprobación de los planes estatales de vivienda (Reales Decretos 1/2002, de 11 de enero, sobre medias de financiación de actuaciones protegidas en materia de vivienda y suelo del plan 2002-2005; 801/2005, de 1 de julio, por el que se aprueba el plan estatal 2005-2008, para favorecer el acceso de los ciudadanos a la vivienda; y 2066/2008, de 12 de diciembre, por el que se regula el plan estatal de vivienda y rehabilitación 2009-2012). Se arguye que la disposición adicional segunda de la Ley 4/2013 viene a suprimir incluso las ayudas ya concedidas, rompiendo con un criterio constante en el ordenamiento sectorial de mantenimiento de las situaciones jurídicas preexistentes. El respeto de las situaciones jurídicas consolidadas es especialmente necesario cuando afecta a derechos constitucionalmente reconocidos, como es el derecho a una vivienda, en este caso de protección oficial. Más aún cuando la adquisición de una vivienda requiere una programación económica a largo plazo, materializada en préstamos hipotecarios que vinculan durante un largo periodo de tiempo, y cuyas condiciones [de los préstamos] son esenciales a la hora de adoptar decisiones al respecto.</w:t>
      </w:r>
    </w:p>
    <w:p w:rsidR="006B7292" w:rsidRDefault="006B7292" w:rsidP="006B7292">
      <w:pPr>
        <w:pStyle w:val="TextoNormal"/>
      </w:pPr>
    </w:p>
    <w:p w:rsidR="006B7292" w:rsidRDefault="006B7292" w:rsidP="006B7292">
      <w:pPr>
        <w:pStyle w:val="TextoNormal"/>
      </w:pPr>
      <w:r>
        <w:t>En segundo lugar, se alega la violación de la interdicción de la retroactividad respecto de situaciones ya perfeccionadas. La vulneración de la garantía contenida en el art. 9.3 CE trae causa de tres circunstancias: la medida cuestionada tiene efecto retroactivo; restringe derechos individuales; y el derecho subjetivo afectado se encuentra plenamente adquirido. En particular se afirma que “este juzgador entiende … que la Disposición Adicional Segunda de la Ley 4/2013, de 4 de junio, de medidas de flexibilización y fomento del mercado del alquiler de viviendas, establece una retroactividad auténtica, una retroactividad de grado máximo a todos los efectos”; que se trata de una restricción de un derecho individual en los términos previstos por el art. 9.3 CE en relación con el art. 47 CE, esto es, en relación con un derecho constitucionalizado, aunque lo relevante para el Tribunal Constitucional —según el órgano judicial— es que se trate de “derechos consolidados” sin necesaria vinculación con derechos fundamentales (SSTC 65/1987, de 21 de mayo, 99/1987, de 11 de junio); y que se trata de derechos subjetivos incorporados al patrimonio jurídico del beneficiario de la ayuda, y que la renovación solo requiere la acreditación del dato objetivo del mantenimiento de las condiciones socio-económicas que justificaron la concesión.</w:t>
      </w:r>
    </w:p>
    <w:p w:rsidR="006B7292" w:rsidRDefault="006B7292" w:rsidP="006B7292">
      <w:pPr>
        <w:pStyle w:val="TextoNormal"/>
      </w:pPr>
    </w:p>
    <w:p w:rsidR="006B7292" w:rsidRDefault="006B7292" w:rsidP="006B7292">
      <w:pPr>
        <w:pStyle w:val="TextoNormal"/>
      </w:pPr>
      <w:r>
        <w:t>A mayor abundamiento se señala, por una parte, que estaría en juego el principio de protección de la confianza legítima reconocido por el Tribunal de Justicia de la Unión Europea, conforme al cual se protege la confianza de los ciudadanos que ajustan su conducta económica a la legislación vigente frente a cambios normativos que no sean razonablemente previsibles (SSTC 150/1990, de 4 de octubre, y 234/2001, de 13 de diciembre); y, por otra, que en un Estado social y democrático de Derecho, la seguridad jurídica implica también la necesidad de que el Estado no pueda abrogar aquellas normas que están precisamente destinadas a dotar de una mínima garantía a determinados grupos sociales.</w:t>
      </w:r>
    </w:p>
    <w:p w:rsidR="006B7292" w:rsidRDefault="006B7292" w:rsidP="006B7292">
      <w:pPr>
        <w:pStyle w:val="TextoNormal"/>
      </w:pPr>
    </w:p>
    <w:p w:rsidR="006B7292" w:rsidRDefault="006B7292" w:rsidP="006B7292">
      <w:pPr>
        <w:pStyle w:val="TextoNormal"/>
      </w:pPr>
      <w:r>
        <w:t>En tercer lugar, se alega la vulneración del art. 33.3 CE. La disposición cuestionada, al incurrir en retroactividad prohibida constitucionalmente, provoca una objetiva privación de bienes y derechos en perjuicio de todos y cada uno de los afectados por la pérdida del derecho a la renovación de las ayudas a la adquisición de vivienda protegida, por lo que podría entenderse que se produce una violación objetiva de lo previsto en el art. 33.3 CE, sin que el efecto expropiatorio sea compensado por “la correspondiente indemnización”.</w:t>
      </w:r>
    </w:p>
    <w:p w:rsidR="006B7292" w:rsidRDefault="006B7292" w:rsidP="006B7292">
      <w:pPr>
        <w:pStyle w:val="TextoNormal"/>
      </w:pPr>
    </w:p>
    <w:p w:rsidR="006B7292" w:rsidRDefault="006B7292" w:rsidP="006B7292">
      <w:pPr>
        <w:pStyle w:val="TextoNormal"/>
      </w:pPr>
      <w:r>
        <w:t xml:space="preserve">Al respecto se señala que en la exposición de motivos de la Ley 4/2013 no figura justificación alguna que pueda motivar suficientemente la condición de </w:t>
      </w:r>
      <w:r w:rsidRPr="006B7292">
        <w:rPr>
          <w:i/>
        </w:rPr>
        <w:t>causa expropiandi</w:t>
      </w:r>
      <w:r>
        <w:t>, exigida por el art. 33.3 CE para amparar la privación del derecho a la misma. Se alega que el Tribunal Constitucional extiende la garantía expropiatoria del art. 33.3 CE, tanto a las medidas ablatorias del derecho de propiedad privada en sentido estricto como la privación de bienes y derechos individuales, es decir, de cualquier derecho subjetivo e incluso interés legítimo de contenido patrimonial (STC 227/1988, de 29 de noviembre, FJ 11).</w:t>
      </w:r>
    </w:p>
    <w:p w:rsidR="006B7292" w:rsidRDefault="006B7292" w:rsidP="006B7292">
      <w:pPr>
        <w:pStyle w:val="TextoNormal"/>
      </w:pPr>
    </w:p>
    <w:p w:rsidR="006B7292" w:rsidRDefault="006B7292" w:rsidP="006B7292">
      <w:pPr>
        <w:pStyle w:val="TextoNormal"/>
      </w:pPr>
      <w:r w:rsidRPr="006B7292">
        <w:rPr>
          <w:rStyle w:val="NumeroAFNegritaCaracter"/>
        </w:rPr>
        <w:t>4</w:t>
      </w:r>
      <w:r>
        <w:t>. Mediante providencia de 3 de noviembre de 2015, la Sección Cuarta de este Tribunal acordó, a los efectos del art. 37.1 LOTC, conferir plazo de diez días al Fiscal General del Estado para que alegue lo que considere conveniente acerca de la admisibilidad de la presente cuestión de inconstitucionalidad por si hubiera devenido notoriamente infundada tras el dictado de la STC 216/2015, de 22 de octubre.</w:t>
      </w:r>
    </w:p>
    <w:p w:rsidR="006B7292" w:rsidRDefault="006B7292" w:rsidP="006B7292">
      <w:pPr>
        <w:pStyle w:val="TextoNormal"/>
      </w:pPr>
    </w:p>
    <w:p w:rsidR="006B7292" w:rsidRDefault="006B7292" w:rsidP="006B7292">
      <w:pPr>
        <w:pStyle w:val="TextoNormal"/>
      </w:pPr>
      <w:r w:rsidRPr="006B7292">
        <w:rPr>
          <w:rStyle w:val="NumeroAFNegritaCaracter"/>
        </w:rPr>
        <w:t>5</w:t>
      </w:r>
      <w:r>
        <w:t>. La Fiscal General del Estado evacuó el trámite conferido mediante escrito registrado en este Tribunal el 23 de noviembre de 2015. En él, interesa la inadmisión de la presente cuestión por falta de condiciones procesales y por considerarla notoriamente infundada.</w:t>
      </w:r>
    </w:p>
    <w:p w:rsidR="006B7292" w:rsidRDefault="006B7292" w:rsidP="006B7292">
      <w:pPr>
        <w:pStyle w:val="TextoNormal"/>
      </w:pPr>
    </w:p>
    <w:p w:rsidR="006B7292" w:rsidRDefault="006B7292" w:rsidP="006B7292">
      <w:pPr>
        <w:pStyle w:val="TextoNormal"/>
      </w:pPr>
      <w:r>
        <w:t>La Fiscal General del Estado comienza poniendo de manifiesto que otras dos cuestiones de inconstitucionalidad planteadas por el mismo órgano jurisdiccional, respecto de la misma disposición legal, y en idénticos términos, han sido ya admitidas a trámite por este Tribunal, habiendo sido informadas ya en el trámite correspondiente por el Ministerio Fiscal. Esta identidad sustancial hace que las alegaciones en este trámite de inadmisión deban ser esencialmente coincidentes con esas otras dos ya despachadas.</w:t>
      </w:r>
    </w:p>
    <w:p w:rsidR="006B7292" w:rsidRDefault="006B7292" w:rsidP="006B7292">
      <w:pPr>
        <w:pStyle w:val="TextoNormal"/>
      </w:pPr>
    </w:p>
    <w:p w:rsidR="006B7292" w:rsidRDefault="006B7292" w:rsidP="006B7292">
      <w:pPr>
        <w:pStyle w:val="TextoNormal"/>
      </w:pPr>
      <w:r>
        <w:t xml:space="preserve">En este sentido, y aun reconociendo que el traslado conferido por este Tribunal lo fue, expresamente, solo por si la cuestión de inconstitucionalidad promovida hubiera devenido notoriamente infundada, la Fiscal General del Estado alude a un posible defecto procesal en relación con el correcto cumplimiento del trámite de alegaciones que pudiera conducir igualmente a la inadmisión de la presente cuestión (art. 37.1 LOTC, en relación con el art. 35.2). Según el Ministerio público, no es posible conocer si se dio el traslado efectivo para alegaciones a las partes de la providencia de fecha 4 de mayo de 2015 y no consta tampoco si estas presentaron escrito de alegaciones o si dejaron precluir el trámite sin presentarlo. En el supuesto en el que no se hubiera notificado a las partes la providencia de fecha 4 de mayo de 2015, y su traslado para alegaciones, habría que entender que ese trámite no fue correctamente realizado. Por último y en relación también con los presupuestos procesales, la Fiscal General del Estado pone de manifiesto que el Juez </w:t>
      </w:r>
      <w:r w:rsidRPr="006B7292">
        <w:rPr>
          <w:i/>
        </w:rPr>
        <w:t>a quo</w:t>
      </w:r>
      <w:r>
        <w:t xml:space="preserve"> no ha realizado, formalmente, una correcta identificación de la norma legal, respecto de la que se plantean las dudas de validez constitucional, puesto que tanto en las dos providencias como en el Auto de planteamiento se identifica la disposición adicional segunda de la Ley 4/2013 en su totalidad. No obstante, de los propios razonamientos jurídicos del Auto de planteamiento y de la pretensión deducida en el proceso del que trae causa la cuestión es posible deducir, que es solo el apartado a) de la citada disposición adicional segunda el objeto de la presente cuestión, puesto que es el que se refiere al régimen de las ayudas de subsidiación de préstamos.</w:t>
      </w:r>
    </w:p>
    <w:p w:rsidR="006B7292" w:rsidRDefault="006B7292" w:rsidP="006B7292">
      <w:pPr>
        <w:pStyle w:val="TextoNormal"/>
      </w:pPr>
    </w:p>
    <w:p w:rsidR="006B7292" w:rsidRDefault="006B7292" w:rsidP="006B7292">
      <w:pPr>
        <w:pStyle w:val="TextoNormal"/>
      </w:pPr>
      <w:r>
        <w:t>En cuanto al examen de fondo de la cuestión suscitada señala el Ministerio público que la cuestión debatida en el proceso de origen es la aplicación que se hace por la resolución administrativa impugnada en el recurso contencioso de la disposición adicional segunda de la Ley 4/2013, para inadmitir la solicitud de prórroga de la ayuda de subsidiación del préstamo que fue presentada por el recurrente con posterioridad a la entrada en vigor de la Ley 4/2013, y trascurrido el periodo inicial de los cinco años desde que la subsidiación se le reconoció por el Servicio territorial de la vivienda de Castellón. A esta solicitud le resulta aplicable el art. 23 del Real Decreto 801/2005, de 1 de julio, por el que se aprobó el plan estatal de la vivienda 2005-2008, según el cual la ayuda de la subsidiación se le reconocía por un periodo inicial de cinco años que era susceptible de ampliación por otros cinco, si se solicitaba por beneficiario y acreditaba que cumplía las condiciones económicas requeridas para ello. Tras aludir a la doctrina constitucional en la materia, sintetizada en las SSTC 112/2006, de 5 abril, y 49/2015, de 5 marzo, señala que el pronunciamiento que ha de darse sobre la supuesta vulneración constitucional del principio de irretroactividad de las disposiciones restrictivas de derechos en la que incurriría el apartado a) de la disposición adicional segunda está sujeto al examen de constitucionalidad que, sobre esta norma legal y la posible infracción del principio de irretroactividad, se contiene en la reciente STC 216/2015, de 22 de octubre, pues en la presente cuestión se observa una importante identidad en los fundamentos sobre los que se plantean las dudas de constitucionalidad respecto a lo establecido en el apartado a) de la referida Disposición adicional segunda. Por ello, la Fiscal General del Estado considera que en el proceso de origen de la presente cuestión no aparece ninguna particularidad que permita apartarse del criterio que establece la STC 216/2015 en la que se rechaza que el apartado a) de la disposición adicional segunda infrinja el principio de irretroactividad de las disposiciones restrictivas de derechos individuales. Por tanto, han de acogerse los razonamientos del fundamento jurídico octavo de dicha sentencia que descartan que la referida disposición legal suponga una retroactividad auténtica en cuanto proyecte sus efectos respecto de los derechos producidos y adquiridos conforme a la legislación anterior.</w:t>
      </w:r>
    </w:p>
    <w:p w:rsidR="006B7292" w:rsidRDefault="006B7292" w:rsidP="006B7292">
      <w:pPr>
        <w:pStyle w:val="TextoNormal"/>
      </w:pPr>
    </w:p>
    <w:p w:rsidR="006B7292" w:rsidRDefault="006B7292" w:rsidP="006B7292">
      <w:pPr>
        <w:pStyle w:val="TextoNormal"/>
      </w:pPr>
      <w:r>
        <w:t>La supuesta vulneración de las garantías expropiatorias contenidas en el art 33.3 CE que se plantea trae causa, al igual que en el recurso de inconstitucionalidad, de la propia fundamentación en la que se sustenta en ambos procesos constitucionales, la infracción del principio de irretroactividad de las normas restrictivas de derechos. Como se señala en el fundamento jurídico noveno de la STC 216/2015, no cumpliéndose el presupuesto necesario para que entre en juego la protección que otorga este precepto, puesto que la renovación o prórroga del derecho de subsidiación no es un derecho adquirido e incorporado al patrimonio del sujeto, sino una expectativa de derecho, para cuya consolidación será necesario que se produzca tras los trámites establecidos, la declaración administrativa del derecho a la renovación, no cabe tampoco estimar que por el citado párrafo cuarto del apartado a) de la norma cuestionada se vulneren las garantías expropiatorias que establece el art 33.3 CE.</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Juzgado de lo Contencioso-Administrativo núm. 2 de Castellón de la Plana plantea cuestión de inconstitucionalidad sobre la disposición adicional segunda de la Ley 4/2013, de 4 de junio, de medidas de flexibilización y fomento del mercado del alquiler de viviendas.</w:t>
      </w:r>
    </w:p>
    <w:p w:rsidR="006B7292" w:rsidRDefault="006B7292" w:rsidP="006B7292">
      <w:pPr>
        <w:pStyle w:val="TextoNormal"/>
      </w:pPr>
    </w:p>
    <w:p w:rsidR="006B7292" w:rsidRDefault="006B7292" w:rsidP="006B7292">
      <w:pPr>
        <w:pStyle w:val="TextoNormal"/>
      </w:pPr>
      <w:r>
        <w:t>El contenido del precepto cuestionado ha quedado recogido en el apartado de los antecedentes. En todo caso, y como ya hemos especificado en las SSTC 267/2015, de 14 de diciembre, FJ 2, y 268/2015, de 14 de diciembre, también FJ 2, resolutorias de las cuestiones de inconstitucionalidad núms. 4485-2015 y 4486-2015, del todo idénticas a la presente, y en línea con lo informado por el Ministerio Fiscal, la duda de constitucionalidad debe entenderse ceñida al apartado a), párrafo cuarto, de la citada disposición, que es la norma aplicable al caso y determinante del fallo que haya de dictar el órgano promotor. Según este apartado “[n]o se admitirán nuevos reconocimientos de ayudas de subsidiación de préstamos que procedan de concesiones, renovaciones, prórrogas, subrogaciones o de cualquier otra actuación protegida de los planes estatales de vivienda”.</w:t>
      </w:r>
    </w:p>
    <w:p w:rsidR="006B7292" w:rsidRDefault="006B7292" w:rsidP="006B7292">
      <w:pPr>
        <w:pStyle w:val="TextoNormal"/>
      </w:pPr>
    </w:p>
    <w:p w:rsidR="006B7292" w:rsidRDefault="006B7292" w:rsidP="006B7292">
      <w:pPr>
        <w:pStyle w:val="TextoNormal"/>
      </w:pPr>
      <w:r w:rsidRPr="006B7292">
        <w:rPr>
          <w:rStyle w:val="NumeroAFNegritaCaracter"/>
        </w:rPr>
        <w:t>2</w:t>
      </w:r>
      <w:r>
        <w:t xml:space="preserve">. De acuerdo con el art. 37.1 de la Ley Orgánica del Tribunal Constitucional (LOTC), este Tribunal puede, previa audiencia al Fiscal General del Estado, rechazar </w:t>
      </w:r>
      <w:r w:rsidRPr="006B7292">
        <w:rPr>
          <w:i/>
        </w:rPr>
        <w:t>a limine</w:t>
      </w:r>
      <w:r>
        <w:t xml:space="preserve"> las cuestiones de inconstitucionalidad que incumplan las condiciones procesales o sean notoriamente infundadas. En este caso, tal y como se ha reflejado en los antecedentes, la Fiscal General del Estado considera inadmisible la presente cuestión por razones de ambos tipos. Todas ellas han sido ya resueltas en las SSTC 267/2015 y 268/2015, antes citadas. Como reconoce la propia Fiscal General del Estado, la identidad sustancial entre estas tres cuestiones de inconstitucionalidad le llevaron a presentar, en esta concreta cuestión de inconstitucionalidad que ahora resolvemos, unas alegaciones en los mismos términos que las ya presentadas en las otras dos. En lógica consecuencia, también este Tribunal ha de dar una respuesta idénticas en los tres casos.</w:t>
      </w:r>
    </w:p>
    <w:p w:rsidR="006B7292" w:rsidRDefault="006B7292" w:rsidP="006B7292">
      <w:pPr>
        <w:pStyle w:val="TextoNormal"/>
      </w:pPr>
    </w:p>
    <w:p w:rsidR="006B7292" w:rsidRDefault="006B7292" w:rsidP="006B7292">
      <w:pPr>
        <w:pStyle w:val="TextoNormal"/>
      </w:pPr>
      <w:r>
        <w:t>Abordaremos primero los defectos de orden procesal en que ha podido incurrir el Auto de planteamiento (art. 35.2 LOTC).</w:t>
      </w:r>
    </w:p>
    <w:p w:rsidR="006B7292" w:rsidRDefault="006B7292" w:rsidP="006B7292">
      <w:pPr>
        <w:pStyle w:val="TextoNormal"/>
      </w:pPr>
    </w:p>
    <w:p w:rsidR="006B7292" w:rsidRDefault="006B7292" w:rsidP="006B7292">
      <w:pPr>
        <w:pStyle w:val="TextoNormal"/>
      </w:pPr>
      <w:r w:rsidRPr="006B7292">
        <w:rPr>
          <w:rStyle w:val="NumeroAFNegritaCaracter"/>
        </w:rPr>
        <w:t>3</w:t>
      </w:r>
      <w:r>
        <w:t>. Este Tribunal no puede compartir la duda formulada en relación a la adecuada realización del trámite de audiencia basada en la falta de alegaciones de las partes. Como se expone en los antecedentes, la providencia de 4 de mayo de 2015, procede a subsanar los defectos advertidos por el Ministerio Fiscal en la providencia inicial de 25 de marzo de 2015, otorgando un plazo de diez días para que se realicen alegaciones, habiendo certificado el órgano judicial que, en dicho plazo no se formularon alegaciones ni por la parte demandante ni por la demandada. Por tanto, hay que concluir que el requisito de la previa audiencia a las partes y al Ministerio Fiscal acerca de la pertinencia de plantear la cuestión de inconstitucionalidad (art. 35.2 LOTC) ha sido correctamente cumplido.</w:t>
      </w:r>
    </w:p>
    <w:p w:rsidR="006B7292" w:rsidRDefault="006B7292" w:rsidP="006B7292">
      <w:pPr>
        <w:pStyle w:val="TextoNormal"/>
      </w:pPr>
    </w:p>
    <w:p w:rsidR="006B7292" w:rsidRDefault="006B7292" w:rsidP="006B7292">
      <w:pPr>
        <w:pStyle w:val="TextoNormal"/>
      </w:pPr>
      <w:r w:rsidRPr="006B7292">
        <w:rPr>
          <w:rStyle w:val="NumeroAFNegritaCaracter"/>
        </w:rPr>
        <w:t>4</w:t>
      </w:r>
      <w:r>
        <w:t>. Entrando ya en el examen del fondo del asunto, la resolución del recurso de inconstitucionalidad núm. 5108-2013 interpuesto por más de cincuenta Diputados del Grupo Parlamentario Socialista contra el mismo precepto aquí cuestionado, y por los mismos motivos, en la reciente STC 216/2015, de 22 de octubre, así como la reiteración de sus razones en las antes citadas SSTC 267/2015 y 268/2015, resolutorias de dos cuestiones de inconstitucionalidad idénticas a la presente, ha provocado que esta tercera cuestión promovida en relación con el mismo precepto legal y por los mismos motivos haya devenido notoriamente infundada, a los efectos del art. 37.1 LOTC.</w:t>
      </w:r>
    </w:p>
    <w:p w:rsidR="006B7292" w:rsidRDefault="006B7292" w:rsidP="006B7292">
      <w:pPr>
        <w:pStyle w:val="TextoNormal"/>
      </w:pPr>
    </w:p>
    <w:p w:rsidR="006B7292" w:rsidRDefault="006B7292" w:rsidP="006B7292">
      <w:pPr>
        <w:pStyle w:val="TextoNormal"/>
      </w:pPr>
      <w:r>
        <w:t>a) En efecto, por lo que hace a la denunciada vulneración del art. 9.3 CE, en la citada STC 216/2015, FJ 8, apreciamos, respecto al inciso ahora cuestionado, que, con arreglo al régimen establecido por la normativa vigente en el momento de resolver el recurso (art. 43.3 del Real Decreto 2066/2008) la subsidiación se concedía por un período inicial de cinco años, que podía ser renovado durante otro período de igual duración y por la cuantía que corresponda, con arreglo a dos condiciones básicas: que el beneficiario de la subsidiación solicitase su renovación dentro del quinto año del periodo inicial y que acreditase que seguía reuniendo las condiciones requeridas para la concesión de la ayuda. Del tenor del citado artículo 43.3 (“podrá”) se deducía que la concesión de la renovación no es un acto reglado y que, en consecuencia, el beneficiario de la ayuda no tiene derecho a su renovación. Así concluimos que “de acuerdo con la disposición adicional impugnada en este proceso, las solicitudes de renovación presentadas y no resueltas con anterioridad a la entrada en vigor de la Ley 4/2013, así como las solicitudes que se presenten con posterioridad, pasan a regirse por ese nuevo texto legal, que excluye la renovación. El párrafo cuarto del apartado a) regula, por tanto, unas situaciones jurídicas aún no producidas, con una clara vocación de futuro, al no existir un derecho subjetivo a la renovación incorporado al patrimonio del beneficiario de las ayudas de subsidiación con anterioridad a la entrada en vigor de la Ley 4/2013”. Lo que, a su vez, determinaba la procedencia de “excluir la presencia de efectos retroactivos constitucionalmente prohibidos en el apartado a) de la disposición impugnada, ya que su regulación se proyecta a los efectos futuros de situaciones jurídicas que aún no se han producido” así como que “al no concurrir el presupuesto de hecho del que parte la alegada vulneración del principio constitucional contemplado en el art. 9.3 CE tampoco es necesario ya examinar si, como consecuencia del pretendido efecto retroactivo de la disposición impugnada, se han restringido derechos individuales incorporados al patrimonio jurídico de los beneficiarios de las ayudas”.</w:t>
      </w:r>
    </w:p>
    <w:p w:rsidR="006B7292" w:rsidRDefault="006B7292" w:rsidP="006B7292">
      <w:pPr>
        <w:pStyle w:val="TextoNormal"/>
      </w:pPr>
    </w:p>
    <w:p w:rsidR="006B7292" w:rsidRDefault="006B7292" w:rsidP="006B7292">
      <w:pPr>
        <w:pStyle w:val="TextoNormal"/>
      </w:pPr>
      <w:r>
        <w:t xml:space="preserve">Dicha doctrina, relativa al caso de las renovaciones, por ser en el que los recurrentes se centraban, ha de extenderse al supuesto de la denegación de una prórroga, en cuanto que su </w:t>
      </w:r>
      <w:r w:rsidRPr="006B7292">
        <w:rPr>
          <w:i/>
        </w:rPr>
        <w:t>ratio decidendi</w:t>
      </w:r>
      <w:r>
        <w:t xml:space="preserve"> le es perfectamente aplicable, y así lo hemos concluido ya en las SSTC 267/2015 y 268/2015, ya citadas. Al igual que en el caso de la STC 216/2015, la norma reguladora de las ayudas cuya prórroga se solicita, en este caso el art. 23 del Real Decreto 801/2005, de 1 de julio, por el que se aprueba el plan estatal 2005-2008, para favorecer el acceso de los ciudadanos a la vivienda, establecía que el régimen de renovación de la ayuda inicialmente concedida no era automático (“podrá ser ampliada”) y lo sujetaba a la existencia de una previa solicitud y al mantenimiento de los requisitos exigidos para su concesión inicial, lo que determina que la prórroga no sea un acto reglado, sin que el beneficiario de la ayuda tenga derecho a la renovación o prórroga.</w:t>
      </w:r>
    </w:p>
    <w:p w:rsidR="006B7292" w:rsidRDefault="006B7292" w:rsidP="006B7292">
      <w:pPr>
        <w:pStyle w:val="TextoNormal"/>
      </w:pPr>
    </w:p>
    <w:p w:rsidR="006B7292" w:rsidRDefault="006B7292" w:rsidP="006B7292">
      <w:pPr>
        <w:pStyle w:val="TextoNormal"/>
      </w:pPr>
      <w:r>
        <w:t>En consecuencia, esta primera duda de constitucionalidad debe considerarse ya resuelta.</w:t>
      </w:r>
    </w:p>
    <w:p w:rsidR="006B7292" w:rsidRDefault="006B7292" w:rsidP="006B7292">
      <w:pPr>
        <w:pStyle w:val="TextoNormal"/>
      </w:pPr>
    </w:p>
    <w:p w:rsidR="006B7292" w:rsidRDefault="006B7292" w:rsidP="006B7292">
      <w:pPr>
        <w:pStyle w:val="TextoNormal"/>
      </w:pPr>
      <w:r>
        <w:t>b) Por otra parte, la denunciada infracción del art. 33.3 CE ha de ser también descartada por las mismas razones expresadas en la STC 216/2015, FJ 9, en la que este Tribunal la descartó “por inexistencia del presupuesto de base imprescindible para que entre en juego la protección que dispensa el precepto constitucional invocado”.</w:t>
      </w:r>
    </w:p>
    <w:p w:rsidR="006B7292" w:rsidRDefault="006B7292" w:rsidP="006B7292">
      <w:pPr>
        <w:pStyle w:val="TextoNormal"/>
      </w:pPr>
    </w:p>
    <w:p w:rsidR="006B7292" w:rsidRDefault="006B7292" w:rsidP="006B7292">
      <w:pPr>
        <w:pStyle w:val="TextoNormal"/>
      </w:pPr>
      <w:r>
        <w:t xml:space="preserve">Tal y como razonamos en la repetidas SSTC 267/2015 y 268/2015, ya hemos comprobado que de la normativa aplicable al caso de las “prórrogas”, cuestionado también en esos otros dos casos, se desprende que la renovación de las ayudas de subsidiación no es automática, sino que es preciso que el beneficiario de la subsidiación solicite su renovación dentro del quinto año del periodo inicial y que acredite que sigue reuniendo las condiciones requeridas para la concesión de la ayuda. De esta manera, como sucede en el caso </w:t>
      </w:r>
      <w:r w:rsidRPr="006B7292">
        <w:rPr>
          <w:i/>
        </w:rPr>
        <w:t>a quo</w:t>
      </w:r>
      <w:r>
        <w:t>, quien disfrutaba de una ayuda de subsidiación al amparo del Real Decreto 801/2005 no tenía un derecho subjetivo a la renovación, sino una mera expectativa de renovación en cuanto que cumpliera las condiciones exigidas por la normativa. De manera que tal como señala la STC 216/2015, FJ 9, “esa mera expectativa se tiene que consolidar mediante el correspondiente acto declarativo de derechos —en este caso la decisión de autorizar la renovación— adoptado por el órgano administrativo competente. En consecuencia, cuando se modifican las condiciones de obtención de la renovación o simplemente se suprime esa posibilidad, los beneficiarios de ayudas de subsidiación no pueden oponer un derecho subjetivo o un interés legítimo de carácter patrimonial incorporado a su patrimonio. Por tanto, debemos declarar que la disposición impugnada no priva de derechos subjetivos o intereses legítimos de carácter patrimonial incorporados al patrimonio jurídico de los beneficiarios de las ayudas y, por tanto, no resulta aplicable la protección constitucional que contempla el art. 33.3 CE”.</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Inadmitir a trámite la cuestión de inconstitucionalidad núm. 4735-2015.</w:t>
      </w:r>
    </w:p>
    <w:p w:rsidR="006B7292" w:rsidRDefault="006B7292" w:rsidP="006B7292">
      <w:pPr>
        <w:pStyle w:val="TextoNormal"/>
      </w:pPr>
    </w:p>
    <w:p w:rsidR="006B7292" w:rsidRDefault="006B7292" w:rsidP="006B7292">
      <w:pPr>
        <w:pStyle w:val="TextoNormal"/>
      </w:pPr>
      <w:r>
        <w:t>Madrid, a quince de diciembre de dos mil quince.</w:t>
      </w:r>
    </w:p>
    <w:p w:rsidR="006B7292" w:rsidRDefault="006B7292" w:rsidP="006B7292">
      <w:pPr>
        <w:pStyle w:val="ParrafoNormal"/>
      </w:pPr>
    </w:p>
    <w:p w:rsidR="006B7292" w:rsidRDefault="006B7292" w:rsidP="006B7292">
      <w:pPr>
        <w:pStyle w:val="TextoNormalNegritaCentrado"/>
        <w:keepNext/>
      </w:pPr>
      <w:r>
        <w:t>Voto particular que formula el Magistrado don Juan Antonio Xiol Ríos respecto del Auto dictado en la cuestión de inconstitucionalidad núm. 4735-2015.</w:t>
      </w:r>
    </w:p>
    <w:p w:rsidR="006B7292" w:rsidRDefault="006B7292" w:rsidP="006B7292">
      <w:pPr>
        <w:pStyle w:val="TextoNormalNegritaCentrado"/>
        <w:keepNext/>
      </w:pPr>
    </w:p>
    <w:p w:rsidR="006B7292" w:rsidRDefault="006B7292" w:rsidP="006B7292">
      <w:pPr>
        <w:pStyle w:val="TextoNormal"/>
      </w:pPr>
      <w:r>
        <w:t>Con el máximo respeto a la opinión mayoritaria de mis compañeros de Pleno en la que se sustenta el Auto de inadmisión de la presente cuestión de inconstitucionalidad, manifiesto mi discrepancia con la fundamentación jurídica y el fallo de este. Considero que no resulta notoriamente infundado el cuestionamiento en relación con la vulneración del principio de seguridad jurídica en la vertiente que garantiza la confianza legítima (art. 9.3 CE).</w:t>
      </w:r>
    </w:p>
    <w:p w:rsidR="006B7292" w:rsidRDefault="006B7292" w:rsidP="006B7292">
      <w:pPr>
        <w:pStyle w:val="TextoNormal"/>
      </w:pPr>
    </w:p>
    <w:p w:rsidR="006B7292" w:rsidRDefault="006B7292" w:rsidP="006B7292">
      <w:pPr>
        <w:pStyle w:val="TextoNormal"/>
      </w:pPr>
      <w:r>
        <w:t>Las razones de mi discrepancia son coincidentes con las que ya fueron expuestas en el voto particular formulado a la STC 216/2015, de 22 de octubre, a la que para evitar reiteraciones innecesarias me remito.</w:t>
      </w:r>
    </w:p>
    <w:p w:rsidR="006B7292" w:rsidRDefault="006B7292" w:rsidP="006B7292">
      <w:pPr>
        <w:pStyle w:val="TextoNormal"/>
      </w:pPr>
    </w:p>
    <w:p w:rsidR="006B7292" w:rsidRDefault="006B7292" w:rsidP="006B7292">
      <w:pPr>
        <w:pStyle w:val="TextoNormal"/>
      </w:pPr>
      <w:r>
        <w:t>Madrid, a quince de diciembre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42" w:name="AUTO_2015_228"/>
      <w:r>
        <w:t>AUTO 228/2015, de 15 de diciembre de 2015</w:t>
      </w:r>
    </w:p>
    <w:bookmarkEnd w:id="242"/>
    <w:p w:rsidR="006B7292" w:rsidRDefault="006B7292" w:rsidP="006B7292">
      <w:pPr>
        <w:pStyle w:val="TtuloResolucin"/>
      </w:pPr>
      <w:r>
        <w:t>Pleno</w:t>
      </w:r>
    </w:p>
    <w:p w:rsidR="006B7292" w:rsidRDefault="006B7292" w:rsidP="006B7292">
      <w:pPr>
        <w:pStyle w:val="TextoNormalCentrado"/>
      </w:pPr>
      <w:r>
        <w:t>ECLI:ES:TC:2015:228A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Inadmite a trámite la cuestión de inconstitucionalidad 5104-2015, planteada por la Sala de lo Social del Tribunal Superior de Justicia de Canarias en relación con la disposición adicional vigésima octava de la Ley 11/2010, de 30 de diciembre, de presupuestos generales de la Comunidad Autónoma de Canarias.</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día 15 de septiembre de 2015 tuvo entrada en el Registro General de este Tribunal escrito de la Sala de lo Social del Tribunal Superior de Justicia de Canarias, al que se acompaña, además del testimonio del correspondiente procedimiento, Auto de 24 de julio de 2015 por el que se plantea cuestión de inconstitucionalidad en relación con la disposición adicional vigésima octava, apartado 2 a), de la Ley 11/2010, de 30 de diciembre, de presupuestos generales de la Comunidad Autónoma de Canarias por vulneración del art. 149.1.7 CE.</w:t>
      </w:r>
    </w:p>
    <w:p w:rsidR="006B7292" w:rsidRDefault="006B7292" w:rsidP="006B7292">
      <w:pPr>
        <w:pStyle w:val="TextoNormal"/>
      </w:pPr>
    </w:p>
    <w:p w:rsidR="006B7292" w:rsidRDefault="006B7292" w:rsidP="006B7292">
      <w:pPr>
        <w:pStyle w:val="TextoNormal"/>
      </w:pPr>
      <w:r w:rsidRPr="006B7292">
        <w:rPr>
          <w:rStyle w:val="NumeroAFNegritaCaracter"/>
        </w:rPr>
        <w:t>2</w:t>
      </w:r>
      <w:r>
        <w:t>. Los hechos que pueden ser relevantes en este proceso constitucional son:</w:t>
      </w:r>
    </w:p>
    <w:p w:rsidR="006B7292" w:rsidRDefault="006B7292" w:rsidP="006B7292">
      <w:pPr>
        <w:pStyle w:val="TextoNormal"/>
      </w:pPr>
    </w:p>
    <w:p w:rsidR="006B7292" w:rsidRDefault="006B7292" w:rsidP="006B7292">
      <w:pPr>
        <w:pStyle w:val="TextoNormal"/>
      </w:pPr>
      <w:r>
        <w:t>a) Entre el 24 y el 30 de marzo de 2011 veintidós trabajadores en su condición de personal laboral al servicio de la Consejería de Cultura, Deportes, Políticas sociales y Vivienda en la Administración autonómica de Canarias presentaron solicitudes en las que pedían el reconocimiento de su derecho a compensar el festivo 1 de enero de 2011, que coincidió con descanso semanal, por otro día de permiso, en aplicación del art. 18 del III convenio colectivo para el personal laboral de la Comunidad Autónoma de Canarias (“BOC” 18/1992, de 6 de febrero).</w:t>
      </w:r>
    </w:p>
    <w:p w:rsidR="006B7292" w:rsidRDefault="006B7292" w:rsidP="006B7292">
      <w:pPr>
        <w:pStyle w:val="TextoNormal"/>
      </w:pPr>
    </w:p>
    <w:p w:rsidR="006B7292" w:rsidRDefault="006B7292" w:rsidP="006B7292">
      <w:pPr>
        <w:pStyle w:val="TextoNormal"/>
      </w:pPr>
      <w:r>
        <w:t>b) Las solicitudes fueron denegadas en aplicación de la disposición adicional vigésima octava, apartado 2 a), de la Ley 11/2010, de 30 de diciembre, de presupuestos generales de la Comunidad Autónoma de Canarias para 2011. Denegación confirmada por la resolución de la Secretaría General Técnica de la Consejería de Cultura, Deportes, Políticas sociales y Vivienda de 14 de noviembre de 2011 que desestimó las reclamaciones previas a la vía judicial interpuestas por los mencionados trabajadores.</w:t>
      </w:r>
    </w:p>
    <w:p w:rsidR="006B7292" w:rsidRDefault="006B7292" w:rsidP="006B7292">
      <w:pPr>
        <w:pStyle w:val="TextoNormal"/>
      </w:pPr>
    </w:p>
    <w:p w:rsidR="006B7292" w:rsidRDefault="006B7292" w:rsidP="006B7292">
      <w:pPr>
        <w:pStyle w:val="TextoNormal"/>
      </w:pPr>
      <w:r>
        <w:t>c) Con fecha de 13 de julio de 2011 se interpuso demanda contra dicha resolución, que se tramitó por el procedimiento ordinario con el núm. 710-2011. La Sentencia del Juzgado de lo Social núm. 9 de Las Palmas de 19 de diciembre de 2011 desestimó la demanda.</w:t>
      </w:r>
    </w:p>
    <w:p w:rsidR="006B7292" w:rsidRDefault="006B7292" w:rsidP="006B7292">
      <w:pPr>
        <w:pStyle w:val="TextoNormal"/>
      </w:pPr>
    </w:p>
    <w:p w:rsidR="006B7292" w:rsidRDefault="006B7292" w:rsidP="006B7292">
      <w:pPr>
        <w:pStyle w:val="TextoNormal"/>
      </w:pPr>
      <w:r>
        <w:t>d) Los recurrentes interpusieron recurso de suplicación contra la Sentencia del Juzgado de lo Social, en el que, con carácter previo y antes de articular los motivos del recurso y tras citar los arts. 163 CE y 35 de la Ley Orgánica del Tribunal Constitucional (LOTC), se solicita que la Sala proponga cuestión de inconstitucionalidad, al entender que para la estimación de la demanda es de aplicación el art. 18 del III del convenio colectivo para el personal laboral de la Comunidad Autónoma de Canarias, el cual ha sido suspendido por la disposición adicional vigésima octava, apartado 2 a), de la Ley 11/2010, de 30 de diciembre, de presupuestos generales de la Comunidad Autónoma de Canarias para 2011.</w:t>
      </w:r>
    </w:p>
    <w:p w:rsidR="006B7292" w:rsidRDefault="006B7292" w:rsidP="006B7292">
      <w:pPr>
        <w:pStyle w:val="TextoNormal"/>
      </w:pPr>
    </w:p>
    <w:p w:rsidR="006B7292" w:rsidRDefault="006B7292" w:rsidP="006B7292">
      <w:pPr>
        <w:pStyle w:val="TextoNormal"/>
      </w:pPr>
      <w:r>
        <w:t xml:space="preserve">El motivo único de su recurso, consiste en que la Sentencia de instancia solo atiende a la primacía de la Ley sobre los convenios colectivos, en virtud del principio de jerarquía normativa, y que la disposición adicional vigésima octava, apartado 2 a), de la Ley 11/2010, de 30 de diciembre, de presupuestos generales de la Comunidad Autónoma de Canarias para 2011, es inconstitucional, pues invade las competencias exclusivas del Estado central </w:t>
      </w:r>
      <w:r w:rsidRPr="006B7292">
        <w:rPr>
          <w:i/>
        </w:rPr>
        <w:t>ex</w:t>
      </w:r>
      <w:r>
        <w:t xml:space="preserve"> art. 149.1.7 CE.</w:t>
      </w:r>
    </w:p>
    <w:p w:rsidR="006B7292" w:rsidRDefault="006B7292" w:rsidP="006B7292">
      <w:pPr>
        <w:pStyle w:val="TextoNormal"/>
      </w:pPr>
    </w:p>
    <w:p w:rsidR="006B7292" w:rsidRDefault="006B7292" w:rsidP="006B7292">
      <w:pPr>
        <w:pStyle w:val="TextoNormal"/>
      </w:pPr>
      <w:r>
        <w:t>e) Por providencia de 28 de mayo de 2014, la Sala declara que se le plantean dudas sobre la constitucionalidad de la disposición adicional vigésima octava, apartado 2 a), de la Ley 11/2010, de 30 de diciembre, de presupuestos generales de la Comunidad Autónoma de Canarias para 2011, por posible exceso competencial con vulneración del art. 149.1.7 CE. Se razona que dicho precepto de la Ley autonómica, por el que se suspende para el año 2011 la aplicación del art. 18 del convenio colectivo del personal laboral de la Comunidad Autónoma de Canarias en cuanto a la compensación de los festivos no trabajados coincidentes con el descanso semanal con un día de permiso, no tiene anclaje en el ámbito del art. 149.1.18 CE, sino que legisla sobre una materia estrictamente laboral, la relativa al descanso semanal del personal de la Administración autonómica con vínculo laboral, respecto a la que, tanto la legislación básica estatal (arts. 37 de la Ley del estatuto de los trabajadores: LET y 51 de la Ley del estatuto básico del empleado público: LEEP) como la autonómica que lo desarrolla (art. 67.3 de la Ley 2/1987 de la función pública canaria), instauran un régimen jurídico de derecho necesario relativo solo disponible por los convenios colectivos, cuya eficacia normativa y fuerza vinculante garantizan los arts. 37 CE y 82 ss. LET, de manera que podría producirse una invasión, de la reserva de la competencia exclusiva del Estado establecida en el art. 149.1.7 CE sin habilitación legal para ello.</w:t>
      </w:r>
    </w:p>
    <w:p w:rsidR="006B7292" w:rsidRDefault="006B7292" w:rsidP="006B7292">
      <w:pPr>
        <w:pStyle w:val="TextoNormal"/>
      </w:pPr>
    </w:p>
    <w:p w:rsidR="006B7292" w:rsidRDefault="006B7292" w:rsidP="006B7292">
      <w:pPr>
        <w:pStyle w:val="TextoNormal"/>
      </w:pPr>
      <w:r>
        <w:t>Por ello, concluye la providencia, dependiendo la resolución del recurso de la aplicación del apartado 2 a) de la disposición adicional vigésima octava de la Ley 11/2010 y de su ajuste al marco constitucional, conforme al art. 35.2 LOTC, se confiere a las partes y al Ministerio Fiscal un plazo de diez días para que formulen alegaciones sobre la pertinencia de plantear cuestión de inconstitucionalidad.</w:t>
      </w:r>
    </w:p>
    <w:p w:rsidR="006B7292" w:rsidRDefault="006B7292" w:rsidP="006B7292">
      <w:pPr>
        <w:pStyle w:val="TextoNormal"/>
      </w:pPr>
    </w:p>
    <w:p w:rsidR="006B7292" w:rsidRDefault="006B7292" w:rsidP="006B7292">
      <w:pPr>
        <w:pStyle w:val="TextoNormal"/>
      </w:pPr>
      <w:r>
        <w:t xml:space="preserve">f) En cumplimiento de ese trámite, el servicio jurídico del Gobierno de Canarias formula alegaciones oponiéndose al planteamiento de la cuestión. Sostiene que una regulación que suspende determinados artículos de un convenio colectivo aplicable exclusivamente al personal al servicio de la Administración autonómica —sin contradecir ni mermar el contenido mínimo de derecho necesario regulado en la legislación laboral—, no puede considerarse como legislación laboral en el sentido del art. 149.1.7 CE, pues solo afecta a una norma paccionada que vino a ampliar aquellos mínimos indisponibles en el ejercicio del derecho a la negociación colectiva. El objeto de la competencia estatal </w:t>
      </w:r>
      <w:r w:rsidRPr="006B7292">
        <w:rPr>
          <w:i/>
        </w:rPr>
        <w:t>ex</w:t>
      </w:r>
      <w:r>
        <w:t xml:space="preserve"> art. 149.1.7 CE no es el contenido de la negociación colectiva.</w:t>
      </w:r>
    </w:p>
    <w:p w:rsidR="006B7292" w:rsidRDefault="006B7292" w:rsidP="006B7292">
      <w:pPr>
        <w:pStyle w:val="TextoNormal"/>
      </w:pPr>
    </w:p>
    <w:p w:rsidR="006B7292" w:rsidRDefault="006B7292" w:rsidP="006B7292">
      <w:pPr>
        <w:pStyle w:val="TextoNormal"/>
      </w:pPr>
      <w:r>
        <w:t>El Ministerio Fiscal estima que se cumplen los requisitos del art. 35 LOTC para plantear la cuestión, sin entrar en el fondo del asunto planteado. Los recurrentes no formularon alegaciones.</w:t>
      </w:r>
    </w:p>
    <w:p w:rsidR="006B7292" w:rsidRDefault="006B7292" w:rsidP="006B7292">
      <w:pPr>
        <w:pStyle w:val="TextoNormal"/>
      </w:pPr>
    </w:p>
    <w:p w:rsidR="006B7292" w:rsidRDefault="006B7292" w:rsidP="006B7292">
      <w:pPr>
        <w:pStyle w:val="TextoNormal"/>
      </w:pPr>
      <w:r>
        <w:t>g) Por Auto de 24 de julio de 2015 la Sala de lo Social del Tribunal Superior de Justicia de Canarias acordó promover cuestión de inconstitucionalidad en relación con la disposición adicional vigésima octava, apartado 2 a), de la Ley 11/2010, de 30 de diciembre, de presupuestos generales de la Comunidad Autónoma de Canarias para el año 2011, por posible vulneración del art. 149.1.7 CE.</w:t>
      </w:r>
    </w:p>
    <w:p w:rsidR="006B7292" w:rsidRDefault="006B7292" w:rsidP="006B7292">
      <w:pPr>
        <w:pStyle w:val="TextoNormal"/>
      </w:pPr>
    </w:p>
    <w:p w:rsidR="006B7292" w:rsidRDefault="006B7292" w:rsidP="006B7292">
      <w:pPr>
        <w:pStyle w:val="TextoNormal"/>
      </w:pPr>
      <w:r w:rsidRPr="006B7292">
        <w:rPr>
          <w:rStyle w:val="NumeroAFNegritaCaracter"/>
        </w:rPr>
        <w:t>3</w:t>
      </w:r>
      <w:r>
        <w:t>. Del contenido del Auto de planteamiento interesa destacar lo siguiente:</w:t>
      </w:r>
    </w:p>
    <w:p w:rsidR="006B7292" w:rsidRDefault="006B7292" w:rsidP="006B7292">
      <w:pPr>
        <w:pStyle w:val="TextoNormal"/>
      </w:pPr>
    </w:p>
    <w:p w:rsidR="006B7292" w:rsidRDefault="006B7292" w:rsidP="006B7292">
      <w:pPr>
        <w:pStyle w:val="TextoNormal"/>
      </w:pPr>
      <w:r>
        <w:t>El órgano judicial dedica su primer razonamiento jurídico al juicio de aplicabilidad y de relevancia de la disposición adicional vigésima octava, apartado 2 a), de la Ley 11/2010. Tras detallar las pretensiones de los recurrentes en la demanda rectora del proceso y el motivo de único del recurso de suplicación, señala que resulta indudable que la norma aplicable al caso es la citada disposición adicional, “girando el objeto de la controversia judicial tanto en la instancia como en fase de recurso exclusivamente sobre el alcance y el ajuste al marco constitucional de dicha disposición legal” y que “la resolución que haya de dirimir el recurso se subordina a la validez del precepto de la ley autonómica de referencia sobre el que albergamos dudas de constitucionalidad”.</w:t>
      </w:r>
    </w:p>
    <w:p w:rsidR="006B7292" w:rsidRDefault="006B7292" w:rsidP="006B7292">
      <w:pPr>
        <w:pStyle w:val="TextoNormal"/>
      </w:pPr>
    </w:p>
    <w:p w:rsidR="006B7292" w:rsidRDefault="006B7292" w:rsidP="006B7292">
      <w:pPr>
        <w:pStyle w:val="TextoNormal"/>
      </w:pPr>
      <w:r>
        <w:t>El segundo razonamiento jurídico se refiere al “fundamento de la posible tacha a la constitucionalidad de la Disposición Adicional 28 Apartado 2.a L 11/10”. Tras exponer el contenido del art. 18 del convenio colectivo suspendido, el de la disposición autonómica que lo suspende y realizar una digresión sobre el alcance de la competencia estatal en materia de legislación laboral de acuerdo con la jurisprudencia constitucional, en síntesis se señala que el precepto autonómico viene a privar de vigencia a la regulación de un concreto aspecto atinente a la jornada laboral (las libranzas compensatorias de las fiestas laborales que coinciden con los días de descanso semanal) en la norma convencional por la que se mejoran los mínimos de derecho necesario establecidos en el art. 37 LET, que es la norma estatal básica en la materia para el personal laboral de las administraciones públicas conforme al art. 51 LEEP.</w:t>
      </w:r>
    </w:p>
    <w:p w:rsidR="006B7292" w:rsidRDefault="006B7292" w:rsidP="006B7292">
      <w:pPr>
        <w:pStyle w:val="TextoNormal"/>
      </w:pPr>
    </w:p>
    <w:p w:rsidR="006B7292" w:rsidRDefault="006B7292" w:rsidP="006B7292">
      <w:pPr>
        <w:pStyle w:val="TextoNormal"/>
      </w:pPr>
      <w:r>
        <w:t>En otros términos, señala que la disposición cuestionada “altera sustancialmente el régimen jurídico de la relación laboral de los empleados de la Comunidad Autónoma establecido en una norma colectiva vigente, que se erige en fuente reguladora de los derechos de los trabajadores por cuenta ajena, y conforme al art. 3.1 ET está por debajo de las disposiciones legales y reglamentarias del Estado, no constituye simple ejecución de la legislación laboral estatal para la que está facultada según el art. 33.2 del Estatuto de Autonomía aprobado por LO 10/82, sino que invade las competencias del Estado en la materia contraviniendo el art. 149.1.7 CE”.</w:t>
      </w:r>
    </w:p>
    <w:p w:rsidR="006B7292" w:rsidRDefault="006B7292" w:rsidP="006B7292">
      <w:pPr>
        <w:pStyle w:val="TextoNormal"/>
      </w:pPr>
    </w:p>
    <w:p w:rsidR="006B7292" w:rsidRDefault="006B7292" w:rsidP="006B7292">
      <w:pPr>
        <w:pStyle w:val="TextoNormal"/>
      </w:pPr>
      <w:r>
        <w:t xml:space="preserve">Adicionalmente se arguye que “no existe fuente normativa de origen legal que establezca un límite máximo a esos aspectos que inciden en la duración de la jornada de trabajo y habilite a las Cortes Generales mediante la correspondiente legislación básica a suspender la aplicación de los preceptos de los convenios estatutarios que la contravengan y como corolario de ello a la Asamblea General de la Comunidad Autónoma de Canarias para adoptar idéntica medida con el orden convencional” y que “no ponemos en tela de juicio que los convenios colectivos no sean inmunes al régimen jurídico de las condiciones laborales establecido en la Ley o en las normas con dicho rango”, sino a que “Canarias tenga competencia para dictar una ley que afecte sustancialmente a determinados derechos de sus empleados con vínculo laboral establecidos en el convenio colectivo que les es aplicable, pues a juicio de la Sala en tal caso estaría legislando en materia laboral adentrándose en el ámbito competencial exclusivo del Estado </w:t>
      </w:r>
      <w:r w:rsidRPr="006B7292">
        <w:rPr>
          <w:i/>
        </w:rPr>
        <w:t>ex</w:t>
      </w:r>
      <w:r>
        <w:t xml:space="preserve"> art. 149.1.7 CE”.</w:t>
      </w:r>
    </w:p>
    <w:p w:rsidR="006B7292" w:rsidRDefault="006B7292" w:rsidP="006B7292">
      <w:pPr>
        <w:pStyle w:val="TextoNormal"/>
      </w:pPr>
    </w:p>
    <w:p w:rsidR="006B7292" w:rsidRDefault="006B7292" w:rsidP="006B7292">
      <w:pPr>
        <w:pStyle w:val="TextoNormal"/>
      </w:pPr>
      <w:r>
        <w:t>Para el caso de que se entienda que el precepto no constituye legislación laboral, se señala que la medida “no engarza con lo dispuesto en el art. 149.1.13 y 156 de la Carta Magna”. Se señala que la norma cuestionada carece de conexión con cualquier finalidad estrictamente retributiva del personal al servicio de las Administraciones Públicas, y por tanto con los ingresos y gastos que integran el presupuesto o con la política económica de la que el mismo es instrumento.</w:t>
      </w:r>
    </w:p>
    <w:p w:rsidR="006B7292" w:rsidRDefault="006B7292" w:rsidP="006B7292">
      <w:pPr>
        <w:pStyle w:val="TextoNormal"/>
      </w:pPr>
    </w:p>
    <w:p w:rsidR="006B7292" w:rsidRDefault="006B7292" w:rsidP="006B7292">
      <w:pPr>
        <w:pStyle w:val="TextoNormal"/>
      </w:pPr>
      <w:r>
        <w:t>Finalmente, se afirma que el precepto cuestionado tampoco tiene cobijo competencial en el art. 149.1.18 CE, que enlaza con la Ley 7/2007 de 12 de abril, del estatuto básico del empleado público, pues del efecto combinado de sus arts. 2 y 7, se deprende que dicha norma no se aplica al personal laboral con carácter general, sino únicamente cuando así lo dispone expresamente; y que las Comunidades Autónomas carecen de capacidad normativa para regular la relación laboral del personal a su servicio a través de leyes autonómicas.</w:t>
      </w:r>
    </w:p>
    <w:p w:rsidR="006B7292" w:rsidRDefault="006B7292" w:rsidP="006B7292">
      <w:pPr>
        <w:pStyle w:val="TextoNormal"/>
      </w:pPr>
    </w:p>
    <w:p w:rsidR="006B7292" w:rsidRDefault="006B7292" w:rsidP="006B7292">
      <w:pPr>
        <w:pStyle w:val="TextoNormal"/>
      </w:pPr>
      <w:r w:rsidRPr="006B7292">
        <w:rPr>
          <w:rStyle w:val="NumeroAFNegritaCaracter"/>
        </w:rPr>
        <w:t>4</w:t>
      </w:r>
      <w:r>
        <w:t>. Por providencia de 20 de octubre de 2015, la Sección Primera acordó, a los efectos que determina el art. 37.1 LOTC, oír al Fiscal General del Estado para que, en el plazo de diez días, alegue lo que considere conveniente acerca de la admisibilidad de la presente cuestión de inconstitucionalidad, por si fuese notoriamente infundada.</w:t>
      </w:r>
    </w:p>
    <w:p w:rsidR="006B7292" w:rsidRDefault="006B7292" w:rsidP="006B7292">
      <w:pPr>
        <w:pStyle w:val="TextoNormal"/>
      </w:pPr>
    </w:p>
    <w:p w:rsidR="006B7292" w:rsidRDefault="006B7292" w:rsidP="006B7292">
      <w:pPr>
        <w:pStyle w:val="TextoNormal"/>
      </w:pPr>
      <w:r w:rsidRPr="006B7292">
        <w:rPr>
          <w:rStyle w:val="NumeroAFNegritaCaracter"/>
        </w:rPr>
        <w:t>5</w:t>
      </w:r>
      <w:r>
        <w:t>. La Fiscal General del Estado presentó sus alegaciones el día 6 de noviembre de 2015 interesando la inadmisión de la cuestión por los motivos que se resumen a continuación.</w:t>
      </w:r>
    </w:p>
    <w:p w:rsidR="006B7292" w:rsidRDefault="006B7292" w:rsidP="006B7292">
      <w:pPr>
        <w:pStyle w:val="TextoNormal"/>
      </w:pPr>
    </w:p>
    <w:p w:rsidR="006B7292" w:rsidRDefault="006B7292" w:rsidP="006B7292">
      <w:pPr>
        <w:pStyle w:val="TextoNormal"/>
      </w:pPr>
      <w:r>
        <w:t>Tras describir los antecedentes del caso y las dudas de constitucionalidad planteadas por el órgano judicial, recoge la doctrina constitucional acerca del significado del art. 149.1.7 CE. Seguidamente señala que la norma cuestionada tiene por objeto la correcta aplicación de la Ley 11/2010, de 30 de diciembre, de presupuestos generales de la Comunidad Autónoma de Canarias, para lo que se suspenden los acuerdos y pactos sindicales firmados en el ámbito del personal funcionario y estatutario al servicio del sector público de la Comunidad Autónoma de Canarias. La norma tiene así un objetivo y fundamento económico y financiero, siendo una medida de contención del gasto inserta en una ley de presupuestos en la que se ha llevado a efecto la congelación de las retribuciones del personal al servicio de la administración autonómica. Como se expone en el Auto, con la norma cuestionada se priva de vigencia a una disposición convencional por la que se mejoraban los mínimos de derecho necesario establecidos en el art. 37 LET que es la norma estatal aplicable para el personal laboral de las Administraciones públicas.</w:t>
      </w:r>
    </w:p>
    <w:p w:rsidR="006B7292" w:rsidRDefault="006B7292" w:rsidP="006B7292">
      <w:pPr>
        <w:pStyle w:val="TextoNormal"/>
      </w:pPr>
    </w:p>
    <w:p w:rsidR="006B7292" w:rsidRDefault="006B7292" w:rsidP="006B7292">
      <w:pPr>
        <w:pStyle w:val="TextoNormal"/>
      </w:pPr>
      <w:r>
        <w:t>La Fiscal General del Estado considera que la disposición adicional cuestionada no incide sobre la legislación laboral en el sentido reconocido constitucionalmente, pues no afecta a la estructura básica y general de la normativa laboral ni a sus categorías fundamentales, se trata de una norma inserta en una normativa más genérica que afecta también al personal funcionario y estatutario y que no va dirigida a la totalidad de los trabajadores, sino, en exclusividad, aquellos que prestan servicios para su empleadora, la Comunidad Autónoma. Se trata, por tanto, de un supuesto igual al contemplado en el ATC 154/2014.</w:t>
      </w:r>
    </w:p>
    <w:p w:rsidR="006B7292" w:rsidRDefault="006B7292" w:rsidP="006B7292">
      <w:pPr>
        <w:pStyle w:val="TextoNormal"/>
      </w:pPr>
    </w:p>
    <w:p w:rsidR="006B7292" w:rsidRDefault="006B7292" w:rsidP="006B7292">
      <w:pPr>
        <w:pStyle w:val="TextoNormal"/>
      </w:pPr>
      <w:r>
        <w:t>Por todo ello, el Ministerio público solicita que se dicte auto inadmitiendo la cuestión por ser notoriamente infundada.</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La Sala de lo Social del Tribunal Superior de Justicia de Canarias promueve cuestión de inconstitucionalidad en relación con la disposición adicional vigésima octava, apartado 2 a), de la Ley 11/2010, de 30 de diciembre, de presupuestos generales de la Comunidad Autónoma de Canarias por vulneración del art. 149.1.7 CE.</w:t>
      </w:r>
    </w:p>
    <w:p w:rsidR="006B7292" w:rsidRDefault="006B7292" w:rsidP="006B7292">
      <w:pPr>
        <w:pStyle w:val="TextoNormal"/>
      </w:pPr>
    </w:p>
    <w:p w:rsidR="006B7292" w:rsidRDefault="006B7292" w:rsidP="006B7292">
      <w:pPr>
        <w:pStyle w:val="TextoNormal"/>
      </w:pPr>
      <w:r>
        <w:t>El precepto cuestionado (en cursiva) dispone lo siguiente:</w:t>
      </w:r>
    </w:p>
    <w:p w:rsidR="006B7292" w:rsidRDefault="006B7292" w:rsidP="006B7292">
      <w:pPr>
        <w:pStyle w:val="TextoNormal"/>
      </w:pPr>
    </w:p>
    <w:p w:rsidR="006B7292" w:rsidRDefault="006B7292" w:rsidP="006B7292">
      <w:pPr>
        <w:pStyle w:val="TextoNormal"/>
      </w:pPr>
      <w:r>
        <w:t>“Disposición adicional vigésima octava. Suspensión de pactos y acuerdos sindicales y de artículos del convenio colectivo.</w:t>
      </w:r>
    </w:p>
    <w:p w:rsidR="006B7292" w:rsidRDefault="006B7292" w:rsidP="006B7292">
      <w:pPr>
        <w:pStyle w:val="TextoNormal"/>
      </w:pPr>
    </w:p>
    <w:p w:rsidR="006B7292" w:rsidRDefault="006B7292" w:rsidP="006B7292">
      <w:pPr>
        <w:pStyle w:val="TextoNormal"/>
      </w:pPr>
      <w:r>
        <w:t>1. Durante el ejercicio 2011, se suspenden los acuerdos y pactos sindicales firmados en el ámbito del personal funcionario y estatutario, y del laboral, al servicio del sector público de la Comunidad Autónoma de Canarias, en los términos necesarios para la correcta aplicación de esta ley.</w:t>
      </w:r>
    </w:p>
    <w:p w:rsidR="006B7292" w:rsidRDefault="006B7292" w:rsidP="006B7292">
      <w:pPr>
        <w:pStyle w:val="TextoNormal"/>
      </w:pPr>
    </w:p>
    <w:p w:rsidR="006B7292" w:rsidRDefault="006B7292" w:rsidP="006B7292">
      <w:pPr>
        <w:pStyle w:val="TextoNormal"/>
      </w:pPr>
      <w:r>
        <w:t>2. Por lo que se refiere al III Convenio Colectivo del Personal Laboral de la Comunidad Autónoma de Canarias, se suspenden las siguientes disposiciones para el año 2011:</w:t>
      </w:r>
    </w:p>
    <w:p w:rsidR="006B7292" w:rsidRDefault="006B7292" w:rsidP="006B7292">
      <w:pPr>
        <w:pStyle w:val="TextoNormal"/>
      </w:pPr>
    </w:p>
    <w:p w:rsidR="006B7292" w:rsidRDefault="006B7292" w:rsidP="006B7292">
      <w:pPr>
        <w:pStyle w:val="TextoNormal"/>
      </w:pPr>
      <w:r>
        <w:t>a) La aplicación del artículo 18, relativo al descanso semanal, en cuanto a la compensación con un día de permiso de los festivos no trabajados coincidentes con el descanso semanal…</w:t>
      </w:r>
    </w:p>
    <w:p w:rsidR="006B7292" w:rsidRDefault="006B7292" w:rsidP="006B7292">
      <w:pPr>
        <w:pStyle w:val="TextoNormal"/>
      </w:pPr>
    </w:p>
    <w:p w:rsidR="006B7292" w:rsidRDefault="006B7292" w:rsidP="006B7292">
      <w:pPr>
        <w:pStyle w:val="TextoNormal"/>
      </w:pPr>
      <w:r>
        <w:t>El órgano judicial considera que el precepto autonómico, al privar de vigencia a la regulación convencional de un concreto aspecto de la jornada del personal laboral al servicio de la Comunidad Autónoma (las libranzas compensatorias de las fiestas laborales que coinciden con los días de descanso semanal), está legislando en materia laboral, vulnerando con ello el art. 149.1.7 CE que reserva dicha competencia al Estado.</w:t>
      </w:r>
    </w:p>
    <w:p w:rsidR="006B7292" w:rsidRDefault="006B7292" w:rsidP="006B7292">
      <w:pPr>
        <w:pStyle w:val="TextoNormal"/>
      </w:pPr>
    </w:p>
    <w:p w:rsidR="006B7292" w:rsidRDefault="006B7292" w:rsidP="006B7292">
      <w:pPr>
        <w:pStyle w:val="TextoNormal"/>
      </w:pPr>
      <w:r>
        <w:t>La Fiscal General del Estado, por las razones expuestas en los antecedentes, ha interesado la inadmisión de la cuestión por considerarla notoriamente infundada.”</w:t>
      </w:r>
    </w:p>
    <w:p w:rsidR="006B7292" w:rsidRDefault="006B7292" w:rsidP="006B7292">
      <w:pPr>
        <w:pStyle w:val="TextoNormal"/>
      </w:pPr>
    </w:p>
    <w:p w:rsidR="006B7292" w:rsidRDefault="006B7292" w:rsidP="006B7292">
      <w:pPr>
        <w:pStyle w:val="TextoNormal"/>
      </w:pPr>
      <w:r w:rsidRPr="006B7292">
        <w:rPr>
          <w:rStyle w:val="NumeroAFNegritaCaracter"/>
        </w:rPr>
        <w:t>2</w:t>
      </w:r>
      <w:r>
        <w:t xml:space="preserve">. De acuerdo con lo previsto en el art. 37.1 de la Ley Orgánica del Tribunal Constitucional (LOTC), este Tribunal puede rechazar </w:t>
      </w:r>
      <w:r w:rsidRPr="006B7292">
        <w:rPr>
          <w:i/>
        </w:rPr>
        <w:t>a limine</w:t>
      </w:r>
      <w:r>
        <w:t xml:space="preserve"> las cuestiones de inconstitucionalidad, mediante Auto y sin otra audiencia que la del Fiscal General del Estado, si faltaren las condiciones procesales o fueran notoriamente infundadas.</w:t>
      </w:r>
    </w:p>
    <w:p w:rsidR="006B7292" w:rsidRDefault="006B7292" w:rsidP="006B7292">
      <w:pPr>
        <w:pStyle w:val="TextoNormal"/>
      </w:pPr>
    </w:p>
    <w:p w:rsidR="006B7292" w:rsidRDefault="006B7292" w:rsidP="006B7292">
      <w:pPr>
        <w:pStyle w:val="TextoNormal"/>
      </w:pPr>
      <w:r>
        <w:t>Efectivamente, la cuestión planteada ha de considerarse notoriamente infundada en el significado que a esta noción le viene dando la doctrina de este Tribunal (por todos, AATC 71/2008, de 26 de febrero, FJ 2, y 32/2009, de 27 de enero, FJ 3), que no implica un juicio peyorativo sobre la duda de constitucionalidad que traslada el órgano judicial, pero que procesalmente otorga a este Tribunal un cierto margen de apreciación a la hora de controlar la solidez de la fundamentación de las cuestiones de inconstitucionalidad, realizando un examen preliminar de la prosperabilidad de las mismas (ATC 43/2014, de 12 de febrero, FJ 3).</w:t>
      </w:r>
    </w:p>
    <w:p w:rsidR="006B7292" w:rsidRDefault="006B7292" w:rsidP="006B7292">
      <w:pPr>
        <w:pStyle w:val="TextoNormal"/>
      </w:pPr>
    </w:p>
    <w:p w:rsidR="006B7292" w:rsidRDefault="006B7292" w:rsidP="006B7292">
      <w:pPr>
        <w:pStyle w:val="TextoNormal"/>
      </w:pPr>
      <w:r>
        <w:t xml:space="preserve">No obstante, hay que advertir previamente que nuestra doctrina exige, como regla general, que exista identidad entre los criterios constitucionales que emplea el órgano judicial para formular sus dudas a las partes en el proceso y a este Tribunal y aquellos que esas mismas partes han tenido oportunidad de conocer, proponer y alegar en el trámite previo del art. 35.2 LOTC (SSTC 138/2005, de 26 de mayo, FJ 2, y 120/2000, de 10 de mayo, FJ 2). Conforme a dicha doctrina, la introducción </w:t>
      </w:r>
      <w:r w:rsidRPr="006B7292">
        <w:rPr>
          <w:i/>
        </w:rPr>
        <w:t>ex novo</w:t>
      </w:r>
      <w:r>
        <w:t xml:space="preserve"> en el Auto de planteamiento de la cuestión de constitucionalidad de un determinado precepto constitucional supone una infracción de los requisitos procesales del art. 35.2 LOTC, únicamente en la medida en que este defecto haya imposibilitado a las partes conocer el contenido de la cuestión para su apreciación e impugnación.</w:t>
      </w:r>
    </w:p>
    <w:p w:rsidR="006B7292" w:rsidRDefault="006B7292" w:rsidP="006B7292">
      <w:pPr>
        <w:pStyle w:val="TextoNormal"/>
      </w:pPr>
    </w:p>
    <w:p w:rsidR="006B7292" w:rsidRDefault="006B7292" w:rsidP="006B7292">
      <w:pPr>
        <w:pStyle w:val="TextoNormal"/>
      </w:pPr>
      <w:r>
        <w:t>Algunos de los argumentos o consideraciones del Auto de planteamiento sobre la inconstitucionalidad del precepto autonómico, no se hallaban mencionados, ni siquiera de forma implícita, en la providencia de 27 de junio de 2014, de modo que las partes nada pudieron alegar sobre ellos. Es el caso de las referencias a que el precepto “no engarza con lo dispuesto en el art. 149.1.13 y 156 de la Carta Magna” o que carece de conexión con cualquier finalidad estrictamente retributiva del personal al servicio de las Administraciones públicas, y por tanto con los ingresos y gastos que integran el presupuesto o con la política económica de la que el mismo es instrumento, así como las referencias a una posible vulneración del art. 149.1.18 CE. Estos concretos argumentos o consideraciones no cumplen el requisito previo de la audiencia a las partes y al Ministerio Fiscal y, por tanto, no podrían ser planteadas en el seno de esta cuestión de inconstitucionalidad, que ha de quedar referida exclusivamente a la posible vulneración del art. 149.1.7 CE.</w:t>
      </w:r>
    </w:p>
    <w:p w:rsidR="006B7292" w:rsidRDefault="006B7292" w:rsidP="006B7292">
      <w:pPr>
        <w:pStyle w:val="TextoNormal"/>
      </w:pPr>
    </w:p>
    <w:p w:rsidR="006B7292" w:rsidRDefault="006B7292" w:rsidP="006B7292">
      <w:pPr>
        <w:pStyle w:val="TextoNormal"/>
      </w:pPr>
      <w:r w:rsidRPr="006B7292">
        <w:rPr>
          <w:rStyle w:val="NumeroAFNegritaCaracter"/>
        </w:rPr>
        <w:t>3</w:t>
      </w:r>
      <w:r>
        <w:t>. Circunscrita la duda a la vulneración de la competencia exclusiva estatal en materia de legislación laboral del art. 149.1.7 CE, es posible apreciar que, en realidad, el órgano judicial aduce contra la validez del precepto autonómico cuestionado dos argumentos que plantea sucesivamente.</w:t>
      </w:r>
    </w:p>
    <w:p w:rsidR="006B7292" w:rsidRDefault="006B7292" w:rsidP="006B7292">
      <w:pPr>
        <w:pStyle w:val="TextoNormal"/>
      </w:pPr>
    </w:p>
    <w:p w:rsidR="006B7292" w:rsidRDefault="006B7292" w:rsidP="006B7292">
      <w:pPr>
        <w:pStyle w:val="TextoNormal"/>
      </w:pPr>
      <w:r>
        <w:t>El primero consiste en que, con anterioridad a la entrada en vigor del Real Decreto-ley 20/2012, no existía norma legal que habilitase para modificar los convenios colectivos, duda de constitucionalidad ya expresamente resuelta en sentido negativo por la doctrina constitucional. Así, el ATC 85/2011, de 7 de junio, FJ 8, señala que “del art. 37.1 CE no emana ni deriva la supuesta intangibilidad o inalterabilidad del convenio colectivo frente a la norma legal, incluso aunque se trate de una norma sobrevenida (STC 210/1990, de 20 de diciembre, FFJJ 2 y 3), insistiendo el Tribunal en el contexto de esta declaración, en que, en virtud del principio de jerarquía normativa, es el convenio colectivo el que debe respetar y someterse no sólo a la ley formal, sino, más genéricamente, a las normas de mayor rango jerárquico y no al contrario (ibídem; en el mismo sentido, SSTC 177/1988, de 10 de octubre, FJ 4; 171/1989, de 19 de octubre, FJ 2; 92/1994, de 21 de marzo, FJ 2; y 62/2001, de 1 de marzo, FJ 3; ATC 34/2005, de 31 de enero, FJ 5)”.</w:t>
      </w:r>
    </w:p>
    <w:p w:rsidR="006B7292" w:rsidRDefault="006B7292" w:rsidP="006B7292">
      <w:pPr>
        <w:pStyle w:val="TextoNormal"/>
      </w:pPr>
    </w:p>
    <w:p w:rsidR="006B7292" w:rsidRDefault="006B7292" w:rsidP="006B7292">
      <w:pPr>
        <w:pStyle w:val="TextoNormal"/>
      </w:pPr>
      <w:r w:rsidRPr="006B7292">
        <w:rPr>
          <w:rStyle w:val="NumeroAFNegritaCaracter"/>
        </w:rPr>
        <w:t>4</w:t>
      </w:r>
      <w:r>
        <w:t xml:space="preserve">. Relacionada con la anterior, el órgano judicial plantea una duda de carácter netamente competencial, al discutir que una Comunidad Autónoma —en el presente caso, Canarias— tenga competencia para aprobar una norma de ese contenido, pues considera que la suspensión de cualesquiera aspectos incluidos en cualquier convenio colectivo, con independencia de su ámbito de aplicación y su contenido, constituye </w:t>
      </w:r>
      <w:r w:rsidRPr="006B7292">
        <w:rPr>
          <w:i/>
        </w:rPr>
        <w:t>per se</w:t>
      </w:r>
      <w:r>
        <w:t xml:space="preserve"> legislación laboral, materia que pertenecería exclusivamente a la competencia estatal (art. 149.1.7 CE), ya que los convenios colectivos mejoran las condiciones mínimas fijadas por el Estatuto de los trabajadores.</w:t>
      </w:r>
    </w:p>
    <w:p w:rsidR="006B7292" w:rsidRDefault="006B7292" w:rsidP="006B7292">
      <w:pPr>
        <w:pStyle w:val="TextoNormal"/>
      </w:pPr>
    </w:p>
    <w:p w:rsidR="006B7292" w:rsidRDefault="006B7292" w:rsidP="006B7292">
      <w:pPr>
        <w:pStyle w:val="TextoNormal"/>
      </w:pPr>
      <w:r>
        <w:t>No cabe duda de que el art. 149.1.7 CE reserva al Estado la facultad exclusiva en cuanto a la producción de las normas que disciplinan la materia laboral con carácter general. No obstante, el órgano judicial obvia en su planteamiento que la norma cuestionada no pretende regular con carácter general el régimen de la negociación colectiva o la fuerza vinculante de los convenios, extremos propios de la legislación laboral reservada al Estado, sino que tiene una finalidad mucho más modesta. La disposición cuestionada no se refiere a una regulación laboral general, sino a condiciones concretas reconocidas al personal laboral al servicio de la propia Comunidad Autónoma en una materia —la gestión u ordenación de su propio personal— en la que la Comunidad Autónoma ostenta competencias, de conformidad con el Estatuto de los trabajadores y el Estatuto básico del empleado público. En suma, como pone de manifiesto la Fiscal General del Estado, se trata, efectivamente, de una medida de gestión del propio personal que, en modo alguno, invade o contradice lo dispuesto en la legislación laboral estatal.</w:t>
      </w:r>
    </w:p>
    <w:p w:rsidR="006B7292" w:rsidRDefault="006B7292" w:rsidP="006B7292">
      <w:pPr>
        <w:pStyle w:val="TextoNormal"/>
      </w:pPr>
    </w:p>
    <w:p w:rsidR="006B7292" w:rsidRDefault="006B7292" w:rsidP="006B7292">
      <w:pPr>
        <w:pStyle w:val="TextoNormal"/>
      </w:pPr>
      <w:r>
        <w:t>Por otra parte, el planteamiento del órgano judicial lleva a un entendimiento prácticamente ilimitado del concepto de “legislación laboral”, pues si éste fuera correcto, sólo el Estado podría suspender o modificar aspectos incluidos en los convenios colectivos suscritos por las Administraciones autonómicas y locales con su propio personal laboral. No parece lógico reconocer a la Administración canaria competencia para concluir convenios colectivos con su personal laboral y negársela para suspenderlos, cuando ello venga requerido por el interés general.</w:t>
      </w:r>
    </w:p>
    <w:p w:rsidR="006B7292" w:rsidRDefault="006B7292" w:rsidP="006B7292">
      <w:pPr>
        <w:pStyle w:val="TextoNormal"/>
      </w:pPr>
    </w:p>
    <w:p w:rsidR="006B7292" w:rsidRDefault="006B7292" w:rsidP="006B7292">
      <w:pPr>
        <w:pStyle w:val="TextoNormal"/>
      </w:pPr>
      <w:r>
        <w:t>Por el contrario, la norma autonómica no incide sobre la materia “legislación laboral” en el sentido del art. 149.1.7 CE, ya que no se refiere a una regulación laboral general, sino a condiciones concretas de los empleados públicos de la propia Comunidad Autónoma, sin afectar a la estructura básica y general de la normativa social ni a sus categorías nucleares. Tampoco tiene por objeto fijar condiciones de trabajo que alteren los mínimos indisponibles establecidos por la legislación estatal.</w:t>
      </w:r>
    </w:p>
    <w:p w:rsidR="006B7292" w:rsidRDefault="006B7292" w:rsidP="006B7292">
      <w:pPr>
        <w:pStyle w:val="TextoNormal"/>
      </w:pPr>
    </w:p>
    <w:p w:rsidR="006B7292" w:rsidRDefault="006B7292" w:rsidP="006B7292">
      <w:pPr>
        <w:pStyle w:val="TextoNormal"/>
      </w:pPr>
      <w:r>
        <w:t>En consecuencia, ha de rechazarse la pretendida vulneración del art. 149.1.7 CE y, consecuentemente, declararse que la presente cuestión de inconstitucionalidad resulta manifiestamente infundada.</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Inadmitir a trámite la presente cuestión de inconstitucionalidad.</w:t>
      </w:r>
    </w:p>
    <w:p w:rsidR="006B7292" w:rsidRDefault="006B7292" w:rsidP="006B7292">
      <w:pPr>
        <w:pStyle w:val="TextoNormal"/>
      </w:pPr>
    </w:p>
    <w:p w:rsidR="006B7292" w:rsidRDefault="006B7292" w:rsidP="006B7292">
      <w:pPr>
        <w:pStyle w:val="TextoNormal"/>
      </w:pPr>
      <w:r>
        <w:t>Madrid, a quince de diciembre de dos mil quince.</w:t>
      </w:r>
    </w:p>
    <w:p w:rsidR="006B7292" w:rsidRDefault="006B7292">
      <w:pPr>
        <w:spacing w:after="160" w:line="259" w:lineRule="auto"/>
        <w:rPr>
          <w:rFonts w:ascii="Times New Roman" w:eastAsia="Times New Roman" w:hAnsi="Times New Roman" w:cs="Times New Roman"/>
          <w:sz w:val="24"/>
          <w:szCs w:val="24"/>
          <w:lang w:eastAsia="es-ES"/>
        </w:rPr>
      </w:pPr>
      <w:r>
        <w:br w:type="page"/>
      </w:r>
    </w:p>
    <w:p w:rsidR="006B7292" w:rsidRDefault="006B7292" w:rsidP="006B7292">
      <w:pPr>
        <w:pStyle w:val="TtuloResolucin"/>
      </w:pPr>
      <w:bookmarkStart w:id="243" w:name="AUTO_2015_229"/>
      <w:r>
        <w:t>AUTO 229/2015, de 15 de diciembre de 2015</w:t>
      </w:r>
    </w:p>
    <w:bookmarkEnd w:id="243"/>
    <w:p w:rsidR="006B7292" w:rsidRDefault="006B7292" w:rsidP="006B7292">
      <w:pPr>
        <w:pStyle w:val="TtuloResolucin"/>
      </w:pPr>
      <w:r>
        <w:t>Pleno</w:t>
      </w:r>
    </w:p>
    <w:p w:rsidR="006B7292" w:rsidRDefault="006B7292" w:rsidP="006B7292">
      <w:pPr>
        <w:pStyle w:val="TextoNormalCentrado"/>
      </w:pPr>
      <w:r>
        <w:t>ECLI:ES:TC:2015:229A</w:t>
      </w:r>
    </w:p>
    <w:p w:rsidR="006B7292" w:rsidRDefault="006B7292" w:rsidP="006B7292">
      <w:pPr>
        <w:pStyle w:val="TextoNormalCentrado"/>
      </w:pPr>
    </w:p>
    <w:p w:rsidR="006B7292" w:rsidRDefault="006B7292" w:rsidP="006B7292">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6B7292" w:rsidRDefault="006B7292" w:rsidP="006B7292">
      <w:pPr>
        <w:pStyle w:val="SntesisDescriptiva"/>
      </w:pPr>
    </w:p>
    <w:p w:rsidR="006B7292" w:rsidRDefault="006B7292" w:rsidP="006B7292">
      <w:pPr>
        <w:pStyle w:val="SntesisDescriptiva"/>
      </w:pPr>
      <w:r>
        <w:t>Inadmite a trámite la cuestión de inconstitucionalidad 5105-2015, planteada por la Sala de lo Social del Tribunal Superior de Justicia de Canarias en relación con la disposición vigésima octava de la Ley 11/2010, de 30 de diciembre, de presupuestos generales de la Comunidad Autónoma de Canarias.</w:t>
      </w:r>
    </w:p>
    <w:p w:rsidR="006B7292" w:rsidRDefault="006B7292" w:rsidP="006B7292">
      <w:pPr>
        <w:pStyle w:val="SntesisDescriptiva"/>
      </w:pPr>
    </w:p>
    <w:p w:rsidR="006B7292" w:rsidRDefault="006B7292" w:rsidP="006B7292">
      <w:pPr>
        <w:pStyle w:val="SntesisDescriptiva"/>
      </w:pPr>
    </w:p>
    <w:p w:rsidR="006B7292" w:rsidRDefault="006B7292" w:rsidP="006B7292">
      <w:pPr>
        <w:pStyle w:val="SntesisDescriptiva"/>
      </w:pPr>
    </w:p>
    <w:p w:rsidR="006B7292" w:rsidRDefault="006B7292" w:rsidP="006B7292">
      <w:pPr>
        <w:pStyle w:val="TextoNormalNegritaCentrado"/>
      </w:pPr>
      <w:r>
        <w:t>AUTO</w:t>
      </w:r>
    </w:p>
    <w:p w:rsidR="006B7292" w:rsidRDefault="006B7292" w:rsidP="006B7292">
      <w:pPr>
        <w:pStyle w:val="TextoNormalNegritaCentrado"/>
      </w:pPr>
    </w:p>
    <w:p w:rsidR="006B7292" w:rsidRDefault="006B7292" w:rsidP="006B7292">
      <w:pPr>
        <w:pStyle w:val="TextoNormalNegritaCentrado"/>
        <w:keepNext/>
      </w:pPr>
      <w:r>
        <w:t>I. Antecedentes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El día 15 de septiembre de 2015 tuvo entrada en el Registro General de este Tribunal escrito de la Sala de lo Social del Tribunal Superior de Justicia de Canarias, al que se acompaña, además del testimonio del correspondiente procedimiento, Auto de 2 de septiembre de 2015 por el que se plantea cuestión de inconstitucionalidad en relación con la disposición adicional vigésima octava, apartado 2 a), de la Ley 11/2010, de 30 de diciembre, de presupuestos generales de la Comunidad Autónoma de Canarias por vulneración del art. 149.1.7 CE.</w:t>
      </w:r>
    </w:p>
    <w:p w:rsidR="006B7292" w:rsidRDefault="006B7292" w:rsidP="006B7292">
      <w:pPr>
        <w:pStyle w:val="TextoNormal"/>
      </w:pPr>
    </w:p>
    <w:p w:rsidR="006B7292" w:rsidRDefault="006B7292" w:rsidP="006B7292">
      <w:pPr>
        <w:pStyle w:val="TextoNormal"/>
      </w:pPr>
      <w:r w:rsidRPr="006B7292">
        <w:rPr>
          <w:rStyle w:val="NumeroAFNegritaCaracter"/>
        </w:rPr>
        <w:t>2</w:t>
      </w:r>
      <w:r>
        <w:t>. Los hechos que pueden ser relevantes en este proceso constitucional son:</w:t>
      </w:r>
    </w:p>
    <w:p w:rsidR="006B7292" w:rsidRDefault="006B7292" w:rsidP="006B7292">
      <w:pPr>
        <w:pStyle w:val="TextoNormal"/>
      </w:pPr>
    </w:p>
    <w:p w:rsidR="006B7292" w:rsidRDefault="006B7292" w:rsidP="006B7292">
      <w:pPr>
        <w:pStyle w:val="TextoNormal"/>
      </w:pPr>
      <w:r>
        <w:t>a) Con fecha de 7 de junio de 2011, una empleada pública, con condición de personal laboral al servicio de la Consejería de Educación, Universidades, Cultura y Deportes en la Administración autonómica de Canarias, formuló solicitud para compensar el festivo 1 de enero de 2011, que coincidió con descanso semanal, por otro día de permiso, en aplicación del art. 18 del III del convenio colectivo para el personal laboral de la Comunidad Autónoma de Canarias (“BOC” 18/1992, de 6 de febrero).</w:t>
      </w:r>
    </w:p>
    <w:p w:rsidR="006B7292" w:rsidRDefault="006B7292" w:rsidP="006B7292">
      <w:pPr>
        <w:pStyle w:val="TextoNormal"/>
      </w:pPr>
    </w:p>
    <w:p w:rsidR="006B7292" w:rsidRDefault="006B7292" w:rsidP="006B7292">
      <w:pPr>
        <w:pStyle w:val="TextoNormal"/>
      </w:pPr>
      <w:r>
        <w:t>b) La solicitud fue denegada por la Administración autonómica alegando que el art. 18 del convenio colectivo estaba suspendido por la disposición adicional vigésima octava, apartado 2 a), de la Ley 11/2010 de presupuestos generales de la Comunidad Autónoma de Canarias para 2011.</w:t>
      </w:r>
    </w:p>
    <w:p w:rsidR="006B7292" w:rsidRDefault="006B7292" w:rsidP="006B7292">
      <w:pPr>
        <w:pStyle w:val="TextoNormal"/>
      </w:pPr>
    </w:p>
    <w:p w:rsidR="006B7292" w:rsidRDefault="006B7292" w:rsidP="006B7292">
      <w:pPr>
        <w:pStyle w:val="TextoNormal"/>
      </w:pPr>
      <w:r>
        <w:t>c) Con fecha de 16 de septiembre de 2011 se interpuso demanda contra dicha resolución, que se tramitó por el procedimiento ordinario con el núm. 905-2011. La Sentencia del Juzgado de lo Social núm. 8 de Las Palmas de 29 de septiembre de 2012 desestimó la demanda.</w:t>
      </w:r>
    </w:p>
    <w:p w:rsidR="006B7292" w:rsidRDefault="006B7292" w:rsidP="006B7292">
      <w:pPr>
        <w:pStyle w:val="TextoNormal"/>
      </w:pPr>
    </w:p>
    <w:p w:rsidR="006B7292" w:rsidRDefault="006B7292" w:rsidP="006B7292">
      <w:pPr>
        <w:pStyle w:val="TextoNormal"/>
      </w:pPr>
      <w:r>
        <w:t>d) La recurrente interpuso recurso de suplicación contra la Sentencia del Juzgado de lo Social, en el que, con carácter previo y antes de articular los motivos del recurso y tras citar los arts. 163 CE y 35 de la Ley Orgánica del Tribunal Constitucional (LOTC), solicitó que la Sala propusiera cuestión de inconstitucionalidad, al entender que para la estimación de la demanda era de aplicación el art. 18 del III del convenio colectivo para el personal laboral de la Comunidad Autónoma de Canarias, el cual había sido suspendido por la disposición adicional vigésima octava, apartado 2 a), de la Ley 11/2010 de presupuestos generales de la Comunidad Autónoma de Canarias para 2011.</w:t>
      </w:r>
    </w:p>
    <w:p w:rsidR="006B7292" w:rsidRDefault="006B7292" w:rsidP="006B7292">
      <w:pPr>
        <w:pStyle w:val="TextoNormal"/>
      </w:pPr>
    </w:p>
    <w:p w:rsidR="006B7292" w:rsidRDefault="006B7292" w:rsidP="006B7292">
      <w:pPr>
        <w:pStyle w:val="TextoNormal"/>
      </w:pPr>
      <w:r>
        <w:t xml:space="preserve">El motivo único de su recurso consistía en que la Sentencia de instancia solo atendía a la primacía de la Ley sobre los convenios colectivos, en virtud del principio de jerarquía normativa, y que la disposición adicional vigésima octava, apartado 2 a), de la Ley 11/2010 de presupuestos generales de la Comunidad Autónoma de Canarias para 2011 era inconstitucional, pues invadía las competencias exclusivas del Estado central </w:t>
      </w:r>
      <w:r w:rsidRPr="006B7292">
        <w:rPr>
          <w:i/>
        </w:rPr>
        <w:t>ex</w:t>
      </w:r>
      <w:r>
        <w:t xml:space="preserve"> art. 149.1.7 CE.</w:t>
      </w:r>
    </w:p>
    <w:p w:rsidR="006B7292" w:rsidRDefault="006B7292" w:rsidP="006B7292">
      <w:pPr>
        <w:pStyle w:val="TextoNormal"/>
      </w:pPr>
    </w:p>
    <w:p w:rsidR="006B7292" w:rsidRDefault="006B7292" w:rsidP="006B7292">
      <w:pPr>
        <w:pStyle w:val="TextoNormal"/>
      </w:pPr>
      <w:r>
        <w:t>e) Por providencia de 27 de junio de 2014, la Sala declaró que se le planteaban dudas sobre la constitucionalidad de la disposición adicional vigésima octava, apartado 2 a), de la Ley 11/2010 de presupuestos generales de la Comunidad Autónoma de Canarias para 2011, por posible exceso competencial con vulneración del art. 149.1.7 CE. Señaló que dicho precepto de la Ley autonómica, por el que se suspendía para el año 2011 la aplicación del art. 18 del convenio colectivo del personal laboral de la Comunidad Autónoma de Canarias en cuanto a la compensación de los festivos no trabajados coincidentes con el descanso semanal con un día de permiso, no tenía anclaje en el ámbito del art. 149.1.18 CE, sino que legislaba sobre una materia estrictamente laboral, la relativa al descanso semanal del personal de la Administración autonómica con vínculo laboral, respecto a la que, tanto la legislación básica estatal (arts. 37 de la Ley del estatuto de los trabajadores: LET y 51 de la Ley del estatuto básico del empleado público: LEEP) como la autonómica que lo desarrolla (art. 67.3 de la Ley 2/1987 de la función pública canaria), instauran un régimen jurídico de derecho necesario relativo solo disponible por los convenios colectivos, cuya eficacia normativa y fuerza vinculante garantizan los arts. 37 CE y 82 y sigs. LET, de manera que podría producirse una invasión, sin habilitación legal para ello, de la reserva de la competencia exclusiva del Estado establecida en el art. 149.1.7 CE.</w:t>
      </w:r>
    </w:p>
    <w:p w:rsidR="006B7292" w:rsidRDefault="006B7292" w:rsidP="006B7292">
      <w:pPr>
        <w:pStyle w:val="TextoNormal"/>
      </w:pPr>
    </w:p>
    <w:p w:rsidR="006B7292" w:rsidRDefault="006B7292" w:rsidP="006B7292">
      <w:pPr>
        <w:pStyle w:val="TextoNormal"/>
      </w:pPr>
      <w:r>
        <w:t>Por ello, concluía la providencia, dependiendo la resolución del recurso de la aplicación del apartado 2 a) de la disposición adicional vigésima octava de la Ley 11/2010 y de su ajuste al marco constitucional, conforme al art. 35.2 LOTC, se procedió a conferir a las partes y al Ministerio Fiscal un plazo de diez días para que formulen alegaciones sobre la pertinencia de plantear cuestión de inconstitucionalidad.</w:t>
      </w:r>
    </w:p>
    <w:p w:rsidR="006B7292" w:rsidRDefault="006B7292" w:rsidP="006B7292">
      <w:pPr>
        <w:pStyle w:val="TextoNormal"/>
      </w:pPr>
    </w:p>
    <w:p w:rsidR="006B7292" w:rsidRDefault="006B7292" w:rsidP="006B7292">
      <w:pPr>
        <w:pStyle w:val="TextoNormal"/>
      </w:pPr>
      <w:r>
        <w:t xml:space="preserve">f) En cumplimiento de ese trámite, el Servicio jurídico del Gobierno de Canarias formuló alegaciones oponiéndose al planteamiento de la cuestión. Sostuvo que una regulación que suspende determinados artículos de un convenio colectivo aplicable exclusivamente al personal al servicio de la Administración autonómica —sin contradecir ni mermar el contenido mínimo de derecho necesario regulación en la legislación laboral— no puede considerarse como legislación laboral en el sentido del art. 149.1.7 CE, pues solo afecta a una norma paccionada que vino a ampliar aquellos mínimos indisponibles en el ejercicio del derecho a la negociación colectiva. El objeto de la competencia estatal </w:t>
      </w:r>
      <w:r w:rsidRPr="006B7292">
        <w:rPr>
          <w:i/>
        </w:rPr>
        <w:t>ex</w:t>
      </w:r>
      <w:r>
        <w:t xml:space="preserve"> art. 149.1.7 CE no es el contenido de la negociación colectiva. El Ministerio Fiscal y el recurrente no formularon alegaciones.</w:t>
      </w:r>
    </w:p>
    <w:p w:rsidR="006B7292" w:rsidRDefault="006B7292" w:rsidP="006B7292">
      <w:pPr>
        <w:pStyle w:val="TextoNormal"/>
      </w:pPr>
    </w:p>
    <w:p w:rsidR="006B7292" w:rsidRDefault="006B7292" w:rsidP="006B7292">
      <w:pPr>
        <w:pStyle w:val="TextoNormal"/>
      </w:pPr>
      <w:r>
        <w:t>g) Por Auto de 2 de septiembre de 2015 la Sala de lo Social del Tribunal Superior de Justicia de Canarias acordó promover cuestión de inconstitucionalidad en relación con la disposición adicional segunda vigésima octava, apartado 2 a), de la Ley 11/2010 de presupuestos generales de la Comunidad Autónoma de Canarias por posible exceso competencial con vulneración del art. 149.1.7 CE.</w:t>
      </w:r>
    </w:p>
    <w:p w:rsidR="006B7292" w:rsidRDefault="006B7292" w:rsidP="006B7292">
      <w:pPr>
        <w:pStyle w:val="TextoNormal"/>
      </w:pPr>
    </w:p>
    <w:p w:rsidR="006B7292" w:rsidRDefault="006B7292" w:rsidP="006B7292">
      <w:pPr>
        <w:pStyle w:val="TextoNormal"/>
      </w:pPr>
      <w:r w:rsidRPr="006B7292">
        <w:rPr>
          <w:rStyle w:val="NumeroAFNegritaCaracter"/>
        </w:rPr>
        <w:t>3</w:t>
      </w:r>
      <w:r>
        <w:t>. Del contenido del Auto de planteamiento interesa destacar lo siguiente:</w:t>
      </w:r>
    </w:p>
    <w:p w:rsidR="006B7292" w:rsidRDefault="006B7292" w:rsidP="006B7292">
      <w:pPr>
        <w:pStyle w:val="TextoNormal"/>
      </w:pPr>
    </w:p>
    <w:p w:rsidR="006B7292" w:rsidRDefault="006B7292" w:rsidP="006B7292">
      <w:pPr>
        <w:pStyle w:val="TextoNormal"/>
      </w:pPr>
      <w:r>
        <w:t>El órgano judicial dedica su primer razonamiento jurídico al juicio de aplicabilidad y de relevancia de la disposición adicional vigésima octava, apartado 2 a), de la Ley 11/2010. Tras detallar las pretensiones de los recurrentes en la demanda rectora del proceso y el motivo único del recurso de suplicación, señala que resulta indudable que la norma aplicable al caso es la citada disposición adicional, “girando el objeto de la controversia judicial tanto en la instancia como en fase de recurso exclusivamente sobre el alcance y el ajuste al marco constitucional de dicha disposición legal” y que “la resolución que haya de dirimir el recurso se subordina a la validez del precepto de la ley autonómica de referencia sobre el que albergamos dudas de constitucionalidad”.</w:t>
      </w:r>
    </w:p>
    <w:p w:rsidR="006B7292" w:rsidRDefault="006B7292" w:rsidP="006B7292">
      <w:pPr>
        <w:pStyle w:val="TextoNormal"/>
      </w:pPr>
    </w:p>
    <w:p w:rsidR="006B7292" w:rsidRDefault="006B7292" w:rsidP="006B7292">
      <w:pPr>
        <w:pStyle w:val="TextoNormal"/>
      </w:pPr>
      <w:r>
        <w:t>El segundo razonamiento jurídico versa sobre el fundamento de la posible tacha de inconstitucionalidad del apartado 2 a) de la disposición adicional vigésima octava de la Ley 11/2010. Tras exponer el contenido del art. 18 del convenio colectivo suspendido, el de la disposición autonómica que lo suspende y realizar una digresión sobre el alcance de la competencia estatal en materia de legislación laboral de acuerdo con la jurisprudencia constitucional, en síntesis se señala que el precepto autonómico viene a privar de vigencia a la regulación de un concreto aspecto atinente a la jornada laboral (las libranzas compensatorias de las fiestas laborales que coinciden con los días de descanso semanal) en la norma convencional por la que se mejoran los mínimos de derecho necesario establecidos en el art. 37 LET, que es la norma estatal básica en la materia para el personal laboral de las administraciones públicas conforme al art. 51 LEEP.</w:t>
      </w:r>
    </w:p>
    <w:p w:rsidR="006B7292" w:rsidRDefault="006B7292" w:rsidP="006B7292">
      <w:pPr>
        <w:pStyle w:val="TextoNormal"/>
      </w:pPr>
    </w:p>
    <w:p w:rsidR="006B7292" w:rsidRDefault="006B7292" w:rsidP="006B7292">
      <w:pPr>
        <w:pStyle w:val="TextoNormal"/>
      </w:pPr>
      <w:r>
        <w:t>En otros términos, señala que la disposición cuestionada “altera sustancialmente el régimen jurídico de la relación laboral de los empleados de la Comunidad Autónoma establecido en una norma colectiva vigente, que se erige en fuente reguladora de los derechos de los trabajadores por cuenta ajena, y conforme al art. 3.1 LET está por debajo de las disposiciones legales y reglamentarias del Estado, no constituye simple ejecución de la legislación laboral estatal para la que está facultada según el art. 33.2 del Estatuto de Autonomía aprobado por LO 10/82, sino que invade las competencias del Estado en la materia contraviniendo el art. 149.1.7 CE”.</w:t>
      </w:r>
    </w:p>
    <w:p w:rsidR="006B7292" w:rsidRDefault="006B7292" w:rsidP="006B7292">
      <w:pPr>
        <w:pStyle w:val="TextoNormal"/>
      </w:pPr>
    </w:p>
    <w:p w:rsidR="006B7292" w:rsidRDefault="006B7292" w:rsidP="006B7292">
      <w:pPr>
        <w:pStyle w:val="TextoNormal"/>
      </w:pPr>
      <w:r>
        <w:t>Adicionalmente se arguye que “no existe fuente normativa de origen legal que establezca un límite máximo a esos aspectos que inciden en la duración de la jornada de trabajo y habilite a las Cortes Generales mediante la correspondiente legislación básica a suspender la aplicación de los preceptos de los convenios estatutarios que la contravengan y como corolario de ello a la Asamblea General de la Comunidad Autónoma de Canarias para adoptar idéntica medida con el orden convencional” y que “no ponemos en tela de juicio que los convenios colectivos no sean inmunes al régimen jurídico de las condiciones laborales establecido en la Ley o en las normas con dicho rango” sino a que “Canarias tenga competencia para dictar una ley que afecte sustancialmente a determinados derechos de sus empleados con vínculo laboral establecidos en el convenio colectivo que les es aplicable, pues a juicio de la Sala en tal caso estaría legislando en materia laboral adentrándose en el ámbito competencial exclusivo del Estado ex art. 149.1.7 CE”.</w:t>
      </w:r>
    </w:p>
    <w:p w:rsidR="006B7292" w:rsidRDefault="006B7292" w:rsidP="006B7292">
      <w:pPr>
        <w:pStyle w:val="TextoNormal"/>
      </w:pPr>
    </w:p>
    <w:p w:rsidR="006B7292" w:rsidRDefault="006B7292" w:rsidP="006B7292">
      <w:pPr>
        <w:pStyle w:val="TextoNormal"/>
      </w:pPr>
      <w:r>
        <w:t>Para el caso de que se entienda que el precepto no constituye legislación laboral, se señala que la medida “no engarza con lo dispuesto en el art. 149.1.13 y 156 de la Carta Magna”. Se señala que la norma cuestionada carece de conexión con cualquier finalidad estrictamente retributiva del personal al servicio de las Administraciones públicas, y por tanto con los ingresos y gastos que integran el presupuesto o con la política económica de la que el mismo es instrumento.</w:t>
      </w:r>
    </w:p>
    <w:p w:rsidR="006B7292" w:rsidRDefault="006B7292" w:rsidP="006B7292">
      <w:pPr>
        <w:pStyle w:val="TextoNormal"/>
      </w:pPr>
    </w:p>
    <w:p w:rsidR="006B7292" w:rsidRDefault="006B7292" w:rsidP="006B7292">
      <w:pPr>
        <w:pStyle w:val="TextoNormal"/>
      </w:pPr>
      <w:r>
        <w:t>Finalmente, se afirma que el precepto cuestionado tampoco tiene cobijo competencial en el art. 149.1.18 CE, que enlaza con Ley 7/2007, de 12 de abril, del estatuto básico del empleado público, pues del efecto combinado de sus arts. 2 y 7 se deprende que dicha norma no se aplica al personal laboral con carácter general, sino únicamente cuando así lo dispone expresamente; y que las Comunidades Autónomas carecen de capacidad normativa para regular la relación laboral del personal a su servicio a través de leyes autonómicas.</w:t>
      </w:r>
    </w:p>
    <w:p w:rsidR="006B7292" w:rsidRDefault="006B7292" w:rsidP="006B7292">
      <w:pPr>
        <w:pStyle w:val="TextoNormal"/>
      </w:pPr>
    </w:p>
    <w:p w:rsidR="006B7292" w:rsidRDefault="006B7292" w:rsidP="006B7292">
      <w:pPr>
        <w:pStyle w:val="TextoNormal"/>
      </w:pPr>
      <w:r w:rsidRPr="006B7292">
        <w:rPr>
          <w:rStyle w:val="NumeroAFNegritaCaracter"/>
        </w:rPr>
        <w:t>4</w:t>
      </w:r>
      <w:r>
        <w:t>. Por providencia de 20 de octubre de 2015 la Sección Tercera acordó, a los efectos que determina el art. 37.1 LOTC, oír al Fiscal General del Estado para que, en el plazo de diez días, alegue lo que considere conveniente acerca de la admisibilidad de la presente cuestión de inconstitucionalidad, por si fuese notoriamente infundada.</w:t>
      </w:r>
    </w:p>
    <w:p w:rsidR="006B7292" w:rsidRDefault="006B7292" w:rsidP="006B7292">
      <w:pPr>
        <w:pStyle w:val="TextoNormal"/>
      </w:pPr>
    </w:p>
    <w:p w:rsidR="006B7292" w:rsidRDefault="006B7292" w:rsidP="006B7292">
      <w:pPr>
        <w:pStyle w:val="TextoNormal"/>
      </w:pPr>
      <w:r w:rsidRPr="006B7292">
        <w:rPr>
          <w:rStyle w:val="NumeroAFNegritaCaracter"/>
        </w:rPr>
        <w:t>5</w:t>
      </w:r>
      <w:r>
        <w:t>. La Fiscal General del Estado presentó sus alegaciones el día 6 de noviembre de 2015 interesando la inadmisión de la cuestión por los motivos que se resumen a continuación.</w:t>
      </w:r>
    </w:p>
    <w:p w:rsidR="006B7292" w:rsidRDefault="006B7292" w:rsidP="006B7292">
      <w:pPr>
        <w:pStyle w:val="TextoNormal"/>
      </w:pPr>
    </w:p>
    <w:p w:rsidR="006B7292" w:rsidRDefault="006B7292" w:rsidP="006B7292">
      <w:pPr>
        <w:pStyle w:val="TextoNormal"/>
      </w:pPr>
      <w:r>
        <w:t>Tras describir los antecedentes del caso y las dudas de constitucionalidad planteadas por el órgano judicial, recoge la doctrina constitucional acerca del significado del art. 149.1.7 CE. Seguidamente señala que la norma cuestionada tiene por objeto la correcta aplicación de la Ley 11/2010, de 30 de diciembre, de presupuestos generales de la Comunidad Autónoma de Canarias, para lo que se suspenden los acuerdos y pactos sindicales firmados en el ámbito del personal funcionario y estatutario al servicio del sector público de la Comunidad Autónoma de Canarias. La norma tiene así un objetivo y fundamento económico y financiero, siendo una medida de contención del gasto inserta en una ley de presupuestos en la que se ha llevado a efecto la congelación de las retribuciones del personal al servicio de la administración autonómica. Como se expone en el Auto, con la norma cuestionada se priva de vigencia a una disposición convencional por la que se mejoraban los mínimos de derecho necesario establecidos en el art. 37 LET que es la norma estatal aplicable para el personal laboral de las Administraciones públicas.</w:t>
      </w:r>
    </w:p>
    <w:p w:rsidR="006B7292" w:rsidRDefault="006B7292" w:rsidP="006B7292">
      <w:pPr>
        <w:pStyle w:val="TextoNormal"/>
      </w:pPr>
    </w:p>
    <w:p w:rsidR="006B7292" w:rsidRDefault="006B7292" w:rsidP="006B7292">
      <w:pPr>
        <w:pStyle w:val="TextoNormal"/>
      </w:pPr>
      <w:r>
        <w:t>La Fiscal General del Estado considera que la disposición adicional cuestionada no incide sobre la legislación laboral en el sentido reconocido constitucionalmente, pues no afecta a la estructura básica y general de la normativa laboral ni a sus categorías fundamentales, se trata de una norma inserta en una normativa más genérica que afecta también al personal funcionario y estatutario y que no va dirigida a la totalidad de los trabajadores, sino, en exclusividad, aquellos que prestan servicios para su empleadora, la Comunidad Autónoma. Se trata, por tanto, de un supuesto igual al contemplado en el ATC 154/2014.</w:t>
      </w:r>
    </w:p>
    <w:p w:rsidR="006B7292" w:rsidRDefault="006B7292" w:rsidP="006B7292">
      <w:pPr>
        <w:pStyle w:val="TextoNormal"/>
      </w:pPr>
    </w:p>
    <w:p w:rsidR="006B7292" w:rsidRDefault="006B7292" w:rsidP="006B7292">
      <w:pPr>
        <w:pStyle w:val="TextoNormal"/>
      </w:pPr>
      <w:r>
        <w:t>Por todo ello, el Ministerio público solicita que se dicte Auto inadmitiendo la cuestión por ser notoriamente infundada.</w:t>
      </w:r>
    </w:p>
    <w:p w:rsidR="006B7292" w:rsidRDefault="006B7292" w:rsidP="006B7292">
      <w:pPr>
        <w:pStyle w:val="TextoNormal"/>
      </w:pPr>
    </w:p>
    <w:p w:rsidR="006B7292" w:rsidRDefault="006B7292" w:rsidP="006B7292">
      <w:pPr>
        <w:pStyle w:val="TextoNormalNegritaCentrado"/>
        <w:keepNext/>
      </w:pPr>
      <w:r>
        <w:t>II. Fundamentos jurídicos</w:t>
      </w:r>
    </w:p>
    <w:p w:rsidR="006B7292" w:rsidRDefault="006B7292" w:rsidP="006B7292">
      <w:pPr>
        <w:pStyle w:val="TextoNormalNegritaCentrado"/>
        <w:keepNext/>
      </w:pPr>
    </w:p>
    <w:p w:rsidR="006B7292" w:rsidRDefault="006B7292" w:rsidP="006B7292">
      <w:pPr>
        <w:pStyle w:val="TextoNormal"/>
      </w:pPr>
      <w:r w:rsidRPr="006B7292">
        <w:rPr>
          <w:rStyle w:val="NumeroAFNegritaCaracter"/>
        </w:rPr>
        <w:t>1</w:t>
      </w:r>
      <w:r>
        <w:t>. La Sala de lo Social del Tribunal Superior de Justicia de Canarias promueve cuestión de inconstitucionalidad en relación con la disposición adicional vigésimo octava, apartado 2 a), de la Ley 11/2010, de 30 de diciembre, de presupuestos generales de la Comunidad Autónoma de Canarias por vulneración del art. 149.1.7 CE.</w:t>
      </w:r>
    </w:p>
    <w:p w:rsidR="006B7292" w:rsidRDefault="006B7292" w:rsidP="006B7292">
      <w:pPr>
        <w:pStyle w:val="TextoNormal"/>
      </w:pPr>
    </w:p>
    <w:p w:rsidR="006B7292" w:rsidRDefault="006B7292" w:rsidP="006B7292">
      <w:pPr>
        <w:pStyle w:val="TextoNormal"/>
      </w:pPr>
      <w:r>
        <w:t>El precepto cuestionado dispone lo siguiente:</w:t>
      </w:r>
    </w:p>
    <w:p w:rsidR="006B7292" w:rsidRDefault="006B7292" w:rsidP="006B7292">
      <w:pPr>
        <w:pStyle w:val="TextoNormal"/>
      </w:pPr>
    </w:p>
    <w:p w:rsidR="006B7292" w:rsidRDefault="006B7292" w:rsidP="006B7292">
      <w:pPr>
        <w:pStyle w:val="TextoNormal"/>
      </w:pPr>
      <w:r>
        <w:t>“Disposición adicional vigésima octava. Suspensión de pactos y acuerdos sindicales y de artículos del convenio colectivo.</w:t>
      </w:r>
    </w:p>
    <w:p w:rsidR="006B7292" w:rsidRDefault="006B7292" w:rsidP="006B7292">
      <w:pPr>
        <w:pStyle w:val="TextoNormal"/>
      </w:pPr>
    </w:p>
    <w:p w:rsidR="006B7292" w:rsidRDefault="006B7292" w:rsidP="006B7292">
      <w:pPr>
        <w:pStyle w:val="TextoNormal"/>
      </w:pPr>
      <w:r>
        <w:t>1. Durante el ejercicio 2011, se suspenden los acuerdos y pactos sindicales firmados en el ámbito del personal funcionario y estatutario, y del laboral, al servicio del sector público de la Comunidad Autónoma de Canarias, en los términos necesarios para la correcta aplicación de esta ley.</w:t>
      </w:r>
    </w:p>
    <w:p w:rsidR="006B7292" w:rsidRDefault="006B7292" w:rsidP="006B7292">
      <w:pPr>
        <w:pStyle w:val="TextoNormal"/>
      </w:pPr>
    </w:p>
    <w:p w:rsidR="006B7292" w:rsidRDefault="006B7292" w:rsidP="006B7292">
      <w:pPr>
        <w:pStyle w:val="TextoNormal"/>
      </w:pPr>
      <w:r>
        <w:t>2. Por lo que se refiere al III Convenio Colectivo del Personal Laboral de la Comunidad Autónoma de Canarias, se suspenden las siguientes disposiciones para el año 2011:</w:t>
      </w:r>
    </w:p>
    <w:p w:rsidR="006B7292" w:rsidRDefault="006B7292" w:rsidP="006B7292">
      <w:pPr>
        <w:pStyle w:val="TextoNormal"/>
      </w:pPr>
    </w:p>
    <w:p w:rsidR="006B7292" w:rsidRDefault="006B7292" w:rsidP="006B7292">
      <w:pPr>
        <w:pStyle w:val="TextoNormal"/>
      </w:pPr>
      <w:r>
        <w:t>a) La aplicación del artículo 18, relativo al descanso semanal, en cuanto a la compensación con un día de permiso de los festivos no trabajados coincidentes con el descanso semanal…</w:t>
      </w:r>
    </w:p>
    <w:p w:rsidR="006B7292" w:rsidRDefault="006B7292" w:rsidP="006B7292">
      <w:pPr>
        <w:pStyle w:val="TextoNormal"/>
      </w:pPr>
    </w:p>
    <w:p w:rsidR="006B7292" w:rsidRDefault="006B7292" w:rsidP="006B7292">
      <w:pPr>
        <w:pStyle w:val="TextoNormal"/>
      </w:pPr>
      <w:r>
        <w:t>El órgano judicial considera que el precepto autonómico, al privar de vigencia a la regulación convencional de un concreto aspecto de la jornada del personal laboral al servicio de la Comunidad Autónoma (las libranzas compensatorias de las fiestas laborales que coinciden con los días de descanso semanal) está legislando en materia laboral, vulnerando con ello el art. 149.1.7 CE que reserva dicha competencia al Estado.</w:t>
      </w:r>
    </w:p>
    <w:p w:rsidR="006B7292" w:rsidRDefault="006B7292" w:rsidP="006B7292">
      <w:pPr>
        <w:pStyle w:val="TextoNormal"/>
      </w:pPr>
    </w:p>
    <w:p w:rsidR="006B7292" w:rsidRDefault="006B7292" w:rsidP="006B7292">
      <w:pPr>
        <w:pStyle w:val="TextoNormal"/>
      </w:pPr>
      <w:r>
        <w:t>La Fiscal General del Estado, por las razones expuestas en los antecedentes, ha interesado la inadmisión de la cuestión por considerarla notoriamente infundada”.</w:t>
      </w:r>
    </w:p>
    <w:p w:rsidR="006B7292" w:rsidRDefault="006B7292" w:rsidP="006B7292">
      <w:pPr>
        <w:pStyle w:val="TextoNormal"/>
      </w:pPr>
    </w:p>
    <w:p w:rsidR="006B7292" w:rsidRDefault="006B7292" w:rsidP="006B7292">
      <w:pPr>
        <w:pStyle w:val="TextoNormal"/>
      </w:pPr>
      <w:r w:rsidRPr="006B7292">
        <w:rPr>
          <w:rStyle w:val="NumeroAFNegritaCaracter"/>
        </w:rPr>
        <w:t>2</w:t>
      </w:r>
      <w:r>
        <w:t xml:space="preserve">. De acuerdo con lo previsto en el art. 37.1 de la Ley Orgánica del Tribunal Constitucional (LOTC), este Tribunal puede rechazar </w:t>
      </w:r>
      <w:r w:rsidRPr="006B7292">
        <w:rPr>
          <w:i/>
        </w:rPr>
        <w:t>a limine</w:t>
      </w:r>
      <w:r>
        <w:t xml:space="preserve"> las cuestiones de inconstitucionalidad, mediante Auto y sin otra audiencia que la del Fiscal General del Estado, si faltaren las condiciones procesales o fueran notoriamente infundadas.</w:t>
      </w:r>
    </w:p>
    <w:p w:rsidR="006B7292" w:rsidRDefault="006B7292" w:rsidP="006B7292">
      <w:pPr>
        <w:pStyle w:val="TextoNormal"/>
      </w:pPr>
    </w:p>
    <w:p w:rsidR="006B7292" w:rsidRDefault="006B7292" w:rsidP="006B7292">
      <w:pPr>
        <w:pStyle w:val="TextoNormal"/>
      </w:pPr>
      <w:r>
        <w:t>Efectivamente, la cuestión planteada ha de considerarse notoriamente infundada en el significado que a esta noción le viene dando la doctrina de este Tribunal (por todos, AATC 71/2008, de 26 de febrero, FJ 2, y 32/2009, de 27 de enero, FJ 3), que no implica un juicio peyorativo sobre la duda de constitucionalidad que traslada el órgano judicial, pero que procesalmente otorga a este Tribunal un cierto margen de apreciación a la hora de controlar la solidez de la fundamentación de las cuestiones de inconstitucionalidad, realizando un examen preliminar de la prosperabilidad de las mismas (ATC 43/2014, de 12 de febrero, FJ 3).</w:t>
      </w:r>
    </w:p>
    <w:p w:rsidR="006B7292" w:rsidRDefault="006B7292" w:rsidP="006B7292">
      <w:pPr>
        <w:pStyle w:val="TextoNormal"/>
      </w:pPr>
    </w:p>
    <w:p w:rsidR="006B7292" w:rsidRDefault="006B7292" w:rsidP="006B7292">
      <w:pPr>
        <w:pStyle w:val="TextoNormal"/>
      </w:pPr>
      <w:r>
        <w:t xml:space="preserve">No obstante, hay que advertir previamente que nuestra doctrina exige, como regla general, que exista identidad entre los criterios constitucionales que emplea el órgano judicial para formular sus dudas a las partes en el proceso y a este Tribunal y aquellos que esas mismas partes han tenido oportunidad de conocer, proponer y alegar en el trámite previo del art. 35.2 LOTC (SSTC 138/2005, de 26 de mayo, FJ 2, y 120/2000, de 10 de mayo, FJ 2). Conforme a dicha doctrina la introducción </w:t>
      </w:r>
      <w:r w:rsidRPr="006B7292">
        <w:rPr>
          <w:i/>
        </w:rPr>
        <w:t>ex novo</w:t>
      </w:r>
      <w:r>
        <w:t xml:space="preserve"> en el Auto de planteamiento de la cuestión de constitucionalidad de un determinado precepto constitucional supone una infracción de los requisitos procesales del art. 35.2 LOTC únicamente en la medida en que este defecto haya imposibilitado a las partes conocer el contenido de la cuestión para su apreciación e impugnación.</w:t>
      </w:r>
    </w:p>
    <w:p w:rsidR="006B7292" w:rsidRDefault="006B7292" w:rsidP="006B7292">
      <w:pPr>
        <w:pStyle w:val="TextoNormal"/>
      </w:pPr>
    </w:p>
    <w:p w:rsidR="006B7292" w:rsidRDefault="006B7292" w:rsidP="006B7292">
      <w:pPr>
        <w:pStyle w:val="TextoNormal"/>
      </w:pPr>
      <w:r>
        <w:t>Algunos de los argumentos o consideraciones del Auto de planteamiento sobre la inconstitucionalidad del precepto autonómico, no se hallaban mencionados, ni siquiera de forma implícita, en la providencia de 27 de junio de 2014, de modo que las partes nada pudieron alegar sobre ellos. Es el caso de las referencias a que el precepto “no engarza con lo dispuesto en el art. 149.1.13 y 156 de la Carta Magna” o que carece de conexión con cualquier finalidad estrictamente retributiva del personal al servicio de las Administraciones públicas, y por tanto con los ingresos y gastos que integran el presupuesto o con la política económica de la que el mismo es instrumento así como las referencias a una posible vulneración del art. 149.1.18 CE. Estos concretos argumentos o consideraciones no cumplen el requisito previo de la audiencia a las partes y al Ministerio Fiscal y, por tanto, no podrían ser planteadas en el seno de esta cuestión de inconstitucionalidad, que ha de quedar referida exclusivamente a la posible vulneración del art. 149.1.7 CE.</w:t>
      </w:r>
    </w:p>
    <w:p w:rsidR="006B7292" w:rsidRDefault="006B7292" w:rsidP="006B7292">
      <w:pPr>
        <w:pStyle w:val="TextoNormal"/>
      </w:pPr>
    </w:p>
    <w:p w:rsidR="006B7292" w:rsidRDefault="006B7292" w:rsidP="006B7292">
      <w:pPr>
        <w:pStyle w:val="TextoNormal"/>
      </w:pPr>
      <w:r w:rsidRPr="006B7292">
        <w:rPr>
          <w:rStyle w:val="NumeroAFNegritaCaracter"/>
        </w:rPr>
        <w:t>3</w:t>
      </w:r>
      <w:r>
        <w:t>. Circunscrita la duda a la vulneración de la competencia exclusiva estatal en materia de legislación laboral del art. 149.1.7 CE es posible apreciar que, en realidad, el órgano judicial aduce contra la validez del precepto autonómico cuestionado dos argumentos que plantea sucesivamente.</w:t>
      </w:r>
    </w:p>
    <w:p w:rsidR="006B7292" w:rsidRDefault="006B7292" w:rsidP="006B7292">
      <w:pPr>
        <w:pStyle w:val="TextoNormal"/>
      </w:pPr>
    </w:p>
    <w:p w:rsidR="006B7292" w:rsidRDefault="006B7292" w:rsidP="006B7292">
      <w:pPr>
        <w:pStyle w:val="TextoNormal"/>
      </w:pPr>
      <w:r>
        <w:t>El primero es que, con anterioridad a la entrada en vigor del Real Decreto-ley 20/2012, no existía norma legal que habilitase a modificar los convenios colectivos, duda de constitucionalidad ya expresamente resuelta en sentido negativo por la doctrina constitucional. Así, el ATC 85/2011, de 7 de junio, FJ 8, señala que “del art. 37.1 CE no emana ni deriva la supuesta intangibilidad o inalterabilidad del convenio colectivo frente a la norma legal, incluso aunque se trate de una norma sobrevenida (STC 210/1990, de 20 de diciembre, FFJJ 2 y 3), insistiendo el Tribunal en el contexto de esta declaración, en que, en virtud del principio de jerarquía normativa, es el convenio colectivo el que debe respetar y someterse no sólo a la ley formal, sino, más genéricamente, a las normas de mayor rango jerárquico y no al contrario (ibídem; en el mismo sentido, SSTC 177/1988, de 10 de octubre, FJ 4; 171/1989, de 19 de octubre, FJ 2; 92/1994, de 21 de marzo, FJ 2; y 62/2001, de 1 de marzo, FJ 3; ATC 34/2005, de 31 de enero, FJ 5)”.</w:t>
      </w:r>
    </w:p>
    <w:p w:rsidR="006B7292" w:rsidRDefault="006B7292" w:rsidP="006B7292">
      <w:pPr>
        <w:pStyle w:val="TextoNormal"/>
      </w:pPr>
    </w:p>
    <w:p w:rsidR="006B7292" w:rsidRDefault="006B7292" w:rsidP="006B7292">
      <w:pPr>
        <w:pStyle w:val="TextoNormal"/>
      </w:pPr>
      <w:r w:rsidRPr="006B7292">
        <w:rPr>
          <w:rStyle w:val="NumeroAFNegritaCaracter"/>
        </w:rPr>
        <w:t>4</w:t>
      </w:r>
      <w:r>
        <w:t>. Relacionada con la anterior, el órgano judicial plantea una duda de carácter netamente competencial, al discutir que una Comunidad Autónoma —en el presente caso, Canarias— tenga competencia para aprobar una norma de ese contenido, pues considera que la suspensión de cualesquiera aspectos incluidos en cualquier convenio colectivo —esto es, con independencia de su ámbito de aplicación y su contenido— constituye per se legislación laboral, materia que pertenecería exclusivamente a la competencia estatal (art. 149.1.7 CE), ya que los convenios colectivos mejoran las condiciones mínimas fijadas por el Estatuto de los trabajadores.</w:t>
      </w:r>
    </w:p>
    <w:p w:rsidR="006B7292" w:rsidRDefault="006B7292" w:rsidP="006B7292">
      <w:pPr>
        <w:pStyle w:val="TextoNormal"/>
      </w:pPr>
    </w:p>
    <w:p w:rsidR="006B7292" w:rsidRDefault="006B7292" w:rsidP="006B7292">
      <w:pPr>
        <w:pStyle w:val="TextoNormal"/>
      </w:pPr>
      <w:r>
        <w:t>No cabe duda de que el art. 149.1.7 CE reserva al Estado la facultad exclusiva en cuanto a la producción de las normas que disciplinan la materia laboral con carácter general. No obstante, el órgano judicial obvia en su planteamiento que la norma cuestionada no pretende regular con carácter general el régimen de la negociación colectiva o la fuerza vinculante de los convenios, extremos propios de la legislación laboral reservada al Estado, sino que tiene una finalidad mucho más modesta. La disposición cuestionada no se refiere a una regulación laboral general, sino a condiciones concretas reconocidas al personal laboral al servicio de la propia Comunidad Autónoma en una materia —la gestión de su propio personal— en la que la Comunidad Autónoma ostenta competencias, de conformidad con el estatuto de los trabajadores y el estatuto básico del empleado público. En suma, como pone de manifiesto la Fiscal General del Estado, se trata, efectivamente, de una medida de gestión del propio personal que, en modo alguno, invade o contradice lo dispuesto en la legislación laboral estatal.</w:t>
      </w:r>
    </w:p>
    <w:p w:rsidR="006B7292" w:rsidRDefault="006B7292" w:rsidP="006B7292">
      <w:pPr>
        <w:pStyle w:val="TextoNormal"/>
      </w:pPr>
    </w:p>
    <w:p w:rsidR="006B7292" w:rsidRDefault="006B7292" w:rsidP="006B7292">
      <w:pPr>
        <w:pStyle w:val="TextoNormal"/>
      </w:pPr>
      <w:r>
        <w:t>Por otra parte, el planteamiento del órgano judicial lleva a un entendimiento prácticamente ilimitado del concepto de “legislación laboral”, pues si éste fuera correcto, sólo el Estado podría suspender o modificar aspectos incluidos en los convenios colectivos suscritos por las Administraciones autonómicas y locales con su propio personal laboral. No parece lógico reconocer a la Administración canaria competencia para concluir convenios colectivos con su personal laboral y negársela para suspenderlos, cuando ello venga requerido por el interés general.</w:t>
      </w:r>
    </w:p>
    <w:p w:rsidR="006B7292" w:rsidRDefault="006B7292" w:rsidP="006B7292">
      <w:pPr>
        <w:pStyle w:val="TextoNormal"/>
      </w:pPr>
    </w:p>
    <w:p w:rsidR="006B7292" w:rsidRDefault="006B7292" w:rsidP="006B7292">
      <w:pPr>
        <w:pStyle w:val="TextoNormal"/>
      </w:pPr>
      <w:r>
        <w:t>Por el contrario, la norma autonómica no incide sobre la materia “legislación laboral” en el sentido del art. 149.1.7 CE, ya que no se refiere a una regulación laboral general, sino a condiciones concretas de los empleados públicos de la propia Comunidad Autónoma, sin afectar a la estructura básica y general de la normativa social ni a sus categorías nucleares. Tampoco tiene por objeto fijar condiciones de trabajo que alteren los mínimos indisponibles establecidos por la legislación estatal.</w:t>
      </w:r>
    </w:p>
    <w:p w:rsidR="006B7292" w:rsidRDefault="006B7292" w:rsidP="006B7292">
      <w:pPr>
        <w:pStyle w:val="TextoNormal"/>
      </w:pPr>
    </w:p>
    <w:p w:rsidR="006B7292" w:rsidRDefault="006B7292" w:rsidP="006B7292">
      <w:pPr>
        <w:pStyle w:val="TextoNormal"/>
      </w:pPr>
      <w:r>
        <w:t>En consecuencia, ha de rechazarse la pretendida vulneración del art. 149.1.7 CE y, consecuentemente, declararse que la presente cuestión de inconstitucionalidad resulta manifiestamente infundada.</w:t>
      </w:r>
    </w:p>
    <w:p w:rsidR="006B7292" w:rsidRDefault="006B7292" w:rsidP="006B7292">
      <w:pPr>
        <w:pStyle w:val="TextoNormal"/>
      </w:pPr>
    </w:p>
    <w:p w:rsidR="006B7292" w:rsidRDefault="006B7292" w:rsidP="006B7292">
      <w:pPr>
        <w:pStyle w:val="TextoNormal"/>
      </w:pPr>
      <w:r>
        <w:t>Por todo lo expuesto, el Pleno</w:t>
      </w:r>
    </w:p>
    <w:p w:rsidR="006B7292" w:rsidRDefault="006B7292" w:rsidP="006B7292">
      <w:pPr>
        <w:pStyle w:val="TextoNormal"/>
      </w:pPr>
    </w:p>
    <w:p w:rsidR="006B7292" w:rsidRDefault="006B7292" w:rsidP="006B7292">
      <w:pPr>
        <w:pStyle w:val="TextoNormalCentrado"/>
      </w:pPr>
      <w:r>
        <w:t>ACUERDA</w:t>
      </w:r>
    </w:p>
    <w:p w:rsidR="006B7292" w:rsidRDefault="006B7292" w:rsidP="006B7292">
      <w:pPr>
        <w:pStyle w:val="TextoNormalCentrado"/>
      </w:pPr>
    </w:p>
    <w:p w:rsidR="006B7292" w:rsidRDefault="006B7292" w:rsidP="006B7292">
      <w:pPr>
        <w:pStyle w:val="TextoNormal"/>
      </w:pPr>
      <w:r>
        <w:t>Inadmitir a trámite la presente cuestión de inconstitucionalidad.</w:t>
      </w:r>
    </w:p>
    <w:p w:rsidR="006B7292" w:rsidRDefault="006B7292" w:rsidP="006B7292">
      <w:pPr>
        <w:pStyle w:val="TextoNormal"/>
      </w:pPr>
    </w:p>
    <w:p w:rsidR="006B7292" w:rsidRDefault="006B7292" w:rsidP="00981775">
      <w:pPr>
        <w:pStyle w:val="TextoNormal"/>
      </w:pPr>
      <w:r>
        <w:t>Madrid, a quince de diciembre de dos mil quince.</w:t>
      </w:r>
    </w:p>
    <w:p w:rsidR="00981775" w:rsidRDefault="00981775">
      <w:pPr>
        <w:spacing w:after="160" w:line="259" w:lineRule="auto"/>
        <w:rPr>
          <w:rFonts w:ascii="Times New Roman" w:eastAsia="Times New Roman" w:hAnsi="Times New Roman" w:cs="Times New Roman"/>
          <w:sz w:val="24"/>
          <w:szCs w:val="24"/>
          <w:lang w:eastAsia="es-ES"/>
        </w:rPr>
      </w:pPr>
      <w:r>
        <w:br w:type="page"/>
      </w:r>
    </w:p>
    <w:p w:rsidR="00981775" w:rsidRDefault="00981775" w:rsidP="006B7292">
      <w:pPr>
        <w:pStyle w:val="ParrafoNormal"/>
      </w:pPr>
    </w:p>
    <w:p w:rsidR="00981775" w:rsidRDefault="00981775" w:rsidP="00981775">
      <w:pPr>
        <w:pStyle w:val="TextoNormal"/>
      </w:pPr>
    </w:p>
    <w:p w:rsidR="00981775" w:rsidRDefault="00981775" w:rsidP="00981775">
      <w:pPr>
        <w:pStyle w:val="TextoNormal"/>
      </w:pPr>
    </w:p>
    <w:p w:rsidR="00981775" w:rsidRDefault="00981775" w:rsidP="00981775">
      <w:pPr>
        <w:pStyle w:val="TextoNormal"/>
      </w:pPr>
    </w:p>
    <w:p w:rsidR="00981775" w:rsidRDefault="00981775" w:rsidP="00981775">
      <w:pPr>
        <w:pStyle w:val="Ttulondice"/>
        <w:suppressAutoHyphens/>
      </w:pPr>
      <w:r>
        <w:t>3. ÍNDICE DE DISPOSICIONES CON FUERZA DE LEY IMPUGNADAS</w:t>
      </w: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pPr>
    </w:p>
    <w:p w:rsidR="00981775" w:rsidRDefault="00981775" w:rsidP="00981775">
      <w:pPr>
        <w:pStyle w:val="TextoNormal"/>
      </w:pPr>
      <w:bookmarkStart w:id="244" w:name="INDICE22802"/>
      <w:bookmarkEnd w:id="244"/>
    </w:p>
    <w:p w:rsidR="00981775" w:rsidRDefault="00981775" w:rsidP="00981775">
      <w:pPr>
        <w:pStyle w:val="TextoIndiceNivel2"/>
        <w:suppressAutoHyphens/>
      </w:pPr>
      <w:r>
        <w:t>A) Disposiciones con fuerza de ley del Estado</w:t>
      </w:r>
    </w:p>
    <w:p w:rsidR="00981775" w:rsidRDefault="00981775" w:rsidP="00981775">
      <w:pPr>
        <w:pStyle w:val="TextoIndiceNivel2"/>
      </w:pPr>
    </w:p>
    <w:p w:rsidR="00981775" w:rsidRDefault="00981775" w:rsidP="00981775">
      <w:pPr>
        <w:pStyle w:val="TextoNormalNegritaCursivandice"/>
      </w:pPr>
      <w:r>
        <w:t>Decreto 315/1964, de 7 de febrero. Ley articulada de funcionarios civiles del Estado</w:t>
      </w:r>
    </w:p>
    <w:p w:rsidR="00981775" w:rsidRDefault="00981775" w:rsidP="00981775">
      <w:pPr>
        <w:pStyle w:val="SangriaFrancesaArticulo"/>
      </w:pPr>
      <w:r w:rsidRPr="00981775">
        <w:rPr>
          <w:rStyle w:val="TextoNormalNegritaCaracter"/>
        </w:rPr>
        <w:t>Artículo 62.</w:t>
      </w:r>
      <w:r w:rsidRPr="00981775">
        <w:rPr>
          <w:rStyle w:val="TextoNormalCaracter"/>
        </w:rPr>
        <w:t>-</w:t>
      </w:r>
      <w:r>
        <w:t xml:space="preserve"> Auto </w:t>
      </w:r>
      <w:hyperlink w:anchor="AUTO_2015_188" w:history="1">
        <w:r w:rsidRPr="00981775">
          <w:rPr>
            <w:rStyle w:val="TextoNormalCaracter"/>
          </w:rPr>
          <w:t>188/2015</w:t>
        </w:r>
      </w:hyperlink>
      <w:r>
        <w:t>.</w:t>
      </w:r>
    </w:p>
    <w:p w:rsidR="00981775" w:rsidRDefault="00981775" w:rsidP="00981775">
      <w:pPr>
        <w:pStyle w:val="SangriaFrancesaArticulo"/>
      </w:pPr>
    </w:p>
    <w:p w:rsidR="00981775" w:rsidRDefault="00981775" w:rsidP="00981775">
      <w:pPr>
        <w:pStyle w:val="TextoNormalNegritaCursivandice"/>
      </w:pPr>
      <w:r>
        <w:t>Ley Orgánica 6/1985, de 1 de julio. Poder judicial</w:t>
      </w:r>
    </w:p>
    <w:p w:rsidR="00981775" w:rsidRDefault="00981775" w:rsidP="00981775">
      <w:pPr>
        <w:pStyle w:val="SangriaFrancesaArticulo"/>
      </w:pPr>
      <w:r w:rsidRPr="00981775">
        <w:rPr>
          <w:rStyle w:val="TextoNormalNegritaCaracter"/>
        </w:rPr>
        <w:t>Disposición transitoria cuadragésima primera.</w:t>
      </w:r>
      <w:r w:rsidRPr="00981775">
        <w:rPr>
          <w:rStyle w:val="TextoNormalCaracter"/>
        </w:rPr>
        <w:t>-</w:t>
      </w:r>
      <w:r>
        <w:t xml:space="preserve"> Auto </w:t>
      </w:r>
      <w:hyperlink w:anchor="AUTO_2015_172" w:history="1">
        <w:r w:rsidRPr="00981775">
          <w:rPr>
            <w:rStyle w:val="TextoNormalCaracter"/>
          </w:rPr>
          <w:t>172/2015</w:t>
        </w:r>
      </w:hyperlink>
      <w:r>
        <w:t>.</w:t>
      </w:r>
    </w:p>
    <w:p w:rsidR="00981775" w:rsidRDefault="00981775" w:rsidP="00981775">
      <w:pPr>
        <w:pStyle w:val="SangriaFrancesaArticulo"/>
      </w:pPr>
    </w:p>
    <w:p w:rsidR="00981775" w:rsidRDefault="00981775" w:rsidP="00981775">
      <w:pPr>
        <w:pStyle w:val="TextoNormalNegritaCursivandice"/>
      </w:pPr>
      <w:r>
        <w:t>Ley 22/1988, de 28 de julio. Costas</w:t>
      </w:r>
    </w:p>
    <w:p w:rsidR="00981775" w:rsidRDefault="00981775" w:rsidP="00981775">
      <w:pPr>
        <w:pStyle w:val="SangriaFrancesaArticulo"/>
      </w:pPr>
      <w:r w:rsidRPr="00981775">
        <w:rPr>
          <w:rStyle w:val="TextoNormalNegritaCaracter"/>
        </w:rPr>
        <w:t>Disposición transitoria primera, apartado 5.</w:t>
      </w:r>
      <w:r w:rsidRPr="00981775">
        <w:rPr>
          <w:rStyle w:val="TextoNormalCaracter"/>
        </w:rPr>
        <w:t>-</w:t>
      </w:r>
      <w:r>
        <w:t xml:space="preserve"> Sentencia </w:t>
      </w:r>
      <w:hyperlink w:anchor="SENTENCIA_2015_233" w:history="1">
        <w:r w:rsidRPr="00981775">
          <w:rPr>
            <w:rStyle w:val="TextoNormalCaracter"/>
          </w:rPr>
          <w:t>233/2015</w:t>
        </w:r>
      </w:hyperlink>
      <w:r>
        <w:t xml:space="preserve"> (anula).</w:t>
      </w:r>
    </w:p>
    <w:p w:rsidR="00981775" w:rsidRDefault="00981775" w:rsidP="00981775">
      <w:pPr>
        <w:pStyle w:val="SangriaFrancesaArticulo"/>
      </w:pPr>
    </w:p>
    <w:p w:rsidR="00981775" w:rsidRDefault="00981775" w:rsidP="00981775">
      <w:pPr>
        <w:pStyle w:val="TextoNormalNegritaCursivandice"/>
      </w:pPr>
      <w:r>
        <w:t>Ley Orgánica 10/1995, de 23 de noviembre. Código penal</w:t>
      </w:r>
    </w:p>
    <w:p w:rsidR="00981775" w:rsidRDefault="00981775" w:rsidP="00981775">
      <w:pPr>
        <w:pStyle w:val="SangriaFrancesaArticulo"/>
      </w:pPr>
      <w:r w:rsidRPr="00981775">
        <w:rPr>
          <w:rStyle w:val="TextoNormalNegritaCaracter"/>
        </w:rPr>
        <w:t>Artículo 89.1</w:t>
      </w:r>
      <w:r>
        <w:t xml:space="preserve"> (redactado por la Ley Orgánica 5/2010, de 22 de junio)</w:t>
      </w:r>
      <w:r w:rsidRPr="00981775">
        <w:rPr>
          <w:rStyle w:val="TextoNormalNegritaCaracter"/>
        </w:rPr>
        <w:t>.</w:t>
      </w:r>
      <w:r w:rsidRPr="00981775">
        <w:rPr>
          <w:rStyle w:val="TextoNormalCaracter"/>
        </w:rPr>
        <w:t>-</w:t>
      </w:r>
      <w:r>
        <w:t xml:space="preserve"> Auto </w:t>
      </w:r>
      <w:hyperlink w:anchor="AUTO_2015_180" w:history="1">
        <w:r w:rsidRPr="00981775">
          <w:rPr>
            <w:rStyle w:val="TextoNormalCaracter"/>
          </w:rPr>
          <w:t>180/2015</w:t>
        </w:r>
      </w:hyperlink>
      <w:r>
        <w:t>.</w:t>
      </w:r>
    </w:p>
    <w:p w:rsidR="00981775" w:rsidRDefault="00981775" w:rsidP="00981775">
      <w:pPr>
        <w:pStyle w:val="SangriaFrancesaArticulo"/>
      </w:pPr>
    </w:p>
    <w:p w:rsidR="00981775" w:rsidRDefault="00981775" w:rsidP="00981775">
      <w:pPr>
        <w:pStyle w:val="TextoNormalNegritaCursivandice"/>
      </w:pPr>
      <w:r>
        <w:t>Ley Orgánica 4/2000, de 11 de enero. Derechos y libertades de los extranjeros en España y su integración social</w:t>
      </w:r>
    </w:p>
    <w:p w:rsidR="00981775" w:rsidRDefault="00981775" w:rsidP="00981775">
      <w:pPr>
        <w:pStyle w:val="SangriaFrancesaArticulo"/>
      </w:pPr>
      <w:r w:rsidRPr="00981775">
        <w:rPr>
          <w:rStyle w:val="TextoNormalNegritaCaracter"/>
        </w:rPr>
        <w:t>Artículo 9.2</w:t>
      </w:r>
      <w:r>
        <w:t xml:space="preserve"> (redactado por la Ley Orgánica  2/2009, de 11 de diciembre)</w:t>
      </w:r>
      <w:r w:rsidRPr="00981775">
        <w:rPr>
          <w:rStyle w:val="TextoNormalNegritaCaracter"/>
        </w:rPr>
        <w:t>.</w:t>
      </w:r>
      <w:r w:rsidRPr="00981775">
        <w:rPr>
          <w:rStyle w:val="TextoNormalCaracter"/>
        </w:rPr>
        <w:t>-</w:t>
      </w:r>
      <w:r>
        <w:t xml:space="preserve"> Sentencia </w:t>
      </w:r>
      <w:hyperlink w:anchor="SENTENCIA_2015_155" w:history="1">
        <w:r w:rsidRPr="00981775">
          <w:rPr>
            <w:rStyle w:val="TextoNormalCaracter"/>
          </w:rPr>
          <w:t>155/2015</w:t>
        </w:r>
      </w:hyperlink>
      <w:r>
        <w:t>.</w:t>
      </w:r>
    </w:p>
    <w:p w:rsidR="00981775" w:rsidRDefault="00981775" w:rsidP="00981775">
      <w:pPr>
        <w:pStyle w:val="SangriaFrancesaArticulo"/>
      </w:pPr>
    </w:p>
    <w:p w:rsidR="00981775" w:rsidRDefault="00981775" w:rsidP="00981775">
      <w:pPr>
        <w:pStyle w:val="TextoNormalNegritaCursivandice"/>
      </w:pPr>
      <w:r>
        <w:t>Real Decreto Legislativo 5/2000, de 4 de agosto. Texto refundido de la Ley sobre infracciones y sanciones en el orden social</w:t>
      </w:r>
    </w:p>
    <w:p w:rsidR="00981775" w:rsidRDefault="00981775" w:rsidP="00981775">
      <w:pPr>
        <w:pStyle w:val="SangriaFrancesaArticulo"/>
      </w:pPr>
      <w:r w:rsidRPr="00981775">
        <w:rPr>
          <w:rStyle w:val="TextoNormalNegritaCaracter"/>
        </w:rPr>
        <w:t>Artículo 48.5</w:t>
      </w:r>
      <w:r>
        <w:t xml:space="preserve"> (redactado por la Ley 1/2014, de 28 de febrero)</w:t>
      </w:r>
      <w:r w:rsidRPr="00981775">
        <w:rPr>
          <w:rStyle w:val="TextoNormalNegritaCaracter"/>
        </w:rPr>
        <w:t>.</w:t>
      </w:r>
      <w:r w:rsidRPr="00981775">
        <w:rPr>
          <w:rStyle w:val="TextoNormalCaracter"/>
        </w:rPr>
        <w:t>-</w:t>
      </w:r>
      <w:r>
        <w:t xml:space="preserve"> Sentencia </w:t>
      </w:r>
      <w:hyperlink w:anchor="SENTENCIA_2015_272" w:history="1">
        <w:r w:rsidRPr="00981775">
          <w:rPr>
            <w:rStyle w:val="TextoNormalCaracter"/>
          </w:rPr>
          <w:t>272/2015</w:t>
        </w:r>
      </w:hyperlink>
      <w:r>
        <w:t xml:space="preserve"> (anula).</w:t>
      </w:r>
    </w:p>
    <w:p w:rsidR="00981775" w:rsidRDefault="00981775" w:rsidP="00981775">
      <w:pPr>
        <w:pStyle w:val="SangriaFrancesaArticulo"/>
      </w:pPr>
    </w:p>
    <w:p w:rsidR="00981775" w:rsidRDefault="00981775" w:rsidP="00981775">
      <w:pPr>
        <w:pStyle w:val="TextoNormalNegritaCursivandice"/>
      </w:pPr>
      <w:r>
        <w:t>Ley Orgánica 6/2001, de 21 de diciembre. Universidades</w:t>
      </w:r>
    </w:p>
    <w:p w:rsidR="00981775" w:rsidRDefault="00981775" w:rsidP="00981775">
      <w:pPr>
        <w:pStyle w:val="SangriaFrancesaArticulo"/>
      </w:pPr>
      <w:r w:rsidRPr="00981775">
        <w:rPr>
          <w:rStyle w:val="TextoNormalNegritaCaracter"/>
        </w:rPr>
        <w:t>Artículo 27.bis a)</w:t>
      </w:r>
      <w:r>
        <w:t xml:space="preserve"> (redactado por la Ley Orgánica 4/2007, de 12 de abril)</w:t>
      </w:r>
      <w:r w:rsidRPr="00981775">
        <w:rPr>
          <w:rStyle w:val="TextoNormalNegritaCaracter"/>
        </w:rPr>
        <w:t>.</w:t>
      </w:r>
      <w:r w:rsidRPr="00981775">
        <w:rPr>
          <w:rStyle w:val="TextoNormalCaracter"/>
        </w:rPr>
        <w:t>-</w:t>
      </w:r>
      <w:r>
        <w:t xml:space="preserve"> Sentencia </w:t>
      </w:r>
      <w:hyperlink w:anchor="SENTENCIA_2015_176" w:history="1">
        <w:r w:rsidRPr="00981775">
          <w:rPr>
            <w:rStyle w:val="TextoNormalCaracter"/>
          </w:rPr>
          <w:t>176/2015</w:t>
        </w:r>
      </w:hyperlink>
      <w:r>
        <w:t>.</w:t>
      </w:r>
    </w:p>
    <w:p w:rsidR="00981775" w:rsidRDefault="00981775" w:rsidP="00981775">
      <w:pPr>
        <w:pStyle w:val="SangriaFrancesaArticulo"/>
      </w:pPr>
      <w:r w:rsidRPr="00981775">
        <w:rPr>
          <w:rStyle w:val="TextoNormalNegritaCaracter"/>
        </w:rPr>
        <w:t>Artículo 27.1</w:t>
      </w:r>
      <w:r>
        <w:t xml:space="preserve"> (redactado por la Ley Orgánica 4/2007, de 12 de abril)</w:t>
      </w:r>
      <w:r w:rsidRPr="00981775">
        <w:rPr>
          <w:rStyle w:val="TextoNormalNegritaCaracter"/>
        </w:rPr>
        <w:t>.</w:t>
      </w:r>
      <w:r w:rsidRPr="00981775">
        <w:rPr>
          <w:rStyle w:val="TextoNormalCaracter"/>
        </w:rPr>
        <w:t>-</w:t>
      </w:r>
      <w:r>
        <w:t xml:space="preserve"> Sentencia </w:t>
      </w:r>
      <w:hyperlink w:anchor="SENTENCIA_2015_176" w:history="1">
        <w:r w:rsidRPr="00981775">
          <w:rPr>
            <w:rStyle w:val="TextoNormalCaracter"/>
          </w:rPr>
          <w:t>176/2015</w:t>
        </w:r>
      </w:hyperlink>
      <w:r>
        <w:t>.</w:t>
      </w:r>
    </w:p>
    <w:p w:rsidR="00981775" w:rsidRDefault="00981775" w:rsidP="00981775">
      <w:pPr>
        <w:pStyle w:val="SangriaFrancesaArticulo"/>
      </w:pPr>
      <w:r w:rsidRPr="00981775">
        <w:rPr>
          <w:rStyle w:val="TextoNormalNegritaCaracter"/>
        </w:rPr>
        <w:t>Artículo 34</w:t>
      </w:r>
      <w:r>
        <w:t xml:space="preserve"> (redactado por la Ley Orgánica 4/2007, de 12 de abril)</w:t>
      </w:r>
      <w:r w:rsidRPr="00981775">
        <w:rPr>
          <w:rStyle w:val="TextoNormalNegritaCaracter"/>
        </w:rPr>
        <w:t>.</w:t>
      </w:r>
      <w:r w:rsidRPr="00981775">
        <w:rPr>
          <w:rStyle w:val="TextoNormalCaracter"/>
        </w:rPr>
        <w:t>-</w:t>
      </w:r>
      <w:r>
        <w:t xml:space="preserve"> Sentencia </w:t>
      </w:r>
      <w:hyperlink w:anchor="SENTENCIA_2015_176" w:history="1">
        <w:r w:rsidRPr="00981775">
          <w:rPr>
            <w:rStyle w:val="TextoNormalCaracter"/>
          </w:rPr>
          <w:t>176/2015</w:t>
        </w:r>
      </w:hyperlink>
      <w:r>
        <w:t>.</w:t>
      </w:r>
    </w:p>
    <w:p w:rsidR="00981775" w:rsidRDefault="00981775" w:rsidP="00981775">
      <w:pPr>
        <w:pStyle w:val="SangriaFrancesaArticulo"/>
      </w:pPr>
      <w:r w:rsidRPr="00981775">
        <w:rPr>
          <w:rStyle w:val="TextoNormalNegritaCaracter"/>
        </w:rPr>
        <w:t>Artículo 35</w:t>
      </w:r>
      <w:r>
        <w:t xml:space="preserve"> (redactado por la Ley Orgánica 4/2007, de 12 de abril)</w:t>
      </w:r>
      <w:r w:rsidRPr="00981775">
        <w:rPr>
          <w:rStyle w:val="TextoNormalNegritaCaracter"/>
        </w:rPr>
        <w:t>.</w:t>
      </w:r>
      <w:r w:rsidRPr="00981775">
        <w:rPr>
          <w:rStyle w:val="TextoNormalCaracter"/>
        </w:rPr>
        <w:t>-</w:t>
      </w:r>
      <w:r>
        <w:t xml:space="preserve"> Sentencia </w:t>
      </w:r>
      <w:hyperlink w:anchor="SENTENCIA_2015_176" w:history="1">
        <w:r w:rsidRPr="00981775">
          <w:rPr>
            <w:rStyle w:val="TextoNormalCaracter"/>
          </w:rPr>
          <w:t>176/2015</w:t>
        </w:r>
      </w:hyperlink>
      <w:r>
        <w:t>.</w:t>
      </w:r>
    </w:p>
    <w:p w:rsidR="00981775" w:rsidRDefault="00981775" w:rsidP="00981775">
      <w:pPr>
        <w:pStyle w:val="SangriaFrancesaArticulo"/>
      </w:pPr>
      <w:r w:rsidRPr="00981775">
        <w:rPr>
          <w:rStyle w:val="TextoNormalNegritaCaracter"/>
        </w:rPr>
        <w:t>Artículo 37</w:t>
      </w:r>
      <w:r>
        <w:t xml:space="preserve"> (redactado por la Ley Orgánica 4/2007, de 12 de abril)</w:t>
      </w:r>
      <w:r w:rsidRPr="00981775">
        <w:rPr>
          <w:rStyle w:val="TextoNormalNegritaCaracter"/>
        </w:rPr>
        <w:t>.</w:t>
      </w:r>
      <w:r w:rsidRPr="00981775">
        <w:rPr>
          <w:rStyle w:val="TextoNormalCaracter"/>
        </w:rPr>
        <w:t>-</w:t>
      </w:r>
      <w:r>
        <w:t xml:space="preserve"> Sentencia </w:t>
      </w:r>
      <w:hyperlink w:anchor="SENTENCIA_2015_176" w:history="1">
        <w:r w:rsidRPr="00981775">
          <w:rPr>
            <w:rStyle w:val="TextoNormalCaracter"/>
          </w:rPr>
          <w:t>176/2015</w:t>
        </w:r>
      </w:hyperlink>
      <w:r>
        <w:t>.</w:t>
      </w:r>
    </w:p>
    <w:p w:rsidR="00981775" w:rsidRDefault="00981775" w:rsidP="00981775">
      <w:pPr>
        <w:pStyle w:val="SangriaFrancesaArticulo"/>
      </w:pPr>
      <w:r w:rsidRPr="00981775">
        <w:rPr>
          <w:rStyle w:val="TextoNormalNegritaCaracter"/>
        </w:rPr>
        <w:t>Artículo 56.2</w:t>
      </w:r>
      <w:r>
        <w:t xml:space="preserve"> (redactado por la Ley Orgánica 4/2007, de 12 de abril)</w:t>
      </w:r>
      <w:r w:rsidRPr="00981775">
        <w:rPr>
          <w:rStyle w:val="TextoNormalNegritaCaracter"/>
        </w:rPr>
        <w:t>.</w:t>
      </w:r>
      <w:r w:rsidRPr="00981775">
        <w:rPr>
          <w:rStyle w:val="TextoNormalCaracter"/>
        </w:rPr>
        <w:t>-</w:t>
      </w:r>
      <w:r>
        <w:t xml:space="preserve"> Sentencia </w:t>
      </w:r>
      <w:hyperlink w:anchor="SENTENCIA_2015_176" w:history="1">
        <w:r w:rsidRPr="00981775">
          <w:rPr>
            <w:rStyle w:val="TextoNormalCaracter"/>
          </w:rPr>
          <w:t>176/2015</w:t>
        </w:r>
      </w:hyperlink>
      <w:r>
        <w:t>.</w:t>
      </w:r>
    </w:p>
    <w:p w:rsidR="00981775" w:rsidRDefault="00981775" w:rsidP="00981775">
      <w:pPr>
        <w:pStyle w:val="SangriaFrancesaArticulo"/>
      </w:pPr>
      <w:r w:rsidRPr="00981775">
        <w:rPr>
          <w:rStyle w:val="TextoNormalNegritaCaracter"/>
        </w:rPr>
        <w:t>Artículo 62.3</w:t>
      </w:r>
      <w:r>
        <w:t xml:space="preserve"> (redactado por la Ley Orgánica 4/2007, de 12 de abril)</w:t>
      </w:r>
      <w:r w:rsidRPr="00981775">
        <w:rPr>
          <w:rStyle w:val="TextoNormalNegritaCaracter"/>
        </w:rPr>
        <w:t>.</w:t>
      </w:r>
      <w:r w:rsidRPr="00981775">
        <w:rPr>
          <w:rStyle w:val="TextoNormalCaracter"/>
        </w:rPr>
        <w:t>-</w:t>
      </w:r>
      <w:r>
        <w:t xml:space="preserve"> Sentencia </w:t>
      </w:r>
      <w:hyperlink w:anchor="SENTENCIA_2015_176" w:history="1">
        <w:r w:rsidRPr="00981775">
          <w:rPr>
            <w:rStyle w:val="TextoNormalCaracter"/>
          </w:rPr>
          <w:t>176/2015</w:t>
        </w:r>
      </w:hyperlink>
      <w:r>
        <w:t>.</w:t>
      </w:r>
    </w:p>
    <w:p w:rsidR="00981775" w:rsidRDefault="00981775" w:rsidP="00981775">
      <w:pPr>
        <w:pStyle w:val="SangriaFrancesaArticulo"/>
      </w:pPr>
      <w:r w:rsidRPr="00981775">
        <w:rPr>
          <w:rStyle w:val="TextoNormalNegritaCaracter"/>
        </w:rPr>
        <w:t>Artículo 62.4</w:t>
      </w:r>
      <w:r>
        <w:t xml:space="preserve"> (redactado por la Ley Orgánica 4/2007, de 12 de abril)</w:t>
      </w:r>
      <w:r w:rsidRPr="00981775">
        <w:rPr>
          <w:rStyle w:val="TextoNormalNegritaCaracter"/>
        </w:rPr>
        <w:t>.</w:t>
      </w:r>
      <w:r w:rsidRPr="00981775">
        <w:rPr>
          <w:rStyle w:val="TextoNormalCaracter"/>
        </w:rPr>
        <w:t>-</w:t>
      </w:r>
      <w:r>
        <w:t xml:space="preserve"> Sentencia </w:t>
      </w:r>
      <w:hyperlink w:anchor="SENTENCIA_2015_176" w:history="1">
        <w:r w:rsidRPr="00981775">
          <w:rPr>
            <w:rStyle w:val="TextoNormalCaracter"/>
          </w:rPr>
          <w:t>176/2015</w:t>
        </w:r>
      </w:hyperlink>
      <w:r>
        <w:t>.</w:t>
      </w:r>
    </w:p>
    <w:p w:rsidR="00981775" w:rsidRDefault="00981775" w:rsidP="00981775">
      <w:pPr>
        <w:pStyle w:val="SangriaFrancesaArticulo"/>
      </w:pPr>
    </w:p>
    <w:p w:rsidR="00981775" w:rsidRDefault="00981775" w:rsidP="00981775">
      <w:pPr>
        <w:pStyle w:val="TextoNormalNegritaCursivandice"/>
      </w:pPr>
      <w:r>
        <w:t>Ley 56/2003, de 16 de diciembre. Empleo</w:t>
      </w:r>
    </w:p>
    <w:p w:rsidR="00981775" w:rsidRDefault="00981775" w:rsidP="00981775">
      <w:pPr>
        <w:pStyle w:val="SangriaFrancesaArticulo"/>
      </w:pPr>
      <w:r w:rsidRPr="00981775">
        <w:rPr>
          <w:rStyle w:val="TextoNormalNegritaCaracter"/>
        </w:rPr>
        <w:t xml:space="preserve">Artículo 27.4 párrafo 2 inciso </w:t>
      </w:r>
      <w:r w:rsidRPr="00981775">
        <w:rPr>
          <w:rStyle w:val="TextoNormalNegritaCursivaCaracter"/>
        </w:rPr>
        <w:t>in fine</w:t>
      </w:r>
      <w:r>
        <w:t xml:space="preserve"> </w:t>
      </w:r>
      <w:r w:rsidRPr="00981775">
        <w:rPr>
          <w:rStyle w:val="TextoNormalCaracter"/>
        </w:rPr>
        <w:t>(redactado por la Ley 1/2014, de 28 de febrero)</w:t>
      </w:r>
      <w:r w:rsidRPr="00981775">
        <w:rPr>
          <w:rStyle w:val="TextoNormalNegritaCaracter"/>
        </w:rPr>
        <w:t>.</w:t>
      </w:r>
      <w:r w:rsidRPr="00981775">
        <w:rPr>
          <w:rStyle w:val="TextoNormalCaracter"/>
        </w:rPr>
        <w:t>-</w:t>
      </w:r>
      <w:r>
        <w:t xml:space="preserve"> Sentencia </w:t>
      </w:r>
      <w:hyperlink w:anchor="SENTENCIA_2015_272" w:history="1">
        <w:r w:rsidRPr="00981775">
          <w:rPr>
            <w:rStyle w:val="TextoNormalCaracter"/>
          </w:rPr>
          <w:t>272/2015</w:t>
        </w:r>
      </w:hyperlink>
      <w:r>
        <w:t xml:space="preserve"> (anula).</w:t>
      </w:r>
    </w:p>
    <w:p w:rsidR="00981775" w:rsidRDefault="00981775" w:rsidP="00981775">
      <w:pPr>
        <w:pStyle w:val="SangriaFrancesaArticulo"/>
      </w:pPr>
    </w:p>
    <w:p w:rsidR="00981775" w:rsidRDefault="00981775" w:rsidP="00981775">
      <w:pPr>
        <w:pStyle w:val="TextoNormalNegritaCursivandice"/>
      </w:pPr>
      <w:r>
        <w:t>Ley 58/2003, de 17 de diciembre. General tributaria</w:t>
      </w:r>
    </w:p>
    <w:p w:rsidR="00981775" w:rsidRDefault="00981775" w:rsidP="00981775">
      <w:pPr>
        <w:pStyle w:val="SangriaFrancesaArticulo"/>
      </w:pPr>
      <w:r w:rsidRPr="00981775">
        <w:rPr>
          <w:rStyle w:val="TextoNormalNegritaCaracter"/>
        </w:rPr>
        <w:t>Artículo 195.2.</w:t>
      </w:r>
      <w:r w:rsidRPr="00981775">
        <w:rPr>
          <w:rStyle w:val="TextoNormalCaracter"/>
        </w:rPr>
        <w:t>-</w:t>
      </w:r>
      <w:r>
        <w:t xml:space="preserve"> Auto </w:t>
      </w:r>
      <w:hyperlink w:anchor="AUTO_2015_145" w:history="1">
        <w:r w:rsidRPr="00981775">
          <w:rPr>
            <w:rStyle w:val="TextoNormalCaracter"/>
          </w:rPr>
          <w:t>145/2015</w:t>
        </w:r>
      </w:hyperlink>
      <w:r>
        <w:t>.</w:t>
      </w:r>
    </w:p>
    <w:p w:rsidR="00981775" w:rsidRDefault="00981775" w:rsidP="00981775">
      <w:pPr>
        <w:pStyle w:val="SangriaFrancesaArticulo"/>
      </w:pPr>
    </w:p>
    <w:p w:rsidR="00981775" w:rsidRDefault="00981775" w:rsidP="00981775">
      <w:pPr>
        <w:pStyle w:val="TextoNormalNegritaCursivandice"/>
      </w:pPr>
      <w:r>
        <w:t>Ley Orgánica 4/2007, de 12 de abril. Modificación de la Ley Orgánica 6/2001, de 21 de diciembre. Universidades</w:t>
      </w:r>
    </w:p>
    <w:p w:rsidR="00981775" w:rsidRDefault="00981775" w:rsidP="00981775">
      <w:pPr>
        <w:pStyle w:val="SangriaFrancesaArticulo"/>
      </w:pPr>
      <w:r w:rsidRPr="00981775">
        <w:rPr>
          <w:rStyle w:val="TextoNormalNegritaCaracter"/>
        </w:rPr>
        <w:t>Artículo único, apartado 26.</w:t>
      </w:r>
      <w:r w:rsidRPr="00981775">
        <w:rPr>
          <w:rStyle w:val="TextoNormalCaracter"/>
        </w:rPr>
        <w:t>-</w:t>
      </w:r>
      <w:r>
        <w:t xml:space="preserve"> Sentencia </w:t>
      </w:r>
      <w:hyperlink w:anchor="SENTENCIA_2015_176" w:history="1">
        <w:r w:rsidRPr="00981775">
          <w:rPr>
            <w:rStyle w:val="TextoNormalCaracter"/>
          </w:rPr>
          <w:t>176/2015</w:t>
        </w:r>
      </w:hyperlink>
      <w:r>
        <w:t>.</w:t>
      </w:r>
    </w:p>
    <w:p w:rsidR="00981775" w:rsidRDefault="00981775" w:rsidP="00981775">
      <w:pPr>
        <w:pStyle w:val="SangriaFrancesaArticulo"/>
      </w:pPr>
      <w:r w:rsidRPr="00981775">
        <w:rPr>
          <w:rStyle w:val="TextoNormalNegritaCaracter"/>
        </w:rPr>
        <w:t>Artículo único, apartado 27.</w:t>
      </w:r>
      <w:r w:rsidRPr="00981775">
        <w:rPr>
          <w:rStyle w:val="TextoNormalCaracter"/>
        </w:rPr>
        <w:t>-</w:t>
      </w:r>
      <w:r>
        <w:t xml:space="preserve"> Sentencia </w:t>
      </w:r>
      <w:hyperlink w:anchor="SENTENCIA_2015_176" w:history="1">
        <w:r w:rsidRPr="00981775">
          <w:rPr>
            <w:rStyle w:val="TextoNormalCaracter"/>
          </w:rPr>
          <w:t>176/2015</w:t>
        </w:r>
      </w:hyperlink>
      <w:r>
        <w:t>.</w:t>
      </w:r>
    </w:p>
    <w:p w:rsidR="00981775" w:rsidRDefault="00981775" w:rsidP="00981775">
      <w:pPr>
        <w:pStyle w:val="SangriaFrancesaArticulo"/>
      </w:pPr>
      <w:r w:rsidRPr="00981775">
        <w:rPr>
          <w:rStyle w:val="TextoNormalNegritaCaracter"/>
        </w:rPr>
        <w:t>Artículo único, apartado 30.</w:t>
      </w:r>
      <w:r w:rsidRPr="00981775">
        <w:rPr>
          <w:rStyle w:val="TextoNormalCaracter"/>
        </w:rPr>
        <w:t>-</w:t>
      </w:r>
      <w:r>
        <w:t xml:space="preserve"> Sentencia </w:t>
      </w:r>
      <w:hyperlink w:anchor="SENTENCIA_2015_176" w:history="1">
        <w:r w:rsidRPr="00981775">
          <w:rPr>
            <w:rStyle w:val="TextoNormalCaracter"/>
          </w:rPr>
          <w:t>176/2015</w:t>
        </w:r>
      </w:hyperlink>
      <w:r>
        <w:t>.</w:t>
      </w:r>
    </w:p>
    <w:p w:rsidR="00981775" w:rsidRDefault="00981775" w:rsidP="00981775">
      <w:pPr>
        <w:pStyle w:val="SangriaFrancesaArticulo"/>
      </w:pPr>
      <w:r w:rsidRPr="00981775">
        <w:rPr>
          <w:rStyle w:val="TextoNormalNegritaCaracter"/>
        </w:rPr>
        <w:t>Artículo único, apartado 31.</w:t>
      </w:r>
      <w:r w:rsidRPr="00981775">
        <w:rPr>
          <w:rStyle w:val="TextoNormalCaracter"/>
        </w:rPr>
        <w:t>-</w:t>
      </w:r>
      <w:r>
        <w:t xml:space="preserve"> Sentencia </w:t>
      </w:r>
      <w:hyperlink w:anchor="SENTENCIA_2015_176" w:history="1">
        <w:r w:rsidRPr="00981775">
          <w:rPr>
            <w:rStyle w:val="TextoNormalCaracter"/>
          </w:rPr>
          <w:t>176/2015</w:t>
        </w:r>
      </w:hyperlink>
      <w:r>
        <w:t>.</w:t>
      </w:r>
    </w:p>
    <w:p w:rsidR="00981775" w:rsidRDefault="00981775" w:rsidP="00981775">
      <w:pPr>
        <w:pStyle w:val="SangriaFrancesaArticulo"/>
      </w:pPr>
      <w:r w:rsidRPr="00981775">
        <w:rPr>
          <w:rStyle w:val="TextoNormalNegritaCaracter"/>
        </w:rPr>
        <w:t>Artículo único, apartado 33.</w:t>
      </w:r>
      <w:r w:rsidRPr="00981775">
        <w:rPr>
          <w:rStyle w:val="TextoNormalCaracter"/>
        </w:rPr>
        <w:t>-</w:t>
      </w:r>
      <w:r>
        <w:t xml:space="preserve"> Sentencia </w:t>
      </w:r>
      <w:hyperlink w:anchor="SENTENCIA_2015_176" w:history="1">
        <w:r w:rsidRPr="00981775">
          <w:rPr>
            <w:rStyle w:val="TextoNormalCaracter"/>
          </w:rPr>
          <w:t>176/2015</w:t>
        </w:r>
      </w:hyperlink>
      <w:r>
        <w:t>.</w:t>
      </w:r>
    </w:p>
    <w:p w:rsidR="00981775" w:rsidRDefault="00981775" w:rsidP="00981775">
      <w:pPr>
        <w:pStyle w:val="SangriaFrancesaArticulo"/>
      </w:pPr>
      <w:r w:rsidRPr="00981775">
        <w:rPr>
          <w:rStyle w:val="TextoNormalNegritaCaracter"/>
        </w:rPr>
        <w:t>Artículo único, apartado 59.</w:t>
      </w:r>
      <w:r w:rsidRPr="00981775">
        <w:rPr>
          <w:rStyle w:val="TextoNormalCaracter"/>
        </w:rPr>
        <w:t>-</w:t>
      </w:r>
      <w:r>
        <w:t xml:space="preserve"> Sentencia </w:t>
      </w:r>
      <w:hyperlink w:anchor="SENTENCIA_2015_176" w:history="1">
        <w:r w:rsidRPr="00981775">
          <w:rPr>
            <w:rStyle w:val="TextoNormalCaracter"/>
          </w:rPr>
          <w:t>176/2015</w:t>
        </w:r>
      </w:hyperlink>
      <w:r>
        <w:t>.</w:t>
      </w:r>
    </w:p>
    <w:p w:rsidR="00981775" w:rsidRDefault="00981775" w:rsidP="00981775">
      <w:pPr>
        <w:pStyle w:val="SangriaFrancesaArticulo"/>
      </w:pPr>
      <w:r w:rsidRPr="00981775">
        <w:rPr>
          <w:rStyle w:val="TextoNormalNegritaCaracter"/>
        </w:rPr>
        <w:t>Artículo único, apartado 64.</w:t>
      </w:r>
      <w:r w:rsidRPr="00981775">
        <w:rPr>
          <w:rStyle w:val="TextoNormalCaracter"/>
        </w:rPr>
        <w:t>-</w:t>
      </w:r>
      <w:r>
        <w:t xml:space="preserve"> Sentencia </w:t>
      </w:r>
      <w:hyperlink w:anchor="SENTENCIA_2015_176" w:history="1">
        <w:r w:rsidRPr="00981775">
          <w:rPr>
            <w:rStyle w:val="TextoNormalCaracter"/>
          </w:rPr>
          <w:t>176/2015</w:t>
        </w:r>
      </w:hyperlink>
      <w:r>
        <w:t>.</w:t>
      </w:r>
    </w:p>
    <w:p w:rsidR="00981775" w:rsidRDefault="00981775" w:rsidP="00981775">
      <w:pPr>
        <w:pStyle w:val="SangriaFrancesaArticulo"/>
      </w:pPr>
    </w:p>
    <w:p w:rsidR="00981775" w:rsidRDefault="00981775" w:rsidP="00981775">
      <w:pPr>
        <w:pStyle w:val="TextoNormalNegritaCursivandice"/>
      </w:pPr>
      <w:r>
        <w:t>Ley 7/2007, de 12 de abril. Estatuto básico del empleado público</w:t>
      </w:r>
    </w:p>
    <w:p w:rsidR="00981775" w:rsidRDefault="00981775" w:rsidP="00981775">
      <w:pPr>
        <w:pStyle w:val="SangriaFrancesaArticulo"/>
      </w:pPr>
      <w:r w:rsidRPr="00981775">
        <w:rPr>
          <w:rStyle w:val="TextoNormalNegritaCaracter"/>
        </w:rPr>
        <w:t>Artículo 78.3.</w:t>
      </w:r>
      <w:r w:rsidRPr="00981775">
        <w:rPr>
          <w:rStyle w:val="TextoNormalCaracter"/>
        </w:rPr>
        <w:t>-</w:t>
      </w:r>
      <w:r>
        <w:t xml:space="preserve"> Auto </w:t>
      </w:r>
      <w:hyperlink w:anchor="AUTO_2015_188" w:history="1">
        <w:r w:rsidRPr="00981775">
          <w:rPr>
            <w:rStyle w:val="TextoNormalCaracter"/>
          </w:rPr>
          <w:t>188/2015</w:t>
        </w:r>
      </w:hyperlink>
      <w:r>
        <w:t>.</w:t>
      </w:r>
    </w:p>
    <w:p w:rsidR="00981775" w:rsidRDefault="00981775" w:rsidP="00981775">
      <w:pPr>
        <w:pStyle w:val="SangriaFrancesaArticulo"/>
      </w:pPr>
    </w:p>
    <w:p w:rsidR="00981775" w:rsidRDefault="00981775" w:rsidP="00981775">
      <w:pPr>
        <w:pStyle w:val="TextoNormalNegritaCursivandice"/>
      </w:pPr>
      <w:r>
        <w:t>Ley 8/2007, de 28 de mayo. Ley de suelo</w:t>
      </w:r>
    </w:p>
    <w:p w:rsidR="00981775" w:rsidRDefault="00981775" w:rsidP="00981775">
      <w:pPr>
        <w:pStyle w:val="SangriaFrancesaArticulo"/>
      </w:pPr>
      <w:r w:rsidRPr="00981775">
        <w:rPr>
          <w:rStyle w:val="TextoNormalNegritaCaracter"/>
        </w:rPr>
        <w:t>Artículo 22.1 a).</w:t>
      </w:r>
      <w:r w:rsidRPr="00981775">
        <w:rPr>
          <w:rStyle w:val="TextoNormalCaracter"/>
        </w:rPr>
        <w:t>-</w:t>
      </w:r>
      <w:r>
        <w:t xml:space="preserve"> Auto </w:t>
      </w:r>
      <w:hyperlink w:anchor="AUTO_2015_201" w:history="1">
        <w:r w:rsidRPr="00981775">
          <w:rPr>
            <w:rStyle w:val="TextoNormalCaracter"/>
          </w:rPr>
          <w:t>201/2015</w:t>
        </w:r>
      </w:hyperlink>
      <w:r>
        <w:t>.</w:t>
      </w:r>
    </w:p>
    <w:p w:rsidR="00981775" w:rsidRDefault="00981775" w:rsidP="00981775">
      <w:pPr>
        <w:pStyle w:val="SangriaFrancesaArticulo"/>
      </w:pPr>
      <w:r w:rsidRPr="00981775">
        <w:rPr>
          <w:rStyle w:val="TextoNormalNegritaCaracter"/>
        </w:rPr>
        <w:t>Artículo 22.2.</w:t>
      </w:r>
      <w:r w:rsidRPr="00981775">
        <w:rPr>
          <w:rStyle w:val="TextoNormalCaracter"/>
        </w:rPr>
        <w:t>-</w:t>
      </w:r>
      <w:r>
        <w:t xml:space="preserve"> Auto </w:t>
      </w:r>
      <w:hyperlink w:anchor="AUTO_2015_201" w:history="1">
        <w:r w:rsidRPr="00981775">
          <w:rPr>
            <w:rStyle w:val="TextoNormalCaracter"/>
          </w:rPr>
          <w:t>201/2015</w:t>
        </w:r>
      </w:hyperlink>
      <w:r>
        <w:t>.</w:t>
      </w:r>
    </w:p>
    <w:p w:rsidR="00981775" w:rsidRDefault="00981775" w:rsidP="00981775">
      <w:pPr>
        <w:pStyle w:val="SangriaFrancesaArticulo"/>
      </w:pPr>
    </w:p>
    <w:p w:rsidR="00981775" w:rsidRDefault="00981775" w:rsidP="00981775">
      <w:pPr>
        <w:pStyle w:val="TextoNormalNegritaCursivandice"/>
      </w:pPr>
      <w:r>
        <w:t>Ley 40/2007, de 4 de diciembre. Medidas en materia de Seguridad Social</w:t>
      </w:r>
    </w:p>
    <w:p w:rsidR="00981775" w:rsidRDefault="00981775" w:rsidP="00981775">
      <w:pPr>
        <w:pStyle w:val="SangriaFrancesaArticulo"/>
      </w:pPr>
      <w:r w:rsidRPr="00981775">
        <w:rPr>
          <w:rStyle w:val="TextoNormalNegritaCaracter"/>
        </w:rPr>
        <w:t>Disposición adicional tercera, apartado e).</w:t>
      </w:r>
      <w:r w:rsidRPr="00981775">
        <w:rPr>
          <w:rStyle w:val="TextoNormalCaracter"/>
        </w:rPr>
        <w:t>-</w:t>
      </w:r>
      <w:r>
        <w:t xml:space="preserve"> Auto </w:t>
      </w:r>
      <w:hyperlink w:anchor="AUTO_2015_146" w:history="1">
        <w:r w:rsidRPr="00981775">
          <w:rPr>
            <w:rStyle w:val="TextoNormalCaracter"/>
          </w:rPr>
          <w:t>146/2015</w:t>
        </w:r>
      </w:hyperlink>
      <w:r>
        <w:t>.</w:t>
      </w:r>
    </w:p>
    <w:p w:rsidR="00981775" w:rsidRDefault="00981775" w:rsidP="00981775">
      <w:pPr>
        <w:pStyle w:val="SangriaFrancesaArticulo"/>
      </w:pPr>
    </w:p>
    <w:p w:rsidR="00981775" w:rsidRDefault="00981775" w:rsidP="00981775">
      <w:pPr>
        <w:pStyle w:val="TextoNormalNegritaCursivandice"/>
      </w:pPr>
      <w:r>
        <w:t>Real Decreto Legislativo 2/2008, de 20 de junio. Texto refundido de la Ley de suelo</w:t>
      </w:r>
    </w:p>
    <w:p w:rsidR="00981775" w:rsidRDefault="00981775" w:rsidP="00981775">
      <w:pPr>
        <w:pStyle w:val="SangriaFrancesaArticulo"/>
      </w:pPr>
      <w:r w:rsidRPr="00981775">
        <w:rPr>
          <w:rStyle w:val="TextoNormalNegritaCaracter"/>
        </w:rPr>
        <w:t>Artículo 12.</w:t>
      </w:r>
      <w:r w:rsidRPr="00981775">
        <w:rPr>
          <w:rStyle w:val="TextoNormalCaracter"/>
        </w:rPr>
        <w:t>-</w:t>
      </w:r>
      <w:r>
        <w:t xml:space="preserve"> Sentencias </w:t>
      </w:r>
      <w:hyperlink w:anchor="SENTENCIA_2015_218" w:history="1">
        <w:r w:rsidRPr="00981775">
          <w:rPr>
            <w:rStyle w:val="TextoNormalCaracter"/>
          </w:rPr>
          <w:t>218/2015</w:t>
        </w:r>
      </w:hyperlink>
      <w:r>
        <w:t xml:space="preserve">; </w:t>
      </w:r>
      <w:hyperlink w:anchor="SENTENCIA_2015_244" w:history="1">
        <w:r w:rsidRPr="00981775">
          <w:rPr>
            <w:rStyle w:val="TextoNormalCaracter"/>
          </w:rPr>
          <w:t>244/2015</w:t>
        </w:r>
      </w:hyperlink>
      <w:r>
        <w:t>.</w:t>
      </w:r>
    </w:p>
    <w:p w:rsidR="00981775" w:rsidRDefault="00981775" w:rsidP="00981775">
      <w:pPr>
        <w:pStyle w:val="SangriaFrancesaArticulo"/>
      </w:pPr>
      <w:r w:rsidRPr="00981775">
        <w:rPr>
          <w:rStyle w:val="TextoNormalNegritaCaracter"/>
        </w:rPr>
        <w:t>Artículo 23.1 a).</w:t>
      </w:r>
      <w:r w:rsidRPr="00981775">
        <w:rPr>
          <w:rStyle w:val="TextoNormalCaracter"/>
        </w:rPr>
        <w:t>-</w:t>
      </w:r>
      <w:r>
        <w:t xml:space="preserve"> Sentencias </w:t>
      </w:r>
      <w:hyperlink w:anchor="SENTENCIA_2015_218" w:history="1">
        <w:r w:rsidRPr="00981775">
          <w:rPr>
            <w:rStyle w:val="TextoNormalCaracter"/>
          </w:rPr>
          <w:t>218/2015</w:t>
        </w:r>
      </w:hyperlink>
      <w:r>
        <w:t xml:space="preserve">; </w:t>
      </w:r>
      <w:hyperlink w:anchor="SENTENCIA_2015_244" w:history="1">
        <w:r w:rsidRPr="00981775">
          <w:rPr>
            <w:rStyle w:val="TextoNormalCaracter"/>
          </w:rPr>
          <w:t>244/2015</w:t>
        </w:r>
      </w:hyperlink>
      <w:r>
        <w:t>.</w:t>
      </w:r>
    </w:p>
    <w:p w:rsidR="00981775" w:rsidRDefault="00981775" w:rsidP="00981775">
      <w:pPr>
        <w:pStyle w:val="SangriaIzquierdaArticulo"/>
      </w:pPr>
      <w:r>
        <w:t xml:space="preserve">Auto </w:t>
      </w:r>
      <w:hyperlink w:anchor="AUTO_2015_201" w:history="1">
        <w:r w:rsidRPr="00981775">
          <w:rPr>
            <w:rStyle w:val="TextoNormalCaracter"/>
          </w:rPr>
          <w:t>201/2015</w:t>
        </w:r>
      </w:hyperlink>
      <w:r>
        <w:t>.</w:t>
      </w:r>
    </w:p>
    <w:p w:rsidR="00981775" w:rsidRDefault="00981775" w:rsidP="00981775">
      <w:pPr>
        <w:pStyle w:val="SangriaFrancesaArticulo"/>
      </w:pPr>
      <w:r w:rsidRPr="00981775">
        <w:rPr>
          <w:rStyle w:val="TextoNormalNegritaCaracter"/>
        </w:rPr>
        <w:t>Artículo 23.2.</w:t>
      </w:r>
      <w:r w:rsidRPr="00981775">
        <w:rPr>
          <w:rStyle w:val="TextoNormalCaracter"/>
        </w:rPr>
        <w:t>-</w:t>
      </w:r>
      <w:r>
        <w:t xml:space="preserve"> Sentencias </w:t>
      </w:r>
      <w:hyperlink w:anchor="SENTENCIA_2015_218" w:history="1">
        <w:r w:rsidRPr="00981775">
          <w:rPr>
            <w:rStyle w:val="TextoNormalCaracter"/>
          </w:rPr>
          <w:t>218/2015</w:t>
        </w:r>
      </w:hyperlink>
      <w:r>
        <w:t xml:space="preserve">; </w:t>
      </w:r>
      <w:hyperlink w:anchor="SENTENCIA_2015_244" w:history="1">
        <w:r w:rsidRPr="00981775">
          <w:rPr>
            <w:rStyle w:val="TextoNormalCaracter"/>
          </w:rPr>
          <w:t>244/2015</w:t>
        </w:r>
      </w:hyperlink>
      <w:r>
        <w:t>.</w:t>
      </w:r>
    </w:p>
    <w:p w:rsidR="00981775" w:rsidRDefault="00981775" w:rsidP="00981775">
      <w:pPr>
        <w:pStyle w:val="SangriaIzquierdaArticulo"/>
      </w:pPr>
      <w:r>
        <w:t xml:space="preserve">Auto </w:t>
      </w:r>
      <w:hyperlink w:anchor="AUTO_2015_201" w:history="1">
        <w:r w:rsidRPr="00981775">
          <w:rPr>
            <w:rStyle w:val="TextoNormalCaracter"/>
          </w:rPr>
          <w:t>201/2015</w:t>
        </w:r>
      </w:hyperlink>
      <w:r>
        <w:t>.</w:t>
      </w:r>
    </w:p>
    <w:p w:rsidR="00981775" w:rsidRDefault="00981775" w:rsidP="00981775">
      <w:pPr>
        <w:pStyle w:val="SangriaFrancesaArticulo"/>
      </w:pPr>
      <w:r w:rsidRPr="00981775">
        <w:rPr>
          <w:rStyle w:val="TextoNormalNegritaCaracter"/>
        </w:rPr>
        <w:t>Artículo 25.</w:t>
      </w:r>
      <w:r w:rsidRPr="00981775">
        <w:rPr>
          <w:rStyle w:val="TextoNormalCaracter"/>
        </w:rPr>
        <w:t>-</w:t>
      </w:r>
      <w:r>
        <w:t xml:space="preserve"> Sentencia </w:t>
      </w:r>
      <w:hyperlink w:anchor="SENTENCIA_2015_218" w:history="1">
        <w:r w:rsidRPr="00981775">
          <w:rPr>
            <w:rStyle w:val="TextoNormalCaracter"/>
          </w:rPr>
          <w:t>218/2015</w:t>
        </w:r>
      </w:hyperlink>
      <w:r>
        <w:t xml:space="preserve"> (anula).</w:t>
      </w:r>
    </w:p>
    <w:p w:rsidR="00981775" w:rsidRDefault="00981775" w:rsidP="00981775">
      <w:pPr>
        <w:pStyle w:val="SangriaFrancesaArticulo"/>
      </w:pPr>
      <w:r w:rsidRPr="00981775">
        <w:rPr>
          <w:rStyle w:val="TextoNormalNegritaCaracter"/>
        </w:rPr>
        <w:t>Artículo 25.</w:t>
      </w:r>
      <w:r w:rsidRPr="00981775">
        <w:rPr>
          <w:rStyle w:val="TextoNormalCaracter"/>
        </w:rPr>
        <w:t>-</w:t>
      </w:r>
      <w:r>
        <w:t xml:space="preserve"> Sentencia </w:t>
      </w:r>
      <w:hyperlink w:anchor="SENTENCIA_2015_244" w:history="1">
        <w:r w:rsidRPr="00981775">
          <w:rPr>
            <w:rStyle w:val="TextoNormalCaracter"/>
          </w:rPr>
          <w:t>244/2015</w:t>
        </w:r>
      </w:hyperlink>
      <w:r>
        <w:t>.</w:t>
      </w:r>
    </w:p>
    <w:p w:rsidR="00981775" w:rsidRDefault="00981775" w:rsidP="00981775">
      <w:pPr>
        <w:pStyle w:val="SangriaFrancesaArticulo"/>
      </w:pPr>
    </w:p>
    <w:p w:rsidR="00981775" w:rsidRDefault="00981775" w:rsidP="00981775">
      <w:pPr>
        <w:pStyle w:val="TextoNormalNegritaCursivandice"/>
      </w:pPr>
      <w:r>
        <w:t>Real Decreto-ley 9/2008, de 28 de noviembre. Crea un fondo estatal de inversión local y un fondo especial del Estado para la dinamización de la economía y el empleo y se aprueban créditos extraordinarios para atender a su financiación</w:t>
      </w:r>
    </w:p>
    <w:p w:rsidR="00981775" w:rsidRDefault="00981775" w:rsidP="00981775">
      <w:pPr>
        <w:pStyle w:val="SangriaFrancesaArticulo"/>
      </w:pPr>
      <w:r w:rsidRPr="00981775">
        <w:rPr>
          <w:rStyle w:val="TextoNormalNegritaCaracter"/>
        </w:rPr>
        <w:t>Artículo 8.</w:t>
      </w:r>
      <w:r w:rsidRPr="00981775">
        <w:rPr>
          <w:rStyle w:val="TextoNormalCaracter"/>
        </w:rPr>
        <w:t>-</w:t>
      </w:r>
      <w:r>
        <w:t xml:space="preserve"> Sentencias </w:t>
      </w:r>
      <w:hyperlink w:anchor="SENTENCIA_2015_201" w:history="1">
        <w:r w:rsidRPr="00981775">
          <w:rPr>
            <w:rStyle w:val="TextoNormalCaracter"/>
          </w:rPr>
          <w:t>201/2015</w:t>
        </w:r>
      </w:hyperlink>
      <w:r>
        <w:t xml:space="preserve">; </w:t>
      </w:r>
      <w:hyperlink w:anchor="SENTENCIA_2015_212" w:history="1">
        <w:r w:rsidRPr="00981775">
          <w:rPr>
            <w:rStyle w:val="TextoNormalCaracter"/>
          </w:rPr>
          <w:t>212/2015</w:t>
        </w:r>
      </w:hyperlink>
      <w:r>
        <w:t xml:space="preserve">; </w:t>
      </w:r>
      <w:hyperlink w:anchor="SENTENCIA_2015_213" w:history="1">
        <w:r w:rsidRPr="00981775">
          <w:rPr>
            <w:rStyle w:val="TextoNormalCaracter"/>
          </w:rPr>
          <w:t>213/2015</w:t>
        </w:r>
      </w:hyperlink>
      <w:r>
        <w:t xml:space="preserve">; </w:t>
      </w:r>
      <w:hyperlink w:anchor="SENTENCIA_2015_219" w:history="1">
        <w:r w:rsidRPr="00981775">
          <w:rPr>
            <w:rStyle w:val="TextoNormalCaracter"/>
          </w:rPr>
          <w:t>219/2015</w:t>
        </w:r>
      </w:hyperlink>
      <w:r>
        <w:t xml:space="preserve">; </w:t>
      </w:r>
      <w:hyperlink w:anchor="SENTENCIA_2015_220" w:history="1">
        <w:r w:rsidRPr="00981775">
          <w:rPr>
            <w:rStyle w:val="TextoNormalCaracter"/>
          </w:rPr>
          <w:t>220/2015</w:t>
        </w:r>
      </w:hyperlink>
      <w:r>
        <w:t xml:space="preserve">; </w:t>
      </w:r>
      <w:hyperlink w:anchor="SENTENCIA_2015_221" w:history="1">
        <w:r w:rsidRPr="00981775">
          <w:rPr>
            <w:rStyle w:val="TextoNormalCaracter"/>
          </w:rPr>
          <w:t>221/2015</w:t>
        </w:r>
      </w:hyperlink>
      <w:r>
        <w:t>.</w:t>
      </w:r>
    </w:p>
    <w:p w:rsidR="00981775" w:rsidRDefault="00981775" w:rsidP="00981775">
      <w:pPr>
        <w:pStyle w:val="SangriaIzquierdaArticulo"/>
      </w:pPr>
      <w:r>
        <w:t xml:space="preserve">Auto </w:t>
      </w:r>
      <w:hyperlink w:anchor="AUTO_2015_136" w:history="1">
        <w:r w:rsidRPr="00981775">
          <w:rPr>
            <w:rStyle w:val="TextoNormalCaracter"/>
          </w:rPr>
          <w:t>136/2015</w:t>
        </w:r>
      </w:hyperlink>
      <w:r>
        <w:t>.</w:t>
      </w:r>
    </w:p>
    <w:p w:rsidR="00981775" w:rsidRDefault="00981775" w:rsidP="00981775">
      <w:pPr>
        <w:pStyle w:val="SangriaFrancesaArticulo"/>
      </w:pPr>
      <w:r w:rsidRPr="00981775">
        <w:rPr>
          <w:rStyle w:val="TextoNormalNegritaCaracter"/>
        </w:rPr>
        <w:t>Artículo 10.</w:t>
      </w:r>
      <w:r w:rsidRPr="00981775">
        <w:rPr>
          <w:rStyle w:val="TextoNormalCaracter"/>
        </w:rPr>
        <w:t>-</w:t>
      </w:r>
      <w:r>
        <w:t xml:space="preserve"> Sentencias </w:t>
      </w:r>
      <w:hyperlink w:anchor="SENTENCIA_2015_201" w:history="1">
        <w:r w:rsidRPr="00981775">
          <w:rPr>
            <w:rStyle w:val="TextoNormalCaracter"/>
          </w:rPr>
          <w:t>201/2015</w:t>
        </w:r>
      </w:hyperlink>
      <w:r>
        <w:t xml:space="preserve">; </w:t>
      </w:r>
      <w:hyperlink w:anchor="SENTENCIA_2015_212" w:history="1">
        <w:r w:rsidRPr="00981775">
          <w:rPr>
            <w:rStyle w:val="TextoNormalCaracter"/>
          </w:rPr>
          <w:t>212/2015</w:t>
        </w:r>
      </w:hyperlink>
      <w:r>
        <w:t xml:space="preserve">; </w:t>
      </w:r>
      <w:hyperlink w:anchor="SENTENCIA_2015_213" w:history="1">
        <w:r w:rsidRPr="00981775">
          <w:rPr>
            <w:rStyle w:val="TextoNormalCaracter"/>
          </w:rPr>
          <w:t>213/2015</w:t>
        </w:r>
      </w:hyperlink>
      <w:r>
        <w:t xml:space="preserve">; </w:t>
      </w:r>
      <w:hyperlink w:anchor="SENTENCIA_2015_219" w:history="1">
        <w:r w:rsidRPr="00981775">
          <w:rPr>
            <w:rStyle w:val="TextoNormalCaracter"/>
          </w:rPr>
          <w:t>219/2015</w:t>
        </w:r>
      </w:hyperlink>
      <w:r>
        <w:t xml:space="preserve">; </w:t>
      </w:r>
      <w:hyperlink w:anchor="SENTENCIA_2015_220" w:history="1">
        <w:r w:rsidRPr="00981775">
          <w:rPr>
            <w:rStyle w:val="TextoNormalCaracter"/>
          </w:rPr>
          <w:t>220/2015</w:t>
        </w:r>
      </w:hyperlink>
      <w:r>
        <w:t xml:space="preserve">; </w:t>
      </w:r>
      <w:hyperlink w:anchor="SENTENCIA_2015_221" w:history="1">
        <w:r w:rsidRPr="00981775">
          <w:rPr>
            <w:rStyle w:val="TextoNormalCaracter"/>
          </w:rPr>
          <w:t>221/2015</w:t>
        </w:r>
      </w:hyperlink>
      <w:r>
        <w:t>.</w:t>
      </w:r>
    </w:p>
    <w:p w:rsidR="00981775" w:rsidRDefault="00981775" w:rsidP="00981775">
      <w:pPr>
        <w:pStyle w:val="SangriaIzquierdaArticulo"/>
      </w:pPr>
      <w:r>
        <w:t xml:space="preserve">Auto </w:t>
      </w:r>
      <w:hyperlink w:anchor="AUTO_2015_136" w:history="1">
        <w:r w:rsidRPr="00981775">
          <w:rPr>
            <w:rStyle w:val="TextoNormalCaracter"/>
          </w:rPr>
          <w:t>136/2015</w:t>
        </w:r>
      </w:hyperlink>
      <w:r>
        <w:t>.</w:t>
      </w:r>
    </w:p>
    <w:p w:rsidR="00981775" w:rsidRDefault="00981775" w:rsidP="00981775">
      <w:pPr>
        <w:pStyle w:val="SangriaIzquierdaArticulo"/>
      </w:pPr>
    </w:p>
    <w:p w:rsidR="00981775" w:rsidRDefault="00981775" w:rsidP="00981775">
      <w:pPr>
        <w:pStyle w:val="TextoNormalNegritaCursivandice"/>
      </w:pPr>
      <w:r>
        <w:t>Ley Orgánica 2/2009, de 11 de diciembre. Reforma de la Ley Orgánica 4/2000, de 11 de enero, sobre derechos y libertades de los extranjeros en España y su integración social</w:t>
      </w:r>
    </w:p>
    <w:p w:rsidR="00981775" w:rsidRDefault="00981775" w:rsidP="00981775">
      <w:pPr>
        <w:pStyle w:val="SangriaFrancesaArticulo"/>
      </w:pPr>
      <w:r w:rsidRPr="00981775">
        <w:rPr>
          <w:rStyle w:val="TextoNormalNegritaCaracter"/>
        </w:rPr>
        <w:t>Artículo único, apartado 11.</w:t>
      </w:r>
      <w:r w:rsidRPr="00981775">
        <w:rPr>
          <w:rStyle w:val="TextoNormalCaracter"/>
        </w:rPr>
        <w:t>-</w:t>
      </w:r>
      <w:r>
        <w:t xml:space="preserve"> Sentencia </w:t>
      </w:r>
      <w:hyperlink w:anchor="SENTENCIA_2015_155" w:history="1">
        <w:r w:rsidRPr="00981775">
          <w:rPr>
            <w:rStyle w:val="TextoNormalCaracter"/>
          </w:rPr>
          <w:t>155/2015</w:t>
        </w:r>
      </w:hyperlink>
      <w:r>
        <w:t>.</w:t>
      </w:r>
    </w:p>
    <w:p w:rsidR="00981775" w:rsidRDefault="00981775" w:rsidP="00981775">
      <w:pPr>
        <w:pStyle w:val="SangriaFrancesaArticulo"/>
      </w:pPr>
    </w:p>
    <w:p w:rsidR="00981775" w:rsidRDefault="00981775" w:rsidP="00981775">
      <w:pPr>
        <w:pStyle w:val="TextoNormalNegritaCursivandice"/>
      </w:pPr>
      <w:r>
        <w:t>Ley Orgánica 5/2010, de 22 de junio. Modifica la Ley Orgánica 10/1995, de 23 de noviembre, del Código penal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80" w:history="1">
        <w:r w:rsidRPr="00981775">
          <w:rPr>
            <w:rStyle w:val="TextoNormalCaracter"/>
          </w:rPr>
          <w:t>180/2015</w:t>
        </w:r>
      </w:hyperlink>
      <w:r>
        <w:t>.</w:t>
      </w:r>
    </w:p>
    <w:p w:rsidR="00981775" w:rsidRDefault="00981775" w:rsidP="00981775">
      <w:pPr>
        <w:pStyle w:val="SangriaFrancesaArticulo"/>
      </w:pPr>
    </w:p>
    <w:p w:rsidR="00981775" w:rsidRDefault="00981775" w:rsidP="00981775">
      <w:pPr>
        <w:pStyle w:val="TextoNormalNegritaCursivandice"/>
      </w:pPr>
      <w:r>
        <w:t>Ley 39/2010, de 22 de diciembre. Presupuestos generales del Estado para el año 2011</w:t>
      </w:r>
    </w:p>
    <w:p w:rsidR="00981775" w:rsidRDefault="00981775" w:rsidP="00981775">
      <w:pPr>
        <w:pStyle w:val="SangriaFrancesaArticulo"/>
      </w:pPr>
      <w:r w:rsidRPr="00981775">
        <w:rPr>
          <w:rStyle w:val="TextoNormalNegritaCaracter"/>
        </w:rPr>
        <w:t>Artículo 31.1.</w:t>
      </w:r>
      <w:r w:rsidRPr="00981775">
        <w:rPr>
          <w:rStyle w:val="TextoNormalCaracter"/>
        </w:rPr>
        <w:t>-</w:t>
      </w:r>
      <w:r>
        <w:t xml:space="preserve"> Auto </w:t>
      </w:r>
      <w:hyperlink w:anchor="AUTO_2015_224" w:history="1">
        <w:r w:rsidRPr="00981775">
          <w:rPr>
            <w:rStyle w:val="TextoNormalCaracter"/>
          </w:rPr>
          <w:t>224/2015</w:t>
        </w:r>
      </w:hyperlink>
      <w:r>
        <w:t>.</w:t>
      </w:r>
    </w:p>
    <w:p w:rsidR="00981775" w:rsidRDefault="00981775" w:rsidP="00981775">
      <w:pPr>
        <w:pStyle w:val="SangriaFrancesaArticulo"/>
      </w:pPr>
    </w:p>
    <w:p w:rsidR="00981775" w:rsidRDefault="00981775" w:rsidP="00981775">
      <w:pPr>
        <w:pStyle w:val="TextoNormalNegritaCursivandice"/>
      </w:pPr>
      <w:r>
        <w:t>Ley 22/2011, de 28 de julio. Residuos y suelos contaminados</w:t>
      </w:r>
    </w:p>
    <w:p w:rsidR="00981775" w:rsidRDefault="00981775" w:rsidP="00981775">
      <w:pPr>
        <w:pStyle w:val="SangriaFrancesaArticulo"/>
      </w:pPr>
      <w:r w:rsidRPr="00981775">
        <w:rPr>
          <w:rStyle w:val="TextoNormalNegritaCaracter"/>
        </w:rPr>
        <w:t>Disposición adicional decimoquinta.</w:t>
      </w:r>
      <w:r w:rsidRPr="00981775">
        <w:rPr>
          <w:rStyle w:val="TextoNormalCaracter"/>
        </w:rPr>
        <w:t>-</w:t>
      </w:r>
      <w:r>
        <w:t xml:space="preserve"> Sentencia </w:t>
      </w:r>
      <w:hyperlink w:anchor="SENTENCIA_2015_231" w:history="1">
        <w:r w:rsidRPr="00981775">
          <w:rPr>
            <w:rStyle w:val="TextoNormalCaracter"/>
          </w:rPr>
          <w:t>231/2015</w:t>
        </w:r>
      </w:hyperlink>
      <w:r>
        <w:t>.</w:t>
      </w:r>
    </w:p>
    <w:p w:rsidR="00981775" w:rsidRDefault="00981775" w:rsidP="00981775">
      <w:pPr>
        <w:pStyle w:val="SangriaFrancesaArticulo"/>
      </w:pPr>
    </w:p>
    <w:p w:rsidR="00981775" w:rsidRDefault="00981775" w:rsidP="00981775">
      <w:pPr>
        <w:pStyle w:val="TextoNormalNegritaCursivandice"/>
      </w:pPr>
      <w:r>
        <w:t>Real Decreto-ley 12/2011, de 26 de agosto. Modifica la Ley 1/2000, de 7 de enero, de enjuiciamiento civil</w:t>
      </w:r>
    </w:p>
    <w:p w:rsidR="00981775" w:rsidRDefault="00981775" w:rsidP="00981775">
      <w:pPr>
        <w:pStyle w:val="SangriaFrancesaArticulo"/>
      </w:pPr>
      <w:r w:rsidRPr="00981775">
        <w:rPr>
          <w:rStyle w:val="TextoNormalNegritaCaracter"/>
        </w:rPr>
        <w:t>Disposición adicional primera.</w:t>
      </w:r>
      <w:r w:rsidRPr="00981775">
        <w:rPr>
          <w:rStyle w:val="TextoNormalCaracter"/>
        </w:rPr>
        <w:t>-</w:t>
      </w:r>
      <w:r>
        <w:t xml:space="preserve"> Auto </w:t>
      </w:r>
      <w:hyperlink w:anchor="AUTO_2015_165" w:history="1">
        <w:r w:rsidRPr="00981775">
          <w:rPr>
            <w:rStyle w:val="TextoNormalCaracter"/>
          </w:rPr>
          <w:t>165/2015</w:t>
        </w:r>
      </w:hyperlink>
      <w:r>
        <w:t>.</w:t>
      </w:r>
    </w:p>
    <w:p w:rsidR="00981775" w:rsidRDefault="00981775" w:rsidP="00981775">
      <w:pPr>
        <w:pStyle w:val="SangriaFrancesaArticulo"/>
      </w:pPr>
      <w:r w:rsidRPr="00981775">
        <w:rPr>
          <w:rStyle w:val="TextoNormalNegritaCaracter"/>
        </w:rPr>
        <w:t>Disposición final primera.</w:t>
      </w:r>
      <w:r w:rsidRPr="00981775">
        <w:rPr>
          <w:rStyle w:val="TextoNormalCaracter"/>
        </w:rPr>
        <w:t>-</w:t>
      </w:r>
      <w:r>
        <w:t xml:space="preserve"> Auto </w:t>
      </w:r>
      <w:hyperlink w:anchor="AUTO_2015_166" w:history="1">
        <w:r w:rsidRPr="00981775">
          <w:rPr>
            <w:rStyle w:val="TextoNormalCaracter"/>
          </w:rPr>
          <w:t>166/2015</w:t>
        </w:r>
      </w:hyperlink>
      <w:r>
        <w:t>.</w:t>
      </w:r>
    </w:p>
    <w:p w:rsidR="00981775" w:rsidRDefault="00981775" w:rsidP="00981775">
      <w:pPr>
        <w:pStyle w:val="SangriaFrancesaArticulo"/>
      </w:pPr>
      <w:r w:rsidRPr="00981775">
        <w:rPr>
          <w:rStyle w:val="TextoNormalNegritaCaracter"/>
        </w:rPr>
        <w:t>Disposición final primera.</w:t>
      </w:r>
      <w:r w:rsidRPr="00981775">
        <w:rPr>
          <w:rStyle w:val="TextoNormalCaracter"/>
        </w:rPr>
        <w:t>-</w:t>
      </w:r>
      <w:r>
        <w:t xml:space="preserve"> Sentencia </w:t>
      </w:r>
      <w:hyperlink w:anchor="SENTENCIA_2015_196" w:history="1">
        <w:r w:rsidRPr="00981775">
          <w:rPr>
            <w:rStyle w:val="TextoNormalCaracter"/>
          </w:rPr>
          <w:t>196/2015</w:t>
        </w:r>
      </w:hyperlink>
      <w:r>
        <w:t xml:space="preserve"> (anula).</w:t>
      </w:r>
    </w:p>
    <w:p w:rsidR="00981775" w:rsidRDefault="00981775" w:rsidP="00981775">
      <w:pPr>
        <w:pStyle w:val="SangriaFrancesaArticulo"/>
      </w:pPr>
    </w:p>
    <w:p w:rsidR="00981775" w:rsidRDefault="00981775" w:rsidP="00981775">
      <w:pPr>
        <w:pStyle w:val="TextoNormalNegritaCursivandice"/>
      </w:pPr>
      <w:r>
        <w:t>Real Decreto-ley 20/2011, de 30 de diciembre. Medidas urgentes en materia presupuestaria, tributaria y financiera para la corrección del déficit público</w:t>
      </w:r>
    </w:p>
    <w:p w:rsidR="00981775" w:rsidRDefault="00981775" w:rsidP="00981775">
      <w:pPr>
        <w:pStyle w:val="SangriaFrancesaArticulo"/>
      </w:pPr>
      <w:r w:rsidRPr="00981775">
        <w:rPr>
          <w:rStyle w:val="TextoNormalNegritaCaracter"/>
        </w:rPr>
        <w:t>Artículo 2.3.</w:t>
      </w:r>
      <w:r w:rsidRPr="00981775">
        <w:rPr>
          <w:rStyle w:val="TextoNormalCaracter"/>
        </w:rPr>
        <w:t>-</w:t>
      </w:r>
      <w:r>
        <w:t xml:space="preserve"> Sentencia </w:t>
      </w:r>
      <w:hyperlink w:anchor="SENTENCIA_2015_215" w:history="1">
        <w:r w:rsidRPr="00981775">
          <w:rPr>
            <w:rStyle w:val="TextoNormalCaracter"/>
          </w:rPr>
          <w:t>215/2015</w:t>
        </w:r>
      </w:hyperlink>
      <w:r>
        <w:t>.</w:t>
      </w:r>
    </w:p>
    <w:p w:rsidR="00981775" w:rsidRDefault="00981775" w:rsidP="00981775">
      <w:pPr>
        <w:pStyle w:val="SangriaFrancesaArticulo"/>
      </w:pPr>
    </w:p>
    <w:p w:rsidR="00981775" w:rsidRDefault="00981775" w:rsidP="00981775">
      <w:pPr>
        <w:pStyle w:val="TextoNormalNegritaCursivandice"/>
      </w:pPr>
      <w:r>
        <w:t>Real Decreto-ley 20/2012, de 13 de julio. Medidas para garantizar la estabilidad presupuestaria y de fomento de la competitividad</w:t>
      </w:r>
    </w:p>
    <w:p w:rsidR="00981775" w:rsidRDefault="00981775" w:rsidP="00981775">
      <w:pPr>
        <w:pStyle w:val="SangriaFrancesaArticulo"/>
      </w:pPr>
      <w:r w:rsidRPr="00981775">
        <w:rPr>
          <w:rStyle w:val="TextoNormalNegritaCaracter"/>
        </w:rPr>
        <w:t>Artículo 2.</w:t>
      </w:r>
      <w:r w:rsidRPr="00981775">
        <w:rPr>
          <w:rStyle w:val="TextoNormalCaracter"/>
        </w:rPr>
        <w:t>-</w:t>
      </w:r>
      <w:r>
        <w:t xml:space="preserve"> Sentencias </w:t>
      </w:r>
      <w:hyperlink w:anchor="SENTENCIA_2015_151" w:history="1">
        <w:r w:rsidRPr="00981775">
          <w:rPr>
            <w:rStyle w:val="TextoNormalCaracter"/>
          </w:rPr>
          <w:t>151/2015</w:t>
        </w:r>
      </w:hyperlink>
      <w:r>
        <w:t xml:space="preserve">; </w:t>
      </w:r>
      <w:hyperlink w:anchor="SENTENCIA_2015_153" w:history="1">
        <w:r w:rsidRPr="00981775">
          <w:rPr>
            <w:rStyle w:val="TextoNormalCaracter"/>
          </w:rPr>
          <w:t>153/2015</w:t>
        </w:r>
      </w:hyperlink>
      <w:r>
        <w:t xml:space="preserve">; </w:t>
      </w:r>
      <w:hyperlink w:anchor="SENTENCIA_2015_161" w:history="1">
        <w:r w:rsidRPr="00981775">
          <w:rPr>
            <w:rStyle w:val="TextoNormalCaracter"/>
          </w:rPr>
          <w:t>161/2015</w:t>
        </w:r>
      </w:hyperlink>
      <w:r>
        <w:t xml:space="preserve">; </w:t>
      </w:r>
      <w:hyperlink w:anchor="SENTENCIA_2015_168" w:history="1">
        <w:r w:rsidRPr="00981775">
          <w:rPr>
            <w:rStyle w:val="TextoNormalCaracter"/>
          </w:rPr>
          <w:t>168/2015</w:t>
        </w:r>
      </w:hyperlink>
      <w:r>
        <w:t xml:space="preserve">; </w:t>
      </w:r>
      <w:hyperlink w:anchor="SENTENCIA_2015_170" w:history="1">
        <w:r w:rsidRPr="00981775">
          <w:rPr>
            <w:rStyle w:val="TextoNormalCaracter"/>
          </w:rPr>
          <w:t>170/2015</w:t>
        </w:r>
      </w:hyperlink>
      <w:r>
        <w:t xml:space="preserve">; </w:t>
      </w:r>
      <w:hyperlink w:anchor="SENTENCIA_2015_171" w:history="1">
        <w:r w:rsidRPr="00981775">
          <w:rPr>
            <w:rStyle w:val="TextoNormalCaracter"/>
          </w:rPr>
          <w:t>171/2015</w:t>
        </w:r>
      </w:hyperlink>
      <w:r>
        <w:t xml:space="preserve">; </w:t>
      </w:r>
      <w:hyperlink w:anchor="SENTENCIA_2015_173" w:history="1">
        <w:r w:rsidRPr="00981775">
          <w:rPr>
            <w:rStyle w:val="TextoNormalCaracter"/>
          </w:rPr>
          <w:t>173/2015</w:t>
        </w:r>
      </w:hyperlink>
      <w:r>
        <w:t xml:space="preserve">; </w:t>
      </w:r>
      <w:hyperlink w:anchor="SENTENCIA_2015_184" w:history="1">
        <w:r w:rsidRPr="00981775">
          <w:rPr>
            <w:rStyle w:val="TextoNormalCaracter"/>
          </w:rPr>
          <w:t>184/2015</w:t>
        </w:r>
      </w:hyperlink>
      <w:r>
        <w:t xml:space="preserve">; </w:t>
      </w:r>
      <w:hyperlink w:anchor="SENTENCIA_2015_189" w:history="1">
        <w:r w:rsidRPr="00981775">
          <w:rPr>
            <w:rStyle w:val="TextoNormalCaracter"/>
          </w:rPr>
          <w:t>189/2015</w:t>
        </w:r>
      </w:hyperlink>
      <w:r>
        <w:t xml:space="preserve">; </w:t>
      </w:r>
      <w:hyperlink w:anchor="SENTENCIA_2015_191" w:history="1">
        <w:r w:rsidRPr="00981775">
          <w:rPr>
            <w:rStyle w:val="TextoNormalCaracter"/>
          </w:rPr>
          <w:t>191/2015</w:t>
        </w:r>
      </w:hyperlink>
      <w:r>
        <w:t xml:space="preserve">; </w:t>
      </w:r>
      <w:hyperlink w:anchor="SENTENCIA_2015_192" w:history="1">
        <w:r w:rsidRPr="00981775">
          <w:rPr>
            <w:rStyle w:val="TextoNormalCaracter"/>
          </w:rPr>
          <w:t>192/2015</w:t>
        </w:r>
      </w:hyperlink>
      <w:r>
        <w:t xml:space="preserve">; </w:t>
      </w:r>
      <w:hyperlink w:anchor="SENTENCIA_2015_205" w:history="1">
        <w:r w:rsidRPr="00981775">
          <w:rPr>
            <w:rStyle w:val="TextoNormalCaracter"/>
          </w:rPr>
          <w:t>205/2015</w:t>
        </w:r>
      </w:hyperlink>
      <w:r>
        <w:t xml:space="preserve">; </w:t>
      </w:r>
      <w:hyperlink w:anchor="SENTENCIA_2015_206" w:history="1">
        <w:r w:rsidRPr="00981775">
          <w:rPr>
            <w:rStyle w:val="TextoNormalCaracter"/>
          </w:rPr>
          <w:t>206/2015</w:t>
        </w:r>
      </w:hyperlink>
      <w:r>
        <w:t xml:space="preserve">; </w:t>
      </w:r>
      <w:hyperlink w:anchor="SENTENCIA_2015_224" w:history="1">
        <w:r w:rsidRPr="00981775">
          <w:rPr>
            <w:rStyle w:val="TextoNormalCaracter"/>
          </w:rPr>
          <w:t>224/2015</w:t>
        </w:r>
      </w:hyperlink>
      <w:r>
        <w:t xml:space="preserve">; </w:t>
      </w:r>
      <w:hyperlink w:anchor="SENTENCIA_2015_225" w:history="1">
        <w:r w:rsidRPr="00981775">
          <w:rPr>
            <w:rStyle w:val="TextoNormalCaracter"/>
          </w:rPr>
          <w:t>225/2015</w:t>
        </w:r>
      </w:hyperlink>
      <w:r>
        <w:t xml:space="preserve">; </w:t>
      </w:r>
      <w:hyperlink w:anchor="SENTENCIA_2015_228" w:history="1">
        <w:r w:rsidRPr="00981775">
          <w:rPr>
            <w:rStyle w:val="TextoNormalCaracter"/>
          </w:rPr>
          <w:t>228/2015</w:t>
        </w:r>
      </w:hyperlink>
      <w:r>
        <w:t xml:space="preserve">; </w:t>
      </w:r>
      <w:hyperlink w:anchor="SENTENCIA_2015_241" w:history="1">
        <w:r w:rsidRPr="00981775">
          <w:rPr>
            <w:rStyle w:val="TextoNormalCaracter"/>
          </w:rPr>
          <w:t>241/2015</w:t>
        </w:r>
      </w:hyperlink>
      <w:r>
        <w:t xml:space="preserve">; </w:t>
      </w:r>
      <w:hyperlink w:anchor="SENTENCIA_2015_245" w:history="1">
        <w:r w:rsidRPr="00981775">
          <w:rPr>
            <w:rStyle w:val="TextoNormalCaracter"/>
          </w:rPr>
          <w:t>245/2015</w:t>
        </w:r>
      </w:hyperlink>
      <w:r>
        <w:t xml:space="preserve">; </w:t>
      </w:r>
      <w:hyperlink w:anchor="SENTENCIA_2015_264" w:history="1">
        <w:r w:rsidRPr="00981775">
          <w:rPr>
            <w:rStyle w:val="TextoNormalCaracter"/>
          </w:rPr>
          <w:t>264/2015</w:t>
        </w:r>
      </w:hyperlink>
      <w:r>
        <w:t>.</w:t>
      </w:r>
    </w:p>
    <w:p w:rsidR="00981775" w:rsidRDefault="00981775" w:rsidP="00981775">
      <w:pPr>
        <w:pStyle w:val="SangriaIzquierdaArticulo"/>
      </w:pPr>
      <w:r>
        <w:t xml:space="preserve">Autos </w:t>
      </w:r>
      <w:hyperlink w:anchor="AUTO_2015_154" w:history="1">
        <w:r w:rsidRPr="00981775">
          <w:rPr>
            <w:rStyle w:val="TextoNormalCaracter"/>
          </w:rPr>
          <w:t>154/2015</w:t>
        </w:r>
      </w:hyperlink>
      <w:r>
        <w:t xml:space="preserve">; </w:t>
      </w:r>
      <w:hyperlink w:anchor="AUTO_2015_167" w:history="1">
        <w:r w:rsidRPr="00981775">
          <w:rPr>
            <w:rStyle w:val="TextoNormalCaracter"/>
          </w:rPr>
          <w:t>167/2015</w:t>
        </w:r>
      </w:hyperlink>
      <w:r>
        <w:t xml:space="preserve">; </w:t>
      </w:r>
      <w:hyperlink w:anchor="AUTO_2015_183" w:history="1">
        <w:r w:rsidRPr="00981775">
          <w:rPr>
            <w:rStyle w:val="TextoNormalCaracter"/>
          </w:rPr>
          <w:t>183/2015</w:t>
        </w:r>
      </w:hyperlink>
      <w:r>
        <w:t xml:space="preserve">; </w:t>
      </w:r>
      <w:hyperlink w:anchor="AUTO_2015_225" w:history="1">
        <w:r w:rsidRPr="00981775">
          <w:rPr>
            <w:rStyle w:val="TextoNormalCaracter"/>
          </w:rPr>
          <w:t>225/2015</w:t>
        </w:r>
      </w:hyperlink>
      <w:r>
        <w:t>.</w:t>
      </w:r>
    </w:p>
    <w:p w:rsidR="00981775" w:rsidRDefault="00981775" w:rsidP="00981775">
      <w:pPr>
        <w:pStyle w:val="SangriaFrancesaArticulo"/>
      </w:pPr>
      <w:r w:rsidRPr="00981775">
        <w:rPr>
          <w:rStyle w:val="TextoNormalNegritaCaracter"/>
        </w:rPr>
        <w:t>Artículo 2.1.</w:t>
      </w:r>
      <w:r w:rsidRPr="00981775">
        <w:rPr>
          <w:rStyle w:val="TextoNormalCaracter"/>
        </w:rPr>
        <w:t>-</w:t>
      </w:r>
      <w:r>
        <w:t xml:space="preserve"> Sentencias </w:t>
      </w:r>
      <w:hyperlink w:anchor="SENTENCIA_2015_162" w:history="1">
        <w:r w:rsidRPr="00981775">
          <w:rPr>
            <w:rStyle w:val="TextoNormalCaracter"/>
          </w:rPr>
          <w:t>162/2015</w:t>
        </w:r>
      </w:hyperlink>
      <w:r>
        <w:t xml:space="preserve">; </w:t>
      </w:r>
      <w:hyperlink w:anchor="SENTENCIA_2015_163" w:history="1">
        <w:r w:rsidRPr="00981775">
          <w:rPr>
            <w:rStyle w:val="TextoNormalCaracter"/>
          </w:rPr>
          <w:t>163/2015</w:t>
        </w:r>
      </w:hyperlink>
      <w:r>
        <w:t xml:space="preserve">; </w:t>
      </w:r>
      <w:hyperlink w:anchor="SENTENCIA_2015_164" w:history="1">
        <w:r w:rsidRPr="00981775">
          <w:rPr>
            <w:rStyle w:val="TextoNormalCaracter"/>
          </w:rPr>
          <w:t>164/2015</w:t>
        </w:r>
      </w:hyperlink>
      <w:r>
        <w:t xml:space="preserve">; </w:t>
      </w:r>
      <w:hyperlink w:anchor="SENTENCIA_2015_165" w:history="1">
        <w:r w:rsidRPr="00981775">
          <w:rPr>
            <w:rStyle w:val="TextoNormalCaracter"/>
          </w:rPr>
          <w:t>165/2015</w:t>
        </w:r>
      </w:hyperlink>
      <w:r>
        <w:t xml:space="preserve">; </w:t>
      </w:r>
      <w:hyperlink w:anchor="SENTENCIA_2015_166" w:history="1">
        <w:r w:rsidRPr="00981775">
          <w:rPr>
            <w:rStyle w:val="TextoNormalCaracter"/>
          </w:rPr>
          <w:t>166/2015</w:t>
        </w:r>
      </w:hyperlink>
      <w:r>
        <w:t xml:space="preserve">; </w:t>
      </w:r>
      <w:hyperlink w:anchor="SENTENCIA_2015_172" w:history="1">
        <w:r w:rsidRPr="00981775">
          <w:rPr>
            <w:rStyle w:val="TextoNormalCaracter"/>
          </w:rPr>
          <w:t>172/2015</w:t>
        </w:r>
      </w:hyperlink>
      <w:r>
        <w:t xml:space="preserve">; </w:t>
      </w:r>
      <w:hyperlink w:anchor="SENTENCIA_2015_174" w:history="1">
        <w:r w:rsidRPr="00981775">
          <w:rPr>
            <w:rStyle w:val="TextoNormalCaracter"/>
          </w:rPr>
          <w:t>174/2015</w:t>
        </w:r>
      </w:hyperlink>
      <w:r>
        <w:t xml:space="preserve">; </w:t>
      </w:r>
      <w:hyperlink w:anchor="SENTENCIA_2015_188" w:history="1">
        <w:r w:rsidRPr="00981775">
          <w:rPr>
            <w:rStyle w:val="TextoNormalCaracter"/>
          </w:rPr>
          <w:t>188/2015</w:t>
        </w:r>
      </w:hyperlink>
      <w:r>
        <w:t xml:space="preserve">; </w:t>
      </w:r>
      <w:hyperlink w:anchor="SENTENCIA_2015_190" w:history="1">
        <w:r w:rsidRPr="00981775">
          <w:rPr>
            <w:rStyle w:val="TextoNormalCaracter"/>
          </w:rPr>
          <w:t>190/2015</w:t>
        </w:r>
      </w:hyperlink>
      <w:r>
        <w:t xml:space="preserve">; </w:t>
      </w:r>
      <w:hyperlink w:anchor="SENTENCIA_2015_210" w:history="1">
        <w:r w:rsidRPr="00981775">
          <w:rPr>
            <w:rStyle w:val="TextoNormalCaracter"/>
          </w:rPr>
          <w:t>210/2015</w:t>
        </w:r>
      </w:hyperlink>
      <w:r>
        <w:t xml:space="preserve">; </w:t>
      </w:r>
      <w:hyperlink w:anchor="SENTENCIA_2015_227" w:history="1">
        <w:r w:rsidRPr="00981775">
          <w:rPr>
            <w:rStyle w:val="TextoNormalCaracter"/>
          </w:rPr>
          <w:t>227/2015</w:t>
        </w:r>
      </w:hyperlink>
      <w:r>
        <w:t>.</w:t>
      </w:r>
    </w:p>
    <w:p w:rsidR="00981775" w:rsidRDefault="00981775" w:rsidP="00981775">
      <w:pPr>
        <w:pStyle w:val="SangriaIzquierdaArticulo"/>
      </w:pPr>
      <w:r>
        <w:t xml:space="preserve">Autos </w:t>
      </w:r>
      <w:hyperlink w:anchor="AUTO_2015_172" w:history="1">
        <w:r w:rsidRPr="00981775">
          <w:rPr>
            <w:rStyle w:val="TextoNormalCaracter"/>
          </w:rPr>
          <w:t>172/2015</w:t>
        </w:r>
      </w:hyperlink>
      <w:r>
        <w:t xml:space="preserve">; </w:t>
      </w:r>
      <w:hyperlink w:anchor="AUTO_2015_173" w:history="1">
        <w:r w:rsidRPr="00981775">
          <w:rPr>
            <w:rStyle w:val="TextoNormalCaracter"/>
          </w:rPr>
          <w:t>173/2015</w:t>
        </w:r>
      </w:hyperlink>
      <w:r>
        <w:t>.</w:t>
      </w:r>
    </w:p>
    <w:p w:rsidR="00981775" w:rsidRDefault="00981775" w:rsidP="00981775">
      <w:pPr>
        <w:pStyle w:val="SangriaFrancesaArticulo"/>
      </w:pPr>
      <w:r w:rsidRPr="00981775">
        <w:rPr>
          <w:rStyle w:val="TextoNormalNegritaCaracter"/>
        </w:rPr>
        <w:t>Artículo 2.2.</w:t>
      </w:r>
      <w:r w:rsidRPr="00981775">
        <w:rPr>
          <w:rStyle w:val="TextoNormalCaracter"/>
        </w:rPr>
        <w:t>-</w:t>
      </w:r>
      <w:r>
        <w:t xml:space="preserve"> Sentencias </w:t>
      </w:r>
      <w:hyperlink w:anchor="SENTENCIA_2015_175" w:history="1">
        <w:r w:rsidRPr="00981775">
          <w:rPr>
            <w:rStyle w:val="TextoNormalCaracter"/>
          </w:rPr>
          <w:t>175/2015</w:t>
        </w:r>
      </w:hyperlink>
      <w:r>
        <w:t xml:space="preserve">; </w:t>
      </w:r>
      <w:hyperlink w:anchor="SENTENCIA_2015_193" w:history="1">
        <w:r w:rsidRPr="00981775">
          <w:rPr>
            <w:rStyle w:val="TextoNormalCaracter"/>
          </w:rPr>
          <w:t>193/2015</w:t>
        </w:r>
      </w:hyperlink>
      <w:r>
        <w:t xml:space="preserve">; </w:t>
      </w:r>
      <w:hyperlink w:anchor="SENTENCIA_2015_243" w:history="1">
        <w:r w:rsidRPr="00981775">
          <w:rPr>
            <w:rStyle w:val="TextoNormalCaracter"/>
          </w:rPr>
          <w:t>243/2015</w:t>
        </w:r>
      </w:hyperlink>
      <w:r>
        <w:t>.</w:t>
      </w:r>
    </w:p>
    <w:p w:rsidR="00981775" w:rsidRDefault="00981775" w:rsidP="00981775">
      <w:pPr>
        <w:pStyle w:val="SangriaFrancesaArticulo"/>
      </w:pPr>
      <w:r w:rsidRPr="00981775">
        <w:rPr>
          <w:rStyle w:val="TextoNormalNegritaCaracter"/>
        </w:rPr>
        <w:t>Artículo 2.2.1.</w:t>
      </w:r>
      <w:r w:rsidRPr="00981775">
        <w:rPr>
          <w:rStyle w:val="TextoNormalCaracter"/>
        </w:rPr>
        <w:t>-</w:t>
      </w:r>
      <w:r>
        <w:t xml:space="preserve"> Sentencias </w:t>
      </w:r>
      <w:hyperlink w:anchor="SENTENCIA_2015_210" w:history="1">
        <w:r w:rsidRPr="00981775">
          <w:rPr>
            <w:rStyle w:val="TextoNormalCaracter"/>
          </w:rPr>
          <w:t>210/2015</w:t>
        </w:r>
      </w:hyperlink>
      <w:r>
        <w:t xml:space="preserve">; </w:t>
      </w:r>
      <w:hyperlink w:anchor="SENTENCIA_2015_227" w:history="1">
        <w:r w:rsidRPr="00981775">
          <w:rPr>
            <w:rStyle w:val="TextoNormalCaracter"/>
          </w:rPr>
          <w:t>227/2015</w:t>
        </w:r>
      </w:hyperlink>
      <w:r>
        <w:t>.</w:t>
      </w:r>
    </w:p>
    <w:p w:rsidR="00981775" w:rsidRDefault="00981775" w:rsidP="00981775">
      <w:pPr>
        <w:pStyle w:val="SangriaFrancesaArticulo"/>
      </w:pPr>
      <w:r w:rsidRPr="00981775">
        <w:rPr>
          <w:rStyle w:val="TextoNormalNegritaCaracter"/>
        </w:rPr>
        <w:t>Artículo 2.2.2.</w:t>
      </w:r>
      <w:r w:rsidRPr="00981775">
        <w:rPr>
          <w:rStyle w:val="TextoNormalCaracter"/>
        </w:rPr>
        <w:t>-</w:t>
      </w:r>
      <w:r>
        <w:t xml:space="preserve"> Auto </w:t>
      </w:r>
      <w:hyperlink w:anchor="AUTO_2015_173" w:history="1">
        <w:r w:rsidRPr="00981775">
          <w:rPr>
            <w:rStyle w:val="TextoNormalCaracter"/>
          </w:rPr>
          <w:t>173/2015</w:t>
        </w:r>
      </w:hyperlink>
      <w:r>
        <w:t>.</w:t>
      </w:r>
    </w:p>
    <w:p w:rsidR="00981775" w:rsidRDefault="00981775" w:rsidP="00981775">
      <w:pPr>
        <w:pStyle w:val="SangriaFrancesaArticulo"/>
      </w:pPr>
      <w:r w:rsidRPr="00981775">
        <w:rPr>
          <w:rStyle w:val="TextoNormalNegritaCaracter"/>
        </w:rPr>
        <w:t>Artículo 2.2.2.1.</w:t>
      </w:r>
      <w:r w:rsidRPr="00981775">
        <w:rPr>
          <w:rStyle w:val="TextoNormalCaracter"/>
        </w:rPr>
        <w:t>-</w:t>
      </w:r>
      <w:r>
        <w:t xml:space="preserve"> Sentencias </w:t>
      </w:r>
      <w:hyperlink w:anchor="SENTENCIA_2015_162" w:history="1">
        <w:r w:rsidRPr="00981775">
          <w:rPr>
            <w:rStyle w:val="TextoNormalCaracter"/>
          </w:rPr>
          <w:t>162/2015</w:t>
        </w:r>
      </w:hyperlink>
      <w:r>
        <w:t xml:space="preserve">; </w:t>
      </w:r>
      <w:hyperlink w:anchor="SENTENCIA_2015_163" w:history="1">
        <w:r w:rsidRPr="00981775">
          <w:rPr>
            <w:rStyle w:val="TextoNormalCaracter"/>
          </w:rPr>
          <w:t>163/2015</w:t>
        </w:r>
      </w:hyperlink>
      <w:r>
        <w:t xml:space="preserve">; </w:t>
      </w:r>
      <w:hyperlink w:anchor="SENTENCIA_2015_164" w:history="1">
        <w:r w:rsidRPr="00981775">
          <w:rPr>
            <w:rStyle w:val="TextoNormalCaracter"/>
          </w:rPr>
          <w:t>164/2015</w:t>
        </w:r>
      </w:hyperlink>
      <w:r>
        <w:t xml:space="preserve">; </w:t>
      </w:r>
      <w:hyperlink w:anchor="SENTENCIA_2015_165" w:history="1">
        <w:r w:rsidRPr="00981775">
          <w:rPr>
            <w:rStyle w:val="TextoNormalCaracter"/>
          </w:rPr>
          <w:t>165/2015</w:t>
        </w:r>
      </w:hyperlink>
      <w:r>
        <w:t xml:space="preserve">; </w:t>
      </w:r>
      <w:hyperlink w:anchor="SENTENCIA_2015_166" w:history="1">
        <w:r w:rsidRPr="00981775">
          <w:rPr>
            <w:rStyle w:val="TextoNormalCaracter"/>
          </w:rPr>
          <w:t>166/2015</w:t>
        </w:r>
      </w:hyperlink>
      <w:r>
        <w:t xml:space="preserve">; </w:t>
      </w:r>
      <w:hyperlink w:anchor="SENTENCIA_2015_188" w:history="1">
        <w:r w:rsidRPr="00981775">
          <w:rPr>
            <w:rStyle w:val="TextoNormalCaracter"/>
          </w:rPr>
          <w:t>188/2015</w:t>
        </w:r>
      </w:hyperlink>
      <w:r>
        <w:t xml:space="preserve">; </w:t>
      </w:r>
      <w:hyperlink w:anchor="SENTENCIA_2015_190" w:history="1">
        <w:r w:rsidRPr="00981775">
          <w:rPr>
            <w:rStyle w:val="TextoNormalCaracter"/>
          </w:rPr>
          <w:t>190/2015</w:t>
        </w:r>
      </w:hyperlink>
      <w:r>
        <w:t>.</w:t>
      </w:r>
    </w:p>
    <w:p w:rsidR="00981775" w:rsidRDefault="00981775" w:rsidP="00981775">
      <w:pPr>
        <w:pStyle w:val="SangriaFrancesaArticulo"/>
      </w:pPr>
      <w:r w:rsidRPr="00981775">
        <w:rPr>
          <w:rStyle w:val="TextoNormalNegritaCaracter"/>
        </w:rPr>
        <w:t>Artículo 3.1.</w:t>
      </w:r>
      <w:r w:rsidRPr="00981775">
        <w:rPr>
          <w:rStyle w:val="TextoNormalCaracter"/>
        </w:rPr>
        <w:t>-</w:t>
      </w:r>
      <w:r>
        <w:t xml:space="preserve"> Sentencias </w:t>
      </w:r>
      <w:hyperlink w:anchor="SENTENCIA_2015_210" w:history="1">
        <w:r w:rsidRPr="00981775">
          <w:rPr>
            <w:rStyle w:val="TextoNormalCaracter"/>
          </w:rPr>
          <w:t>210/2015</w:t>
        </w:r>
      </w:hyperlink>
      <w:r>
        <w:t xml:space="preserve">; </w:t>
      </w:r>
      <w:hyperlink w:anchor="SENTENCIA_2015_227" w:history="1">
        <w:r w:rsidRPr="00981775">
          <w:rPr>
            <w:rStyle w:val="TextoNormalCaracter"/>
          </w:rPr>
          <w:t>227/2015</w:t>
        </w:r>
      </w:hyperlink>
      <w:r>
        <w:t>.</w:t>
      </w:r>
    </w:p>
    <w:p w:rsidR="00981775" w:rsidRDefault="00981775" w:rsidP="00981775">
      <w:pPr>
        <w:pStyle w:val="SangriaFrancesaArticulo"/>
      </w:pPr>
      <w:r w:rsidRPr="00981775">
        <w:rPr>
          <w:rStyle w:val="TextoNormalNegritaCaracter"/>
        </w:rPr>
        <w:t>Artículo 3.3.</w:t>
      </w:r>
      <w:r w:rsidRPr="00981775">
        <w:rPr>
          <w:rStyle w:val="TextoNormalCaracter"/>
        </w:rPr>
        <w:t>-</w:t>
      </w:r>
      <w:r>
        <w:t xml:space="preserve"> Sentencia </w:t>
      </w:r>
      <w:hyperlink w:anchor="SENTENCIA_2015_153" w:history="1">
        <w:r w:rsidRPr="00981775">
          <w:rPr>
            <w:rStyle w:val="TextoNormalCaracter"/>
          </w:rPr>
          <w:t>153/2015</w:t>
        </w:r>
      </w:hyperlink>
      <w:r>
        <w:t>.</w:t>
      </w:r>
    </w:p>
    <w:p w:rsidR="00981775" w:rsidRDefault="00981775" w:rsidP="00981775">
      <w:pPr>
        <w:pStyle w:val="SangriaIzquierdaArticulo"/>
      </w:pPr>
      <w:r>
        <w:t xml:space="preserve">Auto </w:t>
      </w:r>
      <w:hyperlink w:anchor="AUTO_2015_172" w:history="1">
        <w:r w:rsidRPr="00981775">
          <w:rPr>
            <w:rStyle w:val="TextoNormalCaracter"/>
          </w:rPr>
          <w:t>172/2015</w:t>
        </w:r>
      </w:hyperlink>
      <w:r>
        <w:t>.</w:t>
      </w:r>
    </w:p>
    <w:p w:rsidR="00981775" w:rsidRDefault="00981775" w:rsidP="00981775">
      <w:pPr>
        <w:pStyle w:val="SangriaFrancesaArticulo"/>
      </w:pPr>
      <w:r w:rsidRPr="00981775">
        <w:rPr>
          <w:rStyle w:val="TextoNormalNegritaCaracter"/>
        </w:rPr>
        <w:t>Artículo 3.3 bis</w:t>
      </w:r>
      <w:r>
        <w:t xml:space="preserve"> (redactado por la Ley 10/2012, de 20 de noviembre)</w:t>
      </w:r>
      <w:r w:rsidRPr="00981775">
        <w:rPr>
          <w:rStyle w:val="TextoNormalNegritaCaracter"/>
        </w:rPr>
        <w:t>.</w:t>
      </w:r>
      <w:r w:rsidRPr="00981775">
        <w:rPr>
          <w:rStyle w:val="TextoNormalCaracter"/>
        </w:rPr>
        <w:t>-</w:t>
      </w:r>
      <w:r>
        <w:t xml:space="preserve"> Auto </w:t>
      </w:r>
      <w:hyperlink w:anchor="AUTO_2015_172" w:history="1">
        <w:r w:rsidRPr="00981775">
          <w:rPr>
            <w:rStyle w:val="TextoNormalCaracter"/>
          </w:rPr>
          <w:t>172/2015</w:t>
        </w:r>
      </w:hyperlink>
      <w:r>
        <w:t>.</w:t>
      </w:r>
    </w:p>
    <w:p w:rsidR="00981775" w:rsidRDefault="00981775" w:rsidP="00981775">
      <w:pPr>
        <w:pStyle w:val="SangriaFrancesaArticulo"/>
      </w:pPr>
      <w:r w:rsidRPr="00981775">
        <w:rPr>
          <w:rStyle w:val="TextoNormalNegritaCaracter"/>
        </w:rPr>
        <w:t>Artículo 6.</w:t>
      </w:r>
      <w:r w:rsidRPr="00981775">
        <w:rPr>
          <w:rStyle w:val="TextoNormalCaracter"/>
        </w:rPr>
        <w:t>-</w:t>
      </w:r>
      <w:r>
        <w:t xml:space="preserve"> Sentencias </w:t>
      </w:r>
      <w:hyperlink w:anchor="SENTENCIA_2015_175" w:history="1">
        <w:r w:rsidRPr="00981775">
          <w:rPr>
            <w:rStyle w:val="TextoNormalCaracter"/>
          </w:rPr>
          <w:t>175/2015</w:t>
        </w:r>
      </w:hyperlink>
      <w:r>
        <w:t xml:space="preserve">; </w:t>
      </w:r>
      <w:hyperlink w:anchor="SENTENCIA_2015_193" w:history="1">
        <w:r w:rsidRPr="00981775">
          <w:rPr>
            <w:rStyle w:val="TextoNormalCaracter"/>
          </w:rPr>
          <w:t>193/2015</w:t>
        </w:r>
      </w:hyperlink>
      <w:r>
        <w:t>.</w:t>
      </w:r>
    </w:p>
    <w:p w:rsidR="00981775" w:rsidRDefault="00981775" w:rsidP="00981775">
      <w:pPr>
        <w:pStyle w:val="SangriaIzquierdaArticulo"/>
      </w:pPr>
      <w:r>
        <w:t xml:space="preserve">Auto </w:t>
      </w:r>
      <w:hyperlink w:anchor="AUTO_2015_173" w:history="1">
        <w:r w:rsidRPr="00981775">
          <w:rPr>
            <w:rStyle w:val="TextoNormalCaracter"/>
          </w:rPr>
          <w:t>173/2015</w:t>
        </w:r>
      </w:hyperlink>
      <w:r>
        <w:t>.</w:t>
      </w:r>
    </w:p>
    <w:p w:rsidR="00981775" w:rsidRDefault="00981775" w:rsidP="00981775">
      <w:pPr>
        <w:pStyle w:val="SangriaFrancesaArticulo"/>
      </w:pPr>
      <w:r w:rsidRPr="00981775">
        <w:rPr>
          <w:rStyle w:val="TextoNormalNegritaCaracter"/>
        </w:rPr>
        <w:t>Artículo 8.</w:t>
      </w:r>
      <w:r w:rsidRPr="00981775">
        <w:rPr>
          <w:rStyle w:val="TextoNormalCaracter"/>
        </w:rPr>
        <w:t>-</w:t>
      </w:r>
      <w:r>
        <w:t xml:space="preserve"> Sentencia </w:t>
      </w:r>
      <w:hyperlink w:anchor="SENTENCIA_2015_156" w:history="1">
        <w:r w:rsidRPr="00981775">
          <w:rPr>
            <w:rStyle w:val="TextoNormalCaracter"/>
          </w:rPr>
          <w:t>156/2015</w:t>
        </w:r>
      </w:hyperlink>
      <w:r>
        <w:t>.</w:t>
      </w:r>
    </w:p>
    <w:p w:rsidR="00981775" w:rsidRDefault="00981775" w:rsidP="00981775">
      <w:pPr>
        <w:pStyle w:val="SangriaFrancesaArticulo"/>
      </w:pPr>
      <w:r w:rsidRPr="00981775">
        <w:rPr>
          <w:rStyle w:val="TextoNormalNegritaCaracter"/>
        </w:rPr>
        <w:t>Artículo 27.</w:t>
      </w:r>
      <w:r w:rsidRPr="00981775">
        <w:rPr>
          <w:rStyle w:val="TextoNormalCaracter"/>
        </w:rPr>
        <w:t>-</w:t>
      </w:r>
      <w:r>
        <w:t xml:space="preserve"> Sentencia </w:t>
      </w:r>
      <w:hyperlink w:anchor="SENTENCIA_2015_156" w:history="1">
        <w:r w:rsidRPr="00981775">
          <w:rPr>
            <w:rStyle w:val="TextoNormalCaracter"/>
          </w:rPr>
          <w:t>156/2015</w:t>
        </w:r>
      </w:hyperlink>
      <w:r>
        <w:t>.</w:t>
      </w:r>
    </w:p>
    <w:p w:rsidR="00981775" w:rsidRDefault="00981775" w:rsidP="00981775">
      <w:pPr>
        <w:pStyle w:val="SangriaFrancesaArticulo"/>
      </w:pPr>
      <w:r w:rsidRPr="00981775">
        <w:rPr>
          <w:rStyle w:val="TextoNormalNegritaCaracter"/>
        </w:rPr>
        <w:t>Artículo 28.</w:t>
      </w:r>
      <w:r w:rsidRPr="00981775">
        <w:rPr>
          <w:rStyle w:val="TextoNormalCaracter"/>
        </w:rPr>
        <w:t>-</w:t>
      </w:r>
      <w:r>
        <w:t xml:space="preserve"> Sentencia </w:t>
      </w:r>
      <w:hyperlink w:anchor="SENTENCIA_2015_156" w:history="1">
        <w:r w:rsidRPr="00981775">
          <w:rPr>
            <w:rStyle w:val="TextoNormalCaracter"/>
          </w:rPr>
          <w:t>156/2015</w:t>
        </w:r>
      </w:hyperlink>
      <w:r>
        <w:t>.</w:t>
      </w:r>
    </w:p>
    <w:p w:rsidR="00981775" w:rsidRDefault="00981775" w:rsidP="00981775">
      <w:pPr>
        <w:pStyle w:val="SangriaFrancesaArticulo"/>
      </w:pPr>
    </w:p>
    <w:p w:rsidR="00981775" w:rsidRDefault="00981775" w:rsidP="00981775">
      <w:pPr>
        <w:pStyle w:val="TextoNormalNegritaCursivandice"/>
      </w:pPr>
      <w:r>
        <w:t>Ley 10/2012, de 20 de noviembre. Se regulan determinadas tasas en el ámbito de la Administración de justicia y del Instituto Nacional de Toxicología y Ciencias Forenses</w:t>
      </w:r>
    </w:p>
    <w:p w:rsidR="00981775" w:rsidRDefault="00981775" w:rsidP="00981775">
      <w:pPr>
        <w:pStyle w:val="SangriaFrancesaArticulo"/>
      </w:pPr>
      <w:r w:rsidRPr="00981775">
        <w:rPr>
          <w:rStyle w:val="TextoNormalNegritaCaracter"/>
        </w:rPr>
        <w:t>Artículo 7.1</w:t>
      </w:r>
      <w:r>
        <w:t xml:space="preserve"> (redactado por el Real Decreto-ley 3/2013, de 22 de febrero)</w:t>
      </w:r>
      <w:r w:rsidRPr="00981775">
        <w:rPr>
          <w:rStyle w:val="TextoNormalNegritaCaracter"/>
        </w:rPr>
        <w:t>.</w:t>
      </w:r>
      <w:r w:rsidRPr="00981775">
        <w:rPr>
          <w:rStyle w:val="TextoNormalCaracter"/>
        </w:rPr>
        <w:t>-</w:t>
      </w:r>
      <w:r>
        <w:t xml:space="preserve"> Auto </w:t>
      </w:r>
      <w:hyperlink w:anchor="AUTO_2015_195" w:history="1">
        <w:r w:rsidRPr="00981775">
          <w:rPr>
            <w:rStyle w:val="TextoNormalCaracter"/>
          </w:rPr>
          <w:t>195/2015</w:t>
        </w:r>
      </w:hyperlink>
      <w:r>
        <w:t>.</w:t>
      </w:r>
    </w:p>
    <w:p w:rsidR="00981775" w:rsidRDefault="00981775" w:rsidP="00981775">
      <w:pPr>
        <w:pStyle w:val="SangriaFrancesaArticulo"/>
      </w:pPr>
      <w:r w:rsidRPr="00981775">
        <w:rPr>
          <w:rStyle w:val="TextoNormalNegritaCaracter"/>
        </w:rPr>
        <w:t>Artículo 7.3</w:t>
      </w:r>
      <w:r>
        <w:t xml:space="preserve"> (redactado por el Real Decreto-ley 3/2013, de 22 de febrero)</w:t>
      </w:r>
      <w:r w:rsidRPr="00981775">
        <w:rPr>
          <w:rStyle w:val="TextoNormalNegritaCaracter"/>
        </w:rPr>
        <w:t>.</w:t>
      </w:r>
      <w:r w:rsidRPr="00981775">
        <w:rPr>
          <w:rStyle w:val="TextoNormalCaracter"/>
        </w:rPr>
        <w:t>-</w:t>
      </w:r>
      <w:r>
        <w:t xml:space="preserve"> Auto </w:t>
      </w:r>
      <w:hyperlink w:anchor="AUTO_2015_195" w:history="1">
        <w:r w:rsidRPr="00981775">
          <w:rPr>
            <w:rStyle w:val="TextoNormalCaracter"/>
          </w:rPr>
          <w:t>195/2015</w:t>
        </w:r>
      </w:hyperlink>
      <w:r>
        <w:t>.</w:t>
      </w:r>
    </w:p>
    <w:p w:rsidR="00981775" w:rsidRDefault="00981775" w:rsidP="00981775">
      <w:pPr>
        <w:pStyle w:val="SangriaFrancesaArticulo"/>
      </w:pPr>
      <w:r w:rsidRPr="00981775">
        <w:rPr>
          <w:rStyle w:val="TextoNormalNegritaCaracter"/>
        </w:rPr>
        <w:t>Artículo 8.2</w:t>
      </w:r>
      <w:r>
        <w:t xml:space="preserve"> (redactado por el Real Decreto-ley 3/2013, de 22 de febrero)</w:t>
      </w:r>
      <w:r w:rsidRPr="00981775">
        <w:rPr>
          <w:rStyle w:val="TextoNormalNegritaCaracter"/>
        </w:rPr>
        <w:t>.</w:t>
      </w:r>
      <w:r w:rsidRPr="00981775">
        <w:rPr>
          <w:rStyle w:val="TextoNormalCaracter"/>
        </w:rPr>
        <w:t>-</w:t>
      </w:r>
      <w:r>
        <w:t xml:space="preserve"> Auto </w:t>
      </w:r>
      <w:hyperlink w:anchor="AUTO_2015_195" w:history="1">
        <w:r w:rsidRPr="00981775">
          <w:rPr>
            <w:rStyle w:val="TextoNormalCaracter"/>
          </w:rPr>
          <w:t>195/2015</w:t>
        </w:r>
      </w:hyperlink>
      <w:r>
        <w:t>.</w:t>
      </w:r>
    </w:p>
    <w:p w:rsidR="00981775" w:rsidRDefault="00981775" w:rsidP="00981775">
      <w:pPr>
        <w:pStyle w:val="SangriaFrancesaArticulo"/>
      </w:pPr>
    </w:p>
    <w:p w:rsidR="00981775" w:rsidRDefault="00981775" w:rsidP="00981775">
      <w:pPr>
        <w:pStyle w:val="TextoNormalNegritaCursivandice"/>
      </w:pPr>
      <w:r>
        <w:t>Real Decreto-ley 28/2012, de 30 de noviembre. Medidas de consolidación y garantía del sistema de la Seguridad Social</w:t>
      </w:r>
    </w:p>
    <w:p w:rsidR="00981775" w:rsidRDefault="00981775" w:rsidP="00981775">
      <w:pPr>
        <w:pStyle w:val="SangriaFrancesaArticulo"/>
      </w:pPr>
      <w:r w:rsidRPr="00981775">
        <w:rPr>
          <w:rStyle w:val="TextoNormalNegritaCaracter"/>
        </w:rPr>
        <w:t>Artículo 2.1.</w:t>
      </w:r>
      <w:r w:rsidRPr="00981775">
        <w:rPr>
          <w:rStyle w:val="TextoNormalCaracter"/>
        </w:rPr>
        <w:t>-</w:t>
      </w:r>
      <w:r>
        <w:t xml:space="preserve"> Autos </w:t>
      </w:r>
      <w:hyperlink w:anchor="AUTO_2015_129" w:history="1">
        <w:r w:rsidRPr="00981775">
          <w:rPr>
            <w:rStyle w:val="TextoNormalCaracter"/>
          </w:rPr>
          <w:t>129/2015</w:t>
        </w:r>
      </w:hyperlink>
      <w:r>
        <w:t xml:space="preserve">; </w:t>
      </w:r>
      <w:hyperlink w:anchor="AUTO_2015_130" w:history="1">
        <w:r w:rsidRPr="00981775">
          <w:rPr>
            <w:rStyle w:val="TextoNormalCaracter"/>
          </w:rPr>
          <w:t>130/2015</w:t>
        </w:r>
      </w:hyperlink>
      <w:r>
        <w:t xml:space="preserve">; </w:t>
      </w:r>
      <w:hyperlink w:anchor="AUTO_2015_132" w:history="1">
        <w:r w:rsidRPr="00981775">
          <w:rPr>
            <w:rStyle w:val="TextoNormalCaracter"/>
          </w:rPr>
          <w:t>132/2015</w:t>
        </w:r>
      </w:hyperlink>
      <w:r>
        <w:t xml:space="preserve">; </w:t>
      </w:r>
      <w:hyperlink w:anchor="AUTO_2015_133" w:history="1">
        <w:r w:rsidRPr="00981775">
          <w:rPr>
            <w:rStyle w:val="TextoNormalCaracter"/>
          </w:rPr>
          <w:t>133/2015</w:t>
        </w:r>
      </w:hyperlink>
      <w:r>
        <w:t xml:space="preserve">; </w:t>
      </w:r>
      <w:hyperlink w:anchor="AUTO_2015_134" w:history="1">
        <w:r w:rsidRPr="00981775">
          <w:rPr>
            <w:rStyle w:val="TextoNormalCaracter"/>
          </w:rPr>
          <w:t>134/2015</w:t>
        </w:r>
      </w:hyperlink>
      <w:r>
        <w:t>.</w:t>
      </w:r>
    </w:p>
    <w:p w:rsidR="00981775" w:rsidRDefault="00981775" w:rsidP="00981775">
      <w:pPr>
        <w:pStyle w:val="SangriaFrancesaArticulo"/>
      </w:pPr>
    </w:p>
    <w:p w:rsidR="00981775" w:rsidRDefault="00981775" w:rsidP="00981775">
      <w:pPr>
        <w:pStyle w:val="TextoNormalNegritaCursivandice"/>
      </w:pPr>
      <w:r>
        <w:t>Ley 17/2012, de 27 de diciembre. Presupuestos Generales del Estado para el año 2013</w:t>
      </w:r>
    </w:p>
    <w:p w:rsidR="00981775" w:rsidRDefault="00981775" w:rsidP="00981775">
      <w:pPr>
        <w:pStyle w:val="SangriaFrancesaArticulo"/>
      </w:pPr>
      <w:r w:rsidRPr="00981775">
        <w:rPr>
          <w:rStyle w:val="TextoNormalNegritaCaracter"/>
        </w:rPr>
        <w:t>Artículo 17.8.</w:t>
      </w:r>
      <w:r w:rsidRPr="00981775">
        <w:rPr>
          <w:rStyle w:val="TextoNormalCaracter"/>
        </w:rPr>
        <w:t>-</w:t>
      </w:r>
      <w:r>
        <w:t xml:space="preserve"> Sentencias </w:t>
      </w:r>
      <w:hyperlink w:anchor="SENTENCIA_2015_234" w:history="1">
        <w:r w:rsidRPr="00981775">
          <w:rPr>
            <w:rStyle w:val="TextoNormalCaracter"/>
          </w:rPr>
          <w:t>234/2015</w:t>
        </w:r>
      </w:hyperlink>
      <w:r>
        <w:t xml:space="preserve">; </w:t>
      </w:r>
      <w:hyperlink w:anchor="SENTENCIA_2015_246" w:history="1">
        <w:r w:rsidRPr="00981775">
          <w:rPr>
            <w:rStyle w:val="TextoNormalCaracter"/>
          </w:rPr>
          <w:t>246/2015</w:t>
        </w:r>
      </w:hyperlink>
      <w:r>
        <w:t xml:space="preserve">; </w:t>
      </w:r>
      <w:hyperlink w:anchor="SENTENCIA_2015_247" w:history="1">
        <w:r w:rsidRPr="00981775">
          <w:rPr>
            <w:rStyle w:val="TextoNormalCaracter"/>
          </w:rPr>
          <w:t>247/2015</w:t>
        </w:r>
      </w:hyperlink>
      <w:r>
        <w:t xml:space="preserve">; </w:t>
      </w:r>
      <w:hyperlink w:anchor="SENTENCIA_2015_248" w:history="1">
        <w:r w:rsidRPr="00981775">
          <w:rPr>
            <w:rStyle w:val="TextoNormalCaracter"/>
          </w:rPr>
          <w:t>248/2015</w:t>
        </w:r>
      </w:hyperlink>
      <w:r>
        <w:t xml:space="preserve">; </w:t>
      </w:r>
      <w:hyperlink w:anchor="SENTENCIA_2015_249" w:history="1">
        <w:r w:rsidRPr="00981775">
          <w:rPr>
            <w:rStyle w:val="TextoNormalCaracter"/>
          </w:rPr>
          <w:t>249/2015</w:t>
        </w:r>
      </w:hyperlink>
      <w:r>
        <w:t xml:space="preserve">; </w:t>
      </w:r>
      <w:hyperlink w:anchor="SENTENCIA_2015_250" w:history="1">
        <w:r w:rsidRPr="00981775">
          <w:rPr>
            <w:rStyle w:val="TextoNormalCaracter"/>
          </w:rPr>
          <w:t>250/2015</w:t>
        </w:r>
      </w:hyperlink>
      <w:r>
        <w:t xml:space="preserve">; </w:t>
      </w:r>
      <w:hyperlink w:anchor="SENTENCIA_2015_251" w:history="1">
        <w:r w:rsidRPr="00981775">
          <w:rPr>
            <w:rStyle w:val="TextoNormalCaracter"/>
          </w:rPr>
          <w:t>251/2015</w:t>
        </w:r>
      </w:hyperlink>
      <w:r>
        <w:t xml:space="preserve">; </w:t>
      </w:r>
      <w:hyperlink w:anchor="SENTENCIA_2015_252" w:history="1">
        <w:r w:rsidRPr="00981775">
          <w:rPr>
            <w:rStyle w:val="TextoNormalCaracter"/>
          </w:rPr>
          <w:t>252/2015</w:t>
        </w:r>
      </w:hyperlink>
      <w:r>
        <w:t xml:space="preserve">; </w:t>
      </w:r>
      <w:hyperlink w:anchor="SENTENCIA_2015_253" w:history="1">
        <w:r w:rsidRPr="00981775">
          <w:rPr>
            <w:rStyle w:val="TextoNormalCaracter"/>
          </w:rPr>
          <w:t>253/2015</w:t>
        </w:r>
      </w:hyperlink>
      <w:r>
        <w:t xml:space="preserve">; </w:t>
      </w:r>
      <w:hyperlink w:anchor="SENTENCIA_2015_255" w:history="1">
        <w:r w:rsidRPr="00981775">
          <w:rPr>
            <w:rStyle w:val="TextoNormalCaracter"/>
          </w:rPr>
          <w:t>255/2015</w:t>
        </w:r>
      </w:hyperlink>
      <w:r>
        <w:t xml:space="preserve">; </w:t>
      </w:r>
      <w:hyperlink w:anchor="SENTENCIA_2015_256" w:history="1">
        <w:r w:rsidRPr="00981775">
          <w:rPr>
            <w:rStyle w:val="TextoNormalCaracter"/>
          </w:rPr>
          <w:t>256/2015</w:t>
        </w:r>
      </w:hyperlink>
      <w:r>
        <w:t xml:space="preserve">; </w:t>
      </w:r>
      <w:hyperlink w:anchor="SENTENCIA_2015_257" w:history="1">
        <w:r w:rsidRPr="00981775">
          <w:rPr>
            <w:rStyle w:val="TextoNormalCaracter"/>
          </w:rPr>
          <w:t>257/2015</w:t>
        </w:r>
      </w:hyperlink>
      <w:r>
        <w:t xml:space="preserve">; </w:t>
      </w:r>
      <w:hyperlink w:anchor="SENTENCIA_2015_258" w:history="1">
        <w:r w:rsidRPr="00981775">
          <w:rPr>
            <w:rStyle w:val="TextoNormalCaracter"/>
          </w:rPr>
          <w:t>258/2015</w:t>
        </w:r>
      </w:hyperlink>
      <w:r>
        <w:t>.</w:t>
      </w:r>
    </w:p>
    <w:p w:rsidR="00981775" w:rsidRDefault="00981775" w:rsidP="00981775">
      <w:pPr>
        <w:pStyle w:val="SangriaFrancesaArticulo"/>
      </w:pPr>
    </w:p>
    <w:p w:rsidR="00981775" w:rsidRDefault="00981775" w:rsidP="00981775">
      <w:pPr>
        <w:pStyle w:val="TextoNormalNegritaCursivandice"/>
      </w:pPr>
      <w:r>
        <w:t>Real Decreto-ley 4/2013, de 22 de febrero. Medidas de apoyo al emprendedor y de estímulo del crecimiento y de la creación de empleo</w:t>
      </w:r>
    </w:p>
    <w:p w:rsidR="00981775" w:rsidRDefault="00981775" w:rsidP="00981775">
      <w:pPr>
        <w:pStyle w:val="SangriaFrancesaArticulo"/>
      </w:pPr>
      <w:r w:rsidRPr="00981775">
        <w:rPr>
          <w:rStyle w:val="TextoNormalNegritaCaracter"/>
        </w:rPr>
        <w:t>Artículo 37.</w:t>
      </w:r>
      <w:r w:rsidRPr="00981775">
        <w:rPr>
          <w:rStyle w:val="TextoNormalCaracter"/>
        </w:rPr>
        <w:t>-</w:t>
      </w:r>
      <w:r>
        <w:t xml:space="preserve"> Sentencia </w:t>
      </w:r>
      <w:hyperlink w:anchor="SENTENCIA_2015_197" w:history="1">
        <w:r w:rsidRPr="00981775">
          <w:rPr>
            <w:rStyle w:val="TextoNormalCaracter"/>
          </w:rPr>
          <w:t>197/2015</w:t>
        </w:r>
      </w:hyperlink>
      <w:r>
        <w:t>.</w:t>
      </w:r>
    </w:p>
    <w:p w:rsidR="00981775" w:rsidRDefault="00981775" w:rsidP="00981775">
      <w:pPr>
        <w:pStyle w:val="SangriaFrancesaArticulo"/>
      </w:pPr>
      <w:r w:rsidRPr="00981775">
        <w:rPr>
          <w:rStyle w:val="TextoNormalNegritaCaracter"/>
        </w:rPr>
        <w:t>Artículo 38.</w:t>
      </w:r>
      <w:r w:rsidRPr="00981775">
        <w:rPr>
          <w:rStyle w:val="TextoNormalCaracter"/>
        </w:rPr>
        <w:t>-</w:t>
      </w:r>
      <w:r>
        <w:t xml:space="preserve"> Sentencia </w:t>
      </w:r>
      <w:hyperlink w:anchor="SENTENCIA_2015_197" w:history="1">
        <w:r w:rsidRPr="00981775">
          <w:rPr>
            <w:rStyle w:val="TextoNormalCaracter"/>
          </w:rPr>
          <w:t>197/2015</w:t>
        </w:r>
      </w:hyperlink>
      <w:r>
        <w:t>.</w:t>
      </w:r>
    </w:p>
    <w:p w:rsidR="00981775" w:rsidRDefault="00981775" w:rsidP="00981775">
      <w:pPr>
        <w:pStyle w:val="SangriaFrancesaArticulo"/>
      </w:pPr>
      <w:r w:rsidRPr="00981775">
        <w:rPr>
          <w:rStyle w:val="TextoNormalNegritaCaracter"/>
        </w:rPr>
        <w:t>Anexo.</w:t>
      </w:r>
      <w:r w:rsidRPr="00981775">
        <w:rPr>
          <w:rStyle w:val="TextoNormalCaracter"/>
        </w:rPr>
        <w:t>-</w:t>
      </w:r>
      <w:r>
        <w:t xml:space="preserve"> Sentencia </w:t>
      </w:r>
      <w:hyperlink w:anchor="SENTENCIA_2015_197" w:history="1">
        <w:r w:rsidRPr="00981775">
          <w:rPr>
            <w:rStyle w:val="TextoNormalCaracter"/>
          </w:rPr>
          <w:t>197/2015</w:t>
        </w:r>
      </w:hyperlink>
      <w:r>
        <w:t>.</w:t>
      </w:r>
    </w:p>
    <w:p w:rsidR="00981775" w:rsidRDefault="00981775" w:rsidP="00981775">
      <w:pPr>
        <w:pStyle w:val="SangriaFrancesaArticulo"/>
      </w:pPr>
    </w:p>
    <w:p w:rsidR="00981775" w:rsidRDefault="00981775" w:rsidP="00981775">
      <w:pPr>
        <w:pStyle w:val="TextoNormalNegritaCursivandice"/>
      </w:pPr>
      <w:r>
        <w:t>Ley 1/2013, de 14 de mayo. Medidas para reforzar la protección a los deudores hipotecarios, reestructuración de deuda y alquiler social</w:t>
      </w:r>
    </w:p>
    <w:p w:rsidR="00981775" w:rsidRDefault="00981775" w:rsidP="00981775">
      <w:pPr>
        <w:pStyle w:val="SangriaFrancesaArticulo"/>
      </w:pPr>
      <w:r w:rsidRPr="00981775">
        <w:rPr>
          <w:rStyle w:val="TextoNormalNegritaCaracter"/>
        </w:rPr>
        <w:t>Artículo 1</w:t>
      </w:r>
      <w:r>
        <w:t xml:space="preserve"> (redactado por el Real Decreto-ley 1/2015, de 27 de febrero)</w:t>
      </w:r>
      <w:r w:rsidRPr="00981775">
        <w:rPr>
          <w:rStyle w:val="TextoNormalNegritaCaracter"/>
        </w:rPr>
        <w:t>.</w:t>
      </w:r>
      <w:r w:rsidRPr="00981775">
        <w:rPr>
          <w:rStyle w:val="TextoNormalCaracter"/>
        </w:rPr>
        <w:t>-</w:t>
      </w:r>
      <w:r>
        <w:t xml:space="preserve"> Auto </w:t>
      </w:r>
      <w:hyperlink w:anchor="AUTO_2015_155" w:history="1">
        <w:r w:rsidRPr="00981775">
          <w:rPr>
            <w:rStyle w:val="TextoNormalCaracter"/>
          </w:rPr>
          <w:t>155/2015</w:t>
        </w:r>
      </w:hyperlink>
      <w:r>
        <w:t>.</w:t>
      </w:r>
    </w:p>
    <w:p w:rsidR="00981775" w:rsidRDefault="00981775" w:rsidP="00981775">
      <w:pPr>
        <w:pStyle w:val="SangriaFrancesaArticulo"/>
      </w:pPr>
    </w:p>
    <w:p w:rsidR="00981775" w:rsidRDefault="00981775" w:rsidP="00981775">
      <w:pPr>
        <w:pStyle w:val="TextoNormalNegritaCursivandice"/>
      </w:pPr>
      <w:r>
        <w:t>Ley 2/2013, de 29 de mayo. Protección y uso sostenible del litoral y de modificación de la Ley 22/1988, de 28 de julio, de Costas</w:t>
      </w:r>
    </w:p>
    <w:p w:rsidR="00981775" w:rsidRDefault="00981775" w:rsidP="00981775">
      <w:pPr>
        <w:pStyle w:val="SangriaFrancesaArticulo"/>
      </w:pPr>
      <w:r w:rsidRPr="00981775">
        <w:rPr>
          <w:rStyle w:val="TextoNormalNegritaCaracter"/>
        </w:rPr>
        <w:t>Artículo 1.2.</w:t>
      </w:r>
      <w:r w:rsidRPr="00981775">
        <w:rPr>
          <w:rStyle w:val="TextoNormalCaracter"/>
        </w:rPr>
        <w:t>-</w:t>
      </w:r>
      <w:r>
        <w:t xml:space="preserve"> Sentencia </w:t>
      </w:r>
      <w:hyperlink w:anchor="SENTENCIA_2015_233" w:history="1">
        <w:r w:rsidRPr="00981775">
          <w:rPr>
            <w:rStyle w:val="TextoNormalCaracter"/>
          </w:rPr>
          <w:t>233/2015</w:t>
        </w:r>
      </w:hyperlink>
      <w:r>
        <w:t>.</w:t>
      </w:r>
    </w:p>
    <w:p w:rsidR="00981775" w:rsidRDefault="00981775" w:rsidP="00981775">
      <w:pPr>
        <w:pStyle w:val="SangriaFrancesaArticulo"/>
      </w:pPr>
      <w:r w:rsidRPr="00981775">
        <w:rPr>
          <w:rStyle w:val="TextoNormalNegritaCaracter"/>
        </w:rPr>
        <w:t>Artículo 1.3.</w:t>
      </w:r>
      <w:r w:rsidRPr="00981775">
        <w:rPr>
          <w:rStyle w:val="TextoNormalCaracter"/>
        </w:rPr>
        <w:t>-</w:t>
      </w:r>
      <w:r>
        <w:t xml:space="preserve"> Sentencia </w:t>
      </w:r>
      <w:hyperlink w:anchor="SENTENCIA_2015_233" w:history="1">
        <w:r w:rsidRPr="00981775">
          <w:rPr>
            <w:rStyle w:val="TextoNormalCaracter"/>
          </w:rPr>
          <w:t>233/2015</w:t>
        </w:r>
      </w:hyperlink>
      <w:r>
        <w:t>.</w:t>
      </w:r>
    </w:p>
    <w:p w:rsidR="00981775" w:rsidRDefault="00981775" w:rsidP="00981775">
      <w:pPr>
        <w:pStyle w:val="SangriaFrancesaArticulo"/>
      </w:pPr>
      <w:r w:rsidRPr="00981775">
        <w:rPr>
          <w:rStyle w:val="TextoNormalNegritaCaracter"/>
        </w:rPr>
        <w:t>Artículo 1.10.</w:t>
      </w:r>
      <w:r w:rsidRPr="00981775">
        <w:rPr>
          <w:rStyle w:val="TextoNormalCaracter"/>
        </w:rPr>
        <w:t>-</w:t>
      </w:r>
      <w:r>
        <w:t xml:space="preserve"> Sentencia </w:t>
      </w:r>
      <w:hyperlink w:anchor="SENTENCIA_2015_233" w:history="1">
        <w:r w:rsidRPr="00981775">
          <w:rPr>
            <w:rStyle w:val="TextoNormalCaracter"/>
          </w:rPr>
          <w:t>233/2015</w:t>
        </w:r>
      </w:hyperlink>
      <w:r>
        <w:t>.</w:t>
      </w:r>
    </w:p>
    <w:p w:rsidR="00981775" w:rsidRDefault="00981775" w:rsidP="00981775">
      <w:pPr>
        <w:pStyle w:val="SangriaFrancesaArticulo"/>
      </w:pPr>
      <w:r w:rsidRPr="00981775">
        <w:rPr>
          <w:rStyle w:val="TextoNormalNegritaCaracter"/>
        </w:rPr>
        <w:t>Artículo 1.11.</w:t>
      </w:r>
      <w:r w:rsidRPr="00981775">
        <w:rPr>
          <w:rStyle w:val="TextoNormalCaracter"/>
        </w:rPr>
        <w:t>-</w:t>
      </w:r>
      <w:r>
        <w:t xml:space="preserve"> Sentencia </w:t>
      </w:r>
      <w:hyperlink w:anchor="SENTENCIA_2015_233" w:history="1">
        <w:r w:rsidRPr="00981775">
          <w:rPr>
            <w:rStyle w:val="TextoNormalCaracter"/>
          </w:rPr>
          <w:t>233/2015</w:t>
        </w:r>
      </w:hyperlink>
      <w:r>
        <w:t>.</w:t>
      </w:r>
    </w:p>
    <w:p w:rsidR="00981775" w:rsidRDefault="00981775" w:rsidP="00981775">
      <w:pPr>
        <w:pStyle w:val="SangriaFrancesaArticulo"/>
      </w:pPr>
      <w:r w:rsidRPr="00981775">
        <w:rPr>
          <w:rStyle w:val="TextoNormalNegritaCaracter"/>
        </w:rPr>
        <w:t>Artículo 1.12.</w:t>
      </w:r>
      <w:r w:rsidRPr="00981775">
        <w:rPr>
          <w:rStyle w:val="TextoNormalCaracter"/>
        </w:rPr>
        <w:t>-</w:t>
      </w:r>
      <w:r>
        <w:t xml:space="preserve"> Sentencia </w:t>
      </w:r>
      <w:hyperlink w:anchor="SENTENCIA_2015_233" w:history="1">
        <w:r w:rsidRPr="00981775">
          <w:rPr>
            <w:rStyle w:val="TextoNormalCaracter"/>
          </w:rPr>
          <w:t>233/2015</w:t>
        </w:r>
      </w:hyperlink>
      <w:r>
        <w:t>.</w:t>
      </w:r>
    </w:p>
    <w:p w:rsidR="00981775" w:rsidRDefault="00981775" w:rsidP="00981775">
      <w:pPr>
        <w:pStyle w:val="SangriaFrancesaArticulo"/>
      </w:pPr>
      <w:r w:rsidRPr="00981775">
        <w:rPr>
          <w:rStyle w:val="TextoNormalNegritaCaracter"/>
        </w:rPr>
        <w:t>Artículo 1.39.</w:t>
      </w:r>
      <w:r w:rsidRPr="00981775">
        <w:rPr>
          <w:rStyle w:val="TextoNormalCaracter"/>
        </w:rPr>
        <w:t>-</w:t>
      </w:r>
      <w:r>
        <w:t xml:space="preserve"> Sentencia </w:t>
      </w:r>
      <w:hyperlink w:anchor="SENTENCIA_2015_233" w:history="1">
        <w:r w:rsidRPr="00981775">
          <w:rPr>
            <w:rStyle w:val="TextoNormalCaracter"/>
          </w:rPr>
          <w:t>233/2015</w:t>
        </w:r>
      </w:hyperlink>
      <w:r>
        <w:t xml:space="preserve"> (anula).</w:t>
      </w:r>
    </w:p>
    <w:p w:rsidR="00981775" w:rsidRDefault="00981775" w:rsidP="00981775">
      <w:pPr>
        <w:pStyle w:val="SangriaFrancesaArticulo"/>
      </w:pPr>
      <w:r w:rsidRPr="00981775">
        <w:rPr>
          <w:rStyle w:val="TextoNormalNegritaCaracter"/>
        </w:rPr>
        <w:t>Artículo 1.40.</w:t>
      </w:r>
      <w:r w:rsidRPr="00981775">
        <w:rPr>
          <w:rStyle w:val="TextoNormalCaracter"/>
        </w:rPr>
        <w:t>-</w:t>
      </w:r>
      <w:r>
        <w:t xml:space="preserve"> Sentencia </w:t>
      </w:r>
      <w:hyperlink w:anchor="SENTENCIA_2015_233" w:history="1">
        <w:r w:rsidRPr="00981775">
          <w:rPr>
            <w:rStyle w:val="TextoNormalCaracter"/>
          </w:rPr>
          <w:t>233/2015</w:t>
        </w:r>
      </w:hyperlink>
      <w:r>
        <w:t>.</w:t>
      </w:r>
    </w:p>
    <w:p w:rsidR="00981775" w:rsidRDefault="00981775" w:rsidP="00981775">
      <w:pPr>
        <w:pStyle w:val="SangriaFrancesaArticulo"/>
      </w:pPr>
      <w:r w:rsidRPr="00981775">
        <w:rPr>
          <w:rStyle w:val="TextoNormalNegritaCaracter"/>
        </w:rPr>
        <w:t>Artículo 1.41.</w:t>
      </w:r>
      <w:r w:rsidRPr="00981775">
        <w:rPr>
          <w:rStyle w:val="TextoNormalCaracter"/>
        </w:rPr>
        <w:t>-</w:t>
      </w:r>
      <w:r>
        <w:t xml:space="preserve"> Sentencia </w:t>
      </w:r>
      <w:hyperlink w:anchor="SENTENCIA_2015_233" w:history="1">
        <w:r w:rsidRPr="00981775">
          <w:rPr>
            <w:rStyle w:val="TextoNormalCaracter"/>
          </w:rPr>
          <w:t>233/2015</w:t>
        </w:r>
      </w:hyperlink>
      <w:r>
        <w:t>.</w:t>
      </w:r>
    </w:p>
    <w:p w:rsidR="00981775" w:rsidRDefault="00981775" w:rsidP="00981775">
      <w:pPr>
        <w:pStyle w:val="SangriaFrancesaArticulo"/>
      </w:pPr>
      <w:r w:rsidRPr="00981775">
        <w:rPr>
          <w:rStyle w:val="TextoNormalNegritaCaracter"/>
        </w:rPr>
        <w:t>Artículo 2.</w:t>
      </w:r>
      <w:r w:rsidRPr="00981775">
        <w:rPr>
          <w:rStyle w:val="TextoNormalCaracter"/>
        </w:rPr>
        <w:t>-</w:t>
      </w:r>
      <w:r>
        <w:t xml:space="preserve"> Sentencia </w:t>
      </w:r>
      <w:hyperlink w:anchor="SENTENCIA_2015_233" w:history="1">
        <w:r w:rsidRPr="00981775">
          <w:rPr>
            <w:rStyle w:val="TextoNormalCaracter"/>
          </w:rPr>
          <w:t>233/2015</w:t>
        </w:r>
      </w:hyperlink>
      <w:r>
        <w:t>.</w:t>
      </w:r>
    </w:p>
    <w:p w:rsidR="00981775" w:rsidRDefault="00981775" w:rsidP="00981775">
      <w:pPr>
        <w:pStyle w:val="SangriaFrancesaArticulo"/>
      </w:pPr>
      <w:r w:rsidRPr="00981775">
        <w:rPr>
          <w:rStyle w:val="TextoNormalNegritaCaracter"/>
        </w:rPr>
        <w:t>Disposición adicional cuarta, apartado 1.</w:t>
      </w:r>
      <w:r w:rsidRPr="00981775">
        <w:rPr>
          <w:rStyle w:val="TextoNormalCaracter"/>
        </w:rPr>
        <w:t>-</w:t>
      </w:r>
      <w:r>
        <w:t xml:space="preserve"> Sentencia </w:t>
      </w:r>
      <w:hyperlink w:anchor="SENTENCIA_2015_233" w:history="1">
        <w:r w:rsidRPr="00981775">
          <w:rPr>
            <w:rStyle w:val="TextoNormalCaracter"/>
          </w:rPr>
          <w:t>233/2015</w:t>
        </w:r>
      </w:hyperlink>
      <w:r>
        <w:t xml:space="preserve"> (anula).</w:t>
      </w:r>
    </w:p>
    <w:p w:rsidR="00981775" w:rsidRDefault="00981775" w:rsidP="00981775">
      <w:pPr>
        <w:pStyle w:val="SangriaFrancesaArticulo"/>
      </w:pPr>
      <w:r w:rsidRPr="00981775">
        <w:rPr>
          <w:rStyle w:val="TextoNormalNegritaCaracter"/>
        </w:rPr>
        <w:t>Disposición adicional cuarta, apartado 2.</w:t>
      </w:r>
      <w:r w:rsidRPr="00981775">
        <w:rPr>
          <w:rStyle w:val="TextoNormalCaracter"/>
        </w:rPr>
        <w:t>-</w:t>
      </w:r>
      <w:r>
        <w:t xml:space="preserve"> Sentencia </w:t>
      </w:r>
      <w:hyperlink w:anchor="SENTENCIA_2015_233" w:history="1">
        <w:r w:rsidRPr="00981775">
          <w:rPr>
            <w:rStyle w:val="TextoNormalCaracter"/>
          </w:rPr>
          <w:t>233/2015</w:t>
        </w:r>
      </w:hyperlink>
      <w:r>
        <w:t xml:space="preserve"> (anula).</w:t>
      </w:r>
    </w:p>
    <w:p w:rsidR="00981775" w:rsidRDefault="00981775" w:rsidP="00981775">
      <w:pPr>
        <w:pStyle w:val="SangriaFrancesaArticulo"/>
      </w:pPr>
      <w:r w:rsidRPr="00981775">
        <w:rPr>
          <w:rStyle w:val="TextoNormalNegritaCaracter"/>
        </w:rPr>
        <w:t>Disposición adicional cuarta, apartado 4.</w:t>
      </w:r>
      <w:r w:rsidRPr="00981775">
        <w:rPr>
          <w:rStyle w:val="TextoNormalCaracter"/>
        </w:rPr>
        <w:t>-</w:t>
      </w:r>
      <w:r>
        <w:t xml:space="preserve"> Sentencia </w:t>
      </w:r>
      <w:hyperlink w:anchor="SENTENCIA_2015_233" w:history="1">
        <w:r w:rsidRPr="00981775">
          <w:rPr>
            <w:rStyle w:val="TextoNormalCaracter"/>
          </w:rPr>
          <w:t>233/2015</w:t>
        </w:r>
      </w:hyperlink>
      <w:r>
        <w:t xml:space="preserve"> (anula).</w:t>
      </w:r>
    </w:p>
    <w:p w:rsidR="00981775" w:rsidRDefault="00981775" w:rsidP="00981775">
      <w:pPr>
        <w:pStyle w:val="SangriaFrancesaArticulo"/>
      </w:pPr>
      <w:r w:rsidRPr="00981775">
        <w:rPr>
          <w:rStyle w:val="TextoNormalNegritaCaracter"/>
        </w:rPr>
        <w:t>Disposición adicional séptima.</w:t>
      </w:r>
      <w:r w:rsidRPr="00981775">
        <w:rPr>
          <w:rStyle w:val="TextoNormalCaracter"/>
        </w:rPr>
        <w:t>-</w:t>
      </w:r>
      <w:r>
        <w:t xml:space="preserve"> Sentencia </w:t>
      </w:r>
      <w:hyperlink w:anchor="SENTENCIA_2015_233" w:history="1">
        <w:r w:rsidRPr="00981775">
          <w:rPr>
            <w:rStyle w:val="TextoNormalCaracter"/>
          </w:rPr>
          <w:t>233/2015</w:t>
        </w:r>
      </w:hyperlink>
      <w:r>
        <w:t xml:space="preserve"> (interpreta).</w:t>
      </w:r>
    </w:p>
    <w:p w:rsidR="00981775" w:rsidRDefault="00981775" w:rsidP="00981775">
      <w:pPr>
        <w:pStyle w:val="SangriaFrancesaArticulo"/>
      </w:pPr>
      <w:r w:rsidRPr="00981775">
        <w:rPr>
          <w:rStyle w:val="TextoNormalNegritaCaracter"/>
        </w:rPr>
        <w:t>Disposición adicional novena.</w:t>
      </w:r>
      <w:r w:rsidRPr="00981775">
        <w:rPr>
          <w:rStyle w:val="TextoNormalCaracter"/>
        </w:rPr>
        <w:t>-</w:t>
      </w:r>
      <w:r>
        <w:t xml:space="preserve"> Sentencia </w:t>
      </w:r>
      <w:hyperlink w:anchor="SENTENCIA_2015_233" w:history="1">
        <w:r w:rsidRPr="00981775">
          <w:rPr>
            <w:rStyle w:val="TextoNormalCaracter"/>
          </w:rPr>
          <w:t>233/2015</w:t>
        </w:r>
      </w:hyperlink>
      <w:r>
        <w:t xml:space="preserve"> (anula).</w:t>
      </w:r>
    </w:p>
    <w:p w:rsidR="00981775" w:rsidRDefault="00981775" w:rsidP="00981775">
      <w:pPr>
        <w:pStyle w:val="SangriaFrancesaArticulo"/>
      </w:pPr>
    </w:p>
    <w:p w:rsidR="00981775" w:rsidRDefault="00981775" w:rsidP="00981775">
      <w:pPr>
        <w:pStyle w:val="TextoNormalNegritaCursivandice"/>
      </w:pPr>
      <w:r>
        <w:t>Ley 4/2013, de 4 de junio. Medidas de flexibilización y fomento del mercado del alquiler de viviendas</w:t>
      </w:r>
    </w:p>
    <w:p w:rsidR="00981775" w:rsidRDefault="00981775" w:rsidP="00981775">
      <w:pPr>
        <w:pStyle w:val="SangriaFrancesaArticulo"/>
      </w:pPr>
      <w:r w:rsidRPr="00981775">
        <w:rPr>
          <w:rStyle w:val="TextoNormalNegritaCaracter"/>
        </w:rPr>
        <w:t>Disposición adicional segunda.</w:t>
      </w:r>
      <w:r w:rsidRPr="00981775">
        <w:rPr>
          <w:rStyle w:val="TextoNormalCaracter"/>
        </w:rPr>
        <w:t>-</w:t>
      </w:r>
      <w:r>
        <w:t xml:space="preserve"> Sentencias </w:t>
      </w:r>
      <w:hyperlink w:anchor="SENTENCIA_2015_216" w:history="1">
        <w:r w:rsidRPr="00981775">
          <w:rPr>
            <w:rStyle w:val="TextoNormalCaracter"/>
          </w:rPr>
          <w:t>216/2015</w:t>
        </w:r>
      </w:hyperlink>
      <w:r>
        <w:t xml:space="preserve">; </w:t>
      </w:r>
      <w:hyperlink w:anchor="SENTENCIA_2015_267" w:history="1">
        <w:r w:rsidRPr="00981775">
          <w:rPr>
            <w:rStyle w:val="TextoNormalCaracter"/>
          </w:rPr>
          <w:t>267/2015</w:t>
        </w:r>
      </w:hyperlink>
      <w:r>
        <w:t xml:space="preserve">; </w:t>
      </w:r>
      <w:hyperlink w:anchor="SENTENCIA_2015_268" w:history="1">
        <w:r w:rsidRPr="00981775">
          <w:rPr>
            <w:rStyle w:val="TextoNormalCaracter"/>
          </w:rPr>
          <w:t>268/2015</w:t>
        </w:r>
      </w:hyperlink>
      <w:r>
        <w:t>.</w:t>
      </w:r>
    </w:p>
    <w:p w:rsidR="00981775" w:rsidRDefault="00981775" w:rsidP="00981775">
      <w:pPr>
        <w:pStyle w:val="SangriaIzquierdaArticulo"/>
      </w:pPr>
      <w:r>
        <w:t xml:space="preserve">Auto </w:t>
      </w:r>
      <w:hyperlink w:anchor="AUTO_2015_227" w:history="1">
        <w:r w:rsidRPr="00981775">
          <w:rPr>
            <w:rStyle w:val="TextoNormalCaracter"/>
          </w:rPr>
          <w:t>227/2015</w:t>
        </w:r>
      </w:hyperlink>
      <w:r>
        <w:t>.</w:t>
      </w:r>
    </w:p>
    <w:p w:rsidR="00981775" w:rsidRDefault="00981775" w:rsidP="00981775">
      <w:pPr>
        <w:pStyle w:val="SangriaIzquierdaArticulo"/>
      </w:pPr>
    </w:p>
    <w:p w:rsidR="00981775" w:rsidRDefault="00981775" w:rsidP="00981775">
      <w:pPr>
        <w:pStyle w:val="TextoNormalNegritaCursivandice"/>
      </w:pPr>
      <w:r>
        <w:t>Real Decreto-ley 9/2013, de 12 de julio. Adopta medidas urgentes para garantizar la estabilidad financiera del sistema eléctrico</w:t>
      </w:r>
    </w:p>
    <w:p w:rsidR="00981775" w:rsidRDefault="00981775" w:rsidP="00981775">
      <w:pPr>
        <w:pStyle w:val="SangriaFrancesaArticulo"/>
      </w:pPr>
      <w:r w:rsidRPr="00981775">
        <w:rPr>
          <w:rStyle w:val="TextoNormalNegritaCaracter"/>
        </w:rPr>
        <w:t>Artículo 1.2.</w:t>
      </w:r>
      <w:r w:rsidRPr="00981775">
        <w:rPr>
          <w:rStyle w:val="TextoNormalCaracter"/>
        </w:rPr>
        <w:t>-</w:t>
      </w:r>
      <w:r>
        <w:t xml:space="preserve"> Sentencia </w:t>
      </w:r>
      <w:hyperlink w:anchor="SENTENCIA_2015_270" w:history="1">
        <w:r w:rsidRPr="00981775">
          <w:rPr>
            <w:rStyle w:val="TextoNormalCaracter"/>
          </w:rPr>
          <w:t>270/2015</w:t>
        </w:r>
      </w:hyperlink>
      <w:r>
        <w:t>.</w:t>
      </w:r>
    </w:p>
    <w:p w:rsidR="00981775" w:rsidRDefault="00981775" w:rsidP="00981775">
      <w:pPr>
        <w:pStyle w:val="SangriaFrancesaArticulo"/>
      </w:pPr>
      <w:r w:rsidRPr="00981775">
        <w:rPr>
          <w:rStyle w:val="TextoNormalNegritaCaracter"/>
        </w:rPr>
        <w:t>Artículo 1.3.</w:t>
      </w:r>
      <w:r w:rsidRPr="00981775">
        <w:rPr>
          <w:rStyle w:val="TextoNormalCaracter"/>
        </w:rPr>
        <w:t>-</w:t>
      </w:r>
      <w:r>
        <w:t xml:space="preserve"> Sentencia </w:t>
      </w:r>
      <w:hyperlink w:anchor="SENTENCIA_2015_270" w:history="1">
        <w:r w:rsidRPr="00981775">
          <w:rPr>
            <w:rStyle w:val="TextoNormalCaracter"/>
          </w:rPr>
          <w:t>270/2015</w:t>
        </w:r>
      </w:hyperlink>
      <w:r>
        <w:t>.</w:t>
      </w:r>
    </w:p>
    <w:p w:rsidR="00981775" w:rsidRDefault="00981775" w:rsidP="00981775">
      <w:pPr>
        <w:pStyle w:val="SangriaFrancesaArticulo"/>
      </w:pPr>
      <w:r w:rsidRPr="00981775">
        <w:rPr>
          <w:rStyle w:val="TextoNormalNegritaCaracter"/>
        </w:rPr>
        <w:t>Disposición adicional primera.</w:t>
      </w:r>
      <w:r w:rsidRPr="00981775">
        <w:rPr>
          <w:rStyle w:val="TextoNormalCaracter"/>
        </w:rPr>
        <w:t>-</w:t>
      </w:r>
      <w:r>
        <w:t xml:space="preserve"> Sentencia </w:t>
      </w:r>
      <w:hyperlink w:anchor="SENTENCIA_2015_270" w:history="1">
        <w:r w:rsidRPr="00981775">
          <w:rPr>
            <w:rStyle w:val="TextoNormalCaracter"/>
          </w:rPr>
          <w:t>270/2015</w:t>
        </w:r>
      </w:hyperlink>
      <w:r>
        <w:t>.</w:t>
      </w:r>
    </w:p>
    <w:p w:rsidR="00981775" w:rsidRDefault="00981775" w:rsidP="00981775">
      <w:pPr>
        <w:pStyle w:val="SangriaFrancesaArticulo"/>
      </w:pPr>
      <w:r w:rsidRPr="00981775">
        <w:rPr>
          <w:rStyle w:val="TextoNormalNegritaCaracter"/>
        </w:rPr>
        <w:t>Disposición transitoria tercera.</w:t>
      </w:r>
      <w:r w:rsidRPr="00981775">
        <w:rPr>
          <w:rStyle w:val="TextoNormalCaracter"/>
        </w:rPr>
        <w:t>-</w:t>
      </w:r>
      <w:r>
        <w:t xml:space="preserve"> Sentencia </w:t>
      </w:r>
      <w:hyperlink w:anchor="SENTENCIA_2015_270" w:history="1">
        <w:r w:rsidRPr="00981775">
          <w:rPr>
            <w:rStyle w:val="TextoNormalCaracter"/>
          </w:rPr>
          <w:t>270/2015</w:t>
        </w:r>
      </w:hyperlink>
      <w:r>
        <w:t>.</w:t>
      </w:r>
    </w:p>
    <w:p w:rsidR="00981775" w:rsidRDefault="00981775" w:rsidP="00981775">
      <w:pPr>
        <w:pStyle w:val="SangriaFrancesaArticulo"/>
      </w:pPr>
      <w:r w:rsidRPr="00981775">
        <w:rPr>
          <w:rStyle w:val="TextoNormalNegritaCaracter"/>
        </w:rPr>
        <w:t>Disposición final segunda.</w:t>
      </w:r>
      <w:r w:rsidRPr="00981775">
        <w:rPr>
          <w:rStyle w:val="TextoNormalCaracter"/>
        </w:rPr>
        <w:t>-</w:t>
      </w:r>
      <w:r>
        <w:t xml:space="preserve"> Sentencia </w:t>
      </w:r>
      <w:hyperlink w:anchor="SENTENCIA_2015_270" w:history="1">
        <w:r w:rsidRPr="00981775">
          <w:rPr>
            <w:rStyle w:val="TextoNormalCaracter"/>
          </w:rPr>
          <w:t>270/2015</w:t>
        </w:r>
      </w:hyperlink>
      <w:r>
        <w:t>.</w:t>
      </w:r>
    </w:p>
    <w:p w:rsidR="00981775" w:rsidRDefault="00981775" w:rsidP="00981775">
      <w:pPr>
        <w:pStyle w:val="SangriaFrancesaArticulo"/>
      </w:pPr>
    </w:p>
    <w:p w:rsidR="00981775" w:rsidRDefault="00981775" w:rsidP="00981775">
      <w:pPr>
        <w:pStyle w:val="TextoNormalNegritaCursivandice"/>
      </w:pPr>
      <w:r>
        <w:t>Ley 14/2013, de 27 de septiembre. Apoyo a los emprendedores y su internacionalización</w:t>
      </w:r>
    </w:p>
    <w:p w:rsidR="00981775" w:rsidRDefault="00981775" w:rsidP="00981775">
      <w:pPr>
        <w:pStyle w:val="SangriaFrancesaArticulo"/>
      </w:pPr>
      <w:r w:rsidRPr="00981775">
        <w:rPr>
          <w:rStyle w:val="TextoNormalNegritaCaracter"/>
        </w:rPr>
        <w:t>Artículo 39.2.</w:t>
      </w:r>
      <w:r w:rsidRPr="00981775">
        <w:rPr>
          <w:rStyle w:val="TextoNormalCaracter"/>
        </w:rPr>
        <w:t>-</w:t>
      </w:r>
      <w:r>
        <w:t xml:space="preserve"> Sentencia </w:t>
      </w:r>
      <w:hyperlink w:anchor="SENTENCIA_2015_198" w:history="1">
        <w:r w:rsidRPr="00981775">
          <w:rPr>
            <w:rStyle w:val="TextoNormalCaracter"/>
          </w:rPr>
          <w:t>198/2015</w:t>
        </w:r>
      </w:hyperlink>
      <w:r>
        <w:t>.</w:t>
      </w:r>
    </w:p>
    <w:p w:rsidR="00981775" w:rsidRDefault="00981775" w:rsidP="00981775">
      <w:pPr>
        <w:pStyle w:val="SangriaFrancesaArticulo"/>
      </w:pPr>
    </w:p>
    <w:p w:rsidR="00981775" w:rsidRDefault="00981775" w:rsidP="00981775">
      <w:pPr>
        <w:pStyle w:val="TextoNormalNegritaCursivandice"/>
      </w:pPr>
      <w:r>
        <w:t>Ley 1/2014, de 28 de febrero. Protección de los trabajadores a tiempo parcial y otras medidas urgentes en el orden económico y social</w:t>
      </w:r>
    </w:p>
    <w:p w:rsidR="00981775" w:rsidRDefault="00981775" w:rsidP="00981775">
      <w:pPr>
        <w:pStyle w:val="SangriaFrancesaArticulo"/>
      </w:pPr>
      <w:r w:rsidRPr="00981775">
        <w:rPr>
          <w:rStyle w:val="TextoNormalNegritaCaracter"/>
        </w:rPr>
        <w:t>Artículo 7.</w:t>
      </w:r>
      <w:r w:rsidRPr="00981775">
        <w:rPr>
          <w:rStyle w:val="TextoNormalCaracter"/>
        </w:rPr>
        <w:t>-</w:t>
      </w:r>
      <w:r>
        <w:t xml:space="preserve"> Sentencia </w:t>
      </w:r>
      <w:hyperlink w:anchor="SENTENCIA_2015_272" w:history="1">
        <w:r w:rsidRPr="00981775">
          <w:rPr>
            <w:rStyle w:val="TextoNormalCaracter"/>
          </w:rPr>
          <w:t>272/2015</w:t>
        </w:r>
      </w:hyperlink>
      <w:r>
        <w:t xml:space="preserve"> (anula).</w:t>
      </w:r>
    </w:p>
    <w:p w:rsidR="00981775" w:rsidRDefault="00981775" w:rsidP="00981775">
      <w:pPr>
        <w:pStyle w:val="SangriaFrancesaArticulo"/>
      </w:pPr>
      <w:r w:rsidRPr="00981775">
        <w:rPr>
          <w:rStyle w:val="TextoNormalNegritaCaracter"/>
        </w:rPr>
        <w:t>Artículo 8.5.</w:t>
      </w:r>
      <w:r w:rsidRPr="00981775">
        <w:rPr>
          <w:rStyle w:val="TextoNormalCaracter"/>
        </w:rPr>
        <w:t>-</w:t>
      </w:r>
      <w:r>
        <w:t xml:space="preserve"> Sentencia </w:t>
      </w:r>
      <w:hyperlink w:anchor="SENTENCIA_2015_272" w:history="1">
        <w:r w:rsidRPr="00981775">
          <w:rPr>
            <w:rStyle w:val="TextoNormalCaracter"/>
          </w:rPr>
          <w:t>272/2015</w:t>
        </w:r>
      </w:hyperlink>
      <w:r>
        <w:t xml:space="preserve"> (anula).</w:t>
      </w:r>
    </w:p>
    <w:p w:rsidR="00981775" w:rsidRDefault="00981775" w:rsidP="00981775">
      <w:pPr>
        <w:pStyle w:val="SangriaFrancesaArticulo"/>
      </w:pPr>
    </w:p>
    <w:p w:rsidR="00981775" w:rsidRDefault="00981775" w:rsidP="00981775">
      <w:pPr>
        <w:pStyle w:val="TextoNormalNegritaCursivandice"/>
      </w:pPr>
      <w:r>
        <w:t>Real Decreto-ley 8/2014, de 4 de julio. Aprobación de medidas urgentes para el crecimiento, la competitividad y la eficiencia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99" w:history="1">
        <w:r w:rsidRPr="00981775">
          <w:rPr>
            <w:rStyle w:val="TextoNormalCaracter"/>
          </w:rPr>
          <w:t>199/2015</w:t>
        </w:r>
      </w:hyperlink>
      <w:r>
        <w:t>.</w:t>
      </w:r>
    </w:p>
    <w:p w:rsidR="00981775" w:rsidRDefault="00981775" w:rsidP="00981775">
      <w:pPr>
        <w:pStyle w:val="SangriaFrancesaArticulo"/>
      </w:pPr>
      <w:r w:rsidRPr="00981775">
        <w:rPr>
          <w:rStyle w:val="TextoNormalNegritaCaracter"/>
        </w:rPr>
        <w:t>Artículo 116.</w:t>
      </w:r>
      <w:r w:rsidRPr="00981775">
        <w:rPr>
          <w:rStyle w:val="TextoNormalCaracter"/>
        </w:rPr>
        <w:t>-</w:t>
      </w:r>
      <w:r>
        <w:t xml:space="preserve"> Sentencia </w:t>
      </w:r>
      <w:hyperlink w:anchor="SENTENCIA_2015_199" w:history="1">
        <w:r w:rsidRPr="00981775">
          <w:rPr>
            <w:rStyle w:val="TextoNormalCaracter"/>
          </w:rPr>
          <w:t>199/2015</w:t>
        </w:r>
      </w:hyperlink>
      <w:r>
        <w:t xml:space="preserve"> (anula).</w:t>
      </w:r>
    </w:p>
    <w:p w:rsidR="00981775" w:rsidRDefault="00981775" w:rsidP="00981775">
      <w:pPr>
        <w:pStyle w:val="SangriaFrancesaArticulo"/>
      </w:pPr>
      <w:r w:rsidRPr="00981775">
        <w:rPr>
          <w:rStyle w:val="TextoNormalNegritaCaracter"/>
        </w:rPr>
        <w:t>Artículo 124.</w:t>
      </w:r>
      <w:r w:rsidRPr="00981775">
        <w:rPr>
          <w:rStyle w:val="TextoNormalCaracter"/>
        </w:rPr>
        <w:t>-</w:t>
      </w:r>
      <w:r>
        <w:t xml:space="preserve"> Auto </w:t>
      </w:r>
      <w:hyperlink w:anchor="AUTO_2015_171" w:history="1">
        <w:r w:rsidRPr="00981775">
          <w:rPr>
            <w:rStyle w:val="TextoNormalCaracter"/>
          </w:rPr>
          <w:t>171/2015</w:t>
        </w:r>
      </w:hyperlink>
      <w:r>
        <w:t>.</w:t>
      </w:r>
    </w:p>
    <w:p w:rsidR="00981775" w:rsidRDefault="00981775" w:rsidP="00981775">
      <w:pPr>
        <w:pStyle w:val="SangriaFrancesaArticulo"/>
      </w:pPr>
      <w:r w:rsidRPr="00981775">
        <w:rPr>
          <w:rStyle w:val="TextoNormalNegritaCaracter"/>
        </w:rPr>
        <w:t>Artículo 124.</w:t>
      </w:r>
      <w:r w:rsidRPr="00981775">
        <w:rPr>
          <w:rStyle w:val="TextoNormalCaracter"/>
        </w:rPr>
        <w:t>-</w:t>
      </w:r>
      <w:r>
        <w:t xml:space="preserve"> Sentencia </w:t>
      </w:r>
      <w:hyperlink w:anchor="SENTENCIA_2015_211" w:history="1">
        <w:r w:rsidRPr="00981775">
          <w:rPr>
            <w:rStyle w:val="TextoNormalCaracter"/>
          </w:rPr>
          <w:t>211/2015</w:t>
        </w:r>
      </w:hyperlink>
      <w:r>
        <w:t xml:space="preserve"> (anula).</w:t>
      </w:r>
    </w:p>
    <w:p w:rsidR="00981775" w:rsidRDefault="00981775" w:rsidP="00981775">
      <w:pPr>
        <w:pStyle w:val="SangriaFrancesaArticulo"/>
      </w:pPr>
      <w:r w:rsidRPr="00981775">
        <w:rPr>
          <w:rStyle w:val="TextoNormalNegritaCaracter"/>
        </w:rPr>
        <w:t>Disposición adicional vigésima.</w:t>
      </w:r>
      <w:r w:rsidRPr="00981775">
        <w:rPr>
          <w:rStyle w:val="TextoNormalCaracter"/>
        </w:rPr>
        <w:t>-</w:t>
      </w:r>
      <w:r>
        <w:t xml:space="preserve"> Sentencia </w:t>
      </w:r>
      <w:hyperlink w:anchor="SENTENCIA_2015_199" w:history="1">
        <w:r w:rsidRPr="00981775">
          <w:rPr>
            <w:rStyle w:val="TextoNormalCaracter"/>
          </w:rPr>
          <w:t>199/2015</w:t>
        </w:r>
      </w:hyperlink>
      <w:r>
        <w:t xml:space="preserve"> (anula).</w:t>
      </w:r>
    </w:p>
    <w:p w:rsidR="00981775" w:rsidRDefault="00981775" w:rsidP="00981775">
      <w:pPr>
        <w:pStyle w:val="SangriaFrancesaArticulo"/>
      </w:pPr>
      <w:r w:rsidRPr="00981775">
        <w:rPr>
          <w:rStyle w:val="TextoNormalNegritaCaracter"/>
        </w:rPr>
        <w:t>Disposición adicional vigesimoprimera.</w:t>
      </w:r>
      <w:r w:rsidRPr="00981775">
        <w:rPr>
          <w:rStyle w:val="TextoNormalCaracter"/>
        </w:rPr>
        <w:t>-</w:t>
      </w:r>
      <w:r>
        <w:t xml:space="preserve"> Sentencia </w:t>
      </w:r>
      <w:hyperlink w:anchor="SENTENCIA_2015_199" w:history="1">
        <w:r w:rsidRPr="00981775">
          <w:rPr>
            <w:rStyle w:val="TextoNormalCaracter"/>
          </w:rPr>
          <w:t>199/2015</w:t>
        </w:r>
      </w:hyperlink>
      <w:r>
        <w:t xml:space="preserve"> (anula).</w:t>
      </w:r>
    </w:p>
    <w:p w:rsidR="00981775" w:rsidRDefault="00981775" w:rsidP="00981775">
      <w:pPr>
        <w:pStyle w:val="SangriaFrancesaArticulo"/>
      </w:pPr>
      <w:r w:rsidRPr="00981775">
        <w:rPr>
          <w:rStyle w:val="TextoNormalNegritaCaracter"/>
        </w:rPr>
        <w:t>Disposición adicional vigesimosegunda.</w:t>
      </w:r>
      <w:r w:rsidRPr="00981775">
        <w:rPr>
          <w:rStyle w:val="TextoNormalCaracter"/>
        </w:rPr>
        <w:t>-</w:t>
      </w:r>
      <w:r>
        <w:t xml:space="preserve"> Sentencia </w:t>
      </w:r>
      <w:hyperlink w:anchor="SENTENCIA_2015_199" w:history="1">
        <w:r w:rsidRPr="00981775">
          <w:rPr>
            <w:rStyle w:val="TextoNormalCaracter"/>
          </w:rPr>
          <w:t>199/2015</w:t>
        </w:r>
      </w:hyperlink>
      <w:r>
        <w:t xml:space="preserve"> (anula).</w:t>
      </w:r>
    </w:p>
    <w:p w:rsidR="00981775" w:rsidRDefault="00981775" w:rsidP="00981775">
      <w:pPr>
        <w:pStyle w:val="SangriaFrancesaArticulo"/>
      </w:pPr>
      <w:r w:rsidRPr="00981775">
        <w:rPr>
          <w:rStyle w:val="TextoNormalNegritaCaracter"/>
        </w:rPr>
        <w:t>Disposición adicional vigesimotercera.</w:t>
      </w:r>
      <w:r w:rsidRPr="00981775">
        <w:rPr>
          <w:rStyle w:val="TextoNormalCaracter"/>
        </w:rPr>
        <w:t>-</w:t>
      </w:r>
      <w:r>
        <w:t xml:space="preserve"> Sentencia </w:t>
      </w:r>
      <w:hyperlink w:anchor="SENTENCIA_2015_199" w:history="1">
        <w:r w:rsidRPr="00981775">
          <w:rPr>
            <w:rStyle w:val="TextoNormalCaracter"/>
          </w:rPr>
          <w:t>199/2015</w:t>
        </w:r>
      </w:hyperlink>
      <w:r>
        <w:t xml:space="preserve"> (anula).</w:t>
      </w:r>
    </w:p>
    <w:p w:rsidR="00981775" w:rsidRDefault="00981775" w:rsidP="00981775">
      <w:pPr>
        <w:pStyle w:val="SangriaFrancesaArticulo"/>
      </w:pPr>
      <w:r w:rsidRPr="00981775">
        <w:rPr>
          <w:rStyle w:val="TextoNormalNegritaCaracter"/>
        </w:rPr>
        <w:t>Disposición adicional vigesimocuarta.</w:t>
      </w:r>
      <w:r w:rsidRPr="00981775">
        <w:rPr>
          <w:rStyle w:val="TextoNormalCaracter"/>
        </w:rPr>
        <w:t>-</w:t>
      </w:r>
      <w:r>
        <w:t xml:space="preserve"> Sentencia </w:t>
      </w:r>
      <w:hyperlink w:anchor="SENTENCIA_2015_199" w:history="1">
        <w:r w:rsidRPr="00981775">
          <w:rPr>
            <w:rStyle w:val="TextoNormalCaracter"/>
          </w:rPr>
          <w:t>199/2015</w:t>
        </w:r>
      </w:hyperlink>
      <w:r>
        <w:t xml:space="preserve"> (anula).</w:t>
      </w:r>
    </w:p>
    <w:p w:rsidR="00981775" w:rsidRDefault="00981775" w:rsidP="00981775">
      <w:pPr>
        <w:pStyle w:val="SangriaFrancesaArticulo"/>
      </w:pPr>
    </w:p>
    <w:p w:rsidR="00981775" w:rsidRDefault="00981775" w:rsidP="00981775">
      <w:pPr>
        <w:pStyle w:val="TextoNormalNegritaCursivandice"/>
      </w:pPr>
      <w:r>
        <w:t>Ley 15/2014, de 16 de septiembre. Racionalización del Sector Público y otras medidas de reforma administrativa</w:t>
      </w:r>
    </w:p>
    <w:p w:rsidR="00981775" w:rsidRDefault="00981775" w:rsidP="00981775">
      <w:pPr>
        <w:pStyle w:val="SangriaFrancesaArticulo"/>
      </w:pPr>
      <w:r w:rsidRPr="00981775">
        <w:rPr>
          <w:rStyle w:val="TextoNormalNegritaCaracter"/>
        </w:rPr>
        <w:t>Artículo 23.</w:t>
      </w:r>
      <w:r w:rsidRPr="00981775">
        <w:rPr>
          <w:rStyle w:val="TextoNormalCaracter"/>
        </w:rPr>
        <w:t>-</w:t>
      </w:r>
      <w:r>
        <w:t xml:space="preserve"> Autos </w:t>
      </w:r>
      <w:hyperlink w:anchor="AUTO_2015_139" w:history="1">
        <w:r w:rsidRPr="00981775">
          <w:rPr>
            <w:rStyle w:val="TextoNormalCaracter"/>
          </w:rPr>
          <w:t>139/2015</w:t>
        </w:r>
      </w:hyperlink>
      <w:r>
        <w:t xml:space="preserve">; </w:t>
      </w:r>
      <w:hyperlink w:anchor="AUTO_2015_148" w:history="1">
        <w:r w:rsidRPr="00981775">
          <w:rPr>
            <w:rStyle w:val="TextoNormalCaracter"/>
          </w:rPr>
          <w:t>148/2015</w:t>
        </w:r>
      </w:hyperlink>
      <w:r>
        <w:t>.</w:t>
      </w:r>
    </w:p>
    <w:p w:rsidR="00981775" w:rsidRDefault="00981775" w:rsidP="00981775">
      <w:pPr>
        <w:pStyle w:val="SangriaFrancesaArticulo"/>
      </w:pPr>
      <w:r w:rsidRPr="00981775">
        <w:rPr>
          <w:rStyle w:val="TextoNormalNegritaCaracter"/>
        </w:rPr>
        <w:t>Disposición transitoria.</w:t>
      </w:r>
      <w:r w:rsidRPr="00981775">
        <w:rPr>
          <w:rStyle w:val="TextoNormalCaracter"/>
        </w:rPr>
        <w:t>-</w:t>
      </w:r>
      <w:r>
        <w:t xml:space="preserve"> Auto </w:t>
      </w:r>
      <w:hyperlink w:anchor="AUTO_2015_148" w:history="1">
        <w:r w:rsidRPr="00981775">
          <w:rPr>
            <w:rStyle w:val="TextoNormalCaracter"/>
          </w:rPr>
          <w:t>148/2015</w:t>
        </w:r>
      </w:hyperlink>
      <w:r>
        <w:t>.</w:t>
      </w:r>
    </w:p>
    <w:p w:rsidR="00981775" w:rsidRDefault="00981775" w:rsidP="00981775">
      <w:pPr>
        <w:pStyle w:val="SangriaFrancesaArticulo"/>
      </w:pPr>
    </w:p>
    <w:p w:rsidR="00981775" w:rsidRDefault="00981775" w:rsidP="00981775">
      <w:pPr>
        <w:pStyle w:val="TextoNormalNegritaCursivandice"/>
      </w:pPr>
      <w:r>
        <w:t>Ley del Parlamento de las Illes Balears 10/2014, de 1 de octubre. Ordenación minera de las Illes Balears</w:t>
      </w:r>
    </w:p>
    <w:p w:rsidR="00981775" w:rsidRDefault="00981775" w:rsidP="00981775">
      <w:pPr>
        <w:pStyle w:val="SangriaFrancesaArticulo"/>
      </w:pPr>
      <w:r w:rsidRPr="00981775">
        <w:rPr>
          <w:rStyle w:val="TextoNormalNegritaCaracter"/>
        </w:rPr>
        <w:t>Artículo 23.1.</w:t>
      </w:r>
      <w:r w:rsidRPr="00981775">
        <w:rPr>
          <w:rStyle w:val="TextoNormalCaracter"/>
        </w:rPr>
        <w:t>-</w:t>
      </w:r>
      <w:r>
        <w:t xml:space="preserve"> Sentencia </w:t>
      </w:r>
      <w:hyperlink w:anchor="SENTENCIA_2015_260" w:history="1">
        <w:r w:rsidRPr="00981775">
          <w:rPr>
            <w:rStyle w:val="TextoNormalCaracter"/>
          </w:rPr>
          <w:t>260/2015</w:t>
        </w:r>
      </w:hyperlink>
      <w:r>
        <w:t xml:space="preserve"> (anula).</w:t>
      </w:r>
    </w:p>
    <w:p w:rsidR="00981775" w:rsidRDefault="00981775" w:rsidP="00981775">
      <w:pPr>
        <w:pStyle w:val="SangriaFrancesaArticulo"/>
      </w:pPr>
      <w:r w:rsidRPr="00981775">
        <w:rPr>
          <w:rStyle w:val="TextoNormalNegritaCaracter"/>
        </w:rPr>
        <w:t>Artículo 23.2 expresión "además de la previa declaración de zona registrable".</w:t>
      </w:r>
      <w:r w:rsidRPr="00981775">
        <w:rPr>
          <w:rStyle w:val="TextoNormalCaracter"/>
        </w:rPr>
        <w:t>-</w:t>
      </w:r>
      <w:r>
        <w:t xml:space="preserve"> Sentencia </w:t>
      </w:r>
      <w:hyperlink w:anchor="SENTENCIA_2015_260" w:history="1">
        <w:r w:rsidRPr="00981775">
          <w:rPr>
            <w:rStyle w:val="TextoNormalCaracter"/>
          </w:rPr>
          <w:t>260/2015</w:t>
        </w:r>
      </w:hyperlink>
      <w:r>
        <w:t xml:space="preserve"> (anula).</w:t>
      </w:r>
    </w:p>
    <w:p w:rsidR="00981775" w:rsidRDefault="00981775" w:rsidP="00981775">
      <w:pPr>
        <w:pStyle w:val="SangriaFrancesaArticulo"/>
      </w:pPr>
      <w:r w:rsidRPr="00981775">
        <w:rPr>
          <w:rStyle w:val="TextoNormalNegritaCaracter"/>
        </w:rPr>
        <w:t>Artículo 23.3 expresión "y de la solicitud de registrabilidad".</w:t>
      </w:r>
      <w:r w:rsidRPr="00981775">
        <w:rPr>
          <w:rStyle w:val="TextoNormalCaracter"/>
        </w:rPr>
        <w:t>-</w:t>
      </w:r>
      <w:r>
        <w:t xml:space="preserve"> Sentencia </w:t>
      </w:r>
      <w:hyperlink w:anchor="SENTENCIA_2015_260" w:history="1">
        <w:r w:rsidRPr="00981775">
          <w:rPr>
            <w:rStyle w:val="TextoNormalCaracter"/>
          </w:rPr>
          <w:t>260/2015</w:t>
        </w:r>
      </w:hyperlink>
      <w:r>
        <w:t xml:space="preserve"> (anula).</w:t>
      </w:r>
    </w:p>
    <w:p w:rsidR="00981775" w:rsidRDefault="00981775" w:rsidP="00981775">
      <w:pPr>
        <w:pStyle w:val="SangriaFrancesaArticulo"/>
      </w:pPr>
      <w:r w:rsidRPr="00981775">
        <w:rPr>
          <w:rStyle w:val="TextoNormalNegritaCaracter"/>
        </w:rPr>
        <w:t>Artículo 23.4.</w:t>
      </w:r>
      <w:r w:rsidRPr="00981775">
        <w:rPr>
          <w:rStyle w:val="TextoNormalCaracter"/>
        </w:rPr>
        <w:t>-</w:t>
      </w:r>
      <w:r>
        <w:t xml:space="preserve"> Sentencia </w:t>
      </w:r>
      <w:hyperlink w:anchor="SENTENCIA_2015_260" w:history="1">
        <w:r w:rsidRPr="00981775">
          <w:rPr>
            <w:rStyle w:val="TextoNormalCaracter"/>
          </w:rPr>
          <w:t>260/2015</w:t>
        </w:r>
      </w:hyperlink>
      <w:r>
        <w:t xml:space="preserve"> (anula).</w:t>
      </w:r>
    </w:p>
    <w:p w:rsidR="00981775" w:rsidRDefault="00981775" w:rsidP="00981775">
      <w:pPr>
        <w:pStyle w:val="SangriaFrancesaArticulo"/>
      </w:pPr>
    </w:p>
    <w:p w:rsidR="00981775" w:rsidRDefault="00981775" w:rsidP="00981775">
      <w:pPr>
        <w:pStyle w:val="TextoNormalNegritaCursivandice"/>
      </w:pPr>
      <w:r>
        <w:t>Real Decreto-ley 1/2015, de 27 de febrero. Mecanismo de segunda oportunidad, reducción de carga financiera y otras medidas de orden social</w:t>
      </w:r>
    </w:p>
    <w:p w:rsidR="00981775" w:rsidRDefault="00981775" w:rsidP="00981775">
      <w:pPr>
        <w:pStyle w:val="SangriaFrancesaArticulo"/>
      </w:pPr>
      <w:r w:rsidRPr="00981775">
        <w:rPr>
          <w:rStyle w:val="TextoNormalNegritaCaracter"/>
        </w:rPr>
        <w:t>Artículo 3.</w:t>
      </w:r>
      <w:r w:rsidRPr="00981775">
        <w:rPr>
          <w:rStyle w:val="TextoNormalCaracter"/>
        </w:rPr>
        <w:t>-</w:t>
      </w:r>
      <w:r>
        <w:t xml:space="preserve"> Auto </w:t>
      </w:r>
      <w:hyperlink w:anchor="AUTO_2015_155" w:history="1">
        <w:r w:rsidRPr="00981775">
          <w:rPr>
            <w:rStyle w:val="TextoNormalCaracter"/>
          </w:rPr>
          <w:t>155/2015</w:t>
        </w:r>
      </w:hyperlink>
      <w:r>
        <w:t>.</w:t>
      </w:r>
    </w:p>
    <w:p w:rsidR="00981775" w:rsidRDefault="00981775" w:rsidP="00981775">
      <w:pPr>
        <w:pStyle w:val="SangriaFrancesaArticulo"/>
      </w:pPr>
    </w:p>
    <w:p w:rsidR="00981775" w:rsidRDefault="00981775" w:rsidP="00981775">
      <w:pPr>
        <w:pStyle w:val="TextoNormalNegritaCursivandice"/>
      </w:pPr>
      <w:r>
        <w:t>Ley Orgánica 1/2015, de 30 de marzo. Modifica la Ley Orgánica 10/1995, de 23 de noviembre, del código penal</w:t>
      </w:r>
    </w:p>
    <w:p w:rsidR="00981775" w:rsidRDefault="00981775" w:rsidP="00981775">
      <w:pPr>
        <w:pStyle w:val="SangriaFrancesaArticulo"/>
      </w:pPr>
      <w:r w:rsidRPr="00981775">
        <w:rPr>
          <w:rStyle w:val="TextoNormalNegritaCaracter"/>
        </w:rPr>
        <w:t>Disposición final octava.</w:t>
      </w:r>
      <w:r w:rsidRPr="00981775">
        <w:rPr>
          <w:rStyle w:val="TextoNormalCaracter"/>
        </w:rPr>
        <w:t>-</w:t>
      </w:r>
      <w:r>
        <w:t xml:space="preserve"> Autos </w:t>
      </w:r>
      <w:hyperlink w:anchor="AUTO_2015_137" w:history="1">
        <w:r w:rsidRPr="00981775">
          <w:rPr>
            <w:rStyle w:val="TextoNormalCaracter"/>
          </w:rPr>
          <w:t>137/2015</w:t>
        </w:r>
      </w:hyperlink>
      <w:r>
        <w:t xml:space="preserve">; </w:t>
      </w:r>
      <w:hyperlink w:anchor="AUTO_2015_138" w:history="1">
        <w:r w:rsidRPr="00981775">
          <w:rPr>
            <w:rStyle w:val="TextoNormalCaracter"/>
          </w:rPr>
          <w:t>138/2015</w:t>
        </w:r>
      </w:hyperlink>
      <w:r>
        <w:t>.</w:t>
      </w:r>
    </w:p>
    <w:p w:rsidR="00981775" w:rsidRDefault="00981775" w:rsidP="00981775">
      <w:pPr>
        <w:pStyle w:val="SangriaFrancesaArticulo"/>
      </w:pPr>
    </w:p>
    <w:p w:rsidR="00981775" w:rsidRDefault="00981775" w:rsidP="00981775">
      <w:pPr>
        <w:pStyle w:val="TextoNormalNegritaCursivandice"/>
      </w:pPr>
      <w:r>
        <w:t>Real Decreto Legislativo 3/2015, de 23 de octubre. Aprueba el texto refundido de la Ley de empleo</w:t>
      </w:r>
    </w:p>
    <w:p w:rsidR="00981775" w:rsidRDefault="00981775" w:rsidP="00981775">
      <w:pPr>
        <w:pStyle w:val="SangriaFrancesaArticulo"/>
      </w:pPr>
      <w:r w:rsidRPr="00981775">
        <w:rPr>
          <w:rStyle w:val="TextoNormalNegritaCaracter"/>
        </w:rPr>
        <w:t>Artículo 41.4 párrafo 2.</w:t>
      </w:r>
      <w:r w:rsidRPr="00981775">
        <w:rPr>
          <w:rStyle w:val="TextoNormalCaracter"/>
        </w:rPr>
        <w:t>-</w:t>
      </w:r>
      <w:r>
        <w:t xml:space="preserve"> Sentencia </w:t>
      </w:r>
      <w:hyperlink w:anchor="SENTENCIA_2015_272" w:history="1">
        <w:r w:rsidRPr="00981775">
          <w:rPr>
            <w:rStyle w:val="TextoNormalCaracter"/>
          </w:rPr>
          <w:t>272/2015</w:t>
        </w:r>
      </w:hyperlink>
      <w:r>
        <w:t xml:space="preserve"> (anula).</w:t>
      </w:r>
    </w:p>
    <w:p w:rsidR="00981775" w:rsidRDefault="00981775" w:rsidP="00981775">
      <w:pPr>
        <w:pStyle w:val="TextoNormal"/>
      </w:pPr>
    </w:p>
    <w:p w:rsidR="00981775" w:rsidRDefault="00981775" w:rsidP="00981775">
      <w:pPr>
        <w:pStyle w:val="SangriaFrancesaArticulo"/>
      </w:pPr>
      <w:bookmarkStart w:id="245" w:name="INDICE22806"/>
    </w:p>
    <w:bookmarkEnd w:id="245"/>
    <w:p w:rsidR="00981775" w:rsidRDefault="00981775" w:rsidP="00981775">
      <w:pPr>
        <w:pStyle w:val="TextoIndiceNivel2"/>
        <w:suppressAutoHyphens/>
      </w:pPr>
      <w:r>
        <w:t>B) Disposiciones con fuerza de ley de las Comunidades Autónomas</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B.1) Andalucía</w:t>
      </w:r>
    </w:p>
    <w:p w:rsidR="00981775" w:rsidRDefault="00981775" w:rsidP="00981775">
      <w:pPr>
        <w:pStyle w:val="TextoNormalNegritaCentrado"/>
      </w:pPr>
    </w:p>
    <w:p w:rsidR="00981775" w:rsidRDefault="00981775" w:rsidP="00981775">
      <w:pPr>
        <w:pStyle w:val="TextoNormalNegritaCursivandice"/>
      </w:pPr>
      <w:r>
        <w:t>Ley del Parlamento de Andalucía 7/2002, de 17 de diciembre. Ordenación urbanística de Andalucía</w:t>
      </w:r>
    </w:p>
    <w:p w:rsidR="00981775" w:rsidRDefault="00981775" w:rsidP="00981775">
      <w:pPr>
        <w:pStyle w:val="SangriaFrancesaArticulo"/>
      </w:pPr>
      <w:r w:rsidRPr="00981775">
        <w:rPr>
          <w:rStyle w:val="TextoNormalNegritaCaracter"/>
        </w:rPr>
        <w:t>Artículo 31.4</w:t>
      </w:r>
      <w:r>
        <w:t xml:space="preserve"> (redactado por la Ley del Parlamento de Andalucía 13/2005, de 17 de noviembre)</w:t>
      </w:r>
      <w:r w:rsidRPr="00981775">
        <w:rPr>
          <w:rStyle w:val="TextoNormalNegritaCaracter"/>
        </w:rPr>
        <w:t>.</w:t>
      </w:r>
      <w:r w:rsidRPr="00981775">
        <w:rPr>
          <w:rStyle w:val="TextoNormalCaracter"/>
        </w:rPr>
        <w:t>-</w:t>
      </w:r>
      <w:r>
        <w:t xml:space="preserve"> Sentencia </w:t>
      </w:r>
      <w:hyperlink w:anchor="SENTENCIA_2015_154" w:history="1">
        <w:r w:rsidRPr="00981775">
          <w:rPr>
            <w:rStyle w:val="TextoNormalCaracter"/>
          </w:rPr>
          <w:t>154/2015</w:t>
        </w:r>
      </w:hyperlink>
      <w:r>
        <w:t xml:space="preserve"> (anula).</w:t>
      </w:r>
    </w:p>
    <w:p w:rsidR="00981775" w:rsidRDefault="00981775" w:rsidP="00981775">
      <w:pPr>
        <w:pStyle w:val="SangriaFrancesaArticulo"/>
      </w:pPr>
      <w:r w:rsidRPr="00981775">
        <w:rPr>
          <w:rStyle w:val="TextoNormalNegritaCaracter"/>
        </w:rPr>
        <w:t>Artículo 74.2</w:t>
      </w:r>
      <w:r>
        <w:t xml:space="preserve"> (redactado por la Ley del Parlamento de Andalucía 13/2005, de 17 de noviembre)</w:t>
      </w:r>
      <w:r w:rsidRPr="00981775">
        <w:rPr>
          <w:rStyle w:val="TextoNormalNegritaCaracter"/>
        </w:rPr>
        <w:t>.</w:t>
      </w:r>
      <w:r w:rsidRPr="00981775">
        <w:rPr>
          <w:rStyle w:val="TextoNormalCaracter"/>
        </w:rPr>
        <w:t>-</w:t>
      </w:r>
      <w:r>
        <w:t xml:space="preserve"> Sentencia </w:t>
      </w:r>
      <w:hyperlink w:anchor="SENTENCIA_2015_154" w:history="1">
        <w:r w:rsidRPr="00981775">
          <w:rPr>
            <w:rStyle w:val="TextoNormalCaracter"/>
          </w:rPr>
          <w:t>154/2015</w:t>
        </w:r>
      </w:hyperlink>
      <w:r>
        <w:t xml:space="preserve"> (interpreta).</w:t>
      </w:r>
    </w:p>
    <w:p w:rsidR="00981775" w:rsidRDefault="00981775" w:rsidP="00981775">
      <w:pPr>
        <w:pStyle w:val="SangriaFrancesaArticulo"/>
      </w:pPr>
      <w:r w:rsidRPr="00981775">
        <w:rPr>
          <w:rStyle w:val="TextoNormalNegritaCaracter"/>
        </w:rPr>
        <w:t>Artículo 183.5 expresión "o la Consejería con competencias en materia de urbanismo, en su caso"</w:t>
      </w:r>
      <w:r>
        <w:t xml:space="preserve"> (redactado por la Ley del Parlamento de Andalucía 13/2005, de 17 de noviembre)</w:t>
      </w:r>
      <w:r w:rsidRPr="00981775">
        <w:rPr>
          <w:rStyle w:val="TextoNormalNegritaCaracter"/>
        </w:rPr>
        <w:t>.</w:t>
      </w:r>
      <w:r w:rsidRPr="00981775">
        <w:rPr>
          <w:rStyle w:val="TextoNormalCaracter"/>
        </w:rPr>
        <w:t>-</w:t>
      </w:r>
      <w:r>
        <w:t xml:space="preserve"> Sentencia </w:t>
      </w:r>
      <w:hyperlink w:anchor="SENTENCIA_2015_154" w:history="1">
        <w:r w:rsidRPr="00981775">
          <w:rPr>
            <w:rStyle w:val="TextoNormalCaracter"/>
          </w:rPr>
          <w:t>154/2015</w:t>
        </w:r>
      </w:hyperlink>
      <w:r>
        <w:t xml:space="preserve"> (anula).</w:t>
      </w:r>
    </w:p>
    <w:p w:rsidR="00981775" w:rsidRDefault="00981775" w:rsidP="00981775">
      <w:pPr>
        <w:pStyle w:val="SangriaFrancesaArticulo"/>
      </w:pPr>
      <w:r w:rsidRPr="00981775">
        <w:rPr>
          <w:rStyle w:val="TextoNormalNegritaCaracter"/>
        </w:rPr>
        <w:t>Artículo 188</w:t>
      </w:r>
      <w:r>
        <w:t xml:space="preserve"> (redactado por la Ley del Parlamento de Andalucía 13/2005, de 17 de noviembre)</w:t>
      </w:r>
      <w:r w:rsidRPr="00981775">
        <w:rPr>
          <w:rStyle w:val="TextoNormalNegritaCaracter"/>
        </w:rPr>
        <w:t>.</w:t>
      </w:r>
      <w:r w:rsidRPr="00981775">
        <w:rPr>
          <w:rStyle w:val="TextoNormalCaracter"/>
        </w:rPr>
        <w:t>-</w:t>
      </w:r>
      <w:r>
        <w:t xml:space="preserve"> Sentencia </w:t>
      </w:r>
      <w:hyperlink w:anchor="SENTENCIA_2015_154" w:history="1">
        <w:r w:rsidRPr="00981775">
          <w:rPr>
            <w:rStyle w:val="TextoNormalCaracter"/>
          </w:rPr>
          <w:t>154/2015</w:t>
        </w:r>
      </w:hyperlink>
      <w:r>
        <w:t xml:space="preserve"> (anula).</w:t>
      </w:r>
    </w:p>
    <w:p w:rsidR="00981775" w:rsidRDefault="00981775" w:rsidP="00981775">
      <w:pPr>
        <w:pStyle w:val="SangriaFrancesaArticulo"/>
      </w:pPr>
      <w:r w:rsidRPr="00981775">
        <w:rPr>
          <w:rStyle w:val="TextoNormalNegritaCaracter"/>
        </w:rPr>
        <w:t>Artículo 195.1 b) párrafo 1</w:t>
      </w:r>
      <w:r>
        <w:t xml:space="preserve"> (redactado por la Ley del Parlamento de Andalucía 13/2005, de 17 de noviembre)</w:t>
      </w:r>
      <w:r w:rsidRPr="00981775">
        <w:rPr>
          <w:rStyle w:val="TextoNormalNegritaCaracter"/>
        </w:rPr>
        <w:t>.</w:t>
      </w:r>
      <w:r w:rsidRPr="00981775">
        <w:rPr>
          <w:rStyle w:val="TextoNormalCaracter"/>
        </w:rPr>
        <w:t>-</w:t>
      </w:r>
      <w:r>
        <w:t xml:space="preserve"> Sentencia </w:t>
      </w:r>
      <w:hyperlink w:anchor="SENTENCIA_2015_154" w:history="1">
        <w:r w:rsidRPr="00981775">
          <w:rPr>
            <w:rStyle w:val="TextoNormalCaracter"/>
          </w:rPr>
          <w:t>154/2015</w:t>
        </w:r>
      </w:hyperlink>
      <w:r>
        <w:t xml:space="preserve"> (anula).</w:t>
      </w:r>
    </w:p>
    <w:p w:rsidR="00981775" w:rsidRDefault="00981775" w:rsidP="00981775">
      <w:pPr>
        <w:pStyle w:val="SangriaFrancesaArticulo"/>
      </w:pPr>
      <w:r w:rsidRPr="00981775">
        <w:rPr>
          <w:rStyle w:val="TextoNormalNegritaCaracter"/>
        </w:rPr>
        <w:t>Artículo 195.1 b) párrafo 2</w:t>
      </w:r>
      <w:r>
        <w:t xml:space="preserve"> (redactado por la Ley del Parlamento de Andalucía 13/2005, de 17 de noviembre)</w:t>
      </w:r>
      <w:r w:rsidRPr="00981775">
        <w:rPr>
          <w:rStyle w:val="TextoNormalNegritaCaracter"/>
        </w:rPr>
        <w:t>.</w:t>
      </w:r>
      <w:r w:rsidRPr="00981775">
        <w:rPr>
          <w:rStyle w:val="TextoNormalCaracter"/>
        </w:rPr>
        <w:t>-</w:t>
      </w:r>
      <w:r>
        <w:t xml:space="preserve"> Sentencia </w:t>
      </w:r>
      <w:hyperlink w:anchor="SENTENCIA_2015_154" w:history="1">
        <w:r w:rsidRPr="00981775">
          <w:rPr>
            <w:rStyle w:val="TextoNormalCaracter"/>
          </w:rPr>
          <w:t>154/2015</w:t>
        </w:r>
      </w:hyperlink>
      <w:r>
        <w:t xml:space="preserve"> (anula).</w:t>
      </w:r>
    </w:p>
    <w:p w:rsidR="00981775" w:rsidRDefault="00981775" w:rsidP="00981775">
      <w:pPr>
        <w:pStyle w:val="SangriaFrancesaArticulo"/>
      </w:pPr>
    </w:p>
    <w:p w:rsidR="00981775" w:rsidRDefault="00981775" w:rsidP="00981775">
      <w:pPr>
        <w:pStyle w:val="TextoNormalNegritaCursivandice"/>
      </w:pPr>
      <w:r>
        <w:t>Ley del Parlamento de Andalucía 13/2005, de 11 de noviembre. Medidas para la vivienda protegida y el suelo</w:t>
      </w:r>
    </w:p>
    <w:p w:rsidR="00981775" w:rsidRDefault="00981775" w:rsidP="00981775">
      <w:pPr>
        <w:pStyle w:val="SangriaFrancesaArticulo"/>
      </w:pPr>
      <w:r w:rsidRPr="00981775">
        <w:rPr>
          <w:rStyle w:val="TextoNormalNegritaCaracter"/>
        </w:rPr>
        <w:t>Artículo 12.</w:t>
      </w:r>
      <w:r w:rsidRPr="00981775">
        <w:rPr>
          <w:rStyle w:val="TextoNormalCaracter"/>
        </w:rPr>
        <w:t>-</w:t>
      </w:r>
      <w:r>
        <w:t xml:space="preserve"> Sentencia </w:t>
      </w:r>
      <w:hyperlink w:anchor="SENTENCIA_2015_154" w:history="1">
        <w:r w:rsidRPr="00981775">
          <w:rPr>
            <w:rStyle w:val="TextoNormalCaracter"/>
          </w:rPr>
          <w:t>154/2015</w:t>
        </w:r>
      </w:hyperlink>
      <w:r>
        <w:t>.</w:t>
      </w:r>
    </w:p>
    <w:p w:rsidR="00981775" w:rsidRDefault="00981775" w:rsidP="00981775">
      <w:pPr>
        <w:pStyle w:val="SangriaFrancesaArticulo"/>
      </w:pPr>
      <w:r w:rsidRPr="00981775">
        <w:rPr>
          <w:rStyle w:val="TextoNormalNegritaCaracter"/>
        </w:rPr>
        <w:t>Artículo 13.</w:t>
      </w:r>
      <w:r w:rsidRPr="00981775">
        <w:rPr>
          <w:rStyle w:val="TextoNormalCaracter"/>
        </w:rPr>
        <w:t>-</w:t>
      </w:r>
      <w:r>
        <w:t xml:space="preserve"> Sentencia </w:t>
      </w:r>
      <w:hyperlink w:anchor="SENTENCIA_2015_154" w:history="1">
        <w:r w:rsidRPr="00981775">
          <w:rPr>
            <w:rStyle w:val="TextoNormalCaracter"/>
          </w:rPr>
          <w:t>154/2015</w:t>
        </w:r>
      </w:hyperlink>
      <w:r>
        <w:t>.</w:t>
      </w:r>
    </w:p>
    <w:p w:rsidR="00981775" w:rsidRDefault="00981775" w:rsidP="00981775">
      <w:pPr>
        <w:pStyle w:val="SangriaFrancesaArticulo"/>
      </w:pPr>
      <w:r w:rsidRPr="00981775">
        <w:rPr>
          <w:rStyle w:val="TextoNormalNegritaCaracter"/>
        </w:rPr>
        <w:t>Artículo 23.4.</w:t>
      </w:r>
      <w:r w:rsidRPr="00981775">
        <w:rPr>
          <w:rStyle w:val="TextoNormalCaracter"/>
        </w:rPr>
        <w:t>-</w:t>
      </w:r>
      <w:r>
        <w:t xml:space="preserve"> Sentencia </w:t>
      </w:r>
      <w:hyperlink w:anchor="SENTENCIA_2015_154" w:history="1">
        <w:r w:rsidRPr="00981775">
          <w:rPr>
            <w:rStyle w:val="TextoNormalCaracter"/>
          </w:rPr>
          <w:t>154/2015</w:t>
        </w:r>
      </w:hyperlink>
      <w:r>
        <w:t>.</w:t>
      </w:r>
    </w:p>
    <w:p w:rsidR="00981775" w:rsidRDefault="00981775" w:rsidP="00981775">
      <w:pPr>
        <w:pStyle w:val="SangriaFrancesaArticulo"/>
      </w:pPr>
      <w:r w:rsidRPr="00981775">
        <w:rPr>
          <w:rStyle w:val="TextoNormalNegritaCaracter"/>
        </w:rPr>
        <w:t>Artículo 24.11.</w:t>
      </w:r>
      <w:r w:rsidRPr="00981775">
        <w:rPr>
          <w:rStyle w:val="TextoNormalCaracter"/>
        </w:rPr>
        <w:t>-</w:t>
      </w:r>
      <w:r>
        <w:t xml:space="preserve"> Sentencia </w:t>
      </w:r>
      <w:hyperlink w:anchor="SENTENCIA_2015_154" w:history="1">
        <w:r w:rsidRPr="00981775">
          <w:rPr>
            <w:rStyle w:val="TextoNormalCaracter"/>
          </w:rPr>
          <w:t>154/2015</w:t>
        </w:r>
      </w:hyperlink>
      <w:r>
        <w:t>.</w:t>
      </w:r>
    </w:p>
    <w:p w:rsidR="00981775" w:rsidRDefault="00981775" w:rsidP="00981775">
      <w:pPr>
        <w:pStyle w:val="SangriaFrancesaArticulo"/>
      </w:pPr>
      <w:r w:rsidRPr="00981775">
        <w:rPr>
          <w:rStyle w:val="TextoNormalNegritaCaracter"/>
        </w:rPr>
        <w:t>Artículo 28.</w:t>
      </w:r>
      <w:r w:rsidRPr="00981775">
        <w:rPr>
          <w:rStyle w:val="TextoNormalCaracter"/>
        </w:rPr>
        <w:t>-</w:t>
      </w:r>
      <w:r>
        <w:t xml:space="preserve"> Sentencia </w:t>
      </w:r>
      <w:hyperlink w:anchor="SENTENCIA_2015_154" w:history="1">
        <w:r w:rsidRPr="00981775">
          <w:rPr>
            <w:rStyle w:val="TextoNormalCaracter"/>
          </w:rPr>
          <w:t>154/2015</w:t>
        </w:r>
      </w:hyperlink>
      <w:r>
        <w:t>.</w:t>
      </w:r>
    </w:p>
    <w:p w:rsidR="00981775" w:rsidRDefault="00981775" w:rsidP="00981775">
      <w:pPr>
        <w:pStyle w:val="SangriaFrancesaArticulo"/>
      </w:pPr>
      <w:r w:rsidRPr="00981775">
        <w:rPr>
          <w:rStyle w:val="TextoNormalNegritaCaracter"/>
        </w:rPr>
        <w:t>Artículo 28.1.</w:t>
      </w:r>
      <w:r w:rsidRPr="00981775">
        <w:rPr>
          <w:rStyle w:val="TextoNormalCaracter"/>
        </w:rPr>
        <w:t>-</w:t>
      </w:r>
      <w:r>
        <w:t xml:space="preserve"> Sentencia </w:t>
      </w:r>
      <w:hyperlink w:anchor="SENTENCIA_2015_154" w:history="1">
        <w:r w:rsidRPr="00981775">
          <w:rPr>
            <w:rStyle w:val="TextoNormalCaracter"/>
          </w:rPr>
          <w:t>154/2015</w:t>
        </w:r>
      </w:hyperlink>
      <w:r>
        <w:t>.</w:t>
      </w:r>
    </w:p>
    <w:p w:rsidR="00981775" w:rsidRDefault="00981775" w:rsidP="00981775">
      <w:pPr>
        <w:pStyle w:val="SangriaFrancesaArticulo"/>
      </w:pPr>
      <w:r w:rsidRPr="00981775">
        <w:rPr>
          <w:rStyle w:val="TextoNormalNegritaCaracter"/>
        </w:rPr>
        <w:t>Artículo 28.9.</w:t>
      </w:r>
      <w:r w:rsidRPr="00981775">
        <w:rPr>
          <w:rStyle w:val="TextoNormalCaracter"/>
        </w:rPr>
        <w:t>-</w:t>
      </w:r>
      <w:r>
        <w:t xml:space="preserve"> Sentencia </w:t>
      </w:r>
      <w:hyperlink w:anchor="SENTENCIA_2015_154" w:history="1">
        <w:r w:rsidRPr="00981775">
          <w:rPr>
            <w:rStyle w:val="TextoNormalCaracter"/>
          </w:rPr>
          <w:t>154/2015</w:t>
        </w:r>
      </w:hyperlink>
      <w:r>
        <w:t>.</w:t>
      </w:r>
    </w:p>
    <w:p w:rsidR="00981775" w:rsidRDefault="00981775" w:rsidP="00981775">
      <w:pPr>
        <w:pStyle w:val="SangriaFrancesaArticulo"/>
      </w:pPr>
      <w:r w:rsidRPr="00981775">
        <w:rPr>
          <w:rStyle w:val="TextoNormalNegritaCaracter"/>
        </w:rPr>
        <w:t>Artículo 28.11.</w:t>
      </w:r>
      <w:r w:rsidRPr="00981775">
        <w:rPr>
          <w:rStyle w:val="TextoNormalCaracter"/>
        </w:rPr>
        <w:t>-</w:t>
      </w:r>
      <w:r>
        <w:t xml:space="preserve"> Sentencia </w:t>
      </w:r>
      <w:hyperlink w:anchor="SENTENCIA_2015_154" w:history="1">
        <w:r w:rsidRPr="00981775">
          <w:rPr>
            <w:rStyle w:val="TextoNormalCaracter"/>
          </w:rPr>
          <w:t>154/2015</w:t>
        </w:r>
      </w:hyperlink>
      <w:r>
        <w:t>.</w:t>
      </w:r>
    </w:p>
    <w:p w:rsidR="00981775" w:rsidRDefault="00981775" w:rsidP="00981775">
      <w:pPr>
        <w:pStyle w:val="SangriaFrancesaArticulo"/>
      </w:pPr>
      <w:r w:rsidRPr="00981775">
        <w:rPr>
          <w:rStyle w:val="TextoNormalNegritaCaracter"/>
        </w:rPr>
        <w:t>Artículo 28.13.</w:t>
      </w:r>
      <w:r w:rsidRPr="00981775">
        <w:rPr>
          <w:rStyle w:val="TextoNormalCaracter"/>
        </w:rPr>
        <w:t>-</w:t>
      </w:r>
      <w:r>
        <w:t xml:space="preserve"> Sentencia </w:t>
      </w:r>
      <w:hyperlink w:anchor="SENTENCIA_2015_154" w:history="1">
        <w:r w:rsidRPr="00981775">
          <w:rPr>
            <w:rStyle w:val="TextoNormalCaracter"/>
          </w:rPr>
          <w:t>154/2015</w:t>
        </w:r>
      </w:hyperlink>
      <w:r>
        <w:t>.</w:t>
      </w:r>
    </w:p>
    <w:p w:rsidR="00981775" w:rsidRDefault="00981775" w:rsidP="00981775">
      <w:pPr>
        <w:pStyle w:val="SangriaFrancesaArticulo"/>
      </w:pPr>
    </w:p>
    <w:p w:rsidR="00981775" w:rsidRDefault="00981775" w:rsidP="00981775">
      <w:pPr>
        <w:pStyle w:val="TextoNormalNegritaCursivandice"/>
      </w:pPr>
      <w:r>
        <w:t>Decreto-ley de la Junta de Andalucía 5/2010, de 27 de julio. Aprueba medidas urgentes en materia de reordenación del sector público</w:t>
      </w:r>
    </w:p>
    <w:p w:rsidR="00981775" w:rsidRDefault="00981775" w:rsidP="00981775">
      <w:pPr>
        <w:pStyle w:val="SangriaFrancesaArticulo"/>
      </w:pPr>
      <w:r w:rsidRPr="00981775">
        <w:rPr>
          <w:rStyle w:val="TextoNormalNegritaCaracter"/>
        </w:rPr>
        <w:t>Artículo 1.9.</w:t>
      </w:r>
      <w:r w:rsidRPr="00981775">
        <w:rPr>
          <w:rStyle w:val="TextoNormalCaracter"/>
        </w:rPr>
        <w:t>-</w:t>
      </w:r>
      <w:r>
        <w:t xml:space="preserve"> Sentencia </w:t>
      </w:r>
      <w:hyperlink w:anchor="SENTENCIA_2015_230" w:history="1">
        <w:r w:rsidRPr="00981775">
          <w:rPr>
            <w:rStyle w:val="TextoNormalCaracter"/>
          </w:rPr>
          <w:t>230/2015</w:t>
        </w:r>
      </w:hyperlink>
      <w:r>
        <w:t xml:space="preserve"> (anula).</w:t>
      </w:r>
    </w:p>
    <w:p w:rsidR="00981775" w:rsidRDefault="00981775" w:rsidP="00981775">
      <w:pPr>
        <w:pStyle w:val="SangriaFrancesaArticulo"/>
      </w:pPr>
      <w:r w:rsidRPr="00981775">
        <w:rPr>
          <w:rStyle w:val="TextoNormalNegritaCaracter"/>
        </w:rPr>
        <w:t>Artículo 1.12.</w:t>
      </w:r>
      <w:r w:rsidRPr="00981775">
        <w:rPr>
          <w:rStyle w:val="TextoNormalCaracter"/>
        </w:rPr>
        <w:t>-</w:t>
      </w:r>
      <w:r>
        <w:t xml:space="preserve"> Sentencia </w:t>
      </w:r>
      <w:hyperlink w:anchor="SENTENCIA_2015_230" w:history="1">
        <w:r w:rsidRPr="00981775">
          <w:rPr>
            <w:rStyle w:val="TextoNormalCaracter"/>
          </w:rPr>
          <w:t>230/2015</w:t>
        </w:r>
      </w:hyperlink>
      <w:r>
        <w:t xml:space="preserve"> (anula).</w:t>
      </w:r>
    </w:p>
    <w:p w:rsidR="00981775" w:rsidRDefault="00981775" w:rsidP="00981775">
      <w:pPr>
        <w:pStyle w:val="SangriaFrancesaArticulo"/>
      </w:pPr>
      <w:r w:rsidRPr="00981775">
        <w:rPr>
          <w:rStyle w:val="TextoNormalNegritaCaracter"/>
        </w:rPr>
        <w:t>Artículo 3 a 12.</w:t>
      </w:r>
      <w:r w:rsidRPr="00981775">
        <w:rPr>
          <w:rStyle w:val="TextoNormalCaracter"/>
        </w:rPr>
        <w:t>-</w:t>
      </w:r>
      <w:r>
        <w:t xml:space="preserve"> Sentencia </w:t>
      </w:r>
      <w:hyperlink w:anchor="SENTENCIA_2015_230" w:history="1">
        <w:r w:rsidRPr="00981775">
          <w:rPr>
            <w:rStyle w:val="TextoNormalCaracter"/>
          </w:rPr>
          <w:t>230/2015</w:t>
        </w:r>
      </w:hyperlink>
      <w:r>
        <w:t>.</w:t>
      </w:r>
    </w:p>
    <w:p w:rsidR="00981775" w:rsidRDefault="00981775" w:rsidP="00981775">
      <w:pPr>
        <w:pStyle w:val="SangriaFrancesaArticulo"/>
      </w:pPr>
      <w:r w:rsidRPr="00981775">
        <w:rPr>
          <w:rStyle w:val="TextoNormalNegritaCaracter"/>
        </w:rPr>
        <w:t>Artículo 18.</w:t>
      </w:r>
      <w:r w:rsidRPr="00981775">
        <w:rPr>
          <w:rStyle w:val="TextoNormalCaracter"/>
        </w:rPr>
        <w:t>-</w:t>
      </w:r>
      <w:r>
        <w:t xml:space="preserve"> Sentencia </w:t>
      </w:r>
      <w:hyperlink w:anchor="SENTENCIA_2015_230" w:history="1">
        <w:r w:rsidRPr="00981775">
          <w:rPr>
            <w:rStyle w:val="TextoNormalCaracter"/>
          </w:rPr>
          <w:t>230/2015</w:t>
        </w:r>
      </w:hyperlink>
      <w:r>
        <w:t>.</w:t>
      </w:r>
    </w:p>
    <w:p w:rsidR="00981775" w:rsidRDefault="00981775" w:rsidP="00981775">
      <w:pPr>
        <w:pStyle w:val="SangriaFrancesaArticulo"/>
      </w:pPr>
      <w:r w:rsidRPr="00981775">
        <w:rPr>
          <w:rStyle w:val="TextoNormalNegritaCaracter"/>
        </w:rPr>
        <w:t>Artículo 19.</w:t>
      </w:r>
      <w:r w:rsidRPr="00981775">
        <w:rPr>
          <w:rStyle w:val="TextoNormalCaracter"/>
        </w:rPr>
        <w:t>-</w:t>
      </w:r>
      <w:r>
        <w:t xml:space="preserve"> Sentencia </w:t>
      </w:r>
      <w:hyperlink w:anchor="SENTENCIA_2015_230" w:history="1">
        <w:r w:rsidRPr="00981775">
          <w:rPr>
            <w:rStyle w:val="TextoNormalCaracter"/>
          </w:rPr>
          <w:t>230/2015</w:t>
        </w:r>
      </w:hyperlink>
      <w:r>
        <w:t>.</w:t>
      </w:r>
    </w:p>
    <w:p w:rsidR="00981775" w:rsidRDefault="00981775" w:rsidP="00981775">
      <w:pPr>
        <w:pStyle w:val="SangriaFrancesaArticulo"/>
      </w:pPr>
      <w:r w:rsidRPr="00981775">
        <w:rPr>
          <w:rStyle w:val="TextoNormalNegritaCaracter"/>
        </w:rPr>
        <w:t>Artículo 22 a 24.</w:t>
      </w:r>
      <w:r w:rsidRPr="00981775">
        <w:rPr>
          <w:rStyle w:val="TextoNormalCaracter"/>
        </w:rPr>
        <w:t>-</w:t>
      </w:r>
      <w:r>
        <w:t xml:space="preserve"> Sentencia </w:t>
      </w:r>
      <w:hyperlink w:anchor="SENTENCIA_2015_230" w:history="1">
        <w:r w:rsidRPr="00981775">
          <w:rPr>
            <w:rStyle w:val="TextoNormalCaracter"/>
          </w:rPr>
          <w:t>230/2015</w:t>
        </w:r>
      </w:hyperlink>
      <w:r>
        <w:t>.</w:t>
      </w:r>
    </w:p>
    <w:p w:rsidR="00981775" w:rsidRDefault="00981775" w:rsidP="00981775">
      <w:pPr>
        <w:pStyle w:val="SangriaFrancesaArticulo"/>
      </w:pPr>
      <w:r w:rsidRPr="00981775">
        <w:rPr>
          <w:rStyle w:val="TextoNormalNegritaCaracter"/>
        </w:rPr>
        <w:t>Disposición adicional cuarta.</w:t>
      </w:r>
      <w:r w:rsidRPr="00981775">
        <w:rPr>
          <w:rStyle w:val="TextoNormalCaracter"/>
        </w:rPr>
        <w:t>-</w:t>
      </w:r>
      <w:r>
        <w:t xml:space="preserve"> Sentencia </w:t>
      </w:r>
      <w:hyperlink w:anchor="SENTENCIA_2015_230" w:history="1">
        <w:r w:rsidRPr="00981775">
          <w:rPr>
            <w:rStyle w:val="TextoNormalCaracter"/>
          </w:rPr>
          <w:t>230/2015</w:t>
        </w:r>
      </w:hyperlink>
      <w:r>
        <w:t>.</w:t>
      </w:r>
    </w:p>
    <w:p w:rsidR="00981775" w:rsidRDefault="00981775" w:rsidP="00981775">
      <w:pPr>
        <w:pStyle w:val="SangriaFrancesaArticulo"/>
      </w:pPr>
    </w:p>
    <w:p w:rsidR="00981775" w:rsidRDefault="00981775" w:rsidP="00981775">
      <w:pPr>
        <w:pStyle w:val="TextoNormalNegritaCursivandice"/>
      </w:pPr>
      <w:r>
        <w:t>Ley del Parlamento de Andalucía 1/2011, de 17 de febrero. Reordenación del sector público de Andalucía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6" w:history="1">
        <w:r w:rsidRPr="00981775">
          <w:rPr>
            <w:rStyle w:val="TextoNormalCaracter"/>
          </w:rPr>
          <w:t>236/2015</w:t>
        </w:r>
      </w:hyperlink>
      <w:r>
        <w:t>.</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B.2) Aragón</w:t>
      </w:r>
    </w:p>
    <w:p w:rsidR="00981775" w:rsidRDefault="00981775" w:rsidP="00981775">
      <w:pPr>
        <w:pStyle w:val="TextoNormalNegritaCentrado"/>
      </w:pPr>
    </w:p>
    <w:p w:rsidR="00981775" w:rsidRDefault="00981775" w:rsidP="00981775">
      <w:pPr>
        <w:pStyle w:val="TextoNormalNegritaCursivandice"/>
      </w:pPr>
      <w:r>
        <w:t>Ley de las Cortes de Aragón 3/2011, de 24 de febrero. Medidas en materia de contratos del sector público de Aragón</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7" w:history="1">
        <w:r w:rsidRPr="00981775">
          <w:rPr>
            <w:rStyle w:val="TextoNormalCaracter"/>
          </w:rPr>
          <w:t>237/2015</w:t>
        </w:r>
      </w:hyperlink>
      <w:r>
        <w:t>.</w:t>
      </w:r>
    </w:p>
    <w:p w:rsidR="00981775" w:rsidRDefault="00981775" w:rsidP="00981775">
      <w:pPr>
        <w:pStyle w:val="SangriaFrancesaArticulo"/>
      </w:pPr>
      <w:r w:rsidRPr="00981775">
        <w:rPr>
          <w:rStyle w:val="TextoNormalNegritaCaracter"/>
        </w:rPr>
        <w:t>Artículo 6.1 expresión "y simplificados en los que se haya optado por no constituir mesa de contratación".</w:t>
      </w:r>
      <w:r w:rsidRPr="00981775">
        <w:rPr>
          <w:rStyle w:val="TextoNormalCaracter"/>
        </w:rPr>
        <w:t>-</w:t>
      </w:r>
      <w:r>
        <w:t xml:space="preserve"> Sentencia </w:t>
      </w:r>
      <w:hyperlink w:anchor="SENTENCIA_2015_237" w:history="1">
        <w:r w:rsidRPr="00981775">
          <w:rPr>
            <w:rStyle w:val="TextoNormalCaracter"/>
          </w:rPr>
          <w:t>237/2015</w:t>
        </w:r>
      </w:hyperlink>
      <w:r>
        <w:t xml:space="preserve"> (anula).</w:t>
      </w:r>
    </w:p>
    <w:p w:rsidR="00981775" w:rsidRDefault="00981775" w:rsidP="00981775">
      <w:pPr>
        <w:pStyle w:val="SangriaFrancesaArticulo"/>
      </w:pPr>
      <w:r w:rsidRPr="00981775">
        <w:rPr>
          <w:rStyle w:val="TextoNormalNegritaCaracter"/>
        </w:rPr>
        <w:t>Artículo 6.2 expresión "en el plazo de cinco días hábiles".</w:t>
      </w:r>
      <w:r w:rsidRPr="00981775">
        <w:rPr>
          <w:rStyle w:val="TextoNormalCaracter"/>
        </w:rPr>
        <w:t>-</w:t>
      </w:r>
      <w:r>
        <w:t xml:space="preserve"> Sentencia </w:t>
      </w:r>
      <w:hyperlink w:anchor="SENTENCIA_2015_237" w:history="1">
        <w:r w:rsidRPr="00981775">
          <w:rPr>
            <w:rStyle w:val="TextoNormalCaracter"/>
          </w:rPr>
          <w:t>237/2015</w:t>
        </w:r>
      </w:hyperlink>
      <w:r>
        <w:t xml:space="preserve"> (anula).</w:t>
      </w:r>
    </w:p>
    <w:p w:rsidR="00981775" w:rsidRDefault="00981775" w:rsidP="00981775">
      <w:pPr>
        <w:pStyle w:val="SangriaFrancesaArticulo"/>
      </w:pPr>
      <w:r w:rsidRPr="00981775">
        <w:rPr>
          <w:rStyle w:val="TextoNormalNegritaCaracter"/>
        </w:rPr>
        <w:t>Artículo 10.2 c).</w:t>
      </w:r>
      <w:r w:rsidRPr="00981775">
        <w:rPr>
          <w:rStyle w:val="TextoNormalCaracter"/>
        </w:rPr>
        <w:t>-</w:t>
      </w:r>
      <w:r>
        <w:t xml:space="preserve"> Sentencia </w:t>
      </w:r>
      <w:hyperlink w:anchor="SENTENCIA_2015_237" w:history="1">
        <w:r w:rsidRPr="00981775">
          <w:rPr>
            <w:rStyle w:val="TextoNormalCaracter"/>
          </w:rPr>
          <w:t>237/2015</w:t>
        </w:r>
      </w:hyperlink>
      <w:r>
        <w:t xml:space="preserve"> (anula).</w:t>
      </w:r>
    </w:p>
    <w:p w:rsidR="00981775" w:rsidRDefault="00981775" w:rsidP="00981775">
      <w:pPr>
        <w:pStyle w:val="SangriaFrancesaArticulo"/>
      </w:pPr>
      <w:r w:rsidRPr="00981775">
        <w:rPr>
          <w:rStyle w:val="TextoNormalNegritaCaracter"/>
        </w:rPr>
        <w:t>Artículo 10.2 d).</w:t>
      </w:r>
      <w:r w:rsidRPr="00981775">
        <w:rPr>
          <w:rStyle w:val="TextoNormalCaracter"/>
        </w:rPr>
        <w:t>-</w:t>
      </w:r>
      <w:r>
        <w:t xml:space="preserve"> Sentencia </w:t>
      </w:r>
      <w:hyperlink w:anchor="SENTENCIA_2015_237" w:history="1">
        <w:r w:rsidRPr="00981775">
          <w:rPr>
            <w:rStyle w:val="TextoNormalCaracter"/>
          </w:rPr>
          <w:t>237/2015</w:t>
        </w:r>
      </w:hyperlink>
      <w:r>
        <w:t xml:space="preserve"> (anula).</w:t>
      </w:r>
    </w:p>
    <w:p w:rsidR="00981775" w:rsidRDefault="00981775" w:rsidP="00981775">
      <w:pPr>
        <w:pStyle w:val="SangriaFrancesaArticulo"/>
      </w:pPr>
      <w:r w:rsidRPr="00981775">
        <w:rPr>
          <w:rStyle w:val="TextoNormalNegritaCaracter"/>
        </w:rPr>
        <w:t>Artículo 10.2 f) expresión "en el plazo de cinco días hábiles".</w:t>
      </w:r>
      <w:r w:rsidRPr="00981775">
        <w:rPr>
          <w:rStyle w:val="TextoNormalCaracter"/>
        </w:rPr>
        <w:t>-</w:t>
      </w:r>
      <w:r>
        <w:t xml:space="preserve"> Sentencia </w:t>
      </w:r>
      <w:hyperlink w:anchor="SENTENCIA_2015_237" w:history="1">
        <w:r w:rsidRPr="00981775">
          <w:rPr>
            <w:rStyle w:val="TextoNormalCaracter"/>
          </w:rPr>
          <w:t>237/2015</w:t>
        </w:r>
      </w:hyperlink>
      <w:r>
        <w:t xml:space="preserve"> (anula).</w:t>
      </w:r>
    </w:p>
    <w:p w:rsidR="00981775" w:rsidRDefault="00981775" w:rsidP="00981775">
      <w:pPr>
        <w:pStyle w:val="SangriaFrancesaArticulo"/>
      </w:pPr>
    </w:p>
    <w:p w:rsidR="00981775" w:rsidRDefault="00981775" w:rsidP="00981775">
      <w:pPr>
        <w:pStyle w:val="TextoNormalNegritaCursivandice"/>
      </w:pPr>
      <w:r>
        <w:t>Ley de las Cortes de Aragón 8/2013, de 12 de septiembre. Coordinación de policías locales de Aragón</w:t>
      </w:r>
    </w:p>
    <w:p w:rsidR="00981775" w:rsidRDefault="00981775" w:rsidP="00981775">
      <w:pPr>
        <w:pStyle w:val="SangriaFrancesaArticulo"/>
      </w:pPr>
      <w:r w:rsidRPr="00981775">
        <w:rPr>
          <w:rStyle w:val="TextoNormalNegritaCaracter"/>
        </w:rPr>
        <w:t>Artículo 22.</w:t>
      </w:r>
      <w:r w:rsidRPr="00981775">
        <w:rPr>
          <w:rStyle w:val="TextoNormalCaracter"/>
        </w:rPr>
        <w:t>-</w:t>
      </w:r>
      <w:r>
        <w:t xml:space="preserve"> Sentencia </w:t>
      </w:r>
      <w:hyperlink w:anchor="SENTENCIA_2015_200" w:history="1">
        <w:r w:rsidRPr="00981775">
          <w:rPr>
            <w:rStyle w:val="TextoNormalCaracter"/>
          </w:rPr>
          <w:t>200/2015</w:t>
        </w:r>
      </w:hyperlink>
      <w:r>
        <w:t>.</w:t>
      </w:r>
    </w:p>
    <w:p w:rsidR="00981775" w:rsidRDefault="00981775" w:rsidP="00981775">
      <w:pPr>
        <w:pStyle w:val="SangriaFrancesaArticulo"/>
      </w:pPr>
      <w:r w:rsidRPr="00981775">
        <w:rPr>
          <w:rStyle w:val="TextoNormalNegritaCaracter"/>
        </w:rPr>
        <w:t>Artículo 25.</w:t>
      </w:r>
      <w:r w:rsidRPr="00981775">
        <w:rPr>
          <w:rStyle w:val="TextoNormalCaracter"/>
        </w:rPr>
        <w:t>-</w:t>
      </w:r>
      <w:r>
        <w:t xml:space="preserve"> Sentencia </w:t>
      </w:r>
      <w:hyperlink w:anchor="SENTENCIA_2015_200" w:history="1">
        <w:r w:rsidRPr="00981775">
          <w:rPr>
            <w:rStyle w:val="TextoNormalCaracter"/>
          </w:rPr>
          <w:t>200/2015</w:t>
        </w:r>
      </w:hyperlink>
      <w:r>
        <w:t>.</w:t>
      </w:r>
    </w:p>
    <w:p w:rsidR="00981775" w:rsidRDefault="00981775" w:rsidP="00981775">
      <w:pPr>
        <w:pStyle w:val="SangriaFrancesaArticulo"/>
      </w:pPr>
      <w:r w:rsidRPr="00981775">
        <w:rPr>
          <w:rStyle w:val="TextoNormalNegritaCaracter"/>
        </w:rPr>
        <w:t>Artículo 26.</w:t>
      </w:r>
      <w:r w:rsidRPr="00981775">
        <w:rPr>
          <w:rStyle w:val="TextoNormalCaracter"/>
        </w:rPr>
        <w:t>-</w:t>
      </w:r>
      <w:r>
        <w:t xml:space="preserve"> Sentencia </w:t>
      </w:r>
      <w:hyperlink w:anchor="SENTENCIA_2015_200" w:history="1">
        <w:r w:rsidRPr="00981775">
          <w:rPr>
            <w:rStyle w:val="TextoNormalCaracter"/>
          </w:rPr>
          <w:t>200/2015</w:t>
        </w:r>
      </w:hyperlink>
      <w:r>
        <w:t>.</w:t>
      </w:r>
    </w:p>
    <w:p w:rsidR="00981775" w:rsidRDefault="00981775" w:rsidP="00981775">
      <w:pPr>
        <w:pStyle w:val="SangriaFrancesaArticulo"/>
      </w:pPr>
      <w:r w:rsidRPr="00981775">
        <w:rPr>
          <w:rStyle w:val="TextoNormalNegritaCaracter"/>
        </w:rPr>
        <w:t>Disposición transitoria segunda, apartado 2.</w:t>
      </w:r>
      <w:r w:rsidRPr="00981775">
        <w:rPr>
          <w:rStyle w:val="TextoNormalCaracter"/>
        </w:rPr>
        <w:t>-</w:t>
      </w:r>
      <w:r>
        <w:t xml:space="preserve"> Sentencia </w:t>
      </w:r>
      <w:hyperlink w:anchor="SENTENCIA_2015_200" w:history="1">
        <w:r w:rsidRPr="00981775">
          <w:rPr>
            <w:rStyle w:val="TextoNormalCaracter"/>
          </w:rPr>
          <w:t>200/2015</w:t>
        </w:r>
      </w:hyperlink>
      <w:r>
        <w:t xml:space="preserve"> (anula).</w:t>
      </w:r>
    </w:p>
    <w:p w:rsidR="00981775" w:rsidRDefault="00981775" w:rsidP="00981775">
      <w:pPr>
        <w:pStyle w:val="SangriaFrancesaArticulo"/>
      </w:pPr>
      <w:r w:rsidRPr="00981775">
        <w:rPr>
          <w:rStyle w:val="TextoNormalNegritaCaracter"/>
        </w:rPr>
        <w:t>Disposición transitoria segunda, apartado 3.</w:t>
      </w:r>
      <w:r w:rsidRPr="00981775">
        <w:rPr>
          <w:rStyle w:val="TextoNormalCaracter"/>
        </w:rPr>
        <w:t>-</w:t>
      </w:r>
      <w:r>
        <w:t xml:space="preserve"> Sentencia </w:t>
      </w:r>
      <w:hyperlink w:anchor="SENTENCIA_2015_200" w:history="1">
        <w:r w:rsidRPr="00981775">
          <w:rPr>
            <w:rStyle w:val="TextoNormalCaracter"/>
          </w:rPr>
          <w:t>200/2015</w:t>
        </w:r>
      </w:hyperlink>
      <w:r>
        <w:t xml:space="preserve"> (anula).</w:t>
      </w:r>
    </w:p>
    <w:p w:rsidR="00981775" w:rsidRDefault="00981775" w:rsidP="00981775">
      <w:pPr>
        <w:pStyle w:val="SangriaFrancesaArticulo"/>
      </w:pPr>
    </w:p>
    <w:p w:rsidR="00981775" w:rsidRDefault="00981775" w:rsidP="00981775">
      <w:pPr>
        <w:pStyle w:val="TextoNormalNegritaCursivandice"/>
      </w:pPr>
      <w:r>
        <w:t>Ley de las Cortes de Aragón 10/2014, de 27 de noviembre. Aguas y ríos de Aragón</w:t>
      </w:r>
    </w:p>
    <w:p w:rsidR="00981775" w:rsidRDefault="00981775" w:rsidP="00981775">
      <w:pPr>
        <w:pStyle w:val="SangriaFrancesaArticulo"/>
      </w:pPr>
      <w:r w:rsidRPr="00981775">
        <w:rPr>
          <w:rStyle w:val="TextoNormalNegritaCaracter"/>
        </w:rPr>
        <w:t>Artículo 1.2 b).</w:t>
      </w:r>
      <w:r w:rsidRPr="00981775">
        <w:rPr>
          <w:rStyle w:val="TextoNormalCaracter"/>
        </w:rPr>
        <w:t>-</w:t>
      </w:r>
      <w:r>
        <w:t xml:space="preserve"> Auto </w:t>
      </w:r>
      <w:hyperlink w:anchor="AUTO_2015_226" w:history="1">
        <w:r w:rsidRPr="00981775">
          <w:rPr>
            <w:rStyle w:val="TextoNormalCaracter"/>
          </w:rPr>
          <w:t>226/2015</w:t>
        </w:r>
      </w:hyperlink>
      <w:r>
        <w:t>.</w:t>
      </w:r>
    </w:p>
    <w:p w:rsidR="00981775" w:rsidRDefault="00981775" w:rsidP="00981775">
      <w:pPr>
        <w:pStyle w:val="SangriaFrancesaArticulo"/>
      </w:pPr>
      <w:r w:rsidRPr="00981775">
        <w:rPr>
          <w:rStyle w:val="TextoNormalNegritaCaracter"/>
        </w:rPr>
        <w:t>Artículo 1.2 c).</w:t>
      </w:r>
      <w:r w:rsidRPr="00981775">
        <w:rPr>
          <w:rStyle w:val="TextoNormalCaracter"/>
        </w:rPr>
        <w:t>-</w:t>
      </w:r>
      <w:r>
        <w:t xml:space="preserve"> Auto </w:t>
      </w:r>
      <w:hyperlink w:anchor="AUTO_2015_226" w:history="1">
        <w:r w:rsidRPr="00981775">
          <w:rPr>
            <w:rStyle w:val="TextoNormalCaracter"/>
          </w:rPr>
          <w:t>226/2015</w:t>
        </w:r>
      </w:hyperlink>
      <w:r>
        <w:t>.</w:t>
      </w:r>
    </w:p>
    <w:p w:rsidR="00981775" w:rsidRDefault="00981775" w:rsidP="00981775">
      <w:pPr>
        <w:pStyle w:val="SangriaFrancesaArticulo"/>
      </w:pPr>
      <w:r w:rsidRPr="00981775">
        <w:rPr>
          <w:rStyle w:val="TextoNormalNegritaCaracter"/>
        </w:rPr>
        <w:t>Artículo 1.2 d).</w:t>
      </w:r>
      <w:r w:rsidRPr="00981775">
        <w:rPr>
          <w:rStyle w:val="TextoNormalCaracter"/>
        </w:rPr>
        <w:t>-</w:t>
      </w:r>
      <w:r>
        <w:t xml:space="preserve"> Auto </w:t>
      </w:r>
      <w:hyperlink w:anchor="AUTO_2015_226" w:history="1">
        <w:r w:rsidRPr="00981775">
          <w:rPr>
            <w:rStyle w:val="TextoNormalCaracter"/>
          </w:rPr>
          <w:t>226/2015</w:t>
        </w:r>
      </w:hyperlink>
      <w:r>
        <w:t>.</w:t>
      </w:r>
    </w:p>
    <w:p w:rsidR="00981775" w:rsidRDefault="00981775" w:rsidP="00981775">
      <w:pPr>
        <w:pStyle w:val="SangriaFrancesaArticulo"/>
      </w:pPr>
      <w:r w:rsidRPr="00981775">
        <w:rPr>
          <w:rStyle w:val="TextoNormalNegritaCaracter"/>
        </w:rPr>
        <w:t>Artículo 4 aa).</w:t>
      </w:r>
      <w:r w:rsidRPr="00981775">
        <w:rPr>
          <w:rStyle w:val="TextoNormalCaracter"/>
        </w:rPr>
        <w:t>-</w:t>
      </w:r>
      <w:r>
        <w:t xml:space="preserve"> Auto </w:t>
      </w:r>
      <w:hyperlink w:anchor="AUTO_2015_226" w:history="1">
        <w:r w:rsidRPr="00981775">
          <w:rPr>
            <w:rStyle w:val="TextoNormalCaracter"/>
          </w:rPr>
          <w:t>226/2015</w:t>
        </w:r>
      </w:hyperlink>
      <w:r>
        <w:t>.</w:t>
      </w:r>
    </w:p>
    <w:p w:rsidR="00981775" w:rsidRDefault="00981775" w:rsidP="00981775">
      <w:pPr>
        <w:pStyle w:val="SangriaFrancesaArticulo"/>
      </w:pPr>
      <w:r w:rsidRPr="00981775">
        <w:rPr>
          <w:rStyle w:val="TextoNormalNegritaCaracter"/>
        </w:rPr>
        <w:t>Artículo 5 a).</w:t>
      </w:r>
      <w:r w:rsidRPr="00981775">
        <w:rPr>
          <w:rStyle w:val="TextoNormalCaracter"/>
        </w:rPr>
        <w:t>-</w:t>
      </w:r>
      <w:r>
        <w:t xml:space="preserve"> Auto </w:t>
      </w:r>
      <w:hyperlink w:anchor="AUTO_2015_226" w:history="1">
        <w:r w:rsidRPr="00981775">
          <w:rPr>
            <w:rStyle w:val="TextoNormalCaracter"/>
          </w:rPr>
          <w:t>226/2015</w:t>
        </w:r>
      </w:hyperlink>
      <w:r>
        <w:t>.</w:t>
      </w:r>
    </w:p>
    <w:p w:rsidR="00981775" w:rsidRDefault="00981775" w:rsidP="00981775">
      <w:pPr>
        <w:pStyle w:val="SangriaFrancesaArticulo"/>
      </w:pPr>
      <w:r w:rsidRPr="00981775">
        <w:rPr>
          <w:rStyle w:val="TextoNormalNegritaCaracter"/>
        </w:rPr>
        <w:t>Artículo 5 p).</w:t>
      </w:r>
      <w:r w:rsidRPr="00981775">
        <w:rPr>
          <w:rStyle w:val="TextoNormalCaracter"/>
        </w:rPr>
        <w:t>-</w:t>
      </w:r>
      <w:r>
        <w:t xml:space="preserve"> Auto </w:t>
      </w:r>
      <w:hyperlink w:anchor="AUTO_2015_226" w:history="1">
        <w:r w:rsidRPr="00981775">
          <w:rPr>
            <w:rStyle w:val="TextoNormalCaracter"/>
          </w:rPr>
          <w:t>226/2015</w:t>
        </w:r>
      </w:hyperlink>
      <w:r>
        <w:t>.</w:t>
      </w:r>
    </w:p>
    <w:p w:rsidR="00981775" w:rsidRDefault="00981775" w:rsidP="00981775">
      <w:pPr>
        <w:pStyle w:val="SangriaFrancesaArticulo"/>
      </w:pPr>
      <w:r w:rsidRPr="00981775">
        <w:rPr>
          <w:rStyle w:val="TextoNormalNegritaCaracter"/>
        </w:rPr>
        <w:t>Artículo 7.1.</w:t>
      </w:r>
      <w:r w:rsidRPr="00981775">
        <w:rPr>
          <w:rStyle w:val="TextoNormalCaracter"/>
        </w:rPr>
        <w:t>-</w:t>
      </w:r>
      <w:r>
        <w:t xml:space="preserve"> Auto </w:t>
      </w:r>
      <w:hyperlink w:anchor="AUTO_2015_226" w:history="1">
        <w:r w:rsidRPr="00981775">
          <w:rPr>
            <w:rStyle w:val="TextoNormalCaracter"/>
          </w:rPr>
          <w:t>226/2015</w:t>
        </w:r>
      </w:hyperlink>
      <w:r>
        <w:t>.</w:t>
      </w:r>
    </w:p>
    <w:p w:rsidR="00981775" w:rsidRDefault="00981775" w:rsidP="00981775">
      <w:pPr>
        <w:pStyle w:val="SangriaFrancesaArticulo"/>
      </w:pPr>
      <w:r w:rsidRPr="00981775">
        <w:rPr>
          <w:rStyle w:val="TextoNormalNegritaCaracter"/>
        </w:rPr>
        <w:t>Artículo 8.</w:t>
      </w:r>
      <w:r w:rsidRPr="00981775">
        <w:rPr>
          <w:rStyle w:val="TextoNormalCaracter"/>
        </w:rPr>
        <w:t>-</w:t>
      </w:r>
      <w:r>
        <w:t xml:space="preserve"> Auto </w:t>
      </w:r>
      <w:hyperlink w:anchor="AUTO_2015_226" w:history="1">
        <w:r w:rsidRPr="00981775">
          <w:rPr>
            <w:rStyle w:val="TextoNormalCaracter"/>
          </w:rPr>
          <w:t>226/2015</w:t>
        </w:r>
      </w:hyperlink>
      <w:r>
        <w:t>.</w:t>
      </w:r>
    </w:p>
    <w:p w:rsidR="00981775" w:rsidRDefault="00981775" w:rsidP="00981775">
      <w:pPr>
        <w:pStyle w:val="SangriaFrancesaArticulo"/>
      </w:pPr>
      <w:r w:rsidRPr="00981775">
        <w:rPr>
          <w:rStyle w:val="TextoNormalNegritaCaracter"/>
        </w:rPr>
        <w:t>Artículo 12.2 b).</w:t>
      </w:r>
      <w:r w:rsidRPr="00981775">
        <w:rPr>
          <w:rStyle w:val="TextoNormalCaracter"/>
        </w:rPr>
        <w:t>-</w:t>
      </w:r>
      <w:r>
        <w:t xml:space="preserve"> Auto </w:t>
      </w:r>
      <w:hyperlink w:anchor="AUTO_2015_226" w:history="1">
        <w:r w:rsidRPr="00981775">
          <w:rPr>
            <w:rStyle w:val="TextoNormalCaracter"/>
          </w:rPr>
          <w:t>226/2015</w:t>
        </w:r>
      </w:hyperlink>
      <w:r>
        <w:t>.</w:t>
      </w:r>
    </w:p>
    <w:p w:rsidR="00981775" w:rsidRDefault="00981775" w:rsidP="00981775">
      <w:pPr>
        <w:pStyle w:val="SangriaFrancesaArticulo"/>
      </w:pPr>
      <w:r w:rsidRPr="00981775">
        <w:rPr>
          <w:rStyle w:val="TextoNormalNegritaCaracter"/>
        </w:rPr>
        <w:t>Artículo 12.4.</w:t>
      </w:r>
      <w:r w:rsidRPr="00981775">
        <w:rPr>
          <w:rStyle w:val="TextoNormalCaracter"/>
        </w:rPr>
        <w:t>-</w:t>
      </w:r>
      <w:r>
        <w:t xml:space="preserve"> Auto </w:t>
      </w:r>
      <w:hyperlink w:anchor="AUTO_2015_226" w:history="1">
        <w:r w:rsidRPr="00981775">
          <w:rPr>
            <w:rStyle w:val="TextoNormalCaracter"/>
          </w:rPr>
          <w:t>226/2015</w:t>
        </w:r>
      </w:hyperlink>
      <w:r>
        <w:t>.</w:t>
      </w:r>
    </w:p>
    <w:p w:rsidR="00981775" w:rsidRDefault="00981775" w:rsidP="00981775">
      <w:pPr>
        <w:pStyle w:val="SangriaFrancesaArticulo"/>
      </w:pPr>
      <w:r w:rsidRPr="00981775">
        <w:rPr>
          <w:rStyle w:val="TextoNormalNegritaCaracter"/>
        </w:rPr>
        <w:t>Artículo 15.1 b).</w:t>
      </w:r>
      <w:r w:rsidRPr="00981775">
        <w:rPr>
          <w:rStyle w:val="TextoNormalCaracter"/>
        </w:rPr>
        <w:t>-</w:t>
      </w:r>
      <w:r>
        <w:t xml:space="preserve"> Auto </w:t>
      </w:r>
      <w:hyperlink w:anchor="AUTO_2015_226" w:history="1">
        <w:r w:rsidRPr="00981775">
          <w:rPr>
            <w:rStyle w:val="TextoNormalCaracter"/>
          </w:rPr>
          <w:t>226/2015</w:t>
        </w:r>
      </w:hyperlink>
      <w:r>
        <w:t>.</w:t>
      </w:r>
    </w:p>
    <w:p w:rsidR="00981775" w:rsidRDefault="00981775" w:rsidP="00981775">
      <w:pPr>
        <w:pStyle w:val="SangriaFrancesaArticulo"/>
      </w:pPr>
      <w:r w:rsidRPr="00981775">
        <w:rPr>
          <w:rStyle w:val="TextoNormalNegritaCaracter"/>
        </w:rPr>
        <w:t>Artículo 15.1 c).</w:t>
      </w:r>
      <w:r w:rsidRPr="00981775">
        <w:rPr>
          <w:rStyle w:val="TextoNormalCaracter"/>
        </w:rPr>
        <w:t>-</w:t>
      </w:r>
      <w:r>
        <w:t xml:space="preserve"> Auto </w:t>
      </w:r>
      <w:hyperlink w:anchor="AUTO_2015_226" w:history="1">
        <w:r w:rsidRPr="00981775">
          <w:rPr>
            <w:rStyle w:val="TextoNormalCaracter"/>
          </w:rPr>
          <w:t>226/2015</w:t>
        </w:r>
      </w:hyperlink>
      <w:r>
        <w:t>.</w:t>
      </w:r>
    </w:p>
    <w:p w:rsidR="00981775" w:rsidRDefault="00981775" w:rsidP="00981775">
      <w:pPr>
        <w:pStyle w:val="SangriaFrancesaArticulo"/>
      </w:pPr>
      <w:r w:rsidRPr="00981775">
        <w:rPr>
          <w:rStyle w:val="TextoNormalNegritaCaracter"/>
        </w:rPr>
        <w:t>Artículo 15.1 n).</w:t>
      </w:r>
      <w:r w:rsidRPr="00981775">
        <w:rPr>
          <w:rStyle w:val="TextoNormalCaracter"/>
        </w:rPr>
        <w:t>-</w:t>
      </w:r>
      <w:r>
        <w:t xml:space="preserve"> Auto </w:t>
      </w:r>
      <w:hyperlink w:anchor="AUTO_2015_226" w:history="1">
        <w:r w:rsidRPr="00981775">
          <w:rPr>
            <w:rStyle w:val="TextoNormalCaracter"/>
          </w:rPr>
          <w:t>226/2015</w:t>
        </w:r>
      </w:hyperlink>
      <w:r>
        <w:t>.</w:t>
      </w:r>
    </w:p>
    <w:p w:rsidR="00981775" w:rsidRDefault="00981775" w:rsidP="00981775">
      <w:pPr>
        <w:pStyle w:val="SangriaFrancesaArticulo"/>
      </w:pPr>
      <w:r w:rsidRPr="00981775">
        <w:rPr>
          <w:rStyle w:val="TextoNormalNegritaCaracter"/>
        </w:rPr>
        <w:t>Artículo 19.2 a) 1.</w:t>
      </w:r>
      <w:r w:rsidRPr="00981775">
        <w:rPr>
          <w:rStyle w:val="TextoNormalCaracter"/>
        </w:rPr>
        <w:t>-</w:t>
      </w:r>
      <w:r>
        <w:t xml:space="preserve"> Auto </w:t>
      </w:r>
      <w:hyperlink w:anchor="AUTO_2015_226" w:history="1">
        <w:r w:rsidRPr="00981775">
          <w:rPr>
            <w:rStyle w:val="TextoNormalCaracter"/>
          </w:rPr>
          <w:t>226/2015</w:t>
        </w:r>
      </w:hyperlink>
      <w:r>
        <w:t>.</w:t>
      </w:r>
    </w:p>
    <w:p w:rsidR="00981775" w:rsidRDefault="00981775" w:rsidP="00981775">
      <w:pPr>
        <w:pStyle w:val="SangriaFrancesaArticulo"/>
      </w:pPr>
      <w:r w:rsidRPr="00981775">
        <w:rPr>
          <w:rStyle w:val="TextoNormalNegritaCaracter"/>
        </w:rPr>
        <w:t>Artículo 19.2 c) 2.</w:t>
      </w:r>
      <w:r w:rsidRPr="00981775">
        <w:rPr>
          <w:rStyle w:val="TextoNormalCaracter"/>
        </w:rPr>
        <w:t>-</w:t>
      </w:r>
      <w:r>
        <w:t xml:space="preserve"> Auto </w:t>
      </w:r>
      <w:hyperlink w:anchor="AUTO_2015_226" w:history="1">
        <w:r w:rsidRPr="00981775">
          <w:rPr>
            <w:rStyle w:val="TextoNormalCaracter"/>
          </w:rPr>
          <w:t>226/2015</w:t>
        </w:r>
      </w:hyperlink>
      <w:r>
        <w:t>.</w:t>
      </w:r>
    </w:p>
    <w:p w:rsidR="00981775" w:rsidRDefault="00981775" w:rsidP="00981775">
      <w:pPr>
        <w:pStyle w:val="SangriaFrancesaArticulo"/>
      </w:pPr>
      <w:r w:rsidRPr="00981775">
        <w:rPr>
          <w:rStyle w:val="TextoNormalNegritaCaracter"/>
        </w:rPr>
        <w:t>Artículo 19.2 c) 3.</w:t>
      </w:r>
      <w:r w:rsidRPr="00981775">
        <w:rPr>
          <w:rStyle w:val="TextoNormalCaracter"/>
        </w:rPr>
        <w:t>-</w:t>
      </w:r>
      <w:r>
        <w:t xml:space="preserve"> Auto </w:t>
      </w:r>
      <w:hyperlink w:anchor="AUTO_2015_226" w:history="1">
        <w:r w:rsidRPr="00981775">
          <w:rPr>
            <w:rStyle w:val="TextoNormalCaracter"/>
          </w:rPr>
          <w:t>226/2015</w:t>
        </w:r>
      </w:hyperlink>
      <w:r>
        <w:t>.</w:t>
      </w:r>
    </w:p>
    <w:p w:rsidR="00981775" w:rsidRDefault="00981775" w:rsidP="00981775">
      <w:pPr>
        <w:pStyle w:val="SangriaFrancesaArticulo"/>
      </w:pPr>
      <w:r w:rsidRPr="00981775">
        <w:rPr>
          <w:rStyle w:val="TextoNormalNegritaCaracter"/>
        </w:rPr>
        <w:t>Artículo 50.</w:t>
      </w:r>
      <w:r w:rsidRPr="00981775">
        <w:rPr>
          <w:rStyle w:val="TextoNormalCaracter"/>
        </w:rPr>
        <w:t>-</w:t>
      </w:r>
      <w:r>
        <w:t xml:space="preserve"> Auto </w:t>
      </w:r>
      <w:hyperlink w:anchor="AUTO_2015_226" w:history="1">
        <w:r w:rsidRPr="00981775">
          <w:rPr>
            <w:rStyle w:val="TextoNormalCaracter"/>
          </w:rPr>
          <w:t>226/2015</w:t>
        </w:r>
      </w:hyperlink>
      <w:r>
        <w:t>.</w:t>
      </w:r>
    </w:p>
    <w:p w:rsidR="00981775" w:rsidRDefault="00981775" w:rsidP="00981775">
      <w:pPr>
        <w:pStyle w:val="SangriaFrancesaArticulo"/>
      </w:pPr>
      <w:r w:rsidRPr="00981775">
        <w:rPr>
          <w:rStyle w:val="TextoNormalNegritaCaracter"/>
        </w:rPr>
        <w:t>Artículo 67.</w:t>
      </w:r>
      <w:r w:rsidRPr="00981775">
        <w:rPr>
          <w:rStyle w:val="TextoNormalCaracter"/>
        </w:rPr>
        <w:t>-</w:t>
      </w:r>
      <w:r>
        <w:t xml:space="preserve"> Auto </w:t>
      </w:r>
      <w:hyperlink w:anchor="AUTO_2015_226" w:history="1">
        <w:r w:rsidRPr="00981775">
          <w:rPr>
            <w:rStyle w:val="TextoNormalCaracter"/>
          </w:rPr>
          <w:t>226/2015</w:t>
        </w:r>
      </w:hyperlink>
      <w:r>
        <w:t>.</w:t>
      </w:r>
    </w:p>
    <w:p w:rsidR="00981775" w:rsidRDefault="00981775" w:rsidP="00981775">
      <w:pPr>
        <w:pStyle w:val="SangriaFrancesaArticulo"/>
      </w:pPr>
      <w:r w:rsidRPr="00981775">
        <w:rPr>
          <w:rStyle w:val="TextoNormalNegritaCaracter"/>
        </w:rPr>
        <w:t>Artículo 69 a).</w:t>
      </w:r>
      <w:r w:rsidRPr="00981775">
        <w:rPr>
          <w:rStyle w:val="TextoNormalCaracter"/>
        </w:rPr>
        <w:t>-</w:t>
      </w:r>
      <w:r>
        <w:t xml:space="preserve"> Auto </w:t>
      </w:r>
      <w:hyperlink w:anchor="AUTO_2015_226" w:history="1">
        <w:r w:rsidRPr="00981775">
          <w:rPr>
            <w:rStyle w:val="TextoNormalCaracter"/>
          </w:rPr>
          <w:t>226/2015</w:t>
        </w:r>
      </w:hyperlink>
      <w:r>
        <w:t>.</w:t>
      </w:r>
    </w:p>
    <w:p w:rsidR="00981775" w:rsidRDefault="00981775" w:rsidP="00981775">
      <w:pPr>
        <w:pStyle w:val="SangriaFrancesaArticulo"/>
      </w:pPr>
      <w:r w:rsidRPr="00981775">
        <w:rPr>
          <w:rStyle w:val="TextoNormalNegritaCaracter"/>
        </w:rPr>
        <w:t>Artículo 69 d).</w:t>
      </w:r>
      <w:r w:rsidRPr="00981775">
        <w:rPr>
          <w:rStyle w:val="TextoNormalCaracter"/>
        </w:rPr>
        <w:t>-</w:t>
      </w:r>
      <w:r>
        <w:t xml:space="preserve"> Auto </w:t>
      </w:r>
      <w:hyperlink w:anchor="AUTO_2015_226" w:history="1">
        <w:r w:rsidRPr="00981775">
          <w:rPr>
            <w:rStyle w:val="TextoNormalCaracter"/>
          </w:rPr>
          <w:t>226/2015</w:t>
        </w:r>
      </w:hyperlink>
      <w:r>
        <w:t>.</w:t>
      </w:r>
    </w:p>
    <w:p w:rsidR="00981775" w:rsidRDefault="00981775" w:rsidP="00981775">
      <w:pPr>
        <w:pStyle w:val="SangriaFrancesaArticulo"/>
      </w:pPr>
      <w:r w:rsidRPr="00981775">
        <w:rPr>
          <w:rStyle w:val="TextoNormalNegritaCaracter"/>
        </w:rPr>
        <w:t>Artículo 69 f) 1.</w:t>
      </w:r>
      <w:r w:rsidRPr="00981775">
        <w:rPr>
          <w:rStyle w:val="TextoNormalCaracter"/>
        </w:rPr>
        <w:t>-</w:t>
      </w:r>
      <w:r>
        <w:t xml:space="preserve"> Auto </w:t>
      </w:r>
      <w:hyperlink w:anchor="AUTO_2015_226" w:history="1">
        <w:r w:rsidRPr="00981775">
          <w:rPr>
            <w:rStyle w:val="TextoNormalCaracter"/>
          </w:rPr>
          <w:t>226/2015</w:t>
        </w:r>
      </w:hyperlink>
      <w:r>
        <w:t>.</w:t>
      </w:r>
    </w:p>
    <w:p w:rsidR="00981775" w:rsidRDefault="00981775" w:rsidP="00981775">
      <w:pPr>
        <w:pStyle w:val="SangriaFrancesaArticulo"/>
      </w:pPr>
      <w:r w:rsidRPr="00981775">
        <w:rPr>
          <w:rStyle w:val="TextoNormalNegritaCaracter"/>
        </w:rPr>
        <w:t>Artículo 70 a).</w:t>
      </w:r>
      <w:r w:rsidRPr="00981775">
        <w:rPr>
          <w:rStyle w:val="TextoNormalCaracter"/>
        </w:rPr>
        <w:t>-</w:t>
      </w:r>
      <w:r>
        <w:t xml:space="preserve"> Auto </w:t>
      </w:r>
      <w:hyperlink w:anchor="AUTO_2015_226" w:history="1">
        <w:r w:rsidRPr="00981775">
          <w:rPr>
            <w:rStyle w:val="TextoNormalCaracter"/>
          </w:rPr>
          <w:t>226/2015</w:t>
        </w:r>
      </w:hyperlink>
      <w:r>
        <w:t>.</w:t>
      </w:r>
    </w:p>
    <w:p w:rsidR="00981775" w:rsidRDefault="00981775" w:rsidP="00981775">
      <w:pPr>
        <w:pStyle w:val="SangriaFrancesaArticulo"/>
      </w:pPr>
      <w:r w:rsidRPr="00981775">
        <w:rPr>
          <w:rStyle w:val="TextoNormalNegritaCaracter"/>
        </w:rPr>
        <w:t>Artículo 70 c).</w:t>
      </w:r>
      <w:r w:rsidRPr="00981775">
        <w:rPr>
          <w:rStyle w:val="TextoNormalCaracter"/>
        </w:rPr>
        <w:t>-</w:t>
      </w:r>
      <w:r>
        <w:t xml:space="preserve"> Auto </w:t>
      </w:r>
      <w:hyperlink w:anchor="AUTO_2015_226" w:history="1">
        <w:r w:rsidRPr="00981775">
          <w:rPr>
            <w:rStyle w:val="TextoNormalCaracter"/>
          </w:rPr>
          <w:t>226/2015</w:t>
        </w:r>
      </w:hyperlink>
      <w:r>
        <w:t>.</w:t>
      </w:r>
    </w:p>
    <w:p w:rsidR="00981775" w:rsidRDefault="00981775" w:rsidP="00981775">
      <w:pPr>
        <w:pStyle w:val="SangriaFrancesaArticulo"/>
      </w:pPr>
      <w:r w:rsidRPr="00981775">
        <w:rPr>
          <w:rStyle w:val="TextoNormalNegritaCaracter"/>
        </w:rPr>
        <w:t>Artículo 71.3.</w:t>
      </w:r>
      <w:r w:rsidRPr="00981775">
        <w:rPr>
          <w:rStyle w:val="TextoNormalCaracter"/>
        </w:rPr>
        <w:t>-</w:t>
      </w:r>
      <w:r>
        <w:t xml:space="preserve"> Auto </w:t>
      </w:r>
      <w:hyperlink w:anchor="AUTO_2015_226" w:history="1">
        <w:r w:rsidRPr="00981775">
          <w:rPr>
            <w:rStyle w:val="TextoNormalCaracter"/>
          </w:rPr>
          <w:t>226/2015</w:t>
        </w:r>
      </w:hyperlink>
      <w:r>
        <w:t>.</w:t>
      </w:r>
    </w:p>
    <w:p w:rsidR="00981775" w:rsidRDefault="00981775" w:rsidP="00981775">
      <w:pPr>
        <w:pStyle w:val="SangriaFrancesaArticulo"/>
      </w:pPr>
      <w:r w:rsidRPr="00981775">
        <w:rPr>
          <w:rStyle w:val="TextoNormalNegritaCaracter"/>
        </w:rPr>
        <w:t>Artículo 72.</w:t>
      </w:r>
      <w:r w:rsidRPr="00981775">
        <w:rPr>
          <w:rStyle w:val="TextoNormalCaracter"/>
        </w:rPr>
        <w:t>-</w:t>
      </w:r>
      <w:r>
        <w:t xml:space="preserve"> Auto </w:t>
      </w:r>
      <w:hyperlink w:anchor="AUTO_2015_226" w:history="1">
        <w:r w:rsidRPr="00981775">
          <w:rPr>
            <w:rStyle w:val="TextoNormalCaracter"/>
          </w:rPr>
          <w:t>226/2015</w:t>
        </w:r>
      </w:hyperlink>
      <w:r>
        <w:t>.</w:t>
      </w:r>
    </w:p>
    <w:p w:rsidR="00981775" w:rsidRDefault="00981775" w:rsidP="00981775">
      <w:pPr>
        <w:pStyle w:val="SangriaFrancesaArticulo"/>
      </w:pPr>
      <w:r w:rsidRPr="00981775">
        <w:rPr>
          <w:rStyle w:val="TextoNormalNegritaCaracter"/>
        </w:rPr>
        <w:t>Artículo 76.3.</w:t>
      </w:r>
      <w:r w:rsidRPr="00981775">
        <w:rPr>
          <w:rStyle w:val="TextoNormalCaracter"/>
        </w:rPr>
        <w:t>-</w:t>
      </w:r>
      <w:r>
        <w:t xml:space="preserve"> Auto </w:t>
      </w:r>
      <w:hyperlink w:anchor="AUTO_2015_226" w:history="1">
        <w:r w:rsidRPr="00981775">
          <w:rPr>
            <w:rStyle w:val="TextoNormalCaracter"/>
          </w:rPr>
          <w:t>226/2015</w:t>
        </w:r>
      </w:hyperlink>
      <w:r>
        <w:t>.</w:t>
      </w:r>
    </w:p>
    <w:p w:rsidR="00981775" w:rsidRDefault="00981775" w:rsidP="00981775">
      <w:pPr>
        <w:pStyle w:val="SangriaFrancesaArticulo"/>
      </w:pPr>
      <w:r w:rsidRPr="00981775">
        <w:rPr>
          <w:rStyle w:val="TextoNormalNegritaCaracter"/>
        </w:rPr>
        <w:t>Disposición transitoria primera.</w:t>
      </w:r>
      <w:r w:rsidRPr="00981775">
        <w:rPr>
          <w:rStyle w:val="TextoNormalCaracter"/>
        </w:rPr>
        <w:t>-</w:t>
      </w:r>
      <w:r>
        <w:t xml:space="preserve"> Auto </w:t>
      </w:r>
      <w:hyperlink w:anchor="AUTO_2015_226" w:history="1">
        <w:r w:rsidRPr="00981775">
          <w:rPr>
            <w:rStyle w:val="TextoNormalCaracter"/>
          </w:rPr>
          <w:t>226/2015</w:t>
        </w:r>
      </w:hyperlink>
      <w:r>
        <w:t>.</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B.3) Asturias</w:t>
      </w:r>
    </w:p>
    <w:p w:rsidR="00981775" w:rsidRDefault="00981775" w:rsidP="00981775">
      <w:pPr>
        <w:pStyle w:val="TextoNormalNegritaCentrado"/>
      </w:pPr>
    </w:p>
    <w:p w:rsidR="00981775" w:rsidRDefault="00981775" w:rsidP="00981775">
      <w:pPr>
        <w:pStyle w:val="TextoNormalNegritaCursivandice"/>
      </w:pPr>
      <w:r>
        <w:t>Decreto Legislativo del Consejo de Gobierno del Principado de Asturias 1/2014, de 23 de julio. Aprueba el texto refundido de las disposiciones legales del Principado de Asturias en materia de tributos propios</w:t>
      </w:r>
    </w:p>
    <w:p w:rsidR="00981775" w:rsidRDefault="00981775" w:rsidP="00981775">
      <w:pPr>
        <w:pStyle w:val="SangriaFrancesaArticulo"/>
      </w:pPr>
      <w:r w:rsidRPr="00981775">
        <w:rPr>
          <w:rStyle w:val="TextoNormalNegritaCaracter"/>
        </w:rPr>
        <w:t>Artículos 52 a 68.</w:t>
      </w:r>
      <w:r w:rsidRPr="00981775">
        <w:rPr>
          <w:rStyle w:val="TextoNormalCaracter"/>
        </w:rPr>
        <w:t>-</w:t>
      </w:r>
      <w:r>
        <w:t xml:space="preserve"> Sentencia </w:t>
      </w:r>
      <w:hyperlink w:anchor="SENTENCIA_2015_202" w:history="1">
        <w:r w:rsidRPr="00981775">
          <w:rPr>
            <w:rStyle w:val="TextoNormalCaracter"/>
          </w:rPr>
          <w:t>202/2015</w:t>
        </w:r>
      </w:hyperlink>
      <w:r>
        <w:t xml:space="preserve"> (anula).</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B.4) Baleares</w:t>
      </w:r>
    </w:p>
    <w:p w:rsidR="00981775" w:rsidRDefault="00981775" w:rsidP="00981775">
      <w:pPr>
        <w:pStyle w:val="TextoNormalNegritaCentrado"/>
      </w:pPr>
    </w:p>
    <w:p w:rsidR="00981775" w:rsidRDefault="00981775" w:rsidP="00981775">
      <w:pPr>
        <w:pStyle w:val="TextoNormalNegritaCursivandice"/>
      </w:pPr>
      <w:r>
        <w:t>Ley del Parlamento de las Illes Balears 13/2005, de 27 de diciembre, de medidastributarias y administrativas</w:t>
      </w:r>
    </w:p>
    <w:p w:rsidR="00981775" w:rsidRDefault="00981775" w:rsidP="00981775">
      <w:pPr>
        <w:pStyle w:val="SangriaFrancesaArticulo"/>
      </w:pPr>
      <w:r w:rsidRPr="00981775">
        <w:rPr>
          <w:rStyle w:val="TextoNormalNegritaCaracter"/>
        </w:rPr>
        <w:t>Artículo 47.</w:t>
      </w:r>
      <w:r w:rsidRPr="00981775">
        <w:rPr>
          <w:rStyle w:val="TextoNormalCaracter"/>
        </w:rPr>
        <w:t>-</w:t>
      </w:r>
      <w:r>
        <w:t xml:space="preserve"> Sentencia </w:t>
      </w:r>
      <w:hyperlink w:anchor="SENTENCIA_2015_235" w:history="1">
        <w:r w:rsidRPr="00981775">
          <w:rPr>
            <w:rStyle w:val="TextoNormalCaracter"/>
          </w:rPr>
          <w:t>235/2015</w:t>
        </w:r>
      </w:hyperlink>
      <w:r>
        <w:t xml:space="preserve"> (anula).</w:t>
      </w:r>
    </w:p>
    <w:p w:rsidR="00981775" w:rsidRDefault="00981775" w:rsidP="00981775">
      <w:pPr>
        <w:pStyle w:val="SangriaFrancesaArticulo"/>
      </w:pPr>
    </w:p>
    <w:p w:rsidR="00981775" w:rsidRDefault="00981775" w:rsidP="00981775">
      <w:pPr>
        <w:pStyle w:val="TextoNormalNegritaCursivandice"/>
      </w:pPr>
      <w:r>
        <w:t>Ley del Parlamento de las Illes Balears 11/2014, de 15 de octubre. Comercio</w:t>
      </w:r>
    </w:p>
    <w:p w:rsidR="00981775" w:rsidRDefault="00981775" w:rsidP="00981775">
      <w:pPr>
        <w:pStyle w:val="SangriaFrancesaArticulo"/>
      </w:pPr>
      <w:r w:rsidRPr="00981775">
        <w:rPr>
          <w:rStyle w:val="TextoNormalNegritaCaracter"/>
        </w:rPr>
        <w:t>Artículo 13.</w:t>
      </w:r>
      <w:r w:rsidRPr="00981775">
        <w:rPr>
          <w:rStyle w:val="TextoNormalCaracter"/>
        </w:rPr>
        <w:t>-</w:t>
      </w:r>
      <w:r>
        <w:t xml:space="preserve"> Auto </w:t>
      </w:r>
      <w:hyperlink w:anchor="AUTO_2015_169" w:history="1">
        <w:r w:rsidRPr="00981775">
          <w:rPr>
            <w:rStyle w:val="TextoNormalCaracter"/>
          </w:rPr>
          <w:t>169/2015</w:t>
        </w:r>
      </w:hyperlink>
      <w:r>
        <w:t>.</w:t>
      </w:r>
    </w:p>
    <w:p w:rsidR="00981775" w:rsidRDefault="00981775" w:rsidP="00981775">
      <w:pPr>
        <w:pStyle w:val="SangriaFrancesaArticulo"/>
      </w:pPr>
      <w:r w:rsidRPr="00981775">
        <w:rPr>
          <w:rStyle w:val="TextoNormalNegritaCaracter"/>
        </w:rPr>
        <w:t>Artículo 14.1.</w:t>
      </w:r>
      <w:r w:rsidRPr="00981775">
        <w:rPr>
          <w:rStyle w:val="TextoNormalCaracter"/>
        </w:rPr>
        <w:t>-</w:t>
      </w:r>
      <w:r>
        <w:t xml:space="preserve"> Auto </w:t>
      </w:r>
      <w:hyperlink w:anchor="AUTO_2015_169" w:history="1">
        <w:r w:rsidRPr="00981775">
          <w:rPr>
            <w:rStyle w:val="TextoNormalCaracter"/>
          </w:rPr>
          <w:t>169/2015</w:t>
        </w:r>
      </w:hyperlink>
      <w:r>
        <w:t>.</w:t>
      </w:r>
    </w:p>
    <w:p w:rsidR="00981775" w:rsidRDefault="00981775" w:rsidP="00981775">
      <w:pPr>
        <w:pStyle w:val="SangriaFrancesaArticulo"/>
      </w:pPr>
      <w:r w:rsidRPr="00981775">
        <w:rPr>
          <w:rStyle w:val="TextoNormalNegritaCaracter"/>
        </w:rPr>
        <w:t>Artículo 14.6.</w:t>
      </w:r>
      <w:r w:rsidRPr="00981775">
        <w:rPr>
          <w:rStyle w:val="TextoNormalCaracter"/>
        </w:rPr>
        <w:t>-</w:t>
      </w:r>
      <w:r>
        <w:t xml:space="preserve"> Auto </w:t>
      </w:r>
      <w:hyperlink w:anchor="AUTO_2015_169" w:history="1">
        <w:r w:rsidRPr="00981775">
          <w:rPr>
            <w:rStyle w:val="TextoNormalCaracter"/>
          </w:rPr>
          <w:t>169/2015</w:t>
        </w:r>
      </w:hyperlink>
      <w:r>
        <w:t>.</w:t>
      </w:r>
    </w:p>
    <w:p w:rsidR="00981775" w:rsidRDefault="00981775" w:rsidP="00981775">
      <w:pPr>
        <w:pStyle w:val="SangriaFrancesaArticulo"/>
      </w:pPr>
      <w:r w:rsidRPr="00981775">
        <w:rPr>
          <w:rStyle w:val="TextoNormalNegritaCaracter"/>
        </w:rPr>
        <w:t>Artículo 22.8.</w:t>
      </w:r>
      <w:r w:rsidRPr="00981775">
        <w:rPr>
          <w:rStyle w:val="TextoNormalCaracter"/>
        </w:rPr>
        <w:t>-</w:t>
      </w:r>
      <w:r>
        <w:t xml:space="preserve"> Auto </w:t>
      </w:r>
      <w:hyperlink w:anchor="AUTO_2015_169" w:history="1">
        <w:r w:rsidRPr="00981775">
          <w:rPr>
            <w:rStyle w:val="TextoNormalCaracter"/>
          </w:rPr>
          <w:t>169/2015</w:t>
        </w:r>
      </w:hyperlink>
      <w:r>
        <w:t>.</w:t>
      </w:r>
    </w:p>
    <w:p w:rsidR="00981775" w:rsidRDefault="00981775" w:rsidP="00981775">
      <w:pPr>
        <w:pStyle w:val="SangriaFrancesaArticulo"/>
      </w:pPr>
      <w:r w:rsidRPr="00981775">
        <w:rPr>
          <w:rStyle w:val="TextoNormalNegritaCaracter"/>
        </w:rPr>
        <w:t>Artículo 23.3.</w:t>
      </w:r>
      <w:r w:rsidRPr="00981775">
        <w:rPr>
          <w:rStyle w:val="TextoNormalCaracter"/>
        </w:rPr>
        <w:t>-</w:t>
      </w:r>
      <w:r>
        <w:t xml:space="preserve"> Auto </w:t>
      </w:r>
      <w:hyperlink w:anchor="AUTO_2015_169" w:history="1">
        <w:r w:rsidRPr="00981775">
          <w:rPr>
            <w:rStyle w:val="TextoNormalCaracter"/>
          </w:rPr>
          <w:t>169/2015</w:t>
        </w:r>
      </w:hyperlink>
      <w:r>
        <w:t>.</w:t>
      </w:r>
    </w:p>
    <w:p w:rsidR="00981775" w:rsidRDefault="00981775" w:rsidP="00981775">
      <w:pPr>
        <w:pStyle w:val="SangriaFrancesaArticulo"/>
      </w:pPr>
      <w:r w:rsidRPr="00981775">
        <w:rPr>
          <w:rStyle w:val="TextoNormalNegritaCaracter"/>
        </w:rPr>
        <w:t>Disposición adicional tercera.</w:t>
      </w:r>
      <w:r w:rsidRPr="00981775">
        <w:rPr>
          <w:rStyle w:val="TextoNormalCaracter"/>
        </w:rPr>
        <w:t>-</w:t>
      </w:r>
      <w:r>
        <w:t xml:space="preserve"> Auto </w:t>
      </w:r>
      <w:hyperlink w:anchor="AUTO_2015_169" w:history="1">
        <w:r w:rsidRPr="00981775">
          <w:rPr>
            <w:rStyle w:val="TextoNormalCaracter"/>
          </w:rPr>
          <w:t>169/2015</w:t>
        </w:r>
      </w:hyperlink>
      <w:r>
        <w:t>.</w:t>
      </w:r>
    </w:p>
    <w:p w:rsidR="00981775" w:rsidRDefault="00981775" w:rsidP="00981775">
      <w:pPr>
        <w:pStyle w:val="SangriaFrancesaArticulo"/>
      </w:pPr>
    </w:p>
    <w:p w:rsidR="00981775" w:rsidRDefault="00981775" w:rsidP="00981775">
      <w:pPr>
        <w:pStyle w:val="TextoNormalNegritaCursivandice"/>
      </w:pPr>
      <w:r>
        <w:t>Ley del Parlamento de las Illes Balears 12/2014, de 16 de diciembre. Agraria</w:t>
      </w:r>
    </w:p>
    <w:p w:rsidR="00981775" w:rsidRDefault="00981775" w:rsidP="00981775">
      <w:pPr>
        <w:pStyle w:val="SangriaFrancesaArticulo"/>
      </w:pPr>
      <w:r w:rsidRPr="00981775">
        <w:rPr>
          <w:rStyle w:val="TextoNormalNegritaCaracter"/>
        </w:rPr>
        <w:t>Artículo 5.1 v) 3.</w:t>
      </w:r>
      <w:r w:rsidRPr="00981775">
        <w:rPr>
          <w:rStyle w:val="TextoNormalCaracter"/>
        </w:rPr>
        <w:t>-</w:t>
      </w:r>
      <w:r>
        <w:t xml:space="preserve"> Autos </w:t>
      </w:r>
      <w:hyperlink w:anchor="AUTO_2015_149" w:history="1">
        <w:r w:rsidRPr="00981775">
          <w:rPr>
            <w:rStyle w:val="TextoNormalCaracter"/>
          </w:rPr>
          <w:t>149/2015</w:t>
        </w:r>
      </w:hyperlink>
      <w:r>
        <w:t xml:space="preserve">; </w:t>
      </w:r>
      <w:hyperlink w:anchor="AUTO_2015_168" w:history="1">
        <w:r w:rsidRPr="00981775">
          <w:rPr>
            <w:rStyle w:val="TextoNormalCaracter"/>
          </w:rPr>
          <w:t>168/2015</w:t>
        </w:r>
      </w:hyperlink>
      <w:r>
        <w:t>.</w:t>
      </w:r>
    </w:p>
    <w:p w:rsidR="00981775" w:rsidRDefault="00981775" w:rsidP="00981775">
      <w:pPr>
        <w:pStyle w:val="SangriaFrancesaArticulo"/>
      </w:pPr>
      <w:r w:rsidRPr="00981775">
        <w:rPr>
          <w:rStyle w:val="TextoNormalNegritaCaracter"/>
        </w:rPr>
        <w:t>Artículo 88.</w:t>
      </w:r>
      <w:r w:rsidRPr="00981775">
        <w:rPr>
          <w:rStyle w:val="TextoNormalCaracter"/>
        </w:rPr>
        <w:t>-</w:t>
      </w:r>
      <w:r>
        <w:t xml:space="preserve"> Autos </w:t>
      </w:r>
      <w:hyperlink w:anchor="AUTO_2015_149" w:history="1">
        <w:r w:rsidRPr="00981775">
          <w:rPr>
            <w:rStyle w:val="TextoNormalCaracter"/>
          </w:rPr>
          <w:t>149/2015</w:t>
        </w:r>
      </w:hyperlink>
      <w:r>
        <w:t xml:space="preserve">; </w:t>
      </w:r>
      <w:hyperlink w:anchor="AUTO_2015_168" w:history="1">
        <w:r w:rsidRPr="00981775">
          <w:rPr>
            <w:rStyle w:val="TextoNormalCaracter"/>
          </w:rPr>
          <w:t>168/2015</w:t>
        </w:r>
      </w:hyperlink>
      <w:r>
        <w:t>.</w:t>
      </w:r>
    </w:p>
    <w:p w:rsidR="00981775" w:rsidRDefault="00981775" w:rsidP="00981775">
      <w:pPr>
        <w:pStyle w:val="SangriaFrancesaArticulo"/>
      </w:pPr>
      <w:r w:rsidRPr="00981775">
        <w:rPr>
          <w:rStyle w:val="TextoNormalNegritaCaracter"/>
        </w:rPr>
        <w:t>Artículo 102.2 d).</w:t>
      </w:r>
      <w:r w:rsidRPr="00981775">
        <w:rPr>
          <w:rStyle w:val="TextoNormalCaracter"/>
        </w:rPr>
        <w:t>-</w:t>
      </w:r>
      <w:r>
        <w:t xml:space="preserve"> Autos </w:t>
      </w:r>
      <w:hyperlink w:anchor="AUTO_2015_149" w:history="1">
        <w:r w:rsidRPr="00981775">
          <w:rPr>
            <w:rStyle w:val="TextoNormalCaracter"/>
          </w:rPr>
          <w:t>149/2015</w:t>
        </w:r>
      </w:hyperlink>
      <w:r>
        <w:t xml:space="preserve">; </w:t>
      </w:r>
      <w:hyperlink w:anchor="AUTO_2015_168" w:history="1">
        <w:r w:rsidRPr="00981775">
          <w:rPr>
            <w:rStyle w:val="TextoNormalCaracter"/>
          </w:rPr>
          <w:t>168/2015</w:t>
        </w:r>
      </w:hyperlink>
      <w:r>
        <w:t>.</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B.5) Canarias</w:t>
      </w:r>
    </w:p>
    <w:p w:rsidR="00981775" w:rsidRDefault="00981775" w:rsidP="00981775">
      <w:pPr>
        <w:pStyle w:val="TextoNormalNegritaCentrado"/>
      </w:pPr>
    </w:p>
    <w:p w:rsidR="00981775" w:rsidRDefault="00981775" w:rsidP="00981775">
      <w:pPr>
        <w:pStyle w:val="TextoNormalNegritaCursivandice"/>
      </w:pPr>
      <w:r>
        <w:t>Ley del Parlamento de Canarias 6/2009, de 6 de mayo. Medidas urgentes en materia de ordenación territorial para la dinamización sectorial y la ordenación del turismo</w:t>
      </w:r>
    </w:p>
    <w:p w:rsidR="00981775" w:rsidRDefault="00981775" w:rsidP="00981775">
      <w:pPr>
        <w:pStyle w:val="SangriaFrancesaArticulo"/>
      </w:pPr>
      <w:r w:rsidRPr="00981775">
        <w:rPr>
          <w:rStyle w:val="TextoNormalNegritaCaracter"/>
        </w:rPr>
        <w:t>Artículo 15.1.</w:t>
      </w:r>
      <w:r w:rsidRPr="00981775">
        <w:rPr>
          <w:rStyle w:val="TextoNormalCaracter"/>
        </w:rPr>
        <w:t>-</w:t>
      </w:r>
      <w:r>
        <w:t xml:space="preserve"> Autos </w:t>
      </w:r>
      <w:hyperlink w:anchor="AUTO_2015_184" w:history="1">
        <w:r w:rsidRPr="00981775">
          <w:rPr>
            <w:rStyle w:val="TextoNormalCaracter"/>
          </w:rPr>
          <w:t>184/2015</w:t>
        </w:r>
      </w:hyperlink>
      <w:r>
        <w:t xml:space="preserve">; </w:t>
      </w:r>
      <w:hyperlink w:anchor="AUTO_2015_193" w:history="1">
        <w:r w:rsidRPr="00981775">
          <w:rPr>
            <w:rStyle w:val="TextoNormalCaracter"/>
          </w:rPr>
          <w:t>193/2015</w:t>
        </w:r>
      </w:hyperlink>
      <w:r>
        <w:t xml:space="preserve">; </w:t>
      </w:r>
      <w:hyperlink w:anchor="AUTO_2015_194" w:history="1">
        <w:r w:rsidRPr="00981775">
          <w:rPr>
            <w:rStyle w:val="TextoNormalCaracter"/>
          </w:rPr>
          <w:t>194/2015</w:t>
        </w:r>
      </w:hyperlink>
      <w:r>
        <w:t>.</w:t>
      </w:r>
    </w:p>
    <w:p w:rsidR="00981775" w:rsidRDefault="00981775" w:rsidP="00981775">
      <w:pPr>
        <w:pStyle w:val="SangriaFrancesaArticulo"/>
      </w:pPr>
      <w:r w:rsidRPr="00981775">
        <w:rPr>
          <w:rStyle w:val="TextoNormalNegritaCaracter"/>
        </w:rPr>
        <w:t>Artículo 15.3.</w:t>
      </w:r>
      <w:r w:rsidRPr="00981775">
        <w:rPr>
          <w:rStyle w:val="TextoNormalCaracter"/>
        </w:rPr>
        <w:t>-</w:t>
      </w:r>
      <w:r>
        <w:t xml:space="preserve"> Autos </w:t>
      </w:r>
      <w:hyperlink w:anchor="AUTO_2015_184" w:history="1">
        <w:r w:rsidRPr="00981775">
          <w:rPr>
            <w:rStyle w:val="TextoNormalCaracter"/>
          </w:rPr>
          <w:t>184/2015</w:t>
        </w:r>
      </w:hyperlink>
      <w:r>
        <w:t xml:space="preserve">; </w:t>
      </w:r>
      <w:hyperlink w:anchor="AUTO_2015_193" w:history="1">
        <w:r w:rsidRPr="00981775">
          <w:rPr>
            <w:rStyle w:val="TextoNormalCaracter"/>
          </w:rPr>
          <w:t>193/2015</w:t>
        </w:r>
      </w:hyperlink>
      <w:r>
        <w:t xml:space="preserve">; </w:t>
      </w:r>
      <w:hyperlink w:anchor="AUTO_2015_194" w:history="1">
        <w:r w:rsidRPr="00981775">
          <w:rPr>
            <w:rStyle w:val="TextoNormalCaracter"/>
          </w:rPr>
          <w:t>194/2015</w:t>
        </w:r>
      </w:hyperlink>
      <w:r>
        <w:t>.</w:t>
      </w:r>
    </w:p>
    <w:p w:rsidR="00981775" w:rsidRDefault="00981775" w:rsidP="00981775">
      <w:pPr>
        <w:pStyle w:val="SangriaFrancesaArticulo"/>
      </w:pPr>
      <w:r w:rsidRPr="00981775">
        <w:rPr>
          <w:rStyle w:val="TextoNormalNegritaCaracter"/>
        </w:rPr>
        <w:t>Artículo 15.4.</w:t>
      </w:r>
      <w:r w:rsidRPr="00981775">
        <w:rPr>
          <w:rStyle w:val="TextoNormalCaracter"/>
        </w:rPr>
        <w:t>-</w:t>
      </w:r>
      <w:r>
        <w:t xml:space="preserve"> Autos </w:t>
      </w:r>
      <w:hyperlink w:anchor="AUTO_2015_184" w:history="1">
        <w:r w:rsidRPr="00981775">
          <w:rPr>
            <w:rStyle w:val="TextoNormalCaracter"/>
          </w:rPr>
          <w:t>184/2015</w:t>
        </w:r>
      </w:hyperlink>
      <w:r>
        <w:t xml:space="preserve">; </w:t>
      </w:r>
      <w:hyperlink w:anchor="AUTO_2015_193" w:history="1">
        <w:r w:rsidRPr="00981775">
          <w:rPr>
            <w:rStyle w:val="TextoNormalCaracter"/>
          </w:rPr>
          <w:t>193/2015</w:t>
        </w:r>
      </w:hyperlink>
      <w:r>
        <w:t xml:space="preserve">; </w:t>
      </w:r>
      <w:hyperlink w:anchor="AUTO_2015_194" w:history="1">
        <w:r w:rsidRPr="00981775">
          <w:rPr>
            <w:rStyle w:val="TextoNormalCaracter"/>
          </w:rPr>
          <w:t>194/2015</w:t>
        </w:r>
      </w:hyperlink>
      <w:r>
        <w:t>.</w:t>
      </w:r>
    </w:p>
    <w:p w:rsidR="00981775" w:rsidRDefault="00981775" w:rsidP="00981775">
      <w:pPr>
        <w:pStyle w:val="SangriaFrancesaArticulo"/>
      </w:pPr>
    </w:p>
    <w:p w:rsidR="00981775" w:rsidRDefault="00981775" w:rsidP="00981775">
      <w:pPr>
        <w:pStyle w:val="TextoNormalNegritaCursivandice"/>
      </w:pPr>
      <w:r>
        <w:t>Ley del Parlamento de Canarias 11/2010, de 30 de diciembre. Presupuestos generales de la Comunidad Autónoma de Canarias para 2011</w:t>
      </w:r>
    </w:p>
    <w:p w:rsidR="00981775" w:rsidRDefault="00981775" w:rsidP="00981775">
      <w:pPr>
        <w:pStyle w:val="SangriaFrancesaArticulo"/>
      </w:pPr>
      <w:r w:rsidRPr="00981775">
        <w:rPr>
          <w:rStyle w:val="TextoNormalNegritaCaracter"/>
        </w:rPr>
        <w:t>Disposición adicional vigesimooctava, apartado 2 a).</w:t>
      </w:r>
      <w:r w:rsidRPr="00981775">
        <w:rPr>
          <w:rStyle w:val="TextoNormalCaracter"/>
        </w:rPr>
        <w:t>-</w:t>
      </w:r>
      <w:r>
        <w:t xml:space="preserve"> Autos </w:t>
      </w:r>
      <w:hyperlink w:anchor="AUTO_2015_228" w:history="1">
        <w:r w:rsidRPr="00981775">
          <w:rPr>
            <w:rStyle w:val="TextoNormalCaracter"/>
          </w:rPr>
          <w:t>228/2015</w:t>
        </w:r>
      </w:hyperlink>
      <w:r>
        <w:t xml:space="preserve">; </w:t>
      </w:r>
      <w:hyperlink w:anchor="AUTO_2015_229" w:history="1">
        <w:r w:rsidRPr="00981775">
          <w:rPr>
            <w:rStyle w:val="TextoNormalCaracter"/>
          </w:rPr>
          <w:t>229/2015</w:t>
        </w:r>
      </w:hyperlink>
      <w:r>
        <w:t>.</w:t>
      </w:r>
    </w:p>
    <w:p w:rsidR="00981775" w:rsidRDefault="00981775" w:rsidP="00981775">
      <w:pPr>
        <w:pStyle w:val="SangriaFrancesaArticulo"/>
      </w:pPr>
    </w:p>
    <w:p w:rsidR="00981775" w:rsidRDefault="00981775" w:rsidP="00981775">
      <w:pPr>
        <w:pStyle w:val="TextoNormalNegritaCursivandice"/>
      </w:pPr>
      <w:r>
        <w:t>Ley del Parlamento de Canarias 2/2013, de 29 de mayo. Renovación y modernización turística de Canarias</w:t>
      </w:r>
    </w:p>
    <w:p w:rsidR="00981775" w:rsidRDefault="00981775" w:rsidP="00981775">
      <w:pPr>
        <w:pStyle w:val="SangriaFrancesaArticulo"/>
      </w:pPr>
      <w:r w:rsidRPr="00981775">
        <w:rPr>
          <w:rStyle w:val="TextoNormalNegritaCaracter"/>
        </w:rPr>
        <w:t>Artículo 4.2 a).</w:t>
      </w:r>
      <w:r w:rsidRPr="00981775">
        <w:rPr>
          <w:rStyle w:val="TextoNormalCaracter"/>
        </w:rPr>
        <w:t>-</w:t>
      </w:r>
      <w:r>
        <w:t xml:space="preserve"> Sentencia </w:t>
      </w:r>
      <w:hyperlink w:anchor="SENTENCIA_2015_209" w:history="1">
        <w:r w:rsidRPr="00981775">
          <w:rPr>
            <w:rStyle w:val="TextoNormalCaracter"/>
          </w:rPr>
          <w:t>209/2015</w:t>
        </w:r>
      </w:hyperlink>
      <w:r>
        <w:t xml:space="preserve"> (anula).</w:t>
      </w:r>
    </w:p>
    <w:p w:rsidR="00981775" w:rsidRDefault="00981775" w:rsidP="00981775">
      <w:pPr>
        <w:pStyle w:val="SangriaFrancesaArticulo"/>
      </w:pPr>
      <w:r w:rsidRPr="00981775">
        <w:rPr>
          <w:rStyle w:val="TextoNormalNegritaCaracter"/>
        </w:rPr>
        <w:t>Artículo 4.2 c).</w:t>
      </w:r>
      <w:r w:rsidRPr="00981775">
        <w:rPr>
          <w:rStyle w:val="TextoNormalCaracter"/>
        </w:rPr>
        <w:t>-</w:t>
      </w:r>
      <w:r>
        <w:t xml:space="preserve"> Sentencia </w:t>
      </w:r>
      <w:hyperlink w:anchor="SENTENCIA_2015_209" w:history="1">
        <w:r w:rsidRPr="00981775">
          <w:rPr>
            <w:rStyle w:val="TextoNormalCaracter"/>
          </w:rPr>
          <w:t>209/2015</w:t>
        </w:r>
      </w:hyperlink>
      <w:r>
        <w:t xml:space="preserve"> (anula).</w:t>
      </w:r>
    </w:p>
    <w:p w:rsidR="00981775" w:rsidRDefault="00981775" w:rsidP="00981775">
      <w:pPr>
        <w:pStyle w:val="SangriaFrancesaArticulo"/>
      </w:pPr>
    </w:p>
    <w:p w:rsidR="00981775" w:rsidRDefault="00981775" w:rsidP="00981775">
      <w:pPr>
        <w:pStyle w:val="TextoNormalNegritaCursivandice"/>
      </w:pPr>
      <w:r>
        <w:t>Ley del Parlamento de Canarias 2/2014, de 20 de junio. Modificación de la Ley 2/2003 de 30 de enero, de vivienda de Canarias y de medidas para garantizar el derecho a la vivienda</w:t>
      </w:r>
    </w:p>
    <w:p w:rsidR="00981775" w:rsidRDefault="00981775" w:rsidP="00981775">
      <w:pPr>
        <w:pStyle w:val="SangriaFrancesaArticulo"/>
      </w:pPr>
      <w:r w:rsidRPr="00981775">
        <w:rPr>
          <w:rStyle w:val="TextoNormalNegritaCaracter"/>
        </w:rPr>
        <w:t>Artículo 1.</w:t>
      </w:r>
      <w:r w:rsidRPr="00981775">
        <w:rPr>
          <w:rStyle w:val="TextoNormalCaracter"/>
        </w:rPr>
        <w:t>-</w:t>
      </w:r>
      <w:r>
        <w:t xml:space="preserve"> Auto </w:t>
      </w:r>
      <w:hyperlink w:anchor="AUTO_2015_135" w:history="1">
        <w:r w:rsidRPr="00981775">
          <w:rPr>
            <w:rStyle w:val="TextoNormalCaracter"/>
          </w:rPr>
          <w:t>135/2015</w:t>
        </w:r>
      </w:hyperlink>
      <w:r>
        <w:t>.</w:t>
      </w:r>
    </w:p>
    <w:p w:rsidR="00981775" w:rsidRDefault="00981775" w:rsidP="00981775">
      <w:pPr>
        <w:pStyle w:val="SangriaFrancesaArticulo"/>
      </w:pPr>
      <w:r w:rsidRPr="00981775">
        <w:rPr>
          <w:rStyle w:val="TextoNormalNegritaCaracter"/>
        </w:rPr>
        <w:t>Disposición adicional segunda.</w:t>
      </w:r>
      <w:r w:rsidRPr="00981775">
        <w:rPr>
          <w:rStyle w:val="TextoNormalCaracter"/>
        </w:rPr>
        <w:t>-</w:t>
      </w:r>
      <w:r>
        <w:t xml:space="preserve"> Auto </w:t>
      </w:r>
      <w:hyperlink w:anchor="AUTO_2015_135" w:history="1">
        <w:r w:rsidRPr="00981775">
          <w:rPr>
            <w:rStyle w:val="TextoNormalCaracter"/>
          </w:rPr>
          <w:t>135/2015</w:t>
        </w:r>
      </w:hyperlink>
      <w:r>
        <w:t>.</w:t>
      </w:r>
    </w:p>
    <w:p w:rsidR="00981775" w:rsidRDefault="00981775" w:rsidP="00981775">
      <w:pPr>
        <w:pStyle w:val="SangriaFrancesaArticulo"/>
      </w:pPr>
      <w:r w:rsidRPr="00981775">
        <w:rPr>
          <w:rStyle w:val="TextoNormalNegritaCaracter"/>
        </w:rPr>
        <w:t>Disposición adicional cuarta.</w:t>
      </w:r>
      <w:r w:rsidRPr="00981775">
        <w:rPr>
          <w:rStyle w:val="TextoNormalCaracter"/>
        </w:rPr>
        <w:t>-</w:t>
      </w:r>
      <w:r>
        <w:t xml:space="preserve"> Auto </w:t>
      </w:r>
      <w:hyperlink w:anchor="AUTO_2015_135" w:history="1">
        <w:r w:rsidRPr="00981775">
          <w:rPr>
            <w:rStyle w:val="TextoNormalCaracter"/>
          </w:rPr>
          <w:t>135/2015</w:t>
        </w:r>
      </w:hyperlink>
      <w:r>
        <w:t>.</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B.6) Cantabria</w:t>
      </w:r>
    </w:p>
    <w:p w:rsidR="00981775" w:rsidRDefault="00981775" w:rsidP="00981775">
      <w:pPr>
        <w:pStyle w:val="TextoNormalNegritaCentrado"/>
      </w:pPr>
    </w:p>
    <w:p w:rsidR="00981775" w:rsidRDefault="00981775" w:rsidP="00981775">
      <w:pPr>
        <w:pStyle w:val="TextoNormalNegritaCursivandice"/>
      </w:pPr>
      <w:r>
        <w:t>Ley del Parlamento de Cantabria 2/2001, de 25 de junio. Ordenación territorial y régimen urbanístico del suelo de Cantabria</w:t>
      </w:r>
    </w:p>
    <w:p w:rsidR="00981775" w:rsidRDefault="00981775" w:rsidP="00981775">
      <w:pPr>
        <w:pStyle w:val="SangriaFrancesaArticulo"/>
      </w:pPr>
      <w:r w:rsidRPr="00981775">
        <w:rPr>
          <w:rStyle w:val="TextoNormalNegritaCaracter"/>
        </w:rPr>
        <w:t>Artículo 65 bis 1</w:t>
      </w:r>
      <w:r>
        <w:t xml:space="preserve"> (redactado por la Ley del Parlamento de Cantabria 4/2013, de 20 de junio)</w:t>
      </w:r>
      <w:r w:rsidRPr="00981775">
        <w:rPr>
          <w:rStyle w:val="TextoNormalNegritaCaracter"/>
        </w:rPr>
        <w:t>.</w:t>
      </w:r>
      <w:r w:rsidRPr="00981775">
        <w:rPr>
          <w:rStyle w:val="TextoNormalCaracter"/>
        </w:rPr>
        <w:t>-</w:t>
      </w:r>
      <w:r>
        <w:t xml:space="preserve"> Auto </w:t>
      </w:r>
      <w:hyperlink w:anchor="AUTO_2015_218" w:history="1">
        <w:r w:rsidRPr="00981775">
          <w:rPr>
            <w:rStyle w:val="TextoNormalCaracter"/>
          </w:rPr>
          <w:t>218/2015</w:t>
        </w:r>
      </w:hyperlink>
      <w:r>
        <w:t>.</w:t>
      </w:r>
    </w:p>
    <w:p w:rsidR="00981775" w:rsidRDefault="00981775" w:rsidP="00981775">
      <w:pPr>
        <w:pStyle w:val="SangriaFrancesaArticulo"/>
      </w:pPr>
      <w:r w:rsidRPr="00981775">
        <w:rPr>
          <w:rStyle w:val="TextoNormalNegritaCaracter"/>
        </w:rPr>
        <w:t>Artículo 65 bis 1 expresión "o judiciales"</w:t>
      </w:r>
      <w:r>
        <w:t xml:space="preserve"> (redactado por la Ley del Parlamento de Cantabria 4/2013, de 20 de junio)</w:t>
      </w:r>
      <w:r w:rsidRPr="00981775">
        <w:rPr>
          <w:rStyle w:val="TextoNormalNegritaCaracter"/>
        </w:rPr>
        <w:t>.</w:t>
      </w:r>
      <w:r w:rsidRPr="00981775">
        <w:rPr>
          <w:rStyle w:val="TextoNormalCaracter"/>
        </w:rPr>
        <w:t>-</w:t>
      </w:r>
      <w:r>
        <w:t xml:space="preserve"> Autos </w:t>
      </w:r>
      <w:hyperlink w:anchor="AUTO_2015_215" w:history="1">
        <w:r w:rsidRPr="00981775">
          <w:rPr>
            <w:rStyle w:val="TextoNormalCaracter"/>
          </w:rPr>
          <w:t>215/2015</w:t>
        </w:r>
      </w:hyperlink>
      <w:r>
        <w:t xml:space="preserve">; </w:t>
      </w:r>
      <w:hyperlink w:anchor="AUTO_2015_217" w:history="1">
        <w:r w:rsidRPr="00981775">
          <w:rPr>
            <w:rStyle w:val="TextoNormalCaracter"/>
          </w:rPr>
          <w:t>217/2015</w:t>
        </w:r>
      </w:hyperlink>
      <w:r>
        <w:t>.</w:t>
      </w:r>
    </w:p>
    <w:p w:rsidR="00981775" w:rsidRDefault="00981775" w:rsidP="00981775">
      <w:pPr>
        <w:pStyle w:val="SangriaFrancesaArticulo"/>
      </w:pPr>
      <w:r w:rsidRPr="00981775">
        <w:rPr>
          <w:rStyle w:val="TextoNormalNegritaCaracter"/>
        </w:rPr>
        <w:t>Artículo 65 bis 1 expresión "o judiciales"</w:t>
      </w:r>
      <w:r>
        <w:t xml:space="preserve"> (redactado por la Ley del Parlamento de Cantabria 4/2013, de 20 de junio)</w:t>
      </w:r>
      <w:r w:rsidRPr="00981775">
        <w:rPr>
          <w:rStyle w:val="TextoNormalNegritaCaracter"/>
        </w:rPr>
        <w:t>.</w:t>
      </w:r>
      <w:r w:rsidRPr="00981775">
        <w:rPr>
          <w:rStyle w:val="TextoNormalCaracter"/>
        </w:rPr>
        <w:t>-</w:t>
      </w:r>
      <w:r>
        <w:t xml:space="preserve"> Sentencia </w:t>
      </w:r>
      <w:hyperlink w:anchor="SENTENCIA_2015_254" w:history="1">
        <w:r w:rsidRPr="00981775">
          <w:rPr>
            <w:rStyle w:val="TextoNormalCaracter"/>
          </w:rPr>
          <w:t>254/2015</w:t>
        </w:r>
      </w:hyperlink>
      <w:r>
        <w:t xml:space="preserve"> (anula).</w:t>
      </w:r>
    </w:p>
    <w:p w:rsidR="00981775" w:rsidRDefault="00981775" w:rsidP="00981775">
      <w:pPr>
        <w:pStyle w:val="SangriaFrancesaArticulo"/>
      </w:pPr>
      <w:r w:rsidRPr="00981775">
        <w:rPr>
          <w:rStyle w:val="TextoNormalNegritaCaracter"/>
        </w:rPr>
        <w:t>Artículo 65 bis 1 expresión "órdenes de demolición judiciales"</w:t>
      </w:r>
      <w:r>
        <w:t xml:space="preserve"> (redactado por la Ley del Parlamento de Cantabria 4/2013, de 20 de junio)</w:t>
      </w:r>
      <w:r w:rsidRPr="00981775">
        <w:rPr>
          <w:rStyle w:val="TextoNormalNegritaCaracter"/>
        </w:rPr>
        <w:t>.</w:t>
      </w:r>
      <w:r w:rsidRPr="00981775">
        <w:rPr>
          <w:rStyle w:val="TextoNormalCaracter"/>
        </w:rPr>
        <w:t>-</w:t>
      </w:r>
      <w:r>
        <w:t xml:space="preserve"> Autos </w:t>
      </w:r>
      <w:hyperlink w:anchor="AUTO_2015_211" w:history="1">
        <w:r w:rsidRPr="00981775">
          <w:rPr>
            <w:rStyle w:val="TextoNormalCaracter"/>
          </w:rPr>
          <w:t>211/2015</w:t>
        </w:r>
      </w:hyperlink>
      <w:r>
        <w:t xml:space="preserve">; </w:t>
      </w:r>
      <w:hyperlink w:anchor="AUTO_2015_214" w:history="1">
        <w:r w:rsidRPr="00981775">
          <w:rPr>
            <w:rStyle w:val="TextoNormalCaracter"/>
          </w:rPr>
          <w:t>214/2015</w:t>
        </w:r>
      </w:hyperlink>
      <w:r>
        <w:t xml:space="preserve">; </w:t>
      </w:r>
      <w:hyperlink w:anchor="AUTO_2015_216" w:history="1">
        <w:r w:rsidRPr="00981775">
          <w:rPr>
            <w:rStyle w:val="TextoNormalCaracter"/>
          </w:rPr>
          <w:t>216/2015</w:t>
        </w:r>
      </w:hyperlink>
      <w:r>
        <w:t xml:space="preserve">; </w:t>
      </w:r>
      <w:hyperlink w:anchor="AUTO_2015_219" w:history="1">
        <w:r w:rsidRPr="00981775">
          <w:rPr>
            <w:rStyle w:val="TextoNormalCaracter"/>
          </w:rPr>
          <w:t>219/2015</w:t>
        </w:r>
      </w:hyperlink>
      <w:r>
        <w:t xml:space="preserve">; </w:t>
      </w:r>
      <w:hyperlink w:anchor="AUTO_2015_220" w:history="1">
        <w:r w:rsidRPr="00981775">
          <w:rPr>
            <w:rStyle w:val="TextoNormalCaracter"/>
          </w:rPr>
          <w:t>220/2015</w:t>
        </w:r>
      </w:hyperlink>
      <w:r>
        <w:t xml:space="preserve">; </w:t>
      </w:r>
      <w:hyperlink w:anchor="AUTO_2015_221" w:history="1">
        <w:r w:rsidRPr="00981775">
          <w:rPr>
            <w:rStyle w:val="TextoNormalCaracter"/>
          </w:rPr>
          <w:t>221/2015</w:t>
        </w:r>
      </w:hyperlink>
      <w:r>
        <w:t xml:space="preserve">; </w:t>
      </w:r>
      <w:hyperlink w:anchor="AUTO_2015_222" w:history="1">
        <w:r w:rsidRPr="00981775">
          <w:rPr>
            <w:rStyle w:val="TextoNormalCaracter"/>
          </w:rPr>
          <w:t>222/2015</w:t>
        </w:r>
      </w:hyperlink>
      <w:r>
        <w:t>.</w:t>
      </w:r>
    </w:p>
    <w:p w:rsidR="00981775" w:rsidRDefault="00981775" w:rsidP="00981775">
      <w:pPr>
        <w:pStyle w:val="SangriaFrancesaArticulo"/>
      </w:pPr>
      <w:r w:rsidRPr="00981775">
        <w:rPr>
          <w:rStyle w:val="TextoNormalNegritaCaracter"/>
        </w:rPr>
        <w:t>Artículo 65 bis 2</w:t>
      </w:r>
      <w:r>
        <w:t xml:space="preserve"> (redactado por la Ley del Parlamento de Cantabria 4/2013, de 20 de junio)</w:t>
      </w:r>
      <w:r w:rsidRPr="00981775">
        <w:rPr>
          <w:rStyle w:val="TextoNormalNegritaCaracter"/>
        </w:rPr>
        <w:t>.</w:t>
      </w:r>
      <w:r w:rsidRPr="00981775">
        <w:rPr>
          <w:rStyle w:val="TextoNormalCaracter"/>
        </w:rPr>
        <w:t>-</w:t>
      </w:r>
      <w:r>
        <w:t xml:space="preserve"> Autos </w:t>
      </w:r>
      <w:hyperlink w:anchor="AUTO_2015_215" w:history="1">
        <w:r w:rsidRPr="00981775">
          <w:rPr>
            <w:rStyle w:val="TextoNormalCaracter"/>
          </w:rPr>
          <w:t>215/2015</w:t>
        </w:r>
      </w:hyperlink>
      <w:r>
        <w:t xml:space="preserve">; </w:t>
      </w:r>
      <w:hyperlink w:anchor="AUTO_2015_217" w:history="1">
        <w:r w:rsidRPr="00981775">
          <w:rPr>
            <w:rStyle w:val="TextoNormalCaracter"/>
          </w:rPr>
          <w:t>217/2015</w:t>
        </w:r>
      </w:hyperlink>
      <w:r>
        <w:t>.</w:t>
      </w:r>
    </w:p>
    <w:p w:rsidR="00981775" w:rsidRDefault="00981775" w:rsidP="00981775">
      <w:pPr>
        <w:pStyle w:val="SangriaFrancesaArticulo"/>
      </w:pPr>
      <w:r w:rsidRPr="00981775">
        <w:rPr>
          <w:rStyle w:val="TextoNormalNegritaCaracter"/>
        </w:rPr>
        <w:t>Artículo 65 bis 3</w:t>
      </w:r>
      <w:r>
        <w:t xml:space="preserve"> (redactado por la Ley del Parlamento de Cantabria 4/2013, de 20 de junio)</w:t>
      </w:r>
      <w:r w:rsidRPr="00981775">
        <w:rPr>
          <w:rStyle w:val="TextoNormalNegritaCaracter"/>
        </w:rPr>
        <w:t>.</w:t>
      </w:r>
      <w:r w:rsidRPr="00981775">
        <w:rPr>
          <w:rStyle w:val="TextoNormalCaracter"/>
        </w:rPr>
        <w:t>-</w:t>
      </w:r>
      <w:r>
        <w:t xml:space="preserve"> Autos </w:t>
      </w:r>
      <w:hyperlink w:anchor="AUTO_2015_215" w:history="1">
        <w:r w:rsidRPr="00981775">
          <w:rPr>
            <w:rStyle w:val="TextoNormalCaracter"/>
          </w:rPr>
          <w:t>215/2015</w:t>
        </w:r>
      </w:hyperlink>
      <w:r>
        <w:t xml:space="preserve">; </w:t>
      </w:r>
      <w:hyperlink w:anchor="AUTO_2015_217" w:history="1">
        <w:r w:rsidRPr="00981775">
          <w:rPr>
            <w:rStyle w:val="TextoNormalCaracter"/>
          </w:rPr>
          <w:t>217/2015</w:t>
        </w:r>
      </w:hyperlink>
      <w:r>
        <w:t>.</w:t>
      </w:r>
    </w:p>
    <w:p w:rsidR="00981775" w:rsidRDefault="00981775" w:rsidP="00981775">
      <w:pPr>
        <w:pStyle w:val="SangriaFrancesaArticulo"/>
      </w:pPr>
    </w:p>
    <w:p w:rsidR="00981775" w:rsidRDefault="00981775" w:rsidP="00981775">
      <w:pPr>
        <w:pStyle w:val="TextoNormalNegritaCursivandice"/>
      </w:pPr>
      <w:r>
        <w:t>Ley del Parlamento de Cantabria 4/2013, de 20 de junio. Régimen jurídico de las autorizaciones provisionales de edificaciones o actuaciones preexistentes, así como de adopción de distintas medidas para la agilización de los instrumentos de planeamiento</w:t>
      </w:r>
    </w:p>
    <w:p w:rsidR="00981775" w:rsidRDefault="00981775" w:rsidP="00981775">
      <w:pPr>
        <w:pStyle w:val="SangriaFrancesaArticulo"/>
      </w:pPr>
      <w:r w:rsidRPr="00981775">
        <w:rPr>
          <w:rStyle w:val="TextoNormalNegritaCaracter"/>
        </w:rPr>
        <w:t>Artículo 1.</w:t>
      </w:r>
      <w:r w:rsidRPr="00981775">
        <w:rPr>
          <w:rStyle w:val="TextoNormalCaracter"/>
        </w:rPr>
        <w:t>-</w:t>
      </w:r>
      <w:r>
        <w:t xml:space="preserve"> Autos </w:t>
      </w:r>
      <w:hyperlink w:anchor="AUTO_2015_211" w:history="1">
        <w:r w:rsidRPr="00981775">
          <w:rPr>
            <w:rStyle w:val="TextoNormalCaracter"/>
          </w:rPr>
          <w:t>211/2015</w:t>
        </w:r>
      </w:hyperlink>
      <w:r>
        <w:t xml:space="preserve">; </w:t>
      </w:r>
      <w:hyperlink w:anchor="AUTO_2015_214" w:history="1">
        <w:r w:rsidRPr="00981775">
          <w:rPr>
            <w:rStyle w:val="TextoNormalCaracter"/>
          </w:rPr>
          <w:t>214/2015</w:t>
        </w:r>
      </w:hyperlink>
      <w:r>
        <w:t xml:space="preserve">; </w:t>
      </w:r>
      <w:hyperlink w:anchor="AUTO_2015_215" w:history="1">
        <w:r w:rsidRPr="00981775">
          <w:rPr>
            <w:rStyle w:val="TextoNormalCaracter"/>
          </w:rPr>
          <w:t>215/2015</w:t>
        </w:r>
      </w:hyperlink>
      <w:r>
        <w:t xml:space="preserve">; </w:t>
      </w:r>
      <w:hyperlink w:anchor="AUTO_2015_216" w:history="1">
        <w:r w:rsidRPr="00981775">
          <w:rPr>
            <w:rStyle w:val="TextoNormalCaracter"/>
          </w:rPr>
          <w:t>216/2015</w:t>
        </w:r>
      </w:hyperlink>
      <w:r>
        <w:t xml:space="preserve">; </w:t>
      </w:r>
      <w:hyperlink w:anchor="AUTO_2015_217" w:history="1">
        <w:r w:rsidRPr="00981775">
          <w:rPr>
            <w:rStyle w:val="TextoNormalCaracter"/>
          </w:rPr>
          <w:t>217/2015</w:t>
        </w:r>
      </w:hyperlink>
      <w:r>
        <w:t xml:space="preserve">; </w:t>
      </w:r>
      <w:hyperlink w:anchor="AUTO_2015_218" w:history="1">
        <w:r w:rsidRPr="00981775">
          <w:rPr>
            <w:rStyle w:val="TextoNormalCaracter"/>
          </w:rPr>
          <w:t>218/2015</w:t>
        </w:r>
      </w:hyperlink>
      <w:r>
        <w:t xml:space="preserve">; </w:t>
      </w:r>
      <w:hyperlink w:anchor="AUTO_2015_219" w:history="1">
        <w:r w:rsidRPr="00981775">
          <w:rPr>
            <w:rStyle w:val="TextoNormalCaracter"/>
          </w:rPr>
          <w:t>219/2015</w:t>
        </w:r>
      </w:hyperlink>
      <w:r>
        <w:t xml:space="preserve">; </w:t>
      </w:r>
      <w:hyperlink w:anchor="AUTO_2015_220" w:history="1">
        <w:r w:rsidRPr="00981775">
          <w:rPr>
            <w:rStyle w:val="TextoNormalCaracter"/>
          </w:rPr>
          <w:t>220/2015</w:t>
        </w:r>
      </w:hyperlink>
      <w:r>
        <w:t xml:space="preserve">; </w:t>
      </w:r>
      <w:hyperlink w:anchor="AUTO_2015_221" w:history="1">
        <w:r w:rsidRPr="00981775">
          <w:rPr>
            <w:rStyle w:val="TextoNormalCaracter"/>
          </w:rPr>
          <w:t>221/2015</w:t>
        </w:r>
      </w:hyperlink>
      <w:r>
        <w:t xml:space="preserve">; </w:t>
      </w:r>
      <w:hyperlink w:anchor="AUTO_2015_222" w:history="1">
        <w:r w:rsidRPr="00981775">
          <w:rPr>
            <w:rStyle w:val="TextoNormalCaracter"/>
          </w:rPr>
          <w:t>222/2015</w:t>
        </w:r>
      </w:hyperlink>
      <w:r>
        <w:t>.</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B.7) Castilla y León</w:t>
      </w:r>
    </w:p>
    <w:p w:rsidR="00981775" w:rsidRDefault="00981775" w:rsidP="00981775">
      <w:pPr>
        <w:pStyle w:val="TextoNormalNegritaCentrado"/>
      </w:pPr>
    </w:p>
    <w:p w:rsidR="00981775" w:rsidRDefault="00981775" w:rsidP="00981775">
      <w:pPr>
        <w:pStyle w:val="TextoNormalNegritaCursivandice"/>
      </w:pPr>
      <w:r>
        <w:t>Ley de las Cortes de Castilla y León 8/1997, de 8 de julio.  Normas reguladoras de colegios profesionales</w:t>
      </w:r>
    </w:p>
    <w:p w:rsidR="00981775" w:rsidRDefault="00981775" w:rsidP="00981775">
      <w:pPr>
        <w:pStyle w:val="SangriaFrancesaArticulo"/>
      </w:pPr>
      <w:r w:rsidRPr="00981775">
        <w:rPr>
          <w:rStyle w:val="TextoNormalNegritaCaracter"/>
        </w:rPr>
        <w:t>Artículo 16.2 inciso 2.</w:t>
      </w:r>
      <w:r w:rsidRPr="00981775">
        <w:rPr>
          <w:rStyle w:val="TextoNormalCaracter"/>
        </w:rPr>
        <w:t>-</w:t>
      </w:r>
      <w:r>
        <w:t xml:space="preserve"> Sentencia </w:t>
      </w:r>
      <w:hyperlink w:anchor="SENTENCIA_2015_229" w:history="1">
        <w:r w:rsidRPr="00981775">
          <w:rPr>
            <w:rStyle w:val="TextoNormalCaracter"/>
          </w:rPr>
          <w:t>229/2015</w:t>
        </w:r>
      </w:hyperlink>
      <w:r>
        <w:t xml:space="preserve"> (anula).</w:t>
      </w:r>
    </w:p>
    <w:p w:rsidR="00981775" w:rsidRDefault="00981775" w:rsidP="00981775">
      <w:pPr>
        <w:pStyle w:val="SangriaFrancesaArticulo"/>
      </w:pPr>
    </w:p>
    <w:p w:rsidR="00981775" w:rsidRDefault="00981775" w:rsidP="00981775">
      <w:pPr>
        <w:pStyle w:val="TextoNormalNegritaCursivandice"/>
      </w:pPr>
      <w:r>
        <w:t>Ley de las Cortes de Castilla y León 2/2008, de 17 de junio. Declaración de proyecto regional para la instalación de un centro de tratamiento de residuos industriales no peligrosos en el término municipal de Fresno de la Ribera (Zamora)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69" w:history="1">
        <w:r w:rsidRPr="00981775">
          <w:rPr>
            <w:rStyle w:val="TextoNormalCaracter"/>
          </w:rPr>
          <w:t>269/2015</w:t>
        </w:r>
      </w:hyperlink>
      <w:r>
        <w:t>.</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B.8) Cataluña</w:t>
      </w:r>
    </w:p>
    <w:p w:rsidR="00981775" w:rsidRDefault="00981775" w:rsidP="00981775">
      <w:pPr>
        <w:pStyle w:val="TextoNormalNegritaCentrado"/>
      </w:pPr>
    </w:p>
    <w:p w:rsidR="00981775" w:rsidRDefault="00981775" w:rsidP="00981775">
      <w:pPr>
        <w:pStyle w:val="TextoNormalNegritaCursivandice"/>
      </w:pPr>
      <w:r>
        <w:t>Ley del Parlamento de Cataluña 7/2007, de 17 de julio. Agencia Tributaria de Cataluña</w:t>
      </w:r>
    </w:p>
    <w:p w:rsidR="00981775" w:rsidRDefault="00981775" w:rsidP="00981775">
      <w:pPr>
        <w:pStyle w:val="SangriaFrancesaArticulo"/>
      </w:pPr>
      <w:r w:rsidRPr="00981775">
        <w:rPr>
          <w:rStyle w:val="TextoNormalNegritaCaracter"/>
        </w:rPr>
        <w:t>Disposición adicional vigésima primera.</w:t>
      </w:r>
      <w:r w:rsidRPr="00981775">
        <w:rPr>
          <w:rStyle w:val="TextoNormalCaracter"/>
        </w:rPr>
        <w:t>-</w:t>
      </w:r>
      <w:r>
        <w:t xml:space="preserve"> Sentencia </w:t>
      </w:r>
      <w:hyperlink w:anchor="SENTENCIA_2015_238" w:history="1">
        <w:r w:rsidRPr="00981775">
          <w:rPr>
            <w:rStyle w:val="TextoNormalCaracter"/>
          </w:rPr>
          <w:t>238/2015</w:t>
        </w:r>
      </w:hyperlink>
      <w:r>
        <w:t xml:space="preserve"> (anula).</w:t>
      </w:r>
    </w:p>
    <w:p w:rsidR="00981775" w:rsidRDefault="00981775" w:rsidP="00981775">
      <w:pPr>
        <w:pStyle w:val="SangriaFrancesaArticulo"/>
      </w:pPr>
      <w:r w:rsidRPr="00981775">
        <w:rPr>
          <w:rStyle w:val="TextoNormalNegritaCaracter"/>
        </w:rPr>
        <w:t>Disposición adicional vigésima segunda.</w:t>
      </w:r>
      <w:r w:rsidRPr="00981775">
        <w:rPr>
          <w:rStyle w:val="TextoNormalCaracter"/>
        </w:rPr>
        <w:t>-</w:t>
      </w:r>
      <w:r>
        <w:t xml:space="preserve"> Sentencia </w:t>
      </w:r>
      <w:hyperlink w:anchor="SENTENCIA_2015_238" w:history="1">
        <w:r w:rsidRPr="00981775">
          <w:rPr>
            <w:rStyle w:val="TextoNormalCaracter"/>
          </w:rPr>
          <w:t>238/2015</w:t>
        </w:r>
      </w:hyperlink>
      <w:r>
        <w:t xml:space="preserve"> (anula).</w:t>
      </w:r>
    </w:p>
    <w:p w:rsidR="00981775" w:rsidRDefault="00981775" w:rsidP="00981775">
      <w:pPr>
        <w:pStyle w:val="SangriaFrancesaArticulo"/>
      </w:pPr>
    </w:p>
    <w:p w:rsidR="00981775" w:rsidRDefault="00981775" w:rsidP="00981775">
      <w:pPr>
        <w:pStyle w:val="TextoNormalNegritaCursivandice"/>
      </w:pPr>
      <w:r>
        <w:t>Ley 1/2012, de 22 de febrero. Presupuestos de la Generalidad de Cataluña para 2012</w:t>
      </w:r>
    </w:p>
    <w:p w:rsidR="00981775" w:rsidRDefault="00981775" w:rsidP="00981775">
      <w:pPr>
        <w:pStyle w:val="SangriaFrancesaArticulo"/>
      </w:pPr>
      <w:r w:rsidRPr="00981775">
        <w:rPr>
          <w:rStyle w:val="TextoNormalNegritaCaracter"/>
        </w:rPr>
        <w:t>Artículo 26.3.</w:t>
      </w:r>
      <w:r w:rsidRPr="00981775">
        <w:rPr>
          <w:rStyle w:val="TextoNormalCaracter"/>
        </w:rPr>
        <w:t>-</w:t>
      </w:r>
      <w:r>
        <w:t xml:space="preserve"> Auto </w:t>
      </w:r>
      <w:hyperlink w:anchor="AUTO_2015_121" w:history="1">
        <w:r w:rsidRPr="00981775">
          <w:rPr>
            <w:rStyle w:val="TextoNormalCaracter"/>
          </w:rPr>
          <w:t>121/2015</w:t>
        </w:r>
      </w:hyperlink>
      <w:r>
        <w:t>.</w:t>
      </w:r>
    </w:p>
    <w:p w:rsidR="00981775" w:rsidRDefault="00981775" w:rsidP="00981775">
      <w:pPr>
        <w:pStyle w:val="SangriaFrancesaArticulo"/>
      </w:pPr>
    </w:p>
    <w:p w:rsidR="00981775" w:rsidRDefault="00981775" w:rsidP="00981775">
      <w:pPr>
        <w:pStyle w:val="TextoNormalNegritaCursivandice"/>
      </w:pPr>
      <w:r>
        <w:t>Ley del Parlamento de Cataluña 12/2014, de 10 de octubre. Impuesto sobre la emisión de óxidos de nitrógeno a la atmósfera producida por la aviación comercial, del impuesto sobre la emisión de gases y partículas a la atmósfera producida por la industria y del impuesto sobre la producción de energía eléctrica de origen nuclear</w:t>
      </w:r>
    </w:p>
    <w:p w:rsidR="00981775" w:rsidRDefault="00981775" w:rsidP="00981775">
      <w:pPr>
        <w:pStyle w:val="SangriaFrancesaArticulo"/>
      </w:pPr>
      <w:r w:rsidRPr="00981775">
        <w:rPr>
          <w:rStyle w:val="TextoNormalNegritaCaracter"/>
        </w:rPr>
        <w:t>Artículo 1.1 c).</w:t>
      </w:r>
      <w:r w:rsidRPr="00981775">
        <w:rPr>
          <w:rStyle w:val="TextoNormalCaracter"/>
        </w:rPr>
        <w:t>-</w:t>
      </w:r>
      <w:r>
        <w:t xml:space="preserve"> Auto </w:t>
      </w:r>
      <w:hyperlink w:anchor="AUTO_2015_202" w:history="1">
        <w:r w:rsidRPr="00981775">
          <w:rPr>
            <w:rStyle w:val="TextoNormalCaracter"/>
          </w:rPr>
          <w:t>202/2015</w:t>
        </w:r>
      </w:hyperlink>
      <w:r>
        <w:t>.</w:t>
      </w:r>
    </w:p>
    <w:p w:rsidR="00981775" w:rsidRDefault="00981775" w:rsidP="00981775">
      <w:pPr>
        <w:pStyle w:val="SangriaFrancesaArticulo"/>
      </w:pPr>
      <w:r w:rsidRPr="00981775">
        <w:rPr>
          <w:rStyle w:val="TextoNormalNegritaCaracter"/>
        </w:rPr>
        <w:t>Artículos 21 a 30.</w:t>
      </w:r>
      <w:r w:rsidRPr="00981775">
        <w:rPr>
          <w:rStyle w:val="TextoNormalCaracter"/>
        </w:rPr>
        <w:t>-</w:t>
      </w:r>
      <w:r>
        <w:t xml:space="preserve"> Auto </w:t>
      </w:r>
      <w:hyperlink w:anchor="AUTO_2015_202" w:history="1">
        <w:r w:rsidRPr="00981775">
          <w:rPr>
            <w:rStyle w:val="TextoNormalCaracter"/>
          </w:rPr>
          <w:t>202/2015</w:t>
        </w:r>
      </w:hyperlink>
      <w:r>
        <w:t>.</w:t>
      </w:r>
    </w:p>
    <w:p w:rsidR="00981775" w:rsidRDefault="00981775" w:rsidP="00981775">
      <w:pPr>
        <w:pStyle w:val="SangriaFrancesaArticulo"/>
      </w:pPr>
    </w:p>
    <w:p w:rsidR="00981775" w:rsidRDefault="00981775" w:rsidP="00981775">
      <w:pPr>
        <w:pStyle w:val="TextoNormalNegritaCursivandice"/>
      </w:pPr>
      <w:r>
        <w:t>Ley del Parlamento de Cataluña 15/2014, de 4 de diciembre. Impuesto sobre la provisión de contenidos por parte de prestadores de servicios de comunicaciones electrónicas y de fomento del sector audiovisual y la difusión cultural digital</w:t>
      </w:r>
    </w:p>
    <w:p w:rsidR="00981775" w:rsidRDefault="00981775" w:rsidP="00981775">
      <w:pPr>
        <w:pStyle w:val="SangriaFrancesaArticulo"/>
      </w:pPr>
      <w:r w:rsidRPr="00981775">
        <w:rPr>
          <w:rStyle w:val="TextoNormalNegritaCaracter"/>
        </w:rPr>
        <w:t>Capítulo I.</w:t>
      </w:r>
      <w:r w:rsidRPr="00981775">
        <w:rPr>
          <w:rStyle w:val="TextoNormalCaracter"/>
        </w:rPr>
        <w:t>-</w:t>
      </w:r>
      <w:r>
        <w:t xml:space="preserve"> Auto </w:t>
      </w:r>
      <w:hyperlink w:anchor="AUTO_2015_196" w:history="1">
        <w:r w:rsidRPr="00981775">
          <w:rPr>
            <w:rStyle w:val="TextoNormalCaracter"/>
          </w:rPr>
          <w:t>196/2015</w:t>
        </w:r>
      </w:hyperlink>
      <w:r>
        <w:t>.</w:t>
      </w:r>
    </w:p>
    <w:p w:rsidR="00981775" w:rsidRDefault="00981775" w:rsidP="00981775">
      <w:pPr>
        <w:pStyle w:val="SangriaFrancesaArticulo"/>
      </w:pPr>
    </w:p>
    <w:p w:rsidR="00981775" w:rsidRDefault="00981775" w:rsidP="00981775">
      <w:pPr>
        <w:pStyle w:val="TextoNormalNegritaCursivandice"/>
      </w:pPr>
      <w:r>
        <w:t>Ley del Parlamento de Cataluña 16/2014, de 4 de diciembre. Acción exterior y de relaciones con la Unión Europea</w:t>
      </w:r>
    </w:p>
    <w:p w:rsidR="00981775" w:rsidRDefault="00981775" w:rsidP="00981775">
      <w:pPr>
        <w:pStyle w:val="SangriaFrancesaArticulo"/>
      </w:pPr>
      <w:r w:rsidRPr="00981775">
        <w:rPr>
          <w:rStyle w:val="TextoNormalNegritaCaracter"/>
        </w:rPr>
        <w:t>Artículos 1 a 9.</w:t>
      </w:r>
      <w:r w:rsidRPr="00981775">
        <w:rPr>
          <w:rStyle w:val="TextoNormalCaracter"/>
        </w:rPr>
        <w:t>-</w:t>
      </w:r>
      <w:r>
        <w:t xml:space="preserve"> Auto </w:t>
      </w:r>
      <w:hyperlink w:anchor="AUTO_2015_122" w:history="1">
        <w:r w:rsidRPr="00981775">
          <w:rPr>
            <w:rStyle w:val="TextoNormalCaracter"/>
          </w:rPr>
          <w:t>122/2015</w:t>
        </w:r>
      </w:hyperlink>
      <w:r>
        <w:t>.</w:t>
      </w:r>
    </w:p>
    <w:p w:rsidR="00981775" w:rsidRDefault="00981775" w:rsidP="00981775">
      <w:pPr>
        <w:pStyle w:val="SangriaFrancesaArticulo"/>
      </w:pPr>
      <w:r w:rsidRPr="00981775">
        <w:rPr>
          <w:rStyle w:val="TextoNormalNegritaCaracter"/>
        </w:rPr>
        <w:t>Artículo 26.</w:t>
      </w:r>
      <w:r w:rsidRPr="00981775">
        <w:rPr>
          <w:rStyle w:val="TextoNormalCaracter"/>
        </w:rPr>
        <w:t>-</w:t>
      </w:r>
      <w:r>
        <w:t xml:space="preserve"> Auto </w:t>
      </w:r>
      <w:hyperlink w:anchor="AUTO_2015_122" w:history="1">
        <w:r w:rsidRPr="00981775">
          <w:rPr>
            <w:rStyle w:val="TextoNormalCaracter"/>
          </w:rPr>
          <w:t>122/2015</w:t>
        </w:r>
      </w:hyperlink>
      <w:r>
        <w:t>.</w:t>
      </w:r>
    </w:p>
    <w:p w:rsidR="00981775" w:rsidRDefault="00981775" w:rsidP="00981775">
      <w:pPr>
        <w:pStyle w:val="SangriaFrancesaArticulo"/>
      </w:pPr>
      <w:r w:rsidRPr="00981775">
        <w:rPr>
          <w:rStyle w:val="TextoNormalNegritaCaracter"/>
        </w:rPr>
        <w:t>Artículos 29 a 38.</w:t>
      </w:r>
      <w:r w:rsidRPr="00981775">
        <w:rPr>
          <w:rStyle w:val="TextoNormalCaracter"/>
        </w:rPr>
        <w:t>-</w:t>
      </w:r>
      <w:r>
        <w:t xml:space="preserve"> Auto </w:t>
      </w:r>
      <w:hyperlink w:anchor="AUTO_2015_122" w:history="1">
        <w:r w:rsidRPr="00981775">
          <w:rPr>
            <w:rStyle w:val="TextoNormalCaracter"/>
          </w:rPr>
          <w:t>122/2015</w:t>
        </w:r>
      </w:hyperlink>
      <w:r>
        <w:t>.</w:t>
      </w:r>
    </w:p>
    <w:p w:rsidR="00981775" w:rsidRDefault="00981775" w:rsidP="00981775">
      <w:pPr>
        <w:pStyle w:val="SangriaFrancesaArticulo"/>
      </w:pPr>
    </w:p>
    <w:p w:rsidR="00981775" w:rsidRDefault="00981775" w:rsidP="00981775">
      <w:pPr>
        <w:pStyle w:val="TextoNormalNegritaCursivandice"/>
      </w:pPr>
      <w:r>
        <w:t>Ley del Parlamento de Cataluña 2/2015, de 11 de marzo. Presupuestos de la Generalidad de Cataluña para 2015</w:t>
      </w:r>
    </w:p>
    <w:p w:rsidR="00981775" w:rsidRDefault="00981775" w:rsidP="00981775">
      <w:pPr>
        <w:pStyle w:val="SangriaFrancesaArticulo"/>
      </w:pPr>
      <w:r w:rsidRPr="00981775">
        <w:rPr>
          <w:rStyle w:val="TextoNormalNegritaCaracter"/>
        </w:rPr>
        <w:t>Artículo 34 expresión "previa autorización del Gobierno, de la puesta en funcionamiento de nuevos servicios públicos".</w:t>
      </w:r>
      <w:r w:rsidRPr="00981775">
        <w:rPr>
          <w:rStyle w:val="TextoNormalCaracter"/>
        </w:rPr>
        <w:t>-</w:t>
      </w:r>
      <w:r>
        <w:t xml:space="preserve"> Auto </w:t>
      </w:r>
      <w:hyperlink w:anchor="AUTO_2015_181" w:history="1">
        <w:r w:rsidRPr="00981775">
          <w:rPr>
            <w:rStyle w:val="TextoNormalCaracter"/>
          </w:rPr>
          <w:t>181/2015</w:t>
        </w:r>
      </w:hyperlink>
      <w:r>
        <w:t>.</w:t>
      </w:r>
    </w:p>
    <w:p w:rsidR="00981775" w:rsidRDefault="00981775" w:rsidP="00981775">
      <w:pPr>
        <w:pStyle w:val="SangriaFrancesaArticulo"/>
      </w:pPr>
    </w:p>
    <w:p w:rsidR="00981775" w:rsidRDefault="00981775" w:rsidP="00981775">
      <w:pPr>
        <w:pStyle w:val="TextoNormalNegritaCursivandice"/>
      </w:pPr>
      <w:r>
        <w:t>Ley del Parlamento de Cataluña 3/2015, de 11 de marzo. Medidas fiscales, financieras y administrativas</w:t>
      </w:r>
    </w:p>
    <w:p w:rsidR="00981775" w:rsidRDefault="00981775" w:rsidP="00981775">
      <w:pPr>
        <w:pStyle w:val="SangriaFrancesaArticulo"/>
      </w:pPr>
      <w:r w:rsidRPr="00981775">
        <w:rPr>
          <w:rStyle w:val="TextoNormalNegritaCaracter"/>
        </w:rPr>
        <w:t>Artículo 69.</w:t>
      </w:r>
      <w:r w:rsidRPr="00981775">
        <w:rPr>
          <w:rStyle w:val="TextoNormalCaracter"/>
        </w:rPr>
        <w:t>-</w:t>
      </w:r>
      <w:r>
        <w:t xml:space="preserve"> Auto </w:t>
      </w:r>
      <w:hyperlink w:anchor="AUTO_2015_182" w:history="1">
        <w:r w:rsidRPr="00981775">
          <w:rPr>
            <w:rStyle w:val="TextoNormalCaracter"/>
          </w:rPr>
          <w:t>182/2015</w:t>
        </w:r>
      </w:hyperlink>
      <w:r>
        <w:t>.</w:t>
      </w:r>
    </w:p>
    <w:p w:rsidR="00981775" w:rsidRDefault="00981775" w:rsidP="00981775">
      <w:pPr>
        <w:pStyle w:val="SangriaFrancesaArticulo"/>
      </w:pPr>
      <w:r w:rsidRPr="00981775">
        <w:rPr>
          <w:rStyle w:val="TextoNormalNegritaCaracter"/>
        </w:rPr>
        <w:t>Artículo 95.</w:t>
      </w:r>
      <w:r w:rsidRPr="00981775">
        <w:rPr>
          <w:rStyle w:val="TextoNormalCaracter"/>
        </w:rPr>
        <w:t>-</w:t>
      </w:r>
      <w:r>
        <w:t xml:space="preserve"> Auto </w:t>
      </w:r>
      <w:hyperlink w:anchor="AUTO_2015_182" w:history="1">
        <w:r w:rsidRPr="00981775">
          <w:rPr>
            <w:rStyle w:val="TextoNormalCaracter"/>
          </w:rPr>
          <w:t>182/2015</w:t>
        </w:r>
      </w:hyperlink>
      <w:r>
        <w:t>.</w:t>
      </w:r>
    </w:p>
    <w:p w:rsidR="00981775" w:rsidRDefault="00981775" w:rsidP="00981775">
      <w:pPr>
        <w:pStyle w:val="SangriaFrancesaArticulo"/>
      </w:pPr>
      <w:r w:rsidRPr="00981775">
        <w:rPr>
          <w:rStyle w:val="TextoNormalNegritaCaracter"/>
        </w:rPr>
        <w:t>Disposición adicional vigesimosegunda.</w:t>
      </w:r>
      <w:r w:rsidRPr="00981775">
        <w:rPr>
          <w:rStyle w:val="TextoNormalCaracter"/>
        </w:rPr>
        <w:t>-</w:t>
      </w:r>
      <w:r>
        <w:t xml:space="preserve"> Auto </w:t>
      </w:r>
      <w:hyperlink w:anchor="AUTO_2015_182" w:history="1">
        <w:r w:rsidRPr="00981775">
          <w:rPr>
            <w:rStyle w:val="TextoNormalCaracter"/>
          </w:rPr>
          <w:t>182/2015</w:t>
        </w:r>
      </w:hyperlink>
      <w:r>
        <w:t>.</w:t>
      </w:r>
    </w:p>
    <w:p w:rsidR="00981775" w:rsidRDefault="00981775" w:rsidP="00981775">
      <w:pPr>
        <w:pStyle w:val="SangriaFrancesaArticulo"/>
      </w:pPr>
      <w:r w:rsidRPr="00981775">
        <w:rPr>
          <w:rStyle w:val="TextoNormalNegritaCaracter"/>
        </w:rPr>
        <w:t>Disposición adicional vigesimotercera.</w:t>
      </w:r>
      <w:r w:rsidRPr="00981775">
        <w:rPr>
          <w:rStyle w:val="TextoNormalCaracter"/>
        </w:rPr>
        <w:t>-</w:t>
      </w:r>
      <w:r>
        <w:t xml:space="preserve"> Auto </w:t>
      </w:r>
      <w:hyperlink w:anchor="AUTO_2015_182" w:history="1">
        <w:r w:rsidRPr="00981775">
          <w:rPr>
            <w:rStyle w:val="TextoNormalCaracter"/>
          </w:rPr>
          <w:t>182/2015</w:t>
        </w:r>
      </w:hyperlink>
      <w:r>
        <w:t>.</w:t>
      </w:r>
    </w:p>
    <w:p w:rsidR="00981775" w:rsidRDefault="00981775" w:rsidP="00981775">
      <w:pPr>
        <w:pStyle w:val="SangriaFrancesaArticulo"/>
      </w:pPr>
      <w:r w:rsidRPr="00981775">
        <w:rPr>
          <w:rStyle w:val="TextoNormalNegritaCaracter"/>
        </w:rPr>
        <w:t>Disposición adicional vigesimocuarta.</w:t>
      </w:r>
      <w:r w:rsidRPr="00981775">
        <w:rPr>
          <w:rStyle w:val="TextoNormalCaracter"/>
        </w:rPr>
        <w:t>-</w:t>
      </w:r>
      <w:r>
        <w:t xml:space="preserve"> Auto </w:t>
      </w:r>
      <w:hyperlink w:anchor="AUTO_2015_182" w:history="1">
        <w:r w:rsidRPr="00981775">
          <w:rPr>
            <w:rStyle w:val="TextoNormalCaracter"/>
          </w:rPr>
          <w:t>182/2015</w:t>
        </w:r>
      </w:hyperlink>
      <w:r>
        <w:t>.</w:t>
      </w:r>
    </w:p>
    <w:p w:rsidR="00981775" w:rsidRDefault="00981775" w:rsidP="00981775">
      <w:pPr>
        <w:pStyle w:val="SangriaFrancesaArticulo"/>
      </w:pPr>
      <w:r w:rsidRPr="00981775">
        <w:rPr>
          <w:rStyle w:val="TextoNormalNegritaCaracter"/>
        </w:rPr>
        <w:t>Disposición adicional vigesimoquinta.</w:t>
      </w:r>
      <w:r w:rsidRPr="00981775">
        <w:rPr>
          <w:rStyle w:val="TextoNormalCaracter"/>
        </w:rPr>
        <w:t>-</w:t>
      </w:r>
      <w:r>
        <w:t xml:space="preserve"> Auto </w:t>
      </w:r>
      <w:hyperlink w:anchor="AUTO_2015_182" w:history="1">
        <w:r w:rsidRPr="00981775">
          <w:rPr>
            <w:rStyle w:val="TextoNormalCaracter"/>
          </w:rPr>
          <w:t>182/2015</w:t>
        </w:r>
      </w:hyperlink>
      <w:r>
        <w:t>.</w:t>
      </w:r>
    </w:p>
    <w:p w:rsidR="00981775" w:rsidRDefault="00981775" w:rsidP="00981775">
      <w:pPr>
        <w:pStyle w:val="SangriaFrancesaArticulo"/>
      </w:pPr>
      <w:r w:rsidRPr="00981775">
        <w:rPr>
          <w:rStyle w:val="TextoNormalNegritaCaracter"/>
        </w:rPr>
        <w:t>Disposición adicional vigesimosexta.</w:t>
      </w:r>
      <w:r w:rsidRPr="00981775">
        <w:rPr>
          <w:rStyle w:val="TextoNormalCaracter"/>
        </w:rPr>
        <w:t>-</w:t>
      </w:r>
      <w:r>
        <w:t xml:space="preserve"> Auto </w:t>
      </w:r>
      <w:hyperlink w:anchor="AUTO_2015_182" w:history="1">
        <w:r w:rsidRPr="00981775">
          <w:rPr>
            <w:rStyle w:val="TextoNormalCaracter"/>
          </w:rPr>
          <w:t>182/2015</w:t>
        </w:r>
      </w:hyperlink>
      <w:r>
        <w:t>.</w:t>
      </w:r>
    </w:p>
    <w:p w:rsidR="00981775" w:rsidRDefault="00981775" w:rsidP="00981775">
      <w:pPr>
        <w:pStyle w:val="SangriaFrancesaArticulo"/>
      </w:pPr>
    </w:p>
    <w:p w:rsidR="00981775" w:rsidRDefault="00981775" w:rsidP="00981775">
      <w:pPr>
        <w:pStyle w:val="TextoNormalNegritaCursivandice"/>
      </w:pPr>
      <w:r>
        <w:t>Ley del Parlamento de Cataluña 9/2015, de 12 de junio. Modifica la Ley 7/2007, de la Agencia Tributaria de Cataluña, para la ordenación de los cuerpos tributarios de adscripción exclusiva a la Agencia</w:t>
      </w:r>
    </w:p>
    <w:p w:rsidR="00981775" w:rsidRDefault="00981775" w:rsidP="00981775">
      <w:pPr>
        <w:pStyle w:val="SangriaFrancesaArticulo"/>
      </w:pPr>
      <w:r w:rsidRPr="00981775">
        <w:rPr>
          <w:rStyle w:val="TextoNormalNegritaCaracter"/>
        </w:rPr>
        <w:t>Artículo 4.</w:t>
      </w:r>
      <w:r w:rsidRPr="00981775">
        <w:rPr>
          <w:rStyle w:val="TextoNormalCaracter"/>
        </w:rPr>
        <w:t>-</w:t>
      </w:r>
      <w:r>
        <w:t xml:space="preserve"> Sentencia </w:t>
      </w:r>
      <w:hyperlink w:anchor="SENTENCIA_2015_238" w:history="1">
        <w:r w:rsidRPr="00981775">
          <w:rPr>
            <w:rStyle w:val="TextoNormalCaracter"/>
          </w:rPr>
          <w:t>238/2015</w:t>
        </w:r>
      </w:hyperlink>
      <w:r>
        <w:t xml:space="preserve"> (anula).</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B.9) Extremadura</w:t>
      </w:r>
    </w:p>
    <w:p w:rsidR="00981775" w:rsidRDefault="00981775" w:rsidP="00981775">
      <w:pPr>
        <w:pStyle w:val="TextoNormalNegritaCentrado"/>
      </w:pPr>
    </w:p>
    <w:p w:rsidR="00981775" w:rsidRDefault="00981775" w:rsidP="00981775">
      <w:pPr>
        <w:pStyle w:val="TextoNormalNegritaCursivandice"/>
      </w:pPr>
      <w:r>
        <w:t>Ley de la Asamblea de Extremadura 15/2001, de 14 de diciembre.  Normas reguladoras de ordenación del territorio-suelo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223" w:history="1">
        <w:r w:rsidRPr="00981775">
          <w:rPr>
            <w:rStyle w:val="TextoNormalCaracter"/>
          </w:rPr>
          <w:t>223/2015</w:t>
        </w:r>
      </w:hyperlink>
      <w:r>
        <w:t>.</w:t>
      </w:r>
    </w:p>
    <w:p w:rsidR="00981775" w:rsidRDefault="00981775" w:rsidP="00981775">
      <w:pPr>
        <w:pStyle w:val="SangriaFrancesaArticulo"/>
      </w:pPr>
    </w:p>
    <w:p w:rsidR="00981775" w:rsidRDefault="00981775" w:rsidP="00981775">
      <w:pPr>
        <w:pStyle w:val="TextoNormalNegritaCursivandice"/>
      </w:pPr>
      <w:r>
        <w:t>Ley de la Asamblea de Extremadura 9/2010, de 18 de octubre. Modificación de la Ley 15/2001, de 14 de diciembre, del suelo y ordenación territorial de Extremadura</w:t>
      </w:r>
    </w:p>
    <w:p w:rsidR="00981775" w:rsidRDefault="00981775" w:rsidP="00981775">
      <w:pPr>
        <w:pStyle w:val="SangriaFrancesaArticulo"/>
      </w:pPr>
      <w:r w:rsidRPr="00981775">
        <w:rPr>
          <w:rStyle w:val="TextoNormalNegritaCaracter"/>
        </w:rPr>
        <w:t>Artículo único, apartados 4, 5, 7, 13 a 15, 30 y 48.</w:t>
      </w:r>
      <w:r w:rsidRPr="00981775">
        <w:rPr>
          <w:rStyle w:val="TextoNormalCaracter"/>
        </w:rPr>
        <w:t>-</w:t>
      </w:r>
      <w:r>
        <w:t xml:space="preserve"> Auto </w:t>
      </w:r>
      <w:hyperlink w:anchor="AUTO_2015_223" w:history="1">
        <w:r w:rsidRPr="00981775">
          <w:rPr>
            <w:rStyle w:val="TextoNormalCaracter"/>
          </w:rPr>
          <w:t>223/2015</w:t>
        </w:r>
      </w:hyperlink>
      <w:r>
        <w:t>.</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B.10) Galicia</w:t>
      </w:r>
    </w:p>
    <w:p w:rsidR="00981775" w:rsidRDefault="00981775" w:rsidP="00981775">
      <w:pPr>
        <w:pStyle w:val="TextoNormalNegritaCentrado"/>
      </w:pPr>
    </w:p>
    <w:p w:rsidR="00981775" w:rsidRDefault="00981775" w:rsidP="00981775">
      <w:pPr>
        <w:pStyle w:val="TextoNormalNegritaCursivandice"/>
      </w:pPr>
      <w:r>
        <w:t>Decreto Legislativo de la Junta de Galicia 1/2008, de 13 de marzo. Texto refundido de la Ley de la función pública de Galicia</w:t>
      </w:r>
    </w:p>
    <w:p w:rsidR="00981775" w:rsidRDefault="00981775" w:rsidP="00981775">
      <w:pPr>
        <w:pStyle w:val="SangriaFrancesaArticulo"/>
      </w:pPr>
      <w:r w:rsidRPr="00981775">
        <w:rPr>
          <w:rStyle w:val="TextoNormalNegritaCaracter"/>
        </w:rPr>
        <w:t>Artículo 30.</w:t>
      </w:r>
      <w:r w:rsidRPr="00981775">
        <w:rPr>
          <w:rStyle w:val="TextoNormalCaracter"/>
        </w:rPr>
        <w:t>-</w:t>
      </w:r>
      <w:r>
        <w:t xml:space="preserve"> Sentencia </w:t>
      </w:r>
      <w:hyperlink w:anchor="SENTENCIA_2015_157" w:history="1">
        <w:r w:rsidRPr="00981775">
          <w:rPr>
            <w:rStyle w:val="TextoNormalCaracter"/>
          </w:rPr>
          <w:t>157/2015</w:t>
        </w:r>
      </w:hyperlink>
      <w:r>
        <w:t>.</w:t>
      </w:r>
    </w:p>
    <w:p w:rsidR="00981775" w:rsidRDefault="00981775" w:rsidP="00981775">
      <w:pPr>
        <w:pStyle w:val="SangriaFrancesaArticulo"/>
      </w:pPr>
    </w:p>
    <w:p w:rsidR="00981775" w:rsidRDefault="00981775" w:rsidP="00981775">
      <w:pPr>
        <w:pStyle w:val="TextoNormalNegritaCursivandice"/>
      </w:pPr>
      <w:r>
        <w:t>Ley del Parlamento de Galicia 15/2010, de 28 de diciembre. Medidas fiscales y administrativas</w:t>
      </w:r>
    </w:p>
    <w:p w:rsidR="00981775" w:rsidRDefault="00981775" w:rsidP="00981775">
      <w:pPr>
        <w:pStyle w:val="SangriaFrancesaArticulo"/>
      </w:pPr>
      <w:r w:rsidRPr="00981775">
        <w:rPr>
          <w:rStyle w:val="TextoNormalNegritaCaracter"/>
        </w:rPr>
        <w:t>Artículo 21.</w:t>
      </w:r>
      <w:r w:rsidRPr="00981775">
        <w:rPr>
          <w:rStyle w:val="TextoNormalCaracter"/>
        </w:rPr>
        <w:t>-</w:t>
      </w:r>
      <w:r>
        <w:t xml:space="preserve"> Sentencia </w:t>
      </w:r>
      <w:hyperlink w:anchor="SENTENCIA_2015_157" w:history="1">
        <w:r w:rsidRPr="00981775">
          <w:rPr>
            <w:rStyle w:val="TextoNormalCaracter"/>
          </w:rPr>
          <w:t>157/2015</w:t>
        </w:r>
      </w:hyperlink>
      <w:r>
        <w:t>.</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B.11) Madrid</w:t>
      </w:r>
    </w:p>
    <w:p w:rsidR="00981775" w:rsidRDefault="00981775" w:rsidP="00981775">
      <w:pPr>
        <w:pStyle w:val="TextoNormalNegritaCentrado"/>
      </w:pPr>
    </w:p>
    <w:p w:rsidR="00981775" w:rsidRDefault="00981775" w:rsidP="00981775">
      <w:pPr>
        <w:pStyle w:val="TextoNormalNegritaCursivandice"/>
      </w:pPr>
      <w:r>
        <w:t>Ley de la Asamblea de Madrid 16/1995, de 4 de mayo. Forestal y de Protección de la Naturaleza de la Comunidad de Madrid</w:t>
      </w:r>
    </w:p>
    <w:p w:rsidR="00981775" w:rsidRDefault="00981775" w:rsidP="00981775">
      <w:pPr>
        <w:pStyle w:val="SangriaFrancesaArticulo"/>
      </w:pPr>
      <w:r w:rsidRPr="00981775">
        <w:rPr>
          <w:rStyle w:val="TextoNormalNegritaCaracter"/>
        </w:rPr>
        <w:t>Artículo 100.3, párrafo primero</w:t>
      </w:r>
      <w:r>
        <w:t xml:space="preserve"> (redactado por la Ley 3/2007, de 26 de julio)</w:t>
      </w:r>
      <w:r w:rsidRPr="00981775">
        <w:rPr>
          <w:rStyle w:val="TextoNormalNegritaCaracter"/>
        </w:rPr>
        <w:t>.</w:t>
      </w:r>
      <w:r w:rsidRPr="00981775">
        <w:rPr>
          <w:rStyle w:val="TextoNormalCaracter"/>
        </w:rPr>
        <w:t>-</w:t>
      </w:r>
      <w:r>
        <w:t xml:space="preserve"> Sentencia </w:t>
      </w:r>
      <w:hyperlink w:anchor="SENTENCIA_2015_214" w:history="1">
        <w:r w:rsidRPr="00981775">
          <w:rPr>
            <w:rStyle w:val="TextoNormalCaracter"/>
          </w:rPr>
          <w:t>214/2015</w:t>
        </w:r>
      </w:hyperlink>
      <w:r>
        <w:t xml:space="preserve"> (anula).</w:t>
      </w:r>
    </w:p>
    <w:p w:rsidR="00981775" w:rsidRDefault="00981775" w:rsidP="00981775">
      <w:pPr>
        <w:pStyle w:val="SangriaFrancesaArticulo"/>
      </w:pPr>
    </w:p>
    <w:p w:rsidR="00981775" w:rsidRDefault="00981775" w:rsidP="00981775">
      <w:pPr>
        <w:pStyle w:val="TextoNormalNegritaCursivandice"/>
      </w:pPr>
      <w:r>
        <w:t>Ley de la Asamblea de Madrid 3/2007, de 26 de julio. Medidas urgentes de modernización del Gobierno y la Administración de la Comunidad de Madrid</w:t>
      </w:r>
    </w:p>
    <w:p w:rsidR="00981775" w:rsidRDefault="00981775" w:rsidP="00981775">
      <w:pPr>
        <w:pStyle w:val="SangriaFrancesaArticulo"/>
      </w:pPr>
      <w:r w:rsidRPr="00981775">
        <w:rPr>
          <w:rStyle w:val="TextoNormalNegritaCaracter"/>
        </w:rPr>
        <w:t>Artículo 9.</w:t>
      </w:r>
      <w:r w:rsidRPr="00981775">
        <w:rPr>
          <w:rStyle w:val="TextoNormalCaracter"/>
        </w:rPr>
        <w:t>-</w:t>
      </w:r>
      <w:r>
        <w:t xml:space="preserve"> Sentencia </w:t>
      </w:r>
      <w:hyperlink w:anchor="SENTENCIA_2015_214" w:history="1">
        <w:r w:rsidRPr="00981775">
          <w:rPr>
            <w:rStyle w:val="TextoNormalCaracter"/>
          </w:rPr>
          <w:t>214/2015</w:t>
        </w:r>
      </w:hyperlink>
      <w:r>
        <w:t xml:space="preserve"> (anula).</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B.12) Murcia</w:t>
      </w:r>
    </w:p>
    <w:p w:rsidR="00981775" w:rsidRDefault="00981775" w:rsidP="00981775">
      <w:pPr>
        <w:pStyle w:val="TextoNormalNegritaCentrado"/>
      </w:pPr>
    </w:p>
    <w:p w:rsidR="00981775" w:rsidRDefault="00981775" w:rsidP="00981775">
      <w:pPr>
        <w:pStyle w:val="TextoNormalNegritaCursivandice"/>
      </w:pPr>
      <w:r>
        <w:t>Ley de la Asamblea Regional de Murcia 9/2012, de 8 de noviembre. Adaptación de la normativa regional en materia de función pública al Real Decreto-ley 20/2012, de 13 de julio, de medidas para garantizar la estabilidad presupuestaria y de fomento de la competitividad</w:t>
      </w:r>
    </w:p>
    <w:p w:rsidR="00981775" w:rsidRDefault="00981775" w:rsidP="00981775">
      <w:pPr>
        <w:pStyle w:val="SangriaFrancesaArticulo"/>
      </w:pPr>
      <w:r w:rsidRPr="00981775">
        <w:rPr>
          <w:rStyle w:val="TextoNormalNegritaCaracter"/>
        </w:rPr>
        <w:t>Artículo 2.1.</w:t>
      </w:r>
      <w:r w:rsidRPr="00981775">
        <w:rPr>
          <w:rStyle w:val="TextoNormalCaracter"/>
        </w:rPr>
        <w:t>-</w:t>
      </w:r>
      <w:r>
        <w:t xml:space="preserve"> Sentencias </w:t>
      </w:r>
      <w:hyperlink w:anchor="SENTENCIA_2015_228" w:history="1">
        <w:r w:rsidRPr="00981775">
          <w:rPr>
            <w:rStyle w:val="TextoNormalCaracter"/>
          </w:rPr>
          <w:t>228/2015</w:t>
        </w:r>
      </w:hyperlink>
      <w:r>
        <w:t xml:space="preserve">; </w:t>
      </w:r>
      <w:hyperlink w:anchor="SENTENCIA_2015_245" w:history="1">
        <w:r w:rsidRPr="00981775">
          <w:rPr>
            <w:rStyle w:val="TextoNormalCaracter"/>
          </w:rPr>
          <w:t>245/2015</w:t>
        </w:r>
      </w:hyperlink>
      <w:r>
        <w:t>.</w:t>
      </w:r>
    </w:p>
    <w:p w:rsidR="00981775" w:rsidRDefault="00981775" w:rsidP="00981775">
      <w:pPr>
        <w:pStyle w:val="SangriaIzquierdaArticulo"/>
      </w:pPr>
      <w:r>
        <w:t xml:space="preserve">Autos </w:t>
      </w:r>
      <w:hyperlink w:anchor="AUTO_2015_154" w:history="1">
        <w:r w:rsidRPr="00981775">
          <w:rPr>
            <w:rStyle w:val="TextoNormalCaracter"/>
          </w:rPr>
          <w:t>154/2015</w:t>
        </w:r>
      </w:hyperlink>
      <w:r>
        <w:t xml:space="preserve">; </w:t>
      </w:r>
      <w:hyperlink w:anchor="AUTO_2015_183" w:history="1">
        <w:r w:rsidRPr="00981775">
          <w:rPr>
            <w:rStyle w:val="TextoNormalCaracter"/>
          </w:rPr>
          <w:t>183/2015</w:t>
        </w:r>
      </w:hyperlink>
      <w:r>
        <w:t xml:space="preserve">; </w:t>
      </w:r>
      <w:hyperlink w:anchor="AUTO_2015_225" w:history="1">
        <w:r w:rsidRPr="00981775">
          <w:rPr>
            <w:rStyle w:val="TextoNormalCaracter"/>
          </w:rPr>
          <w:t>225/2015</w:t>
        </w:r>
      </w:hyperlink>
      <w:r>
        <w:t>.</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B.13) Navarra</w:t>
      </w:r>
    </w:p>
    <w:p w:rsidR="00981775" w:rsidRDefault="00981775" w:rsidP="00981775">
      <w:pPr>
        <w:pStyle w:val="TextoNormalNegritaCentrado"/>
      </w:pPr>
    </w:p>
    <w:p w:rsidR="00981775" w:rsidRDefault="00981775" w:rsidP="00981775">
      <w:pPr>
        <w:pStyle w:val="TextoNormalNegritaCursivandice"/>
      </w:pPr>
      <w:r>
        <w:t>Ley Foral del Parlamento de Navarra 24/2014, de 2 de diciembre. Reguladora de los colectivos de usuarios de cannabis de Navarra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70" w:history="1">
        <w:r w:rsidRPr="00981775">
          <w:rPr>
            <w:rStyle w:val="TextoNormalCaracter"/>
          </w:rPr>
          <w:t>170/2015</w:t>
        </w:r>
      </w:hyperlink>
      <w:r>
        <w:t>.</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B.14) Valencia</w:t>
      </w:r>
    </w:p>
    <w:p w:rsidR="00981775" w:rsidRDefault="00981775" w:rsidP="00981775">
      <w:pPr>
        <w:pStyle w:val="TextoNormalNegritaCentrado"/>
      </w:pPr>
    </w:p>
    <w:p w:rsidR="00981775" w:rsidRDefault="00981775" w:rsidP="00981775">
      <w:pPr>
        <w:pStyle w:val="TextoNormalNegritaCursivandice"/>
      </w:pPr>
      <w:r>
        <w:t>Ley de las Cortes Valencianas 6/2009, de 30 de junio, de protección a la maternidad</w:t>
      </w:r>
    </w:p>
    <w:p w:rsidR="00981775" w:rsidRDefault="00981775" w:rsidP="00981775">
      <w:pPr>
        <w:pStyle w:val="SangriaFrancesaArticulo"/>
      </w:pPr>
      <w:r w:rsidRPr="00981775">
        <w:rPr>
          <w:rStyle w:val="TextoNormalNegritaCaracter"/>
        </w:rPr>
        <w:t>Artículo 22.</w:t>
      </w:r>
      <w:r w:rsidRPr="00981775">
        <w:rPr>
          <w:rStyle w:val="TextoNormalCaracter"/>
        </w:rPr>
        <w:t>-</w:t>
      </w:r>
      <w:r>
        <w:t xml:space="preserve"> Sentencia </w:t>
      </w:r>
      <w:hyperlink w:anchor="SENTENCIA_2015_271" w:history="1">
        <w:r w:rsidRPr="00981775">
          <w:rPr>
            <w:rStyle w:val="TextoNormalCaracter"/>
          </w:rPr>
          <w:t>271/2015</w:t>
        </w:r>
      </w:hyperlink>
      <w:r>
        <w:t>.</w:t>
      </w:r>
    </w:p>
    <w:p w:rsidR="00981775" w:rsidRDefault="00981775">
      <w:pPr>
        <w:spacing w:after="160" w:line="259" w:lineRule="auto"/>
        <w:rPr>
          <w:rFonts w:ascii="Times New Roman" w:eastAsia="Times New Roman" w:hAnsi="Times New Roman" w:cs="Times New Roman"/>
          <w:sz w:val="24"/>
          <w:szCs w:val="24"/>
          <w:lang w:eastAsia="es-ES"/>
        </w:rPr>
      </w:pPr>
      <w:r>
        <w:br w:type="page"/>
      </w:r>
    </w:p>
    <w:p w:rsidR="00981775" w:rsidRDefault="00981775" w:rsidP="00981775">
      <w:pPr>
        <w:pStyle w:val="SangriaFrancesaArticulo"/>
      </w:pPr>
    </w:p>
    <w:p w:rsidR="00981775" w:rsidRDefault="00981775" w:rsidP="00981775">
      <w:pPr>
        <w:pStyle w:val="TextoNormal"/>
      </w:pPr>
    </w:p>
    <w:p w:rsidR="00981775" w:rsidRDefault="00981775" w:rsidP="00981775">
      <w:pPr>
        <w:pStyle w:val="TextoNormal"/>
      </w:pPr>
    </w:p>
    <w:p w:rsidR="00981775" w:rsidRDefault="00981775" w:rsidP="00981775">
      <w:pPr>
        <w:pStyle w:val="TextoNormal"/>
      </w:pPr>
    </w:p>
    <w:p w:rsidR="00981775" w:rsidRDefault="00981775" w:rsidP="00981775">
      <w:pPr>
        <w:pStyle w:val="Ttulondice"/>
        <w:suppressAutoHyphens/>
      </w:pPr>
      <w:r>
        <w:t>4. ÍNDICE DE DISPOSICIONES GENERALES IMPUGNADAS</w:t>
      </w: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pPr>
    </w:p>
    <w:p w:rsidR="00981775" w:rsidRDefault="00981775" w:rsidP="00981775">
      <w:pPr>
        <w:pStyle w:val="TextoNormal"/>
      </w:pPr>
      <w:bookmarkStart w:id="246" w:name="INDICE22803"/>
      <w:bookmarkEnd w:id="246"/>
    </w:p>
    <w:p w:rsidR="00981775" w:rsidRDefault="00981775" w:rsidP="00981775">
      <w:pPr>
        <w:pStyle w:val="TextoIndiceNivel2"/>
        <w:suppressAutoHyphens/>
      </w:pPr>
      <w:r>
        <w:t>A) Disposiciones del Estado</w:t>
      </w:r>
    </w:p>
    <w:p w:rsidR="00981775" w:rsidRDefault="00981775" w:rsidP="00981775">
      <w:pPr>
        <w:pStyle w:val="TextoIndiceNivel2"/>
      </w:pPr>
    </w:p>
    <w:p w:rsidR="00981775" w:rsidRDefault="00981775" w:rsidP="00981775">
      <w:pPr>
        <w:pStyle w:val="TextoNormalNegritaCursivandice"/>
      </w:pPr>
      <w:r>
        <w:t>Resolución de 22 de septiembre de 2009, del Servicio Público de Empleo Estatal. Se convoca la concesión de subvenciones para la realización de programas específicos de formación e inserción laboral a favor de jóvenes desempleados en situación o con riesgo de exclusión social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8" w:history="1">
        <w:r w:rsidRPr="00981775">
          <w:rPr>
            <w:rStyle w:val="TextoNormalCaracter"/>
          </w:rPr>
          <w:t>178/2015</w:t>
        </w:r>
      </w:hyperlink>
      <w:r>
        <w:t xml:space="preserve"> (declara vulnerado el orden competencial).</w:t>
      </w:r>
    </w:p>
    <w:p w:rsidR="00981775" w:rsidRDefault="00981775" w:rsidP="00981775">
      <w:pPr>
        <w:pStyle w:val="SangriaFrancesaArticulo"/>
      </w:pPr>
    </w:p>
    <w:p w:rsidR="00981775" w:rsidRDefault="00981775" w:rsidP="00981775">
      <w:pPr>
        <w:pStyle w:val="TextoNormalNegritaCursivandice"/>
      </w:pPr>
      <w:r>
        <w:t>Resolución de 1 de febrero de 2010, del Servicio Público de Empleo Estatal. Aprueba la convocatoria para la concesión, con cargo al ejercicio presupuestario de 2010, de subvenciones públicas para la ejecución de planes de formación mediante convenios, de ámbito estatal, dirigidos prioritariamente a los trabajadores ocupados, en aplicación de la Orden TAS/718/2008, de 7 de marzo, por la que se regula la formación de oferta y se establecen las bases reguladoras para la concesión de subvenciones públicas destinadas a su financiación</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85" w:history="1">
        <w:r w:rsidRPr="00981775">
          <w:rPr>
            <w:rStyle w:val="TextoNormalCaracter"/>
          </w:rPr>
          <w:t>185/2015</w:t>
        </w:r>
      </w:hyperlink>
      <w:r>
        <w:t>.</w:t>
      </w:r>
    </w:p>
    <w:p w:rsidR="00981775" w:rsidRDefault="00981775" w:rsidP="00981775">
      <w:pPr>
        <w:pStyle w:val="TextoNormal"/>
      </w:pPr>
    </w:p>
    <w:p w:rsidR="00981775" w:rsidRDefault="00981775" w:rsidP="00981775">
      <w:pPr>
        <w:pStyle w:val="SangriaFrancesaArticulo"/>
      </w:pPr>
      <w:bookmarkStart w:id="247" w:name="INDICE22824"/>
    </w:p>
    <w:bookmarkEnd w:id="247"/>
    <w:p w:rsidR="00981775" w:rsidRDefault="00981775" w:rsidP="00981775">
      <w:pPr>
        <w:pStyle w:val="TextoIndiceNivel2"/>
        <w:suppressAutoHyphens/>
      </w:pPr>
      <w:r>
        <w:t>B) Disposiciones de las Comunidades y Ciudades Autónomas</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B.1) Cataluña</w:t>
      </w:r>
    </w:p>
    <w:p w:rsidR="00981775" w:rsidRDefault="00981775" w:rsidP="00981775">
      <w:pPr>
        <w:pStyle w:val="TextoNormalNegritaCentrado"/>
      </w:pPr>
    </w:p>
    <w:p w:rsidR="00981775" w:rsidRDefault="00981775" w:rsidP="00981775">
      <w:pPr>
        <w:pStyle w:val="TextoNormalNegritaCursivandice"/>
      </w:pPr>
      <w:r>
        <w:t>Decreto de la Generalitat de Cataluña 16/2015, de 24 de febrero. Creación del Comisionado para la Transición Nacional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86" w:history="1">
        <w:r w:rsidRPr="00981775">
          <w:rPr>
            <w:rStyle w:val="TextoNormalCaracter"/>
          </w:rPr>
          <w:t>186/2015</w:t>
        </w:r>
      </w:hyperlink>
      <w:r>
        <w:t>.</w:t>
      </w:r>
    </w:p>
    <w:p w:rsidR="00981775" w:rsidRDefault="00981775" w:rsidP="00981775">
      <w:pPr>
        <w:pStyle w:val="SangriaFrancesaArticulo"/>
      </w:pPr>
    </w:p>
    <w:p w:rsidR="00981775" w:rsidRDefault="00981775" w:rsidP="00981775">
      <w:pPr>
        <w:pStyle w:val="TextoNormalNegritaCursivandice"/>
      </w:pPr>
      <w:r>
        <w:t>Decreto de la Generalitat de Cataluña 69/2015, de 5 de mayo. Modifica la demarcación de los registros de la propiedad, mercantiles y de bienes muebles de Cataluña</w:t>
      </w:r>
    </w:p>
    <w:p w:rsidR="00981775" w:rsidRDefault="00981775" w:rsidP="00981775">
      <w:pPr>
        <w:pStyle w:val="SangriaFrancesaArticulo"/>
      </w:pPr>
      <w:r w:rsidRPr="00981775">
        <w:rPr>
          <w:rStyle w:val="TextoNormalNegritaCaracter"/>
        </w:rPr>
        <w:t>Artículo 1.</w:t>
      </w:r>
      <w:r w:rsidRPr="00981775">
        <w:rPr>
          <w:rStyle w:val="TextoNormalCaracter"/>
        </w:rPr>
        <w:t>-</w:t>
      </w:r>
      <w:r>
        <w:t xml:space="preserve"> Auto </w:t>
      </w:r>
      <w:hyperlink w:anchor="AUTO_2015_185" w:history="1">
        <w:r w:rsidRPr="00981775">
          <w:rPr>
            <w:rStyle w:val="TextoNormalCaracter"/>
          </w:rPr>
          <w:t>185/2015</w:t>
        </w:r>
      </w:hyperlink>
      <w:r>
        <w:t>.</w:t>
      </w:r>
    </w:p>
    <w:p w:rsidR="00981775" w:rsidRDefault="00981775" w:rsidP="00981775">
      <w:pPr>
        <w:pStyle w:val="SangriaFrancesaArticulo"/>
      </w:pPr>
      <w:r w:rsidRPr="00981775">
        <w:rPr>
          <w:rStyle w:val="TextoNormalNegritaCaracter"/>
        </w:rPr>
        <w:t>Artículo 2.</w:t>
      </w:r>
      <w:r w:rsidRPr="00981775">
        <w:rPr>
          <w:rStyle w:val="TextoNormalCaracter"/>
        </w:rPr>
        <w:t>-</w:t>
      </w:r>
      <w:r>
        <w:t xml:space="preserve"> Auto </w:t>
      </w:r>
      <w:hyperlink w:anchor="AUTO_2015_185" w:history="1">
        <w:r w:rsidRPr="00981775">
          <w:rPr>
            <w:rStyle w:val="TextoNormalCaracter"/>
          </w:rPr>
          <w:t>185/2015</w:t>
        </w:r>
      </w:hyperlink>
      <w:r>
        <w:t>.</w:t>
      </w:r>
    </w:p>
    <w:p w:rsidR="00981775" w:rsidRDefault="00981775" w:rsidP="00981775">
      <w:pPr>
        <w:pStyle w:val="SangriaFrancesaArticulo"/>
      </w:pPr>
      <w:r w:rsidRPr="00981775">
        <w:rPr>
          <w:rStyle w:val="TextoNormalNegritaCaracter"/>
        </w:rPr>
        <w:t>Artículo 3.</w:t>
      </w:r>
      <w:r w:rsidRPr="00981775">
        <w:rPr>
          <w:rStyle w:val="TextoNormalCaracter"/>
        </w:rPr>
        <w:t>-</w:t>
      </w:r>
      <w:r>
        <w:t xml:space="preserve"> Auto </w:t>
      </w:r>
      <w:hyperlink w:anchor="AUTO_2015_185" w:history="1">
        <w:r w:rsidRPr="00981775">
          <w:rPr>
            <w:rStyle w:val="TextoNormalCaracter"/>
          </w:rPr>
          <w:t>185/2015</w:t>
        </w:r>
      </w:hyperlink>
      <w:r>
        <w:t>.</w:t>
      </w:r>
    </w:p>
    <w:p w:rsidR="00981775" w:rsidRDefault="00981775" w:rsidP="00981775">
      <w:pPr>
        <w:pStyle w:val="SangriaFrancesaArticulo"/>
      </w:pPr>
      <w:r w:rsidRPr="00981775">
        <w:rPr>
          <w:rStyle w:val="TextoNormalNegritaCaracter"/>
        </w:rPr>
        <w:t>Disposición adicional primera.</w:t>
      </w:r>
      <w:r w:rsidRPr="00981775">
        <w:rPr>
          <w:rStyle w:val="TextoNormalCaracter"/>
        </w:rPr>
        <w:t>-</w:t>
      </w:r>
      <w:r>
        <w:t xml:space="preserve"> Auto </w:t>
      </w:r>
      <w:hyperlink w:anchor="AUTO_2015_185" w:history="1">
        <w:r w:rsidRPr="00981775">
          <w:rPr>
            <w:rStyle w:val="TextoNormalCaracter"/>
          </w:rPr>
          <w:t>185/2015</w:t>
        </w:r>
      </w:hyperlink>
      <w:r>
        <w:t>.</w:t>
      </w:r>
    </w:p>
    <w:p w:rsidR="00981775" w:rsidRDefault="00981775" w:rsidP="00981775">
      <w:pPr>
        <w:pStyle w:val="SangriaFrancesaArticulo"/>
      </w:pPr>
      <w:r w:rsidRPr="00981775">
        <w:rPr>
          <w:rStyle w:val="TextoNormalNegritaCaracter"/>
        </w:rPr>
        <w:t>Disposición adicional segunda.</w:t>
      </w:r>
      <w:r w:rsidRPr="00981775">
        <w:rPr>
          <w:rStyle w:val="TextoNormalCaracter"/>
        </w:rPr>
        <w:t>-</w:t>
      </w:r>
      <w:r>
        <w:t xml:space="preserve"> Auto </w:t>
      </w:r>
      <w:hyperlink w:anchor="AUTO_2015_185" w:history="1">
        <w:r w:rsidRPr="00981775">
          <w:rPr>
            <w:rStyle w:val="TextoNormalCaracter"/>
          </w:rPr>
          <w:t>185/2015</w:t>
        </w:r>
      </w:hyperlink>
      <w:r>
        <w:t>.</w:t>
      </w:r>
    </w:p>
    <w:p w:rsidR="00981775" w:rsidRDefault="00981775" w:rsidP="00981775">
      <w:pPr>
        <w:pStyle w:val="SangriaFrancesaArticulo"/>
      </w:pPr>
      <w:r w:rsidRPr="00981775">
        <w:rPr>
          <w:rStyle w:val="TextoNormalNegritaCaracter"/>
        </w:rPr>
        <w:t>Disposición adicional tercera.</w:t>
      </w:r>
      <w:r w:rsidRPr="00981775">
        <w:rPr>
          <w:rStyle w:val="TextoNormalCaracter"/>
        </w:rPr>
        <w:t>-</w:t>
      </w:r>
      <w:r>
        <w:t xml:space="preserve"> Auto </w:t>
      </w:r>
      <w:hyperlink w:anchor="AUTO_2015_185" w:history="1">
        <w:r w:rsidRPr="00981775">
          <w:rPr>
            <w:rStyle w:val="TextoNormalCaracter"/>
          </w:rPr>
          <w:t>185/2015</w:t>
        </w:r>
      </w:hyperlink>
      <w:r>
        <w:t>.</w:t>
      </w:r>
    </w:p>
    <w:p w:rsidR="00981775" w:rsidRDefault="00981775" w:rsidP="00981775">
      <w:pPr>
        <w:pStyle w:val="SangriaFrancesaArticulo"/>
      </w:pPr>
      <w:r w:rsidRPr="00981775">
        <w:rPr>
          <w:rStyle w:val="TextoNormalNegritaCaracter"/>
        </w:rPr>
        <w:t>Disposición transitoria.</w:t>
      </w:r>
      <w:r w:rsidRPr="00981775">
        <w:rPr>
          <w:rStyle w:val="TextoNormalCaracter"/>
        </w:rPr>
        <w:t>-</w:t>
      </w:r>
      <w:r>
        <w:t xml:space="preserve"> Auto </w:t>
      </w:r>
      <w:hyperlink w:anchor="AUTO_2015_185" w:history="1">
        <w:r w:rsidRPr="00981775">
          <w:rPr>
            <w:rStyle w:val="TextoNormalCaracter"/>
          </w:rPr>
          <w:t>185/2015</w:t>
        </w:r>
      </w:hyperlink>
      <w:r>
        <w:t>.</w:t>
      </w:r>
    </w:p>
    <w:p w:rsidR="00981775" w:rsidRDefault="00981775" w:rsidP="00981775">
      <w:pPr>
        <w:pStyle w:val="SangriaFrancesaArticulo"/>
      </w:pPr>
      <w:r w:rsidRPr="00981775">
        <w:rPr>
          <w:rStyle w:val="TextoNormalNegritaCaracter"/>
        </w:rPr>
        <w:t>Disposición final primera.</w:t>
      </w:r>
      <w:r w:rsidRPr="00981775">
        <w:rPr>
          <w:rStyle w:val="TextoNormalCaracter"/>
        </w:rPr>
        <w:t>-</w:t>
      </w:r>
      <w:r>
        <w:t xml:space="preserve"> Auto </w:t>
      </w:r>
      <w:hyperlink w:anchor="AUTO_2015_185" w:history="1">
        <w:r w:rsidRPr="00981775">
          <w:rPr>
            <w:rStyle w:val="TextoNormalCaracter"/>
          </w:rPr>
          <w:t>185/2015</w:t>
        </w:r>
      </w:hyperlink>
      <w:r>
        <w:t>.</w:t>
      </w:r>
    </w:p>
    <w:p w:rsidR="00981775" w:rsidRDefault="00981775" w:rsidP="00981775">
      <w:pPr>
        <w:pStyle w:val="SangriaFrancesaArticulo"/>
      </w:pPr>
      <w:r w:rsidRPr="00981775">
        <w:rPr>
          <w:rStyle w:val="TextoNormalNegritaCaracter"/>
        </w:rPr>
        <w:t>Disposición final segunda.</w:t>
      </w:r>
      <w:r w:rsidRPr="00981775">
        <w:rPr>
          <w:rStyle w:val="TextoNormalCaracter"/>
        </w:rPr>
        <w:t>-</w:t>
      </w:r>
      <w:r>
        <w:t xml:space="preserve"> Auto </w:t>
      </w:r>
      <w:hyperlink w:anchor="AUTO_2015_185" w:history="1">
        <w:r w:rsidRPr="00981775">
          <w:rPr>
            <w:rStyle w:val="TextoNormalCaracter"/>
          </w:rPr>
          <w:t>185/2015</w:t>
        </w:r>
      </w:hyperlink>
      <w:r>
        <w:t>.</w:t>
      </w:r>
    </w:p>
    <w:p w:rsidR="00981775" w:rsidRDefault="00981775" w:rsidP="00981775">
      <w:pPr>
        <w:pStyle w:val="SangriaFrancesaArticulo"/>
      </w:pPr>
      <w:r w:rsidRPr="00981775">
        <w:rPr>
          <w:rStyle w:val="TextoNormalNegritaCaracter"/>
        </w:rPr>
        <w:t>Disposición final tercera.</w:t>
      </w:r>
      <w:r w:rsidRPr="00981775">
        <w:rPr>
          <w:rStyle w:val="TextoNormalCaracter"/>
        </w:rPr>
        <w:t>-</w:t>
      </w:r>
      <w:r>
        <w:t xml:space="preserve"> Auto </w:t>
      </w:r>
      <w:hyperlink w:anchor="AUTO_2015_185" w:history="1">
        <w:r w:rsidRPr="00981775">
          <w:rPr>
            <w:rStyle w:val="TextoNormalCaracter"/>
          </w:rPr>
          <w:t>185/2015</w:t>
        </w:r>
      </w:hyperlink>
      <w:r>
        <w:t>.</w:t>
      </w:r>
    </w:p>
    <w:p w:rsidR="00981775" w:rsidRDefault="00981775" w:rsidP="00981775">
      <w:pPr>
        <w:pStyle w:val="SangriaFrancesaArticulo"/>
      </w:pPr>
      <w:r w:rsidRPr="00981775">
        <w:rPr>
          <w:rStyle w:val="TextoNormalNegritaCaracter"/>
        </w:rPr>
        <w:t>Disposición final cuarta.</w:t>
      </w:r>
      <w:r w:rsidRPr="00981775">
        <w:rPr>
          <w:rStyle w:val="TextoNormalCaracter"/>
        </w:rPr>
        <w:t>-</w:t>
      </w:r>
      <w:r>
        <w:t xml:space="preserve"> Auto </w:t>
      </w:r>
      <w:hyperlink w:anchor="AUTO_2015_185" w:history="1">
        <w:r w:rsidRPr="00981775">
          <w:rPr>
            <w:rStyle w:val="TextoNormalCaracter"/>
          </w:rPr>
          <w:t>185/2015</w:t>
        </w:r>
      </w:hyperlink>
      <w:r>
        <w:t>.</w:t>
      </w:r>
    </w:p>
    <w:p w:rsidR="00981775" w:rsidRDefault="00981775" w:rsidP="00981775">
      <w:pPr>
        <w:pStyle w:val="SangriaFrancesaArticulo"/>
      </w:pPr>
    </w:p>
    <w:p w:rsidR="00981775" w:rsidRDefault="00981775" w:rsidP="00981775">
      <w:pPr>
        <w:pStyle w:val="TextoNormalNegritaCursivandice"/>
      </w:pPr>
      <w:r>
        <w:t>Resolución del Parlamento de Cataluña I/XI, de 9 de noviembre de 2015. Inicio del proceso político en Cataluña como consecuencia de los resultados electorales del 27 de septiembre de 2015</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59" w:history="1">
        <w:r w:rsidRPr="00981775">
          <w:rPr>
            <w:rStyle w:val="TextoNormalCaracter"/>
          </w:rPr>
          <w:t>259/2015</w:t>
        </w:r>
      </w:hyperlink>
      <w:r>
        <w:t xml:space="preserve"> (anula).</w:t>
      </w:r>
    </w:p>
    <w:p w:rsidR="00981775" w:rsidRDefault="00981775">
      <w:pPr>
        <w:spacing w:after="160" w:line="259" w:lineRule="auto"/>
        <w:rPr>
          <w:rFonts w:ascii="Times New Roman" w:eastAsia="Times New Roman" w:hAnsi="Times New Roman" w:cs="Times New Roman"/>
          <w:sz w:val="24"/>
          <w:szCs w:val="24"/>
          <w:lang w:eastAsia="es-ES"/>
        </w:rPr>
      </w:pPr>
      <w:r>
        <w:br w:type="page"/>
      </w:r>
    </w:p>
    <w:p w:rsidR="00981775" w:rsidRDefault="00981775" w:rsidP="00981775">
      <w:pPr>
        <w:pStyle w:val="SangriaFrancesaArticulo"/>
      </w:pPr>
    </w:p>
    <w:p w:rsidR="00981775" w:rsidRDefault="00981775" w:rsidP="00981775">
      <w:pPr>
        <w:pStyle w:val="TextoNormal"/>
      </w:pPr>
    </w:p>
    <w:p w:rsidR="00981775" w:rsidRDefault="00981775" w:rsidP="00981775">
      <w:pPr>
        <w:pStyle w:val="TextoNormal"/>
      </w:pPr>
    </w:p>
    <w:p w:rsidR="00981775" w:rsidRDefault="00981775" w:rsidP="00981775">
      <w:pPr>
        <w:pStyle w:val="TextoNormal"/>
      </w:pPr>
    </w:p>
    <w:p w:rsidR="00981775" w:rsidRDefault="00981775" w:rsidP="00981775">
      <w:pPr>
        <w:pStyle w:val="Ttulondice"/>
        <w:suppressAutoHyphens/>
      </w:pPr>
      <w:r>
        <w:t>5. ÍNDICE DE DISPOSICIONES CITADAS</w:t>
      </w: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pPr>
    </w:p>
    <w:p w:rsidR="00981775" w:rsidRDefault="00981775" w:rsidP="00981775">
      <w:pPr>
        <w:pStyle w:val="TextoNormal"/>
      </w:pPr>
      <w:bookmarkStart w:id="248" w:name="INDICE22804"/>
      <w:bookmarkEnd w:id="248"/>
    </w:p>
    <w:p w:rsidR="00981775" w:rsidRDefault="00981775" w:rsidP="00981775">
      <w:pPr>
        <w:pStyle w:val="TextoIndiceNivel2"/>
        <w:suppressAutoHyphens/>
      </w:pPr>
      <w:r>
        <w:t>A) Constitución</w:t>
      </w:r>
    </w:p>
    <w:p w:rsidR="00981775" w:rsidRDefault="00981775" w:rsidP="00981775">
      <w:pPr>
        <w:pStyle w:val="TextoIndiceNivel2"/>
      </w:pPr>
    </w:p>
    <w:p w:rsidR="00981775" w:rsidRDefault="00981775" w:rsidP="00981775">
      <w:pPr>
        <w:pStyle w:val="TextoNormalNegritaCursivandice"/>
      </w:pPr>
      <w:r>
        <w:t>Constitución española, de 27 de diciembre de 1978</w:t>
      </w:r>
    </w:p>
    <w:p w:rsidR="00981775" w:rsidRDefault="00981775" w:rsidP="00981775">
      <w:pPr>
        <w:pStyle w:val="SangriaFrancesaArticulo"/>
      </w:pPr>
      <w:r w:rsidRPr="00981775">
        <w:rPr>
          <w:rStyle w:val="TextoNormalNegritaCaracter"/>
        </w:rPr>
        <w:t>Título I.</w:t>
      </w:r>
      <w:r w:rsidRPr="00981775">
        <w:rPr>
          <w:rStyle w:val="TextoNormalCaracter"/>
        </w:rPr>
        <w:t>-</w:t>
      </w:r>
      <w:r>
        <w:t xml:space="preserve"> Sentencia </w:t>
      </w:r>
      <w:hyperlink w:anchor="SENTENCIA_2015_216" w:history="1">
        <w:r w:rsidRPr="00981775">
          <w:rPr>
            <w:rStyle w:val="TextoNormalCaracter"/>
          </w:rPr>
          <w:t>216/2015</w:t>
        </w:r>
      </w:hyperlink>
      <w:r>
        <w:t>, f. 7.</w:t>
      </w:r>
    </w:p>
    <w:p w:rsidR="00981775" w:rsidRDefault="00981775" w:rsidP="00981775">
      <w:pPr>
        <w:pStyle w:val="SangriaFrancesaArticulo"/>
      </w:pPr>
      <w:r w:rsidRPr="00981775">
        <w:rPr>
          <w:rStyle w:val="TextoNormalNegritaCaracter"/>
        </w:rPr>
        <w:t>Título I, capítulo II, sección primera.</w:t>
      </w:r>
      <w:r w:rsidRPr="00981775">
        <w:rPr>
          <w:rStyle w:val="TextoNormalCaracter"/>
        </w:rPr>
        <w:t>-</w:t>
      </w:r>
      <w:r>
        <w:t xml:space="preserve"> Sentencia </w:t>
      </w:r>
      <w:hyperlink w:anchor="SENTENCIA_2015_149" w:history="1">
        <w:r w:rsidRPr="00981775">
          <w:rPr>
            <w:rStyle w:val="TextoNormalCaracter"/>
          </w:rPr>
          <w:t>149/2015</w:t>
        </w:r>
      </w:hyperlink>
      <w:r>
        <w:t>, f. 3.</w:t>
      </w:r>
    </w:p>
    <w:p w:rsidR="00981775" w:rsidRDefault="00981775" w:rsidP="00981775">
      <w:pPr>
        <w:pStyle w:val="SangriaFrancesaArticulo"/>
      </w:pPr>
      <w:r w:rsidRPr="00981775">
        <w:rPr>
          <w:rStyle w:val="TextoNormalNegritaCaracter"/>
        </w:rPr>
        <w:t>Título VIII.</w:t>
      </w:r>
      <w:r w:rsidRPr="00981775">
        <w:rPr>
          <w:rStyle w:val="TextoNormalCaracter"/>
        </w:rPr>
        <w:t>-</w:t>
      </w:r>
      <w:r>
        <w:t xml:space="preserve"> Sentencia </w:t>
      </w:r>
      <w:hyperlink w:anchor="SENTENCIA_2015_230" w:history="1">
        <w:r w:rsidRPr="00981775">
          <w:rPr>
            <w:rStyle w:val="TextoNormalCaracter"/>
          </w:rPr>
          <w:t>230/2015</w:t>
        </w:r>
      </w:hyperlink>
      <w:r>
        <w:t>, f. 4.</w:t>
      </w:r>
    </w:p>
    <w:p w:rsidR="00981775" w:rsidRDefault="00981775" w:rsidP="00981775">
      <w:pPr>
        <w:pStyle w:val="SangriaFrancesaArticulo"/>
      </w:pPr>
      <w:r w:rsidRPr="00981775">
        <w:rPr>
          <w:rStyle w:val="TextoNormalNegritaCaracter"/>
        </w:rPr>
        <w:t>Título X.</w:t>
      </w:r>
      <w:r w:rsidRPr="00981775">
        <w:rPr>
          <w:rStyle w:val="TextoNormalCaracter"/>
        </w:rPr>
        <w:t>-</w:t>
      </w:r>
      <w:r>
        <w:t xml:space="preserve"> Auto </w:t>
      </w:r>
      <w:hyperlink w:anchor="AUTO_2015_186" w:history="1">
        <w:r w:rsidRPr="00981775">
          <w:rPr>
            <w:rStyle w:val="TextoNormalCaracter"/>
          </w:rPr>
          <w:t>186/2015</w:t>
        </w:r>
      </w:hyperlink>
      <w:r>
        <w:t>, f. 2.</w:t>
      </w:r>
    </w:p>
    <w:p w:rsidR="00981775" w:rsidRDefault="00981775" w:rsidP="00981775">
      <w:pPr>
        <w:pStyle w:val="SangriaFrancesaArticulo"/>
      </w:pPr>
      <w:r w:rsidRPr="00981775">
        <w:rPr>
          <w:rStyle w:val="TextoNormalNegritaCaracter"/>
        </w:rPr>
        <w:t>Preámbulo.</w:t>
      </w:r>
      <w:r w:rsidRPr="00981775">
        <w:rPr>
          <w:rStyle w:val="TextoNormalCaracter"/>
        </w:rPr>
        <w:t>-</w:t>
      </w:r>
      <w:r>
        <w:t xml:space="preserve"> Sentencias </w:t>
      </w:r>
      <w:hyperlink w:anchor="SENTENCIA_2015_199" w:history="1">
        <w:r w:rsidRPr="00981775">
          <w:rPr>
            <w:rStyle w:val="TextoNormalCaracter"/>
          </w:rPr>
          <w:t>199/2015</w:t>
        </w:r>
      </w:hyperlink>
      <w:r>
        <w:t xml:space="preserve">, VP; </w:t>
      </w:r>
      <w:hyperlink w:anchor="SENTENCIA_2015_259" w:history="1">
        <w:r w:rsidRPr="00981775">
          <w:rPr>
            <w:rStyle w:val="TextoNormalCaracter"/>
          </w:rPr>
          <w:t>259/2015</w:t>
        </w:r>
      </w:hyperlink>
      <w:r>
        <w:t>, f. 5.</w:t>
      </w:r>
    </w:p>
    <w:p w:rsidR="00981775" w:rsidRDefault="00981775" w:rsidP="00981775">
      <w:pPr>
        <w:pStyle w:val="SangriaFrancesaArticulo"/>
      </w:pPr>
      <w:r w:rsidRPr="00981775">
        <w:rPr>
          <w:rStyle w:val="TextoNormalNegritaCaracter"/>
        </w:rPr>
        <w:t>Artículo 1.</w:t>
      </w:r>
      <w:r w:rsidRPr="00981775">
        <w:rPr>
          <w:rStyle w:val="TextoNormalCaracter"/>
        </w:rPr>
        <w:t>-</w:t>
      </w:r>
      <w:r>
        <w:t xml:space="preserve"> Sentencias </w:t>
      </w:r>
      <w:hyperlink w:anchor="SENTENCIA_2015_199" w:history="1">
        <w:r w:rsidRPr="00981775">
          <w:rPr>
            <w:rStyle w:val="TextoNormalCaracter"/>
          </w:rPr>
          <w:t>199/2015</w:t>
        </w:r>
      </w:hyperlink>
      <w:r>
        <w:t xml:space="preserve">, VP; </w:t>
      </w:r>
      <w:hyperlink w:anchor="SENTENCIA_2015_259" w:history="1">
        <w:r w:rsidRPr="00981775">
          <w:rPr>
            <w:rStyle w:val="TextoNormalCaracter"/>
          </w:rPr>
          <w:t>259/2015</w:t>
        </w:r>
      </w:hyperlink>
      <w:r>
        <w:t>, ff. 1, 3.</w:t>
      </w:r>
    </w:p>
    <w:p w:rsidR="00981775" w:rsidRDefault="00981775" w:rsidP="00981775">
      <w:pPr>
        <w:pStyle w:val="SangriaIzquierdaArticulo"/>
      </w:pPr>
      <w:r>
        <w:t xml:space="preserve">Auto </w:t>
      </w:r>
      <w:hyperlink w:anchor="AUTO_2015_155" w:history="1">
        <w:r w:rsidRPr="00981775">
          <w:rPr>
            <w:rStyle w:val="TextoNormalCaracter"/>
          </w:rPr>
          <w:t>155/2015</w:t>
        </w:r>
      </w:hyperlink>
      <w:r>
        <w:t>, f. 1.</w:t>
      </w:r>
    </w:p>
    <w:p w:rsidR="00981775" w:rsidRDefault="00981775" w:rsidP="00981775">
      <w:pPr>
        <w:pStyle w:val="SangriaFrancesaArticulo"/>
      </w:pPr>
      <w:r w:rsidRPr="00981775">
        <w:rPr>
          <w:rStyle w:val="TextoNormalNegritaCaracter"/>
        </w:rPr>
        <w:t>Artículo 1.1.</w:t>
      </w:r>
      <w:r w:rsidRPr="00981775">
        <w:rPr>
          <w:rStyle w:val="TextoNormalCaracter"/>
        </w:rPr>
        <w:t>-</w:t>
      </w:r>
      <w:r>
        <w:t xml:space="preserve"> Sentencias </w:t>
      </w:r>
      <w:hyperlink w:anchor="SENTENCIA_2015_154" w:history="1">
        <w:r w:rsidRPr="00981775">
          <w:rPr>
            <w:rStyle w:val="TextoNormalCaracter"/>
          </w:rPr>
          <w:t>154/2015</w:t>
        </w:r>
      </w:hyperlink>
      <w:r>
        <w:t xml:space="preserve">, f. 4; </w:t>
      </w:r>
      <w:hyperlink w:anchor="SENTENCIA_2015_176" w:history="1">
        <w:r w:rsidRPr="00981775">
          <w:rPr>
            <w:rStyle w:val="TextoNormalCaracter"/>
          </w:rPr>
          <w:t>176/2015</w:t>
        </w:r>
      </w:hyperlink>
      <w:r>
        <w:t xml:space="preserve">, f. 2; </w:t>
      </w:r>
      <w:hyperlink w:anchor="SENTENCIA_2015_177" w:history="1">
        <w:r w:rsidRPr="00981775">
          <w:rPr>
            <w:rStyle w:val="TextoNormalCaracter"/>
          </w:rPr>
          <w:t>177/2015</w:t>
        </w:r>
      </w:hyperlink>
      <w:r>
        <w:t xml:space="preserve">, f. 5, VP I; </w:t>
      </w:r>
      <w:hyperlink w:anchor="SENTENCIA_2015_199" w:history="1">
        <w:r w:rsidRPr="00981775">
          <w:rPr>
            <w:rStyle w:val="TextoNormalCaracter"/>
          </w:rPr>
          <w:t>199/2015</w:t>
        </w:r>
      </w:hyperlink>
      <w:r>
        <w:t xml:space="preserve">, ff. 3, 11; </w:t>
      </w:r>
      <w:hyperlink w:anchor="SENTENCIA_2015_216" w:history="1">
        <w:r w:rsidRPr="00981775">
          <w:rPr>
            <w:rStyle w:val="TextoNormalCaracter"/>
          </w:rPr>
          <w:t>216/2015</w:t>
        </w:r>
      </w:hyperlink>
      <w:r>
        <w:t xml:space="preserve">, f. 1; </w:t>
      </w:r>
      <w:hyperlink w:anchor="SENTENCIA_2015_230" w:history="1">
        <w:r w:rsidRPr="00981775">
          <w:rPr>
            <w:rStyle w:val="TextoNormalCaracter"/>
          </w:rPr>
          <w:t>230/2015</w:t>
        </w:r>
      </w:hyperlink>
      <w:r>
        <w:t xml:space="preserve">, f. 4; </w:t>
      </w:r>
      <w:hyperlink w:anchor="SENTENCIA_2015_231" w:history="1">
        <w:r w:rsidRPr="00981775">
          <w:rPr>
            <w:rStyle w:val="TextoNormalCaracter"/>
          </w:rPr>
          <w:t>231/2015</w:t>
        </w:r>
      </w:hyperlink>
      <w:r>
        <w:t xml:space="preserve">, f. 10; </w:t>
      </w:r>
      <w:hyperlink w:anchor="SENTENCIA_2015_233" w:history="1">
        <w:r w:rsidRPr="00981775">
          <w:rPr>
            <w:rStyle w:val="TextoNormalCaracter"/>
          </w:rPr>
          <w:t>233/2015</w:t>
        </w:r>
      </w:hyperlink>
      <w:r>
        <w:t xml:space="preserve">, f. 15; </w:t>
      </w:r>
      <w:hyperlink w:anchor="SENTENCIA_2015_259" w:history="1">
        <w:r w:rsidRPr="00981775">
          <w:rPr>
            <w:rStyle w:val="TextoNormalCaracter"/>
          </w:rPr>
          <w:t>259/2015</w:t>
        </w:r>
      </w:hyperlink>
      <w:r>
        <w:t>, ff. 4, 5, 7.</w:t>
      </w:r>
    </w:p>
    <w:p w:rsidR="00981775" w:rsidRDefault="00981775" w:rsidP="00981775">
      <w:pPr>
        <w:pStyle w:val="SangriaFrancesaArticulo"/>
      </w:pPr>
      <w:r w:rsidRPr="00981775">
        <w:rPr>
          <w:rStyle w:val="TextoNormalNegritaCaracter"/>
        </w:rPr>
        <w:t>Artículo 1.2.</w:t>
      </w:r>
      <w:r w:rsidRPr="00981775">
        <w:rPr>
          <w:rStyle w:val="TextoNormalCaracter"/>
        </w:rPr>
        <w:t>-</w:t>
      </w:r>
      <w:r>
        <w:t xml:space="preserve"> Sentencias </w:t>
      </w:r>
      <w:hyperlink w:anchor="SENTENCIA_2015_159" w:history="1">
        <w:r w:rsidRPr="00981775">
          <w:rPr>
            <w:rStyle w:val="TextoNormalCaracter"/>
          </w:rPr>
          <w:t>159/2015</w:t>
        </w:r>
      </w:hyperlink>
      <w:r>
        <w:t xml:space="preserve">, f. 5; </w:t>
      </w:r>
      <w:hyperlink w:anchor="SENTENCIA_2015_216" w:history="1">
        <w:r w:rsidRPr="00981775">
          <w:rPr>
            <w:rStyle w:val="TextoNormalCaracter"/>
          </w:rPr>
          <w:t>216/2015</w:t>
        </w:r>
      </w:hyperlink>
      <w:r>
        <w:t xml:space="preserve">, f. 1; </w:t>
      </w:r>
      <w:hyperlink w:anchor="SENTENCIA_2015_259" w:history="1">
        <w:r w:rsidRPr="00981775">
          <w:rPr>
            <w:rStyle w:val="TextoNormalCaracter"/>
          </w:rPr>
          <w:t>259/2015</w:t>
        </w:r>
      </w:hyperlink>
      <w:r>
        <w:t>, ff. 4, 6, 7.</w:t>
      </w:r>
    </w:p>
    <w:p w:rsidR="00981775" w:rsidRDefault="00981775" w:rsidP="00981775">
      <w:pPr>
        <w:pStyle w:val="SangriaIzquierdaArticulo"/>
      </w:pPr>
      <w:r>
        <w:t xml:space="preserve">Auto </w:t>
      </w:r>
      <w:hyperlink w:anchor="AUTO_2015_182" w:history="1">
        <w:r w:rsidRPr="00981775">
          <w:rPr>
            <w:rStyle w:val="TextoNormalCaracter"/>
          </w:rPr>
          <w:t>182/2015</w:t>
        </w:r>
      </w:hyperlink>
      <w:r>
        <w:t>, ff. 1, 3.</w:t>
      </w:r>
    </w:p>
    <w:p w:rsidR="00981775" w:rsidRDefault="00981775" w:rsidP="00981775">
      <w:pPr>
        <w:pStyle w:val="SangriaFrancesaArticulo"/>
      </w:pPr>
      <w:r w:rsidRPr="00981775">
        <w:rPr>
          <w:rStyle w:val="TextoNormalNegritaCaracter"/>
        </w:rPr>
        <w:t>Artículo 2.</w:t>
      </w:r>
      <w:r w:rsidRPr="00981775">
        <w:rPr>
          <w:rStyle w:val="TextoNormalCaracter"/>
        </w:rPr>
        <w:t>-</w:t>
      </w:r>
      <w:r>
        <w:t xml:space="preserve"> Sentencias </w:t>
      </w:r>
      <w:hyperlink w:anchor="SENTENCIA_2015_215" w:history="1">
        <w:r w:rsidRPr="00981775">
          <w:rPr>
            <w:rStyle w:val="TextoNormalCaracter"/>
          </w:rPr>
          <w:t>215/2015</w:t>
        </w:r>
      </w:hyperlink>
      <w:r>
        <w:t xml:space="preserve">, f. 7; </w:t>
      </w:r>
      <w:hyperlink w:anchor="SENTENCIA_2015_259" w:history="1">
        <w:r w:rsidRPr="00981775">
          <w:rPr>
            <w:rStyle w:val="TextoNormalCaracter"/>
          </w:rPr>
          <w:t>259/2015</w:t>
        </w:r>
      </w:hyperlink>
      <w:r>
        <w:t>, ff. 1, 3 a 7.</w:t>
      </w:r>
    </w:p>
    <w:p w:rsidR="00981775" w:rsidRDefault="00981775" w:rsidP="00981775">
      <w:pPr>
        <w:pStyle w:val="SangriaIzquierdaArticulo"/>
      </w:pPr>
      <w:r>
        <w:t xml:space="preserve">Autos </w:t>
      </w:r>
      <w:hyperlink w:anchor="AUTO_2015_140" w:history="1">
        <w:r w:rsidRPr="00981775">
          <w:rPr>
            <w:rStyle w:val="TextoNormalCaracter"/>
          </w:rPr>
          <w:t>140/2015</w:t>
        </w:r>
      </w:hyperlink>
      <w:r>
        <w:t xml:space="preserve">, f. único; </w:t>
      </w:r>
      <w:hyperlink w:anchor="AUTO_2015_182" w:history="1">
        <w:r w:rsidRPr="00981775">
          <w:rPr>
            <w:rStyle w:val="TextoNormalCaracter"/>
          </w:rPr>
          <w:t>182/2015</w:t>
        </w:r>
      </w:hyperlink>
      <w:r>
        <w:t>, ff. 1, 3.</w:t>
      </w:r>
    </w:p>
    <w:p w:rsidR="00981775" w:rsidRDefault="00981775" w:rsidP="00981775">
      <w:pPr>
        <w:pStyle w:val="SangriaFrancesaArticulo"/>
      </w:pPr>
      <w:r w:rsidRPr="00981775">
        <w:rPr>
          <w:rStyle w:val="TextoNormalNegritaCaracter"/>
        </w:rPr>
        <w:t>Artículo 3.2.</w:t>
      </w:r>
      <w:r w:rsidRPr="00981775">
        <w:rPr>
          <w:rStyle w:val="TextoNormalCaracter"/>
        </w:rPr>
        <w:t>-</w:t>
      </w:r>
      <w:r>
        <w:t xml:space="preserve"> Sentencia </w:t>
      </w:r>
      <w:hyperlink w:anchor="SENTENCIA_2015_259" w:history="1">
        <w:r w:rsidRPr="00981775">
          <w:rPr>
            <w:rStyle w:val="TextoNormalCaracter"/>
          </w:rPr>
          <w:t>259/2015</w:t>
        </w:r>
      </w:hyperlink>
      <w:r>
        <w:t>, f. 5.</w:t>
      </w:r>
    </w:p>
    <w:p w:rsidR="00981775" w:rsidRDefault="00981775" w:rsidP="00981775">
      <w:pPr>
        <w:pStyle w:val="SangriaFrancesaArticulo"/>
      </w:pPr>
      <w:r w:rsidRPr="00981775">
        <w:rPr>
          <w:rStyle w:val="TextoNormalNegritaCaracter"/>
        </w:rPr>
        <w:t>Artículo 3.3.</w:t>
      </w:r>
      <w:r w:rsidRPr="00981775">
        <w:rPr>
          <w:rStyle w:val="TextoNormalCaracter"/>
        </w:rPr>
        <w:t>-</w:t>
      </w:r>
      <w:r>
        <w:t xml:space="preserve"> Sentencia </w:t>
      </w:r>
      <w:hyperlink w:anchor="SENTENCIA_2015_259" w:history="1">
        <w:r w:rsidRPr="00981775">
          <w:rPr>
            <w:rStyle w:val="TextoNormalCaracter"/>
          </w:rPr>
          <w:t>259/2015</w:t>
        </w:r>
      </w:hyperlink>
      <w:r>
        <w:t>, f. 5.</w:t>
      </w:r>
    </w:p>
    <w:p w:rsidR="00981775" w:rsidRDefault="00981775" w:rsidP="00981775">
      <w:pPr>
        <w:pStyle w:val="SangriaFrancesaArticulo"/>
      </w:pPr>
      <w:r w:rsidRPr="00981775">
        <w:rPr>
          <w:rStyle w:val="TextoNormalNegritaCaracter"/>
        </w:rPr>
        <w:t>Artículo 4.</w:t>
      </w:r>
      <w:r w:rsidRPr="00981775">
        <w:rPr>
          <w:rStyle w:val="TextoNormalCaracter"/>
        </w:rPr>
        <w:t>-</w:t>
      </w:r>
      <w:r>
        <w:t xml:space="preserve"> Sentencia </w:t>
      </w:r>
      <w:hyperlink w:anchor="SENTENCIA_2015_204" w:history="1">
        <w:r w:rsidRPr="00981775">
          <w:rPr>
            <w:rStyle w:val="TextoNormalCaracter"/>
          </w:rPr>
          <w:t>204/2015</w:t>
        </w:r>
      </w:hyperlink>
      <w:r>
        <w:t>, ff. 2, 3, 5.</w:t>
      </w:r>
    </w:p>
    <w:p w:rsidR="00981775" w:rsidRDefault="00981775" w:rsidP="00981775">
      <w:pPr>
        <w:pStyle w:val="SangriaFrancesaArticulo"/>
      </w:pPr>
      <w:r w:rsidRPr="00981775">
        <w:rPr>
          <w:rStyle w:val="TextoNormalNegritaCaracter"/>
        </w:rPr>
        <w:t>Artículo 7.</w:t>
      </w:r>
      <w:r w:rsidRPr="00981775">
        <w:rPr>
          <w:rStyle w:val="TextoNormalCaracter"/>
        </w:rPr>
        <w:t>-</w:t>
      </w:r>
      <w:r>
        <w:t xml:space="preserve"> Sentencia </w:t>
      </w:r>
      <w:hyperlink w:anchor="SENTENCIA_2015_148" w:history="1">
        <w:r w:rsidRPr="00981775">
          <w:rPr>
            <w:rStyle w:val="TextoNormalCaracter"/>
          </w:rPr>
          <w:t>148/2015</w:t>
        </w:r>
      </w:hyperlink>
      <w:r>
        <w:t>, f. 3.</w:t>
      </w:r>
    </w:p>
    <w:p w:rsidR="00981775" w:rsidRDefault="00981775" w:rsidP="00981775">
      <w:pPr>
        <w:pStyle w:val="SangriaFrancesaArticulo"/>
      </w:pPr>
      <w:r w:rsidRPr="00981775">
        <w:rPr>
          <w:rStyle w:val="TextoNormalNegritaCaracter"/>
        </w:rPr>
        <w:t>Artículo 8.</w:t>
      </w:r>
      <w:r w:rsidRPr="00981775">
        <w:rPr>
          <w:rStyle w:val="TextoNormalCaracter"/>
        </w:rPr>
        <w:t>-</w:t>
      </w:r>
      <w:r>
        <w:t xml:space="preserve"> Auto </w:t>
      </w:r>
      <w:hyperlink w:anchor="AUTO_2015_140" w:history="1">
        <w:r w:rsidRPr="00981775">
          <w:rPr>
            <w:rStyle w:val="TextoNormalCaracter"/>
          </w:rPr>
          <w:t>140/2015</w:t>
        </w:r>
      </w:hyperlink>
      <w:r>
        <w:t>, f. único.</w:t>
      </w:r>
    </w:p>
    <w:p w:rsidR="00981775" w:rsidRDefault="00981775" w:rsidP="00981775">
      <w:pPr>
        <w:pStyle w:val="SangriaFrancesaArticulo"/>
      </w:pPr>
      <w:r w:rsidRPr="00981775">
        <w:rPr>
          <w:rStyle w:val="TextoNormalNegritaCaracter"/>
        </w:rPr>
        <w:t>Artículo 9.</w:t>
      </w:r>
      <w:r w:rsidRPr="00981775">
        <w:rPr>
          <w:rStyle w:val="TextoNormalCaracter"/>
        </w:rPr>
        <w:t>-</w:t>
      </w:r>
      <w:r>
        <w:t xml:space="preserve"> Sentencia </w:t>
      </w:r>
      <w:hyperlink w:anchor="SENTENCIA_2015_233" w:history="1">
        <w:r w:rsidRPr="00981775">
          <w:rPr>
            <w:rStyle w:val="TextoNormalCaracter"/>
          </w:rPr>
          <w:t>233/2015</w:t>
        </w:r>
      </w:hyperlink>
      <w:r>
        <w:t>, f. 2.</w:t>
      </w:r>
    </w:p>
    <w:p w:rsidR="00981775" w:rsidRDefault="00981775" w:rsidP="00981775">
      <w:pPr>
        <w:pStyle w:val="SangriaIzquierdaArticulo"/>
      </w:pPr>
      <w:r>
        <w:t xml:space="preserve">Auto </w:t>
      </w:r>
      <w:hyperlink w:anchor="AUTO_2015_180" w:history="1">
        <w:r w:rsidRPr="00981775">
          <w:rPr>
            <w:rStyle w:val="TextoNormalCaracter"/>
          </w:rPr>
          <w:t>180/2015</w:t>
        </w:r>
      </w:hyperlink>
      <w:r>
        <w:t>, f. 1.</w:t>
      </w:r>
    </w:p>
    <w:p w:rsidR="00981775" w:rsidRDefault="00981775" w:rsidP="00981775">
      <w:pPr>
        <w:pStyle w:val="SangriaFrancesaArticulo"/>
      </w:pPr>
      <w:r w:rsidRPr="00981775">
        <w:rPr>
          <w:rStyle w:val="TextoNormalNegritaCaracter"/>
        </w:rPr>
        <w:t>Artículo 9.1.</w:t>
      </w:r>
      <w:r w:rsidRPr="00981775">
        <w:rPr>
          <w:rStyle w:val="TextoNormalCaracter"/>
        </w:rPr>
        <w:t>-</w:t>
      </w:r>
      <w:r>
        <w:t xml:space="preserve"> Sentencias </w:t>
      </w:r>
      <w:hyperlink w:anchor="SENTENCIA_2015_233" w:history="1">
        <w:r w:rsidRPr="00981775">
          <w:rPr>
            <w:rStyle w:val="TextoNormalCaracter"/>
          </w:rPr>
          <w:t>233/2015</w:t>
        </w:r>
      </w:hyperlink>
      <w:r>
        <w:t xml:space="preserve">, f. 11; </w:t>
      </w:r>
      <w:hyperlink w:anchor="SENTENCIA_2015_259" w:history="1">
        <w:r w:rsidRPr="00981775">
          <w:rPr>
            <w:rStyle w:val="TextoNormalCaracter"/>
          </w:rPr>
          <w:t>259/2015</w:t>
        </w:r>
      </w:hyperlink>
      <w:r>
        <w:t xml:space="preserve">, ff. 1, 3, 4, 7; </w:t>
      </w:r>
      <w:hyperlink w:anchor="SENTENCIA_2015_270" w:history="1">
        <w:r w:rsidRPr="00981775">
          <w:rPr>
            <w:rStyle w:val="TextoNormalCaracter"/>
          </w:rPr>
          <w:t>270/2015</w:t>
        </w:r>
      </w:hyperlink>
      <w:r>
        <w:t>, ff. 1, 6, VP.</w:t>
      </w:r>
    </w:p>
    <w:p w:rsidR="00981775" w:rsidRDefault="00981775" w:rsidP="00981775">
      <w:pPr>
        <w:pStyle w:val="SangriaIzquierdaArticulo"/>
      </w:pPr>
      <w:r>
        <w:t xml:space="preserve">Autos </w:t>
      </w:r>
      <w:hyperlink w:anchor="AUTO_2015_182" w:history="1">
        <w:r w:rsidRPr="00981775">
          <w:rPr>
            <w:rStyle w:val="TextoNormalCaracter"/>
          </w:rPr>
          <w:t>182/2015</w:t>
        </w:r>
      </w:hyperlink>
      <w:r>
        <w:t xml:space="preserve">, ff. 1, 3; </w:t>
      </w:r>
      <w:hyperlink w:anchor="AUTO_2015_189" w:history="1">
        <w:r w:rsidRPr="00981775">
          <w:rPr>
            <w:rStyle w:val="TextoNormalCaracter"/>
          </w:rPr>
          <w:t>189/2015</w:t>
        </w:r>
      </w:hyperlink>
      <w:r>
        <w:t xml:space="preserve">, f. 3; </w:t>
      </w:r>
      <w:hyperlink w:anchor="AUTO_2015_190" w:history="1">
        <w:r w:rsidRPr="00981775">
          <w:rPr>
            <w:rStyle w:val="TextoNormalCaracter"/>
          </w:rPr>
          <w:t>190/2015</w:t>
        </w:r>
      </w:hyperlink>
      <w:r>
        <w:t>, f. 3.</w:t>
      </w:r>
    </w:p>
    <w:p w:rsidR="00981775" w:rsidRDefault="00981775" w:rsidP="00981775">
      <w:pPr>
        <w:pStyle w:val="SangriaFrancesaArticulo"/>
      </w:pPr>
      <w:r w:rsidRPr="00981775">
        <w:rPr>
          <w:rStyle w:val="TextoNormalNegritaCaracter"/>
        </w:rPr>
        <w:t>Artículo 9.2.</w:t>
      </w:r>
      <w:r w:rsidRPr="00981775">
        <w:rPr>
          <w:rStyle w:val="TextoNormalCaracter"/>
        </w:rPr>
        <w:t>-</w:t>
      </w:r>
      <w:r>
        <w:t xml:space="preserve"> Sentencias </w:t>
      </w:r>
      <w:hyperlink w:anchor="SENTENCIA_2015_154" w:history="1">
        <w:r w:rsidRPr="00981775">
          <w:rPr>
            <w:rStyle w:val="TextoNormalCaracter"/>
          </w:rPr>
          <w:t>154/2015</w:t>
        </w:r>
      </w:hyperlink>
      <w:r>
        <w:t xml:space="preserve">, ff. 4, 7; </w:t>
      </w:r>
      <w:hyperlink w:anchor="SENTENCIA_2015_176" w:history="1">
        <w:r w:rsidRPr="00981775">
          <w:rPr>
            <w:rStyle w:val="TextoNormalCaracter"/>
          </w:rPr>
          <w:t>176/2015</w:t>
        </w:r>
      </w:hyperlink>
      <w:r>
        <w:t xml:space="preserve">, f. 2; </w:t>
      </w:r>
      <w:hyperlink w:anchor="SENTENCIA_2015_233" w:history="1">
        <w:r w:rsidRPr="00981775">
          <w:rPr>
            <w:rStyle w:val="TextoNormalCaracter"/>
          </w:rPr>
          <w:t>233/2015</w:t>
        </w:r>
      </w:hyperlink>
      <w:r>
        <w:t>, f. 9.</w:t>
      </w:r>
    </w:p>
    <w:p w:rsidR="00981775" w:rsidRDefault="00981775" w:rsidP="00981775">
      <w:pPr>
        <w:pStyle w:val="SangriaFrancesaArticulo"/>
      </w:pPr>
      <w:r w:rsidRPr="00981775">
        <w:rPr>
          <w:rStyle w:val="TextoNormalNegritaCaracter"/>
        </w:rPr>
        <w:t>Artículo 9.3.</w:t>
      </w:r>
      <w:r w:rsidRPr="00981775">
        <w:rPr>
          <w:rStyle w:val="TextoNormalCaracter"/>
        </w:rPr>
        <w:t>-</w:t>
      </w:r>
      <w:r>
        <w:t xml:space="preserve"> Sentencias </w:t>
      </w:r>
      <w:hyperlink w:anchor="SENTENCIA_2015_150" w:history="1">
        <w:r w:rsidRPr="00981775">
          <w:rPr>
            <w:rStyle w:val="TextoNormalCaracter"/>
          </w:rPr>
          <w:t>150/2015</w:t>
        </w:r>
      </w:hyperlink>
      <w:r>
        <w:t xml:space="preserve">, f. 2; </w:t>
      </w:r>
      <w:hyperlink w:anchor="SENTENCIA_2015_151" w:history="1">
        <w:r w:rsidRPr="00981775">
          <w:rPr>
            <w:rStyle w:val="TextoNormalCaracter"/>
          </w:rPr>
          <w:t>151/2015</w:t>
        </w:r>
      </w:hyperlink>
      <w:r>
        <w:t xml:space="preserve">, ff. 1 a 3; </w:t>
      </w:r>
      <w:hyperlink w:anchor="SENTENCIA_2015_153" w:history="1">
        <w:r w:rsidRPr="00981775">
          <w:rPr>
            <w:rStyle w:val="TextoNormalCaracter"/>
          </w:rPr>
          <w:t>153/2015</w:t>
        </w:r>
      </w:hyperlink>
      <w:r>
        <w:t xml:space="preserve">, ff. 1 a 3; </w:t>
      </w:r>
      <w:hyperlink w:anchor="SENTENCIA_2015_154" w:history="1">
        <w:r w:rsidRPr="00981775">
          <w:rPr>
            <w:rStyle w:val="TextoNormalCaracter"/>
          </w:rPr>
          <w:t>154/2015</w:t>
        </w:r>
      </w:hyperlink>
      <w:r>
        <w:t xml:space="preserve">, ff. 3 a 5; </w:t>
      </w:r>
      <w:hyperlink w:anchor="SENTENCIA_2015_161" w:history="1">
        <w:r w:rsidRPr="00981775">
          <w:rPr>
            <w:rStyle w:val="TextoNormalCaracter"/>
          </w:rPr>
          <w:t>161/2015</w:t>
        </w:r>
      </w:hyperlink>
      <w:r>
        <w:t xml:space="preserve">, ff. 1, 3; </w:t>
      </w:r>
      <w:hyperlink w:anchor="SENTENCIA_2015_162" w:history="1">
        <w:r w:rsidRPr="00981775">
          <w:rPr>
            <w:rStyle w:val="TextoNormalCaracter"/>
          </w:rPr>
          <w:t>162/2015</w:t>
        </w:r>
      </w:hyperlink>
      <w:r>
        <w:t xml:space="preserve">, ff. 1 a 3; </w:t>
      </w:r>
      <w:hyperlink w:anchor="SENTENCIA_2015_163" w:history="1">
        <w:r w:rsidRPr="00981775">
          <w:rPr>
            <w:rStyle w:val="TextoNormalCaracter"/>
          </w:rPr>
          <w:t>163/2015</w:t>
        </w:r>
      </w:hyperlink>
      <w:r>
        <w:t xml:space="preserve">, ff. 1 a 3; </w:t>
      </w:r>
      <w:hyperlink w:anchor="SENTENCIA_2015_164" w:history="1">
        <w:r w:rsidRPr="00981775">
          <w:rPr>
            <w:rStyle w:val="TextoNormalCaracter"/>
          </w:rPr>
          <w:t>164/2015</w:t>
        </w:r>
      </w:hyperlink>
      <w:r>
        <w:t xml:space="preserve">, ff. 1 a 3; </w:t>
      </w:r>
      <w:hyperlink w:anchor="SENTENCIA_2015_165" w:history="1">
        <w:r w:rsidRPr="00981775">
          <w:rPr>
            <w:rStyle w:val="TextoNormalCaracter"/>
          </w:rPr>
          <w:t>165/2015</w:t>
        </w:r>
      </w:hyperlink>
      <w:r>
        <w:t xml:space="preserve">, ff. 1 a 3; </w:t>
      </w:r>
      <w:hyperlink w:anchor="SENTENCIA_2015_166" w:history="1">
        <w:r w:rsidRPr="00981775">
          <w:rPr>
            <w:rStyle w:val="TextoNormalCaracter"/>
          </w:rPr>
          <w:t>166/2015</w:t>
        </w:r>
      </w:hyperlink>
      <w:r>
        <w:t xml:space="preserve">, ff 1 a 3; </w:t>
      </w:r>
      <w:hyperlink w:anchor="SENTENCIA_2015_168" w:history="1">
        <w:r w:rsidRPr="00981775">
          <w:rPr>
            <w:rStyle w:val="TextoNormalCaracter"/>
          </w:rPr>
          <w:t>168/2015</w:t>
        </w:r>
      </w:hyperlink>
      <w:r>
        <w:t xml:space="preserve">, ff. 1 a 3; </w:t>
      </w:r>
      <w:hyperlink w:anchor="SENTENCIA_2015_170" w:history="1">
        <w:r w:rsidRPr="00981775">
          <w:rPr>
            <w:rStyle w:val="TextoNormalCaracter"/>
          </w:rPr>
          <w:t>170/2015</w:t>
        </w:r>
      </w:hyperlink>
      <w:r>
        <w:t xml:space="preserve">, ff. 1 a 3; </w:t>
      </w:r>
      <w:hyperlink w:anchor="SENTENCIA_2015_171" w:history="1">
        <w:r w:rsidRPr="00981775">
          <w:rPr>
            <w:rStyle w:val="TextoNormalCaracter"/>
          </w:rPr>
          <w:t>171/2015</w:t>
        </w:r>
      </w:hyperlink>
      <w:r>
        <w:t xml:space="preserve">, ff. 1 a 3; </w:t>
      </w:r>
      <w:hyperlink w:anchor="SENTENCIA_2015_172" w:history="1">
        <w:r w:rsidRPr="00981775">
          <w:rPr>
            <w:rStyle w:val="TextoNormalCaracter"/>
          </w:rPr>
          <w:t>172/2015</w:t>
        </w:r>
      </w:hyperlink>
      <w:r>
        <w:t xml:space="preserve">, ff. 1 a 3; </w:t>
      </w:r>
      <w:hyperlink w:anchor="SENTENCIA_2015_173" w:history="1">
        <w:r w:rsidRPr="00981775">
          <w:rPr>
            <w:rStyle w:val="TextoNormalCaracter"/>
          </w:rPr>
          <w:t>173/2015</w:t>
        </w:r>
      </w:hyperlink>
      <w:r>
        <w:t xml:space="preserve">, ff. 1 a 3; </w:t>
      </w:r>
      <w:hyperlink w:anchor="SENTENCIA_2015_174" w:history="1">
        <w:r w:rsidRPr="00981775">
          <w:rPr>
            <w:rStyle w:val="TextoNormalCaracter"/>
          </w:rPr>
          <w:t>174/2015</w:t>
        </w:r>
      </w:hyperlink>
      <w:r>
        <w:t xml:space="preserve">, ff. 1 a 3; </w:t>
      </w:r>
      <w:hyperlink w:anchor="SENTENCIA_2015_175" w:history="1">
        <w:r w:rsidRPr="00981775">
          <w:rPr>
            <w:rStyle w:val="TextoNormalCaracter"/>
          </w:rPr>
          <w:t>175/2015</w:t>
        </w:r>
      </w:hyperlink>
      <w:r>
        <w:t xml:space="preserve">, ff. 1 a 3; </w:t>
      </w:r>
      <w:hyperlink w:anchor="SENTENCIA_2015_188" w:history="1">
        <w:r w:rsidRPr="00981775">
          <w:rPr>
            <w:rStyle w:val="TextoNormalCaracter"/>
          </w:rPr>
          <w:t>188/2015</w:t>
        </w:r>
      </w:hyperlink>
      <w:r>
        <w:t xml:space="preserve">, ff. 1 a 3; </w:t>
      </w:r>
      <w:hyperlink w:anchor="SENTENCIA_2015_189" w:history="1">
        <w:r w:rsidRPr="00981775">
          <w:rPr>
            <w:rStyle w:val="TextoNormalCaracter"/>
          </w:rPr>
          <w:t>189/2015</w:t>
        </w:r>
      </w:hyperlink>
      <w:r>
        <w:t xml:space="preserve">, ff. 1 a 3; </w:t>
      </w:r>
      <w:hyperlink w:anchor="SENTENCIA_2015_190" w:history="1">
        <w:r w:rsidRPr="00981775">
          <w:rPr>
            <w:rStyle w:val="TextoNormalCaracter"/>
          </w:rPr>
          <w:t>190/2015</w:t>
        </w:r>
      </w:hyperlink>
      <w:r>
        <w:t xml:space="preserve">, ff. 1 a 3; </w:t>
      </w:r>
      <w:hyperlink w:anchor="SENTENCIA_2015_191" w:history="1">
        <w:r w:rsidRPr="00981775">
          <w:rPr>
            <w:rStyle w:val="TextoNormalCaracter"/>
          </w:rPr>
          <w:t>191/2015</w:t>
        </w:r>
      </w:hyperlink>
      <w:r>
        <w:t xml:space="preserve">, f. 3; </w:t>
      </w:r>
      <w:hyperlink w:anchor="SENTENCIA_2015_192" w:history="1">
        <w:r w:rsidRPr="00981775">
          <w:rPr>
            <w:rStyle w:val="TextoNormalCaracter"/>
          </w:rPr>
          <w:t>192/2015</w:t>
        </w:r>
      </w:hyperlink>
      <w:r>
        <w:t xml:space="preserve">, f. 2; </w:t>
      </w:r>
      <w:hyperlink w:anchor="SENTENCIA_2015_193" w:history="1">
        <w:r w:rsidRPr="00981775">
          <w:rPr>
            <w:rStyle w:val="TextoNormalCaracter"/>
          </w:rPr>
          <w:t>193/2015</w:t>
        </w:r>
      </w:hyperlink>
      <w:r>
        <w:t xml:space="preserve">, ff. 1 a 3; </w:t>
      </w:r>
      <w:hyperlink w:anchor="SENTENCIA_2015_196" w:history="1">
        <w:r w:rsidRPr="00981775">
          <w:rPr>
            <w:rStyle w:val="TextoNormalCaracter"/>
          </w:rPr>
          <w:t>196/2015</w:t>
        </w:r>
      </w:hyperlink>
      <w:r>
        <w:t xml:space="preserve">, f. 1; </w:t>
      </w:r>
      <w:hyperlink w:anchor="SENTENCIA_2015_197" w:history="1">
        <w:r w:rsidRPr="00981775">
          <w:rPr>
            <w:rStyle w:val="TextoNormalCaracter"/>
          </w:rPr>
          <w:t>197/2015</w:t>
        </w:r>
      </w:hyperlink>
      <w:r>
        <w:t xml:space="preserve">, ff. 1, 2, 7, VP II; </w:t>
      </w:r>
      <w:hyperlink w:anchor="SENTENCIA_2015_205" w:history="1">
        <w:r w:rsidRPr="00981775">
          <w:rPr>
            <w:rStyle w:val="TextoNormalCaracter"/>
          </w:rPr>
          <w:t>205/2015</w:t>
        </w:r>
      </w:hyperlink>
      <w:r>
        <w:t xml:space="preserve">, ff. 1 a 3; </w:t>
      </w:r>
      <w:hyperlink w:anchor="SENTENCIA_2015_206" w:history="1">
        <w:r w:rsidRPr="00981775">
          <w:rPr>
            <w:rStyle w:val="TextoNormalCaracter"/>
          </w:rPr>
          <w:t>206/2015</w:t>
        </w:r>
      </w:hyperlink>
      <w:r>
        <w:t xml:space="preserve">, ff. 1, 2; </w:t>
      </w:r>
      <w:hyperlink w:anchor="SENTENCIA_2015_210" w:history="1">
        <w:r w:rsidRPr="00981775">
          <w:rPr>
            <w:rStyle w:val="TextoNormalCaracter"/>
          </w:rPr>
          <w:t>210/2015</w:t>
        </w:r>
      </w:hyperlink>
      <w:r>
        <w:t xml:space="preserve">, ff. 1 a 3; </w:t>
      </w:r>
      <w:hyperlink w:anchor="SENTENCIA_2015_211" w:history="1">
        <w:r w:rsidRPr="00981775">
          <w:rPr>
            <w:rStyle w:val="TextoNormalCaracter"/>
          </w:rPr>
          <w:t>211/2015</w:t>
        </w:r>
      </w:hyperlink>
      <w:r>
        <w:t xml:space="preserve">, ff. 1, 2; </w:t>
      </w:r>
      <w:hyperlink w:anchor="SENTENCIA_2015_216" w:history="1">
        <w:r w:rsidRPr="00981775">
          <w:rPr>
            <w:rStyle w:val="TextoNormalCaracter"/>
          </w:rPr>
          <w:t>216/2015</w:t>
        </w:r>
      </w:hyperlink>
      <w:r>
        <w:t xml:space="preserve">, VP; </w:t>
      </w:r>
      <w:hyperlink w:anchor="SENTENCIA_2015_224" w:history="1">
        <w:r w:rsidRPr="00981775">
          <w:rPr>
            <w:rStyle w:val="TextoNormalCaracter"/>
          </w:rPr>
          <w:t>224/2015</w:t>
        </w:r>
      </w:hyperlink>
      <w:r>
        <w:t xml:space="preserve">, ff. 1, 2; </w:t>
      </w:r>
      <w:hyperlink w:anchor="SENTENCIA_2015_227" w:history="1">
        <w:r w:rsidRPr="00981775">
          <w:rPr>
            <w:rStyle w:val="TextoNormalCaracter"/>
          </w:rPr>
          <w:t>227/2015</w:t>
        </w:r>
      </w:hyperlink>
      <w:r>
        <w:t xml:space="preserve">, f. 3; </w:t>
      </w:r>
      <w:hyperlink w:anchor="SENTENCIA_2015_228" w:history="1">
        <w:r w:rsidRPr="00981775">
          <w:rPr>
            <w:rStyle w:val="TextoNormalCaracter"/>
          </w:rPr>
          <w:t>228/2015</w:t>
        </w:r>
      </w:hyperlink>
      <w:r>
        <w:t xml:space="preserve">, ff. 1 a 3; </w:t>
      </w:r>
      <w:hyperlink w:anchor="SENTENCIA_2015_231" w:history="1">
        <w:r w:rsidRPr="00981775">
          <w:rPr>
            <w:rStyle w:val="TextoNormalCaracter"/>
          </w:rPr>
          <w:t>231/2015</w:t>
        </w:r>
      </w:hyperlink>
      <w:r>
        <w:t xml:space="preserve">, ff. 5, 8, VP; </w:t>
      </w:r>
      <w:hyperlink w:anchor="SENTENCIA_2015_233" w:history="1">
        <w:r w:rsidRPr="00981775">
          <w:rPr>
            <w:rStyle w:val="TextoNormalCaracter"/>
          </w:rPr>
          <w:t>233/2015</w:t>
        </w:r>
      </w:hyperlink>
      <w:r>
        <w:t xml:space="preserve">, ff. 2, 3, 9 a 11, 13 a 16; </w:t>
      </w:r>
      <w:hyperlink w:anchor="SENTENCIA_2015_236" w:history="1">
        <w:r w:rsidRPr="00981775">
          <w:rPr>
            <w:rStyle w:val="TextoNormalCaracter"/>
          </w:rPr>
          <w:t>236/2015</w:t>
        </w:r>
      </w:hyperlink>
      <w:r>
        <w:t xml:space="preserve">, ff. 1, 5, VP; </w:t>
      </w:r>
      <w:hyperlink w:anchor="SENTENCIA_2015_243" w:history="1">
        <w:r w:rsidRPr="00981775">
          <w:rPr>
            <w:rStyle w:val="TextoNormalCaracter"/>
          </w:rPr>
          <w:t>243/2015</w:t>
        </w:r>
      </w:hyperlink>
      <w:r>
        <w:t xml:space="preserve">, ff. 1, 5 a 7; </w:t>
      </w:r>
      <w:hyperlink w:anchor="SENTENCIA_2015_245" w:history="1">
        <w:r w:rsidRPr="00981775">
          <w:rPr>
            <w:rStyle w:val="TextoNormalCaracter"/>
          </w:rPr>
          <w:t>245/2015</w:t>
        </w:r>
      </w:hyperlink>
      <w:r>
        <w:t xml:space="preserve">, f. 1; </w:t>
      </w:r>
      <w:hyperlink w:anchor="SENTENCIA_2015_261" w:history="1">
        <w:r w:rsidRPr="00981775">
          <w:rPr>
            <w:rStyle w:val="TextoNormalCaracter"/>
          </w:rPr>
          <w:t>261/2015</w:t>
        </w:r>
      </w:hyperlink>
      <w:r>
        <w:t xml:space="preserve">, ff. 1, 3 a 6; </w:t>
      </w:r>
      <w:hyperlink w:anchor="SENTENCIA_2015_264" w:history="1">
        <w:r w:rsidRPr="00981775">
          <w:rPr>
            <w:rStyle w:val="TextoNormalCaracter"/>
          </w:rPr>
          <w:t>264/2015</w:t>
        </w:r>
      </w:hyperlink>
      <w:r>
        <w:t xml:space="preserve">, f. 2; </w:t>
      </w:r>
      <w:hyperlink w:anchor="SENTENCIA_2015_267" w:history="1">
        <w:r w:rsidRPr="00981775">
          <w:rPr>
            <w:rStyle w:val="TextoNormalCaracter"/>
          </w:rPr>
          <w:t>267/2015</w:t>
        </w:r>
      </w:hyperlink>
      <w:r>
        <w:t xml:space="preserve">, ff. 2, 3; </w:t>
      </w:r>
      <w:hyperlink w:anchor="SENTENCIA_2015_268" w:history="1">
        <w:r w:rsidRPr="00981775">
          <w:rPr>
            <w:rStyle w:val="TextoNormalCaracter"/>
          </w:rPr>
          <w:t>268/2015</w:t>
        </w:r>
      </w:hyperlink>
      <w:r>
        <w:t xml:space="preserve">, ff. 1, 3; </w:t>
      </w:r>
      <w:hyperlink w:anchor="SENTENCIA_2015_269" w:history="1">
        <w:r w:rsidRPr="00981775">
          <w:rPr>
            <w:rStyle w:val="TextoNormalCaracter"/>
          </w:rPr>
          <w:t>269/2015</w:t>
        </w:r>
      </w:hyperlink>
      <w:r>
        <w:t xml:space="preserve">, ff. 1, 2; </w:t>
      </w:r>
      <w:hyperlink w:anchor="SENTENCIA_2015_270" w:history="1">
        <w:r w:rsidRPr="00981775">
          <w:rPr>
            <w:rStyle w:val="TextoNormalCaracter"/>
          </w:rPr>
          <w:t>270/2015</w:t>
        </w:r>
      </w:hyperlink>
      <w:r>
        <w:t>, ff. 6, 7, VP.</w:t>
      </w:r>
    </w:p>
    <w:p w:rsidR="00981775" w:rsidRDefault="00981775" w:rsidP="00981775">
      <w:pPr>
        <w:pStyle w:val="SangriaIzquierdaArticulo"/>
      </w:pPr>
      <w:r>
        <w:t xml:space="preserve">Autos </w:t>
      </w:r>
      <w:hyperlink w:anchor="AUTO_2015_121" w:history="1">
        <w:r w:rsidRPr="00981775">
          <w:rPr>
            <w:rStyle w:val="TextoNormalCaracter"/>
          </w:rPr>
          <w:t>121/2015</w:t>
        </w:r>
      </w:hyperlink>
      <w:r>
        <w:t xml:space="preserve">, ff. 1, 3; </w:t>
      </w:r>
      <w:hyperlink w:anchor="AUTO_2015_129" w:history="1">
        <w:r w:rsidRPr="00981775">
          <w:rPr>
            <w:rStyle w:val="TextoNormalCaracter"/>
          </w:rPr>
          <w:t>129/2015</w:t>
        </w:r>
      </w:hyperlink>
      <w:r>
        <w:t xml:space="preserve">, f. único; </w:t>
      </w:r>
      <w:hyperlink w:anchor="AUTO_2015_130" w:history="1">
        <w:r w:rsidRPr="00981775">
          <w:rPr>
            <w:rStyle w:val="TextoNormalCaracter"/>
          </w:rPr>
          <w:t>130/2015</w:t>
        </w:r>
      </w:hyperlink>
      <w:r>
        <w:t xml:space="preserve">, f. único; </w:t>
      </w:r>
      <w:hyperlink w:anchor="AUTO_2015_132" w:history="1">
        <w:r w:rsidRPr="00981775">
          <w:rPr>
            <w:rStyle w:val="TextoNormalCaracter"/>
          </w:rPr>
          <w:t>132/2015</w:t>
        </w:r>
      </w:hyperlink>
      <w:r>
        <w:t xml:space="preserve">, f. único; </w:t>
      </w:r>
      <w:hyperlink w:anchor="AUTO_2015_133" w:history="1">
        <w:r w:rsidRPr="00981775">
          <w:rPr>
            <w:rStyle w:val="TextoNormalCaracter"/>
          </w:rPr>
          <w:t>133/2015</w:t>
        </w:r>
      </w:hyperlink>
      <w:r>
        <w:t xml:space="preserve">, f. único; </w:t>
      </w:r>
      <w:hyperlink w:anchor="AUTO_2015_134" w:history="1">
        <w:r w:rsidRPr="00981775">
          <w:rPr>
            <w:rStyle w:val="TextoNormalCaracter"/>
          </w:rPr>
          <w:t>134/2015</w:t>
        </w:r>
      </w:hyperlink>
      <w:r>
        <w:t xml:space="preserve">, f. único; </w:t>
      </w:r>
      <w:hyperlink w:anchor="AUTO_2015_137" w:history="1">
        <w:r w:rsidRPr="00981775">
          <w:rPr>
            <w:rStyle w:val="TextoNormalCaracter"/>
          </w:rPr>
          <w:t>137/2015</w:t>
        </w:r>
      </w:hyperlink>
      <w:r>
        <w:t xml:space="preserve">, f. 1; </w:t>
      </w:r>
      <w:hyperlink w:anchor="AUTO_2015_138" w:history="1">
        <w:r w:rsidRPr="00981775">
          <w:rPr>
            <w:rStyle w:val="TextoNormalCaracter"/>
          </w:rPr>
          <w:t>138/2015</w:t>
        </w:r>
      </w:hyperlink>
      <w:r>
        <w:t xml:space="preserve">, f. 1; </w:t>
      </w:r>
      <w:hyperlink w:anchor="AUTO_2015_154" w:history="1">
        <w:r w:rsidRPr="00981775">
          <w:rPr>
            <w:rStyle w:val="TextoNormalCaracter"/>
          </w:rPr>
          <w:t>154/2015</w:t>
        </w:r>
      </w:hyperlink>
      <w:r>
        <w:t xml:space="preserve">, f. 1; </w:t>
      </w:r>
      <w:hyperlink w:anchor="AUTO_2015_167" w:history="1">
        <w:r w:rsidRPr="00981775">
          <w:rPr>
            <w:rStyle w:val="TextoNormalCaracter"/>
          </w:rPr>
          <w:t>167/2015</w:t>
        </w:r>
      </w:hyperlink>
      <w:r>
        <w:t xml:space="preserve">, ff. 1, 2; </w:t>
      </w:r>
      <w:hyperlink w:anchor="AUTO_2015_172" w:history="1">
        <w:r w:rsidRPr="00981775">
          <w:rPr>
            <w:rStyle w:val="TextoNormalCaracter"/>
          </w:rPr>
          <w:t>172/2015</w:t>
        </w:r>
      </w:hyperlink>
      <w:r>
        <w:t xml:space="preserve">, ff. 1, 4; </w:t>
      </w:r>
      <w:hyperlink w:anchor="AUTO_2015_173" w:history="1">
        <w:r w:rsidRPr="00981775">
          <w:rPr>
            <w:rStyle w:val="TextoNormalCaracter"/>
          </w:rPr>
          <w:t>173/2015</w:t>
        </w:r>
      </w:hyperlink>
      <w:r>
        <w:t xml:space="preserve">, f. 1; </w:t>
      </w:r>
      <w:hyperlink w:anchor="AUTO_2015_183" w:history="1">
        <w:r w:rsidRPr="00981775">
          <w:rPr>
            <w:rStyle w:val="TextoNormalCaracter"/>
          </w:rPr>
          <w:t>183/2015</w:t>
        </w:r>
      </w:hyperlink>
      <w:r>
        <w:t xml:space="preserve">, ff. 1, 4; </w:t>
      </w:r>
      <w:hyperlink w:anchor="AUTO_2015_184" w:history="1">
        <w:r w:rsidRPr="00981775">
          <w:rPr>
            <w:rStyle w:val="TextoNormalCaracter"/>
          </w:rPr>
          <w:t>184/2015</w:t>
        </w:r>
      </w:hyperlink>
      <w:r>
        <w:t xml:space="preserve">, f. 2; </w:t>
      </w:r>
      <w:hyperlink w:anchor="AUTO_2015_224" w:history="1">
        <w:r w:rsidRPr="00981775">
          <w:rPr>
            <w:rStyle w:val="TextoNormalCaracter"/>
          </w:rPr>
          <w:t>224/2015</w:t>
        </w:r>
      </w:hyperlink>
      <w:r>
        <w:t xml:space="preserve">, ff. 1, 3; </w:t>
      </w:r>
      <w:hyperlink w:anchor="AUTO_2015_225" w:history="1">
        <w:r w:rsidRPr="00981775">
          <w:rPr>
            <w:rStyle w:val="TextoNormalCaracter"/>
          </w:rPr>
          <w:t>225/2015</w:t>
        </w:r>
      </w:hyperlink>
      <w:r>
        <w:t xml:space="preserve">, ff. 1, 3; </w:t>
      </w:r>
      <w:hyperlink w:anchor="AUTO_2015_227" w:history="1">
        <w:r w:rsidRPr="00981775">
          <w:rPr>
            <w:rStyle w:val="TextoNormalCaracter"/>
          </w:rPr>
          <w:t>227/2015</w:t>
        </w:r>
      </w:hyperlink>
      <w:r>
        <w:t>, f. 4.</w:t>
      </w:r>
    </w:p>
    <w:p w:rsidR="00981775" w:rsidRDefault="00981775" w:rsidP="00981775">
      <w:pPr>
        <w:pStyle w:val="SangriaFrancesaArticulo"/>
      </w:pPr>
      <w:r w:rsidRPr="00981775">
        <w:rPr>
          <w:rStyle w:val="TextoNormalNegritaCaracter"/>
        </w:rPr>
        <w:t>Artículo 9.3</w:t>
      </w:r>
      <w:r>
        <w:t xml:space="preserve"> (interdicción de la arbitrariedad de los poderes públicos)</w:t>
      </w:r>
      <w:r w:rsidRPr="00981775">
        <w:rPr>
          <w:rStyle w:val="TextoNormalNegritaCaracter"/>
        </w:rPr>
        <w:t>.</w:t>
      </w:r>
      <w:r w:rsidRPr="00981775">
        <w:rPr>
          <w:rStyle w:val="TextoNormalCaracter"/>
        </w:rPr>
        <w:t>-</w:t>
      </w:r>
      <w:r>
        <w:t xml:space="preserve"> Sentencias </w:t>
      </w:r>
      <w:hyperlink w:anchor="SENTENCIA_2015_227" w:history="1">
        <w:r w:rsidRPr="00981775">
          <w:rPr>
            <w:rStyle w:val="TextoNormalCaracter"/>
          </w:rPr>
          <w:t>227/2015</w:t>
        </w:r>
      </w:hyperlink>
      <w:r>
        <w:t xml:space="preserve">, f. 1; </w:t>
      </w:r>
      <w:hyperlink w:anchor="SENTENCIA_2015_231" w:history="1">
        <w:r w:rsidRPr="00981775">
          <w:rPr>
            <w:rStyle w:val="TextoNormalCaracter"/>
          </w:rPr>
          <w:t>231/2015</w:t>
        </w:r>
      </w:hyperlink>
      <w:r>
        <w:t xml:space="preserve">, ff. 1, 3, 4, 12; </w:t>
      </w:r>
      <w:hyperlink w:anchor="SENTENCIA_2015_270" w:history="1">
        <w:r w:rsidRPr="00981775">
          <w:rPr>
            <w:rStyle w:val="TextoNormalCaracter"/>
          </w:rPr>
          <w:t>270/2015</w:t>
        </w:r>
      </w:hyperlink>
      <w:r>
        <w:t>, VP.</w:t>
      </w:r>
    </w:p>
    <w:p w:rsidR="00981775" w:rsidRDefault="00981775" w:rsidP="00981775">
      <w:pPr>
        <w:pStyle w:val="SangriaIzquierdaArticulo"/>
      </w:pPr>
      <w:r>
        <w:t xml:space="preserve">Autos </w:t>
      </w:r>
      <w:hyperlink w:anchor="AUTO_2015_184" w:history="1">
        <w:r w:rsidRPr="00981775">
          <w:rPr>
            <w:rStyle w:val="TextoNormalCaracter"/>
          </w:rPr>
          <w:t>184/2015</w:t>
        </w:r>
      </w:hyperlink>
      <w:r>
        <w:t xml:space="preserve">, ff. 1, 3; </w:t>
      </w:r>
      <w:hyperlink w:anchor="AUTO_2015_193" w:history="1">
        <w:r w:rsidRPr="00981775">
          <w:rPr>
            <w:rStyle w:val="TextoNormalCaracter"/>
          </w:rPr>
          <w:t>193/2015</w:t>
        </w:r>
      </w:hyperlink>
      <w:r>
        <w:t xml:space="preserve">, ff. 1, 2; </w:t>
      </w:r>
      <w:hyperlink w:anchor="AUTO_2015_194" w:history="1">
        <w:r w:rsidRPr="00981775">
          <w:rPr>
            <w:rStyle w:val="TextoNormalCaracter"/>
          </w:rPr>
          <w:t>194/2015</w:t>
        </w:r>
      </w:hyperlink>
      <w:r>
        <w:t xml:space="preserve">, ff. 1, 2; </w:t>
      </w:r>
      <w:hyperlink w:anchor="AUTO_2015_224" w:history="1">
        <w:r w:rsidRPr="00981775">
          <w:rPr>
            <w:rStyle w:val="TextoNormalCaracter"/>
          </w:rPr>
          <w:t>224/2015</w:t>
        </w:r>
      </w:hyperlink>
      <w:r>
        <w:t>, f. 3.</w:t>
      </w:r>
    </w:p>
    <w:p w:rsidR="00981775" w:rsidRDefault="00981775" w:rsidP="00981775">
      <w:pPr>
        <w:pStyle w:val="SangriaFrancesaArticulo"/>
      </w:pPr>
      <w:r w:rsidRPr="00981775">
        <w:rPr>
          <w:rStyle w:val="TextoNormalNegritaCaracter"/>
        </w:rPr>
        <w:t>Artículo 9.3</w:t>
      </w:r>
      <w:r>
        <w:t xml:space="preserve"> (irretroactividad)</w:t>
      </w:r>
      <w:r w:rsidRPr="00981775">
        <w:rPr>
          <w:rStyle w:val="TextoNormalNegritaCaracter"/>
        </w:rPr>
        <w:t>.</w:t>
      </w:r>
      <w:r w:rsidRPr="00981775">
        <w:rPr>
          <w:rStyle w:val="TextoNormalCaracter"/>
        </w:rPr>
        <w:t>-</w:t>
      </w:r>
      <w:r>
        <w:t xml:space="preserve"> Sentencias </w:t>
      </w:r>
      <w:hyperlink w:anchor="SENTENCIA_2015_154" w:history="1">
        <w:r w:rsidRPr="00981775">
          <w:rPr>
            <w:rStyle w:val="TextoNormalCaracter"/>
          </w:rPr>
          <w:t>154/2015</w:t>
        </w:r>
      </w:hyperlink>
      <w:r>
        <w:t xml:space="preserve">, ff. 1 a 3, 5; </w:t>
      </w:r>
      <w:hyperlink w:anchor="SENTENCIA_2015_184" w:history="1">
        <w:r w:rsidRPr="00981775">
          <w:rPr>
            <w:rStyle w:val="TextoNormalCaracter"/>
          </w:rPr>
          <w:t>184/2015</w:t>
        </w:r>
      </w:hyperlink>
      <w:r>
        <w:t xml:space="preserve">, ff. 1, 2; </w:t>
      </w:r>
      <w:hyperlink w:anchor="SENTENCIA_2015_191" w:history="1">
        <w:r w:rsidRPr="00981775">
          <w:rPr>
            <w:rStyle w:val="TextoNormalCaracter"/>
          </w:rPr>
          <w:t>191/2015</w:t>
        </w:r>
      </w:hyperlink>
      <w:r>
        <w:t xml:space="preserve">, ff. 1, 2; </w:t>
      </w:r>
      <w:hyperlink w:anchor="SENTENCIA_2015_192" w:history="1">
        <w:r w:rsidRPr="00981775">
          <w:rPr>
            <w:rStyle w:val="TextoNormalCaracter"/>
          </w:rPr>
          <w:t>192/2015</w:t>
        </w:r>
      </w:hyperlink>
      <w:r>
        <w:t xml:space="preserve">, ff. 1 a 3; </w:t>
      </w:r>
      <w:hyperlink w:anchor="SENTENCIA_2015_216" w:history="1">
        <w:r w:rsidRPr="00981775">
          <w:rPr>
            <w:rStyle w:val="TextoNormalCaracter"/>
          </w:rPr>
          <w:t>216/2015</w:t>
        </w:r>
      </w:hyperlink>
      <w:r>
        <w:t xml:space="preserve">, ff. 1, 7, 8; </w:t>
      </w:r>
      <w:hyperlink w:anchor="SENTENCIA_2015_225" w:history="1">
        <w:r w:rsidRPr="00981775">
          <w:rPr>
            <w:rStyle w:val="TextoNormalCaracter"/>
          </w:rPr>
          <w:t>225/2015</w:t>
        </w:r>
      </w:hyperlink>
      <w:r>
        <w:t xml:space="preserve">, ff. 1, 2; </w:t>
      </w:r>
      <w:hyperlink w:anchor="SENTENCIA_2015_227" w:history="1">
        <w:r w:rsidRPr="00981775">
          <w:rPr>
            <w:rStyle w:val="TextoNormalCaracter"/>
          </w:rPr>
          <w:t>227/2015</w:t>
        </w:r>
      </w:hyperlink>
      <w:r>
        <w:t xml:space="preserve">, f. 2; </w:t>
      </w:r>
      <w:hyperlink w:anchor="SENTENCIA_2015_228" w:history="1">
        <w:r w:rsidRPr="00981775">
          <w:rPr>
            <w:rStyle w:val="TextoNormalCaracter"/>
          </w:rPr>
          <w:t>228/2015</w:t>
        </w:r>
      </w:hyperlink>
      <w:r>
        <w:t xml:space="preserve">, ff. 1, 2; </w:t>
      </w:r>
      <w:hyperlink w:anchor="SENTENCIA_2015_241" w:history="1">
        <w:r w:rsidRPr="00981775">
          <w:rPr>
            <w:rStyle w:val="TextoNormalCaracter"/>
          </w:rPr>
          <w:t>241/2015</w:t>
        </w:r>
      </w:hyperlink>
      <w:r>
        <w:t xml:space="preserve">, ff. 1, 3; </w:t>
      </w:r>
      <w:hyperlink w:anchor="SENTENCIA_2015_245" w:history="1">
        <w:r w:rsidRPr="00981775">
          <w:rPr>
            <w:rStyle w:val="TextoNormalCaracter"/>
          </w:rPr>
          <w:t>245/2015</w:t>
        </w:r>
      </w:hyperlink>
      <w:r>
        <w:t xml:space="preserve">, f. 2; </w:t>
      </w:r>
      <w:hyperlink w:anchor="SENTENCIA_2015_264" w:history="1">
        <w:r w:rsidRPr="00981775">
          <w:rPr>
            <w:rStyle w:val="TextoNormalCaracter"/>
          </w:rPr>
          <w:t>264/2015</w:t>
        </w:r>
      </w:hyperlink>
      <w:r>
        <w:t xml:space="preserve">, ff. 1 a 3; </w:t>
      </w:r>
      <w:hyperlink w:anchor="SENTENCIA_2015_267" w:history="1">
        <w:r w:rsidRPr="00981775">
          <w:rPr>
            <w:rStyle w:val="TextoNormalCaracter"/>
          </w:rPr>
          <w:t>267/2015</w:t>
        </w:r>
      </w:hyperlink>
      <w:r>
        <w:t xml:space="preserve">, f. 1; </w:t>
      </w:r>
      <w:hyperlink w:anchor="SENTENCIA_2015_270" w:history="1">
        <w:r w:rsidRPr="00981775">
          <w:rPr>
            <w:rStyle w:val="TextoNormalCaracter"/>
          </w:rPr>
          <w:t>270/2015</w:t>
        </w:r>
      </w:hyperlink>
      <w:r>
        <w:t>, f. 1, VP.</w:t>
      </w:r>
    </w:p>
    <w:p w:rsidR="00981775" w:rsidRDefault="00981775" w:rsidP="00981775">
      <w:pPr>
        <w:pStyle w:val="SangriaIzquierdaArticulo"/>
      </w:pPr>
      <w:r>
        <w:t xml:space="preserve">Autos </w:t>
      </w:r>
      <w:hyperlink w:anchor="AUTO_2015_129" w:history="1">
        <w:r w:rsidRPr="00981775">
          <w:rPr>
            <w:rStyle w:val="TextoNormalCaracter"/>
          </w:rPr>
          <w:t>129/2015</w:t>
        </w:r>
      </w:hyperlink>
      <w:r>
        <w:t xml:space="preserve">, f. único; </w:t>
      </w:r>
      <w:hyperlink w:anchor="AUTO_2015_130" w:history="1">
        <w:r w:rsidRPr="00981775">
          <w:rPr>
            <w:rStyle w:val="TextoNormalCaracter"/>
          </w:rPr>
          <w:t>130/2015</w:t>
        </w:r>
      </w:hyperlink>
      <w:r>
        <w:t xml:space="preserve">, f. único; </w:t>
      </w:r>
      <w:hyperlink w:anchor="AUTO_2015_132" w:history="1">
        <w:r w:rsidRPr="00981775">
          <w:rPr>
            <w:rStyle w:val="TextoNormalCaracter"/>
          </w:rPr>
          <w:t>132/2015</w:t>
        </w:r>
      </w:hyperlink>
      <w:r>
        <w:t xml:space="preserve">, f. único; </w:t>
      </w:r>
      <w:hyperlink w:anchor="AUTO_2015_133" w:history="1">
        <w:r w:rsidRPr="00981775">
          <w:rPr>
            <w:rStyle w:val="TextoNormalCaracter"/>
          </w:rPr>
          <w:t>133/2015</w:t>
        </w:r>
      </w:hyperlink>
      <w:r>
        <w:t xml:space="preserve">, f. único; </w:t>
      </w:r>
      <w:hyperlink w:anchor="AUTO_2015_134" w:history="1">
        <w:r w:rsidRPr="00981775">
          <w:rPr>
            <w:rStyle w:val="TextoNormalCaracter"/>
          </w:rPr>
          <w:t>134/2015</w:t>
        </w:r>
      </w:hyperlink>
      <w:r>
        <w:t xml:space="preserve">, f. único; </w:t>
      </w:r>
      <w:hyperlink w:anchor="AUTO_2015_183" w:history="1">
        <w:r w:rsidRPr="00981775">
          <w:rPr>
            <w:rStyle w:val="TextoNormalCaracter"/>
          </w:rPr>
          <w:t>183/2015</w:t>
        </w:r>
      </w:hyperlink>
      <w:r>
        <w:t>, f. 1.</w:t>
      </w:r>
    </w:p>
    <w:p w:rsidR="00981775" w:rsidRDefault="00981775" w:rsidP="00981775">
      <w:pPr>
        <w:pStyle w:val="SangriaFrancesaArticulo"/>
      </w:pPr>
      <w:r w:rsidRPr="00981775">
        <w:rPr>
          <w:rStyle w:val="TextoNormalNegritaCaracter"/>
        </w:rPr>
        <w:t>Artículo 9.3</w:t>
      </w:r>
      <w:r>
        <w:t xml:space="preserve"> (seguridad jurídica)</w:t>
      </w:r>
      <w:r w:rsidRPr="00981775">
        <w:rPr>
          <w:rStyle w:val="TextoNormalNegritaCaracter"/>
        </w:rPr>
        <w:t>.</w:t>
      </w:r>
      <w:r w:rsidRPr="00981775">
        <w:rPr>
          <w:rStyle w:val="TextoNormalCaracter"/>
        </w:rPr>
        <w:t>-</w:t>
      </w:r>
      <w:r>
        <w:t xml:space="preserve"> Sentencias </w:t>
      </w:r>
      <w:hyperlink w:anchor="SENTENCIA_2015_158" w:history="1">
        <w:r w:rsidRPr="00981775">
          <w:rPr>
            <w:rStyle w:val="TextoNormalCaracter"/>
          </w:rPr>
          <w:t>158/2015</w:t>
        </w:r>
      </w:hyperlink>
      <w:r>
        <w:t xml:space="preserve">, f. 5; </w:t>
      </w:r>
      <w:hyperlink w:anchor="SENTENCIA_2015_199" w:history="1">
        <w:r w:rsidRPr="00981775">
          <w:rPr>
            <w:rStyle w:val="TextoNormalCaracter"/>
          </w:rPr>
          <w:t>199/2015</w:t>
        </w:r>
      </w:hyperlink>
      <w:r>
        <w:t xml:space="preserve">, f. 3; </w:t>
      </w:r>
      <w:hyperlink w:anchor="SENTENCIA_2015_216" w:history="1">
        <w:r w:rsidRPr="00981775">
          <w:rPr>
            <w:rStyle w:val="TextoNormalCaracter"/>
          </w:rPr>
          <w:t>216/2015</w:t>
        </w:r>
      </w:hyperlink>
      <w:r>
        <w:t xml:space="preserve">, VP; </w:t>
      </w:r>
      <w:hyperlink w:anchor="SENTENCIA_2015_227" w:history="1">
        <w:r w:rsidRPr="00981775">
          <w:rPr>
            <w:rStyle w:val="TextoNormalCaracter"/>
          </w:rPr>
          <w:t>227/2015</w:t>
        </w:r>
      </w:hyperlink>
      <w:r>
        <w:t xml:space="preserve">, ff. 1, 2; </w:t>
      </w:r>
      <w:hyperlink w:anchor="SENTENCIA_2015_231" w:history="1">
        <w:r w:rsidRPr="00981775">
          <w:rPr>
            <w:rStyle w:val="TextoNormalCaracter"/>
          </w:rPr>
          <w:t>231/2015</w:t>
        </w:r>
      </w:hyperlink>
      <w:r>
        <w:t xml:space="preserve">, ff. 8, 12; </w:t>
      </w:r>
      <w:hyperlink w:anchor="SENTENCIA_2015_267" w:history="1">
        <w:r w:rsidRPr="00981775">
          <w:rPr>
            <w:rStyle w:val="TextoNormalCaracter"/>
          </w:rPr>
          <w:t>267/2015</w:t>
        </w:r>
      </w:hyperlink>
      <w:r>
        <w:t xml:space="preserve">, VP; </w:t>
      </w:r>
      <w:hyperlink w:anchor="SENTENCIA_2015_270" w:history="1">
        <w:r w:rsidRPr="00981775">
          <w:rPr>
            <w:rStyle w:val="TextoNormalCaracter"/>
          </w:rPr>
          <w:t>270/2015</w:t>
        </w:r>
      </w:hyperlink>
      <w:r>
        <w:t xml:space="preserve">, VP; </w:t>
      </w:r>
      <w:hyperlink w:anchor="SENTENCIA_2015_272" w:history="1">
        <w:r w:rsidRPr="00981775">
          <w:rPr>
            <w:rStyle w:val="TextoNormalCaracter"/>
          </w:rPr>
          <w:t>272/2015</w:t>
        </w:r>
      </w:hyperlink>
      <w:r>
        <w:t>, f. 5.</w:t>
      </w:r>
    </w:p>
    <w:p w:rsidR="00981775" w:rsidRDefault="00981775" w:rsidP="00981775">
      <w:pPr>
        <w:pStyle w:val="SangriaIzquierdaArticulo"/>
      </w:pPr>
      <w:r>
        <w:t xml:space="preserve">Autos </w:t>
      </w:r>
      <w:hyperlink w:anchor="AUTO_2015_129" w:history="1">
        <w:r w:rsidRPr="00981775">
          <w:rPr>
            <w:rStyle w:val="TextoNormalCaracter"/>
          </w:rPr>
          <w:t>129/2015</w:t>
        </w:r>
      </w:hyperlink>
      <w:r>
        <w:t xml:space="preserve">, VP; </w:t>
      </w:r>
      <w:hyperlink w:anchor="AUTO_2015_130" w:history="1">
        <w:r w:rsidRPr="00981775">
          <w:rPr>
            <w:rStyle w:val="TextoNormalCaracter"/>
          </w:rPr>
          <w:t>130/2015</w:t>
        </w:r>
      </w:hyperlink>
      <w:r>
        <w:t xml:space="preserve">, VP; </w:t>
      </w:r>
      <w:hyperlink w:anchor="AUTO_2015_132" w:history="1">
        <w:r w:rsidRPr="00981775">
          <w:rPr>
            <w:rStyle w:val="TextoNormalCaracter"/>
          </w:rPr>
          <w:t>132/2015</w:t>
        </w:r>
      </w:hyperlink>
      <w:r>
        <w:t xml:space="preserve">, VP; </w:t>
      </w:r>
      <w:hyperlink w:anchor="AUTO_2015_133" w:history="1">
        <w:r w:rsidRPr="00981775">
          <w:rPr>
            <w:rStyle w:val="TextoNormalCaracter"/>
          </w:rPr>
          <w:t>133/2015</w:t>
        </w:r>
      </w:hyperlink>
      <w:r>
        <w:t xml:space="preserve">, VP; </w:t>
      </w:r>
      <w:hyperlink w:anchor="AUTO_2015_134" w:history="1">
        <w:r w:rsidRPr="00981775">
          <w:rPr>
            <w:rStyle w:val="TextoNormalCaracter"/>
          </w:rPr>
          <w:t>134/2015</w:t>
        </w:r>
      </w:hyperlink>
      <w:r>
        <w:t xml:space="preserve">, VP; </w:t>
      </w:r>
      <w:hyperlink w:anchor="AUTO_2015_183" w:history="1">
        <w:r w:rsidRPr="00981775">
          <w:rPr>
            <w:rStyle w:val="TextoNormalCaracter"/>
          </w:rPr>
          <w:t>183/2015</w:t>
        </w:r>
      </w:hyperlink>
      <w:r>
        <w:t>, f. 1.</w:t>
      </w:r>
    </w:p>
    <w:p w:rsidR="00981775" w:rsidRDefault="00981775" w:rsidP="00981775">
      <w:pPr>
        <w:pStyle w:val="SangriaFrancesaArticulo"/>
      </w:pPr>
      <w:r w:rsidRPr="00981775">
        <w:rPr>
          <w:rStyle w:val="TextoNormalNegritaCaracter"/>
        </w:rPr>
        <w:t>Artículo 10.</w:t>
      </w:r>
      <w:r w:rsidRPr="00981775">
        <w:rPr>
          <w:rStyle w:val="TextoNormalCaracter"/>
        </w:rPr>
        <w:t>-</w:t>
      </w:r>
      <w:r>
        <w:t xml:space="preserve"> Sentencia </w:t>
      </w:r>
      <w:hyperlink w:anchor="SENTENCIA_2015_195" w:history="1">
        <w:r w:rsidRPr="00981775">
          <w:rPr>
            <w:rStyle w:val="TextoNormalCaracter"/>
          </w:rPr>
          <w:t>195/2015</w:t>
        </w:r>
      </w:hyperlink>
      <w:r>
        <w:t>, f. 3.</w:t>
      </w:r>
    </w:p>
    <w:p w:rsidR="00981775" w:rsidRDefault="00981775" w:rsidP="00981775">
      <w:pPr>
        <w:pStyle w:val="SangriaFrancesaArticulo"/>
      </w:pPr>
      <w:r w:rsidRPr="00981775">
        <w:rPr>
          <w:rStyle w:val="TextoNormalNegritaCaracter"/>
        </w:rPr>
        <w:t>Artículo 10.2.</w:t>
      </w:r>
      <w:r w:rsidRPr="00981775">
        <w:rPr>
          <w:rStyle w:val="TextoNormalCaracter"/>
        </w:rPr>
        <w:t>-</w:t>
      </w:r>
      <w:r>
        <w:t xml:space="preserve"> Sentencias </w:t>
      </w:r>
      <w:hyperlink w:anchor="SENTENCIA_2015_223" w:history="1">
        <w:r w:rsidRPr="00981775">
          <w:rPr>
            <w:rStyle w:val="TextoNormalCaracter"/>
          </w:rPr>
          <w:t>223/2015</w:t>
        </w:r>
      </w:hyperlink>
      <w:r>
        <w:t xml:space="preserve">, f. 2; </w:t>
      </w:r>
      <w:hyperlink w:anchor="SENTENCIA_2015_231" w:history="1">
        <w:r w:rsidRPr="00981775">
          <w:rPr>
            <w:rStyle w:val="TextoNormalCaracter"/>
          </w:rPr>
          <w:t>231/2015</w:t>
        </w:r>
      </w:hyperlink>
      <w:r>
        <w:t>, f. 10.</w:t>
      </w:r>
    </w:p>
    <w:p w:rsidR="00981775" w:rsidRDefault="00981775" w:rsidP="00981775">
      <w:pPr>
        <w:pStyle w:val="SangriaFrancesaArticulo"/>
      </w:pPr>
      <w:r w:rsidRPr="00981775">
        <w:rPr>
          <w:rStyle w:val="TextoNormalNegritaCaracter"/>
        </w:rPr>
        <w:t>Artículo 13.1.</w:t>
      </w:r>
      <w:r w:rsidRPr="00981775">
        <w:rPr>
          <w:rStyle w:val="TextoNormalCaracter"/>
        </w:rPr>
        <w:t>-</w:t>
      </w:r>
      <w:r>
        <w:t xml:space="preserve"> Sentencia </w:t>
      </w:r>
      <w:hyperlink w:anchor="SENTENCIA_2015_155" w:history="1">
        <w:r w:rsidRPr="00981775">
          <w:rPr>
            <w:rStyle w:val="TextoNormalCaracter"/>
          </w:rPr>
          <w:t>155/2015</w:t>
        </w:r>
      </w:hyperlink>
      <w:r>
        <w:t>, f. 2.</w:t>
      </w:r>
    </w:p>
    <w:p w:rsidR="00981775" w:rsidRDefault="00981775" w:rsidP="00981775">
      <w:pPr>
        <w:pStyle w:val="SangriaFrancesaArticulo"/>
      </w:pPr>
      <w:r w:rsidRPr="00981775">
        <w:rPr>
          <w:rStyle w:val="TextoNormalNegritaCaracter"/>
        </w:rPr>
        <w:t>Artículo 14.</w:t>
      </w:r>
      <w:r w:rsidRPr="00981775">
        <w:rPr>
          <w:rStyle w:val="TextoNormalCaracter"/>
        </w:rPr>
        <w:t>-</w:t>
      </w:r>
      <w:r>
        <w:t xml:space="preserve"> Sentencias </w:t>
      </w:r>
      <w:hyperlink w:anchor="SENTENCIA_2015_149" w:history="1">
        <w:r w:rsidRPr="00981775">
          <w:rPr>
            <w:rStyle w:val="TextoNormalCaracter"/>
          </w:rPr>
          <w:t>149/2015</w:t>
        </w:r>
      </w:hyperlink>
      <w:r>
        <w:t xml:space="preserve">, f. 3; </w:t>
      </w:r>
      <w:hyperlink w:anchor="SENTENCIA_2015_155" w:history="1">
        <w:r w:rsidRPr="00981775">
          <w:rPr>
            <w:rStyle w:val="TextoNormalCaracter"/>
          </w:rPr>
          <w:t>155/2015</w:t>
        </w:r>
      </w:hyperlink>
      <w:r>
        <w:t xml:space="preserve">, VP II; </w:t>
      </w:r>
      <w:hyperlink w:anchor="SENTENCIA_2015_160" w:history="1">
        <w:r w:rsidRPr="00981775">
          <w:rPr>
            <w:rStyle w:val="TextoNormalCaracter"/>
          </w:rPr>
          <w:t>160/2015</w:t>
        </w:r>
      </w:hyperlink>
      <w:r>
        <w:t xml:space="preserve">, f. 2; </w:t>
      </w:r>
      <w:hyperlink w:anchor="SENTENCIA_2015_169" w:history="1">
        <w:r w:rsidRPr="00981775">
          <w:rPr>
            <w:rStyle w:val="TextoNormalCaracter"/>
          </w:rPr>
          <w:t>169/2015</w:t>
        </w:r>
      </w:hyperlink>
      <w:r>
        <w:t xml:space="preserve">, ff. 1, 3; </w:t>
      </w:r>
      <w:hyperlink w:anchor="SENTENCIA_2015_176" w:history="1">
        <w:r w:rsidRPr="00981775">
          <w:rPr>
            <w:rStyle w:val="TextoNormalCaracter"/>
          </w:rPr>
          <w:t>176/2015</w:t>
        </w:r>
      </w:hyperlink>
      <w:r>
        <w:t xml:space="preserve">, ff. 1, 2, 5; </w:t>
      </w:r>
      <w:hyperlink w:anchor="SENTENCIA_2015_179" w:history="1">
        <w:r w:rsidRPr="00981775">
          <w:rPr>
            <w:rStyle w:val="TextoNormalCaracter"/>
          </w:rPr>
          <w:t>179/2015</w:t>
        </w:r>
      </w:hyperlink>
      <w:r>
        <w:t xml:space="preserve">, ff. 1, 3; </w:t>
      </w:r>
      <w:hyperlink w:anchor="SENTENCIA_2015_203" w:history="1">
        <w:r w:rsidRPr="00981775">
          <w:rPr>
            <w:rStyle w:val="TextoNormalCaracter"/>
          </w:rPr>
          <w:t>203/2015</w:t>
        </w:r>
      </w:hyperlink>
      <w:r>
        <w:t xml:space="preserve">, ff. 1, 4, 7; </w:t>
      </w:r>
      <w:hyperlink w:anchor="SENTENCIA_2015_218" w:history="1">
        <w:r w:rsidRPr="00981775">
          <w:rPr>
            <w:rStyle w:val="TextoNormalCaracter"/>
          </w:rPr>
          <w:t>218/2015</w:t>
        </w:r>
      </w:hyperlink>
      <w:r>
        <w:t xml:space="preserve">, f. 1; </w:t>
      </w:r>
      <w:hyperlink w:anchor="SENTENCIA_2015_222" w:history="1">
        <w:r w:rsidRPr="00981775">
          <w:rPr>
            <w:rStyle w:val="TextoNormalCaracter"/>
          </w:rPr>
          <w:t>222/2015</w:t>
        </w:r>
      </w:hyperlink>
      <w:r>
        <w:t xml:space="preserve">, f. 1; </w:t>
      </w:r>
      <w:hyperlink w:anchor="SENTENCIA_2015_230" w:history="1">
        <w:r w:rsidRPr="00981775">
          <w:rPr>
            <w:rStyle w:val="TextoNormalCaracter"/>
          </w:rPr>
          <w:t>230/2015</w:t>
        </w:r>
      </w:hyperlink>
      <w:r>
        <w:t xml:space="preserve">, ff. 1, 3; </w:t>
      </w:r>
      <w:hyperlink w:anchor="SENTENCIA_2015_232" w:history="1">
        <w:r w:rsidRPr="00981775">
          <w:rPr>
            <w:rStyle w:val="TextoNormalCaracter"/>
          </w:rPr>
          <w:t>232/2015</w:t>
        </w:r>
      </w:hyperlink>
      <w:r>
        <w:t xml:space="preserve">, ff. 1, 3; </w:t>
      </w:r>
      <w:hyperlink w:anchor="SENTENCIA_2015_233" w:history="1">
        <w:r w:rsidRPr="00981775">
          <w:rPr>
            <w:rStyle w:val="TextoNormalCaracter"/>
          </w:rPr>
          <w:t>233/2015</w:t>
        </w:r>
      </w:hyperlink>
      <w:r>
        <w:t xml:space="preserve">, f. 14; </w:t>
      </w:r>
      <w:hyperlink w:anchor="SENTENCIA_2015_236" w:history="1">
        <w:r w:rsidRPr="00981775">
          <w:rPr>
            <w:rStyle w:val="TextoNormalCaracter"/>
          </w:rPr>
          <w:t>236/2015</w:t>
        </w:r>
      </w:hyperlink>
      <w:r>
        <w:t xml:space="preserve">, ff. 1, 2, 8, 9; </w:t>
      </w:r>
      <w:hyperlink w:anchor="SENTENCIA_2015_239" w:history="1">
        <w:r w:rsidRPr="00981775">
          <w:rPr>
            <w:rStyle w:val="TextoNormalCaracter"/>
          </w:rPr>
          <w:t>239/2015</w:t>
        </w:r>
      </w:hyperlink>
      <w:r>
        <w:t xml:space="preserve">, f. 1; </w:t>
      </w:r>
      <w:hyperlink w:anchor="SENTENCIA_2015_240" w:history="1">
        <w:r w:rsidRPr="00981775">
          <w:rPr>
            <w:rStyle w:val="TextoNormalCaracter"/>
          </w:rPr>
          <w:t>240/2015</w:t>
        </w:r>
      </w:hyperlink>
      <w:r>
        <w:t xml:space="preserve">, f. 1; </w:t>
      </w:r>
      <w:hyperlink w:anchor="SENTENCIA_2015_242" w:history="1">
        <w:r w:rsidRPr="00981775">
          <w:rPr>
            <w:rStyle w:val="TextoNormalCaracter"/>
          </w:rPr>
          <w:t>242/2015</w:t>
        </w:r>
      </w:hyperlink>
      <w:r>
        <w:t xml:space="preserve">, ff. 5, 6; </w:t>
      </w:r>
      <w:hyperlink w:anchor="SENTENCIA_2015_244" w:history="1">
        <w:r w:rsidRPr="00981775">
          <w:rPr>
            <w:rStyle w:val="TextoNormalCaracter"/>
          </w:rPr>
          <w:t>244/2015</w:t>
        </w:r>
      </w:hyperlink>
      <w:r>
        <w:t xml:space="preserve">, f. 2; </w:t>
      </w:r>
      <w:hyperlink w:anchor="SENTENCIA_2015_261" w:history="1">
        <w:r w:rsidRPr="00981775">
          <w:rPr>
            <w:rStyle w:val="TextoNormalCaracter"/>
          </w:rPr>
          <w:t>261/2015</w:t>
        </w:r>
      </w:hyperlink>
      <w:r>
        <w:t xml:space="preserve">, ff. 1, 3 a 5; </w:t>
      </w:r>
      <w:hyperlink w:anchor="SENTENCIA_2015_262" w:history="1">
        <w:r w:rsidRPr="00981775">
          <w:rPr>
            <w:rStyle w:val="TextoNormalCaracter"/>
          </w:rPr>
          <w:t>262/2015</w:t>
        </w:r>
      </w:hyperlink>
      <w:r>
        <w:t xml:space="preserve">, f. 1; </w:t>
      </w:r>
      <w:hyperlink w:anchor="SENTENCIA_2015_263" w:history="1">
        <w:r w:rsidRPr="00981775">
          <w:rPr>
            <w:rStyle w:val="TextoNormalCaracter"/>
          </w:rPr>
          <w:t>263/2015</w:t>
        </w:r>
      </w:hyperlink>
      <w:r>
        <w:t>, f. 1.</w:t>
      </w:r>
    </w:p>
    <w:p w:rsidR="00981775" w:rsidRDefault="00981775" w:rsidP="00981775">
      <w:pPr>
        <w:pStyle w:val="SangriaIzquierdaArticulo"/>
      </w:pPr>
      <w:r>
        <w:t xml:space="preserve">Autos </w:t>
      </w:r>
      <w:hyperlink w:anchor="AUTO_2015_146" w:history="1">
        <w:r w:rsidRPr="00981775">
          <w:rPr>
            <w:rStyle w:val="TextoNormalCaracter"/>
          </w:rPr>
          <w:t>146/2015</w:t>
        </w:r>
      </w:hyperlink>
      <w:r>
        <w:t xml:space="preserve">, Único; </w:t>
      </w:r>
      <w:hyperlink w:anchor="AUTO_2015_155" w:history="1">
        <w:r w:rsidRPr="00981775">
          <w:rPr>
            <w:rStyle w:val="TextoNormalCaracter"/>
          </w:rPr>
          <w:t>155/2015</w:t>
        </w:r>
      </w:hyperlink>
      <w:r>
        <w:t xml:space="preserve">, f. 1; </w:t>
      </w:r>
      <w:hyperlink w:anchor="AUTO_2015_172" w:history="1">
        <w:r w:rsidRPr="00981775">
          <w:rPr>
            <w:rStyle w:val="TextoNormalCaracter"/>
          </w:rPr>
          <w:t>172/2015</w:t>
        </w:r>
      </w:hyperlink>
      <w:r>
        <w:t xml:space="preserve">, f. 1; </w:t>
      </w:r>
      <w:hyperlink w:anchor="AUTO_2015_184" w:history="1">
        <w:r w:rsidRPr="00981775">
          <w:rPr>
            <w:rStyle w:val="TextoNormalCaracter"/>
          </w:rPr>
          <w:t>184/2015</w:t>
        </w:r>
      </w:hyperlink>
      <w:r>
        <w:t xml:space="preserve">, ff. 1 a 3; </w:t>
      </w:r>
      <w:hyperlink w:anchor="AUTO_2015_193" w:history="1">
        <w:r w:rsidRPr="00981775">
          <w:rPr>
            <w:rStyle w:val="TextoNormalCaracter"/>
          </w:rPr>
          <w:t>193/2015</w:t>
        </w:r>
      </w:hyperlink>
      <w:r>
        <w:t xml:space="preserve">, ff. 1 a 3; </w:t>
      </w:r>
      <w:hyperlink w:anchor="AUTO_2015_194" w:history="1">
        <w:r w:rsidRPr="00981775">
          <w:rPr>
            <w:rStyle w:val="TextoNormalCaracter"/>
          </w:rPr>
          <w:t>194/2015</w:t>
        </w:r>
      </w:hyperlink>
      <w:r>
        <w:t xml:space="preserve">, ff. 1 a 3; </w:t>
      </w:r>
      <w:hyperlink w:anchor="AUTO_2015_224" w:history="1">
        <w:r w:rsidRPr="00981775">
          <w:rPr>
            <w:rStyle w:val="TextoNormalCaracter"/>
          </w:rPr>
          <w:t>224/2015</w:t>
        </w:r>
      </w:hyperlink>
      <w:r>
        <w:t>, ff. 1 a 3.</w:t>
      </w:r>
    </w:p>
    <w:p w:rsidR="00981775" w:rsidRDefault="00981775" w:rsidP="00981775">
      <w:pPr>
        <w:pStyle w:val="SangriaFrancesaArticulo"/>
      </w:pPr>
      <w:r w:rsidRPr="00981775">
        <w:rPr>
          <w:rStyle w:val="TextoNormalNegritaCaracter"/>
        </w:rPr>
        <w:t>Artículo 14</w:t>
      </w:r>
      <w:r>
        <w:t xml:space="preserve"> (discriminación por sexo)</w:t>
      </w:r>
      <w:r w:rsidRPr="00981775">
        <w:rPr>
          <w:rStyle w:val="TextoNormalNegritaCaracter"/>
        </w:rPr>
        <w:t>.</w:t>
      </w:r>
      <w:r w:rsidRPr="00981775">
        <w:rPr>
          <w:rStyle w:val="TextoNormalCaracter"/>
        </w:rPr>
        <w:t>-</w:t>
      </w:r>
      <w:r>
        <w:t xml:space="preserve"> Sentencia </w:t>
      </w:r>
      <w:hyperlink w:anchor="SENTENCIA_2015_242" w:history="1">
        <w:r w:rsidRPr="00981775">
          <w:rPr>
            <w:rStyle w:val="TextoNormalCaracter"/>
          </w:rPr>
          <w:t>242/2015</w:t>
        </w:r>
      </w:hyperlink>
      <w:r>
        <w:t>, f. 1.</w:t>
      </w:r>
    </w:p>
    <w:p w:rsidR="00981775" w:rsidRDefault="00981775" w:rsidP="00981775">
      <w:pPr>
        <w:pStyle w:val="SangriaFrancesaArticulo"/>
      </w:pPr>
      <w:r w:rsidRPr="00981775">
        <w:rPr>
          <w:rStyle w:val="TextoNormalNegritaCaracter"/>
        </w:rPr>
        <w:t>Artículo 14</w:t>
      </w:r>
      <w:r>
        <w:t xml:space="preserve"> (igualdad en la aplicación de la ley)</w:t>
      </w:r>
      <w:r w:rsidRPr="00981775">
        <w:rPr>
          <w:rStyle w:val="TextoNormalNegritaCaracter"/>
        </w:rPr>
        <w:t>.</w:t>
      </w:r>
      <w:r w:rsidRPr="00981775">
        <w:rPr>
          <w:rStyle w:val="TextoNormalCaracter"/>
        </w:rPr>
        <w:t>-</w:t>
      </w:r>
      <w:r>
        <w:t xml:space="preserve"> Sentencia </w:t>
      </w:r>
      <w:hyperlink w:anchor="SENTENCIA_2015_158" w:history="1">
        <w:r w:rsidRPr="00981775">
          <w:rPr>
            <w:rStyle w:val="TextoNormalCaracter"/>
          </w:rPr>
          <w:t>158/2015</w:t>
        </w:r>
      </w:hyperlink>
      <w:r>
        <w:t>, f. 1.</w:t>
      </w:r>
    </w:p>
    <w:p w:rsidR="00981775" w:rsidRDefault="00981775" w:rsidP="00981775">
      <w:pPr>
        <w:pStyle w:val="SangriaFrancesaArticulo"/>
      </w:pPr>
      <w:r w:rsidRPr="00981775">
        <w:rPr>
          <w:rStyle w:val="TextoNormalNegritaCaracter"/>
        </w:rPr>
        <w:t>Artículo 15.</w:t>
      </w:r>
      <w:r w:rsidRPr="00981775">
        <w:rPr>
          <w:rStyle w:val="TextoNormalCaracter"/>
        </w:rPr>
        <w:t>-</w:t>
      </w:r>
      <w:r>
        <w:t xml:space="preserve"> Sentencias </w:t>
      </w:r>
      <w:hyperlink w:anchor="SENTENCIA_2015_177" w:history="1">
        <w:r w:rsidRPr="00981775">
          <w:rPr>
            <w:rStyle w:val="TextoNormalCaracter"/>
          </w:rPr>
          <w:t>177/2015</w:t>
        </w:r>
      </w:hyperlink>
      <w:r>
        <w:t xml:space="preserve">, f. 4, VP III; </w:t>
      </w:r>
      <w:hyperlink w:anchor="SENTENCIA_2015_231" w:history="1">
        <w:r w:rsidRPr="00981775">
          <w:rPr>
            <w:rStyle w:val="TextoNormalCaracter"/>
          </w:rPr>
          <w:t>231/2015</w:t>
        </w:r>
      </w:hyperlink>
      <w:r>
        <w:t>, f. 6.</w:t>
      </w:r>
    </w:p>
    <w:p w:rsidR="00981775" w:rsidRDefault="00981775" w:rsidP="00981775">
      <w:pPr>
        <w:pStyle w:val="SangriaFrancesaArticulo"/>
      </w:pPr>
      <w:r w:rsidRPr="00981775">
        <w:rPr>
          <w:rStyle w:val="TextoNormalNegritaCaracter"/>
        </w:rPr>
        <w:t>Artículo 16.</w:t>
      </w:r>
      <w:r w:rsidRPr="00981775">
        <w:rPr>
          <w:rStyle w:val="TextoNormalCaracter"/>
        </w:rPr>
        <w:t>-</w:t>
      </w:r>
      <w:r>
        <w:t xml:space="preserve"> Sentencia </w:t>
      </w:r>
      <w:hyperlink w:anchor="SENTENCIA_2015_177" w:history="1">
        <w:r w:rsidRPr="00981775">
          <w:rPr>
            <w:rStyle w:val="TextoNormalCaracter"/>
          </w:rPr>
          <w:t>177/2015</w:t>
        </w:r>
      </w:hyperlink>
      <w:r>
        <w:t>, VP I, VP III.</w:t>
      </w:r>
    </w:p>
    <w:p w:rsidR="00981775" w:rsidRDefault="00981775" w:rsidP="00981775">
      <w:pPr>
        <w:pStyle w:val="SangriaFrancesaArticulo"/>
      </w:pPr>
      <w:r w:rsidRPr="00981775">
        <w:rPr>
          <w:rStyle w:val="TextoNormalNegritaCaracter"/>
        </w:rPr>
        <w:t>Artículo 16.1.</w:t>
      </w:r>
      <w:r w:rsidRPr="00981775">
        <w:rPr>
          <w:rStyle w:val="TextoNormalCaracter"/>
        </w:rPr>
        <w:t>-</w:t>
      </w:r>
      <w:r>
        <w:t xml:space="preserve"> Sentencia </w:t>
      </w:r>
      <w:hyperlink w:anchor="SENTENCIA_2015_177" w:history="1">
        <w:r w:rsidRPr="00981775">
          <w:rPr>
            <w:rStyle w:val="TextoNormalCaracter"/>
          </w:rPr>
          <w:t>177/2015</w:t>
        </w:r>
      </w:hyperlink>
      <w:r>
        <w:t>, ff. 2, 5, VP I, VP III.</w:t>
      </w:r>
    </w:p>
    <w:p w:rsidR="00981775" w:rsidRDefault="00981775" w:rsidP="00981775">
      <w:pPr>
        <w:pStyle w:val="SangriaIzquierdaArticulo"/>
      </w:pPr>
      <w:r>
        <w:t xml:space="preserve">Auto </w:t>
      </w:r>
      <w:hyperlink w:anchor="AUTO_2015_140" w:history="1">
        <w:r w:rsidRPr="00981775">
          <w:rPr>
            <w:rStyle w:val="TextoNormalCaracter"/>
          </w:rPr>
          <w:t>140/2015</w:t>
        </w:r>
      </w:hyperlink>
      <w:r>
        <w:t>, f. único.</w:t>
      </w:r>
    </w:p>
    <w:p w:rsidR="00981775" w:rsidRDefault="00981775" w:rsidP="00981775">
      <w:pPr>
        <w:pStyle w:val="SangriaFrancesaArticulo"/>
      </w:pPr>
      <w:r w:rsidRPr="00981775">
        <w:rPr>
          <w:rStyle w:val="TextoNormalNegritaCaracter"/>
        </w:rPr>
        <w:t>Artículo 17.</w:t>
      </w:r>
      <w:r w:rsidRPr="00981775">
        <w:rPr>
          <w:rStyle w:val="TextoNormalCaracter"/>
        </w:rPr>
        <w:t>-</w:t>
      </w:r>
      <w:r>
        <w:t xml:space="preserve"> Sentencias </w:t>
      </w:r>
      <w:hyperlink w:anchor="SENTENCIA_2015_204" w:history="1">
        <w:r w:rsidRPr="00981775">
          <w:rPr>
            <w:rStyle w:val="TextoNormalCaracter"/>
          </w:rPr>
          <w:t>204/2015</w:t>
        </w:r>
      </w:hyperlink>
      <w:r>
        <w:t xml:space="preserve">, ff. 1, 2; </w:t>
      </w:r>
      <w:hyperlink w:anchor="SENTENCIA_2015_217" w:history="1">
        <w:r w:rsidRPr="00981775">
          <w:rPr>
            <w:rStyle w:val="TextoNormalCaracter"/>
          </w:rPr>
          <w:t>217/2015</w:t>
        </w:r>
      </w:hyperlink>
      <w:r>
        <w:t xml:space="preserve">, f. 1; </w:t>
      </w:r>
      <w:hyperlink w:anchor="SENTENCIA_2015_226" w:history="1">
        <w:r w:rsidRPr="00981775">
          <w:rPr>
            <w:rStyle w:val="TextoNormalCaracter"/>
          </w:rPr>
          <w:t>226/2015</w:t>
        </w:r>
      </w:hyperlink>
      <w:r>
        <w:t xml:space="preserve">, ff. 1, 4; </w:t>
      </w:r>
      <w:hyperlink w:anchor="SENTENCIA_2015_261" w:history="1">
        <w:r w:rsidRPr="00981775">
          <w:rPr>
            <w:rStyle w:val="TextoNormalCaracter"/>
          </w:rPr>
          <w:t>261/2015</w:t>
        </w:r>
      </w:hyperlink>
      <w:r>
        <w:t>, f. 4.</w:t>
      </w:r>
    </w:p>
    <w:p w:rsidR="00981775" w:rsidRDefault="00981775" w:rsidP="00981775">
      <w:pPr>
        <w:pStyle w:val="SangriaFrancesaArticulo"/>
      </w:pPr>
      <w:r w:rsidRPr="00981775">
        <w:rPr>
          <w:rStyle w:val="TextoNormalNegritaCaracter"/>
        </w:rPr>
        <w:t>Artículo 17.1.</w:t>
      </w:r>
      <w:r w:rsidRPr="00981775">
        <w:rPr>
          <w:rStyle w:val="TextoNormalCaracter"/>
        </w:rPr>
        <w:t>-</w:t>
      </w:r>
      <w:r>
        <w:t xml:space="preserve"> Sentencias </w:t>
      </w:r>
      <w:hyperlink w:anchor="SENTENCIA_2015_159" w:history="1">
        <w:r w:rsidRPr="00981775">
          <w:rPr>
            <w:rStyle w:val="TextoNormalCaracter"/>
          </w:rPr>
          <w:t>159/2015</w:t>
        </w:r>
      </w:hyperlink>
      <w:r>
        <w:t xml:space="preserve">, f. 5; </w:t>
      </w:r>
      <w:hyperlink w:anchor="SENTENCIA_2015_182" w:history="1">
        <w:r w:rsidRPr="00981775">
          <w:rPr>
            <w:rStyle w:val="TextoNormalCaracter"/>
          </w:rPr>
          <w:t>182/2015</w:t>
        </w:r>
      </w:hyperlink>
      <w:r>
        <w:t xml:space="preserve">, ff. 1 a 7; </w:t>
      </w:r>
      <w:hyperlink w:anchor="SENTENCIA_2015_204" w:history="1">
        <w:r w:rsidRPr="00981775">
          <w:rPr>
            <w:rStyle w:val="TextoNormalCaracter"/>
          </w:rPr>
          <w:t>204/2015</w:t>
        </w:r>
      </w:hyperlink>
      <w:r>
        <w:t xml:space="preserve">, ff. 2, 3, 5; </w:t>
      </w:r>
      <w:hyperlink w:anchor="SENTENCIA_2015_217" w:history="1">
        <w:r w:rsidRPr="00981775">
          <w:rPr>
            <w:rStyle w:val="TextoNormalCaracter"/>
          </w:rPr>
          <w:t>217/2015</w:t>
        </w:r>
      </w:hyperlink>
      <w:r>
        <w:t xml:space="preserve">, ff. 2, 5; </w:t>
      </w:r>
      <w:hyperlink w:anchor="SENTENCIA_2015_226" w:history="1">
        <w:r w:rsidRPr="00981775">
          <w:rPr>
            <w:rStyle w:val="TextoNormalCaracter"/>
          </w:rPr>
          <w:t>226/2015</w:t>
        </w:r>
      </w:hyperlink>
      <w:r>
        <w:t xml:space="preserve">, ff. 4, 5; </w:t>
      </w:r>
      <w:hyperlink w:anchor="SENTENCIA_2015_261" w:history="1">
        <w:r w:rsidRPr="00981775">
          <w:rPr>
            <w:rStyle w:val="TextoNormalCaracter"/>
          </w:rPr>
          <w:t>261/2015</w:t>
        </w:r>
      </w:hyperlink>
      <w:r>
        <w:t>, ff. 1, 3 a 5, 7, 8.</w:t>
      </w:r>
    </w:p>
    <w:p w:rsidR="00981775" w:rsidRDefault="00981775" w:rsidP="00981775">
      <w:pPr>
        <w:pStyle w:val="SangriaFrancesaArticulo"/>
      </w:pPr>
      <w:r w:rsidRPr="00981775">
        <w:rPr>
          <w:rStyle w:val="TextoNormalNegritaCaracter"/>
        </w:rPr>
        <w:t>Artículo 17.2.</w:t>
      </w:r>
      <w:r w:rsidRPr="00981775">
        <w:rPr>
          <w:rStyle w:val="TextoNormalCaracter"/>
        </w:rPr>
        <w:t>-</w:t>
      </w:r>
      <w:r>
        <w:t xml:space="preserve"> Sentencias </w:t>
      </w:r>
      <w:hyperlink w:anchor="SENTENCIA_2015_182" w:history="1">
        <w:r w:rsidRPr="00981775">
          <w:rPr>
            <w:rStyle w:val="TextoNormalCaracter"/>
          </w:rPr>
          <w:t>182/2015</w:t>
        </w:r>
      </w:hyperlink>
      <w:r>
        <w:t xml:space="preserve">, ff. 3, 5, 6; </w:t>
      </w:r>
      <w:hyperlink w:anchor="SENTENCIA_2015_226" w:history="1">
        <w:r w:rsidRPr="00981775">
          <w:rPr>
            <w:rStyle w:val="TextoNormalCaracter"/>
          </w:rPr>
          <w:t>226/2015</w:t>
        </w:r>
      </w:hyperlink>
      <w:r>
        <w:t>, f. 4.</w:t>
      </w:r>
    </w:p>
    <w:p w:rsidR="00981775" w:rsidRDefault="00981775" w:rsidP="00981775">
      <w:pPr>
        <w:pStyle w:val="SangriaFrancesaArticulo"/>
      </w:pPr>
      <w:r w:rsidRPr="00981775">
        <w:rPr>
          <w:rStyle w:val="TextoNormalNegritaCaracter"/>
        </w:rPr>
        <w:t>Artículo 17.4.</w:t>
      </w:r>
      <w:r w:rsidRPr="00981775">
        <w:rPr>
          <w:rStyle w:val="TextoNormalCaracter"/>
        </w:rPr>
        <w:t>-</w:t>
      </w:r>
      <w:r>
        <w:t xml:space="preserve"> Sentencias </w:t>
      </w:r>
      <w:hyperlink w:anchor="SENTENCIA_2015_204" w:history="1">
        <w:r w:rsidRPr="00981775">
          <w:rPr>
            <w:rStyle w:val="TextoNormalCaracter"/>
          </w:rPr>
          <w:t>204/2015</w:t>
        </w:r>
      </w:hyperlink>
      <w:r>
        <w:t xml:space="preserve">, f. 4; </w:t>
      </w:r>
      <w:hyperlink w:anchor="SENTENCIA_2015_217" w:history="1">
        <w:r w:rsidRPr="00981775">
          <w:rPr>
            <w:rStyle w:val="TextoNormalCaracter"/>
          </w:rPr>
          <w:t>217/2015</w:t>
        </w:r>
      </w:hyperlink>
      <w:r>
        <w:t>, f. 2.</w:t>
      </w:r>
    </w:p>
    <w:p w:rsidR="00981775" w:rsidRDefault="00981775" w:rsidP="00981775">
      <w:pPr>
        <w:pStyle w:val="SangriaFrancesaArticulo"/>
      </w:pPr>
      <w:r w:rsidRPr="00981775">
        <w:rPr>
          <w:rStyle w:val="TextoNormalNegritaCaracter"/>
        </w:rPr>
        <w:t>Artículo 18.</w:t>
      </w:r>
      <w:r w:rsidRPr="00981775">
        <w:rPr>
          <w:rStyle w:val="TextoNormalCaracter"/>
        </w:rPr>
        <w:t>-</w:t>
      </w:r>
      <w:r>
        <w:t xml:space="preserve"> Sentencias </w:t>
      </w:r>
      <w:hyperlink w:anchor="SENTENCIA_2015_177" w:history="1">
        <w:r w:rsidRPr="00981775">
          <w:rPr>
            <w:rStyle w:val="TextoNormalCaracter"/>
          </w:rPr>
          <w:t>177/2015</w:t>
        </w:r>
      </w:hyperlink>
      <w:r>
        <w:t xml:space="preserve">, f. 2; </w:t>
      </w:r>
      <w:hyperlink w:anchor="SENTENCIA_2015_199" w:history="1">
        <w:r w:rsidRPr="00981775">
          <w:rPr>
            <w:rStyle w:val="TextoNormalCaracter"/>
          </w:rPr>
          <w:t>199/2015</w:t>
        </w:r>
      </w:hyperlink>
      <w:r>
        <w:t>, f. 1.</w:t>
      </w:r>
    </w:p>
    <w:p w:rsidR="00981775" w:rsidRDefault="00981775" w:rsidP="00981775">
      <w:pPr>
        <w:pStyle w:val="SangriaIzquierdaArticulo"/>
      </w:pPr>
      <w:r>
        <w:t xml:space="preserve">Autos </w:t>
      </w:r>
      <w:hyperlink w:anchor="AUTO_2015_179" w:history="1">
        <w:r w:rsidRPr="00981775">
          <w:rPr>
            <w:rStyle w:val="TextoNormalCaracter"/>
          </w:rPr>
          <w:t>179/2015</w:t>
        </w:r>
      </w:hyperlink>
      <w:r>
        <w:t xml:space="preserve">, f. 5; </w:t>
      </w:r>
      <w:hyperlink w:anchor="AUTO_2015_180" w:history="1">
        <w:r w:rsidRPr="00981775">
          <w:rPr>
            <w:rStyle w:val="TextoNormalCaracter"/>
          </w:rPr>
          <w:t>180/2015</w:t>
        </w:r>
      </w:hyperlink>
      <w:r>
        <w:t>, f. 1.</w:t>
      </w:r>
    </w:p>
    <w:p w:rsidR="00981775" w:rsidRDefault="00981775" w:rsidP="00981775">
      <w:pPr>
        <w:pStyle w:val="SangriaFrancesaArticulo"/>
      </w:pPr>
      <w:r w:rsidRPr="00981775">
        <w:rPr>
          <w:rStyle w:val="TextoNormalNegritaCaracter"/>
        </w:rPr>
        <w:t>Artículo 18.1.</w:t>
      </w:r>
      <w:r w:rsidRPr="00981775">
        <w:rPr>
          <w:rStyle w:val="TextoNormalCaracter"/>
        </w:rPr>
        <w:t>-</w:t>
      </w:r>
      <w:r>
        <w:t xml:space="preserve"> Sentencias </w:t>
      </w:r>
      <w:hyperlink w:anchor="SENTENCIA_2015_199" w:history="1">
        <w:r w:rsidRPr="00981775">
          <w:rPr>
            <w:rStyle w:val="TextoNormalCaracter"/>
          </w:rPr>
          <w:t>199/2015</w:t>
        </w:r>
      </w:hyperlink>
      <w:r>
        <w:t xml:space="preserve">, ff. 1, 4; </w:t>
      </w:r>
      <w:hyperlink w:anchor="SENTENCIA_2015_242" w:history="1">
        <w:r w:rsidRPr="00981775">
          <w:rPr>
            <w:rStyle w:val="TextoNormalCaracter"/>
          </w:rPr>
          <w:t>242/2015</w:t>
        </w:r>
      </w:hyperlink>
      <w:r>
        <w:t>, f. 1.</w:t>
      </w:r>
    </w:p>
    <w:p w:rsidR="00981775" w:rsidRDefault="00981775" w:rsidP="00981775">
      <w:pPr>
        <w:pStyle w:val="SangriaIzquierdaArticulo"/>
      </w:pPr>
      <w:r>
        <w:t xml:space="preserve">Auto </w:t>
      </w:r>
      <w:hyperlink w:anchor="AUTO_2015_179" w:history="1">
        <w:r w:rsidRPr="00981775">
          <w:rPr>
            <w:rStyle w:val="TextoNormalCaracter"/>
          </w:rPr>
          <w:t>179/2015</w:t>
        </w:r>
      </w:hyperlink>
      <w:r>
        <w:t>, f. 3.</w:t>
      </w:r>
    </w:p>
    <w:p w:rsidR="00981775" w:rsidRDefault="00981775" w:rsidP="00981775">
      <w:pPr>
        <w:pStyle w:val="SangriaFrancesaArticulo"/>
      </w:pPr>
      <w:r w:rsidRPr="00981775">
        <w:rPr>
          <w:rStyle w:val="TextoNormalNegritaCaracter"/>
        </w:rPr>
        <w:t>Artículo 18.2.</w:t>
      </w:r>
      <w:r w:rsidRPr="00981775">
        <w:rPr>
          <w:rStyle w:val="TextoNormalCaracter"/>
        </w:rPr>
        <w:t>-</w:t>
      </w:r>
      <w:r>
        <w:t xml:space="preserve"> Sentencia </w:t>
      </w:r>
      <w:hyperlink w:anchor="SENTENCIA_2015_214" w:history="1">
        <w:r w:rsidRPr="00981775">
          <w:rPr>
            <w:rStyle w:val="TextoNormalCaracter"/>
          </w:rPr>
          <w:t>214/2015</w:t>
        </w:r>
      </w:hyperlink>
      <w:r>
        <w:t>, f. 5.</w:t>
      </w:r>
    </w:p>
    <w:p w:rsidR="00981775" w:rsidRDefault="00981775" w:rsidP="00981775">
      <w:pPr>
        <w:pStyle w:val="SangriaFrancesaArticulo"/>
      </w:pPr>
      <w:r w:rsidRPr="00981775">
        <w:rPr>
          <w:rStyle w:val="TextoNormalNegritaCaracter"/>
        </w:rPr>
        <w:t>Artículo 19.</w:t>
      </w:r>
      <w:r w:rsidRPr="00981775">
        <w:rPr>
          <w:rStyle w:val="TextoNormalCaracter"/>
        </w:rPr>
        <w:t>-</w:t>
      </w:r>
      <w:r>
        <w:t xml:space="preserve"> Sentencia </w:t>
      </w:r>
      <w:hyperlink w:anchor="SENTENCIA_2015_155" w:history="1">
        <w:r w:rsidRPr="00981775">
          <w:rPr>
            <w:rStyle w:val="TextoNormalCaracter"/>
          </w:rPr>
          <w:t>155/2015</w:t>
        </w:r>
      </w:hyperlink>
      <w:r>
        <w:t>, f. 2.</w:t>
      </w:r>
    </w:p>
    <w:p w:rsidR="00981775" w:rsidRDefault="00981775" w:rsidP="00981775">
      <w:pPr>
        <w:pStyle w:val="SangriaFrancesaArticulo"/>
      </w:pPr>
      <w:r w:rsidRPr="00981775">
        <w:rPr>
          <w:rStyle w:val="TextoNormalNegritaCaracter"/>
        </w:rPr>
        <w:t>Artículo 20.</w:t>
      </w:r>
      <w:r w:rsidRPr="00981775">
        <w:rPr>
          <w:rStyle w:val="TextoNormalCaracter"/>
        </w:rPr>
        <w:t>-</w:t>
      </w:r>
      <w:r>
        <w:t xml:space="preserve"> Sentencias </w:t>
      </w:r>
      <w:hyperlink w:anchor="SENTENCIA_2015_177" w:history="1">
        <w:r w:rsidRPr="00981775">
          <w:rPr>
            <w:rStyle w:val="TextoNormalCaracter"/>
          </w:rPr>
          <w:t>177/2015</w:t>
        </w:r>
      </w:hyperlink>
      <w:r>
        <w:t xml:space="preserve">, ff. 2, 5, VP I, VP III; </w:t>
      </w:r>
      <w:hyperlink w:anchor="SENTENCIA_2015_187" w:history="1">
        <w:r w:rsidRPr="00981775">
          <w:rPr>
            <w:rStyle w:val="TextoNormalCaracter"/>
          </w:rPr>
          <w:t>187/2015</w:t>
        </w:r>
      </w:hyperlink>
      <w:r>
        <w:t xml:space="preserve">, f. 2; </w:t>
      </w:r>
      <w:hyperlink w:anchor="SENTENCIA_2015_203" w:history="1">
        <w:r w:rsidRPr="00981775">
          <w:rPr>
            <w:rStyle w:val="TextoNormalCaracter"/>
          </w:rPr>
          <w:t>203/2015</w:t>
        </w:r>
      </w:hyperlink>
      <w:r>
        <w:t>, ff. 3, 4, 7.</w:t>
      </w:r>
    </w:p>
    <w:p w:rsidR="00981775" w:rsidRDefault="00981775" w:rsidP="00981775">
      <w:pPr>
        <w:pStyle w:val="SangriaFrancesaArticulo"/>
      </w:pPr>
      <w:r w:rsidRPr="00981775">
        <w:rPr>
          <w:rStyle w:val="TextoNormalNegritaCaracter"/>
        </w:rPr>
        <w:t>Artículo 20.1 a).</w:t>
      </w:r>
      <w:r w:rsidRPr="00981775">
        <w:rPr>
          <w:rStyle w:val="TextoNormalCaracter"/>
        </w:rPr>
        <w:t>-</w:t>
      </w:r>
      <w:r>
        <w:t xml:space="preserve"> Sentencias </w:t>
      </w:r>
      <w:hyperlink w:anchor="SENTENCIA_2015_177" w:history="1">
        <w:r w:rsidRPr="00981775">
          <w:rPr>
            <w:rStyle w:val="TextoNormalCaracter"/>
          </w:rPr>
          <w:t>177/2015</w:t>
        </w:r>
      </w:hyperlink>
      <w:r>
        <w:t xml:space="preserve">, ff. 2 a 5, VP I, VP III; </w:t>
      </w:r>
      <w:hyperlink w:anchor="SENTENCIA_2015_187" w:history="1">
        <w:r w:rsidRPr="00981775">
          <w:rPr>
            <w:rStyle w:val="TextoNormalCaracter"/>
          </w:rPr>
          <w:t>187/2015</w:t>
        </w:r>
      </w:hyperlink>
      <w:r>
        <w:t xml:space="preserve">, ff. 1, 3; </w:t>
      </w:r>
      <w:hyperlink w:anchor="SENTENCIA_2015_203" w:history="1">
        <w:r w:rsidRPr="00981775">
          <w:rPr>
            <w:rStyle w:val="TextoNormalCaracter"/>
          </w:rPr>
          <w:t>203/2015</w:t>
        </w:r>
      </w:hyperlink>
      <w:r>
        <w:t>, ff. 1, 4 a 6.</w:t>
      </w:r>
    </w:p>
    <w:p w:rsidR="00981775" w:rsidRDefault="00981775" w:rsidP="00981775">
      <w:pPr>
        <w:pStyle w:val="SangriaFrancesaArticulo"/>
      </w:pPr>
      <w:r w:rsidRPr="00981775">
        <w:rPr>
          <w:rStyle w:val="TextoNormalNegritaCaracter"/>
        </w:rPr>
        <w:t>Artículo 20.1 c).</w:t>
      </w:r>
      <w:r w:rsidRPr="00981775">
        <w:rPr>
          <w:rStyle w:val="TextoNormalCaracter"/>
        </w:rPr>
        <w:t>-</w:t>
      </w:r>
      <w:r>
        <w:t xml:space="preserve"> Sentencia </w:t>
      </w:r>
      <w:hyperlink w:anchor="SENTENCIA_2015_176" w:history="1">
        <w:r w:rsidRPr="00981775">
          <w:rPr>
            <w:rStyle w:val="TextoNormalCaracter"/>
          </w:rPr>
          <w:t>176/2015</w:t>
        </w:r>
      </w:hyperlink>
      <w:r>
        <w:t>, ff. 4, 5.</w:t>
      </w:r>
    </w:p>
    <w:p w:rsidR="00981775" w:rsidRDefault="00981775" w:rsidP="00981775">
      <w:pPr>
        <w:pStyle w:val="SangriaFrancesaArticulo"/>
      </w:pPr>
      <w:r w:rsidRPr="00981775">
        <w:rPr>
          <w:rStyle w:val="TextoNormalNegritaCaracter"/>
        </w:rPr>
        <w:t>Artículo 20.1 d).</w:t>
      </w:r>
      <w:r w:rsidRPr="00981775">
        <w:rPr>
          <w:rStyle w:val="TextoNormalCaracter"/>
        </w:rPr>
        <w:t>-</w:t>
      </w:r>
      <w:r>
        <w:t xml:space="preserve"> Sentencias </w:t>
      </w:r>
      <w:hyperlink w:anchor="SENTENCIA_2015_187" w:history="1">
        <w:r w:rsidRPr="00981775">
          <w:rPr>
            <w:rStyle w:val="TextoNormalCaracter"/>
          </w:rPr>
          <w:t>187/2015</w:t>
        </w:r>
      </w:hyperlink>
      <w:r>
        <w:t xml:space="preserve">, f. 3; </w:t>
      </w:r>
      <w:hyperlink w:anchor="SENTENCIA_2015_203" w:history="1">
        <w:r w:rsidRPr="00981775">
          <w:rPr>
            <w:rStyle w:val="TextoNormalCaracter"/>
          </w:rPr>
          <w:t>203/2015</w:t>
        </w:r>
      </w:hyperlink>
      <w:r>
        <w:t>, ff. 1, 4.</w:t>
      </w:r>
    </w:p>
    <w:p w:rsidR="00981775" w:rsidRDefault="00981775" w:rsidP="00981775">
      <w:pPr>
        <w:pStyle w:val="SangriaFrancesaArticulo"/>
      </w:pPr>
      <w:r w:rsidRPr="00981775">
        <w:rPr>
          <w:rStyle w:val="TextoNormalNegritaCaracter"/>
        </w:rPr>
        <w:t>Artículo 20.4.</w:t>
      </w:r>
      <w:r w:rsidRPr="00981775">
        <w:rPr>
          <w:rStyle w:val="TextoNormalCaracter"/>
        </w:rPr>
        <w:t>-</w:t>
      </w:r>
      <w:r>
        <w:t xml:space="preserve"> Sentencia </w:t>
      </w:r>
      <w:hyperlink w:anchor="SENTENCIA_2015_177" w:history="1">
        <w:r w:rsidRPr="00981775">
          <w:rPr>
            <w:rStyle w:val="TextoNormalCaracter"/>
          </w:rPr>
          <w:t>177/2015</w:t>
        </w:r>
      </w:hyperlink>
      <w:r>
        <w:t>, VP I, VP III.</w:t>
      </w:r>
    </w:p>
    <w:p w:rsidR="00981775" w:rsidRDefault="00981775" w:rsidP="00981775">
      <w:pPr>
        <w:pStyle w:val="SangriaFrancesaArticulo"/>
      </w:pPr>
      <w:r w:rsidRPr="00981775">
        <w:rPr>
          <w:rStyle w:val="TextoNormalNegritaCaracter"/>
        </w:rPr>
        <w:t>Artículo 23.</w:t>
      </w:r>
      <w:r w:rsidRPr="00981775">
        <w:rPr>
          <w:rStyle w:val="TextoNormalCaracter"/>
        </w:rPr>
        <w:t>-</w:t>
      </w:r>
      <w:r>
        <w:t xml:space="preserve"> Sentencias </w:t>
      </w:r>
      <w:hyperlink w:anchor="SENTENCIA_2015_158" w:history="1">
        <w:r w:rsidRPr="00981775">
          <w:rPr>
            <w:rStyle w:val="TextoNormalCaracter"/>
          </w:rPr>
          <w:t>158/2015</w:t>
        </w:r>
      </w:hyperlink>
      <w:r>
        <w:t xml:space="preserve">, f. 3; </w:t>
      </w:r>
      <w:hyperlink w:anchor="SENTENCIA_2015_199" w:history="1">
        <w:r w:rsidRPr="00981775">
          <w:rPr>
            <w:rStyle w:val="TextoNormalCaracter"/>
          </w:rPr>
          <w:t>199/2015</w:t>
        </w:r>
      </w:hyperlink>
      <w:r>
        <w:t xml:space="preserve">, f. 1; </w:t>
      </w:r>
      <w:hyperlink w:anchor="SENTENCIA_2015_231" w:history="1">
        <w:r w:rsidRPr="00981775">
          <w:rPr>
            <w:rStyle w:val="TextoNormalCaracter"/>
          </w:rPr>
          <w:t>231/2015</w:t>
        </w:r>
      </w:hyperlink>
      <w:r>
        <w:t xml:space="preserve">, f. 8; </w:t>
      </w:r>
      <w:hyperlink w:anchor="SENTENCIA_2015_259" w:history="1">
        <w:r w:rsidRPr="00981775">
          <w:rPr>
            <w:rStyle w:val="TextoNormalCaracter"/>
          </w:rPr>
          <w:t>259/2015</w:t>
        </w:r>
      </w:hyperlink>
      <w:r>
        <w:t>, f. 1.</w:t>
      </w:r>
    </w:p>
    <w:p w:rsidR="00981775" w:rsidRDefault="00981775" w:rsidP="00981775">
      <w:pPr>
        <w:pStyle w:val="SangriaFrancesaArticulo"/>
      </w:pPr>
      <w:r w:rsidRPr="00981775">
        <w:rPr>
          <w:rStyle w:val="TextoNormalNegritaCaracter"/>
        </w:rPr>
        <w:t>Artículo 23.2.</w:t>
      </w:r>
      <w:r w:rsidRPr="00981775">
        <w:rPr>
          <w:rStyle w:val="TextoNormalCaracter"/>
        </w:rPr>
        <w:t>-</w:t>
      </w:r>
      <w:r>
        <w:t xml:space="preserve"> Sentencias </w:t>
      </w:r>
      <w:hyperlink w:anchor="SENTENCIA_2015_157" w:history="1">
        <w:r w:rsidRPr="00981775">
          <w:rPr>
            <w:rStyle w:val="TextoNormalCaracter"/>
          </w:rPr>
          <w:t>157/2015</w:t>
        </w:r>
      </w:hyperlink>
      <w:r>
        <w:t xml:space="preserve">, ff. 1, 2; </w:t>
      </w:r>
      <w:hyperlink w:anchor="SENTENCIA_2015_158" w:history="1">
        <w:r w:rsidRPr="00981775">
          <w:rPr>
            <w:rStyle w:val="TextoNormalCaracter"/>
          </w:rPr>
          <w:t>158/2015</w:t>
        </w:r>
      </w:hyperlink>
      <w:r>
        <w:t xml:space="preserve">, ff. 1, 3; </w:t>
      </w:r>
      <w:hyperlink w:anchor="SENTENCIA_2015_159" w:history="1">
        <w:r w:rsidRPr="00981775">
          <w:rPr>
            <w:rStyle w:val="TextoNormalCaracter"/>
          </w:rPr>
          <w:t>159/2015</w:t>
        </w:r>
      </w:hyperlink>
      <w:r>
        <w:t xml:space="preserve">, ff. 1 a 5, 7; </w:t>
      </w:r>
      <w:hyperlink w:anchor="SENTENCIA_2015_160" w:history="1">
        <w:r w:rsidRPr="00981775">
          <w:rPr>
            <w:rStyle w:val="TextoNormalCaracter"/>
          </w:rPr>
          <w:t>160/2015</w:t>
        </w:r>
      </w:hyperlink>
      <w:r>
        <w:t xml:space="preserve">, f. 2; </w:t>
      </w:r>
      <w:hyperlink w:anchor="SENTENCIA_2015_176" w:history="1">
        <w:r w:rsidRPr="00981775">
          <w:rPr>
            <w:rStyle w:val="TextoNormalCaracter"/>
          </w:rPr>
          <w:t>176/2015</w:t>
        </w:r>
      </w:hyperlink>
      <w:r>
        <w:t xml:space="preserve">, ff. 1, 5 a 8, VP; </w:t>
      </w:r>
      <w:hyperlink w:anchor="SENTENCIA_2015_199" w:history="1">
        <w:r w:rsidRPr="00981775">
          <w:rPr>
            <w:rStyle w:val="TextoNormalCaracter"/>
          </w:rPr>
          <w:t>199/2015</w:t>
        </w:r>
      </w:hyperlink>
      <w:r>
        <w:t xml:space="preserve">, ff. 2, 3, 11; </w:t>
      </w:r>
      <w:hyperlink w:anchor="SENTENCIA_2015_216" w:history="1">
        <w:r w:rsidRPr="00981775">
          <w:rPr>
            <w:rStyle w:val="TextoNormalCaracter"/>
          </w:rPr>
          <w:t>216/2015</w:t>
        </w:r>
      </w:hyperlink>
      <w:r>
        <w:t xml:space="preserve">, ff. 1, 4; </w:t>
      </w:r>
      <w:hyperlink w:anchor="SENTENCIA_2015_230" w:history="1">
        <w:r w:rsidRPr="00981775">
          <w:rPr>
            <w:rStyle w:val="TextoNormalCaracter"/>
          </w:rPr>
          <w:t>230/2015</w:t>
        </w:r>
      </w:hyperlink>
      <w:r>
        <w:t xml:space="preserve">, ff. 1, 3; </w:t>
      </w:r>
      <w:hyperlink w:anchor="SENTENCIA_2015_231" w:history="1">
        <w:r w:rsidRPr="00981775">
          <w:rPr>
            <w:rStyle w:val="TextoNormalCaracter"/>
          </w:rPr>
          <w:t>231/2015</w:t>
        </w:r>
      </w:hyperlink>
      <w:r>
        <w:t xml:space="preserve">, f. 8; </w:t>
      </w:r>
      <w:hyperlink w:anchor="SENTENCIA_2015_236" w:history="1">
        <w:r w:rsidRPr="00981775">
          <w:rPr>
            <w:rStyle w:val="TextoNormalCaracter"/>
          </w:rPr>
          <w:t>236/2015</w:t>
        </w:r>
      </w:hyperlink>
      <w:r>
        <w:t xml:space="preserve">, ff. 1, 2, 8, 9; </w:t>
      </w:r>
      <w:hyperlink w:anchor="SENTENCIA_2015_238" w:history="1">
        <w:r w:rsidRPr="00981775">
          <w:rPr>
            <w:rStyle w:val="TextoNormalCaracter"/>
          </w:rPr>
          <w:t>238/2015</w:t>
        </w:r>
      </w:hyperlink>
      <w:r>
        <w:t>, ff. 1, 3 a 5.</w:t>
      </w:r>
    </w:p>
    <w:p w:rsidR="00981775" w:rsidRDefault="00981775" w:rsidP="00981775">
      <w:pPr>
        <w:pStyle w:val="SangriaIzquierdaArticulo"/>
      </w:pPr>
      <w:r>
        <w:t xml:space="preserve">Auto </w:t>
      </w:r>
      <w:hyperlink w:anchor="AUTO_2015_188" w:history="1">
        <w:r w:rsidRPr="00981775">
          <w:rPr>
            <w:rStyle w:val="TextoNormalCaracter"/>
          </w:rPr>
          <w:t>188/2015</w:t>
        </w:r>
      </w:hyperlink>
      <w:r>
        <w:t>, f. 1.</w:t>
      </w:r>
    </w:p>
    <w:p w:rsidR="00981775" w:rsidRDefault="00981775" w:rsidP="00981775">
      <w:pPr>
        <w:pStyle w:val="SangriaFrancesaArticulo"/>
      </w:pPr>
      <w:r w:rsidRPr="00981775">
        <w:rPr>
          <w:rStyle w:val="TextoNormalNegritaCaracter"/>
        </w:rPr>
        <w:t>Artículo 24.</w:t>
      </w:r>
      <w:r w:rsidRPr="00981775">
        <w:rPr>
          <w:rStyle w:val="TextoNormalCaracter"/>
        </w:rPr>
        <w:t>-</w:t>
      </w:r>
      <w:r>
        <w:t xml:space="preserve"> Sentencias </w:t>
      </w:r>
      <w:hyperlink w:anchor="SENTENCIA_2015_160" w:history="1">
        <w:r w:rsidRPr="00981775">
          <w:rPr>
            <w:rStyle w:val="TextoNormalCaracter"/>
          </w:rPr>
          <w:t>160/2015</w:t>
        </w:r>
      </w:hyperlink>
      <w:r>
        <w:t xml:space="preserve">, f. 2; </w:t>
      </w:r>
      <w:hyperlink w:anchor="SENTENCIA_2015_181" w:history="1">
        <w:r w:rsidRPr="00981775">
          <w:rPr>
            <w:rStyle w:val="TextoNormalCaracter"/>
          </w:rPr>
          <w:t>181/2015</w:t>
        </w:r>
      </w:hyperlink>
      <w:r>
        <w:t xml:space="preserve">, ff. 3, 4; </w:t>
      </w:r>
      <w:hyperlink w:anchor="SENTENCIA_2015_182" w:history="1">
        <w:r w:rsidRPr="00981775">
          <w:rPr>
            <w:rStyle w:val="TextoNormalCaracter"/>
          </w:rPr>
          <w:t>182/2015</w:t>
        </w:r>
      </w:hyperlink>
      <w:r>
        <w:t xml:space="preserve">, f. 5; </w:t>
      </w:r>
      <w:hyperlink w:anchor="SENTENCIA_2015_195" w:history="1">
        <w:r w:rsidRPr="00981775">
          <w:rPr>
            <w:rStyle w:val="TextoNormalCaracter"/>
          </w:rPr>
          <w:t>195/2015</w:t>
        </w:r>
      </w:hyperlink>
      <w:r>
        <w:t xml:space="preserve">, f. 3; </w:t>
      </w:r>
      <w:hyperlink w:anchor="SENTENCIA_2015_197" w:history="1">
        <w:r w:rsidRPr="00981775">
          <w:rPr>
            <w:rStyle w:val="TextoNormalCaracter"/>
          </w:rPr>
          <w:t>197/2015</w:t>
        </w:r>
      </w:hyperlink>
      <w:r>
        <w:t xml:space="preserve">, f. 7; </w:t>
      </w:r>
      <w:hyperlink w:anchor="SENTENCIA_2015_207" w:history="1">
        <w:r w:rsidRPr="00981775">
          <w:rPr>
            <w:rStyle w:val="TextoNormalCaracter"/>
          </w:rPr>
          <w:t>207/2015</w:t>
        </w:r>
      </w:hyperlink>
      <w:r>
        <w:t xml:space="preserve">, f. 5; </w:t>
      </w:r>
      <w:hyperlink w:anchor="SENTENCIA_2015_222" w:history="1">
        <w:r w:rsidRPr="00981775">
          <w:rPr>
            <w:rStyle w:val="TextoNormalCaracter"/>
          </w:rPr>
          <w:t>222/2015</w:t>
        </w:r>
      </w:hyperlink>
      <w:r>
        <w:t xml:space="preserve">, f. 3; </w:t>
      </w:r>
      <w:hyperlink w:anchor="SENTENCIA_2015_223" w:history="1">
        <w:r w:rsidRPr="00981775">
          <w:rPr>
            <w:rStyle w:val="TextoNormalCaracter"/>
          </w:rPr>
          <w:t>223/2015</w:t>
        </w:r>
      </w:hyperlink>
      <w:r>
        <w:t xml:space="preserve">, f. 2; </w:t>
      </w:r>
      <w:hyperlink w:anchor="SENTENCIA_2015_231" w:history="1">
        <w:r w:rsidRPr="00981775">
          <w:rPr>
            <w:rStyle w:val="TextoNormalCaracter"/>
          </w:rPr>
          <w:t>231/2015</w:t>
        </w:r>
      </w:hyperlink>
      <w:r>
        <w:t xml:space="preserve">, VP; </w:t>
      </w:r>
      <w:hyperlink w:anchor="SENTENCIA_2015_232" w:history="1">
        <w:r w:rsidRPr="00981775">
          <w:rPr>
            <w:rStyle w:val="TextoNormalCaracter"/>
          </w:rPr>
          <w:t>232/2015</w:t>
        </w:r>
      </w:hyperlink>
      <w:r>
        <w:t xml:space="preserve">, ff. 1, 3, 5; </w:t>
      </w:r>
      <w:hyperlink w:anchor="SENTENCIA_2015_233" w:history="1">
        <w:r w:rsidRPr="00981775">
          <w:rPr>
            <w:rStyle w:val="TextoNormalCaracter"/>
          </w:rPr>
          <w:t>233/2015</w:t>
        </w:r>
      </w:hyperlink>
      <w:r>
        <w:t xml:space="preserve">, f. 15; </w:t>
      </w:r>
      <w:hyperlink w:anchor="SENTENCIA_2015_239" w:history="1">
        <w:r w:rsidRPr="00981775">
          <w:rPr>
            <w:rStyle w:val="TextoNormalCaracter"/>
          </w:rPr>
          <w:t>239/2015</w:t>
        </w:r>
      </w:hyperlink>
      <w:r>
        <w:t xml:space="preserve">, f. 3; </w:t>
      </w:r>
      <w:hyperlink w:anchor="SENTENCIA_2015_240" w:history="1">
        <w:r w:rsidRPr="00981775">
          <w:rPr>
            <w:rStyle w:val="TextoNormalCaracter"/>
          </w:rPr>
          <w:t>240/2015</w:t>
        </w:r>
      </w:hyperlink>
      <w:r>
        <w:t xml:space="preserve">, f. 3; </w:t>
      </w:r>
      <w:hyperlink w:anchor="SENTENCIA_2015_254" w:history="1">
        <w:r w:rsidRPr="00981775">
          <w:rPr>
            <w:rStyle w:val="TextoNormalCaracter"/>
          </w:rPr>
          <w:t>254/2015</w:t>
        </w:r>
      </w:hyperlink>
      <w:r>
        <w:t xml:space="preserve">, f. 1; </w:t>
      </w:r>
      <w:hyperlink w:anchor="SENTENCIA_2015_261" w:history="1">
        <w:r w:rsidRPr="00981775">
          <w:rPr>
            <w:rStyle w:val="TextoNormalCaracter"/>
          </w:rPr>
          <w:t>261/2015</w:t>
        </w:r>
      </w:hyperlink>
      <w:r>
        <w:t xml:space="preserve">, f. 5; </w:t>
      </w:r>
      <w:hyperlink w:anchor="SENTENCIA_2015_262" w:history="1">
        <w:r w:rsidRPr="00981775">
          <w:rPr>
            <w:rStyle w:val="TextoNormalCaracter"/>
          </w:rPr>
          <w:t>262/2015</w:t>
        </w:r>
      </w:hyperlink>
      <w:r>
        <w:t xml:space="preserve">, f. 3; </w:t>
      </w:r>
      <w:hyperlink w:anchor="SENTENCIA_2015_263" w:history="1">
        <w:r w:rsidRPr="00981775">
          <w:rPr>
            <w:rStyle w:val="TextoNormalCaracter"/>
          </w:rPr>
          <w:t>263/2015</w:t>
        </w:r>
      </w:hyperlink>
      <w:r>
        <w:t xml:space="preserve">, f. 3; </w:t>
      </w:r>
      <w:hyperlink w:anchor="SENTENCIA_2015_266" w:history="1">
        <w:r w:rsidRPr="00981775">
          <w:rPr>
            <w:rStyle w:val="TextoNormalCaracter"/>
          </w:rPr>
          <w:t>266/2015</w:t>
        </w:r>
      </w:hyperlink>
      <w:r>
        <w:t xml:space="preserve">, f. 4; </w:t>
      </w:r>
      <w:hyperlink w:anchor="SENTENCIA_2015_269" w:history="1">
        <w:r w:rsidRPr="00981775">
          <w:rPr>
            <w:rStyle w:val="TextoNormalCaracter"/>
          </w:rPr>
          <w:t>269/2015</w:t>
        </w:r>
      </w:hyperlink>
      <w:r>
        <w:t>, f. 1.</w:t>
      </w:r>
    </w:p>
    <w:p w:rsidR="00981775" w:rsidRDefault="00981775" w:rsidP="00981775">
      <w:pPr>
        <w:pStyle w:val="SangriaIzquierdaArticulo"/>
      </w:pPr>
      <w:r>
        <w:t xml:space="preserve">Autos </w:t>
      </w:r>
      <w:hyperlink w:anchor="AUTO_2015_195" w:history="1">
        <w:r w:rsidRPr="00981775">
          <w:rPr>
            <w:rStyle w:val="TextoNormalCaracter"/>
          </w:rPr>
          <w:t>195/2015</w:t>
        </w:r>
      </w:hyperlink>
      <w:r>
        <w:t xml:space="preserve">, f. 1; </w:t>
      </w:r>
      <w:hyperlink w:anchor="AUTO_2015_211" w:history="1">
        <w:r w:rsidRPr="00981775">
          <w:rPr>
            <w:rStyle w:val="TextoNormalCaracter"/>
          </w:rPr>
          <w:t>211/2015</w:t>
        </w:r>
      </w:hyperlink>
      <w:r>
        <w:t xml:space="preserve">, f. único; </w:t>
      </w:r>
      <w:hyperlink w:anchor="AUTO_2015_216" w:history="1">
        <w:r w:rsidRPr="00981775">
          <w:rPr>
            <w:rStyle w:val="TextoNormalCaracter"/>
          </w:rPr>
          <w:t>216/2015</w:t>
        </w:r>
      </w:hyperlink>
      <w:r>
        <w:t xml:space="preserve">, f. único; </w:t>
      </w:r>
      <w:hyperlink w:anchor="AUTO_2015_218" w:history="1">
        <w:r w:rsidRPr="00981775">
          <w:rPr>
            <w:rStyle w:val="TextoNormalCaracter"/>
          </w:rPr>
          <w:t>218/2015</w:t>
        </w:r>
      </w:hyperlink>
      <w:r>
        <w:t xml:space="preserve">, f. único; </w:t>
      </w:r>
      <w:hyperlink w:anchor="AUTO_2015_219" w:history="1">
        <w:r w:rsidRPr="00981775">
          <w:rPr>
            <w:rStyle w:val="TextoNormalCaracter"/>
          </w:rPr>
          <w:t>219/2015</w:t>
        </w:r>
      </w:hyperlink>
      <w:r>
        <w:t xml:space="preserve">, f. único; </w:t>
      </w:r>
      <w:hyperlink w:anchor="AUTO_2015_220" w:history="1">
        <w:r w:rsidRPr="00981775">
          <w:rPr>
            <w:rStyle w:val="TextoNormalCaracter"/>
          </w:rPr>
          <w:t>220/2015</w:t>
        </w:r>
      </w:hyperlink>
      <w:r>
        <w:t xml:space="preserve">, f. único; </w:t>
      </w:r>
      <w:hyperlink w:anchor="AUTO_2015_221" w:history="1">
        <w:r w:rsidRPr="00981775">
          <w:rPr>
            <w:rStyle w:val="TextoNormalCaracter"/>
          </w:rPr>
          <w:t>221/2015</w:t>
        </w:r>
      </w:hyperlink>
      <w:r>
        <w:t>, f. único.</w:t>
      </w:r>
    </w:p>
    <w:p w:rsidR="00981775" w:rsidRDefault="00981775" w:rsidP="00981775">
      <w:pPr>
        <w:pStyle w:val="SangriaFrancesaArticulo"/>
      </w:pPr>
      <w:r w:rsidRPr="00981775">
        <w:rPr>
          <w:rStyle w:val="TextoNormalNegritaCaracter"/>
        </w:rPr>
        <w:t>Artículo 24.1.</w:t>
      </w:r>
      <w:r w:rsidRPr="00981775">
        <w:rPr>
          <w:rStyle w:val="TextoNormalCaracter"/>
        </w:rPr>
        <w:t>-</w:t>
      </w:r>
      <w:r>
        <w:t xml:space="preserve"> Sentencias </w:t>
      </w:r>
      <w:hyperlink w:anchor="SENTENCIA_2015_149" w:history="1">
        <w:r w:rsidRPr="00981775">
          <w:rPr>
            <w:rStyle w:val="TextoNormalCaracter"/>
          </w:rPr>
          <w:t>149/2015</w:t>
        </w:r>
      </w:hyperlink>
      <w:r>
        <w:t xml:space="preserve">, ff. 3, 4; </w:t>
      </w:r>
      <w:hyperlink w:anchor="SENTENCIA_2015_152" w:history="1">
        <w:r w:rsidRPr="00981775">
          <w:rPr>
            <w:rStyle w:val="TextoNormalCaracter"/>
          </w:rPr>
          <w:t>152/2015</w:t>
        </w:r>
      </w:hyperlink>
      <w:r>
        <w:t xml:space="preserve">, ff. 1, 5, 8; </w:t>
      </w:r>
      <w:hyperlink w:anchor="SENTENCIA_2015_158" w:history="1">
        <w:r w:rsidRPr="00981775">
          <w:rPr>
            <w:rStyle w:val="TextoNormalCaracter"/>
          </w:rPr>
          <w:t>158/2015</w:t>
        </w:r>
      </w:hyperlink>
      <w:r>
        <w:t xml:space="preserve">, ff. 1, 5; </w:t>
      </w:r>
      <w:hyperlink w:anchor="SENTENCIA_2015_159" w:history="1">
        <w:r w:rsidRPr="00981775">
          <w:rPr>
            <w:rStyle w:val="TextoNormalCaracter"/>
          </w:rPr>
          <w:t>159/2015</w:t>
        </w:r>
      </w:hyperlink>
      <w:r>
        <w:t xml:space="preserve">, ff. 1 a 3, 7; </w:t>
      </w:r>
      <w:hyperlink w:anchor="SENTENCIA_2015_167" w:history="1">
        <w:r w:rsidRPr="00981775">
          <w:rPr>
            <w:rStyle w:val="TextoNormalCaracter"/>
          </w:rPr>
          <w:t>167/2015</w:t>
        </w:r>
      </w:hyperlink>
      <w:r>
        <w:t xml:space="preserve">, ff. 1, 3 a 5; </w:t>
      </w:r>
      <w:hyperlink w:anchor="SENTENCIA_2015_169" w:history="1">
        <w:r w:rsidRPr="00981775">
          <w:rPr>
            <w:rStyle w:val="TextoNormalCaracter"/>
          </w:rPr>
          <w:t>169/2015</w:t>
        </w:r>
      </w:hyperlink>
      <w:r>
        <w:t xml:space="preserve">, ff. 1 a 4, 7; </w:t>
      </w:r>
      <w:hyperlink w:anchor="SENTENCIA_2015_177" w:history="1">
        <w:r w:rsidRPr="00981775">
          <w:rPr>
            <w:rStyle w:val="TextoNormalCaracter"/>
          </w:rPr>
          <w:t>177/2015</w:t>
        </w:r>
      </w:hyperlink>
      <w:r>
        <w:t xml:space="preserve">, f. 2; </w:t>
      </w:r>
      <w:hyperlink w:anchor="SENTENCIA_2015_179" w:history="1">
        <w:r w:rsidRPr="00981775">
          <w:rPr>
            <w:rStyle w:val="TextoNormalCaracter"/>
          </w:rPr>
          <w:t>179/2015</w:t>
        </w:r>
      </w:hyperlink>
      <w:r>
        <w:t xml:space="preserve">, ff. 1 a 3, 5; </w:t>
      </w:r>
      <w:hyperlink w:anchor="SENTENCIA_2015_180" w:history="1">
        <w:r w:rsidRPr="00981775">
          <w:rPr>
            <w:rStyle w:val="TextoNormalCaracter"/>
          </w:rPr>
          <w:t>180/2015</w:t>
        </w:r>
      </w:hyperlink>
      <w:r>
        <w:t xml:space="preserve">, ff. 1, 2, 4, 7, 8; </w:t>
      </w:r>
      <w:hyperlink w:anchor="SENTENCIA_2015_181" w:history="1">
        <w:r w:rsidRPr="00981775">
          <w:rPr>
            <w:rStyle w:val="TextoNormalCaracter"/>
          </w:rPr>
          <w:t>181/2015</w:t>
        </w:r>
      </w:hyperlink>
      <w:r>
        <w:t xml:space="preserve">, ff. 1, 4, 5; </w:t>
      </w:r>
      <w:hyperlink w:anchor="SENTENCIA_2015_182" w:history="1">
        <w:r w:rsidRPr="00981775">
          <w:rPr>
            <w:rStyle w:val="TextoNormalCaracter"/>
          </w:rPr>
          <w:t>182/2015</w:t>
        </w:r>
      </w:hyperlink>
      <w:r>
        <w:t xml:space="preserve">, f. 5; </w:t>
      </w:r>
      <w:hyperlink w:anchor="SENTENCIA_2015_183" w:history="1">
        <w:r w:rsidRPr="00981775">
          <w:rPr>
            <w:rStyle w:val="TextoNormalCaracter"/>
          </w:rPr>
          <w:t>183/2015</w:t>
        </w:r>
      </w:hyperlink>
      <w:r>
        <w:t xml:space="preserve">, ff. 1, 3, 4, 6, 7, VP; </w:t>
      </w:r>
      <w:hyperlink w:anchor="SENTENCIA_2015_186" w:history="1">
        <w:r w:rsidRPr="00981775">
          <w:rPr>
            <w:rStyle w:val="TextoNormalCaracter"/>
          </w:rPr>
          <w:t>186/2015</w:t>
        </w:r>
      </w:hyperlink>
      <w:r>
        <w:t xml:space="preserve">, ff. 1 a 4, 6; </w:t>
      </w:r>
      <w:hyperlink w:anchor="SENTENCIA_2015_187" w:history="1">
        <w:r w:rsidRPr="00981775">
          <w:rPr>
            <w:rStyle w:val="TextoNormalCaracter"/>
          </w:rPr>
          <w:t>187/2015</w:t>
        </w:r>
      </w:hyperlink>
      <w:r>
        <w:t xml:space="preserve">, f. 2; </w:t>
      </w:r>
      <w:hyperlink w:anchor="SENTENCIA_2015_194" w:history="1">
        <w:r w:rsidRPr="00981775">
          <w:rPr>
            <w:rStyle w:val="TextoNormalCaracter"/>
          </w:rPr>
          <w:t>194/2015</w:t>
        </w:r>
      </w:hyperlink>
      <w:r>
        <w:t xml:space="preserve">, ff. 1, 2, 6, 7; </w:t>
      </w:r>
      <w:hyperlink w:anchor="SENTENCIA_2015_195" w:history="1">
        <w:r w:rsidRPr="00981775">
          <w:rPr>
            <w:rStyle w:val="TextoNormalCaracter"/>
          </w:rPr>
          <w:t>195/2015</w:t>
        </w:r>
      </w:hyperlink>
      <w:r>
        <w:t xml:space="preserve">, ff. 1, 7, 8; </w:t>
      </w:r>
      <w:hyperlink w:anchor="SENTENCIA_2015_203" w:history="1">
        <w:r w:rsidRPr="00981775">
          <w:rPr>
            <w:rStyle w:val="TextoNormalCaracter"/>
          </w:rPr>
          <w:t>203/2015</w:t>
        </w:r>
      </w:hyperlink>
      <w:r>
        <w:t xml:space="preserve">, ff. 1 a 3; </w:t>
      </w:r>
      <w:hyperlink w:anchor="SENTENCIA_2015_204" w:history="1">
        <w:r w:rsidRPr="00981775">
          <w:rPr>
            <w:rStyle w:val="TextoNormalCaracter"/>
          </w:rPr>
          <w:t>204/2015</w:t>
        </w:r>
      </w:hyperlink>
      <w:r>
        <w:t xml:space="preserve">, ff. 1, 2, 4; </w:t>
      </w:r>
      <w:hyperlink w:anchor="SENTENCIA_2015_207" w:history="1">
        <w:r w:rsidRPr="00981775">
          <w:rPr>
            <w:rStyle w:val="TextoNormalCaracter"/>
          </w:rPr>
          <w:t>207/2015</w:t>
        </w:r>
      </w:hyperlink>
      <w:r>
        <w:t xml:space="preserve">, ff. 1, 2; </w:t>
      </w:r>
      <w:hyperlink w:anchor="SENTENCIA_2015_208" w:history="1">
        <w:r w:rsidRPr="00981775">
          <w:rPr>
            <w:rStyle w:val="TextoNormalCaracter"/>
          </w:rPr>
          <w:t>208/2015</w:t>
        </w:r>
      </w:hyperlink>
      <w:r>
        <w:t xml:space="preserve">, ff. 1 a 3, 5, 6; </w:t>
      </w:r>
      <w:hyperlink w:anchor="SENTENCIA_2015_222" w:history="1">
        <w:r w:rsidRPr="00981775">
          <w:rPr>
            <w:rStyle w:val="TextoNormalCaracter"/>
          </w:rPr>
          <w:t>222/2015</w:t>
        </w:r>
      </w:hyperlink>
      <w:r>
        <w:t xml:space="preserve">, ff. 1, 2, 4; </w:t>
      </w:r>
      <w:hyperlink w:anchor="SENTENCIA_2015_223" w:history="1">
        <w:r w:rsidRPr="00981775">
          <w:rPr>
            <w:rStyle w:val="TextoNormalCaracter"/>
          </w:rPr>
          <w:t>223/2015</w:t>
        </w:r>
      </w:hyperlink>
      <w:r>
        <w:t xml:space="preserve">, ff. 1, 2, 5; </w:t>
      </w:r>
      <w:hyperlink w:anchor="SENTENCIA_2015_226" w:history="1">
        <w:r w:rsidRPr="00981775">
          <w:rPr>
            <w:rStyle w:val="TextoNormalCaracter"/>
          </w:rPr>
          <w:t>226/2015</w:t>
        </w:r>
      </w:hyperlink>
      <w:r>
        <w:t xml:space="preserve">, ff. 1, 4, 5, 7; </w:t>
      </w:r>
      <w:hyperlink w:anchor="SENTENCIA_2015_231" w:history="1">
        <w:r w:rsidRPr="00981775">
          <w:rPr>
            <w:rStyle w:val="TextoNormalCaracter"/>
          </w:rPr>
          <w:t>231/2015</w:t>
        </w:r>
      </w:hyperlink>
      <w:r>
        <w:t xml:space="preserve">, ff. 1, 3, 5, 8 a 13; </w:t>
      </w:r>
      <w:hyperlink w:anchor="SENTENCIA_2015_232" w:history="1">
        <w:r w:rsidRPr="00981775">
          <w:rPr>
            <w:rStyle w:val="TextoNormalCaracter"/>
          </w:rPr>
          <w:t>232/2015</w:t>
        </w:r>
      </w:hyperlink>
      <w:r>
        <w:t xml:space="preserve">, ff. 1, 3, 4, 6, 7; </w:t>
      </w:r>
      <w:hyperlink w:anchor="SENTENCIA_2015_233" w:history="1">
        <w:r w:rsidRPr="00981775">
          <w:rPr>
            <w:rStyle w:val="TextoNormalCaracter"/>
          </w:rPr>
          <w:t>233/2015</w:t>
        </w:r>
      </w:hyperlink>
      <w:r>
        <w:t xml:space="preserve">, ff. 14, 15; </w:t>
      </w:r>
      <w:hyperlink w:anchor="SENTENCIA_2015_239" w:history="1">
        <w:r w:rsidRPr="00981775">
          <w:rPr>
            <w:rStyle w:val="TextoNormalCaracter"/>
          </w:rPr>
          <w:t>239/2015</w:t>
        </w:r>
      </w:hyperlink>
      <w:r>
        <w:t xml:space="preserve">, ff. 1 a 4; </w:t>
      </w:r>
      <w:hyperlink w:anchor="SENTENCIA_2015_240" w:history="1">
        <w:r w:rsidRPr="00981775">
          <w:rPr>
            <w:rStyle w:val="TextoNormalCaracter"/>
          </w:rPr>
          <w:t>240/2015</w:t>
        </w:r>
      </w:hyperlink>
      <w:r>
        <w:t xml:space="preserve">, ff. 1 a 4; </w:t>
      </w:r>
      <w:hyperlink w:anchor="SENTENCIA_2015_254" w:history="1">
        <w:r w:rsidRPr="00981775">
          <w:rPr>
            <w:rStyle w:val="TextoNormalCaracter"/>
          </w:rPr>
          <w:t>254/2015</w:t>
        </w:r>
      </w:hyperlink>
      <w:r>
        <w:t xml:space="preserve">, f. 3; </w:t>
      </w:r>
      <w:hyperlink w:anchor="SENTENCIA_2015_261" w:history="1">
        <w:r w:rsidRPr="00981775">
          <w:rPr>
            <w:rStyle w:val="TextoNormalCaracter"/>
          </w:rPr>
          <w:t>261/2015</w:t>
        </w:r>
      </w:hyperlink>
      <w:r>
        <w:t xml:space="preserve">, ff. 1, 3, 4; </w:t>
      </w:r>
      <w:hyperlink w:anchor="SENTENCIA_2015_262" w:history="1">
        <w:r w:rsidRPr="00981775">
          <w:rPr>
            <w:rStyle w:val="TextoNormalCaracter"/>
          </w:rPr>
          <w:t>262/2015</w:t>
        </w:r>
      </w:hyperlink>
      <w:r>
        <w:t xml:space="preserve">, ff. 1 a 4; </w:t>
      </w:r>
      <w:hyperlink w:anchor="SENTENCIA_2015_263" w:history="1">
        <w:r w:rsidRPr="00981775">
          <w:rPr>
            <w:rStyle w:val="TextoNormalCaracter"/>
          </w:rPr>
          <w:t>263/2015</w:t>
        </w:r>
      </w:hyperlink>
      <w:r>
        <w:t xml:space="preserve">, ff. 1, 2, 4; </w:t>
      </w:r>
      <w:hyperlink w:anchor="SENTENCIA_2015_265" w:history="1">
        <w:r w:rsidRPr="00981775">
          <w:rPr>
            <w:rStyle w:val="TextoNormalCaracter"/>
          </w:rPr>
          <w:t>265/2015</w:t>
        </w:r>
      </w:hyperlink>
      <w:r>
        <w:t xml:space="preserve">, f. 1; </w:t>
      </w:r>
      <w:hyperlink w:anchor="SENTENCIA_2015_266" w:history="1">
        <w:r w:rsidRPr="00981775">
          <w:rPr>
            <w:rStyle w:val="TextoNormalCaracter"/>
          </w:rPr>
          <w:t>266/2015</w:t>
        </w:r>
      </w:hyperlink>
      <w:r>
        <w:t xml:space="preserve">, ff. 1, 3, 6; </w:t>
      </w:r>
      <w:hyperlink w:anchor="SENTENCIA_2015_269" w:history="1">
        <w:r w:rsidRPr="00981775">
          <w:rPr>
            <w:rStyle w:val="TextoNormalCaracter"/>
          </w:rPr>
          <w:t>269/2015</w:t>
        </w:r>
      </w:hyperlink>
      <w:r>
        <w:t xml:space="preserve">, ff. 1, 2; </w:t>
      </w:r>
      <w:hyperlink w:anchor="SENTENCIA_2015_270" w:history="1">
        <w:r w:rsidRPr="00981775">
          <w:rPr>
            <w:rStyle w:val="TextoNormalCaracter"/>
          </w:rPr>
          <w:t>270/2015</w:t>
        </w:r>
      </w:hyperlink>
      <w:r>
        <w:t>, VP.</w:t>
      </w:r>
    </w:p>
    <w:p w:rsidR="00981775" w:rsidRDefault="00981775" w:rsidP="00981775">
      <w:pPr>
        <w:pStyle w:val="SangriaIzquierdaArticulo"/>
      </w:pPr>
      <w:r>
        <w:t xml:space="preserve">Autos </w:t>
      </w:r>
      <w:hyperlink w:anchor="AUTO_2015_128" w:history="1">
        <w:r w:rsidRPr="00981775">
          <w:rPr>
            <w:rStyle w:val="TextoNormalCaracter"/>
          </w:rPr>
          <w:t>128/2015</w:t>
        </w:r>
      </w:hyperlink>
      <w:r>
        <w:t xml:space="preserve">, ff. 1, 2; </w:t>
      </w:r>
      <w:hyperlink w:anchor="AUTO_2015_137" w:history="1">
        <w:r w:rsidRPr="00981775">
          <w:rPr>
            <w:rStyle w:val="TextoNormalCaracter"/>
          </w:rPr>
          <w:t>137/2015</w:t>
        </w:r>
      </w:hyperlink>
      <w:r>
        <w:t xml:space="preserve">, f. 1; </w:t>
      </w:r>
      <w:hyperlink w:anchor="AUTO_2015_138" w:history="1">
        <w:r w:rsidRPr="00981775">
          <w:rPr>
            <w:rStyle w:val="TextoNormalCaracter"/>
          </w:rPr>
          <w:t>138/2015</w:t>
        </w:r>
      </w:hyperlink>
      <w:r>
        <w:t xml:space="preserve">, f. 1; </w:t>
      </w:r>
      <w:hyperlink w:anchor="AUTO_2015_140" w:history="1">
        <w:r w:rsidRPr="00981775">
          <w:rPr>
            <w:rStyle w:val="TextoNormalCaracter"/>
          </w:rPr>
          <w:t>140/2015</w:t>
        </w:r>
      </w:hyperlink>
      <w:r>
        <w:t xml:space="preserve">, f. único; </w:t>
      </w:r>
      <w:hyperlink w:anchor="AUTO_2015_142" w:history="1">
        <w:r w:rsidRPr="00981775">
          <w:rPr>
            <w:rStyle w:val="TextoNormalCaracter"/>
          </w:rPr>
          <w:t>142/2015</w:t>
        </w:r>
      </w:hyperlink>
      <w:r>
        <w:t xml:space="preserve">, ff. 2, 3; </w:t>
      </w:r>
      <w:hyperlink w:anchor="AUTO_2015_148" w:history="1">
        <w:r w:rsidRPr="00981775">
          <w:rPr>
            <w:rStyle w:val="TextoNormalCaracter"/>
          </w:rPr>
          <w:t>148/2015</w:t>
        </w:r>
      </w:hyperlink>
      <w:r>
        <w:t xml:space="preserve">, Único; </w:t>
      </w:r>
      <w:hyperlink w:anchor="AUTO_2015_176" w:history="1">
        <w:r w:rsidRPr="00981775">
          <w:rPr>
            <w:rStyle w:val="TextoNormalCaracter"/>
          </w:rPr>
          <w:t>176/2015</w:t>
        </w:r>
      </w:hyperlink>
      <w:r>
        <w:t xml:space="preserve">, f. único; </w:t>
      </w:r>
      <w:hyperlink w:anchor="AUTO_2015_179" w:history="1">
        <w:r w:rsidRPr="00981775">
          <w:rPr>
            <w:rStyle w:val="TextoNormalCaracter"/>
          </w:rPr>
          <w:t>179/2015</w:t>
        </w:r>
      </w:hyperlink>
      <w:r>
        <w:t xml:space="preserve">, f. 3; </w:t>
      </w:r>
      <w:hyperlink w:anchor="AUTO_2015_195" w:history="1">
        <w:r w:rsidRPr="00981775">
          <w:rPr>
            <w:rStyle w:val="TextoNormalCaracter"/>
          </w:rPr>
          <w:t>195/2015</w:t>
        </w:r>
      </w:hyperlink>
      <w:r>
        <w:t xml:space="preserve">, ff. 1, 4; </w:t>
      </w:r>
      <w:hyperlink w:anchor="AUTO_2015_207" w:history="1">
        <w:r w:rsidRPr="00981775">
          <w:rPr>
            <w:rStyle w:val="TextoNormalCaracter"/>
          </w:rPr>
          <w:t>207/2015</w:t>
        </w:r>
      </w:hyperlink>
      <w:r>
        <w:t xml:space="preserve">, f. 4; </w:t>
      </w:r>
      <w:hyperlink w:anchor="AUTO_2015_208" w:history="1">
        <w:r w:rsidRPr="00981775">
          <w:rPr>
            <w:rStyle w:val="TextoNormalCaracter"/>
          </w:rPr>
          <w:t>208/2015</w:t>
        </w:r>
      </w:hyperlink>
      <w:r>
        <w:t xml:space="preserve">, f. 4; </w:t>
      </w:r>
      <w:hyperlink w:anchor="AUTO_2015_209" w:history="1">
        <w:r w:rsidRPr="00981775">
          <w:rPr>
            <w:rStyle w:val="TextoNormalCaracter"/>
          </w:rPr>
          <w:t>209/2015</w:t>
        </w:r>
      </w:hyperlink>
      <w:r>
        <w:t xml:space="preserve">, f. 4; </w:t>
      </w:r>
      <w:hyperlink w:anchor="AUTO_2015_210" w:history="1">
        <w:r w:rsidRPr="00981775">
          <w:rPr>
            <w:rStyle w:val="TextoNormalCaracter"/>
          </w:rPr>
          <w:t>210/2015</w:t>
        </w:r>
      </w:hyperlink>
      <w:r>
        <w:t xml:space="preserve">, f. 4; </w:t>
      </w:r>
      <w:hyperlink w:anchor="AUTO_2015_212" w:history="1">
        <w:r w:rsidRPr="00981775">
          <w:rPr>
            <w:rStyle w:val="TextoNormalCaracter"/>
          </w:rPr>
          <w:t>212/2015</w:t>
        </w:r>
      </w:hyperlink>
      <w:r>
        <w:t xml:space="preserve">, f. 4; </w:t>
      </w:r>
      <w:hyperlink w:anchor="AUTO_2015_213" w:history="1">
        <w:r w:rsidRPr="00981775">
          <w:rPr>
            <w:rStyle w:val="TextoNormalCaracter"/>
          </w:rPr>
          <w:t>213/2015</w:t>
        </w:r>
      </w:hyperlink>
      <w:r>
        <w:t xml:space="preserve">, f. 4; </w:t>
      </w:r>
      <w:hyperlink w:anchor="AUTO_2015_214" w:history="1">
        <w:r w:rsidRPr="00981775">
          <w:rPr>
            <w:rStyle w:val="TextoNormalCaracter"/>
          </w:rPr>
          <w:t>214/2015</w:t>
        </w:r>
      </w:hyperlink>
      <w:r>
        <w:t xml:space="preserve">, f. único; </w:t>
      </w:r>
      <w:hyperlink w:anchor="AUTO_2015_215" w:history="1">
        <w:r w:rsidRPr="00981775">
          <w:rPr>
            <w:rStyle w:val="TextoNormalCaracter"/>
          </w:rPr>
          <w:t>215/2015</w:t>
        </w:r>
      </w:hyperlink>
      <w:r>
        <w:t xml:space="preserve">, f. único; </w:t>
      </w:r>
      <w:hyperlink w:anchor="AUTO_2015_217" w:history="1">
        <w:r w:rsidRPr="00981775">
          <w:rPr>
            <w:rStyle w:val="TextoNormalCaracter"/>
          </w:rPr>
          <w:t>217/2015</w:t>
        </w:r>
      </w:hyperlink>
      <w:r>
        <w:t xml:space="preserve">, f. único; </w:t>
      </w:r>
      <w:hyperlink w:anchor="AUTO_2015_222" w:history="1">
        <w:r w:rsidRPr="00981775">
          <w:rPr>
            <w:rStyle w:val="TextoNormalCaracter"/>
          </w:rPr>
          <w:t>222/2015</w:t>
        </w:r>
      </w:hyperlink>
      <w:r>
        <w:t>, f. único.</w:t>
      </w:r>
    </w:p>
    <w:p w:rsidR="00981775" w:rsidRDefault="00981775" w:rsidP="00981775">
      <w:pPr>
        <w:pStyle w:val="SangriaFrancesaArticulo"/>
      </w:pPr>
      <w:r w:rsidRPr="00981775">
        <w:rPr>
          <w:rStyle w:val="TextoNormalNegritaCaracter"/>
        </w:rPr>
        <w:t>Artículo 24.2.</w:t>
      </w:r>
      <w:r w:rsidRPr="00981775">
        <w:rPr>
          <w:rStyle w:val="TextoNormalCaracter"/>
        </w:rPr>
        <w:t>-</w:t>
      </w:r>
      <w:r>
        <w:t xml:space="preserve"> Sentencias </w:t>
      </w:r>
      <w:hyperlink w:anchor="SENTENCIA_2015_169" w:history="1">
        <w:r w:rsidRPr="00981775">
          <w:rPr>
            <w:rStyle w:val="TextoNormalCaracter"/>
          </w:rPr>
          <w:t>169/2015</w:t>
        </w:r>
      </w:hyperlink>
      <w:r>
        <w:t xml:space="preserve">, f. 3; </w:t>
      </w:r>
      <w:hyperlink w:anchor="SENTENCIA_2015_187" w:history="1">
        <w:r w:rsidRPr="00981775">
          <w:rPr>
            <w:rStyle w:val="TextoNormalCaracter"/>
          </w:rPr>
          <w:t>187/2015</w:t>
        </w:r>
      </w:hyperlink>
      <w:r>
        <w:t xml:space="preserve">, f. 4; </w:t>
      </w:r>
      <w:hyperlink w:anchor="SENTENCIA_2015_194" w:history="1">
        <w:r w:rsidRPr="00981775">
          <w:rPr>
            <w:rStyle w:val="TextoNormalCaracter"/>
          </w:rPr>
          <w:t>194/2015</w:t>
        </w:r>
      </w:hyperlink>
      <w:r>
        <w:t xml:space="preserve">, ff. 1, 6; </w:t>
      </w:r>
      <w:hyperlink w:anchor="SENTENCIA_2015_195" w:history="1">
        <w:r w:rsidRPr="00981775">
          <w:rPr>
            <w:rStyle w:val="TextoNormalCaracter"/>
          </w:rPr>
          <w:t>195/2015</w:t>
        </w:r>
      </w:hyperlink>
      <w:r>
        <w:t xml:space="preserve">, f. 7; </w:t>
      </w:r>
      <w:hyperlink w:anchor="SENTENCIA_2015_223" w:history="1">
        <w:r w:rsidRPr="00981775">
          <w:rPr>
            <w:rStyle w:val="TextoNormalCaracter"/>
          </w:rPr>
          <w:t>223/2015</w:t>
        </w:r>
      </w:hyperlink>
      <w:r>
        <w:t xml:space="preserve">, f. 1; </w:t>
      </w:r>
      <w:hyperlink w:anchor="SENTENCIA_2015_254" w:history="1">
        <w:r w:rsidRPr="00981775">
          <w:rPr>
            <w:rStyle w:val="TextoNormalCaracter"/>
          </w:rPr>
          <w:t>254/2015</w:t>
        </w:r>
      </w:hyperlink>
      <w:r>
        <w:t>, ff. 1, 2.</w:t>
      </w:r>
    </w:p>
    <w:p w:rsidR="00981775" w:rsidRDefault="00981775" w:rsidP="00981775">
      <w:pPr>
        <w:pStyle w:val="SangriaIzquierdaArticulo"/>
      </w:pPr>
      <w:r>
        <w:t xml:space="preserve">Auto </w:t>
      </w:r>
      <w:hyperlink w:anchor="AUTO_2015_176" w:history="1">
        <w:r w:rsidRPr="00981775">
          <w:rPr>
            <w:rStyle w:val="TextoNormalCaracter"/>
          </w:rPr>
          <w:t>176/2015</w:t>
        </w:r>
      </w:hyperlink>
      <w:r>
        <w:t>, f. único.</w:t>
      </w:r>
    </w:p>
    <w:p w:rsidR="00981775" w:rsidRDefault="00981775" w:rsidP="00981775">
      <w:pPr>
        <w:pStyle w:val="SangriaFrancesaArticulo"/>
      </w:pPr>
      <w:r w:rsidRPr="00981775">
        <w:rPr>
          <w:rStyle w:val="TextoNormalNegritaCaracter"/>
        </w:rPr>
        <w:t>Artículo 24.2</w:t>
      </w:r>
      <w:r>
        <w:t xml:space="preserve"> (derecho a la defensa)</w:t>
      </w:r>
      <w:r w:rsidRPr="00981775">
        <w:rPr>
          <w:rStyle w:val="TextoNormalNegritaCaracter"/>
        </w:rPr>
        <w:t>.</w:t>
      </w:r>
      <w:r w:rsidRPr="00981775">
        <w:rPr>
          <w:rStyle w:val="TextoNormalCaracter"/>
        </w:rPr>
        <w:t>-</w:t>
      </w:r>
      <w:r>
        <w:t xml:space="preserve"> Sentencias </w:t>
      </w:r>
      <w:hyperlink w:anchor="SENTENCIA_2015_152" w:history="1">
        <w:r w:rsidRPr="00981775">
          <w:rPr>
            <w:rStyle w:val="TextoNormalCaracter"/>
          </w:rPr>
          <w:t>152/2015</w:t>
        </w:r>
      </w:hyperlink>
      <w:r>
        <w:t xml:space="preserve">, f. 1; </w:t>
      </w:r>
      <w:hyperlink w:anchor="SENTENCIA_2015_187" w:history="1">
        <w:r w:rsidRPr="00981775">
          <w:rPr>
            <w:rStyle w:val="TextoNormalCaracter"/>
          </w:rPr>
          <w:t>187/2015</w:t>
        </w:r>
      </w:hyperlink>
      <w:r>
        <w:t>, ff. 3, 4.</w:t>
      </w:r>
    </w:p>
    <w:p w:rsidR="00981775" w:rsidRDefault="00981775" w:rsidP="00981775">
      <w:pPr>
        <w:pStyle w:val="SangriaFrancesaArticulo"/>
      </w:pPr>
      <w:r w:rsidRPr="00981775">
        <w:rPr>
          <w:rStyle w:val="TextoNormalNegritaCaracter"/>
        </w:rPr>
        <w:t>Artículo 24.2</w:t>
      </w:r>
      <w:r>
        <w:t xml:space="preserve"> (derecho a la prueba)</w:t>
      </w:r>
      <w:r w:rsidRPr="00981775">
        <w:rPr>
          <w:rStyle w:val="TextoNormalNegritaCaracter"/>
        </w:rPr>
        <w:t>.</w:t>
      </w:r>
      <w:r w:rsidRPr="00981775">
        <w:rPr>
          <w:rStyle w:val="TextoNormalCaracter"/>
        </w:rPr>
        <w:t>-</w:t>
      </w:r>
      <w:r>
        <w:t xml:space="preserve"> Sentencias </w:t>
      </w:r>
      <w:hyperlink w:anchor="SENTENCIA_2015_152" w:history="1">
        <w:r w:rsidRPr="00981775">
          <w:rPr>
            <w:rStyle w:val="TextoNormalCaracter"/>
          </w:rPr>
          <w:t>152/2015</w:t>
        </w:r>
      </w:hyperlink>
      <w:r>
        <w:t xml:space="preserve">, f. 4; </w:t>
      </w:r>
      <w:hyperlink w:anchor="SENTENCIA_2015_265" w:history="1">
        <w:r w:rsidRPr="00981775">
          <w:rPr>
            <w:rStyle w:val="TextoNormalCaracter"/>
          </w:rPr>
          <w:t>265/2015</w:t>
        </w:r>
      </w:hyperlink>
      <w:r>
        <w:t>, f. 1.</w:t>
      </w:r>
    </w:p>
    <w:p w:rsidR="00981775" w:rsidRDefault="00981775" w:rsidP="00981775">
      <w:pPr>
        <w:pStyle w:val="SangriaFrancesaArticulo"/>
      </w:pPr>
      <w:r w:rsidRPr="00981775">
        <w:rPr>
          <w:rStyle w:val="TextoNormalNegritaCaracter"/>
        </w:rPr>
        <w:t>Artículo 24.2</w:t>
      </w:r>
      <w:r>
        <w:t xml:space="preserve"> (derecho a un proceso con todas las garantías)</w:t>
      </w:r>
      <w:r w:rsidRPr="00981775">
        <w:rPr>
          <w:rStyle w:val="TextoNormalNegritaCaracter"/>
        </w:rPr>
        <w:t>.</w:t>
      </w:r>
      <w:r w:rsidRPr="00981775">
        <w:rPr>
          <w:rStyle w:val="TextoNormalCaracter"/>
        </w:rPr>
        <w:t>-</w:t>
      </w:r>
      <w:r>
        <w:t xml:space="preserve"> Sentencias </w:t>
      </w:r>
      <w:hyperlink w:anchor="SENTENCIA_2015_167" w:history="1">
        <w:r w:rsidRPr="00981775">
          <w:rPr>
            <w:rStyle w:val="TextoNormalCaracter"/>
          </w:rPr>
          <w:t>167/2015</w:t>
        </w:r>
      </w:hyperlink>
      <w:r>
        <w:t xml:space="preserve">, f. 1; </w:t>
      </w:r>
      <w:hyperlink w:anchor="SENTENCIA_2015_181" w:history="1">
        <w:r w:rsidRPr="00981775">
          <w:rPr>
            <w:rStyle w:val="TextoNormalCaracter"/>
          </w:rPr>
          <w:t>181/2015</w:t>
        </w:r>
      </w:hyperlink>
      <w:r>
        <w:t xml:space="preserve">, f. 1; </w:t>
      </w:r>
      <w:hyperlink w:anchor="SENTENCIA_2015_195" w:history="1">
        <w:r w:rsidRPr="00981775">
          <w:rPr>
            <w:rStyle w:val="TextoNormalCaracter"/>
          </w:rPr>
          <w:t>195/2015</w:t>
        </w:r>
      </w:hyperlink>
      <w:r>
        <w:t xml:space="preserve">, ff. 1, 8; </w:t>
      </w:r>
      <w:hyperlink w:anchor="SENTENCIA_2015_223" w:history="1">
        <w:r w:rsidRPr="00981775">
          <w:rPr>
            <w:rStyle w:val="TextoNormalCaracter"/>
          </w:rPr>
          <w:t>223/2015</w:t>
        </w:r>
      </w:hyperlink>
      <w:r>
        <w:t xml:space="preserve">, f. 2; </w:t>
      </w:r>
      <w:hyperlink w:anchor="SENTENCIA_2015_232" w:history="1">
        <w:r w:rsidRPr="00981775">
          <w:rPr>
            <w:rStyle w:val="TextoNormalCaracter"/>
          </w:rPr>
          <w:t>232/2015</w:t>
        </w:r>
      </w:hyperlink>
      <w:r>
        <w:t xml:space="preserve">, ff. 1, 5; </w:t>
      </w:r>
      <w:hyperlink w:anchor="SENTENCIA_2015_265" w:history="1">
        <w:r w:rsidRPr="00981775">
          <w:rPr>
            <w:rStyle w:val="TextoNormalCaracter"/>
          </w:rPr>
          <w:t>265/2015</w:t>
        </w:r>
      </w:hyperlink>
      <w:r>
        <w:t xml:space="preserve">, f. 1; </w:t>
      </w:r>
      <w:hyperlink w:anchor="SENTENCIA_2015_266" w:history="1">
        <w:r w:rsidRPr="00981775">
          <w:rPr>
            <w:rStyle w:val="TextoNormalCaracter"/>
          </w:rPr>
          <w:t>266/2015</w:t>
        </w:r>
      </w:hyperlink>
      <w:r>
        <w:t>, ff. 1, 6.</w:t>
      </w:r>
    </w:p>
    <w:p w:rsidR="00981775" w:rsidRDefault="00981775" w:rsidP="00981775">
      <w:pPr>
        <w:pStyle w:val="SangriaIzquierdaArticulo"/>
      </w:pPr>
      <w:r>
        <w:t xml:space="preserve">Autos </w:t>
      </w:r>
      <w:hyperlink w:anchor="AUTO_2015_207" w:history="1">
        <w:r w:rsidRPr="00981775">
          <w:rPr>
            <w:rStyle w:val="TextoNormalCaracter"/>
          </w:rPr>
          <w:t>207/2015</w:t>
        </w:r>
      </w:hyperlink>
      <w:r>
        <w:t xml:space="preserve">, f. 4; </w:t>
      </w:r>
      <w:hyperlink w:anchor="AUTO_2015_208" w:history="1">
        <w:r w:rsidRPr="00981775">
          <w:rPr>
            <w:rStyle w:val="TextoNormalCaracter"/>
          </w:rPr>
          <w:t>208/2015</w:t>
        </w:r>
      </w:hyperlink>
      <w:r>
        <w:t xml:space="preserve">, f. 4; </w:t>
      </w:r>
      <w:hyperlink w:anchor="AUTO_2015_209" w:history="1">
        <w:r w:rsidRPr="00981775">
          <w:rPr>
            <w:rStyle w:val="TextoNormalCaracter"/>
          </w:rPr>
          <w:t>209/2015</w:t>
        </w:r>
      </w:hyperlink>
      <w:r>
        <w:t xml:space="preserve">, f. 4; </w:t>
      </w:r>
      <w:hyperlink w:anchor="AUTO_2015_210" w:history="1">
        <w:r w:rsidRPr="00981775">
          <w:rPr>
            <w:rStyle w:val="TextoNormalCaracter"/>
          </w:rPr>
          <w:t>210/2015</w:t>
        </w:r>
      </w:hyperlink>
      <w:r>
        <w:t xml:space="preserve">, f. 4; </w:t>
      </w:r>
      <w:hyperlink w:anchor="AUTO_2015_212" w:history="1">
        <w:r w:rsidRPr="00981775">
          <w:rPr>
            <w:rStyle w:val="TextoNormalCaracter"/>
          </w:rPr>
          <w:t>212/2015</w:t>
        </w:r>
      </w:hyperlink>
      <w:r>
        <w:t xml:space="preserve">, f. 4; </w:t>
      </w:r>
      <w:hyperlink w:anchor="AUTO_2015_213" w:history="1">
        <w:r w:rsidRPr="00981775">
          <w:rPr>
            <w:rStyle w:val="TextoNormalCaracter"/>
          </w:rPr>
          <w:t>213/2015</w:t>
        </w:r>
      </w:hyperlink>
      <w:r>
        <w:t>, f. 4.</w:t>
      </w:r>
    </w:p>
    <w:p w:rsidR="00981775" w:rsidRDefault="00981775" w:rsidP="00981775">
      <w:pPr>
        <w:pStyle w:val="SangriaFrancesaArticulo"/>
      </w:pPr>
      <w:r w:rsidRPr="00981775">
        <w:rPr>
          <w:rStyle w:val="TextoNormalNegritaCaracter"/>
        </w:rPr>
        <w:t>Artículo 24.2</w:t>
      </w:r>
      <w:r>
        <w:t xml:space="preserve"> (derecho al juez ordinario predeterminado por la ley)</w:t>
      </w:r>
      <w:r w:rsidRPr="00981775">
        <w:rPr>
          <w:rStyle w:val="TextoNormalNegritaCaracter"/>
        </w:rPr>
        <w:t>.</w:t>
      </w:r>
      <w:r w:rsidRPr="00981775">
        <w:rPr>
          <w:rStyle w:val="TextoNormalCaracter"/>
        </w:rPr>
        <w:t>-</w:t>
      </w:r>
      <w:r>
        <w:t xml:space="preserve"> Sentencias </w:t>
      </w:r>
      <w:hyperlink w:anchor="SENTENCIA_2015_152" w:history="1">
        <w:r w:rsidRPr="00981775">
          <w:rPr>
            <w:rStyle w:val="TextoNormalCaracter"/>
          </w:rPr>
          <w:t>152/2015</w:t>
        </w:r>
      </w:hyperlink>
      <w:r>
        <w:t xml:space="preserve">, ff. 1, 9; </w:t>
      </w:r>
      <w:hyperlink w:anchor="SENTENCIA_2015_232" w:history="1">
        <w:r w:rsidRPr="00981775">
          <w:rPr>
            <w:rStyle w:val="TextoNormalCaracter"/>
          </w:rPr>
          <w:t>232/2015</w:t>
        </w:r>
      </w:hyperlink>
      <w:r>
        <w:t xml:space="preserve">, f. 1; </w:t>
      </w:r>
      <w:hyperlink w:anchor="SENTENCIA_2015_266" w:history="1">
        <w:r w:rsidRPr="00981775">
          <w:rPr>
            <w:rStyle w:val="TextoNormalCaracter"/>
          </w:rPr>
          <w:t>266/2015</w:t>
        </w:r>
      </w:hyperlink>
      <w:r>
        <w:t>, ff. 1, 2.</w:t>
      </w:r>
    </w:p>
    <w:p w:rsidR="00981775" w:rsidRDefault="00981775" w:rsidP="00981775">
      <w:pPr>
        <w:pStyle w:val="SangriaFrancesaArticulo"/>
      </w:pPr>
      <w:r w:rsidRPr="00981775">
        <w:rPr>
          <w:rStyle w:val="TextoNormalNegritaCaracter"/>
        </w:rPr>
        <w:t>Artículo 25.</w:t>
      </w:r>
      <w:r w:rsidRPr="00981775">
        <w:rPr>
          <w:rStyle w:val="TextoNormalCaracter"/>
        </w:rPr>
        <w:t>-</w:t>
      </w:r>
      <w:r>
        <w:t xml:space="preserve"> Autos </w:t>
      </w:r>
      <w:hyperlink w:anchor="AUTO_2015_145" w:history="1">
        <w:r w:rsidRPr="00981775">
          <w:rPr>
            <w:rStyle w:val="TextoNormalCaracter"/>
          </w:rPr>
          <w:t>145/2015</w:t>
        </w:r>
      </w:hyperlink>
      <w:r>
        <w:t xml:space="preserve">, f. 1; </w:t>
      </w:r>
      <w:hyperlink w:anchor="AUTO_2015_180" w:history="1">
        <w:r w:rsidRPr="00981775">
          <w:rPr>
            <w:rStyle w:val="TextoNormalCaracter"/>
          </w:rPr>
          <w:t>180/2015</w:t>
        </w:r>
      </w:hyperlink>
      <w:r>
        <w:t>, f. 1.</w:t>
      </w:r>
    </w:p>
    <w:p w:rsidR="00981775" w:rsidRDefault="00981775" w:rsidP="00981775">
      <w:pPr>
        <w:pStyle w:val="SangriaFrancesaArticulo"/>
      </w:pPr>
      <w:r w:rsidRPr="00981775">
        <w:rPr>
          <w:rStyle w:val="TextoNormalNegritaCaracter"/>
        </w:rPr>
        <w:t>Artículo 25.1.</w:t>
      </w:r>
      <w:r w:rsidRPr="00981775">
        <w:rPr>
          <w:rStyle w:val="TextoNormalCaracter"/>
        </w:rPr>
        <w:t>-</w:t>
      </w:r>
      <w:r>
        <w:t xml:space="preserve"> Sentencias </w:t>
      </w:r>
      <w:hyperlink w:anchor="SENTENCIA_2015_150" w:history="1">
        <w:r w:rsidRPr="00981775">
          <w:rPr>
            <w:rStyle w:val="TextoNormalCaracter"/>
          </w:rPr>
          <w:t>150/2015</w:t>
        </w:r>
      </w:hyperlink>
      <w:r>
        <w:t xml:space="preserve">, ff. 1 a 4; </w:t>
      </w:r>
      <w:hyperlink w:anchor="SENTENCIA_2015_169" w:history="1">
        <w:r w:rsidRPr="00981775">
          <w:rPr>
            <w:rStyle w:val="TextoNormalCaracter"/>
          </w:rPr>
          <w:t>169/2015</w:t>
        </w:r>
      </w:hyperlink>
      <w:r>
        <w:t xml:space="preserve">, ff. 1, 2; </w:t>
      </w:r>
      <w:hyperlink w:anchor="SENTENCIA_2015_187" w:history="1">
        <w:r w:rsidRPr="00981775">
          <w:rPr>
            <w:rStyle w:val="TextoNormalCaracter"/>
          </w:rPr>
          <w:t>187/2015</w:t>
        </w:r>
      </w:hyperlink>
      <w:r>
        <w:t xml:space="preserve">, f. 2; </w:t>
      </w:r>
      <w:hyperlink w:anchor="SENTENCIA_2015_261" w:history="1">
        <w:r w:rsidRPr="00981775">
          <w:rPr>
            <w:rStyle w:val="TextoNormalCaracter"/>
          </w:rPr>
          <w:t>261/2015</w:t>
        </w:r>
      </w:hyperlink>
      <w:r>
        <w:t>, f. 4.</w:t>
      </w:r>
    </w:p>
    <w:p w:rsidR="00981775" w:rsidRDefault="00981775" w:rsidP="00981775">
      <w:pPr>
        <w:pStyle w:val="SangriaIzquierdaArticulo"/>
      </w:pPr>
      <w:r>
        <w:t xml:space="preserve">Autos </w:t>
      </w:r>
      <w:hyperlink w:anchor="AUTO_2015_137" w:history="1">
        <w:r w:rsidRPr="00981775">
          <w:rPr>
            <w:rStyle w:val="TextoNormalCaracter"/>
          </w:rPr>
          <w:t>137/2015</w:t>
        </w:r>
      </w:hyperlink>
      <w:r>
        <w:t xml:space="preserve">, f. 1; </w:t>
      </w:r>
      <w:hyperlink w:anchor="AUTO_2015_138" w:history="1">
        <w:r w:rsidRPr="00981775">
          <w:rPr>
            <w:rStyle w:val="TextoNormalCaracter"/>
          </w:rPr>
          <w:t>138/2015</w:t>
        </w:r>
      </w:hyperlink>
      <w:r>
        <w:t xml:space="preserve">, f. 1; </w:t>
      </w:r>
      <w:hyperlink w:anchor="AUTO_2015_145" w:history="1">
        <w:r w:rsidRPr="00981775">
          <w:rPr>
            <w:rStyle w:val="TextoNormalCaracter"/>
          </w:rPr>
          <w:t>145/2015</w:t>
        </w:r>
      </w:hyperlink>
      <w:r>
        <w:t>, f. 4.</w:t>
      </w:r>
    </w:p>
    <w:p w:rsidR="00981775" w:rsidRDefault="00981775" w:rsidP="00981775">
      <w:pPr>
        <w:pStyle w:val="SangriaFrancesaArticulo"/>
      </w:pPr>
      <w:r w:rsidRPr="00981775">
        <w:rPr>
          <w:rStyle w:val="TextoNormalNegritaCaracter"/>
        </w:rPr>
        <w:t>Artículo 25.2.</w:t>
      </w:r>
      <w:r w:rsidRPr="00981775">
        <w:rPr>
          <w:rStyle w:val="TextoNormalCaracter"/>
        </w:rPr>
        <w:t>-</w:t>
      </w:r>
      <w:r>
        <w:t xml:space="preserve"> Sentencia </w:t>
      </w:r>
      <w:hyperlink w:anchor="SENTENCIA_2015_226" w:history="1">
        <w:r w:rsidRPr="00981775">
          <w:rPr>
            <w:rStyle w:val="TextoNormalCaracter"/>
          </w:rPr>
          <w:t>226/2015</w:t>
        </w:r>
      </w:hyperlink>
      <w:r>
        <w:t>, ff. 1, 4, 5.</w:t>
      </w:r>
    </w:p>
    <w:p w:rsidR="00981775" w:rsidRDefault="00981775" w:rsidP="00981775">
      <w:pPr>
        <w:pStyle w:val="SangriaFrancesaArticulo"/>
      </w:pPr>
      <w:r w:rsidRPr="00981775">
        <w:rPr>
          <w:rStyle w:val="TextoNormalNegritaCaracter"/>
        </w:rPr>
        <w:t>Artículo 27.</w:t>
      </w:r>
      <w:r w:rsidRPr="00981775">
        <w:rPr>
          <w:rStyle w:val="TextoNormalCaracter"/>
        </w:rPr>
        <w:t>-</w:t>
      </w:r>
      <w:r>
        <w:t xml:space="preserve"> Sentencias </w:t>
      </w:r>
      <w:hyperlink w:anchor="SENTENCIA_2015_155" w:history="1">
        <w:r w:rsidRPr="00981775">
          <w:rPr>
            <w:rStyle w:val="TextoNormalCaracter"/>
          </w:rPr>
          <w:t>155/2015</w:t>
        </w:r>
      </w:hyperlink>
      <w:r>
        <w:t xml:space="preserve">, ff. 2, 3, 5, 6, VP II; </w:t>
      </w:r>
      <w:hyperlink w:anchor="SENTENCIA_2015_176" w:history="1">
        <w:r w:rsidRPr="00981775">
          <w:rPr>
            <w:rStyle w:val="TextoNormalCaracter"/>
          </w:rPr>
          <w:t>176/2015</w:t>
        </w:r>
      </w:hyperlink>
      <w:r>
        <w:t xml:space="preserve">, ff. 1, 3, 4; </w:t>
      </w:r>
      <w:hyperlink w:anchor="SENTENCIA_2015_271" w:history="1">
        <w:r w:rsidRPr="00981775">
          <w:rPr>
            <w:rStyle w:val="TextoNormalCaracter"/>
          </w:rPr>
          <w:t>271/2015</w:t>
        </w:r>
      </w:hyperlink>
      <w:r>
        <w:t>, ff. 1, 2, 6.</w:t>
      </w:r>
    </w:p>
    <w:p w:rsidR="00981775" w:rsidRDefault="00981775" w:rsidP="00981775">
      <w:pPr>
        <w:pStyle w:val="SangriaFrancesaArticulo"/>
      </w:pPr>
      <w:r w:rsidRPr="00981775">
        <w:rPr>
          <w:rStyle w:val="TextoNormalNegritaCaracter"/>
        </w:rPr>
        <w:t>Artículo 27.1.</w:t>
      </w:r>
      <w:r w:rsidRPr="00981775">
        <w:rPr>
          <w:rStyle w:val="TextoNormalCaracter"/>
        </w:rPr>
        <w:t>-</w:t>
      </w:r>
      <w:r>
        <w:t xml:space="preserve"> Sentencias </w:t>
      </w:r>
      <w:hyperlink w:anchor="SENTENCIA_2015_155" w:history="1">
        <w:r w:rsidRPr="00981775">
          <w:rPr>
            <w:rStyle w:val="TextoNormalCaracter"/>
          </w:rPr>
          <w:t>155/2015</w:t>
        </w:r>
      </w:hyperlink>
      <w:r>
        <w:t xml:space="preserve">, ff. 4, 5; </w:t>
      </w:r>
      <w:hyperlink w:anchor="SENTENCIA_2015_176" w:history="1">
        <w:r w:rsidRPr="00981775">
          <w:rPr>
            <w:rStyle w:val="TextoNormalCaracter"/>
          </w:rPr>
          <w:t>176/2015</w:t>
        </w:r>
      </w:hyperlink>
      <w:r>
        <w:t xml:space="preserve">, ff. 4, 5, 7; </w:t>
      </w:r>
      <w:hyperlink w:anchor="SENTENCIA_2015_271" w:history="1">
        <w:r w:rsidRPr="00981775">
          <w:rPr>
            <w:rStyle w:val="TextoNormalCaracter"/>
          </w:rPr>
          <w:t>271/2015</w:t>
        </w:r>
      </w:hyperlink>
      <w:r>
        <w:t>, f. 3.</w:t>
      </w:r>
    </w:p>
    <w:p w:rsidR="00981775" w:rsidRDefault="00981775" w:rsidP="00981775">
      <w:pPr>
        <w:pStyle w:val="SangriaFrancesaArticulo"/>
      </w:pPr>
      <w:r w:rsidRPr="00981775">
        <w:rPr>
          <w:rStyle w:val="TextoNormalNegritaCaracter"/>
        </w:rPr>
        <w:t>Artículo 27.3.</w:t>
      </w:r>
      <w:r w:rsidRPr="00981775">
        <w:rPr>
          <w:rStyle w:val="TextoNormalCaracter"/>
        </w:rPr>
        <w:t>-</w:t>
      </w:r>
      <w:r>
        <w:t xml:space="preserve"> Sentencia </w:t>
      </w:r>
      <w:hyperlink w:anchor="SENTENCIA_2015_271" w:history="1">
        <w:r w:rsidRPr="00981775">
          <w:rPr>
            <w:rStyle w:val="TextoNormalCaracter"/>
          </w:rPr>
          <w:t>271/2015</w:t>
        </w:r>
      </w:hyperlink>
      <w:r>
        <w:t>, f. 3.</w:t>
      </w:r>
    </w:p>
    <w:p w:rsidR="00981775" w:rsidRDefault="00981775" w:rsidP="00981775">
      <w:pPr>
        <w:pStyle w:val="SangriaIzquierdaArticulo"/>
      </w:pPr>
      <w:r>
        <w:t xml:space="preserve">Auto </w:t>
      </w:r>
      <w:hyperlink w:anchor="AUTO_2015_140" w:history="1">
        <w:r w:rsidRPr="00981775">
          <w:rPr>
            <w:rStyle w:val="TextoNormalCaracter"/>
          </w:rPr>
          <w:t>140/2015</w:t>
        </w:r>
      </w:hyperlink>
      <w:r>
        <w:t>, f. único.</w:t>
      </w:r>
    </w:p>
    <w:p w:rsidR="00981775" w:rsidRDefault="00981775" w:rsidP="00981775">
      <w:pPr>
        <w:pStyle w:val="SangriaFrancesaArticulo"/>
      </w:pPr>
      <w:r w:rsidRPr="00981775">
        <w:rPr>
          <w:rStyle w:val="TextoNormalNegritaCaracter"/>
        </w:rPr>
        <w:t>Artículo 27.4.</w:t>
      </w:r>
      <w:r w:rsidRPr="00981775">
        <w:rPr>
          <w:rStyle w:val="TextoNormalCaracter"/>
        </w:rPr>
        <w:t>-</w:t>
      </w:r>
      <w:r>
        <w:t xml:space="preserve"> Sentencia </w:t>
      </w:r>
      <w:hyperlink w:anchor="SENTENCIA_2015_271" w:history="1">
        <w:r w:rsidRPr="00981775">
          <w:rPr>
            <w:rStyle w:val="TextoNormalCaracter"/>
          </w:rPr>
          <w:t>271/2015</w:t>
        </w:r>
      </w:hyperlink>
      <w:r>
        <w:t>, f. 3.</w:t>
      </w:r>
    </w:p>
    <w:p w:rsidR="00981775" w:rsidRDefault="00981775" w:rsidP="00981775">
      <w:pPr>
        <w:pStyle w:val="SangriaFrancesaArticulo"/>
      </w:pPr>
      <w:r w:rsidRPr="00981775">
        <w:rPr>
          <w:rStyle w:val="TextoNormalNegritaCaracter"/>
        </w:rPr>
        <w:t>Artículo 27.5.</w:t>
      </w:r>
      <w:r w:rsidRPr="00981775">
        <w:rPr>
          <w:rStyle w:val="TextoNormalCaracter"/>
        </w:rPr>
        <w:t>-</w:t>
      </w:r>
      <w:r>
        <w:t xml:space="preserve"> Sentencia </w:t>
      </w:r>
      <w:hyperlink w:anchor="SENTENCIA_2015_155" w:history="1">
        <w:r w:rsidRPr="00981775">
          <w:rPr>
            <w:rStyle w:val="TextoNormalCaracter"/>
          </w:rPr>
          <w:t>155/2015</w:t>
        </w:r>
      </w:hyperlink>
      <w:r>
        <w:t>, f. 5.</w:t>
      </w:r>
    </w:p>
    <w:p w:rsidR="00981775" w:rsidRDefault="00981775" w:rsidP="00981775">
      <w:pPr>
        <w:pStyle w:val="SangriaFrancesaArticulo"/>
      </w:pPr>
      <w:r w:rsidRPr="00981775">
        <w:rPr>
          <w:rStyle w:val="TextoNormalNegritaCaracter"/>
        </w:rPr>
        <w:t>Artículo 27.6.</w:t>
      </w:r>
      <w:r w:rsidRPr="00981775">
        <w:rPr>
          <w:rStyle w:val="TextoNormalCaracter"/>
        </w:rPr>
        <w:t>-</w:t>
      </w:r>
      <w:r>
        <w:t xml:space="preserve"> Sentencia </w:t>
      </w:r>
      <w:hyperlink w:anchor="SENTENCIA_2015_176" w:history="1">
        <w:r w:rsidRPr="00981775">
          <w:rPr>
            <w:rStyle w:val="TextoNormalCaracter"/>
          </w:rPr>
          <w:t>176/2015</w:t>
        </w:r>
      </w:hyperlink>
      <w:r>
        <w:t>, ff. 1, 2, 4.</w:t>
      </w:r>
    </w:p>
    <w:p w:rsidR="00981775" w:rsidRDefault="00981775" w:rsidP="00981775">
      <w:pPr>
        <w:pStyle w:val="SangriaFrancesaArticulo"/>
      </w:pPr>
      <w:r w:rsidRPr="00981775">
        <w:rPr>
          <w:rStyle w:val="TextoNormalNegritaCaracter"/>
        </w:rPr>
        <w:t>Artículo 27.7.</w:t>
      </w:r>
      <w:r w:rsidRPr="00981775">
        <w:rPr>
          <w:rStyle w:val="TextoNormalCaracter"/>
        </w:rPr>
        <w:t>-</w:t>
      </w:r>
      <w:r>
        <w:t xml:space="preserve"> Sentencia </w:t>
      </w:r>
      <w:hyperlink w:anchor="SENTENCIA_2015_176" w:history="1">
        <w:r w:rsidRPr="00981775">
          <w:rPr>
            <w:rStyle w:val="TextoNormalCaracter"/>
          </w:rPr>
          <w:t>176/2015</w:t>
        </w:r>
      </w:hyperlink>
      <w:r>
        <w:t>, f. 2.</w:t>
      </w:r>
    </w:p>
    <w:p w:rsidR="00981775" w:rsidRDefault="00981775" w:rsidP="00981775">
      <w:pPr>
        <w:pStyle w:val="SangriaFrancesaArticulo"/>
      </w:pPr>
      <w:r w:rsidRPr="00981775">
        <w:rPr>
          <w:rStyle w:val="TextoNormalNegritaCaracter"/>
        </w:rPr>
        <w:t>Artículo 27.9.</w:t>
      </w:r>
      <w:r w:rsidRPr="00981775">
        <w:rPr>
          <w:rStyle w:val="TextoNormalCaracter"/>
        </w:rPr>
        <w:t>-</w:t>
      </w:r>
      <w:r>
        <w:t xml:space="preserve"> Sentencia </w:t>
      </w:r>
      <w:hyperlink w:anchor="SENTENCIA_2015_176" w:history="1">
        <w:r w:rsidRPr="00981775">
          <w:rPr>
            <w:rStyle w:val="TextoNormalCaracter"/>
          </w:rPr>
          <w:t>176/2015</w:t>
        </w:r>
      </w:hyperlink>
      <w:r>
        <w:t>, f. 2.</w:t>
      </w:r>
    </w:p>
    <w:p w:rsidR="00981775" w:rsidRDefault="00981775" w:rsidP="00981775">
      <w:pPr>
        <w:pStyle w:val="SangriaFrancesaArticulo"/>
      </w:pPr>
      <w:r w:rsidRPr="00981775">
        <w:rPr>
          <w:rStyle w:val="TextoNormalNegritaCaracter"/>
        </w:rPr>
        <w:t>Artículo 27.10.</w:t>
      </w:r>
      <w:r w:rsidRPr="00981775">
        <w:rPr>
          <w:rStyle w:val="TextoNormalCaracter"/>
        </w:rPr>
        <w:t>-</w:t>
      </w:r>
      <w:r>
        <w:t xml:space="preserve"> Sentencia </w:t>
      </w:r>
      <w:hyperlink w:anchor="SENTENCIA_2015_176" w:history="1">
        <w:r w:rsidRPr="00981775">
          <w:rPr>
            <w:rStyle w:val="TextoNormalCaracter"/>
          </w:rPr>
          <w:t>176/2015</w:t>
        </w:r>
      </w:hyperlink>
      <w:r>
        <w:t>, ff. 2, 4 a 7, VP.</w:t>
      </w:r>
    </w:p>
    <w:p w:rsidR="00981775" w:rsidRDefault="00981775" w:rsidP="00981775">
      <w:pPr>
        <w:pStyle w:val="SangriaFrancesaArticulo"/>
      </w:pPr>
      <w:r w:rsidRPr="00981775">
        <w:rPr>
          <w:rStyle w:val="TextoNormalNegritaCaracter"/>
        </w:rPr>
        <w:t>Artículo 28.1.</w:t>
      </w:r>
      <w:r w:rsidRPr="00981775">
        <w:rPr>
          <w:rStyle w:val="TextoNormalCaracter"/>
        </w:rPr>
        <w:t>-</w:t>
      </w:r>
      <w:r>
        <w:t xml:space="preserve"> Sentencias </w:t>
      </w:r>
      <w:hyperlink w:anchor="SENTENCIA_2015_148" w:history="1">
        <w:r w:rsidRPr="00981775">
          <w:rPr>
            <w:rStyle w:val="TextoNormalCaracter"/>
          </w:rPr>
          <w:t>148/2015</w:t>
        </w:r>
      </w:hyperlink>
      <w:r>
        <w:t xml:space="preserve">, ff. 1 a 4, VP; </w:t>
      </w:r>
      <w:hyperlink w:anchor="SENTENCIA_2015_203" w:history="1">
        <w:r w:rsidRPr="00981775">
          <w:rPr>
            <w:rStyle w:val="TextoNormalCaracter"/>
          </w:rPr>
          <w:t>203/2015</w:t>
        </w:r>
      </w:hyperlink>
      <w:r>
        <w:t>, ff. 1 a 7.</w:t>
      </w:r>
    </w:p>
    <w:p w:rsidR="00981775" w:rsidRDefault="00981775" w:rsidP="00981775">
      <w:pPr>
        <w:pStyle w:val="SangriaFrancesaArticulo"/>
      </w:pPr>
      <w:r w:rsidRPr="00981775">
        <w:rPr>
          <w:rStyle w:val="TextoNormalNegritaCaracter"/>
        </w:rPr>
        <w:t>Artículo 31.</w:t>
      </w:r>
      <w:r w:rsidRPr="00981775">
        <w:rPr>
          <w:rStyle w:val="TextoNormalCaracter"/>
        </w:rPr>
        <w:t>-</w:t>
      </w:r>
      <w:r>
        <w:t xml:space="preserve"> Auto </w:t>
      </w:r>
      <w:hyperlink w:anchor="AUTO_2015_224" w:history="1">
        <w:r w:rsidRPr="00981775">
          <w:rPr>
            <w:rStyle w:val="TextoNormalCaracter"/>
          </w:rPr>
          <w:t>224/2015</w:t>
        </w:r>
      </w:hyperlink>
      <w:r>
        <w:t>, ff. 1, 3.</w:t>
      </w:r>
    </w:p>
    <w:p w:rsidR="00981775" w:rsidRDefault="00981775" w:rsidP="00981775">
      <w:pPr>
        <w:pStyle w:val="SangriaFrancesaArticulo"/>
      </w:pPr>
      <w:r w:rsidRPr="00981775">
        <w:rPr>
          <w:rStyle w:val="TextoNormalNegritaCaracter"/>
        </w:rPr>
        <w:t>Artículo 31.1.</w:t>
      </w:r>
      <w:r w:rsidRPr="00981775">
        <w:rPr>
          <w:rStyle w:val="TextoNormalCaracter"/>
        </w:rPr>
        <w:t>-</w:t>
      </w:r>
      <w:r>
        <w:t xml:space="preserve"> Sentencias </w:t>
      </w:r>
      <w:hyperlink w:anchor="SENTENCIA_2015_222" w:history="1">
        <w:r w:rsidRPr="00981775">
          <w:rPr>
            <w:rStyle w:val="TextoNormalCaracter"/>
          </w:rPr>
          <w:t>222/2015</w:t>
        </w:r>
      </w:hyperlink>
      <w:r>
        <w:t xml:space="preserve">, f. 1; </w:t>
      </w:r>
      <w:hyperlink w:anchor="SENTENCIA_2015_239" w:history="1">
        <w:r w:rsidRPr="00981775">
          <w:rPr>
            <w:rStyle w:val="TextoNormalCaracter"/>
          </w:rPr>
          <w:t>239/2015</w:t>
        </w:r>
      </w:hyperlink>
      <w:r>
        <w:t xml:space="preserve">, f. 1; </w:t>
      </w:r>
      <w:hyperlink w:anchor="SENTENCIA_2015_240" w:history="1">
        <w:r w:rsidRPr="00981775">
          <w:rPr>
            <w:rStyle w:val="TextoNormalCaracter"/>
          </w:rPr>
          <w:t>240/2015</w:t>
        </w:r>
      </w:hyperlink>
      <w:r>
        <w:t xml:space="preserve">, f. 1; </w:t>
      </w:r>
      <w:hyperlink w:anchor="SENTENCIA_2015_262" w:history="1">
        <w:r w:rsidRPr="00981775">
          <w:rPr>
            <w:rStyle w:val="TextoNormalCaracter"/>
          </w:rPr>
          <w:t>262/2015</w:t>
        </w:r>
      </w:hyperlink>
      <w:r>
        <w:t xml:space="preserve">, f. 1; </w:t>
      </w:r>
      <w:hyperlink w:anchor="SENTENCIA_2015_263" w:history="1">
        <w:r w:rsidRPr="00981775">
          <w:rPr>
            <w:rStyle w:val="TextoNormalCaracter"/>
          </w:rPr>
          <w:t>263/2015</w:t>
        </w:r>
      </w:hyperlink>
      <w:r>
        <w:t>, f. 1.</w:t>
      </w:r>
    </w:p>
    <w:p w:rsidR="00981775" w:rsidRDefault="00981775" w:rsidP="00981775">
      <w:pPr>
        <w:pStyle w:val="SangriaIzquierdaArticulo"/>
      </w:pPr>
      <w:r>
        <w:t xml:space="preserve">Auto </w:t>
      </w:r>
      <w:hyperlink w:anchor="AUTO_2015_195" w:history="1">
        <w:r w:rsidRPr="00981775">
          <w:rPr>
            <w:rStyle w:val="TextoNormalCaracter"/>
          </w:rPr>
          <w:t>195/2015</w:t>
        </w:r>
      </w:hyperlink>
      <w:r>
        <w:t>, ff. 1, 4.</w:t>
      </w:r>
    </w:p>
    <w:p w:rsidR="00981775" w:rsidRDefault="00981775" w:rsidP="00981775">
      <w:pPr>
        <w:pStyle w:val="SangriaFrancesaArticulo"/>
      </w:pPr>
      <w:r w:rsidRPr="00981775">
        <w:rPr>
          <w:rStyle w:val="TextoNormalNegritaCaracter"/>
        </w:rPr>
        <w:t>Artículo 31.2.</w:t>
      </w:r>
      <w:r w:rsidRPr="00981775">
        <w:rPr>
          <w:rStyle w:val="TextoNormalCaracter"/>
        </w:rPr>
        <w:t>-</w:t>
      </w:r>
      <w:r>
        <w:t xml:space="preserve"> Sentencia </w:t>
      </w:r>
      <w:hyperlink w:anchor="SENTENCIA_2015_231" w:history="1">
        <w:r w:rsidRPr="00981775">
          <w:rPr>
            <w:rStyle w:val="TextoNormalCaracter"/>
          </w:rPr>
          <w:t>231/2015</w:t>
        </w:r>
      </w:hyperlink>
      <w:r>
        <w:t>, f. 6.</w:t>
      </w:r>
    </w:p>
    <w:p w:rsidR="00981775" w:rsidRDefault="00981775" w:rsidP="00981775">
      <w:pPr>
        <w:pStyle w:val="SangriaFrancesaArticulo"/>
      </w:pPr>
      <w:r w:rsidRPr="00981775">
        <w:rPr>
          <w:rStyle w:val="TextoNormalNegritaCaracter"/>
        </w:rPr>
        <w:t>Artículo 33.</w:t>
      </w:r>
      <w:r w:rsidRPr="00981775">
        <w:rPr>
          <w:rStyle w:val="TextoNormalCaracter"/>
        </w:rPr>
        <w:t>-</w:t>
      </w:r>
      <w:r>
        <w:t xml:space="preserve"> Sentencias </w:t>
      </w:r>
      <w:hyperlink w:anchor="SENTENCIA_2015_154" w:history="1">
        <w:r w:rsidRPr="00981775">
          <w:rPr>
            <w:rStyle w:val="TextoNormalCaracter"/>
          </w:rPr>
          <w:t>154/2015</w:t>
        </w:r>
      </w:hyperlink>
      <w:r>
        <w:t xml:space="preserve">, ff. 1 a 5; </w:t>
      </w:r>
      <w:hyperlink w:anchor="SENTENCIA_2015_168" w:history="1">
        <w:r w:rsidRPr="00981775">
          <w:rPr>
            <w:rStyle w:val="TextoNormalCaracter"/>
          </w:rPr>
          <w:t>168/2015</w:t>
        </w:r>
      </w:hyperlink>
      <w:r>
        <w:t xml:space="preserve">, f. 2; </w:t>
      </w:r>
      <w:hyperlink w:anchor="SENTENCIA_2015_191" w:history="1">
        <w:r w:rsidRPr="00981775">
          <w:rPr>
            <w:rStyle w:val="TextoNormalCaracter"/>
          </w:rPr>
          <w:t>191/2015</w:t>
        </w:r>
      </w:hyperlink>
      <w:r>
        <w:t xml:space="preserve">, f. 3; </w:t>
      </w:r>
      <w:hyperlink w:anchor="SENTENCIA_2015_218" w:history="1">
        <w:r w:rsidRPr="00981775">
          <w:rPr>
            <w:rStyle w:val="TextoNormalCaracter"/>
          </w:rPr>
          <w:t>218/2015</w:t>
        </w:r>
      </w:hyperlink>
      <w:r>
        <w:t xml:space="preserve">, f. 3, VP III; </w:t>
      </w:r>
      <w:hyperlink w:anchor="SENTENCIA_2015_244" w:history="1">
        <w:r w:rsidRPr="00981775">
          <w:rPr>
            <w:rStyle w:val="TextoNormalCaracter"/>
          </w:rPr>
          <w:t>244/2015</w:t>
        </w:r>
      </w:hyperlink>
      <w:r>
        <w:t>, f. 4.</w:t>
      </w:r>
    </w:p>
    <w:p w:rsidR="00981775" w:rsidRDefault="00981775" w:rsidP="00981775">
      <w:pPr>
        <w:pStyle w:val="SangriaIzquierdaArticulo"/>
      </w:pPr>
      <w:r>
        <w:t xml:space="preserve">Auto </w:t>
      </w:r>
      <w:hyperlink w:anchor="AUTO_2015_172" w:history="1">
        <w:r w:rsidRPr="00981775">
          <w:rPr>
            <w:rStyle w:val="TextoNormalCaracter"/>
          </w:rPr>
          <w:t>172/2015</w:t>
        </w:r>
      </w:hyperlink>
      <w:r>
        <w:t>, f. 1.</w:t>
      </w:r>
    </w:p>
    <w:p w:rsidR="00981775" w:rsidRDefault="00981775" w:rsidP="00981775">
      <w:pPr>
        <w:pStyle w:val="SangriaFrancesaArticulo"/>
      </w:pPr>
      <w:r w:rsidRPr="00981775">
        <w:rPr>
          <w:rStyle w:val="TextoNormalNegritaCaracter"/>
        </w:rPr>
        <w:t>Artículo 33.2.</w:t>
      </w:r>
      <w:r w:rsidRPr="00981775">
        <w:rPr>
          <w:rStyle w:val="TextoNormalCaracter"/>
        </w:rPr>
        <w:t>-</w:t>
      </w:r>
      <w:r>
        <w:t xml:space="preserve"> Sentencias </w:t>
      </w:r>
      <w:hyperlink w:anchor="SENTENCIA_2015_154" w:history="1">
        <w:r w:rsidRPr="00981775">
          <w:rPr>
            <w:rStyle w:val="TextoNormalCaracter"/>
          </w:rPr>
          <w:t>154/2015</w:t>
        </w:r>
      </w:hyperlink>
      <w:r>
        <w:t xml:space="preserve">, f. 4; </w:t>
      </w:r>
      <w:hyperlink w:anchor="SENTENCIA_2015_218" w:history="1">
        <w:r w:rsidRPr="00981775">
          <w:rPr>
            <w:rStyle w:val="TextoNormalCaracter"/>
          </w:rPr>
          <w:t>218/2015</w:t>
        </w:r>
      </w:hyperlink>
      <w:r>
        <w:t>, f. 3, VP III.</w:t>
      </w:r>
    </w:p>
    <w:p w:rsidR="00981775" w:rsidRDefault="00981775" w:rsidP="00981775">
      <w:pPr>
        <w:pStyle w:val="SangriaFrancesaArticulo"/>
      </w:pPr>
      <w:r w:rsidRPr="00981775">
        <w:rPr>
          <w:rStyle w:val="TextoNormalNegritaCaracter"/>
        </w:rPr>
        <w:t>Artículo 33.3.</w:t>
      </w:r>
      <w:r w:rsidRPr="00981775">
        <w:rPr>
          <w:rStyle w:val="TextoNormalCaracter"/>
        </w:rPr>
        <w:t>-</w:t>
      </w:r>
      <w:r>
        <w:t xml:space="preserve"> Sentencias </w:t>
      </w:r>
      <w:hyperlink w:anchor="SENTENCIA_2015_154" w:history="1">
        <w:r w:rsidRPr="00981775">
          <w:rPr>
            <w:rStyle w:val="TextoNormalCaracter"/>
          </w:rPr>
          <w:t>154/2015</w:t>
        </w:r>
      </w:hyperlink>
      <w:r>
        <w:t xml:space="preserve">, f. 4; </w:t>
      </w:r>
      <w:hyperlink w:anchor="SENTENCIA_2015_162" w:history="1">
        <w:r w:rsidRPr="00981775">
          <w:rPr>
            <w:rStyle w:val="TextoNormalCaracter"/>
          </w:rPr>
          <w:t>162/2015</w:t>
        </w:r>
      </w:hyperlink>
      <w:r>
        <w:t xml:space="preserve">, f. 1; </w:t>
      </w:r>
      <w:hyperlink w:anchor="SENTENCIA_2015_163" w:history="1">
        <w:r w:rsidRPr="00981775">
          <w:rPr>
            <w:rStyle w:val="TextoNormalCaracter"/>
          </w:rPr>
          <w:t>163/2015</w:t>
        </w:r>
      </w:hyperlink>
      <w:r>
        <w:t xml:space="preserve">, ff. 1, 2; </w:t>
      </w:r>
      <w:hyperlink w:anchor="SENTENCIA_2015_164" w:history="1">
        <w:r w:rsidRPr="00981775">
          <w:rPr>
            <w:rStyle w:val="TextoNormalCaracter"/>
          </w:rPr>
          <w:t>164/2015</w:t>
        </w:r>
      </w:hyperlink>
      <w:r>
        <w:t xml:space="preserve">, ff. 1, 2; </w:t>
      </w:r>
      <w:hyperlink w:anchor="SENTENCIA_2015_165" w:history="1">
        <w:r w:rsidRPr="00981775">
          <w:rPr>
            <w:rStyle w:val="TextoNormalCaracter"/>
          </w:rPr>
          <w:t>165/2015</w:t>
        </w:r>
      </w:hyperlink>
      <w:r>
        <w:t xml:space="preserve">, ff. 1, 2; </w:t>
      </w:r>
      <w:hyperlink w:anchor="SENTENCIA_2015_166" w:history="1">
        <w:r w:rsidRPr="00981775">
          <w:rPr>
            <w:rStyle w:val="TextoNormalCaracter"/>
          </w:rPr>
          <w:t>166/2015</w:t>
        </w:r>
      </w:hyperlink>
      <w:r>
        <w:t xml:space="preserve">, ff. 1, 2; </w:t>
      </w:r>
      <w:hyperlink w:anchor="SENTENCIA_2015_173" w:history="1">
        <w:r w:rsidRPr="00981775">
          <w:rPr>
            <w:rStyle w:val="TextoNormalCaracter"/>
          </w:rPr>
          <w:t>173/2015</w:t>
        </w:r>
      </w:hyperlink>
      <w:r>
        <w:t xml:space="preserve">, ff. 2, 3; </w:t>
      </w:r>
      <w:hyperlink w:anchor="SENTENCIA_2015_184" w:history="1">
        <w:r w:rsidRPr="00981775">
          <w:rPr>
            <w:rStyle w:val="TextoNormalCaracter"/>
          </w:rPr>
          <w:t>184/2015</w:t>
        </w:r>
      </w:hyperlink>
      <w:r>
        <w:t xml:space="preserve">, ff. 1, 2; </w:t>
      </w:r>
      <w:hyperlink w:anchor="SENTENCIA_2015_188" w:history="1">
        <w:r w:rsidRPr="00981775">
          <w:rPr>
            <w:rStyle w:val="TextoNormalCaracter"/>
          </w:rPr>
          <w:t>188/2015</w:t>
        </w:r>
      </w:hyperlink>
      <w:r>
        <w:t xml:space="preserve">, ff. 1 a 3; </w:t>
      </w:r>
      <w:hyperlink w:anchor="SENTENCIA_2015_190" w:history="1">
        <w:r w:rsidRPr="00981775">
          <w:rPr>
            <w:rStyle w:val="TextoNormalCaracter"/>
          </w:rPr>
          <w:t>190/2015</w:t>
        </w:r>
      </w:hyperlink>
      <w:r>
        <w:t xml:space="preserve">, ff. 1 a 3; </w:t>
      </w:r>
      <w:hyperlink w:anchor="SENTENCIA_2015_191" w:history="1">
        <w:r w:rsidRPr="00981775">
          <w:rPr>
            <w:rStyle w:val="TextoNormalCaracter"/>
          </w:rPr>
          <w:t>191/2015</w:t>
        </w:r>
      </w:hyperlink>
      <w:r>
        <w:t xml:space="preserve">, ff. 1, 2; </w:t>
      </w:r>
      <w:hyperlink w:anchor="SENTENCIA_2015_192" w:history="1">
        <w:r w:rsidRPr="00981775">
          <w:rPr>
            <w:rStyle w:val="TextoNormalCaracter"/>
          </w:rPr>
          <w:t>192/2015</w:t>
        </w:r>
      </w:hyperlink>
      <w:r>
        <w:t xml:space="preserve">, f. 2; </w:t>
      </w:r>
      <w:hyperlink w:anchor="SENTENCIA_2015_216" w:history="1">
        <w:r w:rsidRPr="00981775">
          <w:rPr>
            <w:rStyle w:val="TextoNormalCaracter"/>
          </w:rPr>
          <w:t>216/2015</w:t>
        </w:r>
      </w:hyperlink>
      <w:r>
        <w:t xml:space="preserve">, ff. 1, 9; </w:t>
      </w:r>
      <w:hyperlink w:anchor="SENTENCIA_2015_218" w:history="1">
        <w:r w:rsidRPr="00981775">
          <w:rPr>
            <w:rStyle w:val="TextoNormalCaracter"/>
          </w:rPr>
          <w:t>218/2015</w:t>
        </w:r>
      </w:hyperlink>
      <w:r>
        <w:t xml:space="preserve">, ff. 1 a 6, VP I, VP II, VP III, VP IV; </w:t>
      </w:r>
      <w:hyperlink w:anchor="SENTENCIA_2015_231" w:history="1">
        <w:r w:rsidRPr="00981775">
          <w:rPr>
            <w:rStyle w:val="TextoNormalCaracter"/>
          </w:rPr>
          <w:t>231/2015</w:t>
        </w:r>
      </w:hyperlink>
      <w:r>
        <w:t xml:space="preserve">, ff. 1, 8, 13; </w:t>
      </w:r>
      <w:hyperlink w:anchor="SENTENCIA_2015_244" w:history="1">
        <w:r w:rsidRPr="00981775">
          <w:rPr>
            <w:rStyle w:val="TextoNormalCaracter"/>
          </w:rPr>
          <w:t>244/2015</w:t>
        </w:r>
      </w:hyperlink>
      <w:r>
        <w:t xml:space="preserve">, ff. 2, 5; </w:t>
      </w:r>
      <w:hyperlink w:anchor="SENTENCIA_2015_264" w:history="1">
        <w:r w:rsidRPr="00981775">
          <w:rPr>
            <w:rStyle w:val="TextoNormalCaracter"/>
          </w:rPr>
          <w:t>264/2015</w:t>
        </w:r>
      </w:hyperlink>
      <w:r>
        <w:t xml:space="preserve">, f. 1; </w:t>
      </w:r>
      <w:hyperlink w:anchor="SENTENCIA_2015_267" w:history="1">
        <w:r w:rsidRPr="00981775">
          <w:rPr>
            <w:rStyle w:val="TextoNormalCaracter"/>
          </w:rPr>
          <w:t>267/2015</w:t>
        </w:r>
      </w:hyperlink>
      <w:r>
        <w:t xml:space="preserve">, ff. 1, 4; </w:t>
      </w:r>
      <w:hyperlink w:anchor="SENTENCIA_2015_268" w:history="1">
        <w:r w:rsidRPr="00981775">
          <w:rPr>
            <w:rStyle w:val="TextoNormalCaracter"/>
          </w:rPr>
          <w:t>268/2015</w:t>
        </w:r>
      </w:hyperlink>
      <w:r>
        <w:t>, ff. 2, 4.</w:t>
      </w:r>
    </w:p>
    <w:p w:rsidR="00981775" w:rsidRDefault="00981775" w:rsidP="00981775">
      <w:pPr>
        <w:pStyle w:val="SangriaIzquierdaArticulo"/>
      </w:pPr>
      <w:r>
        <w:t xml:space="preserve">Autos </w:t>
      </w:r>
      <w:hyperlink w:anchor="AUTO_2015_121" w:history="1">
        <w:r w:rsidRPr="00981775">
          <w:rPr>
            <w:rStyle w:val="TextoNormalCaracter"/>
          </w:rPr>
          <w:t>121/2015</w:t>
        </w:r>
      </w:hyperlink>
      <w:r>
        <w:t xml:space="preserve">, ff. 1, 3, 4; </w:t>
      </w:r>
      <w:hyperlink w:anchor="AUTO_2015_129" w:history="1">
        <w:r w:rsidRPr="00981775">
          <w:rPr>
            <w:rStyle w:val="TextoNormalCaracter"/>
          </w:rPr>
          <w:t>129/2015</w:t>
        </w:r>
      </w:hyperlink>
      <w:r>
        <w:t xml:space="preserve">, f. único; </w:t>
      </w:r>
      <w:hyperlink w:anchor="AUTO_2015_130" w:history="1">
        <w:r w:rsidRPr="00981775">
          <w:rPr>
            <w:rStyle w:val="TextoNormalCaracter"/>
          </w:rPr>
          <w:t>130/2015</w:t>
        </w:r>
      </w:hyperlink>
      <w:r>
        <w:t xml:space="preserve">, f. único; </w:t>
      </w:r>
      <w:hyperlink w:anchor="AUTO_2015_132" w:history="1">
        <w:r w:rsidRPr="00981775">
          <w:rPr>
            <w:rStyle w:val="TextoNormalCaracter"/>
          </w:rPr>
          <w:t>132/2015</w:t>
        </w:r>
      </w:hyperlink>
      <w:r>
        <w:t xml:space="preserve">, f. único; </w:t>
      </w:r>
      <w:hyperlink w:anchor="AUTO_2015_134" w:history="1">
        <w:r w:rsidRPr="00981775">
          <w:rPr>
            <w:rStyle w:val="TextoNormalCaracter"/>
          </w:rPr>
          <w:t>134/2015</w:t>
        </w:r>
      </w:hyperlink>
      <w:r>
        <w:t xml:space="preserve">, f. único; </w:t>
      </w:r>
      <w:hyperlink w:anchor="AUTO_2015_201" w:history="1">
        <w:r w:rsidRPr="00981775">
          <w:rPr>
            <w:rStyle w:val="TextoNormalCaracter"/>
          </w:rPr>
          <w:t>201/2015</w:t>
        </w:r>
      </w:hyperlink>
      <w:r>
        <w:t xml:space="preserve">, f. 2; </w:t>
      </w:r>
      <w:hyperlink w:anchor="AUTO_2015_227" w:history="1">
        <w:r w:rsidRPr="00981775">
          <w:rPr>
            <w:rStyle w:val="TextoNormalCaracter"/>
          </w:rPr>
          <w:t>227/2015</w:t>
        </w:r>
      </w:hyperlink>
      <w:r>
        <w:t>, f. 4.</w:t>
      </w:r>
    </w:p>
    <w:p w:rsidR="00981775" w:rsidRDefault="00981775" w:rsidP="00981775">
      <w:pPr>
        <w:pStyle w:val="SangriaFrancesaArticulo"/>
      </w:pPr>
      <w:r w:rsidRPr="00981775">
        <w:rPr>
          <w:rStyle w:val="TextoNormalNegritaCaracter"/>
        </w:rPr>
        <w:t>Artículo 35.</w:t>
      </w:r>
      <w:r w:rsidRPr="00981775">
        <w:rPr>
          <w:rStyle w:val="TextoNormalCaracter"/>
        </w:rPr>
        <w:t>-</w:t>
      </w:r>
      <w:r>
        <w:t xml:space="preserve"> Sentencia </w:t>
      </w:r>
      <w:hyperlink w:anchor="SENTENCIA_2015_176" w:history="1">
        <w:r w:rsidRPr="00981775">
          <w:rPr>
            <w:rStyle w:val="TextoNormalCaracter"/>
          </w:rPr>
          <w:t>176/2015</w:t>
        </w:r>
      </w:hyperlink>
      <w:r>
        <w:t>, ff. 1, 4.</w:t>
      </w:r>
    </w:p>
    <w:p w:rsidR="00981775" w:rsidRDefault="00981775" w:rsidP="00981775">
      <w:pPr>
        <w:pStyle w:val="SangriaIzquierdaArticulo"/>
      </w:pPr>
      <w:r>
        <w:t xml:space="preserve">Auto </w:t>
      </w:r>
      <w:hyperlink w:anchor="AUTO_2015_121" w:history="1">
        <w:r w:rsidRPr="00981775">
          <w:rPr>
            <w:rStyle w:val="TextoNormalCaracter"/>
          </w:rPr>
          <w:t>121/2015</w:t>
        </w:r>
      </w:hyperlink>
      <w:r>
        <w:t>, ff. 1, 3, 4.</w:t>
      </w:r>
    </w:p>
    <w:p w:rsidR="00981775" w:rsidRDefault="00981775" w:rsidP="00981775">
      <w:pPr>
        <w:pStyle w:val="SangriaFrancesaArticulo"/>
      </w:pPr>
      <w:r w:rsidRPr="00981775">
        <w:rPr>
          <w:rStyle w:val="TextoNormalNegritaCaracter"/>
        </w:rPr>
        <w:t>Artículo 35.1.</w:t>
      </w:r>
      <w:r w:rsidRPr="00981775">
        <w:rPr>
          <w:rStyle w:val="TextoNormalCaracter"/>
        </w:rPr>
        <w:t>-</w:t>
      </w:r>
      <w:r>
        <w:t xml:space="preserve"> Sentencia </w:t>
      </w:r>
      <w:hyperlink w:anchor="SENTENCIA_2015_229" w:history="1">
        <w:r w:rsidRPr="00981775">
          <w:rPr>
            <w:rStyle w:val="TextoNormalCaracter"/>
          </w:rPr>
          <w:t>229/2015</w:t>
        </w:r>
      </w:hyperlink>
      <w:r>
        <w:t>, f. 6.</w:t>
      </w:r>
    </w:p>
    <w:p w:rsidR="00981775" w:rsidRDefault="00981775" w:rsidP="00981775">
      <w:pPr>
        <w:pStyle w:val="SangriaFrancesaArticulo"/>
      </w:pPr>
      <w:r w:rsidRPr="00981775">
        <w:rPr>
          <w:rStyle w:val="TextoNormalNegritaCaracter"/>
        </w:rPr>
        <w:t>Artículo 36.</w:t>
      </w:r>
      <w:r w:rsidRPr="00981775">
        <w:rPr>
          <w:rStyle w:val="TextoNormalCaracter"/>
        </w:rPr>
        <w:t>-</w:t>
      </w:r>
      <w:r>
        <w:t xml:space="preserve"> Sentencia </w:t>
      </w:r>
      <w:hyperlink w:anchor="SENTENCIA_2015_176" w:history="1">
        <w:r w:rsidRPr="00981775">
          <w:rPr>
            <w:rStyle w:val="TextoNormalCaracter"/>
          </w:rPr>
          <w:t>176/2015</w:t>
        </w:r>
      </w:hyperlink>
      <w:r>
        <w:t>, ff. 1, 4.</w:t>
      </w:r>
    </w:p>
    <w:p w:rsidR="00981775" w:rsidRDefault="00981775" w:rsidP="00981775">
      <w:pPr>
        <w:pStyle w:val="SangriaFrancesaArticulo"/>
      </w:pPr>
      <w:r w:rsidRPr="00981775">
        <w:rPr>
          <w:rStyle w:val="TextoNormalNegritaCaracter"/>
        </w:rPr>
        <w:t>Artículo 37.1.</w:t>
      </w:r>
      <w:r w:rsidRPr="00981775">
        <w:rPr>
          <w:rStyle w:val="TextoNormalCaracter"/>
        </w:rPr>
        <w:t>-</w:t>
      </w:r>
      <w:r>
        <w:t xml:space="preserve"> Autos </w:t>
      </w:r>
      <w:hyperlink w:anchor="AUTO_2015_228" w:history="1">
        <w:r w:rsidRPr="00981775">
          <w:rPr>
            <w:rStyle w:val="TextoNormalCaracter"/>
          </w:rPr>
          <w:t>228/2015</w:t>
        </w:r>
      </w:hyperlink>
      <w:r>
        <w:t xml:space="preserve">, f. 3; </w:t>
      </w:r>
      <w:hyperlink w:anchor="AUTO_2015_229" w:history="1">
        <w:r w:rsidRPr="00981775">
          <w:rPr>
            <w:rStyle w:val="TextoNormalCaracter"/>
          </w:rPr>
          <w:t>229/2015</w:t>
        </w:r>
      </w:hyperlink>
      <w:r>
        <w:t>, f. 3.</w:t>
      </w:r>
    </w:p>
    <w:p w:rsidR="00981775" w:rsidRDefault="00981775" w:rsidP="00981775">
      <w:pPr>
        <w:pStyle w:val="SangriaFrancesaArticulo"/>
      </w:pPr>
      <w:r w:rsidRPr="00981775">
        <w:rPr>
          <w:rStyle w:val="TextoNormalNegritaCaracter"/>
        </w:rPr>
        <w:t>Artículo 38.</w:t>
      </w:r>
      <w:r w:rsidRPr="00981775">
        <w:rPr>
          <w:rStyle w:val="TextoNormalCaracter"/>
        </w:rPr>
        <w:t>-</w:t>
      </w:r>
      <w:r>
        <w:t xml:space="preserve"> Sentencia </w:t>
      </w:r>
      <w:hyperlink w:anchor="SENTENCIA_2015_233" w:history="1">
        <w:r w:rsidRPr="00981775">
          <w:rPr>
            <w:rStyle w:val="TextoNormalCaracter"/>
          </w:rPr>
          <w:t>233/2015</w:t>
        </w:r>
      </w:hyperlink>
      <w:r>
        <w:t>, f. 10.</w:t>
      </w:r>
    </w:p>
    <w:p w:rsidR="00981775" w:rsidRDefault="00981775" w:rsidP="00981775">
      <w:pPr>
        <w:pStyle w:val="SangriaFrancesaArticulo"/>
      </w:pPr>
      <w:r w:rsidRPr="00981775">
        <w:rPr>
          <w:rStyle w:val="TextoNormalNegritaCaracter"/>
        </w:rPr>
        <w:t>Artículo 39.</w:t>
      </w:r>
      <w:r w:rsidRPr="00981775">
        <w:rPr>
          <w:rStyle w:val="TextoNormalCaracter"/>
        </w:rPr>
        <w:t>-</w:t>
      </w:r>
      <w:r>
        <w:t xml:space="preserve"> Sentencia </w:t>
      </w:r>
      <w:hyperlink w:anchor="SENTENCIA_2015_271" w:history="1">
        <w:r w:rsidRPr="00981775">
          <w:rPr>
            <w:rStyle w:val="TextoNormalCaracter"/>
          </w:rPr>
          <w:t>271/2015</w:t>
        </w:r>
      </w:hyperlink>
      <w:r>
        <w:t>, f. 6.</w:t>
      </w:r>
    </w:p>
    <w:p w:rsidR="00981775" w:rsidRDefault="00981775" w:rsidP="00981775">
      <w:pPr>
        <w:pStyle w:val="SangriaIzquierdaArticulo"/>
      </w:pPr>
      <w:r>
        <w:t xml:space="preserve">Auto </w:t>
      </w:r>
      <w:hyperlink w:anchor="AUTO_2015_179" w:history="1">
        <w:r w:rsidRPr="00981775">
          <w:rPr>
            <w:rStyle w:val="TextoNormalCaracter"/>
          </w:rPr>
          <w:t>179/2015</w:t>
        </w:r>
      </w:hyperlink>
      <w:r>
        <w:t>, ff. 3 a 5.</w:t>
      </w:r>
    </w:p>
    <w:p w:rsidR="00981775" w:rsidRDefault="00981775" w:rsidP="00981775">
      <w:pPr>
        <w:pStyle w:val="SangriaFrancesaArticulo"/>
      </w:pPr>
      <w:r w:rsidRPr="00981775">
        <w:rPr>
          <w:rStyle w:val="TextoNormalNegritaCaracter"/>
        </w:rPr>
        <w:t>Artículo 39.1.</w:t>
      </w:r>
      <w:r w:rsidRPr="00981775">
        <w:rPr>
          <w:rStyle w:val="TextoNormalCaracter"/>
        </w:rPr>
        <w:t>-</w:t>
      </w:r>
      <w:r>
        <w:t xml:space="preserve"> Sentencias </w:t>
      </w:r>
      <w:hyperlink w:anchor="SENTENCIA_2015_154" w:history="1">
        <w:r w:rsidRPr="00981775">
          <w:rPr>
            <w:rStyle w:val="TextoNormalCaracter"/>
          </w:rPr>
          <w:t>154/2015</w:t>
        </w:r>
      </w:hyperlink>
      <w:r>
        <w:t xml:space="preserve">, ff. 4, 7; </w:t>
      </w:r>
      <w:hyperlink w:anchor="SENTENCIA_2015_271" w:history="1">
        <w:r w:rsidRPr="00981775">
          <w:rPr>
            <w:rStyle w:val="TextoNormalCaracter"/>
          </w:rPr>
          <w:t>271/2015</w:t>
        </w:r>
      </w:hyperlink>
      <w:r>
        <w:t>, f. 6.</w:t>
      </w:r>
    </w:p>
    <w:p w:rsidR="00981775" w:rsidRDefault="00981775" w:rsidP="00981775">
      <w:pPr>
        <w:pStyle w:val="SangriaFrancesaArticulo"/>
      </w:pPr>
      <w:r w:rsidRPr="00981775">
        <w:rPr>
          <w:rStyle w:val="TextoNormalNegritaCaracter"/>
        </w:rPr>
        <w:t>Artículo 39.4.</w:t>
      </w:r>
      <w:r w:rsidRPr="00981775">
        <w:rPr>
          <w:rStyle w:val="TextoNormalCaracter"/>
        </w:rPr>
        <w:t>-</w:t>
      </w:r>
      <w:r>
        <w:t xml:space="preserve"> Sentencia </w:t>
      </w:r>
      <w:hyperlink w:anchor="SENTENCIA_2015_155" w:history="1">
        <w:r w:rsidRPr="00981775">
          <w:rPr>
            <w:rStyle w:val="TextoNormalCaracter"/>
          </w:rPr>
          <w:t>155/2015</w:t>
        </w:r>
      </w:hyperlink>
      <w:r>
        <w:t>, f. 4.</w:t>
      </w:r>
    </w:p>
    <w:p w:rsidR="00981775" w:rsidRDefault="00981775" w:rsidP="00981775">
      <w:pPr>
        <w:pStyle w:val="SangriaFrancesaArticulo"/>
      </w:pPr>
      <w:r w:rsidRPr="00981775">
        <w:rPr>
          <w:rStyle w:val="TextoNormalNegritaCaracter"/>
        </w:rPr>
        <w:t>Artículos 39 a 52.</w:t>
      </w:r>
      <w:r w:rsidRPr="00981775">
        <w:rPr>
          <w:rStyle w:val="TextoNormalCaracter"/>
        </w:rPr>
        <w:t>-</w:t>
      </w:r>
      <w:r>
        <w:t xml:space="preserve"> Sentencia </w:t>
      </w:r>
      <w:hyperlink w:anchor="SENTENCIA_2015_236" w:history="1">
        <w:r w:rsidRPr="00981775">
          <w:rPr>
            <w:rStyle w:val="TextoNormalCaracter"/>
          </w:rPr>
          <w:t>236/2015</w:t>
        </w:r>
      </w:hyperlink>
      <w:r>
        <w:t>, f. 4.</w:t>
      </w:r>
    </w:p>
    <w:p w:rsidR="00981775" w:rsidRDefault="00981775" w:rsidP="00981775">
      <w:pPr>
        <w:pStyle w:val="SangriaFrancesaArticulo"/>
      </w:pPr>
      <w:r w:rsidRPr="00981775">
        <w:rPr>
          <w:rStyle w:val="TextoNormalNegritaCaracter"/>
        </w:rPr>
        <w:t>Artículo 40.</w:t>
      </w:r>
      <w:r w:rsidRPr="00981775">
        <w:rPr>
          <w:rStyle w:val="TextoNormalCaracter"/>
        </w:rPr>
        <w:t>-</w:t>
      </w:r>
      <w:r>
        <w:t xml:space="preserve"> Sentencia </w:t>
      </w:r>
      <w:hyperlink w:anchor="SENTENCIA_2015_231" w:history="1">
        <w:r w:rsidRPr="00981775">
          <w:rPr>
            <w:rStyle w:val="TextoNormalCaracter"/>
          </w:rPr>
          <w:t>231/2015</w:t>
        </w:r>
      </w:hyperlink>
      <w:r>
        <w:t>, f. 6.</w:t>
      </w:r>
    </w:p>
    <w:p w:rsidR="00981775" w:rsidRDefault="00981775" w:rsidP="00981775">
      <w:pPr>
        <w:pStyle w:val="SangriaFrancesaArticulo"/>
      </w:pPr>
      <w:r w:rsidRPr="00981775">
        <w:rPr>
          <w:rStyle w:val="TextoNormalNegritaCaracter"/>
        </w:rPr>
        <w:t>Artículo 40.1.</w:t>
      </w:r>
      <w:r w:rsidRPr="00981775">
        <w:rPr>
          <w:rStyle w:val="TextoNormalCaracter"/>
        </w:rPr>
        <w:t>-</w:t>
      </w:r>
      <w:r>
        <w:t xml:space="preserve"> Sentencia </w:t>
      </w:r>
      <w:hyperlink w:anchor="SENTENCIA_2015_154" w:history="1">
        <w:r w:rsidRPr="00981775">
          <w:rPr>
            <w:rStyle w:val="TextoNormalCaracter"/>
          </w:rPr>
          <w:t>154/2015</w:t>
        </w:r>
      </w:hyperlink>
      <w:r>
        <w:t>, f. 7.</w:t>
      </w:r>
    </w:p>
    <w:p w:rsidR="00981775" w:rsidRDefault="00981775" w:rsidP="00981775">
      <w:pPr>
        <w:pStyle w:val="SangriaFrancesaArticulo"/>
      </w:pPr>
      <w:r w:rsidRPr="00981775">
        <w:rPr>
          <w:rStyle w:val="TextoNormalNegritaCaracter"/>
        </w:rPr>
        <w:t>Artículo 42.</w:t>
      </w:r>
      <w:r w:rsidRPr="00981775">
        <w:rPr>
          <w:rStyle w:val="TextoNormalCaracter"/>
        </w:rPr>
        <w:t>-</w:t>
      </w:r>
      <w:r>
        <w:t xml:space="preserve"> Sentencia </w:t>
      </w:r>
      <w:hyperlink w:anchor="SENTENCIA_2015_154" w:history="1">
        <w:r w:rsidRPr="00981775">
          <w:rPr>
            <w:rStyle w:val="TextoNormalCaracter"/>
          </w:rPr>
          <w:t>154/2015</w:t>
        </w:r>
      </w:hyperlink>
      <w:r>
        <w:t>, ff. 4, 7.</w:t>
      </w:r>
    </w:p>
    <w:p w:rsidR="00981775" w:rsidRDefault="00981775" w:rsidP="00981775">
      <w:pPr>
        <w:pStyle w:val="SangriaFrancesaArticulo"/>
      </w:pPr>
      <w:r w:rsidRPr="00981775">
        <w:rPr>
          <w:rStyle w:val="TextoNormalNegritaCaracter"/>
        </w:rPr>
        <w:t>Artículo 43.</w:t>
      </w:r>
      <w:r w:rsidRPr="00981775">
        <w:rPr>
          <w:rStyle w:val="TextoNormalCaracter"/>
        </w:rPr>
        <w:t>-</w:t>
      </w:r>
      <w:r>
        <w:t xml:space="preserve"> Sentencia </w:t>
      </w:r>
      <w:hyperlink w:anchor="SENTENCIA_2015_231" w:history="1">
        <w:r w:rsidRPr="00981775">
          <w:rPr>
            <w:rStyle w:val="TextoNormalCaracter"/>
          </w:rPr>
          <w:t>231/2015</w:t>
        </w:r>
      </w:hyperlink>
      <w:r>
        <w:t>, f. 6.</w:t>
      </w:r>
    </w:p>
    <w:p w:rsidR="00981775" w:rsidRDefault="00981775" w:rsidP="00981775">
      <w:pPr>
        <w:pStyle w:val="SangriaFrancesaArticulo"/>
      </w:pPr>
      <w:r w:rsidRPr="00981775">
        <w:rPr>
          <w:rStyle w:val="TextoNormalNegritaCaracter"/>
        </w:rPr>
        <w:t>Artículo 45.</w:t>
      </w:r>
      <w:r w:rsidRPr="00981775">
        <w:rPr>
          <w:rStyle w:val="TextoNormalCaracter"/>
        </w:rPr>
        <w:t>-</w:t>
      </w:r>
      <w:r>
        <w:t xml:space="preserve"> Sentencias </w:t>
      </w:r>
      <w:hyperlink w:anchor="SENTENCIA_2015_231" w:history="1">
        <w:r w:rsidRPr="00981775">
          <w:rPr>
            <w:rStyle w:val="TextoNormalCaracter"/>
          </w:rPr>
          <w:t>231/2015</w:t>
        </w:r>
      </w:hyperlink>
      <w:r>
        <w:t xml:space="preserve">, ff. 6, 12; </w:t>
      </w:r>
      <w:hyperlink w:anchor="SENTENCIA_2015_233" w:history="1">
        <w:r w:rsidRPr="00981775">
          <w:rPr>
            <w:rStyle w:val="TextoNormalCaracter"/>
          </w:rPr>
          <w:t>233/2015</w:t>
        </w:r>
      </w:hyperlink>
      <w:r>
        <w:t>, ff. 2, 3, 6, 14.</w:t>
      </w:r>
    </w:p>
    <w:p w:rsidR="00981775" w:rsidRDefault="00981775" w:rsidP="00981775">
      <w:pPr>
        <w:pStyle w:val="SangriaFrancesaArticulo"/>
      </w:pPr>
      <w:r w:rsidRPr="00981775">
        <w:rPr>
          <w:rStyle w:val="TextoNormalNegritaCaracter"/>
        </w:rPr>
        <w:t>Artículo 45.1.</w:t>
      </w:r>
      <w:r w:rsidRPr="00981775">
        <w:rPr>
          <w:rStyle w:val="TextoNormalCaracter"/>
        </w:rPr>
        <w:t>-</w:t>
      </w:r>
      <w:r>
        <w:t xml:space="preserve"> Sentencia </w:t>
      </w:r>
      <w:hyperlink w:anchor="SENTENCIA_2015_233" w:history="1">
        <w:r w:rsidRPr="00981775">
          <w:rPr>
            <w:rStyle w:val="TextoNormalCaracter"/>
          </w:rPr>
          <w:t>233/2015</w:t>
        </w:r>
      </w:hyperlink>
      <w:r>
        <w:t>, f. 2.</w:t>
      </w:r>
    </w:p>
    <w:p w:rsidR="00981775" w:rsidRDefault="00981775" w:rsidP="00981775">
      <w:pPr>
        <w:pStyle w:val="SangriaFrancesaArticulo"/>
      </w:pPr>
      <w:r w:rsidRPr="00981775">
        <w:rPr>
          <w:rStyle w:val="TextoNormalNegritaCaracter"/>
        </w:rPr>
        <w:t>Artículo 45.2.</w:t>
      </w:r>
      <w:r w:rsidRPr="00981775">
        <w:rPr>
          <w:rStyle w:val="TextoNormalCaracter"/>
        </w:rPr>
        <w:t>-</w:t>
      </w:r>
      <w:r>
        <w:t xml:space="preserve"> Sentencia </w:t>
      </w:r>
      <w:hyperlink w:anchor="SENTENCIA_2015_233" w:history="1">
        <w:r w:rsidRPr="00981775">
          <w:rPr>
            <w:rStyle w:val="TextoNormalCaracter"/>
          </w:rPr>
          <w:t>233/2015</w:t>
        </w:r>
      </w:hyperlink>
      <w:r>
        <w:t>, f. 2.</w:t>
      </w:r>
    </w:p>
    <w:p w:rsidR="00981775" w:rsidRDefault="00981775" w:rsidP="00981775">
      <w:pPr>
        <w:pStyle w:val="SangriaFrancesaArticulo"/>
      </w:pPr>
      <w:r w:rsidRPr="00981775">
        <w:rPr>
          <w:rStyle w:val="TextoNormalNegritaCaracter"/>
        </w:rPr>
        <w:t>Artículo 47.</w:t>
      </w:r>
      <w:r w:rsidRPr="00981775">
        <w:rPr>
          <w:rStyle w:val="TextoNormalCaracter"/>
        </w:rPr>
        <w:t>-</w:t>
      </w:r>
      <w:r>
        <w:t xml:space="preserve"> Sentencias </w:t>
      </w:r>
      <w:hyperlink w:anchor="SENTENCIA_2015_154" w:history="1">
        <w:r w:rsidRPr="00981775">
          <w:rPr>
            <w:rStyle w:val="TextoNormalCaracter"/>
          </w:rPr>
          <w:t>154/2015</w:t>
        </w:r>
      </w:hyperlink>
      <w:r>
        <w:t xml:space="preserve">, ff. 3, 4, 7; </w:t>
      </w:r>
      <w:hyperlink w:anchor="SENTENCIA_2015_218" w:history="1">
        <w:r w:rsidRPr="00981775">
          <w:rPr>
            <w:rStyle w:val="TextoNormalCaracter"/>
          </w:rPr>
          <w:t>218/2015</w:t>
        </w:r>
      </w:hyperlink>
      <w:r>
        <w:t>, f. 5, VP III.</w:t>
      </w:r>
    </w:p>
    <w:p w:rsidR="00981775" w:rsidRDefault="00981775" w:rsidP="00981775">
      <w:pPr>
        <w:pStyle w:val="SangriaFrancesaArticulo"/>
      </w:pPr>
      <w:r w:rsidRPr="00981775">
        <w:rPr>
          <w:rStyle w:val="TextoNormalNegritaCaracter"/>
        </w:rPr>
        <w:t>Artículo 48.</w:t>
      </w:r>
      <w:r w:rsidRPr="00981775">
        <w:rPr>
          <w:rStyle w:val="TextoNormalCaracter"/>
        </w:rPr>
        <w:t>-</w:t>
      </w:r>
      <w:r>
        <w:t xml:space="preserve"> Sentencia </w:t>
      </w:r>
      <w:hyperlink w:anchor="SENTENCIA_2015_154" w:history="1">
        <w:r w:rsidRPr="00981775">
          <w:rPr>
            <w:rStyle w:val="TextoNormalCaracter"/>
          </w:rPr>
          <w:t>154/2015</w:t>
        </w:r>
      </w:hyperlink>
      <w:r>
        <w:t>, ff. 4, 7.</w:t>
      </w:r>
    </w:p>
    <w:p w:rsidR="00981775" w:rsidRDefault="00981775" w:rsidP="00981775">
      <w:pPr>
        <w:pStyle w:val="SangriaFrancesaArticulo"/>
      </w:pPr>
      <w:r w:rsidRPr="00981775">
        <w:rPr>
          <w:rStyle w:val="TextoNormalNegritaCaracter"/>
        </w:rPr>
        <w:t>Artículo 49.</w:t>
      </w:r>
      <w:r w:rsidRPr="00981775">
        <w:rPr>
          <w:rStyle w:val="TextoNormalCaracter"/>
        </w:rPr>
        <w:t>-</w:t>
      </w:r>
      <w:r>
        <w:t xml:space="preserve"> Sentencia </w:t>
      </w:r>
      <w:hyperlink w:anchor="SENTENCIA_2015_154" w:history="1">
        <w:r w:rsidRPr="00981775">
          <w:rPr>
            <w:rStyle w:val="TextoNormalCaracter"/>
          </w:rPr>
          <w:t>154/2015</w:t>
        </w:r>
      </w:hyperlink>
      <w:r>
        <w:t>, ff. 4, 7.</w:t>
      </w:r>
    </w:p>
    <w:p w:rsidR="00981775" w:rsidRDefault="00981775" w:rsidP="00981775">
      <w:pPr>
        <w:pStyle w:val="SangriaFrancesaArticulo"/>
      </w:pPr>
      <w:r w:rsidRPr="00981775">
        <w:rPr>
          <w:rStyle w:val="TextoNormalNegritaCaracter"/>
        </w:rPr>
        <w:t>Artículo 50.</w:t>
      </w:r>
      <w:r w:rsidRPr="00981775">
        <w:rPr>
          <w:rStyle w:val="TextoNormalCaracter"/>
        </w:rPr>
        <w:t>-</w:t>
      </w:r>
      <w:r>
        <w:t xml:space="preserve"> Sentencia </w:t>
      </w:r>
      <w:hyperlink w:anchor="SENTENCIA_2015_154" w:history="1">
        <w:r w:rsidRPr="00981775">
          <w:rPr>
            <w:rStyle w:val="TextoNormalCaracter"/>
          </w:rPr>
          <w:t>154/2015</w:t>
        </w:r>
      </w:hyperlink>
      <w:r>
        <w:t>, ff. 4, 7.</w:t>
      </w:r>
    </w:p>
    <w:p w:rsidR="00981775" w:rsidRDefault="00981775" w:rsidP="00981775">
      <w:pPr>
        <w:pStyle w:val="SangriaFrancesaArticulo"/>
      </w:pPr>
      <w:r w:rsidRPr="00981775">
        <w:rPr>
          <w:rStyle w:val="TextoNormalNegritaCaracter"/>
        </w:rPr>
        <w:t>Artículo 53.</w:t>
      </w:r>
      <w:r w:rsidRPr="00981775">
        <w:rPr>
          <w:rStyle w:val="TextoNormalCaracter"/>
        </w:rPr>
        <w:t>-</w:t>
      </w:r>
      <w:r>
        <w:t xml:space="preserve"> Sentencia </w:t>
      </w:r>
      <w:hyperlink w:anchor="SENTENCIA_2015_233" w:history="1">
        <w:r w:rsidRPr="00981775">
          <w:rPr>
            <w:rStyle w:val="TextoNormalCaracter"/>
          </w:rPr>
          <w:t>233/2015</w:t>
        </w:r>
      </w:hyperlink>
      <w:r>
        <w:t>, f. 2.</w:t>
      </w:r>
    </w:p>
    <w:p w:rsidR="00981775" w:rsidRDefault="00981775" w:rsidP="00981775">
      <w:pPr>
        <w:pStyle w:val="SangriaFrancesaArticulo"/>
      </w:pPr>
      <w:r w:rsidRPr="00981775">
        <w:rPr>
          <w:rStyle w:val="TextoNormalNegritaCaracter"/>
        </w:rPr>
        <w:t>Artículo 53.1.</w:t>
      </w:r>
      <w:r w:rsidRPr="00981775">
        <w:rPr>
          <w:rStyle w:val="TextoNormalCaracter"/>
        </w:rPr>
        <w:t>-</w:t>
      </w:r>
      <w:r>
        <w:t xml:space="preserve"> Sentencias </w:t>
      </w:r>
      <w:hyperlink w:anchor="SENTENCIA_2015_159" w:history="1">
        <w:r w:rsidRPr="00981775">
          <w:rPr>
            <w:rStyle w:val="TextoNormalCaracter"/>
          </w:rPr>
          <w:t>159/2015</w:t>
        </w:r>
      </w:hyperlink>
      <w:r>
        <w:t xml:space="preserve">, f. 5; </w:t>
      </w:r>
      <w:hyperlink w:anchor="SENTENCIA_2015_176" w:history="1">
        <w:r w:rsidRPr="00981775">
          <w:rPr>
            <w:rStyle w:val="TextoNormalCaracter"/>
          </w:rPr>
          <w:t>176/2015</w:t>
        </w:r>
      </w:hyperlink>
      <w:r>
        <w:t xml:space="preserve">, ff. 1, 2, 4, 5; </w:t>
      </w:r>
      <w:hyperlink w:anchor="SENTENCIA_2015_218" w:history="1">
        <w:r w:rsidRPr="00981775">
          <w:rPr>
            <w:rStyle w:val="TextoNormalCaracter"/>
          </w:rPr>
          <w:t>218/2015</w:t>
        </w:r>
      </w:hyperlink>
      <w:r>
        <w:t xml:space="preserve">, VP III; </w:t>
      </w:r>
      <w:hyperlink w:anchor="SENTENCIA_2015_236" w:history="1">
        <w:r w:rsidRPr="00981775">
          <w:rPr>
            <w:rStyle w:val="TextoNormalCaracter"/>
          </w:rPr>
          <w:t>236/2015</w:t>
        </w:r>
      </w:hyperlink>
      <w:r>
        <w:t xml:space="preserve">, f. 1, VP; </w:t>
      </w:r>
      <w:hyperlink w:anchor="SENTENCIA_2015_261" w:history="1">
        <w:r w:rsidRPr="00981775">
          <w:rPr>
            <w:rStyle w:val="TextoNormalCaracter"/>
          </w:rPr>
          <w:t>261/2015</w:t>
        </w:r>
      </w:hyperlink>
      <w:r>
        <w:t>, f. 4.</w:t>
      </w:r>
    </w:p>
    <w:p w:rsidR="00981775" w:rsidRDefault="00981775" w:rsidP="00981775">
      <w:pPr>
        <w:pStyle w:val="SangriaFrancesaArticulo"/>
      </w:pPr>
      <w:r w:rsidRPr="00981775">
        <w:rPr>
          <w:rStyle w:val="TextoNormalNegritaCaracter"/>
        </w:rPr>
        <w:t>Artículo 53.2.</w:t>
      </w:r>
      <w:r w:rsidRPr="00981775">
        <w:rPr>
          <w:rStyle w:val="TextoNormalCaracter"/>
        </w:rPr>
        <w:t>-</w:t>
      </w:r>
      <w:r>
        <w:t xml:space="preserve"> Sentencias </w:t>
      </w:r>
      <w:hyperlink w:anchor="SENTENCIA_2015_149" w:history="1">
        <w:r w:rsidRPr="00981775">
          <w:rPr>
            <w:rStyle w:val="TextoNormalCaracter"/>
          </w:rPr>
          <w:t>149/2015</w:t>
        </w:r>
      </w:hyperlink>
      <w:r>
        <w:t xml:space="preserve">, f. 3; </w:t>
      </w:r>
      <w:hyperlink w:anchor="SENTENCIA_2015_152" w:history="1">
        <w:r w:rsidRPr="00981775">
          <w:rPr>
            <w:rStyle w:val="TextoNormalCaracter"/>
          </w:rPr>
          <w:t>152/2015</w:t>
        </w:r>
      </w:hyperlink>
      <w:r>
        <w:t xml:space="preserve">, f. 2; </w:t>
      </w:r>
      <w:hyperlink w:anchor="SENTENCIA_2015_159" w:history="1">
        <w:r w:rsidRPr="00981775">
          <w:rPr>
            <w:rStyle w:val="TextoNormalCaracter"/>
          </w:rPr>
          <w:t>159/2015</w:t>
        </w:r>
      </w:hyperlink>
      <w:r>
        <w:t xml:space="preserve">, f. 2; </w:t>
      </w:r>
      <w:hyperlink w:anchor="SENTENCIA_2015_208" w:history="1">
        <w:r w:rsidRPr="00981775">
          <w:rPr>
            <w:rStyle w:val="TextoNormalCaracter"/>
          </w:rPr>
          <w:t>208/2015</w:t>
        </w:r>
      </w:hyperlink>
      <w:r>
        <w:t xml:space="preserve">, f. 5; </w:t>
      </w:r>
      <w:hyperlink w:anchor="SENTENCIA_2015_232" w:history="1">
        <w:r w:rsidRPr="00981775">
          <w:rPr>
            <w:rStyle w:val="TextoNormalCaracter"/>
          </w:rPr>
          <w:t>232/2015</w:t>
        </w:r>
      </w:hyperlink>
      <w:r>
        <w:t xml:space="preserve">, f. 4; </w:t>
      </w:r>
      <w:hyperlink w:anchor="SENTENCIA_2015_261" w:history="1">
        <w:r w:rsidRPr="00981775">
          <w:rPr>
            <w:rStyle w:val="TextoNormalCaracter"/>
          </w:rPr>
          <w:t>261/2015</w:t>
        </w:r>
      </w:hyperlink>
      <w:r>
        <w:t>, f. 4.</w:t>
      </w:r>
    </w:p>
    <w:p w:rsidR="00981775" w:rsidRDefault="00981775" w:rsidP="00981775">
      <w:pPr>
        <w:pStyle w:val="SangriaIzquierdaArticulo"/>
      </w:pPr>
      <w:r>
        <w:t xml:space="preserve">Auto </w:t>
      </w:r>
      <w:hyperlink w:anchor="AUTO_2015_205" w:history="1">
        <w:r w:rsidRPr="00981775">
          <w:rPr>
            <w:rStyle w:val="TextoNormalCaracter"/>
          </w:rPr>
          <w:t>205/2015</w:t>
        </w:r>
      </w:hyperlink>
      <w:r>
        <w:t>, f. 1.</w:t>
      </w:r>
    </w:p>
    <w:p w:rsidR="00981775" w:rsidRDefault="00981775" w:rsidP="00981775">
      <w:pPr>
        <w:pStyle w:val="SangriaFrancesaArticulo"/>
      </w:pPr>
      <w:r w:rsidRPr="00981775">
        <w:rPr>
          <w:rStyle w:val="TextoNormalNegritaCaracter"/>
        </w:rPr>
        <w:t>Artículo 53.3.</w:t>
      </w:r>
      <w:r w:rsidRPr="00981775">
        <w:rPr>
          <w:rStyle w:val="TextoNormalCaracter"/>
        </w:rPr>
        <w:t>-</w:t>
      </w:r>
      <w:r>
        <w:t xml:space="preserve"> Sentencia </w:t>
      </w:r>
      <w:hyperlink w:anchor="SENTENCIA_2015_233" w:history="1">
        <w:r w:rsidRPr="00981775">
          <w:rPr>
            <w:rStyle w:val="TextoNormalCaracter"/>
          </w:rPr>
          <w:t>233/2015</w:t>
        </w:r>
      </w:hyperlink>
      <w:r>
        <w:t>, ff. 2, 14.</w:t>
      </w:r>
    </w:p>
    <w:p w:rsidR="00981775" w:rsidRDefault="00981775" w:rsidP="00981775">
      <w:pPr>
        <w:pStyle w:val="SangriaFrancesaArticulo"/>
      </w:pPr>
      <w:r w:rsidRPr="00981775">
        <w:rPr>
          <w:rStyle w:val="TextoNormalNegritaCaracter"/>
        </w:rPr>
        <w:t>Artículo 66.</w:t>
      </w:r>
      <w:r w:rsidRPr="00981775">
        <w:rPr>
          <w:rStyle w:val="TextoNormalCaracter"/>
        </w:rPr>
        <w:t>-</w:t>
      </w:r>
      <w:r>
        <w:t xml:space="preserve"> Sentencias </w:t>
      </w:r>
      <w:hyperlink w:anchor="SENTENCIA_2015_176" w:history="1">
        <w:r w:rsidRPr="00981775">
          <w:rPr>
            <w:rStyle w:val="TextoNormalCaracter"/>
          </w:rPr>
          <w:t>176/2015</w:t>
        </w:r>
      </w:hyperlink>
      <w:r>
        <w:t xml:space="preserve">, ff. 1, 3; </w:t>
      </w:r>
      <w:hyperlink w:anchor="SENTENCIA_2015_199" w:history="1">
        <w:r w:rsidRPr="00981775">
          <w:rPr>
            <w:rStyle w:val="TextoNormalCaracter"/>
          </w:rPr>
          <w:t>199/2015</w:t>
        </w:r>
      </w:hyperlink>
      <w:r>
        <w:t>, VP.</w:t>
      </w:r>
    </w:p>
    <w:p w:rsidR="00981775" w:rsidRDefault="00981775" w:rsidP="00981775">
      <w:pPr>
        <w:pStyle w:val="SangriaFrancesaArticulo"/>
      </w:pPr>
      <w:r w:rsidRPr="00981775">
        <w:rPr>
          <w:rStyle w:val="TextoNormalNegritaCaracter"/>
        </w:rPr>
        <w:t>Artículo 66.1.</w:t>
      </w:r>
      <w:r w:rsidRPr="00981775">
        <w:rPr>
          <w:rStyle w:val="TextoNormalCaracter"/>
        </w:rPr>
        <w:t>-</w:t>
      </w:r>
      <w:r>
        <w:t xml:space="preserve"> Sentencias </w:t>
      </w:r>
      <w:hyperlink w:anchor="SENTENCIA_2015_159" w:history="1">
        <w:r w:rsidRPr="00981775">
          <w:rPr>
            <w:rStyle w:val="TextoNormalCaracter"/>
          </w:rPr>
          <w:t>159/2015</w:t>
        </w:r>
      </w:hyperlink>
      <w:r>
        <w:t xml:space="preserve">, f. 5; </w:t>
      </w:r>
      <w:hyperlink w:anchor="SENTENCIA_2015_216" w:history="1">
        <w:r w:rsidRPr="00981775">
          <w:rPr>
            <w:rStyle w:val="TextoNormalCaracter"/>
          </w:rPr>
          <w:t>216/2015</w:t>
        </w:r>
      </w:hyperlink>
      <w:r>
        <w:t>, f. 1.</w:t>
      </w:r>
    </w:p>
    <w:p w:rsidR="00981775" w:rsidRDefault="00981775" w:rsidP="00981775">
      <w:pPr>
        <w:pStyle w:val="SangriaFrancesaArticulo"/>
      </w:pPr>
      <w:r w:rsidRPr="00981775">
        <w:rPr>
          <w:rStyle w:val="TextoNormalNegritaCaracter"/>
        </w:rPr>
        <w:t>Artículo 66.2.</w:t>
      </w:r>
      <w:r w:rsidRPr="00981775">
        <w:rPr>
          <w:rStyle w:val="TextoNormalCaracter"/>
        </w:rPr>
        <w:t>-</w:t>
      </w:r>
      <w:r>
        <w:t xml:space="preserve"> Sentencias </w:t>
      </w:r>
      <w:hyperlink w:anchor="SENTENCIA_2015_196" w:history="1">
        <w:r w:rsidRPr="00981775">
          <w:rPr>
            <w:rStyle w:val="TextoNormalCaracter"/>
          </w:rPr>
          <w:t>196/2015</w:t>
        </w:r>
      </w:hyperlink>
      <w:r>
        <w:t xml:space="preserve">, f. 6; </w:t>
      </w:r>
      <w:hyperlink w:anchor="SENTENCIA_2015_216" w:history="1">
        <w:r w:rsidRPr="00981775">
          <w:rPr>
            <w:rStyle w:val="TextoNormalCaracter"/>
          </w:rPr>
          <w:t>216/2015</w:t>
        </w:r>
      </w:hyperlink>
      <w:r>
        <w:t xml:space="preserve">, ff. 1, 5; </w:t>
      </w:r>
      <w:hyperlink w:anchor="SENTENCIA_2015_231" w:history="1">
        <w:r w:rsidRPr="00981775">
          <w:rPr>
            <w:rStyle w:val="TextoNormalCaracter"/>
          </w:rPr>
          <w:t>231/2015</w:t>
        </w:r>
      </w:hyperlink>
      <w:r>
        <w:t>, f. 3.</w:t>
      </w:r>
    </w:p>
    <w:p w:rsidR="00981775" w:rsidRDefault="00981775" w:rsidP="00981775">
      <w:pPr>
        <w:pStyle w:val="SangriaFrancesaArticulo"/>
      </w:pPr>
      <w:r w:rsidRPr="00981775">
        <w:rPr>
          <w:rStyle w:val="TextoNormalNegritaCaracter"/>
        </w:rPr>
        <w:t>Artículo 68.1.</w:t>
      </w:r>
      <w:r w:rsidRPr="00981775">
        <w:rPr>
          <w:rStyle w:val="TextoNormalCaracter"/>
        </w:rPr>
        <w:t>-</w:t>
      </w:r>
      <w:r>
        <w:t xml:space="preserve"> Sentencia </w:t>
      </w:r>
      <w:hyperlink w:anchor="SENTENCIA_2015_159" w:history="1">
        <w:r w:rsidRPr="00981775">
          <w:rPr>
            <w:rStyle w:val="TextoNormalCaracter"/>
          </w:rPr>
          <w:t>159/2015</w:t>
        </w:r>
      </w:hyperlink>
      <w:r>
        <w:t>, f. 5.</w:t>
      </w:r>
    </w:p>
    <w:p w:rsidR="00981775" w:rsidRDefault="00981775" w:rsidP="00981775">
      <w:pPr>
        <w:pStyle w:val="SangriaFrancesaArticulo"/>
      </w:pPr>
      <w:r w:rsidRPr="00981775">
        <w:rPr>
          <w:rStyle w:val="TextoNormalNegritaCaracter"/>
        </w:rPr>
        <w:t>Artículo 69.2.</w:t>
      </w:r>
      <w:r w:rsidRPr="00981775">
        <w:rPr>
          <w:rStyle w:val="TextoNormalCaracter"/>
        </w:rPr>
        <w:t>-</w:t>
      </w:r>
      <w:r>
        <w:t xml:space="preserve"> Sentencia </w:t>
      </w:r>
      <w:hyperlink w:anchor="SENTENCIA_2015_159" w:history="1">
        <w:r w:rsidRPr="00981775">
          <w:rPr>
            <w:rStyle w:val="TextoNormalCaracter"/>
          </w:rPr>
          <w:t>159/2015</w:t>
        </w:r>
      </w:hyperlink>
      <w:r>
        <w:t>, f. 5.</w:t>
      </w:r>
    </w:p>
    <w:p w:rsidR="00981775" w:rsidRDefault="00981775" w:rsidP="00981775">
      <w:pPr>
        <w:pStyle w:val="SangriaFrancesaArticulo"/>
      </w:pPr>
      <w:r w:rsidRPr="00981775">
        <w:rPr>
          <w:rStyle w:val="TextoNormalNegritaCaracter"/>
        </w:rPr>
        <w:t>Artículo 72.1.</w:t>
      </w:r>
      <w:r w:rsidRPr="00981775">
        <w:rPr>
          <w:rStyle w:val="TextoNormalCaracter"/>
        </w:rPr>
        <w:t>-</w:t>
      </w:r>
      <w:r>
        <w:t xml:space="preserve"> Sentencia </w:t>
      </w:r>
      <w:hyperlink w:anchor="SENTENCIA_2015_215" w:history="1">
        <w:r w:rsidRPr="00981775">
          <w:rPr>
            <w:rStyle w:val="TextoNormalCaracter"/>
          </w:rPr>
          <w:t>215/2015</w:t>
        </w:r>
      </w:hyperlink>
      <w:r>
        <w:t>, f. 2.</w:t>
      </w:r>
    </w:p>
    <w:p w:rsidR="00981775" w:rsidRDefault="00981775" w:rsidP="00981775">
      <w:pPr>
        <w:pStyle w:val="SangriaFrancesaArticulo"/>
      </w:pPr>
      <w:r w:rsidRPr="00981775">
        <w:rPr>
          <w:rStyle w:val="TextoNormalNegritaCaracter"/>
        </w:rPr>
        <w:t>Artículo 81.</w:t>
      </w:r>
      <w:r w:rsidRPr="00981775">
        <w:rPr>
          <w:rStyle w:val="TextoNormalCaracter"/>
        </w:rPr>
        <w:t>-</w:t>
      </w:r>
      <w:r>
        <w:t xml:space="preserve"> Sentencia </w:t>
      </w:r>
      <w:hyperlink w:anchor="SENTENCIA_2015_176" w:history="1">
        <w:r w:rsidRPr="00981775">
          <w:rPr>
            <w:rStyle w:val="TextoNormalCaracter"/>
          </w:rPr>
          <w:t>176/2015</w:t>
        </w:r>
      </w:hyperlink>
      <w:r>
        <w:t>, ff. 1, 3.</w:t>
      </w:r>
    </w:p>
    <w:p w:rsidR="00981775" w:rsidRDefault="00981775" w:rsidP="00981775">
      <w:pPr>
        <w:pStyle w:val="SangriaFrancesaArticulo"/>
      </w:pPr>
      <w:r w:rsidRPr="00981775">
        <w:rPr>
          <w:rStyle w:val="TextoNormalNegritaCaracter"/>
        </w:rPr>
        <w:t>Artículo 81.1.</w:t>
      </w:r>
      <w:r w:rsidRPr="00981775">
        <w:rPr>
          <w:rStyle w:val="TextoNormalCaracter"/>
        </w:rPr>
        <w:t>-</w:t>
      </w:r>
      <w:r>
        <w:t xml:space="preserve"> Sentencias </w:t>
      </w:r>
      <w:hyperlink w:anchor="SENTENCIA_2015_176" w:history="1">
        <w:r w:rsidRPr="00981775">
          <w:rPr>
            <w:rStyle w:val="TextoNormalCaracter"/>
          </w:rPr>
          <w:t>176/2015</w:t>
        </w:r>
      </w:hyperlink>
      <w:r>
        <w:t xml:space="preserve">, ff. 1, 4 a 8; </w:t>
      </w:r>
      <w:hyperlink w:anchor="SENTENCIA_2015_234" w:history="1">
        <w:r w:rsidRPr="00981775">
          <w:rPr>
            <w:rStyle w:val="TextoNormalCaracter"/>
          </w:rPr>
          <w:t>234/2015</w:t>
        </w:r>
      </w:hyperlink>
      <w:r>
        <w:t xml:space="preserve">, f. 1; </w:t>
      </w:r>
      <w:hyperlink w:anchor="SENTENCIA_2015_246" w:history="1">
        <w:r w:rsidRPr="00981775">
          <w:rPr>
            <w:rStyle w:val="TextoNormalCaracter"/>
          </w:rPr>
          <w:t>246/2015</w:t>
        </w:r>
      </w:hyperlink>
      <w:r>
        <w:t xml:space="preserve">, f. 1; </w:t>
      </w:r>
      <w:hyperlink w:anchor="SENTENCIA_2015_247" w:history="1">
        <w:r w:rsidRPr="00981775">
          <w:rPr>
            <w:rStyle w:val="TextoNormalCaracter"/>
          </w:rPr>
          <w:t>247/2015</w:t>
        </w:r>
      </w:hyperlink>
      <w:r>
        <w:t xml:space="preserve">, f. 1; </w:t>
      </w:r>
      <w:hyperlink w:anchor="SENTENCIA_2015_248" w:history="1">
        <w:r w:rsidRPr="00981775">
          <w:rPr>
            <w:rStyle w:val="TextoNormalCaracter"/>
          </w:rPr>
          <w:t>248/2015</w:t>
        </w:r>
      </w:hyperlink>
      <w:r>
        <w:t xml:space="preserve">, f. 1; </w:t>
      </w:r>
      <w:hyperlink w:anchor="SENTENCIA_2015_249" w:history="1">
        <w:r w:rsidRPr="00981775">
          <w:rPr>
            <w:rStyle w:val="TextoNormalCaracter"/>
          </w:rPr>
          <w:t>249/2015</w:t>
        </w:r>
      </w:hyperlink>
      <w:r>
        <w:t xml:space="preserve">, f. 1; </w:t>
      </w:r>
      <w:hyperlink w:anchor="SENTENCIA_2015_250" w:history="1">
        <w:r w:rsidRPr="00981775">
          <w:rPr>
            <w:rStyle w:val="TextoNormalCaracter"/>
          </w:rPr>
          <w:t>250/2015</w:t>
        </w:r>
      </w:hyperlink>
      <w:r>
        <w:t xml:space="preserve">, f. 1; </w:t>
      </w:r>
      <w:hyperlink w:anchor="SENTENCIA_2015_251" w:history="1">
        <w:r w:rsidRPr="00981775">
          <w:rPr>
            <w:rStyle w:val="TextoNormalCaracter"/>
          </w:rPr>
          <w:t>251/2015</w:t>
        </w:r>
      </w:hyperlink>
      <w:r>
        <w:t xml:space="preserve">, f. 1; </w:t>
      </w:r>
      <w:hyperlink w:anchor="SENTENCIA_2015_252" w:history="1">
        <w:r w:rsidRPr="00981775">
          <w:rPr>
            <w:rStyle w:val="TextoNormalCaracter"/>
          </w:rPr>
          <w:t>252/2015</w:t>
        </w:r>
      </w:hyperlink>
      <w:r>
        <w:t xml:space="preserve">, f. 1; </w:t>
      </w:r>
      <w:hyperlink w:anchor="SENTENCIA_2015_253" w:history="1">
        <w:r w:rsidRPr="00981775">
          <w:rPr>
            <w:rStyle w:val="TextoNormalCaracter"/>
          </w:rPr>
          <w:t>253/2015</w:t>
        </w:r>
      </w:hyperlink>
      <w:r>
        <w:t xml:space="preserve">, f. 1; </w:t>
      </w:r>
      <w:hyperlink w:anchor="SENTENCIA_2015_255" w:history="1">
        <w:r w:rsidRPr="00981775">
          <w:rPr>
            <w:rStyle w:val="TextoNormalCaracter"/>
          </w:rPr>
          <w:t>255/2015</w:t>
        </w:r>
      </w:hyperlink>
      <w:r>
        <w:t xml:space="preserve">, f. 1; </w:t>
      </w:r>
      <w:hyperlink w:anchor="SENTENCIA_2015_256" w:history="1">
        <w:r w:rsidRPr="00981775">
          <w:rPr>
            <w:rStyle w:val="TextoNormalCaracter"/>
          </w:rPr>
          <w:t>256/2015</w:t>
        </w:r>
      </w:hyperlink>
      <w:r>
        <w:t xml:space="preserve">, f. 1; </w:t>
      </w:r>
      <w:hyperlink w:anchor="SENTENCIA_2015_257" w:history="1">
        <w:r w:rsidRPr="00981775">
          <w:rPr>
            <w:rStyle w:val="TextoNormalCaracter"/>
          </w:rPr>
          <w:t>257/2015</w:t>
        </w:r>
      </w:hyperlink>
      <w:r>
        <w:t xml:space="preserve">, f. 1; </w:t>
      </w:r>
      <w:hyperlink w:anchor="SENTENCIA_2015_258" w:history="1">
        <w:r w:rsidRPr="00981775">
          <w:rPr>
            <w:rStyle w:val="TextoNormalCaracter"/>
          </w:rPr>
          <w:t>258/2015</w:t>
        </w:r>
      </w:hyperlink>
      <w:r>
        <w:t xml:space="preserve">, f. 1; </w:t>
      </w:r>
      <w:hyperlink w:anchor="SENTENCIA_2015_261" w:history="1">
        <w:r w:rsidRPr="00981775">
          <w:rPr>
            <w:rStyle w:val="TextoNormalCaracter"/>
          </w:rPr>
          <w:t>261/2015</w:t>
        </w:r>
      </w:hyperlink>
      <w:r>
        <w:t>, f. 4.</w:t>
      </w:r>
    </w:p>
    <w:p w:rsidR="00981775" w:rsidRDefault="00981775" w:rsidP="00981775">
      <w:pPr>
        <w:pStyle w:val="SangriaFrancesaArticulo"/>
      </w:pPr>
      <w:r w:rsidRPr="00981775">
        <w:rPr>
          <w:rStyle w:val="TextoNormalNegritaCaracter"/>
        </w:rPr>
        <w:t>Artículo 86.</w:t>
      </w:r>
      <w:r w:rsidRPr="00981775">
        <w:rPr>
          <w:rStyle w:val="TextoNormalCaracter"/>
        </w:rPr>
        <w:t>-</w:t>
      </w:r>
      <w:r>
        <w:t xml:space="preserve"> Sentencias </w:t>
      </w:r>
      <w:hyperlink w:anchor="SENTENCIA_2015_197" w:history="1">
        <w:r w:rsidRPr="00981775">
          <w:rPr>
            <w:rStyle w:val="TextoNormalCaracter"/>
          </w:rPr>
          <w:t>197/2015</w:t>
        </w:r>
      </w:hyperlink>
      <w:r>
        <w:t xml:space="preserve">, f. 4; </w:t>
      </w:r>
      <w:hyperlink w:anchor="SENTENCIA_2015_199" w:history="1">
        <w:r w:rsidRPr="00981775">
          <w:rPr>
            <w:rStyle w:val="TextoNormalCaracter"/>
          </w:rPr>
          <w:t>199/2015</w:t>
        </w:r>
      </w:hyperlink>
      <w:r>
        <w:t xml:space="preserve">, ff. 2, 3, 8 a 10, VP; </w:t>
      </w:r>
      <w:hyperlink w:anchor="SENTENCIA_2015_211" w:history="1">
        <w:r w:rsidRPr="00981775">
          <w:rPr>
            <w:rStyle w:val="TextoNormalCaracter"/>
          </w:rPr>
          <w:t>211/2015</w:t>
        </w:r>
      </w:hyperlink>
      <w:r>
        <w:t xml:space="preserve">, f. 3; </w:t>
      </w:r>
      <w:hyperlink w:anchor="SENTENCIA_2015_230" w:history="1">
        <w:r w:rsidRPr="00981775">
          <w:rPr>
            <w:rStyle w:val="TextoNormalCaracter"/>
          </w:rPr>
          <w:t>230/2015</w:t>
        </w:r>
      </w:hyperlink>
      <w:r>
        <w:t xml:space="preserve">, f. 5; </w:t>
      </w:r>
      <w:hyperlink w:anchor="SENTENCIA_2015_243" w:history="1">
        <w:r w:rsidRPr="00981775">
          <w:rPr>
            <w:rStyle w:val="TextoNormalCaracter"/>
          </w:rPr>
          <w:t>243/2015</w:t>
        </w:r>
      </w:hyperlink>
      <w:r>
        <w:t xml:space="preserve">, ff. 1, 3; </w:t>
      </w:r>
      <w:hyperlink w:anchor="SENTENCIA_2015_270" w:history="1">
        <w:r w:rsidRPr="00981775">
          <w:rPr>
            <w:rStyle w:val="TextoNormalCaracter"/>
          </w:rPr>
          <w:t>270/2015</w:t>
        </w:r>
      </w:hyperlink>
      <w:r>
        <w:t>, f. 4.</w:t>
      </w:r>
    </w:p>
    <w:p w:rsidR="00981775" w:rsidRDefault="00981775" w:rsidP="00981775">
      <w:pPr>
        <w:pStyle w:val="SangriaFrancesaArticulo"/>
      </w:pPr>
      <w:r w:rsidRPr="00981775">
        <w:rPr>
          <w:rStyle w:val="TextoNormalNegritaCaracter"/>
        </w:rPr>
        <w:t>Artículo 86.1.</w:t>
      </w:r>
      <w:r w:rsidRPr="00981775">
        <w:rPr>
          <w:rStyle w:val="TextoNormalCaracter"/>
        </w:rPr>
        <w:t>-</w:t>
      </w:r>
      <w:r>
        <w:t xml:space="preserve"> Sentencias </w:t>
      </w:r>
      <w:hyperlink w:anchor="SENTENCIA_2015_156" w:history="1">
        <w:r w:rsidRPr="00981775">
          <w:rPr>
            <w:rStyle w:val="TextoNormalCaracter"/>
          </w:rPr>
          <w:t>156/2015</w:t>
        </w:r>
      </w:hyperlink>
      <w:r>
        <w:t xml:space="preserve">, ff. 1 a 4, 6, 7; </w:t>
      </w:r>
      <w:hyperlink w:anchor="SENTENCIA_2015_196" w:history="1">
        <w:r w:rsidRPr="00981775">
          <w:rPr>
            <w:rStyle w:val="TextoNormalCaracter"/>
          </w:rPr>
          <w:t>196/2015</w:t>
        </w:r>
      </w:hyperlink>
      <w:r>
        <w:t xml:space="preserve">, ff. 1, 2, 4, 6, VP; </w:t>
      </w:r>
      <w:hyperlink w:anchor="SENTENCIA_2015_197" w:history="1">
        <w:r w:rsidRPr="00981775">
          <w:rPr>
            <w:rStyle w:val="TextoNormalCaracter"/>
          </w:rPr>
          <w:t>197/2015</w:t>
        </w:r>
      </w:hyperlink>
      <w:r>
        <w:t xml:space="preserve">, ff. 1 a 5, 7, VP I, VP II; </w:t>
      </w:r>
      <w:hyperlink w:anchor="SENTENCIA_2015_199" w:history="1">
        <w:r w:rsidRPr="00981775">
          <w:rPr>
            <w:rStyle w:val="TextoNormalCaracter"/>
          </w:rPr>
          <w:t>199/2015</w:t>
        </w:r>
      </w:hyperlink>
      <w:r>
        <w:t xml:space="preserve">, ff. 1 a 6, 8, 10, VP; </w:t>
      </w:r>
      <w:hyperlink w:anchor="SENTENCIA_2015_211" w:history="1">
        <w:r w:rsidRPr="00981775">
          <w:rPr>
            <w:rStyle w:val="TextoNormalCaracter"/>
          </w:rPr>
          <w:t>211/2015</w:t>
        </w:r>
      </w:hyperlink>
      <w:r>
        <w:t xml:space="preserve">, ff. 1 a 5, 7, 8, VP; </w:t>
      </w:r>
      <w:hyperlink w:anchor="SENTENCIA_2015_215" w:history="1">
        <w:r w:rsidRPr="00981775">
          <w:rPr>
            <w:rStyle w:val="TextoNormalCaracter"/>
          </w:rPr>
          <w:t>215/2015</w:t>
        </w:r>
      </w:hyperlink>
      <w:r>
        <w:t xml:space="preserve">, ff. 1, 3, 5; </w:t>
      </w:r>
      <w:hyperlink w:anchor="SENTENCIA_2015_230" w:history="1">
        <w:r w:rsidRPr="00981775">
          <w:rPr>
            <w:rStyle w:val="TextoNormalCaracter"/>
          </w:rPr>
          <w:t>230/2015</w:t>
        </w:r>
      </w:hyperlink>
      <w:r>
        <w:t xml:space="preserve">, ff. 3 a 5; </w:t>
      </w:r>
      <w:hyperlink w:anchor="SENTENCIA_2015_237" w:history="1">
        <w:r w:rsidRPr="00981775">
          <w:rPr>
            <w:rStyle w:val="TextoNormalCaracter"/>
          </w:rPr>
          <w:t>237/2015</w:t>
        </w:r>
      </w:hyperlink>
      <w:r>
        <w:t xml:space="preserve">, f. 3; </w:t>
      </w:r>
      <w:hyperlink w:anchor="SENTENCIA_2015_243" w:history="1">
        <w:r w:rsidRPr="00981775">
          <w:rPr>
            <w:rStyle w:val="TextoNormalCaracter"/>
          </w:rPr>
          <w:t>243/2015</w:t>
        </w:r>
      </w:hyperlink>
      <w:r>
        <w:t xml:space="preserve">, ff. 2 a 4; </w:t>
      </w:r>
      <w:hyperlink w:anchor="SENTENCIA_2015_270" w:history="1">
        <w:r w:rsidRPr="00981775">
          <w:rPr>
            <w:rStyle w:val="TextoNormalCaracter"/>
          </w:rPr>
          <w:t>270/2015</w:t>
        </w:r>
      </w:hyperlink>
      <w:r>
        <w:t>, ff. 1 a 3, 5, 7.</w:t>
      </w:r>
    </w:p>
    <w:p w:rsidR="00981775" w:rsidRDefault="00981775" w:rsidP="00981775">
      <w:pPr>
        <w:pStyle w:val="SangriaIzquierdaArticulo"/>
      </w:pPr>
      <w:r>
        <w:t xml:space="preserve">Auto </w:t>
      </w:r>
      <w:hyperlink w:anchor="AUTO_2015_133" w:history="1">
        <w:r w:rsidRPr="00981775">
          <w:rPr>
            <w:rStyle w:val="TextoNormalCaracter"/>
          </w:rPr>
          <w:t>133/2015</w:t>
        </w:r>
      </w:hyperlink>
      <w:r>
        <w:t>, f. único.</w:t>
      </w:r>
    </w:p>
    <w:p w:rsidR="00981775" w:rsidRDefault="00981775" w:rsidP="00981775">
      <w:pPr>
        <w:pStyle w:val="SangriaFrancesaArticulo"/>
      </w:pPr>
      <w:r w:rsidRPr="00981775">
        <w:rPr>
          <w:rStyle w:val="TextoNormalNegritaCaracter"/>
        </w:rPr>
        <w:t>Artículo 86.2.</w:t>
      </w:r>
      <w:r w:rsidRPr="00981775">
        <w:rPr>
          <w:rStyle w:val="TextoNormalCaracter"/>
        </w:rPr>
        <w:t>-</w:t>
      </w:r>
      <w:r>
        <w:t xml:space="preserve"> Sentencias </w:t>
      </w:r>
      <w:hyperlink w:anchor="SENTENCIA_2015_196" w:history="1">
        <w:r w:rsidRPr="00981775">
          <w:rPr>
            <w:rStyle w:val="TextoNormalCaracter"/>
          </w:rPr>
          <w:t>196/2015</w:t>
        </w:r>
      </w:hyperlink>
      <w:r>
        <w:t xml:space="preserve">, f. 6; </w:t>
      </w:r>
      <w:hyperlink w:anchor="SENTENCIA_2015_199" w:history="1">
        <w:r w:rsidRPr="00981775">
          <w:rPr>
            <w:rStyle w:val="TextoNormalCaracter"/>
          </w:rPr>
          <w:t>199/2015</w:t>
        </w:r>
      </w:hyperlink>
      <w:r>
        <w:t xml:space="preserve">, ff. 2, 4, 11; </w:t>
      </w:r>
      <w:hyperlink w:anchor="SENTENCIA_2015_211" w:history="1">
        <w:r w:rsidRPr="00981775">
          <w:rPr>
            <w:rStyle w:val="TextoNormalCaracter"/>
          </w:rPr>
          <w:t>211/2015</w:t>
        </w:r>
      </w:hyperlink>
      <w:r>
        <w:t>, f. 4.</w:t>
      </w:r>
    </w:p>
    <w:p w:rsidR="00981775" w:rsidRDefault="00981775" w:rsidP="00981775">
      <w:pPr>
        <w:pStyle w:val="SangriaFrancesaArticulo"/>
      </w:pPr>
      <w:r w:rsidRPr="00981775">
        <w:rPr>
          <w:rStyle w:val="TextoNormalNegritaCaracter"/>
        </w:rPr>
        <w:t>Artículo 86.3.</w:t>
      </w:r>
      <w:r w:rsidRPr="00981775">
        <w:rPr>
          <w:rStyle w:val="TextoNormalCaracter"/>
        </w:rPr>
        <w:t>-</w:t>
      </w:r>
      <w:r>
        <w:t xml:space="preserve"> Sentencias </w:t>
      </w:r>
      <w:hyperlink w:anchor="SENTENCIA_2015_197" w:history="1">
        <w:r w:rsidRPr="00981775">
          <w:rPr>
            <w:rStyle w:val="TextoNormalCaracter"/>
          </w:rPr>
          <w:t>197/2015</w:t>
        </w:r>
      </w:hyperlink>
      <w:r>
        <w:t xml:space="preserve">, ff. 1, 2, VP I; </w:t>
      </w:r>
      <w:hyperlink w:anchor="SENTENCIA_2015_199" w:history="1">
        <w:r w:rsidRPr="00981775">
          <w:rPr>
            <w:rStyle w:val="TextoNormalCaracter"/>
          </w:rPr>
          <w:t>199/2015</w:t>
        </w:r>
      </w:hyperlink>
      <w:r>
        <w:t>, f. 2.</w:t>
      </w:r>
    </w:p>
    <w:p w:rsidR="00981775" w:rsidRDefault="00981775" w:rsidP="00981775">
      <w:pPr>
        <w:pStyle w:val="SangriaFrancesaArticulo"/>
      </w:pPr>
      <w:r w:rsidRPr="00981775">
        <w:rPr>
          <w:rStyle w:val="TextoNormalNegritaCaracter"/>
        </w:rPr>
        <w:t>Artículo 87.</w:t>
      </w:r>
      <w:r w:rsidRPr="00981775">
        <w:rPr>
          <w:rStyle w:val="TextoNormalCaracter"/>
        </w:rPr>
        <w:t>-</w:t>
      </w:r>
      <w:r>
        <w:t xml:space="preserve"> Sentencias </w:t>
      </w:r>
      <w:hyperlink w:anchor="SENTENCIA_2015_216" w:history="1">
        <w:r w:rsidRPr="00981775">
          <w:rPr>
            <w:rStyle w:val="TextoNormalCaracter"/>
          </w:rPr>
          <w:t>216/2015</w:t>
        </w:r>
      </w:hyperlink>
      <w:r>
        <w:t xml:space="preserve">, f. 5; </w:t>
      </w:r>
      <w:hyperlink w:anchor="SENTENCIA_2015_231" w:history="1">
        <w:r w:rsidRPr="00981775">
          <w:rPr>
            <w:rStyle w:val="TextoNormalCaracter"/>
          </w:rPr>
          <w:t>231/2015</w:t>
        </w:r>
      </w:hyperlink>
      <w:r>
        <w:t>, f. 8.</w:t>
      </w:r>
    </w:p>
    <w:p w:rsidR="00981775" w:rsidRDefault="00981775" w:rsidP="00981775">
      <w:pPr>
        <w:pStyle w:val="SangriaFrancesaArticulo"/>
      </w:pPr>
      <w:r w:rsidRPr="00981775">
        <w:rPr>
          <w:rStyle w:val="TextoNormalNegritaCaracter"/>
        </w:rPr>
        <w:t>Artículo 87.1.</w:t>
      </w:r>
      <w:r w:rsidRPr="00981775">
        <w:rPr>
          <w:rStyle w:val="TextoNormalCaracter"/>
        </w:rPr>
        <w:t>-</w:t>
      </w:r>
      <w:r>
        <w:t xml:space="preserve"> Sentencia </w:t>
      </w:r>
      <w:hyperlink w:anchor="SENTENCIA_2015_216" w:history="1">
        <w:r w:rsidRPr="00981775">
          <w:rPr>
            <w:rStyle w:val="TextoNormalCaracter"/>
          </w:rPr>
          <w:t>216/2015</w:t>
        </w:r>
      </w:hyperlink>
      <w:r>
        <w:t>, f. 1.</w:t>
      </w:r>
    </w:p>
    <w:p w:rsidR="00981775" w:rsidRDefault="00981775" w:rsidP="00981775">
      <w:pPr>
        <w:pStyle w:val="SangriaIzquierdaArticulo"/>
      </w:pPr>
      <w:r>
        <w:t xml:space="preserve">Auto </w:t>
      </w:r>
      <w:hyperlink w:anchor="AUTO_2015_186" w:history="1">
        <w:r w:rsidRPr="00981775">
          <w:rPr>
            <w:rStyle w:val="TextoNormalCaracter"/>
          </w:rPr>
          <w:t>186/2015</w:t>
        </w:r>
      </w:hyperlink>
      <w:r>
        <w:t>, f. 2.</w:t>
      </w:r>
    </w:p>
    <w:p w:rsidR="00981775" w:rsidRDefault="00981775" w:rsidP="00981775">
      <w:pPr>
        <w:pStyle w:val="SangriaFrancesaArticulo"/>
      </w:pPr>
      <w:r w:rsidRPr="00981775">
        <w:rPr>
          <w:rStyle w:val="TextoNormalNegritaCaracter"/>
        </w:rPr>
        <w:t>Artículo 87.2.</w:t>
      </w:r>
      <w:r w:rsidRPr="00981775">
        <w:rPr>
          <w:rStyle w:val="TextoNormalCaracter"/>
        </w:rPr>
        <w:t>-</w:t>
      </w:r>
      <w:r>
        <w:t xml:space="preserve"> Sentencia </w:t>
      </w:r>
      <w:hyperlink w:anchor="SENTENCIA_2015_259" w:history="1">
        <w:r w:rsidRPr="00981775">
          <w:rPr>
            <w:rStyle w:val="TextoNormalCaracter"/>
          </w:rPr>
          <w:t>259/2015</w:t>
        </w:r>
      </w:hyperlink>
      <w:r>
        <w:t>, f. 7.</w:t>
      </w:r>
    </w:p>
    <w:p w:rsidR="00981775" w:rsidRDefault="00981775" w:rsidP="00981775">
      <w:pPr>
        <w:pStyle w:val="SangriaIzquierdaArticulo"/>
      </w:pPr>
      <w:r>
        <w:t xml:space="preserve">Auto </w:t>
      </w:r>
      <w:hyperlink w:anchor="AUTO_2015_186" w:history="1">
        <w:r w:rsidRPr="00981775">
          <w:rPr>
            <w:rStyle w:val="TextoNormalCaracter"/>
          </w:rPr>
          <w:t>186/2015</w:t>
        </w:r>
      </w:hyperlink>
      <w:r>
        <w:t>, f. 2.</w:t>
      </w:r>
    </w:p>
    <w:p w:rsidR="00981775" w:rsidRDefault="00981775" w:rsidP="00981775">
      <w:pPr>
        <w:pStyle w:val="SangriaFrancesaArticulo"/>
      </w:pPr>
      <w:r w:rsidRPr="00981775">
        <w:rPr>
          <w:rStyle w:val="TextoNormalNegritaCaracter"/>
        </w:rPr>
        <w:t>Artículo 88.</w:t>
      </w:r>
      <w:r w:rsidRPr="00981775">
        <w:rPr>
          <w:rStyle w:val="TextoNormalCaracter"/>
        </w:rPr>
        <w:t>-</w:t>
      </w:r>
      <w:r>
        <w:t xml:space="preserve"> Sentencias </w:t>
      </w:r>
      <w:hyperlink w:anchor="SENTENCIA_2015_216" w:history="1">
        <w:r w:rsidRPr="00981775">
          <w:rPr>
            <w:rStyle w:val="TextoNormalCaracter"/>
          </w:rPr>
          <w:t>216/2015</w:t>
        </w:r>
      </w:hyperlink>
      <w:r>
        <w:t xml:space="preserve">, f. 1; </w:t>
      </w:r>
      <w:hyperlink w:anchor="SENTENCIA_2015_231" w:history="1">
        <w:r w:rsidRPr="00981775">
          <w:rPr>
            <w:rStyle w:val="TextoNormalCaracter"/>
          </w:rPr>
          <w:t>231/2015</w:t>
        </w:r>
      </w:hyperlink>
      <w:r>
        <w:t>, f. 7.</w:t>
      </w:r>
    </w:p>
    <w:p w:rsidR="00981775" w:rsidRDefault="00981775" w:rsidP="00981775">
      <w:pPr>
        <w:pStyle w:val="SangriaFrancesaArticulo"/>
      </w:pPr>
      <w:r w:rsidRPr="00981775">
        <w:rPr>
          <w:rStyle w:val="TextoNormalNegritaCaracter"/>
        </w:rPr>
        <w:t>Artículo 89.</w:t>
      </w:r>
      <w:r w:rsidRPr="00981775">
        <w:rPr>
          <w:rStyle w:val="TextoNormalCaracter"/>
        </w:rPr>
        <w:t>-</w:t>
      </w:r>
      <w:r>
        <w:t xml:space="preserve"> Sentencia </w:t>
      </w:r>
      <w:hyperlink w:anchor="SENTENCIA_2015_216" w:history="1">
        <w:r w:rsidRPr="00981775">
          <w:rPr>
            <w:rStyle w:val="TextoNormalCaracter"/>
          </w:rPr>
          <w:t>216/2015</w:t>
        </w:r>
      </w:hyperlink>
      <w:r>
        <w:t>, f. 1.</w:t>
      </w:r>
    </w:p>
    <w:p w:rsidR="00981775" w:rsidRDefault="00981775" w:rsidP="00981775">
      <w:pPr>
        <w:pStyle w:val="SangriaFrancesaArticulo"/>
      </w:pPr>
      <w:r w:rsidRPr="00981775">
        <w:rPr>
          <w:rStyle w:val="TextoNormalNegritaCaracter"/>
        </w:rPr>
        <w:t>Artículo 90.2.</w:t>
      </w:r>
      <w:r w:rsidRPr="00981775">
        <w:rPr>
          <w:rStyle w:val="TextoNormalCaracter"/>
        </w:rPr>
        <w:t>-</w:t>
      </w:r>
      <w:r>
        <w:t xml:space="preserve"> Sentencia </w:t>
      </w:r>
      <w:hyperlink w:anchor="SENTENCIA_2015_216" w:history="1">
        <w:r w:rsidRPr="00981775">
          <w:rPr>
            <w:rStyle w:val="TextoNormalCaracter"/>
          </w:rPr>
          <w:t>216/2015</w:t>
        </w:r>
      </w:hyperlink>
      <w:r>
        <w:t>, ff. 1, 6.</w:t>
      </w:r>
    </w:p>
    <w:p w:rsidR="00981775" w:rsidRDefault="00981775" w:rsidP="00981775">
      <w:pPr>
        <w:pStyle w:val="SangriaFrancesaArticulo"/>
      </w:pPr>
      <w:r w:rsidRPr="00981775">
        <w:rPr>
          <w:rStyle w:val="TextoNormalNegritaCaracter"/>
        </w:rPr>
        <w:t>Artículo 93.</w:t>
      </w:r>
      <w:r w:rsidRPr="00981775">
        <w:rPr>
          <w:rStyle w:val="TextoNormalCaracter"/>
        </w:rPr>
        <w:t>-</w:t>
      </w:r>
      <w:r>
        <w:t xml:space="preserve"> Sentencias </w:t>
      </w:r>
      <w:hyperlink w:anchor="SENTENCIA_2015_232" w:history="1">
        <w:r w:rsidRPr="00981775">
          <w:rPr>
            <w:rStyle w:val="TextoNormalCaracter"/>
          </w:rPr>
          <w:t>232/2015</w:t>
        </w:r>
      </w:hyperlink>
      <w:r>
        <w:t xml:space="preserve">, f. 4; </w:t>
      </w:r>
      <w:hyperlink w:anchor="SENTENCIA_2015_243" w:history="1">
        <w:r w:rsidRPr="00981775">
          <w:rPr>
            <w:rStyle w:val="TextoNormalCaracter"/>
          </w:rPr>
          <w:t>243/2015</w:t>
        </w:r>
      </w:hyperlink>
      <w:r>
        <w:t>, f. 3.</w:t>
      </w:r>
    </w:p>
    <w:p w:rsidR="00981775" w:rsidRDefault="00981775" w:rsidP="00981775">
      <w:pPr>
        <w:pStyle w:val="SangriaFrancesaArticulo"/>
      </w:pPr>
      <w:r w:rsidRPr="00981775">
        <w:rPr>
          <w:rStyle w:val="TextoNormalNegritaCaracter"/>
        </w:rPr>
        <w:t>Artículo 96.</w:t>
      </w:r>
      <w:r w:rsidRPr="00981775">
        <w:rPr>
          <w:rStyle w:val="TextoNormalCaracter"/>
        </w:rPr>
        <w:t>-</w:t>
      </w:r>
      <w:r>
        <w:t xml:space="preserve"> Sentencias </w:t>
      </w:r>
      <w:hyperlink w:anchor="SENTENCIA_2015_232" w:history="1">
        <w:r w:rsidRPr="00981775">
          <w:rPr>
            <w:rStyle w:val="TextoNormalCaracter"/>
          </w:rPr>
          <w:t>232/2015</w:t>
        </w:r>
      </w:hyperlink>
      <w:r>
        <w:t xml:space="preserve">, f. 4; </w:t>
      </w:r>
      <w:hyperlink w:anchor="SENTENCIA_2015_270" w:history="1">
        <w:r w:rsidRPr="00981775">
          <w:rPr>
            <w:rStyle w:val="TextoNormalCaracter"/>
          </w:rPr>
          <w:t>270/2015</w:t>
        </w:r>
      </w:hyperlink>
      <w:r>
        <w:t>, VP.</w:t>
      </w:r>
    </w:p>
    <w:p w:rsidR="00981775" w:rsidRDefault="00981775" w:rsidP="00981775">
      <w:pPr>
        <w:pStyle w:val="SangriaFrancesaArticulo"/>
      </w:pPr>
      <w:r w:rsidRPr="00981775">
        <w:rPr>
          <w:rStyle w:val="TextoNormalNegritaCaracter"/>
        </w:rPr>
        <w:t>Artículo 96.1.</w:t>
      </w:r>
      <w:r w:rsidRPr="00981775">
        <w:rPr>
          <w:rStyle w:val="TextoNormalCaracter"/>
        </w:rPr>
        <w:t>-</w:t>
      </w:r>
      <w:r>
        <w:t xml:space="preserve"> Sentencia </w:t>
      </w:r>
      <w:hyperlink w:anchor="SENTENCIA_2015_270" w:history="1">
        <w:r w:rsidRPr="00981775">
          <w:rPr>
            <w:rStyle w:val="TextoNormalCaracter"/>
          </w:rPr>
          <w:t>270/2015</w:t>
        </w:r>
      </w:hyperlink>
      <w:r>
        <w:t>, VP.</w:t>
      </w:r>
    </w:p>
    <w:p w:rsidR="00981775" w:rsidRDefault="00981775" w:rsidP="00981775">
      <w:pPr>
        <w:pStyle w:val="SangriaFrancesaArticulo"/>
      </w:pPr>
      <w:r w:rsidRPr="00981775">
        <w:rPr>
          <w:rStyle w:val="TextoNormalNegritaCaracter"/>
        </w:rPr>
        <w:t>Artículo 97.</w:t>
      </w:r>
      <w:r w:rsidRPr="00981775">
        <w:rPr>
          <w:rStyle w:val="TextoNormalCaracter"/>
        </w:rPr>
        <w:t>-</w:t>
      </w:r>
      <w:r>
        <w:t xml:space="preserve"> Sentencias </w:t>
      </w:r>
      <w:hyperlink w:anchor="SENTENCIA_2015_176" w:history="1">
        <w:r w:rsidRPr="00981775">
          <w:rPr>
            <w:rStyle w:val="TextoNormalCaracter"/>
          </w:rPr>
          <w:t>176/2015</w:t>
        </w:r>
      </w:hyperlink>
      <w:r>
        <w:t xml:space="preserve">, ff. 1, 3; </w:t>
      </w:r>
      <w:hyperlink w:anchor="SENTENCIA_2015_243" w:history="1">
        <w:r w:rsidRPr="00981775">
          <w:rPr>
            <w:rStyle w:val="TextoNormalCaracter"/>
          </w:rPr>
          <w:t>243/2015</w:t>
        </w:r>
      </w:hyperlink>
      <w:r>
        <w:t>, f. 3.</w:t>
      </w:r>
    </w:p>
    <w:p w:rsidR="00981775" w:rsidRDefault="00981775" w:rsidP="00981775">
      <w:pPr>
        <w:pStyle w:val="SangriaFrancesaArticulo"/>
      </w:pPr>
      <w:r w:rsidRPr="00981775">
        <w:rPr>
          <w:rStyle w:val="TextoNormalNegritaCaracter"/>
        </w:rPr>
        <w:t>Artículo 99.</w:t>
      </w:r>
      <w:r w:rsidRPr="00981775">
        <w:rPr>
          <w:rStyle w:val="TextoNormalCaracter"/>
        </w:rPr>
        <w:t>-</w:t>
      </w:r>
      <w:r>
        <w:t xml:space="preserve"> Sentencia </w:t>
      </w:r>
      <w:hyperlink w:anchor="SENTENCIA_2015_159" w:history="1">
        <w:r w:rsidRPr="00981775">
          <w:rPr>
            <w:rStyle w:val="TextoNormalCaracter"/>
          </w:rPr>
          <w:t>159/2015</w:t>
        </w:r>
      </w:hyperlink>
      <w:r>
        <w:t>, f. 5.</w:t>
      </w:r>
    </w:p>
    <w:p w:rsidR="00981775" w:rsidRDefault="00981775" w:rsidP="00981775">
      <w:pPr>
        <w:pStyle w:val="SangriaFrancesaArticulo"/>
      </w:pPr>
      <w:r w:rsidRPr="00981775">
        <w:rPr>
          <w:rStyle w:val="TextoNormalNegritaCaracter"/>
        </w:rPr>
        <w:t>Artículos 99 a 101.</w:t>
      </w:r>
      <w:r w:rsidRPr="00981775">
        <w:rPr>
          <w:rStyle w:val="TextoNormalCaracter"/>
        </w:rPr>
        <w:t>-</w:t>
      </w:r>
      <w:r>
        <w:t xml:space="preserve"> Sentencia </w:t>
      </w:r>
      <w:hyperlink w:anchor="SENTENCIA_2015_176" w:history="1">
        <w:r w:rsidRPr="00981775">
          <w:rPr>
            <w:rStyle w:val="TextoNormalCaracter"/>
          </w:rPr>
          <w:t>176/2015</w:t>
        </w:r>
      </w:hyperlink>
      <w:r>
        <w:t>, f. 3.</w:t>
      </w:r>
    </w:p>
    <w:p w:rsidR="00981775" w:rsidRDefault="00981775" w:rsidP="00981775">
      <w:pPr>
        <w:pStyle w:val="SangriaFrancesaArticulo"/>
      </w:pPr>
      <w:r w:rsidRPr="00981775">
        <w:rPr>
          <w:rStyle w:val="TextoNormalNegritaCaracter"/>
        </w:rPr>
        <w:t>Artículo 102.</w:t>
      </w:r>
      <w:r w:rsidRPr="00981775">
        <w:rPr>
          <w:rStyle w:val="TextoNormalCaracter"/>
        </w:rPr>
        <w:t>-</w:t>
      </w:r>
      <w:r>
        <w:t xml:space="preserve"> Sentencia </w:t>
      </w:r>
      <w:hyperlink w:anchor="SENTENCIA_2015_155" w:history="1">
        <w:r w:rsidRPr="00981775">
          <w:rPr>
            <w:rStyle w:val="TextoNormalCaracter"/>
          </w:rPr>
          <w:t>155/2015</w:t>
        </w:r>
      </w:hyperlink>
      <w:r>
        <w:t>, VP II.</w:t>
      </w:r>
    </w:p>
    <w:p w:rsidR="00981775" w:rsidRDefault="00981775" w:rsidP="00981775">
      <w:pPr>
        <w:pStyle w:val="SangriaFrancesaArticulo"/>
      </w:pPr>
      <w:r w:rsidRPr="00981775">
        <w:rPr>
          <w:rStyle w:val="TextoNormalNegritaCaracter"/>
        </w:rPr>
        <w:t>Artículo 103.</w:t>
      </w:r>
      <w:r w:rsidRPr="00981775">
        <w:rPr>
          <w:rStyle w:val="TextoNormalCaracter"/>
        </w:rPr>
        <w:t>-</w:t>
      </w:r>
      <w:r>
        <w:t xml:space="preserve"> Sentencias </w:t>
      </w:r>
      <w:hyperlink w:anchor="SENTENCIA_2015_187" w:history="1">
        <w:r w:rsidRPr="00981775">
          <w:rPr>
            <w:rStyle w:val="TextoNormalCaracter"/>
          </w:rPr>
          <w:t>187/2015</w:t>
        </w:r>
      </w:hyperlink>
      <w:r>
        <w:t xml:space="preserve">, f. 4; </w:t>
      </w:r>
      <w:hyperlink w:anchor="SENTENCIA_2015_236" w:history="1">
        <w:r w:rsidRPr="00981775">
          <w:rPr>
            <w:rStyle w:val="TextoNormalCaracter"/>
          </w:rPr>
          <w:t>236/2015</w:t>
        </w:r>
      </w:hyperlink>
      <w:r>
        <w:t xml:space="preserve">, f. 4, VP; </w:t>
      </w:r>
      <w:hyperlink w:anchor="SENTENCIA_2015_254" w:history="1">
        <w:r w:rsidRPr="00981775">
          <w:rPr>
            <w:rStyle w:val="TextoNormalCaracter"/>
          </w:rPr>
          <w:t>254/2015</w:t>
        </w:r>
      </w:hyperlink>
      <w:r>
        <w:t>, ff. 1, 2.</w:t>
      </w:r>
    </w:p>
    <w:p w:rsidR="00981775" w:rsidRDefault="00981775" w:rsidP="00981775">
      <w:pPr>
        <w:pStyle w:val="SangriaFrancesaArticulo"/>
      </w:pPr>
      <w:r w:rsidRPr="00981775">
        <w:rPr>
          <w:rStyle w:val="TextoNormalNegritaCaracter"/>
        </w:rPr>
        <w:t>Artículo 103.1.</w:t>
      </w:r>
      <w:r w:rsidRPr="00981775">
        <w:rPr>
          <w:rStyle w:val="TextoNormalCaracter"/>
        </w:rPr>
        <w:t>-</w:t>
      </w:r>
      <w:r>
        <w:t xml:space="preserve"> Sentencias </w:t>
      </w:r>
      <w:hyperlink w:anchor="SENTENCIA_2015_198" w:history="1">
        <w:r w:rsidRPr="00981775">
          <w:rPr>
            <w:rStyle w:val="TextoNormalCaracter"/>
          </w:rPr>
          <w:t>198/2015</w:t>
        </w:r>
      </w:hyperlink>
      <w:r>
        <w:t xml:space="preserve">, VP II; </w:t>
      </w:r>
      <w:hyperlink w:anchor="SENTENCIA_2015_233" w:history="1">
        <w:r w:rsidRPr="00981775">
          <w:rPr>
            <w:rStyle w:val="TextoNormalCaracter"/>
          </w:rPr>
          <w:t>233/2015</w:t>
        </w:r>
      </w:hyperlink>
      <w:r>
        <w:t xml:space="preserve">, f. 11; </w:t>
      </w:r>
      <w:hyperlink w:anchor="SENTENCIA_2015_236" w:history="1">
        <w:r w:rsidRPr="00981775">
          <w:rPr>
            <w:rStyle w:val="TextoNormalCaracter"/>
          </w:rPr>
          <w:t>236/2015</w:t>
        </w:r>
      </w:hyperlink>
      <w:r>
        <w:t>, ff. 1, 5, VP.</w:t>
      </w:r>
    </w:p>
    <w:p w:rsidR="00981775" w:rsidRDefault="00981775" w:rsidP="00981775">
      <w:pPr>
        <w:pStyle w:val="SangriaIzquierdaArticulo"/>
      </w:pPr>
      <w:r>
        <w:t xml:space="preserve">Auto </w:t>
      </w:r>
      <w:hyperlink w:anchor="AUTO_2015_188" w:history="1">
        <w:r w:rsidRPr="00981775">
          <w:rPr>
            <w:rStyle w:val="TextoNormalCaracter"/>
          </w:rPr>
          <w:t>188/2015</w:t>
        </w:r>
      </w:hyperlink>
      <w:r>
        <w:t>, f. 1.</w:t>
      </w:r>
    </w:p>
    <w:p w:rsidR="00981775" w:rsidRDefault="00981775" w:rsidP="00981775">
      <w:pPr>
        <w:pStyle w:val="SangriaFrancesaArticulo"/>
      </w:pPr>
      <w:r w:rsidRPr="00981775">
        <w:rPr>
          <w:rStyle w:val="TextoNormalNegritaCaracter"/>
        </w:rPr>
        <w:t>Artículo 103.2.</w:t>
      </w:r>
      <w:r w:rsidRPr="00981775">
        <w:rPr>
          <w:rStyle w:val="TextoNormalCaracter"/>
        </w:rPr>
        <w:t>-</w:t>
      </w:r>
      <w:r>
        <w:t xml:space="preserve"> Sentencia </w:t>
      </w:r>
      <w:hyperlink w:anchor="SENTENCIA_2015_176" w:history="1">
        <w:r w:rsidRPr="00981775">
          <w:rPr>
            <w:rStyle w:val="TextoNormalCaracter"/>
          </w:rPr>
          <w:t>176/2015</w:t>
        </w:r>
      </w:hyperlink>
      <w:r>
        <w:t>, f. 7.</w:t>
      </w:r>
    </w:p>
    <w:p w:rsidR="00981775" w:rsidRDefault="00981775" w:rsidP="00981775">
      <w:pPr>
        <w:pStyle w:val="SangriaFrancesaArticulo"/>
      </w:pPr>
      <w:r w:rsidRPr="00981775">
        <w:rPr>
          <w:rStyle w:val="TextoNormalNegritaCaracter"/>
        </w:rPr>
        <w:t>Artículo 103.3.</w:t>
      </w:r>
      <w:r w:rsidRPr="00981775">
        <w:rPr>
          <w:rStyle w:val="TextoNormalCaracter"/>
        </w:rPr>
        <w:t>-</w:t>
      </w:r>
      <w:r>
        <w:t xml:space="preserve"> Sentencias </w:t>
      </w:r>
      <w:hyperlink w:anchor="SENTENCIA_2015_156" w:history="1">
        <w:r w:rsidRPr="00981775">
          <w:rPr>
            <w:rStyle w:val="TextoNormalCaracter"/>
          </w:rPr>
          <w:t>156/2015</w:t>
        </w:r>
      </w:hyperlink>
      <w:r>
        <w:t xml:space="preserve">, f. 8; </w:t>
      </w:r>
      <w:hyperlink w:anchor="SENTENCIA_2015_157" w:history="1">
        <w:r w:rsidRPr="00981775">
          <w:rPr>
            <w:rStyle w:val="TextoNormalCaracter"/>
          </w:rPr>
          <w:t>157/2015</w:t>
        </w:r>
      </w:hyperlink>
      <w:r>
        <w:t xml:space="preserve">, ff. 1, 2; </w:t>
      </w:r>
      <w:hyperlink w:anchor="SENTENCIA_2015_176" w:history="1">
        <w:r w:rsidRPr="00981775">
          <w:rPr>
            <w:rStyle w:val="TextoNormalCaracter"/>
          </w:rPr>
          <w:t>176/2015</w:t>
        </w:r>
      </w:hyperlink>
      <w:r>
        <w:t xml:space="preserve">, ff. 1, 2, 5 a 8 VP; </w:t>
      </w:r>
      <w:hyperlink w:anchor="SENTENCIA_2015_236" w:history="1">
        <w:r w:rsidRPr="00981775">
          <w:rPr>
            <w:rStyle w:val="TextoNormalCaracter"/>
          </w:rPr>
          <w:t>236/2015</w:t>
        </w:r>
      </w:hyperlink>
      <w:r>
        <w:t xml:space="preserve">, ff. 1, 7, 9; </w:t>
      </w:r>
      <w:hyperlink w:anchor="SENTENCIA_2015_238" w:history="1">
        <w:r w:rsidRPr="00981775">
          <w:rPr>
            <w:rStyle w:val="TextoNormalCaracter"/>
          </w:rPr>
          <w:t>238/2015</w:t>
        </w:r>
      </w:hyperlink>
      <w:r>
        <w:t>, ff. 1, 3.</w:t>
      </w:r>
    </w:p>
    <w:p w:rsidR="00981775" w:rsidRDefault="00981775" w:rsidP="00981775">
      <w:pPr>
        <w:pStyle w:val="SangriaFrancesaArticulo"/>
      </w:pPr>
      <w:r w:rsidRPr="00981775">
        <w:rPr>
          <w:rStyle w:val="TextoNormalNegritaCaracter"/>
        </w:rPr>
        <w:t>Artículo 103.6.</w:t>
      </w:r>
      <w:r w:rsidRPr="00981775">
        <w:rPr>
          <w:rStyle w:val="TextoNormalCaracter"/>
        </w:rPr>
        <w:t>-</w:t>
      </w:r>
      <w:r>
        <w:t xml:space="preserve"> Sentencia </w:t>
      </w:r>
      <w:hyperlink w:anchor="SENTENCIA_2015_236" w:history="1">
        <w:r w:rsidRPr="00981775">
          <w:rPr>
            <w:rStyle w:val="TextoNormalCaracter"/>
          </w:rPr>
          <w:t>236/2015</w:t>
        </w:r>
      </w:hyperlink>
      <w:r>
        <w:t>, VP.</w:t>
      </w:r>
    </w:p>
    <w:p w:rsidR="00981775" w:rsidRDefault="00981775" w:rsidP="00981775">
      <w:pPr>
        <w:pStyle w:val="SangriaFrancesaArticulo"/>
      </w:pPr>
      <w:r w:rsidRPr="00981775">
        <w:rPr>
          <w:rStyle w:val="TextoNormalNegritaCaracter"/>
        </w:rPr>
        <w:t>Artículo 105 e).</w:t>
      </w:r>
      <w:r w:rsidRPr="00981775">
        <w:rPr>
          <w:rStyle w:val="TextoNormalCaracter"/>
        </w:rPr>
        <w:t>-</w:t>
      </w:r>
      <w:r>
        <w:t xml:space="preserve"> Sentencia </w:t>
      </w:r>
      <w:hyperlink w:anchor="SENTENCIA_2015_236" w:history="1">
        <w:r w:rsidRPr="00981775">
          <w:rPr>
            <w:rStyle w:val="TextoNormalCaracter"/>
          </w:rPr>
          <w:t>236/2015</w:t>
        </w:r>
      </w:hyperlink>
      <w:r>
        <w:t>, VP.</w:t>
      </w:r>
    </w:p>
    <w:p w:rsidR="00981775" w:rsidRDefault="00981775" w:rsidP="00981775">
      <w:pPr>
        <w:pStyle w:val="SangriaFrancesaArticulo"/>
      </w:pPr>
      <w:r w:rsidRPr="00981775">
        <w:rPr>
          <w:rStyle w:val="TextoNormalNegritaCaracter"/>
        </w:rPr>
        <w:t>Artículo 106.</w:t>
      </w:r>
      <w:r w:rsidRPr="00981775">
        <w:rPr>
          <w:rStyle w:val="TextoNormalCaracter"/>
        </w:rPr>
        <w:t>-</w:t>
      </w:r>
      <w:r>
        <w:t xml:space="preserve"> Sentencia </w:t>
      </w:r>
      <w:hyperlink w:anchor="SENTENCIA_2015_236" w:history="1">
        <w:r w:rsidRPr="00981775">
          <w:rPr>
            <w:rStyle w:val="TextoNormalCaracter"/>
          </w:rPr>
          <w:t>236/2015</w:t>
        </w:r>
      </w:hyperlink>
      <w:r>
        <w:t>, VP.</w:t>
      </w:r>
    </w:p>
    <w:p w:rsidR="00981775" w:rsidRDefault="00981775" w:rsidP="00981775">
      <w:pPr>
        <w:pStyle w:val="SangriaFrancesaArticulo"/>
      </w:pPr>
      <w:r w:rsidRPr="00981775">
        <w:rPr>
          <w:rStyle w:val="TextoNormalNegritaCaracter"/>
        </w:rPr>
        <w:t>Artículo 106.1.</w:t>
      </w:r>
      <w:r w:rsidRPr="00981775">
        <w:rPr>
          <w:rStyle w:val="TextoNormalCaracter"/>
        </w:rPr>
        <w:t>-</w:t>
      </w:r>
      <w:r>
        <w:t xml:space="preserve"> Sentencia </w:t>
      </w:r>
      <w:hyperlink w:anchor="SENTENCIA_2015_233" w:history="1">
        <w:r w:rsidRPr="00981775">
          <w:rPr>
            <w:rStyle w:val="TextoNormalCaracter"/>
          </w:rPr>
          <w:t>233/2015</w:t>
        </w:r>
      </w:hyperlink>
      <w:r>
        <w:t>, f. 14.</w:t>
      </w:r>
    </w:p>
    <w:p w:rsidR="00981775" w:rsidRDefault="00981775" w:rsidP="00981775">
      <w:pPr>
        <w:pStyle w:val="SangriaFrancesaArticulo"/>
      </w:pPr>
      <w:r w:rsidRPr="00981775">
        <w:rPr>
          <w:rStyle w:val="TextoNormalNegritaCaracter"/>
        </w:rPr>
        <w:t>Artículo 106.2.</w:t>
      </w:r>
      <w:r w:rsidRPr="00981775">
        <w:rPr>
          <w:rStyle w:val="TextoNormalCaracter"/>
        </w:rPr>
        <w:t>-</w:t>
      </w:r>
      <w:r>
        <w:t xml:space="preserve"> Auto </w:t>
      </w:r>
      <w:hyperlink w:anchor="AUTO_2015_121" w:history="1">
        <w:r w:rsidRPr="00981775">
          <w:rPr>
            <w:rStyle w:val="TextoNormalCaracter"/>
          </w:rPr>
          <w:t>121/2015</w:t>
        </w:r>
      </w:hyperlink>
      <w:r>
        <w:t>, ff. 1, 3, 4.</w:t>
      </w:r>
    </w:p>
    <w:p w:rsidR="00981775" w:rsidRDefault="00981775" w:rsidP="00981775">
      <w:pPr>
        <w:pStyle w:val="SangriaFrancesaArticulo"/>
      </w:pPr>
      <w:r w:rsidRPr="00981775">
        <w:rPr>
          <w:rStyle w:val="TextoNormalNegritaCaracter"/>
        </w:rPr>
        <w:t>Artículo 108.</w:t>
      </w:r>
      <w:r w:rsidRPr="00981775">
        <w:rPr>
          <w:rStyle w:val="TextoNormalCaracter"/>
        </w:rPr>
        <w:t>-</w:t>
      </w:r>
      <w:r>
        <w:t xml:space="preserve"> Sentencia </w:t>
      </w:r>
      <w:hyperlink w:anchor="SENTENCIA_2015_176" w:history="1">
        <w:r w:rsidRPr="00981775">
          <w:rPr>
            <w:rStyle w:val="TextoNormalCaracter"/>
          </w:rPr>
          <w:t>176/2015</w:t>
        </w:r>
      </w:hyperlink>
      <w:r>
        <w:t>, f. 3.</w:t>
      </w:r>
    </w:p>
    <w:p w:rsidR="00981775" w:rsidRDefault="00981775" w:rsidP="00981775">
      <w:pPr>
        <w:pStyle w:val="SangriaFrancesaArticulo"/>
      </w:pPr>
      <w:r w:rsidRPr="00981775">
        <w:rPr>
          <w:rStyle w:val="TextoNormalNegritaCaracter"/>
        </w:rPr>
        <w:t>Artículo 117.</w:t>
      </w:r>
      <w:r w:rsidRPr="00981775">
        <w:rPr>
          <w:rStyle w:val="TextoNormalCaracter"/>
        </w:rPr>
        <w:t>-</w:t>
      </w:r>
      <w:r>
        <w:t xml:space="preserve"> Sentencias </w:t>
      </w:r>
      <w:hyperlink w:anchor="SENTENCIA_2015_187" w:history="1">
        <w:r w:rsidRPr="00981775">
          <w:rPr>
            <w:rStyle w:val="TextoNormalCaracter"/>
          </w:rPr>
          <w:t>187/2015</w:t>
        </w:r>
      </w:hyperlink>
      <w:r>
        <w:t xml:space="preserve">, f. 4; </w:t>
      </w:r>
      <w:hyperlink w:anchor="SENTENCIA_2015_208" w:history="1">
        <w:r w:rsidRPr="00981775">
          <w:rPr>
            <w:rStyle w:val="TextoNormalCaracter"/>
          </w:rPr>
          <w:t>208/2015</w:t>
        </w:r>
      </w:hyperlink>
      <w:r>
        <w:t xml:space="preserve">, f. 5; </w:t>
      </w:r>
      <w:hyperlink w:anchor="SENTENCIA_2015_233" w:history="1">
        <w:r w:rsidRPr="00981775">
          <w:rPr>
            <w:rStyle w:val="TextoNormalCaracter"/>
          </w:rPr>
          <w:t>233/2015</w:t>
        </w:r>
      </w:hyperlink>
      <w:r>
        <w:t xml:space="preserve">, f. 15; </w:t>
      </w:r>
      <w:hyperlink w:anchor="SENTENCIA_2015_261" w:history="1">
        <w:r w:rsidRPr="00981775">
          <w:rPr>
            <w:rStyle w:val="TextoNormalCaracter"/>
          </w:rPr>
          <w:t>261/2015</w:t>
        </w:r>
      </w:hyperlink>
      <w:r>
        <w:t xml:space="preserve">, f. 5; </w:t>
      </w:r>
      <w:hyperlink w:anchor="SENTENCIA_2015_269" w:history="1">
        <w:r w:rsidRPr="00981775">
          <w:rPr>
            <w:rStyle w:val="TextoNormalCaracter"/>
          </w:rPr>
          <w:t>269/2015</w:t>
        </w:r>
      </w:hyperlink>
      <w:r>
        <w:t>, ff. 1, 2.</w:t>
      </w:r>
    </w:p>
    <w:p w:rsidR="00981775" w:rsidRDefault="00981775" w:rsidP="00981775">
      <w:pPr>
        <w:pStyle w:val="SangriaFrancesaArticulo"/>
      </w:pPr>
      <w:r w:rsidRPr="00981775">
        <w:rPr>
          <w:rStyle w:val="TextoNormalNegritaCaracter"/>
        </w:rPr>
        <w:t>Artículo 117.1.</w:t>
      </w:r>
      <w:r w:rsidRPr="00981775">
        <w:rPr>
          <w:rStyle w:val="TextoNormalCaracter"/>
        </w:rPr>
        <w:t>-</w:t>
      </w:r>
      <w:r>
        <w:t xml:space="preserve"> Sentencias </w:t>
      </w:r>
      <w:hyperlink w:anchor="SENTENCIA_2015_159" w:history="1">
        <w:r w:rsidRPr="00981775">
          <w:rPr>
            <w:rStyle w:val="TextoNormalCaracter"/>
          </w:rPr>
          <w:t>159/2015</w:t>
        </w:r>
      </w:hyperlink>
      <w:r>
        <w:t xml:space="preserve">, f. 5; </w:t>
      </w:r>
      <w:hyperlink w:anchor="SENTENCIA_2015_195" w:history="1">
        <w:r w:rsidRPr="00981775">
          <w:rPr>
            <w:rStyle w:val="TextoNormalCaracter"/>
          </w:rPr>
          <w:t>195/2015</w:t>
        </w:r>
      </w:hyperlink>
      <w:r>
        <w:t>, f. 7.</w:t>
      </w:r>
    </w:p>
    <w:p w:rsidR="00981775" w:rsidRDefault="00981775" w:rsidP="00981775">
      <w:pPr>
        <w:pStyle w:val="SangriaFrancesaArticulo"/>
      </w:pPr>
      <w:r w:rsidRPr="00981775">
        <w:rPr>
          <w:rStyle w:val="TextoNormalNegritaCaracter"/>
        </w:rPr>
        <w:t>Artículo 117.3.</w:t>
      </w:r>
      <w:r w:rsidRPr="00981775">
        <w:rPr>
          <w:rStyle w:val="TextoNormalCaracter"/>
        </w:rPr>
        <w:t>-</w:t>
      </w:r>
      <w:r>
        <w:t xml:space="preserve"> Sentencias </w:t>
      </w:r>
      <w:hyperlink w:anchor="SENTENCIA_2015_148" w:history="1">
        <w:r w:rsidRPr="00981775">
          <w:rPr>
            <w:rStyle w:val="TextoNormalCaracter"/>
          </w:rPr>
          <w:t>148/2015</w:t>
        </w:r>
      </w:hyperlink>
      <w:r>
        <w:t xml:space="preserve">, f. 3; </w:t>
      </w:r>
      <w:hyperlink w:anchor="SENTENCIA_2015_149" w:history="1">
        <w:r w:rsidRPr="00981775">
          <w:rPr>
            <w:rStyle w:val="TextoNormalCaracter"/>
          </w:rPr>
          <w:t>149/2015</w:t>
        </w:r>
      </w:hyperlink>
      <w:r>
        <w:t xml:space="preserve">, f. 3; </w:t>
      </w:r>
      <w:hyperlink w:anchor="SENTENCIA_2015_150" w:history="1">
        <w:r w:rsidRPr="00981775">
          <w:rPr>
            <w:rStyle w:val="TextoNormalCaracter"/>
          </w:rPr>
          <w:t>150/2015</w:t>
        </w:r>
      </w:hyperlink>
      <w:r>
        <w:t xml:space="preserve">, f. 2; </w:t>
      </w:r>
      <w:hyperlink w:anchor="SENTENCIA_2015_169" w:history="1">
        <w:r w:rsidRPr="00981775">
          <w:rPr>
            <w:rStyle w:val="TextoNormalCaracter"/>
          </w:rPr>
          <w:t>169/2015</w:t>
        </w:r>
      </w:hyperlink>
      <w:r>
        <w:t xml:space="preserve">, f. 4; </w:t>
      </w:r>
      <w:hyperlink w:anchor="SENTENCIA_2015_186" w:history="1">
        <w:r w:rsidRPr="00981775">
          <w:rPr>
            <w:rStyle w:val="TextoNormalCaracter"/>
          </w:rPr>
          <w:t>186/2015</w:t>
        </w:r>
      </w:hyperlink>
      <w:r>
        <w:t xml:space="preserve">, f. 6; </w:t>
      </w:r>
      <w:hyperlink w:anchor="SENTENCIA_2015_194" w:history="1">
        <w:r w:rsidRPr="00981775">
          <w:rPr>
            <w:rStyle w:val="TextoNormalCaracter"/>
          </w:rPr>
          <w:t>194/2015</w:t>
        </w:r>
      </w:hyperlink>
      <w:r>
        <w:t xml:space="preserve">, f. 6; </w:t>
      </w:r>
      <w:hyperlink w:anchor="SENTENCIA_2015_195" w:history="1">
        <w:r w:rsidRPr="00981775">
          <w:rPr>
            <w:rStyle w:val="TextoNormalCaracter"/>
          </w:rPr>
          <w:t>195/2015</w:t>
        </w:r>
      </w:hyperlink>
      <w:r>
        <w:t xml:space="preserve">, ff. 2, 6, 7; </w:t>
      </w:r>
      <w:hyperlink w:anchor="SENTENCIA_2015_222" w:history="1">
        <w:r w:rsidRPr="00981775">
          <w:rPr>
            <w:rStyle w:val="TextoNormalCaracter"/>
          </w:rPr>
          <w:t>222/2015</w:t>
        </w:r>
      </w:hyperlink>
      <w:r>
        <w:t xml:space="preserve">, f. 2; </w:t>
      </w:r>
      <w:hyperlink w:anchor="SENTENCIA_2015_231" w:history="1">
        <w:r w:rsidRPr="00981775">
          <w:rPr>
            <w:rStyle w:val="TextoNormalCaracter"/>
          </w:rPr>
          <w:t>231/2015</w:t>
        </w:r>
      </w:hyperlink>
      <w:r>
        <w:t xml:space="preserve">, ff. 1, 8, 9, 11, 12; </w:t>
      </w:r>
      <w:hyperlink w:anchor="SENTENCIA_2015_233" w:history="1">
        <w:r w:rsidRPr="00981775">
          <w:rPr>
            <w:rStyle w:val="TextoNormalCaracter"/>
          </w:rPr>
          <w:t>233/2015</w:t>
        </w:r>
      </w:hyperlink>
      <w:r>
        <w:t xml:space="preserve">, ff. 13, 15; </w:t>
      </w:r>
      <w:hyperlink w:anchor="SENTENCIA_2015_239" w:history="1">
        <w:r w:rsidRPr="00981775">
          <w:rPr>
            <w:rStyle w:val="TextoNormalCaracter"/>
          </w:rPr>
          <w:t>239/2015</w:t>
        </w:r>
      </w:hyperlink>
      <w:r>
        <w:t xml:space="preserve">, f. 2; </w:t>
      </w:r>
      <w:hyperlink w:anchor="SENTENCIA_2015_240" w:history="1">
        <w:r w:rsidRPr="00981775">
          <w:rPr>
            <w:rStyle w:val="TextoNormalCaracter"/>
          </w:rPr>
          <w:t>240/2015</w:t>
        </w:r>
      </w:hyperlink>
      <w:r>
        <w:t xml:space="preserve">, f. 2; </w:t>
      </w:r>
      <w:hyperlink w:anchor="SENTENCIA_2015_254" w:history="1">
        <w:r w:rsidRPr="00981775">
          <w:rPr>
            <w:rStyle w:val="TextoNormalCaracter"/>
          </w:rPr>
          <w:t>254/2015</w:t>
        </w:r>
      </w:hyperlink>
      <w:r>
        <w:t xml:space="preserve">, ff. 1 a 3; </w:t>
      </w:r>
      <w:hyperlink w:anchor="SENTENCIA_2015_261" w:history="1">
        <w:r w:rsidRPr="00981775">
          <w:rPr>
            <w:rStyle w:val="TextoNormalCaracter"/>
          </w:rPr>
          <w:t>261/2015</w:t>
        </w:r>
      </w:hyperlink>
      <w:r>
        <w:t xml:space="preserve">, f. 5; </w:t>
      </w:r>
      <w:hyperlink w:anchor="SENTENCIA_2015_263" w:history="1">
        <w:r w:rsidRPr="00981775">
          <w:rPr>
            <w:rStyle w:val="TextoNormalCaracter"/>
          </w:rPr>
          <w:t>263/2015</w:t>
        </w:r>
      </w:hyperlink>
      <w:r>
        <w:t>, f. 2.</w:t>
      </w:r>
    </w:p>
    <w:p w:rsidR="00981775" w:rsidRDefault="00981775" w:rsidP="00981775">
      <w:pPr>
        <w:pStyle w:val="SangriaIzquierdaArticulo"/>
      </w:pPr>
      <w:r>
        <w:t xml:space="preserve">Autos </w:t>
      </w:r>
      <w:hyperlink w:anchor="AUTO_2015_117" w:history="1">
        <w:r w:rsidRPr="00981775">
          <w:rPr>
            <w:rStyle w:val="TextoNormalCaracter"/>
          </w:rPr>
          <w:t>117/2015</w:t>
        </w:r>
      </w:hyperlink>
      <w:r>
        <w:t xml:space="preserve">, f. 1; </w:t>
      </w:r>
      <w:hyperlink w:anchor="AUTO_2015_127" w:history="1">
        <w:r w:rsidRPr="00981775">
          <w:rPr>
            <w:rStyle w:val="TextoNormalCaracter"/>
          </w:rPr>
          <w:t>127/2015</w:t>
        </w:r>
      </w:hyperlink>
      <w:r>
        <w:t xml:space="preserve">, f. 1; </w:t>
      </w:r>
      <w:hyperlink w:anchor="AUTO_2015_178" w:history="1">
        <w:r w:rsidRPr="00981775">
          <w:rPr>
            <w:rStyle w:val="TextoNormalCaracter"/>
          </w:rPr>
          <w:t>178/2015</w:t>
        </w:r>
      </w:hyperlink>
      <w:r>
        <w:t xml:space="preserve">, f. 2; </w:t>
      </w:r>
      <w:hyperlink w:anchor="AUTO_2015_179" w:history="1">
        <w:r w:rsidRPr="00981775">
          <w:rPr>
            <w:rStyle w:val="TextoNormalCaracter"/>
          </w:rPr>
          <w:t>179/2015</w:t>
        </w:r>
      </w:hyperlink>
      <w:r>
        <w:t xml:space="preserve">, f. 2; </w:t>
      </w:r>
      <w:hyperlink w:anchor="AUTO_2015_207" w:history="1">
        <w:r w:rsidRPr="00981775">
          <w:rPr>
            <w:rStyle w:val="TextoNormalCaracter"/>
          </w:rPr>
          <w:t>207/2015</w:t>
        </w:r>
      </w:hyperlink>
      <w:r>
        <w:t xml:space="preserve">, f. 2; </w:t>
      </w:r>
      <w:hyperlink w:anchor="AUTO_2015_208" w:history="1">
        <w:r w:rsidRPr="00981775">
          <w:rPr>
            <w:rStyle w:val="TextoNormalCaracter"/>
          </w:rPr>
          <w:t>208/2015</w:t>
        </w:r>
      </w:hyperlink>
      <w:r>
        <w:t xml:space="preserve">, f. 2; </w:t>
      </w:r>
      <w:hyperlink w:anchor="AUTO_2015_209" w:history="1">
        <w:r w:rsidRPr="00981775">
          <w:rPr>
            <w:rStyle w:val="TextoNormalCaracter"/>
          </w:rPr>
          <w:t>209/2015</w:t>
        </w:r>
      </w:hyperlink>
      <w:r>
        <w:t xml:space="preserve">, f. 2; </w:t>
      </w:r>
      <w:hyperlink w:anchor="AUTO_2015_210" w:history="1">
        <w:r w:rsidRPr="00981775">
          <w:rPr>
            <w:rStyle w:val="TextoNormalCaracter"/>
          </w:rPr>
          <w:t>210/2015</w:t>
        </w:r>
      </w:hyperlink>
      <w:r>
        <w:t xml:space="preserve">, f. 2; </w:t>
      </w:r>
      <w:hyperlink w:anchor="AUTO_2015_211" w:history="1">
        <w:r w:rsidRPr="00981775">
          <w:rPr>
            <w:rStyle w:val="TextoNormalCaracter"/>
          </w:rPr>
          <w:t>211/2015</w:t>
        </w:r>
      </w:hyperlink>
      <w:r>
        <w:t xml:space="preserve">, f. único; </w:t>
      </w:r>
      <w:hyperlink w:anchor="AUTO_2015_212" w:history="1">
        <w:r w:rsidRPr="00981775">
          <w:rPr>
            <w:rStyle w:val="TextoNormalCaracter"/>
          </w:rPr>
          <w:t>212/2015</w:t>
        </w:r>
      </w:hyperlink>
      <w:r>
        <w:t xml:space="preserve">, f. 2; </w:t>
      </w:r>
      <w:hyperlink w:anchor="AUTO_2015_213" w:history="1">
        <w:r w:rsidRPr="00981775">
          <w:rPr>
            <w:rStyle w:val="TextoNormalCaracter"/>
          </w:rPr>
          <w:t>213/2015</w:t>
        </w:r>
      </w:hyperlink>
      <w:r>
        <w:t xml:space="preserve">, f. 2; </w:t>
      </w:r>
      <w:hyperlink w:anchor="AUTO_2015_214" w:history="1">
        <w:r w:rsidRPr="00981775">
          <w:rPr>
            <w:rStyle w:val="TextoNormalCaracter"/>
          </w:rPr>
          <w:t>214/2015</w:t>
        </w:r>
      </w:hyperlink>
      <w:r>
        <w:t xml:space="preserve">, f. único; </w:t>
      </w:r>
      <w:hyperlink w:anchor="AUTO_2015_215" w:history="1">
        <w:r w:rsidRPr="00981775">
          <w:rPr>
            <w:rStyle w:val="TextoNormalCaracter"/>
          </w:rPr>
          <w:t>215/2015</w:t>
        </w:r>
      </w:hyperlink>
      <w:r>
        <w:t xml:space="preserve">, f. único; </w:t>
      </w:r>
      <w:hyperlink w:anchor="AUTO_2015_216" w:history="1">
        <w:r w:rsidRPr="00981775">
          <w:rPr>
            <w:rStyle w:val="TextoNormalCaracter"/>
          </w:rPr>
          <w:t>216/2015</w:t>
        </w:r>
      </w:hyperlink>
      <w:r>
        <w:t xml:space="preserve">, f. único; </w:t>
      </w:r>
      <w:hyperlink w:anchor="AUTO_2015_217" w:history="1">
        <w:r w:rsidRPr="00981775">
          <w:rPr>
            <w:rStyle w:val="TextoNormalCaracter"/>
          </w:rPr>
          <w:t>217/2015</w:t>
        </w:r>
      </w:hyperlink>
      <w:r>
        <w:t xml:space="preserve">, f. único; </w:t>
      </w:r>
      <w:hyperlink w:anchor="AUTO_2015_218" w:history="1">
        <w:r w:rsidRPr="00981775">
          <w:rPr>
            <w:rStyle w:val="TextoNormalCaracter"/>
          </w:rPr>
          <w:t>218/2015</w:t>
        </w:r>
      </w:hyperlink>
      <w:r>
        <w:t xml:space="preserve">, f. único; </w:t>
      </w:r>
      <w:hyperlink w:anchor="AUTO_2015_219" w:history="1">
        <w:r w:rsidRPr="00981775">
          <w:rPr>
            <w:rStyle w:val="TextoNormalCaracter"/>
          </w:rPr>
          <w:t>219/2015</w:t>
        </w:r>
      </w:hyperlink>
      <w:r>
        <w:t xml:space="preserve">, f. único; </w:t>
      </w:r>
      <w:hyperlink w:anchor="AUTO_2015_220" w:history="1">
        <w:r w:rsidRPr="00981775">
          <w:rPr>
            <w:rStyle w:val="TextoNormalCaracter"/>
          </w:rPr>
          <w:t>220/2015</w:t>
        </w:r>
      </w:hyperlink>
      <w:r>
        <w:t xml:space="preserve">, f. único; </w:t>
      </w:r>
      <w:hyperlink w:anchor="AUTO_2015_221" w:history="1">
        <w:r w:rsidRPr="00981775">
          <w:rPr>
            <w:rStyle w:val="TextoNormalCaracter"/>
          </w:rPr>
          <w:t>221/2015</w:t>
        </w:r>
      </w:hyperlink>
      <w:r>
        <w:t xml:space="preserve">, f. único; </w:t>
      </w:r>
      <w:hyperlink w:anchor="AUTO_2015_222" w:history="1">
        <w:r w:rsidRPr="00981775">
          <w:rPr>
            <w:rStyle w:val="TextoNormalCaracter"/>
          </w:rPr>
          <w:t>222/2015</w:t>
        </w:r>
      </w:hyperlink>
      <w:r>
        <w:t>, f. único.</w:t>
      </w:r>
    </w:p>
    <w:p w:rsidR="00981775" w:rsidRDefault="00981775" w:rsidP="00981775">
      <w:pPr>
        <w:pStyle w:val="SangriaFrancesaArticulo"/>
      </w:pPr>
      <w:r w:rsidRPr="00981775">
        <w:rPr>
          <w:rStyle w:val="TextoNormalNegritaCaracter"/>
        </w:rPr>
        <w:t>Artículo 118.</w:t>
      </w:r>
      <w:r w:rsidRPr="00981775">
        <w:rPr>
          <w:rStyle w:val="TextoNormalCaracter"/>
        </w:rPr>
        <w:t>-</w:t>
      </w:r>
      <w:r>
        <w:t xml:space="preserve"> Sentencia </w:t>
      </w:r>
      <w:hyperlink w:anchor="SENTENCIA_2015_233" w:history="1">
        <w:r w:rsidRPr="00981775">
          <w:rPr>
            <w:rStyle w:val="TextoNormalCaracter"/>
          </w:rPr>
          <w:t>233/2015</w:t>
        </w:r>
      </w:hyperlink>
      <w:r>
        <w:t>, f. 15.</w:t>
      </w:r>
    </w:p>
    <w:p w:rsidR="00981775" w:rsidRDefault="00981775" w:rsidP="00981775">
      <w:pPr>
        <w:pStyle w:val="SangriaFrancesaArticulo"/>
      </w:pPr>
      <w:r w:rsidRPr="00981775">
        <w:rPr>
          <w:rStyle w:val="TextoNormalNegritaCaracter"/>
        </w:rPr>
        <w:t>Artículo 120.</w:t>
      </w:r>
      <w:r w:rsidRPr="00981775">
        <w:rPr>
          <w:rStyle w:val="TextoNormalCaracter"/>
        </w:rPr>
        <w:t>-</w:t>
      </w:r>
      <w:r>
        <w:t xml:space="preserve"> Sentencias </w:t>
      </w:r>
      <w:hyperlink w:anchor="SENTENCIA_2015_222" w:history="1">
        <w:r w:rsidRPr="00981775">
          <w:rPr>
            <w:rStyle w:val="TextoNormalCaracter"/>
          </w:rPr>
          <w:t>222/2015</w:t>
        </w:r>
      </w:hyperlink>
      <w:r>
        <w:t xml:space="preserve">, f. 2; </w:t>
      </w:r>
      <w:hyperlink w:anchor="SENTENCIA_2015_239" w:history="1">
        <w:r w:rsidRPr="00981775">
          <w:rPr>
            <w:rStyle w:val="TextoNormalCaracter"/>
          </w:rPr>
          <w:t>239/2015</w:t>
        </w:r>
      </w:hyperlink>
      <w:r>
        <w:t xml:space="preserve">, f. 2; </w:t>
      </w:r>
      <w:hyperlink w:anchor="SENTENCIA_2015_240" w:history="1">
        <w:r w:rsidRPr="00981775">
          <w:rPr>
            <w:rStyle w:val="TextoNormalCaracter"/>
          </w:rPr>
          <w:t>240/2015</w:t>
        </w:r>
      </w:hyperlink>
      <w:r>
        <w:t xml:space="preserve">, f. 2; </w:t>
      </w:r>
      <w:hyperlink w:anchor="SENTENCIA_2015_262" w:history="1">
        <w:r w:rsidRPr="00981775">
          <w:rPr>
            <w:rStyle w:val="TextoNormalCaracter"/>
          </w:rPr>
          <w:t>262/2015</w:t>
        </w:r>
      </w:hyperlink>
      <w:r>
        <w:t xml:space="preserve">, f. 2; </w:t>
      </w:r>
      <w:hyperlink w:anchor="SENTENCIA_2015_263" w:history="1">
        <w:r w:rsidRPr="00981775">
          <w:rPr>
            <w:rStyle w:val="TextoNormalCaracter"/>
          </w:rPr>
          <w:t>263/2015</w:t>
        </w:r>
      </w:hyperlink>
      <w:r>
        <w:t>, f. 2.</w:t>
      </w:r>
    </w:p>
    <w:p w:rsidR="00981775" w:rsidRDefault="00981775" w:rsidP="00981775">
      <w:pPr>
        <w:pStyle w:val="SangriaFrancesaArticulo"/>
      </w:pPr>
      <w:r w:rsidRPr="00981775">
        <w:rPr>
          <w:rStyle w:val="TextoNormalNegritaCaracter"/>
        </w:rPr>
        <w:t>Artículo 120.3.</w:t>
      </w:r>
      <w:r w:rsidRPr="00981775">
        <w:rPr>
          <w:rStyle w:val="TextoNormalCaracter"/>
        </w:rPr>
        <w:t>-</w:t>
      </w:r>
      <w:r>
        <w:t xml:space="preserve"> Sentencias </w:t>
      </w:r>
      <w:hyperlink w:anchor="SENTENCIA_2015_239" w:history="1">
        <w:r w:rsidRPr="00981775">
          <w:rPr>
            <w:rStyle w:val="TextoNormalCaracter"/>
          </w:rPr>
          <w:t>239/2015</w:t>
        </w:r>
      </w:hyperlink>
      <w:r>
        <w:t xml:space="preserve">, f. 3; </w:t>
      </w:r>
      <w:hyperlink w:anchor="SENTENCIA_2015_240" w:history="1">
        <w:r w:rsidRPr="00981775">
          <w:rPr>
            <w:rStyle w:val="TextoNormalCaracter"/>
          </w:rPr>
          <w:t>240/2015</w:t>
        </w:r>
      </w:hyperlink>
      <w:r>
        <w:t xml:space="preserve">, f. 3; </w:t>
      </w:r>
      <w:hyperlink w:anchor="SENTENCIA_2015_262" w:history="1">
        <w:r w:rsidRPr="00981775">
          <w:rPr>
            <w:rStyle w:val="TextoNormalCaracter"/>
          </w:rPr>
          <w:t>262/2015</w:t>
        </w:r>
      </w:hyperlink>
      <w:r>
        <w:t xml:space="preserve">, f. 3; </w:t>
      </w:r>
      <w:hyperlink w:anchor="SENTENCIA_2015_263" w:history="1">
        <w:r w:rsidRPr="00981775">
          <w:rPr>
            <w:rStyle w:val="TextoNormalCaracter"/>
          </w:rPr>
          <w:t>263/2015</w:t>
        </w:r>
      </w:hyperlink>
      <w:r>
        <w:t>.</w:t>
      </w:r>
    </w:p>
    <w:p w:rsidR="00981775" w:rsidRDefault="00981775" w:rsidP="00981775">
      <w:pPr>
        <w:pStyle w:val="SangriaFrancesaArticulo"/>
      </w:pPr>
      <w:r w:rsidRPr="00981775">
        <w:rPr>
          <w:rStyle w:val="TextoNormalNegritaCaracter"/>
        </w:rPr>
        <w:t>Artículo 123.</w:t>
      </w:r>
      <w:r w:rsidRPr="00981775">
        <w:rPr>
          <w:rStyle w:val="TextoNormalCaracter"/>
        </w:rPr>
        <w:t>-</w:t>
      </w:r>
      <w:r>
        <w:t xml:space="preserve"> Sentencias </w:t>
      </w:r>
      <w:hyperlink w:anchor="SENTENCIA_2015_179" w:history="1">
        <w:r w:rsidRPr="00981775">
          <w:rPr>
            <w:rStyle w:val="TextoNormalCaracter"/>
          </w:rPr>
          <w:t>179/2015</w:t>
        </w:r>
      </w:hyperlink>
      <w:r>
        <w:t xml:space="preserve">, f. 2; </w:t>
      </w:r>
      <w:hyperlink w:anchor="SENTENCIA_2015_208" w:history="1">
        <w:r w:rsidRPr="00981775">
          <w:rPr>
            <w:rStyle w:val="TextoNormalCaracter"/>
          </w:rPr>
          <w:t>208/2015</w:t>
        </w:r>
      </w:hyperlink>
      <w:r>
        <w:t xml:space="preserve">, f. 5; </w:t>
      </w:r>
      <w:hyperlink w:anchor="SENTENCIA_2015_233" w:history="1">
        <w:r w:rsidRPr="00981775">
          <w:rPr>
            <w:rStyle w:val="TextoNormalCaracter"/>
          </w:rPr>
          <w:t>233/2015</w:t>
        </w:r>
      </w:hyperlink>
      <w:r>
        <w:t>, f. 15.</w:t>
      </w:r>
    </w:p>
    <w:p w:rsidR="00981775" w:rsidRDefault="00981775" w:rsidP="00981775">
      <w:pPr>
        <w:pStyle w:val="SangriaFrancesaArticulo"/>
      </w:pPr>
      <w:r w:rsidRPr="00981775">
        <w:rPr>
          <w:rStyle w:val="TextoNormalNegritaCaracter"/>
        </w:rPr>
        <w:t>Artículo 124.1.</w:t>
      </w:r>
      <w:r w:rsidRPr="00981775">
        <w:rPr>
          <w:rStyle w:val="TextoNormalCaracter"/>
        </w:rPr>
        <w:t>-</w:t>
      </w:r>
      <w:r>
        <w:t xml:space="preserve"> Sentencia </w:t>
      </w:r>
      <w:hyperlink w:anchor="SENTENCIA_2015_182" w:history="1">
        <w:r w:rsidRPr="00981775">
          <w:rPr>
            <w:rStyle w:val="TextoNormalCaracter"/>
          </w:rPr>
          <w:t>182/2015</w:t>
        </w:r>
      </w:hyperlink>
      <w:r>
        <w:t>, f. 2.</w:t>
      </w:r>
    </w:p>
    <w:p w:rsidR="00981775" w:rsidRDefault="00981775" w:rsidP="00981775">
      <w:pPr>
        <w:pStyle w:val="SangriaFrancesaArticulo"/>
      </w:pPr>
      <w:r w:rsidRPr="00981775">
        <w:rPr>
          <w:rStyle w:val="TextoNormalNegritaCaracter"/>
        </w:rPr>
        <w:t>Artículo 128.</w:t>
      </w:r>
      <w:r w:rsidRPr="00981775">
        <w:rPr>
          <w:rStyle w:val="TextoNormalCaracter"/>
        </w:rPr>
        <w:t>-</w:t>
      </w:r>
      <w:r>
        <w:t xml:space="preserve"> Sentencias </w:t>
      </w:r>
      <w:hyperlink w:anchor="SENTENCIA_2015_233" w:history="1">
        <w:r w:rsidRPr="00981775">
          <w:rPr>
            <w:rStyle w:val="TextoNormalCaracter"/>
          </w:rPr>
          <w:t>233/2015</w:t>
        </w:r>
      </w:hyperlink>
      <w:r>
        <w:t xml:space="preserve">, f. 2; </w:t>
      </w:r>
      <w:hyperlink w:anchor="SENTENCIA_2015_260" w:history="1">
        <w:r w:rsidRPr="00981775">
          <w:rPr>
            <w:rStyle w:val="TextoNormalCaracter"/>
          </w:rPr>
          <w:t>260/2015</w:t>
        </w:r>
      </w:hyperlink>
      <w:r>
        <w:t>, ff. 1, 2.</w:t>
      </w:r>
    </w:p>
    <w:p w:rsidR="00981775" w:rsidRDefault="00981775" w:rsidP="00981775">
      <w:pPr>
        <w:pStyle w:val="SangriaFrancesaArticulo"/>
      </w:pPr>
      <w:r w:rsidRPr="00981775">
        <w:rPr>
          <w:rStyle w:val="TextoNormalNegritaCaracter"/>
        </w:rPr>
        <w:t>Artículo 128.1.</w:t>
      </w:r>
      <w:r w:rsidRPr="00981775">
        <w:rPr>
          <w:rStyle w:val="TextoNormalCaracter"/>
        </w:rPr>
        <w:t>-</w:t>
      </w:r>
      <w:r>
        <w:t xml:space="preserve"> Sentencias </w:t>
      </w:r>
      <w:hyperlink w:anchor="SENTENCIA_2015_154" w:history="1">
        <w:r w:rsidRPr="00981775">
          <w:rPr>
            <w:rStyle w:val="TextoNormalCaracter"/>
          </w:rPr>
          <w:t>154/2015</w:t>
        </w:r>
      </w:hyperlink>
      <w:r>
        <w:t xml:space="preserve">, f. 4; </w:t>
      </w:r>
      <w:hyperlink w:anchor="SENTENCIA_2015_235" w:history="1">
        <w:r w:rsidRPr="00981775">
          <w:rPr>
            <w:rStyle w:val="TextoNormalCaracter"/>
          </w:rPr>
          <w:t>235/2015</w:t>
        </w:r>
      </w:hyperlink>
      <w:r>
        <w:t>, ff. 1, 3.</w:t>
      </w:r>
    </w:p>
    <w:p w:rsidR="00981775" w:rsidRDefault="00981775" w:rsidP="00981775">
      <w:pPr>
        <w:pStyle w:val="SangriaFrancesaArticulo"/>
      </w:pPr>
      <w:r w:rsidRPr="00981775">
        <w:rPr>
          <w:rStyle w:val="TextoNormalNegritaCaracter"/>
        </w:rPr>
        <w:t>Artículo 130.</w:t>
      </w:r>
      <w:r w:rsidRPr="00981775">
        <w:rPr>
          <w:rStyle w:val="TextoNormalCaracter"/>
        </w:rPr>
        <w:t>-</w:t>
      </w:r>
      <w:r>
        <w:t xml:space="preserve"> Sentencia </w:t>
      </w:r>
      <w:hyperlink w:anchor="SENTENCIA_2015_260" w:history="1">
        <w:r w:rsidRPr="00981775">
          <w:rPr>
            <w:rStyle w:val="TextoNormalCaracter"/>
          </w:rPr>
          <w:t>260/2015</w:t>
        </w:r>
      </w:hyperlink>
      <w:r>
        <w:t>, ff. 1, 2.</w:t>
      </w:r>
    </w:p>
    <w:p w:rsidR="00981775" w:rsidRDefault="00981775" w:rsidP="00981775">
      <w:pPr>
        <w:pStyle w:val="SangriaFrancesaArticulo"/>
      </w:pPr>
      <w:r w:rsidRPr="00981775">
        <w:rPr>
          <w:rStyle w:val="TextoNormalNegritaCaracter"/>
        </w:rPr>
        <w:t>Artículo 131.1.</w:t>
      </w:r>
      <w:r w:rsidRPr="00981775">
        <w:rPr>
          <w:rStyle w:val="TextoNormalCaracter"/>
        </w:rPr>
        <w:t>-</w:t>
      </w:r>
      <w:r>
        <w:t xml:space="preserve"> Auto </w:t>
      </w:r>
      <w:hyperlink w:anchor="AUTO_2015_183" w:history="1">
        <w:r w:rsidRPr="00981775">
          <w:rPr>
            <w:rStyle w:val="TextoNormalCaracter"/>
          </w:rPr>
          <w:t>183/2015</w:t>
        </w:r>
      </w:hyperlink>
      <w:r>
        <w:t>, f. 3.</w:t>
      </w:r>
    </w:p>
    <w:p w:rsidR="00981775" w:rsidRDefault="00981775" w:rsidP="00981775">
      <w:pPr>
        <w:pStyle w:val="SangriaFrancesaArticulo"/>
      </w:pPr>
      <w:r w:rsidRPr="00981775">
        <w:rPr>
          <w:rStyle w:val="TextoNormalNegritaCaracter"/>
        </w:rPr>
        <w:t>Artículo 131.2.</w:t>
      </w:r>
      <w:r w:rsidRPr="00981775">
        <w:rPr>
          <w:rStyle w:val="TextoNormalCaracter"/>
        </w:rPr>
        <w:t>-</w:t>
      </w:r>
      <w:r>
        <w:t xml:space="preserve"> Auto </w:t>
      </w:r>
      <w:hyperlink w:anchor="AUTO_2015_183" w:history="1">
        <w:r w:rsidRPr="00981775">
          <w:rPr>
            <w:rStyle w:val="TextoNormalCaracter"/>
          </w:rPr>
          <w:t>183/2015</w:t>
        </w:r>
      </w:hyperlink>
      <w:r>
        <w:t>, f. 3.</w:t>
      </w:r>
    </w:p>
    <w:p w:rsidR="00981775" w:rsidRDefault="00981775" w:rsidP="00981775">
      <w:pPr>
        <w:pStyle w:val="SangriaFrancesaArticulo"/>
      </w:pPr>
      <w:r w:rsidRPr="00981775">
        <w:rPr>
          <w:rStyle w:val="TextoNormalNegritaCaracter"/>
        </w:rPr>
        <w:t>Artículo 132.</w:t>
      </w:r>
      <w:r w:rsidRPr="00981775">
        <w:rPr>
          <w:rStyle w:val="TextoNormalCaracter"/>
        </w:rPr>
        <w:t>-</w:t>
      </w:r>
      <w:r>
        <w:t xml:space="preserve"> Sentencias </w:t>
      </w:r>
      <w:hyperlink w:anchor="SENTENCIA_2015_233" w:history="1">
        <w:r w:rsidRPr="00981775">
          <w:rPr>
            <w:rStyle w:val="TextoNormalCaracter"/>
          </w:rPr>
          <w:t>233/2015</w:t>
        </w:r>
      </w:hyperlink>
      <w:r>
        <w:t xml:space="preserve">, ff. 2, 5, 7, 9, 15; </w:t>
      </w:r>
      <w:hyperlink w:anchor="SENTENCIA_2015_260" w:history="1">
        <w:r w:rsidRPr="00981775">
          <w:rPr>
            <w:rStyle w:val="TextoNormalCaracter"/>
          </w:rPr>
          <w:t>260/2015</w:t>
        </w:r>
      </w:hyperlink>
      <w:r>
        <w:t>, ff. 1, 2.</w:t>
      </w:r>
    </w:p>
    <w:p w:rsidR="00981775" w:rsidRDefault="00981775" w:rsidP="00981775">
      <w:pPr>
        <w:pStyle w:val="SangriaFrancesaArticulo"/>
      </w:pPr>
      <w:r w:rsidRPr="00981775">
        <w:rPr>
          <w:rStyle w:val="TextoNormalNegritaCaracter"/>
        </w:rPr>
        <w:t>Artículo 132.1.</w:t>
      </w:r>
      <w:r w:rsidRPr="00981775">
        <w:rPr>
          <w:rStyle w:val="TextoNormalCaracter"/>
        </w:rPr>
        <w:t>-</w:t>
      </w:r>
      <w:r>
        <w:t xml:space="preserve"> Sentencia </w:t>
      </w:r>
      <w:hyperlink w:anchor="SENTENCIA_2015_233" w:history="1">
        <w:r w:rsidRPr="00981775">
          <w:rPr>
            <w:rStyle w:val="TextoNormalCaracter"/>
          </w:rPr>
          <w:t>233/2015</w:t>
        </w:r>
      </w:hyperlink>
      <w:r>
        <w:t>, ff. 4, 5, 10, 14.</w:t>
      </w:r>
    </w:p>
    <w:p w:rsidR="00981775" w:rsidRDefault="00981775" w:rsidP="00981775">
      <w:pPr>
        <w:pStyle w:val="SangriaFrancesaArticulo"/>
      </w:pPr>
      <w:r w:rsidRPr="00981775">
        <w:rPr>
          <w:rStyle w:val="TextoNormalNegritaCaracter"/>
        </w:rPr>
        <w:t>Artículo 132.2.</w:t>
      </w:r>
      <w:r w:rsidRPr="00981775">
        <w:rPr>
          <w:rStyle w:val="TextoNormalCaracter"/>
        </w:rPr>
        <w:t>-</w:t>
      </w:r>
      <w:r>
        <w:t xml:space="preserve"> Sentencia </w:t>
      </w:r>
      <w:hyperlink w:anchor="SENTENCIA_2015_233" w:history="1">
        <w:r w:rsidRPr="00981775">
          <w:rPr>
            <w:rStyle w:val="TextoNormalCaracter"/>
          </w:rPr>
          <w:t>233/2015</w:t>
        </w:r>
      </w:hyperlink>
      <w:r>
        <w:t>, ff. 2, 3, 6, 7, 9, 12, 14.</w:t>
      </w:r>
    </w:p>
    <w:p w:rsidR="00981775" w:rsidRDefault="00981775" w:rsidP="00981775">
      <w:pPr>
        <w:pStyle w:val="SangriaFrancesaArticulo"/>
      </w:pPr>
      <w:r w:rsidRPr="00981775">
        <w:rPr>
          <w:rStyle w:val="TextoNormalNegritaCaracter"/>
        </w:rPr>
        <w:t>Artículo 132.3.</w:t>
      </w:r>
      <w:r w:rsidRPr="00981775">
        <w:rPr>
          <w:rStyle w:val="TextoNormalCaracter"/>
        </w:rPr>
        <w:t>-</w:t>
      </w:r>
      <w:r>
        <w:t xml:space="preserve"> Sentencia </w:t>
      </w:r>
      <w:hyperlink w:anchor="SENTENCIA_2015_233" w:history="1">
        <w:r w:rsidRPr="00981775">
          <w:rPr>
            <w:rStyle w:val="TextoNormalCaracter"/>
          </w:rPr>
          <w:t>233/2015</w:t>
        </w:r>
      </w:hyperlink>
      <w:r>
        <w:t>, f. 15.</w:t>
      </w:r>
    </w:p>
    <w:p w:rsidR="00981775" w:rsidRDefault="00981775" w:rsidP="00981775">
      <w:pPr>
        <w:pStyle w:val="SangriaFrancesaArticulo"/>
      </w:pPr>
      <w:r w:rsidRPr="00981775">
        <w:rPr>
          <w:rStyle w:val="TextoNormalNegritaCaracter"/>
        </w:rPr>
        <w:t>Artículo 133.</w:t>
      </w:r>
      <w:r w:rsidRPr="00981775">
        <w:rPr>
          <w:rStyle w:val="TextoNormalCaracter"/>
        </w:rPr>
        <w:t>-</w:t>
      </w:r>
      <w:r>
        <w:t xml:space="preserve"> Sentencia </w:t>
      </w:r>
      <w:hyperlink w:anchor="SENTENCIA_2015_202" w:history="1">
        <w:r w:rsidRPr="00981775">
          <w:rPr>
            <w:rStyle w:val="TextoNormalCaracter"/>
          </w:rPr>
          <w:t>202/2015</w:t>
        </w:r>
      </w:hyperlink>
      <w:r>
        <w:t>, f. 1.</w:t>
      </w:r>
    </w:p>
    <w:p w:rsidR="00981775" w:rsidRDefault="00981775" w:rsidP="00981775">
      <w:pPr>
        <w:pStyle w:val="SangriaFrancesaArticulo"/>
      </w:pPr>
      <w:r w:rsidRPr="00981775">
        <w:rPr>
          <w:rStyle w:val="TextoNormalNegritaCaracter"/>
        </w:rPr>
        <w:t>Artículo 133.1.</w:t>
      </w:r>
      <w:r w:rsidRPr="00981775">
        <w:rPr>
          <w:rStyle w:val="TextoNormalCaracter"/>
        </w:rPr>
        <w:t>-</w:t>
      </w:r>
      <w:r>
        <w:t xml:space="preserve"> Auto </w:t>
      </w:r>
      <w:hyperlink w:anchor="AUTO_2015_183" w:history="1">
        <w:r w:rsidRPr="00981775">
          <w:rPr>
            <w:rStyle w:val="TextoNormalCaracter"/>
          </w:rPr>
          <w:t>183/2015</w:t>
        </w:r>
      </w:hyperlink>
      <w:r>
        <w:t>, f. 3.</w:t>
      </w:r>
    </w:p>
    <w:p w:rsidR="00981775" w:rsidRDefault="00981775" w:rsidP="00981775">
      <w:pPr>
        <w:pStyle w:val="SangriaFrancesaArticulo"/>
      </w:pPr>
      <w:r w:rsidRPr="00981775">
        <w:rPr>
          <w:rStyle w:val="TextoNormalNegritaCaracter"/>
        </w:rPr>
        <w:t>Artículo 133.2.</w:t>
      </w:r>
      <w:r w:rsidRPr="00981775">
        <w:rPr>
          <w:rStyle w:val="TextoNormalCaracter"/>
        </w:rPr>
        <w:t>-</w:t>
      </w:r>
      <w:r>
        <w:t xml:space="preserve"> Sentencia </w:t>
      </w:r>
      <w:hyperlink w:anchor="SENTENCIA_2015_202" w:history="1">
        <w:r w:rsidRPr="00981775">
          <w:rPr>
            <w:rStyle w:val="TextoNormalCaracter"/>
          </w:rPr>
          <w:t>202/2015</w:t>
        </w:r>
      </w:hyperlink>
      <w:r>
        <w:t>, f. 3.</w:t>
      </w:r>
    </w:p>
    <w:p w:rsidR="00981775" w:rsidRDefault="00981775" w:rsidP="00981775">
      <w:pPr>
        <w:pStyle w:val="SangriaIzquierdaArticulo"/>
      </w:pPr>
      <w:r>
        <w:t xml:space="preserve">Auto </w:t>
      </w:r>
      <w:hyperlink w:anchor="AUTO_2015_183" w:history="1">
        <w:r w:rsidRPr="00981775">
          <w:rPr>
            <w:rStyle w:val="TextoNormalCaracter"/>
          </w:rPr>
          <w:t>183/2015</w:t>
        </w:r>
      </w:hyperlink>
      <w:r>
        <w:t>, f. 3.</w:t>
      </w:r>
    </w:p>
    <w:p w:rsidR="00981775" w:rsidRDefault="00981775" w:rsidP="00981775">
      <w:pPr>
        <w:pStyle w:val="SangriaFrancesaArticulo"/>
      </w:pPr>
      <w:r w:rsidRPr="00981775">
        <w:rPr>
          <w:rStyle w:val="TextoNormalNegritaCaracter"/>
        </w:rPr>
        <w:t>Artículo 134.2.</w:t>
      </w:r>
      <w:r w:rsidRPr="00981775">
        <w:rPr>
          <w:rStyle w:val="TextoNormalCaracter"/>
        </w:rPr>
        <w:t>-</w:t>
      </w:r>
      <w:r>
        <w:t xml:space="preserve"> Sentencias </w:t>
      </w:r>
      <w:hyperlink w:anchor="SENTENCIA_2015_234" w:history="1">
        <w:r w:rsidRPr="00981775">
          <w:rPr>
            <w:rStyle w:val="TextoNormalCaracter"/>
          </w:rPr>
          <w:t>234/2015</w:t>
        </w:r>
      </w:hyperlink>
      <w:r>
        <w:t xml:space="preserve">, f. 1; </w:t>
      </w:r>
      <w:hyperlink w:anchor="SENTENCIA_2015_246" w:history="1">
        <w:r w:rsidRPr="00981775">
          <w:rPr>
            <w:rStyle w:val="TextoNormalCaracter"/>
          </w:rPr>
          <w:t>246/2015</w:t>
        </w:r>
      </w:hyperlink>
      <w:r>
        <w:t xml:space="preserve">, f. 1; </w:t>
      </w:r>
      <w:hyperlink w:anchor="SENTENCIA_2015_247" w:history="1">
        <w:r w:rsidRPr="00981775">
          <w:rPr>
            <w:rStyle w:val="TextoNormalCaracter"/>
          </w:rPr>
          <w:t>247/2015</w:t>
        </w:r>
      </w:hyperlink>
      <w:r>
        <w:t xml:space="preserve">, f. 1; </w:t>
      </w:r>
      <w:hyperlink w:anchor="SENTENCIA_2015_248" w:history="1">
        <w:r w:rsidRPr="00981775">
          <w:rPr>
            <w:rStyle w:val="TextoNormalCaracter"/>
          </w:rPr>
          <w:t>248/2015</w:t>
        </w:r>
      </w:hyperlink>
      <w:r>
        <w:t xml:space="preserve">, f. 1; </w:t>
      </w:r>
      <w:hyperlink w:anchor="SENTENCIA_2015_249" w:history="1">
        <w:r w:rsidRPr="00981775">
          <w:rPr>
            <w:rStyle w:val="TextoNormalCaracter"/>
          </w:rPr>
          <w:t>249/2015</w:t>
        </w:r>
      </w:hyperlink>
      <w:r>
        <w:t xml:space="preserve">, f. 1; </w:t>
      </w:r>
      <w:hyperlink w:anchor="SENTENCIA_2015_250" w:history="1">
        <w:r w:rsidRPr="00981775">
          <w:rPr>
            <w:rStyle w:val="TextoNormalCaracter"/>
          </w:rPr>
          <w:t>250/2015</w:t>
        </w:r>
      </w:hyperlink>
      <w:r>
        <w:t xml:space="preserve">, f. 1; </w:t>
      </w:r>
      <w:hyperlink w:anchor="SENTENCIA_2015_251" w:history="1">
        <w:r w:rsidRPr="00981775">
          <w:rPr>
            <w:rStyle w:val="TextoNormalCaracter"/>
          </w:rPr>
          <w:t>251/2015</w:t>
        </w:r>
      </w:hyperlink>
      <w:r>
        <w:t xml:space="preserve">, f. 1; </w:t>
      </w:r>
      <w:hyperlink w:anchor="SENTENCIA_2015_252" w:history="1">
        <w:r w:rsidRPr="00981775">
          <w:rPr>
            <w:rStyle w:val="TextoNormalCaracter"/>
          </w:rPr>
          <w:t>252/2015</w:t>
        </w:r>
      </w:hyperlink>
      <w:r>
        <w:t xml:space="preserve">, f. 1; </w:t>
      </w:r>
      <w:hyperlink w:anchor="SENTENCIA_2015_253" w:history="1">
        <w:r w:rsidRPr="00981775">
          <w:rPr>
            <w:rStyle w:val="TextoNormalCaracter"/>
          </w:rPr>
          <w:t>253/2015</w:t>
        </w:r>
      </w:hyperlink>
      <w:r>
        <w:t xml:space="preserve">, f. 1; </w:t>
      </w:r>
      <w:hyperlink w:anchor="SENTENCIA_2015_255" w:history="1">
        <w:r w:rsidRPr="00981775">
          <w:rPr>
            <w:rStyle w:val="TextoNormalCaracter"/>
          </w:rPr>
          <w:t>255/2015</w:t>
        </w:r>
      </w:hyperlink>
      <w:r>
        <w:t xml:space="preserve">, f. 1; </w:t>
      </w:r>
      <w:hyperlink w:anchor="SENTENCIA_2015_256" w:history="1">
        <w:r w:rsidRPr="00981775">
          <w:rPr>
            <w:rStyle w:val="TextoNormalCaracter"/>
          </w:rPr>
          <w:t>256/2015</w:t>
        </w:r>
      </w:hyperlink>
      <w:r>
        <w:t xml:space="preserve">, f. 1; </w:t>
      </w:r>
      <w:hyperlink w:anchor="SENTENCIA_2015_257" w:history="1">
        <w:r w:rsidRPr="00981775">
          <w:rPr>
            <w:rStyle w:val="TextoNormalCaracter"/>
          </w:rPr>
          <w:t>257/2015</w:t>
        </w:r>
      </w:hyperlink>
      <w:r>
        <w:t xml:space="preserve">, f. 1; </w:t>
      </w:r>
      <w:hyperlink w:anchor="SENTENCIA_2015_258" w:history="1">
        <w:r w:rsidRPr="00981775">
          <w:rPr>
            <w:rStyle w:val="TextoNormalCaracter"/>
          </w:rPr>
          <w:t>258/2015</w:t>
        </w:r>
      </w:hyperlink>
      <w:r>
        <w:t>, f. 1.</w:t>
      </w:r>
    </w:p>
    <w:p w:rsidR="00981775" w:rsidRDefault="00981775" w:rsidP="00981775">
      <w:pPr>
        <w:pStyle w:val="SangriaFrancesaArticulo"/>
      </w:pPr>
      <w:r w:rsidRPr="00981775">
        <w:rPr>
          <w:rStyle w:val="TextoNormalNegritaCaracter"/>
        </w:rPr>
        <w:t>Artículo 134.4.</w:t>
      </w:r>
      <w:r w:rsidRPr="00981775">
        <w:rPr>
          <w:rStyle w:val="TextoNormalCaracter"/>
        </w:rPr>
        <w:t>-</w:t>
      </w:r>
      <w:r>
        <w:t xml:space="preserve"> Sentencia </w:t>
      </w:r>
      <w:hyperlink w:anchor="SENTENCIA_2015_215" w:history="1">
        <w:r w:rsidRPr="00981775">
          <w:rPr>
            <w:rStyle w:val="TextoNormalCaracter"/>
          </w:rPr>
          <w:t>215/2015</w:t>
        </w:r>
      </w:hyperlink>
      <w:r>
        <w:t>, f. 2.</w:t>
      </w:r>
    </w:p>
    <w:p w:rsidR="00981775" w:rsidRDefault="00981775" w:rsidP="00981775">
      <w:pPr>
        <w:pStyle w:val="SangriaFrancesaArticulo"/>
      </w:pPr>
      <w:r w:rsidRPr="00981775">
        <w:rPr>
          <w:rStyle w:val="TextoNormalNegritaCaracter"/>
        </w:rPr>
        <w:t>Artículo 137.</w:t>
      </w:r>
      <w:r w:rsidRPr="00981775">
        <w:rPr>
          <w:rStyle w:val="TextoNormalCaracter"/>
        </w:rPr>
        <w:t>-</w:t>
      </w:r>
      <w:r>
        <w:t xml:space="preserve"> Sentencias </w:t>
      </w:r>
      <w:hyperlink w:anchor="SENTENCIA_2015_154" w:history="1">
        <w:r w:rsidRPr="00981775">
          <w:rPr>
            <w:rStyle w:val="TextoNormalCaracter"/>
          </w:rPr>
          <w:t>154/2015</w:t>
        </w:r>
      </w:hyperlink>
      <w:r>
        <w:t xml:space="preserve">, ff. 1, 6, 7; </w:t>
      </w:r>
      <w:hyperlink w:anchor="SENTENCIA_2015_200" w:history="1">
        <w:r w:rsidRPr="00981775">
          <w:rPr>
            <w:rStyle w:val="TextoNormalCaracter"/>
          </w:rPr>
          <w:t>200/2015</w:t>
        </w:r>
      </w:hyperlink>
      <w:r>
        <w:t>, ff. 1, 3.</w:t>
      </w:r>
    </w:p>
    <w:p w:rsidR="00981775" w:rsidRDefault="00981775" w:rsidP="00981775">
      <w:pPr>
        <w:pStyle w:val="SangriaIzquierdaArticulo"/>
      </w:pPr>
      <w:r>
        <w:t xml:space="preserve">Autos </w:t>
      </w:r>
      <w:hyperlink w:anchor="AUTO_2015_184" w:history="1">
        <w:r w:rsidRPr="00981775">
          <w:rPr>
            <w:rStyle w:val="TextoNormalCaracter"/>
          </w:rPr>
          <w:t>184/2015</w:t>
        </w:r>
      </w:hyperlink>
      <w:r>
        <w:t xml:space="preserve">, ff. 1 a 3; </w:t>
      </w:r>
      <w:hyperlink w:anchor="AUTO_2015_193" w:history="1">
        <w:r w:rsidRPr="00981775">
          <w:rPr>
            <w:rStyle w:val="TextoNormalCaracter"/>
          </w:rPr>
          <w:t>193/2015</w:t>
        </w:r>
      </w:hyperlink>
      <w:r>
        <w:t xml:space="preserve">, ff. 1 a 3; </w:t>
      </w:r>
      <w:hyperlink w:anchor="AUTO_2015_194" w:history="1">
        <w:r w:rsidRPr="00981775">
          <w:rPr>
            <w:rStyle w:val="TextoNormalCaracter"/>
          </w:rPr>
          <w:t>194/2015</w:t>
        </w:r>
      </w:hyperlink>
      <w:r>
        <w:t>, ff. 1 a 3.</w:t>
      </w:r>
    </w:p>
    <w:p w:rsidR="00981775" w:rsidRDefault="00981775" w:rsidP="00981775">
      <w:pPr>
        <w:pStyle w:val="SangriaFrancesaArticulo"/>
      </w:pPr>
      <w:r w:rsidRPr="00981775">
        <w:rPr>
          <w:rStyle w:val="TextoNormalNegritaCaracter"/>
        </w:rPr>
        <w:t>Artículo 138.</w:t>
      </w:r>
      <w:r w:rsidRPr="00981775">
        <w:rPr>
          <w:rStyle w:val="TextoNormalCaracter"/>
        </w:rPr>
        <w:t>-</w:t>
      </w:r>
      <w:r>
        <w:t xml:space="preserve"> Sentencia </w:t>
      </w:r>
      <w:hyperlink w:anchor="SENTENCIA_2015_215" w:history="1">
        <w:r w:rsidRPr="00981775">
          <w:rPr>
            <w:rStyle w:val="TextoNormalCaracter"/>
          </w:rPr>
          <w:t>215/2015</w:t>
        </w:r>
      </w:hyperlink>
      <w:r>
        <w:t>, f. 7.</w:t>
      </w:r>
    </w:p>
    <w:p w:rsidR="00981775" w:rsidRDefault="00981775" w:rsidP="00981775">
      <w:pPr>
        <w:pStyle w:val="SangriaFrancesaArticulo"/>
      </w:pPr>
      <w:r w:rsidRPr="00981775">
        <w:rPr>
          <w:rStyle w:val="TextoNormalNegritaCaracter"/>
        </w:rPr>
        <w:t>Artículo 140.</w:t>
      </w:r>
      <w:r w:rsidRPr="00981775">
        <w:rPr>
          <w:rStyle w:val="TextoNormalCaracter"/>
        </w:rPr>
        <w:t>-</w:t>
      </w:r>
      <w:r>
        <w:t xml:space="preserve"> Sentencias </w:t>
      </w:r>
      <w:hyperlink w:anchor="SENTENCIA_2015_154" w:history="1">
        <w:r w:rsidRPr="00981775">
          <w:rPr>
            <w:rStyle w:val="TextoNormalCaracter"/>
          </w:rPr>
          <w:t>154/2015</w:t>
        </w:r>
      </w:hyperlink>
      <w:r>
        <w:t xml:space="preserve">, ff. 1, 6, 7; </w:t>
      </w:r>
      <w:hyperlink w:anchor="SENTENCIA_2015_200" w:history="1">
        <w:r w:rsidRPr="00981775">
          <w:rPr>
            <w:rStyle w:val="TextoNormalCaracter"/>
          </w:rPr>
          <w:t>200/2015</w:t>
        </w:r>
      </w:hyperlink>
      <w:r>
        <w:t>, ff. 1, 3.</w:t>
      </w:r>
    </w:p>
    <w:p w:rsidR="00981775" w:rsidRDefault="00981775" w:rsidP="00981775">
      <w:pPr>
        <w:pStyle w:val="SangriaIzquierdaArticulo"/>
      </w:pPr>
      <w:r>
        <w:t xml:space="preserve">Autos </w:t>
      </w:r>
      <w:hyperlink w:anchor="AUTO_2015_184" w:history="1">
        <w:r w:rsidRPr="00981775">
          <w:rPr>
            <w:rStyle w:val="TextoNormalCaracter"/>
          </w:rPr>
          <w:t>184/2015</w:t>
        </w:r>
      </w:hyperlink>
      <w:r>
        <w:t xml:space="preserve">, ff. 1 a 3; </w:t>
      </w:r>
      <w:hyperlink w:anchor="AUTO_2015_193" w:history="1">
        <w:r w:rsidRPr="00981775">
          <w:rPr>
            <w:rStyle w:val="TextoNormalCaracter"/>
          </w:rPr>
          <w:t>193/2015</w:t>
        </w:r>
      </w:hyperlink>
      <w:r>
        <w:t xml:space="preserve">, ff. 1 a 3; </w:t>
      </w:r>
      <w:hyperlink w:anchor="AUTO_2015_194" w:history="1">
        <w:r w:rsidRPr="00981775">
          <w:rPr>
            <w:rStyle w:val="TextoNormalCaracter"/>
          </w:rPr>
          <w:t>194/2015</w:t>
        </w:r>
      </w:hyperlink>
      <w:r>
        <w:t>, ff. 1 a 3.</w:t>
      </w:r>
    </w:p>
    <w:p w:rsidR="00981775" w:rsidRDefault="00981775" w:rsidP="00981775">
      <w:pPr>
        <w:pStyle w:val="SangriaFrancesaArticulo"/>
      </w:pPr>
      <w:r w:rsidRPr="00981775">
        <w:rPr>
          <w:rStyle w:val="TextoNormalNegritaCaracter"/>
        </w:rPr>
        <w:t>Artículo 141.</w:t>
      </w:r>
      <w:r w:rsidRPr="00981775">
        <w:rPr>
          <w:rStyle w:val="TextoNormalCaracter"/>
        </w:rPr>
        <w:t>-</w:t>
      </w:r>
      <w:r>
        <w:t xml:space="preserve"> Sentencia </w:t>
      </w:r>
      <w:hyperlink w:anchor="SENTENCIA_2015_154" w:history="1">
        <w:r w:rsidRPr="00981775">
          <w:rPr>
            <w:rStyle w:val="TextoNormalCaracter"/>
          </w:rPr>
          <w:t>154/2015</w:t>
        </w:r>
      </w:hyperlink>
      <w:r>
        <w:t>, f. 1.</w:t>
      </w:r>
    </w:p>
    <w:p w:rsidR="00981775" w:rsidRDefault="00981775" w:rsidP="00981775">
      <w:pPr>
        <w:pStyle w:val="SangriaFrancesaArticulo"/>
      </w:pPr>
      <w:r w:rsidRPr="00981775">
        <w:rPr>
          <w:rStyle w:val="TextoNormalNegritaCaracter"/>
        </w:rPr>
        <w:t>Artículo 141.2.</w:t>
      </w:r>
      <w:r w:rsidRPr="00981775">
        <w:rPr>
          <w:rStyle w:val="TextoNormalCaracter"/>
        </w:rPr>
        <w:t>-</w:t>
      </w:r>
      <w:r>
        <w:t xml:space="preserve"> Sentencia </w:t>
      </w:r>
      <w:hyperlink w:anchor="SENTENCIA_2015_154" w:history="1">
        <w:r w:rsidRPr="00981775">
          <w:rPr>
            <w:rStyle w:val="TextoNormalCaracter"/>
          </w:rPr>
          <w:t>154/2015</w:t>
        </w:r>
      </w:hyperlink>
      <w:r>
        <w:t>, f. 6.</w:t>
      </w:r>
    </w:p>
    <w:p w:rsidR="00981775" w:rsidRDefault="00981775" w:rsidP="00981775">
      <w:pPr>
        <w:pStyle w:val="SangriaFrancesaArticulo"/>
      </w:pPr>
      <w:r w:rsidRPr="00981775">
        <w:rPr>
          <w:rStyle w:val="TextoNormalNegritaCaracter"/>
        </w:rPr>
        <w:t>Artículo 147.3.</w:t>
      </w:r>
      <w:r w:rsidRPr="00981775">
        <w:rPr>
          <w:rStyle w:val="TextoNormalCaracter"/>
        </w:rPr>
        <w:t>-</w:t>
      </w:r>
      <w:r>
        <w:t xml:space="preserve"> Sentencia </w:t>
      </w:r>
      <w:hyperlink w:anchor="SENTENCIA_2015_176" w:history="1">
        <w:r w:rsidRPr="00981775">
          <w:rPr>
            <w:rStyle w:val="TextoNormalCaracter"/>
          </w:rPr>
          <w:t>176/2015</w:t>
        </w:r>
      </w:hyperlink>
      <w:r>
        <w:t>, f. 3.</w:t>
      </w:r>
    </w:p>
    <w:p w:rsidR="00981775" w:rsidRDefault="00981775" w:rsidP="00981775">
      <w:pPr>
        <w:pStyle w:val="SangriaFrancesaArticulo"/>
      </w:pPr>
      <w:r w:rsidRPr="00981775">
        <w:rPr>
          <w:rStyle w:val="TextoNormalNegritaCaracter"/>
        </w:rPr>
        <w:t>Artículo 148.</w:t>
      </w:r>
      <w:r w:rsidRPr="00981775">
        <w:rPr>
          <w:rStyle w:val="TextoNormalCaracter"/>
        </w:rPr>
        <w:t>-</w:t>
      </w:r>
      <w:r>
        <w:t xml:space="preserve"> Sentencia </w:t>
      </w:r>
      <w:hyperlink w:anchor="SENTENCIA_2015_196" w:history="1">
        <w:r w:rsidRPr="00981775">
          <w:rPr>
            <w:rStyle w:val="TextoNormalCaracter"/>
          </w:rPr>
          <w:t>196/2015</w:t>
        </w:r>
      </w:hyperlink>
      <w:r>
        <w:t>, VP.</w:t>
      </w:r>
    </w:p>
    <w:p w:rsidR="00981775" w:rsidRDefault="00981775" w:rsidP="00981775">
      <w:pPr>
        <w:pStyle w:val="SangriaFrancesaArticulo"/>
      </w:pPr>
      <w:r w:rsidRPr="00981775">
        <w:rPr>
          <w:rStyle w:val="TextoNormalNegritaCaracter"/>
        </w:rPr>
        <w:t>Artículo 148.1.1.</w:t>
      </w:r>
      <w:r w:rsidRPr="00981775">
        <w:rPr>
          <w:rStyle w:val="TextoNormalCaracter"/>
        </w:rPr>
        <w:t>-</w:t>
      </w:r>
      <w:r>
        <w:t xml:space="preserve"> Sentencia </w:t>
      </w:r>
      <w:hyperlink w:anchor="SENTENCIA_2015_243" w:history="1">
        <w:r w:rsidRPr="00981775">
          <w:rPr>
            <w:rStyle w:val="TextoNormalCaracter"/>
          </w:rPr>
          <w:t>243/2015</w:t>
        </w:r>
      </w:hyperlink>
      <w:r>
        <w:t>, f. 7.</w:t>
      </w:r>
    </w:p>
    <w:p w:rsidR="00981775" w:rsidRDefault="00981775" w:rsidP="00981775">
      <w:pPr>
        <w:pStyle w:val="SangriaFrancesaArticulo"/>
      </w:pPr>
      <w:r w:rsidRPr="00981775">
        <w:rPr>
          <w:rStyle w:val="TextoNormalNegritaCaracter"/>
        </w:rPr>
        <w:t>Artículo 148.1.3.</w:t>
      </w:r>
      <w:r w:rsidRPr="00981775">
        <w:rPr>
          <w:rStyle w:val="TextoNormalCaracter"/>
        </w:rPr>
        <w:t>-</w:t>
      </w:r>
      <w:r>
        <w:t xml:space="preserve"> Sentencia </w:t>
      </w:r>
      <w:hyperlink w:anchor="SENTENCIA_2015_254" w:history="1">
        <w:r w:rsidRPr="00981775">
          <w:rPr>
            <w:rStyle w:val="TextoNormalCaracter"/>
          </w:rPr>
          <w:t>254/2015</w:t>
        </w:r>
      </w:hyperlink>
      <w:r>
        <w:t>, f. 3.</w:t>
      </w:r>
    </w:p>
    <w:p w:rsidR="00981775" w:rsidRDefault="00981775" w:rsidP="00981775">
      <w:pPr>
        <w:pStyle w:val="SangriaFrancesaArticulo"/>
      </w:pPr>
      <w:r w:rsidRPr="00981775">
        <w:rPr>
          <w:rStyle w:val="TextoNormalNegritaCaracter"/>
        </w:rPr>
        <w:t>Artículo 148.1.8.</w:t>
      </w:r>
      <w:r w:rsidRPr="00981775">
        <w:rPr>
          <w:rStyle w:val="TextoNormalCaracter"/>
        </w:rPr>
        <w:t>-</w:t>
      </w:r>
      <w:r>
        <w:t xml:space="preserve"> Sentencia </w:t>
      </w:r>
      <w:hyperlink w:anchor="SENTENCIA_2015_214" w:history="1">
        <w:r w:rsidRPr="00981775">
          <w:rPr>
            <w:rStyle w:val="TextoNormalCaracter"/>
          </w:rPr>
          <w:t>214/2015</w:t>
        </w:r>
      </w:hyperlink>
      <w:r>
        <w:t>, f. 3.</w:t>
      </w:r>
    </w:p>
    <w:p w:rsidR="00981775" w:rsidRDefault="00981775" w:rsidP="00981775">
      <w:pPr>
        <w:pStyle w:val="SangriaFrancesaArticulo"/>
      </w:pPr>
      <w:r w:rsidRPr="00981775">
        <w:rPr>
          <w:rStyle w:val="TextoNormalNegritaCaracter"/>
        </w:rPr>
        <w:t>Artículo 148.1.10.</w:t>
      </w:r>
      <w:r w:rsidRPr="00981775">
        <w:rPr>
          <w:rStyle w:val="TextoNormalCaracter"/>
        </w:rPr>
        <w:t>-</w:t>
      </w:r>
      <w:r>
        <w:t xml:space="preserve"> Sentencia </w:t>
      </w:r>
      <w:hyperlink w:anchor="SENTENCIA_2015_196" w:history="1">
        <w:r w:rsidRPr="00981775">
          <w:rPr>
            <w:rStyle w:val="TextoNormalCaracter"/>
          </w:rPr>
          <w:t>196/2015</w:t>
        </w:r>
      </w:hyperlink>
      <w:r>
        <w:t>, f. 4.</w:t>
      </w:r>
    </w:p>
    <w:p w:rsidR="00981775" w:rsidRDefault="00981775" w:rsidP="00981775">
      <w:pPr>
        <w:pStyle w:val="SangriaFrancesaArticulo"/>
      </w:pPr>
      <w:r w:rsidRPr="00981775">
        <w:rPr>
          <w:rStyle w:val="TextoNormalNegritaCaracter"/>
        </w:rPr>
        <w:t>Artículo 148.1.17.</w:t>
      </w:r>
      <w:r w:rsidRPr="00981775">
        <w:rPr>
          <w:rStyle w:val="TextoNormalCaracter"/>
        </w:rPr>
        <w:t>-</w:t>
      </w:r>
      <w:r>
        <w:t xml:space="preserve"> Sentencia </w:t>
      </w:r>
      <w:hyperlink w:anchor="SENTENCIA_2015_259" w:history="1">
        <w:r w:rsidRPr="00981775">
          <w:rPr>
            <w:rStyle w:val="TextoNormalCaracter"/>
          </w:rPr>
          <w:t>259/2015</w:t>
        </w:r>
      </w:hyperlink>
      <w:r>
        <w:t>, f. 5.</w:t>
      </w:r>
    </w:p>
    <w:p w:rsidR="00981775" w:rsidRDefault="00981775" w:rsidP="00981775">
      <w:pPr>
        <w:pStyle w:val="SangriaFrancesaArticulo"/>
      </w:pPr>
      <w:r w:rsidRPr="00981775">
        <w:rPr>
          <w:rStyle w:val="TextoNormalNegritaCaracter"/>
        </w:rPr>
        <w:t>Artículo 149.</w:t>
      </w:r>
      <w:r w:rsidRPr="00981775">
        <w:rPr>
          <w:rStyle w:val="TextoNormalCaracter"/>
        </w:rPr>
        <w:t>-</w:t>
      </w:r>
      <w:r>
        <w:t xml:space="preserve"> Sentencias </w:t>
      </w:r>
      <w:hyperlink w:anchor="SENTENCIA_2015_196" w:history="1">
        <w:r w:rsidRPr="00981775">
          <w:rPr>
            <w:rStyle w:val="TextoNormalCaracter"/>
          </w:rPr>
          <w:t>196/2015</w:t>
        </w:r>
      </w:hyperlink>
      <w:r>
        <w:t xml:space="preserve">, VP; </w:t>
      </w:r>
      <w:hyperlink w:anchor="SENTENCIA_2015_269" w:history="1">
        <w:r w:rsidRPr="00981775">
          <w:rPr>
            <w:rStyle w:val="TextoNormalCaracter"/>
          </w:rPr>
          <w:t>269/2015</w:t>
        </w:r>
      </w:hyperlink>
      <w:r>
        <w:t>, f. 1.</w:t>
      </w:r>
    </w:p>
    <w:p w:rsidR="00981775" w:rsidRDefault="00981775" w:rsidP="00981775">
      <w:pPr>
        <w:pStyle w:val="SangriaFrancesaArticulo"/>
      </w:pPr>
      <w:r w:rsidRPr="00981775">
        <w:rPr>
          <w:rStyle w:val="TextoNormalNegritaCaracter"/>
        </w:rPr>
        <w:t>Artículo 149.1.</w:t>
      </w:r>
      <w:r w:rsidRPr="00981775">
        <w:rPr>
          <w:rStyle w:val="TextoNormalCaracter"/>
        </w:rPr>
        <w:t>-</w:t>
      </w:r>
      <w:r>
        <w:t xml:space="preserve"> Sentencia </w:t>
      </w:r>
      <w:hyperlink w:anchor="SENTENCIA_2015_156" w:history="1">
        <w:r w:rsidRPr="00981775">
          <w:rPr>
            <w:rStyle w:val="TextoNormalCaracter"/>
          </w:rPr>
          <w:t>156/2015</w:t>
        </w:r>
      </w:hyperlink>
      <w:r>
        <w:t>, f. 9.</w:t>
      </w:r>
    </w:p>
    <w:p w:rsidR="00981775" w:rsidRDefault="00981775" w:rsidP="00981775">
      <w:pPr>
        <w:pStyle w:val="SangriaFrancesaArticulo"/>
      </w:pPr>
      <w:r w:rsidRPr="00981775">
        <w:rPr>
          <w:rStyle w:val="TextoNormalNegritaCaracter"/>
        </w:rPr>
        <w:t>Artículo 149.1.1.</w:t>
      </w:r>
      <w:r w:rsidRPr="00981775">
        <w:rPr>
          <w:rStyle w:val="TextoNormalCaracter"/>
        </w:rPr>
        <w:t>-</w:t>
      </w:r>
      <w:r>
        <w:t xml:space="preserve"> Sentencias </w:t>
      </w:r>
      <w:hyperlink w:anchor="SENTENCIA_2015_176" w:history="1">
        <w:r w:rsidRPr="00981775">
          <w:rPr>
            <w:rStyle w:val="TextoNormalCaracter"/>
          </w:rPr>
          <w:t>176/2015</w:t>
        </w:r>
      </w:hyperlink>
      <w:r>
        <w:t xml:space="preserve">, ff. 5, 6, VP; </w:t>
      </w:r>
      <w:hyperlink w:anchor="SENTENCIA_2015_218" w:history="1">
        <w:r w:rsidRPr="00981775">
          <w:rPr>
            <w:rStyle w:val="TextoNormalCaracter"/>
          </w:rPr>
          <w:t>218/2015</w:t>
        </w:r>
      </w:hyperlink>
      <w:r>
        <w:t xml:space="preserve">, VP III; </w:t>
      </w:r>
      <w:hyperlink w:anchor="SENTENCIA_2015_229" w:history="1">
        <w:r w:rsidRPr="00981775">
          <w:rPr>
            <w:rStyle w:val="TextoNormalCaracter"/>
          </w:rPr>
          <w:t>229/2015</w:t>
        </w:r>
      </w:hyperlink>
      <w:r>
        <w:t xml:space="preserve">, ff. 6, 7; </w:t>
      </w:r>
      <w:hyperlink w:anchor="SENTENCIA_2015_233" w:history="1">
        <w:r w:rsidRPr="00981775">
          <w:rPr>
            <w:rStyle w:val="TextoNormalCaracter"/>
          </w:rPr>
          <w:t>233/2015</w:t>
        </w:r>
      </w:hyperlink>
      <w:r>
        <w:t xml:space="preserve">, ff. 14, 16; </w:t>
      </w:r>
      <w:hyperlink w:anchor="SENTENCIA_2015_271" w:history="1">
        <w:r w:rsidRPr="00981775">
          <w:rPr>
            <w:rStyle w:val="TextoNormalCaracter"/>
          </w:rPr>
          <w:t>271/2015</w:t>
        </w:r>
      </w:hyperlink>
      <w:r>
        <w:t>, ff. 3, 6.</w:t>
      </w:r>
    </w:p>
    <w:p w:rsidR="00981775" w:rsidRDefault="00981775" w:rsidP="00981775">
      <w:pPr>
        <w:pStyle w:val="SangriaFrancesaArticulo"/>
      </w:pPr>
      <w:r w:rsidRPr="00981775">
        <w:rPr>
          <w:rStyle w:val="TextoNormalNegritaCaracter"/>
        </w:rPr>
        <w:t>Artículo 149.1.3.</w:t>
      </w:r>
      <w:r w:rsidRPr="00981775">
        <w:rPr>
          <w:rStyle w:val="TextoNormalCaracter"/>
        </w:rPr>
        <w:t>-</w:t>
      </w:r>
      <w:r>
        <w:t xml:space="preserve"> Sentencia </w:t>
      </w:r>
      <w:hyperlink w:anchor="SENTENCIA_2015_176" w:history="1">
        <w:r w:rsidRPr="00981775">
          <w:rPr>
            <w:rStyle w:val="TextoNormalCaracter"/>
          </w:rPr>
          <w:t>176/2015</w:t>
        </w:r>
      </w:hyperlink>
      <w:r>
        <w:t>, f. 3.</w:t>
      </w:r>
    </w:p>
    <w:p w:rsidR="00981775" w:rsidRDefault="00981775" w:rsidP="00981775">
      <w:pPr>
        <w:pStyle w:val="SangriaIzquierdaArticulo"/>
      </w:pPr>
      <w:r>
        <w:t xml:space="preserve">Auto </w:t>
      </w:r>
      <w:hyperlink w:anchor="AUTO_2015_122" w:history="1">
        <w:r w:rsidRPr="00981775">
          <w:rPr>
            <w:rStyle w:val="TextoNormalCaracter"/>
          </w:rPr>
          <w:t>122/2015</w:t>
        </w:r>
      </w:hyperlink>
      <w:r>
        <w:t>, ff. 1, 3 a 7.</w:t>
      </w:r>
    </w:p>
    <w:p w:rsidR="00981775" w:rsidRDefault="00981775" w:rsidP="00981775">
      <w:pPr>
        <w:pStyle w:val="SangriaFrancesaArticulo"/>
      </w:pPr>
      <w:r w:rsidRPr="00981775">
        <w:rPr>
          <w:rStyle w:val="TextoNormalNegritaCaracter"/>
        </w:rPr>
        <w:t>Artículo 149.1.5.</w:t>
      </w:r>
      <w:r w:rsidRPr="00981775">
        <w:rPr>
          <w:rStyle w:val="TextoNormalCaracter"/>
        </w:rPr>
        <w:t>-</w:t>
      </w:r>
      <w:r>
        <w:t xml:space="preserve"> Sentencia </w:t>
      </w:r>
      <w:hyperlink w:anchor="SENTENCIA_2015_214" w:history="1">
        <w:r w:rsidRPr="00981775">
          <w:rPr>
            <w:rStyle w:val="TextoNormalCaracter"/>
          </w:rPr>
          <w:t>214/2015</w:t>
        </w:r>
      </w:hyperlink>
      <w:r>
        <w:t>, ff. 1, 6.</w:t>
      </w:r>
    </w:p>
    <w:p w:rsidR="00981775" w:rsidRDefault="00981775" w:rsidP="00981775">
      <w:pPr>
        <w:pStyle w:val="SangriaFrancesaArticulo"/>
      </w:pPr>
      <w:r w:rsidRPr="00981775">
        <w:rPr>
          <w:rStyle w:val="TextoNormalNegritaCaracter"/>
        </w:rPr>
        <w:t>Artículo 149.1.6.</w:t>
      </w:r>
      <w:r w:rsidRPr="00981775">
        <w:rPr>
          <w:rStyle w:val="TextoNormalCaracter"/>
        </w:rPr>
        <w:t>-</w:t>
      </w:r>
      <w:r>
        <w:t xml:space="preserve"> Sentencias </w:t>
      </w:r>
      <w:hyperlink w:anchor="SENTENCIA_2015_233" w:history="1">
        <w:r w:rsidRPr="00981775">
          <w:rPr>
            <w:rStyle w:val="TextoNormalCaracter"/>
          </w:rPr>
          <w:t>233/2015</w:t>
        </w:r>
      </w:hyperlink>
      <w:r>
        <w:t xml:space="preserve">, f. 15; </w:t>
      </w:r>
      <w:hyperlink w:anchor="SENTENCIA_2015_254" w:history="1">
        <w:r w:rsidRPr="00981775">
          <w:rPr>
            <w:rStyle w:val="TextoNormalCaracter"/>
          </w:rPr>
          <w:t>254/2015</w:t>
        </w:r>
      </w:hyperlink>
      <w:r>
        <w:t>, ff. 1 a 3.</w:t>
      </w:r>
    </w:p>
    <w:p w:rsidR="00981775" w:rsidRDefault="00981775" w:rsidP="00981775">
      <w:pPr>
        <w:pStyle w:val="SangriaIzquierdaArticulo"/>
      </w:pPr>
      <w:r>
        <w:t xml:space="preserve">Autos </w:t>
      </w:r>
      <w:hyperlink w:anchor="AUTO_2015_170" w:history="1">
        <w:r w:rsidRPr="00981775">
          <w:rPr>
            <w:rStyle w:val="TextoNormalCaracter"/>
          </w:rPr>
          <w:t>170/2015</w:t>
        </w:r>
      </w:hyperlink>
      <w:r>
        <w:t xml:space="preserve">, f. 2; </w:t>
      </w:r>
      <w:hyperlink w:anchor="AUTO_2015_211" w:history="1">
        <w:r w:rsidRPr="00981775">
          <w:rPr>
            <w:rStyle w:val="TextoNormalCaracter"/>
          </w:rPr>
          <w:t>211/2015</w:t>
        </w:r>
      </w:hyperlink>
      <w:r>
        <w:t xml:space="preserve">, f. único; </w:t>
      </w:r>
      <w:hyperlink w:anchor="AUTO_2015_214" w:history="1">
        <w:r w:rsidRPr="00981775">
          <w:rPr>
            <w:rStyle w:val="TextoNormalCaracter"/>
          </w:rPr>
          <w:t>214/2015</w:t>
        </w:r>
      </w:hyperlink>
      <w:r>
        <w:t xml:space="preserve">, f. único; </w:t>
      </w:r>
      <w:hyperlink w:anchor="AUTO_2015_215" w:history="1">
        <w:r w:rsidRPr="00981775">
          <w:rPr>
            <w:rStyle w:val="TextoNormalCaracter"/>
          </w:rPr>
          <w:t>215/2015</w:t>
        </w:r>
      </w:hyperlink>
      <w:r>
        <w:t xml:space="preserve">, f. único; </w:t>
      </w:r>
      <w:hyperlink w:anchor="AUTO_2015_216" w:history="1">
        <w:r w:rsidRPr="00981775">
          <w:rPr>
            <w:rStyle w:val="TextoNormalCaracter"/>
          </w:rPr>
          <w:t>216/2015</w:t>
        </w:r>
      </w:hyperlink>
      <w:r>
        <w:t xml:space="preserve">, f. único; </w:t>
      </w:r>
      <w:hyperlink w:anchor="AUTO_2015_217" w:history="1">
        <w:r w:rsidRPr="00981775">
          <w:rPr>
            <w:rStyle w:val="TextoNormalCaracter"/>
          </w:rPr>
          <w:t>217/2015</w:t>
        </w:r>
      </w:hyperlink>
      <w:r>
        <w:t xml:space="preserve">, f. único; </w:t>
      </w:r>
      <w:hyperlink w:anchor="AUTO_2015_218" w:history="1">
        <w:r w:rsidRPr="00981775">
          <w:rPr>
            <w:rStyle w:val="TextoNormalCaracter"/>
          </w:rPr>
          <w:t>218/2015</w:t>
        </w:r>
      </w:hyperlink>
      <w:r>
        <w:t xml:space="preserve">, f. único; </w:t>
      </w:r>
      <w:hyperlink w:anchor="AUTO_2015_219" w:history="1">
        <w:r w:rsidRPr="00981775">
          <w:rPr>
            <w:rStyle w:val="TextoNormalCaracter"/>
          </w:rPr>
          <w:t>219/2015</w:t>
        </w:r>
      </w:hyperlink>
      <w:r>
        <w:t xml:space="preserve">, f. único; </w:t>
      </w:r>
      <w:hyperlink w:anchor="AUTO_2015_220" w:history="1">
        <w:r w:rsidRPr="00981775">
          <w:rPr>
            <w:rStyle w:val="TextoNormalCaracter"/>
          </w:rPr>
          <w:t>220/2015</w:t>
        </w:r>
      </w:hyperlink>
      <w:r>
        <w:t xml:space="preserve">, f. único; </w:t>
      </w:r>
      <w:hyperlink w:anchor="AUTO_2015_221" w:history="1">
        <w:r w:rsidRPr="00981775">
          <w:rPr>
            <w:rStyle w:val="TextoNormalCaracter"/>
          </w:rPr>
          <w:t>221/2015</w:t>
        </w:r>
      </w:hyperlink>
      <w:r>
        <w:t xml:space="preserve">, f. único; </w:t>
      </w:r>
      <w:hyperlink w:anchor="AUTO_2015_222" w:history="1">
        <w:r w:rsidRPr="00981775">
          <w:rPr>
            <w:rStyle w:val="TextoNormalCaracter"/>
          </w:rPr>
          <w:t>222/2015</w:t>
        </w:r>
      </w:hyperlink>
      <w:r>
        <w:t>, f. único.</w:t>
      </w:r>
    </w:p>
    <w:p w:rsidR="00981775" w:rsidRDefault="00981775" w:rsidP="00981775">
      <w:pPr>
        <w:pStyle w:val="SangriaFrancesaArticulo"/>
      </w:pPr>
      <w:r w:rsidRPr="00981775">
        <w:rPr>
          <w:rStyle w:val="TextoNormalNegritaCaracter"/>
        </w:rPr>
        <w:t>Artículo 149.1.7.</w:t>
      </w:r>
      <w:r w:rsidRPr="00981775">
        <w:rPr>
          <w:rStyle w:val="TextoNormalCaracter"/>
        </w:rPr>
        <w:t>-</w:t>
      </w:r>
      <w:r>
        <w:t xml:space="preserve"> Sentencias </w:t>
      </w:r>
      <w:hyperlink w:anchor="SENTENCIA_2015_178" w:history="1">
        <w:r w:rsidRPr="00981775">
          <w:rPr>
            <w:rStyle w:val="TextoNormalCaracter"/>
          </w:rPr>
          <w:t>178/2015</w:t>
        </w:r>
      </w:hyperlink>
      <w:r>
        <w:t xml:space="preserve">, ff. 1, 3, VP II; </w:t>
      </w:r>
      <w:hyperlink w:anchor="SENTENCIA_2015_185" w:history="1">
        <w:r w:rsidRPr="00981775">
          <w:rPr>
            <w:rStyle w:val="TextoNormalCaracter"/>
          </w:rPr>
          <w:t>185/2015</w:t>
        </w:r>
      </w:hyperlink>
      <w:r>
        <w:t xml:space="preserve">, ff. 1, 3 a 5; </w:t>
      </w:r>
      <w:hyperlink w:anchor="SENTENCIA_2015_198" w:history="1">
        <w:r w:rsidRPr="00981775">
          <w:rPr>
            <w:rStyle w:val="TextoNormalCaracter"/>
          </w:rPr>
          <w:t>198/2015</w:t>
        </w:r>
      </w:hyperlink>
      <w:r>
        <w:t xml:space="preserve">, ff. 3, 4, VP II; </w:t>
      </w:r>
      <w:hyperlink w:anchor="SENTENCIA_2015_271" w:history="1">
        <w:r w:rsidRPr="00981775">
          <w:rPr>
            <w:rStyle w:val="TextoNormalCaracter"/>
          </w:rPr>
          <w:t>271/2015</w:t>
        </w:r>
      </w:hyperlink>
      <w:r>
        <w:t>, f. 6.</w:t>
      </w:r>
    </w:p>
    <w:p w:rsidR="00981775" w:rsidRDefault="00981775" w:rsidP="00981775">
      <w:pPr>
        <w:pStyle w:val="SangriaIzquierdaArticulo"/>
      </w:pPr>
      <w:r>
        <w:t xml:space="preserve">Autos </w:t>
      </w:r>
      <w:hyperlink w:anchor="AUTO_2015_183" w:history="1">
        <w:r w:rsidRPr="00981775">
          <w:rPr>
            <w:rStyle w:val="TextoNormalCaracter"/>
          </w:rPr>
          <w:t>183/2015</w:t>
        </w:r>
      </w:hyperlink>
      <w:r>
        <w:t xml:space="preserve">, ff. 2, 4; </w:t>
      </w:r>
      <w:hyperlink w:anchor="AUTO_2015_228" w:history="1">
        <w:r w:rsidRPr="00981775">
          <w:rPr>
            <w:rStyle w:val="TextoNormalCaracter"/>
          </w:rPr>
          <w:t>228/2015</w:t>
        </w:r>
      </w:hyperlink>
      <w:r>
        <w:t xml:space="preserve">, ff. 1 a 4; </w:t>
      </w:r>
      <w:hyperlink w:anchor="AUTO_2015_229" w:history="1">
        <w:r w:rsidRPr="00981775">
          <w:rPr>
            <w:rStyle w:val="TextoNormalCaracter"/>
          </w:rPr>
          <w:t>229/2015</w:t>
        </w:r>
      </w:hyperlink>
      <w:r>
        <w:t>, ff. 1 a 4.</w:t>
      </w:r>
    </w:p>
    <w:p w:rsidR="00981775" w:rsidRDefault="00981775" w:rsidP="00981775">
      <w:pPr>
        <w:pStyle w:val="SangriaFrancesaArticulo"/>
      </w:pPr>
      <w:r w:rsidRPr="00981775">
        <w:rPr>
          <w:rStyle w:val="TextoNormalNegritaCaracter"/>
        </w:rPr>
        <w:t>Artículo 149.1.8.</w:t>
      </w:r>
      <w:r w:rsidRPr="00981775">
        <w:rPr>
          <w:rStyle w:val="TextoNormalCaracter"/>
        </w:rPr>
        <w:t>-</w:t>
      </w:r>
      <w:r>
        <w:t xml:space="preserve"> Sentencia </w:t>
      </w:r>
      <w:hyperlink w:anchor="SENTENCIA_2015_271" w:history="1">
        <w:r w:rsidRPr="00981775">
          <w:rPr>
            <w:rStyle w:val="TextoNormalCaracter"/>
          </w:rPr>
          <w:t>271/2015</w:t>
        </w:r>
      </w:hyperlink>
      <w:r>
        <w:t>, f. 6.</w:t>
      </w:r>
    </w:p>
    <w:p w:rsidR="00981775" w:rsidRDefault="00981775" w:rsidP="00981775">
      <w:pPr>
        <w:pStyle w:val="SangriaIzquierdaArticulo"/>
      </w:pPr>
      <w:r>
        <w:t xml:space="preserve">Auto </w:t>
      </w:r>
      <w:hyperlink w:anchor="AUTO_2015_185" w:history="1">
        <w:r w:rsidRPr="00981775">
          <w:rPr>
            <w:rStyle w:val="TextoNormalCaracter"/>
          </w:rPr>
          <w:t>185/2015</w:t>
        </w:r>
      </w:hyperlink>
      <w:r>
        <w:t>, f. 1.</w:t>
      </w:r>
    </w:p>
    <w:p w:rsidR="00981775" w:rsidRDefault="00981775" w:rsidP="00981775">
      <w:pPr>
        <w:pStyle w:val="SangriaFrancesaArticulo"/>
      </w:pPr>
      <w:r w:rsidRPr="00981775">
        <w:rPr>
          <w:rStyle w:val="TextoNormalNegritaCaracter"/>
        </w:rPr>
        <w:t>Artículo 149.1.13.</w:t>
      </w:r>
      <w:r w:rsidRPr="00981775">
        <w:rPr>
          <w:rStyle w:val="TextoNormalCaracter"/>
        </w:rPr>
        <w:t>-</w:t>
      </w:r>
      <w:r>
        <w:t xml:space="preserve"> Sentencias </w:t>
      </w:r>
      <w:hyperlink w:anchor="SENTENCIA_2015_154" w:history="1">
        <w:r w:rsidRPr="00981775">
          <w:rPr>
            <w:rStyle w:val="TextoNormalCaracter"/>
          </w:rPr>
          <w:t>154/2015</w:t>
        </w:r>
      </w:hyperlink>
      <w:r>
        <w:t xml:space="preserve">, f. 7; </w:t>
      </w:r>
      <w:hyperlink w:anchor="SENTENCIA_2015_156" w:history="1">
        <w:r w:rsidRPr="00981775">
          <w:rPr>
            <w:rStyle w:val="TextoNormalCaracter"/>
          </w:rPr>
          <w:t>156/2015</w:t>
        </w:r>
      </w:hyperlink>
      <w:r>
        <w:t xml:space="preserve">, ff. 1, 7 a 10; </w:t>
      </w:r>
      <w:hyperlink w:anchor="SENTENCIA_2015_178" w:history="1">
        <w:r w:rsidRPr="00981775">
          <w:rPr>
            <w:rStyle w:val="TextoNormalCaracter"/>
          </w:rPr>
          <w:t>178/2015</w:t>
        </w:r>
      </w:hyperlink>
      <w:r>
        <w:t xml:space="preserve">, f. 1; </w:t>
      </w:r>
      <w:hyperlink w:anchor="SENTENCIA_2015_185" w:history="1">
        <w:r w:rsidRPr="00981775">
          <w:rPr>
            <w:rStyle w:val="TextoNormalCaracter"/>
          </w:rPr>
          <w:t>185/2015</w:t>
        </w:r>
      </w:hyperlink>
      <w:r>
        <w:t xml:space="preserve">, VP; </w:t>
      </w:r>
      <w:hyperlink w:anchor="SENTENCIA_2015_201" w:history="1">
        <w:r w:rsidRPr="00981775">
          <w:rPr>
            <w:rStyle w:val="TextoNormalCaracter"/>
          </w:rPr>
          <w:t>201/2015</w:t>
        </w:r>
      </w:hyperlink>
      <w:r>
        <w:t xml:space="preserve">, f. 1; </w:t>
      </w:r>
      <w:hyperlink w:anchor="SENTENCIA_2015_202" w:history="1">
        <w:r w:rsidRPr="00981775">
          <w:rPr>
            <w:rStyle w:val="TextoNormalCaracter"/>
          </w:rPr>
          <w:t>202/2015</w:t>
        </w:r>
      </w:hyperlink>
      <w:r>
        <w:t xml:space="preserve">, f. 1; </w:t>
      </w:r>
      <w:hyperlink w:anchor="SENTENCIA_2015_209" w:history="1">
        <w:r w:rsidRPr="00981775">
          <w:rPr>
            <w:rStyle w:val="TextoNormalCaracter"/>
          </w:rPr>
          <w:t>209/2015</w:t>
        </w:r>
      </w:hyperlink>
      <w:r>
        <w:t xml:space="preserve">, ff. 1, 4 a 6; </w:t>
      </w:r>
      <w:hyperlink w:anchor="SENTENCIA_2015_212" w:history="1">
        <w:r w:rsidRPr="00981775">
          <w:rPr>
            <w:rStyle w:val="TextoNormalCaracter"/>
          </w:rPr>
          <w:t>212/2015</w:t>
        </w:r>
      </w:hyperlink>
      <w:r>
        <w:t xml:space="preserve">, f. 1; </w:t>
      </w:r>
      <w:hyperlink w:anchor="SENTENCIA_2015_213" w:history="1">
        <w:r w:rsidRPr="00981775">
          <w:rPr>
            <w:rStyle w:val="TextoNormalCaracter"/>
          </w:rPr>
          <w:t>213/2015</w:t>
        </w:r>
      </w:hyperlink>
      <w:r>
        <w:t xml:space="preserve">, f. 1; </w:t>
      </w:r>
      <w:hyperlink w:anchor="SENTENCIA_2015_215" w:history="1">
        <w:r w:rsidRPr="00981775">
          <w:rPr>
            <w:rStyle w:val="TextoNormalCaracter"/>
          </w:rPr>
          <w:t>215/2015</w:t>
        </w:r>
      </w:hyperlink>
      <w:r>
        <w:t xml:space="preserve">, ff. 1, 6, 7; </w:t>
      </w:r>
      <w:hyperlink w:anchor="SENTENCIA_2015_219" w:history="1">
        <w:r w:rsidRPr="00981775">
          <w:rPr>
            <w:rStyle w:val="TextoNormalCaracter"/>
          </w:rPr>
          <w:t>219/2015</w:t>
        </w:r>
      </w:hyperlink>
      <w:r>
        <w:t xml:space="preserve">, f. 1; </w:t>
      </w:r>
      <w:hyperlink w:anchor="SENTENCIA_2015_220" w:history="1">
        <w:r w:rsidRPr="00981775">
          <w:rPr>
            <w:rStyle w:val="TextoNormalCaracter"/>
          </w:rPr>
          <w:t>220/2015</w:t>
        </w:r>
      </w:hyperlink>
      <w:r>
        <w:t xml:space="preserve">, f. 1; </w:t>
      </w:r>
      <w:hyperlink w:anchor="SENTENCIA_2015_221" w:history="1">
        <w:r w:rsidRPr="00981775">
          <w:rPr>
            <w:rStyle w:val="TextoNormalCaracter"/>
          </w:rPr>
          <w:t>221/2015</w:t>
        </w:r>
      </w:hyperlink>
      <w:r>
        <w:t xml:space="preserve">, f. 1; </w:t>
      </w:r>
      <w:hyperlink w:anchor="SENTENCIA_2015_243" w:history="1">
        <w:r w:rsidRPr="00981775">
          <w:rPr>
            <w:rStyle w:val="TextoNormalCaracter"/>
          </w:rPr>
          <w:t>243/2015</w:t>
        </w:r>
      </w:hyperlink>
      <w:r>
        <w:t xml:space="preserve">, ff. 1, 7; </w:t>
      </w:r>
      <w:hyperlink w:anchor="SENTENCIA_2015_260" w:history="1">
        <w:r w:rsidRPr="00981775">
          <w:rPr>
            <w:rStyle w:val="TextoNormalCaracter"/>
          </w:rPr>
          <w:t>260/2015</w:t>
        </w:r>
      </w:hyperlink>
      <w:r>
        <w:t>, f. 1.</w:t>
      </w:r>
    </w:p>
    <w:p w:rsidR="00981775" w:rsidRDefault="00981775" w:rsidP="00981775">
      <w:pPr>
        <w:pStyle w:val="SangriaIzquierdaArticulo"/>
      </w:pPr>
      <w:r>
        <w:t xml:space="preserve">Autos </w:t>
      </w:r>
      <w:hyperlink w:anchor="AUTO_2015_136" w:history="1">
        <w:r w:rsidRPr="00981775">
          <w:rPr>
            <w:rStyle w:val="TextoNormalCaracter"/>
          </w:rPr>
          <w:t>136/2015</w:t>
        </w:r>
      </w:hyperlink>
      <w:r>
        <w:t xml:space="preserve">, ff. 1, 2; </w:t>
      </w:r>
      <w:hyperlink w:anchor="AUTO_2015_183" w:history="1">
        <w:r w:rsidRPr="00981775">
          <w:rPr>
            <w:rStyle w:val="TextoNormalCaracter"/>
          </w:rPr>
          <w:t>183/2015</w:t>
        </w:r>
      </w:hyperlink>
      <w:r>
        <w:t xml:space="preserve">, ff. 2, 4; </w:t>
      </w:r>
      <w:hyperlink w:anchor="AUTO_2015_228" w:history="1">
        <w:r w:rsidRPr="00981775">
          <w:rPr>
            <w:rStyle w:val="TextoNormalCaracter"/>
          </w:rPr>
          <w:t>228/2015</w:t>
        </w:r>
      </w:hyperlink>
      <w:r>
        <w:t xml:space="preserve">, f. 2; </w:t>
      </w:r>
      <w:hyperlink w:anchor="AUTO_2015_229" w:history="1">
        <w:r w:rsidRPr="00981775">
          <w:rPr>
            <w:rStyle w:val="TextoNormalCaracter"/>
          </w:rPr>
          <w:t>229/2015</w:t>
        </w:r>
      </w:hyperlink>
      <w:r>
        <w:t>, f. 2.</w:t>
      </w:r>
    </w:p>
    <w:p w:rsidR="00981775" w:rsidRDefault="00981775" w:rsidP="00981775">
      <w:pPr>
        <w:pStyle w:val="SangriaFrancesaArticulo"/>
      </w:pPr>
      <w:r w:rsidRPr="00981775">
        <w:rPr>
          <w:rStyle w:val="TextoNormalNegritaCaracter"/>
        </w:rPr>
        <w:t>Artículo 149.1.14.</w:t>
      </w:r>
      <w:r w:rsidRPr="00981775">
        <w:rPr>
          <w:rStyle w:val="TextoNormalCaracter"/>
        </w:rPr>
        <w:t>-</w:t>
      </w:r>
      <w:r>
        <w:t xml:space="preserve"> Sentencia </w:t>
      </w:r>
      <w:hyperlink w:anchor="SENTENCIA_2015_202" w:history="1">
        <w:r w:rsidRPr="00981775">
          <w:rPr>
            <w:rStyle w:val="TextoNormalCaracter"/>
          </w:rPr>
          <w:t>202/2015</w:t>
        </w:r>
      </w:hyperlink>
      <w:r>
        <w:t>, f. 1.</w:t>
      </w:r>
    </w:p>
    <w:p w:rsidR="00981775" w:rsidRDefault="00981775" w:rsidP="00981775">
      <w:pPr>
        <w:pStyle w:val="SangriaIzquierdaArticulo"/>
      </w:pPr>
      <w:r>
        <w:t xml:space="preserve">Auto </w:t>
      </w:r>
      <w:hyperlink w:anchor="AUTO_2015_183" w:history="1">
        <w:r w:rsidRPr="00981775">
          <w:rPr>
            <w:rStyle w:val="TextoNormalCaracter"/>
          </w:rPr>
          <w:t>183/2015</w:t>
        </w:r>
      </w:hyperlink>
      <w:r>
        <w:t>, ff. 2, 4.</w:t>
      </w:r>
    </w:p>
    <w:p w:rsidR="00981775" w:rsidRDefault="00981775" w:rsidP="00981775">
      <w:pPr>
        <w:pStyle w:val="SangriaFrancesaArticulo"/>
      </w:pPr>
      <w:r w:rsidRPr="00981775">
        <w:rPr>
          <w:rStyle w:val="TextoNormalNegritaCaracter"/>
        </w:rPr>
        <w:t>Artículo 149.1.15.</w:t>
      </w:r>
      <w:r w:rsidRPr="00981775">
        <w:rPr>
          <w:rStyle w:val="TextoNormalCaracter"/>
        </w:rPr>
        <w:t>-</w:t>
      </w:r>
      <w:r>
        <w:t xml:space="preserve"> Sentencia </w:t>
      </w:r>
      <w:hyperlink w:anchor="SENTENCIA_2015_176" w:history="1">
        <w:r w:rsidRPr="00981775">
          <w:rPr>
            <w:rStyle w:val="TextoNormalCaracter"/>
          </w:rPr>
          <w:t>176/2015</w:t>
        </w:r>
      </w:hyperlink>
      <w:r>
        <w:t>, f. 5.</w:t>
      </w:r>
    </w:p>
    <w:p w:rsidR="00981775" w:rsidRDefault="00981775" w:rsidP="00981775">
      <w:pPr>
        <w:pStyle w:val="SangriaFrancesaArticulo"/>
      </w:pPr>
      <w:r w:rsidRPr="00981775">
        <w:rPr>
          <w:rStyle w:val="TextoNormalNegritaCaracter"/>
        </w:rPr>
        <w:t>Artículo 149.1.16.</w:t>
      </w:r>
      <w:r w:rsidRPr="00981775">
        <w:rPr>
          <w:rStyle w:val="TextoNormalCaracter"/>
        </w:rPr>
        <w:t>-</w:t>
      </w:r>
      <w:r>
        <w:t xml:space="preserve"> Auto </w:t>
      </w:r>
      <w:hyperlink w:anchor="AUTO_2015_170" w:history="1">
        <w:r w:rsidRPr="00981775">
          <w:rPr>
            <w:rStyle w:val="TextoNormalCaracter"/>
          </w:rPr>
          <w:t>170/2015</w:t>
        </w:r>
      </w:hyperlink>
      <w:r>
        <w:t>, f. 2.</w:t>
      </w:r>
    </w:p>
    <w:p w:rsidR="00981775" w:rsidRDefault="00981775" w:rsidP="00981775">
      <w:pPr>
        <w:pStyle w:val="SangriaFrancesaArticulo"/>
      </w:pPr>
      <w:r w:rsidRPr="00981775">
        <w:rPr>
          <w:rStyle w:val="TextoNormalNegritaCaracter"/>
        </w:rPr>
        <w:t>Artículo 149.1.17.</w:t>
      </w:r>
      <w:r w:rsidRPr="00981775">
        <w:rPr>
          <w:rStyle w:val="TextoNormalCaracter"/>
        </w:rPr>
        <w:t>-</w:t>
      </w:r>
      <w:r>
        <w:t xml:space="preserve"> Sentencias </w:t>
      </w:r>
      <w:hyperlink w:anchor="SENTENCIA_2015_178" w:history="1">
        <w:r w:rsidRPr="00981775">
          <w:rPr>
            <w:rStyle w:val="TextoNormalCaracter"/>
          </w:rPr>
          <w:t>178/2015</w:t>
        </w:r>
      </w:hyperlink>
      <w:r>
        <w:t xml:space="preserve">, ff. 1, 3; </w:t>
      </w:r>
      <w:hyperlink w:anchor="SENTENCIA_2015_271" w:history="1">
        <w:r w:rsidRPr="00981775">
          <w:rPr>
            <w:rStyle w:val="TextoNormalCaracter"/>
          </w:rPr>
          <w:t>271/2015</w:t>
        </w:r>
      </w:hyperlink>
      <w:r>
        <w:t xml:space="preserve">, f. 6; </w:t>
      </w:r>
      <w:hyperlink w:anchor="SENTENCIA_2015_272" w:history="1">
        <w:r w:rsidRPr="00981775">
          <w:rPr>
            <w:rStyle w:val="TextoNormalCaracter"/>
          </w:rPr>
          <w:t>272/2015</w:t>
        </w:r>
      </w:hyperlink>
      <w:r>
        <w:t>, ff. 1, 3, 4.</w:t>
      </w:r>
    </w:p>
    <w:p w:rsidR="00981775" w:rsidRDefault="00981775" w:rsidP="00981775">
      <w:pPr>
        <w:pStyle w:val="SangriaFrancesaArticulo"/>
      </w:pPr>
      <w:r w:rsidRPr="00981775">
        <w:rPr>
          <w:rStyle w:val="TextoNormalNegritaCaracter"/>
        </w:rPr>
        <w:t>Artículo 149.1.18.</w:t>
      </w:r>
      <w:r w:rsidRPr="00981775">
        <w:rPr>
          <w:rStyle w:val="TextoNormalCaracter"/>
        </w:rPr>
        <w:t>-</w:t>
      </w:r>
      <w:r>
        <w:t xml:space="preserve"> Sentencias </w:t>
      </w:r>
      <w:hyperlink w:anchor="SENTENCIA_2015_154" w:history="1">
        <w:r w:rsidRPr="00981775">
          <w:rPr>
            <w:rStyle w:val="TextoNormalCaracter"/>
          </w:rPr>
          <w:t>154/2015</w:t>
        </w:r>
      </w:hyperlink>
      <w:r>
        <w:t xml:space="preserve">, ff. 1, 6, 7; </w:t>
      </w:r>
      <w:hyperlink w:anchor="SENTENCIA_2015_156" w:history="1">
        <w:r w:rsidRPr="00981775">
          <w:rPr>
            <w:rStyle w:val="TextoNormalCaracter"/>
          </w:rPr>
          <w:t>156/2015</w:t>
        </w:r>
      </w:hyperlink>
      <w:r>
        <w:t xml:space="preserve">, ff. 1, 7, 8, VP; </w:t>
      </w:r>
      <w:hyperlink w:anchor="SENTENCIA_2015_157" w:history="1">
        <w:r w:rsidRPr="00981775">
          <w:rPr>
            <w:rStyle w:val="TextoNormalCaracter"/>
          </w:rPr>
          <w:t>157/2015</w:t>
        </w:r>
      </w:hyperlink>
      <w:r>
        <w:t xml:space="preserve">, f. 2; </w:t>
      </w:r>
      <w:hyperlink w:anchor="SENTENCIA_2015_176" w:history="1">
        <w:r w:rsidRPr="00981775">
          <w:rPr>
            <w:rStyle w:val="TextoNormalCaracter"/>
          </w:rPr>
          <w:t>176/2015</w:t>
        </w:r>
      </w:hyperlink>
      <w:r>
        <w:t xml:space="preserve">, ff. 3, 5, 6, 8, VP; </w:t>
      </w:r>
      <w:hyperlink w:anchor="SENTENCIA_2015_200" w:history="1">
        <w:r w:rsidRPr="00981775">
          <w:rPr>
            <w:rStyle w:val="TextoNormalCaracter"/>
          </w:rPr>
          <w:t>200/2015</w:t>
        </w:r>
      </w:hyperlink>
      <w:r>
        <w:t xml:space="preserve">, ff. 1, 4; </w:t>
      </w:r>
      <w:hyperlink w:anchor="SENTENCIA_2015_215" w:history="1">
        <w:r w:rsidRPr="00981775">
          <w:rPr>
            <w:rStyle w:val="TextoNormalCaracter"/>
          </w:rPr>
          <w:t>215/2015</w:t>
        </w:r>
      </w:hyperlink>
      <w:r>
        <w:t xml:space="preserve">, ff. 1, 6; </w:t>
      </w:r>
      <w:hyperlink w:anchor="SENTENCIA_2015_218" w:history="1">
        <w:r w:rsidRPr="00981775">
          <w:rPr>
            <w:rStyle w:val="TextoNormalCaracter"/>
          </w:rPr>
          <w:t>218/2015</w:t>
        </w:r>
      </w:hyperlink>
      <w:r>
        <w:t xml:space="preserve">, f. 5, VP I, VP III; </w:t>
      </w:r>
      <w:hyperlink w:anchor="SENTENCIA_2015_229" w:history="1">
        <w:r w:rsidRPr="00981775">
          <w:rPr>
            <w:rStyle w:val="TextoNormalCaracter"/>
          </w:rPr>
          <w:t>229/2015</w:t>
        </w:r>
      </w:hyperlink>
      <w:r>
        <w:t xml:space="preserve">, ff. 3, 5 a 7; </w:t>
      </w:r>
      <w:hyperlink w:anchor="SENTENCIA_2015_230" w:history="1">
        <w:r w:rsidRPr="00981775">
          <w:rPr>
            <w:rStyle w:val="TextoNormalCaracter"/>
          </w:rPr>
          <w:t>230/2015</w:t>
        </w:r>
      </w:hyperlink>
      <w:r>
        <w:t xml:space="preserve">, f. 3; </w:t>
      </w:r>
      <w:hyperlink w:anchor="SENTENCIA_2015_236" w:history="1">
        <w:r w:rsidRPr="00981775">
          <w:rPr>
            <w:rStyle w:val="TextoNormalCaracter"/>
          </w:rPr>
          <w:t>236/2015</w:t>
        </w:r>
      </w:hyperlink>
      <w:r>
        <w:t xml:space="preserve">, ff. 1, 5, 7, 9, 10; </w:t>
      </w:r>
      <w:hyperlink w:anchor="SENTENCIA_2015_237" w:history="1">
        <w:r w:rsidRPr="00981775">
          <w:rPr>
            <w:rStyle w:val="TextoNormalCaracter"/>
          </w:rPr>
          <w:t>237/2015</w:t>
        </w:r>
      </w:hyperlink>
      <w:r>
        <w:t xml:space="preserve">, ff. 2, 7; </w:t>
      </w:r>
      <w:hyperlink w:anchor="SENTENCIA_2015_238" w:history="1">
        <w:r w:rsidRPr="00981775">
          <w:rPr>
            <w:rStyle w:val="TextoNormalCaracter"/>
          </w:rPr>
          <w:t>238/2015</w:t>
        </w:r>
      </w:hyperlink>
      <w:r>
        <w:t xml:space="preserve">, ff. 1 a 3, 5 a 7; </w:t>
      </w:r>
      <w:hyperlink w:anchor="SENTENCIA_2015_243" w:history="1">
        <w:r w:rsidRPr="00981775">
          <w:rPr>
            <w:rStyle w:val="TextoNormalCaracter"/>
          </w:rPr>
          <w:t>243/2015</w:t>
        </w:r>
      </w:hyperlink>
      <w:r>
        <w:t xml:space="preserve">, ff. 1, 7; </w:t>
      </w:r>
      <w:hyperlink w:anchor="SENTENCIA_2015_271" w:history="1">
        <w:r w:rsidRPr="00981775">
          <w:rPr>
            <w:rStyle w:val="TextoNormalCaracter"/>
          </w:rPr>
          <w:t>271/2015</w:t>
        </w:r>
      </w:hyperlink>
      <w:r>
        <w:t>, f. 3.</w:t>
      </w:r>
    </w:p>
    <w:p w:rsidR="00981775" w:rsidRDefault="00981775" w:rsidP="00981775">
      <w:pPr>
        <w:pStyle w:val="SangriaIzquierdaArticulo"/>
      </w:pPr>
      <w:r>
        <w:t xml:space="preserve">Autos </w:t>
      </w:r>
      <w:hyperlink w:anchor="AUTO_2015_185" w:history="1">
        <w:r w:rsidRPr="00981775">
          <w:rPr>
            <w:rStyle w:val="TextoNormalCaracter"/>
          </w:rPr>
          <w:t>185/2015</w:t>
        </w:r>
      </w:hyperlink>
      <w:r>
        <w:t xml:space="preserve">, ff. 1, 6; </w:t>
      </w:r>
      <w:hyperlink w:anchor="AUTO_2015_228" w:history="1">
        <w:r w:rsidRPr="00981775">
          <w:rPr>
            <w:rStyle w:val="TextoNormalCaracter"/>
          </w:rPr>
          <w:t>228/2015</w:t>
        </w:r>
      </w:hyperlink>
      <w:r>
        <w:t xml:space="preserve">, f. 2; </w:t>
      </w:r>
      <w:hyperlink w:anchor="AUTO_2015_229" w:history="1">
        <w:r w:rsidRPr="00981775">
          <w:rPr>
            <w:rStyle w:val="TextoNormalCaracter"/>
          </w:rPr>
          <w:t>229/2015</w:t>
        </w:r>
      </w:hyperlink>
      <w:r>
        <w:t>, f. 2.</w:t>
      </w:r>
    </w:p>
    <w:p w:rsidR="00981775" w:rsidRDefault="00981775" w:rsidP="00981775">
      <w:pPr>
        <w:pStyle w:val="SangriaFrancesaArticulo"/>
      </w:pPr>
      <w:r w:rsidRPr="00981775">
        <w:rPr>
          <w:rStyle w:val="TextoNormalNegritaCaracter"/>
        </w:rPr>
        <w:t>Artículo 149.1.21.</w:t>
      </w:r>
      <w:r w:rsidRPr="00981775">
        <w:rPr>
          <w:rStyle w:val="TextoNormalCaracter"/>
        </w:rPr>
        <w:t>-</w:t>
      </w:r>
      <w:r>
        <w:t xml:space="preserve"> Sentencia </w:t>
      </w:r>
      <w:hyperlink w:anchor="SENTENCIA_2015_197" w:history="1">
        <w:r w:rsidRPr="00981775">
          <w:rPr>
            <w:rStyle w:val="TextoNormalCaracter"/>
          </w:rPr>
          <w:t>197/2015</w:t>
        </w:r>
      </w:hyperlink>
      <w:r>
        <w:t>, f. 7.</w:t>
      </w:r>
    </w:p>
    <w:p w:rsidR="00981775" w:rsidRDefault="00981775" w:rsidP="00981775">
      <w:pPr>
        <w:pStyle w:val="SangriaFrancesaArticulo"/>
      </w:pPr>
      <w:r w:rsidRPr="00981775">
        <w:rPr>
          <w:rStyle w:val="TextoNormalNegritaCaracter"/>
        </w:rPr>
        <w:t>Artículo 149.1.22.</w:t>
      </w:r>
      <w:r w:rsidRPr="00981775">
        <w:rPr>
          <w:rStyle w:val="TextoNormalCaracter"/>
        </w:rPr>
        <w:t>-</w:t>
      </w:r>
      <w:r>
        <w:t xml:space="preserve"> Sentencia </w:t>
      </w:r>
      <w:hyperlink w:anchor="SENTENCIA_2015_196" w:history="1">
        <w:r w:rsidRPr="00981775">
          <w:rPr>
            <w:rStyle w:val="TextoNormalCaracter"/>
          </w:rPr>
          <w:t>196/2015</w:t>
        </w:r>
      </w:hyperlink>
      <w:r>
        <w:t>, ff. 1, 4, 5, VP.</w:t>
      </w:r>
    </w:p>
    <w:p w:rsidR="00981775" w:rsidRDefault="00981775" w:rsidP="00981775">
      <w:pPr>
        <w:pStyle w:val="SangriaIzquierdaArticulo"/>
      </w:pPr>
      <w:r>
        <w:t xml:space="preserve">Auto </w:t>
      </w:r>
      <w:hyperlink w:anchor="AUTO_2015_226" w:history="1">
        <w:r w:rsidRPr="00981775">
          <w:rPr>
            <w:rStyle w:val="TextoNormalCaracter"/>
          </w:rPr>
          <w:t>226/2015</w:t>
        </w:r>
      </w:hyperlink>
      <w:r>
        <w:t>, f. 1.</w:t>
      </w:r>
    </w:p>
    <w:p w:rsidR="00981775" w:rsidRDefault="00981775" w:rsidP="00981775">
      <w:pPr>
        <w:pStyle w:val="SangriaFrancesaArticulo"/>
      </w:pPr>
      <w:r w:rsidRPr="00981775">
        <w:rPr>
          <w:rStyle w:val="TextoNormalNegritaCaracter"/>
        </w:rPr>
        <w:t>Artículo 149.1.23.</w:t>
      </w:r>
      <w:r w:rsidRPr="00981775">
        <w:rPr>
          <w:rStyle w:val="TextoNormalCaracter"/>
        </w:rPr>
        <w:t>-</w:t>
      </w:r>
      <w:r>
        <w:t xml:space="preserve"> Sentencias </w:t>
      </w:r>
      <w:hyperlink w:anchor="SENTENCIA_2015_214" w:history="1">
        <w:r w:rsidRPr="00981775">
          <w:rPr>
            <w:rStyle w:val="TextoNormalCaracter"/>
          </w:rPr>
          <w:t>214/2015</w:t>
        </w:r>
      </w:hyperlink>
      <w:r>
        <w:t xml:space="preserve">, f. 3; </w:t>
      </w:r>
      <w:hyperlink w:anchor="SENTENCIA_2015_214" w:history="1">
        <w:r w:rsidRPr="00981775">
          <w:rPr>
            <w:rStyle w:val="TextoNormalCaracter"/>
          </w:rPr>
          <w:t>214/2015</w:t>
        </w:r>
      </w:hyperlink>
      <w:r>
        <w:t xml:space="preserve">, ff. 1 a 6; </w:t>
      </w:r>
      <w:hyperlink w:anchor="SENTENCIA_2015_233" w:history="1">
        <w:r w:rsidRPr="00981775">
          <w:rPr>
            <w:rStyle w:val="TextoNormalCaracter"/>
          </w:rPr>
          <w:t>233/2015</w:t>
        </w:r>
      </w:hyperlink>
      <w:r>
        <w:t xml:space="preserve">, ff. 4, 16; </w:t>
      </w:r>
      <w:hyperlink w:anchor="SENTENCIA_2015_235" w:history="1">
        <w:r w:rsidRPr="00981775">
          <w:rPr>
            <w:rStyle w:val="TextoNormalCaracter"/>
          </w:rPr>
          <w:t>235/2015</w:t>
        </w:r>
      </w:hyperlink>
      <w:r>
        <w:t xml:space="preserve">, ff. 1, 6; </w:t>
      </w:r>
      <w:hyperlink w:anchor="SENTENCIA_2015_269" w:history="1">
        <w:r w:rsidRPr="00981775">
          <w:rPr>
            <w:rStyle w:val="TextoNormalCaracter"/>
          </w:rPr>
          <w:t>269/2015</w:t>
        </w:r>
      </w:hyperlink>
      <w:r>
        <w:t>, ff. 1, 2.</w:t>
      </w:r>
    </w:p>
    <w:p w:rsidR="00981775" w:rsidRDefault="00981775" w:rsidP="00981775">
      <w:pPr>
        <w:pStyle w:val="SangriaFrancesaArticulo"/>
      </w:pPr>
      <w:r w:rsidRPr="00981775">
        <w:rPr>
          <w:rStyle w:val="TextoNormalNegritaCaracter"/>
        </w:rPr>
        <w:t>Artículo 149.1.25.</w:t>
      </w:r>
      <w:r w:rsidRPr="00981775">
        <w:rPr>
          <w:rStyle w:val="TextoNormalCaracter"/>
        </w:rPr>
        <w:t>-</w:t>
      </w:r>
      <w:r>
        <w:t xml:space="preserve"> Sentencias </w:t>
      </w:r>
      <w:hyperlink w:anchor="SENTENCIA_2015_235" w:history="1">
        <w:r w:rsidRPr="00981775">
          <w:rPr>
            <w:rStyle w:val="TextoNormalCaracter"/>
          </w:rPr>
          <w:t>235/2015</w:t>
        </w:r>
      </w:hyperlink>
      <w:r>
        <w:t xml:space="preserve">, ff. 1, 3 a 5; </w:t>
      </w:r>
      <w:hyperlink w:anchor="SENTENCIA_2015_260" w:history="1">
        <w:r w:rsidRPr="00981775">
          <w:rPr>
            <w:rStyle w:val="TextoNormalCaracter"/>
          </w:rPr>
          <w:t>260/2015</w:t>
        </w:r>
      </w:hyperlink>
      <w:r>
        <w:t>, ff. 1 a 3.</w:t>
      </w:r>
    </w:p>
    <w:p w:rsidR="00981775" w:rsidRDefault="00981775" w:rsidP="00981775">
      <w:pPr>
        <w:pStyle w:val="SangriaFrancesaArticulo"/>
      </w:pPr>
      <w:r w:rsidRPr="00981775">
        <w:rPr>
          <w:rStyle w:val="TextoNormalNegritaCaracter"/>
        </w:rPr>
        <w:t>Artículo 149.1.26.</w:t>
      </w:r>
      <w:r w:rsidRPr="00981775">
        <w:rPr>
          <w:rStyle w:val="TextoNormalCaracter"/>
        </w:rPr>
        <w:t>-</w:t>
      </w:r>
      <w:r>
        <w:t xml:space="preserve"> Sentencia </w:t>
      </w:r>
      <w:hyperlink w:anchor="SENTENCIA_2015_200" w:history="1">
        <w:r w:rsidRPr="00981775">
          <w:rPr>
            <w:rStyle w:val="TextoNormalCaracter"/>
          </w:rPr>
          <w:t>200/2015</w:t>
        </w:r>
      </w:hyperlink>
      <w:r>
        <w:t>, f. 3.</w:t>
      </w:r>
    </w:p>
    <w:p w:rsidR="00981775" w:rsidRDefault="00981775" w:rsidP="00981775">
      <w:pPr>
        <w:pStyle w:val="SangriaFrancesaArticulo"/>
      </w:pPr>
      <w:r w:rsidRPr="00981775">
        <w:rPr>
          <w:rStyle w:val="TextoNormalNegritaCaracter"/>
        </w:rPr>
        <w:t>Artículo 149.1.29.</w:t>
      </w:r>
      <w:r w:rsidRPr="00981775">
        <w:rPr>
          <w:rStyle w:val="TextoNormalCaracter"/>
        </w:rPr>
        <w:t>-</w:t>
      </w:r>
      <w:r>
        <w:t xml:space="preserve"> Auto </w:t>
      </w:r>
      <w:hyperlink w:anchor="AUTO_2015_170" w:history="1">
        <w:r w:rsidRPr="00981775">
          <w:rPr>
            <w:rStyle w:val="TextoNormalCaracter"/>
          </w:rPr>
          <w:t>170/2015</w:t>
        </w:r>
      </w:hyperlink>
      <w:r>
        <w:t>, f. 2.</w:t>
      </w:r>
    </w:p>
    <w:p w:rsidR="00981775" w:rsidRDefault="00981775" w:rsidP="00981775">
      <w:pPr>
        <w:pStyle w:val="SangriaFrancesaArticulo"/>
      </w:pPr>
      <w:r w:rsidRPr="00981775">
        <w:rPr>
          <w:rStyle w:val="TextoNormalNegritaCaracter"/>
        </w:rPr>
        <w:t>Artículo 149.1.30.</w:t>
      </w:r>
      <w:r w:rsidRPr="00981775">
        <w:rPr>
          <w:rStyle w:val="TextoNormalCaracter"/>
        </w:rPr>
        <w:t>-</w:t>
      </w:r>
      <w:r>
        <w:t xml:space="preserve"> Sentencias </w:t>
      </w:r>
      <w:hyperlink w:anchor="SENTENCIA_2015_176" w:history="1">
        <w:r w:rsidRPr="00981775">
          <w:rPr>
            <w:rStyle w:val="TextoNormalCaracter"/>
          </w:rPr>
          <w:t>176/2015</w:t>
        </w:r>
      </w:hyperlink>
      <w:r>
        <w:t xml:space="preserve">, f. 5; </w:t>
      </w:r>
      <w:hyperlink w:anchor="SENTENCIA_2015_229" w:history="1">
        <w:r w:rsidRPr="00981775">
          <w:rPr>
            <w:rStyle w:val="TextoNormalCaracter"/>
          </w:rPr>
          <w:t>229/2015</w:t>
        </w:r>
      </w:hyperlink>
      <w:r>
        <w:t xml:space="preserve">, ff. 6, 7; </w:t>
      </w:r>
      <w:hyperlink w:anchor="SENTENCIA_2015_271" w:history="1">
        <w:r w:rsidRPr="00981775">
          <w:rPr>
            <w:rStyle w:val="TextoNormalCaracter"/>
          </w:rPr>
          <w:t>271/2015</w:t>
        </w:r>
      </w:hyperlink>
      <w:r>
        <w:t>, ff. 1 a 3, 5.</w:t>
      </w:r>
    </w:p>
    <w:p w:rsidR="00981775" w:rsidRDefault="00981775" w:rsidP="00981775">
      <w:pPr>
        <w:pStyle w:val="SangriaFrancesaArticulo"/>
      </w:pPr>
      <w:r w:rsidRPr="00981775">
        <w:rPr>
          <w:rStyle w:val="TextoNormalNegritaCaracter"/>
        </w:rPr>
        <w:t>Artículo 149.3.</w:t>
      </w:r>
      <w:r w:rsidRPr="00981775">
        <w:rPr>
          <w:rStyle w:val="TextoNormalCaracter"/>
        </w:rPr>
        <w:t>-</w:t>
      </w:r>
      <w:r>
        <w:t xml:space="preserve"> Sentencia </w:t>
      </w:r>
      <w:hyperlink w:anchor="SENTENCIA_2015_195" w:history="1">
        <w:r w:rsidRPr="00981775">
          <w:rPr>
            <w:rStyle w:val="TextoNormalCaracter"/>
          </w:rPr>
          <w:t>195/2015</w:t>
        </w:r>
      </w:hyperlink>
      <w:r>
        <w:t>, VP.</w:t>
      </w:r>
    </w:p>
    <w:p w:rsidR="00981775" w:rsidRDefault="00981775" w:rsidP="00981775">
      <w:pPr>
        <w:pStyle w:val="SangriaFrancesaArticulo"/>
      </w:pPr>
      <w:r w:rsidRPr="00981775">
        <w:rPr>
          <w:rStyle w:val="TextoNormalNegritaCaracter"/>
        </w:rPr>
        <w:t>Artículo 149.30.</w:t>
      </w:r>
      <w:r w:rsidRPr="00981775">
        <w:rPr>
          <w:rStyle w:val="TextoNormalCaracter"/>
        </w:rPr>
        <w:t>-</w:t>
      </w:r>
      <w:r>
        <w:t xml:space="preserve"> Sentencia </w:t>
      </w:r>
      <w:hyperlink w:anchor="SENTENCIA_2015_176" w:history="1">
        <w:r w:rsidRPr="00981775">
          <w:rPr>
            <w:rStyle w:val="TextoNormalCaracter"/>
          </w:rPr>
          <w:t>176/2015</w:t>
        </w:r>
      </w:hyperlink>
      <w:r>
        <w:t>, f. 4.</w:t>
      </w:r>
    </w:p>
    <w:p w:rsidR="00981775" w:rsidRDefault="00981775" w:rsidP="00981775">
      <w:pPr>
        <w:pStyle w:val="SangriaFrancesaArticulo"/>
      </w:pPr>
      <w:r w:rsidRPr="00981775">
        <w:rPr>
          <w:rStyle w:val="TextoNormalNegritaCaracter"/>
        </w:rPr>
        <w:t>Artículo 150.2.</w:t>
      </w:r>
      <w:r w:rsidRPr="00981775">
        <w:rPr>
          <w:rStyle w:val="TextoNormalCaracter"/>
        </w:rPr>
        <w:t>-</w:t>
      </w:r>
      <w:r>
        <w:t xml:space="preserve"> Sentencia </w:t>
      </w:r>
      <w:hyperlink w:anchor="SENTENCIA_2015_196" w:history="1">
        <w:r w:rsidRPr="00981775">
          <w:rPr>
            <w:rStyle w:val="TextoNormalCaracter"/>
          </w:rPr>
          <w:t>196/2015</w:t>
        </w:r>
      </w:hyperlink>
      <w:r>
        <w:t>, f. 1.</w:t>
      </w:r>
    </w:p>
    <w:p w:rsidR="00981775" w:rsidRDefault="00981775" w:rsidP="00981775">
      <w:pPr>
        <w:pStyle w:val="SangriaFrancesaArticulo"/>
      </w:pPr>
      <w:r w:rsidRPr="00981775">
        <w:rPr>
          <w:rStyle w:val="TextoNormalNegritaCaracter"/>
        </w:rPr>
        <w:t>Artículo 153.</w:t>
      </w:r>
      <w:r w:rsidRPr="00981775">
        <w:rPr>
          <w:rStyle w:val="TextoNormalCaracter"/>
        </w:rPr>
        <w:t>-</w:t>
      </w:r>
      <w:r>
        <w:t xml:space="preserve"> Sentencia </w:t>
      </w:r>
      <w:hyperlink w:anchor="SENTENCIA_2015_236" w:history="1">
        <w:r w:rsidRPr="00981775">
          <w:rPr>
            <w:rStyle w:val="TextoNormalCaracter"/>
          </w:rPr>
          <w:t>236/2015</w:t>
        </w:r>
      </w:hyperlink>
      <w:r>
        <w:t>, VP.</w:t>
      </w:r>
    </w:p>
    <w:p w:rsidR="00981775" w:rsidRDefault="00981775" w:rsidP="00981775">
      <w:pPr>
        <w:pStyle w:val="SangriaFrancesaArticulo"/>
      </w:pPr>
      <w:r w:rsidRPr="00981775">
        <w:rPr>
          <w:rStyle w:val="TextoNormalNegritaCaracter"/>
        </w:rPr>
        <w:t>Artículo 156.</w:t>
      </w:r>
      <w:r w:rsidRPr="00981775">
        <w:rPr>
          <w:rStyle w:val="TextoNormalCaracter"/>
        </w:rPr>
        <w:t>-</w:t>
      </w:r>
      <w:r>
        <w:t xml:space="preserve"> Sentencia </w:t>
      </w:r>
      <w:hyperlink w:anchor="SENTENCIA_2015_243" w:history="1">
        <w:r w:rsidRPr="00981775">
          <w:rPr>
            <w:rStyle w:val="TextoNormalCaracter"/>
          </w:rPr>
          <w:t>243/2015</w:t>
        </w:r>
      </w:hyperlink>
      <w:r>
        <w:t>, f. 1.</w:t>
      </w:r>
    </w:p>
    <w:p w:rsidR="00981775" w:rsidRDefault="00981775" w:rsidP="00981775">
      <w:pPr>
        <w:pStyle w:val="SangriaIzquierdaArticulo"/>
      </w:pPr>
      <w:r>
        <w:t xml:space="preserve">Autos </w:t>
      </w:r>
      <w:hyperlink w:anchor="AUTO_2015_228" w:history="1">
        <w:r w:rsidRPr="00981775">
          <w:rPr>
            <w:rStyle w:val="TextoNormalCaracter"/>
          </w:rPr>
          <w:t>228/2015</w:t>
        </w:r>
      </w:hyperlink>
      <w:r>
        <w:t xml:space="preserve">, f. 2; </w:t>
      </w:r>
      <w:hyperlink w:anchor="AUTO_2015_229" w:history="1">
        <w:r w:rsidRPr="00981775">
          <w:rPr>
            <w:rStyle w:val="TextoNormalCaracter"/>
          </w:rPr>
          <w:t>229/2015</w:t>
        </w:r>
      </w:hyperlink>
      <w:r>
        <w:t>, f. 2.</w:t>
      </w:r>
    </w:p>
    <w:p w:rsidR="00981775" w:rsidRDefault="00981775" w:rsidP="00981775">
      <w:pPr>
        <w:pStyle w:val="SangriaFrancesaArticulo"/>
      </w:pPr>
      <w:r w:rsidRPr="00981775">
        <w:rPr>
          <w:rStyle w:val="TextoNormalNegritaCaracter"/>
        </w:rPr>
        <w:t>Artículo 156.1.</w:t>
      </w:r>
      <w:r w:rsidRPr="00981775">
        <w:rPr>
          <w:rStyle w:val="TextoNormalCaracter"/>
        </w:rPr>
        <w:t>-</w:t>
      </w:r>
      <w:r>
        <w:t xml:space="preserve"> Sentencias </w:t>
      </w:r>
      <w:hyperlink w:anchor="SENTENCIA_2015_156" w:history="1">
        <w:r w:rsidRPr="00981775">
          <w:rPr>
            <w:rStyle w:val="TextoNormalCaracter"/>
          </w:rPr>
          <w:t>156/2015</w:t>
        </w:r>
      </w:hyperlink>
      <w:r>
        <w:t xml:space="preserve">, f. 8; </w:t>
      </w:r>
      <w:hyperlink w:anchor="SENTENCIA_2015_178" w:history="1">
        <w:r w:rsidRPr="00981775">
          <w:rPr>
            <w:rStyle w:val="TextoNormalCaracter"/>
          </w:rPr>
          <w:t>178/2015</w:t>
        </w:r>
      </w:hyperlink>
      <w:r>
        <w:t xml:space="preserve">, f. 4; </w:t>
      </w:r>
      <w:hyperlink w:anchor="SENTENCIA_2015_215" w:history="1">
        <w:r w:rsidRPr="00981775">
          <w:rPr>
            <w:rStyle w:val="TextoNormalCaracter"/>
          </w:rPr>
          <w:t>215/2015</w:t>
        </w:r>
      </w:hyperlink>
      <w:r>
        <w:t xml:space="preserve">, ff. 1, 6; </w:t>
      </w:r>
      <w:hyperlink w:anchor="SENTENCIA_2015_243" w:history="1">
        <w:r w:rsidRPr="00981775">
          <w:rPr>
            <w:rStyle w:val="TextoNormalCaracter"/>
          </w:rPr>
          <w:t>243/2015</w:t>
        </w:r>
      </w:hyperlink>
      <w:r>
        <w:t>, f. 7.</w:t>
      </w:r>
    </w:p>
    <w:p w:rsidR="00981775" w:rsidRDefault="00981775" w:rsidP="00981775">
      <w:pPr>
        <w:pStyle w:val="SangriaFrancesaArticulo"/>
      </w:pPr>
      <w:r w:rsidRPr="00981775">
        <w:rPr>
          <w:rStyle w:val="TextoNormalNegritaCaracter"/>
        </w:rPr>
        <w:t>Artículo 157.</w:t>
      </w:r>
      <w:r w:rsidRPr="00981775">
        <w:rPr>
          <w:rStyle w:val="TextoNormalCaracter"/>
        </w:rPr>
        <w:t>-</w:t>
      </w:r>
      <w:r>
        <w:t xml:space="preserve"> Sentencia </w:t>
      </w:r>
      <w:hyperlink w:anchor="SENTENCIA_2015_202" w:history="1">
        <w:r w:rsidRPr="00981775">
          <w:rPr>
            <w:rStyle w:val="TextoNormalCaracter"/>
          </w:rPr>
          <w:t>202/2015</w:t>
        </w:r>
      </w:hyperlink>
      <w:r>
        <w:t>, f. 1.</w:t>
      </w:r>
    </w:p>
    <w:p w:rsidR="00981775" w:rsidRDefault="00981775" w:rsidP="00981775">
      <w:pPr>
        <w:pStyle w:val="SangriaFrancesaArticulo"/>
      </w:pPr>
      <w:r w:rsidRPr="00981775">
        <w:rPr>
          <w:rStyle w:val="TextoNormalNegritaCaracter"/>
        </w:rPr>
        <w:t>Artículo 157.1.</w:t>
      </w:r>
      <w:r w:rsidRPr="00981775">
        <w:rPr>
          <w:rStyle w:val="TextoNormalCaracter"/>
        </w:rPr>
        <w:t>-</w:t>
      </w:r>
      <w:r>
        <w:t xml:space="preserve"> Auto </w:t>
      </w:r>
      <w:hyperlink w:anchor="AUTO_2015_183" w:history="1">
        <w:r w:rsidRPr="00981775">
          <w:rPr>
            <w:rStyle w:val="TextoNormalCaracter"/>
          </w:rPr>
          <w:t>183/2015</w:t>
        </w:r>
      </w:hyperlink>
      <w:r>
        <w:t>, f. 3.</w:t>
      </w:r>
    </w:p>
    <w:p w:rsidR="00981775" w:rsidRDefault="00981775" w:rsidP="00981775">
      <w:pPr>
        <w:pStyle w:val="SangriaFrancesaArticulo"/>
      </w:pPr>
      <w:r w:rsidRPr="00981775">
        <w:rPr>
          <w:rStyle w:val="TextoNormalNegritaCaracter"/>
        </w:rPr>
        <w:t>Artículo 157.3.</w:t>
      </w:r>
      <w:r w:rsidRPr="00981775">
        <w:rPr>
          <w:rStyle w:val="TextoNormalCaracter"/>
        </w:rPr>
        <w:t>-</w:t>
      </w:r>
      <w:r>
        <w:t xml:space="preserve"> Sentencias </w:t>
      </w:r>
      <w:hyperlink w:anchor="SENTENCIA_2015_202" w:history="1">
        <w:r w:rsidRPr="00981775">
          <w:rPr>
            <w:rStyle w:val="TextoNormalCaracter"/>
          </w:rPr>
          <w:t>202/2015</w:t>
        </w:r>
      </w:hyperlink>
      <w:r>
        <w:t xml:space="preserve">, f. 3; </w:t>
      </w:r>
      <w:hyperlink w:anchor="SENTENCIA_2015_211" w:history="1">
        <w:r w:rsidRPr="00981775">
          <w:rPr>
            <w:rStyle w:val="TextoNormalCaracter"/>
          </w:rPr>
          <w:t>211/2015</w:t>
        </w:r>
      </w:hyperlink>
      <w:r>
        <w:t>, ff. 1, 2.</w:t>
      </w:r>
    </w:p>
    <w:p w:rsidR="00981775" w:rsidRDefault="00981775" w:rsidP="00981775">
      <w:pPr>
        <w:pStyle w:val="SangriaFrancesaArticulo"/>
      </w:pPr>
      <w:r w:rsidRPr="00981775">
        <w:rPr>
          <w:rStyle w:val="TextoNormalNegritaCaracter"/>
        </w:rPr>
        <w:t>Artículo 161.1 b).</w:t>
      </w:r>
      <w:r w:rsidRPr="00981775">
        <w:rPr>
          <w:rStyle w:val="TextoNormalCaracter"/>
        </w:rPr>
        <w:t>-</w:t>
      </w:r>
      <w:r>
        <w:t xml:space="preserve"> Sentencias </w:t>
      </w:r>
      <w:hyperlink w:anchor="SENTENCIA_2015_149" w:history="1">
        <w:r w:rsidRPr="00981775">
          <w:rPr>
            <w:rStyle w:val="TextoNormalCaracter"/>
          </w:rPr>
          <w:t>149/2015</w:t>
        </w:r>
      </w:hyperlink>
      <w:r>
        <w:t xml:space="preserve">, f. 3; </w:t>
      </w:r>
      <w:hyperlink w:anchor="SENTENCIA_2015_159" w:history="1">
        <w:r w:rsidRPr="00981775">
          <w:rPr>
            <w:rStyle w:val="TextoNormalCaracter"/>
          </w:rPr>
          <w:t>159/2015</w:t>
        </w:r>
      </w:hyperlink>
      <w:r>
        <w:t xml:space="preserve">, f. 2; </w:t>
      </w:r>
      <w:hyperlink w:anchor="SENTENCIA_2015_208" w:history="1">
        <w:r w:rsidRPr="00981775">
          <w:rPr>
            <w:rStyle w:val="TextoNormalCaracter"/>
          </w:rPr>
          <w:t>208/2015</w:t>
        </w:r>
      </w:hyperlink>
      <w:r>
        <w:t xml:space="preserve">, f. 5; </w:t>
      </w:r>
      <w:hyperlink w:anchor="SENTENCIA_2015_232" w:history="1">
        <w:r w:rsidRPr="00981775">
          <w:rPr>
            <w:rStyle w:val="TextoNormalCaracter"/>
          </w:rPr>
          <w:t>232/2015</w:t>
        </w:r>
      </w:hyperlink>
      <w:r>
        <w:t>, f. 4.</w:t>
      </w:r>
    </w:p>
    <w:p w:rsidR="00981775" w:rsidRDefault="00981775" w:rsidP="00981775">
      <w:pPr>
        <w:pStyle w:val="SangriaIzquierdaArticulo"/>
      </w:pPr>
      <w:r>
        <w:t xml:space="preserve">Autos </w:t>
      </w:r>
      <w:hyperlink w:anchor="AUTO_2015_125" w:history="1">
        <w:r w:rsidRPr="00981775">
          <w:rPr>
            <w:rStyle w:val="TextoNormalCaracter"/>
          </w:rPr>
          <w:t>125/2015</w:t>
        </w:r>
      </w:hyperlink>
      <w:r>
        <w:t xml:space="preserve">, f. único; </w:t>
      </w:r>
      <w:hyperlink w:anchor="AUTO_2015_157" w:history="1">
        <w:r w:rsidRPr="00981775">
          <w:rPr>
            <w:rStyle w:val="TextoNormalCaracter"/>
          </w:rPr>
          <w:t>157/2015</w:t>
        </w:r>
      </w:hyperlink>
      <w:r>
        <w:t xml:space="preserve">, Único; </w:t>
      </w:r>
      <w:hyperlink w:anchor="AUTO_2015_158" w:history="1">
        <w:r w:rsidRPr="00981775">
          <w:rPr>
            <w:rStyle w:val="TextoNormalCaracter"/>
          </w:rPr>
          <w:t>158/2015</w:t>
        </w:r>
      </w:hyperlink>
      <w:r>
        <w:t xml:space="preserve">, Único; </w:t>
      </w:r>
      <w:hyperlink w:anchor="AUTO_2015_174" w:history="1">
        <w:r w:rsidRPr="00981775">
          <w:rPr>
            <w:rStyle w:val="TextoNormalCaracter"/>
          </w:rPr>
          <w:t>174/2015</w:t>
        </w:r>
      </w:hyperlink>
      <w:r>
        <w:t xml:space="preserve">, f. único; </w:t>
      </w:r>
      <w:hyperlink w:anchor="AUTO_2015_191" w:history="1">
        <w:r w:rsidRPr="00981775">
          <w:rPr>
            <w:rStyle w:val="TextoNormalCaracter"/>
          </w:rPr>
          <w:t>191/2015</w:t>
        </w:r>
      </w:hyperlink>
      <w:r>
        <w:t xml:space="preserve">, f. único; </w:t>
      </w:r>
      <w:hyperlink w:anchor="AUTO_2015_192" w:history="1">
        <w:r w:rsidRPr="00981775">
          <w:rPr>
            <w:rStyle w:val="TextoNormalCaracter"/>
          </w:rPr>
          <w:t>192/2015</w:t>
        </w:r>
      </w:hyperlink>
      <w:r>
        <w:t>, f. único.</w:t>
      </w:r>
    </w:p>
    <w:p w:rsidR="00981775" w:rsidRDefault="00981775" w:rsidP="00981775">
      <w:pPr>
        <w:pStyle w:val="SangriaFrancesaArticulo"/>
      </w:pPr>
      <w:r w:rsidRPr="00981775">
        <w:rPr>
          <w:rStyle w:val="TextoNormalNegritaCaracter"/>
        </w:rPr>
        <w:t>Artículo 161.2.</w:t>
      </w:r>
      <w:r w:rsidRPr="00981775">
        <w:rPr>
          <w:rStyle w:val="TextoNormalCaracter"/>
        </w:rPr>
        <w:t>-</w:t>
      </w:r>
      <w:r>
        <w:t xml:space="preserve"> Sentencias </w:t>
      </w:r>
      <w:hyperlink w:anchor="SENTENCIA_2015_238" w:history="1">
        <w:r w:rsidRPr="00981775">
          <w:rPr>
            <w:rStyle w:val="TextoNormalCaracter"/>
          </w:rPr>
          <w:t>238/2015</w:t>
        </w:r>
      </w:hyperlink>
      <w:r>
        <w:t xml:space="preserve">, f. 9; </w:t>
      </w:r>
      <w:hyperlink w:anchor="SENTENCIA_2015_259" w:history="1">
        <w:r w:rsidRPr="00981775">
          <w:rPr>
            <w:rStyle w:val="TextoNormalCaracter"/>
          </w:rPr>
          <w:t>259/2015</w:t>
        </w:r>
      </w:hyperlink>
      <w:r>
        <w:t>, ff. 1, 2.</w:t>
      </w:r>
    </w:p>
    <w:p w:rsidR="00981775" w:rsidRDefault="00981775" w:rsidP="00981775">
      <w:pPr>
        <w:pStyle w:val="SangriaIzquierdaArticulo"/>
      </w:pPr>
      <w:r>
        <w:t xml:space="preserve">Autos </w:t>
      </w:r>
      <w:hyperlink w:anchor="AUTO_2015_122" w:history="1">
        <w:r w:rsidRPr="00981775">
          <w:rPr>
            <w:rStyle w:val="TextoNormalCaracter"/>
          </w:rPr>
          <w:t>122/2015</w:t>
        </w:r>
      </w:hyperlink>
      <w:r>
        <w:t xml:space="preserve">, ff. 1, 2; </w:t>
      </w:r>
      <w:hyperlink w:anchor="AUTO_2015_135" w:history="1">
        <w:r w:rsidRPr="00981775">
          <w:rPr>
            <w:rStyle w:val="TextoNormalCaracter"/>
          </w:rPr>
          <w:t>135/2015</w:t>
        </w:r>
      </w:hyperlink>
      <w:r>
        <w:t xml:space="preserve">, f. 1; </w:t>
      </w:r>
      <w:hyperlink w:anchor="AUTO_2015_170" w:history="1">
        <w:r w:rsidRPr="00981775">
          <w:rPr>
            <w:rStyle w:val="TextoNormalCaracter"/>
          </w:rPr>
          <w:t>170/2015</w:t>
        </w:r>
      </w:hyperlink>
      <w:r>
        <w:t xml:space="preserve">, ff. 1, 4; </w:t>
      </w:r>
      <w:hyperlink w:anchor="AUTO_2015_181" w:history="1">
        <w:r w:rsidRPr="00981775">
          <w:rPr>
            <w:rStyle w:val="TextoNormalCaracter"/>
          </w:rPr>
          <w:t>181/2015</w:t>
        </w:r>
      </w:hyperlink>
      <w:r>
        <w:t xml:space="preserve">, f. 1; </w:t>
      </w:r>
      <w:hyperlink w:anchor="AUTO_2015_182" w:history="1">
        <w:r w:rsidRPr="00981775">
          <w:rPr>
            <w:rStyle w:val="TextoNormalCaracter"/>
          </w:rPr>
          <w:t>182/2015</w:t>
        </w:r>
      </w:hyperlink>
      <w:r>
        <w:t xml:space="preserve">, f. 1; </w:t>
      </w:r>
      <w:hyperlink w:anchor="AUTO_2015_185" w:history="1">
        <w:r w:rsidRPr="00981775">
          <w:rPr>
            <w:rStyle w:val="TextoNormalCaracter"/>
          </w:rPr>
          <w:t>185/2015</w:t>
        </w:r>
      </w:hyperlink>
      <w:r>
        <w:t xml:space="preserve">, ff. 1 a 3, 5; </w:t>
      </w:r>
      <w:hyperlink w:anchor="AUTO_2015_186" w:history="1">
        <w:r w:rsidRPr="00981775">
          <w:rPr>
            <w:rStyle w:val="TextoNormalCaracter"/>
          </w:rPr>
          <w:t>186/2015</w:t>
        </w:r>
      </w:hyperlink>
      <w:r>
        <w:t xml:space="preserve">, f. 1; </w:t>
      </w:r>
      <w:hyperlink w:anchor="AUTO_2015_196" w:history="1">
        <w:r w:rsidRPr="00981775">
          <w:rPr>
            <w:rStyle w:val="TextoNormalCaracter"/>
          </w:rPr>
          <w:t>196/2015</w:t>
        </w:r>
      </w:hyperlink>
      <w:r>
        <w:t xml:space="preserve">, ff. 1, 2; </w:t>
      </w:r>
      <w:hyperlink w:anchor="AUTO_2015_202" w:history="1">
        <w:r w:rsidRPr="00981775">
          <w:rPr>
            <w:rStyle w:val="TextoNormalCaracter"/>
          </w:rPr>
          <w:t>202/2015</w:t>
        </w:r>
      </w:hyperlink>
      <w:r>
        <w:t xml:space="preserve">, ff. 1, 2; </w:t>
      </w:r>
      <w:hyperlink w:anchor="AUTO_2015_226" w:history="1">
        <w:r w:rsidRPr="00981775">
          <w:rPr>
            <w:rStyle w:val="TextoNormalCaracter"/>
          </w:rPr>
          <w:t>226/2015</w:t>
        </w:r>
      </w:hyperlink>
      <w:r>
        <w:t>, f. 2.</w:t>
      </w:r>
    </w:p>
    <w:p w:rsidR="00981775" w:rsidRDefault="00981775" w:rsidP="00981775">
      <w:pPr>
        <w:pStyle w:val="SangriaFrancesaArticulo"/>
      </w:pPr>
      <w:r w:rsidRPr="00981775">
        <w:rPr>
          <w:rStyle w:val="TextoNormalNegritaCaracter"/>
        </w:rPr>
        <w:t>Artículo 162.1 a).</w:t>
      </w:r>
      <w:r w:rsidRPr="00981775">
        <w:rPr>
          <w:rStyle w:val="TextoNormalCaracter"/>
        </w:rPr>
        <w:t>-</w:t>
      </w:r>
      <w:r>
        <w:t xml:space="preserve"> Sentencia </w:t>
      </w:r>
      <w:hyperlink w:anchor="SENTENCIA_2015_216" w:history="1">
        <w:r w:rsidRPr="00981775">
          <w:rPr>
            <w:rStyle w:val="TextoNormalCaracter"/>
          </w:rPr>
          <w:t>216/2015</w:t>
        </w:r>
      </w:hyperlink>
      <w:r>
        <w:t>, f. 4.</w:t>
      </w:r>
    </w:p>
    <w:p w:rsidR="00981775" w:rsidRDefault="00981775" w:rsidP="00981775">
      <w:pPr>
        <w:pStyle w:val="SangriaIzquierdaArticulo"/>
      </w:pPr>
      <w:r>
        <w:t xml:space="preserve">Autos </w:t>
      </w:r>
      <w:hyperlink w:anchor="AUTO_2015_139" w:history="1">
        <w:r w:rsidRPr="00981775">
          <w:rPr>
            <w:rStyle w:val="TextoNormalCaracter"/>
          </w:rPr>
          <w:t>139/2015</w:t>
        </w:r>
      </w:hyperlink>
      <w:r>
        <w:t xml:space="preserve">, f. único; </w:t>
      </w:r>
      <w:hyperlink w:anchor="AUTO_2015_148" w:history="1">
        <w:r w:rsidRPr="00981775">
          <w:rPr>
            <w:rStyle w:val="TextoNormalCaracter"/>
          </w:rPr>
          <w:t>148/2015</w:t>
        </w:r>
      </w:hyperlink>
      <w:r>
        <w:t>, Único.</w:t>
      </w:r>
    </w:p>
    <w:p w:rsidR="00981775" w:rsidRDefault="00981775" w:rsidP="00981775">
      <w:pPr>
        <w:pStyle w:val="SangriaFrancesaArticulo"/>
      </w:pPr>
      <w:r w:rsidRPr="00981775">
        <w:rPr>
          <w:rStyle w:val="TextoNormalNegritaCaracter"/>
        </w:rPr>
        <w:t>Artículo 162.1 b).</w:t>
      </w:r>
      <w:r w:rsidRPr="00981775">
        <w:rPr>
          <w:rStyle w:val="TextoNormalCaracter"/>
        </w:rPr>
        <w:t>-</w:t>
      </w:r>
      <w:r>
        <w:t xml:space="preserve"> Sentencia </w:t>
      </w:r>
      <w:hyperlink w:anchor="SENTENCIA_2015_182" w:history="1">
        <w:r w:rsidRPr="00981775">
          <w:rPr>
            <w:rStyle w:val="TextoNormalCaracter"/>
          </w:rPr>
          <w:t>182/2015</w:t>
        </w:r>
      </w:hyperlink>
      <w:r>
        <w:t>, f. 2.</w:t>
      </w:r>
    </w:p>
    <w:p w:rsidR="00981775" w:rsidRDefault="00981775" w:rsidP="00981775">
      <w:pPr>
        <w:pStyle w:val="SangriaIzquierdaArticulo"/>
      </w:pPr>
      <w:r>
        <w:t xml:space="preserve">Auto </w:t>
      </w:r>
      <w:hyperlink w:anchor="AUTO_2015_148" w:history="1">
        <w:r w:rsidRPr="00981775">
          <w:rPr>
            <w:rStyle w:val="TextoNormalCaracter"/>
          </w:rPr>
          <w:t>148/2015</w:t>
        </w:r>
      </w:hyperlink>
      <w:r>
        <w:t>, Único.</w:t>
      </w:r>
    </w:p>
    <w:p w:rsidR="00981775" w:rsidRDefault="00981775" w:rsidP="00981775">
      <w:pPr>
        <w:pStyle w:val="SangriaFrancesaArticulo"/>
      </w:pPr>
      <w:r w:rsidRPr="00981775">
        <w:rPr>
          <w:rStyle w:val="TextoNormalNegritaCaracter"/>
        </w:rPr>
        <w:t>Artículo 163.</w:t>
      </w:r>
      <w:r w:rsidRPr="00981775">
        <w:rPr>
          <w:rStyle w:val="TextoNormalCaracter"/>
        </w:rPr>
        <w:t>-</w:t>
      </w:r>
      <w:r>
        <w:t xml:space="preserve"> Sentencias </w:t>
      </w:r>
      <w:hyperlink w:anchor="SENTENCIA_2015_151" w:history="1">
        <w:r w:rsidRPr="00981775">
          <w:rPr>
            <w:rStyle w:val="TextoNormalCaracter"/>
          </w:rPr>
          <w:t>151/2015</w:t>
        </w:r>
      </w:hyperlink>
      <w:r>
        <w:t xml:space="preserve">, f. 3; </w:t>
      </w:r>
      <w:hyperlink w:anchor="SENTENCIA_2015_153" w:history="1">
        <w:r w:rsidRPr="00981775">
          <w:rPr>
            <w:rStyle w:val="TextoNormalCaracter"/>
          </w:rPr>
          <w:t>153/2015</w:t>
        </w:r>
      </w:hyperlink>
      <w:r>
        <w:t xml:space="preserve">, f. 3; </w:t>
      </w:r>
      <w:hyperlink w:anchor="SENTENCIA_2015_161" w:history="1">
        <w:r w:rsidRPr="00981775">
          <w:rPr>
            <w:rStyle w:val="TextoNormalCaracter"/>
          </w:rPr>
          <w:t>161/2015</w:t>
        </w:r>
      </w:hyperlink>
      <w:r>
        <w:t xml:space="preserve">, f. 3; </w:t>
      </w:r>
      <w:hyperlink w:anchor="SENTENCIA_2015_162" w:history="1">
        <w:r w:rsidRPr="00981775">
          <w:rPr>
            <w:rStyle w:val="TextoNormalCaracter"/>
          </w:rPr>
          <w:t>162/2015</w:t>
        </w:r>
      </w:hyperlink>
      <w:r>
        <w:t xml:space="preserve">, f. 3; </w:t>
      </w:r>
      <w:hyperlink w:anchor="SENTENCIA_2015_163" w:history="1">
        <w:r w:rsidRPr="00981775">
          <w:rPr>
            <w:rStyle w:val="TextoNormalCaracter"/>
          </w:rPr>
          <w:t>163/2015</w:t>
        </w:r>
      </w:hyperlink>
      <w:r>
        <w:t xml:space="preserve">, f. 3; </w:t>
      </w:r>
      <w:hyperlink w:anchor="SENTENCIA_2015_164" w:history="1">
        <w:r w:rsidRPr="00981775">
          <w:rPr>
            <w:rStyle w:val="TextoNormalCaracter"/>
          </w:rPr>
          <w:t>164/2015</w:t>
        </w:r>
      </w:hyperlink>
      <w:r>
        <w:t xml:space="preserve">, f. 3; </w:t>
      </w:r>
      <w:hyperlink w:anchor="SENTENCIA_2015_165" w:history="1">
        <w:r w:rsidRPr="00981775">
          <w:rPr>
            <w:rStyle w:val="TextoNormalCaracter"/>
          </w:rPr>
          <w:t>165/2015</w:t>
        </w:r>
      </w:hyperlink>
      <w:r>
        <w:t xml:space="preserve">, f. 3; </w:t>
      </w:r>
      <w:hyperlink w:anchor="SENTENCIA_2015_166" w:history="1">
        <w:r w:rsidRPr="00981775">
          <w:rPr>
            <w:rStyle w:val="TextoNormalCaracter"/>
          </w:rPr>
          <w:t>166/2015</w:t>
        </w:r>
      </w:hyperlink>
      <w:r>
        <w:t xml:space="preserve">, f. 3; </w:t>
      </w:r>
      <w:hyperlink w:anchor="SENTENCIA_2015_170" w:history="1">
        <w:r w:rsidRPr="00981775">
          <w:rPr>
            <w:rStyle w:val="TextoNormalCaracter"/>
          </w:rPr>
          <w:t>170/2015</w:t>
        </w:r>
      </w:hyperlink>
      <w:r>
        <w:t xml:space="preserve">, f. 3; </w:t>
      </w:r>
      <w:hyperlink w:anchor="SENTENCIA_2015_171" w:history="1">
        <w:r w:rsidRPr="00981775">
          <w:rPr>
            <w:rStyle w:val="TextoNormalCaracter"/>
          </w:rPr>
          <w:t>171/2015</w:t>
        </w:r>
      </w:hyperlink>
      <w:r>
        <w:t xml:space="preserve">, f. 3; </w:t>
      </w:r>
      <w:hyperlink w:anchor="SENTENCIA_2015_172" w:history="1">
        <w:r w:rsidRPr="00981775">
          <w:rPr>
            <w:rStyle w:val="TextoNormalCaracter"/>
          </w:rPr>
          <w:t>172/2015</w:t>
        </w:r>
      </w:hyperlink>
      <w:r>
        <w:t xml:space="preserve">, f. 3; </w:t>
      </w:r>
      <w:hyperlink w:anchor="SENTENCIA_2015_173" w:history="1">
        <w:r w:rsidRPr="00981775">
          <w:rPr>
            <w:rStyle w:val="TextoNormalCaracter"/>
          </w:rPr>
          <w:t>173/2015</w:t>
        </w:r>
      </w:hyperlink>
      <w:r>
        <w:t xml:space="preserve">, f. 3; </w:t>
      </w:r>
      <w:hyperlink w:anchor="SENTENCIA_2015_174" w:history="1">
        <w:r w:rsidRPr="00981775">
          <w:rPr>
            <w:rStyle w:val="TextoNormalCaracter"/>
          </w:rPr>
          <w:t>174/2015</w:t>
        </w:r>
      </w:hyperlink>
      <w:r>
        <w:t xml:space="preserve">, f. 3; </w:t>
      </w:r>
      <w:hyperlink w:anchor="SENTENCIA_2015_175" w:history="1">
        <w:r w:rsidRPr="00981775">
          <w:rPr>
            <w:rStyle w:val="TextoNormalCaracter"/>
          </w:rPr>
          <w:t>175/2015</w:t>
        </w:r>
      </w:hyperlink>
      <w:r>
        <w:t xml:space="preserve">, f. 3; </w:t>
      </w:r>
      <w:hyperlink w:anchor="SENTENCIA_2015_184" w:history="1">
        <w:r w:rsidRPr="00981775">
          <w:rPr>
            <w:rStyle w:val="TextoNormalCaracter"/>
          </w:rPr>
          <w:t>184/2015</w:t>
        </w:r>
      </w:hyperlink>
      <w:r>
        <w:t xml:space="preserve">, f. 3; </w:t>
      </w:r>
      <w:hyperlink w:anchor="SENTENCIA_2015_188" w:history="1">
        <w:r w:rsidRPr="00981775">
          <w:rPr>
            <w:rStyle w:val="TextoNormalCaracter"/>
          </w:rPr>
          <w:t>188/2015</w:t>
        </w:r>
      </w:hyperlink>
      <w:r>
        <w:t xml:space="preserve">, f. 3; </w:t>
      </w:r>
      <w:hyperlink w:anchor="SENTENCIA_2015_189" w:history="1">
        <w:r w:rsidRPr="00981775">
          <w:rPr>
            <w:rStyle w:val="TextoNormalCaracter"/>
          </w:rPr>
          <w:t>189/2015</w:t>
        </w:r>
      </w:hyperlink>
      <w:r>
        <w:t xml:space="preserve">, f. 3; </w:t>
      </w:r>
      <w:hyperlink w:anchor="SENTENCIA_2015_190" w:history="1">
        <w:r w:rsidRPr="00981775">
          <w:rPr>
            <w:rStyle w:val="TextoNormalCaracter"/>
          </w:rPr>
          <w:t>190/2015</w:t>
        </w:r>
      </w:hyperlink>
      <w:r>
        <w:t xml:space="preserve">, f. 3; </w:t>
      </w:r>
      <w:hyperlink w:anchor="SENTENCIA_2015_191" w:history="1">
        <w:r w:rsidRPr="00981775">
          <w:rPr>
            <w:rStyle w:val="TextoNormalCaracter"/>
          </w:rPr>
          <w:t>191/2015</w:t>
        </w:r>
      </w:hyperlink>
      <w:r>
        <w:t xml:space="preserve">, f. 3; </w:t>
      </w:r>
      <w:hyperlink w:anchor="SENTENCIA_2015_192" w:history="1">
        <w:r w:rsidRPr="00981775">
          <w:rPr>
            <w:rStyle w:val="TextoNormalCaracter"/>
          </w:rPr>
          <w:t>192/2015</w:t>
        </w:r>
      </w:hyperlink>
      <w:r>
        <w:t xml:space="preserve">, f. 3; </w:t>
      </w:r>
      <w:hyperlink w:anchor="SENTENCIA_2015_193" w:history="1">
        <w:r w:rsidRPr="00981775">
          <w:rPr>
            <w:rStyle w:val="TextoNormalCaracter"/>
          </w:rPr>
          <w:t>193/2015</w:t>
        </w:r>
      </w:hyperlink>
      <w:r>
        <w:t xml:space="preserve">, f. 3; </w:t>
      </w:r>
      <w:hyperlink w:anchor="SENTENCIA_2015_195" w:history="1">
        <w:r w:rsidRPr="00981775">
          <w:rPr>
            <w:rStyle w:val="TextoNormalCaracter"/>
          </w:rPr>
          <w:t>195/2015</w:t>
        </w:r>
      </w:hyperlink>
      <w:r>
        <w:t xml:space="preserve">, f. 6, VP; </w:t>
      </w:r>
      <w:hyperlink w:anchor="SENTENCIA_2015_205" w:history="1">
        <w:r w:rsidRPr="00981775">
          <w:rPr>
            <w:rStyle w:val="TextoNormalCaracter"/>
          </w:rPr>
          <w:t>205/2015</w:t>
        </w:r>
      </w:hyperlink>
      <w:r>
        <w:t xml:space="preserve">, f. 3; </w:t>
      </w:r>
      <w:hyperlink w:anchor="SENTENCIA_2015_206" w:history="1">
        <w:r w:rsidRPr="00981775">
          <w:rPr>
            <w:rStyle w:val="TextoNormalCaracter"/>
          </w:rPr>
          <w:t>206/2015</w:t>
        </w:r>
      </w:hyperlink>
      <w:r>
        <w:t xml:space="preserve">, f. 3; </w:t>
      </w:r>
      <w:hyperlink w:anchor="SENTENCIA_2015_210" w:history="1">
        <w:r w:rsidRPr="00981775">
          <w:rPr>
            <w:rStyle w:val="TextoNormalCaracter"/>
          </w:rPr>
          <w:t>210/2015</w:t>
        </w:r>
      </w:hyperlink>
      <w:r>
        <w:t xml:space="preserve">, f. 3; </w:t>
      </w:r>
      <w:hyperlink w:anchor="SENTENCIA_2015_224" w:history="1">
        <w:r w:rsidRPr="00981775">
          <w:rPr>
            <w:rStyle w:val="TextoNormalCaracter"/>
          </w:rPr>
          <w:t>224/2015</w:t>
        </w:r>
      </w:hyperlink>
      <w:r>
        <w:t xml:space="preserve">, f. 4; </w:t>
      </w:r>
      <w:hyperlink w:anchor="SENTENCIA_2015_225" w:history="1">
        <w:r w:rsidRPr="00981775">
          <w:rPr>
            <w:rStyle w:val="TextoNormalCaracter"/>
          </w:rPr>
          <w:t>225/2015</w:t>
        </w:r>
      </w:hyperlink>
      <w:r>
        <w:t xml:space="preserve">, f. 3; </w:t>
      </w:r>
      <w:hyperlink w:anchor="SENTENCIA_2015_227" w:history="1">
        <w:r w:rsidRPr="00981775">
          <w:rPr>
            <w:rStyle w:val="TextoNormalCaracter"/>
          </w:rPr>
          <w:t>227/2015</w:t>
        </w:r>
      </w:hyperlink>
      <w:r>
        <w:t xml:space="preserve">, f. 3; </w:t>
      </w:r>
      <w:hyperlink w:anchor="SENTENCIA_2015_228" w:history="1">
        <w:r w:rsidRPr="00981775">
          <w:rPr>
            <w:rStyle w:val="TextoNormalCaracter"/>
          </w:rPr>
          <w:t>228/2015</w:t>
        </w:r>
      </w:hyperlink>
      <w:r>
        <w:t xml:space="preserve">, f. 3; </w:t>
      </w:r>
      <w:hyperlink w:anchor="SENTENCIA_2015_231" w:history="1">
        <w:r w:rsidRPr="00981775">
          <w:rPr>
            <w:rStyle w:val="TextoNormalCaracter"/>
          </w:rPr>
          <w:t>231/2015</w:t>
        </w:r>
      </w:hyperlink>
      <w:r>
        <w:t xml:space="preserve">, ff. 2, 9, 13; </w:t>
      </w:r>
      <w:hyperlink w:anchor="SENTENCIA_2015_234" w:history="1">
        <w:r w:rsidRPr="00981775">
          <w:rPr>
            <w:rStyle w:val="TextoNormalCaracter"/>
          </w:rPr>
          <w:t>234/2015</w:t>
        </w:r>
      </w:hyperlink>
      <w:r>
        <w:t xml:space="preserve">, f. 2; </w:t>
      </w:r>
      <w:hyperlink w:anchor="SENTENCIA_2015_243" w:history="1">
        <w:r w:rsidRPr="00981775">
          <w:rPr>
            <w:rStyle w:val="TextoNormalCaracter"/>
          </w:rPr>
          <w:t>243/2015</w:t>
        </w:r>
      </w:hyperlink>
      <w:r>
        <w:t xml:space="preserve">, f. 6; </w:t>
      </w:r>
      <w:hyperlink w:anchor="SENTENCIA_2015_245" w:history="1">
        <w:r w:rsidRPr="00981775">
          <w:rPr>
            <w:rStyle w:val="TextoNormalCaracter"/>
          </w:rPr>
          <w:t>245/2015</w:t>
        </w:r>
      </w:hyperlink>
      <w:r>
        <w:t xml:space="preserve">, f. 3; </w:t>
      </w:r>
      <w:hyperlink w:anchor="SENTENCIA_2015_246" w:history="1">
        <w:r w:rsidRPr="00981775">
          <w:rPr>
            <w:rStyle w:val="TextoNormalCaracter"/>
          </w:rPr>
          <w:t>246/2015</w:t>
        </w:r>
      </w:hyperlink>
      <w:r>
        <w:t xml:space="preserve">, f. 2; </w:t>
      </w:r>
      <w:hyperlink w:anchor="SENTENCIA_2015_247" w:history="1">
        <w:r w:rsidRPr="00981775">
          <w:rPr>
            <w:rStyle w:val="TextoNormalCaracter"/>
          </w:rPr>
          <w:t>247/2015</w:t>
        </w:r>
      </w:hyperlink>
      <w:r>
        <w:t xml:space="preserve">, f. 2; </w:t>
      </w:r>
      <w:hyperlink w:anchor="SENTENCIA_2015_248" w:history="1">
        <w:r w:rsidRPr="00981775">
          <w:rPr>
            <w:rStyle w:val="TextoNormalCaracter"/>
          </w:rPr>
          <w:t>248/2015</w:t>
        </w:r>
      </w:hyperlink>
      <w:r>
        <w:t xml:space="preserve">, f. 2; </w:t>
      </w:r>
      <w:hyperlink w:anchor="SENTENCIA_2015_249" w:history="1">
        <w:r w:rsidRPr="00981775">
          <w:rPr>
            <w:rStyle w:val="TextoNormalCaracter"/>
          </w:rPr>
          <w:t>249/2015</w:t>
        </w:r>
      </w:hyperlink>
      <w:r>
        <w:t xml:space="preserve">, f. 2; </w:t>
      </w:r>
      <w:hyperlink w:anchor="SENTENCIA_2015_250" w:history="1">
        <w:r w:rsidRPr="00981775">
          <w:rPr>
            <w:rStyle w:val="TextoNormalCaracter"/>
          </w:rPr>
          <w:t>250/2015</w:t>
        </w:r>
      </w:hyperlink>
      <w:r>
        <w:t xml:space="preserve">, f. 2; </w:t>
      </w:r>
      <w:hyperlink w:anchor="SENTENCIA_2015_251" w:history="1">
        <w:r w:rsidRPr="00981775">
          <w:rPr>
            <w:rStyle w:val="TextoNormalCaracter"/>
          </w:rPr>
          <w:t>251/2015</w:t>
        </w:r>
      </w:hyperlink>
      <w:r>
        <w:t xml:space="preserve">, f. 2; </w:t>
      </w:r>
      <w:hyperlink w:anchor="SENTENCIA_2015_252" w:history="1">
        <w:r w:rsidRPr="00981775">
          <w:rPr>
            <w:rStyle w:val="TextoNormalCaracter"/>
          </w:rPr>
          <w:t>252/2015</w:t>
        </w:r>
      </w:hyperlink>
      <w:r>
        <w:t xml:space="preserve">, f. 2; </w:t>
      </w:r>
      <w:hyperlink w:anchor="SENTENCIA_2015_253" w:history="1">
        <w:r w:rsidRPr="00981775">
          <w:rPr>
            <w:rStyle w:val="TextoNormalCaracter"/>
          </w:rPr>
          <w:t>253/2015</w:t>
        </w:r>
      </w:hyperlink>
      <w:r>
        <w:t xml:space="preserve">, f. 2; </w:t>
      </w:r>
      <w:hyperlink w:anchor="SENTENCIA_2015_255" w:history="1">
        <w:r w:rsidRPr="00981775">
          <w:rPr>
            <w:rStyle w:val="TextoNormalCaracter"/>
          </w:rPr>
          <w:t>255/2015</w:t>
        </w:r>
      </w:hyperlink>
      <w:r>
        <w:t xml:space="preserve">, f. 2; </w:t>
      </w:r>
      <w:hyperlink w:anchor="SENTENCIA_2015_256" w:history="1">
        <w:r w:rsidRPr="00981775">
          <w:rPr>
            <w:rStyle w:val="TextoNormalCaracter"/>
          </w:rPr>
          <w:t>256/2015</w:t>
        </w:r>
      </w:hyperlink>
      <w:r>
        <w:t xml:space="preserve">, f. 2; </w:t>
      </w:r>
      <w:hyperlink w:anchor="SENTENCIA_2015_257" w:history="1">
        <w:r w:rsidRPr="00981775">
          <w:rPr>
            <w:rStyle w:val="TextoNormalCaracter"/>
          </w:rPr>
          <w:t>257/2015</w:t>
        </w:r>
      </w:hyperlink>
      <w:r>
        <w:t xml:space="preserve">, f. 2; </w:t>
      </w:r>
      <w:hyperlink w:anchor="SENTENCIA_2015_258" w:history="1">
        <w:r w:rsidRPr="00981775">
          <w:rPr>
            <w:rStyle w:val="TextoNormalCaracter"/>
          </w:rPr>
          <w:t>258/2015</w:t>
        </w:r>
      </w:hyperlink>
      <w:r>
        <w:t xml:space="preserve">, f. 2; </w:t>
      </w:r>
      <w:hyperlink w:anchor="SENTENCIA_2015_264" w:history="1">
        <w:r w:rsidRPr="00981775">
          <w:rPr>
            <w:rStyle w:val="TextoNormalCaracter"/>
          </w:rPr>
          <w:t>264/2015</w:t>
        </w:r>
      </w:hyperlink>
      <w:r>
        <w:t xml:space="preserve">, f. 3; </w:t>
      </w:r>
      <w:hyperlink w:anchor="SENTENCIA_2015_269" w:history="1">
        <w:r w:rsidRPr="00981775">
          <w:rPr>
            <w:rStyle w:val="TextoNormalCaracter"/>
          </w:rPr>
          <w:t>269/2015</w:t>
        </w:r>
      </w:hyperlink>
      <w:r>
        <w:t>, f. 2.</w:t>
      </w:r>
    </w:p>
    <w:p w:rsidR="00981775" w:rsidRDefault="00981775" w:rsidP="00981775">
      <w:pPr>
        <w:pStyle w:val="SangriaIzquierdaArticulo"/>
      </w:pPr>
      <w:r>
        <w:t xml:space="preserve">Autos </w:t>
      </w:r>
      <w:hyperlink w:anchor="AUTO_2015_137" w:history="1">
        <w:r w:rsidRPr="00981775">
          <w:rPr>
            <w:rStyle w:val="TextoNormalCaracter"/>
          </w:rPr>
          <w:t>137/2015</w:t>
        </w:r>
      </w:hyperlink>
      <w:r>
        <w:t xml:space="preserve">, f. 4; </w:t>
      </w:r>
      <w:hyperlink w:anchor="AUTO_2015_138" w:history="1">
        <w:r w:rsidRPr="00981775">
          <w:rPr>
            <w:rStyle w:val="TextoNormalCaracter"/>
          </w:rPr>
          <w:t>138/2015</w:t>
        </w:r>
      </w:hyperlink>
      <w:r>
        <w:t xml:space="preserve">, f. 4; </w:t>
      </w:r>
      <w:hyperlink w:anchor="AUTO_2015_173" w:history="1">
        <w:r w:rsidRPr="00981775">
          <w:rPr>
            <w:rStyle w:val="TextoNormalCaracter"/>
          </w:rPr>
          <w:t>173/2015</w:t>
        </w:r>
      </w:hyperlink>
      <w:r>
        <w:t xml:space="preserve">, ff. 2, 5; </w:t>
      </w:r>
      <w:hyperlink w:anchor="AUTO_2015_207" w:history="1">
        <w:r w:rsidRPr="00981775">
          <w:rPr>
            <w:rStyle w:val="TextoNormalCaracter"/>
          </w:rPr>
          <w:t>207/2015</w:t>
        </w:r>
      </w:hyperlink>
      <w:r>
        <w:t xml:space="preserve">, f. 4; </w:t>
      </w:r>
      <w:hyperlink w:anchor="AUTO_2015_208" w:history="1">
        <w:r w:rsidRPr="00981775">
          <w:rPr>
            <w:rStyle w:val="TextoNormalCaracter"/>
          </w:rPr>
          <w:t>208/2015</w:t>
        </w:r>
      </w:hyperlink>
      <w:r>
        <w:t xml:space="preserve">, f. 4; </w:t>
      </w:r>
      <w:hyperlink w:anchor="AUTO_2015_209" w:history="1">
        <w:r w:rsidRPr="00981775">
          <w:rPr>
            <w:rStyle w:val="TextoNormalCaracter"/>
          </w:rPr>
          <w:t>209/2015</w:t>
        </w:r>
      </w:hyperlink>
      <w:r>
        <w:t xml:space="preserve">, f. 4; </w:t>
      </w:r>
      <w:hyperlink w:anchor="AUTO_2015_210" w:history="1">
        <w:r w:rsidRPr="00981775">
          <w:rPr>
            <w:rStyle w:val="TextoNormalCaracter"/>
          </w:rPr>
          <w:t>210/2015</w:t>
        </w:r>
      </w:hyperlink>
      <w:r>
        <w:t xml:space="preserve">, f. 4; </w:t>
      </w:r>
      <w:hyperlink w:anchor="AUTO_2015_212" w:history="1">
        <w:r w:rsidRPr="00981775">
          <w:rPr>
            <w:rStyle w:val="TextoNormalCaracter"/>
          </w:rPr>
          <w:t>212/2015</w:t>
        </w:r>
      </w:hyperlink>
      <w:r>
        <w:t xml:space="preserve">, f. 4; </w:t>
      </w:r>
      <w:hyperlink w:anchor="AUTO_2015_213" w:history="1">
        <w:r w:rsidRPr="00981775">
          <w:rPr>
            <w:rStyle w:val="TextoNormalCaracter"/>
          </w:rPr>
          <w:t>213/2015</w:t>
        </w:r>
      </w:hyperlink>
      <w:r>
        <w:t xml:space="preserve">, f. 4; </w:t>
      </w:r>
      <w:hyperlink w:anchor="AUTO_2015_224" w:history="1">
        <w:r w:rsidRPr="00981775">
          <w:rPr>
            <w:rStyle w:val="TextoNormalCaracter"/>
          </w:rPr>
          <w:t>224/2015</w:t>
        </w:r>
      </w:hyperlink>
      <w:r>
        <w:t xml:space="preserve">, f. 2; </w:t>
      </w:r>
      <w:hyperlink w:anchor="AUTO_2015_225" w:history="1">
        <w:r w:rsidRPr="00981775">
          <w:rPr>
            <w:rStyle w:val="TextoNormalCaracter"/>
          </w:rPr>
          <w:t>225/2015</w:t>
        </w:r>
      </w:hyperlink>
      <w:r>
        <w:t>, f. 3.</w:t>
      </w:r>
    </w:p>
    <w:p w:rsidR="00981775" w:rsidRDefault="00981775" w:rsidP="00981775">
      <w:pPr>
        <w:pStyle w:val="SangriaFrancesaArticulo"/>
      </w:pPr>
      <w:r w:rsidRPr="00981775">
        <w:rPr>
          <w:rStyle w:val="TextoNormalNegritaCaracter"/>
        </w:rPr>
        <w:t>Artículo 164.</w:t>
      </w:r>
      <w:r w:rsidRPr="00981775">
        <w:rPr>
          <w:rStyle w:val="TextoNormalCaracter"/>
        </w:rPr>
        <w:t>-</w:t>
      </w:r>
      <w:r>
        <w:t xml:space="preserve"> Sentencia </w:t>
      </w:r>
      <w:hyperlink w:anchor="SENTENCIA_2015_259" w:history="1">
        <w:r w:rsidRPr="00981775">
          <w:rPr>
            <w:rStyle w:val="TextoNormalCaracter"/>
          </w:rPr>
          <w:t>259/2015</w:t>
        </w:r>
      </w:hyperlink>
      <w:r>
        <w:t>, f. 1.</w:t>
      </w:r>
    </w:p>
    <w:p w:rsidR="00981775" w:rsidRDefault="00981775" w:rsidP="00981775">
      <w:pPr>
        <w:pStyle w:val="SangriaFrancesaArticulo"/>
      </w:pPr>
      <w:r w:rsidRPr="00981775">
        <w:rPr>
          <w:rStyle w:val="TextoNormalNegritaCaracter"/>
        </w:rPr>
        <w:t>Artículo 164.1.</w:t>
      </w:r>
      <w:r w:rsidRPr="00981775">
        <w:rPr>
          <w:rStyle w:val="TextoNormalCaracter"/>
        </w:rPr>
        <w:t>-</w:t>
      </w:r>
      <w:r>
        <w:t xml:space="preserve"> Auto </w:t>
      </w:r>
      <w:hyperlink w:anchor="AUTO_2015_201" w:history="1">
        <w:r w:rsidRPr="00981775">
          <w:rPr>
            <w:rStyle w:val="TextoNormalCaracter"/>
          </w:rPr>
          <w:t>201/2015</w:t>
        </w:r>
      </w:hyperlink>
      <w:r>
        <w:t>, f. 2.</w:t>
      </w:r>
    </w:p>
    <w:p w:rsidR="00981775" w:rsidRDefault="00981775" w:rsidP="00981775">
      <w:pPr>
        <w:pStyle w:val="SangriaFrancesaArticulo"/>
      </w:pPr>
      <w:r w:rsidRPr="00981775">
        <w:rPr>
          <w:rStyle w:val="TextoNormalNegritaCaracter"/>
        </w:rPr>
        <w:t>Artículo 166.</w:t>
      </w:r>
      <w:r w:rsidRPr="00981775">
        <w:rPr>
          <w:rStyle w:val="TextoNormalCaracter"/>
        </w:rPr>
        <w:t>-</w:t>
      </w:r>
      <w:r>
        <w:t xml:space="preserve"> Sentencia </w:t>
      </w:r>
      <w:hyperlink w:anchor="SENTENCIA_2015_259" w:history="1">
        <w:r w:rsidRPr="00981775">
          <w:rPr>
            <w:rStyle w:val="TextoNormalCaracter"/>
          </w:rPr>
          <w:t>259/2015</w:t>
        </w:r>
      </w:hyperlink>
      <w:r>
        <w:t>, f. 7.</w:t>
      </w:r>
    </w:p>
    <w:p w:rsidR="00981775" w:rsidRDefault="00981775" w:rsidP="00981775">
      <w:pPr>
        <w:pStyle w:val="SangriaIzquierdaArticulo"/>
      </w:pPr>
      <w:r>
        <w:t xml:space="preserve">Auto </w:t>
      </w:r>
      <w:hyperlink w:anchor="AUTO_2015_186" w:history="1">
        <w:r w:rsidRPr="00981775">
          <w:rPr>
            <w:rStyle w:val="TextoNormalCaracter"/>
          </w:rPr>
          <w:t>186/2015</w:t>
        </w:r>
      </w:hyperlink>
      <w:r>
        <w:t>, f. 2.</w:t>
      </w:r>
    </w:p>
    <w:p w:rsidR="00981775" w:rsidRDefault="00981775" w:rsidP="00981775">
      <w:pPr>
        <w:pStyle w:val="SangriaFrancesaArticulo"/>
      </w:pPr>
      <w:r w:rsidRPr="00981775">
        <w:rPr>
          <w:rStyle w:val="TextoNormalNegritaCaracter"/>
        </w:rPr>
        <w:t>Artículo 167.</w:t>
      </w:r>
      <w:r w:rsidRPr="00981775">
        <w:rPr>
          <w:rStyle w:val="TextoNormalCaracter"/>
        </w:rPr>
        <w:t>-</w:t>
      </w:r>
      <w:r>
        <w:t xml:space="preserve"> Sentencia </w:t>
      </w:r>
      <w:hyperlink w:anchor="SENTENCIA_2015_259" w:history="1">
        <w:r w:rsidRPr="00981775">
          <w:rPr>
            <w:rStyle w:val="TextoNormalCaracter"/>
          </w:rPr>
          <w:t>259/2015</w:t>
        </w:r>
      </w:hyperlink>
      <w:r>
        <w:t>, f. 5.</w:t>
      </w:r>
    </w:p>
    <w:p w:rsidR="00981775" w:rsidRDefault="00981775" w:rsidP="00981775">
      <w:pPr>
        <w:pStyle w:val="SangriaFrancesaArticulo"/>
      </w:pPr>
      <w:r w:rsidRPr="00981775">
        <w:rPr>
          <w:rStyle w:val="TextoNormalNegritaCaracter"/>
        </w:rPr>
        <w:t>Artículo 168.</w:t>
      </w:r>
      <w:r w:rsidRPr="00981775">
        <w:rPr>
          <w:rStyle w:val="TextoNormalCaracter"/>
        </w:rPr>
        <w:t>-</w:t>
      </w:r>
      <w:r>
        <w:t xml:space="preserve"> Sentencia </w:t>
      </w:r>
      <w:hyperlink w:anchor="SENTENCIA_2015_259" w:history="1">
        <w:r w:rsidRPr="00981775">
          <w:rPr>
            <w:rStyle w:val="TextoNormalCaracter"/>
          </w:rPr>
          <w:t>259/2015</w:t>
        </w:r>
      </w:hyperlink>
      <w:r>
        <w:t>, ff. 1, 3, 5, 7.</w:t>
      </w:r>
    </w:p>
    <w:p w:rsidR="00981775" w:rsidRDefault="00981775" w:rsidP="00981775">
      <w:pPr>
        <w:pStyle w:val="SangriaIzquierdaArticulo"/>
      </w:pPr>
      <w:r>
        <w:t xml:space="preserve">Auto </w:t>
      </w:r>
      <w:hyperlink w:anchor="AUTO_2015_182" w:history="1">
        <w:r w:rsidRPr="00981775">
          <w:rPr>
            <w:rStyle w:val="TextoNormalCaracter"/>
          </w:rPr>
          <w:t>182/2015</w:t>
        </w:r>
      </w:hyperlink>
      <w:r>
        <w:t>, ff. 1, 3.</w:t>
      </w:r>
    </w:p>
    <w:p w:rsidR="00981775" w:rsidRDefault="00981775" w:rsidP="00981775">
      <w:pPr>
        <w:pStyle w:val="SangriaFrancesaArticulo"/>
      </w:pPr>
      <w:r w:rsidRPr="00981775">
        <w:rPr>
          <w:rStyle w:val="TextoNormalNegritaCaracter"/>
        </w:rPr>
        <w:t>Disposición final única.</w:t>
      </w:r>
      <w:r w:rsidRPr="00981775">
        <w:rPr>
          <w:rStyle w:val="TextoNormalCaracter"/>
        </w:rPr>
        <w:t>-</w:t>
      </w:r>
      <w:r>
        <w:t xml:space="preserve"> Sentencia </w:t>
      </w:r>
      <w:hyperlink w:anchor="SENTENCIA_2015_259" w:history="1">
        <w:r w:rsidRPr="00981775">
          <w:rPr>
            <w:rStyle w:val="TextoNormalCaracter"/>
          </w:rPr>
          <w:t>259/2015</w:t>
        </w:r>
      </w:hyperlink>
      <w:r>
        <w:t>, f. 5.</w:t>
      </w:r>
    </w:p>
    <w:p w:rsidR="00981775" w:rsidRDefault="00981775" w:rsidP="00981775">
      <w:pPr>
        <w:pStyle w:val="TextoNormal"/>
      </w:pPr>
    </w:p>
    <w:p w:rsidR="00981775" w:rsidRDefault="00981775" w:rsidP="00981775">
      <w:pPr>
        <w:pStyle w:val="SangriaFrancesaArticulo"/>
      </w:pPr>
      <w:bookmarkStart w:id="249" w:name="INDICE22843"/>
    </w:p>
    <w:bookmarkEnd w:id="249"/>
    <w:p w:rsidR="00981775" w:rsidRDefault="00981775" w:rsidP="00981775">
      <w:pPr>
        <w:pStyle w:val="TextoIndiceNivel2"/>
        <w:suppressAutoHyphens/>
      </w:pPr>
      <w:r>
        <w:t>B) Tribunal Constitucional</w:t>
      </w:r>
    </w:p>
    <w:p w:rsidR="00981775" w:rsidRDefault="00981775" w:rsidP="00981775">
      <w:pPr>
        <w:pStyle w:val="TextoIndiceNivel2"/>
      </w:pPr>
    </w:p>
    <w:p w:rsidR="00981775" w:rsidRDefault="00981775" w:rsidP="00981775">
      <w:pPr>
        <w:pStyle w:val="TextoNormalNegritaCursivandice"/>
      </w:pPr>
      <w:r>
        <w:t>Ley Orgánica 2/1979, de 3 de octubre. Tribunal Constitucional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59" w:history="1">
        <w:r w:rsidRPr="00981775">
          <w:rPr>
            <w:rStyle w:val="TextoNormalCaracter"/>
          </w:rPr>
          <w:t>259/2015</w:t>
        </w:r>
      </w:hyperlink>
      <w:r>
        <w:t>, f. 5.</w:t>
      </w:r>
    </w:p>
    <w:p w:rsidR="00981775" w:rsidRDefault="00981775" w:rsidP="00981775">
      <w:pPr>
        <w:pStyle w:val="SangriaFrancesaArticulo"/>
      </w:pPr>
      <w:r w:rsidRPr="00981775">
        <w:rPr>
          <w:rStyle w:val="TextoNormalNegritaCaracter"/>
        </w:rPr>
        <w:t>Título VI.</w:t>
      </w:r>
      <w:r w:rsidRPr="00981775">
        <w:rPr>
          <w:rStyle w:val="TextoNormalCaracter"/>
        </w:rPr>
        <w:t>-</w:t>
      </w:r>
      <w:r>
        <w:t xml:space="preserve"> Auto </w:t>
      </w:r>
      <w:hyperlink w:anchor="AUTO_2015_131" w:history="1">
        <w:r w:rsidRPr="00981775">
          <w:rPr>
            <w:rStyle w:val="TextoNormalCaracter"/>
          </w:rPr>
          <w:t>131/2015</w:t>
        </w:r>
      </w:hyperlink>
      <w:r>
        <w:t>, f. único.</w:t>
      </w:r>
    </w:p>
    <w:p w:rsidR="00981775" w:rsidRDefault="00981775" w:rsidP="00981775">
      <w:pPr>
        <w:pStyle w:val="SangriaFrancesaArticulo"/>
      </w:pPr>
      <w:r w:rsidRPr="00981775">
        <w:rPr>
          <w:rStyle w:val="TextoNormalNegritaCaracter"/>
        </w:rPr>
        <w:t>Artículo 1.</w:t>
      </w:r>
      <w:r w:rsidRPr="00981775">
        <w:rPr>
          <w:rStyle w:val="TextoNormalCaracter"/>
        </w:rPr>
        <w:t>-</w:t>
      </w:r>
      <w:r>
        <w:t xml:space="preserve"> Sentencia </w:t>
      </w:r>
      <w:hyperlink w:anchor="SENTENCIA_2015_259" w:history="1">
        <w:r w:rsidRPr="00981775">
          <w:rPr>
            <w:rStyle w:val="TextoNormalCaracter"/>
          </w:rPr>
          <w:t>259/2015</w:t>
        </w:r>
      </w:hyperlink>
      <w:r>
        <w:t>, f. 4.</w:t>
      </w:r>
    </w:p>
    <w:p w:rsidR="00981775" w:rsidRDefault="00981775" w:rsidP="00981775">
      <w:pPr>
        <w:pStyle w:val="SangriaFrancesaArticulo"/>
      </w:pPr>
      <w:r w:rsidRPr="00981775">
        <w:rPr>
          <w:rStyle w:val="TextoNormalNegritaCaracter"/>
        </w:rPr>
        <w:t>Artículo 1.1.</w:t>
      </w:r>
      <w:r w:rsidRPr="00981775">
        <w:rPr>
          <w:rStyle w:val="TextoNormalCaracter"/>
        </w:rPr>
        <w:t>-</w:t>
      </w:r>
      <w:r>
        <w:t xml:space="preserve"> Sentencias </w:t>
      </w:r>
      <w:hyperlink w:anchor="SENTENCIA_2015_208" w:history="1">
        <w:r w:rsidRPr="00981775">
          <w:rPr>
            <w:rStyle w:val="TextoNormalCaracter"/>
          </w:rPr>
          <w:t>208/2015</w:t>
        </w:r>
      </w:hyperlink>
      <w:r>
        <w:t xml:space="preserve">, f. 5; </w:t>
      </w:r>
      <w:hyperlink w:anchor="SENTENCIA_2015_232" w:history="1">
        <w:r w:rsidRPr="00981775">
          <w:rPr>
            <w:rStyle w:val="TextoNormalCaracter"/>
          </w:rPr>
          <w:t>232/2015</w:t>
        </w:r>
      </w:hyperlink>
      <w:r>
        <w:t>, f. 4.</w:t>
      </w:r>
    </w:p>
    <w:p w:rsidR="00981775" w:rsidRDefault="00981775" w:rsidP="00981775">
      <w:pPr>
        <w:pStyle w:val="SangriaIzquierdaArticulo"/>
      </w:pPr>
      <w:r>
        <w:t xml:space="preserve">Auto </w:t>
      </w:r>
      <w:hyperlink w:anchor="AUTO_2015_148" w:history="1">
        <w:r w:rsidRPr="00981775">
          <w:rPr>
            <w:rStyle w:val="TextoNormalCaracter"/>
          </w:rPr>
          <w:t>148/2015</w:t>
        </w:r>
      </w:hyperlink>
      <w:r>
        <w:t>, Único.</w:t>
      </w:r>
    </w:p>
    <w:p w:rsidR="00981775" w:rsidRDefault="00981775" w:rsidP="00981775">
      <w:pPr>
        <w:pStyle w:val="SangriaFrancesaArticulo"/>
      </w:pPr>
      <w:r w:rsidRPr="00981775">
        <w:rPr>
          <w:rStyle w:val="TextoNormalNegritaCaracter"/>
        </w:rPr>
        <w:t>Artículo 4.</w:t>
      </w:r>
      <w:r w:rsidRPr="00981775">
        <w:rPr>
          <w:rStyle w:val="TextoNormalCaracter"/>
        </w:rPr>
        <w:t>-</w:t>
      </w:r>
      <w:r>
        <w:t xml:space="preserve"> Auto </w:t>
      </w:r>
      <w:hyperlink w:anchor="AUTO_2015_120" w:history="1">
        <w:r w:rsidRPr="00981775">
          <w:rPr>
            <w:rStyle w:val="TextoNormalCaracter"/>
          </w:rPr>
          <w:t>120/2015</w:t>
        </w:r>
      </w:hyperlink>
      <w:r>
        <w:t>, f. 1.</w:t>
      </w:r>
    </w:p>
    <w:p w:rsidR="00981775" w:rsidRDefault="00981775" w:rsidP="00981775">
      <w:pPr>
        <w:pStyle w:val="SangriaFrancesaArticulo"/>
      </w:pPr>
      <w:r w:rsidRPr="00981775">
        <w:rPr>
          <w:rStyle w:val="TextoNormalNegritaCaracter"/>
        </w:rPr>
        <w:t>Artículo 4.1.</w:t>
      </w:r>
      <w:r w:rsidRPr="00981775">
        <w:rPr>
          <w:rStyle w:val="TextoNormalCaracter"/>
        </w:rPr>
        <w:t>-</w:t>
      </w:r>
      <w:r>
        <w:t xml:space="preserve"> Auto </w:t>
      </w:r>
      <w:hyperlink w:anchor="AUTO_2015_164" w:history="1">
        <w:r w:rsidRPr="00981775">
          <w:rPr>
            <w:rStyle w:val="TextoNormalCaracter"/>
          </w:rPr>
          <w:t>164/2015</w:t>
        </w:r>
      </w:hyperlink>
      <w:r>
        <w:t>, f. 2.</w:t>
      </w:r>
    </w:p>
    <w:p w:rsidR="00981775" w:rsidRDefault="00981775" w:rsidP="00981775">
      <w:pPr>
        <w:pStyle w:val="SangriaFrancesaArticulo"/>
      </w:pPr>
      <w:r w:rsidRPr="00981775">
        <w:rPr>
          <w:rStyle w:val="TextoNormalNegritaCaracter"/>
        </w:rPr>
        <w:t>Artículo 25.2.</w:t>
      </w:r>
      <w:r w:rsidRPr="00981775">
        <w:rPr>
          <w:rStyle w:val="TextoNormalCaracter"/>
        </w:rPr>
        <w:t>-</w:t>
      </w:r>
      <w:r>
        <w:t xml:space="preserve"> Autos </w:t>
      </w:r>
      <w:hyperlink w:anchor="AUTO_2015_184" w:history="1">
        <w:r w:rsidRPr="00981775">
          <w:rPr>
            <w:rStyle w:val="TextoNormalCaracter"/>
          </w:rPr>
          <w:t>184/2015</w:t>
        </w:r>
      </w:hyperlink>
      <w:r>
        <w:t xml:space="preserve">, f. 2; </w:t>
      </w:r>
      <w:hyperlink w:anchor="AUTO_2015_193" w:history="1">
        <w:r w:rsidRPr="00981775">
          <w:rPr>
            <w:rStyle w:val="TextoNormalCaracter"/>
          </w:rPr>
          <w:t>193/2015</w:t>
        </w:r>
      </w:hyperlink>
      <w:r>
        <w:t xml:space="preserve">, f. 2; </w:t>
      </w:r>
      <w:hyperlink w:anchor="AUTO_2015_194" w:history="1">
        <w:r w:rsidRPr="00981775">
          <w:rPr>
            <w:rStyle w:val="TextoNormalCaracter"/>
          </w:rPr>
          <w:t>194/2015</w:t>
        </w:r>
      </w:hyperlink>
      <w:r>
        <w:t>, ff. 1, 2.</w:t>
      </w:r>
    </w:p>
    <w:p w:rsidR="00981775" w:rsidRDefault="00981775" w:rsidP="00981775">
      <w:pPr>
        <w:pStyle w:val="SangriaFrancesaArticulo"/>
      </w:pPr>
      <w:r w:rsidRPr="00981775">
        <w:rPr>
          <w:rStyle w:val="TextoNormalNegritaCaracter"/>
        </w:rPr>
        <w:t>Artículo 26.</w:t>
      </w:r>
      <w:r w:rsidRPr="00981775">
        <w:rPr>
          <w:rStyle w:val="TextoNormalCaracter"/>
        </w:rPr>
        <w:t>-</w:t>
      </w:r>
      <w:r>
        <w:t xml:space="preserve"> Auto </w:t>
      </w:r>
      <w:hyperlink w:anchor="AUTO_2015_115" w:history="1">
        <w:r w:rsidRPr="00981775">
          <w:rPr>
            <w:rStyle w:val="TextoNormalCaracter"/>
          </w:rPr>
          <w:t>115/2015</w:t>
        </w:r>
      </w:hyperlink>
      <w:r>
        <w:t>, f. único.</w:t>
      </w:r>
    </w:p>
    <w:p w:rsidR="00981775" w:rsidRDefault="00981775" w:rsidP="00981775">
      <w:pPr>
        <w:pStyle w:val="SangriaFrancesaArticulo"/>
      </w:pPr>
      <w:r w:rsidRPr="00981775">
        <w:rPr>
          <w:rStyle w:val="TextoNormalNegritaCaracter"/>
        </w:rPr>
        <w:t>Artículo 27.1.</w:t>
      </w:r>
      <w:r w:rsidRPr="00981775">
        <w:rPr>
          <w:rStyle w:val="TextoNormalCaracter"/>
        </w:rPr>
        <w:t>-</w:t>
      </w:r>
      <w:r>
        <w:t xml:space="preserve"> Sentencia </w:t>
      </w:r>
      <w:hyperlink w:anchor="SENTENCIA_2015_216" w:history="1">
        <w:r w:rsidRPr="00981775">
          <w:rPr>
            <w:rStyle w:val="TextoNormalCaracter"/>
          </w:rPr>
          <w:t>216/2015</w:t>
        </w:r>
      </w:hyperlink>
      <w:r>
        <w:t>, f. 4.</w:t>
      </w:r>
    </w:p>
    <w:p w:rsidR="00981775" w:rsidRDefault="00981775" w:rsidP="00981775">
      <w:pPr>
        <w:pStyle w:val="SangriaFrancesaArticulo"/>
      </w:pPr>
      <w:r w:rsidRPr="00981775">
        <w:rPr>
          <w:rStyle w:val="TextoNormalNegritaCaracter"/>
        </w:rPr>
        <w:t>Artículo 27.2 c).</w:t>
      </w:r>
      <w:r w:rsidRPr="00981775">
        <w:rPr>
          <w:rStyle w:val="TextoNormalCaracter"/>
        </w:rPr>
        <w:t>-</w:t>
      </w:r>
      <w:r>
        <w:t xml:space="preserve"> Sentencia </w:t>
      </w:r>
      <w:hyperlink w:anchor="SENTENCIA_2015_270" w:history="1">
        <w:r w:rsidRPr="00981775">
          <w:rPr>
            <w:rStyle w:val="TextoNormalCaracter"/>
          </w:rPr>
          <w:t>270/2015</w:t>
        </w:r>
      </w:hyperlink>
      <w:r>
        <w:t>, VP.</w:t>
      </w:r>
    </w:p>
    <w:p w:rsidR="00981775" w:rsidRDefault="00981775" w:rsidP="00981775">
      <w:pPr>
        <w:pStyle w:val="SangriaFrancesaArticulo"/>
      </w:pPr>
      <w:r w:rsidRPr="00981775">
        <w:rPr>
          <w:rStyle w:val="TextoNormalNegritaCaracter"/>
        </w:rPr>
        <w:t>Artículo 28.</w:t>
      </w:r>
      <w:r w:rsidRPr="00981775">
        <w:rPr>
          <w:rStyle w:val="TextoNormalCaracter"/>
        </w:rPr>
        <w:t>-</w:t>
      </w:r>
      <w:r>
        <w:t xml:space="preserve"> Sentencias </w:t>
      </w:r>
      <w:hyperlink w:anchor="SENTENCIA_2015_222" w:history="1">
        <w:r w:rsidRPr="00981775">
          <w:rPr>
            <w:rStyle w:val="TextoNormalCaracter"/>
          </w:rPr>
          <w:t>222/2015</w:t>
        </w:r>
      </w:hyperlink>
      <w:r>
        <w:t xml:space="preserve">, f. 2; </w:t>
      </w:r>
      <w:hyperlink w:anchor="SENTENCIA_2015_239" w:history="1">
        <w:r w:rsidRPr="00981775">
          <w:rPr>
            <w:rStyle w:val="TextoNormalCaracter"/>
          </w:rPr>
          <w:t>239/2015</w:t>
        </w:r>
      </w:hyperlink>
      <w:r>
        <w:t xml:space="preserve">, f. 2; </w:t>
      </w:r>
      <w:hyperlink w:anchor="SENTENCIA_2015_240" w:history="1">
        <w:r w:rsidRPr="00981775">
          <w:rPr>
            <w:rStyle w:val="TextoNormalCaracter"/>
          </w:rPr>
          <w:t>240/2015</w:t>
        </w:r>
      </w:hyperlink>
      <w:r>
        <w:t xml:space="preserve">, f. 2; </w:t>
      </w:r>
      <w:hyperlink w:anchor="SENTENCIA_2015_262" w:history="1">
        <w:r w:rsidRPr="00981775">
          <w:rPr>
            <w:rStyle w:val="TextoNormalCaracter"/>
          </w:rPr>
          <w:t>262/2015</w:t>
        </w:r>
      </w:hyperlink>
      <w:r>
        <w:t xml:space="preserve">, f. 2; </w:t>
      </w:r>
      <w:hyperlink w:anchor="SENTENCIA_2015_263" w:history="1">
        <w:r w:rsidRPr="00981775">
          <w:rPr>
            <w:rStyle w:val="TextoNormalCaracter"/>
          </w:rPr>
          <w:t>263/2015</w:t>
        </w:r>
      </w:hyperlink>
      <w:r>
        <w:t>, f. 2.</w:t>
      </w:r>
    </w:p>
    <w:p w:rsidR="00981775" w:rsidRDefault="00981775" w:rsidP="00981775">
      <w:pPr>
        <w:pStyle w:val="SangriaFrancesaArticulo"/>
      </w:pPr>
      <w:r w:rsidRPr="00981775">
        <w:rPr>
          <w:rStyle w:val="TextoNormalNegritaCaracter"/>
        </w:rPr>
        <w:t>Artículo 28.1.</w:t>
      </w:r>
      <w:r w:rsidRPr="00981775">
        <w:rPr>
          <w:rStyle w:val="TextoNormalCaracter"/>
        </w:rPr>
        <w:t>-</w:t>
      </w:r>
      <w:r>
        <w:t xml:space="preserve"> Sentencia </w:t>
      </w:r>
      <w:hyperlink w:anchor="SENTENCIA_2015_195" w:history="1">
        <w:r w:rsidRPr="00981775">
          <w:rPr>
            <w:rStyle w:val="TextoNormalCaracter"/>
          </w:rPr>
          <w:t>195/2015</w:t>
        </w:r>
      </w:hyperlink>
      <w:r>
        <w:t>, f. 6.</w:t>
      </w:r>
    </w:p>
    <w:p w:rsidR="00981775" w:rsidRDefault="00981775" w:rsidP="00981775">
      <w:pPr>
        <w:pStyle w:val="SangriaFrancesaArticulo"/>
      </w:pPr>
      <w:r w:rsidRPr="00981775">
        <w:rPr>
          <w:rStyle w:val="TextoNormalNegritaCaracter"/>
        </w:rPr>
        <w:t>Artículo 30.</w:t>
      </w:r>
      <w:r w:rsidRPr="00981775">
        <w:rPr>
          <w:rStyle w:val="TextoNormalCaracter"/>
        </w:rPr>
        <w:t>-</w:t>
      </w:r>
      <w:r>
        <w:t xml:space="preserve"> Autos </w:t>
      </w:r>
      <w:hyperlink w:anchor="AUTO_2015_122" w:history="1">
        <w:r w:rsidRPr="00981775">
          <w:rPr>
            <w:rStyle w:val="TextoNormalCaracter"/>
          </w:rPr>
          <w:t>122/2015</w:t>
        </w:r>
      </w:hyperlink>
      <w:r>
        <w:t xml:space="preserve">, ff. 1, 2; </w:t>
      </w:r>
      <w:hyperlink w:anchor="AUTO_2015_135" w:history="1">
        <w:r w:rsidRPr="00981775">
          <w:rPr>
            <w:rStyle w:val="TextoNormalCaracter"/>
          </w:rPr>
          <w:t>135/2015</w:t>
        </w:r>
      </w:hyperlink>
      <w:r>
        <w:t xml:space="preserve">, f. 1; </w:t>
      </w:r>
      <w:hyperlink w:anchor="AUTO_2015_170" w:history="1">
        <w:r w:rsidRPr="00981775">
          <w:rPr>
            <w:rStyle w:val="TextoNormalCaracter"/>
          </w:rPr>
          <w:t>170/2015</w:t>
        </w:r>
      </w:hyperlink>
      <w:r>
        <w:t xml:space="preserve">, f. 1; </w:t>
      </w:r>
      <w:hyperlink w:anchor="AUTO_2015_182" w:history="1">
        <w:r w:rsidRPr="00981775">
          <w:rPr>
            <w:rStyle w:val="TextoNormalCaracter"/>
          </w:rPr>
          <w:t>182/2015</w:t>
        </w:r>
      </w:hyperlink>
      <w:r>
        <w:t xml:space="preserve">, f. 1; </w:t>
      </w:r>
      <w:hyperlink w:anchor="AUTO_2015_185" w:history="1">
        <w:r w:rsidRPr="00981775">
          <w:rPr>
            <w:rStyle w:val="TextoNormalCaracter"/>
          </w:rPr>
          <w:t>185/2015</w:t>
        </w:r>
      </w:hyperlink>
      <w:r>
        <w:t xml:space="preserve">, f. 3; </w:t>
      </w:r>
      <w:hyperlink w:anchor="AUTO_2015_207" w:history="1">
        <w:r w:rsidRPr="00981775">
          <w:rPr>
            <w:rStyle w:val="TextoNormalCaracter"/>
          </w:rPr>
          <w:t>207/2015</w:t>
        </w:r>
      </w:hyperlink>
      <w:r>
        <w:t xml:space="preserve">, f. 4; </w:t>
      </w:r>
      <w:hyperlink w:anchor="AUTO_2015_208" w:history="1">
        <w:r w:rsidRPr="00981775">
          <w:rPr>
            <w:rStyle w:val="TextoNormalCaracter"/>
          </w:rPr>
          <w:t>208/2015</w:t>
        </w:r>
      </w:hyperlink>
      <w:r>
        <w:t xml:space="preserve">, f. 4; </w:t>
      </w:r>
      <w:hyperlink w:anchor="AUTO_2015_209" w:history="1">
        <w:r w:rsidRPr="00981775">
          <w:rPr>
            <w:rStyle w:val="TextoNormalCaracter"/>
          </w:rPr>
          <w:t>209/2015</w:t>
        </w:r>
      </w:hyperlink>
      <w:r>
        <w:t xml:space="preserve">, f. 4; </w:t>
      </w:r>
      <w:hyperlink w:anchor="AUTO_2015_210" w:history="1">
        <w:r w:rsidRPr="00981775">
          <w:rPr>
            <w:rStyle w:val="TextoNormalCaracter"/>
          </w:rPr>
          <w:t>210/2015</w:t>
        </w:r>
      </w:hyperlink>
      <w:r>
        <w:t xml:space="preserve">, f. 4; </w:t>
      </w:r>
      <w:hyperlink w:anchor="AUTO_2015_212" w:history="1">
        <w:r w:rsidRPr="00981775">
          <w:rPr>
            <w:rStyle w:val="TextoNormalCaracter"/>
          </w:rPr>
          <w:t>212/2015</w:t>
        </w:r>
      </w:hyperlink>
      <w:r>
        <w:t xml:space="preserve">, f. 4; </w:t>
      </w:r>
      <w:hyperlink w:anchor="AUTO_2015_213" w:history="1">
        <w:r w:rsidRPr="00981775">
          <w:rPr>
            <w:rStyle w:val="TextoNormalCaracter"/>
          </w:rPr>
          <w:t>213/2015</w:t>
        </w:r>
      </w:hyperlink>
      <w:r>
        <w:t xml:space="preserve">, f. 4; </w:t>
      </w:r>
      <w:hyperlink w:anchor="AUTO_2015_226" w:history="1">
        <w:r w:rsidRPr="00981775">
          <w:rPr>
            <w:rStyle w:val="TextoNormalCaracter"/>
          </w:rPr>
          <w:t>226/2015</w:t>
        </w:r>
      </w:hyperlink>
      <w:r>
        <w:t>, f. 2.</w:t>
      </w:r>
    </w:p>
    <w:p w:rsidR="00981775" w:rsidRDefault="00981775" w:rsidP="00981775">
      <w:pPr>
        <w:pStyle w:val="SangriaFrancesaArticulo"/>
      </w:pPr>
      <w:r w:rsidRPr="00981775">
        <w:rPr>
          <w:rStyle w:val="TextoNormalNegritaCaracter"/>
        </w:rPr>
        <w:t>Artículo 32.</w:t>
      </w:r>
      <w:r w:rsidRPr="00981775">
        <w:rPr>
          <w:rStyle w:val="TextoNormalCaracter"/>
        </w:rPr>
        <w:t>-</w:t>
      </w:r>
      <w:r>
        <w:t xml:space="preserve"> Sentencia </w:t>
      </w:r>
      <w:hyperlink w:anchor="SENTENCIA_2015_216" w:history="1">
        <w:r w:rsidRPr="00981775">
          <w:rPr>
            <w:rStyle w:val="TextoNormalCaracter"/>
          </w:rPr>
          <w:t>216/2015</w:t>
        </w:r>
      </w:hyperlink>
      <w:r>
        <w:t>, f. 4.</w:t>
      </w:r>
    </w:p>
    <w:p w:rsidR="00981775" w:rsidRDefault="00981775" w:rsidP="00981775">
      <w:pPr>
        <w:pStyle w:val="SangriaFrancesaArticulo"/>
      </w:pPr>
      <w:r w:rsidRPr="00981775">
        <w:rPr>
          <w:rStyle w:val="TextoNormalNegritaCaracter"/>
        </w:rPr>
        <w:t>Artículo 32.1.</w:t>
      </w:r>
      <w:r w:rsidRPr="00981775">
        <w:rPr>
          <w:rStyle w:val="TextoNormalCaracter"/>
        </w:rPr>
        <w:t>-</w:t>
      </w:r>
      <w:r>
        <w:t xml:space="preserve"> Sentencia </w:t>
      </w:r>
      <w:hyperlink w:anchor="SENTENCIA_2015_236" w:history="1">
        <w:r w:rsidRPr="00981775">
          <w:rPr>
            <w:rStyle w:val="TextoNormalCaracter"/>
          </w:rPr>
          <w:t>236/2015</w:t>
        </w:r>
      </w:hyperlink>
      <w:r>
        <w:t>, f. 2.</w:t>
      </w:r>
    </w:p>
    <w:p w:rsidR="00981775" w:rsidRDefault="00981775" w:rsidP="00981775">
      <w:pPr>
        <w:pStyle w:val="SangriaFrancesaArticulo"/>
      </w:pPr>
      <w:r w:rsidRPr="00981775">
        <w:rPr>
          <w:rStyle w:val="TextoNormalNegritaCaracter"/>
        </w:rPr>
        <w:t>Artículo 32.1 a).</w:t>
      </w:r>
      <w:r w:rsidRPr="00981775">
        <w:rPr>
          <w:rStyle w:val="TextoNormalCaracter"/>
        </w:rPr>
        <w:t>-</w:t>
      </w:r>
      <w:r>
        <w:t xml:space="preserve"> Sentencia </w:t>
      </w:r>
      <w:hyperlink w:anchor="SENTENCIA_2015_216" w:history="1">
        <w:r w:rsidRPr="00981775">
          <w:rPr>
            <w:rStyle w:val="TextoNormalCaracter"/>
          </w:rPr>
          <w:t>216/2015</w:t>
        </w:r>
      </w:hyperlink>
      <w:r>
        <w:t>, f. 4.</w:t>
      </w:r>
    </w:p>
    <w:p w:rsidR="00981775" w:rsidRDefault="00981775" w:rsidP="00981775">
      <w:pPr>
        <w:pStyle w:val="SangriaFrancesaArticulo"/>
      </w:pPr>
      <w:r w:rsidRPr="00981775">
        <w:rPr>
          <w:rStyle w:val="TextoNormalNegritaCaracter"/>
        </w:rPr>
        <w:t>Artículo 32.1 c).</w:t>
      </w:r>
      <w:r w:rsidRPr="00981775">
        <w:rPr>
          <w:rStyle w:val="TextoNormalCaracter"/>
        </w:rPr>
        <w:t>-</w:t>
      </w:r>
      <w:r>
        <w:t xml:space="preserve"> Sentencia </w:t>
      </w:r>
      <w:hyperlink w:anchor="SENTENCIA_2015_236" w:history="1">
        <w:r w:rsidRPr="00981775">
          <w:rPr>
            <w:rStyle w:val="TextoNormalCaracter"/>
          </w:rPr>
          <w:t>236/2015</w:t>
        </w:r>
      </w:hyperlink>
      <w:r>
        <w:t>, f. 2.</w:t>
      </w:r>
    </w:p>
    <w:p w:rsidR="00981775" w:rsidRDefault="00981775" w:rsidP="00981775">
      <w:pPr>
        <w:pStyle w:val="SangriaFrancesaArticulo"/>
      </w:pPr>
      <w:r w:rsidRPr="00981775">
        <w:rPr>
          <w:rStyle w:val="TextoNormalNegritaCaracter"/>
        </w:rPr>
        <w:t>Artículo 32.2.</w:t>
      </w:r>
      <w:r w:rsidRPr="00981775">
        <w:rPr>
          <w:rStyle w:val="TextoNormalCaracter"/>
        </w:rPr>
        <w:t>-</w:t>
      </w:r>
      <w:r>
        <w:t xml:space="preserve"> Sentencias </w:t>
      </w:r>
      <w:hyperlink w:anchor="SENTENCIA_2015_230" w:history="1">
        <w:r w:rsidRPr="00981775">
          <w:rPr>
            <w:rStyle w:val="TextoNormalCaracter"/>
          </w:rPr>
          <w:t>230/2015</w:t>
        </w:r>
      </w:hyperlink>
      <w:r>
        <w:t xml:space="preserve">, f. 2; </w:t>
      </w:r>
      <w:hyperlink w:anchor="SENTENCIA_2015_236" w:history="1">
        <w:r w:rsidRPr="00981775">
          <w:rPr>
            <w:rStyle w:val="TextoNormalCaracter"/>
          </w:rPr>
          <w:t>236/2015</w:t>
        </w:r>
      </w:hyperlink>
      <w:r>
        <w:t>, f. 2.</w:t>
      </w:r>
    </w:p>
    <w:p w:rsidR="00981775" w:rsidRDefault="00981775" w:rsidP="00981775">
      <w:pPr>
        <w:pStyle w:val="SangriaIzquierdaArticulo"/>
      </w:pPr>
      <w:r>
        <w:t xml:space="preserve">Autos </w:t>
      </w:r>
      <w:hyperlink w:anchor="AUTO_2015_139" w:history="1">
        <w:r w:rsidRPr="00981775">
          <w:rPr>
            <w:rStyle w:val="TextoNormalCaracter"/>
          </w:rPr>
          <w:t>139/2015</w:t>
        </w:r>
      </w:hyperlink>
      <w:r>
        <w:t xml:space="preserve">, f. único; </w:t>
      </w:r>
      <w:hyperlink w:anchor="AUTO_2015_148" w:history="1">
        <w:r w:rsidRPr="00981775">
          <w:rPr>
            <w:rStyle w:val="TextoNormalCaracter"/>
          </w:rPr>
          <w:t>148/2015</w:t>
        </w:r>
      </w:hyperlink>
      <w:r>
        <w:t>, Único.</w:t>
      </w:r>
    </w:p>
    <w:p w:rsidR="00981775" w:rsidRDefault="00981775" w:rsidP="00981775">
      <w:pPr>
        <w:pStyle w:val="SangriaFrancesaArticulo"/>
      </w:pPr>
      <w:r w:rsidRPr="00981775">
        <w:rPr>
          <w:rStyle w:val="TextoNormalNegritaCaracter"/>
        </w:rPr>
        <w:t>Artículo 33.</w:t>
      </w:r>
      <w:r w:rsidRPr="00981775">
        <w:rPr>
          <w:rStyle w:val="TextoNormalCaracter"/>
        </w:rPr>
        <w:t>-</w:t>
      </w:r>
      <w:r>
        <w:t xml:space="preserve"> Sentencia </w:t>
      </w:r>
      <w:hyperlink w:anchor="SENTENCIA_2015_233" w:history="1">
        <w:r w:rsidRPr="00981775">
          <w:rPr>
            <w:rStyle w:val="TextoNormalCaracter"/>
          </w:rPr>
          <w:t>233/2015</w:t>
        </w:r>
      </w:hyperlink>
      <w:r>
        <w:t>, f. 1.</w:t>
      </w:r>
    </w:p>
    <w:p w:rsidR="00981775" w:rsidRDefault="00981775" w:rsidP="00981775">
      <w:pPr>
        <w:pStyle w:val="SangriaFrancesaArticulo"/>
      </w:pPr>
      <w:r w:rsidRPr="00981775">
        <w:rPr>
          <w:rStyle w:val="TextoNormalNegritaCaracter"/>
        </w:rPr>
        <w:t>Artículo 33.2.</w:t>
      </w:r>
      <w:r w:rsidRPr="00981775">
        <w:rPr>
          <w:rStyle w:val="TextoNormalCaracter"/>
        </w:rPr>
        <w:t>-</w:t>
      </w:r>
      <w:r>
        <w:t xml:space="preserve"> Sentencias </w:t>
      </w:r>
      <w:hyperlink w:anchor="SENTENCIA_2015_197" w:history="1">
        <w:r w:rsidRPr="00981775">
          <w:rPr>
            <w:rStyle w:val="TextoNormalCaracter"/>
          </w:rPr>
          <w:t>197/2015</w:t>
        </w:r>
      </w:hyperlink>
      <w:r>
        <w:t xml:space="preserve">, ff. 1, 2, VP I; </w:t>
      </w:r>
      <w:hyperlink w:anchor="SENTENCIA_2015_230" w:history="1">
        <w:r w:rsidRPr="00981775">
          <w:rPr>
            <w:rStyle w:val="TextoNormalCaracter"/>
          </w:rPr>
          <w:t>230/2015</w:t>
        </w:r>
      </w:hyperlink>
      <w:r>
        <w:t>, f. 2.</w:t>
      </w:r>
    </w:p>
    <w:p w:rsidR="00981775" w:rsidRDefault="00981775" w:rsidP="00981775">
      <w:pPr>
        <w:pStyle w:val="SangriaFrancesaArticulo"/>
      </w:pPr>
      <w:r w:rsidRPr="00981775">
        <w:rPr>
          <w:rStyle w:val="TextoNormalNegritaCaracter"/>
        </w:rPr>
        <w:t>Artículo 33.2 b).</w:t>
      </w:r>
      <w:r w:rsidRPr="00981775">
        <w:rPr>
          <w:rStyle w:val="TextoNormalCaracter"/>
        </w:rPr>
        <w:t>-</w:t>
      </w:r>
      <w:r>
        <w:t xml:space="preserve"> Sentencia </w:t>
      </w:r>
      <w:hyperlink w:anchor="SENTENCIA_2015_197" w:history="1">
        <w:r w:rsidRPr="00981775">
          <w:rPr>
            <w:rStyle w:val="TextoNormalCaracter"/>
          </w:rPr>
          <w:t>197/2015</w:t>
        </w:r>
      </w:hyperlink>
      <w:r>
        <w:t>, f. 2.</w:t>
      </w:r>
    </w:p>
    <w:p w:rsidR="00981775" w:rsidRDefault="00981775" w:rsidP="00981775">
      <w:pPr>
        <w:pStyle w:val="SangriaFrancesaArticulo"/>
      </w:pPr>
      <w:r w:rsidRPr="00981775">
        <w:rPr>
          <w:rStyle w:val="TextoNormalNegritaCaracter"/>
        </w:rPr>
        <w:t>Artículo 35.</w:t>
      </w:r>
      <w:r w:rsidRPr="00981775">
        <w:rPr>
          <w:rStyle w:val="TextoNormalCaracter"/>
        </w:rPr>
        <w:t>-</w:t>
      </w:r>
      <w:r>
        <w:t xml:space="preserve"> Sentencias </w:t>
      </w:r>
      <w:hyperlink w:anchor="SENTENCIA_2015_231" w:history="1">
        <w:r w:rsidRPr="00981775">
          <w:rPr>
            <w:rStyle w:val="TextoNormalCaracter"/>
          </w:rPr>
          <w:t>231/2015</w:t>
        </w:r>
      </w:hyperlink>
      <w:r>
        <w:t xml:space="preserve">, f. 9; </w:t>
      </w:r>
      <w:hyperlink w:anchor="SENTENCIA_2015_234" w:history="1">
        <w:r w:rsidRPr="00981775">
          <w:rPr>
            <w:rStyle w:val="TextoNormalCaracter"/>
          </w:rPr>
          <w:t>234/2015</w:t>
        </w:r>
      </w:hyperlink>
      <w:r>
        <w:t xml:space="preserve">, f. 2; </w:t>
      </w:r>
      <w:hyperlink w:anchor="SENTENCIA_2015_245" w:history="1">
        <w:r w:rsidRPr="00981775">
          <w:rPr>
            <w:rStyle w:val="TextoNormalCaracter"/>
          </w:rPr>
          <w:t>245/2015</w:t>
        </w:r>
      </w:hyperlink>
      <w:r>
        <w:t xml:space="preserve">, f. 2; </w:t>
      </w:r>
      <w:hyperlink w:anchor="SENTENCIA_2015_246" w:history="1">
        <w:r w:rsidRPr="00981775">
          <w:rPr>
            <w:rStyle w:val="TextoNormalCaracter"/>
          </w:rPr>
          <w:t>246/2015</w:t>
        </w:r>
      </w:hyperlink>
      <w:r>
        <w:t xml:space="preserve">, f. 2; </w:t>
      </w:r>
      <w:hyperlink w:anchor="SENTENCIA_2015_247" w:history="1">
        <w:r w:rsidRPr="00981775">
          <w:rPr>
            <w:rStyle w:val="TextoNormalCaracter"/>
          </w:rPr>
          <w:t>247/2015</w:t>
        </w:r>
      </w:hyperlink>
      <w:r>
        <w:t xml:space="preserve">, f. 2; </w:t>
      </w:r>
      <w:hyperlink w:anchor="SENTENCIA_2015_248" w:history="1">
        <w:r w:rsidRPr="00981775">
          <w:rPr>
            <w:rStyle w:val="TextoNormalCaracter"/>
          </w:rPr>
          <w:t>248/2015</w:t>
        </w:r>
      </w:hyperlink>
      <w:r>
        <w:t xml:space="preserve">, f. 2; </w:t>
      </w:r>
      <w:hyperlink w:anchor="SENTENCIA_2015_249" w:history="1">
        <w:r w:rsidRPr="00981775">
          <w:rPr>
            <w:rStyle w:val="TextoNormalCaracter"/>
          </w:rPr>
          <w:t>249/2015</w:t>
        </w:r>
      </w:hyperlink>
      <w:r>
        <w:t xml:space="preserve">, f. 2; </w:t>
      </w:r>
      <w:hyperlink w:anchor="SENTENCIA_2015_250" w:history="1">
        <w:r w:rsidRPr="00981775">
          <w:rPr>
            <w:rStyle w:val="TextoNormalCaracter"/>
          </w:rPr>
          <w:t>250/2015</w:t>
        </w:r>
      </w:hyperlink>
      <w:r>
        <w:t xml:space="preserve">, f. 2; </w:t>
      </w:r>
      <w:hyperlink w:anchor="SENTENCIA_2015_251" w:history="1">
        <w:r w:rsidRPr="00981775">
          <w:rPr>
            <w:rStyle w:val="TextoNormalCaracter"/>
          </w:rPr>
          <w:t>251/2015</w:t>
        </w:r>
      </w:hyperlink>
      <w:r>
        <w:t xml:space="preserve">, f. 2; </w:t>
      </w:r>
      <w:hyperlink w:anchor="SENTENCIA_2015_252" w:history="1">
        <w:r w:rsidRPr="00981775">
          <w:rPr>
            <w:rStyle w:val="TextoNormalCaracter"/>
          </w:rPr>
          <w:t>252/2015</w:t>
        </w:r>
      </w:hyperlink>
      <w:r>
        <w:t xml:space="preserve">, f. 2; </w:t>
      </w:r>
      <w:hyperlink w:anchor="SENTENCIA_2015_253" w:history="1">
        <w:r w:rsidRPr="00981775">
          <w:rPr>
            <w:rStyle w:val="TextoNormalCaracter"/>
          </w:rPr>
          <w:t>253/2015</w:t>
        </w:r>
      </w:hyperlink>
      <w:r>
        <w:t xml:space="preserve">, f. 2; </w:t>
      </w:r>
      <w:hyperlink w:anchor="SENTENCIA_2015_254" w:history="1">
        <w:r w:rsidRPr="00981775">
          <w:rPr>
            <w:rStyle w:val="TextoNormalCaracter"/>
          </w:rPr>
          <w:t>254/2015</w:t>
        </w:r>
      </w:hyperlink>
      <w:r>
        <w:t xml:space="preserve">, f. 2; </w:t>
      </w:r>
      <w:hyperlink w:anchor="SENTENCIA_2015_255" w:history="1">
        <w:r w:rsidRPr="00981775">
          <w:rPr>
            <w:rStyle w:val="TextoNormalCaracter"/>
          </w:rPr>
          <w:t>255/2015</w:t>
        </w:r>
      </w:hyperlink>
      <w:r>
        <w:t xml:space="preserve">, f. 2; </w:t>
      </w:r>
      <w:hyperlink w:anchor="SENTENCIA_2015_256" w:history="1">
        <w:r w:rsidRPr="00981775">
          <w:rPr>
            <w:rStyle w:val="TextoNormalCaracter"/>
          </w:rPr>
          <w:t>256/2015</w:t>
        </w:r>
      </w:hyperlink>
      <w:r>
        <w:t xml:space="preserve">, f. 2; </w:t>
      </w:r>
      <w:hyperlink w:anchor="SENTENCIA_2015_257" w:history="1">
        <w:r w:rsidRPr="00981775">
          <w:rPr>
            <w:rStyle w:val="TextoNormalCaracter"/>
          </w:rPr>
          <w:t>257/2015</w:t>
        </w:r>
      </w:hyperlink>
      <w:r>
        <w:t xml:space="preserve">, f. 2; </w:t>
      </w:r>
      <w:hyperlink w:anchor="SENTENCIA_2015_258" w:history="1">
        <w:r w:rsidRPr="00981775">
          <w:rPr>
            <w:rStyle w:val="TextoNormalCaracter"/>
          </w:rPr>
          <w:t>258/2015</w:t>
        </w:r>
      </w:hyperlink>
      <w:r>
        <w:t>, f. 2.</w:t>
      </w:r>
    </w:p>
    <w:p w:rsidR="00981775" w:rsidRDefault="00981775" w:rsidP="00981775">
      <w:pPr>
        <w:pStyle w:val="SangriaIzquierdaArticulo"/>
      </w:pPr>
      <w:r>
        <w:t xml:space="preserve">Autos </w:t>
      </w:r>
      <w:hyperlink w:anchor="AUTO_2015_136" w:history="1">
        <w:r w:rsidRPr="00981775">
          <w:rPr>
            <w:rStyle w:val="TextoNormalCaracter"/>
          </w:rPr>
          <w:t>136/2015</w:t>
        </w:r>
      </w:hyperlink>
      <w:r>
        <w:t xml:space="preserve">, f. 2; </w:t>
      </w:r>
      <w:hyperlink w:anchor="AUTO_2015_145" w:history="1">
        <w:r w:rsidRPr="00981775">
          <w:rPr>
            <w:rStyle w:val="TextoNormalCaracter"/>
          </w:rPr>
          <w:t>145/2015</w:t>
        </w:r>
      </w:hyperlink>
      <w:r>
        <w:t xml:space="preserve">, f. 1; </w:t>
      </w:r>
      <w:hyperlink w:anchor="AUTO_2015_154" w:history="1">
        <w:r w:rsidRPr="00981775">
          <w:rPr>
            <w:rStyle w:val="TextoNormalCaracter"/>
          </w:rPr>
          <w:t>154/2015</w:t>
        </w:r>
      </w:hyperlink>
      <w:r>
        <w:t xml:space="preserve">, ff. 1, 3; </w:t>
      </w:r>
      <w:hyperlink w:anchor="AUTO_2015_155" w:history="1">
        <w:r w:rsidRPr="00981775">
          <w:rPr>
            <w:rStyle w:val="TextoNormalCaracter"/>
          </w:rPr>
          <w:t>155/2015</w:t>
        </w:r>
      </w:hyperlink>
      <w:r>
        <w:t xml:space="preserve">, f. 1; </w:t>
      </w:r>
      <w:hyperlink w:anchor="AUTO_2015_183" w:history="1">
        <w:r w:rsidRPr="00981775">
          <w:rPr>
            <w:rStyle w:val="TextoNormalCaracter"/>
          </w:rPr>
          <w:t>183/2015</w:t>
        </w:r>
      </w:hyperlink>
      <w:r>
        <w:t xml:space="preserve">, ff. 2, 5; </w:t>
      </w:r>
      <w:hyperlink w:anchor="AUTO_2015_188" w:history="1">
        <w:r w:rsidRPr="00981775">
          <w:rPr>
            <w:rStyle w:val="TextoNormalCaracter"/>
          </w:rPr>
          <w:t>188/2015</w:t>
        </w:r>
      </w:hyperlink>
      <w:r>
        <w:t xml:space="preserve">, f. 1; </w:t>
      </w:r>
      <w:hyperlink w:anchor="AUTO_2015_207" w:history="1">
        <w:r w:rsidRPr="00981775">
          <w:rPr>
            <w:rStyle w:val="TextoNormalCaracter"/>
          </w:rPr>
          <w:t>207/2015</w:t>
        </w:r>
      </w:hyperlink>
      <w:r>
        <w:t xml:space="preserve">, f. 4; </w:t>
      </w:r>
      <w:hyperlink w:anchor="AUTO_2015_208" w:history="1">
        <w:r w:rsidRPr="00981775">
          <w:rPr>
            <w:rStyle w:val="TextoNormalCaracter"/>
          </w:rPr>
          <w:t>208/2015</w:t>
        </w:r>
      </w:hyperlink>
      <w:r>
        <w:t xml:space="preserve">, f. 4; </w:t>
      </w:r>
      <w:hyperlink w:anchor="AUTO_2015_209" w:history="1">
        <w:r w:rsidRPr="00981775">
          <w:rPr>
            <w:rStyle w:val="TextoNormalCaracter"/>
          </w:rPr>
          <w:t>209/2015</w:t>
        </w:r>
      </w:hyperlink>
      <w:r>
        <w:t xml:space="preserve">, f. 4; </w:t>
      </w:r>
      <w:hyperlink w:anchor="AUTO_2015_210" w:history="1">
        <w:r w:rsidRPr="00981775">
          <w:rPr>
            <w:rStyle w:val="TextoNormalCaracter"/>
          </w:rPr>
          <w:t>210/2015</w:t>
        </w:r>
      </w:hyperlink>
      <w:r>
        <w:t xml:space="preserve">, f. 4; </w:t>
      </w:r>
      <w:hyperlink w:anchor="AUTO_2015_212" w:history="1">
        <w:r w:rsidRPr="00981775">
          <w:rPr>
            <w:rStyle w:val="TextoNormalCaracter"/>
          </w:rPr>
          <w:t>212/2015</w:t>
        </w:r>
      </w:hyperlink>
      <w:r>
        <w:t xml:space="preserve">, f. 4; </w:t>
      </w:r>
      <w:hyperlink w:anchor="AUTO_2015_213" w:history="1">
        <w:r w:rsidRPr="00981775">
          <w:rPr>
            <w:rStyle w:val="TextoNormalCaracter"/>
          </w:rPr>
          <w:t>213/2015</w:t>
        </w:r>
      </w:hyperlink>
      <w:r>
        <w:t>, f. 4.</w:t>
      </w:r>
    </w:p>
    <w:p w:rsidR="00981775" w:rsidRDefault="00981775" w:rsidP="00981775">
      <w:pPr>
        <w:pStyle w:val="SangriaFrancesaArticulo"/>
      </w:pPr>
      <w:r w:rsidRPr="00981775">
        <w:rPr>
          <w:rStyle w:val="TextoNormalNegritaCaracter"/>
        </w:rPr>
        <w:t>Artículo 35.1.</w:t>
      </w:r>
      <w:r w:rsidRPr="00981775">
        <w:rPr>
          <w:rStyle w:val="TextoNormalCaracter"/>
        </w:rPr>
        <w:t>-</w:t>
      </w:r>
      <w:r>
        <w:t xml:space="preserve"> Sentencias </w:t>
      </w:r>
      <w:hyperlink w:anchor="SENTENCIA_2015_201" w:history="1">
        <w:r w:rsidRPr="00981775">
          <w:rPr>
            <w:rStyle w:val="TextoNormalCaracter"/>
          </w:rPr>
          <w:t>201/2015</w:t>
        </w:r>
      </w:hyperlink>
      <w:r>
        <w:t xml:space="preserve">, f. 2; </w:t>
      </w:r>
      <w:hyperlink w:anchor="SENTENCIA_2015_212" w:history="1">
        <w:r w:rsidRPr="00981775">
          <w:rPr>
            <w:rStyle w:val="TextoNormalCaracter"/>
          </w:rPr>
          <w:t>212/2015</w:t>
        </w:r>
      </w:hyperlink>
      <w:r>
        <w:t xml:space="preserve">, f. 2; </w:t>
      </w:r>
      <w:hyperlink w:anchor="SENTENCIA_2015_213" w:history="1">
        <w:r w:rsidRPr="00981775">
          <w:rPr>
            <w:rStyle w:val="TextoNormalCaracter"/>
          </w:rPr>
          <w:t>213/2015</w:t>
        </w:r>
      </w:hyperlink>
      <w:r>
        <w:t xml:space="preserve">, f. 2; </w:t>
      </w:r>
      <w:hyperlink w:anchor="SENTENCIA_2015_219" w:history="1">
        <w:r w:rsidRPr="00981775">
          <w:rPr>
            <w:rStyle w:val="TextoNormalCaracter"/>
          </w:rPr>
          <w:t>219/2015</w:t>
        </w:r>
      </w:hyperlink>
      <w:r>
        <w:t xml:space="preserve">, f. 2; </w:t>
      </w:r>
      <w:hyperlink w:anchor="SENTENCIA_2015_220" w:history="1">
        <w:r w:rsidRPr="00981775">
          <w:rPr>
            <w:rStyle w:val="TextoNormalCaracter"/>
          </w:rPr>
          <w:t>220/2015</w:t>
        </w:r>
      </w:hyperlink>
      <w:r>
        <w:t xml:space="preserve">, f. 2; </w:t>
      </w:r>
      <w:hyperlink w:anchor="SENTENCIA_2015_221" w:history="1">
        <w:r w:rsidRPr="00981775">
          <w:rPr>
            <w:rStyle w:val="TextoNormalCaracter"/>
          </w:rPr>
          <w:t>221/2015</w:t>
        </w:r>
      </w:hyperlink>
      <w:r>
        <w:t xml:space="preserve">, f. 2; </w:t>
      </w:r>
      <w:hyperlink w:anchor="SENTENCIA_2015_231" w:history="1">
        <w:r w:rsidRPr="00981775">
          <w:rPr>
            <w:rStyle w:val="TextoNormalCaracter"/>
          </w:rPr>
          <w:t>231/2015</w:t>
        </w:r>
      </w:hyperlink>
      <w:r>
        <w:t xml:space="preserve">, ff. 2, 13; </w:t>
      </w:r>
      <w:hyperlink w:anchor="SENTENCIA_2015_234" w:history="1">
        <w:r w:rsidRPr="00981775">
          <w:rPr>
            <w:rStyle w:val="TextoNormalCaracter"/>
          </w:rPr>
          <w:t>234/2015</w:t>
        </w:r>
      </w:hyperlink>
      <w:r>
        <w:t xml:space="preserve">, f. 2; </w:t>
      </w:r>
      <w:hyperlink w:anchor="SENTENCIA_2015_241" w:history="1">
        <w:r w:rsidRPr="00981775">
          <w:rPr>
            <w:rStyle w:val="TextoNormalCaracter"/>
          </w:rPr>
          <w:t>241/2015</w:t>
        </w:r>
      </w:hyperlink>
      <w:r>
        <w:t xml:space="preserve">, f. 2; </w:t>
      </w:r>
      <w:hyperlink w:anchor="SENTENCIA_2015_245" w:history="1">
        <w:r w:rsidRPr="00981775">
          <w:rPr>
            <w:rStyle w:val="TextoNormalCaracter"/>
          </w:rPr>
          <w:t>245/2015</w:t>
        </w:r>
      </w:hyperlink>
      <w:r>
        <w:t xml:space="preserve">, f. 2; </w:t>
      </w:r>
      <w:hyperlink w:anchor="SENTENCIA_2015_246" w:history="1">
        <w:r w:rsidRPr="00981775">
          <w:rPr>
            <w:rStyle w:val="TextoNormalCaracter"/>
          </w:rPr>
          <w:t>246/2015</w:t>
        </w:r>
      </w:hyperlink>
      <w:r>
        <w:t xml:space="preserve">, f. 2; </w:t>
      </w:r>
      <w:hyperlink w:anchor="SENTENCIA_2015_247" w:history="1">
        <w:r w:rsidRPr="00981775">
          <w:rPr>
            <w:rStyle w:val="TextoNormalCaracter"/>
          </w:rPr>
          <w:t>247/2015</w:t>
        </w:r>
      </w:hyperlink>
      <w:r>
        <w:t xml:space="preserve">, f. 1; </w:t>
      </w:r>
      <w:hyperlink w:anchor="SENTENCIA_2015_248" w:history="1">
        <w:r w:rsidRPr="00981775">
          <w:rPr>
            <w:rStyle w:val="TextoNormalCaracter"/>
          </w:rPr>
          <w:t>248/2015</w:t>
        </w:r>
      </w:hyperlink>
      <w:r>
        <w:t xml:space="preserve">, f. 2; </w:t>
      </w:r>
      <w:hyperlink w:anchor="SENTENCIA_2015_249" w:history="1">
        <w:r w:rsidRPr="00981775">
          <w:rPr>
            <w:rStyle w:val="TextoNormalCaracter"/>
          </w:rPr>
          <w:t>249/2015</w:t>
        </w:r>
      </w:hyperlink>
      <w:r>
        <w:t xml:space="preserve">, f. 1; </w:t>
      </w:r>
      <w:hyperlink w:anchor="SENTENCIA_2015_250" w:history="1">
        <w:r w:rsidRPr="00981775">
          <w:rPr>
            <w:rStyle w:val="TextoNormalCaracter"/>
          </w:rPr>
          <w:t>250/2015</w:t>
        </w:r>
      </w:hyperlink>
      <w:r>
        <w:t xml:space="preserve">, f. 2; </w:t>
      </w:r>
      <w:hyperlink w:anchor="SENTENCIA_2015_251" w:history="1">
        <w:r w:rsidRPr="00981775">
          <w:rPr>
            <w:rStyle w:val="TextoNormalCaracter"/>
          </w:rPr>
          <w:t>251/2015</w:t>
        </w:r>
      </w:hyperlink>
      <w:r>
        <w:t xml:space="preserve">, f. 2; </w:t>
      </w:r>
      <w:hyperlink w:anchor="SENTENCIA_2015_252" w:history="1">
        <w:r w:rsidRPr="00981775">
          <w:rPr>
            <w:rStyle w:val="TextoNormalCaracter"/>
          </w:rPr>
          <w:t>252/2015</w:t>
        </w:r>
      </w:hyperlink>
      <w:r>
        <w:t xml:space="preserve">, f. 2; </w:t>
      </w:r>
      <w:hyperlink w:anchor="SENTENCIA_2015_253" w:history="1">
        <w:r w:rsidRPr="00981775">
          <w:rPr>
            <w:rStyle w:val="TextoNormalCaracter"/>
          </w:rPr>
          <w:t>253/2015</w:t>
        </w:r>
      </w:hyperlink>
      <w:r>
        <w:t xml:space="preserve">, f. 2; </w:t>
      </w:r>
      <w:hyperlink w:anchor="SENTENCIA_2015_255" w:history="1">
        <w:r w:rsidRPr="00981775">
          <w:rPr>
            <w:rStyle w:val="TextoNormalCaracter"/>
          </w:rPr>
          <w:t>255/2015</w:t>
        </w:r>
      </w:hyperlink>
      <w:r>
        <w:t xml:space="preserve">, f. 2; </w:t>
      </w:r>
      <w:hyperlink w:anchor="SENTENCIA_2015_256" w:history="1">
        <w:r w:rsidRPr="00981775">
          <w:rPr>
            <w:rStyle w:val="TextoNormalCaracter"/>
          </w:rPr>
          <w:t>256/2015</w:t>
        </w:r>
      </w:hyperlink>
      <w:r>
        <w:t xml:space="preserve">, f. 2; </w:t>
      </w:r>
      <w:hyperlink w:anchor="SENTENCIA_2015_257" w:history="1">
        <w:r w:rsidRPr="00981775">
          <w:rPr>
            <w:rStyle w:val="TextoNormalCaracter"/>
          </w:rPr>
          <w:t>257/2015</w:t>
        </w:r>
      </w:hyperlink>
      <w:r>
        <w:t xml:space="preserve">, f. 2; </w:t>
      </w:r>
      <w:hyperlink w:anchor="SENTENCIA_2015_258" w:history="1">
        <w:r w:rsidRPr="00981775">
          <w:rPr>
            <w:rStyle w:val="TextoNormalCaracter"/>
          </w:rPr>
          <w:t>258/2015</w:t>
        </w:r>
      </w:hyperlink>
      <w:r>
        <w:t xml:space="preserve">, f. 2; </w:t>
      </w:r>
      <w:hyperlink w:anchor="SENTENCIA_2015_269" w:history="1">
        <w:r w:rsidRPr="00981775">
          <w:rPr>
            <w:rStyle w:val="TextoNormalCaracter"/>
          </w:rPr>
          <w:t>269/2015</w:t>
        </w:r>
      </w:hyperlink>
      <w:r>
        <w:t>, f. 2.</w:t>
      </w:r>
    </w:p>
    <w:p w:rsidR="00981775" w:rsidRDefault="00981775" w:rsidP="00981775">
      <w:pPr>
        <w:pStyle w:val="SangriaIzquierdaArticulo"/>
      </w:pPr>
      <w:r>
        <w:t xml:space="preserve">Autos </w:t>
      </w:r>
      <w:hyperlink w:anchor="AUTO_2015_136" w:history="1">
        <w:r w:rsidRPr="00981775">
          <w:rPr>
            <w:rStyle w:val="TextoNormalCaracter"/>
          </w:rPr>
          <w:t>136/2015</w:t>
        </w:r>
      </w:hyperlink>
      <w:r>
        <w:t xml:space="preserve">, f. 3; </w:t>
      </w:r>
      <w:hyperlink w:anchor="AUTO_2015_173" w:history="1">
        <w:r w:rsidRPr="00981775">
          <w:rPr>
            <w:rStyle w:val="TextoNormalCaracter"/>
          </w:rPr>
          <w:t>173/2015</w:t>
        </w:r>
      </w:hyperlink>
      <w:r>
        <w:t xml:space="preserve">, f. 2; </w:t>
      </w:r>
      <w:hyperlink w:anchor="AUTO_2015_184" w:history="1">
        <w:r w:rsidRPr="00981775">
          <w:rPr>
            <w:rStyle w:val="TextoNormalCaracter"/>
          </w:rPr>
          <w:t>184/2015</w:t>
        </w:r>
      </w:hyperlink>
      <w:r>
        <w:t xml:space="preserve">, f. 2; </w:t>
      </w:r>
      <w:hyperlink w:anchor="AUTO_2015_193" w:history="1">
        <w:r w:rsidRPr="00981775">
          <w:rPr>
            <w:rStyle w:val="TextoNormalCaracter"/>
          </w:rPr>
          <w:t>193/2015</w:t>
        </w:r>
      </w:hyperlink>
      <w:r>
        <w:t xml:space="preserve">, f. 2; </w:t>
      </w:r>
      <w:hyperlink w:anchor="AUTO_2015_194" w:history="1">
        <w:r w:rsidRPr="00981775">
          <w:rPr>
            <w:rStyle w:val="TextoNormalCaracter"/>
          </w:rPr>
          <w:t>194/2015</w:t>
        </w:r>
      </w:hyperlink>
      <w:r>
        <w:t>, ff. 1, 2.</w:t>
      </w:r>
    </w:p>
    <w:p w:rsidR="00981775" w:rsidRDefault="00981775" w:rsidP="00981775">
      <w:pPr>
        <w:pStyle w:val="SangriaFrancesaArticulo"/>
      </w:pPr>
      <w:r w:rsidRPr="00981775">
        <w:rPr>
          <w:rStyle w:val="TextoNormalNegritaCaracter"/>
        </w:rPr>
        <w:t>Artículo 35.2.</w:t>
      </w:r>
      <w:r w:rsidRPr="00981775">
        <w:rPr>
          <w:rStyle w:val="TextoNormalCaracter"/>
        </w:rPr>
        <w:t>-</w:t>
      </w:r>
      <w:r>
        <w:t xml:space="preserve"> Sentencias </w:t>
      </w:r>
      <w:hyperlink w:anchor="SENTENCIA_2015_195" w:history="1">
        <w:r w:rsidRPr="00981775">
          <w:rPr>
            <w:rStyle w:val="TextoNormalCaracter"/>
          </w:rPr>
          <w:t>195/2015</w:t>
        </w:r>
      </w:hyperlink>
      <w:r>
        <w:t xml:space="preserve">, f. 3; </w:t>
      </w:r>
      <w:hyperlink w:anchor="SENTENCIA_2015_212" w:history="1">
        <w:r w:rsidRPr="00981775">
          <w:rPr>
            <w:rStyle w:val="TextoNormalCaracter"/>
          </w:rPr>
          <w:t>212/2015</w:t>
        </w:r>
      </w:hyperlink>
      <w:r>
        <w:t xml:space="preserve">, ff. 2, 3; </w:t>
      </w:r>
      <w:hyperlink w:anchor="SENTENCIA_2015_213" w:history="1">
        <w:r w:rsidRPr="00981775">
          <w:rPr>
            <w:rStyle w:val="TextoNormalCaracter"/>
          </w:rPr>
          <w:t>213/2015</w:t>
        </w:r>
      </w:hyperlink>
      <w:r>
        <w:t xml:space="preserve">, ff. 2, 3; </w:t>
      </w:r>
      <w:hyperlink w:anchor="SENTENCIA_2015_219" w:history="1">
        <w:r w:rsidRPr="00981775">
          <w:rPr>
            <w:rStyle w:val="TextoNormalCaracter"/>
          </w:rPr>
          <w:t>219/2015</w:t>
        </w:r>
      </w:hyperlink>
      <w:r>
        <w:t xml:space="preserve">, ff. 2, 3; </w:t>
      </w:r>
      <w:hyperlink w:anchor="SENTENCIA_2015_220" w:history="1">
        <w:r w:rsidRPr="00981775">
          <w:rPr>
            <w:rStyle w:val="TextoNormalCaracter"/>
          </w:rPr>
          <w:t>220/2015</w:t>
        </w:r>
      </w:hyperlink>
      <w:r>
        <w:t xml:space="preserve">, ff. 2, 3; </w:t>
      </w:r>
      <w:hyperlink w:anchor="SENTENCIA_2015_221" w:history="1">
        <w:r w:rsidRPr="00981775">
          <w:rPr>
            <w:rStyle w:val="TextoNormalCaracter"/>
          </w:rPr>
          <w:t>221/2015</w:t>
        </w:r>
      </w:hyperlink>
      <w:r>
        <w:t xml:space="preserve">, ff. 2, 3; </w:t>
      </w:r>
      <w:hyperlink w:anchor="SENTENCIA_2015_248" w:history="1">
        <w:r w:rsidRPr="00981775">
          <w:rPr>
            <w:rStyle w:val="TextoNormalCaracter"/>
          </w:rPr>
          <w:t>248/2015</w:t>
        </w:r>
      </w:hyperlink>
      <w:r>
        <w:t xml:space="preserve">, f. 2; </w:t>
      </w:r>
      <w:hyperlink w:anchor="SENTENCIA_2015_268" w:history="1">
        <w:r w:rsidRPr="00981775">
          <w:rPr>
            <w:rStyle w:val="TextoNormalCaracter"/>
          </w:rPr>
          <w:t>268/2015</w:t>
        </w:r>
      </w:hyperlink>
      <w:r>
        <w:t>, f. 2.</w:t>
      </w:r>
    </w:p>
    <w:p w:rsidR="00981775" w:rsidRDefault="00981775" w:rsidP="00981775">
      <w:pPr>
        <w:pStyle w:val="SangriaIzquierdaArticulo"/>
      </w:pPr>
      <w:r>
        <w:t xml:space="preserve">Autos </w:t>
      </w:r>
      <w:hyperlink w:anchor="AUTO_2015_138" w:history="1">
        <w:r w:rsidRPr="00981775">
          <w:rPr>
            <w:rStyle w:val="TextoNormalCaracter"/>
          </w:rPr>
          <w:t>138/2015</w:t>
        </w:r>
      </w:hyperlink>
      <w:r>
        <w:t xml:space="preserve">, f. 3; </w:t>
      </w:r>
      <w:hyperlink w:anchor="AUTO_2015_145" w:history="1">
        <w:r w:rsidRPr="00981775">
          <w:rPr>
            <w:rStyle w:val="TextoNormalCaracter"/>
          </w:rPr>
          <w:t>145/2015</w:t>
        </w:r>
      </w:hyperlink>
      <w:r>
        <w:t xml:space="preserve">, f. 3; </w:t>
      </w:r>
      <w:hyperlink w:anchor="AUTO_2015_154" w:history="1">
        <w:r w:rsidRPr="00981775">
          <w:rPr>
            <w:rStyle w:val="TextoNormalCaracter"/>
          </w:rPr>
          <w:t>154/2015</w:t>
        </w:r>
      </w:hyperlink>
      <w:r>
        <w:t xml:space="preserve">, ff. 2, 3; </w:t>
      </w:r>
      <w:hyperlink w:anchor="AUTO_2015_155" w:history="1">
        <w:r w:rsidRPr="00981775">
          <w:rPr>
            <w:rStyle w:val="TextoNormalCaracter"/>
          </w:rPr>
          <w:t>155/2015</w:t>
        </w:r>
      </w:hyperlink>
      <w:r>
        <w:t xml:space="preserve">, f. 2; </w:t>
      </w:r>
      <w:hyperlink w:anchor="AUTO_2015_167" w:history="1">
        <w:r w:rsidRPr="00981775">
          <w:rPr>
            <w:rStyle w:val="TextoNormalCaracter"/>
          </w:rPr>
          <w:t>167/2015</w:t>
        </w:r>
      </w:hyperlink>
      <w:r>
        <w:t xml:space="preserve">, ff. 1, 2; </w:t>
      </w:r>
      <w:hyperlink w:anchor="AUTO_2015_172" w:history="1">
        <w:r w:rsidRPr="00981775">
          <w:rPr>
            <w:rStyle w:val="TextoNormalCaracter"/>
          </w:rPr>
          <w:t>172/2015</w:t>
        </w:r>
      </w:hyperlink>
      <w:r>
        <w:t xml:space="preserve">, f. 3; </w:t>
      </w:r>
      <w:hyperlink w:anchor="AUTO_2015_184" w:history="1">
        <w:r w:rsidRPr="00981775">
          <w:rPr>
            <w:rStyle w:val="TextoNormalCaracter"/>
          </w:rPr>
          <w:t>184/2015</w:t>
        </w:r>
      </w:hyperlink>
      <w:r>
        <w:t xml:space="preserve">; </w:t>
      </w:r>
      <w:hyperlink w:anchor="AUTO_2015_188" w:history="1">
        <w:r w:rsidRPr="00981775">
          <w:rPr>
            <w:rStyle w:val="TextoNormalCaracter"/>
          </w:rPr>
          <w:t>188/2015</w:t>
        </w:r>
      </w:hyperlink>
      <w:r>
        <w:t xml:space="preserve">, f. 2; </w:t>
      </w:r>
      <w:hyperlink w:anchor="AUTO_2015_193" w:history="1">
        <w:r w:rsidRPr="00981775">
          <w:rPr>
            <w:rStyle w:val="TextoNormalCaracter"/>
          </w:rPr>
          <w:t>193/2015</w:t>
        </w:r>
      </w:hyperlink>
      <w:r>
        <w:t xml:space="preserve">, f. 2; </w:t>
      </w:r>
      <w:hyperlink w:anchor="AUTO_2015_194" w:history="1">
        <w:r w:rsidRPr="00981775">
          <w:rPr>
            <w:rStyle w:val="TextoNormalCaracter"/>
          </w:rPr>
          <w:t>194/2015</w:t>
        </w:r>
      </w:hyperlink>
      <w:r>
        <w:t xml:space="preserve">, ff. 1, 2; </w:t>
      </w:r>
      <w:hyperlink w:anchor="AUTO_2015_195" w:history="1">
        <w:r w:rsidRPr="00981775">
          <w:rPr>
            <w:rStyle w:val="TextoNormalCaracter"/>
          </w:rPr>
          <w:t>195/2015</w:t>
        </w:r>
      </w:hyperlink>
      <w:r>
        <w:t>, ff. 1 a 4.</w:t>
      </w:r>
    </w:p>
    <w:p w:rsidR="00981775" w:rsidRDefault="00981775" w:rsidP="00981775">
      <w:pPr>
        <w:pStyle w:val="SangriaFrancesaArticulo"/>
      </w:pPr>
      <w:r w:rsidRPr="00981775">
        <w:rPr>
          <w:rStyle w:val="TextoNormalNegritaCaracter"/>
        </w:rPr>
        <w:t>Artículo 35.2</w:t>
      </w:r>
      <w:r>
        <w:t xml:space="preserve"> (redactado por la Ley Orgánica 6/2007, de 24 de mayo)</w:t>
      </w:r>
      <w:r w:rsidRPr="00981775">
        <w:rPr>
          <w:rStyle w:val="TextoNormalNegritaCaracter"/>
        </w:rPr>
        <w:t>.</w:t>
      </w:r>
      <w:r w:rsidRPr="00981775">
        <w:rPr>
          <w:rStyle w:val="TextoNormalCaracter"/>
        </w:rPr>
        <w:t>-</w:t>
      </w:r>
      <w:r>
        <w:t xml:space="preserve"> Sentencias </w:t>
      </w:r>
      <w:hyperlink w:anchor="SENTENCIA_2015_157" w:history="1">
        <w:r w:rsidRPr="00981775">
          <w:rPr>
            <w:rStyle w:val="TextoNormalCaracter"/>
          </w:rPr>
          <w:t>157/2015</w:t>
        </w:r>
      </w:hyperlink>
      <w:r>
        <w:t xml:space="preserve">, f. 3; </w:t>
      </w:r>
      <w:hyperlink w:anchor="SENTENCIA_2015_201" w:history="1">
        <w:r w:rsidRPr="00981775">
          <w:rPr>
            <w:rStyle w:val="TextoNormalCaracter"/>
          </w:rPr>
          <w:t>201/2015</w:t>
        </w:r>
      </w:hyperlink>
      <w:r>
        <w:t xml:space="preserve">, ff. 2, 3; </w:t>
      </w:r>
      <w:hyperlink w:anchor="SENTENCIA_2015_231" w:history="1">
        <w:r w:rsidRPr="00981775">
          <w:rPr>
            <w:rStyle w:val="TextoNormalCaracter"/>
          </w:rPr>
          <w:t>231/2015</w:t>
        </w:r>
      </w:hyperlink>
      <w:r>
        <w:t xml:space="preserve">, ff. 2, 13; </w:t>
      </w:r>
      <w:hyperlink w:anchor="SENTENCIA_2015_234" w:history="1">
        <w:r w:rsidRPr="00981775">
          <w:rPr>
            <w:rStyle w:val="TextoNormalCaracter"/>
          </w:rPr>
          <w:t>234/2015</w:t>
        </w:r>
      </w:hyperlink>
      <w:r>
        <w:t xml:space="preserve">, f. 2; </w:t>
      </w:r>
      <w:hyperlink w:anchor="SENTENCIA_2015_241" w:history="1">
        <w:r w:rsidRPr="00981775">
          <w:rPr>
            <w:rStyle w:val="TextoNormalCaracter"/>
          </w:rPr>
          <w:t>241/2015</w:t>
        </w:r>
      </w:hyperlink>
      <w:r>
        <w:t xml:space="preserve">, f. 2; </w:t>
      </w:r>
      <w:hyperlink w:anchor="SENTENCIA_2015_245" w:history="1">
        <w:r w:rsidRPr="00981775">
          <w:rPr>
            <w:rStyle w:val="TextoNormalCaracter"/>
          </w:rPr>
          <w:t>245/2015</w:t>
        </w:r>
      </w:hyperlink>
      <w:r>
        <w:t xml:space="preserve">, f. 2; </w:t>
      </w:r>
      <w:hyperlink w:anchor="SENTENCIA_2015_255" w:history="1">
        <w:r w:rsidRPr="00981775">
          <w:rPr>
            <w:rStyle w:val="TextoNormalCaracter"/>
          </w:rPr>
          <w:t>255/2015</w:t>
        </w:r>
      </w:hyperlink>
      <w:r>
        <w:t xml:space="preserve">, f. 2; </w:t>
      </w:r>
      <w:hyperlink w:anchor="SENTENCIA_2015_267" w:history="1">
        <w:r w:rsidRPr="00981775">
          <w:rPr>
            <w:rStyle w:val="TextoNormalCaracter"/>
          </w:rPr>
          <w:t>267/2015</w:t>
        </w:r>
      </w:hyperlink>
      <w:r>
        <w:t>, f. 2.</w:t>
      </w:r>
    </w:p>
    <w:p w:rsidR="00981775" w:rsidRDefault="00981775" w:rsidP="00981775">
      <w:pPr>
        <w:pStyle w:val="SangriaIzquierdaArticulo"/>
      </w:pPr>
      <w:r>
        <w:t xml:space="preserve">Autos </w:t>
      </w:r>
      <w:hyperlink w:anchor="AUTO_2015_136" w:history="1">
        <w:r w:rsidRPr="00981775">
          <w:rPr>
            <w:rStyle w:val="TextoNormalCaracter"/>
          </w:rPr>
          <w:t>136/2015</w:t>
        </w:r>
      </w:hyperlink>
      <w:r>
        <w:t xml:space="preserve">, f. 2; </w:t>
      </w:r>
      <w:hyperlink w:anchor="AUTO_2015_137" w:history="1">
        <w:r w:rsidRPr="00981775">
          <w:rPr>
            <w:rStyle w:val="TextoNormalCaracter"/>
          </w:rPr>
          <w:t>137/2015</w:t>
        </w:r>
      </w:hyperlink>
      <w:r>
        <w:t xml:space="preserve">, f. 3; </w:t>
      </w:r>
      <w:hyperlink w:anchor="AUTO_2015_183" w:history="1">
        <w:r w:rsidRPr="00981775">
          <w:rPr>
            <w:rStyle w:val="TextoNormalCaracter"/>
          </w:rPr>
          <w:t>183/2015</w:t>
        </w:r>
      </w:hyperlink>
      <w:r>
        <w:t xml:space="preserve">, ff. 1 a 4; </w:t>
      </w:r>
      <w:hyperlink w:anchor="AUTO_2015_184" w:history="1">
        <w:r w:rsidRPr="00981775">
          <w:rPr>
            <w:rStyle w:val="TextoNormalCaracter"/>
          </w:rPr>
          <w:t>184/2015</w:t>
        </w:r>
      </w:hyperlink>
      <w:r>
        <w:t xml:space="preserve">, f. 2; </w:t>
      </w:r>
      <w:hyperlink w:anchor="AUTO_2015_201" w:history="1">
        <w:r w:rsidRPr="00981775">
          <w:rPr>
            <w:rStyle w:val="TextoNormalCaracter"/>
          </w:rPr>
          <w:t>201/2015</w:t>
        </w:r>
      </w:hyperlink>
      <w:r>
        <w:t xml:space="preserve">, f. 2; </w:t>
      </w:r>
      <w:hyperlink w:anchor="AUTO_2015_224" w:history="1">
        <w:r w:rsidRPr="00981775">
          <w:rPr>
            <w:rStyle w:val="TextoNormalCaracter"/>
          </w:rPr>
          <w:t>224/2015</w:t>
        </w:r>
      </w:hyperlink>
      <w:r>
        <w:t xml:space="preserve">, f. 1; </w:t>
      </w:r>
      <w:hyperlink w:anchor="AUTO_2015_227" w:history="1">
        <w:r w:rsidRPr="00981775">
          <w:rPr>
            <w:rStyle w:val="TextoNormalCaracter"/>
          </w:rPr>
          <w:t>227/2015</w:t>
        </w:r>
      </w:hyperlink>
      <w:r>
        <w:t xml:space="preserve">, ff. 2, 3; </w:t>
      </w:r>
      <w:hyperlink w:anchor="AUTO_2015_228" w:history="1">
        <w:r w:rsidRPr="00981775">
          <w:rPr>
            <w:rStyle w:val="TextoNormalCaracter"/>
          </w:rPr>
          <w:t>228/2015</w:t>
        </w:r>
      </w:hyperlink>
      <w:r>
        <w:t xml:space="preserve">, f. 2; </w:t>
      </w:r>
      <w:hyperlink w:anchor="AUTO_2015_229" w:history="1">
        <w:r w:rsidRPr="00981775">
          <w:rPr>
            <w:rStyle w:val="TextoNormalCaracter"/>
          </w:rPr>
          <w:t>229/2015</w:t>
        </w:r>
      </w:hyperlink>
      <w:r>
        <w:t>, f. 2.</w:t>
      </w:r>
    </w:p>
    <w:p w:rsidR="00981775" w:rsidRDefault="00981775" w:rsidP="00981775">
      <w:pPr>
        <w:pStyle w:val="SangriaFrancesaArticulo"/>
      </w:pPr>
      <w:r w:rsidRPr="00981775">
        <w:rPr>
          <w:rStyle w:val="TextoNormalNegritaCaracter"/>
        </w:rPr>
        <w:t>Artículos 35 a 37.</w:t>
      </w:r>
      <w:r w:rsidRPr="00981775">
        <w:rPr>
          <w:rStyle w:val="TextoNormalCaracter"/>
        </w:rPr>
        <w:t>-</w:t>
      </w:r>
      <w:r>
        <w:t xml:space="preserve"> Sentencia </w:t>
      </w:r>
      <w:hyperlink w:anchor="SENTENCIA_2015_269" w:history="1">
        <w:r w:rsidRPr="00981775">
          <w:rPr>
            <w:rStyle w:val="TextoNormalCaracter"/>
          </w:rPr>
          <w:t>269/2015</w:t>
        </w:r>
      </w:hyperlink>
      <w:r>
        <w:t>, f. 2.</w:t>
      </w:r>
    </w:p>
    <w:p w:rsidR="00981775" w:rsidRDefault="00981775" w:rsidP="00981775">
      <w:pPr>
        <w:pStyle w:val="SangriaFrancesaArticulo"/>
      </w:pPr>
      <w:r w:rsidRPr="00981775">
        <w:rPr>
          <w:rStyle w:val="TextoNormalNegritaCaracter"/>
        </w:rPr>
        <w:t>Artículo 37.</w:t>
      </w:r>
      <w:r w:rsidRPr="00981775">
        <w:rPr>
          <w:rStyle w:val="TextoNormalCaracter"/>
        </w:rPr>
        <w:t>-</w:t>
      </w:r>
      <w:r>
        <w:t xml:space="preserve"> Sentencia </w:t>
      </w:r>
      <w:hyperlink w:anchor="SENTENCIA_2015_254" w:history="1">
        <w:r w:rsidRPr="00981775">
          <w:rPr>
            <w:rStyle w:val="TextoNormalCaracter"/>
          </w:rPr>
          <w:t>254/2015</w:t>
        </w:r>
      </w:hyperlink>
      <w:r>
        <w:t>, f. 2.</w:t>
      </w:r>
    </w:p>
    <w:p w:rsidR="00981775" w:rsidRDefault="00981775" w:rsidP="00981775">
      <w:pPr>
        <w:pStyle w:val="SangriaIzquierdaArticulo"/>
      </w:pPr>
      <w:r>
        <w:t xml:space="preserve">Auto </w:t>
      </w:r>
      <w:hyperlink w:anchor="AUTO_2015_188" w:history="1">
        <w:r w:rsidRPr="00981775">
          <w:rPr>
            <w:rStyle w:val="TextoNormalCaracter"/>
          </w:rPr>
          <w:t>188/2015</w:t>
        </w:r>
      </w:hyperlink>
      <w:r>
        <w:t>, f. 2.</w:t>
      </w:r>
    </w:p>
    <w:p w:rsidR="00981775" w:rsidRDefault="00981775" w:rsidP="00981775">
      <w:pPr>
        <w:pStyle w:val="SangriaFrancesaArticulo"/>
      </w:pPr>
      <w:r w:rsidRPr="00981775">
        <w:rPr>
          <w:rStyle w:val="TextoNormalNegritaCaracter"/>
        </w:rPr>
        <w:t>Artículo 37.1.</w:t>
      </w:r>
      <w:r w:rsidRPr="00981775">
        <w:rPr>
          <w:rStyle w:val="TextoNormalCaracter"/>
        </w:rPr>
        <w:t>-</w:t>
      </w:r>
      <w:r>
        <w:t xml:space="preserve"> Sentencias </w:t>
      </w:r>
      <w:hyperlink w:anchor="SENTENCIA_2015_157" w:history="1">
        <w:r w:rsidRPr="00981775">
          <w:rPr>
            <w:rStyle w:val="TextoNormalCaracter"/>
          </w:rPr>
          <w:t>157/2015</w:t>
        </w:r>
      </w:hyperlink>
      <w:r>
        <w:t xml:space="preserve">, f. 1; </w:t>
      </w:r>
      <w:hyperlink w:anchor="SENTENCIA_2015_201" w:history="1">
        <w:r w:rsidRPr="00981775">
          <w:rPr>
            <w:rStyle w:val="TextoNormalCaracter"/>
          </w:rPr>
          <w:t>201/2015</w:t>
        </w:r>
      </w:hyperlink>
      <w:r>
        <w:t xml:space="preserve">, f. 2; </w:t>
      </w:r>
      <w:hyperlink w:anchor="SENTENCIA_2015_212" w:history="1">
        <w:r w:rsidRPr="00981775">
          <w:rPr>
            <w:rStyle w:val="TextoNormalCaracter"/>
          </w:rPr>
          <w:t>212/2015</w:t>
        </w:r>
      </w:hyperlink>
      <w:r>
        <w:t xml:space="preserve">, f. 2; </w:t>
      </w:r>
      <w:hyperlink w:anchor="SENTENCIA_2015_213" w:history="1">
        <w:r w:rsidRPr="00981775">
          <w:rPr>
            <w:rStyle w:val="TextoNormalCaracter"/>
          </w:rPr>
          <w:t>213/2015</w:t>
        </w:r>
      </w:hyperlink>
      <w:r>
        <w:t xml:space="preserve">, f. 2; </w:t>
      </w:r>
      <w:hyperlink w:anchor="SENTENCIA_2015_219" w:history="1">
        <w:r w:rsidRPr="00981775">
          <w:rPr>
            <w:rStyle w:val="TextoNormalCaracter"/>
          </w:rPr>
          <w:t>219/2015</w:t>
        </w:r>
      </w:hyperlink>
      <w:r>
        <w:t xml:space="preserve">, f. 2; </w:t>
      </w:r>
      <w:hyperlink w:anchor="SENTENCIA_2015_220" w:history="1">
        <w:r w:rsidRPr="00981775">
          <w:rPr>
            <w:rStyle w:val="TextoNormalCaracter"/>
          </w:rPr>
          <w:t>220/2015</w:t>
        </w:r>
      </w:hyperlink>
      <w:r>
        <w:t xml:space="preserve">, f. 2; </w:t>
      </w:r>
      <w:hyperlink w:anchor="SENTENCIA_2015_221" w:history="1">
        <w:r w:rsidRPr="00981775">
          <w:rPr>
            <w:rStyle w:val="TextoNormalCaracter"/>
          </w:rPr>
          <w:t>221/2015</w:t>
        </w:r>
      </w:hyperlink>
      <w:r>
        <w:t xml:space="preserve">, f. 2; </w:t>
      </w:r>
      <w:hyperlink w:anchor="SENTENCIA_2015_231" w:history="1">
        <w:r w:rsidRPr="00981775">
          <w:rPr>
            <w:rStyle w:val="TextoNormalCaracter"/>
          </w:rPr>
          <w:t>231/2015</w:t>
        </w:r>
      </w:hyperlink>
      <w:r>
        <w:t xml:space="preserve">, VP; </w:t>
      </w:r>
      <w:hyperlink w:anchor="SENTENCIA_2015_234" w:history="1">
        <w:r w:rsidRPr="00981775">
          <w:rPr>
            <w:rStyle w:val="TextoNormalCaracter"/>
          </w:rPr>
          <w:t>234/2015</w:t>
        </w:r>
      </w:hyperlink>
      <w:r>
        <w:t xml:space="preserve">, f. 2; </w:t>
      </w:r>
      <w:hyperlink w:anchor="SENTENCIA_2015_241" w:history="1">
        <w:r w:rsidRPr="00981775">
          <w:rPr>
            <w:rStyle w:val="TextoNormalCaracter"/>
          </w:rPr>
          <w:t>241/2015</w:t>
        </w:r>
      </w:hyperlink>
      <w:r>
        <w:t xml:space="preserve">, f. 2; </w:t>
      </w:r>
      <w:hyperlink w:anchor="SENTENCIA_2015_248" w:history="1">
        <w:r w:rsidRPr="00981775">
          <w:rPr>
            <w:rStyle w:val="TextoNormalCaracter"/>
          </w:rPr>
          <w:t>248/2015</w:t>
        </w:r>
      </w:hyperlink>
      <w:r>
        <w:t xml:space="preserve">, f. 2; </w:t>
      </w:r>
      <w:hyperlink w:anchor="SENTENCIA_2015_255" w:history="1">
        <w:r w:rsidRPr="00981775">
          <w:rPr>
            <w:rStyle w:val="TextoNormalCaracter"/>
          </w:rPr>
          <w:t>255/2015</w:t>
        </w:r>
      </w:hyperlink>
      <w:r>
        <w:t xml:space="preserve">, f. 2; </w:t>
      </w:r>
      <w:hyperlink w:anchor="SENTENCIA_2015_269" w:history="1">
        <w:r w:rsidRPr="00981775">
          <w:rPr>
            <w:rStyle w:val="TextoNormalCaracter"/>
          </w:rPr>
          <w:t>269/2015</w:t>
        </w:r>
      </w:hyperlink>
      <w:r>
        <w:t>, f. 2.</w:t>
      </w:r>
    </w:p>
    <w:p w:rsidR="00981775" w:rsidRDefault="00981775" w:rsidP="00981775">
      <w:pPr>
        <w:pStyle w:val="SangriaIzquierdaArticulo"/>
      </w:pPr>
      <w:r>
        <w:t xml:space="preserve">Autos </w:t>
      </w:r>
      <w:hyperlink w:anchor="AUTO_2015_121" w:history="1">
        <w:r w:rsidRPr="00981775">
          <w:rPr>
            <w:rStyle w:val="TextoNormalCaracter"/>
          </w:rPr>
          <w:t>121/2015</w:t>
        </w:r>
      </w:hyperlink>
      <w:r>
        <w:t xml:space="preserve">, f. 2; </w:t>
      </w:r>
      <w:hyperlink w:anchor="AUTO_2015_129" w:history="1">
        <w:r w:rsidRPr="00981775">
          <w:rPr>
            <w:rStyle w:val="TextoNormalCaracter"/>
          </w:rPr>
          <w:t>129/2015</w:t>
        </w:r>
      </w:hyperlink>
      <w:r>
        <w:t xml:space="preserve">, f. único; </w:t>
      </w:r>
      <w:hyperlink w:anchor="AUTO_2015_130" w:history="1">
        <w:r w:rsidRPr="00981775">
          <w:rPr>
            <w:rStyle w:val="TextoNormalCaracter"/>
          </w:rPr>
          <w:t>130/2015</w:t>
        </w:r>
      </w:hyperlink>
      <w:r>
        <w:t xml:space="preserve">, f. único; </w:t>
      </w:r>
      <w:hyperlink w:anchor="AUTO_2015_132" w:history="1">
        <w:r w:rsidRPr="00981775">
          <w:rPr>
            <w:rStyle w:val="TextoNormalCaracter"/>
          </w:rPr>
          <w:t>132/2015</w:t>
        </w:r>
      </w:hyperlink>
      <w:r>
        <w:t xml:space="preserve">, f. único; </w:t>
      </w:r>
      <w:hyperlink w:anchor="AUTO_2015_133" w:history="1">
        <w:r w:rsidRPr="00981775">
          <w:rPr>
            <w:rStyle w:val="TextoNormalCaracter"/>
          </w:rPr>
          <w:t>133/2015</w:t>
        </w:r>
      </w:hyperlink>
      <w:r>
        <w:t xml:space="preserve">, f. único; </w:t>
      </w:r>
      <w:hyperlink w:anchor="AUTO_2015_134" w:history="1">
        <w:r w:rsidRPr="00981775">
          <w:rPr>
            <w:rStyle w:val="TextoNormalCaracter"/>
          </w:rPr>
          <w:t>134/2015</w:t>
        </w:r>
      </w:hyperlink>
      <w:r>
        <w:t xml:space="preserve">, f. único; </w:t>
      </w:r>
      <w:hyperlink w:anchor="AUTO_2015_136" w:history="1">
        <w:r w:rsidRPr="00981775">
          <w:rPr>
            <w:rStyle w:val="TextoNormalCaracter"/>
          </w:rPr>
          <w:t>136/2015</w:t>
        </w:r>
      </w:hyperlink>
      <w:r>
        <w:t xml:space="preserve">, f. 2; </w:t>
      </w:r>
      <w:hyperlink w:anchor="AUTO_2015_137" w:history="1">
        <w:r w:rsidRPr="00981775">
          <w:rPr>
            <w:rStyle w:val="TextoNormalCaracter"/>
          </w:rPr>
          <w:t>137/2015</w:t>
        </w:r>
      </w:hyperlink>
      <w:r>
        <w:t xml:space="preserve">, ff. 1, 2; </w:t>
      </w:r>
      <w:hyperlink w:anchor="AUTO_2015_138" w:history="1">
        <w:r w:rsidRPr="00981775">
          <w:rPr>
            <w:rStyle w:val="TextoNormalCaracter"/>
          </w:rPr>
          <w:t>138/2015</w:t>
        </w:r>
      </w:hyperlink>
      <w:r>
        <w:t xml:space="preserve">, ff. 1, 2; </w:t>
      </w:r>
      <w:hyperlink w:anchor="AUTO_2015_145" w:history="1">
        <w:r w:rsidRPr="00981775">
          <w:rPr>
            <w:rStyle w:val="TextoNormalCaracter"/>
          </w:rPr>
          <w:t>145/2015</w:t>
        </w:r>
      </w:hyperlink>
      <w:r>
        <w:t xml:space="preserve">, ff. 1, 2, 4; </w:t>
      </w:r>
      <w:hyperlink w:anchor="AUTO_2015_146" w:history="1">
        <w:r w:rsidRPr="00981775">
          <w:rPr>
            <w:rStyle w:val="TextoNormalCaracter"/>
          </w:rPr>
          <w:t>146/2015</w:t>
        </w:r>
      </w:hyperlink>
      <w:r>
        <w:t xml:space="preserve">, Único; </w:t>
      </w:r>
      <w:hyperlink w:anchor="AUTO_2015_154" w:history="1">
        <w:r w:rsidRPr="00981775">
          <w:rPr>
            <w:rStyle w:val="TextoNormalCaracter"/>
          </w:rPr>
          <w:t>154/2015</w:t>
        </w:r>
      </w:hyperlink>
      <w:r>
        <w:t xml:space="preserve">, f. 2; </w:t>
      </w:r>
      <w:hyperlink w:anchor="AUTO_2015_155" w:history="1">
        <w:r w:rsidRPr="00981775">
          <w:rPr>
            <w:rStyle w:val="TextoNormalCaracter"/>
          </w:rPr>
          <w:t>155/2015</w:t>
        </w:r>
      </w:hyperlink>
      <w:r>
        <w:t xml:space="preserve">, ff. 1, 2; </w:t>
      </w:r>
      <w:hyperlink w:anchor="AUTO_2015_167" w:history="1">
        <w:r w:rsidRPr="00981775">
          <w:rPr>
            <w:rStyle w:val="TextoNormalCaracter"/>
          </w:rPr>
          <w:t>167/2015</w:t>
        </w:r>
      </w:hyperlink>
      <w:r>
        <w:t xml:space="preserve">, ff. 1, 2; </w:t>
      </w:r>
      <w:hyperlink w:anchor="AUTO_2015_172" w:history="1">
        <w:r w:rsidRPr="00981775">
          <w:rPr>
            <w:rStyle w:val="TextoNormalCaracter"/>
          </w:rPr>
          <w:t>172/2015</w:t>
        </w:r>
      </w:hyperlink>
      <w:r>
        <w:t xml:space="preserve">, f. 2; </w:t>
      </w:r>
      <w:hyperlink w:anchor="AUTO_2015_173" w:history="1">
        <w:r w:rsidRPr="00981775">
          <w:rPr>
            <w:rStyle w:val="TextoNormalCaracter"/>
          </w:rPr>
          <w:t>173/2015</w:t>
        </w:r>
      </w:hyperlink>
      <w:r>
        <w:t xml:space="preserve">, ff. 1, 2; </w:t>
      </w:r>
      <w:hyperlink w:anchor="AUTO_2015_180" w:history="1">
        <w:r w:rsidRPr="00981775">
          <w:rPr>
            <w:rStyle w:val="TextoNormalCaracter"/>
          </w:rPr>
          <w:t>180/2015</w:t>
        </w:r>
      </w:hyperlink>
      <w:r>
        <w:t xml:space="preserve">, ff. 1, 2; </w:t>
      </w:r>
      <w:hyperlink w:anchor="AUTO_2015_183" w:history="1">
        <w:r w:rsidRPr="00981775">
          <w:rPr>
            <w:rStyle w:val="TextoNormalCaracter"/>
          </w:rPr>
          <w:t>183/2015</w:t>
        </w:r>
      </w:hyperlink>
      <w:r>
        <w:t xml:space="preserve">, ff. 1, 2; </w:t>
      </w:r>
      <w:hyperlink w:anchor="AUTO_2015_184" w:history="1">
        <w:r w:rsidRPr="00981775">
          <w:rPr>
            <w:rStyle w:val="TextoNormalCaracter"/>
          </w:rPr>
          <w:t>184/2015</w:t>
        </w:r>
      </w:hyperlink>
      <w:r>
        <w:t xml:space="preserve">, f. 2; </w:t>
      </w:r>
      <w:hyperlink w:anchor="AUTO_2015_188" w:history="1">
        <w:r w:rsidRPr="00981775">
          <w:rPr>
            <w:rStyle w:val="TextoNormalCaracter"/>
          </w:rPr>
          <w:t>188/2015</w:t>
        </w:r>
      </w:hyperlink>
      <w:r>
        <w:t xml:space="preserve">, f. 1; </w:t>
      </w:r>
      <w:hyperlink w:anchor="AUTO_2015_193" w:history="1">
        <w:r w:rsidRPr="00981775">
          <w:rPr>
            <w:rStyle w:val="TextoNormalCaracter"/>
          </w:rPr>
          <w:t>193/2015</w:t>
        </w:r>
      </w:hyperlink>
      <w:r>
        <w:t xml:space="preserve">, f. 2; </w:t>
      </w:r>
      <w:hyperlink w:anchor="AUTO_2015_194" w:history="1">
        <w:r w:rsidRPr="00981775">
          <w:rPr>
            <w:rStyle w:val="TextoNormalCaracter"/>
          </w:rPr>
          <w:t>194/2015</w:t>
        </w:r>
      </w:hyperlink>
      <w:r>
        <w:t xml:space="preserve">, ff. 1, 2; </w:t>
      </w:r>
      <w:hyperlink w:anchor="AUTO_2015_195" w:history="1">
        <w:r w:rsidRPr="00981775">
          <w:rPr>
            <w:rStyle w:val="TextoNormalCaracter"/>
          </w:rPr>
          <w:t>195/2015</w:t>
        </w:r>
      </w:hyperlink>
      <w:r>
        <w:t xml:space="preserve">, ff. 1, 2; </w:t>
      </w:r>
      <w:hyperlink w:anchor="AUTO_2015_201" w:history="1">
        <w:r w:rsidRPr="00981775">
          <w:rPr>
            <w:rStyle w:val="TextoNormalCaracter"/>
          </w:rPr>
          <w:t>201/2015</w:t>
        </w:r>
      </w:hyperlink>
      <w:r>
        <w:t xml:space="preserve">, f. 1; </w:t>
      </w:r>
      <w:hyperlink w:anchor="AUTO_2015_224" w:history="1">
        <w:r w:rsidRPr="00981775">
          <w:rPr>
            <w:rStyle w:val="TextoNormalCaracter"/>
          </w:rPr>
          <w:t>224/2015</w:t>
        </w:r>
      </w:hyperlink>
      <w:r>
        <w:t xml:space="preserve">, f. 2; </w:t>
      </w:r>
      <w:hyperlink w:anchor="AUTO_2015_225" w:history="1">
        <w:r w:rsidRPr="00981775">
          <w:rPr>
            <w:rStyle w:val="TextoNormalCaracter"/>
          </w:rPr>
          <w:t>225/2015</w:t>
        </w:r>
      </w:hyperlink>
      <w:r>
        <w:t xml:space="preserve">, f. 2; </w:t>
      </w:r>
      <w:hyperlink w:anchor="AUTO_2015_227" w:history="1">
        <w:r w:rsidRPr="00981775">
          <w:rPr>
            <w:rStyle w:val="TextoNormalCaracter"/>
          </w:rPr>
          <w:t>227/2015</w:t>
        </w:r>
      </w:hyperlink>
      <w:r>
        <w:t xml:space="preserve">, ff. 2, 4; </w:t>
      </w:r>
      <w:hyperlink w:anchor="AUTO_2015_228" w:history="1">
        <w:r w:rsidRPr="00981775">
          <w:rPr>
            <w:rStyle w:val="TextoNormalCaracter"/>
          </w:rPr>
          <w:t>228/2015</w:t>
        </w:r>
      </w:hyperlink>
      <w:r>
        <w:t xml:space="preserve">, f. 2; </w:t>
      </w:r>
      <w:hyperlink w:anchor="AUTO_2015_229" w:history="1">
        <w:r w:rsidRPr="00981775">
          <w:rPr>
            <w:rStyle w:val="TextoNormalCaracter"/>
          </w:rPr>
          <w:t>229/2015</w:t>
        </w:r>
      </w:hyperlink>
      <w:r>
        <w:t>, f. 2.</w:t>
      </w:r>
    </w:p>
    <w:p w:rsidR="00981775" w:rsidRDefault="00981775" w:rsidP="00981775">
      <w:pPr>
        <w:pStyle w:val="SangriaFrancesaArticulo"/>
      </w:pPr>
      <w:r w:rsidRPr="00981775">
        <w:rPr>
          <w:rStyle w:val="TextoNormalNegritaCaracter"/>
        </w:rPr>
        <w:t>Artículo 37.2.</w:t>
      </w:r>
      <w:r w:rsidRPr="00981775">
        <w:rPr>
          <w:rStyle w:val="TextoNormalCaracter"/>
        </w:rPr>
        <w:t>-</w:t>
      </w:r>
      <w:r>
        <w:t xml:space="preserve"> Sentencia </w:t>
      </w:r>
      <w:hyperlink w:anchor="SENTENCIA_2015_195" w:history="1">
        <w:r w:rsidRPr="00981775">
          <w:rPr>
            <w:rStyle w:val="TextoNormalCaracter"/>
          </w:rPr>
          <w:t>195/2015</w:t>
        </w:r>
      </w:hyperlink>
      <w:r>
        <w:t>, f. 3.</w:t>
      </w:r>
    </w:p>
    <w:p w:rsidR="00981775" w:rsidRDefault="00981775" w:rsidP="00981775">
      <w:pPr>
        <w:pStyle w:val="SangriaFrancesaArticulo"/>
      </w:pPr>
      <w:r w:rsidRPr="00981775">
        <w:rPr>
          <w:rStyle w:val="TextoNormalNegritaCaracter"/>
        </w:rPr>
        <w:t>Artículo 37.3</w:t>
      </w:r>
      <w:r>
        <w:t xml:space="preserve"> (redactado por la Ley Orgánica 6/2007, de 24 de mayo)</w:t>
      </w:r>
      <w:r w:rsidRPr="00981775">
        <w:rPr>
          <w:rStyle w:val="TextoNormalNegritaCaracter"/>
        </w:rPr>
        <w:t>.</w:t>
      </w:r>
      <w:r w:rsidRPr="00981775">
        <w:rPr>
          <w:rStyle w:val="TextoNormalCaracter"/>
        </w:rPr>
        <w:t>-</w:t>
      </w:r>
      <w:r>
        <w:t xml:space="preserve"> Sentencia </w:t>
      </w:r>
      <w:hyperlink w:anchor="SENTENCIA_2015_195" w:history="1">
        <w:r w:rsidRPr="00981775">
          <w:rPr>
            <w:rStyle w:val="TextoNormalCaracter"/>
          </w:rPr>
          <w:t>195/2015</w:t>
        </w:r>
      </w:hyperlink>
      <w:r>
        <w:t>, f. 3.</w:t>
      </w:r>
    </w:p>
    <w:p w:rsidR="00981775" w:rsidRDefault="00981775" w:rsidP="00981775">
      <w:pPr>
        <w:pStyle w:val="SangriaFrancesaArticulo"/>
      </w:pPr>
      <w:r w:rsidRPr="00981775">
        <w:rPr>
          <w:rStyle w:val="TextoNormalNegritaCaracter"/>
        </w:rPr>
        <w:t>Artículo 38.1.</w:t>
      </w:r>
      <w:r w:rsidRPr="00981775">
        <w:rPr>
          <w:rStyle w:val="TextoNormalCaracter"/>
        </w:rPr>
        <w:t>-</w:t>
      </w:r>
      <w:r>
        <w:t xml:space="preserve"> Sentencia </w:t>
      </w:r>
      <w:hyperlink w:anchor="SENTENCIA_2015_197" w:history="1">
        <w:r w:rsidRPr="00981775">
          <w:rPr>
            <w:rStyle w:val="TextoNormalCaracter"/>
          </w:rPr>
          <w:t>197/2015</w:t>
        </w:r>
      </w:hyperlink>
      <w:r>
        <w:t>, VP II.</w:t>
      </w:r>
    </w:p>
    <w:p w:rsidR="00981775" w:rsidRDefault="00981775" w:rsidP="00981775">
      <w:pPr>
        <w:pStyle w:val="SangriaIzquierdaArticulo"/>
      </w:pPr>
      <w:r>
        <w:t xml:space="preserve">Autos </w:t>
      </w:r>
      <w:hyperlink w:anchor="AUTO_2015_165" w:history="1">
        <w:r w:rsidRPr="00981775">
          <w:rPr>
            <w:rStyle w:val="TextoNormalCaracter"/>
          </w:rPr>
          <w:t>165/2015</w:t>
        </w:r>
      </w:hyperlink>
      <w:r>
        <w:t xml:space="preserve">, f. único; </w:t>
      </w:r>
      <w:hyperlink w:anchor="AUTO_2015_166" w:history="1">
        <w:r w:rsidRPr="00981775">
          <w:rPr>
            <w:rStyle w:val="TextoNormalCaracter"/>
          </w:rPr>
          <w:t>166/2015</w:t>
        </w:r>
      </w:hyperlink>
      <w:r>
        <w:t xml:space="preserve">, f. único; </w:t>
      </w:r>
      <w:hyperlink w:anchor="AUTO_2015_201" w:history="1">
        <w:r w:rsidRPr="00981775">
          <w:rPr>
            <w:rStyle w:val="TextoNormalCaracter"/>
          </w:rPr>
          <w:t>201/2015</w:t>
        </w:r>
      </w:hyperlink>
      <w:r>
        <w:t>, f. 2.</w:t>
      </w:r>
    </w:p>
    <w:p w:rsidR="00981775" w:rsidRDefault="00981775" w:rsidP="00981775">
      <w:pPr>
        <w:pStyle w:val="SangriaFrancesaArticulo"/>
      </w:pPr>
      <w:r w:rsidRPr="00981775">
        <w:rPr>
          <w:rStyle w:val="TextoNormalNegritaCaracter"/>
        </w:rPr>
        <w:t>Artículo 39.1.</w:t>
      </w:r>
      <w:r w:rsidRPr="00981775">
        <w:rPr>
          <w:rStyle w:val="TextoNormalCaracter"/>
        </w:rPr>
        <w:t>-</w:t>
      </w:r>
      <w:r>
        <w:t xml:space="preserve"> Sentencias </w:t>
      </w:r>
      <w:hyperlink w:anchor="SENTENCIA_2015_154" w:history="1">
        <w:r w:rsidRPr="00981775">
          <w:rPr>
            <w:rStyle w:val="TextoNormalCaracter"/>
          </w:rPr>
          <w:t>154/2015</w:t>
        </w:r>
      </w:hyperlink>
      <w:r>
        <w:t xml:space="preserve">, f. 7; </w:t>
      </w:r>
      <w:hyperlink w:anchor="SENTENCIA_2015_209" w:history="1">
        <w:r w:rsidRPr="00981775">
          <w:rPr>
            <w:rStyle w:val="TextoNormalCaracter"/>
          </w:rPr>
          <w:t>209/2015</w:t>
        </w:r>
      </w:hyperlink>
      <w:r>
        <w:t xml:space="preserve">, f. 3; </w:t>
      </w:r>
      <w:hyperlink w:anchor="SENTENCIA_2015_233" w:history="1">
        <w:r w:rsidRPr="00981775">
          <w:rPr>
            <w:rStyle w:val="TextoNormalCaracter"/>
          </w:rPr>
          <w:t>233/2015</w:t>
        </w:r>
      </w:hyperlink>
      <w:r>
        <w:t xml:space="preserve">, f. 12; </w:t>
      </w:r>
      <w:hyperlink w:anchor="SENTENCIA_2015_260" w:history="1">
        <w:r w:rsidRPr="00981775">
          <w:rPr>
            <w:rStyle w:val="TextoNormalCaracter"/>
          </w:rPr>
          <w:t>260/2015</w:t>
        </w:r>
      </w:hyperlink>
      <w:r>
        <w:t>, f. 5.</w:t>
      </w:r>
    </w:p>
    <w:p w:rsidR="00981775" w:rsidRDefault="00981775" w:rsidP="00981775">
      <w:pPr>
        <w:pStyle w:val="SangriaIzquierdaArticulo"/>
      </w:pPr>
      <w:r>
        <w:t xml:space="preserve">Autos </w:t>
      </w:r>
      <w:hyperlink w:anchor="AUTO_2015_165" w:history="1">
        <w:r w:rsidRPr="00981775">
          <w:rPr>
            <w:rStyle w:val="TextoNormalCaracter"/>
          </w:rPr>
          <w:t>165/2015</w:t>
        </w:r>
      </w:hyperlink>
      <w:r>
        <w:t xml:space="preserve">, f. único; </w:t>
      </w:r>
      <w:hyperlink w:anchor="AUTO_2015_166" w:history="1">
        <w:r w:rsidRPr="00981775">
          <w:rPr>
            <w:rStyle w:val="TextoNormalCaracter"/>
          </w:rPr>
          <w:t>166/2015</w:t>
        </w:r>
      </w:hyperlink>
      <w:r>
        <w:t>, f. único.</w:t>
      </w:r>
    </w:p>
    <w:p w:rsidR="00981775" w:rsidRDefault="00981775" w:rsidP="00981775">
      <w:pPr>
        <w:pStyle w:val="SangriaFrancesaArticulo"/>
      </w:pPr>
      <w:r w:rsidRPr="00981775">
        <w:rPr>
          <w:rStyle w:val="TextoNormalNegritaCaracter"/>
        </w:rPr>
        <w:t>Artículo 40.</w:t>
      </w:r>
      <w:r w:rsidRPr="00981775">
        <w:rPr>
          <w:rStyle w:val="TextoNormalCaracter"/>
        </w:rPr>
        <w:t>-</w:t>
      </w:r>
      <w:r>
        <w:t xml:space="preserve"> Sentencia </w:t>
      </w:r>
      <w:hyperlink w:anchor="SENTENCIA_2015_196" w:history="1">
        <w:r w:rsidRPr="00981775">
          <w:rPr>
            <w:rStyle w:val="TextoNormalCaracter"/>
          </w:rPr>
          <w:t>196/2015</w:t>
        </w:r>
      </w:hyperlink>
      <w:r>
        <w:t>, f. 2.</w:t>
      </w:r>
    </w:p>
    <w:p w:rsidR="00981775" w:rsidRDefault="00981775" w:rsidP="00981775">
      <w:pPr>
        <w:pStyle w:val="SangriaFrancesaArticulo"/>
      </w:pPr>
      <w:r w:rsidRPr="00981775">
        <w:rPr>
          <w:rStyle w:val="TextoNormalNegritaCaracter"/>
        </w:rPr>
        <w:t>Artículo 40.1.</w:t>
      </w:r>
      <w:r w:rsidRPr="00981775">
        <w:rPr>
          <w:rStyle w:val="TextoNormalCaracter"/>
        </w:rPr>
        <w:t>-</w:t>
      </w:r>
      <w:r>
        <w:t xml:space="preserve"> Sentencias </w:t>
      </w:r>
      <w:hyperlink w:anchor="SENTENCIA_2015_211" w:history="1">
        <w:r w:rsidRPr="00981775">
          <w:rPr>
            <w:rStyle w:val="TextoNormalCaracter"/>
          </w:rPr>
          <w:t>211/2015</w:t>
        </w:r>
      </w:hyperlink>
      <w:r>
        <w:t xml:space="preserve">, f. 8; </w:t>
      </w:r>
      <w:hyperlink w:anchor="SENTENCIA_2015_230" w:history="1">
        <w:r w:rsidRPr="00981775">
          <w:rPr>
            <w:rStyle w:val="TextoNormalCaracter"/>
          </w:rPr>
          <w:t>230/2015</w:t>
        </w:r>
      </w:hyperlink>
      <w:r>
        <w:t xml:space="preserve">, f. 3; </w:t>
      </w:r>
      <w:hyperlink w:anchor="SENTENCIA_2015_237" w:history="1">
        <w:r w:rsidRPr="00981775">
          <w:rPr>
            <w:rStyle w:val="TextoNormalCaracter"/>
          </w:rPr>
          <w:t>237/2015</w:t>
        </w:r>
      </w:hyperlink>
      <w:r>
        <w:t xml:space="preserve">, f. 3; </w:t>
      </w:r>
      <w:hyperlink w:anchor="SENTENCIA_2015_270" w:history="1">
        <w:r w:rsidRPr="00981775">
          <w:rPr>
            <w:rStyle w:val="TextoNormalCaracter"/>
          </w:rPr>
          <w:t>270/2015</w:t>
        </w:r>
      </w:hyperlink>
      <w:r>
        <w:t xml:space="preserve">, f. 2; </w:t>
      </w:r>
      <w:hyperlink w:anchor="SENTENCIA_2015_272" w:history="1">
        <w:r w:rsidRPr="00981775">
          <w:rPr>
            <w:rStyle w:val="TextoNormalCaracter"/>
          </w:rPr>
          <w:t>272/2015</w:t>
        </w:r>
      </w:hyperlink>
      <w:r>
        <w:t>, f. 5.</w:t>
      </w:r>
    </w:p>
    <w:p w:rsidR="00981775" w:rsidRDefault="00981775" w:rsidP="00981775">
      <w:pPr>
        <w:pStyle w:val="SangriaFrancesaArticulo"/>
      </w:pPr>
      <w:r w:rsidRPr="00981775">
        <w:rPr>
          <w:rStyle w:val="TextoNormalNegritaCaracter"/>
        </w:rPr>
        <w:t>Artículo 41.3.</w:t>
      </w:r>
      <w:r w:rsidRPr="00981775">
        <w:rPr>
          <w:rStyle w:val="TextoNormalCaracter"/>
        </w:rPr>
        <w:t>-</w:t>
      </w:r>
      <w:r>
        <w:t xml:space="preserve"> Autos </w:t>
      </w:r>
      <w:hyperlink w:anchor="AUTO_2015_124" w:history="1">
        <w:r w:rsidRPr="00981775">
          <w:rPr>
            <w:rStyle w:val="TextoNormalCaracter"/>
          </w:rPr>
          <w:t>124/2015</w:t>
        </w:r>
      </w:hyperlink>
      <w:r>
        <w:t xml:space="preserve">, f. 1; </w:t>
      </w:r>
      <w:hyperlink w:anchor="AUTO_2015_125" w:history="1">
        <w:r w:rsidRPr="00981775">
          <w:rPr>
            <w:rStyle w:val="TextoNormalCaracter"/>
          </w:rPr>
          <w:t>125/2015</w:t>
        </w:r>
      </w:hyperlink>
      <w:r>
        <w:t xml:space="preserve">, f. único; </w:t>
      </w:r>
      <w:hyperlink w:anchor="AUTO_2015_141" w:history="1">
        <w:r w:rsidRPr="00981775">
          <w:rPr>
            <w:rStyle w:val="TextoNormalCaracter"/>
          </w:rPr>
          <w:t>141/2015</w:t>
        </w:r>
      </w:hyperlink>
      <w:r>
        <w:t xml:space="preserve">, f. 1; </w:t>
      </w:r>
      <w:hyperlink w:anchor="AUTO_2015_144" w:history="1">
        <w:r w:rsidRPr="00981775">
          <w:rPr>
            <w:rStyle w:val="TextoNormalCaracter"/>
          </w:rPr>
          <w:t>144/2015</w:t>
        </w:r>
      </w:hyperlink>
      <w:r>
        <w:t xml:space="preserve">, f. 1; </w:t>
      </w:r>
      <w:hyperlink w:anchor="AUTO_2015_157" w:history="1">
        <w:r w:rsidRPr="00981775">
          <w:rPr>
            <w:rStyle w:val="TextoNormalCaracter"/>
          </w:rPr>
          <w:t>157/2015</w:t>
        </w:r>
      </w:hyperlink>
      <w:r>
        <w:t xml:space="preserve">, Único; </w:t>
      </w:r>
      <w:hyperlink w:anchor="AUTO_2015_158" w:history="1">
        <w:r w:rsidRPr="00981775">
          <w:rPr>
            <w:rStyle w:val="TextoNormalCaracter"/>
          </w:rPr>
          <w:t>158/2015</w:t>
        </w:r>
      </w:hyperlink>
      <w:r>
        <w:t xml:space="preserve">, Único; </w:t>
      </w:r>
      <w:hyperlink w:anchor="AUTO_2015_174" w:history="1">
        <w:r w:rsidRPr="00981775">
          <w:rPr>
            <w:rStyle w:val="TextoNormalCaracter"/>
          </w:rPr>
          <w:t>174/2015</w:t>
        </w:r>
      </w:hyperlink>
      <w:r>
        <w:t xml:space="preserve">, f. único; </w:t>
      </w:r>
      <w:hyperlink w:anchor="AUTO_2015_191" w:history="1">
        <w:r w:rsidRPr="00981775">
          <w:rPr>
            <w:rStyle w:val="TextoNormalCaracter"/>
          </w:rPr>
          <w:t>191/2015</w:t>
        </w:r>
      </w:hyperlink>
      <w:r>
        <w:t xml:space="preserve">, f. único; </w:t>
      </w:r>
      <w:hyperlink w:anchor="AUTO_2015_192" w:history="1">
        <w:r w:rsidRPr="00981775">
          <w:rPr>
            <w:rStyle w:val="TextoNormalCaracter"/>
          </w:rPr>
          <w:t>192/2015</w:t>
        </w:r>
      </w:hyperlink>
      <w:r>
        <w:t>, f. único.</w:t>
      </w:r>
    </w:p>
    <w:p w:rsidR="00981775" w:rsidRDefault="00981775" w:rsidP="00981775">
      <w:pPr>
        <w:pStyle w:val="SangriaFrancesaArticulo"/>
      </w:pPr>
      <w:r w:rsidRPr="00981775">
        <w:rPr>
          <w:rStyle w:val="TextoNormalNegritaCaracter"/>
        </w:rPr>
        <w:t>Artículo 43</w:t>
      </w:r>
      <w:r>
        <w:t xml:space="preserve"> (redactado por la Ley Orgánica 6/2007, de 24 de mayo)</w:t>
      </w:r>
      <w:r w:rsidRPr="00981775">
        <w:rPr>
          <w:rStyle w:val="TextoNormalNegritaCaracter"/>
        </w:rPr>
        <w:t>.</w:t>
      </w:r>
      <w:r w:rsidRPr="00981775">
        <w:rPr>
          <w:rStyle w:val="TextoNormalCaracter"/>
        </w:rPr>
        <w:t>-</w:t>
      </w:r>
      <w:r>
        <w:t xml:space="preserve"> Sentencias </w:t>
      </w:r>
      <w:hyperlink w:anchor="SENTENCIA_2015_148" w:history="1">
        <w:r w:rsidRPr="00981775">
          <w:rPr>
            <w:rStyle w:val="TextoNormalCaracter"/>
          </w:rPr>
          <w:t>148/2015</w:t>
        </w:r>
      </w:hyperlink>
      <w:r>
        <w:t xml:space="preserve">, f. 1; </w:t>
      </w:r>
      <w:hyperlink w:anchor="SENTENCIA_2015_187" w:history="1">
        <w:r w:rsidRPr="00981775">
          <w:rPr>
            <w:rStyle w:val="TextoNormalCaracter"/>
          </w:rPr>
          <w:t>187/2015</w:t>
        </w:r>
      </w:hyperlink>
      <w:r>
        <w:t>, f. 2.</w:t>
      </w:r>
    </w:p>
    <w:p w:rsidR="00981775" w:rsidRDefault="00981775" w:rsidP="00981775">
      <w:pPr>
        <w:pStyle w:val="SangriaFrancesaArticulo"/>
      </w:pPr>
      <w:r w:rsidRPr="00981775">
        <w:rPr>
          <w:rStyle w:val="TextoNormalNegritaCaracter"/>
        </w:rPr>
        <w:t>Artículo 43.2.</w:t>
      </w:r>
      <w:r w:rsidRPr="00981775">
        <w:rPr>
          <w:rStyle w:val="TextoNormalCaracter"/>
        </w:rPr>
        <w:t>-</w:t>
      </w:r>
      <w:r>
        <w:t xml:space="preserve"> Sentencia </w:t>
      </w:r>
      <w:hyperlink w:anchor="SENTENCIA_2015_159" w:history="1">
        <w:r w:rsidRPr="00981775">
          <w:rPr>
            <w:rStyle w:val="TextoNormalCaracter"/>
          </w:rPr>
          <w:t>159/2015</w:t>
        </w:r>
      </w:hyperlink>
      <w:r>
        <w:t>, f. 2.</w:t>
      </w:r>
    </w:p>
    <w:p w:rsidR="00981775" w:rsidRDefault="00981775" w:rsidP="00981775">
      <w:pPr>
        <w:pStyle w:val="SangriaFrancesaArticulo"/>
      </w:pPr>
      <w:r w:rsidRPr="00981775">
        <w:rPr>
          <w:rStyle w:val="TextoNormalNegritaCaracter"/>
        </w:rPr>
        <w:t>Artículo 44.</w:t>
      </w:r>
      <w:r w:rsidRPr="00981775">
        <w:rPr>
          <w:rStyle w:val="TextoNormalCaracter"/>
        </w:rPr>
        <w:t>-</w:t>
      </w:r>
      <w:r>
        <w:t xml:space="preserve"> Sentencia </w:t>
      </w:r>
      <w:hyperlink w:anchor="SENTENCIA_2015_226" w:history="1">
        <w:r w:rsidRPr="00981775">
          <w:rPr>
            <w:rStyle w:val="TextoNormalCaracter"/>
          </w:rPr>
          <w:t>226/2015</w:t>
        </w:r>
      </w:hyperlink>
      <w:r>
        <w:t>, f. 2.</w:t>
      </w:r>
    </w:p>
    <w:p w:rsidR="00981775" w:rsidRDefault="00981775" w:rsidP="00981775">
      <w:pPr>
        <w:pStyle w:val="SangriaFrancesaArticulo"/>
      </w:pPr>
      <w:r w:rsidRPr="00981775">
        <w:rPr>
          <w:rStyle w:val="TextoNormalNegritaCaracter"/>
        </w:rPr>
        <w:t>Artículo 44</w:t>
      </w:r>
      <w:r>
        <w:t xml:space="preserve"> (redactado por la Ley Orgánica 6/2007, de 24 de mayo)</w:t>
      </w:r>
      <w:r w:rsidRPr="00981775">
        <w:rPr>
          <w:rStyle w:val="TextoNormalNegritaCaracter"/>
        </w:rPr>
        <w:t>.</w:t>
      </w:r>
      <w:r w:rsidRPr="00981775">
        <w:rPr>
          <w:rStyle w:val="TextoNormalCaracter"/>
        </w:rPr>
        <w:t>-</w:t>
      </w:r>
      <w:r>
        <w:t xml:space="preserve"> Sentencia </w:t>
      </w:r>
      <w:hyperlink w:anchor="SENTENCIA_2015_242" w:history="1">
        <w:r w:rsidRPr="00981775">
          <w:rPr>
            <w:rStyle w:val="TextoNormalCaracter"/>
          </w:rPr>
          <w:t>242/2015</w:t>
        </w:r>
      </w:hyperlink>
      <w:r>
        <w:t>, f. 6.</w:t>
      </w:r>
    </w:p>
    <w:p w:rsidR="00981775" w:rsidRDefault="00981775" w:rsidP="00981775">
      <w:pPr>
        <w:pStyle w:val="SangriaFrancesaArticulo"/>
      </w:pPr>
      <w:r w:rsidRPr="00981775">
        <w:rPr>
          <w:rStyle w:val="TextoNormalNegritaCaracter"/>
        </w:rPr>
        <w:t>Artículo 44.1.</w:t>
      </w:r>
      <w:r w:rsidRPr="00981775">
        <w:rPr>
          <w:rStyle w:val="TextoNormalCaracter"/>
        </w:rPr>
        <w:t>-</w:t>
      </w:r>
      <w:r>
        <w:t xml:space="preserve"> Autos </w:t>
      </w:r>
      <w:hyperlink w:anchor="AUTO_2015_142" w:history="1">
        <w:r w:rsidRPr="00981775">
          <w:rPr>
            <w:rStyle w:val="TextoNormalCaracter"/>
          </w:rPr>
          <w:t>142/2015</w:t>
        </w:r>
      </w:hyperlink>
      <w:r>
        <w:t xml:space="preserve">, f. 4; </w:t>
      </w:r>
      <w:hyperlink w:anchor="AUTO_2015_160" w:history="1">
        <w:r w:rsidRPr="00981775">
          <w:rPr>
            <w:rStyle w:val="TextoNormalCaracter"/>
          </w:rPr>
          <w:t>160/2015</w:t>
        </w:r>
      </w:hyperlink>
      <w:r>
        <w:t xml:space="preserve">, f. único; </w:t>
      </w:r>
      <w:hyperlink w:anchor="AUTO_2015_176" w:history="1">
        <w:r w:rsidRPr="00981775">
          <w:rPr>
            <w:rStyle w:val="TextoNormalCaracter"/>
          </w:rPr>
          <w:t>176/2015</w:t>
        </w:r>
      </w:hyperlink>
      <w:r>
        <w:t>, f. único.</w:t>
      </w:r>
    </w:p>
    <w:p w:rsidR="00981775" w:rsidRDefault="00981775" w:rsidP="00981775">
      <w:pPr>
        <w:pStyle w:val="SangriaFrancesaArticulo"/>
      </w:pPr>
      <w:r w:rsidRPr="00981775">
        <w:rPr>
          <w:rStyle w:val="TextoNormalNegritaCaracter"/>
        </w:rPr>
        <w:t>Artículo 44.1 a).</w:t>
      </w:r>
      <w:r w:rsidRPr="00981775">
        <w:rPr>
          <w:rStyle w:val="TextoNormalCaracter"/>
        </w:rPr>
        <w:t>-</w:t>
      </w:r>
      <w:r>
        <w:t xml:space="preserve"> Sentencias </w:t>
      </w:r>
      <w:hyperlink w:anchor="SENTENCIA_2015_183" w:history="1">
        <w:r w:rsidRPr="00981775">
          <w:rPr>
            <w:rStyle w:val="TextoNormalCaracter"/>
          </w:rPr>
          <w:t>183/2015</w:t>
        </w:r>
      </w:hyperlink>
      <w:r>
        <w:t xml:space="preserve">, ff. 1, 2; </w:t>
      </w:r>
      <w:hyperlink w:anchor="SENTENCIA_2015_222" w:history="1">
        <w:r w:rsidRPr="00981775">
          <w:rPr>
            <w:rStyle w:val="TextoNormalCaracter"/>
          </w:rPr>
          <w:t>222/2015</w:t>
        </w:r>
      </w:hyperlink>
      <w:r>
        <w:t xml:space="preserve">, f. 4; </w:t>
      </w:r>
      <w:hyperlink w:anchor="SENTENCIA_2015_239" w:history="1">
        <w:r w:rsidRPr="00981775">
          <w:rPr>
            <w:rStyle w:val="TextoNormalCaracter"/>
          </w:rPr>
          <w:t>239/2015</w:t>
        </w:r>
      </w:hyperlink>
      <w:r>
        <w:t xml:space="preserve">, f. 4; </w:t>
      </w:r>
      <w:hyperlink w:anchor="SENTENCIA_2015_262" w:history="1">
        <w:r w:rsidRPr="00981775">
          <w:rPr>
            <w:rStyle w:val="TextoNormalCaracter"/>
          </w:rPr>
          <w:t>262/2015</w:t>
        </w:r>
      </w:hyperlink>
      <w:r>
        <w:t xml:space="preserve">, f. 4; </w:t>
      </w:r>
      <w:hyperlink w:anchor="SENTENCIA_2015_263" w:history="1">
        <w:r w:rsidRPr="00981775">
          <w:rPr>
            <w:rStyle w:val="TextoNormalCaracter"/>
          </w:rPr>
          <w:t>263/2015</w:t>
        </w:r>
      </w:hyperlink>
      <w:r>
        <w:t>, f. 4.</w:t>
      </w:r>
    </w:p>
    <w:p w:rsidR="00981775" w:rsidRDefault="00981775" w:rsidP="00981775">
      <w:pPr>
        <w:pStyle w:val="SangriaIzquierdaArticulo"/>
      </w:pPr>
      <w:r>
        <w:t xml:space="preserve">Autos </w:t>
      </w:r>
      <w:hyperlink w:anchor="AUTO_2015_176" w:history="1">
        <w:r w:rsidRPr="00981775">
          <w:rPr>
            <w:rStyle w:val="TextoNormalCaracter"/>
          </w:rPr>
          <w:t>176/2015</w:t>
        </w:r>
      </w:hyperlink>
      <w:r>
        <w:t xml:space="preserve">, f. único; </w:t>
      </w:r>
      <w:hyperlink w:anchor="AUTO_2015_197" w:history="1">
        <w:r w:rsidRPr="00981775">
          <w:rPr>
            <w:rStyle w:val="TextoNormalCaracter"/>
          </w:rPr>
          <w:t>197/2015</w:t>
        </w:r>
      </w:hyperlink>
      <w:r>
        <w:t>, f. único.</w:t>
      </w:r>
    </w:p>
    <w:p w:rsidR="00981775" w:rsidRDefault="00981775" w:rsidP="00981775">
      <w:pPr>
        <w:pStyle w:val="SangriaFrancesaArticulo"/>
      </w:pPr>
      <w:r w:rsidRPr="00981775">
        <w:rPr>
          <w:rStyle w:val="TextoNormalNegritaCaracter"/>
        </w:rPr>
        <w:t>Artículo 44.1 a)</w:t>
      </w:r>
      <w:r>
        <w:t xml:space="preserve"> (redactado por la Ley Orgánica 6/2007, de 24 de mayo)</w:t>
      </w:r>
      <w:r w:rsidRPr="00981775">
        <w:rPr>
          <w:rStyle w:val="TextoNormalNegritaCaracter"/>
        </w:rPr>
        <w:t>.</w:t>
      </w:r>
      <w:r w:rsidRPr="00981775">
        <w:rPr>
          <w:rStyle w:val="TextoNormalCaracter"/>
        </w:rPr>
        <w:t>-</w:t>
      </w:r>
      <w:r>
        <w:t xml:space="preserve"> Sentencias </w:t>
      </w:r>
      <w:hyperlink w:anchor="SENTENCIA_2015_152" w:history="1">
        <w:r w:rsidRPr="00981775">
          <w:rPr>
            <w:rStyle w:val="TextoNormalCaracter"/>
          </w:rPr>
          <w:t>152/2015</w:t>
        </w:r>
      </w:hyperlink>
      <w:r>
        <w:t xml:space="preserve">, f. 2; </w:t>
      </w:r>
      <w:hyperlink w:anchor="SENTENCIA_2015_242" w:history="1">
        <w:r w:rsidRPr="00981775">
          <w:rPr>
            <w:rStyle w:val="TextoNormalCaracter"/>
          </w:rPr>
          <w:t>242/2015</w:t>
        </w:r>
      </w:hyperlink>
      <w:r>
        <w:t>, f. 6.</w:t>
      </w:r>
    </w:p>
    <w:p w:rsidR="00981775" w:rsidRDefault="00981775" w:rsidP="00981775">
      <w:pPr>
        <w:pStyle w:val="SangriaFrancesaArticulo"/>
      </w:pPr>
      <w:r w:rsidRPr="00981775">
        <w:rPr>
          <w:rStyle w:val="TextoNormalNegritaCaracter"/>
        </w:rPr>
        <w:t>Artículo 44.1 b).</w:t>
      </w:r>
      <w:r w:rsidRPr="00981775">
        <w:rPr>
          <w:rStyle w:val="TextoNormalCaracter"/>
        </w:rPr>
        <w:t>-</w:t>
      </w:r>
      <w:r>
        <w:t xml:space="preserve"> Sentencias </w:t>
      </w:r>
      <w:hyperlink w:anchor="SENTENCIA_2015_148" w:history="1">
        <w:r w:rsidRPr="00981775">
          <w:rPr>
            <w:rStyle w:val="TextoNormalCaracter"/>
          </w:rPr>
          <w:t>148/2015</w:t>
        </w:r>
      </w:hyperlink>
      <w:r>
        <w:t xml:space="preserve">, VP; </w:t>
      </w:r>
      <w:hyperlink w:anchor="SENTENCIA_2015_177" w:history="1">
        <w:r w:rsidRPr="00981775">
          <w:rPr>
            <w:rStyle w:val="TextoNormalCaracter"/>
          </w:rPr>
          <w:t>177/2015</w:t>
        </w:r>
      </w:hyperlink>
      <w:r>
        <w:t xml:space="preserve">, VP I, VP III; </w:t>
      </w:r>
      <w:hyperlink w:anchor="SENTENCIA_2015_183" w:history="1">
        <w:r w:rsidRPr="00981775">
          <w:rPr>
            <w:rStyle w:val="TextoNormalCaracter"/>
          </w:rPr>
          <w:t>183/2015</w:t>
        </w:r>
      </w:hyperlink>
      <w:r>
        <w:t>, f. 4.</w:t>
      </w:r>
    </w:p>
    <w:p w:rsidR="00981775" w:rsidRDefault="00981775" w:rsidP="00981775">
      <w:pPr>
        <w:pStyle w:val="SangriaFrancesaArticulo"/>
      </w:pPr>
      <w:r w:rsidRPr="00981775">
        <w:rPr>
          <w:rStyle w:val="TextoNormalNegritaCaracter"/>
        </w:rPr>
        <w:t>Artículo 44.1 c).</w:t>
      </w:r>
      <w:r w:rsidRPr="00981775">
        <w:rPr>
          <w:rStyle w:val="TextoNormalCaracter"/>
        </w:rPr>
        <w:t>-</w:t>
      </w:r>
      <w:r>
        <w:t xml:space="preserve"> Sentencia </w:t>
      </w:r>
      <w:hyperlink w:anchor="SENTENCIA_2015_159" w:history="1">
        <w:r w:rsidRPr="00981775">
          <w:rPr>
            <w:rStyle w:val="TextoNormalCaracter"/>
          </w:rPr>
          <w:t>159/2015</w:t>
        </w:r>
      </w:hyperlink>
      <w:r>
        <w:t>, f. 2.</w:t>
      </w:r>
    </w:p>
    <w:p w:rsidR="00981775" w:rsidRDefault="00981775" w:rsidP="00981775">
      <w:pPr>
        <w:pStyle w:val="SangriaFrancesaArticulo"/>
      </w:pPr>
      <w:r w:rsidRPr="00981775">
        <w:rPr>
          <w:rStyle w:val="TextoNormalNegritaCaracter"/>
        </w:rPr>
        <w:t>Artículo 44.1 c)</w:t>
      </w:r>
      <w:r>
        <w:t xml:space="preserve"> (redactado por la Ley Orgánica 6/2007, de 24 de mayo)</w:t>
      </w:r>
      <w:r w:rsidRPr="00981775">
        <w:rPr>
          <w:rStyle w:val="TextoNormalNegritaCaracter"/>
        </w:rPr>
        <w:t>.</w:t>
      </w:r>
      <w:r w:rsidRPr="00981775">
        <w:rPr>
          <w:rStyle w:val="TextoNormalCaracter"/>
        </w:rPr>
        <w:t>-</w:t>
      </w:r>
      <w:r>
        <w:t xml:space="preserve"> Sentencia </w:t>
      </w:r>
      <w:hyperlink w:anchor="SENTENCIA_2015_242" w:history="1">
        <w:r w:rsidRPr="00981775">
          <w:rPr>
            <w:rStyle w:val="TextoNormalCaracter"/>
          </w:rPr>
          <w:t>242/2015</w:t>
        </w:r>
      </w:hyperlink>
      <w:r>
        <w:t>, f. 6.</w:t>
      </w:r>
    </w:p>
    <w:p w:rsidR="00981775" w:rsidRDefault="00981775" w:rsidP="00981775">
      <w:pPr>
        <w:pStyle w:val="SangriaFrancesaArticulo"/>
      </w:pPr>
      <w:r w:rsidRPr="00981775">
        <w:rPr>
          <w:rStyle w:val="TextoNormalNegritaCaracter"/>
        </w:rPr>
        <w:t>Artículo 44.2.</w:t>
      </w:r>
      <w:r w:rsidRPr="00981775">
        <w:rPr>
          <w:rStyle w:val="TextoNormalCaracter"/>
        </w:rPr>
        <w:t>-</w:t>
      </w:r>
      <w:r>
        <w:t xml:space="preserve"> Sentencias </w:t>
      </w:r>
      <w:hyperlink w:anchor="SENTENCIA_2015_183" w:history="1">
        <w:r w:rsidRPr="00981775">
          <w:rPr>
            <w:rStyle w:val="TextoNormalCaracter"/>
          </w:rPr>
          <w:t>183/2015</w:t>
        </w:r>
      </w:hyperlink>
      <w:r>
        <w:t xml:space="preserve">, f. 1; </w:t>
      </w:r>
      <w:hyperlink w:anchor="SENTENCIA_2015_195" w:history="1">
        <w:r w:rsidRPr="00981775">
          <w:rPr>
            <w:rStyle w:val="TextoNormalCaracter"/>
          </w:rPr>
          <w:t>195/2015</w:t>
        </w:r>
      </w:hyperlink>
      <w:r>
        <w:t>, f. 4.</w:t>
      </w:r>
    </w:p>
    <w:p w:rsidR="00981775" w:rsidRDefault="00981775" w:rsidP="00981775">
      <w:pPr>
        <w:pStyle w:val="SangriaFrancesaArticulo"/>
      </w:pPr>
      <w:r w:rsidRPr="00981775">
        <w:rPr>
          <w:rStyle w:val="TextoNormalNegritaCaracter"/>
        </w:rPr>
        <w:t>Artículo 44.2</w:t>
      </w:r>
      <w:r>
        <w:t xml:space="preserve"> (redactado por la Ley Orgánica 6/2007, de 24 de mayo)</w:t>
      </w:r>
      <w:r w:rsidRPr="00981775">
        <w:rPr>
          <w:rStyle w:val="TextoNormalNegritaCaracter"/>
        </w:rPr>
        <w:t>.</w:t>
      </w:r>
      <w:r w:rsidRPr="00981775">
        <w:rPr>
          <w:rStyle w:val="TextoNormalCaracter"/>
        </w:rPr>
        <w:t>-</w:t>
      </w:r>
      <w:r>
        <w:t xml:space="preserve"> Auto </w:t>
      </w:r>
      <w:hyperlink w:anchor="AUTO_2015_205" w:history="1">
        <w:r w:rsidRPr="00981775">
          <w:rPr>
            <w:rStyle w:val="TextoNormalCaracter"/>
          </w:rPr>
          <w:t>205/2015</w:t>
        </w:r>
      </w:hyperlink>
      <w:r>
        <w:t>, ff. 1, 2.</w:t>
      </w:r>
    </w:p>
    <w:p w:rsidR="00981775" w:rsidRDefault="00981775" w:rsidP="00981775">
      <w:pPr>
        <w:pStyle w:val="SangriaFrancesaArticulo"/>
      </w:pPr>
      <w:r w:rsidRPr="00981775">
        <w:rPr>
          <w:rStyle w:val="TextoNormalNegritaCaracter"/>
        </w:rPr>
        <w:t>Artículo 46.</w:t>
      </w:r>
      <w:r w:rsidRPr="00981775">
        <w:rPr>
          <w:rStyle w:val="TextoNormalCaracter"/>
        </w:rPr>
        <w:t>-</w:t>
      </w:r>
      <w:r>
        <w:t xml:space="preserve"> Auto </w:t>
      </w:r>
      <w:hyperlink w:anchor="AUTO_2015_148" w:history="1">
        <w:r w:rsidRPr="00981775">
          <w:rPr>
            <w:rStyle w:val="TextoNormalCaracter"/>
          </w:rPr>
          <w:t>148/2015</w:t>
        </w:r>
      </w:hyperlink>
      <w:r>
        <w:t>, Único.</w:t>
      </w:r>
    </w:p>
    <w:p w:rsidR="00981775" w:rsidRDefault="00981775" w:rsidP="00981775">
      <w:pPr>
        <w:pStyle w:val="SangriaFrancesaArticulo"/>
      </w:pPr>
      <w:r w:rsidRPr="00981775">
        <w:rPr>
          <w:rStyle w:val="TextoNormalNegritaCaracter"/>
        </w:rPr>
        <w:t>Artículo 46.1 b)</w:t>
      </w:r>
      <w:r>
        <w:t xml:space="preserve"> (redactado por la Ley Orgánica 6/2007, de 24 de mayo)</w:t>
      </w:r>
      <w:r w:rsidRPr="00981775">
        <w:rPr>
          <w:rStyle w:val="TextoNormalNegritaCaracter"/>
        </w:rPr>
        <w:t>.</w:t>
      </w:r>
      <w:r w:rsidRPr="00981775">
        <w:rPr>
          <w:rStyle w:val="TextoNormalCaracter"/>
        </w:rPr>
        <w:t>-</w:t>
      </w:r>
      <w:r>
        <w:t xml:space="preserve"> Sentencia </w:t>
      </w:r>
      <w:hyperlink w:anchor="SENTENCIA_2015_182" w:history="1">
        <w:r w:rsidRPr="00981775">
          <w:rPr>
            <w:rStyle w:val="TextoNormalCaracter"/>
          </w:rPr>
          <w:t>182/2015</w:t>
        </w:r>
      </w:hyperlink>
      <w:r>
        <w:t>, f. 2.</w:t>
      </w:r>
    </w:p>
    <w:p w:rsidR="00981775" w:rsidRDefault="00981775" w:rsidP="00981775">
      <w:pPr>
        <w:pStyle w:val="SangriaFrancesaArticulo"/>
      </w:pPr>
      <w:r w:rsidRPr="00981775">
        <w:rPr>
          <w:rStyle w:val="TextoNormalNegritaCaracter"/>
        </w:rPr>
        <w:t>Artículos 46 a 49.</w:t>
      </w:r>
      <w:r w:rsidRPr="00981775">
        <w:rPr>
          <w:rStyle w:val="TextoNormalCaracter"/>
        </w:rPr>
        <w:t>-</w:t>
      </w:r>
      <w:r>
        <w:t xml:space="preserve"> Sentencia </w:t>
      </w:r>
      <w:hyperlink w:anchor="SENTENCIA_2015_167" w:history="1">
        <w:r w:rsidRPr="00981775">
          <w:rPr>
            <w:rStyle w:val="TextoNormalCaracter"/>
          </w:rPr>
          <w:t>167/2015</w:t>
        </w:r>
      </w:hyperlink>
      <w:r>
        <w:t>, f. 2.</w:t>
      </w:r>
    </w:p>
    <w:p w:rsidR="00981775" w:rsidRDefault="00981775" w:rsidP="00981775">
      <w:pPr>
        <w:pStyle w:val="SangriaFrancesaArticulo"/>
      </w:pPr>
      <w:r w:rsidRPr="00981775">
        <w:rPr>
          <w:rStyle w:val="TextoNormalNegritaCaracter"/>
        </w:rPr>
        <w:t>Artículo 49.</w:t>
      </w:r>
      <w:r w:rsidRPr="00981775">
        <w:rPr>
          <w:rStyle w:val="TextoNormalCaracter"/>
        </w:rPr>
        <w:t>-</w:t>
      </w:r>
      <w:r>
        <w:t xml:space="preserve"> Sentencia </w:t>
      </w:r>
      <w:hyperlink w:anchor="SENTENCIA_2015_167" w:history="1">
        <w:r w:rsidRPr="00981775">
          <w:rPr>
            <w:rStyle w:val="TextoNormalCaracter"/>
          </w:rPr>
          <w:t>167/2015</w:t>
        </w:r>
      </w:hyperlink>
      <w:r>
        <w:t>, f. 2.</w:t>
      </w:r>
    </w:p>
    <w:p w:rsidR="00981775" w:rsidRDefault="00981775" w:rsidP="00981775">
      <w:pPr>
        <w:pStyle w:val="SangriaFrancesaArticulo"/>
      </w:pPr>
      <w:r w:rsidRPr="00981775">
        <w:rPr>
          <w:rStyle w:val="TextoNormalNegritaCaracter"/>
        </w:rPr>
        <w:t>Artículo 49.1.</w:t>
      </w:r>
      <w:r w:rsidRPr="00981775">
        <w:rPr>
          <w:rStyle w:val="TextoNormalCaracter"/>
        </w:rPr>
        <w:t>-</w:t>
      </w:r>
      <w:r>
        <w:t xml:space="preserve"> Sentencias </w:t>
      </w:r>
      <w:hyperlink w:anchor="SENTENCIA_2015_167" w:history="1">
        <w:r w:rsidRPr="00981775">
          <w:rPr>
            <w:rStyle w:val="TextoNormalCaracter"/>
          </w:rPr>
          <w:t>167/2015</w:t>
        </w:r>
      </w:hyperlink>
      <w:r>
        <w:t xml:space="preserve">, ff. 1, 2; </w:t>
      </w:r>
      <w:hyperlink w:anchor="SENTENCIA_2015_169" w:history="1">
        <w:r w:rsidRPr="00981775">
          <w:rPr>
            <w:rStyle w:val="TextoNormalCaracter"/>
          </w:rPr>
          <w:t>169/2015</w:t>
        </w:r>
      </w:hyperlink>
      <w:r>
        <w:t xml:space="preserve">, f. 1; </w:t>
      </w:r>
      <w:hyperlink w:anchor="SENTENCIA_2015_203" w:history="1">
        <w:r w:rsidRPr="00981775">
          <w:rPr>
            <w:rStyle w:val="TextoNormalCaracter"/>
          </w:rPr>
          <w:t>203/2015</w:t>
        </w:r>
      </w:hyperlink>
      <w:r>
        <w:t xml:space="preserve">, f. 1; </w:t>
      </w:r>
      <w:hyperlink w:anchor="SENTENCIA_2015_226" w:history="1">
        <w:r w:rsidRPr="00981775">
          <w:rPr>
            <w:rStyle w:val="TextoNormalCaracter"/>
          </w:rPr>
          <w:t>226/2015</w:t>
        </w:r>
      </w:hyperlink>
      <w:r>
        <w:t>, f. 3.</w:t>
      </w:r>
    </w:p>
    <w:p w:rsidR="00981775" w:rsidRDefault="00981775" w:rsidP="00981775">
      <w:pPr>
        <w:pStyle w:val="SangriaFrancesaArticulo"/>
      </w:pPr>
      <w:r w:rsidRPr="00981775">
        <w:rPr>
          <w:rStyle w:val="TextoNormalNegritaCaracter"/>
        </w:rPr>
        <w:t>Artículo 49.1</w:t>
      </w:r>
      <w:r>
        <w:t xml:space="preserve"> (redactado por la Ley Orgánica 6/2007, de 24 de mayo)</w:t>
      </w:r>
      <w:r w:rsidRPr="00981775">
        <w:rPr>
          <w:rStyle w:val="TextoNormalNegritaCaracter"/>
        </w:rPr>
        <w:t>.</w:t>
      </w:r>
      <w:r w:rsidRPr="00981775">
        <w:rPr>
          <w:rStyle w:val="TextoNormalCaracter"/>
        </w:rPr>
        <w:t>-</w:t>
      </w:r>
      <w:r>
        <w:t xml:space="preserve"> Sentencias </w:t>
      </w:r>
      <w:hyperlink w:anchor="SENTENCIA_2015_160" w:history="1">
        <w:r w:rsidRPr="00981775">
          <w:rPr>
            <w:rStyle w:val="TextoNormalCaracter"/>
          </w:rPr>
          <w:t>160/2015</w:t>
        </w:r>
      </w:hyperlink>
      <w:r>
        <w:t xml:space="preserve">, ff. 2, 3; </w:t>
      </w:r>
      <w:hyperlink w:anchor="SENTENCIA_2015_232" w:history="1">
        <w:r w:rsidRPr="00981775">
          <w:rPr>
            <w:rStyle w:val="TextoNormalCaracter"/>
          </w:rPr>
          <w:t>232/2015</w:t>
        </w:r>
      </w:hyperlink>
      <w:r>
        <w:t xml:space="preserve">, f. 2; </w:t>
      </w:r>
      <w:hyperlink w:anchor="SENTENCIA_2015_242" w:history="1">
        <w:r w:rsidRPr="00981775">
          <w:rPr>
            <w:rStyle w:val="TextoNormalCaracter"/>
          </w:rPr>
          <w:t>242/2015</w:t>
        </w:r>
      </w:hyperlink>
      <w:r>
        <w:t>, f. 2.</w:t>
      </w:r>
    </w:p>
    <w:p w:rsidR="00981775" w:rsidRDefault="00981775" w:rsidP="00981775">
      <w:pPr>
        <w:pStyle w:val="SangriaFrancesaArticulo"/>
      </w:pPr>
      <w:r w:rsidRPr="00981775">
        <w:rPr>
          <w:rStyle w:val="TextoNormalNegritaCaracter"/>
        </w:rPr>
        <w:t xml:space="preserve">Artículo 49.1 </w:t>
      </w:r>
      <w:r w:rsidRPr="00981775">
        <w:rPr>
          <w:rStyle w:val="TextoNormalNegritaCursivaCaracter"/>
        </w:rPr>
        <w:t>in fine</w:t>
      </w:r>
      <w:r>
        <w:t xml:space="preserve"> </w:t>
      </w:r>
      <w:r w:rsidRPr="00981775">
        <w:rPr>
          <w:rStyle w:val="TextoNormalCaracter"/>
        </w:rPr>
        <w:t>(redactado por la Ley Orgánica 6/2007, de 24 de mayo)</w:t>
      </w:r>
      <w:r w:rsidRPr="00981775">
        <w:rPr>
          <w:rStyle w:val="TextoNormalNegritaCaracter"/>
        </w:rPr>
        <w:t>.</w:t>
      </w:r>
      <w:r w:rsidRPr="00981775">
        <w:rPr>
          <w:rStyle w:val="TextoNormalCaracter"/>
        </w:rPr>
        <w:t>-</w:t>
      </w:r>
      <w:r>
        <w:t xml:space="preserve"> Sentencias </w:t>
      </w:r>
      <w:hyperlink w:anchor="SENTENCIA_2015_160" w:history="1">
        <w:r w:rsidRPr="00981775">
          <w:rPr>
            <w:rStyle w:val="TextoNormalCaracter"/>
          </w:rPr>
          <w:t>160/2015</w:t>
        </w:r>
      </w:hyperlink>
      <w:r>
        <w:t xml:space="preserve">, f. 2; </w:t>
      </w:r>
      <w:hyperlink w:anchor="SENTENCIA_2015_203" w:history="1">
        <w:r w:rsidRPr="00981775">
          <w:rPr>
            <w:rStyle w:val="TextoNormalCaracter"/>
          </w:rPr>
          <w:t>203/2015</w:t>
        </w:r>
      </w:hyperlink>
      <w:r>
        <w:t>, f. 2.</w:t>
      </w:r>
    </w:p>
    <w:p w:rsidR="00981775" w:rsidRDefault="00981775" w:rsidP="00981775">
      <w:pPr>
        <w:pStyle w:val="SangriaFrancesaArticulo"/>
      </w:pPr>
      <w:r w:rsidRPr="00981775">
        <w:rPr>
          <w:rStyle w:val="TextoNormalNegritaCaracter"/>
        </w:rPr>
        <w:t>Artículo 50.</w:t>
      </w:r>
      <w:r w:rsidRPr="00981775">
        <w:rPr>
          <w:rStyle w:val="TextoNormalCaracter"/>
        </w:rPr>
        <w:t>-</w:t>
      </w:r>
      <w:r>
        <w:t xml:space="preserve"> Sentencia </w:t>
      </w:r>
      <w:hyperlink w:anchor="SENTENCIA_2015_167" w:history="1">
        <w:r w:rsidRPr="00981775">
          <w:rPr>
            <w:rStyle w:val="TextoNormalCaracter"/>
          </w:rPr>
          <w:t>167/2015</w:t>
        </w:r>
      </w:hyperlink>
      <w:r>
        <w:t>, f. 1.</w:t>
      </w:r>
    </w:p>
    <w:p w:rsidR="00981775" w:rsidRDefault="00981775" w:rsidP="00981775">
      <w:pPr>
        <w:pStyle w:val="SangriaFrancesaArticulo"/>
      </w:pPr>
      <w:r w:rsidRPr="00981775">
        <w:rPr>
          <w:rStyle w:val="TextoNormalNegritaCaracter"/>
        </w:rPr>
        <w:t>Artículo 50.1.</w:t>
      </w:r>
      <w:r w:rsidRPr="00981775">
        <w:rPr>
          <w:rStyle w:val="TextoNormalCaracter"/>
        </w:rPr>
        <w:t>-</w:t>
      </w:r>
      <w:r>
        <w:t xml:space="preserve"> Sentencia </w:t>
      </w:r>
      <w:hyperlink w:anchor="SENTENCIA_2015_204" w:history="1">
        <w:r w:rsidRPr="00981775">
          <w:rPr>
            <w:rStyle w:val="TextoNormalCaracter"/>
          </w:rPr>
          <w:t>204/2015</w:t>
        </w:r>
      </w:hyperlink>
      <w:r>
        <w:t>, f. 2.</w:t>
      </w:r>
    </w:p>
    <w:p w:rsidR="00981775" w:rsidRDefault="00981775" w:rsidP="00981775">
      <w:pPr>
        <w:pStyle w:val="SangriaFrancesaArticulo"/>
      </w:pPr>
      <w:r w:rsidRPr="00981775">
        <w:rPr>
          <w:rStyle w:val="TextoNormalNegritaCaracter"/>
        </w:rPr>
        <w:t>Artículo 50.1 a).</w:t>
      </w:r>
      <w:r w:rsidRPr="00981775">
        <w:rPr>
          <w:rStyle w:val="TextoNormalCaracter"/>
        </w:rPr>
        <w:t>-</w:t>
      </w:r>
      <w:r>
        <w:t xml:space="preserve"> Sentencias </w:t>
      </w:r>
      <w:hyperlink w:anchor="SENTENCIA_2015_167" w:history="1">
        <w:r w:rsidRPr="00981775">
          <w:rPr>
            <w:rStyle w:val="TextoNormalCaracter"/>
          </w:rPr>
          <w:t>167/2015</w:t>
        </w:r>
      </w:hyperlink>
      <w:r>
        <w:t xml:space="preserve">, f. 2; </w:t>
      </w:r>
      <w:hyperlink w:anchor="SENTENCIA_2015_183" w:history="1">
        <w:r w:rsidRPr="00981775">
          <w:rPr>
            <w:rStyle w:val="TextoNormalCaracter"/>
          </w:rPr>
          <w:t>183/2015</w:t>
        </w:r>
      </w:hyperlink>
      <w:r>
        <w:t xml:space="preserve">, f. 2; </w:t>
      </w:r>
      <w:hyperlink w:anchor="SENTENCIA_2015_203" w:history="1">
        <w:r w:rsidRPr="00981775">
          <w:rPr>
            <w:rStyle w:val="TextoNormalCaracter"/>
          </w:rPr>
          <w:t>203/2015</w:t>
        </w:r>
      </w:hyperlink>
      <w:r>
        <w:t xml:space="preserve">, f. 1; </w:t>
      </w:r>
      <w:hyperlink w:anchor="SENTENCIA_2015_226" w:history="1">
        <w:r w:rsidRPr="00981775">
          <w:rPr>
            <w:rStyle w:val="TextoNormalCaracter"/>
          </w:rPr>
          <w:t>226/2015</w:t>
        </w:r>
      </w:hyperlink>
      <w:r>
        <w:t>, f. 3.</w:t>
      </w:r>
    </w:p>
    <w:p w:rsidR="00981775" w:rsidRDefault="00981775" w:rsidP="00981775">
      <w:pPr>
        <w:pStyle w:val="SangriaIzquierdaArticulo"/>
      </w:pPr>
      <w:r>
        <w:t xml:space="preserve">Auto </w:t>
      </w:r>
      <w:hyperlink w:anchor="AUTO_2015_176" w:history="1">
        <w:r w:rsidRPr="00981775">
          <w:rPr>
            <w:rStyle w:val="TextoNormalCaracter"/>
          </w:rPr>
          <w:t>176/2015</w:t>
        </w:r>
      </w:hyperlink>
      <w:r>
        <w:t>, f. único.</w:t>
      </w:r>
    </w:p>
    <w:p w:rsidR="00981775" w:rsidRDefault="00981775" w:rsidP="00981775">
      <w:pPr>
        <w:pStyle w:val="SangriaFrancesaArticulo"/>
      </w:pPr>
      <w:r w:rsidRPr="00981775">
        <w:rPr>
          <w:rStyle w:val="TextoNormalNegritaCaracter"/>
        </w:rPr>
        <w:t>Artículo 50.1 a)</w:t>
      </w:r>
      <w:r>
        <w:t xml:space="preserve"> (redactado por la Ley Orgánica 6/2007, de 24 de mayo)</w:t>
      </w:r>
      <w:r w:rsidRPr="00981775">
        <w:rPr>
          <w:rStyle w:val="TextoNormalNegritaCaracter"/>
        </w:rPr>
        <w:t>.</w:t>
      </w:r>
      <w:r w:rsidRPr="00981775">
        <w:rPr>
          <w:rStyle w:val="TextoNormalCaracter"/>
        </w:rPr>
        <w:t>-</w:t>
      </w:r>
      <w:r>
        <w:t xml:space="preserve"> Sentencia </w:t>
      </w:r>
      <w:hyperlink w:anchor="SENTENCIA_2015_160" w:history="1">
        <w:r w:rsidRPr="00981775">
          <w:rPr>
            <w:rStyle w:val="TextoNormalCaracter"/>
          </w:rPr>
          <w:t>160/2015</w:t>
        </w:r>
      </w:hyperlink>
      <w:r>
        <w:t>, f. 2.</w:t>
      </w:r>
    </w:p>
    <w:p w:rsidR="00981775" w:rsidRDefault="00981775" w:rsidP="00981775">
      <w:pPr>
        <w:pStyle w:val="SangriaFrancesaArticulo"/>
      </w:pPr>
      <w:r w:rsidRPr="00981775">
        <w:rPr>
          <w:rStyle w:val="TextoNormalNegritaCaracter"/>
        </w:rPr>
        <w:t>Artículo 50.1 b).</w:t>
      </w:r>
      <w:r w:rsidRPr="00981775">
        <w:rPr>
          <w:rStyle w:val="TextoNormalCaracter"/>
        </w:rPr>
        <w:t>-</w:t>
      </w:r>
      <w:r>
        <w:t xml:space="preserve"> Sentencias </w:t>
      </w:r>
      <w:hyperlink w:anchor="SENTENCIA_2015_159" w:history="1">
        <w:r w:rsidRPr="00981775">
          <w:rPr>
            <w:rStyle w:val="TextoNormalCaracter"/>
          </w:rPr>
          <w:t>159/2015</w:t>
        </w:r>
      </w:hyperlink>
      <w:r>
        <w:t xml:space="preserve">, f. 2; </w:t>
      </w:r>
      <w:hyperlink w:anchor="SENTENCIA_2015_167" w:history="1">
        <w:r w:rsidRPr="00981775">
          <w:rPr>
            <w:rStyle w:val="TextoNormalCaracter"/>
          </w:rPr>
          <w:t>167/2015</w:t>
        </w:r>
      </w:hyperlink>
      <w:r>
        <w:t xml:space="preserve">, f. 2; </w:t>
      </w:r>
      <w:hyperlink w:anchor="SENTENCIA_2015_169" w:history="1">
        <w:r w:rsidRPr="00981775">
          <w:rPr>
            <w:rStyle w:val="TextoNormalCaracter"/>
          </w:rPr>
          <w:t>169/2015</w:t>
        </w:r>
      </w:hyperlink>
      <w:r>
        <w:t xml:space="preserve">, f. 1; </w:t>
      </w:r>
      <w:hyperlink w:anchor="SENTENCIA_2015_183" w:history="1">
        <w:r w:rsidRPr="00981775">
          <w:rPr>
            <w:rStyle w:val="TextoNormalCaracter"/>
          </w:rPr>
          <w:t>183/2015</w:t>
        </w:r>
      </w:hyperlink>
      <w:r>
        <w:t xml:space="preserve">, f. 5, VP; </w:t>
      </w:r>
      <w:hyperlink w:anchor="SENTENCIA_2015_194" w:history="1">
        <w:r w:rsidRPr="00981775">
          <w:rPr>
            <w:rStyle w:val="TextoNormalCaracter"/>
          </w:rPr>
          <w:t>194/2015</w:t>
        </w:r>
      </w:hyperlink>
      <w:r>
        <w:t xml:space="preserve">, f. 2; </w:t>
      </w:r>
      <w:hyperlink w:anchor="SENTENCIA_2015_203" w:history="1">
        <w:r w:rsidRPr="00981775">
          <w:rPr>
            <w:rStyle w:val="TextoNormalCaracter"/>
          </w:rPr>
          <w:t>203/2015</w:t>
        </w:r>
      </w:hyperlink>
      <w:r>
        <w:t xml:space="preserve">, f. 2; </w:t>
      </w:r>
      <w:hyperlink w:anchor="SENTENCIA_2015_222" w:history="1">
        <w:r w:rsidRPr="00981775">
          <w:rPr>
            <w:rStyle w:val="TextoNormalCaracter"/>
          </w:rPr>
          <w:t>222/2015</w:t>
        </w:r>
      </w:hyperlink>
      <w:r>
        <w:t xml:space="preserve">, f. 2; </w:t>
      </w:r>
      <w:hyperlink w:anchor="SENTENCIA_2015_239" w:history="1">
        <w:r w:rsidRPr="00981775">
          <w:rPr>
            <w:rStyle w:val="TextoNormalCaracter"/>
          </w:rPr>
          <w:t>239/2015</w:t>
        </w:r>
      </w:hyperlink>
      <w:r>
        <w:t xml:space="preserve">, f. 2; </w:t>
      </w:r>
      <w:hyperlink w:anchor="SENTENCIA_2015_240" w:history="1">
        <w:r w:rsidRPr="00981775">
          <w:rPr>
            <w:rStyle w:val="TextoNormalCaracter"/>
          </w:rPr>
          <w:t>240/2015</w:t>
        </w:r>
      </w:hyperlink>
      <w:r>
        <w:t xml:space="preserve">, f. 2; </w:t>
      </w:r>
      <w:hyperlink w:anchor="SENTENCIA_2015_262" w:history="1">
        <w:r w:rsidRPr="00981775">
          <w:rPr>
            <w:rStyle w:val="TextoNormalCaracter"/>
          </w:rPr>
          <w:t>262/2015</w:t>
        </w:r>
      </w:hyperlink>
      <w:r>
        <w:t xml:space="preserve">, f. 2; </w:t>
      </w:r>
      <w:hyperlink w:anchor="SENTENCIA_2015_263" w:history="1">
        <w:r w:rsidRPr="00981775">
          <w:rPr>
            <w:rStyle w:val="TextoNormalCaracter"/>
          </w:rPr>
          <w:t>263/2015</w:t>
        </w:r>
      </w:hyperlink>
      <w:r>
        <w:t>, f. 2.</w:t>
      </w:r>
    </w:p>
    <w:p w:rsidR="00981775" w:rsidRDefault="00981775" w:rsidP="00981775">
      <w:pPr>
        <w:pStyle w:val="SangriaFrancesaArticulo"/>
      </w:pPr>
      <w:r w:rsidRPr="00981775">
        <w:rPr>
          <w:rStyle w:val="TextoNormalNegritaCaracter"/>
        </w:rPr>
        <w:t>Artículo 50.1 b)</w:t>
      </w:r>
      <w:r>
        <w:t xml:space="preserve"> (redactado por la Ley Orgánica 6/2007, de 24 de mayo)</w:t>
      </w:r>
      <w:r w:rsidRPr="00981775">
        <w:rPr>
          <w:rStyle w:val="TextoNormalNegritaCaracter"/>
        </w:rPr>
        <w:t>.</w:t>
      </w:r>
      <w:r w:rsidRPr="00981775">
        <w:rPr>
          <w:rStyle w:val="TextoNormalCaracter"/>
        </w:rPr>
        <w:t>-</w:t>
      </w:r>
      <w:r>
        <w:t xml:space="preserve"> Sentencias </w:t>
      </w:r>
      <w:hyperlink w:anchor="SENTENCIA_2015_158" w:history="1">
        <w:r w:rsidRPr="00981775">
          <w:rPr>
            <w:rStyle w:val="TextoNormalCaracter"/>
          </w:rPr>
          <w:t>158/2015</w:t>
        </w:r>
      </w:hyperlink>
      <w:r>
        <w:t xml:space="preserve">, f. 2; </w:t>
      </w:r>
      <w:hyperlink w:anchor="SENTENCIA_2015_160" w:history="1">
        <w:r w:rsidRPr="00981775">
          <w:rPr>
            <w:rStyle w:val="TextoNormalCaracter"/>
          </w:rPr>
          <w:t>160/2015</w:t>
        </w:r>
      </w:hyperlink>
      <w:r>
        <w:t xml:space="preserve">, ff. 2, 3; </w:t>
      </w:r>
      <w:hyperlink w:anchor="SENTENCIA_2015_232" w:history="1">
        <w:r w:rsidRPr="00981775">
          <w:rPr>
            <w:rStyle w:val="TextoNormalCaracter"/>
          </w:rPr>
          <w:t>232/2015</w:t>
        </w:r>
      </w:hyperlink>
      <w:r>
        <w:t xml:space="preserve">, f. 2; </w:t>
      </w:r>
      <w:hyperlink w:anchor="SENTENCIA_2015_242" w:history="1">
        <w:r w:rsidRPr="00981775">
          <w:rPr>
            <w:rStyle w:val="TextoNormalCaracter"/>
          </w:rPr>
          <w:t>242/2015</w:t>
        </w:r>
      </w:hyperlink>
      <w:r>
        <w:t>, f. 2.</w:t>
      </w:r>
    </w:p>
    <w:p w:rsidR="00981775" w:rsidRDefault="00981775" w:rsidP="00981775">
      <w:pPr>
        <w:pStyle w:val="SangriaIzquierdaArticulo"/>
      </w:pPr>
      <w:r>
        <w:t xml:space="preserve">Auto </w:t>
      </w:r>
      <w:hyperlink w:anchor="AUTO_2015_128" w:history="1">
        <w:r w:rsidRPr="00981775">
          <w:rPr>
            <w:rStyle w:val="TextoNormalCaracter"/>
          </w:rPr>
          <w:t>128/2015</w:t>
        </w:r>
      </w:hyperlink>
      <w:r>
        <w:t>, ff. 1, 2.</w:t>
      </w:r>
    </w:p>
    <w:p w:rsidR="00981775" w:rsidRDefault="00981775" w:rsidP="00981775">
      <w:pPr>
        <w:pStyle w:val="SangriaFrancesaArticulo"/>
      </w:pPr>
      <w:r w:rsidRPr="00981775">
        <w:rPr>
          <w:rStyle w:val="TextoNormalNegritaCaracter"/>
        </w:rPr>
        <w:t>Artículo 50.3.</w:t>
      </w:r>
      <w:r w:rsidRPr="00981775">
        <w:rPr>
          <w:rStyle w:val="TextoNormalCaracter"/>
        </w:rPr>
        <w:t>-</w:t>
      </w:r>
      <w:r>
        <w:t xml:space="preserve"> Auto </w:t>
      </w:r>
      <w:hyperlink w:anchor="AUTO_2015_176" w:history="1">
        <w:r w:rsidRPr="00981775">
          <w:rPr>
            <w:rStyle w:val="TextoNormalCaracter"/>
          </w:rPr>
          <w:t>176/2015</w:t>
        </w:r>
      </w:hyperlink>
      <w:r>
        <w:t>, f. único.</w:t>
      </w:r>
    </w:p>
    <w:p w:rsidR="00981775" w:rsidRDefault="00981775" w:rsidP="00981775">
      <w:pPr>
        <w:pStyle w:val="SangriaFrancesaArticulo"/>
      </w:pPr>
      <w:r w:rsidRPr="00981775">
        <w:rPr>
          <w:rStyle w:val="TextoNormalNegritaCaracter"/>
        </w:rPr>
        <w:t>Artículo 52.1.</w:t>
      </w:r>
      <w:r w:rsidRPr="00981775">
        <w:rPr>
          <w:rStyle w:val="TextoNormalCaracter"/>
        </w:rPr>
        <w:t>-</w:t>
      </w:r>
      <w:r>
        <w:t xml:space="preserve"> Sentencia </w:t>
      </w:r>
      <w:hyperlink w:anchor="SENTENCIA_2015_169" w:history="1">
        <w:r w:rsidRPr="00981775">
          <w:rPr>
            <w:rStyle w:val="TextoNormalCaracter"/>
          </w:rPr>
          <w:t>169/2015</w:t>
        </w:r>
      </w:hyperlink>
      <w:r>
        <w:t>, f. 2.</w:t>
      </w:r>
    </w:p>
    <w:p w:rsidR="00981775" w:rsidRDefault="00981775" w:rsidP="00981775">
      <w:pPr>
        <w:pStyle w:val="SangriaFrancesaArticulo"/>
      </w:pPr>
      <w:r w:rsidRPr="00981775">
        <w:rPr>
          <w:rStyle w:val="TextoNormalNegritaCaracter"/>
        </w:rPr>
        <w:t>Artículo 52.2</w:t>
      </w:r>
      <w:r>
        <w:t xml:space="preserve"> (redactado por la Ley Orgánica 6/2007, de 24 de mayo)</w:t>
      </w:r>
      <w:r w:rsidRPr="00981775">
        <w:rPr>
          <w:rStyle w:val="TextoNormalNegritaCaracter"/>
        </w:rPr>
        <w:t>.</w:t>
      </w:r>
      <w:r w:rsidRPr="00981775">
        <w:rPr>
          <w:rStyle w:val="TextoNormalCaracter"/>
        </w:rPr>
        <w:t>-</w:t>
      </w:r>
      <w:r>
        <w:t xml:space="preserve"> Autos </w:t>
      </w:r>
      <w:hyperlink w:anchor="AUTO_2015_127" w:history="1">
        <w:r w:rsidRPr="00981775">
          <w:rPr>
            <w:rStyle w:val="TextoNormalCaracter"/>
          </w:rPr>
          <w:t>127/2015</w:t>
        </w:r>
      </w:hyperlink>
      <w:r>
        <w:t xml:space="preserve">, f. 1; </w:t>
      </w:r>
      <w:hyperlink w:anchor="AUTO_2015_178" w:history="1">
        <w:r w:rsidRPr="00981775">
          <w:rPr>
            <w:rStyle w:val="TextoNormalCaracter"/>
          </w:rPr>
          <w:t>178/2015</w:t>
        </w:r>
      </w:hyperlink>
      <w:r>
        <w:t xml:space="preserve">, f. 2; </w:t>
      </w:r>
      <w:hyperlink w:anchor="AUTO_2015_179" w:history="1">
        <w:r w:rsidRPr="00981775">
          <w:rPr>
            <w:rStyle w:val="TextoNormalCaracter"/>
          </w:rPr>
          <w:t>179/2015</w:t>
        </w:r>
      </w:hyperlink>
      <w:r>
        <w:t>, f. 1.</w:t>
      </w:r>
    </w:p>
    <w:p w:rsidR="00981775" w:rsidRDefault="00981775" w:rsidP="00981775">
      <w:pPr>
        <w:pStyle w:val="SangriaFrancesaArticulo"/>
      </w:pPr>
      <w:r w:rsidRPr="00981775">
        <w:rPr>
          <w:rStyle w:val="TextoNormalNegritaCaracter"/>
        </w:rPr>
        <w:t>Artículo 53</w:t>
      </w:r>
      <w:r>
        <w:t xml:space="preserve"> (redactado por la Ley Orgánica 6/2007, de 24 de mayo)</w:t>
      </w:r>
      <w:r w:rsidRPr="00981775">
        <w:rPr>
          <w:rStyle w:val="TextoNormalNegritaCaracter"/>
        </w:rPr>
        <w:t>.</w:t>
      </w:r>
      <w:r w:rsidRPr="00981775">
        <w:rPr>
          <w:rStyle w:val="TextoNormalCaracter"/>
        </w:rPr>
        <w:t>-</w:t>
      </w:r>
      <w:r>
        <w:t xml:space="preserve"> Sentencia </w:t>
      </w:r>
      <w:hyperlink w:anchor="SENTENCIA_2015_242" w:history="1">
        <w:r w:rsidRPr="00981775">
          <w:rPr>
            <w:rStyle w:val="TextoNormalCaracter"/>
          </w:rPr>
          <w:t>242/2015</w:t>
        </w:r>
      </w:hyperlink>
      <w:r>
        <w:t>, f. 3.</w:t>
      </w:r>
    </w:p>
    <w:p w:rsidR="00981775" w:rsidRDefault="00981775" w:rsidP="00981775">
      <w:pPr>
        <w:pStyle w:val="SangriaFrancesaArticulo"/>
      </w:pPr>
      <w:r w:rsidRPr="00981775">
        <w:rPr>
          <w:rStyle w:val="TextoNormalNegritaCaracter"/>
        </w:rPr>
        <w:t>Artículo 55.</w:t>
      </w:r>
      <w:r w:rsidRPr="00981775">
        <w:rPr>
          <w:rStyle w:val="TextoNormalCaracter"/>
        </w:rPr>
        <w:t>-</w:t>
      </w:r>
      <w:r>
        <w:t xml:space="preserve"> Sentencia </w:t>
      </w:r>
      <w:hyperlink w:anchor="SENTENCIA_2015_182" w:history="1">
        <w:r w:rsidRPr="00981775">
          <w:rPr>
            <w:rStyle w:val="TextoNormalCaracter"/>
          </w:rPr>
          <w:t>182/2015</w:t>
        </w:r>
      </w:hyperlink>
      <w:r>
        <w:t>, f. 7.</w:t>
      </w:r>
    </w:p>
    <w:p w:rsidR="00981775" w:rsidRDefault="00981775" w:rsidP="00981775">
      <w:pPr>
        <w:pStyle w:val="SangriaFrancesaArticulo"/>
      </w:pPr>
      <w:r w:rsidRPr="00981775">
        <w:rPr>
          <w:rStyle w:val="TextoNormalNegritaCaracter"/>
        </w:rPr>
        <w:t>Artículo 55.1.</w:t>
      </w:r>
      <w:r w:rsidRPr="00981775">
        <w:rPr>
          <w:rStyle w:val="TextoNormalCaracter"/>
        </w:rPr>
        <w:t>-</w:t>
      </w:r>
      <w:r>
        <w:t xml:space="preserve"> Sentencias </w:t>
      </w:r>
      <w:hyperlink w:anchor="SENTENCIA_2015_167" w:history="1">
        <w:r w:rsidRPr="00981775">
          <w:rPr>
            <w:rStyle w:val="TextoNormalCaracter"/>
          </w:rPr>
          <w:t>167/2015</w:t>
        </w:r>
      </w:hyperlink>
      <w:r>
        <w:t xml:space="preserve">, f. 5; </w:t>
      </w:r>
      <w:hyperlink w:anchor="SENTENCIA_2015_195" w:history="1">
        <w:r w:rsidRPr="00981775">
          <w:rPr>
            <w:rStyle w:val="TextoNormalCaracter"/>
          </w:rPr>
          <w:t>195/2015</w:t>
        </w:r>
      </w:hyperlink>
      <w:r>
        <w:t xml:space="preserve">, f. 8; </w:t>
      </w:r>
      <w:hyperlink w:anchor="SENTENCIA_2015_208" w:history="1">
        <w:r w:rsidRPr="00981775">
          <w:rPr>
            <w:rStyle w:val="TextoNormalCaracter"/>
          </w:rPr>
          <w:t>208/2015</w:t>
        </w:r>
      </w:hyperlink>
      <w:r>
        <w:t xml:space="preserve">, f. 6; </w:t>
      </w:r>
      <w:hyperlink w:anchor="SENTENCIA_2015_261" w:history="1">
        <w:r w:rsidRPr="00981775">
          <w:rPr>
            <w:rStyle w:val="TextoNormalCaracter"/>
          </w:rPr>
          <w:t>261/2015</w:t>
        </w:r>
      </w:hyperlink>
      <w:r>
        <w:t>, f. 8.</w:t>
      </w:r>
    </w:p>
    <w:p w:rsidR="00981775" w:rsidRDefault="00981775" w:rsidP="00981775">
      <w:pPr>
        <w:pStyle w:val="SangriaFrancesaArticulo"/>
      </w:pPr>
      <w:r w:rsidRPr="00981775">
        <w:rPr>
          <w:rStyle w:val="TextoNormalNegritaCaracter"/>
        </w:rPr>
        <w:t>Artículo 55.1</w:t>
      </w:r>
      <w:r>
        <w:t xml:space="preserve"> (redactado por la Ley Orgánica 6/2007, de 24 de mayo)</w:t>
      </w:r>
      <w:r w:rsidRPr="00981775">
        <w:rPr>
          <w:rStyle w:val="TextoNormalNegritaCaracter"/>
        </w:rPr>
        <w:t>.</w:t>
      </w:r>
      <w:r w:rsidRPr="00981775">
        <w:rPr>
          <w:rStyle w:val="TextoNormalCaracter"/>
        </w:rPr>
        <w:t>-</w:t>
      </w:r>
      <w:r>
        <w:t xml:space="preserve"> Sentencias </w:t>
      </w:r>
      <w:hyperlink w:anchor="SENTENCIA_2015_180" w:history="1">
        <w:r w:rsidRPr="00981775">
          <w:rPr>
            <w:rStyle w:val="TextoNormalCaracter"/>
          </w:rPr>
          <w:t>180/2015</w:t>
        </w:r>
      </w:hyperlink>
      <w:r>
        <w:t xml:space="preserve">, f. 8; </w:t>
      </w:r>
      <w:hyperlink w:anchor="SENTENCIA_2015_232" w:history="1">
        <w:r w:rsidRPr="00981775">
          <w:rPr>
            <w:rStyle w:val="TextoNormalCaracter"/>
          </w:rPr>
          <w:t>232/2015</w:t>
        </w:r>
      </w:hyperlink>
      <w:r>
        <w:t xml:space="preserve">, f. 7; </w:t>
      </w:r>
      <w:hyperlink w:anchor="SENTENCIA_2015_266" w:history="1">
        <w:r w:rsidRPr="00981775">
          <w:rPr>
            <w:rStyle w:val="TextoNormalCaracter"/>
          </w:rPr>
          <w:t>266/2015</w:t>
        </w:r>
      </w:hyperlink>
      <w:r>
        <w:t>, f. 6.</w:t>
      </w:r>
    </w:p>
    <w:p w:rsidR="00981775" w:rsidRDefault="00981775" w:rsidP="00981775">
      <w:pPr>
        <w:pStyle w:val="SangriaFrancesaArticulo"/>
      </w:pPr>
      <w:r w:rsidRPr="00981775">
        <w:rPr>
          <w:rStyle w:val="TextoNormalNegritaCaracter"/>
        </w:rPr>
        <w:t>Artículo 55.1 c)</w:t>
      </w:r>
      <w:r>
        <w:t xml:space="preserve"> (redactado por la Ley Orgánica 6/2007, de 24 de mayo)</w:t>
      </w:r>
      <w:r w:rsidRPr="00981775">
        <w:rPr>
          <w:rStyle w:val="TextoNormalNegritaCaracter"/>
        </w:rPr>
        <w:t>.</w:t>
      </w:r>
      <w:r w:rsidRPr="00981775">
        <w:rPr>
          <w:rStyle w:val="TextoNormalCaracter"/>
        </w:rPr>
        <w:t>-</w:t>
      </w:r>
      <w:r>
        <w:t xml:space="preserve"> Sentencia </w:t>
      </w:r>
      <w:hyperlink w:anchor="SENTENCIA_2015_266" w:history="1">
        <w:r w:rsidRPr="00981775">
          <w:rPr>
            <w:rStyle w:val="TextoNormalCaracter"/>
          </w:rPr>
          <w:t>266/2015</w:t>
        </w:r>
      </w:hyperlink>
      <w:r>
        <w:t>, f. 6.</w:t>
      </w:r>
    </w:p>
    <w:p w:rsidR="00981775" w:rsidRDefault="00981775" w:rsidP="00981775">
      <w:pPr>
        <w:pStyle w:val="SangriaFrancesaArticulo"/>
      </w:pPr>
      <w:r w:rsidRPr="00981775">
        <w:rPr>
          <w:rStyle w:val="TextoNormalNegritaCaracter"/>
        </w:rPr>
        <w:t>Artículo 55.2.</w:t>
      </w:r>
      <w:r w:rsidRPr="00981775">
        <w:rPr>
          <w:rStyle w:val="TextoNormalCaracter"/>
        </w:rPr>
        <w:t>-</w:t>
      </w:r>
      <w:r>
        <w:t xml:space="preserve"> Sentencia </w:t>
      </w:r>
      <w:hyperlink w:anchor="SENTENCIA_2015_195" w:history="1">
        <w:r w:rsidRPr="00981775">
          <w:rPr>
            <w:rStyle w:val="TextoNormalCaracter"/>
          </w:rPr>
          <w:t>195/2015</w:t>
        </w:r>
      </w:hyperlink>
      <w:r>
        <w:t>, f. 7.</w:t>
      </w:r>
    </w:p>
    <w:p w:rsidR="00981775" w:rsidRDefault="00981775" w:rsidP="00981775">
      <w:pPr>
        <w:pStyle w:val="SangriaFrancesaArticulo"/>
      </w:pPr>
      <w:r w:rsidRPr="00981775">
        <w:rPr>
          <w:rStyle w:val="TextoNormalNegritaCaracter"/>
        </w:rPr>
        <w:t>Artículo 55.2</w:t>
      </w:r>
      <w:r>
        <w:t xml:space="preserve"> (redactado por la Ley Orgánica 6/2007, de 24 de mayo)</w:t>
      </w:r>
      <w:r w:rsidRPr="00981775">
        <w:rPr>
          <w:rStyle w:val="TextoNormalNegritaCaracter"/>
        </w:rPr>
        <w:t>.</w:t>
      </w:r>
      <w:r w:rsidRPr="00981775">
        <w:rPr>
          <w:rStyle w:val="TextoNormalCaracter"/>
        </w:rPr>
        <w:t>-</w:t>
      </w:r>
      <w:r>
        <w:t xml:space="preserve"> Autos </w:t>
      </w:r>
      <w:hyperlink w:anchor="AUTO_2015_207" w:history="1">
        <w:r w:rsidRPr="00981775">
          <w:rPr>
            <w:rStyle w:val="TextoNormalCaracter"/>
          </w:rPr>
          <w:t>207/2015</w:t>
        </w:r>
      </w:hyperlink>
      <w:r>
        <w:t xml:space="preserve">, f. 4; </w:t>
      </w:r>
      <w:hyperlink w:anchor="AUTO_2015_208" w:history="1">
        <w:r w:rsidRPr="00981775">
          <w:rPr>
            <w:rStyle w:val="TextoNormalCaracter"/>
          </w:rPr>
          <w:t>208/2015</w:t>
        </w:r>
      </w:hyperlink>
      <w:r>
        <w:t xml:space="preserve">, f. 4; </w:t>
      </w:r>
      <w:hyperlink w:anchor="AUTO_2015_209" w:history="1">
        <w:r w:rsidRPr="00981775">
          <w:rPr>
            <w:rStyle w:val="TextoNormalCaracter"/>
          </w:rPr>
          <w:t>209/2015</w:t>
        </w:r>
      </w:hyperlink>
      <w:r>
        <w:t xml:space="preserve">, f. 4; </w:t>
      </w:r>
      <w:hyperlink w:anchor="AUTO_2015_210" w:history="1">
        <w:r w:rsidRPr="00981775">
          <w:rPr>
            <w:rStyle w:val="TextoNormalCaracter"/>
          </w:rPr>
          <w:t>210/2015</w:t>
        </w:r>
      </w:hyperlink>
      <w:r>
        <w:t xml:space="preserve">, f. 4; </w:t>
      </w:r>
      <w:hyperlink w:anchor="AUTO_2015_212" w:history="1">
        <w:r w:rsidRPr="00981775">
          <w:rPr>
            <w:rStyle w:val="TextoNormalCaracter"/>
          </w:rPr>
          <w:t>212/2015</w:t>
        </w:r>
      </w:hyperlink>
      <w:r>
        <w:t xml:space="preserve">, f. 4; </w:t>
      </w:r>
      <w:hyperlink w:anchor="AUTO_2015_213" w:history="1">
        <w:r w:rsidRPr="00981775">
          <w:rPr>
            <w:rStyle w:val="TextoNormalCaracter"/>
          </w:rPr>
          <w:t>213/2015</w:t>
        </w:r>
      </w:hyperlink>
      <w:r>
        <w:t>, f. 4.</w:t>
      </w:r>
    </w:p>
    <w:p w:rsidR="00981775" w:rsidRDefault="00981775" w:rsidP="00981775">
      <w:pPr>
        <w:pStyle w:val="SangriaFrancesaArticulo"/>
      </w:pPr>
      <w:r w:rsidRPr="00981775">
        <w:rPr>
          <w:rStyle w:val="TextoNormalNegritaCaracter"/>
        </w:rPr>
        <w:t>Artículo 56.</w:t>
      </w:r>
      <w:r w:rsidRPr="00981775">
        <w:rPr>
          <w:rStyle w:val="TextoNormalCaracter"/>
        </w:rPr>
        <w:t>-</w:t>
      </w:r>
      <w:r>
        <w:t xml:space="preserve"> Autos </w:t>
      </w:r>
      <w:hyperlink w:anchor="AUTO_2015_189" w:history="1">
        <w:r w:rsidRPr="00981775">
          <w:rPr>
            <w:rStyle w:val="TextoNormalCaracter"/>
          </w:rPr>
          <w:t>189/2015</w:t>
        </w:r>
      </w:hyperlink>
      <w:r>
        <w:t xml:space="preserve">, f. 2; </w:t>
      </w:r>
      <w:hyperlink w:anchor="AUTO_2015_190" w:history="1">
        <w:r w:rsidRPr="00981775">
          <w:rPr>
            <w:rStyle w:val="TextoNormalCaracter"/>
          </w:rPr>
          <w:t>190/2015</w:t>
        </w:r>
      </w:hyperlink>
      <w:r>
        <w:t>, f. 2.</w:t>
      </w:r>
    </w:p>
    <w:p w:rsidR="00981775" w:rsidRDefault="00981775" w:rsidP="00981775">
      <w:pPr>
        <w:pStyle w:val="SangriaFrancesaArticulo"/>
      </w:pPr>
      <w:r w:rsidRPr="00981775">
        <w:rPr>
          <w:rStyle w:val="TextoNormalNegritaCaracter"/>
        </w:rPr>
        <w:t>Artículo 56</w:t>
      </w:r>
      <w:r>
        <w:t xml:space="preserve"> (redactado por la Ley Orgánica 6/2007, de 24 de mayo)</w:t>
      </w:r>
      <w:r w:rsidRPr="00981775">
        <w:rPr>
          <w:rStyle w:val="TextoNormalNegritaCaracter"/>
        </w:rPr>
        <w:t>.</w:t>
      </w:r>
      <w:r w:rsidRPr="00981775">
        <w:rPr>
          <w:rStyle w:val="TextoNormalCaracter"/>
        </w:rPr>
        <w:t>-</w:t>
      </w:r>
      <w:r>
        <w:t xml:space="preserve"> Auto </w:t>
      </w:r>
      <w:hyperlink w:anchor="AUTO_2015_119" w:history="1">
        <w:r w:rsidRPr="00981775">
          <w:rPr>
            <w:rStyle w:val="TextoNormalCaracter"/>
          </w:rPr>
          <w:t>119/2015</w:t>
        </w:r>
      </w:hyperlink>
      <w:r>
        <w:t>, f. 2.</w:t>
      </w:r>
    </w:p>
    <w:p w:rsidR="00981775" w:rsidRDefault="00981775" w:rsidP="00981775">
      <w:pPr>
        <w:pStyle w:val="SangriaFrancesaArticulo"/>
      </w:pPr>
      <w:r w:rsidRPr="00981775">
        <w:rPr>
          <w:rStyle w:val="TextoNormalNegritaCaracter"/>
        </w:rPr>
        <w:t>Artículo 56.1.</w:t>
      </w:r>
      <w:r w:rsidRPr="00981775">
        <w:rPr>
          <w:rStyle w:val="TextoNormalCaracter"/>
        </w:rPr>
        <w:t>-</w:t>
      </w:r>
      <w:r>
        <w:t xml:space="preserve"> Autos </w:t>
      </w:r>
      <w:hyperlink w:anchor="AUTO_2015_117" w:history="1">
        <w:r w:rsidRPr="00981775">
          <w:rPr>
            <w:rStyle w:val="TextoNormalCaracter"/>
          </w:rPr>
          <w:t>117/2015</w:t>
        </w:r>
      </w:hyperlink>
      <w:r>
        <w:t xml:space="preserve">, f. 2; </w:t>
      </w:r>
      <w:hyperlink w:anchor="AUTO_2015_189" w:history="1">
        <w:r w:rsidRPr="00981775">
          <w:rPr>
            <w:rStyle w:val="TextoNormalCaracter"/>
          </w:rPr>
          <w:t>189/2015</w:t>
        </w:r>
      </w:hyperlink>
      <w:r>
        <w:t xml:space="preserve">, f. 2; </w:t>
      </w:r>
      <w:hyperlink w:anchor="AUTO_2015_190" w:history="1">
        <w:r w:rsidRPr="00981775">
          <w:rPr>
            <w:rStyle w:val="TextoNormalCaracter"/>
          </w:rPr>
          <w:t>190/2015</w:t>
        </w:r>
      </w:hyperlink>
      <w:r>
        <w:t xml:space="preserve">, f. 2; </w:t>
      </w:r>
      <w:hyperlink w:anchor="AUTO_2015_207" w:history="1">
        <w:r w:rsidRPr="00981775">
          <w:rPr>
            <w:rStyle w:val="TextoNormalCaracter"/>
          </w:rPr>
          <w:t>207/2015</w:t>
        </w:r>
      </w:hyperlink>
      <w:r>
        <w:t xml:space="preserve">, f. 2; </w:t>
      </w:r>
      <w:hyperlink w:anchor="AUTO_2015_208" w:history="1">
        <w:r w:rsidRPr="00981775">
          <w:rPr>
            <w:rStyle w:val="TextoNormalCaracter"/>
          </w:rPr>
          <w:t>208/2015</w:t>
        </w:r>
      </w:hyperlink>
      <w:r>
        <w:t xml:space="preserve">, f. 2; </w:t>
      </w:r>
      <w:hyperlink w:anchor="AUTO_2015_209" w:history="1">
        <w:r w:rsidRPr="00981775">
          <w:rPr>
            <w:rStyle w:val="TextoNormalCaracter"/>
          </w:rPr>
          <w:t>209/2015</w:t>
        </w:r>
      </w:hyperlink>
      <w:r>
        <w:t xml:space="preserve">, f. 2; </w:t>
      </w:r>
      <w:hyperlink w:anchor="AUTO_2015_210" w:history="1">
        <w:r w:rsidRPr="00981775">
          <w:rPr>
            <w:rStyle w:val="TextoNormalCaracter"/>
          </w:rPr>
          <w:t>210/2015</w:t>
        </w:r>
      </w:hyperlink>
      <w:r>
        <w:t xml:space="preserve">, f. 2; </w:t>
      </w:r>
      <w:hyperlink w:anchor="AUTO_2015_212" w:history="1">
        <w:r w:rsidRPr="00981775">
          <w:rPr>
            <w:rStyle w:val="TextoNormalCaracter"/>
          </w:rPr>
          <w:t>212/2015</w:t>
        </w:r>
      </w:hyperlink>
      <w:r>
        <w:t xml:space="preserve">, f. 2; </w:t>
      </w:r>
      <w:hyperlink w:anchor="AUTO_2015_213" w:history="1">
        <w:r w:rsidRPr="00981775">
          <w:rPr>
            <w:rStyle w:val="TextoNormalCaracter"/>
          </w:rPr>
          <w:t>213/2015</w:t>
        </w:r>
      </w:hyperlink>
      <w:r>
        <w:t>, f. 1.</w:t>
      </w:r>
    </w:p>
    <w:p w:rsidR="00981775" w:rsidRDefault="00981775" w:rsidP="00981775">
      <w:pPr>
        <w:pStyle w:val="SangriaFrancesaArticulo"/>
      </w:pPr>
      <w:r w:rsidRPr="00981775">
        <w:rPr>
          <w:rStyle w:val="TextoNormalNegritaCaracter"/>
        </w:rPr>
        <w:t>Artículo 56.1</w:t>
      </w:r>
      <w:r>
        <w:t xml:space="preserve"> (redactado por la Ley Orgánica 6/2007, de 24 de mayo)</w:t>
      </w:r>
      <w:r w:rsidRPr="00981775">
        <w:rPr>
          <w:rStyle w:val="TextoNormalNegritaCaracter"/>
        </w:rPr>
        <w:t>.</w:t>
      </w:r>
      <w:r w:rsidRPr="00981775">
        <w:rPr>
          <w:rStyle w:val="TextoNormalCaracter"/>
        </w:rPr>
        <w:t>-</w:t>
      </w:r>
      <w:r>
        <w:t xml:space="preserve"> Autos </w:t>
      </w:r>
      <w:hyperlink w:anchor="AUTO_2015_116" w:history="1">
        <w:r w:rsidRPr="00981775">
          <w:rPr>
            <w:rStyle w:val="TextoNormalCaracter"/>
          </w:rPr>
          <w:t>116/2015</w:t>
        </w:r>
      </w:hyperlink>
      <w:r>
        <w:t xml:space="preserve">, f. 1; </w:t>
      </w:r>
      <w:hyperlink w:anchor="AUTO_2015_179" w:history="1">
        <w:r w:rsidRPr="00981775">
          <w:rPr>
            <w:rStyle w:val="TextoNormalCaracter"/>
          </w:rPr>
          <w:t>179/2015</w:t>
        </w:r>
      </w:hyperlink>
      <w:r>
        <w:t>, f. 2.</w:t>
      </w:r>
    </w:p>
    <w:p w:rsidR="00981775" w:rsidRDefault="00981775" w:rsidP="00981775">
      <w:pPr>
        <w:pStyle w:val="SangriaFrancesaArticulo"/>
      </w:pPr>
      <w:r w:rsidRPr="00981775">
        <w:rPr>
          <w:rStyle w:val="TextoNormalNegritaCaracter"/>
        </w:rPr>
        <w:t>Artículo 56.2.</w:t>
      </w:r>
      <w:r w:rsidRPr="00981775">
        <w:rPr>
          <w:rStyle w:val="TextoNormalCaracter"/>
        </w:rPr>
        <w:t>-</w:t>
      </w:r>
      <w:r>
        <w:t xml:space="preserve"> Autos </w:t>
      </w:r>
      <w:hyperlink w:anchor="AUTO_2015_117" w:history="1">
        <w:r w:rsidRPr="00981775">
          <w:rPr>
            <w:rStyle w:val="TextoNormalCaracter"/>
          </w:rPr>
          <w:t>117/2015</w:t>
        </w:r>
      </w:hyperlink>
      <w:r>
        <w:t xml:space="preserve">, f. 2; </w:t>
      </w:r>
      <w:hyperlink w:anchor="AUTO_2015_189" w:history="1">
        <w:r w:rsidRPr="00981775">
          <w:rPr>
            <w:rStyle w:val="TextoNormalCaracter"/>
          </w:rPr>
          <w:t>189/2015</w:t>
        </w:r>
      </w:hyperlink>
      <w:r>
        <w:t xml:space="preserve">, f. 2; </w:t>
      </w:r>
      <w:hyperlink w:anchor="AUTO_2015_190" w:history="1">
        <w:r w:rsidRPr="00981775">
          <w:rPr>
            <w:rStyle w:val="TextoNormalCaracter"/>
          </w:rPr>
          <w:t>190/2015</w:t>
        </w:r>
      </w:hyperlink>
      <w:r>
        <w:t xml:space="preserve">, f. 2; </w:t>
      </w:r>
      <w:hyperlink w:anchor="AUTO_2015_207" w:history="1">
        <w:r w:rsidRPr="00981775">
          <w:rPr>
            <w:rStyle w:val="TextoNormalCaracter"/>
          </w:rPr>
          <w:t>207/2015</w:t>
        </w:r>
      </w:hyperlink>
      <w:r>
        <w:t xml:space="preserve">, f. 2; </w:t>
      </w:r>
      <w:hyperlink w:anchor="AUTO_2015_208" w:history="1">
        <w:r w:rsidRPr="00981775">
          <w:rPr>
            <w:rStyle w:val="TextoNormalCaracter"/>
          </w:rPr>
          <w:t>208/2015</w:t>
        </w:r>
      </w:hyperlink>
      <w:r>
        <w:t xml:space="preserve">, f. 2; </w:t>
      </w:r>
      <w:hyperlink w:anchor="AUTO_2015_209" w:history="1">
        <w:r w:rsidRPr="00981775">
          <w:rPr>
            <w:rStyle w:val="TextoNormalCaracter"/>
          </w:rPr>
          <w:t>209/2015</w:t>
        </w:r>
      </w:hyperlink>
      <w:r>
        <w:t xml:space="preserve">, f. 2; </w:t>
      </w:r>
      <w:hyperlink w:anchor="AUTO_2015_210" w:history="1">
        <w:r w:rsidRPr="00981775">
          <w:rPr>
            <w:rStyle w:val="TextoNormalCaracter"/>
          </w:rPr>
          <w:t>210/2015</w:t>
        </w:r>
      </w:hyperlink>
      <w:r>
        <w:t xml:space="preserve">, f. 2; </w:t>
      </w:r>
      <w:hyperlink w:anchor="AUTO_2015_212" w:history="1">
        <w:r w:rsidRPr="00981775">
          <w:rPr>
            <w:rStyle w:val="TextoNormalCaracter"/>
          </w:rPr>
          <w:t>212/2015</w:t>
        </w:r>
      </w:hyperlink>
      <w:r>
        <w:t xml:space="preserve">, f. 2; </w:t>
      </w:r>
      <w:hyperlink w:anchor="AUTO_2015_213" w:history="1">
        <w:r w:rsidRPr="00981775">
          <w:rPr>
            <w:rStyle w:val="TextoNormalCaracter"/>
          </w:rPr>
          <w:t>213/2015</w:t>
        </w:r>
      </w:hyperlink>
      <w:r>
        <w:t>, f. 2.</w:t>
      </w:r>
    </w:p>
    <w:p w:rsidR="00981775" w:rsidRDefault="00981775" w:rsidP="00981775">
      <w:pPr>
        <w:pStyle w:val="SangriaFrancesaArticulo"/>
      </w:pPr>
      <w:r w:rsidRPr="00981775">
        <w:rPr>
          <w:rStyle w:val="TextoNormalNegritaCaracter"/>
        </w:rPr>
        <w:t>Artículo 56.2</w:t>
      </w:r>
      <w:r>
        <w:t xml:space="preserve"> (redactado por la Ley Orgánica 6/2007, de 24 de mayo)</w:t>
      </w:r>
      <w:r w:rsidRPr="00981775">
        <w:rPr>
          <w:rStyle w:val="TextoNormalNegritaCaracter"/>
        </w:rPr>
        <w:t>.</w:t>
      </w:r>
      <w:r w:rsidRPr="00981775">
        <w:rPr>
          <w:rStyle w:val="TextoNormalCaracter"/>
        </w:rPr>
        <w:t>-</w:t>
      </w:r>
      <w:r>
        <w:t xml:space="preserve"> Autos </w:t>
      </w:r>
      <w:hyperlink w:anchor="AUTO_2015_116" w:history="1">
        <w:r w:rsidRPr="00981775">
          <w:rPr>
            <w:rStyle w:val="TextoNormalCaracter"/>
          </w:rPr>
          <w:t>116/2015</w:t>
        </w:r>
      </w:hyperlink>
      <w:r>
        <w:t xml:space="preserve">, f. 1; </w:t>
      </w:r>
      <w:hyperlink w:anchor="AUTO_2015_117" w:history="1">
        <w:r w:rsidRPr="00981775">
          <w:rPr>
            <w:rStyle w:val="TextoNormalCaracter"/>
          </w:rPr>
          <w:t>117/2015</w:t>
        </w:r>
      </w:hyperlink>
      <w:r>
        <w:t xml:space="preserve">, f. 1; </w:t>
      </w:r>
      <w:hyperlink w:anchor="AUTO_2015_119" w:history="1">
        <w:r w:rsidRPr="00981775">
          <w:rPr>
            <w:rStyle w:val="TextoNormalCaracter"/>
          </w:rPr>
          <w:t>119/2015</w:t>
        </w:r>
      </w:hyperlink>
      <w:r>
        <w:t xml:space="preserve">, f. 2; </w:t>
      </w:r>
      <w:hyperlink w:anchor="AUTO_2015_127" w:history="1">
        <w:r w:rsidRPr="00981775">
          <w:rPr>
            <w:rStyle w:val="TextoNormalCaracter"/>
          </w:rPr>
          <w:t>127/2015</w:t>
        </w:r>
      </w:hyperlink>
      <w:r>
        <w:t xml:space="preserve">, f. 1; </w:t>
      </w:r>
      <w:hyperlink w:anchor="AUTO_2015_178" w:history="1">
        <w:r w:rsidRPr="00981775">
          <w:rPr>
            <w:rStyle w:val="TextoNormalCaracter"/>
          </w:rPr>
          <w:t>178/2015</w:t>
        </w:r>
      </w:hyperlink>
      <w:r>
        <w:t xml:space="preserve">, f. 2; </w:t>
      </w:r>
      <w:hyperlink w:anchor="AUTO_2015_179" w:history="1">
        <w:r w:rsidRPr="00981775">
          <w:rPr>
            <w:rStyle w:val="TextoNormalCaracter"/>
          </w:rPr>
          <w:t>179/2015</w:t>
        </w:r>
      </w:hyperlink>
      <w:r>
        <w:t xml:space="preserve">, ff. 1, 2; </w:t>
      </w:r>
      <w:hyperlink w:anchor="AUTO_2015_207" w:history="1">
        <w:r w:rsidRPr="00981775">
          <w:rPr>
            <w:rStyle w:val="TextoNormalCaracter"/>
          </w:rPr>
          <w:t>207/2015</w:t>
        </w:r>
      </w:hyperlink>
      <w:r>
        <w:t xml:space="preserve">, f. 2; </w:t>
      </w:r>
      <w:hyperlink w:anchor="AUTO_2015_208" w:history="1">
        <w:r w:rsidRPr="00981775">
          <w:rPr>
            <w:rStyle w:val="TextoNormalCaracter"/>
          </w:rPr>
          <w:t>208/2015</w:t>
        </w:r>
      </w:hyperlink>
      <w:r>
        <w:t xml:space="preserve">, f. 2; </w:t>
      </w:r>
      <w:hyperlink w:anchor="AUTO_2015_209" w:history="1">
        <w:r w:rsidRPr="00981775">
          <w:rPr>
            <w:rStyle w:val="TextoNormalCaracter"/>
          </w:rPr>
          <w:t>209/2015</w:t>
        </w:r>
      </w:hyperlink>
      <w:r>
        <w:t xml:space="preserve">, f. 2; </w:t>
      </w:r>
      <w:hyperlink w:anchor="AUTO_2015_210" w:history="1">
        <w:r w:rsidRPr="00981775">
          <w:rPr>
            <w:rStyle w:val="TextoNormalCaracter"/>
          </w:rPr>
          <w:t>210/2015</w:t>
        </w:r>
      </w:hyperlink>
      <w:r>
        <w:t xml:space="preserve">, f. 2; </w:t>
      </w:r>
      <w:hyperlink w:anchor="AUTO_2015_212" w:history="1">
        <w:r w:rsidRPr="00981775">
          <w:rPr>
            <w:rStyle w:val="TextoNormalCaracter"/>
          </w:rPr>
          <w:t>212/2015</w:t>
        </w:r>
      </w:hyperlink>
      <w:r>
        <w:t xml:space="preserve">, f. 2; </w:t>
      </w:r>
      <w:hyperlink w:anchor="AUTO_2015_213" w:history="1">
        <w:r w:rsidRPr="00981775">
          <w:rPr>
            <w:rStyle w:val="TextoNormalCaracter"/>
          </w:rPr>
          <w:t>213/2015</w:t>
        </w:r>
      </w:hyperlink>
      <w:r>
        <w:t>, f. 2.</w:t>
      </w:r>
    </w:p>
    <w:p w:rsidR="00981775" w:rsidRDefault="00981775" w:rsidP="00981775">
      <w:pPr>
        <w:pStyle w:val="SangriaFrancesaArticulo"/>
      </w:pPr>
      <w:r w:rsidRPr="00981775">
        <w:rPr>
          <w:rStyle w:val="TextoNormalNegritaCaracter"/>
        </w:rPr>
        <w:t>Artículo 56.3.</w:t>
      </w:r>
      <w:r w:rsidRPr="00981775">
        <w:rPr>
          <w:rStyle w:val="TextoNormalCaracter"/>
        </w:rPr>
        <w:t>-</w:t>
      </w:r>
      <w:r>
        <w:t xml:space="preserve"> Auto </w:t>
      </w:r>
      <w:hyperlink w:anchor="AUTO_2015_143" w:history="1">
        <w:r w:rsidRPr="00981775">
          <w:rPr>
            <w:rStyle w:val="TextoNormalCaracter"/>
          </w:rPr>
          <w:t>143/2015</w:t>
        </w:r>
      </w:hyperlink>
      <w:r>
        <w:t>, f. 3.</w:t>
      </w:r>
    </w:p>
    <w:p w:rsidR="00981775" w:rsidRDefault="00981775" w:rsidP="00981775">
      <w:pPr>
        <w:pStyle w:val="SangriaFrancesaArticulo"/>
      </w:pPr>
      <w:r w:rsidRPr="00981775">
        <w:rPr>
          <w:rStyle w:val="TextoNormalNegritaCaracter"/>
        </w:rPr>
        <w:t>Artículo 56.4</w:t>
      </w:r>
      <w:r>
        <w:t xml:space="preserve"> (redactado por la Ley Orgánica 6/2007, de 24 de mayo)</w:t>
      </w:r>
      <w:r w:rsidRPr="00981775">
        <w:rPr>
          <w:rStyle w:val="TextoNormalNegritaCaracter"/>
        </w:rPr>
        <w:t>.</w:t>
      </w:r>
      <w:r w:rsidRPr="00981775">
        <w:rPr>
          <w:rStyle w:val="TextoNormalCaracter"/>
        </w:rPr>
        <w:t>-</w:t>
      </w:r>
      <w:r>
        <w:t xml:space="preserve"> Autos </w:t>
      </w:r>
      <w:hyperlink w:anchor="AUTO_2015_207" w:history="1">
        <w:r w:rsidRPr="00981775">
          <w:rPr>
            <w:rStyle w:val="TextoNormalCaracter"/>
          </w:rPr>
          <w:t>207/2015</w:t>
        </w:r>
      </w:hyperlink>
      <w:r>
        <w:t xml:space="preserve">, f. 4; </w:t>
      </w:r>
      <w:hyperlink w:anchor="AUTO_2015_208" w:history="1">
        <w:r w:rsidRPr="00981775">
          <w:rPr>
            <w:rStyle w:val="TextoNormalCaracter"/>
          </w:rPr>
          <w:t>208/2015</w:t>
        </w:r>
      </w:hyperlink>
      <w:r>
        <w:t xml:space="preserve">, f. 4; </w:t>
      </w:r>
      <w:hyperlink w:anchor="AUTO_2015_209" w:history="1">
        <w:r w:rsidRPr="00981775">
          <w:rPr>
            <w:rStyle w:val="TextoNormalCaracter"/>
          </w:rPr>
          <w:t>209/2015</w:t>
        </w:r>
      </w:hyperlink>
      <w:r>
        <w:t xml:space="preserve">, f. 4; </w:t>
      </w:r>
      <w:hyperlink w:anchor="AUTO_2015_210" w:history="1">
        <w:r w:rsidRPr="00981775">
          <w:rPr>
            <w:rStyle w:val="TextoNormalCaracter"/>
          </w:rPr>
          <w:t>210/2015</w:t>
        </w:r>
      </w:hyperlink>
      <w:r>
        <w:t xml:space="preserve">, f. 4; </w:t>
      </w:r>
      <w:hyperlink w:anchor="AUTO_2015_212" w:history="1">
        <w:r w:rsidRPr="00981775">
          <w:rPr>
            <w:rStyle w:val="TextoNormalCaracter"/>
          </w:rPr>
          <w:t>212/2015</w:t>
        </w:r>
      </w:hyperlink>
      <w:r>
        <w:t xml:space="preserve">, f. 4; </w:t>
      </w:r>
      <w:hyperlink w:anchor="AUTO_2015_213" w:history="1">
        <w:r w:rsidRPr="00981775">
          <w:rPr>
            <w:rStyle w:val="TextoNormalCaracter"/>
          </w:rPr>
          <w:t>213/2015</w:t>
        </w:r>
      </w:hyperlink>
      <w:r>
        <w:t>, f. 4.</w:t>
      </w:r>
    </w:p>
    <w:p w:rsidR="00981775" w:rsidRDefault="00981775" w:rsidP="00981775">
      <w:pPr>
        <w:pStyle w:val="SangriaFrancesaArticulo"/>
      </w:pPr>
      <w:r w:rsidRPr="00981775">
        <w:rPr>
          <w:rStyle w:val="TextoNormalNegritaCaracter"/>
        </w:rPr>
        <w:t>Artículo 56.6.</w:t>
      </w:r>
      <w:r w:rsidRPr="00981775">
        <w:rPr>
          <w:rStyle w:val="TextoNormalCaracter"/>
        </w:rPr>
        <w:t>-</w:t>
      </w:r>
      <w:r>
        <w:t xml:space="preserve"> Autos </w:t>
      </w:r>
      <w:hyperlink w:anchor="AUTO_2015_189" w:history="1">
        <w:r w:rsidRPr="00981775">
          <w:rPr>
            <w:rStyle w:val="TextoNormalCaracter"/>
          </w:rPr>
          <w:t>189/2015</w:t>
        </w:r>
      </w:hyperlink>
      <w:r>
        <w:t xml:space="preserve">, ff. 1, 2; </w:t>
      </w:r>
      <w:hyperlink w:anchor="AUTO_2015_190" w:history="1">
        <w:r w:rsidRPr="00981775">
          <w:rPr>
            <w:rStyle w:val="TextoNormalCaracter"/>
          </w:rPr>
          <w:t>190/2015</w:t>
        </w:r>
      </w:hyperlink>
      <w:r>
        <w:t>, ff. 1, 2.</w:t>
      </w:r>
    </w:p>
    <w:p w:rsidR="00981775" w:rsidRDefault="00981775" w:rsidP="00981775">
      <w:pPr>
        <w:pStyle w:val="SangriaFrancesaArticulo"/>
      </w:pPr>
      <w:r w:rsidRPr="00981775">
        <w:rPr>
          <w:rStyle w:val="TextoNormalNegritaCaracter"/>
        </w:rPr>
        <w:t>Artículo 56.6</w:t>
      </w:r>
      <w:r>
        <w:t xml:space="preserve"> (redactado por la Ley Orgánica 6/2007, de 24 de mayo)</w:t>
      </w:r>
      <w:r w:rsidRPr="00981775">
        <w:rPr>
          <w:rStyle w:val="TextoNormalNegritaCaracter"/>
        </w:rPr>
        <w:t>.</w:t>
      </w:r>
      <w:r w:rsidRPr="00981775">
        <w:rPr>
          <w:rStyle w:val="TextoNormalCaracter"/>
        </w:rPr>
        <w:t>-</w:t>
      </w:r>
      <w:r>
        <w:t xml:space="preserve"> Auto </w:t>
      </w:r>
      <w:hyperlink w:anchor="AUTO_2015_119" w:history="1">
        <w:r w:rsidRPr="00981775">
          <w:rPr>
            <w:rStyle w:val="TextoNormalCaracter"/>
          </w:rPr>
          <w:t>119/2015</w:t>
        </w:r>
      </w:hyperlink>
      <w:r>
        <w:t>, f. 1.</w:t>
      </w:r>
    </w:p>
    <w:p w:rsidR="00981775" w:rsidRDefault="00981775" w:rsidP="00981775">
      <w:pPr>
        <w:pStyle w:val="SangriaFrancesaArticulo"/>
      </w:pPr>
      <w:r w:rsidRPr="00981775">
        <w:rPr>
          <w:rStyle w:val="TextoNormalNegritaCaracter"/>
        </w:rPr>
        <w:t>Artículo 57.</w:t>
      </w:r>
      <w:r w:rsidRPr="00981775">
        <w:rPr>
          <w:rStyle w:val="TextoNormalCaracter"/>
        </w:rPr>
        <w:t>-</w:t>
      </w:r>
      <w:r>
        <w:t xml:space="preserve"> Autos </w:t>
      </w:r>
      <w:hyperlink w:anchor="AUTO_2015_116" w:history="1">
        <w:r w:rsidRPr="00981775">
          <w:rPr>
            <w:rStyle w:val="TextoNormalCaracter"/>
          </w:rPr>
          <w:t>116/2015</w:t>
        </w:r>
      </w:hyperlink>
      <w:r>
        <w:t xml:space="preserve">, f. 2; </w:t>
      </w:r>
      <w:hyperlink w:anchor="AUTO_2015_117" w:history="1">
        <w:r w:rsidRPr="00981775">
          <w:rPr>
            <w:rStyle w:val="TextoNormalCaracter"/>
          </w:rPr>
          <w:t>117/2015</w:t>
        </w:r>
      </w:hyperlink>
      <w:r>
        <w:t xml:space="preserve">, f. 4; </w:t>
      </w:r>
      <w:hyperlink w:anchor="AUTO_2015_207" w:history="1">
        <w:r w:rsidRPr="00981775">
          <w:rPr>
            <w:rStyle w:val="TextoNormalCaracter"/>
          </w:rPr>
          <w:t>207/2015</w:t>
        </w:r>
      </w:hyperlink>
      <w:r>
        <w:t xml:space="preserve">, f. 3; </w:t>
      </w:r>
      <w:hyperlink w:anchor="AUTO_2015_208" w:history="1">
        <w:r w:rsidRPr="00981775">
          <w:rPr>
            <w:rStyle w:val="TextoNormalCaracter"/>
          </w:rPr>
          <w:t>208/2015</w:t>
        </w:r>
      </w:hyperlink>
      <w:r>
        <w:t xml:space="preserve">, f. 3; </w:t>
      </w:r>
      <w:hyperlink w:anchor="AUTO_2015_209" w:history="1">
        <w:r w:rsidRPr="00981775">
          <w:rPr>
            <w:rStyle w:val="TextoNormalCaracter"/>
          </w:rPr>
          <w:t>209/2015</w:t>
        </w:r>
      </w:hyperlink>
      <w:r>
        <w:t xml:space="preserve">, f. 3; </w:t>
      </w:r>
      <w:hyperlink w:anchor="AUTO_2015_210" w:history="1">
        <w:r w:rsidRPr="00981775">
          <w:rPr>
            <w:rStyle w:val="TextoNormalCaracter"/>
          </w:rPr>
          <w:t>210/2015</w:t>
        </w:r>
      </w:hyperlink>
      <w:r>
        <w:t xml:space="preserve">, f. 3; </w:t>
      </w:r>
      <w:hyperlink w:anchor="AUTO_2015_212" w:history="1">
        <w:r w:rsidRPr="00981775">
          <w:rPr>
            <w:rStyle w:val="TextoNormalCaracter"/>
          </w:rPr>
          <w:t>212/2015</w:t>
        </w:r>
      </w:hyperlink>
      <w:r>
        <w:t xml:space="preserve">, f. 3; </w:t>
      </w:r>
      <w:hyperlink w:anchor="AUTO_2015_213" w:history="1">
        <w:r w:rsidRPr="00981775">
          <w:rPr>
            <w:rStyle w:val="TextoNormalCaracter"/>
          </w:rPr>
          <w:t>213/2015</w:t>
        </w:r>
      </w:hyperlink>
      <w:r>
        <w:t>, f. 3.</w:t>
      </w:r>
    </w:p>
    <w:p w:rsidR="00981775" w:rsidRDefault="00981775" w:rsidP="00981775">
      <w:pPr>
        <w:pStyle w:val="SangriaFrancesaArticulo"/>
      </w:pPr>
      <w:r w:rsidRPr="00981775">
        <w:rPr>
          <w:rStyle w:val="TextoNormalNegritaCaracter"/>
        </w:rPr>
        <w:t>Artículo 63.3.</w:t>
      </w:r>
      <w:r w:rsidRPr="00981775">
        <w:rPr>
          <w:rStyle w:val="TextoNormalCaracter"/>
        </w:rPr>
        <w:t>-</w:t>
      </w:r>
      <w:r>
        <w:t xml:space="preserve"> Sentencias </w:t>
      </w:r>
      <w:hyperlink w:anchor="SENTENCIA_2015_178" w:history="1">
        <w:r w:rsidRPr="00981775">
          <w:rPr>
            <w:rStyle w:val="TextoNormalCaracter"/>
          </w:rPr>
          <w:t>178/2015</w:t>
        </w:r>
      </w:hyperlink>
      <w:r>
        <w:t xml:space="preserve">, f. 2; </w:t>
      </w:r>
      <w:hyperlink w:anchor="SENTENCIA_2015_185" w:history="1">
        <w:r w:rsidRPr="00981775">
          <w:rPr>
            <w:rStyle w:val="TextoNormalCaracter"/>
          </w:rPr>
          <w:t>185/2015</w:t>
        </w:r>
      </w:hyperlink>
      <w:r>
        <w:t xml:space="preserve">, f. 2; </w:t>
      </w:r>
      <w:hyperlink w:anchor="SENTENCIA_2015_230" w:history="1">
        <w:r w:rsidRPr="00981775">
          <w:rPr>
            <w:rStyle w:val="TextoNormalCaracter"/>
          </w:rPr>
          <w:t>230/2015</w:t>
        </w:r>
      </w:hyperlink>
      <w:r>
        <w:t>, f. 2.</w:t>
      </w:r>
    </w:p>
    <w:p w:rsidR="00981775" w:rsidRDefault="00981775" w:rsidP="00981775">
      <w:pPr>
        <w:pStyle w:val="SangriaFrancesaArticulo"/>
      </w:pPr>
      <w:r w:rsidRPr="00981775">
        <w:rPr>
          <w:rStyle w:val="TextoNormalNegritaCaracter"/>
        </w:rPr>
        <w:t>Artículo 64.2.</w:t>
      </w:r>
      <w:r w:rsidRPr="00981775">
        <w:rPr>
          <w:rStyle w:val="TextoNormalCaracter"/>
        </w:rPr>
        <w:t>-</w:t>
      </w:r>
      <w:r>
        <w:t xml:space="preserve"> Auto </w:t>
      </w:r>
      <w:hyperlink w:anchor="AUTO_2015_186" w:history="1">
        <w:r w:rsidRPr="00981775">
          <w:rPr>
            <w:rStyle w:val="TextoNormalCaracter"/>
          </w:rPr>
          <w:t>186/2015</w:t>
        </w:r>
      </w:hyperlink>
      <w:r>
        <w:t>, f. 1.</w:t>
      </w:r>
    </w:p>
    <w:p w:rsidR="00981775" w:rsidRDefault="00981775" w:rsidP="00981775">
      <w:pPr>
        <w:pStyle w:val="SangriaFrancesaArticulo"/>
      </w:pPr>
      <w:r w:rsidRPr="00981775">
        <w:rPr>
          <w:rStyle w:val="TextoNormalNegritaCaracter"/>
        </w:rPr>
        <w:t>Artículo 66.</w:t>
      </w:r>
      <w:r w:rsidRPr="00981775">
        <w:rPr>
          <w:rStyle w:val="TextoNormalCaracter"/>
        </w:rPr>
        <w:t>-</w:t>
      </w:r>
      <w:r>
        <w:t xml:space="preserve"> Sentencia </w:t>
      </w:r>
      <w:hyperlink w:anchor="SENTENCIA_2015_178" w:history="1">
        <w:r w:rsidRPr="00981775">
          <w:rPr>
            <w:rStyle w:val="TextoNormalCaracter"/>
          </w:rPr>
          <w:t>178/2015</w:t>
        </w:r>
      </w:hyperlink>
      <w:r>
        <w:t>, f. 2.</w:t>
      </w:r>
    </w:p>
    <w:p w:rsidR="00981775" w:rsidRDefault="00981775" w:rsidP="00981775">
      <w:pPr>
        <w:pStyle w:val="SangriaFrancesaArticulo"/>
      </w:pPr>
      <w:r w:rsidRPr="00981775">
        <w:rPr>
          <w:rStyle w:val="TextoNormalNegritaCaracter"/>
        </w:rPr>
        <w:t>Artículo 75 quinque.1.</w:t>
      </w:r>
      <w:r w:rsidRPr="00981775">
        <w:rPr>
          <w:rStyle w:val="TextoNormalCaracter"/>
        </w:rPr>
        <w:t>-</w:t>
      </w:r>
      <w:r>
        <w:t xml:space="preserve"> Auto </w:t>
      </w:r>
      <w:hyperlink w:anchor="AUTO_2015_149" w:history="1">
        <w:r w:rsidRPr="00981775">
          <w:rPr>
            <w:rStyle w:val="TextoNormalCaracter"/>
          </w:rPr>
          <w:t>149/2015</w:t>
        </w:r>
      </w:hyperlink>
      <w:r>
        <w:t>, f. 5.</w:t>
      </w:r>
    </w:p>
    <w:p w:rsidR="00981775" w:rsidRDefault="00981775" w:rsidP="00981775">
      <w:pPr>
        <w:pStyle w:val="SangriaFrancesaArticulo"/>
      </w:pPr>
      <w:r w:rsidRPr="00981775">
        <w:rPr>
          <w:rStyle w:val="TextoNormalNegritaCaracter"/>
        </w:rPr>
        <w:t>Artículo 75 quinquies.</w:t>
      </w:r>
      <w:r w:rsidRPr="00981775">
        <w:rPr>
          <w:rStyle w:val="TextoNormalCaracter"/>
        </w:rPr>
        <w:t>-</w:t>
      </w:r>
      <w:r>
        <w:t xml:space="preserve"> Auto </w:t>
      </w:r>
      <w:hyperlink w:anchor="AUTO_2015_149" w:history="1">
        <w:r w:rsidRPr="00981775">
          <w:rPr>
            <w:rStyle w:val="TextoNormalCaracter"/>
          </w:rPr>
          <w:t>149/2015</w:t>
        </w:r>
      </w:hyperlink>
      <w:r>
        <w:t>, f. 2.</w:t>
      </w:r>
    </w:p>
    <w:p w:rsidR="00981775" w:rsidRDefault="00981775" w:rsidP="00981775">
      <w:pPr>
        <w:pStyle w:val="SangriaFrancesaArticulo"/>
      </w:pPr>
      <w:r w:rsidRPr="00981775">
        <w:rPr>
          <w:rStyle w:val="TextoNormalNegritaCaracter"/>
        </w:rPr>
        <w:t>Artículo 75 ter, apartado 1 a).</w:t>
      </w:r>
      <w:r w:rsidRPr="00981775">
        <w:rPr>
          <w:rStyle w:val="TextoNormalCaracter"/>
        </w:rPr>
        <w:t>-</w:t>
      </w:r>
      <w:r>
        <w:t xml:space="preserve"> Auto </w:t>
      </w:r>
      <w:hyperlink w:anchor="AUTO_2015_168" w:history="1">
        <w:r w:rsidRPr="00981775">
          <w:rPr>
            <w:rStyle w:val="TextoNormalCaracter"/>
          </w:rPr>
          <w:t>168/2015</w:t>
        </w:r>
      </w:hyperlink>
      <w:r>
        <w:t>, ff. 1, 2.</w:t>
      </w:r>
    </w:p>
    <w:p w:rsidR="00981775" w:rsidRDefault="00981775" w:rsidP="00981775">
      <w:pPr>
        <w:pStyle w:val="SangriaFrancesaArticulo"/>
      </w:pPr>
      <w:r w:rsidRPr="00981775">
        <w:rPr>
          <w:rStyle w:val="TextoNormalNegritaCaracter"/>
        </w:rPr>
        <w:t>Artículo 75 ter.1.</w:t>
      </w:r>
      <w:r w:rsidRPr="00981775">
        <w:rPr>
          <w:rStyle w:val="TextoNormalCaracter"/>
        </w:rPr>
        <w:t>-</w:t>
      </w:r>
      <w:r>
        <w:t xml:space="preserve"> Auto </w:t>
      </w:r>
      <w:hyperlink w:anchor="AUTO_2015_149" w:history="1">
        <w:r w:rsidRPr="00981775">
          <w:rPr>
            <w:rStyle w:val="TextoNormalCaracter"/>
          </w:rPr>
          <w:t>149/2015</w:t>
        </w:r>
      </w:hyperlink>
      <w:r>
        <w:t>, f. 2.</w:t>
      </w:r>
    </w:p>
    <w:p w:rsidR="00981775" w:rsidRDefault="00981775" w:rsidP="00981775">
      <w:pPr>
        <w:pStyle w:val="SangriaFrancesaArticulo"/>
      </w:pPr>
      <w:r w:rsidRPr="00981775">
        <w:rPr>
          <w:rStyle w:val="TextoNormalNegritaCaracter"/>
        </w:rPr>
        <w:t>Artículo 75 ter.1 a).</w:t>
      </w:r>
      <w:r w:rsidRPr="00981775">
        <w:rPr>
          <w:rStyle w:val="TextoNormalCaracter"/>
        </w:rPr>
        <w:t>-</w:t>
      </w:r>
      <w:r>
        <w:t xml:space="preserve"> Auto </w:t>
      </w:r>
      <w:hyperlink w:anchor="AUTO_2015_149" w:history="1">
        <w:r w:rsidRPr="00981775">
          <w:rPr>
            <w:rStyle w:val="TextoNormalCaracter"/>
          </w:rPr>
          <w:t>149/2015</w:t>
        </w:r>
      </w:hyperlink>
      <w:r>
        <w:t>, ff. 2 a 4.</w:t>
      </w:r>
    </w:p>
    <w:p w:rsidR="00981775" w:rsidRDefault="00981775" w:rsidP="00981775">
      <w:pPr>
        <w:pStyle w:val="SangriaFrancesaArticulo"/>
      </w:pPr>
      <w:r w:rsidRPr="00981775">
        <w:rPr>
          <w:rStyle w:val="TextoNormalNegritaCaracter"/>
        </w:rPr>
        <w:t>Artículo 75.ter, apartado 1 c).</w:t>
      </w:r>
      <w:r w:rsidRPr="00981775">
        <w:rPr>
          <w:rStyle w:val="TextoNormalCaracter"/>
        </w:rPr>
        <w:t>-</w:t>
      </w:r>
      <w:r>
        <w:t xml:space="preserve"> Auto </w:t>
      </w:r>
      <w:hyperlink w:anchor="AUTO_2015_168" w:history="1">
        <w:r w:rsidRPr="00981775">
          <w:rPr>
            <w:rStyle w:val="TextoNormalCaracter"/>
          </w:rPr>
          <w:t>168/2015</w:t>
        </w:r>
      </w:hyperlink>
      <w:r>
        <w:t>, f. 3.</w:t>
      </w:r>
    </w:p>
    <w:p w:rsidR="00981775" w:rsidRDefault="00981775" w:rsidP="00981775">
      <w:pPr>
        <w:pStyle w:val="SangriaFrancesaArticulo"/>
      </w:pPr>
      <w:r w:rsidRPr="00981775">
        <w:rPr>
          <w:rStyle w:val="TextoNormalNegritaCaracter"/>
        </w:rPr>
        <w:t>Artículo 76.</w:t>
      </w:r>
      <w:r w:rsidRPr="00981775">
        <w:rPr>
          <w:rStyle w:val="TextoNormalCaracter"/>
        </w:rPr>
        <w:t>-</w:t>
      </w:r>
      <w:r>
        <w:t xml:space="preserve"> Sentencia </w:t>
      </w:r>
      <w:hyperlink w:anchor="SENTENCIA_2015_259" w:history="1">
        <w:r w:rsidRPr="00981775">
          <w:rPr>
            <w:rStyle w:val="TextoNormalCaracter"/>
          </w:rPr>
          <w:t>259/2015</w:t>
        </w:r>
      </w:hyperlink>
      <w:r>
        <w:t>, ff. 1, 2.</w:t>
      </w:r>
    </w:p>
    <w:p w:rsidR="00981775" w:rsidRDefault="00981775" w:rsidP="00981775">
      <w:pPr>
        <w:pStyle w:val="SangriaFrancesaArticulo"/>
      </w:pPr>
      <w:r w:rsidRPr="00981775">
        <w:rPr>
          <w:rStyle w:val="TextoNormalNegritaCaracter"/>
        </w:rPr>
        <w:t>Artículo 77.</w:t>
      </w:r>
      <w:r w:rsidRPr="00981775">
        <w:rPr>
          <w:rStyle w:val="TextoNormalCaracter"/>
        </w:rPr>
        <w:t>-</w:t>
      </w:r>
      <w:r>
        <w:t xml:space="preserve"> Sentencia </w:t>
      </w:r>
      <w:hyperlink w:anchor="SENTENCIA_2015_259" w:history="1">
        <w:r w:rsidRPr="00981775">
          <w:rPr>
            <w:rStyle w:val="TextoNormalCaracter"/>
          </w:rPr>
          <w:t>259/2015</w:t>
        </w:r>
      </w:hyperlink>
      <w:r>
        <w:t>, ff. 1, 2.</w:t>
      </w:r>
    </w:p>
    <w:p w:rsidR="00981775" w:rsidRDefault="00981775" w:rsidP="00981775">
      <w:pPr>
        <w:pStyle w:val="SangriaFrancesaArticulo"/>
      </w:pPr>
      <w:r w:rsidRPr="00981775">
        <w:rPr>
          <w:rStyle w:val="TextoNormalNegritaCaracter"/>
        </w:rPr>
        <w:t>Artículo 80.</w:t>
      </w:r>
      <w:r w:rsidRPr="00981775">
        <w:rPr>
          <w:rStyle w:val="TextoNormalCaracter"/>
        </w:rPr>
        <w:t>-</w:t>
      </w:r>
      <w:r>
        <w:t xml:space="preserve"> Autos </w:t>
      </w:r>
      <w:hyperlink w:anchor="AUTO_2015_118" w:history="1">
        <w:r w:rsidRPr="00981775">
          <w:rPr>
            <w:rStyle w:val="TextoNormalCaracter"/>
          </w:rPr>
          <w:t>118/2015</w:t>
        </w:r>
      </w:hyperlink>
      <w:r>
        <w:t xml:space="preserve">; </w:t>
      </w:r>
      <w:hyperlink w:anchor="AUTO_2015_123" w:history="1">
        <w:r w:rsidRPr="00981775">
          <w:rPr>
            <w:rStyle w:val="TextoNormalCaracter"/>
          </w:rPr>
          <w:t>123/2015</w:t>
        </w:r>
      </w:hyperlink>
      <w:r>
        <w:t xml:space="preserve">, f. único; </w:t>
      </w:r>
      <w:hyperlink w:anchor="AUTO_2015_124" w:history="1">
        <w:r w:rsidRPr="00981775">
          <w:rPr>
            <w:rStyle w:val="TextoNormalCaracter"/>
          </w:rPr>
          <w:t>124/2015</w:t>
        </w:r>
      </w:hyperlink>
      <w:r>
        <w:t xml:space="preserve">, f. 2; </w:t>
      </w:r>
      <w:hyperlink w:anchor="AUTO_2015_125" w:history="1">
        <w:r w:rsidRPr="00981775">
          <w:rPr>
            <w:rStyle w:val="TextoNormalCaracter"/>
          </w:rPr>
          <w:t>125/2015</w:t>
        </w:r>
      </w:hyperlink>
      <w:r>
        <w:t xml:space="preserve">, f. único; </w:t>
      </w:r>
      <w:hyperlink w:anchor="AUTO_2015_126" w:history="1">
        <w:r w:rsidRPr="00981775">
          <w:rPr>
            <w:rStyle w:val="TextoNormalCaracter"/>
          </w:rPr>
          <w:t>126/2015</w:t>
        </w:r>
      </w:hyperlink>
      <w:r>
        <w:t xml:space="preserve">, f. único; </w:t>
      </w:r>
      <w:hyperlink w:anchor="AUTO_2015_141" w:history="1">
        <w:r w:rsidRPr="00981775">
          <w:rPr>
            <w:rStyle w:val="TextoNormalCaracter"/>
          </w:rPr>
          <w:t>141/2015</w:t>
        </w:r>
      </w:hyperlink>
      <w:r>
        <w:t xml:space="preserve">, f. 2; </w:t>
      </w:r>
      <w:hyperlink w:anchor="AUTO_2015_144" w:history="1">
        <w:r w:rsidRPr="00981775">
          <w:rPr>
            <w:rStyle w:val="TextoNormalCaracter"/>
          </w:rPr>
          <w:t>144/2015</w:t>
        </w:r>
      </w:hyperlink>
      <w:r>
        <w:t xml:space="preserve">, f. 2; </w:t>
      </w:r>
      <w:hyperlink w:anchor="AUTO_2015_147" w:history="1">
        <w:r w:rsidRPr="00981775">
          <w:rPr>
            <w:rStyle w:val="TextoNormalCaracter"/>
          </w:rPr>
          <w:t>147/2015</w:t>
        </w:r>
      </w:hyperlink>
      <w:r>
        <w:t xml:space="preserve">, Único; </w:t>
      </w:r>
      <w:hyperlink w:anchor="AUTO_2015_150" w:history="1">
        <w:r w:rsidRPr="00981775">
          <w:rPr>
            <w:rStyle w:val="TextoNormalCaracter"/>
          </w:rPr>
          <w:t>150/2015</w:t>
        </w:r>
      </w:hyperlink>
      <w:r>
        <w:t xml:space="preserve">, Ünico; </w:t>
      </w:r>
      <w:hyperlink w:anchor="AUTO_2015_151" w:history="1">
        <w:r w:rsidRPr="00981775">
          <w:rPr>
            <w:rStyle w:val="TextoNormalCaracter"/>
          </w:rPr>
          <w:t>151/2015</w:t>
        </w:r>
      </w:hyperlink>
      <w:r>
        <w:t xml:space="preserve">, Único; </w:t>
      </w:r>
      <w:hyperlink w:anchor="AUTO_2015_152" w:history="1">
        <w:r w:rsidRPr="00981775">
          <w:rPr>
            <w:rStyle w:val="TextoNormalCaracter"/>
          </w:rPr>
          <w:t>152/2015</w:t>
        </w:r>
      </w:hyperlink>
      <w:r>
        <w:t xml:space="preserve">, Único; </w:t>
      </w:r>
      <w:hyperlink w:anchor="AUTO_2015_153" w:history="1">
        <w:r w:rsidRPr="00981775">
          <w:rPr>
            <w:rStyle w:val="TextoNormalCaracter"/>
          </w:rPr>
          <w:t>153/2015</w:t>
        </w:r>
      </w:hyperlink>
      <w:r>
        <w:t xml:space="preserve">, Único; </w:t>
      </w:r>
      <w:hyperlink w:anchor="AUTO_2015_156" w:history="1">
        <w:r w:rsidRPr="00981775">
          <w:rPr>
            <w:rStyle w:val="TextoNormalCaracter"/>
          </w:rPr>
          <w:t>156/2015</w:t>
        </w:r>
      </w:hyperlink>
      <w:r>
        <w:t xml:space="preserve">, Único; </w:t>
      </w:r>
      <w:hyperlink w:anchor="AUTO_2015_157" w:history="1">
        <w:r w:rsidRPr="00981775">
          <w:rPr>
            <w:rStyle w:val="TextoNormalCaracter"/>
          </w:rPr>
          <w:t>157/2015</w:t>
        </w:r>
      </w:hyperlink>
      <w:r>
        <w:t xml:space="preserve">, Único; </w:t>
      </w:r>
      <w:hyperlink w:anchor="AUTO_2015_158" w:history="1">
        <w:r w:rsidRPr="00981775">
          <w:rPr>
            <w:rStyle w:val="TextoNormalCaracter"/>
          </w:rPr>
          <w:t>158/2015</w:t>
        </w:r>
      </w:hyperlink>
      <w:r>
        <w:t xml:space="preserve">, Único; </w:t>
      </w:r>
      <w:hyperlink w:anchor="AUTO_2015_161" w:history="1">
        <w:r w:rsidRPr="00981775">
          <w:rPr>
            <w:rStyle w:val="TextoNormalCaracter"/>
          </w:rPr>
          <w:t>161/2015</w:t>
        </w:r>
      </w:hyperlink>
      <w:r>
        <w:t xml:space="preserve">, f. único; </w:t>
      </w:r>
      <w:hyperlink w:anchor="AUTO_2015_162" w:history="1">
        <w:r w:rsidRPr="00981775">
          <w:rPr>
            <w:rStyle w:val="TextoNormalCaracter"/>
          </w:rPr>
          <w:t>162/2015</w:t>
        </w:r>
      </w:hyperlink>
      <w:r>
        <w:t xml:space="preserve">, f. único; </w:t>
      </w:r>
      <w:hyperlink w:anchor="AUTO_2015_163" w:history="1">
        <w:r w:rsidRPr="00981775">
          <w:rPr>
            <w:rStyle w:val="TextoNormalCaracter"/>
          </w:rPr>
          <w:t>163/2015</w:t>
        </w:r>
      </w:hyperlink>
      <w:r>
        <w:t xml:space="preserve">, f. único; </w:t>
      </w:r>
      <w:hyperlink w:anchor="AUTO_2015_174" w:history="1">
        <w:r w:rsidRPr="00981775">
          <w:rPr>
            <w:rStyle w:val="TextoNormalCaracter"/>
          </w:rPr>
          <w:t>174/2015</w:t>
        </w:r>
      </w:hyperlink>
      <w:r>
        <w:t xml:space="preserve">, f. único; </w:t>
      </w:r>
      <w:hyperlink w:anchor="AUTO_2015_177" w:history="1">
        <w:r w:rsidRPr="00981775">
          <w:rPr>
            <w:rStyle w:val="TextoNormalCaracter"/>
          </w:rPr>
          <w:t>177/2015</w:t>
        </w:r>
      </w:hyperlink>
      <w:r>
        <w:t xml:space="preserve">, f. 1; </w:t>
      </w:r>
      <w:hyperlink w:anchor="AUTO_2015_187" w:history="1">
        <w:r w:rsidRPr="00981775">
          <w:rPr>
            <w:rStyle w:val="TextoNormalCaracter"/>
          </w:rPr>
          <w:t>187/2015</w:t>
        </w:r>
      </w:hyperlink>
      <w:r>
        <w:t xml:space="preserve">, f. único; </w:t>
      </w:r>
      <w:hyperlink w:anchor="AUTO_2015_191" w:history="1">
        <w:r w:rsidRPr="00981775">
          <w:rPr>
            <w:rStyle w:val="TextoNormalCaracter"/>
          </w:rPr>
          <w:t>191/2015</w:t>
        </w:r>
      </w:hyperlink>
      <w:r>
        <w:t xml:space="preserve">, f. único; </w:t>
      </w:r>
      <w:hyperlink w:anchor="AUTO_2015_192" w:history="1">
        <w:r w:rsidRPr="00981775">
          <w:rPr>
            <w:rStyle w:val="TextoNormalCaracter"/>
          </w:rPr>
          <w:t>192/2015</w:t>
        </w:r>
      </w:hyperlink>
      <w:r>
        <w:t xml:space="preserve">, f. único; </w:t>
      </w:r>
      <w:hyperlink w:anchor="AUTO_2015_199" w:history="1">
        <w:r w:rsidRPr="00981775">
          <w:rPr>
            <w:rStyle w:val="TextoNormalCaracter"/>
          </w:rPr>
          <w:t>199/2015</w:t>
        </w:r>
      </w:hyperlink>
      <w:r>
        <w:t xml:space="preserve">, f. único; </w:t>
      </w:r>
      <w:hyperlink w:anchor="AUTO_2015_200" w:history="1">
        <w:r w:rsidRPr="00981775">
          <w:rPr>
            <w:rStyle w:val="TextoNormalCaracter"/>
          </w:rPr>
          <w:t>200/2015</w:t>
        </w:r>
      </w:hyperlink>
      <w:r>
        <w:t xml:space="preserve">, f. único; </w:t>
      </w:r>
      <w:hyperlink w:anchor="AUTO_2015_203" w:history="1">
        <w:r w:rsidRPr="00981775">
          <w:rPr>
            <w:rStyle w:val="TextoNormalCaracter"/>
          </w:rPr>
          <w:t>203/2015</w:t>
        </w:r>
      </w:hyperlink>
      <w:r>
        <w:t xml:space="preserve">, f. único; </w:t>
      </w:r>
      <w:hyperlink w:anchor="AUTO_2015_204" w:history="1">
        <w:r w:rsidRPr="00981775">
          <w:rPr>
            <w:rStyle w:val="TextoNormalCaracter"/>
          </w:rPr>
          <w:t>204/2015</w:t>
        </w:r>
      </w:hyperlink>
      <w:r>
        <w:t xml:space="preserve">, f. único; </w:t>
      </w:r>
      <w:hyperlink w:anchor="AUTO_2015_206" w:history="1">
        <w:r w:rsidRPr="00981775">
          <w:rPr>
            <w:rStyle w:val="TextoNormalCaracter"/>
          </w:rPr>
          <w:t>206/2015</w:t>
        </w:r>
      </w:hyperlink>
      <w:r>
        <w:t xml:space="preserve">, f. único; </w:t>
      </w:r>
      <w:hyperlink w:anchor="AUTO_2015_223" w:history="1">
        <w:r w:rsidRPr="00981775">
          <w:rPr>
            <w:rStyle w:val="TextoNormalCaracter"/>
          </w:rPr>
          <w:t>223/2015</w:t>
        </w:r>
      </w:hyperlink>
      <w:r>
        <w:t>, f. único.</w:t>
      </w:r>
    </w:p>
    <w:p w:rsidR="00981775" w:rsidRDefault="00981775" w:rsidP="00981775">
      <w:pPr>
        <w:pStyle w:val="SangriaFrancesaArticulo"/>
      </w:pPr>
      <w:r w:rsidRPr="00981775">
        <w:rPr>
          <w:rStyle w:val="TextoNormalNegritaCaracter"/>
        </w:rPr>
        <w:t>Artículo 81.</w:t>
      </w:r>
      <w:r w:rsidRPr="00981775">
        <w:rPr>
          <w:rStyle w:val="TextoNormalCaracter"/>
        </w:rPr>
        <w:t>-</w:t>
      </w:r>
      <w:r>
        <w:t xml:space="preserve"> Sentencia </w:t>
      </w:r>
      <w:hyperlink w:anchor="SENTENCIA_2015_230" w:history="1">
        <w:r w:rsidRPr="00981775">
          <w:rPr>
            <w:rStyle w:val="TextoNormalCaracter"/>
          </w:rPr>
          <w:t>230/2015</w:t>
        </w:r>
      </w:hyperlink>
      <w:r>
        <w:t>, f. 2.</w:t>
      </w:r>
    </w:p>
    <w:p w:rsidR="00981775" w:rsidRDefault="00981775" w:rsidP="00981775">
      <w:pPr>
        <w:pStyle w:val="SangriaFrancesaArticulo"/>
      </w:pPr>
      <w:r w:rsidRPr="00981775">
        <w:rPr>
          <w:rStyle w:val="TextoNormalNegritaCaracter"/>
        </w:rPr>
        <w:t>Artículo 82.</w:t>
      </w:r>
      <w:r w:rsidRPr="00981775">
        <w:rPr>
          <w:rStyle w:val="TextoNormalCaracter"/>
        </w:rPr>
        <w:t>-</w:t>
      </w:r>
      <w:r>
        <w:t xml:space="preserve"> Sentencia </w:t>
      </w:r>
      <w:hyperlink w:anchor="SENTENCIA_2015_230" w:history="1">
        <w:r w:rsidRPr="00981775">
          <w:rPr>
            <w:rStyle w:val="TextoNormalCaracter"/>
          </w:rPr>
          <w:t>230/2015</w:t>
        </w:r>
      </w:hyperlink>
      <w:r>
        <w:t>, f. 2.</w:t>
      </w:r>
    </w:p>
    <w:p w:rsidR="00981775" w:rsidRDefault="00981775" w:rsidP="00981775">
      <w:pPr>
        <w:pStyle w:val="SangriaFrancesaArticulo"/>
      </w:pPr>
      <w:r w:rsidRPr="00981775">
        <w:rPr>
          <w:rStyle w:val="TextoNormalNegritaCaracter"/>
        </w:rPr>
        <w:t>Artículo 82.1.</w:t>
      </w:r>
      <w:r w:rsidRPr="00981775">
        <w:rPr>
          <w:rStyle w:val="TextoNormalCaracter"/>
        </w:rPr>
        <w:t>-</w:t>
      </w:r>
      <w:r>
        <w:t xml:space="preserve"> Sentencia </w:t>
      </w:r>
      <w:hyperlink w:anchor="SENTENCIA_2015_236" w:history="1">
        <w:r w:rsidRPr="00981775">
          <w:rPr>
            <w:rStyle w:val="TextoNormalCaracter"/>
          </w:rPr>
          <w:t>236/2015</w:t>
        </w:r>
      </w:hyperlink>
      <w:r>
        <w:t>, f. 2.</w:t>
      </w:r>
    </w:p>
    <w:p w:rsidR="00981775" w:rsidRDefault="00981775" w:rsidP="00981775">
      <w:pPr>
        <w:pStyle w:val="SangriaFrancesaArticulo"/>
      </w:pPr>
      <w:r w:rsidRPr="00981775">
        <w:rPr>
          <w:rStyle w:val="TextoNormalNegritaCaracter"/>
        </w:rPr>
        <w:t>Artículo 85.</w:t>
      </w:r>
      <w:r w:rsidRPr="00981775">
        <w:rPr>
          <w:rStyle w:val="TextoNormalCaracter"/>
        </w:rPr>
        <w:t>-</w:t>
      </w:r>
      <w:r>
        <w:t xml:space="preserve"> Sentencia </w:t>
      </w:r>
      <w:hyperlink w:anchor="SENTENCIA_2015_197" w:history="1">
        <w:r w:rsidRPr="00981775">
          <w:rPr>
            <w:rStyle w:val="TextoNormalCaracter"/>
          </w:rPr>
          <w:t>197/2015</w:t>
        </w:r>
      </w:hyperlink>
      <w:r>
        <w:t>, f. 2.</w:t>
      </w:r>
    </w:p>
    <w:p w:rsidR="00981775" w:rsidRDefault="00981775" w:rsidP="00981775">
      <w:pPr>
        <w:pStyle w:val="SangriaFrancesaArticulo"/>
      </w:pPr>
      <w:r w:rsidRPr="00981775">
        <w:rPr>
          <w:rStyle w:val="TextoNormalNegritaCaracter"/>
        </w:rPr>
        <w:t>Artículo 85.1.</w:t>
      </w:r>
      <w:r w:rsidRPr="00981775">
        <w:rPr>
          <w:rStyle w:val="TextoNormalCaracter"/>
        </w:rPr>
        <w:t>-</w:t>
      </w:r>
      <w:r>
        <w:t xml:space="preserve"> Sentencia </w:t>
      </w:r>
      <w:hyperlink w:anchor="SENTENCIA_2015_236" w:history="1">
        <w:r w:rsidRPr="00981775">
          <w:rPr>
            <w:rStyle w:val="TextoNormalCaracter"/>
          </w:rPr>
          <w:t>236/2015</w:t>
        </w:r>
      </w:hyperlink>
      <w:r>
        <w:t>, f. 2.</w:t>
      </w:r>
    </w:p>
    <w:p w:rsidR="00981775" w:rsidRDefault="00981775" w:rsidP="00981775">
      <w:pPr>
        <w:pStyle w:val="SangriaFrancesaArticulo"/>
      </w:pPr>
      <w:r w:rsidRPr="00981775">
        <w:rPr>
          <w:rStyle w:val="TextoNormalNegritaCaracter"/>
        </w:rPr>
        <w:t>Artículo 85.2.</w:t>
      </w:r>
      <w:r w:rsidRPr="00981775">
        <w:rPr>
          <w:rStyle w:val="TextoNormalCaracter"/>
        </w:rPr>
        <w:t>-</w:t>
      </w:r>
      <w:r>
        <w:t xml:space="preserve"> Sentencia </w:t>
      </w:r>
      <w:hyperlink w:anchor="SENTENCIA_2015_183" w:history="1">
        <w:r w:rsidRPr="00981775">
          <w:rPr>
            <w:rStyle w:val="TextoNormalCaracter"/>
          </w:rPr>
          <w:t>183/2015</w:t>
        </w:r>
      </w:hyperlink>
      <w:r>
        <w:t>, f. 2.</w:t>
      </w:r>
    </w:p>
    <w:p w:rsidR="00981775" w:rsidRDefault="00981775" w:rsidP="00981775">
      <w:pPr>
        <w:pStyle w:val="SangriaFrancesaArticulo"/>
      </w:pPr>
      <w:r w:rsidRPr="00981775">
        <w:rPr>
          <w:rStyle w:val="TextoNormalNegritaCaracter"/>
        </w:rPr>
        <w:t>Artículo 86.</w:t>
      </w:r>
      <w:r w:rsidRPr="00981775">
        <w:rPr>
          <w:rStyle w:val="TextoNormalCaracter"/>
        </w:rPr>
        <w:t>-</w:t>
      </w:r>
      <w:r>
        <w:t xml:space="preserve"> Autos </w:t>
      </w:r>
      <w:hyperlink w:anchor="AUTO_2015_125" w:history="1">
        <w:r w:rsidRPr="00981775">
          <w:rPr>
            <w:rStyle w:val="TextoNormalCaracter"/>
          </w:rPr>
          <w:t>125/2015</w:t>
        </w:r>
      </w:hyperlink>
      <w:r>
        <w:t xml:space="preserve">, f. único; </w:t>
      </w:r>
      <w:hyperlink w:anchor="AUTO_2015_157" w:history="1">
        <w:r w:rsidRPr="00981775">
          <w:rPr>
            <w:rStyle w:val="TextoNormalCaracter"/>
          </w:rPr>
          <w:t>157/2015</w:t>
        </w:r>
      </w:hyperlink>
      <w:r>
        <w:t xml:space="preserve">, Único; </w:t>
      </w:r>
      <w:hyperlink w:anchor="AUTO_2015_158" w:history="1">
        <w:r w:rsidRPr="00981775">
          <w:rPr>
            <w:rStyle w:val="TextoNormalCaracter"/>
          </w:rPr>
          <w:t>158/2015</w:t>
        </w:r>
      </w:hyperlink>
      <w:r>
        <w:t xml:space="preserve">, Único; </w:t>
      </w:r>
      <w:hyperlink w:anchor="AUTO_2015_169" w:history="1">
        <w:r w:rsidRPr="00981775">
          <w:rPr>
            <w:rStyle w:val="TextoNormalCaracter"/>
          </w:rPr>
          <w:t>169/2015</w:t>
        </w:r>
      </w:hyperlink>
      <w:r>
        <w:t xml:space="preserve">, f. único; </w:t>
      </w:r>
      <w:hyperlink w:anchor="AUTO_2015_174" w:history="1">
        <w:r w:rsidRPr="00981775">
          <w:rPr>
            <w:rStyle w:val="TextoNormalCaracter"/>
          </w:rPr>
          <w:t>174/2015</w:t>
        </w:r>
      </w:hyperlink>
      <w:r>
        <w:t xml:space="preserve">, f. único; </w:t>
      </w:r>
      <w:hyperlink w:anchor="AUTO_2015_191" w:history="1">
        <w:r w:rsidRPr="00981775">
          <w:rPr>
            <w:rStyle w:val="TextoNormalCaracter"/>
          </w:rPr>
          <w:t>191/2015</w:t>
        </w:r>
      </w:hyperlink>
      <w:r>
        <w:t xml:space="preserve">, f. único; </w:t>
      </w:r>
      <w:hyperlink w:anchor="AUTO_2015_192" w:history="1">
        <w:r w:rsidRPr="00981775">
          <w:rPr>
            <w:rStyle w:val="TextoNormalCaracter"/>
          </w:rPr>
          <w:t>192/2015</w:t>
        </w:r>
      </w:hyperlink>
      <w:r>
        <w:t xml:space="preserve">, f. único; </w:t>
      </w:r>
      <w:hyperlink w:anchor="AUTO_2015_223" w:history="1">
        <w:r w:rsidRPr="00981775">
          <w:rPr>
            <w:rStyle w:val="TextoNormalCaracter"/>
          </w:rPr>
          <w:t>223/2015</w:t>
        </w:r>
      </w:hyperlink>
      <w:r>
        <w:t>, f. único.</w:t>
      </w:r>
    </w:p>
    <w:p w:rsidR="00981775" w:rsidRDefault="00981775" w:rsidP="00981775">
      <w:pPr>
        <w:pStyle w:val="SangriaFrancesaArticulo"/>
      </w:pPr>
      <w:r w:rsidRPr="00981775">
        <w:rPr>
          <w:rStyle w:val="TextoNormalNegritaCaracter"/>
        </w:rPr>
        <w:t>Artículo 86.1.</w:t>
      </w:r>
      <w:r w:rsidRPr="00981775">
        <w:rPr>
          <w:rStyle w:val="TextoNormalCaracter"/>
        </w:rPr>
        <w:t>-</w:t>
      </w:r>
      <w:r>
        <w:t xml:space="preserve"> Autos </w:t>
      </w:r>
      <w:hyperlink w:anchor="AUTO_2015_123" w:history="1">
        <w:r w:rsidRPr="00981775">
          <w:rPr>
            <w:rStyle w:val="TextoNormalCaracter"/>
          </w:rPr>
          <w:t>123/2015</w:t>
        </w:r>
      </w:hyperlink>
      <w:r>
        <w:t xml:space="preserve">, f. único; </w:t>
      </w:r>
      <w:hyperlink w:anchor="AUTO_2015_124" w:history="1">
        <w:r w:rsidRPr="00981775">
          <w:rPr>
            <w:rStyle w:val="TextoNormalCaracter"/>
          </w:rPr>
          <w:t>124/2015</w:t>
        </w:r>
      </w:hyperlink>
      <w:r>
        <w:t xml:space="preserve">, ff. 1, 2; </w:t>
      </w:r>
      <w:hyperlink w:anchor="AUTO_2015_141" w:history="1">
        <w:r w:rsidRPr="00981775">
          <w:rPr>
            <w:rStyle w:val="TextoNormalCaracter"/>
          </w:rPr>
          <w:t>141/2015</w:t>
        </w:r>
      </w:hyperlink>
      <w:r>
        <w:t xml:space="preserve">, f. 2; </w:t>
      </w:r>
      <w:hyperlink w:anchor="AUTO_2015_144" w:history="1">
        <w:r w:rsidRPr="00981775">
          <w:rPr>
            <w:rStyle w:val="TextoNormalCaracter"/>
          </w:rPr>
          <w:t>144/2015</w:t>
        </w:r>
      </w:hyperlink>
      <w:r>
        <w:t xml:space="preserve">, ff. 1, 2; </w:t>
      </w:r>
      <w:hyperlink w:anchor="AUTO_2015_147" w:history="1">
        <w:r w:rsidRPr="00981775">
          <w:rPr>
            <w:rStyle w:val="TextoNormalCaracter"/>
          </w:rPr>
          <w:t>147/2015</w:t>
        </w:r>
      </w:hyperlink>
      <w:r>
        <w:t xml:space="preserve">, Único; </w:t>
      </w:r>
      <w:hyperlink w:anchor="AUTO_2015_150" w:history="1">
        <w:r w:rsidRPr="00981775">
          <w:rPr>
            <w:rStyle w:val="TextoNormalCaracter"/>
          </w:rPr>
          <w:t>150/2015</w:t>
        </w:r>
      </w:hyperlink>
      <w:r>
        <w:t xml:space="preserve">, Único; </w:t>
      </w:r>
      <w:hyperlink w:anchor="AUTO_2015_151" w:history="1">
        <w:r w:rsidRPr="00981775">
          <w:rPr>
            <w:rStyle w:val="TextoNormalCaracter"/>
          </w:rPr>
          <w:t>151/2015</w:t>
        </w:r>
      </w:hyperlink>
      <w:r>
        <w:t xml:space="preserve">, Único; </w:t>
      </w:r>
      <w:hyperlink w:anchor="AUTO_2015_152" w:history="1">
        <w:r w:rsidRPr="00981775">
          <w:rPr>
            <w:rStyle w:val="TextoNormalCaracter"/>
          </w:rPr>
          <w:t>152/2015</w:t>
        </w:r>
      </w:hyperlink>
      <w:r>
        <w:t xml:space="preserve">, Único; </w:t>
      </w:r>
      <w:hyperlink w:anchor="AUTO_2015_153" w:history="1">
        <w:r w:rsidRPr="00981775">
          <w:rPr>
            <w:rStyle w:val="TextoNormalCaracter"/>
          </w:rPr>
          <w:t>153/2015</w:t>
        </w:r>
      </w:hyperlink>
      <w:r>
        <w:t xml:space="preserve">, Único; </w:t>
      </w:r>
      <w:hyperlink w:anchor="AUTO_2015_156" w:history="1">
        <w:r w:rsidRPr="00981775">
          <w:rPr>
            <w:rStyle w:val="TextoNormalCaracter"/>
          </w:rPr>
          <w:t>156/2015</w:t>
        </w:r>
      </w:hyperlink>
      <w:r>
        <w:t xml:space="preserve">, Único; </w:t>
      </w:r>
      <w:hyperlink w:anchor="AUTO_2015_161" w:history="1">
        <w:r w:rsidRPr="00981775">
          <w:rPr>
            <w:rStyle w:val="TextoNormalCaracter"/>
          </w:rPr>
          <w:t>161/2015</w:t>
        </w:r>
      </w:hyperlink>
      <w:r>
        <w:t xml:space="preserve">, f. único; </w:t>
      </w:r>
      <w:hyperlink w:anchor="AUTO_2015_162" w:history="1">
        <w:r w:rsidRPr="00981775">
          <w:rPr>
            <w:rStyle w:val="TextoNormalCaracter"/>
          </w:rPr>
          <w:t>162/2015</w:t>
        </w:r>
      </w:hyperlink>
      <w:r>
        <w:t xml:space="preserve">, f. único; </w:t>
      </w:r>
      <w:hyperlink w:anchor="AUTO_2015_163" w:history="1">
        <w:r w:rsidRPr="00981775">
          <w:rPr>
            <w:rStyle w:val="TextoNormalCaracter"/>
          </w:rPr>
          <w:t>163/2015</w:t>
        </w:r>
      </w:hyperlink>
      <w:r>
        <w:t xml:space="preserve">, f. único; </w:t>
      </w:r>
      <w:hyperlink w:anchor="AUTO_2015_172" w:history="1">
        <w:r w:rsidRPr="00981775">
          <w:rPr>
            <w:rStyle w:val="TextoNormalCaracter"/>
          </w:rPr>
          <w:t>172/2015</w:t>
        </w:r>
      </w:hyperlink>
      <w:r>
        <w:t xml:space="preserve">, f. 2; </w:t>
      </w:r>
      <w:hyperlink w:anchor="AUTO_2015_187" w:history="1">
        <w:r w:rsidRPr="00981775">
          <w:rPr>
            <w:rStyle w:val="TextoNormalCaracter"/>
          </w:rPr>
          <w:t>187/2015</w:t>
        </w:r>
      </w:hyperlink>
      <w:r>
        <w:t xml:space="preserve">, f. único; </w:t>
      </w:r>
      <w:hyperlink w:anchor="AUTO_2015_199" w:history="1">
        <w:r w:rsidRPr="00981775">
          <w:rPr>
            <w:rStyle w:val="TextoNormalCaracter"/>
          </w:rPr>
          <w:t>199/2015</w:t>
        </w:r>
      </w:hyperlink>
      <w:r>
        <w:t xml:space="preserve">, f. único; </w:t>
      </w:r>
      <w:hyperlink w:anchor="AUTO_2015_200" w:history="1">
        <w:r w:rsidRPr="00981775">
          <w:rPr>
            <w:rStyle w:val="TextoNormalCaracter"/>
          </w:rPr>
          <w:t>200/2015</w:t>
        </w:r>
      </w:hyperlink>
      <w:r>
        <w:t xml:space="preserve">, f. único; </w:t>
      </w:r>
      <w:hyperlink w:anchor="AUTO_2015_203" w:history="1">
        <w:r w:rsidRPr="00981775">
          <w:rPr>
            <w:rStyle w:val="TextoNormalCaracter"/>
          </w:rPr>
          <w:t>203/2015</w:t>
        </w:r>
      </w:hyperlink>
      <w:r>
        <w:t xml:space="preserve">, f. único; </w:t>
      </w:r>
      <w:hyperlink w:anchor="AUTO_2015_204" w:history="1">
        <w:r w:rsidRPr="00981775">
          <w:rPr>
            <w:rStyle w:val="TextoNormalCaracter"/>
          </w:rPr>
          <w:t>204/2015</w:t>
        </w:r>
      </w:hyperlink>
      <w:r>
        <w:t xml:space="preserve">, f. único; </w:t>
      </w:r>
      <w:hyperlink w:anchor="AUTO_2015_206" w:history="1">
        <w:r w:rsidRPr="00981775">
          <w:rPr>
            <w:rStyle w:val="TextoNormalCaracter"/>
          </w:rPr>
          <w:t>206/2015</w:t>
        </w:r>
      </w:hyperlink>
      <w:r>
        <w:t>, f. único.</w:t>
      </w:r>
    </w:p>
    <w:p w:rsidR="00981775" w:rsidRDefault="00981775" w:rsidP="00981775">
      <w:pPr>
        <w:pStyle w:val="SangriaFrancesaArticulo"/>
      </w:pPr>
      <w:r w:rsidRPr="00981775">
        <w:rPr>
          <w:rStyle w:val="TextoNormalNegritaCaracter"/>
        </w:rPr>
        <w:t>Artículo 86.1</w:t>
      </w:r>
      <w:r>
        <w:t xml:space="preserve"> (redactado por la Ley Orgánica 6/1988, de 9 de junio)</w:t>
      </w:r>
      <w:r w:rsidRPr="00981775">
        <w:rPr>
          <w:rStyle w:val="TextoNormalNegritaCaracter"/>
        </w:rPr>
        <w:t>.</w:t>
      </w:r>
      <w:r w:rsidRPr="00981775">
        <w:rPr>
          <w:rStyle w:val="TextoNormalCaracter"/>
        </w:rPr>
        <w:t>-</w:t>
      </w:r>
      <w:r>
        <w:t xml:space="preserve"> Auto </w:t>
      </w:r>
      <w:hyperlink w:anchor="AUTO_2015_225" w:history="1">
        <w:r w:rsidRPr="00981775">
          <w:rPr>
            <w:rStyle w:val="TextoNormalCaracter"/>
          </w:rPr>
          <w:t>225/2015</w:t>
        </w:r>
      </w:hyperlink>
      <w:r>
        <w:t>, f. 2.</w:t>
      </w:r>
    </w:p>
    <w:p w:rsidR="00981775" w:rsidRDefault="00981775" w:rsidP="00981775">
      <w:pPr>
        <w:pStyle w:val="SangriaFrancesaArticulo"/>
      </w:pPr>
      <w:r w:rsidRPr="00981775">
        <w:rPr>
          <w:rStyle w:val="TextoNormalNegritaCaracter"/>
        </w:rPr>
        <w:t>Artículo 88.1.</w:t>
      </w:r>
      <w:r w:rsidRPr="00981775">
        <w:rPr>
          <w:rStyle w:val="TextoNormalCaracter"/>
        </w:rPr>
        <w:t>-</w:t>
      </w:r>
      <w:r>
        <w:t xml:space="preserve"> Sentencias </w:t>
      </w:r>
      <w:hyperlink w:anchor="SENTENCIA_2015_161" w:history="1">
        <w:r w:rsidRPr="00981775">
          <w:rPr>
            <w:rStyle w:val="TextoNormalCaracter"/>
          </w:rPr>
          <w:t>161/2015</w:t>
        </w:r>
      </w:hyperlink>
      <w:r>
        <w:t xml:space="preserve">, f. 3; </w:t>
      </w:r>
      <w:hyperlink w:anchor="SENTENCIA_2015_162" w:history="1">
        <w:r w:rsidRPr="00981775">
          <w:rPr>
            <w:rStyle w:val="TextoNormalCaracter"/>
          </w:rPr>
          <w:t>162/2015</w:t>
        </w:r>
      </w:hyperlink>
      <w:r>
        <w:t xml:space="preserve">, f. 3; </w:t>
      </w:r>
      <w:hyperlink w:anchor="SENTENCIA_2015_163" w:history="1">
        <w:r w:rsidRPr="00981775">
          <w:rPr>
            <w:rStyle w:val="TextoNormalCaracter"/>
          </w:rPr>
          <w:t>163/2015</w:t>
        </w:r>
      </w:hyperlink>
      <w:r>
        <w:t xml:space="preserve">, f. 3; </w:t>
      </w:r>
      <w:hyperlink w:anchor="SENTENCIA_2015_164" w:history="1">
        <w:r w:rsidRPr="00981775">
          <w:rPr>
            <w:rStyle w:val="TextoNormalCaracter"/>
          </w:rPr>
          <w:t>164/2015</w:t>
        </w:r>
      </w:hyperlink>
      <w:r>
        <w:t xml:space="preserve">, f. 3; </w:t>
      </w:r>
      <w:hyperlink w:anchor="SENTENCIA_2015_165" w:history="1">
        <w:r w:rsidRPr="00981775">
          <w:rPr>
            <w:rStyle w:val="TextoNormalCaracter"/>
          </w:rPr>
          <w:t>165/2015</w:t>
        </w:r>
      </w:hyperlink>
      <w:r>
        <w:t xml:space="preserve">, f. 3; </w:t>
      </w:r>
      <w:hyperlink w:anchor="SENTENCIA_2015_166" w:history="1">
        <w:r w:rsidRPr="00981775">
          <w:rPr>
            <w:rStyle w:val="TextoNormalCaracter"/>
          </w:rPr>
          <w:t>166/2015</w:t>
        </w:r>
      </w:hyperlink>
      <w:r>
        <w:t xml:space="preserve">, f. 3; </w:t>
      </w:r>
      <w:hyperlink w:anchor="SENTENCIA_2015_170" w:history="1">
        <w:r w:rsidRPr="00981775">
          <w:rPr>
            <w:rStyle w:val="TextoNormalCaracter"/>
          </w:rPr>
          <w:t>170/2015</w:t>
        </w:r>
      </w:hyperlink>
      <w:r>
        <w:t xml:space="preserve">, f. 3; </w:t>
      </w:r>
      <w:hyperlink w:anchor="SENTENCIA_2015_173" w:history="1">
        <w:r w:rsidRPr="00981775">
          <w:rPr>
            <w:rStyle w:val="TextoNormalCaracter"/>
          </w:rPr>
          <w:t>173/2015</w:t>
        </w:r>
      </w:hyperlink>
      <w:r>
        <w:t xml:space="preserve">, f. 3; </w:t>
      </w:r>
      <w:hyperlink w:anchor="SENTENCIA_2015_174" w:history="1">
        <w:r w:rsidRPr="00981775">
          <w:rPr>
            <w:rStyle w:val="TextoNormalCaracter"/>
          </w:rPr>
          <w:t>174/2015</w:t>
        </w:r>
      </w:hyperlink>
      <w:r>
        <w:t xml:space="preserve">, f. 3; </w:t>
      </w:r>
      <w:hyperlink w:anchor="SENTENCIA_2015_188" w:history="1">
        <w:r w:rsidRPr="00981775">
          <w:rPr>
            <w:rStyle w:val="TextoNormalCaracter"/>
          </w:rPr>
          <w:t>188/2015</w:t>
        </w:r>
      </w:hyperlink>
      <w:r>
        <w:t xml:space="preserve">, f. 3; </w:t>
      </w:r>
      <w:hyperlink w:anchor="SENTENCIA_2015_189" w:history="1">
        <w:r w:rsidRPr="00981775">
          <w:rPr>
            <w:rStyle w:val="TextoNormalCaracter"/>
          </w:rPr>
          <w:t>189/2015</w:t>
        </w:r>
      </w:hyperlink>
      <w:r>
        <w:t xml:space="preserve">, f. 3; </w:t>
      </w:r>
      <w:hyperlink w:anchor="SENTENCIA_2015_190" w:history="1">
        <w:r w:rsidRPr="00981775">
          <w:rPr>
            <w:rStyle w:val="TextoNormalCaracter"/>
          </w:rPr>
          <w:t>190/2015</w:t>
        </w:r>
      </w:hyperlink>
      <w:r>
        <w:t xml:space="preserve">, f. 3; </w:t>
      </w:r>
      <w:hyperlink w:anchor="SENTENCIA_2015_191" w:history="1">
        <w:r w:rsidRPr="00981775">
          <w:rPr>
            <w:rStyle w:val="TextoNormalCaracter"/>
          </w:rPr>
          <w:t>191/2015</w:t>
        </w:r>
      </w:hyperlink>
      <w:r>
        <w:t xml:space="preserve">, f. 3; </w:t>
      </w:r>
      <w:hyperlink w:anchor="SENTENCIA_2015_205" w:history="1">
        <w:r w:rsidRPr="00981775">
          <w:rPr>
            <w:rStyle w:val="TextoNormalCaracter"/>
          </w:rPr>
          <w:t>205/2015</w:t>
        </w:r>
      </w:hyperlink>
      <w:r>
        <w:t xml:space="preserve">, f. 3; </w:t>
      </w:r>
      <w:hyperlink w:anchor="SENTENCIA_2015_225" w:history="1">
        <w:r w:rsidRPr="00981775">
          <w:rPr>
            <w:rStyle w:val="TextoNormalCaracter"/>
          </w:rPr>
          <w:t>225/2015</w:t>
        </w:r>
      </w:hyperlink>
      <w:r>
        <w:t xml:space="preserve">, f. 3; </w:t>
      </w:r>
      <w:hyperlink w:anchor="SENTENCIA_2015_227" w:history="1">
        <w:r w:rsidRPr="00981775">
          <w:rPr>
            <w:rStyle w:val="TextoNormalCaracter"/>
          </w:rPr>
          <w:t>227/2015</w:t>
        </w:r>
      </w:hyperlink>
      <w:r>
        <w:t xml:space="preserve">, f. 3; </w:t>
      </w:r>
      <w:hyperlink w:anchor="SENTENCIA_2015_228" w:history="1">
        <w:r w:rsidRPr="00981775">
          <w:rPr>
            <w:rStyle w:val="TextoNormalCaracter"/>
          </w:rPr>
          <w:t>228/2015</w:t>
        </w:r>
      </w:hyperlink>
      <w:r>
        <w:t xml:space="preserve">, f. 3; </w:t>
      </w:r>
      <w:hyperlink w:anchor="SENTENCIA_2015_243" w:history="1">
        <w:r w:rsidRPr="00981775">
          <w:rPr>
            <w:rStyle w:val="TextoNormalCaracter"/>
          </w:rPr>
          <w:t>243/2015</w:t>
        </w:r>
      </w:hyperlink>
      <w:r>
        <w:t xml:space="preserve">, f. 6; </w:t>
      </w:r>
      <w:hyperlink w:anchor="SENTENCIA_2015_264" w:history="1">
        <w:r w:rsidRPr="00981775">
          <w:rPr>
            <w:rStyle w:val="TextoNormalCaracter"/>
          </w:rPr>
          <w:t>264/2015</w:t>
        </w:r>
      </w:hyperlink>
      <w:r>
        <w:t>, f. 3.</w:t>
      </w:r>
    </w:p>
    <w:p w:rsidR="00981775" w:rsidRDefault="00981775" w:rsidP="00981775">
      <w:pPr>
        <w:pStyle w:val="SangriaIzquierdaArticulo"/>
      </w:pPr>
      <w:r>
        <w:t xml:space="preserve">Auto </w:t>
      </w:r>
      <w:hyperlink w:anchor="AUTO_2015_225" w:history="1">
        <w:r w:rsidRPr="00981775">
          <w:rPr>
            <w:rStyle w:val="TextoNormalCaracter"/>
          </w:rPr>
          <w:t>225/2015</w:t>
        </w:r>
      </w:hyperlink>
      <w:r>
        <w:t>, f. 3.</w:t>
      </w:r>
    </w:p>
    <w:p w:rsidR="00981775" w:rsidRDefault="00981775" w:rsidP="00981775">
      <w:pPr>
        <w:pStyle w:val="SangriaFrancesaArticulo"/>
      </w:pPr>
      <w:r w:rsidRPr="00981775">
        <w:rPr>
          <w:rStyle w:val="TextoNormalNegritaCaracter"/>
        </w:rPr>
        <w:t>Artículo 90.2.</w:t>
      </w:r>
      <w:r w:rsidRPr="00981775">
        <w:rPr>
          <w:rStyle w:val="TextoNormalCaracter"/>
        </w:rPr>
        <w:t>-</w:t>
      </w:r>
      <w:r>
        <w:t xml:space="preserve"> Sentencias </w:t>
      </w:r>
      <w:hyperlink w:anchor="SENTENCIA_2015_150" w:history="1">
        <w:r w:rsidRPr="00981775">
          <w:rPr>
            <w:rStyle w:val="TextoNormalCaracter"/>
          </w:rPr>
          <w:t>150/2015</w:t>
        </w:r>
      </w:hyperlink>
      <w:r>
        <w:t xml:space="preserve">, VP; </w:t>
      </w:r>
      <w:hyperlink w:anchor="SENTENCIA_2015_155" w:history="1">
        <w:r w:rsidRPr="00981775">
          <w:rPr>
            <w:rStyle w:val="TextoNormalCaracter"/>
          </w:rPr>
          <w:t>155/2015</w:t>
        </w:r>
      </w:hyperlink>
      <w:r>
        <w:t xml:space="preserve">, VP I; </w:t>
      </w:r>
      <w:hyperlink w:anchor="SENTENCIA_2015_176" w:history="1">
        <w:r w:rsidRPr="00981775">
          <w:rPr>
            <w:rStyle w:val="TextoNormalCaracter"/>
          </w:rPr>
          <w:t>176/2015</w:t>
        </w:r>
      </w:hyperlink>
      <w:r>
        <w:t xml:space="preserve">, VP; </w:t>
      </w:r>
      <w:hyperlink w:anchor="SENTENCIA_2015_178" w:history="1">
        <w:r w:rsidRPr="00981775">
          <w:rPr>
            <w:rStyle w:val="TextoNormalCaracter"/>
          </w:rPr>
          <w:t>178/2015</w:t>
        </w:r>
      </w:hyperlink>
      <w:r>
        <w:t xml:space="preserve">, VP I, VP II; </w:t>
      </w:r>
      <w:hyperlink w:anchor="SENTENCIA_2015_197" w:history="1">
        <w:r w:rsidRPr="00981775">
          <w:rPr>
            <w:rStyle w:val="TextoNormalCaracter"/>
          </w:rPr>
          <w:t>197/2015</w:t>
        </w:r>
      </w:hyperlink>
      <w:r>
        <w:t xml:space="preserve">, VP I; </w:t>
      </w:r>
      <w:hyperlink w:anchor="SENTENCIA_2015_198" w:history="1">
        <w:r w:rsidRPr="00981775">
          <w:rPr>
            <w:rStyle w:val="TextoNormalCaracter"/>
          </w:rPr>
          <w:t>198/2015</w:t>
        </w:r>
      </w:hyperlink>
      <w:r>
        <w:t xml:space="preserve">, VP I; </w:t>
      </w:r>
      <w:hyperlink w:anchor="SENTENCIA_2015_218" w:history="1">
        <w:r w:rsidRPr="00981775">
          <w:rPr>
            <w:rStyle w:val="TextoNormalCaracter"/>
          </w:rPr>
          <w:t>218/2015</w:t>
        </w:r>
      </w:hyperlink>
      <w:r>
        <w:t xml:space="preserve">, VP I, VP II, VP IV; </w:t>
      </w:r>
      <w:hyperlink w:anchor="SENTENCIA_2015_236" w:history="1">
        <w:r w:rsidRPr="00981775">
          <w:rPr>
            <w:rStyle w:val="TextoNormalCaracter"/>
          </w:rPr>
          <w:t>236/2015</w:t>
        </w:r>
      </w:hyperlink>
      <w:r>
        <w:t>, VP.</w:t>
      </w:r>
    </w:p>
    <w:p w:rsidR="00981775" w:rsidRDefault="00981775" w:rsidP="00981775">
      <w:pPr>
        <w:pStyle w:val="SangriaFrancesaArticulo"/>
      </w:pPr>
      <w:r w:rsidRPr="00981775">
        <w:rPr>
          <w:rStyle w:val="TextoNormalNegritaCaracter"/>
        </w:rPr>
        <w:t>Artículo 90.2</w:t>
      </w:r>
      <w:r>
        <w:t xml:space="preserve"> (redactado por la Ley Orgánica 6/2007, de 24 de mayo)</w:t>
      </w:r>
      <w:r w:rsidRPr="00981775">
        <w:rPr>
          <w:rStyle w:val="TextoNormalNegritaCaracter"/>
        </w:rPr>
        <w:t>.</w:t>
      </w:r>
      <w:r w:rsidRPr="00981775">
        <w:rPr>
          <w:rStyle w:val="TextoNormalCaracter"/>
        </w:rPr>
        <w:t>-</w:t>
      </w:r>
      <w:r>
        <w:t xml:space="preserve"> Sentencias </w:t>
      </w:r>
      <w:hyperlink w:anchor="SENTENCIA_2015_177" w:history="1">
        <w:r w:rsidRPr="00981775">
          <w:rPr>
            <w:rStyle w:val="TextoNormalCaracter"/>
          </w:rPr>
          <w:t>177/2015</w:t>
        </w:r>
      </w:hyperlink>
      <w:r>
        <w:t xml:space="preserve">, VP I, VP III; </w:t>
      </w:r>
      <w:hyperlink w:anchor="SENTENCIA_2015_185" w:history="1">
        <w:r w:rsidRPr="00981775">
          <w:rPr>
            <w:rStyle w:val="TextoNormalCaracter"/>
          </w:rPr>
          <w:t>185/2015</w:t>
        </w:r>
      </w:hyperlink>
      <w:r>
        <w:t>, VP.</w:t>
      </w:r>
    </w:p>
    <w:p w:rsidR="00981775" w:rsidRDefault="00981775" w:rsidP="00981775">
      <w:pPr>
        <w:pStyle w:val="SangriaFrancesaArticulo"/>
      </w:pPr>
      <w:r w:rsidRPr="00981775">
        <w:rPr>
          <w:rStyle w:val="TextoNormalNegritaCaracter"/>
        </w:rPr>
        <w:t>Artículo 92.</w:t>
      </w:r>
      <w:r w:rsidRPr="00981775">
        <w:rPr>
          <w:rStyle w:val="TextoNormalCaracter"/>
        </w:rPr>
        <w:t>-</w:t>
      </w:r>
      <w:r>
        <w:t xml:space="preserve"> Auto </w:t>
      </w:r>
      <w:hyperlink w:anchor="AUTO_2015_197" w:history="1">
        <w:r w:rsidRPr="00981775">
          <w:rPr>
            <w:rStyle w:val="TextoNormalCaracter"/>
          </w:rPr>
          <w:t>197/2015</w:t>
        </w:r>
      </w:hyperlink>
      <w:r>
        <w:t>, f. único.</w:t>
      </w:r>
    </w:p>
    <w:p w:rsidR="00981775" w:rsidRDefault="00981775" w:rsidP="00981775">
      <w:pPr>
        <w:pStyle w:val="SangriaFrancesaArticulo"/>
      </w:pPr>
      <w:r w:rsidRPr="00981775">
        <w:rPr>
          <w:rStyle w:val="TextoNormalNegritaCaracter"/>
        </w:rPr>
        <w:t>Artículo 92</w:t>
      </w:r>
      <w:r>
        <w:t xml:space="preserve"> (redactado por la Ley Orgánica 6/2007, de 24 de mayo)</w:t>
      </w:r>
      <w:r w:rsidRPr="00981775">
        <w:rPr>
          <w:rStyle w:val="TextoNormalNegritaCaracter"/>
        </w:rPr>
        <w:t>.</w:t>
      </w:r>
      <w:r w:rsidRPr="00981775">
        <w:rPr>
          <w:rStyle w:val="TextoNormalCaracter"/>
        </w:rPr>
        <w:t>-</w:t>
      </w:r>
      <w:r>
        <w:t xml:space="preserve"> Auto </w:t>
      </w:r>
      <w:hyperlink w:anchor="AUTO_2015_120" w:history="1">
        <w:r w:rsidRPr="00981775">
          <w:rPr>
            <w:rStyle w:val="TextoNormalCaracter"/>
          </w:rPr>
          <w:t>120/2015</w:t>
        </w:r>
      </w:hyperlink>
      <w:r>
        <w:t>, f. 1.</w:t>
      </w:r>
    </w:p>
    <w:p w:rsidR="00981775" w:rsidRDefault="00981775" w:rsidP="00981775">
      <w:pPr>
        <w:pStyle w:val="SangriaFrancesaArticulo"/>
      </w:pPr>
      <w:r w:rsidRPr="00981775">
        <w:rPr>
          <w:rStyle w:val="TextoNormalNegritaCaracter"/>
        </w:rPr>
        <w:t>Artículo 93.1.</w:t>
      </w:r>
      <w:r w:rsidRPr="00981775">
        <w:rPr>
          <w:rStyle w:val="TextoNormalCaracter"/>
        </w:rPr>
        <w:t>-</w:t>
      </w:r>
      <w:r>
        <w:t xml:space="preserve"> Autos </w:t>
      </w:r>
      <w:hyperlink w:anchor="AUTO_2015_177" w:history="1">
        <w:r w:rsidRPr="00981775">
          <w:rPr>
            <w:rStyle w:val="TextoNormalCaracter"/>
          </w:rPr>
          <w:t>177/2015</w:t>
        </w:r>
      </w:hyperlink>
      <w:r>
        <w:t xml:space="preserve">, f. 1; </w:t>
      </w:r>
      <w:hyperlink w:anchor="AUTO_2015_198" w:history="1">
        <w:r w:rsidRPr="00981775">
          <w:rPr>
            <w:rStyle w:val="TextoNormalCaracter"/>
          </w:rPr>
          <w:t>198/2015</w:t>
        </w:r>
      </w:hyperlink>
      <w:r>
        <w:t>, f. 1.</w:t>
      </w:r>
    </w:p>
    <w:p w:rsidR="00981775" w:rsidRDefault="00981775" w:rsidP="00981775">
      <w:pPr>
        <w:pStyle w:val="SangriaFrancesaArticulo"/>
      </w:pPr>
      <w:r w:rsidRPr="00981775">
        <w:rPr>
          <w:rStyle w:val="TextoNormalNegritaCaracter"/>
        </w:rPr>
        <w:t>Artículo 96.2.</w:t>
      </w:r>
      <w:r w:rsidRPr="00981775">
        <w:rPr>
          <w:rStyle w:val="TextoNormalCaracter"/>
        </w:rPr>
        <w:t>-</w:t>
      </w:r>
      <w:r>
        <w:t xml:space="preserve"> Auto </w:t>
      </w:r>
      <w:hyperlink w:anchor="AUTO_2015_172" w:history="1">
        <w:r w:rsidRPr="00981775">
          <w:rPr>
            <w:rStyle w:val="TextoNormalCaracter"/>
          </w:rPr>
          <w:t>172/2015</w:t>
        </w:r>
      </w:hyperlink>
      <w:r>
        <w:t>, f. 3.</w:t>
      </w:r>
    </w:p>
    <w:p w:rsidR="00981775" w:rsidRDefault="00981775" w:rsidP="00981775">
      <w:pPr>
        <w:pStyle w:val="SangriaFrancesaArticulo"/>
      </w:pPr>
      <w:r w:rsidRPr="00981775">
        <w:rPr>
          <w:rStyle w:val="TextoNormalNegritaCaracter"/>
        </w:rPr>
        <w:t>Disposición adicional tercera.</w:t>
      </w:r>
      <w:r w:rsidRPr="00981775">
        <w:rPr>
          <w:rStyle w:val="TextoNormalCaracter"/>
        </w:rPr>
        <w:t>-</w:t>
      </w:r>
      <w:r>
        <w:t xml:space="preserve"> Auto </w:t>
      </w:r>
      <w:hyperlink w:anchor="AUTO_2015_149" w:history="1">
        <w:r w:rsidRPr="00981775">
          <w:rPr>
            <w:rStyle w:val="TextoNormalCaracter"/>
          </w:rPr>
          <w:t>149/2015</w:t>
        </w:r>
      </w:hyperlink>
      <w:r>
        <w:t>, f. 2.</w:t>
      </w:r>
    </w:p>
    <w:p w:rsidR="00981775" w:rsidRDefault="00981775" w:rsidP="00981775">
      <w:pPr>
        <w:pStyle w:val="SangriaFrancesaArticulo"/>
      </w:pPr>
      <w:r w:rsidRPr="00981775">
        <w:rPr>
          <w:rStyle w:val="TextoNormalNegritaCaracter"/>
        </w:rPr>
        <w:t>Disposición adicional tercera, apartado 1.</w:t>
      </w:r>
      <w:r w:rsidRPr="00981775">
        <w:rPr>
          <w:rStyle w:val="TextoNormalCaracter"/>
        </w:rPr>
        <w:t>-</w:t>
      </w:r>
      <w:r>
        <w:t xml:space="preserve"> Autos </w:t>
      </w:r>
      <w:hyperlink w:anchor="AUTO_2015_149" w:history="1">
        <w:r w:rsidRPr="00981775">
          <w:rPr>
            <w:rStyle w:val="TextoNormalCaracter"/>
          </w:rPr>
          <w:t>149/2015</w:t>
        </w:r>
      </w:hyperlink>
      <w:r>
        <w:t xml:space="preserve">, ff. 2, 4; </w:t>
      </w:r>
      <w:hyperlink w:anchor="AUTO_2015_168" w:history="1">
        <w:r w:rsidRPr="00981775">
          <w:rPr>
            <w:rStyle w:val="TextoNormalCaracter"/>
          </w:rPr>
          <w:t>168/2015</w:t>
        </w:r>
      </w:hyperlink>
      <w:r>
        <w:t>, f. 1.</w:t>
      </w:r>
    </w:p>
    <w:p w:rsidR="00981775" w:rsidRDefault="00981775" w:rsidP="00981775">
      <w:pPr>
        <w:pStyle w:val="SangriaFrancesaArticulo"/>
      </w:pPr>
      <w:r w:rsidRPr="00981775">
        <w:rPr>
          <w:rStyle w:val="TextoNormalNegritaCaracter"/>
        </w:rPr>
        <w:t>Disposición adicional tercera, apartado 2.</w:t>
      </w:r>
      <w:r w:rsidRPr="00981775">
        <w:rPr>
          <w:rStyle w:val="TextoNormalCaracter"/>
        </w:rPr>
        <w:t>-</w:t>
      </w:r>
      <w:r>
        <w:t xml:space="preserve"> Auto </w:t>
      </w:r>
      <w:hyperlink w:anchor="AUTO_2015_168" w:history="1">
        <w:r w:rsidRPr="00981775">
          <w:rPr>
            <w:rStyle w:val="TextoNormalCaracter"/>
          </w:rPr>
          <w:t>168/2015</w:t>
        </w:r>
      </w:hyperlink>
      <w:r>
        <w:t>, ff. 2, 3.</w:t>
      </w:r>
    </w:p>
    <w:p w:rsidR="00981775" w:rsidRDefault="00981775" w:rsidP="00981775">
      <w:pPr>
        <w:pStyle w:val="SangriaFrancesaArticulo"/>
      </w:pPr>
      <w:r w:rsidRPr="00981775">
        <w:rPr>
          <w:rStyle w:val="TextoNormalNegritaCaracter"/>
        </w:rPr>
        <w:t>Disposición adicional quinta.</w:t>
      </w:r>
      <w:r w:rsidRPr="00981775">
        <w:rPr>
          <w:rStyle w:val="TextoNormalCaracter"/>
        </w:rPr>
        <w:t>-</w:t>
      </w:r>
      <w:r>
        <w:t xml:space="preserve"> Sentencias </w:t>
      </w:r>
      <w:hyperlink w:anchor="SENTENCIA_2015_222" w:history="1">
        <w:r w:rsidRPr="00981775">
          <w:rPr>
            <w:rStyle w:val="TextoNormalCaracter"/>
          </w:rPr>
          <w:t>222/2015</w:t>
        </w:r>
      </w:hyperlink>
      <w:r>
        <w:t xml:space="preserve">, f. 2; </w:t>
      </w:r>
      <w:hyperlink w:anchor="SENTENCIA_2015_240" w:history="1">
        <w:r w:rsidRPr="00981775">
          <w:rPr>
            <w:rStyle w:val="TextoNormalCaracter"/>
          </w:rPr>
          <w:t>240/2015</w:t>
        </w:r>
      </w:hyperlink>
      <w:r>
        <w:t xml:space="preserve">, f. 2; </w:t>
      </w:r>
      <w:hyperlink w:anchor="SENTENCIA_2015_262" w:history="1">
        <w:r w:rsidRPr="00981775">
          <w:rPr>
            <w:rStyle w:val="TextoNormalCaracter"/>
          </w:rPr>
          <w:t>262/2015</w:t>
        </w:r>
      </w:hyperlink>
      <w:r>
        <w:t xml:space="preserve">, f. 2; </w:t>
      </w:r>
      <w:hyperlink w:anchor="SENTENCIA_2015_263" w:history="1">
        <w:r w:rsidRPr="00981775">
          <w:rPr>
            <w:rStyle w:val="TextoNormalCaracter"/>
          </w:rPr>
          <w:t>263/2015</w:t>
        </w:r>
      </w:hyperlink>
      <w:r>
        <w:t>, f. 2.</w:t>
      </w:r>
    </w:p>
    <w:p w:rsidR="00981775" w:rsidRDefault="00981775" w:rsidP="00981775">
      <w:pPr>
        <w:pStyle w:val="SangriaFrancesaArticulo"/>
      </w:pPr>
      <w:r w:rsidRPr="00981775">
        <w:rPr>
          <w:rStyle w:val="TextoNormalNegritaCaracter"/>
        </w:rPr>
        <w:t>Disposición adicional quinta, apartado 1.</w:t>
      </w:r>
      <w:r w:rsidRPr="00981775">
        <w:rPr>
          <w:rStyle w:val="TextoNormalCaracter"/>
        </w:rPr>
        <w:t>-</w:t>
      </w:r>
      <w:r>
        <w:t xml:space="preserve"> Sentencias </w:t>
      </w:r>
      <w:hyperlink w:anchor="SENTENCIA_2015_222" w:history="1">
        <w:r w:rsidRPr="00981775">
          <w:rPr>
            <w:rStyle w:val="TextoNormalCaracter"/>
          </w:rPr>
          <w:t>222/2015</w:t>
        </w:r>
      </w:hyperlink>
      <w:r>
        <w:t xml:space="preserve">, f. 2; </w:t>
      </w:r>
      <w:hyperlink w:anchor="SENTENCIA_2015_239" w:history="1">
        <w:r w:rsidRPr="00981775">
          <w:rPr>
            <w:rStyle w:val="TextoNormalCaracter"/>
          </w:rPr>
          <w:t>239/2015</w:t>
        </w:r>
      </w:hyperlink>
      <w:r>
        <w:t xml:space="preserve">, f. 2; </w:t>
      </w:r>
      <w:hyperlink w:anchor="SENTENCIA_2015_240" w:history="1">
        <w:r w:rsidRPr="00981775">
          <w:rPr>
            <w:rStyle w:val="TextoNormalCaracter"/>
          </w:rPr>
          <w:t>240/2015</w:t>
        </w:r>
      </w:hyperlink>
      <w:r>
        <w:t xml:space="preserve">, f. 2; </w:t>
      </w:r>
      <w:hyperlink w:anchor="SENTENCIA_2015_263" w:history="1">
        <w:r w:rsidRPr="00981775">
          <w:rPr>
            <w:rStyle w:val="TextoNormalCaracter"/>
          </w:rPr>
          <w:t>263/2015</w:t>
        </w:r>
      </w:hyperlink>
      <w:r>
        <w:t>, f. 2.</w:t>
      </w:r>
    </w:p>
    <w:p w:rsidR="00981775" w:rsidRDefault="00981775" w:rsidP="00981775">
      <w:pPr>
        <w:pStyle w:val="SangriaFrancesaArticulo"/>
      </w:pPr>
    </w:p>
    <w:p w:rsidR="00981775" w:rsidRDefault="00981775" w:rsidP="00981775">
      <w:pPr>
        <w:pStyle w:val="TextoNormalNegritaCursivandice"/>
      </w:pPr>
      <w:r>
        <w:t>Acuerdo del Pleno del Tribunal Constitucional, de 5 de julio de 1990. Reglamento de organización y personal del Tribunal Constitucional</w:t>
      </w:r>
    </w:p>
    <w:p w:rsidR="00981775" w:rsidRDefault="00981775" w:rsidP="00981775">
      <w:pPr>
        <w:pStyle w:val="SangriaFrancesaArticulo"/>
      </w:pPr>
      <w:r w:rsidRPr="00981775">
        <w:rPr>
          <w:rStyle w:val="TextoNormalNegritaCaracter"/>
        </w:rPr>
        <w:t>Artículo 51.</w:t>
      </w:r>
      <w:r w:rsidRPr="00981775">
        <w:rPr>
          <w:rStyle w:val="TextoNormalCaracter"/>
        </w:rPr>
        <w:t>-</w:t>
      </w:r>
      <w:r>
        <w:t xml:space="preserve"> Auto </w:t>
      </w:r>
      <w:hyperlink w:anchor="AUTO_2015_172" w:history="1">
        <w:r w:rsidRPr="00981775">
          <w:rPr>
            <w:rStyle w:val="TextoNormalCaracter"/>
          </w:rPr>
          <w:t>172/2015</w:t>
        </w:r>
      </w:hyperlink>
      <w:r>
        <w:t>, f. 3.</w:t>
      </w:r>
    </w:p>
    <w:p w:rsidR="00981775" w:rsidRDefault="00981775" w:rsidP="00981775">
      <w:pPr>
        <w:pStyle w:val="SangriaFrancesaArticulo"/>
      </w:pPr>
    </w:p>
    <w:p w:rsidR="00981775" w:rsidRDefault="00981775" w:rsidP="00981775">
      <w:pPr>
        <w:pStyle w:val="TextoNormalNegritaCursivandice"/>
      </w:pPr>
      <w:r>
        <w:t>Acuerdo del Pleno del Tribunal Constitucional, de 18 de junio de 1996. Asistencia jurídica gratuita en los procesos de amparo constitucional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64" w:history="1">
        <w:r w:rsidRPr="00981775">
          <w:rPr>
            <w:rStyle w:val="TextoNormalCaracter"/>
          </w:rPr>
          <w:t>164/2015</w:t>
        </w:r>
      </w:hyperlink>
      <w:r>
        <w:t>, f. 2.</w:t>
      </w:r>
    </w:p>
    <w:p w:rsidR="00981775" w:rsidRDefault="00981775" w:rsidP="00981775">
      <w:pPr>
        <w:pStyle w:val="SangriaFrancesaArticulo"/>
      </w:pPr>
      <w:r w:rsidRPr="00981775">
        <w:rPr>
          <w:rStyle w:val="TextoNormalNegritaCaracter"/>
        </w:rPr>
        <w:t>Artículo 1.</w:t>
      </w:r>
      <w:r w:rsidRPr="00981775">
        <w:rPr>
          <w:rStyle w:val="TextoNormalCaracter"/>
        </w:rPr>
        <w:t>-</w:t>
      </w:r>
      <w:r>
        <w:t xml:space="preserve"> Auto </w:t>
      </w:r>
      <w:hyperlink w:anchor="AUTO_2015_164" w:history="1">
        <w:r w:rsidRPr="00981775">
          <w:rPr>
            <w:rStyle w:val="TextoNormalCaracter"/>
          </w:rPr>
          <w:t>164/2015</w:t>
        </w:r>
      </w:hyperlink>
      <w:r>
        <w:t>, f. 1.</w:t>
      </w:r>
    </w:p>
    <w:p w:rsidR="00981775" w:rsidRDefault="00981775" w:rsidP="00981775">
      <w:pPr>
        <w:pStyle w:val="SangriaFrancesaArticulo"/>
      </w:pPr>
      <w:r w:rsidRPr="00981775">
        <w:rPr>
          <w:rStyle w:val="TextoNormalNegritaCaracter"/>
        </w:rPr>
        <w:t>Artículo 10.</w:t>
      </w:r>
      <w:r w:rsidRPr="00981775">
        <w:rPr>
          <w:rStyle w:val="TextoNormalCaracter"/>
        </w:rPr>
        <w:t>-</w:t>
      </w:r>
      <w:r>
        <w:t xml:space="preserve"> Auto </w:t>
      </w:r>
      <w:hyperlink w:anchor="AUTO_2015_175" w:history="1">
        <w:r w:rsidRPr="00981775">
          <w:rPr>
            <w:rStyle w:val="TextoNormalCaracter"/>
          </w:rPr>
          <w:t>175/2015</w:t>
        </w:r>
      </w:hyperlink>
      <w:r>
        <w:t>, f. único.</w:t>
      </w:r>
    </w:p>
    <w:p w:rsidR="00981775" w:rsidRDefault="00981775" w:rsidP="00981775">
      <w:pPr>
        <w:pStyle w:val="SangriaFrancesaArticulo"/>
      </w:pPr>
    </w:p>
    <w:p w:rsidR="00981775" w:rsidRDefault="00981775" w:rsidP="00981775">
      <w:pPr>
        <w:pStyle w:val="TextoNormalNegritaCursivandice"/>
      </w:pPr>
      <w:r>
        <w:t>Acuerdo del Pleno del Tribunal Constitucional de 19 de diciembre de 2002, del Pleno del Tribunal Constitucional. Regula el régimen de retribuciones del personal al servicio del Tribunal Constitucional</w:t>
      </w:r>
    </w:p>
    <w:p w:rsidR="00981775" w:rsidRDefault="00981775" w:rsidP="00981775">
      <w:pPr>
        <w:pStyle w:val="SangriaFrancesaArticulo"/>
      </w:pPr>
      <w:r w:rsidRPr="00981775">
        <w:rPr>
          <w:rStyle w:val="TextoNormalNegritaCaracter"/>
        </w:rPr>
        <w:t>Artículo 2.1 c).</w:t>
      </w:r>
      <w:r w:rsidRPr="00981775">
        <w:rPr>
          <w:rStyle w:val="TextoNormalCaracter"/>
        </w:rPr>
        <w:t>-</w:t>
      </w:r>
      <w:r>
        <w:t xml:space="preserve"> Auto </w:t>
      </w:r>
      <w:hyperlink w:anchor="AUTO_2015_172" w:history="1">
        <w:r w:rsidRPr="00981775">
          <w:rPr>
            <w:rStyle w:val="TextoNormalCaracter"/>
          </w:rPr>
          <w:t>172/2015</w:t>
        </w:r>
      </w:hyperlink>
      <w:r>
        <w:t>, f. 3.</w:t>
      </w:r>
    </w:p>
    <w:p w:rsidR="00981775" w:rsidRDefault="00981775" w:rsidP="00981775">
      <w:pPr>
        <w:pStyle w:val="SangriaFrancesaArticulo"/>
      </w:pPr>
    </w:p>
    <w:p w:rsidR="00981775" w:rsidRDefault="00981775" w:rsidP="00981775">
      <w:pPr>
        <w:pStyle w:val="TextoNormalNegritaCursivandice"/>
      </w:pPr>
      <w:r>
        <w:t>Ley Orgánica 6/2007, de 24 de mayo. Modificación de la Ley Orgánica 2/1979, de 3 de octubre, del Tribunal Constitucional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Sentencias </w:t>
      </w:r>
      <w:hyperlink w:anchor="SENTENCIA_2015_148" w:history="1">
        <w:r w:rsidRPr="00981775">
          <w:rPr>
            <w:rStyle w:val="TextoNormalCaracter"/>
          </w:rPr>
          <w:t>148/2015</w:t>
        </w:r>
      </w:hyperlink>
      <w:r>
        <w:t xml:space="preserve">, f. 1; </w:t>
      </w:r>
      <w:hyperlink w:anchor="SENTENCIA_2015_152" w:history="1">
        <w:r w:rsidRPr="00981775">
          <w:rPr>
            <w:rStyle w:val="TextoNormalCaracter"/>
          </w:rPr>
          <w:t>152/2015</w:t>
        </w:r>
      </w:hyperlink>
      <w:r>
        <w:t xml:space="preserve">, ff. 2, 3; </w:t>
      </w:r>
      <w:hyperlink w:anchor="SENTENCIA_2015_157" w:history="1">
        <w:r w:rsidRPr="00981775">
          <w:rPr>
            <w:rStyle w:val="TextoNormalCaracter"/>
          </w:rPr>
          <w:t>157/2015</w:t>
        </w:r>
      </w:hyperlink>
      <w:r>
        <w:t xml:space="preserve">, f. 3; </w:t>
      </w:r>
      <w:hyperlink w:anchor="SENTENCIA_2015_158" w:history="1">
        <w:r w:rsidRPr="00981775">
          <w:rPr>
            <w:rStyle w:val="TextoNormalCaracter"/>
          </w:rPr>
          <w:t>158/2015</w:t>
        </w:r>
      </w:hyperlink>
      <w:r>
        <w:t xml:space="preserve">, f. 2; </w:t>
      </w:r>
      <w:hyperlink w:anchor="SENTENCIA_2015_160" w:history="1">
        <w:r w:rsidRPr="00981775">
          <w:rPr>
            <w:rStyle w:val="TextoNormalCaracter"/>
          </w:rPr>
          <w:t>160/2015</w:t>
        </w:r>
      </w:hyperlink>
      <w:r>
        <w:t xml:space="preserve">, ff. 2, 3; </w:t>
      </w:r>
      <w:hyperlink w:anchor="SENTENCIA_2015_179" w:history="1">
        <w:r w:rsidRPr="00981775">
          <w:rPr>
            <w:rStyle w:val="TextoNormalCaracter"/>
          </w:rPr>
          <w:t>179/2015</w:t>
        </w:r>
      </w:hyperlink>
      <w:r>
        <w:t xml:space="preserve">, f. 5; </w:t>
      </w:r>
      <w:hyperlink w:anchor="SENTENCIA_2015_180" w:history="1">
        <w:r w:rsidRPr="00981775">
          <w:rPr>
            <w:rStyle w:val="TextoNormalCaracter"/>
          </w:rPr>
          <w:t>180/2015</w:t>
        </w:r>
      </w:hyperlink>
      <w:r>
        <w:t xml:space="preserve">, ff. 2, 3, 6 a 8; </w:t>
      </w:r>
      <w:hyperlink w:anchor="SENTENCIA_2015_182" w:history="1">
        <w:r w:rsidRPr="00981775">
          <w:rPr>
            <w:rStyle w:val="TextoNormalCaracter"/>
          </w:rPr>
          <w:t>182/2015</w:t>
        </w:r>
      </w:hyperlink>
      <w:r>
        <w:t xml:space="preserve">, f. 2; </w:t>
      </w:r>
      <w:hyperlink w:anchor="SENTENCIA_2015_185" w:history="1">
        <w:r w:rsidRPr="00981775">
          <w:rPr>
            <w:rStyle w:val="TextoNormalCaracter"/>
          </w:rPr>
          <w:t>185/2015</w:t>
        </w:r>
      </w:hyperlink>
      <w:r>
        <w:t xml:space="preserve">, VP; </w:t>
      </w:r>
      <w:hyperlink w:anchor="SENTENCIA_2015_187" w:history="1">
        <w:r w:rsidRPr="00981775">
          <w:rPr>
            <w:rStyle w:val="TextoNormalCaracter"/>
          </w:rPr>
          <w:t>187/2015</w:t>
        </w:r>
      </w:hyperlink>
      <w:r>
        <w:t xml:space="preserve">, f. 2; </w:t>
      </w:r>
      <w:hyperlink w:anchor="SENTENCIA_2015_195" w:history="1">
        <w:r w:rsidRPr="00981775">
          <w:rPr>
            <w:rStyle w:val="TextoNormalCaracter"/>
          </w:rPr>
          <w:t>195/2015</w:t>
        </w:r>
      </w:hyperlink>
      <w:r>
        <w:t xml:space="preserve">, f. 3; </w:t>
      </w:r>
      <w:hyperlink w:anchor="SENTENCIA_2015_208" w:history="1">
        <w:r w:rsidRPr="00981775">
          <w:rPr>
            <w:rStyle w:val="TextoNormalCaracter"/>
          </w:rPr>
          <w:t>208/2015</w:t>
        </w:r>
      </w:hyperlink>
      <w:r>
        <w:t xml:space="preserve">, f. 5; </w:t>
      </w:r>
      <w:hyperlink w:anchor="SENTENCIA_2015_231" w:history="1">
        <w:r w:rsidRPr="00981775">
          <w:rPr>
            <w:rStyle w:val="TextoNormalCaracter"/>
          </w:rPr>
          <w:t>231/2015</w:t>
        </w:r>
      </w:hyperlink>
      <w:r>
        <w:t xml:space="preserve">, ff. 2, 13; </w:t>
      </w:r>
      <w:hyperlink w:anchor="SENTENCIA_2015_232" w:history="1">
        <w:r w:rsidRPr="00981775">
          <w:rPr>
            <w:rStyle w:val="TextoNormalCaracter"/>
          </w:rPr>
          <w:t>232/2015</w:t>
        </w:r>
      </w:hyperlink>
      <w:r>
        <w:t xml:space="preserve">, ff. 1, 2, 7; </w:t>
      </w:r>
      <w:hyperlink w:anchor="SENTENCIA_2015_241" w:history="1">
        <w:r w:rsidRPr="00981775">
          <w:rPr>
            <w:rStyle w:val="TextoNormalCaracter"/>
          </w:rPr>
          <w:t>241/2015</w:t>
        </w:r>
      </w:hyperlink>
      <w:r>
        <w:t xml:space="preserve">, f. 2; </w:t>
      </w:r>
      <w:hyperlink w:anchor="SENTENCIA_2015_242" w:history="1">
        <w:r w:rsidRPr="00981775">
          <w:rPr>
            <w:rStyle w:val="TextoNormalCaracter"/>
          </w:rPr>
          <w:t>242/2015</w:t>
        </w:r>
      </w:hyperlink>
      <w:r>
        <w:t xml:space="preserve">, ff. 2, 3, 6; </w:t>
      </w:r>
      <w:hyperlink w:anchor="SENTENCIA_2015_245" w:history="1">
        <w:r w:rsidRPr="00981775">
          <w:rPr>
            <w:rStyle w:val="TextoNormalCaracter"/>
          </w:rPr>
          <w:t>245/2015</w:t>
        </w:r>
      </w:hyperlink>
      <w:r>
        <w:t xml:space="preserve">, f. 2; </w:t>
      </w:r>
      <w:hyperlink w:anchor="SENTENCIA_2015_255" w:history="1">
        <w:r w:rsidRPr="00981775">
          <w:rPr>
            <w:rStyle w:val="TextoNormalCaracter"/>
          </w:rPr>
          <w:t>255/2015</w:t>
        </w:r>
      </w:hyperlink>
      <w:r>
        <w:t xml:space="preserve">, f. 2; </w:t>
      </w:r>
      <w:hyperlink w:anchor="SENTENCIA_2015_266" w:history="1">
        <w:r w:rsidRPr="00981775">
          <w:rPr>
            <w:rStyle w:val="TextoNormalCaracter"/>
          </w:rPr>
          <w:t>266/2015</w:t>
        </w:r>
      </w:hyperlink>
      <w:r>
        <w:t xml:space="preserve">, f. 6; </w:t>
      </w:r>
      <w:hyperlink w:anchor="SENTENCIA_2015_267" w:history="1">
        <w:r w:rsidRPr="00981775">
          <w:rPr>
            <w:rStyle w:val="TextoNormalCaracter"/>
          </w:rPr>
          <w:t>267/2015</w:t>
        </w:r>
      </w:hyperlink>
      <w:r>
        <w:t>, f. 2.</w:t>
      </w:r>
    </w:p>
    <w:p w:rsidR="00981775" w:rsidRDefault="00981775" w:rsidP="00981775">
      <w:pPr>
        <w:pStyle w:val="SangriaIzquierdaArticulo"/>
      </w:pPr>
      <w:r>
        <w:t xml:space="preserve">Autos </w:t>
      </w:r>
      <w:hyperlink w:anchor="AUTO_2015_116" w:history="1">
        <w:r w:rsidRPr="00981775">
          <w:rPr>
            <w:rStyle w:val="TextoNormalCaracter"/>
          </w:rPr>
          <w:t>116/2015</w:t>
        </w:r>
      </w:hyperlink>
      <w:r>
        <w:t xml:space="preserve">, f. 1; </w:t>
      </w:r>
      <w:hyperlink w:anchor="AUTO_2015_117" w:history="1">
        <w:r w:rsidRPr="00981775">
          <w:rPr>
            <w:rStyle w:val="TextoNormalCaracter"/>
          </w:rPr>
          <w:t>117/2015</w:t>
        </w:r>
      </w:hyperlink>
      <w:r>
        <w:t xml:space="preserve">, f. 1; </w:t>
      </w:r>
      <w:hyperlink w:anchor="AUTO_2015_119" w:history="1">
        <w:r w:rsidRPr="00981775">
          <w:rPr>
            <w:rStyle w:val="TextoNormalCaracter"/>
          </w:rPr>
          <w:t>119/2015</w:t>
        </w:r>
      </w:hyperlink>
      <w:r>
        <w:t xml:space="preserve">, ff. 1, 2; </w:t>
      </w:r>
      <w:hyperlink w:anchor="AUTO_2015_120" w:history="1">
        <w:r w:rsidRPr="00981775">
          <w:rPr>
            <w:rStyle w:val="TextoNormalCaracter"/>
          </w:rPr>
          <w:t>120/2015</w:t>
        </w:r>
      </w:hyperlink>
      <w:r>
        <w:t xml:space="preserve">, f. 1; </w:t>
      </w:r>
      <w:hyperlink w:anchor="AUTO_2015_127" w:history="1">
        <w:r w:rsidRPr="00981775">
          <w:rPr>
            <w:rStyle w:val="TextoNormalCaracter"/>
          </w:rPr>
          <w:t>127/2015</w:t>
        </w:r>
      </w:hyperlink>
      <w:r>
        <w:t xml:space="preserve">, f. 1; </w:t>
      </w:r>
      <w:hyperlink w:anchor="AUTO_2015_128" w:history="1">
        <w:r w:rsidRPr="00981775">
          <w:rPr>
            <w:rStyle w:val="TextoNormalCaracter"/>
          </w:rPr>
          <w:t>128/2015</w:t>
        </w:r>
      </w:hyperlink>
      <w:r>
        <w:t xml:space="preserve">, ff. 1, 2; </w:t>
      </w:r>
      <w:hyperlink w:anchor="AUTO_2015_136" w:history="1">
        <w:r w:rsidRPr="00981775">
          <w:rPr>
            <w:rStyle w:val="TextoNormalCaracter"/>
          </w:rPr>
          <w:t>136/2015</w:t>
        </w:r>
      </w:hyperlink>
      <w:r>
        <w:t xml:space="preserve">, f. 2; </w:t>
      </w:r>
      <w:hyperlink w:anchor="AUTO_2015_178" w:history="1">
        <w:r w:rsidRPr="00981775">
          <w:rPr>
            <w:rStyle w:val="TextoNormalCaracter"/>
          </w:rPr>
          <w:t>178/2015</w:t>
        </w:r>
      </w:hyperlink>
      <w:r>
        <w:t xml:space="preserve">, f. 2; </w:t>
      </w:r>
      <w:hyperlink w:anchor="AUTO_2015_179" w:history="1">
        <w:r w:rsidRPr="00981775">
          <w:rPr>
            <w:rStyle w:val="TextoNormalCaracter"/>
          </w:rPr>
          <w:t>179/2015</w:t>
        </w:r>
      </w:hyperlink>
      <w:r>
        <w:t xml:space="preserve">, ff. 1, 2; </w:t>
      </w:r>
      <w:hyperlink w:anchor="AUTO_2015_183" w:history="1">
        <w:r w:rsidRPr="00981775">
          <w:rPr>
            <w:rStyle w:val="TextoNormalCaracter"/>
          </w:rPr>
          <w:t>183/2015</w:t>
        </w:r>
      </w:hyperlink>
      <w:r>
        <w:t xml:space="preserve">, ff. 1 a 4; </w:t>
      </w:r>
      <w:hyperlink w:anchor="AUTO_2015_184" w:history="1">
        <w:r w:rsidRPr="00981775">
          <w:rPr>
            <w:rStyle w:val="TextoNormalCaracter"/>
          </w:rPr>
          <w:t>184/2015</w:t>
        </w:r>
      </w:hyperlink>
      <w:r>
        <w:t xml:space="preserve">, f. 1; </w:t>
      </w:r>
      <w:hyperlink w:anchor="AUTO_2015_201" w:history="1">
        <w:r w:rsidRPr="00981775">
          <w:rPr>
            <w:rStyle w:val="TextoNormalCaracter"/>
          </w:rPr>
          <w:t>201/2015</w:t>
        </w:r>
      </w:hyperlink>
      <w:r>
        <w:t xml:space="preserve">, f. 2; </w:t>
      </w:r>
      <w:hyperlink w:anchor="AUTO_2015_205" w:history="1">
        <w:r w:rsidRPr="00981775">
          <w:rPr>
            <w:rStyle w:val="TextoNormalCaracter"/>
          </w:rPr>
          <w:t>205/2015</w:t>
        </w:r>
      </w:hyperlink>
      <w:r>
        <w:t xml:space="preserve">, f. 1; </w:t>
      </w:r>
      <w:hyperlink w:anchor="AUTO_2015_207" w:history="1">
        <w:r w:rsidRPr="00981775">
          <w:rPr>
            <w:rStyle w:val="TextoNormalCaracter"/>
          </w:rPr>
          <w:t>207/2015</w:t>
        </w:r>
      </w:hyperlink>
      <w:r>
        <w:t xml:space="preserve">, ff. 2, 4; </w:t>
      </w:r>
      <w:hyperlink w:anchor="AUTO_2015_208" w:history="1">
        <w:r w:rsidRPr="00981775">
          <w:rPr>
            <w:rStyle w:val="TextoNormalCaracter"/>
          </w:rPr>
          <w:t>208/2015</w:t>
        </w:r>
      </w:hyperlink>
      <w:r>
        <w:t xml:space="preserve">, ff. 2, 4; </w:t>
      </w:r>
      <w:hyperlink w:anchor="AUTO_2015_209" w:history="1">
        <w:r w:rsidRPr="00981775">
          <w:rPr>
            <w:rStyle w:val="TextoNormalCaracter"/>
          </w:rPr>
          <w:t>209/2015</w:t>
        </w:r>
      </w:hyperlink>
      <w:r>
        <w:t xml:space="preserve">, ff. 2, 4; </w:t>
      </w:r>
      <w:hyperlink w:anchor="AUTO_2015_210" w:history="1">
        <w:r w:rsidRPr="00981775">
          <w:rPr>
            <w:rStyle w:val="TextoNormalCaracter"/>
          </w:rPr>
          <w:t>210/2015</w:t>
        </w:r>
      </w:hyperlink>
      <w:r>
        <w:t xml:space="preserve">, ff. 2, 4; </w:t>
      </w:r>
      <w:hyperlink w:anchor="AUTO_2015_212" w:history="1">
        <w:r w:rsidRPr="00981775">
          <w:rPr>
            <w:rStyle w:val="TextoNormalCaracter"/>
          </w:rPr>
          <w:t>212/2015</w:t>
        </w:r>
      </w:hyperlink>
      <w:r>
        <w:t xml:space="preserve">, ff. 2, 4; </w:t>
      </w:r>
      <w:hyperlink w:anchor="AUTO_2015_213" w:history="1">
        <w:r w:rsidRPr="00981775">
          <w:rPr>
            <w:rStyle w:val="TextoNormalCaracter"/>
          </w:rPr>
          <w:t>213/2015</w:t>
        </w:r>
      </w:hyperlink>
      <w:r>
        <w:t xml:space="preserve">, ff. 2, 4; </w:t>
      </w:r>
      <w:hyperlink w:anchor="AUTO_2015_224" w:history="1">
        <w:r w:rsidRPr="00981775">
          <w:rPr>
            <w:rStyle w:val="TextoNormalCaracter"/>
          </w:rPr>
          <w:t>224/2015</w:t>
        </w:r>
      </w:hyperlink>
      <w:r>
        <w:t xml:space="preserve">, f. 1; </w:t>
      </w:r>
      <w:hyperlink w:anchor="AUTO_2015_225" w:history="1">
        <w:r w:rsidRPr="00981775">
          <w:rPr>
            <w:rStyle w:val="TextoNormalCaracter"/>
          </w:rPr>
          <w:t>225/2015</w:t>
        </w:r>
      </w:hyperlink>
      <w:r>
        <w:t xml:space="preserve">, f. 2; </w:t>
      </w:r>
      <w:hyperlink w:anchor="AUTO_2015_227" w:history="1">
        <w:r w:rsidRPr="00981775">
          <w:rPr>
            <w:rStyle w:val="TextoNormalCaracter"/>
          </w:rPr>
          <w:t>227/2015</w:t>
        </w:r>
      </w:hyperlink>
      <w:r>
        <w:t xml:space="preserve">, ff. 2, 3; </w:t>
      </w:r>
      <w:hyperlink w:anchor="AUTO_2015_228" w:history="1">
        <w:r w:rsidRPr="00981775">
          <w:rPr>
            <w:rStyle w:val="TextoNormalCaracter"/>
          </w:rPr>
          <w:t>228/2015</w:t>
        </w:r>
      </w:hyperlink>
      <w:r>
        <w:t xml:space="preserve">, f. 2; </w:t>
      </w:r>
      <w:hyperlink w:anchor="AUTO_2015_229" w:history="1">
        <w:r w:rsidRPr="00981775">
          <w:rPr>
            <w:rStyle w:val="TextoNormalCaracter"/>
          </w:rPr>
          <w:t>229/2015</w:t>
        </w:r>
      </w:hyperlink>
      <w:r>
        <w:t>, f. 2.</w:t>
      </w:r>
    </w:p>
    <w:p w:rsidR="00981775" w:rsidRDefault="00981775" w:rsidP="00981775">
      <w:pPr>
        <w:pStyle w:val="TextoNormal"/>
      </w:pPr>
    </w:p>
    <w:p w:rsidR="00981775" w:rsidRDefault="00981775" w:rsidP="00981775">
      <w:pPr>
        <w:pStyle w:val="SangriaIzquierdaArticulo"/>
      </w:pPr>
      <w:bookmarkStart w:id="250" w:name="INDICE22844"/>
    </w:p>
    <w:bookmarkEnd w:id="250"/>
    <w:p w:rsidR="00981775" w:rsidRDefault="00981775" w:rsidP="00981775">
      <w:pPr>
        <w:pStyle w:val="TextoIndiceNivel2"/>
        <w:suppressAutoHyphens/>
      </w:pPr>
      <w:r>
        <w:t>C) Cortes Generales</w:t>
      </w:r>
    </w:p>
    <w:p w:rsidR="00981775" w:rsidRDefault="00981775" w:rsidP="00981775">
      <w:pPr>
        <w:pStyle w:val="TextoIndiceNivel2"/>
      </w:pPr>
    </w:p>
    <w:p w:rsidR="00981775" w:rsidRDefault="00981775" w:rsidP="00981775">
      <w:pPr>
        <w:pStyle w:val="TextoNormalNegritaCursivandice"/>
      </w:pPr>
      <w:r>
        <w:t>Reglamento del Congreso de los Diputados, de 10 de febrero de 1982</w:t>
      </w:r>
    </w:p>
    <w:p w:rsidR="00981775" w:rsidRDefault="00981775" w:rsidP="00981775">
      <w:pPr>
        <w:pStyle w:val="SangriaFrancesaArticulo"/>
      </w:pPr>
      <w:r w:rsidRPr="00981775">
        <w:rPr>
          <w:rStyle w:val="TextoNormalNegritaCaracter"/>
        </w:rPr>
        <w:t>Artículo 72.1.</w:t>
      </w:r>
      <w:r w:rsidRPr="00981775">
        <w:rPr>
          <w:rStyle w:val="TextoNormalCaracter"/>
        </w:rPr>
        <w:t>-</w:t>
      </w:r>
      <w:r>
        <w:t xml:space="preserve"> Sentencia </w:t>
      </w:r>
      <w:hyperlink w:anchor="SENTENCIA_2015_231" w:history="1">
        <w:r w:rsidRPr="00981775">
          <w:rPr>
            <w:rStyle w:val="TextoNormalCaracter"/>
          </w:rPr>
          <w:t>231/2015</w:t>
        </w:r>
      </w:hyperlink>
      <w:r>
        <w:t>, f. 8.</w:t>
      </w:r>
    </w:p>
    <w:p w:rsidR="00981775" w:rsidRDefault="00981775" w:rsidP="00981775">
      <w:pPr>
        <w:pStyle w:val="SangriaFrancesaArticulo"/>
      </w:pPr>
      <w:r w:rsidRPr="00981775">
        <w:rPr>
          <w:rStyle w:val="TextoNormalNegritaCaracter"/>
        </w:rPr>
        <w:t>Artículo 123.</w:t>
      </w:r>
      <w:r w:rsidRPr="00981775">
        <w:rPr>
          <w:rStyle w:val="TextoNormalCaracter"/>
        </w:rPr>
        <w:t>-</w:t>
      </w:r>
      <w:r>
        <w:t xml:space="preserve"> Sentencia </w:t>
      </w:r>
      <w:hyperlink w:anchor="SENTENCIA_2015_216" w:history="1">
        <w:r w:rsidRPr="00981775">
          <w:rPr>
            <w:rStyle w:val="TextoNormalCaracter"/>
          </w:rPr>
          <w:t>216/2015</w:t>
        </w:r>
      </w:hyperlink>
      <w:r>
        <w:t>, f. 1.</w:t>
      </w:r>
    </w:p>
    <w:p w:rsidR="00981775" w:rsidRDefault="00981775" w:rsidP="00981775">
      <w:pPr>
        <w:pStyle w:val="SangriaFrancesaArticulo"/>
      </w:pPr>
      <w:r w:rsidRPr="00981775">
        <w:rPr>
          <w:rStyle w:val="TextoNormalNegritaCaracter"/>
        </w:rPr>
        <w:t>Artículo 125.</w:t>
      </w:r>
      <w:r w:rsidRPr="00981775">
        <w:rPr>
          <w:rStyle w:val="TextoNormalCaracter"/>
        </w:rPr>
        <w:t>-</w:t>
      </w:r>
      <w:r>
        <w:t xml:space="preserve"> Sentencia </w:t>
      </w:r>
      <w:hyperlink w:anchor="SENTENCIA_2015_216" w:history="1">
        <w:r w:rsidRPr="00981775">
          <w:rPr>
            <w:rStyle w:val="TextoNormalCaracter"/>
          </w:rPr>
          <w:t>216/2015</w:t>
        </w:r>
      </w:hyperlink>
      <w:r>
        <w:t>, f. 1.</w:t>
      </w:r>
    </w:p>
    <w:p w:rsidR="00981775" w:rsidRDefault="00981775" w:rsidP="00981775">
      <w:pPr>
        <w:pStyle w:val="SangriaFrancesaArticulo"/>
      </w:pPr>
      <w:r w:rsidRPr="00981775">
        <w:rPr>
          <w:rStyle w:val="TextoNormalNegritaCaracter"/>
        </w:rPr>
        <w:t>Artículo 151. 2.</w:t>
      </w:r>
      <w:r w:rsidRPr="00981775">
        <w:rPr>
          <w:rStyle w:val="TextoNormalCaracter"/>
        </w:rPr>
        <w:t>-</w:t>
      </w:r>
      <w:r>
        <w:t xml:space="preserve"> Sentencia </w:t>
      </w:r>
      <w:hyperlink w:anchor="SENTENCIA_2015_199" w:history="1">
        <w:r w:rsidRPr="00981775">
          <w:rPr>
            <w:rStyle w:val="TextoNormalCaracter"/>
          </w:rPr>
          <w:t>199/2015</w:t>
        </w:r>
      </w:hyperlink>
      <w:r>
        <w:t>, f. 11.</w:t>
      </w:r>
    </w:p>
    <w:p w:rsidR="00981775" w:rsidRDefault="00981775" w:rsidP="00981775">
      <w:pPr>
        <w:pStyle w:val="SangriaFrancesaArticulo"/>
      </w:pPr>
      <w:r w:rsidRPr="00981775">
        <w:rPr>
          <w:rStyle w:val="TextoNormalNegritaCaracter"/>
        </w:rPr>
        <w:t>Artículo 151.3.</w:t>
      </w:r>
      <w:r w:rsidRPr="00981775">
        <w:rPr>
          <w:rStyle w:val="TextoNormalCaracter"/>
        </w:rPr>
        <w:t>-</w:t>
      </w:r>
      <w:r>
        <w:t xml:space="preserve"> Sentencia </w:t>
      </w:r>
      <w:hyperlink w:anchor="SENTENCIA_2015_199" w:history="1">
        <w:r w:rsidRPr="00981775">
          <w:rPr>
            <w:rStyle w:val="TextoNormalCaracter"/>
          </w:rPr>
          <w:t>199/2015</w:t>
        </w:r>
      </w:hyperlink>
      <w:r>
        <w:t>, f. 11.</w:t>
      </w:r>
    </w:p>
    <w:p w:rsidR="00981775" w:rsidRDefault="00981775" w:rsidP="00981775">
      <w:pPr>
        <w:pStyle w:val="SangriaFrancesaArticulo"/>
      </w:pPr>
    </w:p>
    <w:p w:rsidR="00981775" w:rsidRDefault="00981775" w:rsidP="00981775">
      <w:pPr>
        <w:pStyle w:val="TextoNormalNegritaCursivandice"/>
      </w:pPr>
      <w:r>
        <w:t>Reglamento del Senado de 3 de mayo de 1994. Texto refundido</w:t>
      </w:r>
    </w:p>
    <w:p w:rsidR="00981775" w:rsidRDefault="00981775" w:rsidP="00981775">
      <w:pPr>
        <w:pStyle w:val="SangriaFrancesaArticulo"/>
      </w:pPr>
      <w:r w:rsidRPr="00981775">
        <w:rPr>
          <w:rStyle w:val="TextoNormalNegritaCaracter"/>
        </w:rPr>
        <w:t>Artículo 36.2.</w:t>
      </w:r>
      <w:r w:rsidRPr="00981775">
        <w:rPr>
          <w:rStyle w:val="TextoNormalCaracter"/>
        </w:rPr>
        <w:t>-</w:t>
      </w:r>
      <w:r>
        <w:t xml:space="preserve"> Sentencia </w:t>
      </w:r>
      <w:hyperlink w:anchor="SENTENCIA_2015_216" w:history="1">
        <w:r w:rsidRPr="00981775">
          <w:rPr>
            <w:rStyle w:val="TextoNormalCaracter"/>
          </w:rPr>
          <w:t>216/2015</w:t>
        </w:r>
      </w:hyperlink>
      <w:r>
        <w:t>, f. 6.</w:t>
      </w:r>
    </w:p>
    <w:p w:rsidR="00981775" w:rsidRDefault="00981775" w:rsidP="00981775">
      <w:pPr>
        <w:pStyle w:val="SangriaFrancesaArticulo"/>
      </w:pPr>
      <w:r w:rsidRPr="00981775">
        <w:rPr>
          <w:rStyle w:val="TextoNormalNegritaCaracter"/>
        </w:rPr>
        <w:t>Artículo 90.1.</w:t>
      </w:r>
      <w:r w:rsidRPr="00981775">
        <w:rPr>
          <w:rStyle w:val="TextoNormalCaracter"/>
        </w:rPr>
        <w:t>-</w:t>
      </w:r>
      <w:r>
        <w:t xml:space="preserve"> Sentencia </w:t>
      </w:r>
      <w:hyperlink w:anchor="SENTENCIA_2015_231" w:history="1">
        <w:r w:rsidRPr="00981775">
          <w:rPr>
            <w:rStyle w:val="TextoNormalCaracter"/>
          </w:rPr>
          <w:t>231/2015</w:t>
        </w:r>
      </w:hyperlink>
      <w:r>
        <w:t>, f. 8.</w:t>
      </w:r>
    </w:p>
    <w:p w:rsidR="00981775" w:rsidRDefault="00981775" w:rsidP="00981775">
      <w:pPr>
        <w:pStyle w:val="SangriaFrancesaArticulo"/>
      </w:pPr>
      <w:r w:rsidRPr="00981775">
        <w:rPr>
          <w:rStyle w:val="TextoNormalNegritaCaracter"/>
        </w:rPr>
        <w:t>Artículo 107.2.</w:t>
      </w:r>
      <w:r w:rsidRPr="00981775">
        <w:rPr>
          <w:rStyle w:val="TextoNormalCaracter"/>
        </w:rPr>
        <w:t>-</w:t>
      </w:r>
      <w:r>
        <w:t xml:space="preserve"> Sentencia </w:t>
      </w:r>
      <w:hyperlink w:anchor="SENTENCIA_2015_231" w:history="1">
        <w:r w:rsidRPr="00981775">
          <w:rPr>
            <w:rStyle w:val="TextoNormalCaracter"/>
          </w:rPr>
          <w:t>231/2015</w:t>
        </w:r>
      </w:hyperlink>
      <w:r>
        <w:t>, f. 6.</w:t>
      </w:r>
    </w:p>
    <w:p w:rsidR="00981775" w:rsidRDefault="00981775" w:rsidP="00981775">
      <w:pPr>
        <w:pStyle w:val="SangriaFrancesaArticulo"/>
      </w:pPr>
      <w:r w:rsidRPr="00981775">
        <w:rPr>
          <w:rStyle w:val="TextoNormalNegritaCaracter"/>
        </w:rPr>
        <w:t>Artículo 108.</w:t>
      </w:r>
      <w:r w:rsidRPr="00981775">
        <w:rPr>
          <w:rStyle w:val="TextoNormalCaracter"/>
        </w:rPr>
        <w:t>-</w:t>
      </w:r>
      <w:r>
        <w:t xml:space="preserve"> Sentencia </w:t>
      </w:r>
      <w:hyperlink w:anchor="SENTENCIA_2015_216" w:history="1">
        <w:r w:rsidRPr="00981775">
          <w:rPr>
            <w:rStyle w:val="TextoNormalCaracter"/>
          </w:rPr>
          <w:t>216/2015</w:t>
        </w:r>
      </w:hyperlink>
      <w:r>
        <w:t>, f. 1.</w:t>
      </w:r>
    </w:p>
    <w:p w:rsidR="00981775" w:rsidRDefault="00981775" w:rsidP="00981775">
      <w:pPr>
        <w:pStyle w:val="TextoNormal"/>
      </w:pPr>
    </w:p>
    <w:p w:rsidR="00981775" w:rsidRDefault="00981775" w:rsidP="00981775">
      <w:pPr>
        <w:pStyle w:val="SangriaFrancesaArticulo"/>
      </w:pPr>
      <w:bookmarkStart w:id="251" w:name="INDICE22845"/>
    </w:p>
    <w:bookmarkEnd w:id="251"/>
    <w:p w:rsidR="00981775" w:rsidRDefault="00981775" w:rsidP="00981775">
      <w:pPr>
        <w:pStyle w:val="TextoIndiceNivel2"/>
        <w:suppressAutoHyphens/>
      </w:pPr>
      <w:r>
        <w:t>D) Leyes Orgánicas</w:t>
      </w:r>
    </w:p>
    <w:p w:rsidR="00981775" w:rsidRDefault="00981775" w:rsidP="00981775">
      <w:pPr>
        <w:pStyle w:val="TextoIndiceNivel2"/>
      </w:pPr>
    </w:p>
    <w:p w:rsidR="00981775" w:rsidRDefault="00981775" w:rsidP="00981775">
      <w:pPr>
        <w:pStyle w:val="TextoNormalNegritaCursivandice"/>
      </w:pPr>
      <w:r>
        <w:t>Ley Orgánica 3/1980, de 22 de abril. Consejo de Estado</w:t>
      </w:r>
    </w:p>
    <w:p w:rsidR="00981775" w:rsidRDefault="00981775" w:rsidP="00981775">
      <w:pPr>
        <w:pStyle w:val="SangriaFrancesaArticulo"/>
      </w:pPr>
      <w:r w:rsidRPr="00981775">
        <w:rPr>
          <w:rStyle w:val="TextoNormalNegritaCaracter"/>
        </w:rPr>
        <w:t>Artículo 22.3.</w:t>
      </w:r>
      <w:r w:rsidRPr="00981775">
        <w:rPr>
          <w:rStyle w:val="TextoNormalCaracter"/>
        </w:rPr>
        <w:t>-</w:t>
      </w:r>
      <w:r>
        <w:t xml:space="preserve"> Sentencia </w:t>
      </w:r>
      <w:hyperlink w:anchor="SENTENCIA_2015_231" w:history="1">
        <w:r w:rsidRPr="00981775">
          <w:rPr>
            <w:rStyle w:val="TextoNormalCaracter"/>
          </w:rPr>
          <w:t>231/2015</w:t>
        </w:r>
      </w:hyperlink>
      <w:r>
        <w:t>, f. 1.</w:t>
      </w:r>
    </w:p>
    <w:p w:rsidR="00981775" w:rsidRDefault="00981775" w:rsidP="00981775">
      <w:pPr>
        <w:pStyle w:val="SangriaFrancesaArticulo"/>
      </w:pPr>
    </w:p>
    <w:p w:rsidR="00981775" w:rsidRDefault="00981775" w:rsidP="00981775">
      <w:pPr>
        <w:pStyle w:val="TextoNormalNegritaCursivandice"/>
      </w:pPr>
      <w:r>
        <w:t>Ley Orgánica 8/1980, de 22 de septiembre. Financiación de las Comunidades Autónomas</w:t>
      </w:r>
    </w:p>
    <w:p w:rsidR="00981775" w:rsidRDefault="00981775" w:rsidP="00981775">
      <w:pPr>
        <w:pStyle w:val="SangriaFrancesaArticulo"/>
      </w:pPr>
      <w:r w:rsidRPr="00981775">
        <w:rPr>
          <w:rStyle w:val="TextoNormalNegritaCaracter"/>
        </w:rPr>
        <w:t>Artículo 2.1 b).</w:t>
      </w:r>
      <w:r w:rsidRPr="00981775">
        <w:rPr>
          <w:rStyle w:val="TextoNormalCaracter"/>
        </w:rPr>
        <w:t>-</w:t>
      </w:r>
      <w:r>
        <w:t xml:space="preserve"> Sentencias </w:t>
      </w:r>
      <w:hyperlink w:anchor="SENTENCIA_2015_215" w:history="1">
        <w:r w:rsidRPr="00981775">
          <w:rPr>
            <w:rStyle w:val="TextoNormalCaracter"/>
          </w:rPr>
          <w:t>215/2015</w:t>
        </w:r>
      </w:hyperlink>
      <w:r>
        <w:t xml:space="preserve">, f. 6; </w:t>
      </w:r>
      <w:hyperlink w:anchor="SENTENCIA_2015_243" w:history="1">
        <w:r w:rsidRPr="00981775">
          <w:rPr>
            <w:rStyle w:val="TextoNormalCaracter"/>
          </w:rPr>
          <w:t>243/2015</w:t>
        </w:r>
      </w:hyperlink>
      <w:r>
        <w:t>, f. 7.</w:t>
      </w:r>
    </w:p>
    <w:p w:rsidR="00981775" w:rsidRDefault="00981775" w:rsidP="00981775">
      <w:pPr>
        <w:pStyle w:val="SangriaFrancesaArticulo"/>
      </w:pPr>
      <w:r w:rsidRPr="00981775">
        <w:rPr>
          <w:rStyle w:val="TextoNormalNegritaCaracter"/>
        </w:rPr>
        <w:t>Artículo 6.2.</w:t>
      </w:r>
      <w:r w:rsidRPr="00981775">
        <w:rPr>
          <w:rStyle w:val="TextoNormalCaracter"/>
        </w:rPr>
        <w:t>-</w:t>
      </w:r>
      <w:r>
        <w:t xml:space="preserve"> Sentencias </w:t>
      </w:r>
      <w:hyperlink w:anchor="SENTENCIA_2015_202" w:history="1">
        <w:r w:rsidRPr="00981775">
          <w:rPr>
            <w:rStyle w:val="TextoNormalCaracter"/>
          </w:rPr>
          <w:t>202/2015</w:t>
        </w:r>
      </w:hyperlink>
      <w:r>
        <w:t xml:space="preserve">, ff. 1, 3; </w:t>
      </w:r>
      <w:hyperlink w:anchor="SENTENCIA_2015_211" w:history="1">
        <w:r w:rsidRPr="00981775">
          <w:rPr>
            <w:rStyle w:val="TextoNormalCaracter"/>
          </w:rPr>
          <w:t>211/2015</w:t>
        </w:r>
      </w:hyperlink>
      <w:r>
        <w:t>, f. 6.</w:t>
      </w:r>
    </w:p>
    <w:p w:rsidR="00981775" w:rsidRDefault="00981775" w:rsidP="00981775">
      <w:pPr>
        <w:pStyle w:val="SangriaIzquierdaArticulo"/>
      </w:pPr>
      <w:r>
        <w:t xml:space="preserve">Autos </w:t>
      </w:r>
      <w:hyperlink w:anchor="AUTO_2015_196" w:history="1">
        <w:r w:rsidRPr="00981775">
          <w:rPr>
            <w:rStyle w:val="TextoNormalCaracter"/>
          </w:rPr>
          <w:t>196/2015</w:t>
        </w:r>
      </w:hyperlink>
      <w:r>
        <w:t xml:space="preserve">, f. 1; </w:t>
      </w:r>
      <w:hyperlink w:anchor="AUTO_2015_202" w:history="1">
        <w:r w:rsidRPr="00981775">
          <w:rPr>
            <w:rStyle w:val="TextoNormalCaracter"/>
          </w:rPr>
          <w:t>202/2015</w:t>
        </w:r>
      </w:hyperlink>
      <w:r>
        <w:t>, f. 1.</w:t>
      </w:r>
    </w:p>
    <w:p w:rsidR="00981775" w:rsidRDefault="00981775" w:rsidP="00981775">
      <w:pPr>
        <w:pStyle w:val="SangriaIzquierdaArticulo"/>
      </w:pPr>
    </w:p>
    <w:p w:rsidR="00981775" w:rsidRDefault="00981775" w:rsidP="00981775">
      <w:pPr>
        <w:pStyle w:val="TextoNormalNegritaCursivandice"/>
      </w:pPr>
      <w:r>
        <w:t>Ley Orgánica 11/1983, de 25 de agosto. Reforma universitaria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6" w:history="1">
        <w:r w:rsidRPr="00981775">
          <w:rPr>
            <w:rStyle w:val="TextoNormalCaracter"/>
          </w:rPr>
          <w:t>176/2015</w:t>
        </w:r>
      </w:hyperlink>
      <w:r>
        <w:t>, f. 7, VP.</w:t>
      </w:r>
    </w:p>
    <w:p w:rsidR="00981775" w:rsidRDefault="00981775" w:rsidP="00981775">
      <w:pPr>
        <w:pStyle w:val="SangriaFrancesaArticulo"/>
      </w:pPr>
      <w:r w:rsidRPr="00981775">
        <w:rPr>
          <w:rStyle w:val="TextoNormalNegritaCaracter"/>
        </w:rPr>
        <w:t>Artículo 24.</w:t>
      </w:r>
      <w:r w:rsidRPr="00981775">
        <w:rPr>
          <w:rStyle w:val="TextoNormalCaracter"/>
        </w:rPr>
        <w:t>-</w:t>
      </w:r>
      <w:r>
        <w:t xml:space="preserve"> Sentencia </w:t>
      </w:r>
      <w:hyperlink w:anchor="SENTENCIA_2015_176" w:history="1">
        <w:r w:rsidRPr="00981775">
          <w:rPr>
            <w:rStyle w:val="TextoNormalCaracter"/>
          </w:rPr>
          <w:t>176/2015</w:t>
        </w:r>
      </w:hyperlink>
      <w:r>
        <w:t>, f. 3.</w:t>
      </w:r>
    </w:p>
    <w:p w:rsidR="00981775" w:rsidRDefault="00981775" w:rsidP="00981775">
      <w:pPr>
        <w:pStyle w:val="SangriaFrancesaArticulo"/>
      </w:pPr>
    </w:p>
    <w:p w:rsidR="00981775" w:rsidRDefault="00981775" w:rsidP="00981775">
      <w:pPr>
        <w:pStyle w:val="TextoNormalNegritaCursivandice"/>
      </w:pPr>
      <w:r>
        <w:t>Ley Orgánica 3/1984, de 26 de marzo. Regulación de la iniciativa legislativa popular</w:t>
      </w:r>
    </w:p>
    <w:p w:rsidR="00981775" w:rsidRDefault="00981775" w:rsidP="00981775">
      <w:pPr>
        <w:pStyle w:val="SangriaFrancesaArticulo"/>
      </w:pPr>
      <w:r w:rsidRPr="00981775">
        <w:rPr>
          <w:rStyle w:val="TextoNormalNegritaCaracter"/>
        </w:rPr>
        <w:t>Artículo 5.2 c).</w:t>
      </w:r>
      <w:r w:rsidRPr="00981775">
        <w:rPr>
          <w:rStyle w:val="TextoNormalCaracter"/>
        </w:rPr>
        <w:t>-</w:t>
      </w:r>
      <w:r>
        <w:t xml:space="preserve"> Sentencia </w:t>
      </w:r>
      <w:hyperlink w:anchor="SENTENCIA_2015_199" w:history="1">
        <w:r w:rsidRPr="00981775">
          <w:rPr>
            <w:rStyle w:val="TextoNormalCaracter"/>
          </w:rPr>
          <w:t>199/2015</w:t>
        </w:r>
      </w:hyperlink>
      <w:r>
        <w:t>, f. 3.</w:t>
      </w:r>
    </w:p>
    <w:p w:rsidR="00981775" w:rsidRDefault="00981775" w:rsidP="00981775">
      <w:pPr>
        <w:pStyle w:val="SangriaFrancesaArticulo"/>
      </w:pPr>
    </w:p>
    <w:p w:rsidR="00981775" w:rsidRDefault="00981775" w:rsidP="00981775">
      <w:pPr>
        <w:pStyle w:val="TextoNormalNegritaCursivandice"/>
      </w:pPr>
      <w:r>
        <w:t>Ley Orgánica 6/1984, de 24 de mayo. Regula del procedimiento de Habeas Corpus</w:t>
      </w:r>
    </w:p>
    <w:p w:rsidR="00981775" w:rsidRDefault="00981775" w:rsidP="00981775">
      <w:pPr>
        <w:pStyle w:val="SangriaFrancesaArticulo"/>
      </w:pPr>
      <w:r w:rsidRPr="00981775">
        <w:rPr>
          <w:rStyle w:val="TextoNormalNegritaCaracter"/>
        </w:rPr>
        <w:t>Artículo 1.</w:t>
      </w:r>
      <w:r w:rsidRPr="00981775">
        <w:rPr>
          <w:rStyle w:val="TextoNormalCaracter"/>
        </w:rPr>
        <w:t>-</w:t>
      </w:r>
      <w:r>
        <w:t xml:space="preserve"> Sentencia </w:t>
      </w:r>
      <w:hyperlink w:anchor="SENTENCIA_2015_204" w:history="1">
        <w:r w:rsidRPr="00981775">
          <w:rPr>
            <w:rStyle w:val="TextoNormalCaracter"/>
          </w:rPr>
          <w:t>204/2015</w:t>
        </w:r>
      </w:hyperlink>
      <w:r>
        <w:t>, ff. 1 a 3.</w:t>
      </w:r>
    </w:p>
    <w:p w:rsidR="00981775" w:rsidRDefault="00981775" w:rsidP="00981775">
      <w:pPr>
        <w:pStyle w:val="SangriaFrancesaArticulo"/>
      </w:pPr>
      <w:r w:rsidRPr="00981775">
        <w:rPr>
          <w:rStyle w:val="TextoNormalNegritaCaracter"/>
        </w:rPr>
        <w:t>Artículo 1 a).</w:t>
      </w:r>
      <w:r w:rsidRPr="00981775">
        <w:rPr>
          <w:rStyle w:val="TextoNormalCaracter"/>
        </w:rPr>
        <w:t>-</w:t>
      </w:r>
      <w:r>
        <w:t xml:space="preserve"> Sentencia </w:t>
      </w:r>
      <w:hyperlink w:anchor="SENTENCIA_2015_204" w:history="1">
        <w:r w:rsidRPr="00981775">
          <w:rPr>
            <w:rStyle w:val="TextoNormalCaracter"/>
          </w:rPr>
          <w:t>204/2015</w:t>
        </w:r>
      </w:hyperlink>
      <w:r>
        <w:t>, f. 3.</w:t>
      </w:r>
    </w:p>
    <w:p w:rsidR="00981775" w:rsidRDefault="00981775" w:rsidP="00981775">
      <w:pPr>
        <w:pStyle w:val="SangriaFrancesaArticulo"/>
      </w:pPr>
      <w:r w:rsidRPr="00981775">
        <w:rPr>
          <w:rStyle w:val="TextoNormalNegritaCaracter"/>
        </w:rPr>
        <w:t>Artículo 4.</w:t>
      </w:r>
      <w:r w:rsidRPr="00981775">
        <w:rPr>
          <w:rStyle w:val="TextoNormalCaracter"/>
        </w:rPr>
        <w:t>-</w:t>
      </w:r>
      <w:r>
        <w:t xml:space="preserve"> Sentencia </w:t>
      </w:r>
      <w:hyperlink w:anchor="SENTENCIA_2015_204" w:history="1">
        <w:r w:rsidRPr="00981775">
          <w:rPr>
            <w:rStyle w:val="TextoNormalCaracter"/>
          </w:rPr>
          <w:t>204/2015</w:t>
        </w:r>
      </w:hyperlink>
      <w:r>
        <w:t>, ff. 2, 3.</w:t>
      </w:r>
    </w:p>
    <w:p w:rsidR="00981775" w:rsidRDefault="00981775" w:rsidP="00981775">
      <w:pPr>
        <w:pStyle w:val="SangriaFrancesaArticulo"/>
      </w:pPr>
      <w:r w:rsidRPr="00981775">
        <w:rPr>
          <w:rStyle w:val="TextoNormalNegritaCaracter"/>
        </w:rPr>
        <w:t>Artículo 4 c).</w:t>
      </w:r>
      <w:r w:rsidRPr="00981775">
        <w:rPr>
          <w:rStyle w:val="TextoNormalCaracter"/>
        </w:rPr>
        <w:t>-</w:t>
      </w:r>
      <w:r>
        <w:t xml:space="preserve"> Sentencia </w:t>
      </w:r>
      <w:hyperlink w:anchor="SENTENCIA_2015_204" w:history="1">
        <w:r w:rsidRPr="00981775">
          <w:rPr>
            <w:rStyle w:val="TextoNormalCaracter"/>
          </w:rPr>
          <w:t>204/2015</w:t>
        </w:r>
      </w:hyperlink>
      <w:r>
        <w:t>, f. 3.</w:t>
      </w:r>
    </w:p>
    <w:p w:rsidR="00981775" w:rsidRDefault="00981775" w:rsidP="00981775">
      <w:pPr>
        <w:pStyle w:val="SangriaFrancesaArticulo"/>
      </w:pPr>
      <w:r w:rsidRPr="00981775">
        <w:rPr>
          <w:rStyle w:val="TextoNormalNegritaCaracter"/>
        </w:rPr>
        <w:t>Artículo 6.</w:t>
      </w:r>
      <w:r w:rsidRPr="00981775">
        <w:rPr>
          <w:rStyle w:val="TextoNormalCaracter"/>
        </w:rPr>
        <w:t>-</w:t>
      </w:r>
      <w:r>
        <w:t xml:space="preserve"> Sentencia </w:t>
      </w:r>
      <w:hyperlink w:anchor="SENTENCIA_2015_204" w:history="1">
        <w:r w:rsidRPr="00981775">
          <w:rPr>
            <w:rStyle w:val="TextoNormalCaracter"/>
          </w:rPr>
          <w:t>204/2015</w:t>
        </w:r>
      </w:hyperlink>
      <w:r>
        <w:t>, f. 1.</w:t>
      </w:r>
    </w:p>
    <w:p w:rsidR="00981775" w:rsidRDefault="00981775" w:rsidP="00981775">
      <w:pPr>
        <w:pStyle w:val="SangriaFrancesaArticulo"/>
      </w:pPr>
      <w:r w:rsidRPr="00981775">
        <w:rPr>
          <w:rStyle w:val="TextoNormalNegritaCaracter"/>
        </w:rPr>
        <w:t>Artículo 7.</w:t>
      </w:r>
      <w:r w:rsidRPr="00981775">
        <w:rPr>
          <w:rStyle w:val="TextoNormalCaracter"/>
        </w:rPr>
        <w:t>-</w:t>
      </w:r>
      <w:r>
        <w:t xml:space="preserve"> Sentencia </w:t>
      </w:r>
      <w:hyperlink w:anchor="SENTENCIA_2015_204" w:history="1">
        <w:r w:rsidRPr="00981775">
          <w:rPr>
            <w:rStyle w:val="TextoNormalCaracter"/>
          </w:rPr>
          <w:t>204/2015</w:t>
        </w:r>
      </w:hyperlink>
      <w:r>
        <w:t>, f. 4.</w:t>
      </w:r>
    </w:p>
    <w:p w:rsidR="00981775" w:rsidRDefault="00981775" w:rsidP="00981775">
      <w:pPr>
        <w:pStyle w:val="SangriaFrancesaArticulo"/>
      </w:pPr>
      <w:r w:rsidRPr="00981775">
        <w:rPr>
          <w:rStyle w:val="TextoNormalNegritaCaracter"/>
        </w:rPr>
        <w:t>Artículo 8.</w:t>
      </w:r>
      <w:r w:rsidRPr="00981775">
        <w:rPr>
          <w:rStyle w:val="TextoNormalCaracter"/>
        </w:rPr>
        <w:t>-</w:t>
      </w:r>
      <w:r>
        <w:t xml:space="preserve"> Sentencia </w:t>
      </w:r>
      <w:hyperlink w:anchor="SENTENCIA_2015_204" w:history="1">
        <w:r w:rsidRPr="00981775">
          <w:rPr>
            <w:rStyle w:val="TextoNormalCaracter"/>
          </w:rPr>
          <w:t>204/2015</w:t>
        </w:r>
      </w:hyperlink>
      <w:r>
        <w:t>, f. 1.</w:t>
      </w:r>
    </w:p>
    <w:p w:rsidR="00981775" w:rsidRDefault="00981775" w:rsidP="00981775">
      <w:pPr>
        <w:pStyle w:val="SangriaFrancesaArticulo"/>
      </w:pPr>
    </w:p>
    <w:p w:rsidR="00981775" w:rsidRDefault="00981775" w:rsidP="00981775">
      <w:pPr>
        <w:pStyle w:val="TextoNormalNegritaCursivandice"/>
      </w:pPr>
      <w:r>
        <w:t>Proyecto de Ley Orgánica de libertad sindical (BOCG de 31 de julio de 1984)</w:t>
      </w:r>
    </w:p>
    <w:p w:rsidR="00981775" w:rsidRDefault="00981775" w:rsidP="00981775">
      <w:pPr>
        <w:pStyle w:val="SangriaFrancesaArticulo"/>
      </w:pPr>
      <w:r w:rsidRPr="00981775">
        <w:rPr>
          <w:rStyle w:val="TextoNormalNegritaCaracter"/>
        </w:rPr>
        <w:t>Artículo 6.</w:t>
      </w:r>
      <w:r w:rsidRPr="00981775">
        <w:rPr>
          <w:rStyle w:val="TextoNormalCaracter"/>
        </w:rPr>
        <w:t>-</w:t>
      </w:r>
      <w:r>
        <w:t xml:space="preserve"> Sentencia </w:t>
      </w:r>
      <w:hyperlink w:anchor="SENTENCIA_2015_203" w:history="1">
        <w:r w:rsidRPr="00981775">
          <w:rPr>
            <w:rStyle w:val="TextoNormalCaracter"/>
          </w:rPr>
          <w:t>203/2015</w:t>
        </w:r>
      </w:hyperlink>
      <w:r>
        <w:t>, f. 5.</w:t>
      </w:r>
    </w:p>
    <w:p w:rsidR="00981775" w:rsidRDefault="00981775" w:rsidP="00981775">
      <w:pPr>
        <w:pStyle w:val="SangriaFrancesaArticulo"/>
      </w:pPr>
      <w:r w:rsidRPr="00981775">
        <w:rPr>
          <w:rStyle w:val="TextoNormalNegritaCaracter"/>
        </w:rPr>
        <w:t>Artículo 7.1.</w:t>
      </w:r>
      <w:r w:rsidRPr="00981775">
        <w:rPr>
          <w:rStyle w:val="TextoNormalCaracter"/>
        </w:rPr>
        <w:t>-</w:t>
      </w:r>
      <w:r>
        <w:t xml:space="preserve"> Sentencia </w:t>
      </w:r>
      <w:hyperlink w:anchor="SENTENCIA_2015_203" w:history="1">
        <w:r w:rsidRPr="00981775">
          <w:rPr>
            <w:rStyle w:val="TextoNormalCaracter"/>
          </w:rPr>
          <w:t>203/2015</w:t>
        </w:r>
      </w:hyperlink>
      <w:r>
        <w:t>, f. 5.</w:t>
      </w:r>
    </w:p>
    <w:p w:rsidR="00981775" w:rsidRDefault="00981775" w:rsidP="00981775">
      <w:pPr>
        <w:pStyle w:val="SangriaFrancesaArticulo"/>
      </w:pPr>
      <w:r w:rsidRPr="00981775">
        <w:rPr>
          <w:rStyle w:val="TextoNormalNegritaCaracter"/>
        </w:rPr>
        <w:t>Artículo 7.2.</w:t>
      </w:r>
      <w:r w:rsidRPr="00981775">
        <w:rPr>
          <w:rStyle w:val="TextoNormalCaracter"/>
        </w:rPr>
        <w:t>-</w:t>
      </w:r>
      <w:r>
        <w:t xml:space="preserve"> Sentencia </w:t>
      </w:r>
      <w:hyperlink w:anchor="SENTENCIA_2015_203" w:history="1">
        <w:r w:rsidRPr="00981775">
          <w:rPr>
            <w:rStyle w:val="TextoNormalCaracter"/>
          </w:rPr>
          <w:t>203/2015</w:t>
        </w:r>
      </w:hyperlink>
      <w:r>
        <w:t>, f. 5.</w:t>
      </w:r>
    </w:p>
    <w:p w:rsidR="00981775" w:rsidRDefault="00981775" w:rsidP="00981775">
      <w:pPr>
        <w:pStyle w:val="SangriaFrancesaArticulo"/>
      </w:pPr>
    </w:p>
    <w:p w:rsidR="00981775" w:rsidRDefault="00981775" w:rsidP="00981775">
      <w:pPr>
        <w:pStyle w:val="TextoNormalNegritaCursivandice"/>
      </w:pPr>
      <w:r>
        <w:t>Ley Orgánica 5/1985, de 19 de junio. Régimen electoral general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Sentencias </w:t>
      </w:r>
      <w:hyperlink w:anchor="SENTENCIA_2015_158" w:history="1">
        <w:r w:rsidRPr="00981775">
          <w:rPr>
            <w:rStyle w:val="TextoNormalCaracter"/>
          </w:rPr>
          <w:t>158/2015</w:t>
        </w:r>
      </w:hyperlink>
      <w:r>
        <w:t xml:space="preserve">, f. 3; </w:t>
      </w:r>
      <w:hyperlink w:anchor="SENTENCIA_2015_159" w:history="1">
        <w:r w:rsidRPr="00981775">
          <w:rPr>
            <w:rStyle w:val="TextoNormalCaracter"/>
          </w:rPr>
          <w:t>159/2015</w:t>
        </w:r>
      </w:hyperlink>
      <w:r>
        <w:t>, f. 5.</w:t>
      </w:r>
    </w:p>
    <w:p w:rsidR="00981775" w:rsidRDefault="00981775" w:rsidP="00981775">
      <w:pPr>
        <w:pStyle w:val="SangriaFrancesaArticulo"/>
      </w:pPr>
      <w:r w:rsidRPr="00981775">
        <w:rPr>
          <w:rStyle w:val="TextoNormalNegritaCaracter"/>
        </w:rPr>
        <w:t>Artículo 44 bis</w:t>
      </w:r>
      <w:r>
        <w:t xml:space="preserve"> (redactado por la Ley Orgánica 3/2007, de 22 de marzo)</w:t>
      </w:r>
      <w:r w:rsidRPr="00981775">
        <w:rPr>
          <w:rStyle w:val="TextoNormalNegritaCaracter"/>
        </w:rPr>
        <w:t>.</w:t>
      </w:r>
      <w:r w:rsidRPr="00981775">
        <w:rPr>
          <w:rStyle w:val="TextoNormalCaracter"/>
        </w:rPr>
        <w:t>-</w:t>
      </w:r>
      <w:r>
        <w:t xml:space="preserve"> Sentencia </w:t>
      </w:r>
      <w:hyperlink w:anchor="SENTENCIA_2015_176" w:history="1">
        <w:r w:rsidRPr="00981775">
          <w:rPr>
            <w:rStyle w:val="TextoNormalCaracter"/>
          </w:rPr>
          <w:t>176/2015</w:t>
        </w:r>
      </w:hyperlink>
      <w:r>
        <w:t>, f. 2.</w:t>
      </w:r>
    </w:p>
    <w:p w:rsidR="00981775" w:rsidRDefault="00981775" w:rsidP="00981775">
      <w:pPr>
        <w:pStyle w:val="SangriaFrancesaArticulo"/>
      </w:pPr>
      <w:r w:rsidRPr="00981775">
        <w:rPr>
          <w:rStyle w:val="TextoNormalNegritaCaracter"/>
        </w:rPr>
        <w:t>Artículo 96.</w:t>
      </w:r>
      <w:r w:rsidRPr="00981775">
        <w:rPr>
          <w:rStyle w:val="TextoNormalCaracter"/>
        </w:rPr>
        <w:t>-</w:t>
      </w:r>
      <w:r>
        <w:t xml:space="preserve"> Sentencia </w:t>
      </w:r>
      <w:hyperlink w:anchor="SENTENCIA_2015_159" w:history="1">
        <w:r w:rsidRPr="00981775">
          <w:rPr>
            <w:rStyle w:val="TextoNormalCaracter"/>
          </w:rPr>
          <w:t>159/2015</w:t>
        </w:r>
      </w:hyperlink>
      <w:r>
        <w:t>, f. 4.</w:t>
      </w:r>
    </w:p>
    <w:p w:rsidR="00981775" w:rsidRDefault="00981775" w:rsidP="00981775">
      <w:pPr>
        <w:pStyle w:val="SangriaFrancesaArticulo"/>
      </w:pPr>
      <w:r w:rsidRPr="00981775">
        <w:rPr>
          <w:rStyle w:val="TextoNormalNegritaCaracter"/>
        </w:rPr>
        <w:t>Artículo 96.2.</w:t>
      </w:r>
      <w:r w:rsidRPr="00981775">
        <w:rPr>
          <w:rStyle w:val="TextoNormalCaracter"/>
        </w:rPr>
        <w:t>-</w:t>
      </w:r>
      <w:r>
        <w:t xml:space="preserve"> Sentencia </w:t>
      </w:r>
      <w:hyperlink w:anchor="SENTENCIA_2015_158" w:history="1">
        <w:r w:rsidRPr="00981775">
          <w:rPr>
            <w:rStyle w:val="TextoNormalCaracter"/>
          </w:rPr>
          <w:t>158/2015</w:t>
        </w:r>
      </w:hyperlink>
      <w:r>
        <w:t>, ff. 1, 3 a 5.</w:t>
      </w:r>
    </w:p>
    <w:p w:rsidR="00981775" w:rsidRDefault="00981775" w:rsidP="00981775">
      <w:pPr>
        <w:pStyle w:val="SangriaFrancesaArticulo"/>
      </w:pPr>
      <w:r w:rsidRPr="00981775">
        <w:rPr>
          <w:rStyle w:val="TextoNormalNegritaCaracter"/>
        </w:rPr>
        <w:t>Artículo 96.3.</w:t>
      </w:r>
      <w:r w:rsidRPr="00981775">
        <w:rPr>
          <w:rStyle w:val="TextoNormalCaracter"/>
        </w:rPr>
        <w:t>-</w:t>
      </w:r>
      <w:r>
        <w:t xml:space="preserve"> Sentencia </w:t>
      </w:r>
      <w:hyperlink w:anchor="SENTENCIA_2015_158" w:history="1">
        <w:r w:rsidRPr="00981775">
          <w:rPr>
            <w:rStyle w:val="TextoNormalCaracter"/>
          </w:rPr>
          <w:t>158/2015</w:t>
        </w:r>
      </w:hyperlink>
      <w:r>
        <w:t>, f. 4.</w:t>
      </w:r>
    </w:p>
    <w:p w:rsidR="00981775" w:rsidRDefault="00981775" w:rsidP="00981775">
      <w:pPr>
        <w:pStyle w:val="SangriaFrancesaArticulo"/>
      </w:pPr>
      <w:r w:rsidRPr="00981775">
        <w:rPr>
          <w:rStyle w:val="TextoNormalNegritaCaracter"/>
        </w:rPr>
        <w:t>Artículo 97.2.</w:t>
      </w:r>
      <w:r w:rsidRPr="00981775">
        <w:rPr>
          <w:rStyle w:val="TextoNormalCaracter"/>
        </w:rPr>
        <w:t>-</w:t>
      </w:r>
      <w:r>
        <w:t xml:space="preserve"> Sentencia </w:t>
      </w:r>
      <w:hyperlink w:anchor="SENTENCIA_2015_159" w:history="1">
        <w:r w:rsidRPr="00981775">
          <w:rPr>
            <w:rStyle w:val="TextoNormalCaracter"/>
          </w:rPr>
          <w:t>159/2015</w:t>
        </w:r>
      </w:hyperlink>
      <w:r>
        <w:t>, ff. 3, 4.</w:t>
      </w:r>
    </w:p>
    <w:p w:rsidR="00981775" w:rsidRDefault="00981775" w:rsidP="00981775">
      <w:pPr>
        <w:pStyle w:val="SangriaFrancesaArticulo"/>
      </w:pPr>
      <w:r w:rsidRPr="00981775">
        <w:rPr>
          <w:rStyle w:val="TextoNormalNegritaCaracter"/>
        </w:rPr>
        <w:t>Artículo 97.3.</w:t>
      </w:r>
      <w:r w:rsidRPr="00981775">
        <w:rPr>
          <w:rStyle w:val="TextoNormalCaracter"/>
        </w:rPr>
        <w:t>-</w:t>
      </w:r>
      <w:r>
        <w:t xml:space="preserve"> Sentencia </w:t>
      </w:r>
      <w:hyperlink w:anchor="SENTENCIA_2015_159" w:history="1">
        <w:r w:rsidRPr="00981775">
          <w:rPr>
            <w:rStyle w:val="TextoNormalCaracter"/>
          </w:rPr>
          <w:t>159/2015</w:t>
        </w:r>
      </w:hyperlink>
      <w:r>
        <w:t>, ff. 4, 5.</w:t>
      </w:r>
    </w:p>
    <w:p w:rsidR="00981775" w:rsidRDefault="00981775" w:rsidP="00981775">
      <w:pPr>
        <w:pStyle w:val="SangriaFrancesaArticulo"/>
      </w:pPr>
      <w:r w:rsidRPr="00981775">
        <w:rPr>
          <w:rStyle w:val="TextoNormalNegritaCaracter"/>
        </w:rPr>
        <w:t>Artículo 100.</w:t>
      </w:r>
      <w:r w:rsidRPr="00981775">
        <w:rPr>
          <w:rStyle w:val="TextoNormalCaracter"/>
        </w:rPr>
        <w:t>-</w:t>
      </w:r>
      <w:r>
        <w:t xml:space="preserve"> Sentencia </w:t>
      </w:r>
      <w:hyperlink w:anchor="SENTENCIA_2015_159" w:history="1">
        <w:r w:rsidRPr="00981775">
          <w:rPr>
            <w:rStyle w:val="TextoNormalCaracter"/>
          </w:rPr>
          <w:t>159/2015</w:t>
        </w:r>
      </w:hyperlink>
      <w:r>
        <w:t>, f. 4.</w:t>
      </w:r>
    </w:p>
    <w:p w:rsidR="00981775" w:rsidRDefault="00981775" w:rsidP="00981775">
      <w:pPr>
        <w:pStyle w:val="SangriaFrancesaArticulo"/>
      </w:pPr>
      <w:r w:rsidRPr="00981775">
        <w:rPr>
          <w:rStyle w:val="TextoNormalNegritaCaracter"/>
        </w:rPr>
        <w:t>Artículo 100.2.</w:t>
      </w:r>
      <w:r w:rsidRPr="00981775">
        <w:rPr>
          <w:rStyle w:val="TextoNormalCaracter"/>
        </w:rPr>
        <w:t>-</w:t>
      </w:r>
      <w:r>
        <w:t xml:space="preserve"> Sentencia </w:t>
      </w:r>
      <w:hyperlink w:anchor="SENTENCIA_2015_159" w:history="1">
        <w:r w:rsidRPr="00981775">
          <w:rPr>
            <w:rStyle w:val="TextoNormalCaracter"/>
          </w:rPr>
          <w:t>159/2015</w:t>
        </w:r>
      </w:hyperlink>
      <w:r>
        <w:t>, f. 4.</w:t>
      </w:r>
    </w:p>
    <w:p w:rsidR="00981775" w:rsidRDefault="00981775" w:rsidP="00981775">
      <w:pPr>
        <w:pStyle w:val="SangriaFrancesaArticulo"/>
      </w:pPr>
      <w:r w:rsidRPr="00981775">
        <w:rPr>
          <w:rStyle w:val="TextoNormalNegritaCaracter"/>
        </w:rPr>
        <w:t>Artículo 101.1.</w:t>
      </w:r>
      <w:r w:rsidRPr="00981775">
        <w:rPr>
          <w:rStyle w:val="TextoNormalCaracter"/>
        </w:rPr>
        <w:t>-</w:t>
      </w:r>
      <w:r>
        <w:t xml:space="preserve"> Sentencia </w:t>
      </w:r>
      <w:hyperlink w:anchor="SENTENCIA_2015_159" w:history="1">
        <w:r w:rsidRPr="00981775">
          <w:rPr>
            <w:rStyle w:val="TextoNormalCaracter"/>
          </w:rPr>
          <w:t>159/2015</w:t>
        </w:r>
      </w:hyperlink>
      <w:r>
        <w:t>, f. 4.</w:t>
      </w:r>
    </w:p>
    <w:p w:rsidR="00981775" w:rsidRDefault="00981775" w:rsidP="00981775">
      <w:pPr>
        <w:pStyle w:val="SangriaFrancesaArticulo"/>
      </w:pPr>
      <w:r w:rsidRPr="00981775">
        <w:rPr>
          <w:rStyle w:val="TextoNormalNegritaCaracter"/>
        </w:rPr>
        <w:t>Artículo 106.</w:t>
      </w:r>
      <w:r w:rsidRPr="00981775">
        <w:rPr>
          <w:rStyle w:val="TextoNormalCaracter"/>
        </w:rPr>
        <w:t>-</w:t>
      </w:r>
      <w:r>
        <w:t xml:space="preserve"> Sentencia </w:t>
      </w:r>
      <w:hyperlink w:anchor="SENTENCIA_2015_159" w:history="1">
        <w:r w:rsidRPr="00981775">
          <w:rPr>
            <w:rStyle w:val="TextoNormalCaracter"/>
          </w:rPr>
          <w:t>159/2015</w:t>
        </w:r>
      </w:hyperlink>
      <w:r>
        <w:t>, ff. 3, 4.</w:t>
      </w:r>
    </w:p>
    <w:p w:rsidR="00981775" w:rsidRDefault="00981775" w:rsidP="00981775">
      <w:pPr>
        <w:pStyle w:val="SangriaFrancesaArticulo"/>
      </w:pPr>
      <w:r w:rsidRPr="00981775">
        <w:rPr>
          <w:rStyle w:val="TextoNormalNegritaCaracter"/>
        </w:rPr>
        <w:t>Artículo 108.2.</w:t>
      </w:r>
      <w:r w:rsidRPr="00981775">
        <w:rPr>
          <w:rStyle w:val="TextoNormalCaracter"/>
        </w:rPr>
        <w:t>-</w:t>
      </w:r>
      <w:r>
        <w:t xml:space="preserve"> Sentencia </w:t>
      </w:r>
      <w:hyperlink w:anchor="SENTENCIA_2015_159" w:history="1">
        <w:r w:rsidRPr="00981775">
          <w:rPr>
            <w:rStyle w:val="TextoNormalCaracter"/>
          </w:rPr>
          <w:t>159/2015</w:t>
        </w:r>
      </w:hyperlink>
      <w:r>
        <w:t>, ff. 3, 4, 6.</w:t>
      </w:r>
    </w:p>
    <w:p w:rsidR="00981775" w:rsidRDefault="00981775" w:rsidP="00981775">
      <w:pPr>
        <w:pStyle w:val="SangriaFrancesaArticulo"/>
      </w:pPr>
      <w:r w:rsidRPr="00981775">
        <w:rPr>
          <w:rStyle w:val="TextoNormalNegritaCaracter"/>
        </w:rPr>
        <w:t>Artículo 108.3.</w:t>
      </w:r>
      <w:r w:rsidRPr="00981775">
        <w:rPr>
          <w:rStyle w:val="TextoNormalCaracter"/>
        </w:rPr>
        <w:t>-</w:t>
      </w:r>
      <w:r>
        <w:t xml:space="preserve"> Sentencia </w:t>
      </w:r>
      <w:hyperlink w:anchor="SENTENCIA_2015_159" w:history="1">
        <w:r w:rsidRPr="00981775">
          <w:rPr>
            <w:rStyle w:val="TextoNormalCaracter"/>
          </w:rPr>
          <w:t>159/2015</w:t>
        </w:r>
      </w:hyperlink>
      <w:r>
        <w:t>, f. 1.</w:t>
      </w:r>
    </w:p>
    <w:p w:rsidR="00981775" w:rsidRDefault="00981775" w:rsidP="00981775">
      <w:pPr>
        <w:pStyle w:val="SangriaFrancesaArticulo"/>
      </w:pPr>
      <w:r w:rsidRPr="00981775">
        <w:rPr>
          <w:rStyle w:val="TextoNormalNegritaCaracter"/>
        </w:rPr>
        <w:t>Artículo 113.2 a).</w:t>
      </w:r>
      <w:r w:rsidRPr="00981775">
        <w:rPr>
          <w:rStyle w:val="TextoNormalCaracter"/>
        </w:rPr>
        <w:t>-</w:t>
      </w:r>
      <w:r>
        <w:t xml:space="preserve"> Sentencia </w:t>
      </w:r>
      <w:hyperlink w:anchor="SENTENCIA_2015_159" w:history="1">
        <w:r w:rsidRPr="00981775">
          <w:rPr>
            <w:rStyle w:val="TextoNormalCaracter"/>
          </w:rPr>
          <w:t>159/2015</w:t>
        </w:r>
      </w:hyperlink>
      <w:r>
        <w:t>, f. 3.</w:t>
      </w:r>
    </w:p>
    <w:p w:rsidR="00981775" w:rsidRDefault="00981775" w:rsidP="00981775">
      <w:pPr>
        <w:pStyle w:val="SangriaFrancesaArticulo"/>
      </w:pPr>
      <w:r w:rsidRPr="00981775">
        <w:rPr>
          <w:rStyle w:val="TextoNormalNegritaCaracter"/>
        </w:rPr>
        <w:t>Artículo 113.2 d).</w:t>
      </w:r>
      <w:r w:rsidRPr="00981775">
        <w:rPr>
          <w:rStyle w:val="TextoNormalCaracter"/>
        </w:rPr>
        <w:t>-</w:t>
      </w:r>
      <w:r>
        <w:t xml:space="preserve"> Sentencia </w:t>
      </w:r>
      <w:hyperlink w:anchor="SENTENCIA_2015_159" w:history="1">
        <w:r w:rsidRPr="00981775">
          <w:rPr>
            <w:rStyle w:val="TextoNormalCaracter"/>
          </w:rPr>
          <w:t>159/2015</w:t>
        </w:r>
      </w:hyperlink>
      <w:r>
        <w:t>, f. 7.</w:t>
      </w:r>
    </w:p>
    <w:p w:rsidR="00981775" w:rsidRDefault="00981775" w:rsidP="00981775">
      <w:pPr>
        <w:pStyle w:val="SangriaFrancesaArticulo"/>
      </w:pPr>
      <w:r w:rsidRPr="00981775">
        <w:rPr>
          <w:rStyle w:val="TextoNormalNegritaCaracter"/>
        </w:rPr>
        <w:t>Artículo 114.2.</w:t>
      </w:r>
      <w:r w:rsidRPr="00981775">
        <w:rPr>
          <w:rStyle w:val="TextoNormalCaracter"/>
        </w:rPr>
        <w:t>-</w:t>
      </w:r>
      <w:r>
        <w:t xml:space="preserve"> Sentencia </w:t>
      </w:r>
      <w:hyperlink w:anchor="SENTENCIA_2015_159" w:history="1">
        <w:r w:rsidRPr="00981775">
          <w:rPr>
            <w:rStyle w:val="TextoNormalCaracter"/>
          </w:rPr>
          <w:t>159/2015</w:t>
        </w:r>
      </w:hyperlink>
      <w:r>
        <w:t>, f. 2.</w:t>
      </w:r>
    </w:p>
    <w:p w:rsidR="00981775" w:rsidRDefault="00981775" w:rsidP="00981775">
      <w:pPr>
        <w:pStyle w:val="SangriaFrancesaArticulo"/>
      </w:pPr>
      <w:r w:rsidRPr="00981775">
        <w:rPr>
          <w:rStyle w:val="TextoNormalNegritaCaracter"/>
        </w:rPr>
        <w:t>Artículo 116.2.</w:t>
      </w:r>
      <w:r w:rsidRPr="00981775">
        <w:rPr>
          <w:rStyle w:val="TextoNormalCaracter"/>
        </w:rPr>
        <w:t>-</w:t>
      </w:r>
      <w:r>
        <w:t xml:space="preserve"> Sentencia </w:t>
      </w:r>
      <w:hyperlink w:anchor="SENTENCIA_2015_159" w:history="1">
        <w:r w:rsidRPr="00981775">
          <w:rPr>
            <w:rStyle w:val="TextoNormalCaracter"/>
          </w:rPr>
          <w:t>159/2015</w:t>
        </w:r>
      </w:hyperlink>
      <w:r>
        <w:t>, f. 3.</w:t>
      </w:r>
    </w:p>
    <w:p w:rsidR="00981775" w:rsidRDefault="00981775" w:rsidP="00981775">
      <w:pPr>
        <w:pStyle w:val="SangriaFrancesaArticulo"/>
      </w:pPr>
    </w:p>
    <w:p w:rsidR="00981775" w:rsidRDefault="00981775" w:rsidP="00981775">
      <w:pPr>
        <w:pStyle w:val="TextoNormalNegritaCursivandice"/>
      </w:pPr>
      <w:r>
        <w:t>Ley Orgánica 6/1985, de 1 de julio. Poder judicial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86" w:history="1">
        <w:r w:rsidRPr="00981775">
          <w:rPr>
            <w:rStyle w:val="TextoNormalCaracter"/>
          </w:rPr>
          <w:t>186/2015</w:t>
        </w:r>
      </w:hyperlink>
      <w:r>
        <w:t>, f. 2.</w:t>
      </w:r>
    </w:p>
    <w:p w:rsidR="00981775" w:rsidRDefault="00981775" w:rsidP="00981775">
      <w:pPr>
        <w:pStyle w:val="SangriaIzquierdaArticulo"/>
      </w:pPr>
      <w:r>
        <w:t xml:space="preserve">Auto </w:t>
      </w:r>
      <w:hyperlink w:anchor="AUTO_2015_125" w:history="1">
        <w:r w:rsidRPr="00981775">
          <w:rPr>
            <w:rStyle w:val="TextoNormalCaracter"/>
          </w:rPr>
          <w:t>125/2015</w:t>
        </w:r>
      </w:hyperlink>
      <w:r>
        <w:t>, f. único.</w:t>
      </w:r>
    </w:p>
    <w:p w:rsidR="00981775" w:rsidRDefault="00981775" w:rsidP="00981775">
      <w:pPr>
        <w:pStyle w:val="SangriaFrancesaArticulo"/>
      </w:pPr>
      <w:r w:rsidRPr="00981775">
        <w:rPr>
          <w:rStyle w:val="TextoNormalNegritaCaracter"/>
        </w:rPr>
        <w:t>Artículo 5.1.</w:t>
      </w:r>
      <w:r w:rsidRPr="00981775">
        <w:rPr>
          <w:rStyle w:val="TextoNormalCaracter"/>
        </w:rPr>
        <w:t>-</w:t>
      </w:r>
      <w:r>
        <w:t xml:space="preserve"> Sentencias </w:t>
      </w:r>
      <w:hyperlink w:anchor="SENTENCIA_2015_177" w:history="1">
        <w:r w:rsidRPr="00981775">
          <w:rPr>
            <w:rStyle w:val="TextoNormalCaracter"/>
          </w:rPr>
          <w:t>177/2015</w:t>
        </w:r>
      </w:hyperlink>
      <w:r>
        <w:t xml:space="preserve">, f. 5; </w:t>
      </w:r>
      <w:hyperlink w:anchor="SENTENCIA_2015_195" w:history="1">
        <w:r w:rsidRPr="00981775">
          <w:rPr>
            <w:rStyle w:val="TextoNormalCaracter"/>
          </w:rPr>
          <w:t>195/2015</w:t>
        </w:r>
      </w:hyperlink>
      <w:r>
        <w:t>, f. 5.</w:t>
      </w:r>
    </w:p>
    <w:p w:rsidR="00981775" w:rsidRDefault="00981775" w:rsidP="00981775">
      <w:pPr>
        <w:pStyle w:val="SangriaFrancesaArticulo"/>
      </w:pPr>
      <w:r w:rsidRPr="00981775">
        <w:rPr>
          <w:rStyle w:val="TextoNormalNegritaCaracter"/>
        </w:rPr>
        <w:t>Artículo 9.4.</w:t>
      </w:r>
      <w:r w:rsidRPr="00981775">
        <w:rPr>
          <w:rStyle w:val="TextoNormalCaracter"/>
        </w:rPr>
        <w:t>-</w:t>
      </w:r>
      <w:r>
        <w:t xml:space="preserve"> Sentencias </w:t>
      </w:r>
      <w:hyperlink w:anchor="SENTENCIA_2015_222" w:history="1">
        <w:r w:rsidRPr="00981775">
          <w:rPr>
            <w:rStyle w:val="TextoNormalCaracter"/>
          </w:rPr>
          <w:t>222/2015</w:t>
        </w:r>
      </w:hyperlink>
      <w:r>
        <w:t xml:space="preserve">, f. 2; </w:t>
      </w:r>
      <w:hyperlink w:anchor="SENTENCIA_2015_239" w:history="1">
        <w:r w:rsidRPr="00981775">
          <w:rPr>
            <w:rStyle w:val="TextoNormalCaracter"/>
          </w:rPr>
          <w:t>239/2015</w:t>
        </w:r>
      </w:hyperlink>
      <w:r>
        <w:t xml:space="preserve">, f. 2; </w:t>
      </w:r>
      <w:hyperlink w:anchor="SENTENCIA_2015_240" w:history="1">
        <w:r w:rsidRPr="00981775">
          <w:rPr>
            <w:rStyle w:val="TextoNormalCaracter"/>
          </w:rPr>
          <w:t>240/2015</w:t>
        </w:r>
      </w:hyperlink>
      <w:r>
        <w:t xml:space="preserve">, f. 2; </w:t>
      </w:r>
      <w:hyperlink w:anchor="SENTENCIA_2015_263" w:history="1">
        <w:r w:rsidRPr="00981775">
          <w:rPr>
            <w:rStyle w:val="TextoNormalCaracter"/>
          </w:rPr>
          <w:t>263/2015</w:t>
        </w:r>
      </w:hyperlink>
      <w:r>
        <w:t>, f. 2.</w:t>
      </w:r>
    </w:p>
    <w:p w:rsidR="00981775" w:rsidRDefault="00981775" w:rsidP="00981775">
      <w:pPr>
        <w:pStyle w:val="SangriaFrancesaArticulo"/>
      </w:pPr>
      <w:r w:rsidRPr="00981775">
        <w:rPr>
          <w:rStyle w:val="TextoNormalNegritaCaracter"/>
        </w:rPr>
        <w:t>Artículo 11.3.</w:t>
      </w:r>
      <w:r w:rsidRPr="00981775">
        <w:rPr>
          <w:rStyle w:val="TextoNormalCaracter"/>
        </w:rPr>
        <w:t>-</w:t>
      </w:r>
      <w:r>
        <w:t xml:space="preserve"> Sentencia </w:t>
      </w:r>
      <w:hyperlink w:anchor="SENTENCIA_2015_186" w:history="1">
        <w:r w:rsidRPr="00981775">
          <w:rPr>
            <w:rStyle w:val="TextoNormalCaracter"/>
          </w:rPr>
          <w:t>186/2015</w:t>
        </w:r>
      </w:hyperlink>
      <w:r>
        <w:t>, f. 4.</w:t>
      </w:r>
    </w:p>
    <w:p w:rsidR="00981775" w:rsidRDefault="00981775" w:rsidP="00981775">
      <w:pPr>
        <w:pStyle w:val="SangriaFrancesaArticulo"/>
      </w:pPr>
      <w:r w:rsidRPr="00981775">
        <w:rPr>
          <w:rStyle w:val="TextoNormalNegritaCaracter"/>
        </w:rPr>
        <w:t>Artículo 22.</w:t>
      </w:r>
      <w:r w:rsidRPr="00981775">
        <w:rPr>
          <w:rStyle w:val="TextoNormalCaracter"/>
        </w:rPr>
        <w:t>-</w:t>
      </w:r>
      <w:r>
        <w:t xml:space="preserve"> Sentencia </w:t>
      </w:r>
      <w:hyperlink w:anchor="SENTENCIA_2015_266" w:history="1">
        <w:r w:rsidRPr="00981775">
          <w:rPr>
            <w:rStyle w:val="TextoNormalCaracter"/>
          </w:rPr>
          <w:t>266/2015</w:t>
        </w:r>
      </w:hyperlink>
      <w:r>
        <w:t>, f. 1.</w:t>
      </w:r>
    </w:p>
    <w:p w:rsidR="00981775" w:rsidRDefault="00981775" w:rsidP="00981775">
      <w:pPr>
        <w:pStyle w:val="SangriaFrancesaArticulo"/>
      </w:pPr>
      <w:r w:rsidRPr="00981775">
        <w:rPr>
          <w:rStyle w:val="TextoNormalNegritaCaracter"/>
        </w:rPr>
        <w:t>Artículo 196.</w:t>
      </w:r>
      <w:r w:rsidRPr="00981775">
        <w:rPr>
          <w:rStyle w:val="TextoNormalCaracter"/>
        </w:rPr>
        <w:t>-</w:t>
      </w:r>
      <w:r>
        <w:t xml:space="preserve"> Sentencia </w:t>
      </w:r>
      <w:hyperlink w:anchor="SENTENCIA_2015_152" w:history="1">
        <w:r w:rsidRPr="00981775">
          <w:rPr>
            <w:rStyle w:val="TextoNormalCaracter"/>
          </w:rPr>
          <w:t>152/2015</w:t>
        </w:r>
      </w:hyperlink>
      <w:r>
        <w:t>, f. 9.</w:t>
      </w:r>
    </w:p>
    <w:p w:rsidR="00981775" w:rsidRDefault="00981775" w:rsidP="00981775">
      <w:pPr>
        <w:pStyle w:val="SangriaFrancesaArticulo"/>
      </w:pPr>
      <w:r w:rsidRPr="00981775">
        <w:rPr>
          <w:rStyle w:val="TextoNormalNegritaCaracter"/>
        </w:rPr>
        <w:t>Artículo 219.11.</w:t>
      </w:r>
      <w:r w:rsidRPr="00981775">
        <w:rPr>
          <w:rStyle w:val="TextoNormalCaracter"/>
        </w:rPr>
        <w:t>-</w:t>
      </w:r>
      <w:r>
        <w:t xml:space="preserve"> Autos </w:t>
      </w:r>
      <w:hyperlink w:anchor="AUTO_2015_118" w:history="1">
        <w:r w:rsidRPr="00981775">
          <w:rPr>
            <w:rStyle w:val="TextoNormalCaracter"/>
          </w:rPr>
          <w:t>118/2015</w:t>
        </w:r>
      </w:hyperlink>
      <w:r>
        <w:t xml:space="preserve">; </w:t>
      </w:r>
      <w:hyperlink w:anchor="AUTO_2015_126" w:history="1">
        <w:r w:rsidRPr="00981775">
          <w:rPr>
            <w:rStyle w:val="TextoNormalCaracter"/>
          </w:rPr>
          <w:t>126/2015</w:t>
        </w:r>
      </w:hyperlink>
      <w:r>
        <w:t>, f. único.</w:t>
      </w:r>
    </w:p>
    <w:p w:rsidR="00981775" w:rsidRDefault="00981775" w:rsidP="00981775">
      <w:pPr>
        <w:pStyle w:val="SangriaFrancesaArticulo"/>
      </w:pPr>
      <w:r w:rsidRPr="00981775">
        <w:rPr>
          <w:rStyle w:val="TextoNormalNegritaCaracter"/>
        </w:rPr>
        <w:t>Artículo 221.4.</w:t>
      </w:r>
      <w:r w:rsidRPr="00981775">
        <w:rPr>
          <w:rStyle w:val="TextoNormalCaracter"/>
        </w:rPr>
        <w:t>-</w:t>
      </w:r>
      <w:r>
        <w:t xml:space="preserve"> Auto </w:t>
      </w:r>
      <w:hyperlink w:anchor="AUTO_2015_118" w:history="1">
        <w:r w:rsidRPr="00981775">
          <w:rPr>
            <w:rStyle w:val="TextoNormalCaracter"/>
          </w:rPr>
          <w:t>118/2015</w:t>
        </w:r>
      </w:hyperlink>
      <w:r>
        <w:t>.</w:t>
      </w:r>
    </w:p>
    <w:p w:rsidR="00981775" w:rsidRDefault="00981775" w:rsidP="00981775">
      <w:pPr>
        <w:pStyle w:val="SangriaFrancesaArticulo"/>
      </w:pPr>
      <w:r w:rsidRPr="00981775">
        <w:rPr>
          <w:rStyle w:val="TextoNormalNegritaCaracter"/>
        </w:rPr>
        <w:t>Artículo 238.6.</w:t>
      </w:r>
      <w:r w:rsidRPr="00981775">
        <w:rPr>
          <w:rStyle w:val="TextoNormalCaracter"/>
        </w:rPr>
        <w:t>-</w:t>
      </w:r>
      <w:r>
        <w:t xml:space="preserve"> Sentencia </w:t>
      </w:r>
      <w:hyperlink w:anchor="SENTENCIA_2015_208" w:history="1">
        <w:r w:rsidRPr="00981775">
          <w:rPr>
            <w:rStyle w:val="TextoNormalCaracter"/>
          </w:rPr>
          <w:t>208/2015</w:t>
        </w:r>
      </w:hyperlink>
      <w:r>
        <w:t>, f. 5.</w:t>
      </w:r>
    </w:p>
    <w:p w:rsidR="00981775" w:rsidRDefault="00981775" w:rsidP="00981775">
      <w:pPr>
        <w:pStyle w:val="SangriaFrancesaArticulo"/>
      </w:pPr>
      <w:r w:rsidRPr="00981775">
        <w:rPr>
          <w:rStyle w:val="TextoNormalNegritaCaracter"/>
        </w:rPr>
        <w:t xml:space="preserve">Artículo 240.2 </w:t>
      </w:r>
      <w:r>
        <w:t xml:space="preserve"> (redactado por la Ley Orgánica 19/2003, de 23 de diciembre)</w:t>
      </w:r>
      <w:r w:rsidRPr="00981775">
        <w:rPr>
          <w:rStyle w:val="TextoNormalNegritaCaracter"/>
        </w:rPr>
        <w:t>.</w:t>
      </w:r>
      <w:r w:rsidRPr="00981775">
        <w:rPr>
          <w:rStyle w:val="TextoNormalCaracter"/>
        </w:rPr>
        <w:t>-</w:t>
      </w:r>
      <w:r>
        <w:t xml:space="preserve"> Sentencia </w:t>
      </w:r>
      <w:hyperlink w:anchor="SENTENCIA_2015_186" w:history="1">
        <w:r w:rsidRPr="00981775">
          <w:rPr>
            <w:rStyle w:val="TextoNormalCaracter"/>
          </w:rPr>
          <w:t>186/2015</w:t>
        </w:r>
      </w:hyperlink>
      <w:r>
        <w:t>, f. 4.</w:t>
      </w:r>
    </w:p>
    <w:p w:rsidR="00981775" w:rsidRDefault="00981775" w:rsidP="00981775">
      <w:pPr>
        <w:pStyle w:val="SangriaFrancesaArticulo"/>
      </w:pPr>
      <w:r w:rsidRPr="00981775">
        <w:rPr>
          <w:rStyle w:val="TextoNormalNegritaCaracter"/>
        </w:rPr>
        <w:t>Artículo 241</w:t>
      </w:r>
      <w:r>
        <w:t xml:space="preserve"> (redactado por la Ley Orgánica 19/2003, de 23 de diciembre)</w:t>
      </w:r>
      <w:r w:rsidRPr="00981775">
        <w:rPr>
          <w:rStyle w:val="TextoNormalNegritaCaracter"/>
        </w:rPr>
        <w:t>.</w:t>
      </w:r>
      <w:r w:rsidRPr="00981775">
        <w:rPr>
          <w:rStyle w:val="TextoNormalCaracter"/>
        </w:rPr>
        <w:t>-</w:t>
      </w:r>
      <w:r>
        <w:t xml:space="preserve"> Sentencia </w:t>
      </w:r>
      <w:hyperlink w:anchor="SENTENCIA_2015_195" w:history="1">
        <w:r w:rsidRPr="00981775">
          <w:rPr>
            <w:rStyle w:val="TextoNormalCaracter"/>
          </w:rPr>
          <w:t>195/2015</w:t>
        </w:r>
      </w:hyperlink>
      <w:r>
        <w:t>, f. 4.</w:t>
      </w:r>
    </w:p>
    <w:p w:rsidR="00981775" w:rsidRDefault="00981775" w:rsidP="00981775">
      <w:pPr>
        <w:pStyle w:val="SangriaFrancesaArticulo"/>
      </w:pPr>
      <w:r w:rsidRPr="00981775">
        <w:rPr>
          <w:rStyle w:val="TextoNormalNegritaCaracter"/>
        </w:rPr>
        <w:t>Artículo 241</w:t>
      </w:r>
      <w:r>
        <w:t xml:space="preserve"> (redactado por la Ley Orgánica 6/2007, de 24 de mayo)</w:t>
      </w:r>
      <w:r w:rsidRPr="00981775">
        <w:rPr>
          <w:rStyle w:val="TextoNormalNegritaCaracter"/>
        </w:rPr>
        <w:t>.</w:t>
      </w:r>
      <w:r w:rsidRPr="00981775">
        <w:rPr>
          <w:rStyle w:val="TextoNormalCaracter"/>
        </w:rPr>
        <w:t>-</w:t>
      </w:r>
      <w:r>
        <w:t xml:space="preserve"> Sentencias </w:t>
      </w:r>
      <w:hyperlink w:anchor="SENTENCIA_2015_152" w:history="1">
        <w:r w:rsidRPr="00981775">
          <w:rPr>
            <w:rStyle w:val="TextoNormalCaracter"/>
          </w:rPr>
          <w:t>152/2015</w:t>
        </w:r>
      </w:hyperlink>
      <w:r>
        <w:t xml:space="preserve">, f. 9; </w:t>
      </w:r>
      <w:hyperlink w:anchor="SENTENCIA_2015_179" w:history="1">
        <w:r w:rsidRPr="00981775">
          <w:rPr>
            <w:rStyle w:val="TextoNormalCaracter"/>
          </w:rPr>
          <w:t>179/2015</w:t>
        </w:r>
      </w:hyperlink>
      <w:r>
        <w:t xml:space="preserve">, f. 5; </w:t>
      </w:r>
      <w:hyperlink w:anchor="SENTENCIA_2015_180" w:history="1">
        <w:r w:rsidRPr="00981775">
          <w:rPr>
            <w:rStyle w:val="TextoNormalCaracter"/>
          </w:rPr>
          <w:t>180/2015</w:t>
        </w:r>
      </w:hyperlink>
      <w:r>
        <w:t xml:space="preserve">, ff. 2, 7; </w:t>
      </w:r>
      <w:hyperlink w:anchor="SENTENCIA_2015_186" w:history="1">
        <w:r w:rsidRPr="00981775">
          <w:rPr>
            <w:rStyle w:val="TextoNormalCaracter"/>
          </w:rPr>
          <w:t>186/2015</w:t>
        </w:r>
      </w:hyperlink>
      <w:r>
        <w:t xml:space="preserve">, f. 2; </w:t>
      </w:r>
      <w:hyperlink w:anchor="SENTENCIA_2015_208" w:history="1">
        <w:r w:rsidRPr="00981775">
          <w:rPr>
            <w:rStyle w:val="TextoNormalCaracter"/>
          </w:rPr>
          <w:t>208/2015</w:t>
        </w:r>
      </w:hyperlink>
      <w:r>
        <w:t>, f. 5.</w:t>
      </w:r>
    </w:p>
    <w:p w:rsidR="00981775" w:rsidRDefault="00981775" w:rsidP="00981775">
      <w:pPr>
        <w:pStyle w:val="SangriaFrancesaArticulo"/>
      </w:pPr>
      <w:r w:rsidRPr="00981775">
        <w:rPr>
          <w:rStyle w:val="TextoNormalNegritaCaracter"/>
        </w:rPr>
        <w:t>Artículo 241.1</w:t>
      </w:r>
      <w:r>
        <w:t xml:space="preserve"> (redactado por la Ley Orgánica 19/2003 de 23 de diciembre)</w:t>
      </w:r>
      <w:r w:rsidRPr="00981775">
        <w:rPr>
          <w:rStyle w:val="TextoNormalNegritaCaracter"/>
        </w:rPr>
        <w:t>.</w:t>
      </w:r>
      <w:r w:rsidRPr="00981775">
        <w:rPr>
          <w:rStyle w:val="TextoNormalCaracter"/>
        </w:rPr>
        <w:t>-</w:t>
      </w:r>
      <w:r>
        <w:t xml:space="preserve"> Sentencia </w:t>
      </w:r>
      <w:hyperlink w:anchor="SENTENCIA_2015_232" w:history="1">
        <w:r w:rsidRPr="00981775">
          <w:rPr>
            <w:rStyle w:val="TextoNormalCaracter"/>
          </w:rPr>
          <w:t>232/2015</w:t>
        </w:r>
      </w:hyperlink>
      <w:r>
        <w:t>, f. 1.</w:t>
      </w:r>
    </w:p>
    <w:p w:rsidR="00981775" w:rsidRDefault="00981775" w:rsidP="00981775">
      <w:pPr>
        <w:pStyle w:val="SangriaFrancesaArticulo"/>
      </w:pPr>
      <w:r w:rsidRPr="00981775">
        <w:rPr>
          <w:rStyle w:val="TextoNormalNegritaCaracter"/>
        </w:rPr>
        <w:t>Artículo 241.1</w:t>
      </w:r>
      <w:r>
        <w:t xml:space="preserve"> (redactado por la Ley Orgánica 6/2007, de 24 de mayo)</w:t>
      </w:r>
      <w:r w:rsidRPr="00981775">
        <w:rPr>
          <w:rStyle w:val="TextoNormalNegritaCaracter"/>
        </w:rPr>
        <w:t>.</w:t>
      </w:r>
      <w:r w:rsidRPr="00981775">
        <w:rPr>
          <w:rStyle w:val="TextoNormalCaracter"/>
        </w:rPr>
        <w:t>-</w:t>
      </w:r>
      <w:r>
        <w:t xml:space="preserve"> Sentencia </w:t>
      </w:r>
      <w:hyperlink w:anchor="SENTENCIA_2015_186" w:history="1">
        <w:r w:rsidRPr="00981775">
          <w:rPr>
            <w:rStyle w:val="TextoNormalCaracter"/>
          </w:rPr>
          <w:t>186/2015</w:t>
        </w:r>
      </w:hyperlink>
      <w:r>
        <w:t>, f. 2.</w:t>
      </w:r>
    </w:p>
    <w:p w:rsidR="00981775" w:rsidRDefault="00981775" w:rsidP="00981775">
      <w:pPr>
        <w:pStyle w:val="SangriaIzquierdaArticulo"/>
      </w:pPr>
      <w:r>
        <w:t xml:space="preserve">Auto </w:t>
      </w:r>
      <w:hyperlink w:anchor="AUTO_2015_176" w:history="1">
        <w:r w:rsidRPr="00981775">
          <w:rPr>
            <w:rStyle w:val="TextoNormalCaracter"/>
          </w:rPr>
          <w:t>176/2015</w:t>
        </w:r>
      </w:hyperlink>
      <w:r>
        <w:t>, f. único.</w:t>
      </w:r>
    </w:p>
    <w:p w:rsidR="00981775" w:rsidRDefault="00981775" w:rsidP="00981775">
      <w:pPr>
        <w:pStyle w:val="SangriaFrancesaArticulo"/>
      </w:pPr>
      <w:r w:rsidRPr="00981775">
        <w:rPr>
          <w:rStyle w:val="TextoNormalNegritaCaracter"/>
        </w:rPr>
        <w:t>Artículo 241.1 párrafo 1</w:t>
      </w:r>
      <w:r>
        <w:t xml:space="preserve"> (redactado por la Ley Orgánica 6/2007, de 24 de mayo)</w:t>
      </w:r>
      <w:r w:rsidRPr="00981775">
        <w:rPr>
          <w:rStyle w:val="TextoNormalNegritaCaracter"/>
        </w:rPr>
        <w:t>.</w:t>
      </w:r>
      <w:r w:rsidRPr="00981775">
        <w:rPr>
          <w:rStyle w:val="TextoNormalCaracter"/>
        </w:rPr>
        <w:t>-</w:t>
      </w:r>
      <w:r>
        <w:t xml:space="preserve"> Auto </w:t>
      </w:r>
      <w:hyperlink w:anchor="AUTO_2015_205" w:history="1">
        <w:r w:rsidRPr="00981775">
          <w:rPr>
            <w:rStyle w:val="TextoNormalCaracter"/>
          </w:rPr>
          <w:t>205/2015</w:t>
        </w:r>
      </w:hyperlink>
      <w:r>
        <w:t>, f. 1.</w:t>
      </w:r>
    </w:p>
    <w:p w:rsidR="00981775" w:rsidRDefault="00981775" w:rsidP="00981775">
      <w:pPr>
        <w:pStyle w:val="SangriaFrancesaArticulo"/>
      </w:pPr>
      <w:r w:rsidRPr="00981775">
        <w:rPr>
          <w:rStyle w:val="TextoNormalNegritaCaracter"/>
        </w:rPr>
        <w:t>Artículo 241.1, párrafo 2.</w:t>
      </w:r>
      <w:r w:rsidRPr="00981775">
        <w:rPr>
          <w:rStyle w:val="TextoNormalCaracter"/>
        </w:rPr>
        <w:t>-</w:t>
      </w:r>
      <w:r>
        <w:t xml:space="preserve"> Sentencia </w:t>
      </w:r>
      <w:hyperlink w:anchor="SENTENCIA_2015_152" w:history="1">
        <w:r w:rsidRPr="00981775">
          <w:rPr>
            <w:rStyle w:val="TextoNormalCaracter"/>
          </w:rPr>
          <w:t>152/2015</w:t>
        </w:r>
      </w:hyperlink>
      <w:r>
        <w:t>, f. 9.</w:t>
      </w:r>
    </w:p>
    <w:p w:rsidR="00981775" w:rsidRDefault="00981775" w:rsidP="00981775">
      <w:pPr>
        <w:pStyle w:val="SangriaFrancesaArticulo"/>
      </w:pPr>
      <w:r w:rsidRPr="00981775">
        <w:rPr>
          <w:rStyle w:val="TextoNormalNegritaCaracter"/>
        </w:rPr>
        <w:t>Artículo 242.</w:t>
      </w:r>
      <w:r w:rsidRPr="00981775">
        <w:rPr>
          <w:rStyle w:val="TextoNormalCaracter"/>
        </w:rPr>
        <w:t>-</w:t>
      </w:r>
      <w:r>
        <w:t xml:space="preserve"> Sentencia </w:t>
      </w:r>
      <w:hyperlink w:anchor="SENTENCIA_2015_186" w:history="1">
        <w:r w:rsidRPr="00981775">
          <w:rPr>
            <w:rStyle w:val="TextoNormalCaracter"/>
          </w:rPr>
          <w:t>186/2015</w:t>
        </w:r>
      </w:hyperlink>
      <w:r>
        <w:t>, f. 4.</w:t>
      </w:r>
    </w:p>
    <w:p w:rsidR="00981775" w:rsidRDefault="00981775" w:rsidP="00981775">
      <w:pPr>
        <w:pStyle w:val="SangriaFrancesaArticulo"/>
      </w:pPr>
      <w:r w:rsidRPr="00981775">
        <w:rPr>
          <w:rStyle w:val="TextoNormalNegritaCaracter"/>
        </w:rPr>
        <w:t>Artículo 243.</w:t>
      </w:r>
      <w:r w:rsidRPr="00981775">
        <w:rPr>
          <w:rStyle w:val="TextoNormalCaracter"/>
        </w:rPr>
        <w:t>-</w:t>
      </w:r>
      <w:r>
        <w:t xml:space="preserve"> Sentencia </w:t>
      </w:r>
      <w:hyperlink w:anchor="SENTENCIA_2015_149" w:history="1">
        <w:r w:rsidRPr="00981775">
          <w:rPr>
            <w:rStyle w:val="TextoNormalCaracter"/>
          </w:rPr>
          <w:t>149/2015</w:t>
        </w:r>
      </w:hyperlink>
      <w:r>
        <w:t>, f. 4.</w:t>
      </w:r>
    </w:p>
    <w:p w:rsidR="00981775" w:rsidRDefault="00981775" w:rsidP="00981775">
      <w:pPr>
        <w:pStyle w:val="SangriaFrancesaArticulo"/>
      </w:pPr>
      <w:r w:rsidRPr="00981775">
        <w:rPr>
          <w:rStyle w:val="TextoNormalNegritaCaracter"/>
        </w:rPr>
        <w:t>Artículo 243</w:t>
      </w:r>
      <w:r>
        <w:t xml:space="preserve"> (redactado por la Ley Orgánica 19/2003, de 23 de diciembre)</w:t>
      </w:r>
      <w:r w:rsidRPr="00981775">
        <w:rPr>
          <w:rStyle w:val="TextoNormalNegritaCaracter"/>
        </w:rPr>
        <w:t>.</w:t>
      </w:r>
      <w:r w:rsidRPr="00981775">
        <w:rPr>
          <w:rStyle w:val="TextoNormalCaracter"/>
        </w:rPr>
        <w:t>-</w:t>
      </w:r>
      <w:r>
        <w:t xml:space="preserve"> Sentencia </w:t>
      </w:r>
      <w:hyperlink w:anchor="SENTENCIA_2015_186" w:history="1">
        <w:r w:rsidRPr="00981775">
          <w:rPr>
            <w:rStyle w:val="TextoNormalCaracter"/>
          </w:rPr>
          <w:t>186/2015</w:t>
        </w:r>
      </w:hyperlink>
      <w:r>
        <w:t>, f. 4.</w:t>
      </w:r>
    </w:p>
    <w:p w:rsidR="00981775" w:rsidRDefault="00981775" w:rsidP="00981775">
      <w:pPr>
        <w:pStyle w:val="SangriaFrancesaArticulo"/>
      </w:pPr>
      <w:r w:rsidRPr="00981775">
        <w:rPr>
          <w:rStyle w:val="TextoNormalNegritaCaracter"/>
        </w:rPr>
        <w:t>Artículo 267</w:t>
      </w:r>
      <w:r>
        <w:t xml:space="preserve"> (redactado por la Ley Orgánica 19/2003, de 23 de diciembre)</w:t>
      </w:r>
      <w:r w:rsidRPr="00981775">
        <w:rPr>
          <w:rStyle w:val="TextoNormalNegritaCaracter"/>
        </w:rPr>
        <w:t>.</w:t>
      </w:r>
      <w:r w:rsidRPr="00981775">
        <w:rPr>
          <w:rStyle w:val="TextoNormalCaracter"/>
        </w:rPr>
        <w:t>-</w:t>
      </w:r>
      <w:r>
        <w:t xml:space="preserve"> Auto </w:t>
      </w:r>
      <w:hyperlink w:anchor="AUTO_2015_177" w:history="1">
        <w:r w:rsidRPr="00981775">
          <w:rPr>
            <w:rStyle w:val="TextoNormalCaracter"/>
          </w:rPr>
          <w:t>177/2015</w:t>
        </w:r>
      </w:hyperlink>
      <w:r>
        <w:t>, f. 1.</w:t>
      </w:r>
    </w:p>
    <w:p w:rsidR="00981775" w:rsidRDefault="00981775" w:rsidP="00981775">
      <w:pPr>
        <w:pStyle w:val="SangriaFrancesaArticulo"/>
      </w:pPr>
      <w:r w:rsidRPr="00981775">
        <w:rPr>
          <w:rStyle w:val="TextoNormalNegritaCaracter"/>
        </w:rPr>
        <w:t>Artículo 267.1.</w:t>
      </w:r>
      <w:r w:rsidRPr="00981775">
        <w:rPr>
          <w:rStyle w:val="TextoNormalCaracter"/>
        </w:rPr>
        <w:t>-</w:t>
      </w:r>
      <w:r>
        <w:t xml:space="preserve"> Auto </w:t>
      </w:r>
      <w:hyperlink w:anchor="AUTO_2015_198" w:history="1">
        <w:r w:rsidRPr="00981775">
          <w:rPr>
            <w:rStyle w:val="TextoNormalCaracter"/>
          </w:rPr>
          <w:t>198/2015</w:t>
        </w:r>
      </w:hyperlink>
      <w:r>
        <w:t>, f. 1.</w:t>
      </w:r>
    </w:p>
    <w:p w:rsidR="00981775" w:rsidRDefault="00981775" w:rsidP="00981775">
      <w:pPr>
        <w:pStyle w:val="SangriaFrancesaArticulo"/>
      </w:pPr>
      <w:r w:rsidRPr="00981775">
        <w:rPr>
          <w:rStyle w:val="TextoNormalNegritaCaracter"/>
        </w:rPr>
        <w:t>Artículo 289.</w:t>
      </w:r>
      <w:r w:rsidRPr="00981775">
        <w:rPr>
          <w:rStyle w:val="TextoNormalCaracter"/>
        </w:rPr>
        <w:t>-</w:t>
      </w:r>
      <w:r>
        <w:t xml:space="preserve"> Sentencia </w:t>
      </w:r>
      <w:hyperlink w:anchor="SENTENCIA_2015_208" w:history="1">
        <w:r w:rsidRPr="00981775">
          <w:rPr>
            <w:rStyle w:val="TextoNormalCaracter"/>
          </w:rPr>
          <w:t>208/2015</w:t>
        </w:r>
      </w:hyperlink>
      <w:r>
        <w:t>, f. 5.</w:t>
      </w:r>
    </w:p>
    <w:p w:rsidR="00981775" w:rsidRDefault="00981775" w:rsidP="00981775">
      <w:pPr>
        <w:pStyle w:val="SangriaFrancesaArticulo"/>
      </w:pPr>
      <w:r w:rsidRPr="00981775">
        <w:rPr>
          <w:rStyle w:val="TextoNormalNegritaCaracter"/>
        </w:rPr>
        <w:t>Artículo 403.1.</w:t>
      </w:r>
      <w:r w:rsidRPr="00981775">
        <w:rPr>
          <w:rStyle w:val="TextoNormalCaracter"/>
        </w:rPr>
        <w:t>-</w:t>
      </w:r>
      <w:r>
        <w:t xml:space="preserve"> Auto </w:t>
      </w:r>
      <w:hyperlink w:anchor="AUTO_2015_224" w:history="1">
        <w:r w:rsidRPr="00981775">
          <w:rPr>
            <w:rStyle w:val="TextoNormalCaracter"/>
          </w:rPr>
          <w:t>224/2015</w:t>
        </w:r>
      </w:hyperlink>
      <w:r>
        <w:t>, f. 3.</w:t>
      </w:r>
    </w:p>
    <w:p w:rsidR="00981775" w:rsidRDefault="00981775" w:rsidP="00981775">
      <w:pPr>
        <w:pStyle w:val="SangriaFrancesaArticulo"/>
      </w:pPr>
      <w:r w:rsidRPr="00981775">
        <w:rPr>
          <w:rStyle w:val="TextoNormalNegritaCaracter"/>
        </w:rPr>
        <w:t>Artículo 436.</w:t>
      </w:r>
      <w:r w:rsidRPr="00981775">
        <w:rPr>
          <w:rStyle w:val="TextoNormalCaracter"/>
        </w:rPr>
        <w:t>-</w:t>
      </w:r>
      <w:r>
        <w:t xml:space="preserve"> Sentencia </w:t>
      </w:r>
      <w:hyperlink w:anchor="SENTENCIA_2015_194" w:history="1">
        <w:r w:rsidRPr="00981775">
          <w:rPr>
            <w:rStyle w:val="TextoNormalCaracter"/>
          </w:rPr>
          <w:t>194/2015</w:t>
        </w:r>
      </w:hyperlink>
      <w:r>
        <w:t>, f. 4.</w:t>
      </w:r>
    </w:p>
    <w:p w:rsidR="00981775" w:rsidRDefault="00981775" w:rsidP="00981775">
      <w:pPr>
        <w:pStyle w:val="SangriaFrancesaArticulo"/>
      </w:pPr>
      <w:r w:rsidRPr="00981775">
        <w:rPr>
          <w:rStyle w:val="TextoNormalNegritaCaracter"/>
        </w:rPr>
        <w:t>Artículo 438.</w:t>
      </w:r>
      <w:r w:rsidRPr="00981775">
        <w:rPr>
          <w:rStyle w:val="TextoNormalCaracter"/>
        </w:rPr>
        <w:t>-</w:t>
      </w:r>
      <w:r>
        <w:t xml:space="preserve"> Sentencia </w:t>
      </w:r>
      <w:hyperlink w:anchor="SENTENCIA_2015_194" w:history="1">
        <w:r w:rsidRPr="00981775">
          <w:rPr>
            <w:rStyle w:val="TextoNormalCaracter"/>
          </w:rPr>
          <w:t>194/2015</w:t>
        </w:r>
      </w:hyperlink>
      <w:r>
        <w:t>, f. 4.</w:t>
      </w:r>
    </w:p>
    <w:p w:rsidR="00981775" w:rsidRDefault="00981775" w:rsidP="00981775">
      <w:pPr>
        <w:pStyle w:val="SangriaFrancesaArticulo"/>
      </w:pPr>
      <w:r w:rsidRPr="00981775">
        <w:rPr>
          <w:rStyle w:val="TextoNormalNegritaCaracter"/>
        </w:rPr>
        <w:t>Artículo 519.</w:t>
      </w:r>
      <w:r w:rsidRPr="00981775">
        <w:rPr>
          <w:rStyle w:val="TextoNormalCaracter"/>
        </w:rPr>
        <w:t>-</w:t>
      </w:r>
      <w:r>
        <w:t xml:space="preserve"> Auto </w:t>
      </w:r>
      <w:hyperlink w:anchor="AUTO_2015_172" w:history="1">
        <w:r w:rsidRPr="00981775">
          <w:rPr>
            <w:rStyle w:val="TextoNormalCaracter"/>
          </w:rPr>
          <w:t>172/2015</w:t>
        </w:r>
      </w:hyperlink>
      <w:r>
        <w:t>, f. 3.</w:t>
      </w:r>
    </w:p>
    <w:p w:rsidR="00981775" w:rsidRDefault="00981775" w:rsidP="00981775">
      <w:pPr>
        <w:pStyle w:val="SangriaFrancesaArticulo"/>
      </w:pPr>
      <w:r w:rsidRPr="00981775">
        <w:rPr>
          <w:rStyle w:val="TextoNormalNegritaCaracter"/>
        </w:rPr>
        <w:t>Disposición adicional decimoquinta.</w:t>
      </w:r>
      <w:r w:rsidRPr="00981775">
        <w:rPr>
          <w:rStyle w:val="TextoNormalCaracter"/>
        </w:rPr>
        <w:t>-</w:t>
      </w:r>
      <w:r>
        <w:t xml:space="preserve"> Sentencia </w:t>
      </w:r>
      <w:hyperlink w:anchor="SENTENCIA_2015_149" w:history="1">
        <w:r w:rsidRPr="00981775">
          <w:rPr>
            <w:rStyle w:val="TextoNormalCaracter"/>
          </w:rPr>
          <w:t>149/2015</w:t>
        </w:r>
      </w:hyperlink>
      <w:r>
        <w:t>, f. 4.</w:t>
      </w:r>
    </w:p>
    <w:p w:rsidR="00981775" w:rsidRDefault="00981775" w:rsidP="00981775">
      <w:pPr>
        <w:pStyle w:val="SangriaFrancesaArticulo"/>
      </w:pPr>
      <w:r w:rsidRPr="00981775">
        <w:rPr>
          <w:rStyle w:val="TextoNormalNegritaCaracter"/>
        </w:rPr>
        <w:t>Disposición transitoria cuadragésima primera.</w:t>
      </w:r>
      <w:r w:rsidRPr="00981775">
        <w:rPr>
          <w:rStyle w:val="TextoNormalCaracter"/>
        </w:rPr>
        <w:t>-</w:t>
      </w:r>
      <w:r>
        <w:t xml:space="preserve"> Auto </w:t>
      </w:r>
      <w:hyperlink w:anchor="AUTO_2015_172" w:history="1">
        <w:r w:rsidRPr="00981775">
          <w:rPr>
            <w:rStyle w:val="TextoNormalCaracter"/>
          </w:rPr>
          <w:t>172/2015</w:t>
        </w:r>
      </w:hyperlink>
      <w:r>
        <w:t>, ff. 1, 3.</w:t>
      </w:r>
    </w:p>
    <w:p w:rsidR="00981775" w:rsidRDefault="00981775" w:rsidP="00981775">
      <w:pPr>
        <w:pStyle w:val="SangriaFrancesaArticulo"/>
      </w:pPr>
    </w:p>
    <w:p w:rsidR="00981775" w:rsidRDefault="00981775" w:rsidP="00981775">
      <w:pPr>
        <w:pStyle w:val="TextoNormalNegritaCursivandice"/>
      </w:pPr>
      <w:r>
        <w:t>Ley Orgánica 8/1985, de 3 de julio. Reguladora del derecho a la educación</w:t>
      </w:r>
    </w:p>
    <w:p w:rsidR="00981775" w:rsidRDefault="00981775" w:rsidP="00981775">
      <w:pPr>
        <w:pStyle w:val="SangriaFrancesaArticulo"/>
      </w:pPr>
      <w:r w:rsidRPr="00981775">
        <w:rPr>
          <w:rStyle w:val="TextoNormalNegritaCaracter"/>
        </w:rPr>
        <w:t>Artículo 20.2.</w:t>
      </w:r>
      <w:r w:rsidRPr="00981775">
        <w:rPr>
          <w:rStyle w:val="TextoNormalCaracter"/>
        </w:rPr>
        <w:t>-</w:t>
      </w:r>
      <w:r>
        <w:t xml:space="preserve"> Sentencia </w:t>
      </w:r>
      <w:hyperlink w:anchor="SENTENCIA_2015_271" w:history="1">
        <w:r w:rsidRPr="00981775">
          <w:rPr>
            <w:rStyle w:val="TextoNormalCaracter"/>
          </w:rPr>
          <w:t>271/2015</w:t>
        </w:r>
      </w:hyperlink>
      <w:r>
        <w:t>, f. 3.</w:t>
      </w:r>
    </w:p>
    <w:p w:rsidR="00981775" w:rsidRDefault="00981775" w:rsidP="00981775">
      <w:pPr>
        <w:pStyle w:val="SangriaFrancesaArticulo"/>
      </w:pPr>
      <w:r w:rsidRPr="00981775">
        <w:rPr>
          <w:rStyle w:val="TextoNormalNegritaCaracter"/>
        </w:rPr>
        <w:t>Artículo 53.</w:t>
      </w:r>
      <w:r w:rsidRPr="00981775">
        <w:rPr>
          <w:rStyle w:val="TextoNormalCaracter"/>
        </w:rPr>
        <w:t>-</w:t>
      </w:r>
      <w:r>
        <w:t xml:space="preserve"> Sentencia </w:t>
      </w:r>
      <w:hyperlink w:anchor="SENTENCIA_2015_271" w:history="1">
        <w:r w:rsidRPr="00981775">
          <w:rPr>
            <w:rStyle w:val="TextoNormalCaracter"/>
          </w:rPr>
          <w:t>271/2015</w:t>
        </w:r>
      </w:hyperlink>
      <w:r>
        <w:t>, f. 3.</w:t>
      </w:r>
    </w:p>
    <w:p w:rsidR="00981775" w:rsidRDefault="00981775" w:rsidP="00981775">
      <w:pPr>
        <w:pStyle w:val="SangriaFrancesaArticulo"/>
      </w:pPr>
    </w:p>
    <w:p w:rsidR="00981775" w:rsidRDefault="00981775" w:rsidP="00981775">
      <w:pPr>
        <w:pStyle w:val="TextoNormalNegritaCursivandice"/>
      </w:pPr>
      <w:r>
        <w:t>Ley Orgánica 2/1986, de 13 de marzo. Fuerzas y cuerpos de seguridad</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00" w:history="1">
        <w:r w:rsidRPr="00981775">
          <w:rPr>
            <w:rStyle w:val="TextoNormalCaracter"/>
          </w:rPr>
          <w:t>200/2015</w:t>
        </w:r>
      </w:hyperlink>
      <w:r>
        <w:t>, f. 2.</w:t>
      </w:r>
    </w:p>
    <w:p w:rsidR="00981775" w:rsidRDefault="00981775" w:rsidP="00981775">
      <w:pPr>
        <w:pStyle w:val="SangriaIzquierdaArticulo"/>
      </w:pPr>
      <w:r>
        <w:t xml:space="preserve">Auto </w:t>
      </w:r>
      <w:hyperlink w:anchor="AUTO_2015_188" w:history="1">
        <w:r w:rsidRPr="00981775">
          <w:rPr>
            <w:rStyle w:val="TextoNormalCaracter"/>
          </w:rPr>
          <w:t>188/2015</w:t>
        </w:r>
      </w:hyperlink>
      <w:r>
        <w:t>, f. 3.</w:t>
      </w:r>
    </w:p>
    <w:p w:rsidR="00981775" w:rsidRDefault="00981775" w:rsidP="00981775">
      <w:pPr>
        <w:pStyle w:val="SangriaFrancesaArticulo"/>
      </w:pPr>
      <w:r w:rsidRPr="00981775">
        <w:rPr>
          <w:rStyle w:val="TextoNormalNegritaCaracter"/>
        </w:rPr>
        <w:t>Artículo 6.6.</w:t>
      </w:r>
      <w:r w:rsidRPr="00981775">
        <w:rPr>
          <w:rStyle w:val="TextoNormalCaracter"/>
        </w:rPr>
        <w:t>-</w:t>
      </w:r>
      <w:r>
        <w:t xml:space="preserve"> Auto </w:t>
      </w:r>
      <w:hyperlink w:anchor="AUTO_2015_188" w:history="1">
        <w:r w:rsidRPr="00981775">
          <w:rPr>
            <w:rStyle w:val="TextoNormalCaracter"/>
          </w:rPr>
          <w:t>188/2015</w:t>
        </w:r>
      </w:hyperlink>
      <w:r>
        <w:t>, f. 3.</w:t>
      </w:r>
    </w:p>
    <w:p w:rsidR="00981775" w:rsidRDefault="00981775" w:rsidP="00981775">
      <w:pPr>
        <w:pStyle w:val="SangriaFrancesaArticulo"/>
      </w:pPr>
      <w:r w:rsidRPr="00981775">
        <w:rPr>
          <w:rStyle w:val="TextoNormalNegritaCaracter"/>
        </w:rPr>
        <w:t>Artículo 10.3.</w:t>
      </w:r>
      <w:r w:rsidRPr="00981775">
        <w:rPr>
          <w:rStyle w:val="TextoNormalCaracter"/>
        </w:rPr>
        <w:t>-</w:t>
      </w:r>
      <w:r>
        <w:t xml:space="preserve"> Sentencia </w:t>
      </w:r>
      <w:hyperlink w:anchor="SENTENCIA_2015_236" w:history="1">
        <w:r w:rsidRPr="00981775">
          <w:rPr>
            <w:rStyle w:val="TextoNormalCaracter"/>
          </w:rPr>
          <w:t>236/2015</w:t>
        </w:r>
      </w:hyperlink>
      <w:r>
        <w:t>, f. 6.</w:t>
      </w:r>
    </w:p>
    <w:p w:rsidR="00981775" w:rsidRDefault="00981775" w:rsidP="00981775">
      <w:pPr>
        <w:pStyle w:val="SangriaFrancesaArticulo"/>
      </w:pPr>
      <w:r w:rsidRPr="00981775">
        <w:rPr>
          <w:rStyle w:val="TextoNormalNegritaCaracter"/>
        </w:rPr>
        <w:t>Artículos 33 a 35.</w:t>
      </w:r>
      <w:r w:rsidRPr="00981775">
        <w:rPr>
          <w:rStyle w:val="TextoNormalCaracter"/>
        </w:rPr>
        <w:t>-</w:t>
      </w:r>
      <w:r>
        <w:t xml:space="preserve"> Sentencia </w:t>
      </w:r>
      <w:hyperlink w:anchor="SENTENCIA_2015_236" w:history="1">
        <w:r w:rsidRPr="00981775">
          <w:rPr>
            <w:rStyle w:val="TextoNormalCaracter"/>
          </w:rPr>
          <w:t>236/2015</w:t>
        </w:r>
      </w:hyperlink>
      <w:r>
        <w:t>, f. 6.</w:t>
      </w:r>
    </w:p>
    <w:p w:rsidR="00981775" w:rsidRDefault="00981775" w:rsidP="00981775">
      <w:pPr>
        <w:pStyle w:val="SangriaFrancesaArticulo"/>
      </w:pPr>
      <w:r w:rsidRPr="00981775">
        <w:rPr>
          <w:rStyle w:val="TextoNormalNegritaCaracter"/>
        </w:rPr>
        <w:t>Artículo 47.</w:t>
      </w:r>
      <w:r w:rsidRPr="00981775">
        <w:rPr>
          <w:rStyle w:val="TextoNormalCaracter"/>
        </w:rPr>
        <w:t>-</w:t>
      </w:r>
      <w:r>
        <w:t xml:space="preserve"> Sentencia </w:t>
      </w:r>
      <w:hyperlink w:anchor="SENTENCIA_2015_236" w:history="1">
        <w:r w:rsidRPr="00981775">
          <w:rPr>
            <w:rStyle w:val="TextoNormalCaracter"/>
          </w:rPr>
          <w:t>236/2015</w:t>
        </w:r>
      </w:hyperlink>
      <w:r>
        <w:t>, f. 6.</w:t>
      </w:r>
    </w:p>
    <w:p w:rsidR="00981775" w:rsidRDefault="00981775" w:rsidP="00981775">
      <w:pPr>
        <w:pStyle w:val="SangriaFrancesaArticulo"/>
      </w:pPr>
      <w:r w:rsidRPr="00981775">
        <w:rPr>
          <w:rStyle w:val="TextoNormalNegritaCaracter"/>
        </w:rPr>
        <w:t>Artículo 51.</w:t>
      </w:r>
      <w:r w:rsidRPr="00981775">
        <w:rPr>
          <w:rStyle w:val="TextoNormalCaracter"/>
        </w:rPr>
        <w:t>-</w:t>
      </w:r>
      <w:r>
        <w:t xml:space="preserve"> Sentencia </w:t>
      </w:r>
      <w:hyperlink w:anchor="SENTENCIA_2015_200" w:history="1">
        <w:r w:rsidRPr="00981775">
          <w:rPr>
            <w:rStyle w:val="TextoNormalCaracter"/>
          </w:rPr>
          <w:t>200/2015</w:t>
        </w:r>
      </w:hyperlink>
      <w:r>
        <w:t>, ff. 1, 3.</w:t>
      </w:r>
    </w:p>
    <w:p w:rsidR="00981775" w:rsidRDefault="00981775" w:rsidP="00981775">
      <w:pPr>
        <w:pStyle w:val="SangriaFrancesaArticulo"/>
      </w:pPr>
      <w:r w:rsidRPr="00981775">
        <w:rPr>
          <w:rStyle w:val="TextoNormalNegritaCaracter"/>
        </w:rPr>
        <w:t>Artículo 51.1.</w:t>
      </w:r>
      <w:r w:rsidRPr="00981775">
        <w:rPr>
          <w:rStyle w:val="TextoNormalCaracter"/>
        </w:rPr>
        <w:t>-</w:t>
      </w:r>
      <w:r>
        <w:t xml:space="preserve"> Sentencia </w:t>
      </w:r>
      <w:hyperlink w:anchor="SENTENCIA_2015_200" w:history="1">
        <w:r w:rsidRPr="00981775">
          <w:rPr>
            <w:rStyle w:val="TextoNormalCaracter"/>
          </w:rPr>
          <w:t>200/2015</w:t>
        </w:r>
      </w:hyperlink>
      <w:r>
        <w:t>, f. 2.</w:t>
      </w:r>
    </w:p>
    <w:p w:rsidR="00981775" w:rsidRDefault="00981775" w:rsidP="00981775">
      <w:pPr>
        <w:pStyle w:val="SangriaFrancesaArticulo"/>
      </w:pPr>
      <w:r w:rsidRPr="00981775">
        <w:rPr>
          <w:rStyle w:val="TextoNormalNegritaCaracter"/>
        </w:rPr>
        <w:t>Artículo 51.2.</w:t>
      </w:r>
      <w:r w:rsidRPr="00981775">
        <w:rPr>
          <w:rStyle w:val="TextoNormalCaracter"/>
        </w:rPr>
        <w:t>-</w:t>
      </w:r>
      <w:r>
        <w:t xml:space="preserve"> Sentencia </w:t>
      </w:r>
      <w:hyperlink w:anchor="SENTENCIA_2015_200" w:history="1">
        <w:r w:rsidRPr="00981775">
          <w:rPr>
            <w:rStyle w:val="TextoNormalCaracter"/>
          </w:rPr>
          <w:t>200/2015</w:t>
        </w:r>
      </w:hyperlink>
      <w:r>
        <w:t>, ff. 1 a 3.</w:t>
      </w:r>
    </w:p>
    <w:p w:rsidR="00981775" w:rsidRDefault="00981775" w:rsidP="00981775">
      <w:pPr>
        <w:pStyle w:val="SangriaFrancesaArticulo"/>
      </w:pPr>
      <w:r w:rsidRPr="00981775">
        <w:rPr>
          <w:rStyle w:val="TextoNormalNegritaCaracter"/>
        </w:rPr>
        <w:t>Artículo 52.1.</w:t>
      </w:r>
      <w:r w:rsidRPr="00981775">
        <w:rPr>
          <w:rStyle w:val="TextoNormalCaracter"/>
        </w:rPr>
        <w:t>-</w:t>
      </w:r>
      <w:r>
        <w:t xml:space="preserve"> Sentencia </w:t>
      </w:r>
      <w:hyperlink w:anchor="SENTENCIA_2015_200" w:history="1">
        <w:r w:rsidRPr="00981775">
          <w:rPr>
            <w:rStyle w:val="TextoNormalCaracter"/>
          </w:rPr>
          <w:t>200/2015</w:t>
        </w:r>
      </w:hyperlink>
      <w:r>
        <w:t>, f. 3.</w:t>
      </w:r>
    </w:p>
    <w:p w:rsidR="00981775" w:rsidRDefault="00981775" w:rsidP="00981775">
      <w:pPr>
        <w:pStyle w:val="SangriaFrancesaArticulo"/>
      </w:pPr>
      <w:r w:rsidRPr="00981775">
        <w:rPr>
          <w:rStyle w:val="TextoNormalNegritaCaracter"/>
        </w:rPr>
        <w:t>Artículo 53.1.</w:t>
      </w:r>
      <w:r w:rsidRPr="00981775">
        <w:rPr>
          <w:rStyle w:val="TextoNormalCaracter"/>
        </w:rPr>
        <w:t>-</w:t>
      </w:r>
      <w:r>
        <w:t xml:space="preserve"> Sentencia </w:t>
      </w:r>
      <w:hyperlink w:anchor="SENTENCIA_2015_200" w:history="1">
        <w:r w:rsidRPr="00981775">
          <w:rPr>
            <w:rStyle w:val="TextoNormalCaracter"/>
          </w:rPr>
          <w:t>200/2015</w:t>
        </w:r>
      </w:hyperlink>
      <w:r>
        <w:t>, f. 3.</w:t>
      </w:r>
    </w:p>
    <w:p w:rsidR="00981775" w:rsidRDefault="00981775" w:rsidP="00981775">
      <w:pPr>
        <w:pStyle w:val="SangriaFrancesaArticulo"/>
      </w:pPr>
      <w:r w:rsidRPr="00981775">
        <w:rPr>
          <w:rStyle w:val="TextoNormalNegritaCaracter"/>
        </w:rPr>
        <w:t>Disposición final segunda, apartado 1.</w:t>
      </w:r>
      <w:r w:rsidRPr="00981775">
        <w:rPr>
          <w:rStyle w:val="TextoNormalCaracter"/>
        </w:rPr>
        <w:t>-</w:t>
      </w:r>
      <w:r>
        <w:t xml:space="preserve"> Auto </w:t>
      </w:r>
      <w:hyperlink w:anchor="AUTO_2015_188" w:history="1">
        <w:r w:rsidRPr="00981775">
          <w:rPr>
            <w:rStyle w:val="TextoNormalCaracter"/>
          </w:rPr>
          <w:t>188/2015</w:t>
        </w:r>
      </w:hyperlink>
      <w:r>
        <w:t>, f. 3.</w:t>
      </w:r>
    </w:p>
    <w:p w:rsidR="00981775" w:rsidRDefault="00981775" w:rsidP="00981775">
      <w:pPr>
        <w:pStyle w:val="SangriaFrancesaArticulo"/>
      </w:pPr>
      <w:r w:rsidRPr="00981775">
        <w:rPr>
          <w:rStyle w:val="TextoNormalNegritaCaracter"/>
        </w:rPr>
        <w:t>Disposición final segunda, apartado 2.</w:t>
      </w:r>
      <w:r w:rsidRPr="00981775">
        <w:rPr>
          <w:rStyle w:val="TextoNormalCaracter"/>
        </w:rPr>
        <w:t>-</w:t>
      </w:r>
      <w:r>
        <w:t xml:space="preserve"> Auto </w:t>
      </w:r>
      <w:hyperlink w:anchor="AUTO_2015_188" w:history="1">
        <w:r w:rsidRPr="00981775">
          <w:rPr>
            <w:rStyle w:val="TextoNormalCaracter"/>
          </w:rPr>
          <w:t>188/2015</w:t>
        </w:r>
      </w:hyperlink>
      <w:r>
        <w:t>, f. 3.</w:t>
      </w:r>
    </w:p>
    <w:p w:rsidR="00981775" w:rsidRDefault="00981775" w:rsidP="00981775">
      <w:pPr>
        <w:pStyle w:val="SangriaFrancesaArticulo"/>
      </w:pPr>
    </w:p>
    <w:p w:rsidR="00981775" w:rsidRDefault="00981775" w:rsidP="00981775">
      <w:pPr>
        <w:pStyle w:val="TextoNormalNegritaCursivandice"/>
      </w:pPr>
      <w:r>
        <w:t>Ley Orgánica 1/1992, de 21 de febrero. Protección de la seguridad ciudadana</w:t>
      </w:r>
    </w:p>
    <w:p w:rsidR="00981775" w:rsidRDefault="00981775" w:rsidP="00981775">
      <w:pPr>
        <w:pStyle w:val="SangriaFrancesaArticulo"/>
      </w:pPr>
      <w:r w:rsidRPr="00981775">
        <w:rPr>
          <w:rStyle w:val="TextoNormalNegritaCaracter"/>
        </w:rPr>
        <w:t>Artículo 23 i).</w:t>
      </w:r>
      <w:r w:rsidRPr="00981775">
        <w:rPr>
          <w:rStyle w:val="TextoNormalCaracter"/>
        </w:rPr>
        <w:t>-</w:t>
      </w:r>
      <w:r>
        <w:t xml:space="preserve"> Auto </w:t>
      </w:r>
      <w:hyperlink w:anchor="AUTO_2015_170" w:history="1">
        <w:r w:rsidRPr="00981775">
          <w:rPr>
            <w:rStyle w:val="TextoNormalCaracter"/>
          </w:rPr>
          <w:t>170/2015</w:t>
        </w:r>
      </w:hyperlink>
      <w:r>
        <w:t>, f. 5.</w:t>
      </w:r>
    </w:p>
    <w:p w:rsidR="00981775" w:rsidRDefault="00981775" w:rsidP="00981775">
      <w:pPr>
        <w:pStyle w:val="SangriaFrancesaArticulo"/>
      </w:pPr>
      <w:r w:rsidRPr="00981775">
        <w:rPr>
          <w:rStyle w:val="TextoNormalNegritaCaracter"/>
        </w:rPr>
        <w:t>Artículo 25.</w:t>
      </w:r>
      <w:r w:rsidRPr="00981775">
        <w:rPr>
          <w:rStyle w:val="TextoNormalCaracter"/>
        </w:rPr>
        <w:t>-</w:t>
      </w:r>
      <w:r>
        <w:t xml:space="preserve"> Auto </w:t>
      </w:r>
      <w:hyperlink w:anchor="AUTO_2015_170" w:history="1">
        <w:r w:rsidRPr="00981775">
          <w:rPr>
            <w:rStyle w:val="TextoNormalCaracter"/>
          </w:rPr>
          <w:t>170/2015</w:t>
        </w:r>
      </w:hyperlink>
      <w:r>
        <w:t>, f. 5.</w:t>
      </w:r>
    </w:p>
    <w:p w:rsidR="00981775" w:rsidRDefault="00981775" w:rsidP="00981775">
      <w:pPr>
        <w:pStyle w:val="SangriaFrancesaArticulo"/>
      </w:pPr>
      <w:r w:rsidRPr="00981775">
        <w:rPr>
          <w:rStyle w:val="TextoNormalNegritaCaracter"/>
        </w:rPr>
        <w:t>Artículo 25.1.</w:t>
      </w:r>
      <w:r w:rsidRPr="00981775">
        <w:rPr>
          <w:rStyle w:val="TextoNormalCaracter"/>
        </w:rPr>
        <w:t>-</w:t>
      </w:r>
      <w:r>
        <w:t xml:space="preserve"> Auto </w:t>
      </w:r>
      <w:hyperlink w:anchor="AUTO_2015_170" w:history="1">
        <w:r w:rsidRPr="00981775">
          <w:rPr>
            <w:rStyle w:val="TextoNormalCaracter"/>
          </w:rPr>
          <w:t>170/2015</w:t>
        </w:r>
      </w:hyperlink>
      <w:r>
        <w:t>, f. 5.</w:t>
      </w:r>
    </w:p>
    <w:p w:rsidR="00981775" w:rsidRDefault="00981775" w:rsidP="00981775">
      <w:pPr>
        <w:pStyle w:val="SangriaFrancesaArticulo"/>
      </w:pPr>
    </w:p>
    <w:p w:rsidR="00981775" w:rsidRDefault="00981775" w:rsidP="00981775">
      <w:pPr>
        <w:pStyle w:val="TextoNormalNegritaCursivandice"/>
      </w:pPr>
      <w:r>
        <w:t>Ley Orgánica 10/1995, de 23 de noviembre. Código penal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38" w:history="1">
        <w:r w:rsidRPr="00981775">
          <w:rPr>
            <w:rStyle w:val="TextoNormalCaracter"/>
          </w:rPr>
          <w:t>138/2015</w:t>
        </w:r>
      </w:hyperlink>
      <w:r>
        <w:t>, f. 4.</w:t>
      </w:r>
    </w:p>
    <w:p w:rsidR="00981775" w:rsidRDefault="00981775" w:rsidP="00981775">
      <w:pPr>
        <w:pStyle w:val="SangriaFrancesaArticulo"/>
      </w:pPr>
      <w:r w:rsidRPr="00981775">
        <w:rPr>
          <w:rStyle w:val="TextoNormalNegritaCaracter"/>
        </w:rPr>
        <w:t>Libro III.</w:t>
      </w:r>
      <w:r w:rsidRPr="00981775">
        <w:rPr>
          <w:rStyle w:val="TextoNormalCaracter"/>
        </w:rPr>
        <w:t>-</w:t>
      </w:r>
      <w:r>
        <w:t xml:space="preserve"> Auto </w:t>
      </w:r>
      <w:hyperlink w:anchor="AUTO_2015_137" w:history="1">
        <w:r w:rsidRPr="00981775">
          <w:rPr>
            <w:rStyle w:val="TextoNormalCaracter"/>
          </w:rPr>
          <w:t>137/2015</w:t>
        </w:r>
      </w:hyperlink>
      <w:r>
        <w:t>, f. 1.</w:t>
      </w:r>
    </w:p>
    <w:p w:rsidR="00981775" w:rsidRDefault="00981775" w:rsidP="00981775">
      <w:pPr>
        <w:pStyle w:val="SangriaFrancesaArticulo"/>
      </w:pPr>
      <w:r w:rsidRPr="00981775">
        <w:rPr>
          <w:rStyle w:val="TextoNormalNegritaCaracter"/>
        </w:rPr>
        <w:t>Título XI.</w:t>
      </w:r>
      <w:r w:rsidRPr="00981775">
        <w:rPr>
          <w:rStyle w:val="TextoNormalCaracter"/>
        </w:rPr>
        <w:t>-</w:t>
      </w:r>
      <w:r>
        <w:t xml:space="preserve"> Sentencia </w:t>
      </w:r>
      <w:hyperlink w:anchor="SENTENCIA_2015_177" w:history="1">
        <w:r w:rsidRPr="00981775">
          <w:rPr>
            <w:rStyle w:val="TextoNormalCaracter"/>
          </w:rPr>
          <w:t>177/2015</w:t>
        </w:r>
      </w:hyperlink>
      <w:r>
        <w:t>, f. 3.</w:t>
      </w:r>
    </w:p>
    <w:p w:rsidR="00981775" w:rsidRDefault="00981775" w:rsidP="00981775">
      <w:pPr>
        <w:pStyle w:val="SangriaFrancesaArticulo"/>
      </w:pPr>
      <w:r w:rsidRPr="00981775">
        <w:rPr>
          <w:rStyle w:val="TextoNormalNegritaCaracter"/>
        </w:rPr>
        <w:t>Artículo 2.</w:t>
      </w:r>
      <w:r w:rsidRPr="00981775">
        <w:rPr>
          <w:rStyle w:val="TextoNormalCaracter"/>
        </w:rPr>
        <w:t>-</w:t>
      </w:r>
      <w:r>
        <w:t xml:space="preserve"> Sentencia </w:t>
      </w:r>
      <w:hyperlink w:anchor="SENTENCIA_2015_261" w:history="1">
        <w:r w:rsidRPr="00981775">
          <w:rPr>
            <w:rStyle w:val="TextoNormalCaracter"/>
          </w:rPr>
          <w:t>261/2015</w:t>
        </w:r>
      </w:hyperlink>
      <w:r>
        <w:t>, f. 1.</w:t>
      </w:r>
    </w:p>
    <w:p w:rsidR="00981775" w:rsidRDefault="00981775" w:rsidP="00981775">
      <w:pPr>
        <w:pStyle w:val="SangriaFrancesaArticulo"/>
      </w:pPr>
      <w:r w:rsidRPr="00981775">
        <w:rPr>
          <w:rStyle w:val="TextoNormalNegritaCaracter"/>
        </w:rPr>
        <w:t>Artículo 2.2.</w:t>
      </w:r>
      <w:r w:rsidRPr="00981775">
        <w:rPr>
          <w:rStyle w:val="TextoNormalCaracter"/>
        </w:rPr>
        <w:t>-</w:t>
      </w:r>
      <w:r>
        <w:t xml:space="preserve"> Sentencia </w:t>
      </w:r>
      <w:hyperlink w:anchor="SENTENCIA_2015_261" w:history="1">
        <w:r w:rsidRPr="00981775">
          <w:rPr>
            <w:rStyle w:val="TextoNormalCaracter"/>
          </w:rPr>
          <w:t>261/2015</w:t>
        </w:r>
      </w:hyperlink>
      <w:r>
        <w:t>, f. 4.</w:t>
      </w:r>
    </w:p>
    <w:p w:rsidR="00981775" w:rsidRDefault="00981775" w:rsidP="00981775">
      <w:pPr>
        <w:pStyle w:val="SangriaIzquierdaArticulo"/>
      </w:pPr>
      <w:r>
        <w:t xml:space="preserve">Autos </w:t>
      </w:r>
      <w:hyperlink w:anchor="AUTO_2015_137" w:history="1">
        <w:r w:rsidRPr="00981775">
          <w:rPr>
            <w:rStyle w:val="TextoNormalCaracter"/>
          </w:rPr>
          <w:t>137/2015</w:t>
        </w:r>
      </w:hyperlink>
      <w:r>
        <w:t xml:space="preserve">, f. 4; </w:t>
      </w:r>
      <w:hyperlink w:anchor="AUTO_2015_138" w:history="1">
        <w:r w:rsidRPr="00981775">
          <w:rPr>
            <w:rStyle w:val="TextoNormalCaracter"/>
          </w:rPr>
          <w:t>138/2015</w:t>
        </w:r>
      </w:hyperlink>
      <w:r>
        <w:t xml:space="preserve">, f. 4; </w:t>
      </w:r>
      <w:hyperlink w:anchor="AUTO_2015_180" w:history="1">
        <w:r w:rsidRPr="00981775">
          <w:rPr>
            <w:rStyle w:val="TextoNormalCaracter"/>
          </w:rPr>
          <w:t>180/2015</w:t>
        </w:r>
      </w:hyperlink>
      <w:r>
        <w:t>, f. 3.</w:t>
      </w:r>
    </w:p>
    <w:p w:rsidR="00981775" w:rsidRDefault="00981775" w:rsidP="00981775">
      <w:pPr>
        <w:pStyle w:val="SangriaFrancesaArticulo"/>
      </w:pPr>
      <w:r w:rsidRPr="00981775">
        <w:rPr>
          <w:rStyle w:val="TextoNormalNegritaCaracter"/>
        </w:rPr>
        <w:t>Artículo 22.2.</w:t>
      </w:r>
      <w:r w:rsidRPr="00981775">
        <w:rPr>
          <w:rStyle w:val="TextoNormalCaracter"/>
        </w:rPr>
        <w:t>-</w:t>
      </w:r>
      <w:r>
        <w:t xml:space="preserve"> Sentencia </w:t>
      </w:r>
      <w:hyperlink w:anchor="SENTENCIA_2015_177" w:history="1">
        <w:r w:rsidRPr="00981775">
          <w:rPr>
            <w:rStyle w:val="TextoNormalCaracter"/>
          </w:rPr>
          <w:t>177/2015</w:t>
        </w:r>
      </w:hyperlink>
      <w:r>
        <w:t>, f. 5.</w:t>
      </w:r>
    </w:p>
    <w:p w:rsidR="00981775" w:rsidRDefault="00981775" w:rsidP="00981775">
      <w:pPr>
        <w:pStyle w:val="SangriaFrancesaArticulo"/>
      </w:pPr>
      <w:r w:rsidRPr="00981775">
        <w:rPr>
          <w:rStyle w:val="TextoNormalNegritaCaracter"/>
        </w:rPr>
        <w:t>Artículo 38.</w:t>
      </w:r>
      <w:r w:rsidRPr="00981775">
        <w:rPr>
          <w:rStyle w:val="TextoNormalCaracter"/>
        </w:rPr>
        <w:t>-</w:t>
      </w:r>
      <w:r>
        <w:t xml:space="preserve"> Sentencia </w:t>
      </w:r>
      <w:hyperlink w:anchor="SENTENCIA_2015_261" w:history="1">
        <w:r w:rsidRPr="00981775">
          <w:rPr>
            <w:rStyle w:val="TextoNormalCaracter"/>
          </w:rPr>
          <w:t>261/2015</w:t>
        </w:r>
      </w:hyperlink>
      <w:r>
        <w:t>, f. 6.</w:t>
      </w:r>
    </w:p>
    <w:p w:rsidR="00981775" w:rsidRDefault="00981775" w:rsidP="00981775">
      <w:pPr>
        <w:pStyle w:val="SangriaFrancesaArticulo"/>
      </w:pPr>
      <w:r w:rsidRPr="00981775">
        <w:rPr>
          <w:rStyle w:val="TextoNormalNegritaCaracter"/>
        </w:rPr>
        <w:t>Artículo 58</w:t>
      </w:r>
      <w:r>
        <w:t xml:space="preserve"> (redactado por la Ley Orgánica 15/2003, de 25 de noviembre)</w:t>
      </w:r>
      <w:r w:rsidRPr="00981775">
        <w:rPr>
          <w:rStyle w:val="TextoNormalNegritaCaracter"/>
        </w:rPr>
        <w:t>.</w:t>
      </w:r>
      <w:r w:rsidRPr="00981775">
        <w:rPr>
          <w:rStyle w:val="TextoNormalCaracter"/>
        </w:rPr>
        <w:t>-</w:t>
      </w:r>
      <w:r>
        <w:t xml:space="preserve"> Sentencia </w:t>
      </w:r>
      <w:hyperlink w:anchor="SENTENCIA_2015_261" w:history="1">
        <w:r w:rsidRPr="00981775">
          <w:rPr>
            <w:rStyle w:val="TextoNormalCaracter"/>
          </w:rPr>
          <w:t>261/2015</w:t>
        </w:r>
      </w:hyperlink>
      <w:r>
        <w:t>, f. 1.</w:t>
      </w:r>
    </w:p>
    <w:p w:rsidR="00981775" w:rsidRDefault="00981775" w:rsidP="00981775">
      <w:pPr>
        <w:pStyle w:val="SangriaFrancesaArticulo"/>
      </w:pPr>
      <w:r w:rsidRPr="00981775">
        <w:rPr>
          <w:rStyle w:val="TextoNormalNegritaCaracter"/>
        </w:rPr>
        <w:t>Artículo 58</w:t>
      </w:r>
      <w:r>
        <w:t xml:space="preserve"> (redactado por la Ley Orgánica 5/2010, de 22 de junio)</w:t>
      </w:r>
      <w:r w:rsidRPr="00981775">
        <w:rPr>
          <w:rStyle w:val="TextoNormalNegritaCaracter"/>
        </w:rPr>
        <w:t>.</w:t>
      </w:r>
      <w:r w:rsidRPr="00981775">
        <w:rPr>
          <w:rStyle w:val="TextoNormalCaracter"/>
        </w:rPr>
        <w:t>-</w:t>
      </w:r>
      <w:r>
        <w:t xml:space="preserve"> Sentencia </w:t>
      </w:r>
      <w:hyperlink w:anchor="SENTENCIA_2015_261" w:history="1">
        <w:r w:rsidRPr="00981775">
          <w:rPr>
            <w:rStyle w:val="TextoNormalCaracter"/>
          </w:rPr>
          <w:t>261/2015</w:t>
        </w:r>
      </w:hyperlink>
      <w:r>
        <w:t>, ff. 3, 6, 7.</w:t>
      </w:r>
    </w:p>
    <w:p w:rsidR="00981775" w:rsidRDefault="00981775" w:rsidP="00981775">
      <w:pPr>
        <w:pStyle w:val="SangriaFrancesaArticulo"/>
      </w:pPr>
      <w:r w:rsidRPr="00981775">
        <w:rPr>
          <w:rStyle w:val="TextoNormalNegritaCaracter"/>
        </w:rPr>
        <w:t>Artículo 58.1.</w:t>
      </w:r>
      <w:r w:rsidRPr="00981775">
        <w:rPr>
          <w:rStyle w:val="TextoNormalCaracter"/>
        </w:rPr>
        <w:t>-</w:t>
      </w:r>
      <w:r>
        <w:t xml:space="preserve"> Sentencia </w:t>
      </w:r>
      <w:hyperlink w:anchor="SENTENCIA_2015_261" w:history="1">
        <w:r w:rsidRPr="00981775">
          <w:rPr>
            <w:rStyle w:val="TextoNormalCaracter"/>
          </w:rPr>
          <w:t>261/2015</w:t>
        </w:r>
      </w:hyperlink>
      <w:r>
        <w:t>, ff. 2, 6.</w:t>
      </w:r>
    </w:p>
    <w:p w:rsidR="00981775" w:rsidRDefault="00981775" w:rsidP="00981775">
      <w:pPr>
        <w:pStyle w:val="SangriaFrancesaArticulo"/>
      </w:pPr>
      <w:r w:rsidRPr="00981775">
        <w:rPr>
          <w:rStyle w:val="TextoNormalNegritaCaracter"/>
        </w:rPr>
        <w:t>Artículo 58.1</w:t>
      </w:r>
      <w:r>
        <w:t xml:space="preserve"> (redactado por la Ley Orgánica 15/2003, de 25 de noviembre</w:t>
      </w:r>
      <w:r w:rsidRPr="00981775">
        <w:rPr>
          <w:rStyle w:val="TextoNormalNegritaCaracter"/>
        </w:rPr>
        <w:t>.</w:t>
      </w:r>
      <w:r w:rsidRPr="00981775">
        <w:rPr>
          <w:rStyle w:val="TextoNormalCaracter"/>
        </w:rPr>
        <w:t>-</w:t>
      </w:r>
      <w:r>
        <w:t xml:space="preserve"> Sentencia </w:t>
      </w:r>
      <w:hyperlink w:anchor="SENTENCIA_2015_261" w:history="1">
        <w:r w:rsidRPr="00981775">
          <w:rPr>
            <w:rStyle w:val="TextoNormalCaracter"/>
          </w:rPr>
          <w:t>261/2015</w:t>
        </w:r>
      </w:hyperlink>
      <w:r>
        <w:t>, f. 2.</w:t>
      </w:r>
    </w:p>
    <w:p w:rsidR="00981775" w:rsidRDefault="00981775" w:rsidP="00981775">
      <w:pPr>
        <w:pStyle w:val="SangriaFrancesaArticulo"/>
      </w:pPr>
      <w:r w:rsidRPr="00981775">
        <w:rPr>
          <w:rStyle w:val="TextoNormalNegritaCaracter"/>
        </w:rPr>
        <w:t>Artículo 58.1</w:t>
      </w:r>
      <w:r>
        <w:t xml:space="preserve"> (redactado por la Ley Orgánica 5/2010, de 22 de junio)</w:t>
      </w:r>
      <w:r w:rsidRPr="00981775">
        <w:rPr>
          <w:rStyle w:val="TextoNormalNegritaCaracter"/>
        </w:rPr>
        <w:t>.</w:t>
      </w:r>
      <w:r w:rsidRPr="00981775">
        <w:rPr>
          <w:rStyle w:val="TextoNormalCaracter"/>
        </w:rPr>
        <w:t>-</w:t>
      </w:r>
      <w:r>
        <w:t xml:space="preserve"> Sentencia </w:t>
      </w:r>
      <w:hyperlink w:anchor="SENTENCIA_2015_261" w:history="1">
        <w:r w:rsidRPr="00981775">
          <w:rPr>
            <w:rStyle w:val="TextoNormalCaracter"/>
          </w:rPr>
          <w:t>261/2015</w:t>
        </w:r>
      </w:hyperlink>
      <w:r>
        <w:t>, ff. 1, 2.</w:t>
      </w:r>
    </w:p>
    <w:p w:rsidR="00981775" w:rsidRDefault="00981775" w:rsidP="00981775">
      <w:pPr>
        <w:pStyle w:val="SangriaFrancesaArticulo"/>
      </w:pPr>
      <w:r w:rsidRPr="00981775">
        <w:rPr>
          <w:rStyle w:val="TextoNormalNegritaCaracter"/>
        </w:rPr>
        <w:t>Artículo 89</w:t>
      </w:r>
      <w:r>
        <w:t xml:space="preserve"> (redactado por la Ley Orgánica 1/2015, de 30 de marzo)</w:t>
      </w:r>
      <w:r w:rsidRPr="00981775">
        <w:rPr>
          <w:rStyle w:val="TextoNormalNegritaCaracter"/>
        </w:rPr>
        <w:t>.</w:t>
      </w:r>
      <w:r w:rsidRPr="00981775">
        <w:rPr>
          <w:rStyle w:val="TextoNormalCaracter"/>
        </w:rPr>
        <w:t>-</w:t>
      </w:r>
      <w:r>
        <w:t xml:space="preserve"> Auto </w:t>
      </w:r>
      <w:hyperlink w:anchor="AUTO_2015_180" w:history="1">
        <w:r w:rsidRPr="00981775">
          <w:rPr>
            <w:rStyle w:val="TextoNormalCaracter"/>
          </w:rPr>
          <w:t>180/2015</w:t>
        </w:r>
      </w:hyperlink>
      <w:r>
        <w:t>, f. 3.</w:t>
      </w:r>
    </w:p>
    <w:p w:rsidR="00981775" w:rsidRDefault="00981775" w:rsidP="00981775">
      <w:pPr>
        <w:pStyle w:val="SangriaFrancesaArticulo"/>
      </w:pPr>
      <w:r w:rsidRPr="00981775">
        <w:rPr>
          <w:rStyle w:val="TextoNormalNegritaCaracter"/>
        </w:rPr>
        <w:t>Artículo 89.1</w:t>
      </w:r>
      <w:r>
        <w:t xml:space="preserve"> (redactado por la Ley Orgánica 1/2015, de 30 de marzo)</w:t>
      </w:r>
      <w:r w:rsidRPr="00981775">
        <w:rPr>
          <w:rStyle w:val="TextoNormalNegritaCaracter"/>
        </w:rPr>
        <w:t>.</w:t>
      </w:r>
      <w:r w:rsidRPr="00981775">
        <w:rPr>
          <w:rStyle w:val="TextoNormalCaracter"/>
        </w:rPr>
        <w:t>-</w:t>
      </w:r>
      <w:r>
        <w:t xml:space="preserve"> Auto </w:t>
      </w:r>
      <w:hyperlink w:anchor="AUTO_2015_180" w:history="1">
        <w:r w:rsidRPr="00981775">
          <w:rPr>
            <w:rStyle w:val="TextoNormalCaracter"/>
          </w:rPr>
          <w:t>180/2015</w:t>
        </w:r>
      </w:hyperlink>
      <w:r>
        <w:t>, f. 3.</w:t>
      </w:r>
    </w:p>
    <w:p w:rsidR="00981775" w:rsidRDefault="00981775" w:rsidP="00981775">
      <w:pPr>
        <w:pStyle w:val="SangriaFrancesaArticulo"/>
      </w:pPr>
      <w:r w:rsidRPr="00981775">
        <w:rPr>
          <w:rStyle w:val="TextoNormalNegritaCaracter"/>
        </w:rPr>
        <w:t>Artículo 89.1</w:t>
      </w:r>
      <w:r>
        <w:t xml:space="preserve"> (redactado por la Ley Orgánica 5/2010, de 22 de junio)</w:t>
      </w:r>
      <w:r w:rsidRPr="00981775">
        <w:rPr>
          <w:rStyle w:val="TextoNormalNegritaCaracter"/>
        </w:rPr>
        <w:t>.</w:t>
      </w:r>
      <w:r w:rsidRPr="00981775">
        <w:rPr>
          <w:rStyle w:val="TextoNormalCaracter"/>
        </w:rPr>
        <w:t>-</w:t>
      </w:r>
      <w:r>
        <w:t xml:space="preserve"> Auto </w:t>
      </w:r>
      <w:hyperlink w:anchor="AUTO_2015_180" w:history="1">
        <w:r w:rsidRPr="00981775">
          <w:rPr>
            <w:rStyle w:val="TextoNormalCaracter"/>
          </w:rPr>
          <w:t>180/2015</w:t>
        </w:r>
      </w:hyperlink>
      <w:r>
        <w:t>, ff. 1, 3.</w:t>
      </w:r>
    </w:p>
    <w:p w:rsidR="00981775" w:rsidRDefault="00981775" w:rsidP="00981775">
      <w:pPr>
        <w:pStyle w:val="SangriaFrancesaArticulo"/>
      </w:pPr>
      <w:r w:rsidRPr="00981775">
        <w:rPr>
          <w:rStyle w:val="TextoNormalNegritaCaracter"/>
        </w:rPr>
        <w:t>Artículo 89.3</w:t>
      </w:r>
      <w:r>
        <w:t xml:space="preserve"> (redactado por la Ley Orgánica 1/2015 de 30 de marzo)</w:t>
      </w:r>
      <w:r w:rsidRPr="00981775">
        <w:rPr>
          <w:rStyle w:val="TextoNormalNegritaCaracter"/>
        </w:rPr>
        <w:t>.</w:t>
      </w:r>
      <w:r w:rsidRPr="00981775">
        <w:rPr>
          <w:rStyle w:val="TextoNormalCaracter"/>
        </w:rPr>
        <w:t>-</w:t>
      </w:r>
      <w:r>
        <w:t xml:space="preserve"> Auto </w:t>
      </w:r>
      <w:hyperlink w:anchor="AUTO_2015_180" w:history="1">
        <w:r w:rsidRPr="00981775">
          <w:rPr>
            <w:rStyle w:val="TextoNormalCaracter"/>
          </w:rPr>
          <w:t>180/2015</w:t>
        </w:r>
      </w:hyperlink>
      <w:r>
        <w:t>, f. 3.</w:t>
      </w:r>
    </w:p>
    <w:p w:rsidR="00981775" w:rsidRDefault="00981775" w:rsidP="00981775">
      <w:pPr>
        <w:pStyle w:val="SangriaFrancesaArticulo"/>
      </w:pPr>
      <w:r w:rsidRPr="00981775">
        <w:rPr>
          <w:rStyle w:val="TextoNormalNegritaCaracter"/>
        </w:rPr>
        <w:t>Artículo 89.4</w:t>
      </w:r>
      <w:r>
        <w:t xml:space="preserve"> (redactado por la Ley Orgánica 1/2015, de 30 de marzo)</w:t>
      </w:r>
      <w:r w:rsidRPr="00981775">
        <w:rPr>
          <w:rStyle w:val="TextoNormalNegritaCaracter"/>
        </w:rPr>
        <w:t>.</w:t>
      </w:r>
      <w:r w:rsidRPr="00981775">
        <w:rPr>
          <w:rStyle w:val="TextoNormalCaracter"/>
        </w:rPr>
        <w:t>-</w:t>
      </w:r>
      <w:r>
        <w:t xml:space="preserve"> Auto </w:t>
      </w:r>
      <w:hyperlink w:anchor="AUTO_2015_180" w:history="1">
        <w:r w:rsidRPr="00981775">
          <w:rPr>
            <w:rStyle w:val="TextoNormalCaracter"/>
          </w:rPr>
          <w:t>180/2015</w:t>
        </w:r>
      </w:hyperlink>
      <w:r>
        <w:t>, f. 3.</w:t>
      </w:r>
    </w:p>
    <w:p w:rsidR="00981775" w:rsidRDefault="00981775" w:rsidP="00981775">
      <w:pPr>
        <w:pStyle w:val="SangriaFrancesaArticulo"/>
      </w:pPr>
      <w:r w:rsidRPr="00981775">
        <w:rPr>
          <w:rStyle w:val="TextoNormalNegritaCaracter"/>
        </w:rPr>
        <w:t>Artículo 109.</w:t>
      </w:r>
      <w:r w:rsidRPr="00981775">
        <w:rPr>
          <w:rStyle w:val="TextoNormalCaracter"/>
        </w:rPr>
        <w:t>-</w:t>
      </w:r>
      <w:r>
        <w:t xml:space="preserve"> Sentencia </w:t>
      </w:r>
      <w:hyperlink w:anchor="SENTENCIA_2015_266" w:history="1">
        <w:r w:rsidRPr="00981775">
          <w:rPr>
            <w:rStyle w:val="TextoNormalCaracter"/>
          </w:rPr>
          <w:t>266/2015</w:t>
        </w:r>
      </w:hyperlink>
      <w:r>
        <w:t>, ff. 2, 5.</w:t>
      </w:r>
    </w:p>
    <w:p w:rsidR="00981775" w:rsidRDefault="00981775" w:rsidP="00981775">
      <w:pPr>
        <w:pStyle w:val="SangriaFrancesaArticulo"/>
      </w:pPr>
      <w:r w:rsidRPr="00981775">
        <w:rPr>
          <w:rStyle w:val="TextoNormalNegritaCaracter"/>
        </w:rPr>
        <w:t>Artículo 111.</w:t>
      </w:r>
      <w:r w:rsidRPr="00981775">
        <w:rPr>
          <w:rStyle w:val="TextoNormalCaracter"/>
        </w:rPr>
        <w:t>-</w:t>
      </w:r>
      <w:r>
        <w:t xml:space="preserve"> Sentencia </w:t>
      </w:r>
      <w:hyperlink w:anchor="SENTENCIA_2015_266" w:history="1">
        <w:r w:rsidRPr="00981775">
          <w:rPr>
            <w:rStyle w:val="TextoNormalCaracter"/>
          </w:rPr>
          <w:t>266/2015</w:t>
        </w:r>
      </w:hyperlink>
      <w:r>
        <w:t>, ff. 1, 5.</w:t>
      </w:r>
    </w:p>
    <w:p w:rsidR="00981775" w:rsidRDefault="00981775" w:rsidP="00981775">
      <w:pPr>
        <w:pStyle w:val="SangriaFrancesaArticulo"/>
      </w:pPr>
      <w:r w:rsidRPr="00981775">
        <w:rPr>
          <w:rStyle w:val="TextoNormalNegritaCaracter"/>
        </w:rPr>
        <w:t>Artículo 112.</w:t>
      </w:r>
      <w:r w:rsidRPr="00981775">
        <w:rPr>
          <w:rStyle w:val="TextoNormalCaracter"/>
        </w:rPr>
        <w:t>-</w:t>
      </w:r>
      <w:r>
        <w:t xml:space="preserve"> Sentencia </w:t>
      </w:r>
      <w:hyperlink w:anchor="SENTENCIA_2015_266" w:history="1">
        <w:r w:rsidRPr="00981775">
          <w:rPr>
            <w:rStyle w:val="TextoNormalCaracter"/>
          </w:rPr>
          <w:t>266/2015</w:t>
        </w:r>
      </w:hyperlink>
      <w:r>
        <w:t>, f. 1.</w:t>
      </w:r>
    </w:p>
    <w:p w:rsidR="00981775" w:rsidRDefault="00981775" w:rsidP="00981775">
      <w:pPr>
        <w:pStyle w:val="SangriaFrancesaArticulo"/>
      </w:pPr>
      <w:r w:rsidRPr="00981775">
        <w:rPr>
          <w:rStyle w:val="TextoNormalNegritaCaracter"/>
        </w:rPr>
        <w:t>Artículo 113.</w:t>
      </w:r>
      <w:r w:rsidRPr="00981775">
        <w:rPr>
          <w:rStyle w:val="TextoNormalCaracter"/>
        </w:rPr>
        <w:t>-</w:t>
      </w:r>
      <w:r>
        <w:t xml:space="preserve"> Sentencia </w:t>
      </w:r>
      <w:hyperlink w:anchor="SENTENCIA_2015_266" w:history="1">
        <w:r w:rsidRPr="00981775">
          <w:rPr>
            <w:rStyle w:val="TextoNormalCaracter"/>
          </w:rPr>
          <w:t>266/2015</w:t>
        </w:r>
      </w:hyperlink>
      <w:r>
        <w:t>, f. 1.</w:t>
      </w:r>
    </w:p>
    <w:p w:rsidR="00981775" w:rsidRDefault="00981775" w:rsidP="00981775">
      <w:pPr>
        <w:pStyle w:val="SangriaFrancesaArticulo"/>
      </w:pPr>
      <w:r w:rsidRPr="00981775">
        <w:rPr>
          <w:rStyle w:val="TextoNormalNegritaCaracter"/>
        </w:rPr>
        <w:t>Artículo 137.</w:t>
      </w:r>
      <w:r w:rsidRPr="00981775">
        <w:rPr>
          <w:rStyle w:val="TextoNormalCaracter"/>
        </w:rPr>
        <w:t>-</w:t>
      </w:r>
      <w:r>
        <w:t xml:space="preserve"> Sentencia </w:t>
      </w:r>
      <w:hyperlink w:anchor="SENTENCIA_2015_217" w:history="1">
        <w:r w:rsidRPr="00981775">
          <w:rPr>
            <w:rStyle w:val="TextoNormalCaracter"/>
          </w:rPr>
          <w:t>217/2015</w:t>
        </w:r>
      </w:hyperlink>
      <w:r>
        <w:t>, f. 4.</w:t>
      </w:r>
    </w:p>
    <w:p w:rsidR="00981775" w:rsidRDefault="00981775" w:rsidP="00981775">
      <w:pPr>
        <w:pStyle w:val="SangriaFrancesaArticulo"/>
      </w:pPr>
      <w:r w:rsidRPr="00981775">
        <w:rPr>
          <w:rStyle w:val="TextoNormalNegritaCaracter"/>
        </w:rPr>
        <w:t>Artículo 242.1.</w:t>
      </w:r>
      <w:r w:rsidRPr="00981775">
        <w:rPr>
          <w:rStyle w:val="TextoNormalCaracter"/>
        </w:rPr>
        <w:t>-</w:t>
      </w:r>
      <w:r>
        <w:t xml:space="preserve"> Sentencia </w:t>
      </w:r>
      <w:hyperlink w:anchor="SENTENCIA_2015_223" w:history="1">
        <w:r w:rsidRPr="00981775">
          <w:rPr>
            <w:rStyle w:val="TextoNormalCaracter"/>
          </w:rPr>
          <w:t>223/2015</w:t>
        </w:r>
      </w:hyperlink>
      <w:r>
        <w:t>, ff. 1, 3 a 5.</w:t>
      </w:r>
    </w:p>
    <w:p w:rsidR="00981775" w:rsidRDefault="00981775" w:rsidP="00981775">
      <w:pPr>
        <w:pStyle w:val="SangriaFrancesaArticulo"/>
      </w:pPr>
      <w:r w:rsidRPr="00981775">
        <w:rPr>
          <w:rStyle w:val="TextoNormalNegritaCaracter"/>
        </w:rPr>
        <w:t>Artículo 242.3.</w:t>
      </w:r>
      <w:r w:rsidRPr="00981775">
        <w:rPr>
          <w:rStyle w:val="TextoNormalCaracter"/>
        </w:rPr>
        <w:t>-</w:t>
      </w:r>
      <w:r>
        <w:t xml:space="preserve"> Sentencia </w:t>
      </w:r>
      <w:hyperlink w:anchor="SENTENCIA_2015_223" w:history="1">
        <w:r w:rsidRPr="00981775">
          <w:rPr>
            <w:rStyle w:val="TextoNormalCaracter"/>
          </w:rPr>
          <w:t>223/2015</w:t>
        </w:r>
      </w:hyperlink>
      <w:r>
        <w:t>, ff. 1, 3 a 5.</w:t>
      </w:r>
    </w:p>
    <w:p w:rsidR="00981775" w:rsidRDefault="00981775" w:rsidP="00981775">
      <w:pPr>
        <w:pStyle w:val="SangriaFrancesaArticulo"/>
      </w:pPr>
      <w:r w:rsidRPr="00981775">
        <w:rPr>
          <w:rStyle w:val="TextoNormalNegritaCaracter"/>
        </w:rPr>
        <w:t>Artículo 368.</w:t>
      </w:r>
      <w:r w:rsidRPr="00981775">
        <w:rPr>
          <w:rStyle w:val="TextoNormalCaracter"/>
        </w:rPr>
        <w:t>-</w:t>
      </w:r>
      <w:r>
        <w:t xml:space="preserve"> Auto </w:t>
      </w:r>
      <w:hyperlink w:anchor="AUTO_2015_170" w:history="1">
        <w:r w:rsidRPr="00981775">
          <w:rPr>
            <w:rStyle w:val="TextoNormalCaracter"/>
          </w:rPr>
          <w:t>170/2015</w:t>
        </w:r>
      </w:hyperlink>
      <w:r>
        <w:t>, f. 5.</w:t>
      </w:r>
    </w:p>
    <w:p w:rsidR="00981775" w:rsidRDefault="00981775" w:rsidP="00981775">
      <w:pPr>
        <w:pStyle w:val="SangriaFrancesaArticulo"/>
      </w:pPr>
      <w:r w:rsidRPr="00981775">
        <w:rPr>
          <w:rStyle w:val="TextoNormalNegritaCaracter"/>
        </w:rPr>
        <w:t>Artículo 390.</w:t>
      </w:r>
      <w:r w:rsidRPr="00981775">
        <w:rPr>
          <w:rStyle w:val="TextoNormalCaracter"/>
        </w:rPr>
        <w:t>-</w:t>
      </w:r>
      <w:r>
        <w:t xml:space="preserve"> Sentencia </w:t>
      </w:r>
      <w:hyperlink w:anchor="SENTENCIA_2015_150" w:history="1">
        <w:r w:rsidRPr="00981775">
          <w:rPr>
            <w:rStyle w:val="TextoNormalCaracter"/>
          </w:rPr>
          <w:t>150/2015</w:t>
        </w:r>
      </w:hyperlink>
      <w:r>
        <w:t>, f. 1.</w:t>
      </w:r>
    </w:p>
    <w:p w:rsidR="00981775" w:rsidRDefault="00981775" w:rsidP="00981775">
      <w:pPr>
        <w:pStyle w:val="SangriaFrancesaArticulo"/>
      </w:pPr>
      <w:r w:rsidRPr="00981775">
        <w:rPr>
          <w:rStyle w:val="TextoNormalNegritaCaracter"/>
        </w:rPr>
        <w:t>Artículo 390. 1.</w:t>
      </w:r>
      <w:r w:rsidRPr="00981775">
        <w:rPr>
          <w:rStyle w:val="TextoNormalCaracter"/>
        </w:rPr>
        <w:t>-</w:t>
      </w:r>
      <w:r>
        <w:t xml:space="preserve"> Sentencia </w:t>
      </w:r>
      <w:hyperlink w:anchor="SENTENCIA_2015_150" w:history="1">
        <w:r w:rsidRPr="00981775">
          <w:rPr>
            <w:rStyle w:val="TextoNormalCaracter"/>
          </w:rPr>
          <w:t>150/2015</w:t>
        </w:r>
      </w:hyperlink>
      <w:r>
        <w:t>, f. 1.</w:t>
      </w:r>
    </w:p>
    <w:p w:rsidR="00981775" w:rsidRDefault="00981775" w:rsidP="00981775">
      <w:pPr>
        <w:pStyle w:val="SangriaFrancesaArticulo"/>
      </w:pPr>
      <w:r w:rsidRPr="00981775">
        <w:rPr>
          <w:rStyle w:val="TextoNormalNegritaCaracter"/>
        </w:rPr>
        <w:t>Artículo 390.1.2º.</w:t>
      </w:r>
      <w:r w:rsidRPr="00981775">
        <w:rPr>
          <w:rStyle w:val="TextoNormalCaracter"/>
        </w:rPr>
        <w:t>-</w:t>
      </w:r>
      <w:r>
        <w:t xml:space="preserve"> Sentencia </w:t>
      </w:r>
      <w:hyperlink w:anchor="SENTENCIA_2015_150" w:history="1">
        <w:r w:rsidRPr="00981775">
          <w:rPr>
            <w:rStyle w:val="TextoNormalCaracter"/>
          </w:rPr>
          <w:t>150/2015</w:t>
        </w:r>
      </w:hyperlink>
      <w:r>
        <w:t>, f. 1.</w:t>
      </w:r>
    </w:p>
    <w:p w:rsidR="00981775" w:rsidRDefault="00981775" w:rsidP="00981775">
      <w:pPr>
        <w:pStyle w:val="SangriaFrancesaArticulo"/>
      </w:pPr>
      <w:r w:rsidRPr="00981775">
        <w:rPr>
          <w:rStyle w:val="TextoNormalNegritaCaracter"/>
        </w:rPr>
        <w:t>Artículo 390.2.</w:t>
      </w:r>
      <w:r w:rsidRPr="00981775">
        <w:rPr>
          <w:rStyle w:val="TextoNormalCaracter"/>
        </w:rPr>
        <w:t>-</w:t>
      </w:r>
      <w:r>
        <w:t xml:space="preserve"> Sentencia </w:t>
      </w:r>
      <w:hyperlink w:anchor="SENTENCIA_2015_150" w:history="1">
        <w:r w:rsidRPr="00981775">
          <w:rPr>
            <w:rStyle w:val="TextoNormalCaracter"/>
          </w:rPr>
          <w:t>150/2015</w:t>
        </w:r>
      </w:hyperlink>
      <w:r>
        <w:t>, f. 1.</w:t>
      </w:r>
    </w:p>
    <w:p w:rsidR="00981775" w:rsidRDefault="00981775" w:rsidP="00981775">
      <w:pPr>
        <w:pStyle w:val="SangriaFrancesaArticulo"/>
      </w:pPr>
      <w:r w:rsidRPr="00981775">
        <w:rPr>
          <w:rStyle w:val="TextoNormalNegritaCaracter"/>
        </w:rPr>
        <w:t>Artículo 392.</w:t>
      </w:r>
      <w:r w:rsidRPr="00981775">
        <w:rPr>
          <w:rStyle w:val="TextoNormalCaracter"/>
        </w:rPr>
        <w:t>-</w:t>
      </w:r>
      <w:r>
        <w:t xml:space="preserve"> Sentencia </w:t>
      </w:r>
      <w:hyperlink w:anchor="SENTENCIA_2015_150" w:history="1">
        <w:r w:rsidRPr="00981775">
          <w:rPr>
            <w:rStyle w:val="TextoNormalCaracter"/>
          </w:rPr>
          <w:t>150/2015</w:t>
        </w:r>
      </w:hyperlink>
      <w:r>
        <w:t>, f. 1.</w:t>
      </w:r>
    </w:p>
    <w:p w:rsidR="00981775" w:rsidRDefault="00981775" w:rsidP="00981775">
      <w:pPr>
        <w:pStyle w:val="SangriaFrancesaArticulo"/>
      </w:pPr>
      <w:r w:rsidRPr="00981775">
        <w:rPr>
          <w:rStyle w:val="TextoNormalNegritaCaracter"/>
        </w:rPr>
        <w:t>Artículo 490.2.</w:t>
      </w:r>
      <w:r w:rsidRPr="00981775">
        <w:rPr>
          <w:rStyle w:val="TextoNormalCaracter"/>
        </w:rPr>
        <w:t>-</w:t>
      </w:r>
      <w:r>
        <w:t xml:space="preserve"> Sentencia </w:t>
      </w:r>
      <w:hyperlink w:anchor="SENTENCIA_2015_177" w:history="1">
        <w:r w:rsidRPr="00981775">
          <w:rPr>
            <w:rStyle w:val="TextoNormalCaracter"/>
          </w:rPr>
          <w:t>177/2015</w:t>
        </w:r>
      </w:hyperlink>
      <w:r>
        <w:t>, VP III.</w:t>
      </w:r>
    </w:p>
    <w:p w:rsidR="00981775" w:rsidRDefault="00981775" w:rsidP="00981775">
      <w:pPr>
        <w:pStyle w:val="SangriaFrancesaArticulo"/>
      </w:pPr>
      <w:r w:rsidRPr="00981775">
        <w:rPr>
          <w:rStyle w:val="TextoNormalNegritaCaracter"/>
        </w:rPr>
        <w:t>Artículo 490.3.</w:t>
      </w:r>
      <w:r w:rsidRPr="00981775">
        <w:rPr>
          <w:rStyle w:val="TextoNormalCaracter"/>
        </w:rPr>
        <w:t>-</w:t>
      </w:r>
      <w:r>
        <w:t xml:space="preserve"> Sentencia </w:t>
      </w:r>
      <w:hyperlink w:anchor="SENTENCIA_2015_177" w:history="1">
        <w:r w:rsidRPr="00981775">
          <w:rPr>
            <w:rStyle w:val="TextoNormalCaracter"/>
          </w:rPr>
          <w:t>177/2015</w:t>
        </w:r>
      </w:hyperlink>
      <w:r>
        <w:t>, ff. 3 a 5, VP I, VP III.</w:t>
      </w:r>
    </w:p>
    <w:p w:rsidR="00981775" w:rsidRDefault="00981775" w:rsidP="00981775">
      <w:pPr>
        <w:pStyle w:val="SangriaFrancesaArticulo"/>
      </w:pPr>
      <w:r w:rsidRPr="00981775">
        <w:rPr>
          <w:rStyle w:val="TextoNormalNegritaCaracter"/>
        </w:rPr>
        <w:t>Artículo 510.</w:t>
      </w:r>
      <w:r w:rsidRPr="00981775">
        <w:rPr>
          <w:rStyle w:val="TextoNormalCaracter"/>
        </w:rPr>
        <w:t>-</w:t>
      </w:r>
      <w:r>
        <w:t xml:space="preserve"> Sentencia </w:t>
      </w:r>
      <w:hyperlink w:anchor="SENTENCIA_2015_177" w:history="1">
        <w:r w:rsidRPr="00981775">
          <w:rPr>
            <w:rStyle w:val="TextoNormalCaracter"/>
          </w:rPr>
          <w:t>177/2015</w:t>
        </w:r>
      </w:hyperlink>
      <w:r>
        <w:t>, VP I.</w:t>
      </w:r>
    </w:p>
    <w:p w:rsidR="00981775" w:rsidRDefault="00981775" w:rsidP="00981775">
      <w:pPr>
        <w:pStyle w:val="SangriaFrancesaArticulo"/>
      </w:pPr>
      <w:r w:rsidRPr="00981775">
        <w:rPr>
          <w:rStyle w:val="TextoNormalNegritaCaracter"/>
        </w:rPr>
        <w:t>Artículo 618.</w:t>
      </w:r>
      <w:r w:rsidRPr="00981775">
        <w:rPr>
          <w:rStyle w:val="TextoNormalCaracter"/>
        </w:rPr>
        <w:t>-</w:t>
      </w:r>
      <w:r>
        <w:t xml:space="preserve"> Autos </w:t>
      </w:r>
      <w:hyperlink w:anchor="AUTO_2015_137" w:history="1">
        <w:r w:rsidRPr="00981775">
          <w:rPr>
            <w:rStyle w:val="TextoNormalCaracter"/>
          </w:rPr>
          <w:t>137/2015</w:t>
        </w:r>
      </w:hyperlink>
      <w:r>
        <w:t xml:space="preserve">, ff. 1, 4; </w:t>
      </w:r>
      <w:hyperlink w:anchor="AUTO_2015_138" w:history="1">
        <w:r w:rsidRPr="00981775">
          <w:rPr>
            <w:rStyle w:val="TextoNormalCaracter"/>
          </w:rPr>
          <w:t>138/2015</w:t>
        </w:r>
      </w:hyperlink>
      <w:r>
        <w:t>, ff. 1, 4.</w:t>
      </w:r>
    </w:p>
    <w:p w:rsidR="00981775" w:rsidRDefault="00981775" w:rsidP="00981775">
      <w:pPr>
        <w:pStyle w:val="SangriaFrancesaArticulo"/>
      </w:pPr>
      <w:r w:rsidRPr="00981775">
        <w:rPr>
          <w:rStyle w:val="TextoNormalNegritaCaracter"/>
        </w:rPr>
        <w:t>Artículo 636.</w:t>
      </w:r>
      <w:r w:rsidRPr="00981775">
        <w:rPr>
          <w:rStyle w:val="TextoNormalCaracter"/>
        </w:rPr>
        <w:t>-</w:t>
      </w:r>
      <w:r>
        <w:t xml:space="preserve"> Auto </w:t>
      </w:r>
      <w:hyperlink w:anchor="AUTO_2015_138" w:history="1">
        <w:r w:rsidRPr="00981775">
          <w:rPr>
            <w:rStyle w:val="TextoNormalCaracter"/>
          </w:rPr>
          <w:t>138/2015</w:t>
        </w:r>
      </w:hyperlink>
      <w:r>
        <w:t>, f. 4.</w:t>
      </w:r>
    </w:p>
    <w:p w:rsidR="00981775" w:rsidRDefault="00981775" w:rsidP="00981775">
      <w:pPr>
        <w:pStyle w:val="SangriaFrancesaArticulo"/>
      </w:pPr>
      <w:r w:rsidRPr="00981775">
        <w:rPr>
          <w:rStyle w:val="TextoNormalNegritaCaracter"/>
        </w:rPr>
        <w:t>Artículo 636</w:t>
      </w:r>
      <w:r>
        <w:t xml:space="preserve"> (redactado por la Ley Orgánica 15/2003, de 25 de noviembre)</w:t>
      </w:r>
      <w:r w:rsidRPr="00981775">
        <w:rPr>
          <w:rStyle w:val="TextoNormalNegritaCaracter"/>
        </w:rPr>
        <w:t>.</w:t>
      </w:r>
      <w:r w:rsidRPr="00981775">
        <w:rPr>
          <w:rStyle w:val="TextoNormalCaracter"/>
        </w:rPr>
        <w:t>-</w:t>
      </w:r>
      <w:r>
        <w:t xml:space="preserve"> Auto </w:t>
      </w:r>
      <w:hyperlink w:anchor="AUTO_2015_137" w:history="1">
        <w:r w:rsidRPr="00981775">
          <w:rPr>
            <w:rStyle w:val="TextoNormalCaracter"/>
          </w:rPr>
          <w:t>137/2015</w:t>
        </w:r>
      </w:hyperlink>
      <w:r>
        <w:t>, f. 4.</w:t>
      </w:r>
    </w:p>
    <w:p w:rsidR="00981775" w:rsidRDefault="00981775" w:rsidP="00981775">
      <w:pPr>
        <w:pStyle w:val="SangriaFrancesaArticulo"/>
      </w:pPr>
    </w:p>
    <w:p w:rsidR="00981775" w:rsidRDefault="00981775" w:rsidP="00981775">
      <w:pPr>
        <w:pStyle w:val="TextoNormalNegritaCursivandice"/>
      </w:pPr>
      <w:r>
        <w:t>Ley Orgánica 4/2000, de 11 de enero. Derechos y libertades de los extranjeros en España y su integración social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55" w:history="1">
        <w:r w:rsidRPr="00981775">
          <w:rPr>
            <w:rStyle w:val="TextoNormalCaracter"/>
          </w:rPr>
          <w:t>155/2015</w:t>
        </w:r>
      </w:hyperlink>
      <w:r>
        <w:t>, f. 3.</w:t>
      </w:r>
    </w:p>
    <w:p w:rsidR="00981775" w:rsidRDefault="00981775" w:rsidP="00981775">
      <w:pPr>
        <w:pStyle w:val="SangriaFrancesaArticulo"/>
      </w:pPr>
      <w:r w:rsidRPr="00981775">
        <w:rPr>
          <w:rStyle w:val="TextoNormalNegritaCaracter"/>
        </w:rPr>
        <w:t>Artículo 9.</w:t>
      </w:r>
      <w:r w:rsidRPr="00981775">
        <w:rPr>
          <w:rStyle w:val="TextoNormalCaracter"/>
        </w:rPr>
        <w:t>-</w:t>
      </w:r>
      <w:r>
        <w:t xml:space="preserve"> Sentencia </w:t>
      </w:r>
      <w:hyperlink w:anchor="SENTENCIA_2015_155" w:history="1">
        <w:r w:rsidRPr="00981775">
          <w:rPr>
            <w:rStyle w:val="TextoNormalCaracter"/>
          </w:rPr>
          <w:t>155/2015</w:t>
        </w:r>
      </w:hyperlink>
      <w:r>
        <w:t>, ff. 2, 3.</w:t>
      </w:r>
    </w:p>
    <w:p w:rsidR="00981775" w:rsidRDefault="00981775" w:rsidP="00981775">
      <w:pPr>
        <w:pStyle w:val="SangriaFrancesaArticulo"/>
      </w:pPr>
      <w:r w:rsidRPr="00981775">
        <w:rPr>
          <w:rStyle w:val="TextoNormalNegritaCaracter"/>
        </w:rPr>
        <w:t>Artículo 9.1.</w:t>
      </w:r>
      <w:r w:rsidRPr="00981775">
        <w:rPr>
          <w:rStyle w:val="TextoNormalCaracter"/>
        </w:rPr>
        <w:t>-</w:t>
      </w:r>
      <w:r>
        <w:t xml:space="preserve"> Sentencia </w:t>
      </w:r>
      <w:hyperlink w:anchor="SENTENCIA_2015_155" w:history="1">
        <w:r w:rsidRPr="00981775">
          <w:rPr>
            <w:rStyle w:val="TextoNormalCaracter"/>
          </w:rPr>
          <w:t>155/2015</w:t>
        </w:r>
      </w:hyperlink>
      <w:r>
        <w:t>, f. 3.</w:t>
      </w:r>
    </w:p>
    <w:p w:rsidR="00981775" w:rsidRDefault="00981775" w:rsidP="00981775">
      <w:pPr>
        <w:pStyle w:val="SangriaFrancesaArticulo"/>
      </w:pPr>
      <w:r w:rsidRPr="00981775">
        <w:rPr>
          <w:rStyle w:val="TextoNormalNegritaCaracter"/>
        </w:rPr>
        <w:t>Artículo 9.2</w:t>
      </w:r>
      <w:r>
        <w:t xml:space="preserve"> (redactado por la Ley Orgánica  2/2009, de 11 de diciembre)</w:t>
      </w:r>
      <w:r w:rsidRPr="00981775">
        <w:rPr>
          <w:rStyle w:val="TextoNormalNegritaCaracter"/>
        </w:rPr>
        <w:t>.</w:t>
      </w:r>
      <w:r w:rsidRPr="00981775">
        <w:rPr>
          <w:rStyle w:val="TextoNormalCaracter"/>
        </w:rPr>
        <w:t>-</w:t>
      </w:r>
      <w:r>
        <w:t xml:space="preserve"> Sentencia </w:t>
      </w:r>
      <w:hyperlink w:anchor="SENTENCIA_2015_155" w:history="1">
        <w:r w:rsidRPr="00981775">
          <w:rPr>
            <w:rStyle w:val="TextoNormalCaracter"/>
          </w:rPr>
          <w:t>155/2015</w:t>
        </w:r>
      </w:hyperlink>
      <w:r>
        <w:t>, ff. 1, 3, 6, VP II.</w:t>
      </w:r>
    </w:p>
    <w:p w:rsidR="00981775" w:rsidRDefault="00981775" w:rsidP="00981775">
      <w:pPr>
        <w:pStyle w:val="SangriaFrancesaArticulo"/>
      </w:pPr>
      <w:r w:rsidRPr="00981775">
        <w:rPr>
          <w:rStyle w:val="TextoNormalNegritaCaracter"/>
        </w:rPr>
        <w:t>Artículo 9.2</w:t>
      </w:r>
      <w:r>
        <w:t xml:space="preserve"> (redacto por la Ley Orgánica 8/2000, de 22 de diciembre)</w:t>
      </w:r>
      <w:r w:rsidRPr="00981775">
        <w:rPr>
          <w:rStyle w:val="TextoNormalNegritaCaracter"/>
        </w:rPr>
        <w:t>.</w:t>
      </w:r>
      <w:r w:rsidRPr="00981775">
        <w:rPr>
          <w:rStyle w:val="TextoNormalCaracter"/>
        </w:rPr>
        <w:t>-</w:t>
      </w:r>
      <w:r>
        <w:t xml:space="preserve"> Sentencia </w:t>
      </w:r>
      <w:hyperlink w:anchor="SENTENCIA_2015_155" w:history="1">
        <w:r w:rsidRPr="00981775">
          <w:rPr>
            <w:rStyle w:val="TextoNormalCaracter"/>
          </w:rPr>
          <w:t>155/2015</w:t>
        </w:r>
      </w:hyperlink>
      <w:r>
        <w:t>, f. 3.</w:t>
      </w:r>
    </w:p>
    <w:p w:rsidR="00981775" w:rsidRDefault="00981775" w:rsidP="00981775">
      <w:pPr>
        <w:pStyle w:val="SangriaFrancesaArticulo"/>
      </w:pPr>
      <w:r w:rsidRPr="00981775">
        <w:rPr>
          <w:rStyle w:val="TextoNormalNegritaCaracter"/>
        </w:rPr>
        <w:t>Artículo 9.3</w:t>
      </w:r>
      <w:r>
        <w:t xml:space="preserve"> (redactado por la Ley Orgánica 8/2000, de 22 de diciembre)</w:t>
      </w:r>
      <w:r w:rsidRPr="00981775">
        <w:rPr>
          <w:rStyle w:val="TextoNormalNegritaCaracter"/>
        </w:rPr>
        <w:t>.</w:t>
      </w:r>
      <w:r w:rsidRPr="00981775">
        <w:rPr>
          <w:rStyle w:val="TextoNormalCaracter"/>
        </w:rPr>
        <w:t>-</w:t>
      </w:r>
      <w:r>
        <w:t xml:space="preserve"> Sentencia </w:t>
      </w:r>
      <w:hyperlink w:anchor="SENTENCIA_2015_155" w:history="1">
        <w:r w:rsidRPr="00981775">
          <w:rPr>
            <w:rStyle w:val="TextoNormalCaracter"/>
          </w:rPr>
          <w:t>155/2015</w:t>
        </w:r>
      </w:hyperlink>
      <w:r>
        <w:t>, ff. 3, 4.</w:t>
      </w:r>
    </w:p>
    <w:p w:rsidR="00981775" w:rsidRDefault="00981775" w:rsidP="00981775">
      <w:pPr>
        <w:pStyle w:val="SangriaFrancesaArticulo"/>
      </w:pPr>
      <w:r w:rsidRPr="00981775">
        <w:rPr>
          <w:rStyle w:val="TextoNormalNegritaCaracter"/>
        </w:rPr>
        <w:t>Artículo 9.4.</w:t>
      </w:r>
      <w:r w:rsidRPr="00981775">
        <w:rPr>
          <w:rStyle w:val="TextoNormalCaracter"/>
        </w:rPr>
        <w:t>-</w:t>
      </w:r>
      <w:r>
        <w:t xml:space="preserve"> Sentencia </w:t>
      </w:r>
      <w:hyperlink w:anchor="SENTENCIA_2015_155" w:history="1">
        <w:r w:rsidRPr="00981775">
          <w:rPr>
            <w:rStyle w:val="TextoNormalCaracter"/>
          </w:rPr>
          <w:t>155/2015</w:t>
        </w:r>
      </w:hyperlink>
      <w:r>
        <w:t>, f. 3.</w:t>
      </w:r>
    </w:p>
    <w:p w:rsidR="00981775" w:rsidRDefault="00981775" w:rsidP="00981775">
      <w:pPr>
        <w:pStyle w:val="SangriaFrancesaArticulo"/>
      </w:pPr>
      <w:r w:rsidRPr="00981775">
        <w:rPr>
          <w:rStyle w:val="TextoNormalNegritaCaracter"/>
        </w:rPr>
        <w:t>Artículo 29.</w:t>
      </w:r>
      <w:r w:rsidRPr="00981775">
        <w:rPr>
          <w:rStyle w:val="TextoNormalCaracter"/>
        </w:rPr>
        <w:t>-</w:t>
      </w:r>
      <w:r>
        <w:t xml:space="preserve"> Sentencia </w:t>
      </w:r>
      <w:hyperlink w:anchor="SENTENCIA_2015_155" w:history="1">
        <w:r w:rsidRPr="00981775">
          <w:rPr>
            <w:rStyle w:val="TextoNormalCaracter"/>
          </w:rPr>
          <w:t>155/2015</w:t>
        </w:r>
      </w:hyperlink>
      <w:r>
        <w:t>, f. 6.</w:t>
      </w:r>
    </w:p>
    <w:p w:rsidR="00981775" w:rsidRDefault="00981775" w:rsidP="00981775">
      <w:pPr>
        <w:pStyle w:val="SangriaFrancesaArticulo"/>
      </w:pPr>
      <w:r w:rsidRPr="00981775">
        <w:rPr>
          <w:rStyle w:val="TextoNormalNegritaCaracter"/>
        </w:rPr>
        <w:t>Artículo 30 bis</w:t>
      </w:r>
      <w:r>
        <w:t xml:space="preserve"> (redactado por la Ley Orgánica 8/2000, de 22 de diciembre)</w:t>
      </w:r>
      <w:r w:rsidRPr="00981775">
        <w:rPr>
          <w:rStyle w:val="TextoNormalNegritaCaracter"/>
        </w:rPr>
        <w:t>.</w:t>
      </w:r>
      <w:r w:rsidRPr="00981775">
        <w:rPr>
          <w:rStyle w:val="TextoNormalCaracter"/>
        </w:rPr>
        <w:t>-</w:t>
      </w:r>
      <w:r>
        <w:t xml:space="preserve"> Sentencia </w:t>
      </w:r>
      <w:hyperlink w:anchor="SENTENCIA_2015_155" w:history="1">
        <w:r w:rsidRPr="00981775">
          <w:rPr>
            <w:rStyle w:val="TextoNormalCaracter"/>
          </w:rPr>
          <w:t>155/2015</w:t>
        </w:r>
      </w:hyperlink>
      <w:r>
        <w:t>, f. 6.</w:t>
      </w:r>
    </w:p>
    <w:p w:rsidR="00981775" w:rsidRDefault="00981775" w:rsidP="00981775">
      <w:pPr>
        <w:pStyle w:val="SangriaFrancesaArticulo"/>
      </w:pPr>
      <w:r w:rsidRPr="00981775">
        <w:rPr>
          <w:rStyle w:val="TextoNormalNegritaCaracter"/>
        </w:rPr>
        <w:t>Artículo 33</w:t>
      </w:r>
      <w:r>
        <w:t xml:space="preserve"> (redactado por la Ley Orgánica 2/2009, de 11 de diciembre)</w:t>
      </w:r>
      <w:r w:rsidRPr="00981775">
        <w:rPr>
          <w:rStyle w:val="TextoNormalNegritaCaracter"/>
        </w:rPr>
        <w:t>.</w:t>
      </w:r>
      <w:r w:rsidRPr="00981775">
        <w:rPr>
          <w:rStyle w:val="TextoNormalCaracter"/>
        </w:rPr>
        <w:t>-</w:t>
      </w:r>
      <w:r>
        <w:t xml:space="preserve"> Sentencia </w:t>
      </w:r>
      <w:hyperlink w:anchor="SENTENCIA_2015_155" w:history="1">
        <w:r w:rsidRPr="00981775">
          <w:rPr>
            <w:rStyle w:val="TextoNormalCaracter"/>
          </w:rPr>
          <w:t>155/2015</w:t>
        </w:r>
      </w:hyperlink>
      <w:r>
        <w:t>, ff. 2, 6.</w:t>
      </w:r>
    </w:p>
    <w:p w:rsidR="00981775" w:rsidRDefault="00981775" w:rsidP="00981775">
      <w:pPr>
        <w:pStyle w:val="SangriaFrancesaArticulo"/>
      </w:pPr>
    </w:p>
    <w:p w:rsidR="00981775" w:rsidRDefault="00981775" w:rsidP="00981775">
      <w:pPr>
        <w:pStyle w:val="TextoNormalNegritaCursivandice"/>
      </w:pPr>
      <w:r>
        <w:t>Ley Orgánica 8/2000, de 22 de diciembre. Reforma parcial de la Ley Orgánica 4/2000, de 11 de enero, sobre derechos y libertades de los extranjeros en España y su integración social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55" w:history="1">
        <w:r w:rsidRPr="00981775">
          <w:rPr>
            <w:rStyle w:val="TextoNormalCaracter"/>
          </w:rPr>
          <w:t>155/2015</w:t>
        </w:r>
      </w:hyperlink>
      <w:r>
        <w:t>, f. 4.</w:t>
      </w:r>
    </w:p>
    <w:p w:rsidR="00981775" w:rsidRDefault="00981775" w:rsidP="00981775">
      <w:pPr>
        <w:pStyle w:val="SangriaFrancesaArticulo"/>
      </w:pPr>
      <w:r w:rsidRPr="00981775">
        <w:rPr>
          <w:rStyle w:val="TextoNormalNegritaCaracter"/>
        </w:rPr>
        <w:t>Artículo 1.7.</w:t>
      </w:r>
      <w:r w:rsidRPr="00981775">
        <w:rPr>
          <w:rStyle w:val="TextoNormalCaracter"/>
        </w:rPr>
        <w:t>-</w:t>
      </w:r>
      <w:r>
        <w:t xml:space="preserve"> Sentencia </w:t>
      </w:r>
      <w:hyperlink w:anchor="SENTENCIA_2015_155" w:history="1">
        <w:r w:rsidRPr="00981775">
          <w:rPr>
            <w:rStyle w:val="TextoNormalCaracter"/>
          </w:rPr>
          <w:t>155/2015</w:t>
        </w:r>
      </w:hyperlink>
      <w:r>
        <w:t>, f. 4.</w:t>
      </w:r>
    </w:p>
    <w:p w:rsidR="00981775" w:rsidRDefault="00981775" w:rsidP="00981775">
      <w:pPr>
        <w:pStyle w:val="SangriaFrancesaArticulo"/>
      </w:pPr>
      <w:r w:rsidRPr="00981775">
        <w:rPr>
          <w:rStyle w:val="TextoNormalNegritaCaracter"/>
        </w:rPr>
        <w:t>Artículo 9.</w:t>
      </w:r>
      <w:r w:rsidRPr="00981775">
        <w:rPr>
          <w:rStyle w:val="TextoNormalCaracter"/>
        </w:rPr>
        <w:t>-</w:t>
      </w:r>
      <w:r>
        <w:t xml:space="preserve"> Sentencia </w:t>
      </w:r>
      <w:hyperlink w:anchor="SENTENCIA_2015_155" w:history="1">
        <w:r w:rsidRPr="00981775">
          <w:rPr>
            <w:rStyle w:val="TextoNormalCaracter"/>
          </w:rPr>
          <w:t>155/2015</w:t>
        </w:r>
      </w:hyperlink>
      <w:r>
        <w:t>, f. 3.</w:t>
      </w:r>
    </w:p>
    <w:p w:rsidR="00981775" w:rsidRDefault="00981775" w:rsidP="00981775">
      <w:pPr>
        <w:pStyle w:val="SangriaFrancesaArticulo"/>
      </w:pPr>
      <w:r w:rsidRPr="00981775">
        <w:rPr>
          <w:rStyle w:val="TextoNormalNegritaCaracter"/>
        </w:rPr>
        <w:t>Disposición adicional decimonovena.</w:t>
      </w:r>
      <w:r w:rsidRPr="00981775">
        <w:rPr>
          <w:rStyle w:val="TextoNormalCaracter"/>
        </w:rPr>
        <w:t>-</w:t>
      </w:r>
      <w:r>
        <w:t xml:space="preserve"> Sentencia </w:t>
      </w:r>
      <w:hyperlink w:anchor="SENTENCIA_2015_155" w:history="1">
        <w:r w:rsidRPr="00981775">
          <w:rPr>
            <w:rStyle w:val="TextoNormalCaracter"/>
          </w:rPr>
          <w:t>155/2015</w:t>
        </w:r>
      </w:hyperlink>
      <w:r>
        <w:t>, f. 3.</w:t>
      </w:r>
    </w:p>
    <w:p w:rsidR="00981775" w:rsidRDefault="00981775" w:rsidP="00981775">
      <w:pPr>
        <w:pStyle w:val="SangriaFrancesaArticulo"/>
      </w:pPr>
    </w:p>
    <w:p w:rsidR="00981775" w:rsidRDefault="00981775" w:rsidP="00981775">
      <w:pPr>
        <w:pStyle w:val="TextoNormalNegritaCursivandice"/>
      </w:pPr>
      <w:r>
        <w:t>Ley Orgánica 6/2001, de 21 de diciembre. Universidades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61" w:history="1">
        <w:r w:rsidRPr="00981775">
          <w:rPr>
            <w:rStyle w:val="TextoNormalCaracter"/>
          </w:rPr>
          <w:t>161/2015</w:t>
        </w:r>
      </w:hyperlink>
      <w:r>
        <w:t>, f. 3.</w:t>
      </w:r>
    </w:p>
    <w:p w:rsidR="00981775" w:rsidRDefault="00981775" w:rsidP="00981775">
      <w:pPr>
        <w:pStyle w:val="SangriaFrancesaArticulo"/>
      </w:pPr>
      <w:r w:rsidRPr="00981775">
        <w:rPr>
          <w:rStyle w:val="TextoNormalNegritaCaracter"/>
        </w:rPr>
        <w:t>Título XIII, artículos 87 a 89 bis.</w:t>
      </w:r>
      <w:r w:rsidRPr="00981775">
        <w:rPr>
          <w:rStyle w:val="TextoNormalCaracter"/>
        </w:rPr>
        <w:t>-</w:t>
      </w:r>
      <w:r>
        <w:t xml:space="preserve"> Sentencia </w:t>
      </w:r>
      <w:hyperlink w:anchor="SENTENCIA_2015_176" w:history="1">
        <w:r w:rsidRPr="00981775">
          <w:rPr>
            <w:rStyle w:val="TextoNormalCaracter"/>
          </w:rPr>
          <w:t>176/2015</w:t>
        </w:r>
      </w:hyperlink>
      <w:r>
        <w:t>, f. 3.</w:t>
      </w:r>
    </w:p>
    <w:p w:rsidR="00981775" w:rsidRDefault="00981775" w:rsidP="00981775">
      <w:pPr>
        <w:pStyle w:val="SangriaFrancesaArticulo"/>
      </w:pPr>
      <w:r w:rsidRPr="00981775">
        <w:rPr>
          <w:rStyle w:val="TextoNormalNegritaCaracter"/>
        </w:rPr>
        <w:t>Artículo 1.2.</w:t>
      </w:r>
      <w:r w:rsidRPr="00981775">
        <w:rPr>
          <w:rStyle w:val="TextoNormalCaracter"/>
        </w:rPr>
        <w:t>-</w:t>
      </w:r>
      <w:r>
        <w:t xml:space="preserve"> Sentencia </w:t>
      </w:r>
      <w:hyperlink w:anchor="SENTENCIA_2015_176" w:history="1">
        <w:r w:rsidRPr="00981775">
          <w:rPr>
            <w:rStyle w:val="TextoNormalCaracter"/>
          </w:rPr>
          <w:t>176/2015</w:t>
        </w:r>
      </w:hyperlink>
      <w:r>
        <w:t>, f. 2.</w:t>
      </w:r>
    </w:p>
    <w:p w:rsidR="00981775" w:rsidRDefault="00981775" w:rsidP="00981775">
      <w:pPr>
        <w:pStyle w:val="SangriaFrancesaArticulo"/>
      </w:pPr>
      <w:r w:rsidRPr="00981775">
        <w:rPr>
          <w:rStyle w:val="TextoNormalNegritaCaracter"/>
        </w:rPr>
        <w:t>Artículo 2.2.</w:t>
      </w:r>
      <w:r w:rsidRPr="00981775">
        <w:rPr>
          <w:rStyle w:val="TextoNormalCaracter"/>
        </w:rPr>
        <w:t>-</w:t>
      </w:r>
      <w:r>
        <w:t xml:space="preserve"> Sentencia </w:t>
      </w:r>
      <w:hyperlink w:anchor="SENTENCIA_2015_176" w:history="1">
        <w:r w:rsidRPr="00981775">
          <w:rPr>
            <w:rStyle w:val="TextoNormalCaracter"/>
          </w:rPr>
          <w:t>176/2015</w:t>
        </w:r>
      </w:hyperlink>
      <w:r>
        <w:t>, f. 4.</w:t>
      </w:r>
    </w:p>
    <w:p w:rsidR="00981775" w:rsidRDefault="00981775" w:rsidP="00981775">
      <w:pPr>
        <w:pStyle w:val="SangriaFrancesaArticulo"/>
      </w:pPr>
      <w:r w:rsidRPr="00981775">
        <w:rPr>
          <w:rStyle w:val="TextoNormalNegritaCaracter"/>
        </w:rPr>
        <w:t>Artículo 2.2 d).</w:t>
      </w:r>
      <w:r w:rsidRPr="00981775">
        <w:rPr>
          <w:rStyle w:val="TextoNormalCaracter"/>
        </w:rPr>
        <w:t>-</w:t>
      </w:r>
      <w:r>
        <w:t xml:space="preserve"> Sentencia </w:t>
      </w:r>
      <w:hyperlink w:anchor="SENTENCIA_2015_176" w:history="1">
        <w:r w:rsidRPr="00981775">
          <w:rPr>
            <w:rStyle w:val="TextoNormalCaracter"/>
          </w:rPr>
          <w:t>176/2015</w:t>
        </w:r>
      </w:hyperlink>
      <w:r>
        <w:t>, f. 4.</w:t>
      </w:r>
    </w:p>
    <w:p w:rsidR="00981775" w:rsidRDefault="00981775" w:rsidP="00981775">
      <w:pPr>
        <w:pStyle w:val="SangriaFrancesaArticulo"/>
      </w:pPr>
      <w:r w:rsidRPr="00981775">
        <w:rPr>
          <w:rStyle w:val="TextoNormalNegritaCaracter"/>
        </w:rPr>
        <w:t>Artículo 2.2 g).</w:t>
      </w:r>
      <w:r w:rsidRPr="00981775">
        <w:rPr>
          <w:rStyle w:val="TextoNormalCaracter"/>
        </w:rPr>
        <w:t>-</w:t>
      </w:r>
      <w:r>
        <w:t xml:space="preserve"> Sentencia </w:t>
      </w:r>
      <w:hyperlink w:anchor="SENTENCIA_2015_176" w:history="1">
        <w:r w:rsidRPr="00981775">
          <w:rPr>
            <w:rStyle w:val="TextoNormalCaracter"/>
          </w:rPr>
          <w:t>176/2015</w:t>
        </w:r>
      </w:hyperlink>
      <w:r>
        <w:t>, f. 4.</w:t>
      </w:r>
    </w:p>
    <w:p w:rsidR="00981775" w:rsidRDefault="00981775" w:rsidP="00981775">
      <w:pPr>
        <w:pStyle w:val="SangriaFrancesaArticulo"/>
      </w:pPr>
      <w:r w:rsidRPr="00981775">
        <w:rPr>
          <w:rStyle w:val="TextoNormalNegritaCaracter"/>
        </w:rPr>
        <w:t>Artículo 3.2.</w:t>
      </w:r>
      <w:r w:rsidRPr="00981775">
        <w:rPr>
          <w:rStyle w:val="TextoNormalCaracter"/>
        </w:rPr>
        <w:t>-</w:t>
      </w:r>
      <w:r>
        <w:t xml:space="preserve"> Sentencia </w:t>
      </w:r>
      <w:hyperlink w:anchor="SENTENCIA_2015_176" w:history="1">
        <w:r w:rsidRPr="00981775">
          <w:rPr>
            <w:rStyle w:val="TextoNormalCaracter"/>
          </w:rPr>
          <w:t>176/2015</w:t>
        </w:r>
      </w:hyperlink>
      <w:r>
        <w:t>, f. 2.</w:t>
      </w:r>
    </w:p>
    <w:p w:rsidR="00981775" w:rsidRDefault="00981775" w:rsidP="00981775">
      <w:pPr>
        <w:pStyle w:val="SangriaFrancesaArticulo"/>
      </w:pPr>
      <w:r w:rsidRPr="00981775">
        <w:rPr>
          <w:rStyle w:val="TextoNormalNegritaCaracter"/>
        </w:rPr>
        <w:t>Artículo 4.1.</w:t>
      </w:r>
      <w:r w:rsidRPr="00981775">
        <w:rPr>
          <w:rStyle w:val="TextoNormalCaracter"/>
        </w:rPr>
        <w:t>-</w:t>
      </w:r>
      <w:r>
        <w:t xml:space="preserve"> Sentencia </w:t>
      </w:r>
      <w:hyperlink w:anchor="SENTENCIA_2015_176" w:history="1">
        <w:r w:rsidRPr="00981775">
          <w:rPr>
            <w:rStyle w:val="TextoNormalCaracter"/>
          </w:rPr>
          <w:t>176/2015</w:t>
        </w:r>
      </w:hyperlink>
      <w:r>
        <w:t>, f. 2.</w:t>
      </w:r>
    </w:p>
    <w:p w:rsidR="00981775" w:rsidRDefault="00981775" w:rsidP="00981775">
      <w:pPr>
        <w:pStyle w:val="SangriaFrancesaArticulo"/>
      </w:pPr>
      <w:r w:rsidRPr="00981775">
        <w:rPr>
          <w:rStyle w:val="TextoNormalNegritaCaracter"/>
        </w:rPr>
        <w:t>Artículo 4.4.</w:t>
      </w:r>
      <w:r w:rsidRPr="00981775">
        <w:rPr>
          <w:rStyle w:val="TextoNormalCaracter"/>
        </w:rPr>
        <w:t>-</w:t>
      </w:r>
      <w:r>
        <w:t xml:space="preserve"> Sentencia </w:t>
      </w:r>
      <w:hyperlink w:anchor="SENTENCIA_2015_176" w:history="1">
        <w:r w:rsidRPr="00981775">
          <w:rPr>
            <w:rStyle w:val="TextoNormalCaracter"/>
          </w:rPr>
          <w:t>176/2015</w:t>
        </w:r>
      </w:hyperlink>
      <w:r>
        <w:t>, f. 2.</w:t>
      </w:r>
    </w:p>
    <w:p w:rsidR="00981775" w:rsidRDefault="00981775" w:rsidP="00981775">
      <w:pPr>
        <w:pStyle w:val="SangriaFrancesaArticulo"/>
      </w:pPr>
      <w:r w:rsidRPr="00981775">
        <w:rPr>
          <w:rStyle w:val="TextoNormalNegritaCaracter"/>
        </w:rPr>
        <w:t>Artículo 6.5.</w:t>
      </w:r>
      <w:r w:rsidRPr="00981775">
        <w:rPr>
          <w:rStyle w:val="TextoNormalCaracter"/>
        </w:rPr>
        <w:t>-</w:t>
      </w:r>
      <w:r>
        <w:t xml:space="preserve"> Sentencia </w:t>
      </w:r>
      <w:hyperlink w:anchor="SENTENCIA_2015_176" w:history="1">
        <w:r w:rsidRPr="00981775">
          <w:rPr>
            <w:rStyle w:val="TextoNormalCaracter"/>
          </w:rPr>
          <w:t>176/2015</w:t>
        </w:r>
      </w:hyperlink>
      <w:r>
        <w:t>, f. 2.</w:t>
      </w:r>
    </w:p>
    <w:p w:rsidR="00981775" w:rsidRDefault="00981775" w:rsidP="00981775">
      <w:pPr>
        <w:pStyle w:val="SangriaFrancesaArticulo"/>
      </w:pPr>
      <w:r w:rsidRPr="00981775">
        <w:rPr>
          <w:rStyle w:val="TextoNormalNegritaCaracter"/>
        </w:rPr>
        <w:t>Artículo 13</w:t>
      </w:r>
      <w:r>
        <w:t xml:space="preserve"> (redactado por la Ley Orgánica 4/2007, de 12 de abril)</w:t>
      </w:r>
      <w:r w:rsidRPr="00981775">
        <w:rPr>
          <w:rStyle w:val="TextoNormalNegritaCaracter"/>
        </w:rPr>
        <w:t>.</w:t>
      </w:r>
      <w:r w:rsidRPr="00981775">
        <w:rPr>
          <w:rStyle w:val="TextoNormalCaracter"/>
        </w:rPr>
        <w:t>-</w:t>
      </w:r>
      <w:r>
        <w:t xml:space="preserve"> Sentencia </w:t>
      </w:r>
      <w:hyperlink w:anchor="SENTENCIA_2015_176" w:history="1">
        <w:r w:rsidRPr="00981775">
          <w:rPr>
            <w:rStyle w:val="TextoNormalCaracter"/>
          </w:rPr>
          <w:t>176/2015</w:t>
        </w:r>
      </w:hyperlink>
      <w:r>
        <w:t>, f. 2.</w:t>
      </w:r>
    </w:p>
    <w:p w:rsidR="00981775" w:rsidRDefault="00981775" w:rsidP="00981775">
      <w:pPr>
        <w:pStyle w:val="SangriaFrancesaArticulo"/>
      </w:pPr>
      <w:r w:rsidRPr="00981775">
        <w:rPr>
          <w:rStyle w:val="TextoNormalNegritaCaracter"/>
        </w:rPr>
        <w:t>Artículo 27 bis, apartado 1 a)</w:t>
      </w:r>
      <w:r>
        <w:t xml:space="preserve"> (redactado por la Ley Orgánica 4/2007, de 12 de abril)</w:t>
      </w:r>
      <w:r w:rsidRPr="00981775">
        <w:rPr>
          <w:rStyle w:val="TextoNormalNegritaCaracter"/>
        </w:rPr>
        <w:t>.</w:t>
      </w:r>
      <w:r w:rsidRPr="00981775">
        <w:rPr>
          <w:rStyle w:val="TextoNormalCaracter"/>
        </w:rPr>
        <w:t>-</w:t>
      </w:r>
      <w:r>
        <w:t xml:space="preserve"> Sentencia </w:t>
      </w:r>
      <w:hyperlink w:anchor="SENTENCIA_2015_176" w:history="1">
        <w:r w:rsidRPr="00981775">
          <w:rPr>
            <w:rStyle w:val="TextoNormalCaracter"/>
          </w:rPr>
          <w:t>176/2015</w:t>
        </w:r>
      </w:hyperlink>
      <w:r>
        <w:t>, ff. 1, 3.</w:t>
      </w:r>
    </w:p>
    <w:p w:rsidR="00981775" w:rsidRDefault="00981775" w:rsidP="00981775">
      <w:pPr>
        <w:pStyle w:val="SangriaFrancesaArticulo"/>
      </w:pPr>
      <w:r w:rsidRPr="00981775">
        <w:rPr>
          <w:rStyle w:val="TextoNormalNegritaCaracter"/>
        </w:rPr>
        <w:t>Artículo 27.1</w:t>
      </w:r>
      <w:r>
        <w:t xml:space="preserve"> (redactado por la Ley Orgánica 4/2007, de 12 de abril)</w:t>
      </w:r>
      <w:r w:rsidRPr="00981775">
        <w:rPr>
          <w:rStyle w:val="TextoNormalNegritaCaracter"/>
        </w:rPr>
        <w:t>.</w:t>
      </w:r>
      <w:r w:rsidRPr="00981775">
        <w:rPr>
          <w:rStyle w:val="TextoNormalCaracter"/>
        </w:rPr>
        <w:t>-</w:t>
      </w:r>
      <w:r>
        <w:t xml:space="preserve"> Sentencia </w:t>
      </w:r>
      <w:hyperlink w:anchor="SENTENCIA_2015_176" w:history="1">
        <w:r w:rsidRPr="00981775">
          <w:rPr>
            <w:rStyle w:val="TextoNormalCaracter"/>
          </w:rPr>
          <w:t>176/2015</w:t>
        </w:r>
      </w:hyperlink>
      <w:r>
        <w:t>, ff. 1, 2, 5.</w:t>
      </w:r>
    </w:p>
    <w:p w:rsidR="00981775" w:rsidRDefault="00981775" w:rsidP="00981775">
      <w:pPr>
        <w:pStyle w:val="SangriaFrancesaArticulo"/>
      </w:pPr>
      <w:r w:rsidRPr="00981775">
        <w:rPr>
          <w:rStyle w:val="TextoNormalNegritaCaracter"/>
        </w:rPr>
        <w:t>Artículo 28.</w:t>
      </w:r>
      <w:r w:rsidRPr="00981775">
        <w:rPr>
          <w:rStyle w:val="TextoNormalCaracter"/>
        </w:rPr>
        <w:t>-</w:t>
      </w:r>
      <w:r>
        <w:t xml:space="preserve"> Sentencia </w:t>
      </w:r>
      <w:hyperlink w:anchor="SENTENCIA_2015_176" w:history="1">
        <w:r w:rsidRPr="00981775">
          <w:rPr>
            <w:rStyle w:val="TextoNormalCaracter"/>
          </w:rPr>
          <w:t>176/2015</w:t>
        </w:r>
      </w:hyperlink>
      <w:r>
        <w:t>, f. 3.</w:t>
      </w:r>
    </w:p>
    <w:p w:rsidR="00981775" w:rsidRDefault="00981775" w:rsidP="00981775">
      <w:pPr>
        <w:pStyle w:val="SangriaFrancesaArticulo"/>
      </w:pPr>
      <w:r w:rsidRPr="00981775">
        <w:rPr>
          <w:rStyle w:val="TextoNormalNegritaCaracter"/>
        </w:rPr>
        <w:t>Artículo 31.3.</w:t>
      </w:r>
      <w:r w:rsidRPr="00981775">
        <w:rPr>
          <w:rStyle w:val="TextoNormalCaracter"/>
        </w:rPr>
        <w:t>-</w:t>
      </w:r>
      <w:r>
        <w:t xml:space="preserve"> Sentencia </w:t>
      </w:r>
      <w:hyperlink w:anchor="SENTENCIA_2015_176" w:history="1">
        <w:r w:rsidRPr="00981775">
          <w:rPr>
            <w:rStyle w:val="TextoNormalCaracter"/>
          </w:rPr>
          <w:t>176/2015</w:t>
        </w:r>
      </w:hyperlink>
      <w:r>
        <w:t>, f. 6.</w:t>
      </w:r>
    </w:p>
    <w:p w:rsidR="00981775" w:rsidRDefault="00981775" w:rsidP="00981775">
      <w:pPr>
        <w:pStyle w:val="SangriaFrancesaArticulo"/>
      </w:pPr>
      <w:r w:rsidRPr="00981775">
        <w:rPr>
          <w:rStyle w:val="TextoNormalNegritaCaracter"/>
        </w:rPr>
        <w:t>Artículo 32.</w:t>
      </w:r>
      <w:r w:rsidRPr="00981775">
        <w:rPr>
          <w:rStyle w:val="TextoNormalCaracter"/>
        </w:rPr>
        <w:t>-</w:t>
      </w:r>
      <w:r>
        <w:t xml:space="preserve"> Sentencia </w:t>
      </w:r>
      <w:hyperlink w:anchor="SENTENCIA_2015_176" w:history="1">
        <w:r w:rsidRPr="00981775">
          <w:rPr>
            <w:rStyle w:val="TextoNormalCaracter"/>
          </w:rPr>
          <w:t>176/2015</w:t>
        </w:r>
      </w:hyperlink>
      <w:r>
        <w:t>, f. 6.</w:t>
      </w:r>
    </w:p>
    <w:p w:rsidR="00981775" w:rsidRDefault="00981775" w:rsidP="00981775">
      <w:pPr>
        <w:pStyle w:val="SangriaFrancesaArticulo"/>
      </w:pPr>
      <w:r w:rsidRPr="00981775">
        <w:rPr>
          <w:rStyle w:val="TextoNormalNegritaCaracter"/>
        </w:rPr>
        <w:t>Artículo 34</w:t>
      </w:r>
      <w:r>
        <w:t xml:space="preserve"> (redactado por la Ley Orgánica 4/2007, de 12 de abril)</w:t>
      </w:r>
      <w:r w:rsidRPr="00981775">
        <w:rPr>
          <w:rStyle w:val="TextoNormalNegritaCaracter"/>
        </w:rPr>
        <w:t>.</w:t>
      </w:r>
      <w:r w:rsidRPr="00981775">
        <w:rPr>
          <w:rStyle w:val="TextoNormalCaracter"/>
        </w:rPr>
        <w:t>-</w:t>
      </w:r>
      <w:r>
        <w:t xml:space="preserve"> Sentencia </w:t>
      </w:r>
      <w:hyperlink w:anchor="SENTENCIA_2015_176" w:history="1">
        <w:r w:rsidRPr="00981775">
          <w:rPr>
            <w:rStyle w:val="TextoNormalCaracter"/>
          </w:rPr>
          <w:t>176/2015</w:t>
        </w:r>
      </w:hyperlink>
      <w:r>
        <w:t>, ff. 1, 4.</w:t>
      </w:r>
    </w:p>
    <w:p w:rsidR="00981775" w:rsidRDefault="00981775" w:rsidP="00981775">
      <w:pPr>
        <w:pStyle w:val="SangriaFrancesaArticulo"/>
      </w:pPr>
      <w:r w:rsidRPr="00981775">
        <w:rPr>
          <w:rStyle w:val="TextoNormalNegritaCaracter"/>
        </w:rPr>
        <w:t>Artículo 34.1</w:t>
      </w:r>
      <w:r>
        <w:t xml:space="preserve"> (redactado por la Ley Orgánica 4/2007, de 12 de abril)</w:t>
      </w:r>
      <w:r w:rsidRPr="00981775">
        <w:rPr>
          <w:rStyle w:val="TextoNormalNegritaCaracter"/>
        </w:rPr>
        <w:t>.</w:t>
      </w:r>
      <w:r w:rsidRPr="00981775">
        <w:rPr>
          <w:rStyle w:val="TextoNormalCaracter"/>
        </w:rPr>
        <w:t>-</w:t>
      </w:r>
      <w:r>
        <w:t xml:space="preserve"> Sentencia </w:t>
      </w:r>
      <w:hyperlink w:anchor="SENTENCIA_2015_176" w:history="1">
        <w:r w:rsidRPr="00981775">
          <w:rPr>
            <w:rStyle w:val="TextoNormalCaracter"/>
          </w:rPr>
          <w:t>176/2015</w:t>
        </w:r>
      </w:hyperlink>
      <w:r>
        <w:t>.</w:t>
      </w:r>
    </w:p>
    <w:p w:rsidR="00981775" w:rsidRDefault="00981775" w:rsidP="00981775">
      <w:pPr>
        <w:pStyle w:val="SangriaFrancesaArticulo"/>
      </w:pPr>
      <w:r w:rsidRPr="00981775">
        <w:rPr>
          <w:rStyle w:val="TextoNormalNegritaCaracter"/>
        </w:rPr>
        <w:t>Artículo 34.3.</w:t>
      </w:r>
      <w:r w:rsidRPr="00981775">
        <w:rPr>
          <w:rStyle w:val="TextoNormalCaracter"/>
        </w:rPr>
        <w:t>-</w:t>
      </w:r>
      <w:r>
        <w:t xml:space="preserve"> Sentencia </w:t>
      </w:r>
      <w:hyperlink w:anchor="SENTENCIA_2015_176" w:history="1">
        <w:r w:rsidRPr="00981775">
          <w:rPr>
            <w:rStyle w:val="TextoNormalCaracter"/>
          </w:rPr>
          <w:t>176/2015</w:t>
        </w:r>
      </w:hyperlink>
      <w:r>
        <w:t>, f. 4.</w:t>
      </w:r>
    </w:p>
    <w:p w:rsidR="00981775" w:rsidRDefault="00981775" w:rsidP="00981775">
      <w:pPr>
        <w:pStyle w:val="SangriaFrancesaArticulo"/>
      </w:pPr>
      <w:r w:rsidRPr="00981775">
        <w:rPr>
          <w:rStyle w:val="TextoNormalNegritaCaracter"/>
        </w:rPr>
        <w:t>Artículo 35</w:t>
      </w:r>
      <w:r>
        <w:t xml:space="preserve"> (redactado por la Ley Orgánica 4/2007, de 12 de abril)</w:t>
      </w:r>
      <w:r w:rsidRPr="00981775">
        <w:rPr>
          <w:rStyle w:val="TextoNormalNegritaCaracter"/>
        </w:rPr>
        <w:t>.</w:t>
      </w:r>
      <w:r w:rsidRPr="00981775">
        <w:rPr>
          <w:rStyle w:val="TextoNormalCaracter"/>
        </w:rPr>
        <w:t>-</w:t>
      </w:r>
      <w:r>
        <w:t xml:space="preserve"> Sentencia </w:t>
      </w:r>
      <w:hyperlink w:anchor="SENTENCIA_2015_176" w:history="1">
        <w:r w:rsidRPr="00981775">
          <w:rPr>
            <w:rStyle w:val="TextoNormalCaracter"/>
          </w:rPr>
          <w:t>176/2015</w:t>
        </w:r>
      </w:hyperlink>
      <w:r>
        <w:t>, ff. 1, 4.</w:t>
      </w:r>
    </w:p>
    <w:p w:rsidR="00981775" w:rsidRDefault="00981775" w:rsidP="00981775">
      <w:pPr>
        <w:pStyle w:val="SangriaFrancesaArticulo"/>
      </w:pPr>
      <w:r w:rsidRPr="00981775">
        <w:rPr>
          <w:rStyle w:val="TextoNormalNegritaCaracter"/>
        </w:rPr>
        <w:t>Artículo 37</w:t>
      </w:r>
      <w:r>
        <w:t xml:space="preserve"> (redactado por la Ley Orgánica 4/2007, de 12 de abril)</w:t>
      </w:r>
      <w:r w:rsidRPr="00981775">
        <w:rPr>
          <w:rStyle w:val="TextoNormalNegritaCaracter"/>
        </w:rPr>
        <w:t>.</w:t>
      </w:r>
      <w:r w:rsidRPr="00981775">
        <w:rPr>
          <w:rStyle w:val="TextoNormalCaracter"/>
        </w:rPr>
        <w:t>-</w:t>
      </w:r>
      <w:r>
        <w:t xml:space="preserve"> Sentencia </w:t>
      </w:r>
      <w:hyperlink w:anchor="SENTENCIA_2015_176" w:history="1">
        <w:r w:rsidRPr="00981775">
          <w:rPr>
            <w:rStyle w:val="TextoNormalCaracter"/>
          </w:rPr>
          <w:t>176/2015</w:t>
        </w:r>
      </w:hyperlink>
      <w:r>
        <w:t>, ff. 1, 4.</w:t>
      </w:r>
    </w:p>
    <w:p w:rsidR="00981775" w:rsidRDefault="00981775" w:rsidP="00981775">
      <w:pPr>
        <w:pStyle w:val="SangriaFrancesaArticulo"/>
      </w:pPr>
      <w:r w:rsidRPr="00981775">
        <w:rPr>
          <w:rStyle w:val="TextoNormalNegritaCaracter"/>
        </w:rPr>
        <w:t>Artículo 56</w:t>
      </w:r>
      <w:r>
        <w:t xml:space="preserve"> (redactado por la Ley Orgánica 4/2007, de 12 de abril)</w:t>
      </w:r>
      <w:r w:rsidRPr="00981775">
        <w:rPr>
          <w:rStyle w:val="TextoNormalNegritaCaracter"/>
        </w:rPr>
        <w:t>.</w:t>
      </w:r>
      <w:r w:rsidRPr="00981775">
        <w:rPr>
          <w:rStyle w:val="TextoNormalCaracter"/>
        </w:rPr>
        <w:t>-</w:t>
      </w:r>
      <w:r>
        <w:t xml:space="preserve"> Sentencia </w:t>
      </w:r>
      <w:hyperlink w:anchor="SENTENCIA_2015_176" w:history="1">
        <w:r w:rsidRPr="00981775">
          <w:rPr>
            <w:rStyle w:val="TextoNormalCaracter"/>
          </w:rPr>
          <w:t>176/2015</w:t>
        </w:r>
      </w:hyperlink>
      <w:r>
        <w:t>, f. 5.</w:t>
      </w:r>
    </w:p>
    <w:p w:rsidR="00981775" w:rsidRDefault="00981775" w:rsidP="00981775">
      <w:pPr>
        <w:pStyle w:val="SangriaFrancesaArticulo"/>
      </w:pPr>
      <w:r w:rsidRPr="00981775">
        <w:rPr>
          <w:rStyle w:val="TextoNormalNegritaCaracter"/>
        </w:rPr>
        <w:t>Artículo 56.1</w:t>
      </w:r>
      <w:r>
        <w:t xml:space="preserve"> (redactado por la Ley Orgánica 4/2007, de 12 de abril)</w:t>
      </w:r>
      <w:r w:rsidRPr="00981775">
        <w:rPr>
          <w:rStyle w:val="TextoNormalNegritaCaracter"/>
        </w:rPr>
        <w:t>.</w:t>
      </w:r>
      <w:r w:rsidRPr="00981775">
        <w:rPr>
          <w:rStyle w:val="TextoNormalCaracter"/>
        </w:rPr>
        <w:t>-</w:t>
      </w:r>
      <w:r>
        <w:t xml:space="preserve"> Sentencia </w:t>
      </w:r>
      <w:hyperlink w:anchor="SENTENCIA_2015_176" w:history="1">
        <w:r w:rsidRPr="00981775">
          <w:rPr>
            <w:rStyle w:val="TextoNormalCaracter"/>
          </w:rPr>
          <w:t>176/2015</w:t>
        </w:r>
      </w:hyperlink>
      <w:r>
        <w:t>, f. 6.</w:t>
      </w:r>
    </w:p>
    <w:p w:rsidR="00981775" w:rsidRDefault="00981775" w:rsidP="00981775">
      <w:pPr>
        <w:pStyle w:val="SangriaFrancesaArticulo"/>
      </w:pPr>
      <w:r w:rsidRPr="00981775">
        <w:rPr>
          <w:rStyle w:val="TextoNormalNegritaCaracter"/>
        </w:rPr>
        <w:t>Artículo 56.2</w:t>
      </w:r>
      <w:r>
        <w:t xml:space="preserve"> (redactado por la Ley Orgánica 4/2007, de 12 de abril)</w:t>
      </w:r>
      <w:r w:rsidRPr="00981775">
        <w:rPr>
          <w:rStyle w:val="TextoNormalNegritaCaracter"/>
        </w:rPr>
        <w:t>.</w:t>
      </w:r>
      <w:r w:rsidRPr="00981775">
        <w:rPr>
          <w:rStyle w:val="TextoNormalCaracter"/>
        </w:rPr>
        <w:t>-</w:t>
      </w:r>
      <w:r>
        <w:t xml:space="preserve"> Sentencia </w:t>
      </w:r>
      <w:hyperlink w:anchor="SENTENCIA_2015_176" w:history="1">
        <w:r w:rsidRPr="00981775">
          <w:rPr>
            <w:rStyle w:val="TextoNormalCaracter"/>
          </w:rPr>
          <w:t>176/2015</w:t>
        </w:r>
      </w:hyperlink>
      <w:r>
        <w:t>, ff. 1, 5.</w:t>
      </w:r>
    </w:p>
    <w:p w:rsidR="00981775" w:rsidRDefault="00981775" w:rsidP="00981775">
      <w:pPr>
        <w:pStyle w:val="SangriaFrancesaArticulo"/>
      </w:pPr>
      <w:r w:rsidRPr="00981775">
        <w:rPr>
          <w:rStyle w:val="TextoNormalNegritaCaracter"/>
        </w:rPr>
        <w:t>Artículos 56 a 60.</w:t>
      </w:r>
      <w:r w:rsidRPr="00981775">
        <w:rPr>
          <w:rStyle w:val="TextoNormalCaracter"/>
        </w:rPr>
        <w:t>-</w:t>
      </w:r>
      <w:r>
        <w:t xml:space="preserve"> Sentencia </w:t>
      </w:r>
      <w:hyperlink w:anchor="SENTENCIA_2015_176" w:history="1">
        <w:r w:rsidRPr="00981775">
          <w:rPr>
            <w:rStyle w:val="TextoNormalCaracter"/>
          </w:rPr>
          <w:t>176/2015</w:t>
        </w:r>
      </w:hyperlink>
      <w:r>
        <w:t>, f. 5.</w:t>
      </w:r>
    </w:p>
    <w:p w:rsidR="00981775" w:rsidRDefault="00981775" w:rsidP="00981775">
      <w:pPr>
        <w:pStyle w:val="SangriaFrancesaArticulo"/>
      </w:pPr>
      <w:r w:rsidRPr="00981775">
        <w:rPr>
          <w:rStyle w:val="TextoNormalNegritaCaracter"/>
        </w:rPr>
        <w:t>Artículo 57.1</w:t>
      </w:r>
      <w:r>
        <w:t xml:space="preserve"> (redactado por la Ley Orgánica 4/2007, de 12 de abril)</w:t>
      </w:r>
      <w:r w:rsidRPr="00981775">
        <w:rPr>
          <w:rStyle w:val="TextoNormalNegritaCaracter"/>
        </w:rPr>
        <w:t>.</w:t>
      </w:r>
      <w:r w:rsidRPr="00981775">
        <w:rPr>
          <w:rStyle w:val="TextoNormalCaracter"/>
        </w:rPr>
        <w:t>-</w:t>
      </w:r>
      <w:r>
        <w:t xml:space="preserve"> Sentencia </w:t>
      </w:r>
      <w:hyperlink w:anchor="SENTENCIA_2015_176" w:history="1">
        <w:r w:rsidRPr="00981775">
          <w:rPr>
            <w:rStyle w:val="TextoNormalCaracter"/>
          </w:rPr>
          <w:t>176/2015</w:t>
        </w:r>
      </w:hyperlink>
      <w:r>
        <w:t>, ff. 6, 7, VP.</w:t>
      </w:r>
    </w:p>
    <w:p w:rsidR="00981775" w:rsidRDefault="00981775" w:rsidP="00981775">
      <w:pPr>
        <w:pStyle w:val="SangriaFrancesaArticulo"/>
      </w:pPr>
      <w:r w:rsidRPr="00981775">
        <w:rPr>
          <w:rStyle w:val="TextoNormalNegritaCaracter"/>
        </w:rPr>
        <w:t>Artículo 57.2.</w:t>
      </w:r>
      <w:r w:rsidRPr="00981775">
        <w:rPr>
          <w:rStyle w:val="TextoNormalCaracter"/>
        </w:rPr>
        <w:t>-</w:t>
      </w:r>
      <w:r>
        <w:t xml:space="preserve"> Sentencia </w:t>
      </w:r>
      <w:hyperlink w:anchor="SENTENCIA_2015_176" w:history="1">
        <w:r w:rsidRPr="00981775">
          <w:rPr>
            <w:rStyle w:val="TextoNormalCaracter"/>
          </w:rPr>
          <w:t>176/2015</w:t>
        </w:r>
      </w:hyperlink>
      <w:r>
        <w:t>, f. 7, VP.</w:t>
      </w:r>
    </w:p>
    <w:p w:rsidR="00981775" w:rsidRDefault="00981775" w:rsidP="00981775">
      <w:pPr>
        <w:pStyle w:val="SangriaFrancesaArticulo"/>
      </w:pPr>
      <w:r w:rsidRPr="00981775">
        <w:rPr>
          <w:rStyle w:val="TextoNormalNegritaCaracter"/>
        </w:rPr>
        <w:t>Artículos 57 a 62.</w:t>
      </w:r>
      <w:r w:rsidRPr="00981775">
        <w:rPr>
          <w:rStyle w:val="TextoNormalCaracter"/>
        </w:rPr>
        <w:t>-</w:t>
      </w:r>
      <w:r>
        <w:t xml:space="preserve"> Sentencia </w:t>
      </w:r>
      <w:hyperlink w:anchor="SENTENCIA_2015_176" w:history="1">
        <w:r w:rsidRPr="00981775">
          <w:rPr>
            <w:rStyle w:val="TextoNormalCaracter"/>
          </w:rPr>
          <w:t>176/2015</w:t>
        </w:r>
      </w:hyperlink>
      <w:r>
        <w:t>, f. 6.</w:t>
      </w:r>
    </w:p>
    <w:p w:rsidR="00981775" w:rsidRDefault="00981775" w:rsidP="00981775">
      <w:pPr>
        <w:pStyle w:val="SangriaFrancesaArticulo"/>
      </w:pPr>
      <w:r w:rsidRPr="00981775">
        <w:rPr>
          <w:rStyle w:val="TextoNormalNegritaCaracter"/>
        </w:rPr>
        <w:t>Artículo 62</w:t>
      </w:r>
      <w:r>
        <w:t xml:space="preserve"> (redactado por la Ley Orgánica 4/2007, de 12 de abril)</w:t>
      </w:r>
      <w:r w:rsidRPr="00981775">
        <w:rPr>
          <w:rStyle w:val="TextoNormalNegritaCaracter"/>
        </w:rPr>
        <w:t>.</w:t>
      </w:r>
      <w:r w:rsidRPr="00981775">
        <w:rPr>
          <w:rStyle w:val="TextoNormalCaracter"/>
        </w:rPr>
        <w:t>-</w:t>
      </w:r>
      <w:r>
        <w:t xml:space="preserve"> Sentencia </w:t>
      </w:r>
      <w:hyperlink w:anchor="SENTENCIA_2015_176" w:history="1">
        <w:r w:rsidRPr="00981775">
          <w:rPr>
            <w:rStyle w:val="TextoNormalCaracter"/>
          </w:rPr>
          <w:t>176/2015</w:t>
        </w:r>
      </w:hyperlink>
      <w:r>
        <w:t>, ff. 5 a 7, VP.</w:t>
      </w:r>
    </w:p>
    <w:p w:rsidR="00981775" w:rsidRDefault="00981775" w:rsidP="00981775">
      <w:pPr>
        <w:pStyle w:val="SangriaFrancesaArticulo"/>
      </w:pPr>
      <w:r w:rsidRPr="00981775">
        <w:rPr>
          <w:rStyle w:val="TextoNormalNegritaCaracter"/>
        </w:rPr>
        <w:t>Artículo 62.2.</w:t>
      </w:r>
      <w:r w:rsidRPr="00981775">
        <w:rPr>
          <w:rStyle w:val="TextoNormalCaracter"/>
        </w:rPr>
        <w:t>-</w:t>
      </w:r>
      <w:r>
        <w:t xml:space="preserve"> Sentencia </w:t>
      </w:r>
      <w:hyperlink w:anchor="SENTENCIA_2015_176" w:history="1">
        <w:r w:rsidRPr="00981775">
          <w:rPr>
            <w:rStyle w:val="TextoNormalCaracter"/>
          </w:rPr>
          <w:t>176/2015</w:t>
        </w:r>
      </w:hyperlink>
      <w:r>
        <w:t>, f. 6.</w:t>
      </w:r>
    </w:p>
    <w:p w:rsidR="00981775" w:rsidRDefault="00981775" w:rsidP="00981775">
      <w:pPr>
        <w:pStyle w:val="SangriaFrancesaArticulo"/>
      </w:pPr>
      <w:r w:rsidRPr="00981775">
        <w:rPr>
          <w:rStyle w:val="TextoNormalNegritaCaracter"/>
        </w:rPr>
        <w:t>Artículo 62.3</w:t>
      </w:r>
      <w:r>
        <w:t xml:space="preserve"> (redactado por la Ley Orgánica 4/2007, de 12 de abril)</w:t>
      </w:r>
      <w:r w:rsidRPr="00981775">
        <w:rPr>
          <w:rStyle w:val="TextoNormalNegritaCaracter"/>
        </w:rPr>
        <w:t>.</w:t>
      </w:r>
      <w:r w:rsidRPr="00981775">
        <w:rPr>
          <w:rStyle w:val="TextoNormalCaracter"/>
        </w:rPr>
        <w:t>-</w:t>
      </w:r>
      <w:r>
        <w:t xml:space="preserve"> Sentencia </w:t>
      </w:r>
      <w:hyperlink w:anchor="SENTENCIA_2015_176" w:history="1">
        <w:r w:rsidRPr="00981775">
          <w:rPr>
            <w:rStyle w:val="TextoNormalCaracter"/>
          </w:rPr>
          <w:t>176/2015</w:t>
        </w:r>
      </w:hyperlink>
      <w:r>
        <w:t>, ff. 1, 5 a 7, VP.</w:t>
      </w:r>
    </w:p>
    <w:p w:rsidR="00981775" w:rsidRDefault="00981775" w:rsidP="00981775">
      <w:pPr>
        <w:pStyle w:val="SangriaFrancesaArticulo"/>
      </w:pPr>
      <w:r w:rsidRPr="00981775">
        <w:rPr>
          <w:rStyle w:val="TextoNormalNegritaCaracter"/>
        </w:rPr>
        <w:t>Artículo 62.4</w:t>
      </w:r>
      <w:r>
        <w:t xml:space="preserve"> (redactado por la Ley Orgánica 4/2007, de 12 de abril)</w:t>
      </w:r>
      <w:r w:rsidRPr="00981775">
        <w:rPr>
          <w:rStyle w:val="TextoNormalNegritaCaracter"/>
        </w:rPr>
        <w:t>.</w:t>
      </w:r>
      <w:r w:rsidRPr="00981775">
        <w:rPr>
          <w:rStyle w:val="TextoNormalCaracter"/>
        </w:rPr>
        <w:t>-</w:t>
      </w:r>
      <w:r>
        <w:t xml:space="preserve"> Sentencia </w:t>
      </w:r>
      <w:hyperlink w:anchor="SENTENCIA_2015_176" w:history="1">
        <w:r w:rsidRPr="00981775">
          <w:rPr>
            <w:rStyle w:val="TextoNormalCaracter"/>
          </w:rPr>
          <w:t>176/2015</w:t>
        </w:r>
      </w:hyperlink>
      <w:r>
        <w:t>, ff. 1, 5, 6, 8, VP.</w:t>
      </w:r>
    </w:p>
    <w:p w:rsidR="00981775" w:rsidRDefault="00981775" w:rsidP="00981775">
      <w:pPr>
        <w:pStyle w:val="SangriaFrancesaArticulo"/>
      </w:pPr>
      <w:r w:rsidRPr="00981775">
        <w:rPr>
          <w:rStyle w:val="TextoNormalNegritaCaracter"/>
        </w:rPr>
        <w:t>Artículo 71.</w:t>
      </w:r>
      <w:r w:rsidRPr="00981775">
        <w:rPr>
          <w:rStyle w:val="TextoNormalCaracter"/>
        </w:rPr>
        <w:t>-</w:t>
      </w:r>
      <w:r>
        <w:t xml:space="preserve"> Sentencia </w:t>
      </w:r>
      <w:hyperlink w:anchor="SENTENCIA_2015_176" w:history="1">
        <w:r w:rsidRPr="00981775">
          <w:rPr>
            <w:rStyle w:val="TextoNormalCaracter"/>
          </w:rPr>
          <w:t>176/2015</w:t>
        </w:r>
      </w:hyperlink>
      <w:r>
        <w:t>, f. 7.</w:t>
      </w:r>
    </w:p>
    <w:p w:rsidR="00981775" w:rsidRDefault="00981775" w:rsidP="00981775">
      <w:pPr>
        <w:pStyle w:val="SangriaFrancesaArticulo"/>
      </w:pPr>
      <w:r w:rsidRPr="00981775">
        <w:rPr>
          <w:rStyle w:val="TextoNormalNegritaCaracter"/>
        </w:rPr>
        <w:t>Disposición final primera.</w:t>
      </w:r>
      <w:r w:rsidRPr="00981775">
        <w:rPr>
          <w:rStyle w:val="TextoNormalCaracter"/>
        </w:rPr>
        <w:t>-</w:t>
      </w:r>
      <w:r>
        <w:t xml:space="preserve"> Sentencia </w:t>
      </w:r>
      <w:hyperlink w:anchor="SENTENCIA_2015_176" w:history="1">
        <w:r w:rsidRPr="00981775">
          <w:rPr>
            <w:rStyle w:val="TextoNormalCaracter"/>
          </w:rPr>
          <w:t>176/2015</w:t>
        </w:r>
      </w:hyperlink>
      <w:r>
        <w:t>, f. 5.</w:t>
      </w:r>
    </w:p>
    <w:p w:rsidR="00981775" w:rsidRDefault="00981775" w:rsidP="00981775">
      <w:pPr>
        <w:pStyle w:val="SangriaFrancesaArticulo"/>
      </w:pPr>
    </w:p>
    <w:p w:rsidR="00981775" w:rsidRDefault="00981775" w:rsidP="00981775">
      <w:pPr>
        <w:pStyle w:val="TextoNormalNegritaCursivandice"/>
      </w:pPr>
      <w:r>
        <w:t>Ley Orgánica 1/2002, de 22 de marzo. Derecho de asociación</w:t>
      </w:r>
    </w:p>
    <w:p w:rsidR="00981775" w:rsidRDefault="00981775" w:rsidP="00981775">
      <w:pPr>
        <w:pStyle w:val="SangriaFrancesaArticulo"/>
      </w:pPr>
      <w:r w:rsidRPr="00981775">
        <w:rPr>
          <w:rStyle w:val="TextoNormalNegritaCaracter"/>
        </w:rPr>
        <w:t>Artículo 3.</w:t>
      </w:r>
      <w:r w:rsidRPr="00981775">
        <w:rPr>
          <w:rStyle w:val="TextoNormalCaracter"/>
        </w:rPr>
        <w:t>-</w:t>
      </w:r>
      <w:r>
        <w:t xml:space="preserve"> Auto </w:t>
      </w:r>
      <w:hyperlink w:anchor="AUTO_2015_170" w:history="1">
        <w:r w:rsidRPr="00981775">
          <w:rPr>
            <w:rStyle w:val="TextoNormalCaracter"/>
          </w:rPr>
          <w:t>170/2015</w:t>
        </w:r>
      </w:hyperlink>
      <w:r>
        <w:t>, f. 2.</w:t>
      </w:r>
    </w:p>
    <w:p w:rsidR="00981775" w:rsidRDefault="00981775" w:rsidP="00981775">
      <w:pPr>
        <w:pStyle w:val="SangriaFrancesaArticulo"/>
      </w:pPr>
      <w:r w:rsidRPr="00981775">
        <w:rPr>
          <w:rStyle w:val="TextoNormalNegritaCaracter"/>
        </w:rPr>
        <w:t>Artículo 4.</w:t>
      </w:r>
      <w:r w:rsidRPr="00981775">
        <w:rPr>
          <w:rStyle w:val="TextoNormalCaracter"/>
        </w:rPr>
        <w:t>-</w:t>
      </w:r>
      <w:r>
        <w:t xml:space="preserve"> Auto </w:t>
      </w:r>
      <w:hyperlink w:anchor="AUTO_2015_170" w:history="1">
        <w:r w:rsidRPr="00981775">
          <w:rPr>
            <w:rStyle w:val="TextoNormalCaracter"/>
          </w:rPr>
          <w:t>170/2015</w:t>
        </w:r>
      </w:hyperlink>
      <w:r>
        <w:t>, f. 2.</w:t>
      </w:r>
    </w:p>
    <w:p w:rsidR="00981775" w:rsidRDefault="00981775" w:rsidP="00981775">
      <w:pPr>
        <w:pStyle w:val="SangriaFrancesaArticulo"/>
      </w:pPr>
      <w:r w:rsidRPr="00981775">
        <w:rPr>
          <w:rStyle w:val="TextoNormalNegritaCaracter"/>
        </w:rPr>
        <w:t>Artículo 6.</w:t>
      </w:r>
      <w:r w:rsidRPr="00981775">
        <w:rPr>
          <w:rStyle w:val="TextoNormalCaracter"/>
        </w:rPr>
        <w:t>-</w:t>
      </w:r>
      <w:r>
        <w:t xml:space="preserve"> Auto </w:t>
      </w:r>
      <w:hyperlink w:anchor="AUTO_2015_170" w:history="1">
        <w:r w:rsidRPr="00981775">
          <w:rPr>
            <w:rStyle w:val="TextoNormalCaracter"/>
          </w:rPr>
          <w:t>170/2015</w:t>
        </w:r>
      </w:hyperlink>
      <w:r>
        <w:t>, f. 2.</w:t>
      </w:r>
    </w:p>
    <w:p w:rsidR="00981775" w:rsidRDefault="00981775" w:rsidP="00981775">
      <w:pPr>
        <w:pStyle w:val="SangriaFrancesaArticulo"/>
      </w:pPr>
      <w:r w:rsidRPr="00981775">
        <w:rPr>
          <w:rStyle w:val="TextoNormalNegritaCaracter"/>
        </w:rPr>
        <w:t>Artículo 7.</w:t>
      </w:r>
      <w:r w:rsidRPr="00981775">
        <w:rPr>
          <w:rStyle w:val="TextoNormalCaracter"/>
        </w:rPr>
        <w:t>-</w:t>
      </w:r>
      <w:r>
        <w:t xml:space="preserve"> Auto </w:t>
      </w:r>
      <w:hyperlink w:anchor="AUTO_2015_170" w:history="1">
        <w:r w:rsidRPr="00981775">
          <w:rPr>
            <w:rStyle w:val="TextoNormalCaracter"/>
          </w:rPr>
          <w:t>170/2015</w:t>
        </w:r>
      </w:hyperlink>
      <w:r>
        <w:t>, f. 2.</w:t>
      </w:r>
    </w:p>
    <w:p w:rsidR="00981775" w:rsidRDefault="00981775" w:rsidP="00981775">
      <w:pPr>
        <w:pStyle w:val="SangriaFrancesaArticulo"/>
      </w:pPr>
      <w:r w:rsidRPr="00981775">
        <w:rPr>
          <w:rStyle w:val="TextoNormalNegritaCaracter"/>
        </w:rPr>
        <w:t>Artículo 8.</w:t>
      </w:r>
      <w:r w:rsidRPr="00981775">
        <w:rPr>
          <w:rStyle w:val="TextoNormalCaracter"/>
        </w:rPr>
        <w:t>-</w:t>
      </w:r>
      <w:r>
        <w:t xml:space="preserve"> Auto </w:t>
      </w:r>
      <w:hyperlink w:anchor="AUTO_2015_170" w:history="1">
        <w:r w:rsidRPr="00981775">
          <w:rPr>
            <w:rStyle w:val="TextoNormalCaracter"/>
          </w:rPr>
          <w:t>170/2015</w:t>
        </w:r>
      </w:hyperlink>
      <w:r>
        <w:t>, f. 2.</w:t>
      </w:r>
    </w:p>
    <w:p w:rsidR="00981775" w:rsidRDefault="00981775" w:rsidP="00981775">
      <w:pPr>
        <w:pStyle w:val="SangriaFrancesaArticulo"/>
      </w:pPr>
      <w:r w:rsidRPr="00981775">
        <w:rPr>
          <w:rStyle w:val="TextoNormalNegritaCaracter"/>
        </w:rPr>
        <w:t>Artículo 9.</w:t>
      </w:r>
      <w:r w:rsidRPr="00981775">
        <w:rPr>
          <w:rStyle w:val="TextoNormalCaracter"/>
        </w:rPr>
        <w:t>-</w:t>
      </w:r>
      <w:r>
        <w:t xml:space="preserve"> Auto </w:t>
      </w:r>
      <w:hyperlink w:anchor="AUTO_2015_170" w:history="1">
        <w:r w:rsidRPr="00981775">
          <w:rPr>
            <w:rStyle w:val="TextoNormalCaracter"/>
          </w:rPr>
          <w:t>170/2015</w:t>
        </w:r>
      </w:hyperlink>
      <w:r>
        <w:t>, f. 2.</w:t>
      </w:r>
    </w:p>
    <w:p w:rsidR="00981775" w:rsidRDefault="00981775" w:rsidP="00981775">
      <w:pPr>
        <w:pStyle w:val="SangriaFrancesaArticulo"/>
      </w:pPr>
      <w:r w:rsidRPr="00981775">
        <w:rPr>
          <w:rStyle w:val="TextoNormalNegritaCaracter"/>
        </w:rPr>
        <w:t>Artículo 11.</w:t>
      </w:r>
      <w:r w:rsidRPr="00981775">
        <w:rPr>
          <w:rStyle w:val="TextoNormalCaracter"/>
        </w:rPr>
        <w:t>-</w:t>
      </w:r>
      <w:r>
        <w:t xml:space="preserve"> Auto </w:t>
      </w:r>
      <w:hyperlink w:anchor="AUTO_2015_170" w:history="1">
        <w:r w:rsidRPr="00981775">
          <w:rPr>
            <w:rStyle w:val="TextoNormalCaracter"/>
          </w:rPr>
          <w:t>170/2015</w:t>
        </w:r>
      </w:hyperlink>
      <w:r>
        <w:t>, f. 2.</w:t>
      </w:r>
    </w:p>
    <w:p w:rsidR="00981775" w:rsidRDefault="00981775" w:rsidP="00981775">
      <w:pPr>
        <w:pStyle w:val="SangriaFrancesaArticulo"/>
      </w:pPr>
      <w:r w:rsidRPr="00981775">
        <w:rPr>
          <w:rStyle w:val="TextoNormalNegritaCaracter"/>
        </w:rPr>
        <w:t>Artículo 12.</w:t>
      </w:r>
      <w:r w:rsidRPr="00981775">
        <w:rPr>
          <w:rStyle w:val="TextoNormalCaracter"/>
        </w:rPr>
        <w:t>-</w:t>
      </w:r>
      <w:r>
        <w:t xml:space="preserve"> Auto </w:t>
      </w:r>
      <w:hyperlink w:anchor="AUTO_2015_170" w:history="1">
        <w:r w:rsidRPr="00981775">
          <w:rPr>
            <w:rStyle w:val="TextoNormalCaracter"/>
          </w:rPr>
          <w:t>170/2015</w:t>
        </w:r>
      </w:hyperlink>
      <w:r>
        <w:t>, f. 2.</w:t>
      </w:r>
    </w:p>
    <w:p w:rsidR="00981775" w:rsidRDefault="00981775" w:rsidP="00981775">
      <w:pPr>
        <w:pStyle w:val="SangriaFrancesaArticulo"/>
      </w:pPr>
      <w:r w:rsidRPr="00981775">
        <w:rPr>
          <w:rStyle w:val="TextoNormalNegritaCaracter"/>
        </w:rPr>
        <w:t>Artículo 13.</w:t>
      </w:r>
      <w:r w:rsidRPr="00981775">
        <w:rPr>
          <w:rStyle w:val="TextoNormalCaracter"/>
        </w:rPr>
        <w:t>-</w:t>
      </w:r>
      <w:r>
        <w:t xml:space="preserve"> Auto </w:t>
      </w:r>
      <w:hyperlink w:anchor="AUTO_2015_170" w:history="1">
        <w:r w:rsidRPr="00981775">
          <w:rPr>
            <w:rStyle w:val="TextoNormalCaracter"/>
          </w:rPr>
          <w:t>170/2015</w:t>
        </w:r>
      </w:hyperlink>
      <w:r>
        <w:t>, f. 2.</w:t>
      </w:r>
    </w:p>
    <w:p w:rsidR="00981775" w:rsidRDefault="00981775" w:rsidP="00981775">
      <w:pPr>
        <w:pStyle w:val="SangriaFrancesaArticulo"/>
      </w:pPr>
      <w:r w:rsidRPr="00981775">
        <w:rPr>
          <w:rStyle w:val="TextoNormalNegritaCaracter"/>
        </w:rPr>
        <w:t>Artículo 14.</w:t>
      </w:r>
      <w:r w:rsidRPr="00981775">
        <w:rPr>
          <w:rStyle w:val="TextoNormalCaracter"/>
        </w:rPr>
        <w:t>-</w:t>
      </w:r>
      <w:r>
        <w:t xml:space="preserve"> Auto </w:t>
      </w:r>
      <w:hyperlink w:anchor="AUTO_2015_170" w:history="1">
        <w:r w:rsidRPr="00981775">
          <w:rPr>
            <w:rStyle w:val="TextoNormalCaracter"/>
          </w:rPr>
          <w:t>170/2015</w:t>
        </w:r>
      </w:hyperlink>
      <w:r>
        <w:t>, f. 2.</w:t>
      </w:r>
    </w:p>
    <w:p w:rsidR="00981775" w:rsidRDefault="00981775" w:rsidP="00981775">
      <w:pPr>
        <w:pStyle w:val="SangriaFrancesaArticulo"/>
      </w:pPr>
      <w:r w:rsidRPr="00981775">
        <w:rPr>
          <w:rStyle w:val="TextoNormalNegritaCaracter"/>
        </w:rPr>
        <w:t>Artículo 15.</w:t>
      </w:r>
      <w:r w:rsidRPr="00981775">
        <w:rPr>
          <w:rStyle w:val="TextoNormalCaracter"/>
        </w:rPr>
        <w:t>-</w:t>
      </w:r>
      <w:r>
        <w:t xml:space="preserve"> Auto </w:t>
      </w:r>
      <w:hyperlink w:anchor="AUTO_2015_170" w:history="1">
        <w:r w:rsidRPr="00981775">
          <w:rPr>
            <w:rStyle w:val="TextoNormalCaracter"/>
          </w:rPr>
          <w:t>170/2015</w:t>
        </w:r>
      </w:hyperlink>
      <w:r>
        <w:t>, f. 2.</w:t>
      </w:r>
    </w:p>
    <w:p w:rsidR="00981775" w:rsidRDefault="00981775" w:rsidP="00981775">
      <w:pPr>
        <w:pStyle w:val="SangriaFrancesaArticulo"/>
      </w:pPr>
      <w:r w:rsidRPr="00981775">
        <w:rPr>
          <w:rStyle w:val="TextoNormalNegritaCaracter"/>
        </w:rPr>
        <w:t>Artículo 18.</w:t>
      </w:r>
      <w:r w:rsidRPr="00981775">
        <w:rPr>
          <w:rStyle w:val="TextoNormalCaracter"/>
        </w:rPr>
        <w:t>-</w:t>
      </w:r>
      <w:r>
        <w:t xml:space="preserve"> Auto </w:t>
      </w:r>
      <w:hyperlink w:anchor="AUTO_2015_170" w:history="1">
        <w:r w:rsidRPr="00981775">
          <w:rPr>
            <w:rStyle w:val="TextoNormalCaracter"/>
          </w:rPr>
          <w:t>170/2015</w:t>
        </w:r>
      </w:hyperlink>
      <w:r>
        <w:t>, f. 2.</w:t>
      </w:r>
    </w:p>
    <w:p w:rsidR="00981775" w:rsidRDefault="00981775" w:rsidP="00981775">
      <w:pPr>
        <w:pStyle w:val="SangriaFrancesaArticulo"/>
      </w:pPr>
      <w:r w:rsidRPr="00981775">
        <w:rPr>
          <w:rStyle w:val="TextoNormalNegritaCaracter"/>
        </w:rPr>
        <w:t>Artículo 19.</w:t>
      </w:r>
      <w:r w:rsidRPr="00981775">
        <w:rPr>
          <w:rStyle w:val="TextoNormalCaracter"/>
        </w:rPr>
        <w:t>-</w:t>
      </w:r>
      <w:r>
        <w:t xml:space="preserve"> Auto </w:t>
      </w:r>
      <w:hyperlink w:anchor="AUTO_2015_170" w:history="1">
        <w:r w:rsidRPr="00981775">
          <w:rPr>
            <w:rStyle w:val="TextoNormalCaracter"/>
          </w:rPr>
          <w:t>170/2015</w:t>
        </w:r>
      </w:hyperlink>
      <w:r>
        <w:t>, f. 2.</w:t>
      </w:r>
    </w:p>
    <w:p w:rsidR="00981775" w:rsidRDefault="00981775" w:rsidP="00981775">
      <w:pPr>
        <w:pStyle w:val="SangriaFrancesaArticulo"/>
      </w:pPr>
      <w:r w:rsidRPr="00981775">
        <w:rPr>
          <w:rStyle w:val="TextoNormalNegritaCaracter"/>
        </w:rPr>
        <w:t>Artículo 20.</w:t>
      </w:r>
      <w:r w:rsidRPr="00981775">
        <w:rPr>
          <w:rStyle w:val="TextoNormalCaracter"/>
        </w:rPr>
        <w:t>-</w:t>
      </w:r>
      <w:r>
        <w:t xml:space="preserve"> Auto </w:t>
      </w:r>
      <w:hyperlink w:anchor="AUTO_2015_170" w:history="1">
        <w:r w:rsidRPr="00981775">
          <w:rPr>
            <w:rStyle w:val="TextoNormalCaracter"/>
          </w:rPr>
          <w:t>170/2015</w:t>
        </w:r>
      </w:hyperlink>
      <w:r>
        <w:t>, f. 2.</w:t>
      </w:r>
    </w:p>
    <w:p w:rsidR="00981775" w:rsidRDefault="00981775" w:rsidP="00981775">
      <w:pPr>
        <w:pStyle w:val="SangriaFrancesaArticulo"/>
      </w:pPr>
      <w:r w:rsidRPr="00981775">
        <w:rPr>
          <w:rStyle w:val="TextoNormalNegritaCaracter"/>
        </w:rPr>
        <w:t>Artículo 21.</w:t>
      </w:r>
      <w:r w:rsidRPr="00981775">
        <w:rPr>
          <w:rStyle w:val="TextoNormalCaracter"/>
        </w:rPr>
        <w:t>-</w:t>
      </w:r>
      <w:r>
        <w:t xml:space="preserve"> Auto </w:t>
      </w:r>
      <w:hyperlink w:anchor="AUTO_2015_170" w:history="1">
        <w:r w:rsidRPr="00981775">
          <w:rPr>
            <w:rStyle w:val="TextoNormalCaracter"/>
          </w:rPr>
          <w:t>170/2015</w:t>
        </w:r>
      </w:hyperlink>
      <w:r>
        <w:t>, f. 2.</w:t>
      </w:r>
    </w:p>
    <w:p w:rsidR="00981775" w:rsidRDefault="00981775" w:rsidP="00981775">
      <w:pPr>
        <w:pStyle w:val="SangriaFrancesaArticulo"/>
      </w:pPr>
      <w:r w:rsidRPr="00981775">
        <w:rPr>
          <w:rStyle w:val="TextoNormalNegritaCaracter"/>
        </w:rPr>
        <w:t>Artículo 22.</w:t>
      </w:r>
      <w:r w:rsidRPr="00981775">
        <w:rPr>
          <w:rStyle w:val="TextoNormalCaracter"/>
        </w:rPr>
        <w:t>-</w:t>
      </w:r>
      <w:r>
        <w:t xml:space="preserve"> Auto </w:t>
      </w:r>
      <w:hyperlink w:anchor="AUTO_2015_170" w:history="1">
        <w:r w:rsidRPr="00981775">
          <w:rPr>
            <w:rStyle w:val="TextoNormalCaracter"/>
          </w:rPr>
          <w:t>170/2015</w:t>
        </w:r>
      </w:hyperlink>
      <w:r>
        <w:t>, f. 2.</w:t>
      </w:r>
    </w:p>
    <w:p w:rsidR="00981775" w:rsidRDefault="00981775" w:rsidP="00981775">
      <w:pPr>
        <w:pStyle w:val="SangriaFrancesaArticulo"/>
      </w:pPr>
      <w:r w:rsidRPr="00981775">
        <w:rPr>
          <w:rStyle w:val="TextoNormalNegritaCaracter"/>
        </w:rPr>
        <w:t>Artículo 23.</w:t>
      </w:r>
      <w:r w:rsidRPr="00981775">
        <w:rPr>
          <w:rStyle w:val="TextoNormalCaracter"/>
        </w:rPr>
        <w:t>-</w:t>
      </w:r>
      <w:r>
        <w:t xml:space="preserve"> Auto </w:t>
      </w:r>
      <w:hyperlink w:anchor="AUTO_2015_170" w:history="1">
        <w:r w:rsidRPr="00981775">
          <w:rPr>
            <w:rStyle w:val="TextoNormalCaracter"/>
          </w:rPr>
          <w:t>170/2015</w:t>
        </w:r>
      </w:hyperlink>
      <w:r>
        <w:t>, f. 2.</w:t>
      </w:r>
    </w:p>
    <w:p w:rsidR="00981775" w:rsidRDefault="00981775" w:rsidP="00981775">
      <w:pPr>
        <w:pStyle w:val="SangriaFrancesaArticulo"/>
      </w:pPr>
    </w:p>
    <w:p w:rsidR="00981775" w:rsidRDefault="00981775" w:rsidP="00981775">
      <w:pPr>
        <w:pStyle w:val="TextoNormalNegritaCursivandice"/>
      </w:pPr>
      <w:r>
        <w:t>Ley Orgánica 10/2002, de 23 de diciembre. Calidad de la educación</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71" w:history="1">
        <w:r w:rsidRPr="00981775">
          <w:rPr>
            <w:rStyle w:val="TextoNormalCaracter"/>
          </w:rPr>
          <w:t>271/2015</w:t>
        </w:r>
      </w:hyperlink>
      <w:r>
        <w:t>, f. 3.</w:t>
      </w:r>
    </w:p>
    <w:p w:rsidR="00981775" w:rsidRDefault="00981775" w:rsidP="00981775">
      <w:pPr>
        <w:pStyle w:val="SangriaFrancesaArticulo"/>
      </w:pPr>
      <w:r w:rsidRPr="00981775">
        <w:rPr>
          <w:rStyle w:val="TextoNormalNegritaCaracter"/>
        </w:rPr>
        <w:t>Disposición adicional quinta.</w:t>
      </w:r>
      <w:r w:rsidRPr="00981775">
        <w:rPr>
          <w:rStyle w:val="TextoNormalCaracter"/>
        </w:rPr>
        <w:t>-</w:t>
      </w:r>
      <w:r>
        <w:t xml:space="preserve"> Sentencia </w:t>
      </w:r>
      <w:hyperlink w:anchor="SENTENCIA_2015_271" w:history="1">
        <w:r w:rsidRPr="00981775">
          <w:rPr>
            <w:rStyle w:val="TextoNormalCaracter"/>
          </w:rPr>
          <w:t>271/2015</w:t>
        </w:r>
      </w:hyperlink>
      <w:r>
        <w:t>, f. 3.</w:t>
      </w:r>
    </w:p>
    <w:p w:rsidR="00981775" w:rsidRDefault="00981775" w:rsidP="00981775">
      <w:pPr>
        <w:pStyle w:val="SangriaFrancesaArticulo"/>
      </w:pPr>
    </w:p>
    <w:p w:rsidR="00981775" w:rsidRDefault="00981775" w:rsidP="00981775">
      <w:pPr>
        <w:pStyle w:val="TextoNormalNegritaCursivandice"/>
      </w:pPr>
      <w:r>
        <w:t>Ley Orgánica 13/2003, de 24 octubre. Reforma de la Ley de enjuiciamiento criminal en materia de prisión provisional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77" w:history="1">
        <w:r w:rsidRPr="00981775">
          <w:rPr>
            <w:rStyle w:val="TextoNormalCaracter"/>
          </w:rPr>
          <w:t>177/2015</w:t>
        </w:r>
      </w:hyperlink>
      <w:r>
        <w:t>, f. 1.</w:t>
      </w:r>
    </w:p>
    <w:p w:rsidR="00981775" w:rsidRDefault="00981775" w:rsidP="00981775">
      <w:pPr>
        <w:pStyle w:val="SangriaFrancesaArticulo"/>
      </w:pPr>
    </w:p>
    <w:p w:rsidR="00981775" w:rsidRDefault="00981775" w:rsidP="00981775">
      <w:pPr>
        <w:pStyle w:val="TextoNormalNegritaCursivandice"/>
      </w:pPr>
      <w:r>
        <w:t>Ley Orgánica 15/2003, de 25 de noviembre. Modificación de la Ley Orgánica 10/1995, de 23 de noviembre, del Código penal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61" w:history="1">
        <w:r w:rsidRPr="00981775">
          <w:rPr>
            <w:rStyle w:val="TextoNormalCaracter"/>
          </w:rPr>
          <w:t>261/2015</w:t>
        </w:r>
      </w:hyperlink>
      <w:r>
        <w:t>, f. 1.</w:t>
      </w:r>
    </w:p>
    <w:p w:rsidR="00981775" w:rsidRDefault="00981775" w:rsidP="00981775">
      <w:pPr>
        <w:pStyle w:val="SangriaIzquierdaArticulo"/>
      </w:pPr>
      <w:r>
        <w:t xml:space="preserve">Autos </w:t>
      </w:r>
      <w:hyperlink w:anchor="AUTO_2015_137" w:history="1">
        <w:r w:rsidRPr="00981775">
          <w:rPr>
            <w:rStyle w:val="TextoNormalCaracter"/>
          </w:rPr>
          <w:t>137/2015</w:t>
        </w:r>
      </w:hyperlink>
      <w:r>
        <w:t xml:space="preserve">, f. 4; </w:t>
      </w:r>
      <w:hyperlink w:anchor="AUTO_2015_138" w:history="1">
        <w:r w:rsidRPr="00981775">
          <w:rPr>
            <w:rStyle w:val="TextoNormalCaracter"/>
          </w:rPr>
          <w:t>138/2015</w:t>
        </w:r>
      </w:hyperlink>
      <w:r>
        <w:t>, f. 4.</w:t>
      </w:r>
    </w:p>
    <w:p w:rsidR="00981775" w:rsidRDefault="00981775" w:rsidP="00981775">
      <w:pPr>
        <w:pStyle w:val="SangriaFrancesaArticulo"/>
      </w:pPr>
      <w:r w:rsidRPr="00981775">
        <w:rPr>
          <w:rStyle w:val="TextoNormalNegritaCaracter"/>
        </w:rPr>
        <w:t>Disposición transitoria primera.</w:t>
      </w:r>
      <w:r w:rsidRPr="00981775">
        <w:rPr>
          <w:rStyle w:val="TextoNormalCaracter"/>
        </w:rPr>
        <w:t>-</w:t>
      </w:r>
      <w:r>
        <w:t xml:space="preserve"> Auto </w:t>
      </w:r>
      <w:hyperlink w:anchor="AUTO_2015_137" w:history="1">
        <w:r w:rsidRPr="00981775">
          <w:rPr>
            <w:rStyle w:val="TextoNormalCaracter"/>
          </w:rPr>
          <w:t>137/2015</w:t>
        </w:r>
      </w:hyperlink>
      <w:r>
        <w:t>, f. 4.</w:t>
      </w:r>
    </w:p>
    <w:p w:rsidR="00981775" w:rsidRDefault="00981775" w:rsidP="00981775">
      <w:pPr>
        <w:pStyle w:val="SangriaFrancesaArticulo"/>
      </w:pPr>
    </w:p>
    <w:p w:rsidR="00981775" w:rsidRDefault="00981775" w:rsidP="00981775">
      <w:pPr>
        <w:pStyle w:val="TextoNormalNegritaCursivandice"/>
      </w:pPr>
      <w:r>
        <w:t>Ley Orgánica 19/2003, de 23 de diciembre. Modificación de la Ley Orgánica 6/1985, de 1 de julio, del Poder Judicial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95" w:history="1">
        <w:r w:rsidRPr="00981775">
          <w:rPr>
            <w:rStyle w:val="TextoNormalCaracter"/>
          </w:rPr>
          <w:t>195/2015</w:t>
        </w:r>
      </w:hyperlink>
      <w:r>
        <w:t>, f. 4.</w:t>
      </w:r>
    </w:p>
    <w:p w:rsidR="00981775" w:rsidRDefault="00981775" w:rsidP="00981775">
      <w:pPr>
        <w:pStyle w:val="SangriaFrancesaArticulo"/>
      </w:pPr>
    </w:p>
    <w:p w:rsidR="00981775" w:rsidRDefault="00981775" w:rsidP="00981775">
      <w:pPr>
        <w:pStyle w:val="TextoNormalNegritaCursivandice"/>
      </w:pPr>
      <w:r>
        <w:t>Ley Orgánica 2/2006, de 3 de mayo. Educación</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55" w:history="1">
        <w:r w:rsidRPr="00981775">
          <w:rPr>
            <w:rStyle w:val="TextoNormalCaracter"/>
          </w:rPr>
          <w:t>155/2015</w:t>
        </w:r>
      </w:hyperlink>
      <w:r>
        <w:t>, f. 3.</w:t>
      </w:r>
    </w:p>
    <w:p w:rsidR="00981775" w:rsidRDefault="00981775" w:rsidP="00981775">
      <w:pPr>
        <w:pStyle w:val="SangriaFrancesaArticulo"/>
      </w:pPr>
      <w:r w:rsidRPr="00981775">
        <w:rPr>
          <w:rStyle w:val="TextoNormalNegritaCaracter"/>
        </w:rPr>
        <w:t>Artículo 4.</w:t>
      </w:r>
      <w:r w:rsidRPr="00981775">
        <w:rPr>
          <w:rStyle w:val="TextoNormalCaracter"/>
        </w:rPr>
        <w:t>-</w:t>
      </w:r>
      <w:r>
        <w:t xml:space="preserve"> Sentencia </w:t>
      </w:r>
      <w:hyperlink w:anchor="SENTENCIA_2015_155" w:history="1">
        <w:r w:rsidRPr="00981775">
          <w:rPr>
            <w:rStyle w:val="TextoNormalCaracter"/>
          </w:rPr>
          <w:t>155/2015</w:t>
        </w:r>
      </w:hyperlink>
      <w:r>
        <w:t>, f. 3.</w:t>
      </w:r>
    </w:p>
    <w:p w:rsidR="00981775" w:rsidRDefault="00981775" w:rsidP="00981775">
      <w:pPr>
        <w:pStyle w:val="SangriaFrancesaArticulo"/>
      </w:pPr>
      <w:r w:rsidRPr="00981775">
        <w:rPr>
          <w:rStyle w:val="TextoNormalNegritaCaracter"/>
        </w:rPr>
        <w:t>Artículo 84.</w:t>
      </w:r>
      <w:r w:rsidRPr="00981775">
        <w:rPr>
          <w:rStyle w:val="TextoNormalCaracter"/>
        </w:rPr>
        <w:t>-</w:t>
      </w:r>
      <w:r>
        <w:t xml:space="preserve"> Sentencia </w:t>
      </w:r>
      <w:hyperlink w:anchor="SENTENCIA_2015_271" w:history="1">
        <w:r w:rsidRPr="00981775">
          <w:rPr>
            <w:rStyle w:val="TextoNormalCaracter"/>
          </w:rPr>
          <w:t>271/2015</w:t>
        </w:r>
      </w:hyperlink>
      <w:r>
        <w:t>, ff. 1, 3.</w:t>
      </w:r>
    </w:p>
    <w:p w:rsidR="00981775" w:rsidRDefault="00981775" w:rsidP="00981775">
      <w:pPr>
        <w:pStyle w:val="SangriaFrancesaArticulo"/>
      </w:pPr>
      <w:r w:rsidRPr="00981775">
        <w:rPr>
          <w:rStyle w:val="TextoNormalNegritaCaracter"/>
        </w:rPr>
        <w:t>Artículo 84.2.</w:t>
      </w:r>
      <w:r w:rsidRPr="00981775">
        <w:rPr>
          <w:rStyle w:val="TextoNormalCaracter"/>
        </w:rPr>
        <w:t>-</w:t>
      </w:r>
      <w:r>
        <w:t xml:space="preserve"> Sentencia </w:t>
      </w:r>
      <w:hyperlink w:anchor="SENTENCIA_2015_271" w:history="1">
        <w:r w:rsidRPr="00981775">
          <w:rPr>
            <w:rStyle w:val="TextoNormalCaracter"/>
          </w:rPr>
          <w:t>271/2015</w:t>
        </w:r>
      </w:hyperlink>
      <w:r>
        <w:t>, ff. 1, 3, 4, 5.</w:t>
      </w:r>
    </w:p>
    <w:p w:rsidR="00981775" w:rsidRDefault="00981775" w:rsidP="00981775">
      <w:pPr>
        <w:pStyle w:val="SangriaFrancesaArticulo"/>
      </w:pPr>
      <w:r w:rsidRPr="00981775">
        <w:rPr>
          <w:rStyle w:val="TextoNormalNegritaCaracter"/>
        </w:rPr>
        <w:t>Articulo 84.2</w:t>
      </w:r>
      <w:r>
        <w:t xml:space="preserve"> (redactado por la Ley 26/2015, de 28 de julio)</w:t>
      </w:r>
      <w:r w:rsidRPr="00981775">
        <w:rPr>
          <w:rStyle w:val="TextoNormalNegritaCaracter"/>
        </w:rPr>
        <w:t>.</w:t>
      </w:r>
      <w:r w:rsidRPr="00981775">
        <w:rPr>
          <w:rStyle w:val="TextoNormalCaracter"/>
        </w:rPr>
        <w:t>-</w:t>
      </w:r>
      <w:r>
        <w:t xml:space="preserve"> Sentencia </w:t>
      </w:r>
      <w:hyperlink w:anchor="SENTENCIA_2015_271" w:history="1">
        <w:r w:rsidRPr="00981775">
          <w:rPr>
            <w:rStyle w:val="TextoNormalCaracter"/>
          </w:rPr>
          <w:t>271/2015</w:t>
        </w:r>
      </w:hyperlink>
      <w:r>
        <w:t>, f. 2.</w:t>
      </w:r>
    </w:p>
    <w:p w:rsidR="00981775" w:rsidRDefault="00981775" w:rsidP="00981775">
      <w:pPr>
        <w:pStyle w:val="SangriaFrancesaArticulo"/>
      </w:pPr>
      <w:r w:rsidRPr="00981775">
        <w:rPr>
          <w:rStyle w:val="TextoNormalNegritaCaracter"/>
        </w:rPr>
        <w:t>Artículo 84.2</w:t>
      </w:r>
      <w:r>
        <w:t xml:space="preserve"> (redactado por la Ley Orgánica 8/2013, de 9 de diciembre)</w:t>
      </w:r>
      <w:r w:rsidRPr="00981775">
        <w:rPr>
          <w:rStyle w:val="TextoNormalNegritaCaracter"/>
        </w:rPr>
        <w:t>.</w:t>
      </w:r>
      <w:r w:rsidRPr="00981775">
        <w:rPr>
          <w:rStyle w:val="TextoNormalCaracter"/>
        </w:rPr>
        <w:t>-</w:t>
      </w:r>
      <w:r>
        <w:t xml:space="preserve"> Sentencia </w:t>
      </w:r>
      <w:hyperlink w:anchor="SENTENCIA_2015_271" w:history="1">
        <w:r w:rsidRPr="00981775">
          <w:rPr>
            <w:rStyle w:val="TextoNormalCaracter"/>
          </w:rPr>
          <w:t>271/2015</w:t>
        </w:r>
      </w:hyperlink>
      <w:r>
        <w:t>, f. 2.</w:t>
      </w:r>
    </w:p>
    <w:p w:rsidR="00981775" w:rsidRDefault="00981775" w:rsidP="00981775">
      <w:pPr>
        <w:pStyle w:val="SangriaFrancesaArticulo"/>
      </w:pPr>
      <w:r w:rsidRPr="00981775">
        <w:rPr>
          <w:rStyle w:val="TextoNormalNegritaCaracter"/>
        </w:rPr>
        <w:t>Artículo 84.3.</w:t>
      </w:r>
      <w:r w:rsidRPr="00981775">
        <w:rPr>
          <w:rStyle w:val="TextoNormalCaracter"/>
        </w:rPr>
        <w:t>-</w:t>
      </w:r>
      <w:r>
        <w:t xml:space="preserve"> Sentencias </w:t>
      </w:r>
      <w:hyperlink w:anchor="SENTENCIA_2015_234" w:history="1">
        <w:r w:rsidRPr="00981775">
          <w:rPr>
            <w:rStyle w:val="TextoNormalCaracter"/>
          </w:rPr>
          <w:t>234/2015</w:t>
        </w:r>
      </w:hyperlink>
      <w:r>
        <w:t xml:space="preserve">, f. 2; </w:t>
      </w:r>
      <w:hyperlink w:anchor="SENTENCIA_2015_246" w:history="1">
        <w:r w:rsidRPr="00981775">
          <w:rPr>
            <w:rStyle w:val="TextoNormalCaracter"/>
          </w:rPr>
          <w:t>246/2015</w:t>
        </w:r>
      </w:hyperlink>
      <w:r>
        <w:t xml:space="preserve">, f. 2; </w:t>
      </w:r>
      <w:hyperlink w:anchor="SENTENCIA_2015_247" w:history="1">
        <w:r w:rsidRPr="00981775">
          <w:rPr>
            <w:rStyle w:val="TextoNormalCaracter"/>
          </w:rPr>
          <w:t>247/2015</w:t>
        </w:r>
      </w:hyperlink>
      <w:r>
        <w:t xml:space="preserve">, f. 2; </w:t>
      </w:r>
      <w:hyperlink w:anchor="SENTENCIA_2015_248" w:history="1">
        <w:r w:rsidRPr="00981775">
          <w:rPr>
            <w:rStyle w:val="TextoNormalCaracter"/>
          </w:rPr>
          <w:t>248/2015</w:t>
        </w:r>
      </w:hyperlink>
      <w:r>
        <w:t xml:space="preserve">, f. 2; </w:t>
      </w:r>
      <w:hyperlink w:anchor="SENTENCIA_2015_249" w:history="1">
        <w:r w:rsidRPr="00981775">
          <w:rPr>
            <w:rStyle w:val="TextoNormalCaracter"/>
          </w:rPr>
          <w:t>249/2015</w:t>
        </w:r>
      </w:hyperlink>
      <w:r>
        <w:t xml:space="preserve">, f. 2; </w:t>
      </w:r>
      <w:hyperlink w:anchor="SENTENCIA_2015_250" w:history="1">
        <w:r w:rsidRPr="00981775">
          <w:rPr>
            <w:rStyle w:val="TextoNormalCaracter"/>
          </w:rPr>
          <w:t>250/2015</w:t>
        </w:r>
      </w:hyperlink>
      <w:r>
        <w:t xml:space="preserve">, f. 2; </w:t>
      </w:r>
      <w:hyperlink w:anchor="SENTENCIA_2015_251" w:history="1">
        <w:r w:rsidRPr="00981775">
          <w:rPr>
            <w:rStyle w:val="TextoNormalCaracter"/>
          </w:rPr>
          <w:t>251/2015</w:t>
        </w:r>
      </w:hyperlink>
      <w:r>
        <w:t xml:space="preserve">, f. 2; </w:t>
      </w:r>
      <w:hyperlink w:anchor="SENTENCIA_2015_252" w:history="1">
        <w:r w:rsidRPr="00981775">
          <w:rPr>
            <w:rStyle w:val="TextoNormalCaracter"/>
          </w:rPr>
          <w:t>252/2015</w:t>
        </w:r>
      </w:hyperlink>
      <w:r>
        <w:t xml:space="preserve">, f. 2; </w:t>
      </w:r>
      <w:hyperlink w:anchor="SENTENCIA_2015_253" w:history="1">
        <w:r w:rsidRPr="00981775">
          <w:rPr>
            <w:rStyle w:val="TextoNormalCaracter"/>
          </w:rPr>
          <w:t>253/2015</w:t>
        </w:r>
      </w:hyperlink>
      <w:r>
        <w:t xml:space="preserve">, f. 2; </w:t>
      </w:r>
      <w:hyperlink w:anchor="SENTENCIA_2015_255" w:history="1">
        <w:r w:rsidRPr="00981775">
          <w:rPr>
            <w:rStyle w:val="TextoNormalCaracter"/>
          </w:rPr>
          <w:t>255/2015</w:t>
        </w:r>
      </w:hyperlink>
      <w:r>
        <w:t xml:space="preserve">, f. 2; </w:t>
      </w:r>
      <w:hyperlink w:anchor="SENTENCIA_2015_256" w:history="1">
        <w:r w:rsidRPr="00981775">
          <w:rPr>
            <w:rStyle w:val="TextoNormalCaracter"/>
          </w:rPr>
          <w:t>256/2015</w:t>
        </w:r>
      </w:hyperlink>
      <w:r>
        <w:t xml:space="preserve">, f. 2; </w:t>
      </w:r>
      <w:hyperlink w:anchor="SENTENCIA_2015_257" w:history="1">
        <w:r w:rsidRPr="00981775">
          <w:rPr>
            <w:rStyle w:val="TextoNormalCaracter"/>
          </w:rPr>
          <w:t>257/2015</w:t>
        </w:r>
      </w:hyperlink>
      <w:r>
        <w:t xml:space="preserve">, f. 2; </w:t>
      </w:r>
      <w:hyperlink w:anchor="SENTENCIA_2015_258" w:history="1">
        <w:r w:rsidRPr="00981775">
          <w:rPr>
            <w:rStyle w:val="TextoNormalCaracter"/>
          </w:rPr>
          <w:t>258/2015</w:t>
        </w:r>
      </w:hyperlink>
      <w:r>
        <w:t>, f. 2.</w:t>
      </w:r>
    </w:p>
    <w:p w:rsidR="00981775" w:rsidRDefault="00981775" w:rsidP="00981775">
      <w:pPr>
        <w:pStyle w:val="SangriaFrancesaArticulo"/>
      </w:pPr>
      <w:r w:rsidRPr="00981775">
        <w:rPr>
          <w:rStyle w:val="TextoNormalNegritaCaracter"/>
        </w:rPr>
        <w:t>Artículo 84.3</w:t>
      </w:r>
      <w:r>
        <w:t xml:space="preserve"> (redactado por la Ley Orgánica 8/2013, de 9 de diciembre)</w:t>
      </w:r>
      <w:r w:rsidRPr="00981775">
        <w:rPr>
          <w:rStyle w:val="TextoNormalNegritaCaracter"/>
        </w:rPr>
        <w:t>.</w:t>
      </w:r>
      <w:r w:rsidRPr="00981775">
        <w:rPr>
          <w:rStyle w:val="TextoNormalCaracter"/>
        </w:rPr>
        <w:t>-</w:t>
      </w:r>
      <w:r>
        <w:t xml:space="preserve"> Sentencias </w:t>
      </w:r>
      <w:hyperlink w:anchor="SENTENCIA_2015_246" w:history="1">
        <w:r w:rsidRPr="00981775">
          <w:rPr>
            <w:rStyle w:val="TextoNormalCaracter"/>
          </w:rPr>
          <w:t>246/2015</w:t>
        </w:r>
      </w:hyperlink>
      <w:r>
        <w:t xml:space="preserve">, f. 2; </w:t>
      </w:r>
      <w:hyperlink w:anchor="SENTENCIA_2015_247" w:history="1">
        <w:r w:rsidRPr="00981775">
          <w:rPr>
            <w:rStyle w:val="TextoNormalCaracter"/>
          </w:rPr>
          <w:t>247/2015</w:t>
        </w:r>
      </w:hyperlink>
      <w:r>
        <w:t xml:space="preserve">, f. 2; </w:t>
      </w:r>
      <w:hyperlink w:anchor="SENTENCIA_2015_248" w:history="1">
        <w:r w:rsidRPr="00981775">
          <w:rPr>
            <w:rStyle w:val="TextoNormalCaracter"/>
          </w:rPr>
          <w:t>248/2015</w:t>
        </w:r>
      </w:hyperlink>
      <w:r>
        <w:t xml:space="preserve">, f. 2; </w:t>
      </w:r>
      <w:hyperlink w:anchor="SENTENCIA_2015_249" w:history="1">
        <w:r w:rsidRPr="00981775">
          <w:rPr>
            <w:rStyle w:val="TextoNormalCaracter"/>
          </w:rPr>
          <w:t>249/2015</w:t>
        </w:r>
      </w:hyperlink>
      <w:r>
        <w:t xml:space="preserve">, f. 2; </w:t>
      </w:r>
      <w:hyperlink w:anchor="SENTENCIA_2015_250" w:history="1">
        <w:r w:rsidRPr="00981775">
          <w:rPr>
            <w:rStyle w:val="TextoNormalCaracter"/>
          </w:rPr>
          <w:t>250/2015</w:t>
        </w:r>
      </w:hyperlink>
      <w:r>
        <w:t xml:space="preserve">, f. 2; </w:t>
      </w:r>
      <w:hyperlink w:anchor="SENTENCIA_2015_251" w:history="1">
        <w:r w:rsidRPr="00981775">
          <w:rPr>
            <w:rStyle w:val="TextoNormalCaracter"/>
          </w:rPr>
          <w:t>251/2015</w:t>
        </w:r>
      </w:hyperlink>
      <w:r>
        <w:t xml:space="preserve">, f. 2; </w:t>
      </w:r>
      <w:hyperlink w:anchor="SENTENCIA_2015_252" w:history="1">
        <w:r w:rsidRPr="00981775">
          <w:rPr>
            <w:rStyle w:val="TextoNormalCaracter"/>
          </w:rPr>
          <w:t>252/2015</w:t>
        </w:r>
      </w:hyperlink>
      <w:r>
        <w:t xml:space="preserve">, f. 2; </w:t>
      </w:r>
      <w:hyperlink w:anchor="SENTENCIA_2015_253" w:history="1">
        <w:r w:rsidRPr="00981775">
          <w:rPr>
            <w:rStyle w:val="TextoNormalCaracter"/>
          </w:rPr>
          <w:t>253/2015</w:t>
        </w:r>
      </w:hyperlink>
      <w:r>
        <w:t xml:space="preserve">, f. 2; </w:t>
      </w:r>
      <w:hyperlink w:anchor="SENTENCIA_2015_255" w:history="1">
        <w:r w:rsidRPr="00981775">
          <w:rPr>
            <w:rStyle w:val="TextoNormalCaracter"/>
          </w:rPr>
          <w:t>255/2015</w:t>
        </w:r>
      </w:hyperlink>
      <w:r>
        <w:t xml:space="preserve">, f. 2; </w:t>
      </w:r>
      <w:hyperlink w:anchor="SENTENCIA_2015_256" w:history="1">
        <w:r w:rsidRPr="00981775">
          <w:rPr>
            <w:rStyle w:val="TextoNormalCaracter"/>
          </w:rPr>
          <w:t>256/2015</w:t>
        </w:r>
      </w:hyperlink>
      <w:r>
        <w:t xml:space="preserve">, f. 2; </w:t>
      </w:r>
      <w:hyperlink w:anchor="SENTENCIA_2015_257" w:history="1">
        <w:r w:rsidRPr="00981775">
          <w:rPr>
            <w:rStyle w:val="TextoNormalCaracter"/>
          </w:rPr>
          <w:t>257/2015</w:t>
        </w:r>
      </w:hyperlink>
      <w:r>
        <w:t xml:space="preserve">, f. 2; </w:t>
      </w:r>
      <w:hyperlink w:anchor="SENTENCIA_2015_258" w:history="1">
        <w:r w:rsidRPr="00981775">
          <w:rPr>
            <w:rStyle w:val="TextoNormalCaracter"/>
          </w:rPr>
          <w:t>258/2015</w:t>
        </w:r>
      </w:hyperlink>
      <w:r>
        <w:t>, f. 2.</w:t>
      </w:r>
    </w:p>
    <w:p w:rsidR="00981775" w:rsidRDefault="00981775" w:rsidP="00981775">
      <w:pPr>
        <w:pStyle w:val="SangriaFrancesaArticulo"/>
      </w:pPr>
      <w:r w:rsidRPr="00981775">
        <w:rPr>
          <w:rStyle w:val="TextoNormalNegritaCaracter"/>
        </w:rPr>
        <w:t>Artículo 117.</w:t>
      </w:r>
      <w:r w:rsidRPr="00981775">
        <w:rPr>
          <w:rStyle w:val="TextoNormalCaracter"/>
        </w:rPr>
        <w:t>-</w:t>
      </w:r>
      <w:r>
        <w:t xml:space="preserve"> Sentencias </w:t>
      </w:r>
      <w:hyperlink w:anchor="SENTENCIA_2015_246" w:history="1">
        <w:r w:rsidRPr="00981775">
          <w:rPr>
            <w:rStyle w:val="TextoNormalCaracter"/>
          </w:rPr>
          <w:t>246/2015</w:t>
        </w:r>
      </w:hyperlink>
      <w:r>
        <w:t xml:space="preserve">, f. 1; </w:t>
      </w:r>
      <w:hyperlink w:anchor="SENTENCIA_2015_247" w:history="1">
        <w:r w:rsidRPr="00981775">
          <w:rPr>
            <w:rStyle w:val="TextoNormalCaracter"/>
          </w:rPr>
          <w:t>247/2015</w:t>
        </w:r>
      </w:hyperlink>
      <w:r>
        <w:t xml:space="preserve">, f. 1; </w:t>
      </w:r>
      <w:hyperlink w:anchor="SENTENCIA_2015_248" w:history="1">
        <w:r w:rsidRPr="00981775">
          <w:rPr>
            <w:rStyle w:val="TextoNormalCaracter"/>
          </w:rPr>
          <w:t>248/2015</w:t>
        </w:r>
      </w:hyperlink>
      <w:r>
        <w:t xml:space="preserve">, f. 1; </w:t>
      </w:r>
      <w:hyperlink w:anchor="SENTENCIA_2015_249" w:history="1">
        <w:r w:rsidRPr="00981775">
          <w:rPr>
            <w:rStyle w:val="TextoNormalCaracter"/>
          </w:rPr>
          <w:t>249/2015</w:t>
        </w:r>
      </w:hyperlink>
      <w:r>
        <w:t xml:space="preserve">, f. 1; </w:t>
      </w:r>
      <w:hyperlink w:anchor="SENTENCIA_2015_250" w:history="1">
        <w:r w:rsidRPr="00981775">
          <w:rPr>
            <w:rStyle w:val="TextoNormalCaracter"/>
          </w:rPr>
          <w:t>250/2015</w:t>
        </w:r>
      </w:hyperlink>
      <w:r>
        <w:t xml:space="preserve">, f. 1; </w:t>
      </w:r>
      <w:hyperlink w:anchor="SENTENCIA_2015_251" w:history="1">
        <w:r w:rsidRPr="00981775">
          <w:rPr>
            <w:rStyle w:val="TextoNormalCaracter"/>
          </w:rPr>
          <w:t>251/2015</w:t>
        </w:r>
      </w:hyperlink>
      <w:r>
        <w:t xml:space="preserve">, f. 1; </w:t>
      </w:r>
      <w:hyperlink w:anchor="SENTENCIA_2015_252" w:history="1">
        <w:r w:rsidRPr="00981775">
          <w:rPr>
            <w:rStyle w:val="TextoNormalCaracter"/>
          </w:rPr>
          <w:t>252/2015</w:t>
        </w:r>
      </w:hyperlink>
      <w:r>
        <w:t xml:space="preserve">, f. 1; </w:t>
      </w:r>
      <w:hyperlink w:anchor="SENTENCIA_2015_253" w:history="1">
        <w:r w:rsidRPr="00981775">
          <w:rPr>
            <w:rStyle w:val="TextoNormalCaracter"/>
          </w:rPr>
          <w:t>253/2015</w:t>
        </w:r>
      </w:hyperlink>
      <w:r>
        <w:t xml:space="preserve">, f. 1; </w:t>
      </w:r>
      <w:hyperlink w:anchor="SENTENCIA_2015_255" w:history="1">
        <w:r w:rsidRPr="00981775">
          <w:rPr>
            <w:rStyle w:val="TextoNormalCaracter"/>
          </w:rPr>
          <w:t>255/2015</w:t>
        </w:r>
      </w:hyperlink>
      <w:r>
        <w:t xml:space="preserve">, f. 1; </w:t>
      </w:r>
      <w:hyperlink w:anchor="SENTENCIA_2015_256" w:history="1">
        <w:r w:rsidRPr="00981775">
          <w:rPr>
            <w:rStyle w:val="TextoNormalCaracter"/>
          </w:rPr>
          <w:t>256/2015</w:t>
        </w:r>
      </w:hyperlink>
      <w:r>
        <w:t xml:space="preserve">, f. 1; </w:t>
      </w:r>
      <w:hyperlink w:anchor="SENTENCIA_2015_257" w:history="1">
        <w:r w:rsidRPr="00981775">
          <w:rPr>
            <w:rStyle w:val="TextoNormalCaracter"/>
          </w:rPr>
          <w:t>257/2015</w:t>
        </w:r>
      </w:hyperlink>
      <w:r>
        <w:t xml:space="preserve">, f. 1; </w:t>
      </w:r>
      <w:hyperlink w:anchor="SENTENCIA_2015_258" w:history="1">
        <w:r w:rsidRPr="00981775">
          <w:rPr>
            <w:rStyle w:val="TextoNormalCaracter"/>
          </w:rPr>
          <w:t>258/2015</w:t>
        </w:r>
      </w:hyperlink>
      <w:r>
        <w:t>, f. 1.</w:t>
      </w:r>
    </w:p>
    <w:p w:rsidR="00981775" w:rsidRDefault="00981775" w:rsidP="00981775">
      <w:pPr>
        <w:pStyle w:val="SangriaFrancesaArticulo"/>
      </w:pPr>
      <w:r w:rsidRPr="00981775">
        <w:rPr>
          <w:rStyle w:val="TextoNormalNegritaCaracter"/>
        </w:rPr>
        <w:t>Artículo 117.1.</w:t>
      </w:r>
      <w:r w:rsidRPr="00981775">
        <w:rPr>
          <w:rStyle w:val="TextoNormalCaracter"/>
        </w:rPr>
        <w:t>-</w:t>
      </w:r>
      <w:r>
        <w:t xml:space="preserve"> Sentencia </w:t>
      </w:r>
      <w:hyperlink w:anchor="SENTENCIA_2015_234" w:history="1">
        <w:r w:rsidRPr="00981775">
          <w:rPr>
            <w:rStyle w:val="TextoNormalCaracter"/>
          </w:rPr>
          <w:t>234/2015</w:t>
        </w:r>
      </w:hyperlink>
      <w:r>
        <w:t>, f. 1.</w:t>
      </w:r>
    </w:p>
    <w:p w:rsidR="00981775" w:rsidRDefault="00981775" w:rsidP="00981775">
      <w:pPr>
        <w:pStyle w:val="SangriaFrancesaArticulo"/>
      </w:pPr>
      <w:r w:rsidRPr="00981775">
        <w:rPr>
          <w:rStyle w:val="TextoNormalNegritaCaracter"/>
        </w:rPr>
        <w:t>Disposición final quinta.</w:t>
      </w:r>
      <w:r w:rsidRPr="00981775">
        <w:rPr>
          <w:rStyle w:val="TextoNormalCaracter"/>
        </w:rPr>
        <w:t>-</w:t>
      </w:r>
      <w:r>
        <w:t xml:space="preserve"> Sentencia </w:t>
      </w:r>
      <w:hyperlink w:anchor="SENTENCIA_2015_271" w:history="1">
        <w:r w:rsidRPr="00981775">
          <w:rPr>
            <w:rStyle w:val="TextoNormalCaracter"/>
          </w:rPr>
          <w:t>271/2015</w:t>
        </w:r>
      </w:hyperlink>
      <w:r>
        <w:t>, f. 3.</w:t>
      </w:r>
    </w:p>
    <w:p w:rsidR="00981775" w:rsidRDefault="00981775" w:rsidP="00981775">
      <w:pPr>
        <w:pStyle w:val="SangriaFrancesaArticulo"/>
      </w:pPr>
    </w:p>
    <w:p w:rsidR="00981775" w:rsidRDefault="00981775" w:rsidP="00981775">
      <w:pPr>
        <w:pStyle w:val="TextoNormalNegritaCursivandice"/>
      </w:pPr>
      <w:r>
        <w:t>Ley Orgánica 3/2007, de 22 de marzo. Igualdad efectiva de mujeres y hombres</w:t>
      </w:r>
    </w:p>
    <w:p w:rsidR="00981775" w:rsidRDefault="00981775" w:rsidP="00981775">
      <w:pPr>
        <w:pStyle w:val="SangriaFrancesaArticulo"/>
      </w:pPr>
      <w:r w:rsidRPr="00981775">
        <w:rPr>
          <w:rStyle w:val="TextoNormalNegritaCaracter"/>
        </w:rPr>
        <w:t>Artículo 16.</w:t>
      </w:r>
      <w:r w:rsidRPr="00981775">
        <w:rPr>
          <w:rStyle w:val="TextoNormalCaracter"/>
        </w:rPr>
        <w:t>-</w:t>
      </w:r>
      <w:r>
        <w:t xml:space="preserve"> Sentencia </w:t>
      </w:r>
      <w:hyperlink w:anchor="SENTENCIA_2015_176" w:history="1">
        <w:r w:rsidRPr="00981775">
          <w:rPr>
            <w:rStyle w:val="TextoNormalCaracter"/>
          </w:rPr>
          <w:t>176/2015</w:t>
        </w:r>
      </w:hyperlink>
      <w:r>
        <w:t>, f. 2.</w:t>
      </w:r>
    </w:p>
    <w:p w:rsidR="00981775" w:rsidRDefault="00981775" w:rsidP="00981775">
      <w:pPr>
        <w:pStyle w:val="SangriaFrancesaArticulo"/>
      </w:pPr>
      <w:r w:rsidRPr="00981775">
        <w:rPr>
          <w:rStyle w:val="TextoNormalNegritaCaracter"/>
        </w:rPr>
        <w:t>Artículo 24.2 d).</w:t>
      </w:r>
      <w:r w:rsidRPr="00981775">
        <w:rPr>
          <w:rStyle w:val="TextoNormalCaracter"/>
        </w:rPr>
        <w:t>-</w:t>
      </w:r>
      <w:r>
        <w:t xml:space="preserve"> Sentencia </w:t>
      </w:r>
      <w:hyperlink w:anchor="SENTENCIA_2015_176" w:history="1">
        <w:r w:rsidRPr="00981775">
          <w:rPr>
            <w:rStyle w:val="TextoNormalCaracter"/>
          </w:rPr>
          <w:t>176/2015</w:t>
        </w:r>
      </w:hyperlink>
      <w:r>
        <w:t>, f. 2.</w:t>
      </w:r>
    </w:p>
    <w:p w:rsidR="00981775" w:rsidRDefault="00981775" w:rsidP="00981775">
      <w:pPr>
        <w:pStyle w:val="SangriaFrancesaArticulo"/>
      </w:pPr>
      <w:r w:rsidRPr="00981775">
        <w:rPr>
          <w:rStyle w:val="TextoNormalNegritaCaracter"/>
        </w:rPr>
        <w:t>Artículo 26.1 c).</w:t>
      </w:r>
      <w:r w:rsidRPr="00981775">
        <w:rPr>
          <w:rStyle w:val="TextoNormalCaracter"/>
        </w:rPr>
        <w:t>-</w:t>
      </w:r>
      <w:r>
        <w:t xml:space="preserve"> Sentencia </w:t>
      </w:r>
      <w:hyperlink w:anchor="SENTENCIA_2015_176" w:history="1">
        <w:r w:rsidRPr="00981775">
          <w:rPr>
            <w:rStyle w:val="TextoNormalCaracter"/>
          </w:rPr>
          <w:t>176/2015</w:t>
        </w:r>
      </w:hyperlink>
      <w:r>
        <w:t>, f. 2.</w:t>
      </w:r>
    </w:p>
    <w:p w:rsidR="00981775" w:rsidRDefault="00981775" w:rsidP="00981775">
      <w:pPr>
        <w:pStyle w:val="SangriaFrancesaArticulo"/>
      </w:pPr>
      <w:r w:rsidRPr="00981775">
        <w:rPr>
          <w:rStyle w:val="TextoNormalNegritaCaracter"/>
        </w:rPr>
        <w:t>Artículo 27.3 e).</w:t>
      </w:r>
      <w:r w:rsidRPr="00981775">
        <w:rPr>
          <w:rStyle w:val="TextoNormalCaracter"/>
        </w:rPr>
        <w:t>-</w:t>
      </w:r>
      <w:r>
        <w:t xml:space="preserve"> Sentencia </w:t>
      </w:r>
      <w:hyperlink w:anchor="SENTENCIA_2015_176" w:history="1">
        <w:r w:rsidRPr="00981775">
          <w:rPr>
            <w:rStyle w:val="TextoNormalCaracter"/>
          </w:rPr>
          <w:t>176/2015</w:t>
        </w:r>
      </w:hyperlink>
      <w:r>
        <w:t>, f. 2.</w:t>
      </w:r>
    </w:p>
    <w:p w:rsidR="00981775" w:rsidRDefault="00981775" w:rsidP="00981775">
      <w:pPr>
        <w:pStyle w:val="SangriaFrancesaArticulo"/>
      </w:pPr>
      <w:r w:rsidRPr="00981775">
        <w:rPr>
          <w:rStyle w:val="TextoNormalNegritaCaracter"/>
        </w:rPr>
        <w:t>Artículo 50.4.</w:t>
      </w:r>
      <w:r w:rsidRPr="00981775">
        <w:rPr>
          <w:rStyle w:val="TextoNormalCaracter"/>
        </w:rPr>
        <w:t>-</w:t>
      </w:r>
      <w:r>
        <w:t xml:space="preserve"> Sentencia </w:t>
      </w:r>
      <w:hyperlink w:anchor="SENTENCIA_2015_176" w:history="1">
        <w:r w:rsidRPr="00981775">
          <w:rPr>
            <w:rStyle w:val="TextoNormalCaracter"/>
          </w:rPr>
          <w:t>176/2015</w:t>
        </w:r>
      </w:hyperlink>
      <w:r>
        <w:t>, f. 2.</w:t>
      </w:r>
    </w:p>
    <w:p w:rsidR="00981775" w:rsidRDefault="00981775" w:rsidP="00981775">
      <w:pPr>
        <w:pStyle w:val="SangriaFrancesaArticulo"/>
      </w:pPr>
      <w:r w:rsidRPr="00981775">
        <w:rPr>
          <w:rStyle w:val="TextoNormalNegritaCaracter"/>
        </w:rPr>
        <w:t>Artículo 51 d).</w:t>
      </w:r>
      <w:r w:rsidRPr="00981775">
        <w:rPr>
          <w:rStyle w:val="TextoNormalCaracter"/>
        </w:rPr>
        <w:t>-</w:t>
      </w:r>
      <w:r>
        <w:t xml:space="preserve"> Sentencia </w:t>
      </w:r>
      <w:hyperlink w:anchor="SENTENCIA_2015_176" w:history="1">
        <w:r w:rsidRPr="00981775">
          <w:rPr>
            <w:rStyle w:val="TextoNormalCaracter"/>
          </w:rPr>
          <w:t>176/2015</w:t>
        </w:r>
      </w:hyperlink>
      <w:r>
        <w:t>, f. 2.</w:t>
      </w:r>
    </w:p>
    <w:p w:rsidR="00981775" w:rsidRDefault="00981775" w:rsidP="00981775">
      <w:pPr>
        <w:pStyle w:val="SangriaFrancesaArticulo"/>
      </w:pPr>
      <w:r w:rsidRPr="00981775">
        <w:rPr>
          <w:rStyle w:val="TextoNormalNegritaCaracter"/>
        </w:rPr>
        <w:t>Artículos 52 a 54.</w:t>
      </w:r>
      <w:r w:rsidRPr="00981775">
        <w:rPr>
          <w:rStyle w:val="TextoNormalCaracter"/>
        </w:rPr>
        <w:t>-</w:t>
      </w:r>
      <w:r>
        <w:t xml:space="preserve"> Sentencia </w:t>
      </w:r>
      <w:hyperlink w:anchor="SENTENCIA_2015_176" w:history="1">
        <w:r w:rsidRPr="00981775">
          <w:rPr>
            <w:rStyle w:val="TextoNormalCaracter"/>
          </w:rPr>
          <w:t>176/2015</w:t>
        </w:r>
      </w:hyperlink>
      <w:r>
        <w:t>, f. 2.</w:t>
      </w:r>
    </w:p>
    <w:p w:rsidR="00981775" w:rsidRDefault="00981775" w:rsidP="00981775">
      <w:pPr>
        <w:pStyle w:val="SangriaFrancesaArticulo"/>
      </w:pPr>
      <w:r w:rsidRPr="00981775">
        <w:rPr>
          <w:rStyle w:val="TextoNormalNegritaCaracter"/>
        </w:rPr>
        <w:t>Artículo 75.</w:t>
      </w:r>
      <w:r w:rsidRPr="00981775">
        <w:rPr>
          <w:rStyle w:val="TextoNormalCaracter"/>
        </w:rPr>
        <w:t>-</w:t>
      </w:r>
      <w:r>
        <w:t xml:space="preserve"> Sentencia </w:t>
      </w:r>
      <w:hyperlink w:anchor="SENTENCIA_2015_176" w:history="1">
        <w:r w:rsidRPr="00981775">
          <w:rPr>
            <w:rStyle w:val="TextoNormalCaracter"/>
          </w:rPr>
          <w:t>176/2015</w:t>
        </w:r>
      </w:hyperlink>
      <w:r>
        <w:t>, f. 2.</w:t>
      </w:r>
    </w:p>
    <w:p w:rsidR="00981775" w:rsidRDefault="00981775" w:rsidP="00981775">
      <w:pPr>
        <w:pStyle w:val="SangriaFrancesaArticulo"/>
      </w:pPr>
      <w:r w:rsidRPr="00981775">
        <w:rPr>
          <w:rStyle w:val="TextoNormalNegritaCaracter"/>
        </w:rPr>
        <w:t>Disposición adicional primera.</w:t>
      </w:r>
      <w:r w:rsidRPr="00981775">
        <w:rPr>
          <w:rStyle w:val="TextoNormalCaracter"/>
        </w:rPr>
        <w:t>-</w:t>
      </w:r>
      <w:r>
        <w:t xml:space="preserve"> Sentencia </w:t>
      </w:r>
      <w:hyperlink w:anchor="SENTENCIA_2015_176" w:history="1">
        <w:r w:rsidRPr="00981775">
          <w:rPr>
            <w:rStyle w:val="TextoNormalCaracter"/>
          </w:rPr>
          <w:t>176/2015</w:t>
        </w:r>
      </w:hyperlink>
      <w:r>
        <w:t>, f. 2.</w:t>
      </w:r>
    </w:p>
    <w:p w:rsidR="00981775" w:rsidRDefault="00981775" w:rsidP="00981775">
      <w:pPr>
        <w:pStyle w:val="SangriaFrancesaArticulo"/>
      </w:pPr>
    </w:p>
    <w:p w:rsidR="00981775" w:rsidRDefault="00981775" w:rsidP="00981775">
      <w:pPr>
        <w:pStyle w:val="TextoNormalNegritaCursivandice"/>
      </w:pPr>
      <w:r>
        <w:t>Ley Orgánica 4/2007, de 12 de abril. Modificación de la Ley Orgánica 6/2001, de 21 de diciembre. Universidades</w:t>
      </w:r>
    </w:p>
    <w:p w:rsidR="00981775" w:rsidRDefault="00981775" w:rsidP="00981775">
      <w:pPr>
        <w:pStyle w:val="SangriaFrancesaArticulo"/>
      </w:pPr>
      <w:r w:rsidRPr="00981775">
        <w:rPr>
          <w:rStyle w:val="TextoNormalNegritaCaracter"/>
        </w:rPr>
        <w:t>Artículo único, apartado 10.</w:t>
      </w:r>
      <w:r w:rsidRPr="00981775">
        <w:rPr>
          <w:rStyle w:val="TextoNormalCaracter"/>
        </w:rPr>
        <w:t>-</w:t>
      </w:r>
      <w:r>
        <w:t xml:space="preserve"> Sentencia </w:t>
      </w:r>
      <w:hyperlink w:anchor="SENTENCIA_2015_176" w:history="1">
        <w:r w:rsidRPr="00981775">
          <w:rPr>
            <w:rStyle w:val="TextoNormalCaracter"/>
          </w:rPr>
          <w:t>176/2015</w:t>
        </w:r>
      </w:hyperlink>
      <w:r>
        <w:t>, f. 2.</w:t>
      </w:r>
    </w:p>
    <w:p w:rsidR="00981775" w:rsidRDefault="00981775" w:rsidP="00981775">
      <w:pPr>
        <w:pStyle w:val="SangriaFrancesaArticulo"/>
      </w:pPr>
      <w:r w:rsidRPr="00981775">
        <w:rPr>
          <w:rStyle w:val="TextoNormalNegritaCaracter"/>
        </w:rPr>
        <w:t>Artículo único, apartado 26.</w:t>
      </w:r>
      <w:r w:rsidRPr="00981775">
        <w:rPr>
          <w:rStyle w:val="TextoNormalCaracter"/>
        </w:rPr>
        <w:t>-</w:t>
      </w:r>
      <w:r>
        <w:t xml:space="preserve"> Sentencia </w:t>
      </w:r>
      <w:hyperlink w:anchor="SENTENCIA_2015_176" w:history="1">
        <w:r w:rsidRPr="00981775">
          <w:rPr>
            <w:rStyle w:val="TextoNormalCaracter"/>
          </w:rPr>
          <w:t>176/2015</w:t>
        </w:r>
      </w:hyperlink>
      <w:r>
        <w:t>, f. 2.</w:t>
      </w:r>
    </w:p>
    <w:p w:rsidR="00981775" w:rsidRDefault="00981775" w:rsidP="00981775">
      <w:pPr>
        <w:pStyle w:val="SangriaFrancesaArticulo"/>
      </w:pPr>
      <w:r w:rsidRPr="00981775">
        <w:rPr>
          <w:rStyle w:val="TextoNormalNegritaCaracter"/>
        </w:rPr>
        <w:t>Artículo único, apartado 27.</w:t>
      </w:r>
      <w:r w:rsidRPr="00981775">
        <w:rPr>
          <w:rStyle w:val="TextoNormalCaracter"/>
        </w:rPr>
        <w:t>-</w:t>
      </w:r>
      <w:r>
        <w:t xml:space="preserve"> Sentencia </w:t>
      </w:r>
      <w:hyperlink w:anchor="SENTENCIA_2015_176" w:history="1">
        <w:r w:rsidRPr="00981775">
          <w:rPr>
            <w:rStyle w:val="TextoNormalCaracter"/>
          </w:rPr>
          <w:t>176/2015</w:t>
        </w:r>
      </w:hyperlink>
      <w:r>
        <w:t>, ff. 2, 3.</w:t>
      </w:r>
    </w:p>
    <w:p w:rsidR="00981775" w:rsidRDefault="00981775" w:rsidP="00981775">
      <w:pPr>
        <w:pStyle w:val="SangriaFrancesaArticulo"/>
      </w:pPr>
      <w:r w:rsidRPr="00981775">
        <w:rPr>
          <w:rStyle w:val="TextoNormalNegritaCaracter"/>
        </w:rPr>
        <w:t>Artículo único, apartado 30.</w:t>
      </w:r>
      <w:r w:rsidRPr="00981775">
        <w:rPr>
          <w:rStyle w:val="TextoNormalCaracter"/>
        </w:rPr>
        <w:t>-</w:t>
      </w:r>
      <w:r>
        <w:t xml:space="preserve"> Sentencia </w:t>
      </w:r>
      <w:hyperlink w:anchor="SENTENCIA_2015_176" w:history="1">
        <w:r w:rsidRPr="00981775">
          <w:rPr>
            <w:rStyle w:val="TextoNormalCaracter"/>
          </w:rPr>
          <w:t>176/2015</w:t>
        </w:r>
      </w:hyperlink>
      <w:r>
        <w:t>, f. 4.</w:t>
      </w:r>
    </w:p>
    <w:p w:rsidR="00981775" w:rsidRDefault="00981775" w:rsidP="00981775">
      <w:pPr>
        <w:pStyle w:val="SangriaFrancesaArticulo"/>
      </w:pPr>
      <w:r w:rsidRPr="00981775">
        <w:rPr>
          <w:rStyle w:val="TextoNormalNegritaCaracter"/>
        </w:rPr>
        <w:t>Artículo único, apartado 31.</w:t>
      </w:r>
      <w:r w:rsidRPr="00981775">
        <w:rPr>
          <w:rStyle w:val="TextoNormalCaracter"/>
        </w:rPr>
        <w:t>-</w:t>
      </w:r>
      <w:r>
        <w:t xml:space="preserve"> Sentencia </w:t>
      </w:r>
      <w:hyperlink w:anchor="SENTENCIA_2015_176" w:history="1">
        <w:r w:rsidRPr="00981775">
          <w:rPr>
            <w:rStyle w:val="TextoNormalCaracter"/>
          </w:rPr>
          <w:t>176/2015</w:t>
        </w:r>
      </w:hyperlink>
      <w:r>
        <w:t>, f. 4.</w:t>
      </w:r>
    </w:p>
    <w:p w:rsidR="00981775" w:rsidRDefault="00981775" w:rsidP="00981775">
      <w:pPr>
        <w:pStyle w:val="SangriaFrancesaArticulo"/>
      </w:pPr>
      <w:r w:rsidRPr="00981775">
        <w:rPr>
          <w:rStyle w:val="TextoNormalNegritaCaracter"/>
        </w:rPr>
        <w:t>Artículo único, apartado 33.</w:t>
      </w:r>
      <w:r w:rsidRPr="00981775">
        <w:rPr>
          <w:rStyle w:val="TextoNormalCaracter"/>
        </w:rPr>
        <w:t>-</w:t>
      </w:r>
      <w:r>
        <w:t xml:space="preserve"> Sentencia </w:t>
      </w:r>
      <w:hyperlink w:anchor="SENTENCIA_2015_176" w:history="1">
        <w:r w:rsidRPr="00981775">
          <w:rPr>
            <w:rStyle w:val="TextoNormalCaracter"/>
          </w:rPr>
          <w:t>176/2015</w:t>
        </w:r>
      </w:hyperlink>
      <w:r>
        <w:t>, f. 4.</w:t>
      </w:r>
    </w:p>
    <w:p w:rsidR="00981775" w:rsidRDefault="00981775" w:rsidP="00981775">
      <w:pPr>
        <w:pStyle w:val="SangriaFrancesaArticulo"/>
      </w:pPr>
      <w:r w:rsidRPr="00981775">
        <w:rPr>
          <w:rStyle w:val="TextoNormalNegritaCaracter"/>
        </w:rPr>
        <w:t>Artículo único, apartado 59.</w:t>
      </w:r>
      <w:r w:rsidRPr="00981775">
        <w:rPr>
          <w:rStyle w:val="TextoNormalCaracter"/>
        </w:rPr>
        <w:t>-</w:t>
      </w:r>
      <w:r>
        <w:t xml:space="preserve"> Sentencia </w:t>
      </w:r>
      <w:hyperlink w:anchor="SENTENCIA_2015_176" w:history="1">
        <w:r w:rsidRPr="00981775">
          <w:rPr>
            <w:rStyle w:val="TextoNormalCaracter"/>
          </w:rPr>
          <w:t>176/2015</w:t>
        </w:r>
      </w:hyperlink>
      <w:r>
        <w:t>, f. 5.</w:t>
      </w:r>
    </w:p>
    <w:p w:rsidR="00981775" w:rsidRDefault="00981775" w:rsidP="00981775">
      <w:pPr>
        <w:pStyle w:val="SangriaFrancesaArticulo"/>
      </w:pPr>
      <w:r w:rsidRPr="00981775">
        <w:rPr>
          <w:rStyle w:val="TextoNormalNegritaCaracter"/>
        </w:rPr>
        <w:t>Artículo único, apartado 64.</w:t>
      </w:r>
      <w:r w:rsidRPr="00981775">
        <w:rPr>
          <w:rStyle w:val="TextoNormalCaracter"/>
        </w:rPr>
        <w:t>-</w:t>
      </w:r>
      <w:r>
        <w:t xml:space="preserve"> Sentencia </w:t>
      </w:r>
      <w:hyperlink w:anchor="SENTENCIA_2015_176" w:history="1">
        <w:r w:rsidRPr="00981775">
          <w:rPr>
            <w:rStyle w:val="TextoNormalCaracter"/>
          </w:rPr>
          <w:t>176/2015</w:t>
        </w:r>
      </w:hyperlink>
      <w:r>
        <w:t>, f. 5, VP.</w:t>
      </w:r>
    </w:p>
    <w:p w:rsidR="00981775" w:rsidRDefault="00981775" w:rsidP="00981775">
      <w:pPr>
        <w:pStyle w:val="SangriaFrancesaArticulo"/>
      </w:pPr>
      <w:r w:rsidRPr="00981775">
        <w:rPr>
          <w:rStyle w:val="TextoNormalNegritaCaracter"/>
        </w:rPr>
        <w:t>Artículo 3.2.</w:t>
      </w:r>
      <w:r w:rsidRPr="00981775">
        <w:rPr>
          <w:rStyle w:val="TextoNormalCaracter"/>
        </w:rPr>
        <w:t>-</w:t>
      </w:r>
      <w:r>
        <w:t xml:space="preserve"> Sentencia </w:t>
      </w:r>
      <w:hyperlink w:anchor="SENTENCIA_2015_176" w:history="1">
        <w:r w:rsidRPr="00981775">
          <w:rPr>
            <w:rStyle w:val="TextoNormalCaracter"/>
          </w:rPr>
          <w:t>176/2015</w:t>
        </w:r>
      </w:hyperlink>
      <w:r>
        <w:t>, f. 4.</w:t>
      </w:r>
    </w:p>
    <w:p w:rsidR="00981775" w:rsidRDefault="00981775" w:rsidP="00981775">
      <w:pPr>
        <w:pStyle w:val="SangriaFrancesaArticulo"/>
      </w:pPr>
      <w:r w:rsidRPr="00981775">
        <w:rPr>
          <w:rStyle w:val="TextoNormalNegritaCaracter"/>
        </w:rPr>
        <w:t>Artículo 27 bis, 1.</w:t>
      </w:r>
      <w:r w:rsidRPr="00981775">
        <w:rPr>
          <w:rStyle w:val="TextoNormalCaracter"/>
        </w:rPr>
        <w:t>-</w:t>
      </w:r>
      <w:r>
        <w:t xml:space="preserve"> Sentencia </w:t>
      </w:r>
      <w:hyperlink w:anchor="SENTENCIA_2015_176" w:history="1">
        <w:r w:rsidRPr="00981775">
          <w:rPr>
            <w:rStyle w:val="TextoNormalCaracter"/>
          </w:rPr>
          <w:t>176/2015</w:t>
        </w:r>
      </w:hyperlink>
      <w:r>
        <w:t>, f. 3.</w:t>
      </w:r>
    </w:p>
    <w:p w:rsidR="00981775" w:rsidRDefault="00981775" w:rsidP="00981775">
      <w:pPr>
        <w:pStyle w:val="SangriaFrancesaArticulo"/>
      </w:pPr>
      <w:r w:rsidRPr="00981775">
        <w:rPr>
          <w:rStyle w:val="TextoNormalNegritaCaracter"/>
        </w:rPr>
        <w:t>Artículo 27.1, inciso 3.</w:t>
      </w:r>
      <w:r w:rsidRPr="00981775">
        <w:rPr>
          <w:rStyle w:val="TextoNormalCaracter"/>
        </w:rPr>
        <w:t>-</w:t>
      </w:r>
      <w:r>
        <w:t xml:space="preserve"> Sentencia </w:t>
      </w:r>
      <w:hyperlink w:anchor="SENTENCIA_2015_176" w:history="1">
        <w:r w:rsidRPr="00981775">
          <w:rPr>
            <w:rStyle w:val="TextoNormalCaracter"/>
          </w:rPr>
          <w:t>176/2015</w:t>
        </w:r>
      </w:hyperlink>
      <w:r>
        <w:t>, f. 2.</w:t>
      </w:r>
    </w:p>
    <w:p w:rsidR="00981775" w:rsidRDefault="00981775" w:rsidP="00981775">
      <w:pPr>
        <w:pStyle w:val="SangriaFrancesaArticulo"/>
      </w:pPr>
      <w:r w:rsidRPr="00981775">
        <w:rPr>
          <w:rStyle w:val="TextoNormalNegritaCaracter"/>
        </w:rPr>
        <w:t>Artículo 27.1, inciso 4.</w:t>
      </w:r>
      <w:r w:rsidRPr="00981775">
        <w:rPr>
          <w:rStyle w:val="TextoNormalCaracter"/>
        </w:rPr>
        <w:t>-</w:t>
      </w:r>
      <w:r>
        <w:t xml:space="preserve"> Sentencia </w:t>
      </w:r>
      <w:hyperlink w:anchor="SENTENCIA_2015_176" w:history="1">
        <w:r w:rsidRPr="00981775">
          <w:rPr>
            <w:rStyle w:val="TextoNormalCaracter"/>
          </w:rPr>
          <w:t>176/2015</w:t>
        </w:r>
      </w:hyperlink>
      <w:r>
        <w:t>, f. 2.</w:t>
      </w:r>
    </w:p>
    <w:p w:rsidR="00981775" w:rsidRDefault="00981775" w:rsidP="00981775">
      <w:pPr>
        <w:pStyle w:val="SangriaFrancesaArticulo"/>
      </w:pPr>
      <w:r w:rsidRPr="00981775">
        <w:rPr>
          <w:rStyle w:val="TextoNormalNegritaCaracter"/>
        </w:rPr>
        <w:t>Artículo 31.</w:t>
      </w:r>
      <w:r w:rsidRPr="00981775">
        <w:rPr>
          <w:rStyle w:val="TextoNormalCaracter"/>
        </w:rPr>
        <w:t>-</w:t>
      </w:r>
      <w:r>
        <w:t xml:space="preserve"> Sentencia </w:t>
      </w:r>
      <w:hyperlink w:anchor="SENTENCIA_2015_176" w:history="1">
        <w:r w:rsidRPr="00981775">
          <w:rPr>
            <w:rStyle w:val="TextoNormalCaracter"/>
          </w:rPr>
          <w:t>176/2015</w:t>
        </w:r>
      </w:hyperlink>
      <w:r>
        <w:t>, f. 4.</w:t>
      </w:r>
    </w:p>
    <w:p w:rsidR="00981775" w:rsidRDefault="00981775" w:rsidP="00981775">
      <w:pPr>
        <w:pStyle w:val="SangriaFrancesaArticulo"/>
      </w:pPr>
      <w:r w:rsidRPr="00981775">
        <w:rPr>
          <w:rStyle w:val="TextoNormalNegritaCaracter"/>
        </w:rPr>
        <w:t>Artículo 33.</w:t>
      </w:r>
      <w:r w:rsidRPr="00981775">
        <w:rPr>
          <w:rStyle w:val="TextoNormalCaracter"/>
        </w:rPr>
        <w:t>-</w:t>
      </w:r>
      <w:r>
        <w:t xml:space="preserve"> Sentencia </w:t>
      </w:r>
      <w:hyperlink w:anchor="SENTENCIA_2015_176" w:history="1">
        <w:r w:rsidRPr="00981775">
          <w:rPr>
            <w:rStyle w:val="TextoNormalCaracter"/>
          </w:rPr>
          <w:t>176/2015</w:t>
        </w:r>
      </w:hyperlink>
      <w:r>
        <w:t>, f. 5.</w:t>
      </w:r>
    </w:p>
    <w:p w:rsidR="00981775" w:rsidRDefault="00981775" w:rsidP="00981775">
      <w:pPr>
        <w:pStyle w:val="SangriaFrancesaArticulo"/>
      </w:pPr>
      <w:r w:rsidRPr="00981775">
        <w:rPr>
          <w:rStyle w:val="TextoNormalNegritaCaracter"/>
        </w:rPr>
        <w:t>Artículo 34.</w:t>
      </w:r>
      <w:r w:rsidRPr="00981775">
        <w:rPr>
          <w:rStyle w:val="TextoNormalCaracter"/>
        </w:rPr>
        <w:t>-</w:t>
      </w:r>
      <w:r>
        <w:t xml:space="preserve"> Sentencia </w:t>
      </w:r>
      <w:hyperlink w:anchor="SENTENCIA_2015_176" w:history="1">
        <w:r w:rsidRPr="00981775">
          <w:rPr>
            <w:rStyle w:val="TextoNormalCaracter"/>
          </w:rPr>
          <w:t>176/2015</w:t>
        </w:r>
      </w:hyperlink>
      <w:r>
        <w:t>, f. 4.</w:t>
      </w:r>
    </w:p>
    <w:p w:rsidR="00981775" w:rsidRDefault="00981775" w:rsidP="00981775">
      <w:pPr>
        <w:pStyle w:val="SangriaFrancesaArticulo"/>
      </w:pPr>
      <w:r w:rsidRPr="00981775">
        <w:rPr>
          <w:rStyle w:val="TextoNormalNegritaCaracter"/>
        </w:rPr>
        <w:t>Artículo 34.2.</w:t>
      </w:r>
      <w:r w:rsidRPr="00981775">
        <w:rPr>
          <w:rStyle w:val="TextoNormalCaracter"/>
        </w:rPr>
        <w:t>-</w:t>
      </w:r>
      <w:r>
        <w:t xml:space="preserve"> Sentencia </w:t>
      </w:r>
      <w:hyperlink w:anchor="SENTENCIA_2015_176" w:history="1">
        <w:r w:rsidRPr="00981775">
          <w:rPr>
            <w:rStyle w:val="TextoNormalCaracter"/>
          </w:rPr>
          <w:t>176/2015</w:t>
        </w:r>
      </w:hyperlink>
      <w:r>
        <w:t>, f. 4.</w:t>
      </w:r>
    </w:p>
    <w:p w:rsidR="00981775" w:rsidRDefault="00981775" w:rsidP="00981775">
      <w:pPr>
        <w:pStyle w:val="SangriaFrancesaArticulo"/>
      </w:pPr>
      <w:r w:rsidRPr="00981775">
        <w:rPr>
          <w:rStyle w:val="TextoNormalNegritaCaracter"/>
        </w:rPr>
        <w:t>Artículo 35.</w:t>
      </w:r>
      <w:r w:rsidRPr="00981775">
        <w:rPr>
          <w:rStyle w:val="TextoNormalCaracter"/>
        </w:rPr>
        <w:t>-</w:t>
      </w:r>
      <w:r>
        <w:t xml:space="preserve"> Sentencia </w:t>
      </w:r>
      <w:hyperlink w:anchor="SENTENCIA_2015_176" w:history="1">
        <w:r w:rsidRPr="00981775">
          <w:rPr>
            <w:rStyle w:val="TextoNormalCaracter"/>
          </w:rPr>
          <w:t>176/2015</w:t>
        </w:r>
      </w:hyperlink>
      <w:r>
        <w:t>, f. 4.</w:t>
      </w:r>
    </w:p>
    <w:p w:rsidR="00981775" w:rsidRDefault="00981775" w:rsidP="00981775">
      <w:pPr>
        <w:pStyle w:val="SangriaFrancesaArticulo"/>
      </w:pPr>
      <w:r w:rsidRPr="00981775">
        <w:rPr>
          <w:rStyle w:val="TextoNormalNegritaCaracter"/>
        </w:rPr>
        <w:t>Artículo 37.</w:t>
      </w:r>
      <w:r w:rsidRPr="00981775">
        <w:rPr>
          <w:rStyle w:val="TextoNormalCaracter"/>
        </w:rPr>
        <w:t>-</w:t>
      </w:r>
      <w:r>
        <w:t xml:space="preserve"> Sentencia </w:t>
      </w:r>
      <w:hyperlink w:anchor="SENTENCIA_2015_176" w:history="1">
        <w:r w:rsidRPr="00981775">
          <w:rPr>
            <w:rStyle w:val="TextoNormalCaracter"/>
          </w:rPr>
          <w:t>176/2015</w:t>
        </w:r>
      </w:hyperlink>
      <w:r>
        <w:t>, f. 4.</w:t>
      </w:r>
    </w:p>
    <w:p w:rsidR="00981775" w:rsidRDefault="00981775" w:rsidP="00981775">
      <w:pPr>
        <w:pStyle w:val="SangriaFrancesaArticulo"/>
      </w:pPr>
      <w:r w:rsidRPr="00981775">
        <w:rPr>
          <w:rStyle w:val="TextoNormalNegritaCaracter"/>
        </w:rPr>
        <w:t>Artículo 38.</w:t>
      </w:r>
      <w:r w:rsidRPr="00981775">
        <w:rPr>
          <w:rStyle w:val="TextoNormalCaracter"/>
        </w:rPr>
        <w:t>-</w:t>
      </w:r>
      <w:r>
        <w:t xml:space="preserve"> Sentencia </w:t>
      </w:r>
      <w:hyperlink w:anchor="SENTENCIA_2015_176" w:history="1">
        <w:r w:rsidRPr="00981775">
          <w:rPr>
            <w:rStyle w:val="TextoNormalCaracter"/>
          </w:rPr>
          <w:t>176/2015</w:t>
        </w:r>
      </w:hyperlink>
      <w:r>
        <w:t>, f. 4.</w:t>
      </w:r>
    </w:p>
    <w:p w:rsidR="00981775" w:rsidRDefault="00981775" w:rsidP="00981775">
      <w:pPr>
        <w:pStyle w:val="SangriaFrancesaArticulo"/>
      </w:pPr>
      <w:r w:rsidRPr="00981775">
        <w:rPr>
          <w:rStyle w:val="TextoNormalNegritaCaracter"/>
        </w:rPr>
        <w:t>Artículos 57 a 60.</w:t>
      </w:r>
      <w:r w:rsidRPr="00981775">
        <w:rPr>
          <w:rStyle w:val="TextoNormalCaracter"/>
        </w:rPr>
        <w:t>-</w:t>
      </w:r>
      <w:r>
        <w:t xml:space="preserve"> Sentencia </w:t>
      </w:r>
      <w:hyperlink w:anchor="SENTENCIA_2015_176" w:history="1">
        <w:r w:rsidRPr="00981775">
          <w:rPr>
            <w:rStyle w:val="TextoNormalCaracter"/>
          </w:rPr>
          <w:t>176/2015</w:t>
        </w:r>
      </w:hyperlink>
      <w:r>
        <w:t>, f. 6.</w:t>
      </w:r>
    </w:p>
    <w:p w:rsidR="00981775" w:rsidRDefault="00981775" w:rsidP="00981775">
      <w:pPr>
        <w:pStyle w:val="SangriaFrancesaArticulo"/>
      </w:pPr>
      <w:r w:rsidRPr="00981775">
        <w:rPr>
          <w:rStyle w:val="TextoNormalNegritaCaracter"/>
        </w:rPr>
        <w:t>Artículo 62.4.</w:t>
      </w:r>
      <w:r w:rsidRPr="00981775">
        <w:rPr>
          <w:rStyle w:val="TextoNormalCaracter"/>
        </w:rPr>
        <w:t>-</w:t>
      </w:r>
      <w:r>
        <w:t xml:space="preserve"> Sentencia </w:t>
      </w:r>
      <w:hyperlink w:anchor="SENTENCIA_2015_176" w:history="1">
        <w:r w:rsidRPr="00981775">
          <w:rPr>
            <w:rStyle w:val="TextoNormalCaracter"/>
          </w:rPr>
          <w:t>176/2015</w:t>
        </w:r>
      </w:hyperlink>
      <w:r>
        <w:t>, f. 8.</w:t>
      </w:r>
    </w:p>
    <w:p w:rsidR="00981775" w:rsidRDefault="00981775" w:rsidP="00981775">
      <w:pPr>
        <w:pStyle w:val="SangriaFrancesaArticulo"/>
      </w:pPr>
    </w:p>
    <w:p w:rsidR="00981775" w:rsidRDefault="00981775" w:rsidP="00981775">
      <w:pPr>
        <w:pStyle w:val="TextoNormalNegritaCursivandice"/>
      </w:pPr>
      <w:r>
        <w:t>Ley Orgánica 2/2009, de 11 de diciembre. Reforma de la Ley Orgánica 4/2000, de 11 de enero, sobre derechos y libertades de los extranjeros en España y su integración social</w:t>
      </w:r>
    </w:p>
    <w:p w:rsidR="00981775" w:rsidRDefault="00981775" w:rsidP="00981775">
      <w:pPr>
        <w:pStyle w:val="SangriaFrancesaArticulo"/>
      </w:pPr>
      <w:r w:rsidRPr="00981775">
        <w:rPr>
          <w:rStyle w:val="TextoNormalNegritaCaracter"/>
        </w:rPr>
        <w:t>Artículo único, apartado 11.</w:t>
      </w:r>
      <w:r w:rsidRPr="00981775">
        <w:rPr>
          <w:rStyle w:val="TextoNormalCaracter"/>
        </w:rPr>
        <w:t>-</w:t>
      </w:r>
      <w:r>
        <w:t xml:space="preserve"> Sentencia </w:t>
      </w:r>
      <w:hyperlink w:anchor="SENTENCIA_2015_155" w:history="1">
        <w:r w:rsidRPr="00981775">
          <w:rPr>
            <w:rStyle w:val="TextoNormalCaracter"/>
          </w:rPr>
          <w:t>155/2015</w:t>
        </w:r>
      </w:hyperlink>
      <w:r>
        <w:t>, f. 1.</w:t>
      </w:r>
    </w:p>
    <w:p w:rsidR="00981775" w:rsidRDefault="00981775" w:rsidP="00981775">
      <w:pPr>
        <w:pStyle w:val="SangriaFrancesaArticulo"/>
      </w:pPr>
      <w:r w:rsidRPr="00981775">
        <w:rPr>
          <w:rStyle w:val="TextoNormalNegritaCaracter"/>
        </w:rPr>
        <w:t>Artículo 9.</w:t>
      </w:r>
      <w:r w:rsidRPr="00981775">
        <w:rPr>
          <w:rStyle w:val="TextoNormalCaracter"/>
        </w:rPr>
        <w:t>-</w:t>
      </w:r>
      <w:r>
        <w:t xml:space="preserve"> Sentencia </w:t>
      </w:r>
      <w:hyperlink w:anchor="SENTENCIA_2015_155" w:history="1">
        <w:r w:rsidRPr="00981775">
          <w:rPr>
            <w:rStyle w:val="TextoNormalCaracter"/>
          </w:rPr>
          <w:t>155/2015</w:t>
        </w:r>
      </w:hyperlink>
      <w:r>
        <w:t>, f. 3.</w:t>
      </w:r>
    </w:p>
    <w:p w:rsidR="00981775" w:rsidRDefault="00981775" w:rsidP="00981775">
      <w:pPr>
        <w:pStyle w:val="SangriaFrancesaArticulo"/>
      </w:pPr>
      <w:r w:rsidRPr="00981775">
        <w:rPr>
          <w:rStyle w:val="TextoNormalNegritaCaracter"/>
        </w:rPr>
        <w:t>Artículo 9.1.</w:t>
      </w:r>
      <w:r w:rsidRPr="00981775">
        <w:rPr>
          <w:rStyle w:val="TextoNormalCaracter"/>
        </w:rPr>
        <w:t>-</w:t>
      </w:r>
      <w:r>
        <w:t xml:space="preserve"> Sentencia </w:t>
      </w:r>
      <w:hyperlink w:anchor="SENTENCIA_2015_155" w:history="1">
        <w:r w:rsidRPr="00981775">
          <w:rPr>
            <w:rStyle w:val="TextoNormalCaracter"/>
          </w:rPr>
          <w:t>155/2015</w:t>
        </w:r>
      </w:hyperlink>
      <w:r>
        <w:t>, f. 3.</w:t>
      </w:r>
    </w:p>
    <w:p w:rsidR="00981775" w:rsidRDefault="00981775" w:rsidP="00981775">
      <w:pPr>
        <w:pStyle w:val="SangriaFrancesaArticulo"/>
      </w:pPr>
      <w:r w:rsidRPr="00981775">
        <w:rPr>
          <w:rStyle w:val="TextoNormalNegritaCaracter"/>
        </w:rPr>
        <w:t>Artículo 9.3.</w:t>
      </w:r>
      <w:r w:rsidRPr="00981775">
        <w:rPr>
          <w:rStyle w:val="TextoNormalCaracter"/>
        </w:rPr>
        <w:t>-</w:t>
      </w:r>
      <w:r>
        <w:t xml:space="preserve"> Sentencia </w:t>
      </w:r>
      <w:hyperlink w:anchor="SENTENCIA_2015_155" w:history="1">
        <w:r w:rsidRPr="00981775">
          <w:rPr>
            <w:rStyle w:val="TextoNormalCaracter"/>
          </w:rPr>
          <w:t>155/2015</w:t>
        </w:r>
      </w:hyperlink>
      <w:r>
        <w:t>, f. 3.</w:t>
      </w:r>
    </w:p>
    <w:p w:rsidR="00981775" w:rsidRDefault="00981775" w:rsidP="00981775">
      <w:pPr>
        <w:pStyle w:val="SangriaFrancesaArticulo"/>
      </w:pPr>
    </w:p>
    <w:p w:rsidR="00981775" w:rsidRDefault="00981775" w:rsidP="00981775">
      <w:pPr>
        <w:pStyle w:val="TextoNormalNegritaCursivandice"/>
      </w:pPr>
      <w:r>
        <w:t>Ley Orgánica 1/2010, de 19 de febrero. Modifica las leyes orgánicas del Tribunal Constitucional y del Poder Judicial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Sentencias </w:t>
      </w:r>
      <w:hyperlink w:anchor="SENTENCIA_2015_222" w:history="1">
        <w:r w:rsidRPr="00981775">
          <w:rPr>
            <w:rStyle w:val="TextoNormalCaracter"/>
          </w:rPr>
          <w:t>222/2015</w:t>
        </w:r>
      </w:hyperlink>
      <w:r>
        <w:t xml:space="preserve">, ff. 1 a 3; </w:t>
      </w:r>
      <w:hyperlink w:anchor="SENTENCIA_2015_239" w:history="1">
        <w:r w:rsidRPr="00981775">
          <w:rPr>
            <w:rStyle w:val="TextoNormalCaracter"/>
          </w:rPr>
          <w:t>239/2015</w:t>
        </w:r>
      </w:hyperlink>
      <w:r>
        <w:t xml:space="preserve">, ff. 1, 2; </w:t>
      </w:r>
      <w:hyperlink w:anchor="SENTENCIA_2015_240" w:history="1">
        <w:r w:rsidRPr="00981775">
          <w:rPr>
            <w:rStyle w:val="TextoNormalCaracter"/>
          </w:rPr>
          <w:t>240/2015</w:t>
        </w:r>
      </w:hyperlink>
      <w:r>
        <w:t xml:space="preserve">, ff. 1 a 3; </w:t>
      </w:r>
      <w:hyperlink w:anchor="SENTENCIA_2015_262" w:history="1">
        <w:r w:rsidRPr="00981775">
          <w:rPr>
            <w:rStyle w:val="TextoNormalCaracter"/>
          </w:rPr>
          <w:t>262/2015</w:t>
        </w:r>
      </w:hyperlink>
      <w:r>
        <w:t xml:space="preserve">, ff. 1, 2; </w:t>
      </w:r>
      <w:hyperlink w:anchor="SENTENCIA_2015_263" w:history="1">
        <w:r w:rsidRPr="00981775">
          <w:rPr>
            <w:rStyle w:val="TextoNormalCaracter"/>
          </w:rPr>
          <w:t>263/2015</w:t>
        </w:r>
      </w:hyperlink>
      <w:r>
        <w:t>, ff. 1, 2.</w:t>
      </w:r>
    </w:p>
    <w:p w:rsidR="00981775" w:rsidRDefault="00981775" w:rsidP="00981775">
      <w:pPr>
        <w:pStyle w:val="SangriaFrancesaArticulo"/>
      </w:pPr>
    </w:p>
    <w:p w:rsidR="00981775" w:rsidRDefault="00981775" w:rsidP="00981775">
      <w:pPr>
        <w:pStyle w:val="TextoNormalNegritaCursivandice"/>
      </w:pPr>
      <w:r>
        <w:t>Ley Orgánica 5/2010, de 22 de junio. Modifica la Ley Orgánica 10/1995, de 23 de noviembre, del Código penal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61" w:history="1">
        <w:r w:rsidRPr="00981775">
          <w:rPr>
            <w:rStyle w:val="TextoNormalCaracter"/>
          </w:rPr>
          <w:t>261/2015</w:t>
        </w:r>
      </w:hyperlink>
      <w:r>
        <w:t>, ff. 1, 2.</w:t>
      </w:r>
    </w:p>
    <w:p w:rsidR="00981775" w:rsidRDefault="00981775" w:rsidP="00981775">
      <w:pPr>
        <w:pStyle w:val="SangriaIzquierdaArticulo"/>
      </w:pPr>
      <w:r>
        <w:t xml:space="preserve">Auto </w:t>
      </w:r>
      <w:hyperlink w:anchor="AUTO_2015_180" w:history="1">
        <w:r w:rsidRPr="00981775">
          <w:rPr>
            <w:rStyle w:val="TextoNormalCaracter"/>
          </w:rPr>
          <w:t>180/2015</w:t>
        </w:r>
      </w:hyperlink>
      <w:r>
        <w:t>, f. 1.</w:t>
      </w:r>
    </w:p>
    <w:p w:rsidR="00981775" w:rsidRDefault="00981775" w:rsidP="00981775">
      <w:pPr>
        <w:pStyle w:val="SangriaFrancesaArticulo"/>
      </w:pPr>
      <w:r w:rsidRPr="00981775">
        <w:rPr>
          <w:rStyle w:val="TextoNormalNegritaCaracter"/>
        </w:rPr>
        <w:t>Artículo único, apartado decimoséptimo.</w:t>
      </w:r>
      <w:r w:rsidRPr="00981775">
        <w:rPr>
          <w:rStyle w:val="TextoNormalCaracter"/>
        </w:rPr>
        <w:t>-</w:t>
      </w:r>
      <w:r>
        <w:t xml:space="preserve"> Sentencia </w:t>
      </w:r>
      <w:hyperlink w:anchor="SENTENCIA_2015_261" w:history="1">
        <w:r w:rsidRPr="00981775">
          <w:rPr>
            <w:rStyle w:val="TextoNormalCaracter"/>
          </w:rPr>
          <w:t>261/2015</w:t>
        </w:r>
      </w:hyperlink>
      <w:r>
        <w:t>, f. 2.</w:t>
      </w:r>
    </w:p>
    <w:p w:rsidR="00981775" w:rsidRDefault="00981775" w:rsidP="00981775">
      <w:pPr>
        <w:pStyle w:val="SangriaFrancesaArticulo"/>
      </w:pPr>
      <w:r w:rsidRPr="00981775">
        <w:rPr>
          <w:rStyle w:val="TextoNormalNegritaCaracter"/>
        </w:rPr>
        <w:t>Disposición transitoria primera.</w:t>
      </w:r>
      <w:r w:rsidRPr="00981775">
        <w:rPr>
          <w:rStyle w:val="TextoNormalCaracter"/>
        </w:rPr>
        <w:t>-</w:t>
      </w:r>
      <w:r>
        <w:t xml:space="preserve"> Sentencia </w:t>
      </w:r>
      <w:hyperlink w:anchor="SENTENCIA_2015_261" w:history="1">
        <w:r w:rsidRPr="00981775">
          <w:rPr>
            <w:rStyle w:val="TextoNormalCaracter"/>
          </w:rPr>
          <w:t>261/2015</w:t>
        </w:r>
      </w:hyperlink>
      <w:r>
        <w:t>, f. 2.</w:t>
      </w:r>
    </w:p>
    <w:p w:rsidR="00981775" w:rsidRDefault="00981775" w:rsidP="00981775">
      <w:pPr>
        <w:pStyle w:val="SangriaFrancesaArticulo"/>
      </w:pPr>
      <w:r w:rsidRPr="00981775">
        <w:rPr>
          <w:rStyle w:val="TextoNormalNegritaCaracter"/>
        </w:rPr>
        <w:t>Disposición final séptima.</w:t>
      </w:r>
      <w:r w:rsidRPr="00981775">
        <w:rPr>
          <w:rStyle w:val="TextoNormalCaracter"/>
        </w:rPr>
        <w:t>-</w:t>
      </w:r>
      <w:r>
        <w:t xml:space="preserve"> Sentencia </w:t>
      </w:r>
      <w:hyperlink w:anchor="SENTENCIA_2015_261" w:history="1">
        <w:r w:rsidRPr="00981775">
          <w:rPr>
            <w:rStyle w:val="TextoNormalCaracter"/>
          </w:rPr>
          <w:t>261/2015</w:t>
        </w:r>
      </w:hyperlink>
      <w:r>
        <w:t>, f. 2.</w:t>
      </w:r>
    </w:p>
    <w:p w:rsidR="00981775" w:rsidRDefault="00981775" w:rsidP="00981775">
      <w:pPr>
        <w:pStyle w:val="SangriaFrancesaArticulo"/>
      </w:pPr>
    </w:p>
    <w:p w:rsidR="00981775" w:rsidRDefault="00981775" w:rsidP="00981775">
      <w:pPr>
        <w:pStyle w:val="TextoNormalNegritaCursivandice"/>
      </w:pPr>
      <w:r>
        <w:t>Ley Orgánica 2/2011, de 28 de enero. Modificación de la Ley Orgánica 5/1985, de 19 de junio, del régimen electoral general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58" w:history="1">
        <w:r w:rsidRPr="00981775">
          <w:rPr>
            <w:rStyle w:val="TextoNormalCaracter"/>
          </w:rPr>
          <w:t>158/2015</w:t>
        </w:r>
      </w:hyperlink>
      <w:r>
        <w:t>, f. 3.</w:t>
      </w:r>
    </w:p>
    <w:p w:rsidR="00981775" w:rsidRDefault="00981775" w:rsidP="00981775">
      <w:pPr>
        <w:pStyle w:val="SangriaFrancesaArticulo"/>
      </w:pPr>
    </w:p>
    <w:p w:rsidR="00981775" w:rsidRDefault="00981775" w:rsidP="00981775">
      <w:pPr>
        <w:pStyle w:val="TextoNormalNegritaCursivandice"/>
      </w:pPr>
      <w:r>
        <w:t>Ley Orgánica 2/2012, de 27 de abril. Estabilidad presupuestaria y sostenibilidad financiera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Sentencias </w:t>
      </w:r>
      <w:hyperlink w:anchor="SENTENCIA_2015_161" w:history="1">
        <w:r w:rsidRPr="00981775">
          <w:rPr>
            <w:rStyle w:val="TextoNormalCaracter"/>
          </w:rPr>
          <w:t>161/2015</w:t>
        </w:r>
      </w:hyperlink>
      <w:r>
        <w:t xml:space="preserve">, f. 3; </w:t>
      </w:r>
      <w:hyperlink w:anchor="SENTENCIA_2015_243" w:history="1">
        <w:r w:rsidRPr="00981775">
          <w:rPr>
            <w:rStyle w:val="TextoNormalCaracter"/>
          </w:rPr>
          <w:t>243/2015</w:t>
        </w:r>
      </w:hyperlink>
      <w:r>
        <w:t>, f. 3.</w:t>
      </w:r>
    </w:p>
    <w:p w:rsidR="00981775" w:rsidRDefault="00981775" w:rsidP="00981775">
      <w:pPr>
        <w:pStyle w:val="SangriaFrancesaArticulo"/>
      </w:pPr>
      <w:r w:rsidRPr="00981775">
        <w:rPr>
          <w:rStyle w:val="TextoNormalNegritaCaracter"/>
        </w:rPr>
        <w:t>Artículo 22.1.</w:t>
      </w:r>
      <w:r w:rsidRPr="00981775">
        <w:rPr>
          <w:rStyle w:val="TextoNormalCaracter"/>
        </w:rPr>
        <w:t>-</w:t>
      </w:r>
      <w:r>
        <w:t xml:space="preserve"> Sentencias </w:t>
      </w:r>
      <w:hyperlink w:anchor="SENTENCIA_2015_161" w:history="1">
        <w:r w:rsidRPr="00981775">
          <w:rPr>
            <w:rStyle w:val="TextoNormalCaracter"/>
          </w:rPr>
          <w:t>161/2015</w:t>
        </w:r>
      </w:hyperlink>
      <w:r>
        <w:t xml:space="preserve">, f. 2; </w:t>
      </w:r>
      <w:hyperlink w:anchor="SENTENCIA_2015_168" w:history="1">
        <w:r w:rsidRPr="00981775">
          <w:rPr>
            <w:rStyle w:val="TextoNormalCaracter"/>
          </w:rPr>
          <w:t>168/2015</w:t>
        </w:r>
      </w:hyperlink>
      <w:r>
        <w:t xml:space="preserve">, ff. 1, 2; </w:t>
      </w:r>
      <w:hyperlink w:anchor="SENTENCIA_2015_170" w:history="1">
        <w:r w:rsidRPr="00981775">
          <w:rPr>
            <w:rStyle w:val="TextoNormalCaracter"/>
          </w:rPr>
          <w:t>170/2015</w:t>
        </w:r>
      </w:hyperlink>
      <w:r>
        <w:t xml:space="preserve">, f. 2; </w:t>
      </w:r>
      <w:hyperlink w:anchor="SENTENCIA_2015_171" w:history="1">
        <w:r w:rsidRPr="00981775">
          <w:rPr>
            <w:rStyle w:val="TextoNormalCaracter"/>
          </w:rPr>
          <w:t>171/2015</w:t>
        </w:r>
      </w:hyperlink>
      <w:r>
        <w:t xml:space="preserve">, ff. 1, 2; </w:t>
      </w:r>
      <w:hyperlink w:anchor="SENTENCIA_2015_172" w:history="1">
        <w:r w:rsidRPr="00981775">
          <w:rPr>
            <w:rStyle w:val="TextoNormalCaracter"/>
          </w:rPr>
          <w:t>172/2015</w:t>
        </w:r>
      </w:hyperlink>
      <w:r>
        <w:t xml:space="preserve">, f. 2; </w:t>
      </w:r>
      <w:hyperlink w:anchor="SENTENCIA_2015_173" w:history="1">
        <w:r w:rsidRPr="00981775">
          <w:rPr>
            <w:rStyle w:val="TextoNormalCaracter"/>
          </w:rPr>
          <w:t>173/2015</w:t>
        </w:r>
      </w:hyperlink>
      <w:r>
        <w:t xml:space="preserve">, ff. 1, 2; </w:t>
      </w:r>
      <w:hyperlink w:anchor="SENTENCIA_2015_175" w:history="1">
        <w:r w:rsidRPr="00981775">
          <w:rPr>
            <w:rStyle w:val="TextoNormalCaracter"/>
          </w:rPr>
          <w:t>175/2015</w:t>
        </w:r>
      </w:hyperlink>
      <w:r>
        <w:t xml:space="preserve">, f. 1; </w:t>
      </w:r>
      <w:hyperlink w:anchor="SENTENCIA_2015_189" w:history="1">
        <w:r w:rsidRPr="00981775">
          <w:rPr>
            <w:rStyle w:val="TextoNormalCaracter"/>
          </w:rPr>
          <w:t>189/2015</w:t>
        </w:r>
      </w:hyperlink>
      <w:r>
        <w:t xml:space="preserve">, ff. 1, 2; </w:t>
      </w:r>
      <w:hyperlink w:anchor="SENTENCIA_2015_190" w:history="1">
        <w:r w:rsidRPr="00981775">
          <w:rPr>
            <w:rStyle w:val="TextoNormalCaracter"/>
          </w:rPr>
          <w:t>190/2015</w:t>
        </w:r>
      </w:hyperlink>
      <w:r>
        <w:t xml:space="preserve">, f. 2; </w:t>
      </w:r>
      <w:hyperlink w:anchor="SENTENCIA_2015_193" w:history="1">
        <w:r w:rsidRPr="00981775">
          <w:rPr>
            <w:rStyle w:val="TextoNormalCaracter"/>
          </w:rPr>
          <w:t>193/2015</w:t>
        </w:r>
      </w:hyperlink>
      <w:r>
        <w:t xml:space="preserve">, f. 1; </w:t>
      </w:r>
      <w:hyperlink w:anchor="SENTENCIA_2015_224" w:history="1">
        <w:r w:rsidRPr="00981775">
          <w:rPr>
            <w:rStyle w:val="TextoNormalCaracter"/>
          </w:rPr>
          <w:t>224/2015</w:t>
        </w:r>
      </w:hyperlink>
      <w:r>
        <w:t>, ff. 1, 2.</w:t>
      </w:r>
    </w:p>
    <w:p w:rsidR="00981775" w:rsidRDefault="00981775" w:rsidP="00981775">
      <w:pPr>
        <w:pStyle w:val="SangriaFrancesaArticulo"/>
      </w:pPr>
      <w:r w:rsidRPr="00981775">
        <w:rPr>
          <w:rStyle w:val="TextoNormalNegritaCaracter"/>
        </w:rPr>
        <w:t>Artículo 27.</w:t>
      </w:r>
      <w:r w:rsidRPr="00981775">
        <w:rPr>
          <w:rStyle w:val="TextoNormalCaracter"/>
        </w:rPr>
        <w:t>-</w:t>
      </w:r>
      <w:r>
        <w:t xml:space="preserve"> Sentencias </w:t>
      </w:r>
      <w:hyperlink w:anchor="SENTENCIA_2015_189" w:history="1">
        <w:r w:rsidRPr="00981775">
          <w:rPr>
            <w:rStyle w:val="TextoNormalCaracter"/>
          </w:rPr>
          <w:t>189/2015</w:t>
        </w:r>
      </w:hyperlink>
      <w:r>
        <w:t xml:space="preserve">, f. 2; </w:t>
      </w:r>
      <w:hyperlink w:anchor="SENTENCIA_2015_224" w:history="1">
        <w:r w:rsidRPr="00981775">
          <w:rPr>
            <w:rStyle w:val="TextoNormalCaracter"/>
          </w:rPr>
          <w:t>224/2015</w:t>
        </w:r>
      </w:hyperlink>
      <w:r>
        <w:t>, f. 2.</w:t>
      </w:r>
    </w:p>
    <w:p w:rsidR="00981775" w:rsidRDefault="00981775" w:rsidP="00981775">
      <w:pPr>
        <w:pStyle w:val="SangriaFrancesaArticulo"/>
      </w:pPr>
    </w:p>
    <w:p w:rsidR="00981775" w:rsidRDefault="00981775" w:rsidP="00981775">
      <w:pPr>
        <w:pStyle w:val="TextoNormalNegritaCursivandice"/>
      </w:pPr>
      <w:r>
        <w:t>Ley Orgánica 8/2012, de 27 de diciembre. Medidas de eficiencia presupuestaria en la Administración de Justicia, por la que se modifica la Ley Orgánica 6/1985, de 1 de julio, del Poder Judicial</w:t>
      </w:r>
    </w:p>
    <w:p w:rsidR="00981775" w:rsidRDefault="00981775" w:rsidP="00981775">
      <w:pPr>
        <w:pStyle w:val="SangriaFrancesaArticulo"/>
      </w:pPr>
      <w:r w:rsidRPr="00981775">
        <w:rPr>
          <w:rStyle w:val="TextoNormalNegritaCaracter"/>
        </w:rPr>
        <w:t>Disposición transitoria cuadragésima primera.</w:t>
      </w:r>
      <w:r w:rsidRPr="00981775">
        <w:rPr>
          <w:rStyle w:val="TextoNormalCaracter"/>
        </w:rPr>
        <w:t>-</w:t>
      </w:r>
      <w:r>
        <w:t xml:space="preserve"> Auto </w:t>
      </w:r>
      <w:hyperlink w:anchor="AUTO_2015_172" w:history="1">
        <w:r w:rsidRPr="00981775">
          <w:rPr>
            <w:rStyle w:val="TextoNormalCaracter"/>
          </w:rPr>
          <w:t>172/2015</w:t>
        </w:r>
      </w:hyperlink>
      <w:r>
        <w:t>, f. 1.</w:t>
      </w:r>
    </w:p>
    <w:p w:rsidR="00981775" w:rsidRDefault="00981775" w:rsidP="00981775">
      <w:pPr>
        <w:pStyle w:val="SangriaFrancesaArticulo"/>
      </w:pPr>
    </w:p>
    <w:p w:rsidR="00981775" w:rsidRDefault="00981775" w:rsidP="00981775">
      <w:pPr>
        <w:pStyle w:val="TextoNormalNegritaCursivandice"/>
      </w:pPr>
      <w:r>
        <w:t>Ley Orgánica 8/2013, de 9 de diciembre. Mejora de la calidad educativa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Sentencias </w:t>
      </w:r>
      <w:hyperlink w:anchor="SENTENCIA_2015_234" w:history="1">
        <w:r w:rsidRPr="00981775">
          <w:rPr>
            <w:rStyle w:val="TextoNormalCaracter"/>
          </w:rPr>
          <w:t>234/2015</w:t>
        </w:r>
      </w:hyperlink>
      <w:r>
        <w:t xml:space="preserve">, f. 2; </w:t>
      </w:r>
      <w:hyperlink w:anchor="SENTENCIA_2015_246" w:history="1">
        <w:r w:rsidRPr="00981775">
          <w:rPr>
            <w:rStyle w:val="TextoNormalCaracter"/>
          </w:rPr>
          <w:t>246/2015</w:t>
        </w:r>
      </w:hyperlink>
      <w:r>
        <w:t xml:space="preserve">, f. 2; </w:t>
      </w:r>
      <w:hyperlink w:anchor="SENTENCIA_2015_247" w:history="1">
        <w:r w:rsidRPr="00981775">
          <w:rPr>
            <w:rStyle w:val="TextoNormalCaracter"/>
          </w:rPr>
          <w:t>247/2015</w:t>
        </w:r>
      </w:hyperlink>
      <w:r>
        <w:t xml:space="preserve">, f. 2; </w:t>
      </w:r>
      <w:hyperlink w:anchor="SENTENCIA_2015_249" w:history="1">
        <w:r w:rsidRPr="00981775">
          <w:rPr>
            <w:rStyle w:val="TextoNormalCaracter"/>
          </w:rPr>
          <w:t>249/2015</w:t>
        </w:r>
      </w:hyperlink>
      <w:r>
        <w:t xml:space="preserve">, f. 2; </w:t>
      </w:r>
      <w:hyperlink w:anchor="SENTENCIA_2015_250" w:history="1">
        <w:r w:rsidRPr="00981775">
          <w:rPr>
            <w:rStyle w:val="TextoNormalCaracter"/>
          </w:rPr>
          <w:t>250/2015</w:t>
        </w:r>
      </w:hyperlink>
      <w:r>
        <w:t xml:space="preserve">, f. 2; </w:t>
      </w:r>
      <w:hyperlink w:anchor="SENTENCIA_2015_253" w:history="1">
        <w:r w:rsidRPr="00981775">
          <w:rPr>
            <w:rStyle w:val="TextoNormalCaracter"/>
          </w:rPr>
          <w:t>253/2015</w:t>
        </w:r>
      </w:hyperlink>
      <w:r>
        <w:t xml:space="preserve">, f. 2; </w:t>
      </w:r>
      <w:hyperlink w:anchor="SENTENCIA_2015_255" w:history="1">
        <w:r w:rsidRPr="00981775">
          <w:rPr>
            <w:rStyle w:val="TextoNormalCaracter"/>
          </w:rPr>
          <w:t>255/2015</w:t>
        </w:r>
      </w:hyperlink>
      <w:r>
        <w:t xml:space="preserve">, f. 2; </w:t>
      </w:r>
      <w:hyperlink w:anchor="SENTENCIA_2015_256" w:history="1">
        <w:r w:rsidRPr="00981775">
          <w:rPr>
            <w:rStyle w:val="TextoNormalCaracter"/>
          </w:rPr>
          <w:t>256/2015</w:t>
        </w:r>
      </w:hyperlink>
      <w:r>
        <w:t>, f. 2.</w:t>
      </w:r>
    </w:p>
    <w:p w:rsidR="00981775" w:rsidRDefault="00981775" w:rsidP="00981775">
      <w:pPr>
        <w:pStyle w:val="SangriaFrancesaArticulo"/>
      </w:pPr>
      <w:r w:rsidRPr="00981775">
        <w:rPr>
          <w:rStyle w:val="TextoNormalNegritaCaracter"/>
        </w:rPr>
        <w:t>Artículo único, apartado 61.</w:t>
      </w:r>
      <w:r w:rsidRPr="00981775">
        <w:rPr>
          <w:rStyle w:val="TextoNormalCaracter"/>
        </w:rPr>
        <w:t>-</w:t>
      </w:r>
      <w:r>
        <w:t xml:space="preserve"> Sentencias </w:t>
      </w:r>
      <w:hyperlink w:anchor="SENTENCIA_2015_234" w:history="1">
        <w:r w:rsidRPr="00981775">
          <w:rPr>
            <w:rStyle w:val="TextoNormalCaracter"/>
          </w:rPr>
          <w:t>234/2015</w:t>
        </w:r>
      </w:hyperlink>
      <w:r>
        <w:t xml:space="preserve">, f. 2; </w:t>
      </w:r>
      <w:hyperlink w:anchor="SENTENCIA_2015_246" w:history="1">
        <w:r w:rsidRPr="00981775">
          <w:rPr>
            <w:rStyle w:val="TextoNormalCaracter"/>
          </w:rPr>
          <w:t>246/2015</w:t>
        </w:r>
      </w:hyperlink>
      <w:r>
        <w:t xml:space="preserve">, f. 2; </w:t>
      </w:r>
      <w:hyperlink w:anchor="SENTENCIA_2015_247" w:history="1">
        <w:r w:rsidRPr="00981775">
          <w:rPr>
            <w:rStyle w:val="TextoNormalCaracter"/>
          </w:rPr>
          <w:t>247/2015</w:t>
        </w:r>
      </w:hyperlink>
      <w:r>
        <w:t xml:space="preserve">, f. 2; </w:t>
      </w:r>
      <w:hyperlink w:anchor="SENTENCIA_2015_248" w:history="1">
        <w:r w:rsidRPr="00981775">
          <w:rPr>
            <w:rStyle w:val="TextoNormalCaracter"/>
          </w:rPr>
          <w:t>248/2015</w:t>
        </w:r>
      </w:hyperlink>
      <w:r>
        <w:t xml:space="preserve">, f. 2; </w:t>
      </w:r>
      <w:hyperlink w:anchor="SENTENCIA_2015_249" w:history="1">
        <w:r w:rsidRPr="00981775">
          <w:rPr>
            <w:rStyle w:val="TextoNormalCaracter"/>
          </w:rPr>
          <w:t>249/2015</w:t>
        </w:r>
      </w:hyperlink>
      <w:r>
        <w:t xml:space="preserve">, f. 2; </w:t>
      </w:r>
      <w:hyperlink w:anchor="SENTENCIA_2015_250" w:history="1">
        <w:r w:rsidRPr="00981775">
          <w:rPr>
            <w:rStyle w:val="TextoNormalCaracter"/>
          </w:rPr>
          <w:t>250/2015</w:t>
        </w:r>
      </w:hyperlink>
      <w:r>
        <w:t xml:space="preserve">, f. 2; </w:t>
      </w:r>
      <w:hyperlink w:anchor="SENTENCIA_2015_251" w:history="1">
        <w:r w:rsidRPr="00981775">
          <w:rPr>
            <w:rStyle w:val="TextoNormalCaracter"/>
          </w:rPr>
          <w:t>251/2015</w:t>
        </w:r>
      </w:hyperlink>
      <w:r>
        <w:t xml:space="preserve">, f. 2; </w:t>
      </w:r>
      <w:hyperlink w:anchor="SENTENCIA_2015_252" w:history="1">
        <w:r w:rsidRPr="00981775">
          <w:rPr>
            <w:rStyle w:val="TextoNormalCaracter"/>
          </w:rPr>
          <w:t>252/2015</w:t>
        </w:r>
      </w:hyperlink>
      <w:r>
        <w:t xml:space="preserve">, f. 2; </w:t>
      </w:r>
      <w:hyperlink w:anchor="SENTENCIA_2015_253" w:history="1">
        <w:r w:rsidRPr="00981775">
          <w:rPr>
            <w:rStyle w:val="TextoNormalCaracter"/>
          </w:rPr>
          <w:t>253/2015</w:t>
        </w:r>
      </w:hyperlink>
      <w:r>
        <w:t xml:space="preserve">, f. 2; </w:t>
      </w:r>
      <w:hyperlink w:anchor="SENTENCIA_2015_255" w:history="1">
        <w:r w:rsidRPr="00981775">
          <w:rPr>
            <w:rStyle w:val="TextoNormalCaracter"/>
          </w:rPr>
          <w:t>255/2015</w:t>
        </w:r>
      </w:hyperlink>
      <w:r>
        <w:t xml:space="preserve">, f. 2; </w:t>
      </w:r>
      <w:hyperlink w:anchor="SENTENCIA_2015_256" w:history="1">
        <w:r w:rsidRPr="00981775">
          <w:rPr>
            <w:rStyle w:val="TextoNormalCaracter"/>
          </w:rPr>
          <w:t>256/2015</w:t>
        </w:r>
      </w:hyperlink>
      <w:r>
        <w:t xml:space="preserve">, f. 2; </w:t>
      </w:r>
      <w:hyperlink w:anchor="SENTENCIA_2015_257" w:history="1">
        <w:r w:rsidRPr="00981775">
          <w:rPr>
            <w:rStyle w:val="TextoNormalCaracter"/>
          </w:rPr>
          <w:t>257/2015</w:t>
        </w:r>
      </w:hyperlink>
      <w:r>
        <w:t xml:space="preserve">, f. 2; </w:t>
      </w:r>
      <w:hyperlink w:anchor="SENTENCIA_2015_258" w:history="1">
        <w:r w:rsidRPr="00981775">
          <w:rPr>
            <w:rStyle w:val="TextoNormalCaracter"/>
          </w:rPr>
          <w:t>258/2015</w:t>
        </w:r>
      </w:hyperlink>
      <w:r>
        <w:t>, f. 2.</w:t>
      </w:r>
    </w:p>
    <w:p w:rsidR="00981775" w:rsidRDefault="00981775" w:rsidP="00981775">
      <w:pPr>
        <w:pStyle w:val="SangriaFrancesaArticulo"/>
      </w:pPr>
      <w:r w:rsidRPr="00981775">
        <w:rPr>
          <w:rStyle w:val="TextoNormalNegritaCaracter"/>
        </w:rPr>
        <w:t>Artículo único, apartado 60.</w:t>
      </w:r>
      <w:r w:rsidRPr="00981775">
        <w:rPr>
          <w:rStyle w:val="TextoNormalCaracter"/>
        </w:rPr>
        <w:t>-</w:t>
      </w:r>
      <w:r>
        <w:t xml:space="preserve"> Sentencia </w:t>
      </w:r>
      <w:hyperlink w:anchor="SENTENCIA_2015_271" w:history="1">
        <w:r w:rsidRPr="00981775">
          <w:rPr>
            <w:rStyle w:val="TextoNormalCaracter"/>
          </w:rPr>
          <w:t>271/2015</w:t>
        </w:r>
      </w:hyperlink>
      <w:r>
        <w:t>, f. 2.</w:t>
      </w:r>
    </w:p>
    <w:p w:rsidR="00981775" w:rsidRDefault="00981775" w:rsidP="00981775">
      <w:pPr>
        <w:pStyle w:val="SangriaFrancesaArticulo"/>
      </w:pPr>
      <w:r w:rsidRPr="00981775">
        <w:rPr>
          <w:rStyle w:val="TextoNormalNegritaCaracter"/>
        </w:rPr>
        <w:t>Disposición transitoria segunda.</w:t>
      </w:r>
      <w:r w:rsidRPr="00981775">
        <w:rPr>
          <w:rStyle w:val="TextoNormalCaracter"/>
        </w:rPr>
        <w:t>-</w:t>
      </w:r>
      <w:r>
        <w:t xml:space="preserve"> Sentencias </w:t>
      </w:r>
      <w:hyperlink w:anchor="SENTENCIA_2015_234" w:history="1">
        <w:r w:rsidRPr="00981775">
          <w:rPr>
            <w:rStyle w:val="TextoNormalCaracter"/>
          </w:rPr>
          <w:t>234/2015</w:t>
        </w:r>
      </w:hyperlink>
      <w:r>
        <w:t xml:space="preserve">, f. 2; </w:t>
      </w:r>
      <w:hyperlink w:anchor="SENTENCIA_2015_246" w:history="1">
        <w:r w:rsidRPr="00981775">
          <w:rPr>
            <w:rStyle w:val="TextoNormalCaracter"/>
          </w:rPr>
          <w:t>246/2015</w:t>
        </w:r>
      </w:hyperlink>
      <w:r>
        <w:t xml:space="preserve">, f. 2; </w:t>
      </w:r>
      <w:hyperlink w:anchor="SENTENCIA_2015_247" w:history="1">
        <w:r w:rsidRPr="00981775">
          <w:rPr>
            <w:rStyle w:val="TextoNormalCaracter"/>
          </w:rPr>
          <w:t>247/2015</w:t>
        </w:r>
      </w:hyperlink>
      <w:r>
        <w:t xml:space="preserve">, f. 2; </w:t>
      </w:r>
      <w:hyperlink w:anchor="SENTENCIA_2015_248" w:history="1">
        <w:r w:rsidRPr="00981775">
          <w:rPr>
            <w:rStyle w:val="TextoNormalCaracter"/>
          </w:rPr>
          <w:t>248/2015</w:t>
        </w:r>
      </w:hyperlink>
      <w:r>
        <w:t xml:space="preserve">, f. 2; </w:t>
      </w:r>
      <w:hyperlink w:anchor="SENTENCIA_2015_249" w:history="1">
        <w:r w:rsidRPr="00981775">
          <w:rPr>
            <w:rStyle w:val="TextoNormalCaracter"/>
          </w:rPr>
          <w:t>249/2015</w:t>
        </w:r>
      </w:hyperlink>
      <w:r>
        <w:t xml:space="preserve">, f. 2; </w:t>
      </w:r>
      <w:hyperlink w:anchor="SENTENCIA_2015_250" w:history="1">
        <w:r w:rsidRPr="00981775">
          <w:rPr>
            <w:rStyle w:val="TextoNormalCaracter"/>
          </w:rPr>
          <w:t>250/2015</w:t>
        </w:r>
      </w:hyperlink>
      <w:r>
        <w:t xml:space="preserve">, f. 2; </w:t>
      </w:r>
      <w:hyperlink w:anchor="SENTENCIA_2015_251" w:history="1">
        <w:r w:rsidRPr="00981775">
          <w:rPr>
            <w:rStyle w:val="TextoNormalCaracter"/>
          </w:rPr>
          <w:t>251/2015</w:t>
        </w:r>
      </w:hyperlink>
      <w:r>
        <w:t xml:space="preserve">, f. 2; </w:t>
      </w:r>
      <w:hyperlink w:anchor="SENTENCIA_2015_252" w:history="1">
        <w:r w:rsidRPr="00981775">
          <w:rPr>
            <w:rStyle w:val="TextoNormalCaracter"/>
          </w:rPr>
          <w:t>252/2015</w:t>
        </w:r>
      </w:hyperlink>
      <w:r>
        <w:t xml:space="preserve">, f. 2; </w:t>
      </w:r>
      <w:hyperlink w:anchor="SENTENCIA_2015_253" w:history="1">
        <w:r w:rsidRPr="00981775">
          <w:rPr>
            <w:rStyle w:val="TextoNormalCaracter"/>
          </w:rPr>
          <w:t>253/2015</w:t>
        </w:r>
      </w:hyperlink>
      <w:r>
        <w:t xml:space="preserve">, f. 2; </w:t>
      </w:r>
      <w:hyperlink w:anchor="SENTENCIA_2015_255" w:history="1">
        <w:r w:rsidRPr="00981775">
          <w:rPr>
            <w:rStyle w:val="TextoNormalCaracter"/>
          </w:rPr>
          <w:t>255/2015</w:t>
        </w:r>
      </w:hyperlink>
      <w:r>
        <w:t xml:space="preserve">, f. 2; </w:t>
      </w:r>
      <w:hyperlink w:anchor="SENTENCIA_2015_256" w:history="1">
        <w:r w:rsidRPr="00981775">
          <w:rPr>
            <w:rStyle w:val="TextoNormalCaracter"/>
          </w:rPr>
          <w:t>256/2015</w:t>
        </w:r>
      </w:hyperlink>
      <w:r>
        <w:t xml:space="preserve">, f. 2; </w:t>
      </w:r>
      <w:hyperlink w:anchor="SENTENCIA_2015_257" w:history="1">
        <w:r w:rsidRPr="00981775">
          <w:rPr>
            <w:rStyle w:val="TextoNormalCaracter"/>
          </w:rPr>
          <w:t>257/2015</w:t>
        </w:r>
      </w:hyperlink>
      <w:r>
        <w:t xml:space="preserve">, f. 2; </w:t>
      </w:r>
      <w:hyperlink w:anchor="SENTENCIA_2015_258" w:history="1">
        <w:r w:rsidRPr="00981775">
          <w:rPr>
            <w:rStyle w:val="TextoNormalCaracter"/>
          </w:rPr>
          <w:t>258/2015</w:t>
        </w:r>
      </w:hyperlink>
      <w:r>
        <w:t>, f. 2.</w:t>
      </w:r>
    </w:p>
    <w:p w:rsidR="00981775" w:rsidRDefault="00981775" w:rsidP="00981775">
      <w:pPr>
        <w:pStyle w:val="SangriaFrancesaArticulo"/>
      </w:pPr>
    </w:p>
    <w:p w:rsidR="00981775" w:rsidRDefault="00981775" w:rsidP="00981775">
      <w:pPr>
        <w:pStyle w:val="TextoNormalNegritaCursivandice"/>
      </w:pPr>
      <w:r>
        <w:t>Ley Orgánica 9/2013, de 20 de diciembre. Control de la deuda comercial en el sector público</w:t>
      </w:r>
    </w:p>
    <w:p w:rsidR="00981775" w:rsidRDefault="00981775" w:rsidP="00981775">
      <w:pPr>
        <w:pStyle w:val="SangriaFrancesaArticulo"/>
      </w:pPr>
      <w:r w:rsidRPr="00981775">
        <w:rPr>
          <w:rStyle w:val="TextoNormalNegritaCaracter"/>
        </w:rPr>
        <w:t>Disposición adicional cuarta.</w:t>
      </w:r>
      <w:r w:rsidRPr="00981775">
        <w:rPr>
          <w:rStyle w:val="TextoNormalCaracter"/>
        </w:rPr>
        <w:t>-</w:t>
      </w:r>
      <w:r>
        <w:t xml:space="preserve"> Sentencia </w:t>
      </w:r>
      <w:hyperlink w:anchor="SENTENCIA_2015_156" w:history="1">
        <w:r w:rsidRPr="00981775">
          <w:rPr>
            <w:rStyle w:val="TextoNormalCaracter"/>
          </w:rPr>
          <w:t>156/2015</w:t>
        </w:r>
      </w:hyperlink>
      <w:r>
        <w:t>, f. 2.</w:t>
      </w:r>
    </w:p>
    <w:p w:rsidR="00981775" w:rsidRDefault="00981775" w:rsidP="00981775">
      <w:pPr>
        <w:pStyle w:val="SangriaFrancesaArticulo"/>
      </w:pPr>
    </w:p>
    <w:p w:rsidR="00981775" w:rsidRDefault="00981775" w:rsidP="00981775">
      <w:pPr>
        <w:pStyle w:val="TextoNormalNegritaCursivandice"/>
      </w:pPr>
      <w:r>
        <w:t>Ley Orgánica 1/2015, de 30 de marzo. Modifica la Ley Orgánica 10/1995, de 23 de noviembre, del código penal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Autos </w:t>
      </w:r>
      <w:hyperlink w:anchor="AUTO_2015_137" w:history="1">
        <w:r w:rsidRPr="00981775">
          <w:rPr>
            <w:rStyle w:val="TextoNormalCaracter"/>
          </w:rPr>
          <w:t>137/2015</w:t>
        </w:r>
      </w:hyperlink>
      <w:r>
        <w:t xml:space="preserve">, f. 4; </w:t>
      </w:r>
      <w:hyperlink w:anchor="AUTO_2015_138" w:history="1">
        <w:r w:rsidRPr="00981775">
          <w:rPr>
            <w:rStyle w:val="TextoNormalCaracter"/>
          </w:rPr>
          <w:t>138/2015</w:t>
        </w:r>
      </w:hyperlink>
      <w:r>
        <w:t xml:space="preserve">, f. 4; </w:t>
      </w:r>
      <w:hyperlink w:anchor="AUTO_2015_180" w:history="1">
        <w:r w:rsidRPr="00981775">
          <w:rPr>
            <w:rStyle w:val="TextoNormalCaracter"/>
          </w:rPr>
          <w:t>180/2015</w:t>
        </w:r>
      </w:hyperlink>
      <w:r>
        <w:t>, f. 3.</w:t>
      </w:r>
    </w:p>
    <w:p w:rsidR="00981775" w:rsidRDefault="00981775" w:rsidP="00981775">
      <w:pPr>
        <w:pStyle w:val="SangriaFrancesaArticulo"/>
      </w:pPr>
      <w:r w:rsidRPr="00981775">
        <w:rPr>
          <w:rStyle w:val="TextoNormalNegritaCaracter"/>
        </w:rPr>
        <w:t>Disposición transitoria primera.</w:t>
      </w:r>
      <w:r w:rsidRPr="00981775">
        <w:rPr>
          <w:rStyle w:val="TextoNormalCaracter"/>
        </w:rPr>
        <w:t>-</w:t>
      </w:r>
      <w:r>
        <w:t xml:space="preserve"> Sentencia </w:t>
      </w:r>
      <w:hyperlink w:anchor="SENTENCIA_2015_217" w:history="1">
        <w:r w:rsidRPr="00981775">
          <w:rPr>
            <w:rStyle w:val="TextoNormalCaracter"/>
          </w:rPr>
          <w:t>217/2015</w:t>
        </w:r>
      </w:hyperlink>
      <w:r>
        <w:t>, f. 4.</w:t>
      </w:r>
    </w:p>
    <w:p w:rsidR="00981775" w:rsidRDefault="00981775" w:rsidP="00981775">
      <w:pPr>
        <w:pStyle w:val="SangriaIzquierdaArticulo"/>
      </w:pPr>
      <w:r>
        <w:t xml:space="preserve">Autos </w:t>
      </w:r>
      <w:hyperlink w:anchor="AUTO_2015_137" w:history="1">
        <w:r w:rsidRPr="00981775">
          <w:rPr>
            <w:rStyle w:val="TextoNormalCaracter"/>
          </w:rPr>
          <w:t>137/2015</w:t>
        </w:r>
      </w:hyperlink>
      <w:r>
        <w:t xml:space="preserve">, ff. 1, 4; </w:t>
      </w:r>
      <w:hyperlink w:anchor="AUTO_2015_138" w:history="1">
        <w:r w:rsidRPr="00981775">
          <w:rPr>
            <w:rStyle w:val="TextoNormalCaracter"/>
          </w:rPr>
          <w:t>138/2015</w:t>
        </w:r>
      </w:hyperlink>
      <w:r>
        <w:t xml:space="preserve">, ff. 1, 4; </w:t>
      </w:r>
      <w:hyperlink w:anchor="AUTO_2015_180" w:history="1">
        <w:r w:rsidRPr="00981775">
          <w:rPr>
            <w:rStyle w:val="TextoNormalCaracter"/>
          </w:rPr>
          <w:t>180/2015</w:t>
        </w:r>
      </w:hyperlink>
      <w:r>
        <w:t>, f. 3.</w:t>
      </w:r>
    </w:p>
    <w:p w:rsidR="00981775" w:rsidRDefault="00981775" w:rsidP="00981775">
      <w:pPr>
        <w:pStyle w:val="SangriaFrancesaArticulo"/>
      </w:pPr>
      <w:r w:rsidRPr="00981775">
        <w:rPr>
          <w:rStyle w:val="TextoNormalNegritaCaracter"/>
        </w:rPr>
        <w:t>Disposición transitoria tercera.</w:t>
      </w:r>
      <w:r w:rsidRPr="00981775">
        <w:rPr>
          <w:rStyle w:val="TextoNormalCaracter"/>
        </w:rPr>
        <w:t>-</w:t>
      </w:r>
      <w:r>
        <w:t xml:space="preserve"> Auto </w:t>
      </w:r>
      <w:hyperlink w:anchor="AUTO_2015_180" w:history="1">
        <w:r w:rsidRPr="00981775">
          <w:rPr>
            <w:rStyle w:val="TextoNormalCaracter"/>
          </w:rPr>
          <w:t>180/2015</w:t>
        </w:r>
      </w:hyperlink>
      <w:r>
        <w:t>, f. 3.</w:t>
      </w:r>
    </w:p>
    <w:p w:rsidR="00981775" w:rsidRDefault="00981775" w:rsidP="00981775">
      <w:pPr>
        <w:pStyle w:val="SangriaFrancesaArticulo"/>
      </w:pPr>
      <w:r w:rsidRPr="00981775">
        <w:rPr>
          <w:rStyle w:val="TextoNormalNegritaCaracter"/>
        </w:rPr>
        <w:t>Disposición derogatoria única.</w:t>
      </w:r>
      <w:r w:rsidRPr="00981775">
        <w:rPr>
          <w:rStyle w:val="TextoNormalCaracter"/>
        </w:rPr>
        <w:t>-</w:t>
      </w:r>
      <w:r>
        <w:t xml:space="preserve"> Autos </w:t>
      </w:r>
      <w:hyperlink w:anchor="AUTO_2015_137" w:history="1">
        <w:r w:rsidRPr="00981775">
          <w:rPr>
            <w:rStyle w:val="TextoNormalCaracter"/>
          </w:rPr>
          <w:t>137/2015</w:t>
        </w:r>
      </w:hyperlink>
      <w:r>
        <w:t xml:space="preserve">, ff. 1, 4; </w:t>
      </w:r>
      <w:hyperlink w:anchor="AUTO_2015_138" w:history="1">
        <w:r w:rsidRPr="00981775">
          <w:rPr>
            <w:rStyle w:val="TextoNormalCaracter"/>
          </w:rPr>
          <w:t>138/2015</w:t>
        </w:r>
      </w:hyperlink>
      <w:r>
        <w:t>, ff. 1, 4.</w:t>
      </w:r>
    </w:p>
    <w:p w:rsidR="00981775" w:rsidRDefault="00981775" w:rsidP="00981775">
      <w:pPr>
        <w:pStyle w:val="SangriaFrancesaArticulo"/>
      </w:pPr>
      <w:r w:rsidRPr="00981775">
        <w:rPr>
          <w:rStyle w:val="TextoNormalNegritaCaracter"/>
        </w:rPr>
        <w:t>Disposición final octava.</w:t>
      </w:r>
      <w:r w:rsidRPr="00981775">
        <w:rPr>
          <w:rStyle w:val="TextoNormalCaracter"/>
        </w:rPr>
        <w:t>-</w:t>
      </w:r>
      <w:r>
        <w:t xml:space="preserve"> Autos </w:t>
      </w:r>
      <w:hyperlink w:anchor="AUTO_2015_137" w:history="1">
        <w:r w:rsidRPr="00981775">
          <w:rPr>
            <w:rStyle w:val="TextoNormalCaracter"/>
          </w:rPr>
          <w:t>137/2015</w:t>
        </w:r>
      </w:hyperlink>
      <w:r>
        <w:t xml:space="preserve">, ff. 1, 4; </w:t>
      </w:r>
      <w:hyperlink w:anchor="AUTO_2015_138" w:history="1">
        <w:r w:rsidRPr="00981775">
          <w:rPr>
            <w:rStyle w:val="TextoNormalCaracter"/>
          </w:rPr>
          <w:t>138/2015</w:t>
        </w:r>
      </w:hyperlink>
      <w:r>
        <w:t>, f. 1.</w:t>
      </w:r>
    </w:p>
    <w:p w:rsidR="00981775" w:rsidRDefault="00981775" w:rsidP="00981775">
      <w:pPr>
        <w:pStyle w:val="SangriaFrancesaArticulo"/>
      </w:pPr>
    </w:p>
    <w:p w:rsidR="00981775" w:rsidRDefault="00981775" w:rsidP="00981775">
      <w:pPr>
        <w:pStyle w:val="TextoNormalNegritaCursivandice"/>
      </w:pPr>
      <w:r>
        <w:t>Ley Orgánica 4/2015, de 30 de marzo. Protección de la seguridad ciudadana</w:t>
      </w:r>
    </w:p>
    <w:p w:rsidR="00981775" w:rsidRDefault="00981775" w:rsidP="00981775">
      <w:pPr>
        <w:pStyle w:val="SangriaFrancesaArticulo"/>
      </w:pPr>
      <w:r w:rsidRPr="00981775">
        <w:rPr>
          <w:rStyle w:val="TextoNormalNegritaCaracter"/>
        </w:rPr>
        <w:t>Artículo 36.16.</w:t>
      </w:r>
      <w:r w:rsidRPr="00981775">
        <w:rPr>
          <w:rStyle w:val="TextoNormalCaracter"/>
        </w:rPr>
        <w:t>-</w:t>
      </w:r>
      <w:r>
        <w:t xml:space="preserve"> Auto </w:t>
      </w:r>
      <w:hyperlink w:anchor="AUTO_2015_170" w:history="1">
        <w:r w:rsidRPr="00981775">
          <w:rPr>
            <w:rStyle w:val="TextoNormalCaracter"/>
          </w:rPr>
          <w:t>170/2015</w:t>
        </w:r>
      </w:hyperlink>
      <w:r>
        <w:t>, f. 5.</w:t>
      </w:r>
    </w:p>
    <w:p w:rsidR="00981775" w:rsidRDefault="00981775" w:rsidP="00981775">
      <w:pPr>
        <w:pStyle w:val="SangriaFrancesaArticulo"/>
      </w:pPr>
      <w:r w:rsidRPr="00981775">
        <w:rPr>
          <w:rStyle w:val="TextoNormalNegritaCaracter"/>
        </w:rPr>
        <w:t>Artículo 36.18.</w:t>
      </w:r>
      <w:r w:rsidRPr="00981775">
        <w:rPr>
          <w:rStyle w:val="TextoNormalCaracter"/>
        </w:rPr>
        <w:t>-</w:t>
      </w:r>
      <w:r>
        <w:t xml:space="preserve"> Auto </w:t>
      </w:r>
      <w:hyperlink w:anchor="AUTO_2015_170" w:history="1">
        <w:r w:rsidRPr="00981775">
          <w:rPr>
            <w:rStyle w:val="TextoNormalCaracter"/>
          </w:rPr>
          <w:t>170/2015</w:t>
        </w:r>
      </w:hyperlink>
      <w:r>
        <w:t>, f. 5.</w:t>
      </w:r>
    </w:p>
    <w:p w:rsidR="00981775" w:rsidRDefault="00981775" w:rsidP="00981775">
      <w:pPr>
        <w:pStyle w:val="SangriaFrancesaArticulo"/>
      </w:pPr>
      <w:r w:rsidRPr="00981775">
        <w:rPr>
          <w:rStyle w:val="TextoNormalNegritaCaracter"/>
        </w:rPr>
        <w:t>Artículo 36.19.</w:t>
      </w:r>
      <w:r w:rsidRPr="00981775">
        <w:rPr>
          <w:rStyle w:val="TextoNormalCaracter"/>
        </w:rPr>
        <w:t>-</w:t>
      </w:r>
      <w:r>
        <w:t xml:space="preserve"> Auto </w:t>
      </w:r>
      <w:hyperlink w:anchor="AUTO_2015_170" w:history="1">
        <w:r w:rsidRPr="00981775">
          <w:rPr>
            <w:rStyle w:val="TextoNormalCaracter"/>
          </w:rPr>
          <w:t>170/2015</w:t>
        </w:r>
      </w:hyperlink>
      <w:r>
        <w:t>, f. 5.</w:t>
      </w:r>
    </w:p>
    <w:p w:rsidR="00981775" w:rsidRDefault="00981775" w:rsidP="00981775">
      <w:pPr>
        <w:pStyle w:val="SangriaFrancesaArticulo"/>
      </w:pPr>
    </w:p>
    <w:p w:rsidR="00981775" w:rsidRDefault="00981775" w:rsidP="00981775">
      <w:pPr>
        <w:pStyle w:val="TextoNormalNegritaCursivandice"/>
      </w:pPr>
      <w:r>
        <w:t>Ley Orgánica 8/2015, de 22 de julio. Modifica el sistema de protección a la infancia y a la adolescencia</w:t>
      </w:r>
    </w:p>
    <w:p w:rsidR="00981775" w:rsidRDefault="00981775" w:rsidP="00981775">
      <w:pPr>
        <w:pStyle w:val="SangriaFrancesaArticulo"/>
      </w:pPr>
      <w:r w:rsidRPr="00981775">
        <w:rPr>
          <w:rStyle w:val="TextoNormalNegritaCaracter"/>
        </w:rPr>
        <w:t>Artículo 2.3.</w:t>
      </w:r>
      <w:r w:rsidRPr="00981775">
        <w:rPr>
          <w:rStyle w:val="TextoNormalCaracter"/>
        </w:rPr>
        <w:t>-</w:t>
      </w:r>
      <w:r>
        <w:t xml:space="preserve"> Sentencia </w:t>
      </w:r>
      <w:hyperlink w:anchor="SENTENCIA_2015_217" w:history="1">
        <w:r w:rsidRPr="00981775">
          <w:rPr>
            <w:rStyle w:val="TextoNormalCaracter"/>
          </w:rPr>
          <w:t>217/2015</w:t>
        </w:r>
      </w:hyperlink>
      <w:r>
        <w:t>, f. 4.</w:t>
      </w:r>
    </w:p>
    <w:p w:rsidR="00981775" w:rsidRDefault="00981775" w:rsidP="00981775">
      <w:pPr>
        <w:pStyle w:val="TextoNormal"/>
      </w:pPr>
    </w:p>
    <w:p w:rsidR="00981775" w:rsidRDefault="00981775" w:rsidP="00981775">
      <w:pPr>
        <w:pStyle w:val="SangriaFrancesaArticulo"/>
      </w:pPr>
      <w:bookmarkStart w:id="252" w:name="INDICE22846"/>
    </w:p>
    <w:bookmarkEnd w:id="252"/>
    <w:p w:rsidR="00981775" w:rsidRDefault="00981775" w:rsidP="00981775">
      <w:pPr>
        <w:pStyle w:val="TextoIndiceNivel2"/>
        <w:suppressAutoHyphens/>
      </w:pPr>
      <w:r>
        <w:t>E) Leyes de las Cortes Generales</w:t>
      </w:r>
    </w:p>
    <w:p w:rsidR="00981775" w:rsidRDefault="00981775" w:rsidP="00981775">
      <w:pPr>
        <w:pStyle w:val="TextoIndiceNivel2"/>
      </w:pPr>
    </w:p>
    <w:p w:rsidR="00981775" w:rsidRDefault="00981775" w:rsidP="00981775">
      <w:pPr>
        <w:pStyle w:val="TextoNormalNegritaCursivandice"/>
      </w:pPr>
      <w:r>
        <w:t>Ley 12/1983, de 14 de octubre. Proceso autonómico</w:t>
      </w:r>
    </w:p>
    <w:p w:rsidR="00981775" w:rsidRDefault="00981775" w:rsidP="00981775">
      <w:pPr>
        <w:pStyle w:val="SangriaFrancesaArticulo"/>
      </w:pPr>
      <w:r w:rsidRPr="00981775">
        <w:rPr>
          <w:rStyle w:val="TextoNormalNegritaCaracter"/>
        </w:rPr>
        <w:t>Artículo 4.</w:t>
      </w:r>
      <w:r w:rsidRPr="00981775">
        <w:rPr>
          <w:rStyle w:val="TextoNormalCaracter"/>
        </w:rPr>
        <w:t>-</w:t>
      </w:r>
      <w:r>
        <w:t xml:space="preserve"> Sentencia </w:t>
      </w:r>
      <w:hyperlink w:anchor="SENTENCIA_2015_176" w:history="1">
        <w:r w:rsidRPr="00981775">
          <w:rPr>
            <w:rStyle w:val="TextoNormalCaracter"/>
          </w:rPr>
          <w:t>176/2015</w:t>
        </w:r>
      </w:hyperlink>
      <w:r>
        <w:t>, f. 3.</w:t>
      </w:r>
    </w:p>
    <w:p w:rsidR="00981775" w:rsidRDefault="00981775" w:rsidP="00981775">
      <w:pPr>
        <w:pStyle w:val="SangriaFrancesaArticulo"/>
      </w:pPr>
    </w:p>
    <w:p w:rsidR="00981775" w:rsidRDefault="00981775" w:rsidP="00981775">
      <w:pPr>
        <w:pStyle w:val="TextoNormalNegritaCursivandice"/>
      </w:pPr>
      <w:r>
        <w:t>Ley 30/1984, de 2 de agosto. Medidas para la reforma de la función pública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Sentencias </w:t>
      </w:r>
      <w:hyperlink w:anchor="SENTENCIA_2015_157" w:history="1">
        <w:r w:rsidRPr="00981775">
          <w:rPr>
            <w:rStyle w:val="TextoNormalCaracter"/>
          </w:rPr>
          <w:t>157/2015</w:t>
        </w:r>
      </w:hyperlink>
      <w:r>
        <w:t xml:space="preserve">, f. 1; </w:t>
      </w:r>
      <w:hyperlink w:anchor="SENTENCIA_2015_238" w:history="1">
        <w:r w:rsidRPr="00981775">
          <w:rPr>
            <w:rStyle w:val="TextoNormalCaracter"/>
          </w:rPr>
          <w:t>238/2015</w:t>
        </w:r>
      </w:hyperlink>
      <w:r>
        <w:t>, ff. 3, 6.</w:t>
      </w:r>
    </w:p>
    <w:p w:rsidR="00981775" w:rsidRDefault="00981775" w:rsidP="00981775">
      <w:pPr>
        <w:pStyle w:val="SangriaIzquierdaArticulo"/>
      </w:pPr>
      <w:r>
        <w:t xml:space="preserve">Auto </w:t>
      </w:r>
      <w:hyperlink w:anchor="AUTO_2015_188" w:history="1">
        <w:r w:rsidRPr="00981775">
          <w:rPr>
            <w:rStyle w:val="TextoNormalCaracter"/>
          </w:rPr>
          <w:t>188/2015</w:t>
        </w:r>
      </w:hyperlink>
      <w:r>
        <w:t>, f. 3.</w:t>
      </w:r>
    </w:p>
    <w:p w:rsidR="00981775" w:rsidRDefault="00981775" w:rsidP="00981775">
      <w:pPr>
        <w:pStyle w:val="SangriaFrancesaArticulo"/>
      </w:pPr>
      <w:r w:rsidRPr="00981775">
        <w:rPr>
          <w:rStyle w:val="TextoNormalNegritaCaracter"/>
        </w:rPr>
        <w:t>Artículo 19.</w:t>
      </w:r>
      <w:r w:rsidRPr="00981775">
        <w:rPr>
          <w:rStyle w:val="TextoNormalCaracter"/>
        </w:rPr>
        <w:t>-</w:t>
      </w:r>
      <w:r>
        <w:t xml:space="preserve"> Sentencia </w:t>
      </w:r>
      <w:hyperlink w:anchor="SENTENCIA_2015_238" w:history="1">
        <w:r w:rsidRPr="00981775">
          <w:rPr>
            <w:rStyle w:val="TextoNormalCaracter"/>
          </w:rPr>
          <w:t>238/2015</w:t>
        </w:r>
      </w:hyperlink>
      <w:r>
        <w:t>, f. 3.</w:t>
      </w:r>
    </w:p>
    <w:p w:rsidR="00981775" w:rsidRDefault="00981775" w:rsidP="00981775">
      <w:pPr>
        <w:pStyle w:val="SangriaFrancesaArticulo"/>
      </w:pPr>
      <w:r w:rsidRPr="00981775">
        <w:rPr>
          <w:rStyle w:val="TextoNormalNegritaCaracter"/>
        </w:rPr>
        <w:t>Artículo 22.1.</w:t>
      </w:r>
      <w:r w:rsidRPr="00981775">
        <w:rPr>
          <w:rStyle w:val="TextoNormalCaracter"/>
        </w:rPr>
        <w:t>-</w:t>
      </w:r>
      <w:r>
        <w:t xml:space="preserve"> Sentencia </w:t>
      </w:r>
      <w:hyperlink w:anchor="SENTENCIA_2015_200" w:history="1">
        <w:r w:rsidRPr="00981775">
          <w:rPr>
            <w:rStyle w:val="TextoNormalCaracter"/>
          </w:rPr>
          <w:t>200/2015</w:t>
        </w:r>
      </w:hyperlink>
      <w:r>
        <w:t>, f. 4.</w:t>
      </w:r>
    </w:p>
    <w:p w:rsidR="00981775" w:rsidRDefault="00981775" w:rsidP="00981775">
      <w:pPr>
        <w:pStyle w:val="SangriaFrancesaArticulo"/>
      </w:pPr>
      <w:r w:rsidRPr="00981775">
        <w:rPr>
          <w:rStyle w:val="TextoNormalNegritaCaracter"/>
        </w:rPr>
        <w:t>Artículo 25.</w:t>
      </w:r>
      <w:r w:rsidRPr="00981775">
        <w:rPr>
          <w:rStyle w:val="TextoNormalCaracter"/>
        </w:rPr>
        <w:t>-</w:t>
      </w:r>
      <w:r>
        <w:t xml:space="preserve"> Sentencia </w:t>
      </w:r>
      <w:hyperlink w:anchor="SENTENCIA_2015_200" w:history="1">
        <w:r w:rsidRPr="00981775">
          <w:rPr>
            <w:rStyle w:val="TextoNormalCaracter"/>
          </w:rPr>
          <w:t>200/2015</w:t>
        </w:r>
      </w:hyperlink>
      <w:r>
        <w:t>, f. 4.</w:t>
      </w:r>
    </w:p>
    <w:p w:rsidR="00981775" w:rsidRDefault="00981775" w:rsidP="00981775">
      <w:pPr>
        <w:pStyle w:val="SangriaFrancesaArticulo"/>
      </w:pPr>
      <w:r w:rsidRPr="00981775">
        <w:rPr>
          <w:rStyle w:val="TextoNormalNegritaCaracter"/>
        </w:rPr>
        <w:t>Disposición adicional vigesimosegunda.</w:t>
      </w:r>
      <w:r w:rsidRPr="00981775">
        <w:rPr>
          <w:rStyle w:val="TextoNormalCaracter"/>
        </w:rPr>
        <w:t>-</w:t>
      </w:r>
      <w:r>
        <w:t xml:space="preserve"> Sentencia </w:t>
      </w:r>
      <w:hyperlink w:anchor="SENTENCIA_2015_200" w:history="1">
        <w:r w:rsidRPr="00981775">
          <w:rPr>
            <w:rStyle w:val="TextoNormalCaracter"/>
          </w:rPr>
          <w:t>200/2015</w:t>
        </w:r>
      </w:hyperlink>
      <w:r>
        <w:t>, ff. 1, 4.</w:t>
      </w:r>
    </w:p>
    <w:p w:rsidR="00981775" w:rsidRDefault="00981775" w:rsidP="00981775">
      <w:pPr>
        <w:pStyle w:val="SangriaFrancesaArticulo"/>
      </w:pPr>
      <w:r w:rsidRPr="00981775">
        <w:rPr>
          <w:rStyle w:val="TextoNormalNegritaCaracter"/>
        </w:rPr>
        <w:t>Disposición transitoria sexta.</w:t>
      </w:r>
      <w:r w:rsidRPr="00981775">
        <w:rPr>
          <w:rStyle w:val="TextoNormalCaracter"/>
        </w:rPr>
        <w:t>-</w:t>
      </w:r>
      <w:r>
        <w:t xml:space="preserve"> Sentencia </w:t>
      </w:r>
      <w:hyperlink w:anchor="SENTENCIA_2015_238" w:history="1">
        <w:r w:rsidRPr="00981775">
          <w:rPr>
            <w:rStyle w:val="TextoNormalCaracter"/>
          </w:rPr>
          <w:t>238/2015</w:t>
        </w:r>
      </w:hyperlink>
      <w:r>
        <w:t>, ff. 3, 6, 7.</w:t>
      </w:r>
    </w:p>
    <w:p w:rsidR="00981775" w:rsidRDefault="00981775" w:rsidP="00981775">
      <w:pPr>
        <w:pStyle w:val="SangriaFrancesaArticulo"/>
      </w:pPr>
      <w:r w:rsidRPr="00981775">
        <w:rPr>
          <w:rStyle w:val="TextoNormalNegritaCaracter"/>
        </w:rPr>
        <w:t>Disposición transitoria sexta, apartado 4.</w:t>
      </w:r>
      <w:r w:rsidRPr="00981775">
        <w:rPr>
          <w:rStyle w:val="TextoNormalCaracter"/>
        </w:rPr>
        <w:t>-</w:t>
      </w:r>
      <w:r>
        <w:t xml:space="preserve"> Sentencia </w:t>
      </w:r>
      <w:hyperlink w:anchor="SENTENCIA_2015_238" w:history="1">
        <w:r w:rsidRPr="00981775">
          <w:rPr>
            <w:rStyle w:val="TextoNormalCaracter"/>
          </w:rPr>
          <w:t>238/2015</w:t>
        </w:r>
      </w:hyperlink>
      <w:r>
        <w:t>, f. 6.</w:t>
      </w:r>
    </w:p>
    <w:p w:rsidR="00981775" w:rsidRDefault="00981775" w:rsidP="00981775">
      <w:pPr>
        <w:pStyle w:val="SangriaFrancesaArticulo"/>
      </w:pPr>
    </w:p>
    <w:p w:rsidR="00981775" w:rsidRDefault="00981775" w:rsidP="00981775">
      <w:pPr>
        <w:pStyle w:val="TextoNormalNegritaCursivandice"/>
      </w:pPr>
      <w:r>
        <w:t>Ley 7/1985, de 2 de abril. Reguladora de bases del régimen local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Sentencias </w:t>
      </w:r>
      <w:hyperlink w:anchor="SENTENCIA_2015_154" w:history="1">
        <w:r w:rsidRPr="00981775">
          <w:rPr>
            <w:rStyle w:val="TextoNormalCaracter"/>
          </w:rPr>
          <w:t>154/2015</w:t>
        </w:r>
      </w:hyperlink>
      <w:r>
        <w:t xml:space="preserve">, ff. 1, 6, 7; </w:t>
      </w:r>
      <w:hyperlink w:anchor="SENTENCIA_2015_200" w:history="1">
        <w:r w:rsidRPr="00981775">
          <w:rPr>
            <w:rStyle w:val="TextoNormalCaracter"/>
          </w:rPr>
          <w:t>200/2015</w:t>
        </w:r>
      </w:hyperlink>
      <w:r>
        <w:t>, f. 2.</w:t>
      </w:r>
    </w:p>
    <w:p w:rsidR="00981775" w:rsidRDefault="00981775" w:rsidP="00981775">
      <w:pPr>
        <w:pStyle w:val="SangriaFrancesaArticulo"/>
      </w:pPr>
      <w:r w:rsidRPr="00981775">
        <w:rPr>
          <w:rStyle w:val="TextoNormalNegritaCaracter"/>
        </w:rPr>
        <w:t>Artículo 2.1.</w:t>
      </w:r>
      <w:r w:rsidRPr="00981775">
        <w:rPr>
          <w:rStyle w:val="TextoNormalCaracter"/>
        </w:rPr>
        <w:t>-</w:t>
      </w:r>
      <w:r>
        <w:t xml:space="preserve"> Sentencia </w:t>
      </w:r>
      <w:hyperlink w:anchor="SENTENCIA_2015_154" w:history="1">
        <w:r w:rsidRPr="00981775">
          <w:rPr>
            <w:rStyle w:val="TextoNormalCaracter"/>
          </w:rPr>
          <w:t>154/2015</w:t>
        </w:r>
      </w:hyperlink>
      <w:r>
        <w:t>, f. 6.</w:t>
      </w:r>
    </w:p>
    <w:p w:rsidR="00981775" w:rsidRDefault="00981775" w:rsidP="00981775">
      <w:pPr>
        <w:pStyle w:val="SangriaFrancesaArticulo"/>
      </w:pPr>
      <w:r w:rsidRPr="00981775">
        <w:rPr>
          <w:rStyle w:val="TextoNormalNegritaCaracter"/>
        </w:rPr>
        <w:t>Artículo 25.</w:t>
      </w:r>
      <w:r w:rsidRPr="00981775">
        <w:rPr>
          <w:rStyle w:val="TextoNormalCaracter"/>
        </w:rPr>
        <w:t>-</w:t>
      </w:r>
      <w:r>
        <w:t xml:space="preserve"> Autos </w:t>
      </w:r>
      <w:hyperlink w:anchor="AUTO_2015_184" w:history="1">
        <w:r w:rsidRPr="00981775">
          <w:rPr>
            <w:rStyle w:val="TextoNormalCaracter"/>
          </w:rPr>
          <w:t>184/2015</w:t>
        </w:r>
      </w:hyperlink>
      <w:r>
        <w:t xml:space="preserve">, f. 1; </w:t>
      </w:r>
      <w:hyperlink w:anchor="AUTO_2015_193" w:history="1">
        <w:r w:rsidRPr="00981775">
          <w:rPr>
            <w:rStyle w:val="TextoNormalCaracter"/>
          </w:rPr>
          <w:t>193/2015</w:t>
        </w:r>
      </w:hyperlink>
      <w:r>
        <w:t xml:space="preserve">, f. 1; </w:t>
      </w:r>
      <w:hyperlink w:anchor="AUTO_2015_194" w:history="1">
        <w:r w:rsidRPr="00981775">
          <w:rPr>
            <w:rStyle w:val="TextoNormalCaracter"/>
          </w:rPr>
          <w:t>194/2015</w:t>
        </w:r>
      </w:hyperlink>
      <w:r>
        <w:t>, ff. 1, 3.</w:t>
      </w:r>
    </w:p>
    <w:p w:rsidR="00981775" w:rsidRDefault="00981775" w:rsidP="00981775">
      <w:pPr>
        <w:pStyle w:val="SangriaFrancesaArticulo"/>
      </w:pPr>
      <w:r w:rsidRPr="00981775">
        <w:rPr>
          <w:rStyle w:val="TextoNormalNegritaCaracter"/>
        </w:rPr>
        <w:t>Artículo 25.2.</w:t>
      </w:r>
      <w:r w:rsidRPr="00981775">
        <w:rPr>
          <w:rStyle w:val="TextoNormalCaracter"/>
        </w:rPr>
        <w:t>-</w:t>
      </w:r>
      <w:r>
        <w:t xml:space="preserve"> Sentencia </w:t>
      </w:r>
      <w:hyperlink w:anchor="SENTENCIA_2015_154" w:history="1">
        <w:r w:rsidRPr="00981775">
          <w:rPr>
            <w:rStyle w:val="TextoNormalCaracter"/>
          </w:rPr>
          <w:t>154/2015</w:t>
        </w:r>
      </w:hyperlink>
      <w:r>
        <w:t>, f. 6.</w:t>
      </w:r>
    </w:p>
    <w:p w:rsidR="00981775" w:rsidRDefault="00981775" w:rsidP="00981775">
      <w:pPr>
        <w:pStyle w:val="SangriaIzquierdaArticulo"/>
      </w:pPr>
      <w:r>
        <w:t xml:space="preserve">Autos </w:t>
      </w:r>
      <w:hyperlink w:anchor="AUTO_2015_184" w:history="1">
        <w:r w:rsidRPr="00981775">
          <w:rPr>
            <w:rStyle w:val="TextoNormalCaracter"/>
          </w:rPr>
          <w:t>184/2015</w:t>
        </w:r>
      </w:hyperlink>
      <w:r>
        <w:t xml:space="preserve">, f. 3; </w:t>
      </w:r>
      <w:hyperlink w:anchor="AUTO_2015_193" w:history="1">
        <w:r w:rsidRPr="00981775">
          <w:rPr>
            <w:rStyle w:val="TextoNormalCaracter"/>
          </w:rPr>
          <w:t>193/2015</w:t>
        </w:r>
      </w:hyperlink>
      <w:r>
        <w:t xml:space="preserve">, f. 3; </w:t>
      </w:r>
      <w:hyperlink w:anchor="AUTO_2015_194" w:history="1">
        <w:r w:rsidRPr="00981775">
          <w:rPr>
            <w:rStyle w:val="TextoNormalCaracter"/>
          </w:rPr>
          <w:t>194/2015</w:t>
        </w:r>
      </w:hyperlink>
      <w:r>
        <w:t>, f. 3.</w:t>
      </w:r>
    </w:p>
    <w:p w:rsidR="00981775" w:rsidRDefault="00981775" w:rsidP="00981775">
      <w:pPr>
        <w:pStyle w:val="SangriaFrancesaArticulo"/>
      </w:pPr>
      <w:r w:rsidRPr="00981775">
        <w:rPr>
          <w:rStyle w:val="TextoNormalNegritaCaracter"/>
        </w:rPr>
        <w:t>Artículo 25.2 d).</w:t>
      </w:r>
      <w:r w:rsidRPr="00981775">
        <w:rPr>
          <w:rStyle w:val="TextoNormalCaracter"/>
        </w:rPr>
        <w:t>-</w:t>
      </w:r>
      <w:r>
        <w:t xml:space="preserve"> Sentencia </w:t>
      </w:r>
      <w:hyperlink w:anchor="SENTENCIA_2015_154" w:history="1">
        <w:r w:rsidRPr="00981775">
          <w:rPr>
            <w:rStyle w:val="TextoNormalCaracter"/>
          </w:rPr>
          <w:t>154/2015</w:t>
        </w:r>
      </w:hyperlink>
      <w:r>
        <w:t>, ff. 2, 7.</w:t>
      </w:r>
    </w:p>
    <w:p w:rsidR="00981775" w:rsidRDefault="00981775" w:rsidP="00981775">
      <w:pPr>
        <w:pStyle w:val="SangriaFrancesaArticulo"/>
      </w:pPr>
      <w:r w:rsidRPr="00981775">
        <w:rPr>
          <w:rStyle w:val="TextoNormalNegritaCaracter"/>
        </w:rPr>
        <w:t>Artículo 26.</w:t>
      </w:r>
      <w:r w:rsidRPr="00981775">
        <w:rPr>
          <w:rStyle w:val="TextoNormalCaracter"/>
        </w:rPr>
        <w:t>-</w:t>
      </w:r>
      <w:r>
        <w:t xml:space="preserve"> Sentencia </w:t>
      </w:r>
      <w:hyperlink w:anchor="SENTENCIA_2015_154" w:history="1">
        <w:r w:rsidRPr="00981775">
          <w:rPr>
            <w:rStyle w:val="TextoNormalCaracter"/>
          </w:rPr>
          <w:t>154/2015</w:t>
        </w:r>
      </w:hyperlink>
      <w:r>
        <w:t>, f. 6.</w:t>
      </w:r>
    </w:p>
    <w:p w:rsidR="00981775" w:rsidRDefault="00981775" w:rsidP="00981775">
      <w:pPr>
        <w:pStyle w:val="SangriaFrancesaArticulo"/>
      </w:pPr>
      <w:r w:rsidRPr="00981775">
        <w:rPr>
          <w:rStyle w:val="TextoNormalNegritaCaracter"/>
        </w:rPr>
        <w:t>Artículo 36.</w:t>
      </w:r>
      <w:r w:rsidRPr="00981775">
        <w:rPr>
          <w:rStyle w:val="TextoNormalCaracter"/>
        </w:rPr>
        <w:t>-</w:t>
      </w:r>
      <w:r>
        <w:t xml:space="preserve"> Sentencia </w:t>
      </w:r>
      <w:hyperlink w:anchor="SENTENCIA_2015_154" w:history="1">
        <w:r w:rsidRPr="00981775">
          <w:rPr>
            <w:rStyle w:val="TextoNormalCaracter"/>
          </w:rPr>
          <w:t>154/2015</w:t>
        </w:r>
      </w:hyperlink>
      <w:r>
        <w:t>, f. 6.</w:t>
      </w:r>
    </w:p>
    <w:p w:rsidR="00981775" w:rsidRDefault="00981775" w:rsidP="00981775">
      <w:pPr>
        <w:pStyle w:val="SangriaFrancesaArticulo"/>
      </w:pPr>
      <w:r w:rsidRPr="00981775">
        <w:rPr>
          <w:rStyle w:val="TextoNormalNegritaCaracter"/>
        </w:rPr>
        <w:t>Artículo 60.</w:t>
      </w:r>
      <w:r w:rsidRPr="00981775">
        <w:rPr>
          <w:rStyle w:val="TextoNormalCaracter"/>
        </w:rPr>
        <w:t>-</w:t>
      </w:r>
      <w:r>
        <w:t xml:space="preserve"> Sentencia </w:t>
      </w:r>
      <w:hyperlink w:anchor="SENTENCIA_2015_154" w:history="1">
        <w:r w:rsidRPr="00981775">
          <w:rPr>
            <w:rStyle w:val="TextoNormalCaracter"/>
          </w:rPr>
          <w:t>154/2015</w:t>
        </w:r>
      </w:hyperlink>
      <w:r>
        <w:t>, ff. 6, 7.</w:t>
      </w:r>
    </w:p>
    <w:p w:rsidR="00981775" w:rsidRDefault="00981775" w:rsidP="00981775">
      <w:pPr>
        <w:pStyle w:val="SangriaFrancesaArticulo"/>
      </w:pPr>
      <w:r w:rsidRPr="00981775">
        <w:rPr>
          <w:rStyle w:val="TextoNormalNegritaCaracter"/>
        </w:rPr>
        <w:t>Artículo 61.</w:t>
      </w:r>
      <w:r w:rsidRPr="00981775">
        <w:rPr>
          <w:rStyle w:val="TextoNormalCaracter"/>
        </w:rPr>
        <w:t>-</w:t>
      </w:r>
      <w:r>
        <w:t xml:space="preserve"> Sentencia </w:t>
      </w:r>
      <w:hyperlink w:anchor="SENTENCIA_2015_154" w:history="1">
        <w:r w:rsidRPr="00981775">
          <w:rPr>
            <w:rStyle w:val="TextoNormalCaracter"/>
          </w:rPr>
          <w:t>154/2015</w:t>
        </w:r>
      </w:hyperlink>
      <w:r>
        <w:t>, ff. 6, 7.</w:t>
      </w:r>
    </w:p>
    <w:p w:rsidR="00981775" w:rsidRDefault="00981775" w:rsidP="00981775">
      <w:pPr>
        <w:pStyle w:val="SangriaFrancesaArticulo"/>
      </w:pPr>
      <w:r w:rsidRPr="00981775">
        <w:rPr>
          <w:rStyle w:val="TextoNormalNegritaCaracter"/>
        </w:rPr>
        <w:t>Artículo 62.</w:t>
      </w:r>
      <w:r w:rsidRPr="00981775">
        <w:rPr>
          <w:rStyle w:val="TextoNormalCaracter"/>
        </w:rPr>
        <w:t>-</w:t>
      </w:r>
      <w:r>
        <w:t xml:space="preserve"> Sentencia </w:t>
      </w:r>
      <w:hyperlink w:anchor="SENTENCIA_2015_154" w:history="1">
        <w:r w:rsidRPr="00981775">
          <w:rPr>
            <w:rStyle w:val="TextoNormalCaracter"/>
          </w:rPr>
          <w:t>154/2015</w:t>
        </w:r>
      </w:hyperlink>
      <w:r>
        <w:t>, ff. 2, 7.</w:t>
      </w:r>
    </w:p>
    <w:p w:rsidR="00981775" w:rsidRDefault="00981775" w:rsidP="00981775">
      <w:pPr>
        <w:pStyle w:val="SangriaFrancesaArticulo"/>
      </w:pPr>
      <w:r w:rsidRPr="00981775">
        <w:rPr>
          <w:rStyle w:val="TextoNormalNegritaCaracter"/>
        </w:rPr>
        <w:t>Artículo 65.</w:t>
      </w:r>
      <w:r w:rsidRPr="00981775">
        <w:rPr>
          <w:rStyle w:val="TextoNormalCaracter"/>
        </w:rPr>
        <w:t>-</w:t>
      </w:r>
      <w:r>
        <w:t xml:space="preserve"> Sentencia </w:t>
      </w:r>
      <w:hyperlink w:anchor="SENTENCIA_2015_154" w:history="1">
        <w:r w:rsidRPr="00981775">
          <w:rPr>
            <w:rStyle w:val="TextoNormalCaracter"/>
          </w:rPr>
          <w:t>154/2015</w:t>
        </w:r>
      </w:hyperlink>
      <w:r>
        <w:t>, ff. 6, 7.</w:t>
      </w:r>
    </w:p>
    <w:p w:rsidR="00981775" w:rsidRDefault="00981775" w:rsidP="00981775">
      <w:pPr>
        <w:pStyle w:val="SangriaFrancesaArticulo"/>
      </w:pPr>
      <w:r w:rsidRPr="00981775">
        <w:rPr>
          <w:rStyle w:val="TextoNormalNegritaCaracter"/>
        </w:rPr>
        <w:t>Artículo 66.</w:t>
      </w:r>
      <w:r w:rsidRPr="00981775">
        <w:rPr>
          <w:rStyle w:val="TextoNormalCaracter"/>
        </w:rPr>
        <w:t>-</w:t>
      </w:r>
      <w:r>
        <w:t xml:space="preserve"> Sentencia </w:t>
      </w:r>
      <w:hyperlink w:anchor="SENTENCIA_2015_154" w:history="1">
        <w:r w:rsidRPr="00981775">
          <w:rPr>
            <w:rStyle w:val="TextoNormalCaracter"/>
          </w:rPr>
          <w:t>154/2015</w:t>
        </w:r>
      </w:hyperlink>
      <w:r>
        <w:t>, ff. 6, 7.</w:t>
      </w:r>
    </w:p>
    <w:p w:rsidR="00981775" w:rsidRDefault="00981775" w:rsidP="00981775">
      <w:pPr>
        <w:pStyle w:val="SangriaFrancesaArticulo"/>
      </w:pPr>
      <w:r w:rsidRPr="00981775">
        <w:rPr>
          <w:rStyle w:val="TextoNormalNegritaCaracter"/>
        </w:rPr>
        <w:t>Artículo 67.</w:t>
      </w:r>
      <w:r w:rsidRPr="00981775">
        <w:rPr>
          <w:rStyle w:val="TextoNormalCaracter"/>
        </w:rPr>
        <w:t>-</w:t>
      </w:r>
      <w:r>
        <w:t xml:space="preserve"> Sentencia </w:t>
      </w:r>
      <w:hyperlink w:anchor="SENTENCIA_2015_154" w:history="1">
        <w:r w:rsidRPr="00981775">
          <w:rPr>
            <w:rStyle w:val="TextoNormalCaracter"/>
          </w:rPr>
          <w:t>154/2015</w:t>
        </w:r>
      </w:hyperlink>
      <w:r>
        <w:t>, f. 6.</w:t>
      </w:r>
    </w:p>
    <w:p w:rsidR="00981775" w:rsidRDefault="00981775" w:rsidP="00981775">
      <w:pPr>
        <w:pStyle w:val="SangriaFrancesaArticulo"/>
      </w:pPr>
      <w:r w:rsidRPr="00981775">
        <w:rPr>
          <w:rStyle w:val="TextoNormalNegritaCaracter"/>
        </w:rPr>
        <w:t>Artículo 92.</w:t>
      </w:r>
      <w:r w:rsidRPr="00981775">
        <w:rPr>
          <w:rStyle w:val="TextoNormalCaracter"/>
        </w:rPr>
        <w:t>-</w:t>
      </w:r>
      <w:r>
        <w:t xml:space="preserve"> Sentencia </w:t>
      </w:r>
      <w:hyperlink w:anchor="SENTENCIA_2015_200" w:history="1">
        <w:r w:rsidRPr="00981775">
          <w:rPr>
            <w:rStyle w:val="TextoNormalCaracter"/>
          </w:rPr>
          <w:t>200/2015</w:t>
        </w:r>
      </w:hyperlink>
      <w:r>
        <w:t>, f. 4.</w:t>
      </w:r>
    </w:p>
    <w:p w:rsidR="00981775" w:rsidRDefault="00981775" w:rsidP="00981775">
      <w:pPr>
        <w:pStyle w:val="SangriaFrancesaArticulo"/>
      </w:pPr>
    </w:p>
    <w:p w:rsidR="00981775" w:rsidRDefault="00981775" w:rsidP="00981775">
      <w:pPr>
        <w:pStyle w:val="TextoNormalNegritaCursivandice"/>
      </w:pPr>
      <w:r>
        <w:t>Ley 8/1987, de 8 de junio. Regulación de los planes y fondos de pensiones</w:t>
      </w:r>
    </w:p>
    <w:p w:rsidR="00981775" w:rsidRDefault="00981775" w:rsidP="00981775">
      <w:pPr>
        <w:pStyle w:val="SangriaFrancesaArticulo"/>
      </w:pPr>
      <w:r w:rsidRPr="00981775">
        <w:rPr>
          <w:rStyle w:val="TextoNormalNegritaCaracter"/>
        </w:rPr>
        <w:t>Disposición final segunda.</w:t>
      </w:r>
      <w:r w:rsidRPr="00981775">
        <w:rPr>
          <w:rStyle w:val="TextoNormalCaracter"/>
        </w:rPr>
        <w:t>-</w:t>
      </w:r>
      <w:r>
        <w:t xml:space="preserve"> Sentencia </w:t>
      </w:r>
      <w:hyperlink w:anchor="SENTENCIA_2015_215" w:history="1">
        <w:r w:rsidRPr="00981775">
          <w:rPr>
            <w:rStyle w:val="TextoNormalCaracter"/>
          </w:rPr>
          <w:t>215/2015</w:t>
        </w:r>
      </w:hyperlink>
      <w:r>
        <w:t>, f. 7.</w:t>
      </w:r>
    </w:p>
    <w:p w:rsidR="00981775" w:rsidRDefault="00981775" w:rsidP="00981775">
      <w:pPr>
        <w:pStyle w:val="SangriaFrancesaArticulo"/>
      </w:pPr>
    </w:p>
    <w:p w:rsidR="00981775" w:rsidRDefault="00981775" w:rsidP="00981775">
      <w:pPr>
        <w:pStyle w:val="TextoNormalNegritaCursivandice"/>
      </w:pPr>
      <w:r>
        <w:t>Ley 33/1987, de 23 de diciembre. Presupuestos generales del Estado para 1988</w:t>
      </w:r>
    </w:p>
    <w:p w:rsidR="00981775" w:rsidRDefault="00981775" w:rsidP="00981775">
      <w:pPr>
        <w:pStyle w:val="SangriaFrancesaArticulo"/>
      </w:pPr>
      <w:r w:rsidRPr="00981775">
        <w:rPr>
          <w:rStyle w:val="TextoNormalNegritaCaracter"/>
        </w:rPr>
        <w:t>Artículo 33.</w:t>
      </w:r>
      <w:r w:rsidRPr="00981775">
        <w:rPr>
          <w:rStyle w:val="TextoNormalCaracter"/>
        </w:rPr>
        <w:t>-</w:t>
      </w:r>
      <w:r>
        <w:t xml:space="preserve"> Auto </w:t>
      </w:r>
      <w:hyperlink w:anchor="AUTO_2015_173" w:history="1">
        <w:r w:rsidRPr="00981775">
          <w:rPr>
            <w:rStyle w:val="TextoNormalCaracter"/>
          </w:rPr>
          <w:t>173/2015</w:t>
        </w:r>
      </w:hyperlink>
      <w:r>
        <w:t>, f. 4.</w:t>
      </w:r>
    </w:p>
    <w:p w:rsidR="00981775" w:rsidRDefault="00981775" w:rsidP="00981775">
      <w:pPr>
        <w:pStyle w:val="SangriaFrancesaArticulo"/>
      </w:pPr>
    </w:p>
    <w:p w:rsidR="00981775" w:rsidRDefault="00981775" w:rsidP="00981775">
      <w:pPr>
        <w:pStyle w:val="TextoNormalNegritaCursivandice"/>
      </w:pPr>
      <w:r>
        <w:t>Ley 22/1988, de 28 de julio. Costas</w:t>
      </w:r>
    </w:p>
    <w:p w:rsidR="00981775" w:rsidRDefault="00981775" w:rsidP="00981775">
      <w:pPr>
        <w:pStyle w:val="SangriaFrancesaArticulo"/>
      </w:pPr>
      <w:r w:rsidRPr="00981775">
        <w:rPr>
          <w:rStyle w:val="TextoNormalNegritaCaracter"/>
        </w:rPr>
        <w:t>Título II.</w:t>
      </w:r>
      <w:r w:rsidRPr="00981775">
        <w:rPr>
          <w:rStyle w:val="TextoNormalCaracter"/>
        </w:rPr>
        <w:t>-</w:t>
      </w:r>
      <w:r>
        <w:t xml:space="preserve"> Sentencia </w:t>
      </w:r>
      <w:hyperlink w:anchor="SENTENCIA_2015_233" w:history="1">
        <w:r w:rsidRPr="00981775">
          <w:rPr>
            <w:rStyle w:val="TextoNormalCaracter"/>
          </w:rPr>
          <w:t>233/2015</w:t>
        </w:r>
      </w:hyperlink>
      <w:r>
        <w:t>, f. 9.</w:t>
      </w:r>
    </w:p>
    <w:p w:rsidR="00981775" w:rsidRDefault="00981775" w:rsidP="00981775">
      <w:pPr>
        <w:pStyle w:val="SangriaFrancesaArticulo"/>
      </w:pPr>
      <w:r w:rsidRPr="00981775">
        <w:rPr>
          <w:rStyle w:val="TextoNormalNegritaCaracter"/>
        </w:rPr>
        <w:t>Título III.</w:t>
      </w:r>
      <w:r w:rsidRPr="00981775">
        <w:rPr>
          <w:rStyle w:val="TextoNormalCaracter"/>
        </w:rPr>
        <w:t>-</w:t>
      </w:r>
      <w:r>
        <w:t xml:space="preserve"> Sentencia </w:t>
      </w:r>
      <w:hyperlink w:anchor="SENTENCIA_2015_233" w:history="1">
        <w:r w:rsidRPr="00981775">
          <w:rPr>
            <w:rStyle w:val="TextoNormalCaracter"/>
          </w:rPr>
          <w:t>233/2015</w:t>
        </w:r>
      </w:hyperlink>
      <w:r>
        <w:t>, ff. 9, 15.</w:t>
      </w:r>
    </w:p>
    <w:p w:rsidR="00981775" w:rsidRDefault="00981775" w:rsidP="00981775">
      <w:pPr>
        <w:pStyle w:val="SangriaFrancesaArticulo"/>
      </w:pPr>
      <w:r w:rsidRPr="00981775">
        <w:rPr>
          <w:rStyle w:val="TextoNormalNegritaCaracter"/>
        </w:rPr>
        <w:t>Exposición de motivos.</w:t>
      </w:r>
      <w:r w:rsidRPr="00981775">
        <w:rPr>
          <w:rStyle w:val="TextoNormalCaracter"/>
        </w:rPr>
        <w:t>-</w:t>
      </w:r>
      <w:r>
        <w:t xml:space="preserve"> Sentencia </w:t>
      </w:r>
      <w:hyperlink w:anchor="SENTENCIA_2015_233" w:history="1">
        <w:r w:rsidRPr="00981775">
          <w:rPr>
            <w:rStyle w:val="TextoNormalCaracter"/>
          </w:rPr>
          <w:t>233/2015</w:t>
        </w:r>
      </w:hyperlink>
      <w:r>
        <w:t>, f. 10.</w:t>
      </w:r>
    </w:p>
    <w:p w:rsidR="00981775" w:rsidRDefault="00981775" w:rsidP="00981775">
      <w:pPr>
        <w:pStyle w:val="SangriaFrancesaArticulo"/>
      </w:pPr>
      <w:r w:rsidRPr="00981775">
        <w:rPr>
          <w:rStyle w:val="TextoNormalNegritaCaracter"/>
        </w:rPr>
        <w:t>Artículo 1.11</w:t>
      </w:r>
      <w:r>
        <w:t xml:space="preserve"> (redactado por la Ley 2/2013, de 29 de mayo)</w:t>
      </w:r>
      <w:r w:rsidRPr="00981775">
        <w:rPr>
          <w:rStyle w:val="TextoNormalNegritaCaracter"/>
        </w:rPr>
        <w:t>.</w:t>
      </w:r>
      <w:r w:rsidRPr="00981775">
        <w:rPr>
          <w:rStyle w:val="TextoNormalCaracter"/>
        </w:rPr>
        <w:t>-</w:t>
      </w:r>
      <w:r>
        <w:t xml:space="preserve"> Sentencia </w:t>
      </w:r>
      <w:hyperlink w:anchor="SENTENCIA_2015_233" w:history="1">
        <w:r w:rsidRPr="00981775">
          <w:rPr>
            <w:rStyle w:val="TextoNormalCaracter"/>
          </w:rPr>
          <w:t>233/2015</w:t>
        </w:r>
      </w:hyperlink>
      <w:r>
        <w:t>, f. 5.</w:t>
      </w:r>
    </w:p>
    <w:p w:rsidR="00981775" w:rsidRDefault="00981775" w:rsidP="00981775">
      <w:pPr>
        <w:pStyle w:val="SangriaFrancesaArticulo"/>
      </w:pPr>
      <w:r w:rsidRPr="00981775">
        <w:rPr>
          <w:rStyle w:val="TextoNormalNegritaCaracter"/>
        </w:rPr>
        <w:t>Artículo 2.</w:t>
      </w:r>
      <w:r w:rsidRPr="00981775">
        <w:rPr>
          <w:rStyle w:val="TextoNormalCaracter"/>
        </w:rPr>
        <w:t>-</w:t>
      </w:r>
      <w:r>
        <w:t xml:space="preserve"> Sentencia </w:t>
      </w:r>
      <w:hyperlink w:anchor="SENTENCIA_2015_233" w:history="1">
        <w:r w:rsidRPr="00981775">
          <w:rPr>
            <w:rStyle w:val="TextoNormalCaracter"/>
          </w:rPr>
          <w:t>233/2015</w:t>
        </w:r>
      </w:hyperlink>
      <w:r>
        <w:t>, f. 10.</w:t>
      </w:r>
    </w:p>
    <w:p w:rsidR="00981775" w:rsidRDefault="00981775" w:rsidP="00981775">
      <w:pPr>
        <w:pStyle w:val="SangriaFrancesaArticulo"/>
      </w:pPr>
      <w:r w:rsidRPr="00981775">
        <w:rPr>
          <w:rStyle w:val="TextoNormalNegritaCaracter"/>
        </w:rPr>
        <w:t>Artículo 2 a)</w:t>
      </w:r>
      <w:r>
        <w:t xml:space="preserve"> (redactado por la Ley 2/2013, de 29 de mayo)</w:t>
      </w:r>
      <w:r w:rsidRPr="00981775">
        <w:rPr>
          <w:rStyle w:val="TextoNormalNegritaCaracter"/>
        </w:rPr>
        <w:t>.</w:t>
      </w:r>
      <w:r w:rsidRPr="00981775">
        <w:rPr>
          <w:rStyle w:val="TextoNormalCaracter"/>
        </w:rPr>
        <w:t>-</w:t>
      </w:r>
      <w:r>
        <w:t xml:space="preserve"> Sentencia </w:t>
      </w:r>
      <w:hyperlink w:anchor="SENTENCIA_2015_233" w:history="1">
        <w:r w:rsidRPr="00981775">
          <w:rPr>
            <w:rStyle w:val="TextoNormalCaracter"/>
          </w:rPr>
          <w:t>233/2015</w:t>
        </w:r>
      </w:hyperlink>
      <w:r>
        <w:t>, ff. 2, 3.</w:t>
      </w:r>
    </w:p>
    <w:p w:rsidR="00981775" w:rsidRDefault="00981775" w:rsidP="00981775">
      <w:pPr>
        <w:pStyle w:val="SangriaFrancesaArticulo"/>
      </w:pPr>
      <w:r w:rsidRPr="00981775">
        <w:rPr>
          <w:rStyle w:val="TextoNormalNegritaCaracter"/>
        </w:rPr>
        <w:t>Artículo 3</w:t>
      </w:r>
      <w:r>
        <w:t xml:space="preserve"> (redactado por la Ley 2/2013, de 29 de mayo)</w:t>
      </w:r>
      <w:r w:rsidRPr="00981775">
        <w:rPr>
          <w:rStyle w:val="TextoNormalNegritaCaracter"/>
        </w:rPr>
        <w:t>.</w:t>
      </w:r>
      <w:r w:rsidRPr="00981775">
        <w:rPr>
          <w:rStyle w:val="TextoNormalCaracter"/>
        </w:rPr>
        <w:t>-</w:t>
      </w:r>
      <w:r>
        <w:t xml:space="preserve"> Sentencia </w:t>
      </w:r>
      <w:hyperlink w:anchor="SENTENCIA_2015_233" w:history="1">
        <w:r w:rsidRPr="00981775">
          <w:rPr>
            <w:rStyle w:val="TextoNormalCaracter"/>
          </w:rPr>
          <w:t>233/2015</w:t>
        </w:r>
      </w:hyperlink>
      <w:r>
        <w:t>, f. 3.</w:t>
      </w:r>
    </w:p>
    <w:p w:rsidR="00981775" w:rsidRDefault="00981775" w:rsidP="00981775">
      <w:pPr>
        <w:pStyle w:val="SangriaFrancesaArticulo"/>
      </w:pPr>
      <w:r w:rsidRPr="00981775">
        <w:rPr>
          <w:rStyle w:val="TextoNormalNegritaCaracter"/>
        </w:rPr>
        <w:t>Artículo 3, apartado 4.</w:t>
      </w:r>
      <w:r w:rsidRPr="00981775">
        <w:rPr>
          <w:rStyle w:val="TextoNormalCaracter"/>
        </w:rPr>
        <w:t>-</w:t>
      </w:r>
      <w:r>
        <w:t xml:space="preserve"> Sentencia </w:t>
      </w:r>
      <w:hyperlink w:anchor="SENTENCIA_2015_233" w:history="1">
        <w:r w:rsidRPr="00981775">
          <w:rPr>
            <w:rStyle w:val="TextoNormalCaracter"/>
          </w:rPr>
          <w:t>233/2015</w:t>
        </w:r>
      </w:hyperlink>
      <w:r>
        <w:t>, f. 3.</w:t>
      </w:r>
    </w:p>
    <w:p w:rsidR="00981775" w:rsidRDefault="00981775" w:rsidP="00981775">
      <w:pPr>
        <w:pStyle w:val="SangriaFrancesaArticulo"/>
      </w:pPr>
      <w:r w:rsidRPr="00981775">
        <w:rPr>
          <w:rStyle w:val="TextoNormalNegritaCaracter"/>
        </w:rPr>
        <w:t>Artículo 3.1 a)</w:t>
      </w:r>
      <w:r>
        <w:t xml:space="preserve"> (redactado por la Ley 2/2013, de 29 de mayo)</w:t>
      </w:r>
      <w:r w:rsidRPr="00981775">
        <w:rPr>
          <w:rStyle w:val="TextoNormalNegritaCaracter"/>
        </w:rPr>
        <w:t>.</w:t>
      </w:r>
      <w:r w:rsidRPr="00981775">
        <w:rPr>
          <w:rStyle w:val="TextoNormalCaracter"/>
        </w:rPr>
        <w:t>-</w:t>
      </w:r>
      <w:r>
        <w:t xml:space="preserve"> Sentencia </w:t>
      </w:r>
      <w:hyperlink w:anchor="SENTENCIA_2015_233" w:history="1">
        <w:r w:rsidRPr="00981775">
          <w:rPr>
            <w:rStyle w:val="TextoNormalCaracter"/>
          </w:rPr>
          <w:t>233/2015</w:t>
        </w:r>
      </w:hyperlink>
      <w:r>
        <w:t>, ff. 3, 12.</w:t>
      </w:r>
    </w:p>
    <w:p w:rsidR="00981775" w:rsidRDefault="00981775" w:rsidP="00981775">
      <w:pPr>
        <w:pStyle w:val="SangriaFrancesaArticulo"/>
      </w:pPr>
      <w:r w:rsidRPr="00981775">
        <w:rPr>
          <w:rStyle w:val="TextoNormalNegritaCaracter"/>
        </w:rPr>
        <w:t>Artículo 3.1 a), párrafo 3.</w:t>
      </w:r>
      <w:r w:rsidRPr="00981775">
        <w:rPr>
          <w:rStyle w:val="TextoNormalCaracter"/>
        </w:rPr>
        <w:t>-</w:t>
      </w:r>
      <w:r>
        <w:t xml:space="preserve"> Sentencia </w:t>
      </w:r>
      <w:hyperlink w:anchor="SENTENCIA_2015_233" w:history="1">
        <w:r w:rsidRPr="00981775">
          <w:rPr>
            <w:rStyle w:val="TextoNormalCaracter"/>
          </w:rPr>
          <w:t>233/2015</w:t>
        </w:r>
      </w:hyperlink>
      <w:r>
        <w:t>, f. 7.</w:t>
      </w:r>
    </w:p>
    <w:p w:rsidR="00981775" w:rsidRDefault="00981775" w:rsidP="00981775">
      <w:pPr>
        <w:pStyle w:val="SangriaFrancesaArticulo"/>
      </w:pPr>
      <w:r w:rsidRPr="00981775">
        <w:rPr>
          <w:rStyle w:val="TextoNormalNegritaCaracter"/>
        </w:rPr>
        <w:t>Artículo 3.1 b)</w:t>
      </w:r>
      <w:r>
        <w:t xml:space="preserve"> (redactado por la Ley 2/2013, de 29 de mayo)</w:t>
      </w:r>
      <w:r w:rsidRPr="00981775">
        <w:rPr>
          <w:rStyle w:val="TextoNormalNegritaCaracter"/>
        </w:rPr>
        <w:t>.</w:t>
      </w:r>
      <w:r w:rsidRPr="00981775">
        <w:rPr>
          <w:rStyle w:val="TextoNormalCaracter"/>
        </w:rPr>
        <w:t>-</w:t>
      </w:r>
      <w:r>
        <w:t xml:space="preserve"> Sentencia </w:t>
      </w:r>
      <w:hyperlink w:anchor="SENTENCIA_2015_233" w:history="1">
        <w:r w:rsidRPr="00981775">
          <w:rPr>
            <w:rStyle w:val="TextoNormalCaracter"/>
          </w:rPr>
          <w:t>233/2015</w:t>
        </w:r>
      </w:hyperlink>
      <w:r>
        <w:t>, ff. 3, 12.</w:t>
      </w:r>
    </w:p>
    <w:p w:rsidR="00981775" w:rsidRDefault="00981775" w:rsidP="00981775">
      <w:pPr>
        <w:pStyle w:val="SangriaFrancesaArticulo"/>
      </w:pPr>
      <w:r w:rsidRPr="00981775">
        <w:rPr>
          <w:rStyle w:val="TextoNormalNegritaCaracter"/>
        </w:rPr>
        <w:t>Artículo 3.1.a), párrafo 2.</w:t>
      </w:r>
      <w:r w:rsidRPr="00981775">
        <w:rPr>
          <w:rStyle w:val="TextoNormalCaracter"/>
        </w:rPr>
        <w:t>-</w:t>
      </w:r>
      <w:r>
        <w:t xml:space="preserve"> Sentencia </w:t>
      </w:r>
      <w:hyperlink w:anchor="SENTENCIA_2015_233" w:history="1">
        <w:r w:rsidRPr="00981775">
          <w:rPr>
            <w:rStyle w:val="TextoNormalCaracter"/>
          </w:rPr>
          <w:t>233/2015</w:t>
        </w:r>
      </w:hyperlink>
      <w:r>
        <w:t>, f. 7.</w:t>
      </w:r>
    </w:p>
    <w:p w:rsidR="00981775" w:rsidRDefault="00981775" w:rsidP="00981775">
      <w:pPr>
        <w:pStyle w:val="SangriaFrancesaArticulo"/>
      </w:pPr>
      <w:r w:rsidRPr="00981775">
        <w:rPr>
          <w:rStyle w:val="TextoNormalNegritaCaracter"/>
        </w:rPr>
        <w:t>Artículo 4</w:t>
      </w:r>
      <w:r>
        <w:t xml:space="preserve"> (redactado por la Ley 2/2013, de 29 de mayo)</w:t>
      </w:r>
      <w:r w:rsidRPr="00981775">
        <w:rPr>
          <w:rStyle w:val="TextoNormalNegritaCaracter"/>
        </w:rPr>
        <w:t>.</w:t>
      </w:r>
      <w:r w:rsidRPr="00981775">
        <w:rPr>
          <w:rStyle w:val="TextoNormalCaracter"/>
        </w:rPr>
        <w:t>-</w:t>
      </w:r>
      <w:r>
        <w:t xml:space="preserve"> Sentencia </w:t>
      </w:r>
      <w:hyperlink w:anchor="SENTENCIA_2015_233" w:history="1">
        <w:r w:rsidRPr="00981775">
          <w:rPr>
            <w:rStyle w:val="TextoNormalCaracter"/>
          </w:rPr>
          <w:t>233/2015</w:t>
        </w:r>
      </w:hyperlink>
      <w:r>
        <w:t>, f. 3.</w:t>
      </w:r>
    </w:p>
    <w:p w:rsidR="00981775" w:rsidRDefault="00981775" w:rsidP="00981775">
      <w:pPr>
        <w:pStyle w:val="SangriaFrancesaArticulo"/>
      </w:pPr>
      <w:r w:rsidRPr="00981775">
        <w:rPr>
          <w:rStyle w:val="TextoNormalNegritaCaracter"/>
        </w:rPr>
        <w:t>Artículo 4.2.</w:t>
      </w:r>
      <w:r w:rsidRPr="00981775">
        <w:rPr>
          <w:rStyle w:val="TextoNormalCaracter"/>
        </w:rPr>
        <w:t>-</w:t>
      </w:r>
      <w:r>
        <w:t xml:space="preserve"> Sentencia </w:t>
      </w:r>
      <w:hyperlink w:anchor="SENTENCIA_2015_233" w:history="1">
        <w:r w:rsidRPr="00981775">
          <w:rPr>
            <w:rStyle w:val="TextoNormalCaracter"/>
          </w:rPr>
          <w:t>233/2015</w:t>
        </w:r>
      </w:hyperlink>
      <w:r>
        <w:t>, f. 3.</w:t>
      </w:r>
    </w:p>
    <w:p w:rsidR="00981775" w:rsidRDefault="00981775" w:rsidP="00981775">
      <w:pPr>
        <w:pStyle w:val="SangriaFrancesaArticulo"/>
      </w:pPr>
      <w:r w:rsidRPr="00981775">
        <w:rPr>
          <w:rStyle w:val="TextoNormalNegritaCaracter"/>
        </w:rPr>
        <w:t>Artículo 4.3</w:t>
      </w:r>
      <w:r>
        <w:t xml:space="preserve"> (redactado por la Ley 2/2013, de 29 de mayo)</w:t>
      </w:r>
      <w:r w:rsidRPr="00981775">
        <w:rPr>
          <w:rStyle w:val="TextoNormalNegritaCaracter"/>
        </w:rPr>
        <w:t>.</w:t>
      </w:r>
      <w:r w:rsidRPr="00981775">
        <w:rPr>
          <w:rStyle w:val="TextoNormalCaracter"/>
        </w:rPr>
        <w:t>-</w:t>
      </w:r>
      <w:r>
        <w:t xml:space="preserve"> Sentencia </w:t>
      </w:r>
      <w:hyperlink w:anchor="SENTENCIA_2015_233" w:history="1">
        <w:r w:rsidRPr="00981775">
          <w:rPr>
            <w:rStyle w:val="TextoNormalCaracter"/>
          </w:rPr>
          <w:t>233/2015</w:t>
        </w:r>
      </w:hyperlink>
      <w:r>
        <w:t>, f. 3.</w:t>
      </w:r>
    </w:p>
    <w:p w:rsidR="00981775" w:rsidRDefault="00981775" w:rsidP="00981775">
      <w:pPr>
        <w:pStyle w:val="SangriaFrancesaArticulo"/>
      </w:pPr>
      <w:r w:rsidRPr="00981775">
        <w:rPr>
          <w:rStyle w:val="TextoNormalNegritaCaracter"/>
        </w:rPr>
        <w:t>Artículo 4.5.</w:t>
      </w:r>
      <w:r w:rsidRPr="00981775">
        <w:rPr>
          <w:rStyle w:val="TextoNormalCaracter"/>
        </w:rPr>
        <w:t>-</w:t>
      </w:r>
      <w:r>
        <w:t xml:space="preserve"> Sentencia </w:t>
      </w:r>
      <w:hyperlink w:anchor="SENTENCIA_2015_233" w:history="1">
        <w:r w:rsidRPr="00981775">
          <w:rPr>
            <w:rStyle w:val="TextoNormalCaracter"/>
          </w:rPr>
          <w:t>233/2015</w:t>
        </w:r>
      </w:hyperlink>
      <w:r>
        <w:t>, ff. 9, 14.</w:t>
      </w:r>
    </w:p>
    <w:p w:rsidR="00981775" w:rsidRDefault="00981775" w:rsidP="00981775">
      <w:pPr>
        <w:pStyle w:val="SangriaFrancesaArticulo"/>
      </w:pPr>
      <w:r w:rsidRPr="00981775">
        <w:rPr>
          <w:rStyle w:val="TextoNormalNegritaCaracter"/>
        </w:rPr>
        <w:t>Artículo 12.6.</w:t>
      </w:r>
      <w:r w:rsidRPr="00981775">
        <w:rPr>
          <w:rStyle w:val="TextoNormalCaracter"/>
        </w:rPr>
        <w:t>-</w:t>
      </w:r>
      <w:r>
        <w:t xml:space="preserve"> Sentencia </w:t>
      </w:r>
      <w:hyperlink w:anchor="SENTENCIA_2015_233" w:history="1">
        <w:r w:rsidRPr="00981775">
          <w:rPr>
            <w:rStyle w:val="TextoNormalCaracter"/>
          </w:rPr>
          <w:t>233/2015</w:t>
        </w:r>
      </w:hyperlink>
      <w:r>
        <w:t>, f. 11.</w:t>
      </w:r>
    </w:p>
    <w:p w:rsidR="00981775" w:rsidRDefault="00981775" w:rsidP="00981775">
      <w:pPr>
        <w:pStyle w:val="SangriaFrancesaArticulo"/>
      </w:pPr>
      <w:r w:rsidRPr="00981775">
        <w:rPr>
          <w:rStyle w:val="TextoNormalNegritaCaracter"/>
        </w:rPr>
        <w:t>Artículo 13 ter.</w:t>
      </w:r>
      <w:r w:rsidRPr="00981775">
        <w:rPr>
          <w:rStyle w:val="TextoNormalCaracter"/>
        </w:rPr>
        <w:t>-</w:t>
      </w:r>
      <w:r>
        <w:t xml:space="preserve"> Sentencia </w:t>
      </w:r>
      <w:hyperlink w:anchor="SENTENCIA_2015_233" w:history="1">
        <w:r w:rsidRPr="00981775">
          <w:rPr>
            <w:rStyle w:val="TextoNormalCaracter"/>
          </w:rPr>
          <w:t>233/2015</w:t>
        </w:r>
      </w:hyperlink>
      <w:r>
        <w:t>, f. 2.</w:t>
      </w:r>
    </w:p>
    <w:p w:rsidR="00981775" w:rsidRDefault="00981775" w:rsidP="00981775">
      <w:pPr>
        <w:pStyle w:val="SangriaFrancesaArticulo"/>
      </w:pPr>
      <w:r w:rsidRPr="00981775">
        <w:rPr>
          <w:rStyle w:val="TextoNormalNegritaCaracter"/>
        </w:rPr>
        <w:t>Artículo 17.</w:t>
      </w:r>
      <w:r w:rsidRPr="00981775">
        <w:rPr>
          <w:rStyle w:val="TextoNormalCaracter"/>
        </w:rPr>
        <w:t>-</w:t>
      </w:r>
      <w:r>
        <w:t xml:space="preserve"> Sentencia </w:t>
      </w:r>
      <w:hyperlink w:anchor="SENTENCIA_2015_233" w:history="1">
        <w:r w:rsidRPr="00981775">
          <w:rPr>
            <w:rStyle w:val="TextoNormalCaracter"/>
          </w:rPr>
          <w:t>233/2015</w:t>
        </w:r>
      </w:hyperlink>
      <w:r>
        <w:t>, f. 14.</w:t>
      </w:r>
    </w:p>
    <w:p w:rsidR="00981775" w:rsidRDefault="00981775" w:rsidP="00981775">
      <w:pPr>
        <w:pStyle w:val="SangriaFrancesaArticulo"/>
      </w:pPr>
      <w:r w:rsidRPr="00981775">
        <w:rPr>
          <w:rStyle w:val="TextoNormalNegritaCaracter"/>
        </w:rPr>
        <w:t>Artículo 18.</w:t>
      </w:r>
      <w:r w:rsidRPr="00981775">
        <w:rPr>
          <w:rStyle w:val="TextoNormalCaracter"/>
        </w:rPr>
        <w:t>-</w:t>
      </w:r>
      <w:r>
        <w:t xml:space="preserve"> Sentencia </w:t>
      </w:r>
      <w:hyperlink w:anchor="SENTENCIA_2015_233" w:history="1">
        <w:r w:rsidRPr="00981775">
          <w:rPr>
            <w:rStyle w:val="TextoNormalCaracter"/>
          </w:rPr>
          <w:t>233/2015</w:t>
        </w:r>
      </w:hyperlink>
      <w:r>
        <w:t>, f. 14.</w:t>
      </w:r>
    </w:p>
    <w:p w:rsidR="00981775" w:rsidRDefault="00981775" w:rsidP="00981775">
      <w:pPr>
        <w:pStyle w:val="SangriaFrancesaArticulo"/>
      </w:pPr>
      <w:r w:rsidRPr="00981775">
        <w:rPr>
          <w:rStyle w:val="TextoNormalNegritaCaracter"/>
        </w:rPr>
        <w:t>Artículo 18.2.</w:t>
      </w:r>
      <w:r w:rsidRPr="00981775">
        <w:rPr>
          <w:rStyle w:val="TextoNormalCaracter"/>
        </w:rPr>
        <w:t>-</w:t>
      </w:r>
      <w:r>
        <w:t xml:space="preserve"> Sentencia </w:t>
      </w:r>
      <w:hyperlink w:anchor="SENTENCIA_2015_233" w:history="1">
        <w:r w:rsidRPr="00981775">
          <w:rPr>
            <w:rStyle w:val="TextoNormalCaracter"/>
          </w:rPr>
          <w:t>233/2015</w:t>
        </w:r>
      </w:hyperlink>
      <w:r>
        <w:t>, f. 14.</w:t>
      </w:r>
    </w:p>
    <w:p w:rsidR="00981775" w:rsidRDefault="00981775" w:rsidP="00981775">
      <w:pPr>
        <w:pStyle w:val="SangriaFrancesaArticulo"/>
      </w:pPr>
      <w:r w:rsidRPr="00981775">
        <w:rPr>
          <w:rStyle w:val="TextoNormalNegritaCaracter"/>
        </w:rPr>
        <w:t>Artículo 22.</w:t>
      </w:r>
      <w:r w:rsidRPr="00981775">
        <w:rPr>
          <w:rStyle w:val="TextoNormalCaracter"/>
        </w:rPr>
        <w:t>-</w:t>
      </w:r>
      <w:r>
        <w:t xml:space="preserve"> Sentencia </w:t>
      </w:r>
      <w:hyperlink w:anchor="SENTENCIA_2015_233" w:history="1">
        <w:r w:rsidRPr="00981775">
          <w:rPr>
            <w:rStyle w:val="TextoNormalCaracter"/>
          </w:rPr>
          <w:t>233/2015</w:t>
        </w:r>
      </w:hyperlink>
      <w:r>
        <w:t>, f. 9.</w:t>
      </w:r>
    </w:p>
    <w:p w:rsidR="00981775" w:rsidRDefault="00981775" w:rsidP="00981775">
      <w:pPr>
        <w:pStyle w:val="SangriaFrancesaArticulo"/>
      </w:pPr>
      <w:r w:rsidRPr="00981775">
        <w:rPr>
          <w:rStyle w:val="TextoNormalNegritaCaracter"/>
        </w:rPr>
        <w:t>Artículo 23.</w:t>
      </w:r>
      <w:r w:rsidRPr="00981775">
        <w:rPr>
          <w:rStyle w:val="TextoNormalCaracter"/>
        </w:rPr>
        <w:t>-</w:t>
      </w:r>
      <w:r>
        <w:t xml:space="preserve"> Sentencia </w:t>
      </w:r>
      <w:hyperlink w:anchor="SENTENCIA_2015_233" w:history="1">
        <w:r w:rsidRPr="00981775">
          <w:rPr>
            <w:rStyle w:val="TextoNormalCaracter"/>
          </w:rPr>
          <w:t>233/2015</w:t>
        </w:r>
      </w:hyperlink>
      <w:r>
        <w:t>, f. 4.</w:t>
      </w:r>
    </w:p>
    <w:p w:rsidR="00981775" w:rsidRDefault="00981775" w:rsidP="00981775">
      <w:pPr>
        <w:pStyle w:val="SangriaFrancesaArticulo"/>
      </w:pPr>
      <w:r w:rsidRPr="00981775">
        <w:rPr>
          <w:rStyle w:val="TextoNormalNegritaCaracter"/>
        </w:rPr>
        <w:t>Artículo 23.3.</w:t>
      </w:r>
      <w:r w:rsidRPr="00981775">
        <w:rPr>
          <w:rStyle w:val="TextoNormalCaracter"/>
        </w:rPr>
        <w:t>-</w:t>
      </w:r>
      <w:r>
        <w:t xml:space="preserve"> Sentencia </w:t>
      </w:r>
      <w:hyperlink w:anchor="SENTENCIA_2015_233" w:history="1">
        <w:r w:rsidRPr="00981775">
          <w:rPr>
            <w:rStyle w:val="TextoNormalCaracter"/>
          </w:rPr>
          <w:t>233/2015</w:t>
        </w:r>
      </w:hyperlink>
      <w:r>
        <w:t>, f. 4.</w:t>
      </w:r>
    </w:p>
    <w:p w:rsidR="00981775" w:rsidRDefault="00981775" w:rsidP="00981775">
      <w:pPr>
        <w:pStyle w:val="SangriaFrancesaArticulo"/>
      </w:pPr>
      <w:r w:rsidRPr="00981775">
        <w:rPr>
          <w:rStyle w:val="TextoNormalNegritaCaracter"/>
        </w:rPr>
        <w:t>Artículo 25.</w:t>
      </w:r>
      <w:r w:rsidRPr="00981775">
        <w:rPr>
          <w:rStyle w:val="TextoNormalCaracter"/>
        </w:rPr>
        <w:t>-</w:t>
      </w:r>
      <w:r>
        <w:t xml:space="preserve"> Sentencias </w:t>
      </w:r>
      <w:hyperlink w:anchor="SENTENCIA_2015_154" w:history="1">
        <w:r w:rsidRPr="00981775">
          <w:rPr>
            <w:rStyle w:val="TextoNormalCaracter"/>
          </w:rPr>
          <w:t>154/2015</w:t>
        </w:r>
      </w:hyperlink>
      <w:r>
        <w:t xml:space="preserve">, f. 4; </w:t>
      </w:r>
      <w:hyperlink w:anchor="SENTENCIA_2015_233" w:history="1">
        <w:r w:rsidRPr="00981775">
          <w:rPr>
            <w:rStyle w:val="TextoNormalCaracter"/>
          </w:rPr>
          <w:t>233/2015</w:t>
        </w:r>
      </w:hyperlink>
      <w:r>
        <w:t>, ff. 5, 16.</w:t>
      </w:r>
    </w:p>
    <w:p w:rsidR="00981775" w:rsidRDefault="00981775" w:rsidP="00981775">
      <w:pPr>
        <w:pStyle w:val="SangriaFrancesaArticulo"/>
      </w:pPr>
      <w:r w:rsidRPr="00981775">
        <w:rPr>
          <w:rStyle w:val="TextoNormalNegritaCaracter"/>
        </w:rPr>
        <w:t>Artículo 25.1 c)</w:t>
      </w:r>
      <w:r>
        <w:t xml:space="preserve"> (redactado por la Ley 2/2013, de 29 de mayo)</w:t>
      </w:r>
      <w:r w:rsidRPr="00981775">
        <w:rPr>
          <w:rStyle w:val="TextoNormalNegritaCaracter"/>
        </w:rPr>
        <w:t>.</w:t>
      </w:r>
      <w:r w:rsidRPr="00981775">
        <w:rPr>
          <w:rStyle w:val="TextoNormalCaracter"/>
        </w:rPr>
        <w:t>-</w:t>
      </w:r>
      <w:r>
        <w:t xml:space="preserve"> Sentencia </w:t>
      </w:r>
      <w:hyperlink w:anchor="SENTENCIA_2015_233" w:history="1">
        <w:r w:rsidRPr="00981775">
          <w:rPr>
            <w:rStyle w:val="TextoNormalCaracter"/>
          </w:rPr>
          <w:t>233/2015</w:t>
        </w:r>
      </w:hyperlink>
      <w:r>
        <w:t>, f. 5.</w:t>
      </w:r>
    </w:p>
    <w:p w:rsidR="00981775" w:rsidRDefault="00981775" w:rsidP="00981775">
      <w:pPr>
        <w:pStyle w:val="SangriaFrancesaArticulo"/>
      </w:pPr>
      <w:r w:rsidRPr="00981775">
        <w:rPr>
          <w:rStyle w:val="TextoNormalNegritaCaracter"/>
        </w:rPr>
        <w:t>Artículo 25.1 f).</w:t>
      </w:r>
      <w:r w:rsidRPr="00981775">
        <w:rPr>
          <w:rStyle w:val="TextoNormalCaracter"/>
        </w:rPr>
        <w:t>-</w:t>
      </w:r>
      <w:r>
        <w:t xml:space="preserve"> Sentencia </w:t>
      </w:r>
      <w:hyperlink w:anchor="SENTENCIA_2015_233" w:history="1">
        <w:r w:rsidRPr="00981775">
          <w:rPr>
            <w:rStyle w:val="TextoNormalCaracter"/>
          </w:rPr>
          <w:t>233/2015</w:t>
        </w:r>
      </w:hyperlink>
      <w:r>
        <w:t>, f. 5.</w:t>
      </w:r>
    </w:p>
    <w:p w:rsidR="00981775" w:rsidRDefault="00981775" w:rsidP="00981775">
      <w:pPr>
        <w:pStyle w:val="SangriaFrancesaArticulo"/>
      </w:pPr>
      <w:r w:rsidRPr="00981775">
        <w:rPr>
          <w:rStyle w:val="TextoNormalNegritaCaracter"/>
        </w:rPr>
        <w:t>Artículo 25.2</w:t>
      </w:r>
      <w:r>
        <w:t xml:space="preserve"> (redactado por la Ley 2/2013, de 29 de mayo)</w:t>
      </w:r>
      <w:r w:rsidRPr="00981775">
        <w:rPr>
          <w:rStyle w:val="TextoNormalNegritaCaracter"/>
        </w:rPr>
        <w:t>.</w:t>
      </w:r>
      <w:r w:rsidRPr="00981775">
        <w:rPr>
          <w:rStyle w:val="TextoNormalCaracter"/>
        </w:rPr>
        <w:t>-</w:t>
      </w:r>
      <w:r>
        <w:t xml:space="preserve"> Sentencia </w:t>
      </w:r>
      <w:hyperlink w:anchor="SENTENCIA_2015_233" w:history="1">
        <w:r w:rsidRPr="00981775">
          <w:rPr>
            <w:rStyle w:val="TextoNormalCaracter"/>
          </w:rPr>
          <w:t>233/2015</w:t>
        </w:r>
      </w:hyperlink>
      <w:r>
        <w:t>, f. 5.</w:t>
      </w:r>
    </w:p>
    <w:p w:rsidR="00981775" w:rsidRDefault="00981775" w:rsidP="00981775">
      <w:pPr>
        <w:pStyle w:val="SangriaFrancesaArticulo"/>
      </w:pPr>
      <w:r w:rsidRPr="00981775">
        <w:rPr>
          <w:rStyle w:val="TextoNormalNegritaCaracter"/>
        </w:rPr>
        <w:t>Artículo 25.4</w:t>
      </w:r>
      <w:r>
        <w:t xml:space="preserve"> (redactado por  la Ley 2/2013, de 29 de mayo)</w:t>
      </w:r>
      <w:r w:rsidRPr="00981775">
        <w:rPr>
          <w:rStyle w:val="TextoNormalNegritaCaracter"/>
        </w:rPr>
        <w:t>.</w:t>
      </w:r>
      <w:r w:rsidRPr="00981775">
        <w:rPr>
          <w:rStyle w:val="TextoNormalCaracter"/>
        </w:rPr>
        <w:t>-</w:t>
      </w:r>
      <w:r>
        <w:t xml:space="preserve"> Sentencia </w:t>
      </w:r>
      <w:hyperlink w:anchor="SENTENCIA_2015_233" w:history="1">
        <w:r w:rsidRPr="00981775">
          <w:rPr>
            <w:rStyle w:val="TextoNormalCaracter"/>
          </w:rPr>
          <w:t>233/2015</w:t>
        </w:r>
      </w:hyperlink>
      <w:r>
        <w:t>, f. 5.</w:t>
      </w:r>
    </w:p>
    <w:p w:rsidR="00981775" w:rsidRDefault="00981775" w:rsidP="00981775">
      <w:pPr>
        <w:pStyle w:val="SangriaFrancesaArticulo"/>
      </w:pPr>
      <w:r w:rsidRPr="00981775">
        <w:rPr>
          <w:rStyle w:val="TextoNormalNegritaCaracter"/>
        </w:rPr>
        <w:t>Artículo 32.1.</w:t>
      </w:r>
      <w:r w:rsidRPr="00981775">
        <w:rPr>
          <w:rStyle w:val="TextoNormalCaracter"/>
        </w:rPr>
        <w:t>-</w:t>
      </w:r>
      <w:r>
        <w:t xml:space="preserve"> Sentencia </w:t>
      </w:r>
      <w:hyperlink w:anchor="SENTENCIA_2015_233" w:history="1">
        <w:r w:rsidRPr="00981775">
          <w:rPr>
            <w:rStyle w:val="TextoNormalCaracter"/>
          </w:rPr>
          <w:t>233/2015</w:t>
        </w:r>
      </w:hyperlink>
      <w:r>
        <w:t>, ff. 7, 10, 15.</w:t>
      </w:r>
    </w:p>
    <w:p w:rsidR="00981775" w:rsidRDefault="00981775" w:rsidP="00981775">
      <w:pPr>
        <w:pStyle w:val="SangriaFrancesaArticulo"/>
      </w:pPr>
      <w:r w:rsidRPr="00981775">
        <w:rPr>
          <w:rStyle w:val="TextoNormalNegritaCaracter"/>
        </w:rPr>
        <w:t>Artículo 33.</w:t>
      </w:r>
      <w:r w:rsidRPr="00981775">
        <w:rPr>
          <w:rStyle w:val="TextoNormalCaracter"/>
        </w:rPr>
        <w:t>-</w:t>
      </w:r>
      <w:r>
        <w:t xml:space="preserve"> Sentencia </w:t>
      </w:r>
      <w:hyperlink w:anchor="SENTENCIA_2015_233" w:history="1">
        <w:r w:rsidRPr="00981775">
          <w:rPr>
            <w:rStyle w:val="TextoNormalCaracter"/>
          </w:rPr>
          <w:t>233/2015</w:t>
        </w:r>
      </w:hyperlink>
      <w:r>
        <w:t>, f. 6.</w:t>
      </w:r>
    </w:p>
    <w:p w:rsidR="00981775" w:rsidRDefault="00981775" w:rsidP="00981775">
      <w:pPr>
        <w:pStyle w:val="SangriaFrancesaArticulo"/>
      </w:pPr>
      <w:r w:rsidRPr="00981775">
        <w:rPr>
          <w:rStyle w:val="TextoNormalNegritaCaracter"/>
        </w:rPr>
        <w:t>Artículo 33.6</w:t>
      </w:r>
      <w:r>
        <w:t xml:space="preserve"> (redactado por Ley 2/2013, de 29 de mayo)</w:t>
      </w:r>
      <w:r w:rsidRPr="00981775">
        <w:rPr>
          <w:rStyle w:val="TextoNormalNegritaCaracter"/>
        </w:rPr>
        <w:t>.</w:t>
      </w:r>
      <w:r w:rsidRPr="00981775">
        <w:rPr>
          <w:rStyle w:val="TextoNormalCaracter"/>
        </w:rPr>
        <w:t>-</w:t>
      </w:r>
      <w:r>
        <w:t xml:space="preserve"> Sentencia </w:t>
      </w:r>
      <w:hyperlink w:anchor="SENTENCIA_2015_233" w:history="1">
        <w:r w:rsidRPr="00981775">
          <w:rPr>
            <w:rStyle w:val="TextoNormalCaracter"/>
          </w:rPr>
          <w:t>233/2015</w:t>
        </w:r>
      </w:hyperlink>
      <w:r>
        <w:t>, f. 6.</w:t>
      </w:r>
    </w:p>
    <w:p w:rsidR="00981775" w:rsidRDefault="00981775" w:rsidP="00981775">
      <w:pPr>
        <w:pStyle w:val="SangriaFrancesaArticulo"/>
      </w:pPr>
      <w:r w:rsidRPr="00981775">
        <w:rPr>
          <w:rStyle w:val="TextoNormalNegritaCaracter"/>
        </w:rPr>
        <w:t>Artículo 44.2.</w:t>
      </w:r>
      <w:r w:rsidRPr="00981775">
        <w:rPr>
          <w:rStyle w:val="TextoNormalCaracter"/>
        </w:rPr>
        <w:t>-</w:t>
      </w:r>
      <w:r>
        <w:t xml:space="preserve"> Sentencia </w:t>
      </w:r>
      <w:hyperlink w:anchor="SENTENCIA_2015_233" w:history="1">
        <w:r w:rsidRPr="00981775">
          <w:rPr>
            <w:rStyle w:val="TextoNormalCaracter"/>
          </w:rPr>
          <w:t>233/2015</w:t>
        </w:r>
      </w:hyperlink>
      <w:r>
        <w:t>, f. 2.</w:t>
      </w:r>
    </w:p>
    <w:p w:rsidR="00981775" w:rsidRDefault="00981775" w:rsidP="00981775">
      <w:pPr>
        <w:pStyle w:val="SangriaFrancesaArticulo"/>
      </w:pPr>
      <w:r w:rsidRPr="00981775">
        <w:rPr>
          <w:rStyle w:val="TextoNormalNegritaCaracter"/>
        </w:rPr>
        <w:t>Artículo 44.6.</w:t>
      </w:r>
      <w:r w:rsidRPr="00981775">
        <w:rPr>
          <w:rStyle w:val="TextoNormalCaracter"/>
        </w:rPr>
        <w:t>-</w:t>
      </w:r>
      <w:r>
        <w:t xml:space="preserve"> Sentencia </w:t>
      </w:r>
      <w:hyperlink w:anchor="SENTENCIA_2015_233" w:history="1">
        <w:r w:rsidRPr="00981775">
          <w:rPr>
            <w:rStyle w:val="TextoNormalCaracter"/>
          </w:rPr>
          <w:t>233/2015</w:t>
        </w:r>
      </w:hyperlink>
      <w:r>
        <w:t>, f. 15.</w:t>
      </w:r>
    </w:p>
    <w:p w:rsidR="00981775" w:rsidRDefault="00981775" w:rsidP="00981775">
      <w:pPr>
        <w:pStyle w:val="SangriaFrancesaArticulo"/>
      </w:pPr>
      <w:r w:rsidRPr="00981775">
        <w:rPr>
          <w:rStyle w:val="TextoNormalNegritaCaracter"/>
        </w:rPr>
        <w:t>Artículo 63.</w:t>
      </w:r>
      <w:r w:rsidRPr="00981775">
        <w:rPr>
          <w:rStyle w:val="TextoNormalCaracter"/>
        </w:rPr>
        <w:t>-</w:t>
      </w:r>
      <w:r>
        <w:t xml:space="preserve"> Sentencia </w:t>
      </w:r>
      <w:hyperlink w:anchor="SENTENCIA_2015_233" w:history="1">
        <w:r w:rsidRPr="00981775">
          <w:rPr>
            <w:rStyle w:val="TextoNormalCaracter"/>
          </w:rPr>
          <w:t>233/2015</w:t>
        </w:r>
      </w:hyperlink>
      <w:r>
        <w:t>, f. 5.</w:t>
      </w:r>
    </w:p>
    <w:p w:rsidR="00981775" w:rsidRDefault="00981775" w:rsidP="00981775">
      <w:pPr>
        <w:pStyle w:val="SangriaFrancesaArticulo"/>
      </w:pPr>
      <w:r w:rsidRPr="00981775">
        <w:rPr>
          <w:rStyle w:val="TextoNormalNegritaCaracter"/>
        </w:rPr>
        <w:t>Artículo 65.</w:t>
      </w:r>
      <w:r w:rsidRPr="00981775">
        <w:rPr>
          <w:rStyle w:val="TextoNormalCaracter"/>
        </w:rPr>
        <w:t>-</w:t>
      </w:r>
      <w:r>
        <w:t xml:space="preserve"> Sentencia </w:t>
      </w:r>
      <w:hyperlink w:anchor="SENTENCIA_2015_233" w:history="1">
        <w:r w:rsidRPr="00981775">
          <w:rPr>
            <w:rStyle w:val="TextoNormalCaracter"/>
          </w:rPr>
          <w:t>233/2015</w:t>
        </w:r>
      </w:hyperlink>
      <w:r>
        <w:t>, f. 10.</w:t>
      </w:r>
    </w:p>
    <w:p w:rsidR="00981775" w:rsidRDefault="00981775" w:rsidP="00981775">
      <w:pPr>
        <w:pStyle w:val="SangriaFrancesaArticulo"/>
      </w:pPr>
      <w:r w:rsidRPr="00981775">
        <w:rPr>
          <w:rStyle w:val="TextoNormalNegritaCaracter"/>
        </w:rPr>
        <w:t>Artículo 66.2</w:t>
      </w:r>
      <w:r>
        <w:t xml:space="preserve"> (redactado por la Ley 2/2013, de 29 de mayo)</w:t>
      </w:r>
      <w:r w:rsidRPr="00981775">
        <w:rPr>
          <w:rStyle w:val="TextoNormalNegritaCaracter"/>
        </w:rPr>
        <w:t>.</w:t>
      </w:r>
      <w:r w:rsidRPr="00981775">
        <w:rPr>
          <w:rStyle w:val="TextoNormalCaracter"/>
        </w:rPr>
        <w:t>-</w:t>
      </w:r>
      <w:r>
        <w:t xml:space="preserve"> Sentencia </w:t>
      </w:r>
      <w:hyperlink w:anchor="SENTENCIA_2015_233" w:history="1">
        <w:r w:rsidRPr="00981775">
          <w:rPr>
            <w:rStyle w:val="TextoNormalCaracter"/>
          </w:rPr>
          <w:t>233/2015</w:t>
        </w:r>
      </w:hyperlink>
      <w:r>
        <w:t>, f. 10.</w:t>
      </w:r>
    </w:p>
    <w:p w:rsidR="00981775" w:rsidRDefault="00981775" w:rsidP="00981775">
      <w:pPr>
        <w:pStyle w:val="SangriaFrancesaArticulo"/>
      </w:pPr>
      <w:r w:rsidRPr="00981775">
        <w:rPr>
          <w:rStyle w:val="TextoNormalNegritaCaracter"/>
        </w:rPr>
        <w:t>Artículo 72.1.</w:t>
      </w:r>
      <w:r w:rsidRPr="00981775">
        <w:rPr>
          <w:rStyle w:val="TextoNormalCaracter"/>
        </w:rPr>
        <w:t>-</w:t>
      </w:r>
      <w:r>
        <w:t xml:space="preserve"> Sentencia </w:t>
      </w:r>
      <w:hyperlink w:anchor="SENTENCIA_2015_233" w:history="1">
        <w:r w:rsidRPr="00981775">
          <w:rPr>
            <w:rStyle w:val="TextoNormalCaracter"/>
          </w:rPr>
          <w:t>233/2015</w:t>
        </w:r>
      </w:hyperlink>
      <w:r>
        <w:t>, f. 10.</w:t>
      </w:r>
    </w:p>
    <w:p w:rsidR="00981775" w:rsidRDefault="00981775" w:rsidP="00981775">
      <w:pPr>
        <w:pStyle w:val="SangriaFrancesaArticulo"/>
      </w:pPr>
      <w:r w:rsidRPr="00981775">
        <w:rPr>
          <w:rStyle w:val="TextoNormalNegritaCaracter"/>
        </w:rPr>
        <w:t>Artículo 72.3.</w:t>
      </w:r>
      <w:r w:rsidRPr="00981775">
        <w:rPr>
          <w:rStyle w:val="TextoNormalCaracter"/>
        </w:rPr>
        <w:t>-</w:t>
      </w:r>
      <w:r>
        <w:t xml:space="preserve"> Sentencia </w:t>
      </w:r>
      <w:hyperlink w:anchor="SENTENCIA_2015_233" w:history="1">
        <w:r w:rsidRPr="00981775">
          <w:rPr>
            <w:rStyle w:val="TextoNormalCaracter"/>
          </w:rPr>
          <w:t>233/2015</w:t>
        </w:r>
      </w:hyperlink>
      <w:r>
        <w:t>, f. 10.</w:t>
      </w:r>
    </w:p>
    <w:p w:rsidR="00981775" w:rsidRDefault="00981775" w:rsidP="00981775">
      <w:pPr>
        <w:pStyle w:val="SangriaFrancesaArticulo"/>
      </w:pPr>
      <w:r w:rsidRPr="00981775">
        <w:rPr>
          <w:rStyle w:val="TextoNormalNegritaCaracter"/>
        </w:rPr>
        <w:t>Artículo 76 m).</w:t>
      </w:r>
      <w:r w:rsidRPr="00981775">
        <w:rPr>
          <w:rStyle w:val="TextoNormalCaracter"/>
        </w:rPr>
        <w:t>-</w:t>
      </w:r>
      <w:r>
        <w:t xml:space="preserve"> Sentencia </w:t>
      </w:r>
      <w:hyperlink w:anchor="SENTENCIA_2015_233" w:history="1">
        <w:r w:rsidRPr="00981775">
          <w:rPr>
            <w:rStyle w:val="TextoNormalCaracter"/>
          </w:rPr>
          <w:t>233/2015</w:t>
        </w:r>
      </w:hyperlink>
      <w:r>
        <w:t>, f. 2.</w:t>
      </w:r>
    </w:p>
    <w:p w:rsidR="00981775" w:rsidRDefault="00981775" w:rsidP="00981775">
      <w:pPr>
        <w:pStyle w:val="SangriaFrancesaArticulo"/>
      </w:pPr>
      <w:r w:rsidRPr="00981775">
        <w:rPr>
          <w:rStyle w:val="TextoNormalNegritaCaracter"/>
        </w:rPr>
        <w:t>Artículo 110 c).</w:t>
      </w:r>
      <w:r w:rsidRPr="00981775">
        <w:rPr>
          <w:rStyle w:val="TextoNormalCaracter"/>
        </w:rPr>
        <w:t>-</w:t>
      </w:r>
      <w:r>
        <w:t xml:space="preserve"> Sentencia </w:t>
      </w:r>
      <w:hyperlink w:anchor="SENTENCIA_2015_233" w:history="1">
        <w:r w:rsidRPr="00981775">
          <w:rPr>
            <w:rStyle w:val="TextoNormalCaracter"/>
          </w:rPr>
          <w:t>233/2015</w:t>
        </w:r>
      </w:hyperlink>
      <w:r>
        <w:t>, f. 9.</w:t>
      </w:r>
    </w:p>
    <w:p w:rsidR="00981775" w:rsidRDefault="00981775" w:rsidP="00981775">
      <w:pPr>
        <w:pStyle w:val="SangriaFrancesaArticulo"/>
      </w:pPr>
      <w:r w:rsidRPr="00981775">
        <w:rPr>
          <w:rStyle w:val="TextoNormalNegritaCaracter"/>
        </w:rPr>
        <w:t>Artículo 112.</w:t>
      </w:r>
      <w:r w:rsidRPr="00981775">
        <w:rPr>
          <w:rStyle w:val="TextoNormalCaracter"/>
        </w:rPr>
        <w:t>-</w:t>
      </w:r>
      <w:r>
        <w:t xml:space="preserve"> Sentencia </w:t>
      </w:r>
      <w:hyperlink w:anchor="SENTENCIA_2015_233" w:history="1">
        <w:r w:rsidRPr="00981775">
          <w:rPr>
            <w:rStyle w:val="TextoNormalCaracter"/>
          </w:rPr>
          <w:t>233/2015</w:t>
        </w:r>
      </w:hyperlink>
      <w:r>
        <w:t>, f. 9.</w:t>
      </w:r>
    </w:p>
    <w:p w:rsidR="00981775" w:rsidRDefault="00981775" w:rsidP="00981775">
      <w:pPr>
        <w:pStyle w:val="SangriaFrancesaArticulo"/>
      </w:pPr>
      <w:r w:rsidRPr="00981775">
        <w:rPr>
          <w:rStyle w:val="TextoNormalNegritaCaracter"/>
        </w:rPr>
        <w:t>Artículo 117.</w:t>
      </w:r>
      <w:r w:rsidRPr="00981775">
        <w:rPr>
          <w:rStyle w:val="TextoNormalCaracter"/>
        </w:rPr>
        <w:t>-</w:t>
      </w:r>
      <w:r>
        <w:t xml:space="preserve"> Sentencia </w:t>
      </w:r>
      <w:hyperlink w:anchor="SENTENCIA_2015_233" w:history="1">
        <w:r w:rsidRPr="00981775">
          <w:rPr>
            <w:rStyle w:val="TextoNormalCaracter"/>
          </w:rPr>
          <w:t>233/2015</w:t>
        </w:r>
      </w:hyperlink>
      <w:r>
        <w:t>, f. 9.</w:t>
      </w:r>
    </w:p>
    <w:p w:rsidR="00981775" w:rsidRDefault="00981775" w:rsidP="00981775">
      <w:pPr>
        <w:pStyle w:val="SangriaFrancesaArticulo"/>
      </w:pPr>
      <w:r w:rsidRPr="00981775">
        <w:rPr>
          <w:rStyle w:val="TextoNormalNegritaCaracter"/>
        </w:rPr>
        <w:t>Disposición adicional décima, apartado 1.</w:t>
      </w:r>
      <w:r w:rsidRPr="00981775">
        <w:rPr>
          <w:rStyle w:val="TextoNormalCaracter"/>
        </w:rPr>
        <w:t>-</w:t>
      </w:r>
      <w:r>
        <w:t xml:space="preserve"> Sentencia </w:t>
      </w:r>
      <w:hyperlink w:anchor="SENTENCIA_2015_233" w:history="1">
        <w:r w:rsidRPr="00981775">
          <w:rPr>
            <w:rStyle w:val="TextoNormalCaracter"/>
          </w:rPr>
          <w:t>233/2015</w:t>
        </w:r>
      </w:hyperlink>
      <w:r>
        <w:t>, f. 9.</w:t>
      </w:r>
    </w:p>
    <w:p w:rsidR="00981775" w:rsidRDefault="00981775" w:rsidP="00981775">
      <w:pPr>
        <w:pStyle w:val="SangriaFrancesaArticulo"/>
      </w:pPr>
      <w:r w:rsidRPr="00981775">
        <w:rPr>
          <w:rStyle w:val="TextoNormalNegritaCaracter"/>
        </w:rPr>
        <w:t>Disposición adicional décima, apartado 3.</w:t>
      </w:r>
      <w:r w:rsidRPr="00981775">
        <w:rPr>
          <w:rStyle w:val="TextoNormalCaracter"/>
        </w:rPr>
        <w:t>-</w:t>
      </w:r>
      <w:r>
        <w:t xml:space="preserve"> Sentencia </w:t>
      </w:r>
      <w:hyperlink w:anchor="SENTENCIA_2015_233" w:history="1">
        <w:r w:rsidRPr="00981775">
          <w:rPr>
            <w:rStyle w:val="TextoNormalCaracter"/>
          </w:rPr>
          <w:t>233/2015</w:t>
        </w:r>
      </w:hyperlink>
      <w:r>
        <w:t>, f. 9.</w:t>
      </w:r>
    </w:p>
    <w:p w:rsidR="00981775" w:rsidRDefault="00981775" w:rsidP="00981775">
      <w:pPr>
        <w:pStyle w:val="SangriaFrancesaArticulo"/>
      </w:pPr>
      <w:r w:rsidRPr="00981775">
        <w:rPr>
          <w:rStyle w:val="TextoNormalNegritaCaracter"/>
        </w:rPr>
        <w:t>Disposición adicional décima, apartado 3 a).</w:t>
      </w:r>
      <w:r w:rsidRPr="00981775">
        <w:rPr>
          <w:rStyle w:val="TextoNormalCaracter"/>
        </w:rPr>
        <w:t>-</w:t>
      </w:r>
      <w:r>
        <w:t xml:space="preserve"> Sentencia </w:t>
      </w:r>
      <w:hyperlink w:anchor="SENTENCIA_2015_233" w:history="1">
        <w:r w:rsidRPr="00981775">
          <w:rPr>
            <w:rStyle w:val="TextoNormalCaracter"/>
          </w:rPr>
          <w:t>233/2015</w:t>
        </w:r>
      </w:hyperlink>
      <w:r>
        <w:t>, f. 9.</w:t>
      </w:r>
    </w:p>
    <w:p w:rsidR="00981775" w:rsidRDefault="00981775" w:rsidP="00981775">
      <w:pPr>
        <w:pStyle w:val="SangriaFrancesaArticulo"/>
      </w:pPr>
      <w:r w:rsidRPr="00981775">
        <w:rPr>
          <w:rStyle w:val="TextoNormalNegritaCaracter"/>
        </w:rPr>
        <w:t>Disposición adicional décima</w:t>
      </w:r>
      <w:r>
        <w:t xml:space="preserve"> (redactada por la Ley 2/2013, de 29 de mayo)</w:t>
      </w:r>
      <w:r w:rsidRPr="00981775">
        <w:rPr>
          <w:rStyle w:val="TextoNormalNegritaCaracter"/>
        </w:rPr>
        <w:t>.</w:t>
      </w:r>
      <w:r w:rsidRPr="00981775">
        <w:rPr>
          <w:rStyle w:val="TextoNormalCaracter"/>
        </w:rPr>
        <w:t>-</w:t>
      </w:r>
      <w:r>
        <w:t xml:space="preserve"> Sentencia </w:t>
      </w:r>
      <w:hyperlink w:anchor="SENTENCIA_2015_233" w:history="1">
        <w:r w:rsidRPr="00981775">
          <w:rPr>
            <w:rStyle w:val="TextoNormalCaracter"/>
          </w:rPr>
          <w:t>233/2015</w:t>
        </w:r>
      </w:hyperlink>
      <w:r>
        <w:t>, f. 9.</w:t>
      </w:r>
    </w:p>
    <w:p w:rsidR="00981775" w:rsidRDefault="00981775" w:rsidP="00981775">
      <w:pPr>
        <w:pStyle w:val="SangriaFrancesaArticulo"/>
      </w:pPr>
      <w:r w:rsidRPr="00981775">
        <w:rPr>
          <w:rStyle w:val="TextoNormalNegritaCaracter"/>
        </w:rPr>
        <w:t>Disposición transitoria primera, apartado 1.</w:t>
      </w:r>
      <w:r w:rsidRPr="00981775">
        <w:rPr>
          <w:rStyle w:val="TextoNormalCaracter"/>
        </w:rPr>
        <w:t>-</w:t>
      </w:r>
      <w:r>
        <w:t xml:space="preserve"> Sentencia </w:t>
      </w:r>
      <w:hyperlink w:anchor="SENTENCIA_2015_233" w:history="1">
        <w:r w:rsidRPr="00981775">
          <w:rPr>
            <w:rStyle w:val="TextoNormalCaracter"/>
          </w:rPr>
          <w:t>233/2015</w:t>
        </w:r>
      </w:hyperlink>
      <w:r>
        <w:t>, f. 10.</w:t>
      </w:r>
    </w:p>
    <w:p w:rsidR="00981775" w:rsidRDefault="00981775" w:rsidP="00981775">
      <w:pPr>
        <w:pStyle w:val="SangriaFrancesaArticulo"/>
      </w:pPr>
      <w:r w:rsidRPr="00981775">
        <w:rPr>
          <w:rStyle w:val="TextoNormalNegritaCaracter"/>
        </w:rPr>
        <w:t>Disposición transitoria primera, apartado 2.</w:t>
      </w:r>
      <w:r w:rsidRPr="00981775">
        <w:rPr>
          <w:rStyle w:val="TextoNormalCaracter"/>
        </w:rPr>
        <w:t>-</w:t>
      </w:r>
      <w:r>
        <w:t xml:space="preserve"> Sentencia </w:t>
      </w:r>
      <w:hyperlink w:anchor="SENTENCIA_2015_233" w:history="1">
        <w:r w:rsidRPr="00981775">
          <w:rPr>
            <w:rStyle w:val="TextoNormalCaracter"/>
          </w:rPr>
          <w:t>233/2015</w:t>
        </w:r>
      </w:hyperlink>
      <w:r>
        <w:t>, ff. 7, 10.</w:t>
      </w:r>
    </w:p>
    <w:p w:rsidR="00981775" w:rsidRDefault="00981775" w:rsidP="00981775">
      <w:pPr>
        <w:pStyle w:val="SangriaFrancesaArticulo"/>
      </w:pPr>
      <w:r w:rsidRPr="00981775">
        <w:rPr>
          <w:rStyle w:val="TextoNormalNegritaCaracter"/>
        </w:rPr>
        <w:t>Disposición transitoria primera, apartado 3.</w:t>
      </w:r>
      <w:r w:rsidRPr="00981775">
        <w:rPr>
          <w:rStyle w:val="TextoNormalCaracter"/>
        </w:rPr>
        <w:t>-</w:t>
      </w:r>
      <w:r>
        <w:t xml:space="preserve"> Sentencia </w:t>
      </w:r>
      <w:hyperlink w:anchor="SENTENCIA_2015_233" w:history="1">
        <w:r w:rsidRPr="00981775">
          <w:rPr>
            <w:rStyle w:val="TextoNormalCaracter"/>
          </w:rPr>
          <w:t>233/2015</w:t>
        </w:r>
      </w:hyperlink>
      <w:r>
        <w:t>, ff. 7, 10.</w:t>
      </w:r>
    </w:p>
    <w:p w:rsidR="00981775" w:rsidRDefault="00981775" w:rsidP="00981775">
      <w:pPr>
        <w:pStyle w:val="SangriaFrancesaArticulo"/>
      </w:pPr>
      <w:r w:rsidRPr="00981775">
        <w:rPr>
          <w:rStyle w:val="TextoNormalNegritaCaracter"/>
        </w:rPr>
        <w:t>Disposición transitoria primera, apartado 5.</w:t>
      </w:r>
      <w:r w:rsidRPr="00981775">
        <w:rPr>
          <w:rStyle w:val="TextoNormalCaracter"/>
        </w:rPr>
        <w:t>-</w:t>
      </w:r>
      <w:r>
        <w:t xml:space="preserve"> Sentencia </w:t>
      </w:r>
      <w:hyperlink w:anchor="SENTENCIA_2015_233" w:history="1">
        <w:r w:rsidRPr="00981775">
          <w:rPr>
            <w:rStyle w:val="TextoNormalCaracter"/>
          </w:rPr>
          <w:t>233/2015</w:t>
        </w:r>
      </w:hyperlink>
      <w:r>
        <w:t>, ff. 1, 7.</w:t>
      </w:r>
    </w:p>
    <w:p w:rsidR="00981775" w:rsidRDefault="00981775" w:rsidP="00981775">
      <w:pPr>
        <w:pStyle w:val="SangriaFrancesaArticulo"/>
      </w:pPr>
      <w:r w:rsidRPr="00981775">
        <w:rPr>
          <w:rStyle w:val="TextoNormalNegritaCaracter"/>
        </w:rPr>
        <w:t>Disposición transitoria primera</w:t>
      </w:r>
      <w:r>
        <w:t xml:space="preserve"> (redactada por Ley 2/2013, de 29 de mayo)</w:t>
      </w:r>
      <w:r w:rsidRPr="00981775">
        <w:rPr>
          <w:rStyle w:val="TextoNormalNegritaCaracter"/>
        </w:rPr>
        <w:t>.</w:t>
      </w:r>
      <w:r w:rsidRPr="00981775">
        <w:rPr>
          <w:rStyle w:val="TextoNormalCaracter"/>
        </w:rPr>
        <w:t>-</w:t>
      </w:r>
      <w:r>
        <w:t xml:space="preserve"> Sentencia </w:t>
      </w:r>
      <w:hyperlink w:anchor="SENTENCIA_2015_233" w:history="1">
        <w:r w:rsidRPr="00981775">
          <w:rPr>
            <w:rStyle w:val="TextoNormalCaracter"/>
          </w:rPr>
          <w:t>233/2015</w:t>
        </w:r>
      </w:hyperlink>
      <w:r>
        <w:t>, f. 7.</w:t>
      </w:r>
    </w:p>
    <w:p w:rsidR="00981775" w:rsidRDefault="00981775" w:rsidP="00981775">
      <w:pPr>
        <w:pStyle w:val="SangriaFrancesaArticulo"/>
      </w:pPr>
      <w:r w:rsidRPr="00981775">
        <w:rPr>
          <w:rStyle w:val="TextoNormalNegritaCaracter"/>
        </w:rPr>
        <w:t>Disposición transitoria primera, apartado 2</w:t>
      </w:r>
      <w:r>
        <w:t xml:space="preserve"> (redactada por la Ley 2/2013, de 29 de mayo)</w:t>
      </w:r>
      <w:r w:rsidRPr="00981775">
        <w:rPr>
          <w:rStyle w:val="TextoNormalNegritaCaracter"/>
        </w:rPr>
        <w:t>.</w:t>
      </w:r>
      <w:r w:rsidRPr="00981775">
        <w:rPr>
          <w:rStyle w:val="TextoNormalCaracter"/>
        </w:rPr>
        <w:t>-</w:t>
      </w:r>
      <w:r>
        <w:t xml:space="preserve"> Sentencia </w:t>
      </w:r>
      <w:hyperlink w:anchor="SENTENCIA_2015_233" w:history="1">
        <w:r w:rsidRPr="00981775">
          <w:rPr>
            <w:rStyle w:val="TextoNormalCaracter"/>
          </w:rPr>
          <w:t>233/2015</w:t>
        </w:r>
      </w:hyperlink>
      <w:r>
        <w:t>, f. 10.</w:t>
      </w:r>
    </w:p>
    <w:p w:rsidR="00981775" w:rsidRDefault="00981775" w:rsidP="00981775">
      <w:pPr>
        <w:pStyle w:val="SangriaFrancesaArticulo"/>
      </w:pPr>
      <w:r w:rsidRPr="00981775">
        <w:rPr>
          <w:rStyle w:val="TextoNormalNegritaCaracter"/>
        </w:rPr>
        <w:t>Disposición transitoria primera, apartado 3</w:t>
      </w:r>
      <w:r>
        <w:t xml:space="preserve"> (redactada por la Ley 2/2013, de 29 de mayo)</w:t>
      </w:r>
      <w:r w:rsidRPr="00981775">
        <w:rPr>
          <w:rStyle w:val="TextoNormalNegritaCaracter"/>
        </w:rPr>
        <w:t>.</w:t>
      </w:r>
      <w:r w:rsidRPr="00981775">
        <w:rPr>
          <w:rStyle w:val="TextoNormalCaracter"/>
        </w:rPr>
        <w:t>-</w:t>
      </w:r>
      <w:r>
        <w:t xml:space="preserve"> Sentencia </w:t>
      </w:r>
      <w:hyperlink w:anchor="SENTENCIA_2015_233" w:history="1">
        <w:r w:rsidRPr="00981775">
          <w:rPr>
            <w:rStyle w:val="TextoNormalCaracter"/>
          </w:rPr>
          <w:t>233/2015</w:t>
        </w:r>
      </w:hyperlink>
      <w:r>
        <w:t>, f. 10.</w:t>
      </w:r>
    </w:p>
    <w:p w:rsidR="00981775" w:rsidRDefault="00981775" w:rsidP="00981775">
      <w:pPr>
        <w:pStyle w:val="SangriaFrancesaArticulo"/>
      </w:pPr>
      <w:r w:rsidRPr="00981775">
        <w:rPr>
          <w:rStyle w:val="TextoNormalNegritaCaracter"/>
        </w:rPr>
        <w:t>Disposición transitoria tercera.</w:t>
      </w:r>
      <w:r w:rsidRPr="00981775">
        <w:rPr>
          <w:rStyle w:val="TextoNormalCaracter"/>
        </w:rPr>
        <w:t>-</w:t>
      </w:r>
      <w:r>
        <w:t xml:space="preserve"> Sentencia </w:t>
      </w:r>
      <w:hyperlink w:anchor="SENTENCIA_2015_233" w:history="1">
        <w:r w:rsidRPr="00981775">
          <w:rPr>
            <w:rStyle w:val="TextoNormalCaracter"/>
          </w:rPr>
          <w:t>233/2015</w:t>
        </w:r>
      </w:hyperlink>
      <w:r>
        <w:t>, f. 4.</w:t>
      </w:r>
    </w:p>
    <w:p w:rsidR="00981775" w:rsidRDefault="00981775" w:rsidP="00981775">
      <w:pPr>
        <w:pStyle w:val="SangriaFrancesaArticulo"/>
      </w:pPr>
      <w:r w:rsidRPr="00981775">
        <w:rPr>
          <w:rStyle w:val="TextoNormalNegritaCaracter"/>
        </w:rPr>
        <w:t>Disposición transitoria tercera, apartado 3.</w:t>
      </w:r>
      <w:r w:rsidRPr="00981775">
        <w:rPr>
          <w:rStyle w:val="TextoNormalCaracter"/>
        </w:rPr>
        <w:t>-</w:t>
      </w:r>
      <w:r>
        <w:t xml:space="preserve"> Sentencia </w:t>
      </w:r>
      <w:hyperlink w:anchor="SENTENCIA_2015_233" w:history="1">
        <w:r w:rsidRPr="00981775">
          <w:rPr>
            <w:rStyle w:val="TextoNormalCaracter"/>
          </w:rPr>
          <w:t>233/2015</w:t>
        </w:r>
      </w:hyperlink>
      <w:r>
        <w:t>, f. 16.</w:t>
      </w:r>
    </w:p>
    <w:p w:rsidR="00981775" w:rsidRDefault="00981775" w:rsidP="00981775">
      <w:pPr>
        <w:pStyle w:val="SangriaFrancesaArticulo"/>
      </w:pPr>
      <w:r w:rsidRPr="00981775">
        <w:rPr>
          <w:rStyle w:val="TextoNormalNegritaCaracter"/>
        </w:rPr>
        <w:t>Disposición transitoria cuarta, apartado 1.</w:t>
      </w:r>
      <w:r w:rsidRPr="00981775">
        <w:rPr>
          <w:rStyle w:val="TextoNormalCaracter"/>
        </w:rPr>
        <w:t>-</w:t>
      </w:r>
      <w:r>
        <w:t xml:space="preserve"> Sentencia </w:t>
      </w:r>
      <w:hyperlink w:anchor="SENTENCIA_2015_233" w:history="1">
        <w:r w:rsidRPr="00981775">
          <w:rPr>
            <w:rStyle w:val="TextoNormalCaracter"/>
          </w:rPr>
          <w:t>233/2015</w:t>
        </w:r>
      </w:hyperlink>
      <w:r>
        <w:t>, f. 8.</w:t>
      </w:r>
    </w:p>
    <w:p w:rsidR="00981775" w:rsidRDefault="00981775" w:rsidP="00981775">
      <w:pPr>
        <w:pStyle w:val="SangriaFrancesaArticulo"/>
      </w:pPr>
      <w:r w:rsidRPr="00981775">
        <w:rPr>
          <w:rStyle w:val="TextoNormalNegritaCaracter"/>
        </w:rPr>
        <w:t>Disposición transitoria cuarta</w:t>
      </w:r>
      <w:r>
        <w:t xml:space="preserve"> (redactada por la Ley 2/2013, de 29 de mayo)</w:t>
      </w:r>
      <w:r w:rsidRPr="00981775">
        <w:rPr>
          <w:rStyle w:val="TextoNormalNegritaCaracter"/>
        </w:rPr>
        <w:t>.</w:t>
      </w:r>
      <w:r w:rsidRPr="00981775">
        <w:rPr>
          <w:rStyle w:val="TextoNormalCaracter"/>
        </w:rPr>
        <w:t>-</w:t>
      </w:r>
      <w:r>
        <w:t xml:space="preserve"> Sentencia </w:t>
      </w:r>
      <w:hyperlink w:anchor="SENTENCIA_2015_233" w:history="1">
        <w:r w:rsidRPr="00981775">
          <w:rPr>
            <w:rStyle w:val="TextoNormalCaracter"/>
          </w:rPr>
          <w:t>233/2015</w:t>
        </w:r>
      </w:hyperlink>
      <w:r>
        <w:t>, f. 8.</w:t>
      </w:r>
    </w:p>
    <w:p w:rsidR="00981775" w:rsidRDefault="00981775" w:rsidP="00981775">
      <w:pPr>
        <w:pStyle w:val="SangriaFrancesaArticulo"/>
      </w:pPr>
      <w:r w:rsidRPr="00981775">
        <w:rPr>
          <w:rStyle w:val="TextoNormalNegritaCaracter"/>
        </w:rPr>
        <w:t>Disposición transitoria cuarta, apartado 2 a)</w:t>
      </w:r>
      <w:r>
        <w:t xml:space="preserve"> (redactada por la Ley 2/2013, de 29 de mayo)</w:t>
      </w:r>
      <w:r w:rsidRPr="00981775">
        <w:rPr>
          <w:rStyle w:val="TextoNormalNegritaCaracter"/>
        </w:rPr>
        <w:t>.</w:t>
      </w:r>
      <w:r w:rsidRPr="00981775">
        <w:rPr>
          <w:rStyle w:val="TextoNormalCaracter"/>
        </w:rPr>
        <w:t>-</w:t>
      </w:r>
      <w:r>
        <w:t xml:space="preserve"> Sentencia </w:t>
      </w:r>
      <w:hyperlink w:anchor="SENTENCIA_2015_233" w:history="1">
        <w:r w:rsidRPr="00981775">
          <w:rPr>
            <w:rStyle w:val="TextoNormalCaracter"/>
          </w:rPr>
          <w:t>233/2015</w:t>
        </w:r>
      </w:hyperlink>
      <w:r>
        <w:t>, f. 8.</w:t>
      </w:r>
    </w:p>
    <w:p w:rsidR="00981775" w:rsidRDefault="00981775" w:rsidP="00981775">
      <w:pPr>
        <w:pStyle w:val="SangriaFrancesaArticulo"/>
      </w:pPr>
      <w:r w:rsidRPr="00981775">
        <w:rPr>
          <w:rStyle w:val="TextoNormalNegritaCaracter"/>
        </w:rPr>
        <w:t>Disposición transitoria cuarta, apartado 2 b)</w:t>
      </w:r>
      <w:r>
        <w:t xml:space="preserve"> (redactada por la Ley 2/2013, de 29 de mayo)</w:t>
      </w:r>
      <w:r w:rsidRPr="00981775">
        <w:rPr>
          <w:rStyle w:val="TextoNormalNegritaCaracter"/>
        </w:rPr>
        <w:t>.</w:t>
      </w:r>
      <w:r w:rsidRPr="00981775">
        <w:rPr>
          <w:rStyle w:val="TextoNormalCaracter"/>
        </w:rPr>
        <w:t>-</w:t>
      </w:r>
      <w:r>
        <w:t xml:space="preserve"> Sentencia </w:t>
      </w:r>
      <w:hyperlink w:anchor="SENTENCIA_2015_233" w:history="1">
        <w:r w:rsidRPr="00981775">
          <w:rPr>
            <w:rStyle w:val="TextoNormalCaracter"/>
          </w:rPr>
          <w:t>233/2015</w:t>
        </w:r>
      </w:hyperlink>
      <w:r>
        <w:t>, f. 8.</w:t>
      </w:r>
    </w:p>
    <w:p w:rsidR="00981775" w:rsidRDefault="00981775" w:rsidP="00981775">
      <w:pPr>
        <w:pStyle w:val="SangriaFrancesaArticulo"/>
      </w:pPr>
      <w:r w:rsidRPr="00981775">
        <w:rPr>
          <w:rStyle w:val="TextoNormalNegritaCaracter"/>
        </w:rPr>
        <w:t>Disposición transitoria cuarta, apartado 2 c)</w:t>
      </w:r>
      <w:r>
        <w:t xml:space="preserve"> (redactada por la Ley 2/2013, de 29 de mayo)</w:t>
      </w:r>
      <w:r w:rsidRPr="00981775">
        <w:rPr>
          <w:rStyle w:val="TextoNormalNegritaCaracter"/>
        </w:rPr>
        <w:t>.</w:t>
      </w:r>
      <w:r w:rsidRPr="00981775">
        <w:rPr>
          <w:rStyle w:val="TextoNormalCaracter"/>
        </w:rPr>
        <w:t>-</w:t>
      </w:r>
      <w:r>
        <w:t xml:space="preserve"> Sentencia </w:t>
      </w:r>
      <w:hyperlink w:anchor="SENTENCIA_2015_233" w:history="1">
        <w:r w:rsidRPr="00981775">
          <w:rPr>
            <w:rStyle w:val="TextoNormalCaracter"/>
          </w:rPr>
          <w:t>233/2015</w:t>
        </w:r>
      </w:hyperlink>
      <w:r>
        <w:t>, f. 8.</w:t>
      </w:r>
    </w:p>
    <w:p w:rsidR="00981775" w:rsidRDefault="00981775" w:rsidP="00981775">
      <w:pPr>
        <w:pStyle w:val="SangriaFrancesaArticulo"/>
      </w:pPr>
      <w:r w:rsidRPr="00981775">
        <w:rPr>
          <w:rStyle w:val="TextoNormalNegritaCaracter"/>
        </w:rPr>
        <w:t>Disposición transitoria cuarta, apartado 3</w:t>
      </w:r>
      <w:r>
        <w:t xml:space="preserve"> (redactada por la Ley 2/2013, de 29 de mayo)</w:t>
      </w:r>
      <w:r w:rsidRPr="00981775">
        <w:rPr>
          <w:rStyle w:val="TextoNormalNegritaCaracter"/>
        </w:rPr>
        <w:t>.</w:t>
      </w:r>
      <w:r w:rsidRPr="00981775">
        <w:rPr>
          <w:rStyle w:val="TextoNormalCaracter"/>
        </w:rPr>
        <w:t>-</w:t>
      </w:r>
      <w:r>
        <w:t xml:space="preserve"> Sentencia </w:t>
      </w:r>
      <w:hyperlink w:anchor="SENTENCIA_2015_233" w:history="1">
        <w:r w:rsidRPr="00981775">
          <w:rPr>
            <w:rStyle w:val="TextoNormalCaracter"/>
          </w:rPr>
          <w:t>233/2015</w:t>
        </w:r>
      </w:hyperlink>
      <w:r>
        <w:t>, f. 8.</w:t>
      </w:r>
    </w:p>
    <w:p w:rsidR="00981775" w:rsidRDefault="00981775" w:rsidP="00981775">
      <w:pPr>
        <w:pStyle w:val="SangriaFrancesaArticulo"/>
      </w:pPr>
    </w:p>
    <w:p w:rsidR="00981775" w:rsidRDefault="00981775" w:rsidP="00981775">
      <w:pPr>
        <w:pStyle w:val="TextoNormalNegritaCursivandice"/>
      </w:pPr>
      <w:r>
        <w:t>Ley 30/1992, de 26 de noviembre. Régimen jurídico de las Administraciones públicas y del procedimiento administrativo común</w:t>
      </w:r>
    </w:p>
    <w:p w:rsidR="00981775" w:rsidRDefault="00981775" w:rsidP="00981775">
      <w:pPr>
        <w:pStyle w:val="SangriaFrancesaArticulo"/>
      </w:pPr>
      <w:r w:rsidRPr="00981775">
        <w:rPr>
          <w:rStyle w:val="TextoNormalNegritaCaracter"/>
        </w:rPr>
        <w:t>Artículo 2.2.</w:t>
      </w:r>
      <w:r w:rsidRPr="00981775">
        <w:rPr>
          <w:rStyle w:val="TextoNormalCaracter"/>
        </w:rPr>
        <w:t>-</w:t>
      </w:r>
      <w:r>
        <w:t xml:space="preserve"> Sentencia </w:t>
      </w:r>
      <w:hyperlink w:anchor="SENTENCIA_2015_236" w:history="1">
        <w:r w:rsidRPr="00981775">
          <w:rPr>
            <w:rStyle w:val="TextoNormalCaracter"/>
          </w:rPr>
          <w:t>236/2015</w:t>
        </w:r>
      </w:hyperlink>
      <w:r>
        <w:t>, f. 5, VP.</w:t>
      </w:r>
    </w:p>
    <w:p w:rsidR="00981775" w:rsidRDefault="00981775" w:rsidP="00981775">
      <w:pPr>
        <w:pStyle w:val="SangriaFrancesaArticulo"/>
      </w:pPr>
      <w:r w:rsidRPr="00981775">
        <w:rPr>
          <w:rStyle w:val="TextoNormalNegritaCaracter"/>
        </w:rPr>
        <w:t>Artículo 5.</w:t>
      </w:r>
      <w:r w:rsidRPr="00981775">
        <w:rPr>
          <w:rStyle w:val="TextoNormalCaracter"/>
        </w:rPr>
        <w:t>-</w:t>
      </w:r>
      <w:r>
        <w:t xml:space="preserve"> Sentencia </w:t>
      </w:r>
      <w:hyperlink w:anchor="SENTENCIA_2015_176" w:history="1">
        <w:r w:rsidRPr="00981775">
          <w:rPr>
            <w:rStyle w:val="TextoNormalCaracter"/>
          </w:rPr>
          <w:t>176/2015</w:t>
        </w:r>
      </w:hyperlink>
      <w:r>
        <w:t>, f. 3.</w:t>
      </w:r>
    </w:p>
    <w:p w:rsidR="00981775" w:rsidRDefault="00981775" w:rsidP="00981775">
      <w:pPr>
        <w:pStyle w:val="SangriaFrancesaArticulo"/>
      </w:pPr>
      <w:r w:rsidRPr="00981775">
        <w:rPr>
          <w:rStyle w:val="TextoNormalNegritaCaracter"/>
        </w:rPr>
        <w:t>Artículo 67.</w:t>
      </w:r>
      <w:r w:rsidRPr="00981775">
        <w:rPr>
          <w:rStyle w:val="TextoNormalCaracter"/>
        </w:rPr>
        <w:t>-</w:t>
      </w:r>
      <w:r>
        <w:t xml:space="preserve"> Sentencia </w:t>
      </w:r>
      <w:hyperlink w:anchor="SENTENCIA_2015_231" w:history="1">
        <w:r w:rsidRPr="00981775">
          <w:rPr>
            <w:rStyle w:val="TextoNormalCaracter"/>
          </w:rPr>
          <w:t>231/2015</w:t>
        </w:r>
      </w:hyperlink>
      <w:r>
        <w:t>, f. 4.</w:t>
      </w:r>
    </w:p>
    <w:p w:rsidR="00981775" w:rsidRDefault="00981775" w:rsidP="00981775">
      <w:pPr>
        <w:pStyle w:val="SangriaFrancesaArticulo"/>
      </w:pPr>
      <w:r w:rsidRPr="00981775">
        <w:rPr>
          <w:rStyle w:val="TextoNormalNegritaCaracter"/>
        </w:rPr>
        <w:t>Artículo 71 bis</w:t>
      </w:r>
      <w:r>
        <w:t xml:space="preserve"> (redactado por la Ley 25/2009, de 22 de diciembre)</w:t>
      </w:r>
      <w:r w:rsidRPr="00981775">
        <w:rPr>
          <w:rStyle w:val="TextoNormalNegritaCaracter"/>
        </w:rPr>
        <w:t>.</w:t>
      </w:r>
      <w:r w:rsidRPr="00981775">
        <w:rPr>
          <w:rStyle w:val="TextoNormalCaracter"/>
        </w:rPr>
        <w:t>-</w:t>
      </w:r>
      <w:r>
        <w:t xml:space="preserve"> Sentencia </w:t>
      </w:r>
      <w:hyperlink w:anchor="SENTENCIA_2015_237" w:history="1">
        <w:r w:rsidRPr="00981775">
          <w:rPr>
            <w:rStyle w:val="TextoNormalCaracter"/>
          </w:rPr>
          <w:t>237/2015</w:t>
        </w:r>
      </w:hyperlink>
      <w:r>
        <w:t>, f. 5.</w:t>
      </w:r>
    </w:p>
    <w:p w:rsidR="00981775" w:rsidRDefault="00981775" w:rsidP="00981775">
      <w:pPr>
        <w:pStyle w:val="SangriaFrancesaArticulo"/>
      </w:pPr>
    </w:p>
    <w:p w:rsidR="00981775" w:rsidRDefault="00981775" w:rsidP="00981775">
      <w:pPr>
        <w:pStyle w:val="TextoNormalNegritaCursivandice"/>
      </w:pPr>
      <w:r>
        <w:t>Ley 37/1992, de 28 de diciembre. Impuesto sobre el valor añadido</w:t>
      </w:r>
    </w:p>
    <w:p w:rsidR="00981775" w:rsidRDefault="00981775" w:rsidP="00981775">
      <w:pPr>
        <w:pStyle w:val="SangriaFrancesaArticulo"/>
      </w:pPr>
      <w:r w:rsidRPr="00981775">
        <w:rPr>
          <w:rStyle w:val="TextoNormalNegritaCaracter"/>
        </w:rPr>
        <w:t>Artículo 4.</w:t>
      </w:r>
      <w:r w:rsidRPr="00981775">
        <w:rPr>
          <w:rStyle w:val="TextoNormalCaracter"/>
        </w:rPr>
        <w:t>-</w:t>
      </w:r>
      <w:r>
        <w:t xml:space="preserve"> Auto </w:t>
      </w:r>
      <w:hyperlink w:anchor="AUTO_2015_196" w:history="1">
        <w:r w:rsidRPr="00981775">
          <w:rPr>
            <w:rStyle w:val="TextoNormalCaracter"/>
          </w:rPr>
          <w:t>196/2015</w:t>
        </w:r>
      </w:hyperlink>
      <w:r>
        <w:t>, f. 1.</w:t>
      </w:r>
    </w:p>
    <w:p w:rsidR="00981775" w:rsidRDefault="00981775" w:rsidP="00981775">
      <w:pPr>
        <w:pStyle w:val="SangriaFrancesaArticulo"/>
      </w:pPr>
      <w:r w:rsidRPr="00981775">
        <w:rPr>
          <w:rStyle w:val="TextoNormalNegritaCaracter"/>
        </w:rPr>
        <w:t>Artículo 69.tres, apartados 3 y 4.</w:t>
      </w:r>
      <w:r w:rsidRPr="00981775">
        <w:rPr>
          <w:rStyle w:val="TextoNormalCaracter"/>
        </w:rPr>
        <w:t>-</w:t>
      </w:r>
      <w:r>
        <w:t xml:space="preserve"> Auto </w:t>
      </w:r>
      <w:hyperlink w:anchor="AUTO_2015_196" w:history="1">
        <w:r w:rsidRPr="00981775">
          <w:rPr>
            <w:rStyle w:val="TextoNormalCaracter"/>
          </w:rPr>
          <w:t>196/2015</w:t>
        </w:r>
      </w:hyperlink>
      <w:r>
        <w:t>, f. 1.</w:t>
      </w:r>
    </w:p>
    <w:p w:rsidR="00981775" w:rsidRDefault="00981775" w:rsidP="00981775">
      <w:pPr>
        <w:pStyle w:val="SangriaFrancesaArticulo"/>
      </w:pPr>
    </w:p>
    <w:p w:rsidR="00981775" w:rsidRDefault="00981775" w:rsidP="00981775">
      <w:pPr>
        <w:pStyle w:val="TextoNormalNegritaCursivandice"/>
      </w:pPr>
      <w:r>
        <w:t>Ley 14/1994, de 1 de junio. Regula las empresas de trabajo temporal</w:t>
      </w:r>
    </w:p>
    <w:p w:rsidR="00981775" w:rsidRDefault="00981775" w:rsidP="00981775">
      <w:pPr>
        <w:pStyle w:val="SangriaFrancesaArticulo"/>
      </w:pPr>
      <w:r w:rsidRPr="00981775">
        <w:rPr>
          <w:rStyle w:val="TextoNormalNegritaCaracter"/>
        </w:rPr>
        <w:t>Artículo 2.</w:t>
      </w:r>
      <w:r w:rsidRPr="00981775">
        <w:rPr>
          <w:rStyle w:val="TextoNormalCaracter"/>
        </w:rPr>
        <w:t>-</w:t>
      </w:r>
      <w:r>
        <w:t xml:space="preserve"> Sentencia </w:t>
      </w:r>
      <w:hyperlink w:anchor="SENTENCIA_2015_199" w:history="1">
        <w:r w:rsidRPr="00981775">
          <w:rPr>
            <w:rStyle w:val="TextoNormalCaracter"/>
          </w:rPr>
          <w:t>199/2015</w:t>
        </w:r>
      </w:hyperlink>
      <w:r>
        <w:t>, f. 9.</w:t>
      </w:r>
    </w:p>
    <w:p w:rsidR="00981775" w:rsidRDefault="00981775" w:rsidP="00981775">
      <w:pPr>
        <w:pStyle w:val="SangriaFrancesaArticulo"/>
      </w:pPr>
    </w:p>
    <w:p w:rsidR="00981775" w:rsidRDefault="00981775" w:rsidP="00981775">
      <w:pPr>
        <w:pStyle w:val="TextoNormalNegritaCursivandice"/>
      </w:pPr>
      <w:r>
        <w:t>Ley 29/1994, de 24 de noviembre. Arrendamientos urbanos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16" w:history="1">
        <w:r w:rsidRPr="00981775">
          <w:rPr>
            <w:rStyle w:val="TextoNormalCaracter"/>
          </w:rPr>
          <w:t>216/2015</w:t>
        </w:r>
      </w:hyperlink>
      <w:r>
        <w:t>, f. 3.</w:t>
      </w:r>
    </w:p>
    <w:p w:rsidR="00981775" w:rsidRDefault="00981775" w:rsidP="00981775">
      <w:pPr>
        <w:pStyle w:val="SangriaFrancesaArticulo"/>
      </w:pPr>
    </w:p>
    <w:p w:rsidR="00981775" w:rsidRDefault="00981775" w:rsidP="00981775">
      <w:pPr>
        <w:pStyle w:val="TextoNormalNegritaCursivandice"/>
      </w:pPr>
      <w:r>
        <w:t>Ley 42/1994, de 30 de diciembre. Medidas fiscales, administrativas y de orden social</w:t>
      </w:r>
    </w:p>
    <w:p w:rsidR="00981775" w:rsidRDefault="00981775" w:rsidP="00981775">
      <w:pPr>
        <w:pStyle w:val="SangriaFrancesaArticulo"/>
      </w:pPr>
      <w:r w:rsidRPr="00981775">
        <w:rPr>
          <w:rStyle w:val="TextoNormalNegritaCaracter"/>
        </w:rPr>
        <w:t>Artículo 61.</w:t>
      </w:r>
      <w:r w:rsidRPr="00981775">
        <w:rPr>
          <w:rStyle w:val="TextoNormalCaracter"/>
        </w:rPr>
        <w:t>-</w:t>
      </w:r>
      <w:r>
        <w:t xml:space="preserve"> Sentencia </w:t>
      </w:r>
      <w:hyperlink w:anchor="SENTENCIA_2015_200" w:history="1">
        <w:r w:rsidRPr="00981775">
          <w:rPr>
            <w:rStyle w:val="TextoNormalCaracter"/>
          </w:rPr>
          <w:t>200/2015</w:t>
        </w:r>
      </w:hyperlink>
      <w:r>
        <w:t>, f. 4.</w:t>
      </w:r>
    </w:p>
    <w:p w:rsidR="00981775" w:rsidRDefault="00981775" w:rsidP="00981775">
      <w:pPr>
        <w:pStyle w:val="SangriaFrancesaArticulo"/>
      </w:pPr>
    </w:p>
    <w:p w:rsidR="00981775" w:rsidRDefault="00981775" w:rsidP="00981775">
      <w:pPr>
        <w:pStyle w:val="TextoNormalNegritaCursivandice"/>
      </w:pPr>
      <w:r>
        <w:t>Ley 31/1995, de 8 de noviembre. Prevención de riesgos laborales</w:t>
      </w:r>
    </w:p>
    <w:p w:rsidR="00981775" w:rsidRDefault="00981775" w:rsidP="00981775">
      <w:pPr>
        <w:pStyle w:val="SangriaFrancesaArticulo"/>
      </w:pPr>
      <w:r w:rsidRPr="00981775">
        <w:rPr>
          <w:rStyle w:val="TextoNormalNegritaCaracter"/>
        </w:rPr>
        <w:t>Artículo 5.5.</w:t>
      </w:r>
      <w:r w:rsidRPr="00981775">
        <w:rPr>
          <w:rStyle w:val="TextoNormalCaracter"/>
        </w:rPr>
        <w:t>-</w:t>
      </w:r>
      <w:r>
        <w:t xml:space="preserve"> Sentencia </w:t>
      </w:r>
      <w:hyperlink w:anchor="SENTENCIA_2015_198" w:history="1">
        <w:r w:rsidRPr="00981775">
          <w:rPr>
            <w:rStyle w:val="TextoNormalCaracter"/>
          </w:rPr>
          <w:t>198/2015</w:t>
        </w:r>
      </w:hyperlink>
      <w:r>
        <w:t>, f. 2.</w:t>
      </w:r>
    </w:p>
    <w:p w:rsidR="00981775" w:rsidRDefault="00981775" w:rsidP="00981775">
      <w:pPr>
        <w:pStyle w:val="SangriaFrancesaArticulo"/>
      </w:pPr>
      <w:r w:rsidRPr="00981775">
        <w:rPr>
          <w:rStyle w:val="TextoNormalNegritaCaracter"/>
        </w:rPr>
        <w:t>Artículo 7.</w:t>
      </w:r>
      <w:r w:rsidRPr="00981775">
        <w:rPr>
          <w:rStyle w:val="TextoNormalCaracter"/>
        </w:rPr>
        <w:t>-</w:t>
      </w:r>
      <w:r>
        <w:t xml:space="preserve"> Sentencia </w:t>
      </w:r>
      <w:hyperlink w:anchor="SENTENCIA_2015_198" w:history="1">
        <w:r w:rsidRPr="00981775">
          <w:rPr>
            <w:rStyle w:val="TextoNormalCaracter"/>
          </w:rPr>
          <w:t>198/2015</w:t>
        </w:r>
      </w:hyperlink>
      <w:r>
        <w:t>, f. 2, VP I.</w:t>
      </w:r>
    </w:p>
    <w:p w:rsidR="00981775" w:rsidRDefault="00981775" w:rsidP="00981775">
      <w:pPr>
        <w:pStyle w:val="SangriaFrancesaArticulo"/>
      </w:pPr>
      <w:r w:rsidRPr="00981775">
        <w:rPr>
          <w:rStyle w:val="TextoNormalNegritaCaracter"/>
        </w:rPr>
        <w:t>Artículo 8.</w:t>
      </w:r>
      <w:r w:rsidRPr="00981775">
        <w:rPr>
          <w:rStyle w:val="TextoNormalCaracter"/>
        </w:rPr>
        <w:t>-</w:t>
      </w:r>
      <w:r>
        <w:t xml:space="preserve"> Sentencia </w:t>
      </w:r>
      <w:hyperlink w:anchor="SENTENCIA_2015_198" w:history="1">
        <w:r w:rsidRPr="00981775">
          <w:rPr>
            <w:rStyle w:val="TextoNormalCaracter"/>
          </w:rPr>
          <w:t>198/2015</w:t>
        </w:r>
      </w:hyperlink>
      <w:r>
        <w:t>, f. 2.</w:t>
      </w:r>
    </w:p>
    <w:p w:rsidR="00981775" w:rsidRDefault="00981775" w:rsidP="00981775">
      <w:pPr>
        <w:pStyle w:val="SangriaFrancesaArticulo"/>
      </w:pPr>
      <w:r w:rsidRPr="00981775">
        <w:rPr>
          <w:rStyle w:val="TextoNormalNegritaCaracter"/>
        </w:rPr>
        <w:t>Artículo 14.</w:t>
      </w:r>
      <w:r w:rsidRPr="00981775">
        <w:rPr>
          <w:rStyle w:val="TextoNormalCaracter"/>
        </w:rPr>
        <w:t>-</w:t>
      </w:r>
      <w:r>
        <w:t xml:space="preserve"> Sentencia </w:t>
      </w:r>
      <w:hyperlink w:anchor="SENTENCIA_2015_198" w:history="1">
        <w:r w:rsidRPr="00981775">
          <w:rPr>
            <w:rStyle w:val="TextoNormalCaracter"/>
          </w:rPr>
          <w:t>198/2015</w:t>
        </w:r>
      </w:hyperlink>
      <w:r>
        <w:t>, f. 4.</w:t>
      </w:r>
    </w:p>
    <w:p w:rsidR="00981775" w:rsidRDefault="00981775" w:rsidP="00981775">
      <w:pPr>
        <w:pStyle w:val="SangriaFrancesaArticulo"/>
      </w:pPr>
      <w:r w:rsidRPr="00981775">
        <w:rPr>
          <w:rStyle w:val="TextoNormalNegritaCaracter"/>
        </w:rPr>
        <w:t>Artículo 30.</w:t>
      </w:r>
      <w:r w:rsidRPr="00981775">
        <w:rPr>
          <w:rStyle w:val="TextoNormalCaracter"/>
        </w:rPr>
        <w:t>-</w:t>
      </w:r>
      <w:r>
        <w:t xml:space="preserve"> Sentencia </w:t>
      </w:r>
      <w:hyperlink w:anchor="SENTENCIA_2015_198" w:history="1">
        <w:r w:rsidRPr="00981775">
          <w:rPr>
            <w:rStyle w:val="TextoNormalCaracter"/>
          </w:rPr>
          <w:t>198/2015</w:t>
        </w:r>
      </w:hyperlink>
      <w:r>
        <w:t>, f. 4.</w:t>
      </w:r>
    </w:p>
    <w:p w:rsidR="00981775" w:rsidRDefault="00981775" w:rsidP="00981775">
      <w:pPr>
        <w:pStyle w:val="SangriaFrancesaArticulo"/>
      </w:pPr>
      <w:r w:rsidRPr="00981775">
        <w:rPr>
          <w:rStyle w:val="TextoNormalNegritaCaracter"/>
        </w:rPr>
        <w:t>Disposición adicional decimoséptima.</w:t>
      </w:r>
      <w:r w:rsidRPr="00981775">
        <w:rPr>
          <w:rStyle w:val="TextoNormalCaracter"/>
        </w:rPr>
        <w:t>-</w:t>
      </w:r>
      <w:r>
        <w:t xml:space="preserve"> Sentencia </w:t>
      </w:r>
      <w:hyperlink w:anchor="SENTENCIA_2015_198" w:history="1">
        <w:r w:rsidRPr="00981775">
          <w:rPr>
            <w:rStyle w:val="TextoNormalCaracter"/>
          </w:rPr>
          <w:t>198/2015</w:t>
        </w:r>
      </w:hyperlink>
      <w:r>
        <w:t>, ff. 1, 2, 4, VP I.</w:t>
      </w:r>
    </w:p>
    <w:p w:rsidR="00981775" w:rsidRDefault="00981775" w:rsidP="00981775">
      <w:pPr>
        <w:pStyle w:val="SangriaFrancesaArticulo"/>
      </w:pPr>
    </w:p>
    <w:p w:rsidR="00981775" w:rsidRDefault="00981775" w:rsidP="00981775">
      <w:pPr>
        <w:pStyle w:val="TextoNormalNegritaCursivandice"/>
      </w:pPr>
      <w:r>
        <w:t>Ley 1/1996, de 10 de enero. Asistencia jurídica gratuita</w:t>
      </w:r>
    </w:p>
    <w:p w:rsidR="00981775" w:rsidRDefault="00981775" w:rsidP="00981775">
      <w:pPr>
        <w:pStyle w:val="SangriaFrancesaArticulo"/>
      </w:pPr>
      <w:r w:rsidRPr="00981775">
        <w:rPr>
          <w:rStyle w:val="TextoNormalNegritaCaracter"/>
        </w:rPr>
        <w:t>Artículo 2.</w:t>
      </w:r>
      <w:r w:rsidRPr="00981775">
        <w:rPr>
          <w:rStyle w:val="TextoNormalCaracter"/>
        </w:rPr>
        <w:t>-</w:t>
      </w:r>
      <w:r>
        <w:t xml:space="preserve"> Auto </w:t>
      </w:r>
      <w:hyperlink w:anchor="AUTO_2015_164" w:history="1">
        <w:r w:rsidRPr="00981775">
          <w:rPr>
            <w:rStyle w:val="TextoNormalCaracter"/>
          </w:rPr>
          <w:t>164/2015</w:t>
        </w:r>
      </w:hyperlink>
      <w:r>
        <w:t>, f. 1.</w:t>
      </w:r>
    </w:p>
    <w:p w:rsidR="00981775" w:rsidRDefault="00981775" w:rsidP="00981775">
      <w:pPr>
        <w:pStyle w:val="SangriaFrancesaArticulo"/>
      </w:pPr>
      <w:r w:rsidRPr="00981775">
        <w:rPr>
          <w:rStyle w:val="TextoNormalNegritaCaracter"/>
        </w:rPr>
        <w:t>Artículo 3.</w:t>
      </w:r>
      <w:r w:rsidRPr="00981775">
        <w:rPr>
          <w:rStyle w:val="TextoNormalCaracter"/>
        </w:rPr>
        <w:t>-</w:t>
      </w:r>
      <w:r>
        <w:t xml:space="preserve"> Auto </w:t>
      </w:r>
      <w:hyperlink w:anchor="AUTO_2015_164" w:history="1">
        <w:r w:rsidRPr="00981775">
          <w:rPr>
            <w:rStyle w:val="TextoNormalCaracter"/>
          </w:rPr>
          <w:t>164/2015</w:t>
        </w:r>
      </w:hyperlink>
      <w:r>
        <w:t>, f. 1.</w:t>
      </w:r>
    </w:p>
    <w:p w:rsidR="00981775" w:rsidRDefault="00981775" w:rsidP="00981775">
      <w:pPr>
        <w:pStyle w:val="SangriaFrancesaArticulo"/>
      </w:pPr>
      <w:r w:rsidRPr="00981775">
        <w:rPr>
          <w:rStyle w:val="TextoNormalNegritaCaracter"/>
        </w:rPr>
        <w:t>Artículo 4.</w:t>
      </w:r>
      <w:r w:rsidRPr="00981775">
        <w:rPr>
          <w:rStyle w:val="TextoNormalCaracter"/>
        </w:rPr>
        <w:t>-</w:t>
      </w:r>
      <w:r>
        <w:t xml:space="preserve"> Auto </w:t>
      </w:r>
      <w:hyperlink w:anchor="AUTO_2015_164" w:history="1">
        <w:r w:rsidRPr="00981775">
          <w:rPr>
            <w:rStyle w:val="TextoNormalCaracter"/>
          </w:rPr>
          <w:t>164/2015</w:t>
        </w:r>
      </w:hyperlink>
      <w:r>
        <w:t>, f. 1.</w:t>
      </w:r>
    </w:p>
    <w:p w:rsidR="00981775" w:rsidRDefault="00981775" w:rsidP="00981775">
      <w:pPr>
        <w:pStyle w:val="SangriaFrancesaArticulo"/>
      </w:pPr>
      <w:r w:rsidRPr="00981775">
        <w:rPr>
          <w:rStyle w:val="TextoNormalNegritaCaracter"/>
        </w:rPr>
        <w:t>Artículo 5.</w:t>
      </w:r>
      <w:r w:rsidRPr="00981775">
        <w:rPr>
          <w:rStyle w:val="TextoNormalCaracter"/>
        </w:rPr>
        <w:t>-</w:t>
      </w:r>
      <w:r>
        <w:t xml:space="preserve"> Auto </w:t>
      </w:r>
      <w:hyperlink w:anchor="AUTO_2015_164" w:history="1">
        <w:r w:rsidRPr="00981775">
          <w:rPr>
            <w:rStyle w:val="TextoNormalCaracter"/>
          </w:rPr>
          <w:t>164/2015</w:t>
        </w:r>
      </w:hyperlink>
      <w:r>
        <w:t>, f. 1.</w:t>
      </w:r>
    </w:p>
    <w:p w:rsidR="00981775" w:rsidRDefault="00981775" w:rsidP="00981775">
      <w:pPr>
        <w:pStyle w:val="SangriaFrancesaArticulo"/>
      </w:pPr>
      <w:r w:rsidRPr="00981775">
        <w:rPr>
          <w:rStyle w:val="TextoNormalNegritaCaracter"/>
        </w:rPr>
        <w:t>Artículo 6.</w:t>
      </w:r>
      <w:r w:rsidRPr="00981775">
        <w:rPr>
          <w:rStyle w:val="TextoNormalCaracter"/>
        </w:rPr>
        <w:t>-</w:t>
      </w:r>
      <w:r>
        <w:t xml:space="preserve"> Auto </w:t>
      </w:r>
      <w:hyperlink w:anchor="AUTO_2015_164" w:history="1">
        <w:r w:rsidRPr="00981775">
          <w:rPr>
            <w:rStyle w:val="TextoNormalCaracter"/>
          </w:rPr>
          <w:t>164/2015</w:t>
        </w:r>
      </w:hyperlink>
      <w:r>
        <w:t>, f. 1.</w:t>
      </w:r>
    </w:p>
    <w:p w:rsidR="00981775" w:rsidRDefault="00981775" w:rsidP="00981775">
      <w:pPr>
        <w:pStyle w:val="SangriaFrancesaArticulo"/>
      </w:pPr>
      <w:r w:rsidRPr="00981775">
        <w:rPr>
          <w:rStyle w:val="TextoNormalNegritaCaracter"/>
        </w:rPr>
        <w:t>Artículo 20.</w:t>
      </w:r>
      <w:r w:rsidRPr="00981775">
        <w:rPr>
          <w:rStyle w:val="TextoNormalCaracter"/>
        </w:rPr>
        <w:t>-</w:t>
      </w:r>
      <w:r>
        <w:t xml:space="preserve"> Autos </w:t>
      </w:r>
      <w:hyperlink w:anchor="AUTO_2015_164" w:history="1">
        <w:r w:rsidRPr="00981775">
          <w:rPr>
            <w:rStyle w:val="TextoNormalCaracter"/>
          </w:rPr>
          <w:t>164/2015</w:t>
        </w:r>
      </w:hyperlink>
      <w:r>
        <w:t xml:space="preserve">, f. 1; </w:t>
      </w:r>
      <w:hyperlink w:anchor="AUTO_2015_175" w:history="1">
        <w:r w:rsidRPr="00981775">
          <w:rPr>
            <w:rStyle w:val="TextoNormalCaracter"/>
          </w:rPr>
          <w:t>175/2015</w:t>
        </w:r>
      </w:hyperlink>
      <w:r>
        <w:t>, f. único.</w:t>
      </w:r>
    </w:p>
    <w:p w:rsidR="00981775" w:rsidRDefault="00981775" w:rsidP="00981775">
      <w:pPr>
        <w:pStyle w:val="SangriaFrancesaArticulo"/>
      </w:pPr>
    </w:p>
    <w:p w:rsidR="00981775" w:rsidRDefault="00981775" w:rsidP="00981775">
      <w:pPr>
        <w:pStyle w:val="TextoNormalNegritaCursivandice"/>
      </w:pPr>
      <w:r>
        <w:t>Ley 7/1996, de 15 de enero. Ordenación del comercio minorista</w:t>
      </w:r>
    </w:p>
    <w:p w:rsidR="00981775" w:rsidRDefault="00981775" w:rsidP="00981775">
      <w:pPr>
        <w:pStyle w:val="SangriaFrancesaArticulo"/>
      </w:pPr>
      <w:r w:rsidRPr="00981775">
        <w:rPr>
          <w:rStyle w:val="TextoNormalNegritaCaracter"/>
        </w:rPr>
        <w:t>Artículo 18</w:t>
      </w:r>
      <w:r>
        <w:t xml:space="preserve"> (redactado por el Real Decreto-ley 20/2012, de 13 de julio)</w:t>
      </w:r>
      <w:r w:rsidRPr="00981775">
        <w:rPr>
          <w:rStyle w:val="TextoNormalNegritaCaracter"/>
        </w:rPr>
        <w:t>.</w:t>
      </w:r>
      <w:r w:rsidRPr="00981775">
        <w:rPr>
          <w:rStyle w:val="TextoNormalCaracter"/>
        </w:rPr>
        <w:t>-</w:t>
      </w:r>
      <w:r>
        <w:t xml:space="preserve"> Sentencia </w:t>
      </w:r>
      <w:hyperlink w:anchor="SENTENCIA_2015_156" w:history="1">
        <w:r w:rsidRPr="00981775">
          <w:rPr>
            <w:rStyle w:val="TextoNormalCaracter"/>
          </w:rPr>
          <w:t>156/2015</w:t>
        </w:r>
      </w:hyperlink>
      <w:r>
        <w:t>, ff. 1, 6.</w:t>
      </w:r>
    </w:p>
    <w:p w:rsidR="00981775" w:rsidRDefault="00981775" w:rsidP="00981775">
      <w:pPr>
        <w:pStyle w:val="SangriaFrancesaArticulo"/>
      </w:pPr>
      <w:r w:rsidRPr="00981775">
        <w:rPr>
          <w:rStyle w:val="TextoNormalNegritaCaracter"/>
        </w:rPr>
        <w:t>Artículo 20</w:t>
      </w:r>
      <w:r>
        <w:t xml:space="preserve"> (redactado por el Real Decreto-ley 20/2012, de 13 de julio)</w:t>
      </w:r>
      <w:r w:rsidRPr="00981775">
        <w:rPr>
          <w:rStyle w:val="TextoNormalNegritaCaracter"/>
        </w:rPr>
        <w:t>.</w:t>
      </w:r>
      <w:r w:rsidRPr="00981775">
        <w:rPr>
          <w:rStyle w:val="TextoNormalCaracter"/>
        </w:rPr>
        <w:t>-</w:t>
      </w:r>
      <w:r>
        <w:t xml:space="preserve"> Sentencia </w:t>
      </w:r>
      <w:hyperlink w:anchor="SENTENCIA_2015_156" w:history="1">
        <w:r w:rsidRPr="00981775">
          <w:rPr>
            <w:rStyle w:val="TextoNormalCaracter"/>
          </w:rPr>
          <w:t>156/2015</w:t>
        </w:r>
      </w:hyperlink>
      <w:r>
        <w:t>, ff. 1, 6.</w:t>
      </w:r>
    </w:p>
    <w:p w:rsidR="00981775" w:rsidRDefault="00981775" w:rsidP="00981775">
      <w:pPr>
        <w:pStyle w:val="SangriaFrancesaArticulo"/>
      </w:pPr>
      <w:r w:rsidRPr="00981775">
        <w:rPr>
          <w:rStyle w:val="TextoNormalNegritaCaracter"/>
        </w:rPr>
        <w:t>Artículo 25</w:t>
      </w:r>
      <w:r>
        <w:t xml:space="preserve"> (redactado por el Real Decreto-ley 20/2012, de 13 de julio)</w:t>
      </w:r>
      <w:r w:rsidRPr="00981775">
        <w:rPr>
          <w:rStyle w:val="TextoNormalNegritaCaracter"/>
        </w:rPr>
        <w:t>.</w:t>
      </w:r>
      <w:r w:rsidRPr="00981775">
        <w:rPr>
          <w:rStyle w:val="TextoNormalCaracter"/>
        </w:rPr>
        <w:t>-</w:t>
      </w:r>
      <w:r>
        <w:t xml:space="preserve"> Sentencia </w:t>
      </w:r>
      <w:hyperlink w:anchor="SENTENCIA_2015_156" w:history="1">
        <w:r w:rsidRPr="00981775">
          <w:rPr>
            <w:rStyle w:val="TextoNormalCaracter"/>
          </w:rPr>
          <w:t>156/2015</w:t>
        </w:r>
      </w:hyperlink>
      <w:r>
        <w:t>, ff. 1, 6.</w:t>
      </w:r>
    </w:p>
    <w:p w:rsidR="00981775" w:rsidRDefault="00981775" w:rsidP="00981775">
      <w:pPr>
        <w:pStyle w:val="SangriaFrancesaArticulo"/>
      </w:pPr>
      <w:r w:rsidRPr="00981775">
        <w:rPr>
          <w:rStyle w:val="TextoNormalNegritaCaracter"/>
        </w:rPr>
        <w:t>Artículo 26</w:t>
      </w:r>
      <w:r>
        <w:t xml:space="preserve"> (redactado por el Real Decreto-ley 20/2012, de 13 de julio)</w:t>
      </w:r>
      <w:r w:rsidRPr="00981775">
        <w:rPr>
          <w:rStyle w:val="TextoNormalNegritaCaracter"/>
        </w:rPr>
        <w:t>.</w:t>
      </w:r>
      <w:r w:rsidRPr="00981775">
        <w:rPr>
          <w:rStyle w:val="TextoNormalCaracter"/>
        </w:rPr>
        <w:t>-</w:t>
      </w:r>
      <w:r>
        <w:t xml:space="preserve"> Sentencia </w:t>
      </w:r>
      <w:hyperlink w:anchor="SENTENCIA_2015_156" w:history="1">
        <w:r w:rsidRPr="00981775">
          <w:rPr>
            <w:rStyle w:val="TextoNormalCaracter"/>
          </w:rPr>
          <w:t>156/2015</w:t>
        </w:r>
      </w:hyperlink>
      <w:r>
        <w:t>, ff. 1, 6.</w:t>
      </w:r>
    </w:p>
    <w:p w:rsidR="00981775" w:rsidRDefault="00981775" w:rsidP="00981775">
      <w:pPr>
        <w:pStyle w:val="SangriaFrancesaArticulo"/>
      </w:pPr>
      <w:r w:rsidRPr="00981775">
        <w:rPr>
          <w:rStyle w:val="TextoNormalNegritaCaracter"/>
        </w:rPr>
        <w:t>Artículo 27</w:t>
      </w:r>
      <w:r>
        <w:t xml:space="preserve"> (redactado por el Real Decreto-ley 20/2012, de 13 de julio)</w:t>
      </w:r>
      <w:r w:rsidRPr="00981775">
        <w:rPr>
          <w:rStyle w:val="TextoNormalNegritaCaracter"/>
        </w:rPr>
        <w:t>.</w:t>
      </w:r>
      <w:r w:rsidRPr="00981775">
        <w:rPr>
          <w:rStyle w:val="TextoNormalCaracter"/>
        </w:rPr>
        <w:t>-</w:t>
      </w:r>
      <w:r>
        <w:t xml:space="preserve"> Sentencia </w:t>
      </w:r>
      <w:hyperlink w:anchor="SENTENCIA_2015_156" w:history="1">
        <w:r w:rsidRPr="00981775">
          <w:rPr>
            <w:rStyle w:val="TextoNormalCaracter"/>
          </w:rPr>
          <w:t>156/2015</w:t>
        </w:r>
      </w:hyperlink>
      <w:r>
        <w:t>, ff. 1, 6.</w:t>
      </w:r>
    </w:p>
    <w:p w:rsidR="00981775" w:rsidRDefault="00981775" w:rsidP="00981775">
      <w:pPr>
        <w:pStyle w:val="SangriaFrancesaArticulo"/>
      </w:pPr>
      <w:r w:rsidRPr="00981775">
        <w:rPr>
          <w:rStyle w:val="TextoNormalNegritaCaracter"/>
        </w:rPr>
        <w:t>Artículo 28</w:t>
      </w:r>
      <w:r>
        <w:t xml:space="preserve"> (redactado por el Real Decreto-ley 20/2012, de 13 de julio)</w:t>
      </w:r>
      <w:r w:rsidRPr="00981775">
        <w:rPr>
          <w:rStyle w:val="TextoNormalNegritaCaracter"/>
        </w:rPr>
        <w:t>.</w:t>
      </w:r>
      <w:r w:rsidRPr="00981775">
        <w:rPr>
          <w:rStyle w:val="TextoNormalCaracter"/>
        </w:rPr>
        <w:t>-</w:t>
      </w:r>
      <w:r>
        <w:t xml:space="preserve"> Sentencia </w:t>
      </w:r>
      <w:hyperlink w:anchor="SENTENCIA_2015_156" w:history="1">
        <w:r w:rsidRPr="00981775">
          <w:rPr>
            <w:rStyle w:val="TextoNormalCaracter"/>
          </w:rPr>
          <w:t>156/2015</w:t>
        </w:r>
      </w:hyperlink>
      <w:r>
        <w:t>, ff. 1, 6.</w:t>
      </w:r>
    </w:p>
    <w:p w:rsidR="00981775" w:rsidRDefault="00981775" w:rsidP="00981775">
      <w:pPr>
        <w:pStyle w:val="SangriaFrancesaArticulo"/>
      </w:pPr>
      <w:r w:rsidRPr="00981775">
        <w:rPr>
          <w:rStyle w:val="TextoNormalNegritaCaracter"/>
        </w:rPr>
        <w:t>Artículo 31</w:t>
      </w:r>
      <w:r>
        <w:t xml:space="preserve"> (redactado por el Real Decreto-ley 20/2012, de 13 de julio)</w:t>
      </w:r>
      <w:r w:rsidRPr="00981775">
        <w:rPr>
          <w:rStyle w:val="TextoNormalNegritaCaracter"/>
        </w:rPr>
        <w:t>.</w:t>
      </w:r>
      <w:r w:rsidRPr="00981775">
        <w:rPr>
          <w:rStyle w:val="TextoNormalCaracter"/>
        </w:rPr>
        <w:t>-</w:t>
      </w:r>
      <w:r>
        <w:t xml:space="preserve"> Sentencia </w:t>
      </w:r>
      <w:hyperlink w:anchor="SENTENCIA_2015_156" w:history="1">
        <w:r w:rsidRPr="00981775">
          <w:rPr>
            <w:rStyle w:val="TextoNormalCaracter"/>
          </w:rPr>
          <w:t>156/2015</w:t>
        </w:r>
      </w:hyperlink>
      <w:r>
        <w:t>, ff. 1, 6.</w:t>
      </w:r>
    </w:p>
    <w:p w:rsidR="00981775" w:rsidRDefault="00981775" w:rsidP="00981775">
      <w:pPr>
        <w:pStyle w:val="SangriaFrancesaArticulo"/>
      </w:pPr>
    </w:p>
    <w:p w:rsidR="00981775" w:rsidRDefault="00981775" w:rsidP="00981775">
      <w:pPr>
        <w:pStyle w:val="TextoNormalNegritaCursivandice"/>
      </w:pPr>
      <w:r>
        <w:t>Ley 6/1997, de 14 de abril. Organización y funcionamiento de la Administración General del Estado</w:t>
      </w:r>
    </w:p>
    <w:p w:rsidR="00981775" w:rsidRDefault="00981775" w:rsidP="00981775">
      <w:pPr>
        <w:pStyle w:val="SangriaFrancesaArticulo"/>
      </w:pPr>
      <w:r w:rsidRPr="00981775">
        <w:rPr>
          <w:rStyle w:val="TextoNormalNegritaCaracter"/>
        </w:rPr>
        <w:t>Artículo 67.4.</w:t>
      </w:r>
      <w:r w:rsidRPr="00981775">
        <w:rPr>
          <w:rStyle w:val="TextoNormalCaracter"/>
        </w:rPr>
        <w:t>-</w:t>
      </w:r>
      <w:r>
        <w:t xml:space="preserve"> Sentencia </w:t>
      </w:r>
      <w:hyperlink w:anchor="SENTENCIA_2015_231" w:history="1">
        <w:r w:rsidRPr="00981775">
          <w:rPr>
            <w:rStyle w:val="TextoNormalCaracter"/>
          </w:rPr>
          <w:t>231/2015</w:t>
        </w:r>
      </w:hyperlink>
      <w:r>
        <w:t>, f. 1.</w:t>
      </w:r>
    </w:p>
    <w:p w:rsidR="00981775" w:rsidRDefault="00981775" w:rsidP="00981775">
      <w:pPr>
        <w:pStyle w:val="SangriaFrancesaArticulo"/>
      </w:pPr>
    </w:p>
    <w:p w:rsidR="00981775" w:rsidRDefault="00981775" w:rsidP="00981775">
      <w:pPr>
        <w:pStyle w:val="TextoNormalNegritaCursivandice"/>
      </w:pPr>
      <w:r>
        <w:t>Ley 50/1997, de 27 de noviembre. Gobierno</w:t>
      </w:r>
    </w:p>
    <w:p w:rsidR="00981775" w:rsidRDefault="00981775" w:rsidP="00981775">
      <w:pPr>
        <w:pStyle w:val="SangriaFrancesaArticulo"/>
      </w:pPr>
      <w:r w:rsidRPr="00981775">
        <w:rPr>
          <w:rStyle w:val="TextoNormalNegritaCaracter"/>
        </w:rPr>
        <w:t>Artículo 24.1 a).</w:t>
      </w:r>
      <w:r w:rsidRPr="00981775">
        <w:rPr>
          <w:rStyle w:val="TextoNormalCaracter"/>
        </w:rPr>
        <w:t>-</w:t>
      </w:r>
      <w:r>
        <w:t xml:space="preserve"> Sentencia </w:t>
      </w:r>
      <w:hyperlink w:anchor="SENTENCIA_2015_231" w:history="1">
        <w:r w:rsidRPr="00981775">
          <w:rPr>
            <w:rStyle w:val="TextoNormalCaracter"/>
          </w:rPr>
          <w:t>231/2015</w:t>
        </w:r>
      </w:hyperlink>
      <w:r>
        <w:t>, f. 1.</w:t>
      </w:r>
    </w:p>
    <w:p w:rsidR="00981775" w:rsidRDefault="00981775" w:rsidP="00981775">
      <w:pPr>
        <w:pStyle w:val="SangriaFrancesaArticulo"/>
      </w:pPr>
      <w:r w:rsidRPr="00981775">
        <w:rPr>
          <w:rStyle w:val="TextoNormalNegritaCaracter"/>
        </w:rPr>
        <w:t>Artículo 24.2.</w:t>
      </w:r>
      <w:r w:rsidRPr="00981775">
        <w:rPr>
          <w:rStyle w:val="TextoNormalCaracter"/>
        </w:rPr>
        <w:t>-</w:t>
      </w:r>
      <w:r>
        <w:t xml:space="preserve"> Sentencia </w:t>
      </w:r>
      <w:hyperlink w:anchor="SENTENCIA_2015_231" w:history="1">
        <w:r w:rsidRPr="00981775">
          <w:rPr>
            <w:rStyle w:val="TextoNormalCaracter"/>
          </w:rPr>
          <w:t>231/2015</w:t>
        </w:r>
      </w:hyperlink>
      <w:r>
        <w:t>, f. 1.</w:t>
      </w:r>
    </w:p>
    <w:p w:rsidR="00981775" w:rsidRDefault="00981775" w:rsidP="00981775">
      <w:pPr>
        <w:pStyle w:val="SangriaFrancesaArticulo"/>
      </w:pPr>
    </w:p>
    <w:p w:rsidR="00981775" w:rsidRDefault="00981775" w:rsidP="00981775">
      <w:pPr>
        <w:pStyle w:val="TextoNormalNegritaCursivandice"/>
      </w:pPr>
      <w:r>
        <w:t>Ley 54/1997, de 27 de noviembre. Sector eléctrico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70" w:history="1">
        <w:r w:rsidRPr="00981775">
          <w:rPr>
            <w:rStyle w:val="TextoNormalCaracter"/>
          </w:rPr>
          <w:t>270/2015</w:t>
        </w:r>
      </w:hyperlink>
      <w:r>
        <w:t>, f. 1, VP.</w:t>
      </w:r>
    </w:p>
    <w:p w:rsidR="00981775" w:rsidRDefault="00981775" w:rsidP="00981775">
      <w:pPr>
        <w:pStyle w:val="SangriaIzquierdaArticulo"/>
      </w:pPr>
      <w:r>
        <w:t xml:space="preserve">Auto </w:t>
      </w:r>
      <w:hyperlink w:anchor="AUTO_2015_202" w:history="1">
        <w:r w:rsidRPr="00981775">
          <w:rPr>
            <w:rStyle w:val="TextoNormalCaracter"/>
          </w:rPr>
          <w:t>202/2015</w:t>
        </w:r>
      </w:hyperlink>
      <w:r>
        <w:t>, f. 4.</w:t>
      </w:r>
    </w:p>
    <w:p w:rsidR="00981775" w:rsidRDefault="00981775" w:rsidP="00981775">
      <w:pPr>
        <w:pStyle w:val="SangriaFrancesaArticulo"/>
      </w:pPr>
      <w:r w:rsidRPr="00981775">
        <w:rPr>
          <w:rStyle w:val="TextoNormalNegritaCaracter"/>
        </w:rPr>
        <w:t>Artículo 30.</w:t>
      </w:r>
      <w:r w:rsidRPr="00981775">
        <w:rPr>
          <w:rStyle w:val="TextoNormalCaracter"/>
        </w:rPr>
        <w:t>-</w:t>
      </w:r>
      <w:r>
        <w:t xml:space="preserve"> Sentencia </w:t>
      </w:r>
      <w:hyperlink w:anchor="SENTENCIA_2015_270" w:history="1">
        <w:r w:rsidRPr="00981775">
          <w:rPr>
            <w:rStyle w:val="TextoNormalCaracter"/>
          </w:rPr>
          <w:t>270/2015</w:t>
        </w:r>
      </w:hyperlink>
      <w:r>
        <w:t>, f. 1.</w:t>
      </w:r>
    </w:p>
    <w:p w:rsidR="00981775" w:rsidRDefault="00981775" w:rsidP="00981775">
      <w:pPr>
        <w:pStyle w:val="SangriaFrancesaArticulo"/>
      </w:pPr>
      <w:r w:rsidRPr="00981775">
        <w:rPr>
          <w:rStyle w:val="TextoNormalNegritaCaracter"/>
        </w:rPr>
        <w:t>Artículo 30</w:t>
      </w:r>
      <w:r>
        <w:t xml:space="preserve"> (redactado por el Real Decreto-ley 9/2013, de 12 de julio)</w:t>
      </w:r>
      <w:r w:rsidRPr="00981775">
        <w:rPr>
          <w:rStyle w:val="TextoNormalNegritaCaracter"/>
        </w:rPr>
        <w:t>.</w:t>
      </w:r>
      <w:r w:rsidRPr="00981775">
        <w:rPr>
          <w:rStyle w:val="TextoNormalCaracter"/>
        </w:rPr>
        <w:t>-</w:t>
      </w:r>
      <w:r>
        <w:t xml:space="preserve"> Sentencia </w:t>
      </w:r>
      <w:hyperlink w:anchor="SENTENCIA_2015_270" w:history="1">
        <w:r w:rsidRPr="00981775">
          <w:rPr>
            <w:rStyle w:val="TextoNormalCaracter"/>
          </w:rPr>
          <w:t>270/2015</w:t>
        </w:r>
      </w:hyperlink>
      <w:r>
        <w:t>, f. 2.</w:t>
      </w:r>
    </w:p>
    <w:p w:rsidR="00981775" w:rsidRDefault="00981775" w:rsidP="00981775">
      <w:pPr>
        <w:pStyle w:val="SangriaFrancesaArticulo"/>
      </w:pPr>
      <w:r w:rsidRPr="00981775">
        <w:rPr>
          <w:rStyle w:val="TextoNormalNegritaCaracter"/>
        </w:rPr>
        <w:t>Artículo 30.4</w:t>
      </w:r>
      <w:r>
        <w:t xml:space="preserve"> (redactado por el Real Decreto-ley 9/2013, de 12 de julio)</w:t>
      </w:r>
      <w:r w:rsidRPr="00981775">
        <w:rPr>
          <w:rStyle w:val="TextoNormalNegritaCaracter"/>
        </w:rPr>
        <w:t>.</w:t>
      </w:r>
      <w:r w:rsidRPr="00981775">
        <w:rPr>
          <w:rStyle w:val="TextoNormalCaracter"/>
        </w:rPr>
        <w:t>-</w:t>
      </w:r>
      <w:r>
        <w:t xml:space="preserve"> Sentencia </w:t>
      </w:r>
      <w:hyperlink w:anchor="SENTENCIA_2015_270" w:history="1">
        <w:r w:rsidRPr="00981775">
          <w:rPr>
            <w:rStyle w:val="TextoNormalCaracter"/>
          </w:rPr>
          <w:t>270/2015</w:t>
        </w:r>
      </w:hyperlink>
      <w:r>
        <w:t>, f. 1.</w:t>
      </w:r>
    </w:p>
    <w:p w:rsidR="00981775" w:rsidRDefault="00981775" w:rsidP="00981775">
      <w:pPr>
        <w:pStyle w:val="SangriaFrancesaArticulo"/>
      </w:pPr>
      <w:r w:rsidRPr="00981775">
        <w:rPr>
          <w:rStyle w:val="TextoNormalNegritaCaracter"/>
        </w:rPr>
        <w:t xml:space="preserve">Artículo 30.4 </w:t>
      </w:r>
      <w:r w:rsidRPr="00981775">
        <w:rPr>
          <w:rStyle w:val="TextoNormalNegritaCursivaCaracter"/>
        </w:rPr>
        <w:t>in fine</w:t>
      </w:r>
      <w:r w:rsidRPr="00981775">
        <w:rPr>
          <w:rStyle w:val="TextoNormalNegritaCaracter"/>
        </w:rPr>
        <w:t>.</w:t>
      </w:r>
      <w:r w:rsidRPr="00981775">
        <w:rPr>
          <w:rStyle w:val="TextoNormalCaracter"/>
        </w:rPr>
        <w:t>-</w:t>
      </w:r>
      <w:r>
        <w:t xml:space="preserve"> Sentencia </w:t>
      </w:r>
      <w:hyperlink w:anchor="SENTENCIA_2015_270" w:history="1">
        <w:r w:rsidRPr="00981775">
          <w:rPr>
            <w:rStyle w:val="TextoNormalCaracter"/>
          </w:rPr>
          <w:t>270/2015</w:t>
        </w:r>
      </w:hyperlink>
      <w:r>
        <w:t>, VP.</w:t>
      </w:r>
    </w:p>
    <w:p w:rsidR="00981775" w:rsidRDefault="00981775" w:rsidP="00981775">
      <w:pPr>
        <w:pStyle w:val="SangriaFrancesaArticulo"/>
      </w:pPr>
      <w:r w:rsidRPr="00981775">
        <w:rPr>
          <w:rStyle w:val="TextoNormalNegritaCaracter"/>
        </w:rPr>
        <w:t>Artículo 30.5</w:t>
      </w:r>
      <w:r>
        <w:t xml:space="preserve"> (redactado por el Real Decreto-ley 9/2013, de 12 de julio)</w:t>
      </w:r>
      <w:r w:rsidRPr="00981775">
        <w:rPr>
          <w:rStyle w:val="TextoNormalNegritaCaracter"/>
        </w:rPr>
        <w:t>.</w:t>
      </w:r>
      <w:r w:rsidRPr="00981775">
        <w:rPr>
          <w:rStyle w:val="TextoNormalCaracter"/>
        </w:rPr>
        <w:t>-</w:t>
      </w:r>
      <w:r>
        <w:t xml:space="preserve"> Sentencia </w:t>
      </w:r>
      <w:hyperlink w:anchor="SENTENCIA_2015_270" w:history="1">
        <w:r w:rsidRPr="00981775">
          <w:rPr>
            <w:rStyle w:val="TextoNormalCaracter"/>
          </w:rPr>
          <w:t>270/2015</w:t>
        </w:r>
      </w:hyperlink>
      <w:r>
        <w:t>, f. 1.</w:t>
      </w:r>
    </w:p>
    <w:p w:rsidR="00981775" w:rsidRDefault="00981775" w:rsidP="00981775">
      <w:pPr>
        <w:pStyle w:val="SangriaFrancesaArticulo"/>
      </w:pPr>
      <w:r w:rsidRPr="00981775">
        <w:rPr>
          <w:rStyle w:val="TextoNormalNegritaCaracter"/>
        </w:rPr>
        <w:t>Disposición adicional primera</w:t>
      </w:r>
      <w:r>
        <w:t xml:space="preserve"> (redactada por el Real Decreto-ley 9/2013, de 12 de julio)</w:t>
      </w:r>
      <w:r w:rsidRPr="00981775">
        <w:rPr>
          <w:rStyle w:val="TextoNormalNegritaCaracter"/>
        </w:rPr>
        <w:t>.</w:t>
      </w:r>
      <w:r w:rsidRPr="00981775">
        <w:rPr>
          <w:rStyle w:val="TextoNormalCaracter"/>
        </w:rPr>
        <w:t>-</w:t>
      </w:r>
      <w:r>
        <w:t xml:space="preserve"> Sentencia </w:t>
      </w:r>
      <w:hyperlink w:anchor="SENTENCIA_2015_270" w:history="1">
        <w:r w:rsidRPr="00981775">
          <w:rPr>
            <w:rStyle w:val="TextoNormalCaracter"/>
          </w:rPr>
          <w:t>270/2015</w:t>
        </w:r>
      </w:hyperlink>
      <w:r>
        <w:t>, f. 1.</w:t>
      </w:r>
    </w:p>
    <w:p w:rsidR="00981775" w:rsidRDefault="00981775" w:rsidP="00981775">
      <w:pPr>
        <w:pStyle w:val="SangriaFrancesaArticulo"/>
      </w:pPr>
      <w:r w:rsidRPr="00981775">
        <w:rPr>
          <w:rStyle w:val="TextoNormalNegritaCaracter"/>
        </w:rPr>
        <w:t>Disposición adicional sexta.</w:t>
      </w:r>
      <w:r w:rsidRPr="00981775">
        <w:rPr>
          <w:rStyle w:val="TextoNormalCaracter"/>
        </w:rPr>
        <w:t>-</w:t>
      </w:r>
      <w:r>
        <w:t xml:space="preserve"> Sentencia </w:t>
      </w:r>
      <w:hyperlink w:anchor="SENTENCIA_2015_270" w:history="1">
        <w:r w:rsidRPr="00981775">
          <w:rPr>
            <w:rStyle w:val="TextoNormalCaracter"/>
          </w:rPr>
          <w:t>270/2015</w:t>
        </w:r>
      </w:hyperlink>
      <w:r>
        <w:t>, f. 2.</w:t>
      </w:r>
    </w:p>
    <w:p w:rsidR="00981775" w:rsidRDefault="00981775" w:rsidP="00981775">
      <w:pPr>
        <w:pStyle w:val="SangriaFrancesaArticulo"/>
      </w:pPr>
      <w:r w:rsidRPr="00981775">
        <w:rPr>
          <w:rStyle w:val="TextoNormalNegritaCaracter"/>
        </w:rPr>
        <w:t>Disposición adicional séptima.</w:t>
      </w:r>
      <w:r w:rsidRPr="00981775">
        <w:rPr>
          <w:rStyle w:val="TextoNormalCaracter"/>
        </w:rPr>
        <w:t>-</w:t>
      </w:r>
      <w:r>
        <w:t xml:space="preserve"> Sentencia </w:t>
      </w:r>
      <w:hyperlink w:anchor="SENTENCIA_2015_270" w:history="1">
        <w:r w:rsidRPr="00981775">
          <w:rPr>
            <w:rStyle w:val="TextoNormalCaracter"/>
          </w:rPr>
          <w:t>270/2015</w:t>
        </w:r>
      </w:hyperlink>
      <w:r>
        <w:t>, f. 2.</w:t>
      </w:r>
    </w:p>
    <w:p w:rsidR="00981775" w:rsidRDefault="00981775" w:rsidP="00981775">
      <w:pPr>
        <w:pStyle w:val="SangriaFrancesaArticulo"/>
      </w:pPr>
      <w:r w:rsidRPr="00981775">
        <w:rPr>
          <w:rStyle w:val="TextoNormalNegritaCaracter"/>
        </w:rPr>
        <w:t>Disposición adicional vigesimoprimera.</w:t>
      </w:r>
      <w:r w:rsidRPr="00981775">
        <w:rPr>
          <w:rStyle w:val="TextoNormalCaracter"/>
        </w:rPr>
        <w:t>-</w:t>
      </w:r>
      <w:r>
        <w:t xml:space="preserve"> Sentencia </w:t>
      </w:r>
      <w:hyperlink w:anchor="SENTENCIA_2015_270" w:history="1">
        <w:r w:rsidRPr="00981775">
          <w:rPr>
            <w:rStyle w:val="TextoNormalCaracter"/>
          </w:rPr>
          <w:t>270/2015</w:t>
        </w:r>
      </w:hyperlink>
      <w:r>
        <w:t>, f. 2.</w:t>
      </w:r>
    </w:p>
    <w:p w:rsidR="00981775" w:rsidRDefault="00981775" w:rsidP="00981775">
      <w:pPr>
        <w:pStyle w:val="SangriaFrancesaArticulo"/>
      </w:pPr>
      <w:r w:rsidRPr="00981775">
        <w:rPr>
          <w:rStyle w:val="TextoNormalNegritaCaracter"/>
        </w:rPr>
        <w:t>Disposición adicional vigesimotercera.</w:t>
      </w:r>
      <w:r w:rsidRPr="00981775">
        <w:rPr>
          <w:rStyle w:val="TextoNormalCaracter"/>
        </w:rPr>
        <w:t>-</w:t>
      </w:r>
      <w:r>
        <w:t xml:space="preserve"> Sentencia </w:t>
      </w:r>
      <w:hyperlink w:anchor="SENTENCIA_2015_270" w:history="1">
        <w:r w:rsidRPr="00981775">
          <w:rPr>
            <w:rStyle w:val="TextoNormalCaracter"/>
          </w:rPr>
          <w:t>270/2015</w:t>
        </w:r>
      </w:hyperlink>
      <w:r>
        <w:t>, f. 2.</w:t>
      </w:r>
    </w:p>
    <w:p w:rsidR="00981775" w:rsidRDefault="00981775" w:rsidP="00981775">
      <w:pPr>
        <w:pStyle w:val="SangriaFrancesaArticulo"/>
      </w:pPr>
    </w:p>
    <w:p w:rsidR="00981775" w:rsidRDefault="00981775" w:rsidP="00981775">
      <w:pPr>
        <w:pStyle w:val="TextoNormalNegritaCursivandice"/>
      </w:pPr>
      <w:r>
        <w:t>Ley 6/1998, de 13 de abril. Régimen del suelo y valoraciones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18" w:history="1">
        <w:r w:rsidRPr="00981775">
          <w:rPr>
            <w:rStyle w:val="TextoNormalCaracter"/>
          </w:rPr>
          <w:t>218/2015</w:t>
        </w:r>
      </w:hyperlink>
      <w:r>
        <w:t>, f. 2.</w:t>
      </w:r>
    </w:p>
    <w:p w:rsidR="00981775" w:rsidRDefault="00981775" w:rsidP="00981775">
      <w:pPr>
        <w:pStyle w:val="SangriaIzquierdaArticulo"/>
      </w:pPr>
      <w:r>
        <w:t xml:space="preserve">Auto </w:t>
      </w:r>
      <w:hyperlink w:anchor="AUTO_2015_201" w:history="1">
        <w:r w:rsidRPr="00981775">
          <w:rPr>
            <w:rStyle w:val="TextoNormalCaracter"/>
          </w:rPr>
          <w:t>201/2015</w:t>
        </w:r>
      </w:hyperlink>
      <w:r>
        <w:t>, f. 2.</w:t>
      </w:r>
    </w:p>
    <w:p w:rsidR="00981775" w:rsidRDefault="00981775" w:rsidP="00981775">
      <w:pPr>
        <w:pStyle w:val="SangriaFrancesaArticulo"/>
      </w:pPr>
      <w:r w:rsidRPr="00981775">
        <w:rPr>
          <w:rStyle w:val="TextoNormalNegritaCaracter"/>
        </w:rPr>
        <w:t>Artículo 6.1.</w:t>
      </w:r>
      <w:r w:rsidRPr="00981775">
        <w:rPr>
          <w:rStyle w:val="TextoNormalCaracter"/>
        </w:rPr>
        <w:t>-</w:t>
      </w:r>
      <w:r>
        <w:t xml:space="preserve"> Sentencia </w:t>
      </w:r>
      <w:hyperlink w:anchor="SENTENCIA_2015_195" w:history="1">
        <w:r w:rsidRPr="00981775">
          <w:rPr>
            <w:rStyle w:val="TextoNormalCaracter"/>
          </w:rPr>
          <w:t>195/2015</w:t>
        </w:r>
      </w:hyperlink>
      <w:r>
        <w:t>, f. 5.</w:t>
      </w:r>
    </w:p>
    <w:p w:rsidR="00981775" w:rsidRDefault="00981775" w:rsidP="00981775">
      <w:pPr>
        <w:pStyle w:val="SangriaFrancesaArticulo"/>
      </w:pPr>
    </w:p>
    <w:p w:rsidR="00981775" w:rsidRDefault="00981775" w:rsidP="00981775">
      <w:pPr>
        <w:pStyle w:val="TextoNormalNegritaCursivandice"/>
      </w:pPr>
      <w:r>
        <w:t>Ley 10/1998, de 21 de abril. Residuos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69" w:history="1">
        <w:r w:rsidRPr="00981775">
          <w:rPr>
            <w:rStyle w:val="TextoNormalCaracter"/>
          </w:rPr>
          <w:t>269/2015</w:t>
        </w:r>
      </w:hyperlink>
      <w:r>
        <w:t>, f. 2.</w:t>
      </w:r>
    </w:p>
    <w:p w:rsidR="00981775" w:rsidRDefault="00981775" w:rsidP="00981775">
      <w:pPr>
        <w:pStyle w:val="SangriaFrancesaArticulo"/>
      </w:pPr>
      <w:r w:rsidRPr="00981775">
        <w:rPr>
          <w:rStyle w:val="TextoNormalNegritaCaracter"/>
        </w:rPr>
        <w:t>Artículo 5.</w:t>
      </w:r>
      <w:r w:rsidRPr="00981775">
        <w:rPr>
          <w:rStyle w:val="TextoNormalCaracter"/>
        </w:rPr>
        <w:t>-</w:t>
      </w:r>
      <w:r>
        <w:t xml:space="preserve"> Sentencia </w:t>
      </w:r>
      <w:hyperlink w:anchor="SENTENCIA_2015_269" w:history="1">
        <w:r w:rsidRPr="00981775">
          <w:rPr>
            <w:rStyle w:val="TextoNormalCaracter"/>
          </w:rPr>
          <w:t>269/2015</w:t>
        </w:r>
      </w:hyperlink>
      <w:r>
        <w:t>, f. 1.</w:t>
      </w:r>
    </w:p>
    <w:p w:rsidR="00981775" w:rsidRDefault="00981775" w:rsidP="00981775">
      <w:pPr>
        <w:pStyle w:val="SangriaFrancesaArticulo"/>
      </w:pPr>
      <w:r w:rsidRPr="00981775">
        <w:rPr>
          <w:rStyle w:val="TextoNormalNegritaCaracter"/>
        </w:rPr>
        <w:t>Artículo 5.4.</w:t>
      </w:r>
      <w:r w:rsidRPr="00981775">
        <w:rPr>
          <w:rStyle w:val="TextoNormalCaracter"/>
        </w:rPr>
        <w:t>-</w:t>
      </w:r>
      <w:r>
        <w:t xml:space="preserve"> Sentencia </w:t>
      </w:r>
      <w:hyperlink w:anchor="SENTENCIA_2015_269" w:history="1">
        <w:r w:rsidRPr="00981775">
          <w:rPr>
            <w:rStyle w:val="TextoNormalCaracter"/>
          </w:rPr>
          <w:t>269/2015</w:t>
        </w:r>
      </w:hyperlink>
      <w:r>
        <w:t>, ff. 1, 2.</w:t>
      </w:r>
    </w:p>
    <w:p w:rsidR="00981775" w:rsidRDefault="00981775" w:rsidP="00981775">
      <w:pPr>
        <w:pStyle w:val="SangriaFrancesaArticulo"/>
      </w:pPr>
    </w:p>
    <w:p w:rsidR="00981775" w:rsidRDefault="00981775" w:rsidP="00981775">
      <w:pPr>
        <w:pStyle w:val="TextoNormalNegritaCursivandice"/>
      </w:pPr>
      <w:r>
        <w:t>Ley 29/1998, de 13 de julio. Jurisdicción contencioso-administrativa</w:t>
      </w:r>
    </w:p>
    <w:p w:rsidR="00981775" w:rsidRDefault="00981775" w:rsidP="00981775">
      <w:pPr>
        <w:pStyle w:val="SangriaFrancesaArticulo"/>
      </w:pPr>
      <w:r w:rsidRPr="00981775">
        <w:rPr>
          <w:rStyle w:val="TextoNormalNegritaCaracter"/>
        </w:rPr>
        <w:t>Artículo 3 d).</w:t>
      </w:r>
      <w:r w:rsidRPr="00981775">
        <w:rPr>
          <w:rStyle w:val="TextoNormalCaracter"/>
        </w:rPr>
        <w:t>-</w:t>
      </w:r>
      <w:r>
        <w:t xml:space="preserve"> Sentencias </w:t>
      </w:r>
      <w:hyperlink w:anchor="SENTENCIA_2015_222" w:history="1">
        <w:r w:rsidRPr="00981775">
          <w:rPr>
            <w:rStyle w:val="TextoNormalCaracter"/>
          </w:rPr>
          <w:t>222/2015</w:t>
        </w:r>
      </w:hyperlink>
      <w:r>
        <w:t xml:space="preserve">, f. 2; </w:t>
      </w:r>
      <w:hyperlink w:anchor="SENTENCIA_2015_239" w:history="1">
        <w:r w:rsidRPr="00981775">
          <w:rPr>
            <w:rStyle w:val="TextoNormalCaracter"/>
          </w:rPr>
          <w:t>239/2015</w:t>
        </w:r>
      </w:hyperlink>
      <w:r>
        <w:t xml:space="preserve">, f. 2; </w:t>
      </w:r>
      <w:hyperlink w:anchor="SENTENCIA_2015_240" w:history="1">
        <w:r w:rsidRPr="00981775">
          <w:rPr>
            <w:rStyle w:val="TextoNormalCaracter"/>
          </w:rPr>
          <w:t>240/2015</w:t>
        </w:r>
      </w:hyperlink>
      <w:r>
        <w:t>, f. 2.</w:t>
      </w:r>
    </w:p>
    <w:p w:rsidR="00981775" w:rsidRDefault="00981775" w:rsidP="00981775">
      <w:pPr>
        <w:pStyle w:val="SangriaFrancesaArticulo"/>
      </w:pPr>
      <w:r w:rsidRPr="00981775">
        <w:rPr>
          <w:rStyle w:val="TextoNormalNegritaCaracter"/>
        </w:rPr>
        <w:t>Artículo 3 d)</w:t>
      </w:r>
      <w:r>
        <w:t xml:space="preserve"> (redactado por la Ley Orgánica 1/2010, de 19 de febrero)</w:t>
      </w:r>
      <w:r w:rsidRPr="00981775">
        <w:rPr>
          <w:rStyle w:val="TextoNormalNegritaCaracter"/>
        </w:rPr>
        <w:t>.</w:t>
      </w:r>
      <w:r w:rsidRPr="00981775">
        <w:rPr>
          <w:rStyle w:val="TextoNormalCaracter"/>
        </w:rPr>
        <w:t>-</w:t>
      </w:r>
      <w:r>
        <w:t xml:space="preserve"> Sentencias </w:t>
      </w:r>
      <w:hyperlink w:anchor="SENTENCIA_2015_222" w:history="1">
        <w:r w:rsidRPr="00981775">
          <w:rPr>
            <w:rStyle w:val="TextoNormalCaracter"/>
          </w:rPr>
          <w:t>222/2015</w:t>
        </w:r>
      </w:hyperlink>
      <w:r>
        <w:t xml:space="preserve">, f. 3; </w:t>
      </w:r>
      <w:hyperlink w:anchor="SENTENCIA_2015_239" w:history="1">
        <w:r w:rsidRPr="00981775">
          <w:rPr>
            <w:rStyle w:val="TextoNormalCaracter"/>
          </w:rPr>
          <w:t>239/2015</w:t>
        </w:r>
      </w:hyperlink>
      <w:r>
        <w:t xml:space="preserve">, f. 3; </w:t>
      </w:r>
      <w:hyperlink w:anchor="SENTENCIA_2015_240" w:history="1">
        <w:r w:rsidRPr="00981775">
          <w:rPr>
            <w:rStyle w:val="TextoNormalCaracter"/>
          </w:rPr>
          <w:t>240/2015</w:t>
        </w:r>
      </w:hyperlink>
      <w:r>
        <w:t xml:space="preserve">, f. 3; </w:t>
      </w:r>
      <w:hyperlink w:anchor="SENTENCIA_2015_262" w:history="1">
        <w:r w:rsidRPr="00981775">
          <w:rPr>
            <w:rStyle w:val="TextoNormalCaracter"/>
          </w:rPr>
          <w:t>262/2015</w:t>
        </w:r>
      </w:hyperlink>
      <w:r>
        <w:t xml:space="preserve">, f. 3; </w:t>
      </w:r>
      <w:hyperlink w:anchor="SENTENCIA_2015_263" w:history="1">
        <w:r w:rsidRPr="00981775">
          <w:rPr>
            <w:rStyle w:val="TextoNormalCaracter"/>
          </w:rPr>
          <w:t>263/2015</w:t>
        </w:r>
      </w:hyperlink>
      <w:r>
        <w:t>, ff. 2, 3.</w:t>
      </w:r>
    </w:p>
    <w:p w:rsidR="00981775" w:rsidRDefault="00981775" w:rsidP="00981775">
      <w:pPr>
        <w:pStyle w:val="SangriaFrancesaArticulo"/>
      </w:pPr>
      <w:r w:rsidRPr="00981775">
        <w:rPr>
          <w:rStyle w:val="TextoNormalNegritaCaracter"/>
        </w:rPr>
        <w:t>Artículo 25.1.</w:t>
      </w:r>
      <w:r w:rsidRPr="00981775">
        <w:rPr>
          <w:rStyle w:val="TextoNormalCaracter"/>
        </w:rPr>
        <w:t>-</w:t>
      </w:r>
      <w:r>
        <w:t xml:space="preserve"> Sentencia </w:t>
      </w:r>
      <w:hyperlink w:anchor="SENTENCIA_2015_159" w:history="1">
        <w:r w:rsidRPr="00981775">
          <w:rPr>
            <w:rStyle w:val="TextoNormalCaracter"/>
          </w:rPr>
          <w:t>159/2015</w:t>
        </w:r>
      </w:hyperlink>
      <w:r>
        <w:t>, f. 3.</w:t>
      </w:r>
    </w:p>
    <w:p w:rsidR="00981775" w:rsidRDefault="00981775" w:rsidP="00981775">
      <w:pPr>
        <w:pStyle w:val="SangriaFrancesaArticulo"/>
      </w:pPr>
      <w:r w:rsidRPr="00981775">
        <w:rPr>
          <w:rStyle w:val="TextoNormalNegritaCaracter"/>
        </w:rPr>
        <w:t>Artículo 31.2.</w:t>
      </w:r>
      <w:r w:rsidRPr="00981775">
        <w:rPr>
          <w:rStyle w:val="TextoNormalCaracter"/>
        </w:rPr>
        <w:t>-</w:t>
      </w:r>
      <w:r>
        <w:t xml:space="preserve"> Sentencia </w:t>
      </w:r>
      <w:hyperlink w:anchor="SENTENCIA_2015_231" w:history="1">
        <w:r w:rsidRPr="00981775">
          <w:rPr>
            <w:rStyle w:val="TextoNormalCaracter"/>
          </w:rPr>
          <w:t>231/2015</w:t>
        </w:r>
      </w:hyperlink>
      <w:r>
        <w:t>, f. 12.</w:t>
      </w:r>
    </w:p>
    <w:p w:rsidR="00981775" w:rsidRDefault="00981775" w:rsidP="00981775">
      <w:pPr>
        <w:pStyle w:val="SangriaFrancesaArticulo"/>
      </w:pPr>
      <w:r w:rsidRPr="00981775">
        <w:rPr>
          <w:rStyle w:val="TextoNormalNegritaCaracter"/>
        </w:rPr>
        <w:t>Artículo 33.2.</w:t>
      </w:r>
      <w:r w:rsidRPr="00981775">
        <w:rPr>
          <w:rStyle w:val="TextoNormalCaracter"/>
        </w:rPr>
        <w:t>-</w:t>
      </w:r>
      <w:r>
        <w:t xml:space="preserve"> Auto </w:t>
      </w:r>
      <w:hyperlink w:anchor="AUTO_2015_224" w:history="1">
        <w:r w:rsidRPr="00981775">
          <w:rPr>
            <w:rStyle w:val="TextoNormalCaracter"/>
          </w:rPr>
          <w:t>224/2015</w:t>
        </w:r>
      </w:hyperlink>
      <w:r>
        <w:t>, f. 2.</w:t>
      </w:r>
    </w:p>
    <w:p w:rsidR="00981775" w:rsidRDefault="00981775" w:rsidP="00981775">
      <w:pPr>
        <w:pStyle w:val="SangriaFrancesaArticulo"/>
      </w:pPr>
      <w:r w:rsidRPr="00981775">
        <w:rPr>
          <w:rStyle w:val="TextoNormalNegritaCaracter"/>
        </w:rPr>
        <w:t>Artículo 45.2 a).</w:t>
      </w:r>
      <w:r w:rsidRPr="00981775">
        <w:rPr>
          <w:rStyle w:val="TextoNormalCaracter"/>
        </w:rPr>
        <w:t>-</w:t>
      </w:r>
      <w:r>
        <w:t xml:space="preserve"> Sentencia </w:t>
      </w:r>
      <w:hyperlink w:anchor="SENTENCIA_2015_186" w:history="1">
        <w:r w:rsidRPr="00981775">
          <w:rPr>
            <w:rStyle w:val="TextoNormalCaracter"/>
          </w:rPr>
          <w:t>186/2015</w:t>
        </w:r>
      </w:hyperlink>
      <w:r>
        <w:t>, f. 5.</w:t>
      </w:r>
    </w:p>
    <w:p w:rsidR="00981775" w:rsidRDefault="00981775" w:rsidP="00981775">
      <w:pPr>
        <w:pStyle w:val="SangriaFrancesaArticulo"/>
      </w:pPr>
      <w:r w:rsidRPr="00981775">
        <w:rPr>
          <w:rStyle w:val="TextoNormalNegritaCaracter"/>
        </w:rPr>
        <w:t>Artículo 45.2 d).</w:t>
      </w:r>
      <w:r w:rsidRPr="00981775">
        <w:rPr>
          <w:rStyle w:val="TextoNormalCaracter"/>
        </w:rPr>
        <w:t>-</w:t>
      </w:r>
      <w:r>
        <w:t xml:space="preserve"> Sentencia </w:t>
      </w:r>
      <w:hyperlink w:anchor="SENTENCIA_2015_186" w:history="1">
        <w:r w:rsidRPr="00981775">
          <w:rPr>
            <w:rStyle w:val="TextoNormalCaracter"/>
          </w:rPr>
          <w:t>186/2015</w:t>
        </w:r>
      </w:hyperlink>
      <w:r>
        <w:t>, ff. 1, 5, 6.</w:t>
      </w:r>
    </w:p>
    <w:p w:rsidR="00981775" w:rsidRDefault="00981775" w:rsidP="00981775">
      <w:pPr>
        <w:pStyle w:val="SangriaFrancesaArticulo"/>
      </w:pPr>
      <w:r w:rsidRPr="00981775">
        <w:rPr>
          <w:rStyle w:val="TextoNormalNegritaCaracter"/>
        </w:rPr>
        <w:t>Artículo 45.3.</w:t>
      </w:r>
      <w:r w:rsidRPr="00981775">
        <w:rPr>
          <w:rStyle w:val="TextoNormalCaracter"/>
        </w:rPr>
        <w:t>-</w:t>
      </w:r>
      <w:r>
        <w:t xml:space="preserve"> Sentencia </w:t>
      </w:r>
      <w:hyperlink w:anchor="SENTENCIA_2015_186" w:history="1">
        <w:r w:rsidRPr="00981775">
          <w:rPr>
            <w:rStyle w:val="TextoNormalCaracter"/>
          </w:rPr>
          <w:t>186/2015</w:t>
        </w:r>
      </w:hyperlink>
      <w:r>
        <w:t>, f. 5.</w:t>
      </w:r>
    </w:p>
    <w:p w:rsidR="00981775" w:rsidRDefault="00981775" w:rsidP="00981775">
      <w:pPr>
        <w:pStyle w:val="SangriaFrancesaArticulo"/>
      </w:pPr>
      <w:r w:rsidRPr="00981775">
        <w:rPr>
          <w:rStyle w:val="TextoNormalNegritaCaracter"/>
        </w:rPr>
        <w:t>Artículo 69 b).</w:t>
      </w:r>
      <w:r w:rsidRPr="00981775">
        <w:rPr>
          <w:rStyle w:val="TextoNormalCaracter"/>
        </w:rPr>
        <w:t>-</w:t>
      </w:r>
      <w:r>
        <w:t xml:space="preserve"> Sentencia </w:t>
      </w:r>
      <w:hyperlink w:anchor="SENTENCIA_2015_186" w:history="1">
        <w:r w:rsidRPr="00981775">
          <w:rPr>
            <w:rStyle w:val="TextoNormalCaracter"/>
          </w:rPr>
          <w:t>186/2015</w:t>
        </w:r>
      </w:hyperlink>
      <w:r>
        <w:t>, f. 5.</w:t>
      </w:r>
    </w:p>
    <w:p w:rsidR="00981775" w:rsidRDefault="00981775" w:rsidP="00981775">
      <w:pPr>
        <w:pStyle w:val="SangriaFrancesaArticulo"/>
      </w:pPr>
      <w:r w:rsidRPr="00981775">
        <w:rPr>
          <w:rStyle w:val="TextoNormalNegritaCaracter"/>
        </w:rPr>
        <w:t>Artículo 69 c).</w:t>
      </w:r>
      <w:r w:rsidRPr="00981775">
        <w:rPr>
          <w:rStyle w:val="TextoNormalCaracter"/>
        </w:rPr>
        <w:t>-</w:t>
      </w:r>
      <w:r>
        <w:t xml:space="preserve"> Sentencia </w:t>
      </w:r>
      <w:hyperlink w:anchor="SENTENCIA_2015_159" w:history="1">
        <w:r w:rsidRPr="00981775">
          <w:rPr>
            <w:rStyle w:val="TextoNormalCaracter"/>
          </w:rPr>
          <w:t>159/2015</w:t>
        </w:r>
      </w:hyperlink>
      <w:r>
        <w:t>, f. 3.</w:t>
      </w:r>
    </w:p>
    <w:p w:rsidR="00981775" w:rsidRDefault="00981775" w:rsidP="00981775">
      <w:pPr>
        <w:pStyle w:val="SangriaFrancesaArticulo"/>
      </w:pPr>
      <w:r w:rsidRPr="00981775">
        <w:rPr>
          <w:rStyle w:val="TextoNormalNegritaCaracter"/>
        </w:rPr>
        <w:t>Artículo 71.1 b).</w:t>
      </w:r>
      <w:r w:rsidRPr="00981775">
        <w:rPr>
          <w:rStyle w:val="TextoNormalCaracter"/>
        </w:rPr>
        <w:t>-</w:t>
      </w:r>
      <w:r>
        <w:t xml:space="preserve"> Sentencia </w:t>
      </w:r>
      <w:hyperlink w:anchor="SENTENCIA_2015_231" w:history="1">
        <w:r w:rsidRPr="00981775">
          <w:rPr>
            <w:rStyle w:val="TextoNormalCaracter"/>
          </w:rPr>
          <w:t>231/2015</w:t>
        </w:r>
      </w:hyperlink>
      <w:r>
        <w:t>, f. 12.</w:t>
      </w:r>
    </w:p>
    <w:p w:rsidR="00981775" w:rsidRDefault="00981775" w:rsidP="00981775">
      <w:pPr>
        <w:pStyle w:val="SangriaFrancesaArticulo"/>
      </w:pPr>
      <w:r w:rsidRPr="00981775">
        <w:rPr>
          <w:rStyle w:val="TextoNormalNegritaCaracter"/>
        </w:rPr>
        <w:t>Artículo 72.2.</w:t>
      </w:r>
      <w:r w:rsidRPr="00981775">
        <w:rPr>
          <w:rStyle w:val="TextoNormalCaracter"/>
        </w:rPr>
        <w:t>-</w:t>
      </w:r>
      <w:r>
        <w:t xml:space="preserve"> Sentencia </w:t>
      </w:r>
      <w:hyperlink w:anchor="SENTENCIA_2015_231" w:history="1">
        <w:r w:rsidRPr="00981775">
          <w:rPr>
            <w:rStyle w:val="TextoNormalCaracter"/>
          </w:rPr>
          <w:t>231/2015</w:t>
        </w:r>
      </w:hyperlink>
      <w:r>
        <w:t>, f. 11.</w:t>
      </w:r>
    </w:p>
    <w:p w:rsidR="00981775" w:rsidRDefault="00981775" w:rsidP="00981775">
      <w:pPr>
        <w:pStyle w:val="SangriaFrancesaArticulo"/>
      </w:pPr>
      <w:r w:rsidRPr="00981775">
        <w:rPr>
          <w:rStyle w:val="TextoNormalNegritaCaracter"/>
        </w:rPr>
        <w:t>Artículo 79.1.</w:t>
      </w:r>
      <w:r w:rsidRPr="00981775">
        <w:rPr>
          <w:rStyle w:val="TextoNormalCaracter"/>
        </w:rPr>
        <w:t>-</w:t>
      </w:r>
      <w:r>
        <w:t xml:space="preserve"> Sentencia </w:t>
      </w:r>
      <w:hyperlink w:anchor="SENTENCIA_2015_152" w:history="1">
        <w:r w:rsidRPr="00981775">
          <w:rPr>
            <w:rStyle w:val="TextoNormalCaracter"/>
          </w:rPr>
          <w:t>152/2015</w:t>
        </w:r>
      </w:hyperlink>
      <w:r>
        <w:t>, f. 2.</w:t>
      </w:r>
    </w:p>
    <w:p w:rsidR="00981775" w:rsidRDefault="00981775" w:rsidP="00981775">
      <w:pPr>
        <w:pStyle w:val="SangriaFrancesaArticulo"/>
      </w:pPr>
      <w:r w:rsidRPr="00981775">
        <w:rPr>
          <w:rStyle w:val="TextoNormalNegritaCaracter"/>
        </w:rPr>
        <w:t>Artículo 89.1.</w:t>
      </w:r>
      <w:r w:rsidRPr="00981775">
        <w:rPr>
          <w:rStyle w:val="TextoNormalCaracter"/>
        </w:rPr>
        <w:t>-</w:t>
      </w:r>
      <w:r>
        <w:t xml:space="preserve"> Sentencia </w:t>
      </w:r>
      <w:hyperlink w:anchor="SENTENCIA_2015_179" w:history="1">
        <w:r w:rsidRPr="00981775">
          <w:rPr>
            <w:rStyle w:val="TextoNormalCaracter"/>
          </w:rPr>
          <w:t>179/2015</w:t>
        </w:r>
      </w:hyperlink>
      <w:r>
        <w:t>, f. 2.</w:t>
      </w:r>
    </w:p>
    <w:p w:rsidR="00981775" w:rsidRDefault="00981775" w:rsidP="00981775">
      <w:pPr>
        <w:pStyle w:val="SangriaFrancesaArticulo"/>
      </w:pPr>
      <w:r w:rsidRPr="00981775">
        <w:rPr>
          <w:rStyle w:val="TextoNormalNegritaCaracter"/>
        </w:rPr>
        <w:t>Artículo 100.7.</w:t>
      </w:r>
      <w:r w:rsidRPr="00981775">
        <w:rPr>
          <w:rStyle w:val="TextoNormalCaracter"/>
        </w:rPr>
        <w:t>-</w:t>
      </w:r>
      <w:r>
        <w:t xml:space="preserve"> Sentencia </w:t>
      </w:r>
      <w:hyperlink w:anchor="SENTENCIA_2015_179" w:history="1">
        <w:r w:rsidRPr="00981775">
          <w:rPr>
            <w:rStyle w:val="TextoNormalCaracter"/>
          </w:rPr>
          <w:t>179/2015</w:t>
        </w:r>
      </w:hyperlink>
      <w:r>
        <w:t>, f. 2.</w:t>
      </w:r>
    </w:p>
    <w:p w:rsidR="00981775" w:rsidRDefault="00981775" w:rsidP="00981775">
      <w:pPr>
        <w:pStyle w:val="SangriaFrancesaArticulo"/>
      </w:pPr>
      <w:r w:rsidRPr="00981775">
        <w:rPr>
          <w:rStyle w:val="TextoNormalNegritaCaracter"/>
        </w:rPr>
        <w:t>Artículo 104.2.</w:t>
      </w:r>
      <w:r w:rsidRPr="00981775">
        <w:rPr>
          <w:rStyle w:val="TextoNormalCaracter"/>
        </w:rPr>
        <w:t>-</w:t>
      </w:r>
      <w:r>
        <w:t xml:space="preserve"> Sentencia </w:t>
      </w:r>
      <w:hyperlink w:anchor="SENTENCIA_2015_231" w:history="1">
        <w:r w:rsidRPr="00981775">
          <w:rPr>
            <w:rStyle w:val="TextoNormalCaracter"/>
          </w:rPr>
          <w:t>231/2015</w:t>
        </w:r>
      </w:hyperlink>
      <w:r>
        <w:t>, f. 11.</w:t>
      </w:r>
    </w:p>
    <w:p w:rsidR="00981775" w:rsidRDefault="00981775" w:rsidP="00981775">
      <w:pPr>
        <w:pStyle w:val="SangriaFrancesaArticulo"/>
      </w:pPr>
      <w:r w:rsidRPr="00981775">
        <w:rPr>
          <w:rStyle w:val="TextoNormalNegritaCaracter"/>
        </w:rPr>
        <w:t>Artículo 105.</w:t>
      </w:r>
      <w:r w:rsidRPr="00981775">
        <w:rPr>
          <w:rStyle w:val="TextoNormalCaracter"/>
        </w:rPr>
        <w:t>-</w:t>
      </w:r>
      <w:r>
        <w:t xml:space="preserve"> Sentencia </w:t>
      </w:r>
      <w:hyperlink w:anchor="SENTENCIA_2015_254" w:history="1">
        <w:r w:rsidRPr="00981775">
          <w:rPr>
            <w:rStyle w:val="TextoNormalCaracter"/>
          </w:rPr>
          <w:t>254/2015</w:t>
        </w:r>
      </w:hyperlink>
      <w:r>
        <w:t>, ff. 1, 3.</w:t>
      </w:r>
    </w:p>
    <w:p w:rsidR="00981775" w:rsidRDefault="00981775" w:rsidP="00981775">
      <w:pPr>
        <w:pStyle w:val="SangriaFrancesaArticulo"/>
      </w:pPr>
      <w:r w:rsidRPr="00981775">
        <w:rPr>
          <w:rStyle w:val="TextoNormalNegritaCaracter"/>
        </w:rPr>
        <w:t>Artículo 105.2.</w:t>
      </w:r>
      <w:r w:rsidRPr="00981775">
        <w:rPr>
          <w:rStyle w:val="TextoNormalCaracter"/>
        </w:rPr>
        <w:t>-</w:t>
      </w:r>
      <w:r>
        <w:t xml:space="preserve"> Sentencias </w:t>
      </w:r>
      <w:hyperlink w:anchor="SENTENCIA_2015_152" w:history="1">
        <w:r w:rsidRPr="00981775">
          <w:rPr>
            <w:rStyle w:val="TextoNormalCaracter"/>
          </w:rPr>
          <w:t>152/2015</w:t>
        </w:r>
      </w:hyperlink>
      <w:r>
        <w:t xml:space="preserve">, ff. 1, 2, 5, 7; </w:t>
      </w:r>
      <w:hyperlink w:anchor="SENTENCIA_2015_231" w:history="1">
        <w:r w:rsidRPr="00981775">
          <w:rPr>
            <w:rStyle w:val="TextoNormalCaracter"/>
          </w:rPr>
          <w:t>231/2015</w:t>
        </w:r>
      </w:hyperlink>
      <w:r>
        <w:t xml:space="preserve">, f. 10; </w:t>
      </w:r>
      <w:hyperlink w:anchor="SENTENCIA_2015_254" w:history="1">
        <w:r w:rsidRPr="00981775">
          <w:rPr>
            <w:rStyle w:val="TextoNormalCaracter"/>
          </w:rPr>
          <w:t>254/2015</w:t>
        </w:r>
      </w:hyperlink>
      <w:r>
        <w:t>, f. 3.</w:t>
      </w:r>
    </w:p>
    <w:p w:rsidR="00981775" w:rsidRDefault="00981775" w:rsidP="00981775">
      <w:pPr>
        <w:pStyle w:val="SangriaFrancesaArticulo"/>
      </w:pPr>
      <w:r w:rsidRPr="00981775">
        <w:rPr>
          <w:rStyle w:val="TextoNormalNegritaCaracter"/>
        </w:rPr>
        <w:t>Artículo 109.</w:t>
      </w:r>
      <w:r w:rsidRPr="00981775">
        <w:rPr>
          <w:rStyle w:val="TextoNormalCaracter"/>
        </w:rPr>
        <w:t>-</w:t>
      </w:r>
      <w:r>
        <w:t xml:space="preserve"> Sentencia </w:t>
      </w:r>
      <w:hyperlink w:anchor="SENTENCIA_2015_231" w:history="1">
        <w:r w:rsidRPr="00981775">
          <w:rPr>
            <w:rStyle w:val="TextoNormalCaracter"/>
          </w:rPr>
          <w:t>231/2015</w:t>
        </w:r>
      </w:hyperlink>
      <w:r>
        <w:t>, f. 1.</w:t>
      </w:r>
    </w:p>
    <w:p w:rsidR="00981775" w:rsidRDefault="00981775" w:rsidP="00981775">
      <w:pPr>
        <w:pStyle w:val="SangriaFrancesaArticulo"/>
      </w:pPr>
      <w:r w:rsidRPr="00981775">
        <w:rPr>
          <w:rStyle w:val="TextoNormalNegritaCaracter"/>
        </w:rPr>
        <w:t>Artículo 138.</w:t>
      </w:r>
      <w:r w:rsidRPr="00981775">
        <w:rPr>
          <w:rStyle w:val="TextoNormalCaracter"/>
        </w:rPr>
        <w:t>-</w:t>
      </w:r>
      <w:r>
        <w:t xml:space="preserve"> Sentencia </w:t>
      </w:r>
      <w:hyperlink w:anchor="SENTENCIA_2015_186" w:history="1">
        <w:r w:rsidRPr="00981775">
          <w:rPr>
            <w:rStyle w:val="TextoNormalCaracter"/>
          </w:rPr>
          <w:t>186/2015</w:t>
        </w:r>
      </w:hyperlink>
      <w:r>
        <w:t>, f. 5.</w:t>
      </w:r>
    </w:p>
    <w:p w:rsidR="00981775" w:rsidRDefault="00981775" w:rsidP="00981775">
      <w:pPr>
        <w:pStyle w:val="SangriaFrancesaArticulo"/>
      </w:pPr>
    </w:p>
    <w:p w:rsidR="00981775" w:rsidRDefault="00981775" w:rsidP="00981775">
      <w:pPr>
        <w:pStyle w:val="TextoNormalNegritaCursivandice"/>
      </w:pPr>
      <w:r>
        <w:t>Ley 34/1998, de 7 de octubre. Sector de hidrocarburos</w:t>
      </w:r>
    </w:p>
    <w:p w:rsidR="00981775" w:rsidRDefault="00981775" w:rsidP="00981775">
      <w:pPr>
        <w:pStyle w:val="SangriaFrancesaArticulo"/>
      </w:pPr>
      <w:r w:rsidRPr="00981775">
        <w:rPr>
          <w:rStyle w:val="TextoNormalNegritaCaracter"/>
        </w:rPr>
        <w:t>Artículo 67.</w:t>
      </w:r>
      <w:r w:rsidRPr="00981775">
        <w:rPr>
          <w:rStyle w:val="TextoNormalCaracter"/>
        </w:rPr>
        <w:t>-</w:t>
      </w:r>
      <w:r>
        <w:t xml:space="preserve"> Sentencia </w:t>
      </w:r>
      <w:hyperlink w:anchor="SENTENCIA_2015_199" w:history="1">
        <w:r w:rsidRPr="00981775">
          <w:rPr>
            <w:rStyle w:val="TextoNormalCaracter"/>
          </w:rPr>
          <w:t>199/2015</w:t>
        </w:r>
      </w:hyperlink>
      <w:r>
        <w:t>, f. 2.</w:t>
      </w:r>
    </w:p>
    <w:p w:rsidR="00981775" w:rsidRDefault="00981775" w:rsidP="00981775">
      <w:pPr>
        <w:pStyle w:val="SangriaFrancesaArticulo"/>
      </w:pPr>
    </w:p>
    <w:p w:rsidR="00981775" w:rsidRDefault="00981775" w:rsidP="00981775">
      <w:pPr>
        <w:pStyle w:val="TextoNormalNegritaCursivandice"/>
      </w:pPr>
      <w:r>
        <w:t>Ley 40/1999, de 5 de noviembre. Nombre y apellidos y orden de los mismos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42" w:history="1">
        <w:r w:rsidRPr="00981775">
          <w:rPr>
            <w:rStyle w:val="TextoNormalCaracter"/>
          </w:rPr>
          <w:t>242/2015</w:t>
        </w:r>
      </w:hyperlink>
      <w:r>
        <w:t>, f. 4.</w:t>
      </w:r>
    </w:p>
    <w:p w:rsidR="00981775" w:rsidRDefault="00981775" w:rsidP="00981775">
      <w:pPr>
        <w:pStyle w:val="SangriaFrancesaArticulo"/>
      </w:pPr>
    </w:p>
    <w:p w:rsidR="00981775" w:rsidRDefault="00981775" w:rsidP="00981775">
      <w:pPr>
        <w:pStyle w:val="TextoNormalNegritaCursivandice"/>
      </w:pPr>
      <w:r>
        <w:t>Ley 1/2000, de 7 de enero. Enjuiciamiento civil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Sentencias </w:t>
      </w:r>
      <w:hyperlink w:anchor="SENTENCIA_2015_181" w:history="1">
        <w:r w:rsidRPr="00981775">
          <w:rPr>
            <w:rStyle w:val="TextoNormalCaracter"/>
          </w:rPr>
          <w:t>181/2015</w:t>
        </w:r>
      </w:hyperlink>
      <w:r>
        <w:t xml:space="preserve">, f. 5; </w:t>
      </w:r>
      <w:hyperlink w:anchor="SENTENCIA_2015_182" w:history="1">
        <w:r w:rsidRPr="00981775">
          <w:rPr>
            <w:rStyle w:val="TextoNormalCaracter"/>
          </w:rPr>
          <w:t>182/2015</w:t>
        </w:r>
      </w:hyperlink>
      <w:r>
        <w:t xml:space="preserve">, f. 3; </w:t>
      </w:r>
      <w:hyperlink w:anchor="SENTENCIA_2015_208" w:history="1">
        <w:r w:rsidRPr="00981775">
          <w:rPr>
            <w:rStyle w:val="TextoNormalCaracter"/>
          </w:rPr>
          <w:t>208/2015</w:t>
        </w:r>
      </w:hyperlink>
      <w:r>
        <w:t xml:space="preserve">, f. 2; </w:t>
      </w:r>
      <w:hyperlink w:anchor="SENTENCIA_2015_216" w:history="1">
        <w:r w:rsidRPr="00981775">
          <w:rPr>
            <w:rStyle w:val="TextoNormalCaracter"/>
          </w:rPr>
          <w:t>216/2015</w:t>
        </w:r>
      </w:hyperlink>
      <w:r>
        <w:t>, f. 3.</w:t>
      </w:r>
    </w:p>
    <w:p w:rsidR="00981775" w:rsidRDefault="00981775" w:rsidP="00981775">
      <w:pPr>
        <w:pStyle w:val="SangriaIzquierdaArticulo"/>
      </w:pPr>
      <w:r>
        <w:t xml:space="preserve">Auto </w:t>
      </w:r>
      <w:hyperlink w:anchor="AUTO_2015_125" w:history="1">
        <w:r w:rsidRPr="00981775">
          <w:rPr>
            <w:rStyle w:val="TextoNormalCaracter"/>
          </w:rPr>
          <w:t>125/2015</w:t>
        </w:r>
      </w:hyperlink>
      <w:r>
        <w:t>, f. único.</w:t>
      </w:r>
    </w:p>
    <w:p w:rsidR="00981775" w:rsidRDefault="00981775" w:rsidP="00981775">
      <w:pPr>
        <w:pStyle w:val="SangriaFrancesaArticulo"/>
      </w:pPr>
      <w:r w:rsidRPr="00981775">
        <w:rPr>
          <w:rStyle w:val="TextoNormalNegritaCaracter"/>
        </w:rPr>
        <w:t>Artículo 16.3.</w:t>
      </w:r>
      <w:r w:rsidRPr="00981775">
        <w:rPr>
          <w:rStyle w:val="TextoNormalCaracter"/>
        </w:rPr>
        <w:t>-</w:t>
      </w:r>
      <w:r>
        <w:t xml:space="preserve"> Auto </w:t>
      </w:r>
      <w:hyperlink w:anchor="AUTO_2015_204" w:history="1">
        <w:r w:rsidRPr="00981775">
          <w:rPr>
            <w:rStyle w:val="TextoNormalCaracter"/>
          </w:rPr>
          <w:t>204/2015</w:t>
        </w:r>
      </w:hyperlink>
      <w:r>
        <w:t>, f. único.</w:t>
      </w:r>
    </w:p>
    <w:p w:rsidR="00981775" w:rsidRDefault="00981775" w:rsidP="00981775">
      <w:pPr>
        <w:pStyle w:val="SangriaFrancesaArticulo"/>
      </w:pPr>
      <w:r w:rsidRPr="00981775">
        <w:rPr>
          <w:rStyle w:val="TextoNormalNegritaCaracter"/>
        </w:rPr>
        <w:t>Artículo 19.</w:t>
      </w:r>
      <w:r w:rsidRPr="00981775">
        <w:rPr>
          <w:rStyle w:val="TextoNormalCaracter"/>
        </w:rPr>
        <w:t>-</w:t>
      </w:r>
      <w:r>
        <w:t xml:space="preserve"> Sentencia </w:t>
      </w:r>
      <w:hyperlink w:anchor="SENTENCIA_2015_194" w:history="1">
        <w:r w:rsidRPr="00981775">
          <w:rPr>
            <w:rStyle w:val="TextoNormalCaracter"/>
          </w:rPr>
          <w:t>194/2015</w:t>
        </w:r>
      </w:hyperlink>
      <w:r>
        <w:t>, f. 6.</w:t>
      </w:r>
    </w:p>
    <w:p w:rsidR="00981775" w:rsidRDefault="00981775" w:rsidP="00981775">
      <w:pPr>
        <w:pStyle w:val="SangriaFrancesaArticulo"/>
      </w:pPr>
      <w:r w:rsidRPr="00981775">
        <w:rPr>
          <w:rStyle w:val="TextoNormalNegritaCaracter"/>
        </w:rPr>
        <w:t>Artículo 19.1.</w:t>
      </w:r>
      <w:r w:rsidRPr="00981775">
        <w:rPr>
          <w:rStyle w:val="TextoNormalCaracter"/>
        </w:rPr>
        <w:t>-</w:t>
      </w:r>
      <w:r>
        <w:t xml:space="preserve"> Autos </w:t>
      </w:r>
      <w:hyperlink w:anchor="AUTO_2015_123" w:history="1">
        <w:r w:rsidRPr="00981775">
          <w:rPr>
            <w:rStyle w:val="TextoNormalCaracter"/>
          </w:rPr>
          <w:t>123/2015</w:t>
        </w:r>
      </w:hyperlink>
      <w:r>
        <w:t xml:space="preserve">, f. único; </w:t>
      </w:r>
      <w:hyperlink w:anchor="AUTO_2015_147" w:history="1">
        <w:r w:rsidRPr="00981775">
          <w:rPr>
            <w:rStyle w:val="TextoNormalCaracter"/>
          </w:rPr>
          <w:t>147/2015</w:t>
        </w:r>
      </w:hyperlink>
      <w:r>
        <w:t xml:space="preserve">, Único; </w:t>
      </w:r>
      <w:hyperlink w:anchor="AUTO_2015_150" w:history="1">
        <w:r w:rsidRPr="00981775">
          <w:rPr>
            <w:rStyle w:val="TextoNormalCaracter"/>
          </w:rPr>
          <w:t>150/2015</w:t>
        </w:r>
      </w:hyperlink>
      <w:r>
        <w:t xml:space="preserve">, Único; </w:t>
      </w:r>
      <w:hyperlink w:anchor="AUTO_2015_151" w:history="1">
        <w:r w:rsidRPr="00981775">
          <w:rPr>
            <w:rStyle w:val="TextoNormalCaracter"/>
          </w:rPr>
          <w:t>151/2015</w:t>
        </w:r>
      </w:hyperlink>
      <w:r>
        <w:t xml:space="preserve">, Único; </w:t>
      </w:r>
      <w:hyperlink w:anchor="AUTO_2015_152" w:history="1">
        <w:r w:rsidRPr="00981775">
          <w:rPr>
            <w:rStyle w:val="TextoNormalCaracter"/>
          </w:rPr>
          <w:t>152/2015</w:t>
        </w:r>
      </w:hyperlink>
      <w:r>
        <w:t xml:space="preserve">, Único; </w:t>
      </w:r>
      <w:hyperlink w:anchor="AUTO_2015_153" w:history="1">
        <w:r w:rsidRPr="00981775">
          <w:rPr>
            <w:rStyle w:val="TextoNormalCaracter"/>
          </w:rPr>
          <w:t>153/2015</w:t>
        </w:r>
      </w:hyperlink>
      <w:r>
        <w:t xml:space="preserve">, Único; </w:t>
      </w:r>
      <w:hyperlink w:anchor="AUTO_2015_156" w:history="1">
        <w:r w:rsidRPr="00981775">
          <w:rPr>
            <w:rStyle w:val="TextoNormalCaracter"/>
          </w:rPr>
          <w:t>156/2015</w:t>
        </w:r>
      </w:hyperlink>
      <w:r>
        <w:t xml:space="preserve">, Único; </w:t>
      </w:r>
      <w:hyperlink w:anchor="AUTO_2015_161" w:history="1">
        <w:r w:rsidRPr="00981775">
          <w:rPr>
            <w:rStyle w:val="TextoNormalCaracter"/>
          </w:rPr>
          <w:t>161/2015</w:t>
        </w:r>
      </w:hyperlink>
      <w:r>
        <w:t xml:space="preserve">, f. único; </w:t>
      </w:r>
      <w:hyperlink w:anchor="AUTO_2015_162" w:history="1">
        <w:r w:rsidRPr="00981775">
          <w:rPr>
            <w:rStyle w:val="TextoNormalCaracter"/>
          </w:rPr>
          <w:t>162/2015</w:t>
        </w:r>
      </w:hyperlink>
      <w:r>
        <w:t xml:space="preserve">, f. único; </w:t>
      </w:r>
      <w:hyperlink w:anchor="AUTO_2015_163" w:history="1">
        <w:r w:rsidRPr="00981775">
          <w:rPr>
            <w:rStyle w:val="TextoNormalCaracter"/>
          </w:rPr>
          <w:t>163/2015</w:t>
        </w:r>
      </w:hyperlink>
      <w:r>
        <w:t xml:space="preserve">, f. único; </w:t>
      </w:r>
      <w:hyperlink w:anchor="AUTO_2015_169" w:history="1">
        <w:r w:rsidRPr="00981775">
          <w:rPr>
            <w:rStyle w:val="TextoNormalCaracter"/>
          </w:rPr>
          <w:t>169/2015</w:t>
        </w:r>
      </w:hyperlink>
      <w:r>
        <w:t xml:space="preserve">, f. único; </w:t>
      </w:r>
      <w:hyperlink w:anchor="AUTO_2015_187" w:history="1">
        <w:r w:rsidRPr="00981775">
          <w:rPr>
            <w:rStyle w:val="TextoNormalCaracter"/>
          </w:rPr>
          <w:t>187/2015</w:t>
        </w:r>
      </w:hyperlink>
      <w:r>
        <w:t xml:space="preserve">, f. único; </w:t>
      </w:r>
      <w:hyperlink w:anchor="AUTO_2015_199" w:history="1">
        <w:r w:rsidRPr="00981775">
          <w:rPr>
            <w:rStyle w:val="TextoNormalCaracter"/>
          </w:rPr>
          <w:t>199/2015</w:t>
        </w:r>
      </w:hyperlink>
      <w:r>
        <w:t xml:space="preserve">, f. único; </w:t>
      </w:r>
      <w:hyperlink w:anchor="AUTO_2015_200" w:history="1">
        <w:r w:rsidRPr="00981775">
          <w:rPr>
            <w:rStyle w:val="TextoNormalCaracter"/>
          </w:rPr>
          <w:t>200/2015</w:t>
        </w:r>
      </w:hyperlink>
      <w:r>
        <w:t xml:space="preserve">, f. único; </w:t>
      </w:r>
      <w:hyperlink w:anchor="AUTO_2015_203" w:history="1">
        <w:r w:rsidRPr="00981775">
          <w:rPr>
            <w:rStyle w:val="TextoNormalCaracter"/>
          </w:rPr>
          <w:t>203/2015</w:t>
        </w:r>
      </w:hyperlink>
      <w:r>
        <w:t xml:space="preserve">, f. único; </w:t>
      </w:r>
      <w:hyperlink w:anchor="AUTO_2015_204" w:history="1">
        <w:r w:rsidRPr="00981775">
          <w:rPr>
            <w:rStyle w:val="TextoNormalCaracter"/>
          </w:rPr>
          <w:t>204/2015</w:t>
        </w:r>
      </w:hyperlink>
      <w:r>
        <w:t xml:space="preserve">, f. único; </w:t>
      </w:r>
      <w:hyperlink w:anchor="AUTO_2015_206" w:history="1">
        <w:r w:rsidRPr="00981775">
          <w:rPr>
            <w:rStyle w:val="TextoNormalCaracter"/>
          </w:rPr>
          <w:t>206/2015</w:t>
        </w:r>
      </w:hyperlink>
      <w:r>
        <w:t xml:space="preserve">, f. único; </w:t>
      </w:r>
      <w:hyperlink w:anchor="AUTO_2015_223" w:history="1">
        <w:r w:rsidRPr="00981775">
          <w:rPr>
            <w:rStyle w:val="TextoNormalCaracter"/>
          </w:rPr>
          <w:t>223/2015</w:t>
        </w:r>
      </w:hyperlink>
      <w:r>
        <w:t>, f. único.</w:t>
      </w:r>
    </w:p>
    <w:p w:rsidR="00981775" w:rsidRDefault="00981775" w:rsidP="00981775">
      <w:pPr>
        <w:pStyle w:val="SangriaFrancesaArticulo"/>
      </w:pPr>
      <w:r w:rsidRPr="00981775">
        <w:rPr>
          <w:rStyle w:val="TextoNormalNegritaCaracter"/>
        </w:rPr>
        <w:t>Artículo 20.2.</w:t>
      </w:r>
      <w:r w:rsidRPr="00981775">
        <w:rPr>
          <w:rStyle w:val="TextoNormalCaracter"/>
        </w:rPr>
        <w:t>-</w:t>
      </w:r>
      <w:r>
        <w:t xml:space="preserve"> Autos </w:t>
      </w:r>
      <w:hyperlink w:anchor="AUTO_2015_123" w:history="1">
        <w:r w:rsidRPr="00981775">
          <w:rPr>
            <w:rStyle w:val="TextoNormalCaracter"/>
          </w:rPr>
          <w:t>123/2015</w:t>
        </w:r>
      </w:hyperlink>
      <w:r>
        <w:t xml:space="preserve">, f. único; </w:t>
      </w:r>
      <w:hyperlink w:anchor="AUTO_2015_147" w:history="1">
        <w:r w:rsidRPr="00981775">
          <w:rPr>
            <w:rStyle w:val="TextoNormalCaracter"/>
          </w:rPr>
          <w:t>147/2015</w:t>
        </w:r>
      </w:hyperlink>
      <w:r>
        <w:t xml:space="preserve">, Único; </w:t>
      </w:r>
      <w:hyperlink w:anchor="AUTO_2015_150" w:history="1">
        <w:r w:rsidRPr="00981775">
          <w:rPr>
            <w:rStyle w:val="TextoNormalCaracter"/>
          </w:rPr>
          <w:t>150/2015</w:t>
        </w:r>
      </w:hyperlink>
      <w:r>
        <w:t xml:space="preserve">, Único; </w:t>
      </w:r>
      <w:hyperlink w:anchor="AUTO_2015_151" w:history="1">
        <w:r w:rsidRPr="00981775">
          <w:rPr>
            <w:rStyle w:val="TextoNormalCaracter"/>
          </w:rPr>
          <w:t>151/2015</w:t>
        </w:r>
      </w:hyperlink>
      <w:r>
        <w:t xml:space="preserve">, Único; </w:t>
      </w:r>
      <w:hyperlink w:anchor="AUTO_2015_152" w:history="1">
        <w:r w:rsidRPr="00981775">
          <w:rPr>
            <w:rStyle w:val="TextoNormalCaracter"/>
          </w:rPr>
          <w:t>152/2015</w:t>
        </w:r>
      </w:hyperlink>
      <w:r>
        <w:t xml:space="preserve">, Único; </w:t>
      </w:r>
      <w:hyperlink w:anchor="AUTO_2015_153" w:history="1">
        <w:r w:rsidRPr="00981775">
          <w:rPr>
            <w:rStyle w:val="TextoNormalCaracter"/>
          </w:rPr>
          <w:t>153/2015</w:t>
        </w:r>
      </w:hyperlink>
      <w:r>
        <w:t xml:space="preserve">, Único; </w:t>
      </w:r>
      <w:hyperlink w:anchor="AUTO_2015_156" w:history="1">
        <w:r w:rsidRPr="00981775">
          <w:rPr>
            <w:rStyle w:val="TextoNormalCaracter"/>
          </w:rPr>
          <w:t>156/2015</w:t>
        </w:r>
      </w:hyperlink>
      <w:r>
        <w:t xml:space="preserve">, Único; </w:t>
      </w:r>
      <w:hyperlink w:anchor="AUTO_2015_161" w:history="1">
        <w:r w:rsidRPr="00981775">
          <w:rPr>
            <w:rStyle w:val="TextoNormalCaracter"/>
          </w:rPr>
          <w:t>161/2015</w:t>
        </w:r>
      </w:hyperlink>
      <w:r>
        <w:t xml:space="preserve">, f. único; </w:t>
      </w:r>
      <w:hyperlink w:anchor="AUTO_2015_162" w:history="1">
        <w:r w:rsidRPr="00981775">
          <w:rPr>
            <w:rStyle w:val="TextoNormalCaracter"/>
          </w:rPr>
          <w:t>162/2015</w:t>
        </w:r>
      </w:hyperlink>
      <w:r>
        <w:t xml:space="preserve">, f. único; </w:t>
      </w:r>
      <w:hyperlink w:anchor="AUTO_2015_163" w:history="1">
        <w:r w:rsidRPr="00981775">
          <w:rPr>
            <w:rStyle w:val="TextoNormalCaracter"/>
          </w:rPr>
          <w:t>163/2015</w:t>
        </w:r>
      </w:hyperlink>
      <w:r>
        <w:t xml:space="preserve">, f. único; </w:t>
      </w:r>
      <w:hyperlink w:anchor="AUTO_2015_169" w:history="1">
        <w:r w:rsidRPr="00981775">
          <w:rPr>
            <w:rStyle w:val="TextoNormalCaracter"/>
          </w:rPr>
          <w:t>169/2015</w:t>
        </w:r>
      </w:hyperlink>
      <w:r>
        <w:t xml:space="preserve">, f. único; </w:t>
      </w:r>
      <w:hyperlink w:anchor="AUTO_2015_187" w:history="1">
        <w:r w:rsidRPr="00981775">
          <w:rPr>
            <w:rStyle w:val="TextoNormalCaracter"/>
          </w:rPr>
          <w:t>187/2015</w:t>
        </w:r>
      </w:hyperlink>
      <w:r>
        <w:t xml:space="preserve">, f. único; </w:t>
      </w:r>
      <w:hyperlink w:anchor="AUTO_2015_199" w:history="1">
        <w:r w:rsidRPr="00981775">
          <w:rPr>
            <w:rStyle w:val="TextoNormalCaracter"/>
          </w:rPr>
          <w:t>199/2015</w:t>
        </w:r>
      </w:hyperlink>
      <w:r>
        <w:t xml:space="preserve">, f. único; </w:t>
      </w:r>
      <w:hyperlink w:anchor="AUTO_2015_200" w:history="1">
        <w:r w:rsidRPr="00981775">
          <w:rPr>
            <w:rStyle w:val="TextoNormalCaracter"/>
          </w:rPr>
          <w:t>200/2015</w:t>
        </w:r>
      </w:hyperlink>
      <w:r>
        <w:t xml:space="preserve">, f. único; </w:t>
      </w:r>
      <w:hyperlink w:anchor="AUTO_2015_203" w:history="1">
        <w:r w:rsidRPr="00981775">
          <w:rPr>
            <w:rStyle w:val="TextoNormalCaracter"/>
          </w:rPr>
          <w:t>203/2015</w:t>
        </w:r>
      </w:hyperlink>
      <w:r>
        <w:t xml:space="preserve">, f. único; </w:t>
      </w:r>
      <w:hyperlink w:anchor="AUTO_2015_204" w:history="1">
        <w:r w:rsidRPr="00981775">
          <w:rPr>
            <w:rStyle w:val="TextoNormalCaracter"/>
          </w:rPr>
          <w:t>204/2015</w:t>
        </w:r>
      </w:hyperlink>
      <w:r>
        <w:t xml:space="preserve">, f. único; </w:t>
      </w:r>
      <w:hyperlink w:anchor="AUTO_2015_206" w:history="1">
        <w:r w:rsidRPr="00981775">
          <w:rPr>
            <w:rStyle w:val="TextoNormalCaracter"/>
          </w:rPr>
          <w:t>206/2015</w:t>
        </w:r>
      </w:hyperlink>
      <w:r>
        <w:t xml:space="preserve">, f. único; </w:t>
      </w:r>
      <w:hyperlink w:anchor="AUTO_2015_223" w:history="1">
        <w:r w:rsidRPr="00981775">
          <w:rPr>
            <w:rStyle w:val="TextoNormalCaracter"/>
          </w:rPr>
          <w:t>223/2015</w:t>
        </w:r>
      </w:hyperlink>
      <w:r>
        <w:t>, f. único.</w:t>
      </w:r>
    </w:p>
    <w:p w:rsidR="00981775" w:rsidRDefault="00981775" w:rsidP="00981775">
      <w:pPr>
        <w:pStyle w:val="SangriaFrancesaArticulo"/>
      </w:pPr>
      <w:r w:rsidRPr="00981775">
        <w:rPr>
          <w:rStyle w:val="TextoNormalNegritaCaracter"/>
        </w:rPr>
        <w:t>Artículo 20.3.</w:t>
      </w:r>
      <w:r w:rsidRPr="00981775">
        <w:rPr>
          <w:rStyle w:val="TextoNormalCaracter"/>
        </w:rPr>
        <w:t>-</w:t>
      </w:r>
      <w:r>
        <w:t xml:space="preserve"> Autos </w:t>
      </w:r>
      <w:hyperlink w:anchor="AUTO_2015_123" w:history="1">
        <w:r w:rsidRPr="00981775">
          <w:rPr>
            <w:rStyle w:val="TextoNormalCaracter"/>
          </w:rPr>
          <w:t>123/2015</w:t>
        </w:r>
      </w:hyperlink>
      <w:r>
        <w:t xml:space="preserve">, f. único; </w:t>
      </w:r>
      <w:hyperlink w:anchor="AUTO_2015_147" w:history="1">
        <w:r w:rsidRPr="00981775">
          <w:rPr>
            <w:rStyle w:val="TextoNormalCaracter"/>
          </w:rPr>
          <w:t>147/2015</w:t>
        </w:r>
      </w:hyperlink>
      <w:r>
        <w:t xml:space="preserve">, Único; </w:t>
      </w:r>
      <w:hyperlink w:anchor="AUTO_2015_150" w:history="1">
        <w:r w:rsidRPr="00981775">
          <w:rPr>
            <w:rStyle w:val="TextoNormalCaracter"/>
          </w:rPr>
          <w:t>150/2015</w:t>
        </w:r>
      </w:hyperlink>
      <w:r>
        <w:t xml:space="preserve">, Único; </w:t>
      </w:r>
      <w:hyperlink w:anchor="AUTO_2015_151" w:history="1">
        <w:r w:rsidRPr="00981775">
          <w:rPr>
            <w:rStyle w:val="TextoNormalCaracter"/>
          </w:rPr>
          <w:t>151/2015</w:t>
        </w:r>
      </w:hyperlink>
      <w:r>
        <w:t xml:space="preserve">, Único; </w:t>
      </w:r>
      <w:hyperlink w:anchor="AUTO_2015_152" w:history="1">
        <w:r w:rsidRPr="00981775">
          <w:rPr>
            <w:rStyle w:val="TextoNormalCaracter"/>
          </w:rPr>
          <w:t>152/2015</w:t>
        </w:r>
      </w:hyperlink>
      <w:r>
        <w:t xml:space="preserve">, Único; </w:t>
      </w:r>
      <w:hyperlink w:anchor="AUTO_2015_153" w:history="1">
        <w:r w:rsidRPr="00981775">
          <w:rPr>
            <w:rStyle w:val="TextoNormalCaracter"/>
          </w:rPr>
          <w:t>153/2015</w:t>
        </w:r>
      </w:hyperlink>
      <w:r>
        <w:t xml:space="preserve">, Único; </w:t>
      </w:r>
      <w:hyperlink w:anchor="AUTO_2015_156" w:history="1">
        <w:r w:rsidRPr="00981775">
          <w:rPr>
            <w:rStyle w:val="TextoNormalCaracter"/>
          </w:rPr>
          <w:t>156/2015</w:t>
        </w:r>
      </w:hyperlink>
      <w:r>
        <w:t xml:space="preserve">, Único; </w:t>
      </w:r>
      <w:hyperlink w:anchor="AUTO_2015_161" w:history="1">
        <w:r w:rsidRPr="00981775">
          <w:rPr>
            <w:rStyle w:val="TextoNormalCaracter"/>
          </w:rPr>
          <w:t>161/2015</w:t>
        </w:r>
      </w:hyperlink>
      <w:r>
        <w:t xml:space="preserve">, f. único; </w:t>
      </w:r>
      <w:hyperlink w:anchor="AUTO_2015_162" w:history="1">
        <w:r w:rsidRPr="00981775">
          <w:rPr>
            <w:rStyle w:val="TextoNormalCaracter"/>
          </w:rPr>
          <w:t>162/2015</w:t>
        </w:r>
      </w:hyperlink>
      <w:r>
        <w:t xml:space="preserve">, f. único; </w:t>
      </w:r>
      <w:hyperlink w:anchor="AUTO_2015_163" w:history="1">
        <w:r w:rsidRPr="00981775">
          <w:rPr>
            <w:rStyle w:val="TextoNormalCaracter"/>
          </w:rPr>
          <w:t>163/2015</w:t>
        </w:r>
      </w:hyperlink>
      <w:r>
        <w:t xml:space="preserve">, f. único; </w:t>
      </w:r>
      <w:hyperlink w:anchor="AUTO_2015_187" w:history="1">
        <w:r w:rsidRPr="00981775">
          <w:rPr>
            <w:rStyle w:val="TextoNormalCaracter"/>
          </w:rPr>
          <w:t>187/2015</w:t>
        </w:r>
      </w:hyperlink>
      <w:r>
        <w:t xml:space="preserve">, f. único; </w:t>
      </w:r>
      <w:hyperlink w:anchor="AUTO_2015_199" w:history="1">
        <w:r w:rsidRPr="00981775">
          <w:rPr>
            <w:rStyle w:val="TextoNormalCaracter"/>
          </w:rPr>
          <w:t>199/2015</w:t>
        </w:r>
      </w:hyperlink>
      <w:r>
        <w:t xml:space="preserve">, f. único; </w:t>
      </w:r>
      <w:hyperlink w:anchor="AUTO_2015_200" w:history="1">
        <w:r w:rsidRPr="00981775">
          <w:rPr>
            <w:rStyle w:val="TextoNormalCaracter"/>
          </w:rPr>
          <w:t>200/2015</w:t>
        </w:r>
      </w:hyperlink>
      <w:r>
        <w:t xml:space="preserve">, f. único; </w:t>
      </w:r>
      <w:hyperlink w:anchor="AUTO_2015_203" w:history="1">
        <w:r w:rsidRPr="00981775">
          <w:rPr>
            <w:rStyle w:val="TextoNormalCaracter"/>
          </w:rPr>
          <w:t>203/2015</w:t>
        </w:r>
      </w:hyperlink>
      <w:r>
        <w:t xml:space="preserve">, f. único; </w:t>
      </w:r>
      <w:hyperlink w:anchor="AUTO_2015_204" w:history="1">
        <w:r w:rsidRPr="00981775">
          <w:rPr>
            <w:rStyle w:val="TextoNormalCaracter"/>
          </w:rPr>
          <w:t>204/2015</w:t>
        </w:r>
      </w:hyperlink>
      <w:r>
        <w:t xml:space="preserve">, f. único; </w:t>
      </w:r>
      <w:hyperlink w:anchor="AUTO_2015_206" w:history="1">
        <w:r w:rsidRPr="00981775">
          <w:rPr>
            <w:rStyle w:val="TextoNormalCaracter"/>
          </w:rPr>
          <w:t>206/2015</w:t>
        </w:r>
      </w:hyperlink>
      <w:r>
        <w:t>, f. único.</w:t>
      </w:r>
    </w:p>
    <w:p w:rsidR="00981775" w:rsidRDefault="00981775" w:rsidP="00981775">
      <w:pPr>
        <w:pStyle w:val="SangriaFrancesaArticulo"/>
      </w:pPr>
      <w:r w:rsidRPr="00981775">
        <w:rPr>
          <w:rStyle w:val="TextoNormalNegritaCaracter"/>
        </w:rPr>
        <w:t>Artículo 22.</w:t>
      </w:r>
      <w:r w:rsidRPr="00981775">
        <w:rPr>
          <w:rStyle w:val="TextoNormalCaracter"/>
        </w:rPr>
        <w:t>-</w:t>
      </w:r>
      <w:r>
        <w:t xml:space="preserve"> Autos </w:t>
      </w:r>
      <w:hyperlink w:anchor="AUTO_2015_124" w:history="1">
        <w:r w:rsidRPr="00981775">
          <w:rPr>
            <w:rStyle w:val="TextoNormalCaracter"/>
          </w:rPr>
          <w:t>124/2015</w:t>
        </w:r>
      </w:hyperlink>
      <w:r>
        <w:t xml:space="preserve">, f. 2; </w:t>
      </w:r>
      <w:hyperlink w:anchor="AUTO_2015_141" w:history="1">
        <w:r w:rsidRPr="00981775">
          <w:rPr>
            <w:rStyle w:val="TextoNormalCaracter"/>
          </w:rPr>
          <w:t>141/2015</w:t>
        </w:r>
      </w:hyperlink>
      <w:r>
        <w:t xml:space="preserve">, f. 2; </w:t>
      </w:r>
      <w:hyperlink w:anchor="AUTO_2015_144" w:history="1">
        <w:r w:rsidRPr="00981775">
          <w:rPr>
            <w:rStyle w:val="TextoNormalCaracter"/>
          </w:rPr>
          <w:t>144/2015</w:t>
        </w:r>
      </w:hyperlink>
      <w:r>
        <w:t>, f. 2.</w:t>
      </w:r>
    </w:p>
    <w:p w:rsidR="00981775" w:rsidRDefault="00981775" w:rsidP="00981775">
      <w:pPr>
        <w:pStyle w:val="SangriaFrancesaArticulo"/>
      </w:pPr>
      <w:r w:rsidRPr="00981775">
        <w:rPr>
          <w:rStyle w:val="TextoNormalNegritaCaracter"/>
        </w:rPr>
        <w:t>Artículo 25.2.1.</w:t>
      </w:r>
      <w:r w:rsidRPr="00981775">
        <w:rPr>
          <w:rStyle w:val="TextoNormalCaracter"/>
        </w:rPr>
        <w:t>-</w:t>
      </w:r>
      <w:r>
        <w:t xml:space="preserve"> Autos </w:t>
      </w:r>
      <w:hyperlink w:anchor="AUTO_2015_123" w:history="1">
        <w:r w:rsidRPr="00981775">
          <w:rPr>
            <w:rStyle w:val="TextoNormalCaracter"/>
          </w:rPr>
          <w:t>123/2015</w:t>
        </w:r>
      </w:hyperlink>
      <w:r>
        <w:t xml:space="preserve">, f. único; </w:t>
      </w:r>
      <w:hyperlink w:anchor="AUTO_2015_147" w:history="1">
        <w:r w:rsidRPr="00981775">
          <w:rPr>
            <w:rStyle w:val="TextoNormalCaracter"/>
          </w:rPr>
          <w:t>147/2015</w:t>
        </w:r>
      </w:hyperlink>
      <w:r>
        <w:t xml:space="preserve">, Único; </w:t>
      </w:r>
      <w:hyperlink w:anchor="AUTO_2015_150" w:history="1">
        <w:r w:rsidRPr="00981775">
          <w:rPr>
            <w:rStyle w:val="TextoNormalCaracter"/>
          </w:rPr>
          <w:t>150/2015</w:t>
        </w:r>
      </w:hyperlink>
      <w:r>
        <w:t xml:space="preserve">, Único; </w:t>
      </w:r>
      <w:hyperlink w:anchor="AUTO_2015_156" w:history="1">
        <w:r w:rsidRPr="00981775">
          <w:rPr>
            <w:rStyle w:val="TextoNormalCaracter"/>
          </w:rPr>
          <w:t>156/2015</w:t>
        </w:r>
      </w:hyperlink>
      <w:r>
        <w:t xml:space="preserve">, Único; </w:t>
      </w:r>
      <w:hyperlink w:anchor="AUTO_2015_206" w:history="1">
        <w:r w:rsidRPr="00981775">
          <w:rPr>
            <w:rStyle w:val="TextoNormalCaracter"/>
          </w:rPr>
          <w:t>206/2015</w:t>
        </w:r>
      </w:hyperlink>
      <w:r>
        <w:t>, f. único.</w:t>
      </w:r>
    </w:p>
    <w:p w:rsidR="00981775" w:rsidRDefault="00981775" w:rsidP="00981775">
      <w:pPr>
        <w:pStyle w:val="SangriaFrancesaArticulo"/>
      </w:pPr>
      <w:r w:rsidRPr="00981775">
        <w:rPr>
          <w:rStyle w:val="TextoNormalNegritaCaracter"/>
        </w:rPr>
        <w:t>Artículo 30.</w:t>
      </w:r>
      <w:r w:rsidRPr="00981775">
        <w:rPr>
          <w:rStyle w:val="TextoNormalCaracter"/>
        </w:rPr>
        <w:t>-</w:t>
      </w:r>
      <w:r>
        <w:t xml:space="preserve"> Auto </w:t>
      </w:r>
      <w:hyperlink w:anchor="AUTO_2015_204" w:history="1">
        <w:r w:rsidRPr="00981775">
          <w:rPr>
            <w:rStyle w:val="TextoNormalCaracter"/>
          </w:rPr>
          <w:t>204/2015</w:t>
        </w:r>
      </w:hyperlink>
      <w:r>
        <w:t>, f. único.</w:t>
      </w:r>
    </w:p>
    <w:p w:rsidR="00981775" w:rsidRDefault="00981775" w:rsidP="00981775">
      <w:pPr>
        <w:pStyle w:val="SangriaFrancesaArticulo"/>
      </w:pPr>
      <w:r w:rsidRPr="00981775">
        <w:rPr>
          <w:rStyle w:val="TextoNormalNegritaCaracter"/>
        </w:rPr>
        <w:t>Artículo 135.1.</w:t>
      </w:r>
      <w:r w:rsidRPr="00981775">
        <w:rPr>
          <w:rStyle w:val="TextoNormalCaracter"/>
        </w:rPr>
        <w:t>-</w:t>
      </w:r>
      <w:r>
        <w:t xml:space="preserve"> Sentencia </w:t>
      </w:r>
      <w:hyperlink w:anchor="SENTENCIA_2015_149" w:history="1">
        <w:r w:rsidRPr="00981775">
          <w:rPr>
            <w:rStyle w:val="TextoNormalCaracter"/>
          </w:rPr>
          <w:t>149/2015</w:t>
        </w:r>
      </w:hyperlink>
      <w:r>
        <w:t>, ff. 2, 4.</w:t>
      </w:r>
    </w:p>
    <w:p w:rsidR="00981775" w:rsidRDefault="00981775" w:rsidP="00981775">
      <w:pPr>
        <w:pStyle w:val="SangriaFrancesaArticulo"/>
      </w:pPr>
      <w:r w:rsidRPr="00981775">
        <w:rPr>
          <w:rStyle w:val="TextoNormalNegritaCaracter"/>
        </w:rPr>
        <w:t>Artículo 155.3</w:t>
      </w:r>
      <w:r>
        <w:t xml:space="preserve"> (redactado por la Ley 19/2009, de 23 de noviembre)</w:t>
      </w:r>
      <w:r w:rsidRPr="00981775">
        <w:rPr>
          <w:rStyle w:val="TextoNormalNegritaCaracter"/>
        </w:rPr>
        <w:t>.</w:t>
      </w:r>
      <w:r w:rsidRPr="00981775">
        <w:rPr>
          <w:rStyle w:val="TextoNormalCaracter"/>
        </w:rPr>
        <w:t>-</w:t>
      </w:r>
      <w:r>
        <w:t xml:space="preserve"> Sentencia </w:t>
      </w:r>
      <w:hyperlink w:anchor="SENTENCIA_2015_181" w:history="1">
        <w:r w:rsidRPr="00981775">
          <w:rPr>
            <w:rStyle w:val="TextoNormalCaracter"/>
          </w:rPr>
          <w:t>181/2015</w:t>
        </w:r>
      </w:hyperlink>
      <w:r>
        <w:t>, ff. 4, 5.</w:t>
      </w:r>
    </w:p>
    <w:p w:rsidR="00981775" w:rsidRDefault="00981775" w:rsidP="00981775">
      <w:pPr>
        <w:pStyle w:val="SangriaFrancesaArticulo"/>
      </w:pPr>
      <w:r w:rsidRPr="00981775">
        <w:rPr>
          <w:rStyle w:val="TextoNormalNegritaCaracter"/>
        </w:rPr>
        <w:t>Artículo 155.3 párrafo 2.</w:t>
      </w:r>
      <w:r w:rsidRPr="00981775">
        <w:rPr>
          <w:rStyle w:val="TextoNormalCaracter"/>
        </w:rPr>
        <w:t>-</w:t>
      </w:r>
      <w:r>
        <w:t xml:space="preserve"> Sentencia </w:t>
      </w:r>
      <w:hyperlink w:anchor="SENTENCIA_2015_181" w:history="1">
        <w:r w:rsidRPr="00981775">
          <w:rPr>
            <w:rStyle w:val="TextoNormalCaracter"/>
          </w:rPr>
          <w:t>181/2015</w:t>
        </w:r>
      </w:hyperlink>
      <w:r>
        <w:t>, f. 5.</w:t>
      </w:r>
    </w:p>
    <w:p w:rsidR="00981775" w:rsidRDefault="00981775" w:rsidP="00981775">
      <w:pPr>
        <w:pStyle w:val="SangriaFrancesaArticulo"/>
      </w:pPr>
      <w:r w:rsidRPr="00981775">
        <w:rPr>
          <w:rStyle w:val="TextoNormalNegritaCaracter"/>
        </w:rPr>
        <w:t>Artículo 155.5.</w:t>
      </w:r>
      <w:r w:rsidRPr="00981775">
        <w:rPr>
          <w:rStyle w:val="TextoNormalCaracter"/>
        </w:rPr>
        <w:t>-</w:t>
      </w:r>
      <w:r>
        <w:t xml:space="preserve"> Sentencia </w:t>
      </w:r>
      <w:hyperlink w:anchor="SENTENCIA_2015_181" w:history="1">
        <w:r w:rsidRPr="00981775">
          <w:rPr>
            <w:rStyle w:val="TextoNormalCaracter"/>
          </w:rPr>
          <w:t>181/2015</w:t>
        </w:r>
      </w:hyperlink>
      <w:r>
        <w:t>, f. 5.</w:t>
      </w:r>
    </w:p>
    <w:p w:rsidR="00981775" w:rsidRDefault="00981775" w:rsidP="00981775">
      <w:pPr>
        <w:pStyle w:val="SangriaFrancesaArticulo"/>
      </w:pPr>
      <w:r w:rsidRPr="00981775">
        <w:rPr>
          <w:rStyle w:val="TextoNormalNegritaCaracter"/>
        </w:rPr>
        <w:t>Artículo 156</w:t>
      </w:r>
      <w:r>
        <w:t xml:space="preserve"> (redactado por la Ley 13/2009, de 3 de noviembre)</w:t>
      </w:r>
      <w:r w:rsidRPr="00981775">
        <w:rPr>
          <w:rStyle w:val="TextoNormalNegritaCaracter"/>
        </w:rPr>
        <w:t>.</w:t>
      </w:r>
      <w:r w:rsidRPr="00981775">
        <w:rPr>
          <w:rStyle w:val="TextoNormalCaracter"/>
        </w:rPr>
        <w:t>-</w:t>
      </w:r>
      <w:r>
        <w:t xml:space="preserve"> Sentencia </w:t>
      </w:r>
      <w:hyperlink w:anchor="SENTENCIA_2015_181" w:history="1">
        <w:r w:rsidRPr="00981775">
          <w:rPr>
            <w:rStyle w:val="TextoNormalCaracter"/>
          </w:rPr>
          <w:t>181/2015</w:t>
        </w:r>
      </w:hyperlink>
      <w:r>
        <w:t>, ff. 1, 2, 4.</w:t>
      </w:r>
    </w:p>
    <w:p w:rsidR="00981775" w:rsidRDefault="00981775" w:rsidP="00981775">
      <w:pPr>
        <w:pStyle w:val="SangriaFrancesaArticulo"/>
      </w:pPr>
      <w:r w:rsidRPr="00981775">
        <w:rPr>
          <w:rStyle w:val="TextoNormalNegritaCaracter"/>
        </w:rPr>
        <w:t>Artículo 164.2</w:t>
      </w:r>
      <w:r>
        <w:t xml:space="preserve"> (redactado por la Ley 19/2009, de 23 de noviembre)</w:t>
      </w:r>
      <w:r w:rsidRPr="00981775">
        <w:rPr>
          <w:rStyle w:val="TextoNormalNegritaCaracter"/>
        </w:rPr>
        <w:t>.</w:t>
      </w:r>
      <w:r w:rsidRPr="00981775">
        <w:rPr>
          <w:rStyle w:val="TextoNormalCaracter"/>
        </w:rPr>
        <w:t>-</w:t>
      </w:r>
      <w:r>
        <w:t xml:space="preserve"> Sentencia </w:t>
      </w:r>
      <w:hyperlink w:anchor="SENTENCIA_2015_181" w:history="1">
        <w:r w:rsidRPr="00981775">
          <w:rPr>
            <w:rStyle w:val="TextoNormalCaracter"/>
          </w:rPr>
          <w:t>181/2015</w:t>
        </w:r>
      </w:hyperlink>
      <w:r>
        <w:t>, f. 5.</w:t>
      </w:r>
    </w:p>
    <w:p w:rsidR="00981775" w:rsidRDefault="00981775" w:rsidP="00981775">
      <w:pPr>
        <w:pStyle w:val="SangriaFrancesaArticulo"/>
      </w:pPr>
      <w:r w:rsidRPr="00981775">
        <w:rPr>
          <w:rStyle w:val="TextoNormalNegritaCaracter"/>
        </w:rPr>
        <w:t>Artículo 214.</w:t>
      </w:r>
      <w:r w:rsidRPr="00981775">
        <w:rPr>
          <w:rStyle w:val="TextoNormalCaracter"/>
        </w:rPr>
        <w:t>-</w:t>
      </w:r>
      <w:r>
        <w:t xml:space="preserve"> Auto </w:t>
      </w:r>
      <w:hyperlink w:anchor="AUTO_2015_177" w:history="1">
        <w:r w:rsidRPr="00981775">
          <w:rPr>
            <w:rStyle w:val="TextoNormalCaracter"/>
          </w:rPr>
          <w:t>177/2015</w:t>
        </w:r>
      </w:hyperlink>
      <w:r>
        <w:t>, f. 1.</w:t>
      </w:r>
    </w:p>
    <w:p w:rsidR="00981775" w:rsidRDefault="00981775" w:rsidP="00981775">
      <w:pPr>
        <w:pStyle w:val="SangriaFrancesaArticulo"/>
      </w:pPr>
      <w:r w:rsidRPr="00981775">
        <w:rPr>
          <w:rStyle w:val="TextoNormalNegritaCaracter"/>
        </w:rPr>
        <w:t>Artículo 215.1.</w:t>
      </w:r>
      <w:r w:rsidRPr="00981775">
        <w:rPr>
          <w:rStyle w:val="TextoNormalCaracter"/>
        </w:rPr>
        <w:t>-</w:t>
      </w:r>
      <w:r>
        <w:t xml:space="preserve"> Auto </w:t>
      </w:r>
      <w:hyperlink w:anchor="AUTO_2015_177" w:history="1">
        <w:r w:rsidRPr="00981775">
          <w:rPr>
            <w:rStyle w:val="TextoNormalCaracter"/>
          </w:rPr>
          <w:t>177/2015</w:t>
        </w:r>
      </w:hyperlink>
      <w:r>
        <w:t>, f. 1.</w:t>
      </w:r>
    </w:p>
    <w:p w:rsidR="00981775" w:rsidRDefault="00981775" w:rsidP="00981775">
      <w:pPr>
        <w:pStyle w:val="SangriaFrancesaArticulo"/>
      </w:pPr>
      <w:r w:rsidRPr="00981775">
        <w:rPr>
          <w:rStyle w:val="TextoNormalNegritaCaracter"/>
        </w:rPr>
        <w:t>Artículo 228.</w:t>
      </w:r>
      <w:r w:rsidRPr="00981775">
        <w:rPr>
          <w:rStyle w:val="TextoNormalCaracter"/>
        </w:rPr>
        <w:t>-</w:t>
      </w:r>
      <w:r>
        <w:t xml:space="preserve"> Sentencias </w:t>
      </w:r>
      <w:hyperlink w:anchor="SENTENCIA_2015_180" w:history="1">
        <w:r w:rsidRPr="00981775">
          <w:rPr>
            <w:rStyle w:val="TextoNormalCaracter"/>
          </w:rPr>
          <w:t>180/2015</w:t>
        </w:r>
      </w:hyperlink>
      <w:r>
        <w:t xml:space="preserve">, f. 7; </w:t>
      </w:r>
      <w:hyperlink w:anchor="SENTENCIA_2015_208" w:history="1">
        <w:r w:rsidRPr="00981775">
          <w:rPr>
            <w:rStyle w:val="TextoNormalCaracter"/>
          </w:rPr>
          <w:t>208/2015</w:t>
        </w:r>
      </w:hyperlink>
      <w:r>
        <w:t>, f. 5.</w:t>
      </w:r>
    </w:p>
    <w:p w:rsidR="00981775" w:rsidRDefault="00981775" w:rsidP="00981775">
      <w:pPr>
        <w:pStyle w:val="SangriaFrancesaArticulo"/>
      </w:pPr>
      <w:r w:rsidRPr="00981775">
        <w:rPr>
          <w:rStyle w:val="TextoNormalNegritaCaracter"/>
        </w:rPr>
        <w:t>Artículo 228.1.</w:t>
      </w:r>
      <w:r w:rsidRPr="00981775">
        <w:rPr>
          <w:rStyle w:val="TextoNormalCaracter"/>
        </w:rPr>
        <w:t>-</w:t>
      </w:r>
      <w:r>
        <w:t xml:space="preserve"> Sentencia </w:t>
      </w:r>
      <w:hyperlink w:anchor="SENTENCIA_2015_180" w:history="1">
        <w:r w:rsidRPr="00981775">
          <w:rPr>
            <w:rStyle w:val="TextoNormalCaracter"/>
          </w:rPr>
          <w:t>180/2015</w:t>
        </w:r>
      </w:hyperlink>
      <w:r>
        <w:t>, f. 7.</w:t>
      </w:r>
    </w:p>
    <w:p w:rsidR="00981775" w:rsidRDefault="00981775" w:rsidP="00981775">
      <w:pPr>
        <w:pStyle w:val="SangriaFrancesaArticulo"/>
      </w:pPr>
      <w:r w:rsidRPr="00981775">
        <w:rPr>
          <w:rStyle w:val="TextoNormalNegritaCaracter"/>
        </w:rPr>
        <w:t>Artículo 254.4 párrafo 2.</w:t>
      </w:r>
      <w:r w:rsidRPr="00981775">
        <w:rPr>
          <w:rStyle w:val="TextoNormalCaracter"/>
        </w:rPr>
        <w:t>-</w:t>
      </w:r>
      <w:r>
        <w:t xml:space="preserve"> Sentencia </w:t>
      </w:r>
      <w:hyperlink w:anchor="SENTENCIA_2015_149" w:history="1">
        <w:r w:rsidRPr="00981775">
          <w:rPr>
            <w:rStyle w:val="TextoNormalCaracter"/>
          </w:rPr>
          <w:t>149/2015</w:t>
        </w:r>
      </w:hyperlink>
      <w:r>
        <w:t>, f. 4.</w:t>
      </w:r>
    </w:p>
    <w:p w:rsidR="00981775" w:rsidRDefault="00981775" w:rsidP="00981775">
      <w:pPr>
        <w:pStyle w:val="SangriaFrancesaArticulo"/>
      </w:pPr>
      <w:r w:rsidRPr="00981775">
        <w:rPr>
          <w:rStyle w:val="TextoNormalNegritaCaracter"/>
        </w:rPr>
        <w:t>Artículo 347.</w:t>
      </w:r>
      <w:r w:rsidRPr="00981775">
        <w:rPr>
          <w:rStyle w:val="TextoNormalCaracter"/>
        </w:rPr>
        <w:t>-</w:t>
      </w:r>
      <w:r>
        <w:t xml:space="preserve"> Sentencia </w:t>
      </w:r>
      <w:hyperlink w:anchor="SENTENCIA_2015_152" w:history="1">
        <w:r w:rsidRPr="00981775">
          <w:rPr>
            <w:rStyle w:val="TextoNormalCaracter"/>
          </w:rPr>
          <w:t>152/2015</w:t>
        </w:r>
      </w:hyperlink>
      <w:r>
        <w:t>, f. 4.</w:t>
      </w:r>
    </w:p>
    <w:p w:rsidR="00981775" w:rsidRDefault="00981775" w:rsidP="00981775">
      <w:pPr>
        <w:pStyle w:val="SangriaFrancesaArticulo"/>
      </w:pPr>
      <w:r w:rsidRPr="00981775">
        <w:rPr>
          <w:rStyle w:val="TextoNormalNegritaCaracter"/>
        </w:rPr>
        <w:t>Artículo 400.</w:t>
      </w:r>
      <w:r w:rsidRPr="00981775">
        <w:rPr>
          <w:rStyle w:val="TextoNormalCaracter"/>
        </w:rPr>
        <w:t>-</w:t>
      </w:r>
      <w:r>
        <w:t xml:space="preserve"> Sentencia </w:t>
      </w:r>
      <w:hyperlink w:anchor="SENTENCIA_2015_242" w:history="1">
        <w:r w:rsidRPr="00981775">
          <w:rPr>
            <w:rStyle w:val="TextoNormalCaracter"/>
          </w:rPr>
          <w:t>242/2015</w:t>
        </w:r>
      </w:hyperlink>
      <w:r>
        <w:t>, f. 4.</w:t>
      </w:r>
    </w:p>
    <w:p w:rsidR="00981775" w:rsidRDefault="00981775" w:rsidP="00981775">
      <w:pPr>
        <w:pStyle w:val="SangriaFrancesaArticulo"/>
      </w:pPr>
      <w:r w:rsidRPr="00981775">
        <w:rPr>
          <w:rStyle w:val="TextoNormalNegritaCaracter"/>
        </w:rPr>
        <w:t>Artículo 405.</w:t>
      </w:r>
      <w:r w:rsidRPr="00981775">
        <w:rPr>
          <w:rStyle w:val="TextoNormalCaracter"/>
        </w:rPr>
        <w:t>-</w:t>
      </w:r>
      <w:r>
        <w:t xml:space="preserve"> Sentencia </w:t>
      </w:r>
      <w:hyperlink w:anchor="SENTENCIA_2015_242" w:history="1">
        <w:r w:rsidRPr="00981775">
          <w:rPr>
            <w:rStyle w:val="TextoNormalCaracter"/>
          </w:rPr>
          <w:t>242/2015</w:t>
        </w:r>
      </w:hyperlink>
      <w:r>
        <w:t>, ff. 1, 3.</w:t>
      </w:r>
    </w:p>
    <w:p w:rsidR="00981775" w:rsidRDefault="00981775" w:rsidP="00981775">
      <w:pPr>
        <w:pStyle w:val="SangriaFrancesaArticulo"/>
      </w:pPr>
      <w:r w:rsidRPr="00981775">
        <w:rPr>
          <w:rStyle w:val="TextoNormalNegritaCaracter"/>
        </w:rPr>
        <w:t>Artículo 405.1.</w:t>
      </w:r>
      <w:r w:rsidRPr="00981775">
        <w:rPr>
          <w:rStyle w:val="TextoNormalCaracter"/>
        </w:rPr>
        <w:t>-</w:t>
      </w:r>
      <w:r>
        <w:t xml:space="preserve"> Sentencia </w:t>
      </w:r>
      <w:hyperlink w:anchor="SENTENCIA_2015_242" w:history="1">
        <w:r w:rsidRPr="00981775">
          <w:rPr>
            <w:rStyle w:val="TextoNormalCaracter"/>
          </w:rPr>
          <w:t>242/2015</w:t>
        </w:r>
      </w:hyperlink>
      <w:r>
        <w:t>, f. 3.</w:t>
      </w:r>
    </w:p>
    <w:p w:rsidR="00981775" w:rsidRDefault="00981775" w:rsidP="00981775">
      <w:pPr>
        <w:pStyle w:val="SangriaFrancesaArticulo"/>
      </w:pPr>
      <w:r w:rsidRPr="00981775">
        <w:rPr>
          <w:rStyle w:val="TextoNormalNegritaCaracter"/>
        </w:rPr>
        <w:t>Artículo 406.</w:t>
      </w:r>
      <w:r w:rsidRPr="00981775">
        <w:rPr>
          <w:rStyle w:val="TextoNormalCaracter"/>
        </w:rPr>
        <w:t>-</w:t>
      </w:r>
      <w:r>
        <w:t xml:space="preserve"> Sentencia </w:t>
      </w:r>
      <w:hyperlink w:anchor="SENTENCIA_2015_242" w:history="1">
        <w:r w:rsidRPr="00981775">
          <w:rPr>
            <w:rStyle w:val="TextoNormalCaracter"/>
          </w:rPr>
          <w:t>242/2015</w:t>
        </w:r>
      </w:hyperlink>
      <w:r>
        <w:t>, ff. 1, 4.</w:t>
      </w:r>
    </w:p>
    <w:p w:rsidR="00981775" w:rsidRDefault="00981775" w:rsidP="00981775">
      <w:pPr>
        <w:pStyle w:val="SangriaFrancesaArticulo"/>
      </w:pPr>
      <w:r w:rsidRPr="00981775">
        <w:rPr>
          <w:rStyle w:val="TextoNormalNegritaCaracter"/>
        </w:rPr>
        <w:t>Artículo 418.1.</w:t>
      </w:r>
      <w:r w:rsidRPr="00981775">
        <w:rPr>
          <w:rStyle w:val="TextoNormalCaracter"/>
        </w:rPr>
        <w:t>-</w:t>
      </w:r>
      <w:r>
        <w:t xml:space="preserve"> Sentencia </w:t>
      </w:r>
      <w:hyperlink w:anchor="SENTENCIA_2015_149" w:history="1">
        <w:r w:rsidRPr="00981775">
          <w:rPr>
            <w:rStyle w:val="TextoNormalCaracter"/>
          </w:rPr>
          <w:t>149/2015</w:t>
        </w:r>
      </w:hyperlink>
      <w:r>
        <w:t>, f. 4.</w:t>
      </w:r>
    </w:p>
    <w:p w:rsidR="00981775" w:rsidRDefault="00981775" w:rsidP="00981775">
      <w:pPr>
        <w:pStyle w:val="SangriaFrancesaArticulo"/>
      </w:pPr>
      <w:r w:rsidRPr="00981775">
        <w:rPr>
          <w:rStyle w:val="TextoNormalNegritaCaracter"/>
        </w:rPr>
        <w:t>Artículo 435.2.</w:t>
      </w:r>
      <w:r w:rsidRPr="00981775">
        <w:rPr>
          <w:rStyle w:val="TextoNormalCaracter"/>
        </w:rPr>
        <w:t>-</w:t>
      </w:r>
      <w:r>
        <w:t xml:space="preserve"> Auto </w:t>
      </w:r>
      <w:hyperlink w:anchor="AUTO_2015_224" w:history="1">
        <w:r w:rsidRPr="00981775">
          <w:rPr>
            <w:rStyle w:val="TextoNormalCaracter"/>
          </w:rPr>
          <w:t>224/2015</w:t>
        </w:r>
      </w:hyperlink>
      <w:r>
        <w:t>, f. 2.</w:t>
      </w:r>
    </w:p>
    <w:p w:rsidR="00981775" w:rsidRDefault="00981775" w:rsidP="00981775">
      <w:pPr>
        <w:pStyle w:val="SangriaFrancesaArticulo"/>
      </w:pPr>
      <w:r w:rsidRPr="00981775">
        <w:rPr>
          <w:rStyle w:val="TextoNormalNegritaCaracter"/>
        </w:rPr>
        <w:t>Artículo 450.1.</w:t>
      </w:r>
      <w:r w:rsidRPr="00981775">
        <w:rPr>
          <w:rStyle w:val="TextoNormalCaracter"/>
        </w:rPr>
        <w:t>-</w:t>
      </w:r>
      <w:r>
        <w:t xml:space="preserve"> Sentencia </w:t>
      </w:r>
      <w:hyperlink w:anchor="SENTENCIA_2015_194" w:history="1">
        <w:r w:rsidRPr="00981775">
          <w:rPr>
            <w:rStyle w:val="TextoNormalCaracter"/>
          </w:rPr>
          <w:t>194/2015</w:t>
        </w:r>
      </w:hyperlink>
      <w:r>
        <w:t>, f. 6.</w:t>
      </w:r>
    </w:p>
    <w:p w:rsidR="00981775" w:rsidRDefault="00981775" w:rsidP="00981775">
      <w:pPr>
        <w:pStyle w:val="SangriaFrancesaArticulo"/>
      </w:pPr>
      <w:r w:rsidRPr="00981775">
        <w:rPr>
          <w:rStyle w:val="TextoNormalNegritaCaracter"/>
        </w:rPr>
        <w:t>Artículo 458.</w:t>
      </w:r>
      <w:r w:rsidRPr="00981775">
        <w:rPr>
          <w:rStyle w:val="TextoNormalCaracter"/>
        </w:rPr>
        <w:t>-</w:t>
      </w:r>
      <w:r>
        <w:t xml:space="preserve"> Sentencia </w:t>
      </w:r>
      <w:hyperlink w:anchor="SENTENCIA_2015_149" w:history="1">
        <w:r w:rsidRPr="00981775">
          <w:rPr>
            <w:rStyle w:val="TextoNormalCaracter"/>
          </w:rPr>
          <w:t>149/2015</w:t>
        </w:r>
      </w:hyperlink>
      <w:r>
        <w:t>, ff. 2 a 4.</w:t>
      </w:r>
    </w:p>
    <w:p w:rsidR="00981775" w:rsidRDefault="00981775" w:rsidP="00981775">
      <w:pPr>
        <w:pStyle w:val="SangriaFrancesaArticulo"/>
      </w:pPr>
      <w:r w:rsidRPr="00981775">
        <w:rPr>
          <w:rStyle w:val="TextoNormalNegritaCaracter"/>
        </w:rPr>
        <w:t>Artículo 458.1.</w:t>
      </w:r>
      <w:r w:rsidRPr="00981775">
        <w:rPr>
          <w:rStyle w:val="TextoNormalCaracter"/>
        </w:rPr>
        <w:t>-</w:t>
      </w:r>
      <w:r>
        <w:t xml:space="preserve"> Sentencia </w:t>
      </w:r>
      <w:hyperlink w:anchor="SENTENCIA_2015_149" w:history="1">
        <w:r w:rsidRPr="00981775">
          <w:rPr>
            <w:rStyle w:val="TextoNormalCaracter"/>
          </w:rPr>
          <w:t>149/2015</w:t>
        </w:r>
      </w:hyperlink>
      <w:r>
        <w:t>, f. 2.</w:t>
      </w:r>
    </w:p>
    <w:p w:rsidR="00981775" w:rsidRDefault="00981775" w:rsidP="00981775">
      <w:pPr>
        <w:pStyle w:val="SangriaFrancesaArticulo"/>
      </w:pPr>
      <w:r w:rsidRPr="00981775">
        <w:rPr>
          <w:rStyle w:val="TextoNormalNegritaCaracter"/>
        </w:rPr>
        <w:t>Artículo 465.4 párrafo 2.</w:t>
      </w:r>
      <w:r w:rsidRPr="00981775">
        <w:rPr>
          <w:rStyle w:val="TextoNormalCaracter"/>
        </w:rPr>
        <w:t>-</w:t>
      </w:r>
      <w:r>
        <w:t xml:space="preserve"> Sentencia </w:t>
      </w:r>
      <w:hyperlink w:anchor="SENTENCIA_2015_149" w:history="1">
        <w:r w:rsidRPr="00981775">
          <w:rPr>
            <w:rStyle w:val="TextoNormalCaracter"/>
          </w:rPr>
          <w:t>149/2015</w:t>
        </w:r>
      </w:hyperlink>
      <w:r>
        <w:t>, f. 4.</w:t>
      </w:r>
    </w:p>
    <w:p w:rsidR="00981775" w:rsidRDefault="00981775" w:rsidP="00981775">
      <w:pPr>
        <w:pStyle w:val="SangriaFrancesaArticulo"/>
      </w:pPr>
      <w:r w:rsidRPr="00981775">
        <w:rPr>
          <w:rStyle w:val="TextoNormalNegritaCaracter"/>
        </w:rPr>
        <w:t>Artículo 477.2.1.</w:t>
      </w:r>
      <w:r w:rsidRPr="00981775">
        <w:rPr>
          <w:rStyle w:val="TextoNormalCaracter"/>
        </w:rPr>
        <w:t>-</w:t>
      </w:r>
      <w:r>
        <w:t xml:space="preserve"> Sentencia </w:t>
      </w:r>
      <w:hyperlink w:anchor="SENTENCIA_2015_242" w:history="1">
        <w:r w:rsidRPr="00981775">
          <w:rPr>
            <w:rStyle w:val="TextoNormalCaracter"/>
          </w:rPr>
          <w:t>242/2015</w:t>
        </w:r>
      </w:hyperlink>
      <w:r>
        <w:t>, ff. 1, 5.</w:t>
      </w:r>
    </w:p>
    <w:p w:rsidR="00981775" w:rsidRDefault="00981775" w:rsidP="00981775">
      <w:pPr>
        <w:pStyle w:val="SangriaFrancesaArticulo"/>
      </w:pPr>
      <w:r w:rsidRPr="00981775">
        <w:rPr>
          <w:rStyle w:val="TextoNormalNegritaCaracter"/>
        </w:rPr>
        <w:t>Artículo 477.2.3.</w:t>
      </w:r>
      <w:r w:rsidRPr="00981775">
        <w:rPr>
          <w:rStyle w:val="TextoNormalCaracter"/>
        </w:rPr>
        <w:t>-</w:t>
      </w:r>
      <w:r>
        <w:t xml:space="preserve"> Sentencia </w:t>
      </w:r>
      <w:hyperlink w:anchor="SENTENCIA_2015_242" w:history="1">
        <w:r w:rsidRPr="00981775">
          <w:rPr>
            <w:rStyle w:val="TextoNormalCaracter"/>
          </w:rPr>
          <w:t>242/2015</w:t>
        </w:r>
      </w:hyperlink>
      <w:r>
        <w:t>, ff. 1, 5.</w:t>
      </w:r>
    </w:p>
    <w:p w:rsidR="00981775" w:rsidRDefault="00981775" w:rsidP="00981775">
      <w:pPr>
        <w:pStyle w:val="SangriaFrancesaArticulo"/>
      </w:pPr>
      <w:r w:rsidRPr="00981775">
        <w:rPr>
          <w:rStyle w:val="TextoNormalNegritaCaracter"/>
        </w:rPr>
        <w:t>Artículo 484.1.</w:t>
      </w:r>
      <w:r w:rsidRPr="00981775">
        <w:rPr>
          <w:rStyle w:val="TextoNormalCaracter"/>
        </w:rPr>
        <w:t>-</w:t>
      </w:r>
      <w:r>
        <w:t xml:space="preserve"> Sentencia </w:t>
      </w:r>
      <w:hyperlink w:anchor="SENTENCIA_2015_149" w:history="1">
        <w:r w:rsidRPr="00981775">
          <w:rPr>
            <w:rStyle w:val="TextoNormalCaracter"/>
          </w:rPr>
          <w:t>149/2015</w:t>
        </w:r>
      </w:hyperlink>
      <w:r>
        <w:t>, f. 4.</w:t>
      </w:r>
    </w:p>
    <w:p w:rsidR="00981775" w:rsidRDefault="00981775" w:rsidP="00981775">
      <w:pPr>
        <w:pStyle w:val="SangriaFrancesaArticulo"/>
      </w:pPr>
      <w:r w:rsidRPr="00981775">
        <w:rPr>
          <w:rStyle w:val="TextoNormalNegritaCaracter"/>
        </w:rPr>
        <w:t>Artículo 662.1.</w:t>
      </w:r>
      <w:r w:rsidRPr="00981775">
        <w:rPr>
          <w:rStyle w:val="TextoNormalCaracter"/>
        </w:rPr>
        <w:t>-</w:t>
      </w:r>
      <w:r>
        <w:t xml:space="preserve"> Sentencia </w:t>
      </w:r>
      <w:hyperlink w:anchor="SENTENCIA_2015_208" w:history="1">
        <w:r w:rsidRPr="00981775">
          <w:rPr>
            <w:rStyle w:val="TextoNormalCaracter"/>
          </w:rPr>
          <w:t>208/2015</w:t>
        </w:r>
      </w:hyperlink>
      <w:r>
        <w:t>, f. 4.</w:t>
      </w:r>
    </w:p>
    <w:p w:rsidR="00981775" w:rsidRDefault="00981775" w:rsidP="00981775">
      <w:pPr>
        <w:pStyle w:val="SangriaFrancesaArticulo"/>
      </w:pPr>
      <w:r w:rsidRPr="00981775">
        <w:rPr>
          <w:rStyle w:val="TextoNormalNegritaCaracter"/>
        </w:rPr>
        <w:t>Artículo 662.3.</w:t>
      </w:r>
      <w:r w:rsidRPr="00981775">
        <w:rPr>
          <w:rStyle w:val="TextoNormalCaracter"/>
        </w:rPr>
        <w:t>-</w:t>
      </w:r>
      <w:r>
        <w:t xml:space="preserve"> Sentencia </w:t>
      </w:r>
      <w:hyperlink w:anchor="SENTENCIA_2015_208" w:history="1">
        <w:r w:rsidRPr="00981775">
          <w:rPr>
            <w:rStyle w:val="TextoNormalCaracter"/>
          </w:rPr>
          <w:t>208/2015</w:t>
        </w:r>
      </w:hyperlink>
      <w:r>
        <w:t>, f. 4.</w:t>
      </w:r>
    </w:p>
    <w:p w:rsidR="00981775" w:rsidRDefault="00981775" w:rsidP="00981775">
      <w:pPr>
        <w:pStyle w:val="SangriaFrancesaArticulo"/>
      </w:pPr>
      <w:r w:rsidRPr="00981775">
        <w:rPr>
          <w:rStyle w:val="TextoNormalNegritaCaracter"/>
        </w:rPr>
        <w:t>Artículo 691.1.</w:t>
      </w:r>
      <w:r w:rsidRPr="00981775">
        <w:rPr>
          <w:rStyle w:val="TextoNormalCaracter"/>
        </w:rPr>
        <w:t>-</w:t>
      </w:r>
      <w:r>
        <w:t xml:space="preserve"> Sentencia </w:t>
      </w:r>
      <w:hyperlink w:anchor="SENTENCIA_2015_208" w:history="1">
        <w:r w:rsidRPr="00981775">
          <w:rPr>
            <w:rStyle w:val="TextoNormalCaracter"/>
          </w:rPr>
          <w:t>208/2015</w:t>
        </w:r>
      </w:hyperlink>
      <w:r>
        <w:t>, f. 4.</w:t>
      </w:r>
    </w:p>
    <w:p w:rsidR="00981775" w:rsidRDefault="00981775" w:rsidP="00981775">
      <w:pPr>
        <w:pStyle w:val="SangriaFrancesaArticulo"/>
      </w:pPr>
      <w:r w:rsidRPr="00981775">
        <w:rPr>
          <w:rStyle w:val="TextoNormalNegritaCaracter"/>
        </w:rPr>
        <w:t>Artículo 698.1.</w:t>
      </w:r>
      <w:r w:rsidRPr="00981775">
        <w:rPr>
          <w:rStyle w:val="TextoNormalCaracter"/>
        </w:rPr>
        <w:t>-</w:t>
      </w:r>
      <w:r>
        <w:t xml:space="preserve"> Sentencia </w:t>
      </w:r>
      <w:hyperlink w:anchor="SENTENCIA_2015_208" w:history="1">
        <w:r w:rsidRPr="00981775">
          <w:rPr>
            <w:rStyle w:val="TextoNormalCaracter"/>
          </w:rPr>
          <w:t>208/2015</w:t>
        </w:r>
      </w:hyperlink>
      <w:r>
        <w:t>, f. 4.</w:t>
      </w:r>
    </w:p>
    <w:p w:rsidR="00981775" w:rsidRDefault="00981775" w:rsidP="00981775">
      <w:pPr>
        <w:pStyle w:val="SangriaFrancesaArticulo"/>
      </w:pPr>
      <w:r w:rsidRPr="00981775">
        <w:rPr>
          <w:rStyle w:val="TextoNormalNegritaCaracter"/>
        </w:rPr>
        <w:t>Artículo 753.</w:t>
      </w:r>
      <w:r w:rsidRPr="00981775">
        <w:rPr>
          <w:rStyle w:val="TextoNormalCaracter"/>
        </w:rPr>
        <w:t>-</w:t>
      </w:r>
      <w:r>
        <w:t xml:space="preserve"> Sentencia </w:t>
      </w:r>
      <w:hyperlink w:anchor="SENTENCIA_2015_242" w:history="1">
        <w:r w:rsidRPr="00981775">
          <w:rPr>
            <w:rStyle w:val="TextoNormalCaracter"/>
          </w:rPr>
          <w:t>242/2015</w:t>
        </w:r>
      </w:hyperlink>
      <w:r>
        <w:t>, ff. 1, 3.</w:t>
      </w:r>
    </w:p>
    <w:p w:rsidR="00981775" w:rsidRDefault="00981775" w:rsidP="00981775">
      <w:pPr>
        <w:pStyle w:val="SangriaFrancesaArticulo"/>
      </w:pPr>
      <w:r w:rsidRPr="00981775">
        <w:rPr>
          <w:rStyle w:val="TextoNormalNegritaCaracter"/>
        </w:rPr>
        <w:t>Artículo 757.3.</w:t>
      </w:r>
      <w:r w:rsidRPr="00981775">
        <w:rPr>
          <w:rStyle w:val="TextoNormalCaracter"/>
        </w:rPr>
        <w:t>-</w:t>
      </w:r>
      <w:r>
        <w:t xml:space="preserve"> Sentencia </w:t>
      </w:r>
      <w:hyperlink w:anchor="SENTENCIA_2015_182" w:history="1">
        <w:r w:rsidRPr="00981775">
          <w:rPr>
            <w:rStyle w:val="TextoNormalCaracter"/>
          </w:rPr>
          <w:t>182/2015</w:t>
        </w:r>
      </w:hyperlink>
      <w:r>
        <w:t>, f. 4.</w:t>
      </w:r>
    </w:p>
    <w:p w:rsidR="00981775" w:rsidRDefault="00981775" w:rsidP="00981775">
      <w:pPr>
        <w:pStyle w:val="SangriaFrancesaArticulo"/>
      </w:pPr>
      <w:r w:rsidRPr="00981775">
        <w:rPr>
          <w:rStyle w:val="TextoNormalNegritaCaracter"/>
        </w:rPr>
        <w:t>Artículo 763.</w:t>
      </w:r>
      <w:r w:rsidRPr="00981775">
        <w:rPr>
          <w:rStyle w:val="TextoNormalCaracter"/>
        </w:rPr>
        <w:t>-</w:t>
      </w:r>
      <w:r>
        <w:t xml:space="preserve"> Sentencia </w:t>
      </w:r>
      <w:hyperlink w:anchor="SENTENCIA_2015_182" w:history="1">
        <w:r w:rsidRPr="00981775">
          <w:rPr>
            <w:rStyle w:val="TextoNormalCaracter"/>
          </w:rPr>
          <w:t>182/2015</w:t>
        </w:r>
      </w:hyperlink>
      <w:r>
        <w:t>, f. 3.</w:t>
      </w:r>
    </w:p>
    <w:p w:rsidR="00981775" w:rsidRDefault="00981775" w:rsidP="00981775">
      <w:pPr>
        <w:pStyle w:val="SangriaIzquierdaArticulo"/>
      </w:pPr>
      <w:r>
        <w:t xml:space="preserve">Auto </w:t>
      </w:r>
      <w:hyperlink w:anchor="AUTO_2015_127" w:history="1">
        <w:r w:rsidRPr="00981775">
          <w:rPr>
            <w:rStyle w:val="TextoNormalCaracter"/>
          </w:rPr>
          <w:t>127/2015</w:t>
        </w:r>
      </w:hyperlink>
      <w:r>
        <w:t>, f. 2.</w:t>
      </w:r>
    </w:p>
    <w:p w:rsidR="00981775" w:rsidRDefault="00981775" w:rsidP="00981775">
      <w:pPr>
        <w:pStyle w:val="SangriaFrancesaArticulo"/>
      </w:pPr>
      <w:r w:rsidRPr="00981775">
        <w:rPr>
          <w:rStyle w:val="TextoNormalNegritaCaracter"/>
        </w:rPr>
        <w:t>Artículo 763.1.</w:t>
      </w:r>
      <w:r w:rsidRPr="00981775">
        <w:rPr>
          <w:rStyle w:val="TextoNormalCaracter"/>
        </w:rPr>
        <w:t>-</w:t>
      </w:r>
      <w:r>
        <w:t xml:space="preserve"> Sentencias </w:t>
      </w:r>
      <w:hyperlink w:anchor="SENTENCIA_2015_182" w:history="1">
        <w:r w:rsidRPr="00981775">
          <w:rPr>
            <w:rStyle w:val="TextoNormalCaracter"/>
          </w:rPr>
          <w:t>182/2015</w:t>
        </w:r>
      </w:hyperlink>
      <w:r>
        <w:t xml:space="preserve">, ff. 1, 3 a 6; </w:t>
      </w:r>
      <w:hyperlink w:anchor="SENTENCIA_2015_217" w:history="1">
        <w:r w:rsidRPr="00981775">
          <w:rPr>
            <w:rStyle w:val="TextoNormalCaracter"/>
          </w:rPr>
          <w:t>217/2015</w:t>
        </w:r>
      </w:hyperlink>
      <w:r>
        <w:t>, f. 4.</w:t>
      </w:r>
    </w:p>
    <w:p w:rsidR="00981775" w:rsidRDefault="00981775" w:rsidP="00981775">
      <w:pPr>
        <w:pStyle w:val="SangriaFrancesaArticulo"/>
      </w:pPr>
      <w:r w:rsidRPr="00981775">
        <w:rPr>
          <w:rStyle w:val="TextoNormalNegritaCaracter"/>
        </w:rPr>
        <w:t>Artículo 763.1 párrafo 2.</w:t>
      </w:r>
      <w:r w:rsidRPr="00981775">
        <w:rPr>
          <w:rStyle w:val="TextoNormalCaracter"/>
        </w:rPr>
        <w:t>-</w:t>
      </w:r>
      <w:r>
        <w:t xml:space="preserve"> Sentencia </w:t>
      </w:r>
      <w:hyperlink w:anchor="SENTENCIA_2015_182" w:history="1">
        <w:r w:rsidRPr="00981775">
          <w:rPr>
            <w:rStyle w:val="TextoNormalCaracter"/>
          </w:rPr>
          <w:t>182/2015</w:t>
        </w:r>
      </w:hyperlink>
      <w:r>
        <w:t>, ff. 5, 6.</w:t>
      </w:r>
    </w:p>
    <w:p w:rsidR="00981775" w:rsidRDefault="00981775" w:rsidP="00981775">
      <w:pPr>
        <w:pStyle w:val="SangriaFrancesaArticulo"/>
      </w:pPr>
      <w:r w:rsidRPr="00981775">
        <w:rPr>
          <w:rStyle w:val="TextoNormalNegritaCaracter"/>
        </w:rPr>
        <w:t xml:space="preserve">Artículo 763.1 párrafo 2 inciso </w:t>
      </w:r>
      <w:r w:rsidRPr="00981775">
        <w:rPr>
          <w:rStyle w:val="TextoNormalNegritaCursivaCaracter"/>
        </w:rPr>
        <w:t>in fine</w:t>
      </w:r>
      <w:r w:rsidRPr="00981775">
        <w:rPr>
          <w:rStyle w:val="TextoNormalNegritaCaracter"/>
        </w:rPr>
        <w:t>.</w:t>
      </w:r>
      <w:r w:rsidRPr="00981775">
        <w:rPr>
          <w:rStyle w:val="TextoNormalCaracter"/>
        </w:rPr>
        <w:t>-</w:t>
      </w:r>
      <w:r>
        <w:t xml:space="preserve"> Sentencia </w:t>
      </w:r>
      <w:hyperlink w:anchor="SENTENCIA_2015_182" w:history="1">
        <w:r w:rsidRPr="00981775">
          <w:rPr>
            <w:rStyle w:val="TextoNormalCaracter"/>
          </w:rPr>
          <w:t>182/2015</w:t>
        </w:r>
      </w:hyperlink>
      <w:r>
        <w:t>, f. 4.</w:t>
      </w:r>
    </w:p>
    <w:p w:rsidR="00981775" w:rsidRDefault="00981775" w:rsidP="00981775">
      <w:pPr>
        <w:pStyle w:val="SangriaFrancesaArticulo"/>
      </w:pPr>
      <w:r w:rsidRPr="00981775">
        <w:rPr>
          <w:rStyle w:val="TextoNormalNegritaCaracter"/>
        </w:rPr>
        <w:t>Artículo 763.1 párrafo 3.</w:t>
      </w:r>
      <w:r w:rsidRPr="00981775">
        <w:rPr>
          <w:rStyle w:val="TextoNormalCaracter"/>
        </w:rPr>
        <w:t>-</w:t>
      </w:r>
      <w:r>
        <w:t xml:space="preserve"> Sentencia </w:t>
      </w:r>
      <w:hyperlink w:anchor="SENTENCIA_2015_182" w:history="1">
        <w:r w:rsidRPr="00981775">
          <w:rPr>
            <w:rStyle w:val="TextoNormalCaracter"/>
          </w:rPr>
          <w:t>182/2015</w:t>
        </w:r>
      </w:hyperlink>
      <w:r>
        <w:t>, f. 5.</w:t>
      </w:r>
    </w:p>
    <w:p w:rsidR="00981775" w:rsidRDefault="00981775" w:rsidP="00981775">
      <w:pPr>
        <w:pStyle w:val="SangriaFrancesaArticulo"/>
      </w:pPr>
      <w:r w:rsidRPr="00981775">
        <w:rPr>
          <w:rStyle w:val="TextoNormalNegritaCaracter"/>
        </w:rPr>
        <w:t>Artículo 763.4.</w:t>
      </w:r>
      <w:r w:rsidRPr="00981775">
        <w:rPr>
          <w:rStyle w:val="TextoNormalCaracter"/>
        </w:rPr>
        <w:t>-</w:t>
      </w:r>
      <w:r>
        <w:t xml:space="preserve"> Auto </w:t>
      </w:r>
      <w:hyperlink w:anchor="AUTO_2015_127" w:history="1">
        <w:r w:rsidRPr="00981775">
          <w:rPr>
            <w:rStyle w:val="TextoNormalCaracter"/>
          </w:rPr>
          <w:t>127/2015</w:t>
        </w:r>
      </w:hyperlink>
      <w:r>
        <w:t>, f. 2.</w:t>
      </w:r>
    </w:p>
    <w:p w:rsidR="00981775" w:rsidRDefault="00981775" w:rsidP="00981775">
      <w:pPr>
        <w:pStyle w:val="SangriaFrancesaArticulo"/>
      </w:pPr>
      <w:r w:rsidRPr="00981775">
        <w:rPr>
          <w:rStyle w:val="TextoNormalNegritaCaracter"/>
        </w:rPr>
        <w:t>Disposición adicional primera.</w:t>
      </w:r>
      <w:r w:rsidRPr="00981775">
        <w:rPr>
          <w:rStyle w:val="TextoNormalCaracter"/>
        </w:rPr>
        <w:t>-</w:t>
      </w:r>
      <w:r>
        <w:t xml:space="preserve"> Sentencia </w:t>
      </w:r>
      <w:hyperlink w:anchor="SENTENCIA_2015_217" w:history="1">
        <w:r w:rsidRPr="00981775">
          <w:rPr>
            <w:rStyle w:val="TextoNormalCaracter"/>
          </w:rPr>
          <w:t>217/2015</w:t>
        </w:r>
      </w:hyperlink>
      <w:r>
        <w:t>, f. 4.</w:t>
      </w:r>
    </w:p>
    <w:p w:rsidR="00981775" w:rsidRDefault="00981775" w:rsidP="00981775">
      <w:pPr>
        <w:pStyle w:val="SangriaFrancesaArticulo"/>
      </w:pPr>
    </w:p>
    <w:p w:rsidR="00981775" w:rsidRDefault="00981775" w:rsidP="00981775">
      <w:pPr>
        <w:pStyle w:val="TextoNormalNegritaCursivandice"/>
      </w:pPr>
      <w:r>
        <w:t>Ley 12/2002, de 23 de mayo. Concierto económico con la Comunidad Autónoma del País Vasco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40" w:history="1">
        <w:r w:rsidRPr="00981775">
          <w:rPr>
            <w:rStyle w:val="TextoNormalCaracter"/>
          </w:rPr>
          <w:t>240/2015</w:t>
        </w:r>
      </w:hyperlink>
      <w:r>
        <w:t>, f. 2.</w:t>
      </w:r>
    </w:p>
    <w:p w:rsidR="00981775" w:rsidRDefault="00981775" w:rsidP="00981775">
      <w:pPr>
        <w:pStyle w:val="SangriaFrancesaArticulo"/>
      </w:pPr>
      <w:r w:rsidRPr="00981775">
        <w:rPr>
          <w:rStyle w:val="TextoNormalNegritaCaracter"/>
        </w:rPr>
        <w:t>Artículo 2.</w:t>
      </w:r>
      <w:r w:rsidRPr="00981775">
        <w:rPr>
          <w:rStyle w:val="TextoNormalCaracter"/>
        </w:rPr>
        <w:t>-</w:t>
      </w:r>
      <w:r>
        <w:t xml:space="preserve"> Sentencias </w:t>
      </w:r>
      <w:hyperlink w:anchor="SENTENCIA_2015_222" w:history="1">
        <w:r w:rsidRPr="00981775">
          <w:rPr>
            <w:rStyle w:val="TextoNormalCaracter"/>
          </w:rPr>
          <w:t>222/2015</w:t>
        </w:r>
      </w:hyperlink>
      <w:r>
        <w:t xml:space="preserve">, f. 1; </w:t>
      </w:r>
      <w:hyperlink w:anchor="SENTENCIA_2015_239" w:history="1">
        <w:r w:rsidRPr="00981775">
          <w:rPr>
            <w:rStyle w:val="TextoNormalCaracter"/>
          </w:rPr>
          <w:t>239/2015</w:t>
        </w:r>
      </w:hyperlink>
      <w:r>
        <w:t xml:space="preserve">, f. 1; </w:t>
      </w:r>
      <w:hyperlink w:anchor="SENTENCIA_2015_240" w:history="1">
        <w:r w:rsidRPr="00981775">
          <w:rPr>
            <w:rStyle w:val="TextoNormalCaracter"/>
          </w:rPr>
          <w:t>240/2015</w:t>
        </w:r>
      </w:hyperlink>
      <w:r>
        <w:t xml:space="preserve">, f. 1; </w:t>
      </w:r>
      <w:hyperlink w:anchor="SENTENCIA_2015_262" w:history="1">
        <w:r w:rsidRPr="00981775">
          <w:rPr>
            <w:rStyle w:val="TextoNormalCaracter"/>
          </w:rPr>
          <w:t>262/2015</w:t>
        </w:r>
      </w:hyperlink>
      <w:r>
        <w:t xml:space="preserve">, f. 1; </w:t>
      </w:r>
      <w:hyperlink w:anchor="SENTENCIA_2015_263" w:history="1">
        <w:r w:rsidRPr="00981775">
          <w:rPr>
            <w:rStyle w:val="TextoNormalCaracter"/>
          </w:rPr>
          <w:t>263/2015</w:t>
        </w:r>
      </w:hyperlink>
      <w:r>
        <w:t>, f. 1.</w:t>
      </w:r>
    </w:p>
    <w:p w:rsidR="00981775" w:rsidRDefault="00981775" w:rsidP="00981775">
      <w:pPr>
        <w:pStyle w:val="SangriaFrancesaArticulo"/>
      </w:pPr>
    </w:p>
    <w:p w:rsidR="00981775" w:rsidRDefault="00981775" w:rsidP="00981775">
      <w:pPr>
        <w:pStyle w:val="TextoNormalNegritaCursivandice"/>
      </w:pPr>
      <w:r>
        <w:t>Ley 16/2002, de 1 de julio. Prevención y control integrados de la contaminación</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3" w:history="1">
        <w:r w:rsidRPr="00981775">
          <w:rPr>
            <w:rStyle w:val="TextoNormalCaracter"/>
          </w:rPr>
          <w:t>233/2015</w:t>
        </w:r>
      </w:hyperlink>
      <w:r>
        <w:t>, f. 10.</w:t>
      </w:r>
    </w:p>
    <w:p w:rsidR="00981775" w:rsidRDefault="00981775" w:rsidP="00981775">
      <w:pPr>
        <w:pStyle w:val="SangriaFrancesaArticulo"/>
      </w:pPr>
    </w:p>
    <w:p w:rsidR="00981775" w:rsidRDefault="00981775" w:rsidP="00981775">
      <w:pPr>
        <w:pStyle w:val="TextoNormalNegritaCursivandice"/>
      </w:pPr>
      <w:r>
        <w:t>Ley 39/2003, de 17 de noviembre. Sector ferroviario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97" w:history="1">
        <w:r w:rsidRPr="00981775">
          <w:rPr>
            <w:rStyle w:val="TextoNormalCaracter"/>
          </w:rPr>
          <w:t>197/2015</w:t>
        </w:r>
      </w:hyperlink>
      <w:r>
        <w:t>, f. 4.</w:t>
      </w:r>
    </w:p>
    <w:p w:rsidR="00981775" w:rsidRDefault="00981775" w:rsidP="00981775">
      <w:pPr>
        <w:pStyle w:val="SangriaFrancesaArticulo"/>
      </w:pPr>
      <w:r w:rsidRPr="00981775">
        <w:rPr>
          <w:rStyle w:val="TextoNormalNegritaCaracter"/>
        </w:rPr>
        <w:t>Artículo 4.1.</w:t>
      </w:r>
      <w:r w:rsidRPr="00981775">
        <w:rPr>
          <w:rStyle w:val="TextoNormalCaracter"/>
        </w:rPr>
        <w:t>-</w:t>
      </w:r>
      <w:r>
        <w:t xml:space="preserve"> Sentencia </w:t>
      </w:r>
      <w:hyperlink w:anchor="SENTENCIA_2015_197" w:history="1">
        <w:r w:rsidRPr="00981775">
          <w:rPr>
            <w:rStyle w:val="TextoNormalCaracter"/>
          </w:rPr>
          <w:t>197/2015</w:t>
        </w:r>
      </w:hyperlink>
      <w:r>
        <w:t>, f. 5.</w:t>
      </w:r>
    </w:p>
    <w:p w:rsidR="00981775" w:rsidRDefault="00981775" w:rsidP="00981775">
      <w:pPr>
        <w:pStyle w:val="SangriaFrancesaArticulo"/>
      </w:pPr>
      <w:r w:rsidRPr="00981775">
        <w:rPr>
          <w:rStyle w:val="TextoNormalNegritaCaracter"/>
        </w:rPr>
        <w:t>Disposición adicional novena, apartado 1, último párrafo.</w:t>
      </w:r>
      <w:r w:rsidRPr="00981775">
        <w:rPr>
          <w:rStyle w:val="TextoNormalCaracter"/>
        </w:rPr>
        <w:t>-</w:t>
      </w:r>
      <w:r>
        <w:t xml:space="preserve"> Sentencia </w:t>
      </w:r>
      <w:hyperlink w:anchor="SENTENCIA_2015_197" w:history="1">
        <w:r w:rsidRPr="00981775">
          <w:rPr>
            <w:rStyle w:val="TextoNormalCaracter"/>
          </w:rPr>
          <w:t>197/2015</w:t>
        </w:r>
      </w:hyperlink>
      <w:r>
        <w:t>, ff. 1, 4, 5, VP I, VP II.</w:t>
      </w:r>
    </w:p>
    <w:p w:rsidR="00981775" w:rsidRDefault="00981775" w:rsidP="00981775">
      <w:pPr>
        <w:pStyle w:val="SangriaFrancesaArticulo"/>
      </w:pPr>
    </w:p>
    <w:p w:rsidR="00981775" w:rsidRDefault="00981775" w:rsidP="00981775">
      <w:pPr>
        <w:pStyle w:val="TextoNormalNegritaCursivandice"/>
      </w:pPr>
      <w:r>
        <w:t>Ley 40/2003, de 18 de noviembre. Protección a las familias numerosas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71" w:history="1">
        <w:r w:rsidRPr="00981775">
          <w:rPr>
            <w:rStyle w:val="TextoNormalCaracter"/>
          </w:rPr>
          <w:t>271/2015</w:t>
        </w:r>
      </w:hyperlink>
      <w:r>
        <w:t>, f. 6.</w:t>
      </w:r>
    </w:p>
    <w:p w:rsidR="00981775" w:rsidRDefault="00981775" w:rsidP="00981775">
      <w:pPr>
        <w:pStyle w:val="SangriaFrancesaArticulo"/>
      </w:pPr>
      <w:r w:rsidRPr="00981775">
        <w:rPr>
          <w:rStyle w:val="TextoNormalNegritaCaracter"/>
        </w:rPr>
        <w:t>Artículo 2.</w:t>
      </w:r>
      <w:r w:rsidRPr="00981775">
        <w:rPr>
          <w:rStyle w:val="TextoNormalCaracter"/>
        </w:rPr>
        <w:t>-</w:t>
      </w:r>
      <w:r>
        <w:t xml:space="preserve"> Sentencia </w:t>
      </w:r>
      <w:hyperlink w:anchor="SENTENCIA_2015_271" w:history="1">
        <w:r w:rsidRPr="00981775">
          <w:rPr>
            <w:rStyle w:val="TextoNormalCaracter"/>
          </w:rPr>
          <w:t>271/2015</w:t>
        </w:r>
      </w:hyperlink>
      <w:r>
        <w:t>, ff. 4, 6.</w:t>
      </w:r>
    </w:p>
    <w:p w:rsidR="00981775" w:rsidRDefault="00981775" w:rsidP="00981775">
      <w:pPr>
        <w:pStyle w:val="SangriaFrancesaArticulo"/>
      </w:pPr>
      <w:r w:rsidRPr="00981775">
        <w:rPr>
          <w:rStyle w:val="TextoNormalNegritaCaracter"/>
        </w:rPr>
        <w:t>Artículo 3.</w:t>
      </w:r>
      <w:r w:rsidRPr="00981775">
        <w:rPr>
          <w:rStyle w:val="TextoNormalCaracter"/>
        </w:rPr>
        <w:t>-</w:t>
      </w:r>
      <w:r>
        <w:t xml:space="preserve"> Sentencia </w:t>
      </w:r>
      <w:hyperlink w:anchor="SENTENCIA_2015_271" w:history="1">
        <w:r w:rsidRPr="00981775">
          <w:rPr>
            <w:rStyle w:val="TextoNormalCaracter"/>
          </w:rPr>
          <w:t>271/2015</w:t>
        </w:r>
      </w:hyperlink>
      <w:r>
        <w:t>, f. 4.</w:t>
      </w:r>
    </w:p>
    <w:p w:rsidR="00981775" w:rsidRDefault="00981775" w:rsidP="00981775">
      <w:pPr>
        <w:pStyle w:val="SangriaFrancesaArticulo"/>
      </w:pPr>
      <w:r w:rsidRPr="00981775">
        <w:rPr>
          <w:rStyle w:val="TextoNormalNegritaCaracter"/>
        </w:rPr>
        <w:t>Disposición final primera.</w:t>
      </w:r>
      <w:r w:rsidRPr="00981775">
        <w:rPr>
          <w:rStyle w:val="TextoNormalCaracter"/>
        </w:rPr>
        <w:t>-</w:t>
      </w:r>
      <w:r>
        <w:t xml:space="preserve"> Sentencia </w:t>
      </w:r>
      <w:hyperlink w:anchor="SENTENCIA_2015_271" w:history="1">
        <w:r w:rsidRPr="00981775">
          <w:rPr>
            <w:rStyle w:val="TextoNormalCaracter"/>
          </w:rPr>
          <w:t>271/2015</w:t>
        </w:r>
      </w:hyperlink>
      <w:r>
        <w:t>, f. 6.</w:t>
      </w:r>
    </w:p>
    <w:p w:rsidR="00981775" w:rsidRDefault="00981775" w:rsidP="00981775">
      <w:pPr>
        <w:pStyle w:val="SangriaFrancesaArticulo"/>
      </w:pPr>
    </w:p>
    <w:p w:rsidR="00981775" w:rsidRDefault="00981775" w:rsidP="00981775">
      <w:pPr>
        <w:pStyle w:val="TextoNormalNegritaCursivandice"/>
      </w:pPr>
      <w:r>
        <w:t>Ley 43/2003, de 21 de noviembre. Montes</w:t>
      </w:r>
    </w:p>
    <w:p w:rsidR="00981775" w:rsidRDefault="00981775" w:rsidP="00981775">
      <w:pPr>
        <w:pStyle w:val="SangriaFrancesaArticulo"/>
      </w:pPr>
      <w:r w:rsidRPr="00981775">
        <w:rPr>
          <w:rStyle w:val="TextoNormalNegritaCaracter"/>
        </w:rPr>
        <w:t>En general</w:t>
      </w:r>
      <w:r>
        <w:t xml:space="preserve"> (redactada por la Ley 10/2006, de 28 de abril)</w:t>
      </w:r>
      <w:r w:rsidRPr="00981775">
        <w:rPr>
          <w:rStyle w:val="TextoNormalNegritaCaracter"/>
        </w:rPr>
        <w:t>.</w:t>
      </w:r>
      <w:r w:rsidRPr="00981775">
        <w:rPr>
          <w:rStyle w:val="TextoNormalCaracter"/>
        </w:rPr>
        <w:t>-</w:t>
      </w:r>
      <w:r>
        <w:t xml:space="preserve"> Sentencia </w:t>
      </w:r>
      <w:hyperlink w:anchor="SENTENCIA_2015_214" w:history="1">
        <w:r w:rsidRPr="00981775">
          <w:rPr>
            <w:rStyle w:val="TextoNormalCaracter"/>
          </w:rPr>
          <w:t>214/2015</w:t>
        </w:r>
      </w:hyperlink>
      <w:r>
        <w:t>, ff. 1, 3.</w:t>
      </w:r>
    </w:p>
    <w:p w:rsidR="00981775" w:rsidRDefault="00981775" w:rsidP="00981775">
      <w:pPr>
        <w:pStyle w:val="SangriaFrancesaArticulo"/>
      </w:pPr>
      <w:r w:rsidRPr="00981775">
        <w:rPr>
          <w:rStyle w:val="TextoNormalNegritaCaracter"/>
        </w:rPr>
        <w:t>Exposición de motivos.</w:t>
      </w:r>
      <w:r w:rsidRPr="00981775">
        <w:rPr>
          <w:rStyle w:val="TextoNormalCaracter"/>
        </w:rPr>
        <w:t>-</w:t>
      </w:r>
      <w:r>
        <w:t xml:space="preserve"> Sentencia </w:t>
      </w:r>
      <w:hyperlink w:anchor="SENTENCIA_2015_214" w:history="1">
        <w:r w:rsidRPr="00981775">
          <w:rPr>
            <w:rStyle w:val="TextoNormalCaracter"/>
          </w:rPr>
          <w:t>214/2015</w:t>
        </w:r>
      </w:hyperlink>
      <w:r>
        <w:t>, f. 3.</w:t>
      </w:r>
    </w:p>
    <w:p w:rsidR="00981775" w:rsidRDefault="00981775" w:rsidP="00981775">
      <w:pPr>
        <w:pStyle w:val="SangriaFrancesaArticulo"/>
      </w:pPr>
      <w:r w:rsidRPr="00981775">
        <w:rPr>
          <w:rStyle w:val="TextoNormalNegritaCaracter"/>
        </w:rPr>
        <w:t>Artículo 1.</w:t>
      </w:r>
      <w:r w:rsidRPr="00981775">
        <w:rPr>
          <w:rStyle w:val="TextoNormalCaracter"/>
        </w:rPr>
        <w:t>-</w:t>
      </w:r>
      <w:r>
        <w:t xml:space="preserve"> Sentencia </w:t>
      </w:r>
      <w:hyperlink w:anchor="SENTENCIA_2015_214" w:history="1">
        <w:r w:rsidRPr="00981775">
          <w:rPr>
            <w:rStyle w:val="TextoNormalCaracter"/>
          </w:rPr>
          <w:t>214/2015</w:t>
        </w:r>
      </w:hyperlink>
      <w:r>
        <w:t>, f. 3.</w:t>
      </w:r>
    </w:p>
    <w:p w:rsidR="00981775" w:rsidRDefault="00981775" w:rsidP="00981775">
      <w:pPr>
        <w:pStyle w:val="SangriaFrancesaArticulo"/>
      </w:pPr>
      <w:r w:rsidRPr="00981775">
        <w:rPr>
          <w:rStyle w:val="TextoNormalNegritaCaracter"/>
        </w:rPr>
        <w:t>Artículo 3.</w:t>
      </w:r>
      <w:r w:rsidRPr="00981775">
        <w:rPr>
          <w:rStyle w:val="TextoNormalCaracter"/>
        </w:rPr>
        <w:t>-</w:t>
      </w:r>
      <w:r>
        <w:t xml:space="preserve"> Sentencia </w:t>
      </w:r>
      <w:hyperlink w:anchor="SENTENCIA_2015_214" w:history="1">
        <w:r w:rsidRPr="00981775">
          <w:rPr>
            <w:rStyle w:val="TextoNormalCaracter"/>
          </w:rPr>
          <w:t>214/2015</w:t>
        </w:r>
      </w:hyperlink>
      <w:r>
        <w:t>, f. 3.</w:t>
      </w:r>
    </w:p>
    <w:p w:rsidR="00981775" w:rsidRDefault="00981775" w:rsidP="00981775">
      <w:pPr>
        <w:pStyle w:val="SangriaFrancesaArticulo"/>
      </w:pPr>
      <w:r w:rsidRPr="00981775">
        <w:rPr>
          <w:rStyle w:val="TextoNormalNegritaCaracter"/>
        </w:rPr>
        <w:t>Artículo 4.</w:t>
      </w:r>
      <w:r w:rsidRPr="00981775">
        <w:rPr>
          <w:rStyle w:val="TextoNormalCaracter"/>
        </w:rPr>
        <w:t>-</w:t>
      </w:r>
      <w:r>
        <w:t xml:space="preserve"> Sentencia </w:t>
      </w:r>
      <w:hyperlink w:anchor="SENTENCIA_2015_214" w:history="1">
        <w:r w:rsidRPr="00981775">
          <w:rPr>
            <w:rStyle w:val="TextoNormalCaracter"/>
          </w:rPr>
          <w:t>214/2015</w:t>
        </w:r>
      </w:hyperlink>
      <w:r>
        <w:t>, ff. 3, 4.</w:t>
      </w:r>
    </w:p>
    <w:p w:rsidR="00981775" w:rsidRDefault="00981775" w:rsidP="00981775">
      <w:pPr>
        <w:pStyle w:val="SangriaFrancesaArticulo"/>
      </w:pPr>
      <w:r w:rsidRPr="00981775">
        <w:rPr>
          <w:rStyle w:val="TextoNormalNegritaCaracter"/>
        </w:rPr>
        <w:t>Artículo 6 q).</w:t>
      </w:r>
      <w:r w:rsidRPr="00981775">
        <w:rPr>
          <w:rStyle w:val="TextoNormalCaracter"/>
        </w:rPr>
        <w:t>-</w:t>
      </w:r>
      <w:r>
        <w:t xml:space="preserve"> Sentencia </w:t>
      </w:r>
      <w:hyperlink w:anchor="SENTENCIA_2015_214" w:history="1">
        <w:r w:rsidRPr="00981775">
          <w:rPr>
            <w:rStyle w:val="TextoNormalCaracter"/>
          </w:rPr>
          <w:t>214/2015</w:t>
        </w:r>
      </w:hyperlink>
      <w:r>
        <w:t>, f. 4.</w:t>
      </w:r>
    </w:p>
    <w:p w:rsidR="00981775" w:rsidRDefault="00981775" w:rsidP="00981775">
      <w:pPr>
        <w:pStyle w:val="SangriaFrancesaArticulo"/>
      </w:pPr>
      <w:r w:rsidRPr="00981775">
        <w:rPr>
          <w:rStyle w:val="TextoNormalNegritaCaracter"/>
        </w:rPr>
        <w:t>Artículo 58.</w:t>
      </w:r>
      <w:r w:rsidRPr="00981775">
        <w:rPr>
          <w:rStyle w:val="TextoNormalCaracter"/>
        </w:rPr>
        <w:t>-</w:t>
      </w:r>
      <w:r>
        <w:t xml:space="preserve"> Sentencia </w:t>
      </w:r>
      <w:hyperlink w:anchor="SENTENCIA_2015_214" w:history="1">
        <w:r w:rsidRPr="00981775">
          <w:rPr>
            <w:rStyle w:val="TextoNormalCaracter"/>
          </w:rPr>
          <w:t>214/2015</w:t>
        </w:r>
      </w:hyperlink>
      <w:r>
        <w:t>, f. 4.</w:t>
      </w:r>
    </w:p>
    <w:p w:rsidR="00981775" w:rsidRDefault="00981775" w:rsidP="00981775">
      <w:pPr>
        <w:pStyle w:val="SangriaFrancesaArticulo"/>
      </w:pPr>
      <w:r w:rsidRPr="00981775">
        <w:rPr>
          <w:rStyle w:val="TextoNormalNegritaCaracter"/>
        </w:rPr>
        <w:t>Artículo 58.3 a).</w:t>
      </w:r>
      <w:r w:rsidRPr="00981775">
        <w:rPr>
          <w:rStyle w:val="TextoNormalCaracter"/>
        </w:rPr>
        <w:t>-</w:t>
      </w:r>
      <w:r>
        <w:t xml:space="preserve"> Sentencia </w:t>
      </w:r>
      <w:hyperlink w:anchor="SENTENCIA_2015_214" w:history="1">
        <w:r w:rsidRPr="00981775">
          <w:rPr>
            <w:rStyle w:val="TextoNormalCaracter"/>
          </w:rPr>
          <w:t>214/2015</w:t>
        </w:r>
      </w:hyperlink>
      <w:r>
        <w:t>, ff. 1, 3 a 5.</w:t>
      </w:r>
    </w:p>
    <w:p w:rsidR="00981775" w:rsidRDefault="00981775" w:rsidP="00981775">
      <w:pPr>
        <w:pStyle w:val="SangriaFrancesaArticulo"/>
      </w:pPr>
      <w:r w:rsidRPr="00981775">
        <w:rPr>
          <w:rStyle w:val="TextoNormalNegritaCaracter"/>
        </w:rPr>
        <w:t>Artículo 58.3 a)</w:t>
      </w:r>
      <w:r>
        <w:t xml:space="preserve"> (en la redacción dada en la Ley 10/2006, de 28 de abril)</w:t>
      </w:r>
      <w:r w:rsidRPr="00981775">
        <w:rPr>
          <w:rStyle w:val="TextoNormalNegritaCaracter"/>
        </w:rPr>
        <w:t>.</w:t>
      </w:r>
      <w:r w:rsidRPr="00981775">
        <w:rPr>
          <w:rStyle w:val="TextoNormalCaracter"/>
        </w:rPr>
        <w:t>-</w:t>
      </w:r>
      <w:r>
        <w:t xml:space="preserve"> Sentencia </w:t>
      </w:r>
      <w:hyperlink w:anchor="SENTENCIA_2015_214" w:history="1">
        <w:r w:rsidRPr="00981775">
          <w:rPr>
            <w:rStyle w:val="TextoNormalCaracter"/>
          </w:rPr>
          <w:t>214/2015</w:t>
        </w:r>
      </w:hyperlink>
      <w:r>
        <w:t>, f. 2.</w:t>
      </w:r>
    </w:p>
    <w:p w:rsidR="00981775" w:rsidRDefault="00981775" w:rsidP="00981775">
      <w:pPr>
        <w:pStyle w:val="SangriaFrancesaArticulo"/>
      </w:pPr>
      <w:r w:rsidRPr="00981775">
        <w:rPr>
          <w:rStyle w:val="TextoNormalNegritaCaracter"/>
        </w:rPr>
        <w:t>Disposición final segunda, apartado 1.</w:t>
      </w:r>
      <w:r w:rsidRPr="00981775">
        <w:rPr>
          <w:rStyle w:val="TextoNormalCaracter"/>
        </w:rPr>
        <w:t>-</w:t>
      </w:r>
      <w:r>
        <w:t xml:space="preserve"> Sentencia </w:t>
      </w:r>
      <w:hyperlink w:anchor="SENTENCIA_2015_214" w:history="1">
        <w:r w:rsidRPr="00981775">
          <w:rPr>
            <w:rStyle w:val="TextoNormalCaracter"/>
          </w:rPr>
          <w:t>214/2015</w:t>
        </w:r>
      </w:hyperlink>
      <w:r>
        <w:t>, f. 3.</w:t>
      </w:r>
    </w:p>
    <w:p w:rsidR="00981775" w:rsidRDefault="00981775" w:rsidP="00981775">
      <w:pPr>
        <w:pStyle w:val="SangriaFrancesaArticulo"/>
      </w:pPr>
    </w:p>
    <w:p w:rsidR="00981775" w:rsidRDefault="00981775" w:rsidP="00981775">
      <w:pPr>
        <w:pStyle w:val="TextoNormalNegritaCursivandice"/>
      </w:pPr>
      <w:r>
        <w:t>Ley 55/2003, de 16 de diciembre. Estatuto marco del personal estatutario de los servicios de salud</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21" w:history="1">
        <w:r w:rsidRPr="00981775">
          <w:rPr>
            <w:rStyle w:val="TextoNormalCaracter"/>
          </w:rPr>
          <w:t>121/2015</w:t>
        </w:r>
      </w:hyperlink>
      <w:r>
        <w:t>, f. 1.</w:t>
      </w:r>
    </w:p>
    <w:p w:rsidR="00981775" w:rsidRDefault="00981775" w:rsidP="00981775">
      <w:pPr>
        <w:pStyle w:val="SangriaFrancesaArticulo"/>
      </w:pPr>
      <w:r w:rsidRPr="00981775">
        <w:rPr>
          <w:rStyle w:val="TextoNormalNegritaCaracter"/>
        </w:rPr>
        <w:t>Artículo 41.</w:t>
      </w:r>
      <w:r w:rsidRPr="00981775">
        <w:rPr>
          <w:rStyle w:val="TextoNormalCaracter"/>
        </w:rPr>
        <w:t>-</w:t>
      </w:r>
      <w:r>
        <w:t xml:space="preserve"> Auto </w:t>
      </w:r>
      <w:hyperlink w:anchor="AUTO_2015_121" w:history="1">
        <w:r w:rsidRPr="00981775">
          <w:rPr>
            <w:rStyle w:val="TextoNormalCaracter"/>
          </w:rPr>
          <w:t>121/2015</w:t>
        </w:r>
      </w:hyperlink>
      <w:r>
        <w:t>, f. 3.</w:t>
      </w:r>
    </w:p>
    <w:p w:rsidR="00981775" w:rsidRDefault="00981775" w:rsidP="00981775">
      <w:pPr>
        <w:pStyle w:val="SangriaFrancesaArticulo"/>
      </w:pPr>
      <w:r w:rsidRPr="00981775">
        <w:rPr>
          <w:rStyle w:val="TextoNormalNegritaCaracter"/>
        </w:rPr>
        <w:t>Artículo 43.2 c).</w:t>
      </w:r>
      <w:r w:rsidRPr="00981775">
        <w:rPr>
          <w:rStyle w:val="TextoNormalCaracter"/>
        </w:rPr>
        <w:t>-</w:t>
      </w:r>
      <w:r>
        <w:t xml:space="preserve"> Auto </w:t>
      </w:r>
      <w:hyperlink w:anchor="AUTO_2015_121" w:history="1">
        <w:r w:rsidRPr="00981775">
          <w:rPr>
            <w:rStyle w:val="TextoNormalCaracter"/>
          </w:rPr>
          <w:t>121/2015</w:t>
        </w:r>
      </w:hyperlink>
      <w:r>
        <w:t>, f. 3.</w:t>
      </w:r>
    </w:p>
    <w:p w:rsidR="00981775" w:rsidRDefault="00981775" w:rsidP="00981775">
      <w:pPr>
        <w:pStyle w:val="SangriaFrancesaArticulo"/>
      </w:pPr>
    </w:p>
    <w:p w:rsidR="00981775" w:rsidRDefault="00981775" w:rsidP="00981775">
      <w:pPr>
        <w:pStyle w:val="TextoNormalNegritaCursivandice"/>
      </w:pPr>
      <w:r>
        <w:t>Ley 56/2003, de 16 de diciembre. Empleo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Sentencias </w:t>
      </w:r>
      <w:hyperlink w:anchor="SENTENCIA_2015_178" w:history="1">
        <w:r w:rsidRPr="00981775">
          <w:rPr>
            <w:rStyle w:val="TextoNormalCaracter"/>
          </w:rPr>
          <w:t>178/2015</w:t>
        </w:r>
      </w:hyperlink>
      <w:r>
        <w:t xml:space="preserve">, f. 3; </w:t>
      </w:r>
      <w:hyperlink w:anchor="SENTENCIA_2015_272" w:history="1">
        <w:r w:rsidRPr="00981775">
          <w:rPr>
            <w:rStyle w:val="TextoNormalCaracter"/>
          </w:rPr>
          <w:t>272/2015</w:t>
        </w:r>
      </w:hyperlink>
      <w:r>
        <w:t>, f. 2.</w:t>
      </w:r>
    </w:p>
    <w:p w:rsidR="00981775" w:rsidRDefault="00981775" w:rsidP="00981775">
      <w:pPr>
        <w:pStyle w:val="SangriaFrancesaArticulo"/>
      </w:pPr>
      <w:r w:rsidRPr="00981775">
        <w:rPr>
          <w:rStyle w:val="TextoNormalNegritaCaracter"/>
        </w:rPr>
        <w:t>Artículo 13 e).</w:t>
      </w:r>
      <w:r w:rsidRPr="00981775">
        <w:rPr>
          <w:rStyle w:val="TextoNormalCaracter"/>
        </w:rPr>
        <w:t>-</w:t>
      </w:r>
      <w:r>
        <w:t xml:space="preserve"> Sentencia </w:t>
      </w:r>
      <w:hyperlink w:anchor="SENTENCIA_2015_178" w:history="1">
        <w:r w:rsidRPr="00981775">
          <w:rPr>
            <w:rStyle w:val="TextoNormalCaracter"/>
          </w:rPr>
          <w:t>178/2015</w:t>
        </w:r>
      </w:hyperlink>
      <w:r>
        <w:t>, f. 7, VP II.</w:t>
      </w:r>
    </w:p>
    <w:p w:rsidR="00981775" w:rsidRDefault="00981775" w:rsidP="00981775">
      <w:pPr>
        <w:pStyle w:val="SangriaFrancesaArticulo"/>
      </w:pPr>
      <w:r w:rsidRPr="00981775">
        <w:rPr>
          <w:rStyle w:val="TextoNormalNegritaCaracter"/>
        </w:rPr>
        <w:t>Artículo 13 j).</w:t>
      </w:r>
      <w:r w:rsidRPr="00981775">
        <w:rPr>
          <w:rStyle w:val="TextoNormalCaracter"/>
        </w:rPr>
        <w:t>-</w:t>
      </w:r>
      <w:r>
        <w:t xml:space="preserve"> Sentencia </w:t>
      </w:r>
      <w:hyperlink w:anchor="SENTENCIA_2015_272" w:history="1">
        <w:r w:rsidRPr="00981775">
          <w:rPr>
            <w:rStyle w:val="TextoNormalCaracter"/>
          </w:rPr>
          <w:t>272/2015</w:t>
        </w:r>
      </w:hyperlink>
      <w:r>
        <w:t>, f. 3.</w:t>
      </w:r>
    </w:p>
    <w:p w:rsidR="00981775" w:rsidRDefault="00981775" w:rsidP="00981775">
      <w:pPr>
        <w:pStyle w:val="SangriaFrancesaArticulo"/>
      </w:pPr>
      <w:r w:rsidRPr="00981775">
        <w:rPr>
          <w:rStyle w:val="TextoNormalNegritaCaracter"/>
        </w:rPr>
        <w:t>Artículo 24.3.</w:t>
      </w:r>
      <w:r w:rsidRPr="00981775">
        <w:rPr>
          <w:rStyle w:val="TextoNormalCaracter"/>
        </w:rPr>
        <w:t>-</w:t>
      </w:r>
      <w:r>
        <w:t xml:space="preserve"> Sentencia </w:t>
      </w:r>
      <w:hyperlink w:anchor="SENTENCIA_2015_272" w:history="1">
        <w:r w:rsidRPr="00981775">
          <w:rPr>
            <w:rStyle w:val="TextoNormalCaracter"/>
          </w:rPr>
          <w:t>272/2015</w:t>
        </w:r>
      </w:hyperlink>
      <w:r>
        <w:t>, f. 1.</w:t>
      </w:r>
    </w:p>
    <w:p w:rsidR="00981775" w:rsidRDefault="00981775" w:rsidP="00981775">
      <w:pPr>
        <w:pStyle w:val="SangriaFrancesaArticulo"/>
      </w:pPr>
      <w:r w:rsidRPr="00981775">
        <w:rPr>
          <w:rStyle w:val="TextoNormalNegritaCaracter"/>
        </w:rPr>
        <w:t>Artículo 25.4.</w:t>
      </w:r>
      <w:r w:rsidRPr="00981775">
        <w:rPr>
          <w:rStyle w:val="TextoNormalCaracter"/>
        </w:rPr>
        <w:t>-</w:t>
      </w:r>
      <w:r>
        <w:t xml:space="preserve"> Sentencia </w:t>
      </w:r>
      <w:hyperlink w:anchor="SENTENCIA_2015_272" w:history="1">
        <w:r w:rsidRPr="00981775">
          <w:rPr>
            <w:rStyle w:val="TextoNormalCaracter"/>
          </w:rPr>
          <w:t>272/2015</w:t>
        </w:r>
      </w:hyperlink>
      <w:r>
        <w:t>, f. 1.</w:t>
      </w:r>
    </w:p>
    <w:p w:rsidR="00981775" w:rsidRDefault="00981775" w:rsidP="00981775">
      <w:pPr>
        <w:pStyle w:val="SangriaFrancesaArticulo"/>
      </w:pPr>
      <w:r w:rsidRPr="00981775">
        <w:rPr>
          <w:rStyle w:val="TextoNormalNegritaCaracter"/>
        </w:rPr>
        <w:t>Artículo 27.4.</w:t>
      </w:r>
      <w:r w:rsidRPr="00981775">
        <w:rPr>
          <w:rStyle w:val="TextoNormalCaracter"/>
        </w:rPr>
        <w:t>-</w:t>
      </w:r>
      <w:r>
        <w:t xml:space="preserve"> Sentencia </w:t>
      </w:r>
      <w:hyperlink w:anchor="SENTENCIA_2015_272" w:history="1">
        <w:r w:rsidRPr="00981775">
          <w:rPr>
            <w:rStyle w:val="TextoNormalCaracter"/>
          </w:rPr>
          <w:t>272/2015</w:t>
        </w:r>
      </w:hyperlink>
      <w:r>
        <w:t>, ff. 2, 4.</w:t>
      </w:r>
    </w:p>
    <w:p w:rsidR="00981775" w:rsidRDefault="00981775" w:rsidP="00981775">
      <w:pPr>
        <w:pStyle w:val="SangriaFrancesaArticulo"/>
      </w:pPr>
      <w:r w:rsidRPr="00981775">
        <w:rPr>
          <w:rStyle w:val="TextoNormalNegritaCaracter"/>
        </w:rPr>
        <w:t>Artículo 27.4</w:t>
      </w:r>
      <w:r>
        <w:t xml:space="preserve"> (redactado por la Ley 1/2014, de 28 de febrero)</w:t>
      </w:r>
      <w:r w:rsidRPr="00981775">
        <w:rPr>
          <w:rStyle w:val="TextoNormalNegritaCaracter"/>
        </w:rPr>
        <w:t>.</w:t>
      </w:r>
      <w:r w:rsidRPr="00981775">
        <w:rPr>
          <w:rStyle w:val="TextoNormalCaracter"/>
        </w:rPr>
        <w:t>-</w:t>
      </w:r>
      <w:r>
        <w:t xml:space="preserve"> Sentencia </w:t>
      </w:r>
      <w:hyperlink w:anchor="SENTENCIA_2015_272" w:history="1">
        <w:r w:rsidRPr="00981775">
          <w:rPr>
            <w:rStyle w:val="TextoNormalCaracter"/>
          </w:rPr>
          <w:t>272/2015</w:t>
        </w:r>
      </w:hyperlink>
      <w:r>
        <w:t>, ff. 2, 4.</w:t>
      </w:r>
    </w:p>
    <w:p w:rsidR="00981775" w:rsidRDefault="00981775" w:rsidP="00981775">
      <w:pPr>
        <w:pStyle w:val="SangriaFrancesaArticulo"/>
      </w:pPr>
      <w:r w:rsidRPr="00981775">
        <w:rPr>
          <w:rStyle w:val="TextoNormalNegritaCaracter"/>
        </w:rPr>
        <w:t xml:space="preserve">Artículo 27.4 párrafo 2 inciso </w:t>
      </w:r>
      <w:r w:rsidRPr="00981775">
        <w:rPr>
          <w:rStyle w:val="TextoNormalNegritaCursivaCaracter"/>
        </w:rPr>
        <w:t>in fine</w:t>
      </w:r>
      <w:r>
        <w:t xml:space="preserve"> </w:t>
      </w:r>
      <w:r w:rsidRPr="00981775">
        <w:rPr>
          <w:rStyle w:val="TextoNormalCaracter"/>
        </w:rPr>
        <w:t>(redactado por la Ley 1/2014, de 28 de febrero)</w:t>
      </w:r>
      <w:r w:rsidRPr="00981775">
        <w:rPr>
          <w:rStyle w:val="TextoNormalNegritaCaracter"/>
        </w:rPr>
        <w:t>.</w:t>
      </w:r>
      <w:r w:rsidRPr="00981775">
        <w:rPr>
          <w:rStyle w:val="TextoNormalCaracter"/>
        </w:rPr>
        <w:t>-</w:t>
      </w:r>
      <w:r>
        <w:t xml:space="preserve"> Sentencia </w:t>
      </w:r>
      <w:hyperlink w:anchor="SENTENCIA_2015_272" w:history="1">
        <w:r w:rsidRPr="00981775">
          <w:rPr>
            <w:rStyle w:val="TextoNormalCaracter"/>
          </w:rPr>
          <w:t>272/2015</w:t>
        </w:r>
      </w:hyperlink>
      <w:r>
        <w:t>, ff. 1 a 4.</w:t>
      </w:r>
    </w:p>
    <w:p w:rsidR="00981775" w:rsidRDefault="00981775" w:rsidP="00981775">
      <w:pPr>
        <w:pStyle w:val="SangriaFrancesaArticulo"/>
      </w:pPr>
      <w:r w:rsidRPr="00981775">
        <w:rPr>
          <w:rStyle w:val="TextoNormalNegritaCaracter"/>
        </w:rPr>
        <w:t>Disposición adicional cuarta.</w:t>
      </w:r>
      <w:r w:rsidRPr="00981775">
        <w:rPr>
          <w:rStyle w:val="TextoNormalCaracter"/>
        </w:rPr>
        <w:t>-</w:t>
      </w:r>
      <w:r>
        <w:t xml:space="preserve"> Sentencia </w:t>
      </w:r>
      <w:hyperlink w:anchor="SENTENCIA_2015_178" w:history="1">
        <w:r w:rsidRPr="00981775">
          <w:rPr>
            <w:rStyle w:val="TextoNormalCaracter"/>
          </w:rPr>
          <w:t>178/2015</w:t>
        </w:r>
      </w:hyperlink>
      <w:r>
        <w:t>, f. 7.</w:t>
      </w:r>
    </w:p>
    <w:p w:rsidR="00981775" w:rsidRDefault="00981775" w:rsidP="00981775">
      <w:pPr>
        <w:pStyle w:val="SangriaFrancesaArticulo"/>
      </w:pPr>
    </w:p>
    <w:p w:rsidR="00981775" w:rsidRDefault="00981775" w:rsidP="00981775">
      <w:pPr>
        <w:pStyle w:val="TextoNormalNegritaCursivandice"/>
      </w:pPr>
      <w:r>
        <w:t>Ley 58/2003, de 17 de diciembre. General tributaria</w:t>
      </w:r>
    </w:p>
    <w:p w:rsidR="00981775" w:rsidRDefault="00981775" w:rsidP="00981775">
      <w:pPr>
        <w:pStyle w:val="SangriaFrancesaArticulo"/>
      </w:pPr>
      <w:r w:rsidRPr="00981775">
        <w:rPr>
          <w:rStyle w:val="TextoNormalNegritaCaracter"/>
        </w:rPr>
        <w:t>Artículo 183.1.</w:t>
      </w:r>
      <w:r w:rsidRPr="00981775">
        <w:rPr>
          <w:rStyle w:val="TextoNormalCaracter"/>
        </w:rPr>
        <w:t>-</w:t>
      </w:r>
      <w:r>
        <w:t xml:space="preserve"> Auto </w:t>
      </w:r>
      <w:hyperlink w:anchor="AUTO_2015_145" w:history="1">
        <w:r w:rsidRPr="00981775">
          <w:rPr>
            <w:rStyle w:val="TextoNormalCaracter"/>
          </w:rPr>
          <w:t>145/2015</w:t>
        </w:r>
      </w:hyperlink>
      <w:r>
        <w:t>, f. 4.</w:t>
      </w:r>
    </w:p>
    <w:p w:rsidR="00981775" w:rsidRDefault="00981775" w:rsidP="00981775">
      <w:pPr>
        <w:pStyle w:val="SangriaFrancesaArticulo"/>
      </w:pPr>
      <w:r w:rsidRPr="00981775">
        <w:rPr>
          <w:rStyle w:val="TextoNormalNegritaCaracter"/>
        </w:rPr>
        <w:t>Artículo 187.</w:t>
      </w:r>
      <w:r w:rsidRPr="00981775">
        <w:rPr>
          <w:rStyle w:val="TextoNormalCaracter"/>
        </w:rPr>
        <w:t>-</w:t>
      </w:r>
      <w:r>
        <w:t xml:space="preserve"> Auto </w:t>
      </w:r>
      <w:hyperlink w:anchor="AUTO_2015_145" w:history="1">
        <w:r w:rsidRPr="00981775">
          <w:rPr>
            <w:rStyle w:val="TextoNormalCaracter"/>
          </w:rPr>
          <w:t>145/2015</w:t>
        </w:r>
      </w:hyperlink>
      <w:r>
        <w:t>, ff. 1, 3, 4.</w:t>
      </w:r>
    </w:p>
    <w:p w:rsidR="00981775" w:rsidRDefault="00981775" w:rsidP="00981775">
      <w:pPr>
        <w:pStyle w:val="SangriaFrancesaArticulo"/>
      </w:pPr>
      <w:r w:rsidRPr="00981775">
        <w:rPr>
          <w:rStyle w:val="TextoNormalNegritaCaracter"/>
        </w:rPr>
        <w:t>Artículo 195.2.</w:t>
      </w:r>
      <w:r w:rsidRPr="00981775">
        <w:rPr>
          <w:rStyle w:val="TextoNormalCaracter"/>
        </w:rPr>
        <w:t>-</w:t>
      </w:r>
      <w:r>
        <w:t xml:space="preserve"> Auto </w:t>
      </w:r>
      <w:hyperlink w:anchor="AUTO_2015_145" w:history="1">
        <w:r w:rsidRPr="00981775">
          <w:rPr>
            <w:rStyle w:val="TextoNormalCaracter"/>
          </w:rPr>
          <w:t>145/2015</w:t>
        </w:r>
      </w:hyperlink>
      <w:r>
        <w:t>, ff. 1, 3, 4.</w:t>
      </w:r>
    </w:p>
    <w:p w:rsidR="00981775" w:rsidRDefault="00981775" w:rsidP="00981775">
      <w:pPr>
        <w:pStyle w:val="SangriaFrancesaArticulo"/>
      </w:pPr>
      <w:r w:rsidRPr="00981775">
        <w:rPr>
          <w:rStyle w:val="TextoNormalNegritaCaracter"/>
        </w:rPr>
        <w:t>Artículo 201.</w:t>
      </w:r>
      <w:r w:rsidRPr="00981775">
        <w:rPr>
          <w:rStyle w:val="TextoNormalCaracter"/>
        </w:rPr>
        <w:t>-</w:t>
      </w:r>
      <w:r>
        <w:t xml:space="preserve"> Sentencia </w:t>
      </w:r>
      <w:hyperlink w:anchor="SENTENCIA_2015_150" w:history="1">
        <w:r w:rsidRPr="00981775">
          <w:rPr>
            <w:rStyle w:val="TextoNormalCaracter"/>
          </w:rPr>
          <w:t>150/2015</w:t>
        </w:r>
      </w:hyperlink>
      <w:r>
        <w:t>, ff. 1 a 3.</w:t>
      </w:r>
    </w:p>
    <w:p w:rsidR="00981775" w:rsidRDefault="00981775" w:rsidP="00981775">
      <w:pPr>
        <w:pStyle w:val="SangriaFrancesaArticulo"/>
      </w:pPr>
      <w:r w:rsidRPr="00981775">
        <w:rPr>
          <w:rStyle w:val="TextoNormalNegritaCaracter"/>
        </w:rPr>
        <w:t>Artículo 201, apartado 1.</w:t>
      </w:r>
      <w:r w:rsidRPr="00981775">
        <w:rPr>
          <w:rStyle w:val="TextoNormalCaracter"/>
        </w:rPr>
        <w:t>-</w:t>
      </w:r>
      <w:r>
        <w:t xml:space="preserve"> Sentencia </w:t>
      </w:r>
      <w:hyperlink w:anchor="SENTENCIA_2015_150" w:history="1">
        <w:r w:rsidRPr="00981775">
          <w:rPr>
            <w:rStyle w:val="TextoNormalCaracter"/>
          </w:rPr>
          <w:t>150/2015</w:t>
        </w:r>
      </w:hyperlink>
      <w:r>
        <w:t>, ff. 1, 3, 4.</w:t>
      </w:r>
    </w:p>
    <w:p w:rsidR="00981775" w:rsidRDefault="00981775" w:rsidP="00981775">
      <w:pPr>
        <w:pStyle w:val="SangriaFrancesaArticulo"/>
      </w:pPr>
      <w:r w:rsidRPr="00981775">
        <w:rPr>
          <w:rStyle w:val="TextoNormalNegritaCaracter"/>
        </w:rPr>
        <w:t>Artículo 201, apartado 3.</w:t>
      </w:r>
      <w:r w:rsidRPr="00981775">
        <w:rPr>
          <w:rStyle w:val="TextoNormalCaracter"/>
        </w:rPr>
        <w:t>-</w:t>
      </w:r>
      <w:r>
        <w:t xml:space="preserve"> Sentencia </w:t>
      </w:r>
      <w:hyperlink w:anchor="SENTENCIA_2015_150" w:history="1">
        <w:r w:rsidRPr="00981775">
          <w:rPr>
            <w:rStyle w:val="TextoNormalCaracter"/>
          </w:rPr>
          <w:t>150/2015</w:t>
        </w:r>
      </w:hyperlink>
      <w:r>
        <w:t>, ff. 1, 3, 4.</w:t>
      </w:r>
    </w:p>
    <w:p w:rsidR="00981775" w:rsidRDefault="00981775" w:rsidP="00981775">
      <w:pPr>
        <w:pStyle w:val="SangriaFrancesaArticulo"/>
      </w:pPr>
      <w:r w:rsidRPr="00981775">
        <w:rPr>
          <w:rStyle w:val="TextoNormalNegritaCaracter"/>
        </w:rPr>
        <w:t>Artículo 201, apartado 4.</w:t>
      </w:r>
      <w:r w:rsidRPr="00981775">
        <w:rPr>
          <w:rStyle w:val="TextoNormalCaracter"/>
        </w:rPr>
        <w:t>-</w:t>
      </w:r>
      <w:r>
        <w:t xml:space="preserve"> Sentencia </w:t>
      </w:r>
      <w:hyperlink w:anchor="SENTENCIA_2015_150" w:history="1">
        <w:r w:rsidRPr="00981775">
          <w:rPr>
            <w:rStyle w:val="TextoNormalCaracter"/>
          </w:rPr>
          <w:t>150/2015</w:t>
        </w:r>
      </w:hyperlink>
      <w:r>
        <w:t>, f. 3.</w:t>
      </w:r>
    </w:p>
    <w:p w:rsidR="00981775" w:rsidRDefault="00981775" w:rsidP="00981775">
      <w:pPr>
        <w:pStyle w:val="SangriaFrancesaArticulo"/>
      </w:pPr>
      <w:r w:rsidRPr="00981775">
        <w:rPr>
          <w:rStyle w:val="TextoNormalNegritaCaracter"/>
        </w:rPr>
        <w:t>Artículo 201, apartado 5.</w:t>
      </w:r>
      <w:r w:rsidRPr="00981775">
        <w:rPr>
          <w:rStyle w:val="TextoNormalCaracter"/>
        </w:rPr>
        <w:t>-</w:t>
      </w:r>
      <w:r>
        <w:t xml:space="preserve"> Sentencia </w:t>
      </w:r>
      <w:hyperlink w:anchor="SENTENCIA_2015_150" w:history="1">
        <w:r w:rsidRPr="00981775">
          <w:rPr>
            <w:rStyle w:val="TextoNormalCaracter"/>
          </w:rPr>
          <w:t>150/2015</w:t>
        </w:r>
      </w:hyperlink>
      <w:r>
        <w:t>, f. 1.</w:t>
      </w:r>
    </w:p>
    <w:p w:rsidR="00981775" w:rsidRDefault="00981775" w:rsidP="00981775">
      <w:pPr>
        <w:pStyle w:val="SangriaFrancesaArticulo"/>
      </w:pPr>
    </w:p>
    <w:p w:rsidR="00981775" w:rsidRDefault="00981775" w:rsidP="00981775">
      <w:pPr>
        <w:pStyle w:val="TextoNormalNegritaCursivandice"/>
      </w:pPr>
      <w:r>
        <w:t>Ley 61/2003, de 30 de diciembre. Presupuestos generales del Estado para 2004</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15" w:history="1">
        <w:r w:rsidRPr="00981775">
          <w:rPr>
            <w:rStyle w:val="TextoNormalCaracter"/>
          </w:rPr>
          <w:t>215/2015</w:t>
        </w:r>
      </w:hyperlink>
      <w:r>
        <w:t>, f. 2.</w:t>
      </w:r>
    </w:p>
    <w:p w:rsidR="00981775" w:rsidRDefault="00981775" w:rsidP="00981775">
      <w:pPr>
        <w:pStyle w:val="SangriaFrancesaArticulo"/>
      </w:pPr>
    </w:p>
    <w:p w:rsidR="00981775" w:rsidRDefault="00981775" w:rsidP="00981775">
      <w:pPr>
        <w:pStyle w:val="TextoNormalNegritaCursivandice"/>
      </w:pPr>
      <w:r>
        <w:t>Ley 62/2003, de 30 de diciembre. Medidas fiscales, administrativas y del orden social</w:t>
      </w:r>
    </w:p>
    <w:p w:rsidR="00981775" w:rsidRDefault="00981775" w:rsidP="00981775">
      <w:pPr>
        <w:pStyle w:val="SangriaFrancesaArticulo"/>
      </w:pPr>
      <w:r w:rsidRPr="00981775">
        <w:rPr>
          <w:rStyle w:val="TextoNormalNegritaCaracter"/>
        </w:rPr>
        <w:t>Artículo 46.12.</w:t>
      </w:r>
      <w:r w:rsidRPr="00981775">
        <w:rPr>
          <w:rStyle w:val="TextoNormalCaracter"/>
        </w:rPr>
        <w:t>-</w:t>
      </w:r>
      <w:r>
        <w:t xml:space="preserve"> Sentencia </w:t>
      </w:r>
      <w:hyperlink w:anchor="SENTENCIA_2015_272" w:history="1">
        <w:r w:rsidRPr="00981775">
          <w:rPr>
            <w:rStyle w:val="TextoNormalCaracter"/>
          </w:rPr>
          <w:t>272/2015</w:t>
        </w:r>
      </w:hyperlink>
      <w:r>
        <w:t>, f. 4.</w:t>
      </w:r>
    </w:p>
    <w:p w:rsidR="00981775" w:rsidRDefault="00981775" w:rsidP="00981775">
      <w:pPr>
        <w:pStyle w:val="SangriaFrancesaArticulo"/>
      </w:pPr>
    </w:p>
    <w:p w:rsidR="00981775" w:rsidRDefault="00981775" w:rsidP="00981775">
      <w:pPr>
        <w:pStyle w:val="TextoNormalNegritaCursivandice"/>
      </w:pPr>
      <w:r>
        <w:t>Ley 1/2004, de 21 de diciembre. Horarios comerciales</w:t>
      </w:r>
    </w:p>
    <w:p w:rsidR="00981775" w:rsidRDefault="00981775" w:rsidP="00981775">
      <w:pPr>
        <w:pStyle w:val="SangriaFrancesaArticulo"/>
      </w:pPr>
      <w:r w:rsidRPr="00981775">
        <w:rPr>
          <w:rStyle w:val="TextoNormalNegritaCaracter"/>
        </w:rPr>
        <w:t>Artículo 3</w:t>
      </w:r>
      <w:r>
        <w:t xml:space="preserve"> (redactado por el Real Decreto-ley 20/2012, de 13 de julio)</w:t>
      </w:r>
      <w:r w:rsidRPr="00981775">
        <w:rPr>
          <w:rStyle w:val="TextoNormalNegritaCaracter"/>
        </w:rPr>
        <w:t>.</w:t>
      </w:r>
      <w:r w:rsidRPr="00981775">
        <w:rPr>
          <w:rStyle w:val="TextoNormalCaracter"/>
        </w:rPr>
        <w:t>-</w:t>
      </w:r>
      <w:r>
        <w:t xml:space="preserve"> Sentencia </w:t>
      </w:r>
      <w:hyperlink w:anchor="SENTENCIA_2015_156" w:history="1">
        <w:r w:rsidRPr="00981775">
          <w:rPr>
            <w:rStyle w:val="TextoNormalCaracter"/>
          </w:rPr>
          <w:t>156/2015</w:t>
        </w:r>
      </w:hyperlink>
      <w:r>
        <w:t>, ff. 1, 6.</w:t>
      </w:r>
    </w:p>
    <w:p w:rsidR="00981775" w:rsidRDefault="00981775" w:rsidP="00981775">
      <w:pPr>
        <w:pStyle w:val="SangriaFrancesaArticulo"/>
      </w:pPr>
      <w:r w:rsidRPr="00981775">
        <w:rPr>
          <w:rStyle w:val="TextoNormalNegritaCaracter"/>
        </w:rPr>
        <w:t>Artículo 4</w:t>
      </w:r>
      <w:r>
        <w:t xml:space="preserve"> (redactado por el Real Decreto-ley 20/2012, de 13 de julio)</w:t>
      </w:r>
      <w:r w:rsidRPr="00981775">
        <w:rPr>
          <w:rStyle w:val="TextoNormalNegritaCaracter"/>
        </w:rPr>
        <w:t>.</w:t>
      </w:r>
      <w:r w:rsidRPr="00981775">
        <w:rPr>
          <w:rStyle w:val="TextoNormalCaracter"/>
        </w:rPr>
        <w:t>-</w:t>
      </w:r>
      <w:r>
        <w:t xml:space="preserve"> Sentencia </w:t>
      </w:r>
      <w:hyperlink w:anchor="SENTENCIA_2015_156" w:history="1">
        <w:r w:rsidRPr="00981775">
          <w:rPr>
            <w:rStyle w:val="TextoNormalCaracter"/>
          </w:rPr>
          <w:t>156/2015</w:t>
        </w:r>
      </w:hyperlink>
      <w:r>
        <w:t>, ff. 1, 2, 6, 10.</w:t>
      </w:r>
    </w:p>
    <w:p w:rsidR="00981775" w:rsidRDefault="00981775" w:rsidP="00981775">
      <w:pPr>
        <w:pStyle w:val="SangriaFrancesaArticulo"/>
      </w:pPr>
      <w:r w:rsidRPr="00981775">
        <w:rPr>
          <w:rStyle w:val="TextoNormalNegritaCaracter"/>
        </w:rPr>
        <w:t>Artículo 4.1</w:t>
      </w:r>
      <w:r>
        <w:t xml:space="preserve"> (redactado por el Real Decreto-ley 20/2012, de 13 de julio)</w:t>
      </w:r>
      <w:r w:rsidRPr="00981775">
        <w:rPr>
          <w:rStyle w:val="TextoNormalNegritaCaracter"/>
        </w:rPr>
        <w:t>.</w:t>
      </w:r>
      <w:r w:rsidRPr="00981775">
        <w:rPr>
          <w:rStyle w:val="TextoNormalCaracter"/>
        </w:rPr>
        <w:t>-</w:t>
      </w:r>
      <w:r>
        <w:t xml:space="preserve"> Sentencia </w:t>
      </w:r>
      <w:hyperlink w:anchor="SENTENCIA_2015_156" w:history="1">
        <w:r w:rsidRPr="00981775">
          <w:rPr>
            <w:rStyle w:val="TextoNormalCaracter"/>
          </w:rPr>
          <w:t>156/2015</w:t>
        </w:r>
      </w:hyperlink>
      <w:r>
        <w:t>, f. 6.</w:t>
      </w:r>
    </w:p>
    <w:p w:rsidR="00981775" w:rsidRDefault="00981775" w:rsidP="00981775">
      <w:pPr>
        <w:pStyle w:val="SangriaFrancesaArticulo"/>
      </w:pPr>
      <w:r w:rsidRPr="00981775">
        <w:rPr>
          <w:rStyle w:val="TextoNormalNegritaCaracter"/>
        </w:rPr>
        <w:t>Artículo 4.2</w:t>
      </w:r>
      <w:r>
        <w:t xml:space="preserve"> (redactado por el Real Decreto-ley 20/2012, de 13 de julio)</w:t>
      </w:r>
      <w:r w:rsidRPr="00981775">
        <w:rPr>
          <w:rStyle w:val="TextoNormalNegritaCaracter"/>
        </w:rPr>
        <w:t>.</w:t>
      </w:r>
      <w:r w:rsidRPr="00981775">
        <w:rPr>
          <w:rStyle w:val="TextoNormalCaracter"/>
        </w:rPr>
        <w:t>-</w:t>
      </w:r>
      <w:r>
        <w:t xml:space="preserve"> Sentencia </w:t>
      </w:r>
      <w:hyperlink w:anchor="SENTENCIA_2015_156" w:history="1">
        <w:r w:rsidRPr="00981775">
          <w:rPr>
            <w:rStyle w:val="TextoNormalCaracter"/>
          </w:rPr>
          <w:t>156/2015</w:t>
        </w:r>
      </w:hyperlink>
      <w:r>
        <w:t>, ff. 6, 10.</w:t>
      </w:r>
    </w:p>
    <w:p w:rsidR="00981775" w:rsidRDefault="00981775" w:rsidP="00981775">
      <w:pPr>
        <w:pStyle w:val="SangriaFrancesaArticulo"/>
      </w:pPr>
      <w:r w:rsidRPr="00981775">
        <w:rPr>
          <w:rStyle w:val="TextoNormalNegritaCaracter"/>
        </w:rPr>
        <w:t>Artículo 4.4</w:t>
      </w:r>
      <w:r>
        <w:t xml:space="preserve"> (redactado por el Real Decreto-ley 20/2012, de 13 de julio)</w:t>
      </w:r>
      <w:r w:rsidRPr="00981775">
        <w:rPr>
          <w:rStyle w:val="TextoNormalNegritaCaracter"/>
        </w:rPr>
        <w:t>.</w:t>
      </w:r>
      <w:r w:rsidRPr="00981775">
        <w:rPr>
          <w:rStyle w:val="TextoNormalCaracter"/>
        </w:rPr>
        <w:t>-</w:t>
      </w:r>
      <w:r>
        <w:t xml:space="preserve"> Sentencia </w:t>
      </w:r>
      <w:hyperlink w:anchor="SENTENCIA_2015_156" w:history="1">
        <w:r w:rsidRPr="00981775">
          <w:rPr>
            <w:rStyle w:val="TextoNormalCaracter"/>
          </w:rPr>
          <w:t>156/2015</w:t>
        </w:r>
      </w:hyperlink>
      <w:r>
        <w:t>, f. 6.</w:t>
      </w:r>
    </w:p>
    <w:p w:rsidR="00981775" w:rsidRDefault="00981775" w:rsidP="00981775">
      <w:pPr>
        <w:pStyle w:val="SangriaFrancesaArticulo"/>
      </w:pPr>
      <w:r w:rsidRPr="00981775">
        <w:rPr>
          <w:rStyle w:val="TextoNormalNegritaCaracter"/>
        </w:rPr>
        <w:t>Artículo 4.5</w:t>
      </w:r>
      <w:r>
        <w:t xml:space="preserve"> (redactado por el Real Decreto-ley 20/2012, de 13 de julio)</w:t>
      </w:r>
      <w:r w:rsidRPr="00981775">
        <w:rPr>
          <w:rStyle w:val="TextoNormalNegritaCaracter"/>
        </w:rPr>
        <w:t>.</w:t>
      </w:r>
      <w:r w:rsidRPr="00981775">
        <w:rPr>
          <w:rStyle w:val="TextoNormalCaracter"/>
        </w:rPr>
        <w:t>-</w:t>
      </w:r>
      <w:r>
        <w:t xml:space="preserve"> Sentencia </w:t>
      </w:r>
      <w:hyperlink w:anchor="SENTENCIA_2015_156" w:history="1">
        <w:r w:rsidRPr="00981775">
          <w:rPr>
            <w:rStyle w:val="TextoNormalCaracter"/>
          </w:rPr>
          <w:t>156/2015</w:t>
        </w:r>
      </w:hyperlink>
      <w:r>
        <w:t>, ff. 9, 10.</w:t>
      </w:r>
    </w:p>
    <w:p w:rsidR="00981775" w:rsidRDefault="00981775" w:rsidP="00981775">
      <w:pPr>
        <w:pStyle w:val="SangriaFrancesaArticulo"/>
      </w:pPr>
      <w:r w:rsidRPr="00981775">
        <w:rPr>
          <w:rStyle w:val="TextoNormalNegritaCaracter"/>
        </w:rPr>
        <w:t>Artículo 5</w:t>
      </w:r>
      <w:r>
        <w:t xml:space="preserve"> (redactado por el Real Decreto-ley 20/2012, de 13 de julio)</w:t>
      </w:r>
      <w:r w:rsidRPr="00981775">
        <w:rPr>
          <w:rStyle w:val="TextoNormalNegritaCaracter"/>
        </w:rPr>
        <w:t>.</w:t>
      </w:r>
      <w:r w:rsidRPr="00981775">
        <w:rPr>
          <w:rStyle w:val="TextoNormalCaracter"/>
        </w:rPr>
        <w:t>-</w:t>
      </w:r>
      <w:r>
        <w:t xml:space="preserve"> Sentencia </w:t>
      </w:r>
      <w:hyperlink w:anchor="SENTENCIA_2015_156" w:history="1">
        <w:r w:rsidRPr="00981775">
          <w:rPr>
            <w:rStyle w:val="TextoNormalCaracter"/>
          </w:rPr>
          <w:t>156/2015</w:t>
        </w:r>
      </w:hyperlink>
      <w:r>
        <w:t>, ff. 1, 2, 6, 10.</w:t>
      </w:r>
    </w:p>
    <w:p w:rsidR="00981775" w:rsidRDefault="00981775" w:rsidP="00981775">
      <w:pPr>
        <w:pStyle w:val="SangriaFrancesaArticulo"/>
      </w:pPr>
      <w:r w:rsidRPr="00981775">
        <w:rPr>
          <w:rStyle w:val="TextoNormalNegritaCaracter"/>
        </w:rPr>
        <w:t>Artículo 5.1</w:t>
      </w:r>
      <w:r>
        <w:t xml:space="preserve"> (redactado por el Real Decreto-ley 20/2012, de 13 de julio)</w:t>
      </w:r>
      <w:r w:rsidRPr="00981775">
        <w:rPr>
          <w:rStyle w:val="TextoNormalNegritaCaracter"/>
        </w:rPr>
        <w:t>.</w:t>
      </w:r>
      <w:r w:rsidRPr="00981775">
        <w:rPr>
          <w:rStyle w:val="TextoNormalCaracter"/>
        </w:rPr>
        <w:t>-</w:t>
      </w:r>
      <w:r>
        <w:t xml:space="preserve"> Sentencia </w:t>
      </w:r>
      <w:hyperlink w:anchor="SENTENCIA_2015_156" w:history="1">
        <w:r w:rsidRPr="00981775">
          <w:rPr>
            <w:rStyle w:val="TextoNormalCaracter"/>
          </w:rPr>
          <w:t>156/2015</w:t>
        </w:r>
      </w:hyperlink>
      <w:r>
        <w:t>, f. 9.</w:t>
      </w:r>
    </w:p>
    <w:p w:rsidR="00981775" w:rsidRDefault="00981775" w:rsidP="00981775">
      <w:pPr>
        <w:pStyle w:val="SangriaFrancesaArticulo"/>
      </w:pPr>
      <w:r w:rsidRPr="00981775">
        <w:rPr>
          <w:rStyle w:val="TextoNormalNegritaCaracter"/>
        </w:rPr>
        <w:t>Artículo 5.4</w:t>
      </w:r>
      <w:r>
        <w:t xml:space="preserve"> (redactado por el Real Decreto-ley 20/2012, de 13 de julio)</w:t>
      </w:r>
      <w:r w:rsidRPr="00981775">
        <w:rPr>
          <w:rStyle w:val="TextoNormalNegritaCaracter"/>
        </w:rPr>
        <w:t>.</w:t>
      </w:r>
      <w:r w:rsidRPr="00981775">
        <w:rPr>
          <w:rStyle w:val="TextoNormalCaracter"/>
        </w:rPr>
        <w:t>-</w:t>
      </w:r>
      <w:r>
        <w:t xml:space="preserve"> Sentencia </w:t>
      </w:r>
      <w:hyperlink w:anchor="SENTENCIA_2015_156" w:history="1">
        <w:r w:rsidRPr="00981775">
          <w:rPr>
            <w:rStyle w:val="TextoNormalCaracter"/>
          </w:rPr>
          <w:t>156/2015</w:t>
        </w:r>
      </w:hyperlink>
      <w:r>
        <w:t>, ff. 2, 9.</w:t>
      </w:r>
    </w:p>
    <w:p w:rsidR="00981775" w:rsidRDefault="00981775" w:rsidP="00981775">
      <w:pPr>
        <w:pStyle w:val="SangriaFrancesaArticulo"/>
      </w:pPr>
      <w:r w:rsidRPr="00981775">
        <w:rPr>
          <w:rStyle w:val="TextoNormalNegritaCaracter"/>
        </w:rPr>
        <w:t>Artículo 5.4</w:t>
      </w:r>
      <w:r>
        <w:t xml:space="preserve"> (redactado por el Real Decreto-ley 8/2014, de 4 de julio)</w:t>
      </w:r>
      <w:r w:rsidRPr="00981775">
        <w:rPr>
          <w:rStyle w:val="TextoNormalNegritaCaracter"/>
        </w:rPr>
        <w:t>.</w:t>
      </w:r>
      <w:r w:rsidRPr="00981775">
        <w:rPr>
          <w:rStyle w:val="TextoNormalCaracter"/>
        </w:rPr>
        <w:t>-</w:t>
      </w:r>
      <w:r>
        <w:t xml:space="preserve"> Sentencias </w:t>
      </w:r>
      <w:hyperlink w:anchor="SENTENCIA_2015_156" w:history="1">
        <w:r w:rsidRPr="00981775">
          <w:rPr>
            <w:rStyle w:val="TextoNormalCaracter"/>
          </w:rPr>
          <w:t>156/2015</w:t>
        </w:r>
      </w:hyperlink>
      <w:r>
        <w:t xml:space="preserve">, ff. 2, 10; </w:t>
      </w:r>
      <w:hyperlink w:anchor="SENTENCIA_2015_199" w:history="1">
        <w:r w:rsidRPr="00981775">
          <w:rPr>
            <w:rStyle w:val="TextoNormalCaracter"/>
          </w:rPr>
          <w:t>199/2015</w:t>
        </w:r>
      </w:hyperlink>
      <w:r>
        <w:t>, f. 6.</w:t>
      </w:r>
    </w:p>
    <w:p w:rsidR="00981775" w:rsidRDefault="00981775" w:rsidP="00981775">
      <w:pPr>
        <w:pStyle w:val="SangriaFrancesaArticulo"/>
      </w:pPr>
      <w:r w:rsidRPr="00981775">
        <w:rPr>
          <w:rStyle w:val="TextoNormalNegritaCaracter"/>
        </w:rPr>
        <w:t>Artículo 5.4</w:t>
      </w:r>
      <w:r>
        <w:t xml:space="preserve"> (redactado por la Ley 18/2014, de 15 de octubre)</w:t>
      </w:r>
      <w:r w:rsidRPr="00981775">
        <w:rPr>
          <w:rStyle w:val="TextoNormalNegritaCaracter"/>
        </w:rPr>
        <w:t>.</w:t>
      </w:r>
      <w:r w:rsidRPr="00981775">
        <w:rPr>
          <w:rStyle w:val="TextoNormalCaracter"/>
        </w:rPr>
        <w:t>-</w:t>
      </w:r>
      <w:r>
        <w:t xml:space="preserve"> Sentencia </w:t>
      </w:r>
      <w:hyperlink w:anchor="SENTENCIA_2015_156" w:history="1">
        <w:r w:rsidRPr="00981775">
          <w:rPr>
            <w:rStyle w:val="TextoNormalCaracter"/>
          </w:rPr>
          <w:t>156/2015</w:t>
        </w:r>
      </w:hyperlink>
      <w:r>
        <w:t>, f. 2.</w:t>
      </w:r>
    </w:p>
    <w:p w:rsidR="00981775" w:rsidRDefault="00981775" w:rsidP="00981775">
      <w:pPr>
        <w:pStyle w:val="SangriaFrancesaArticulo"/>
      </w:pPr>
      <w:r w:rsidRPr="00981775">
        <w:rPr>
          <w:rStyle w:val="TextoNormalNegritaCaracter"/>
        </w:rPr>
        <w:t>Artículo 5.5</w:t>
      </w:r>
      <w:r>
        <w:t xml:space="preserve"> (redactado por el Real Decreto-ley 20/2012, de 13 de julio)</w:t>
      </w:r>
      <w:r w:rsidRPr="00981775">
        <w:rPr>
          <w:rStyle w:val="TextoNormalNegritaCaracter"/>
        </w:rPr>
        <w:t>.</w:t>
      </w:r>
      <w:r w:rsidRPr="00981775">
        <w:rPr>
          <w:rStyle w:val="TextoNormalCaracter"/>
        </w:rPr>
        <w:t>-</w:t>
      </w:r>
      <w:r>
        <w:t xml:space="preserve"> Sentencia </w:t>
      </w:r>
      <w:hyperlink w:anchor="SENTENCIA_2015_156" w:history="1">
        <w:r w:rsidRPr="00981775">
          <w:rPr>
            <w:rStyle w:val="TextoNormalCaracter"/>
          </w:rPr>
          <w:t>156/2015</w:t>
        </w:r>
      </w:hyperlink>
      <w:r>
        <w:t>, ff. 2, 9, 10.</w:t>
      </w:r>
    </w:p>
    <w:p w:rsidR="00981775" w:rsidRDefault="00981775" w:rsidP="00981775">
      <w:pPr>
        <w:pStyle w:val="SangriaFrancesaArticulo"/>
      </w:pPr>
      <w:r w:rsidRPr="00981775">
        <w:rPr>
          <w:rStyle w:val="TextoNormalNegritaCaracter"/>
        </w:rPr>
        <w:t>Artículo 5.5</w:t>
      </w:r>
      <w:r>
        <w:t xml:space="preserve"> (redactado por el Real Decreto-ley 8/2014, de 4 de julio)</w:t>
      </w:r>
      <w:r w:rsidRPr="00981775">
        <w:rPr>
          <w:rStyle w:val="TextoNormalNegritaCaracter"/>
        </w:rPr>
        <w:t>.</w:t>
      </w:r>
      <w:r w:rsidRPr="00981775">
        <w:rPr>
          <w:rStyle w:val="TextoNormalCaracter"/>
        </w:rPr>
        <w:t>-</w:t>
      </w:r>
      <w:r>
        <w:t xml:space="preserve"> Sentencias </w:t>
      </w:r>
      <w:hyperlink w:anchor="SENTENCIA_2015_156" w:history="1">
        <w:r w:rsidRPr="00981775">
          <w:rPr>
            <w:rStyle w:val="TextoNormalCaracter"/>
          </w:rPr>
          <w:t>156/2015</w:t>
        </w:r>
      </w:hyperlink>
      <w:r>
        <w:t xml:space="preserve">, f. 2; </w:t>
      </w:r>
      <w:hyperlink w:anchor="SENTENCIA_2015_199" w:history="1">
        <w:r w:rsidRPr="00981775">
          <w:rPr>
            <w:rStyle w:val="TextoNormalCaracter"/>
          </w:rPr>
          <w:t>199/2015</w:t>
        </w:r>
      </w:hyperlink>
      <w:r>
        <w:t>, f. 6.</w:t>
      </w:r>
    </w:p>
    <w:p w:rsidR="00981775" w:rsidRDefault="00981775" w:rsidP="00981775">
      <w:pPr>
        <w:pStyle w:val="SangriaFrancesaArticulo"/>
      </w:pPr>
      <w:r w:rsidRPr="00981775">
        <w:rPr>
          <w:rStyle w:val="TextoNormalNegritaCaracter"/>
        </w:rPr>
        <w:t>Artículo 5.5</w:t>
      </w:r>
      <w:r>
        <w:t xml:space="preserve"> (redactado por la Ley 18/2014, de 15 de octubre)</w:t>
      </w:r>
      <w:r w:rsidRPr="00981775">
        <w:rPr>
          <w:rStyle w:val="TextoNormalNegritaCaracter"/>
        </w:rPr>
        <w:t>.</w:t>
      </w:r>
      <w:r w:rsidRPr="00981775">
        <w:rPr>
          <w:rStyle w:val="TextoNormalCaracter"/>
        </w:rPr>
        <w:t>-</w:t>
      </w:r>
      <w:r>
        <w:t xml:space="preserve"> Sentencia </w:t>
      </w:r>
      <w:hyperlink w:anchor="SENTENCIA_2015_156" w:history="1">
        <w:r w:rsidRPr="00981775">
          <w:rPr>
            <w:rStyle w:val="TextoNormalCaracter"/>
          </w:rPr>
          <w:t>156/2015</w:t>
        </w:r>
      </w:hyperlink>
      <w:r>
        <w:t>, f. 2.</w:t>
      </w:r>
    </w:p>
    <w:p w:rsidR="00981775" w:rsidRDefault="00981775" w:rsidP="00981775">
      <w:pPr>
        <w:pStyle w:val="SangriaFrancesaArticulo"/>
      </w:pPr>
      <w:r w:rsidRPr="00981775">
        <w:rPr>
          <w:rStyle w:val="TextoNormalNegritaCaracter"/>
        </w:rPr>
        <w:t>Disposición adicional primera</w:t>
      </w:r>
      <w:r>
        <w:t xml:space="preserve"> (redactada por el Real Decreto-ley 20/2012, de 13 de julio)</w:t>
      </w:r>
      <w:r w:rsidRPr="00981775">
        <w:rPr>
          <w:rStyle w:val="TextoNormalNegritaCaracter"/>
        </w:rPr>
        <w:t>.</w:t>
      </w:r>
      <w:r w:rsidRPr="00981775">
        <w:rPr>
          <w:rStyle w:val="TextoNormalCaracter"/>
        </w:rPr>
        <w:t>-</w:t>
      </w:r>
      <w:r>
        <w:t xml:space="preserve"> Sentencia </w:t>
      </w:r>
      <w:hyperlink w:anchor="SENTENCIA_2015_156" w:history="1">
        <w:r w:rsidRPr="00981775">
          <w:rPr>
            <w:rStyle w:val="TextoNormalCaracter"/>
          </w:rPr>
          <w:t>156/2015</w:t>
        </w:r>
      </w:hyperlink>
      <w:r>
        <w:t>, ff. 1, 6.</w:t>
      </w:r>
    </w:p>
    <w:p w:rsidR="00981775" w:rsidRDefault="00981775" w:rsidP="00981775">
      <w:pPr>
        <w:pStyle w:val="SangriaFrancesaArticulo"/>
      </w:pPr>
    </w:p>
    <w:p w:rsidR="00981775" w:rsidRDefault="00981775" w:rsidP="00981775">
      <w:pPr>
        <w:pStyle w:val="TextoNormalNegritaCursivandice"/>
      </w:pPr>
      <w:r>
        <w:t>Ley 10/2006, de 28 de abril. Modificación de la Ley 43/2003, de 21 de noviembre. Montes</w:t>
      </w:r>
    </w:p>
    <w:p w:rsidR="00981775" w:rsidRDefault="00981775" w:rsidP="00981775">
      <w:pPr>
        <w:pStyle w:val="SangriaFrancesaArticulo"/>
      </w:pPr>
      <w:r w:rsidRPr="00981775">
        <w:rPr>
          <w:rStyle w:val="TextoNormalNegritaCaracter"/>
        </w:rPr>
        <w:t>Artículo único, apartado 34.</w:t>
      </w:r>
      <w:r w:rsidRPr="00981775">
        <w:rPr>
          <w:rStyle w:val="TextoNormalCaracter"/>
        </w:rPr>
        <w:t>-</w:t>
      </w:r>
      <w:r>
        <w:t xml:space="preserve"> Sentencia </w:t>
      </w:r>
      <w:hyperlink w:anchor="SENTENCIA_2015_214" w:history="1">
        <w:r w:rsidRPr="00981775">
          <w:rPr>
            <w:rStyle w:val="TextoNormalCaracter"/>
          </w:rPr>
          <w:t>214/2015</w:t>
        </w:r>
      </w:hyperlink>
      <w:r>
        <w:t>, ff. 1, 2.</w:t>
      </w:r>
    </w:p>
    <w:p w:rsidR="00981775" w:rsidRDefault="00981775" w:rsidP="00981775">
      <w:pPr>
        <w:pStyle w:val="SangriaFrancesaArticulo"/>
      </w:pPr>
    </w:p>
    <w:p w:rsidR="00981775" w:rsidRDefault="00981775" w:rsidP="00981775">
      <w:pPr>
        <w:pStyle w:val="TextoNormalNegritaCursivandice"/>
      </w:pPr>
      <w:r>
        <w:t>Ley 7/2007, de 12 de abril. Estatuto básico del empleado público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Sentencias </w:t>
      </w:r>
      <w:hyperlink w:anchor="SENTENCIA_2015_157" w:history="1">
        <w:r w:rsidRPr="00981775">
          <w:rPr>
            <w:rStyle w:val="TextoNormalCaracter"/>
          </w:rPr>
          <w:t>157/2015</w:t>
        </w:r>
      </w:hyperlink>
      <w:r>
        <w:t xml:space="preserve">, f. 1; </w:t>
      </w:r>
      <w:hyperlink w:anchor="SENTENCIA_2015_236" w:history="1">
        <w:r w:rsidRPr="00981775">
          <w:rPr>
            <w:rStyle w:val="TextoNormalCaracter"/>
          </w:rPr>
          <w:t>236/2015</w:t>
        </w:r>
      </w:hyperlink>
      <w:r>
        <w:t xml:space="preserve">, ff. 2, 5; </w:t>
      </w:r>
      <w:hyperlink w:anchor="SENTENCIA_2015_238" w:history="1">
        <w:r w:rsidRPr="00981775">
          <w:rPr>
            <w:rStyle w:val="TextoNormalCaracter"/>
          </w:rPr>
          <w:t>238/2015</w:t>
        </w:r>
      </w:hyperlink>
      <w:r>
        <w:t xml:space="preserve">, ff. 2, 3; </w:t>
      </w:r>
      <w:hyperlink w:anchor="SENTENCIA_2015_243" w:history="1">
        <w:r w:rsidRPr="00981775">
          <w:rPr>
            <w:rStyle w:val="TextoNormalCaracter"/>
          </w:rPr>
          <w:t>243/2015</w:t>
        </w:r>
      </w:hyperlink>
      <w:r>
        <w:t>, f. 2.</w:t>
      </w:r>
    </w:p>
    <w:p w:rsidR="00981775" w:rsidRDefault="00981775" w:rsidP="00981775">
      <w:pPr>
        <w:pStyle w:val="SangriaIzquierdaArticulo"/>
      </w:pPr>
      <w:r>
        <w:t xml:space="preserve">Autos </w:t>
      </w:r>
      <w:hyperlink w:anchor="AUTO_2015_228" w:history="1">
        <w:r w:rsidRPr="00981775">
          <w:rPr>
            <w:rStyle w:val="TextoNormalCaracter"/>
          </w:rPr>
          <w:t>228/2015</w:t>
        </w:r>
      </w:hyperlink>
      <w:r>
        <w:t xml:space="preserve">, f. 4; </w:t>
      </w:r>
      <w:hyperlink w:anchor="AUTO_2015_229" w:history="1">
        <w:r w:rsidRPr="00981775">
          <w:rPr>
            <w:rStyle w:val="TextoNormalCaracter"/>
          </w:rPr>
          <w:t>229/2015</w:t>
        </w:r>
      </w:hyperlink>
      <w:r>
        <w:t>, f. 4.</w:t>
      </w:r>
    </w:p>
    <w:p w:rsidR="00981775" w:rsidRDefault="00981775" w:rsidP="00981775">
      <w:pPr>
        <w:pStyle w:val="SangriaFrancesaArticulo"/>
      </w:pPr>
      <w:r w:rsidRPr="00981775">
        <w:rPr>
          <w:rStyle w:val="TextoNormalNegritaCaracter"/>
        </w:rPr>
        <w:t>Artículo 3.2.</w:t>
      </w:r>
      <w:r w:rsidRPr="00981775">
        <w:rPr>
          <w:rStyle w:val="TextoNormalCaracter"/>
        </w:rPr>
        <w:t>-</w:t>
      </w:r>
      <w:r>
        <w:t xml:space="preserve"> Sentencia </w:t>
      </w:r>
      <w:hyperlink w:anchor="SENTENCIA_2015_200" w:history="1">
        <w:r w:rsidRPr="00981775">
          <w:rPr>
            <w:rStyle w:val="TextoNormalCaracter"/>
          </w:rPr>
          <w:t>200/2015</w:t>
        </w:r>
      </w:hyperlink>
      <w:r>
        <w:t>, f. 4.</w:t>
      </w:r>
    </w:p>
    <w:p w:rsidR="00981775" w:rsidRDefault="00981775" w:rsidP="00981775">
      <w:pPr>
        <w:pStyle w:val="SangriaFrancesaArticulo"/>
      </w:pPr>
      <w:r w:rsidRPr="00981775">
        <w:rPr>
          <w:rStyle w:val="TextoNormalNegritaCaracter"/>
        </w:rPr>
        <w:t>Artículo 9.2.</w:t>
      </w:r>
      <w:r w:rsidRPr="00981775">
        <w:rPr>
          <w:rStyle w:val="TextoNormalCaracter"/>
        </w:rPr>
        <w:t>-</w:t>
      </w:r>
      <w:r>
        <w:t xml:space="preserve"> Sentencias </w:t>
      </w:r>
      <w:hyperlink w:anchor="SENTENCIA_2015_230" w:history="1">
        <w:r w:rsidRPr="00981775">
          <w:rPr>
            <w:rStyle w:val="TextoNormalCaracter"/>
          </w:rPr>
          <w:t>230/2015</w:t>
        </w:r>
      </w:hyperlink>
      <w:r>
        <w:t xml:space="preserve">, ff. 1, 3; </w:t>
      </w:r>
      <w:hyperlink w:anchor="SENTENCIA_2015_236" w:history="1">
        <w:r w:rsidRPr="00981775">
          <w:rPr>
            <w:rStyle w:val="TextoNormalCaracter"/>
          </w:rPr>
          <w:t>236/2015</w:t>
        </w:r>
      </w:hyperlink>
      <w:r>
        <w:t>, ff. 5, 10.</w:t>
      </w:r>
    </w:p>
    <w:p w:rsidR="00981775" w:rsidRDefault="00981775" w:rsidP="00981775">
      <w:pPr>
        <w:pStyle w:val="SangriaFrancesaArticulo"/>
      </w:pPr>
      <w:r w:rsidRPr="00981775">
        <w:rPr>
          <w:rStyle w:val="TextoNormalNegritaCaracter"/>
        </w:rPr>
        <w:t>Artículo 14 c).</w:t>
      </w:r>
      <w:r w:rsidRPr="00981775">
        <w:rPr>
          <w:rStyle w:val="TextoNormalCaracter"/>
        </w:rPr>
        <w:t>-</w:t>
      </w:r>
      <w:r>
        <w:t xml:space="preserve"> Sentencia </w:t>
      </w:r>
      <w:hyperlink w:anchor="SENTENCIA_2015_200" w:history="1">
        <w:r w:rsidRPr="00981775">
          <w:rPr>
            <w:rStyle w:val="TextoNormalCaracter"/>
          </w:rPr>
          <w:t>200/2015</w:t>
        </w:r>
      </w:hyperlink>
      <w:r>
        <w:t>, f. 4.</w:t>
      </w:r>
    </w:p>
    <w:p w:rsidR="00981775" w:rsidRDefault="00981775" w:rsidP="00981775">
      <w:pPr>
        <w:pStyle w:val="SangriaFrancesaArticulo"/>
      </w:pPr>
      <w:r w:rsidRPr="00981775">
        <w:rPr>
          <w:rStyle w:val="TextoNormalNegritaCaracter"/>
        </w:rPr>
        <w:t>Artículo 18.2.</w:t>
      </w:r>
      <w:r w:rsidRPr="00981775">
        <w:rPr>
          <w:rStyle w:val="TextoNormalCaracter"/>
        </w:rPr>
        <w:t>-</w:t>
      </w:r>
      <w:r>
        <w:t xml:space="preserve"> Sentencia </w:t>
      </w:r>
      <w:hyperlink w:anchor="SENTENCIA_2015_200" w:history="1">
        <w:r w:rsidRPr="00981775">
          <w:rPr>
            <w:rStyle w:val="TextoNormalCaracter"/>
          </w:rPr>
          <w:t>200/2015</w:t>
        </w:r>
      </w:hyperlink>
      <w:r>
        <w:t>, f. 4.</w:t>
      </w:r>
    </w:p>
    <w:p w:rsidR="00981775" w:rsidRDefault="00981775" w:rsidP="00981775">
      <w:pPr>
        <w:pStyle w:val="SangriaFrancesaArticulo"/>
      </w:pPr>
      <w:r w:rsidRPr="00981775">
        <w:rPr>
          <w:rStyle w:val="TextoNormalNegritaCaracter"/>
        </w:rPr>
        <w:t>Artículo 29.</w:t>
      </w:r>
      <w:r w:rsidRPr="00981775">
        <w:rPr>
          <w:rStyle w:val="TextoNormalCaracter"/>
        </w:rPr>
        <w:t>-</w:t>
      </w:r>
      <w:r>
        <w:t xml:space="preserve"> Sentencia </w:t>
      </w:r>
      <w:hyperlink w:anchor="SENTENCIA_2015_215" w:history="1">
        <w:r w:rsidRPr="00981775">
          <w:rPr>
            <w:rStyle w:val="TextoNormalCaracter"/>
          </w:rPr>
          <w:t>215/2015</w:t>
        </w:r>
      </w:hyperlink>
      <w:r>
        <w:t>, ff. 2, 7.</w:t>
      </w:r>
    </w:p>
    <w:p w:rsidR="00981775" w:rsidRDefault="00981775" w:rsidP="00981775">
      <w:pPr>
        <w:pStyle w:val="SangriaFrancesaArticulo"/>
      </w:pPr>
      <w:r w:rsidRPr="00981775">
        <w:rPr>
          <w:rStyle w:val="TextoNormalNegritaCaracter"/>
        </w:rPr>
        <w:t>Artículo 36.3.</w:t>
      </w:r>
      <w:r w:rsidRPr="00981775">
        <w:rPr>
          <w:rStyle w:val="TextoNormalCaracter"/>
        </w:rPr>
        <w:t>-</w:t>
      </w:r>
      <w:r>
        <w:t xml:space="preserve"> Sentencias </w:t>
      </w:r>
      <w:hyperlink w:anchor="SENTENCIA_2015_190" w:history="1">
        <w:r w:rsidRPr="00981775">
          <w:rPr>
            <w:rStyle w:val="TextoNormalCaracter"/>
          </w:rPr>
          <w:t>190/2015</w:t>
        </w:r>
      </w:hyperlink>
      <w:r>
        <w:t xml:space="preserve">, f. 3; </w:t>
      </w:r>
      <w:hyperlink w:anchor="SENTENCIA_2015_227" w:history="1">
        <w:r w:rsidRPr="00981775">
          <w:rPr>
            <w:rStyle w:val="TextoNormalCaracter"/>
          </w:rPr>
          <w:t>227/2015</w:t>
        </w:r>
      </w:hyperlink>
      <w:r>
        <w:t>, f. 3.</w:t>
      </w:r>
    </w:p>
    <w:p w:rsidR="00981775" w:rsidRDefault="00981775" w:rsidP="00981775">
      <w:pPr>
        <w:pStyle w:val="SangriaFrancesaArticulo"/>
      </w:pPr>
      <w:r w:rsidRPr="00981775">
        <w:rPr>
          <w:rStyle w:val="TextoNormalNegritaCaracter"/>
        </w:rPr>
        <w:t>Artículo 37.1.</w:t>
      </w:r>
      <w:r w:rsidRPr="00981775">
        <w:rPr>
          <w:rStyle w:val="TextoNormalCaracter"/>
        </w:rPr>
        <w:t>-</w:t>
      </w:r>
      <w:r>
        <w:t xml:space="preserve"> Sentencia </w:t>
      </w:r>
      <w:hyperlink w:anchor="SENTENCIA_2015_230" w:history="1">
        <w:r w:rsidRPr="00981775">
          <w:rPr>
            <w:rStyle w:val="TextoNormalCaracter"/>
          </w:rPr>
          <w:t>230/2015</w:t>
        </w:r>
      </w:hyperlink>
      <w:r>
        <w:t>, ff. 1, 3.</w:t>
      </w:r>
    </w:p>
    <w:p w:rsidR="00981775" w:rsidRDefault="00981775" w:rsidP="00981775">
      <w:pPr>
        <w:pStyle w:val="SangriaFrancesaArticulo"/>
      </w:pPr>
      <w:r w:rsidRPr="00981775">
        <w:rPr>
          <w:rStyle w:val="TextoNormalNegritaCaracter"/>
        </w:rPr>
        <w:t>Artículo 37.2.</w:t>
      </w:r>
      <w:r w:rsidRPr="00981775">
        <w:rPr>
          <w:rStyle w:val="TextoNormalCaracter"/>
        </w:rPr>
        <w:t>-</w:t>
      </w:r>
      <w:r>
        <w:t xml:space="preserve"> Sentencia </w:t>
      </w:r>
      <w:hyperlink w:anchor="SENTENCIA_2015_230" w:history="1">
        <w:r w:rsidRPr="00981775">
          <w:rPr>
            <w:rStyle w:val="TextoNormalCaracter"/>
          </w:rPr>
          <w:t>230/2015</w:t>
        </w:r>
      </w:hyperlink>
      <w:r>
        <w:t>, f. 1.</w:t>
      </w:r>
    </w:p>
    <w:p w:rsidR="00981775" w:rsidRDefault="00981775" w:rsidP="00981775">
      <w:pPr>
        <w:pStyle w:val="SangriaFrancesaArticulo"/>
      </w:pPr>
      <w:r w:rsidRPr="00981775">
        <w:rPr>
          <w:rStyle w:val="TextoNormalNegritaCaracter"/>
        </w:rPr>
        <w:t>Artículo 48</w:t>
      </w:r>
      <w:r>
        <w:t xml:space="preserve"> (redactado por el Real Decreto-ley 20/2012, de 13 de julio)</w:t>
      </w:r>
      <w:r w:rsidRPr="00981775">
        <w:rPr>
          <w:rStyle w:val="TextoNormalNegritaCaracter"/>
        </w:rPr>
        <w:t>.</w:t>
      </w:r>
      <w:r w:rsidRPr="00981775">
        <w:rPr>
          <w:rStyle w:val="TextoNormalCaracter"/>
        </w:rPr>
        <w:t>-</w:t>
      </w:r>
      <w:r>
        <w:t xml:space="preserve"> Sentencia </w:t>
      </w:r>
      <w:hyperlink w:anchor="SENTENCIA_2015_156" w:history="1">
        <w:r w:rsidRPr="00981775">
          <w:rPr>
            <w:rStyle w:val="TextoNormalCaracter"/>
          </w:rPr>
          <w:t>156/2015</w:t>
        </w:r>
      </w:hyperlink>
      <w:r>
        <w:t>, ff. 1, 5, 8, VP.</w:t>
      </w:r>
    </w:p>
    <w:p w:rsidR="00981775" w:rsidRDefault="00981775" w:rsidP="00981775">
      <w:pPr>
        <w:pStyle w:val="SangriaFrancesaArticulo"/>
      </w:pPr>
      <w:r w:rsidRPr="00981775">
        <w:rPr>
          <w:rStyle w:val="TextoNormalNegritaCaracter"/>
        </w:rPr>
        <w:t>Artículo 48 a) a j) y l)</w:t>
      </w:r>
      <w:r>
        <w:t xml:space="preserve"> (redactado por el Real Decreto-ley 20/2012, de 13 de julio)</w:t>
      </w:r>
      <w:r w:rsidRPr="00981775">
        <w:rPr>
          <w:rStyle w:val="TextoNormalNegritaCaracter"/>
        </w:rPr>
        <w:t>.</w:t>
      </w:r>
      <w:r w:rsidRPr="00981775">
        <w:rPr>
          <w:rStyle w:val="TextoNormalCaracter"/>
        </w:rPr>
        <w:t>-</w:t>
      </w:r>
      <w:r>
        <w:t xml:space="preserve"> Sentencia </w:t>
      </w:r>
      <w:hyperlink w:anchor="SENTENCIA_2015_156" w:history="1">
        <w:r w:rsidRPr="00981775">
          <w:rPr>
            <w:rStyle w:val="TextoNormalCaracter"/>
          </w:rPr>
          <w:t>156/2015</w:t>
        </w:r>
      </w:hyperlink>
      <w:r>
        <w:t>, f. 5, VP.</w:t>
      </w:r>
    </w:p>
    <w:p w:rsidR="00981775" w:rsidRDefault="00981775" w:rsidP="00981775">
      <w:pPr>
        <w:pStyle w:val="SangriaFrancesaArticulo"/>
      </w:pPr>
      <w:r w:rsidRPr="00981775">
        <w:rPr>
          <w:rStyle w:val="TextoNormalNegritaCaracter"/>
        </w:rPr>
        <w:t>Artículo 48 c) d) e) h) j).</w:t>
      </w:r>
      <w:r w:rsidRPr="00981775">
        <w:rPr>
          <w:rStyle w:val="TextoNormalCaracter"/>
        </w:rPr>
        <w:t>-</w:t>
      </w:r>
      <w:r>
        <w:t xml:space="preserve"> Sentencia </w:t>
      </w:r>
      <w:hyperlink w:anchor="SENTENCIA_2015_156" w:history="1">
        <w:r w:rsidRPr="00981775">
          <w:rPr>
            <w:rStyle w:val="TextoNormalCaracter"/>
          </w:rPr>
          <w:t>156/2015</w:t>
        </w:r>
      </w:hyperlink>
      <w:r>
        <w:t>, f. 8, VP.</w:t>
      </w:r>
    </w:p>
    <w:p w:rsidR="00981775" w:rsidRDefault="00981775" w:rsidP="00981775">
      <w:pPr>
        <w:pStyle w:val="SangriaFrancesaArticulo"/>
      </w:pPr>
      <w:r w:rsidRPr="00981775">
        <w:rPr>
          <w:rStyle w:val="TextoNormalNegritaCaracter"/>
        </w:rPr>
        <w:t>Artículo 48 k)</w:t>
      </w:r>
      <w:r>
        <w:t xml:space="preserve"> (redactado por el Real Decreto-ley 20/2012, de 13 de julio)</w:t>
      </w:r>
      <w:r w:rsidRPr="00981775">
        <w:rPr>
          <w:rStyle w:val="TextoNormalNegritaCaracter"/>
        </w:rPr>
        <w:t>.</w:t>
      </w:r>
      <w:r w:rsidRPr="00981775">
        <w:rPr>
          <w:rStyle w:val="TextoNormalCaracter"/>
        </w:rPr>
        <w:t>-</w:t>
      </w:r>
      <w:r>
        <w:t xml:space="preserve"> Sentencia </w:t>
      </w:r>
      <w:hyperlink w:anchor="SENTENCIA_2015_156" w:history="1">
        <w:r w:rsidRPr="00981775">
          <w:rPr>
            <w:rStyle w:val="TextoNormalCaracter"/>
          </w:rPr>
          <w:t>156/2015</w:t>
        </w:r>
      </w:hyperlink>
      <w:r>
        <w:t>, f. 2.</w:t>
      </w:r>
    </w:p>
    <w:p w:rsidR="00981775" w:rsidRDefault="00981775" w:rsidP="00981775">
      <w:pPr>
        <w:pStyle w:val="SangriaFrancesaArticulo"/>
      </w:pPr>
      <w:r w:rsidRPr="00981775">
        <w:rPr>
          <w:rStyle w:val="TextoNormalNegritaCaracter"/>
        </w:rPr>
        <w:t>Artículo 48 k)</w:t>
      </w:r>
      <w:r>
        <w:t xml:space="preserve"> (redactado por la Ley 15/2014, de 16 de septiembre)</w:t>
      </w:r>
      <w:r w:rsidRPr="00981775">
        <w:rPr>
          <w:rStyle w:val="TextoNormalNegritaCaracter"/>
        </w:rPr>
        <w:t>.</w:t>
      </w:r>
      <w:r w:rsidRPr="00981775">
        <w:rPr>
          <w:rStyle w:val="TextoNormalCaracter"/>
        </w:rPr>
        <w:t>-</w:t>
      </w:r>
      <w:r>
        <w:t xml:space="preserve"> Sentencia </w:t>
      </w:r>
      <w:hyperlink w:anchor="SENTENCIA_2015_156" w:history="1">
        <w:r w:rsidRPr="00981775">
          <w:rPr>
            <w:rStyle w:val="TextoNormalCaracter"/>
          </w:rPr>
          <w:t>156/2015</w:t>
        </w:r>
      </w:hyperlink>
      <w:r>
        <w:t>, f. 2.</w:t>
      </w:r>
    </w:p>
    <w:p w:rsidR="00981775" w:rsidRDefault="00981775" w:rsidP="00981775">
      <w:pPr>
        <w:pStyle w:val="SangriaFrancesaArticulo"/>
      </w:pPr>
      <w:r w:rsidRPr="00981775">
        <w:rPr>
          <w:rStyle w:val="TextoNormalNegritaCaracter"/>
        </w:rPr>
        <w:t>Artículo 48 k)</w:t>
      </w:r>
      <w:r>
        <w:t xml:space="preserve"> (redactado por la Ley Orgánica 9/2013, de 20 de diciembre)</w:t>
      </w:r>
      <w:r w:rsidRPr="00981775">
        <w:rPr>
          <w:rStyle w:val="TextoNormalNegritaCaracter"/>
        </w:rPr>
        <w:t>.</w:t>
      </w:r>
      <w:r w:rsidRPr="00981775">
        <w:rPr>
          <w:rStyle w:val="TextoNormalCaracter"/>
        </w:rPr>
        <w:t>-</w:t>
      </w:r>
      <w:r>
        <w:t xml:space="preserve"> Sentencia </w:t>
      </w:r>
      <w:hyperlink w:anchor="SENTENCIA_2015_156" w:history="1">
        <w:r w:rsidRPr="00981775">
          <w:rPr>
            <w:rStyle w:val="TextoNormalCaracter"/>
          </w:rPr>
          <w:t>156/2015</w:t>
        </w:r>
      </w:hyperlink>
      <w:r>
        <w:t>, f. 2.</w:t>
      </w:r>
    </w:p>
    <w:p w:rsidR="00981775" w:rsidRDefault="00981775" w:rsidP="00981775">
      <w:pPr>
        <w:pStyle w:val="SangriaFrancesaArticulo"/>
      </w:pPr>
      <w:r w:rsidRPr="00981775">
        <w:rPr>
          <w:rStyle w:val="TextoNormalNegritaCaracter"/>
        </w:rPr>
        <w:t>Artículo 50</w:t>
      </w:r>
      <w:r>
        <w:t xml:space="preserve"> (redactado por el Real Decreto-ley 20/2012, de 13 de julio)</w:t>
      </w:r>
      <w:r w:rsidRPr="00981775">
        <w:rPr>
          <w:rStyle w:val="TextoNormalNegritaCaracter"/>
        </w:rPr>
        <w:t>.</w:t>
      </w:r>
      <w:r w:rsidRPr="00981775">
        <w:rPr>
          <w:rStyle w:val="TextoNormalCaracter"/>
        </w:rPr>
        <w:t>-</w:t>
      </w:r>
      <w:r>
        <w:t xml:space="preserve"> Sentencia </w:t>
      </w:r>
      <w:hyperlink w:anchor="SENTENCIA_2015_156" w:history="1">
        <w:r w:rsidRPr="00981775">
          <w:rPr>
            <w:rStyle w:val="TextoNormalCaracter"/>
          </w:rPr>
          <w:t>156/2015</w:t>
        </w:r>
      </w:hyperlink>
      <w:r>
        <w:t>, ff. 1, 5, 8, VP.</w:t>
      </w:r>
    </w:p>
    <w:p w:rsidR="00981775" w:rsidRDefault="00981775" w:rsidP="00981775">
      <w:pPr>
        <w:pStyle w:val="SangriaFrancesaArticulo"/>
      </w:pPr>
      <w:r w:rsidRPr="00981775">
        <w:rPr>
          <w:rStyle w:val="TextoNormalNegritaCaracter"/>
        </w:rPr>
        <w:t>Artículo 54.1.</w:t>
      </w:r>
      <w:r w:rsidRPr="00981775">
        <w:rPr>
          <w:rStyle w:val="TextoNormalCaracter"/>
        </w:rPr>
        <w:t>-</w:t>
      </w:r>
      <w:r>
        <w:t xml:space="preserve"> Sentencia </w:t>
      </w:r>
      <w:hyperlink w:anchor="SENTENCIA_2015_187" w:history="1">
        <w:r w:rsidRPr="00981775">
          <w:rPr>
            <w:rStyle w:val="TextoNormalCaracter"/>
          </w:rPr>
          <w:t>187/2015</w:t>
        </w:r>
      </w:hyperlink>
      <w:r>
        <w:t>, f. 5.</w:t>
      </w:r>
    </w:p>
    <w:p w:rsidR="00981775" w:rsidRDefault="00981775" w:rsidP="00981775">
      <w:pPr>
        <w:pStyle w:val="SangriaFrancesaArticulo"/>
      </w:pPr>
      <w:r w:rsidRPr="00981775">
        <w:rPr>
          <w:rStyle w:val="TextoNormalNegritaCaracter"/>
        </w:rPr>
        <w:t>Artículo 55.</w:t>
      </w:r>
      <w:r w:rsidRPr="00981775">
        <w:rPr>
          <w:rStyle w:val="TextoNormalCaracter"/>
        </w:rPr>
        <w:t>-</w:t>
      </w:r>
      <w:r>
        <w:t xml:space="preserve"> Sentencia </w:t>
      </w:r>
      <w:hyperlink w:anchor="SENTENCIA_2015_176" w:history="1">
        <w:r w:rsidRPr="00981775">
          <w:rPr>
            <w:rStyle w:val="TextoNormalCaracter"/>
          </w:rPr>
          <w:t>176/2015</w:t>
        </w:r>
      </w:hyperlink>
      <w:r>
        <w:t>, f. 8.</w:t>
      </w:r>
    </w:p>
    <w:p w:rsidR="00981775" w:rsidRDefault="00981775" w:rsidP="00981775">
      <w:pPr>
        <w:pStyle w:val="SangriaFrancesaArticulo"/>
      </w:pPr>
      <w:r w:rsidRPr="00981775">
        <w:rPr>
          <w:rStyle w:val="TextoNormalNegritaCaracter"/>
        </w:rPr>
        <w:t>Artículo 55.1.</w:t>
      </w:r>
      <w:r w:rsidRPr="00981775">
        <w:rPr>
          <w:rStyle w:val="TextoNormalCaracter"/>
        </w:rPr>
        <w:t>-</w:t>
      </w:r>
      <w:r>
        <w:t xml:space="preserve"> Sentencia </w:t>
      </w:r>
      <w:hyperlink w:anchor="SENTENCIA_2015_238" w:history="1">
        <w:r w:rsidRPr="00981775">
          <w:rPr>
            <w:rStyle w:val="TextoNormalCaracter"/>
          </w:rPr>
          <w:t>238/2015</w:t>
        </w:r>
      </w:hyperlink>
      <w:r>
        <w:t>, ff. 1 a 3.</w:t>
      </w:r>
    </w:p>
    <w:p w:rsidR="00981775" w:rsidRDefault="00981775" w:rsidP="00981775">
      <w:pPr>
        <w:pStyle w:val="SangriaFrancesaArticulo"/>
      </w:pPr>
      <w:r w:rsidRPr="00981775">
        <w:rPr>
          <w:rStyle w:val="TextoNormalNegritaCaracter"/>
        </w:rPr>
        <w:t>Artículo 61.</w:t>
      </w:r>
      <w:r w:rsidRPr="00981775">
        <w:rPr>
          <w:rStyle w:val="TextoNormalCaracter"/>
        </w:rPr>
        <w:t>-</w:t>
      </w:r>
      <w:r>
        <w:t xml:space="preserve"> Sentencia </w:t>
      </w:r>
      <w:hyperlink w:anchor="SENTENCIA_2015_238" w:history="1">
        <w:r w:rsidRPr="00981775">
          <w:rPr>
            <w:rStyle w:val="TextoNormalCaracter"/>
          </w:rPr>
          <w:t>238/2015</w:t>
        </w:r>
      </w:hyperlink>
      <w:r>
        <w:t>, ff. 2, 3.</w:t>
      </w:r>
    </w:p>
    <w:p w:rsidR="00981775" w:rsidRDefault="00981775" w:rsidP="00981775">
      <w:pPr>
        <w:pStyle w:val="SangriaFrancesaArticulo"/>
      </w:pPr>
      <w:r w:rsidRPr="00981775">
        <w:rPr>
          <w:rStyle w:val="TextoNormalNegritaCaracter"/>
        </w:rPr>
        <w:t>Artículo 61.1.</w:t>
      </w:r>
      <w:r w:rsidRPr="00981775">
        <w:rPr>
          <w:rStyle w:val="TextoNormalCaracter"/>
        </w:rPr>
        <w:t>-</w:t>
      </w:r>
      <w:r>
        <w:t xml:space="preserve"> Sentencia </w:t>
      </w:r>
      <w:hyperlink w:anchor="SENTENCIA_2015_238" w:history="1">
        <w:r w:rsidRPr="00981775">
          <w:rPr>
            <w:rStyle w:val="TextoNormalCaracter"/>
          </w:rPr>
          <w:t>238/2015</w:t>
        </w:r>
      </w:hyperlink>
      <w:r>
        <w:t>, f. 1.</w:t>
      </w:r>
    </w:p>
    <w:p w:rsidR="00981775" w:rsidRDefault="00981775" w:rsidP="00981775">
      <w:pPr>
        <w:pStyle w:val="SangriaFrancesaArticulo"/>
      </w:pPr>
      <w:r w:rsidRPr="00981775">
        <w:rPr>
          <w:rStyle w:val="TextoNormalNegritaCaracter"/>
        </w:rPr>
        <w:t>Artículo 61.6.</w:t>
      </w:r>
      <w:r w:rsidRPr="00981775">
        <w:rPr>
          <w:rStyle w:val="TextoNormalCaracter"/>
        </w:rPr>
        <w:t>-</w:t>
      </w:r>
      <w:r>
        <w:t xml:space="preserve"> Sentencias </w:t>
      </w:r>
      <w:hyperlink w:anchor="SENTENCIA_2015_176" w:history="1">
        <w:r w:rsidRPr="00981775">
          <w:rPr>
            <w:rStyle w:val="TextoNormalCaracter"/>
          </w:rPr>
          <w:t>176/2015</w:t>
        </w:r>
      </w:hyperlink>
      <w:r>
        <w:t xml:space="preserve">, f. 8; </w:t>
      </w:r>
      <w:hyperlink w:anchor="SENTENCIA_2015_238" w:history="1">
        <w:r w:rsidRPr="00981775">
          <w:rPr>
            <w:rStyle w:val="TextoNormalCaracter"/>
          </w:rPr>
          <w:t>238/2015</w:t>
        </w:r>
      </w:hyperlink>
      <w:r>
        <w:t>, f. 1.</w:t>
      </w:r>
    </w:p>
    <w:p w:rsidR="00981775" w:rsidRDefault="00981775" w:rsidP="00981775">
      <w:pPr>
        <w:pStyle w:val="SangriaFrancesaArticulo"/>
      </w:pPr>
      <w:r w:rsidRPr="00981775">
        <w:rPr>
          <w:rStyle w:val="TextoNormalNegritaCaracter"/>
        </w:rPr>
        <w:t>Artículo 76.</w:t>
      </w:r>
      <w:r w:rsidRPr="00981775">
        <w:rPr>
          <w:rStyle w:val="TextoNormalCaracter"/>
        </w:rPr>
        <w:t>-</w:t>
      </w:r>
      <w:r>
        <w:t xml:space="preserve"> Sentencia </w:t>
      </w:r>
      <w:hyperlink w:anchor="SENTENCIA_2015_200" w:history="1">
        <w:r w:rsidRPr="00981775">
          <w:rPr>
            <w:rStyle w:val="TextoNormalCaracter"/>
          </w:rPr>
          <w:t>200/2015</w:t>
        </w:r>
      </w:hyperlink>
      <w:r>
        <w:t>, f. 4.</w:t>
      </w:r>
    </w:p>
    <w:p w:rsidR="00981775" w:rsidRDefault="00981775" w:rsidP="00981775">
      <w:pPr>
        <w:pStyle w:val="SangriaFrancesaArticulo"/>
      </w:pPr>
      <w:r w:rsidRPr="00981775">
        <w:rPr>
          <w:rStyle w:val="TextoNormalNegritaCaracter"/>
        </w:rPr>
        <w:t>Artículo 78.3.</w:t>
      </w:r>
      <w:r w:rsidRPr="00981775">
        <w:rPr>
          <w:rStyle w:val="TextoNormalCaracter"/>
        </w:rPr>
        <w:t>-</w:t>
      </w:r>
      <w:r>
        <w:t xml:space="preserve"> Auto </w:t>
      </w:r>
      <w:hyperlink w:anchor="AUTO_2015_188" w:history="1">
        <w:r w:rsidRPr="00981775">
          <w:rPr>
            <w:rStyle w:val="TextoNormalCaracter"/>
          </w:rPr>
          <w:t>188/2015</w:t>
        </w:r>
      </w:hyperlink>
      <w:r>
        <w:t>, ff. 1, 3.</w:t>
      </w:r>
    </w:p>
    <w:p w:rsidR="00981775" w:rsidRDefault="00981775" w:rsidP="00981775">
      <w:pPr>
        <w:pStyle w:val="SangriaFrancesaArticulo"/>
      </w:pPr>
      <w:r w:rsidRPr="00981775">
        <w:rPr>
          <w:rStyle w:val="TextoNormalNegritaCaracter"/>
        </w:rPr>
        <w:t>Artículo 81.</w:t>
      </w:r>
      <w:r w:rsidRPr="00981775">
        <w:rPr>
          <w:rStyle w:val="TextoNormalCaracter"/>
        </w:rPr>
        <w:t>-</w:t>
      </w:r>
      <w:r>
        <w:t xml:space="preserve"> Sentencia </w:t>
      </w:r>
      <w:hyperlink w:anchor="SENTENCIA_2015_236" w:history="1">
        <w:r w:rsidRPr="00981775">
          <w:rPr>
            <w:rStyle w:val="TextoNormalCaracter"/>
          </w:rPr>
          <w:t>236/2015</w:t>
        </w:r>
      </w:hyperlink>
      <w:r>
        <w:t>, f. 9.</w:t>
      </w:r>
    </w:p>
    <w:p w:rsidR="00981775" w:rsidRDefault="00981775" w:rsidP="00981775">
      <w:pPr>
        <w:pStyle w:val="SangriaFrancesaArticulo"/>
      </w:pPr>
      <w:r w:rsidRPr="00981775">
        <w:rPr>
          <w:rStyle w:val="TextoNormalNegritaCaracter"/>
        </w:rPr>
        <w:t>Artículo 84.</w:t>
      </w:r>
      <w:r w:rsidRPr="00981775">
        <w:rPr>
          <w:rStyle w:val="TextoNormalCaracter"/>
        </w:rPr>
        <w:t>-</w:t>
      </w:r>
      <w:r>
        <w:t xml:space="preserve"> Sentencia </w:t>
      </w:r>
      <w:hyperlink w:anchor="SENTENCIA_2015_238" w:history="1">
        <w:r w:rsidRPr="00981775">
          <w:rPr>
            <w:rStyle w:val="TextoNormalCaracter"/>
          </w:rPr>
          <w:t>238/2015</w:t>
        </w:r>
      </w:hyperlink>
      <w:r>
        <w:t>, f. 5.</w:t>
      </w:r>
    </w:p>
    <w:p w:rsidR="00981775" w:rsidRDefault="00981775" w:rsidP="00981775">
      <w:pPr>
        <w:pStyle w:val="SangriaFrancesaArticulo"/>
      </w:pPr>
      <w:r w:rsidRPr="00981775">
        <w:rPr>
          <w:rStyle w:val="TextoNormalNegritaCaracter"/>
        </w:rPr>
        <w:t>Disposición transitoria segunda.</w:t>
      </w:r>
      <w:r w:rsidRPr="00981775">
        <w:rPr>
          <w:rStyle w:val="TextoNormalCaracter"/>
        </w:rPr>
        <w:t>-</w:t>
      </w:r>
      <w:r>
        <w:t xml:space="preserve"> Sentencia </w:t>
      </w:r>
      <w:hyperlink w:anchor="SENTENCIA_2015_238" w:history="1">
        <w:r w:rsidRPr="00981775">
          <w:rPr>
            <w:rStyle w:val="TextoNormalCaracter"/>
          </w:rPr>
          <w:t>238/2015</w:t>
        </w:r>
      </w:hyperlink>
      <w:r>
        <w:t>, f. 2.</w:t>
      </w:r>
    </w:p>
    <w:p w:rsidR="00981775" w:rsidRDefault="00981775" w:rsidP="00981775">
      <w:pPr>
        <w:pStyle w:val="SangriaFrancesaArticulo"/>
      </w:pPr>
      <w:r w:rsidRPr="00981775">
        <w:rPr>
          <w:rStyle w:val="TextoNormalNegritaCaracter"/>
        </w:rPr>
        <w:t>Disposición transitoria tercera, apartado 2.</w:t>
      </w:r>
      <w:r w:rsidRPr="00981775">
        <w:rPr>
          <w:rStyle w:val="TextoNormalCaracter"/>
        </w:rPr>
        <w:t>-</w:t>
      </w:r>
      <w:r>
        <w:t xml:space="preserve"> Sentencia </w:t>
      </w:r>
      <w:hyperlink w:anchor="SENTENCIA_2015_200" w:history="1">
        <w:r w:rsidRPr="00981775">
          <w:rPr>
            <w:rStyle w:val="TextoNormalCaracter"/>
          </w:rPr>
          <w:t>200/2015</w:t>
        </w:r>
      </w:hyperlink>
      <w:r>
        <w:t>, f. 4.</w:t>
      </w:r>
    </w:p>
    <w:p w:rsidR="00981775" w:rsidRDefault="00981775" w:rsidP="00981775">
      <w:pPr>
        <w:pStyle w:val="SangriaFrancesaArticulo"/>
      </w:pPr>
      <w:r w:rsidRPr="00981775">
        <w:rPr>
          <w:rStyle w:val="TextoNormalNegritaCaracter"/>
        </w:rPr>
        <w:t>Disposición final primera.</w:t>
      </w:r>
      <w:r w:rsidRPr="00981775">
        <w:rPr>
          <w:rStyle w:val="TextoNormalCaracter"/>
        </w:rPr>
        <w:t>-</w:t>
      </w:r>
      <w:r>
        <w:t xml:space="preserve"> Sentencia </w:t>
      </w:r>
      <w:hyperlink w:anchor="SENTENCIA_2015_238" w:history="1">
        <w:r w:rsidRPr="00981775">
          <w:rPr>
            <w:rStyle w:val="TextoNormalCaracter"/>
          </w:rPr>
          <w:t>238/2015</w:t>
        </w:r>
      </w:hyperlink>
      <w:r>
        <w:t>, f. 3.</w:t>
      </w:r>
    </w:p>
    <w:p w:rsidR="00981775" w:rsidRDefault="00981775" w:rsidP="00981775">
      <w:pPr>
        <w:pStyle w:val="SangriaFrancesaArticulo"/>
      </w:pPr>
      <w:r w:rsidRPr="00981775">
        <w:rPr>
          <w:rStyle w:val="TextoNormalNegritaCaracter"/>
        </w:rPr>
        <w:t>Disposición final única.</w:t>
      </w:r>
      <w:r w:rsidRPr="00981775">
        <w:rPr>
          <w:rStyle w:val="TextoNormalCaracter"/>
        </w:rPr>
        <w:t>-</w:t>
      </w:r>
      <w:r>
        <w:t xml:space="preserve"> Sentencia </w:t>
      </w:r>
      <w:hyperlink w:anchor="SENTENCIA_2015_238" w:history="1">
        <w:r w:rsidRPr="00981775">
          <w:rPr>
            <w:rStyle w:val="TextoNormalCaracter"/>
          </w:rPr>
          <w:t>238/2015</w:t>
        </w:r>
      </w:hyperlink>
      <w:r>
        <w:t>, ff. 2, 3.</w:t>
      </w:r>
    </w:p>
    <w:p w:rsidR="00981775" w:rsidRDefault="00981775" w:rsidP="00981775">
      <w:pPr>
        <w:pStyle w:val="SangriaFrancesaArticulo"/>
      </w:pPr>
    </w:p>
    <w:p w:rsidR="00981775" w:rsidRDefault="00981775" w:rsidP="00981775">
      <w:pPr>
        <w:pStyle w:val="TextoNormalNegritaCursivandice"/>
      </w:pPr>
      <w:r>
        <w:t>Ley 8/2007, de 28 de mayo. Ley de suelo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18" w:history="1">
        <w:r w:rsidRPr="00981775">
          <w:rPr>
            <w:rStyle w:val="TextoNormalCaracter"/>
          </w:rPr>
          <w:t>218/2015</w:t>
        </w:r>
      </w:hyperlink>
      <w:r>
        <w:t>, f. 2, VP IV.</w:t>
      </w:r>
    </w:p>
    <w:p w:rsidR="00981775" w:rsidRDefault="00981775" w:rsidP="00981775">
      <w:pPr>
        <w:pStyle w:val="SangriaIzquierdaArticulo"/>
      </w:pPr>
      <w:r>
        <w:t xml:space="preserve">Auto </w:t>
      </w:r>
      <w:hyperlink w:anchor="AUTO_2015_201" w:history="1">
        <w:r w:rsidRPr="00981775">
          <w:rPr>
            <w:rStyle w:val="TextoNormalCaracter"/>
          </w:rPr>
          <w:t>201/2015</w:t>
        </w:r>
      </w:hyperlink>
      <w:r>
        <w:t>, f. 2.</w:t>
      </w:r>
    </w:p>
    <w:p w:rsidR="00981775" w:rsidRDefault="00981775" w:rsidP="00981775">
      <w:pPr>
        <w:pStyle w:val="SangriaFrancesaArticulo"/>
      </w:pPr>
      <w:r w:rsidRPr="00981775">
        <w:rPr>
          <w:rStyle w:val="TextoNormalNegritaCaracter"/>
        </w:rPr>
        <w:t>Artículo 22.</w:t>
      </w:r>
      <w:r w:rsidRPr="00981775">
        <w:rPr>
          <w:rStyle w:val="TextoNormalCaracter"/>
        </w:rPr>
        <w:t>-</w:t>
      </w:r>
      <w:r>
        <w:t xml:space="preserve"> Sentencia </w:t>
      </w:r>
      <w:hyperlink w:anchor="SENTENCIA_2015_218" w:history="1">
        <w:r w:rsidRPr="00981775">
          <w:rPr>
            <w:rStyle w:val="TextoNormalCaracter"/>
          </w:rPr>
          <w:t>218/2015</w:t>
        </w:r>
      </w:hyperlink>
      <w:r>
        <w:t>, f. 5.</w:t>
      </w:r>
    </w:p>
    <w:p w:rsidR="00981775" w:rsidRDefault="00981775" w:rsidP="00981775">
      <w:pPr>
        <w:pStyle w:val="SangriaFrancesaArticulo"/>
      </w:pPr>
      <w:r w:rsidRPr="00981775">
        <w:rPr>
          <w:rStyle w:val="TextoNormalNegritaCaracter"/>
        </w:rPr>
        <w:t>Artículo 22.1.</w:t>
      </w:r>
      <w:r w:rsidRPr="00981775">
        <w:rPr>
          <w:rStyle w:val="TextoNormalCaracter"/>
        </w:rPr>
        <w:t>-</w:t>
      </w:r>
      <w:r>
        <w:t xml:space="preserve"> Sentencia </w:t>
      </w:r>
      <w:hyperlink w:anchor="SENTENCIA_2015_218" w:history="1">
        <w:r w:rsidRPr="00981775">
          <w:rPr>
            <w:rStyle w:val="TextoNormalCaracter"/>
          </w:rPr>
          <w:t>218/2015</w:t>
        </w:r>
      </w:hyperlink>
      <w:r>
        <w:t>, VP II.</w:t>
      </w:r>
    </w:p>
    <w:p w:rsidR="00981775" w:rsidRDefault="00981775" w:rsidP="00981775">
      <w:pPr>
        <w:pStyle w:val="SangriaFrancesaArticulo"/>
      </w:pPr>
      <w:r w:rsidRPr="00981775">
        <w:rPr>
          <w:rStyle w:val="TextoNormalNegritaCaracter"/>
        </w:rPr>
        <w:t>Artículo 22.1 a).</w:t>
      </w:r>
      <w:r w:rsidRPr="00981775">
        <w:rPr>
          <w:rStyle w:val="TextoNormalCaracter"/>
        </w:rPr>
        <w:t>-</w:t>
      </w:r>
      <w:r>
        <w:t xml:space="preserve"> Auto </w:t>
      </w:r>
      <w:hyperlink w:anchor="AUTO_2015_201" w:history="1">
        <w:r w:rsidRPr="00981775">
          <w:rPr>
            <w:rStyle w:val="TextoNormalCaracter"/>
          </w:rPr>
          <w:t>201/2015</w:t>
        </w:r>
      </w:hyperlink>
      <w:r>
        <w:t>, ff. 1, 2.</w:t>
      </w:r>
    </w:p>
    <w:p w:rsidR="00981775" w:rsidRDefault="00981775" w:rsidP="00981775">
      <w:pPr>
        <w:pStyle w:val="SangriaFrancesaArticulo"/>
      </w:pPr>
      <w:r w:rsidRPr="00981775">
        <w:rPr>
          <w:rStyle w:val="TextoNormalNegritaCaracter"/>
        </w:rPr>
        <w:t>Artículo 22.1 a) párrafo 3.</w:t>
      </w:r>
      <w:r w:rsidRPr="00981775">
        <w:rPr>
          <w:rStyle w:val="TextoNormalCaracter"/>
        </w:rPr>
        <w:t>-</w:t>
      </w:r>
      <w:r>
        <w:t xml:space="preserve"> Auto </w:t>
      </w:r>
      <w:hyperlink w:anchor="AUTO_2015_201" w:history="1">
        <w:r w:rsidRPr="00981775">
          <w:rPr>
            <w:rStyle w:val="TextoNormalCaracter"/>
          </w:rPr>
          <w:t>201/2015</w:t>
        </w:r>
      </w:hyperlink>
      <w:r>
        <w:t>, f. 2.</w:t>
      </w:r>
    </w:p>
    <w:p w:rsidR="00981775" w:rsidRDefault="00981775" w:rsidP="00981775">
      <w:pPr>
        <w:pStyle w:val="SangriaFrancesaArticulo"/>
      </w:pPr>
      <w:r w:rsidRPr="00981775">
        <w:rPr>
          <w:rStyle w:val="TextoNormalNegritaCaracter"/>
        </w:rPr>
        <w:t>Artículo 22.2.</w:t>
      </w:r>
      <w:r w:rsidRPr="00981775">
        <w:rPr>
          <w:rStyle w:val="TextoNormalCaracter"/>
        </w:rPr>
        <w:t>-</w:t>
      </w:r>
      <w:r>
        <w:t xml:space="preserve"> Sentencia </w:t>
      </w:r>
      <w:hyperlink w:anchor="SENTENCIA_2015_218" w:history="1">
        <w:r w:rsidRPr="00981775">
          <w:rPr>
            <w:rStyle w:val="TextoNormalCaracter"/>
          </w:rPr>
          <w:t>218/2015</w:t>
        </w:r>
      </w:hyperlink>
      <w:r>
        <w:t>, VP II.</w:t>
      </w:r>
    </w:p>
    <w:p w:rsidR="00981775" w:rsidRDefault="00981775" w:rsidP="00981775">
      <w:pPr>
        <w:pStyle w:val="SangriaIzquierdaArticulo"/>
      </w:pPr>
      <w:r>
        <w:t xml:space="preserve">Auto </w:t>
      </w:r>
      <w:hyperlink w:anchor="AUTO_2015_201" w:history="1">
        <w:r w:rsidRPr="00981775">
          <w:rPr>
            <w:rStyle w:val="TextoNormalCaracter"/>
          </w:rPr>
          <w:t>201/2015</w:t>
        </w:r>
      </w:hyperlink>
      <w:r>
        <w:t>, ff. 1, 2.</w:t>
      </w:r>
    </w:p>
    <w:p w:rsidR="00981775" w:rsidRDefault="00981775" w:rsidP="00981775">
      <w:pPr>
        <w:pStyle w:val="SangriaIzquierdaArticulo"/>
      </w:pPr>
    </w:p>
    <w:p w:rsidR="00981775" w:rsidRDefault="00981775" w:rsidP="00981775">
      <w:pPr>
        <w:pStyle w:val="TextoNormalNegritaCursivandice"/>
      </w:pPr>
      <w:r>
        <w:t>Ley 17/2007, de 4 de julio. Modificación de la Ley 54/1997, de 27 de noviembre del sector eléctrico para adaptarla a la Directiva 2003/54/CE sobre normas comunes para el mercado interior de la electricidad</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70" w:history="1">
        <w:r w:rsidRPr="00981775">
          <w:rPr>
            <w:rStyle w:val="TextoNormalCaracter"/>
          </w:rPr>
          <w:t>270/2015</w:t>
        </w:r>
      </w:hyperlink>
      <w:r>
        <w:t>, VP.</w:t>
      </w:r>
    </w:p>
    <w:p w:rsidR="00981775" w:rsidRDefault="00981775" w:rsidP="00981775">
      <w:pPr>
        <w:pStyle w:val="SangriaFrancesaArticulo"/>
      </w:pPr>
    </w:p>
    <w:p w:rsidR="00981775" w:rsidRDefault="00981775" w:rsidP="00981775">
      <w:pPr>
        <w:pStyle w:val="TextoNormalNegritaCursivandice"/>
      </w:pPr>
      <w:r>
        <w:t>Ley 20/2007, de 11 de julio. Estatuto del trabajo autónomo</w:t>
      </w:r>
    </w:p>
    <w:p w:rsidR="00981775" w:rsidRDefault="00981775" w:rsidP="00981775">
      <w:pPr>
        <w:pStyle w:val="SangriaFrancesaArticulo"/>
      </w:pPr>
      <w:r w:rsidRPr="00981775">
        <w:rPr>
          <w:rStyle w:val="TextoNormalNegritaCaracter"/>
        </w:rPr>
        <w:t>Artículo 21.5.</w:t>
      </w:r>
      <w:r w:rsidRPr="00981775">
        <w:rPr>
          <w:rStyle w:val="TextoNormalCaracter"/>
        </w:rPr>
        <w:t>-</w:t>
      </w:r>
      <w:r>
        <w:t xml:space="preserve"> Sentencia </w:t>
      </w:r>
      <w:hyperlink w:anchor="SENTENCIA_2015_185" w:history="1">
        <w:r w:rsidRPr="00981775">
          <w:rPr>
            <w:rStyle w:val="TextoNormalCaracter"/>
          </w:rPr>
          <w:t>185/2015</w:t>
        </w:r>
      </w:hyperlink>
      <w:r>
        <w:t>, f. 6.</w:t>
      </w:r>
    </w:p>
    <w:p w:rsidR="00981775" w:rsidRDefault="00981775" w:rsidP="00981775">
      <w:pPr>
        <w:pStyle w:val="SangriaFrancesaArticulo"/>
      </w:pPr>
    </w:p>
    <w:p w:rsidR="00981775" w:rsidRDefault="00981775" w:rsidP="00981775">
      <w:pPr>
        <w:pStyle w:val="TextoNormalNegritaCursivandice"/>
      </w:pPr>
      <w:r>
        <w:t>Ley 30/2007, de 30 de octubre. Contratos del sector público</w:t>
      </w:r>
    </w:p>
    <w:p w:rsidR="00981775" w:rsidRDefault="00981775" w:rsidP="00981775">
      <w:pPr>
        <w:pStyle w:val="SangriaFrancesaArticulo"/>
      </w:pPr>
      <w:r w:rsidRPr="00981775">
        <w:rPr>
          <w:rStyle w:val="TextoNormalNegritaCaracter"/>
        </w:rPr>
        <w:t>Artículo 72.</w:t>
      </w:r>
      <w:r w:rsidRPr="00981775">
        <w:rPr>
          <w:rStyle w:val="TextoNormalCaracter"/>
        </w:rPr>
        <w:t>-</w:t>
      </w:r>
      <w:r>
        <w:t xml:space="preserve"> Sentencia </w:t>
      </w:r>
      <w:hyperlink w:anchor="SENTENCIA_2015_231" w:history="1">
        <w:r w:rsidRPr="00981775">
          <w:rPr>
            <w:rStyle w:val="TextoNormalCaracter"/>
          </w:rPr>
          <w:t>231/2015</w:t>
        </w:r>
      </w:hyperlink>
      <w:r>
        <w:t>, f. 11.</w:t>
      </w:r>
    </w:p>
    <w:p w:rsidR="00981775" w:rsidRDefault="00981775" w:rsidP="00981775">
      <w:pPr>
        <w:pStyle w:val="SangriaFrancesaArticulo"/>
      </w:pPr>
      <w:r w:rsidRPr="00981775">
        <w:rPr>
          <w:rStyle w:val="TextoNormalNegritaCaracter"/>
        </w:rPr>
        <w:t>Artículo 97.</w:t>
      </w:r>
      <w:r w:rsidRPr="00981775">
        <w:rPr>
          <w:rStyle w:val="TextoNormalCaracter"/>
        </w:rPr>
        <w:t>-</w:t>
      </w:r>
      <w:r>
        <w:t xml:space="preserve"> Sentencia </w:t>
      </w:r>
      <w:hyperlink w:anchor="SENTENCIA_2015_231" w:history="1">
        <w:r w:rsidRPr="00981775">
          <w:rPr>
            <w:rStyle w:val="TextoNormalCaracter"/>
          </w:rPr>
          <w:t>231/2015</w:t>
        </w:r>
      </w:hyperlink>
      <w:r>
        <w:t>, ff. 1, 3.</w:t>
      </w:r>
    </w:p>
    <w:p w:rsidR="00981775" w:rsidRDefault="00981775" w:rsidP="00981775">
      <w:pPr>
        <w:pStyle w:val="SangriaFrancesaArticulo"/>
      </w:pPr>
    </w:p>
    <w:p w:rsidR="00981775" w:rsidRDefault="00981775" w:rsidP="00981775">
      <w:pPr>
        <w:pStyle w:val="TextoNormalNegritaCursivandice"/>
      </w:pPr>
      <w:r>
        <w:t>Ley 40/2007, de 4 de diciembre. Medidas en materia de Seguridad Social</w:t>
      </w:r>
    </w:p>
    <w:p w:rsidR="00981775" w:rsidRDefault="00981775" w:rsidP="00981775">
      <w:pPr>
        <w:pStyle w:val="SangriaFrancesaArticulo"/>
      </w:pPr>
      <w:r w:rsidRPr="00981775">
        <w:rPr>
          <w:rStyle w:val="TextoNormalNegritaCaracter"/>
        </w:rPr>
        <w:t>Disposición adicional tercera, apartado e).</w:t>
      </w:r>
      <w:r w:rsidRPr="00981775">
        <w:rPr>
          <w:rStyle w:val="TextoNormalCaracter"/>
        </w:rPr>
        <w:t>-</w:t>
      </w:r>
      <w:r>
        <w:t xml:space="preserve"> Auto </w:t>
      </w:r>
      <w:hyperlink w:anchor="AUTO_2015_146" w:history="1">
        <w:r w:rsidRPr="00981775">
          <w:rPr>
            <w:rStyle w:val="TextoNormalCaracter"/>
          </w:rPr>
          <w:t>146/2015</w:t>
        </w:r>
      </w:hyperlink>
      <w:r>
        <w:t>, Único.</w:t>
      </w:r>
    </w:p>
    <w:p w:rsidR="00981775" w:rsidRDefault="00981775" w:rsidP="00981775">
      <w:pPr>
        <w:pStyle w:val="SangriaFrancesaArticulo"/>
      </w:pPr>
    </w:p>
    <w:p w:rsidR="00981775" w:rsidRDefault="00981775" w:rsidP="00981775">
      <w:pPr>
        <w:pStyle w:val="TextoNormalNegritaCursivandice"/>
      </w:pPr>
      <w:r>
        <w:t>Ley 13/2009, de 3 de noviembre. Reforma de la legislación procesal para la implantación de la nueva oficina judicial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81" w:history="1">
        <w:r w:rsidRPr="00981775">
          <w:rPr>
            <w:rStyle w:val="TextoNormalCaracter"/>
          </w:rPr>
          <w:t>181/2015</w:t>
        </w:r>
      </w:hyperlink>
      <w:r>
        <w:t>, ff. 4, 5.</w:t>
      </w:r>
    </w:p>
    <w:p w:rsidR="00981775" w:rsidRDefault="00981775" w:rsidP="00981775">
      <w:pPr>
        <w:pStyle w:val="SangriaIzquierdaArticulo"/>
      </w:pPr>
      <w:r>
        <w:t xml:space="preserve">Auto </w:t>
      </w:r>
      <w:hyperlink w:anchor="AUTO_2015_128" w:history="1">
        <w:r w:rsidRPr="00981775">
          <w:rPr>
            <w:rStyle w:val="TextoNormalCaracter"/>
          </w:rPr>
          <w:t>128/2015</w:t>
        </w:r>
      </w:hyperlink>
      <w:r>
        <w:t>, f. 1.</w:t>
      </w:r>
    </w:p>
    <w:p w:rsidR="00981775" w:rsidRDefault="00981775" w:rsidP="00981775">
      <w:pPr>
        <w:pStyle w:val="SangriaIzquierdaArticulo"/>
      </w:pPr>
    </w:p>
    <w:p w:rsidR="00981775" w:rsidRDefault="00981775" w:rsidP="00981775">
      <w:pPr>
        <w:pStyle w:val="TextoNormalNegritaCursivandice"/>
      </w:pPr>
      <w:r>
        <w:t>Ley 17/2009, de 23 de noviembre. Libre acceso a las actividades de servicios y su ejercicio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09" w:history="1">
        <w:r w:rsidRPr="00981775">
          <w:rPr>
            <w:rStyle w:val="TextoNormalCaracter"/>
          </w:rPr>
          <w:t>209/2015</w:t>
        </w:r>
      </w:hyperlink>
      <w:r>
        <w:t>, ff. 1, 4, 6.</w:t>
      </w:r>
    </w:p>
    <w:p w:rsidR="00981775" w:rsidRDefault="00981775" w:rsidP="00981775">
      <w:pPr>
        <w:pStyle w:val="SangriaFrancesaArticulo"/>
      </w:pPr>
      <w:r w:rsidRPr="00981775">
        <w:rPr>
          <w:rStyle w:val="TextoNormalNegritaCaracter"/>
        </w:rPr>
        <w:t>Artículo 3.9.</w:t>
      </w:r>
      <w:r w:rsidRPr="00981775">
        <w:rPr>
          <w:rStyle w:val="TextoNormalCaracter"/>
        </w:rPr>
        <w:t>-</w:t>
      </w:r>
      <w:r>
        <w:t xml:space="preserve"> Sentencia </w:t>
      </w:r>
      <w:hyperlink w:anchor="SENTENCIA_2015_237" w:history="1">
        <w:r w:rsidRPr="00981775">
          <w:rPr>
            <w:rStyle w:val="TextoNormalCaracter"/>
          </w:rPr>
          <w:t>237/2015</w:t>
        </w:r>
      </w:hyperlink>
      <w:r>
        <w:t>, f. 5.</w:t>
      </w:r>
    </w:p>
    <w:p w:rsidR="00981775" w:rsidRDefault="00981775" w:rsidP="00981775">
      <w:pPr>
        <w:pStyle w:val="SangriaFrancesaArticulo"/>
      </w:pPr>
      <w:r w:rsidRPr="00981775">
        <w:rPr>
          <w:rStyle w:val="TextoNormalNegritaCaracter"/>
        </w:rPr>
        <w:t>Artículo 3.11.</w:t>
      </w:r>
      <w:r w:rsidRPr="00981775">
        <w:rPr>
          <w:rStyle w:val="TextoNormalCaracter"/>
        </w:rPr>
        <w:t>-</w:t>
      </w:r>
      <w:r>
        <w:t xml:space="preserve"> Sentencia </w:t>
      </w:r>
      <w:hyperlink w:anchor="SENTENCIA_2015_209" w:history="1">
        <w:r w:rsidRPr="00981775">
          <w:rPr>
            <w:rStyle w:val="TextoNormalCaracter"/>
          </w:rPr>
          <w:t>209/2015</w:t>
        </w:r>
      </w:hyperlink>
      <w:r>
        <w:t>, ff. 4, 5.</w:t>
      </w:r>
    </w:p>
    <w:p w:rsidR="00981775" w:rsidRDefault="00981775" w:rsidP="00981775">
      <w:pPr>
        <w:pStyle w:val="SangriaFrancesaArticulo"/>
      </w:pPr>
      <w:r w:rsidRPr="00981775">
        <w:rPr>
          <w:rStyle w:val="TextoNormalNegritaCaracter"/>
        </w:rPr>
        <w:t>Artículo 4.1.</w:t>
      </w:r>
      <w:r w:rsidRPr="00981775">
        <w:rPr>
          <w:rStyle w:val="TextoNormalCaracter"/>
        </w:rPr>
        <w:t>-</w:t>
      </w:r>
      <w:r>
        <w:t xml:space="preserve"> Sentencia </w:t>
      </w:r>
      <w:hyperlink w:anchor="SENTENCIA_2015_209" w:history="1">
        <w:r w:rsidRPr="00981775">
          <w:rPr>
            <w:rStyle w:val="TextoNormalCaracter"/>
          </w:rPr>
          <w:t>209/2015</w:t>
        </w:r>
      </w:hyperlink>
      <w:r>
        <w:t>, f. 4.</w:t>
      </w:r>
    </w:p>
    <w:p w:rsidR="00981775" w:rsidRDefault="00981775" w:rsidP="00981775">
      <w:pPr>
        <w:pStyle w:val="SangriaFrancesaArticulo"/>
      </w:pPr>
      <w:r w:rsidRPr="00981775">
        <w:rPr>
          <w:rStyle w:val="TextoNormalNegritaCaracter"/>
        </w:rPr>
        <w:t>Artículo 7.3 a).</w:t>
      </w:r>
      <w:r w:rsidRPr="00981775">
        <w:rPr>
          <w:rStyle w:val="TextoNormalCaracter"/>
        </w:rPr>
        <w:t>-</w:t>
      </w:r>
      <w:r>
        <w:t xml:space="preserve"> Sentencia </w:t>
      </w:r>
      <w:hyperlink w:anchor="SENTENCIA_2015_209" w:history="1">
        <w:r w:rsidRPr="00981775">
          <w:rPr>
            <w:rStyle w:val="TextoNormalCaracter"/>
          </w:rPr>
          <w:t>209/2015</w:t>
        </w:r>
      </w:hyperlink>
      <w:r>
        <w:t>, f. 4.</w:t>
      </w:r>
    </w:p>
    <w:p w:rsidR="00981775" w:rsidRDefault="00981775" w:rsidP="00981775">
      <w:pPr>
        <w:pStyle w:val="SangriaFrancesaArticulo"/>
      </w:pPr>
      <w:r w:rsidRPr="00981775">
        <w:rPr>
          <w:rStyle w:val="TextoNormalNegritaCaracter"/>
        </w:rPr>
        <w:t>Artículo 9.</w:t>
      </w:r>
      <w:r w:rsidRPr="00981775">
        <w:rPr>
          <w:rStyle w:val="TextoNormalCaracter"/>
        </w:rPr>
        <w:t>-</w:t>
      </w:r>
      <w:r>
        <w:t xml:space="preserve"> Sentencia </w:t>
      </w:r>
      <w:hyperlink w:anchor="SENTENCIA_2015_209" w:history="1">
        <w:r w:rsidRPr="00981775">
          <w:rPr>
            <w:rStyle w:val="TextoNormalCaracter"/>
          </w:rPr>
          <w:t>209/2015</w:t>
        </w:r>
      </w:hyperlink>
      <w:r>
        <w:t>, f. 4.</w:t>
      </w:r>
    </w:p>
    <w:p w:rsidR="00981775" w:rsidRDefault="00981775" w:rsidP="00981775">
      <w:pPr>
        <w:pStyle w:val="SangriaFrancesaArticulo"/>
      </w:pPr>
      <w:r w:rsidRPr="00981775">
        <w:rPr>
          <w:rStyle w:val="TextoNormalNegritaCaracter"/>
        </w:rPr>
        <w:t>Artículo 9.2 b).</w:t>
      </w:r>
      <w:r w:rsidRPr="00981775">
        <w:rPr>
          <w:rStyle w:val="TextoNormalCaracter"/>
        </w:rPr>
        <w:t>-</w:t>
      </w:r>
      <w:r>
        <w:t xml:space="preserve"> Sentencia </w:t>
      </w:r>
      <w:hyperlink w:anchor="SENTENCIA_2015_209" w:history="1">
        <w:r w:rsidRPr="00981775">
          <w:rPr>
            <w:rStyle w:val="TextoNormalCaracter"/>
          </w:rPr>
          <w:t>209/2015</w:t>
        </w:r>
      </w:hyperlink>
      <w:r>
        <w:t>, f. 4.</w:t>
      </w:r>
    </w:p>
    <w:p w:rsidR="00981775" w:rsidRDefault="00981775" w:rsidP="00981775">
      <w:pPr>
        <w:pStyle w:val="SangriaFrancesaArticulo"/>
      </w:pPr>
      <w:r w:rsidRPr="00981775">
        <w:rPr>
          <w:rStyle w:val="TextoNormalNegritaCaracter"/>
        </w:rPr>
        <w:t>Artículo 10.</w:t>
      </w:r>
      <w:r w:rsidRPr="00981775">
        <w:rPr>
          <w:rStyle w:val="TextoNormalCaracter"/>
        </w:rPr>
        <w:t>-</w:t>
      </w:r>
      <w:r>
        <w:t xml:space="preserve"> Sentencia </w:t>
      </w:r>
      <w:hyperlink w:anchor="SENTENCIA_2015_209" w:history="1">
        <w:r w:rsidRPr="00981775">
          <w:rPr>
            <w:rStyle w:val="TextoNormalCaracter"/>
          </w:rPr>
          <w:t>209/2015</w:t>
        </w:r>
      </w:hyperlink>
      <w:r>
        <w:t>, f. 4.</w:t>
      </w:r>
    </w:p>
    <w:p w:rsidR="00981775" w:rsidRDefault="00981775" w:rsidP="00981775">
      <w:pPr>
        <w:pStyle w:val="SangriaFrancesaArticulo"/>
      </w:pPr>
      <w:r w:rsidRPr="00981775">
        <w:rPr>
          <w:rStyle w:val="TextoNormalNegritaCaracter"/>
        </w:rPr>
        <w:t>Artículo 10 e).</w:t>
      </w:r>
      <w:r w:rsidRPr="00981775">
        <w:rPr>
          <w:rStyle w:val="TextoNormalCaracter"/>
        </w:rPr>
        <w:t>-</w:t>
      </w:r>
      <w:r>
        <w:t xml:space="preserve"> Sentencia </w:t>
      </w:r>
      <w:hyperlink w:anchor="SENTENCIA_2015_209" w:history="1">
        <w:r w:rsidRPr="00981775">
          <w:rPr>
            <w:rStyle w:val="TextoNormalCaracter"/>
          </w:rPr>
          <w:t>209/2015</w:t>
        </w:r>
      </w:hyperlink>
      <w:r>
        <w:t>, ff. 4, 5.</w:t>
      </w:r>
    </w:p>
    <w:p w:rsidR="00981775" w:rsidRDefault="00981775" w:rsidP="00981775">
      <w:pPr>
        <w:pStyle w:val="SangriaFrancesaArticulo"/>
      </w:pPr>
      <w:r w:rsidRPr="00981775">
        <w:rPr>
          <w:rStyle w:val="TextoNormalNegritaCaracter"/>
        </w:rPr>
        <w:t>Disposición final cuarta.</w:t>
      </w:r>
      <w:r w:rsidRPr="00981775">
        <w:rPr>
          <w:rStyle w:val="TextoNormalCaracter"/>
        </w:rPr>
        <w:t>-</w:t>
      </w:r>
      <w:r>
        <w:t xml:space="preserve"> Auto </w:t>
      </w:r>
      <w:hyperlink w:anchor="AUTO_2015_182" w:history="1">
        <w:r w:rsidRPr="00981775">
          <w:rPr>
            <w:rStyle w:val="TextoNormalCaracter"/>
          </w:rPr>
          <w:t>182/2015</w:t>
        </w:r>
      </w:hyperlink>
      <w:r>
        <w:t>, f. 6.</w:t>
      </w:r>
    </w:p>
    <w:p w:rsidR="00981775" w:rsidRDefault="00981775" w:rsidP="00981775">
      <w:pPr>
        <w:pStyle w:val="SangriaFrancesaArticulo"/>
      </w:pPr>
    </w:p>
    <w:p w:rsidR="00981775" w:rsidRDefault="00981775" w:rsidP="00981775">
      <w:pPr>
        <w:pStyle w:val="TextoNormalNegritaCursivandice"/>
      </w:pPr>
      <w:r>
        <w:t>Ley 19/2009, de 23 de noviembre. Medidas de fomento y agilización procesal del alquiler y de la eficiencia energética de los edificios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81" w:history="1">
        <w:r w:rsidRPr="00981775">
          <w:rPr>
            <w:rStyle w:val="TextoNormalCaracter"/>
          </w:rPr>
          <w:t>181/2015</w:t>
        </w:r>
      </w:hyperlink>
      <w:r>
        <w:t>, ff. 1, 4, 5.</w:t>
      </w:r>
    </w:p>
    <w:p w:rsidR="00981775" w:rsidRDefault="00981775" w:rsidP="00981775">
      <w:pPr>
        <w:pStyle w:val="SangriaFrancesaArticulo"/>
      </w:pPr>
    </w:p>
    <w:p w:rsidR="00981775" w:rsidRDefault="00981775" w:rsidP="00981775">
      <w:pPr>
        <w:pStyle w:val="TextoNormalNegritaCursivandice"/>
      </w:pPr>
      <w:r>
        <w:t>Ley 22/2009, de 18 de diciembre. Regulación del sistema de financiación de las Comunidades Autónomas de régimen común y ciudades con Estatuto de Autonomía y se modifican determinadas normas tributarias</w:t>
      </w:r>
    </w:p>
    <w:p w:rsidR="00981775" w:rsidRDefault="00981775" w:rsidP="00981775">
      <w:pPr>
        <w:pStyle w:val="SangriaFrancesaArticulo"/>
      </w:pPr>
      <w:r w:rsidRPr="00981775">
        <w:rPr>
          <w:rStyle w:val="TextoNormalNegritaCaracter"/>
        </w:rPr>
        <w:t>Artículo 21.</w:t>
      </w:r>
      <w:r w:rsidRPr="00981775">
        <w:rPr>
          <w:rStyle w:val="TextoNormalCaracter"/>
        </w:rPr>
        <w:t>-</w:t>
      </w:r>
      <w:r>
        <w:t xml:space="preserve"> Sentencia </w:t>
      </w:r>
      <w:hyperlink w:anchor="SENTENCIA_2015_211" w:history="1">
        <w:r w:rsidRPr="00981775">
          <w:rPr>
            <w:rStyle w:val="TextoNormalCaracter"/>
          </w:rPr>
          <w:t>211/2015</w:t>
        </w:r>
      </w:hyperlink>
      <w:r>
        <w:t>, f. 6.</w:t>
      </w:r>
    </w:p>
    <w:p w:rsidR="00981775" w:rsidRDefault="00981775" w:rsidP="00981775">
      <w:pPr>
        <w:pStyle w:val="SangriaFrancesaArticulo"/>
      </w:pPr>
    </w:p>
    <w:p w:rsidR="00981775" w:rsidRDefault="00981775" w:rsidP="00981775">
      <w:pPr>
        <w:pStyle w:val="TextoNormalNegritaCursivandice"/>
      </w:pPr>
      <w:r>
        <w:t>Ley 25/2009, de 22 de diciembre. Modificación de diversas leyes para su adaptación a la Ley sobre el libre acceso a las actividades de servicios y su ejercicio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Sentencias </w:t>
      </w:r>
      <w:hyperlink w:anchor="SENTENCIA_2015_229" w:history="1">
        <w:r w:rsidRPr="00981775">
          <w:rPr>
            <w:rStyle w:val="TextoNormalCaracter"/>
          </w:rPr>
          <w:t>229/2015</w:t>
        </w:r>
      </w:hyperlink>
      <w:r>
        <w:t xml:space="preserve">, f. 3; </w:t>
      </w:r>
      <w:hyperlink w:anchor="SENTENCIA_2015_237" w:history="1">
        <w:r w:rsidRPr="00981775">
          <w:rPr>
            <w:rStyle w:val="TextoNormalCaracter"/>
          </w:rPr>
          <w:t>237/2015</w:t>
        </w:r>
      </w:hyperlink>
      <w:r>
        <w:t>, f. 5.</w:t>
      </w:r>
    </w:p>
    <w:p w:rsidR="00981775" w:rsidRDefault="00981775" w:rsidP="00981775">
      <w:pPr>
        <w:pStyle w:val="SangriaFrancesaArticulo"/>
      </w:pPr>
      <w:r w:rsidRPr="00981775">
        <w:rPr>
          <w:rStyle w:val="TextoNormalNegritaCaracter"/>
        </w:rPr>
        <w:t>Artículo 5.</w:t>
      </w:r>
      <w:r w:rsidRPr="00981775">
        <w:rPr>
          <w:rStyle w:val="TextoNormalCaracter"/>
        </w:rPr>
        <w:t>-</w:t>
      </w:r>
      <w:r>
        <w:t xml:space="preserve"> Sentencia </w:t>
      </w:r>
      <w:hyperlink w:anchor="SENTENCIA_2015_229" w:history="1">
        <w:r w:rsidRPr="00981775">
          <w:rPr>
            <w:rStyle w:val="TextoNormalCaracter"/>
          </w:rPr>
          <w:t>229/2015</w:t>
        </w:r>
      </w:hyperlink>
      <w:r>
        <w:t>, ff. 6, 7.</w:t>
      </w:r>
    </w:p>
    <w:p w:rsidR="00981775" w:rsidRDefault="00981775" w:rsidP="00981775">
      <w:pPr>
        <w:pStyle w:val="SangriaFrancesaArticulo"/>
      </w:pPr>
      <w:r w:rsidRPr="00981775">
        <w:rPr>
          <w:rStyle w:val="TextoNormalNegritaCaracter"/>
        </w:rPr>
        <w:t>Artículo 5.5.</w:t>
      </w:r>
      <w:r w:rsidRPr="00981775">
        <w:rPr>
          <w:rStyle w:val="TextoNormalCaracter"/>
        </w:rPr>
        <w:t>-</w:t>
      </w:r>
      <w:r>
        <w:t xml:space="preserve"> Sentencia </w:t>
      </w:r>
      <w:hyperlink w:anchor="SENTENCIA_2015_229" w:history="1">
        <w:r w:rsidRPr="00981775">
          <w:rPr>
            <w:rStyle w:val="TextoNormalCaracter"/>
          </w:rPr>
          <w:t>229/2015</w:t>
        </w:r>
      </w:hyperlink>
      <w:r>
        <w:t>, f. 6.</w:t>
      </w:r>
    </w:p>
    <w:p w:rsidR="00981775" w:rsidRDefault="00981775" w:rsidP="00981775">
      <w:pPr>
        <w:pStyle w:val="SangriaFrancesaArticulo"/>
      </w:pPr>
      <w:r w:rsidRPr="00981775">
        <w:rPr>
          <w:rStyle w:val="TextoNormalNegritaCaracter"/>
        </w:rPr>
        <w:t>Disposición final primera.</w:t>
      </w:r>
      <w:r w:rsidRPr="00981775">
        <w:rPr>
          <w:rStyle w:val="TextoNormalCaracter"/>
        </w:rPr>
        <w:t>-</w:t>
      </w:r>
      <w:r>
        <w:t xml:space="preserve"> Sentencia </w:t>
      </w:r>
      <w:hyperlink w:anchor="SENTENCIA_2015_229" w:history="1">
        <w:r w:rsidRPr="00981775">
          <w:rPr>
            <w:rStyle w:val="TextoNormalCaracter"/>
          </w:rPr>
          <w:t>229/2015</w:t>
        </w:r>
      </w:hyperlink>
      <w:r>
        <w:t>, f. 6.</w:t>
      </w:r>
    </w:p>
    <w:p w:rsidR="00981775" w:rsidRDefault="00981775" w:rsidP="00981775">
      <w:pPr>
        <w:pStyle w:val="SangriaFrancesaArticulo"/>
      </w:pPr>
    </w:p>
    <w:p w:rsidR="00981775" w:rsidRDefault="00981775" w:rsidP="00981775">
      <w:pPr>
        <w:pStyle w:val="TextoNormalNegritaCursivandice"/>
      </w:pPr>
      <w:r>
        <w:t>Ley 26/2009, de 23 de diciembre. Presupuestos generales del Estado para 2010</w:t>
      </w:r>
    </w:p>
    <w:p w:rsidR="00981775" w:rsidRDefault="00981775" w:rsidP="00981775">
      <w:pPr>
        <w:pStyle w:val="SangriaFrancesaArticulo"/>
      </w:pPr>
      <w:r w:rsidRPr="00981775">
        <w:rPr>
          <w:rStyle w:val="TextoNormalNegritaCaracter"/>
        </w:rPr>
        <w:t>Artículo 22.3.</w:t>
      </w:r>
      <w:r w:rsidRPr="00981775">
        <w:rPr>
          <w:rStyle w:val="TextoNormalCaracter"/>
        </w:rPr>
        <w:t>-</w:t>
      </w:r>
      <w:r>
        <w:t xml:space="preserve"> Sentencia </w:t>
      </w:r>
      <w:hyperlink w:anchor="SENTENCIA_2015_215" w:history="1">
        <w:r w:rsidRPr="00981775">
          <w:rPr>
            <w:rStyle w:val="TextoNormalCaracter"/>
          </w:rPr>
          <w:t>215/2015</w:t>
        </w:r>
      </w:hyperlink>
      <w:r>
        <w:t>, f. 2.</w:t>
      </w:r>
    </w:p>
    <w:p w:rsidR="00981775" w:rsidRDefault="00981775" w:rsidP="00981775">
      <w:pPr>
        <w:pStyle w:val="SangriaFrancesaArticulo"/>
      </w:pPr>
    </w:p>
    <w:p w:rsidR="00981775" w:rsidRDefault="00981775" w:rsidP="00981775">
      <w:pPr>
        <w:pStyle w:val="TextoNormalNegritaCursivandice"/>
      </w:pPr>
      <w:r>
        <w:t>Ley 39/2010, de 22 de diciembre. Presupuestos generales del Estado para el año 2011</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15" w:history="1">
        <w:r w:rsidRPr="00981775">
          <w:rPr>
            <w:rStyle w:val="TextoNormalCaracter"/>
          </w:rPr>
          <w:t>215/2015</w:t>
        </w:r>
      </w:hyperlink>
      <w:r>
        <w:t>, f. 2.</w:t>
      </w:r>
    </w:p>
    <w:p w:rsidR="00981775" w:rsidRDefault="00981775" w:rsidP="00981775">
      <w:pPr>
        <w:pStyle w:val="SangriaFrancesaArticulo"/>
      </w:pPr>
      <w:r w:rsidRPr="00981775">
        <w:rPr>
          <w:rStyle w:val="TextoNormalNegritaCaracter"/>
        </w:rPr>
        <w:t>Artículo 22.3.</w:t>
      </w:r>
      <w:r w:rsidRPr="00981775">
        <w:rPr>
          <w:rStyle w:val="TextoNormalCaracter"/>
        </w:rPr>
        <w:t>-</w:t>
      </w:r>
      <w:r>
        <w:t xml:space="preserve"> Sentencia </w:t>
      </w:r>
      <w:hyperlink w:anchor="SENTENCIA_2015_215" w:history="1">
        <w:r w:rsidRPr="00981775">
          <w:rPr>
            <w:rStyle w:val="TextoNormalCaracter"/>
          </w:rPr>
          <w:t>215/2015</w:t>
        </w:r>
      </w:hyperlink>
      <w:r>
        <w:t>, f. 2.</w:t>
      </w:r>
    </w:p>
    <w:p w:rsidR="00981775" w:rsidRDefault="00981775" w:rsidP="00981775">
      <w:pPr>
        <w:pStyle w:val="SangriaFrancesaArticulo"/>
      </w:pPr>
      <w:r w:rsidRPr="00981775">
        <w:rPr>
          <w:rStyle w:val="TextoNormalNegritaCaracter"/>
        </w:rPr>
        <w:t>Artículo 31.1.</w:t>
      </w:r>
      <w:r w:rsidRPr="00981775">
        <w:rPr>
          <w:rStyle w:val="TextoNormalCaracter"/>
        </w:rPr>
        <w:t>-</w:t>
      </w:r>
      <w:r>
        <w:t xml:space="preserve"> Auto </w:t>
      </w:r>
      <w:hyperlink w:anchor="AUTO_2015_224" w:history="1">
        <w:r w:rsidRPr="00981775">
          <w:rPr>
            <w:rStyle w:val="TextoNormalCaracter"/>
          </w:rPr>
          <w:t>224/2015</w:t>
        </w:r>
      </w:hyperlink>
      <w:r>
        <w:t>, f. 1.</w:t>
      </w:r>
    </w:p>
    <w:p w:rsidR="00981775" w:rsidRDefault="00981775" w:rsidP="00981775">
      <w:pPr>
        <w:pStyle w:val="SangriaFrancesaArticulo"/>
      </w:pPr>
    </w:p>
    <w:p w:rsidR="00981775" w:rsidRDefault="00981775" w:rsidP="00981775">
      <w:pPr>
        <w:pStyle w:val="TextoNormalNegritaCursivandice"/>
      </w:pPr>
      <w:r>
        <w:t>Ley 20/2011, de 21 de julio. Registro Civil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99" w:history="1">
        <w:r w:rsidRPr="00981775">
          <w:rPr>
            <w:rStyle w:val="TextoNormalCaracter"/>
          </w:rPr>
          <w:t>199/2015</w:t>
        </w:r>
      </w:hyperlink>
      <w:r>
        <w:t>, ff. 2, 10.</w:t>
      </w:r>
    </w:p>
    <w:p w:rsidR="00981775" w:rsidRDefault="00981775" w:rsidP="00981775">
      <w:pPr>
        <w:pStyle w:val="SangriaFrancesaArticulo"/>
      </w:pPr>
      <w:r w:rsidRPr="00981775">
        <w:rPr>
          <w:rStyle w:val="TextoNormalNegritaCaracter"/>
        </w:rPr>
        <w:t>Disposición adicional decimonovena.</w:t>
      </w:r>
      <w:r w:rsidRPr="00981775">
        <w:rPr>
          <w:rStyle w:val="TextoNormalCaracter"/>
        </w:rPr>
        <w:t>-</w:t>
      </w:r>
      <w:r>
        <w:t xml:space="preserve"> Sentencia </w:t>
      </w:r>
      <w:hyperlink w:anchor="SENTENCIA_2015_199" w:history="1">
        <w:r w:rsidRPr="00981775">
          <w:rPr>
            <w:rStyle w:val="TextoNormalCaracter"/>
          </w:rPr>
          <w:t>199/2015</w:t>
        </w:r>
      </w:hyperlink>
      <w:r>
        <w:t>, ff. 2, 10.</w:t>
      </w:r>
    </w:p>
    <w:p w:rsidR="00981775" w:rsidRDefault="00981775" w:rsidP="00981775">
      <w:pPr>
        <w:pStyle w:val="SangriaFrancesaArticulo"/>
      </w:pPr>
      <w:r w:rsidRPr="00981775">
        <w:rPr>
          <w:rStyle w:val="TextoNormalNegritaCaracter"/>
        </w:rPr>
        <w:t>Disposición adicional vigésima.</w:t>
      </w:r>
      <w:r w:rsidRPr="00981775">
        <w:rPr>
          <w:rStyle w:val="TextoNormalCaracter"/>
        </w:rPr>
        <w:t>-</w:t>
      </w:r>
      <w:r>
        <w:t xml:space="preserve"> Sentencia </w:t>
      </w:r>
      <w:hyperlink w:anchor="SENTENCIA_2015_199" w:history="1">
        <w:r w:rsidRPr="00981775">
          <w:rPr>
            <w:rStyle w:val="TextoNormalCaracter"/>
          </w:rPr>
          <w:t>199/2015</w:t>
        </w:r>
      </w:hyperlink>
      <w:r>
        <w:t>, ff. 2, 10.</w:t>
      </w:r>
    </w:p>
    <w:p w:rsidR="00981775" w:rsidRDefault="00981775" w:rsidP="00981775">
      <w:pPr>
        <w:pStyle w:val="SangriaFrancesaArticulo"/>
      </w:pPr>
      <w:r w:rsidRPr="00981775">
        <w:rPr>
          <w:rStyle w:val="TextoNormalNegritaCaracter"/>
        </w:rPr>
        <w:t>Disposición adicional vigesimoprimera.</w:t>
      </w:r>
      <w:r w:rsidRPr="00981775">
        <w:rPr>
          <w:rStyle w:val="TextoNormalCaracter"/>
        </w:rPr>
        <w:t>-</w:t>
      </w:r>
      <w:r>
        <w:t xml:space="preserve"> Sentencia </w:t>
      </w:r>
      <w:hyperlink w:anchor="SENTENCIA_2015_199" w:history="1">
        <w:r w:rsidRPr="00981775">
          <w:rPr>
            <w:rStyle w:val="TextoNormalCaracter"/>
          </w:rPr>
          <w:t>199/2015</w:t>
        </w:r>
      </w:hyperlink>
      <w:r>
        <w:t>, ff. 2, 10.</w:t>
      </w:r>
    </w:p>
    <w:p w:rsidR="00981775" w:rsidRDefault="00981775" w:rsidP="00981775">
      <w:pPr>
        <w:pStyle w:val="SangriaFrancesaArticulo"/>
      </w:pPr>
      <w:r w:rsidRPr="00981775">
        <w:rPr>
          <w:rStyle w:val="TextoNormalNegritaCaracter"/>
        </w:rPr>
        <w:t>Disposición adicional vigesimosegunda.</w:t>
      </w:r>
      <w:r w:rsidRPr="00981775">
        <w:rPr>
          <w:rStyle w:val="TextoNormalCaracter"/>
        </w:rPr>
        <w:t>-</w:t>
      </w:r>
      <w:r>
        <w:t xml:space="preserve"> Sentencia </w:t>
      </w:r>
      <w:hyperlink w:anchor="SENTENCIA_2015_199" w:history="1">
        <w:r w:rsidRPr="00981775">
          <w:rPr>
            <w:rStyle w:val="TextoNormalCaracter"/>
          </w:rPr>
          <w:t>199/2015</w:t>
        </w:r>
      </w:hyperlink>
      <w:r>
        <w:t>, ff. 2, 10.</w:t>
      </w:r>
    </w:p>
    <w:p w:rsidR="00981775" w:rsidRDefault="00981775" w:rsidP="00981775">
      <w:pPr>
        <w:pStyle w:val="SangriaFrancesaArticulo"/>
      </w:pPr>
      <w:r w:rsidRPr="00981775">
        <w:rPr>
          <w:rStyle w:val="TextoNormalNegritaCaracter"/>
        </w:rPr>
        <w:t>Disposición adicional vigesimotercera.</w:t>
      </w:r>
      <w:r w:rsidRPr="00981775">
        <w:rPr>
          <w:rStyle w:val="TextoNormalCaracter"/>
        </w:rPr>
        <w:t>-</w:t>
      </w:r>
      <w:r>
        <w:t xml:space="preserve"> Sentencia </w:t>
      </w:r>
      <w:hyperlink w:anchor="SENTENCIA_2015_199" w:history="1">
        <w:r w:rsidRPr="00981775">
          <w:rPr>
            <w:rStyle w:val="TextoNormalCaracter"/>
          </w:rPr>
          <w:t>199/2015</w:t>
        </w:r>
      </w:hyperlink>
      <w:r>
        <w:t>, ff. 2, 10.</w:t>
      </w:r>
    </w:p>
    <w:p w:rsidR="00981775" w:rsidRDefault="00981775" w:rsidP="00981775">
      <w:pPr>
        <w:pStyle w:val="SangriaFrancesaArticulo"/>
      </w:pPr>
      <w:r w:rsidRPr="00981775">
        <w:rPr>
          <w:rStyle w:val="TextoNormalNegritaCaracter"/>
        </w:rPr>
        <w:t>Disposición adicional vigesimocuarta.</w:t>
      </w:r>
      <w:r w:rsidRPr="00981775">
        <w:rPr>
          <w:rStyle w:val="TextoNormalCaracter"/>
        </w:rPr>
        <w:t>-</w:t>
      </w:r>
      <w:r>
        <w:t xml:space="preserve"> Sentencia </w:t>
      </w:r>
      <w:hyperlink w:anchor="SENTENCIA_2015_199" w:history="1">
        <w:r w:rsidRPr="00981775">
          <w:rPr>
            <w:rStyle w:val="TextoNormalCaracter"/>
          </w:rPr>
          <w:t>199/2015</w:t>
        </w:r>
      </w:hyperlink>
      <w:r>
        <w:t>, ff. 2, 10.</w:t>
      </w:r>
    </w:p>
    <w:p w:rsidR="00981775" w:rsidRDefault="00981775" w:rsidP="00981775">
      <w:pPr>
        <w:pStyle w:val="SangriaFrancesaArticulo"/>
      </w:pPr>
      <w:r w:rsidRPr="00981775">
        <w:rPr>
          <w:rStyle w:val="TextoNormalNegritaCaracter"/>
        </w:rPr>
        <w:t>Disposición final décima.</w:t>
      </w:r>
      <w:r w:rsidRPr="00981775">
        <w:rPr>
          <w:rStyle w:val="TextoNormalCaracter"/>
        </w:rPr>
        <w:t>-</w:t>
      </w:r>
      <w:r>
        <w:t xml:space="preserve"> Sentencia </w:t>
      </w:r>
      <w:hyperlink w:anchor="SENTENCIA_2015_199" w:history="1">
        <w:r w:rsidRPr="00981775">
          <w:rPr>
            <w:rStyle w:val="TextoNormalCaracter"/>
          </w:rPr>
          <w:t>199/2015</w:t>
        </w:r>
      </w:hyperlink>
      <w:r>
        <w:t>, f. 10.</w:t>
      </w:r>
    </w:p>
    <w:p w:rsidR="00981775" w:rsidRDefault="00981775" w:rsidP="00981775">
      <w:pPr>
        <w:pStyle w:val="SangriaFrancesaArticulo"/>
      </w:pPr>
      <w:r w:rsidRPr="00981775">
        <w:rPr>
          <w:rStyle w:val="TextoNormalNegritaCaracter"/>
        </w:rPr>
        <w:t>Disposición final décima</w:t>
      </w:r>
      <w:r>
        <w:t xml:space="preserve"> (redactada por la Ley 19/2015, de 13 de julio)</w:t>
      </w:r>
      <w:r w:rsidRPr="00981775">
        <w:rPr>
          <w:rStyle w:val="TextoNormalNegritaCaracter"/>
        </w:rPr>
        <w:t>.</w:t>
      </w:r>
      <w:r w:rsidRPr="00981775">
        <w:rPr>
          <w:rStyle w:val="TextoNormalCaracter"/>
        </w:rPr>
        <w:t>-</w:t>
      </w:r>
      <w:r>
        <w:t xml:space="preserve"> Sentencia </w:t>
      </w:r>
      <w:hyperlink w:anchor="SENTENCIA_2015_199" w:history="1">
        <w:r w:rsidRPr="00981775">
          <w:rPr>
            <w:rStyle w:val="TextoNormalCaracter"/>
          </w:rPr>
          <w:t>199/2015</w:t>
        </w:r>
      </w:hyperlink>
      <w:r>
        <w:t>, f. 10.</w:t>
      </w:r>
    </w:p>
    <w:p w:rsidR="00981775" w:rsidRDefault="00981775" w:rsidP="00981775">
      <w:pPr>
        <w:pStyle w:val="SangriaFrancesaArticulo"/>
      </w:pPr>
    </w:p>
    <w:p w:rsidR="00981775" w:rsidRDefault="00981775" w:rsidP="00981775">
      <w:pPr>
        <w:pStyle w:val="TextoNormalNegritaCursivandice"/>
      </w:pPr>
      <w:r>
        <w:t>Ley 22/2011, de 28 de julio. Residuos y suelos contaminados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1" w:history="1">
        <w:r w:rsidRPr="00981775">
          <w:rPr>
            <w:rStyle w:val="TextoNormalCaracter"/>
          </w:rPr>
          <w:t>231/2015</w:t>
        </w:r>
      </w:hyperlink>
      <w:r>
        <w:t>, ff. 1, 8.</w:t>
      </w:r>
    </w:p>
    <w:p w:rsidR="00981775" w:rsidRDefault="00981775" w:rsidP="00981775">
      <w:pPr>
        <w:pStyle w:val="SangriaFrancesaArticulo"/>
      </w:pPr>
      <w:r w:rsidRPr="00981775">
        <w:rPr>
          <w:rStyle w:val="TextoNormalNegritaCaracter"/>
        </w:rPr>
        <w:t>Exposición de motivos.</w:t>
      </w:r>
      <w:r w:rsidRPr="00981775">
        <w:rPr>
          <w:rStyle w:val="TextoNormalCaracter"/>
        </w:rPr>
        <w:t>-</w:t>
      </w:r>
      <w:r>
        <w:t xml:space="preserve"> Sentencia </w:t>
      </w:r>
      <w:hyperlink w:anchor="SENTENCIA_2015_231" w:history="1">
        <w:r w:rsidRPr="00981775">
          <w:rPr>
            <w:rStyle w:val="TextoNormalCaracter"/>
          </w:rPr>
          <w:t>231/2015</w:t>
        </w:r>
      </w:hyperlink>
      <w:r>
        <w:t>, f. 6.</w:t>
      </w:r>
    </w:p>
    <w:p w:rsidR="00981775" w:rsidRDefault="00981775" w:rsidP="00981775">
      <w:pPr>
        <w:pStyle w:val="SangriaFrancesaArticulo"/>
      </w:pPr>
      <w:r w:rsidRPr="00981775">
        <w:rPr>
          <w:rStyle w:val="TextoNormalNegritaCaracter"/>
        </w:rPr>
        <w:t>Disposición adicional decimoquinta.</w:t>
      </w:r>
      <w:r w:rsidRPr="00981775">
        <w:rPr>
          <w:rStyle w:val="TextoNormalCaracter"/>
        </w:rPr>
        <w:t>-</w:t>
      </w:r>
      <w:r>
        <w:t xml:space="preserve"> Sentencia </w:t>
      </w:r>
      <w:hyperlink w:anchor="SENTENCIA_2015_231" w:history="1">
        <w:r w:rsidRPr="00981775">
          <w:rPr>
            <w:rStyle w:val="TextoNormalCaracter"/>
          </w:rPr>
          <w:t>231/2015</w:t>
        </w:r>
      </w:hyperlink>
      <w:r>
        <w:t>, ff. 1 a 6, 9, 11 a 13.</w:t>
      </w:r>
    </w:p>
    <w:p w:rsidR="00981775" w:rsidRDefault="00981775" w:rsidP="00981775">
      <w:pPr>
        <w:pStyle w:val="SangriaFrancesaArticulo"/>
      </w:pPr>
      <w:r w:rsidRPr="00981775">
        <w:rPr>
          <w:rStyle w:val="TextoNormalNegritaCaracter"/>
        </w:rPr>
        <w:t>disposición adicional decimoquinta, apartado 1 párrafo 2.</w:t>
      </w:r>
      <w:r w:rsidRPr="00981775">
        <w:rPr>
          <w:rStyle w:val="TextoNormalCaracter"/>
        </w:rPr>
        <w:t>-</w:t>
      </w:r>
      <w:r>
        <w:t xml:space="preserve"> Sentencia </w:t>
      </w:r>
      <w:hyperlink w:anchor="SENTENCIA_2015_231" w:history="1">
        <w:r w:rsidRPr="00981775">
          <w:rPr>
            <w:rStyle w:val="TextoNormalCaracter"/>
          </w:rPr>
          <w:t>231/2015</w:t>
        </w:r>
      </w:hyperlink>
      <w:r>
        <w:t>, f. 11.</w:t>
      </w:r>
    </w:p>
    <w:p w:rsidR="00981775" w:rsidRDefault="00981775" w:rsidP="00981775">
      <w:pPr>
        <w:pStyle w:val="SangriaFrancesaArticulo"/>
      </w:pPr>
      <w:r w:rsidRPr="00981775">
        <w:rPr>
          <w:rStyle w:val="TextoNormalNegritaCaracter"/>
        </w:rPr>
        <w:t>Disposición adicional decimoquinta, apartado 2.</w:t>
      </w:r>
      <w:r w:rsidRPr="00981775">
        <w:rPr>
          <w:rStyle w:val="TextoNormalCaracter"/>
        </w:rPr>
        <w:t>-</w:t>
      </w:r>
      <w:r>
        <w:t xml:space="preserve"> Sentencia </w:t>
      </w:r>
      <w:hyperlink w:anchor="SENTENCIA_2015_231" w:history="1">
        <w:r w:rsidRPr="00981775">
          <w:rPr>
            <w:rStyle w:val="TextoNormalCaracter"/>
          </w:rPr>
          <w:t>231/2015</w:t>
        </w:r>
      </w:hyperlink>
      <w:r>
        <w:t>, f. 11.</w:t>
      </w:r>
    </w:p>
    <w:p w:rsidR="00981775" w:rsidRDefault="00981775" w:rsidP="00981775">
      <w:pPr>
        <w:pStyle w:val="SangriaFrancesaArticulo"/>
      </w:pPr>
    </w:p>
    <w:p w:rsidR="00981775" w:rsidRDefault="00981775" w:rsidP="00981775">
      <w:pPr>
        <w:pStyle w:val="TextoNormalNegritaCursivandice"/>
      </w:pPr>
      <w:r>
        <w:t>Ley 36/2011, de 10 de octubre. Reguladora de la jurisdicción social</w:t>
      </w:r>
    </w:p>
    <w:p w:rsidR="00981775" w:rsidRDefault="00981775" w:rsidP="00981775">
      <w:pPr>
        <w:pStyle w:val="SangriaFrancesaArticulo"/>
      </w:pPr>
      <w:r w:rsidRPr="00981775">
        <w:rPr>
          <w:rStyle w:val="TextoNormalNegritaCaracter"/>
        </w:rPr>
        <w:t>Artículo 83.2.</w:t>
      </w:r>
      <w:r w:rsidRPr="00981775">
        <w:rPr>
          <w:rStyle w:val="TextoNormalCaracter"/>
        </w:rPr>
        <w:t>-</w:t>
      </w:r>
      <w:r>
        <w:t xml:space="preserve"> Sentencia </w:t>
      </w:r>
      <w:hyperlink w:anchor="SENTENCIA_2015_194" w:history="1">
        <w:r w:rsidRPr="00981775">
          <w:rPr>
            <w:rStyle w:val="TextoNormalCaracter"/>
          </w:rPr>
          <w:t>194/2015</w:t>
        </w:r>
      </w:hyperlink>
      <w:r>
        <w:t>, f. 6.</w:t>
      </w:r>
    </w:p>
    <w:p w:rsidR="00981775" w:rsidRDefault="00981775" w:rsidP="00981775">
      <w:pPr>
        <w:pStyle w:val="SangriaFrancesaArticulo"/>
      </w:pPr>
    </w:p>
    <w:p w:rsidR="00981775" w:rsidRDefault="00981775" w:rsidP="00981775">
      <w:pPr>
        <w:pStyle w:val="TextoNormalNegritaCursivandice"/>
      </w:pPr>
      <w:r>
        <w:t>Ley 2/2012, de 29 de junio. Presupuestos Generales del Estado para el año 2012</w:t>
      </w:r>
    </w:p>
    <w:p w:rsidR="00981775" w:rsidRDefault="00981775" w:rsidP="00981775">
      <w:pPr>
        <w:pStyle w:val="SangriaFrancesaArticulo"/>
      </w:pPr>
      <w:r w:rsidRPr="00981775">
        <w:rPr>
          <w:rStyle w:val="TextoNormalNegritaCaracter"/>
        </w:rPr>
        <w:t>Artículo 2.2.2.1.</w:t>
      </w:r>
      <w:r w:rsidRPr="00981775">
        <w:rPr>
          <w:rStyle w:val="TextoNormalCaracter"/>
        </w:rPr>
        <w:t>-</w:t>
      </w:r>
      <w:r>
        <w:t xml:space="preserve"> Sentencia </w:t>
      </w:r>
      <w:hyperlink w:anchor="SENTENCIA_2015_206" w:history="1">
        <w:r w:rsidRPr="00981775">
          <w:rPr>
            <w:rStyle w:val="TextoNormalCaracter"/>
          </w:rPr>
          <w:t>206/2015</w:t>
        </w:r>
      </w:hyperlink>
      <w:r>
        <w:t>, f. 2.</w:t>
      </w:r>
    </w:p>
    <w:p w:rsidR="00981775" w:rsidRDefault="00981775" w:rsidP="00981775">
      <w:pPr>
        <w:pStyle w:val="SangriaFrancesaArticulo"/>
      </w:pPr>
      <w:r w:rsidRPr="00981775">
        <w:rPr>
          <w:rStyle w:val="TextoNormalNegritaCaracter"/>
        </w:rPr>
        <w:t>Artículo 22.1.</w:t>
      </w:r>
      <w:r w:rsidRPr="00981775">
        <w:rPr>
          <w:rStyle w:val="TextoNormalCaracter"/>
        </w:rPr>
        <w:t>-</w:t>
      </w:r>
      <w:r>
        <w:t xml:space="preserve"> Sentencias </w:t>
      </w:r>
      <w:hyperlink w:anchor="SENTENCIA_2015_151" w:history="1">
        <w:r w:rsidRPr="00981775">
          <w:rPr>
            <w:rStyle w:val="TextoNormalCaracter"/>
          </w:rPr>
          <w:t>151/2015</w:t>
        </w:r>
      </w:hyperlink>
      <w:r>
        <w:t xml:space="preserve">, ff. 1, 2; </w:t>
      </w:r>
      <w:hyperlink w:anchor="SENTENCIA_2015_184" w:history="1">
        <w:r w:rsidRPr="00981775">
          <w:rPr>
            <w:rStyle w:val="TextoNormalCaracter"/>
          </w:rPr>
          <w:t>184/2015</w:t>
        </w:r>
      </w:hyperlink>
      <w:r>
        <w:t xml:space="preserve">, ff. 1, 2; </w:t>
      </w:r>
      <w:hyperlink w:anchor="SENTENCIA_2015_191" w:history="1">
        <w:r w:rsidRPr="00981775">
          <w:rPr>
            <w:rStyle w:val="TextoNormalCaracter"/>
          </w:rPr>
          <w:t>191/2015</w:t>
        </w:r>
      </w:hyperlink>
      <w:r>
        <w:t xml:space="preserve">, ff. 1, 2; </w:t>
      </w:r>
      <w:hyperlink w:anchor="SENTENCIA_2015_192" w:history="1">
        <w:r w:rsidRPr="00981775">
          <w:rPr>
            <w:rStyle w:val="TextoNormalCaracter"/>
          </w:rPr>
          <w:t>192/2015</w:t>
        </w:r>
      </w:hyperlink>
      <w:r>
        <w:t xml:space="preserve">, ff. 1, 2; </w:t>
      </w:r>
      <w:hyperlink w:anchor="SENTENCIA_2015_205" w:history="1">
        <w:r w:rsidRPr="00981775">
          <w:rPr>
            <w:rStyle w:val="TextoNormalCaracter"/>
          </w:rPr>
          <w:t>205/2015</w:t>
        </w:r>
      </w:hyperlink>
      <w:r>
        <w:t xml:space="preserve">, ff. 1, 2; </w:t>
      </w:r>
      <w:hyperlink w:anchor="SENTENCIA_2015_206" w:history="1">
        <w:r w:rsidRPr="00981775">
          <w:rPr>
            <w:rStyle w:val="TextoNormalCaracter"/>
          </w:rPr>
          <w:t>206/2015</w:t>
        </w:r>
      </w:hyperlink>
      <w:r>
        <w:t xml:space="preserve">, f. 2; </w:t>
      </w:r>
      <w:hyperlink w:anchor="SENTENCIA_2015_210" w:history="1">
        <w:r w:rsidRPr="00981775">
          <w:rPr>
            <w:rStyle w:val="TextoNormalCaracter"/>
          </w:rPr>
          <w:t>210/2015</w:t>
        </w:r>
      </w:hyperlink>
      <w:r>
        <w:t xml:space="preserve">, ff. 2, 3; </w:t>
      </w:r>
      <w:hyperlink w:anchor="SENTENCIA_2015_225" w:history="1">
        <w:r w:rsidRPr="00981775">
          <w:rPr>
            <w:rStyle w:val="TextoNormalCaracter"/>
          </w:rPr>
          <w:t>225/2015</w:t>
        </w:r>
      </w:hyperlink>
      <w:r>
        <w:t xml:space="preserve">, ff. 1, 2; </w:t>
      </w:r>
      <w:hyperlink w:anchor="SENTENCIA_2015_227" w:history="1">
        <w:r w:rsidRPr="00981775">
          <w:rPr>
            <w:rStyle w:val="TextoNormalCaracter"/>
          </w:rPr>
          <w:t>227/2015</w:t>
        </w:r>
      </w:hyperlink>
      <w:r>
        <w:t xml:space="preserve">, f. 2; </w:t>
      </w:r>
      <w:hyperlink w:anchor="SENTENCIA_2015_228" w:history="1">
        <w:r w:rsidRPr="00981775">
          <w:rPr>
            <w:rStyle w:val="TextoNormalCaracter"/>
          </w:rPr>
          <w:t>228/2015</w:t>
        </w:r>
      </w:hyperlink>
      <w:r>
        <w:t xml:space="preserve">, ff. 1, 2; </w:t>
      </w:r>
      <w:hyperlink w:anchor="SENTENCIA_2015_245" w:history="1">
        <w:r w:rsidRPr="00981775">
          <w:rPr>
            <w:rStyle w:val="TextoNormalCaracter"/>
          </w:rPr>
          <w:t>245/2015</w:t>
        </w:r>
      </w:hyperlink>
      <w:r>
        <w:t xml:space="preserve">, ff. 1, 2; </w:t>
      </w:r>
      <w:hyperlink w:anchor="SENTENCIA_2015_264" w:history="1">
        <w:r w:rsidRPr="00981775">
          <w:rPr>
            <w:rStyle w:val="TextoNormalCaracter"/>
          </w:rPr>
          <w:t>264/2015</w:t>
        </w:r>
      </w:hyperlink>
      <w:r>
        <w:t>, f. 2.</w:t>
      </w:r>
    </w:p>
    <w:p w:rsidR="00981775" w:rsidRDefault="00981775" w:rsidP="00981775">
      <w:pPr>
        <w:pStyle w:val="SangriaFrancesaArticulo"/>
      </w:pPr>
      <w:r w:rsidRPr="00981775">
        <w:rPr>
          <w:rStyle w:val="TextoNormalNegritaCaracter"/>
        </w:rPr>
        <w:t>Artículo 22.1 e).</w:t>
      </w:r>
      <w:r w:rsidRPr="00981775">
        <w:rPr>
          <w:rStyle w:val="TextoNormalCaracter"/>
        </w:rPr>
        <w:t>-</w:t>
      </w:r>
      <w:r>
        <w:t xml:space="preserve"> Auto </w:t>
      </w:r>
      <w:hyperlink w:anchor="AUTO_2015_172" w:history="1">
        <w:r w:rsidRPr="00981775">
          <w:rPr>
            <w:rStyle w:val="TextoNormalCaracter"/>
          </w:rPr>
          <w:t>172/2015</w:t>
        </w:r>
      </w:hyperlink>
      <w:r>
        <w:t>, f. 4.</w:t>
      </w:r>
    </w:p>
    <w:p w:rsidR="00981775" w:rsidRDefault="00981775" w:rsidP="00981775">
      <w:pPr>
        <w:pStyle w:val="SangriaFrancesaArticulo"/>
      </w:pPr>
      <w:r w:rsidRPr="00981775">
        <w:rPr>
          <w:rStyle w:val="TextoNormalNegritaCaracter"/>
        </w:rPr>
        <w:t>Artículo 26.</w:t>
      </w:r>
      <w:r w:rsidRPr="00981775">
        <w:rPr>
          <w:rStyle w:val="TextoNormalCaracter"/>
        </w:rPr>
        <w:t>-</w:t>
      </w:r>
      <w:r>
        <w:t xml:space="preserve"> Auto </w:t>
      </w:r>
      <w:hyperlink w:anchor="AUTO_2015_173" w:history="1">
        <w:r w:rsidRPr="00981775">
          <w:rPr>
            <w:rStyle w:val="TextoNormalCaracter"/>
          </w:rPr>
          <w:t>173/2015</w:t>
        </w:r>
      </w:hyperlink>
      <w:r>
        <w:t>, f. 4.</w:t>
      </w:r>
    </w:p>
    <w:p w:rsidR="00981775" w:rsidRDefault="00981775" w:rsidP="00981775">
      <w:pPr>
        <w:pStyle w:val="SangriaFrancesaArticulo"/>
      </w:pPr>
      <w:r w:rsidRPr="00981775">
        <w:rPr>
          <w:rStyle w:val="TextoNormalNegritaCaracter"/>
        </w:rPr>
        <w:t>Artículo 32.</w:t>
      </w:r>
      <w:r w:rsidRPr="00981775">
        <w:rPr>
          <w:rStyle w:val="TextoNormalCaracter"/>
        </w:rPr>
        <w:t>-</w:t>
      </w:r>
      <w:r>
        <w:t xml:space="preserve"> Sentencia </w:t>
      </w:r>
      <w:hyperlink w:anchor="SENTENCIA_2015_227" w:history="1">
        <w:r w:rsidRPr="00981775">
          <w:rPr>
            <w:rStyle w:val="TextoNormalCaracter"/>
          </w:rPr>
          <w:t>227/2015</w:t>
        </w:r>
      </w:hyperlink>
      <w:r>
        <w:t>, f. 2.</w:t>
      </w:r>
    </w:p>
    <w:p w:rsidR="00981775" w:rsidRDefault="00981775" w:rsidP="00981775">
      <w:pPr>
        <w:pStyle w:val="SangriaFrancesaArticulo"/>
      </w:pPr>
    </w:p>
    <w:p w:rsidR="00981775" w:rsidRDefault="00981775" w:rsidP="00981775">
      <w:pPr>
        <w:pStyle w:val="TextoNormalNegritaCursivandice"/>
      </w:pPr>
      <w:r>
        <w:t>Ley 10/2012, de 20 de noviembre. Se regulan determinadas tasas en el ámbito de la Administración de justicia y del Instituto Nacional de Toxicología y Ciencias Forenses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49" w:history="1">
        <w:r w:rsidRPr="00981775">
          <w:rPr>
            <w:rStyle w:val="TextoNormalCaracter"/>
          </w:rPr>
          <w:t>149/2015</w:t>
        </w:r>
      </w:hyperlink>
      <w:r>
        <w:t>, f. 3.</w:t>
      </w:r>
    </w:p>
    <w:p w:rsidR="00981775" w:rsidRDefault="00981775" w:rsidP="00981775">
      <w:pPr>
        <w:pStyle w:val="SangriaFrancesaArticulo"/>
      </w:pPr>
      <w:r w:rsidRPr="00981775">
        <w:rPr>
          <w:rStyle w:val="TextoNormalNegritaCaracter"/>
        </w:rPr>
        <w:t>Artículo 7.1</w:t>
      </w:r>
      <w:r>
        <w:t xml:space="preserve"> (redactado por el Real Decreto-ley 3/2013, de 22 de febrero)</w:t>
      </w:r>
      <w:r w:rsidRPr="00981775">
        <w:rPr>
          <w:rStyle w:val="TextoNormalNegritaCaracter"/>
        </w:rPr>
        <w:t>.</w:t>
      </w:r>
      <w:r w:rsidRPr="00981775">
        <w:rPr>
          <w:rStyle w:val="TextoNormalCaracter"/>
        </w:rPr>
        <w:t>-</w:t>
      </w:r>
      <w:r>
        <w:t xml:space="preserve"> Auto </w:t>
      </w:r>
      <w:hyperlink w:anchor="AUTO_2015_195" w:history="1">
        <w:r w:rsidRPr="00981775">
          <w:rPr>
            <w:rStyle w:val="TextoNormalCaracter"/>
          </w:rPr>
          <w:t>195/2015</w:t>
        </w:r>
      </w:hyperlink>
      <w:r>
        <w:t>, ff. 1, 4.</w:t>
      </w:r>
    </w:p>
    <w:p w:rsidR="00981775" w:rsidRDefault="00981775" w:rsidP="00981775">
      <w:pPr>
        <w:pStyle w:val="SangriaFrancesaArticulo"/>
      </w:pPr>
      <w:r w:rsidRPr="00981775">
        <w:rPr>
          <w:rStyle w:val="TextoNormalNegritaCaracter"/>
        </w:rPr>
        <w:t>Artículo 7.3</w:t>
      </w:r>
      <w:r>
        <w:t xml:space="preserve"> (redactado por el Real Decreto-ley 3/2013, de 22 de febrero)</w:t>
      </w:r>
      <w:r w:rsidRPr="00981775">
        <w:rPr>
          <w:rStyle w:val="TextoNormalNegritaCaracter"/>
        </w:rPr>
        <w:t>.</w:t>
      </w:r>
      <w:r w:rsidRPr="00981775">
        <w:rPr>
          <w:rStyle w:val="TextoNormalCaracter"/>
        </w:rPr>
        <w:t>-</w:t>
      </w:r>
      <w:r>
        <w:t xml:space="preserve"> Auto </w:t>
      </w:r>
      <w:hyperlink w:anchor="AUTO_2015_195" w:history="1">
        <w:r w:rsidRPr="00981775">
          <w:rPr>
            <w:rStyle w:val="TextoNormalCaracter"/>
          </w:rPr>
          <w:t>195/2015</w:t>
        </w:r>
      </w:hyperlink>
      <w:r>
        <w:t>, ff. 1, 4.</w:t>
      </w:r>
    </w:p>
    <w:p w:rsidR="00981775" w:rsidRDefault="00981775" w:rsidP="00981775">
      <w:pPr>
        <w:pStyle w:val="SangriaFrancesaArticulo"/>
      </w:pPr>
      <w:r w:rsidRPr="00981775">
        <w:rPr>
          <w:rStyle w:val="TextoNormalNegritaCaracter"/>
        </w:rPr>
        <w:t>Artículo 8.2.</w:t>
      </w:r>
      <w:r w:rsidRPr="00981775">
        <w:rPr>
          <w:rStyle w:val="TextoNormalCaracter"/>
        </w:rPr>
        <w:t>-</w:t>
      </w:r>
      <w:r>
        <w:t xml:space="preserve"> Sentencia </w:t>
      </w:r>
      <w:hyperlink w:anchor="SENTENCIA_2015_149" w:history="1">
        <w:r w:rsidRPr="00981775">
          <w:rPr>
            <w:rStyle w:val="TextoNormalCaracter"/>
          </w:rPr>
          <w:t>149/2015</w:t>
        </w:r>
      </w:hyperlink>
      <w:r>
        <w:t>, ff. 1 a 4.</w:t>
      </w:r>
    </w:p>
    <w:p w:rsidR="00981775" w:rsidRDefault="00981775" w:rsidP="00981775">
      <w:pPr>
        <w:pStyle w:val="SangriaFrancesaArticulo"/>
      </w:pPr>
      <w:r w:rsidRPr="00981775">
        <w:rPr>
          <w:rStyle w:val="TextoNormalNegritaCaracter"/>
        </w:rPr>
        <w:t>Artículo 8.2</w:t>
      </w:r>
      <w:r>
        <w:t xml:space="preserve"> (redactado por el Real Decreto-ley 3/2013, de 22 de febrero)</w:t>
      </w:r>
      <w:r w:rsidRPr="00981775">
        <w:rPr>
          <w:rStyle w:val="TextoNormalNegritaCaracter"/>
        </w:rPr>
        <w:t>.</w:t>
      </w:r>
      <w:r w:rsidRPr="00981775">
        <w:rPr>
          <w:rStyle w:val="TextoNormalCaracter"/>
        </w:rPr>
        <w:t>-</w:t>
      </w:r>
      <w:r>
        <w:t xml:space="preserve"> Auto </w:t>
      </w:r>
      <w:hyperlink w:anchor="AUTO_2015_195" w:history="1">
        <w:r w:rsidRPr="00981775">
          <w:rPr>
            <w:rStyle w:val="TextoNormalCaracter"/>
          </w:rPr>
          <w:t>195/2015</w:t>
        </w:r>
      </w:hyperlink>
      <w:r>
        <w:t>, ff. 1, 3, 4.</w:t>
      </w:r>
    </w:p>
    <w:p w:rsidR="00981775" w:rsidRDefault="00981775" w:rsidP="00981775">
      <w:pPr>
        <w:pStyle w:val="SangriaFrancesaArticulo"/>
      </w:pPr>
      <w:r w:rsidRPr="00981775">
        <w:rPr>
          <w:rStyle w:val="TextoNormalNegritaCaracter"/>
        </w:rPr>
        <w:t>Artículo 8.2 párrafo 2.</w:t>
      </w:r>
      <w:r w:rsidRPr="00981775">
        <w:rPr>
          <w:rStyle w:val="TextoNormalCaracter"/>
        </w:rPr>
        <w:t>-</w:t>
      </w:r>
      <w:r>
        <w:t xml:space="preserve"> Sentencia </w:t>
      </w:r>
      <w:hyperlink w:anchor="SENTENCIA_2015_149" w:history="1">
        <w:r w:rsidRPr="00981775">
          <w:rPr>
            <w:rStyle w:val="TextoNormalCaracter"/>
          </w:rPr>
          <w:t>149/2015</w:t>
        </w:r>
      </w:hyperlink>
      <w:r>
        <w:t>, ff. 2 a 4.</w:t>
      </w:r>
    </w:p>
    <w:p w:rsidR="00981775" w:rsidRDefault="00981775" w:rsidP="00981775">
      <w:pPr>
        <w:pStyle w:val="SangriaFrancesaArticulo"/>
      </w:pPr>
      <w:r w:rsidRPr="00981775">
        <w:rPr>
          <w:rStyle w:val="TextoNormalNegritaCaracter"/>
        </w:rPr>
        <w:t>Artículo 9.2.</w:t>
      </w:r>
      <w:r w:rsidRPr="00981775">
        <w:rPr>
          <w:rStyle w:val="TextoNormalCaracter"/>
        </w:rPr>
        <w:t>-</w:t>
      </w:r>
      <w:r>
        <w:t xml:space="preserve"> Sentencia </w:t>
      </w:r>
      <w:hyperlink w:anchor="SENTENCIA_2015_149" w:history="1">
        <w:r w:rsidRPr="00981775">
          <w:rPr>
            <w:rStyle w:val="TextoNormalCaracter"/>
          </w:rPr>
          <w:t>149/2015</w:t>
        </w:r>
      </w:hyperlink>
      <w:r>
        <w:t>, f. 1.</w:t>
      </w:r>
    </w:p>
    <w:p w:rsidR="00981775" w:rsidRDefault="00981775" w:rsidP="00981775">
      <w:pPr>
        <w:pStyle w:val="SangriaFrancesaArticulo"/>
      </w:pPr>
    </w:p>
    <w:p w:rsidR="00981775" w:rsidRDefault="00981775" w:rsidP="00981775">
      <w:pPr>
        <w:pStyle w:val="TextoNormalNegritaCursivandice"/>
      </w:pPr>
      <w:r>
        <w:t>Ley 15/2012, de 27 de diciembre. Medidas fiscales para la sostenibilidad energética</w:t>
      </w:r>
    </w:p>
    <w:p w:rsidR="00981775" w:rsidRDefault="00981775" w:rsidP="00981775">
      <w:pPr>
        <w:pStyle w:val="SangriaFrancesaArticulo"/>
      </w:pPr>
      <w:r w:rsidRPr="00981775">
        <w:rPr>
          <w:rStyle w:val="TextoNormalNegritaCaracter"/>
        </w:rPr>
        <w:t>Artículos 15 a 18.</w:t>
      </w:r>
      <w:r w:rsidRPr="00981775">
        <w:rPr>
          <w:rStyle w:val="TextoNormalCaracter"/>
        </w:rPr>
        <w:t>-</w:t>
      </w:r>
      <w:r>
        <w:t xml:space="preserve"> Auto </w:t>
      </w:r>
      <w:hyperlink w:anchor="AUTO_2015_202" w:history="1">
        <w:r w:rsidRPr="00981775">
          <w:rPr>
            <w:rStyle w:val="TextoNormalCaracter"/>
          </w:rPr>
          <w:t>202/2015</w:t>
        </w:r>
      </w:hyperlink>
      <w:r>
        <w:t>, f. 1.</w:t>
      </w:r>
    </w:p>
    <w:p w:rsidR="00981775" w:rsidRDefault="00981775" w:rsidP="00981775">
      <w:pPr>
        <w:pStyle w:val="SangriaFrancesaArticulo"/>
      </w:pPr>
    </w:p>
    <w:p w:rsidR="00981775" w:rsidRDefault="00981775" w:rsidP="00981775">
      <w:pPr>
        <w:pStyle w:val="TextoNormalNegritaCursivandice"/>
      </w:pPr>
      <w:r>
        <w:t>Ley 16/2012, de 27 de diciembre. Diversas medidas tributarias dirigidas a la consolidación de las finanzas públicas y al impulso de la actividad económica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11" w:history="1">
        <w:r w:rsidRPr="00981775">
          <w:rPr>
            <w:rStyle w:val="TextoNormalCaracter"/>
          </w:rPr>
          <w:t>211/2015</w:t>
        </w:r>
      </w:hyperlink>
      <w:r>
        <w:t>, f. 5, VP.</w:t>
      </w:r>
    </w:p>
    <w:p w:rsidR="00981775" w:rsidRDefault="00981775" w:rsidP="00981775">
      <w:pPr>
        <w:pStyle w:val="SangriaFrancesaArticulo"/>
      </w:pPr>
      <w:r w:rsidRPr="00981775">
        <w:rPr>
          <w:rStyle w:val="TextoNormalNegritaCaracter"/>
        </w:rPr>
        <w:t>Artículo 19.</w:t>
      </w:r>
      <w:r w:rsidRPr="00981775">
        <w:rPr>
          <w:rStyle w:val="TextoNormalCaracter"/>
        </w:rPr>
        <w:t>-</w:t>
      </w:r>
      <w:r>
        <w:t xml:space="preserve"> Sentencia </w:t>
      </w:r>
      <w:hyperlink w:anchor="SENTENCIA_2015_202" w:history="1">
        <w:r w:rsidRPr="00981775">
          <w:rPr>
            <w:rStyle w:val="TextoNormalCaracter"/>
          </w:rPr>
          <w:t>202/2015</w:t>
        </w:r>
      </w:hyperlink>
      <w:r>
        <w:t>, ff. 1 a 3.</w:t>
      </w:r>
    </w:p>
    <w:p w:rsidR="00981775" w:rsidRDefault="00981775" w:rsidP="00981775">
      <w:pPr>
        <w:pStyle w:val="SangriaFrancesaArticulo"/>
      </w:pPr>
      <w:r w:rsidRPr="00981775">
        <w:rPr>
          <w:rStyle w:val="TextoNormalNegritaCaracter"/>
        </w:rPr>
        <w:t>Artículo 19</w:t>
      </w:r>
      <w:r>
        <w:t xml:space="preserve"> (redactado por el Real Decreto-ley 8/2014, de 4 de julio)</w:t>
      </w:r>
      <w:r w:rsidRPr="00981775">
        <w:rPr>
          <w:rStyle w:val="TextoNormalNegritaCaracter"/>
        </w:rPr>
        <w:t>.</w:t>
      </w:r>
      <w:r w:rsidRPr="00981775">
        <w:rPr>
          <w:rStyle w:val="TextoNormalCaracter"/>
        </w:rPr>
        <w:t>-</w:t>
      </w:r>
      <w:r>
        <w:t xml:space="preserve"> Sentencias </w:t>
      </w:r>
      <w:hyperlink w:anchor="SENTENCIA_2015_202" w:history="1">
        <w:r w:rsidRPr="00981775">
          <w:rPr>
            <w:rStyle w:val="TextoNormalCaracter"/>
          </w:rPr>
          <w:t>202/2015</w:t>
        </w:r>
      </w:hyperlink>
      <w:r>
        <w:t xml:space="preserve">, f. 2; </w:t>
      </w:r>
      <w:hyperlink w:anchor="SENTENCIA_2015_211" w:history="1">
        <w:r w:rsidRPr="00981775">
          <w:rPr>
            <w:rStyle w:val="TextoNormalCaracter"/>
          </w:rPr>
          <w:t>211/2015</w:t>
        </w:r>
      </w:hyperlink>
      <w:r>
        <w:t>, ff. 1, 6, 7.</w:t>
      </w:r>
    </w:p>
    <w:p w:rsidR="00981775" w:rsidRDefault="00981775" w:rsidP="00981775">
      <w:pPr>
        <w:pStyle w:val="SangriaFrancesaArticulo"/>
      </w:pPr>
      <w:r w:rsidRPr="00981775">
        <w:rPr>
          <w:rStyle w:val="TextoNormalNegritaCaracter"/>
        </w:rPr>
        <w:t>Artículo 19</w:t>
      </w:r>
      <w:r>
        <w:t xml:space="preserve"> (redactado por la Ley 18/2014, de 15 de octubre)</w:t>
      </w:r>
      <w:r w:rsidRPr="00981775">
        <w:rPr>
          <w:rStyle w:val="TextoNormalNegritaCaracter"/>
        </w:rPr>
        <w:t>.</w:t>
      </w:r>
      <w:r w:rsidRPr="00981775">
        <w:rPr>
          <w:rStyle w:val="TextoNormalCaracter"/>
        </w:rPr>
        <w:t>-</w:t>
      </w:r>
      <w:r>
        <w:t xml:space="preserve"> Sentencia </w:t>
      </w:r>
      <w:hyperlink w:anchor="SENTENCIA_2015_202" w:history="1">
        <w:r w:rsidRPr="00981775">
          <w:rPr>
            <w:rStyle w:val="TextoNormalCaracter"/>
          </w:rPr>
          <w:t>202/2015</w:t>
        </w:r>
      </w:hyperlink>
      <w:r>
        <w:t>, f. 2.</w:t>
      </w:r>
    </w:p>
    <w:p w:rsidR="00981775" w:rsidRDefault="00981775" w:rsidP="00981775">
      <w:pPr>
        <w:pStyle w:val="SangriaFrancesaArticulo"/>
      </w:pPr>
      <w:r w:rsidRPr="00981775">
        <w:rPr>
          <w:rStyle w:val="TextoNormalNegritaCaracter"/>
        </w:rPr>
        <w:t>Artículo 19.10</w:t>
      </w:r>
      <w:r>
        <w:t xml:space="preserve"> (redactado por el Real Decreto-ley 8/2014, de 4 de julio)</w:t>
      </w:r>
      <w:r w:rsidRPr="00981775">
        <w:rPr>
          <w:rStyle w:val="TextoNormalNegritaCaracter"/>
        </w:rPr>
        <w:t>.</w:t>
      </w:r>
      <w:r w:rsidRPr="00981775">
        <w:rPr>
          <w:rStyle w:val="TextoNormalCaracter"/>
        </w:rPr>
        <w:t>-</w:t>
      </w:r>
      <w:r>
        <w:t xml:space="preserve"> Sentencia </w:t>
      </w:r>
      <w:hyperlink w:anchor="SENTENCIA_2015_211" w:history="1">
        <w:r w:rsidRPr="00981775">
          <w:rPr>
            <w:rStyle w:val="TextoNormalCaracter"/>
          </w:rPr>
          <w:t>211/2015</w:t>
        </w:r>
      </w:hyperlink>
      <w:r>
        <w:t>, f. 7.</w:t>
      </w:r>
    </w:p>
    <w:p w:rsidR="00981775" w:rsidRDefault="00981775" w:rsidP="00981775">
      <w:pPr>
        <w:pStyle w:val="SangriaFrancesaArticulo"/>
      </w:pPr>
      <w:r w:rsidRPr="00981775">
        <w:rPr>
          <w:rStyle w:val="TextoNormalNegritaCaracter"/>
        </w:rPr>
        <w:t>Artículo 19.13.</w:t>
      </w:r>
      <w:r w:rsidRPr="00981775">
        <w:rPr>
          <w:rStyle w:val="TextoNormalCaracter"/>
        </w:rPr>
        <w:t>-</w:t>
      </w:r>
      <w:r>
        <w:t xml:space="preserve"> Sentencia </w:t>
      </w:r>
      <w:hyperlink w:anchor="SENTENCIA_2015_202" w:history="1">
        <w:r w:rsidRPr="00981775">
          <w:rPr>
            <w:rStyle w:val="TextoNormalCaracter"/>
          </w:rPr>
          <w:t>202/2015</w:t>
        </w:r>
      </w:hyperlink>
      <w:r>
        <w:t>, f. 3.</w:t>
      </w:r>
    </w:p>
    <w:p w:rsidR="00981775" w:rsidRDefault="00981775" w:rsidP="00981775">
      <w:pPr>
        <w:pStyle w:val="SangriaFrancesaArticulo"/>
      </w:pPr>
      <w:r w:rsidRPr="00981775">
        <w:rPr>
          <w:rStyle w:val="TextoNormalNegritaCaracter"/>
        </w:rPr>
        <w:t>Artículo 19.14</w:t>
      </w:r>
      <w:r>
        <w:t xml:space="preserve"> (redactado por el Real Decreto-ley 8/2014, de 4 de julio)</w:t>
      </w:r>
      <w:r w:rsidRPr="00981775">
        <w:rPr>
          <w:rStyle w:val="TextoNormalNegritaCaracter"/>
        </w:rPr>
        <w:t>.</w:t>
      </w:r>
      <w:r w:rsidRPr="00981775">
        <w:rPr>
          <w:rStyle w:val="TextoNormalCaracter"/>
        </w:rPr>
        <w:t>-</w:t>
      </w:r>
      <w:r>
        <w:t xml:space="preserve"> Sentencia </w:t>
      </w:r>
      <w:hyperlink w:anchor="SENTENCIA_2015_211" w:history="1">
        <w:r w:rsidRPr="00981775">
          <w:rPr>
            <w:rStyle w:val="TextoNormalCaracter"/>
          </w:rPr>
          <w:t>211/2015</w:t>
        </w:r>
      </w:hyperlink>
      <w:r>
        <w:t>, f. 6.</w:t>
      </w:r>
    </w:p>
    <w:p w:rsidR="00981775" w:rsidRDefault="00981775" w:rsidP="00981775">
      <w:pPr>
        <w:pStyle w:val="SangriaFrancesaArticulo"/>
      </w:pPr>
      <w:r w:rsidRPr="00981775">
        <w:rPr>
          <w:rStyle w:val="TextoNormalNegritaCaracter"/>
        </w:rPr>
        <w:t>Artículo 124.</w:t>
      </w:r>
      <w:r w:rsidRPr="00981775">
        <w:rPr>
          <w:rStyle w:val="TextoNormalCaracter"/>
        </w:rPr>
        <w:t>-</w:t>
      </w:r>
      <w:r>
        <w:t xml:space="preserve"> Sentencia </w:t>
      </w:r>
      <w:hyperlink w:anchor="SENTENCIA_2015_199" w:history="1">
        <w:r w:rsidRPr="00981775">
          <w:rPr>
            <w:rStyle w:val="TextoNormalCaracter"/>
          </w:rPr>
          <w:t>199/2015</w:t>
        </w:r>
      </w:hyperlink>
      <w:r>
        <w:t>, f. 2.</w:t>
      </w:r>
    </w:p>
    <w:p w:rsidR="00981775" w:rsidRDefault="00981775" w:rsidP="00981775">
      <w:pPr>
        <w:pStyle w:val="SangriaFrancesaArticulo"/>
      </w:pPr>
      <w:r w:rsidRPr="00981775">
        <w:rPr>
          <w:rStyle w:val="TextoNormalNegritaCaracter"/>
        </w:rPr>
        <w:t>Disposición transitoria única</w:t>
      </w:r>
      <w:r>
        <w:t xml:space="preserve"> (redactada por el Real Decreto-ley 8/2014, de 4 de julio)</w:t>
      </w:r>
      <w:r w:rsidRPr="00981775">
        <w:rPr>
          <w:rStyle w:val="TextoNormalNegritaCaracter"/>
        </w:rPr>
        <w:t>.</w:t>
      </w:r>
      <w:r w:rsidRPr="00981775">
        <w:rPr>
          <w:rStyle w:val="TextoNormalCaracter"/>
        </w:rPr>
        <w:t>-</w:t>
      </w:r>
      <w:r>
        <w:t xml:space="preserve"> Sentencia </w:t>
      </w:r>
      <w:hyperlink w:anchor="SENTENCIA_2015_211" w:history="1">
        <w:r w:rsidRPr="00981775">
          <w:rPr>
            <w:rStyle w:val="TextoNormalCaracter"/>
          </w:rPr>
          <w:t>211/2015</w:t>
        </w:r>
      </w:hyperlink>
      <w:r>
        <w:t>, f. 6.</w:t>
      </w:r>
    </w:p>
    <w:p w:rsidR="00981775" w:rsidRDefault="00981775" w:rsidP="00981775">
      <w:pPr>
        <w:pStyle w:val="SangriaFrancesaArticulo"/>
      </w:pPr>
    </w:p>
    <w:p w:rsidR="00981775" w:rsidRDefault="00981775" w:rsidP="00981775">
      <w:pPr>
        <w:pStyle w:val="TextoNormalNegritaCursivandice"/>
      </w:pPr>
      <w:r>
        <w:t>Ley 17/2012, de 27 de diciembre. Presupuestos Generales del Estado para el año 2013</w:t>
      </w:r>
    </w:p>
    <w:p w:rsidR="00981775" w:rsidRDefault="00981775" w:rsidP="00981775">
      <w:pPr>
        <w:pStyle w:val="SangriaFrancesaArticulo"/>
      </w:pPr>
      <w:r w:rsidRPr="00981775">
        <w:rPr>
          <w:rStyle w:val="TextoNormalNegritaCaracter"/>
        </w:rPr>
        <w:t>Artículo 17.</w:t>
      </w:r>
      <w:r w:rsidRPr="00981775">
        <w:rPr>
          <w:rStyle w:val="TextoNormalCaracter"/>
        </w:rPr>
        <w:t>-</w:t>
      </w:r>
      <w:r>
        <w:t xml:space="preserve"> Sentencias </w:t>
      </w:r>
      <w:hyperlink w:anchor="SENTENCIA_2015_246" w:history="1">
        <w:r w:rsidRPr="00981775">
          <w:rPr>
            <w:rStyle w:val="TextoNormalCaracter"/>
          </w:rPr>
          <w:t>246/2015</w:t>
        </w:r>
      </w:hyperlink>
      <w:r>
        <w:t xml:space="preserve">, f. 1; </w:t>
      </w:r>
      <w:hyperlink w:anchor="SENTENCIA_2015_247" w:history="1">
        <w:r w:rsidRPr="00981775">
          <w:rPr>
            <w:rStyle w:val="TextoNormalCaracter"/>
          </w:rPr>
          <w:t>247/2015</w:t>
        </w:r>
      </w:hyperlink>
      <w:r>
        <w:t xml:space="preserve">, f. 1; </w:t>
      </w:r>
      <w:hyperlink w:anchor="SENTENCIA_2015_249" w:history="1">
        <w:r w:rsidRPr="00981775">
          <w:rPr>
            <w:rStyle w:val="TextoNormalCaracter"/>
          </w:rPr>
          <w:t>249/2015</w:t>
        </w:r>
      </w:hyperlink>
      <w:r>
        <w:t xml:space="preserve">, f. 1; </w:t>
      </w:r>
      <w:hyperlink w:anchor="SENTENCIA_2015_250" w:history="1">
        <w:r w:rsidRPr="00981775">
          <w:rPr>
            <w:rStyle w:val="TextoNormalCaracter"/>
          </w:rPr>
          <w:t>250/2015</w:t>
        </w:r>
      </w:hyperlink>
      <w:r>
        <w:t xml:space="preserve">, f. 1; </w:t>
      </w:r>
      <w:hyperlink w:anchor="SENTENCIA_2015_251" w:history="1">
        <w:r w:rsidRPr="00981775">
          <w:rPr>
            <w:rStyle w:val="TextoNormalCaracter"/>
          </w:rPr>
          <w:t>251/2015</w:t>
        </w:r>
      </w:hyperlink>
      <w:r>
        <w:t xml:space="preserve">, f. 1; </w:t>
      </w:r>
      <w:hyperlink w:anchor="SENTENCIA_2015_252" w:history="1">
        <w:r w:rsidRPr="00981775">
          <w:rPr>
            <w:rStyle w:val="TextoNormalCaracter"/>
          </w:rPr>
          <w:t>252/2015</w:t>
        </w:r>
      </w:hyperlink>
      <w:r>
        <w:t xml:space="preserve">, f. 1; </w:t>
      </w:r>
      <w:hyperlink w:anchor="SENTENCIA_2015_253" w:history="1">
        <w:r w:rsidRPr="00981775">
          <w:rPr>
            <w:rStyle w:val="TextoNormalCaracter"/>
          </w:rPr>
          <w:t>253/2015</w:t>
        </w:r>
      </w:hyperlink>
      <w:r>
        <w:t xml:space="preserve">, f. 1; </w:t>
      </w:r>
      <w:hyperlink w:anchor="SENTENCIA_2015_255" w:history="1">
        <w:r w:rsidRPr="00981775">
          <w:rPr>
            <w:rStyle w:val="TextoNormalCaracter"/>
          </w:rPr>
          <w:t>255/2015</w:t>
        </w:r>
      </w:hyperlink>
      <w:r>
        <w:t xml:space="preserve">, f. 1; </w:t>
      </w:r>
      <w:hyperlink w:anchor="SENTENCIA_2015_256" w:history="1">
        <w:r w:rsidRPr="00981775">
          <w:rPr>
            <w:rStyle w:val="TextoNormalCaracter"/>
          </w:rPr>
          <w:t>256/2015</w:t>
        </w:r>
      </w:hyperlink>
      <w:r>
        <w:t xml:space="preserve">, f. 1; </w:t>
      </w:r>
      <w:hyperlink w:anchor="SENTENCIA_2015_257" w:history="1">
        <w:r w:rsidRPr="00981775">
          <w:rPr>
            <w:rStyle w:val="TextoNormalCaracter"/>
          </w:rPr>
          <w:t>257/2015</w:t>
        </w:r>
      </w:hyperlink>
      <w:r>
        <w:t xml:space="preserve">, f. 1; </w:t>
      </w:r>
      <w:hyperlink w:anchor="SENTENCIA_2015_258" w:history="1">
        <w:r w:rsidRPr="00981775">
          <w:rPr>
            <w:rStyle w:val="TextoNormalCaracter"/>
          </w:rPr>
          <w:t>258/2015</w:t>
        </w:r>
      </w:hyperlink>
      <w:r>
        <w:t>, f. 1.</w:t>
      </w:r>
    </w:p>
    <w:p w:rsidR="00981775" w:rsidRDefault="00981775" w:rsidP="00981775">
      <w:pPr>
        <w:pStyle w:val="SangriaFrancesaArticulo"/>
      </w:pPr>
      <w:r w:rsidRPr="00981775">
        <w:rPr>
          <w:rStyle w:val="TextoNormalNegritaCaracter"/>
        </w:rPr>
        <w:t>Artículo 17.8.</w:t>
      </w:r>
      <w:r w:rsidRPr="00981775">
        <w:rPr>
          <w:rStyle w:val="TextoNormalCaracter"/>
        </w:rPr>
        <w:t>-</w:t>
      </w:r>
      <w:r>
        <w:t xml:space="preserve"> Sentencias </w:t>
      </w:r>
      <w:hyperlink w:anchor="SENTENCIA_2015_234" w:history="1">
        <w:r w:rsidRPr="00981775">
          <w:rPr>
            <w:rStyle w:val="TextoNormalCaracter"/>
          </w:rPr>
          <w:t>234/2015</w:t>
        </w:r>
      </w:hyperlink>
      <w:r>
        <w:t xml:space="preserve">, ff. 1, 2; </w:t>
      </w:r>
      <w:hyperlink w:anchor="SENTENCIA_2015_246" w:history="1">
        <w:r w:rsidRPr="00981775">
          <w:rPr>
            <w:rStyle w:val="TextoNormalCaracter"/>
          </w:rPr>
          <w:t>246/2015</w:t>
        </w:r>
      </w:hyperlink>
      <w:r>
        <w:t xml:space="preserve">, ff. 1, 2; </w:t>
      </w:r>
      <w:hyperlink w:anchor="SENTENCIA_2015_247" w:history="1">
        <w:r w:rsidRPr="00981775">
          <w:rPr>
            <w:rStyle w:val="TextoNormalCaracter"/>
          </w:rPr>
          <w:t>247/2015</w:t>
        </w:r>
      </w:hyperlink>
      <w:r>
        <w:t xml:space="preserve">, ff. 1, 2; </w:t>
      </w:r>
      <w:hyperlink w:anchor="SENTENCIA_2015_248" w:history="1">
        <w:r w:rsidRPr="00981775">
          <w:rPr>
            <w:rStyle w:val="TextoNormalCaracter"/>
          </w:rPr>
          <w:t>248/2015</w:t>
        </w:r>
      </w:hyperlink>
      <w:r>
        <w:t xml:space="preserve">, ff. 1, 2; </w:t>
      </w:r>
      <w:hyperlink w:anchor="SENTENCIA_2015_249" w:history="1">
        <w:r w:rsidRPr="00981775">
          <w:rPr>
            <w:rStyle w:val="TextoNormalCaracter"/>
          </w:rPr>
          <w:t>249/2015</w:t>
        </w:r>
      </w:hyperlink>
      <w:r>
        <w:t xml:space="preserve">, ff. 1, 2; </w:t>
      </w:r>
      <w:hyperlink w:anchor="SENTENCIA_2015_250" w:history="1">
        <w:r w:rsidRPr="00981775">
          <w:rPr>
            <w:rStyle w:val="TextoNormalCaracter"/>
          </w:rPr>
          <w:t>250/2015</w:t>
        </w:r>
      </w:hyperlink>
      <w:r>
        <w:t xml:space="preserve">, ff. 1, 2; </w:t>
      </w:r>
      <w:hyperlink w:anchor="SENTENCIA_2015_251" w:history="1">
        <w:r w:rsidRPr="00981775">
          <w:rPr>
            <w:rStyle w:val="TextoNormalCaracter"/>
          </w:rPr>
          <w:t>251/2015</w:t>
        </w:r>
      </w:hyperlink>
      <w:r>
        <w:t xml:space="preserve">, ff. 1, 2; </w:t>
      </w:r>
      <w:hyperlink w:anchor="SENTENCIA_2015_252" w:history="1">
        <w:r w:rsidRPr="00981775">
          <w:rPr>
            <w:rStyle w:val="TextoNormalCaracter"/>
          </w:rPr>
          <w:t>252/2015</w:t>
        </w:r>
      </w:hyperlink>
      <w:r>
        <w:t xml:space="preserve">, ff. 1, 2; </w:t>
      </w:r>
      <w:hyperlink w:anchor="SENTENCIA_2015_253" w:history="1">
        <w:r w:rsidRPr="00981775">
          <w:rPr>
            <w:rStyle w:val="TextoNormalCaracter"/>
          </w:rPr>
          <w:t>253/2015</w:t>
        </w:r>
      </w:hyperlink>
      <w:r>
        <w:t xml:space="preserve">, ff. 1, 2; </w:t>
      </w:r>
      <w:hyperlink w:anchor="SENTENCIA_2015_255" w:history="1">
        <w:r w:rsidRPr="00981775">
          <w:rPr>
            <w:rStyle w:val="TextoNormalCaracter"/>
          </w:rPr>
          <w:t>255/2015</w:t>
        </w:r>
      </w:hyperlink>
      <w:r>
        <w:t xml:space="preserve">, ff. 1, 2; </w:t>
      </w:r>
      <w:hyperlink w:anchor="SENTENCIA_2015_256" w:history="1">
        <w:r w:rsidRPr="00981775">
          <w:rPr>
            <w:rStyle w:val="TextoNormalCaracter"/>
          </w:rPr>
          <w:t>256/2015</w:t>
        </w:r>
      </w:hyperlink>
      <w:r>
        <w:t xml:space="preserve">, ff. 1, 2; </w:t>
      </w:r>
      <w:hyperlink w:anchor="SENTENCIA_2015_257" w:history="1">
        <w:r w:rsidRPr="00981775">
          <w:rPr>
            <w:rStyle w:val="TextoNormalCaracter"/>
          </w:rPr>
          <w:t>257/2015</w:t>
        </w:r>
      </w:hyperlink>
      <w:r>
        <w:t xml:space="preserve">, ff. 1, 2; </w:t>
      </w:r>
      <w:hyperlink w:anchor="SENTENCIA_2015_258" w:history="1">
        <w:r w:rsidRPr="00981775">
          <w:rPr>
            <w:rStyle w:val="TextoNormalCaracter"/>
          </w:rPr>
          <w:t>258/2015</w:t>
        </w:r>
      </w:hyperlink>
      <w:r>
        <w:t>, ff. 1, 2.</w:t>
      </w:r>
    </w:p>
    <w:p w:rsidR="00981775" w:rsidRDefault="00981775" w:rsidP="00981775">
      <w:pPr>
        <w:pStyle w:val="SangriaFrancesaArticulo"/>
      </w:pPr>
    </w:p>
    <w:p w:rsidR="00981775" w:rsidRDefault="00981775" w:rsidP="00981775">
      <w:pPr>
        <w:pStyle w:val="TextoNormalNegritaCursivandice"/>
      </w:pPr>
      <w:r>
        <w:t>Ley 1/2013, de 14 de mayo. Medidas para reforzar la protección a los deudores hipotecarios, reestructuración de deuda y alquiler social</w:t>
      </w:r>
    </w:p>
    <w:p w:rsidR="00981775" w:rsidRDefault="00981775" w:rsidP="00981775">
      <w:pPr>
        <w:pStyle w:val="SangriaFrancesaArticulo"/>
      </w:pPr>
      <w:r w:rsidRPr="00981775">
        <w:rPr>
          <w:rStyle w:val="TextoNormalNegritaCaracter"/>
        </w:rPr>
        <w:t>Artículo 1.</w:t>
      </w:r>
      <w:r w:rsidRPr="00981775">
        <w:rPr>
          <w:rStyle w:val="TextoNormalCaracter"/>
        </w:rPr>
        <w:t>-</w:t>
      </w:r>
      <w:r>
        <w:t xml:space="preserve"> Auto </w:t>
      </w:r>
      <w:hyperlink w:anchor="AUTO_2015_155" w:history="1">
        <w:r w:rsidRPr="00981775">
          <w:rPr>
            <w:rStyle w:val="TextoNormalCaracter"/>
          </w:rPr>
          <w:t>155/2015</w:t>
        </w:r>
      </w:hyperlink>
      <w:r>
        <w:t>, f. 2.</w:t>
      </w:r>
    </w:p>
    <w:p w:rsidR="00981775" w:rsidRDefault="00981775" w:rsidP="00981775">
      <w:pPr>
        <w:pStyle w:val="SangriaFrancesaArticulo"/>
      </w:pPr>
      <w:r w:rsidRPr="00981775">
        <w:rPr>
          <w:rStyle w:val="TextoNormalNegritaCaracter"/>
        </w:rPr>
        <w:t>Artículo 1</w:t>
      </w:r>
      <w:r>
        <w:t xml:space="preserve"> (redactado por el Real Decreto-ley 1/2015, de 27 de febrero)</w:t>
      </w:r>
      <w:r w:rsidRPr="00981775">
        <w:rPr>
          <w:rStyle w:val="TextoNormalNegritaCaracter"/>
        </w:rPr>
        <w:t>.</w:t>
      </w:r>
      <w:r w:rsidRPr="00981775">
        <w:rPr>
          <w:rStyle w:val="TextoNormalCaracter"/>
        </w:rPr>
        <w:t>-</w:t>
      </w:r>
      <w:r>
        <w:t xml:space="preserve"> Auto </w:t>
      </w:r>
      <w:hyperlink w:anchor="AUTO_2015_155" w:history="1">
        <w:r w:rsidRPr="00981775">
          <w:rPr>
            <w:rStyle w:val="TextoNormalCaracter"/>
          </w:rPr>
          <w:t>155/2015</w:t>
        </w:r>
      </w:hyperlink>
      <w:r>
        <w:t>, ff. 1, 2.</w:t>
      </w:r>
    </w:p>
    <w:p w:rsidR="00981775" w:rsidRDefault="00981775" w:rsidP="00981775">
      <w:pPr>
        <w:pStyle w:val="SangriaFrancesaArticulo"/>
      </w:pPr>
    </w:p>
    <w:p w:rsidR="00981775" w:rsidRDefault="00981775" w:rsidP="00981775">
      <w:pPr>
        <w:pStyle w:val="TextoNormalNegritaCursivandice"/>
      </w:pPr>
      <w:r>
        <w:t>Ley 2/2013, de 29 de mayo. Protección y uso sostenible del litoral y de modificación de la Ley 22/1988, de 28 de julio, de Costas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Autos </w:t>
      </w:r>
      <w:hyperlink w:anchor="AUTO_2015_184" w:history="1">
        <w:r w:rsidRPr="00981775">
          <w:rPr>
            <w:rStyle w:val="TextoNormalCaracter"/>
          </w:rPr>
          <w:t>184/2015</w:t>
        </w:r>
      </w:hyperlink>
      <w:r>
        <w:t xml:space="preserve">, f. 2; </w:t>
      </w:r>
      <w:hyperlink w:anchor="AUTO_2015_193" w:history="1">
        <w:r w:rsidRPr="00981775">
          <w:rPr>
            <w:rStyle w:val="TextoNormalCaracter"/>
          </w:rPr>
          <w:t>193/2015</w:t>
        </w:r>
      </w:hyperlink>
      <w:r>
        <w:t xml:space="preserve">, f. 2; </w:t>
      </w:r>
      <w:hyperlink w:anchor="AUTO_2015_194" w:history="1">
        <w:r w:rsidRPr="00981775">
          <w:rPr>
            <w:rStyle w:val="TextoNormalCaracter"/>
          </w:rPr>
          <w:t>194/2015</w:t>
        </w:r>
      </w:hyperlink>
      <w:r>
        <w:t>, f. 2.</w:t>
      </w:r>
    </w:p>
    <w:p w:rsidR="00981775" w:rsidRDefault="00981775" w:rsidP="00981775">
      <w:pPr>
        <w:pStyle w:val="SangriaFrancesaArticulo"/>
      </w:pPr>
      <w:r w:rsidRPr="00981775">
        <w:rPr>
          <w:rStyle w:val="TextoNormalNegritaCaracter"/>
        </w:rPr>
        <w:t>Artículo 1.2.</w:t>
      </w:r>
      <w:r w:rsidRPr="00981775">
        <w:rPr>
          <w:rStyle w:val="TextoNormalCaracter"/>
        </w:rPr>
        <w:t>-</w:t>
      </w:r>
      <w:r>
        <w:t xml:space="preserve"> Sentencia </w:t>
      </w:r>
      <w:hyperlink w:anchor="SENTENCIA_2015_233" w:history="1">
        <w:r w:rsidRPr="00981775">
          <w:rPr>
            <w:rStyle w:val="TextoNormalCaracter"/>
          </w:rPr>
          <w:t>233/2015</w:t>
        </w:r>
      </w:hyperlink>
      <w:r>
        <w:t>, ff. 1, 3.</w:t>
      </w:r>
    </w:p>
    <w:p w:rsidR="00981775" w:rsidRDefault="00981775" w:rsidP="00981775">
      <w:pPr>
        <w:pStyle w:val="SangriaFrancesaArticulo"/>
      </w:pPr>
      <w:r w:rsidRPr="00981775">
        <w:rPr>
          <w:rStyle w:val="TextoNormalNegritaCaracter"/>
        </w:rPr>
        <w:t>Artículo 1.3.</w:t>
      </w:r>
      <w:r w:rsidRPr="00981775">
        <w:rPr>
          <w:rStyle w:val="TextoNormalCaracter"/>
        </w:rPr>
        <w:t>-</w:t>
      </w:r>
      <w:r>
        <w:t xml:space="preserve"> Sentencia </w:t>
      </w:r>
      <w:hyperlink w:anchor="SENTENCIA_2015_233" w:history="1">
        <w:r w:rsidRPr="00981775">
          <w:rPr>
            <w:rStyle w:val="TextoNormalCaracter"/>
          </w:rPr>
          <w:t>233/2015</w:t>
        </w:r>
      </w:hyperlink>
      <w:r>
        <w:t>, ff. 1, 3.</w:t>
      </w:r>
    </w:p>
    <w:p w:rsidR="00981775" w:rsidRDefault="00981775" w:rsidP="00981775">
      <w:pPr>
        <w:pStyle w:val="SangriaFrancesaArticulo"/>
      </w:pPr>
      <w:r w:rsidRPr="00981775">
        <w:rPr>
          <w:rStyle w:val="TextoNormalNegritaCaracter"/>
        </w:rPr>
        <w:t>Artículo 1.10.</w:t>
      </w:r>
      <w:r w:rsidRPr="00981775">
        <w:rPr>
          <w:rStyle w:val="TextoNormalCaracter"/>
        </w:rPr>
        <w:t>-</w:t>
      </w:r>
      <w:r>
        <w:t xml:space="preserve"> Sentencia </w:t>
      </w:r>
      <w:hyperlink w:anchor="SENTENCIA_2015_233" w:history="1">
        <w:r w:rsidRPr="00981775">
          <w:rPr>
            <w:rStyle w:val="TextoNormalCaracter"/>
          </w:rPr>
          <w:t>233/2015</w:t>
        </w:r>
      </w:hyperlink>
      <w:r>
        <w:t>, f. 1.</w:t>
      </w:r>
    </w:p>
    <w:p w:rsidR="00981775" w:rsidRDefault="00981775" w:rsidP="00981775">
      <w:pPr>
        <w:pStyle w:val="SangriaFrancesaArticulo"/>
      </w:pPr>
      <w:r w:rsidRPr="00981775">
        <w:rPr>
          <w:rStyle w:val="TextoNormalNegritaCaracter"/>
        </w:rPr>
        <w:t>Artículo 1.10.3.</w:t>
      </w:r>
      <w:r w:rsidRPr="00981775">
        <w:rPr>
          <w:rStyle w:val="TextoNormalCaracter"/>
        </w:rPr>
        <w:t>-</w:t>
      </w:r>
      <w:r>
        <w:t xml:space="preserve"> Sentencia </w:t>
      </w:r>
      <w:hyperlink w:anchor="SENTENCIA_2015_233" w:history="1">
        <w:r w:rsidRPr="00981775">
          <w:rPr>
            <w:rStyle w:val="TextoNormalCaracter"/>
          </w:rPr>
          <w:t>233/2015</w:t>
        </w:r>
      </w:hyperlink>
      <w:r>
        <w:t>, f. 4.</w:t>
      </w:r>
    </w:p>
    <w:p w:rsidR="00981775" w:rsidRDefault="00981775" w:rsidP="00981775">
      <w:pPr>
        <w:pStyle w:val="SangriaFrancesaArticulo"/>
      </w:pPr>
      <w:r w:rsidRPr="00981775">
        <w:rPr>
          <w:rStyle w:val="TextoNormalNegritaCaracter"/>
        </w:rPr>
        <w:t>Artículo 1.11.</w:t>
      </w:r>
      <w:r w:rsidRPr="00981775">
        <w:rPr>
          <w:rStyle w:val="TextoNormalCaracter"/>
        </w:rPr>
        <w:t>-</w:t>
      </w:r>
      <w:r>
        <w:t xml:space="preserve"> Sentencia </w:t>
      </w:r>
      <w:hyperlink w:anchor="SENTENCIA_2015_233" w:history="1">
        <w:r w:rsidRPr="00981775">
          <w:rPr>
            <w:rStyle w:val="TextoNormalCaracter"/>
          </w:rPr>
          <w:t>233/2015</w:t>
        </w:r>
      </w:hyperlink>
      <w:r>
        <w:t>, ff. 1, 5.</w:t>
      </w:r>
    </w:p>
    <w:p w:rsidR="00981775" w:rsidRDefault="00981775" w:rsidP="00981775">
      <w:pPr>
        <w:pStyle w:val="SangriaFrancesaArticulo"/>
      </w:pPr>
      <w:r w:rsidRPr="00981775">
        <w:rPr>
          <w:rStyle w:val="TextoNormalNegritaCaracter"/>
        </w:rPr>
        <w:t>Artículo 1.12.</w:t>
      </w:r>
      <w:r w:rsidRPr="00981775">
        <w:rPr>
          <w:rStyle w:val="TextoNormalCaracter"/>
        </w:rPr>
        <w:t>-</w:t>
      </w:r>
      <w:r>
        <w:t xml:space="preserve"> Sentencia </w:t>
      </w:r>
      <w:hyperlink w:anchor="SENTENCIA_2015_233" w:history="1">
        <w:r w:rsidRPr="00981775">
          <w:rPr>
            <w:rStyle w:val="TextoNormalCaracter"/>
          </w:rPr>
          <w:t>233/2015</w:t>
        </w:r>
      </w:hyperlink>
      <w:r>
        <w:t>, ff. 1, 6.</w:t>
      </w:r>
    </w:p>
    <w:p w:rsidR="00981775" w:rsidRDefault="00981775" w:rsidP="00981775">
      <w:pPr>
        <w:pStyle w:val="SangriaFrancesaArticulo"/>
      </w:pPr>
      <w:r w:rsidRPr="00981775">
        <w:rPr>
          <w:rStyle w:val="TextoNormalNegritaCaracter"/>
        </w:rPr>
        <w:t>Artículo 1.21.</w:t>
      </w:r>
      <w:r w:rsidRPr="00981775">
        <w:rPr>
          <w:rStyle w:val="TextoNormalCaracter"/>
        </w:rPr>
        <w:t>-</w:t>
      </w:r>
      <w:r>
        <w:t xml:space="preserve"> Sentencia </w:t>
      </w:r>
      <w:hyperlink w:anchor="SENTENCIA_2015_233" w:history="1">
        <w:r w:rsidRPr="00981775">
          <w:rPr>
            <w:rStyle w:val="TextoNormalCaracter"/>
          </w:rPr>
          <w:t>233/2015</w:t>
        </w:r>
      </w:hyperlink>
      <w:r>
        <w:t>, f. 10.</w:t>
      </w:r>
    </w:p>
    <w:p w:rsidR="00981775" w:rsidRDefault="00981775" w:rsidP="00981775">
      <w:pPr>
        <w:pStyle w:val="SangriaFrancesaArticulo"/>
      </w:pPr>
      <w:r w:rsidRPr="00981775">
        <w:rPr>
          <w:rStyle w:val="TextoNormalNegritaCaracter"/>
        </w:rPr>
        <w:t>Artículo 1.39.</w:t>
      </w:r>
      <w:r w:rsidRPr="00981775">
        <w:rPr>
          <w:rStyle w:val="TextoNormalCaracter"/>
        </w:rPr>
        <w:t>-</w:t>
      </w:r>
      <w:r>
        <w:t xml:space="preserve"> Sentencia </w:t>
      </w:r>
      <w:hyperlink w:anchor="SENTENCIA_2015_233" w:history="1">
        <w:r w:rsidRPr="00981775">
          <w:rPr>
            <w:rStyle w:val="TextoNormalCaracter"/>
          </w:rPr>
          <w:t>233/2015</w:t>
        </w:r>
      </w:hyperlink>
      <w:r>
        <w:t>, ff. 1, 7, 10.</w:t>
      </w:r>
    </w:p>
    <w:p w:rsidR="00981775" w:rsidRDefault="00981775" w:rsidP="00981775">
      <w:pPr>
        <w:pStyle w:val="SangriaFrancesaArticulo"/>
      </w:pPr>
      <w:r w:rsidRPr="00981775">
        <w:rPr>
          <w:rStyle w:val="TextoNormalNegritaCaracter"/>
        </w:rPr>
        <w:t>Artículo 1.40.</w:t>
      </w:r>
      <w:r w:rsidRPr="00981775">
        <w:rPr>
          <w:rStyle w:val="TextoNormalCaracter"/>
        </w:rPr>
        <w:t>-</w:t>
      </w:r>
      <w:r>
        <w:t xml:space="preserve"> Sentencia </w:t>
      </w:r>
      <w:hyperlink w:anchor="SENTENCIA_2015_233" w:history="1">
        <w:r w:rsidRPr="00981775">
          <w:rPr>
            <w:rStyle w:val="TextoNormalCaracter"/>
          </w:rPr>
          <w:t>233/2015</w:t>
        </w:r>
      </w:hyperlink>
      <w:r>
        <w:t>, ff. 1, 8.</w:t>
      </w:r>
    </w:p>
    <w:p w:rsidR="00981775" w:rsidRDefault="00981775" w:rsidP="00981775">
      <w:pPr>
        <w:pStyle w:val="SangriaFrancesaArticulo"/>
      </w:pPr>
      <w:r w:rsidRPr="00981775">
        <w:rPr>
          <w:rStyle w:val="TextoNormalNegritaCaracter"/>
        </w:rPr>
        <w:t>Artículo 1.41.</w:t>
      </w:r>
      <w:r w:rsidRPr="00981775">
        <w:rPr>
          <w:rStyle w:val="TextoNormalCaracter"/>
        </w:rPr>
        <w:t>-</w:t>
      </w:r>
      <w:r>
        <w:t xml:space="preserve"> Sentencia </w:t>
      </w:r>
      <w:hyperlink w:anchor="SENTENCIA_2015_233" w:history="1">
        <w:r w:rsidRPr="00981775">
          <w:rPr>
            <w:rStyle w:val="TextoNormalCaracter"/>
          </w:rPr>
          <w:t>233/2015</w:t>
        </w:r>
      </w:hyperlink>
      <w:r>
        <w:t>, ff. 1, 9.</w:t>
      </w:r>
    </w:p>
    <w:p w:rsidR="00981775" w:rsidRDefault="00981775" w:rsidP="00981775">
      <w:pPr>
        <w:pStyle w:val="SangriaFrancesaArticulo"/>
      </w:pPr>
      <w:r w:rsidRPr="00981775">
        <w:rPr>
          <w:rStyle w:val="TextoNormalNegritaCaracter"/>
        </w:rPr>
        <w:t>Artículo 2.</w:t>
      </w:r>
      <w:r w:rsidRPr="00981775">
        <w:rPr>
          <w:rStyle w:val="TextoNormalCaracter"/>
        </w:rPr>
        <w:t>-</w:t>
      </w:r>
      <w:r>
        <w:t xml:space="preserve"> Sentencia </w:t>
      </w:r>
      <w:hyperlink w:anchor="SENTENCIA_2015_233" w:history="1">
        <w:r w:rsidRPr="00981775">
          <w:rPr>
            <w:rStyle w:val="TextoNormalCaracter"/>
          </w:rPr>
          <w:t>233/2015</w:t>
        </w:r>
      </w:hyperlink>
      <w:r>
        <w:t>, ff. 1, 7, 10.</w:t>
      </w:r>
    </w:p>
    <w:p w:rsidR="00981775" w:rsidRDefault="00981775" w:rsidP="00981775">
      <w:pPr>
        <w:pStyle w:val="SangriaFrancesaArticulo"/>
      </w:pPr>
      <w:r w:rsidRPr="00981775">
        <w:rPr>
          <w:rStyle w:val="TextoNormalNegritaCaracter"/>
        </w:rPr>
        <w:t>Artículo 13 bis.</w:t>
      </w:r>
      <w:r w:rsidRPr="00981775">
        <w:rPr>
          <w:rStyle w:val="TextoNormalCaracter"/>
        </w:rPr>
        <w:t>-</w:t>
      </w:r>
      <w:r>
        <w:t xml:space="preserve"> Sentencia </w:t>
      </w:r>
      <w:hyperlink w:anchor="SENTENCIA_2015_233" w:history="1">
        <w:r w:rsidRPr="00981775">
          <w:rPr>
            <w:rStyle w:val="TextoNormalCaracter"/>
          </w:rPr>
          <w:t>233/2015</w:t>
        </w:r>
      </w:hyperlink>
      <w:r>
        <w:t>, f. 11.</w:t>
      </w:r>
    </w:p>
    <w:p w:rsidR="00981775" w:rsidRDefault="00981775" w:rsidP="00981775">
      <w:pPr>
        <w:pStyle w:val="SangriaFrancesaArticulo"/>
      </w:pPr>
      <w:r w:rsidRPr="00981775">
        <w:rPr>
          <w:rStyle w:val="TextoNormalNegritaCaracter"/>
        </w:rPr>
        <w:t>Disposición adicional segunda.</w:t>
      </w:r>
      <w:r w:rsidRPr="00981775">
        <w:rPr>
          <w:rStyle w:val="TextoNormalCaracter"/>
        </w:rPr>
        <w:t>-</w:t>
      </w:r>
      <w:r>
        <w:t xml:space="preserve"> Sentencia </w:t>
      </w:r>
      <w:hyperlink w:anchor="SENTENCIA_2015_233" w:history="1">
        <w:r w:rsidRPr="00981775">
          <w:rPr>
            <w:rStyle w:val="TextoNormalCaracter"/>
          </w:rPr>
          <w:t>233/2015</w:t>
        </w:r>
      </w:hyperlink>
      <w:r>
        <w:t>, ff. 1, 11, 13.</w:t>
      </w:r>
    </w:p>
    <w:p w:rsidR="00981775" w:rsidRDefault="00981775" w:rsidP="00981775">
      <w:pPr>
        <w:pStyle w:val="SangriaFrancesaArticulo"/>
      </w:pPr>
      <w:r w:rsidRPr="00981775">
        <w:rPr>
          <w:rStyle w:val="TextoNormalNegritaCaracter"/>
        </w:rPr>
        <w:t>Disposición adicional cuarta.</w:t>
      </w:r>
      <w:r w:rsidRPr="00981775">
        <w:rPr>
          <w:rStyle w:val="TextoNormalCaracter"/>
        </w:rPr>
        <w:t>-</w:t>
      </w:r>
      <w:r>
        <w:t xml:space="preserve"> Sentencia </w:t>
      </w:r>
      <w:hyperlink w:anchor="SENTENCIA_2015_233" w:history="1">
        <w:r w:rsidRPr="00981775">
          <w:rPr>
            <w:rStyle w:val="TextoNormalCaracter"/>
          </w:rPr>
          <w:t>233/2015</w:t>
        </w:r>
      </w:hyperlink>
      <w:r>
        <w:t>, f. 12.</w:t>
      </w:r>
    </w:p>
    <w:p w:rsidR="00981775" w:rsidRDefault="00981775" w:rsidP="00981775">
      <w:pPr>
        <w:pStyle w:val="SangriaFrancesaArticulo"/>
      </w:pPr>
      <w:r w:rsidRPr="00981775">
        <w:rPr>
          <w:rStyle w:val="TextoNormalNegritaCaracter"/>
        </w:rPr>
        <w:t>Disposición adicional cuarta, apartado 1.</w:t>
      </w:r>
      <w:r w:rsidRPr="00981775">
        <w:rPr>
          <w:rStyle w:val="TextoNormalCaracter"/>
        </w:rPr>
        <w:t>-</w:t>
      </w:r>
      <w:r>
        <w:t xml:space="preserve"> Sentencia </w:t>
      </w:r>
      <w:hyperlink w:anchor="SENTENCIA_2015_233" w:history="1">
        <w:r w:rsidRPr="00981775">
          <w:rPr>
            <w:rStyle w:val="TextoNormalCaracter"/>
          </w:rPr>
          <w:t>233/2015</w:t>
        </w:r>
      </w:hyperlink>
      <w:r>
        <w:t>, ff. 1, 12.</w:t>
      </w:r>
    </w:p>
    <w:p w:rsidR="00981775" w:rsidRDefault="00981775" w:rsidP="00981775">
      <w:pPr>
        <w:pStyle w:val="SangriaFrancesaArticulo"/>
      </w:pPr>
      <w:r w:rsidRPr="00981775">
        <w:rPr>
          <w:rStyle w:val="TextoNormalNegritaCaracter"/>
        </w:rPr>
        <w:t>Disposición adicional cuarta, apartado 2.</w:t>
      </w:r>
      <w:r w:rsidRPr="00981775">
        <w:rPr>
          <w:rStyle w:val="TextoNormalCaracter"/>
        </w:rPr>
        <w:t>-</w:t>
      </w:r>
      <w:r>
        <w:t xml:space="preserve"> Sentencia </w:t>
      </w:r>
      <w:hyperlink w:anchor="SENTENCIA_2015_233" w:history="1">
        <w:r w:rsidRPr="00981775">
          <w:rPr>
            <w:rStyle w:val="TextoNormalCaracter"/>
          </w:rPr>
          <w:t>233/2015</w:t>
        </w:r>
      </w:hyperlink>
      <w:r>
        <w:t>, ff. 1, 12.</w:t>
      </w:r>
    </w:p>
    <w:p w:rsidR="00981775" w:rsidRDefault="00981775" w:rsidP="00981775">
      <w:pPr>
        <w:pStyle w:val="SangriaFrancesaArticulo"/>
      </w:pPr>
      <w:r w:rsidRPr="00981775">
        <w:rPr>
          <w:rStyle w:val="TextoNormalNegritaCaracter"/>
        </w:rPr>
        <w:t>Disposición adicional cuarta, apartado 4.</w:t>
      </w:r>
      <w:r w:rsidRPr="00981775">
        <w:rPr>
          <w:rStyle w:val="TextoNormalCaracter"/>
        </w:rPr>
        <w:t>-</w:t>
      </w:r>
      <w:r>
        <w:t xml:space="preserve"> Sentencia </w:t>
      </w:r>
      <w:hyperlink w:anchor="SENTENCIA_2015_233" w:history="1">
        <w:r w:rsidRPr="00981775">
          <w:rPr>
            <w:rStyle w:val="TextoNormalCaracter"/>
          </w:rPr>
          <w:t>233/2015</w:t>
        </w:r>
      </w:hyperlink>
      <w:r>
        <w:t>, ff. 1, 12.</w:t>
      </w:r>
    </w:p>
    <w:p w:rsidR="00981775" w:rsidRDefault="00981775" w:rsidP="00981775">
      <w:pPr>
        <w:pStyle w:val="SangriaFrancesaArticulo"/>
      </w:pPr>
      <w:r w:rsidRPr="00981775">
        <w:rPr>
          <w:rStyle w:val="TextoNormalNegritaCaracter"/>
        </w:rPr>
        <w:t>Disposición adicional quinta.</w:t>
      </w:r>
      <w:r w:rsidRPr="00981775">
        <w:rPr>
          <w:rStyle w:val="TextoNormalCaracter"/>
        </w:rPr>
        <w:t>-</w:t>
      </w:r>
      <w:r>
        <w:t xml:space="preserve"> Sentencia </w:t>
      </w:r>
      <w:hyperlink w:anchor="SENTENCIA_2015_233" w:history="1">
        <w:r w:rsidRPr="00981775">
          <w:rPr>
            <w:rStyle w:val="TextoNormalCaracter"/>
          </w:rPr>
          <w:t>233/2015</w:t>
        </w:r>
      </w:hyperlink>
      <w:r>
        <w:t>, ff. 1, 13.</w:t>
      </w:r>
    </w:p>
    <w:p w:rsidR="00981775" w:rsidRDefault="00981775" w:rsidP="00981775">
      <w:pPr>
        <w:pStyle w:val="SangriaFrancesaArticulo"/>
      </w:pPr>
      <w:r w:rsidRPr="00981775">
        <w:rPr>
          <w:rStyle w:val="TextoNormalNegritaCaracter"/>
        </w:rPr>
        <w:t>Disposición adicional sexta.</w:t>
      </w:r>
      <w:r w:rsidRPr="00981775">
        <w:rPr>
          <w:rStyle w:val="TextoNormalCaracter"/>
        </w:rPr>
        <w:t>-</w:t>
      </w:r>
      <w:r>
        <w:t xml:space="preserve"> Sentencia </w:t>
      </w:r>
      <w:hyperlink w:anchor="SENTENCIA_2015_233" w:history="1">
        <w:r w:rsidRPr="00981775">
          <w:rPr>
            <w:rStyle w:val="TextoNormalCaracter"/>
          </w:rPr>
          <w:t>233/2015</w:t>
        </w:r>
      </w:hyperlink>
      <w:r>
        <w:t>, ff. 1, 9.</w:t>
      </w:r>
    </w:p>
    <w:p w:rsidR="00981775" w:rsidRDefault="00981775" w:rsidP="00981775">
      <w:pPr>
        <w:pStyle w:val="SangriaFrancesaArticulo"/>
      </w:pPr>
      <w:r w:rsidRPr="00981775">
        <w:rPr>
          <w:rStyle w:val="TextoNormalNegritaCaracter"/>
        </w:rPr>
        <w:t>Disposición adicional séptima.</w:t>
      </w:r>
      <w:r w:rsidRPr="00981775">
        <w:rPr>
          <w:rStyle w:val="TextoNormalCaracter"/>
        </w:rPr>
        <w:t>-</w:t>
      </w:r>
      <w:r>
        <w:t xml:space="preserve"> Sentencia </w:t>
      </w:r>
      <w:hyperlink w:anchor="SENTENCIA_2015_233" w:history="1">
        <w:r w:rsidRPr="00981775">
          <w:rPr>
            <w:rStyle w:val="TextoNormalCaracter"/>
          </w:rPr>
          <w:t>233/2015</w:t>
        </w:r>
      </w:hyperlink>
      <w:r>
        <w:t>, ff. 1, 14.</w:t>
      </w:r>
    </w:p>
    <w:p w:rsidR="00981775" w:rsidRDefault="00981775" w:rsidP="00981775">
      <w:pPr>
        <w:pStyle w:val="SangriaFrancesaArticulo"/>
      </w:pPr>
      <w:r w:rsidRPr="00981775">
        <w:rPr>
          <w:rStyle w:val="TextoNormalNegritaCaracter"/>
        </w:rPr>
        <w:t>Disposición adicional octava.</w:t>
      </w:r>
      <w:r w:rsidRPr="00981775">
        <w:rPr>
          <w:rStyle w:val="TextoNormalCaracter"/>
        </w:rPr>
        <w:t>-</w:t>
      </w:r>
      <w:r>
        <w:t xml:space="preserve"> Sentencia </w:t>
      </w:r>
      <w:hyperlink w:anchor="SENTENCIA_2015_233" w:history="1">
        <w:r w:rsidRPr="00981775">
          <w:rPr>
            <w:rStyle w:val="TextoNormalCaracter"/>
          </w:rPr>
          <w:t>233/2015</w:t>
        </w:r>
      </w:hyperlink>
      <w:r>
        <w:t>, f. 2.</w:t>
      </w:r>
    </w:p>
    <w:p w:rsidR="00981775" w:rsidRDefault="00981775" w:rsidP="00981775">
      <w:pPr>
        <w:pStyle w:val="SangriaFrancesaArticulo"/>
      </w:pPr>
      <w:r w:rsidRPr="00981775">
        <w:rPr>
          <w:rStyle w:val="TextoNormalNegritaCaracter"/>
        </w:rPr>
        <w:t>Disposición adicional novena.</w:t>
      </w:r>
      <w:r w:rsidRPr="00981775">
        <w:rPr>
          <w:rStyle w:val="TextoNormalCaracter"/>
        </w:rPr>
        <w:t>-</w:t>
      </w:r>
      <w:r>
        <w:t xml:space="preserve"> Sentencia </w:t>
      </w:r>
      <w:hyperlink w:anchor="SENTENCIA_2015_233" w:history="1">
        <w:r w:rsidRPr="00981775">
          <w:rPr>
            <w:rStyle w:val="TextoNormalCaracter"/>
          </w:rPr>
          <w:t>233/2015</w:t>
        </w:r>
      </w:hyperlink>
      <w:r>
        <w:t>, ff. 1, 15.</w:t>
      </w:r>
    </w:p>
    <w:p w:rsidR="00981775" w:rsidRDefault="00981775" w:rsidP="00981775">
      <w:pPr>
        <w:pStyle w:val="SangriaFrancesaArticulo"/>
      </w:pPr>
      <w:r w:rsidRPr="00981775">
        <w:rPr>
          <w:rStyle w:val="TextoNormalNegritaCaracter"/>
        </w:rPr>
        <w:t>Disposición transitoria primera.</w:t>
      </w:r>
      <w:r w:rsidRPr="00981775">
        <w:rPr>
          <w:rStyle w:val="TextoNormalCaracter"/>
        </w:rPr>
        <w:t>-</w:t>
      </w:r>
      <w:r>
        <w:t xml:space="preserve"> Sentencia </w:t>
      </w:r>
      <w:hyperlink w:anchor="SENTENCIA_2015_233" w:history="1">
        <w:r w:rsidRPr="00981775">
          <w:rPr>
            <w:rStyle w:val="TextoNormalCaracter"/>
          </w:rPr>
          <w:t>233/2015</w:t>
        </w:r>
      </w:hyperlink>
      <w:r>
        <w:t>, f. 16.</w:t>
      </w:r>
    </w:p>
    <w:p w:rsidR="00981775" w:rsidRDefault="00981775" w:rsidP="00981775">
      <w:pPr>
        <w:pStyle w:val="SangriaFrancesaArticulo"/>
      </w:pPr>
      <w:r w:rsidRPr="00981775">
        <w:rPr>
          <w:rStyle w:val="TextoNormalNegritaCaracter"/>
        </w:rPr>
        <w:t>Disposición transitoria cuarta, apartado 3.</w:t>
      </w:r>
      <w:r w:rsidRPr="00981775">
        <w:rPr>
          <w:rStyle w:val="TextoNormalCaracter"/>
        </w:rPr>
        <w:t>-</w:t>
      </w:r>
      <w:r>
        <w:t xml:space="preserve"> Sentencia </w:t>
      </w:r>
      <w:hyperlink w:anchor="SENTENCIA_2015_233" w:history="1">
        <w:r w:rsidRPr="00981775">
          <w:rPr>
            <w:rStyle w:val="TextoNormalCaracter"/>
          </w:rPr>
          <w:t>233/2015</w:t>
        </w:r>
      </w:hyperlink>
      <w:r>
        <w:t>, f. 8.</w:t>
      </w:r>
    </w:p>
    <w:p w:rsidR="00981775" w:rsidRDefault="00981775" w:rsidP="00981775">
      <w:pPr>
        <w:pStyle w:val="SangriaFrancesaArticulo"/>
      </w:pPr>
    </w:p>
    <w:p w:rsidR="00981775" w:rsidRDefault="00981775" w:rsidP="00981775">
      <w:pPr>
        <w:pStyle w:val="TextoNormalNegritaCursivandice"/>
      </w:pPr>
      <w:r>
        <w:t>Ley 4/2013, de 4 de junio. Medidas de flexibilización y fomento del mercado del alquiler de viviendas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67" w:history="1">
        <w:r w:rsidRPr="00981775">
          <w:rPr>
            <w:rStyle w:val="TextoNormalCaracter"/>
          </w:rPr>
          <w:t>267/2015</w:t>
        </w:r>
      </w:hyperlink>
      <w:r>
        <w:t>, f. 3.</w:t>
      </w:r>
    </w:p>
    <w:p w:rsidR="00981775" w:rsidRDefault="00981775" w:rsidP="00981775">
      <w:pPr>
        <w:pStyle w:val="SangriaIzquierdaArticulo"/>
      </w:pPr>
      <w:r>
        <w:t xml:space="preserve">Autos </w:t>
      </w:r>
      <w:hyperlink w:anchor="AUTO_2015_128" w:history="1">
        <w:r w:rsidRPr="00981775">
          <w:rPr>
            <w:rStyle w:val="TextoNormalCaracter"/>
          </w:rPr>
          <w:t>128/2015</w:t>
        </w:r>
      </w:hyperlink>
      <w:r>
        <w:t xml:space="preserve">, f. 1; </w:t>
      </w:r>
      <w:hyperlink w:anchor="AUTO_2015_227" w:history="1">
        <w:r w:rsidRPr="00981775">
          <w:rPr>
            <w:rStyle w:val="TextoNormalCaracter"/>
          </w:rPr>
          <w:t>227/2015</w:t>
        </w:r>
      </w:hyperlink>
      <w:r>
        <w:t>, f. 4.</w:t>
      </w:r>
    </w:p>
    <w:p w:rsidR="00981775" w:rsidRDefault="00981775" w:rsidP="00981775">
      <w:pPr>
        <w:pStyle w:val="SangriaFrancesaArticulo"/>
      </w:pPr>
      <w:r w:rsidRPr="00981775">
        <w:rPr>
          <w:rStyle w:val="TextoNormalNegritaCaracter"/>
        </w:rPr>
        <w:t>Exposición de motivos.</w:t>
      </w:r>
      <w:r w:rsidRPr="00981775">
        <w:rPr>
          <w:rStyle w:val="TextoNormalCaracter"/>
        </w:rPr>
        <w:t>-</w:t>
      </w:r>
      <w:r>
        <w:t xml:space="preserve"> Sentencia </w:t>
      </w:r>
      <w:hyperlink w:anchor="SENTENCIA_2015_216" w:history="1">
        <w:r w:rsidRPr="00981775">
          <w:rPr>
            <w:rStyle w:val="TextoNormalCaracter"/>
          </w:rPr>
          <w:t>216/2015</w:t>
        </w:r>
      </w:hyperlink>
      <w:r>
        <w:t>, f. 3.</w:t>
      </w:r>
    </w:p>
    <w:p w:rsidR="00981775" w:rsidRDefault="00981775" w:rsidP="00981775">
      <w:pPr>
        <w:pStyle w:val="SangriaFrancesaArticulo"/>
      </w:pPr>
      <w:r w:rsidRPr="00981775">
        <w:rPr>
          <w:rStyle w:val="TextoNormalNegritaCaracter"/>
        </w:rPr>
        <w:t>Disposición adicional segunda.</w:t>
      </w:r>
      <w:r w:rsidRPr="00981775">
        <w:rPr>
          <w:rStyle w:val="TextoNormalCaracter"/>
        </w:rPr>
        <w:t>-</w:t>
      </w:r>
      <w:r>
        <w:t xml:space="preserve"> Sentencias </w:t>
      </w:r>
      <w:hyperlink w:anchor="SENTENCIA_2015_216" w:history="1">
        <w:r w:rsidRPr="00981775">
          <w:rPr>
            <w:rStyle w:val="TextoNormalCaracter"/>
          </w:rPr>
          <w:t>216/2015</w:t>
        </w:r>
      </w:hyperlink>
      <w:r>
        <w:t xml:space="preserve">, ff. 1 a 4, 6, 9; </w:t>
      </w:r>
      <w:hyperlink w:anchor="SENTENCIA_2015_267" w:history="1">
        <w:r w:rsidRPr="00981775">
          <w:rPr>
            <w:rStyle w:val="TextoNormalCaracter"/>
          </w:rPr>
          <w:t>267/2015</w:t>
        </w:r>
      </w:hyperlink>
      <w:r>
        <w:t xml:space="preserve">, ff. 1, 2; </w:t>
      </w:r>
      <w:hyperlink w:anchor="SENTENCIA_2015_268" w:history="1">
        <w:r w:rsidRPr="00981775">
          <w:rPr>
            <w:rStyle w:val="TextoNormalCaracter"/>
          </w:rPr>
          <w:t>268/2015</w:t>
        </w:r>
      </w:hyperlink>
      <w:r>
        <w:t>, ff. 1 a 3.</w:t>
      </w:r>
    </w:p>
    <w:p w:rsidR="00981775" w:rsidRDefault="00981775" w:rsidP="00981775">
      <w:pPr>
        <w:pStyle w:val="SangriaIzquierdaArticulo"/>
      </w:pPr>
      <w:r>
        <w:t xml:space="preserve">Auto </w:t>
      </w:r>
      <w:hyperlink w:anchor="AUTO_2015_227" w:history="1">
        <w:r w:rsidRPr="00981775">
          <w:rPr>
            <w:rStyle w:val="TextoNormalCaracter"/>
          </w:rPr>
          <w:t>227/2015</w:t>
        </w:r>
      </w:hyperlink>
      <w:r>
        <w:t>, ff. 1, 4.</w:t>
      </w:r>
    </w:p>
    <w:p w:rsidR="00981775" w:rsidRDefault="00981775" w:rsidP="00981775">
      <w:pPr>
        <w:pStyle w:val="SangriaFrancesaArticulo"/>
      </w:pPr>
      <w:r w:rsidRPr="00981775">
        <w:rPr>
          <w:rStyle w:val="TextoNormalNegritaCaracter"/>
        </w:rPr>
        <w:t>Disposición adicional segunda a).</w:t>
      </w:r>
      <w:r w:rsidRPr="00981775">
        <w:rPr>
          <w:rStyle w:val="TextoNormalCaracter"/>
        </w:rPr>
        <w:t>-</w:t>
      </w:r>
      <w:r>
        <w:t xml:space="preserve"> Sentencias </w:t>
      </w:r>
      <w:hyperlink w:anchor="SENTENCIA_2015_216" w:history="1">
        <w:r w:rsidRPr="00981775">
          <w:rPr>
            <w:rStyle w:val="TextoNormalCaracter"/>
          </w:rPr>
          <w:t>216/2015</w:t>
        </w:r>
      </w:hyperlink>
      <w:r>
        <w:t xml:space="preserve">, ff. 2, 7, 8; </w:t>
      </w:r>
      <w:hyperlink w:anchor="SENTENCIA_2015_267" w:history="1">
        <w:r w:rsidRPr="00981775">
          <w:rPr>
            <w:rStyle w:val="TextoNormalCaracter"/>
          </w:rPr>
          <w:t>267/2015</w:t>
        </w:r>
      </w:hyperlink>
      <w:r>
        <w:t>, f. 3.</w:t>
      </w:r>
    </w:p>
    <w:p w:rsidR="00981775" w:rsidRDefault="00981775" w:rsidP="00981775">
      <w:pPr>
        <w:pStyle w:val="SangriaFrancesaArticulo"/>
      </w:pPr>
      <w:r w:rsidRPr="00981775">
        <w:rPr>
          <w:rStyle w:val="TextoNormalNegritaCaracter"/>
        </w:rPr>
        <w:t>Disposición adicional segunda a), párrafo cuarto.</w:t>
      </w:r>
      <w:r w:rsidRPr="00981775">
        <w:rPr>
          <w:rStyle w:val="TextoNormalCaracter"/>
        </w:rPr>
        <w:t>-</w:t>
      </w:r>
      <w:r>
        <w:t xml:space="preserve"> Sentencias </w:t>
      </w:r>
      <w:hyperlink w:anchor="SENTENCIA_2015_216" w:history="1">
        <w:r w:rsidRPr="00981775">
          <w:rPr>
            <w:rStyle w:val="TextoNormalCaracter"/>
          </w:rPr>
          <w:t>216/2015</w:t>
        </w:r>
      </w:hyperlink>
      <w:r>
        <w:t xml:space="preserve">, f. 8, VP; </w:t>
      </w:r>
      <w:hyperlink w:anchor="SENTENCIA_2015_267" w:history="1">
        <w:r w:rsidRPr="00981775">
          <w:rPr>
            <w:rStyle w:val="TextoNormalCaracter"/>
          </w:rPr>
          <w:t>267/2015</w:t>
        </w:r>
      </w:hyperlink>
      <w:r>
        <w:t xml:space="preserve">, ff. 2, 3; </w:t>
      </w:r>
      <w:hyperlink w:anchor="SENTENCIA_2015_268" w:history="1">
        <w:r w:rsidRPr="00981775">
          <w:rPr>
            <w:rStyle w:val="TextoNormalCaracter"/>
          </w:rPr>
          <w:t>268/2015</w:t>
        </w:r>
      </w:hyperlink>
      <w:r>
        <w:t>, ff. 2, 3.</w:t>
      </w:r>
    </w:p>
    <w:p w:rsidR="00981775" w:rsidRDefault="00981775" w:rsidP="00981775">
      <w:pPr>
        <w:pStyle w:val="SangriaFrancesaArticulo"/>
      </w:pPr>
      <w:r w:rsidRPr="00981775">
        <w:rPr>
          <w:rStyle w:val="TextoNormalNegritaCaracter"/>
        </w:rPr>
        <w:t>Disposición adicional segunda a), párrafo tercero.</w:t>
      </w:r>
      <w:r w:rsidRPr="00981775">
        <w:rPr>
          <w:rStyle w:val="TextoNormalCaracter"/>
        </w:rPr>
        <w:t>-</w:t>
      </w:r>
      <w:r>
        <w:t xml:space="preserve"> Sentencia </w:t>
      </w:r>
      <w:hyperlink w:anchor="SENTENCIA_2015_216" w:history="1">
        <w:r w:rsidRPr="00981775">
          <w:rPr>
            <w:rStyle w:val="TextoNormalCaracter"/>
          </w:rPr>
          <w:t>216/2015</w:t>
        </w:r>
      </w:hyperlink>
      <w:r>
        <w:t>, f. 8.</w:t>
      </w:r>
    </w:p>
    <w:p w:rsidR="00981775" w:rsidRDefault="00981775" w:rsidP="00981775">
      <w:pPr>
        <w:pStyle w:val="SangriaFrancesaArticulo"/>
      </w:pPr>
      <w:r w:rsidRPr="00981775">
        <w:rPr>
          <w:rStyle w:val="TextoNormalNegritaCaracter"/>
        </w:rPr>
        <w:t>Disposición adicional segunda b).</w:t>
      </w:r>
      <w:r w:rsidRPr="00981775">
        <w:rPr>
          <w:rStyle w:val="TextoNormalCaracter"/>
        </w:rPr>
        <w:t>-</w:t>
      </w:r>
      <w:r>
        <w:t xml:space="preserve"> Sentencia </w:t>
      </w:r>
      <w:hyperlink w:anchor="SENTENCIA_2015_216" w:history="1">
        <w:r w:rsidRPr="00981775">
          <w:rPr>
            <w:rStyle w:val="TextoNormalCaracter"/>
          </w:rPr>
          <w:t>216/2015</w:t>
        </w:r>
      </w:hyperlink>
      <w:r>
        <w:t>, f. 2.</w:t>
      </w:r>
    </w:p>
    <w:p w:rsidR="00981775" w:rsidRDefault="00981775" w:rsidP="00981775">
      <w:pPr>
        <w:pStyle w:val="SangriaFrancesaArticulo"/>
      </w:pPr>
      <w:r w:rsidRPr="00981775">
        <w:rPr>
          <w:rStyle w:val="TextoNormalNegritaCaracter"/>
        </w:rPr>
        <w:t>Disposición adicional segunda c).</w:t>
      </w:r>
      <w:r w:rsidRPr="00981775">
        <w:rPr>
          <w:rStyle w:val="TextoNormalCaracter"/>
        </w:rPr>
        <w:t>-</w:t>
      </w:r>
      <w:r>
        <w:t xml:space="preserve"> Sentencia </w:t>
      </w:r>
      <w:hyperlink w:anchor="SENTENCIA_2015_216" w:history="1">
        <w:r w:rsidRPr="00981775">
          <w:rPr>
            <w:rStyle w:val="TextoNormalCaracter"/>
          </w:rPr>
          <w:t>216/2015</w:t>
        </w:r>
      </w:hyperlink>
      <w:r>
        <w:t>, f. 2.</w:t>
      </w:r>
    </w:p>
    <w:p w:rsidR="00981775" w:rsidRDefault="00981775" w:rsidP="00981775">
      <w:pPr>
        <w:pStyle w:val="SangriaFrancesaArticulo"/>
      </w:pPr>
      <w:r w:rsidRPr="00981775">
        <w:rPr>
          <w:rStyle w:val="TextoNormalNegritaCaracter"/>
        </w:rPr>
        <w:t>Disposición adicional segunda d).</w:t>
      </w:r>
      <w:r w:rsidRPr="00981775">
        <w:rPr>
          <w:rStyle w:val="TextoNormalCaracter"/>
        </w:rPr>
        <w:t>-</w:t>
      </w:r>
      <w:r>
        <w:t xml:space="preserve"> Sentencia </w:t>
      </w:r>
      <w:hyperlink w:anchor="SENTENCIA_2015_216" w:history="1">
        <w:r w:rsidRPr="00981775">
          <w:rPr>
            <w:rStyle w:val="TextoNormalCaracter"/>
          </w:rPr>
          <w:t>216/2015</w:t>
        </w:r>
      </w:hyperlink>
      <w:r>
        <w:t>, f. 2.</w:t>
      </w:r>
    </w:p>
    <w:p w:rsidR="00981775" w:rsidRDefault="00981775" w:rsidP="00981775">
      <w:pPr>
        <w:pStyle w:val="SangriaFrancesaArticulo"/>
      </w:pPr>
      <w:r w:rsidRPr="00981775">
        <w:rPr>
          <w:rStyle w:val="TextoNormalNegritaCaracter"/>
        </w:rPr>
        <w:t>Disposición adicional segunda, apartado a) párrafo 4.</w:t>
      </w:r>
      <w:r w:rsidRPr="00981775">
        <w:rPr>
          <w:rStyle w:val="TextoNormalCaracter"/>
        </w:rPr>
        <w:t>-</w:t>
      </w:r>
      <w:r>
        <w:t xml:space="preserve"> Auto </w:t>
      </w:r>
      <w:hyperlink w:anchor="AUTO_2015_227" w:history="1">
        <w:r w:rsidRPr="00981775">
          <w:rPr>
            <w:rStyle w:val="TextoNormalCaracter"/>
          </w:rPr>
          <w:t>227/2015</w:t>
        </w:r>
      </w:hyperlink>
      <w:r>
        <w:t>, ff. 1, 4.</w:t>
      </w:r>
    </w:p>
    <w:p w:rsidR="00981775" w:rsidRDefault="00981775" w:rsidP="00981775">
      <w:pPr>
        <w:pStyle w:val="SangriaFrancesaArticulo"/>
      </w:pPr>
    </w:p>
    <w:p w:rsidR="00981775" w:rsidRDefault="00981775" w:rsidP="00981775">
      <w:pPr>
        <w:pStyle w:val="TextoNormalNegritaCursivandice"/>
      </w:pPr>
      <w:r>
        <w:t>Ley 8/2013, de 26 de junio. Rehabilitación, regeneración y renovación urbanas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18" w:history="1">
        <w:r w:rsidRPr="00981775">
          <w:rPr>
            <w:rStyle w:val="TextoNormalCaracter"/>
          </w:rPr>
          <w:t>218/2015</w:t>
        </w:r>
      </w:hyperlink>
      <w:r>
        <w:t>, f. 2.</w:t>
      </w:r>
    </w:p>
    <w:p w:rsidR="00981775" w:rsidRDefault="00981775" w:rsidP="00981775">
      <w:pPr>
        <w:pStyle w:val="SangriaFrancesaArticulo"/>
      </w:pPr>
    </w:p>
    <w:p w:rsidR="00981775" w:rsidRDefault="00981775" w:rsidP="00981775">
      <w:pPr>
        <w:pStyle w:val="TextoNormalNegritaCursivandice"/>
      </w:pPr>
      <w:r>
        <w:t>Ley 11/2013, de 26 de julio. Medidas de apoyo al emprendedor y de estímulo del crecimiento y de la creación de empleo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97" w:history="1">
        <w:r w:rsidRPr="00981775">
          <w:rPr>
            <w:rStyle w:val="TextoNormalCaracter"/>
          </w:rPr>
          <w:t>197/2015</w:t>
        </w:r>
      </w:hyperlink>
      <w:r>
        <w:t>, ff. 1, 2, VP I.</w:t>
      </w:r>
    </w:p>
    <w:p w:rsidR="00981775" w:rsidRDefault="00981775" w:rsidP="00981775">
      <w:pPr>
        <w:pStyle w:val="SangriaFrancesaArticulo"/>
      </w:pPr>
      <w:r w:rsidRPr="00981775">
        <w:rPr>
          <w:rStyle w:val="TextoNormalNegritaCaracter"/>
        </w:rPr>
        <w:t>Artículo 37.</w:t>
      </w:r>
      <w:r w:rsidRPr="00981775">
        <w:rPr>
          <w:rStyle w:val="TextoNormalCaracter"/>
        </w:rPr>
        <w:t>-</w:t>
      </w:r>
      <w:r>
        <w:t xml:space="preserve"> Sentencia </w:t>
      </w:r>
      <w:hyperlink w:anchor="SENTENCIA_2015_197" w:history="1">
        <w:r w:rsidRPr="00981775">
          <w:rPr>
            <w:rStyle w:val="TextoNormalCaracter"/>
          </w:rPr>
          <w:t>197/2015</w:t>
        </w:r>
      </w:hyperlink>
      <w:r>
        <w:t>, f. 2.</w:t>
      </w:r>
    </w:p>
    <w:p w:rsidR="00981775" w:rsidRDefault="00981775" w:rsidP="00981775">
      <w:pPr>
        <w:pStyle w:val="SangriaFrancesaArticulo"/>
      </w:pPr>
      <w:r w:rsidRPr="00981775">
        <w:rPr>
          <w:rStyle w:val="TextoNormalNegritaCaracter"/>
        </w:rPr>
        <w:t>Artículo 38.</w:t>
      </w:r>
      <w:r w:rsidRPr="00981775">
        <w:rPr>
          <w:rStyle w:val="TextoNormalCaracter"/>
        </w:rPr>
        <w:t>-</w:t>
      </w:r>
      <w:r>
        <w:t xml:space="preserve"> Sentencia </w:t>
      </w:r>
      <w:hyperlink w:anchor="SENTENCIA_2015_197" w:history="1">
        <w:r w:rsidRPr="00981775">
          <w:rPr>
            <w:rStyle w:val="TextoNormalCaracter"/>
          </w:rPr>
          <w:t>197/2015</w:t>
        </w:r>
      </w:hyperlink>
      <w:r>
        <w:t>, f. 2.</w:t>
      </w:r>
    </w:p>
    <w:p w:rsidR="00981775" w:rsidRDefault="00981775" w:rsidP="00981775">
      <w:pPr>
        <w:pStyle w:val="SangriaFrancesaArticulo"/>
      </w:pPr>
      <w:r w:rsidRPr="00981775">
        <w:rPr>
          <w:rStyle w:val="TextoNormalNegritaCaracter"/>
        </w:rPr>
        <w:t>Disposición final decimoquinta.</w:t>
      </w:r>
      <w:r w:rsidRPr="00981775">
        <w:rPr>
          <w:rStyle w:val="TextoNormalCaracter"/>
        </w:rPr>
        <w:t>-</w:t>
      </w:r>
      <w:r>
        <w:t xml:space="preserve"> Sentencia </w:t>
      </w:r>
      <w:hyperlink w:anchor="SENTENCIA_2015_197" w:history="1">
        <w:r w:rsidRPr="00981775">
          <w:rPr>
            <w:rStyle w:val="TextoNormalCaracter"/>
          </w:rPr>
          <w:t>197/2015</w:t>
        </w:r>
      </w:hyperlink>
      <w:r>
        <w:t>, f. 2, VP I.</w:t>
      </w:r>
    </w:p>
    <w:p w:rsidR="00981775" w:rsidRDefault="00981775" w:rsidP="00981775">
      <w:pPr>
        <w:pStyle w:val="SangriaFrancesaArticulo"/>
      </w:pPr>
      <w:r w:rsidRPr="00981775">
        <w:rPr>
          <w:rStyle w:val="TextoNormalNegritaCaracter"/>
        </w:rPr>
        <w:t>Anexo.</w:t>
      </w:r>
      <w:r w:rsidRPr="00981775">
        <w:rPr>
          <w:rStyle w:val="TextoNormalCaracter"/>
        </w:rPr>
        <w:t>-</w:t>
      </w:r>
      <w:r>
        <w:t xml:space="preserve"> Sentencia </w:t>
      </w:r>
      <w:hyperlink w:anchor="SENTENCIA_2015_197" w:history="1">
        <w:r w:rsidRPr="00981775">
          <w:rPr>
            <w:rStyle w:val="TextoNormalCaracter"/>
          </w:rPr>
          <w:t>197/2015</w:t>
        </w:r>
      </w:hyperlink>
      <w:r>
        <w:t>, f. 2.</w:t>
      </w:r>
    </w:p>
    <w:p w:rsidR="00981775" w:rsidRDefault="00981775" w:rsidP="00981775">
      <w:pPr>
        <w:pStyle w:val="SangriaFrancesaArticulo"/>
      </w:pPr>
    </w:p>
    <w:p w:rsidR="00981775" w:rsidRDefault="00981775" w:rsidP="00981775">
      <w:pPr>
        <w:pStyle w:val="TextoNormalNegritaCursivandice"/>
      </w:pPr>
      <w:r>
        <w:t>Ley 14/2013, de 27 de septiembre. Apoyo a los emprendedores y su internacionalización</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7" w:history="1">
        <w:r w:rsidRPr="00981775">
          <w:rPr>
            <w:rStyle w:val="TextoNormalCaracter"/>
          </w:rPr>
          <w:t>237/2015</w:t>
        </w:r>
      </w:hyperlink>
      <w:r>
        <w:t>, ff. 3, 5.</w:t>
      </w:r>
    </w:p>
    <w:p w:rsidR="00981775" w:rsidRDefault="00981775" w:rsidP="00981775">
      <w:pPr>
        <w:pStyle w:val="SangriaFrancesaArticulo"/>
      </w:pPr>
      <w:r w:rsidRPr="00981775">
        <w:rPr>
          <w:rStyle w:val="TextoNormalNegritaCaracter"/>
        </w:rPr>
        <w:t>Título IV, capítulo I.</w:t>
      </w:r>
      <w:r w:rsidRPr="00981775">
        <w:rPr>
          <w:rStyle w:val="TextoNormalCaracter"/>
        </w:rPr>
        <w:t>-</w:t>
      </w:r>
      <w:r>
        <w:t xml:space="preserve"> Sentencia </w:t>
      </w:r>
      <w:hyperlink w:anchor="SENTENCIA_2015_198" w:history="1">
        <w:r w:rsidRPr="00981775">
          <w:rPr>
            <w:rStyle w:val="TextoNormalCaracter"/>
          </w:rPr>
          <w:t>198/2015</w:t>
        </w:r>
      </w:hyperlink>
      <w:r>
        <w:t>, f. 2.</w:t>
      </w:r>
    </w:p>
    <w:p w:rsidR="00981775" w:rsidRDefault="00981775" w:rsidP="00981775">
      <w:pPr>
        <w:pStyle w:val="SangriaFrancesaArticulo"/>
      </w:pPr>
      <w:r w:rsidRPr="00981775">
        <w:rPr>
          <w:rStyle w:val="TextoNormalNegritaCaracter"/>
        </w:rPr>
        <w:t>Preámbulo.</w:t>
      </w:r>
      <w:r w:rsidRPr="00981775">
        <w:rPr>
          <w:rStyle w:val="TextoNormalCaracter"/>
        </w:rPr>
        <w:t>-</w:t>
      </w:r>
      <w:r>
        <w:t xml:space="preserve"> Sentencia </w:t>
      </w:r>
      <w:hyperlink w:anchor="SENTENCIA_2015_237" w:history="1">
        <w:r w:rsidRPr="00981775">
          <w:rPr>
            <w:rStyle w:val="TextoNormalCaracter"/>
          </w:rPr>
          <w:t>237/2015</w:t>
        </w:r>
      </w:hyperlink>
      <w:r>
        <w:t>, f. 3.</w:t>
      </w:r>
    </w:p>
    <w:p w:rsidR="00981775" w:rsidRDefault="00981775" w:rsidP="00981775">
      <w:pPr>
        <w:pStyle w:val="SangriaFrancesaArticulo"/>
      </w:pPr>
      <w:r w:rsidRPr="00981775">
        <w:rPr>
          <w:rStyle w:val="TextoNormalNegritaCaracter"/>
        </w:rPr>
        <w:t>Artículo 1.</w:t>
      </w:r>
      <w:r w:rsidRPr="00981775">
        <w:rPr>
          <w:rStyle w:val="TextoNormalCaracter"/>
        </w:rPr>
        <w:t>-</w:t>
      </w:r>
      <w:r>
        <w:t xml:space="preserve"> Sentencia </w:t>
      </w:r>
      <w:hyperlink w:anchor="SENTENCIA_2015_198" w:history="1">
        <w:r w:rsidRPr="00981775">
          <w:rPr>
            <w:rStyle w:val="TextoNormalCaracter"/>
          </w:rPr>
          <w:t>198/2015</w:t>
        </w:r>
      </w:hyperlink>
      <w:r>
        <w:t>, f. 2.</w:t>
      </w:r>
    </w:p>
    <w:p w:rsidR="00981775" w:rsidRDefault="00981775" w:rsidP="00981775">
      <w:pPr>
        <w:pStyle w:val="SangriaFrancesaArticulo"/>
      </w:pPr>
      <w:r w:rsidRPr="00981775">
        <w:rPr>
          <w:rStyle w:val="TextoNormalNegritaCaracter"/>
        </w:rPr>
        <w:t>Artículo 39.2.</w:t>
      </w:r>
      <w:r w:rsidRPr="00981775">
        <w:rPr>
          <w:rStyle w:val="TextoNormalCaracter"/>
        </w:rPr>
        <w:t>-</w:t>
      </w:r>
      <w:r>
        <w:t xml:space="preserve"> Sentencia </w:t>
      </w:r>
      <w:hyperlink w:anchor="SENTENCIA_2015_198" w:history="1">
        <w:r w:rsidRPr="00981775">
          <w:rPr>
            <w:rStyle w:val="TextoNormalCaracter"/>
          </w:rPr>
          <w:t>198/2015</w:t>
        </w:r>
      </w:hyperlink>
      <w:r>
        <w:t>, ff. 1, 2.</w:t>
      </w:r>
    </w:p>
    <w:p w:rsidR="00981775" w:rsidRDefault="00981775" w:rsidP="00981775">
      <w:pPr>
        <w:pStyle w:val="SangriaFrancesaArticulo"/>
      </w:pPr>
    </w:p>
    <w:p w:rsidR="00981775" w:rsidRDefault="00981775" w:rsidP="00981775">
      <w:pPr>
        <w:pStyle w:val="TextoNormalNegritaCursivandice"/>
      </w:pPr>
      <w:r>
        <w:t>Ley 20/2013, de 9 de diciembre. Garantía de la unidad de mercado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99" w:history="1">
        <w:r w:rsidRPr="00981775">
          <w:rPr>
            <w:rStyle w:val="TextoNormalCaracter"/>
          </w:rPr>
          <w:t>199/2015</w:t>
        </w:r>
      </w:hyperlink>
      <w:r>
        <w:t>, f. 9.</w:t>
      </w:r>
    </w:p>
    <w:p w:rsidR="00981775" w:rsidRDefault="00981775" w:rsidP="00981775">
      <w:pPr>
        <w:pStyle w:val="SangriaFrancesaArticulo"/>
      </w:pPr>
      <w:r w:rsidRPr="00981775">
        <w:rPr>
          <w:rStyle w:val="TextoNormalNegritaCaracter"/>
        </w:rPr>
        <w:t>Artículo 2.</w:t>
      </w:r>
      <w:r w:rsidRPr="00981775">
        <w:rPr>
          <w:rStyle w:val="TextoNormalCaracter"/>
        </w:rPr>
        <w:t>-</w:t>
      </w:r>
      <w:r>
        <w:t xml:space="preserve"> Sentencia </w:t>
      </w:r>
      <w:hyperlink w:anchor="SENTENCIA_2015_199" w:history="1">
        <w:r w:rsidRPr="00981775">
          <w:rPr>
            <w:rStyle w:val="TextoNormalCaracter"/>
          </w:rPr>
          <w:t>199/2015</w:t>
        </w:r>
      </w:hyperlink>
      <w:r>
        <w:t>, f. 9.</w:t>
      </w:r>
    </w:p>
    <w:p w:rsidR="00981775" w:rsidRDefault="00981775" w:rsidP="00981775">
      <w:pPr>
        <w:pStyle w:val="SangriaFrancesaArticulo"/>
      </w:pPr>
      <w:r w:rsidRPr="00981775">
        <w:rPr>
          <w:rStyle w:val="TextoNormalNegritaCaracter"/>
        </w:rPr>
        <w:t>Disposición adicional quinta.</w:t>
      </w:r>
      <w:r w:rsidRPr="00981775">
        <w:rPr>
          <w:rStyle w:val="TextoNormalCaracter"/>
        </w:rPr>
        <w:t>-</w:t>
      </w:r>
      <w:r>
        <w:t xml:space="preserve"> Sentencia </w:t>
      </w:r>
      <w:hyperlink w:anchor="SENTENCIA_2015_199" w:history="1">
        <w:r w:rsidRPr="00981775">
          <w:rPr>
            <w:rStyle w:val="TextoNormalCaracter"/>
          </w:rPr>
          <w:t>199/2015</w:t>
        </w:r>
      </w:hyperlink>
      <w:r>
        <w:t>, f. 9.</w:t>
      </w:r>
    </w:p>
    <w:p w:rsidR="00981775" w:rsidRDefault="00981775" w:rsidP="00981775">
      <w:pPr>
        <w:pStyle w:val="SangriaFrancesaArticulo"/>
      </w:pPr>
    </w:p>
    <w:p w:rsidR="00981775" w:rsidRDefault="00981775" w:rsidP="00981775">
      <w:pPr>
        <w:pStyle w:val="TextoNormalNegritaCursivandice"/>
      </w:pPr>
      <w:r>
        <w:t>Ley 24/2013, de 26 de diciembre. Sector eléctrico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70" w:history="1">
        <w:r w:rsidRPr="00981775">
          <w:rPr>
            <w:rStyle w:val="TextoNormalCaracter"/>
          </w:rPr>
          <w:t>270/2015</w:t>
        </w:r>
      </w:hyperlink>
      <w:r>
        <w:t>, f. 7, VP.</w:t>
      </w:r>
    </w:p>
    <w:p w:rsidR="00981775" w:rsidRDefault="00981775" w:rsidP="00981775">
      <w:pPr>
        <w:pStyle w:val="SangriaIzquierdaArticulo"/>
      </w:pPr>
      <w:r>
        <w:t xml:space="preserve">Auto </w:t>
      </w:r>
      <w:hyperlink w:anchor="AUTO_2015_202" w:history="1">
        <w:r w:rsidRPr="00981775">
          <w:rPr>
            <w:rStyle w:val="TextoNormalCaracter"/>
          </w:rPr>
          <w:t>202/2015</w:t>
        </w:r>
      </w:hyperlink>
      <w:r>
        <w:t>, f. 4.</w:t>
      </w:r>
    </w:p>
    <w:p w:rsidR="00981775" w:rsidRDefault="00981775" w:rsidP="00981775">
      <w:pPr>
        <w:pStyle w:val="SangriaFrancesaArticulo"/>
      </w:pPr>
      <w:r w:rsidRPr="00981775">
        <w:rPr>
          <w:rStyle w:val="TextoNormalNegritaCaracter"/>
        </w:rPr>
        <w:t>Artículo 16.4.</w:t>
      </w:r>
      <w:r w:rsidRPr="00981775">
        <w:rPr>
          <w:rStyle w:val="TextoNormalCaracter"/>
        </w:rPr>
        <w:t>-</w:t>
      </w:r>
      <w:r>
        <w:t xml:space="preserve"> Auto </w:t>
      </w:r>
      <w:hyperlink w:anchor="AUTO_2015_202" w:history="1">
        <w:r w:rsidRPr="00981775">
          <w:rPr>
            <w:rStyle w:val="TextoNormalCaracter"/>
          </w:rPr>
          <w:t>202/2015</w:t>
        </w:r>
      </w:hyperlink>
      <w:r>
        <w:t>, f. 4.</w:t>
      </w:r>
    </w:p>
    <w:p w:rsidR="00981775" w:rsidRDefault="00981775" w:rsidP="00981775">
      <w:pPr>
        <w:pStyle w:val="SangriaFrancesaArticulo"/>
      </w:pPr>
      <w:r w:rsidRPr="00981775">
        <w:rPr>
          <w:rStyle w:val="TextoNormalNegritaCaracter"/>
        </w:rPr>
        <w:t>Artículo 17.6.</w:t>
      </w:r>
      <w:r w:rsidRPr="00981775">
        <w:rPr>
          <w:rStyle w:val="TextoNormalCaracter"/>
        </w:rPr>
        <w:t>-</w:t>
      </w:r>
      <w:r>
        <w:t xml:space="preserve"> Auto </w:t>
      </w:r>
      <w:hyperlink w:anchor="AUTO_2015_202" w:history="1">
        <w:r w:rsidRPr="00981775">
          <w:rPr>
            <w:rStyle w:val="TextoNormalCaracter"/>
          </w:rPr>
          <w:t>202/2015</w:t>
        </w:r>
      </w:hyperlink>
      <w:r>
        <w:t>, f. 4.</w:t>
      </w:r>
    </w:p>
    <w:p w:rsidR="00981775" w:rsidRDefault="00981775" w:rsidP="00981775">
      <w:pPr>
        <w:pStyle w:val="SangriaFrancesaArticulo"/>
      </w:pPr>
      <w:r w:rsidRPr="00981775">
        <w:rPr>
          <w:rStyle w:val="TextoNormalNegritaCaracter"/>
        </w:rPr>
        <w:t>Disposición derogatoria única, apartado 1 a).</w:t>
      </w:r>
      <w:r w:rsidRPr="00981775">
        <w:rPr>
          <w:rStyle w:val="TextoNormalCaracter"/>
        </w:rPr>
        <w:t>-</w:t>
      </w:r>
      <w:r>
        <w:t xml:space="preserve"> Sentencia </w:t>
      </w:r>
      <w:hyperlink w:anchor="SENTENCIA_2015_270" w:history="1">
        <w:r w:rsidRPr="00981775">
          <w:rPr>
            <w:rStyle w:val="TextoNormalCaracter"/>
          </w:rPr>
          <w:t>270/2015</w:t>
        </w:r>
      </w:hyperlink>
      <w:r>
        <w:t>, f. 2.</w:t>
      </w:r>
    </w:p>
    <w:p w:rsidR="00981775" w:rsidRDefault="00981775" w:rsidP="00981775">
      <w:pPr>
        <w:pStyle w:val="SangriaFrancesaArticulo"/>
      </w:pPr>
      <w:r w:rsidRPr="00981775">
        <w:rPr>
          <w:rStyle w:val="TextoNormalNegritaCaracter"/>
        </w:rPr>
        <w:t>Disposición final tercera.</w:t>
      </w:r>
      <w:r w:rsidRPr="00981775">
        <w:rPr>
          <w:rStyle w:val="TextoNormalCaracter"/>
        </w:rPr>
        <w:t>-</w:t>
      </w:r>
      <w:r>
        <w:t xml:space="preserve"> Sentencia </w:t>
      </w:r>
      <w:hyperlink w:anchor="SENTENCIA_2015_270" w:history="1">
        <w:r w:rsidRPr="00981775">
          <w:rPr>
            <w:rStyle w:val="TextoNormalCaracter"/>
          </w:rPr>
          <w:t>270/2015</w:t>
        </w:r>
      </w:hyperlink>
      <w:r>
        <w:t>, ff. 2, 7.</w:t>
      </w:r>
    </w:p>
    <w:p w:rsidR="00981775" w:rsidRDefault="00981775" w:rsidP="00981775">
      <w:pPr>
        <w:pStyle w:val="SangriaFrancesaArticulo"/>
      </w:pPr>
      <w:r w:rsidRPr="00981775">
        <w:rPr>
          <w:rStyle w:val="TextoNormalNegritaCaracter"/>
        </w:rPr>
        <w:t>Disposición final tercera apartados 1 y 2.</w:t>
      </w:r>
      <w:r w:rsidRPr="00981775">
        <w:rPr>
          <w:rStyle w:val="TextoNormalCaracter"/>
        </w:rPr>
        <w:t>-</w:t>
      </w:r>
      <w:r>
        <w:t xml:space="preserve"> Sentencia </w:t>
      </w:r>
      <w:hyperlink w:anchor="SENTENCIA_2015_270" w:history="1">
        <w:r w:rsidRPr="00981775">
          <w:rPr>
            <w:rStyle w:val="TextoNormalCaracter"/>
          </w:rPr>
          <w:t>270/2015</w:t>
        </w:r>
      </w:hyperlink>
      <w:r>
        <w:t>, f. 2.</w:t>
      </w:r>
    </w:p>
    <w:p w:rsidR="00981775" w:rsidRDefault="00981775" w:rsidP="00981775">
      <w:pPr>
        <w:pStyle w:val="SangriaFrancesaArticulo"/>
      </w:pPr>
      <w:r w:rsidRPr="00981775">
        <w:rPr>
          <w:rStyle w:val="TextoNormalNegritaCaracter"/>
        </w:rPr>
        <w:t>Disposición final quinta.</w:t>
      </w:r>
      <w:r w:rsidRPr="00981775">
        <w:rPr>
          <w:rStyle w:val="TextoNormalCaracter"/>
        </w:rPr>
        <w:t>-</w:t>
      </w:r>
      <w:r>
        <w:t xml:space="preserve"> Sentencia </w:t>
      </w:r>
      <w:hyperlink w:anchor="SENTENCIA_2015_270" w:history="1">
        <w:r w:rsidRPr="00981775">
          <w:rPr>
            <w:rStyle w:val="TextoNormalCaracter"/>
          </w:rPr>
          <w:t>270/2015</w:t>
        </w:r>
      </w:hyperlink>
      <w:r>
        <w:t>, f. 2.</w:t>
      </w:r>
    </w:p>
    <w:p w:rsidR="00981775" w:rsidRDefault="00981775" w:rsidP="00981775">
      <w:pPr>
        <w:pStyle w:val="SangriaFrancesaArticulo"/>
      </w:pPr>
    </w:p>
    <w:p w:rsidR="00981775" w:rsidRDefault="00981775" w:rsidP="00981775">
      <w:pPr>
        <w:pStyle w:val="TextoNormalNegritaCursivandice"/>
      </w:pPr>
      <w:r>
        <w:t>Ley 1/2014, de 28 de febrero. Protección de los trabajadores a tiempo parcial y otras medidas urgentes en el orden económico y social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72" w:history="1">
        <w:r w:rsidRPr="00981775">
          <w:rPr>
            <w:rStyle w:val="TextoNormalCaracter"/>
          </w:rPr>
          <w:t>272/2015</w:t>
        </w:r>
      </w:hyperlink>
      <w:r>
        <w:t>, ff. 2, 4.</w:t>
      </w:r>
    </w:p>
    <w:p w:rsidR="00981775" w:rsidRDefault="00981775" w:rsidP="00981775">
      <w:pPr>
        <w:pStyle w:val="SangriaFrancesaArticulo"/>
      </w:pPr>
      <w:r w:rsidRPr="00981775">
        <w:rPr>
          <w:rStyle w:val="TextoNormalNegritaCaracter"/>
        </w:rPr>
        <w:t>Artículo 7.</w:t>
      </w:r>
      <w:r w:rsidRPr="00981775">
        <w:rPr>
          <w:rStyle w:val="TextoNormalCaracter"/>
        </w:rPr>
        <w:t>-</w:t>
      </w:r>
      <w:r>
        <w:t xml:space="preserve"> Sentencia </w:t>
      </w:r>
      <w:hyperlink w:anchor="SENTENCIA_2015_272" w:history="1">
        <w:r w:rsidRPr="00981775">
          <w:rPr>
            <w:rStyle w:val="TextoNormalCaracter"/>
          </w:rPr>
          <w:t>272/2015</w:t>
        </w:r>
      </w:hyperlink>
      <w:r>
        <w:t>, ff. 1 a 4.</w:t>
      </w:r>
    </w:p>
    <w:p w:rsidR="00981775" w:rsidRDefault="00981775" w:rsidP="00981775">
      <w:pPr>
        <w:pStyle w:val="SangriaFrancesaArticulo"/>
      </w:pPr>
      <w:r w:rsidRPr="00981775">
        <w:rPr>
          <w:rStyle w:val="TextoNormalNegritaCaracter"/>
        </w:rPr>
        <w:t>Artículo 8.</w:t>
      </w:r>
      <w:r w:rsidRPr="00981775">
        <w:rPr>
          <w:rStyle w:val="TextoNormalCaracter"/>
        </w:rPr>
        <w:t>-</w:t>
      </w:r>
      <w:r>
        <w:t xml:space="preserve"> Sentencia </w:t>
      </w:r>
      <w:hyperlink w:anchor="SENTENCIA_2015_272" w:history="1">
        <w:r w:rsidRPr="00981775">
          <w:rPr>
            <w:rStyle w:val="TextoNormalCaracter"/>
          </w:rPr>
          <w:t>272/2015</w:t>
        </w:r>
      </w:hyperlink>
      <w:r>
        <w:t>, f. 1.</w:t>
      </w:r>
    </w:p>
    <w:p w:rsidR="00981775" w:rsidRDefault="00981775" w:rsidP="00981775">
      <w:pPr>
        <w:pStyle w:val="SangriaFrancesaArticulo"/>
      </w:pPr>
      <w:r w:rsidRPr="00981775">
        <w:rPr>
          <w:rStyle w:val="TextoNormalNegritaCaracter"/>
        </w:rPr>
        <w:t>Artículo 8.2.</w:t>
      </w:r>
      <w:r w:rsidRPr="00981775">
        <w:rPr>
          <w:rStyle w:val="TextoNormalCaracter"/>
        </w:rPr>
        <w:t>-</w:t>
      </w:r>
      <w:r>
        <w:t xml:space="preserve"> Sentencia </w:t>
      </w:r>
      <w:hyperlink w:anchor="SENTENCIA_2015_272" w:history="1">
        <w:r w:rsidRPr="00981775">
          <w:rPr>
            <w:rStyle w:val="TextoNormalCaracter"/>
          </w:rPr>
          <w:t>272/2015</w:t>
        </w:r>
      </w:hyperlink>
      <w:r>
        <w:t>, f. 4.</w:t>
      </w:r>
    </w:p>
    <w:p w:rsidR="00981775" w:rsidRDefault="00981775" w:rsidP="00981775">
      <w:pPr>
        <w:pStyle w:val="SangriaFrancesaArticulo"/>
      </w:pPr>
      <w:r w:rsidRPr="00981775">
        <w:rPr>
          <w:rStyle w:val="TextoNormalNegritaCaracter"/>
        </w:rPr>
        <w:t>Artículo 8.5.</w:t>
      </w:r>
      <w:r w:rsidRPr="00981775">
        <w:rPr>
          <w:rStyle w:val="TextoNormalCaracter"/>
        </w:rPr>
        <w:t>-</w:t>
      </w:r>
      <w:r>
        <w:t xml:space="preserve"> Sentencia </w:t>
      </w:r>
      <w:hyperlink w:anchor="SENTENCIA_2015_272" w:history="1">
        <w:r w:rsidRPr="00981775">
          <w:rPr>
            <w:rStyle w:val="TextoNormalCaracter"/>
          </w:rPr>
          <w:t>272/2015</w:t>
        </w:r>
      </w:hyperlink>
      <w:r>
        <w:t>, ff. 1 a 4.</w:t>
      </w:r>
    </w:p>
    <w:p w:rsidR="00981775" w:rsidRDefault="00981775" w:rsidP="00981775">
      <w:pPr>
        <w:pStyle w:val="SangriaFrancesaArticulo"/>
      </w:pPr>
    </w:p>
    <w:p w:rsidR="00981775" w:rsidRDefault="00981775" w:rsidP="00981775">
      <w:pPr>
        <w:pStyle w:val="TextoNormalNegritaCursivandice"/>
      </w:pPr>
      <w:r>
        <w:t>Ley 2/2014, de 25 de marzo. Acción y del servicio exterior del Estado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22" w:history="1">
        <w:r w:rsidRPr="00981775">
          <w:rPr>
            <w:rStyle w:val="TextoNormalCaracter"/>
          </w:rPr>
          <w:t>122/2015</w:t>
        </w:r>
      </w:hyperlink>
      <w:r>
        <w:t>, ff. 3, 7.</w:t>
      </w:r>
    </w:p>
    <w:p w:rsidR="00981775" w:rsidRDefault="00981775" w:rsidP="00981775">
      <w:pPr>
        <w:pStyle w:val="SangriaFrancesaArticulo"/>
      </w:pPr>
    </w:p>
    <w:p w:rsidR="00981775" w:rsidRDefault="00981775" w:rsidP="00981775">
      <w:pPr>
        <w:pStyle w:val="TextoNormalNegritaCursivandice"/>
      </w:pPr>
      <w:r>
        <w:t>Ley 9/2014, de 9 de mayo. General de Telecomunicaciones</w:t>
      </w:r>
    </w:p>
    <w:p w:rsidR="00981775" w:rsidRDefault="00981775" w:rsidP="00981775">
      <w:pPr>
        <w:pStyle w:val="SangriaFrancesaArticulo"/>
      </w:pPr>
      <w:r w:rsidRPr="00981775">
        <w:rPr>
          <w:rStyle w:val="TextoNormalNegritaCaracter"/>
        </w:rPr>
        <w:t>Artículo 3 c).</w:t>
      </w:r>
      <w:r w:rsidRPr="00981775">
        <w:rPr>
          <w:rStyle w:val="TextoNormalCaracter"/>
        </w:rPr>
        <w:t>-</w:t>
      </w:r>
      <w:r>
        <w:t xml:space="preserve"> Auto </w:t>
      </w:r>
      <w:hyperlink w:anchor="AUTO_2015_196" w:history="1">
        <w:r w:rsidRPr="00981775">
          <w:rPr>
            <w:rStyle w:val="TextoNormalCaracter"/>
          </w:rPr>
          <w:t>196/2015</w:t>
        </w:r>
      </w:hyperlink>
      <w:r>
        <w:t>, f. 3.</w:t>
      </w:r>
    </w:p>
    <w:p w:rsidR="00981775" w:rsidRDefault="00981775" w:rsidP="00981775">
      <w:pPr>
        <w:pStyle w:val="SangriaFrancesaArticulo"/>
      </w:pPr>
      <w:r w:rsidRPr="00981775">
        <w:rPr>
          <w:rStyle w:val="TextoNormalNegritaCaracter"/>
        </w:rPr>
        <w:t>Artículo 9.</w:t>
      </w:r>
      <w:r w:rsidRPr="00981775">
        <w:rPr>
          <w:rStyle w:val="TextoNormalCaracter"/>
        </w:rPr>
        <w:t>-</w:t>
      </w:r>
      <w:r>
        <w:t xml:space="preserve"> Auto </w:t>
      </w:r>
      <w:hyperlink w:anchor="AUTO_2015_196" w:history="1">
        <w:r w:rsidRPr="00981775">
          <w:rPr>
            <w:rStyle w:val="TextoNormalCaracter"/>
          </w:rPr>
          <w:t>196/2015</w:t>
        </w:r>
      </w:hyperlink>
      <w:r>
        <w:t>, f. 3.</w:t>
      </w:r>
    </w:p>
    <w:p w:rsidR="00981775" w:rsidRDefault="00981775" w:rsidP="00981775">
      <w:pPr>
        <w:pStyle w:val="SangriaFrancesaArticulo"/>
      </w:pPr>
      <w:r w:rsidRPr="00981775">
        <w:rPr>
          <w:rStyle w:val="TextoNormalNegritaCaracter"/>
        </w:rPr>
        <w:t>Disposición adicional decimoctava.</w:t>
      </w:r>
      <w:r w:rsidRPr="00981775">
        <w:rPr>
          <w:rStyle w:val="TextoNormalCaracter"/>
        </w:rPr>
        <w:t>-</w:t>
      </w:r>
      <w:r>
        <w:t xml:space="preserve"> Auto </w:t>
      </w:r>
      <w:hyperlink w:anchor="AUTO_2015_196" w:history="1">
        <w:r w:rsidRPr="00981775">
          <w:rPr>
            <w:rStyle w:val="TextoNormalCaracter"/>
          </w:rPr>
          <w:t>196/2015</w:t>
        </w:r>
      </w:hyperlink>
      <w:r>
        <w:t>, f. 3.</w:t>
      </w:r>
    </w:p>
    <w:p w:rsidR="00981775" w:rsidRDefault="00981775" w:rsidP="00981775">
      <w:pPr>
        <w:pStyle w:val="SangriaFrancesaArticulo"/>
      </w:pPr>
      <w:r w:rsidRPr="00981775">
        <w:rPr>
          <w:rStyle w:val="TextoNormalNegritaCaracter"/>
        </w:rPr>
        <w:t>Disposición adicional decimoséptima.</w:t>
      </w:r>
      <w:r w:rsidRPr="00981775">
        <w:rPr>
          <w:rStyle w:val="TextoNormalCaracter"/>
        </w:rPr>
        <w:t>-</w:t>
      </w:r>
      <w:r>
        <w:t xml:space="preserve"> Auto </w:t>
      </w:r>
      <w:hyperlink w:anchor="AUTO_2015_196" w:history="1">
        <w:r w:rsidRPr="00981775">
          <w:rPr>
            <w:rStyle w:val="TextoNormalCaracter"/>
          </w:rPr>
          <w:t>196/2015</w:t>
        </w:r>
      </w:hyperlink>
      <w:r>
        <w:t>, f. 3.</w:t>
      </w:r>
    </w:p>
    <w:p w:rsidR="00981775" w:rsidRDefault="00981775" w:rsidP="00981775">
      <w:pPr>
        <w:pStyle w:val="SangriaFrancesaArticulo"/>
      </w:pPr>
    </w:p>
    <w:p w:rsidR="00981775" w:rsidRDefault="00981775" w:rsidP="00981775">
      <w:pPr>
        <w:pStyle w:val="TextoNormalNegritaCursivandice"/>
      </w:pPr>
      <w:r>
        <w:t>Ley 15/2014, de 16 de septiembre. Racionalización del Sector Público y otras medidas de reforma administrativa</w:t>
      </w:r>
    </w:p>
    <w:p w:rsidR="00981775" w:rsidRDefault="00981775" w:rsidP="00981775">
      <w:pPr>
        <w:pStyle w:val="SangriaFrancesaArticulo"/>
      </w:pPr>
      <w:r w:rsidRPr="00981775">
        <w:rPr>
          <w:rStyle w:val="TextoNormalNegritaCaracter"/>
        </w:rPr>
        <w:t>Artículo 23.</w:t>
      </w:r>
      <w:r w:rsidRPr="00981775">
        <w:rPr>
          <w:rStyle w:val="TextoNormalCaracter"/>
        </w:rPr>
        <w:t>-</w:t>
      </w:r>
      <w:r>
        <w:t xml:space="preserve"> Auto </w:t>
      </w:r>
      <w:hyperlink w:anchor="AUTO_2015_148" w:history="1">
        <w:r w:rsidRPr="00981775">
          <w:rPr>
            <w:rStyle w:val="TextoNormalCaracter"/>
          </w:rPr>
          <w:t>148/2015</w:t>
        </w:r>
      </w:hyperlink>
      <w:r>
        <w:t>, Único.</w:t>
      </w:r>
    </w:p>
    <w:p w:rsidR="00981775" w:rsidRDefault="00981775" w:rsidP="00981775">
      <w:pPr>
        <w:pStyle w:val="SangriaFrancesaArticulo"/>
      </w:pPr>
      <w:r w:rsidRPr="00981775">
        <w:rPr>
          <w:rStyle w:val="TextoNormalNegritaCaracter"/>
        </w:rPr>
        <w:t>Artículo 28.3.</w:t>
      </w:r>
      <w:r w:rsidRPr="00981775">
        <w:rPr>
          <w:rStyle w:val="TextoNormalCaracter"/>
        </w:rPr>
        <w:t>-</w:t>
      </w:r>
      <w:r>
        <w:t xml:space="preserve"> Sentencia </w:t>
      </w:r>
      <w:hyperlink w:anchor="SENTENCIA_2015_156" w:history="1">
        <w:r w:rsidRPr="00981775">
          <w:rPr>
            <w:rStyle w:val="TextoNormalCaracter"/>
          </w:rPr>
          <w:t>156/2015</w:t>
        </w:r>
      </w:hyperlink>
      <w:r>
        <w:t>, f. 2.</w:t>
      </w:r>
    </w:p>
    <w:p w:rsidR="00981775" w:rsidRDefault="00981775" w:rsidP="00981775">
      <w:pPr>
        <w:pStyle w:val="SangriaFrancesaArticulo"/>
      </w:pPr>
      <w:r w:rsidRPr="00981775">
        <w:rPr>
          <w:rStyle w:val="TextoNormalNegritaCaracter"/>
        </w:rPr>
        <w:t>Disposición adicional duodécima.</w:t>
      </w:r>
      <w:r w:rsidRPr="00981775">
        <w:rPr>
          <w:rStyle w:val="TextoNormalCaracter"/>
        </w:rPr>
        <w:t>-</w:t>
      </w:r>
      <w:r>
        <w:t xml:space="preserve"> Sentencia </w:t>
      </w:r>
      <w:hyperlink w:anchor="SENTENCIA_2015_156" w:history="1">
        <w:r w:rsidRPr="00981775">
          <w:rPr>
            <w:rStyle w:val="TextoNormalCaracter"/>
          </w:rPr>
          <w:t>156/2015</w:t>
        </w:r>
      </w:hyperlink>
      <w:r>
        <w:t>, f. 2.</w:t>
      </w:r>
    </w:p>
    <w:p w:rsidR="00981775" w:rsidRDefault="00981775" w:rsidP="00981775">
      <w:pPr>
        <w:pStyle w:val="SangriaFrancesaArticulo"/>
      </w:pPr>
      <w:r w:rsidRPr="00981775">
        <w:rPr>
          <w:rStyle w:val="TextoNormalNegritaCaracter"/>
        </w:rPr>
        <w:t>Disposición transitoria.</w:t>
      </w:r>
      <w:r w:rsidRPr="00981775">
        <w:rPr>
          <w:rStyle w:val="TextoNormalCaracter"/>
        </w:rPr>
        <w:t>-</w:t>
      </w:r>
      <w:r>
        <w:t xml:space="preserve"> Auto </w:t>
      </w:r>
      <w:hyperlink w:anchor="AUTO_2015_148" w:history="1">
        <w:r w:rsidRPr="00981775">
          <w:rPr>
            <w:rStyle w:val="TextoNormalCaracter"/>
          </w:rPr>
          <w:t>148/2015</w:t>
        </w:r>
      </w:hyperlink>
      <w:r>
        <w:t>, Único.</w:t>
      </w:r>
    </w:p>
    <w:p w:rsidR="00981775" w:rsidRDefault="00981775" w:rsidP="00981775">
      <w:pPr>
        <w:pStyle w:val="SangriaFrancesaArticulo"/>
      </w:pPr>
    </w:p>
    <w:p w:rsidR="00981775" w:rsidRDefault="00981775" w:rsidP="00981775">
      <w:pPr>
        <w:pStyle w:val="TextoNormalNegritaCursivandice"/>
      </w:pPr>
      <w:r>
        <w:t>Ley 18/2014, de 15 de octubre. Aprobación de medidas urgentes para el crecimiento, la competitividad y la eficiencia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99" w:history="1">
        <w:r w:rsidRPr="00981775">
          <w:rPr>
            <w:rStyle w:val="TextoNormalCaracter"/>
          </w:rPr>
          <w:t>199/2015</w:t>
        </w:r>
      </w:hyperlink>
      <w:r>
        <w:t>, ff. 2, 10.</w:t>
      </w:r>
    </w:p>
    <w:p w:rsidR="00981775" w:rsidRDefault="00981775" w:rsidP="00981775">
      <w:pPr>
        <w:pStyle w:val="SangriaFrancesaArticulo"/>
      </w:pPr>
      <w:r w:rsidRPr="00981775">
        <w:rPr>
          <w:rStyle w:val="TextoNormalNegritaCaracter"/>
        </w:rPr>
        <w:t>Artículo 7.1.</w:t>
      </w:r>
      <w:r w:rsidRPr="00981775">
        <w:rPr>
          <w:rStyle w:val="TextoNormalCaracter"/>
        </w:rPr>
        <w:t>-</w:t>
      </w:r>
      <w:r>
        <w:t xml:space="preserve"> Sentencia </w:t>
      </w:r>
      <w:hyperlink w:anchor="SENTENCIA_2015_156" w:history="1">
        <w:r w:rsidRPr="00981775">
          <w:rPr>
            <w:rStyle w:val="TextoNormalCaracter"/>
          </w:rPr>
          <w:t>156/2015</w:t>
        </w:r>
      </w:hyperlink>
      <w:r>
        <w:t>, f. 2.</w:t>
      </w:r>
    </w:p>
    <w:p w:rsidR="00981775" w:rsidRDefault="00981775" w:rsidP="00981775">
      <w:pPr>
        <w:pStyle w:val="SangriaFrancesaArticulo"/>
      </w:pPr>
      <w:r w:rsidRPr="00981775">
        <w:rPr>
          <w:rStyle w:val="TextoNormalNegritaCaracter"/>
        </w:rPr>
        <w:t>Artículo 7.2.</w:t>
      </w:r>
      <w:r w:rsidRPr="00981775">
        <w:rPr>
          <w:rStyle w:val="TextoNormalCaracter"/>
        </w:rPr>
        <w:t>-</w:t>
      </w:r>
      <w:r>
        <w:t xml:space="preserve"> Sentencia </w:t>
      </w:r>
      <w:hyperlink w:anchor="SENTENCIA_2015_156" w:history="1">
        <w:r w:rsidRPr="00981775">
          <w:rPr>
            <w:rStyle w:val="TextoNormalCaracter"/>
          </w:rPr>
          <w:t>156/2015</w:t>
        </w:r>
      </w:hyperlink>
      <w:r>
        <w:t>, f. 2.</w:t>
      </w:r>
    </w:p>
    <w:p w:rsidR="00981775" w:rsidRDefault="00981775" w:rsidP="00981775">
      <w:pPr>
        <w:pStyle w:val="SangriaFrancesaArticulo"/>
      </w:pPr>
      <w:r w:rsidRPr="00981775">
        <w:rPr>
          <w:rStyle w:val="TextoNormalNegritaCaracter"/>
        </w:rPr>
        <w:t>Artículo 124.</w:t>
      </w:r>
      <w:r w:rsidRPr="00981775">
        <w:rPr>
          <w:rStyle w:val="TextoNormalCaracter"/>
        </w:rPr>
        <w:t>-</w:t>
      </w:r>
      <w:r>
        <w:t xml:space="preserve"> Sentencias </w:t>
      </w:r>
      <w:hyperlink w:anchor="SENTENCIA_2015_202" w:history="1">
        <w:r w:rsidRPr="00981775">
          <w:rPr>
            <w:rStyle w:val="TextoNormalCaracter"/>
          </w:rPr>
          <w:t>202/2015</w:t>
        </w:r>
      </w:hyperlink>
      <w:r>
        <w:t xml:space="preserve">, f. 2; </w:t>
      </w:r>
      <w:hyperlink w:anchor="SENTENCIA_2015_211" w:history="1">
        <w:r w:rsidRPr="00981775">
          <w:rPr>
            <w:rStyle w:val="TextoNormalCaracter"/>
          </w:rPr>
          <w:t>211/2015</w:t>
        </w:r>
      </w:hyperlink>
      <w:r>
        <w:t>, f. 2.</w:t>
      </w:r>
    </w:p>
    <w:p w:rsidR="00981775" w:rsidRDefault="00981775" w:rsidP="00981775">
      <w:pPr>
        <w:pStyle w:val="SangriaFrancesaArticulo"/>
      </w:pPr>
      <w:r w:rsidRPr="00981775">
        <w:rPr>
          <w:rStyle w:val="TextoNormalNegritaCaracter"/>
        </w:rPr>
        <w:t>Disposición adicional vigésima.</w:t>
      </w:r>
      <w:r w:rsidRPr="00981775">
        <w:rPr>
          <w:rStyle w:val="TextoNormalCaracter"/>
        </w:rPr>
        <w:t>-</w:t>
      </w:r>
      <w:r>
        <w:t xml:space="preserve"> Sentencia </w:t>
      </w:r>
      <w:hyperlink w:anchor="SENTENCIA_2015_199" w:history="1">
        <w:r w:rsidRPr="00981775">
          <w:rPr>
            <w:rStyle w:val="TextoNormalCaracter"/>
          </w:rPr>
          <w:t>199/2015</w:t>
        </w:r>
      </w:hyperlink>
      <w:r>
        <w:t>, f. 10.</w:t>
      </w:r>
    </w:p>
    <w:p w:rsidR="00981775" w:rsidRDefault="00981775" w:rsidP="00981775">
      <w:pPr>
        <w:pStyle w:val="SangriaFrancesaArticulo"/>
      </w:pPr>
    </w:p>
    <w:p w:rsidR="00981775" w:rsidRDefault="00981775" w:rsidP="00981775">
      <w:pPr>
        <w:pStyle w:val="TextoNormalNegritaCursivandice"/>
      </w:pPr>
      <w:r>
        <w:t>Ley 25/2014, de 27 de noviembre. Tratados y otros Acuerdos Internacionales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22" w:history="1">
        <w:r w:rsidRPr="00981775">
          <w:rPr>
            <w:rStyle w:val="TextoNormalCaracter"/>
          </w:rPr>
          <w:t>122/2015</w:t>
        </w:r>
      </w:hyperlink>
      <w:r>
        <w:t>, f. 3.</w:t>
      </w:r>
    </w:p>
    <w:p w:rsidR="00981775" w:rsidRDefault="00981775" w:rsidP="00981775">
      <w:pPr>
        <w:pStyle w:val="SangriaFrancesaArticulo"/>
      </w:pPr>
      <w:r w:rsidRPr="00981775">
        <w:rPr>
          <w:rStyle w:val="TextoNormalNegritaCaracter"/>
        </w:rPr>
        <w:t>Artículo 43.</w:t>
      </w:r>
      <w:r w:rsidRPr="00981775">
        <w:rPr>
          <w:rStyle w:val="TextoNormalCaracter"/>
        </w:rPr>
        <w:t>-</w:t>
      </w:r>
      <w:r>
        <w:t xml:space="preserve"> Auto </w:t>
      </w:r>
      <w:hyperlink w:anchor="AUTO_2015_122" w:history="1">
        <w:r w:rsidRPr="00981775">
          <w:rPr>
            <w:rStyle w:val="TextoNormalCaracter"/>
          </w:rPr>
          <w:t>122/2015</w:t>
        </w:r>
      </w:hyperlink>
      <w:r>
        <w:t>, f. 6.</w:t>
      </w:r>
    </w:p>
    <w:p w:rsidR="00981775" w:rsidRDefault="00981775" w:rsidP="00981775">
      <w:pPr>
        <w:pStyle w:val="SangriaFrancesaArticulo"/>
      </w:pPr>
    </w:p>
    <w:p w:rsidR="00981775" w:rsidRDefault="00981775" w:rsidP="00981775">
      <w:pPr>
        <w:pStyle w:val="TextoNormalNegritaCursivandice"/>
      </w:pPr>
      <w:r>
        <w:t>Ley 32/2014, de 22 de diciembre. Metrología</w:t>
      </w:r>
    </w:p>
    <w:p w:rsidR="00981775" w:rsidRDefault="00981775" w:rsidP="00981775">
      <w:pPr>
        <w:pStyle w:val="SangriaFrancesaArticulo"/>
      </w:pPr>
      <w:r w:rsidRPr="00981775">
        <w:rPr>
          <w:rStyle w:val="TextoNormalNegritaCaracter"/>
        </w:rPr>
        <w:t>Artículo 2.</w:t>
      </w:r>
      <w:r w:rsidRPr="00981775">
        <w:rPr>
          <w:rStyle w:val="TextoNormalCaracter"/>
        </w:rPr>
        <w:t>-</w:t>
      </w:r>
      <w:r>
        <w:t xml:space="preserve"> Auto </w:t>
      </w:r>
      <w:hyperlink w:anchor="AUTO_2015_149" w:history="1">
        <w:r w:rsidRPr="00981775">
          <w:rPr>
            <w:rStyle w:val="TextoNormalCaracter"/>
          </w:rPr>
          <w:t>149/2015</w:t>
        </w:r>
      </w:hyperlink>
      <w:r>
        <w:t>, f. 4.</w:t>
      </w:r>
    </w:p>
    <w:p w:rsidR="00981775" w:rsidRDefault="00981775" w:rsidP="00981775">
      <w:pPr>
        <w:pStyle w:val="SangriaFrancesaArticulo"/>
      </w:pPr>
    </w:p>
    <w:p w:rsidR="00981775" w:rsidRDefault="00981775" w:rsidP="00981775">
      <w:pPr>
        <w:pStyle w:val="TextoNormalNegritaCursivandice"/>
      </w:pPr>
      <w:r>
        <w:t>Ley 36/2014, de 26 de diciembre. Presupuestos Generales del Estado para el año 2015</w:t>
      </w:r>
    </w:p>
    <w:p w:rsidR="00981775" w:rsidRDefault="00981775" w:rsidP="00981775">
      <w:pPr>
        <w:pStyle w:val="SangriaFrancesaArticulo"/>
      </w:pPr>
      <w:r w:rsidRPr="00981775">
        <w:rPr>
          <w:rStyle w:val="TextoNormalNegritaCaracter"/>
        </w:rPr>
        <w:t>Artículo 1 I).</w:t>
      </w:r>
      <w:r w:rsidRPr="00981775">
        <w:rPr>
          <w:rStyle w:val="TextoNormalCaracter"/>
        </w:rPr>
        <w:t>-</w:t>
      </w:r>
      <w:r>
        <w:t xml:space="preserve"> Sentencia </w:t>
      </w:r>
      <w:hyperlink w:anchor="SENTENCIA_2015_153" w:history="1">
        <w:r w:rsidRPr="00981775">
          <w:rPr>
            <w:rStyle w:val="TextoNormalCaracter"/>
          </w:rPr>
          <w:t>153/2015</w:t>
        </w:r>
      </w:hyperlink>
      <w:r>
        <w:t>, f. 3.</w:t>
      </w:r>
    </w:p>
    <w:p w:rsidR="00981775" w:rsidRDefault="00981775" w:rsidP="00981775">
      <w:pPr>
        <w:pStyle w:val="SangriaFrancesaArticulo"/>
      </w:pPr>
      <w:r w:rsidRPr="00981775">
        <w:rPr>
          <w:rStyle w:val="TextoNormalNegritaCaracter"/>
        </w:rPr>
        <w:t>Artículo 20.</w:t>
      </w:r>
      <w:r w:rsidRPr="00981775">
        <w:rPr>
          <w:rStyle w:val="TextoNormalCaracter"/>
        </w:rPr>
        <w:t>-</w:t>
      </w:r>
      <w:r>
        <w:t xml:space="preserve"> Auto </w:t>
      </w:r>
      <w:hyperlink w:anchor="AUTO_2015_181" w:history="1">
        <w:r w:rsidRPr="00981775">
          <w:rPr>
            <w:rStyle w:val="TextoNormalCaracter"/>
          </w:rPr>
          <w:t>181/2015</w:t>
        </w:r>
      </w:hyperlink>
      <w:r>
        <w:t>, f. 3.</w:t>
      </w:r>
    </w:p>
    <w:p w:rsidR="00981775" w:rsidRDefault="00981775" w:rsidP="00981775">
      <w:pPr>
        <w:pStyle w:val="SangriaFrancesaArticulo"/>
      </w:pPr>
      <w:r w:rsidRPr="00981775">
        <w:rPr>
          <w:rStyle w:val="TextoNormalNegritaCaracter"/>
        </w:rPr>
        <w:t>Artículo 20.2.</w:t>
      </w:r>
      <w:r w:rsidRPr="00981775">
        <w:rPr>
          <w:rStyle w:val="TextoNormalCaracter"/>
        </w:rPr>
        <w:t>-</w:t>
      </w:r>
      <w:r>
        <w:t xml:space="preserve"> Auto </w:t>
      </w:r>
      <w:hyperlink w:anchor="AUTO_2015_181" w:history="1">
        <w:r w:rsidRPr="00981775">
          <w:rPr>
            <w:rStyle w:val="TextoNormalCaracter"/>
          </w:rPr>
          <w:t>181/2015</w:t>
        </w:r>
      </w:hyperlink>
      <w:r>
        <w:t>, f. 3.</w:t>
      </w:r>
    </w:p>
    <w:p w:rsidR="00981775" w:rsidRDefault="00981775" w:rsidP="00981775">
      <w:pPr>
        <w:pStyle w:val="SangriaFrancesaArticulo"/>
      </w:pPr>
      <w:r w:rsidRPr="00981775">
        <w:rPr>
          <w:rStyle w:val="TextoNormalNegritaCaracter"/>
        </w:rPr>
        <w:t>Artículo 21.</w:t>
      </w:r>
      <w:r w:rsidRPr="00981775">
        <w:rPr>
          <w:rStyle w:val="TextoNormalCaracter"/>
        </w:rPr>
        <w:t>-</w:t>
      </w:r>
      <w:r>
        <w:t xml:space="preserve"> Auto </w:t>
      </w:r>
      <w:hyperlink w:anchor="AUTO_2015_181" w:history="1">
        <w:r w:rsidRPr="00981775">
          <w:rPr>
            <w:rStyle w:val="TextoNormalCaracter"/>
          </w:rPr>
          <w:t>181/2015</w:t>
        </w:r>
      </w:hyperlink>
      <w:r>
        <w:t>, f. 3.</w:t>
      </w:r>
    </w:p>
    <w:p w:rsidR="00981775" w:rsidRDefault="00981775" w:rsidP="00981775">
      <w:pPr>
        <w:pStyle w:val="SangriaFrancesaArticulo"/>
      </w:pPr>
      <w:r w:rsidRPr="00981775">
        <w:rPr>
          <w:rStyle w:val="TextoNormalNegritaCaracter"/>
        </w:rPr>
        <w:t>Artículo 21.1.</w:t>
      </w:r>
      <w:r w:rsidRPr="00981775">
        <w:rPr>
          <w:rStyle w:val="TextoNormalCaracter"/>
        </w:rPr>
        <w:t>-</w:t>
      </w:r>
      <w:r>
        <w:t xml:space="preserve"> Auto </w:t>
      </w:r>
      <w:hyperlink w:anchor="AUTO_2015_181" w:history="1">
        <w:r w:rsidRPr="00981775">
          <w:rPr>
            <w:rStyle w:val="TextoNormalCaracter"/>
          </w:rPr>
          <w:t>181/2015</w:t>
        </w:r>
      </w:hyperlink>
      <w:r>
        <w:t>, f. 3.</w:t>
      </w:r>
    </w:p>
    <w:p w:rsidR="00981775" w:rsidRDefault="00981775" w:rsidP="00981775">
      <w:pPr>
        <w:pStyle w:val="SangriaFrancesaArticulo"/>
      </w:pPr>
      <w:r w:rsidRPr="00981775">
        <w:rPr>
          <w:rStyle w:val="TextoNormalNegritaCaracter"/>
        </w:rPr>
        <w:t>Disposición adicional.</w:t>
      </w:r>
      <w:r w:rsidRPr="00981775">
        <w:rPr>
          <w:rStyle w:val="TextoNormalCaracter"/>
        </w:rPr>
        <w:t>-</w:t>
      </w:r>
      <w:r>
        <w:t xml:space="preserve"> Sentencias </w:t>
      </w:r>
      <w:hyperlink w:anchor="SENTENCIA_2015_153" w:history="1">
        <w:r w:rsidRPr="00981775">
          <w:rPr>
            <w:rStyle w:val="TextoNormalCaracter"/>
          </w:rPr>
          <w:t>153/2015</w:t>
        </w:r>
      </w:hyperlink>
      <w:r>
        <w:t xml:space="preserve">, f. 3; </w:t>
      </w:r>
      <w:hyperlink w:anchor="SENTENCIA_2015_224" w:history="1">
        <w:r w:rsidRPr="00981775">
          <w:rPr>
            <w:rStyle w:val="TextoNormalCaracter"/>
          </w:rPr>
          <w:t>224/2015</w:t>
        </w:r>
      </w:hyperlink>
      <w:r>
        <w:t>, f. 3.</w:t>
      </w:r>
    </w:p>
    <w:p w:rsidR="00981775" w:rsidRDefault="00981775" w:rsidP="00981775">
      <w:pPr>
        <w:pStyle w:val="SangriaFrancesaArticulo"/>
      </w:pPr>
      <w:r w:rsidRPr="00981775">
        <w:rPr>
          <w:rStyle w:val="TextoNormalNegritaCaracter"/>
        </w:rPr>
        <w:t>Disposición adicional duodécima.</w:t>
      </w:r>
      <w:r w:rsidRPr="00981775">
        <w:rPr>
          <w:rStyle w:val="TextoNormalCaracter"/>
        </w:rPr>
        <w:t>-</w:t>
      </w:r>
      <w:r>
        <w:t xml:space="preserve"> Sentencias </w:t>
      </w:r>
      <w:hyperlink w:anchor="SENTENCIA_2015_151" w:history="1">
        <w:r w:rsidRPr="00981775">
          <w:rPr>
            <w:rStyle w:val="TextoNormalCaracter"/>
          </w:rPr>
          <w:t>151/2015</w:t>
        </w:r>
      </w:hyperlink>
      <w:r>
        <w:t xml:space="preserve">, f. 3; </w:t>
      </w:r>
      <w:hyperlink w:anchor="SENTENCIA_2015_153" w:history="1">
        <w:r w:rsidRPr="00981775">
          <w:rPr>
            <w:rStyle w:val="TextoNormalCaracter"/>
          </w:rPr>
          <w:t>153/2015</w:t>
        </w:r>
      </w:hyperlink>
      <w:r>
        <w:t xml:space="preserve">, f. 3; </w:t>
      </w:r>
      <w:hyperlink w:anchor="SENTENCIA_2015_161" w:history="1">
        <w:r w:rsidRPr="00981775">
          <w:rPr>
            <w:rStyle w:val="TextoNormalCaracter"/>
          </w:rPr>
          <w:t>161/2015</w:t>
        </w:r>
      </w:hyperlink>
      <w:r>
        <w:t xml:space="preserve">, f. 3; </w:t>
      </w:r>
      <w:hyperlink w:anchor="SENTENCIA_2015_162" w:history="1">
        <w:r w:rsidRPr="00981775">
          <w:rPr>
            <w:rStyle w:val="TextoNormalCaracter"/>
          </w:rPr>
          <w:t>162/2015</w:t>
        </w:r>
      </w:hyperlink>
      <w:r>
        <w:t xml:space="preserve">, f. 3; </w:t>
      </w:r>
      <w:hyperlink w:anchor="SENTENCIA_2015_163" w:history="1">
        <w:r w:rsidRPr="00981775">
          <w:rPr>
            <w:rStyle w:val="TextoNormalCaracter"/>
          </w:rPr>
          <w:t>163/2015</w:t>
        </w:r>
      </w:hyperlink>
      <w:r>
        <w:t xml:space="preserve">, f. 3; </w:t>
      </w:r>
      <w:hyperlink w:anchor="SENTENCIA_2015_164" w:history="1">
        <w:r w:rsidRPr="00981775">
          <w:rPr>
            <w:rStyle w:val="TextoNormalCaracter"/>
          </w:rPr>
          <w:t>164/2015</w:t>
        </w:r>
      </w:hyperlink>
      <w:r>
        <w:t xml:space="preserve">, f. 3; </w:t>
      </w:r>
      <w:hyperlink w:anchor="SENTENCIA_2015_165" w:history="1">
        <w:r w:rsidRPr="00981775">
          <w:rPr>
            <w:rStyle w:val="TextoNormalCaracter"/>
          </w:rPr>
          <w:t>165/2015</w:t>
        </w:r>
      </w:hyperlink>
      <w:r>
        <w:t xml:space="preserve">, f. 3; </w:t>
      </w:r>
      <w:hyperlink w:anchor="SENTENCIA_2015_166" w:history="1">
        <w:r w:rsidRPr="00981775">
          <w:rPr>
            <w:rStyle w:val="TextoNormalCaracter"/>
          </w:rPr>
          <w:t>166/2015</w:t>
        </w:r>
      </w:hyperlink>
      <w:r>
        <w:t xml:space="preserve">, f. 3; </w:t>
      </w:r>
      <w:hyperlink w:anchor="SENTENCIA_2015_168" w:history="1">
        <w:r w:rsidRPr="00981775">
          <w:rPr>
            <w:rStyle w:val="TextoNormalCaracter"/>
          </w:rPr>
          <w:t>168/2015</w:t>
        </w:r>
      </w:hyperlink>
      <w:r>
        <w:t xml:space="preserve">, f. 3; </w:t>
      </w:r>
      <w:hyperlink w:anchor="SENTENCIA_2015_170" w:history="1">
        <w:r w:rsidRPr="00981775">
          <w:rPr>
            <w:rStyle w:val="TextoNormalCaracter"/>
          </w:rPr>
          <w:t>170/2015</w:t>
        </w:r>
      </w:hyperlink>
      <w:r>
        <w:t xml:space="preserve">, f. 3; </w:t>
      </w:r>
      <w:hyperlink w:anchor="SENTENCIA_2015_171" w:history="1">
        <w:r w:rsidRPr="00981775">
          <w:rPr>
            <w:rStyle w:val="TextoNormalCaracter"/>
          </w:rPr>
          <w:t>171/2015</w:t>
        </w:r>
      </w:hyperlink>
      <w:r>
        <w:t xml:space="preserve">, f. 3; </w:t>
      </w:r>
      <w:hyperlink w:anchor="SENTENCIA_2015_172" w:history="1">
        <w:r w:rsidRPr="00981775">
          <w:rPr>
            <w:rStyle w:val="TextoNormalCaracter"/>
          </w:rPr>
          <w:t>172/2015</w:t>
        </w:r>
      </w:hyperlink>
      <w:r>
        <w:t xml:space="preserve">, f. 3; </w:t>
      </w:r>
      <w:hyperlink w:anchor="SENTENCIA_2015_173" w:history="1">
        <w:r w:rsidRPr="00981775">
          <w:rPr>
            <w:rStyle w:val="TextoNormalCaracter"/>
          </w:rPr>
          <w:t>173/2015</w:t>
        </w:r>
      </w:hyperlink>
      <w:r>
        <w:t xml:space="preserve">, f. 3; </w:t>
      </w:r>
      <w:hyperlink w:anchor="SENTENCIA_2015_174" w:history="1">
        <w:r w:rsidRPr="00981775">
          <w:rPr>
            <w:rStyle w:val="TextoNormalCaracter"/>
          </w:rPr>
          <w:t>174/2015</w:t>
        </w:r>
      </w:hyperlink>
      <w:r>
        <w:t xml:space="preserve">, f. 3; </w:t>
      </w:r>
      <w:hyperlink w:anchor="SENTENCIA_2015_175" w:history="1">
        <w:r w:rsidRPr="00981775">
          <w:rPr>
            <w:rStyle w:val="TextoNormalCaracter"/>
          </w:rPr>
          <w:t>175/2015</w:t>
        </w:r>
      </w:hyperlink>
      <w:r>
        <w:t xml:space="preserve">, f. 3; </w:t>
      </w:r>
      <w:hyperlink w:anchor="SENTENCIA_2015_184" w:history="1">
        <w:r w:rsidRPr="00981775">
          <w:rPr>
            <w:rStyle w:val="TextoNormalCaracter"/>
          </w:rPr>
          <w:t>184/2015</w:t>
        </w:r>
      </w:hyperlink>
      <w:r>
        <w:t xml:space="preserve">, f. 3; </w:t>
      </w:r>
      <w:hyperlink w:anchor="SENTENCIA_2015_188" w:history="1">
        <w:r w:rsidRPr="00981775">
          <w:rPr>
            <w:rStyle w:val="TextoNormalCaracter"/>
          </w:rPr>
          <w:t>188/2015</w:t>
        </w:r>
      </w:hyperlink>
      <w:r>
        <w:t xml:space="preserve">, f. 3; </w:t>
      </w:r>
      <w:hyperlink w:anchor="SENTENCIA_2015_189" w:history="1">
        <w:r w:rsidRPr="00981775">
          <w:rPr>
            <w:rStyle w:val="TextoNormalCaracter"/>
          </w:rPr>
          <w:t>189/2015</w:t>
        </w:r>
      </w:hyperlink>
      <w:r>
        <w:t xml:space="preserve">, f. 3; </w:t>
      </w:r>
      <w:hyperlink w:anchor="SENTENCIA_2015_190" w:history="1">
        <w:r w:rsidRPr="00981775">
          <w:rPr>
            <w:rStyle w:val="TextoNormalCaracter"/>
          </w:rPr>
          <w:t>190/2015</w:t>
        </w:r>
      </w:hyperlink>
      <w:r>
        <w:t xml:space="preserve">, f. 3; </w:t>
      </w:r>
      <w:hyperlink w:anchor="SENTENCIA_2015_191" w:history="1">
        <w:r w:rsidRPr="00981775">
          <w:rPr>
            <w:rStyle w:val="TextoNormalCaracter"/>
          </w:rPr>
          <w:t>191/2015</w:t>
        </w:r>
      </w:hyperlink>
      <w:r>
        <w:t xml:space="preserve">, f. 3; </w:t>
      </w:r>
      <w:hyperlink w:anchor="SENTENCIA_2015_192" w:history="1">
        <w:r w:rsidRPr="00981775">
          <w:rPr>
            <w:rStyle w:val="TextoNormalCaracter"/>
          </w:rPr>
          <w:t>192/2015</w:t>
        </w:r>
      </w:hyperlink>
      <w:r>
        <w:t xml:space="preserve">, f. 3; </w:t>
      </w:r>
      <w:hyperlink w:anchor="SENTENCIA_2015_193" w:history="1">
        <w:r w:rsidRPr="00981775">
          <w:rPr>
            <w:rStyle w:val="TextoNormalCaracter"/>
          </w:rPr>
          <w:t>193/2015</w:t>
        </w:r>
      </w:hyperlink>
      <w:r>
        <w:t xml:space="preserve">, f. 3; </w:t>
      </w:r>
      <w:hyperlink w:anchor="SENTENCIA_2015_205" w:history="1">
        <w:r w:rsidRPr="00981775">
          <w:rPr>
            <w:rStyle w:val="TextoNormalCaracter"/>
          </w:rPr>
          <w:t>205/2015</w:t>
        </w:r>
      </w:hyperlink>
      <w:r>
        <w:t xml:space="preserve">, f. 3; </w:t>
      </w:r>
      <w:hyperlink w:anchor="SENTENCIA_2015_206" w:history="1">
        <w:r w:rsidRPr="00981775">
          <w:rPr>
            <w:rStyle w:val="TextoNormalCaracter"/>
          </w:rPr>
          <w:t>206/2015</w:t>
        </w:r>
      </w:hyperlink>
      <w:r>
        <w:t xml:space="preserve">, f. 3; </w:t>
      </w:r>
      <w:hyperlink w:anchor="SENTENCIA_2015_210" w:history="1">
        <w:r w:rsidRPr="00981775">
          <w:rPr>
            <w:rStyle w:val="TextoNormalCaracter"/>
          </w:rPr>
          <w:t>210/2015</w:t>
        </w:r>
      </w:hyperlink>
      <w:r>
        <w:t xml:space="preserve">, f. 3; </w:t>
      </w:r>
      <w:hyperlink w:anchor="SENTENCIA_2015_224" w:history="1">
        <w:r w:rsidRPr="00981775">
          <w:rPr>
            <w:rStyle w:val="TextoNormalCaracter"/>
          </w:rPr>
          <w:t>224/2015</w:t>
        </w:r>
      </w:hyperlink>
      <w:r>
        <w:t xml:space="preserve">, ff. 3, 4; </w:t>
      </w:r>
      <w:hyperlink w:anchor="SENTENCIA_2015_225" w:history="1">
        <w:r w:rsidRPr="00981775">
          <w:rPr>
            <w:rStyle w:val="TextoNormalCaracter"/>
          </w:rPr>
          <w:t>225/2015</w:t>
        </w:r>
      </w:hyperlink>
      <w:r>
        <w:t xml:space="preserve">, f. 3; </w:t>
      </w:r>
      <w:hyperlink w:anchor="SENTENCIA_2015_227" w:history="1">
        <w:r w:rsidRPr="00981775">
          <w:rPr>
            <w:rStyle w:val="TextoNormalCaracter"/>
          </w:rPr>
          <w:t>227/2015</w:t>
        </w:r>
      </w:hyperlink>
      <w:r>
        <w:t xml:space="preserve">, f. 3; </w:t>
      </w:r>
      <w:hyperlink w:anchor="SENTENCIA_2015_228" w:history="1">
        <w:r w:rsidRPr="00981775">
          <w:rPr>
            <w:rStyle w:val="TextoNormalCaracter"/>
          </w:rPr>
          <w:t>228/2015</w:t>
        </w:r>
      </w:hyperlink>
      <w:r>
        <w:t xml:space="preserve">, f. 3; </w:t>
      </w:r>
      <w:hyperlink w:anchor="SENTENCIA_2015_243" w:history="1">
        <w:r w:rsidRPr="00981775">
          <w:rPr>
            <w:rStyle w:val="TextoNormalCaracter"/>
          </w:rPr>
          <w:t>243/2015</w:t>
        </w:r>
      </w:hyperlink>
      <w:r>
        <w:t xml:space="preserve">, f. 6; </w:t>
      </w:r>
      <w:hyperlink w:anchor="SENTENCIA_2015_245" w:history="1">
        <w:r w:rsidRPr="00981775">
          <w:rPr>
            <w:rStyle w:val="TextoNormalCaracter"/>
          </w:rPr>
          <w:t>245/2015</w:t>
        </w:r>
      </w:hyperlink>
      <w:r>
        <w:t xml:space="preserve">, f. 3; </w:t>
      </w:r>
      <w:hyperlink w:anchor="SENTENCIA_2015_264" w:history="1">
        <w:r w:rsidRPr="00981775">
          <w:rPr>
            <w:rStyle w:val="TextoNormalCaracter"/>
          </w:rPr>
          <w:t>264/2015</w:t>
        </w:r>
      </w:hyperlink>
      <w:r>
        <w:t>, f. 3.</w:t>
      </w:r>
    </w:p>
    <w:p w:rsidR="00981775" w:rsidRDefault="00981775" w:rsidP="00981775">
      <w:pPr>
        <w:pStyle w:val="SangriaIzquierdaArticulo"/>
      </w:pPr>
      <w:r>
        <w:t xml:space="preserve">Autos </w:t>
      </w:r>
      <w:hyperlink w:anchor="AUTO_2015_172" w:history="1">
        <w:r w:rsidRPr="00981775">
          <w:rPr>
            <w:rStyle w:val="TextoNormalCaracter"/>
          </w:rPr>
          <w:t>172/2015</w:t>
        </w:r>
      </w:hyperlink>
      <w:r>
        <w:t xml:space="preserve">, f. 4; </w:t>
      </w:r>
      <w:hyperlink w:anchor="AUTO_2015_173" w:history="1">
        <w:r w:rsidRPr="00981775">
          <w:rPr>
            <w:rStyle w:val="TextoNormalCaracter"/>
          </w:rPr>
          <w:t>173/2015</w:t>
        </w:r>
      </w:hyperlink>
      <w:r>
        <w:t xml:space="preserve">, ff. 1, 3; </w:t>
      </w:r>
      <w:hyperlink w:anchor="AUTO_2015_225" w:history="1">
        <w:r w:rsidRPr="00981775">
          <w:rPr>
            <w:rStyle w:val="TextoNormalCaracter"/>
          </w:rPr>
          <w:t>225/2015</w:t>
        </w:r>
      </w:hyperlink>
      <w:r>
        <w:t>, f. 3.</w:t>
      </w:r>
    </w:p>
    <w:p w:rsidR="00981775" w:rsidRDefault="00981775" w:rsidP="00981775">
      <w:pPr>
        <w:pStyle w:val="SangriaFrancesaArticulo"/>
      </w:pPr>
      <w:r w:rsidRPr="00981775">
        <w:rPr>
          <w:rStyle w:val="TextoNormalNegritaCaracter"/>
        </w:rPr>
        <w:t>Disposición adicional duodécima, apartado 1.</w:t>
      </w:r>
      <w:r w:rsidRPr="00981775">
        <w:rPr>
          <w:rStyle w:val="TextoNormalCaracter"/>
        </w:rPr>
        <w:t>-</w:t>
      </w:r>
      <w:r>
        <w:t xml:space="preserve"> Sentencias </w:t>
      </w:r>
      <w:hyperlink w:anchor="SENTENCIA_2015_172" w:history="1">
        <w:r w:rsidRPr="00981775">
          <w:rPr>
            <w:rStyle w:val="TextoNormalCaracter"/>
          </w:rPr>
          <w:t>172/2015</w:t>
        </w:r>
      </w:hyperlink>
      <w:r>
        <w:t xml:space="preserve">, f. 3; </w:t>
      </w:r>
      <w:hyperlink w:anchor="SENTENCIA_2015_174" w:history="1">
        <w:r w:rsidRPr="00981775">
          <w:rPr>
            <w:rStyle w:val="TextoNormalCaracter"/>
          </w:rPr>
          <w:t>174/2015</w:t>
        </w:r>
      </w:hyperlink>
      <w:r>
        <w:t xml:space="preserve">, f. 3; </w:t>
      </w:r>
      <w:hyperlink w:anchor="SENTENCIA_2015_225" w:history="1">
        <w:r w:rsidRPr="00981775">
          <w:rPr>
            <w:rStyle w:val="TextoNormalCaracter"/>
          </w:rPr>
          <w:t>225/2015</w:t>
        </w:r>
      </w:hyperlink>
      <w:r>
        <w:t xml:space="preserve">, f. 3; </w:t>
      </w:r>
      <w:hyperlink w:anchor="SENTENCIA_2015_228" w:history="1">
        <w:r w:rsidRPr="00981775">
          <w:rPr>
            <w:rStyle w:val="TextoNormalCaracter"/>
          </w:rPr>
          <w:t>228/2015</w:t>
        </w:r>
      </w:hyperlink>
      <w:r>
        <w:t>, f. 3.</w:t>
      </w:r>
    </w:p>
    <w:p w:rsidR="00981775" w:rsidRDefault="00981775" w:rsidP="00981775">
      <w:pPr>
        <w:pStyle w:val="SangriaFrancesaArticulo"/>
      </w:pPr>
      <w:r w:rsidRPr="00981775">
        <w:rPr>
          <w:rStyle w:val="TextoNormalNegritaCaracter"/>
        </w:rPr>
        <w:t>Disposición adicional duodécima, apartado 1.1.</w:t>
      </w:r>
      <w:r w:rsidRPr="00981775">
        <w:rPr>
          <w:rStyle w:val="TextoNormalCaracter"/>
        </w:rPr>
        <w:t>-</w:t>
      </w:r>
      <w:r>
        <w:t xml:space="preserve"> Sentencias </w:t>
      </w:r>
      <w:hyperlink w:anchor="SENTENCIA_2015_151" w:history="1">
        <w:r w:rsidRPr="00981775">
          <w:rPr>
            <w:rStyle w:val="TextoNormalCaracter"/>
          </w:rPr>
          <w:t>151/2015</w:t>
        </w:r>
      </w:hyperlink>
      <w:r>
        <w:t xml:space="preserve">, f. 3; </w:t>
      </w:r>
      <w:hyperlink w:anchor="SENTENCIA_2015_168" w:history="1">
        <w:r w:rsidRPr="00981775">
          <w:rPr>
            <w:rStyle w:val="TextoNormalCaracter"/>
          </w:rPr>
          <w:t>168/2015</w:t>
        </w:r>
      </w:hyperlink>
      <w:r>
        <w:t xml:space="preserve">, f. 3; </w:t>
      </w:r>
      <w:hyperlink w:anchor="SENTENCIA_2015_175" w:history="1">
        <w:r w:rsidRPr="00981775">
          <w:rPr>
            <w:rStyle w:val="TextoNormalCaracter"/>
          </w:rPr>
          <w:t>175/2015</w:t>
        </w:r>
      </w:hyperlink>
      <w:r>
        <w:t xml:space="preserve">, f. 3; </w:t>
      </w:r>
      <w:hyperlink w:anchor="SENTENCIA_2015_189" w:history="1">
        <w:r w:rsidRPr="00981775">
          <w:rPr>
            <w:rStyle w:val="TextoNormalCaracter"/>
          </w:rPr>
          <w:t>189/2015</w:t>
        </w:r>
      </w:hyperlink>
      <w:r>
        <w:t xml:space="preserve">, f. 3; </w:t>
      </w:r>
      <w:hyperlink w:anchor="SENTENCIA_2015_192" w:history="1">
        <w:r w:rsidRPr="00981775">
          <w:rPr>
            <w:rStyle w:val="TextoNormalCaracter"/>
          </w:rPr>
          <w:t>192/2015</w:t>
        </w:r>
      </w:hyperlink>
      <w:r>
        <w:t xml:space="preserve">, f. 3; </w:t>
      </w:r>
      <w:hyperlink w:anchor="SENTENCIA_2015_193" w:history="1">
        <w:r w:rsidRPr="00981775">
          <w:rPr>
            <w:rStyle w:val="TextoNormalCaracter"/>
          </w:rPr>
          <w:t>193/2015</w:t>
        </w:r>
      </w:hyperlink>
      <w:r>
        <w:t xml:space="preserve">, f. 3; </w:t>
      </w:r>
      <w:hyperlink w:anchor="SENTENCIA_2015_224" w:history="1">
        <w:r w:rsidRPr="00981775">
          <w:rPr>
            <w:rStyle w:val="TextoNormalCaracter"/>
          </w:rPr>
          <w:t>224/2015</w:t>
        </w:r>
      </w:hyperlink>
      <w:r>
        <w:t xml:space="preserve">, f. 3; </w:t>
      </w:r>
      <w:hyperlink w:anchor="SENTENCIA_2015_245" w:history="1">
        <w:r w:rsidRPr="00981775">
          <w:rPr>
            <w:rStyle w:val="TextoNormalCaracter"/>
          </w:rPr>
          <w:t>245/2015</w:t>
        </w:r>
      </w:hyperlink>
      <w:r>
        <w:t xml:space="preserve">, f. 3; </w:t>
      </w:r>
      <w:hyperlink w:anchor="SENTENCIA_2015_264" w:history="1">
        <w:r w:rsidRPr="00981775">
          <w:rPr>
            <w:rStyle w:val="TextoNormalCaracter"/>
          </w:rPr>
          <w:t>264/2015</w:t>
        </w:r>
      </w:hyperlink>
      <w:r>
        <w:t>, f. 3.</w:t>
      </w:r>
    </w:p>
    <w:p w:rsidR="00981775" w:rsidRDefault="00981775" w:rsidP="00981775">
      <w:pPr>
        <w:pStyle w:val="SangriaIzquierdaArticulo"/>
      </w:pPr>
      <w:r>
        <w:t xml:space="preserve">Auto </w:t>
      </w:r>
      <w:hyperlink w:anchor="AUTO_2015_225" w:history="1">
        <w:r w:rsidRPr="00981775">
          <w:rPr>
            <w:rStyle w:val="TextoNormalCaracter"/>
          </w:rPr>
          <w:t>225/2015</w:t>
        </w:r>
      </w:hyperlink>
      <w:r>
        <w:t>, f. 3.</w:t>
      </w:r>
    </w:p>
    <w:p w:rsidR="00981775" w:rsidRDefault="00981775" w:rsidP="00981775">
      <w:pPr>
        <w:pStyle w:val="SangriaFrancesaArticulo"/>
      </w:pPr>
      <w:r w:rsidRPr="00981775">
        <w:rPr>
          <w:rStyle w:val="TextoNormalNegritaCaracter"/>
        </w:rPr>
        <w:t>Disposición adicional duodécima, apartado 1.2.</w:t>
      </w:r>
      <w:r w:rsidRPr="00981775">
        <w:rPr>
          <w:rStyle w:val="TextoNormalCaracter"/>
        </w:rPr>
        <w:t>-</w:t>
      </w:r>
      <w:r>
        <w:t xml:space="preserve"> Sentencias </w:t>
      </w:r>
      <w:hyperlink w:anchor="SENTENCIA_2015_175" w:history="1">
        <w:r w:rsidRPr="00981775">
          <w:rPr>
            <w:rStyle w:val="TextoNormalCaracter"/>
          </w:rPr>
          <w:t>175/2015</w:t>
        </w:r>
      </w:hyperlink>
      <w:r>
        <w:t xml:space="preserve">, f. 3; </w:t>
      </w:r>
      <w:hyperlink w:anchor="SENTENCIA_2015_189" w:history="1">
        <w:r w:rsidRPr="00981775">
          <w:rPr>
            <w:rStyle w:val="TextoNormalCaracter"/>
          </w:rPr>
          <w:t>189/2015</w:t>
        </w:r>
      </w:hyperlink>
      <w:r>
        <w:t xml:space="preserve">, f. 3; </w:t>
      </w:r>
      <w:hyperlink w:anchor="SENTENCIA_2015_192" w:history="1">
        <w:r w:rsidRPr="00981775">
          <w:rPr>
            <w:rStyle w:val="TextoNormalCaracter"/>
          </w:rPr>
          <w:t>192/2015</w:t>
        </w:r>
      </w:hyperlink>
      <w:r>
        <w:t xml:space="preserve">, f. 3; </w:t>
      </w:r>
      <w:hyperlink w:anchor="SENTENCIA_2015_193" w:history="1">
        <w:r w:rsidRPr="00981775">
          <w:rPr>
            <w:rStyle w:val="TextoNormalCaracter"/>
          </w:rPr>
          <w:t>193/2015</w:t>
        </w:r>
      </w:hyperlink>
      <w:r>
        <w:t xml:space="preserve">, f. 3; </w:t>
      </w:r>
      <w:hyperlink w:anchor="SENTENCIA_2015_245" w:history="1">
        <w:r w:rsidRPr="00981775">
          <w:rPr>
            <w:rStyle w:val="TextoNormalCaracter"/>
          </w:rPr>
          <w:t>245/2015</w:t>
        </w:r>
      </w:hyperlink>
      <w:r>
        <w:t xml:space="preserve">, f. 3; </w:t>
      </w:r>
      <w:hyperlink w:anchor="SENTENCIA_2015_264" w:history="1">
        <w:r w:rsidRPr="00981775">
          <w:rPr>
            <w:rStyle w:val="TextoNormalCaracter"/>
          </w:rPr>
          <w:t>264/2015</w:t>
        </w:r>
      </w:hyperlink>
      <w:r>
        <w:t>, f. 3.</w:t>
      </w:r>
    </w:p>
    <w:p w:rsidR="00981775" w:rsidRDefault="00981775" w:rsidP="00981775">
      <w:pPr>
        <w:pStyle w:val="SangriaIzquierdaArticulo"/>
      </w:pPr>
      <w:r>
        <w:t xml:space="preserve">Auto </w:t>
      </w:r>
      <w:hyperlink w:anchor="AUTO_2015_225" w:history="1">
        <w:r w:rsidRPr="00981775">
          <w:rPr>
            <w:rStyle w:val="TextoNormalCaracter"/>
          </w:rPr>
          <w:t>225/2015</w:t>
        </w:r>
      </w:hyperlink>
      <w:r>
        <w:t>, f. 3.</w:t>
      </w:r>
    </w:p>
    <w:p w:rsidR="00981775" w:rsidRDefault="00981775" w:rsidP="00981775">
      <w:pPr>
        <w:pStyle w:val="SangriaFrancesaArticulo"/>
      </w:pPr>
      <w:r w:rsidRPr="00981775">
        <w:rPr>
          <w:rStyle w:val="TextoNormalNegritaCaracter"/>
        </w:rPr>
        <w:t>Disposición adicional duodécima, apartado 2.</w:t>
      </w:r>
      <w:r w:rsidRPr="00981775">
        <w:rPr>
          <w:rStyle w:val="TextoNormalCaracter"/>
        </w:rPr>
        <w:t>-</w:t>
      </w:r>
      <w:r>
        <w:t xml:space="preserve"> Sentencias </w:t>
      </w:r>
      <w:hyperlink w:anchor="SENTENCIA_2015_189" w:history="1">
        <w:r w:rsidRPr="00981775">
          <w:rPr>
            <w:rStyle w:val="TextoNormalCaracter"/>
          </w:rPr>
          <w:t>189/2015</w:t>
        </w:r>
      </w:hyperlink>
      <w:r>
        <w:t xml:space="preserve">, f. 3; </w:t>
      </w:r>
      <w:hyperlink w:anchor="SENTENCIA_2015_245" w:history="1">
        <w:r w:rsidRPr="00981775">
          <w:rPr>
            <w:rStyle w:val="TextoNormalCaracter"/>
          </w:rPr>
          <w:t>245/2015</w:t>
        </w:r>
      </w:hyperlink>
      <w:r>
        <w:t>, f. 3.</w:t>
      </w:r>
    </w:p>
    <w:p w:rsidR="00981775" w:rsidRDefault="00981775" w:rsidP="00981775">
      <w:pPr>
        <w:pStyle w:val="SangriaFrancesaArticulo"/>
      </w:pPr>
    </w:p>
    <w:p w:rsidR="00981775" w:rsidRDefault="00981775" w:rsidP="00981775">
      <w:pPr>
        <w:pStyle w:val="TextoNormalNegritaCursivandice"/>
      </w:pPr>
      <w:r>
        <w:t>Ley 9/2015, de 25 de mayo. Medidas urgentes en materia concursal</w:t>
      </w:r>
    </w:p>
    <w:p w:rsidR="00981775" w:rsidRDefault="00981775" w:rsidP="00981775">
      <w:pPr>
        <w:pStyle w:val="SangriaFrancesaArticulo"/>
      </w:pPr>
      <w:r w:rsidRPr="00981775">
        <w:rPr>
          <w:rStyle w:val="TextoNormalNegritaCaracter"/>
        </w:rPr>
        <w:t>Disposición transitoria cuarta.</w:t>
      </w:r>
      <w:r w:rsidRPr="00981775">
        <w:rPr>
          <w:rStyle w:val="TextoNormalCaracter"/>
        </w:rPr>
        <w:t>-</w:t>
      </w:r>
      <w:r>
        <w:t xml:space="preserve"> Auto </w:t>
      </w:r>
      <w:hyperlink w:anchor="AUTO_2015_144" w:history="1">
        <w:r w:rsidRPr="00981775">
          <w:rPr>
            <w:rStyle w:val="TextoNormalCaracter"/>
          </w:rPr>
          <w:t>144/2015</w:t>
        </w:r>
      </w:hyperlink>
      <w:r>
        <w:t>, f. 2.</w:t>
      </w:r>
    </w:p>
    <w:p w:rsidR="00981775" w:rsidRDefault="00981775" w:rsidP="00981775">
      <w:pPr>
        <w:pStyle w:val="SangriaFrancesaArticulo"/>
      </w:pPr>
    </w:p>
    <w:p w:rsidR="00981775" w:rsidRDefault="00981775" w:rsidP="00981775">
      <w:pPr>
        <w:pStyle w:val="TextoNormalNegritaCursivandice"/>
      </w:pPr>
      <w:r>
        <w:t>Ley 21/2015, de 20 de julio. Modifica la Ley 43/2003, de 21 de noviembre. Montes</w:t>
      </w:r>
    </w:p>
    <w:p w:rsidR="00981775" w:rsidRDefault="00981775" w:rsidP="00981775">
      <w:pPr>
        <w:pStyle w:val="SangriaFrancesaArticulo"/>
      </w:pPr>
      <w:r w:rsidRPr="00981775">
        <w:rPr>
          <w:rStyle w:val="TextoNormalNegritaCaracter"/>
        </w:rPr>
        <w:t>Artículo 58.</w:t>
      </w:r>
      <w:r w:rsidRPr="00981775">
        <w:rPr>
          <w:rStyle w:val="TextoNormalCaracter"/>
        </w:rPr>
        <w:t>-</w:t>
      </w:r>
      <w:r>
        <w:t xml:space="preserve"> Sentencia </w:t>
      </w:r>
      <w:hyperlink w:anchor="SENTENCIA_2015_214" w:history="1">
        <w:r w:rsidRPr="00981775">
          <w:rPr>
            <w:rStyle w:val="TextoNormalCaracter"/>
          </w:rPr>
          <w:t>214/2015</w:t>
        </w:r>
      </w:hyperlink>
      <w:r>
        <w:t>, f. 2.</w:t>
      </w:r>
    </w:p>
    <w:p w:rsidR="00981775" w:rsidRDefault="00981775" w:rsidP="00981775">
      <w:pPr>
        <w:pStyle w:val="SangriaFrancesaArticulo"/>
      </w:pPr>
    </w:p>
    <w:p w:rsidR="00981775" w:rsidRDefault="00981775" w:rsidP="00981775">
      <w:pPr>
        <w:pStyle w:val="TextoNormalNegritaCursivandice"/>
      </w:pPr>
      <w:r>
        <w:t>Ley 23/2015, de 21 de julio. Ordenadora del sistema de inspección de trabajo y seguridad social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72" w:history="1">
        <w:r w:rsidRPr="00981775">
          <w:rPr>
            <w:rStyle w:val="TextoNormalCaracter"/>
          </w:rPr>
          <w:t>272/2015</w:t>
        </w:r>
      </w:hyperlink>
      <w:r>
        <w:t>, f. 2.</w:t>
      </w:r>
    </w:p>
    <w:p w:rsidR="00981775" w:rsidRDefault="00981775" w:rsidP="00981775">
      <w:pPr>
        <w:pStyle w:val="SangriaFrancesaArticulo"/>
      </w:pPr>
      <w:r w:rsidRPr="00981775">
        <w:rPr>
          <w:rStyle w:val="TextoNormalNegritaCaracter"/>
        </w:rPr>
        <w:t>Disposición transitoria segunda.</w:t>
      </w:r>
      <w:r w:rsidRPr="00981775">
        <w:rPr>
          <w:rStyle w:val="TextoNormalCaracter"/>
        </w:rPr>
        <w:t>-</w:t>
      </w:r>
      <w:r>
        <w:t xml:space="preserve"> Sentencia </w:t>
      </w:r>
      <w:hyperlink w:anchor="SENTENCIA_2015_272" w:history="1">
        <w:r w:rsidRPr="00981775">
          <w:rPr>
            <w:rStyle w:val="TextoNormalCaracter"/>
          </w:rPr>
          <w:t>272/2015</w:t>
        </w:r>
      </w:hyperlink>
      <w:r>
        <w:t>, f. 2.</w:t>
      </w:r>
    </w:p>
    <w:p w:rsidR="00981775" w:rsidRDefault="00981775" w:rsidP="00981775">
      <w:pPr>
        <w:pStyle w:val="SangriaFrancesaArticulo"/>
      </w:pPr>
      <w:r w:rsidRPr="00981775">
        <w:rPr>
          <w:rStyle w:val="TextoNormalNegritaCaracter"/>
        </w:rPr>
        <w:t>Disposición final primera.</w:t>
      </w:r>
      <w:r w:rsidRPr="00981775">
        <w:rPr>
          <w:rStyle w:val="TextoNormalCaracter"/>
        </w:rPr>
        <w:t>-</w:t>
      </w:r>
      <w:r>
        <w:t xml:space="preserve"> Sentencia </w:t>
      </w:r>
      <w:hyperlink w:anchor="SENTENCIA_2015_272" w:history="1">
        <w:r w:rsidRPr="00981775">
          <w:rPr>
            <w:rStyle w:val="TextoNormalCaracter"/>
          </w:rPr>
          <w:t>272/2015</w:t>
        </w:r>
      </w:hyperlink>
      <w:r>
        <w:t>, f. 2.</w:t>
      </w:r>
    </w:p>
    <w:p w:rsidR="00981775" w:rsidRDefault="00981775" w:rsidP="00981775">
      <w:pPr>
        <w:pStyle w:val="SangriaFrancesaArticulo"/>
      </w:pPr>
    </w:p>
    <w:p w:rsidR="00981775" w:rsidRDefault="00981775" w:rsidP="00981775">
      <w:pPr>
        <w:pStyle w:val="TextoNormalNegritaCursivandice"/>
      </w:pPr>
      <w:r>
        <w:t>Ley 26/2015, de 28 de julio, de modificación del sistema de protección a la infancia y a la adolescencia</w:t>
      </w:r>
    </w:p>
    <w:p w:rsidR="00981775" w:rsidRDefault="00981775" w:rsidP="00981775">
      <w:pPr>
        <w:pStyle w:val="SangriaFrancesaArticulo"/>
      </w:pPr>
      <w:r w:rsidRPr="00981775">
        <w:rPr>
          <w:rStyle w:val="TextoNormalNegritaCaracter"/>
        </w:rPr>
        <w:t>Disposición final sexta.</w:t>
      </w:r>
      <w:r w:rsidRPr="00981775">
        <w:rPr>
          <w:rStyle w:val="TextoNormalCaracter"/>
        </w:rPr>
        <w:t>-</w:t>
      </w:r>
      <w:r>
        <w:t xml:space="preserve"> Sentencia </w:t>
      </w:r>
      <w:hyperlink w:anchor="SENTENCIA_2015_271" w:history="1">
        <w:r w:rsidRPr="00981775">
          <w:rPr>
            <w:rStyle w:val="TextoNormalCaracter"/>
          </w:rPr>
          <w:t>271/2015</w:t>
        </w:r>
      </w:hyperlink>
      <w:r>
        <w:t>, f. 2.</w:t>
      </w:r>
    </w:p>
    <w:p w:rsidR="00981775" w:rsidRDefault="00981775" w:rsidP="00981775">
      <w:pPr>
        <w:pStyle w:val="SangriaFrancesaArticulo"/>
      </w:pPr>
    </w:p>
    <w:p w:rsidR="00981775" w:rsidRDefault="00981775" w:rsidP="00981775">
      <w:pPr>
        <w:pStyle w:val="TextoNormalNegritaCursivandice"/>
      </w:pPr>
      <w:r>
        <w:t>Ley 39/2015, de 1 de octubre. Procedimiento administrativo común de las Administraciones públicas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6" w:history="1">
        <w:r w:rsidRPr="00981775">
          <w:rPr>
            <w:rStyle w:val="TextoNormalCaracter"/>
          </w:rPr>
          <w:t>236/2015</w:t>
        </w:r>
      </w:hyperlink>
      <w:r>
        <w:t>, f. 5.</w:t>
      </w:r>
    </w:p>
    <w:p w:rsidR="00981775" w:rsidRDefault="00981775" w:rsidP="00981775">
      <w:pPr>
        <w:pStyle w:val="SangriaFrancesaArticulo"/>
      </w:pPr>
    </w:p>
    <w:p w:rsidR="00981775" w:rsidRDefault="00981775" w:rsidP="00981775">
      <w:pPr>
        <w:pStyle w:val="TextoNormalNegritaCursivandice"/>
      </w:pPr>
      <w:r>
        <w:t>Ley 40/2015, de 1 de octubre. Régimen jurídico del sector público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6" w:history="1">
        <w:r w:rsidRPr="00981775">
          <w:rPr>
            <w:rStyle w:val="TextoNormalCaracter"/>
          </w:rPr>
          <w:t>236/2015</w:t>
        </w:r>
      </w:hyperlink>
      <w:r>
        <w:t>, f. 5.</w:t>
      </w:r>
    </w:p>
    <w:p w:rsidR="00981775" w:rsidRDefault="00981775" w:rsidP="00981775">
      <w:pPr>
        <w:pStyle w:val="TextoNormal"/>
      </w:pPr>
    </w:p>
    <w:p w:rsidR="00981775" w:rsidRDefault="00981775" w:rsidP="00981775">
      <w:pPr>
        <w:pStyle w:val="SangriaFrancesaArticulo"/>
      </w:pPr>
      <w:bookmarkStart w:id="253" w:name="INDICE22847"/>
    </w:p>
    <w:bookmarkEnd w:id="253"/>
    <w:p w:rsidR="00981775" w:rsidRDefault="00981775" w:rsidP="00981775">
      <w:pPr>
        <w:pStyle w:val="TextoIndiceNivel2"/>
        <w:suppressAutoHyphens/>
      </w:pPr>
      <w:r>
        <w:t>F) Reales Decretos Legislativos</w:t>
      </w:r>
    </w:p>
    <w:p w:rsidR="00981775" w:rsidRDefault="00981775" w:rsidP="00981775">
      <w:pPr>
        <w:pStyle w:val="TextoIndiceNivel2"/>
      </w:pPr>
    </w:p>
    <w:p w:rsidR="00981775" w:rsidRDefault="00981775" w:rsidP="00981775">
      <w:pPr>
        <w:pStyle w:val="TextoNormalNegritaCursivandice"/>
      </w:pPr>
      <w:r>
        <w:t>Real Decreto Legislativo 1568/1980, de 13 de junio. Texto refundido de la Ley de procedimiento laboral</w:t>
      </w:r>
    </w:p>
    <w:p w:rsidR="00981775" w:rsidRDefault="00981775" w:rsidP="00981775">
      <w:pPr>
        <w:pStyle w:val="SangriaFrancesaArticulo"/>
      </w:pPr>
      <w:r w:rsidRPr="00981775">
        <w:rPr>
          <w:rStyle w:val="TextoNormalNegritaCaracter"/>
        </w:rPr>
        <w:t>Artículo 74, párrafo 3.</w:t>
      </w:r>
      <w:r w:rsidRPr="00981775">
        <w:rPr>
          <w:rStyle w:val="TextoNormalCaracter"/>
        </w:rPr>
        <w:t>-</w:t>
      </w:r>
      <w:r>
        <w:t xml:space="preserve"> Sentencia </w:t>
      </w:r>
      <w:hyperlink w:anchor="SENTENCIA_2015_194" w:history="1">
        <w:r w:rsidRPr="00981775">
          <w:rPr>
            <w:rStyle w:val="TextoNormalCaracter"/>
          </w:rPr>
          <w:t>194/2015</w:t>
        </w:r>
      </w:hyperlink>
      <w:r>
        <w:t>, f. 6.</w:t>
      </w:r>
    </w:p>
    <w:p w:rsidR="00981775" w:rsidRDefault="00981775" w:rsidP="00981775">
      <w:pPr>
        <w:pStyle w:val="SangriaFrancesaArticulo"/>
      </w:pPr>
    </w:p>
    <w:p w:rsidR="00981775" w:rsidRDefault="00981775" w:rsidP="00981775">
      <w:pPr>
        <w:pStyle w:val="TextoNormalNegritaCursivandice"/>
      </w:pPr>
      <w:r>
        <w:t>Real Decreto Legislativo 670/1987, de 30 de abril. Texto refundido de la Ley de clases pasivas del Estado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Autos </w:t>
      </w:r>
      <w:hyperlink w:anchor="AUTO_2015_129" w:history="1">
        <w:r w:rsidRPr="00981775">
          <w:rPr>
            <w:rStyle w:val="TextoNormalCaracter"/>
          </w:rPr>
          <w:t>129/2015</w:t>
        </w:r>
      </w:hyperlink>
      <w:r>
        <w:t xml:space="preserve">, f. único; </w:t>
      </w:r>
      <w:hyperlink w:anchor="AUTO_2015_130" w:history="1">
        <w:r w:rsidRPr="00981775">
          <w:rPr>
            <w:rStyle w:val="TextoNormalCaracter"/>
          </w:rPr>
          <w:t>130/2015</w:t>
        </w:r>
      </w:hyperlink>
      <w:r>
        <w:t xml:space="preserve">, f. único; </w:t>
      </w:r>
      <w:hyperlink w:anchor="AUTO_2015_132" w:history="1">
        <w:r w:rsidRPr="00981775">
          <w:rPr>
            <w:rStyle w:val="TextoNormalCaracter"/>
          </w:rPr>
          <w:t>132/2015</w:t>
        </w:r>
      </w:hyperlink>
      <w:r>
        <w:t xml:space="preserve">, f. único; </w:t>
      </w:r>
      <w:hyperlink w:anchor="AUTO_2015_133" w:history="1">
        <w:r w:rsidRPr="00981775">
          <w:rPr>
            <w:rStyle w:val="TextoNormalCaracter"/>
          </w:rPr>
          <w:t>133/2015</w:t>
        </w:r>
      </w:hyperlink>
      <w:r>
        <w:t xml:space="preserve">, f. único; </w:t>
      </w:r>
      <w:hyperlink w:anchor="AUTO_2015_134" w:history="1">
        <w:r w:rsidRPr="00981775">
          <w:rPr>
            <w:rStyle w:val="TextoNormalCaracter"/>
          </w:rPr>
          <w:t>134/2015</w:t>
        </w:r>
      </w:hyperlink>
      <w:r>
        <w:t>, f. único.</w:t>
      </w:r>
    </w:p>
    <w:p w:rsidR="00981775" w:rsidRDefault="00981775" w:rsidP="00981775">
      <w:pPr>
        <w:pStyle w:val="SangriaFrancesaArticulo"/>
      </w:pPr>
      <w:r w:rsidRPr="00981775">
        <w:rPr>
          <w:rStyle w:val="TextoNormalNegritaCaracter"/>
        </w:rPr>
        <w:t>Artículo 27.1.</w:t>
      </w:r>
      <w:r w:rsidRPr="00981775">
        <w:rPr>
          <w:rStyle w:val="TextoNormalCaracter"/>
        </w:rPr>
        <w:t>-</w:t>
      </w:r>
      <w:r>
        <w:t xml:space="preserve"> Autos </w:t>
      </w:r>
      <w:hyperlink w:anchor="AUTO_2015_129" w:history="1">
        <w:r w:rsidRPr="00981775">
          <w:rPr>
            <w:rStyle w:val="TextoNormalCaracter"/>
          </w:rPr>
          <w:t>129/2015</w:t>
        </w:r>
      </w:hyperlink>
      <w:r>
        <w:t xml:space="preserve">, f. único; </w:t>
      </w:r>
      <w:hyperlink w:anchor="AUTO_2015_130" w:history="1">
        <w:r w:rsidRPr="00981775">
          <w:rPr>
            <w:rStyle w:val="TextoNormalCaracter"/>
          </w:rPr>
          <w:t>130/2015</w:t>
        </w:r>
      </w:hyperlink>
      <w:r>
        <w:t xml:space="preserve">, f. único; </w:t>
      </w:r>
      <w:hyperlink w:anchor="AUTO_2015_132" w:history="1">
        <w:r w:rsidRPr="00981775">
          <w:rPr>
            <w:rStyle w:val="TextoNormalCaracter"/>
          </w:rPr>
          <w:t>132/2015</w:t>
        </w:r>
      </w:hyperlink>
      <w:r>
        <w:t xml:space="preserve">, f. único; </w:t>
      </w:r>
      <w:hyperlink w:anchor="AUTO_2015_133" w:history="1">
        <w:r w:rsidRPr="00981775">
          <w:rPr>
            <w:rStyle w:val="TextoNormalCaracter"/>
          </w:rPr>
          <w:t>133/2015</w:t>
        </w:r>
      </w:hyperlink>
      <w:r>
        <w:t xml:space="preserve">, f. único; </w:t>
      </w:r>
      <w:hyperlink w:anchor="AUTO_2015_134" w:history="1">
        <w:r w:rsidRPr="00981775">
          <w:rPr>
            <w:rStyle w:val="TextoNormalCaracter"/>
          </w:rPr>
          <w:t>134/2015</w:t>
        </w:r>
      </w:hyperlink>
      <w:r>
        <w:t>, f. único.</w:t>
      </w:r>
    </w:p>
    <w:p w:rsidR="00981775" w:rsidRDefault="00981775" w:rsidP="00981775">
      <w:pPr>
        <w:pStyle w:val="SangriaFrancesaArticulo"/>
      </w:pPr>
    </w:p>
    <w:p w:rsidR="00981775" w:rsidRDefault="00981775" w:rsidP="00981775">
      <w:pPr>
        <w:pStyle w:val="TextoNormalNegritaCursivandice"/>
      </w:pPr>
      <w:r>
        <w:t>Real Decreto Legislativo 521/1990, de 27 de abril. Texto articulado de la  Ley de procedimiento laboral</w:t>
      </w:r>
    </w:p>
    <w:p w:rsidR="00981775" w:rsidRDefault="00981775" w:rsidP="00981775">
      <w:pPr>
        <w:pStyle w:val="SangriaFrancesaArticulo"/>
      </w:pPr>
      <w:r w:rsidRPr="00981775">
        <w:rPr>
          <w:rStyle w:val="TextoNormalNegritaCaracter"/>
        </w:rPr>
        <w:t>Artículo 83.2.</w:t>
      </w:r>
      <w:r w:rsidRPr="00981775">
        <w:rPr>
          <w:rStyle w:val="TextoNormalCaracter"/>
        </w:rPr>
        <w:t>-</w:t>
      </w:r>
      <w:r>
        <w:t xml:space="preserve"> Sentencia </w:t>
      </w:r>
      <w:hyperlink w:anchor="SENTENCIA_2015_194" w:history="1">
        <w:r w:rsidRPr="00981775">
          <w:rPr>
            <w:rStyle w:val="TextoNormalCaracter"/>
          </w:rPr>
          <w:t>194/2015</w:t>
        </w:r>
      </w:hyperlink>
      <w:r>
        <w:t>, f. 6.</w:t>
      </w:r>
    </w:p>
    <w:p w:rsidR="00981775" w:rsidRDefault="00981775" w:rsidP="00981775">
      <w:pPr>
        <w:pStyle w:val="SangriaFrancesaArticulo"/>
      </w:pPr>
    </w:p>
    <w:p w:rsidR="00981775" w:rsidRDefault="00981775" w:rsidP="00981775">
      <w:pPr>
        <w:pStyle w:val="TextoNormalNegritaCursivandice"/>
      </w:pPr>
      <w:r>
        <w:t>Real Decreto Legislativo 1/1994, de 20 de junio. Texto refundido de la Ley general de la Seguridad Social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Autos </w:t>
      </w:r>
      <w:hyperlink w:anchor="AUTO_2015_129" w:history="1">
        <w:r w:rsidRPr="00981775">
          <w:rPr>
            <w:rStyle w:val="TextoNormalCaracter"/>
          </w:rPr>
          <w:t>129/2015</w:t>
        </w:r>
      </w:hyperlink>
      <w:r>
        <w:t xml:space="preserve">, f. único; </w:t>
      </w:r>
      <w:hyperlink w:anchor="AUTO_2015_130" w:history="1">
        <w:r w:rsidRPr="00981775">
          <w:rPr>
            <w:rStyle w:val="TextoNormalCaracter"/>
          </w:rPr>
          <w:t>130/2015</w:t>
        </w:r>
      </w:hyperlink>
      <w:r>
        <w:t xml:space="preserve">, f. único; </w:t>
      </w:r>
      <w:hyperlink w:anchor="AUTO_2015_132" w:history="1">
        <w:r w:rsidRPr="00981775">
          <w:rPr>
            <w:rStyle w:val="TextoNormalCaracter"/>
          </w:rPr>
          <w:t>132/2015</w:t>
        </w:r>
      </w:hyperlink>
      <w:r>
        <w:t xml:space="preserve">, f. único; </w:t>
      </w:r>
      <w:hyperlink w:anchor="AUTO_2015_133" w:history="1">
        <w:r w:rsidRPr="00981775">
          <w:rPr>
            <w:rStyle w:val="TextoNormalCaracter"/>
          </w:rPr>
          <w:t>133/2015</w:t>
        </w:r>
      </w:hyperlink>
      <w:r>
        <w:t xml:space="preserve">, f. único; </w:t>
      </w:r>
      <w:hyperlink w:anchor="AUTO_2015_134" w:history="1">
        <w:r w:rsidRPr="00981775">
          <w:rPr>
            <w:rStyle w:val="TextoNormalCaracter"/>
          </w:rPr>
          <w:t>134/2015</w:t>
        </w:r>
      </w:hyperlink>
      <w:r>
        <w:t>, f. único.</w:t>
      </w:r>
    </w:p>
    <w:p w:rsidR="00981775" w:rsidRDefault="00981775" w:rsidP="00981775">
      <w:pPr>
        <w:pStyle w:val="SangriaFrancesaArticulo"/>
      </w:pPr>
      <w:r w:rsidRPr="00981775">
        <w:rPr>
          <w:rStyle w:val="TextoNormalNegritaCaracter"/>
        </w:rPr>
        <w:t>Artículo 48.1.1.</w:t>
      </w:r>
      <w:r w:rsidRPr="00981775">
        <w:rPr>
          <w:rStyle w:val="TextoNormalCaracter"/>
        </w:rPr>
        <w:t>-</w:t>
      </w:r>
      <w:r>
        <w:t xml:space="preserve"> Auto </w:t>
      </w:r>
      <w:hyperlink w:anchor="AUTO_2015_133" w:history="1">
        <w:r w:rsidRPr="00981775">
          <w:rPr>
            <w:rStyle w:val="TextoNormalCaracter"/>
          </w:rPr>
          <w:t>133/2015</w:t>
        </w:r>
      </w:hyperlink>
      <w:r>
        <w:t>, f. único.</w:t>
      </w:r>
    </w:p>
    <w:p w:rsidR="00981775" w:rsidRDefault="00981775" w:rsidP="00981775">
      <w:pPr>
        <w:pStyle w:val="SangriaFrancesaArticulo"/>
      </w:pPr>
      <w:r w:rsidRPr="00981775">
        <w:rPr>
          <w:rStyle w:val="TextoNormalNegritaCaracter"/>
        </w:rPr>
        <w:t>Artículo 48.1.2.</w:t>
      </w:r>
      <w:r w:rsidRPr="00981775">
        <w:rPr>
          <w:rStyle w:val="TextoNormalCaracter"/>
        </w:rPr>
        <w:t>-</w:t>
      </w:r>
      <w:r>
        <w:t xml:space="preserve"> Autos </w:t>
      </w:r>
      <w:hyperlink w:anchor="AUTO_2015_129" w:history="1">
        <w:r w:rsidRPr="00981775">
          <w:rPr>
            <w:rStyle w:val="TextoNormalCaracter"/>
          </w:rPr>
          <w:t>129/2015</w:t>
        </w:r>
      </w:hyperlink>
      <w:r>
        <w:t xml:space="preserve">, f. único; </w:t>
      </w:r>
      <w:hyperlink w:anchor="AUTO_2015_130" w:history="1">
        <w:r w:rsidRPr="00981775">
          <w:rPr>
            <w:rStyle w:val="TextoNormalCaracter"/>
          </w:rPr>
          <w:t>130/2015</w:t>
        </w:r>
      </w:hyperlink>
      <w:r>
        <w:t xml:space="preserve">, f. único; </w:t>
      </w:r>
      <w:hyperlink w:anchor="AUTO_2015_132" w:history="1">
        <w:r w:rsidRPr="00981775">
          <w:rPr>
            <w:rStyle w:val="TextoNormalCaracter"/>
          </w:rPr>
          <w:t>132/2015</w:t>
        </w:r>
      </w:hyperlink>
      <w:r>
        <w:t xml:space="preserve">, f. único; </w:t>
      </w:r>
      <w:hyperlink w:anchor="AUTO_2015_133" w:history="1">
        <w:r w:rsidRPr="00981775">
          <w:rPr>
            <w:rStyle w:val="TextoNormalCaracter"/>
          </w:rPr>
          <w:t>133/2015</w:t>
        </w:r>
      </w:hyperlink>
      <w:r>
        <w:t xml:space="preserve">, f. único; </w:t>
      </w:r>
      <w:hyperlink w:anchor="AUTO_2015_134" w:history="1">
        <w:r w:rsidRPr="00981775">
          <w:rPr>
            <w:rStyle w:val="TextoNormalCaracter"/>
          </w:rPr>
          <w:t>134/2015</w:t>
        </w:r>
      </w:hyperlink>
      <w:r>
        <w:t>, f. único.</w:t>
      </w:r>
    </w:p>
    <w:p w:rsidR="00981775" w:rsidRDefault="00981775" w:rsidP="00981775">
      <w:pPr>
        <w:pStyle w:val="SangriaFrancesaArticulo"/>
      </w:pPr>
      <w:r w:rsidRPr="00981775">
        <w:rPr>
          <w:rStyle w:val="TextoNormalNegritaCaracter"/>
        </w:rPr>
        <w:t>Artículo 203.</w:t>
      </w:r>
      <w:r w:rsidRPr="00981775">
        <w:rPr>
          <w:rStyle w:val="TextoNormalCaracter"/>
        </w:rPr>
        <w:t>-</w:t>
      </w:r>
      <w:r>
        <w:t xml:space="preserve"> Sentencia </w:t>
      </w:r>
      <w:hyperlink w:anchor="SENTENCIA_2015_272" w:history="1">
        <w:r w:rsidRPr="00981775">
          <w:rPr>
            <w:rStyle w:val="TextoNormalCaracter"/>
          </w:rPr>
          <w:t>272/2015</w:t>
        </w:r>
      </w:hyperlink>
      <w:r>
        <w:t>, f. 3.</w:t>
      </w:r>
    </w:p>
    <w:p w:rsidR="00981775" w:rsidRDefault="00981775" w:rsidP="00981775">
      <w:pPr>
        <w:pStyle w:val="SangriaFrancesaArticulo"/>
      </w:pPr>
      <w:r w:rsidRPr="00981775">
        <w:rPr>
          <w:rStyle w:val="TextoNormalNegritaCaracter"/>
        </w:rPr>
        <w:t>Artículo 207 e).</w:t>
      </w:r>
      <w:r w:rsidRPr="00981775">
        <w:rPr>
          <w:rStyle w:val="TextoNormalCaracter"/>
        </w:rPr>
        <w:t>-</w:t>
      </w:r>
      <w:r>
        <w:t xml:space="preserve"> Sentencia </w:t>
      </w:r>
      <w:hyperlink w:anchor="SENTENCIA_2015_272" w:history="1">
        <w:r w:rsidRPr="00981775">
          <w:rPr>
            <w:rStyle w:val="TextoNormalCaracter"/>
          </w:rPr>
          <w:t>272/2015</w:t>
        </w:r>
      </w:hyperlink>
      <w:r>
        <w:t>, f. 4.</w:t>
      </w:r>
    </w:p>
    <w:p w:rsidR="00981775" w:rsidRDefault="00981775" w:rsidP="00981775">
      <w:pPr>
        <w:pStyle w:val="SangriaFrancesaArticulo"/>
      </w:pPr>
      <w:r w:rsidRPr="00981775">
        <w:rPr>
          <w:rStyle w:val="TextoNormalNegritaCaracter"/>
        </w:rPr>
        <w:t>Artículo 209.1.</w:t>
      </w:r>
      <w:r w:rsidRPr="00981775">
        <w:rPr>
          <w:rStyle w:val="TextoNormalCaracter"/>
        </w:rPr>
        <w:t>-</w:t>
      </w:r>
      <w:r>
        <w:t xml:space="preserve"> Sentencia </w:t>
      </w:r>
      <w:hyperlink w:anchor="SENTENCIA_2015_272" w:history="1">
        <w:r w:rsidRPr="00981775">
          <w:rPr>
            <w:rStyle w:val="TextoNormalCaracter"/>
          </w:rPr>
          <w:t>272/2015</w:t>
        </w:r>
      </w:hyperlink>
      <w:r>
        <w:t>, ff. 3, 4.</w:t>
      </w:r>
    </w:p>
    <w:p w:rsidR="00981775" w:rsidRDefault="00981775" w:rsidP="00981775">
      <w:pPr>
        <w:pStyle w:val="SangriaFrancesaArticulo"/>
      </w:pPr>
      <w:r w:rsidRPr="00981775">
        <w:rPr>
          <w:rStyle w:val="TextoNormalNegritaCaracter"/>
        </w:rPr>
        <w:t>Artículo 209.1 párrafo 2.</w:t>
      </w:r>
      <w:r w:rsidRPr="00981775">
        <w:rPr>
          <w:rStyle w:val="TextoNormalCaracter"/>
        </w:rPr>
        <w:t>-</w:t>
      </w:r>
      <w:r>
        <w:t xml:space="preserve"> Sentencia </w:t>
      </w:r>
      <w:hyperlink w:anchor="SENTENCIA_2015_272" w:history="1">
        <w:r w:rsidRPr="00981775">
          <w:rPr>
            <w:rStyle w:val="TextoNormalCaracter"/>
          </w:rPr>
          <w:t>272/2015</w:t>
        </w:r>
      </w:hyperlink>
      <w:r>
        <w:t>, f. 4.</w:t>
      </w:r>
    </w:p>
    <w:p w:rsidR="00981775" w:rsidRDefault="00981775" w:rsidP="00981775">
      <w:pPr>
        <w:pStyle w:val="SangriaFrancesaArticulo"/>
      </w:pPr>
      <w:r w:rsidRPr="00981775">
        <w:rPr>
          <w:rStyle w:val="TextoNormalNegritaCaracter"/>
        </w:rPr>
        <w:t>Artículo 215.4.</w:t>
      </w:r>
      <w:r w:rsidRPr="00981775">
        <w:rPr>
          <w:rStyle w:val="TextoNormalCaracter"/>
        </w:rPr>
        <w:t>-</w:t>
      </w:r>
      <w:r>
        <w:t xml:space="preserve"> Sentencia </w:t>
      </w:r>
      <w:hyperlink w:anchor="SENTENCIA_2015_272" w:history="1">
        <w:r w:rsidRPr="00981775">
          <w:rPr>
            <w:rStyle w:val="TextoNormalCaracter"/>
          </w:rPr>
          <w:t>272/2015</w:t>
        </w:r>
      </w:hyperlink>
      <w:r>
        <w:t>, ff. 3, 4.</w:t>
      </w:r>
    </w:p>
    <w:p w:rsidR="00981775" w:rsidRDefault="00981775" w:rsidP="00981775">
      <w:pPr>
        <w:pStyle w:val="SangriaFrancesaArticulo"/>
      </w:pPr>
      <w:r w:rsidRPr="00981775">
        <w:rPr>
          <w:rStyle w:val="TextoNormalNegritaCaracter"/>
        </w:rPr>
        <w:t>Artículo 226.</w:t>
      </w:r>
      <w:r w:rsidRPr="00981775">
        <w:rPr>
          <w:rStyle w:val="TextoNormalCaracter"/>
        </w:rPr>
        <w:t>-</w:t>
      </w:r>
      <w:r>
        <w:t xml:space="preserve"> Sentencia </w:t>
      </w:r>
      <w:hyperlink w:anchor="SENTENCIA_2015_272" w:history="1">
        <w:r w:rsidRPr="00981775">
          <w:rPr>
            <w:rStyle w:val="TextoNormalCaracter"/>
          </w:rPr>
          <w:t>272/2015</w:t>
        </w:r>
      </w:hyperlink>
      <w:r>
        <w:t>, f. 3.</w:t>
      </w:r>
    </w:p>
    <w:p w:rsidR="00981775" w:rsidRDefault="00981775" w:rsidP="00981775">
      <w:pPr>
        <w:pStyle w:val="SangriaFrancesaArticulo"/>
      </w:pPr>
      <w:r w:rsidRPr="00981775">
        <w:rPr>
          <w:rStyle w:val="TextoNormalNegritaCaracter"/>
        </w:rPr>
        <w:t>Artículo 231.1.</w:t>
      </w:r>
      <w:r w:rsidRPr="00981775">
        <w:rPr>
          <w:rStyle w:val="TextoNormalCaracter"/>
        </w:rPr>
        <w:t>-</w:t>
      </w:r>
      <w:r>
        <w:t xml:space="preserve"> Sentencia </w:t>
      </w:r>
      <w:hyperlink w:anchor="SENTENCIA_2015_272" w:history="1">
        <w:r w:rsidRPr="00981775">
          <w:rPr>
            <w:rStyle w:val="TextoNormalCaracter"/>
          </w:rPr>
          <w:t>272/2015</w:t>
        </w:r>
      </w:hyperlink>
      <w:r>
        <w:t>, f. 1.</w:t>
      </w:r>
    </w:p>
    <w:p w:rsidR="00981775" w:rsidRDefault="00981775" w:rsidP="00981775">
      <w:pPr>
        <w:pStyle w:val="SangriaFrancesaArticulo"/>
      </w:pPr>
      <w:r w:rsidRPr="00981775">
        <w:rPr>
          <w:rStyle w:val="TextoNormalNegritaCaracter"/>
        </w:rPr>
        <w:t>Artículo 231.1 d).</w:t>
      </w:r>
      <w:r w:rsidRPr="00981775">
        <w:rPr>
          <w:rStyle w:val="TextoNormalCaracter"/>
        </w:rPr>
        <w:t>-</w:t>
      </w:r>
      <w:r>
        <w:t xml:space="preserve"> Sentencia </w:t>
      </w:r>
      <w:hyperlink w:anchor="SENTENCIA_2015_272" w:history="1">
        <w:r w:rsidRPr="00981775">
          <w:rPr>
            <w:rStyle w:val="TextoNormalCaracter"/>
          </w:rPr>
          <w:t>272/2015</w:t>
        </w:r>
      </w:hyperlink>
      <w:r>
        <w:t>, f. 4.</w:t>
      </w:r>
    </w:p>
    <w:p w:rsidR="00981775" w:rsidRDefault="00981775" w:rsidP="00981775">
      <w:pPr>
        <w:pStyle w:val="SangriaFrancesaArticulo"/>
      </w:pPr>
      <w:r w:rsidRPr="00981775">
        <w:rPr>
          <w:rStyle w:val="TextoNormalNegritaCaracter"/>
        </w:rPr>
        <w:t>Disposición adicional decimonovena.</w:t>
      </w:r>
      <w:r w:rsidRPr="00981775">
        <w:rPr>
          <w:rStyle w:val="TextoNormalCaracter"/>
        </w:rPr>
        <w:t>-</w:t>
      </w:r>
      <w:r>
        <w:t xml:space="preserve"> Sentencia </w:t>
      </w:r>
      <w:hyperlink w:anchor="SENTENCIA_2015_272" w:history="1">
        <w:r w:rsidRPr="00981775">
          <w:rPr>
            <w:rStyle w:val="TextoNormalCaracter"/>
          </w:rPr>
          <w:t>272/2015</w:t>
        </w:r>
      </w:hyperlink>
      <w:r>
        <w:t>, f. 3.</w:t>
      </w:r>
    </w:p>
    <w:p w:rsidR="00981775" w:rsidRDefault="00981775" w:rsidP="00981775">
      <w:pPr>
        <w:pStyle w:val="SangriaFrancesaArticulo"/>
      </w:pPr>
    </w:p>
    <w:p w:rsidR="00981775" w:rsidRDefault="00981775" w:rsidP="00981775">
      <w:pPr>
        <w:pStyle w:val="TextoNormalNegritaCursivandice"/>
      </w:pPr>
      <w:r>
        <w:t>Real Decreto Legislativo 1/1995, de 24 de marzo. Texto refundido de la Ley del estatuto de los trabajadores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Autos </w:t>
      </w:r>
      <w:hyperlink w:anchor="AUTO_2015_228" w:history="1">
        <w:r w:rsidRPr="00981775">
          <w:rPr>
            <w:rStyle w:val="TextoNormalCaracter"/>
          </w:rPr>
          <w:t>228/2015</w:t>
        </w:r>
      </w:hyperlink>
      <w:r>
        <w:t xml:space="preserve">, f. 4; </w:t>
      </w:r>
      <w:hyperlink w:anchor="AUTO_2015_229" w:history="1">
        <w:r w:rsidRPr="00981775">
          <w:rPr>
            <w:rStyle w:val="TextoNormalCaracter"/>
          </w:rPr>
          <w:t>229/2015</w:t>
        </w:r>
      </w:hyperlink>
      <w:r>
        <w:t>, f. 4.</w:t>
      </w:r>
    </w:p>
    <w:p w:rsidR="00981775" w:rsidRDefault="00981775" w:rsidP="00981775">
      <w:pPr>
        <w:pStyle w:val="SangriaFrancesaArticulo"/>
      </w:pPr>
      <w:r w:rsidRPr="00981775">
        <w:rPr>
          <w:rStyle w:val="TextoNormalNegritaCaracter"/>
        </w:rPr>
        <w:t>Artículo 4.2 d).</w:t>
      </w:r>
      <w:r w:rsidRPr="00981775">
        <w:rPr>
          <w:rStyle w:val="TextoNormalCaracter"/>
        </w:rPr>
        <w:t>-</w:t>
      </w:r>
      <w:r>
        <w:t xml:space="preserve"> Sentencia </w:t>
      </w:r>
      <w:hyperlink w:anchor="SENTENCIA_2015_198" w:history="1">
        <w:r w:rsidRPr="00981775">
          <w:rPr>
            <w:rStyle w:val="TextoNormalCaracter"/>
          </w:rPr>
          <w:t>198/2015</w:t>
        </w:r>
      </w:hyperlink>
      <w:r>
        <w:t>, f. 4.</w:t>
      </w:r>
    </w:p>
    <w:p w:rsidR="00981775" w:rsidRDefault="00981775" w:rsidP="00981775">
      <w:pPr>
        <w:pStyle w:val="SangriaFrancesaArticulo"/>
      </w:pPr>
      <w:r w:rsidRPr="00981775">
        <w:rPr>
          <w:rStyle w:val="TextoNormalNegritaCaracter"/>
        </w:rPr>
        <w:t>Artículo 4.2 g).</w:t>
      </w:r>
      <w:r w:rsidRPr="00981775">
        <w:rPr>
          <w:rStyle w:val="TextoNormalCaracter"/>
        </w:rPr>
        <w:t>-</w:t>
      </w:r>
      <w:r>
        <w:t xml:space="preserve"> Sentencia </w:t>
      </w:r>
      <w:hyperlink w:anchor="SENTENCIA_2015_183" w:history="1">
        <w:r w:rsidRPr="00981775">
          <w:rPr>
            <w:rStyle w:val="TextoNormalCaracter"/>
          </w:rPr>
          <w:t>183/2015</w:t>
        </w:r>
      </w:hyperlink>
      <w:r>
        <w:t>, f. 3.</w:t>
      </w:r>
    </w:p>
    <w:p w:rsidR="00981775" w:rsidRDefault="00981775" w:rsidP="00981775">
      <w:pPr>
        <w:pStyle w:val="SangriaFrancesaArticulo"/>
      </w:pPr>
      <w:r w:rsidRPr="00981775">
        <w:rPr>
          <w:rStyle w:val="TextoNormalNegritaCaracter"/>
        </w:rPr>
        <w:t>Artículo 31.</w:t>
      </w:r>
      <w:r w:rsidRPr="00981775">
        <w:rPr>
          <w:rStyle w:val="TextoNormalCaracter"/>
        </w:rPr>
        <w:t>-</w:t>
      </w:r>
      <w:r>
        <w:t xml:space="preserve"> Sentencias </w:t>
      </w:r>
      <w:hyperlink w:anchor="SENTENCIA_2015_168" w:history="1">
        <w:r w:rsidRPr="00981775">
          <w:rPr>
            <w:rStyle w:val="TextoNormalCaracter"/>
          </w:rPr>
          <w:t>168/2015</w:t>
        </w:r>
      </w:hyperlink>
      <w:r>
        <w:t xml:space="preserve">, f. 2; </w:t>
      </w:r>
      <w:hyperlink w:anchor="SENTENCIA_2015_175" w:history="1">
        <w:r w:rsidRPr="00981775">
          <w:rPr>
            <w:rStyle w:val="TextoNormalCaracter"/>
          </w:rPr>
          <w:t>175/2015</w:t>
        </w:r>
      </w:hyperlink>
      <w:r>
        <w:t xml:space="preserve">, f. 1; </w:t>
      </w:r>
      <w:hyperlink w:anchor="SENTENCIA_2015_189" w:history="1">
        <w:r w:rsidRPr="00981775">
          <w:rPr>
            <w:rStyle w:val="TextoNormalCaracter"/>
          </w:rPr>
          <w:t>189/2015</w:t>
        </w:r>
      </w:hyperlink>
      <w:r>
        <w:t xml:space="preserve">, f. 2; </w:t>
      </w:r>
      <w:hyperlink w:anchor="SENTENCIA_2015_193" w:history="1">
        <w:r w:rsidRPr="00981775">
          <w:rPr>
            <w:rStyle w:val="TextoNormalCaracter"/>
          </w:rPr>
          <w:t>193/2015</w:t>
        </w:r>
      </w:hyperlink>
      <w:r>
        <w:t xml:space="preserve">, f. 1; </w:t>
      </w:r>
      <w:hyperlink w:anchor="SENTENCIA_2015_205" w:history="1">
        <w:r w:rsidRPr="00981775">
          <w:rPr>
            <w:rStyle w:val="TextoNormalCaracter"/>
          </w:rPr>
          <w:t>205/2015</w:t>
        </w:r>
      </w:hyperlink>
      <w:r>
        <w:t xml:space="preserve">, f. 2; </w:t>
      </w:r>
      <w:hyperlink w:anchor="SENTENCIA_2015_224" w:history="1">
        <w:r w:rsidRPr="00981775">
          <w:rPr>
            <w:rStyle w:val="TextoNormalCaracter"/>
          </w:rPr>
          <w:t>224/2015</w:t>
        </w:r>
      </w:hyperlink>
      <w:r>
        <w:t>, f. 2.</w:t>
      </w:r>
    </w:p>
    <w:p w:rsidR="00981775" w:rsidRDefault="00981775" w:rsidP="00981775">
      <w:pPr>
        <w:pStyle w:val="SangriaFrancesaArticulo"/>
      </w:pPr>
      <w:r w:rsidRPr="00981775">
        <w:rPr>
          <w:rStyle w:val="TextoNormalNegritaCaracter"/>
        </w:rPr>
        <w:t>Artículo 41.</w:t>
      </w:r>
      <w:r w:rsidRPr="00981775">
        <w:rPr>
          <w:rStyle w:val="TextoNormalCaracter"/>
        </w:rPr>
        <w:t>-</w:t>
      </w:r>
      <w:r>
        <w:t xml:space="preserve"> Sentencia </w:t>
      </w:r>
      <w:hyperlink w:anchor="SENTENCIA_2015_183" w:history="1">
        <w:r w:rsidRPr="00981775">
          <w:rPr>
            <w:rStyle w:val="TextoNormalCaracter"/>
          </w:rPr>
          <w:t>183/2015</w:t>
        </w:r>
      </w:hyperlink>
      <w:r>
        <w:t>, VP.</w:t>
      </w:r>
    </w:p>
    <w:p w:rsidR="00981775" w:rsidRDefault="00981775" w:rsidP="00981775">
      <w:pPr>
        <w:pStyle w:val="SangriaFrancesaArticulo"/>
      </w:pPr>
      <w:r w:rsidRPr="00981775">
        <w:rPr>
          <w:rStyle w:val="TextoNormalNegritaCaracter"/>
        </w:rPr>
        <w:t>Artículo 52 c).</w:t>
      </w:r>
      <w:r w:rsidRPr="00981775">
        <w:rPr>
          <w:rStyle w:val="TextoNormalCaracter"/>
        </w:rPr>
        <w:t>-</w:t>
      </w:r>
      <w:r>
        <w:t xml:space="preserve"> Sentencia </w:t>
      </w:r>
      <w:hyperlink w:anchor="SENTENCIA_2015_183" w:history="1">
        <w:r w:rsidRPr="00981775">
          <w:rPr>
            <w:rStyle w:val="TextoNormalCaracter"/>
          </w:rPr>
          <w:t>183/2015</w:t>
        </w:r>
      </w:hyperlink>
      <w:r>
        <w:t>, f. 7.</w:t>
      </w:r>
    </w:p>
    <w:p w:rsidR="00981775" w:rsidRDefault="00981775" w:rsidP="00981775">
      <w:pPr>
        <w:pStyle w:val="SangriaFrancesaArticulo"/>
      </w:pPr>
    </w:p>
    <w:p w:rsidR="00981775" w:rsidRDefault="00981775" w:rsidP="00981775">
      <w:pPr>
        <w:pStyle w:val="TextoNormalNegritaCursivandice"/>
      </w:pPr>
      <w:r>
        <w:t>Real Decreto Legislativo 2/1995, de 7 de abril. Texto refundido de la Ley de  procedimiento laboral</w:t>
      </w:r>
    </w:p>
    <w:p w:rsidR="00981775" w:rsidRDefault="00981775" w:rsidP="00981775">
      <w:pPr>
        <w:pStyle w:val="SangriaFrancesaArticulo"/>
      </w:pPr>
      <w:r w:rsidRPr="00981775">
        <w:rPr>
          <w:rStyle w:val="TextoNormalNegritaCaracter"/>
        </w:rPr>
        <w:t>Artículo 83.2.</w:t>
      </w:r>
      <w:r w:rsidRPr="00981775">
        <w:rPr>
          <w:rStyle w:val="TextoNormalCaracter"/>
        </w:rPr>
        <w:t>-</w:t>
      </w:r>
      <w:r>
        <w:t xml:space="preserve"> Sentencia </w:t>
      </w:r>
      <w:hyperlink w:anchor="SENTENCIA_2015_194" w:history="1">
        <w:r w:rsidRPr="00981775">
          <w:rPr>
            <w:rStyle w:val="TextoNormalCaracter"/>
          </w:rPr>
          <w:t>194/2015</w:t>
        </w:r>
      </w:hyperlink>
      <w:r>
        <w:t>, f. 6.</w:t>
      </w:r>
    </w:p>
    <w:p w:rsidR="00981775" w:rsidRDefault="00981775" w:rsidP="00981775">
      <w:pPr>
        <w:pStyle w:val="SangriaFrancesaArticulo"/>
      </w:pPr>
    </w:p>
    <w:p w:rsidR="00981775" w:rsidRDefault="00981775" w:rsidP="00981775">
      <w:pPr>
        <w:pStyle w:val="TextoNormalNegritaCursivandice"/>
      </w:pPr>
      <w:r>
        <w:t>Real Decreto Legislativo 2/2000, de 16 de junio. Texto refundido de la Ley de contratos de las Administraciones públicas</w:t>
      </w:r>
    </w:p>
    <w:p w:rsidR="00981775" w:rsidRDefault="00981775" w:rsidP="00981775">
      <w:pPr>
        <w:pStyle w:val="SangriaFrancesaArticulo"/>
      </w:pPr>
      <w:r w:rsidRPr="00981775">
        <w:rPr>
          <w:rStyle w:val="TextoNormalNegritaCaracter"/>
        </w:rPr>
        <w:t>Artículo 72.</w:t>
      </w:r>
      <w:r w:rsidRPr="00981775">
        <w:rPr>
          <w:rStyle w:val="TextoNormalCaracter"/>
        </w:rPr>
        <w:t>-</w:t>
      </w:r>
      <w:r>
        <w:t xml:space="preserve"> Sentencia </w:t>
      </w:r>
      <w:hyperlink w:anchor="SENTENCIA_2015_231" w:history="1">
        <w:r w:rsidRPr="00981775">
          <w:rPr>
            <w:rStyle w:val="TextoNormalCaracter"/>
          </w:rPr>
          <w:t>231/2015</w:t>
        </w:r>
      </w:hyperlink>
      <w:r>
        <w:t>, ff. 5, 11, 12.</w:t>
      </w:r>
    </w:p>
    <w:p w:rsidR="00981775" w:rsidRDefault="00981775" w:rsidP="00981775">
      <w:pPr>
        <w:pStyle w:val="SangriaFrancesaArticulo"/>
      </w:pPr>
    </w:p>
    <w:p w:rsidR="00981775" w:rsidRDefault="00981775" w:rsidP="00981775">
      <w:pPr>
        <w:pStyle w:val="TextoNormalNegritaCursivandice"/>
      </w:pPr>
      <w:r>
        <w:t>Real Decreto Legislativo 5/2000, de 4 de agosto. Texto refundido de la Ley sobre infracciones y sanciones en el orden social</w:t>
      </w:r>
    </w:p>
    <w:p w:rsidR="00981775" w:rsidRDefault="00981775" w:rsidP="00981775">
      <w:pPr>
        <w:pStyle w:val="SangriaFrancesaArticulo"/>
      </w:pPr>
      <w:r w:rsidRPr="00981775">
        <w:rPr>
          <w:rStyle w:val="TextoNormalNegritaCaracter"/>
        </w:rPr>
        <w:t>Artículo 24.3 a)</w:t>
      </w:r>
      <w:r>
        <w:t xml:space="preserve"> (redactado por la Ley 62/2003, de 30 de diciembre)</w:t>
      </w:r>
      <w:r w:rsidRPr="00981775">
        <w:rPr>
          <w:rStyle w:val="TextoNormalNegritaCaracter"/>
        </w:rPr>
        <w:t>.</w:t>
      </w:r>
      <w:r w:rsidRPr="00981775">
        <w:rPr>
          <w:rStyle w:val="TextoNormalCaracter"/>
        </w:rPr>
        <w:t>-</w:t>
      </w:r>
      <w:r>
        <w:t xml:space="preserve"> Sentencia </w:t>
      </w:r>
      <w:hyperlink w:anchor="SENTENCIA_2015_272" w:history="1">
        <w:r w:rsidRPr="00981775">
          <w:rPr>
            <w:rStyle w:val="TextoNormalCaracter"/>
          </w:rPr>
          <w:t>272/2015</w:t>
        </w:r>
      </w:hyperlink>
      <w:r>
        <w:t>, f. 4.</w:t>
      </w:r>
    </w:p>
    <w:p w:rsidR="00981775" w:rsidRDefault="00981775" w:rsidP="00981775">
      <w:pPr>
        <w:pStyle w:val="SangriaFrancesaArticulo"/>
      </w:pPr>
      <w:r w:rsidRPr="00981775">
        <w:rPr>
          <w:rStyle w:val="TextoNormalNegritaCaracter"/>
        </w:rPr>
        <w:t>Artículo 24.3 d)</w:t>
      </w:r>
      <w:r>
        <w:t xml:space="preserve"> (redactado por el Real Decreto-ley 20/2012, de 13 de julio)</w:t>
      </w:r>
      <w:r w:rsidRPr="00981775">
        <w:rPr>
          <w:rStyle w:val="TextoNormalNegritaCaracter"/>
        </w:rPr>
        <w:t>.</w:t>
      </w:r>
      <w:r w:rsidRPr="00981775">
        <w:rPr>
          <w:rStyle w:val="TextoNormalCaracter"/>
        </w:rPr>
        <w:t>-</w:t>
      </w:r>
      <w:r>
        <w:t xml:space="preserve"> Sentencia </w:t>
      </w:r>
      <w:hyperlink w:anchor="SENTENCIA_2015_272" w:history="1">
        <w:r w:rsidRPr="00981775">
          <w:rPr>
            <w:rStyle w:val="TextoNormalCaracter"/>
          </w:rPr>
          <w:t>272/2015</w:t>
        </w:r>
      </w:hyperlink>
      <w:r>
        <w:t>, f. 4.</w:t>
      </w:r>
    </w:p>
    <w:p w:rsidR="00981775" w:rsidRDefault="00981775" w:rsidP="00981775">
      <w:pPr>
        <w:pStyle w:val="SangriaFrancesaArticulo"/>
      </w:pPr>
      <w:r w:rsidRPr="00981775">
        <w:rPr>
          <w:rStyle w:val="TextoNormalNegritaCaracter"/>
        </w:rPr>
        <w:t>Artículo 24.4.</w:t>
      </w:r>
      <w:r w:rsidRPr="00981775">
        <w:rPr>
          <w:rStyle w:val="TextoNormalCaracter"/>
        </w:rPr>
        <w:t>-</w:t>
      </w:r>
      <w:r>
        <w:t xml:space="preserve"> Sentencia </w:t>
      </w:r>
      <w:hyperlink w:anchor="SENTENCIA_2015_272" w:history="1">
        <w:r w:rsidRPr="00981775">
          <w:rPr>
            <w:rStyle w:val="TextoNormalCaracter"/>
          </w:rPr>
          <w:t>272/2015</w:t>
        </w:r>
      </w:hyperlink>
      <w:r>
        <w:t>, f. 3.</w:t>
      </w:r>
    </w:p>
    <w:p w:rsidR="00981775" w:rsidRDefault="00981775" w:rsidP="00981775">
      <w:pPr>
        <w:pStyle w:val="SangriaFrancesaArticulo"/>
      </w:pPr>
      <w:r w:rsidRPr="00981775">
        <w:rPr>
          <w:rStyle w:val="TextoNormalNegritaCaracter"/>
        </w:rPr>
        <w:t>Artículo 24.4</w:t>
      </w:r>
      <w:r>
        <w:t xml:space="preserve"> (redactado por la Ley 1/2014, de 28 de febrero)</w:t>
      </w:r>
      <w:r w:rsidRPr="00981775">
        <w:rPr>
          <w:rStyle w:val="TextoNormalNegritaCaracter"/>
        </w:rPr>
        <w:t>.</w:t>
      </w:r>
      <w:r w:rsidRPr="00981775">
        <w:rPr>
          <w:rStyle w:val="TextoNormalCaracter"/>
        </w:rPr>
        <w:t>-</w:t>
      </w:r>
      <w:r>
        <w:t xml:space="preserve"> Sentencia </w:t>
      </w:r>
      <w:hyperlink w:anchor="SENTENCIA_2015_272" w:history="1">
        <w:r w:rsidRPr="00981775">
          <w:rPr>
            <w:rStyle w:val="TextoNormalCaracter"/>
          </w:rPr>
          <w:t>272/2015</w:t>
        </w:r>
      </w:hyperlink>
      <w:r>
        <w:t>, f. 4.</w:t>
      </w:r>
    </w:p>
    <w:p w:rsidR="00981775" w:rsidRDefault="00981775" w:rsidP="00981775">
      <w:pPr>
        <w:pStyle w:val="SangriaFrancesaArticulo"/>
      </w:pPr>
      <w:r w:rsidRPr="00981775">
        <w:rPr>
          <w:rStyle w:val="TextoNormalNegritaCaracter"/>
        </w:rPr>
        <w:t>Artículo 24.4 a).</w:t>
      </w:r>
      <w:r w:rsidRPr="00981775">
        <w:rPr>
          <w:rStyle w:val="TextoNormalCaracter"/>
        </w:rPr>
        <w:t>-</w:t>
      </w:r>
      <w:r>
        <w:t xml:space="preserve"> Sentencia </w:t>
      </w:r>
      <w:hyperlink w:anchor="SENTENCIA_2015_272" w:history="1">
        <w:r w:rsidRPr="00981775">
          <w:rPr>
            <w:rStyle w:val="TextoNormalCaracter"/>
          </w:rPr>
          <w:t>272/2015</w:t>
        </w:r>
      </w:hyperlink>
      <w:r>
        <w:t>, ff. 1, 4, 5.</w:t>
      </w:r>
    </w:p>
    <w:p w:rsidR="00981775" w:rsidRDefault="00981775" w:rsidP="00981775">
      <w:pPr>
        <w:pStyle w:val="SangriaFrancesaArticulo"/>
      </w:pPr>
      <w:r w:rsidRPr="00981775">
        <w:rPr>
          <w:rStyle w:val="TextoNormalNegritaCaracter"/>
        </w:rPr>
        <w:t>Artículo 24.4 b).</w:t>
      </w:r>
      <w:r w:rsidRPr="00981775">
        <w:rPr>
          <w:rStyle w:val="TextoNormalCaracter"/>
        </w:rPr>
        <w:t>-</w:t>
      </w:r>
      <w:r>
        <w:t xml:space="preserve"> Sentencia </w:t>
      </w:r>
      <w:hyperlink w:anchor="SENTENCIA_2015_272" w:history="1">
        <w:r w:rsidRPr="00981775">
          <w:rPr>
            <w:rStyle w:val="TextoNormalCaracter"/>
          </w:rPr>
          <w:t>272/2015</w:t>
        </w:r>
      </w:hyperlink>
      <w:r>
        <w:t>, ff. 1, 4, 5.</w:t>
      </w:r>
    </w:p>
    <w:p w:rsidR="00981775" w:rsidRDefault="00981775" w:rsidP="00981775">
      <w:pPr>
        <w:pStyle w:val="SangriaFrancesaArticulo"/>
      </w:pPr>
      <w:r w:rsidRPr="00981775">
        <w:rPr>
          <w:rStyle w:val="TextoNormalNegritaCaracter"/>
        </w:rPr>
        <w:t>Artículo 47.1 a).</w:t>
      </w:r>
      <w:r w:rsidRPr="00981775">
        <w:rPr>
          <w:rStyle w:val="TextoNormalCaracter"/>
        </w:rPr>
        <w:t>-</w:t>
      </w:r>
      <w:r>
        <w:t xml:space="preserve"> Sentencia </w:t>
      </w:r>
      <w:hyperlink w:anchor="SENTENCIA_2015_272" w:history="1">
        <w:r w:rsidRPr="00981775">
          <w:rPr>
            <w:rStyle w:val="TextoNormalCaracter"/>
          </w:rPr>
          <w:t>272/2015</w:t>
        </w:r>
      </w:hyperlink>
      <w:r>
        <w:t>, f. 4.</w:t>
      </w:r>
    </w:p>
    <w:p w:rsidR="00981775" w:rsidRDefault="00981775" w:rsidP="00981775">
      <w:pPr>
        <w:pStyle w:val="SangriaFrancesaArticulo"/>
      </w:pPr>
      <w:r w:rsidRPr="00981775">
        <w:rPr>
          <w:rStyle w:val="TextoNormalNegritaCaracter"/>
        </w:rPr>
        <w:t>Artículo 48</w:t>
      </w:r>
      <w:r>
        <w:t xml:space="preserve"> (redactado por la Ley 23/2015, de 21 de julio)</w:t>
      </w:r>
      <w:r w:rsidRPr="00981775">
        <w:rPr>
          <w:rStyle w:val="TextoNormalNegritaCaracter"/>
        </w:rPr>
        <w:t>.</w:t>
      </w:r>
      <w:r w:rsidRPr="00981775">
        <w:rPr>
          <w:rStyle w:val="TextoNormalCaracter"/>
        </w:rPr>
        <w:t>-</w:t>
      </w:r>
      <w:r>
        <w:t xml:space="preserve"> Sentencia </w:t>
      </w:r>
      <w:hyperlink w:anchor="SENTENCIA_2015_272" w:history="1">
        <w:r w:rsidRPr="00981775">
          <w:rPr>
            <w:rStyle w:val="TextoNormalCaracter"/>
          </w:rPr>
          <w:t>272/2015</w:t>
        </w:r>
      </w:hyperlink>
      <w:r>
        <w:t>, f. 2.</w:t>
      </w:r>
    </w:p>
    <w:p w:rsidR="00981775" w:rsidRDefault="00981775" w:rsidP="00981775">
      <w:pPr>
        <w:pStyle w:val="SangriaFrancesaArticulo"/>
      </w:pPr>
      <w:r w:rsidRPr="00981775">
        <w:rPr>
          <w:rStyle w:val="TextoNormalNegritaCaracter"/>
        </w:rPr>
        <w:t>Artículo 48.1</w:t>
      </w:r>
      <w:r>
        <w:t xml:space="preserve"> (redactado por la Ley 23/2015, de 21 de julio)</w:t>
      </w:r>
      <w:r w:rsidRPr="00981775">
        <w:rPr>
          <w:rStyle w:val="TextoNormalNegritaCaracter"/>
        </w:rPr>
        <w:t>.</w:t>
      </w:r>
      <w:r w:rsidRPr="00981775">
        <w:rPr>
          <w:rStyle w:val="TextoNormalCaracter"/>
        </w:rPr>
        <w:t>-</w:t>
      </w:r>
      <w:r>
        <w:t xml:space="preserve"> Sentencia </w:t>
      </w:r>
      <w:hyperlink w:anchor="SENTENCIA_2015_272" w:history="1">
        <w:r w:rsidRPr="00981775">
          <w:rPr>
            <w:rStyle w:val="TextoNormalCaracter"/>
          </w:rPr>
          <w:t>272/2015</w:t>
        </w:r>
      </w:hyperlink>
      <w:r>
        <w:t>, f. 2.</w:t>
      </w:r>
    </w:p>
    <w:p w:rsidR="00981775" w:rsidRDefault="00981775" w:rsidP="00981775">
      <w:pPr>
        <w:pStyle w:val="SangriaFrancesaArticulo"/>
      </w:pPr>
      <w:r w:rsidRPr="00981775">
        <w:rPr>
          <w:rStyle w:val="TextoNormalNegritaCaracter"/>
        </w:rPr>
        <w:t>Artículo 48.2.</w:t>
      </w:r>
      <w:r w:rsidRPr="00981775">
        <w:rPr>
          <w:rStyle w:val="TextoNormalCaracter"/>
        </w:rPr>
        <w:t>-</w:t>
      </w:r>
      <w:r>
        <w:t xml:space="preserve"> Sentencia </w:t>
      </w:r>
      <w:hyperlink w:anchor="SENTENCIA_2015_272" w:history="1">
        <w:r w:rsidRPr="00981775">
          <w:rPr>
            <w:rStyle w:val="TextoNormalCaracter"/>
          </w:rPr>
          <w:t>272/2015</w:t>
        </w:r>
      </w:hyperlink>
      <w:r>
        <w:t>, f. 2.</w:t>
      </w:r>
    </w:p>
    <w:p w:rsidR="00981775" w:rsidRDefault="00981775" w:rsidP="00981775">
      <w:pPr>
        <w:pStyle w:val="SangriaFrancesaArticulo"/>
      </w:pPr>
      <w:r w:rsidRPr="00981775">
        <w:rPr>
          <w:rStyle w:val="TextoNormalNegritaCaracter"/>
        </w:rPr>
        <w:t>Artículo 48.3.</w:t>
      </w:r>
      <w:r w:rsidRPr="00981775">
        <w:rPr>
          <w:rStyle w:val="TextoNormalCaracter"/>
        </w:rPr>
        <w:t>-</w:t>
      </w:r>
      <w:r>
        <w:t xml:space="preserve"> Sentencia </w:t>
      </w:r>
      <w:hyperlink w:anchor="SENTENCIA_2015_272" w:history="1">
        <w:r w:rsidRPr="00981775">
          <w:rPr>
            <w:rStyle w:val="TextoNormalCaracter"/>
          </w:rPr>
          <w:t>272/2015</w:t>
        </w:r>
      </w:hyperlink>
      <w:r>
        <w:t>, f. 2.</w:t>
      </w:r>
    </w:p>
    <w:p w:rsidR="00981775" w:rsidRDefault="00981775" w:rsidP="00981775">
      <w:pPr>
        <w:pStyle w:val="SangriaFrancesaArticulo"/>
      </w:pPr>
      <w:r w:rsidRPr="00981775">
        <w:rPr>
          <w:rStyle w:val="TextoNormalNegritaCaracter"/>
        </w:rPr>
        <w:t>Artículo 48.5.</w:t>
      </w:r>
      <w:r w:rsidRPr="00981775">
        <w:rPr>
          <w:rStyle w:val="TextoNormalCaracter"/>
        </w:rPr>
        <w:t>-</w:t>
      </w:r>
      <w:r>
        <w:t xml:space="preserve"> Sentencia </w:t>
      </w:r>
      <w:hyperlink w:anchor="SENTENCIA_2015_272" w:history="1">
        <w:r w:rsidRPr="00981775">
          <w:rPr>
            <w:rStyle w:val="TextoNormalCaracter"/>
          </w:rPr>
          <w:t>272/2015</w:t>
        </w:r>
      </w:hyperlink>
      <w:r>
        <w:t>, f. 2.</w:t>
      </w:r>
    </w:p>
    <w:p w:rsidR="00981775" w:rsidRDefault="00981775" w:rsidP="00981775">
      <w:pPr>
        <w:pStyle w:val="SangriaFrancesaArticulo"/>
      </w:pPr>
      <w:r w:rsidRPr="00981775">
        <w:rPr>
          <w:rStyle w:val="TextoNormalNegritaCaracter"/>
        </w:rPr>
        <w:t>Artículo 48.5</w:t>
      </w:r>
      <w:r>
        <w:t xml:space="preserve"> (redactado por la Ley 1/2014, de 28 de febrero)</w:t>
      </w:r>
      <w:r w:rsidRPr="00981775">
        <w:rPr>
          <w:rStyle w:val="TextoNormalNegritaCaracter"/>
        </w:rPr>
        <w:t>.</w:t>
      </w:r>
      <w:r w:rsidRPr="00981775">
        <w:rPr>
          <w:rStyle w:val="TextoNormalCaracter"/>
        </w:rPr>
        <w:t>-</w:t>
      </w:r>
      <w:r>
        <w:t xml:space="preserve"> Sentencia </w:t>
      </w:r>
      <w:hyperlink w:anchor="SENTENCIA_2015_272" w:history="1">
        <w:r w:rsidRPr="00981775">
          <w:rPr>
            <w:rStyle w:val="TextoNormalCaracter"/>
          </w:rPr>
          <w:t>272/2015</w:t>
        </w:r>
      </w:hyperlink>
      <w:r>
        <w:t>, ff. 1, 3, 4.</w:t>
      </w:r>
    </w:p>
    <w:p w:rsidR="00981775" w:rsidRDefault="00981775" w:rsidP="00981775">
      <w:pPr>
        <w:pStyle w:val="SangriaFrancesaArticulo"/>
      </w:pPr>
      <w:r w:rsidRPr="00981775">
        <w:rPr>
          <w:rStyle w:val="TextoNormalNegritaCaracter"/>
        </w:rPr>
        <w:t>Artículo 48.5, inciso 2</w:t>
      </w:r>
      <w:r>
        <w:t xml:space="preserve"> (redactado por la Ley 1/2014, de 28 de febrero)</w:t>
      </w:r>
      <w:r w:rsidRPr="00981775">
        <w:rPr>
          <w:rStyle w:val="TextoNormalNegritaCaracter"/>
        </w:rPr>
        <w:t>.</w:t>
      </w:r>
      <w:r w:rsidRPr="00981775">
        <w:rPr>
          <w:rStyle w:val="TextoNormalCaracter"/>
        </w:rPr>
        <w:t>-</w:t>
      </w:r>
      <w:r>
        <w:t xml:space="preserve"> Sentencia </w:t>
      </w:r>
      <w:hyperlink w:anchor="SENTENCIA_2015_272" w:history="1">
        <w:r w:rsidRPr="00981775">
          <w:rPr>
            <w:rStyle w:val="TextoNormalCaracter"/>
          </w:rPr>
          <w:t>272/2015</w:t>
        </w:r>
      </w:hyperlink>
      <w:r>
        <w:t>, f. 1.</w:t>
      </w:r>
    </w:p>
    <w:p w:rsidR="00981775" w:rsidRDefault="00981775" w:rsidP="00981775">
      <w:pPr>
        <w:pStyle w:val="SangriaFrancesaArticulo"/>
      </w:pPr>
      <w:r w:rsidRPr="00981775">
        <w:rPr>
          <w:rStyle w:val="TextoNormalNegritaCaracter"/>
        </w:rPr>
        <w:t>Artículo 48.6.</w:t>
      </w:r>
      <w:r w:rsidRPr="00981775">
        <w:rPr>
          <w:rStyle w:val="TextoNormalCaracter"/>
        </w:rPr>
        <w:t>-</w:t>
      </w:r>
      <w:r>
        <w:t xml:space="preserve"> Sentencia </w:t>
      </w:r>
      <w:hyperlink w:anchor="SENTENCIA_2015_272" w:history="1">
        <w:r w:rsidRPr="00981775">
          <w:rPr>
            <w:rStyle w:val="TextoNormalCaracter"/>
          </w:rPr>
          <w:t>272/2015</w:t>
        </w:r>
      </w:hyperlink>
      <w:r>
        <w:t>, f. 2.</w:t>
      </w:r>
    </w:p>
    <w:p w:rsidR="00981775" w:rsidRDefault="00981775" w:rsidP="00981775">
      <w:pPr>
        <w:pStyle w:val="SangriaFrancesaArticulo"/>
      </w:pPr>
      <w:r w:rsidRPr="00981775">
        <w:rPr>
          <w:rStyle w:val="TextoNormalNegritaCaracter"/>
        </w:rPr>
        <w:t>Artículo 48.9.</w:t>
      </w:r>
      <w:r w:rsidRPr="00981775">
        <w:rPr>
          <w:rStyle w:val="TextoNormalCaracter"/>
        </w:rPr>
        <w:t>-</w:t>
      </w:r>
      <w:r>
        <w:t xml:space="preserve"> Sentencia </w:t>
      </w:r>
      <w:hyperlink w:anchor="SENTENCIA_2015_272" w:history="1">
        <w:r w:rsidRPr="00981775">
          <w:rPr>
            <w:rStyle w:val="TextoNormalCaracter"/>
          </w:rPr>
          <w:t>272/2015</w:t>
        </w:r>
      </w:hyperlink>
      <w:r>
        <w:t>, f. 2.</w:t>
      </w:r>
    </w:p>
    <w:p w:rsidR="00981775" w:rsidRDefault="00981775" w:rsidP="00981775">
      <w:pPr>
        <w:pStyle w:val="SangriaFrancesaArticulo"/>
      </w:pPr>
    </w:p>
    <w:p w:rsidR="00981775" w:rsidRDefault="00981775" w:rsidP="00981775">
      <w:pPr>
        <w:pStyle w:val="TextoNormalNegritaCursivandice"/>
      </w:pPr>
      <w:r>
        <w:t>Real Decreto Legislativo 1/2001, de 20 de julio. Texto refundido de la Ley de aguas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96" w:history="1">
        <w:r w:rsidRPr="00981775">
          <w:rPr>
            <w:rStyle w:val="TextoNormalCaracter"/>
          </w:rPr>
          <w:t>196/2015</w:t>
        </w:r>
      </w:hyperlink>
      <w:r>
        <w:t>, ff. 1, 2, 4.</w:t>
      </w:r>
    </w:p>
    <w:p w:rsidR="00981775" w:rsidRDefault="00981775" w:rsidP="00981775">
      <w:pPr>
        <w:pStyle w:val="SangriaFrancesaArticulo"/>
      </w:pPr>
      <w:r w:rsidRPr="00981775">
        <w:rPr>
          <w:rStyle w:val="TextoNormalNegritaCaracter"/>
        </w:rPr>
        <w:t>Artículo 14.1.</w:t>
      </w:r>
      <w:r w:rsidRPr="00981775">
        <w:rPr>
          <w:rStyle w:val="TextoNormalCaracter"/>
        </w:rPr>
        <w:t>-</w:t>
      </w:r>
      <w:r>
        <w:t xml:space="preserve"> Auto </w:t>
      </w:r>
      <w:hyperlink w:anchor="AUTO_2015_226" w:history="1">
        <w:r w:rsidRPr="00981775">
          <w:rPr>
            <w:rStyle w:val="TextoNormalCaracter"/>
          </w:rPr>
          <w:t>226/2015</w:t>
        </w:r>
      </w:hyperlink>
      <w:r>
        <w:t>, f. 1.</w:t>
      </w:r>
    </w:p>
    <w:p w:rsidR="00981775" w:rsidRDefault="00981775" w:rsidP="00981775">
      <w:pPr>
        <w:pStyle w:val="SangriaFrancesaArticulo"/>
      </w:pPr>
      <w:r w:rsidRPr="00981775">
        <w:rPr>
          <w:rStyle w:val="TextoNormalNegritaCaracter"/>
        </w:rPr>
        <w:t>Artículo 17 d).</w:t>
      </w:r>
      <w:r w:rsidRPr="00981775">
        <w:rPr>
          <w:rStyle w:val="TextoNormalCaracter"/>
        </w:rPr>
        <w:t>-</w:t>
      </w:r>
      <w:r>
        <w:t xml:space="preserve"> Sentencia </w:t>
      </w:r>
      <w:hyperlink w:anchor="SENTENCIA_2015_196" w:history="1">
        <w:r w:rsidRPr="00981775">
          <w:rPr>
            <w:rStyle w:val="TextoNormalCaracter"/>
          </w:rPr>
          <w:t>196/2015</w:t>
        </w:r>
      </w:hyperlink>
      <w:r>
        <w:t>, ff. 4, 5.</w:t>
      </w:r>
    </w:p>
    <w:p w:rsidR="00981775" w:rsidRDefault="00981775" w:rsidP="00981775">
      <w:pPr>
        <w:pStyle w:val="SangriaFrancesaArticulo"/>
      </w:pPr>
      <w:r w:rsidRPr="00981775">
        <w:rPr>
          <w:rStyle w:val="TextoNormalNegritaCaracter"/>
        </w:rPr>
        <w:t>Artículo 58.</w:t>
      </w:r>
      <w:r w:rsidRPr="00981775">
        <w:rPr>
          <w:rStyle w:val="TextoNormalCaracter"/>
        </w:rPr>
        <w:t>-</w:t>
      </w:r>
      <w:r>
        <w:t xml:space="preserve"> Sentencia </w:t>
      </w:r>
      <w:hyperlink w:anchor="SENTENCIA_2015_231" w:history="1">
        <w:r w:rsidRPr="00981775">
          <w:rPr>
            <w:rStyle w:val="TextoNormalCaracter"/>
          </w:rPr>
          <w:t>231/2015</w:t>
        </w:r>
      </w:hyperlink>
      <w:r>
        <w:t>, ff. 1, 3, 5, 11 a 13.</w:t>
      </w:r>
    </w:p>
    <w:p w:rsidR="00981775" w:rsidRDefault="00981775" w:rsidP="00981775">
      <w:pPr>
        <w:pStyle w:val="SangriaFrancesaArticulo"/>
      </w:pPr>
      <w:r w:rsidRPr="00981775">
        <w:rPr>
          <w:rStyle w:val="TextoNormalNegritaCaracter"/>
        </w:rPr>
        <w:t>Artículo 94.2.</w:t>
      </w:r>
      <w:r w:rsidRPr="00981775">
        <w:rPr>
          <w:rStyle w:val="TextoNormalCaracter"/>
        </w:rPr>
        <w:t>-</w:t>
      </w:r>
      <w:r>
        <w:t xml:space="preserve"> Sentencia </w:t>
      </w:r>
      <w:hyperlink w:anchor="SENTENCIA_2015_196" w:history="1">
        <w:r w:rsidRPr="00981775">
          <w:rPr>
            <w:rStyle w:val="TextoNormalCaracter"/>
          </w:rPr>
          <w:t>196/2015</w:t>
        </w:r>
      </w:hyperlink>
      <w:r>
        <w:t>, ff. 1, 4.</w:t>
      </w:r>
    </w:p>
    <w:p w:rsidR="00981775" w:rsidRDefault="00981775" w:rsidP="00981775">
      <w:pPr>
        <w:pStyle w:val="SangriaFrancesaArticulo"/>
      </w:pPr>
      <w:r w:rsidRPr="00981775">
        <w:rPr>
          <w:rStyle w:val="TextoNormalNegritaCaracter"/>
        </w:rPr>
        <w:t>Artículo 94.3.</w:t>
      </w:r>
      <w:r w:rsidRPr="00981775">
        <w:rPr>
          <w:rStyle w:val="TextoNormalCaracter"/>
        </w:rPr>
        <w:t>-</w:t>
      </w:r>
      <w:r>
        <w:t xml:space="preserve"> Sentencia </w:t>
      </w:r>
      <w:hyperlink w:anchor="SENTENCIA_2015_196" w:history="1">
        <w:r w:rsidRPr="00981775">
          <w:rPr>
            <w:rStyle w:val="TextoNormalCaracter"/>
          </w:rPr>
          <w:t>196/2015</w:t>
        </w:r>
      </w:hyperlink>
      <w:r>
        <w:t>, ff. 1, 4.</w:t>
      </w:r>
    </w:p>
    <w:p w:rsidR="00981775" w:rsidRDefault="00981775" w:rsidP="00981775">
      <w:pPr>
        <w:pStyle w:val="SangriaFrancesaArticulo"/>
      </w:pPr>
      <w:r w:rsidRPr="00981775">
        <w:rPr>
          <w:rStyle w:val="TextoNormalNegritaCaracter"/>
        </w:rPr>
        <w:t>Artículo 94.4.</w:t>
      </w:r>
      <w:r w:rsidRPr="00981775">
        <w:rPr>
          <w:rStyle w:val="TextoNormalCaracter"/>
        </w:rPr>
        <w:t>-</w:t>
      </w:r>
      <w:r>
        <w:t xml:space="preserve"> Sentencia </w:t>
      </w:r>
      <w:hyperlink w:anchor="SENTENCIA_2015_196" w:history="1">
        <w:r w:rsidRPr="00981775">
          <w:rPr>
            <w:rStyle w:val="TextoNormalCaracter"/>
          </w:rPr>
          <w:t>196/2015</w:t>
        </w:r>
      </w:hyperlink>
      <w:r>
        <w:t>, ff. 1, 4.</w:t>
      </w:r>
    </w:p>
    <w:p w:rsidR="00981775" w:rsidRDefault="00981775" w:rsidP="00981775">
      <w:pPr>
        <w:pStyle w:val="SangriaFrancesaArticulo"/>
      </w:pPr>
    </w:p>
    <w:p w:rsidR="00981775" w:rsidRDefault="00981775" w:rsidP="00981775">
      <w:pPr>
        <w:pStyle w:val="TextoNormalNegritaCursivandice"/>
      </w:pPr>
      <w:r>
        <w:t>Real Decreto Legislativo 2/2004, de 5 de marzo. Texto refundido de la Ley reguladora de las haciendas locales</w:t>
      </w:r>
    </w:p>
    <w:p w:rsidR="00981775" w:rsidRDefault="00981775" w:rsidP="00981775">
      <w:pPr>
        <w:pStyle w:val="SangriaFrancesaArticulo"/>
      </w:pPr>
      <w:r w:rsidRPr="00981775">
        <w:rPr>
          <w:rStyle w:val="TextoNormalNegritaCaracter"/>
        </w:rPr>
        <w:t>Artículo 123.</w:t>
      </w:r>
      <w:r w:rsidRPr="00981775">
        <w:rPr>
          <w:rStyle w:val="TextoNormalCaracter"/>
        </w:rPr>
        <w:t>-</w:t>
      </w:r>
      <w:r>
        <w:t xml:space="preserve"> Sentencia </w:t>
      </w:r>
      <w:hyperlink w:anchor="SENTENCIA_2015_199" w:history="1">
        <w:r w:rsidRPr="00981775">
          <w:rPr>
            <w:rStyle w:val="TextoNormalCaracter"/>
          </w:rPr>
          <w:t>199/2015</w:t>
        </w:r>
      </w:hyperlink>
      <w:r>
        <w:t>, f. 2.</w:t>
      </w:r>
    </w:p>
    <w:p w:rsidR="00981775" w:rsidRDefault="00981775" w:rsidP="00981775">
      <w:pPr>
        <w:pStyle w:val="SangriaFrancesaArticulo"/>
      </w:pPr>
    </w:p>
    <w:p w:rsidR="00981775" w:rsidRDefault="00981775" w:rsidP="00981775">
      <w:pPr>
        <w:pStyle w:val="TextoNormalNegritaCursivandice"/>
      </w:pPr>
      <w:r>
        <w:t>Real Decreto Legislativo 2/2008, de 20 de junio. Texto refundido de la Ley de suelo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18" w:history="1">
        <w:r w:rsidRPr="00981775">
          <w:rPr>
            <w:rStyle w:val="TextoNormalCaracter"/>
          </w:rPr>
          <w:t>218/2015</w:t>
        </w:r>
      </w:hyperlink>
      <w:r>
        <w:t>, f. 2, VP I, VP IV.</w:t>
      </w:r>
    </w:p>
    <w:p w:rsidR="00981775" w:rsidRDefault="00981775" w:rsidP="00981775">
      <w:pPr>
        <w:pStyle w:val="SangriaIzquierdaArticulo"/>
      </w:pPr>
      <w:r>
        <w:t xml:space="preserve">Autos </w:t>
      </w:r>
      <w:hyperlink w:anchor="AUTO_2015_184" w:history="1">
        <w:r w:rsidRPr="00981775">
          <w:rPr>
            <w:rStyle w:val="TextoNormalCaracter"/>
          </w:rPr>
          <w:t>184/2015</w:t>
        </w:r>
      </w:hyperlink>
      <w:r>
        <w:t xml:space="preserve">, f. 3; </w:t>
      </w:r>
      <w:hyperlink w:anchor="AUTO_2015_193" w:history="1">
        <w:r w:rsidRPr="00981775">
          <w:rPr>
            <w:rStyle w:val="TextoNormalCaracter"/>
          </w:rPr>
          <w:t>193/2015</w:t>
        </w:r>
      </w:hyperlink>
      <w:r>
        <w:t xml:space="preserve">, f. 3; </w:t>
      </w:r>
      <w:hyperlink w:anchor="AUTO_2015_194" w:history="1">
        <w:r w:rsidRPr="00981775">
          <w:rPr>
            <w:rStyle w:val="TextoNormalCaracter"/>
          </w:rPr>
          <w:t>194/2015</w:t>
        </w:r>
      </w:hyperlink>
      <w:r>
        <w:t xml:space="preserve">, f. 3; </w:t>
      </w:r>
      <w:hyperlink w:anchor="AUTO_2015_201" w:history="1">
        <w:r w:rsidRPr="00981775">
          <w:rPr>
            <w:rStyle w:val="TextoNormalCaracter"/>
          </w:rPr>
          <w:t>201/2015</w:t>
        </w:r>
      </w:hyperlink>
      <w:r>
        <w:t>, f. 2.</w:t>
      </w:r>
    </w:p>
    <w:p w:rsidR="00981775" w:rsidRDefault="00981775" w:rsidP="00981775">
      <w:pPr>
        <w:pStyle w:val="SangriaFrancesaArticulo"/>
      </w:pPr>
      <w:r w:rsidRPr="00981775">
        <w:rPr>
          <w:rStyle w:val="TextoNormalNegritaCaracter"/>
        </w:rPr>
        <w:t>Artículo 6.4.</w:t>
      </w:r>
      <w:r w:rsidRPr="00981775">
        <w:rPr>
          <w:rStyle w:val="TextoNormalCaracter"/>
        </w:rPr>
        <w:t>-</w:t>
      </w:r>
      <w:r>
        <w:t xml:space="preserve"> Sentencia </w:t>
      </w:r>
      <w:hyperlink w:anchor="SENTENCIA_2015_218" w:history="1">
        <w:r w:rsidRPr="00981775">
          <w:rPr>
            <w:rStyle w:val="TextoNormalCaracter"/>
          </w:rPr>
          <w:t>218/2015</w:t>
        </w:r>
      </w:hyperlink>
      <w:r>
        <w:t>, f. 5.</w:t>
      </w:r>
    </w:p>
    <w:p w:rsidR="00981775" w:rsidRDefault="00981775" w:rsidP="00981775">
      <w:pPr>
        <w:pStyle w:val="SangriaFrancesaArticulo"/>
      </w:pPr>
      <w:r w:rsidRPr="00981775">
        <w:rPr>
          <w:rStyle w:val="TextoNormalNegritaCaracter"/>
        </w:rPr>
        <w:t>Artículo 6.5.</w:t>
      </w:r>
      <w:r w:rsidRPr="00981775">
        <w:rPr>
          <w:rStyle w:val="TextoNormalCaracter"/>
        </w:rPr>
        <w:t>-</w:t>
      </w:r>
      <w:r>
        <w:t xml:space="preserve"> Sentencia </w:t>
      </w:r>
      <w:hyperlink w:anchor="SENTENCIA_2015_218" w:history="1">
        <w:r w:rsidRPr="00981775">
          <w:rPr>
            <w:rStyle w:val="TextoNormalCaracter"/>
          </w:rPr>
          <w:t>218/2015</w:t>
        </w:r>
      </w:hyperlink>
      <w:r>
        <w:t>, f. 5.</w:t>
      </w:r>
    </w:p>
    <w:p w:rsidR="00981775" w:rsidRDefault="00981775" w:rsidP="00981775">
      <w:pPr>
        <w:pStyle w:val="SangriaFrancesaArticulo"/>
      </w:pPr>
      <w:r w:rsidRPr="00981775">
        <w:rPr>
          <w:rStyle w:val="TextoNormalNegritaCaracter"/>
        </w:rPr>
        <w:t>Artículo 7.</w:t>
      </w:r>
      <w:r w:rsidRPr="00981775">
        <w:rPr>
          <w:rStyle w:val="TextoNormalCaracter"/>
        </w:rPr>
        <w:t>-</w:t>
      </w:r>
      <w:r>
        <w:t xml:space="preserve"> Sentencia </w:t>
      </w:r>
      <w:hyperlink w:anchor="SENTENCIA_2015_218" w:history="1">
        <w:r w:rsidRPr="00981775">
          <w:rPr>
            <w:rStyle w:val="TextoNormalCaracter"/>
          </w:rPr>
          <w:t>218/2015</w:t>
        </w:r>
      </w:hyperlink>
      <w:r>
        <w:t>, ff. 3, 5.</w:t>
      </w:r>
    </w:p>
    <w:p w:rsidR="00981775" w:rsidRDefault="00981775" w:rsidP="00981775">
      <w:pPr>
        <w:pStyle w:val="SangriaFrancesaArticulo"/>
      </w:pPr>
      <w:r w:rsidRPr="00981775">
        <w:rPr>
          <w:rStyle w:val="TextoNormalNegritaCaracter"/>
        </w:rPr>
        <w:t>Artículo 8.</w:t>
      </w:r>
      <w:r w:rsidRPr="00981775">
        <w:rPr>
          <w:rStyle w:val="TextoNormalCaracter"/>
        </w:rPr>
        <w:t>-</w:t>
      </w:r>
      <w:r>
        <w:t xml:space="preserve"> Sentencia </w:t>
      </w:r>
      <w:hyperlink w:anchor="SENTENCIA_2015_218" w:history="1">
        <w:r w:rsidRPr="00981775">
          <w:rPr>
            <w:rStyle w:val="TextoNormalCaracter"/>
          </w:rPr>
          <w:t>218/2015</w:t>
        </w:r>
      </w:hyperlink>
      <w:r>
        <w:t>, f. 5.</w:t>
      </w:r>
    </w:p>
    <w:p w:rsidR="00981775" w:rsidRDefault="00981775" w:rsidP="00981775">
      <w:pPr>
        <w:pStyle w:val="SangriaFrancesaArticulo"/>
      </w:pPr>
      <w:r w:rsidRPr="00981775">
        <w:rPr>
          <w:rStyle w:val="TextoNormalNegritaCaracter"/>
        </w:rPr>
        <w:t>Artículo 8.3 b).</w:t>
      </w:r>
      <w:r w:rsidRPr="00981775">
        <w:rPr>
          <w:rStyle w:val="TextoNormalCaracter"/>
        </w:rPr>
        <w:t>-</w:t>
      </w:r>
      <w:r>
        <w:t xml:space="preserve"> Sentencia </w:t>
      </w:r>
      <w:hyperlink w:anchor="SENTENCIA_2015_218" w:history="1">
        <w:r w:rsidRPr="00981775">
          <w:rPr>
            <w:rStyle w:val="TextoNormalCaracter"/>
          </w:rPr>
          <w:t>218/2015</w:t>
        </w:r>
      </w:hyperlink>
      <w:r>
        <w:t>, f. 5.</w:t>
      </w:r>
    </w:p>
    <w:p w:rsidR="00981775" w:rsidRDefault="00981775" w:rsidP="00981775">
      <w:pPr>
        <w:pStyle w:val="SangriaFrancesaArticulo"/>
      </w:pPr>
      <w:r w:rsidRPr="00981775">
        <w:rPr>
          <w:rStyle w:val="TextoNormalNegritaCaracter"/>
        </w:rPr>
        <w:t>Artículo 8.3 c).</w:t>
      </w:r>
      <w:r w:rsidRPr="00981775">
        <w:rPr>
          <w:rStyle w:val="TextoNormalCaracter"/>
        </w:rPr>
        <w:t>-</w:t>
      </w:r>
      <w:r>
        <w:t xml:space="preserve"> Sentencia </w:t>
      </w:r>
      <w:hyperlink w:anchor="SENTENCIA_2015_218" w:history="1">
        <w:r w:rsidRPr="00981775">
          <w:rPr>
            <w:rStyle w:val="TextoNormalCaracter"/>
          </w:rPr>
          <w:t>218/2015</w:t>
        </w:r>
      </w:hyperlink>
      <w:r>
        <w:t>, ff. 5, 6, VP III.</w:t>
      </w:r>
    </w:p>
    <w:p w:rsidR="00981775" w:rsidRDefault="00981775" w:rsidP="00981775">
      <w:pPr>
        <w:pStyle w:val="SangriaFrancesaArticulo"/>
      </w:pPr>
      <w:r w:rsidRPr="00981775">
        <w:rPr>
          <w:rStyle w:val="TextoNormalNegritaCaracter"/>
        </w:rPr>
        <w:t>Artículo 12.</w:t>
      </w:r>
      <w:r w:rsidRPr="00981775">
        <w:rPr>
          <w:rStyle w:val="TextoNormalCaracter"/>
        </w:rPr>
        <w:t>-</w:t>
      </w:r>
      <w:r>
        <w:t xml:space="preserve"> Sentencias </w:t>
      </w:r>
      <w:hyperlink w:anchor="SENTENCIA_2015_218" w:history="1">
        <w:r w:rsidRPr="00981775">
          <w:rPr>
            <w:rStyle w:val="TextoNormalCaracter"/>
          </w:rPr>
          <w:t>218/2015</w:t>
        </w:r>
      </w:hyperlink>
      <w:r>
        <w:t xml:space="preserve">, ff. 1 a 3, VP I; </w:t>
      </w:r>
      <w:hyperlink w:anchor="SENTENCIA_2015_244" w:history="1">
        <w:r w:rsidRPr="00981775">
          <w:rPr>
            <w:rStyle w:val="TextoNormalCaracter"/>
          </w:rPr>
          <w:t>244/2015</w:t>
        </w:r>
      </w:hyperlink>
      <w:r>
        <w:t>, ff. 1 a 4, 6.</w:t>
      </w:r>
    </w:p>
    <w:p w:rsidR="00981775" w:rsidRDefault="00981775" w:rsidP="00981775">
      <w:pPr>
        <w:pStyle w:val="SangriaFrancesaArticulo"/>
      </w:pPr>
      <w:r w:rsidRPr="00981775">
        <w:rPr>
          <w:rStyle w:val="TextoNormalNegritaCaracter"/>
        </w:rPr>
        <w:t>Artículo 12.2 b).</w:t>
      </w:r>
      <w:r w:rsidRPr="00981775">
        <w:rPr>
          <w:rStyle w:val="TextoNormalCaracter"/>
        </w:rPr>
        <w:t>-</w:t>
      </w:r>
      <w:r>
        <w:t xml:space="preserve"> Sentencia </w:t>
      </w:r>
      <w:hyperlink w:anchor="SENTENCIA_2015_218" w:history="1">
        <w:r w:rsidRPr="00981775">
          <w:rPr>
            <w:rStyle w:val="TextoNormalCaracter"/>
          </w:rPr>
          <w:t>218/2015</w:t>
        </w:r>
      </w:hyperlink>
      <w:r>
        <w:t>, f. 2.</w:t>
      </w:r>
    </w:p>
    <w:p w:rsidR="00981775" w:rsidRDefault="00981775" w:rsidP="00981775">
      <w:pPr>
        <w:pStyle w:val="SangriaFrancesaArticulo"/>
      </w:pPr>
      <w:r w:rsidRPr="00981775">
        <w:rPr>
          <w:rStyle w:val="TextoNormalNegritaCaracter"/>
        </w:rPr>
        <w:t>Artículo 14.</w:t>
      </w:r>
      <w:r w:rsidRPr="00981775">
        <w:rPr>
          <w:rStyle w:val="TextoNormalCaracter"/>
        </w:rPr>
        <w:t>-</w:t>
      </w:r>
      <w:r>
        <w:t xml:space="preserve"> Sentencia </w:t>
      </w:r>
      <w:hyperlink w:anchor="SENTENCIA_2015_218" w:history="1">
        <w:r w:rsidRPr="00981775">
          <w:rPr>
            <w:rStyle w:val="TextoNormalCaracter"/>
          </w:rPr>
          <w:t>218/2015</w:t>
        </w:r>
      </w:hyperlink>
      <w:r>
        <w:t>, f. 2.</w:t>
      </w:r>
    </w:p>
    <w:p w:rsidR="00981775" w:rsidRDefault="00981775" w:rsidP="00981775">
      <w:pPr>
        <w:pStyle w:val="SangriaFrancesaArticulo"/>
      </w:pPr>
      <w:r w:rsidRPr="00981775">
        <w:rPr>
          <w:rStyle w:val="TextoNormalNegritaCaracter"/>
        </w:rPr>
        <w:t>Artículo 14.1.</w:t>
      </w:r>
      <w:r w:rsidRPr="00981775">
        <w:rPr>
          <w:rStyle w:val="TextoNormalCaracter"/>
        </w:rPr>
        <w:t>-</w:t>
      </w:r>
      <w:r>
        <w:t xml:space="preserve"> Sentencia </w:t>
      </w:r>
      <w:hyperlink w:anchor="SENTENCIA_2015_218" w:history="1">
        <w:r w:rsidRPr="00981775">
          <w:rPr>
            <w:rStyle w:val="TextoNormalCaracter"/>
          </w:rPr>
          <w:t>218/2015</w:t>
        </w:r>
      </w:hyperlink>
      <w:r>
        <w:t>, f. 5.</w:t>
      </w:r>
    </w:p>
    <w:p w:rsidR="00981775" w:rsidRDefault="00981775" w:rsidP="00981775">
      <w:pPr>
        <w:pStyle w:val="SangriaFrancesaArticulo"/>
      </w:pPr>
      <w:r w:rsidRPr="00981775">
        <w:rPr>
          <w:rStyle w:val="TextoNormalNegritaCaracter"/>
        </w:rPr>
        <w:t>Artículo 14.1 a).1.</w:t>
      </w:r>
      <w:r w:rsidRPr="00981775">
        <w:rPr>
          <w:rStyle w:val="TextoNormalCaracter"/>
        </w:rPr>
        <w:t>-</w:t>
      </w:r>
      <w:r>
        <w:t xml:space="preserve"> Sentencia </w:t>
      </w:r>
      <w:hyperlink w:anchor="SENTENCIA_2015_218" w:history="1">
        <w:r w:rsidRPr="00981775">
          <w:rPr>
            <w:rStyle w:val="TextoNormalCaracter"/>
          </w:rPr>
          <w:t>218/2015</w:t>
        </w:r>
      </w:hyperlink>
      <w:r>
        <w:t>, f. 2.</w:t>
      </w:r>
    </w:p>
    <w:p w:rsidR="00981775" w:rsidRDefault="00981775" w:rsidP="00981775">
      <w:pPr>
        <w:pStyle w:val="SangriaFrancesaArticulo"/>
      </w:pPr>
      <w:r w:rsidRPr="00981775">
        <w:rPr>
          <w:rStyle w:val="TextoNormalNegritaCaracter"/>
        </w:rPr>
        <w:t>Artículo 16.</w:t>
      </w:r>
      <w:r w:rsidRPr="00981775">
        <w:rPr>
          <w:rStyle w:val="TextoNormalCaracter"/>
        </w:rPr>
        <w:t>-</w:t>
      </w:r>
      <w:r>
        <w:t xml:space="preserve"> Autos </w:t>
      </w:r>
      <w:hyperlink w:anchor="AUTO_2015_184" w:history="1">
        <w:r w:rsidRPr="00981775">
          <w:rPr>
            <w:rStyle w:val="TextoNormalCaracter"/>
          </w:rPr>
          <w:t>184/2015</w:t>
        </w:r>
      </w:hyperlink>
      <w:r>
        <w:t xml:space="preserve">, f. 3; </w:t>
      </w:r>
      <w:hyperlink w:anchor="AUTO_2015_193" w:history="1">
        <w:r w:rsidRPr="00981775">
          <w:rPr>
            <w:rStyle w:val="TextoNormalCaracter"/>
          </w:rPr>
          <w:t>193/2015</w:t>
        </w:r>
      </w:hyperlink>
      <w:r>
        <w:t xml:space="preserve">, f. 3; </w:t>
      </w:r>
      <w:hyperlink w:anchor="AUTO_2015_194" w:history="1">
        <w:r w:rsidRPr="00981775">
          <w:rPr>
            <w:rStyle w:val="TextoNormalCaracter"/>
          </w:rPr>
          <w:t>194/2015</w:t>
        </w:r>
      </w:hyperlink>
      <w:r>
        <w:t>, f. 3.</w:t>
      </w:r>
    </w:p>
    <w:p w:rsidR="00981775" w:rsidRDefault="00981775" w:rsidP="00981775">
      <w:pPr>
        <w:pStyle w:val="SangriaFrancesaArticulo"/>
      </w:pPr>
      <w:r w:rsidRPr="00981775">
        <w:rPr>
          <w:rStyle w:val="TextoNormalNegritaCaracter"/>
        </w:rPr>
        <w:t>Artículo 23.</w:t>
      </w:r>
      <w:r w:rsidRPr="00981775">
        <w:rPr>
          <w:rStyle w:val="TextoNormalCaracter"/>
        </w:rPr>
        <w:t>-</w:t>
      </w:r>
      <w:r>
        <w:t xml:space="preserve"> Sentencias </w:t>
      </w:r>
      <w:hyperlink w:anchor="SENTENCIA_2015_218" w:history="1">
        <w:r w:rsidRPr="00981775">
          <w:rPr>
            <w:rStyle w:val="TextoNormalCaracter"/>
          </w:rPr>
          <w:t>218/2015</w:t>
        </w:r>
      </w:hyperlink>
      <w:r>
        <w:t xml:space="preserve">, ff. 1 a 5, VP II; </w:t>
      </w:r>
      <w:hyperlink w:anchor="SENTENCIA_2015_244" w:history="1">
        <w:r w:rsidRPr="00981775">
          <w:rPr>
            <w:rStyle w:val="TextoNormalCaracter"/>
          </w:rPr>
          <w:t>244/2015</w:t>
        </w:r>
      </w:hyperlink>
      <w:r>
        <w:t>, ff. 3, 5.</w:t>
      </w:r>
    </w:p>
    <w:p w:rsidR="00981775" w:rsidRDefault="00981775" w:rsidP="00981775">
      <w:pPr>
        <w:pStyle w:val="SangriaFrancesaArticulo"/>
      </w:pPr>
      <w:r w:rsidRPr="00981775">
        <w:rPr>
          <w:rStyle w:val="TextoNormalNegritaCaracter"/>
        </w:rPr>
        <w:t>Artículo 23.1.</w:t>
      </w:r>
      <w:r w:rsidRPr="00981775">
        <w:rPr>
          <w:rStyle w:val="TextoNormalCaracter"/>
        </w:rPr>
        <w:t>-</w:t>
      </w:r>
      <w:r>
        <w:t xml:space="preserve"> Sentencia </w:t>
      </w:r>
      <w:hyperlink w:anchor="SENTENCIA_2015_218" w:history="1">
        <w:r w:rsidRPr="00981775">
          <w:rPr>
            <w:rStyle w:val="TextoNormalCaracter"/>
          </w:rPr>
          <w:t>218/2015</w:t>
        </w:r>
      </w:hyperlink>
      <w:r>
        <w:t>, ff. 2, 5, VP II.</w:t>
      </w:r>
    </w:p>
    <w:p w:rsidR="00981775" w:rsidRDefault="00981775" w:rsidP="00981775">
      <w:pPr>
        <w:pStyle w:val="SangriaFrancesaArticulo"/>
      </w:pPr>
      <w:r w:rsidRPr="00981775">
        <w:rPr>
          <w:rStyle w:val="TextoNormalNegritaCaracter"/>
        </w:rPr>
        <w:t>Artículo 23.1 a).</w:t>
      </w:r>
      <w:r w:rsidRPr="00981775">
        <w:rPr>
          <w:rStyle w:val="TextoNormalCaracter"/>
        </w:rPr>
        <w:t>-</w:t>
      </w:r>
      <w:r>
        <w:t xml:space="preserve"> Sentencias </w:t>
      </w:r>
      <w:hyperlink w:anchor="SENTENCIA_2015_218" w:history="1">
        <w:r w:rsidRPr="00981775">
          <w:rPr>
            <w:rStyle w:val="TextoNormalCaracter"/>
          </w:rPr>
          <w:t>218/2015</w:t>
        </w:r>
      </w:hyperlink>
      <w:r>
        <w:t xml:space="preserve">, ff. 1, 2, 4, 5, VP I, VP II,; </w:t>
      </w:r>
      <w:hyperlink w:anchor="SENTENCIA_2015_244" w:history="1">
        <w:r w:rsidRPr="00981775">
          <w:rPr>
            <w:rStyle w:val="TextoNormalCaracter"/>
          </w:rPr>
          <w:t>244/2015</w:t>
        </w:r>
      </w:hyperlink>
      <w:r>
        <w:t>, ff. 1, 2, 4 a 6.</w:t>
      </w:r>
    </w:p>
    <w:p w:rsidR="00981775" w:rsidRDefault="00981775" w:rsidP="00981775">
      <w:pPr>
        <w:pStyle w:val="SangriaIzquierdaArticulo"/>
      </w:pPr>
      <w:r>
        <w:t xml:space="preserve">Auto </w:t>
      </w:r>
      <w:hyperlink w:anchor="AUTO_2015_201" w:history="1">
        <w:r w:rsidRPr="00981775">
          <w:rPr>
            <w:rStyle w:val="TextoNormalCaracter"/>
          </w:rPr>
          <w:t>201/2015</w:t>
        </w:r>
      </w:hyperlink>
      <w:r>
        <w:t>, ff. 1, 2.</w:t>
      </w:r>
    </w:p>
    <w:p w:rsidR="00981775" w:rsidRDefault="00981775" w:rsidP="00981775">
      <w:pPr>
        <w:pStyle w:val="SangriaFrancesaArticulo"/>
      </w:pPr>
      <w:r w:rsidRPr="00981775">
        <w:rPr>
          <w:rStyle w:val="TextoNormalNegritaCaracter"/>
        </w:rPr>
        <w:t>Artículo 23.1 a) párrafo 3.</w:t>
      </w:r>
      <w:r w:rsidRPr="00981775">
        <w:rPr>
          <w:rStyle w:val="TextoNormalCaracter"/>
        </w:rPr>
        <w:t>-</w:t>
      </w:r>
      <w:r>
        <w:t xml:space="preserve"> Auto </w:t>
      </w:r>
      <w:hyperlink w:anchor="AUTO_2015_201" w:history="1">
        <w:r w:rsidRPr="00981775">
          <w:rPr>
            <w:rStyle w:val="TextoNormalCaracter"/>
          </w:rPr>
          <w:t>201/2015</w:t>
        </w:r>
      </w:hyperlink>
      <w:r>
        <w:t>, f. 2.</w:t>
      </w:r>
    </w:p>
    <w:p w:rsidR="00981775" w:rsidRDefault="00981775" w:rsidP="00981775">
      <w:pPr>
        <w:pStyle w:val="SangriaFrancesaArticulo"/>
      </w:pPr>
      <w:r w:rsidRPr="00981775">
        <w:rPr>
          <w:rStyle w:val="TextoNormalNegritaCaracter"/>
        </w:rPr>
        <w:t>Artículo 23.2.</w:t>
      </w:r>
      <w:r w:rsidRPr="00981775">
        <w:rPr>
          <w:rStyle w:val="TextoNormalCaracter"/>
        </w:rPr>
        <w:t>-</w:t>
      </w:r>
      <w:r>
        <w:t xml:space="preserve"> Sentencias </w:t>
      </w:r>
      <w:hyperlink w:anchor="SENTENCIA_2015_218" w:history="1">
        <w:r w:rsidRPr="00981775">
          <w:rPr>
            <w:rStyle w:val="TextoNormalCaracter"/>
          </w:rPr>
          <w:t>218/2015</w:t>
        </w:r>
      </w:hyperlink>
      <w:r>
        <w:t xml:space="preserve">, ff. 1 a 3, VP I, VP II; </w:t>
      </w:r>
      <w:hyperlink w:anchor="SENTENCIA_2015_244" w:history="1">
        <w:r w:rsidRPr="00981775">
          <w:rPr>
            <w:rStyle w:val="TextoNormalCaracter"/>
          </w:rPr>
          <w:t>244/2015</w:t>
        </w:r>
      </w:hyperlink>
      <w:r>
        <w:t>, ff. 1, 2, 4, 6.</w:t>
      </w:r>
    </w:p>
    <w:p w:rsidR="00981775" w:rsidRDefault="00981775" w:rsidP="00981775">
      <w:pPr>
        <w:pStyle w:val="SangriaIzquierdaArticulo"/>
      </w:pPr>
      <w:r>
        <w:t xml:space="preserve">Auto </w:t>
      </w:r>
      <w:hyperlink w:anchor="AUTO_2015_201" w:history="1">
        <w:r w:rsidRPr="00981775">
          <w:rPr>
            <w:rStyle w:val="TextoNormalCaracter"/>
          </w:rPr>
          <w:t>201/2015</w:t>
        </w:r>
      </w:hyperlink>
      <w:r>
        <w:t>, ff. 1, 2.</w:t>
      </w:r>
    </w:p>
    <w:p w:rsidR="00981775" w:rsidRDefault="00981775" w:rsidP="00981775">
      <w:pPr>
        <w:pStyle w:val="SangriaFrancesaArticulo"/>
      </w:pPr>
      <w:r w:rsidRPr="00981775">
        <w:rPr>
          <w:rStyle w:val="TextoNormalNegritaCaracter"/>
        </w:rPr>
        <w:t>Artículo 25.</w:t>
      </w:r>
      <w:r w:rsidRPr="00981775">
        <w:rPr>
          <w:rStyle w:val="TextoNormalCaracter"/>
        </w:rPr>
        <w:t>-</w:t>
      </w:r>
      <w:r>
        <w:t xml:space="preserve"> Sentencias </w:t>
      </w:r>
      <w:hyperlink w:anchor="SENTENCIA_2015_218" w:history="1">
        <w:r w:rsidRPr="00981775">
          <w:rPr>
            <w:rStyle w:val="TextoNormalCaracter"/>
          </w:rPr>
          <w:t>218/2015</w:t>
        </w:r>
      </w:hyperlink>
      <w:r>
        <w:t xml:space="preserve">, ff. 1, 2, 5, VP I; </w:t>
      </w:r>
      <w:hyperlink w:anchor="SENTENCIA_2015_244" w:history="1">
        <w:r w:rsidRPr="00981775">
          <w:rPr>
            <w:rStyle w:val="TextoNormalCaracter"/>
          </w:rPr>
          <w:t>244/2015</w:t>
        </w:r>
      </w:hyperlink>
      <w:r>
        <w:t>, ff. 1 a 3.</w:t>
      </w:r>
    </w:p>
    <w:p w:rsidR="00981775" w:rsidRDefault="00981775" w:rsidP="00981775">
      <w:pPr>
        <w:pStyle w:val="SangriaFrancesaArticulo"/>
      </w:pPr>
      <w:r w:rsidRPr="00981775">
        <w:rPr>
          <w:rStyle w:val="TextoNormalNegritaCaracter"/>
        </w:rPr>
        <w:t>Artículo 25.1.</w:t>
      </w:r>
      <w:r w:rsidRPr="00981775">
        <w:rPr>
          <w:rStyle w:val="TextoNormalCaracter"/>
        </w:rPr>
        <w:t>-</w:t>
      </w:r>
      <w:r>
        <w:t xml:space="preserve"> Sentencias </w:t>
      </w:r>
      <w:hyperlink w:anchor="SENTENCIA_2015_218" w:history="1">
        <w:r w:rsidRPr="00981775">
          <w:rPr>
            <w:rStyle w:val="TextoNormalCaracter"/>
          </w:rPr>
          <w:t>218/2015</w:t>
        </w:r>
      </w:hyperlink>
      <w:r>
        <w:t xml:space="preserve">, ff. 1 a 3, 5, 6; </w:t>
      </w:r>
      <w:hyperlink w:anchor="SENTENCIA_2015_244" w:history="1">
        <w:r w:rsidRPr="00981775">
          <w:rPr>
            <w:rStyle w:val="TextoNormalCaracter"/>
          </w:rPr>
          <w:t>244/2015</w:t>
        </w:r>
      </w:hyperlink>
      <w:r>
        <w:t>, ff. 4, 6.</w:t>
      </w:r>
    </w:p>
    <w:p w:rsidR="00981775" w:rsidRDefault="00981775" w:rsidP="00981775">
      <w:pPr>
        <w:pStyle w:val="SangriaFrancesaArticulo"/>
      </w:pPr>
      <w:r w:rsidRPr="00981775">
        <w:rPr>
          <w:rStyle w:val="TextoNormalNegritaCaracter"/>
        </w:rPr>
        <w:t>Artículo 25.2.</w:t>
      </w:r>
      <w:r w:rsidRPr="00981775">
        <w:rPr>
          <w:rStyle w:val="TextoNormalCaracter"/>
        </w:rPr>
        <w:t>-</w:t>
      </w:r>
      <w:r>
        <w:t xml:space="preserve"> Sentencia </w:t>
      </w:r>
      <w:hyperlink w:anchor="SENTENCIA_2015_218" w:history="1">
        <w:r w:rsidRPr="00981775">
          <w:rPr>
            <w:rStyle w:val="TextoNormalCaracter"/>
          </w:rPr>
          <w:t>218/2015</w:t>
        </w:r>
      </w:hyperlink>
      <w:r>
        <w:t>, ff. 2, 5, VP III.</w:t>
      </w:r>
    </w:p>
    <w:p w:rsidR="00981775" w:rsidRDefault="00981775" w:rsidP="00981775">
      <w:pPr>
        <w:pStyle w:val="SangriaFrancesaArticulo"/>
      </w:pPr>
      <w:r w:rsidRPr="00981775">
        <w:rPr>
          <w:rStyle w:val="TextoNormalNegritaCaracter"/>
        </w:rPr>
        <w:t>Artículo 25.2 a).</w:t>
      </w:r>
      <w:r w:rsidRPr="00981775">
        <w:rPr>
          <w:rStyle w:val="TextoNormalCaracter"/>
        </w:rPr>
        <w:t>-</w:t>
      </w:r>
      <w:r>
        <w:t xml:space="preserve"> Sentencias </w:t>
      </w:r>
      <w:hyperlink w:anchor="SENTENCIA_2015_218" w:history="1">
        <w:r w:rsidRPr="00981775">
          <w:rPr>
            <w:rStyle w:val="TextoNormalCaracter"/>
          </w:rPr>
          <w:t>218/2015</w:t>
        </w:r>
      </w:hyperlink>
      <w:r>
        <w:t xml:space="preserve">, ff. 2, 5, 6, VP I, VP III, VP IV; </w:t>
      </w:r>
      <w:hyperlink w:anchor="SENTENCIA_2015_244" w:history="1">
        <w:r w:rsidRPr="00981775">
          <w:rPr>
            <w:rStyle w:val="TextoNormalCaracter"/>
          </w:rPr>
          <w:t>244/2015</w:t>
        </w:r>
      </w:hyperlink>
      <w:r>
        <w:t>, ff. 3, 4.</w:t>
      </w:r>
    </w:p>
    <w:p w:rsidR="00981775" w:rsidRDefault="00981775" w:rsidP="00981775">
      <w:pPr>
        <w:pStyle w:val="SangriaFrancesaArticulo"/>
      </w:pPr>
      <w:r w:rsidRPr="00981775">
        <w:rPr>
          <w:rStyle w:val="TextoNormalNegritaCaracter"/>
        </w:rPr>
        <w:t>Artículo 25.2 b).</w:t>
      </w:r>
      <w:r w:rsidRPr="00981775">
        <w:rPr>
          <w:rStyle w:val="TextoNormalCaracter"/>
        </w:rPr>
        <w:t>-</w:t>
      </w:r>
      <w:r>
        <w:t xml:space="preserve"> Sentencias </w:t>
      </w:r>
      <w:hyperlink w:anchor="SENTENCIA_2015_218" w:history="1">
        <w:r w:rsidRPr="00981775">
          <w:rPr>
            <w:rStyle w:val="TextoNormalCaracter"/>
          </w:rPr>
          <w:t>218/2015</w:t>
        </w:r>
      </w:hyperlink>
      <w:r>
        <w:t xml:space="preserve">, f. 2; </w:t>
      </w:r>
      <w:hyperlink w:anchor="SENTENCIA_2015_244" w:history="1">
        <w:r w:rsidRPr="00981775">
          <w:rPr>
            <w:rStyle w:val="TextoNormalCaracter"/>
          </w:rPr>
          <w:t>244/2015</w:t>
        </w:r>
      </w:hyperlink>
      <w:r>
        <w:t>, ff. 3, 4.</w:t>
      </w:r>
    </w:p>
    <w:p w:rsidR="00981775" w:rsidRDefault="00981775" w:rsidP="00981775">
      <w:pPr>
        <w:pStyle w:val="SangriaFrancesaArticulo"/>
      </w:pPr>
      <w:r w:rsidRPr="00981775">
        <w:rPr>
          <w:rStyle w:val="TextoNormalNegritaCaracter"/>
        </w:rPr>
        <w:t>Artículo 26.</w:t>
      </w:r>
      <w:r w:rsidRPr="00981775">
        <w:rPr>
          <w:rStyle w:val="TextoNormalCaracter"/>
        </w:rPr>
        <w:t>-</w:t>
      </w:r>
      <w:r>
        <w:t xml:space="preserve"> Sentencia </w:t>
      </w:r>
      <w:hyperlink w:anchor="SENTENCIA_2015_218" w:history="1">
        <w:r w:rsidRPr="00981775">
          <w:rPr>
            <w:rStyle w:val="TextoNormalCaracter"/>
          </w:rPr>
          <w:t>218/2015</w:t>
        </w:r>
      </w:hyperlink>
      <w:r>
        <w:t>, f. 5.</w:t>
      </w:r>
    </w:p>
    <w:p w:rsidR="00981775" w:rsidRDefault="00981775" w:rsidP="00981775">
      <w:pPr>
        <w:pStyle w:val="SangriaFrancesaArticulo"/>
      </w:pPr>
      <w:r w:rsidRPr="00981775">
        <w:rPr>
          <w:rStyle w:val="TextoNormalNegritaCaracter"/>
        </w:rPr>
        <w:t>Artículo 26.2.</w:t>
      </w:r>
      <w:r w:rsidRPr="00981775">
        <w:rPr>
          <w:rStyle w:val="TextoNormalCaracter"/>
        </w:rPr>
        <w:t>-</w:t>
      </w:r>
      <w:r>
        <w:t xml:space="preserve"> Sentencia </w:t>
      </w:r>
      <w:hyperlink w:anchor="SENTENCIA_2015_218" w:history="1">
        <w:r w:rsidRPr="00981775">
          <w:rPr>
            <w:rStyle w:val="TextoNormalCaracter"/>
          </w:rPr>
          <w:t>218/2015</w:t>
        </w:r>
      </w:hyperlink>
      <w:r>
        <w:t>, f. 2, VP III.</w:t>
      </w:r>
    </w:p>
    <w:p w:rsidR="00981775" w:rsidRDefault="00981775" w:rsidP="00981775">
      <w:pPr>
        <w:pStyle w:val="SangriaFrancesaArticulo"/>
      </w:pPr>
      <w:r w:rsidRPr="00981775">
        <w:rPr>
          <w:rStyle w:val="TextoNormalNegritaCaracter"/>
        </w:rPr>
        <w:t>Artículo 161.1 b).</w:t>
      </w:r>
      <w:r w:rsidRPr="00981775">
        <w:rPr>
          <w:rStyle w:val="TextoNormalCaracter"/>
        </w:rPr>
        <w:t>-</w:t>
      </w:r>
      <w:r>
        <w:t xml:space="preserve"> Sentencia </w:t>
      </w:r>
      <w:hyperlink w:anchor="SENTENCIA_2015_218" w:history="1">
        <w:r w:rsidRPr="00981775">
          <w:rPr>
            <w:rStyle w:val="TextoNormalCaracter"/>
          </w:rPr>
          <w:t>218/2015</w:t>
        </w:r>
      </w:hyperlink>
      <w:r>
        <w:t>, f. 5.</w:t>
      </w:r>
    </w:p>
    <w:p w:rsidR="00981775" w:rsidRDefault="00981775" w:rsidP="00981775">
      <w:pPr>
        <w:pStyle w:val="SangriaFrancesaArticulo"/>
      </w:pPr>
    </w:p>
    <w:p w:rsidR="00981775" w:rsidRDefault="00981775" w:rsidP="00981775">
      <w:pPr>
        <w:pStyle w:val="TextoNormalNegritaCursivandice"/>
      </w:pPr>
      <w:r>
        <w:t>Real Decreto Legislativo 2/2011, de 5 de septiembre. Texto refundido de la Ley de Puertos del Estado y de la marina mercante</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3" w:history="1">
        <w:r w:rsidRPr="00981775">
          <w:rPr>
            <w:rStyle w:val="TextoNormalCaracter"/>
          </w:rPr>
          <w:t>233/2015</w:t>
        </w:r>
      </w:hyperlink>
      <w:r>
        <w:t>, f. 10.</w:t>
      </w:r>
    </w:p>
    <w:p w:rsidR="00981775" w:rsidRDefault="00981775" w:rsidP="00981775">
      <w:pPr>
        <w:pStyle w:val="SangriaFrancesaArticulo"/>
      </w:pPr>
    </w:p>
    <w:p w:rsidR="00981775" w:rsidRDefault="00981775" w:rsidP="00981775">
      <w:pPr>
        <w:pStyle w:val="TextoNormalNegritaCursivandice"/>
      </w:pPr>
      <w:r>
        <w:t>Real Decreto Legislativo 3/2011, de 14 de noviembre. Aprueba el texto refundido de la Ley de contratos del sector público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7" w:history="1">
        <w:r w:rsidRPr="00981775">
          <w:rPr>
            <w:rStyle w:val="TextoNormalCaracter"/>
          </w:rPr>
          <w:t>237/2015</w:t>
        </w:r>
      </w:hyperlink>
      <w:r>
        <w:t>, f. 1.</w:t>
      </w:r>
    </w:p>
    <w:p w:rsidR="00981775" w:rsidRDefault="00981775" w:rsidP="00981775">
      <w:pPr>
        <w:pStyle w:val="SangriaFrancesaArticulo"/>
      </w:pPr>
      <w:r w:rsidRPr="00981775">
        <w:rPr>
          <w:rStyle w:val="TextoNormalNegritaCaracter"/>
        </w:rPr>
        <w:t>Artículo 1.</w:t>
      </w:r>
      <w:r w:rsidRPr="00981775">
        <w:rPr>
          <w:rStyle w:val="TextoNormalCaracter"/>
        </w:rPr>
        <w:t>-</w:t>
      </w:r>
      <w:r>
        <w:t xml:space="preserve"> Sentencia </w:t>
      </w:r>
      <w:hyperlink w:anchor="SENTENCIA_2015_237" w:history="1">
        <w:r w:rsidRPr="00981775">
          <w:rPr>
            <w:rStyle w:val="TextoNormalCaracter"/>
          </w:rPr>
          <w:t>237/2015</w:t>
        </w:r>
      </w:hyperlink>
      <w:r>
        <w:t>, f. 2.</w:t>
      </w:r>
    </w:p>
    <w:p w:rsidR="00981775" w:rsidRDefault="00981775" w:rsidP="00981775">
      <w:pPr>
        <w:pStyle w:val="SangriaFrancesaArticulo"/>
      </w:pPr>
      <w:r w:rsidRPr="00981775">
        <w:rPr>
          <w:rStyle w:val="TextoNormalNegritaCaracter"/>
        </w:rPr>
        <w:t>Artículo 13.1.</w:t>
      </w:r>
      <w:r w:rsidRPr="00981775">
        <w:rPr>
          <w:rStyle w:val="TextoNormalCaracter"/>
        </w:rPr>
        <w:t>-</w:t>
      </w:r>
      <w:r>
        <w:t xml:space="preserve"> Sentencia </w:t>
      </w:r>
      <w:hyperlink w:anchor="SENTENCIA_2015_237" w:history="1">
        <w:r w:rsidRPr="00981775">
          <w:rPr>
            <w:rStyle w:val="TextoNormalCaracter"/>
          </w:rPr>
          <w:t>237/2015</w:t>
        </w:r>
      </w:hyperlink>
      <w:r>
        <w:t>, f. 9.</w:t>
      </w:r>
    </w:p>
    <w:p w:rsidR="00981775" w:rsidRDefault="00981775" w:rsidP="00981775">
      <w:pPr>
        <w:pStyle w:val="SangriaFrancesaArticulo"/>
      </w:pPr>
      <w:r w:rsidRPr="00981775">
        <w:rPr>
          <w:rStyle w:val="TextoNormalNegritaCaracter"/>
        </w:rPr>
        <w:t>Artículo 17.</w:t>
      </w:r>
      <w:r w:rsidRPr="00981775">
        <w:rPr>
          <w:rStyle w:val="TextoNormalCaracter"/>
        </w:rPr>
        <w:t>-</w:t>
      </w:r>
      <w:r>
        <w:t xml:space="preserve"> Sentencia </w:t>
      </w:r>
      <w:hyperlink w:anchor="SENTENCIA_2015_237" w:history="1">
        <w:r w:rsidRPr="00981775">
          <w:rPr>
            <w:rStyle w:val="TextoNormalCaracter"/>
          </w:rPr>
          <w:t>237/2015</w:t>
        </w:r>
      </w:hyperlink>
      <w:r>
        <w:t>, f. 9.</w:t>
      </w:r>
    </w:p>
    <w:p w:rsidR="00981775" w:rsidRDefault="00981775" w:rsidP="00981775">
      <w:pPr>
        <w:pStyle w:val="SangriaFrancesaArticulo"/>
      </w:pPr>
      <w:r w:rsidRPr="00981775">
        <w:rPr>
          <w:rStyle w:val="TextoNormalNegritaCaracter"/>
        </w:rPr>
        <w:t>Artículo 17.1 a).</w:t>
      </w:r>
      <w:r w:rsidRPr="00981775">
        <w:rPr>
          <w:rStyle w:val="TextoNormalCaracter"/>
        </w:rPr>
        <w:t>-</w:t>
      </w:r>
      <w:r>
        <w:t xml:space="preserve"> Sentencia </w:t>
      </w:r>
      <w:hyperlink w:anchor="SENTENCIA_2015_237" w:history="1">
        <w:r w:rsidRPr="00981775">
          <w:rPr>
            <w:rStyle w:val="TextoNormalCaracter"/>
          </w:rPr>
          <w:t>237/2015</w:t>
        </w:r>
      </w:hyperlink>
      <w:r>
        <w:t>, f. 9.</w:t>
      </w:r>
    </w:p>
    <w:p w:rsidR="00981775" w:rsidRDefault="00981775" w:rsidP="00981775">
      <w:pPr>
        <w:pStyle w:val="SangriaFrancesaArticulo"/>
      </w:pPr>
      <w:r w:rsidRPr="00981775">
        <w:rPr>
          <w:rStyle w:val="TextoNormalNegritaCaracter"/>
        </w:rPr>
        <w:t>Artículo 17.1 b).</w:t>
      </w:r>
      <w:r w:rsidRPr="00981775">
        <w:rPr>
          <w:rStyle w:val="TextoNormalCaracter"/>
        </w:rPr>
        <w:t>-</w:t>
      </w:r>
      <w:r>
        <w:t xml:space="preserve"> Sentencia </w:t>
      </w:r>
      <w:hyperlink w:anchor="SENTENCIA_2015_237" w:history="1">
        <w:r w:rsidRPr="00981775">
          <w:rPr>
            <w:rStyle w:val="TextoNormalCaracter"/>
          </w:rPr>
          <w:t>237/2015</w:t>
        </w:r>
      </w:hyperlink>
      <w:r>
        <w:t>, f. 9.</w:t>
      </w:r>
    </w:p>
    <w:p w:rsidR="00981775" w:rsidRDefault="00981775" w:rsidP="00981775">
      <w:pPr>
        <w:pStyle w:val="SangriaFrancesaArticulo"/>
      </w:pPr>
      <w:r w:rsidRPr="00981775">
        <w:rPr>
          <w:rStyle w:val="TextoNormalNegritaCaracter"/>
        </w:rPr>
        <w:t>Artículo 53.</w:t>
      </w:r>
      <w:r w:rsidRPr="00981775">
        <w:rPr>
          <w:rStyle w:val="TextoNormalCaracter"/>
        </w:rPr>
        <w:t>-</w:t>
      </w:r>
      <w:r>
        <w:t xml:space="preserve"> Sentencia </w:t>
      </w:r>
      <w:hyperlink w:anchor="SENTENCIA_2015_237" w:history="1">
        <w:r w:rsidRPr="00981775">
          <w:rPr>
            <w:rStyle w:val="TextoNormalCaracter"/>
          </w:rPr>
          <w:t>237/2015</w:t>
        </w:r>
      </w:hyperlink>
      <w:r>
        <w:t>, f. 8.</w:t>
      </w:r>
    </w:p>
    <w:p w:rsidR="00981775" w:rsidRDefault="00981775" w:rsidP="00981775">
      <w:pPr>
        <w:pStyle w:val="SangriaFrancesaArticulo"/>
      </w:pPr>
      <w:r w:rsidRPr="00981775">
        <w:rPr>
          <w:rStyle w:val="TextoNormalNegritaCaracter"/>
        </w:rPr>
        <w:t>Artículo 53.1.</w:t>
      </w:r>
      <w:r w:rsidRPr="00981775">
        <w:rPr>
          <w:rStyle w:val="TextoNormalCaracter"/>
        </w:rPr>
        <w:t>-</w:t>
      </w:r>
      <w:r>
        <w:t xml:space="preserve"> Sentencia </w:t>
      </w:r>
      <w:hyperlink w:anchor="SENTENCIA_2015_237" w:history="1">
        <w:r w:rsidRPr="00981775">
          <w:rPr>
            <w:rStyle w:val="TextoNormalCaracter"/>
          </w:rPr>
          <w:t>237/2015</w:t>
        </w:r>
      </w:hyperlink>
      <w:r>
        <w:t>, f. 8.</w:t>
      </w:r>
    </w:p>
    <w:p w:rsidR="00981775" w:rsidRDefault="00981775" w:rsidP="00981775">
      <w:pPr>
        <w:pStyle w:val="SangriaFrancesaArticulo"/>
      </w:pPr>
      <w:r w:rsidRPr="00981775">
        <w:rPr>
          <w:rStyle w:val="TextoNormalNegritaCaracter"/>
        </w:rPr>
        <w:t>Artículo 60.1 d).</w:t>
      </w:r>
      <w:r w:rsidRPr="00981775">
        <w:rPr>
          <w:rStyle w:val="TextoNormalCaracter"/>
        </w:rPr>
        <w:t>-</w:t>
      </w:r>
      <w:r>
        <w:t xml:space="preserve"> Sentencia </w:t>
      </w:r>
      <w:hyperlink w:anchor="SENTENCIA_2015_237" w:history="1">
        <w:r w:rsidRPr="00981775">
          <w:rPr>
            <w:rStyle w:val="TextoNormalCaracter"/>
          </w:rPr>
          <w:t>237/2015</w:t>
        </w:r>
      </w:hyperlink>
      <w:r>
        <w:t>, f. 6.</w:t>
      </w:r>
    </w:p>
    <w:p w:rsidR="00981775" w:rsidRDefault="00981775" w:rsidP="00981775">
      <w:pPr>
        <w:pStyle w:val="SangriaFrancesaArticulo"/>
      </w:pPr>
      <w:r w:rsidRPr="00981775">
        <w:rPr>
          <w:rStyle w:val="TextoNormalNegritaCaracter"/>
        </w:rPr>
        <w:t>Artículo 64.2.</w:t>
      </w:r>
      <w:r w:rsidRPr="00981775">
        <w:rPr>
          <w:rStyle w:val="TextoNormalCaracter"/>
        </w:rPr>
        <w:t>-</w:t>
      </w:r>
      <w:r>
        <w:t xml:space="preserve"> Sentencia </w:t>
      </w:r>
      <w:hyperlink w:anchor="SENTENCIA_2015_237" w:history="1">
        <w:r w:rsidRPr="00981775">
          <w:rPr>
            <w:rStyle w:val="TextoNormalCaracter"/>
          </w:rPr>
          <w:t>237/2015</w:t>
        </w:r>
      </w:hyperlink>
      <w:r>
        <w:t>, f. 6.</w:t>
      </w:r>
    </w:p>
    <w:p w:rsidR="00981775" w:rsidRDefault="00981775" w:rsidP="00981775">
      <w:pPr>
        <w:pStyle w:val="SangriaFrancesaArticulo"/>
      </w:pPr>
      <w:r w:rsidRPr="00981775">
        <w:rPr>
          <w:rStyle w:val="TextoNormalNegritaCaracter"/>
        </w:rPr>
        <w:t>Artículo 112.</w:t>
      </w:r>
      <w:r w:rsidRPr="00981775">
        <w:rPr>
          <w:rStyle w:val="TextoNormalCaracter"/>
        </w:rPr>
        <w:t>-</w:t>
      </w:r>
      <w:r>
        <w:t xml:space="preserve"> Sentencia </w:t>
      </w:r>
      <w:hyperlink w:anchor="SENTENCIA_2015_237" w:history="1">
        <w:r w:rsidRPr="00981775">
          <w:rPr>
            <w:rStyle w:val="TextoNormalCaracter"/>
          </w:rPr>
          <w:t>237/2015</w:t>
        </w:r>
      </w:hyperlink>
      <w:r>
        <w:t>, f. 9.</w:t>
      </w:r>
    </w:p>
    <w:p w:rsidR="00981775" w:rsidRDefault="00981775" w:rsidP="00981775">
      <w:pPr>
        <w:pStyle w:val="SangriaFrancesaArticulo"/>
      </w:pPr>
      <w:r w:rsidRPr="00981775">
        <w:rPr>
          <w:rStyle w:val="TextoNormalNegritaCaracter"/>
        </w:rPr>
        <w:t>Artículo 112.2 b).</w:t>
      </w:r>
      <w:r w:rsidRPr="00981775">
        <w:rPr>
          <w:rStyle w:val="TextoNormalCaracter"/>
        </w:rPr>
        <w:t>-</w:t>
      </w:r>
      <w:r>
        <w:t xml:space="preserve"> Sentencia </w:t>
      </w:r>
      <w:hyperlink w:anchor="SENTENCIA_2015_237" w:history="1">
        <w:r w:rsidRPr="00981775">
          <w:rPr>
            <w:rStyle w:val="TextoNormalCaracter"/>
          </w:rPr>
          <w:t>237/2015</w:t>
        </w:r>
      </w:hyperlink>
      <w:r>
        <w:t>, f. 9.</w:t>
      </w:r>
    </w:p>
    <w:p w:rsidR="00981775" w:rsidRDefault="00981775" w:rsidP="00981775">
      <w:pPr>
        <w:pStyle w:val="SangriaFrancesaArticulo"/>
      </w:pPr>
      <w:r w:rsidRPr="00981775">
        <w:rPr>
          <w:rStyle w:val="TextoNormalNegritaCaracter"/>
        </w:rPr>
        <w:t>Artículo 113.</w:t>
      </w:r>
      <w:r w:rsidRPr="00981775">
        <w:rPr>
          <w:rStyle w:val="TextoNormalCaracter"/>
        </w:rPr>
        <w:t>-</w:t>
      </w:r>
      <w:r>
        <w:t xml:space="preserve"> Sentencia </w:t>
      </w:r>
      <w:hyperlink w:anchor="SENTENCIA_2015_231" w:history="1">
        <w:r w:rsidRPr="00981775">
          <w:rPr>
            <w:rStyle w:val="TextoNormalCaracter"/>
          </w:rPr>
          <w:t>231/2015</w:t>
        </w:r>
      </w:hyperlink>
      <w:r>
        <w:t>, f. 5.</w:t>
      </w:r>
    </w:p>
    <w:p w:rsidR="00981775" w:rsidRDefault="00981775" w:rsidP="00981775">
      <w:pPr>
        <w:pStyle w:val="SangriaFrancesaArticulo"/>
      </w:pPr>
      <w:r w:rsidRPr="00981775">
        <w:rPr>
          <w:rStyle w:val="TextoNormalNegritaCaracter"/>
        </w:rPr>
        <w:t>Artículo 138.</w:t>
      </w:r>
      <w:r w:rsidRPr="00981775">
        <w:rPr>
          <w:rStyle w:val="TextoNormalCaracter"/>
        </w:rPr>
        <w:t>-</w:t>
      </w:r>
      <w:r>
        <w:t xml:space="preserve"> Sentencia </w:t>
      </w:r>
      <w:hyperlink w:anchor="SENTENCIA_2015_237" w:history="1">
        <w:r w:rsidRPr="00981775">
          <w:rPr>
            <w:rStyle w:val="TextoNormalCaracter"/>
          </w:rPr>
          <w:t>237/2015</w:t>
        </w:r>
      </w:hyperlink>
      <w:r>
        <w:t>, ff. 1, 3, 7.</w:t>
      </w:r>
    </w:p>
    <w:p w:rsidR="00981775" w:rsidRDefault="00981775" w:rsidP="00981775">
      <w:pPr>
        <w:pStyle w:val="SangriaFrancesaArticulo"/>
      </w:pPr>
      <w:r w:rsidRPr="00981775">
        <w:rPr>
          <w:rStyle w:val="TextoNormalNegritaCaracter"/>
        </w:rPr>
        <w:t>Artículo 141.</w:t>
      </w:r>
      <w:r w:rsidRPr="00981775">
        <w:rPr>
          <w:rStyle w:val="TextoNormalCaracter"/>
        </w:rPr>
        <w:t>-</w:t>
      </w:r>
      <w:r>
        <w:t xml:space="preserve"> Sentencia </w:t>
      </w:r>
      <w:hyperlink w:anchor="SENTENCIA_2015_237" w:history="1">
        <w:r w:rsidRPr="00981775">
          <w:rPr>
            <w:rStyle w:val="TextoNormalCaracter"/>
          </w:rPr>
          <w:t>237/2015</w:t>
        </w:r>
      </w:hyperlink>
      <w:r>
        <w:t>, f. 9.</w:t>
      </w:r>
    </w:p>
    <w:p w:rsidR="00981775" w:rsidRDefault="00981775" w:rsidP="00981775">
      <w:pPr>
        <w:pStyle w:val="SangriaFrancesaArticulo"/>
      </w:pPr>
      <w:r w:rsidRPr="00981775">
        <w:rPr>
          <w:rStyle w:val="TextoNormalNegritaCaracter"/>
        </w:rPr>
        <w:t>Artículo 142.</w:t>
      </w:r>
      <w:r w:rsidRPr="00981775">
        <w:rPr>
          <w:rStyle w:val="TextoNormalCaracter"/>
        </w:rPr>
        <w:t>-</w:t>
      </w:r>
      <w:r>
        <w:t xml:space="preserve"> Sentencia </w:t>
      </w:r>
      <w:hyperlink w:anchor="SENTENCIA_2015_237" w:history="1">
        <w:r w:rsidRPr="00981775">
          <w:rPr>
            <w:rStyle w:val="TextoNormalCaracter"/>
          </w:rPr>
          <w:t>237/2015</w:t>
        </w:r>
      </w:hyperlink>
      <w:r>
        <w:t>, f. 3.</w:t>
      </w:r>
    </w:p>
    <w:p w:rsidR="00981775" w:rsidRDefault="00981775" w:rsidP="00981775">
      <w:pPr>
        <w:pStyle w:val="SangriaFrancesaArticulo"/>
      </w:pPr>
      <w:r w:rsidRPr="00981775">
        <w:rPr>
          <w:rStyle w:val="TextoNormalNegritaCaracter"/>
        </w:rPr>
        <w:t>Artículo 142.1.</w:t>
      </w:r>
      <w:r w:rsidRPr="00981775">
        <w:rPr>
          <w:rStyle w:val="TextoNormalCaracter"/>
        </w:rPr>
        <w:t>-</w:t>
      </w:r>
      <w:r>
        <w:t xml:space="preserve"> Sentencia </w:t>
      </w:r>
      <w:hyperlink w:anchor="SENTENCIA_2015_237" w:history="1">
        <w:r w:rsidRPr="00981775">
          <w:rPr>
            <w:rStyle w:val="TextoNormalCaracter"/>
          </w:rPr>
          <w:t>237/2015</w:t>
        </w:r>
      </w:hyperlink>
      <w:r>
        <w:t>, ff. 1, 8.</w:t>
      </w:r>
    </w:p>
    <w:p w:rsidR="00981775" w:rsidRDefault="00981775" w:rsidP="00981775">
      <w:pPr>
        <w:pStyle w:val="SangriaFrancesaArticulo"/>
      </w:pPr>
      <w:r w:rsidRPr="00981775">
        <w:rPr>
          <w:rStyle w:val="TextoNormalNegritaCaracter"/>
        </w:rPr>
        <w:t>Artículo 146.</w:t>
      </w:r>
      <w:r w:rsidRPr="00981775">
        <w:rPr>
          <w:rStyle w:val="TextoNormalCaracter"/>
        </w:rPr>
        <w:t>-</w:t>
      </w:r>
      <w:r>
        <w:t xml:space="preserve"> Sentencia </w:t>
      </w:r>
      <w:hyperlink w:anchor="SENTENCIA_2015_237" w:history="1">
        <w:r w:rsidRPr="00981775">
          <w:rPr>
            <w:rStyle w:val="TextoNormalCaracter"/>
          </w:rPr>
          <w:t>237/2015</w:t>
        </w:r>
      </w:hyperlink>
      <w:r>
        <w:t>, ff. 1, 3.</w:t>
      </w:r>
    </w:p>
    <w:p w:rsidR="00981775" w:rsidRDefault="00981775" w:rsidP="00981775">
      <w:pPr>
        <w:pStyle w:val="SangriaFrancesaArticulo"/>
      </w:pPr>
      <w:r w:rsidRPr="00981775">
        <w:rPr>
          <w:rStyle w:val="TextoNormalNegritaCaracter"/>
        </w:rPr>
        <w:t>Artículo 146.1.</w:t>
      </w:r>
      <w:r w:rsidRPr="00981775">
        <w:rPr>
          <w:rStyle w:val="TextoNormalCaracter"/>
        </w:rPr>
        <w:t>-</w:t>
      </w:r>
      <w:r>
        <w:t xml:space="preserve"> Sentencia </w:t>
      </w:r>
      <w:hyperlink w:anchor="SENTENCIA_2015_237" w:history="1">
        <w:r w:rsidRPr="00981775">
          <w:rPr>
            <w:rStyle w:val="TextoNormalCaracter"/>
          </w:rPr>
          <w:t>237/2015</w:t>
        </w:r>
      </w:hyperlink>
      <w:r>
        <w:t>, ff. 3, 4.</w:t>
      </w:r>
    </w:p>
    <w:p w:rsidR="00981775" w:rsidRDefault="00981775" w:rsidP="00981775">
      <w:pPr>
        <w:pStyle w:val="SangriaFrancesaArticulo"/>
      </w:pPr>
      <w:r w:rsidRPr="00981775">
        <w:rPr>
          <w:rStyle w:val="TextoNormalNegritaCaracter"/>
        </w:rPr>
        <w:t>Artículo 146.4</w:t>
      </w:r>
      <w:r>
        <w:t xml:space="preserve"> (redactado por la Ley 14/2013, de 27 de septiembre)</w:t>
      </w:r>
      <w:r w:rsidRPr="00981775">
        <w:rPr>
          <w:rStyle w:val="TextoNormalNegritaCaracter"/>
        </w:rPr>
        <w:t>.</w:t>
      </w:r>
      <w:r w:rsidRPr="00981775">
        <w:rPr>
          <w:rStyle w:val="TextoNormalCaracter"/>
        </w:rPr>
        <w:t>-</w:t>
      </w:r>
      <w:r>
        <w:t xml:space="preserve"> Sentencia </w:t>
      </w:r>
      <w:hyperlink w:anchor="SENTENCIA_2015_237" w:history="1">
        <w:r w:rsidRPr="00981775">
          <w:rPr>
            <w:rStyle w:val="TextoNormalCaracter"/>
          </w:rPr>
          <w:t>237/2015</w:t>
        </w:r>
      </w:hyperlink>
      <w:r>
        <w:t>, ff. 3, 5.</w:t>
      </w:r>
    </w:p>
    <w:p w:rsidR="00981775" w:rsidRDefault="00981775" w:rsidP="00981775">
      <w:pPr>
        <w:pStyle w:val="SangriaFrancesaArticulo"/>
      </w:pPr>
      <w:r w:rsidRPr="00981775">
        <w:rPr>
          <w:rStyle w:val="TextoNormalNegritaCaracter"/>
        </w:rPr>
        <w:t xml:space="preserve">Artículo 146.4 </w:t>
      </w:r>
      <w:r w:rsidRPr="00981775">
        <w:rPr>
          <w:rStyle w:val="TextoNormalNegritaCursivaCaracter"/>
        </w:rPr>
        <w:t>in fine</w:t>
      </w:r>
      <w:r w:rsidRPr="00981775">
        <w:rPr>
          <w:rStyle w:val="TextoNormalNegritaCaracter"/>
        </w:rPr>
        <w:t>.</w:t>
      </w:r>
      <w:r w:rsidRPr="00981775">
        <w:rPr>
          <w:rStyle w:val="TextoNormalCaracter"/>
        </w:rPr>
        <w:t>-</w:t>
      </w:r>
      <w:r>
        <w:t xml:space="preserve"> Sentencia </w:t>
      </w:r>
      <w:hyperlink w:anchor="SENTENCIA_2015_237" w:history="1">
        <w:r w:rsidRPr="00981775">
          <w:rPr>
            <w:rStyle w:val="TextoNormalCaracter"/>
          </w:rPr>
          <w:t>237/2015</w:t>
        </w:r>
      </w:hyperlink>
      <w:r>
        <w:t>, f. 5.</w:t>
      </w:r>
    </w:p>
    <w:p w:rsidR="00981775" w:rsidRDefault="00981775" w:rsidP="00981775">
      <w:pPr>
        <w:pStyle w:val="SangriaFrancesaArticulo"/>
      </w:pPr>
      <w:r w:rsidRPr="00981775">
        <w:rPr>
          <w:rStyle w:val="TextoNormalNegritaCaracter"/>
        </w:rPr>
        <w:t>Artículo 146.4 inciso 1</w:t>
      </w:r>
      <w:r>
        <w:t xml:space="preserve"> (redactado por la Ley 14/2013, de 27 de septiembre)</w:t>
      </w:r>
      <w:r w:rsidRPr="00981775">
        <w:rPr>
          <w:rStyle w:val="TextoNormalNegritaCaracter"/>
        </w:rPr>
        <w:t>.</w:t>
      </w:r>
      <w:r w:rsidRPr="00981775">
        <w:rPr>
          <w:rStyle w:val="TextoNormalCaracter"/>
        </w:rPr>
        <w:t>-</w:t>
      </w:r>
      <w:r>
        <w:t xml:space="preserve"> Sentencia </w:t>
      </w:r>
      <w:hyperlink w:anchor="SENTENCIA_2015_237" w:history="1">
        <w:r w:rsidRPr="00981775">
          <w:rPr>
            <w:rStyle w:val="TextoNormalCaracter"/>
          </w:rPr>
          <w:t>237/2015</w:t>
        </w:r>
      </w:hyperlink>
      <w:r>
        <w:t>, f. 5.</w:t>
      </w:r>
    </w:p>
    <w:p w:rsidR="00981775" w:rsidRDefault="00981775" w:rsidP="00981775">
      <w:pPr>
        <w:pStyle w:val="SangriaFrancesaArticulo"/>
      </w:pPr>
      <w:r w:rsidRPr="00981775">
        <w:rPr>
          <w:rStyle w:val="TextoNormalNegritaCaracter"/>
        </w:rPr>
        <w:t>Artículo 146.5</w:t>
      </w:r>
      <w:r>
        <w:t xml:space="preserve"> (redactado por la Ley 14/2013, de 27 de septiembre)</w:t>
      </w:r>
      <w:r w:rsidRPr="00981775">
        <w:rPr>
          <w:rStyle w:val="TextoNormalNegritaCaracter"/>
        </w:rPr>
        <w:t>.</w:t>
      </w:r>
      <w:r w:rsidRPr="00981775">
        <w:rPr>
          <w:rStyle w:val="TextoNormalCaracter"/>
        </w:rPr>
        <w:t>-</w:t>
      </w:r>
      <w:r>
        <w:t xml:space="preserve"> Sentencia </w:t>
      </w:r>
      <w:hyperlink w:anchor="SENTENCIA_2015_237" w:history="1">
        <w:r w:rsidRPr="00981775">
          <w:rPr>
            <w:rStyle w:val="TextoNormalCaracter"/>
          </w:rPr>
          <w:t>237/2015</w:t>
        </w:r>
      </w:hyperlink>
      <w:r>
        <w:t>, f. 3.</w:t>
      </w:r>
    </w:p>
    <w:p w:rsidR="00981775" w:rsidRDefault="00981775" w:rsidP="00981775">
      <w:pPr>
        <w:pStyle w:val="SangriaFrancesaArticulo"/>
      </w:pPr>
      <w:r w:rsidRPr="00981775">
        <w:rPr>
          <w:rStyle w:val="TextoNormalNegritaCaracter"/>
        </w:rPr>
        <w:t>Artículo 151.</w:t>
      </w:r>
      <w:r w:rsidRPr="00981775">
        <w:rPr>
          <w:rStyle w:val="TextoNormalCaracter"/>
        </w:rPr>
        <w:t>-</w:t>
      </w:r>
      <w:r>
        <w:t xml:space="preserve"> Sentencia </w:t>
      </w:r>
      <w:hyperlink w:anchor="SENTENCIA_2015_237" w:history="1">
        <w:r w:rsidRPr="00981775">
          <w:rPr>
            <w:rStyle w:val="TextoNormalCaracter"/>
          </w:rPr>
          <w:t>237/2015</w:t>
        </w:r>
      </w:hyperlink>
      <w:r>
        <w:t>, f. 3.</w:t>
      </w:r>
    </w:p>
    <w:p w:rsidR="00981775" w:rsidRDefault="00981775" w:rsidP="00981775">
      <w:pPr>
        <w:pStyle w:val="SangriaFrancesaArticulo"/>
      </w:pPr>
      <w:r w:rsidRPr="00981775">
        <w:rPr>
          <w:rStyle w:val="TextoNormalNegritaCaracter"/>
        </w:rPr>
        <w:t>Artículo 151.2.</w:t>
      </w:r>
      <w:r w:rsidRPr="00981775">
        <w:rPr>
          <w:rStyle w:val="TextoNormalCaracter"/>
        </w:rPr>
        <w:t>-</w:t>
      </w:r>
      <w:r>
        <w:t xml:space="preserve"> Sentencia </w:t>
      </w:r>
      <w:hyperlink w:anchor="SENTENCIA_2015_237" w:history="1">
        <w:r w:rsidRPr="00981775">
          <w:rPr>
            <w:rStyle w:val="TextoNormalCaracter"/>
          </w:rPr>
          <w:t>237/2015</w:t>
        </w:r>
      </w:hyperlink>
      <w:r>
        <w:t>, ff. 1, 4, 6.</w:t>
      </w:r>
    </w:p>
    <w:p w:rsidR="00981775" w:rsidRDefault="00981775" w:rsidP="00981775">
      <w:pPr>
        <w:pStyle w:val="SangriaFrancesaArticulo"/>
      </w:pPr>
      <w:r w:rsidRPr="00981775">
        <w:rPr>
          <w:rStyle w:val="TextoNormalNegritaCaracter"/>
        </w:rPr>
        <w:t>Artículo 159.</w:t>
      </w:r>
      <w:r w:rsidRPr="00981775">
        <w:rPr>
          <w:rStyle w:val="TextoNormalCaracter"/>
        </w:rPr>
        <w:t>-</w:t>
      </w:r>
      <w:r>
        <w:t xml:space="preserve"> Sentencia </w:t>
      </w:r>
      <w:hyperlink w:anchor="SENTENCIA_2015_237" w:history="1">
        <w:r w:rsidRPr="00981775">
          <w:rPr>
            <w:rStyle w:val="TextoNormalCaracter"/>
          </w:rPr>
          <w:t>237/2015</w:t>
        </w:r>
      </w:hyperlink>
      <w:r>
        <w:t>, ff. 1, 3, 9.</w:t>
      </w:r>
    </w:p>
    <w:p w:rsidR="00981775" w:rsidRDefault="00981775" w:rsidP="00981775">
      <w:pPr>
        <w:pStyle w:val="SangriaFrancesaArticulo"/>
      </w:pPr>
      <w:r w:rsidRPr="00981775">
        <w:rPr>
          <w:rStyle w:val="TextoNormalNegritaCaracter"/>
        </w:rPr>
        <w:t>Artículo 159.1.</w:t>
      </w:r>
      <w:r w:rsidRPr="00981775">
        <w:rPr>
          <w:rStyle w:val="TextoNormalCaracter"/>
        </w:rPr>
        <w:t>-</w:t>
      </w:r>
      <w:r>
        <w:t xml:space="preserve"> Sentencia </w:t>
      </w:r>
      <w:hyperlink w:anchor="SENTENCIA_2015_237" w:history="1">
        <w:r w:rsidRPr="00981775">
          <w:rPr>
            <w:rStyle w:val="TextoNormalCaracter"/>
          </w:rPr>
          <w:t>237/2015</w:t>
        </w:r>
      </w:hyperlink>
      <w:r>
        <w:t>, f. 9.</w:t>
      </w:r>
    </w:p>
    <w:p w:rsidR="00981775" w:rsidRDefault="00981775" w:rsidP="00981775">
      <w:pPr>
        <w:pStyle w:val="SangriaFrancesaArticulo"/>
      </w:pPr>
      <w:r w:rsidRPr="00981775">
        <w:rPr>
          <w:rStyle w:val="TextoNormalNegritaCaracter"/>
        </w:rPr>
        <w:t>Artículo 159.2.</w:t>
      </w:r>
      <w:r w:rsidRPr="00981775">
        <w:rPr>
          <w:rStyle w:val="TextoNormalCaracter"/>
        </w:rPr>
        <w:t>-</w:t>
      </w:r>
      <w:r>
        <w:t xml:space="preserve"> Sentencia </w:t>
      </w:r>
      <w:hyperlink w:anchor="SENTENCIA_2015_237" w:history="1">
        <w:r w:rsidRPr="00981775">
          <w:rPr>
            <w:rStyle w:val="TextoNormalCaracter"/>
          </w:rPr>
          <w:t>237/2015</w:t>
        </w:r>
      </w:hyperlink>
      <w:r>
        <w:t>, f. 9.</w:t>
      </w:r>
    </w:p>
    <w:p w:rsidR="00981775" w:rsidRDefault="00981775" w:rsidP="00981775">
      <w:pPr>
        <w:pStyle w:val="SangriaFrancesaArticulo"/>
      </w:pPr>
      <w:r w:rsidRPr="00981775">
        <w:rPr>
          <w:rStyle w:val="TextoNormalNegritaCaracter"/>
        </w:rPr>
        <w:t>Artículo 177.1.</w:t>
      </w:r>
      <w:r w:rsidRPr="00981775">
        <w:rPr>
          <w:rStyle w:val="TextoNormalCaracter"/>
        </w:rPr>
        <w:t>-</w:t>
      </w:r>
      <w:r>
        <w:t xml:space="preserve"> Sentencia </w:t>
      </w:r>
      <w:hyperlink w:anchor="SENTENCIA_2015_237" w:history="1">
        <w:r w:rsidRPr="00981775">
          <w:rPr>
            <w:rStyle w:val="TextoNormalCaracter"/>
          </w:rPr>
          <w:t>237/2015</w:t>
        </w:r>
      </w:hyperlink>
      <w:r>
        <w:t>, f. 8.</w:t>
      </w:r>
    </w:p>
    <w:p w:rsidR="00981775" w:rsidRDefault="00981775" w:rsidP="00981775">
      <w:pPr>
        <w:pStyle w:val="SangriaFrancesaArticulo"/>
      </w:pPr>
      <w:r w:rsidRPr="00981775">
        <w:rPr>
          <w:rStyle w:val="TextoNormalNegritaCaracter"/>
        </w:rPr>
        <w:t>Artículo 177.2.</w:t>
      </w:r>
      <w:r w:rsidRPr="00981775">
        <w:rPr>
          <w:rStyle w:val="TextoNormalCaracter"/>
        </w:rPr>
        <w:t>-</w:t>
      </w:r>
      <w:r>
        <w:t xml:space="preserve"> Sentencia </w:t>
      </w:r>
      <w:hyperlink w:anchor="SENTENCIA_2015_237" w:history="1">
        <w:r w:rsidRPr="00981775">
          <w:rPr>
            <w:rStyle w:val="TextoNormalCaracter"/>
          </w:rPr>
          <w:t>237/2015</w:t>
        </w:r>
      </w:hyperlink>
      <w:r>
        <w:t>, f. 8.</w:t>
      </w:r>
    </w:p>
    <w:p w:rsidR="00981775" w:rsidRDefault="00981775" w:rsidP="00981775">
      <w:pPr>
        <w:pStyle w:val="SangriaFrancesaArticulo"/>
      </w:pPr>
      <w:r w:rsidRPr="00981775">
        <w:rPr>
          <w:rStyle w:val="TextoNormalNegritaCaracter"/>
        </w:rPr>
        <w:t>Disposición final segunda.</w:t>
      </w:r>
      <w:r w:rsidRPr="00981775">
        <w:rPr>
          <w:rStyle w:val="TextoNormalCaracter"/>
        </w:rPr>
        <w:t>-</w:t>
      </w:r>
      <w:r>
        <w:t xml:space="preserve"> Sentencia </w:t>
      </w:r>
      <w:hyperlink w:anchor="SENTENCIA_2015_237" w:history="1">
        <w:r w:rsidRPr="00981775">
          <w:rPr>
            <w:rStyle w:val="TextoNormalCaracter"/>
          </w:rPr>
          <w:t>237/2015</w:t>
        </w:r>
      </w:hyperlink>
      <w:r>
        <w:t>, f. 8.</w:t>
      </w:r>
    </w:p>
    <w:p w:rsidR="00981775" w:rsidRDefault="00981775" w:rsidP="00981775">
      <w:pPr>
        <w:pStyle w:val="SangriaFrancesaArticulo"/>
      </w:pPr>
      <w:r w:rsidRPr="00981775">
        <w:rPr>
          <w:rStyle w:val="TextoNormalNegritaCaracter"/>
        </w:rPr>
        <w:t>Disposición final segunda, apartado 2.</w:t>
      </w:r>
      <w:r w:rsidRPr="00981775">
        <w:rPr>
          <w:rStyle w:val="TextoNormalCaracter"/>
        </w:rPr>
        <w:t>-</w:t>
      </w:r>
      <w:r>
        <w:t xml:space="preserve"> Sentencia </w:t>
      </w:r>
      <w:hyperlink w:anchor="SENTENCIA_2015_237" w:history="1">
        <w:r w:rsidRPr="00981775">
          <w:rPr>
            <w:rStyle w:val="TextoNormalCaracter"/>
          </w:rPr>
          <w:t>237/2015</w:t>
        </w:r>
      </w:hyperlink>
      <w:r>
        <w:t>, f. 7.</w:t>
      </w:r>
    </w:p>
    <w:p w:rsidR="00981775" w:rsidRDefault="00981775" w:rsidP="00981775">
      <w:pPr>
        <w:pStyle w:val="SangriaFrancesaArticulo"/>
      </w:pPr>
    </w:p>
    <w:p w:rsidR="00981775" w:rsidRDefault="00981775" w:rsidP="00981775">
      <w:pPr>
        <w:pStyle w:val="TextoNormalNegritaCursivandice"/>
      </w:pPr>
      <w:r>
        <w:t>Real Decreto Legislativo 3/2015, de 23 de octubre. Aprueba el texto refundido de la Ley de empleo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72" w:history="1">
        <w:r w:rsidRPr="00981775">
          <w:rPr>
            <w:rStyle w:val="TextoNormalCaracter"/>
          </w:rPr>
          <w:t>272/2015</w:t>
        </w:r>
      </w:hyperlink>
      <w:r>
        <w:t>, f. 2.</w:t>
      </w:r>
    </w:p>
    <w:p w:rsidR="00981775" w:rsidRDefault="00981775" w:rsidP="00981775">
      <w:pPr>
        <w:pStyle w:val="SangriaFrancesaArticulo"/>
      </w:pPr>
      <w:r w:rsidRPr="00981775">
        <w:rPr>
          <w:rStyle w:val="TextoNormalNegritaCaracter"/>
        </w:rPr>
        <w:t>Artículo 41.4.</w:t>
      </w:r>
      <w:r w:rsidRPr="00981775">
        <w:rPr>
          <w:rStyle w:val="TextoNormalCaracter"/>
        </w:rPr>
        <w:t>-</w:t>
      </w:r>
      <w:r>
        <w:t xml:space="preserve"> Sentencia </w:t>
      </w:r>
      <w:hyperlink w:anchor="SENTENCIA_2015_272" w:history="1">
        <w:r w:rsidRPr="00981775">
          <w:rPr>
            <w:rStyle w:val="TextoNormalCaracter"/>
          </w:rPr>
          <w:t>272/2015</w:t>
        </w:r>
      </w:hyperlink>
      <w:r>
        <w:t>, f. 2.</w:t>
      </w:r>
    </w:p>
    <w:p w:rsidR="00981775" w:rsidRDefault="00981775" w:rsidP="00981775">
      <w:pPr>
        <w:pStyle w:val="SangriaFrancesaArticulo"/>
      </w:pPr>
      <w:r w:rsidRPr="00981775">
        <w:rPr>
          <w:rStyle w:val="TextoNormalNegritaCaracter"/>
        </w:rPr>
        <w:t>Artículo 41.4 párrafo 2.</w:t>
      </w:r>
      <w:r w:rsidRPr="00981775">
        <w:rPr>
          <w:rStyle w:val="TextoNormalCaracter"/>
        </w:rPr>
        <w:t>-</w:t>
      </w:r>
      <w:r>
        <w:t xml:space="preserve"> Sentencia </w:t>
      </w:r>
      <w:hyperlink w:anchor="SENTENCIA_2015_272" w:history="1">
        <w:r w:rsidRPr="00981775">
          <w:rPr>
            <w:rStyle w:val="TextoNormalCaracter"/>
          </w:rPr>
          <w:t>272/2015</w:t>
        </w:r>
      </w:hyperlink>
      <w:r>
        <w:t>.</w:t>
      </w:r>
    </w:p>
    <w:p w:rsidR="00981775" w:rsidRDefault="00981775" w:rsidP="00981775">
      <w:pPr>
        <w:pStyle w:val="SangriaFrancesaArticulo"/>
      </w:pPr>
    </w:p>
    <w:p w:rsidR="00981775" w:rsidRDefault="00981775" w:rsidP="00981775">
      <w:pPr>
        <w:pStyle w:val="TextoNormalNegritaCursivandice"/>
      </w:pPr>
      <w:r>
        <w:t>Real Decreto Legislativo 5/2015, de 30 de octubre. Aprueba el texto refundido de la Ley del estatuto básico del empleado público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Sentencias </w:t>
      </w:r>
      <w:hyperlink w:anchor="SENTENCIA_2015_230" w:history="1">
        <w:r w:rsidRPr="00981775">
          <w:rPr>
            <w:rStyle w:val="TextoNormalCaracter"/>
          </w:rPr>
          <w:t>230/2015</w:t>
        </w:r>
      </w:hyperlink>
      <w:r>
        <w:t xml:space="preserve">, f. 3; </w:t>
      </w:r>
      <w:hyperlink w:anchor="SENTENCIA_2015_236" w:history="1">
        <w:r w:rsidRPr="00981775">
          <w:rPr>
            <w:rStyle w:val="TextoNormalCaracter"/>
          </w:rPr>
          <w:t>236/2015</w:t>
        </w:r>
      </w:hyperlink>
      <w:r>
        <w:t xml:space="preserve">, f. 2; </w:t>
      </w:r>
      <w:hyperlink w:anchor="SENTENCIA_2015_238" w:history="1">
        <w:r w:rsidRPr="00981775">
          <w:rPr>
            <w:rStyle w:val="TextoNormalCaracter"/>
          </w:rPr>
          <w:t>238/2015</w:t>
        </w:r>
      </w:hyperlink>
      <w:r>
        <w:t>, ff. 2, 3.</w:t>
      </w:r>
    </w:p>
    <w:p w:rsidR="00981775" w:rsidRDefault="00981775" w:rsidP="00981775">
      <w:pPr>
        <w:pStyle w:val="SangriaFrancesaArticulo"/>
      </w:pPr>
      <w:r w:rsidRPr="00981775">
        <w:rPr>
          <w:rStyle w:val="TextoNormalNegritaCaracter"/>
        </w:rPr>
        <w:t>Artículo 9.2.</w:t>
      </w:r>
      <w:r w:rsidRPr="00981775">
        <w:rPr>
          <w:rStyle w:val="TextoNormalCaracter"/>
        </w:rPr>
        <w:t>-</w:t>
      </w:r>
      <w:r>
        <w:t xml:space="preserve"> Sentencias </w:t>
      </w:r>
      <w:hyperlink w:anchor="SENTENCIA_2015_230" w:history="1">
        <w:r w:rsidRPr="00981775">
          <w:rPr>
            <w:rStyle w:val="TextoNormalCaracter"/>
          </w:rPr>
          <w:t>230/2015</w:t>
        </w:r>
      </w:hyperlink>
      <w:r>
        <w:t xml:space="preserve">, ff. 1, 3, 4; </w:t>
      </w:r>
      <w:hyperlink w:anchor="SENTENCIA_2015_236" w:history="1">
        <w:r w:rsidRPr="00981775">
          <w:rPr>
            <w:rStyle w:val="TextoNormalCaracter"/>
          </w:rPr>
          <w:t>236/2015</w:t>
        </w:r>
      </w:hyperlink>
      <w:r>
        <w:t>, ff. 5, 10.</w:t>
      </w:r>
    </w:p>
    <w:p w:rsidR="00981775" w:rsidRDefault="00981775" w:rsidP="00981775">
      <w:pPr>
        <w:pStyle w:val="SangriaFrancesaArticulo"/>
      </w:pPr>
      <w:r w:rsidRPr="00981775">
        <w:rPr>
          <w:rStyle w:val="TextoNormalNegritaCaracter"/>
        </w:rPr>
        <w:t>Artículo 37.1.</w:t>
      </w:r>
      <w:r w:rsidRPr="00981775">
        <w:rPr>
          <w:rStyle w:val="TextoNormalCaracter"/>
        </w:rPr>
        <w:t>-</w:t>
      </w:r>
      <w:r>
        <w:t xml:space="preserve"> Sentencia </w:t>
      </w:r>
      <w:hyperlink w:anchor="SENTENCIA_2015_230" w:history="1">
        <w:r w:rsidRPr="00981775">
          <w:rPr>
            <w:rStyle w:val="TextoNormalCaracter"/>
          </w:rPr>
          <w:t>230/2015</w:t>
        </w:r>
      </w:hyperlink>
      <w:r>
        <w:t>, ff. 1, 3.</w:t>
      </w:r>
    </w:p>
    <w:p w:rsidR="00981775" w:rsidRDefault="00981775" w:rsidP="00981775">
      <w:pPr>
        <w:pStyle w:val="SangriaFrancesaArticulo"/>
      </w:pPr>
      <w:r w:rsidRPr="00981775">
        <w:rPr>
          <w:rStyle w:val="TextoNormalNegritaCaracter"/>
        </w:rPr>
        <w:t>Artículo 55.1.</w:t>
      </w:r>
      <w:r w:rsidRPr="00981775">
        <w:rPr>
          <w:rStyle w:val="TextoNormalCaracter"/>
        </w:rPr>
        <w:t>-</w:t>
      </w:r>
      <w:r>
        <w:t xml:space="preserve"> Sentencia </w:t>
      </w:r>
      <w:hyperlink w:anchor="SENTENCIA_2015_238" w:history="1">
        <w:r w:rsidRPr="00981775">
          <w:rPr>
            <w:rStyle w:val="TextoNormalCaracter"/>
          </w:rPr>
          <w:t>238/2015</w:t>
        </w:r>
      </w:hyperlink>
      <w:r>
        <w:t>, ff. 3, 6.</w:t>
      </w:r>
    </w:p>
    <w:p w:rsidR="00981775" w:rsidRDefault="00981775" w:rsidP="00981775">
      <w:pPr>
        <w:pStyle w:val="SangriaFrancesaArticulo"/>
      </w:pPr>
      <w:r w:rsidRPr="00981775">
        <w:rPr>
          <w:rStyle w:val="TextoNormalNegritaCaracter"/>
        </w:rPr>
        <w:t>Artículo 61.</w:t>
      </w:r>
      <w:r w:rsidRPr="00981775">
        <w:rPr>
          <w:rStyle w:val="TextoNormalCaracter"/>
        </w:rPr>
        <w:t>-</w:t>
      </w:r>
      <w:r>
        <w:t xml:space="preserve"> Sentencia </w:t>
      </w:r>
      <w:hyperlink w:anchor="SENTENCIA_2015_238" w:history="1">
        <w:r w:rsidRPr="00981775">
          <w:rPr>
            <w:rStyle w:val="TextoNormalCaracter"/>
          </w:rPr>
          <w:t>238/2015</w:t>
        </w:r>
      </w:hyperlink>
      <w:r>
        <w:t>, ff. 3, 6.</w:t>
      </w:r>
    </w:p>
    <w:p w:rsidR="00981775" w:rsidRDefault="00981775" w:rsidP="00981775">
      <w:pPr>
        <w:pStyle w:val="SangriaFrancesaArticulo"/>
      </w:pPr>
      <w:r w:rsidRPr="00981775">
        <w:rPr>
          <w:rStyle w:val="TextoNormalNegritaCaracter"/>
        </w:rPr>
        <w:t>Artículo 61.1.</w:t>
      </w:r>
      <w:r w:rsidRPr="00981775">
        <w:rPr>
          <w:rStyle w:val="TextoNormalCaracter"/>
        </w:rPr>
        <w:t>-</w:t>
      </w:r>
      <w:r>
        <w:t xml:space="preserve"> Sentencia </w:t>
      </w:r>
      <w:hyperlink w:anchor="SENTENCIA_2015_238" w:history="1">
        <w:r w:rsidRPr="00981775">
          <w:rPr>
            <w:rStyle w:val="TextoNormalCaracter"/>
          </w:rPr>
          <w:t>238/2015</w:t>
        </w:r>
      </w:hyperlink>
      <w:r>
        <w:t>, ff. 6, 7.</w:t>
      </w:r>
    </w:p>
    <w:p w:rsidR="00981775" w:rsidRDefault="00981775" w:rsidP="00981775">
      <w:pPr>
        <w:pStyle w:val="SangriaFrancesaArticulo"/>
      </w:pPr>
      <w:r w:rsidRPr="00981775">
        <w:rPr>
          <w:rStyle w:val="TextoNormalNegritaCaracter"/>
        </w:rPr>
        <w:t>Artículo 81.</w:t>
      </w:r>
      <w:r w:rsidRPr="00981775">
        <w:rPr>
          <w:rStyle w:val="TextoNormalCaracter"/>
        </w:rPr>
        <w:t>-</w:t>
      </w:r>
      <w:r>
        <w:t xml:space="preserve"> Sentencia </w:t>
      </w:r>
      <w:hyperlink w:anchor="SENTENCIA_2015_236" w:history="1">
        <w:r w:rsidRPr="00981775">
          <w:rPr>
            <w:rStyle w:val="TextoNormalCaracter"/>
          </w:rPr>
          <w:t>236/2015</w:t>
        </w:r>
      </w:hyperlink>
      <w:r>
        <w:t>, f. 9.</w:t>
      </w:r>
    </w:p>
    <w:p w:rsidR="00981775" w:rsidRDefault="00981775" w:rsidP="00981775">
      <w:pPr>
        <w:pStyle w:val="SangriaFrancesaArticulo"/>
      </w:pPr>
      <w:r w:rsidRPr="00981775">
        <w:rPr>
          <w:rStyle w:val="TextoNormalNegritaCaracter"/>
        </w:rPr>
        <w:t>Artículo 81.2.</w:t>
      </w:r>
      <w:r w:rsidRPr="00981775">
        <w:rPr>
          <w:rStyle w:val="TextoNormalCaracter"/>
        </w:rPr>
        <w:t>-</w:t>
      </w:r>
      <w:r>
        <w:t xml:space="preserve"> Sentencia </w:t>
      </w:r>
      <w:hyperlink w:anchor="SENTENCIA_2015_236" w:history="1">
        <w:r w:rsidRPr="00981775">
          <w:rPr>
            <w:rStyle w:val="TextoNormalCaracter"/>
          </w:rPr>
          <w:t>236/2015</w:t>
        </w:r>
      </w:hyperlink>
      <w:r>
        <w:t>, f. 6.</w:t>
      </w:r>
    </w:p>
    <w:p w:rsidR="00981775" w:rsidRDefault="00981775" w:rsidP="00981775">
      <w:pPr>
        <w:pStyle w:val="SangriaFrancesaArticulo"/>
      </w:pPr>
      <w:r w:rsidRPr="00981775">
        <w:rPr>
          <w:rStyle w:val="TextoNormalNegritaCaracter"/>
        </w:rPr>
        <w:t>Artículo 84.3.</w:t>
      </w:r>
      <w:r w:rsidRPr="00981775">
        <w:rPr>
          <w:rStyle w:val="TextoNormalCaracter"/>
        </w:rPr>
        <w:t>-</w:t>
      </w:r>
      <w:r>
        <w:t xml:space="preserve"> Sentencia </w:t>
      </w:r>
      <w:hyperlink w:anchor="SENTENCIA_2015_236" w:history="1">
        <w:r w:rsidRPr="00981775">
          <w:rPr>
            <w:rStyle w:val="TextoNormalCaracter"/>
          </w:rPr>
          <w:t>236/2015</w:t>
        </w:r>
      </w:hyperlink>
      <w:r>
        <w:t>, f. 6.</w:t>
      </w:r>
    </w:p>
    <w:p w:rsidR="00981775" w:rsidRDefault="00981775" w:rsidP="00981775">
      <w:pPr>
        <w:pStyle w:val="SangriaFrancesaArticulo"/>
      </w:pPr>
      <w:r w:rsidRPr="00981775">
        <w:rPr>
          <w:rStyle w:val="TextoNormalNegritaCaracter"/>
        </w:rPr>
        <w:t>Disposición transitoria segunda.</w:t>
      </w:r>
      <w:r w:rsidRPr="00981775">
        <w:rPr>
          <w:rStyle w:val="TextoNormalCaracter"/>
        </w:rPr>
        <w:t>-</w:t>
      </w:r>
      <w:r>
        <w:t xml:space="preserve"> Sentencia </w:t>
      </w:r>
      <w:hyperlink w:anchor="SENTENCIA_2015_238" w:history="1">
        <w:r w:rsidRPr="00981775">
          <w:rPr>
            <w:rStyle w:val="TextoNormalCaracter"/>
          </w:rPr>
          <w:t>238/2015</w:t>
        </w:r>
      </w:hyperlink>
      <w:r>
        <w:t>, ff. 3, 6, 7.</w:t>
      </w:r>
    </w:p>
    <w:p w:rsidR="00981775" w:rsidRDefault="00981775" w:rsidP="00981775">
      <w:pPr>
        <w:pStyle w:val="SangriaFrancesaArticulo"/>
      </w:pPr>
      <w:r w:rsidRPr="00981775">
        <w:rPr>
          <w:rStyle w:val="TextoNormalNegritaCaracter"/>
        </w:rPr>
        <w:t>Disposición derogatoria única.</w:t>
      </w:r>
      <w:r w:rsidRPr="00981775">
        <w:rPr>
          <w:rStyle w:val="TextoNormalCaracter"/>
        </w:rPr>
        <w:t>-</w:t>
      </w:r>
      <w:r>
        <w:t xml:space="preserve"> Sentencia </w:t>
      </w:r>
      <w:hyperlink w:anchor="SENTENCIA_2015_238" w:history="1">
        <w:r w:rsidRPr="00981775">
          <w:rPr>
            <w:rStyle w:val="TextoNormalCaracter"/>
          </w:rPr>
          <w:t>238/2015</w:t>
        </w:r>
      </w:hyperlink>
      <w:r>
        <w:t>, f. 3.</w:t>
      </w:r>
    </w:p>
    <w:p w:rsidR="00981775" w:rsidRDefault="00981775" w:rsidP="00981775">
      <w:pPr>
        <w:pStyle w:val="SangriaFrancesaArticulo"/>
      </w:pPr>
      <w:r w:rsidRPr="00981775">
        <w:rPr>
          <w:rStyle w:val="TextoNormalNegritaCaracter"/>
        </w:rPr>
        <w:t>Disposición final primera.</w:t>
      </w:r>
      <w:r w:rsidRPr="00981775">
        <w:rPr>
          <w:rStyle w:val="TextoNormalCaracter"/>
        </w:rPr>
        <w:t>-</w:t>
      </w:r>
      <w:r>
        <w:t xml:space="preserve"> Sentencia </w:t>
      </w:r>
      <w:hyperlink w:anchor="SENTENCIA_2015_236" w:history="1">
        <w:r w:rsidRPr="00981775">
          <w:rPr>
            <w:rStyle w:val="TextoNormalCaracter"/>
          </w:rPr>
          <w:t>236/2015</w:t>
        </w:r>
      </w:hyperlink>
      <w:r>
        <w:t>, ff. 5, 10.</w:t>
      </w:r>
    </w:p>
    <w:p w:rsidR="00981775" w:rsidRDefault="00981775" w:rsidP="00981775">
      <w:pPr>
        <w:pStyle w:val="TextoNormal"/>
      </w:pPr>
    </w:p>
    <w:p w:rsidR="00981775" w:rsidRDefault="00981775" w:rsidP="00981775">
      <w:pPr>
        <w:pStyle w:val="SangriaFrancesaArticulo"/>
      </w:pPr>
      <w:bookmarkStart w:id="254" w:name="INDICE22848"/>
    </w:p>
    <w:bookmarkEnd w:id="254"/>
    <w:p w:rsidR="00981775" w:rsidRDefault="00981775" w:rsidP="00981775">
      <w:pPr>
        <w:pStyle w:val="TextoIndiceNivel2"/>
        <w:suppressAutoHyphens/>
      </w:pPr>
      <w:r>
        <w:t>G) Reales Decretos-leyes</w:t>
      </w:r>
    </w:p>
    <w:p w:rsidR="00981775" w:rsidRDefault="00981775" w:rsidP="00981775">
      <w:pPr>
        <w:pStyle w:val="TextoIndiceNivel2"/>
      </w:pPr>
    </w:p>
    <w:p w:rsidR="00981775" w:rsidRDefault="00981775" w:rsidP="00981775">
      <w:pPr>
        <w:pStyle w:val="TextoNormalNegritaCursivandice"/>
      </w:pPr>
      <w:r>
        <w:t>Real Decreto-ley 3/1987, de 11 de septiembre. Régimen retributivo del personal estatutario del Instituto nacional de la salud</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21" w:history="1">
        <w:r w:rsidRPr="00981775">
          <w:rPr>
            <w:rStyle w:val="TextoNormalCaracter"/>
          </w:rPr>
          <w:t>121/2015</w:t>
        </w:r>
      </w:hyperlink>
      <w:r>
        <w:t>, f. 1.</w:t>
      </w:r>
    </w:p>
    <w:p w:rsidR="00981775" w:rsidRDefault="00981775" w:rsidP="00981775">
      <w:pPr>
        <w:pStyle w:val="SangriaFrancesaArticulo"/>
      </w:pPr>
    </w:p>
    <w:p w:rsidR="00981775" w:rsidRDefault="00981775" w:rsidP="00981775">
      <w:pPr>
        <w:pStyle w:val="TextoNormalNegritaCursivandice"/>
      </w:pPr>
      <w:r>
        <w:t>Real Decreto-ley 6/2000, de 23 de junio.  Medidas urgentes de intensificación de la competencia en mercados de bienes y servicios</w:t>
      </w:r>
    </w:p>
    <w:p w:rsidR="00981775" w:rsidRDefault="00981775" w:rsidP="00981775">
      <w:pPr>
        <w:pStyle w:val="SangriaFrancesaArticulo"/>
      </w:pPr>
      <w:r w:rsidRPr="00981775">
        <w:rPr>
          <w:rStyle w:val="TextoNormalNegritaCaracter"/>
        </w:rPr>
        <w:t>Artículo 39.</w:t>
      </w:r>
      <w:r w:rsidRPr="00981775">
        <w:rPr>
          <w:rStyle w:val="TextoNormalCaracter"/>
        </w:rPr>
        <w:t>-</w:t>
      </w:r>
      <w:r>
        <w:t xml:space="preserve"> Sentencia </w:t>
      </w:r>
      <w:hyperlink w:anchor="SENTENCIA_2015_229" w:history="1">
        <w:r w:rsidRPr="00981775">
          <w:rPr>
            <w:rStyle w:val="TextoNormalCaracter"/>
          </w:rPr>
          <w:t>229/2015</w:t>
        </w:r>
      </w:hyperlink>
      <w:r>
        <w:t>, f. 7.</w:t>
      </w:r>
    </w:p>
    <w:p w:rsidR="00981775" w:rsidRDefault="00981775" w:rsidP="00981775">
      <w:pPr>
        <w:pStyle w:val="SangriaFrancesaArticulo"/>
      </w:pPr>
    </w:p>
    <w:p w:rsidR="00981775" w:rsidRDefault="00981775" w:rsidP="00981775">
      <w:pPr>
        <w:pStyle w:val="TextoNormalNegritaCursivandice"/>
      </w:pPr>
      <w:r>
        <w:t>Real Decreto-ley 4/2006, de 24 de febrero. Modificación de las funciones de la Comisión Nacional de Energía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99" w:history="1">
        <w:r w:rsidRPr="00981775">
          <w:rPr>
            <w:rStyle w:val="TextoNormalCaracter"/>
          </w:rPr>
          <w:t>199/2015</w:t>
        </w:r>
      </w:hyperlink>
      <w:r>
        <w:t>, f. 8.</w:t>
      </w:r>
    </w:p>
    <w:p w:rsidR="00981775" w:rsidRDefault="00981775" w:rsidP="00981775">
      <w:pPr>
        <w:pStyle w:val="SangriaFrancesaArticulo"/>
      </w:pPr>
    </w:p>
    <w:p w:rsidR="00981775" w:rsidRDefault="00981775" w:rsidP="00981775">
      <w:pPr>
        <w:pStyle w:val="TextoNormalNegritaCursivandice"/>
      </w:pPr>
      <w:r>
        <w:t>Real Decreto-ley 9/2006, de 15 de septiembre. Medidas urgentes para paliar los efectos producidos por la sequía en las poblaciones y en las explotaciones agrarias de regadío en determinadas cuencas hidrográficas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1" w:history="1">
        <w:r w:rsidRPr="00981775">
          <w:rPr>
            <w:rStyle w:val="TextoNormalCaracter"/>
          </w:rPr>
          <w:t>231/2015</w:t>
        </w:r>
      </w:hyperlink>
      <w:r>
        <w:t>, ff. 5, 11.</w:t>
      </w:r>
    </w:p>
    <w:p w:rsidR="00981775" w:rsidRDefault="00981775" w:rsidP="00981775">
      <w:pPr>
        <w:pStyle w:val="SangriaFrancesaArticulo"/>
      </w:pPr>
    </w:p>
    <w:p w:rsidR="00981775" w:rsidRDefault="00981775" w:rsidP="00981775">
      <w:pPr>
        <w:pStyle w:val="TextoNormalNegritaCursivandice"/>
      </w:pPr>
      <w:r>
        <w:t>Real Decreto-ley 9/2007, de 5 de octubre. Medidas urgentes para paliar los efectos producidos por la sequía en determinadas cuencas hidrográficas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1" w:history="1">
        <w:r w:rsidRPr="00981775">
          <w:rPr>
            <w:rStyle w:val="TextoNormalCaracter"/>
          </w:rPr>
          <w:t>231/2015</w:t>
        </w:r>
      </w:hyperlink>
      <w:r>
        <w:t>, ff. 5, 11.</w:t>
      </w:r>
    </w:p>
    <w:p w:rsidR="00981775" w:rsidRDefault="00981775" w:rsidP="00981775">
      <w:pPr>
        <w:pStyle w:val="SangriaFrancesaArticulo"/>
      </w:pPr>
    </w:p>
    <w:p w:rsidR="00981775" w:rsidRDefault="00981775" w:rsidP="00981775">
      <w:pPr>
        <w:pStyle w:val="TextoNormalNegritaCursivandice"/>
      </w:pPr>
      <w:r>
        <w:t>Real Decreto-ley 8/2008, de 24 de octubre. Medidas urgentes para paliar los efectos producidos por la sequía en determinados ámbitos de las cuencas hidrográficas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1" w:history="1">
        <w:r w:rsidRPr="00981775">
          <w:rPr>
            <w:rStyle w:val="TextoNormalCaracter"/>
          </w:rPr>
          <w:t>231/2015</w:t>
        </w:r>
      </w:hyperlink>
      <w:r>
        <w:t>, f. 5.</w:t>
      </w:r>
    </w:p>
    <w:p w:rsidR="00981775" w:rsidRDefault="00981775" w:rsidP="00981775">
      <w:pPr>
        <w:pStyle w:val="SangriaFrancesaArticulo"/>
      </w:pPr>
      <w:r w:rsidRPr="00981775">
        <w:rPr>
          <w:rStyle w:val="TextoNormalNegritaCaracter"/>
        </w:rPr>
        <w:t>Disposición final primera, apartado 5.</w:t>
      </w:r>
      <w:r w:rsidRPr="00981775">
        <w:rPr>
          <w:rStyle w:val="TextoNormalCaracter"/>
        </w:rPr>
        <w:t>-</w:t>
      </w:r>
      <w:r>
        <w:t xml:space="preserve"> Sentencia </w:t>
      </w:r>
      <w:hyperlink w:anchor="SENTENCIA_2015_231" w:history="1">
        <w:r w:rsidRPr="00981775">
          <w:rPr>
            <w:rStyle w:val="TextoNormalCaracter"/>
          </w:rPr>
          <w:t>231/2015</w:t>
        </w:r>
      </w:hyperlink>
      <w:r>
        <w:t>, f. 11.</w:t>
      </w:r>
    </w:p>
    <w:p w:rsidR="00981775" w:rsidRDefault="00981775" w:rsidP="00981775">
      <w:pPr>
        <w:pStyle w:val="SangriaFrancesaArticulo"/>
      </w:pPr>
    </w:p>
    <w:p w:rsidR="00981775" w:rsidRDefault="00981775" w:rsidP="00981775">
      <w:pPr>
        <w:pStyle w:val="TextoNormalNegritaCursivandice"/>
      </w:pPr>
      <w:r>
        <w:t>Real Decreto-ley 9/2008, de 28 de noviembre. Crea un fondo estatal de inversión local y un fondo especial del Estado para la dinamización de la economía y el empleo y se aprueban créditos extraordinarios para atender a su financiación</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01" w:history="1">
        <w:r w:rsidRPr="00981775">
          <w:rPr>
            <w:rStyle w:val="TextoNormalCaracter"/>
          </w:rPr>
          <w:t>201/2015</w:t>
        </w:r>
      </w:hyperlink>
      <w:r>
        <w:t>, f. 1.</w:t>
      </w:r>
    </w:p>
    <w:p w:rsidR="00981775" w:rsidRDefault="00981775" w:rsidP="00981775">
      <w:pPr>
        <w:pStyle w:val="SangriaFrancesaArticulo"/>
      </w:pPr>
      <w:r w:rsidRPr="00981775">
        <w:rPr>
          <w:rStyle w:val="TextoNormalNegritaCaracter"/>
        </w:rPr>
        <w:t>Artículo 8.</w:t>
      </w:r>
      <w:r w:rsidRPr="00981775">
        <w:rPr>
          <w:rStyle w:val="TextoNormalCaracter"/>
        </w:rPr>
        <w:t>-</w:t>
      </w:r>
      <w:r>
        <w:t xml:space="preserve"> Sentencias </w:t>
      </w:r>
      <w:hyperlink w:anchor="SENTENCIA_2015_201" w:history="1">
        <w:r w:rsidRPr="00981775">
          <w:rPr>
            <w:rStyle w:val="TextoNormalCaracter"/>
          </w:rPr>
          <w:t>201/2015</w:t>
        </w:r>
      </w:hyperlink>
      <w:r>
        <w:t xml:space="preserve">, ff. 1, 3; </w:t>
      </w:r>
      <w:hyperlink w:anchor="SENTENCIA_2015_212" w:history="1">
        <w:r w:rsidRPr="00981775">
          <w:rPr>
            <w:rStyle w:val="TextoNormalCaracter"/>
          </w:rPr>
          <w:t>212/2015</w:t>
        </w:r>
      </w:hyperlink>
      <w:r>
        <w:t xml:space="preserve">, ff. 1, 3; </w:t>
      </w:r>
      <w:hyperlink w:anchor="SENTENCIA_2015_213" w:history="1">
        <w:r w:rsidRPr="00981775">
          <w:rPr>
            <w:rStyle w:val="TextoNormalCaracter"/>
          </w:rPr>
          <w:t>213/2015</w:t>
        </w:r>
      </w:hyperlink>
      <w:r>
        <w:t xml:space="preserve">, ff. 1, 3; </w:t>
      </w:r>
      <w:hyperlink w:anchor="SENTENCIA_2015_219" w:history="1">
        <w:r w:rsidRPr="00981775">
          <w:rPr>
            <w:rStyle w:val="TextoNormalCaracter"/>
          </w:rPr>
          <w:t>219/2015</w:t>
        </w:r>
      </w:hyperlink>
      <w:r>
        <w:t xml:space="preserve">, ff. 1, 3; </w:t>
      </w:r>
      <w:hyperlink w:anchor="SENTENCIA_2015_220" w:history="1">
        <w:r w:rsidRPr="00981775">
          <w:rPr>
            <w:rStyle w:val="TextoNormalCaracter"/>
          </w:rPr>
          <w:t>220/2015</w:t>
        </w:r>
      </w:hyperlink>
      <w:r>
        <w:t xml:space="preserve">, ff. 1, 3; </w:t>
      </w:r>
      <w:hyperlink w:anchor="SENTENCIA_2015_221" w:history="1">
        <w:r w:rsidRPr="00981775">
          <w:rPr>
            <w:rStyle w:val="TextoNormalCaracter"/>
          </w:rPr>
          <w:t>221/2015</w:t>
        </w:r>
      </w:hyperlink>
      <w:r>
        <w:t>, ff. 1, 3.</w:t>
      </w:r>
    </w:p>
    <w:p w:rsidR="00981775" w:rsidRDefault="00981775" w:rsidP="00981775">
      <w:pPr>
        <w:pStyle w:val="SangriaIzquierdaArticulo"/>
      </w:pPr>
      <w:r>
        <w:t xml:space="preserve">Auto </w:t>
      </w:r>
      <w:hyperlink w:anchor="AUTO_2015_136" w:history="1">
        <w:r w:rsidRPr="00981775">
          <w:rPr>
            <w:rStyle w:val="TextoNormalCaracter"/>
          </w:rPr>
          <w:t>136/2015</w:t>
        </w:r>
      </w:hyperlink>
      <w:r>
        <w:t>, ff. 1, 2.</w:t>
      </w:r>
    </w:p>
    <w:p w:rsidR="00981775" w:rsidRDefault="00981775" w:rsidP="00981775">
      <w:pPr>
        <w:pStyle w:val="SangriaFrancesaArticulo"/>
      </w:pPr>
      <w:r w:rsidRPr="00981775">
        <w:rPr>
          <w:rStyle w:val="TextoNormalNegritaCaracter"/>
        </w:rPr>
        <w:t>Artículo 10.</w:t>
      </w:r>
      <w:r w:rsidRPr="00981775">
        <w:rPr>
          <w:rStyle w:val="TextoNormalCaracter"/>
        </w:rPr>
        <w:t>-</w:t>
      </w:r>
      <w:r>
        <w:t xml:space="preserve"> Sentencias </w:t>
      </w:r>
      <w:hyperlink w:anchor="SENTENCIA_2015_201" w:history="1">
        <w:r w:rsidRPr="00981775">
          <w:rPr>
            <w:rStyle w:val="TextoNormalCaracter"/>
          </w:rPr>
          <w:t>201/2015</w:t>
        </w:r>
      </w:hyperlink>
      <w:r>
        <w:t xml:space="preserve">, ff. 1, 3; </w:t>
      </w:r>
      <w:hyperlink w:anchor="SENTENCIA_2015_212" w:history="1">
        <w:r w:rsidRPr="00981775">
          <w:rPr>
            <w:rStyle w:val="TextoNormalCaracter"/>
          </w:rPr>
          <w:t>212/2015</w:t>
        </w:r>
      </w:hyperlink>
      <w:r>
        <w:t xml:space="preserve">, ff. 1, 3; </w:t>
      </w:r>
      <w:hyperlink w:anchor="SENTENCIA_2015_213" w:history="1">
        <w:r w:rsidRPr="00981775">
          <w:rPr>
            <w:rStyle w:val="TextoNormalCaracter"/>
          </w:rPr>
          <w:t>213/2015</w:t>
        </w:r>
      </w:hyperlink>
      <w:r>
        <w:t xml:space="preserve">, ff. 1, 3; </w:t>
      </w:r>
      <w:hyperlink w:anchor="SENTENCIA_2015_219" w:history="1">
        <w:r w:rsidRPr="00981775">
          <w:rPr>
            <w:rStyle w:val="TextoNormalCaracter"/>
          </w:rPr>
          <w:t>219/2015</w:t>
        </w:r>
      </w:hyperlink>
      <w:r>
        <w:t xml:space="preserve">, ff. 1, 3; </w:t>
      </w:r>
      <w:hyperlink w:anchor="SENTENCIA_2015_220" w:history="1">
        <w:r w:rsidRPr="00981775">
          <w:rPr>
            <w:rStyle w:val="TextoNormalCaracter"/>
          </w:rPr>
          <w:t>220/2015</w:t>
        </w:r>
      </w:hyperlink>
      <w:r>
        <w:t xml:space="preserve">, ff. 1, 3; </w:t>
      </w:r>
      <w:hyperlink w:anchor="SENTENCIA_2015_221" w:history="1">
        <w:r w:rsidRPr="00981775">
          <w:rPr>
            <w:rStyle w:val="TextoNormalCaracter"/>
          </w:rPr>
          <w:t>221/2015</w:t>
        </w:r>
      </w:hyperlink>
      <w:r>
        <w:t>, ff. 1, 3.</w:t>
      </w:r>
    </w:p>
    <w:p w:rsidR="00981775" w:rsidRDefault="00981775" w:rsidP="00981775">
      <w:pPr>
        <w:pStyle w:val="SangriaIzquierdaArticulo"/>
      </w:pPr>
      <w:r>
        <w:t xml:space="preserve">Auto </w:t>
      </w:r>
      <w:hyperlink w:anchor="AUTO_2015_136" w:history="1">
        <w:r w:rsidRPr="00981775">
          <w:rPr>
            <w:rStyle w:val="TextoNormalCaracter"/>
          </w:rPr>
          <w:t>136/2015</w:t>
        </w:r>
      </w:hyperlink>
      <w:r>
        <w:t>, ff. 1, 2.</w:t>
      </w:r>
    </w:p>
    <w:p w:rsidR="00981775" w:rsidRDefault="00981775" w:rsidP="00981775">
      <w:pPr>
        <w:pStyle w:val="SangriaIzquierdaArticulo"/>
      </w:pPr>
    </w:p>
    <w:p w:rsidR="00981775" w:rsidRDefault="00981775" w:rsidP="00981775">
      <w:pPr>
        <w:pStyle w:val="TextoNormalNegritaCursivandice"/>
      </w:pPr>
      <w:r>
        <w:t>Real Decreto-ley 6/2009, de 30 de abril. Adopción de determinadas medidas en el sector energético y se aprueba el bono social</w:t>
      </w:r>
    </w:p>
    <w:p w:rsidR="00981775" w:rsidRDefault="00981775" w:rsidP="00981775">
      <w:pPr>
        <w:pStyle w:val="SangriaFrancesaArticulo"/>
      </w:pPr>
      <w:r w:rsidRPr="00981775">
        <w:rPr>
          <w:rStyle w:val="TextoNormalNegritaCaracter"/>
        </w:rPr>
        <w:t>Disposición adicional primera.</w:t>
      </w:r>
      <w:r w:rsidRPr="00981775">
        <w:rPr>
          <w:rStyle w:val="TextoNormalCaracter"/>
        </w:rPr>
        <w:t>-</w:t>
      </w:r>
      <w:r>
        <w:t xml:space="preserve"> Sentencia </w:t>
      </w:r>
      <w:hyperlink w:anchor="SENTENCIA_2015_270" w:history="1">
        <w:r w:rsidRPr="00981775">
          <w:rPr>
            <w:rStyle w:val="TextoNormalCaracter"/>
          </w:rPr>
          <w:t>270/2015</w:t>
        </w:r>
      </w:hyperlink>
      <w:r>
        <w:t>, f. 4.</w:t>
      </w:r>
    </w:p>
    <w:p w:rsidR="00981775" w:rsidRDefault="00981775" w:rsidP="00981775">
      <w:pPr>
        <w:pStyle w:val="SangriaFrancesaArticulo"/>
      </w:pPr>
      <w:r w:rsidRPr="00981775">
        <w:rPr>
          <w:rStyle w:val="TextoNormalNegritaCaracter"/>
        </w:rPr>
        <w:t>Disposición transitoria tercera.</w:t>
      </w:r>
      <w:r w:rsidRPr="00981775">
        <w:rPr>
          <w:rStyle w:val="TextoNormalCaracter"/>
        </w:rPr>
        <w:t>-</w:t>
      </w:r>
      <w:r>
        <w:t xml:space="preserve"> Sentencia </w:t>
      </w:r>
      <w:hyperlink w:anchor="SENTENCIA_2015_270" w:history="1">
        <w:r w:rsidRPr="00981775">
          <w:rPr>
            <w:rStyle w:val="TextoNormalCaracter"/>
          </w:rPr>
          <w:t>270/2015</w:t>
        </w:r>
      </w:hyperlink>
      <w:r>
        <w:t>, f. 1.</w:t>
      </w:r>
    </w:p>
    <w:p w:rsidR="00981775" w:rsidRDefault="00981775" w:rsidP="00981775">
      <w:pPr>
        <w:pStyle w:val="SangriaFrancesaArticulo"/>
      </w:pPr>
      <w:r w:rsidRPr="00981775">
        <w:rPr>
          <w:rStyle w:val="TextoNormalNegritaCaracter"/>
        </w:rPr>
        <w:t>Disposición final segunda.</w:t>
      </w:r>
      <w:r w:rsidRPr="00981775">
        <w:rPr>
          <w:rStyle w:val="TextoNormalCaracter"/>
        </w:rPr>
        <w:t>-</w:t>
      </w:r>
      <w:r>
        <w:t xml:space="preserve"> Sentencia </w:t>
      </w:r>
      <w:hyperlink w:anchor="SENTENCIA_2015_270" w:history="1">
        <w:r w:rsidRPr="00981775">
          <w:rPr>
            <w:rStyle w:val="TextoNormalCaracter"/>
          </w:rPr>
          <w:t>270/2015</w:t>
        </w:r>
      </w:hyperlink>
      <w:r>
        <w:t>, f. 1.</w:t>
      </w:r>
    </w:p>
    <w:p w:rsidR="00981775" w:rsidRDefault="00981775" w:rsidP="00981775">
      <w:pPr>
        <w:pStyle w:val="SangriaFrancesaArticulo"/>
      </w:pPr>
    </w:p>
    <w:p w:rsidR="00981775" w:rsidRDefault="00981775" w:rsidP="00981775">
      <w:pPr>
        <w:pStyle w:val="TextoNormalNegritaCursivandice"/>
      </w:pPr>
      <w:r>
        <w:t>Real Decreto-ley 13/2009, de 26 de octubre. Creación del fondo estatal para el empleo y la sostenibilidad local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20" w:history="1">
        <w:r w:rsidRPr="00981775">
          <w:rPr>
            <w:rStyle w:val="TextoNormalCaracter"/>
          </w:rPr>
          <w:t>120/2015</w:t>
        </w:r>
      </w:hyperlink>
      <w:r>
        <w:t>, ff. 1, 2.</w:t>
      </w:r>
    </w:p>
    <w:p w:rsidR="00981775" w:rsidRDefault="00981775" w:rsidP="00981775">
      <w:pPr>
        <w:pStyle w:val="SangriaFrancesaArticulo"/>
      </w:pPr>
      <w:r w:rsidRPr="00981775">
        <w:rPr>
          <w:rStyle w:val="TextoNormalNegritaCaracter"/>
        </w:rPr>
        <w:t>Artículo 5.</w:t>
      </w:r>
      <w:r w:rsidRPr="00981775">
        <w:rPr>
          <w:rStyle w:val="TextoNormalCaracter"/>
        </w:rPr>
        <w:t>-</w:t>
      </w:r>
      <w:r>
        <w:t xml:space="preserve"> Sentencias </w:t>
      </w:r>
      <w:hyperlink w:anchor="SENTENCIA_2015_201" w:history="1">
        <w:r w:rsidRPr="00981775">
          <w:rPr>
            <w:rStyle w:val="TextoNormalCaracter"/>
          </w:rPr>
          <w:t>201/2015</w:t>
        </w:r>
      </w:hyperlink>
      <w:r>
        <w:t xml:space="preserve">, f. 1; </w:t>
      </w:r>
      <w:hyperlink w:anchor="SENTENCIA_2015_212" w:history="1">
        <w:r w:rsidRPr="00981775">
          <w:rPr>
            <w:rStyle w:val="TextoNormalCaracter"/>
          </w:rPr>
          <w:t>212/2015</w:t>
        </w:r>
      </w:hyperlink>
      <w:r>
        <w:t xml:space="preserve">, f. 1; </w:t>
      </w:r>
      <w:hyperlink w:anchor="SENTENCIA_2015_213" w:history="1">
        <w:r w:rsidRPr="00981775">
          <w:rPr>
            <w:rStyle w:val="TextoNormalCaracter"/>
          </w:rPr>
          <w:t>213/2015</w:t>
        </w:r>
      </w:hyperlink>
      <w:r>
        <w:t xml:space="preserve">, f. 1; </w:t>
      </w:r>
      <w:hyperlink w:anchor="SENTENCIA_2015_219" w:history="1">
        <w:r w:rsidRPr="00981775">
          <w:rPr>
            <w:rStyle w:val="TextoNormalCaracter"/>
          </w:rPr>
          <w:t>219/2015</w:t>
        </w:r>
      </w:hyperlink>
      <w:r>
        <w:t xml:space="preserve">, f. 1; </w:t>
      </w:r>
      <w:hyperlink w:anchor="SENTENCIA_2015_220" w:history="1">
        <w:r w:rsidRPr="00981775">
          <w:rPr>
            <w:rStyle w:val="TextoNormalCaracter"/>
          </w:rPr>
          <w:t>220/2015</w:t>
        </w:r>
      </w:hyperlink>
      <w:r>
        <w:t xml:space="preserve">, f. 1; </w:t>
      </w:r>
      <w:hyperlink w:anchor="SENTENCIA_2015_221" w:history="1">
        <w:r w:rsidRPr="00981775">
          <w:rPr>
            <w:rStyle w:val="TextoNormalCaracter"/>
          </w:rPr>
          <w:t>221/2015</w:t>
        </w:r>
      </w:hyperlink>
      <w:r>
        <w:t>, f. 1.</w:t>
      </w:r>
    </w:p>
    <w:p w:rsidR="00981775" w:rsidRDefault="00981775" w:rsidP="00981775">
      <w:pPr>
        <w:pStyle w:val="SangriaIzquierdaArticulo"/>
      </w:pPr>
      <w:r>
        <w:t xml:space="preserve">Auto </w:t>
      </w:r>
      <w:hyperlink w:anchor="AUTO_2015_136" w:history="1">
        <w:r w:rsidRPr="00981775">
          <w:rPr>
            <w:rStyle w:val="TextoNormalCaracter"/>
          </w:rPr>
          <w:t>136/2015</w:t>
        </w:r>
      </w:hyperlink>
      <w:r>
        <w:t>, f. 1.</w:t>
      </w:r>
    </w:p>
    <w:p w:rsidR="00981775" w:rsidRDefault="00981775" w:rsidP="00981775">
      <w:pPr>
        <w:pStyle w:val="SangriaFrancesaArticulo"/>
      </w:pPr>
      <w:r w:rsidRPr="00981775">
        <w:rPr>
          <w:rStyle w:val="TextoNormalNegritaCaracter"/>
        </w:rPr>
        <w:t>Artículo 6.</w:t>
      </w:r>
      <w:r w:rsidRPr="00981775">
        <w:rPr>
          <w:rStyle w:val="TextoNormalCaracter"/>
        </w:rPr>
        <w:t>-</w:t>
      </w:r>
      <w:r>
        <w:t xml:space="preserve"> Sentencias </w:t>
      </w:r>
      <w:hyperlink w:anchor="SENTENCIA_2015_201" w:history="1">
        <w:r w:rsidRPr="00981775">
          <w:rPr>
            <w:rStyle w:val="TextoNormalCaracter"/>
          </w:rPr>
          <w:t>201/2015</w:t>
        </w:r>
      </w:hyperlink>
      <w:r>
        <w:t xml:space="preserve">, f. 1; </w:t>
      </w:r>
      <w:hyperlink w:anchor="SENTENCIA_2015_212" w:history="1">
        <w:r w:rsidRPr="00981775">
          <w:rPr>
            <w:rStyle w:val="TextoNormalCaracter"/>
          </w:rPr>
          <w:t>212/2015</w:t>
        </w:r>
      </w:hyperlink>
      <w:r>
        <w:t xml:space="preserve">, f. 1; </w:t>
      </w:r>
      <w:hyperlink w:anchor="SENTENCIA_2015_213" w:history="1">
        <w:r w:rsidRPr="00981775">
          <w:rPr>
            <w:rStyle w:val="TextoNormalCaracter"/>
          </w:rPr>
          <w:t>213/2015</w:t>
        </w:r>
      </w:hyperlink>
      <w:r>
        <w:t xml:space="preserve">, f. 1; </w:t>
      </w:r>
      <w:hyperlink w:anchor="SENTENCIA_2015_219" w:history="1">
        <w:r w:rsidRPr="00981775">
          <w:rPr>
            <w:rStyle w:val="TextoNormalCaracter"/>
          </w:rPr>
          <w:t>219/2015</w:t>
        </w:r>
      </w:hyperlink>
      <w:r>
        <w:t xml:space="preserve">, f. 1; </w:t>
      </w:r>
      <w:hyperlink w:anchor="SENTENCIA_2015_220" w:history="1">
        <w:r w:rsidRPr="00981775">
          <w:rPr>
            <w:rStyle w:val="TextoNormalCaracter"/>
          </w:rPr>
          <w:t>220/2015</w:t>
        </w:r>
      </w:hyperlink>
      <w:r>
        <w:t xml:space="preserve">, f. 1; </w:t>
      </w:r>
      <w:hyperlink w:anchor="SENTENCIA_2015_221" w:history="1">
        <w:r w:rsidRPr="00981775">
          <w:rPr>
            <w:rStyle w:val="TextoNormalCaracter"/>
          </w:rPr>
          <w:t>221/2015</w:t>
        </w:r>
      </w:hyperlink>
      <w:r>
        <w:t>, f. 1.</w:t>
      </w:r>
    </w:p>
    <w:p w:rsidR="00981775" w:rsidRDefault="00981775" w:rsidP="00981775">
      <w:pPr>
        <w:pStyle w:val="SangriaIzquierdaArticulo"/>
      </w:pPr>
      <w:r>
        <w:t xml:space="preserve">Auto </w:t>
      </w:r>
      <w:hyperlink w:anchor="AUTO_2015_136" w:history="1">
        <w:r w:rsidRPr="00981775">
          <w:rPr>
            <w:rStyle w:val="TextoNormalCaracter"/>
          </w:rPr>
          <w:t>136/2015</w:t>
        </w:r>
      </w:hyperlink>
      <w:r>
        <w:t>, f. 1.</w:t>
      </w:r>
    </w:p>
    <w:p w:rsidR="00981775" w:rsidRDefault="00981775" w:rsidP="00981775">
      <w:pPr>
        <w:pStyle w:val="SangriaIzquierdaArticulo"/>
      </w:pPr>
    </w:p>
    <w:p w:rsidR="00981775" w:rsidRDefault="00981775" w:rsidP="00981775">
      <w:pPr>
        <w:pStyle w:val="TextoNormalNegritaCursivandice"/>
      </w:pPr>
      <w:r>
        <w:t>Real Decreto-ley 5/2010, de 31 de marzo. Amplía la vigencia de determinadas medidas económicas de carácter temporal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6" w:history="1">
        <w:r w:rsidRPr="00981775">
          <w:rPr>
            <w:rStyle w:val="TextoNormalCaracter"/>
          </w:rPr>
          <w:t>236/2015</w:t>
        </w:r>
      </w:hyperlink>
      <w:r>
        <w:t>, f. 10.</w:t>
      </w:r>
    </w:p>
    <w:p w:rsidR="00981775" w:rsidRDefault="00981775" w:rsidP="00981775">
      <w:pPr>
        <w:pStyle w:val="SangriaFrancesaArticulo"/>
      </w:pPr>
      <w:r w:rsidRPr="00981775">
        <w:rPr>
          <w:rStyle w:val="TextoNormalNegritaCaracter"/>
        </w:rPr>
        <w:t>Artículo 35.1.</w:t>
      </w:r>
      <w:r w:rsidRPr="00981775">
        <w:rPr>
          <w:rStyle w:val="TextoNormalCaracter"/>
        </w:rPr>
        <w:t>-</w:t>
      </w:r>
      <w:r>
        <w:t xml:space="preserve"> Sentencia </w:t>
      </w:r>
      <w:hyperlink w:anchor="SENTENCIA_2015_236" w:history="1">
        <w:r w:rsidRPr="00981775">
          <w:rPr>
            <w:rStyle w:val="TextoNormalCaracter"/>
          </w:rPr>
          <w:t>236/2015</w:t>
        </w:r>
      </w:hyperlink>
      <w:r>
        <w:t>, VP.</w:t>
      </w:r>
    </w:p>
    <w:p w:rsidR="00981775" w:rsidRDefault="00981775" w:rsidP="00981775">
      <w:pPr>
        <w:pStyle w:val="SangriaFrancesaArticulo"/>
      </w:pPr>
    </w:p>
    <w:p w:rsidR="00981775" w:rsidRDefault="00981775" w:rsidP="00981775">
      <w:pPr>
        <w:pStyle w:val="TextoNormalNegritaCursivandice"/>
      </w:pPr>
      <w:r>
        <w:t>Real Decreto-ley 6/2010, de 9 de abril. Medidas para el impulso de la recuperación económica y el empleo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6" w:history="1">
        <w:r w:rsidRPr="00981775">
          <w:rPr>
            <w:rStyle w:val="TextoNormalCaracter"/>
          </w:rPr>
          <w:t>236/2015</w:t>
        </w:r>
      </w:hyperlink>
      <w:r>
        <w:t>, f. 10.</w:t>
      </w:r>
    </w:p>
    <w:p w:rsidR="00981775" w:rsidRDefault="00981775" w:rsidP="00981775">
      <w:pPr>
        <w:pStyle w:val="SangriaFrancesaArticulo"/>
      </w:pPr>
      <w:r w:rsidRPr="00981775">
        <w:rPr>
          <w:rStyle w:val="TextoNormalNegritaCaracter"/>
        </w:rPr>
        <w:t>Disposición derogatoria única.</w:t>
      </w:r>
      <w:r w:rsidRPr="00981775">
        <w:rPr>
          <w:rStyle w:val="TextoNormalCaracter"/>
        </w:rPr>
        <w:t>-</w:t>
      </w:r>
      <w:r>
        <w:t xml:space="preserve"> Sentencia </w:t>
      </w:r>
      <w:hyperlink w:anchor="SENTENCIA_2015_236" w:history="1">
        <w:r w:rsidRPr="00981775">
          <w:rPr>
            <w:rStyle w:val="TextoNormalCaracter"/>
          </w:rPr>
          <w:t>236/2015</w:t>
        </w:r>
      </w:hyperlink>
      <w:r>
        <w:t>, f. 10.</w:t>
      </w:r>
    </w:p>
    <w:p w:rsidR="00981775" w:rsidRDefault="00981775" w:rsidP="00981775">
      <w:pPr>
        <w:pStyle w:val="SangriaFrancesaArticulo"/>
      </w:pPr>
    </w:p>
    <w:p w:rsidR="00981775" w:rsidRDefault="00981775" w:rsidP="00981775">
      <w:pPr>
        <w:pStyle w:val="TextoNormalNegritaCursivandice"/>
      </w:pPr>
      <w:r>
        <w:t>Real Decreto-ley 8/2010, de 20 de mayo. Medidas extraordinarias para la reducción del déficit público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Autos </w:t>
      </w:r>
      <w:hyperlink w:anchor="AUTO_2015_133" w:history="1">
        <w:r w:rsidRPr="00981775">
          <w:rPr>
            <w:rStyle w:val="TextoNormalCaracter"/>
          </w:rPr>
          <w:t>133/2015</w:t>
        </w:r>
      </w:hyperlink>
      <w:r>
        <w:t xml:space="preserve">, f. único; </w:t>
      </w:r>
      <w:hyperlink w:anchor="AUTO_2015_224" w:history="1">
        <w:r w:rsidRPr="00981775">
          <w:rPr>
            <w:rStyle w:val="TextoNormalCaracter"/>
          </w:rPr>
          <w:t>224/2015</w:t>
        </w:r>
      </w:hyperlink>
      <w:r>
        <w:t>, f. 3.</w:t>
      </w:r>
    </w:p>
    <w:p w:rsidR="00981775" w:rsidRDefault="00981775" w:rsidP="00981775">
      <w:pPr>
        <w:pStyle w:val="SangriaFrancesaArticulo"/>
      </w:pPr>
    </w:p>
    <w:p w:rsidR="00981775" w:rsidRDefault="00981775" w:rsidP="00981775">
      <w:pPr>
        <w:pStyle w:val="TextoNormalNegritaCursivandice"/>
      </w:pPr>
      <w:r>
        <w:t>Real Decreto-ley 14/2010, de 23 de diciembre. Medidas urgentes para la corrección del déficit tarifario del sector eléctrico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Sentencias </w:t>
      </w:r>
      <w:hyperlink w:anchor="SENTENCIA_2015_199" w:history="1">
        <w:r w:rsidRPr="00981775">
          <w:rPr>
            <w:rStyle w:val="TextoNormalCaracter"/>
          </w:rPr>
          <w:t>199/2015</w:t>
        </w:r>
      </w:hyperlink>
      <w:r>
        <w:t xml:space="preserve">, f. 8; </w:t>
      </w:r>
      <w:hyperlink w:anchor="SENTENCIA_2015_270" w:history="1">
        <w:r w:rsidRPr="00981775">
          <w:rPr>
            <w:rStyle w:val="TextoNormalCaracter"/>
          </w:rPr>
          <w:t>270/2015</w:t>
        </w:r>
      </w:hyperlink>
      <w:r>
        <w:t>, VP.</w:t>
      </w:r>
    </w:p>
    <w:p w:rsidR="00981775" w:rsidRDefault="00981775" w:rsidP="00981775">
      <w:pPr>
        <w:pStyle w:val="SangriaFrancesaArticulo"/>
      </w:pPr>
    </w:p>
    <w:p w:rsidR="00981775" w:rsidRDefault="00981775" w:rsidP="00981775">
      <w:pPr>
        <w:pStyle w:val="TextoNormalNegritaCursivandice"/>
      </w:pPr>
      <w:r>
        <w:t>Real Decreto-ley 12/2011, de 26 de agosto. Modifica la Ley 1/2000, de 7 de enero, de enjuiciamiento civil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96" w:history="1">
        <w:r w:rsidRPr="00981775">
          <w:rPr>
            <w:rStyle w:val="TextoNormalCaracter"/>
          </w:rPr>
          <w:t>196/2015</w:t>
        </w:r>
      </w:hyperlink>
      <w:r>
        <w:t>, ff. 2, 6.</w:t>
      </w:r>
    </w:p>
    <w:p w:rsidR="00981775" w:rsidRDefault="00981775" w:rsidP="00981775">
      <w:pPr>
        <w:pStyle w:val="SangriaFrancesaArticulo"/>
      </w:pPr>
      <w:r w:rsidRPr="00981775">
        <w:rPr>
          <w:rStyle w:val="TextoNormalNegritaCaracter"/>
        </w:rPr>
        <w:t>Exposición de motivos.</w:t>
      </w:r>
      <w:r w:rsidRPr="00981775">
        <w:rPr>
          <w:rStyle w:val="TextoNormalCaracter"/>
        </w:rPr>
        <w:t>-</w:t>
      </w:r>
      <w:r>
        <w:t xml:space="preserve"> Sentencia </w:t>
      </w:r>
      <w:hyperlink w:anchor="SENTENCIA_2015_196" w:history="1">
        <w:r w:rsidRPr="00981775">
          <w:rPr>
            <w:rStyle w:val="TextoNormalCaracter"/>
          </w:rPr>
          <w:t>196/2015</w:t>
        </w:r>
      </w:hyperlink>
      <w:r>
        <w:t>, f. 4.</w:t>
      </w:r>
    </w:p>
    <w:p w:rsidR="00981775" w:rsidRDefault="00981775" w:rsidP="00981775">
      <w:pPr>
        <w:pStyle w:val="SangriaFrancesaArticulo"/>
      </w:pPr>
      <w:r w:rsidRPr="00981775">
        <w:rPr>
          <w:rStyle w:val="TextoNormalNegritaCaracter"/>
        </w:rPr>
        <w:t>Disposición adicional primera.</w:t>
      </w:r>
      <w:r w:rsidRPr="00981775">
        <w:rPr>
          <w:rStyle w:val="TextoNormalCaracter"/>
        </w:rPr>
        <w:t>-</w:t>
      </w:r>
      <w:r>
        <w:t xml:space="preserve"> Auto </w:t>
      </w:r>
      <w:hyperlink w:anchor="AUTO_2015_165" w:history="1">
        <w:r w:rsidRPr="00981775">
          <w:rPr>
            <w:rStyle w:val="TextoNormalCaracter"/>
          </w:rPr>
          <w:t>165/2015</w:t>
        </w:r>
      </w:hyperlink>
      <w:r>
        <w:t>.</w:t>
      </w:r>
    </w:p>
    <w:p w:rsidR="00981775" w:rsidRDefault="00981775" w:rsidP="00981775">
      <w:pPr>
        <w:pStyle w:val="SangriaFrancesaArticulo"/>
      </w:pPr>
      <w:r w:rsidRPr="00981775">
        <w:rPr>
          <w:rStyle w:val="TextoNormalNegritaCaracter"/>
        </w:rPr>
        <w:t>Disposición adicional decimocuarta.</w:t>
      </w:r>
      <w:r w:rsidRPr="00981775">
        <w:rPr>
          <w:rStyle w:val="TextoNormalCaracter"/>
        </w:rPr>
        <w:t>-</w:t>
      </w:r>
      <w:r>
        <w:t xml:space="preserve"> Sentencia </w:t>
      </w:r>
      <w:hyperlink w:anchor="SENTENCIA_2015_196" w:history="1">
        <w:r w:rsidRPr="00981775">
          <w:rPr>
            <w:rStyle w:val="TextoNormalCaracter"/>
          </w:rPr>
          <w:t>196/2015</w:t>
        </w:r>
      </w:hyperlink>
      <w:r>
        <w:t>, ff. 1, 2, 4.</w:t>
      </w:r>
    </w:p>
    <w:p w:rsidR="00981775" w:rsidRDefault="00981775" w:rsidP="00981775">
      <w:pPr>
        <w:pStyle w:val="SangriaFrancesaArticulo"/>
      </w:pPr>
      <w:r w:rsidRPr="00981775">
        <w:rPr>
          <w:rStyle w:val="TextoNormalNegritaCaracter"/>
        </w:rPr>
        <w:t>Disposición final primera.</w:t>
      </w:r>
      <w:r w:rsidRPr="00981775">
        <w:rPr>
          <w:rStyle w:val="TextoNormalCaracter"/>
        </w:rPr>
        <w:t>-</w:t>
      </w:r>
      <w:r>
        <w:t xml:space="preserve"> Sentencia </w:t>
      </w:r>
      <w:hyperlink w:anchor="SENTENCIA_2015_196" w:history="1">
        <w:r w:rsidRPr="00981775">
          <w:rPr>
            <w:rStyle w:val="TextoNormalCaracter"/>
          </w:rPr>
          <w:t>196/2015</w:t>
        </w:r>
      </w:hyperlink>
      <w:r>
        <w:t>, ff. 1, 4.</w:t>
      </w:r>
    </w:p>
    <w:p w:rsidR="00981775" w:rsidRDefault="00981775" w:rsidP="00981775">
      <w:pPr>
        <w:pStyle w:val="SangriaIzquierdaArticulo"/>
      </w:pPr>
      <w:r>
        <w:t xml:space="preserve">Autos </w:t>
      </w:r>
      <w:hyperlink w:anchor="AUTO_2015_165" w:history="1">
        <w:r w:rsidRPr="00981775">
          <w:rPr>
            <w:rStyle w:val="TextoNormalCaracter"/>
          </w:rPr>
          <w:t>165/2015</w:t>
        </w:r>
      </w:hyperlink>
      <w:r>
        <w:t xml:space="preserve">, f. único; </w:t>
      </w:r>
      <w:hyperlink w:anchor="AUTO_2015_166" w:history="1">
        <w:r w:rsidRPr="00981775">
          <w:rPr>
            <w:rStyle w:val="TextoNormalCaracter"/>
          </w:rPr>
          <w:t>166/2015</w:t>
        </w:r>
      </w:hyperlink>
      <w:r>
        <w:t>, f. único.</w:t>
      </w:r>
    </w:p>
    <w:p w:rsidR="00981775" w:rsidRDefault="00981775" w:rsidP="00981775">
      <w:pPr>
        <w:pStyle w:val="SangriaIzquierdaArticulo"/>
      </w:pPr>
    </w:p>
    <w:p w:rsidR="00981775" w:rsidRDefault="00981775" w:rsidP="00981775">
      <w:pPr>
        <w:pStyle w:val="TextoNormalNegritaCursivandice"/>
      </w:pPr>
      <w:r>
        <w:t>Real Decreto-ley 20/2011, de 30 de diciembre. Medidas urgentes en materia presupuestaria, tributaria y financiera para la corrección del déficit público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Sentencias </w:t>
      </w:r>
      <w:hyperlink w:anchor="SENTENCIA_2015_215" w:history="1">
        <w:r w:rsidRPr="00981775">
          <w:rPr>
            <w:rStyle w:val="TextoNormalCaracter"/>
          </w:rPr>
          <w:t>215/2015</w:t>
        </w:r>
      </w:hyperlink>
      <w:r>
        <w:t xml:space="preserve">, ff. 2, 4, 5; </w:t>
      </w:r>
      <w:hyperlink w:anchor="SENTENCIA_2015_216" w:history="1">
        <w:r w:rsidRPr="00981775">
          <w:rPr>
            <w:rStyle w:val="TextoNormalCaracter"/>
          </w:rPr>
          <w:t>216/2015</w:t>
        </w:r>
      </w:hyperlink>
      <w:r>
        <w:t xml:space="preserve">, f. 3; </w:t>
      </w:r>
      <w:hyperlink w:anchor="SENTENCIA_2015_267" w:history="1">
        <w:r w:rsidRPr="00981775">
          <w:rPr>
            <w:rStyle w:val="TextoNormalCaracter"/>
          </w:rPr>
          <w:t>267/2015</w:t>
        </w:r>
      </w:hyperlink>
      <w:r>
        <w:t xml:space="preserve">, f. 1; </w:t>
      </w:r>
      <w:hyperlink w:anchor="SENTENCIA_2015_268" w:history="1">
        <w:r w:rsidRPr="00981775">
          <w:rPr>
            <w:rStyle w:val="TextoNormalCaracter"/>
          </w:rPr>
          <w:t>268/2015</w:t>
        </w:r>
      </w:hyperlink>
      <w:r>
        <w:t>, f. 2.</w:t>
      </w:r>
    </w:p>
    <w:p w:rsidR="00981775" w:rsidRDefault="00981775" w:rsidP="00981775">
      <w:pPr>
        <w:pStyle w:val="SangriaFrancesaArticulo"/>
      </w:pPr>
      <w:r w:rsidRPr="00981775">
        <w:rPr>
          <w:rStyle w:val="TextoNormalNegritaCaracter"/>
        </w:rPr>
        <w:t>Preámbulo.</w:t>
      </w:r>
      <w:r w:rsidRPr="00981775">
        <w:rPr>
          <w:rStyle w:val="TextoNormalCaracter"/>
        </w:rPr>
        <w:t>-</w:t>
      </w:r>
      <w:r>
        <w:t xml:space="preserve"> Sentencia </w:t>
      </w:r>
      <w:hyperlink w:anchor="SENTENCIA_2015_215" w:history="1">
        <w:r w:rsidRPr="00981775">
          <w:rPr>
            <w:rStyle w:val="TextoNormalCaracter"/>
          </w:rPr>
          <w:t>215/2015</w:t>
        </w:r>
      </w:hyperlink>
      <w:r>
        <w:t>, f. 6.</w:t>
      </w:r>
    </w:p>
    <w:p w:rsidR="00981775" w:rsidRDefault="00981775" w:rsidP="00981775">
      <w:pPr>
        <w:pStyle w:val="SangriaFrancesaArticulo"/>
      </w:pPr>
      <w:r w:rsidRPr="00981775">
        <w:rPr>
          <w:rStyle w:val="TextoNormalNegritaCaracter"/>
        </w:rPr>
        <w:t>Artículo 2.1.</w:t>
      </w:r>
      <w:r w:rsidRPr="00981775">
        <w:rPr>
          <w:rStyle w:val="TextoNormalCaracter"/>
        </w:rPr>
        <w:t>-</w:t>
      </w:r>
      <w:r>
        <w:t xml:space="preserve"> Sentencia </w:t>
      </w:r>
      <w:hyperlink w:anchor="SENTENCIA_2015_215" w:history="1">
        <w:r w:rsidRPr="00981775">
          <w:rPr>
            <w:rStyle w:val="TextoNormalCaracter"/>
          </w:rPr>
          <w:t>215/2015</w:t>
        </w:r>
      </w:hyperlink>
      <w:r>
        <w:t>, f. 2.</w:t>
      </w:r>
    </w:p>
    <w:p w:rsidR="00981775" w:rsidRDefault="00981775" w:rsidP="00981775">
      <w:pPr>
        <w:pStyle w:val="SangriaFrancesaArticulo"/>
      </w:pPr>
      <w:r w:rsidRPr="00981775">
        <w:rPr>
          <w:rStyle w:val="TextoNormalNegritaCaracter"/>
        </w:rPr>
        <w:t>Artículo 2.3.</w:t>
      </w:r>
      <w:r w:rsidRPr="00981775">
        <w:rPr>
          <w:rStyle w:val="TextoNormalCaracter"/>
        </w:rPr>
        <w:t>-</w:t>
      </w:r>
      <w:r>
        <w:t xml:space="preserve"> Sentencia </w:t>
      </w:r>
      <w:hyperlink w:anchor="SENTENCIA_2015_215" w:history="1">
        <w:r w:rsidRPr="00981775">
          <w:rPr>
            <w:rStyle w:val="TextoNormalCaracter"/>
          </w:rPr>
          <w:t>215/2015</w:t>
        </w:r>
      </w:hyperlink>
      <w:r>
        <w:t>, ff. 1, 2, 5, 7.</w:t>
      </w:r>
    </w:p>
    <w:p w:rsidR="00981775" w:rsidRDefault="00981775" w:rsidP="00981775">
      <w:pPr>
        <w:pStyle w:val="SangriaFrancesaArticulo"/>
      </w:pPr>
      <w:r w:rsidRPr="00981775">
        <w:rPr>
          <w:rStyle w:val="TextoNormalNegritaCaracter"/>
        </w:rPr>
        <w:t>Artículo 2.7.</w:t>
      </w:r>
      <w:r w:rsidRPr="00981775">
        <w:rPr>
          <w:rStyle w:val="TextoNormalCaracter"/>
        </w:rPr>
        <w:t>-</w:t>
      </w:r>
      <w:r>
        <w:t xml:space="preserve"> Sentencia </w:t>
      </w:r>
      <w:hyperlink w:anchor="SENTENCIA_2015_215" w:history="1">
        <w:r w:rsidRPr="00981775">
          <w:rPr>
            <w:rStyle w:val="TextoNormalCaracter"/>
          </w:rPr>
          <w:t>215/2015</w:t>
        </w:r>
      </w:hyperlink>
      <w:r>
        <w:t>, f. 7.</w:t>
      </w:r>
    </w:p>
    <w:p w:rsidR="00981775" w:rsidRDefault="00981775" w:rsidP="00981775">
      <w:pPr>
        <w:pStyle w:val="SangriaFrancesaArticulo"/>
      </w:pPr>
      <w:r w:rsidRPr="00981775">
        <w:rPr>
          <w:rStyle w:val="TextoNormalNegritaCaracter"/>
        </w:rPr>
        <w:t>Disposición final vigésima tercera.</w:t>
      </w:r>
      <w:r w:rsidRPr="00981775">
        <w:rPr>
          <w:rStyle w:val="TextoNormalCaracter"/>
        </w:rPr>
        <w:t>-</w:t>
      </w:r>
      <w:r>
        <w:t xml:space="preserve"> Sentencia </w:t>
      </w:r>
      <w:hyperlink w:anchor="SENTENCIA_2015_215" w:history="1">
        <w:r w:rsidRPr="00981775">
          <w:rPr>
            <w:rStyle w:val="TextoNormalCaracter"/>
          </w:rPr>
          <w:t>215/2015</w:t>
        </w:r>
      </w:hyperlink>
      <w:r>
        <w:t>, f. 5.</w:t>
      </w:r>
    </w:p>
    <w:p w:rsidR="00981775" w:rsidRDefault="00981775" w:rsidP="00981775">
      <w:pPr>
        <w:pStyle w:val="SangriaFrancesaArticulo"/>
      </w:pPr>
    </w:p>
    <w:p w:rsidR="00981775" w:rsidRDefault="00981775" w:rsidP="00981775">
      <w:pPr>
        <w:pStyle w:val="TextoNormalNegritaCursivandice"/>
      </w:pPr>
      <w:r>
        <w:t>Real Decreto-ley 1/2012, de 27 de enero. Suspensión de los procedimientos de preasignación de retribución y supresión de los incentivos económicos para nuevas instalaciones de producción de energía eléctrica a partir de cogeneración, fuentes de energía renovables y residuos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70" w:history="1">
        <w:r w:rsidRPr="00981775">
          <w:rPr>
            <w:rStyle w:val="TextoNormalCaracter"/>
          </w:rPr>
          <w:t>270/2015</w:t>
        </w:r>
      </w:hyperlink>
      <w:r>
        <w:t>, VP.</w:t>
      </w:r>
    </w:p>
    <w:p w:rsidR="00981775" w:rsidRDefault="00981775" w:rsidP="00981775">
      <w:pPr>
        <w:pStyle w:val="SangriaFrancesaArticulo"/>
      </w:pPr>
    </w:p>
    <w:p w:rsidR="00981775" w:rsidRDefault="00981775" w:rsidP="00981775">
      <w:pPr>
        <w:pStyle w:val="TextoNormalNegritaCursivandice"/>
      </w:pPr>
      <w:r>
        <w:t>Real Decreto-ley 17/2012, de 4 de mayo. Medidas urgentes en materia de medio ambiente</w:t>
      </w:r>
    </w:p>
    <w:p w:rsidR="00981775" w:rsidRDefault="00981775" w:rsidP="00981775">
      <w:pPr>
        <w:pStyle w:val="SangriaFrancesaArticulo"/>
      </w:pPr>
      <w:r w:rsidRPr="00981775">
        <w:rPr>
          <w:rStyle w:val="TextoNormalNegritaCaracter"/>
        </w:rPr>
        <w:t>Artículo 1.9.</w:t>
      </w:r>
      <w:r w:rsidRPr="00981775">
        <w:rPr>
          <w:rStyle w:val="TextoNormalCaracter"/>
        </w:rPr>
        <w:t>-</w:t>
      </w:r>
      <w:r>
        <w:t xml:space="preserve"> Sentencia </w:t>
      </w:r>
      <w:hyperlink w:anchor="SENTENCIA_2015_196" w:history="1">
        <w:r w:rsidRPr="00981775">
          <w:rPr>
            <w:rStyle w:val="TextoNormalCaracter"/>
          </w:rPr>
          <w:t>196/2015</w:t>
        </w:r>
      </w:hyperlink>
      <w:r>
        <w:t>, f. 2.</w:t>
      </w:r>
    </w:p>
    <w:p w:rsidR="00981775" w:rsidRDefault="00981775" w:rsidP="00981775">
      <w:pPr>
        <w:pStyle w:val="SangriaFrancesaArticulo"/>
      </w:pPr>
      <w:r w:rsidRPr="00981775">
        <w:rPr>
          <w:rStyle w:val="TextoNormalNegritaCaracter"/>
        </w:rPr>
        <w:t>Artículo 1.10.</w:t>
      </w:r>
      <w:r w:rsidRPr="00981775">
        <w:rPr>
          <w:rStyle w:val="TextoNormalCaracter"/>
        </w:rPr>
        <w:t>-</w:t>
      </w:r>
      <w:r>
        <w:t xml:space="preserve"> Sentencia </w:t>
      </w:r>
      <w:hyperlink w:anchor="SENTENCIA_2015_196" w:history="1">
        <w:r w:rsidRPr="00981775">
          <w:rPr>
            <w:rStyle w:val="TextoNormalCaracter"/>
          </w:rPr>
          <w:t>196/2015</w:t>
        </w:r>
      </w:hyperlink>
      <w:r>
        <w:t>, f. 2.</w:t>
      </w:r>
    </w:p>
    <w:p w:rsidR="00981775" w:rsidRDefault="00981775" w:rsidP="00981775">
      <w:pPr>
        <w:pStyle w:val="SangriaFrancesaArticulo"/>
      </w:pPr>
    </w:p>
    <w:p w:rsidR="00981775" w:rsidRDefault="00981775" w:rsidP="00981775">
      <w:pPr>
        <w:pStyle w:val="TextoNormalNegritaCursivandice"/>
      </w:pPr>
      <w:r>
        <w:t>Real Decreto-ley 20/2012, de 13 de julio. Medidas para garantizar la estabilidad presupuestaria y de fomento de la competitividad</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Sentencias </w:t>
      </w:r>
      <w:hyperlink w:anchor="SENTENCIA_2015_151" w:history="1">
        <w:r w:rsidRPr="00981775">
          <w:rPr>
            <w:rStyle w:val="TextoNormalCaracter"/>
          </w:rPr>
          <w:t>151/2015</w:t>
        </w:r>
      </w:hyperlink>
      <w:r>
        <w:t xml:space="preserve">, f. 2; </w:t>
      </w:r>
      <w:hyperlink w:anchor="SENTENCIA_2015_153" w:history="1">
        <w:r w:rsidRPr="00981775">
          <w:rPr>
            <w:rStyle w:val="TextoNormalCaracter"/>
          </w:rPr>
          <w:t>153/2015</w:t>
        </w:r>
      </w:hyperlink>
      <w:r>
        <w:t xml:space="preserve">, ff. 1, 2; </w:t>
      </w:r>
      <w:hyperlink w:anchor="SENTENCIA_2015_156" w:history="1">
        <w:r w:rsidRPr="00981775">
          <w:rPr>
            <w:rStyle w:val="TextoNormalCaracter"/>
          </w:rPr>
          <w:t>156/2015</w:t>
        </w:r>
      </w:hyperlink>
      <w:r>
        <w:t xml:space="preserve">, ff. 2 a 4; </w:t>
      </w:r>
      <w:hyperlink w:anchor="SENTENCIA_2015_161" w:history="1">
        <w:r w:rsidRPr="00981775">
          <w:rPr>
            <w:rStyle w:val="TextoNormalCaracter"/>
          </w:rPr>
          <w:t>161/2015</w:t>
        </w:r>
      </w:hyperlink>
      <w:r>
        <w:t xml:space="preserve">, ff. 1 a 3; </w:t>
      </w:r>
      <w:hyperlink w:anchor="SENTENCIA_2015_162" w:history="1">
        <w:r w:rsidRPr="00981775">
          <w:rPr>
            <w:rStyle w:val="TextoNormalCaracter"/>
          </w:rPr>
          <w:t>162/2015</w:t>
        </w:r>
      </w:hyperlink>
      <w:r>
        <w:t xml:space="preserve">, ff. 1 a 3; </w:t>
      </w:r>
      <w:hyperlink w:anchor="SENTENCIA_2015_163" w:history="1">
        <w:r w:rsidRPr="00981775">
          <w:rPr>
            <w:rStyle w:val="TextoNormalCaracter"/>
          </w:rPr>
          <w:t>163/2015</w:t>
        </w:r>
      </w:hyperlink>
      <w:r>
        <w:t xml:space="preserve">, ff. 1 a 3; </w:t>
      </w:r>
      <w:hyperlink w:anchor="SENTENCIA_2015_164" w:history="1">
        <w:r w:rsidRPr="00981775">
          <w:rPr>
            <w:rStyle w:val="TextoNormalCaracter"/>
          </w:rPr>
          <w:t>164/2015</w:t>
        </w:r>
      </w:hyperlink>
      <w:r>
        <w:t xml:space="preserve">, ff. 1 a 3; </w:t>
      </w:r>
      <w:hyperlink w:anchor="SENTENCIA_2015_165" w:history="1">
        <w:r w:rsidRPr="00981775">
          <w:rPr>
            <w:rStyle w:val="TextoNormalCaracter"/>
          </w:rPr>
          <w:t>165/2015</w:t>
        </w:r>
      </w:hyperlink>
      <w:r>
        <w:t xml:space="preserve">, ff. 1 a 3; </w:t>
      </w:r>
      <w:hyperlink w:anchor="SENTENCIA_2015_166" w:history="1">
        <w:r w:rsidRPr="00981775">
          <w:rPr>
            <w:rStyle w:val="TextoNormalCaracter"/>
          </w:rPr>
          <w:t>166/2015</w:t>
        </w:r>
      </w:hyperlink>
      <w:r>
        <w:t xml:space="preserve">, ff. 1 a 3; </w:t>
      </w:r>
      <w:hyperlink w:anchor="SENTENCIA_2015_168" w:history="1">
        <w:r w:rsidRPr="00981775">
          <w:rPr>
            <w:rStyle w:val="TextoNormalCaracter"/>
          </w:rPr>
          <w:t>168/2015</w:t>
        </w:r>
      </w:hyperlink>
      <w:r>
        <w:t xml:space="preserve">, ff. 1 a 3; </w:t>
      </w:r>
      <w:hyperlink w:anchor="SENTENCIA_2015_170" w:history="1">
        <w:r w:rsidRPr="00981775">
          <w:rPr>
            <w:rStyle w:val="TextoNormalCaracter"/>
          </w:rPr>
          <w:t>170/2015</w:t>
        </w:r>
      </w:hyperlink>
      <w:r>
        <w:t xml:space="preserve">, ff. 1 a 3; </w:t>
      </w:r>
      <w:hyperlink w:anchor="SENTENCIA_2015_171" w:history="1">
        <w:r w:rsidRPr="00981775">
          <w:rPr>
            <w:rStyle w:val="TextoNormalCaracter"/>
          </w:rPr>
          <w:t>171/2015</w:t>
        </w:r>
      </w:hyperlink>
      <w:r>
        <w:t xml:space="preserve">, ff. 2, 3; </w:t>
      </w:r>
      <w:hyperlink w:anchor="SENTENCIA_2015_172" w:history="1">
        <w:r w:rsidRPr="00981775">
          <w:rPr>
            <w:rStyle w:val="TextoNormalCaracter"/>
          </w:rPr>
          <w:t>172/2015</w:t>
        </w:r>
      </w:hyperlink>
      <w:r>
        <w:t xml:space="preserve">, ff. 1 a 3; </w:t>
      </w:r>
      <w:hyperlink w:anchor="SENTENCIA_2015_173" w:history="1">
        <w:r w:rsidRPr="00981775">
          <w:rPr>
            <w:rStyle w:val="TextoNormalCaracter"/>
          </w:rPr>
          <w:t>173/2015</w:t>
        </w:r>
      </w:hyperlink>
      <w:r>
        <w:t xml:space="preserve">, ff. 1 a 3; </w:t>
      </w:r>
      <w:hyperlink w:anchor="SENTENCIA_2015_174" w:history="1">
        <w:r w:rsidRPr="00981775">
          <w:rPr>
            <w:rStyle w:val="TextoNormalCaracter"/>
          </w:rPr>
          <w:t>174/2015</w:t>
        </w:r>
      </w:hyperlink>
      <w:r>
        <w:t xml:space="preserve">, ff. 1 a 3; </w:t>
      </w:r>
      <w:hyperlink w:anchor="SENTENCIA_2015_175" w:history="1">
        <w:r w:rsidRPr="00981775">
          <w:rPr>
            <w:rStyle w:val="TextoNormalCaracter"/>
          </w:rPr>
          <w:t>175/2015</w:t>
        </w:r>
      </w:hyperlink>
      <w:r>
        <w:t xml:space="preserve">, ff. 1 a 3; </w:t>
      </w:r>
      <w:hyperlink w:anchor="SENTENCIA_2015_184" w:history="1">
        <w:r w:rsidRPr="00981775">
          <w:rPr>
            <w:rStyle w:val="TextoNormalCaracter"/>
          </w:rPr>
          <w:t>184/2015</w:t>
        </w:r>
      </w:hyperlink>
      <w:r>
        <w:t xml:space="preserve">, ff. 1 a 3; </w:t>
      </w:r>
      <w:hyperlink w:anchor="SENTENCIA_2015_188" w:history="1">
        <w:r w:rsidRPr="00981775">
          <w:rPr>
            <w:rStyle w:val="TextoNormalCaracter"/>
          </w:rPr>
          <w:t>188/2015</w:t>
        </w:r>
      </w:hyperlink>
      <w:r>
        <w:t xml:space="preserve">, ff. 1 a 3; </w:t>
      </w:r>
      <w:hyperlink w:anchor="SENTENCIA_2015_189" w:history="1">
        <w:r w:rsidRPr="00981775">
          <w:rPr>
            <w:rStyle w:val="TextoNormalCaracter"/>
          </w:rPr>
          <w:t>189/2015</w:t>
        </w:r>
      </w:hyperlink>
      <w:r>
        <w:t xml:space="preserve">, ff. 1 a 3; </w:t>
      </w:r>
      <w:hyperlink w:anchor="SENTENCIA_2015_190" w:history="1">
        <w:r w:rsidRPr="00981775">
          <w:rPr>
            <w:rStyle w:val="TextoNormalCaracter"/>
          </w:rPr>
          <w:t>190/2015</w:t>
        </w:r>
      </w:hyperlink>
      <w:r>
        <w:t xml:space="preserve">, ff. 1 a 3; </w:t>
      </w:r>
      <w:hyperlink w:anchor="SENTENCIA_2015_191" w:history="1">
        <w:r w:rsidRPr="00981775">
          <w:rPr>
            <w:rStyle w:val="TextoNormalCaracter"/>
          </w:rPr>
          <w:t>191/2015</w:t>
        </w:r>
      </w:hyperlink>
      <w:r>
        <w:t xml:space="preserve">, ff. 2, 3; </w:t>
      </w:r>
      <w:hyperlink w:anchor="SENTENCIA_2015_192" w:history="1">
        <w:r w:rsidRPr="00981775">
          <w:rPr>
            <w:rStyle w:val="TextoNormalCaracter"/>
          </w:rPr>
          <w:t>192/2015</w:t>
        </w:r>
      </w:hyperlink>
      <w:r>
        <w:t xml:space="preserve">, ff. 2, 3; </w:t>
      </w:r>
      <w:hyperlink w:anchor="SENTENCIA_2015_193" w:history="1">
        <w:r w:rsidRPr="00981775">
          <w:rPr>
            <w:rStyle w:val="TextoNormalCaracter"/>
          </w:rPr>
          <w:t>193/2015</w:t>
        </w:r>
      </w:hyperlink>
      <w:r>
        <w:t xml:space="preserve">, ff. 1 a 3; </w:t>
      </w:r>
      <w:hyperlink w:anchor="SENTENCIA_2015_205" w:history="1">
        <w:r w:rsidRPr="00981775">
          <w:rPr>
            <w:rStyle w:val="TextoNormalCaracter"/>
          </w:rPr>
          <w:t>205/2015</w:t>
        </w:r>
      </w:hyperlink>
      <w:r>
        <w:t xml:space="preserve">, ff. 2, 3; </w:t>
      </w:r>
      <w:hyperlink w:anchor="SENTENCIA_2015_206" w:history="1">
        <w:r w:rsidRPr="00981775">
          <w:rPr>
            <w:rStyle w:val="TextoNormalCaracter"/>
          </w:rPr>
          <w:t>206/2015</w:t>
        </w:r>
      </w:hyperlink>
      <w:r>
        <w:t xml:space="preserve">, ff. 1, 3; </w:t>
      </w:r>
      <w:hyperlink w:anchor="SENTENCIA_2015_210" w:history="1">
        <w:r w:rsidRPr="00981775">
          <w:rPr>
            <w:rStyle w:val="TextoNormalCaracter"/>
          </w:rPr>
          <w:t>210/2015</w:t>
        </w:r>
      </w:hyperlink>
      <w:r>
        <w:t xml:space="preserve">, ff. 1 a 3; </w:t>
      </w:r>
      <w:hyperlink w:anchor="SENTENCIA_2015_216" w:history="1">
        <w:r w:rsidRPr="00981775">
          <w:rPr>
            <w:rStyle w:val="TextoNormalCaracter"/>
          </w:rPr>
          <w:t>216/2015</w:t>
        </w:r>
      </w:hyperlink>
      <w:r>
        <w:t xml:space="preserve">, f. 3; </w:t>
      </w:r>
      <w:hyperlink w:anchor="SENTENCIA_2015_224" w:history="1">
        <w:r w:rsidRPr="00981775">
          <w:rPr>
            <w:rStyle w:val="TextoNormalCaracter"/>
          </w:rPr>
          <w:t>224/2015</w:t>
        </w:r>
      </w:hyperlink>
      <w:r>
        <w:t xml:space="preserve">, ff. 1, 2, 4; </w:t>
      </w:r>
      <w:hyperlink w:anchor="SENTENCIA_2015_225" w:history="1">
        <w:r w:rsidRPr="00981775">
          <w:rPr>
            <w:rStyle w:val="TextoNormalCaracter"/>
          </w:rPr>
          <w:t>225/2015</w:t>
        </w:r>
      </w:hyperlink>
      <w:r>
        <w:t xml:space="preserve">, ff. 2, 3; </w:t>
      </w:r>
      <w:hyperlink w:anchor="SENTENCIA_2015_227" w:history="1">
        <w:r w:rsidRPr="00981775">
          <w:rPr>
            <w:rStyle w:val="TextoNormalCaracter"/>
          </w:rPr>
          <w:t>227/2015</w:t>
        </w:r>
      </w:hyperlink>
      <w:r>
        <w:t xml:space="preserve">, ff. 1, 3; </w:t>
      </w:r>
      <w:hyperlink w:anchor="SENTENCIA_2015_228" w:history="1">
        <w:r w:rsidRPr="00981775">
          <w:rPr>
            <w:rStyle w:val="TextoNormalCaracter"/>
          </w:rPr>
          <w:t>228/2015</w:t>
        </w:r>
      </w:hyperlink>
      <w:r>
        <w:t xml:space="preserve">, ff. 1 a 3; </w:t>
      </w:r>
      <w:hyperlink w:anchor="SENTENCIA_2015_241" w:history="1">
        <w:r w:rsidRPr="00981775">
          <w:rPr>
            <w:rStyle w:val="TextoNormalCaracter"/>
          </w:rPr>
          <w:t>241/2015</w:t>
        </w:r>
      </w:hyperlink>
      <w:r>
        <w:t xml:space="preserve">, f. 3; </w:t>
      </w:r>
      <w:hyperlink w:anchor="SENTENCIA_2015_243" w:history="1">
        <w:r w:rsidRPr="00981775">
          <w:rPr>
            <w:rStyle w:val="TextoNormalCaracter"/>
          </w:rPr>
          <w:t>243/2015</w:t>
        </w:r>
      </w:hyperlink>
      <w:r>
        <w:t xml:space="preserve">, ff. 3, 6, 7; </w:t>
      </w:r>
      <w:hyperlink w:anchor="SENTENCIA_2015_245" w:history="1">
        <w:r w:rsidRPr="00981775">
          <w:rPr>
            <w:rStyle w:val="TextoNormalCaracter"/>
          </w:rPr>
          <w:t>245/2015</w:t>
        </w:r>
      </w:hyperlink>
      <w:r>
        <w:t xml:space="preserve">, ff. 1 a 3; </w:t>
      </w:r>
      <w:hyperlink w:anchor="SENTENCIA_2015_264" w:history="1">
        <w:r w:rsidRPr="00981775">
          <w:rPr>
            <w:rStyle w:val="TextoNormalCaracter"/>
          </w:rPr>
          <w:t>264/2015</w:t>
        </w:r>
      </w:hyperlink>
      <w:r>
        <w:t xml:space="preserve">, ff. 1 a 3; </w:t>
      </w:r>
      <w:hyperlink w:anchor="SENTENCIA_2015_267" w:history="1">
        <w:r w:rsidRPr="00981775">
          <w:rPr>
            <w:rStyle w:val="TextoNormalCaracter"/>
          </w:rPr>
          <w:t>267/2015</w:t>
        </w:r>
      </w:hyperlink>
      <w:r>
        <w:t xml:space="preserve">, f. 1; </w:t>
      </w:r>
      <w:hyperlink w:anchor="SENTENCIA_2015_268" w:history="1">
        <w:r w:rsidRPr="00981775">
          <w:rPr>
            <w:rStyle w:val="TextoNormalCaracter"/>
          </w:rPr>
          <w:t>268/2015</w:t>
        </w:r>
      </w:hyperlink>
      <w:r>
        <w:t>, f. 1.</w:t>
      </w:r>
    </w:p>
    <w:p w:rsidR="00981775" w:rsidRDefault="00981775" w:rsidP="00981775">
      <w:pPr>
        <w:pStyle w:val="SangriaIzquierdaArticulo"/>
      </w:pPr>
      <w:r>
        <w:t xml:space="preserve">Autos </w:t>
      </w:r>
      <w:hyperlink w:anchor="AUTO_2015_173" w:history="1">
        <w:r w:rsidRPr="00981775">
          <w:rPr>
            <w:rStyle w:val="TextoNormalCaracter"/>
          </w:rPr>
          <w:t>173/2015</w:t>
        </w:r>
      </w:hyperlink>
      <w:r>
        <w:t xml:space="preserve">, ff. 3, 4; </w:t>
      </w:r>
      <w:hyperlink w:anchor="AUTO_2015_225" w:history="1">
        <w:r w:rsidRPr="00981775">
          <w:rPr>
            <w:rStyle w:val="TextoNormalCaracter"/>
          </w:rPr>
          <w:t>225/2015</w:t>
        </w:r>
      </w:hyperlink>
      <w:r>
        <w:t xml:space="preserve">, f. 3; </w:t>
      </w:r>
      <w:hyperlink w:anchor="AUTO_2015_228" w:history="1">
        <w:r w:rsidRPr="00981775">
          <w:rPr>
            <w:rStyle w:val="TextoNormalCaracter"/>
          </w:rPr>
          <w:t>228/2015</w:t>
        </w:r>
      </w:hyperlink>
      <w:r>
        <w:t xml:space="preserve">, f. 3; </w:t>
      </w:r>
      <w:hyperlink w:anchor="AUTO_2015_229" w:history="1">
        <w:r w:rsidRPr="00981775">
          <w:rPr>
            <w:rStyle w:val="TextoNormalCaracter"/>
          </w:rPr>
          <w:t>229/2015</w:t>
        </w:r>
      </w:hyperlink>
      <w:r>
        <w:t>, f. 3.</w:t>
      </w:r>
    </w:p>
    <w:p w:rsidR="00981775" w:rsidRDefault="00981775" w:rsidP="00981775">
      <w:pPr>
        <w:pStyle w:val="SangriaFrancesaArticulo"/>
      </w:pPr>
      <w:r w:rsidRPr="00981775">
        <w:rPr>
          <w:rStyle w:val="TextoNormalNegritaCaracter"/>
        </w:rPr>
        <w:t>Título I.</w:t>
      </w:r>
      <w:r w:rsidRPr="00981775">
        <w:rPr>
          <w:rStyle w:val="TextoNormalCaracter"/>
        </w:rPr>
        <w:t>-</w:t>
      </w:r>
      <w:r>
        <w:t xml:space="preserve"> Sentencia </w:t>
      </w:r>
      <w:hyperlink w:anchor="SENTENCIA_2015_156" w:history="1">
        <w:r w:rsidRPr="00981775">
          <w:rPr>
            <w:rStyle w:val="TextoNormalCaracter"/>
          </w:rPr>
          <w:t>156/2015</w:t>
        </w:r>
      </w:hyperlink>
      <w:r>
        <w:t>, ff. 5, 8.</w:t>
      </w:r>
    </w:p>
    <w:p w:rsidR="00981775" w:rsidRDefault="00981775" w:rsidP="00981775">
      <w:pPr>
        <w:pStyle w:val="SangriaFrancesaArticulo"/>
      </w:pPr>
      <w:r w:rsidRPr="00981775">
        <w:rPr>
          <w:rStyle w:val="TextoNormalNegritaCaracter"/>
        </w:rPr>
        <w:t>Título V.</w:t>
      </w:r>
      <w:r w:rsidRPr="00981775">
        <w:rPr>
          <w:rStyle w:val="TextoNormalCaracter"/>
        </w:rPr>
        <w:t>-</w:t>
      </w:r>
      <w:r>
        <w:t xml:space="preserve"> Sentencia </w:t>
      </w:r>
      <w:hyperlink w:anchor="SENTENCIA_2015_156" w:history="1">
        <w:r w:rsidRPr="00981775">
          <w:rPr>
            <w:rStyle w:val="TextoNormalCaracter"/>
          </w:rPr>
          <w:t>156/2015</w:t>
        </w:r>
      </w:hyperlink>
      <w:r>
        <w:t>, ff. 6, 9.</w:t>
      </w:r>
    </w:p>
    <w:p w:rsidR="00981775" w:rsidRDefault="00981775" w:rsidP="00981775">
      <w:pPr>
        <w:pStyle w:val="SangriaFrancesaArticulo"/>
      </w:pPr>
      <w:r w:rsidRPr="00981775">
        <w:rPr>
          <w:rStyle w:val="TextoNormalNegritaCaracter"/>
        </w:rPr>
        <w:t>Preámbulo.</w:t>
      </w:r>
      <w:r w:rsidRPr="00981775">
        <w:rPr>
          <w:rStyle w:val="TextoNormalCaracter"/>
        </w:rPr>
        <w:t>-</w:t>
      </w:r>
      <w:r>
        <w:t xml:space="preserve"> Sentencia </w:t>
      </w:r>
      <w:hyperlink w:anchor="SENTENCIA_2015_156" w:history="1">
        <w:r w:rsidRPr="00981775">
          <w:rPr>
            <w:rStyle w:val="TextoNormalCaracter"/>
          </w:rPr>
          <w:t>156/2015</w:t>
        </w:r>
      </w:hyperlink>
      <w:r>
        <w:t>, ff. 4 a 8.</w:t>
      </w:r>
    </w:p>
    <w:p w:rsidR="00981775" w:rsidRDefault="00981775" w:rsidP="00981775">
      <w:pPr>
        <w:pStyle w:val="SangriaFrancesaArticulo"/>
      </w:pPr>
      <w:r w:rsidRPr="00981775">
        <w:rPr>
          <w:rStyle w:val="TextoNormalNegritaCaracter"/>
        </w:rPr>
        <w:t>Preámbulo, apartado I.</w:t>
      </w:r>
      <w:r w:rsidRPr="00981775">
        <w:rPr>
          <w:rStyle w:val="TextoNormalCaracter"/>
        </w:rPr>
        <w:t>-</w:t>
      </w:r>
      <w:r>
        <w:t xml:space="preserve"> Sentencia </w:t>
      </w:r>
      <w:hyperlink w:anchor="SENTENCIA_2015_243" w:history="1">
        <w:r w:rsidRPr="00981775">
          <w:rPr>
            <w:rStyle w:val="TextoNormalCaracter"/>
          </w:rPr>
          <w:t>243/2015</w:t>
        </w:r>
      </w:hyperlink>
      <w:r>
        <w:t>, ff. 2, 3.</w:t>
      </w:r>
    </w:p>
    <w:p w:rsidR="00981775" w:rsidRDefault="00981775" w:rsidP="00981775">
      <w:pPr>
        <w:pStyle w:val="SangriaFrancesaArticulo"/>
      </w:pPr>
      <w:r w:rsidRPr="00981775">
        <w:rPr>
          <w:rStyle w:val="TextoNormalNegritaCaracter"/>
        </w:rPr>
        <w:t>Preámbulo, apartado II.</w:t>
      </w:r>
      <w:r w:rsidRPr="00981775">
        <w:rPr>
          <w:rStyle w:val="TextoNormalCaracter"/>
        </w:rPr>
        <w:t>-</w:t>
      </w:r>
      <w:r>
        <w:t xml:space="preserve"> Sentencia </w:t>
      </w:r>
      <w:hyperlink w:anchor="SENTENCIA_2015_243" w:history="1">
        <w:r w:rsidRPr="00981775">
          <w:rPr>
            <w:rStyle w:val="TextoNormalCaracter"/>
          </w:rPr>
          <w:t>243/2015</w:t>
        </w:r>
      </w:hyperlink>
      <w:r>
        <w:t>, ff. 2, 3.</w:t>
      </w:r>
    </w:p>
    <w:p w:rsidR="00981775" w:rsidRDefault="00981775" w:rsidP="00981775">
      <w:pPr>
        <w:pStyle w:val="SangriaFrancesaArticulo"/>
      </w:pPr>
      <w:r w:rsidRPr="00981775">
        <w:rPr>
          <w:rStyle w:val="TextoNormalNegritaCaracter"/>
        </w:rPr>
        <w:t>Preámbulo, apartado II, párrafo 1.</w:t>
      </w:r>
      <w:r w:rsidRPr="00981775">
        <w:rPr>
          <w:rStyle w:val="TextoNormalCaracter"/>
        </w:rPr>
        <w:t>-</w:t>
      </w:r>
      <w:r>
        <w:t xml:space="preserve"> Sentencia </w:t>
      </w:r>
      <w:hyperlink w:anchor="SENTENCIA_2015_243" w:history="1">
        <w:r w:rsidRPr="00981775">
          <w:rPr>
            <w:rStyle w:val="TextoNormalCaracter"/>
          </w:rPr>
          <w:t>243/2015</w:t>
        </w:r>
      </w:hyperlink>
      <w:r>
        <w:t>, f. 2.</w:t>
      </w:r>
    </w:p>
    <w:p w:rsidR="00981775" w:rsidRDefault="00981775" w:rsidP="00981775">
      <w:pPr>
        <w:pStyle w:val="SangriaFrancesaArticulo"/>
      </w:pPr>
      <w:r w:rsidRPr="00981775">
        <w:rPr>
          <w:rStyle w:val="TextoNormalNegritaCaracter"/>
        </w:rPr>
        <w:t>Preámbulo, apartado IX.</w:t>
      </w:r>
      <w:r w:rsidRPr="00981775">
        <w:rPr>
          <w:rStyle w:val="TextoNormalCaracter"/>
        </w:rPr>
        <w:t>-</w:t>
      </w:r>
      <w:r>
        <w:t xml:space="preserve"> Sentencia </w:t>
      </w:r>
      <w:hyperlink w:anchor="SENTENCIA_2015_243" w:history="1">
        <w:r w:rsidRPr="00981775">
          <w:rPr>
            <w:rStyle w:val="TextoNormalCaracter"/>
          </w:rPr>
          <w:t>243/2015</w:t>
        </w:r>
      </w:hyperlink>
      <w:r>
        <w:t>, f. 3.</w:t>
      </w:r>
    </w:p>
    <w:p w:rsidR="00981775" w:rsidRDefault="00981775" w:rsidP="00981775">
      <w:pPr>
        <w:pStyle w:val="SangriaFrancesaArticulo"/>
      </w:pPr>
      <w:r w:rsidRPr="00981775">
        <w:rPr>
          <w:rStyle w:val="TextoNormalNegritaCaracter"/>
        </w:rPr>
        <w:t>Artículo 1.1.</w:t>
      </w:r>
      <w:r w:rsidRPr="00981775">
        <w:rPr>
          <w:rStyle w:val="TextoNormalCaracter"/>
        </w:rPr>
        <w:t>-</w:t>
      </w:r>
      <w:r>
        <w:t xml:space="preserve"> Sentencias </w:t>
      </w:r>
      <w:hyperlink w:anchor="SENTENCIA_2015_205" w:history="1">
        <w:r w:rsidRPr="00981775">
          <w:rPr>
            <w:rStyle w:val="TextoNormalCaracter"/>
          </w:rPr>
          <w:t>205/2015</w:t>
        </w:r>
      </w:hyperlink>
      <w:r>
        <w:t xml:space="preserve">, f. 3; </w:t>
      </w:r>
      <w:hyperlink w:anchor="SENTENCIA_2015_206" w:history="1">
        <w:r w:rsidRPr="00981775">
          <w:rPr>
            <w:rStyle w:val="TextoNormalCaracter"/>
          </w:rPr>
          <w:t>206/2015</w:t>
        </w:r>
      </w:hyperlink>
      <w:r>
        <w:t>, f. 3.</w:t>
      </w:r>
    </w:p>
    <w:p w:rsidR="00981775" w:rsidRDefault="00981775" w:rsidP="00981775">
      <w:pPr>
        <w:pStyle w:val="SangriaFrancesaArticulo"/>
      </w:pPr>
      <w:r w:rsidRPr="00981775">
        <w:rPr>
          <w:rStyle w:val="TextoNormalNegritaCaracter"/>
        </w:rPr>
        <w:t>Artículo 1.2.</w:t>
      </w:r>
      <w:r w:rsidRPr="00981775">
        <w:rPr>
          <w:rStyle w:val="TextoNormalCaracter"/>
        </w:rPr>
        <w:t>-</w:t>
      </w:r>
      <w:r>
        <w:t xml:space="preserve"> Sentencia </w:t>
      </w:r>
      <w:hyperlink w:anchor="SENTENCIA_2015_153" w:history="1">
        <w:r w:rsidRPr="00981775">
          <w:rPr>
            <w:rStyle w:val="TextoNormalCaracter"/>
          </w:rPr>
          <w:t>153/2015</w:t>
        </w:r>
      </w:hyperlink>
      <w:r>
        <w:t>, f. 3.</w:t>
      </w:r>
    </w:p>
    <w:p w:rsidR="00981775" w:rsidRDefault="00981775" w:rsidP="00981775">
      <w:pPr>
        <w:pStyle w:val="SangriaFrancesaArticulo"/>
      </w:pPr>
      <w:r w:rsidRPr="00981775">
        <w:rPr>
          <w:rStyle w:val="TextoNormalNegritaCaracter"/>
        </w:rPr>
        <w:t>Artículo 2.</w:t>
      </w:r>
      <w:r w:rsidRPr="00981775">
        <w:rPr>
          <w:rStyle w:val="TextoNormalCaracter"/>
        </w:rPr>
        <w:t>-</w:t>
      </w:r>
      <w:r>
        <w:t xml:space="preserve"> Sentencias </w:t>
      </w:r>
      <w:hyperlink w:anchor="SENTENCIA_2015_151" w:history="1">
        <w:r w:rsidRPr="00981775">
          <w:rPr>
            <w:rStyle w:val="TextoNormalCaracter"/>
          </w:rPr>
          <w:t>151/2015</w:t>
        </w:r>
      </w:hyperlink>
      <w:r>
        <w:t xml:space="preserve">, ff. 1 a 3; </w:t>
      </w:r>
      <w:hyperlink w:anchor="SENTENCIA_2015_153" w:history="1">
        <w:r w:rsidRPr="00981775">
          <w:rPr>
            <w:rStyle w:val="TextoNormalCaracter"/>
          </w:rPr>
          <w:t>153/2015</w:t>
        </w:r>
      </w:hyperlink>
      <w:r>
        <w:t xml:space="preserve">, ff. 1, 2; </w:t>
      </w:r>
      <w:hyperlink w:anchor="SENTENCIA_2015_161" w:history="1">
        <w:r w:rsidRPr="00981775">
          <w:rPr>
            <w:rStyle w:val="TextoNormalCaracter"/>
          </w:rPr>
          <w:t>161/2015</w:t>
        </w:r>
      </w:hyperlink>
      <w:r>
        <w:t xml:space="preserve">, ff. 1 a 3; </w:t>
      </w:r>
      <w:hyperlink w:anchor="SENTENCIA_2015_168" w:history="1">
        <w:r w:rsidRPr="00981775">
          <w:rPr>
            <w:rStyle w:val="TextoNormalCaracter"/>
          </w:rPr>
          <w:t>168/2015</w:t>
        </w:r>
      </w:hyperlink>
      <w:r>
        <w:t xml:space="preserve">, ff. 1, 2; </w:t>
      </w:r>
      <w:hyperlink w:anchor="SENTENCIA_2015_170" w:history="1">
        <w:r w:rsidRPr="00981775">
          <w:rPr>
            <w:rStyle w:val="TextoNormalCaracter"/>
          </w:rPr>
          <w:t>170/2015</w:t>
        </w:r>
      </w:hyperlink>
      <w:r>
        <w:t xml:space="preserve">, ff. 1 a 3; </w:t>
      </w:r>
      <w:hyperlink w:anchor="SENTENCIA_2015_171" w:history="1">
        <w:r w:rsidRPr="00981775">
          <w:rPr>
            <w:rStyle w:val="TextoNormalCaracter"/>
          </w:rPr>
          <w:t>171/2015</w:t>
        </w:r>
      </w:hyperlink>
      <w:r>
        <w:t xml:space="preserve">, ff. 1, 2; </w:t>
      </w:r>
      <w:hyperlink w:anchor="SENTENCIA_2015_173" w:history="1">
        <w:r w:rsidRPr="00981775">
          <w:rPr>
            <w:rStyle w:val="TextoNormalCaracter"/>
          </w:rPr>
          <w:t>173/2015</w:t>
        </w:r>
      </w:hyperlink>
      <w:r>
        <w:t xml:space="preserve">, ff. 1, 2; </w:t>
      </w:r>
      <w:hyperlink w:anchor="SENTENCIA_2015_184" w:history="1">
        <w:r w:rsidRPr="00981775">
          <w:rPr>
            <w:rStyle w:val="TextoNormalCaracter"/>
          </w:rPr>
          <w:t>184/2015</w:t>
        </w:r>
      </w:hyperlink>
      <w:r>
        <w:t xml:space="preserve">, ff. 1, 2; </w:t>
      </w:r>
      <w:hyperlink w:anchor="SENTENCIA_2015_189" w:history="1">
        <w:r w:rsidRPr="00981775">
          <w:rPr>
            <w:rStyle w:val="TextoNormalCaracter"/>
          </w:rPr>
          <w:t>189/2015</w:t>
        </w:r>
      </w:hyperlink>
      <w:r>
        <w:t xml:space="preserve">, ff. 1, 2; </w:t>
      </w:r>
      <w:hyperlink w:anchor="SENTENCIA_2015_191" w:history="1">
        <w:r w:rsidRPr="00981775">
          <w:rPr>
            <w:rStyle w:val="TextoNormalCaracter"/>
          </w:rPr>
          <w:t>191/2015</w:t>
        </w:r>
      </w:hyperlink>
      <w:r>
        <w:t xml:space="preserve">, ff. 1, 2; </w:t>
      </w:r>
      <w:hyperlink w:anchor="SENTENCIA_2015_192" w:history="1">
        <w:r w:rsidRPr="00981775">
          <w:rPr>
            <w:rStyle w:val="TextoNormalCaracter"/>
          </w:rPr>
          <w:t>192/2015</w:t>
        </w:r>
      </w:hyperlink>
      <w:r>
        <w:t xml:space="preserve">, ff. 1, 2; </w:t>
      </w:r>
      <w:hyperlink w:anchor="SENTENCIA_2015_205" w:history="1">
        <w:r w:rsidRPr="00981775">
          <w:rPr>
            <w:rStyle w:val="TextoNormalCaracter"/>
          </w:rPr>
          <w:t>205/2015</w:t>
        </w:r>
      </w:hyperlink>
      <w:r>
        <w:t xml:space="preserve">, ff. 1, 2; </w:t>
      </w:r>
      <w:hyperlink w:anchor="SENTENCIA_2015_206" w:history="1">
        <w:r w:rsidRPr="00981775">
          <w:rPr>
            <w:rStyle w:val="TextoNormalCaracter"/>
          </w:rPr>
          <w:t>206/2015</w:t>
        </w:r>
      </w:hyperlink>
      <w:r>
        <w:t xml:space="preserve">, ff. 1, 2; </w:t>
      </w:r>
      <w:hyperlink w:anchor="SENTENCIA_2015_210" w:history="1">
        <w:r w:rsidRPr="00981775">
          <w:rPr>
            <w:rStyle w:val="TextoNormalCaracter"/>
          </w:rPr>
          <w:t>210/2015</w:t>
        </w:r>
      </w:hyperlink>
      <w:r>
        <w:t xml:space="preserve">, f. 2; </w:t>
      </w:r>
      <w:hyperlink w:anchor="SENTENCIA_2015_224" w:history="1">
        <w:r w:rsidRPr="00981775">
          <w:rPr>
            <w:rStyle w:val="TextoNormalCaracter"/>
          </w:rPr>
          <w:t>224/2015</w:t>
        </w:r>
      </w:hyperlink>
      <w:r>
        <w:t xml:space="preserve">, ff. 1, 2; </w:t>
      </w:r>
      <w:hyperlink w:anchor="SENTENCIA_2015_225" w:history="1">
        <w:r w:rsidRPr="00981775">
          <w:rPr>
            <w:rStyle w:val="TextoNormalCaracter"/>
          </w:rPr>
          <w:t>225/2015</w:t>
        </w:r>
      </w:hyperlink>
      <w:r>
        <w:t xml:space="preserve">, ff. 1, 2; </w:t>
      </w:r>
      <w:hyperlink w:anchor="SENTENCIA_2015_228" w:history="1">
        <w:r w:rsidRPr="00981775">
          <w:rPr>
            <w:rStyle w:val="TextoNormalCaracter"/>
          </w:rPr>
          <w:t>228/2015</w:t>
        </w:r>
      </w:hyperlink>
      <w:r>
        <w:t xml:space="preserve">, ff. 1, 2; </w:t>
      </w:r>
      <w:hyperlink w:anchor="SENTENCIA_2015_241" w:history="1">
        <w:r w:rsidRPr="00981775">
          <w:rPr>
            <w:rStyle w:val="TextoNormalCaracter"/>
          </w:rPr>
          <w:t>241/2015</w:t>
        </w:r>
      </w:hyperlink>
      <w:r>
        <w:t xml:space="preserve">, ff. 1, 3; </w:t>
      </w:r>
      <w:hyperlink w:anchor="SENTENCIA_2015_243" w:history="1">
        <w:r w:rsidRPr="00981775">
          <w:rPr>
            <w:rStyle w:val="TextoNormalCaracter"/>
          </w:rPr>
          <w:t>243/2015</w:t>
        </w:r>
      </w:hyperlink>
      <w:r>
        <w:t xml:space="preserve">, f. 2; </w:t>
      </w:r>
      <w:hyperlink w:anchor="SENTENCIA_2015_245" w:history="1">
        <w:r w:rsidRPr="00981775">
          <w:rPr>
            <w:rStyle w:val="TextoNormalCaracter"/>
          </w:rPr>
          <w:t>245/2015</w:t>
        </w:r>
      </w:hyperlink>
      <w:r>
        <w:t xml:space="preserve">, ff. 1 a 3; </w:t>
      </w:r>
      <w:hyperlink w:anchor="SENTENCIA_2015_264" w:history="1">
        <w:r w:rsidRPr="00981775">
          <w:rPr>
            <w:rStyle w:val="TextoNormalCaracter"/>
          </w:rPr>
          <w:t>264/2015</w:t>
        </w:r>
      </w:hyperlink>
      <w:r>
        <w:t>, ff. 1, 2.</w:t>
      </w:r>
    </w:p>
    <w:p w:rsidR="00981775" w:rsidRDefault="00981775" w:rsidP="00981775">
      <w:pPr>
        <w:pStyle w:val="SangriaIzquierdaArticulo"/>
      </w:pPr>
      <w:r>
        <w:t xml:space="preserve">Autos </w:t>
      </w:r>
      <w:hyperlink w:anchor="AUTO_2015_154" w:history="1">
        <w:r w:rsidRPr="00981775">
          <w:rPr>
            <w:rStyle w:val="TextoNormalCaracter"/>
          </w:rPr>
          <w:t>154/2015</w:t>
        </w:r>
      </w:hyperlink>
      <w:r>
        <w:t xml:space="preserve">, f. 1; </w:t>
      </w:r>
      <w:hyperlink w:anchor="AUTO_2015_167" w:history="1">
        <w:r w:rsidRPr="00981775">
          <w:rPr>
            <w:rStyle w:val="TextoNormalCaracter"/>
          </w:rPr>
          <w:t>167/2015</w:t>
        </w:r>
      </w:hyperlink>
      <w:r>
        <w:t xml:space="preserve">, ff. 1, 2; </w:t>
      </w:r>
      <w:hyperlink w:anchor="AUTO_2015_183" w:history="1">
        <w:r w:rsidRPr="00981775">
          <w:rPr>
            <w:rStyle w:val="TextoNormalCaracter"/>
          </w:rPr>
          <w:t>183/2015</w:t>
        </w:r>
      </w:hyperlink>
      <w:r>
        <w:t xml:space="preserve">, ff. 1, 2; </w:t>
      </w:r>
      <w:hyperlink w:anchor="AUTO_2015_225" w:history="1">
        <w:r w:rsidRPr="00981775">
          <w:rPr>
            <w:rStyle w:val="TextoNormalCaracter"/>
          </w:rPr>
          <w:t>225/2015</w:t>
        </w:r>
      </w:hyperlink>
      <w:r>
        <w:t>, f. 1.</w:t>
      </w:r>
    </w:p>
    <w:p w:rsidR="00981775" w:rsidRDefault="00981775" w:rsidP="00981775">
      <w:pPr>
        <w:pStyle w:val="SangriaFrancesaArticulo"/>
      </w:pPr>
      <w:r w:rsidRPr="00981775">
        <w:rPr>
          <w:rStyle w:val="TextoNormalNegritaCaracter"/>
        </w:rPr>
        <w:t>Artículo 2.1.</w:t>
      </w:r>
      <w:r w:rsidRPr="00981775">
        <w:rPr>
          <w:rStyle w:val="TextoNormalCaracter"/>
        </w:rPr>
        <w:t>-</w:t>
      </w:r>
      <w:r>
        <w:t xml:space="preserve"> Sentencias </w:t>
      </w:r>
      <w:hyperlink w:anchor="SENTENCIA_2015_151" w:history="1">
        <w:r w:rsidRPr="00981775">
          <w:rPr>
            <w:rStyle w:val="TextoNormalCaracter"/>
          </w:rPr>
          <w:t>151/2015</w:t>
        </w:r>
      </w:hyperlink>
      <w:r>
        <w:t xml:space="preserve">, ff. 1 a 3; </w:t>
      </w:r>
      <w:hyperlink w:anchor="SENTENCIA_2015_153" w:history="1">
        <w:r w:rsidRPr="00981775">
          <w:rPr>
            <w:rStyle w:val="TextoNormalCaracter"/>
          </w:rPr>
          <w:t>153/2015</w:t>
        </w:r>
      </w:hyperlink>
      <w:r>
        <w:t xml:space="preserve">, f. 2; </w:t>
      </w:r>
      <w:hyperlink w:anchor="SENTENCIA_2015_161" w:history="1">
        <w:r w:rsidRPr="00981775">
          <w:rPr>
            <w:rStyle w:val="TextoNormalCaracter"/>
          </w:rPr>
          <w:t>161/2015</w:t>
        </w:r>
      </w:hyperlink>
      <w:r>
        <w:t xml:space="preserve">, f. 2; </w:t>
      </w:r>
      <w:hyperlink w:anchor="SENTENCIA_2015_162" w:history="1">
        <w:r w:rsidRPr="00981775">
          <w:rPr>
            <w:rStyle w:val="TextoNormalCaracter"/>
          </w:rPr>
          <w:t>162/2015</w:t>
        </w:r>
      </w:hyperlink>
      <w:r>
        <w:t xml:space="preserve">, f. 1; </w:t>
      </w:r>
      <w:hyperlink w:anchor="SENTENCIA_2015_163" w:history="1">
        <w:r w:rsidRPr="00981775">
          <w:rPr>
            <w:rStyle w:val="TextoNormalCaracter"/>
          </w:rPr>
          <w:t>163/2015</w:t>
        </w:r>
      </w:hyperlink>
      <w:r>
        <w:t xml:space="preserve">, f. 1; </w:t>
      </w:r>
      <w:hyperlink w:anchor="SENTENCIA_2015_164" w:history="1">
        <w:r w:rsidRPr="00981775">
          <w:rPr>
            <w:rStyle w:val="TextoNormalCaracter"/>
          </w:rPr>
          <w:t>164/2015</w:t>
        </w:r>
      </w:hyperlink>
      <w:r>
        <w:t xml:space="preserve">, f. 1; </w:t>
      </w:r>
      <w:hyperlink w:anchor="SENTENCIA_2015_165" w:history="1">
        <w:r w:rsidRPr="00981775">
          <w:rPr>
            <w:rStyle w:val="TextoNormalCaracter"/>
          </w:rPr>
          <w:t>165/2015</w:t>
        </w:r>
      </w:hyperlink>
      <w:r>
        <w:t xml:space="preserve">, f. 1; </w:t>
      </w:r>
      <w:hyperlink w:anchor="SENTENCIA_2015_166" w:history="1">
        <w:r w:rsidRPr="00981775">
          <w:rPr>
            <w:rStyle w:val="TextoNormalCaracter"/>
          </w:rPr>
          <w:t>166/2015</w:t>
        </w:r>
      </w:hyperlink>
      <w:r>
        <w:t xml:space="preserve">, f. 1; </w:t>
      </w:r>
      <w:hyperlink w:anchor="SENTENCIA_2015_168" w:history="1">
        <w:r w:rsidRPr="00981775">
          <w:rPr>
            <w:rStyle w:val="TextoNormalCaracter"/>
          </w:rPr>
          <w:t>168/2015</w:t>
        </w:r>
      </w:hyperlink>
      <w:r>
        <w:t xml:space="preserve">, f. 2; </w:t>
      </w:r>
      <w:hyperlink w:anchor="SENTENCIA_2015_170" w:history="1">
        <w:r w:rsidRPr="00981775">
          <w:rPr>
            <w:rStyle w:val="TextoNormalCaracter"/>
          </w:rPr>
          <w:t>170/2015</w:t>
        </w:r>
      </w:hyperlink>
      <w:r>
        <w:t xml:space="preserve">, f. 2; </w:t>
      </w:r>
      <w:hyperlink w:anchor="SENTENCIA_2015_171" w:history="1">
        <w:r w:rsidRPr="00981775">
          <w:rPr>
            <w:rStyle w:val="TextoNormalCaracter"/>
          </w:rPr>
          <w:t>171/2015</w:t>
        </w:r>
      </w:hyperlink>
      <w:r>
        <w:t xml:space="preserve">, ff. 2, 3; </w:t>
      </w:r>
      <w:hyperlink w:anchor="SENTENCIA_2015_172" w:history="1">
        <w:r w:rsidRPr="00981775">
          <w:rPr>
            <w:rStyle w:val="TextoNormalCaracter"/>
          </w:rPr>
          <w:t>172/2015</w:t>
        </w:r>
      </w:hyperlink>
      <w:r>
        <w:t xml:space="preserve">, ff. 1, 2; </w:t>
      </w:r>
      <w:hyperlink w:anchor="SENTENCIA_2015_173" w:history="1">
        <w:r w:rsidRPr="00981775">
          <w:rPr>
            <w:rStyle w:val="TextoNormalCaracter"/>
          </w:rPr>
          <w:t>173/2015</w:t>
        </w:r>
      </w:hyperlink>
      <w:r>
        <w:t xml:space="preserve">, f. 2; </w:t>
      </w:r>
      <w:hyperlink w:anchor="SENTENCIA_2015_174" w:history="1">
        <w:r w:rsidRPr="00981775">
          <w:rPr>
            <w:rStyle w:val="TextoNormalCaracter"/>
          </w:rPr>
          <w:t>174/2015</w:t>
        </w:r>
      </w:hyperlink>
      <w:r>
        <w:t xml:space="preserve">, f. 1; </w:t>
      </w:r>
      <w:hyperlink w:anchor="SENTENCIA_2015_184" w:history="1">
        <w:r w:rsidRPr="00981775">
          <w:rPr>
            <w:rStyle w:val="TextoNormalCaracter"/>
          </w:rPr>
          <w:t>184/2015</w:t>
        </w:r>
      </w:hyperlink>
      <w:r>
        <w:t xml:space="preserve">, f. 2; </w:t>
      </w:r>
      <w:hyperlink w:anchor="SENTENCIA_2015_188" w:history="1">
        <w:r w:rsidRPr="00981775">
          <w:rPr>
            <w:rStyle w:val="TextoNormalCaracter"/>
          </w:rPr>
          <w:t>188/2015</w:t>
        </w:r>
      </w:hyperlink>
      <w:r>
        <w:t xml:space="preserve">, f. 1; </w:t>
      </w:r>
      <w:hyperlink w:anchor="SENTENCIA_2015_189" w:history="1">
        <w:r w:rsidRPr="00981775">
          <w:rPr>
            <w:rStyle w:val="TextoNormalCaracter"/>
          </w:rPr>
          <w:t>189/2015</w:t>
        </w:r>
      </w:hyperlink>
      <w:r>
        <w:t xml:space="preserve">, f. 2; </w:t>
      </w:r>
      <w:hyperlink w:anchor="SENTENCIA_2015_190" w:history="1">
        <w:r w:rsidRPr="00981775">
          <w:rPr>
            <w:rStyle w:val="TextoNormalCaracter"/>
          </w:rPr>
          <w:t>190/2015</w:t>
        </w:r>
      </w:hyperlink>
      <w:r>
        <w:t xml:space="preserve">, ff. 1, 2; </w:t>
      </w:r>
      <w:hyperlink w:anchor="SENTENCIA_2015_191" w:history="1">
        <w:r w:rsidRPr="00981775">
          <w:rPr>
            <w:rStyle w:val="TextoNormalCaracter"/>
          </w:rPr>
          <w:t>191/2015</w:t>
        </w:r>
      </w:hyperlink>
      <w:r>
        <w:t xml:space="preserve">, f. 2; </w:t>
      </w:r>
      <w:hyperlink w:anchor="SENTENCIA_2015_192" w:history="1">
        <w:r w:rsidRPr="00981775">
          <w:rPr>
            <w:rStyle w:val="TextoNormalCaracter"/>
          </w:rPr>
          <w:t>192/2015</w:t>
        </w:r>
      </w:hyperlink>
      <w:r>
        <w:t xml:space="preserve">, f. 2; </w:t>
      </w:r>
      <w:hyperlink w:anchor="SENTENCIA_2015_205" w:history="1">
        <w:r w:rsidRPr="00981775">
          <w:rPr>
            <w:rStyle w:val="TextoNormalCaracter"/>
          </w:rPr>
          <w:t>205/2015</w:t>
        </w:r>
      </w:hyperlink>
      <w:r>
        <w:t xml:space="preserve">, ff. 2, 3; </w:t>
      </w:r>
      <w:hyperlink w:anchor="SENTENCIA_2015_206" w:history="1">
        <w:r w:rsidRPr="00981775">
          <w:rPr>
            <w:rStyle w:val="TextoNormalCaracter"/>
          </w:rPr>
          <w:t>206/2015</w:t>
        </w:r>
      </w:hyperlink>
      <w:r>
        <w:t xml:space="preserve">, ff. 2, 3; </w:t>
      </w:r>
      <w:hyperlink w:anchor="SENTENCIA_2015_210" w:history="1">
        <w:r w:rsidRPr="00981775">
          <w:rPr>
            <w:rStyle w:val="TextoNormalCaracter"/>
          </w:rPr>
          <w:t>210/2015</w:t>
        </w:r>
      </w:hyperlink>
      <w:r>
        <w:t xml:space="preserve">, ff. 2, 3; </w:t>
      </w:r>
      <w:hyperlink w:anchor="SENTENCIA_2015_224" w:history="1">
        <w:r w:rsidRPr="00981775">
          <w:rPr>
            <w:rStyle w:val="TextoNormalCaracter"/>
          </w:rPr>
          <w:t>224/2015</w:t>
        </w:r>
      </w:hyperlink>
      <w:r>
        <w:t xml:space="preserve">, ff. 2, 3; </w:t>
      </w:r>
      <w:hyperlink w:anchor="SENTENCIA_2015_225" w:history="1">
        <w:r w:rsidRPr="00981775">
          <w:rPr>
            <w:rStyle w:val="TextoNormalCaracter"/>
          </w:rPr>
          <w:t>225/2015</w:t>
        </w:r>
      </w:hyperlink>
      <w:r>
        <w:t xml:space="preserve">, f. 2; </w:t>
      </w:r>
      <w:hyperlink w:anchor="SENTENCIA_2015_227" w:history="1">
        <w:r w:rsidRPr="00981775">
          <w:rPr>
            <w:rStyle w:val="TextoNormalCaracter"/>
          </w:rPr>
          <w:t>227/2015</w:t>
        </w:r>
      </w:hyperlink>
      <w:r>
        <w:t xml:space="preserve">, ff. 1, 2; </w:t>
      </w:r>
      <w:hyperlink w:anchor="SENTENCIA_2015_228" w:history="1">
        <w:r w:rsidRPr="00981775">
          <w:rPr>
            <w:rStyle w:val="TextoNormalCaracter"/>
          </w:rPr>
          <w:t>228/2015</w:t>
        </w:r>
      </w:hyperlink>
      <w:r>
        <w:t xml:space="preserve">, f. 2; </w:t>
      </w:r>
      <w:hyperlink w:anchor="SENTENCIA_2015_241" w:history="1">
        <w:r w:rsidRPr="00981775">
          <w:rPr>
            <w:rStyle w:val="TextoNormalCaracter"/>
          </w:rPr>
          <w:t>241/2015</w:t>
        </w:r>
      </w:hyperlink>
      <w:r>
        <w:t xml:space="preserve">, f. 3; </w:t>
      </w:r>
      <w:hyperlink w:anchor="SENTENCIA_2015_245" w:history="1">
        <w:r w:rsidRPr="00981775">
          <w:rPr>
            <w:rStyle w:val="TextoNormalCaracter"/>
          </w:rPr>
          <w:t>245/2015</w:t>
        </w:r>
      </w:hyperlink>
      <w:r>
        <w:t xml:space="preserve">, f. 2; </w:t>
      </w:r>
      <w:hyperlink w:anchor="SENTENCIA_2015_264" w:history="1">
        <w:r w:rsidRPr="00981775">
          <w:rPr>
            <w:rStyle w:val="TextoNormalCaracter"/>
          </w:rPr>
          <w:t>264/2015</w:t>
        </w:r>
      </w:hyperlink>
      <w:r>
        <w:t>, f. 2.</w:t>
      </w:r>
    </w:p>
    <w:p w:rsidR="00981775" w:rsidRDefault="00981775" w:rsidP="00981775">
      <w:pPr>
        <w:pStyle w:val="SangriaIzquierdaArticulo"/>
      </w:pPr>
      <w:r>
        <w:t xml:space="preserve">Autos </w:t>
      </w:r>
      <w:hyperlink w:anchor="AUTO_2015_172" w:history="1">
        <w:r w:rsidRPr="00981775">
          <w:rPr>
            <w:rStyle w:val="TextoNormalCaracter"/>
          </w:rPr>
          <w:t>172/2015</w:t>
        </w:r>
      </w:hyperlink>
      <w:r>
        <w:t xml:space="preserve">, ff. 1, 4; </w:t>
      </w:r>
      <w:hyperlink w:anchor="AUTO_2015_173" w:history="1">
        <w:r w:rsidRPr="00981775">
          <w:rPr>
            <w:rStyle w:val="TextoNormalCaracter"/>
          </w:rPr>
          <w:t>173/2015</w:t>
        </w:r>
      </w:hyperlink>
      <w:r>
        <w:t>, f. 1.</w:t>
      </w:r>
    </w:p>
    <w:p w:rsidR="00981775" w:rsidRDefault="00981775" w:rsidP="00981775">
      <w:pPr>
        <w:pStyle w:val="SangriaFrancesaArticulo"/>
      </w:pPr>
      <w:r w:rsidRPr="00981775">
        <w:rPr>
          <w:rStyle w:val="TextoNormalNegritaCaracter"/>
        </w:rPr>
        <w:t>Artículo 2.2.</w:t>
      </w:r>
      <w:r w:rsidRPr="00981775">
        <w:rPr>
          <w:rStyle w:val="TextoNormalCaracter"/>
        </w:rPr>
        <w:t>-</w:t>
      </w:r>
      <w:r>
        <w:t xml:space="preserve"> Sentencias </w:t>
      </w:r>
      <w:hyperlink w:anchor="SENTENCIA_2015_175" w:history="1">
        <w:r w:rsidRPr="00981775">
          <w:rPr>
            <w:rStyle w:val="TextoNormalCaracter"/>
          </w:rPr>
          <w:t>175/2015</w:t>
        </w:r>
      </w:hyperlink>
      <w:r>
        <w:t xml:space="preserve">, ff. 1, 2; </w:t>
      </w:r>
      <w:hyperlink w:anchor="SENTENCIA_2015_193" w:history="1">
        <w:r w:rsidRPr="00981775">
          <w:rPr>
            <w:rStyle w:val="TextoNormalCaracter"/>
          </w:rPr>
          <w:t>193/2015</w:t>
        </w:r>
      </w:hyperlink>
      <w:r>
        <w:t xml:space="preserve">, ff. 1, 2; </w:t>
      </w:r>
      <w:hyperlink w:anchor="SENTENCIA_2015_205" w:history="1">
        <w:r w:rsidRPr="00981775">
          <w:rPr>
            <w:rStyle w:val="TextoNormalCaracter"/>
          </w:rPr>
          <w:t>205/2015</w:t>
        </w:r>
      </w:hyperlink>
      <w:r>
        <w:t xml:space="preserve">, f. 2; </w:t>
      </w:r>
      <w:hyperlink w:anchor="SENTENCIA_2015_206" w:history="1">
        <w:r w:rsidRPr="00981775">
          <w:rPr>
            <w:rStyle w:val="TextoNormalCaracter"/>
          </w:rPr>
          <w:t>206/2015</w:t>
        </w:r>
      </w:hyperlink>
      <w:r>
        <w:t xml:space="preserve">, f. 3; </w:t>
      </w:r>
      <w:hyperlink w:anchor="SENTENCIA_2015_224" w:history="1">
        <w:r w:rsidRPr="00981775">
          <w:rPr>
            <w:rStyle w:val="TextoNormalCaracter"/>
          </w:rPr>
          <w:t>224/2015</w:t>
        </w:r>
      </w:hyperlink>
      <w:r>
        <w:t xml:space="preserve">, f. 3; </w:t>
      </w:r>
      <w:hyperlink w:anchor="SENTENCIA_2015_241" w:history="1">
        <w:r w:rsidRPr="00981775">
          <w:rPr>
            <w:rStyle w:val="TextoNormalCaracter"/>
          </w:rPr>
          <w:t>241/2015</w:t>
        </w:r>
      </w:hyperlink>
      <w:r>
        <w:t xml:space="preserve">, f. 3; </w:t>
      </w:r>
      <w:hyperlink w:anchor="SENTENCIA_2015_243" w:history="1">
        <w:r w:rsidRPr="00981775">
          <w:rPr>
            <w:rStyle w:val="TextoNormalCaracter"/>
          </w:rPr>
          <w:t>243/2015</w:t>
        </w:r>
      </w:hyperlink>
      <w:r>
        <w:t>, ff. 1, 5.</w:t>
      </w:r>
    </w:p>
    <w:p w:rsidR="00981775" w:rsidRDefault="00981775" w:rsidP="00981775">
      <w:pPr>
        <w:pStyle w:val="SangriaIzquierdaArticulo"/>
      </w:pPr>
      <w:r>
        <w:t xml:space="preserve">Auto </w:t>
      </w:r>
      <w:hyperlink w:anchor="AUTO_2015_172" w:history="1">
        <w:r w:rsidRPr="00981775">
          <w:rPr>
            <w:rStyle w:val="TextoNormalCaracter"/>
          </w:rPr>
          <w:t>172/2015</w:t>
        </w:r>
      </w:hyperlink>
      <w:r>
        <w:t>, f. 4.</w:t>
      </w:r>
    </w:p>
    <w:p w:rsidR="00981775" w:rsidRDefault="00981775" w:rsidP="00981775">
      <w:pPr>
        <w:pStyle w:val="SangriaFrancesaArticulo"/>
      </w:pPr>
      <w:r w:rsidRPr="00981775">
        <w:rPr>
          <w:rStyle w:val="TextoNormalNegritaCaracter"/>
        </w:rPr>
        <w:t>Artículo 2.2.1.</w:t>
      </w:r>
      <w:r w:rsidRPr="00981775">
        <w:rPr>
          <w:rStyle w:val="TextoNormalCaracter"/>
        </w:rPr>
        <w:t>-</w:t>
      </w:r>
      <w:r>
        <w:t xml:space="preserve"> Sentencias </w:t>
      </w:r>
      <w:hyperlink w:anchor="SENTENCIA_2015_151" w:history="1">
        <w:r w:rsidRPr="00981775">
          <w:rPr>
            <w:rStyle w:val="TextoNormalCaracter"/>
          </w:rPr>
          <w:t>151/2015</w:t>
        </w:r>
      </w:hyperlink>
      <w:r>
        <w:t xml:space="preserve">, ff. 1, 2; </w:t>
      </w:r>
      <w:hyperlink w:anchor="SENTENCIA_2015_161" w:history="1">
        <w:r w:rsidRPr="00981775">
          <w:rPr>
            <w:rStyle w:val="TextoNormalCaracter"/>
          </w:rPr>
          <w:t>161/2015</w:t>
        </w:r>
      </w:hyperlink>
      <w:r>
        <w:t xml:space="preserve">, f. 2; </w:t>
      </w:r>
      <w:hyperlink w:anchor="SENTENCIA_2015_171" w:history="1">
        <w:r w:rsidRPr="00981775">
          <w:rPr>
            <w:rStyle w:val="TextoNormalCaracter"/>
          </w:rPr>
          <w:t>171/2015</w:t>
        </w:r>
      </w:hyperlink>
      <w:r>
        <w:t xml:space="preserve">, f. 2; </w:t>
      </w:r>
      <w:hyperlink w:anchor="SENTENCIA_2015_172" w:history="1">
        <w:r w:rsidRPr="00981775">
          <w:rPr>
            <w:rStyle w:val="TextoNormalCaracter"/>
          </w:rPr>
          <w:t>172/2015</w:t>
        </w:r>
      </w:hyperlink>
      <w:r>
        <w:t xml:space="preserve">, f. 2; </w:t>
      </w:r>
      <w:hyperlink w:anchor="SENTENCIA_2015_210" w:history="1">
        <w:r w:rsidRPr="00981775">
          <w:rPr>
            <w:rStyle w:val="TextoNormalCaracter"/>
          </w:rPr>
          <w:t>210/2015</w:t>
        </w:r>
      </w:hyperlink>
      <w:r>
        <w:t xml:space="preserve">, f. 2; </w:t>
      </w:r>
      <w:hyperlink w:anchor="SENTENCIA_2015_227" w:history="1">
        <w:r w:rsidRPr="00981775">
          <w:rPr>
            <w:rStyle w:val="TextoNormalCaracter"/>
          </w:rPr>
          <w:t>227/2015</w:t>
        </w:r>
      </w:hyperlink>
      <w:r>
        <w:t xml:space="preserve">, ff. 1, 2; </w:t>
      </w:r>
      <w:hyperlink w:anchor="SENTENCIA_2015_264" w:history="1">
        <w:r w:rsidRPr="00981775">
          <w:rPr>
            <w:rStyle w:val="TextoNormalCaracter"/>
          </w:rPr>
          <w:t>264/2015</w:t>
        </w:r>
      </w:hyperlink>
      <w:r>
        <w:t>, f. 2.</w:t>
      </w:r>
    </w:p>
    <w:p w:rsidR="00981775" w:rsidRDefault="00981775" w:rsidP="00981775">
      <w:pPr>
        <w:pStyle w:val="SangriaFrancesaArticulo"/>
      </w:pPr>
      <w:r w:rsidRPr="00981775">
        <w:rPr>
          <w:rStyle w:val="TextoNormalNegritaCaracter"/>
        </w:rPr>
        <w:t>Artículo 2.2.2.</w:t>
      </w:r>
      <w:r w:rsidRPr="00981775">
        <w:rPr>
          <w:rStyle w:val="TextoNormalCaracter"/>
        </w:rPr>
        <w:t>-</w:t>
      </w:r>
      <w:r>
        <w:t xml:space="preserve"> Sentencias </w:t>
      </w:r>
      <w:hyperlink w:anchor="SENTENCIA_2015_168" w:history="1">
        <w:r w:rsidRPr="00981775">
          <w:rPr>
            <w:rStyle w:val="TextoNormalCaracter"/>
          </w:rPr>
          <w:t>168/2015</w:t>
        </w:r>
      </w:hyperlink>
      <w:r>
        <w:t xml:space="preserve">, f. 2; </w:t>
      </w:r>
      <w:hyperlink w:anchor="SENTENCIA_2015_173" w:history="1">
        <w:r w:rsidRPr="00981775">
          <w:rPr>
            <w:rStyle w:val="TextoNormalCaracter"/>
          </w:rPr>
          <w:t>173/2015</w:t>
        </w:r>
      </w:hyperlink>
      <w:r>
        <w:t xml:space="preserve">, f. 2; </w:t>
      </w:r>
      <w:hyperlink w:anchor="SENTENCIA_2015_175" w:history="1">
        <w:r w:rsidRPr="00981775">
          <w:rPr>
            <w:rStyle w:val="TextoNormalCaracter"/>
          </w:rPr>
          <w:t>175/2015</w:t>
        </w:r>
      </w:hyperlink>
      <w:r>
        <w:t xml:space="preserve">, f. 1; </w:t>
      </w:r>
      <w:hyperlink w:anchor="SENTENCIA_2015_184" w:history="1">
        <w:r w:rsidRPr="00981775">
          <w:rPr>
            <w:rStyle w:val="TextoNormalCaracter"/>
          </w:rPr>
          <w:t>184/2015</w:t>
        </w:r>
      </w:hyperlink>
      <w:r>
        <w:t xml:space="preserve">, f. 2; </w:t>
      </w:r>
      <w:hyperlink w:anchor="SENTENCIA_2015_189" w:history="1">
        <w:r w:rsidRPr="00981775">
          <w:rPr>
            <w:rStyle w:val="TextoNormalCaracter"/>
          </w:rPr>
          <w:t>189/2015</w:t>
        </w:r>
      </w:hyperlink>
      <w:r>
        <w:t xml:space="preserve">, f. 2; </w:t>
      </w:r>
      <w:hyperlink w:anchor="SENTENCIA_2015_191" w:history="1">
        <w:r w:rsidRPr="00981775">
          <w:rPr>
            <w:rStyle w:val="TextoNormalCaracter"/>
          </w:rPr>
          <w:t>191/2015</w:t>
        </w:r>
      </w:hyperlink>
      <w:r>
        <w:t xml:space="preserve">, f. 2; </w:t>
      </w:r>
      <w:hyperlink w:anchor="SENTENCIA_2015_192" w:history="1">
        <w:r w:rsidRPr="00981775">
          <w:rPr>
            <w:rStyle w:val="TextoNormalCaracter"/>
          </w:rPr>
          <w:t>192/2015</w:t>
        </w:r>
      </w:hyperlink>
      <w:r>
        <w:t xml:space="preserve">, f. 2; </w:t>
      </w:r>
      <w:hyperlink w:anchor="SENTENCIA_2015_193" w:history="1">
        <w:r w:rsidRPr="00981775">
          <w:rPr>
            <w:rStyle w:val="TextoNormalCaracter"/>
          </w:rPr>
          <w:t>193/2015</w:t>
        </w:r>
      </w:hyperlink>
      <w:r>
        <w:t xml:space="preserve">, ff. 1, 2; </w:t>
      </w:r>
      <w:hyperlink w:anchor="SENTENCIA_2015_224" w:history="1">
        <w:r w:rsidRPr="00981775">
          <w:rPr>
            <w:rStyle w:val="TextoNormalCaracter"/>
          </w:rPr>
          <w:t>224/2015</w:t>
        </w:r>
      </w:hyperlink>
      <w:r>
        <w:t xml:space="preserve">, f. 2; </w:t>
      </w:r>
      <w:hyperlink w:anchor="SENTENCIA_2015_225" w:history="1">
        <w:r w:rsidRPr="00981775">
          <w:rPr>
            <w:rStyle w:val="TextoNormalCaracter"/>
          </w:rPr>
          <w:t>225/2015</w:t>
        </w:r>
      </w:hyperlink>
      <w:r>
        <w:t xml:space="preserve">, f. 2; </w:t>
      </w:r>
      <w:hyperlink w:anchor="SENTENCIA_2015_228" w:history="1">
        <w:r w:rsidRPr="00981775">
          <w:rPr>
            <w:rStyle w:val="TextoNormalCaracter"/>
          </w:rPr>
          <w:t>228/2015</w:t>
        </w:r>
      </w:hyperlink>
      <w:r>
        <w:t xml:space="preserve">, f. 2; </w:t>
      </w:r>
      <w:hyperlink w:anchor="SENTENCIA_2015_243" w:history="1">
        <w:r w:rsidRPr="00981775">
          <w:rPr>
            <w:rStyle w:val="TextoNormalCaracter"/>
          </w:rPr>
          <w:t>243/2015</w:t>
        </w:r>
      </w:hyperlink>
      <w:r>
        <w:t xml:space="preserve">, f. 5; </w:t>
      </w:r>
      <w:hyperlink w:anchor="SENTENCIA_2015_245" w:history="1">
        <w:r w:rsidRPr="00981775">
          <w:rPr>
            <w:rStyle w:val="TextoNormalCaracter"/>
          </w:rPr>
          <w:t>245/2015</w:t>
        </w:r>
      </w:hyperlink>
      <w:r>
        <w:t>, f. 2.</w:t>
      </w:r>
    </w:p>
    <w:p w:rsidR="00981775" w:rsidRDefault="00981775" w:rsidP="00981775">
      <w:pPr>
        <w:pStyle w:val="SangriaIzquierdaArticulo"/>
      </w:pPr>
      <w:r>
        <w:t xml:space="preserve">Auto </w:t>
      </w:r>
      <w:hyperlink w:anchor="AUTO_2015_173" w:history="1">
        <w:r w:rsidRPr="00981775">
          <w:rPr>
            <w:rStyle w:val="TextoNormalCaracter"/>
          </w:rPr>
          <w:t>173/2015</w:t>
        </w:r>
      </w:hyperlink>
      <w:r>
        <w:t>, f. 1.</w:t>
      </w:r>
    </w:p>
    <w:p w:rsidR="00981775" w:rsidRDefault="00981775" w:rsidP="00981775">
      <w:pPr>
        <w:pStyle w:val="SangriaFrancesaArticulo"/>
      </w:pPr>
      <w:r w:rsidRPr="00981775">
        <w:rPr>
          <w:rStyle w:val="TextoNormalNegritaCaracter"/>
        </w:rPr>
        <w:t>Artículo 2.2.2.1.</w:t>
      </w:r>
      <w:r w:rsidRPr="00981775">
        <w:rPr>
          <w:rStyle w:val="TextoNormalCaracter"/>
        </w:rPr>
        <w:t>-</w:t>
      </w:r>
      <w:r>
        <w:t xml:space="preserve"> Sentencias </w:t>
      </w:r>
      <w:hyperlink w:anchor="SENTENCIA_2015_162" w:history="1">
        <w:r w:rsidRPr="00981775">
          <w:rPr>
            <w:rStyle w:val="TextoNormalCaracter"/>
          </w:rPr>
          <w:t>162/2015</w:t>
        </w:r>
      </w:hyperlink>
      <w:r>
        <w:t xml:space="preserve">, f. 1; </w:t>
      </w:r>
      <w:hyperlink w:anchor="SENTENCIA_2015_163" w:history="1">
        <w:r w:rsidRPr="00981775">
          <w:rPr>
            <w:rStyle w:val="TextoNormalCaracter"/>
          </w:rPr>
          <w:t>163/2015</w:t>
        </w:r>
      </w:hyperlink>
      <w:r>
        <w:t xml:space="preserve">, f. 1; </w:t>
      </w:r>
      <w:hyperlink w:anchor="SENTENCIA_2015_164" w:history="1">
        <w:r w:rsidRPr="00981775">
          <w:rPr>
            <w:rStyle w:val="TextoNormalCaracter"/>
          </w:rPr>
          <w:t>164/2015</w:t>
        </w:r>
      </w:hyperlink>
      <w:r>
        <w:t xml:space="preserve">, f. 1; </w:t>
      </w:r>
      <w:hyperlink w:anchor="SENTENCIA_2015_165" w:history="1">
        <w:r w:rsidRPr="00981775">
          <w:rPr>
            <w:rStyle w:val="TextoNormalCaracter"/>
          </w:rPr>
          <w:t>165/2015</w:t>
        </w:r>
      </w:hyperlink>
      <w:r>
        <w:t xml:space="preserve">, f. 1; </w:t>
      </w:r>
      <w:hyperlink w:anchor="SENTENCIA_2015_166" w:history="1">
        <w:r w:rsidRPr="00981775">
          <w:rPr>
            <w:rStyle w:val="TextoNormalCaracter"/>
          </w:rPr>
          <w:t>166/2015</w:t>
        </w:r>
      </w:hyperlink>
      <w:r>
        <w:t xml:space="preserve">, f. 1; </w:t>
      </w:r>
      <w:hyperlink w:anchor="SENTENCIA_2015_188" w:history="1">
        <w:r w:rsidRPr="00981775">
          <w:rPr>
            <w:rStyle w:val="TextoNormalCaracter"/>
          </w:rPr>
          <w:t>188/2015</w:t>
        </w:r>
      </w:hyperlink>
      <w:r>
        <w:t xml:space="preserve">, f. 1; </w:t>
      </w:r>
      <w:hyperlink w:anchor="SENTENCIA_2015_190" w:history="1">
        <w:r w:rsidRPr="00981775">
          <w:rPr>
            <w:rStyle w:val="TextoNormalCaracter"/>
          </w:rPr>
          <w:t>190/2015</w:t>
        </w:r>
      </w:hyperlink>
      <w:r>
        <w:t>, ff. 1, 2.</w:t>
      </w:r>
    </w:p>
    <w:p w:rsidR="00981775" w:rsidRDefault="00981775" w:rsidP="00981775">
      <w:pPr>
        <w:pStyle w:val="SangriaFrancesaArticulo"/>
      </w:pPr>
      <w:r w:rsidRPr="00981775">
        <w:rPr>
          <w:rStyle w:val="TextoNormalNegritaCaracter"/>
        </w:rPr>
        <w:t>Artículo 2.3.</w:t>
      </w:r>
      <w:r w:rsidRPr="00981775">
        <w:rPr>
          <w:rStyle w:val="TextoNormalCaracter"/>
        </w:rPr>
        <w:t>-</w:t>
      </w:r>
      <w:r>
        <w:t xml:space="preserve"> Sentencia </w:t>
      </w:r>
      <w:hyperlink w:anchor="SENTENCIA_2015_241" w:history="1">
        <w:r w:rsidRPr="00981775">
          <w:rPr>
            <w:rStyle w:val="TextoNormalCaracter"/>
          </w:rPr>
          <w:t>241/2015</w:t>
        </w:r>
      </w:hyperlink>
      <w:r>
        <w:t>, f. 3.</w:t>
      </w:r>
    </w:p>
    <w:p w:rsidR="00981775" w:rsidRDefault="00981775" w:rsidP="00981775">
      <w:pPr>
        <w:pStyle w:val="SangriaFrancesaArticulo"/>
      </w:pPr>
      <w:r w:rsidRPr="00981775">
        <w:rPr>
          <w:rStyle w:val="TextoNormalNegritaCaracter"/>
        </w:rPr>
        <w:t>Artículo 2.5.</w:t>
      </w:r>
      <w:r w:rsidRPr="00981775">
        <w:rPr>
          <w:rStyle w:val="TextoNormalCaracter"/>
        </w:rPr>
        <w:t>-</w:t>
      </w:r>
      <w:r>
        <w:t xml:space="preserve"> Sentencias </w:t>
      </w:r>
      <w:hyperlink w:anchor="SENTENCIA_2015_189" w:history="1">
        <w:r w:rsidRPr="00981775">
          <w:rPr>
            <w:rStyle w:val="TextoNormalCaracter"/>
          </w:rPr>
          <w:t>189/2015</w:t>
        </w:r>
      </w:hyperlink>
      <w:r>
        <w:t xml:space="preserve">, f. 2; </w:t>
      </w:r>
      <w:hyperlink w:anchor="SENTENCIA_2015_224" w:history="1">
        <w:r w:rsidRPr="00981775">
          <w:rPr>
            <w:rStyle w:val="TextoNormalCaracter"/>
          </w:rPr>
          <w:t>224/2015</w:t>
        </w:r>
      </w:hyperlink>
      <w:r>
        <w:t xml:space="preserve">, f. 2; </w:t>
      </w:r>
      <w:hyperlink w:anchor="SENTENCIA_2015_241" w:history="1">
        <w:r w:rsidRPr="00981775">
          <w:rPr>
            <w:rStyle w:val="TextoNormalCaracter"/>
          </w:rPr>
          <w:t>241/2015</w:t>
        </w:r>
      </w:hyperlink>
      <w:r>
        <w:t>, f. 3.</w:t>
      </w:r>
    </w:p>
    <w:p w:rsidR="00981775" w:rsidRDefault="00981775" w:rsidP="00981775">
      <w:pPr>
        <w:pStyle w:val="SangriaFrancesaArticulo"/>
      </w:pPr>
      <w:r w:rsidRPr="00981775">
        <w:rPr>
          <w:rStyle w:val="TextoNormalNegritaCaracter"/>
        </w:rPr>
        <w:t>Artículo 3.</w:t>
      </w:r>
      <w:r w:rsidRPr="00981775">
        <w:rPr>
          <w:rStyle w:val="TextoNormalCaracter"/>
        </w:rPr>
        <w:t>-</w:t>
      </w:r>
      <w:r>
        <w:t xml:space="preserve"> Sentencia </w:t>
      </w:r>
      <w:hyperlink w:anchor="SENTENCIA_2015_210" w:history="1">
        <w:r w:rsidRPr="00981775">
          <w:rPr>
            <w:rStyle w:val="TextoNormalCaracter"/>
          </w:rPr>
          <w:t>210/2015</w:t>
        </w:r>
      </w:hyperlink>
      <w:r>
        <w:t>, f. 2.</w:t>
      </w:r>
    </w:p>
    <w:p w:rsidR="00981775" w:rsidRDefault="00981775" w:rsidP="00981775">
      <w:pPr>
        <w:pStyle w:val="SangriaFrancesaArticulo"/>
      </w:pPr>
      <w:r w:rsidRPr="00981775">
        <w:rPr>
          <w:rStyle w:val="TextoNormalNegritaCaracter"/>
        </w:rPr>
        <w:t>Artículo 3.1.</w:t>
      </w:r>
      <w:r w:rsidRPr="00981775">
        <w:rPr>
          <w:rStyle w:val="TextoNormalCaracter"/>
        </w:rPr>
        <w:t>-</w:t>
      </w:r>
      <w:r>
        <w:t xml:space="preserve"> Sentencias </w:t>
      </w:r>
      <w:hyperlink w:anchor="SENTENCIA_2015_210" w:history="1">
        <w:r w:rsidRPr="00981775">
          <w:rPr>
            <w:rStyle w:val="TextoNormalCaracter"/>
          </w:rPr>
          <w:t>210/2015</w:t>
        </w:r>
      </w:hyperlink>
      <w:r>
        <w:t xml:space="preserve">, f. 2; </w:t>
      </w:r>
      <w:hyperlink w:anchor="SENTENCIA_2015_227" w:history="1">
        <w:r w:rsidRPr="00981775">
          <w:rPr>
            <w:rStyle w:val="TextoNormalCaracter"/>
          </w:rPr>
          <w:t>227/2015</w:t>
        </w:r>
      </w:hyperlink>
      <w:r>
        <w:t>, ff. 1, 2.</w:t>
      </w:r>
    </w:p>
    <w:p w:rsidR="00981775" w:rsidRDefault="00981775" w:rsidP="00981775">
      <w:pPr>
        <w:pStyle w:val="SangriaFrancesaArticulo"/>
      </w:pPr>
      <w:r w:rsidRPr="00981775">
        <w:rPr>
          <w:rStyle w:val="TextoNormalNegritaCaracter"/>
        </w:rPr>
        <w:t>Artículo 3.2.</w:t>
      </w:r>
      <w:r w:rsidRPr="00981775">
        <w:rPr>
          <w:rStyle w:val="TextoNormalCaracter"/>
        </w:rPr>
        <w:t>-</w:t>
      </w:r>
      <w:r>
        <w:t xml:space="preserve"> Sentencias </w:t>
      </w:r>
      <w:hyperlink w:anchor="SENTENCIA_2015_189" w:history="1">
        <w:r w:rsidRPr="00981775">
          <w:rPr>
            <w:rStyle w:val="TextoNormalCaracter"/>
          </w:rPr>
          <w:t>189/2015</w:t>
        </w:r>
      </w:hyperlink>
      <w:r>
        <w:t xml:space="preserve">, f. 2; </w:t>
      </w:r>
      <w:hyperlink w:anchor="SENTENCIA_2015_224" w:history="1">
        <w:r w:rsidRPr="00981775">
          <w:rPr>
            <w:rStyle w:val="TextoNormalCaracter"/>
          </w:rPr>
          <w:t>224/2015</w:t>
        </w:r>
      </w:hyperlink>
      <w:r>
        <w:t>, f. 2.</w:t>
      </w:r>
    </w:p>
    <w:p w:rsidR="00981775" w:rsidRDefault="00981775" w:rsidP="00981775">
      <w:pPr>
        <w:pStyle w:val="SangriaFrancesaArticulo"/>
      </w:pPr>
      <w:r w:rsidRPr="00981775">
        <w:rPr>
          <w:rStyle w:val="TextoNormalNegritaCaracter"/>
        </w:rPr>
        <w:t>Artículo 3.3.</w:t>
      </w:r>
      <w:r w:rsidRPr="00981775">
        <w:rPr>
          <w:rStyle w:val="TextoNormalCaracter"/>
        </w:rPr>
        <w:t>-</w:t>
      </w:r>
      <w:r>
        <w:t xml:space="preserve"> Sentencia </w:t>
      </w:r>
      <w:hyperlink w:anchor="SENTENCIA_2015_153" w:history="1">
        <w:r w:rsidRPr="00981775">
          <w:rPr>
            <w:rStyle w:val="TextoNormalCaracter"/>
          </w:rPr>
          <w:t>153/2015</w:t>
        </w:r>
      </w:hyperlink>
      <w:r>
        <w:t>, ff. 1, 3.</w:t>
      </w:r>
    </w:p>
    <w:p w:rsidR="00981775" w:rsidRDefault="00981775" w:rsidP="00981775">
      <w:pPr>
        <w:pStyle w:val="SangriaIzquierdaArticulo"/>
      </w:pPr>
      <w:r>
        <w:t xml:space="preserve">Auto </w:t>
      </w:r>
      <w:hyperlink w:anchor="AUTO_2015_172" w:history="1">
        <w:r w:rsidRPr="00981775">
          <w:rPr>
            <w:rStyle w:val="TextoNormalCaracter"/>
          </w:rPr>
          <w:t>172/2015</w:t>
        </w:r>
      </w:hyperlink>
      <w:r>
        <w:t>, f. 1.</w:t>
      </w:r>
    </w:p>
    <w:p w:rsidR="00981775" w:rsidRDefault="00981775" w:rsidP="00981775">
      <w:pPr>
        <w:pStyle w:val="SangriaFrancesaArticulo"/>
      </w:pPr>
      <w:r w:rsidRPr="00981775">
        <w:rPr>
          <w:rStyle w:val="TextoNormalNegritaCaracter"/>
        </w:rPr>
        <w:t>Artículo 3.3 bis</w:t>
      </w:r>
      <w:r>
        <w:t xml:space="preserve"> (redactado por la Ley 10/2012, de 20 de noviembre)</w:t>
      </w:r>
      <w:r w:rsidRPr="00981775">
        <w:rPr>
          <w:rStyle w:val="TextoNormalNegritaCaracter"/>
        </w:rPr>
        <w:t>.</w:t>
      </w:r>
      <w:r w:rsidRPr="00981775">
        <w:rPr>
          <w:rStyle w:val="TextoNormalCaracter"/>
        </w:rPr>
        <w:t>-</w:t>
      </w:r>
      <w:r>
        <w:t xml:space="preserve"> Auto </w:t>
      </w:r>
      <w:hyperlink w:anchor="AUTO_2015_172" w:history="1">
        <w:r w:rsidRPr="00981775">
          <w:rPr>
            <w:rStyle w:val="TextoNormalCaracter"/>
          </w:rPr>
          <w:t>172/2015</w:t>
        </w:r>
      </w:hyperlink>
      <w:r>
        <w:t>, f. 1.</w:t>
      </w:r>
    </w:p>
    <w:p w:rsidR="00981775" w:rsidRDefault="00981775" w:rsidP="00981775">
      <w:pPr>
        <w:pStyle w:val="SangriaFrancesaArticulo"/>
      </w:pPr>
      <w:r w:rsidRPr="00981775">
        <w:rPr>
          <w:rStyle w:val="TextoNormalNegritaCaracter"/>
        </w:rPr>
        <w:t>Artículo 6.</w:t>
      </w:r>
      <w:r w:rsidRPr="00981775">
        <w:rPr>
          <w:rStyle w:val="TextoNormalCaracter"/>
        </w:rPr>
        <w:t>-</w:t>
      </w:r>
      <w:r>
        <w:t xml:space="preserve"> Sentencias </w:t>
      </w:r>
      <w:hyperlink w:anchor="SENTENCIA_2015_168" w:history="1">
        <w:r w:rsidRPr="00981775">
          <w:rPr>
            <w:rStyle w:val="TextoNormalCaracter"/>
          </w:rPr>
          <w:t>168/2015</w:t>
        </w:r>
      </w:hyperlink>
      <w:r>
        <w:t xml:space="preserve">, f. 2; </w:t>
      </w:r>
      <w:hyperlink w:anchor="SENTENCIA_2015_175" w:history="1">
        <w:r w:rsidRPr="00981775">
          <w:rPr>
            <w:rStyle w:val="TextoNormalCaracter"/>
          </w:rPr>
          <w:t>175/2015</w:t>
        </w:r>
      </w:hyperlink>
      <w:r>
        <w:t xml:space="preserve">, ff. 1, 2; </w:t>
      </w:r>
      <w:hyperlink w:anchor="SENTENCIA_2015_189" w:history="1">
        <w:r w:rsidRPr="00981775">
          <w:rPr>
            <w:rStyle w:val="TextoNormalCaracter"/>
          </w:rPr>
          <w:t>189/2015</w:t>
        </w:r>
      </w:hyperlink>
      <w:r>
        <w:t xml:space="preserve">, f. 2; </w:t>
      </w:r>
      <w:hyperlink w:anchor="SENTENCIA_2015_192" w:history="1">
        <w:r w:rsidRPr="00981775">
          <w:rPr>
            <w:rStyle w:val="TextoNormalCaracter"/>
          </w:rPr>
          <w:t>192/2015</w:t>
        </w:r>
      </w:hyperlink>
      <w:r>
        <w:t xml:space="preserve">, f. 2; </w:t>
      </w:r>
      <w:hyperlink w:anchor="SENTENCIA_2015_193" w:history="1">
        <w:r w:rsidRPr="00981775">
          <w:rPr>
            <w:rStyle w:val="TextoNormalCaracter"/>
          </w:rPr>
          <w:t>193/2015</w:t>
        </w:r>
      </w:hyperlink>
      <w:r>
        <w:t xml:space="preserve">, f. 1; </w:t>
      </w:r>
      <w:hyperlink w:anchor="SENTENCIA_2015_205" w:history="1">
        <w:r w:rsidRPr="00981775">
          <w:rPr>
            <w:rStyle w:val="TextoNormalCaracter"/>
          </w:rPr>
          <w:t>205/2015</w:t>
        </w:r>
      </w:hyperlink>
      <w:r>
        <w:t xml:space="preserve">, f. 2; </w:t>
      </w:r>
      <w:hyperlink w:anchor="SENTENCIA_2015_224" w:history="1">
        <w:r w:rsidRPr="00981775">
          <w:rPr>
            <w:rStyle w:val="TextoNormalCaracter"/>
          </w:rPr>
          <w:t>224/2015</w:t>
        </w:r>
      </w:hyperlink>
      <w:r>
        <w:t>, f. 2.</w:t>
      </w:r>
    </w:p>
    <w:p w:rsidR="00981775" w:rsidRDefault="00981775" w:rsidP="00981775">
      <w:pPr>
        <w:pStyle w:val="SangriaIzquierdaArticulo"/>
      </w:pPr>
      <w:r>
        <w:t xml:space="preserve">Auto </w:t>
      </w:r>
      <w:hyperlink w:anchor="AUTO_2015_173" w:history="1">
        <w:r w:rsidRPr="00981775">
          <w:rPr>
            <w:rStyle w:val="TextoNormalCaracter"/>
          </w:rPr>
          <w:t>173/2015</w:t>
        </w:r>
      </w:hyperlink>
      <w:r>
        <w:t>, f. 1.</w:t>
      </w:r>
    </w:p>
    <w:p w:rsidR="00981775" w:rsidRDefault="00981775" w:rsidP="00981775">
      <w:pPr>
        <w:pStyle w:val="SangriaFrancesaArticulo"/>
      </w:pPr>
      <w:r w:rsidRPr="00981775">
        <w:rPr>
          <w:rStyle w:val="TextoNormalNegritaCaracter"/>
        </w:rPr>
        <w:t>Artículo 8.</w:t>
      </w:r>
      <w:r w:rsidRPr="00981775">
        <w:rPr>
          <w:rStyle w:val="TextoNormalCaracter"/>
        </w:rPr>
        <w:t>-</w:t>
      </w:r>
      <w:r>
        <w:t xml:space="preserve"> Sentencia </w:t>
      </w:r>
      <w:hyperlink w:anchor="SENTENCIA_2015_156" w:history="1">
        <w:r w:rsidRPr="00981775">
          <w:rPr>
            <w:rStyle w:val="TextoNormalCaracter"/>
          </w:rPr>
          <w:t>156/2015</w:t>
        </w:r>
      </w:hyperlink>
      <w:r>
        <w:t>, ff. 1, 2, 4 a 9, VP.</w:t>
      </w:r>
    </w:p>
    <w:p w:rsidR="00981775" w:rsidRDefault="00981775" w:rsidP="00981775">
      <w:pPr>
        <w:pStyle w:val="SangriaFrancesaArticulo"/>
      </w:pPr>
      <w:r w:rsidRPr="00981775">
        <w:rPr>
          <w:rStyle w:val="TextoNormalNegritaCaracter"/>
        </w:rPr>
        <w:t>Artículo 8.1.</w:t>
      </w:r>
      <w:r w:rsidRPr="00981775">
        <w:rPr>
          <w:rStyle w:val="TextoNormalCaracter"/>
        </w:rPr>
        <w:t>-</w:t>
      </w:r>
      <w:r>
        <w:t xml:space="preserve"> Sentencia </w:t>
      </w:r>
      <w:hyperlink w:anchor="SENTENCIA_2015_156" w:history="1">
        <w:r w:rsidRPr="00981775">
          <w:rPr>
            <w:rStyle w:val="TextoNormalCaracter"/>
          </w:rPr>
          <w:t>156/2015</w:t>
        </w:r>
      </w:hyperlink>
      <w:r>
        <w:t>, f. 5, VP.</w:t>
      </w:r>
    </w:p>
    <w:p w:rsidR="00981775" w:rsidRDefault="00981775" w:rsidP="00981775">
      <w:pPr>
        <w:pStyle w:val="SangriaFrancesaArticulo"/>
      </w:pPr>
      <w:r w:rsidRPr="00981775">
        <w:rPr>
          <w:rStyle w:val="TextoNormalNegritaCaracter"/>
        </w:rPr>
        <w:t>Artículo 8.2.</w:t>
      </w:r>
      <w:r w:rsidRPr="00981775">
        <w:rPr>
          <w:rStyle w:val="TextoNormalCaracter"/>
        </w:rPr>
        <w:t>-</w:t>
      </w:r>
      <w:r>
        <w:t xml:space="preserve"> Sentencia </w:t>
      </w:r>
      <w:hyperlink w:anchor="SENTENCIA_2015_156" w:history="1">
        <w:r w:rsidRPr="00981775">
          <w:rPr>
            <w:rStyle w:val="TextoNormalCaracter"/>
          </w:rPr>
          <w:t>156/2015</w:t>
        </w:r>
      </w:hyperlink>
      <w:r>
        <w:t>, f. 5, VP.</w:t>
      </w:r>
    </w:p>
    <w:p w:rsidR="00981775" w:rsidRDefault="00981775" w:rsidP="00981775">
      <w:pPr>
        <w:pStyle w:val="SangriaFrancesaArticulo"/>
      </w:pPr>
      <w:r w:rsidRPr="00981775">
        <w:rPr>
          <w:rStyle w:val="TextoNormalNegritaCaracter"/>
        </w:rPr>
        <w:t>Artículo 20.3.</w:t>
      </w:r>
      <w:r w:rsidRPr="00981775">
        <w:rPr>
          <w:rStyle w:val="TextoNormalCaracter"/>
        </w:rPr>
        <w:t>-</w:t>
      </w:r>
      <w:r>
        <w:t xml:space="preserve"> Sentencia </w:t>
      </w:r>
      <w:hyperlink w:anchor="SENTENCIA_2015_272" w:history="1">
        <w:r w:rsidRPr="00981775">
          <w:rPr>
            <w:rStyle w:val="TextoNormalCaracter"/>
          </w:rPr>
          <w:t>272/2015</w:t>
        </w:r>
      </w:hyperlink>
      <w:r>
        <w:t>, f. 4.</w:t>
      </w:r>
    </w:p>
    <w:p w:rsidR="00981775" w:rsidRDefault="00981775" w:rsidP="00981775">
      <w:pPr>
        <w:pStyle w:val="SangriaFrancesaArticulo"/>
      </w:pPr>
      <w:r w:rsidRPr="00981775">
        <w:rPr>
          <w:rStyle w:val="TextoNormalNegritaCaracter"/>
        </w:rPr>
        <w:t>Artículo 22.1.</w:t>
      </w:r>
      <w:r w:rsidRPr="00981775">
        <w:rPr>
          <w:rStyle w:val="TextoNormalCaracter"/>
        </w:rPr>
        <w:t>-</w:t>
      </w:r>
      <w:r>
        <w:t xml:space="preserve"> Sentencia </w:t>
      </w:r>
      <w:hyperlink w:anchor="SENTENCIA_2015_153" w:history="1">
        <w:r w:rsidRPr="00981775">
          <w:rPr>
            <w:rStyle w:val="TextoNormalCaracter"/>
          </w:rPr>
          <w:t>153/2015</w:t>
        </w:r>
      </w:hyperlink>
      <w:r>
        <w:t>, f. 2.</w:t>
      </w:r>
    </w:p>
    <w:p w:rsidR="00981775" w:rsidRDefault="00981775" w:rsidP="00981775">
      <w:pPr>
        <w:pStyle w:val="SangriaFrancesaArticulo"/>
      </w:pPr>
      <w:r w:rsidRPr="00981775">
        <w:rPr>
          <w:rStyle w:val="TextoNormalNegritaCaracter"/>
        </w:rPr>
        <w:t>Artículo 27.</w:t>
      </w:r>
      <w:r w:rsidRPr="00981775">
        <w:rPr>
          <w:rStyle w:val="TextoNormalCaracter"/>
        </w:rPr>
        <w:t>-</w:t>
      </w:r>
      <w:r>
        <w:t xml:space="preserve"> Sentencia </w:t>
      </w:r>
      <w:hyperlink w:anchor="SENTENCIA_2015_156" w:history="1">
        <w:r w:rsidRPr="00981775">
          <w:rPr>
            <w:rStyle w:val="TextoNormalCaracter"/>
          </w:rPr>
          <w:t>156/2015</w:t>
        </w:r>
      </w:hyperlink>
      <w:r>
        <w:t>, ff. 1, 2, 4, 6, 7, 9, 10.</w:t>
      </w:r>
    </w:p>
    <w:p w:rsidR="00981775" w:rsidRDefault="00981775" w:rsidP="00981775">
      <w:pPr>
        <w:pStyle w:val="SangriaFrancesaArticulo"/>
      </w:pPr>
      <w:r w:rsidRPr="00981775">
        <w:rPr>
          <w:rStyle w:val="TextoNormalNegritaCaracter"/>
        </w:rPr>
        <w:t>Artículo 27.1.</w:t>
      </w:r>
      <w:r w:rsidRPr="00981775">
        <w:rPr>
          <w:rStyle w:val="TextoNormalCaracter"/>
        </w:rPr>
        <w:t>-</w:t>
      </w:r>
      <w:r>
        <w:t xml:space="preserve"> Sentencia </w:t>
      </w:r>
      <w:hyperlink w:anchor="SENTENCIA_2015_156" w:history="1">
        <w:r w:rsidRPr="00981775">
          <w:rPr>
            <w:rStyle w:val="TextoNormalCaracter"/>
          </w:rPr>
          <w:t>156/2015</w:t>
        </w:r>
      </w:hyperlink>
      <w:r>
        <w:t>, f. 6.</w:t>
      </w:r>
    </w:p>
    <w:p w:rsidR="00981775" w:rsidRDefault="00981775" w:rsidP="00981775">
      <w:pPr>
        <w:pStyle w:val="SangriaFrancesaArticulo"/>
      </w:pPr>
      <w:r w:rsidRPr="00981775">
        <w:rPr>
          <w:rStyle w:val="TextoNormalNegritaCaracter"/>
        </w:rPr>
        <w:t>Artículo 27.2.</w:t>
      </w:r>
      <w:r w:rsidRPr="00981775">
        <w:rPr>
          <w:rStyle w:val="TextoNormalCaracter"/>
        </w:rPr>
        <w:t>-</w:t>
      </w:r>
      <w:r>
        <w:t xml:space="preserve"> Sentencia </w:t>
      </w:r>
      <w:hyperlink w:anchor="SENTENCIA_2015_156" w:history="1">
        <w:r w:rsidRPr="00981775">
          <w:rPr>
            <w:rStyle w:val="TextoNormalCaracter"/>
          </w:rPr>
          <w:t>156/2015</w:t>
        </w:r>
      </w:hyperlink>
      <w:r>
        <w:t>, ff. 6, 9, 10.</w:t>
      </w:r>
    </w:p>
    <w:p w:rsidR="00981775" w:rsidRDefault="00981775" w:rsidP="00981775">
      <w:pPr>
        <w:pStyle w:val="SangriaFrancesaArticulo"/>
      </w:pPr>
      <w:r w:rsidRPr="00981775">
        <w:rPr>
          <w:rStyle w:val="TextoNormalNegritaCaracter"/>
        </w:rPr>
        <w:t>Artículo 27.3.</w:t>
      </w:r>
      <w:r w:rsidRPr="00981775">
        <w:rPr>
          <w:rStyle w:val="TextoNormalCaracter"/>
        </w:rPr>
        <w:t>-</w:t>
      </w:r>
      <w:r>
        <w:t xml:space="preserve"> Sentencia </w:t>
      </w:r>
      <w:hyperlink w:anchor="SENTENCIA_2015_156" w:history="1">
        <w:r w:rsidRPr="00981775">
          <w:rPr>
            <w:rStyle w:val="TextoNormalCaracter"/>
          </w:rPr>
          <w:t>156/2015</w:t>
        </w:r>
      </w:hyperlink>
      <w:r>
        <w:t>, ff. 6, 9, 10.</w:t>
      </w:r>
    </w:p>
    <w:p w:rsidR="00981775" w:rsidRDefault="00981775" w:rsidP="00981775">
      <w:pPr>
        <w:pStyle w:val="SangriaFrancesaArticulo"/>
      </w:pPr>
      <w:r w:rsidRPr="00981775">
        <w:rPr>
          <w:rStyle w:val="TextoNormalNegritaCaracter"/>
        </w:rPr>
        <w:t>Artículo 28.</w:t>
      </w:r>
      <w:r w:rsidRPr="00981775">
        <w:rPr>
          <w:rStyle w:val="TextoNormalCaracter"/>
        </w:rPr>
        <w:t>-</w:t>
      </w:r>
      <w:r>
        <w:t xml:space="preserve"> Sentencia </w:t>
      </w:r>
      <w:hyperlink w:anchor="SENTENCIA_2015_156" w:history="1">
        <w:r w:rsidRPr="00981775">
          <w:rPr>
            <w:rStyle w:val="TextoNormalCaracter"/>
          </w:rPr>
          <w:t>156/2015</w:t>
        </w:r>
      </w:hyperlink>
      <w:r>
        <w:t>, ff. 1, 4, 6.</w:t>
      </w:r>
    </w:p>
    <w:p w:rsidR="00981775" w:rsidRDefault="00981775" w:rsidP="00981775">
      <w:pPr>
        <w:pStyle w:val="SangriaFrancesaArticulo"/>
      </w:pPr>
      <w:r w:rsidRPr="00981775">
        <w:rPr>
          <w:rStyle w:val="TextoNormalNegritaCaracter"/>
        </w:rPr>
        <w:t>Artículo 28, apartados 1 a 7.</w:t>
      </w:r>
      <w:r w:rsidRPr="00981775">
        <w:rPr>
          <w:rStyle w:val="TextoNormalCaracter"/>
        </w:rPr>
        <w:t>-</w:t>
      </w:r>
      <w:r>
        <w:t xml:space="preserve"> Sentencia </w:t>
      </w:r>
      <w:hyperlink w:anchor="SENTENCIA_2015_156" w:history="1">
        <w:r w:rsidRPr="00981775">
          <w:rPr>
            <w:rStyle w:val="TextoNormalCaracter"/>
          </w:rPr>
          <w:t>156/2015</w:t>
        </w:r>
      </w:hyperlink>
      <w:r>
        <w:t>, f. 6.</w:t>
      </w:r>
    </w:p>
    <w:p w:rsidR="00981775" w:rsidRDefault="00981775" w:rsidP="00981775">
      <w:pPr>
        <w:pStyle w:val="SangriaFrancesaArticulo"/>
      </w:pPr>
      <w:r w:rsidRPr="00981775">
        <w:rPr>
          <w:rStyle w:val="TextoNormalNegritaCaracter"/>
        </w:rPr>
        <w:t>Disposición adicional undécima.</w:t>
      </w:r>
      <w:r w:rsidRPr="00981775">
        <w:rPr>
          <w:rStyle w:val="TextoNormalCaracter"/>
        </w:rPr>
        <w:t>-</w:t>
      </w:r>
      <w:r>
        <w:t xml:space="preserve"> Sentencia </w:t>
      </w:r>
      <w:hyperlink w:anchor="SENTENCIA_2015_199" w:history="1">
        <w:r w:rsidRPr="00981775">
          <w:rPr>
            <w:rStyle w:val="TextoNormalCaracter"/>
          </w:rPr>
          <w:t>199/2015</w:t>
        </w:r>
      </w:hyperlink>
      <w:r>
        <w:t>, f. 6.</w:t>
      </w:r>
    </w:p>
    <w:p w:rsidR="00981775" w:rsidRDefault="00981775" w:rsidP="00981775">
      <w:pPr>
        <w:pStyle w:val="SangriaFrancesaArticulo"/>
      </w:pPr>
      <w:r w:rsidRPr="00981775">
        <w:rPr>
          <w:rStyle w:val="TextoNormalNegritaCaracter"/>
        </w:rPr>
        <w:t>Disposición transitoria primera.</w:t>
      </w:r>
      <w:r w:rsidRPr="00981775">
        <w:rPr>
          <w:rStyle w:val="TextoNormalCaracter"/>
        </w:rPr>
        <w:t>-</w:t>
      </w:r>
      <w:r>
        <w:t xml:space="preserve"> Sentencia </w:t>
      </w:r>
      <w:hyperlink w:anchor="SENTENCIA_2015_156" w:history="1">
        <w:r w:rsidRPr="00981775">
          <w:rPr>
            <w:rStyle w:val="TextoNormalCaracter"/>
          </w:rPr>
          <w:t>156/2015</w:t>
        </w:r>
      </w:hyperlink>
      <w:r>
        <w:t>, f. 5.</w:t>
      </w:r>
    </w:p>
    <w:p w:rsidR="00981775" w:rsidRDefault="00981775" w:rsidP="00981775">
      <w:pPr>
        <w:pStyle w:val="SangriaFrancesaArticulo"/>
      </w:pPr>
      <w:r w:rsidRPr="00981775">
        <w:rPr>
          <w:rStyle w:val="TextoNormalNegritaCaracter"/>
        </w:rPr>
        <w:t>Disposición transitoria decimocuarta.</w:t>
      </w:r>
      <w:r w:rsidRPr="00981775">
        <w:rPr>
          <w:rStyle w:val="TextoNormalCaracter"/>
        </w:rPr>
        <w:t>-</w:t>
      </w:r>
      <w:r>
        <w:t xml:space="preserve"> Sentencia </w:t>
      </w:r>
      <w:hyperlink w:anchor="SENTENCIA_2015_156" w:history="1">
        <w:r w:rsidRPr="00981775">
          <w:rPr>
            <w:rStyle w:val="TextoNormalCaracter"/>
          </w:rPr>
          <w:t>156/2015</w:t>
        </w:r>
      </w:hyperlink>
      <w:r>
        <w:t>, f. 6.</w:t>
      </w:r>
    </w:p>
    <w:p w:rsidR="00981775" w:rsidRDefault="00981775" w:rsidP="00981775">
      <w:pPr>
        <w:pStyle w:val="SangriaFrancesaArticulo"/>
      </w:pPr>
      <w:r w:rsidRPr="00981775">
        <w:rPr>
          <w:rStyle w:val="TextoNormalNegritaCaracter"/>
        </w:rPr>
        <w:t>Disposición final tercera.</w:t>
      </w:r>
      <w:r w:rsidRPr="00981775">
        <w:rPr>
          <w:rStyle w:val="TextoNormalCaracter"/>
        </w:rPr>
        <w:t>-</w:t>
      </w:r>
      <w:r>
        <w:t xml:space="preserve"> Sentencia </w:t>
      </w:r>
      <w:hyperlink w:anchor="SENTENCIA_2015_156" w:history="1">
        <w:r w:rsidRPr="00981775">
          <w:rPr>
            <w:rStyle w:val="TextoNormalCaracter"/>
          </w:rPr>
          <w:t>156/2015</w:t>
        </w:r>
      </w:hyperlink>
      <w:r>
        <w:t>, f. 6.</w:t>
      </w:r>
    </w:p>
    <w:p w:rsidR="00981775" w:rsidRDefault="00981775" w:rsidP="00981775">
      <w:pPr>
        <w:pStyle w:val="SangriaFrancesaArticulo"/>
      </w:pPr>
      <w:r w:rsidRPr="00981775">
        <w:rPr>
          <w:rStyle w:val="TextoNormalNegritaCaracter"/>
        </w:rPr>
        <w:t>Disposición final cuarta.</w:t>
      </w:r>
      <w:r w:rsidRPr="00981775">
        <w:rPr>
          <w:rStyle w:val="TextoNormalCaracter"/>
        </w:rPr>
        <w:t>-</w:t>
      </w:r>
      <w:r>
        <w:t xml:space="preserve"> Sentencia </w:t>
      </w:r>
      <w:hyperlink w:anchor="SENTENCIA_2015_156" w:history="1">
        <w:r w:rsidRPr="00981775">
          <w:rPr>
            <w:rStyle w:val="TextoNormalCaracter"/>
          </w:rPr>
          <w:t>156/2015</w:t>
        </w:r>
      </w:hyperlink>
      <w:r>
        <w:t>, ff. 8 a 10.</w:t>
      </w:r>
    </w:p>
    <w:p w:rsidR="00981775" w:rsidRDefault="00981775" w:rsidP="00981775">
      <w:pPr>
        <w:pStyle w:val="SangriaFrancesaArticulo"/>
      </w:pPr>
      <w:r w:rsidRPr="00981775">
        <w:rPr>
          <w:rStyle w:val="TextoNormalNegritaCaracter"/>
        </w:rPr>
        <w:t>Disposición final decimoquinta.</w:t>
      </w:r>
      <w:r w:rsidRPr="00981775">
        <w:rPr>
          <w:rStyle w:val="TextoNormalCaracter"/>
        </w:rPr>
        <w:t>-</w:t>
      </w:r>
      <w:r>
        <w:t xml:space="preserve"> Sentencias </w:t>
      </w:r>
      <w:hyperlink w:anchor="SENTENCIA_2015_151" w:history="1">
        <w:r w:rsidRPr="00981775">
          <w:rPr>
            <w:rStyle w:val="TextoNormalCaracter"/>
          </w:rPr>
          <w:t>151/2015</w:t>
        </w:r>
      </w:hyperlink>
      <w:r>
        <w:t xml:space="preserve">, f. 2; </w:t>
      </w:r>
      <w:hyperlink w:anchor="SENTENCIA_2015_153" w:history="1">
        <w:r w:rsidRPr="00981775">
          <w:rPr>
            <w:rStyle w:val="TextoNormalCaracter"/>
          </w:rPr>
          <w:t>153/2015</w:t>
        </w:r>
      </w:hyperlink>
      <w:r>
        <w:t xml:space="preserve">, f. 2; </w:t>
      </w:r>
      <w:hyperlink w:anchor="SENTENCIA_2015_173" w:history="1">
        <w:r w:rsidRPr="00981775">
          <w:rPr>
            <w:rStyle w:val="TextoNormalCaracter"/>
          </w:rPr>
          <w:t>173/2015</w:t>
        </w:r>
      </w:hyperlink>
      <w:r>
        <w:t xml:space="preserve">, f. 2; </w:t>
      </w:r>
      <w:hyperlink w:anchor="SENTENCIA_2015_188" w:history="1">
        <w:r w:rsidRPr="00981775">
          <w:rPr>
            <w:rStyle w:val="TextoNormalCaracter"/>
          </w:rPr>
          <w:t>188/2015</w:t>
        </w:r>
      </w:hyperlink>
      <w:r>
        <w:t xml:space="preserve">, f. 2; </w:t>
      </w:r>
      <w:hyperlink w:anchor="SENTENCIA_2015_191" w:history="1">
        <w:r w:rsidRPr="00981775">
          <w:rPr>
            <w:rStyle w:val="TextoNormalCaracter"/>
          </w:rPr>
          <w:t>191/2015</w:t>
        </w:r>
      </w:hyperlink>
      <w:r>
        <w:t xml:space="preserve">, f. 2; </w:t>
      </w:r>
      <w:hyperlink w:anchor="SENTENCIA_2015_192" w:history="1">
        <w:r w:rsidRPr="00981775">
          <w:rPr>
            <w:rStyle w:val="TextoNormalCaracter"/>
          </w:rPr>
          <w:t>192/2015</w:t>
        </w:r>
      </w:hyperlink>
      <w:r>
        <w:t xml:space="preserve">, f. 2; </w:t>
      </w:r>
      <w:hyperlink w:anchor="SENTENCIA_2015_205" w:history="1">
        <w:r w:rsidRPr="00981775">
          <w:rPr>
            <w:rStyle w:val="TextoNormalCaracter"/>
          </w:rPr>
          <w:t>205/2015</w:t>
        </w:r>
      </w:hyperlink>
      <w:r>
        <w:t xml:space="preserve">, f. 2; </w:t>
      </w:r>
      <w:hyperlink w:anchor="SENTENCIA_2015_206" w:history="1">
        <w:r w:rsidRPr="00981775">
          <w:rPr>
            <w:rStyle w:val="TextoNormalCaracter"/>
          </w:rPr>
          <w:t>206/2015</w:t>
        </w:r>
      </w:hyperlink>
      <w:r>
        <w:t xml:space="preserve">, f. 2; </w:t>
      </w:r>
      <w:hyperlink w:anchor="SENTENCIA_2015_224" w:history="1">
        <w:r w:rsidRPr="00981775">
          <w:rPr>
            <w:rStyle w:val="TextoNormalCaracter"/>
          </w:rPr>
          <w:t>224/2015</w:t>
        </w:r>
      </w:hyperlink>
      <w:r>
        <w:t xml:space="preserve">, f. 2; </w:t>
      </w:r>
      <w:hyperlink w:anchor="SENTENCIA_2015_225" w:history="1">
        <w:r w:rsidRPr="00981775">
          <w:rPr>
            <w:rStyle w:val="TextoNormalCaracter"/>
          </w:rPr>
          <w:t>225/2015</w:t>
        </w:r>
      </w:hyperlink>
      <w:r>
        <w:t xml:space="preserve">, f. 2; </w:t>
      </w:r>
      <w:hyperlink w:anchor="SENTENCIA_2015_227" w:history="1">
        <w:r w:rsidRPr="00981775">
          <w:rPr>
            <w:rStyle w:val="TextoNormalCaracter"/>
          </w:rPr>
          <w:t>227/2015</w:t>
        </w:r>
      </w:hyperlink>
      <w:r>
        <w:t xml:space="preserve">, f. 2; </w:t>
      </w:r>
      <w:hyperlink w:anchor="SENTENCIA_2015_243" w:history="1">
        <w:r w:rsidRPr="00981775">
          <w:rPr>
            <w:rStyle w:val="TextoNormalCaracter"/>
          </w:rPr>
          <w:t>243/2015</w:t>
        </w:r>
      </w:hyperlink>
      <w:r>
        <w:t xml:space="preserve">, f. 5; </w:t>
      </w:r>
      <w:hyperlink w:anchor="SENTENCIA_2015_245" w:history="1">
        <w:r w:rsidRPr="00981775">
          <w:rPr>
            <w:rStyle w:val="TextoNormalCaracter"/>
          </w:rPr>
          <w:t>245/2015</w:t>
        </w:r>
      </w:hyperlink>
      <w:r>
        <w:t xml:space="preserve">, f. 2; </w:t>
      </w:r>
      <w:hyperlink w:anchor="SENTENCIA_2015_264" w:history="1">
        <w:r w:rsidRPr="00981775">
          <w:rPr>
            <w:rStyle w:val="TextoNormalCaracter"/>
          </w:rPr>
          <w:t>264/2015</w:t>
        </w:r>
      </w:hyperlink>
      <w:r>
        <w:t>, f. 2.</w:t>
      </w:r>
    </w:p>
    <w:p w:rsidR="00981775" w:rsidRDefault="00981775" w:rsidP="00981775">
      <w:pPr>
        <w:pStyle w:val="SangriaFrancesaArticulo"/>
      </w:pPr>
    </w:p>
    <w:p w:rsidR="00981775" w:rsidRDefault="00981775" w:rsidP="00981775">
      <w:pPr>
        <w:pStyle w:val="TextoNormalNegritaCursivandice"/>
      </w:pPr>
      <w:r>
        <w:t>Real Decreto-ley 28/2012, de 30 de noviembre. Medidas de consolidación y garantía del sistema de la Seguridad Social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Autos </w:t>
      </w:r>
      <w:hyperlink w:anchor="AUTO_2015_129" w:history="1">
        <w:r w:rsidRPr="00981775">
          <w:rPr>
            <w:rStyle w:val="TextoNormalCaracter"/>
          </w:rPr>
          <w:t>129/2015</w:t>
        </w:r>
      </w:hyperlink>
      <w:r>
        <w:t xml:space="preserve">, f. único; </w:t>
      </w:r>
      <w:hyperlink w:anchor="AUTO_2015_130" w:history="1">
        <w:r w:rsidRPr="00981775">
          <w:rPr>
            <w:rStyle w:val="TextoNormalCaracter"/>
          </w:rPr>
          <w:t>130/2015</w:t>
        </w:r>
      </w:hyperlink>
      <w:r>
        <w:t xml:space="preserve">, f. único; </w:t>
      </w:r>
      <w:hyperlink w:anchor="AUTO_2015_132" w:history="1">
        <w:r w:rsidRPr="00981775">
          <w:rPr>
            <w:rStyle w:val="TextoNormalCaracter"/>
          </w:rPr>
          <w:t>132/2015</w:t>
        </w:r>
      </w:hyperlink>
      <w:r>
        <w:t xml:space="preserve">, f. único; </w:t>
      </w:r>
      <w:hyperlink w:anchor="AUTO_2015_133" w:history="1">
        <w:r w:rsidRPr="00981775">
          <w:rPr>
            <w:rStyle w:val="TextoNormalCaracter"/>
          </w:rPr>
          <w:t>133/2015</w:t>
        </w:r>
      </w:hyperlink>
      <w:r>
        <w:t xml:space="preserve">, f. único; </w:t>
      </w:r>
      <w:hyperlink w:anchor="AUTO_2015_134" w:history="1">
        <w:r w:rsidRPr="00981775">
          <w:rPr>
            <w:rStyle w:val="TextoNormalCaracter"/>
          </w:rPr>
          <w:t>134/2015</w:t>
        </w:r>
      </w:hyperlink>
      <w:r>
        <w:t>, f. único.</w:t>
      </w:r>
    </w:p>
    <w:p w:rsidR="00981775" w:rsidRDefault="00981775" w:rsidP="00981775">
      <w:pPr>
        <w:pStyle w:val="SangriaFrancesaArticulo"/>
      </w:pPr>
      <w:r w:rsidRPr="00981775">
        <w:rPr>
          <w:rStyle w:val="TextoNormalNegritaCaracter"/>
        </w:rPr>
        <w:t>Artículo 2.1.</w:t>
      </w:r>
      <w:r w:rsidRPr="00981775">
        <w:rPr>
          <w:rStyle w:val="TextoNormalCaracter"/>
        </w:rPr>
        <w:t>-</w:t>
      </w:r>
      <w:r>
        <w:t xml:space="preserve"> Autos </w:t>
      </w:r>
      <w:hyperlink w:anchor="AUTO_2015_129" w:history="1">
        <w:r w:rsidRPr="00981775">
          <w:rPr>
            <w:rStyle w:val="TextoNormalCaracter"/>
          </w:rPr>
          <w:t>129/2015</w:t>
        </w:r>
      </w:hyperlink>
      <w:r>
        <w:t xml:space="preserve">, f. único; </w:t>
      </w:r>
      <w:hyperlink w:anchor="AUTO_2015_130" w:history="1">
        <w:r w:rsidRPr="00981775">
          <w:rPr>
            <w:rStyle w:val="TextoNormalCaracter"/>
          </w:rPr>
          <w:t>130/2015</w:t>
        </w:r>
      </w:hyperlink>
      <w:r>
        <w:t xml:space="preserve">, f. único; </w:t>
      </w:r>
      <w:hyperlink w:anchor="AUTO_2015_132" w:history="1">
        <w:r w:rsidRPr="00981775">
          <w:rPr>
            <w:rStyle w:val="TextoNormalCaracter"/>
          </w:rPr>
          <w:t>132/2015</w:t>
        </w:r>
      </w:hyperlink>
      <w:r>
        <w:t xml:space="preserve">, f. único; </w:t>
      </w:r>
      <w:hyperlink w:anchor="AUTO_2015_133" w:history="1">
        <w:r w:rsidRPr="00981775">
          <w:rPr>
            <w:rStyle w:val="TextoNormalCaracter"/>
          </w:rPr>
          <w:t>133/2015</w:t>
        </w:r>
      </w:hyperlink>
      <w:r>
        <w:t xml:space="preserve">, f. único; </w:t>
      </w:r>
      <w:hyperlink w:anchor="AUTO_2015_134" w:history="1">
        <w:r w:rsidRPr="00981775">
          <w:rPr>
            <w:rStyle w:val="TextoNormalCaracter"/>
          </w:rPr>
          <w:t>134/2015</w:t>
        </w:r>
      </w:hyperlink>
      <w:r>
        <w:t>, f. único.</w:t>
      </w:r>
    </w:p>
    <w:p w:rsidR="00981775" w:rsidRDefault="00981775" w:rsidP="00981775">
      <w:pPr>
        <w:pStyle w:val="SangriaFrancesaArticulo"/>
      </w:pPr>
    </w:p>
    <w:p w:rsidR="00981775" w:rsidRDefault="00981775" w:rsidP="00981775">
      <w:pPr>
        <w:pStyle w:val="TextoNormalNegritaCursivandice"/>
      </w:pPr>
      <w:r>
        <w:t>Real Decreto-ley 2/2013, de 1 de febrero. Medidas urgentes en el sistema eléctrico y en el sector financiero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70" w:history="1">
        <w:r w:rsidRPr="00981775">
          <w:rPr>
            <w:rStyle w:val="TextoNormalCaracter"/>
          </w:rPr>
          <w:t>270/2015</w:t>
        </w:r>
      </w:hyperlink>
      <w:r>
        <w:t>, VP.</w:t>
      </w:r>
    </w:p>
    <w:p w:rsidR="00981775" w:rsidRDefault="00981775" w:rsidP="00981775">
      <w:pPr>
        <w:pStyle w:val="SangriaFrancesaArticulo"/>
      </w:pPr>
    </w:p>
    <w:p w:rsidR="00981775" w:rsidRDefault="00981775" w:rsidP="00981775">
      <w:pPr>
        <w:pStyle w:val="TextoNormalNegritaCursivandice"/>
      </w:pPr>
      <w:r>
        <w:t>Real Decreto-ley 3/2013, de 22 de febrero. Modifica el régimen de las tasas en el ámbito de la Administración de Justicia y el sistema de asistencia jurídica gratuita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49" w:history="1">
        <w:r w:rsidRPr="00981775">
          <w:rPr>
            <w:rStyle w:val="TextoNormalCaracter"/>
          </w:rPr>
          <w:t>149/2015</w:t>
        </w:r>
      </w:hyperlink>
      <w:r>
        <w:t>, ff. 3, 4.</w:t>
      </w:r>
    </w:p>
    <w:p w:rsidR="00981775" w:rsidRDefault="00981775" w:rsidP="00981775">
      <w:pPr>
        <w:pStyle w:val="SangriaFrancesaArticulo"/>
      </w:pPr>
    </w:p>
    <w:p w:rsidR="00981775" w:rsidRDefault="00981775" w:rsidP="00981775">
      <w:pPr>
        <w:pStyle w:val="TextoNormalNegritaCursivandice"/>
      </w:pPr>
      <w:r>
        <w:t>Real Decreto-ley 4/2013, de 22 de febrero. Medidas de apoyo al emprendedor y de estímulo del crecimiento y de la creación de empleo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97" w:history="1">
        <w:r w:rsidRPr="00981775">
          <w:rPr>
            <w:rStyle w:val="TextoNormalCaracter"/>
          </w:rPr>
          <w:t>197/2015</w:t>
        </w:r>
      </w:hyperlink>
      <w:r>
        <w:t>, f. 2, VP I, VP II.</w:t>
      </w:r>
    </w:p>
    <w:p w:rsidR="00981775" w:rsidRDefault="00981775" w:rsidP="00981775">
      <w:pPr>
        <w:pStyle w:val="SangriaFrancesaArticulo"/>
      </w:pPr>
      <w:r w:rsidRPr="00981775">
        <w:rPr>
          <w:rStyle w:val="TextoNormalNegritaCaracter"/>
        </w:rPr>
        <w:t>Título IV.</w:t>
      </w:r>
      <w:r w:rsidRPr="00981775">
        <w:rPr>
          <w:rStyle w:val="TextoNormalCaracter"/>
        </w:rPr>
        <w:t>-</w:t>
      </w:r>
      <w:r>
        <w:t xml:space="preserve"> Sentencia </w:t>
      </w:r>
      <w:hyperlink w:anchor="SENTENCIA_2015_197" w:history="1">
        <w:r w:rsidRPr="00981775">
          <w:rPr>
            <w:rStyle w:val="TextoNormalCaracter"/>
          </w:rPr>
          <w:t>197/2015</w:t>
        </w:r>
      </w:hyperlink>
      <w:r>
        <w:t>, f. 4.</w:t>
      </w:r>
    </w:p>
    <w:p w:rsidR="00981775" w:rsidRDefault="00981775" w:rsidP="00981775">
      <w:pPr>
        <w:pStyle w:val="SangriaFrancesaArticulo"/>
      </w:pPr>
      <w:r w:rsidRPr="00981775">
        <w:rPr>
          <w:rStyle w:val="TextoNormalNegritaCaracter"/>
        </w:rPr>
        <w:t>Preámbulo.</w:t>
      </w:r>
      <w:r w:rsidRPr="00981775">
        <w:rPr>
          <w:rStyle w:val="TextoNormalCaracter"/>
        </w:rPr>
        <w:t>-</w:t>
      </w:r>
      <w:r>
        <w:t xml:space="preserve"> Sentencia </w:t>
      </w:r>
      <w:hyperlink w:anchor="SENTENCIA_2015_197" w:history="1">
        <w:r w:rsidRPr="00981775">
          <w:rPr>
            <w:rStyle w:val="TextoNormalCaracter"/>
          </w:rPr>
          <w:t>197/2015</w:t>
        </w:r>
      </w:hyperlink>
      <w:r>
        <w:t>, f. 4.</w:t>
      </w:r>
    </w:p>
    <w:p w:rsidR="00981775" w:rsidRDefault="00981775" w:rsidP="00981775">
      <w:pPr>
        <w:pStyle w:val="SangriaFrancesaArticulo"/>
      </w:pPr>
      <w:r w:rsidRPr="00981775">
        <w:rPr>
          <w:rStyle w:val="TextoNormalNegritaCaracter"/>
        </w:rPr>
        <w:t>Artículo 37</w:t>
      </w:r>
      <w:r>
        <w:t xml:space="preserve"> (redactado por la Ley 39/2003, de 17 de noviembre)</w:t>
      </w:r>
      <w:r w:rsidRPr="00981775">
        <w:rPr>
          <w:rStyle w:val="TextoNormalNegritaCaracter"/>
        </w:rPr>
        <w:t>.</w:t>
      </w:r>
      <w:r w:rsidRPr="00981775">
        <w:rPr>
          <w:rStyle w:val="TextoNormalCaracter"/>
        </w:rPr>
        <w:t>-</w:t>
      </w:r>
      <w:r>
        <w:t xml:space="preserve"> Sentencia </w:t>
      </w:r>
      <w:hyperlink w:anchor="SENTENCIA_2015_197" w:history="1">
        <w:r w:rsidRPr="00981775">
          <w:rPr>
            <w:rStyle w:val="TextoNormalCaracter"/>
          </w:rPr>
          <w:t>197/2015</w:t>
        </w:r>
      </w:hyperlink>
      <w:r>
        <w:t>, ff. 1, 2, 7, VP I,VP II.</w:t>
      </w:r>
    </w:p>
    <w:p w:rsidR="00981775" w:rsidRDefault="00981775" w:rsidP="00981775">
      <w:pPr>
        <w:pStyle w:val="SangriaFrancesaArticulo"/>
      </w:pPr>
      <w:r w:rsidRPr="00981775">
        <w:rPr>
          <w:rStyle w:val="TextoNormalNegritaCaracter"/>
        </w:rPr>
        <w:t>Artículo 38.</w:t>
      </w:r>
      <w:r w:rsidRPr="00981775">
        <w:rPr>
          <w:rStyle w:val="TextoNormalCaracter"/>
        </w:rPr>
        <w:t>-</w:t>
      </w:r>
      <w:r>
        <w:t xml:space="preserve"> Sentencia </w:t>
      </w:r>
      <w:hyperlink w:anchor="SENTENCIA_2015_197" w:history="1">
        <w:r w:rsidRPr="00981775">
          <w:rPr>
            <w:rStyle w:val="TextoNormalCaracter"/>
          </w:rPr>
          <w:t>197/2015</w:t>
        </w:r>
      </w:hyperlink>
      <w:r>
        <w:t>, ff. 1 a 3, 5, 7, VP I.</w:t>
      </w:r>
    </w:p>
    <w:p w:rsidR="00981775" w:rsidRDefault="00981775" w:rsidP="00981775">
      <w:pPr>
        <w:pStyle w:val="SangriaFrancesaArticulo"/>
      </w:pPr>
      <w:r w:rsidRPr="00981775">
        <w:rPr>
          <w:rStyle w:val="TextoNormalNegritaCaracter"/>
        </w:rPr>
        <w:t>Anexo.</w:t>
      </w:r>
      <w:r w:rsidRPr="00981775">
        <w:rPr>
          <w:rStyle w:val="TextoNormalCaracter"/>
        </w:rPr>
        <w:t>-</w:t>
      </w:r>
      <w:r>
        <w:t xml:space="preserve"> Sentencia </w:t>
      </w:r>
      <w:hyperlink w:anchor="SENTENCIA_2015_197" w:history="1">
        <w:r w:rsidRPr="00981775">
          <w:rPr>
            <w:rStyle w:val="TextoNormalCaracter"/>
          </w:rPr>
          <w:t>197/2015</w:t>
        </w:r>
      </w:hyperlink>
      <w:r>
        <w:t>, ff. 1 a 3, 5, 7.</w:t>
      </w:r>
    </w:p>
    <w:p w:rsidR="00981775" w:rsidRDefault="00981775" w:rsidP="00981775">
      <w:pPr>
        <w:pStyle w:val="SangriaFrancesaArticulo"/>
      </w:pPr>
    </w:p>
    <w:p w:rsidR="00981775" w:rsidRDefault="00981775" w:rsidP="00981775">
      <w:pPr>
        <w:pStyle w:val="TextoNormalNegritaCursivandice"/>
      </w:pPr>
      <w:r>
        <w:t>Real Decreto-ley 9/2013, de 12 de julio. Adopta medidas urgentes para garantizar la estabilidad financiera del sistema eléctrico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70" w:history="1">
        <w:r w:rsidRPr="00981775">
          <w:rPr>
            <w:rStyle w:val="TextoNormalCaracter"/>
          </w:rPr>
          <w:t>270/2015</w:t>
        </w:r>
      </w:hyperlink>
      <w:r>
        <w:t>, ff. 3, 5, 7, VP.</w:t>
      </w:r>
    </w:p>
    <w:p w:rsidR="00981775" w:rsidRDefault="00981775" w:rsidP="00981775">
      <w:pPr>
        <w:pStyle w:val="SangriaFrancesaArticulo"/>
      </w:pPr>
      <w:r w:rsidRPr="00981775">
        <w:rPr>
          <w:rStyle w:val="TextoNormalNegritaCaracter"/>
        </w:rPr>
        <w:t>Exposición de motivos.</w:t>
      </w:r>
      <w:r w:rsidRPr="00981775">
        <w:rPr>
          <w:rStyle w:val="TextoNormalCaracter"/>
        </w:rPr>
        <w:t>-</w:t>
      </w:r>
      <w:r>
        <w:t xml:space="preserve"> Sentencia </w:t>
      </w:r>
      <w:hyperlink w:anchor="SENTENCIA_2015_270" w:history="1">
        <w:r w:rsidRPr="00981775">
          <w:rPr>
            <w:rStyle w:val="TextoNormalCaracter"/>
          </w:rPr>
          <w:t>270/2015</w:t>
        </w:r>
      </w:hyperlink>
      <w:r>
        <w:t>, VP.</w:t>
      </w:r>
    </w:p>
    <w:p w:rsidR="00981775" w:rsidRDefault="00981775" w:rsidP="00981775">
      <w:pPr>
        <w:pStyle w:val="SangriaFrancesaArticulo"/>
      </w:pPr>
      <w:r w:rsidRPr="00981775">
        <w:rPr>
          <w:rStyle w:val="TextoNormalNegritaCaracter"/>
        </w:rPr>
        <w:t>Preámbulo, apartado I.</w:t>
      </w:r>
      <w:r w:rsidRPr="00981775">
        <w:rPr>
          <w:rStyle w:val="TextoNormalCaracter"/>
        </w:rPr>
        <w:t>-</w:t>
      </w:r>
      <w:r>
        <w:t xml:space="preserve"> Sentencia </w:t>
      </w:r>
      <w:hyperlink w:anchor="SENTENCIA_2015_270" w:history="1">
        <w:r w:rsidRPr="00981775">
          <w:rPr>
            <w:rStyle w:val="TextoNormalCaracter"/>
          </w:rPr>
          <w:t>270/2015</w:t>
        </w:r>
      </w:hyperlink>
      <w:r>
        <w:t>, ff. 4, 7.</w:t>
      </w:r>
    </w:p>
    <w:p w:rsidR="00981775" w:rsidRDefault="00981775" w:rsidP="00981775">
      <w:pPr>
        <w:pStyle w:val="SangriaFrancesaArticulo"/>
      </w:pPr>
      <w:r w:rsidRPr="00981775">
        <w:rPr>
          <w:rStyle w:val="TextoNormalNegritaCaracter"/>
        </w:rPr>
        <w:t>Preámbulo, apartado II.</w:t>
      </w:r>
      <w:r w:rsidRPr="00981775">
        <w:rPr>
          <w:rStyle w:val="TextoNormalCaracter"/>
        </w:rPr>
        <w:t>-</w:t>
      </w:r>
      <w:r>
        <w:t xml:space="preserve"> Sentencia </w:t>
      </w:r>
      <w:hyperlink w:anchor="SENTENCIA_2015_270" w:history="1">
        <w:r w:rsidRPr="00981775">
          <w:rPr>
            <w:rStyle w:val="TextoNormalCaracter"/>
          </w:rPr>
          <w:t>270/2015</w:t>
        </w:r>
      </w:hyperlink>
      <w:r>
        <w:t>, f. 4.</w:t>
      </w:r>
    </w:p>
    <w:p w:rsidR="00981775" w:rsidRDefault="00981775" w:rsidP="00981775">
      <w:pPr>
        <w:pStyle w:val="SangriaFrancesaArticulo"/>
      </w:pPr>
      <w:r w:rsidRPr="00981775">
        <w:rPr>
          <w:rStyle w:val="TextoNormalNegritaCaracter"/>
        </w:rPr>
        <w:t>Preámbulo, apartado VII.</w:t>
      </w:r>
      <w:r w:rsidRPr="00981775">
        <w:rPr>
          <w:rStyle w:val="TextoNormalCaracter"/>
        </w:rPr>
        <w:t>-</w:t>
      </w:r>
      <w:r>
        <w:t xml:space="preserve"> Sentencia </w:t>
      </w:r>
      <w:hyperlink w:anchor="SENTENCIA_2015_270" w:history="1">
        <w:r w:rsidRPr="00981775">
          <w:rPr>
            <w:rStyle w:val="TextoNormalCaracter"/>
          </w:rPr>
          <w:t>270/2015</w:t>
        </w:r>
      </w:hyperlink>
      <w:r>
        <w:t>, f. 4.</w:t>
      </w:r>
    </w:p>
    <w:p w:rsidR="00981775" w:rsidRDefault="00981775" w:rsidP="00981775">
      <w:pPr>
        <w:pStyle w:val="SangriaFrancesaArticulo"/>
      </w:pPr>
      <w:r w:rsidRPr="00981775">
        <w:rPr>
          <w:rStyle w:val="TextoNormalNegritaCaracter"/>
        </w:rPr>
        <w:t>Artículo 1.2.</w:t>
      </w:r>
      <w:r w:rsidRPr="00981775">
        <w:rPr>
          <w:rStyle w:val="TextoNormalCaracter"/>
        </w:rPr>
        <w:t>-</w:t>
      </w:r>
      <w:r>
        <w:t xml:space="preserve"> Sentencia </w:t>
      </w:r>
      <w:hyperlink w:anchor="SENTENCIA_2015_270" w:history="1">
        <w:r w:rsidRPr="00981775">
          <w:rPr>
            <w:rStyle w:val="TextoNormalCaracter"/>
          </w:rPr>
          <w:t>270/2015</w:t>
        </w:r>
      </w:hyperlink>
      <w:r>
        <w:t>, ff. 1, 7.</w:t>
      </w:r>
    </w:p>
    <w:p w:rsidR="00981775" w:rsidRDefault="00981775" w:rsidP="00981775">
      <w:pPr>
        <w:pStyle w:val="SangriaFrancesaArticulo"/>
      </w:pPr>
      <w:r w:rsidRPr="00981775">
        <w:rPr>
          <w:rStyle w:val="TextoNormalNegritaCaracter"/>
        </w:rPr>
        <w:t>Artículo 1.3.</w:t>
      </w:r>
      <w:r w:rsidRPr="00981775">
        <w:rPr>
          <w:rStyle w:val="TextoNormalCaracter"/>
        </w:rPr>
        <w:t>-</w:t>
      </w:r>
      <w:r>
        <w:t xml:space="preserve"> Sentencia </w:t>
      </w:r>
      <w:hyperlink w:anchor="SENTENCIA_2015_270" w:history="1">
        <w:r w:rsidRPr="00981775">
          <w:rPr>
            <w:rStyle w:val="TextoNormalCaracter"/>
          </w:rPr>
          <w:t>270/2015</w:t>
        </w:r>
      </w:hyperlink>
      <w:r>
        <w:t>, f. 1.</w:t>
      </w:r>
    </w:p>
    <w:p w:rsidR="00981775" w:rsidRDefault="00981775" w:rsidP="00981775">
      <w:pPr>
        <w:pStyle w:val="SangriaFrancesaArticulo"/>
      </w:pPr>
      <w:r w:rsidRPr="00981775">
        <w:rPr>
          <w:rStyle w:val="TextoNormalNegritaCaracter"/>
        </w:rPr>
        <w:t>Disposición adicional primera.</w:t>
      </w:r>
      <w:r w:rsidRPr="00981775">
        <w:rPr>
          <w:rStyle w:val="TextoNormalCaracter"/>
        </w:rPr>
        <w:t>-</w:t>
      </w:r>
      <w:r>
        <w:t xml:space="preserve"> Sentencia </w:t>
      </w:r>
      <w:hyperlink w:anchor="SENTENCIA_2015_270" w:history="1">
        <w:r w:rsidRPr="00981775">
          <w:rPr>
            <w:rStyle w:val="TextoNormalCaracter"/>
          </w:rPr>
          <w:t>270/2015</w:t>
        </w:r>
      </w:hyperlink>
      <w:r>
        <w:t>, ff. 1, 2, 7, VP.</w:t>
      </w:r>
    </w:p>
    <w:p w:rsidR="00981775" w:rsidRDefault="00981775" w:rsidP="00981775">
      <w:pPr>
        <w:pStyle w:val="SangriaFrancesaArticulo"/>
      </w:pPr>
      <w:r w:rsidRPr="00981775">
        <w:rPr>
          <w:rStyle w:val="TextoNormalNegritaCaracter"/>
        </w:rPr>
        <w:t>Disposición transitoria tercera.</w:t>
      </w:r>
      <w:r w:rsidRPr="00981775">
        <w:rPr>
          <w:rStyle w:val="TextoNormalCaracter"/>
        </w:rPr>
        <w:t>-</w:t>
      </w:r>
      <w:r>
        <w:t xml:space="preserve"> Sentencia </w:t>
      </w:r>
      <w:hyperlink w:anchor="SENTENCIA_2015_270" w:history="1">
        <w:r w:rsidRPr="00981775">
          <w:rPr>
            <w:rStyle w:val="TextoNormalCaracter"/>
          </w:rPr>
          <w:t>270/2015</w:t>
        </w:r>
      </w:hyperlink>
      <w:r>
        <w:t>, f. 1.</w:t>
      </w:r>
    </w:p>
    <w:p w:rsidR="00981775" w:rsidRDefault="00981775" w:rsidP="00981775">
      <w:pPr>
        <w:pStyle w:val="SangriaFrancesaArticulo"/>
      </w:pPr>
      <w:r w:rsidRPr="00981775">
        <w:rPr>
          <w:rStyle w:val="TextoNormalNegritaCaracter"/>
        </w:rPr>
        <w:t>Disposición transitoria tercera, apartado 2</w:t>
      </w:r>
      <w:r>
        <w:t xml:space="preserve"> (redactada por la Ley 24/2013, de 26 de diciembre)</w:t>
      </w:r>
      <w:r w:rsidRPr="00981775">
        <w:rPr>
          <w:rStyle w:val="TextoNormalNegritaCaracter"/>
        </w:rPr>
        <w:t>.</w:t>
      </w:r>
      <w:r w:rsidRPr="00981775">
        <w:rPr>
          <w:rStyle w:val="TextoNormalCaracter"/>
        </w:rPr>
        <w:t>-</w:t>
      </w:r>
      <w:r>
        <w:t xml:space="preserve"> Sentencia </w:t>
      </w:r>
      <w:hyperlink w:anchor="SENTENCIA_2015_270" w:history="1">
        <w:r w:rsidRPr="00981775">
          <w:rPr>
            <w:rStyle w:val="TextoNormalCaracter"/>
          </w:rPr>
          <w:t>270/2015</w:t>
        </w:r>
      </w:hyperlink>
      <w:r>
        <w:t>, f. 2.</w:t>
      </w:r>
    </w:p>
    <w:p w:rsidR="00981775" w:rsidRDefault="00981775" w:rsidP="00981775">
      <w:pPr>
        <w:pStyle w:val="SangriaFrancesaArticulo"/>
      </w:pPr>
      <w:r w:rsidRPr="00981775">
        <w:rPr>
          <w:rStyle w:val="TextoNormalNegritaCaracter"/>
        </w:rPr>
        <w:t>Disposición final segunda.</w:t>
      </w:r>
      <w:r w:rsidRPr="00981775">
        <w:rPr>
          <w:rStyle w:val="TextoNormalCaracter"/>
        </w:rPr>
        <w:t>-</w:t>
      </w:r>
      <w:r>
        <w:t xml:space="preserve"> Sentencia </w:t>
      </w:r>
      <w:hyperlink w:anchor="SENTENCIA_2015_270" w:history="1">
        <w:r w:rsidRPr="00981775">
          <w:rPr>
            <w:rStyle w:val="TextoNormalCaracter"/>
          </w:rPr>
          <w:t>270/2015</w:t>
        </w:r>
      </w:hyperlink>
      <w:r>
        <w:t>, ff. 1, 2, 7.</w:t>
      </w:r>
    </w:p>
    <w:p w:rsidR="00981775" w:rsidRDefault="00981775" w:rsidP="00981775">
      <w:pPr>
        <w:pStyle w:val="SangriaFrancesaArticulo"/>
      </w:pPr>
      <w:r w:rsidRPr="00981775">
        <w:rPr>
          <w:rStyle w:val="TextoNormalNegritaCaracter"/>
        </w:rPr>
        <w:t>Disposición final décima.</w:t>
      </w:r>
      <w:r w:rsidRPr="00981775">
        <w:rPr>
          <w:rStyle w:val="TextoNormalCaracter"/>
        </w:rPr>
        <w:t>-</w:t>
      </w:r>
      <w:r>
        <w:t xml:space="preserve"> Sentencia </w:t>
      </w:r>
      <w:hyperlink w:anchor="SENTENCIA_2015_270" w:history="1">
        <w:r w:rsidRPr="00981775">
          <w:rPr>
            <w:rStyle w:val="TextoNormalCaracter"/>
          </w:rPr>
          <w:t>270/2015</w:t>
        </w:r>
      </w:hyperlink>
      <w:r>
        <w:t>, f. 7.</w:t>
      </w:r>
    </w:p>
    <w:p w:rsidR="00981775" w:rsidRDefault="00981775" w:rsidP="00981775">
      <w:pPr>
        <w:pStyle w:val="SangriaFrancesaArticulo"/>
      </w:pPr>
    </w:p>
    <w:p w:rsidR="00981775" w:rsidRDefault="00981775" w:rsidP="00981775">
      <w:pPr>
        <w:pStyle w:val="TextoNormalNegritaCursivandice"/>
      </w:pPr>
      <w:r>
        <w:t>Real Decreto-ley 8/2014, de 4 de julio. Aprobación de medidas urgentes para el crecimiento, la competitividad y la eficiencia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Sentencias </w:t>
      </w:r>
      <w:hyperlink w:anchor="SENTENCIA_2015_199" w:history="1">
        <w:r w:rsidRPr="00981775">
          <w:rPr>
            <w:rStyle w:val="TextoNormalCaracter"/>
          </w:rPr>
          <w:t>199/2015</w:t>
        </w:r>
      </w:hyperlink>
      <w:r>
        <w:t xml:space="preserve">, ff. 1, 3, 8, VP; </w:t>
      </w:r>
      <w:hyperlink w:anchor="SENTENCIA_2015_202" w:history="1">
        <w:r w:rsidRPr="00981775">
          <w:rPr>
            <w:rStyle w:val="TextoNormalCaracter"/>
          </w:rPr>
          <w:t>202/2015</w:t>
        </w:r>
      </w:hyperlink>
      <w:r>
        <w:t xml:space="preserve">, f. 2; </w:t>
      </w:r>
      <w:hyperlink w:anchor="SENTENCIA_2015_211" w:history="1">
        <w:r w:rsidRPr="00981775">
          <w:rPr>
            <w:rStyle w:val="TextoNormalCaracter"/>
          </w:rPr>
          <w:t>211/2015</w:t>
        </w:r>
      </w:hyperlink>
      <w:r>
        <w:t>, VP.</w:t>
      </w:r>
    </w:p>
    <w:p w:rsidR="00981775" w:rsidRDefault="00981775" w:rsidP="00981775">
      <w:pPr>
        <w:pStyle w:val="SangriaFrancesaArticulo"/>
      </w:pPr>
      <w:r w:rsidRPr="00981775">
        <w:rPr>
          <w:rStyle w:val="TextoNormalNegritaCaracter"/>
        </w:rPr>
        <w:t>Título I, artículo 4.</w:t>
      </w:r>
      <w:r w:rsidRPr="00981775">
        <w:rPr>
          <w:rStyle w:val="TextoNormalCaracter"/>
        </w:rPr>
        <w:t>-</w:t>
      </w:r>
      <w:r>
        <w:t xml:space="preserve"> Sentencia </w:t>
      </w:r>
      <w:hyperlink w:anchor="SENTENCIA_2015_199" w:history="1">
        <w:r w:rsidRPr="00981775">
          <w:rPr>
            <w:rStyle w:val="TextoNormalCaracter"/>
          </w:rPr>
          <w:t>199/2015</w:t>
        </w:r>
      </w:hyperlink>
      <w:r>
        <w:t>, f. 6.</w:t>
      </w:r>
    </w:p>
    <w:p w:rsidR="00981775" w:rsidRDefault="00981775" w:rsidP="00981775">
      <w:pPr>
        <w:pStyle w:val="SangriaFrancesaArticulo"/>
      </w:pPr>
      <w:r w:rsidRPr="00981775">
        <w:rPr>
          <w:rStyle w:val="TextoNormalNegritaCaracter"/>
        </w:rPr>
        <w:t>Título I, artículo 5.</w:t>
      </w:r>
      <w:r w:rsidRPr="00981775">
        <w:rPr>
          <w:rStyle w:val="TextoNormalCaracter"/>
        </w:rPr>
        <w:t>-</w:t>
      </w:r>
      <w:r>
        <w:t xml:space="preserve"> Sentencia </w:t>
      </w:r>
      <w:hyperlink w:anchor="SENTENCIA_2015_199" w:history="1">
        <w:r w:rsidRPr="00981775">
          <w:rPr>
            <w:rStyle w:val="TextoNormalCaracter"/>
          </w:rPr>
          <w:t>199/2015</w:t>
        </w:r>
      </w:hyperlink>
      <w:r>
        <w:t>, f. 6.</w:t>
      </w:r>
    </w:p>
    <w:p w:rsidR="00981775" w:rsidRDefault="00981775" w:rsidP="00981775">
      <w:pPr>
        <w:pStyle w:val="SangriaFrancesaArticulo"/>
      </w:pPr>
      <w:r w:rsidRPr="00981775">
        <w:rPr>
          <w:rStyle w:val="TextoNormalNegritaCaracter"/>
        </w:rPr>
        <w:t>Título I, artículo 7.</w:t>
      </w:r>
      <w:r w:rsidRPr="00981775">
        <w:rPr>
          <w:rStyle w:val="TextoNormalCaracter"/>
        </w:rPr>
        <w:t>-</w:t>
      </w:r>
      <w:r>
        <w:t xml:space="preserve"> Sentencia </w:t>
      </w:r>
      <w:hyperlink w:anchor="SENTENCIA_2015_199" w:history="1">
        <w:r w:rsidRPr="00981775">
          <w:rPr>
            <w:rStyle w:val="TextoNormalCaracter"/>
          </w:rPr>
          <w:t>199/2015</w:t>
        </w:r>
      </w:hyperlink>
      <w:r>
        <w:t>, f. 6.</w:t>
      </w:r>
    </w:p>
    <w:p w:rsidR="00981775" w:rsidRDefault="00981775" w:rsidP="00981775">
      <w:pPr>
        <w:pStyle w:val="SangriaFrancesaArticulo"/>
      </w:pPr>
      <w:r w:rsidRPr="00981775">
        <w:rPr>
          <w:rStyle w:val="TextoNormalNegritaCaracter"/>
        </w:rPr>
        <w:t>Título I, artículos 1 a 3.</w:t>
      </w:r>
      <w:r w:rsidRPr="00981775">
        <w:rPr>
          <w:rStyle w:val="TextoNormalCaracter"/>
        </w:rPr>
        <w:t>-</w:t>
      </w:r>
      <w:r>
        <w:t xml:space="preserve"> Sentencia </w:t>
      </w:r>
      <w:hyperlink w:anchor="SENTENCIA_2015_199" w:history="1">
        <w:r w:rsidRPr="00981775">
          <w:rPr>
            <w:rStyle w:val="TextoNormalCaracter"/>
          </w:rPr>
          <w:t>199/2015</w:t>
        </w:r>
      </w:hyperlink>
      <w:r>
        <w:t>, f. 2.</w:t>
      </w:r>
    </w:p>
    <w:p w:rsidR="00981775" w:rsidRDefault="00981775" w:rsidP="00981775">
      <w:pPr>
        <w:pStyle w:val="SangriaFrancesaArticulo"/>
      </w:pPr>
      <w:r w:rsidRPr="00981775">
        <w:rPr>
          <w:rStyle w:val="TextoNormalNegritaCaracter"/>
        </w:rPr>
        <w:t>Título I, artículos 4 a 8.</w:t>
      </w:r>
      <w:r w:rsidRPr="00981775">
        <w:rPr>
          <w:rStyle w:val="TextoNormalCaracter"/>
        </w:rPr>
        <w:t>-</w:t>
      </w:r>
      <w:r>
        <w:t xml:space="preserve"> Sentencia </w:t>
      </w:r>
      <w:hyperlink w:anchor="SENTENCIA_2015_199" w:history="1">
        <w:r w:rsidRPr="00981775">
          <w:rPr>
            <w:rStyle w:val="TextoNormalCaracter"/>
          </w:rPr>
          <w:t>199/2015</w:t>
        </w:r>
      </w:hyperlink>
      <w:r>
        <w:t>, f. 2.</w:t>
      </w:r>
    </w:p>
    <w:p w:rsidR="00981775" w:rsidRDefault="00981775" w:rsidP="00981775">
      <w:pPr>
        <w:pStyle w:val="SangriaFrancesaArticulo"/>
      </w:pPr>
      <w:r w:rsidRPr="00981775">
        <w:rPr>
          <w:rStyle w:val="TextoNormalNegritaCaracter"/>
        </w:rPr>
        <w:t>Título I, artículos 9 a 15.</w:t>
      </w:r>
      <w:r w:rsidRPr="00981775">
        <w:rPr>
          <w:rStyle w:val="TextoNormalCaracter"/>
        </w:rPr>
        <w:t>-</w:t>
      </w:r>
      <w:r>
        <w:t xml:space="preserve"> Sentencia </w:t>
      </w:r>
      <w:hyperlink w:anchor="SENTENCIA_2015_199" w:history="1">
        <w:r w:rsidRPr="00981775">
          <w:rPr>
            <w:rStyle w:val="TextoNormalCaracter"/>
          </w:rPr>
          <w:t>199/2015</w:t>
        </w:r>
      </w:hyperlink>
      <w:r>
        <w:t>, f. 2.</w:t>
      </w:r>
    </w:p>
    <w:p w:rsidR="00981775" w:rsidRDefault="00981775" w:rsidP="00981775">
      <w:pPr>
        <w:pStyle w:val="SangriaFrancesaArticulo"/>
      </w:pPr>
      <w:r w:rsidRPr="00981775">
        <w:rPr>
          <w:rStyle w:val="TextoNormalNegritaCaracter"/>
        </w:rPr>
        <w:t>Título II, artículo 56.</w:t>
      </w:r>
      <w:r w:rsidRPr="00981775">
        <w:rPr>
          <w:rStyle w:val="TextoNormalCaracter"/>
        </w:rPr>
        <w:t>-</w:t>
      </w:r>
      <w:r>
        <w:t xml:space="preserve"> Sentencia </w:t>
      </w:r>
      <w:hyperlink w:anchor="SENTENCIA_2015_199" w:history="1">
        <w:r w:rsidRPr="00981775">
          <w:rPr>
            <w:rStyle w:val="TextoNormalCaracter"/>
          </w:rPr>
          <w:t>199/2015</w:t>
        </w:r>
      </w:hyperlink>
      <w:r>
        <w:t>, f. 2.</w:t>
      </w:r>
    </w:p>
    <w:p w:rsidR="00981775" w:rsidRDefault="00981775" w:rsidP="00981775">
      <w:pPr>
        <w:pStyle w:val="SangriaFrancesaArticulo"/>
      </w:pPr>
      <w:r w:rsidRPr="00981775">
        <w:rPr>
          <w:rStyle w:val="TextoNormalNegritaCaracter"/>
        </w:rPr>
        <w:t>Título II, artículos 16 a 55.</w:t>
      </w:r>
      <w:r w:rsidRPr="00981775">
        <w:rPr>
          <w:rStyle w:val="TextoNormalCaracter"/>
        </w:rPr>
        <w:t>-</w:t>
      </w:r>
      <w:r>
        <w:t xml:space="preserve"> Sentencia </w:t>
      </w:r>
      <w:hyperlink w:anchor="SENTENCIA_2015_199" w:history="1">
        <w:r w:rsidRPr="00981775">
          <w:rPr>
            <w:rStyle w:val="TextoNormalCaracter"/>
          </w:rPr>
          <w:t>199/2015</w:t>
        </w:r>
      </w:hyperlink>
      <w:r>
        <w:t>, f. 2.</w:t>
      </w:r>
    </w:p>
    <w:p w:rsidR="00981775" w:rsidRDefault="00981775" w:rsidP="00981775">
      <w:pPr>
        <w:pStyle w:val="SangriaFrancesaArticulo"/>
      </w:pPr>
      <w:r w:rsidRPr="00981775">
        <w:rPr>
          <w:rStyle w:val="TextoNormalNegritaCaracter"/>
        </w:rPr>
        <w:t>Título III, artículo 57.</w:t>
      </w:r>
      <w:r w:rsidRPr="00981775">
        <w:rPr>
          <w:rStyle w:val="TextoNormalCaracter"/>
        </w:rPr>
        <w:t>-</w:t>
      </w:r>
      <w:r>
        <w:t xml:space="preserve"> Sentencia </w:t>
      </w:r>
      <w:hyperlink w:anchor="SENTENCIA_2015_199" w:history="1">
        <w:r w:rsidRPr="00981775">
          <w:rPr>
            <w:rStyle w:val="TextoNormalCaracter"/>
          </w:rPr>
          <w:t>199/2015</w:t>
        </w:r>
      </w:hyperlink>
      <w:r>
        <w:t>, f. 2.</w:t>
      </w:r>
    </w:p>
    <w:p w:rsidR="00981775" w:rsidRDefault="00981775" w:rsidP="00981775">
      <w:pPr>
        <w:pStyle w:val="SangriaFrancesaArticulo"/>
      </w:pPr>
      <w:r w:rsidRPr="00981775">
        <w:rPr>
          <w:rStyle w:val="TextoNormalNegritaCaracter"/>
        </w:rPr>
        <w:t>Título III, artículo 58.</w:t>
      </w:r>
      <w:r w:rsidRPr="00981775">
        <w:rPr>
          <w:rStyle w:val="TextoNormalCaracter"/>
        </w:rPr>
        <w:t>-</w:t>
      </w:r>
      <w:r>
        <w:t xml:space="preserve"> Sentencia </w:t>
      </w:r>
      <w:hyperlink w:anchor="SENTENCIA_2015_199" w:history="1">
        <w:r w:rsidRPr="00981775">
          <w:rPr>
            <w:rStyle w:val="TextoNormalCaracter"/>
          </w:rPr>
          <w:t>199/2015</w:t>
        </w:r>
      </w:hyperlink>
      <w:r>
        <w:t>, f. 2.</w:t>
      </w:r>
    </w:p>
    <w:p w:rsidR="00981775" w:rsidRDefault="00981775" w:rsidP="00981775">
      <w:pPr>
        <w:pStyle w:val="SangriaFrancesaArticulo"/>
      </w:pPr>
      <w:r w:rsidRPr="00981775">
        <w:rPr>
          <w:rStyle w:val="TextoNormalNegritaCaracter"/>
        </w:rPr>
        <w:t>Título III, artículo 68.</w:t>
      </w:r>
      <w:r w:rsidRPr="00981775">
        <w:rPr>
          <w:rStyle w:val="TextoNormalCaracter"/>
        </w:rPr>
        <w:t>-</w:t>
      </w:r>
      <w:r>
        <w:t xml:space="preserve"> Sentencia </w:t>
      </w:r>
      <w:hyperlink w:anchor="SENTENCIA_2015_199" w:history="1">
        <w:r w:rsidRPr="00981775">
          <w:rPr>
            <w:rStyle w:val="TextoNormalCaracter"/>
          </w:rPr>
          <w:t>199/2015</w:t>
        </w:r>
      </w:hyperlink>
      <w:r>
        <w:t>, f. 8.</w:t>
      </w:r>
    </w:p>
    <w:p w:rsidR="00981775" w:rsidRDefault="00981775" w:rsidP="00981775">
      <w:pPr>
        <w:pStyle w:val="SangriaFrancesaArticulo"/>
      </w:pPr>
      <w:r w:rsidRPr="00981775">
        <w:rPr>
          <w:rStyle w:val="TextoNormalNegritaCaracter"/>
        </w:rPr>
        <w:t>Título III, artículos 59 a 66.</w:t>
      </w:r>
      <w:r w:rsidRPr="00981775">
        <w:rPr>
          <w:rStyle w:val="TextoNormalCaracter"/>
        </w:rPr>
        <w:t>-</w:t>
      </w:r>
      <w:r>
        <w:t xml:space="preserve"> Sentencia </w:t>
      </w:r>
      <w:hyperlink w:anchor="SENTENCIA_2015_199" w:history="1">
        <w:r w:rsidRPr="00981775">
          <w:rPr>
            <w:rStyle w:val="TextoNormalCaracter"/>
          </w:rPr>
          <w:t>199/2015</w:t>
        </w:r>
      </w:hyperlink>
      <w:r>
        <w:t>, f. 2.</w:t>
      </w:r>
    </w:p>
    <w:p w:rsidR="00981775" w:rsidRDefault="00981775" w:rsidP="00981775">
      <w:pPr>
        <w:pStyle w:val="SangriaFrancesaArticulo"/>
      </w:pPr>
      <w:r w:rsidRPr="00981775">
        <w:rPr>
          <w:rStyle w:val="TextoNormalNegritaCaracter"/>
        </w:rPr>
        <w:t>Título III, artículos 69 a 86.</w:t>
      </w:r>
      <w:r w:rsidRPr="00981775">
        <w:rPr>
          <w:rStyle w:val="TextoNormalCaracter"/>
        </w:rPr>
        <w:t>-</w:t>
      </w:r>
      <w:r>
        <w:t xml:space="preserve"> Sentencia </w:t>
      </w:r>
      <w:hyperlink w:anchor="SENTENCIA_2015_199" w:history="1">
        <w:r w:rsidRPr="00981775">
          <w:rPr>
            <w:rStyle w:val="TextoNormalCaracter"/>
          </w:rPr>
          <w:t>199/2015</w:t>
        </w:r>
      </w:hyperlink>
      <w:r>
        <w:t>, f. 2.</w:t>
      </w:r>
    </w:p>
    <w:p w:rsidR="00981775" w:rsidRDefault="00981775" w:rsidP="00981775">
      <w:pPr>
        <w:pStyle w:val="SangriaFrancesaArticulo"/>
      </w:pPr>
      <w:r w:rsidRPr="00981775">
        <w:rPr>
          <w:rStyle w:val="TextoNormalNegritaCaracter"/>
        </w:rPr>
        <w:t>Título III, capítulo III.</w:t>
      </w:r>
      <w:r w:rsidRPr="00981775">
        <w:rPr>
          <w:rStyle w:val="TextoNormalCaracter"/>
        </w:rPr>
        <w:t>-</w:t>
      </w:r>
      <w:r>
        <w:t xml:space="preserve"> Sentencia </w:t>
      </w:r>
      <w:hyperlink w:anchor="SENTENCIA_2015_199" w:history="1">
        <w:r w:rsidRPr="00981775">
          <w:rPr>
            <w:rStyle w:val="TextoNormalCaracter"/>
          </w:rPr>
          <w:t>199/2015</w:t>
        </w:r>
      </w:hyperlink>
      <w:r>
        <w:t>, f. 2.</w:t>
      </w:r>
    </w:p>
    <w:p w:rsidR="00981775" w:rsidRDefault="00981775" w:rsidP="00981775">
      <w:pPr>
        <w:pStyle w:val="SangriaFrancesaArticulo"/>
      </w:pPr>
      <w:r w:rsidRPr="00981775">
        <w:rPr>
          <w:rStyle w:val="TextoNormalNegritaCaracter"/>
        </w:rPr>
        <w:t>Título IV, artículo 115.</w:t>
      </w:r>
      <w:r w:rsidRPr="00981775">
        <w:rPr>
          <w:rStyle w:val="TextoNormalCaracter"/>
        </w:rPr>
        <w:t>-</w:t>
      </w:r>
      <w:r>
        <w:t xml:space="preserve"> Sentencia </w:t>
      </w:r>
      <w:hyperlink w:anchor="SENTENCIA_2015_199" w:history="1">
        <w:r w:rsidRPr="00981775">
          <w:rPr>
            <w:rStyle w:val="TextoNormalCaracter"/>
          </w:rPr>
          <w:t>199/2015</w:t>
        </w:r>
      </w:hyperlink>
      <w:r>
        <w:t>, f. 2.</w:t>
      </w:r>
    </w:p>
    <w:p w:rsidR="00981775" w:rsidRDefault="00981775" w:rsidP="00981775">
      <w:pPr>
        <w:pStyle w:val="SangriaFrancesaArticulo"/>
      </w:pPr>
      <w:r w:rsidRPr="00981775">
        <w:rPr>
          <w:rStyle w:val="TextoNormalNegritaCaracter"/>
        </w:rPr>
        <w:t>Título IV, artículo 116.</w:t>
      </w:r>
      <w:r w:rsidRPr="00981775">
        <w:rPr>
          <w:rStyle w:val="TextoNormalCaracter"/>
        </w:rPr>
        <w:t>-</w:t>
      </w:r>
      <w:r>
        <w:t xml:space="preserve"> Sentencia </w:t>
      </w:r>
      <w:hyperlink w:anchor="SENTENCIA_2015_199" w:history="1">
        <w:r w:rsidRPr="00981775">
          <w:rPr>
            <w:rStyle w:val="TextoNormalCaracter"/>
          </w:rPr>
          <w:t>199/2015</w:t>
        </w:r>
      </w:hyperlink>
      <w:r>
        <w:t>, f. 9.</w:t>
      </w:r>
    </w:p>
    <w:p w:rsidR="00981775" w:rsidRDefault="00981775" w:rsidP="00981775">
      <w:pPr>
        <w:pStyle w:val="SangriaFrancesaArticulo"/>
      </w:pPr>
      <w:r w:rsidRPr="00981775">
        <w:rPr>
          <w:rStyle w:val="TextoNormalNegritaCaracter"/>
        </w:rPr>
        <w:t>Título IV, artículo 120.</w:t>
      </w:r>
      <w:r w:rsidRPr="00981775">
        <w:rPr>
          <w:rStyle w:val="TextoNormalCaracter"/>
        </w:rPr>
        <w:t>-</w:t>
      </w:r>
      <w:r>
        <w:t xml:space="preserve"> Sentencia </w:t>
      </w:r>
      <w:hyperlink w:anchor="SENTENCIA_2015_199" w:history="1">
        <w:r w:rsidRPr="00981775">
          <w:rPr>
            <w:rStyle w:val="TextoNormalCaracter"/>
          </w:rPr>
          <w:t>199/2015</w:t>
        </w:r>
      </w:hyperlink>
      <w:r>
        <w:t>, f. 2.</w:t>
      </w:r>
    </w:p>
    <w:p w:rsidR="00981775" w:rsidRDefault="00981775" w:rsidP="00981775">
      <w:pPr>
        <w:pStyle w:val="SangriaFrancesaArticulo"/>
      </w:pPr>
      <w:r w:rsidRPr="00981775">
        <w:rPr>
          <w:rStyle w:val="TextoNormalNegritaCaracter"/>
        </w:rPr>
        <w:t>Título IV, artículo 121.</w:t>
      </w:r>
      <w:r w:rsidRPr="00981775">
        <w:rPr>
          <w:rStyle w:val="TextoNormalCaracter"/>
        </w:rPr>
        <w:t>-</w:t>
      </w:r>
      <w:r>
        <w:t xml:space="preserve"> Sentencia </w:t>
      </w:r>
      <w:hyperlink w:anchor="SENTENCIA_2015_199" w:history="1">
        <w:r w:rsidRPr="00981775">
          <w:rPr>
            <w:rStyle w:val="TextoNormalCaracter"/>
          </w:rPr>
          <w:t>199/2015</w:t>
        </w:r>
      </w:hyperlink>
      <w:r>
        <w:t>, f. 2.</w:t>
      </w:r>
    </w:p>
    <w:p w:rsidR="00981775" w:rsidRDefault="00981775" w:rsidP="00981775">
      <w:pPr>
        <w:pStyle w:val="SangriaFrancesaArticulo"/>
      </w:pPr>
      <w:r w:rsidRPr="00981775">
        <w:rPr>
          <w:rStyle w:val="TextoNormalNegritaCaracter"/>
        </w:rPr>
        <w:t>Titulo IV, artículos 114.</w:t>
      </w:r>
      <w:r w:rsidRPr="00981775">
        <w:rPr>
          <w:rStyle w:val="TextoNormalCaracter"/>
        </w:rPr>
        <w:t>-</w:t>
      </w:r>
      <w:r>
        <w:t xml:space="preserve"> Sentencia </w:t>
      </w:r>
      <w:hyperlink w:anchor="SENTENCIA_2015_199" w:history="1">
        <w:r w:rsidRPr="00981775">
          <w:rPr>
            <w:rStyle w:val="TextoNormalCaracter"/>
          </w:rPr>
          <w:t>199/2015</w:t>
        </w:r>
      </w:hyperlink>
      <w:r>
        <w:t>, f. 2.</w:t>
      </w:r>
    </w:p>
    <w:p w:rsidR="00981775" w:rsidRDefault="00981775" w:rsidP="00981775">
      <w:pPr>
        <w:pStyle w:val="SangriaFrancesaArticulo"/>
      </w:pPr>
      <w:r w:rsidRPr="00981775">
        <w:rPr>
          <w:rStyle w:val="TextoNormalNegritaCaracter"/>
        </w:rPr>
        <w:t>Titulo IV, artículos 116 a 119.</w:t>
      </w:r>
      <w:r w:rsidRPr="00981775">
        <w:rPr>
          <w:rStyle w:val="TextoNormalCaracter"/>
        </w:rPr>
        <w:t>-</w:t>
      </w:r>
      <w:r>
        <w:t xml:space="preserve"> Sentencia </w:t>
      </w:r>
      <w:hyperlink w:anchor="SENTENCIA_2015_199" w:history="1">
        <w:r w:rsidRPr="00981775">
          <w:rPr>
            <w:rStyle w:val="TextoNormalCaracter"/>
          </w:rPr>
          <w:t>199/2015</w:t>
        </w:r>
      </w:hyperlink>
      <w:r>
        <w:t>, f. 2.</w:t>
      </w:r>
    </w:p>
    <w:p w:rsidR="00981775" w:rsidRDefault="00981775" w:rsidP="00981775">
      <w:pPr>
        <w:pStyle w:val="SangriaFrancesaArticulo"/>
      </w:pPr>
      <w:r w:rsidRPr="00981775">
        <w:rPr>
          <w:rStyle w:val="TextoNormalNegritaCaracter"/>
        </w:rPr>
        <w:t>Título IV, artículos 88 a 114.</w:t>
      </w:r>
      <w:r w:rsidRPr="00981775">
        <w:rPr>
          <w:rStyle w:val="TextoNormalCaracter"/>
        </w:rPr>
        <w:t>-</w:t>
      </w:r>
      <w:r>
        <w:t xml:space="preserve"> Sentencia </w:t>
      </w:r>
      <w:hyperlink w:anchor="SENTENCIA_2015_199" w:history="1">
        <w:r w:rsidRPr="00981775">
          <w:rPr>
            <w:rStyle w:val="TextoNormalCaracter"/>
          </w:rPr>
          <w:t>199/2015</w:t>
        </w:r>
      </w:hyperlink>
      <w:r>
        <w:t>, f. 2.</w:t>
      </w:r>
    </w:p>
    <w:p w:rsidR="00981775" w:rsidRDefault="00981775" w:rsidP="00981775">
      <w:pPr>
        <w:pStyle w:val="SangriaFrancesaArticulo"/>
      </w:pPr>
      <w:r w:rsidRPr="00981775">
        <w:rPr>
          <w:rStyle w:val="TextoNormalNegritaCaracter"/>
        </w:rPr>
        <w:t>Título V, artículo 122.</w:t>
      </w:r>
      <w:r w:rsidRPr="00981775">
        <w:rPr>
          <w:rStyle w:val="TextoNormalCaracter"/>
        </w:rPr>
        <w:t>-</w:t>
      </w:r>
      <w:r>
        <w:t xml:space="preserve"> Sentencia </w:t>
      </w:r>
      <w:hyperlink w:anchor="SENTENCIA_2015_199" w:history="1">
        <w:r w:rsidRPr="00981775">
          <w:rPr>
            <w:rStyle w:val="TextoNormalCaracter"/>
          </w:rPr>
          <w:t>199/2015</w:t>
        </w:r>
      </w:hyperlink>
      <w:r>
        <w:t>, f. 2.</w:t>
      </w:r>
    </w:p>
    <w:p w:rsidR="00981775" w:rsidRDefault="00981775" w:rsidP="00981775">
      <w:pPr>
        <w:pStyle w:val="SangriaFrancesaArticulo"/>
      </w:pPr>
      <w:r w:rsidRPr="00981775">
        <w:rPr>
          <w:rStyle w:val="TextoNormalNegritaCaracter"/>
        </w:rPr>
        <w:t>Exposición de motivos.</w:t>
      </w:r>
      <w:r w:rsidRPr="00981775">
        <w:rPr>
          <w:rStyle w:val="TextoNormalCaracter"/>
        </w:rPr>
        <w:t>-</w:t>
      </w:r>
      <w:r>
        <w:t xml:space="preserve"> Sentencia </w:t>
      </w:r>
      <w:hyperlink w:anchor="SENTENCIA_2015_199" w:history="1">
        <w:r w:rsidRPr="00981775">
          <w:rPr>
            <w:rStyle w:val="TextoNormalCaracter"/>
          </w:rPr>
          <w:t>199/2015</w:t>
        </w:r>
      </w:hyperlink>
      <w:r>
        <w:t>, ff. 6, 8, 10.</w:t>
      </w:r>
    </w:p>
    <w:p w:rsidR="00981775" w:rsidRDefault="00981775" w:rsidP="00981775">
      <w:pPr>
        <w:pStyle w:val="SangriaFrancesaArticulo"/>
      </w:pPr>
      <w:r w:rsidRPr="00981775">
        <w:rPr>
          <w:rStyle w:val="TextoNormalNegritaCaracter"/>
        </w:rPr>
        <w:t>Preámbulo.</w:t>
      </w:r>
      <w:r w:rsidRPr="00981775">
        <w:rPr>
          <w:rStyle w:val="TextoNormalCaracter"/>
        </w:rPr>
        <w:t>-</w:t>
      </w:r>
      <w:r>
        <w:t xml:space="preserve"> Sentencia </w:t>
      </w:r>
      <w:hyperlink w:anchor="SENTENCIA_2015_211" w:history="1">
        <w:r w:rsidRPr="00981775">
          <w:rPr>
            <w:rStyle w:val="TextoNormalCaracter"/>
          </w:rPr>
          <w:t>211/2015</w:t>
        </w:r>
      </w:hyperlink>
      <w:r>
        <w:t>, f. 5.</w:t>
      </w:r>
    </w:p>
    <w:p w:rsidR="00981775" w:rsidRDefault="00981775" w:rsidP="00981775">
      <w:pPr>
        <w:pStyle w:val="SangriaFrancesaArticulo"/>
      </w:pPr>
      <w:r w:rsidRPr="00981775">
        <w:rPr>
          <w:rStyle w:val="TextoNormalNegritaCaracter"/>
        </w:rPr>
        <w:t>Artículo 7.1.</w:t>
      </w:r>
      <w:r w:rsidRPr="00981775">
        <w:rPr>
          <w:rStyle w:val="TextoNormalCaracter"/>
        </w:rPr>
        <w:t>-</w:t>
      </w:r>
      <w:r>
        <w:t xml:space="preserve"> Sentencia </w:t>
      </w:r>
      <w:hyperlink w:anchor="SENTENCIA_2015_156" w:history="1">
        <w:r w:rsidRPr="00981775">
          <w:rPr>
            <w:rStyle w:val="TextoNormalCaracter"/>
          </w:rPr>
          <w:t>156/2015</w:t>
        </w:r>
      </w:hyperlink>
      <w:r>
        <w:t>, f. 2.</w:t>
      </w:r>
    </w:p>
    <w:p w:rsidR="00981775" w:rsidRDefault="00981775" w:rsidP="00981775">
      <w:pPr>
        <w:pStyle w:val="SangriaFrancesaArticulo"/>
      </w:pPr>
      <w:r w:rsidRPr="00981775">
        <w:rPr>
          <w:rStyle w:val="TextoNormalNegritaCaracter"/>
        </w:rPr>
        <w:t>Artículo 7.2.</w:t>
      </w:r>
      <w:r w:rsidRPr="00981775">
        <w:rPr>
          <w:rStyle w:val="TextoNormalCaracter"/>
        </w:rPr>
        <w:t>-</w:t>
      </w:r>
      <w:r>
        <w:t xml:space="preserve"> Sentencia </w:t>
      </w:r>
      <w:hyperlink w:anchor="SENTENCIA_2015_156" w:history="1">
        <w:r w:rsidRPr="00981775">
          <w:rPr>
            <w:rStyle w:val="TextoNormalCaracter"/>
          </w:rPr>
          <w:t>156/2015</w:t>
        </w:r>
      </w:hyperlink>
      <w:r>
        <w:t>, f. 2.</w:t>
      </w:r>
    </w:p>
    <w:p w:rsidR="00981775" w:rsidRDefault="00981775" w:rsidP="00981775">
      <w:pPr>
        <w:pStyle w:val="SangriaFrancesaArticulo"/>
      </w:pPr>
      <w:r w:rsidRPr="00981775">
        <w:rPr>
          <w:rStyle w:val="TextoNormalNegritaCaracter"/>
        </w:rPr>
        <w:t>Artículo 28.</w:t>
      </w:r>
      <w:r w:rsidRPr="00981775">
        <w:rPr>
          <w:rStyle w:val="TextoNormalCaracter"/>
        </w:rPr>
        <w:t>-</w:t>
      </w:r>
      <w:r>
        <w:t xml:space="preserve"> Sentencia </w:t>
      </w:r>
      <w:hyperlink w:anchor="SENTENCIA_2015_199" w:history="1">
        <w:r w:rsidRPr="00981775">
          <w:rPr>
            <w:rStyle w:val="TextoNormalCaracter"/>
          </w:rPr>
          <w:t>199/2015</w:t>
        </w:r>
      </w:hyperlink>
      <w:r>
        <w:t>, f. 8.</w:t>
      </w:r>
    </w:p>
    <w:p w:rsidR="00981775" w:rsidRDefault="00981775" w:rsidP="00981775">
      <w:pPr>
        <w:pStyle w:val="SangriaFrancesaArticulo"/>
      </w:pPr>
      <w:r w:rsidRPr="00981775">
        <w:rPr>
          <w:rStyle w:val="TextoNormalNegritaCaracter"/>
        </w:rPr>
        <w:t>Artículo 29.</w:t>
      </w:r>
      <w:r w:rsidRPr="00981775">
        <w:rPr>
          <w:rStyle w:val="TextoNormalCaracter"/>
        </w:rPr>
        <w:t>-</w:t>
      </w:r>
      <w:r>
        <w:t xml:space="preserve"> Sentencia </w:t>
      </w:r>
      <w:hyperlink w:anchor="SENTENCIA_2015_199" w:history="1">
        <w:r w:rsidRPr="00981775">
          <w:rPr>
            <w:rStyle w:val="TextoNormalCaracter"/>
          </w:rPr>
          <w:t>199/2015</w:t>
        </w:r>
      </w:hyperlink>
      <w:r>
        <w:t>, f. 8.</w:t>
      </w:r>
    </w:p>
    <w:p w:rsidR="00981775" w:rsidRDefault="00981775" w:rsidP="00981775">
      <w:pPr>
        <w:pStyle w:val="SangriaFrancesaArticulo"/>
      </w:pPr>
      <w:r w:rsidRPr="00981775">
        <w:rPr>
          <w:rStyle w:val="TextoNormalNegritaCaracter"/>
        </w:rPr>
        <w:t>Artículo 50.</w:t>
      </w:r>
      <w:r w:rsidRPr="00981775">
        <w:rPr>
          <w:rStyle w:val="TextoNormalCaracter"/>
        </w:rPr>
        <w:t>-</w:t>
      </w:r>
      <w:r>
        <w:t xml:space="preserve"> Sentencia </w:t>
      </w:r>
      <w:hyperlink w:anchor="SENTENCIA_2015_199" w:history="1">
        <w:r w:rsidRPr="00981775">
          <w:rPr>
            <w:rStyle w:val="TextoNormalCaracter"/>
          </w:rPr>
          <w:t>199/2015</w:t>
        </w:r>
      </w:hyperlink>
      <w:r>
        <w:t>, f. 2.</w:t>
      </w:r>
    </w:p>
    <w:p w:rsidR="00981775" w:rsidRDefault="00981775" w:rsidP="00981775">
      <w:pPr>
        <w:pStyle w:val="SangriaFrancesaArticulo"/>
      </w:pPr>
      <w:r w:rsidRPr="00981775">
        <w:rPr>
          <w:rStyle w:val="TextoNormalNegritaCaracter"/>
        </w:rPr>
        <w:t>Artículo 50.1.</w:t>
      </w:r>
      <w:r w:rsidRPr="00981775">
        <w:rPr>
          <w:rStyle w:val="TextoNormalCaracter"/>
        </w:rPr>
        <w:t>-</w:t>
      </w:r>
      <w:r>
        <w:t xml:space="preserve"> Sentencia </w:t>
      </w:r>
      <w:hyperlink w:anchor="SENTENCIA_2015_199" w:history="1">
        <w:r w:rsidRPr="00981775">
          <w:rPr>
            <w:rStyle w:val="TextoNormalCaracter"/>
          </w:rPr>
          <w:t>199/2015</w:t>
        </w:r>
      </w:hyperlink>
      <w:r>
        <w:t>, f. 7.</w:t>
      </w:r>
    </w:p>
    <w:p w:rsidR="00981775" w:rsidRDefault="00981775" w:rsidP="00981775">
      <w:pPr>
        <w:pStyle w:val="SangriaFrancesaArticulo"/>
      </w:pPr>
      <w:r w:rsidRPr="00981775">
        <w:rPr>
          <w:rStyle w:val="TextoNormalNegritaCaracter"/>
        </w:rPr>
        <w:t>Artículo 63.</w:t>
      </w:r>
      <w:r w:rsidRPr="00981775">
        <w:rPr>
          <w:rStyle w:val="TextoNormalCaracter"/>
        </w:rPr>
        <w:t>-</w:t>
      </w:r>
      <w:r>
        <w:t xml:space="preserve"> Sentencia </w:t>
      </w:r>
      <w:hyperlink w:anchor="SENTENCIA_2015_199" w:history="1">
        <w:r w:rsidRPr="00981775">
          <w:rPr>
            <w:rStyle w:val="TextoNormalCaracter"/>
          </w:rPr>
          <w:t>199/2015</w:t>
        </w:r>
      </w:hyperlink>
      <w:r>
        <w:t>, f. 2.</w:t>
      </w:r>
    </w:p>
    <w:p w:rsidR="00981775" w:rsidRDefault="00981775" w:rsidP="00981775">
      <w:pPr>
        <w:pStyle w:val="SangriaFrancesaArticulo"/>
      </w:pPr>
      <w:r w:rsidRPr="00981775">
        <w:rPr>
          <w:rStyle w:val="TextoNormalNegritaCaracter"/>
        </w:rPr>
        <w:t>Artículo 64.</w:t>
      </w:r>
      <w:r w:rsidRPr="00981775">
        <w:rPr>
          <w:rStyle w:val="TextoNormalCaracter"/>
        </w:rPr>
        <w:t>-</w:t>
      </w:r>
      <w:r>
        <w:t xml:space="preserve"> Sentencia </w:t>
      </w:r>
      <w:hyperlink w:anchor="SENTENCIA_2015_199" w:history="1">
        <w:r w:rsidRPr="00981775">
          <w:rPr>
            <w:rStyle w:val="TextoNormalCaracter"/>
          </w:rPr>
          <w:t>199/2015</w:t>
        </w:r>
      </w:hyperlink>
      <w:r>
        <w:t>, f. 2.</w:t>
      </w:r>
    </w:p>
    <w:p w:rsidR="00981775" w:rsidRDefault="00981775" w:rsidP="00981775">
      <w:pPr>
        <w:pStyle w:val="SangriaFrancesaArticulo"/>
      </w:pPr>
      <w:r w:rsidRPr="00981775">
        <w:rPr>
          <w:rStyle w:val="TextoNormalNegritaCaracter"/>
        </w:rPr>
        <w:t>Artículo 68.</w:t>
      </w:r>
      <w:r w:rsidRPr="00981775">
        <w:rPr>
          <w:rStyle w:val="TextoNormalCaracter"/>
        </w:rPr>
        <w:t>-</w:t>
      </w:r>
      <w:r>
        <w:t xml:space="preserve"> Sentencia </w:t>
      </w:r>
      <w:hyperlink w:anchor="SENTENCIA_2015_199" w:history="1">
        <w:r w:rsidRPr="00981775">
          <w:rPr>
            <w:rStyle w:val="TextoNormalCaracter"/>
          </w:rPr>
          <w:t>199/2015</w:t>
        </w:r>
      </w:hyperlink>
      <w:r>
        <w:t>, f. 2.</w:t>
      </w:r>
    </w:p>
    <w:p w:rsidR="00981775" w:rsidRDefault="00981775" w:rsidP="00981775">
      <w:pPr>
        <w:pStyle w:val="SangriaFrancesaArticulo"/>
      </w:pPr>
      <w:r w:rsidRPr="00981775">
        <w:rPr>
          <w:rStyle w:val="TextoNormalNegritaCaracter"/>
        </w:rPr>
        <w:t>Artículo 116.</w:t>
      </w:r>
      <w:r w:rsidRPr="00981775">
        <w:rPr>
          <w:rStyle w:val="TextoNormalCaracter"/>
        </w:rPr>
        <w:t>-</w:t>
      </w:r>
      <w:r>
        <w:t xml:space="preserve"> Sentencia </w:t>
      </w:r>
      <w:hyperlink w:anchor="SENTENCIA_2015_199" w:history="1">
        <w:r w:rsidRPr="00981775">
          <w:rPr>
            <w:rStyle w:val="TextoNormalCaracter"/>
          </w:rPr>
          <w:t>199/2015</w:t>
        </w:r>
      </w:hyperlink>
      <w:r>
        <w:t>, f. 9.</w:t>
      </w:r>
    </w:p>
    <w:p w:rsidR="00981775" w:rsidRDefault="00981775" w:rsidP="00981775">
      <w:pPr>
        <w:pStyle w:val="SangriaFrancesaArticulo"/>
      </w:pPr>
      <w:r w:rsidRPr="00981775">
        <w:rPr>
          <w:rStyle w:val="TextoNormalNegritaCaracter"/>
        </w:rPr>
        <w:t>Artículo 124.</w:t>
      </w:r>
      <w:r w:rsidRPr="00981775">
        <w:rPr>
          <w:rStyle w:val="TextoNormalCaracter"/>
        </w:rPr>
        <w:t>-</w:t>
      </w:r>
      <w:r>
        <w:t xml:space="preserve"> Sentencias </w:t>
      </w:r>
      <w:hyperlink w:anchor="SENTENCIA_2015_202" w:history="1">
        <w:r w:rsidRPr="00981775">
          <w:rPr>
            <w:rStyle w:val="TextoNormalCaracter"/>
          </w:rPr>
          <w:t>202/2015</w:t>
        </w:r>
      </w:hyperlink>
      <w:r>
        <w:t xml:space="preserve">, f. 2; </w:t>
      </w:r>
      <w:hyperlink w:anchor="SENTENCIA_2015_211" w:history="1">
        <w:r w:rsidRPr="00981775">
          <w:rPr>
            <w:rStyle w:val="TextoNormalCaracter"/>
          </w:rPr>
          <w:t>211/2015</w:t>
        </w:r>
      </w:hyperlink>
      <w:r>
        <w:t>, ff. 1 a 5, 7, 8.</w:t>
      </w:r>
    </w:p>
    <w:p w:rsidR="00981775" w:rsidRDefault="00981775" w:rsidP="00981775">
      <w:pPr>
        <w:pStyle w:val="SangriaIzquierdaArticulo"/>
      </w:pPr>
      <w:r>
        <w:t xml:space="preserve">Auto </w:t>
      </w:r>
      <w:hyperlink w:anchor="AUTO_2015_171" w:history="1">
        <w:r w:rsidRPr="00981775">
          <w:rPr>
            <w:rStyle w:val="TextoNormalCaracter"/>
          </w:rPr>
          <w:t>171/2015</w:t>
        </w:r>
      </w:hyperlink>
      <w:r>
        <w:t>, f. único.</w:t>
      </w:r>
    </w:p>
    <w:p w:rsidR="00981775" w:rsidRDefault="00981775" w:rsidP="00981775">
      <w:pPr>
        <w:pStyle w:val="SangriaFrancesaArticulo"/>
      </w:pPr>
      <w:r w:rsidRPr="00981775">
        <w:rPr>
          <w:rStyle w:val="TextoNormalNegritaCaracter"/>
        </w:rPr>
        <w:t>Artículo 124.1.1.</w:t>
      </w:r>
      <w:r w:rsidRPr="00981775">
        <w:rPr>
          <w:rStyle w:val="TextoNormalCaracter"/>
        </w:rPr>
        <w:t>-</w:t>
      </w:r>
      <w:r>
        <w:t xml:space="preserve"> Sentencia </w:t>
      </w:r>
      <w:hyperlink w:anchor="SENTENCIA_2015_211" w:history="1">
        <w:r w:rsidRPr="00981775">
          <w:rPr>
            <w:rStyle w:val="TextoNormalCaracter"/>
          </w:rPr>
          <w:t>211/2015</w:t>
        </w:r>
      </w:hyperlink>
      <w:r>
        <w:t>, f. 6.</w:t>
      </w:r>
    </w:p>
    <w:p w:rsidR="00981775" w:rsidRDefault="00981775" w:rsidP="00981775">
      <w:pPr>
        <w:pStyle w:val="SangriaFrancesaArticulo"/>
      </w:pPr>
      <w:r w:rsidRPr="00981775">
        <w:rPr>
          <w:rStyle w:val="TextoNormalNegritaCaracter"/>
        </w:rPr>
        <w:t>Artículo 124.1.2.</w:t>
      </w:r>
      <w:r w:rsidRPr="00981775">
        <w:rPr>
          <w:rStyle w:val="TextoNormalCaracter"/>
        </w:rPr>
        <w:t>-</w:t>
      </w:r>
      <w:r>
        <w:t xml:space="preserve"> Sentencia </w:t>
      </w:r>
      <w:hyperlink w:anchor="SENTENCIA_2015_211" w:history="1">
        <w:r w:rsidRPr="00981775">
          <w:rPr>
            <w:rStyle w:val="TextoNormalCaracter"/>
          </w:rPr>
          <w:t>211/2015</w:t>
        </w:r>
      </w:hyperlink>
      <w:r>
        <w:t>, f. 6.</w:t>
      </w:r>
    </w:p>
    <w:p w:rsidR="00981775" w:rsidRDefault="00981775" w:rsidP="00981775">
      <w:pPr>
        <w:pStyle w:val="SangriaFrancesaArticulo"/>
      </w:pPr>
      <w:r w:rsidRPr="00981775">
        <w:rPr>
          <w:rStyle w:val="TextoNormalNegritaCaracter"/>
        </w:rPr>
        <w:t>Artículo 124.1.3.</w:t>
      </w:r>
      <w:r w:rsidRPr="00981775">
        <w:rPr>
          <w:rStyle w:val="TextoNormalCaracter"/>
        </w:rPr>
        <w:t>-</w:t>
      </w:r>
      <w:r>
        <w:t xml:space="preserve"> Sentencia </w:t>
      </w:r>
      <w:hyperlink w:anchor="SENTENCIA_2015_211" w:history="1">
        <w:r w:rsidRPr="00981775">
          <w:rPr>
            <w:rStyle w:val="TextoNormalCaracter"/>
          </w:rPr>
          <w:t>211/2015</w:t>
        </w:r>
      </w:hyperlink>
      <w:r>
        <w:t>, f. 6.</w:t>
      </w:r>
    </w:p>
    <w:p w:rsidR="00981775" w:rsidRDefault="00981775" w:rsidP="00981775">
      <w:pPr>
        <w:pStyle w:val="SangriaFrancesaArticulo"/>
      </w:pPr>
      <w:r w:rsidRPr="00981775">
        <w:rPr>
          <w:rStyle w:val="TextoNormalNegritaCaracter"/>
        </w:rPr>
        <w:t>Articulo 124.1.4.</w:t>
      </w:r>
      <w:r w:rsidRPr="00981775">
        <w:rPr>
          <w:rStyle w:val="TextoNormalCaracter"/>
        </w:rPr>
        <w:t>-</w:t>
      </w:r>
      <w:r>
        <w:t xml:space="preserve"> Sentencia </w:t>
      </w:r>
      <w:hyperlink w:anchor="SENTENCIA_2015_211" w:history="1">
        <w:r w:rsidRPr="00981775">
          <w:rPr>
            <w:rStyle w:val="TextoNormalCaracter"/>
          </w:rPr>
          <w:t>211/2015</w:t>
        </w:r>
      </w:hyperlink>
      <w:r>
        <w:t>, f. 6.</w:t>
      </w:r>
    </w:p>
    <w:p w:rsidR="00981775" w:rsidRDefault="00981775" w:rsidP="00981775">
      <w:pPr>
        <w:pStyle w:val="SangriaFrancesaArticulo"/>
      </w:pPr>
      <w:r w:rsidRPr="00981775">
        <w:rPr>
          <w:rStyle w:val="TextoNormalNegritaCaracter"/>
        </w:rPr>
        <w:t>Artículo 124.1.5.</w:t>
      </w:r>
      <w:r w:rsidRPr="00981775">
        <w:rPr>
          <w:rStyle w:val="TextoNormalCaracter"/>
        </w:rPr>
        <w:t>-</w:t>
      </w:r>
      <w:r>
        <w:t xml:space="preserve"> Sentencia </w:t>
      </w:r>
      <w:hyperlink w:anchor="SENTENCIA_2015_211" w:history="1">
        <w:r w:rsidRPr="00981775">
          <w:rPr>
            <w:rStyle w:val="TextoNormalCaracter"/>
          </w:rPr>
          <w:t>211/2015</w:t>
        </w:r>
      </w:hyperlink>
      <w:r>
        <w:t>, ff. 6, 7.</w:t>
      </w:r>
    </w:p>
    <w:p w:rsidR="00981775" w:rsidRDefault="00981775" w:rsidP="00981775">
      <w:pPr>
        <w:pStyle w:val="SangriaFrancesaArticulo"/>
      </w:pPr>
      <w:r w:rsidRPr="00981775">
        <w:rPr>
          <w:rStyle w:val="TextoNormalNegritaCaracter"/>
        </w:rPr>
        <w:t>Artículo 124.1.6.</w:t>
      </w:r>
      <w:r w:rsidRPr="00981775">
        <w:rPr>
          <w:rStyle w:val="TextoNormalCaracter"/>
        </w:rPr>
        <w:t>-</w:t>
      </w:r>
      <w:r>
        <w:t xml:space="preserve"> Sentencia </w:t>
      </w:r>
      <w:hyperlink w:anchor="SENTENCIA_2015_211" w:history="1">
        <w:r w:rsidRPr="00981775">
          <w:rPr>
            <w:rStyle w:val="TextoNormalCaracter"/>
          </w:rPr>
          <w:t>211/2015</w:t>
        </w:r>
      </w:hyperlink>
      <w:r>
        <w:t>, f. 6.</w:t>
      </w:r>
    </w:p>
    <w:p w:rsidR="00981775" w:rsidRDefault="00981775" w:rsidP="00981775">
      <w:pPr>
        <w:pStyle w:val="SangriaFrancesaArticulo"/>
      </w:pPr>
      <w:r w:rsidRPr="00981775">
        <w:rPr>
          <w:rStyle w:val="TextoNormalNegritaCaracter"/>
        </w:rPr>
        <w:t>Artículo 124.1.7.</w:t>
      </w:r>
      <w:r w:rsidRPr="00981775">
        <w:rPr>
          <w:rStyle w:val="TextoNormalCaracter"/>
        </w:rPr>
        <w:t>-</w:t>
      </w:r>
      <w:r>
        <w:t xml:space="preserve"> Sentencia </w:t>
      </w:r>
      <w:hyperlink w:anchor="SENTENCIA_2015_211" w:history="1">
        <w:r w:rsidRPr="00981775">
          <w:rPr>
            <w:rStyle w:val="TextoNormalCaracter"/>
          </w:rPr>
          <w:t>211/2015</w:t>
        </w:r>
      </w:hyperlink>
      <w:r>
        <w:t>, f. 6.</w:t>
      </w:r>
    </w:p>
    <w:p w:rsidR="00981775" w:rsidRDefault="00981775" w:rsidP="00981775">
      <w:pPr>
        <w:pStyle w:val="SangriaFrancesaArticulo"/>
      </w:pPr>
      <w:r w:rsidRPr="00981775">
        <w:rPr>
          <w:rStyle w:val="TextoNormalNegritaCaracter"/>
        </w:rPr>
        <w:t>Disposición adicional decimovena.</w:t>
      </w:r>
      <w:r w:rsidRPr="00981775">
        <w:rPr>
          <w:rStyle w:val="TextoNormalCaracter"/>
        </w:rPr>
        <w:t>-</w:t>
      </w:r>
      <w:r>
        <w:t xml:space="preserve"> Sentencia </w:t>
      </w:r>
      <w:hyperlink w:anchor="SENTENCIA_2015_199" w:history="1">
        <w:r w:rsidRPr="00981775">
          <w:rPr>
            <w:rStyle w:val="TextoNormalCaracter"/>
          </w:rPr>
          <w:t>199/2015</w:t>
        </w:r>
      </w:hyperlink>
      <w:r>
        <w:t>, f. 10.</w:t>
      </w:r>
    </w:p>
    <w:p w:rsidR="00981775" w:rsidRDefault="00981775" w:rsidP="00981775">
      <w:pPr>
        <w:pStyle w:val="SangriaFrancesaArticulo"/>
      </w:pPr>
      <w:r w:rsidRPr="00981775">
        <w:rPr>
          <w:rStyle w:val="TextoNormalNegritaCaracter"/>
        </w:rPr>
        <w:t>Disposición adicional vigésima.</w:t>
      </w:r>
      <w:r w:rsidRPr="00981775">
        <w:rPr>
          <w:rStyle w:val="TextoNormalCaracter"/>
        </w:rPr>
        <w:t>-</w:t>
      </w:r>
      <w:r>
        <w:t xml:space="preserve"> Sentencia </w:t>
      </w:r>
      <w:hyperlink w:anchor="SENTENCIA_2015_199" w:history="1">
        <w:r w:rsidRPr="00981775">
          <w:rPr>
            <w:rStyle w:val="TextoNormalCaracter"/>
          </w:rPr>
          <w:t>199/2015</w:t>
        </w:r>
      </w:hyperlink>
      <w:r>
        <w:t>, ff. 1, 10.</w:t>
      </w:r>
    </w:p>
    <w:p w:rsidR="00981775" w:rsidRDefault="00981775" w:rsidP="00981775">
      <w:pPr>
        <w:pStyle w:val="SangriaFrancesaArticulo"/>
      </w:pPr>
      <w:r w:rsidRPr="00981775">
        <w:rPr>
          <w:rStyle w:val="TextoNormalNegritaCaracter"/>
        </w:rPr>
        <w:t>Disposición adicional vigesimoprimera.</w:t>
      </w:r>
      <w:r w:rsidRPr="00981775">
        <w:rPr>
          <w:rStyle w:val="TextoNormalCaracter"/>
        </w:rPr>
        <w:t>-</w:t>
      </w:r>
      <w:r>
        <w:t xml:space="preserve"> Sentencia </w:t>
      </w:r>
      <w:hyperlink w:anchor="SENTENCIA_2015_199" w:history="1">
        <w:r w:rsidRPr="00981775">
          <w:rPr>
            <w:rStyle w:val="TextoNormalCaracter"/>
          </w:rPr>
          <w:t>199/2015</w:t>
        </w:r>
      </w:hyperlink>
      <w:r>
        <w:t>, ff. 1, 10.</w:t>
      </w:r>
    </w:p>
    <w:p w:rsidR="00981775" w:rsidRDefault="00981775" w:rsidP="00981775">
      <w:pPr>
        <w:pStyle w:val="SangriaFrancesaArticulo"/>
      </w:pPr>
      <w:r w:rsidRPr="00981775">
        <w:rPr>
          <w:rStyle w:val="TextoNormalNegritaCaracter"/>
        </w:rPr>
        <w:t>Disposición adicional vigesimosegunda.</w:t>
      </w:r>
      <w:r w:rsidRPr="00981775">
        <w:rPr>
          <w:rStyle w:val="TextoNormalCaracter"/>
        </w:rPr>
        <w:t>-</w:t>
      </w:r>
      <w:r>
        <w:t xml:space="preserve"> Sentencia </w:t>
      </w:r>
      <w:hyperlink w:anchor="SENTENCIA_2015_199" w:history="1">
        <w:r w:rsidRPr="00981775">
          <w:rPr>
            <w:rStyle w:val="TextoNormalCaracter"/>
          </w:rPr>
          <w:t>199/2015</w:t>
        </w:r>
      </w:hyperlink>
      <w:r>
        <w:t>, ff. 1, 10.</w:t>
      </w:r>
    </w:p>
    <w:p w:rsidR="00981775" w:rsidRDefault="00981775" w:rsidP="00981775">
      <w:pPr>
        <w:pStyle w:val="SangriaFrancesaArticulo"/>
      </w:pPr>
      <w:r w:rsidRPr="00981775">
        <w:rPr>
          <w:rStyle w:val="TextoNormalNegritaCaracter"/>
        </w:rPr>
        <w:t>Disposición adicional vigesimotercera.</w:t>
      </w:r>
      <w:r w:rsidRPr="00981775">
        <w:rPr>
          <w:rStyle w:val="TextoNormalCaracter"/>
        </w:rPr>
        <w:t>-</w:t>
      </w:r>
      <w:r>
        <w:t xml:space="preserve"> Sentencia </w:t>
      </w:r>
      <w:hyperlink w:anchor="SENTENCIA_2015_199" w:history="1">
        <w:r w:rsidRPr="00981775">
          <w:rPr>
            <w:rStyle w:val="TextoNormalCaracter"/>
          </w:rPr>
          <w:t>199/2015</w:t>
        </w:r>
      </w:hyperlink>
      <w:r>
        <w:t>, ff. 1, 10.</w:t>
      </w:r>
    </w:p>
    <w:p w:rsidR="00981775" w:rsidRDefault="00981775" w:rsidP="00981775">
      <w:pPr>
        <w:pStyle w:val="SangriaFrancesaArticulo"/>
      </w:pPr>
      <w:r w:rsidRPr="00981775">
        <w:rPr>
          <w:rStyle w:val="TextoNormalNegritaCaracter"/>
        </w:rPr>
        <w:t>Disposición adicional vigesimocuarta.</w:t>
      </w:r>
      <w:r w:rsidRPr="00981775">
        <w:rPr>
          <w:rStyle w:val="TextoNormalCaracter"/>
        </w:rPr>
        <w:t>-</w:t>
      </w:r>
      <w:r>
        <w:t xml:space="preserve"> Sentencia </w:t>
      </w:r>
      <w:hyperlink w:anchor="SENTENCIA_2015_199" w:history="1">
        <w:r w:rsidRPr="00981775">
          <w:rPr>
            <w:rStyle w:val="TextoNormalCaracter"/>
          </w:rPr>
          <w:t>199/2015</w:t>
        </w:r>
      </w:hyperlink>
      <w:r>
        <w:t>, ff. 1, 10.</w:t>
      </w:r>
    </w:p>
    <w:p w:rsidR="00981775" w:rsidRDefault="00981775" w:rsidP="00981775">
      <w:pPr>
        <w:pStyle w:val="SangriaFrancesaArticulo"/>
      </w:pPr>
      <w:r w:rsidRPr="00981775">
        <w:rPr>
          <w:rStyle w:val="TextoNormalNegritaCaracter"/>
        </w:rPr>
        <w:t>Disposición final segunda.</w:t>
      </w:r>
      <w:r w:rsidRPr="00981775">
        <w:rPr>
          <w:rStyle w:val="TextoNormalCaracter"/>
        </w:rPr>
        <w:t>-</w:t>
      </w:r>
      <w:r>
        <w:t xml:space="preserve"> Sentencia </w:t>
      </w:r>
      <w:hyperlink w:anchor="SENTENCIA_2015_199" w:history="1">
        <w:r w:rsidRPr="00981775">
          <w:rPr>
            <w:rStyle w:val="TextoNormalCaracter"/>
          </w:rPr>
          <w:t>199/2015</w:t>
        </w:r>
      </w:hyperlink>
      <w:r>
        <w:t>, ff. 2, 8.</w:t>
      </w:r>
    </w:p>
    <w:p w:rsidR="00981775" w:rsidRDefault="00981775" w:rsidP="00981775">
      <w:pPr>
        <w:pStyle w:val="SangriaFrancesaArticulo"/>
      </w:pPr>
      <w:r w:rsidRPr="00981775">
        <w:rPr>
          <w:rStyle w:val="TextoNormalNegritaCaracter"/>
        </w:rPr>
        <w:t>Disposición final cuarta.</w:t>
      </w:r>
      <w:r w:rsidRPr="00981775">
        <w:rPr>
          <w:rStyle w:val="TextoNormalCaracter"/>
        </w:rPr>
        <w:t>-</w:t>
      </w:r>
      <w:r>
        <w:t xml:space="preserve"> Sentencia </w:t>
      </w:r>
      <w:hyperlink w:anchor="SENTENCIA_2015_199" w:history="1">
        <w:r w:rsidRPr="00981775">
          <w:rPr>
            <w:rStyle w:val="TextoNormalCaracter"/>
          </w:rPr>
          <w:t>199/2015</w:t>
        </w:r>
      </w:hyperlink>
      <w:r>
        <w:t>, ff. 2, 8.</w:t>
      </w:r>
    </w:p>
    <w:p w:rsidR="00981775" w:rsidRDefault="00981775" w:rsidP="00981775">
      <w:pPr>
        <w:pStyle w:val="SangriaFrancesaArticulo"/>
      </w:pPr>
      <w:r w:rsidRPr="00981775">
        <w:rPr>
          <w:rStyle w:val="TextoNormalNegritaCaracter"/>
        </w:rPr>
        <w:t>Anexo X.</w:t>
      </w:r>
      <w:r w:rsidRPr="00981775">
        <w:rPr>
          <w:rStyle w:val="TextoNormalCaracter"/>
        </w:rPr>
        <w:t>-</w:t>
      </w:r>
      <w:r>
        <w:t xml:space="preserve"> Sentencia </w:t>
      </w:r>
      <w:hyperlink w:anchor="SENTENCIA_2015_199" w:history="1">
        <w:r w:rsidRPr="00981775">
          <w:rPr>
            <w:rStyle w:val="TextoNormalCaracter"/>
          </w:rPr>
          <w:t>199/2015</w:t>
        </w:r>
      </w:hyperlink>
      <w:r>
        <w:t>, f. 8.</w:t>
      </w:r>
    </w:p>
    <w:p w:rsidR="00981775" w:rsidRDefault="00981775" w:rsidP="00981775">
      <w:pPr>
        <w:pStyle w:val="SangriaFrancesaArticulo"/>
      </w:pPr>
      <w:r w:rsidRPr="00981775">
        <w:rPr>
          <w:rStyle w:val="TextoNormalNegritaCaracter"/>
        </w:rPr>
        <w:t>Anexo XI.</w:t>
      </w:r>
      <w:r w:rsidRPr="00981775">
        <w:rPr>
          <w:rStyle w:val="TextoNormalCaracter"/>
        </w:rPr>
        <w:t>-</w:t>
      </w:r>
      <w:r>
        <w:t xml:space="preserve"> Sentencia </w:t>
      </w:r>
      <w:hyperlink w:anchor="SENTENCIA_2015_199" w:history="1">
        <w:r w:rsidRPr="00981775">
          <w:rPr>
            <w:rStyle w:val="TextoNormalCaracter"/>
          </w:rPr>
          <w:t>199/2015</w:t>
        </w:r>
      </w:hyperlink>
      <w:r>
        <w:t>, f. 8.</w:t>
      </w:r>
    </w:p>
    <w:p w:rsidR="00981775" w:rsidRDefault="00981775" w:rsidP="00981775">
      <w:pPr>
        <w:pStyle w:val="SangriaFrancesaArticulo"/>
      </w:pPr>
    </w:p>
    <w:p w:rsidR="00981775" w:rsidRDefault="00981775" w:rsidP="00981775">
      <w:pPr>
        <w:pStyle w:val="TextoNormalNegritaCursivandice"/>
      </w:pPr>
      <w:r>
        <w:t>Real Decreto-ley 1/2015, de 27 de febrero. Mecanismo de segunda oportunidad, reducción de carga financiera y otras medidas de orden social</w:t>
      </w:r>
    </w:p>
    <w:p w:rsidR="00981775" w:rsidRDefault="00981775" w:rsidP="00981775">
      <w:pPr>
        <w:pStyle w:val="SangriaFrancesaArticulo"/>
      </w:pPr>
      <w:r w:rsidRPr="00981775">
        <w:rPr>
          <w:rStyle w:val="TextoNormalNegritaCaracter"/>
        </w:rPr>
        <w:t>Artículo 3.</w:t>
      </w:r>
      <w:r w:rsidRPr="00981775">
        <w:rPr>
          <w:rStyle w:val="TextoNormalCaracter"/>
        </w:rPr>
        <w:t>-</w:t>
      </w:r>
      <w:r>
        <w:t xml:space="preserve"> Auto </w:t>
      </w:r>
      <w:hyperlink w:anchor="AUTO_2015_155" w:history="1">
        <w:r w:rsidRPr="00981775">
          <w:rPr>
            <w:rStyle w:val="TextoNormalCaracter"/>
          </w:rPr>
          <w:t>155/2015</w:t>
        </w:r>
      </w:hyperlink>
      <w:r>
        <w:t>, f. 1.</w:t>
      </w:r>
    </w:p>
    <w:p w:rsidR="00981775" w:rsidRDefault="00981775" w:rsidP="00981775">
      <w:pPr>
        <w:pStyle w:val="TextoNormal"/>
      </w:pPr>
    </w:p>
    <w:p w:rsidR="00981775" w:rsidRDefault="00981775" w:rsidP="00981775">
      <w:pPr>
        <w:pStyle w:val="SangriaFrancesaArticulo"/>
      </w:pPr>
      <w:bookmarkStart w:id="255" w:name="INDICE22849"/>
    </w:p>
    <w:bookmarkEnd w:id="255"/>
    <w:p w:rsidR="00981775" w:rsidRDefault="00981775" w:rsidP="00981775">
      <w:pPr>
        <w:pStyle w:val="TextoIndiceNivel2"/>
        <w:suppressAutoHyphens/>
      </w:pPr>
      <w:r>
        <w:t>H) Reales Decretos y otras disposiciones generales del Estado</w:t>
      </w:r>
    </w:p>
    <w:p w:rsidR="00981775" w:rsidRDefault="00981775" w:rsidP="00981775">
      <w:pPr>
        <w:pStyle w:val="TextoIndiceNivel2"/>
      </w:pPr>
    </w:p>
    <w:p w:rsidR="00981775" w:rsidRDefault="00981775" w:rsidP="00981775">
      <w:pPr>
        <w:pStyle w:val="TextoNormalNegritaCursivandice"/>
      </w:pPr>
      <w:r>
        <w:t>Real Decreto 1346/1976, de 9 de abril. Texto refundido de la Ley sobre régimen del suelo y ordenación urbana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18" w:history="1">
        <w:r w:rsidRPr="00981775">
          <w:rPr>
            <w:rStyle w:val="TextoNormalCaracter"/>
          </w:rPr>
          <w:t>218/2015</w:t>
        </w:r>
      </w:hyperlink>
      <w:r>
        <w:t>, f. 2.</w:t>
      </w:r>
    </w:p>
    <w:p w:rsidR="00981775" w:rsidRDefault="00981775" w:rsidP="00981775">
      <w:pPr>
        <w:pStyle w:val="SangriaFrancesaArticulo"/>
      </w:pPr>
      <w:r w:rsidRPr="00981775">
        <w:rPr>
          <w:rStyle w:val="TextoNormalNegritaCaracter"/>
        </w:rPr>
        <w:t>Artículo 78.</w:t>
      </w:r>
      <w:r w:rsidRPr="00981775">
        <w:rPr>
          <w:rStyle w:val="TextoNormalCaracter"/>
        </w:rPr>
        <w:t>-</w:t>
      </w:r>
      <w:r>
        <w:t xml:space="preserve"> Sentencia </w:t>
      </w:r>
      <w:hyperlink w:anchor="SENTENCIA_2015_233" w:history="1">
        <w:r w:rsidRPr="00981775">
          <w:rPr>
            <w:rStyle w:val="TextoNormalCaracter"/>
          </w:rPr>
          <w:t>233/2015</w:t>
        </w:r>
      </w:hyperlink>
      <w:r>
        <w:t>, f. 16.</w:t>
      </w:r>
    </w:p>
    <w:p w:rsidR="00981775" w:rsidRDefault="00981775" w:rsidP="00981775">
      <w:pPr>
        <w:pStyle w:val="SangriaFrancesaArticulo"/>
      </w:pPr>
      <w:r w:rsidRPr="00981775">
        <w:rPr>
          <w:rStyle w:val="TextoNormalNegritaCaracter"/>
        </w:rPr>
        <w:t>Artículo 81.2.</w:t>
      </w:r>
      <w:r w:rsidRPr="00981775">
        <w:rPr>
          <w:rStyle w:val="TextoNormalCaracter"/>
        </w:rPr>
        <w:t>-</w:t>
      </w:r>
      <w:r>
        <w:t xml:space="preserve"> Sentencia </w:t>
      </w:r>
      <w:hyperlink w:anchor="SENTENCIA_2015_233" w:history="1">
        <w:r w:rsidRPr="00981775">
          <w:rPr>
            <w:rStyle w:val="TextoNormalCaracter"/>
          </w:rPr>
          <w:t>233/2015</w:t>
        </w:r>
      </w:hyperlink>
      <w:r>
        <w:t>, f. 16.</w:t>
      </w:r>
    </w:p>
    <w:p w:rsidR="00981775" w:rsidRDefault="00981775" w:rsidP="00981775">
      <w:pPr>
        <w:pStyle w:val="SangriaFrancesaArticulo"/>
      </w:pPr>
    </w:p>
    <w:p w:rsidR="00981775" w:rsidRDefault="00981775" w:rsidP="00981775">
      <w:pPr>
        <w:pStyle w:val="TextoNormalNegritaCursivandice"/>
      </w:pPr>
      <w:r>
        <w:t>Real Decreto 740/1983, de 30 de marzo. Concesión de licencias de armas que hayan de utilizar los miembros de los cuerpos de policía de Ayuntamientos y Comunidades Autónomas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00" w:history="1">
        <w:r w:rsidRPr="00981775">
          <w:rPr>
            <w:rStyle w:val="TextoNormalCaracter"/>
          </w:rPr>
          <w:t>200/2015</w:t>
        </w:r>
      </w:hyperlink>
      <w:r>
        <w:t>, f. 3.</w:t>
      </w:r>
    </w:p>
    <w:p w:rsidR="00981775" w:rsidRDefault="00981775" w:rsidP="00981775">
      <w:pPr>
        <w:pStyle w:val="SangriaFrancesaArticulo"/>
      </w:pPr>
    </w:p>
    <w:p w:rsidR="00981775" w:rsidRDefault="00981775" w:rsidP="00981775">
      <w:pPr>
        <w:pStyle w:val="TextoNormalNegritaCursivandice"/>
      </w:pPr>
      <w:r>
        <w:t>Real Decreto 898/1985, de 30 de abril. Régimen del profesorado universitario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6" w:history="1">
        <w:r w:rsidRPr="00981775">
          <w:rPr>
            <w:rStyle w:val="TextoNormalCaracter"/>
          </w:rPr>
          <w:t>176/2015</w:t>
        </w:r>
      </w:hyperlink>
      <w:r>
        <w:t>, f. 6.</w:t>
      </w:r>
    </w:p>
    <w:p w:rsidR="00981775" w:rsidRDefault="00981775" w:rsidP="00981775">
      <w:pPr>
        <w:pStyle w:val="SangriaFrancesaArticulo"/>
      </w:pPr>
    </w:p>
    <w:p w:rsidR="00981775" w:rsidRDefault="00981775" w:rsidP="00981775">
      <w:pPr>
        <w:pStyle w:val="TextoNormalNegritaCursivandice"/>
      </w:pPr>
      <w:r>
        <w:t>Real Decreto 33/1986, de 10 de enero. Reglamento de régimen disciplinario de los funcionarios públicos de la Administración del Estado</w:t>
      </w:r>
    </w:p>
    <w:p w:rsidR="00981775" w:rsidRDefault="00981775" w:rsidP="00981775">
      <w:pPr>
        <w:pStyle w:val="SangriaFrancesaArticulo"/>
      </w:pPr>
      <w:r w:rsidRPr="00981775">
        <w:rPr>
          <w:rStyle w:val="TextoNormalNegritaCaracter"/>
        </w:rPr>
        <w:t>Artículo 7.1 e).</w:t>
      </w:r>
      <w:r w:rsidRPr="00981775">
        <w:rPr>
          <w:rStyle w:val="TextoNormalCaracter"/>
        </w:rPr>
        <w:t>-</w:t>
      </w:r>
      <w:r>
        <w:t xml:space="preserve"> Sentencia </w:t>
      </w:r>
      <w:hyperlink w:anchor="SENTENCIA_2015_187" w:history="1">
        <w:r w:rsidRPr="00981775">
          <w:rPr>
            <w:rStyle w:val="TextoNormalCaracter"/>
          </w:rPr>
          <w:t>187/2015</w:t>
        </w:r>
      </w:hyperlink>
      <w:r>
        <w:t>, f. 5.</w:t>
      </w:r>
    </w:p>
    <w:p w:rsidR="00981775" w:rsidRDefault="00981775" w:rsidP="00981775">
      <w:pPr>
        <w:pStyle w:val="SangriaFrancesaArticulo"/>
      </w:pPr>
      <w:r w:rsidRPr="00981775">
        <w:rPr>
          <w:rStyle w:val="TextoNormalNegritaCaracter"/>
        </w:rPr>
        <w:t>Artículo 7.1 ñ).</w:t>
      </w:r>
      <w:r w:rsidRPr="00981775">
        <w:rPr>
          <w:rStyle w:val="TextoNormalCaracter"/>
        </w:rPr>
        <w:t>-</w:t>
      </w:r>
      <w:r>
        <w:t xml:space="preserve"> Sentencia </w:t>
      </w:r>
      <w:hyperlink w:anchor="SENTENCIA_2015_187" w:history="1">
        <w:r w:rsidRPr="00981775">
          <w:rPr>
            <w:rStyle w:val="TextoNormalCaracter"/>
          </w:rPr>
          <w:t>187/2015</w:t>
        </w:r>
      </w:hyperlink>
      <w:r>
        <w:t>, f. 5.</w:t>
      </w:r>
    </w:p>
    <w:p w:rsidR="00981775" w:rsidRDefault="00981775" w:rsidP="00981775">
      <w:pPr>
        <w:pStyle w:val="SangriaFrancesaArticulo"/>
      </w:pPr>
    </w:p>
    <w:p w:rsidR="00981775" w:rsidRDefault="00981775" w:rsidP="00981775">
      <w:pPr>
        <w:pStyle w:val="TextoNormalNegritaCursivandice"/>
      </w:pPr>
      <w:r>
        <w:t>Real Decreto 849/1986, de 11 de abril. Reglamento del dominio público hidráulico</w:t>
      </w:r>
    </w:p>
    <w:p w:rsidR="00981775" w:rsidRDefault="00981775" w:rsidP="00981775">
      <w:pPr>
        <w:pStyle w:val="SangriaFrancesaArticulo"/>
      </w:pPr>
      <w:r w:rsidRPr="00981775">
        <w:rPr>
          <w:rStyle w:val="TextoNormalNegritaCaracter"/>
        </w:rPr>
        <w:t>Artículo 110.1.</w:t>
      </w:r>
      <w:r w:rsidRPr="00981775">
        <w:rPr>
          <w:rStyle w:val="TextoNormalCaracter"/>
        </w:rPr>
        <w:t>-</w:t>
      </w:r>
      <w:r>
        <w:t xml:space="preserve"> Auto </w:t>
      </w:r>
      <w:hyperlink w:anchor="AUTO_2015_226" w:history="1">
        <w:r w:rsidRPr="00981775">
          <w:rPr>
            <w:rStyle w:val="TextoNormalCaracter"/>
          </w:rPr>
          <w:t>226/2015</w:t>
        </w:r>
      </w:hyperlink>
      <w:r>
        <w:t>, f. 4.</w:t>
      </w:r>
    </w:p>
    <w:p w:rsidR="00981775" w:rsidRDefault="00981775" w:rsidP="00981775">
      <w:pPr>
        <w:pStyle w:val="SangriaFrancesaArticulo"/>
      </w:pPr>
    </w:p>
    <w:p w:rsidR="00981775" w:rsidRDefault="00981775" w:rsidP="00981775">
      <w:pPr>
        <w:pStyle w:val="TextoNormalNegritaCursivandice"/>
      </w:pPr>
      <w:r>
        <w:t>Real Decreto 1086/1989, de 28 de agosto. Retribuciones del profesorado universitario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6" w:history="1">
        <w:r w:rsidRPr="00981775">
          <w:rPr>
            <w:rStyle w:val="TextoNormalCaracter"/>
          </w:rPr>
          <w:t>176/2015</w:t>
        </w:r>
      </w:hyperlink>
      <w:r>
        <w:t>, f. 6.</w:t>
      </w:r>
    </w:p>
    <w:p w:rsidR="00981775" w:rsidRDefault="00981775" w:rsidP="00981775">
      <w:pPr>
        <w:pStyle w:val="SangriaFrancesaArticulo"/>
      </w:pPr>
    </w:p>
    <w:p w:rsidR="00981775" w:rsidRDefault="00981775" w:rsidP="00981775">
      <w:pPr>
        <w:pStyle w:val="TextoNormalNegritaCursivandice"/>
      </w:pPr>
      <w:r>
        <w:t>Real Decreto 1471/1989, de 1 de diciembre. Reglamento general para desarrollo y ejecución de la Ley 22/1988, de 28 de julio, de costas</w:t>
      </w:r>
    </w:p>
    <w:p w:rsidR="00981775" w:rsidRDefault="00981775" w:rsidP="00981775">
      <w:pPr>
        <w:pStyle w:val="SangriaFrancesaArticulo"/>
      </w:pPr>
      <w:r w:rsidRPr="00981775">
        <w:rPr>
          <w:rStyle w:val="TextoNormalNegritaCaracter"/>
        </w:rPr>
        <w:t>Artículo 3.4 c).</w:t>
      </w:r>
      <w:r w:rsidRPr="00981775">
        <w:rPr>
          <w:rStyle w:val="TextoNormalCaracter"/>
        </w:rPr>
        <w:t>-</w:t>
      </w:r>
      <w:r>
        <w:t xml:space="preserve"> Sentencia </w:t>
      </w:r>
      <w:hyperlink w:anchor="SENTENCIA_2015_233" w:history="1">
        <w:r w:rsidRPr="00981775">
          <w:rPr>
            <w:rStyle w:val="TextoNormalCaracter"/>
          </w:rPr>
          <w:t>233/2015</w:t>
        </w:r>
      </w:hyperlink>
      <w:r>
        <w:t>, f. 3.</w:t>
      </w:r>
    </w:p>
    <w:p w:rsidR="00981775" w:rsidRDefault="00981775" w:rsidP="00981775">
      <w:pPr>
        <w:pStyle w:val="SangriaFrancesaArticulo"/>
      </w:pPr>
      <w:r w:rsidRPr="00981775">
        <w:rPr>
          <w:rStyle w:val="TextoNormalNegritaCaracter"/>
        </w:rPr>
        <w:t>Artículo 4 d).</w:t>
      </w:r>
      <w:r w:rsidRPr="00981775">
        <w:rPr>
          <w:rStyle w:val="TextoNormalCaracter"/>
        </w:rPr>
        <w:t>-</w:t>
      </w:r>
      <w:r>
        <w:t xml:space="preserve"> Sentencia </w:t>
      </w:r>
      <w:hyperlink w:anchor="SENTENCIA_2015_233" w:history="1">
        <w:r w:rsidRPr="00981775">
          <w:rPr>
            <w:rStyle w:val="TextoNormalCaracter"/>
          </w:rPr>
          <w:t>233/2015</w:t>
        </w:r>
      </w:hyperlink>
      <w:r>
        <w:t>, f. 3.</w:t>
      </w:r>
    </w:p>
    <w:p w:rsidR="00981775" w:rsidRDefault="00981775" w:rsidP="00981775">
      <w:pPr>
        <w:pStyle w:val="SangriaFrancesaArticulo"/>
      </w:pPr>
      <w:r w:rsidRPr="00981775">
        <w:rPr>
          <w:rStyle w:val="TextoNormalNegritaCaracter"/>
        </w:rPr>
        <w:t>Artículo 6.2.</w:t>
      </w:r>
      <w:r w:rsidRPr="00981775">
        <w:rPr>
          <w:rStyle w:val="TextoNormalCaracter"/>
        </w:rPr>
        <w:t>-</w:t>
      </w:r>
      <w:r>
        <w:t xml:space="preserve"> Sentencia </w:t>
      </w:r>
      <w:hyperlink w:anchor="SENTENCIA_2015_233" w:history="1">
        <w:r w:rsidRPr="00981775">
          <w:rPr>
            <w:rStyle w:val="TextoNormalCaracter"/>
          </w:rPr>
          <w:t>233/2015</w:t>
        </w:r>
      </w:hyperlink>
      <w:r>
        <w:t>, f. 3.</w:t>
      </w:r>
    </w:p>
    <w:p w:rsidR="00981775" w:rsidRDefault="00981775" w:rsidP="00981775">
      <w:pPr>
        <w:pStyle w:val="SangriaFrancesaArticulo"/>
      </w:pPr>
      <w:r w:rsidRPr="00981775">
        <w:rPr>
          <w:rStyle w:val="TextoNormalNegritaCaracter"/>
        </w:rPr>
        <w:t>Artículo 43.6.</w:t>
      </w:r>
      <w:r w:rsidRPr="00981775">
        <w:rPr>
          <w:rStyle w:val="TextoNormalCaracter"/>
        </w:rPr>
        <w:t>-</w:t>
      </w:r>
      <w:r>
        <w:t xml:space="preserve"> Sentencia </w:t>
      </w:r>
      <w:hyperlink w:anchor="SENTENCIA_2015_233" w:history="1">
        <w:r w:rsidRPr="00981775">
          <w:rPr>
            <w:rStyle w:val="TextoNormalCaracter"/>
          </w:rPr>
          <w:t>233/2015</w:t>
        </w:r>
      </w:hyperlink>
      <w:r>
        <w:t>, f. 9.</w:t>
      </w:r>
    </w:p>
    <w:p w:rsidR="00981775" w:rsidRDefault="00981775" w:rsidP="00981775">
      <w:pPr>
        <w:pStyle w:val="SangriaFrancesaArticulo"/>
      </w:pPr>
      <w:r w:rsidRPr="00981775">
        <w:rPr>
          <w:rStyle w:val="TextoNormalNegritaCaracter"/>
        </w:rPr>
        <w:t>Artículo 45.5.</w:t>
      </w:r>
      <w:r w:rsidRPr="00981775">
        <w:rPr>
          <w:rStyle w:val="TextoNormalCaracter"/>
        </w:rPr>
        <w:t>-</w:t>
      </w:r>
      <w:r>
        <w:t xml:space="preserve"> Sentencia </w:t>
      </w:r>
      <w:hyperlink w:anchor="SENTENCIA_2015_233" w:history="1">
        <w:r w:rsidRPr="00981775">
          <w:rPr>
            <w:rStyle w:val="TextoNormalCaracter"/>
          </w:rPr>
          <w:t>233/2015</w:t>
        </w:r>
      </w:hyperlink>
      <w:r>
        <w:t>, f. 5.</w:t>
      </w:r>
    </w:p>
    <w:p w:rsidR="00981775" w:rsidRDefault="00981775" w:rsidP="00981775">
      <w:pPr>
        <w:pStyle w:val="SangriaFrancesaArticulo"/>
      </w:pPr>
      <w:r w:rsidRPr="00981775">
        <w:rPr>
          <w:rStyle w:val="TextoNormalNegritaCaracter"/>
        </w:rPr>
        <w:t>Disposición adicional tercera, apartado 3.</w:t>
      </w:r>
      <w:r w:rsidRPr="00981775">
        <w:rPr>
          <w:rStyle w:val="TextoNormalCaracter"/>
        </w:rPr>
        <w:t>-</w:t>
      </w:r>
      <w:r>
        <w:t xml:space="preserve"> Sentencia </w:t>
      </w:r>
      <w:hyperlink w:anchor="SENTENCIA_2015_233" w:history="1">
        <w:r w:rsidRPr="00981775">
          <w:rPr>
            <w:rStyle w:val="TextoNormalCaracter"/>
          </w:rPr>
          <w:t>233/2015</w:t>
        </w:r>
      </w:hyperlink>
      <w:r>
        <w:t>, f. 16.</w:t>
      </w:r>
    </w:p>
    <w:p w:rsidR="00981775" w:rsidRDefault="00981775" w:rsidP="00981775">
      <w:pPr>
        <w:pStyle w:val="SangriaFrancesaArticulo"/>
      </w:pPr>
    </w:p>
    <w:p w:rsidR="00981775" w:rsidRDefault="00981775" w:rsidP="00981775">
      <w:pPr>
        <w:pStyle w:val="TextoNormalNegritaCursivandice"/>
      </w:pPr>
      <w:r>
        <w:t>Real Decreto 190/1996, de 9 de febrero. Reglamento penitenciario</w:t>
      </w:r>
    </w:p>
    <w:p w:rsidR="00981775" w:rsidRDefault="00981775" w:rsidP="00981775">
      <w:pPr>
        <w:pStyle w:val="SangriaFrancesaArticulo"/>
      </w:pPr>
      <w:r w:rsidRPr="00981775">
        <w:rPr>
          <w:rStyle w:val="TextoNormalNegritaCaracter"/>
        </w:rPr>
        <w:t>Artículo 206.</w:t>
      </w:r>
      <w:r w:rsidRPr="00981775">
        <w:rPr>
          <w:rStyle w:val="TextoNormalCaracter"/>
        </w:rPr>
        <w:t>-</w:t>
      </w:r>
      <w:r>
        <w:t xml:space="preserve"> Sentencia </w:t>
      </w:r>
      <w:hyperlink w:anchor="SENTENCIA_2015_226" w:history="1">
        <w:r w:rsidRPr="00981775">
          <w:rPr>
            <w:rStyle w:val="TextoNormalCaracter"/>
          </w:rPr>
          <w:t>226/2015</w:t>
        </w:r>
      </w:hyperlink>
      <w:r>
        <w:t>, ff. 1, 3, 4, 6.</w:t>
      </w:r>
    </w:p>
    <w:p w:rsidR="00981775" w:rsidRDefault="00981775" w:rsidP="00981775">
      <w:pPr>
        <w:pStyle w:val="SangriaFrancesaArticulo"/>
      </w:pPr>
      <w:r w:rsidRPr="00981775">
        <w:rPr>
          <w:rStyle w:val="TextoNormalNegritaCaracter"/>
        </w:rPr>
        <w:t>Artículo 206. 1 c).</w:t>
      </w:r>
      <w:r w:rsidRPr="00981775">
        <w:rPr>
          <w:rStyle w:val="TextoNormalCaracter"/>
        </w:rPr>
        <w:t>-</w:t>
      </w:r>
      <w:r>
        <w:t xml:space="preserve"> Sentencia </w:t>
      </w:r>
      <w:hyperlink w:anchor="SENTENCIA_2015_226" w:history="1">
        <w:r w:rsidRPr="00981775">
          <w:rPr>
            <w:rStyle w:val="TextoNormalCaracter"/>
          </w:rPr>
          <w:t>226/2015</w:t>
        </w:r>
      </w:hyperlink>
      <w:r>
        <w:t>, f. 7.</w:t>
      </w:r>
    </w:p>
    <w:p w:rsidR="00981775" w:rsidRDefault="00981775" w:rsidP="00981775">
      <w:pPr>
        <w:pStyle w:val="SangriaFrancesaArticulo"/>
      </w:pPr>
      <w:r w:rsidRPr="00981775">
        <w:rPr>
          <w:rStyle w:val="TextoNormalNegritaCaracter"/>
        </w:rPr>
        <w:t>Artículo 263.</w:t>
      </w:r>
      <w:r w:rsidRPr="00981775">
        <w:rPr>
          <w:rStyle w:val="TextoNormalCaracter"/>
        </w:rPr>
        <w:t>-</w:t>
      </w:r>
      <w:r>
        <w:t xml:space="preserve"> Auto </w:t>
      </w:r>
      <w:hyperlink w:anchor="AUTO_2015_124" w:history="1">
        <w:r w:rsidRPr="00981775">
          <w:rPr>
            <w:rStyle w:val="TextoNormalCaracter"/>
          </w:rPr>
          <w:t>124/2015</w:t>
        </w:r>
      </w:hyperlink>
      <w:r>
        <w:t>, f. 2.</w:t>
      </w:r>
    </w:p>
    <w:p w:rsidR="00981775" w:rsidRDefault="00981775" w:rsidP="00981775">
      <w:pPr>
        <w:pStyle w:val="SangriaFrancesaArticulo"/>
      </w:pPr>
    </w:p>
    <w:p w:rsidR="00981775" w:rsidRDefault="00981775" w:rsidP="00981775">
      <w:pPr>
        <w:pStyle w:val="TextoNormalNegritaCursivandice"/>
      </w:pPr>
      <w:r>
        <w:t>Real Decreto 658/2001, de 22 junio. Estatuto general de la abogacía española</w:t>
      </w:r>
    </w:p>
    <w:p w:rsidR="00981775" w:rsidRDefault="00981775" w:rsidP="00981775">
      <w:pPr>
        <w:pStyle w:val="SangriaFrancesaArticulo"/>
      </w:pPr>
      <w:r w:rsidRPr="00981775">
        <w:rPr>
          <w:rStyle w:val="TextoNormalNegritaCaracter"/>
        </w:rPr>
        <w:t>Artículo 26.</w:t>
      </w:r>
      <w:r w:rsidRPr="00981775">
        <w:rPr>
          <w:rStyle w:val="TextoNormalCaracter"/>
        </w:rPr>
        <w:t>-</w:t>
      </w:r>
      <w:r>
        <w:t xml:space="preserve"> Sentencia </w:t>
      </w:r>
      <w:hyperlink w:anchor="SENTENCIA_2015_181" w:history="1">
        <w:r w:rsidRPr="00981775">
          <w:rPr>
            <w:rStyle w:val="TextoNormalCaracter"/>
          </w:rPr>
          <w:t>181/2015</w:t>
        </w:r>
      </w:hyperlink>
      <w:r>
        <w:t>, f. 4.</w:t>
      </w:r>
    </w:p>
    <w:p w:rsidR="00981775" w:rsidRDefault="00981775" w:rsidP="00981775">
      <w:pPr>
        <w:pStyle w:val="SangriaFrancesaArticulo"/>
      </w:pPr>
    </w:p>
    <w:p w:rsidR="00981775" w:rsidRDefault="00981775" w:rsidP="00981775">
      <w:pPr>
        <w:pStyle w:val="TextoNormalNegritaCursivandice"/>
      </w:pPr>
      <w:r>
        <w:t>Real Decreto 774/2002, de 26 de julio. Regula el sistema de habilitación nacional para el acceso a Cuerpos de Funcionarios Docentes Universitarios y el régimen de los concursos de acceso respectivos</w:t>
      </w:r>
    </w:p>
    <w:p w:rsidR="00981775" w:rsidRDefault="00981775" w:rsidP="00981775">
      <w:pPr>
        <w:pStyle w:val="SangriaFrancesaArticulo"/>
      </w:pPr>
      <w:r w:rsidRPr="00981775">
        <w:rPr>
          <w:rStyle w:val="TextoNormalNegritaCaracter"/>
        </w:rPr>
        <w:t>Artículo 6.3.</w:t>
      </w:r>
      <w:r w:rsidRPr="00981775">
        <w:rPr>
          <w:rStyle w:val="TextoNormalCaracter"/>
        </w:rPr>
        <w:t>-</w:t>
      </w:r>
      <w:r>
        <w:t xml:space="preserve"> Sentencia </w:t>
      </w:r>
      <w:hyperlink w:anchor="SENTENCIA_2015_176" w:history="1">
        <w:r w:rsidRPr="00981775">
          <w:rPr>
            <w:rStyle w:val="TextoNormalCaracter"/>
          </w:rPr>
          <w:t>176/2015</w:t>
        </w:r>
      </w:hyperlink>
      <w:r>
        <w:t>, f. 7.</w:t>
      </w:r>
    </w:p>
    <w:p w:rsidR="00981775" w:rsidRDefault="00981775" w:rsidP="00981775">
      <w:pPr>
        <w:pStyle w:val="SangriaFrancesaArticulo"/>
      </w:pPr>
    </w:p>
    <w:p w:rsidR="00981775" w:rsidRDefault="00981775" w:rsidP="00981775">
      <w:pPr>
        <w:pStyle w:val="TextoNormalNegritaCursivandice"/>
      </w:pPr>
      <w:r>
        <w:t>Real Decreto 1046/2003, de 1 de agosto. Subsistema de formación profesional continua</w:t>
      </w:r>
    </w:p>
    <w:p w:rsidR="00981775" w:rsidRDefault="00981775" w:rsidP="00981775">
      <w:pPr>
        <w:pStyle w:val="SangriaFrancesaArticulo"/>
      </w:pPr>
      <w:r w:rsidRPr="00981775">
        <w:rPr>
          <w:rStyle w:val="TextoNormalNegritaCaracter"/>
        </w:rPr>
        <w:t>Artículo 14.</w:t>
      </w:r>
      <w:r w:rsidRPr="00981775">
        <w:rPr>
          <w:rStyle w:val="TextoNormalCaracter"/>
        </w:rPr>
        <w:t>-</w:t>
      </w:r>
      <w:r>
        <w:t xml:space="preserve"> Sentencia </w:t>
      </w:r>
      <w:hyperlink w:anchor="SENTENCIA_2015_185" w:history="1">
        <w:r w:rsidRPr="00981775">
          <w:rPr>
            <w:rStyle w:val="TextoNormalCaracter"/>
          </w:rPr>
          <w:t>185/2015</w:t>
        </w:r>
      </w:hyperlink>
      <w:r>
        <w:t>, f. 5.</w:t>
      </w:r>
    </w:p>
    <w:p w:rsidR="00981775" w:rsidRDefault="00981775" w:rsidP="00981775">
      <w:pPr>
        <w:pStyle w:val="SangriaFrancesaArticulo"/>
      </w:pPr>
      <w:r w:rsidRPr="00981775">
        <w:rPr>
          <w:rStyle w:val="TextoNormalNegritaCaracter"/>
        </w:rPr>
        <w:t>Artículo 14 apartados 1 a 4.</w:t>
      </w:r>
      <w:r w:rsidRPr="00981775">
        <w:rPr>
          <w:rStyle w:val="TextoNormalCaracter"/>
        </w:rPr>
        <w:t>-</w:t>
      </w:r>
      <w:r>
        <w:t xml:space="preserve"> Sentencia </w:t>
      </w:r>
      <w:hyperlink w:anchor="SENTENCIA_2015_185" w:history="1">
        <w:r w:rsidRPr="00981775">
          <w:rPr>
            <w:rStyle w:val="TextoNormalCaracter"/>
          </w:rPr>
          <w:t>185/2015</w:t>
        </w:r>
      </w:hyperlink>
      <w:r>
        <w:t>, ff. 4, 5.</w:t>
      </w:r>
    </w:p>
    <w:p w:rsidR="00981775" w:rsidRDefault="00981775" w:rsidP="00981775">
      <w:pPr>
        <w:pStyle w:val="SangriaFrancesaArticulo"/>
      </w:pPr>
    </w:p>
    <w:p w:rsidR="00981775" w:rsidRDefault="00981775" w:rsidP="00981775">
      <w:pPr>
        <w:pStyle w:val="TextoNormalNegritaCursivandice"/>
      </w:pPr>
      <w:r>
        <w:t>Real Decreto 1125/2003, de 5 de septiembre. Se establece el sistema europeo de créditos y el sistema de calificaciones en las titulaciones universitarias de carácter oficial y validez en todo el territorio nacional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6" w:history="1">
        <w:r w:rsidRPr="00981775">
          <w:rPr>
            <w:rStyle w:val="TextoNormalCaracter"/>
          </w:rPr>
          <w:t>176/2015</w:t>
        </w:r>
      </w:hyperlink>
      <w:r>
        <w:t>, f. 4.</w:t>
      </w:r>
    </w:p>
    <w:p w:rsidR="00981775" w:rsidRDefault="00981775" w:rsidP="00981775">
      <w:pPr>
        <w:pStyle w:val="SangriaFrancesaArticulo"/>
      </w:pPr>
    </w:p>
    <w:p w:rsidR="00981775" w:rsidRDefault="00981775" w:rsidP="00981775">
      <w:pPr>
        <w:pStyle w:val="TextoNormalNegritaCursivandice"/>
      </w:pPr>
      <w:r>
        <w:t>Real Decreto 1496/2003, de 28 de noviembre. Reglamento por el que se regulan las obligaciones de facturación y se modifica el Reglamento del impuesto sobre el valor añadido</w:t>
      </w:r>
    </w:p>
    <w:p w:rsidR="00981775" w:rsidRDefault="00981775" w:rsidP="00981775">
      <w:pPr>
        <w:pStyle w:val="SangriaFrancesaArticulo"/>
      </w:pPr>
      <w:r w:rsidRPr="00981775">
        <w:rPr>
          <w:rStyle w:val="TextoNormalNegritaCaracter"/>
        </w:rPr>
        <w:t>Preámbulo, párrafo primero.</w:t>
      </w:r>
      <w:r w:rsidRPr="00981775">
        <w:rPr>
          <w:rStyle w:val="TextoNormalCaracter"/>
        </w:rPr>
        <w:t>-</w:t>
      </w:r>
      <w:r>
        <w:t xml:space="preserve"> Sentencia </w:t>
      </w:r>
      <w:hyperlink w:anchor="SENTENCIA_2015_150" w:history="1">
        <w:r w:rsidRPr="00981775">
          <w:rPr>
            <w:rStyle w:val="TextoNormalCaracter"/>
          </w:rPr>
          <w:t>150/2015</w:t>
        </w:r>
      </w:hyperlink>
      <w:r>
        <w:t>, f. 3.</w:t>
      </w:r>
    </w:p>
    <w:p w:rsidR="00981775" w:rsidRDefault="00981775" w:rsidP="00981775">
      <w:pPr>
        <w:pStyle w:val="SangriaFrancesaArticulo"/>
      </w:pPr>
      <w:r w:rsidRPr="00981775">
        <w:rPr>
          <w:rStyle w:val="TextoNormalNegritaCaracter"/>
        </w:rPr>
        <w:t>Artículo 1.</w:t>
      </w:r>
      <w:r w:rsidRPr="00981775">
        <w:rPr>
          <w:rStyle w:val="TextoNormalCaracter"/>
        </w:rPr>
        <w:t>-</w:t>
      </w:r>
      <w:r>
        <w:t xml:space="preserve"> Sentencia </w:t>
      </w:r>
      <w:hyperlink w:anchor="SENTENCIA_2015_150" w:history="1">
        <w:r w:rsidRPr="00981775">
          <w:rPr>
            <w:rStyle w:val="TextoNormalCaracter"/>
          </w:rPr>
          <w:t>150/2015</w:t>
        </w:r>
      </w:hyperlink>
      <w:r>
        <w:t>, f. 3.</w:t>
      </w:r>
    </w:p>
    <w:p w:rsidR="00981775" w:rsidRDefault="00981775" w:rsidP="00981775">
      <w:pPr>
        <w:pStyle w:val="SangriaFrancesaArticulo"/>
      </w:pPr>
      <w:r w:rsidRPr="00981775">
        <w:rPr>
          <w:rStyle w:val="TextoNormalNegritaCaracter"/>
        </w:rPr>
        <w:t>Artículo 1.1.</w:t>
      </w:r>
      <w:r w:rsidRPr="00981775">
        <w:rPr>
          <w:rStyle w:val="TextoNormalCaracter"/>
        </w:rPr>
        <w:t>-</w:t>
      </w:r>
      <w:r>
        <w:t xml:space="preserve"> Sentencia </w:t>
      </w:r>
      <w:hyperlink w:anchor="SENTENCIA_2015_150" w:history="1">
        <w:r w:rsidRPr="00981775">
          <w:rPr>
            <w:rStyle w:val="TextoNormalCaracter"/>
          </w:rPr>
          <w:t>150/2015</w:t>
        </w:r>
      </w:hyperlink>
      <w:r>
        <w:t>, f. 3.</w:t>
      </w:r>
    </w:p>
    <w:p w:rsidR="00981775" w:rsidRDefault="00981775" w:rsidP="00981775">
      <w:pPr>
        <w:pStyle w:val="SangriaFrancesaArticulo"/>
      </w:pPr>
      <w:r w:rsidRPr="00981775">
        <w:rPr>
          <w:rStyle w:val="TextoNormalNegritaCaracter"/>
        </w:rPr>
        <w:t>Artículo 2.</w:t>
      </w:r>
      <w:r w:rsidRPr="00981775">
        <w:rPr>
          <w:rStyle w:val="TextoNormalCaracter"/>
        </w:rPr>
        <w:t>-</w:t>
      </w:r>
      <w:r>
        <w:t xml:space="preserve"> Sentencia </w:t>
      </w:r>
      <w:hyperlink w:anchor="SENTENCIA_2015_150" w:history="1">
        <w:r w:rsidRPr="00981775">
          <w:rPr>
            <w:rStyle w:val="TextoNormalCaracter"/>
          </w:rPr>
          <w:t>150/2015</w:t>
        </w:r>
      </w:hyperlink>
      <w:r>
        <w:t>, f. 3.</w:t>
      </w:r>
    </w:p>
    <w:p w:rsidR="00981775" w:rsidRDefault="00981775" w:rsidP="00981775">
      <w:pPr>
        <w:pStyle w:val="SangriaFrancesaArticulo"/>
      </w:pPr>
      <w:r w:rsidRPr="00981775">
        <w:rPr>
          <w:rStyle w:val="TextoNormalNegritaCaracter"/>
        </w:rPr>
        <w:t>Artículo 3.</w:t>
      </w:r>
      <w:r w:rsidRPr="00981775">
        <w:rPr>
          <w:rStyle w:val="TextoNormalCaracter"/>
        </w:rPr>
        <w:t>-</w:t>
      </w:r>
      <w:r>
        <w:t xml:space="preserve"> Sentencia </w:t>
      </w:r>
      <w:hyperlink w:anchor="SENTENCIA_2015_150" w:history="1">
        <w:r w:rsidRPr="00981775">
          <w:rPr>
            <w:rStyle w:val="TextoNormalCaracter"/>
          </w:rPr>
          <w:t>150/2015</w:t>
        </w:r>
      </w:hyperlink>
      <w:r>
        <w:t>, f. 3.</w:t>
      </w:r>
    </w:p>
    <w:p w:rsidR="00981775" w:rsidRDefault="00981775" w:rsidP="00981775">
      <w:pPr>
        <w:pStyle w:val="SangriaFrancesaArticulo"/>
      </w:pPr>
      <w:r w:rsidRPr="00981775">
        <w:rPr>
          <w:rStyle w:val="TextoNormalNegritaCaracter"/>
        </w:rPr>
        <w:t>Artículo 26.</w:t>
      </w:r>
      <w:r w:rsidRPr="00981775">
        <w:rPr>
          <w:rStyle w:val="TextoNormalCaracter"/>
        </w:rPr>
        <w:t>-</w:t>
      </w:r>
      <w:r>
        <w:t xml:space="preserve"> Sentencia </w:t>
      </w:r>
      <w:hyperlink w:anchor="SENTENCIA_2015_150" w:history="1">
        <w:r w:rsidRPr="00981775">
          <w:rPr>
            <w:rStyle w:val="TextoNormalCaracter"/>
          </w:rPr>
          <w:t>150/2015</w:t>
        </w:r>
      </w:hyperlink>
      <w:r>
        <w:t>, f. 3.</w:t>
      </w:r>
    </w:p>
    <w:p w:rsidR="00981775" w:rsidRDefault="00981775" w:rsidP="00981775">
      <w:pPr>
        <w:pStyle w:val="SangriaFrancesaArticulo"/>
      </w:pPr>
    </w:p>
    <w:p w:rsidR="00981775" w:rsidRDefault="00981775" w:rsidP="00981775">
      <w:pPr>
        <w:pStyle w:val="TextoNormalNegritaCursivandice"/>
      </w:pPr>
      <w:r>
        <w:t>Orden TAS/500/2004, de 13 de febrero. Regula la financiación de las acciones de formación continua en las empresas, incluidos los permisos individuales de formación, en desarrollo del Real Decreto 1046/2003, de 1 de agosto, por el que se regula el subsistema de formación profesional continua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98" w:history="1">
        <w:r w:rsidRPr="00981775">
          <w:rPr>
            <w:rStyle w:val="TextoNormalCaracter"/>
          </w:rPr>
          <w:t>198/2015</w:t>
        </w:r>
      </w:hyperlink>
      <w:r>
        <w:t>, VP I.</w:t>
      </w:r>
    </w:p>
    <w:p w:rsidR="00981775" w:rsidRDefault="00981775" w:rsidP="00981775">
      <w:pPr>
        <w:pStyle w:val="SangriaFrancesaArticulo"/>
      </w:pPr>
    </w:p>
    <w:p w:rsidR="00981775" w:rsidRDefault="00981775" w:rsidP="00981775">
      <w:pPr>
        <w:pStyle w:val="TextoNormalNegritaCursivandice"/>
      </w:pPr>
      <w:r>
        <w:t>Real Decreto 801/2005, de 1 de julio. Plan Estatal 2005-2008, para favorecer el acceso de los ciudadanos a la vivienda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Sentencias </w:t>
      </w:r>
      <w:hyperlink w:anchor="SENTENCIA_2015_267" w:history="1">
        <w:r w:rsidRPr="00981775">
          <w:rPr>
            <w:rStyle w:val="TextoNormalCaracter"/>
          </w:rPr>
          <w:t>267/2015</w:t>
        </w:r>
      </w:hyperlink>
      <w:r>
        <w:t xml:space="preserve">, ff. 2, 4; </w:t>
      </w:r>
      <w:hyperlink w:anchor="SENTENCIA_2015_268" w:history="1">
        <w:r w:rsidRPr="00981775">
          <w:rPr>
            <w:rStyle w:val="TextoNormalCaracter"/>
          </w:rPr>
          <w:t>268/2015</w:t>
        </w:r>
      </w:hyperlink>
      <w:r>
        <w:t>, ff. 2, 4.</w:t>
      </w:r>
    </w:p>
    <w:p w:rsidR="00981775" w:rsidRDefault="00981775" w:rsidP="00981775">
      <w:pPr>
        <w:pStyle w:val="SangriaIzquierdaArticulo"/>
      </w:pPr>
      <w:r>
        <w:t xml:space="preserve">Auto </w:t>
      </w:r>
      <w:hyperlink r:id="rId8" w:anchor="AUTO_2015_227" w:history="1">
        <w:r w:rsidRPr="00981775">
          <w:rPr>
            <w:rStyle w:val="TextoNormalCaracter"/>
          </w:rPr>
          <w:t>227/2015</w:t>
        </w:r>
      </w:hyperlink>
      <w:r>
        <w:t>, f. 4.</w:t>
      </w:r>
    </w:p>
    <w:p w:rsidR="00981775" w:rsidRDefault="00981775" w:rsidP="00981775">
      <w:pPr>
        <w:pStyle w:val="SangriaFrancesaArticulo"/>
      </w:pPr>
      <w:r w:rsidRPr="00981775">
        <w:rPr>
          <w:rStyle w:val="TextoNormalNegritaCaracter"/>
        </w:rPr>
        <w:t>Artículo 23.</w:t>
      </w:r>
      <w:r w:rsidRPr="00981775">
        <w:rPr>
          <w:rStyle w:val="TextoNormalCaracter"/>
        </w:rPr>
        <w:t>-</w:t>
      </w:r>
      <w:r>
        <w:t xml:space="preserve"> Sentencias </w:t>
      </w:r>
      <w:hyperlink w:anchor="SENTENCIA_2015_267" w:history="1">
        <w:r w:rsidRPr="00981775">
          <w:rPr>
            <w:rStyle w:val="TextoNormalCaracter"/>
          </w:rPr>
          <w:t>267/2015</w:t>
        </w:r>
      </w:hyperlink>
      <w:r>
        <w:t xml:space="preserve">, f. 3; </w:t>
      </w:r>
      <w:hyperlink w:anchor="SENTENCIA_2015_268" w:history="1">
        <w:r w:rsidRPr="00981775">
          <w:rPr>
            <w:rStyle w:val="TextoNormalCaracter"/>
          </w:rPr>
          <w:t>268/2015</w:t>
        </w:r>
      </w:hyperlink>
      <w:r>
        <w:t>, f. 3.</w:t>
      </w:r>
    </w:p>
    <w:p w:rsidR="00981775" w:rsidRDefault="00981775" w:rsidP="00981775">
      <w:pPr>
        <w:pStyle w:val="SangriaIzquierdaArticulo"/>
      </w:pPr>
      <w:r>
        <w:t xml:space="preserve">Auto </w:t>
      </w:r>
      <w:hyperlink w:anchor="AUTO_2015_227" w:history="1">
        <w:r w:rsidRPr="00981775">
          <w:rPr>
            <w:rStyle w:val="TextoNormalCaracter"/>
          </w:rPr>
          <w:t>227/2015</w:t>
        </w:r>
      </w:hyperlink>
      <w:r>
        <w:t>, f. 4.</w:t>
      </w:r>
    </w:p>
    <w:p w:rsidR="00981775" w:rsidRDefault="00981775" w:rsidP="00981775">
      <w:pPr>
        <w:pStyle w:val="SangriaIzquierdaArticulo"/>
      </w:pPr>
    </w:p>
    <w:p w:rsidR="00981775" w:rsidRDefault="00981775" w:rsidP="00981775">
      <w:pPr>
        <w:pStyle w:val="TextoNormalNegritaCursivandice"/>
      </w:pPr>
      <w:r>
        <w:t>Real Decreto 1419/2005, de 25 de noviembre. Adopta medidas administrativas excepcionales para la gestión de los recursos hidráulicos y para corregir los efectos de la sequía en las cuencas hidrográficas de los ríos Guadiana, Guadalquivir y Ebro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1" w:history="1">
        <w:r w:rsidRPr="00981775">
          <w:rPr>
            <w:rStyle w:val="TextoNormalCaracter"/>
          </w:rPr>
          <w:t>231/2015</w:t>
        </w:r>
      </w:hyperlink>
      <w:r>
        <w:t>, ff. 1 a 3, 5 a 9, 11 a 13.</w:t>
      </w:r>
    </w:p>
    <w:p w:rsidR="00981775" w:rsidRDefault="00981775" w:rsidP="00981775">
      <w:pPr>
        <w:pStyle w:val="SangriaFrancesaArticulo"/>
      </w:pPr>
      <w:r w:rsidRPr="00981775">
        <w:rPr>
          <w:rStyle w:val="TextoNormalNegritaCaracter"/>
        </w:rPr>
        <w:t>Preámbulo.</w:t>
      </w:r>
      <w:r w:rsidRPr="00981775">
        <w:rPr>
          <w:rStyle w:val="TextoNormalCaracter"/>
        </w:rPr>
        <w:t>-</w:t>
      </w:r>
      <w:r>
        <w:t xml:space="preserve"> Sentencia </w:t>
      </w:r>
      <w:hyperlink w:anchor="SENTENCIA_2015_231" w:history="1">
        <w:r w:rsidRPr="00981775">
          <w:rPr>
            <w:rStyle w:val="TextoNormalCaracter"/>
          </w:rPr>
          <w:t>231/2015</w:t>
        </w:r>
      </w:hyperlink>
      <w:r>
        <w:t>, f. 6.</w:t>
      </w:r>
    </w:p>
    <w:p w:rsidR="00981775" w:rsidRDefault="00981775" w:rsidP="00981775">
      <w:pPr>
        <w:pStyle w:val="SangriaFrancesaArticulo"/>
      </w:pPr>
      <w:r w:rsidRPr="00981775">
        <w:rPr>
          <w:rStyle w:val="TextoNormalNegritaCaracter"/>
        </w:rPr>
        <w:t>Artículo 1.</w:t>
      </w:r>
      <w:r w:rsidRPr="00981775">
        <w:rPr>
          <w:rStyle w:val="TextoNormalCaracter"/>
        </w:rPr>
        <w:t>-</w:t>
      </w:r>
      <w:r>
        <w:t xml:space="preserve"> Sentencia </w:t>
      </w:r>
      <w:hyperlink w:anchor="SENTENCIA_2015_231" w:history="1">
        <w:r w:rsidRPr="00981775">
          <w:rPr>
            <w:rStyle w:val="TextoNormalCaracter"/>
          </w:rPr>
          <w:t>231/2015</w:t>
        </w:r>
      </w:hyperlink>
      <w:r>
        <w:t>, ff. 1, 2, 5.</w:t>
      </w:r>
    </w:p>
    <w:p w:rsidR="00981775" w:rsidRDefault="00981775" w:rsidP="00981775">
      <w:pPr>
        <w:pStyle w:val="SangriaFrancesaArticulo"/>
      </w:pPr>
      <w:r w:rsidRPr="00981775">
        <w:rPr>
          <w:rStyle w:val="TextoNormalNegritaCaracter"/>
        </w:rPr>
        <w:t>Artículo 6.</w:t>
      </w:r>
      <w:r w:rsidRPr="00981775">
        <w:rPr>
          <w:rStyle w:val="TextoNormalCaracter"/>
        </w:rPr>
        <w:t>-</w:t>
      </w:r>
      <w:r>
        <w:t xml:space="preserve"> Sentencia </w:t>
      </w:r>
      <w:hyperlink w:anchor="SENTENCIA_2015_231" w:history="1">
        <w:r w:rsidRPr="00981775">
          <w:rPr>
            <w:rStyle w:val="TextoNormalCaracter"/>
          </w:rPr>
          <w:t>231/2015</w:t>
        </w:r>
      </w:hyperlink>
      <w:r>
        <w:t>, ff. 11, 12.</w:t>
      </w:r>
    </w:p>
    <w:p w:rsidR="00981775" w:rsidRDefault="00981775" w:rsidP="00981775">
      <w:pPr>
        <w:pStyle w:val="SangriaFrancesaArticulo"/>
      </w:pPr>
      <w:r w:rsidRPr="00981775">
        <w:rPr>
          <w:rStyle w:val="TextoNormalNegritaCaracter"/>
        </w:rPr>
        <w:t>Artículo 6.1.</w:t>
      </w:r>
      <w:r w:rsidRPr="00981775">
        <w:rPr>
          <w:rStyle w:val="TextoNormalCaracter"/>
        </w:rPr>
        <w:t>-</w:t>
      </w:r>
      <w:r>
        <w:t xml:space="preserve"> Sentencia </w:t>
      </w:r>
      <w:hyperlink w:anchor="SENTENCIA_2015_231" w:history="1">
        <w:r w:rsidRPr="00981775">
          <w:rPr>
            <w:rStyle w:val="TextoNormalCaracter"/>
          </w:rPr>
          <w:t>231/2015</w:t>
        </w:r>
      </w:hyperlink>
      <w:r>
        <w:t>, f. 11.</w:t>
      </w:r>
    </w:p>
    <w:p w:rsidR="00981775" w:rsidRDefault="00981775" w:rsidP="00981775">
      <w:pPr>
        <w:pStyle w:val="SangriaFrancesaArticulo"/>
      </w:pPr>
      <w:r w:rsidRPr="00981775">
        <w:rPr>
          <w:rStyle w:val="TextoNormalNegritaCaracter"/>
        </w:rPr>
        <w:t>Disposición final segunda.</w:t>
      </w:r>
      <w:r w:rsidRPr="00981775">
        <w:rPr>
          <w:rStyle w:val="TextoNormalCaracter"/>
        </w:rPr>
        <w:t>-</w:t>
      </w:r>
      <w:r>
        <w:t xml:space="preserve"> Sentencia </w:t>
      </w:r>
      <w:hyperlink w:anchor="SENTENCIA_2015_231" w:history="1">
        <w:r w:rsidRPr="00981775">
          <w:rPr>
            <w:rStyle w:val="TextoNormalCaracter"/>
          </w:rPr>
          <w:t>231/2015</w:t>
        </w:r>
      </w:hyperlink>
      <w:r>
        <w:t>, f. 11.</w:t>
      </w:r>
    </w:p>
    <w:p w:rsidR="00981775" w:rsidRDefault="00981775" w:rsidP="00981775">
      <w:pPr>
        <w:pStyle w:val="SangriaFrancesaArticulo"/>
      </w:pPr>
    </w:p>
    <w:p w:rsidR="00981775" w:rsidRDefault="00981775" w:rsidP="00981775">
      <w:pPr>
        <w:pStyle w:val="TextoNormalNegritaCursivandice"/>
      </w:pPr>
      <w:r>
        <w:t>Orden MAM/1792/2006, de 5 de junio. Regula el procedimiento de certificación de proveedores de servicios meteorológicos de apoyo a la navegación aérea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82" w:history="1">
        <w:r w:rsidRPr="00981775">
          <w:rPr>
            <w:rStyle w:val="TextoNormalCaracter"/>
          </w:rPr>
          <w:t>182/2015</w:t>
        </w:r>
      </w:hyperlink>
      <w:r>
        <w:t>, f. 5.</w:t>
      </w:r>
    </w:p>
    <w:p w:rsidR="00981775" w:rsidRDefault="00981775" w:rsidP="00981775">
      <w:pPr>
        <w:pStyle w:val="SangriaFrancesaArticulo"/>
      </w:pPr>
    </w:p>
    <w:p w:rsidR="00981775" w:rsidRDefault="00981775" w:rsidP="00981775">
      <w:pPr>
        <w:pStyle w:val="TextoNormalNegritaCursivandice"/>
      </w:pPr>
      <w:r>
        <w:t>Real Decreto 172/2007, de 9 de febrero. Modifica la demarcación de los registros de la propiedad, mercantiles y de bienes muebles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85" w:history="1">
        <w:r w:rsidRPr="00981775">
          <w:rPr>
            <w:rStyle w:val="TextoNormalCaracter"/>
          </w:rPr>
          <w:t>185/2015</w:t>
        </w:r>
      </w:hyperlink>
      <w:r>
        <w:t>, f. 5.</w:t>
      </w:r>
    </w:p>
    <w:p w:rsidR="00981775" w:rsidRDefault="00981775" w:rsidP="00981775">
      <w:pPr>
        <w:pStyle w:val="SangriaFrancesaArticulo"/>
      </w:pPr>
    </w:p>
    <w:p w:rsidR="00981775" w:rsidRDefault="00981775" w:rsidP="00981775">
      <w:pPr>
        <w:pStyle w:val="TextoNormalNegritaCursivandice"/>
      </w:pPr>
      <w:r>
        <w:t>Real Decreto 395/2007, de 23 de marzo. Regula el subsistema de formación profesional para el empleo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Sentencias </w:t>
      </w:r>
      <w:hyperlink w:anchor="SENTENCIA_2015_178" w:history="1">
        <w:r w:rsidRPr="00981775">
          <w:rPr>
            <w:rStyle w:val="TextoNormalCaracter"/>
          </w:rPr>
          <w:t>178/2015</w:t>
        </w:r>
      </w:hyperlink>
      <w:r>
        <w:t xml:space="preserve">, ff. 3, 5; </w:t>
      </w:r>
      <w:hyperlink w:anchor="SENTENCIA_2015_185" w:history="1">
        <w:r w:rsidRPr="00981775">
          <w:rPr>
            <w:rStyle w:val="TextoNormalCaracter"/>
          </w:rPr>
          <w:t>185/2015</w:t>
        </w:r>
      </w:hyperlink>
      <w:r>
        <w:t xml:space="preserve">, ff. 3, 4, 6; </w:t>
      </w:r>
      <w:hyperlink w:anchor="SENTENCIA_2015_188" w:history="1">
        <w:r w:rsidRPr="00981775">
          <w:rPr>
            <w:rStyle w:val="TextoNormalCaracter"/>
          </w:rPr>
          <w:t>188/2015</w:t>
        </w:r>
      </w:hyperlink>
      <w:r>
        <w:t>, f. 3.</w:t>
      </w:r>
    </w:p>
    <w:p w:rsidR="00981775" w:rsidRDefault="00981775" w:rsidP="00981775">
      <w:pPr>
        <w:pStyle w:val="SangriaFrancesaArticulo"/>
      </w:pPr>
      <w:r w:rsidRPr="00981775">
        <w:rPr>
          <w:rStyle w:val="TextoNormalNegritaCaracter"/>
        </w:rPr>
        <w:t>Artículo 3.</w:t>
      </w:r>
      <w:r w:rsidRPr="00981775">
        <w:rPr>
          <w:rStyle w:val="TextoNormalCaracter"/>
        </w:rPr>
        <w:t>-</w:t>
      </w:r>
      <w:r>
        <w:t xml:space="preserve"> Sentencia </w:t>
      </w:r>
      <w:hyperlink w:anchor="SENTENCIA_2015_185" w:history="1">
        <w:r w:rsidRPr="00981775">
          <w:rPr>
            <w:rStyle w:val="TextoNormalCaracter"/>
          </w:rPr>
          <w:t>185/2015</w:t>
        </w:r>
      </w:hyperlink>
      <w:r>
        <w:t>, f. 4.</w:t>
      </w:r>
    </w:p>
    <w:p w:rsidR="00981775" w:rsidRDefault="00981775" w:rsidP="00981775">
      <w:pPr>
        <w:pStyle w:val="SangriaFrancesaArticulo"/>
      </w:pPr>
      <w:r w:rsidRPr="00981775">
        <w:rPr>
          <w:rStyle w:val="TextoNormalNegritaCaracter"/>
        </w:rPr>
        <w:t>Artículo 6.</w:t>
      </w:r>
      <w:r w:rsidRPr="00981775">
        <w:rPr>
          <w:rStyle w:val="TextoNormalCaracter"/>
        </w:rPr>
        <w:t>-</w:t>
      </w:r>
      <w:r>
        <w:t xml:space="preserve"> Sentencia </w:t>
      </w:r>
      <w:hyperlink w:anchor="SENTENCIA_2015_185" w:history="1">
        <w:r w:rsidRPr="00981775">
          <w:rPr>
            <w:rStyle w:val="TextoNormalCaracter"/>
          </w:rPr>
          <w:t>185/2015</w:t>
        </w:r>
      </w:hyperlink>
      <w:r>
        <w:t>, f. 4.</w:t>
      </w:r>
    </w:p>
    <w:p w:rsidR="00981775" w:rsidRDefault="00981775" w:rsidP="00981775">
      <w:pPr>
        <w:pStyle w:val="SangriaFrancesaArticulo"/>
      </w:pPr>
      <w:r w:rsidRPr="00981775">
        <w:rPr>
          <w:rStyle w:val="TextoNormalNegritaCaracter"/>
        </w:rPr>
        <w:t>Artículo 6.3.</w:t>
      </w:r>
      <w:r w:rsidRPr="00981775">
        <w:rPr>
          <w:rStyle w:val="TextoNormalCaracter"/>
        </w:rPr>
        <w:t>-</w:t>
      </w:r>
      <w:r>
        <w:t xml:space="preserve"> Sentencias </w:t>
      </w:r>
      <w:hyperlink w:anchor="SENTENCIA_2015_178" w:history="1">
        <w:r w:rsidRPr="00981775">
          <w:rPr>
            <w:rStyle w:val="TextoNormalCaracter"/>
          </w:rPr>
          <w:t>178/2015</w:t>
        </w:r>
      </w:hyperlink>
      <w:r>
        <w:t xml:space="preserve">, f. 6; </w:t>
      </w:r>
      <w:hyperlink w:anchor="SENTENCIA_2015_185" w:history="1">
        <w:r w:rsidRPr="00981775">
          <w:rPr>
            <w:rStyle w:val="TextoNormalCaracter"/>
          </w:rPr>
          <w:t>185/2015</w:t>
        </w:r>
      </w:hyperlink>
      <w:r>
        <w:t>, f. 4.</w:t>
      </w:r>
    </w:p>
    <w:p w:rsidR="00981775" w:rsidRDefault="00981775" w:rsidP="00981775">
      <w:pPr>
        <w:pStyle w:val="SangriaFrancesaArticulo"/>
      </w:pPr>
      <w:r w:rsidRPr="00981775">
        <w:rPr>
          <w:rStyle w:val="TextoNormalNegritaCaracter"/>
        </w:rPr>
        <w:t>Artículo 6.4.</w:t>
      </w:r>
      <w:r w:rsidRPr="00981775">
        <w:rPr>
          <w:rStyle w:val="TextoNormalCaracter"/>
        </w:rPr>
        <w:t>-</w:t>
      </w:r>
      <w:r>
        <w:t xml:space="preserve"> Sentencias </w:t>
      </w:r>
      <w:hyperlink w:anchor="SENTENCIA_2015_178" w:history="1">
        <w:r w:rsidRPr="00981775">
          <w:rPr>
            <w:rStyle w:val="TextoNormalCaracter"/>
          </w:rPr>
          <w:t>178/2015</w:t>
        </w:r>
      </w:hyperlink>
      <w:r>
        <w:t xml:space="preserve">, ff. 6 a 8, VP I; </w:t>
      </w:r>
      <w:hyperlink w:anchor="SENTENCIA_2015_185" w:history="1">
        <w:r w:rsidRPr="00981775">
          <w:rPr>
            <w:rStyle w:val="TextoNormalCaracter"/>
          </w:rPr>
          <w:t>185/2015</w:t>
        </w:r>
      </w:hyperlink>
      <w:r>
        <w:t>, ff. 4, 6, VP.</w:t>
      </w:r>
    </w:p>
    <w:p w:rsidR="00981775" w:rsidRDefault="00981775" w:rsidP="00981775">
      <w:pPr>
        <w:pStyle w:val="SangriaFrancesaArticulo"/>
      </w:pPr>
      <w:r w:rsidRPr="00981775">
        <w:rPr>
          <w:rStyle w:val="TextoNormalNegritaCaracter"/>
        </w:rPr>
        <w:t>Artículo 22.</w:t>
      </w:r>
      <w:r w:rsidRPr="00981775">
        <w:rPr>
          <w:rStyle w:val="TextoNormalCaracter"/>
        </w:rPr>
        <w:t>-</w:t>
      </w:r>
      <w:r>
        <w:t xml:space="preserve"> Sentencia </w:t>
      </w:r>
      <w:hyperlink w:anchor="SENTENCIA_2015_185" w:history="1">
        <w:r w:rsidRPr="00981775">
          <w:rPr>
            <w:rStyle w:val="TextoNormalCaracter"/>
          </w:rPr>
          <w:t>185/2015</w:t>
        </w:r>
      </w:hyperlink>
      <w:r>
        <w:t>, ff. 4, 6.</w:t>
      </w:r>
    </w:p>
    <w:p w:rsidR="00981775" w:rsidRDefault="00981775" w:rsidP="00981775">
      <w:pPr>
        <w:pStyle w:val="SangriaFrancesaArticulo"/>
      </w:pPr>
      <w:r w:rsidRPr="00981775">
        <w:rPr>
          <w:rStyle w:val="TextoNormalNegritaCaracter"/>
        </w:rPr>
        <w:t>Artículo 22.1 b).</w:t>
      </w:r>
      <w:r w:rsidRPr="00981775">
        <w:rPr>
          <w:rStyle w:val="TextoNormalCaracter"/>
        </w:rPr>
        <w:t>-</w:t>
      </w:r>
      <w:r>
        <w:t xml:space="preserve"> Sentencia </w:t>
      </w:r>
      <w:hyperlink w:anchor="SENTENCIA_2015_178" w:history="1">
        <w:r w:rsidRPr="00981775">
          <w:rPr>
            <w:rStyle w:val="TextoNormalCaracter"/>
          </w:rPr>
          <w:t>178/2015</w:t>
        </w:r>
      </w:hyperlink>
      <w:r>
        <w:t>, ff. 5 a 7.</w:t>
      </w:r>
    </w:p>
    <w:p w:rsidR="00981775" w:rsidRDefault="00981775" w:rsidP="00981775">
      <w:pPr>
        <w:pStyle w:val="SangriaFrancesaArticulo"/>
      </w:pPr>
      <w:r w:rsidRPr="00981775">
        <w:rPr>
          <w:rStyle w:val="TextoNormalNegritaCaracter"/>
        </w:rPr>
        <w:t>Artículo 24.2.</w:t>
      </w:r>
      <w:r w:rsidRPr="00981775">
        <w:rPr>
          <w:rStyle w:val="TextoNormalCaracter"/>
        </w:rPr>
        <w:t>-</w:t>
      </w:r>
      <w:r>
        <w:t xml:space="preserve"> Sentencia </w:t>
      </w:r>
      <w:hyperlink w:anchor="SENTENCIA_2015_185" w:history="1">
        <w:r w:rsidRPr="00981775">
          <w:rPr>
            <w:rStyle w:val="TextoNormalCaracter"/>
          </w:rPr>
          <w:t>185/2015</w:t>
        </w:r>
      </w:hyperlink>
      <w:r>
        <w:t>, ff. 4, 6.</w:t>
      </w:r>
    </w:p>
    <w:p w:rsidR="00981775" w:rsidRDefault="00981775" w:rsidP="00981775">
      <w:pPr>
        <w:pStyle w:val="SangriaFrancesaArticulo"/>
      </w:pPr>
      <w:r w:rsidRPr="00981775">
        <w:rPr>
          <w:rStyle w:val="TextoNormalNegritaCaracter"/>
        </w:rPr>
        <w:t>Artículo 33.</w:t>
      </w:r>
      <w:r w:rsidRPr="00981775">
        <w:rPr>
          <w:rStyle w:val="TextoNormalCaracter"/>
        </w:rPr>
        <w:t>-</w:t>
      </w:r>
      <w:r>
        <w:t xml:space="preserve"> Sentencia </w:t>
      </w:r>
      <w:hyperlink w:anchor="SENTENCIA_2015_198" w:history="1">
        <w:r w:rsidRPr="00981775">
          <w:rPr>
            <w:rStyle w:val="TextoNormalCaracter"/>
          </w:rPr>
          <w:t>198/2015</w:t>
        </w:r>
      </w:hyperlink>
      <w:r>
        <w:t>, f. 4.</w:t>
      </w:r>
    </w:p>
    <w:p w:rsidR="00981775" w:rsidRDefault="00981775" w:rsidP="00981775">
      <w:pPr>
        <w:pStyle w:val="SangriaFrancesaArticulo"/>
      </w:pPr>
      <w:r w:rsidRPr="00981775">
        <w:rPr>
          <w:rStyle w:val="TextoNormalNegritaCaracter"/>
        </w:rPr>
        <w:t>Disposición adicional primera.</w:t>
      </w:r>
      <w:r w:rsidRPr="00981775">
        <w:rPr>
          <w:rStyle w:val="TextoNormalCaracter"/>
        </w:rPr>
        <w:t>-</w:t>
      </w:r>
      <w:r>
        <w:t xml:space="preserve"> Sentencia </w:t>
      </w:r>
      <w:hyperlink w:anchor="SENTENCIA_2015_185" w:history="1">
        <w:r w:rsidRPr="00981775">
          <w:rPr>
            <w:rStyle w:val="TextoNormalCaracter"/>
          </w:rPr>
          <w:t>185/2015</w:t>
        </w:r>
      </w:hyperlink>
      <w:r>
        <w:t>, VP.</w:t>
      </w:r>
    </w:p>
    <w:p w:rsidR="00981775" w:rsidRDefault="00981775" w:rsidP="00981775">
      <w:pPr>
        <w:pStyle w:val="SangriaFrancesaArticulo"/>
      </w:pPr>
    </w:p>
    <w:p w:rsidR="00981775" w:rsidRDefault="00981775" w:rsidP="00981775">
      <w:pPr>
        <w:pStyle w:val="TextoNormalNegritaCursivandice"/>
      </w:pPr>
      <w:r>
        <w:t>Real Decreto 661/2007, de 25 de mayo. Regulación de la actividad de producción de energía eléctrica en régimen especial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70" w:history="1">
        <w:r w:rsidRPr="00981775">
          <w:rPr>
            <w:rStyle w:val="TextoNormalCaracter"/>
          </w:rPr>
          <w:t>270/2015</w:t>
        </w:r>
      </w:hyperlink>
      <w:r>
        <w:t>, ff. 1, 7, VP.</w:t>
      </w:r>
    </w:p>
    <w:p w:rsidR="00981775" w:rsidRDefault="00981775" w:rsidP="00981775">
      <w:pPr>
        <w:pStyle w:val="SangriaFrancesaArticulo"/>
      </w:pPr>
      <w:r w:rsidRPr="00981775">
        <w:rPr>
          <w:rStyle w:val="TextoNormalNegritaCaracter"/>
        </w:rPr>
        <w:t>Anexo 5.</w:t>
      </w:r>
      <w:r w:rsidRPr="00981775">
        <w:rPr>
          <w:rStyle w:val="TextoNormalCaracter"/>
        </w:rPr>
        <w:t>-</w:t>
      </w:r>
      <w:r>
        <w:t xml:space="preserve"> Sentencia </w:t>
      </w:r>
      <w:hyperlink w:anchor="SENTENCIA_2015_270" w:history="1">
        <w:r w:rsidRPr="00981775">
          <w:rPr>
            <w:rStyle w:val="TextoNormalCaracter"/>
          </w:rPr>
          <w:t>270/2015</w:t>
        </w:r>
      </w:hyperlink>
      <w:r>
        <w:t>, f. 1.</w:t>
      </w:r>
    </w:p>
    <w:p w:rsidR="00981775" w:rsidRDefault="00981775" w:rsidP="00981775">
      <w:pPr>
        <w:pStyle w:val="SangriaFrancesaArticulo"/>
      </w:pPr>
    </w:p>
    <w:p w:rsidR="00981775" w:rsidRDefault="00981775" w:rsidP="00981775">
      <w:pPr>
        <w:pStyle w:val="TextoNormalNegritaCursivandice"/>
      </w:pPr>
      <w:r>
        <w:t>Real Decreto 1071/2007, de 27 de julio. Regula el sistema geodésico de referencia oficial en España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99" w:history="1">
        <w:r w:rsidRPr="00981775">
          <w:rPr>
            <w:rStyle w:val="TextoNormalCaracter"/>
          </w:rPr>
          <w:t>199/2015</w:t>
        </w:r>
      </w:hyperlink>
      <w:r>
        <w:t>, f. 8.</w:t>
      </w:r>
    </w:p>
    <w:p w:rsidR="00981775" w:rsidRDefault="00981775" w:rsidP="00981775">
      <w:pPr>
        <w:pStyle w:val="SangriaFrancesaArticulo"/>
      </w:pPr>
    </w:p>
    <w:p w:rsidR="00981775" w:rsidRDefault="00981775" w:rsidP="00981775">
      <w:pPr>
        <w:pStyle w:val="TextoNormalNegritaCursivandice"/>
      </w:pPr>
      <w:r>
        <w:t>Real Decreto 1312/2007, de 5 de octubre. Se establece la acreditación nacional para el acceso a los cuerpos docentes universitarios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6" w:history="1">
        <w:r w:rsidRPr="00981775">
          <w:rPr>
            <w:rStyle w:val="TextoNormalCaracter"/>
          </w:rPr>
          <w:t>176/2015</w:t>
        </w:r>
      </w:hyperlink>
      <w:r>
        <w:t>, f. 6, VP.</w:t>
      </w:r>
    </w:p>
    <w:p w:rsidR="00981775" w:rsidRDefault="00981775" w:rsidP="00981775">
      <w:pPr>
        <w:pStyle w:val="SangriaFrancesaArticulo"/>
      </w:pPr>
      <w:r w:rsidRPr="00981775">
        <w:rPr>
          <w:rStyle w:val="TextoNormalNegritaCaracter"/>
        </w:rPr>
        <w:t>Artículo 4.2.</w:t>
      </w:r>
      <w:r w:rsidRPr="00981775">
        <w:rPr>
          <w:rStyle w:val="TextoNormalCaracter"/>
        </w:rPr>
        <w:t>-</w:t>
      </w:r>
      <w:r>
        <w:t xml:space="preserve"> Sentencia </w:t>
      </w:r>
      <w:hyperlink w:anchor="SENTENCIA_2015_176" w:history="1">
        <w:r w:rsidRPr="00981775">
          <w:rPr>
            <w:rStyle w:val="TextoNormalCaracter"/>
          </w:rPr>
          <w:t>176/2015</w:t>
        </w:r>
      </w:hyperlink>
      <w:r>
        <w:t>, f. 7.</w:t>
      </w:r>
    </w:p>
    <w:p w:rsidR="00981775" w:rsidRDefault="00981775" w:rsidP="00981775">
      <w:pPr>
        <w:pStyle w:val="SangriaFrancesaArticulo"/>
      </w:pPr>
    </w:p>
    <w:p w:rsidR="00981775" w:rsidRDefault="00981775" w:rsidP="00981775">
      <w:pPr>
        <w:pStyle w:val="TextoNormalNegritaCursivandice"/>
      </w:pPr>
      <w:r>
        <w:t>Real Decreto 1393/2007, de 29 de octubre. Ordenación de las enseñanzas universitarias oficiales</w:t>
      </w:r>
    </w:p>
    <w:p w:rsidR="00981775" w:rsidRDefault="00981775" w:rsidP="00981775">
      <w:pPr>
        <w:pStyle w:val="SangriaFrancesaArticulo"/>
      </w:pPr>
      <w:r w:rsidRPr="00981775">
        <w:rPr>
          <w:rStyle w:val="TextoNormalNegritaCaracter"/>
        </w:rPr>
        <w:t>Artículo 12.9</w:t>
      </w:r>
      <w:r>
        <w:t xml:space="preserve"> (redactado por el Real Decreto 43/2015, de 2 de febrero)</w:t>
      </w:r>
      <w:r w:rsidRPr="00981775">
        <w:rPr>
          <w:rStyle w:val="TextoNormalNegritaCaracter"/>
        </w:rPr>
        <w:t>.</w:t>
      </w:r>
      <w:r w:rsidRPr="00981775">
        <w:rPr>
          <w:rStyle w:val="TextoNormalCaracter"/>
        </w:rPr>
        <w:t>-</w:t>
      </w:r>
      <w:r>
        <w:t xml:space="preserve"> Sentencia </w:t>
      </w:r>
      <w:hyperlink w:anchor="SENTENCIA_2015_176" w:history="1">
        <w:r w:rsidRPr="00981775">
          <w:rPr>
            <w:rStyle w:val="TextoNormalCaracter"/>
          </w:rPr>
          <w:t>176/2015</w:t>
        </w:r>
      </w:hyperlink>
      <w:r>
        <w:t>, f. 4.</w:t>
      </w:r>
    </w:p>
    <w:p w:rsidR="00981775" w:rsidRDefault="00981775" w:rsidP="00981775">
      <w:pPr>
        <w:pStyle w:val="SangriaFrancesaArticulo"/>
      </w:pPr>
      <w:r w:rsidRPr="00981775">
        <w:rPr>
          <w:rStyle w:val="TextoNormalNegritaCaracter"/>
        </w:rPr>
        <w:t>Artículo 24.</w:t>
      </w:r>
      <w:r w:rsidRPr="00981775">
        <w:rPr>
          <w:rStyle w:val="TextoNormalCaracter"/>
        </w:rPr>
        <w:t>-</w:t>
      </w:r>
      <w:r>
        <w:t xml:space="preserve"> Sentencia </w:t>
      </w:r>
      <w:hyperlink w:anchor="SENTENCIA_2015_176" w:history="1">
        <w:r w:rsidRPr="00981775">
          <w:rPr>
            <w:rStyle w:val="TextoNormalCaracter"/>
          </w:rPr>
          <w:t>176/2015</w:t>
        </w:r>
      </w:hyperlink>
      <w:r>
        <w:t>, f. 4.</w:t>
      </w:r>
    </w:p>
    <w:p w:rsidR="00981775" w:rsidRDefault="00981775" w:rsidP="00981775">
      <w:pPr>
        <w:pStyle w:val="SangriaFrancesaArticulo"/>
      </w:pPr>
    </w:p>
    <w:p w:rsidR="00981775" w:rsidRDefault="00981775" w:rsidP="00981775">
      <w:pPr>
        <w:pStyle w:val="TextoNormalNegritaCursivandice"/>
      </w:pPr>
      <w:r>
        <w:t>Real Decreto 1472/2007, de 2 de noviembre. Regulación de la renta básica de emancipación de los jóvenes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Sentencias </w:t>
      </w:r>
      <w:hyperlink w:anchor="SENTENCIA_2015_216" w:history="1">
        <w:r w:rsidRPr="00981775">
          <w:rPr>
            <w:rStyle w:val="TextoNormalCaracter"/>
          </w:rPr>
          <w:t>216/2015</w:t>
        </w:r>
      </w:hyperlink>
      <w:r>
        <w:t xml:space="preserve">, f. 3; </w:t>
      </w:r>
      <w:hyperlink w:anchor="SENTENCIA_2015_267" w:history="1">
        <w:r w:rsidRPr="00981775">
          <w:rPr>
            <w:rStyle w:val="TextoNormalCaracter"/>
          </w:rPr>
          <w:t>267/2015</w:t>
        </w:r>
      </w:hyperlink>
      <w:r>
        <w:t xml:space="preserve">, f. 1; </w:t>
      </w:r>
      <w:hyperlink w:anchor="SENTENCIA_2015_268" w:history="1">
        <w:r w:rsidRPr="00981775">
          <w:rPr>
            <w:rStyle w:val="TextoNormalCaracter"/>
          </w:rPr>
          <w:t>268/2015</w:t>
        </w:r>
      </w:hyperlink>
      <w:r>
        <w:t>, f. 1.</w:t>
      </w:r>
    </w:p>
    <w:p w:rsidR="00981775" w:rsidRDefault="00981775" w:rsidP="00981775">
      <w:pPr>
        <w:pStyle w:val="SangriaFrancesaArticulo"/>
      </w:pPr>
    </w:p>
    <w:p w:rsidR="00981775" w:rsidRDefault="00981775" w:rsidP="00981775">
      <w:pPr>
        <w:pStyle w:val="TextoNormalNegritaCursivandice"/>
      </w:pPr>
      <w:r>
        <w:t>Real Decreto 1721/2007, de 21 de diciembre. Régimen de las becas y ayudas al estudio personalizadas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8" w:history="1">
        <w:r w:rsidRPr="00981775">
          <w:rPr>
            <w:rStyle w:val="TextoNormalCaracter"/>
          </w:rPr>
          <w:t>178/2015</w:t>
        </w:r>
      </w:hyperlink>
      <w:r>
        <w:t>, f. 8.</w:t>
      </w:r>
    </w:p>
    <w:p w:rsidR="00981775" w:rsidRDefault="00981775" w:rsidP="00981775">
      <w:pPr>
        <w:pStyle w:val="SangriaFrancesaArticulo"/>
      </w:pPr>
      <w:r w:rsidRPr="00981775">
        <w:rPr>
          <w:rStyle w:val="TextoNormalNegritaCaracter"/>
        </w:rPr>
        <w:t>Artículo 1.4.</w:t>
      </w:r>
      <w:r w:rsidRPr="00981775">
        <w:rPr>
          <w:rStyle w:val="TextoNormalCaracter"/>
        </w:rPr>
        <w:t>-</w:t>
      </w:r>
      <w:r>
        <w:t xml:space="preserve"> Sentencia </w:t>
      </w:r>
      <w:hyperlink w:anchor="SENTENCIA_2015_178" w:history="1">
        <w:r w:rsidRPr="00981775">
          <w:rPr>
            <w:rStyle w:val="TextoNormalCaracter"/>
          </w:rPr>
          <w:t>178/2015</w:t>
        </w:r>
      </w:hyperlink>
      <w:r>
        <w:t>, VP II.</w:t>
      </w:r>
    </w:p>
    <w:p w:rsidR="00981775" w:rsidRDefault="00981775" w:rsidP="00981775">
      <w:pPr>
        <w:pStyle w:val="SangriaFrancesaArticulo"/>
      </w:pPr>
    </w:p>
    <w:p w:rsidR="00981775" w:rsidRDefault="00981775" w:rsidP="00981775">
      <w:pPr>
        <w:pStyle w:val="TextoNormalNegritaCursivandice"/>
      </w:pPr>
      <w:r>
        <w:t>Orden TAS/718/2008, de 7 de marzo. Desarrolla el Real Decreto 395/2007, de 23 de marzo, por el que se regula el subsistema de formación profesional para el empleo, en materia de formación de oferta y se establecen las bases reguladoras para la concesión de subvenciones públicas destinadas a su financiación</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Sentencias </w:t>
      </w:r>
      <w:hyperlink w:anchor="SENTENCIA_2015_178" w:history="1">
        <w:r w:rsidRPr="00981775">
          <w:rPr>
            <w:rStyle w:val="TextoNormalCaracter"/>
          </w:rPr>
          <w:t>178/2015</w:t>
        </w:r>
      </w:hyperlink>
      <w:r>
        <w:t xml:space="preserve">, ff. 3, 5; </w:t>
      </w:r>
      <w:hyperlink w:anchor="SENTENCIA_2015_185" w:history="1">
        <w:r w:rsidRPr="00981775">
          <w:rPr>
            <w:rStyle w:val="TextoNormalCaracter"/>
          </w:rPr>
          <w:t>185/2015</w:t>
        </w:r>
      </w:hyperlink>
      <w:r>
        <w:t>, ff. 1, 3, 4.</w:t>
      </w:r>
    </w:p>
    <w:p w:rsidR="00981775" w:rsidRDefault="00981775" w:rsidP="00981775">
      <w:pPr>
        <w:pStyle w:val="SangriaFrancesaArticulo"/>
      </w:pPr>
    </w:p>
    <w:p w:rsidR="00981775" w:rsidRDefault="00981775" w:rsidP="00981775">
      <w:pPr>
        <w:pStyle w:val="TextoNormalNegritaCursivandice"/>
      </w:pPr>
      <w:r>
        <w:t>Real Decreto 1509/2008, de 12 de septiembre. Regula el Registro de Universidades, Centros y Títulos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6" w:history="1">
        <w:r w:rsidRPr="00981775">
          <w:rPr>
            <w:rStyle w:val="TextoNormalCaracter"/>
          </w:rPr>
          <w:t>176/2015</w:t>
        </w:r>
      </w:hyperlink>
      <w:r>
        <w:t>, f. 4.</w:t>
      </w:r>
    </w:p>
    <w:p w:rsidR="00981775" w:rsidRDefault="00981775" w:rsidP="00981775">
      <w:pPr>
        <w:pStyle w:val="SangriaFrancesaArticulo"/>
      </w:pPr>
    </w:p>
    <w:p w:rsidR="00981775" w:rsidRDefault="00981775" w:rsidP="00981775">
      <w:pPr>
        <w:pStyle w:val="TextoNormalNegritaCursivandice"/>
      </w:pPr>
      <w:r>
        <w:t>Real Decreto 1578/2008, de 26 de septiembre. Retribución de la actividad de producción de energía eléctrica mediante tecnología solar fotovoltaica para instalaciones posteriores a la fecha límite de mantenimiento de la retribución del Real Decreto 661/2007, de 25 de mayo, para dicha tecnología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70" w:history="1">
        <w:r w:rsidRPr="00981775">
          <w:rPr>
            <w:rStyle w:val="TextoNormalCaracter"/>
          </w:rPr>
          <w:t>270/2015</w:t>
        </w:r>
      </w:hyperlink>
      <w:r>
        <w:t>, ff. 1, 7, VP.</w:t>
      </w:r>
    </w:p>
    <w:p w:rsidR="00981775" w:rsidRDefault="00981775" w:rsidP="00981775">
      <w:pPr>
        <w:pStyle w:val="SangriaFrancesaArticulo"/>
      </w:pPr>
    </w:p>
    <w:p w:rsidR="00981775" w:rsidRDefault="00981775" w:rsidP="00981775">
      <w:pPr>
        <w:pStyle w:val="TextoNormalNegritaCursivandice"/>
      </w:pPr>
      <w:r>
        <w:t>Real Decreto 1666/2008, de 17 de octubre. Traspaso de funciones y servicios de la Administración del Estado a la Comunidad Autónoma de Andalucía en materia de recursos y aprovechamientos hidráulicos correspondientes a las aguas de la cuenca del Guadalquivir que discurren íntegramente por el territorio de la comunidad autónoma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96" w:history="1">
        <w:r w:rsidRPr="00981775">
          <w:rPr>
            <w:rStyle w:val="TextoNormalCaracter"/>
          </w:rPr>
          <w:t>196/2015</w:t>
        </w:r>
      </w:hyperlink>
      <w:r>
        <w:t>, ff. 4, 5, VP.</w:t>
      </w:r>
    </w:p>
    <w:p w:rsidR="00981775" w:rsidRDefault="00981775" w:rsidP="00981775">
      <w:pPr>
        <w:pStyle w:val="SangriaFrancesaArticulo"/>
      </w:pPr>
    </w:p>
    <w:p w:rsidR="00981775" w:rsidRDefault="00981775" w:rsidP="00981775">
      <w:pPr>
        <w:pStyle w:val="TextoNormalNegritaCursivandice"/>
      </w:pPr>
      <w:r>
        <w:t>Real Decreto 2066/2008, de 12 de diciembre. Plan Estatal de Vivienda y Rehabilitación 2009-2012</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16" w:history="1">
        <w:r w:rsidRPr="00981775">
          <w:rPr>
            <w:rStyle w:val="TextoNormalCaracter"/>
          </w:rPr>
          <w:t>216/2015</w:t>
        </w:r>
      </w:hyperlink>
      <w:r>
        <w:t>, ff. 8, 9.</w:t>
      </w:r>
    </w:p>
    <w:p w:rsidR="00981775" w:rsidRDefault="00981775" w:rsidP="00981775">
      <w:pPr>
        <w:pStyle w:val="SangriaFrancesaArticulo"/>
      </w:pPr>
      <w:r w:rsidRPr="00981775">
        <w:rPr>
          <w:rStyle w:val="TextoNormalNegritaCaracter"/>
        </w:rPr>
        <w:t>Artículo 13.2.</w:t>
      </w:r>
      <w:r w:rsidRPr="00981775">
        <w:rPr>
          <w:rStyle w:val="TextoNormalCaracter"/>
        </w:rPr>
        <w:t>-</w:t>
      </w:r>
      <w:r>
        <w:t xml:space="preserve"> Sentencia </w:t>
      </w:r>
      <w:hyperlink w:anchor="SENTENCIA_2015_216" w:history="1">
        <w:r w:rsidRPr="00981775">
          <w:rPr>
            <w:rStyle w:val="TextoNormalCaracter"/>
          </w:rPr>
          <w:t>216/2015</w:t>
        </w:r>
      </w:hyperlink>
      <w:r>
        <w:t>, f. 8.</w:t>
      </w:r>
    </w:p>
    <w:p w:rsidR="00981775" w:rsidRDefault="00981775" w:rsidP="00981775">
      <w:pPr>
        <w:pStyle w:val="SangriaFrancesaArticulo"/>
      </w:pPr>
      <w:r w:rsidRPr="00981775">
        <w:rPr>
          <w:rStyle w:val="TextoNormalNegritaCaracter"/>
        </w:rPr>
        <w:t>Artículo 14.5.</w:t>
      </w:r>
      <w:r w:rsidRPr="00981775">
        <w:rPr>
          <w:rStyle w:val="TextoNormalCaracter"/>
        </w:rPr>
        <w:t>-</w:t>
      </w:r>
      <w:r>
        <w:t xml:space="preserve"> Sentencia </w:t>
      </w:r>
      <w:hyperlink w:anchor="SENTENCIA_2015_216" w:history="1">
        <w:r w:rsidRPr="00981775">
          <w:rPr>
            <w:rStyle w:val="TextoNormalCaracter"/>
          </w:rPr>
          <w:t>216/2015</w:t>
        </w:r>
      </w:hyperlink>
      <w:r>
        <w:t>, f. 8.</w:t>
      </w:r>
    </w:p>
    <w:p w:rsidR="00981775" w:rsidRDefault="00981775" w:rsidP="00981775">
      <w:pPr>
        <w:pStyle w:val="SangriaFrancesaArticulo"/>
      </w:pPr>
      <w:r w:rsidRPr="00981775">
        <w:rPr>
          <w:rStyle w:val="TextoNormalNegritaCaracter"/>
        </w:rPr>
        <w:t>Artículo 43.3.</w:t>
      </w:r>
      <w:r w:rsidRPr="00981775">
        <w:rPr>
          <w:rStyle w:val="TextoNormalCaracter"/>
        </w:rPr>
        <w:t>-</w:t>
      </w:r>
      <w:r>
        <w:t xml:space="preserve"> Sentencias </w:t>
      </w:r>
      <w:hyperlink w:anchor="SENTENCIA_2015_216" w:history="1">
        <w:r w:rsidRPr="00981775">
          <w:rPr>
            <w:rStyle w:val="TextoNormalCaracter"/>
          </w:rPr>
          <w:t>216/2015</w:t>
        </w:r>
      </w:hyperlink>
      <w:r>
        <w:t xml:space="preserve">, f. 8; </w:t>
      </w:r>
      <w:hyperlink w:anchor="SENTENCIA_2015_267" w:history="1">
        <w:r w:rsidRPr="00981775">
          <w:rPr>
            <w:rStyle w:val="TextoNormalCaracter"/>
          </w:rPr>
          <w:t>267/2015</w:t>
        </w:r>
      </w:hyperlink>
      <w:r>
        <w:t xml:space="preserve">, f. 3; </w:t>
      </w:r>
      <w:hyperlink w:anchor="SENTENCIA_2015_268" w:history="1">
        <w:r w:rsidRPr="00981775">
          <w:rPr>
            <w:rStyle w:val="TextoNormalCaracter"/>
          </w:rPr>
          <w:t>268/2015</w:t>
        </w:r>
      </w:hyperlink>
      <w:r>
        <w:t>, f. 3.</w:t>
      </w:r>
    </w:p>
    <w:p w:rsidR="00981775" w:rsidRDefault="00981775" w:rsidP="00981775">
      <w:pPr>
        <w:pStyle w:val="SangriaIzquierdaArticulo"/>
      </w:pPr>
      <w:r>
        <w:t xml:space="preserve">Auto </w:t>
      </w:r>
      <w:hyperlink w:anchor="AUTO_2015_227" w:history="1">
        <w:r w:rsidRPr="00981775">
          <w:rPr>
            <w:rStyle w:val="TextoNormalCaracter"/>
          </w:rPr>
          <w:t>227/2015</w:t>
        </w:r>
      </w:hyperlink>
      <w:r>
        <w:t>, f. 4.</w:t>
      </w:r>
    </w:p>
    <w:p w:rsidR="00981775" w:rsidRDefault="00981775" w:rsidP="00981775">
      <w:pPr>
        <w:pStyle w:val="SangriaIzquierdaArticulo"/>
      </w:pPr>
    </w:p>
    <w:p w:rsidR="00981775" w:rsidRDefault="00981775" w:rsidP="00981775">
      <w:pPr>
        <w:pStyle w:val="TextoNormalNegritaCursivandice"/>
      </w:pPr>
      <w:r>
        <w:t>Resolución de 22 de septiembre de 2009, del Servicio Público de Empleo Estatal. Se convoca la concesión de subvenciones para la realización de programas específicos de formación e inserción laboral a favor de jóvenes desempleados en situación o con riesgo de exclusión social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8" w:history="1">
        <w:r w:rsidRPr="00981775">
          <w:rPr>
            <w:rStyle w:val="TextoNormalCaracter"/>
          </w:rPr>
          <w:t>178/2015</w:t>
        </w:r>
      </w:hyperlink>
      <w:r>
        <w:t>, ff. 1, 4, 10.</w:t>
      </w:r>
    </w:p>
    <w:p w:rsidR="00981775" w:rsidRDefault="00981775" w:rsidP="00981775">
      <w:pPr>
        <w:pStyle w:val="SangriaFrancesaArticulo"/>
      </w:pPr>
      <w:r w:rsidRPr="00981775">
        <w:rPr>
          <w:rStyle w:val="TextoNormalNegritaCaracter"/>
        </w:rPr>
        <w:t>Preámbulo.</w:t>
      </w:r>
      <w:r w:rsidRPr="00981775">
        <w:rPr>
          <w:rStyle w:val="TextoNormalCaracter"/>
        </w:rPr>
        <w:t>-</w:t>
      </w:r>
      <w:r>
        <w:t xml:space="preserve"> Sentencia </w:t>
      </w:r>
      <w:hyperlink w:anchor="SENTENCIA_2015_178" w:history="1">
        <w:r w:rsidRPr="00981775">
          <w:rPr>
            <w:rStyle w:val="TextoNormalCaracter"/>
          </w:rPr>
          <w:t>178/2015</w:t>
        </w:r>
      </w:hyperlink>
      <w:r>
        <w:t>, f. 3.</w:t>
      </w:r>
    </w:p>
    <w:p w:rsidR="00981775" w:rsidRDefault="00981775" w:rsidP="00981775">
      <w:pPr>
        <w:pStyle w:val="SangriaFrancesaArticulo"/>
      </w:pPr>
      <w:r w:rsidRPr="00981775">
        <w:rPr>
          <w:rStyle w:val="TextoNormalNegritaCaracter"/>
        </w:rPr>
        <w:t>Artículo 1.1.</w:t>
      </w:r>
      <w:r w:rsidRPr="00981775">
        <w:rPr>
          <w:rStyle w:val="TextoNormalCaracter"/>
        </w:rPr>
        <w:t>-</w:t>
      </w:r>
      <w:r>
        <w:t xml:space="preserve"> Sentencia </w:t>
      </w:r>
      <w:hyperlink w:anchor="SENTENCIA_2015_178" w:history="1">
        <w:r w:rsidRPr="00981775">
          <w:rPr>
            <w:rStyle w:val="TextoNormalCaracter"/>
          </w:rPr>
          <w:t>178/2015</w:t>
        </w:r>
      </w:hyperlink>
      <w:r>
        <w:t>, ff. 7, 8.</w:t>
      </w:r>
    </w:p>
    <w:p w:rsidR="00981775" w:rsidRDefault="00981775" w:rsidP="00981775">
      <w:pPr>
        <w:pStyle w:val="SangriaFrancesaArticulo"/>
      </w:pPr>
      <w:r w:rsidRPr="00981775">
        <w:rPr>
          <w:rStyle w:val="TextoNormalNegritaCaracter"/>
        </w:rPr>
        <w:t>Artículo 1.2.</w:t>
      </w:r>
      <w:r w:rsidRPr="00981775">
        <w:rPr>
          <w:rStyle w:val="TextoNormalCaracter"/>
        </w:rPr>
        <w:t>-</w:t>
      </w:r>
      <w:r>
        <w:t xml:space="preserve"> Sentencia </w:t>
      </w:r>
      <w:hyperlink w:anchor="SENTENCIA_2015_178" w:history="1">
        <w:r w:rsidRPr="00981775">
          <w:rPr>
            <w:rStyle w:val="TextoNormalCaracter"/>
          </w:rPr>
          <w:t>178/2015</w:t>
        </w:r>
      </w:hyperlink>
      <w:r>
        <w:t>, ff. 6 a 8.</w:t>
      </w:r>
    </w:p>
    <w:p w:rsidR="00981775" w:rsidRDefault="00981775" w:rsidP="00981775">
      <w:pPr>
        <w:pStyle w:val="SangriaFrancesaArticulo"/>
      </w:pPr>
      <w:r w:rsidRPr="00981775">
        <w:rPr>
          <w:rStyle w:val="TextoNormalNegritaCaracter"/>
        </w:rPr>
        <w:t>Artículo 4.1 b).</w:t>
      </w:r>
      <w:r w:rsidRPr="00981775">
        <w:rPr>
          <w:rStyle w:val="TextoNormalCaracter"/>
        </w:rPr>
        <w:t>-</w:t>
      </w:r>
      <w:r>
        <w:t xml:space="preserve"> Sentencia </w:t>
      </w:r>
      <w:hyperlink w:anchor="SENTENCIA_2015_178" w:history="1">
        <w:r w:rsidRPr="00981775">
          <w:rPr>
            <w:rStyle w:val="TextoNormalCaracter"/>
          </w:rPr>
          <w:t>178/2015</w:t>
        </w:r>
      </w:hyperlink>
      <w:r>
        <w:t>, f. 6.</w:t>
      </w:r>
    </w:p>
    <w:p w:rsidR="00981775" w:rsidRDefault="00981775" w:rsidP="00981775">
      <w:pPr>
        <w:pStyle w:val="SangriaFrancesaArticulo"/>
      </w:pPr>
      <w:r w:rsidRPr="00981775">
        <w:rPr>
          <w:rStyle w:val="TextoNormalNegritaCaracter"/>
        </w:rPr>
        <w:t>Artículo 8.</w:t>
      </w:r>
      <w:r w:rsidRPr="00981775">
        <w:rPr>
          <w:rStyle w:val="TextoNormalCaracter"/>
        </w:rPr>
        <w:t>-</w:t>
      </w:r>
      <w:r>
        <w:t xml:space="preserve"> Sentencia </w:t>
      </w:r>
      <w:hyperlink w:anchor="SENTENCIA_2015_178" w:history="1">
        <w:r w:rsidRPr="00981775">
          <w:rPr>
            <w:rStyle w:val="TextoNormalCaracter"/>
          </w:rPr>
          <w:t>178/2015</w:t>
        </w:r>
      </w:hyperlink>
      <w:r>
        <w:t>, f. 8.</w:t>
      </w:r>
    </w:p>
    <w:p w:rsidR="00981775" w:rsidRDefault="00981775" w:rsidP="00981775">
      <w:pPr>
        <w:pStyle w:val="SangriaFrancesaArticulo"/>
      </w:pPr>
    </w:p>
    <w:p w:rsidR="00981775" w:rsidRDefault="00981775" w:rsidP="00981775">
      <w:pPr>
        <w:pStyle w:val="TextoNormalNegritaCursivandice"/>
      </w:pPr>
      <w:r>
        <w:t>Resolución de la Dirección General de Trabajo, de 3 de noviembre de 2009. Registra y publica el III Convenio colectivo único para el personal laboral de la Administración General del Estado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Sentencias </w:t>
      </w:r>
      <w:hyperlink w:anchor="SENTENCIA_2015_189" w:history="1">
        <w:r w:rsidRPr="00981775">
          <w:rPr>
            <w:rStyle w:val="TextoNormalCaracter"/>
          </w:rPr>
          <w:t>189/2015</w:t>
        </w:r>
      </w:hyperlink>
      <w:r>
        <w:t xml:space="preserve">, f. 3; </w:t>
      </w:r>
      <w:hyperlink w:anchor="SENTENCIA_2015_224" w:history="1">
        <w:r w:rsidRPr="00981775">
          <w:rPr>
            <w:rStyle w:val="TextoNormalCaracter"/>
          </w:rPr>
          <w:t>224/2015</w:t>
        </w:r>
      </w:hyperlink>
      <w:r>
        <w:t>, f. 3.</w:t>
      </w:r>
    </w:p>
    <w:p w:rsidR="00981775" w:rsidRDefault="00981775" w:rsidP="00981775">
      <w:pPr>
        <w:pStyle w:val="SangriaFrancesaArticulo"/>
      </w:pPr>
    </w:p>
    <w:p w:rsidR="00981775" w:rsidRDefault="00981775" w:rsidP="00981775">
      <w:pPr>
        <w:pStyle w:val="TextoNormalNegritaCursivandice"/>
      </w:pPr>
      <w:r>
        <w:t>Resolución de 1 de febrero de 2010, del Servicio Público de Empleo Estatal. Aprueba la convocatoria para la concesión, con cargo al ejercicio presupuestario de 2010, de subvenciones públicas para la ejecución de planes de formación mediante convenios, de ámbito estatal, dirigidos prioritariamente a los trabajadores ocupados, en aplicación de la Orden TAS/718/2008, de 7 de marzo, por la que se regula la formación de oferta y se establecen las bases reguladoras para la concesión de subvenciones públicas destinadas a su financiación</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85" w:history="1">
        <w:r w:rsidRPr="00981775">
          <w:rPr>
            <w:rStyle w:val="TextoNormalCaracter"/>
          </w:rPr>
          <w:t>185/2015</w:t>
        </w:r>
      </w:hyperlink>
      <w:r>
        <w:t>, ff. 1 a 5.</w:t>
      </w:r>
    </w:p>
    <w:p w:rsidR="00981775" w:rsidRDefault="00981775" w:rsidP="00981775">
      <w:pPr>
        <w:pStyle w:val="SangriaFrancesaArticulo"/>
      </w:pPr>
      <w:r w:rsidRPr="00981775">
        <w:rPr>
          <w:rStyle w:val="TextoNormalNegritaCaracter"/>
        </w:rPr>
        <w:t>Exposición de motivos.</w:t>
      </w:r>
      <w:r w:rsidRPr="00981775">
        <w:rPr>
          <w:rStyle w:val="TextoNormalCaracter"/>
        </w:rPr>
        <w:t>-</w:t>
      </w:r>
      <w:r>
        <w:t xml:space="preserve"> Sentencia </w:t>
      </w:r>
      <w:hyperlink w:anchor="SENTENCIA_2015_185" w:history="1">
        <w:r w:rsidRPr="00981775">
          <w:rPr>
            <w:rStyle w:val="TextoNormalCaracter"/>
          </w:rPr>
          <w:t>185/2015</w:t>
        </w:r>
      </w:hyperlink>
      <w:r>
        <w:t>, ff. 3, 6.</w:t>
      </w:r>
    </w:p>
    <w:p w:rsidR="00981775" w:rsidRDefault="00981775" w:rsidP="00981775">
      <w:pPr>
        <w:pStyle w:val="SangriaFrancesaArticulo"/>
      </w:pPr>
      <w:r w:rsidRPr="00981775">
        <w:rPr>
          <w:rStyle w:val="TextoNormalNegritaCaracter"/>
        </w:rPr>
        <w:t>Artículo 1.</w:t>
      </w:r>
      <w:r w:rsidRPr="00981775">
        <w:rPr>
          <w:rStyle w:val="TextoNormalCaracter"/>
        </w:rPr>
        <w:t>-</w:t>
      </w:r>
      <w:r>
        <w:t xml:space="preserve"> Sentencia </w:t>
      </w:r>
      <w:hyperlink w:anchor="SENTENCIA_2015_185" w:history="1">
        <w:r w:rsidRPr="00981775">
          <w:rPr>
            <w:rStyle w:val="TextoNormalCaracter"/>
          </w:rPr>
          <w:t>185/2015</w:t>
        </w:r>
      </w:hyperlink>
      <w:r>
        <w:t>, f. 6.</w:t>
      </w:r>
    </w:p>
    <w:p w:rsidR="00981775" w:rsidRDefault="00981775" w:rsidP="00981775">
      <w:pPr>
        <w:pStyle w:val="SangriaFrancesaArticulo"/>
      </w:pPr>
      <w:r w:rsidRPr="00981775">
        <w:rPr>
          <w:rStyle w:val="TextoNormalNegritaCaracter"/>
        </w:rPr>
        <w:t>Artículo 3.</w:t>
      </w:r>
      <w:r w:rsidRPr="00981775">
        <w:rPr>
          <w:rStyle w:val="TextoNormalCaracter"/>
        </w:rPr>
        <w:t>-</w:t>
      </w:r>
      <w:r>
        <w:t xml:space="preserve"> Sentencia </w:t>
      </w:r>
      <w:hyperlink w:anchor="SENTENCIA_2015_185" w:history="1">
        <w:r w:rsidRPr="00981775">
          <w:rPr>
            <w:rStyle w:val="TextoNormalCaracter"/>
          </w:rPr>
          <w:t>185/2015</w:t>
        </w:r>
      </w:hyperlink>
      <w:r>
        <w:t>, ff. 2, 3.</w:t>
      </w:r>
    </w:p>
    <w:p w:rsidR="00981775" w:rsidRDefault="00981775" w:rsidP="00981775">
      <w:pPr>
        <w:pStyle w:val="SangriaFrancesaArticulo"/>
      </w:pPr>
      <w:r w:rsidRPr="00981775">
        <w:rPr>
          <w:rStyle w:val="TextoNormalNegritaCaracter"/>
        </w:rPr>
        <w:t>Artículo 3</w:t>
      </w:r>
      <w:r>
        <w:t xml:space="preserve"> (redactado por la resolución del servicio público de empleo estatal de 20 de septiembre de 2010)</w:t>
      </w:r>
      <w:r w:rsidRPr="00981775">
        <w:rPr>
          <w:rStyle w:val="TextoNormalNegritaCaracter"/>
        </w:rPr>
        <w:t>.</w:t>
      </w:r>
      <w:r w:rsidRPr="00981775">
        <w:rPr>
          <w:rStyle w:val="TextoNormalCaracter"/>
        </w:rPr>
        <w:t>-</w:t>
      </w:r>
      <w:r>
        <w:t xml:space="preserve"> Sentencia </w:t>
      </w:r>
      <w:hyperlink w:anchor="SENTENCIA_2015_185" w:history="1">
        <w:r w:rsidRPr="00981775">
          <w:rPr>
            <w:rStyle w:val="TextoNormalCaracter"/>
          </w:rPr>
          <w:t>185/2015</w:t>
        </w:r>
      </w:hyperlink>
      <w:r>
        <w:t>, f. 3.</w:t>
      </w:r>
    </w:p>
    <w:p w:rsidR="00981775" w:rsidRDefault="00981775" w:rsidP="00981775">
      <w:pPr>
        <w:pStyle w:val="SangriaFrancesaArticulo"/>
      </w:pPr>
      <w:r w:rsidRPr="00981775">
        <w:rPr>
          <w:rStyle w:val="TextoNormalNegritaCaracter"/>
        </w:rPr>
        <w:t>Artículo 4.</w:t>
      </w:r>
      <w:r w:rsidRPr="00981775">
        <w:rPr>
          <w:rStyle w:val="TextoNormalCaracter"/>
        </w:rPr>
        <w:t>-</w:t>
      </w:r>
      <w:r>
        <w:t xml:space="preserve"> Sentencia </w:t>
      </w:r>
      <w:hyperlink w:anchor="SENTENCIA_2015_185" w:history="1">
        <w:r w:rsidRPr="00981775">
          <w:rPr>
            <w:rStyle w:val="TextoNormalCaracter"/>
          </w:rPr>
          <w:t>185/2015</w:t>
        </w:r>
      </w:hyperlink>
      <w:r>
        <w:t>, f. 2.</w:t>
      </w:r>
    </w:p>
    <w:p w:rsidR="00981775" w:rsidRDefault="00981775" w:rsidP="00981775">
      <w:pPr>
        <w:pStyle w:val="SangriaFrancesaArticulo"/>
      </w:pPr>
      <w:r w:rsidRPr="00981775">
        <w:rPr>
          <w:rStyle w:val="TextoNormalNegritaCaracter"/>
        </w:rPr>
        <w:t>Artículo 5.</w:t>
      </w:r>
      <w:r w:rsidRPr="00981775">
        <w:rPr>
          <w:rStyle w:val="TextoNormalCaracter"/>
        </w:rPr>
        <w:t>-</w:t>
      </w:r>
      <w:r>
        <w:t xml:space="preserve"> Sentencia </w:t>
      </w:r>
      <w:hyperlink w:anchor="SENTENCIA_2015_185" w:history="1">
        <w:r w:rsidRPr="00981775">
          <w:rPr>
            <w:rStyle w:val="TextoNormalCaracter"/>
          </w:rPr>
          <w:t>185/2015</w:t>
        </w:r>
      </w:hyperlink>
      <w:r>
        <w:t>, f. 2.</w:t>
      </w:r>
    </w:p>
    <w:p w:rsidR="00981775" w:rsidRDefault="00981775" w:rsidP="00981775">
      <w:pPr>
        <w:pStyle w:val="SangriaFrancesaArticulo"/>
      </w:pPr>
      <w:r w:rsidRPr="00981775">
        <w:rPr>
          <w:rStyle w:val="TextoNormalNegritaCaracter"/>
        </w:rPr>
        <w:t>Artículo 5.1 d).</w:t>
      </w:r>
      <w:r w:rsidRPr="00981775">
        <w:rPr>
          <w:rStyle w:val="TextoNormalCaracter"/>
        </w:rPr>
        <w:t>-</w:t>
      </w:r>
      <w:r>
        <w:t xml:space="preserve"> Sentencia </w:t>
      </w:r>
      <w:hyperlink w:anchor="SENTENCIA_2015_185" w:history="1">
        <w:r w:rsidRPr="00981775">
          <w:rPr>
            <w:rStyle w:val="TextoNormalCaracter"/>
          </w:rPr>
          <w:t>185/2015</w:t>
        </w:r>
      </w:hyperlink>
      <w:r>
        <w:t>, VP.</w:t>
      </w:r>
    </w:p>
    <w:p w:rsidR="00981775" w:rsidRDefault="00981775" w:rsidP="00981775">
      <w:pPr>
        <w:pStyle w:val="SangriaFrancesaArticulo"/>
      </w:pPr>
      <w:r w:rsidRPr="00981775">
        <w:rPr>
          <w:rStyle w:val="TextoNormalNegritaCaracter"/>
        </w:rPr>
        <w:t>Artículo 7.</w:t>
      </w:r>
      <w:r w:rsidRPr="00981775">
        <w:rPr>
          <w:rStyle w:val="TextoNormalCaracter"/>
        </w:rPr>
        <w:t>-</w:t>
      </w:r>
      <w:r>
        <w:t xml:space="preserve"> Sentencia </w:t>
      </w:r>
      <w:hyperlink w:anchor="SENTENCIA_2015_185" w:history="1">
        <w:r w:rsidRPr="00981775">
          <w:rPr>
            <w:rStyle w:val="TextoNormalCaracter"/>
          </w:rPr>
          <w:t>185/2015</w:t>
        </w:r>
      </w:hyperlink>
      <w:r>
        <w:t>, f. 6.</w:t>
      </w:r>
    </w:p>
    <w:p w:rsidR="00981775" w:rsidRDefault="00981775" w:rsidP="00981775">
      <w:pPr>
        <w:pStyle w:val="SangriaFrancesaArticulo"/>
      </w:pPr>
      <w:r w:rsidRPr="00981775">
        <w:rPr>
          <w:rStyle w:val="TextoNormalNegritaCaracter"/>
        </w:rPr>
        <w:t>Artículo 8.</w:t>
      </w:r>
      <w:r w:rsidRPr="00981775">
        <w:rPr>
          <w:rStyle w:val="TextoNormalCaracter"/>
        </w:rPr>
        <w:t>-</w:t>
      </w:r>
      <w:r>
        <w:t xml:space="preserve"> Sentencia </w:t>
      </w:r>
      <w:hyperlink w:anchor="SENTENCIA_2015_185" w:history="1">
        <w:r w:rsidRPr="00981775">
          <w:rPr>
            <w:rStyle w:val="TextoNormalCaracter"/>
          </w:rPr>
          <w:t>185/2015</w:t>
        </w:r>
      </w:hyperlink>
      <w:r>
        <w:t>, f. 6.</w:t>
      </w:r>
    </w:p>
    <w:p w:rsidR="00981775" w:rsidRDefault="00981775" w:rsidP="00981775">
      <w:pPr>
        <w:pStyle w:val="SangriaFrancesaArticulo"/>
      </w:pPr>
      <w:r w:rsidRPr="00981775">
        <w:rPr>
          <w:rStyle w:val="TextoNormalNegritaCaracter"/>
        </w:rPr>
        <w:t>Artículo 9.</w:t>
      </w:r>
      <w:r w:rsidRPr="00981775">
        <w:rPr>
          <w:rStyle w:val="TextoNormalCaracter"/>
        </w:rPr>
        <w:t>-</w:t>
      </w:r>
      <w:r>
        <w:t xml:space="preserve"> Sentencia </w:t>
      </w:r>
      <w:hyperlink w:anchor="SENTENCIA_2015_185" w:history="1">
        <w:r w:rsidRPr="00981775">
          <w:rPr>
            <w:rStyle w:val="TextoNormalCaracter"/>
          </w:rPr>
          <w:t>185/2015</w:t>
        </w:r>
      </w:hyperlink>
      <w:r>
        <w:t>, ff. 2, 6.</w:t>
      </w:r>
    </w:p>
    <w:p w:rsidR="00981775" w:rsidRDefault="00981775" w:rsidP="00981775">
      <w:pPr>
        <w:pStyle w:val="SangriaFrancesaArticulo"/>
      </w:pPr>
      <w:r w:rsidRPr="00981775">
        <w:rPr>
          <w:rStyle w:val="TextoNormalNegritaCaracter"/>
        </w:rPr>
        <w:t>Artículo 10.</w:t>
      </w:r>
      <w:r w:rsidRPr="00981775">
        <w:rPr>
          <w:rStyle w:val="TextoNormalCaracter"/>
        </w:rPr>
        <w:t>-</w:t>
      </w:r>
      <w:r>
        <w:t xml:space="preserve"> Sentencia </w:t>
      </w:r>
      <w:hyperlink w:anchor="SENTENCIA_2015_185" w:history="1">
        <w:r w:rsidRPr="00981775">
          <w:rPr>
            <w:rStyle w:val="TextoNormalCaracter"/>
          </w:rPr>
          <w:t>185/2015</w:t>
        </w:r>
      </w:hyperlink>
      <w:r>
        <w:t>, f. 6.</w:t>
      </w:r>
    </w:p>
    <w:p w:rsidR="00981775" w:rsidRDefault="00981775" w:rsidP="00981775">
      <w:pPr>
        <w:pStyle w:val="SangriaFrancesaArticulo"/>
      </w:pPr>
      <w:r w:rsidRPr="00981775">
        <w:rPr>
          <w:rStyle w:val="TextoNormalNegritaCaracter"/>
        </w:rPr>
        <w:t>Artículo 11.</w:t>
      </w:r>
      <w:r w:rsidRPr="00981775">
        <w:rPr>
          <w:rStyle w:val="TextoNormalCaracter"/>
        </w:rPr>
        <w:t>-</w:t>
      </w:r>
      <w:r>
        <w:t xml:space="preserve"> Sentencia </w:t>
      </w:r>
      <w:hyperlink w:anchor="SENTENCIA_2015_185" w:history="1">
        <w:r w:rsidRPr="00981775">
          <w:rPr>
            <w:rStyle w:val="TextoNormalCaracter"/>
          </w:rPr>
          <w:t>185/2015</w:t>
        </w:r>
      </w:hyperlink>
      <w:r>
        <w:t>, f. 6.</w:t>
      </w:r>
    </w:p>
    <w:p w:rsidR="00981775" w:rsidRDefault="00981775" w:rsidP="00981775">
      <w:pPr>
        <w:pStyle w:val="SangriaFrancesaArticulo"/>
      </w:pPr>
      <w:r w:rsidRPr="00981775">
        <w:rPr>
          <w:rStyle w:val="TextoNormalNegritaCaracter"/>
        </w:rPr>
        <w:t>Artículo 22.1.</w:t>
      </w:r>
      <w:r w:rsidRPr="00981775">
        <w:rPr>
          <w:rStyle w:val="TextoNormalCaracter"/>
        </w:rPr>
        <w:t>-</w:t>
      </w:r>
      <w:r>
        <w:t xml:space="preserve"> Sentencia </w:t>
      </w:r>
      <w:hyperlink w:anchor="SENTENCIA_2015_185" w:history="1">
        <w:r w:rsidRPr="00981775">
          <w:rPr>
            <w:rStyle w:val="TextoNormalCaracter"/>
          </w:rPr>
          <w:t>185/2015</w:t>
        </w:r>
      </w:hyperlink>
      <w:r>
        <w:t>, f. 3.</w:t>
      </w:r>
    </w:p>
    <w:p w:rsidR="00981775" w:rsidRDefault="00981775" w:rsidP="00981775">
      <w:pPr>
        <w:pStyle w:val="SangriaFrancesaArticulo"/>
      </w:pPr>
      <w:r w:rsidRPr="00981775">
        <w:rPr>
          <w:rStyle w:val="TextoNormalNegritaCaracter"/>
        </w:rPr>
        <w:t>Artículo 22.1 a).</w:t>
      </w:r>
      <w:r w:rsidRPr="00981775">
        <w:rPr>
          <w:rStyle w:val="TextoNormalCaracter"/>
        </w:rPr>
        <w:t>-</w:t>
      </w:r>
      <w:r>
        <w:t xml:space="preserve"> Sentencia </w:t>
      </w:r>
      <w:hyperlink w:anchor="SENTENCIA_2015_185" w:history="1">
        <w:r w:rsidRPr="00981775">
          <w:rPr>
            <w:rStyle w:val="TextoNormalCaracter"/>
          </w:rPr>
          <w:t>185/2015</w:t>
        </w:r>
      </w:hyperlink>
      <w:r>
        <w:t>, f. 4.</w:t>
      </w:r>
    </w:p>
    <w:p w:rsidR="00981775" w:rsidRDefault="00981775" w:rsidP="00981775">
      <w:pPr>
        <w:pStyle w:val="SangriaFrancesaArticulo"/>
      </w:pPr>
      <w:r w:rsidRPr="00981775">
        <w:rPr>
          <w:rStyle w:val="TextoNormalNegritaCaracter"/>
        </w:rPr>
        <w:t>Artículo 22.1 b).</w:t>
      </w:r>
      <w:r w:rsidRPr="00981775">
        <w:rPr>
          <w:rStyle w:val="TextoNormalCaracter"/>
        </w:rPr>
        <w:t>-</w:t>
      </w:r>
      <w:r>
        <w:t xml:space="preserve"> Sentencia </w:t>
      </w:r>
      <w:hyperlink w:anchor="SENTENCIA_2015_185" w:history="1">
        <w:r w:rsidRPr="00981775">
          <w:rPr>
            <w:rStyle w:val="TextoNormalCaracter"/>
          </w:rPr>
          <w:t>185/2015</w:t>
        </w:r>
      </w:hyperlink>
      <w:r>
        <w:t>, f. 4.</w:t>
      </w:r>
    </w:p>
    <w:p w:rsidR="00981775" w:rsidRDefault="00981775" w:rsidP="00981775">
      <w:pPr>
        <w:pStyle w:val="SangriaFrancesaArticulo"/>
      </w:pPr>
      <w:r w:rsidRPr="00981775">
        <w:rPr>
          <w:rStyle w:val="TextoNormalNegritaCaracter"/>
        </w:rPr>
        <w:t>Artículo 22.2.</w:t>
      </w:r>
      <w:r w:rsidRPr="00981775">
        <w:rPr>
          <w:rStyle w:val="TextoNormalCaracter"/>
        </w:rPr>
        <w:t>-</w:t>
      </w:r>
      <w:r>
        <w:t xml:space="preserve"> Sentencia </w:t>
      </w:r>
      <w:hyperlink w:anchor="SENTENCIA_2015_185" w:history="1">
        <w:r w:rsidRPr="00981775">
          <w:rPr>
            <w:rStyle w:val="TextoNormalCaracter"/>
          </w:rPr>
          <w:t>185/2015</w:t>
        </w:r>
      </w:hyperlink>
      <w:r>
        <w:t>, f. 4.</w:t>
      </w:r>
    </w:p>
    <w:p w:rsidR="00981775" w:rsidRDefault="00981775" w:rsidP="00981775">
      <w:pPr>
        <w:pStyle w:val="SangriaFrancesaArticulo"/>
      </w:pPr>
      <w:r w:rsidRPr="00981775">
        <w:rPr>
          <w:rStyle w:val="TextoNormalNegritaCaracter"/>
        </w:rPr>
        <w:t>Artículo 24.</w:t>
      </w:r>
      <w:r w:rsidRPr="00981775">
        <w:rPr>
          <w:rStyle w:val="TextoNormalCaracter"/>
        </w:rPr>
        <w:t>-</w:t>
      </w:r>
      <w:r>
        <w:t xml:space="preserve"> Sentencia </w:t>
      </w:r>
      <w:hyperlink w:anchor="SENTENCIA_2015_185" w:history="1">
        <w:r w:rsidRPr="00981775">
          <w:rPr>
            <w:rStyle w:val="TextoNormalCaracter"/>
          </w:rPr>
          <w:t>185/2015</w:t>
        </w:r>
      </w:hyperlink>
      <w:r>
        <w:t>, f. 4.</w:t>
      </w:r>
    </w:p>
    <w:p w:rsidR="00981775" w:rsidRDefault="00981775" w:rsidP="00981775">
      <w:pPr>
        <w:pStyle w:val="SangriaFrancesaArticulo"/>
      </w:pPr>
      <w:r w:rsidRPr="00981775">
        <w:rPr>
          <w:rStyle w:val="TextoNormalNegritaCaracter"/>
        </w:rPr>
        <w:t>Artículo 24.2.</w:t>
      </w:r>
      <w:r w:rsidRPr="00981775">
        <w:rPr>
          <w:rStyle w:val="TextoNormalCaracter"/>
        </w:rPr>
        <w:t>-</w:t>
      </w:r>
      <w:r>
        <w:t xml:space="preserve"> Sentencia </w:t>
      </w:r>
      <w:hyperlink w:anchor="SENTENCIA_2015_185" w:history="1">
        <w:r w:rsidRPr="00981775">
          <w:rPr>
            <w:rStyle w:val="TextoNormalCaracter"/>
          </w:rPr>
          <w:t>185/2015</w:t>
        </w:r>
      </w:hyperlink>
      <w:r>
        <w:t>, f. 4.</w:t>
      </w:r>
    </w:p>
    <w:p w:rsidR="00981775" w:rsidRDefault="00981775" w:rsidP="00981775">
      <w:pPr>
        <w:pStyle w:val="SangriaFrancesaArticulo"/>
      </w:pPr>
      <w:r w:rsidRPr="00981775">
        <w:rPr>
          <w:rStyle w:val="TextoNormalNegritaCaracter"/>
        </w:rPr>
        <w:t>Anexo.</w:t>
      </w:r>
      <w:r w:rsidRPr="00981775">
        <w:rPr>
          <w:rStyle w:val="TextoNormalCaracter"/>
        </w:rPr>
        <w:t>-</w:t>
      </w:r>
      <w:r>
        <w:t xml:space="preserve"> Sentencia </w:t>
      </w:r>
      <w:hyperlink w:anchor="SENTENCIA_2015_185" w:history="1">
        <w:r w:rsidRPr="00981775">
          <w:rPr>
            <w:rStyle w:val="TextoNormalCaracter"/>
          </w:rPr>
          <w:t>185/2015</w:t>
        </w:r>
      </w:hyperlink>
      <w:r>
        <w:t>, f. 3.</w:t>
      </w:r>
    </w:p>
    <w:p w:rsidR="00981775" w:rsidRDefault="00981775" w:rsidP="00981775">
      <w:pPr>
        <w:pStyle w:val="SangriaFrancesaArticulo"/>
      </w:pPr>
      <w:r w:rsidRPr="00981775">
        <w:rPr>
          <w:rStyle w:val="TextoNormalNegritaCaracter"/>
        </w:rPr>
        <w:t>Anexos I a III.</w:t>
      </w:r>
      <w:r w:rsidRPr="00981775">
        <w:rPr>
          <w:rStyle w:val="TextoNormalCaracter"/>
        </w:rPr>
        <w:t>-</w:t>
      </w:r>
      <w:r>
        <w:t xml:space="preserve"> Sentencia </w:t>
      </w:r>
      <w:hyperlink w:anchor="SENTENCIA_2015_185" w:history="1">
        <w:r w:rsidRPr="00981775">
          <w:rPr>
            <w:rStyle w:val="TextoNormalCaracter"/>
          </w:rPr>
          <w:t>185/2015</w:t>
        </w:r>
      </w:hyperlink>
      <w:r>
        <w:t>, f. 2.</w:t>
      </w:r>
    </w:p>
    <w:p w:rsidR="00981775" w:rsidRDefault="00981775" w:rsidP="00981775">
      <w:pPr>
        <w:pStyle w:val="SangriaFrancesaArticulo"/>
      </w:pPr>
    </w:p>
    <w:p w:rsidR="00981775" w:rsidRDefault="00981775" w:rsidP="00981775">
      <w:pPr>
        <w:pStyle w:val="TextoNormalNegritaCursivandice"/>
      </w:pPr>
      <w:r>
        <w:t>Real Decreto 1002/2010, de 5 de agosto. Expedición de títulos universitarios oficiales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6" w:history="1">
        <w:r w:rsidRPr="00981775">
          <w:rPr>
            <w:rStyle w:val="TextoNormalCaracter"/>
          </w:rPr>
          <w:t>176/2015</w:t>
        </w:r>
      </w:hyperlink>
      <w:r>
        <w:t>, f. 4.</w:t>
      </w:r>
    </w:p>
    <w:p w:rsidR="00981775" w:rsidRDefault="00981775" w:rsidP="00981775">
      <w:pPr>
        <w:pStyle w:val="SangriaFrancesaArticulo"/>
      </w:pPr>
      <w:r w:rsidRPr="00981775">
        <w:rPr>
          <w:rStyle w:val="TextoNormalNegritaCaracter"/>
        </w:rPr>
        <w:t>Artículo 3.1.</w:t>
      </w:r>
      <w:r w:rsidRPr="00981775">
        <w:rPr>
          <w:rStyle w:val="TextoNormalCaracter"/>
        </w:rPr>
        <w:t>-</w:t>
      </w:r>
      <w:r>
        <w:t xml:space="preserve"> Sentencia </w:t>
      </w:r>
      <w:hyperlink w:anchor="SENTENCIA_2015_176" w:history="1">
        <w:r w:rsidRPr="00981775">
          <w:rPr>
            <w:rStyle w:val="TextoNormalCaracter"/>
          </w:rPr>
          <w:t>176/2015</w:t>
        </w:r>
      </w:hyperlink>
      <w:r>
        <w:t>, f. 4.</w:t>
      </w:r>
    </w:p>
    <w:p w:rsidR="00981775" w:rsidRDefault="00981775" w:rsidP="00981775">
      <w:pPr>
        <w:pStyle w:val="SangriaFrancesaArticulo"/>
      </w:pPr>
    </w:p>
    <w:p w:rsidR="00981775" w:rsidRDefault="00981775" w:rsidP="00981775">
      <w:pPr>
        <w:pStyle w:val="TextoNormalNegritaCursivandice"/>
      </w:pPr>
      <w:r>
        <w:t>Resolución de 20 de septiembre de 2010, del Servicio Público de Empleo Estatal. Modifica la de 1 de febrero de 2010, que aprueba la convocatoria para la concesión, con cargo al ejercicio presupuestario de 2010, de subvenciones públicas para la ejecución de planes de formación mediante convenios, de ámbito estatal, dirigidos prioritariamente a los trabajadores ocupados, en aplicación de la Orden TAS/718/2008, de 7 de marzo, por la que se regula la formación de oferta y se establecen las bases reguladoras para la concesión de subvenciones públicas destinadas a su financiación</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85" w:history="1">
        <w:r w:rsidRPr="00981775">
          <w:rPr>
            <w:rStyle w:val="TextoNormalCaracter"/>
          </w:rPr>
          <w:t>185/2015</w:t>
        </w:r>
      </w:hyperlink>
      <w:r>
        <w:t>, f. 3.</w:t>
      </w:r>
    </w:p>
    <w:p w:rsidR="00981775" w:rsidRDefault="00981775" w:rsidP="00981775">
      <w:pPr>
        <w:pStyle w:val="SangriaFrancesaArticulo"/>
      </w:pPr>
    </w:p>
    <w:p w:rsidR="00981775" w:rsidRDefault="00981775" w:rsidP="00981775">
      <w:pPr>
        <w:pStyle w:val="TextoNormalNegritaCursivandice"/>
      </w:pPr>
      <w:r>
        <w:t>Resolución de 15 de diciembre de 2010, del Servicio Público de Empleo Estatal.  Aprueba la Instrucción de seguimiento y justificación de costes prevista en el artículo 22.1 de la resolución de 1 de febrero de 2010, por la que se aprueba la convocatoria para la concesión, con cargo al ejercicio 2010, de subvenciones públicas para la ejecución de planes de formación mediante convenios, de ámbito estatal, dirigidos prioritariamente a los trabajadores ocupados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85" w:history="1">
        <w:r w:rsidRPr="00981775">
          <w:rPr>
            <w:rStyle w:val="TextoNormalCaracter"/>
          </w:rPr>
          <w:t>185/2015</w:t>
        </w:r>
      </w:hyperlink>
      <w:r>
        <w:t>, f. 3.</w:t>
      </w:r>
    </w:p>
    <w:p w:rsidR="00981775" w:rsidRDefault="00981775" w:rsidP="00981775">
      <w:pPr>
        <w:pStyle w:val="SangriaFrancesaArticulo"/>
      </w:pPr>
    </w:p>
    <w:p w:rsidR="00981775" w:rsidRDefault="00981775" w:rsidP="00981775">
      <w:pPr>
        <w:pStyle w:val="TextoNormalNegritaCursivandice"/>
      </w:pPr>
      <w:r>
        <w:t>Real Decreto 1565/2010, de 19 de noviembre. Se regulan y modifican determinados aspectos relativos a la actividad de producción de energía eléctrica en régimen especial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70" w:history="1">
        <w:r w:rsidRPr="00981775">
          <w:rPr>
            <w:rStyle w:val="TextoNormalCaracter"/>
          </w:rPr>
          <w:t>270/2015</w:t>
        </w:r>
      </w:hyperlink>
      <w:r>
        <w:t>, VP.</w:t>
      </w:r>
    </w:p>
    <w:p w:rsidR="00981775" w:rsidRDefault="00981775" w:rsidP="00981775">
      <w:pPr>
        <w:pStyle w:val="SangriaFrancesaArticulo"/>
      </w:pPr>
      <w:r w:rsidRPr="00981775">
        <w:rPr>
          <w:rStyle w:val="TextoNormalNegritaCaracter"/>
        </w:rPr>
        <w:t>Disposición adicional tercera.</w:t>
      </w:r>
      <w:r w:rsidRPr="00981775">
        <w:rPr>
          <w:rStyle w:val="TextoNormalCaracter"/>
        </w:rPr>
        <w:t>-</w:t>
      </w:r>
      <w:r>
        <w:t xml:space="preserve"> Sentencia </w:t>
      </w:r>
      <w:hyperlink w:anchor="SENTENCIA_2015_270" w:history="1">
        <w:r w:rsidRPr="00981775">
          <w:rPr>
            <w:rStyle w:val="TextoNormalCaracter"/>
          </w:rPr>
          <w:t>270/2015</w:t>
        </w:r>
      </w:hyperlink>
      <w:r>
        <w:t>, f. 1.</w:t>
      </w:r>
    </w:p>
    <w:p w:rsidR="00981775" w:rsidRDefault="00981775" w:rsidP="00981775">
      <w:pPr>
        <w:pStyle w:val="SangriaFrancesaArticulo"/>
      </w:pPr>
    </w:p>
    <w:p w:rsidR="00981775" w:rsidRDefault="00981775" w:rsidP="00981775">
      <w:pPr>
        <w:pStyle w:val="TextoNormalNegritaCursivandice"/>
      </w:pPr>
      <w:r>
        <w:t>Real Decreto 1713/2010, de 17 de diciembre. Modifica el Real Decreto 2066/2008, de 12 de diciembre, por el que se regula el Plan Estatal de Vivienda y Rehabilitación 2009-2012</w:t>
      </w:r>
    </w:p>
    <w:p w:rsidR="00981775" w:rsidRDefault="00981775" w:rsidP="00981775">
      <w:pPr>
        <w:pStyle w:val="SangriaFrancesaArticulo"/>
      </w:pPr>
      <w:r w:rsidRPr="00981775">
        <w:rPr>
          <w:rStyle w:val="TextoNormalNegritaCaracter"/>
        </w:rPr>
        <w:t>Disposición transitoria primera.</w:t>
      </w:r>
      <w:r w:rsidRPr="00981775">
        <w:rPr>
          <w:rStyle w:val="TextoNormalCaracter"/>
        </w:rPr>
        <w:t>-</w:t>
      </w:r>
      <w:r>
        <w:t xml:space="preserve"> Sentencias </w:t>
      </w:r>
      <w:hyperlink w:anchor="SENTENCIA_2015_216" w:history="1">
        <w:r w:rsidRPr="00981775">
          <w:rPr>
            <w:rStyle w:val="TextoNormalCaracter"/>
          </w:rPr>
          <w:t>216/2015</w:t>
        </w:r>
      </w:hyperlink>
      <w:r>
        <w:t xml:space="preserve">, f. 3; </w:t>
      </w:r>
      <w:hyperlink w:anchor="SENTENCIA_2015_267" w:history="1">
        <w:r w:rsidRPr="00981775">
          <w:rPr>
            <w:rStyle w:val="TextoNormalCaracter"/>
          </w:rPr>
          <w:t>267/2015</w:t>
        </w:r>
      </w:hyperlink>
      <w:r>
        <w:t xml:space="preserve">, f. 1; </w:t>
      </w:r>
      <w:hyperlink w:anchor="SENTENCIA_2015_268" w:history="1">
        <w:r w:rsidRPr="00981775">
          <w:rPr>
            <w:rStyle w:val="TextoNormalCaracter"/>
          </w:rPr>
          <w:t>268/2015</w:t>
        </w:r>
      </w:hyperlink>
      <w:r>
        <w:t>, f. 1.</w:t>
      </w:r>
    </w:p>
    <w:p w:rsidR="00981775" w:rsidRDefault="00981775" w:rsidP="00981775">
      <w:pPr>
        <w:pStyle w:val="SangriaFrancesaArticulo"/>
      </w:pPr>
    </w:p>
    <w:p w:rsidR="00981775" w:rsidRDefault="00981775" w:rsidP="00981775">
      <w:pPr>
        <w:pStyle w:val="TextoNormalNegritaCursivandice"/>
      </w:pPr>
      <w:r>
        <w:t>Resolución de 18 de marzo de 2011, del Servicio Público de Empleo Estatal. Aprueba la convocatoria para la concesión, con cargo al ejercicio presupuestario de 2011, de subvenciones públicas para la ejecución de planes de formación, de ámbito estatal, dirigidos prioritariamente a las personas ocupadas, en aplicación de la Orden TAS/718/2008, de 7 de marzo, por la que se regula la formación de oferta y se establecen las bases reguladoras para la concesión de subvenciones públicas destinadas a su financiación</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85" w:history="1">
        <w:r w:rsidRPr="00981775">
          <w:rPr>
            <w:rStyle w:val="TextoNormalCaracter"/>
          </w:rPr>
          <w:t>185/2015</w:t>
        </w:r>
      </w:hyperlink>
      <w:r>
        <w:t>, f. 3.</w:t>
      </w:r>
    </w:p>
    <w:p w:rsidR="00981775" w:rsidRDefault="00981775" w:rsidP="00981775">
      <w:pPr>
        <w:pStyle w:val="SangriaFrancesaArticulo"/>
      </w:pPr>
    </w:p>
    <w:p w:rsidR="00981775" w:rsidRDefault="00981775" w:rsidP="00981775">
      <w:pPr>
        <w:pStyle w:val="TextoNormalNegritaCursivandice"/>
      </w:pPr>
      <w:r>
        <w:t>Real Decreto 1329/2011, de 26 de septiembre. Disolución del Congreso de los Diputados y del Senado y de convocatoria de elecciones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15" w:history="1">
        <w:r w:rsidRPr="00981775">
          <w:rPr>
            <w:rStyle w:val="TextoNormalCaracter"/>
          </w:rPr>
          <w:t>215/2015</w:t>
        </w:r>
      </w:hyperlink>
      <w:r>
        <w:t>, ff. 2, 4.</w:t>
      </w:r>
    </w:p>
    <w:p w:rsidR="00981775" w:rsidRDefault="00981775" w:rsidP="00981775">
      <w:pPr>
        <w:pStyle w:val="SangriaFrancesaArticulo"/>
      </w:pPr>
    </w:p>
    <w:p w:rsidR="00981775" w:rsidRDefault="00981775" w:rsidP="00981775">
      <w:pPr>
        <w:pStyle w:val="TextoNormalNegritaCursivandice"/>
      </w:pPr>
      <w:r>
        <w:t>Real Decreto 1498/2011, de 21 de octubre. En ejecución de sentencia, se integran en la Administración del Estado los medios personales y materiales traspasados a la Comunidad Autónoma de Andalucía por el Real Decreto 1666/2008, de 17 de octubre</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96" w:history="1">
        <w:r w:rsidRPr="00981775">
          <w:rPr>
            <w:rStyle w:val="TextoNormalCaracter"/>
          </w:rPr>
          <w:t>196/2015</w:t>
        </w:r>
      </w:hyperlink>
      <w:r>
        <w:t>, ff. 4, 6.</w:t>
      </w:r>
    </w:p>
    <w:p w:rsidR="00981775" w:rsidRDefault="00981775" w:rsidP="00981775">
      <w:pPr>
        <w:pStyle w:val="SangriaFrancesaArticulo"/>
      </w:pPr>
    </w:p>
    <w:p w:rsidR="00981775" w:rsidRDefault="00981775" w:rsidP="00981775">
      <w:pPr>
        <w:pStyle w:val="TextoNormalNegritaCursivandice"/>
      </w:pPr>
      <w:r>
        <w:t>Resolución de 13 de junio de 2013, de la Secretaría General de Coordinación Autonómica y Local. Acuerdo de la Comisión Bilateral de Cooperación Administración del Estado-Administración de la Comunidad Autónoma del País Vasco en relación con el Real Decreto-ley 4/2013, de 22 de febrero, de medidas de apoyo al emprendedor y de estímulo del crecimiento y de la creación de empleo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97" w:history="1">
        <w:r w:rsidRPr="00981775">
          <w:rPr>
            <w:rStyle w:val="TextoNormalCaracter"/>
          </w:rPr>
          <w:t>197/2015</w:t>
        </w:r>
      </w:hyperlink>
      <w:r>
        <w:t>, f. 2.</w:t>
      </w:r>
    </w:p>
    <w:p w:rsidR="00981775" w:rsidRDefault="00981775" w:rsidP="00981775">
      <w:pPr>
        <w:pStyle w:val="SangriaFrancesaArticulo"/>
      </w:pPr>
    </w:p>
    <w:p w:rsidR="00981775" w:rsidRDefault="00981775" w:rsidP="00981775">
      <w:pPr>
        <w:pStyle w:val="TextoNormalNegritaCursivandice"/>
      </w:pPr>
      <w:r>
        <w:t>Real Decreto 413/2014, de 6 de junio.  Regula la actividad de producción de energía eléctrica a partir de fuentes de energía renovables, cogeneración y residuos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70" w:history="1">
        <w:r w:rsidRPr="00981775">
          <w:rPr>
            <w:rStyle w:val="TextoNormalCaracter"/>
          </w:rPr>
          <w:t>270/2015</w:t>
        </w:r>
      </w:hyperlink>
      <w:r>
        <w:t>, f. 7, VP.</w:t>
      </w:r>
    </w:p>
    <w:p w:rsidR="00981775" w:rsidRDefault="00981775" w:rsidP="00981775">
      <w:pPr>
        <w:pStyle w:val="SangriaFrancesaArticulo"/>
      </w:pPr>
    </w:p>
    <w:p w:rsidR="00981775" w:rsidRDefault="00981775" w:rsidP="00981775">
      <w:pPr>
        <w:pStyle w:val="TextoNormalNegritaCursivandice"/>
      </w:pPr>
      <w:r>
        <w:t>Real Decreto 876/2014, de 10 de octubre. Se aprueba el Reglamento General de Costas</w:t>
      </w:r>
    </w:p>
    <w:p w:rsidR="00981775" w:rsidRDefault="00981775" w:rsidP="00981775">
      <w:pPr>
        <w:pStyle w:val="SangriaFrancesaArticulo"/>
      </w:pPr>
      <w:r w:rsidRPr="00981775">
        <w:rPr>
          <w:rStyle w:val="TextoNormalNegritaCaracter"/>
        </w:rPr>
        <w:t>Artículo 4 a).</w:t>
      </w:r>
      <w:r w:rsidRPr="00981775">
        <w:rPr>
          <w:rStyle w:val="TextoNormalCaracter"/>
        </w:rPr>
        <w:t>-</w:t>
      </w:r>
      <w:r>
        <w:t xml:space="preserve"> Sentencia </w:t>
      </w:r>
      <w:hyperlink w:anchor="SENTENCIA_2015_233" w:history="1">
        <w:r w:rsidRPr="00981775">
          <w:rPr>
            <w:rStyle w:val="TextoNormalCaracter"/>
          </w:rPr>
          <w:t>233/2015</w:t>
        </w:r>
      </w:hyperlink>
      <w:r>
        <w:t>, f. 3.</w:t>
      </w:r>
    </w:p>
    <w:p w:rsidR="00981775" w:rsidRDefault="00981775" w:rsidP="00981775">
      <w:pPr>
        <w:pStyle w:val="SangriaFrancesaArticulo"/>
      </w:pPr>
      <w:r w:rsidRPr="00981775">
        <w:rPr>
          <w:rStyle w:val="TextoNormalNegritaCaracter"/>
        </w:rPr>
        <w:t>Artículo 4 c).</w:t>
      </w:r>
      <w:r w:rsidRPr="00981775">
        <w:rPr>
          <w:rStyle w:val="TextoNormalCaracter"/>
        </w:rPr>
        <w:t>-</w:t>
      </w:r>
      <w:r>
        <w:t xml:space="preserve"> Sentencia </w:t>
      </w:r>
      <w:hyperlink w:anchor="SENTENCIA_2015_233" w:history="1">
        <w:r w:rsidRPr="00981775">
          <w:rPr>
            <w:rStyle w:val="TextoNormalCaracter"/>
          </w:rPr>
          <w:t>233/2015</w:t>
        </w:r>
      </w:hyperlink>
      <w:r>
        <w:t>, f. 3.</w:t>
      </w:r>
    </w:p>
    <w:p w:rsidR="00981775" w:rsidRDefault="00981775" w:rsidP="00981775">
      <w:pPr>
        <w:pStyle w:val="SangriaFrancesaArticulo"/>
      </w:pPr>
      <w:r w:rsidRPr="00981775">
        <w:rPr>
          <w:rStyle w:val="TextoNormalNegritaCaracter"/>
        </w:rPr>
        <w:t>Artículo 26.1.</w:t>
      </w:r>
      <w:r w:rsidRPr="00981775">
        <w:rPr>
          <w:rStyle w:val="TextoNormalCaracter"/>
        </w:rPr>
        <w:t>-</w:t>
      </w:r>
      <w:r>
        <w:t xml:space="preserve"> Sentencia </w:t>
      </w:r>
      <w:hyperlink w:anchor="SENTENCIA_2015_233" w:history="1">
        <w:r w:rsidRPr="00981775">
          <w:rPr>
            <w:rStyle w:val="TextoNormalCaracter"/>
          </w:rPr>
          <w:t>233/2015</w:t>
        </w:r>
      </w:hyperlink>
      <w:r>
        <w:t>, f. 14.</w:t>
      </w:r>
    </w:p>
    <w:p w:rsidR="00981775" w:rsidRDefault="00981775" w:rsidP="00981775">
      <w:pPr>
        <w:pStyle w:val="SangriaFrancesaArticulo"/>
      </w:pPr>
      <w:r w:rsidRPr="00981775">
        <w:rPr>
          <w:rStyle w:val="TextoNormalNegritaCaracter"/>
        </w:rPr>
        <w:t>Disposición transitoria segunda, apartado 1.</w:t>
      </w:r>
      <w:r w:rsidRPr="00981775">
        <w:rPr>
          <w:rStyle w:val="TextoNormalCaracter"/>
        </w:rPr>
        <w:t>-</w:t>
      </w:r>
      <w:r>
        <w:t xml:space="preserve"> Sentencia </w:t>
      </w:r>
      <w:hyperlink w:anchor="SENTENCIA_2015_233" w:history="1">
        <w:r w:rsidRPr="00981775">
          <w:rPr>
            <w:rStyle w:val="TextoNormalCaracter"/>
          </w:rPr>
          <w:t>233/2015</w:t>
        </w:r>
      </w:hyperlink>
      <w:r>
        <w:t>, f. 10.</w:t>
      </w:r>
    </w:p>
    <w:p w:rsidR="00981775" w:rsidRDefault="00981775" w:rsidP="00981775">
      <w:pPr>
        <w:pStyle w:val="SangriaFrancesaArticulo"/>
      </w:pPr>
    </w:p>
    <w:p w:rsidR="00981775" w:rsidRDefault="00981775" w:rsidP="00981775">
      <w:pPr>
        <w:pStyle w:val="TextoNormalNegritaCursivandice"/>
      </w:pPr>
      <w:r>
        <w:t>Resolución conjunta de 29 de diciembre de 2014, de las Secretarías de Estado de Presupuestos y Gastos y de Administraciones Públicas. Instrucciones para la aplicación efectiva, en el ámbito del sector público estatal, de las previsiones de la disposición adicional décima segunda, de la Ley 36/2014, de 26 de diciembre, de Presupuestos Generales del Estado para 2014</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61" w:history="1">
        <w:r w:rsidRPr="00981775">
          <w:rPr>
            <w:rStyle w:val="TextoNormalCaracter"/>
          </w:rPr>
          <w:t>161/2015</w:t>
        </w:r>
      </w:hyperlink>
      <w:r>
        <w:t>, f. 3.</w:t>
      </w:r>
    </w:p>
    <w:p w:rsidR="00981775" w:rsidRDefault="00981775" w:rsidP="00981775">
      <w:pPr>
        <w:pStyle w:val="SangriaFrancesaArticulo"/>
      </w:pPr>
    </w:p>
    <w:p w:rsidR="00981775" w:rsidRDefault="00981775" w:rsidP="00981775">
      <w:pPr>
        <w:pStyle w:val="TextoNormalNegritaCursivandice"/>
      </w:pPr>
      <w:r>
        <w:t>Orden FOM/710/2015, de 30 de enero. Aprobación del Catálogo de líneas y tramos de la Red Ferroviaria de Interés General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97" w:history="1">
        <w:r w:rsidRPr="00981775">
          <w:rPr>
            <w:rStyle w:val="TextoNormalCaracter"/>
          </w:rPr>
          <w:t>197/2015</w:t>
        </w:r>
      </w:hyperlink>
      <w:r>
        <w:t>, f. 6, VP I, VP II.</w:t>
      </w:r>
    </w:p>
    <w:p w:rsidR="00981775" w:rsidRDefault="00981775" w:rsidP="00981775">
      <w:pPr>
        <w:pStyle w:val="SangriaFrancesaArticulo"/>
      </w:pPr>
    </w:p>
    <w:p w:rsidR="00981775" w:rsidRDefault="00981775" w:rsidP="00981775">
      <w:pPr>
        <w:pStyle w:val="TextoNormalNegritaCursivandice"/>
      </w:pPr>
      <w:r>
        <w:t>Real Decreto 43/2015, de 2 de febrero. Modifica el Real Decreto 1393/2007, de 29 de octubre, por el que se establece la ordenación de las enseñanzas universitarias oficiales, y el Real Decreto 99/2011, de 28 de enero, por el que se regulan las enseñanzas oficiales de doctorado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6" w:history="1">
        <w:r w:rsidRPr="00981775">
          <w:rPr>
            <w:rStyle w:val="TextoNormalCaracter"/>
          </w:rPr>
          <w:t>176/2015</w:t>
        </w:r>
      </w:hyperlink>
      <w:r>
        <w:t>, f. 4.</w:t>
      </w:r>
    </w:p>
    <w:p w:rsidR="00981775" w:rsidRDefault="00981775" w:rsidP="00981775">
      <w:pPr>
        <w:pStyle w:val="SangriaFrancesaArticulo"/>
      </w:pPr>
      <w:r w:rsidRPr="00981775">
        <w:rPr>
          <w:rStyle w:val="TextoNormalNegritaCaracter"/>
        </w:rPr>
        <w:t>Artículo 1.2.</w:t>
      </w:r>
      <w:r w:rsidRPr="00981775">
        <w:rPr>
          <w:rStyle w:val="TextoNormalCaracter"/>
        </w:rPr>
        <w:t>-</w:t>
      </w:r>
      <w:r>
        <w:t xml:space="preserve"> Sentencia </w:t>
      </w:r>
      <w:hyperlink w:anchor="SENTENCIA_2015_176" w:history="1">
        <w:r w:rsidRPr="00981775">
          <w:rPr>
            <w:rStyle w:val="TextoNormalCaracter"/>
          </w:rPr>
          <w:t>176/2015</w:t>
        </w:r>
      </w:hyperlink>
      <w:r>
        <w:t>, f. 4.</w:t>
      </w:r>
    </w:p>
    <w:p w:rsidR="00981775" w:rsidRDefault="00981775" w:rsidP="00981775">
      <w:pPr>
        <w:pStyle w:val="SangriaFrancesaArticulo"/>
      </w:pPr>
    </w:p>
    <w:p w:rsidR="00981775" w:rsidRDefault="00981775" w:rsidP="00981775">
      <w:pPr>
        <w:pStyle w:val="TextoNormalNegritaCursivandice"/>
      </w:pPr>
      <w:r>
        <w:t>Real Decreto 415/2015, de 29 de mayo. Modifica el Real Decreto 1312/2007, de 5 de octubre, por el que se establece la acreditación nacional para el acceso a los cuerpos docentes universitarios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6" w:history="1">
        <w:r w:rsidRPr="00981775">
          <w:rPr>
            <w:rStyle w:val="TextoNormalCaracter"/>
          </w:rPr>
          <w:t>176/2015</w:t>
        </w:r>
      </w:hyperlink>
      <w:r>
        <w:t>, VP.</w:t>
      </w:r>
    </w:p>
    <w:p w:rsidR="00981775" w:rsidRDefault="00981775" w:rsidP="00981775">
      <w:pPr>
        <w:pStyle w:val="SangriaFrancesaArticulo"/>
      </w:pPr>
      <w:r w:rsidRPr="00981775">
        <w:rPr>
          <w:rStyle w:val="TextoNormalNegritaCaracter"/>
        </w:rPr>
        <w:t>Artículo 4.2.</w:t>
      </w:r>
      <w:r w:rsidRPr="00981775">
        <w:rPr>
          <w:rStyle w:val="TextoNormalCaracter"/>
        </w:rPr>
        <w:t>-</w:t>
      </w:r>
      <w:r>
        <w:t xml:space="preserve"> Sentencia </w:t>
      </w:r>
      <w:hyperlink w:anchor="SENTENCIA_2015_176" w:history="1">
        <w:r w:rsidRPr="00981775">
          <w:rPr>
            <w:rStyle w:val="TextoNormalCaracter"/>
          </w:rPr>
          <w:t>176/2015</w:t>
        </w:r>
      </w:hyperlink>
      <w:r>
        <w:t>, f. 7.</w:t>
      </w:r>
    </w:p>
    <w:p w:rsidR="00981775" w:rsidRDefault="00981775" w:rsidP="00981775">
      <w:pPr>
        <w:pStyle w:val="TextoNormal"/>
      </w:pPr>
    </w:p>
    <w:p w:rsidR="00981775" w:rsidRDefault="00981775" w:rsidP="00981775">
      <w:pPr>
        <w:pStyle w:val="SangriaFrancesaArticulo"/>
      </w:pPr>
      <w:bookmarkStart w:id="256" w:name="INDICE22850"/>
    </w:p>
    <w:bookmarkEnd w:id="256"/>
    <w:p w:rsidR="00981775" w:rsidRDefault="00981775" w:rsidP="00981775">
      <w:pPr>
        <w:pStyle w:val="TextoIndiceNivel2"/>
        <w:suppressAutoHyphens/>
      </w:pPr>
      <w:r>
        <w:t>I) Legislación preconstitucional</w:t>
      </w:r>
    </w:p>
    <w:p w:rsidR="00981775" w:rsidRDefault="00981775" w:rsidP="00981775">
      <w:pPr>
        <w:pStyle w:val="TextoIndiceNivel2"/>
      </w:pPr>
    </w:p>
    <w:p w:rsidR="00981775" w:rsidRDefault="00981775" w:rsidP="00981775">
      <w:pPr>
        <w:pStyle w:val="TextoNormalNegritaCursivandice"/>
      </w:pPr>
      <w:r>
        <w:t>Real Decreto de 14 de septiembre de 1882. Ley de enjuiciamiento criminal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17" w:history="1">
        <w:r w:rsidRPr="00981775">
          <w:rPr>
            <w:rStyle w:val="TextoNormalCaracter"/>
          </w:rPr>
          <w:t>217/2015</w:t>
        </w:r>
      </w:hyperlink>
      <w:r>
        <w:t>, f. 1.</w:t>
      </w:r>
    </w:p>
    <w:p w:rsidR="00981775" w:rsidRDefault="00981775" w:rsidP="00981775">
      <w:pPr>
        <w:pStyle w:val="SangriaFrancesaArticulo"/>
      </w:pPr>
      <w:r w:rsidRPr="00981775">
        <w:rPr>
          <w:rStyle w:val="TextoNormalNegritaCaracter"/>
        </w:rPr>
        <w:t>Artículo 14.</w:t>
      </w:r>
      <w:r w:rsidRPr="00981775">
        <w:rPr>
          <w:rStyle w:val="TextoNormalCaracter"/>
        </w:rPr>
        <w:t>-</w:t>
      </w:r>
      <w:r>
        <w:t xml:space="preserve"> Sentencia </w:t>
      </w:r>
      <w:hyperlink w:anchor="SENTENCIA_2015_266" w:history="1">
        <w:r w:rsidRPr="00981775">
          <w:rPr>
            <w:rStyle w:val="TextoNormalCaracter"/>
          </w:rPr>
          <w:t>266/2015</w:t>
        </w:r>
      </w:hyperlink>
      <w:r>
        <w:t>, f. 2.</w:t>
      </w:r>
    </w:p>
    <w:p w:rsidR="00981775" w:rsidRDefault="00981775" w:rsidP="00981775">
      <w:pPr>
        <w:pStyle w:val="SangriaFrancesaArticulo"/>
      </w:pPr>
      <w:r w:rsidRPr="00981775">
        <w:rPr>
          <w:rStyle w:val="TextoNormalNegritaCaracter"/>
        </w:rPr>
        <w:t>Artículos 107 a 113.</w:t>
      </w:r>
      <w:r w:rsidRPr="00981775">
        <w:rPr>
          <w:rStyle w:val="TextoNormalCaracter"/>
        </w:rPr>
        <w:t>-</w:t>
      </w:r>
      <w:r>
        <w:t xml:space="preserve"> Sentencia </w:t>
      </w:r>
      <w:hyperlink w:anchor="SENTENCIA_2015_266" w:history="1">
        <w:r w:rsidRPr="00981775">
          <w:rPr>
            <w:rStyle w:val="TextoNormalCaracter"/>
          </w:rPr>
          <w:t>266/2015</w:t>
        </w:r>
      </w:hyperlink>
      <w:r>
        <w:t>, f. 2.</w:t>
      </w:r>
    </w:p>
    <w:p w:rsidR="00981775" w:rsidRDefault="00981775" w:rsidP="00981775">
      <w:pPr>
        <w:pStyle w:val="SangriaFrancesaArticulo"/>
      </w:pPr>
      <w:r w:rsidRPr="00981775">
        <w:rPr>
          <w:rStyle w:val="TextoNormalNegritaCaracter"/>
        </w:rPr>
        <w:t>Artículo 118, párrafo 3.</w:t>
      </w:r>
      <w:r w:rsidRPr="00981775">
        <w:rPr>
          <w:rStyle w:val="TextoNormalCaracter"/>
        </w:rPr>
        <w:t>-</w:t>
      </w:r>
      <w:r>
        <w:t xml:space="preserve"> Sentencia </w:t>
      </w:r>
      <w:hyperlink w:anchor="SENTENCIA_2015_194" w:history="1">
        <w:r w:rsidRPr="00981775">
          <w:rPr>
            <w:rStyle w:val="TextoNormalCaracter"/>
          </w:rPr>
          <w:t>194/2015</w:t>
        </w:r>
      </w:hyperlink>
      <w:r>
        <w:t>, f. 4.</w:t>
      </w:r>
    </w:p>
    <w:p w:rsidR="00981775" w:rsidRDefault="00981775" w:rsidP="00981775">
      <w:pPr>
        <w:pStyle w:val="SangriaFrancesaArticulo"/>
      </w:pPr>
      <w:r w:rsidRPr="00981775">
        <w:rPr>
          <w:rStyle w:val="TextoNormalNegritaCaracter"/>
        </w:rPr>
        <w:t>Artículo 118, parrafo 4.</w:t>
      </w:r>
      <w:r w:rsidRPr="00981775">
        <w:rPr>
          <w:rStyle w:val="TextoNormalCaracter"/>
        </w:rPr>
        <w:t>-</w:t>
      </w:r>
      <w:r>
        <w:t xml:space="preserve"> Sentencia </w:t>
      </w:r>
      <w:hyperlink w:anchor="SENTENCIA_2015_194" w:history="1">
        <w:r w:rsidRPr="00981775">
          <w:rPr>
            <w:rStyle w:val="TextoNormalCaracter"/>
          </w:rPr>
          <w:t>194/2015</w:t>
        </w:r>
      </w:hyperlink>
      <w:r>
        <w:t>, f. 4.</w:t>
      </w:r>
    </w:p>
    <w:p w:rsidR="00981775" w:rsidRDefault="00981775" w:rsidP="00981775">
      <w:pPr>
        <w:pStyle w:val="SangriaFrancesaArticulo"/>
      </w:pPr>
      <w:r w:rsidRPr="00981775">
        <w:rPr>
          <w:rStyle w:val="TextoNormalNegritaCaracter"/>
        </w:rPr>
        <w:t>Artículo 144.</w:t>
      </w:r>
      <w:r w:rsidRPr="00981775">
        <w:rPr>
          <w:rStyle w:val="TextoNormalCaracter"/>
        </w:rPr>
        <w:t>-</w:t>
      </w:r>
      <w:r>
        <w:t xml:space="preserve"> Sentencia </w:t>
      </w:r>
      <w:hyperlink w:anchor="SENTENCIA_2015_217" w:history="1">
        <w:r w:rsidRPr="00981775">
          <w:rPr>
            <w:rStyle w:val="TextoNormalCaracter"/>
          </w:rPr>
          <w:t>217/2015</w:t>
        </w:r>
      </w:hyperlink>
      <w:r>
        <w:t>, f. 3.</w:t>
      </w:r>
    </w:p>
    <w:p w:rsidR="00981775" w:rsidRDefault="00981775" w:rsidP="00981775">
      <w:pPr>
        <w:pStyle w:val="SangriaFrancesaArticulo"/>
      </w:pPr>
      <w:r w:rsidRPr="00981775">
        <w:rPr>
          <w:rStyle w:val="TextoNormalNegritaCaracter"/>
        </w:rPr>
        <w:t>Artículo 230.</w:t>
      </w:r>
      <w:r w:rsidRPr="00981775">
        <w:rPr>
          <w:rStyle w:val="TextoNormalCaracter"/>
        </w:rPr>
        <w:t>-</w:t>
      </w:r>
      <w:r>
        <w:t xml:space="preserve"> Sentencia </w:t>
      </w:r>
      <w:hyperlink w:anchor="SENTENCIA_2015_194" w:history="1">
        <w:r w:rsidRPr="00981775">
          <w:rPr>
            <w:rStyle w:val="TextoNormalCaracter"/>
          </w:rPr>
          <w:t>194/2015</w:t>
        </w:r>
      </w:hyperlink>
      <w:r>
        <w:t>, f. 6.</w:t>
      </w:r>
    </w:p>
    <w:p w:rsidR="00981775" w:rsidRDefault="00981775" w:rsidP="00981775">
      <w:pPr>
        <w:pStyle w:val="SangriaFrancesaArticulo"/>
      </w:pPr>
      <w:r w:rsidRPr="00981775">
        <w:rPr>
          <w:rStyle w:val="TextoNormalNegritaCaracter"/>
        </w:rPr>
        <w:t>Artículo 283.6.</w:t>
      </w:r>
      <w:r w:rsidRPr="00981775">
        <w:rPr>
          <w:rStyle w:val="TextoNormalCaracter"/>
        </w:rPr>
        <w:t>-</w:t>
      </w:r>
      <w:r>
        <w:t xml:space="preserve"> Sentencia </w:t>
      </w:r>
      <w:hyperlink w:anchor="SENTENCIA_2015_214" w:history="1">
        <w:r w:rsidRPr="00981775">
          <w:rPr>
            <w:rStyle w:val="TextoNormalCaracter"/>
          </w:rPr>
          <w:t>214/2015</w:t>
        </w:r>
      </w:hyperlink>
      <w:r>
        <w:t>, f. 4.</w:t>
      </w:r>
    </w:p>
    <w:p w:rsidR="00981775" w:rsidRDefault="00981775" w:rsidP="00981775">
      <w:pPr>
        <w:pStyle w:val="SangriaFrancesaArticulo"/>
      </w:pPr>
      <w:r w:rsidRPr="00981775">
        <w:rPr>
          <w:rStyle w:val="TextoNormalNegritaCaracter"/>
        </w:rPr>
        <w:t>Artículo 381.</w:t>
      </w:r>
      <w:r w:rsidRPr="00981775">
        <w:rPr>
          <w:rStyle w:val="TextoNormalCaracter"/>
        </w:rPr>
        <w:t>-</w:t>
      </w:r>
      <w:r>
        <w:t xml:space="preserve"> Sentencia </w:t>
      </w:r>
      <w:hyperlink w:anchor="SENTENCIA_2015_217" w:history="1">
        <w:r w:rsidRPr="00981775">
          <w:rPr>
            <w:rStyle w:val="TextoNormalCaracter"/>
          </w:rPr>
          <w:t>217/2015</w:t>
        </w:r>
      </w:hyperlink>
      <w:r>
        <w:t>, f. 4.</w:t>
      </w:r>
    </w:p>
    <w:p w:rsidR="00981775" w:rsidRDefault="00981775" w:rsidP="00981775">
      <w:pPr>
        <w:pStyle w:val="SangriaFrancesaArticulo"/>
      </w:pPr>
      <w:r w:rsidRPr="00981775">
        <w:rPr>
          <w:rStyle w:val="TextoNormalNegritaCaracter"/>
        </w:rPr>
        <w:t>Artículo 503.</w:t>
      </w:r>
      <w:r w:rsidRPr="00981775">
        <w:rPr>
          <w:rStyle w:val="TextoNormalCaracter"/>
        </w:rPr>
        <w:t>-</w:t>
      </w:r>
      <w:r>
        <w:t xml:space="preserve"> Sentencia </w:t>
      </w:r>
      <w:hyperlink w:anchor="SENTENCIA_2015_261" w:history="1">
        <w:r w:rsidRPr="00981775">
          <w:rPr>
            <w:rStyle w:val="TextoNormalCaracter"/>
          </w:rPr>
          <w:t>261/2015</w:t>
        </w:r>
      </w:hyperlink>
      <w:r>
        <w:t>, f. 6.</w:t>
      </w:r>
    </w:p>
    <w:p w:rsidR="00981775" w:rsidRDefault="00981775" w:rsidP="00981775">
      <w:pPr>
        <w:pStyle w:val="SangriaFrancesaArticulo"/>
      </w:pPr>
      <w:r w:rsidRPr="00981775">
        <w:rPr>
          <w:rStyle w:val="TextoNormalNegritaCaracter"/>
        </w:rPr>
        <w:t>Artículo 503.1.2.</w:t>
      </w:r>
      <w:r w:rsidRPr="00981775">
        <w:rPr>
          <w:rStyle w:val="TextoNormalCaracter"/>
        </w:rPr>
        <w:t>-</w:t>
      </w:r>
      <w:r>
        <w:t xml:space="preserve"> Sentencia </w:t>
      </w:r>
      <w:hyperlink w:anchor="SENTENCIA_2015_217" w:history="1">
        <w:r w:rsidRPr="00981775">
          <w:rPr>
            <w:rStyle w:val="TextoNormalCaracter"/>
          </w:rPr>
          <w:t>217/2015</w:t>
        </w:r>
      </w:hyperlink>
      <w:r>
        <w:t>, f. 3.</w:t>
      </w:r>
    </w:p>
    <w:p w:rsidR="00981775" w:rsidRDefault="00981775" w:rsidP="00981775">
      <w:pPr>
        <w:pStyle w:val="SangriaFrancesaArticulo"/>
      </w:pPr>
      <w:r w:rsidRPr="00981775">
        <w:rPr>
          <w:rStyle w:val="TextoNormalNegritaCaracter"/>
        </w:rPr>
        <w:t xml:space="preserve">Artículo 504.2 </w:t>
      </w:r>
      <w:r w:rsidRPr="00981775">
        <w:rPr>
          <w:rStyle w:val="TextoNormalNegritaCursivaCaracter"/>
        </w:rPr>
        <w:t>in fine</w:t>
      </w:r>
      <w:r w:rsidRPr="00981775">
        <w:rPr>
          <w:rStyle w:val="TextoNormalNegritaCaracter"/>
        </w:rPr>
        <w:t>.</w:t>
      </w:r>
      <w:r w:rsidRPr="00981775">
        <w:rPr>
          <w:rStyle w:val="TextoNormalCaracter"/>
        </w:rPr>
        <w:t>-</w:t>
      </w:r>
      <w:r>
        <w:t xml:space="preserve"> Sentencia </w:t>
      </w:r>
      <w:hyperlink w:anchor="SENTENCIA_2015_217" w:history="1">
        <w:r w:rsidRPr="00981775">
          <w:rPr>
            <w:rStyle w:val="TextoNormalCaracter"/>
          </w:rPr>
          <w:t>217/2015</w:t>
        </w:r>
      </w:hyperlink>
      <w:r>
        <w:t>, ff. 3, 4.</w:t>
      </w:r>
    </w:p>
    <w:p w:rsidR="00981775" w:rsidRDefault="00981775" w:rsidP="00981775">
      <w:pPr>
        <w:pStyle w:val="SangriaFrancesaArticulo"/>
      </w:pPr>
      <w:r w:rsidRPr="00981775">
        <w:rPr>
          <w:rStyle w:val="TextoNormalNegritaCaracter"/>
        </w:rPr>
        <w:t>Artículo 615.</w:t>
      </w:r>
      <w:r w:rsidRPr="00981775">
        <w:rPr>
          <w:rStyle w:val="TextoNormalCaracter"/>
        </w:rPr>
        <w:t>-</w:t>
      </w:r>
      <w:r>
        <w:t xml:space="preserve"> Sentencia </w:t>
      </w:r>
      <w:hyperlink w:anchor="SENTENCIA_2015_266" w:history="1">
        <w:r w:rsidRPr="00981775">
          <w:rPr>
            <w:rStyle w:val="TextoNormalCaracter"/>
          </w:rPr>
          <w:t>266/2015</w:t>
        </w:r>
      </w:hyperlink>
      <w:r>
        <w:t>, f. 5.</w:t>
      </w:r>
    </w:p>
    <w:p w:rsidR="00981775" w:rsidRDefault="00981775" w:rsidP="00981775">
      <w:pPr>
        <w:pStyle w:val="SangriaFrancesaArticulo"/>
      </w:pPr>
      <w:r w:rsidRPr="00981775">
        <w:rPr>
          <w:rStyle w:val="TextoNormalNegritaCaracter"/>
        </w:rPr>
        <w:t>Artículo 791.1.</w:t>
      </w:r>
      <w:r w:rsidRPr="00981775">
        <w:rPr>
          <w:rStyle w:val="TextoNormalCaracter"/>
        </w:rPr>
        <w:t>-</w:t>
      </w:r>
      <w:r>
        <w:t xml:space="preserve"> Sentencia </w:t>
      </w:r>
      <w:hyperlink w:anchor="SENTENCIA_2015_194" w:history="1">
        <w:r w:rsidRPr="00981775">
          <w:rPr>
            <w:rStyle w:val="TextoNormalCaracter"/>
          </w:rPr>
          <w:t>194/2015</w:t>
        </w:r>
      </w:hyperlink>
      <w:r>
        <w:t>, f. 4.</w:t>
      </w:r>
    </w:p>
    <w:p w:rsidR="00981775" w:rsidRDefault="00981775" w:rsidP="00981775">
      <w:pPr>
        <w:pStyle w:val="SangriaFrancesaArticulo"/>
      </w:pPr>
      <w:r w:rsidRPr="00981775">
        <w:rPr>
          <w:rStyle w:val="TextoNormalNegritaCaracter"/>
        </w:rPr>
        <w:t>Artículo 791.2.</w:t>
      </w:r>
      <w:r w:rsidRPr="00981775">
        <w:rPr>
          <w:rStyle w:val="TextoNormalCaracter"/>
        </w:rPr>
        <w:t>-</w:t>
      </w:r>
      <w:r>
        <w:t xml:space="preserve"> Sentencia </w:t>
      </w:r>
      <w:hyperlink w:anchor="SENTENCIA_2015_194" w:history="1">
        <w:r w:rsidRPr="00981775">
          <w:rPr>
            <w:rStyle w:val="TextoNormalCaracter"/>
          </w:rPr>
          <w:t>194/2015</w:t>
        </w:r>
      </w:hyperlink>
      <w:r>
        <w:t>, f. 6.</w:t>
      </w:r>
    </w:p>
    <w:p w:rsidR="00981775" w:rsidRDefault="00981775" w:rsidP="00981775">
      <w:pPr>
        <w:pStyle w:val="SangriaFrancesaArticulo"/>
      </w:pPr>
      <w:r w:rsidRPr="00981775">
        <w:rPr>
          <w:rStyle w:val="TextoNormalNegritaCaracter"/>
        </w:rPr>
        <w:t>Artículo 795.6.</w:t>
      </w:r>
      <w:r w:rsidRPr="00981775">
        <w:rPr>
          <w:rStyle w:val="TextoNormalCaracter"/>
        </w:rPr>
        <w:t>-</w:t>
      </w:r>
      <w:r>
        <w:t xml:space="preserve"> Sentencia </w:t>
      </w:r>
      <w:hyperlink w:anchor="SENTENCIA_2015_194" w:history="1">
        <w:r w:rsidRPr="00981775">
          <w:rPr>
            <w:rStyle w:val="TextoNormalCaracter"/>
          </w:rPr>
          <w:t>194/2015</w:t>
        </w:r>
      </w:hyperlink>
      <w:r>
        <w:t>, f. 4.</w:t>
      </w:r>
    </w:p>
    <w:p w:rsidR="00981775" w:rsidRDefault="00981775" w:rsidP="00981775">
      <w:pPr>
        <w:pStyle w:val="SangriaFrancesaArticulo"/>
      </w:pPr>
      <w:r w:rsidRPr="00981775">
        <w:rPr>
          <w:rStyle w:val="TextoNormalNegritaCaracter"/>
        </w:rPr>
        <w:t>Artículo 846 bis.</w:t>
      </w:r>
      <w:r w:rsidRPr="00981775">
        <w:rPr>
          <w:rStyle w:val="TextoNormalCaracter"/>
        </w:rPr>
        <w:t>-</w:t>
      </w:r>
      <w:r>
        <w:t xml:space="preserve"> Sentencia </w:t>
      </w:r>
      <w:hyperlink w:anchor="SENTENCIA_2015_194" w:history="1">
        <w:r w:rsidRPr="00981775">
          <w:rPr>
            <w:rStyle w:val="TextoNormalCaracter"/>
          </w:rPr>
          <w:t>194/2015</w:t>
        </w:r>
      </w:hyperlink>
      <w:r>
        <w:t>, f. 6.</w:t>
      </w:r>
    </w:p>
    <w:p w:rsidR="00981775" w:rsidRDefault="00981775" w:rsidP="00981775">
      <w:pPr>
        <w:pStyle w:val="SangriaFrancesaArticulo"/>
      </w:pPr>
      <w:r w:rsidRPr="00981775">
        <w:rPr>
          <w:rStyle w:val="TextoNormalNegritaCaracter"/>
        </w:rPr>
        <w:t>Artículo 846 bis b).</w:t>
      </w:r>
      <w:r w:rsidRPr="00981775">
        <w:rPr>
          <w:rStyle w:val="TextoNormalCaracter"/>
        </w:rPr>
        <w:t>-</w:t>
      </w:r>
      <w:r>
        <w:t xml:space="preserve"> Sentencia </w:t>
      </w:r>
      <w:hyperlink w:anchor="SENTENCIA_2015_217" w:history="1">
        <w:r w:rsidRPr="00981775">
          <w:rPr>
            <w:rStyle w:val="TextoNormalCaracter"/>
          </w:rPr>
          <w:t>217/2015</w:t>
        </w:r>
      </w:hyperlink>
      <w:r>
        <w:t>, f. 3.</w:t>
      </w:r>
    </w:p>
    <w:p w:rsidR="00981775" w:rsidRDefault="00981775" w:rsidP="00981775">
      <w:pPr>
        <w:pStyle w:val="SangriaFrancesaArticulo"/>
      </w:pPr>
      <w:r w:rsidRPr="00981775">
        <w:rPr>
          <w:rStyle w:val="TextoNormalNegritaCaracter"/>
        </w:rPr>
        <w:t>Artículo 846 bis d).</w:t>
      </w:r>
      <w:r w:rsidRPr="00981775">
        <w:rPr>
          <w:rStyle w:val="TextoNormalCaracter"/>
        </w:rPr>
        <w:t>-</w:t>
      </w:r>
      <w:r>
        <w:t xml:space="preserve"> Sentencia </w:t>
      </w:r>
      <w:hyperlink w:anchor="SENTENCIA_2015_194" w:history="1">
        <w:r w:rsidRPr="00981775">
          <w:rPr>
            <w:rStyle w:val="TextoNormalCaracter"/>
          </w:rPr>
          <w:t>194/2015</w:t>
        </w:r>
      </w:hyperlink>
      <w:r>
        <w:t>, ff. 1, 6.</w:t>
      </w:r>
    </w:p>
    <w:p w:rsidR="00981775" w:rsidRDefault="00981775" w:rsidP="00981775">
      <w:pPr>
        <w:pStyle w:val="SangriaFrancesaArticulo"/>
      </w:pPr>
      <w:r w:rsidRPr="00981775">
        <w:rPr>
          <w:rStyle w:val="TextoNormalNegritaCaracter"/>
        </w:rPr>
        <w:t>Artículo 846 bis e).</w:t>
      </w:r>
      <w:r w:rsidRPr="00981775">
        <w:rPr>
          <w:rStyle w:val="TextoNormalCaracter"/>
        </w:rPr>
        <w:t>-</w:t>
      </w:r>
      <w:r>
        <w:t xml:space="preserve"> Sentencia </w:t>
      </w:r>
      <w:hyperlink w:anchor="SENTENCIA_2015_194" w:history="1">
        <w:r w:rsidRPr="00981775">
          <w:rPr>
            <w:rStyle w:val="TextoNormalCaracter"/>
          </w:rPr>
          <w:t>194/2015</w:t>
        </w:r>
      </w:hyperlink>
      <w:r>
        <w:t>, ff. 1, 4, 6.</w:t>
      </w:r>
    </w:p>
    <w:p w:rsidR="00981775" w:rsidRDefault="00981775" w:rsidP="00981775">
      <w:pPr>
        <w:pStyle w:val="SangriaFrancesaArticulo"/>
      </w:pPr>
      <w:r w:rsidRPr="00981775">
        <w:rPr>
          <w:rStyle w:val="TextoNormalNegritaCaracter"/>
        </w:rPr>
        <w:t>Artículo 894.</w:t>
      </w:r>
      <w:r w:rsidRPr="00981775">
        <w:rPr>
          <w:rStyle w:val="TextoNormalCaracter"/>
        </w:rPr>
        <w:t>-</w:t>
      </w:r>
      <w:r>
        <w:t xml:space="preserve"> Sentencia </w:t>
      </w:r>
      <w:hyperlink w:anchor="SENTENCIA_2015_194" w:history="1">
        <w:r w:rsidRPr="00981775">
          <w:rPr>
            <w:rStyle w:val="TextoNormalCaracter"/>
          </w:rPr>
          <w:t>194/2015</w:t>
        </w:r>
      </w:hyperlink>
      <w:r>
        <w:t>, ff. 1, 6.</w:t>
      </w:r>
    </w:p>
    <w:p w:rsidR="00981775" w:rsidRDefault="00981775" w:rsidP="00981775">
      <w:pPr>
        <w:pStyle w:val="SangriaFrancesaArticulo"/>
      </w:pPr>
      <w:r w:rsidRPr="00981775">
        <w:rPr>
          <w:rStyle w:val="TextoNormalNegritaCaracter"/>
        </w:rPr>
        <w:t>Artículo 902.</w:t>
      </w:r>
      <w:r w:rsidRPr="00981775">
        <w:rPr>
          <w:rStyle w:val="TextoNormalCaracter"/>
        </w:rPr>
        <w:t>-</w:t>
      </w:r>
      <w:r>
        <w:t xml:space="preserve"> Sentencia </w:t>
      </w:r>
      <w:hyperlink w:anchor="SENTENCIA_2015_223" w:history="1">
        <w:r w:rsidRPr="00981775">
          <w:rPr>
            <w:rStyle w:val="TextoNormalCaracter"/>
          </w:rPr>
          <w:t>223/2015</w:t>
        </w:r>
      </w:hyperlink>
      <w:r>
        <w:t>, f. 2.</w:t>
      </w:r>
    </w:p>
    <w:p w:rsidR="00981775" w:rsidRDefault="00981775" w:rsidP="00981775">
      <w:pPr>
        <w:pStyle w:val="SangriaFrancesaArticulo"/>
      </w:pPr>
    </w:p>
    <w:p w:rsidR="00981775" w:rsidRDefault="00981775" w:rsidP="00981775">
      <w:pPr>
        <w:pStyle w:val="TextoNormalNegritaCursivandice"/>
      </w:pPr>
      <w:r>
        <w:t>Real Decreto de 24 de julio de 1889. Código civil</w:t>
      </w:r>
    </w:p>
    <w:p w:rsidR="00981775" w:rsidRDefault="00981775" w:rsidP="00981775">
      <w:pPr>
        <w:pStyle w:val="SangriaFrancesaArticulo"/>
      </w:pPr>
      <w:r w:rsidRPr="00981775">
        <w:rPr>
          <w:rStyle w:val="TextoNormalNegritaCaracter"/>
        </w:rPr>
        <w:t>Artículo 109.</w:t>
      </w:r>
      <w:r w:rsidRPr="00981775">
        <w:rPr>
          <w:rStyle w:val="TextoNormalCaracter"/>
        </w:rPr>
        <w:t>-</w:t>
      </w:r>
      <w:r>
        <w:t xml:space="preserve"> Sentencia </w:t>
      </w:r>
      <w:hyperlink w:anchor="SENTENCIA_2015_242" w:history="1">
        <w:r w:rsidRPr="00981775">
          <w:rPr>
            <w:rStyle w:val="TextoNormalCaracter"/>
          </w:rPr>
          <w:t>242/2015</w:t>
        </w:r>
      </w:hyperlink>
      <w:r>
        <w:t>, f. 1.</w:t>
      </w:r>
    </w:p>
    <w:p w:rsidR="00981775" w:rsidRDefault="00981775" w:rsidP="00981775">
      <w:pPr>
        <w:pStyle w:val="SangriaFrancesaArticulo"/>
      </w:pPr>
      <w:r w:rsidRPr="00981775">
        <w:rPr>
          <w:rStyle w:val="TextoNormalNegritaCaracter"/>
        </w:rPr>
        <w:t>Artículo 109</w:t>
      </w:r>
      <w:r>
        <w:t xml:space="preserve"> (redactado por la Ley 40/1999, de 5 de noviembre)</w:t>
      </w:r>
      <w:r w:rsidRPr="00981775">
        <w:rPr>
          <w:rStyle w:val="TextoNormalNegritaCaracter"/>
        </w:rPr>
        <w:t>.</w:t>
      </w:r>
      <w:r w:rsidRPr="00981775">
        <w:rPr>
          <w:rStyle w:val="TextoNormalCaracter"/>
        </w:rPr>
        <w:t>-</w:t>
      </w:r>
      <w:r>
        <w:t xml:space="preserve"> Sentencia </w:t>
      </w:r>
      <w:hyperlink w:anchor="SENTENCIA_2015_242" w:history="1">
        <w:r w:rsidRPr="00981775">
          <w:rPr>
            <w:rStyle w:val="TextoNormalCaracter"/>
          </w:rPr>
          <w:t>242/2015</w:t>
        </w:r>
      </w:hyperlink>
      <w:r>
        <w:t>, f. 4.</w:t>
      </w:r>
    </w:p>
    <w:p w:rsidR="00981775" w:rsidRDefault="00981775" w:rsidP="00981775">
      <w:pPr>
        <w:pStyle w:val="SangriaFrancesaArticulo"/>
      </w:pPr>
      <w:r w:rsidRPr="00981775">
        <w:rPr>
          <w:rStyle w:val="TextoNormalNegritaCaracter"/>
        </w:rPr>
        <w:t>Artículo 109 párrafo 2.</w:t>
      </w:r>
      <w:r w:rsidRPr="00981775">
        <w:rPr>
          <w:rStyle w:val="TextoNormalCaracter"/>
        </w:rPr>
        <w:t>-</w:t>
      </w:r>
      <w:r>
        <w:t xml:space="preserve"> Sentencia </w:t>
      </w:r>
      <w:hyperlink w:anchor="SENTENCIA_2015_242" w:history="1">
        <w:r w:rsidRPr="00981775">
          <w:rPr>
            <w:rStyle w:val="TextoNormalCaracter"/>
          </w:rPr>
          <w:t>242/2015</w:t>
        </w:r>
      </w:hyperlink>
      <w:r>
        <w:t>, f. 4.</w:t>
      </w:r>
    </w:p>
    <w:p w:rsidR="00981775" w:rsidRDefault="00981775" w:rsidP="00981775">
      <w:pPr>
        <w:pStyle w:val="SangriaFrancesaArticulo"/>
      </w:pPr>
    </w:p>
    <w:p w:rsidR="00981775" w:rsidRDefault="00981775" w:rsidP="00981775">
      <w:pPr>
        <w:pStyle w:val="TextoNormalNegritaCursivandice"/>
      </w:pPr>
      <w:r>
        <w:t>Decreto de 8 de febrero de 1946. Texto refundido de la Ley hipotecaria</w:t>
      </w:r>
    </w:p>
    <w:p w:rsidR="00981775" w:rsidRDefault="00981775" w:rsidP="00981775">
      <w:pPr>
        <w:pStyle w:val="SangriaFrancesaArticulo"/>
      </w:pPr>
      <w:r w:rsidRPr="00981775">
        <w:rPr>
          <w:rStyle w:val="TextoNormalNegritaCaracter"/>
        </w:rPr>
        <w:t>Artículo 19 bis.</w:t>
      </w:r>
      <w:r w:rsidRPr="00981775">
        <w:rPr>
          <w:rStyle w:val="TextoNormalCaracter"/>
        </w:rPr>
        <w:t>-</w:t>
      </w:r>
      <w:r>
        <w:t xml:space="preserve"> Auto </w:t>
      </w:r>
      <w:hyperlink w:anchor="AUTO_2015_185" w:history="1">
        <w:r w:rsidRPr="00981775">
          <w:rPr>
            <w:rStyle w:val="TextoNormalCaracter"/>
          </w:rPr>
          <w:t>185/2015</w:t>
        </w:r>
      </w:hyperlink>
      <w:r>
        <w:t>, f. 5.</w:t>
      </w:r>
    </w:p>
    <w:p w:rsidR="00981775" w:rsidRDefault="00981775" w:rsidP="00981775">
      <w:pPr>
        <w:pStyle w:val="SangriaFrancesaArticulo"/>
      </w:pPr>
      <w:r w:rsidRPr="00981775">
        <w:rPr>
          <w:rStyle w:val="TextoNormalNegritaCaracter"/>
        </w:rPr>
        <w:t>Artículo 34.</w:t>
      </w:r>
      <w:r w:rsidRPr="00981775">
        <w:rPr>
          <w:rStyle w:val="TextoNormalCaracter"/>
        </w:rPr>
        <w:t>-</w:t>
      </w:r>
      <w:r>
        <w:t xml:space="preserve"> Sentencia </w:t>
      </w:r>
      <w:hyperlink w:anchor="SENTENCIA_2015_233" w:history="1">
        <w:r w:rsidRPr="00981775">
          <w:rPr>
            <w:rStyle w:val="TextoNormalCaracter"/>
          </w:rPr>
          <w:t>233/2015</w:t>
        </w:r>
      </w:hyperlink>
      <w:r>
        <w:t>, f. 10.</w:t>
      </w:r>
    </w:p>
    <w:p w:rsidR="00981775" w:rsidRDefault="00981775" w:rsidP="00981775">
      <w:pPr>
        <w:pStyle w:val="SangriaFrancesaArticulo"/>
      </w:pPr>
      <w:r w:rsidRPr="00981775">
        <w:rPr>
          <w:rStyle w:val="TextoNormalNegritaCaracter"/>
        </w:rPr>
        <w:t>Artículo 134.</w:t>
      </w:r>
      <w:r w:rsidRPr="00981775">
        <w:rPr>
          <w:rStyle w:val="TextoNormalCaracter"/>
        </w:rPr>
        <w:t>-</w:t>
      </w:r>
      <w:r>
        <w:t xml:space="preserve"> Sentencia </w:t>
      </w:r>
      <w:hyperlink w:anchor="SENTENCIA_2015_208" w:history="1">
        <w:r w:rsidRPr="00981775">
          <w:rPr>
            <w:rStyle w:val="TextoNormalCaracter"/>
          </w:rPr>
          <w:t>208/2015</w:t>
        </w:r>
      </w:hyperlink>
      <w:r>
        <w:t>, f. 4.</w:t>
      </w:r>
    </w:p>
    <w:p w:rsidR="00981775" w:rsidRDefault="00981775" w:rsidP="00981775">
      <w:pPr>
        <w:pStyle w:val="SangriaFrancesaArticulo"/>
      </w:pPr>
      <w:r w:rsidRPr="00981775">
        <w:rPr>
          <w:rStyle w:val="TextoNormalNegritaCaracter"/>
        </w:rPr>
        <w:t>Artículo 275 bis.</w:t>
      </w:r>
      <w:r w:rsidRPr="00981775">
        <w:rPr>
          <w:rStyle w:val="TextoNormalCaracter"/>
        </w:rPr>
        <w:t>-</w:t>
      </w:r>
      <w:r>
        <w:t xml:space="preserve"> Auto </w:t>
      </w:r>
      <w:hyperlink w:anchor="AUTO_2015_185" w:history="1">
        <w:r w:rsidRPr="00981775">
          <w:rPr>
            <w:rStyle w:val="TextoNormalCaracter"/>
          </w:rPr>
          <w:t>185/2015</w:t>
        </w:r>
      </w:hyperlink>
      <w:r>
        <w:t>, f. 5.</w:t>
      </w:r>
    </w:p>
    <w:p w:rsidR="00981775" w:rsidRDefault="00981775" w:rsidP="00981775">
      <w:pPr>
        <w:pStyle w:val="SangriaFrancesaArticulo"/>
      </w:pPr>
    </w:p>
    <w:p w:rsidR="00981775" w:rsidRDefault="00981775" w:rsidP="00981775">
      <w:pPr>
        <w:pStyle w:val="TextoNormalNegritaCursivandice"/>
      </w:pPr>
      <w:r>
        <w:t>Ley de 16 de diciembre de 1954. Expropiación forzosa</w:t>
      </w:r>
    </w:p>
    <w:p w:rsidR="00981775" w:rsidRDefault="00981775" w:rsidP="00981775">
      <w:pPr>
        <w:pStyle w:val="SangriaFrancesaArticulo"/>
      </w:pPr>
      <w:r w:rsidRPr="00981775">
        <w:rPr>
          <w:rStyle w:val="TextoNormalNegritaCaracter"/>
        </w:rPr>
        <w:t>Artículo 36.1.</w:t>
      </w:r>
      <w:r w:rsidRPr="00981775">
        <w:rPr>
          <w:rStyle w:val="TextoNormalCaracter"/>
        </w:rPr>
        <w:t>-</w:t>
      </w:r>
      <w:r>
        <w:t xml:space="preserve"> Sentencia </w:t>
      </w:r>
      <w:hyperlink w:anchor="SENTENCIA_2015_218" w:history="1">
        <w:r w:rsidRPr="00981775">
          <w:rPr>
            <w:rStyle w:val="TextoNormalCaracter"/>
          </w:rPr>
          <w:t>218/2015</w:t>
        </w:r>
      </w:hyperlink>
      <w:r>
        <w:t>, f. 2.</w:t>
      </w:r>
    </w:p>
    <w:p w:rsidR="00981775" w:rsidRDefault="00981775" w:rsidP="00981775">
      <w:pPr>
        <w:pStyle w:val="SangriaFrancesaArticulo"/>
      </w:pPr>
    </w:p>
    <w:p w:rsidR="00981775" w:rsidRDefault="00981775" w:rsidP="00981775">
      <w:pPr>
        <w:pStyle w:val="TextoNormalNegritaCursivandice"/>
      </w:pPr>
      <w:r>
        <w:t>Decreto de 24 de junio de 1955. Texto refundido de la Ley de régimen local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54" w:history="1">
        <w:r w:rsidRPr="00981775">
          <w:rPr>
            <w:rStyle w:val="TextoNormalCaracter"/>
          </w:rPr>
          <w:t>154/2015</w:t>
        </w:r>
      </w:hyperlink>
      <w:r>
        <w:t>, f. 6.</w:t>
      </w:r>
    </w:p>
    <w:p w:rsidR="00981775" w:rsidRDefault="00981775" w:rsidP="00981775">
      <w:pPr>
        <w:pStyle w:val="SangriaFrancesaArticulo"/>
      </w:pPr>
    </w:p>
    <w:p w:rsidR="00981775" w:rsidRDefault="00981775" w:rsidP="00981775">
      <w:pPr>
        <w:pStyle w:val="TextoNormalNegritaCursivandice"/>
      </w:pPr>
      <w:r>
        <w:t>Ley de 8 de junio de 1957. Registro Civil</w:t>
      </w:r>
    </w:p>
    <w:p w:rsidR="00981775" w:rsidRDefault="00981775" w:rsidP="00981775">
      <w:pPr>
        <w:pStyle w:val="SangriaFrancesaArticulo"/>
      </w:pPr>
      <w:r w:rsidRPr="00981775">
        <w:rPr>
          <w:rStyle w:val="TextoNormalNegritaCaracter"/>
        </w:rPr>
        <w:t>Artículo 49.</w:t>
      </w:r>
      <w:r w:rsidRPr="00981775">
        <w:rPr>
          <w:rStyle w:val="TextoNormalCaracter"/>
        </w:rPr>
        <w:t>-</w:t>
      </w:r>
      <w:r>
        <w:t xml:space="preserve"> Sentencia </w:t>
      </w:r>
      <w:hyperlink w:anchor="SENTENCIA_2015_242" w:history="1">
        <w:r w:rsidRPr="00981775">
          <w:rPr>
            <w:rStyle w:val="TextoNormalCaracter"/>
          </w:rPr>
          <w:t>242/2015</w:t>
        </w:r>
      </w:hyperlink>
      <w:r>
        <w:t>, f. 4.</w:t>
      </w:r>
    </w:p>
    <w:p w:rsidR="00981775" w:rsidRDefault="00981775" w:rsidP="00981775">
      <w:pPr>
        <w:pStyle w:val="SangriaFrancesaArticulo"/>
      </w:pPr>
      <w:r w:rsidRPr="00981775">
        <w:rPr>
          <w:rStyle w:val="TextoNormalNegritaCaracter"/>
        </w:rPr>
        <w:t>Artículo 53.</w:t>
      </w:r>
      <w:r w:rsidRPr="00981775">
        <w:rPr>
          <w:rStyle w:val="TextoNormalCaracter"/>
        </w:rPr>
        <w:t>-</w:t>
      </w:r>
      <w:r>
        <w:t xml:space="preserve"> Sentencia </w:t>
      </w:r>
      <w:hyperlink w:anchor="SENTENCIA_2015_242" w:history="1">
        <w:r w:rsidRPr="00981775">
          <w:rPr>
            <w:rStyle w:val="TextoNormalCaracter"/>
          </w:rPr>
          <w:t>242/2015</w:t>
        </w:r>
      </w:hyperlink>
      <w:r>
        <w:t>, f. 4.</w:t>
      </w:r>
    </w:p>
    <w:p w:rsidR="00981775" w:rsidRDefault="00981775" w:rsidP="00981775">
      <w:pPr>
        <w:pStyle w:val="SangriaFrancesaArticulo"/>
      </w:pPr>
    </w:p>
    <w:p w:rsidR="00981775" w:rsidRDefault="00981775" w:rsidP="00981775">
      <w:pPr>
        <w:pStyle w:val="TextoNormalNegritaCursivandice"/>
      </w:pPr>
      <w:r>
        <w:t>Ley de 17 de julio de 1958. Procedimiento administrativo</w:t>
      </w:r>
    </w:p>
    <w:p w:rsidR="00981775" w:rsidRDefault="00981775" w:rsidP="00981775">
      <w:pPr>
        <w:pStyle w:val="SangriaFrancesaArticulo"/>
      </w:pPr>
      <w:r w:rsidRPr="00981775">
        <w:rPr>
          <w:rStyle w:val="TextoNormalNegritaCaracter"/>
        </w:rPr>
        <w:t>Artículo 109.</w:t>
      </w:r>
      <w:r w:rsidRPr="00981775">
        <w:rPr>
          <w:rStyle w:val="TextoNormalCaracter"/>
        </w:rPr>
        <w:t>-</w:t>
      </w:r>
      <w:r>
        <w:t xml:space="preserve"> Sentencia </w:t>
      </w:r>
      <w:hyperlink w:anchor="SENTENCIA_2015_216" w:history="1">
        <w:r w:rsidRPr="00981775">
          <w:rPr>
            <w:rStyle w:val="TextoNormalCaracter"/>
          </w:rPr>
          <w:t>216/2015</w:t>
        </w:r>
      </w:hyperlink>
      <w:r>
        <w:t>, VP.</w:t>
      </w:r>
    </w:p>
    <w:p w:rsidR="00981775" w:rsidRDefault="00981775" w:rsidP="00981775">
      <w:pPr>
        <w:pStyle w:val="SangriaFrancesaArticulo"/>
      </w:pPr>
    </w:p>
    <w:p w:rsidR="00981775" w:rsidRDefault="00981775" w:rsidP="00981775">
      <w:pPr>
        <w:pStyle w:val="TextoNormalNegritaCursivandice"/>
      </w:pPr>
      <w:r>
        <w:t>Decreto de 14 de noviembre de 1958. Reglamento del Registro Civil</w:t>
      </w:r>
    </w:p>
    <w:p w:rsidR="00981775" w:rsidRDefault="00981775" w:rsidP="00981775">
      <w:pPr>
        <w:pStyle w:val="SangriaFrancesaArticulo"/>
      </w:pPr>
      <w:r w:rsidRPr="00981775">
        <w:rPr>
          <w:rStyle w:val="TextoNormalNegritaCaracter"/>
        </w:rPr>
        <w:t>Artículo 194.</w:t>
      </w:r>
      <w:r w:rsidRPr="00981775">
        <w:rPr>
          <w:rStyle w:val="TextoNormalCaracter"/>
        </w:rPr>
        <w:t>-</w:t>
      </w:r>
      <w:r>
        <w:t xml:space="preserve"> Sentencia </w:t>
      </w:r>
      <w:hyperlink w:anchor="SENTENCIA_2015_242" w:history="1">
        <w:r w:rsidRPr="00981775">
          <w:rPr>
            <w:rStyle w:val="TextoNormalCaracter"/>
          </w:rPr>
          <w:t>242/2015</w:t>
        </w:r>
      </w:hyperlink>
      <w:r>
        <w:t>, ff. 1, 4.</w:t>
      </w:r>
    </w:p>
    <w:p w:rsidR="00981775" w:rsidRDefault="00981775" w:rsidP="00981775">
      <w:pPr>
        <w:pStyle w:val="SangriaFrancesaArticulo"/>
      </w:pPr>
    </w:p>
    <w:p w:rsidR="00981775" w:rsidRDefault="00981775" w:rsidP="00981775">
      <w:pPr>
        <w:pStyle w:val="TextoNormalNegritaCursivandice"/>
      </w:pPr>
      <w:r>
        <w:t>Decreto 315/1964, de 7 de febrero. Ley articulada de funcionarios civiles del Estado</w:t>
      </w:r>
    </w:p>
    <w:p w:rsidR="00981775" w:rsidRDefault="00981775" w:rsidP="00981775">
      <w:pPr>
        <w:pStyle w:val="SangriaFrancesaArticulo"/>
      </w:pPr>
      <w:r w:rsidRPr="00981775">
        <w:rPr>
          <w:rStyle w:val="TextoNormalNegritaCaracter"/>
        </w:rPr>
        <w:t>Artículo 62.</w:t>
      </w:r>
      <w:r w:rsidRPr="00981775">
        <w:rPr>
          <w:rStyle w:val="TextoNormalCaracter"/>
        </w:rPr>
        <w:t>-</w:t>
      </w:r>
      <w:r>
        <w:t xml:space="preserve"> Auto </w:t>
      </w:r>
      <w:hyperlink w:anchor="AUTO_2015_188" w:history="1">
        <w:r w:rsidRPr="00981775">
          <w:rPr>
            <w:rStyle w:val="TextoNormalCaracter"/>
          </w:rPr>
          <w:t>188/2015</w:t>
        </w:r>
      </w:hyperlink>
      <w:r>
        <w:t>, ff. 1, 3.</w:t>
      </w:r>
    </w:p>
    <w:p w:rsidR="00981775" w:rsidRDefault="00981775" w:rsidP="00981775">
      <w:pPr>
        <w:pStyle w:val="SangriaFrancesaArticulo"/>
      </w:pPr>
    </w:p>
    <w:p w:rsidR="00981775" w:rsidRDefault="00981775" w:rsidP="00981775">
      <w:pPr>
        <w:pStyle w:val="TextoNormalNegritaCursivandice"/>
      </w:pPr>
      <w:r>
        <w:t>Ley 17/1967, de 8 de abril. Normas reguladoras de estupefacientes</w:t>
      </w:r>
    </w:p>
    <w:p w:rsidR="00981775" w:rsidRDefault="00981775" w:rsidP="00981775">
      <w:pPr>
        <w:pStyle w:val="SangriaFrancesaArticulo"/>
      </w:pPr>
      <w:r w:rsidRPr="00981775">
        <w:rPr>
          <w:rStyle w:val="TextoNormalNegritaCaracter"/>
        </w:rPr>
        <w:t>Artículo 22, inciso segundo.</w:t>
      </w:r>
      <w:r w:rsidRPr="00981775">
        <w:rPr>
          <w:rStyle w:val="TextoNormalCaracter"/>
        </w:rPr>
        <w:t>-</w:t>
      </w:r>
      <w:r>
        <w:t xml:space="preserve"> Auto </w:t>
      </w:r>
      <w:hyperlink w:anchor="AUTO_2015_170" w:history="1">
        <w:r w:rsidRPr="00981775">
          <w:rPr>
            <w:rStyle w:val="TextoNormalCaracter"/>
          </w:rPr>
          <w:t>170/2015</w:t>
        </w:r>
      </w:hyperlink>
      <w:r>
        <w:t>, f. 5.</w:t>
      </w:r>
    </w:p>
    <w:p w:rsidR="00981775" w:rsidRDefault="00981775" w:rsidP="00981775">
      <w:pPr>
        <w:pStyle w:val="SangriaFrancesaArticulo"/>
      </w:pPr>
    </w:p>
    <w:p w:rsidR="00981775" w:rsidRDefault="00981775" w:rsidP="00981775">
      <w:pPr>
        <w:pStyle w:val="TextoNormalNegritaCursivandice"/>
      </w:pPr>
      <w:r>
        <w:t>Ley 28/1969, de 26 de abril. Costas</w:t>
      </w:r>
    </w:p>
    <w:p w:rsidR="00981775" w:rsidRDefault="00981775" w:rsidP="00981775">
      <w:pPr>
        <w:pStyle w:val="SangriaFrancesaArticulo"/>
      </w:pPr>
      <w:r w:rsidRPr="00981775">
        <w:rPr>
          <w:rStyle w:val="TextoNormalNegritaCaracter"/>
        </w:rPr>
        <w:t>Artículo 1.</w:t>
      </w:r>
      <w:r w:rsidRPr="00981775">
        <w:rPr>
          <w:rStyle w:val="TextoNormalCaracter"/>
        </w:rPr>
        <w:t>-</w:t>
      </w:r>
      <w:r>
        <w:t xml:space="preserve"> Sentencia </w:t>
      </w:r>
      <w:hyperlink w:anchor="SENTENCIA_2015_233" w:history="1">
        <w:r w:rsidRPr="00981775">
          <w:rPr>
            <w:rStyle w:val="TextoNormalCaracter"/>
          </w:rPr>
          <w:t>233/2015</w:t>
        </w:r>
      </w:hyperlink>
      <w:r>
        <w:t>, f. 12.</w:t>
      </w:r>
    </w:p>
    <w:p w:rsidR="00981775" w:rsidRDefault="00981775" w:rsidP="00981775">
      <w:pPr>
        <w:pStyle w:val="SangriaFrancesaArticulo"/>
      </w:pPr>
    </w:p>
    <w:p w:rsidR="00981775" w:rsidRDefault="00981775" w:rsidP="00981775">
      <w:pPr>
        <w:pStyle w:val="TextoNormalNegritaCursivandice"/>
      </w:pPr>
      <w:r>
        <w:t>Ley 22/1973, de 21 de julio. Minas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Sentencias </w:t>
      </w:r>
      <w:hyperlink w:anchor="SENTENCIA_2015_235" w:history="1">
        <w:r w:rsidRPr="00981775">
          <w:rPr>
            <w:rStyle w:val="TextoNormalCaracter"/>
          </w:rPr>
          <w:t>235/2015</w:t>
        </w:r>
      </w:hyperlink>
      <w:r>
        <w:t xml:space="preserve">, ff. 2 a 5; </w:t>
      </w:r>
      <w:hyperlink w:anchor="SENTENCIA_2015_260" w:history="1">
        <w:r w:rsidRPr="00981775">
          <w:rPr>
            <w:rStyle w:val="TextoNormalCaracter"/>
          </w:rPr>
          <w:t>260/2015</w:t>
        </w:r>
      </w:hyperlink>
      <w:r>
        <w:t>, ff. 1, 3, 4.</w:t>
      </w:r>
    </w:p>
    <w:p w:rsidR="00981775" w:rsidRDefault="00981775" w:rsidP="00981775">
      <w:pPr>
        <w:pStyle w:val="SangriaFrancesaArticulo"/>
      </w:pPr>
      <w:r w:rsidRPr="00981775">
        <w:rPr>
          <w:rStyle w:val="TextoNormalNegritaCaracter"/>
        </w:rPr>
        <w:t>Artículo 37.</w:t>
      </w:r>
      <w:r w:rsidRPr="00981775">
        <w:rPr>
          <w:rStyle w:val="TextoNormalCaracter"/>
        </w:rPr>
        <w:t>-</w:t>
      </w:r>
      <w:r>
        <w:t xml:space="preserve"> Sentencia </w:t>
      </w:r>
      <w:hyperlink w:anchor="SENTENCIA_2015_235" w:history="1">
        <w:r w:rsidRPr="00981775">
          <w:rPr>
            <w:rStyle w:val="TextoNormalCaracter"/>
          </w:rPr>
          <w:t>235/2015</w:t>
        </w:r>
      </w:hyperlink>
      <w:r>
        <w:t>, f. 4.</w:t>
      </w:r>
    </w:p>
    <w:p w:rsidR="00981775" w:rsidRDefault="00981775" w:rsidP="00981775">
      <w:pPr>
        <w:pStyle w:val="SangriaFrancesaArticulo"/>
      </w:pPr>
      <w:r w:rsidRPr="00981775">
        <w:rPr>
          <w:rStyle w:val="TextoNormalNegritaCaracter"/>
        </w:rPr>
        <w:t>Artículo 37.2.</w:t>
      </w:r>
      <w:r w:rsidRPr="00981775">
        <w:rPr>
          <w:rStyle w:val="TextoNormalCaracter"/>
        </w:rPr>
        <w:t>-</w:t>
      </w:r>
      <w:r>
        <w:t xml:space="preserve"> Sentencias </w:t>
      </w:r>
      <w:hyperlink w:anchor="SENTENCIA_2015_235" w:history="1">
        <w:r w:rsidRPr="00981775">
          <w:rPr>
            <w:rStyle w:val="TextoNormalCaracter"/>
          </w:rPr>
          <w:t>235/2015</w:t>
        </w:r>
      </w:hyperlink>
      <w:r>
        <w:t xml:space="preserve">, f. 4; </w:t>
      </w:r>
      <w:hyperlink w:anchor="SENTENCIA_2015_260" w:history="1">
        <w:r w:rsidRPr="00981775">
          <w:rPr>
            <w:rStyle w:val="TextoNormalCaracter"/>
          </w:rPr>
          <w:t>260/2015</w:t>
        </w:r>
      </w:hyperlink>
      <w:r>
        <w:t>, f. 3.</w:t>
      </w:r>
    </w:p>
    <w:p w:rsidR="00981775" w:rsidRDefault="00981775" w:rsidP="00981775">
      <w:pPr>
        <w:pStyle w:val="SangriaFrancesaArticulo"/>
      </w:pPr>
      <w:r w:rsidRPr="00981775">
        <w:rPr>
          <w:rStyle w:val="TextoNormalNegritaCaracter"/>
        </w:rPr>
        <w:t>Artículos 37 a 39.</w:t>
      </w:r>
      <w:r w:rsidRPr="00981775">
        <w:rPr>
          <w:rStyle w:val="TextoNormalCaracter"/>
        </w:rPr>
        <w:t>-</w:t>
      </w:r>
      <w:r>
        <w:t xml:space="preserve"> Sentencia </w:t>
      </w:r>
      <w:hyperlink w:anchor="SENTENCIA_2015_260" w:history="1">
        <w:r w:rsidRPr="00981775">
          <w:rPr>
            <w:rStyle w:val="TextoNormalCaracter"/>
          </w:rPr>
          <w:t>260/2015</w:t>
        </w:r>
      </w:hyperlink>
      <w:r>
        <w:t>, f. 3.</w:t>
      </w:r>
    </w:p>
    <w:p w:rsidR="00981775" w:rsidRDefault="00981775" w:rsidP="00981775">
      <w:pPr>
        <w:pStyle w:val="SangriaFrancesaArticulo"/>
      </w:pPr>
      <w:r w:rsidRPr="00981775">
        <w:rPr>
          <w:rStyle w:val="TextoNormalNegritaCaracter"/>
        </w:rPr>
        <w:t>Artículo 38.</w:t>
      </w:r>
      <w:r w:rsidRPr="00981775">
        <w:rPr>
          <w:rStyle w:val="TextoNormalCaracter"/>
        </w:rPr>
        <w:t>-</w:t>
      </w:r>
      <w:r>
        <w:t xml:space="preserve"> Sentencia </w:t>
      </w:r>
      <w:hyperlink w:anchor="SENTENCIA_2015_235" w:history="1">
        <w:r w:rsidRPr="00981775">
          <w:rPr>
            <w:rStyle w:val="TextoNormalCaracter"/>
          </w:rPr>
          <w:t>235/2015</w:t>
        </w:r>
      </w:hyperlink>
      <w:r>
        <w:t>, f. 4.</w:t>
      </w:r>
    </w:p>
    <w:p w:rsidR="00981775" w:rsidRDefault="00981775" w:rsidP="00981775">
      <w:pPr>
        <w:pStyle w:val="SangriaFrancesaArticulo"/>
      </w:pPr>
      <w:r w:rsidRPr="00981775">
        <w:rPr>
          <w:rStyle w:val="TextoNormalNegritaCaracter"/>
        </w:rPr>
        <w:t>Artículo 38.1.</w:t>
      </w:r>
      <w:r w:rsidRPr="00981775">
        <w:rPr>
          <w:rStyle w:val="TextoNormalCaracter"/>
        </w:rPr>
        <w:t>-</w:t>
      </w:r>
      <w:r>
        <w:t xml:space="preserve"> Sentencias </w:t>
      </w:r>
      <w:hyperlink w:anchor="SENTENCIA_2015_235" w:history="1">
        <w:r w:rsidRPr="00981775">
          <w:rPr>
            <w:rStyle w:val="TextoNormalCaracter"/>
          </w:rPr>
          <w:t>235/2015</w:t>
        </w:r>
      </w:hyperlink>
      <w:r>
        <w:t xml:space="preserve">, f. 4; </w:t>
      </w:r>
      <w:hyperlink w:anchor="SENTENCIA_2015_260" w:history="1">
        <w:r w:rsidRPr="00981775">
          <w:rPr>
            <w:rStyle w:val="TextoNormalCaracter"/>
          </w:rPr>
          <w:t>260/2015</w:t>
        </w:r>
      </w:hyperlink>
      <w:r>
        <w:t>, f. 3.</w:t>
      </w:r>
    </w:p>
    <w:p w:rsidR="00981775" w:rsidRDefault="00981775" w:rsidP="00981775">
      <w:pPr>
        <w:pStyle w:val="SangriaFrancesaArticulo"/>
      </w:pPr>
      <w:r w:rsidRPr="00981775">
        <w:rPr>
          <w:rStyle w:val="TextoNormalNegritaCaracter"/>
        </w:rPr>
        <w:t>Artículo 39.</w:t>
      </w:r>
      <w:r w:rsidRPr="00981775">
        <w:rPr>
          <w:rStyle w:val="TextoNormalCaracter"/>
        </w:rPr>
        <w:t>-</w:t>
      </w:r>
      <w:r>
        <w:t xml:space="preserve"> Sentencias </w:t>
      </w:r>
      <w:hyperlink w:anchor="SENTENCIA_2015_235" w:history="1">
        <w:r w:rsidRPr="00981775">
          <w:rPr>
            <w:rStyle w:val="TextoNormalCaracter"/>
          </w:rPr>
          <w:t>235/2015</w:t>
        </w:r>
      </w:hyperlink>
      <w:r>
        <w:t xml:space="preserve">, ff. 3, 4; </w:t>
      </w:r>
      <w:hyperlink w:anchor="SENTENCIA_2015_260" w:history="1">
        <w:r w:rsidRPr="00981775">
          <w:rPr>
            <w:rStyle w:val="TextoNormalCaracter"/>
          </w:rPr>
          <w:t>260/2015</w:t>
        </w:r>
      </w:hyperlink>
      <w:r>
        <w:t>, f. 3.</w:t>
      </w:r>
    </w:p>
    <w:p w:rsidR="00981775" w:rsidRDefault="00981775" w:rsidP="00981775">
      <w:pPr>
        <w:pStyle w:val="SangriaFrancesaArticulo"/>
      </w:pPr>
      <w:r w:rsidRPr="00981775">
        <w:rPr>
          <w:rStyle w:val="TextoNormalNegritaCaracter"/>
        </w:rPr>
        <w:t>Artículo 39.3.</w:t>
      </w:r>
      <w:r w:rsidRPr="00981775">
        <w:rPr>
          <w:rStyle w:val="TextoNormalCaracter"/>
        </w:rPr>
        <w:t>-</w:t>
      </w:r>
      <w:r>
        <w:t xml:space="preserve"> Sentencias </w:t>
      </w:r>
      <w:hyperlink w:anchor="SENTENCIA_2015_235" w:history="1">
        <w:r w:rsidRPr="00981775">
          <w:rPr>
            <w:rStyle w:val="TextoNormalCaracter"/>
          </w:rPr>
          <w:t>235/2015</w:t>
        </w:r>
      </w:hyperlink>
      <w:r>
        <w:t xml:space="preserve">, ff. 1, 4, 5; </w:t>
      </w:r>
      <w:hyperlink w:anchor="SENTENCIA_2015_260" w:history="1">
        <w:r w:rsidRPr="00981775">
          <w:rPr>
            <w:rStyle w:val="TextoNormalCaracter"/>
          </w:rPr>
          <w:t>260/2015</w:t>
        </w:r>
      </w:hyperlink>
      <w:r>
        <w:t>, ff. 3, 4.</w:t>
      </w:r>
    </w:p>
    <w:p w:rsidR="00981775" w:rsidRDefault="00981775" w:rsidP="00981775">
      <w:pPr>
        <w:pStyle w:val="SangriaFrancesaArticulo"/>
      </w:pPr>
      <w:r w:rsidRPr="00981775">
        <w:rPr>
          <w:rStyle w:val="TextoNormalNegritaCaracter"/>
        </w:rPr>
        <w:t>Artículo 68.</w:t>
      </w:r>
      <w:r w:rsidRPr="00981775">
        <w:rPr>
          <w:rStyle w:val="TextoNormalCaracter"/>
        </w:rPr>
        <w:t>-</w:t>
      </w:r>
      <w:r>
        <w:t xml:space="preserve"> Sentencia </w:t>
      </w:r>
      <w:hyperlink w:anchor="SENTENCIA_2015_199" w:history="1">
        <w:r w:rsidRPr="00981775">
          <w:rPr>
            <w:rStyle w:val="TextoNormalCaracter"/>
          </w:rPr>
          <w:t>199/2015</w:t>
        </w:r>
      </w:hyperlink>
      <w:r>
        <w:t>, f. 2.</w:t>
      </w:r>
    </w:p>
    <w:p w:rsidR="00981775" w:rsidRDefault="00981775" w:rsidP="00981775">
      <w:pPr>
        <w:pStyle w:val="SangriaFrancesaArticulo"/>
      </w:pPr>
      <w:r w:rsidRPr="00981775">
        <w:rPr>
          <w:rStyle w:val="TextoNormalNegritaCaracter"/>
        </w:rPr>
        <w:t>Artículo 76.2</w:t>
      </w:r>
      <w:r>
        <w:t xml:space="preserve"> (redactado por el Real Decreto-ley 8/2014, de 4 de julio)</w:t>
      </w:r>
      <w:r w:rsidRPr="00981775">
        <w:rPr>
          <w:rStyle w:val="TextoNormalNegritaCaracter"/>
        </w:rPr>
        <w:t>.</w:t>
      </w:r>
      <w:r w:rsidRPr="00981775">
        <w:rPr>
          <w:rStyle w:val="TextoNormalCaracter"/>
        </w:rPr>
        <w:t>-</w:t>
      </w:r>
      <w:r>
        <w:t xml:space="preserve"> Sentencia </w:t>
      </w:r>
      <w:hyperlink w:anchor="SENTENCIA_2015_199" w:history="1">
        <w:r w:rsidRPr="00981775">
          <w:rPr>
            <w:rStyle w:val="TextoNormalCaracter"/>
          </w:rPr>
          <w:t>199/2015</w:t>
        </w:r>
      </w:hyperlink>
      <w:r>
        <w:t>, f. 8.</w:t>
      </w:r>
    </w:p>
    <w:p w:rsidR="00981775" w:rsidRDefault="00981775" w:rsidP="00981775">
      <w:pPr>
        <w:pStyle w:val="SangriaFrancesaArticulo"/>
      </w:pPr>
    </w:p>
    <w:p w:rsidR="00981775" w:rsidRDefault="00981775" w:rsidP="00981775">
      <w:pPr>
        <w:pStyle w:val="TextoNormalNegritaCursivandice"/>
      </w:pPr>
      <w:r>
        <w:t>Ley 2/1974, de 13 de febrero. Colegios profesionales</w:t>
      </w:r>
    </w:p>
    <w:p w:rsidR="00981775" w:rsidRDefault="00981775" w:rsidP="00981775">
      <w:pPr>
        <w:pStyle w:val="SangriaFrancesaArticulo"/>
      </w:pPr>
      <w:r w:rsidRPr="00981775">
        <w:rPr>
          <w:rStyle w:val="TextoNormalNegritaCaracter"/>
        </w:rPr>
        <w:t>Artículo 3.2</w:t>
      </w:r>
      <w:r>
        <w:t xml:space="preserve"> (redactado por el Real Decreto-ley 6/2000, de 23 de junio)</w:t>
      </w:r>
      <w:r w:rsidRPr="00981775">
        <w:rPr>
          <w:rStyle w:val="TextoNormalNegritaCaracter"/>
        </w:rPr>
        <w:t>.</w:t>
      </w:r>
      <w:r w:rsidRPr="00981775">
        <w:rPr>
          <w:rStyle w:val="TextoNormalCaracter"/>
        </w:rPr>
        <w:t>-</w:t>
      </w:r>
      <w:r>
        <w:t xml:space="preserve"> Sentencia </w:t>
      </w:r>
      <w:hyperlink w:anchor="SENTENCIA_2015_229" w:history="1">
        <w:r w:rsidRPr="00981775">
          <w:rPr>
            <w:rStyle w:val="TextoNormalCaracter"/>
          </w:rPr>
          <w:t>229/2015</w:t>
        </w:r>
      </w:hyperlink>
      <w:r>
        <w:t>, f. 7.</w:t>
      </w:r>
    </w:p>
    <w:p w:rsidR="00981775" w:rsidRDefault="00981775" w:rsidP="00981775">
      <w:pPr>
        <w:pStyle w:val="SangriaFrancesaArticulo"/>
      </w:pPr>
      <w:r w:rsidRPr="00981775">
        <w:rPr>
          <w:rStyle w:val="TextoNormalNegritaCaracter"/>
        </w:rPr>
        <w:t>Artículo 3.2</w:t>
      </w:r>
      <w:r>
        <w:t xml:space="preserve"> (redactado por la Ley 25/2009, de 22 de diciembre)</w:t>
      </w:r>
      <w:r w:rsidRPr="00981775">
        <w:rPr>
          <w:rStyle w:val="TextoNormalNegritaCaracter"/>
        </w:rPr>
        <w:t>.</w:t>
      </w:r>
      <w:r w:rsidRPr="00981775">
        <w:rPr>
          <w:rStyle w:val="TextoNormalCaracter"/>
        </w:rPr>
        <w:t>-</w:t>
      </w:r>
      <w:r>
        <w:t xml:space="preserve"> Sentencia </w:t>
      </w:r>
      <w:hyperlink w:anchor="SENTENCIA_2015_229" w:history="1">
        <w:r w:rsidRPr="00981775">
          <w:rPr>
            <w:rStyle w:val="TextoNormalCaracter"/>
          </w:rPr>
          <w:t>229/2015</w:t>
        </w:r>
      </w:hyperlink>
      <w:r>
        <w:t>, ff. 3, 6, 7.</w:t>
      </w:r>
    </w:p>
    <w:p w:rsidR="00981775" w:rsidRDefault="00981775" w:rsidP="00981775">
      <w:pPr>
        <w:pStyle w:val="SangriaFrancesaArticulo"/>
      </w:pPr>
      <w:r w:rsidRPr="00981775">
        <w:rPr>
          <w:rStyle w:val="TextoNormalNegritaCaracter"/>
        </w:rPr>
        <w:t>Artículo 5</w:t>
      </w:r>
      <w:r>
        <w:t xml:space="preserve"> (redactado por la Ley 25/2009, de 22 de diciembre)</w:t>
      </w:r>
      <w:r w:rsidRPr="00981775">
        <w:rPr>
          <w:rStyle w:val="TextoNormalNegritaCaracter"/>
        </w:rPr>
        <w:t>.</w:t>
      </w:r>
      <w:r w:rsidRPr="00981775">
        <w:rPr>
          <w:rStyle w:val="TextoNormalCaracter"/>
        </w:rPr>
        <w:t>-</w:t>
      </w:r>
      <w:r>
        <w:t xml:space="preserve"> Sentencia </w:t>
      </w:r>
      <w:hyperlink w:anchor="SENTENCIA_2015_229" w:history="1">
        <w:r w:rsidRPr="00981775">
          <w:rPr>
            <w:rStyle w:val="TextoNormalCaracter"/>
          </w:rPr>
          <w:t>229/2015</w:t>
        </w:r>
      </w:hyperlink>
      <w:r>
        <w:t>, f. 6.</w:t>
      </w:r>
    </w:p>
    <w:p w:rsidR="00981775" w:rsidRDefault="00981775" w:rsidP="00981775">
      <w:pPr>
        <w:pStyle w:val="SangriaFrancesaArticulo"/>
      </w:pPr>
    </w:p>
    <w:p w:rsidR="00981775" w:rsidRDefault="00981775" w:rsidP="00981775">
      <w:pPr>
        <w:pStyle w:val="TextoNormalNegritaCursivandice"/>
      </w:pPr>
      <w:r>
        <w:t>Real Decreto 2857/1978, de 25 de agosto. Aprueba el reglamento general para el régimen de la minería</w:t>
      </w:r>
    </w:p>
    <w:p w:rsidR="00981775" w:rsidRDefault="00981775" w:rsidP="00981775">
      <w:pPr>
        <w:pStyle w:val="SangriaFrancesaArticulo"/>
      </w:pPr>
      <w:r w:rsidRPr="00981775">
        <w:rPr>
          <w:rStyle w:val="TextoNormalNegritaCaracter"/>
        </w:rPr>
        <w:t>Artículo 57.3.</w:t>
      </w:r>
      <w:r w:rsidRPr="00981775">
        <w:rPr>
          <w:rStyle w:val="TextoNormalCaracter"/>
        </w:rPr>
        <w:t>-</w:t>
      </w:r>
      <w:r>
        <w:t xml:space="preserve"> Sentencia </w:t>
      </w:r>
      <w:hyperlink w:anchor="SENTENCIA_2015_235" w:history="1">
        <w:r w:rsidRPr="00981775">
          <w:rPr>
            <w:rStyle w:val="TextoNormalCaracter"/>
          </w:rPr>
          <w:t>235/2015</w:t>
        </w:r>
      </w:hyperlink>
      <w:r>
        <w:t>, f. 1.</w:t>
      </w:r>
    </w:p>
    <w:p w:rsidR="00981775" w:rsidRDefault="00981775" w:rsidP="00981775">
      <w:pPr>
        <w:pStyle w:val="SangriaFrancesaArticulo"/>
      </w:pPr>
      <w:r w:rsidRPr="00981775">
        <w:rPr>
          <w:rStyle w:val="TextoNormalNegritaCaracter"/>
        </w:rPr>
        <w:t>Artículo 98.</w:t>
      </w:r>
      <w:r w:rsidRPr="00981775">
        <w:rPr>
          <w:rStyle w:val="TextoNormalCaracter"/>
        </w:rPr>
        <w:t>-</w:t>
      </w:r>
      <w:r>
        <w:t xml:space="preserve"> Sentencias </w:t>
      </w:r>
      <w:hyperlink w:anchor="SENTENCIA_2015_235" w:history="1">
        <w:r w:rsidRPr="00981775">
          <w:rPr>
            <w:rStyle w:val="TextoNormalCaracter"/>
          </w:rPr>
          <w:t>235/2015</w:t>
        </w:r>
      </w:hyperlink>
      <w:r>
        <w:t xml:space="preserve">, f. 4; </w:t>
      </w:r>
      <w:hyperlink w:anchor="SENTENCIA_2015_260" w:history="1">
        <w:r w:rsidRPr="00981775">
          <w:rPr>
            <w:rStyle w:val="TextoNormalCaracter"/>
          </w:rPr>
          <w:t>260/2015</w:t>
        </w:r>
      </w:hyperlink>
      <w:r>
        <w:t>, f. 3.</w:t>
      </w:r>
    </w:p>
    <w:p w:rsidR="00981775" w:rsidRDefault="00981775" w:rsidP="00981775">
      <w:pPr>
        <w:pStyle w:val="TextoNormal"/>
      </w:pPr>
    </w:p>
    <w:p w:rsidR="00981775" w:rsidRDefault="00981775" w:rsidP="00981775">
      <w:pPr>
        <w:pStyle w:val="SangriaFrancesaArticulo"/>
      </w:pPr>
      <w:bookmarkStart w:id="257" w:name="INDICE22851"/>
    </w:p>
    <w:bookmarkEnd w:id="257"/>
    <w:p w:rsidR="00981775" w:rsidRDefault="00981775" w:rsidP="00981775">
      <w:pPr>
        <w:pStyle w:val="TextoIndiceNivel2"/>
        <w:suppressAutoHyphens/>
      </w:pPr>
      <w:r>
        <w:t>J) Comunidades y Ciudades Autónomas</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J.1) Andalucía</w:t>
      </w:r>
    </w:p>
    <w:p w:rsidR="00981775" w:rsidRDefault="00981775" w:rsidP="00981775">
      <w:pPr>
        <w:pStyle w:val="TextoNormal"/>
      </w:pPr>
    </w:p>
    <w:p w:rsidR="00981775" w:rsidRDefault="00981775" w:rsidP="00981775">
      <w:pPr>
        <w:pStyle w:val="TextoNormalNegritaCentradoSubrayado"/>
        <w:suppressAutoHyphens/>
      </w:pPr>
      <w:r>
        <w:t>J.1.a) Estatuto de Autonomía</w:t>
      </w:r>
    </w:p>
    <w:p w:rsidR="00981775" w:rsidRDefault="00981775" w:rsidP="00981775">
      <w:pPr>
        <w:pStyle w:val="TextoNormalNegritaCentradoSubrayado"/>
      </w:pPr>
    </w:p>
    <w:p w:rsidR="00981775" w:rsidRDefault="00981775" w:rsidP="00981775">
      <w:pPr>
        <w:pStyle w:val="TextoNormalNegritaCursivandice"/>
      </w:pPr>
      <w:r>
        <w:t>Ley Orgánica 6/1981, de 30 de diciembre. Estatuto de Autonomía de Andalucía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54" w:history="1">
        <w:r w:rsidRPr="00981775">
          <w:rPr>
            <w:rStyle w:val="TextoNormalCaracter"/>
          </w:rPr>
          <w:t>154/2015</w:t>
        </w:r>
      </w:hyperlink>
      <w:r>
        <w:t>, f. 2.</w:t>
      </w:r>
    </w:p>
    <w:p w:rsidR="00981775" w:rsidRDefault="00981775" w:rsidP="00981775">
      <w:pPr>
        <w:pStyle w:val="SangriaFrancesaArticulo"/>
      </w:pPr>
      <w:r w:rsidRPr="00981775">
        <w:rPr>
          <w:rStyle w:val="TextoNormalNegritaCaracter"/>
        </w:rPr>
        <w:t>Artículo 4.4.</w:t>
      </w:r>
      <w:r w:rsidRPr="00981775">
        <w:rPr>
          <w:rStyle w:val="TextoNormalCaracter"/>
        </w:rPr>
        <w:t>-</w:t>
      </w:r>
      <w:r>
        <w:t xml:space="preserve"> Sentencia </w:t>
      </w:r>
      <w:hyperlink w:anchor="SENTENCIA_2015_236" w:history="1">
        <w:r w:rsidRPr="00981775">
          <w:rPr>
            <w:rStyle w:val="TextoNormalCaracter"/>
          </w:rPr>
          <w:t>236/2015</w:t>
        </w:r>
      </w:hyperlink>
      <w:r>
        <w:t>, f. 3.</w:t>
      </w:r>
    </w:p>
    <w:p w:rsidR="00981775" w:rsidRDefault="00981775" w:rsidP="00981775">
      <w:pPr>
        <w:pStyle w:val="SangriaFrancesaArticulo"/>
      </w:pPr>
    </w:p>
    <w:p w:rsidR="00981775" w:rsidRDefault="00981775" w:rsidP="00981775">
      <w:pPr>
        <w:pStyle w:val="TextoNormalNegritaCursivandice"/>
      </w:pPr>
      <w:r>
        <w:t>Ley Orgánica 2/2007, de 19 de marzo. Reforma del Estatuto de Autonomía de Andalucía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54" w:history="1">
        <w:r w:rsidRPr="00981775">
          <w:rPr>
            <w:rStyle w:val="TextoNormalCaracter"/>
          </w:rPr>
          <w:t>154/2015</w:t>
        </w:r>
      </w:hyperlink>
      <w:r>
        <w:t>, f. 2.</w:t>
      </w:r>
    </w:p>
    <w:p w:rsidR="00981775" w:rsidRDefault="00981775" w:rsidP="00981775">
      <w:pPr>
        <w:pStyle w:val="SangriaFrancesaArticulo"/>
      </w:pPr>
      <w:r w:rsidRPr="00981775">
        <w:rPr>
          <w:rStyle w:val="TextoNormalNegritaCaracter"/>
        </w:rPr>
        <w:t>Artículo 10.4.</w:t>
      </w:r>
      <w:r w:rsidRPr="00981775">
        <w:rPr>
          <w:rStyle w:val="TextoNormalCaracter"/>
        </w:rPr>
        <w:t>-</w:t>
      </w:r>
      <w:r>
        <w:t xml:space="preserve"> Sentencia </w:t>
      </w:r>
      <w:hyperlink w:anchor="SENTENCIA_2015_236" w:history="1">
        <w:r w:rsidRPr="00981775">
          <w:rPr>
            <w:rStyle w:val="TextoNormalCaracter"/>
          </w:rPr>
          <w:t>236/2015</w:t>
        </w:r>
      </w:hyperlink>
      <w:r>
        <w:t>, f. 4.</w:t>
      </w:r>
    </w:p>
    <w:p w:rsidR="00981775" w:rsidRDefault="00981775" w:rsidP="00981775">
      <w:pPr>
        <w:pStyle w:val="SangriaFrancesaArticulo"/>
      </w:pPr>
      <w:r w:rsidRPr="00981775">
        <w:rPr>
          <w:rStyle w:val="TextoNormalNegritaCaracter"/>
        </w:rPr>
        <w:t>Artículo 33.1.</w:t>
      </w:r>
      <w:r w:rsidRPr="00981775">
        <w:rPr>
          <w:rStyle w:val="TextoNormalCaracter"/>
        </w:rPr>
        <w:t>-</w:t>
      </w:r>
      <w:r>
        <w:t xml:space="preserve"> Sentencia </w:t>
      </w:r>
      <w:hyperlink w:anchor="SENTENCIA_2015_236" w:history="1">
        <w:r w:rsidRPr="00981775">
          <w:rPr>
            <w:rStyle w:val="TextoNormalCaracter"/>
          </w:rPr>
          <w:t>236/2015</w:t>
        </w:r>
      </w:hyperlink>
      <w:r>
        <w:t>, f. 1.</w:t>
      </w:r>
    </w:p>
    <w:p w:rsidR="00981775" w:rsidRDefault="00981775" w:rsidP="00981775">
      <w:pPr>
        <w:pStyle w:val="SangriaFrancesaArticulo"/>
      </w:pPr>
      <w:r w:rsidRPr="00981775">
        <w:rPr>
          <w:rStyle w:val="TextoNormalNegritaCaracter"/>
        </w:rPr>
        <w:t>Artículo 37.</w:t>
      </w:r>
      <w:r w:rsidRPr="00981775">
        <w:rPr>
          <w:rStyle w:val="TextoNormalCaracter"/>
        </w:rPr>
        <w:t>-</w:t>
      </w:r>
      <w:r>
        <w:t xml:space="preserve"> Sentencia </w:t>
      </w:r>
      <w:hyperlink w:anchor="SENTENCIA_2015_236" w:history="1">
        <w:r w:rsidRPr="00981775">
          <w:rPr>
            <w:rStyle w:val="TextoNormalCaracter"/>
          </w:rPr>
          <w:t>236/2015</w:t>
        </w:r>
      </w:hyperlink>
      <w:r>
        <w:t>, f. 4.</w:t>
      </w:r>
    </w:p>
    <w:p w:rsidR="00981775" w:rsidRDefault="00981775" w:rsidP="00981775">
      <w:pPr>
        <w:pStyle w:val="SangriaFrancesaArticulo"/>
      </w:pPr>
      <w:r w:rsidRPr="00981775">
        <w:rPr>
          <w:rStyle w:val="TextoNormalNegritaCaracter"/>
        </w:rPr>
        <w:t>Artículo 37.1.1.</w:t>
      </w:r>
      <w:r w:rsidRPr="00981775">
        <w:rPr>
          <w:rStyle w:val="TextoNormalCaracter"/>
        </w:rPr>
        <w:t>-</w:t>
      </w:r>
      <w:r>
        <w:t xml:space="preserve"> Sentencia </w:t>
      </w:r>
      <w:hyperlink w:anchor="SENTENCIA_2015_236" w:history="1">
        <w:r w:rsidRPr="00981775">
          <w:rPr>
            <w:rStyle w:val="TextoNormalCaracter"/>
          </w:rPr>
          <w:t>236/2015</w:t>
        </w:r>
      </w:hyperlink>
      <w:r>
        <w:t>, f. 4.</w:t>
      </w:r>
    </w:p>
    <w:p w:rsidR="00981775" w:rsidRDefault="00981775" w:rsidP="00981775">
      <w:pPr>
        <w:pStyle w:val="SangriaFrancesaArticulo"/>
      </w:pPr>
      <w:r w:rsidRPr="00981775">
        <w:rPr>
          <w:rStyle w:val="TextoNormalNegritaCaracter"/>
        </w:rPr>
        <w:t>Artículo 46.1.</w:t>
      </w:r>
      <w:r w:rsidRPr="00981775">
        <w:rPr>
          <w:rStyle w:val="TextoNormalCaracter"/>
        </w:rPr>
        <w:t>-</w:t>
      </w:r>
      <w:r>
        <w:t xml:space="preserve"> Sentencia </w:t>
      </w:r>
      <w:hyperlink w:anchor="SENTENCIA_2015_236" w:history="1">
        <w:r w:rsidRPr="00981775">
          <w:rPr>
            <w:rStyle w:val="TextoNormalCaracter"/>
          </w:rPr>
          <w:t>236/2015</w:t>
        </w:r>
      </w:hyperlink>
      <w:r>
        <w:t>, f. 4.</w:t>
      </w:r>
    </w:p>
    <w:p w:rsidR="00981775" w:rsidRDefault="00981775" w:rsidP="00981775">
      <w:pPr>
        <w:pStyle w:val="SangriaFrancesaArticulo"/>
      </w:pPr>
      <w:r w:rsidRPr="00981775">
        <w:rPr>
          <w:rStyle w:val="TextoNormalNegritaCaracter"/>
        </w:rPr>
        <w:t>Artículo 47.2.1.</w:t>
      </w:r>
      <w:r w:rsidRPr="00981775">
        <w:rPr>
          <w:rStyle w:val="TextoNormalCaracter"/>
        </w:rPr>
        <w:t>-</w:t>
      </w:r>
      <w:r>
        <w:t xml:space="preserve"> Sentencia </w:t>
      </w:r>
      <w:hyperlink w:anchor="SENTENCIA_2015_156" w:history="1">
        <w:r w:rsidRPr="00981775">
          <w:rPr>
            <w:rStyle w:val="TextoNormalCaracter"/>
          </w:rPr>
          <w:t>156/2015</w:t>
        </w:r>
      </w:hyperlink>
      <w:r>
        <w:t>, ff. 1, 7, 8, VP.</w:t>
      </w:r>
    </w:p>
    <w:p w:rsidR="00981775" w:rsidRDefault="00981775" w:rsidP="00981775">
      <w:pPr>
        <w:pStyle w:val="SangriaFrancesaArticulo"/>
      </w:pPr>
      <w:r w:rsidRPr="00981775">
        <w:rPr>
          <w:rStyle w:val="TextoNormalNegritaCaracter"/>
        </w:rPr>
        <w:t>Artículo 50.2.</w:t>
      </w:r>
      <w:r w:rsidRPr="00981775">
        <w:rPr>
          <w:rStyle w:val="TextoNormalCaracter"/>
        </w:rPr>
        <w:t>-</w:t>
      </w:r>
      <w:r>
        <w:t xml:space="preserve"> Sentencia </w:t>
      </w:r>
      <w:hyperlink w:anchor="SENTENCIA_2015_196" w:history="1">
        <w:r w:rsidRPr="00981775">
          <w:rPr>
            <w:rStyle w:val="TextoNormalCaracter"/>
          </w:rPr>
          <w:t>196/2015</w:t>
        </w:r>
      </w:hyperlink>
      <w:r>
        <w:t>, f. 5.</w:t>
      </w:r>
    </w:p>
    <w:p w:rsidR="00981775" w:rsidRDefault="00981775" w:rsidP="00981775">
      <w:pPr>
        <w:pStyle w:val="SangriaFrancesaArticulo"/>
      </w:pPr>
      <w:r w:rsidRPr="00981775">
        <w:rPr>
          <w:rStyle w:val="TextoNormalNegritaCaracter"/>
        </w:rPr>
        <w:t>Artículo 51.</w:t>
      </w:r>
      <w:r w:rsidRPr="00981775">
        <w:rPr>
          <w:rStyle w:val="TextoNormalCaracter"/>
        </w:rPr>
        <w:t>-</w:t>
      </w:r>
      <w:r>
        <w:t xml:space="preserve"> Sentencia </w:t>
      </w:r>
      <w:hyperlink w:anchor="SENTENCIA_2015_196" w:history="1">
        <w:r w:rsidRPr="00981775">
          <w:rPr>
            <w:rStyle w:val="TextoNormalCaracter"/>
          </w:rPr>
          <w:t>196/2015</w:t>
        </w:r>
      </w:hyperlink>
      <w:r>
        <w:t>, ff. 4, 5, VP.</w:t>
      </w:r>
    </w:p>
    <w:p w:rsidR="00981775" w:rsidRDefault="00981775" w:rsidP="00981775">
      <w:pPr>
        <w:pStyle w:val="SangriaFrancesaArticulo"/>
      </w:pPr>
      <w:r w:rsidRPr="00981775">
        <w:rPr>
          <w:rStyle w:val="TextoNormalNegritaCaracter"/>
        </w:rPr>
        <w:t>Artículo 56.</w:t>
      </w:r>
      <w:r w:rsidRPr="00981775">
        <w:rPr>
          <w:rStyle w:val="TextoNormalCaracter"/>
        </w:rPr>
        <w:t>-</w:t>
      </w:r>
      <w:r>
        <w:t xml:space="preserve"> Sentencia </w:t>
      </w:r>
      <w:hyperlink w:anchor="SENTENCIA_2015_154" w:history="1">
        <w:r w:rsidRPr="00981775">
          <w:rPr>
            <w:rStyle w:val="TextoNormalCaracter"/>
          </w:rPr>
          <w:t>154/2015</w:t>
        </w:r>
      </w:hyperlink>
      <w:r>
        <w:t>, ff. 2, 7.</w:t>
      </w:r>
    </w:p>
    <w:p w:rsidR="00981775" w:rsidRDefault="00981775" w:rsidP="00981775">
      <w:pPr>
        <w:pStyle w:val="SangriaFrancesaArticulo"/>
      </w:pPr>
      <w:r w:rsidRPr="00981775">
        <w:rPr>
          <w:rStyle w:val="TextoNormalNegritaCaracter"/>
        </w:rPr>
        <w:t>Artículo 56.1 a).</w:t>
      </w:r>
      <w:r w:rsidRPr="00981775">
        <w:rPr>
          <w:rStyle w:val="TextoNormalCaracter"/>
        </w:rPr>
        <w:t>-</w:t>
      </w:r>
      <w:r>
        <w:t xml:space="preserve"> Sentencia </w:t>
      </w:r>
      <w:hyperlink w:anchor="SENTENCIA_2015_154" w:history="1">
        <w:r w:rsidRPr="00981775">
          <w:rPr>
            <w:rStyle w:val="TextoNormalCaracter"/>
          </w:rPr>
          <w:t>154/2015</w:t>
        </w:r>
      </w:hyperlink>
      <w:r>
        <w:t>, f. 7.</w:t>
      </w:r>
    </w:p>
    <w:p w:rsidR="00981775" w:rsidRDefault="00981775" w:rsidP="00981775">
      <w:pPr>
        <w:pStyle w:val="SangriaFrancesaArticulo"/>
      </w:pPr>
      <w:r w:rsidRPr="00981775">
        <w:rPr>
          <w:rStyle w:val="TextoNormalNegritaCaracter"/>
        </w:rPr>
        <w:t>Artículo 58.1.1.</w:t>
      </w:r>
      <w:r w:rsidRPr="00981775">
        <w:rPr>
          <w:rStyle w:val="TextoNormalCaracter"/>
        </w:rPr>
        <w:t>-</w:t>
      </w:r>
      <w:r>
        <w:t xml:space="preserve"> Sentencia </w:t>
      </w:r>
      <w:hyperlink w:anchor="SENTENCIA_2015_156" w:history="1">
        <w:r w:rsidRPr="00981775">
          <w:rPr>
            <w:rStyle w:val="TextoNormalCaracter"/>
          </w:rPr>
          <w:t>156/2015</w:t>
        </w:r>
      </w:hyperlink>
      <w:r>
        <w:t>, ff. 1, 7, 9.</w:t>
      </w:r>
    </w:p>
    <w:p w:rsidR="00981775" w:rsidRDefault="00981775" w:rsidP="00981775">
      <w:pPr>
        <w:pStyle w:val="SangriaFrancesaArticulo"/>
      </w:pPr>
      <w:r w:rsidRPr="00981775">
        <w:rPr>
          <w:rStyle w:val="TextoNormalNegritaCaracter"/>
        </w:rPr>
        <w:t>Artículo 60.</w:t>
      </w:r>
      <w:r w:rsidRPr="00981775">
        <w:rPr>
          <w:rStyle w:val="TextoNormalCaracter"/>
        </w:rPr>
        <w:t>-</w:t>
      </w:r>
      <w:r>
        <w:t xml:space="preserve"> Sentencia </w:t>
      </w:r>
      <w:hyperlink w:anchor="SENTENCIA_2015_154" w:history="1">
        <w:r w:rsidRPr="00981775">
          <w:rPr>
            <w:rStyle w:val="TextoNormalCaracter"/>
          </w:rPr>
          <w:t>154/2015</w:t>
        </w:r>
      </w:hyperlink>
      <w:r>
        <w:t>, f. 2.</w:t>
      </w:r>
    </w:p>
    <w:p w:rsidR="00981775" w:rsidRDefault="00981775" w:rsidP="00981775">
      <w:pPr>
        <w:pStyle w:val="SangriaFrancesaArticulo"/>
      </w:pPr>
      <w:r w:rsidRPr="00981775">
        <w:rPr>
          <w:rStyle w:val="TextoNormalNegritaCaracter"/>
        </w:rPr>
        <w:t>Artículo 76.</w:t>
      </w:r>
      <w:r w:rsidRPr="00981775">
        <w:rPr>
          <w:rStyle w:val="TextoNormalCaracter"/>
        </w:rPr>
        <w:t>-</w:t>
      </w:r>
      <w:r>
        <w:t xml:space="preserve"> Sentencia </w:t>
      </w:r>
      <w:hyperlink w:anchor="SENTENCIA_2015_156" w:history="1">
        <w:r w:rsidRPr="00981775">
          <w:rPr>
            <w:rStyle w:val="TextoNormalCaracter"/>
          </w:rPr>
          <w:t>156/2015</w:t>
        </w:r>
      </w:hyperlink>
      <w:r>
        <w:t>, f. 8, VP.</w:t>
      </w:r>
    </w:p>
    <w:p w:rsidR="00981775" w:rsidRDefault="00981775" w:rsidP="00981775">
      <w:pPr>
        <w:pStyle w:val="SangriaFrancesaArticulo"/>
      </w:pPr>
      <w:r w:rsidRPr="00981775">
        <w:rPr>
          <w:rStyle w:val="TextoNormalNegritaCaracter"/>
        </w:rPr>
        <w:t>Artículo 76.1.</w:t>
      </w:r>
      <w:r w:rsidRPr="00981775">
        <w:rPr>
          <w:rStyle w:val="TextoNormalCaracter"/>
        </w:rPr>
        <w:t>-</w:t>
      </w:r>
      <w:r>
        <w:t xml:space="preserve"> Sentencias </w:t>
      </w:r>
      <w:hyperlink w:anchor="SENTENCIA_2015_156" w:history="1">
        <w:r w:rsidRPr="00981775">
          <w:rPr>
            <w:rStyle w:val="TextoNormalCaracter"/>
          </w:rPr>
          <w:t>156/2015</w:t>
        </w:r>
      </w:hyperlink>
      <w:r>
        <w:t xml:space="preserve">, ff. 1, 7; </w:t>
      </w:r>
      <w:hyperlink w:anchor="SENTENCIA_2015_236" w:history="1">
        <w:r w:rsidRPr="00981775">
          <w:rPr>
            <w:rStyle w:val="TextoNormalCaracter"/>
          </w:rPr>
          <w:t>236/2015</w:t>
        </w:r>
      </w:hyperlink>
      <w:r>
        <w:t>, ff. 1, 5.</w:t>
      </w:r>
    </w:p>
    <w:p w:rsidR="00981775" w:rsidRDefault="00981775" w:rsidP="00981775">
      <w:pPr>
        <w:pStyle w:val="SangriaFrancesaArticulo"/>
      </w:pPr>
      <w:r w:rsidRPr="00981775">
        <w:rPr>
          <w:rStyle w:val="TextoNormalNegritaCaracter"/>
        </w:rPr>
        <w:t>Artículo 76.2.</w:t>
      </w:r>
      <w:r w:rsidRPr="00981775">
        <w:rPr>
          <w:rStyle w:val="TextoNormalCaracter"/>
        </w:rPr>
        <w:t>-</w:t>
      </w:r>
      <w:r>
        <w:t xml:space="preserve"> Sentencia </w:t>
      </w:r>
      <w:hyperlink w:anchor="SENTENCIA_2015_236" w:history="1">
        <w:r w:rsidRPr="00981775">
          <w:rPr>
            <w:rStyle w:val="TextoNormalCaracter"/>
          </w:rPr>
          <w:t>236/2015</w:t>
        </w:r>
      </w:hyperlink>
      <w:r>
        <w:t>, ff. 1, 5.</w:t>
      </w:r>
    </w:p>
    <w:p w:rsidR="00981775" w:rsidRDefault="00981775" w:rsidP="00981775">
      <w:pPr>
        <w:pStyle w:val="SangriaFrancesaArticulo"/>
      </w:pPr>
      <w:r w:rsidRPr="00981775">
        <w:rPr>
          <w:rStyle w:val="TextoNormalNegritaCaracter"/>
        </w:rPr>
        <w:t>Artículo 92.1.</w:t>
      </w:r>
      <w:r w:rsidRPr="00981775">
        <w:rPr>
          <w:rStyle w:val="TextoNormalCaracter"/>
        </w:rPr>
        <w:t>-</w:t>
      </w:r>
      <w:r>
        <w:t xml:space="preserve"> Sentencia </w:t>
      </w:r>
      <w:hyperlink w:anchor="SENTENCIA_2015_154" w:history="1">
        <w:r w:rsidRPr="00981775">
          <w:rPr>
            <w:rStyle w:val="TextoNormalCaracter"/>
          </w:rPr>
          <w:t>154/2015</w:t>
        </w:r>
      </w:hyperlink>
      <w:r>
        <w:t>, f. 2.</w:t>
      </w:r>
    </w:p>
    <w:p w:rsidR="00981775" w:rsidRDefault="00981775" w:rsidP="00981775">
      <w:pPr>
        <w:pStyle w:val="SangriaFrancesaArticulo"/>
      </w:pPr>
      <w:r w:rsidRPr="00981775">
        <w:rPr>
          <w:rStyle w:val="TextoNormalNegritaCaracter"/>
        </w:rPr>
        <w:t>Artículo 92.2 a).</w:t>
      </w:r>
      <w:r w:rsidRPr="00981775">
        <w:rPr>
          <w:rStyle w:val="TextoNormalCaracter"/>
        </w:rPr>
        <w:t>-</w:t>
      </w:r>
      <w:r>
        <w:t xml:space="preserve"> Sentencia </w:t>
      </w:r>
      <w:hyperlink w:anchor="SENTENCIA_2015_154" w:history="1">
        <w:r w:rsidRPr="00981775">
          <w:rPr>
            <w:rStyle w:val="TextoNormalCaracter"/>
          </w:rPr>
          <w:t>154/2015</w:t>
        </w:r>
      </w:hyperlink>
      <w:r>
        <w:t>, f. 2.</w:t>
      </w:r>
    </w:p>
    <w:p w:rsidR="00981775" w:rsidRDefault="00981775" w:rsidP="00981775">
      <w:pPr>
        <w:pStyle w:val="SangriaFrancesaArticulo"/>
      </w:pPr>
      <w:r w:rsidRPr="00981775">
        <w:rPr>
          <w:rStyle w:val="TextoNormalNegritaCaracter"/>
        </w:rPr>
        <w:t>Artículo 92.2 b).</w:t>
      </w:r>
      <w:r w:rsidRPr="00981775">
        <w:rPr>
          <w:rStyle w:val="TextoNormalCaracter"/>
        </w:rPr>
        <w:t>-</w:t>
      </w:r>
      <w:r>
        <w:t xml:space="preserve"> Sentencia </w:t>
      </w:r>
      <w:hyperlink w:anchor="SENTENCIA_2015_154" w:history="1">
        <w:r w:rsidRPr="00981775">
          <w:rPr>
            <w:rStyle w:val="TextoNormalCaracter"/>
          </w:rPr>
          <w:t>154/2015</w:t>
        </w:r>
      </w:hyperlink>
      <w:r>
        <w:t>, ff. 2, 7.</w:t>
      </w:r>
    </w:p>
    <w:p w:rsidR="00981775" w:rsidRDefault="00981775" w:rsidP="00981775">
      <w:pPr>
        <w:pStyle w:val="SangriaFrancesaArticulo"/>
      </w:pPr>
      <w:r w:rsidRPr="00981775">
        <w:rPr>
          <w:rStyle w:val="TextoNormalNegritaCaracter"/>
        </w:rPr>
        <w:t>Artículo 110.</w:t>
      </w:r>
      <w:r w:rsidRPr="00981775">
        <w:rPr>
          <w:rStyle w:val="TextoNormalCaracter"/>
        </w:rPr>
        <w:t>-</w:t>
      </w:r>
      <w:r>
        <w:t xml:space="preserve"> Sentencia </w:t>
      </w:r>
      <w:hyperlink w:anchor="SENTENCIA_2015_230" w:history="1">
        <w:r w:rsidRPr="00981775">
          <w:rPr>
            <w:rStyle w:val="TextoNormalCaracter"/>
          </w:rPr>
          <w:t>230/2015</w:t>
        </w:r>
      </w:hyperlink>
      <w:r>
        <w:t>, ff. 4, 5.</w:t>
      </w:r>
    </w:p>
    <w:p w:rsidR="00981775" w:rsidRDefault="00981775" w:rsidP="00981775">
      <w:pPr>
        <w:pStyle w:val="SangriaFrancesaArticulo"/>
      </w:pPr>
      <w:r w:rsidRPr="00981775">
        <w:rPr>
          <w:rStyle w:val="TextoNormalNegritaCaracter"/>
        </w:rPr>
        <w:t>Artículo 133.</w:t>
      </w:r>
      <w:r w:rsidRPr="00981775">
        <w:rPr>
          <w:rStyle w:val="TextoNormalCaracter"/>
        </w:rPr>
        <w:t>-</w:t>
      </w:r>
      <w:r>
        <w:t xml:space="preserve"> Sentencia </w:t>
      </w:r>
      <w:hyperlink w:anchor="SENTENCIA_2015_236" w:history="1">
        <w:r w:rsidRPr="00981775">
          <w:rPr>
            <w:rStyle w:val="TextoNormalCaracter"/>
          </w:rPr>
          <w:t>236/2015</w:t>
        </w:r>
      </w:hyperlink>
      <w:r>
        <w:t>, f. 3.</w:t>
      </w:r>
    </w:p>
    <w:p w:rsidR="00981775" w:rsidRDefault="00981775" w:rsidP="00981775">
      <w:pPr>
        <w:pStyle w:val="SangriaFrancesaArticulo"/>
      </w:pPr>
      <w:r w:rsidRPr="00981775">
        <w:rPr>
          <w:rStyle w:val="TextoNormalNegritaCaracter"/>
        </w:rPr>
        <w:t>Artículo 133.1.</w:t>
      </w:r>
      <w:r w:rsidRPr="00981775">
        <w:rPr>
          <w:rStyle w:val="TextoNormalCaracter"/>
        </w:rPr>
        <w:t>-</w:t>
      </w:r>
      <w:r>
        <w:t xml:space="preserve"> Sentencia </w:t>
      </w:r>
      <w:hyperlink w:anchor="SENTENCIA_2015_236" w:history="1">
        <w:r w:rsidRPr="00981775">
          <w:rPr>
            <w:rStyle w:val="TextoNormalCaracter"/>
          </w:rPr>
          <w:t>236/2015</w:t>
        </w:r>
      </w:hyperlink>
      <w:r>
        <w:t>, f. 4.</w:t>
      </w:r>
    </w:p>
    <w:p w:rsidR="00981775" w:rsidRDefault="00981775" w:rsidP="00981775">
      <w:pPr>
        <w:pStyle w:val="SangriaFrancesaArticulo"/>
      </w:pPr>
      <w:r w:rsidRPr="00981775">
        <w:rPr>
          <w:rStyle w:val="TextoNormalNegritaCaracter"/>
        </w:rPr>
        <w:t>Artículo 133.2.</w:t>
      </w:r>
      <w:r w:rsidRPr="00981775">
        <w:rPr>
          <w:rStyle w:val="TextoNormalCaracter"/>
        </w:rPr>
        <w:t>-</w:t>
      </w:r>
      <w:r>
        <w:t xml:space="preserve"> Sentencia </w:t>
      </w:r>
      <w:hyperlink w:anchor="SENTENCIA_2015_236" w:history="1">
        <w:r w:rsidRPr="00981775">
          <w:rPr>
            <w:rStyle w:val="TextoNormalCaracter"/>
          </w:rPr>
          <w:t>236/2015</w:t>
        </w:r>
      </w:hyperlink>
      <w:r>
        <w:t>, ff. 1, 3.</w:t>
      </w:r>
    </w:p>
    <w:p w:rsidR="00981775" w:rsidRDefault="00981775" w:rsidP="00981775">
      <w:pPr>
        <w:pStyle w:val="SangriaFrancesaArticulo"/>
      </w:pPr>
      <w:r w:rsidRPr="00981775">
        <w:rPr>
          <w:rStyle w:val="TextoNormalNegritaCaracter"/>
        </w:rPr>
        <w:t>Artículo 133.3.</w:t>
      </w:r>
      <w:r w:rsidRPr="00981775">
        <w:rPr>
          <w:rStyle w:val="TextoNormalCaracter"/>
        </w:rPr>
        <w:t>-</w:t>
      </w:r>
      <w:r>
        <w:t xml:space="preserve"> Sentencia </w:t>
      </w:r>
      <w:hyperlink w:anchor="SENTENCIA_2015_236" w:history="1">
        <w:r w:rsidRPr="00981775">
          <w:rPr>
            <w:rStyle w:val="TextoNormalCaracter"/>
          </w:rPr>
          <w:t>236/2015</w:t>
        </w:r>
      </w:hyperlink>
      <w:r>
        <w:t>, f. 3.</w:t>
      </w:r>
    </w:p>
    <w:p w:rsidR="00981775" w:rsidRDefault="00981775" w:rsidP="00981775">
      <w:pPr>
        <w:pStyle w:val="SangriaFrancesaArticulo"/>
      </w:pPr>
      <w:r w:rsidRPr="00981775">
        <w:rPr>
          <w:rStyle w:val="TextoNormalNegritaCaracter"/>
        </w:rPr>
        <w:t>Artículo 136.</w:t>
      </w:r>
      <w:r w:rsidRPr="00981775">
        <w:rPr>
          <w:rStyle w:val="TextoNormalCaracter"/>
        </w:rPr>
        <w:t>-</w:t>
      </w:r>
      <w:r>
        <w:t xml:space="preserve"> Sentencia </w:t>
      </w:r>
      <w:hyperlink w:anchor="SENTENCIA_2015_236" w:history="1">
        <w:r w:rsidRPr="00981775">
          <w:rPr>
            <w:rStyle w:val="TextoNormalCaracter"/>
          </w:rPr>
          <w:t>236/2015</w:t>
        </w:r>
      </w:hyperlink>
      <w:r>
        <w:t>, f. 4.</w:t>
      </w:r>
    </w:p>
    <w:p w:rsidR="00981775" w:rsidRDefault="00981775" w:rsidP="00981775">
      <w:pPr>
        <w:pStyle w:val="SangriaFrancesaArticulo"/>
      </w:pPr>
      <w:r w:rsidRPr="00981775">
        <w:rPr>
          <w:rStyle w:val="TextoNormalNegritaCaracter"/>
        </w:rPr>
        <w:t>Artículo 158.</w:t>
      </w:r>
      <w:r w:rsidRPr="00981775">
        <w:rPr>
          <w:rStyle w:val="TextoNormalCaracter"/>
        </w:rPr>
        <w:t>-</w:t>
      </w:r>
      <w:r>
        <w:t xml:space="preserve"> Sentencia </w:t>
      </w:r>
      <w:hyperlink w:anchor="SENTENCIA_2015_236" w:history="1">
        <w:r w:rsidRPr="00981775">
          <w:rPr>
            <w:rStyle w:val="TextoNormalCaracter"/>
          </w:rPr>
          <w:t>236/2015</w:t>
        </w:r>
      </w:hyperlink>
      <w:r>
        <w:t>, f. 3.</w:t>
      </w:r>
    </w:p>
    <w:p w:rsidR="00981775" w:rsidRDefault="00981775" w:rsidP="00981775">
      <w:pPr>
        <w:pStyle w:val="TextoNormal"/>
      </w:pPr>
    </w:p>
    <w:p w:rsidR="00981775" w:rsidRDefault="00981775" w:rsidP="00981775">
      <w:pPr>
        <w:pStyle w:val="TextoNormalNegritaCentradoSubrayado"/>
        <w:suppressAutoHyphens/>
      </w:pPr>
      <w:r>
        <w:t>J.1.b) Leyes y disposiciones con fuerza de Ley</w:t>
      </w:r>
    </w:p>
    <w:p w:rsidR="00981775" w:rsidRDefault="00981775" w:rsidP="00981775">
      <w:pPr>
        <w:pStyle w:val="TextoNormalNegritaCentradoSubrayado"/>
      </w:pPr>
    </w:p>
    <w:p w:rsidR="00981775" w:rsidRDefault="00981775" w:rsidP="00981775">
      <w:pPr>
        <w:pStyle w:val="TextoNormalNegritaCursivandice"/>
      </w:pPr>
      <w:r>
        <w:t>Ley del Parlamento de Andalucía 7/2002, de 17 de diciembre. Ordenación urbanística de Andalucía</w:t>
      </w:r>
    </w:p>
    <w:p w:rsidR="00981775" w:rsidRDefault="00981775" w:rsidP="00981775">
      <w:pPr>
        <w:pStyle w:val="SangriaFrancesaArticulo"/>
      </w:pPr>
      <w:r w:rsidRPr="00981775">
        <w:rPr>
          <w:rStyle w:val="TextoNormalNegritaCaracter"/>
        </w:rPr>
        <w:t>Artículo 18.3 c)</w:t>
      </w:r>
      <w:r>
        <w:t xml:space="preserve"> (redactado por el Decreto-ley de la Junta de Andalucía 5/2012, de 27 de noviembre)</w:t>
      </w:r>
      <w:r w:rsidRPr="00981775">
        <w:rPr>
          <w:rStyle w:val="TextoNormalNegritaCaracter"/>
        </w:rPr>
        <w:t>.</w:t>
      </w:r>
      <w:r w:rsidRPr="00981775">
        <w:rPr>
          <w:rStyle w:val="TextoNormalCaracter"/>
        </w:rPr>
        <w:t>-</w:t>
      </w:r>
      <w:r>
        <w:t xml:space="preserve"> Sentencia </w:t>
      </w:r>
      <w:hyperlink w:anchor="SENTENCIA_2015_154" w:history="1">
        <w:r w:rsidRPr="00981775">
          <w:rPr>
            <w:rStyle w:val="TextoNormalCaracter"/>
          </w:rPr>
          <w:t>154/2015</w:t>
        </w:r>
      </w:hyperlink>
      <w:r>
        <w:t>, ff. 2, 7.</w:t>
      </w:r>
    </w:p>
    <w:p w:rsidR="00981775" w:rsidRDefault="00981775" w:rsidP="00981775">
      <w:pPr>
        <w:pStyle w:val="SangriaFrancesaArticulo"/>
      </w:pPr>
      <w:r w:rsidRPr="00981775">
        <w:rPr>
          <w:rStyle w:val="TextoNormalNegritaCaracter"/>
        </w:rPr>
        <w:t>Artículo 30.</w:t>
      </w:r>
      <w:r w:rsidRPr="00981775">
        <w:rPr>
          <w:rStyle w:val="TextoNormalCaracter"/>
        </w:rPr>
        <w:t>-</w:t>
      </w:r>
      <w:r>
        <w:t xml:space="preserve"> Sentencia </w:t>
      </w:r>
      <w:hyperlink w:anchor="SENTENCIA_2015_154" w:history="1">
        <w:r w:rsidRPr="00981775">
          <w:rPr>
            <w:rStyle w:val="TextoNormalCaracter"/>
          </w:rPr>
          <w:t>154/2015</w:t>
        </w:r>
      </w:hyperlink>
      <w:r>
        <w:t>, f. 7.</w:t>
      </w:r>
    </w:p>
    <w:p w:rsidR="00981775" w:rsidRDefault="00981775" w:rsidP="00981775">
      <w:pPr>
        <w:pStyle w:val="SangriaFrancesaArticulo"/>
      </w:pPr>
      <w:r w:rsidRPr="00981775">
        <w:rPr>
          <w:rStyle w:val="TextoNormalNegritaCaracter"/>
        </w:rPr>
        <w:t>Artículo 31.1.</w:t>
      </w:r>
      <w:r w:rsidRPr="00981775">
        <w:rPr>
          <w:rStyle w:val="TextoNormalCaracter"/>
        </w:rPr>
        <w:t>-</w:t>
      </w:r>
      <w:r>
        <w:t xml:space="preserve"> Sentencia </w:t>
      </w:r>
      <w:hyperlink w:anchor="SENTENCIA_2015_154" w:history="1">
        <w:r w:rsidRPr="00981775">
          <w:rPr>
            <w:rStyle w:val="TextoNormalCaracter"/>
          </w:rPr>
          <w:t>154/2015</w:t>
        </w:r>
      </w:hyperlink>
      <w:r>
        <w:t>, f. 7.</w:t>
      </w:r>
    </w:p>
    <w:p w:rsidR="00981775" w:rsidRDefault="00981775" w:rsidP="00981775">
      <w:pPr>
        <w:pStyle w:val="SangriaFrancesaArticulo"/>
      </w:pPr>
      <w:r w:rsidRPr="00981775">
        <w:rPr>
          <w:rStyle w:val="TextoNormalNegritaCaracter"/>
        </w:rPr>
        <w:t>Artículo 31.4</w:t>
      </w:r>
      <w:r>
        <w:t xml:space="preserve"> (redactado por la Ley del Parlamento de Andalucía 13/2005, de 17 de noviembre)</w:t>
      </w:r>
      <w:r w:rsidRPr="00981775">
        <w:rPr>
          <w:rStyle w:val="TextoNormalNegritaCaracter"/>
        </w:rPr>
        <w:t>.</w:t>
      </w:r>
      <w:r w:rsidRPr="00981775">
        <w:rPr>
          <w:rStyle w:val="TextoNormalCaracter"/>
        </w:rPr>
        <w:t>-</w:t>
      </w:r>
      <w:r>
        <w:t xml:space="preserve"> Sentencia </w:t>
      </w:r>
      <w:hyperlink w:anchor="SENTENCIA_2015_154" w:history="1">
        <w:r w:rsidRPr="00981775">
          <w:rPr>
            <w:rStyle w:val="TextoNormalCaracter"/>
          </w:rPr>
          <w:t>154/2015</w:t>
        </w:r>
      </w:hyperlink>
      <w:r>
        <w:t>, f. 7.</w:t>
      </w:r>
    </w:p>
    <w:p w:rsidR="00981775" w:rsidRDefault="00981775" w:rsidP="00981775">
      <w:pPr>
        <w:pStyle w:val="SangriaFrancesaArticulo"/>
      </w:pPr>
      <w:r w:rsidRPr="00981775">
        <w:rPr>
          <w:rStyle w:val="TextoNormalNegritaCaracter"/>
        </w:rPr>
        <w:t>Artículo 32.1.</w:t>
      </w:r>
      <w:r w:rsidRPr="00981775">
        <w:rPr>
          <w:rStyle w:val="TextoNormalCaracter"/>
        </w:rPr>
        <w:t>-</w:t>
      </w:r>
      <w:r>
        <w:t xml:space="preserve"> Sentencia </w:t>
      </w:r>
      <w:hyperlink w:anchor="SENTENCIA_2015_154" w:history="1">
        <w:r w:rsidRPr="00981775">
          <w:rPr>
            <w:rStyle w:val="TextoNormalCaracter"/>
          </w:rPr>
          <w:t>154/2015</w:t>
        </w:r>
      </w:hyperlink>
      <w:r>
        <w:t>, f. 7.</w:t>
      </w:r>
    </w:p>
    <w:p w:rsidR="00981775" w:rsidRDefault="00981775" w:rsidP="00981775">
      <w:pPr>
        <w:pStyle w:val="SangriaFrancesaArticulo"/>
      </w:pPr>
      <w:r w:rsidRPr="00981775">
        <w:rPr>
          <w:rStyle w:val="TextoNormalNegritaCaracter"/>
        </w:rPr>
        <w:t>Artículo 33.</w:t>
      </w:r>
      <w:r w:rsidRPr="00981775">
        <w:rPr>
          <w:rStyle w:val="TextoNormalCaracter"/>
        </w:rPr>
        <w:t>-</w:t>
      </w:r>
      <w:r>
        <w:t xml:space="preserve"> Sentencia </w:t>
      </w:r>
      <w:hyperlink w:anchor="SENTENCIA_2015_154" w:history="1">
        <w:r w:rsidRPr="00981775">
          <w:rPr>
            <w:rStyle w:val="TextoNormalCaracter"/>
          </w:rPr>
          <w:t>154/2015</w:t>
        </w:r>
      </w:hyperlink>
      <w:r>
        <w:t>, f. 7.</w:t>
      </w:r>
    </w:p>
    <w:p w:rsidR="00981775" w:rsidRDefault="00981775" w:rsidP="00981775">
      <w:pPr>
        <w:pStyle w:val="SangriaFrancesaArticulo"/>
      </w:pPr>
      <w:r w:rsidRPr="00981775">
        <w:rPr>
          <w:rStyle w:val="TextoNormalNegritaCaracter"/>
        </w:rPr>
        <w:t>Artículo 69.1</w:t>
      </w:r>
      <w:r>
        <w:t xml:space="preserve"> (redactado por la Ley del Parlamento de Andalucía 13/2005, de 17 de noviembre)</w:t>
      </w:r>
      <w:r w:rsidRPr="00981775">
        <w:rPr>
          <w:rStyle w:val="TextoNormalNegritaCaracter"/>
        </w:rPr>
        <w:t>.</w:t>
      </w:r>
      <w:r w:rsidRPr="00981775">
        <w:rPr>
          <w:rStyle w:val="TextoNormalCaracter"/>
        </w:rPr>
        <w:t>-</w:t>
      </w:r>
      <w:r>
        <w:t xml:space="preserve"> Sentencia </w:t>
      </w:r>
      <w:hyperlink w:anchor="SENTENCIA_2015_154" w:history="1">
        <w:r w:rsidRPr="00981775">
          <w:rPr>
            <w:rStyle w:val="TextoNormalCaracter"/>
          </w:rPr>
          <w:t>154/2015</w:t>
        </w:r>
      </w:hyperlink>
      <w:r>
        <w:t>, f. 7.</w:t>
      </w:r>
    </w:p>
    <w:p w:rsidR="00981775" w:rsidRDefault="00981775" w:rsidP="00981775">
      <w:pPr>
        <w:pStyle w:val="SangriaFrancesaArticulo"/>
      </w:pPr>
      <w:r w:rsidRPr="00981775">
        <w:rPr>
          <w:rStyle w:val="TextoNormalNegritaCaracter"/>
        </w:rPr>
        <w:t>Artículo 74.1</w:t>
      </w:r>
      <w:r>
        <w:t xml:space="preserve"> (redactado por la Ley del Parlamento de Andalucía 13/2005, de 17 de noviembre)</w:t>
      </w:r>
      <w:r w:rsidRPr="00981775">
        <w:rPr>
          <w:rStyle w:val="TextoNormalNegritaCaracter"/>
        </w:rPr>
        <w:t>.</w:t>
      </w:r>
      <w:r w:rsidRPr="00981775">
        <w:rPr>
          <w:rStyle w:val="TextoNormalCaracter"/>
        </w:rPr>
        <w:t>-</w:t>
      </w:r>
      <w:r>
        <w:t xml:space="preserve"> Sentencia </w:t>
      </w:r>
      <w:hyperlink w:anchor="SENTENCIA_2015_154" w:history="1">
        <w:r w:rsidRPr="00981775">
          <w:rPr>
            <w:rStyle w:val="TextoNormalCaracter"/>
          </w:rPr>
          <w:t>154/2015</w:t>
        </w:r>
      </w:hyperlink>
      <w:r>
        <w:t>, f. 7.</w:t>
      </w:r>
    </w:p>
    <w:p w:rsidR="00981775" w:rsidRDefault="00981775" w:rsidP="00981775">
      <w:pPr>
        <w:pStyle w:val="SangriaFrancesaArticulo"/>
      </w:pPr>
      <w:r w:rsidRPr="00981775">
        <w:rPr>
          <w:rStyle w:val="TextoNormalNegritaCaracter"/>
        </w:rPr>
        <w:t>Artículo 74.2</w:t>
      </w:r>
      <w:r>
        <w:t xml:space="preserve"> (redactado por la Ley del Parlamento de Andalucía 13/2005, de 17 de noviembre)</w:t>
      </w:r>
      <w:r w:rsidRPr="00981775">
        <w:rPr>
          <w:rStyle w:val="TextoNormalNegritaCaracter"/>
        </w:rPr>
        <w:t>.</w:t>
      </w:r>
      <w:r w:rsidRPr="00981775">
        <w:rPr>
          <w:rStyle w:val="TextoNormalCaracter"/>
        </w:rPr>
        <w:t>-</w:t>
      </w:r>
      <w:r>
        <w:t xml:space="preserve"> Sentencia </w:t>
      </w:r>
      <w:hyperlink w:anchor="SENTENCIA_2015_154" w:history="1">
        <w:r w:rsidRPr="00981775">
          <w:rPr>
            <w:rStyle w:val="TextoNormalCaracter"/>
          </w:rPr>
          <w:t>154/2015</w:t>
        </w:r>
      </w:hyperlink>
      <w:r>
        <w:t>, f. 7.</w:t>
      </w:r>
    </w:p>
    <w:p w:rsidR="00981775" w:rsidRDefault="00981775" w:rsidP="00981775">
      <w:pPr>
        <w:pStyle w:val="SangriaFrancesaArticulo"/>
      </w:pPr>
      <w:r w:rsidRPr="00981775">
        <w:rPr>
          <w:rStyle w:val="TextoNormalNegritaCaracter"/>
        </w:rPr>
        <w:t>Artículo 181.1</w:t>
      </w:r>
      <w:r>
        <w:t xml:space="preserve"> (redactado por la Ley del Parlamento de Andalucía 13/2005, de 17 de noviembre)</w:t>
      </w:r>
      <w:r w:rsidRPr="00981775">
        <w:rPr>
          <w:rStyle w:val="TextoNormalNegritaCaracter"/>
        </w:rPr>
        <w:t>.</w:t>
      </w:r>
      <w:r w:rsidRPr="00981775">
        <w:rPr>
          <w:rStyle w:val="TextoNormalCaracter"/>
        </w:rPr>
        <w:t>-</w:t>
      </w:r>
      <w:r>
        <w:t xml:space="preserve"> Sentencia </w:t>
      </w:r>
      <w:hyperlink w:anchor="SENTENCIA_2015_154" w:history="1">
        <w:r w:rsidRPr="00981775">
          <w:rPr>
            <w:rStyle w:val="TextoNormalCaracter"/>
          </w:rPr>
          <w:t>154/2015</w:t>
        </w:r>
      </w:hyperlink>
      <w:r>
        <w:t>, f. 7.</w:t>
      </w:r>
    </w:p>
    <w:p w:rsidR="00981775" w:rsidRDefault="00981775" w:rsidP="00981775">
      <w:pPr>
        <w:pStyle w:val="SangriaFrancesaArticulo"/>
      </w:pPr>
      <w:r w:rsidRPr="00981775">
        <w:rPr>
          <w:rStyle w:val="TextoNormalNegritaCaracter"/>
        </w:rPr>
        <w:t>Artículo 183.5</w:t>
      </w:r>
      <w:r>
        <w:t xml:space="preserve"> (redactado por la Ley del Parlamento de Andalucía 13/2005, de 17 de noviembre)</w:t>
      </w:r>
      <w:r w:rsidRPr="00981775">
        <w:rPr>
          <w:rStyle w:val="TextoNormalNegritaCaracter"/>
        </w:rPr>
        <w:t>.</w:t>
      </w:r>
      <w:r w:rsidRPr="00981775">
        <w:rPr>
          <w:rStyle w:val="TextoNormalCaracter"/>
        </w:rPr>
        <w:t>-</w:t>
      </w:r>
      <w:r>
        <w:t xml:space="preserve"> Sentencia </w:t>
      </w:r>
      <w:hyperlink w:anchor="SENTENCIA_2015_154" w:history="1">
        <w:r w:rsidRPr="00981775">
          <w:rPr>
            <w:rStyle w:val="TextoNormalCaracter"/>
          </w:rPr>
          <w:t>154/2015</w:t>
        </w:r>
      </w:hyperlink>
      <w:r>
        <w:t>, f. 7.</w:t>
      </w:r>
    </w:p>
    <w:p w:rsidR="00981775" w:rsidRDefault="00981775" w:rsidP="00981775">
      <w:pPr>
        <w:pStyle w:val="SangriaFrancesaArticulo"/>
      </w:pPr>
      <w:r w:rsidRPr="00981775">
        <w:rPr>
          <w:rStyle w:val="TextoNormalNegritaCaracter"/>
        </w:rPr>
        <w:t>Artículo 183.5 expresión "o la Consejería con competencias en materia de urbanismo, en su caso"</w:t>
      </w:r>
      <w:r>
        <w:t xml:space="preserve"> (redactado por la Ley del Parlamento de Andalucía 13/2005, de 17 de noviembre)</w:t>
      </w:r>
      <w:r w:rsidRPr="00981775">
        <w:rPr>
          <w:rStyle w:val="TextoNormalNegritaCaracter"/>
        </w:rPr>
        <w:t>.</w:t>
      </w:r>
      <w:r w:rsidRPr="00981775">
        <w:rPr>
          <w:rStyle w:val="TextoNormalCaracter"/>
        </w:rPr>
        <w:t>-</w:t>
      </w:r>
      <w:r>
        <w:t xml:space="preserve"> Sentencia </w:t>
      </w:r>
      <w:hyperlink w:anchor="SENTENCIA_2015_154" w:history="1">
        <w:r w:rsidRPr="00981775">
          <w:rPr>
            <w:rStyle w:val="TextoNormalCaracter"/>
          </w:rPr>
          <w:t>154/2015</w:t>
        </w:r>
      </w:hyperlink>
      <w:r>
        <w:t>.</w:t>
      </w:r>
    </w:p>
    <w:p w:rsidR="00981775" w:rsidRDefault="00981775" w:rsidP="00981775">
      <w:pPr>
        <w:pStyle w:val="SangriaFrancesaArticulo"/>
      </w:pPr>
      <w:r w:rsidRPr="00981775">
        <w:rPr>
          <w:rStyle w:val="TextoNormalNegritaCaracter"/>
        </w:rPr>
        <w:t>Artículo 185.2 b)</w:t>
      </w:r>
      <w:r>
        <w:t xml:space="preserve"> (redactado por la Ley del Parlamento de Andalucía 13/2005, de 17 de noviembre)</w:t>
      </w:r>
      <w:r w:rsidRPr="00981775">
        <w:rPr>
          <w:rStyle w:val="TextoNormalNegritaCaracter"/>
        </w:rPr>
        <w:t>.</w:t>
      </w:r>
      <w:r w:rsidRPr="00981775">
        <w:rPr>
          <w:rStyle w:val="TextoNormalCaracter"/>
        </w:rPr>
        <w:t>-</w:t>
      </w:r>
      <w:r>
        <w:t xml:space="preserve"> Sentencia </w:t>
      </w:r>
      <w:hyperlink w:anchor="SENTENCIA_2015_154" w:history="1">
        <w:r w:rsidRPr="00981775">
          <w:rPr>
            <w:rStyle w:val="TextoNormalCaracter"/>
          </w:rPr>
          <w:t>154/2015</w:t>
        </w:r>
      </w:hyperlink>
      <w:r>
        <w:t>, f. 7.</w:t>
      </w:r>
    </w:p>
    <w:p w:rsidR="00981775" w:rsidRDefault="00981775" w:rsidP="00981775">
      <w:pPr>
        <w:pStyle w:val="SangriaFrancesaArticulo"/>
      </w:pPr>
      <w:r w:rsidRPr="00981775">
        <w:rPr>
          <w:rStyle w:val="TextoNormalNegritaCaracter"/>
        </w:rPr>
        <w:t>Artículo 188</w:t>
      </w:r>
      <w:r>
        <w:t xml:space="preserve"> (redactado por la Ley del Parlamento de Andalucía 13/2005, de 17 de noviembre)</w:t>
      </w:r>
      <w:r w:rsidRPr="00981775">
        <w:rPr>
          <w:rStyle w:val="TextoNormalNegritaCaracter"/>
        </w:rPr>
        <w:t>.</w:t>
      </w:r>
      <w:r w:rsidRPr="00981775">
        <w:rPr>
          <w:rStyle w:val="TextoNormalCaracter"/>
        </w:rPr>
        <w:t>-</w:t>
      </w:r>
      <w:r>
        <w:t xml:space="preserve"> Sentencia </w:t>
      </w:r>
      <w:hyperlink w:anchor="SENTENCIA_2015_154" w:history="1">
        <w:r w:rsidRPr="00981775">
          <w:rPr>
            <w:rStyle w:val="TextoNormalCaracter"/>
          </w:rPr>
          <w:t>154/2015</w:t>
        </w:r>
      </w:hyperlink>
      <w:r>
        <w:t>, f. 7.</w:t>
      </w:r>
    </w:p>
    <w:p w:rsidR="00981775" w:rsidRDefault="00981775" w:rsidP="00981775">
      <w:pPr>
        <w:pStyle w:val="SangriaFrancesaArticulo"/>
      </w:pPr>
      <w:r w:rsidRPr="00981775">
        <w:rPr>
          <w:rStyle w:val="TextoNormalNegritaCaracter"/>
        </w:rPr>
        <w:t>Artículo 188.1</w:t>
      </w:r>
      <w:r>
        <w:t xml:space="preserve"> (redactado por la Ley del Parlamento de Andalucía 13/2005, de 17 de noviembre)</w:t>
      </w:r>
      <w:r w:rsidRPr="00981775">
        <w:rPr>
          <w:rStyle w:val="TextoNormalNegritaCaracter"/>
        </w:rPr>
        <w:t>.</w:t>
      </w:r>
      <w:r w:rsidRPr="00981775">
        <w:rPr>
          <w:rStyle w:val="TextoNormalCaracter"/>
        </w:rPr>
        <w:t>-</w:t>
      </w:r>
      <w:r>
        <w:t xml:space="preserve"> Sentencia </w:t>
      </w:r>
      <w:hyperlink w:anchor="SENTENCIA_2015_154" w:history="1">
        <w:r w:rsidRPr="00981775">
          <w:rPr>
            <w:rStyle w:val="TextoNormalCaracter"/>
          </w:rPr>
          <w:t>154/2015</w:t>
        </w:r>
      </w:hyperlink>
      <w:r>
        <w:t>, f. 7.</w:t>
      </w:r>
    </w:p>
    <w:p w:rsidR="00981775" w:rsidRDefault="00981775" w:rsidP="00981775">
      <w:pPr>
        <w:pStyle w:val="SangriaFrancesaArticulo"/>
      </w:pPr>
      <w:r w:rsidRPr="00981775">
        <w:rPr>
          <w:rStyle w:val="TextoNormalNegritaCaracter"/>
        </w:rPr>
        <w:t>Artículo 188.1 a)</w:t>
      </w:r>
      <w:r>
        <w:t xml:space="preserve"> (redactado por la Ley del Parlamento de Andalucía 13/2005, de 17 de noviembre)</w:t>
      </w:r>
      <w:r w:rsidRPr="00981775">
        <w:rPr>
          <w:rStyle w:val="TextoNormalNegritaCaracter"/>
        </w:rPr>
        <w:t>.</w:t>
      </w:r>
      <w:r w:rsidRPr="00981775">
        <w:rPr>
          <w:rStyle w:val="TextoNormalCaracter"/>
        </w:rPr>
        <w:t>-</w:t>
      </w:r>
      <w:r>
        <w:t xml:space="preserve"> Sentencia </w:t>
      </w:r>
      <w:hyperlink w:anchor="SENTENCIA_2015_154" w:history="1">
        <w:r w:rsidRPr="00981775">
          <w:rPr>
            <w:rStyle w:val="TextoNormalCaracter"/>
          </w:rPr>
          <w:t>154/2015</w:t>
        </w:r>
      </w:hyperlink>
      <w:r>
        <w:t>, f. 7.</w:t>
      </w:r>
    </w:p>
    <w:p w:rsidR="00981775" w:rsidRDefault="00981775" w:rsidP="00981775">
      <w:pPr>
        <w:pStyle w:val="SangriaFrancesaArticulo"/>
      </w:pPr>
      <w:r w:rsidRPr="00981775">
        <w:rPr>
          <w:rStyle w:val="TextoNormalNegritaCaracter"/>
        </w:rPr>
        <w:t>Artículo 188.1 b)</w:t>
      </w:r>
      <w:r>
        <w:t xml:space="preserve"> (redactado por la Ley del Parlamento de Andalucía 13/2005, de 17 de noviembre)</w:t>
      </w:r>
      <w:r w:rsidRPr="00981775">
        <w:rPr>
          <w:rStyle w:val="TextoNormalNegritaCaracter"/>
        </w:rPr>
        <w:t>.</w:t>
      </w:r>
      <w:r w:rsidRPr="00981775">
        <w:rPr>
          <w:rStyle w:val="TextoNormalCaracter"/>
        </w:rPr>
        <w:t>-</w:t>
      </w:r>
      <w:r>
        <w:t xml:space="preserve"> Sentencia </w:t>
      </w:r>
      <w:hyperlink w:anchor="SENTENCIA_2015_154" w:history="1">
        <w:r w:rsidRPr="00981775">
          <w:rPr>
            <w:rStyle w:val="TextoNormalCaracter"/>
          </w:rPr>
          <w:t>154/2015</w:t>
        </w:r>
      </w:hyperlink>
      <w:r>
        <w:t>, f. 7.</w:t>
      </w:r>
    </w:p>
    <w:p w:rsidR="00981775" w:rsidRDefault="00981775" w:rsidP="00981775">
      <w:pPr>
        <w:pStyle w:val="SangriaFrancesaArticulo"/>
      </w:pPr>
      <w:r w:rsidRPr="00981775">
        <w:rPr>
          <w:rStyle w:val="TextoNormalNegritaCaracter"/>
        </w:rPr>
        <w:t>Artículo 188.1 c)</w:t>
      </w:r>
      <w:r>
        <w:t xml:space="preserve"> (redactado por la Ley del Parlamento de Andalucía 13/2005, de 17 de noviembre)</w:t>
      </w:r>
      <w:r w:rsidRPr="00981775">
        <w:rPr>
          <w:rStyle w:val="TextoNormalNegritaCaracter"/>
        </w:rPr>
        <w:t>.</w:t>
      </w:r>
      <w:r w:rsidRPr="00981775">
        <w:rPr>
          <w:rStyle w:val="TextoNormalCaracter"/>
        </w:rPr>
        <w:t>-</w:t>
      </w:r>
      <w:r>
        <w:t xml:space="preserve"> Sentencia </w:t>
      </w:r>
      <w:hyperlink w:anchor="SENTENCIA_2015_154" w:history="1">
        <w:r w:rsidRPr="00981775">
          <w:rPr>
            <w:rStyle w:val="TextoNormalCaracter"/>
          </w:rPr>
          <w:t>154/2015</w:t>
        </w:r>
      </w:hyperlink>
      <w:r>
        <w:t>, f. 7.</w:t>
      </w:r>
    </w:p>
    <w:p w:rsidR="00981775" w:rsidRDefault="00981775" w:rsidP="00981775">
      <w:pPr>
        <w:pStyle w:val="SangriaFrancesaArticulo"/>
      </w:pPr>
      <w:r w:rsidRPr="00981775">
        <w:rPr>
          <w:rStyle w:val="TextoNormalNegritaCaracter"/>
        </w:rPr>
        <w:t>Artículo 188.2</w:t>
      </w:r>
      <w:r>
        <w:t xml:space="preserve"> (redactado por la Ley del Parlamento de Andalucía 13/2005, de 17 de noviembre)</w:t>
      </w:r>
      <w:r w:rsidRPr="00981775">
        <w:rPr>
          <w:rStyle w:val="TextoNormalNegritaCaracter"/>
        </w:rPr>
        <w:t>.</w:t>
      </w:r>
      <w:r w:rsidRPr="00981775">
        <w:rPr>
          <w:rStyle w:val="TextoNormalCaracter"/>
        </w:rPr>
        <w:t>-</w:t>
      </w:r>
      <w:r>
        <w:t xml:space="preserve"> Sentencia </w:t>
      </w:r>
      <w:hyperlink w:anchor="SENTENCIA_2015_154" w:history="1">
        <w:r w:rsidRPr="00981775">
          <w:rPr>
            <w:rStyle w:val="TextoNormalCaracter"/>
          </w:rPr>
          <w:t>154/2015</w:t>
        </w:r>
      </w:hyperlink>
      <w:r>
        <w:t>, f. 7.</w:t>
      </w:r>
    </w:p>
    <w:p w:rsidR="00981775" w:rsidRDefault="00981775" w:rsidP="00981775">
      <w:pPr>
        <w:pStyle w:val="SangriaFrancesaArticulo"/>
      </w:pPr>
      <w:r w:rsidRPr="00981775">
        <w:rPr>
          <w:rStyle w:val="TextoNormalNegritaCaracter"/>
        </w:rPr>
        <w:t>Artículo 188.3</w:t>
      </w:r>
      <w:r>
        <w:t xml:space="preserve"> (redactado por la Ley del Parlamento de Andalucía 13/2005, de 17 de noviembre)</w:t>
      </w:r>
      <w:r w:rsidRPr="00981775">
        <w:rPr>
          <w:rStyle w:val="TextoNormalNegritaCaracter"/>
        </w:rPr>
        <w:t>.</w:t>
      </w:r>
      <w:r w:rsidRPr="00981775">
        <w:rPr>
          <w:rStyle w:val="TextoNormalCaracter"/>
        </w:rPr>
        <w:t>-</w:t>
      </w:r>
      <w:r>
        <w:t xml:space="preserve"> Sentencia </w:t>
      </w:r>
      <w:hyperlink w:anchor="SENTENCIA_2015_154" w:history="1">
        <w:r w:rsidRPr="00981775">
          <w:rPr>
            <w:rStyle w:val="TextoNormalCaracter"/>
          </w:rPr>
          <w:t>154/2015</w:t>
        </w:r>
      </w:hyperlink>
      <w:r>
        <w:t>, f. 7.</w:t>
      </w:r>
    </w:p>
    <w:p w:rsidR="00981775" w:rsidRDefault="00981775" w:rsidP="00981775">
      <w:pPr>
        <w:pStyle w:val="SangriaFrancesaArticulo"/>
      </w:pPr>
      <w:r w:rsidRPr="00981775">
        <w:rPr>
          <w:rStyle w:val="TextoNormalNegritaCaracter"/>
        </w:rPr>
        <w:t>Artículo 188.3.1</w:t>
      </w:r>
      <w:r>
        <w:t xml:space="preserve"> (redactado por la Ley del Parlamento de Andalucía 13/2005, de 17 de noviembre)</w:t>
      </w:r>
      <w:r w:rsidRPr="00981775">
        <w:rPr>
          <w:rStyle w:val="TextoNormalNegritaCaracter"/>
        </w:rPr>
        <w:t>.</w:t>
      </w:r>
      <w:r w:rsidRPr="00981775">
        <w:rPr>
          <w:rStyle w:val="TextoNormalCaracter"/>
        </w:rPr>
        <w:t>-</w:t>
      </w:r>
      <w:r>
        <w:t xml:space="preserve"> Sentencia </w:t>
      </w:r>
      <w:hyperlink w:anchor="SENTENCIA_2015_154" w:history="1">
        <w:r w:rsidRPr="00981775">
          <w:rPr>
            <w:rStyle w:val="TextoNormalCaracter"/>
          </w:rPr>
          <w:t>154/2015</w:t>
        </w:r>
      </w:hyperlink>
      <w:r>
        <w:t>, f. 7.</w:t>
      </w:r>
    </w:p>
    <w:p w:rsidR="00981775" w:rsidRDefault="00981775" w:rsidP="00981775">
      <w:pPr>
        <w:pStyle w:val="SangriaFrancesaArticulo"/>
      </w:pPr>
      <w:r w:rsidRPr="00981775">
        <w:rPr>
          <w:rStyle w:val="TextoNormalNegritaCaracter"/>
        </w:rPr>
        <w:t>Artículo 188.4</w:t>
      </w:r>
      <w:r>
        <w:t xml:space="preserve"> (redactado por la Ley del Parlamento de Andalucía 13/2005, de 17 de noviembre)</w:t>
      </w:r>
      <w:r w:rsidRPr="00981775">
        <w:rPr>
          <w:rStyle w:val="TextoNormalNegritaCaracter"/>
        </w:rPr>
        <w:t>.</w:t>
      </w:r>
      <w:r w:rsidRPr="00981775">
        <w:rPr>
          <w:rStyle w:val="TextoNormalCaracter"/>
        </w:rPr>
        <w:t>-</w:t>
      </w:r>
      <w:r>
        <w:t xml:space="preserve"> Sentencia </w:t>
      </w:r>
      <w:hyperlink w:anchor="SENTENCIA_2015_154" w:history="1">
        <w:r w:rsidRPr="00981775">
          <w:rPr>
            <w:rStyle w:val="TextoNormalCaracter"/>
          </w:rPr>
          <w:t>154/2015</w:t>
        </w:r>
      </w:hyperlink>
      <w:r>
        <w:t>, f. 7.</w:t>
      </w:r>
    </w:p>
    <w:p w:rsidR="00981775" w:rsidRDefault="00981775" w:rsidP="00981775">
      <w:pPr>
        <w:pStyle w:val="SangriaFrancesaArticulo"/>
      </w:pPr>
      <w:r w:rsidRPr="00981775">
        <w:rPr>
          <w:rStyle w:val="TextoNormalNegritaCaracter"/>
        </w:rPr>
        <w:t>Artículo 195</w:t>
      </w:r>
      <w:r>
        <w:t xml:space="preserve"> (redactado por la Ley del Parlamento de Andalucía 13/2005, de 17 de noviembre)</w:t>
      </w:r>
      <w:r w:rsidRPr="00981775">
        <w:rPr>
          <w:rStyle w:val="TextoNormalNegritaCaracter"/>
        </w:rPr>
        <w:t>.</w:t>
      </w:r>
      <w:r w:rsidRPr="00981775">
        <w:rPr>
          <w:rStyle w:val="TextoNormalCaracter"/>
        </w:rPr>
        <w:t>-</w:t>
      </w:r>
      <w:r>
        <w:t xml:space="preserve"> Sentencia </w:t>
      </w:r>
      <w:hyperlink w:anchor="SENTENCIA_2015_154" w:history="1">
        <w:r w:rsidRPr="00981775">
          <w:rPr>
            <w:rStyle w:val="TextoNormalCaracter"/>
          </w:rPr>
          <w:t>154/2015</w:t>
        </w:r>
      </w:hyperlink>
      <w:r>
        <w:t>, f. 7.</w:t>
      </w:r>
    </w:p>
    <w:p w:rsidR="00981775" w:rsidRDefault="00981775" w:rsidP="00981775">
      <w:pPr>
        <w:pStyle w:val="SangriaFrancesaArticulo"/>
      </w:pPr>
      <w:r w:rsidRPr="00981775">
        <w:rPr>
          <w:rStyle w:val="TextoNormalNegritaCaracter"/>
        </w:rPr>
        <w:t>Artículo 195.1</w:t>
      </w:r>
      <w:r>
        <w:t xml:space="preserve"> (redactado por la Ley del Parlamento de Andalucía 13/2005, de 17 de noviembre)</w:t>
      </w:r>
      <w:r w:rsidRPr="00981775">
        <w:rPr>
          <w:rStyle w:val="TextoNormalNegritaCaracter"/>
        </w:rPr>
        <w:t>.</w:t>
      </w:r>
      <w:r w:rsidRPr="00981775">
        <w:rPr>
          <w:rStyle w:val="TextoNormalCaracter"/>
        </w:rPr>
        <w:t>-</w:t>
      </w:r>
      <w:r>
        <w:t xml:space="preserve"> Sentencia </w:t>
      </w:r>
      <w:hyperlink w:anchor="SENTENCIA_2015_154" w:history="1">
        <w:r w:rsidRPr="00981775">
          <w:rPr>
            <w:rStyle w:val="TextoNormalCaracter"/>
          </w:rPr>
          <w:t>154/2015</w:t>
        </w:r>
      </w:hyperlink>
      <w:r>
        <w:t>, f. 7.</w:t>
      </w:r>
    </w:p>
    <w:p w:rsidR="00981775" w:rsidRDefault="00981775" w:rsidP="00981775">
      <w:pPr>
        <w:pStyle w:val="SangriaFrancesaArticulo"/>
      </w:pPr>
      <w:r w:rsidRPr="00981775">
        <w:rPr>
          <w:rStyle w:val="TextoNormalNegritaCaracter"/>
        </w:rPr>
        <w:t>Artículo 195.1 a)</w:t>
      </w:r>
      <w:r>
        <w:t xml:space="preserve"> (redactado por la Ley del Parlamento de Andalucía 13/2005, de 17 de noviembre)</w:t>
      </w:r>
      <w:r w:rsidRPr="00981775">
        <w:rPr>
          <w:rStyle w:val="TextoNormalNegritaCaracter"/>
        </w:rPr>
        <w:t>.</w:t>
      </w:r>
      <w:r w:rsidRPr="00981775">
        <w:rPr>
          <w:rStyle w:val="TextoNormalCaracter"/>
        </w:rPr>
        <w:t>-</w:t>
      </w:r>
      <w:r>
        <w:t xml:space="preserve"> Sentencia </w:t>
      </w:r>
      <w:hyperlink w:anchor="SENTENCIA_2015_154" w:history="1">
        <w:r w:rsidRPr="00981775">
          <w:rPr>
            <w:rStyle w:val="TextoNormalCaracter"/>
          </w:rPr>
          <w:t>154/2015</w:t>
        </w:r>
      </w:hyperlink>
      <w:r>
        <w:t>, f. 7.</w:t>
      </w:r>
    </w:p>
    <w:p w:rsidR="00981775" w:rsidRDefault="00981775" w:rsidP="00981775">
      <w:pPr>
        <w:pStyle w:val="SangriaFrancesaArticulo"/>
      </w:pPr>
      <w:r w:rsidRPr="00981775">
        <w:rPr>
          <w:rStyle w:val="TextoNormalNegritaCaracter"/>
        </w:rPr>
        <w:t>Artículo 195.1 b) párrafo 1</w:t>
      </w:r>
      <w:r>
        <w:t xml:space="preserve"> (redactado por la Ley del Parlamento de Andalucía 13/2005, de 17 de noviembre)</w:t>
      </w:r>
      <w:r w:rsidRPr="00981775">
        <w:rPr>
          <w:rStyle w:val="TextoNormalNegritaCaracter"/>
        </w:rPr>
        <w:t>.</w:t>
      </w:r>
      <w:r w:rsidRPr="00981775">
        <w:rPr>
          <w:rStyle w:val="TextoNormalCaracter"/>
        </w:rPr>
        <w:t>-</w:t>
      </w:r>
      <w:r>
        <w:t xml:space="preserve"> Sentencia </w:t>
      </w:r>
      <w:hyperlink w:anchor="SENTENCIA_2015_154" w:history="1">
        <w:r w:rsidRPr="00981775">
          <w:rPr>
            <w:rStyle w:val="TextoNormalCaracter"/>
          </w:rPr>
          <w:t>154/2015</w:t>
        </w:r>
      </w:hyperlink>
      <w:r>
        <w:t>, f. 7.</w:t>
      </w:r>
    </w:p>
    <w:p w:rsidR="00981775" w:rsidRDefault="00981775" w:rsidP="00981775">
      <w:pPr>
        <w:pStyle w:val="SangriaFrancesaArticulo"/>
      </w:pPr>
      <w:r w:rsidRPr="00981775">
        <w:rPr>
          <w:rStyle w:val="TextoNormalNegritaCaracter"/>
        </w:rPr>
        <w:t>Artículo 195.1 b) párrafo 2</w:t>
      </w:r>
      <w:r>
        <w:t xml:space="preserve"> (redactado por la Ley del Parlamento de Andalucía 13/2005, de 17 de noviembre)</w:t>
      </w:r>
      <w:r w:rsidRPr="00981775">
        <w:rPr>
          <w:rStyle w:val="TextoNormalNegritaCaracter"/>
        </w:rPr>
        <w:t>.</w:t>
      </w:r>
      <w:r w:rsidRPr="00981775">
        <w:rPr>
          <w:rStyle w:val="TextoNormalCaracter"/>
        </w:rPr>
        <w:t>-</w:t>
      </w:r>
      <w:r>
        <w:t xml:space="preserve"> Sentencia </w:t>
      </w:r>
      <w:hyperlink w:anchor="SENTENCIA_2015_154" w:history="1">
        <w:r w:rsidRPr="00981775">
          <w:rPr>
            <w:rStyle w:val="TextoNormalCaracter"/>
          </w:rPr>
          <w:t>154/2015</w:t>
        </w:r>
      </w:hyperlink>
      <w:r>
        <w:t>, f. 7.</w:t>
      </w:r>
    </w:p>
    <w:p w:rsidR="00981775" w:rsidRDefault="00981775" w:rsidP="00981775">
      <w:pPr>
        <w:pStyle w:val="SangriaFrancesaArticulo"/>
      </w:pPr>
      <w:r w:rsidRPr="00981775">
        <w:rPr>
          <w:rStyle w:val="TextoNormalNegritaCaracter"/>
        </w:rPr>
        <w:t>Artículo 195.1 b) párrafo 3.</w:t>
      </w:r>
      <w:r w:rsidRPr="00981775">
        <w:rPr>
          <w:rStyle w:val="TextoNormalCaracter"/>
        </w:rPr>
        <w:t>-</w:t>
      </w:r>
      <w:r>
        <w:t xml:space="preserve"> Sentencia </w:t>
      </w:r>
      <w:hyperlink w:anchor="SENTENCIA_2015_154" w:history="1">
        <w:r w:rsidRPr="00981775">
          <w:rPr>
            <w:rStyle w:val="TextoNormalCaracter"/>
          </w:rPr>
          <w:t>154/2015</w:t>
        </w:r>
      </w:hyperlink>
      <w:r>
        <w:t>, f. 7.</w:t>
      </w:r>
    </w:p>
    <w:p w:rsidR="00981775" w:rsidRDefault="00981775" w:rsidP="00981775">
      <w:pPr>
        <w:pStyle w:val="SangriaFrancesaArticulo"/>
      </w:pPr>
    </w:p>
    <w:p w:rsidR="00981775" w:rsidRDefault="00981775" w:rsidP="00981775">
      <w:pPr>
        <w:pStyle w:val="TextoNormalNegritaCursivandice"/>
      </w:pPr>
      <w:r>
        <w:t>Ley del Parlamento de Andalucía 13/2005, de 11 de noviembre. Medidas para la vivienda protegida y el suelo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54" w:history="1">
        <w:r w:rsidRPr="00981775">
          <w:rPr>
            <w:rStyle w:val="TextoNormalCaracter"/>
          </w:rPr>
          <w:t>154/2015</w:t>
        </w:r>
      </w:hyperlink>
      <w:r>
        <w:t>, ff. 3, 6, 7.</w:t>
      </w:r>
    </w:p>
    <w:p w:rsidR="00981775" w:rsidRDefault="00981775" w:rsidP="00981775">
      <w:pPr>
        <w:pStyle w:val="SangriaFrancesaArticulo"/>
      </w:pPr>
      <w:r w:rsidRPr="00981775">
        <w:rPr>
          <w:rStyle w:val="TextoNormalNegritaCaracter"/>
        </w:rPr>
        <w:t>Artículo 1.</w:t>
      </w:r>
      <w:r w:rsidRPr="00981775">
        <w:rPr>
          <w:rStyle w:val="TextoNormalCaracter"/>
        </w:rPr>
        <w:t>-</w:t>
      </w:r>
      <w:r>
        <w:t xml:space="preserve"> Sentencia </w:t>
      </w:r>
      <w:hyperlink w:anchor="SENTENCIA_2015_154" w:history="1">
        <w:r w:rsidRPr="00981775">
          <w:rPr>
            <w:rStyle w:val="TextoNormalCaracter"/>
          </w:rPr>
          <w:t>154/2015</w:t>
        </w:r>
      </w:hyperlink>
      <w:r>
        <w:t>, f. 3.</w:t>
      </w:r>
    </w:p>
    <w:p w:rsidR="00981775" w:rsidRDefault="00981775" w:rsidP="00981775">
      <w:pPr>
        <w:pStyle w:val="SangriaFrancesaArticulo"/>
      </w:pPr>
      <w:r w:rsidRPr="00981775">
        <w:rPr>
          <w:rStyle w:val="TextoNormalNegritaCaracter"/>
        </w:rPr>
        <w:t>Artículo 3.</w:t>
      </w:r>
      <w:r w:rsidRPr="00981775">
        <w:rPr>
          <w:rStyle w:val="TextoNormalCaracter"/>
        </w:rPr>
        <w:t>-</w:t>
      </w:r>
      <w:r>
        <w:t xml:space="preserve"> Sentencia </w:t>
      </w:r>
      <w:hyperlink w:anchor="SENTENCIA_2015_154" w:history="1">
        <w:r w:rsidRPr="00981775">
          <w:rPr>
            <w:rStyle w:val="TextoNormalCaracter"/>
          </w:rPr>
          <w:t>154/2015</w:t>
        </w:r>
      </w:hyperlink>
      <w:r>
        <w:t>, f. 3.</w:t>
      </w:r>
    </w:p>
    <w:p w:rsidR="00981775" w:rsidRDefault="00981775" w:rsidP="00981775">
      <w:pPr>
        <w:pStyle w:val="SangriaFrancesaArticulo"/>
      </w:pPr>
      <w:r w:rsidRPr="00981775">
        <w:rPr>
          <w:rStyle w:val="TextoNormalNegritaCaracter"/>
        </w:rPr>
        <w:t>Artículo 4.1.</w:t>
      </w:r>
      <w:r w:rsidRPr="00981775">
        <w:rPr>
          <w:rStyle w:val="TextoNormalCaracter"/>
        </w:rPr>
        <w:t>-</w:t>
      </w:r>
      <w:r>
        <w:t xml:space="preserve"> Sentencia </w:t>
      </w:r>
      <w:hyperlink w:anchor="SENTENCIA_2015_154" w:history="1">
        <w:r w:rsidRPr="00981775">
          <w:rPr>
            <w:rStyle w:val="TextoNormalCaracter"/>
          </w:rPr>
          <w:t>154/2015</w:t>
        </w:r>
      </w:hyperlink>
      <w:r>
        <w:t>, f. 3.</w:t>
      </w:r>
    </w:p>
    <w:p w:rsidR="00981775" w:rsidRDefault="00981775" w:rsidP="00981775">
      <w:pPr>
        <w:pStyle w:val="SangriaFrancesaArticulo"/>
      </w:pPr>
      <w:r w:rsidRPr="00981775">
        <w:rPr>
          <w:rStyle w:val="TextoNormalNegritaCaracter"/>
        </w:rPr>
        <w:t>Artículo 5.1.</w:t>
      </w:r>
      <w:r w:rsidRPr="00981775">
        <w:rPr>
          <w:rStyle w:val="TextoNormalCaracter"/>
        </w:rPr>
        <w:t>-</w:t>
      </w:r>
      <w:r>
        <w:t xml:space="preserve"> Sentencia </w:t>
      </w:r>
      <w:hyperlink w:anchor="SENTENCIA_2015_154" w:history="1">
        <w:r w:rsidRPr="00981775">
          <w:rPr>
            <w:rStyle w:val="TextoNormalCaracter"/>
          </w:rPr>
          <w:t>154/2015</w:t>
        </w:r>
      </w:hyperlink>
      <w:r>
        <w:t>, f. 3.</w:t>
      </w:r>
    </w:p>
    <w:p w:rsidR="00981775" w:rsidRDefault="00981775" w:rsidP="00981775">
      <w:pPr>
        <w:pStyle w:val="SangriaFrancesaArticulo"/>
      </w:pPr>
      <w:r w:rsidRPr="00981775">
        <w:rPr>
          <w:rStyle w:val="TextoNormalNegritaCaracter"/>
        </w:rPr>
        <w:t>Artículo 6.1.</w:t>
      </w:r>
      <w:r w:rsidRPr="00981775">
        <w:rPr>
          <w:rStyle w:val="TextoNormalCaracter"/>
        </w:rPr>
        <w:t>-</w:t>
      </w:r>
      <w:r>
        <w:t xml:space="preserve"> Sentencia </w:t>
      </w:r>
      <w:hyperlink w:anchor="SENTENCIA_2015_154" w:history="1">
        <w:r w:rsidRPr="00981775">
          <w:rPr>
            <w:rStyle w:val="TextoNormalCaracter"/>
          </w:rPr>
          <w:t>154/2015</w:t>
        </w:r>
      </w:hyperlink>
      <w:r>
        <w:t>, f. 3.</w:t>
      </w:r>
    </w:p>
    <w:p w:rsidR="00981775" w:rsidRDefault="00981775" w:rsidP="00981775">
      <w:pPr>
        <w:pStyle w:val="SangriaFrancesaArticulo"/>
      </w:pPr>
      <w:r w:rsidRPr="00981775">
        <w:rPr>
          <w:rStyle w:val="TextoNormalNegritaCaracter"/>
        </w:rPr>
        <w:t>Artículo 6.2.</w:t>
      </w:r>
      <w:r w:rsidRPr="00981775">
        <w:rPr>
          <w:rStyle w:val="TextoNormalCaracter"/>
        </w:rPr>
        <w:t>-</w:t>
      </w:r>
      <w:r>
        <w:t xml:space="preserve"> Sentencia </w:t>
      </w:r>
      <w:hyperlink w:anchor="SENTENCIA_2015_154" w:history="1">
        <w:r w:rsidRPr="00981775">
          <w:rPr>
            <w:rStyle w:val="TextoNormalCaracter"/>
          </w:rPr>
          <w:t>154/2015</w:t>
        </w:r>
      </w:hyperlink>
      <w:r>
        <w:t>, f. 3.</w:t>
      </w:r>
    </w:p>
    <w:p w:rsidR="00981775" w:rsidRDefault="00981775" w:rsidP="00981775">
      <w:pPr>
        <w:pStyle w:val="SangriaFrancesaArticulo"/>
      </w:pPr>
      <w:r w:rsidRPr="00981775">
        <w:rPr>
          <w:rStyle w:val="TextoNormalNegritaCaracter"/>
        </w:rPr>
        <w:t>Artículo 12.</w:t>
      </w:r>
      <w:r w:rsidRPr="00981775">
        <w:rPr>
          <w:rStyle w:val="TextoNormalCaracter"/>
        </w:rPr>
        <w:t>-</w:t>
      </w:r>
      <w:r>
        <w:t xml:space="preserve"> Sentencia </w:t>
      </w:r>
      <w:hyperlink w:anchor="SENTENCIA_2015_154" w:history="1">
        <w:r w:rsidRPr="00981775">
          <w:rPr>
            <w:rStyle w:val="TextoNormalCaracter"/>
          </w:rPr>
          <w:t>154/2015</w:t>
        </w:r>
      </w:hyperlink>
      <w:r>
        <w:t>, ff. 1, 3, 5.</w:t>
      </w:r>
    </w:p>
    <w:p w:rsidR="00981775" w:rsidRDefault="00981775" w:rsidP="00981775">
      <w:pPr>
        <w:pStyle w:val="SangriaFrancesaArticulo"/>
      </w:pPr>
      <w:r w:rsidRPr="00981775">
        <w:rPr>
          <w:rStyle w:val="TextoNormalNegritaCaracter"/>
        </w:rPr>
        <w:t>Artículo 12.1, párrafo 1.</w:t>
      </w:r>
      <w:r w:rsidRPr="00981775">
        <w:rPr>
          <w:rStyle w:val="TextoNormalCaracter"/>
        </w:rPr>
        <w:t>-</w:t>
      </w:r>
      <w:r>
        <w:t xml:space="preserve"> Sentencia </w:t>
      </w:r>
      <w:hyperlink w:anchor="SENTENCIA_2015_154" w:history="1">
        <w:r w:rsidRPr="00981775">
          <w:rPr>
            <w:rStyle w:val="TextoNormalCaracter"/>
          </w:rPr>
          <w:t>154/2015</w:t>
        </w:r>
      </w:hyperlink>
      <w:r>
        <w:t>, f. 3.</w:t>
      </w:r>
    </w:p>
    <w:p w:rsidR="00981775" w:rsidRDefault="00981775" w:rsidP="00981775">
      <w:pPr>
        <w:pStyle w:val="SangriaFrancesaArticulo"/>
      </w:pPr>
      <w:r w:rsidRPr="00981775">
        <w:rPr>
          <w:rStyle w:val="TextoNormalNegritaCaracter"/>
        </w:rPr>
        <w:t>Artículo 12.1, párrafo 2.</w:t>
      </w:r>
      <w:r w:rsidRPr="00981775">
        <w:rPr>
          <w:rStyle w:val="TextoNormalCaracter"/>
        </w:rPr>
        <w:t>-</w:t>
      </w:r>
      <w:r>
        <w:t xml:space="preserve"> Sentencia </w:t>
      </w:r>
      <w:hyperlink w:anchor="SENTENCIA_2015_154" w:history="1">
        <w:r w:rsidRPr="00981775">
          <w:rPr>
            <w:rStyle w:val="TextoNormalCaracter"/>
          </w:rPr>
          <w:t>154/2015</w:t>
        </w:r>
      </w:hyperlink>
      <w:r>
        <w:t>, f. 3.</w:t>
      </w:r>
    </w:p>
    <w:p w:rsidR="00981775" w:rsidRDefault="00981775" w:rsidP="00981775">
      <w:pPr>
        <w:pStyle w:val="SangriaFrancesaArticulo"/>
      </w:pPr>
      <w:r w:rsidRPr="00981775">
        <w:rPr>
          <w:rStyle w:val="TextoNormalNegritaCaracter"/>
        </w:rPr>
        <w:t xml:space="preserve">Artículo 12.1, párrafo 2 inciso </w:t>
      </w:r>
      <w:r w:rsidRPr="00981775">
        <w:rPr>
          <w:rStyle w:val="TextoNormalNegritaCursivaCaracter"/>
        </w:rPr>
        <w:t>in fine</w:t>
      </w:r>
      <w:r>
        <w:t xml:space="preserve"> </w:t>
      </w:r>
      <w:r w:rsidRPr="00981775">
        <w:rPr>
          <w:rStyle w:val="TextoNormalCaracter"/>
        </w:rPr>
        <w:t>(redactado por la Ley del Parlamento de Andalucía 13/2007, de 26 de noviembre)</w:t>
      </w:r>
      <w:r w:rsidRPr="00981775">
        <w:rPr>
          <w:rStyle w:val="TextoNormalNegritaCaracter"/>
        </w:rPr>
        <w:t>.</w:t>
      </w:r>
      <w:r w:rsidRPr="00981775">
        <w:rPr>
          <w:rStyle w:val="TextoNormalCaracter"/>
        </w:rPr>
        <w:t>-</w:t>
      </w:r>
      <w:r>
        <w:t xml:space="preserve"> Sentencia </w:t>
      </w:r>
      <w:hyperlink w:anchor="SENTENCIA_2015_154" w:history="1">
        <w:r w:rsidRPr="00981775">
          <w:rPr>
            <w:rStyle w:val="TextoNormalCaracter"/>
          </w:rPr>
          <w:t>154/2015</w:t>
        </w:r>
      </w:hyperlink>
      <w:r>
        <w:t>, f. 1.</w:t>
      </w:r>
    </w:p>
    <w:p w:rsidR="00981775" w:rsidRDefault="00981775" w:rsidP="00981775">
      <w:pPr>
        <w:pStyle w:val="SangriaFrancesaArticulo"/>
      </w:pPr>
      <w:r w:rsidRPr="00981775">
        <w:rPr>
          <w:rStyle w:val="TextoNormalNegritaCaracter"/>
        </w:rPr>
        <w:t>Artículo 12.2.</w:t>
      </w:r>
      <w:r w:rsidRPr="00981775">
        <w:rPr>
          <w:rStyle w:val="TextoNormalCaracter"/>
        </w:rPr>
        <w:t>-</w:t>
      </w:r>
      <w:r>
        <w:t xml:space="preserve"> Sentencia </w:t>
      </w:r>
      <w:hyperlink w:anchor="SENTENCIA_2015_154" w:history="1">
        <w:r w:rsidRPr="00981775">
          <w:rPr>
            <w:rStyle w:val="TextoNormalCaracter"/>
          </w:rPr>
          <w:t>154/2015</w:t>
        </w:r>
      </w:hyperlink>
      <w:r>
        <w:t>, f. 3.</w:t>
      </w:r>
    </w:p>
    <w:p w:rsidR="00981775" w:rsidRDefault="00981775" w:rsidP="00981775">
      <w:pPr>
        <w:pStyle w:val="SangriaFrancesaArticulo"/>
      </w:pPr>
      <w:r w:rsidRPr="00981775">
        <w:rPr>
          <w:rStyle w:val="TextoNormalNegritaCaracter"/>
        </w:rPr>
        <w:t>Artículo 13.</w:t>
      </w:r>
      <w:r w:rsidRPr="00981775">
        <w:rPr>
          <w:rStyle w:val="TextoNormalCaracter"/>
        </w:rPr>
        <w:t>-</w:t>
      </w:r>
      <w:r>
        <w:t xml:space="preserve"> Sentencia </w:t>
      </w:r>
      <w:hyperlink w:anchor="SENTENCIA_2015_154" w:history="1">
        <w:r w:rsidRPr="00981775">
          <w:rPr>
            <w:rStyle w:val="TextoNormalCaracter"/>
          </w:rPr>
          <w:t>154/2015</w:t>
        </w:r>
      </w:hyperlink>
      <w:r>
        <w:t>, ff. 1, 3, 5.</w:t>
      </w:r>
    </w:p>
    <w:p w:rsidR="00981775" w:rsidRDefault="00981775" w:rsidP="00981775">
      <w:pPr>
        <w:pStyle w:val="SangriaFrancesaArticulo"/>
      </w:pPr>
      <w:r w:rsidRPr="00981775">
        <w:rPr>
          <w:rStyle w:val="TextoNormalNegritaCaracter"/>
        </w:rPr>
        <w:t>Artículo 14.</w:t>
      </w:r>
      <w:r w:rsidRPr="00981775">
        <w:rPr>
          <w:rStyle w:val="TextoNormalCaracter"/>
        </w:rPr>
        <w:t>-</w:t>
      </w:r>
      <w:r>
        <w:t xml:space="preserve"> Sentencia </w:t>
      </w:r>
      <w:hyperlink w:anchor="SENTENCIA_2015_154" w:history="1">
        <w:r w:rsidRPr="00981775">
          <w:rPr>
            <w:rStyle w:val="TextoNormalCaracter"/>
          </w:rPr>
          <w:t>154/2015</w:t>
        </w:r>
      </w:hyperlink>
      <w:r>
        <w:t>, f. 3.</w:t>
      </w:r>
    </w:p>
    <w:p w:rsidR="00981775" w:rsidRDefault="00981775" w:rsidP="00981775">
      <w:pPr>
        <w:pStyle w:val="SangriaFrancesaArticulo"/>
      </w:pPr>
      <w:r w:rsidRPr="00981775">
        <w:rPr>
          <w:rStyle w:val="TextoNormalNegritaCaracter"/>
        </w:rPr>
        <w:t>Artículo 15.</w:t>
      </w:r>
      <w:r w:rsidRPr="00981775">
        <w:rPr>
          <w:rStyle w:val="TextoNormalCaracter"/>
        </w:rPr>
        <w:t>-</w:t>
      </w:r>
      <w:r>
        <w:t xml:space="preserve"> Sentencia </w:t>
      </w:r>
      <w:hyperlink w:anchor="SENTENCIA_2015_154" w:history="1">
        <w:r w:rsidRPr="00981775">
          <w:rPr>
            <w:rStyle w:val="TextoNormalCaracter"/>
          </w:rPr>
          <w:t>154/2015</w:t>
        </w:r>
      </w:hyperlink>
      <w:r>
        <w:t>, f. 3.</w:t>
      </w:r>
    </w:p>
    <w:p w:rsidR="00981775" w:rsidRDefault="00981775" w:rsidP="00981775">
      <w:pPr>
        <w:pStyle w:val="SangriaFrancesaArticulo"/>
      </w:pPr>
      <w:r w:rsidRPr="00981775">
        <w:rPr>
          <w:rStyle w:val="TextoNormalNegritaCaracter"/>
        </w:rPr>
        <w:t>Artículo 16.</w:t>
      </w:r>
      <w:r w:rsidRPr="00981775">
        <w:rPr>
          <w:rStyle w:val="TextoNormalCaracter"/>
        </w:rPr>
        <w:t>-</w:t>
      </w:r>
      <w:r>
        <w:t xml:space="preserve"> Sentencia </w:t>
      </w:r>
      <w:hyperlink w:anchor="SENTENCIA_2015_154" w:history="1">
        <w:r w:rsidRPr="00981775">
          <w:rPr>
            <w:rStyle w:val="TextoNormalCaracter"/>
          </w:rPr>
          <w:t>154/2015</w:t>
        </w:r>
      </w:hyperlink>
      <w:r>
        <w:t>, f. 3.</w:t>
      </w:r>
    </w:p>
    <w:p w:rsidR="00981775" w:rsidRDefault="00981775" w:rsidP="00981775">
      <w:pPr>
        <w:pStyle w:val="SangriaFrancesaArticulo"/>
      </w:pPr>
      <w:r w:rsidRPr="00981775">
        <w:rPr>
          <w:rStyle w:val="TextoNormalNegritaCaracter"/>
        </w:rPr>
        <w:t>Artículos 17 a 22.</w:t>
      </w:r>
      <w:r w:rsidRPr="00981775">
        <w:rPr>
          <w:rStyle w:val="TextoNormalCaracter"/>
        </w:rPr>
        <w:t>-</w:t>
      </w:r>
      <w:r>
        <w:t xml:space="preserve"> Sentencia </w:t>
      </w:r>
      <w:hyperlink w:anchor="SENTENCIA_2015_154" w:history="1">
        <w:r w:rsidRPr="00981775">
          <w:rPr>
            <w:rStyle w:val="TextoNormalCaracter"/>
          </w:rPr>
          <w:t>154/2015</w:t>
        </w:r>
      </w:hyperlink>
      <w:r>
        <w:t>, f. 3.</w:t>
      </w:r>
    </w:p>
    <w:p w:rsidR="00981775" w:rsidRDefault="00981775" w:rsidP="00981775">
      <w:pPr>
        <w:pStyle w:val="SangriaFrancesaArticulo"/>
      </w:pPr>
      <w:r w:rsidRPr="00981775">
        <w:rPr>
          <w:rStyle w:val="TextoNormalNegritaCaracter"/>
        </w:rPr>
        <w:t>Artículo 23.4.</w:t>
      </w:r>
      <w:r w:rsidRPr="00981775">
        <w:rPr>
          <w:rStyle w:val="TextoNormalCaracter"/>
        </w:rPr>
        <w:t>-</w:t>
      </w:r>
      <w:r>
        <w:t xml:space="preserve"> Sentencia </w:t>
      </w:r>
      <w:hyperlink w:anchor="SENTENCIA_2015_154" w:history="1">
        <w:r w:rsidRPr="00981775">
          <w:rPr>
            <w:rStyle w:val="TextoNormalCaracter"/>
          </w:rPr>
          <w:t>154/2015</w:t>
        </w:r>
      </w:hyperlink>
      <w:r>
        <w:t>, ff. 1, 2, 7.</w:t>
      </w:r>
    </w:p>
    <w:p w:rsidR="00981775" w:rsidRDefault="00981775" w:rsidP="00981775">
      <w:pPr>
        <w:pStyle w:val="SangriaFrancesaArticulo"/>
      </w:pPr>
      <w:r w:rsidRPr="00981775">
        <w:rPr>
          <w:rStyle w:val="TextoNormalNegritaCaracter"/>
        </w:rPr>
        <w:t>Artículo 24.11.</w:t>
      </w:r>
      <w:r w:rsidRPr="00981775">
        <w:rPr>
          <w:rStyle w:val="TextoNormalCaracter"/>
        </w:rPr>
        <w:t>-</w:t>
      </w:r>
      <w:r>
        <w:t xml:space="preserve"> Sentencia </w:t>
      </w:r>
      <w:hyperlink w:anchor="SENTENCIA_2015_154" w:history="1">
        <w:r w:rsidRPr="00981775">
          <w:rPr>
            <w:rStyle w:val="TextoNormalCaracter"/>
          </w:rPr>
          <w:t>154/2015</w:t>
        </w:r>
      </w:hyperlink>
      <w:r>
        <w:t>, ff. 1, 7.</w:t>
      </w:r>
    </w:p>
    <w:p w:rsidR="00981775" w:rsidRDefault="00981775" w:rsidP="00981775">
      <w:pPr>
        <w:pStyle w:val="SangriaFrancesaArticulo"/>
      </w:pPr>
      <w:r w:rsidRPr="00981775">
        <w:rPr>
          <w:rStyle w:val="TextoNormalNegritaCaracter"/>
        </w:rPr>
        <w:t>Artículo 28.</w:t>
      </w:r>
      <w:r w:rsidRPr="00981775">
        <w:rPr>
          <w:rStyle w:val="TextoNormalCaracter"/>
        </w:rPr>
        <w:t>-</w:t>
      </w:r>
      <w:r>
        <w:t xml:space="preserve"> Sentencia </w:t>
      </w:r>
      <w:hyperlink w:anchor="SENTENCIA_2015_154" w:history="1">
        <w:r w:rsidRPr="00981775">
          <w:rPr>
            <w:rStyle w:val="TextoNormalCaracter"/>
          </w:rPr>
          <w:t>154/2015</w:t>
        </w:r>
      </w:hyperlink>
      <w:r>
        <w:t>.</w:t>
      </w:r>
    </w:p>
    <w:p w:rsidR="00981775" w:rsidRDefault="00981775" w:rsidP="00981775">
      <w:pPr>
        <w:pStyle w:val="SangriaFrancesaArticulo"/>
      </w:pPr>
      <w:r w:rsidRPr="00981775">
        <w:rPr>
          <w:rStyle w:val="TextoNormalNegritaCaracter"/>
        </w:rPr>
        <w:t>Artículo 28.1.</w:t>
      </w:r>
      <w:r w:rsidRPr="00981775">
        <w:rPr>
          <w:rStyle w:val="TextoNormalCaracter"/>
        </w:rPr>
        <w:t>-</w:t>
      </w:r>
      <w:r>
        <w:t xml:space="preserve"> Sentencia </w:t>
      </w:r>
      <w:hyperlink w:anchor="SENTENCIA_2015_154" w:history="1">
        <w:r w:rsidRPr="00981775">
          <w:rPr>
            <w:rStyle w:val="TextoNormalCaracter"/>
          </w:rPr>
          <w:t>154/2015</w:t>
        </w:r>
      </w:hyperlink>
      <w:r>
        <w:t>, ff. 1, 7.</w:t>
      </w:r>
    </w:p>
    <w:p w:rsidR="00981775" w:rsidRDefault="00981775" w:rsidP="00981775">
      <w:pPr>
        <w:pStyle w:val="SangriaFrancesaArticulo"/>
      </w:pPr>
      <w:r w:rsidRPr="00981775">
        <w:rPr>
          <w:rStyle w:val="TextoNormalNegritaCaracter"/>
        </w:rPr>
        <w:t>Artículo 28.9.</w:t>
      </w:r>
      <w:r w:rsidRPr="00981775">
        <w:rPr>
          <w:rStyle w:val="TextoNormalCaracter"/>
        </w:rPr>
        <w:t>-</w:t>
      </w:r>
      <w:r>
        <w:t xml:space="preserve"> Sentencia </w:t>
      </w:r>
      <w:hyperlink w:anchor="SENTENCIA_2015_154" w:history="1">
        <w:r w:rsidRPr="00981775">
          <w:rPr>
            <w:rStyle w:val="TextoNormalCaracter"/>
          </w:rPr>
          <w:t>154/2015</w:t>
        </w:r>
      </w:hyperlink>
      <w:r>
        <w:t>, ff. 1, 7.</w:t>
      </w:r>
    </w:p>
    <w:p w:rsidR="00981775" w:rsidRDefault="00981775" w:rsidP="00981775">
      <w:pPr>
        <w:pStyle w:val="SangriaFrancesaArticulo"/>
      </w:pPr>
      <w:r w:rsidRPr="00981775">
        <w:rPr>
          <w:rStyle w:val="TextoNormalNegritaCaracter"/>
        </w:rPr>
        <w:t>Artículo 28.11.</w:t>
      </w:r>
      <w:r w:rsidRPr="00981775">
        <w:rPr>
          <w:rStyle w:val="TextoNormalCaracter"/>
        </w:rPr>
        <w:t>-</w:t>
      </w:r>
      <w:r>
        <w:t xml:space="preserve"> Sentencia </w:t>
      </w:r>
      <w:hyperlink w:anchor="SENTENCIA_2015_154" w:history="1">
        <w:r w:rsidRPr="00981775">
          <w:rPr>
            <w:rStyle w:val="TextoNormalCaracter"/>
          </w:rPr>
          <w:t>154/2015</w:t>
        </w:r>
      </w:hyperlink>
      <w:r>
        <w:t>, ff. 1, 7.</w:t>
      </w:r>
    </w:p>
    <w:p w:rsidR="00981775" w:rsidRDefault="00981775" w:rsidP="00981775">
      <w:pPr>
        <w:pStyle w:val="SangriaFrancesaArticulo"/>
      </w:pPr>
      <w:r w:rsidRPr="00981775">
        <w:rPr>
          <w:rStyle w:val="TextoNormalNegritaCaracter"/>
        </w:rPr>
        <w:t>Artículo 28.13.</w:t>
      </w:r>
      <w:r w:rsidRPr="00981775">
        <w:rPr>
          <w:rStyle w:val="TextoNormalCaracter"/>
        </w:rPr>
        <w:t>-</w:t>
      </w:r>
      <w:r>
        <w:t xml:space="preserve"> Sentencia </w:t>
      </w:r>
      <w:hyperlink w:anchor="SENTENCIA_2015_154" w:history="1">
        <w:r w:rsidRPr="00981775">
          <w:rPr>
            <w:rStyle w:val="TextoNormalCaracter"/>
          </w:rPr>
          <w:t>154/2015</w:t>
        </w:r>
      </w:hyperlink>
      <w:r>
        <w:t>, ff. 1, 7.</w:t>
      </w:r>
    </w:p>
    <w:p w:rsidR="00981775" w:rsidRDefault="00981775" w:rsidP="00981775">
      <w:pPr>
        <w:pStyle w:val="SangriaFrancesaArticulo"/>
      </w:pPr>
    </w:p>
    <w:p w:rsidR="00981775" w:rsidRDefault="00981775" w:rsidP="00981775">
      <w:pPr>
        <w:pStyle w:val="TextoNormalNegritaCursivandice"/>
      </w:pPr>
      <w:r>
        <w:t>Ley del Parlamento de Andalucía 9/2007, de 22 de octubre. Administración de la Junta de Andalucía</w:t>
      </w:r>
    </w:p>
    <w:p w:rsidR="00981775" w:rsidRDefault="00981775" w:rsidP="00981775">
      <w:pPr>
        <w:pStyle w:val="SangriaFrancesaArticulo"/>
      </w:pPr>
      <w:r w:rsidRPr="00981775">
        <w:rPr>
          <w:rStyle w:val="TextoNormalNegritaCaracter"/>
        </w:rPr>
        <w:t>Artículo 56.</w:t>
      </w:r>
      <w:r w:rsidRPr="00981775">
        <w:rPr>
          <w:rStyle w:val="TextoNormalCaracter"/>
        </w:rPr>
        <w:t>-</w:t>
      </w:r>
      <w:r>
        <w:t xml:space="preserve"> Sentencia </w:t>
      </w:r>
      <w:hyperlink w:anchor="SENTENCIA_2015_230" w:history="1">
        <w:r w:rsidRPr="00981775">
          <w:rPr>
            <w:rStyle w:val="TextoNormalCaracter"/>
          </w:rPr>
          <w:t>230/2015</w:t>
        </w:r>
      </w:hyperlink>
      <w:r>
        <w:t>, f. 5.</w:t>
      </w:r>
    </w:p>
    <w:p w:rsidR="00981775" w:rsidRDefault="00981775" w:rsidP="00981775">
      <w:pPr>
        <w:pStyle w:val="SangriaFrancesaArticulo"/>
      </w:pPr>
      <w:r w:rsidRPr="00981775">
        <w:rPr>
          <w:rStyle w:val="TextoNormalNegritaCaracter"/>
        </w:rPr>
        <w:t>Artículo 59.</w:t>
      </w:r>
      <w:r w:rsidRPr="00981775">
        <w:rPr>
          <w:rStyle w:val="TextoNormalCaracter"/>
        </w:rPr>
        <w:t>-</w:t>
      </w:r>
      <w:r>
        <w:t xml:space="preserve"> Sentencia </w:t>
      </w:r>
      <w:hyperlink w:anchor="SENTENCIA_2015_230" w:history="1">
        <w:r w:rsidRPr="00981775">
          <w:rPr>
            <w:rStyle w:val="TextoNormalCaracter"/>
          </w:rPr>
          <w:t>230/2015</w:t>
        </w:r>
      </w:hyperlink>
      <w:r>
        <w:t>, f. 5.</w:t>
      </w:r>
    </w:p>
    <w:p w:rsidR="00981775" w:rsidRDefault="00981775" w:rsidP="00981775">
      <w:pPr>
        <w:pStyle w:val="SangriaFrancesaArticulo"/>
      </w:pPr>
      <w:r w:rsidRPr="00981775">
        <w:rPr>
          <w:rStyle w:val="TextoNormalNegritaCaracter"/>
        </w:rPr>
        <w:t>Artículo 68.1 b).</w:t>
      </w:r>
      <w:r w:rsidRPr="00981775">
        <w:rPr>
          <w:rStyle w:val="TextoNormalCaracter"/>
        </w:rPr>
        <w:t>-</w:t>
      </w:r>
      <w:r>
        <w:t xml:space="preserve"> Sentencia </w:t>
      </w:r>
      <w:hyperlink w:anchor="SENTENCIA_2015_236" w:history="1">
        <w:r w:rsidRPr="00981775">
          <w:rPr>
            <w:rStyle w:val="TextoNormalCaracter"/>
          </w:rPr>
          <w:t>236/2015</w:t>
        </w:r>
      </w:hyperlink>
      <w:r>
        <w:t>, f. 5.</w:t>
      </w:r>
    </w:p>
    <w:p w:rsidR="00981775" w:rsidRDefault="00981775" w:rsidP="00981775">
      <w:pPr>
        <w:pStyle w:val="SangriaFrancesaArticulo"/>
      </w:pPr>
      <w:r w:rsidRPr="00981775">
        <w:rPr>
          <w:rStyle w:val="TextoNormalNegritaCaracter"/>
        </w:rPr>
        <w:t>Artículo 69.</w:t>
      </w:r>
      <w:r w:rsidRPr="00981775">
        <w:rPr>
          <w:rStyle w:val="TextoNormalCaracter"/>
        </w:rPr>
        <w:t>-</w:t>
      </w:r>
      <w:r>
        <w:t xml:space="preserve"> Sentencia </w:t>
      </w:r>
      <w:hyperlink w:anchor="SENTENCIA_2015_236" w:history="1">
        <w:r w:rsidRPr="00981775">
          <w:rPr>
            <w:rStyle w:val="TextoNormalCaracter"/>
          </w:rPr>
          <w:t>236/2015</w:t>
        </w:r>
      </w:hyperlink>
      <w:r>
        <w:t>, f. 5.</w:t>
      </w:r>
    </w:p>
    <w:p w:rsidR="00981775" w:rsidRDefault="00981775" w:rsidP="00981775">
      <w:pPr>
        <w:pStyle w:val="SangriaFrancesaArticulo"/>
      </w:pPr>
      <w:r w:rsidRPr="00981775">
        <w:rPr>
          <w:rStyle w:val="TextoNormalNegritaCaracter"/>
        </w:rPr>
        <w:t>Artículo 69</w:t>
      </w:r>
      <w:r>
        <w:t xml:space="preserve"> (redactado por el Decreto-ley de la Junta de Andalucía 5/2010, de 27 de julio)</w:t>
      </w:r>
      <w:r w:rsidRPr="00981775">
        <w:rPr>
          <w:rStyle w:val="TextoNormalNegritaCaracter"/>
        </w:rPr>
        <w:t>.</w:t>
      </w:r>
      <w:r w:rsidRPr="00981775">
        <w:rPr>
          <w:rStyle w:val="TextoNormalCaracter"/>
        </w:rPr>
        <w:t>-</w:t>
      </w:r>
      <w:r>
        <w:t xml:space="preserve"> Sentencia </w:t>
      </w:r>
      <w:hyperlink w:anchor="SENTENCIA_2015_230" w:history="1">
        <w:r w:rsidRPr="00981775">
          <w:rPr>
            <w:rStyle w:val="TextoNormalCaracter"/>
          </w:rPr>
          <w:t>230/2015</w:t>
        </w:r>
      </w:hyperlink>
      <w:r>
        <w:t>, ff. 3, 5.</w:t>
      </w:r>
    </w:p>
    <w:p w:rsidR="00981775" w:rsidRDefault="00981775" w:rsidP="00981775">
      <w:pPr>
        <w:pStyle w:val="SangriaFrancesaArticulo"/>
      </w:pPr>
      <w:r w:rsidRPr="00981775">
        <w:rPr>
          <w:rStyle w:val="TextoNormalNegritaCaracter"/>
        </w:rPr>
        <w:t>Artículo 69</w:t>
      </w:r>
      <w:r>
        <w:t xml:space="preserve"> (redactado por la Ley 1/2011, de 17 de febrero)</w:t>
      </w:r>
      <w:r w:rsidRPr="00981775">
        <w:rPr>
          <w:rStyle w:val="TextoNormalNegritaCaracter"/>
        </w:rPr>
        <w:t>.</w:t>
      </w:r>
      <w:r w:rsidRPr="00981775">
        <w:rPr>
          <w:rStyle w:val="TextoNormalCaracter"/>
        </w:rPr>
        <w:t>-</w:t>
      </w:r>
      <w:r>
        <w:t xml:space="preserve"> Sentencia </w:t>
      </w:r>
      <w:hyperlink w:anchor="SENTENCIA_2015_236" w:history="1">
        <w:r w:rsidRPr="00981775">
          <w:rPr>
            <w:rStyle w:val="TextoNormalCaracter"/>
          </w:rPr>
          <w:t>236/2015</w:t>
        </w:r>
      </w:hyperlink>
      <w:r>
        <w:t>, f. 5.</w:t>
      </w:r>
    </w:p>
    <w:p w:rsidR="00981775" w:rsidRDefault="00981775" w:rsidP="00981775">
      <w:pPr>
        <w:pStyle w:val="SangriaFrancesaArticulo"/>
      </w:pPr>
      <w:r w:rsidRPr="00981775">
        <w:rPr>
          <w:rStyle w:val="TextoNormalNegritaCaracter"/>
        </w:rPr>
        <w:t>Artículo 69.1.</w:t>
      </w:r>
      <w:r w:rsidRPr="00981775">
        <w:rPr>
          <w:rStyle w:val="TextoNormalCaracter"/>
        </w:rPr>
        <w:t>-</w:t>
      </w:r>
      <w:r>
        <w:t xml:space="preserve"> Sentencia </w:t>
      </w:r>
      <w:hyperlink w:anchor="SENTENCIA_2015_236" w:history="1">
        <w:r w:rsidRPr="00981775">
          <w:rPr>
            <w:rStyle w:val="TextoNormalCaracter"/>
          </w:rPr>
          <w:t>236/2015</w:t>
        </w:r>
      </w:hyperlink>
      <w:r>
        <w:t>, f. 5.</w:t>
      </w:r>
    </w:p>
    <w:p w:rsidR="00981775" w:rsidRDefault="00981775" w:rsidP="00981775">
      <w:pPr>
        <w:pStyle w:val="SangriaFrancesaArticulo"/>
      </w:pPr>
      <w:r w:rsidRPr="00981775">
        <w:rPr>
          <w:rStyle w:val="TextoNormalNegritaCaracter"/>
        </w:rPr>
        <w:t>Artículo 69.2</w:t>
      </w:r>
      <w:r>
        <w:t xml:space="preserve"> (redactado por la Ley 1/2011, de 17 de febrero)</w:t>
      </w:r>
      <w:r w:rsidRPr="00981775">
        <w:rPr>
          <w:rStyle w:val="TextoNormalNegritaCaracter"/>
        </w:rPr>
        <w:t>.</w:t>
      </w:r>
      <w:r w:rsidRPr="00981775">
        <w:rPr>
          <w:rStyle w:val="TextoNormalCaracter"/>
        </w:rPr>
        <w:t>-</w:t>
      </w:r>
      <w:r>
        <w:t xml:space="preserve"> Sentencia </w:t>
      </w:r>
      <w:hyperlink w:anchor="SENTENCIA_2015_236" w:history="1">
        <w:r w:rsidRPr="00981775">
          <w:rPr>
            <w:rStyle w:val="TextoNormalCaracter"/>
          </w:rPr>
          <w:t>236/2015</w:t>
        </w:r>
      </w:hyperlink>
      <w:r>
        <w:t>, ff. 5, 6, VP.</w:t>
      </w:r>
    </w:p>
    <w:p w:rsidR="00981775" w:rsidRDefault="00981775" w:rsidP="00981775">
      <w:pPr>
        <w:pStyle w:val="SangriaFrancesaArticulo"/>
      </w:pPr>
      <w:r w:rsidRPr="00981775">
        <w:rPr>
          <w:rStyle w:val="TextoNormalNegritaCaracter"/>
        </w:rPr>
        <w:t>Artículo 69.3.</w:t>
      </w:r>
      <w:r w:rsidRPr="00981775">
        <w:rPr>
          <w:rStyle w:val="TextoNormalCaracter"/>
        </w:rPr>
        <w:t>-</w:t>
      </w:r>
      <w:r>
        <w:t xml:space="preserve"> Sentencia </w:t>
      </w:r>
      <w:hyperlink w:anchor="SENTENCIA_2015_236" w:history="1">
        <w:r w:rsidRPr="00981775">
          <w:rPr>
            <w:rStyle w:val="TextoNormalCaracter"/>
          </w:rPr>
          <w:t>236/2015</w:t>
        </w:r>
      </w:hyperlink>
      <w:r>
        <w:t>, f. 5.</w:t>
      </w:r>
    </w:p>
    <w:p w:rsidR="00981775" w:rsidRDefault="00981775" w:rsidP="00981775">
      <w:pPr>
        <w:pStyle w:val="SangriaFrancesaArticulo"/>
      </w:pPr>
      <w:r w:rsidRPr="00981775">
        <w:rPr>
          <w:rStyle w:val="TextoNormalNegritaCaracter"/>
        </w:rPr>
        <w:t>Artículo 69.3</w:t>
      </w:r>
      <w:r>
        <w:t xml:space="preserve"> (redactado por el Decreto-ley de la Junta de Andalucía 5/2010, de 27 de julio)</w:t>
      </w:r>
      <w:r w:rsidRPr="00981775">
        <w:rPr>
          <w:rStyle w:val="TextoNormalNegritaCaracter"/>
        </w:rPr>
        <w:t>.</w:t>
      </w:r>
      <w:r w:rsidRPr="00981775">
        <w:rPr>
          <w:rStyle w:val="TextoNormalCaracter"/>
        </w:rPr>
        <w:t>-</w:t>
      </w:r>
      <w:r>
        <w:t xml:space="preserve"> Sentencia </w:t>
      </w:r>
      <w:hyperlink w:anchor="SENTENCIA_2015_230" w:history="1">
        <w:r w:rsidRPr="00981775">
          <w:rPr>
            <w:rStyle w:val="TextoNormalCaracter"/>
          </w:rPr>
          <w:t>230/2015</w:t>
        </w:r>
      </w:hyperlink>
      <w:r>
        <w:t>, f. 1.</w:t>
      </w:r>
    </w:p>
    <w:p w:rsidR="00981775" w:rsidRDefault="00981775" w:rsidP="00981775">
      <w:pPr>
        <w:pStyle w:val="SangriaFrancesaArticulo"/>
      </w:pPr>
      <w:r w:rsidRPr="00981775">
        <w:rPr>
          <w:rStyle w:val="TextoNormalNegritaCaracter"/>
        </w:rPr>
        <w:t>Artículo 69.3</w:t>
      </w:r>
      <w:r>
        <w:t xml:space="preserve"> (redactado por la Ley 1/2011, de 17 de febrero)</w:t>
      </w:r>
      <w:r w:rsidRPr="00981775">
        <w:rPr>
          <w:rStyle w:val="TextoNormalNegritaCaracter"/>
        </w:rPr>
        <w:t>.</w:t>
      </w:r>
      <w:r w:rsidRPr="00981775">
        <w:rPr>
          <w:rStyle w:val="TextoNormalCaracter"/>
        </w:rPr>
        <w:t>-</w:t>
      </w:r>
      <w:r>
        <w:t xml:space="preserve"> Sentencia </w:t>
      </w:r>
      <w:hyperlink w:anchor="SENTENCIA_2015_236" w:history="1">
        <w:r w:rsidRPr="00981775">
          <w:rPr>
            <w:rStyle w:val="TextoNormalCaracter"/>
          </w:rPr>
          <w:t>236/2015</w:t>
        </w:r>
      </w:hyperlink>
      <w:r>
        <w:t>, f. 10.</w:t>
      </w:r>
    </w:p>
    <w:p w:rsidR="00981775" w:rsidRDefault="00981775" w:rsidP="00981775">
      <w:pPr>
        <w:pStyle w:val="SangriaFrancesaArticulo"/>
      </w:pPr>
      <w:r w:rsidRPr="00981775">
        <w:rPr>
          <w:rStyle w:val="TextoNormalNegritaCaracter"/>
        </w:rPr>
        <w:t>Artículo 69.3.1.</w:t>
      </w:r>
      <w:r w:rsidRPr="00981775">
        <w:rPr>
          <w:rStyle w:val="TextoNormalCaracter"/>
        </w:rPr>
        <w:t>-</w:t>
      </w:r>
      <w:r>
        <w:t xml:space="preserve"> Sentencia </w:t>
      </w:r>
      <w:hyperlink w:anchor="SENTENCIA_2015_236" w:history="1">
        <w:r w:rsidRPr="00981775">
          <w:rPr>
            <w:rStyle w:val="TextoNormalCaracter"/>
          </w:rPr>
          <w:t>236/2015</w:t>
        </w:r>
      </w:hyperlink>
      <w:r>
        <w:t>, f. 5.</w:t>
      </w:r>
    </w:p>
    <w:p w:rsidR="00981775" w:rsidRDefault="00981775" w:rsidP="00981775">
      <w:pPr>
        <w:pStyle w:val="SangriaFrancesaArticulo"/>
      </w:pPr>
      <w:r w:rsidRPr="00981775">
        <w:rPr>
          <w:rStyle w:val="TextoNormalNegritaCaracter"/>
        </w:rPr>
        <w:t>Artículo 70.1.</w:t>
      </w:r>
      <w:r w:rsidRPr="00981775">
        <w:rPr>
          <w:rStyle w:val="TextoNormalCaracter"/>
        </w:rPr>
        <w:t>-</w:t>
      </w:r>
      <w:r>
        <w:t xml:space="preserve"> Sentencia </w:t>
      </w:r>
      <w:hyperlink w:anchor="SENTENCIA_2015_236" w:history="1">
        <w:r w:rsidRPr="00981775">
          <w:rPr>
            <w:rStyle w:val="TextoNormalCaracter"/>
          </w:rPr>
          <w:t>236/2015</w:t>
        </w:r>
      </w:hyperlink>
      <w:r>
        <w:t>, f. 5.</w:t>
      </w:r>
    </w:p>
    <w:p w:rsidR="00981775" w:rsidRDefault="00981775" w:rsidP="00981775">
      <w:pPr>
        <w:pStyle w:val="SangriaFrancesaArticulo"/>
      </w:pPr>
      <w:r w:rsidRPr="00981775">
        <w:rPr>
          <w:rStyle w:val="TextoNormalNegritaCaracter"/>
        </w:rPr>
        <w:t>Artículo 70.1</w:t>
      </w:r>
      <w:r>
        <w:t xml:space="preserve"> (redactado por la  Ley 1/2011, de 17 de febrero)</w:t>
      </w:r>
      <w:r w:rsidRPr="00981775">
        <w:rPr>
          <w:rStyle w:val="TextoNormalNegritaCaracter"/>
        </w:rPr>
        <w:t>.</w:t>
      </w:r>
      <w:r w:rsidRPr="00981775">
        <w:rPr>
          <w:rStyle w:val="TextoNormalCaracter"/>
        </w:rPr>
        <w:t>-</w:t>
      </w:r>
      <w:r>
        <w:t xml:space="preserve"> Sentencia </w:t>
      </w:r>
      <w:hyperlink w:anchor="SENTENCIA_2015_236" w:history="1">
        <w:r w:rsidRPr="00981775">
          <w:rPr>
            <w:rStyle w:val="TextoNormalCaracter"/>
          </w:rPr>
          <w:t>236/2015</w:t>
        </w:r>
      </w:hyperlink>
      <w:r>
        <w:t>, f. 7.</w:t>
      </w:r>
    </w:p>
    <w:p w:rsidR="00981775" w:rsidRDefault="00981775" w:rsidP="00981775">
      <w:pPr>
        <w:pStyle w:val="SangriaFrancesaArticulo"/>
      </w:pPr>
      <w:r w:rsidRPr="00981775">
        <w:rPr>
          <w:rStyle w:val="TextoNormalNegritaCaracter"/>
        </w:rPr>
        <w:t>Artículo 74.1</w:t>
      </w:r>
      <w:r>
        <w:t xml:space="preserve"> (redactado por la Ley 1/2011, de 17 de febrero)</w:t>
      </w:r>
      <w:r w:rsidRPr="00981775">
        <w:rPr>
          <w:rStyle w:val="TextoNormalNegritaCaracter"/>
        </w:rPr>
        <w:t>.</w:t>
      </w:r>
      <w:r w:rsidRPr="00981775">
        <w:rPr>
          <w:rStyle w:val="TextoNormalCaracter"/>
        </w:rPr>
        <w:t>-</w:t>
      </w:r>
      <w:r>
        <w:t xml:space="preserve"> Sentencia </w:t>
      </w:r>
      <w:hyperlink w:anchor="SENTENCIA_2015_236" w:history="1">
        <w:r w:rsidRPr="00981775">
          <w:rPr>
            <w:rStyle w:val="TextoNormalCaracter"/>
          </w:rPr>
          <w:t>236/2015</w:t>
        </w:r>
      </w:hyperlink>
      <w:r>
        <w:t>, ff. 7, 9.</w:t>
      </w:r>
    </w:p>
    <w:p w:rsidR="00981775" w:rsidRDefault="00981775" w:rsidP="00981775">
      <w:pPr>
        <w:pStyle w:val="SangriaFrancesaArticulo"/>
      </w:pPr>
      <w:r w:rsidRPr="00981775">
        <w:rPr>
          <w:rStyle w:val="TextoNormalNegritaCaracter"/>
        </w:rPr>
        <w:t>Artículo 78.2.</w:t>
      </w:r>
      <w:r w:rsidRPr="00981775">
        <w:rPr>
          <w:rStyle w:val="TextoNormalCaracter"/>
        </w:rPr>
        <w:t>-</w:t>
      </w:r>
      <w:r>
        <w:t xml:space="preserve"> Sentencia </w:t>
      </w:r>
      <w:hyperlink w:anchor="SENTENCIA_2015_230" w:history="1">
        <w:r w:rsidRPr="00981775">
          <w:rPr>
            <w:rStyle w:val="TextoNormalCaracter"/>
          </w:rPr>
          <w:t>230/2015</w:t>
        </w:r>
      </w:hyperlink>
      <w:r>
        <w:t>, ff. 3, 5.</w:t>
      </w:r>
    </w:p>
    <w:p w:rsidR="00981775" w:rsidRDefault="00981775" w:rsidP="00981775">
      <w:pPr>
        <w:pStyle w:val="SangriaFrancesaArticulo"/>
      </w:pPr>
      <w:r w:rsidRPr="00981775">
        <w:rPr>
          <w:rStyle w:val="TextoNormalNegritaCaracter"/>
        </w:rPr>
        <w:t>Artículo 78.2</w:t>
      </w:r>
      <w:r>
        <w:t xml:space="preserve"> (redactado por el Decreto-ley de la Junta de Andalucía 5/2010, de 27 de julio)</w:t>
      </w:r>
      <w:r w:rsidRPr="00981775">
        <w:rPr>
          <w:rStyle w:val="TextoNormalNegritaCaracter"/>
        </w:rPr>
        <w:t>.</w:t>
      </w:r>
      <w:r w:rsidRPr="00981775">
        <w:rPr>
          <w:rStyle w:val="TextoNormalCaracter"/>
        </w:rPr>
        <w:t>-</w:t>
      </w:r>
      <w:r>
        <w:t xml:space="preserve"> Sentencia </w:t>
      </w:r>
      <w:hyperlink w:anchor="SENTENCIA_2015_230" w:history="1">
        <w:r w:rsidRPr="00981775">
          <w:rPr>
            <w:rStyle w:val="TextoNormalCaracter"/>
          </w:rPr>
          <w:t>230/2015</w:t>
        </w:r>
      </w:hyperlink>
      <w:r>
        <w:t>, f. 3.</w:t>
      </w:r>
    </w:p>
    <w:p w:rsidR="00981775" w:rsidRDefault="00981775" w:rsidP="00981775">
      <w:pPr>
        <w:pStyle w:val="SangriaFrancesaArticulo"/>
      </w:pPr>
      <w:r w:rsidRPr="00981775">
        <w:rPr>
          <w:rStyle w:val="TextoNormalNegritaCaracter"/>
        </w:rPr>
        <w:t>Disposición adicional sexta.</w:t>
      </w:r>
      <w:r w:rsidRPr="00981775">
        <w:rPr>
          <w:rStyle w:val="TextoNormalCaracter"/>
        </w:rPr>
        <w:t>-</w:t>
      </w:r>
      <w:r>
        <w:t xml:space="preserve"> Sentencia </w:t>
      </w:r>
      <w:hyperlink w:anchor="SENTENCIA_2015_236" w:history="1">
        <w:r w:rsidRPr="00981775">
          <w:rPr>
            <w:rStyle w:val="TextoNormalCaracter"/>
          </w:rPr>
          <w:t>236/2015</w:t>
        </w:r>
      </w:hyperlink>
      <w:r>
        <w:t>, f. 10.</w:t>
      </w:r>
    </w:p>
    <w:p w:rsidR="00981775" w:rsidRDefault="00981775" w:rsidP="00981775">
      <w:pPr>
        <w:pStyle w:val="SangriaFrancesaArticulo"/>
      </w:pPr>
    </w:p>
    <w:p w:rsidR="00981775" w:rsidRDefault="00981775" w:rsidP="00981775">
      <w:pPr>
        <w:pStyle w:val="TextoNormalNegritaCursivandice"/>
      </w:pPr>
      <w:r>
        <w:t>Ley del Parlamento de Andalucía 13/2007, de 26 de noviembre. Medidas de prevención y protección integral contra la violencia de género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54" w:history="1">
        <w:r w:rsidRPr="00981775">
          <w:rPr>
            <w:rStyle w:val="TextoNormalCaracter"/>
          </w:rPr>
          <w:t>154/2015</w:t>
        </w:r>
      </w:hyperlink>
      <w:r>
        <w:t>, f. 2.</w:t>
      </w:r>
    </w:p>
    <w:p w:rsidR="00981775" w:rsidRDefault="00981775" w:rsidP="00981775">
      <w:pPr>
        <w:pStyle w:val="SangriaFrancesaArticulo"/>
      </w:pPr>
      <w:r w:rsidRPr="00981775">
        <w:rPr>
          <w:rStyle w:val="TextoNormalNegritaCaracter"/>
        </w:rPr>
        <w:t>Disposición adicional tercera.</w:t>
      </w:r>
      <w:r w:rsidRPr="00981775">
        <w:rPr>
          <w:rStyle w:val="TextoNormalCaracter"/>
        </w:rPr>
        <w:t>-</w:t>
      </w:r>
      <w:r>
        <w:t xml:space="preserve"> Sentencia </w:t>
      </w:r>
      <w:hyperlink w:anchor="SENTENCIA_2015_154" w:history="1">
        <w:r w:rsidRPr="00981775">
          <w:rPr>
            <w:rStyle w:val="TextoNormalCaracter"/>
          </w:rPr>
          <w:t>154/2015</w:t>
        </w:r>
      </w:hyperlink>
      <w:r>
        <w:t>, f. 2.</w:t>
      </w:r>
    </w:p>
    <w:p w:rsidR="00981775" w:rsidRDefault="00981775" w:rsidP="00981775">
      <w:pPr>
        <w:pStyle w:val="SangriaFrancesaArticulo"/>
      </w:pPr>
    </w:p>
    <w:p w:rsidR="00981775" w:rsidRDefault="00981775" w:rsidP="00981775">
      <w:pPr>
        <w:pStyle w:val="TextoNormalNegritaCursivandice"/>
      </w:pPr>
      <w:r>
        <w:t>Decreto-ley de la Junta de Andalucía 5/2010, de 27 de julio. Aprueba medidas urgentes en materia de reordenación del sector público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0" w:history="1">
        <w:r w:rsidRPr="00981775">
          <w:rPr>
            <w:rStyle w:val="TextoNormalCaracter"/>
          </w:rPr>
          <w:t>230/2015</w:t>
        </w:r>
      </w:hyperlink>
      <w:r>
        <w:t>, ff. 1 a 5.</w:t>
      </w:r>
    </w:p>
    <w:p w:rsidR="00981775" w:rsidRDefault="00981775" w:rsidP="00981775">
      <w:pPr>
        <w:pStyle w:val="SangriaFrancesaArticulo"/>
      </w:pPr>
      <w:r w:rsidRPr="00981775">
        <w:rPr>
          <w:rStyle w:val="TextoNormalNegritaCaracter"/>
        </w:rPr>
        <w:t>Exposición de motivos.</w:t>
      </w:r>
      <w:r w:rsidRPr="00981775">
        <w:rPr>
          <w:rStyle w:val="TextoNormalCaracter"/>
        </w:rPr>
        <w:t>-</w:t>
      </w:r>
      <w:r>
        <w:t xml:space="preserve"> Sentencia </w:t>
      </w:r>
      <w:hyperlink w:anchor="SENTENCIA_2015_230" w:history="1">
        <w:r w:rsidRPr="00981775">
          <w:rPr>
            <w:rStyle w:val="TextoNormalCaracter"/>
          </w:rPr>
          <w:t>230/2015</w:t>
        </w:r>
      </w:hyperlink>
      <w:r>
        <w:t>, f. 5.</w:t>
      </w:r>
    </w:p>
    <w:p w:rsidR="00981775" w:rsidRDefault="00981775" w:rsidP="00981775">
      <w:pPr>
        <w:pStyle w:val="SangriaFrancesaArticulo"/>
      </w:pPr>
      <w:r w:rsidRPr="00981775">
        <w:rPr>
          <w:rStyle w:val="TextoNormalNegritaCaracter"/>
        </w:rPr>
        <w:t>Artículo 1.9.</w:t>
      </w:r>
      <w:r w:rsidRPr="00981775">
        <w:rPr>
          <w:rStyle w:val="TextoNormalCaracter"/>
        </w:rPr>
        <w:t>-</w:t>
      </w:r>
      <w:r>
        <w:t xml:space="preserve"> Sentencia </w:t>
      </w:r>
      <w:hyperlink w:anchor="SENTENCIA_2015_230" w:history="1">
        <w:r w:rsidRPr="00981775">
          <w:rPr>
            <w:rStyle w:val="TextoNormalCaracter"/>
          </w:rPr>
          <w:t>230/2015</w:t>
        </w:r>
      </w:hyperlink>
      <w:r>
        <w:t>, ff. 1, 3 a 5.</w:t>
      </w:r>
    </w:p>
    <w:p w:rsidR="00981775" w:rsidRDefault="00981775" w:rsidP="00981775">
      <w:pPr>
        <w:pStyle w:val="SangriaFrancesaArticulo"/>
      </w:pPr>
      <w:r w:rsidRPr="00981775">
        <w:rPr>
          <w:rStyle w:val="TextoNormalNegritaCaracter"/>
        </w:rPr>
        <w:t>Artículo 1.12.</w:t>
      </w:r>
      <w:r w:rsidRPr="00981775">
        <w:rPr>
          <w:rStyle w:val="TextoNormalCaracter"/>
        </w:rPr>
        <w:t>-</w:t>
      </w:r>
      <w:r>
        <w:t xml:space="preserve"> Sentencia </w:t>
      </w:r>
      <w:hyperlink w:anchor="SENTENCIA_2015_230" w:history="1">
        <w:r w:rsidRPr="00981775">
          <w:rPr>
            <w:rStyle w:val="TextoNormalCaracter"/>
          </w:rPr>
          <w:t>230/2015</w:t>
        </w:r>
      </w:hyperlink>
      <w:r>
        <w:t>, ff. 1, 3, 5.</w:t>
      </w:r>
    </w:p>
    <w:p w:rsidR="00981775" w:rsidRDefault="00981775" w:rsidP="00981775">
      <w:pPr>
        <w:pStyle w:val="SangriaFrancesaArticulo"/>
      </w:pPr>
      <w:r w:rsidRPr="00981775">
        <w:rPr>
          <w:rStyle w:val="TextoNormalNegritaCaracter"/>
        </w:rPr>
        <w:t>Artículo 3 a 12.</w:t>
      </w:r>
      <w:r w:rsidRPr="00981775">
        <w:rPr>
          <w:rStyle w:val="TextoNormalCaracter"/>
        </w:rPr>
        <w:t>-</w:t>
      </w:r>
      <w:r>
        <w:t xml:space="preserve"> Sentencia </w:t>
      </w:r>
      <w:hyperlink w:anchor="SENTENCIA_2015_230" w:history="1">
        <w:r w:rsidRPr="00981775">
          <w:rPr>
            <w:rStyle w:val="TextoNormalCaracter"/>
          </w:rPr>
          <w:t>230/2015</w:t>
        </w:r>
      </w:hyperlink>
      <w:r>
        <w:t>, ff. 1, 3.</w:t>
      </w:r>
    </w:p>
    <w:p w:rsidR="00981775" w:rsidRDefault="00981775" w:rsidP="00981775">
      <w:pPr>
        <w:pStyle w:val="SangriaFrancesaArticulo"/>
      </w:pPr>
      <w:r w:rsidRPr="00981775">
        <w:rPr>
          <w:rStyle w:val="TextoNormalNegritaCaracter"/>
        </w:rPr>
        <w:t>Artículo 9.2.</w:t>
      </w:r>
      <w:r w:rsidRPr="00981775">
        <w:rPr>
          <w:rStyle w:val="TextoNormalCaracter"/>
        </w:rPr>
        <w:t>-</w:t>
      </w:r>
      <w:r>
        <w:t xml:space="preserve"> Sentencia </w:t>
      </w:r>
      <w:hyperlink w:anchor="SENTENCIA_2015_230" w:history="1">
        <w:r w:rsidRPr="00981775">
          <w:rPr>
            <w:rStyle w:val="TextoNormalCaracter"/>
          </w:rPr>
          <w:t>230/2015</w:t>
        </w:r>
      </w:hyperlink>
      <w:r>
        <w:t>, f. 1.</w:t>
      </w:r>
    </w:p>
    <w:p w:rsidR="00981775" w:rsidRDefault="00981775" w:rsidP="00981775">
      <w:pPr>
        <w:pStyle w:val="SangriaFrancesaArticulo"/>
      </w:pPr>
      <w:r w:rsidRPr="00981775">
        <w:rPr>
          <w:rStyle w:val="TextoNormalNegritaCaracter"/>
        </w:rPr>
        <w:t>Artículo 18.</w:t>
      </w:r>
      <w:r w:rsidRPr="00981775">
        <w:rPr>
          <w:rStyle w:val="TextoNormalCaracter"/>
        </w:rPr>
        <w:t>-</w:t>
      </w:r>
      <w:r>
        <w:t xml:space="preserve"> Sentencia </w:t>
      </w:r>
      <w:hyperlink w:anchor="SENTENCIA_2015_230" w:history="1">
        <w:r w:rsidRPr="00981775">
          <w:rPr>
            <w:rStyle w:val="TextoNormalCaracter"/>
          </w:rPr>
          <w:t>230/2015</w:t>
        </w:r>
      </w:hyperlink>
      <w:r>
        <w:t>, ff. 1, 3.</w:t>
      </w:r>
    </w:p>
    <w:p w:rsidR="00981775" w:rsidRDefault="00981775" w:rsidP="00981775">
      <w:pPr>
        <w:pStyle w:val="SangriaFrancesaArticulo"/>
      </w:pPr>
      <w:r w:rsidRPr="00981775">
        <w:rPr>
          <w:rStyle w:val="TextoNormalNegritaCaracter"/>
        </w:rPr>
        <w:t>Artículo 19.</w:t>
      </w:r>
      <w:r w:rsidRPr="00981775">
        <w:rPr>
          <w:rStyle w:val="TextoNormalCaracter"/>
        </w:rPr>
        <w:t>-</w:t>
      </w:r>
      <w:r>
        <w:t xml:space="preserve"> Sentencia </w:t>
      </w:r>
      <w:hyperlink w:anchor="SENTENCIA_2015_230" w:history="1">
        <w:r w:rsidRPr="00981775">
          <w:rPr>
            <w:rStyle w:val="TextoNormalCaracter"/>
          </w:rPr>
          <w:t>230/2015</w:t>
        </w:r>
      </w:hyperlink>
      <w:r>
        <w:t>, ff. 1, 3.</w:t>
      </w:r>
    </w:p>
    <w:p w:rsidR="00981775" w:rsidRDefault="00981775" w:rsidP="00981775">
      <w:pPr>
        <w:pStyle w:val="SangriaFrancesaArticulo"/>
      </w:pPr>
      <w:r w:rsidRPr="00981775">
        <w:rPr>
          <w:rStyle w:val="TextoNormalNegritaCaracter"/>
        </w:rPr>
        <w:t>Artículo 22 a 24.</w:t>
      </w:r>
      <w:r w:rsidRPr="00981775">
        <w:rPr>
          <w:rStyle w:val="TextoNormalCaracter"/>
        </w:rPr>
        <w:t>-</w:t>
      </w:r>
      <w:r>
        <w:t xml:space="preserve"> Sentencia </w:t>
      </w:r>
      <w:hyperlink w:anchor="SENTENCIA_2015_230" w:history="1">
        <w:r w:rsidRPr="00981775">
          <w:rPr>
            <w:rStyle w:val="TextoNormalCaracter"/>
          </w:rPr>
          <w:t>230/2015</w:t>
        </w:r>
      </w:hyperlink>
      <w:r>
        <w:t>, ff. 1, 3.</w:t>
      </w:r>
    </w:p>
    <w:p w:rsidR="00981775" w:rsidRDefault="00981775" w:rsidP="00981775">
      <w:pPr>
        <w:pStyle w:val="SangriaFrancesaArticulo"/>
      </w:pPr>
      <w:r w:rsidRPr="00981775">
        <w:rPr>
          <w:rStyle w:val="TextoNormalNegritaCaracter"/>
        </w:rPr>
        <w:t>Disposición adicional cuarta.</w:t>
      </w:r>
      <w:r w:rsidRPr="00981775">
        <w:rPr>
          <w:rStyle w:val="TextoNormalCaracter"/>
        </w:rPr>
        <w:t>-</w:t>
      </w:r>
      <w:r>
        <w:t xml:space="preserve"> Sentencia </w:t>
      </w:r>
      <w:hyperlink w:anchor="SENTENCIA_2015_230" w:history="1">
        <w:r w:rsidRPr="00981775">
          <w:rPr>
            <w:rStyle w:val="TextoNormalCaracter"/>
          </w:rPr>
          <w:t>230/2015</w:t>
        </w:r>
      </w:hyperlink>
      <w:r>
        <w:t>, ff. 1, 3, 5.</w:t>
      </w:r>
    </w:p>
    <w:p w:rsidR="00981775" w:rsidRDefault="00981775" w:rsidP="00981775">
      <w:pPr>
        <w:pStyle w:val="SangriaFrancesaArticulo"/>
      </w:pPr>
    </w:p>
    <w:p w:rsidR="00981775" w:rsidRDefault="00981775" w:rsidP="00981775">
      <w:pPr>
        <w:pStyle w:val="TextoNormalNegritaCursivandice"/>
      </w:pPr>
      <w:r>
        <w:t>Decreto-ley de la Junta de Andalucía 6/2010, de 23 de noviembre. Medidas complementarias del Decreto-ley 5/2010, de 27 de julio, que aprueba medidas urgentes en materia de reordenación del sector público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0" w:history="1">
        <w:r w:rsidRPr="00981775">
          <w:rPr>
            <w:rStyle w:val="TextoNormalCaracter"/>
          </w:rPr>
          <w:t>230/2015</w:t>
        </w:r>
      </w:hyperlink>
      <w:r>
        <w:t>, ff. 1, 3.</w:t>
      </w:r>
    </w:p>
    <w:p w:rsidR="00981775" w:rsidRDefault="00981775" w:rsidP="00981775">
      <w:pPr>
        <w:pStyle w:val="SangriaFrancesaArticulo"/>
      </w:pPr>
      <w:r w:rsidRPr="00981775">
        <w:rPr>
          <w:rStyle w:val="TextoNormalNegritaCaracter"/>
        </w:rPr>
        <w:t>Exposición de motivos.</w:t>
      </w:r>
      <w:r w:rsidRPr="00981775">
        <w:rPr>
          <w:rStyle w:val="TextoNormalCaracter"/>
        </w:rPr>
        <w:t>-</w:t>
      </w:r>
      <w:r>
        <w:t xml:space="preserve"> Sentencia </w:t>
      </w:r>
      <w:hyperlink w:anchor="SENTENCIA_2015_230" w:history="1">
        <w:r w:rsidRPr="00981775">
          <w:rPr>
            <w:rStyle w:val="TextoNormalCaracter"/>
          </w:rPr>
          <w:t>230/2015</w:t>
        </w:r>
      </w:hyperlink>
      <w:r>
        <w:t>, f. 3.</w:t>
      </w:r>
    </w:p>
    <w:p w:rsidR="00981775" w:rsidRDefault="00981775" w:rsidP="00981775">
      <w:pPr>
        <w:pStyle w:val="SangriaFrancesaArticulo"/>
      </w:pPr>
      <w:r w:rsidRPr="00981775">
        <w:rPr>
          <w:rStyle w:val="TextoNormalNegritaCaracter"/>
        </w:rPr>
        <w:t>Disposición derogatoria única.</w:t>
      </w:r>
      <w:r w:rsidRPr="00981775">
        <w:rPr>
          <w:rStyle w:val="TextoNormalCaracter"/>
        </w:rPr>
        <w:t>-</w:t>
      </w:r>
      <w:r>
        <w:t xml:space="preserve"> Sentencia </w:t>
      </w:r>
      <w:hyperlink w:anchor="SENTENCIA_2015_230" w:history="1">
        <w:r w:rsidRPr="00981775">
          <w:rPr>
            <w:rStyle w:val="TextoNormalCaracter"/>
          </w:rPr>
          <w:t>230/2015</w:t>
        </w:r>
      </w:hyperlink>
      <w:r>
        <w:t>, f. 1.</w:t>
      </w:r>
    </w:p>
    <w:p w:rsidR="00981775" w:rsidRDefault="00981775" w:rsidP="00981775">
      <w:pPr>
        <w:pStyle w:val="SangriaFrancesaArticulo"/>
      </w:pPr>
      <w:r w:rsidRPr="00981775">
        <w:rPr>
          <w:rStyle w:val="TextoNormalNegritaCaracter"/>
        </w:rPr>
        <w:t>Disposición derogatoria única, apartado 1.</w:t>
      </w:r>
      <w:r w:rsidRPr="00981775">
        <w:rPr>
          <w:rStyle w:val="TextoNormalCaracter"/>
        </w:rPr>
        <w:t>-</w:t>
      </w:r>
      <w:r>
        <w:t xml:space="preserve"> Sentencia </w:t>
      </w:r>
      <w:hyperlink w:anchor="SENTENCIA_2015_230" w:history="1">
        <w:r w:rsidRPr="00981775">
          <w:rPr>
            <w:rStyle w:val="TextoNormalCaracter"/>
          </w:rPr>
          <w:t>230/2015</w:t>
        </w:r>
      </w:hyperlink>
      <w:r>
        <w:t>, f. 3.</w:t>
      </w:r>
    </w:p>
    <w:p w:rsidR="00981775" w:rsidRDefault="00981775" w:rsidP="00981775">
      <w:pPr>
        <w:pStyle w:val="SangriaFrancesaArticulo"/>
      </w:pPr>
    </w:p>
    <w:p w:rsidR="00981775" w:rsidRDefault="00981775" w:rsidP="00981775">
      <w:pPr>
        <w:pStyle w:val="TextoNormalNegritaCursivandice"/>
      </w:pPr>
      <w:r>
        <w:t>Ley del Parlamento de Andalucía 1/2011, de 17 de febrero. Reordenación del sector público de Andalucía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Sentencias </w:t>
      </w:r>
      <w:hyperlink w:anchor="SENTENCIA_2015_230" w:history="1">
        <w:r w:rsidRPr="00981775">
          <w:rPr>
            <w:rStyle w:val="TextoNormalCaracter"/>
          </w:rPr>
          <w:t>230/2015</w:t>
        </w:r>
      </w:hyperlink>
      <w:r>
        <w:t xml:space="preserve">, f. 3; </w:t>
      </w:r>
      <w:hyperlink w:anchor="SENTENCIA_2015_236" w:history="1">
        <w:r w:rsidRPr="00981775">
          <w:rPr>
            <w:rStyle w:val="TextoNormalCaracter"/>
          </w:rPr>
          <w:t>236/2015</w:t>
        </w:r>
      </w:hyperlink>
      <w:r>
        <w:t>, ff. 1, 3, 10, VP.</w:t>
      </w:r>
    </w:p>
    <w:p w:rsidR="00981775" w:rsidRDefault="00981775" w:rsidP="00981775">
      <w:pPr>
        <w:pStyle w:val="SangriaFrancesaArticulo"/>
      </w:pPr>
      <w:r w:rsidRPr="00981775">
        <w:rPr>
          <w:rStyle w:val="TextoNormalNegritaCaracter"/>
        </w:rPr>
        <w:t>En general</w:t>
      </w:r>
      <w:r>
        <w:t xml:space="preserve"> (redactada por la Ley 6/2014 de 30 de diciembre)</w:t>
      </w:r>
      <w:r w:rsidRPr="00981775">
        <w:rPr>
          <w:rStyle w:val="TextoNormalNegritaCaracter"/>
        </w:rPr>
        <w:t>.</w:t>
      </w:r>
      <w:r w:rsidRPr="00981775">
        <w:rPr>
          <w:rStyle w:val="TextoNormalCaracter"/>
        </w:rPr>
        <w:t>-</w:t>
      </w:r>
      <w:r>
        <w:t xml:space="preserve"> Sentencia </w:t>
      </w:r>
      <w:hyperlink w:anchor="SENTENCIA_2015_236" w:history="1">
        <w:r w:rsidRPr="00981775">
          <w:rPr>
            <w:rStyle w:val="TextoNormalCaracter"/>
          </w:rPr>
          <w:t>236/2015</w:t>
        </w:r>
      </w:hyperlink>
      <w:r>
        <w:t>, f. 2.</w:t>
      </w:r>
    </w:p>
    <w:p w:rsidR="00981775" w:rsidRDefault="00981775" w:rsidP="00981775">
      <w:pPr>
        <w:pStyle w:val="SangriaFrancesaArticulo"/>
      </w:pPr>
      <w:r w:rsidRPr="00981775">
        <w:rPr>
          <w:rStyle w:val="TextoNormalNegritaCaracter"/>
        </w:rPr>
        <w:t>Artículo 1.1.</w:t>
      </w:r>
      <w:r w:rsidRPr="00981775">
        <w:rPr>
          <w:rStyle w:val="TextoNormalCaracter"/>
        </w:rPr>
        <w:t>-</w:t>
      </w:r>
      <w:r>
        <w:t xml:space="preserve"> Sentencia </w:t>
      </w:r>
      <w:hyperlink w:anchor="SENTENCIA_2015_236" w:history="1">
        <w:r w:rsidRPr="00981775">
          <w:rPr>
            <w:rStyle w:val="TextoNormalCaracter"/>
          </w:rPr>
          <w:t>236/2015</w:t>
        </w:r>
      </w:hyperlink>
      <w:r>
        <w:t>, ff. 1, 4.</w:t>
      </w:r>
    </w:p>
    <w:p w:rsidR="00981775" w:rsidRDefault="00981775" w:rsidP="00981775">
      <w:pPr>
        <w:pStyle w:val="SangriaFrancesaArticulo"/>
      </w:pPr>
      <w:r w:rsidRPr="00981775">
        <w:rPr>
          <w:rStyle w:val="TextoNormalNegritaCaracter"/>
        </w:rPr>
        <w:t>Artículo 1.2. diez.</w:t>
      </w:r>
      <w:r w:rsidRPr="00981775">
        <w:rPr>
          <w:rStyle w:val="TextoNormalCaracter"/>
        </w:rPr>
        <w:t>-</w:t>
      </w:r>
      <w:r>
        <w:t xml:space="preserve"> Sentencia </w:t>
      </w:r>
      <w:hyperlink w:anchor="SENTENCIA_2015_236" w:history="1">
        <w:r w:rsidRPr="00981775">
          <w:rPr>
            <w:rStyle w:val="TextoNormalCaracter"/>
          </w:rPr>
          <w:t>236/2015</w:t>
        </w:r>
      </w:hyperlink>
      <w:r>
        <w:t>, ff. 1, 5, 7.</w:t>
      </w:r>
    </w:p>
    <w:p w:rsidR="00981775" w:rsidRDefault="00981775" w:rsidP="00981775">
      <w:pPr>
        <w:pStyle w:val="SangriaFrancesaArticulo"/>
      </w:pPr>
      <w:r w:rsidRPr="00981775">
        <w:rPr>
          <w:rStyle w:val="TextoNormalNegritaCaracter"/>
        </w:rPr>
        <w:t>Artículo 1.2. doce.</w:t>
      </w:r>
      <w:r w:rsidRPr="00981775">
        <w:rPr>
          <w:rStyle w:val="TextoNormalCaracter"/>
        </w:rPr>
        <w:t>-</w:t>
      </w:r>
      <w:r>
        <w:t xml:space="preserve"> Sentencia </w:t>
      </w:r>
      <w:hyperlink w:anchor="SENTENCIA_2015_236" w:history="1">
        <w:r w:rsidRPr="00981775">
          <w:rPr>
            <w:rStyle w:val="TextoNormalCaracter"/>
          </w:rPr>
          <w:t>236/2015</w:t>
        </w:r>
      </w:hyperlink>
      <w:r>
        <w:t>, ff. 1, 7.</w:t>
      </w:r>
    </w:p>
    <w:p w:rsidR="00981775" w:rsidRDefault="00981775" w:rsidP="00981775">
      <w:pPr>
        <w:pStyle w:val="SangriaFrancesaArticulo"/>
      </w:pPr>
      <w:r w:rsidRPr="00981775">
        <w:rPr>
          <w:rStyle w:val="TextoNormalNegritaCaracter"/>
        </w:rPr>
        <w:t>Artículo 1.2. nueve.</w:t>
      </w:r>
      <w:r w:rsidRPr="00981775">
        <w:rPr>
          <w:rStyle w:val="TextoNormalCaracter"/>
        </w:rPr>
        <w:t>-</w:t>
      </w:r>
      <w:r>
        <w:t xml:space="preserve"> Sentencia </w:t>
      </w:r>
      <w:hyperlink w:anchor="SENTENCIA_2015_236" w:history="1">
        <w:r w:rsidRPr="00981775">
          <w:rPr>
            <w:rStyle w:val="TextoNormalCaracter"/>
          </w:rPr>
          <w:t>236/2015</w:t>
        </w:r>
      </w:hyperlink>
      <w:r>
        <w:t>, ff. 1, 5, 6, 10.</w:t>
      </w:r>
    </w:p>
    <w:p w:rsidR="00981775" w:rsidRDefault="00981775" w:rsidP="00981775">
      <w:pPr>
        <w:pStyle w:val="SangriaFrancesaArticulo"/>
      </w:pPr>
      <w:r w:rsidRPr="00981775">
        <w:rPr>
          <w:rStyle w:val="TextoNormalNegritaCaracter"/>
        </w:rPr>
        <w:t>Artículo 3.</w:t>
      </w:r>
      <w:r w:rsidRPr="00981775">
        <w:rPr>
          <w:rStyle w:val="TextoNormalCaracter"/>
        </w:rPr>
        <w:t>-</w:t>
      </w:r>
      <w:r>
        <w:t xml:space="preserve"> Sentencia </w:t>
      </w:r>
      <w:hyperlink w:anchor="SENTENCIA_2015_236" w:history="1">
        <w:r w:rsidRPr="00981775">
          <w:rPr>
            <w:rStyle w:val="TextoNormalCaracter"/>
          </w:rPr>
          <w:t>236/2015</w:t>
        </w:r>
      </w:hyperlink>
      <w:r>
        <w:t>, ff. 1, 2, 8.</w:t>
      </w:r>
    </w:p>
    <w:p w:rsidR="00981775" w:rsidRDefault="00981775" w:rsidP="00981775">
      <w:pPr>
        <w:pStyle w:val="SangriaFrancesaArticulo"/>
      </w:pPr>
      <w:r w:rsidRPr="00981775">
        <w:rPr>
          <w:rStyle w:val="TextoNormalNegritaCaracter"/>
        </w:rPr>
        <w:t>Artículo 4.</w:t>
      </w:r>
      <w:r w:rsidRPr="00981775">
        <w:rPr>
          <w:rStyle w:val="TextoNormalCaracter"/>
        </w:rPr>
        <w:t>-</w:t>
      </w:r>
      <w:r>
        <w:t xml:space="preserve"> Sentencia </w:t>
      </w:r>
      <w:hyperlink w:anchor="SENTENCIA_2015_236" w:history="1">
        <w:r w:rsidRPr="00981775">
          <w:rPr>
            <w:rStyle w:val="TextoNormalCaracter"/>
          </w:rPr>
          <w:t>236/2015</w:t>
        </w:r>
      </w:hyperlink>
      <w:r>
        <w:t>, ff. 1, 2, 8.</w:t>
      </w:r>
    </w:p>
    <w:p w:rsidR="00981775" w:rsidRDefault="00981775" w:rsidP="00981775">
      <w:pPr>
        <w:pStyle w:val="SangriaFrancesaArticulo"/>
      </w:pPr>
      <w:r w:rsidRPr="00981775">
        <w:rPr>
          <w:rStyle w:val="TextoNormalNegritaCaracter"/>
        </w:rPr>
        <w:t>Artículo 5.</w:t>
      </w:r>
      <w:r w:rsidRPr="00981775">
        <w:rPr>
          <w:rStyle w:val="TextoNormalCaracter"/>
        </w:rPr>
        <w:t>-</w:t>
      </w:r>
      <w:r>
        <w:t xml:space="preserve"> Sentencia </w:t>
      </w:r>
      <w:hyperlink w:anchor="SENTENCIA_2015_236" w:history="1">
        <w:r w:rsidRPr="00981775">
          <w:rPr>
            <w:rStyle w:val="TextoNormalCaracter"/>
          </w:rPr>
          <w:t>236/2015</w:t>
        </w:r>
      </w:hyperlink>
      <w:r>
        <w:t>, ff. 1, 2, 8.</w:t>
      </w:r>
    </w:p>
    <w:p w:rsidR="00981775" w:rsidRDefault="00981775" w:rsidP="00981775">
      <w:pPr>
        <w:pStyle w:val="SangriaFrancesaArticulo"/>
      </w:pPr>
      <w:r w:rsidRPr="00981775">
        <w:rPr>
          <w:rStyle w:val="TextoNormalNegritaCaracter"/>
        </w:rPr>
        <w:t>Artículo 6.</w:t>
      </w:r>
      <w:r w:rsidRPr="00981775">
        <w:rPr>
          <w:rStyle w:val="TextoNormalCaracter"/>
        </w:rPr>
        <w:t>-</w:t>
      </w:r>
      <w:r>
        <w:t xml:space="preserve"> Sentencia </w:t>
      </w:r>
      <w:hyperlink w:anchor="SENTENCIA_2015_236" w:history="1">
        <w:r w:rsidRPr="00981775">
          <w:rPr>
            <w:rStyle w:val="TextoNormalCaracter"/>
          </w:rPr>
          <w:t>236/2015</w:t>
        </w:r>
      </w:hyperlink>
      <w:r>
        <w:t>, ff. 1, 2, 8.</w:t>
      </w:r>
    </w:p>
    <w:p w:rsidR="00981775" w:rsidRDefault="00981775" w:rsidP="00981775">
      <w:pPr>
        <w:pStyle w:val="SangriaFrancesaArticulo"/>
      </w:pPr>
      <w:r w:rsidRPr="00981775">
        <w:rPr>
          <w:rStyle w:val="TextoNormalNegritaCaracter"/>
        </w:rPr>
        <w:t>Artículo 7.</w:t>
      </w:r>
      <w:r w:rsidRPr="00981775">
        <w:rPr>
          <w:rStyle w:val="TextoNormalCaracter"/>
        </w:rPr>
        <w:t>-</w:t>
      </w:r>
      <w:r>
        <w:t xml:space="preserve"> Sentencia </w:t>
      </w:r>
      <w:hyperlink w:anchor="SENTENCIA_2015_236" w:history="1">
        <w:r w:rsidRPr="00981775">
          <w:rPr>
            <w:rStyle w:val="TextoNormalCaracter"/>
          </w:rPr>
          <w:t>236/2015</w:t>
        </w:r>
      </w:hyperlink>
      <w:r>
        <w:t>, ff. 1, 2, 8.</w:t>
      </w:r>
    </w:p>
    <w:p w:rsidR="00981775" w:rsidRDefault="00981775" w:rsidP="00981775">
      <w:pPr>
        <w:pStyle w:val="SangriaFrancesaArticulo"/>
      </w:pPr>
      <w:r w:rsidRPr="00981775">
        <w:rPr>
          <w:rStyle w:val="TextoNormalNegritaCaracter"/>
        </w:rPr>
        <w:t>Artículo 8.</w:t>
      </w:r>
      <w:r w:rsidRPr="00981775">
        <w:rPr>
          <w:rStyle w:val="TextoNormalCaracter"/>
        </w:rPr>
        <w:t>-</w:t>
      </w:r>
      <w:r>
        <w:t xml:space="preserve"> Sentencia </w:t>
      </w:r>
      <w:hyperlink w:anchor="SENTENCIA_2015_236" w:history="1">
        <w:r w:rsidRPr="00981775">
          <w:rPr>
            <w:rStyle w:val="TextoNormalCaracter"/>
          </w:rPr>
          <w:t>236/2015</w:t>
        </w:r>
      </w:hyperlink>
      <w:r>
        <w:t>, ff. 1, 2, 8, 9.</w:t>
      </w:r>
    </w:p>
    <w:p w:rsidR="00981775" w:rsidRDefault="00981775" w:rsidP="00981775">
      <w:pPr>
        <w:pStyle w:val="SangriaFrancesaArticulo"/>
      </w:pPr>
      <w:r w:rsidRPr="00981775">
        <w:rPr>
          <w:rStyle w:val="TextoNormalNegritaCaracter"/>
        </w:rPr>
        <w:t>Artículo 9.</w:t>
      </w:r>
      <w:r w:rsidRPr="00981775">
        <w:rPr>
          <w:rStyle w:val="TextoNormalCaracter"/>
        </w:rPr>
        <w:t>-</w:t>
      </w:r>
      <w:r>
        <w:t xml:space="preserve"> Sentencia </w:t>
      </w:r>
      <w:hyperlink w:anchor="SENTENCIA_2015_236" w:history="1">
        <w:r w:rsidRPr="00981775">
          <w:rPr>
            <w:rStyle w:val="TextoNormalCaracter"/>
          </w:rPr>
          <w:t>236/2015</w:t>
        </w:r>
      </w:hyperlink>
      <w:r>
        <w:t>, ff. 1, 2, 8.</w:t>
      </w:r>
    </w:p>
    <w:p w:rsidR="00981775" w:rsidRDefault="00981775" w:rsidP="00981775">
      <w:pPr>
        <w:pStyle w:val="SangriaFrancesaArticulo"/>
      </w:pPr>
      <w:r w:rsidRPr="00981775">
        <w:rPr>
          <w:rStyle w:val="TextoNormalNegritaCaracter"/>
        </w:rPr>
        <w:t>Artículo 10.</w:t>
      </w:r>
      <w:r w:rsidRPr="00981775">
        <w:rPr>
          <w:rStyle w:val="TextoNormalCaracter"/>
        </w:rPr>
        <w:t>-</w:t>
      </w:r>
      <w:r>
        <w:t xml:space="preserve"> Sentencia </w:t>
      </w:r>
      <w:hyperlink w:anchor="SENTENCIA_2015_236" w:history="1">
        <w:r w:rsidRPr="00981775">
          <w:rPr>
            <w:rStyle w:val="TextoNormalCaracter"/>
          </w:rPr>
          <w:t>236/2015</w:t>
        </w:r>
      </w:hyperlink>
      <w:r>
        <w:t>, ff. 1, 2, 8.</w:t>
      </w:r>
    </w:p>
    <w:p w:rsidR="00981775" w:rsidRDefault="00981775" w:rsidP="00981775">
      <w:pPr>
        <w:pStyle w:val="SangriaFrancesaArticulo"/>
      </w:pPr>
      <w:r w:rsidRPr="00981775">
        <w:rPr>
          <w:rStyle w:val="TextoNormalNegritaCaracter"/>
        </w:rPr>
        <w:t>Artículo 11.</w:t>
      </w:r>
      <w:r w:rsidRPr="00981775">
        <w:rPr>
          <w:rStyle w:val="TextoNormalCaracter"/>
        </w:rPr>
        <w:t>-</w:t>
      </w:r>
      <w:r>
        <w:t xml:space="preserve"> Sentencia </w:t>
      </w:r>
      <w:hyperlink w:anchor="SENTENCIA_2015_236" w:history="1">
        <w:r w:rsidRPr="00981775">
          <w:rPr>
            <w:rStyle w:val="TextoNormalCaracter"/>
          </w:rPr>
          <w:t>236/2015</w:t>
        </w:r>
      </w:hyperlink>
      <w:r>
        <w:t>, ff. 1, 2, 8, 9.</w:t>
      </w:r>
    </w:p>
    <w:p w:rsidR="00981775" w:rsidRDefault="00981775" w:rsidP="00981775">
      <w:pPr>
        <w:pStyle w:val="SangriaFrancesaArticulo"/>
      </w:pPr>
      <w:r w:rsidRPr="00981775">
        <w:rPr>
          <w:rStyle w:val="TextoNormalNegritaCaracter"/>
        </w:rPr>
        <w:t>Artículo 12.</w:t>
      </w:r>
      <w:r w:rsidRPr="00981775">
        <w:rPr>
          <w:rStyle w:val="TextoNormalCaracter"/>
        </w:rPr>
        <w:t>-</w:t>
      </w:r>
      <w:r>
        <w:t xml:space="preserve"> Sentencia </w:t>
      </w:r>
      <w:hyperlink w:anchor="SENTENCIA_2015_236" w:history="1">
        <w:r w:rsidRPr="00981775">
          <w:rPr>
            <w:rStyle w:val="TextoNormalCaracter"/>
          </w:rPr>
          <w:t>236/2015</w:t>
        </w:r>
      </w:hyperlink>
      <w:r>
        <w:t>, ff. 1, 2, 8.</w:t>
      </w:r>
    </w:p>
    <w:p w:rsidR="00981775" w:rsidRDefault="00981775" w:rsidP="00981775">
      <w:pPr>
        <w:pStyle w:val="SangriaFrancesaArticulo"/>
      </w:pPr>
      <w:r w:rsidRPr="00981775">
        <w:rPr>
          <w:rStyle w:val="TextoNormalNegritaCaracter"/>
        </w:rPr>
        <w:t>Artículo 18.</w:t>
      </w:r>
      <w:r w:rsidRPr="00981775">
        <w:rPr>
          <w:rStyle w:val="TextoNormalCaracter"/>
        </w:rPr>
        <w:t>-</w:t>
      </w:r>
      <w:r>
        <w:t xml:space="preserve"> Sentencia </w:t>
      </w:r>
      <w:hyperlink w:anchor="SENTENCIA_2015_236" w:history="1">
        <w:r w:rsidRPr="00981775">
          <w:rPr>
            <w:rStyle w:val="TextoNormalCaracter"/>
          </w:rPr>
          <w:t>236/2015</w:t>
        </w:r>
      </w:hyperlink>
      <w:r>
        <w:t>, ff. 1, 2, 8.</w:t>
      </w:r>
    </w:p>
    <w:p w:rsidR="00981775" w:rsidRDefault="00981775" w:rsidP="00981775">
      <w:pPr>
        <w:pStyle w:val="SangriaFrancesaArticulo"/>
      </w:pPr>
      <w:r w:rsidRPr="00981775">
        <w:rPr>
          <w:rStyle w:val="TextoNormalNegritaCaracter"/>
        </w:rPr>
        <w:t>Artículo 19.</w:t>
      </w:r>
      <w:r w:rsidRPr="00981775">
        <w:rPr>
          <w:rStyle w:val="TextoNormalCaracter"/>
        </w:rPr>
        <w:t>-</w:t>
      </w:r>
      <w:r>
        <w:t xml:space="preserve"> Sentencia </w:t>
      </w:r>
      <w:hyperlink w:anchor="SENTENCIA_2015_236" w:history="1">
        <w:r w:rsidRPr="00981775">
          <w:rPr>
            <w:rStyle w:val="TextoNormalCaracter"/>
          </w:rPr>
          <w:t>236/2015</w:t>
        </w:r>
      </w:hyperlink>
      <w:r>
        <w:t>, ff. 1, 2, 8.</w:t>
      </w:r>
    </w:p>
    <w:p w:rsidR="00981775" w:rsidRDefault="00981775" w:rsidP="00981775">
      <w:pPr>
        <w:pStyle w:val="SangriaFrancesaArticulo"/>
      </w:pPr>
      <w:r w:rsidRPr="00981775">
        <w:rPr>
          <w:rStyle w:val="TextoNormalNegritaCaracter"/>
        </w:rPr>
        <w:t>Artículo 20.</w:t>
      </w:r>
      <w:r w:rsidRPr="00981775">
        <w:rPr>
          <w:rStyle w:val="TextoNormalCaracter"/>
        </w:rPr>
        <w:t>-</w:t>
      </w:r>
      <w:r>
        <w:t xml:space="preserve"> Sentencia </w:t>
      </w:r>
      <w:hyperlink w:anchor="SENTENCIA_2015_236" w:history="1">
        <w:r w:rsidRPr="00981775">
          <w:rPr>
            <w:rStyle w:val="TextoNormalCaracter"/>
          </w:rPr>
          <w:t>236/2015</w:t>
        </w:r>
      </w:hyperlink>
      <w:r>
        <w:t>, ff. 1, 2, 8.</w:t>
      </w:r>
    </w:p>
    <w:p w:rsidR="00981775" w:rsidRDefault="00981775" w:rsidP="00981775">
      <w:pPr>
        <w:pStyle w:val="SangriaFrancesaArticulo"/>
      </w:pPr>
      <w:r w:rsidRPr="00981775">
        <w:rPr>
          <w:rStyle w:val="TextoNormalNegritaCaracter"/>
        </w:rPr>
        <w:t>Artículo 21.</w:t>
      </w:r>
      <w:r w:rsidRPr="00981775">
        <w:rPr>
          <w:rStyle w:val="TextoNormalCaracter"/>
        </w:rPr>
        <w:t>-</w:t>
      </w:r>
      <w:r>
        <w:t xml:space="preserve"> Sentencia </w:t>
      </w:r>
      <w:hyperlink w:anchor="SENTENCIA_2015_236" w:history="1">
        <w:r w:rsidRPr="00981775">
          <w:rPr>
            <w:rStyle w:val="TextoNormalCaracter"/>
          </w:rPr>
          <w:t>236/2015</w:t>
        </w:r>
      </w:hyperlink>
      <w:r>
        <w:t>, ff. 1, 2, 8.</w:t>
      </w:r>
    </w:p>
    <w:p w:rsidR="00981775" w:rsidRDefault="00981775" w:rsidP="00981775">
      <w:pPr>
        <w:pStyle w:val="SangriaFrancesaArticulo"/>
      </w:pPr>
      <w:r w:rsidRPr="00981775">
        <w:rPr>
          <w:rStyle w:val="TextoNormalNegritaCaracter"/>
        </w:rPr>
        <w:t>Artículo 22.</w:t>
      </w:r>
      <w:r w:rsidRPr="00981775">
        <w:rPr>
          <w:rStyle w:val="TextoNormalCaracter"/>
        </w:rPr>
        <w:t>-</w:t>
      </w:r>
      <w:r>
        <w:t xml:space="preserve"> Sentencia </w:t>
      </w:r>
      <w:hyperlink w:anchor="SENTENCIA_2015_236" w:history="1">
        <w:r w:rsidRPr="00981775">
          <w:rPr>
            <w:rStyle w:val="TextoNormalCaracter"/>
          </w:rPr>
          <w:t>236/2015</w:t>
        </w:r>
      </w:hyperlink>
      <w:r>
        <w:t>, ff. 1, 2, 8.</w:t>
      </w:r>
    </w:p>
    <w:p w:rsidR="00981775" w:rsidRDefault="00981775" w:rsidP="00981775">
      <w:pPr>
        <w:pStyle w:val="SangriaFrancesaArticulo"/>
      </w:pPr>
      <w:r w:rsidRPr="00981775">
        <w:rPr>
          <w:rStyle w:val="TextoNormalNegritaCaracter"/>
        </w:rPr>
        <w:t>Artículo 23.</w:t>
      </w:r>
      <w:r w:rsidRPr="00981775">
        <w:rPr>
          <w:rStyle w:val="TextoNormalCaracter"/>
        </w:rPr>
        <w:t>-</w:t>
      </w:r>
      <w:r>
        <w:t xml:space="preserve"> Sentencia </w:t>
      </w:r>
      <w:hyperlink w:anchor="SENTENCIA_2015_236" w:history="1">
        <w:r w:rsidRPr="00981775">
          <w:rPr>
            <w:rStyle w:val="TextoNormalCaracter"/>
          </w:rPr>
          <w:t>236/2015</w:t>
        </w:r>
      </w:hyperlink>
      <w:r>
        <w:t>, ff. 1, 2, 8.</w:t>
      </w:r>
    </w:p>
    <w:p w:rsidR="00981775" w:rsidRDefault="00981775" w:rsidP="00981775">
      <w:pPr>
        <w:pStyle w:val="SangriaFrancesaArticulo"/>
      </w:pPr>
      <w:r w:rsidRPr="00981775">
        <w:rPr>
          <w:rStyle w:val="TextoNormalNegritaCaracter"/>
        </w:rPr>
        <w:t>Artículo 24.</w:t>
      </w:r>
      <w:r w:rsidRPr="00981775">
        <w:rPr>
          <w:rStyle w:val="TextoNormalCaracter"/>
        </w:rPr>
        <w:t>-</w:t>
      </w:r>
      <w:r>
        <w:t xml:space="preserve"> Sentencia </w:t>
      </w:r>
      <w:hyperlink w:anchor="SENTENCIA_2015_236" w:history="1">
        <w:r w:rsidRPr="00981775">
          <w:rPr>
            <w:rStyle w:val="TextoNormalCaracter"/>
          </w:rPr>
          <w:t>236/2015</w:t>
        </w:r>
      </w:hyperlink>
      <w:r>
        <w:t>, ff. 1, 2, 8.</w:t>
      </w:r>
    </w:p>
    <w:p w:rsidR="00981775" w:rsidRDefault="00981775" w:rsidP="00981775">
      <w:pPr>
        <w:pStyle w:val="SangriaFrancesaArticulo"/>
      </w:pPr>
      <w:r w:rsidRPr="00981775">
        <w:rPr>
          <w:rStyle w:val="TextoNormalNegritaCaracter"/>
        </w:rPr>
        <w:t>Artículo 68.1 a).</w:t>
      </w:r>
      <w:r w:rsidRPr="00981775">
        <w:rPr>
          <w:rStyle w:val="TextoNormalCaracter"/>
        </w:rPr>
        <w:t>-</w:t>
      </w:r>
      <w:r>
        <w:t xml:space="preserve"> Sentencia </w:t>
      </w:r>
      <w:hyperlink w:anchor="SENTENCIA_2015_236" w:history="1">
        <w:r w:rsidRPr="00981775">
          <w:rPr>
            <w:rStyle w:val="TextoNormalCaracter"/>
          </w:rPr>
          <w:t>236/2015</w:t>
        </w:r>
      </w:hyperlink>
      <w:r>
        <w:t>, f. 5.</w:t>
      </w:r>
    </w:p>
    <w:p w:rsidR="00981775" w:rsidRDefault="00981775" w:rsidP="00981775">
      <w:pPr>
        <w:pStyle w:val="SangriaFrancesaArticulo"/>
      </w:pPr>
      <w:r w:rsidRPr="00981775">
        <w:rPr>
          <w:rStyle w:val="TextoNormalNegritaCaracter"/>
        </w:rPr>
        <w:t>Artículo 68.1 b).</w:t>
      </w:r>
      <w:r w:rsidRPr="00981775">
        <w:rPr>
          <w:rStyle w:val="TextoNormalCaracter"/>
        </w:rPr>
        <w:t>-</w:t>
      </w:r>
      <w:r>
        <w:t xml:space="preserve"> Sentencia </w:t>
      </w:r>
      <w:hyperlink w:anchor="SENTENCIA_2015_236" w:history="1">
        <w:r w:rsidRPr="00981775">
          <w:rPr>
            <w:rStyle w:val="TextoNormalCaracter"/>
          </w:rPr>
          <w:t>236/2015</w:t>
        </w:r>
      </w:hyperlink>
      <w:r>
        <w:t>, f. 5, VP.</w:t>
      </w:r>
    </w:p>
    <w:p w:rsidR="00981775" w:rsidRDefault="00981775" w:rsidP="00981775">
      <w:pPr>
        <w:pStyle w:val="SangriaFrancesaArticulo"/>
      </w:pPr>
      <w:r w:rsidRPr="00981775">
        <w:rPr>
          <w:rStyle w:val="TextoNormalNegritaCaracter"/>
        </w:rPr>
        <w:t>Disposición adicional cuarta.</w:t>
      </w:r>
      <w:r w:rsidRPr="00981775">
        <w:rPr>
          <w:rStyle w:val="TextoNormalCaracter"/>
        </w:rPr>
        <w:t>-</w:t>
      </w:r>
      <w:r>
        <w:t xml:space="preserve"> Sentencia </w:t>
      </w:r>
      <w:hyperlink w:anchor="SENTENCIA_2015_236" w:history="1">
        <w:r w:rsidRPr="00981775">
          <w:rPr>
            <w:rStyle w:val="TextoNormalCaracter"/>
          </w:rPr>
          <w:t>236/2015</w:t>
        </w:r>
      </w:hyperlink>
      <w:r>
        <w:t>, ff. 1, 8, 9.</w:t>
      </w:r>
    </w:p>
    <w:p w:rsidR="00981775" w:rsidRDefault="00981775" w:rsidP="00981775">
      <w:pPr>
        <w:pStyle w:val="SangriaFrancesaArticulo"/>
      </w:pPr>
      <w:r w:rsidRPr="00981775">
        <w:rPr>
          <w:rStyle w:val="TextoNormalNegritaCaracter"/>
        </w:rPr>
        <w:t>Disposición adicional cuarta, apartado 1.</w:t>
      </w:r>
      <w:r w:rsidRPr="00981775">
        <w:rPr>
          <w:rStyle w:val="TextoNormalCaracter"/>
        </w:rPr>
        <w:t>-</w:t>
      </w:r>
      <w:r>
        <w:t xml:space="preserve"> Sentencia </w:t>
      </w:r>
      <w:hyperlink w:anchor="SENTENCIA_2015_236" w:history="1">
        <w:r w:rsidRPr="00981775">
          <w:rPr>
            <w:rStyle w:val="TextoNormalCaracter"/>
          </w:rPr>
          <w:t>236/2015</w:t>
        </w:r>
      </w:hyperlink>
      <w:r>
        <w:t>, f. 8.</w:t>
      </w:r>
    </w:p>
    <w:p w:rsidR="00981775" w:rsidRDefault="00981775" w:rsidP="00981775">
      <w:pPr>
        <w:pStyle w:val="SangriaFrancesaArticulo"/>
      </w:pPr>
      <w:r w:rsidRPr="00981775">
        <w:rPr>
          <w:rStyle w:val="TextoNormalNegritaCaracter"/>
        </w:rPr>
        <w:t>Disposición adicional sexta.</w:t>
      </w:r>
      <w:r w:rsidRPr="00981775">
        <w:rPr>
          <w:rStyle w:val="TextoNormalCaracter"/>
        </w:rPr>
        <w:t>-</w:t>
      </w:r>
      <w:r>
        <w:t xml:space="preserve"> Sentencia </w:t>
      </w:r>
      <w:hyperlink w:anchor="SENTENCIA_2015_236" w:history="1">
        <w:r w:rsidRPr="00981775">
          <w:rPr>
            <w:rStyle w:val="TextoNormalCaracter"/>
          </w:rPr>
          <w:t>236/2015</w:t>
        </w:r>
      </w:hyperlink>
      <w:r>
        <w:t>, ff. 1, 10.</w:t>
      </w:r>
    </w:p>
    <w:p w:rsidR="00981775" w:rsidRDefault="00981775" w:rsidP="00981775">
      <w:pPr>
        <w:pStyle w:val="SangriaFrancesaArticulo"/>
      </w:pPr>
      <w:r w:rsidRPr="00981775">
        <w:rPr>
          <w:rStyle w:val="TextoNormalNegritaCaracter"/>
        </w:rPr>
        <w:t>Disposición derogatoria única.</w:t>
      </w:r>
      <w:r w:rsidRPr="00981775">
        <w:rPr>
          <w:rStyle w:val="TextoNormalCaracter"/>
        </w:rPr>
        <w:t>-</w:t>
      </w:r>
      <w:r>
        <w:t xml:space="preserve"> Sentencias </w:t>
      </w:r>
      <w:hyperlink w:anchor="SENTENCIA_2015_230" w:history="1">
        <w:r w:rsidRPr="00981775">
          <w:rPr>
            <w:rStyle w:val="TextoNormalCaracter"/>
          </w:rPr>
          <w:t>230/2015</w:t>
        </w:r>
      </w:hyperlink>
      <w:r>
        <w:t xml:space="preserve">, f. 3; </w:t>
      </w:r>
      <w:hyperlink w:anchor="SENTENCIA_2015_236" w:history="1">
        <w:r w:rsidRPr="00981775">
          <w:rPr>
            <w:rStyle w:val="TextoNormalCaracter"/>
          </w:rPr>
          <w:t>236/2015</w:t>
        </w:r>
      </w:hyperlink>
      <w:r>
        <w:t>, ff. 1, 10.</w:t>
      </w:r>
    </w:p>
    <w:p w:rsidR="00981775" w:rsidRDefault="00981775" w:rsidP="00981775">
      <w:pPr>
        <w:pStyle w:val="SangriaFrancesaArticulo"/>
      </w:pPr>
    </w:p>
    <w:p w:rsidR="00981775" w:rsidRDefault="00981775" w:rsidP="00981775">
      <w:pPr>
        <w:pStyle w:val="TextoNormalNegritaCursivandice"/>
      </w:pPr>
      <w:r>
        <w:t>Decreto-ley de la Junta de Andalucía 5/2012, de 27 de noviembre. Medidas urgentes en materia urbanística y para la protección del litoral de Andalucía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54" w:history="1">
        <w:r w:rsidRPr="00981775">
          <w:rPr>
            <w:rStyle w:val="TextoNormalCaracter"/>
          </w:rPr>
          <w:t>154/2015</w:t>
        </w:r>
      </w:hyperlink>
      <w:r>
        <w:t>, f. 2.</w:t>
      </w:r>
    </w:p>
    <w:p w:rsidR="00981775" w:rsidRDefault="00981775" w:rsidP="00981775">
      <w:pPr>
        <w:pStyle w:val="SangriaFrancesaArticulo"/>
      </w:pPr>
      <w:r w:rsidRPr="00981775">
        <w:rPr>
          <w:rStyle w:val="TextoNormalNegritaCaracter"/>
        </w:rPr>
        <w:t>Disposición final quinta.</w:t>
      </w:r>
      <w:r w:rsidRPr="00981775">
        <w:rPr>
          <w:rStyle w:val="TextoNormalCaracter"/>
        </w:rPr>
        <w:t>-</w:t>
      </w:r>
      <w:r>
        <w:t xml:space="preserve"> Sentencia </w:t>
      </w:r>
      <w:hyperlink w:anchor="SENTENCIA_2015_154" w:history="1">
        <w:r w:rsidRPr="00981775">
          <w:rPr>
            <w:rStyle w:val="TextoNormalCaracter"/>
          </w:rPr>
          <w:t>154/2015</w:t>
        </w:r>
      </w:hyperlink>
      <w:r>
        <w:t>, f. 2.</w:t>
      </w:r>
    </w:p>
    <w:p w:rsidR="00981775" w:rsidRDefault="00981775" w:rsidP="00981775">
      <w:pPr>
        <w:pStyle w:val="SangriaFrancesaArticulo"/>
      </w:pPr>
    </w:p>
    <w:p w:rsidR="00981775" w:rsidRDefault="00981775" w:rsidP="00981775">
      <w:pPr>
        <w:pStyle w:val="TextoNormalNegritaCursivandice"/>
      </w:pPr>
      <w:r>
        <w:t>Ley del Parlamento de Andalucía 4/2013, de 1 de octubre. Medidas para asegurar el cumplimiento de la función social de la vivienda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35" w:history="1">
        <w:r w:rsidRPr="00981775">
          <w:rPr>
            <w:rStyle w:val="TextoNormalCaracter"/>
          </w:rPr>
          <w:t>135/2015</w:t>
        </w:r>
      </w:hyperlink>
      <w:r>
        <w:t>, f. 1, VP.</w:t>
      </w:r>
    </w:p>
    <w:p w:rsidR="00981775" w:rsidRDefault="00981775" w:rsidP="00981775">
      <w:pPr>
        <w:pStyle w:val="SangriaFrancesaArticulo"/>
      </w:pPr>
    </w:p>
    <w:p w:rsidR="00981775" w:rsidRDefault="00981775" w:rsidP="00981775">
      <w:pPr>
        <w:pStyle w:val="TextoNormalNegritaCursivandice"/>
      </w:pPr>
      <w:r>
        <w:t>Ley del Parlamento de Andalucía 6/2014, de 30 de diciembre. Presupuesto de la Comunidad Autónoma para el año 2015</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6" w:history="1">
        <w:r w:rsidRPr="00981775">
          <w:rPr>
            <w:rStyle w:val="TextoNormalCaracter"/>
          </w:rPr>
          <w:t>236/2015</w:t>
        </w:r>
      </w:hyperlink>
      <w:r>
        <w:t>, f. 2.</w:t>
      </w:r>
    </w:p>
    <w:p w:rsidR="00981775" w:rsidRDefault="00981775" w:rsidP="00981775">
      <w:pPr>
        <w:pStyle w:val="TextoNormal"/>
      </w:pPr>
    </w:p>
    <w:p w:rsidR="00981775" w:rsidRDefault="00981775" w:rsidP="00981775">
      <w:pPr>
        <w:pStyle w:val="TextoNormalNegritaCentradoSubrayado"/>
        <w:suppressAutoHyphens/>
      </w:pPr>
      <w:r>
        <w:t>J.1.c) Decretos y otras disposiciones reglamentarias</w:t>
      </w:r>
    </w:p>
    <w:p w:rsidR="00981775" w:rsidRDefault="00981775" w:rsidP="00981775">
      <w:pPr>
        <w:pStyle w:val="TextoNormalNegritaCentradoSubrayado"/>
      </w:pPr>
    </w:p>
    <w:p w:rsidR="00981775" w:rsidRDefault="00981775" w:rsidP="00981775">
      <w:pPr>
        <w:pStyle w:val="TextoNormalNegritaCursivandice"/>
      </w:pPr>
      <w:r>
        <w:t>Decreto de la Junta de Andalucía 450/2000, de 26 de diciembre. Reglamento de organización y funciones del Gabinete Jurídico y del Cuerpo de Letrados de la Junta de Andalucía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48" w:history="1">
        <w:r w:rsidRPr="00981775">
          <w:rPr>
            <w:rStyle w:val="TextoNormalCaracter"/>
          </w:rPr>
          <w:t>148/2015</w:t>
        </w:r>
      </w:hyperlink>
      <w:r>
        <w:t>, Único.</w:t>
      </w:r>
    </w:p>
    <w:p w:rsidR="00981775" w:rsidRDefault="00981775" w:rsidP="00981775">
      <w:pPr>
        <w:pStyle w:val="SangriaFrancesaArticulo"/>
      </w:pPr>
    </w:p>
    <w:p w:rsidR="00981775" w:rsidRDefault="00981775" w:rsidP="00981775">
      <w:pPr>
        <w:pStyle w:val="TextoNormalNegritaCursivandice"/>
      </w:pPr>
      <w:r>
        <w:t>Orden de la Consejería de Obras Públicas y Transportes de la Comunidad Autónoma de Andalucía de 20 de enero de 2006. Derechos de tanteo y retracto legal en las segundas o posteriores transmisiones de viviendas calificadas como protegidas con anterioridad a la entrada en vigor de la Ley 13/2005, de 11 de noviembre, de medidas para la vivienda protegida y el suelo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54" w:history="1">
        <w:r w:rsidRPr="00981775">
          <w:rPr>
            <w:rStyle w:val="TextoNormalCaracter"/>
          </w:rPr>
          <w:t>154/2015</w:t>
        </w:r>
      </w:hyperlink>
      <w:r>
        <w:t>, f. 3.</w:t>
      </w:r>
    </w:p>
    <w:p w:rsidR="00981775" w:rsidRDefault="00981775" w:rsidP="00981775">
      <w:pPr>
        <w:pStyle w:val="SangriaFrancesaArticulo"/>
      </w:pPr>
    </w:p>
    <w:p w:rsidR="00981775" w:rsidRDefault="00981775" w:rsidP="00981775">
      <w:pPr>
        <w:pStyle w:val="TextoNormalNegritaCursivandice"/>
      </w:pPr>
      <w:r>
        <w:t>Decreto de la Junta de Andalucía 149/2006, de 25 de julio. Reglamento de viviendas protegidas de la Comunidad Autónoma de Andalucía y se desarrollan determinadas disposiciones de la Ley/2005, de 11 de noviembre, de medidas en materia de vivienda protegida y el suelo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54" w:history="1">
        <w:r w:rsidRPr="00981775">
          <w:rPr>
            <w:rStyle w:val="TextoNormalCaracter"/>
          </w:rPr>
          <w:t>154/2015</w:t>
        </w:r>
      </w:hyperlink>
      <w:r>
        <w:t>, f. 3.</w:t>
      </w:r>
    </w:p>
    <w:p w:rsidR="00981775" w:rsidRDefault="00981775" w:rsidP="00981775">
      <w:pPr>
        <w:pStyle w:val="SangriaFrancesaArticulo"/>
      </w:pPr>
    </w:p>
    <w:p w:rsidR="00981775" w:rsidRDefault="00981775" w:rsidP="00981775">
      <w:pPr>
        <w:pStyle w:val="TextoNormalNegritaCursivandice"/>
      </w:pPr>
      <w:r>
        <w:t>Decreto de la Junta de Andalucía 324/2009, de 8 de septiembre. Aprueba el Estatuto de la Agencia Tributaria de Andalucía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6" w:history="1">
        <w:r w:rsidRPr="00981775">
          <w:rPr>
            <w:rStyle w:val="TextoNormalCaracter"/>
          </w:rPr>
          <w:t>236/2015</w:t>
        </w:r>
      </w:hyperlink>
      <w:r>
        <w:t>, VP.</w:t>
      </w:r>
    </w:p>
    <w:p w:rsidR="00981775" w:rsidRDefault="00981775" w:rsidP="00981775">
      <w:pPr>
        <w:pStyle w:val="TextoNormal"/>
      </w:pPr>
    </w:p>
    <w:p w:rsidR="00981775" w:rsidRDefault="00981775" w:rsidP="00981775">
      <w:pPr>
        <w:pStyle w:val="TextoNormalNegritaCentradoSubrayado"/>
        <w:suppressAutoHyphens/>
      </w:pPr>
      <w:r>
        <w:t>J.1.d) Normas parlamentarias autonómicas</w:t>
      </w:r>
    </w:p>
    <w:p w:rsidR="00981775" w:rsidRDefault="00981775" w:rsidP="00981775">
      <w:pPr>
        <w:pStyle w:val="TextoNormalNegritaCentradoSubrayado"/>
      </w:pPr>
    </w:p>
    <w:p w:rsidR="00981775" w:rsidRDefault="00981775" w:rsidP="00981775">
      <w:pPr>
        <w:pStyle w:val="TextoNormalNegritaCursivandice"/>
      </w:pPr>
      <w:r>
        <w:t>Reglamento del Parlamento de Andalucía, de 29 de septiembre de 2005</w:t>
      </w:r>
    </w:p>
    <w:p w:rsidR="00981775" w:rsidRDefault="00981775" w:rsidP="00981775">
      <w:pPr>
        <w:pStyle w:val="SangriaFrancesaArticulo"/>
      </w:pPr>
      <w:r w:rsidRPr="00981775">
        <w:rPr>
          <w:rStyle w:val="TextoNormalNegritaCaracter"/>
        </w:rPr>
        <w:t>Artículo 99.</w:t>
      </w:r>
      <w:r w:rsidRPr="00981775">
        <w:rPr>
          <w:rStyle w:val="TextoNormalCaracter"/>
        </w:rPr>
        <w:t>-</w:t>
      </w:r>
      <w:r>
        <w:t xml:space="preserve"> Sentencia </w:t>
      </w:r>
      <w:hyperlink w:anchor="SENTENCIA_2015_230" w:history="1">
        <w:r w:rsidRPr="00981775">
          <w:rPr>
            <w:rStyle w:val="TextoNormalCaracter"/>
          </w:rPr>
          <w:t>230/2015</w:t>
        </w:r>
      </w:hyperlink>
      <w:r>
        <w:t>, f. 3.</w:t>
      </w:r>
    </w:p>
    <w:p w:rsidR="00981775" w:rsidRDefault="00981775" w:rsidP="00981775">
      <w:pPr>
        <w:pStyle w:val="SangriaFrancesaArticulo"/>
      </w:pPr>
      <w:r w:rsidRPr="00981775">
        <w:rPr>
          <w:rStyle w:val="TextoNormalNegritaCaracter"/>
        </w:rPr>
        <w:t>Artículo 112.</w:t>
      </w:r>
      <w:r w:rsidRPr="00981775">
        <w:rPr>
          <w:rStyle w:val="TextoNormalCaracter"/>
        </w:rPr>
        <w:t>-</w:t>
      </w:r>
      <w:r>
        <w:t xml:space="preserve"> Sentencia </w:t>
      </w:r>
      <w:hyperlink w:anchor="SENTENCIA_2015_230" w:history="1">
        <w:r w:rsidRPr="00981775">
          <w:rPr>
            <w:rStyle w:val="TextoNormalCaracter"/>
          </w:rPr>
          <w:t>230/2015</w:t>
        </w:r>
      </w:hyperlink>
      <w:r>
        <w:t>, f. 4.</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J.2) Aragón</w:t>
      </w:r>
    </w:p>
    <w:p w:rsidR="00981775" w:rsidRDefault="00981775" w:rsidP="00981775">
      <w:pPr>
        <w:pStyle w:val="TextoNormal"/>
      </w:pPr>
    </w:p>
    <w:p w:rsidR="00981775" w:rsidRDefault="00981775" w:rsidP="00981775">
      <w:pPr>
        <w:pStyle w:val="TextoNormalNegritaCentradoSubrayado"/>
        <w:suppressAutoHyphens/>
      </w:pPr>
      <w:r>
        <w:t>J.2.a) Estatuto de Autonomía</w:t>
      </w:r>
    </w:p>
    <w:p w:rsidR="00981775" w:rsidRDefault="00981775" w:rsidP="00981775">
      <w:pPr>
        <w:pStyle w:val="TextoNormalNegritaCentradoSubrayado"/>
      </w:pPr>
    </w:p>
    <w:p w:rsidR="00981775" w:rsidRDefault="00981775" w:rsidP="00981775">
      <w:pPr>
        <w:pStyle w:val="TextoNormalNegritaCursivandice"/>
      </w:pPr>
      <w:r>
        <w:t>Ley Orgánica 5/2007, de 20 de abril. Reforma del Estatuto de Autonomía de Aragón</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7" w:history="1">
        <w:r w:rsidRPr="00981775">
          <w:rPr>
            <w:rStyle w:val="TextoNormalCaracter"/>
          </w:rPr>
          <w:t>237/2015</w:t>
        </w:r>
      </w:hyperlink>
      <w:r>
        <w:t>, f. 2.</w:t>
      </w:r>
    </w:p>
    <w:p w:rsidR="00981775" w:rsidRDefault="00981775" w:rsidP="00981775">
      <w:pPr>
        <w:pStyle w:val="SangriaFrancesaArticulo"/>
      </w:pPr>
      <w:r w:rsidRPr="00981775">
        <w:rPr>
          <w:rStyle w:val="TextoNormalNegritaCaracter"/>
        </w:rPr>
        <w:t>Artículo 72.1.</w:t>
      </w:r>
      <w:r w:rsidRPr="00981775">
        <w:rPr>
          <w:rStyle w:val="TextoNormalCaracter"/>
        </w:rPr>
        <w:t>-</w:t>
      </w:r>
      <w:r>
        <w:t xml:space="preserve"> Auto </w:t>
      </w:r>
      <w:hyperlink w:anchor="AUTO_2015_226" w:history="1">
        <w:r w:rsidRPr="00981775">
          <w:rPr>
            <w:rStyle w:val="TextoNormalCaracter"/>
          </w:rPr>
          <w:t>226/2015</w:t>
        </w:r>
      </w:hyperlink>
      <w:r>
        <w:t>, f. 3.</w:t>
      </w:r>
    </w:p>
    <w:p w:rsidR="00981775" w:rsidRDefault="00981775" w:rsidP="00981775">
      <w:pPr>
        <w:pStyle w:val="SangriaFrancesaArticulo"/>
      </w:pPr>
      <w:r w:rsidRPr="00981775">
        <w:rPr>
          <w:rStyle w:val="TextoNormalNegritaCaracter"/>
        </w:rPr>
        <w:t>Artículo 75.11.</w:t>
      </w:r>
      <w:r w:rsidRPr="00981775">
        <w:rPr>
          <w:rStyle w:val="TextoNormalCaracter"/>
        </w:rPr>
        <w:t>-</w:t>
      </w:r>
      <w:r>
        <w:t xml:space="preserve"> Sentencia </w:t>
      </w:r>
      <w:hyperlink w:anchor="SENTENCIA_2015_237" w:history="1">
        <w:r w:rsidRPr="00981775">
          <w:rPr>
            <w:rStyle w:val="TextoNormalCaracter"/>
          </w:rPr>
          <w:t>237/2015</w:t>
        </w:r>
      </w:hyperlink>
      <w:r>
        <w:t>, ff. 2, 4.</w:t>
      </w:r>
    </w:p>
    <w:p w:rsidR="00981775" w:rsidRDefault="00981775" w:rsidP="00981775">
      <w:pPr>
        <w:pStyle w:val="SangriaFrancesaArticulo"/>
      </w:pPr>
      <w:r w:rsidRPr="00981775">
        <w:rPr>
          <w:rStyle w:val="TextoNormalNegritaCaracter"/>
        </w:rPr>
        <w:t>Artículo 75.12.</w:t>
      </w:r>
      <w:r w:rsidRPr="00981775">
        <w:rPr>
          <w:rStyle w:val="TextoNormalCaracter"/>
        </w:rPr>
        <w:t>-</w:t>
      </w:r>
      <w:r>
        <w:t xml:space="preserve"> Sentencia </w:t>
      </w:r>
      <w:hyperlink w:anchor="SENTENCIA_2015_237" w:history="1">
        <w:r w:rsidRPr="00981775">
          <w:rPr>
            <w:rStyle w:val="TextoNormalCaracter"/>
          </w:rPr>
          <w:t>237/2015</w:t>
        </w:r>
      </w:hyperlink>
      <w:r>
        <w:t>, ff. 2, 4.</w:t>
      </w:r>
    </w:p>
    <w:p w:rsidR="00981775" w:rsidRDefault="00981775" w:rsidP="00981775">
      <w:pPr>
        <w:pStyle w:val="SangriaFrancesaArticulo"/>
      </w:pPr>
      <w:r w:rsidRPr="00981775">
        <w:rPr>
          <w:rStyle w:val="TextoNormalNegritaCaracter"/>
        </w:rPr>
        <w:t>Artículo 76.3.</w:t>
      </w:r>
      <w:r w:rsidRPr="00981775">
        <w:rPr>
          <w:rStyle w:val="TextoNormalCaracter"/>
        </w:rPr>
        <w:t>-</w:t>
      </w:r>
      <w:r>
        <w:t xml:space="preserve"> Sentencia </w:t>
      </w:r>
      <w:hyperlink w:anchor="SENTENCIA_2015_200" w:history="1">
        <w:r w:rsidRPr="00981775">
          <w:rPr>
            <w:rStyle w:val="TextoNormalCaracter"/>
          </w:rPr>
          <w:t>200/2015</w:t>
        </w:r>
      </w:hyperlink>
      <w:r>
        <w:t>, f. 2.</w:t>
      </w:r>
    </w:p>
    <w:p w:rsidR="00981775" w:rsidRDefault="00981775" w:rsidP="00981775">
      <w:pPr>
        <w:pStyle w:val="SangriaFrancesaArticulo"/>
      </w:pPr>
      <w:r w:rsidRPr="00981775">
        <w:rPr>
          <w:rStyle w:val="TextoNormalNegritaCaracter"/>
        </w:rPr>
        <w:t>Disposición adicional quinta.</w:t>
      </w:r>
      <w:r w:rsidRPr="00981775">
        <w:rPr>
          <w:rStyle w:val="TextoNormalCaracter"/>
        </w:rPr>
        <w:t>-</w:t>
      </w:r>
      <w:r>
        <w:t xml:space="preserve"> Auto </w:t>
      </w:r>
      <w:hyperlink w:anchor="AUTO_2015_226" w:history="1">
        <w:r w:rsidRPr="00981775">
          <w:rPr>
            <w:rStyle w:val="TextoNormalCaracter"/>
          </w:rPr>
          <w:t>226/2015</w:t>
        </w:r>
      </w:hyperlink>
      <w:r>
        <w:t>, f. 3.</w:t>
      </w:r>
    </w:p>
    <w:p w:rsidR="00981775" w:rsidRDefault="00981775" w:rsidP="00981775">
      <w:pPr>
        <w:pStyle w:val="TextoNormal"/>
      </w:pPr>
    </w:p>
    <w:p w:rsidR="00981775" w:rsidRDefault="00981775" w:rsidP="00981775">
      <w:pPr>
        <w:pStyle w:val="TextoNormalNegritaCentradoSubrayado"/>
        <w:suppressAutoHyphens/>
      </w:pPr>
      <w:r>
        <w:t>J.2.b) Leyes y disposiciones con fuerza de Ley</w:t>
      </w:r>
    </w:p>
    <w:p w:rsidR="00981775" w:rsidRDefault="00981775" w:rsidP="00981775">
      <w:pPr>
        <w:pStyle w:val="TextoNormalNegritaCentradoSubrayado"/>
      </w:pPr>
    </w:p>
    <w:p w:rsidR="00981775" w:rsidRDefault="00981775" w:rsidP="00981775">
      <w:pPr>
        <w:pStyle w:val="TextoNormalNegritaCursivandice"/>
      </w:pPr>
      <w:r>
        <w:t>Ley de las Cortes de Aragón 3/2011, de 24 de febrero. Medidas en materia de contratos del sector público de Aragón</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7" w:history="1">
        <w:r w:rsidRPr="00981775">
          <w:rPr>
            <w:rStyle w:val="TextoNormalCaracter"/>
          </w:rPr>
          <w:t>237/2015</w:t>
        </w:r>
      </w:hyperlink>
      <w:r>
        <w:t>.</w:t>
      </w:r>
    </w:p>
    <w:p w:rsidR="00981775" w:rsidRDefault="00981775" w:rsidP="00981775">
      <w:pPr>
        <w:pStyle w:val="SangriaFrancesaArticulo"/>
      </w:pPr>
      <w:r w:rsidRPr="00981775">
        <w:rPr>
          <w:rStyle w:val="TextoNormalNegritaCaracter"/>
        </w:rPr>
        <w:t>Artículo 1</w:t>
      </w:r>
      <w:r>
        <w:t xml:space="preserve"> (redactado por la Ley de las Cortes de Aragón 3/2012, de 8 de marzo)</w:t>
      </w:r>
      <w:r w:rsidRPr="00981775">
        <w:rPr>
          <w:rStyle w:val="TextoNormalNegritaCaracter"/>
        </w:rPr>
        <w:t>.</w:t>
      </w:r>
      <w:r w:rsidRPr="00981775">
        <w:rPr>
          <w:rStyle w:val="TextoNormalCaracter"/>
        </w:rPr>
        <w:t>-</w:t>
      </w:r>
      <w:r>
        <w:t xml:space="preserve"> Sentencia </w:t>
      </w:r>
      <w:hyperlink w:anchor="SENTENCIA_2015_237" w:history="1">
        <w:r w:rsidRPr="00981775">
          <w:rPr>
            <w:rStyle w:val="TextoNormalCaracter"/>
          </w:rPr>
          <w:t>237/2015</w:t>
        </w:r>
      </w:hyperlink>
      <w:r>
        <w:t>, f. 3.</w:t>
      </w:r>
    </w:p>
    <w:p w:rsidR="00981775" w:rsidRDefault="00981775" w:rsidP="00981775">
      <w:pPr>
        <w:pStyle w:val="SangriaFrancesaArticulo"/>
      </w:pPr>
      <w:r w:rsidRPr="00981775">
        <w:rPr>
          <w:rStyle w:val="TextoNormalNegritaCaracter"/>
        </w:rPr>
        <w:t>Artículo 2.1.</w:t>
      </w:r>
      <w:r w:rsidRPr="00981775">
        <w:rPr>
          <w:rStyle w:val="TextoNormalCaracter"/>
        </w:rPr>
        <w:t>-</w:t>
      </w:r>
      <w:r>
        <w:t xml:space="preserve"> Sentencia </w:t>
      </w:r>
      <w:hyperlink w:anchor="SENTENCIA_2015_237" w:history="1">
        <w:r w:rsidRPr="00981775">
          <w:rPr>
            <w:rStyle w:val="TextoNormalCaracter"/>
          </w:rPr>
          <w:t>237/2015</w:t>
        </w:r>
      </w:hyperlink>
      <w:r>
        <w:t>, ff. 3, 5.</w:t>
      </w:r>
    </w:p>
    <w:p w:rsidR="00981775" w:rsidRDefault="00981775" w:rsidP="00981775">
      <w:pPr>
        <w:pStyle w:val="SangriaFrancesaArticulo"/>
      </w:pPr>
      <w:r w:rsidRPr="00981775">
        <w:rPr>
          <w:rStyle w:val="TextoNormalNegritaCaracter"/>
        </w:rPr>
        <w:t>Artículo 6.</w:t>
      </w:r>
      <w:r w:rsidRPr="00981775">
        <w:rPr>
          <w:rStyle w:val="TextoNormalCaracter"/>
        </w:rPr>
        <w:t>-</w:t>
      </w:r>
      <w:r>
        <w:t xml:space="preserve"> Sentencia </w:t>
      </w:r>
      <w:hyperlink w:anchor="SENTENCIA_2015_237" w:history="1">
        <w:r w:rsidRPr="00981775">
          <w:rPr>
            <w:rStyle w:val="TextoNormalCaracter"/>
          </w:rPr>
          <w:t>237/2015</w:t>
        </w:r>
      </w:hyperlink>
      <w:r>
        <w:t>, ff. 3, 4, 10.</w:t>
      </w:r>
    </w:p>
    <w:p w:rsidR="00981775" w:rsidRDefault="00981775" w:rsidP="00981775">
      <w:pPr>
        <w:pStyle w:val="SangriaFrancesaArticulo"/>
      </w:pPr>
      <w:r w:rsidRPr="00981775">
        <w:rPr>
          <w:rStyle w:val="TextoNormalNegritaCaracter"/>
        </w:rPr>
        <w:t>Artículo 6</w:t>
      </w:r>
      <w:r>
        <w:t xml:space="preserve"> (redactado por la Ley de las Cortes de Aragón 3/2012, de 8 de marzo)</w:t>
      </w:r>
      <w:r w:rsidRPr="00981775">
        <w:rPr>
          <w:rStyle w:val="TextoNormalNegritaCaracter"/>
        </w:rPr>
        <w:t>.</w:t>
      </w:r>
      <w:r w:rsidRPr="00981775">
        <w:rPr>
          <w:rStyle w:val="TextoNormalCaracter"/>
        </w:rPr>
        <w:t>-</w:t>
      </w:r>
      <w:r>
        <w:t xml:space="preserve"> Sentencia </w:t>
      </w:r>
      <w:hyperlink w:anchor="SENTENCIA_2015_237" w:history="1">
        <w:r w:rsidRPr="00981775">
          <w:rPr>
            <w:rStyle w:val="TextoNormalCaracter"/>
          </w:rPr>
          <w:t>237/2015</w:t>
        </w:r>
      </w:hyperlink>
      <w:r>
        <w:t>, f. 3.</w:t>
      </w:r>
    </w:p>
    <w:p w:rsidR="00981775" w:rsidRDefault="00981775" w:rsidP="00981775">
      <w:pPr>
        <w:pStyle w:val="SangriaFrancesaArticulo"/>
      </w:pPr>
      <w:r w:rsidRPr="00981775">
        <w:rPr>
          <w:rStyle w:val="TextoNormalNegritaCaracter"/>
        </w:rPr>
        <w:t>Artículo 6.1.</w:t>
      </w:r>
      <w:r w:rsidRPr="00981775">
        <w:rPr>
          <w:rStyle w:val="TextoNormalCaracter"/>
        </w:rPr>
        <w:t>-</w:t>
      </w:r>
      <w:r>
        <w:t xml:space="preserve"> Sentencia </w:t>
      </w:r>
      <w:hyperlink w:anchor="SENTENCIA_2015_237" w:history="1">
        <w:r w:rsidRPr="00981775">
          <w:rPr>
            <w:rStyle w:val="TextoNormalCaracter"/>
          </w:rPr>
          <w:t>237/2015</w:t>
        </w:r>
      </w:hyperlink>
      <w:r>
        <w:t>, ff. 1, 3, 5, 10.</w:t>
      </w:r>
    </w:p>
    <w:p w:rsidR="00981775" w:rsidRDefault="00981775" w:rsidP="00981775">
      <w:pPr>
        <w:pStyle w:val="SangriaFrancesaArticulo"/>
      </w:pPr>
      <w:r w:rsidRPr="00981775">
        <w:rPr>
          <w:rStyle w:val="TextoNormalNegritaCaracter"/>
        </w:rPr>
        <w:t>Artículo 6.1 expresión "y simplificados en los que se haya optado por no constituir mesa de contratación".</w:t>
      </w:r>
      <w:r w:rsidRPr="00981775">
        <w:rPr>
          <w:rStyle w:val="TextoNormalCaracter"/>
        </w:rPr>
        <w:t>-</w:t>
      </w:r>
      <w:r>
        <w:t xml:space="preserve"> Sentencia </w:t>
      </w:r>
      <w:hyperlink w:anchor="SENTENCIA_2015_237" w:history="1">
        <w:r w:rsidRPr="00981775">
          <w:rPr>
            <w:rStyle w:val="TextoNormalCaracter"/>
          </w:rPr>
          <w:t>237/2015</w:t>
        </w:r>
      </w:hyperlink>
      <w:r>
        <w:t>, f. 5.</w:t>
      </w:r>
    </w:p>
    <w:p w:rsidR="00981775" w:rsidRDefault="00981775" w:rsidP="00981775">
      <w:pPr>
        <w:pStyle w:val="SangriaFrancesaArticulo"/>
      </w:pPr>
      <w:r w:rsidRPr="00981775">
        <w:rPr>
          <w:rStyle w:val="TextoNormalNegritaCaracter"/>
        </w:rPr>
        <w:t>Artículo 6.2.</w:t>
      </w:r>
      <w:r w:rsidRPr="00981775">
        <w:rPr>
          <w:rStyle w:val="TextoNormalCaracter"/>
        </w:rPr>
        <w:t>-</w:t>
      </w:r>
      <w:r>
        <w:t xml:space="preserve"> Sentencia </w:t>
      </w:r>
      <w:hyperlink w:anchor="SENTENCIA_2015_237" w:history="1">
        <w:r w:rsidRPr="00981775">
          <w:rPr>
            <w:rStyle w:val="TextoNormalCaracter"/>
          </w:rPr>
          <w:t>237/2015</w:t>
        </w:r>
      </w:hyperlink>
      <w:r>
        <w:t>, ff. 1, 6, 10.</w:t>
      </w:r>
    </w:p>
    <w:p w:rsidR="00981775" w:rsidRDefault="00981775" w:rsidP="00981775">
      <w:pPr>
        <w:pStyle w:val="SangriaFrancesaArticulo"/>
      </w:pPr>
      <w:r w:rsidRPr="00981775">
        <w:rPr>
          <w:rStyle w:val="TextoNormalNegritaCaracter"/>
        </w:rPr>
        <w:t>Artículo 6.2 expresión "en el plazo de cinco días hábiles".</w:t>
      </w:r>
      <w:r w:rsidRPr="00981775">
        <w:rPr>
          <w:rStyle w:val="TextoNormalCaracter"/>
        </w:rPr>
        <w:t>-</w:t>
      </w:r>
      <w:r>
        <w:t xml:space="preserve"> Sentencia </w:t>
      </w:r>
      <w:hyperlink w:anchor="SENTENCIA_2015_237" w:history="1">
        <w:r w:rsidRPr="00981775">
          <w:rPr>
            <w:rStyle w:val="TextoNormalCaracter"/>
          </w:rPr>
          <w:t>237/2015</w:t>
        </w:r>
      </w:hyperlink>
      <w:r>
        <w:t>, f. 6.</w:t>
      </w:r>
    </w:p>
    <w:p w:rsidR="00981775" w:rsidRDefault="00981775" w:rsidP="00981775">
      <w:pPr>
        <w:pStyle w:val="SangriaFrancesaArticulo"/>
      </w:pPr>
      <w:r w:rsidRPr="00981775">
        <w:rPr>
          <w:rStyle w:val="TextoNormalNegritaCaracter"/>
        </w:rPr>
        <w:t>Artículo 10.</w:t>
      </w:r>
      <w:r w:rsidRPr="00981775">
        <w:rPr>
          <w:rStyle w:val="TextoNormalCaracter"/>
        </w:rPr>
        <w:t>-</w:t>
      </w:r>
      <w:r>
        <w:t xml:space="preserve"> Sentencia </w:t>
      </w:r>
      <w:hyperlink w:anchor="SENTENCIA_2015_237" w:history="1">
        <w:r w:rsidRPr="00981775">
          <w:rPr>
            <w:rStyle w:val="TextoNormalCaracter"/>
          </w:rPr>
          <w:t>237/2015</w:t>
        </w:r>
      </w:hyperlink>
      <w:r>
        <w:t>, ff. 1, 3, 7.</w:t>
      </w:r>
    </w:p>
    <w:p w:rsidR="00981775" w:rsidRDefault="00981775" w:rsidP="00981775">
      <w:pPr>
        <w:pStyle w:val="SangriaFrancesaArticulo"/>
      </w:pPr>
      <w:r w:rsidRPr="00981775">
        <w:rPr>
          <w:rStyle w:val="TextoNormalNegritaCaracter"/>
        </w:rPr>
        <w:t>Artículo 10.1.</w:t>
      </w:r>
      <w:r w:rsidRPr="00981775">
        <w:rPr>
          <w:rStyle w:val="TextoNormalCaracter"/>
        </w:rPr>
        <w:t>-</w:t>
      </w:r>
      <w:r>
        <w:t xml:space="preserve"> Sentencia </w:t>
      </w:r>
      <w:hyperlink w:anchor="SENTENCIA_2015_237" w:history="1">
        <w:r w:rsidRPr="00981775">
          <w:rPr>
            <w:rStyle w:val="TextoNormalCaracter"/>
          </w:rPr>
          <w:t>237/2015</w:t>
        </w:r>
      </w:hyperlink>
      <w:r>
        <w:t>, ff. 3, 5, 9.</w:t>
      </w:r>
    </w:p>
    <w:p w:rsidR="00981775" w:rsidRDefault="00981775" w:rsidP="00981775">
      <w:pPr>
        <w:pStyle w:val="SangriaFrancesaArticulo"/>
      </w:pPr>
      <w:r w:rsidRPr="00981775">
        <w:rPr>
          <w:rStyle w:val="TextoNormalNegritaCaracter"/>
        </w:rPr>
        <w:t>Artículo 10.2 c).</w:t>
      </w:r>
      <w:r w:rsidRPr="00981775">
        <w:rPr>
          <w:rStyle w:val="TextoNormalCaracter"/>
        </w:rPr>
        <w:t>-</w:t>
      </w:r>
      <w:r>
        <w:t xml:space="preserve"> Sentencia </w:t>
      </w:r>
      <w:hyperlink w:anchor="SENTENCIA_2015_237" w:history="1">
        <w:r w:rsidRPr="00981775">
          <w:rPr>
            <w:rStyle w:val="TextoNormalCaracter"/>
          </w:rPr>
          <w:t>237/2015</w:t>
        </w:r>
      </w:hyperlink>
      <w:r>
        <w:t>, ff. 1, 3, 7, 8.</w:t>
      </w:r>
    </w:p>
    <w:p w:rsidR="00981775" w:rsidRDefault="00981775" w:rsidP="00981775">
      <w:pPr>
        <w:pStyle w:val="SangriaFrancesaArticulo"/>
      </w:pPr>
      <w:r w:rsidRPr="00981775">
        <w:rPr>
          <w:rStyle w:val="TextoNormalNegritaCaracter"/>
        </w:rPr>
        <w:t>Artículo 10.2 c)</w:t>
      </w:r>
      <w:r>
        <w:t xml:space="preserve"> (redactado por la Ley de las Cortes de Aragón 3/2012, de 8 de marzo)</w:t>
      </w:r>
      <w:r w:rsidRPr="00981775">
        <w:rPr>
          <w:rStyle w:val="TextoNormalNegritaCaracter"/>
        </w:rPr>
        <w:t>.</w:t>
      </w:r>
      <w:r w:rsidRPr="00981775">
        <w:rPr>
          <w:rStyle w:val="TextoNormalCaracter"/>
        </w:rPr>
        <w:t>-</w:t>
      </w:r>
      <w:r>
        <w:t xml:space="preserve"> Sentencia </w:t>
      </w:r>
      <w:hyperlink w:anchor="SENTENCIA_2015_237" w:history="1">
        <w:r w:rsidRPr="00981775">
          <w:rPr>
            <w:rStyle w:val="TextoNormalCaracter"/>
          </w:rPr>
          <w:t>237/2015</w:t>
        </w:r>
      </w:hyperlink>
      <w:r>
        <w:t>, f. 8.</w:t>
      </w:r>
    </w:p>
    <w:p w:rsidR="00981775" w:rsidRDefault="00981775" w:rsidP="00981775">
      <w:pPr>
        <w:pStyle w:val="SangriaFrancesaArticulo"/>
      </w:pPr>
      <w:r w:rsidRPr="00981775">
        <w:rPr>
          <w:rStyle w:val="TextoNormalNegritaCaracter"/>
        </w:rPr>
        <w:t>Artículo 10.2 d).</w:t>
      </w:r>
      <w:r w:rsidRPr="00981775">
        <w:rPr>
          <w:rStyle w:val="TextoNormalCaracter"/>
        </w:rPr>
        <w:t>-</w:t>
      </w:r>
      <w:r>
        <w:t xml:space="preserve"> Sentencia </w:t>
      </w:r>
      <w:hyperlink w:anchor="SENTENCIA_2015_237" w:history="1">
        <w:r w:rsidRPr="00981775">
          <w:rPr>
            <w:rStyle w:val="TextoNormalCaracter"/>
          </w:rPr>
          <w:t>237/2015</w:t>
        </w:r>
      </w:hyperlink>
      <w:r>
        <w:t>, ff. 1, 3, 7, 9.</w:t>
      </w:r>
    </w:p>
    <w:p w:rsidR="00981775" w:rsidRDefault="00981775" w:rsidP="00981775">
      <w:pPr>
        <w:pStyle w:val="SangriaFrancesaArticulo"/>
      </w:pPr>
      <w:r w:rsidRPr="00981775">
        <w:rPr>
          <w:rStyle w:val="TextoNormalNegritaCaracter"/>
        </w:rPr>
        <w:t>Artículo 10.2 f).</w:t>
      </w:r>
      <w:r w:rsidRPr="00981775">
        <w:rPr>
          <w:rStyle w:val="TextoNormalCaracter"/>
        </w:rPr>
        <w:t>-</w:t>
      </w:r>
      <w:r>
        <w:t xml:space="preserve"> Sentencia </w:t>
      </w:r>
      <w:hyperlink w:anchor="SENTENCIA_2015_237" w:history="1">
        <w:r w:rsidRPr="00981775">
          <w:rPr>
            <w:rStyle w:val="TextoNormalCaracter"/>
          </w:rPr>
          <w:t>237/2015</w:t>
        </w:r>
      </w:hyperlink>
      <w:r>
        <w:t>, ff. 1, 3, 7, 10.</w:t>
      </w:r>
    </w:p>
    <w:p w:rsidR="00981775" w:rsidRDefault="00981775" w:rsidP="00981775">
      <w:pPr>
        <w:pStyle w:val="SangriaFrancesaArticulo"/>
      </w:pPr>
      <w:r w:rsidRPr="00981775">
        <w:rPr>
          <w:rStyle w:val="TextoNormalNegritaCaracter"/>
        </w:rPr>
        <w:t>Artículo 10.2 f)</w:t>
      </w:r>
      <w:r>
        <w:t xml:space="preserve"> (redactado por la Ley de las Cortes de Aragón 3/2012, de 8 de marzo)</w:t>
      </w:r>
      <w:r w:rsidRPr="00981775">
        <w:rPr>
          <w:rStyle w:val="TextoNormalNegritaCaracter"/>
        </w:rPr>
        <w:t>.</w:t>
      </w:r>
      <w:r w:rsidRPr="00981775">
        <w:rPr>
          <w:rStyle w:val="TextoNormalCaracter"/>
        </w:rPr>
        <w:t>-</w:t>
      </w:r>
      <w:r>
        <w:t xml:space="preserve"> Sentencia </w:t>
      </w:r>
      <w:hyperlink w:anchor="SENTENCIA_2015_237" w:history="1">
        <w:r w:rsidRPr="00981775">
          <w:rPr>
            <w:rStyle w:val="TextoNormalCaracter"/>
          </w:rPr>
          <w:t>237/2015</w:t>
        </w:r>
      </w:hyperlink>
      <w:r>
        <w:t>, f. 10.</w:t>
      </w:r>
    </w:p>
    <w:p w:rsidR="00981775" w:rsidRDefault="00981775" w:rsidP="00981775">
      <w:pPr>
        <w:pStyle w:val="SangriaFrancesaArticulo"/>
      </w:pPr>
      <w:r w:rsidRPr="00981775">
        <w:rPr>
          <w:rStyle w:val="TextoNormalNegritaCaracter"/>
        </w:rPr>
        <w:t>Artículo 10.2 f) expresión "en el plazo de cinco días hábiles".</w:t>
      </w:r>
      <w:r w:rsidRPr="00981775">
        <w:rPr>
          <w:rStyle w:val="TextoNormalCaracter"/>
        </w:rPr>
        <w:t>-</w:t>
      </w:r>
      <w:r>
        <w:t xml:space="preserve"> Sentencia </w:t>
      </w:r>
      <w:hyperlink w:anchor="SENTENCIA_2015_237" w:history="1">
        <w:r w:rsidRPr="00981775">
          <w:rPr>
            <w:rStyle w:val="TextoNormalCaracter"/>
          </w:rPr>
          <w:t>237/2015</w:t>
        </w:r>
      </w:hyperlink>
      <w:r>
        <w:t>.</w:t>
      </w:r>
    </w:p>
    <w:p w:rsidR="00981775" w:rsidRDefault="00981775" w:rsidP="00981775">
      <w:pPr>
        <w:pStyle w:val="SangriaFrancesaArticulo"/>
      </w:pPr>
    </w:p>
    <w:p w:rsidR="00981775" w:rsidRDefault="00981775" w:rsidP="00981775">
      <w:pPr>
        <w:pStyle w:val="TextoNormalNegritaCursivandice"/>
      </w:pPr>
      <w:r>
        <w:t>Ley de las Cortes de Aragón 3/2012, de 8 de marzo. Medidas fiscales y administrativas de la Comunidad Autónoma de Aragón</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7" w:history="1">
        <w:r w:rsidRPr="00981775">
          <w:rPr>
            <w:rStyle w:val="TextoNormalCaracter"/>
          </w:rPr>
          <w:t>237/2015</w:t>
        </w:r>
      </w:hyperlink>
      <w:r>
        <w:t>, ff. 3, 6 a 9.</w:t>
      </w:r>
    </w:p>
    <w:p w:rsidR="00981775" w:rsidRDefault="00981775" w:rsidP="00981775">
      <w:pPr>
        <w:pStyle w:val="SangriaFrancesaArticulo"/>
      </w:pPr>
      <w:r w:rsidRPr="00981775">
        <w:rPr>
          <w:rStyle w:val="TextoNormalNegritaCaracter"/>
        </w:rPr>
        <w:t>Artículo 33.</w:t>
      </w:r>
      <w:r w:rsidRPr="00981775">
        <w:rPr>
          <w:rStyle w:val="TextoNormalCaracter"/>
        </w:rPr>
        <w:t>-</w:t>
      </w:r>
      <w:r>
        <w:t xml:space="preserve"> Sentencia </w:t>
      </w:r>
      <w:hyperlink w:anchor="SENTENCIA_2015_237" w:history="1">
        <w:r w:rsidRPr="00981775">
          <w:rPr>
            <w:rStyle w:val="TextoNormalCaracter"/>
          </w:rPr>
          <w:t>237/2015</w:t>
        </w:r>
      </w:hyperlink>
      <w:r>
        <w:t>, ff. 3, 7, 8, 10.</w:t>
      </w:r>
    </w:p>
    <w:p w:rsidR="00981775" w:rsidRDefault="00981775" w:rsidP="00981775">
      <w:pPr>
        <w:pStyle w:val="SangriaFrancesaArticulo"/>
      </w:pPr>
    </w:p>
    <w:p w:rsidR="00981775" w:rsidRDefault="00981775" w:rsidP="00981775">
      <w:pPr>
        <w:pStyle w:val="TextoNormalNegritaCursivandice"/>
      </w:pPr>
      <w:r>
        <w:t>Ley de las Cortes de Aragón 8/2013, de 12 de septiembre. Coordinación de policías locales de Aragón</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00" w:history="1">
        <w:r w:rsidRPr="00981775">
          <w:rPr>
            <w:rStyle w:val="TextoNormalCaracter"/>
          </w:rPr>
          <w:t>200/2015</w:t>
        </w:r>
      </w:hyperlink>
      <w:r>
        <w:t>, ff. 2, 4.</w:t>
      </w:r>
    </w:p>
    <w:p w:rsidR="00981775" w:rsidRDefault="00981775" w:rsidP="00981775">
      <w:pPr>
        <w:pStyle w:val="SangriaFrancesaArticulo"/>
      </w:pPr>
      <w:r w:rsidRPr="00981775">
        <w:rPr>
          <w:rStyle w:val="TextoNormalNegritaCaracter"/>
        </w:rPr>
        <w:t>Artículo 10.1.</w:t>
      </w:r>
      <w:r w:rsidRPr="00981775">
        <w:rPr>
          <w:rStyle w:val="TextoNormalCaracter"/>
        </w:rPr>
        <w:t>-</w:t>
      </w:r>
      <w:r>
        <w:t xml:space="preserve"> Sentencia </w:t>
      </w:r>
      <w:hyperlink w:anchor="SENTENCIA_2015_200" w:history="1">
        <w:r w:rsidRPr="00981775">
          <w:rPr>
            <w:rStyle w:val="TextoNormalCaracter"/>
          </w:rPr>
          <w:t>200/2015</w:t>
        </w:r>
      </w:hyperlink>
      <w:r>
        <w:t>, f. 3.</w:t>
      </w:r>
    </w:p>
    <w:p w:rsidR="00981775" w:rsidRDefault="00981775" w:rsidP="00981775">
      <w:pPr>
        <w:pStyle w:val="SangriaFrancesaArticulo"/>
      </w:pPr>
      <w:r w:rsidRPr="00981775">
        <w:rPr>
          <w:rStyle w:val="TextoNormalNegritaCaracter"/>
        </w:rPr>
        <w:t>Artículo 10.2.</w:t>
      </w:r>
      <w:r w:rsidRPr="00981775">
        <w:rPr>
          <w:rStyle w:val="TextoNormalCaracter"/>
        </w:rPr>
        <w:t>-</w:t>
      </w:r>
      <w:r>
        <w:t xml:space="preserve"> Sentencia </w:t>
      </w:r>
      <w:hyperlink w:anchor="SENTENCIA_2015_200" w:history="1">
        <w:r w:rsidRPr="00981775">
          <w:rPr>
            <w:rStyle w:val="TextoNormalCaracter"/>
          </w:rPr>
          <w:t>200/2015</w:t>
        </w:r>
      </w:hyperlink>
      <w:r>
        <w:t>, f. 3.</w:t>
      </w:r>
    </w:p>
    <w:p w:rsidR="00981775" w:rsidRDefault="00981775" w:rsidP="00981775">
      <w:pPr>
        <w:pStyle w:val="SangriaFrancesaArticulo"/>
      </w:pPr>
      <w:r w:rsidRPr="00981775">
        <w:rPr>
          <w:rStyle w:val="TextoNormalNegritaCaracter"/>
        </w:rPr>
        <w:t>Artículo 14.</w:t>
      </w:r>
      <w:r w:rsidRPr="00981775">
        <w:rPr>
          <w:rStyle w:val="TextoNormalCaracter"/>
        </w:rPr>
        <w:t>-</w:t>
      </w:r>
      <w:r>
        <w:t xml:space="preserve"> Sentencia </w:t>
      </w:r>
      <w:hyperlink w:anchor="SENTENCIA_2015_200" w:history="1">
        <w:r w:rsidRPr="00981775">
          <w:rPr>
            <w:rStyle w:val="TextoNormalCaracter"/>
          </w:rPr>
          <w:t>200/2015</w:t>
        </w:r>
      </w:hyperlink>
      <w:r>
        <w:t>, f. 3.</w:t>
      </w:r>
    </w:p>
    <w:p w:rsidR="00981775" w:rsidRDefault="00981775" w:rsidP="00981775">
      <w:pPr>
        <w:pStyle w:val="SangriaFrancesaArticulo"/>
      </w:pPr>
      <w:r w:rsidRPr="00981775">
        <w:rPr>
          <w:rStyle w:val="TextoNormalNegritaCaracter"/>
        </w:rPr>
        <w:t>Artículo 15.</w:t>
      </w:r>
      <w:r w:rsidRPr="00981775">
        <w:rPr>
          <w:rStyle w:val="TextoNormalCaracter"/>
        </w:rPr>
        <w:t>-</w:t>
      </w:r>
      <w:r>
        <w:t xml:space="preserve"> Sentencia </w:t>
      </w:r>
      <w:hyperlink w:anchor="SENTENCIA_2015_200" w:history="1">
        <w:r w:rsidRPr="00981775">
          <w:rPr>
            <w:rStyle w:val="TextoNormalCaracter"/>
          </w:rPr>
          <w:t>200/2015</w:t>
        </w:r>
      </w:hyperlink>
      <w:r>
        <w:t>, ff. 2, 3.</w:t>
      </w:r>
    </w:p>
    <w:p w:rsidR="00981775" w:rsidRDefault="00981775" w:rsidP="00981775">
      <w:pPr>
        <w:pStyle w:val="SangriaFrancesaArticulo"/>
      </w:pPr>
      <w:r w:rsidRPr="00981775">
        <w:rPr>
          <w:rStyle w:val="TextoNormalNegritaCaracter"/>
        </w:rPr>
        <w:t>Artículo 15.1.</w:t>
      </w:r>
      <w:r w:rsidRPr="00981775">
        <w:rPr>
          <w:rStyle w:val="TextoNormalCaracter"/>
        </w:rPr>
        <w:t>-</w:t>
      </w:r>
      <w:r>
        <w:t xml:space="preserve"> Sentencia </w:t>
      </w:r>
      <w:hyperlink w:anchor="SENTENCIA_2015_200" w:history="1">
        <w:r w:rsidRPr="00981775">
          <w:rPr>
            <w:rStyle w:val="TextoNormalCaracter"/>
          </w:rPr>
          <w:t>200/2015</w:t>
        </w:r>
      </w:hyperlink>
      <w:r>
        <w:t>, f. 2.</w:t>
      </w:r>
    </w:p>
    <w:p w:rsidR="00981775" w:rsidRDefault="00981775" w:rsidP="00981775">
      <w:pPr>
        <w:pStyle w:val="SangriaFrancesaArticulo"/>
      </w:pPr>
      <w:r w:rsidRPr="00981775">
        <w:rPr>
          <w:rStyle w:val="TextoNormalNegritaCaracter"/>
        </w:rPr>
        <w:t>Artículo 15.2.</w:t>
      </w:r>
      <w:r w:rsidRPr="00981775">
        <w:rPr>
          <w:rStyle w:val="TextoNormalCaracter"/>
        </w:rPr>
        <w:t>-</w:t>
      </w:r>
      <w:r>
        <w:t xml:space="preserve"> Sentencia </w:t>
      </w:r>
      <w:hyperlink w:anchor="SENTENCIA_2015_200" w:history="1">
        <w:r w:rsidRPr="00981775">
          <w:rPr>
            <w:rStyle w:val="TextoNormalCaracter"/>
          </w:rPr>
          <w:t>200/2015</w:t>
        </w:r>
      </w:hyperlink>
      <w:r>
        <w:t>, f. 2.</w:t>
      </w:r>
    </w:p>
    <w:p w:rsidR="00981775" w:rsidRDefault="00981775" w:rsidP="00981775">
      <w:pPr>
        <w:pStyle w:val="SangriaFrancesaArticulo"/>
      </w:pPr>
      <w:r w:rsidRPr="00981775">
        <w:rPr>
          <w:rStyle w:val="TextoNormalNegritaCaracter"/>
        </w:rPr>
        <w:t>Artículo 22.</w:t>
      </w:r>
      <w:r w:rsidRPr="00981775">
        <w:rPr>
          <w:rStyle w:val="TextoNormalCaracter"/>
        </w:rPr>
        <w:t>-</w:t>
      </w:r>
      <w:r>
        <w:t xml:space="preserve"> Sentencia </w:t>
      </w:r>
      <w:hyperlink w:anchor="SENTENCIA_2015_200" w:history="1">
        <w:r w:rsidRPr="00981775">
          <w:rPr>
            <w:rStyle w:val="TextoNormalCaracter"/>
          </w:rPr>
          <w:t>200/2015</w:t>
        </w:r>
      </w:hyperlink>
      <w:r>
        <w:t>, f. 1.</w:t>
      </w:r>
    </w:p>
    <w:p w:rsidR="00981775" w:rsidRDefault="00981775" w:rsidP="00981775">
      <w:pPr>
        <w:pStyle w:val="SangriaFrancesaArticulo"/>
      </w:pPr>
      <w:r w:rsidRPr="00981775">
        <w:rPr>
          <w:rStyle w:val="TextoNormalNegritaCaracter"/>
        </w:rPr>
        <w:t>Artículo 22.1.</w:t>
      </w:r>
      <w:r w:rsidRPr="00981775">
        <w:rPr>
          <w:rStyle w:val="TextoNormalCaracter"/>
        </w:rPr>
        <w:t>-</w:t>
      </w:r>
      <w:r>
        <w:t xml:space="preserve"> Sentencia </w:t>
      </w:r>
      <w:hyperlink w:anchor="SENTENCIA_2015_200" w:history="1">
        <w:r w:rsidRPr="00981775">
          <w:rPr>
            <w:rStyle w:val="TextoNormalCaracter"/>
          </w:rPr>
          <w:t>200/2015</w:t>
        </w:r>
      </w:hyperlink>
      <w:r>
        <w:t>, ff. 2, 4.</w:t>
      </w:r>
    </w:p>
    <w:p w:rsidR="00981775" w:rsidRDefault="00981775" w:rsidP="00981775">
      <w:pPr>
        <w:pStyle w:val="SangriaFrancesaArticulo"/>
      </w:pPr>
      <w:r w:rsidRPr="00981775">
        <w:rPr>
          <w:rStyle w:val="TextoNormalNegritaCaracter"/>
        </w:rPr>
        <w:t>Artículo 25.</w:t>
      </w:r>
      <w:r w:rsidRPr="00981775">
        <w:rPr>
          <w:rStyle w:val="TextoNormalCaracter"/>
        </w:rPr>
        <w:t>-</w:t>
      </w:r>
      <w:r>
        <w:t xml:space="preserve"> Sentencia </w:t>
      </w:r>
      <w:hyperlink w:anchor="SENTENCIA_2015_200" w:history="1">
        <w:r w:rsidRPr="00981775">
          <w:rPr>
            <w:rStyle w:val="TextoNormalCaracter"/>
          </w:rPr>
          <w:t>200/2015</w:t>
        </w:r>
      </w:hyperlink>
      <w:r>
        <w:t>, f. 1.</w:t>
      </w:r>
    </w:p>
    <w:p w:rsidR="00981775" w:rsidRDefault="00981775" w:rsidP="00981775">
      <w:pPr>
        <w:pStyle w:val="SangriaFrancesaArticulo"/>
      </w:pPr>
      <w:r w:rsidRPr="00981775">
        <w:rPr>
          <w:rStyle w:val="TextoNormalNegritaCaracter"/>
        </w:rPr>
        <w:t>Artículo 26.</w:t>
      </w:r>
      <w:r w:rsidRPr="00981775">
        <w:rPr>
          <w:rStyle w:val="TextoNormalCaracter"/>
        </w:rPr>
        <w:t>-</w:t>
      </w:r>
      <w:r>
        <w:t xml:space="preserve"> Sentencia </w:t>
      </w:r>
      <w:hyperlink w:anchor="SENTENCIA_2015_200" w:history="1">
        <w:r w:rsidRPr="00981775">
          <w:rPr>
            <w:rStyle w:val="TextoNormalCaracter"/>
          </w:rPr>
          <w:t>200/2015</w:t>
        </w:r>
      </w:hyperlink>
      <w:r>
        <w:t>, f. 1.</w:t>
      </w:r>
    </w:p>
    <w:p w:rsidR="00981775" w:rsidRDefault="00981775" w:rsidP="00981775">
      <w:pPr>
        <w:pStyle w:val="SangriaFrancesaArticulo"/>
      </w:pPr>
      <w:r w:rsidRPr="00981775">
        <w:rPr>
          <w:rStyle w:val="TextoNormalNegritaCaracter"/>
        </w:rPr>
        <w:t>Disposición transitoria segunda.</w:t>
      </w:r>
      <w:r w:rsidRPr="00981775">
        <w:rPr>
          <w:rStyle w:val="TextoNormalCaracter"/>
        </w:rPr>
        <w:t>-</w:t>
      </w:r>
      <w:r>
        <w:t xml:space="preserve"> Sentencia </w:t>
      </w:r>
      <w:hyperlink w:anchor="SENTENCIA_2015_200" w:history="1">
        <w:r w:rsidRPr="00981775">
          <w:rPr>
            <w:rStyle w:val="TextoNormalCaracter"/>
          </w:rPr>
          <w:t>200/2015</w:t>
        </w:r>
      </w:hyperlink>
      <w:r>
        <w:t>, ff. 2, 3.</w:t>
      </w:r>
    </w:p>
    <w:p w:rsidR="00981775" w:rsidRDefault="00981775" w:rsidP="00981775">
      <w:pPr>
        <w:pStyle w:val="SangriaFrancesaArticulo"/>
      </w:pPr>
      <w:r w:rsidRPr="00981775">
        <w:rPr>
          <w:rStyle w:val="TextoNormalNegritaCaracter"/>
        </w:rPr>
        <w:t>Disposición transitoria segunda, apartado 2.</w:t>
      </w:r>
      <w:r w:rsidRPr="00981775">
        <w:rPr>
          <w:rStyle w:val="TextoNormalCaracter"/>
        </w:rPr>
        <w:t>-</w:t>
      </w:r>
      <w:r>
        <w:t xml:space="preserve"> Sentencia </w:t>
      </w:r>
      <w:hyperlink w:anchor="SENTENCIA_2015_200" w:history="1">
        <w:r w:rsidRPr="00981775">
          <w:rPr>
            <w:rStyle w:val="TextoNormalCaracter"/>
          </w:rPr>
          <w:t>200/2015</w:t>
        </w:r>
      </w:hyperlink>
      <w:r>
        <w:t>, ff. 1, 2, 4.</w:t>
      </w:r>
    </w:p>
    <w:p w:rsidR="00981775" w:rsidRDefault="00981775" w:rsidP="00981775">
      <w:pPr>
        <w:pStyle w:val="SangriaFrancesaArticulo"/>
      </w:pPr>
      <w:r w:rsidRPr="00981775">
        <w:rPr>
          <w:rStyle w:val="TextoNormalNegritaCaracter"/>
        </w:rPr>
        <w:t>Disposición transitoria segunda, apartado 3.</w:t>
      </w:r>
      <w:r w:rsidRPr="00981775">
        <w:rPr>
          <w:rStyle w:val="TextoNormalCaracter"/>
        </w:rPr>
        <w:t>-</w:t>
      </w:r>
      <w:r>
        <w:t xml:space="preserve"> Sentencia </w:t>
      </w:r>
      <w:hyperlink w:anchor="SENTENCIA_2015_200" w:history="1">
        <w:r w:rsidRPr="00981775">
          <w:rPr>
            <w:rStyle w:val="TextoNormalCaracter"/>
          </w:rPr>
          <w:t>200/2015</w:t>
        </w:r>
      </w:hyperlink>
      <w:r>
        <w:t>, ff. 1 a 4.</w:t>
      </w:r>
    </w:p>
    <w:p w:rsidR="00981775" w:rsidRDefault="00981775" w:rsidP="00981775">
      <w:pPr>
        <w:pStyle w:val="SangriaFrancesaArticulo"/>
      </w:pPr>
    </w:p>
    <w:p w:rsidR="00981775" w:rsidRDefault="00981775" w:rsidP="00981775">
      <w:pPr>
        <w:pStyle w:val="TextoNormalNegritaCursivandice"/>
      </w:pPr>
      <w:r>
        <w:t>Ley de las Cortes de Aragón 10/2014, de 27 de noviembre. Aguas y ríos de Aragón</w:t>
      </w:r>
    </w:p>
    <w:p w:rsidR="00981775" w:rsidRDefault="00981775" w:rsidP="00981775">
      <w:pPr>
        <w:pStyle w:val="SangriaFrancesaArticulo"/>
      </w:pPr>
      <w:r w:rsidRPr="00981775">
        <w:rPr>
          <w:rStyle w:val="TextoNormalNegritaCaracter"/>
        </w:rPr>
        <w:t>Artículo 1.2.</w:t>
      </w:r>
      <w:r w:rsidRPr="00981775">
        <w:rPr>
          <w:rStyle w:val="TextoNormalCaracter"/>
        </w:rPr>
        <w:t>-</w:t>
      </w:r>
      <w:r>
        <w:t xml:space="preserve"> Auto </w:t>
      </w:r>
      <w:hyperlink w:anchor="AUTO_2015_226" w:history="1">
        <w:r w:rsidRPr="00981775">
          <w:rPr>
            <w:rStyle w:val="TextoNormalCaracter"/>
          </w:rPr>
          <w:t>226/2015</w:t>
        </w:r>
      </w:hyperlink>
      <w:r>
        <w:t>, f. 3.</w:t>
      </w:r>
    </w:p>
    <w:p w:rsidR="00981775" w:rsidRDefault="00981775" w:rsidP="00981775">
      <w:pPr>
        <w:pStyle w:val="SangriaFrancesaArticulo"/>
      </w:pPr>
      <w:r w:rsidRPr="00981775">
        <w:rPr>
          <w:rStyle w:val="TextoNormalNegritaCaracter"/>
        </w:rPr>
        <w:t>Artículo 1.2 b).</w:t>
      </w:r>
      <w:r w:rsidRPr="00981775">
        <w:rPr>
          <w:rStyle w:val="TextoNormalCaracter"/>
        </w:rPr>
        <w:t>-</w:t>
      </w:r>
      <w:r>
        <w:t xml:space="preserve"> Auto </w:t>
      </w:r>
      <w:hyperlink w:anchor="AUTO_2015_226" w:history="1">
        <w:r w:rsidRPr="00981775">
          <w:rPr>
            <w:rStyle w:val="TextoNormalCaracter"/>
          </w:rPr>
          <w:t>226/2015</w:t>
        </w:r>
      </w:hyperlink>
      <w:r>
        <w:t>, ff. 1, 3.</w:t>
      </w:r>
    </w:p>
    <w:p w:rsidR="00981775" w:rsidRDefault="00981775" w:rsidP="00981775">
      <w:pPr>
        <w:pStyle w:val="SangriaFrancesaArticulo"/>
      </w:pPr>
      <w:r w:rsidRPr="00981775">
        <w:rPr>
          <w:rStyle w:val="TextoNormalNegritaCaracter"/>
        </w:rPr>
        <w:t>Artículo 1.2 c).</w:t>
      </w:r>
      <w:r w:rsidRPr="00981775">
        <w:rPr>
          <w:rStyle w:val="TextoNormalCaracter"/>
        </w:rPr>
        <w:t>-</w:t>
      </w:r>
      <w:r>
        <w:t xml:space="preserve"> Auto </w:t>
      </w:r>
      <w:hyperlink w:anchor="AUTO_2015_226" w:history="1">
        <w:r w:rsidRPr="00981775">
          <w:rPr>
            <w:rStyle w:val="TextoNormalCaracter"/>
          </w:rPr>
          <w:t>226/2015</w:t>
        </w:r>
      </w:hyperlink>
      <w:r>
        <w:t>, ff. 1, 3.</w:t>
      </w:r>
    </w:p>
    <w:p w:rsidR="00981775" w:rsidRDefault="00981775" w:rsidP="00981775">
      <w:pPr>
        <w:pStyle w:val="SangriaFrancesaArticulo"/>
      </w:pPr>
      <w:r w:rsidRPr="00981775">
        <w:rPr>
          <w:rStyle w:val="TextoNormalNegritaCaracter"/>
        </w:rPr>
        <w:t>Artículo 1.2 d).</w:t>
      </w:r>
      <w:r w:rsidRPr="00981775">
        <w:rPr>
          <w:rStyle w:val="TextoNormalCaracter"/>
        </w:rPr>
        <w:t>-</w:t>
      </w:r>
      <w:r>
        <w:t xml:space="preserve"> Auto </w:t>
      </w:r>
      <w:hyperlink w:anchor="AUTO_2015_226" w:history="1">
        <w:r w:rsidRPr="00981775">
          <w:rPr>
            <w:rStyle w:val="TextoNormalCaracter"/>
          </w:rPr>
          <w:t>226/2015</w:t>
        </w:r>
      </w:hyperlink>
      <w:r>
        <w:t>, ff. 1, 3.</w:t>
      </w:r>
    </w:p>
    <w:p w:rsidR="00981775" w:rsidRDefault="00981775" w:rsidP="00981775">
      <w:pPr>
        <w:pStyle w:val="SangriaFrancesaArticulo"/>
      </w:pPr>
      <w:r w:rsidRPr="00981775">
        <w:rPr>
          <w:rStyle w:val="TextoNormalNegritaCaracter"/>
        </w:rPr>
        <w:t>Artículo 4 aa).</w:t>
      </w:r>
      <w:r w:rsidRPr="00981775">
        <w:rPr>
          <w:rStyle w:val="TextoNormalCaracter"/>
        </w:rPr>
        <w:t>-</w:t>
      </w:r>
      <w:r>
        <w:t xml:space="preserve"> Auto </w:t>
      </w:r>
      <w:hyperlink w:anchor="AUTO_2015_226" w:history="1">
        <w:r w:rsidRPr="00981775">
          <w:rPr>
            <w:rStyle w:val="TextoNormalCaracter"/>
          </w:rPr>
          <w:t>226/2015</w:t>
        </w:r>
      </w:hyperlink>
      <w:r>
        <w:t>, ff. 1, 3.</w:t>
      </w:r>
    </w:p>
    <w:p w:rsidR="00981775" w:rsidRDefault="00981775" w:rsidP="00981775">
      <w:pPr>
        <w:pStyle w:val="SangriaFrancesaArticulo"/>
      </w:pPr>
      <w:r w:rsidRPr="00981775">
        <w:rPr>
          <w:rStyle w:val="TextoNormalNegritaCaracter"/>
        </w:rPr>
        <w:t>Artículo 5 a).</w:t>
      </w:r>
      <w:r w:rsidRPr="00981775">
        <w:rPr>
          <w:rStyle w:val="TextoNormalCaracter"/>
        </w:rPr>
        <w:t>-</w:t>
      </w:r>
      <w:r>
        <w:t xml:space="preserve"> Auto </w:t>
      </w:r>
      <w:hyperlink w:anchor="AUTO_2015_226" w:history="1">
        <w:r w:rsidRPr="00981775">
          <w:rPr>
            <w:rStyle w:val="TextoNormalCaracter"/>
          </w:rPr>
          <w:t>226/2015</w:t>
        </w:r>
      </w:hyperlink>
      <w:r>
        <w:t>, ff. 1, 3.</w:t>
      </w:r>
    </w:p>
    <w:p w:rsidR="00981775" w:rsidRDefault="00981775" w:rsidP="00981775">
      <w:pPr>
        <w:pStyle w:val="SangriaFrancesaArticulo"/>
      </w:pPr>
      <w:r w:rsidRPr="00981775">
        <w:rPr>
          <w:rStyle w:val="TextoNormalNegritaCaracter"/>
        </w:rPr>
        <w:t>Artículo 5 p).</w:t>
      </w:r>
      <w:r w:rsidRPr="00981775">
        <w:rPr>
          <w:rStyle w:val="TextoNormalCaracter"/>
        </w:rPr>
        <w:t>-</w:t>
      </w:r>
      <w:r>
        <w:t xml:space="preserve"> Auto </w:t>
      </w:r>
      <w:hyperlink w:anchor="AUTO_2015_226" w:history="1">
        <w:r w:rsidRPr="00981775">
          <w:rPr>
            <w:rStyle w:val="TextoNormalCaracter"/>
          </w:rPr>
          <w:t>226/2015</w:t>
        </w:r>
      </w:hyperlink>
      <w:r>
        <w:t>, ff. 1, 3.</w:t>
      </w:r>
    </w:p>
    <w:p w:rsidR="00981775" w:rsidRDefault="00981775" w:rsidP="00981775">
      <w:pPr>
        <w:pStyle w:val="SangriaFrancesaArticulo"/>
      </w:pPr>
      <w:r w:rsidRPr="00981775">
        <w:rPr>
          <w:rStyle w:val="TextoNormalNegritaCaracter"/>
        </w:rPr>
        <w:t>Artículo 7.1.</w:t>
      </w:r>
      <w:r w:rsidRPr="00981775">
        <w:rPr>
          <w:rStyle w:val="TextoNormalCaracter"/>
        </w:rPr>
        <w:t>-</w:t>
      </w:r>
      <w:r>
        <w:t xml:space="preserve"> Auto </w:t>
      </w:r>
      <w:hyperlink w:anchor="AUTO_2015_226" w:history="1">
        <w:r w:rsidRPr="00981775">
          <w:rPr>
            <w:rStyle w:val="TextoNormalCaracter"/>
          </w:rPr>
          <w:t>226/2015</w:t>
        </w:r>
      </w:hyperlink>
      <w:r>
        <w:t>, ff. 1, 3.</w:t>
      </w:r>
    </w:p>
    <w:p w:rsidR="00981775" w:rsidRDefault="00981775" w:rsidP="00981775">
      <w:pPr>
        <w:pStyle w:val="SangriaFrancesaArticulo"/>
      </w:pPr>
      <w:r w:rsidRPr="00981775">
        <w:rPr>
          <w:rStyle w:val="TextoNormalNegritaCaracter"/>
        </w:rPr>
        <w:t>Artículo 8.</w:t>
      </w:r>
      <w:r w:rsidRPr="00981775">
        <w:rPr>
          <w:rStyle w:val="TextoNormalCaracter"/>
        </w:rPr>
        <w:t>-</w:t>
      </w:r>
      <w:r>
        <w:t xml:space="preserve"> Auto </w:t>
      </w:r>
      <w:hyperlink w:anchor="AUTO_2015_226" w:history="1">
        <w:r w:rsidRPr="00981775">
          <w:rPr>
            <w:rStyle w:val="TextoNormalCaracter"/>
          </w:rPr>
          <w:t>226/2015</w:t>
        </w:r>
      </w:hyperlink>
      <w:r>
        <w:t>, f. 1.</w:t>
      </w:r>
    </w:p>
    <w:p w:rsidR="00981775" w:rsidRDefault="00981775" w:rsidP="00981775">
      <w:pPr>
        <w:pStyle w:val="SangriaFrancesaArticulo"/>
      </w:pPr>
      <w:r w:rsidRPr="00981775">
        <w:rPr>
          <w:rStyle w:val="TextoNormalNegritaCaracter"/>
        </w:rPr>
        <w:t>Artículo 8.1.</w:t>
      </w:r>
      <w:r w:rsidRPr="00981775">
        <w:rPr>
          <w:rStyle w:val="TextoNormalCaracter"/>
        </w:rPr>
        <w:t>-</w:t>
      </w:r>
      <w:r>
        <w:t xml:space="preserve"> Auto </w:t>
      </w:r>
      <w:hyperlink w:anchor="AUTO_2015_226" w:history="1">
        <w:r w:rsidRPr="00981775">
          <w:rPr>
            <w:rStyle w:val="TextoNormalCaracter"/>
          </w:rPr>
          <w:t>226/2015</w:t>
        </w:r>
      </w:hyperlink>
      <w:r>
        <w:t>, f. 5.</w:t>
      </w:r>
    </w:p>
    <w:p w:rsidR="00981775" w:rsidRDefault="00981775" w:rsidP="00981775">
      <w:pPr>
        <w:pStyle w:val="SangriaFrancesaArticulo"/>
      </w:pPr>
      <w:r w:rsidRPr="00981775">
        <w:rPr>
          <w:rStyle w:val="TextoNormalNegritaCaracter"/>
        </w:rPr>
        <w:t>Artículo 12.2 b).</w:t>
      </w:r>
      <w:r w:rsidRPr="00981775">
        <w:rPr>
          <w:rStyle w:val="TextoNormalCaracter"/>
        </w:rPr>
        <w:t>-</w:t>
      </w:r>
      <w:r>
        <w:t xml:space="preserve"> Auto </w:t>
      </w:r>
      <w:hyperlink w:anchor="AUTO_2015_226" w:history="1">
        <w:r w:rsidRPr="00981775">
          <w:rPr>
            <w:rStyle w:val="TextoNormalCaracter"/>
          </w:rPr>
          <w:t>226/2015</w:t>
        </w:r>
      </w:hyperlink>
      <w:r>
        <w:t>, ff. 1, 3.</w:t>
      </w:r>
    </w:p>
    <w:p w:rsidR="00981775" w:rsidRDefault="00981775" w:rsidP="00981775">
      <w:pPr>
        <w:pStyle w:val="SangriaFrancesaArticulo"/>
      </w:pPr>
      <w:r w:rsidRPr="00981775">
        <w:rPr>
          <w:rStyle w:val="TextoNormalNegritaCaracter"/>
        </w:rPr>
        <w:t>Artículo 12.4.</w:t>
      </w:r>
      <w:r w:rsidRPr="00981775">
        <w:rPr>
          <w:rStyle w:val="TextoNormalCaracter"/>
        </w:rPr>
        <w:t>-</w:t>
      </w:r>
      <w:r>
        <w:t xml:space="preserve"> Auto </w:t>
      </w:r>
      <w:hyperlink w:anchor="AUTO_2015_226" w:history="1">
        <w:r w:rsidRPr="00981775">
          <w:rPr>
            <w:rStyle w:val="TextoNormalCaracter"/>
          </w:rPr>
          <w:t>226/2015</w:t>
        </w:r>
      </w:hyperlink>
      <w:r>
        <w:t>, ff. 1, 3, 4.</w:t>
      </w:r>
    </w:p>
    <w:p w:rsidR="00981775" w:rsidRDefault="00981775" w:rsidP="00981775">
      <w:pPr>
        <w:pStyle w:val="SangriaFrancesaArticulo"/>
      </w:pPr>
      <w:r w:rsidRPr="00981775">
        <w:rPr>
          <w:rStyle w:val="TextoNormalNegritaCaracter"/>
        </w:rPr>
        <w:t>Artículo 15.1 b).</w:t>
      </w:r>
      <w:r w:rsidRPr="00981775">
        <w:rPr>
          <w:rStyle w:val="TextoNormalCaracter"/>
        </w:rPr>
        <w:t>-</w:t>
      </w:r>
      <w:r>
        <w:t xml:space="preserve"> Auto </w:t>
      </w:r>
      <w:hyperlink w:anchor="AUTO_2015_226" w:history="1">
        <w:r w:rsidRPr="00981775">
          <w:rPr>
            <w:rStyle w:val="TextoNormalCaracter"/>
          </w:rPr>
          <w:t>226/2015</w:t>
        </w:r>
      </w:hyperlink>
      <w:r>
        <w:t>, ff. 1, 3.</w:t>
      </w:r>
    </w:p>
    <w:p w:rsidR="00981775" w:rsidRDefault="00981775" w:rsidP="00981775">
      <w:pPr>
        <w:pStyle w:val="SangriaFrancesaArticulo"/>
      </w:pPr>
      <w:r w:rsidRPr="00981775">
        <w:rPr>
          <w:rStyle w:val="TextoNormalNegritaCaracter"/>
        </w:rPr>
        <w:t>Artículo 15.1 c).</w:t>
      </w:r>
      <w:r w:rsidRPr="00981775">
        <w:rPr>
          <w:rStyle w:val="TextoNormalCaracter"/>
        </w:rPr>
        <w:t>-</w:t>
      </w:r>
      <w:r>
        <w:t xml:space="preserve"> Auto </w:t>
      </w:r>
      <w:hyperlink w:anchor="AUTO_2015_226" w:history="1">
        <w:r w:rsidRPr="00981775">
          <w:rPr>
            <w:rStyle w:val="TextoNormalCaracter"/>
          </w:rPr>
          <w:t>226/2015</w:t>
        </w:r>
      </w:hyperlink>
      <w:r>
        <w:t>, ff. 1, 3.</w:t>
      </w:r>
    </w:p>
    <w:p w:rsidR="00981775" w:rsidRDefault="00981775" w:rsidP="00981775">
      <w:pPr>
        <w:pStyle w:val="SangriaFrancesaArticulo"/>
      </w:pPr>
      <w:r w:rsidRPr="00981775">
        <w:rPr>
          <w:rStyle w:val="TextoNormalNegritaCaracter"/>
        </w:rPr>
        <w:t>Artículo 15.1 n).</w:t>
      </w:r>
      <w:r w:rsidRPr="00981775">
        <w:rPr>
          <w:rStyle w:val="TextoNormalCaracter"/>
        </w:rPr>
        <w:t>-</w:t>
      </w:r>
      <w:r>
        <w:t xml:space="preserve"> Auto </w:t>
      </w:r>
      <w:hyperlink w:anchor="AUTO_2015_226" w:history="1">
        <w:r w:rsidRPr="00981775">
          <w:rPr>
            <w:rStyle w:val="TextoNormalCaracter"/>
          </w:rPr>
          <w:t>226/2015</w:t>
        </w:r>
      </w:hyperlink>
      <w:r>
        <w:t>, ff. 1, 3.</w:t>
      </w:r>
    </w:p>
    <w:p w:rsidR="00981775" w:rsidRDefault="00981775" w:rsidP="00981775">
      <w:pPr>
        <w:pStyle w:val="SangriaFrancesaArticulo"/>
      </w:pPr>
      <w:r w:rsidRPr="00981775">
        <w:rPr>
          <w:rStyle w:val="TextoNormalNegritaCaracter"/>
        </w:rPr>
        <w:t>Artículo 19.2 a) 1.</w:t>
      </w:r>
      <w:r w:rsidRPr="00981775">
        <w:rPr>
          <w:rStyle w:val="TextoNormalCaracter"/>
        </w:rPr>
        <w:t>-</w:t>
      </w:r>
      <w:r>
        <w:t xml:space="preserve"> Auto </w:t>
      </w:r>
      <w:hyperlink w:anchor="AUTO_2015_226" w:history="1">
        <w:r w:rsidRPr="00981775">
          <w:rPr>
            <w:rStyle w:val="TextoNormalCaracter"/>
          </w:rPr>
          <w:t>226/2015</w:t>
        </w:r>
      </w:hyperlink>
      <w:r>
        <w:t>, ff. 1, 3.</w:t>
      </w:r>
    </w:p>
    <w:p w:rsidR="00981775" w:rsidRDefault="00981775" w:rsidP="00981775">
      <w:pPr>
        <w:pStyle w:val="SangriaFrancesaArticulo"/>
      </w:pPr>
      <w:r w:rsidRPr="00981775">
        <w:rPr>
          <w:rStyle w:val="TextoNormalNegritaCaracter"/>
        </w:rPr>
        <w:t>Artículo 19.2 c) 2.</w:t>
      </w:r>
      <w:r w:rsidRPr="00981775">
        <w:rPr>
          <w:rStyle w:val="TextoNormalCaracter"/>
        </w:rPr>
        <w:t>-</w:t>
      </w:r>
      <w:r>
        <w:t xml:space="preserve"> Auto </w:t>
      </w:r>
      <w:hyperlink w:anchor="AUTO_2015_226" w:history="1">
        <w:r w:rsidRPr="00981775">
          <w:rPr>
            <w:rStyle w:val="TextoNormalCaracter"/>
          </w:rPr>
          <w:t>226/2015</w:t>
        </w:r>
      </w:hyperlink>
      <w:r>
        <w:t>, ff. 1, 3, 4.</w:t>
      </w:r>
    </w:p>
    <w:p w:rsidR="00981775" w:rsidRDefault="00981775" w:rsidP="00981775">
      <w:pPr>
        <w:pStyle w:val="SangriaFrancesaArticulo"/>
      </w:pPr>
      <w:r w:rsidRPr="00981775">
        <w:rPr>
          <w:rStyle w:val="TextoNormalNegritaCaracter"/>
        </w:rPr>
        <w:t>Artículo 19.2 c) 3.</w:t>
      </w:r>
      <w:r w:rsidRPr="00981775">
        <w:rPr>
          <w:rStyle w:val="TextoNormalCaracter"/>
        </w:rPr>
        <w:t>-</w:t>
      </w:r>
      <w:r>
        <w:t xml:space="preserve"> Auto </w:t>
      </w:r>
      <w:hyperlink w:anchor="AUTO_2015_226" w:history="1">
        <w:r w:rsidRPr="00981775">
          <w:rPr>
            <w:rStyle w:val="TextoNormalCaracter"/>
          </w:rPr>
          <w:t>226/2015</w:t>
        </w:r>
      </w:hyperlink>
      <w:r>
        <w:t>, ff. 1, 5.</w:t>
      </w:r>
    </w:p>
    <w:p w:rsidR="00981775" w:rsidRDefault="00981775" w:rsidP="00981775">
      <w:pPr>
        <w:pStyle w:val="SangriaFrancesaArticulo"/>
      </w:pPr>
      <w:r w:rsidRPr="00981775">
        <w:rPr>
          <w:rStyle w:val="TextoNormalNegritaCaracter"/>
        </w:rPr>
        <w:t>Artículo 50.</w:t>
      </w:r>
      <w:r w:rsidRPr="00981775">
        <w:rPr>
          <w:rStyle w:val="TextoNormalCaracter"/>
        </w:rPr>
        <w:t>-</w:t>
      </w:r>
      <w:r>
        <w:t xml:space="preserve"> Auto </w:t>
      </w:r>
      <w:hyperlink w:anchor="AUTO_2015_226" w:history="1">
        <w:r w:rsidRPr="00981775">
          <w:rPr>
            <w:rStyle w:val="TextoNormalCaracter"/>
          </w:rPr>
          <w:t>226/2015</w:t>
        </w:r>
      </w:hyperlink>
      <w:r>
        <w:t>, ff. 1, 3, 4.</w:t>
      </w:r>
    </w:p>
    <w:p w:rsidR="00981775" w:rsidRDefault="00981775" w:rsidP="00981775">
      <w:pPr>
        <w:pStyle w:val="SangriaFrancesaArticulo"/>
      </w:pPr>
      <w:r w:rsidRPr="00981775">
        <w:rPr>
          <w:rStyle w:val="TextoNormalNegritaCaracter"/>
        </w:rPr>
        <w:t>Artículo 67.</w:t>
      </w:r>
      <w:r w:rsidRPr="00981775">
        <w:rPr>
          <w:rStyle w:val="TextoNormalCaracter"/>
        </w:rPr>
        <w:t>-</w:t>
      </w:r>
      <w:r>
        <w:t xml:space="preserve"> Auto </w:t>
      </w:r>
      <w:hyperlink w:anchor="AUTO_2015_226" w:history="1">
        <w:r w:rsidRPr="00981775">
          <w:rPr>
            <w:rStyle w:val="TextoNormalCaracter"/>
          </w:rPr>
          <w:t>226/2015</w:t>
        </w:r>
      </w:hyperlink>
      <w:r>
        <w:t>, ff. 1, 5.</w:t>
      </w:r>
    </w:p>
    <w:p w:rsidR="00981775" w:rsidRDefault="00981775" w:rsidP="00981775">
      <w:pPr>
        <w:pStyle w:val="SangriaFrancesaArticulo"/>
      </w:pPr>
      <w:r w:rsidRPr="00981775">
        <w:rPr>
          <w:rStyle w:val="TextoNormalNegritaCaracter"/>
        </w:rPr>
        <w:t>Artículo 67. 4 a 7.</w:t>
      </w:r>
      <w:r w:rsidRPr="00981775">
        <w:rPr>
          <w:rStyle w:val="TextoNormalCaracter"/>
        </w:rPr>
        <w:t>-</w:t>
      </w:r>
      <w:r>
        <w:t xml:space="preserve"> Auto </w:t>
      </w:r>
      <w:hyperlink w:anchor="AUTO_2015_226" w:history="1">
        <w:r w:rsidRPr="00981775">
          <w:rPr>
            <w:rStyle w:val="TextoNormalCaracter"/>
          </w:rPr>
          <w:t>226/2015</w:t>
        </w:r>
      </w:hyperlink>
      <w:r>
        <w:t>, f. 5.</w:t>
      </w:r>
    </w:p>
    <w:p w:rsidR="00981775" w:rsidRDefault="00981775" w:rsidP="00981775">
      <w:pPr>
        <w:pStyle w:val="SangriaFrancesaArticulo"/>
      </w:pPr>
      <w:r w:rsidRPr="00981775">
        <w:rPr>
          <w:rStyle w:val="TextoNormalNegritaCaracter"/>
        </w:rPr>
        <w:t>Artículo 67.1.</w:t>
      </w:r>
      <w:r w:rsidRPr="00981775">
        <w:rPr>
          <w:rStyle w:val="TextoNormalCaracter"/>
        </w:rPr>
        <w:t>-</w:t>
      </w:r>
      <w:r>
        <w:t xml:space="preserve"> Auto </w:t>
      </w:r>
      <w:hyperlink w:anchor="AUTO_2015_226" w:history="1">
        <w:r w:rsidRPr="00981775">
          <w:rPr>
            <w:rStyle w:val="TextoNormalCaracter"/>
          </w:rPr>
          <w:t>226/2015</w:t>
        </w:r>
      </w:hyperlink>
      <w:r>
        <w:t>, f. 5.</w:t>
      </w:r>
    </w:p>
    <w:p w:rsidR="00981775" w:rsidRDefault="00981775" w:rsidP="00981775">
      <w:pPr>
        <w:pStyle w:val="SangriaFrancesaArticulo"/>
      </w:pPr>
      <w:r w:rsidRPr="00981775">
        <w:rPr>
          <w:rStyle w:val="TextoNormalNegritaCaracter"/>
        </w:rPr>
        <w:t>Artículo 67.2.</w:t>
      </w:r>
      <w:r w:rsidRPr="00981775">
        <w:rPr>
          <w:rStyle w:val="TextoNormalCaracter"/>
        </w:rPr>
        <w:t>-</w:t>
      </w:r>
      <w:r>
        <w:t xml:space="preserve"> Auto </w:t>
      </w:r>
      <w:hyperlink w:anchor="AUTO_2015_226" w:history="1">
        <w:r w:rsidRPr="00981775">
          <w:rPr>
            <w:rStyle w:val="TextoNormalCaracter"/>
          </w:rPr>
          <w:t>226/2015</w:t>
        </w:r>
      </w:hyperlink>
      <w:r>
        <w:t>, f. 5.</w:t>
      </w:r>
    </w:p>
    <w:p w:rsidR="00981775" w:rsidRDefault="00981775" w:rsidP="00981775">
      <w:pPr>
        <w:pStyle w:val="SangriaFrancesaArticulo"/>
      </w:pPr>
      <w:r w:rsidRPr="00981775">
        <w:rPr>
          <w:rStyle w:val="TextoNormalNegritaCaracter"/>
        </w:rPr>
        <w:t>Artículo 67.3.</w:t>
      </w:r>
      <w:r w:rsidRPr="00981775">
        <w:rPr>
          <w:rStyle w:val="TextoNormalCaracter"/>
        </w:rPr>
        <w:t>-</w:t>
      </w:r>
      <w:r>
        <w:t xml:space="preserve"> Auto </w:t>
      </w:r>
      <w:hyperlink w:anchor="AUTO_2015_226" w:history="1">
        <w:r w:rsidRPr="00981775">
          <w:rPr>
            <w:rStyle w:val="TextoNormalCaracter"/>
          </w:rPr>
          <w:t>226/2015</w:t>
        </w:r>
      </w:hyperlink>
      <w:r>
        <w:t>, f. 5.</w:t>
      </w:r>
    </w:p>
    <w:p w:rsidR="00981775" w:rsidRDefault="00981775" w:rsidP="00981775">
      <w:pPr>
        <w:pStyle w:val="SangriaFrancesaArticulo"/>
      </w:pPr>
      <w:r w:rsidRPr="00981775">
        <w:rPr>
          <w:rStyle w:val="TextoNormalNegritaCaracter"/>
        </w:rPr>
        <w:t>Artículo 69 a).</w:t>
      </w:r>
      <w:r w:rsidRPr="00981775">
        <w:rPr>
          <w:rStyle w:val="TextoNormalCaracter"/>
        </w:rPr>
        <w:t>-</w:t>
      </w:r>
      <w:r>
        <w:t xml:space="preserve"> Auto </w:t>
      </w:r>
      <w:hyperlink w:anchor="AUTO_2015_226" w:history="1">
        <w:r w:rsidRPr="00981775">
          <w:rPr>
            <w:rStyle w:val="TextoNormalCaracter"/>
          </w:rPr>
          <w:t>226/2015</w:t>
        </w:r>
      </w:hyperlink>
      <w:r>
        <w:t>, ff. 1, 3.</w:t>
      </w:r>
    </w:p>
    <w:p w:rsidR="00981775" w:rsidRDefault="00981775" w:rsidP="00981775">
      <w:pPr>
        <w:pStyle w:val="SangriaFrancesaArticulo"/>
      </w:pPr>
      <w:r w:rsidRPr="00981775">
        <w:rPr>
          <w:rStyle w:val="TextoNormalNegritaCaracter"/>
        </w:rPr>
        <w:t>Artículo 69 d).</w:t>
      </w:r>
      <w:r w:rsidRPr="00981775">
        <w:rPr>
          <w:rStyle w:val="TextoNormalCaracter"/>
        </w:rPr>
        <w:t>-</w:t>
      </w:r>
      <w:r>
        <w:t xml:space="preserve"> Auto </w:t>
      </w:r>
      <w:hyperlink w:anchor="AUTO_2015_226" w:history="1">
        <w:r w:rsidRPr="00981775">
          <w:rPr>
            <w:rStyle w:val="TextoNormalCaracter"/>
          </w:rPr>
          <w:t>226/2015</w:t>
        </w:r>
      </w:hyperlink>
      <w:r>
        <w:t>, ff. 1, 3.</w:t>
      </w:r>
    </w:p>
    <w:p w:rsidR="00981775" w:rsidRDefault="00981775" w:rsidP="00981775">
      <w:pPr>
        <w:pStyle w:val="SangriaFrancesaArticulo"/>
      </w:pPr>
      <w:r w:rsidRPr="00981775">
        <w:rPr>
          <w:rStyle w:val="TextoNormalNegritaCaracter"/>
        </w:rPr>
        <w:t>Artículo 69 f) 1.</w:t>
      </w:r>
      <w:r w:rsidRPr="00981775">
        <w:rPr>
          <w:rStyle w:val="TextoNormalCaracter"/>
        </w:rPr>
        <w:t>-</w:t>
      </w:r>
      <w:r>
        <w:t xml:space="preserve"> Auto </w:t>
      </w:r>
      <w:hyperlink w:anchor="AUTO_2015_226" w:history="1">
        <w:r w:rsidRPr="00981775">
          <w:rPr>
            <w:rStyle w:val="TextoNormalCaracter"/>
          </w:rPr>
          <w:t>226/2015</w:t>
        </w:r>
      </w:hyperlink>
      <w:r>
        <w:t>, ff. 1, 3.</w:t>
      </w:r>
    </w:p>
    <w:p w:rsidR="00981775" w:rsidRDefault="00981775" w:rsidP="00981775">
      <w:pPr>
        <w:pStyle w:val="SangriaFrancesaArticulo"/>
      </w:pPr>
      <w:r w:rsidRPr="00981775">
        <w:rPr>
          <w:rStyle w:val="TextoNormalNegritaCaracter"/>
        </w:rPr>
        <w:t>Artículo 70 a).</w:t>
      </w:r>
      <w:r w:rsidRPr="00981775">
        <w:rPr>
          <w:rStyle w:val="TextoNormalCaracter"/>
        </w:rPr>
        <w:t>-</w:t>
      </w:r>
      <w:r>
        <w:t xml:space="preserve"> Auto </w:t>
      </w:r>
      <w:hyperlink w:anchor="AUTO_2015_226" w:history="1">
        <w:r w:rsidRPr="00981775">
          <w:rPr>
            <w:rStyle w:val="TextoNormalCaracter"/>
          </w:rPr>
          <w:t>226/2015</w:t>
        </w:r>
      </w:hyperlink>
      <w:r>
        <w:t>, ff. 1, 3.</w:t>
      </w:r>
    </w:p>
    <w:p w:rsidR="00981775" w:rsidRDefault="00981775" w:rsidP="00981775">
      <w:pPr>
        <w:pStyle w:val="SangriaFrancesaArticulo"/>
      </w:pPr>
      <w:r w:rsidRPr="00981775">
        <w:rPr>
          <w:rStyle w:val="TextoNormalNegritaCaracter"/>
        </w:rPr>
        <w:t>Artículo 70 c).</w:t>
      </w:r>
      <w:r w:rsidRPr="00981775">
        <w:rPr>
          <w:rStyle w:val="TextoNormalCaracter"/>
        </w:rPr>
        <w:t>-</w:t>
      </w:r>
      <w:r>
        <w:t xml:space="preserve"> Auto </w:t>
      </w:r>
      <w:hyperlink w:anchor="AUTO_2015_226" w:history="1">
        <w:r w:rsidRPr="00981775">
          <w:rPr>
            <w:rStyle w:val="TextoNormalCaracter"/>
          </w:rPr>
          <w:t>226/2015</w:t>
        </w:r>
      </w:hyperlink>
      <w:r>
        <w:t>, ff. 1, 3.</w:t>
      </w:r>
    </w:p>
    <w:p w:rsidR="00981775" w:rsidRDefault="00981775" w:rsidP="00981775">
      <w:pPr>
        <w:pStyle w:val="SangriaFrancesaArticulo"/>
      </w:pPr>
      <w:r w:rsidRPr="00981775">
        <w:rPr>
          <w:rStyle w:val="TextoNormalNegritaCaracter"/>
        </w:rPr>
        <w:t>Artículo 71.3.</w:t>
      </w:r>
      <w:r w:rsidRPr="00981775">
        <w:rPr>
          <w:rStyle w:val="TextoNormalCaracter"/>
        </w:rPr>
        <w:t>-</w:t>
      </w:r>
      <w:r>
        <w:t xml:space="preserve"> Auto </w:t>
      </w:r>
      <w:hyperlink w:anchor="AUTO_2015_226" w:history="1">
        <w:r w:rsidRPr="00981775">
          <w:rPr>
            <w:rStyle w:val="TextoNormalCaracter"/>
          </w:rPr>
          <w:t>226/2015</w:t>
        </w:r>
      </w:hyperlink>
      <w:r>
        <w:t>, ff. 1, 5.</w:t>
      </w:r>
    </w:p>
    <w:p w:rsidR="00981775" w:rsidRDefault="00981775" w:rsidP="00981775">
      <w:pPr>
        <w:pStyle w:val="SangriaFrancesaArticulo"/>
      </w:pPr>
      <w:r w:rsidRPr="00981775">
        <w:rPr>
          <w:rStyle w:val="TextoNormalNegritaCaracter"/>
        </w:rPr>
        <w:t>Artículo 72.</w:t>
      </w:r>
      <w:r w:rsidRPr="00981775">
        <w:rPr>
          <w:rStyle w:val="TextoNormalCaracter"/>
        </w:rPr>
        <w:t>-</w:t>
      </w:r>
      <w:r>
        <w:t xml:space="preserve"> Auto </w:t>
      </w:r>
      <w:hyperlink w:anchor="AUTO_2015_226" w:history="1">
        <w:r w:rsidRPr="00981775">
          <w:rPr>
            <w:rStyle w:val="TextoNormalCaracter"/>
          </w:rPr>
          <w:t>226/2015</w:t>
        </w:r>
      </w:hyperlink>
      <w:r>
        <w:t>, ff. 1, 5.</w:t>
      </w:r>
    </w:p>
    <w:p w:rsidR="00981775" w:rsidRDefault="00981775" w:rsidP="00981775">
      <w:pPr>
        <w:pStyle w:val="SangriaFrancesaArticulo"/>
      </w:pPr>
      <w:r w:rsidRPr="00981775">
        <w:rPr>
          <w:rStyle w:val="TextoNormalNegritaCaracter"/>
        </w:rPr>
        <w:t>Artículo 76.3.</w:t>
      </w:r>
      <w:r w:rsidRPr="00981775">
        <w:rPr>
          <w:rStyle w:val="TextoNormalCaracter"/>
        </w:rPr>
        <w:t>-</w:t>
      </w:r>
      <w:r>
        <w:t xml:space="preserve"> Auto </w:t>
      </w:r>
      <w:hyperlink w:anchor="AUTO_2015_226" w:history="1">
        <w:r w:rsidRPr="00981775">
          <w:rPr>
            <w:rStyle w:val="TextoNormalCaracter"/>
          </w:rPr>
          <w:t>226/2015</w:t>
        </w:r>
      </w:hyperlink>
      <w:r>
        <w:t>, ff. 1, 3.</w:t>
      </w:r>
    </w:p>
    <w:p w:rsidR="00981775" w:rsidRDefault="00981775" w:rsidP="00981775">
      <w:pPr>
        <w:pStyle w:val="SangriaFrancesaArticulo"/>
      </w:pPr>
      <w:r w:rsidRPr="00981775">
        <w:rPr>
          <w:rStyle w:val="TextoNormalNegritaCaracter"/>
        </w:rPr>
        <w:t>Disposición transitoria primera.</w:t>
      </w:r>
      <w:r w:rsidRPr="00981775">
        <w:rPr>
          <w:rStyle w:val="TextoNormalCaracter"/>
        </w:rPr>
        <w:t>-</w:t>
      </w:r>
      <w:r>
        <w:t xml:space="preserve"> Auto </w:t>
      </w:r>
      <w:hyperlink w:anchor="AUTO_2015_226" w:history="1">
        <w:r w:rsidRPr="00981775">
          <w:rPr>
            <w:rStyle w:val="TextoNormalCaracter"/>
          </w:rPr>
          <w:t>226/2015</w:t>
        </w:r>
      </w:hyperlink>
      <w:r>
        <w:t>, ff. 1, 3, 4.</w:t>
      </w:r>
    </w:p>
    <w:p w:rsidR="00981775" w:rsidRDefault="00981775" w:rsidP="00981775">
      <w:pPr>
        <w:pStyle w:val="SangriaFrancesaArticulo"/>
      </w:pPr>
      <w:r w:rsidRPr="00981775">
        <w:rPr>
          <w:rStyle w:val="TextoNormalNegritaCaracter"/>
        </w:rPr>
        <w:t>Disposición transitoria primera, apartado 1.</w:t>
      </w:r>
      <w:r w:rsidRPr="00981775">
        <w:rPr>
          <w:rStyle w:val="TextoNormalCaracter"/>
        </w:rPr>
        <w:t>-</w:t>
      </w:r>
      <w:r>
        <w:t xml:space="preserve"> Auto </w:t>
      </w:r>
      <w:hyperlink w:anchor="AUTO_2015_226" w:history="1">
        <w:r w:rsidRPr="00981775">
          <w:rPr>
            <w:rStyle w:val="TextoNormalCaracter"/>
          </w:rPr>
          <w:t>226/2015</w:t>
        </w:r>
      </w:hyperlink>
      <w:r>
        <w:t>, f. 3.</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J.3) Asturias</w:t>
      </w:r>
    </w:p>
    <w:p w:rsidR="00981775" w:rsidRDefault="00981775" w:rsidP="00981775">
      <w:pPr>
        <w:pStyle w:val="TextoNormal"/>
      </w:pPr>
    </w:p>
    <w:p w:rsidR="00981775" w:rsidRDefault="00981775" w:rsidP="00981775">
      <w:pPr>
        <w:pStyle w:val="TextoNormalNegritaCentradoSubrayado"/>
        <w:suppressAutoHyphens/>
      </w:pPr>
      <w:r>
        <w:t>J.3.b) Leyes y disposiciones con fuerza de Ley</w:t>
      </w:r>
    </w:p>
    <w:p w:rsidR="00981775" w:rsidRDefault="00981775" w:rsidP="00981775">
      <w:pPr>
        <w:pStyle w:val="TextoNormalNegritaCentradoSubrayado"/>
      </w:pPr>
    </w:p>
    <w:p w:rsidR="00981775" w:rsidRDefault="00981775" w:rsidP="00981775">
      <w:pPr>
        <w:pStyle w:val="TextoNormalNegritaCursivandice"/>
      </w:pPr>
      <w:r>
        <w:t>Ley de la Junta General del Principado de Asturias 3/2012, de 28 de diciembre.  Presupuestos generales para 2013</w:t>
      </w:r>
    </w:p>
    <w:p w:rsidR="00981775" w:rsidRDefault="00981775" w:rsidP="00981775">
      <w:pPr>
        <w:pStyle w:val="SangriaFrancesaArticulo"/>
      </w:pPr>
      <w:r w:rsidRPr="00981775">
        <w:rPr>
          <w:rStyle w:val="TextoNormalNegritaCaracter"/>
        </w:rPr>
        <w:t>Artículo 41.</w:t>
      </w:r>
      <w:r w:rsidRPr="00981775">
        <w:rPr>
          <w:rStyle w:val="TextoNormalCaracter"/>
        </w:rPr>
        <w:t>-</w:t>
      </w:r>
      <w:r>
        <w:t xml:space="preserve"> Sentencia </w:t>
      </w:r>
      <w:hyperlink w:anchor="SENTENCIA_2015_202" w:history="1">
        <w:r w:rsidRPr="00981775">
          <w:rPr>
            <w:rStyle w:val="TextoNormalCaracter"/>
          </w:rPr>
          <w:t>202/2015</w:t>
        </w:r>
      </w:hyperlink>
      <w:r>
        <w:t>, f. 3.</w:t>
      </w:r>
    </w:p>
    <w:p w:rsidR="00981775" w:rsidRDefault="00981775" w:rsidP="00981775">
      <w:pPr>
        <w:pStyle w:val="SangriaFrancesaArticulo"/>
      </w:pPr>
      <w:r w:rsidRPr="00981775">
        <w:rPr>
          <w:rStyle w:val="TextoNormalNegritaCaracter"/>
        </w:rPr>
        <w:t>Disposición final séptima.</w:t>
      </w:r>
      <w:r w:rsidRPr="00981775">
        <w:rPr>
          <w:rStyle w:val="TextoNormalCaracter"/>
        </w:rPr>
        <w:t>-</w:t>
      </w:r>
      <w:r>
        <w:t xml:space="preserve"> Sentencia </w:t>
      </w:r>
      <w:hyperlink w:anchor="SENTENCIA_2015_202" w:history="1">
        <w:r w:rsidRPr="00981775">
          <w:rPr>
            <w:rStyle w:val="TextoNormalCaracter"/>
          </w:rPr>
          <w:t>202/2015</w:t>
        </w:r>
      </w:hyperlink>
      <w:r>
        <w:t>, f. 3.</w:t>
      </w:r>
    </w:p>
    <w:p w:rsidR="00981775" w:rsidRDefault="00981775" w:rsidP="00981775">
      <w:pPr>
        <w:pStyle w:val="SangriaFrancesaArticulo"/>
      </w:pPr>
    </w:p>
    <w:p w:rsidR="00981775" w:rsidRDefault="00981775" w:rsidP="00981775">
      <w:pPr>
        <w:pStyle w:val="TextoNormalNegritaCursivandice"/>
      </w:pPr>
      <w:r>
        <w:t>Decreto Legislativo del Consejo de Gobierno del Principado de Asturias 1/2014, de 23 de julio. Aprueba el texto refundido de las disposiciones legales del Principado de Asturias en materia de tributos propios</w:t>
      </w:r>
    </w:p>
    <w:p w:rsidR="00981775" w:rsidRDefault="00981775" w:rsidP="00981775">
      <w:pPr>
        <w:pStyle w:val="SangriaFrancesaArticulo"/>
      </w:pPr>
      <w:r w:rsidRPr="00981775">
        <w:rPr>
          <w:rStyle w:val="TextoNormalNegritaCaracter"/>
        </w:rPr>
        <w:t>Artículos 52 a 68.</w:t>
      </w:r>
      <w:r w:rsidRPr="00981775">
        <w:rPr>
          <w:rStyle w:val="TextoNormalCaracter"/>
        </w:rPr>
        <w:t>-</w:t>
      </w:r>
      <w:r>
        <w:t xml:space="preserve"> Sentencia </w:t>
      </w:r>
      <w:hyperlink w:anchor="SENTENCIA_2015_202" w:history="1">
        <w:r w:rsidRPr="00981775">
          <w:rPr>
            <w:rStyle w:val="TextoNormalCaracter"/>
          </w:rPr>
          <w:t>202/2015</w:t>
        </w:r>
      </w:hyperlink>
      <w:r>
        <w:t>, ff. 1, 3.</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J.4) Baleares</w:t>
      </w:r>
    </w:p>
    <w:p w:rsidR="00981775" w:rsidRDefault="00981775" w:rsidP="00981775">
      <w:pPr>
        <w:pStyle w:val="TextoNormal"/>
      </w:pPr>
    </w:p>
    <w:p w:rsidR="00981775" w:rsidRDefault="00981775" w:rsidP="00981775">
      <w:pPr>
        <w:pStyle w:val="TextoNormalNegritaCentradoSubrayado"/>
        <w:suppressAutoHyphens/>
      </w:pPr>
      <w:r>
        <w:t>J.4.a) Estatuto de Autonomía</w:t>
      </w:r>
    </w:p>
    <w:p w:rsidR="00981775" w:rsidRDefault="00981775" w:rsidP="00981775">
      <w:pPr>
        <w:pStyle w:val="TextoNormalNegritaCentradoSubrayado"/>
      </w:pPr>
    </w:p>
    <w:p w:rsidR="00981775" w:rsidRDefault="00981775" w:rsidP="00981775">
      <w:pPr>
        <w:pStyle w:val="TextoNormalNegritaCursivandice"/>
      </w:pPr>
      <w:r>
        <w:t>Ley Orgánica 1/2007, de 28 de febrero. Reforma del Estatuto de Autonomía de las Illes Balears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5" w:history="1">
        <w:r w:rsidRPr="00981775">
          <w:rPr>
            <w:rStyle w:val="TextoNormalCaracter"/>
          </w:rPr>
          <w:t>235/2015</w:t>
        </w:r>
      </w:hyperlink>
      <w:r>
        <w:t>, f. 2.</w:t>
      </w:r>
    </w:p>
    <w:p w:rsidR="00981775" w:rsidRDefault="00981775" w:rsidP="00981775">
      <w:pPr>
        <w:pStyle w:val="SangriaFrancesaArticulo"/>
      </w:pPr>
      <w:r w:rsidRPr="00981775">
        <w:rPr>
          <w:rStyle w:val="TextoNormalNegritaCaracter"/>
        </w:rPr>
        <w:t>Artículo 2.</w:t>
      </w:r>
      <w:r w:rsidRPr="00981775">
        <w:rPr>
          <w:rStyle w:val="TextoNormalCaracter"/>
        </w:rPr>
        <w:t>-</w:t>
      </w:r>
      <w:r>
        <w:t xml:space="preserve"> Auto </w:t>
      </w:r>
      <w:hyperlink w:anchor="AUTO_2015_149" w:history="1">
        <w:r w:rsidRPr="00981775">
          <w:rPr>
            <w:rStyle w:val="TextoNormalCaracter"/>
          </w:rPr>
          <w:t>149/2015</w:t>
        </w:r>
      </w:hyperlink>
      <w:r>
        <w:t>, f. 4.</w:t>
      </w:r>
    </w:p>
    <w:p w:rsidR="00981775" w:rsidRDefault="00981775" w:rsidP="00981775">
      <w:pPr>
        <w:pStyle w:val="SangriaFrancesaArticulo"/>
      </w:pPr>
      <w:r w:rsidRPr="00981775">
        <w:rPr>
          <w:rStyle w:val="TextoNormalNegritaCaracter"/>
        </w:rPr>
        <w:t>Artículo 31.15.</w:t>
      </w:r>
      <w:r w:rsidRPr="00981775">
        <w:rPr>
          <w:rStyle w:val="TextoNormalCaracter"/>
        </w:rPr>
        <w:t>-</w:t>
      </w:r>
      <w:r>
        <w:t xml:space="preserve"> Sentencias </w:t>
      </w:r>
      <w:hyperlink w:anchor="SENTENCIA_2015_235" w:history="1">
        <w:r w:rsidRPr="00981775">
          <w:rPr>
            <w:rStyle w:val="TextoNormalCaracter"/>
          </w:rPr>
          <w:t>235/2015</w:t>
        </w:r>
      </w:hyperlink>
      <w:r>
        <w:t xml:space="preserve">, f. 3; </w:t>
      </w:r>
      <w:hyperlink w:anchor="SENTENCIA_2015_260" w:history="1">
        <w:r w:rsidRPr="00981775">
          <w:rPr>
            <w:rStyle w:val="TextoNormalCaracter"/>
          </w:rPr>
          <w:t>260/2015</w:t>
        </w:r>
      </w:hyperlink>
      <w:r>
        <w:t>, f. 2.</w:t>
      </w:r>
    </w:p>
    <w:p w:rsidR="00981775" w:rsidRDefault="00981775" w:rsidP="00981775">
      <w:pPr>
        <w:pStyle w:val="TextoNormal"/>
      </w:pPr>
    </w:p>
    <w:p w:rsidR="00981775" w:rsidRDefault="00981775" w:rsidP="00981775">
      <w:pPr>
        <w:pStyle w:val="TextoNormalNegritaCentradoSubrayado"/>
        <w:suppressAutoHyphens/>
      </w:pPr>
      <w:r>
        <w:t>J.4.b) Leyes y disposiciones con fuerza de Ley</w:t>
      </w:r>
    </w:p>
    <w:p w:rsidR="00981775" w:rsidRDefault="00981775" w:rsidP="00981775">
      <w:pPr>
        <w:pStyle w:val="TextoNormalNegritaCentradoSubrayado"/>
      </w:pPr>
    </w:p>
    <w:p w:rsidR="00981775" w:rsidRDefault="00981775" w:rsidP="00981775">
      <w:pPr>
        <w:pStyle w:val="TextoNormalNegritaCursivandice"/>
      </w:pPr>
      <w:r>
        <w:t>Ley del Parlamento de las Illes Balears 12/1991, de 20 de diciembre. Regulación del impuesto sobre instalaciones que incidan en el medio ambiente</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202" w:history="1">
        <w:r w:rsidRPr="00981775">
          <w:rPr>
            <w:rStyle w:val="TextoNormalCaracter"/>
          </w:rPr>
          <w:t>202/2015</w:t>
        </w:r>
      </w:hyperlink>
      <w:r>
        <w:t>, f. 3.</w:t>
      </w:r>
    </w:p>
    <w:p w:rsidR="00981775" w:rsidRDefault="00981775" w:rsidP="00981775">
      <w:pPr>
        <w:pStyle w:val="SangriaFrancesaArticulo"/>
      </w:pPr>
    </w:p>
    <w:p w:rsidR="00981775" w:rsidRDefault="00981775" w:rsidP="00981775">
      <w:pPr>
        <w:pStyle w:val="TextoNormalNegritaCursivandice"/>
      </w:pPr>
      <w:r>
        <w:t>Ley del Parlamento de las Illes Balears 13/2005, de 27 de diciembre, de medidastributarias y administrativas</w:t>
      </w:r>
    </w:p>
    <w:p w:rsidR="00981775" w:rsidRDefault="00981775" w:rsidP="00981775">
      <w:pPr>
        <w:pStyle w:val="SangriaFrancesaArticulo"/>
      </w:pPr>
      <w:r w:rsidRPr="00981775">
        <w:rPr>
          <w:rStyle w:val="TextoNormalNegritaCaracter"/>
        </w:rPr>
        <w:t>Artículo 47.</w:t>
      </w:r>
      <w:r w:rsidRPr="00981775">
        <w:rPr>
          <w:rStyle w:val="TextoNormalCaracter"/>
        </w:rPr>
        <w:t>-</w:t>
      </w:r>
      <w:r>
        <w:t xml:space="preserve"> Sentencia </w:t>
      </w:r>
      <w:hyperlink w:anchor="SENTENCIA_2015_235" w:history="1">
        <w:r w:rsidRPr="00981775">
          <w:rPr>
            <w:rStyle w:val="TextoNormalCaracter"/>
          </w:rPr>
          <w:t>235/2015</w:t>
        </w:r>
      </w:hyperlink>
      <w:r>
        <w:t>, ff. 1, 2, 4, 5.</w:t>
      </w:r>
    </w:p>
    <w:p w:rsidR="00981775" w:rsidRDefault="00981775" w:rsidP="00981775">
      <w:pPr>
        <w:pStyle w:val="SangriaFrancesaArticulo"/>
      </w:pPr>
      <w:r w:rsidRPr="00981775">
        <w:rPr>
          <w:rStyle w:val="TextoNormalNegritaCaracter"/>
        </w:rPr>
        <w:t>Artículo 47</w:t>
      </w:r>
      <w:r>
        <w:t xml:space="preserve"> (redactado por la Ley del Parlamento de las Illes Balears 10/2015, de 1 de octubre)</w:t>
      </w:r>
      <w:r w:rsidRPr="00981775">
        <w:rPr>
          <w:rStyle w:val="TextoNormalNegritaCaracter"/>
        </w:rPr>
        <w:t>.</w:t>
      </w:r>
      <w:r w:rsidRPr="00981775">
        <w:rPr>
          <w:rStyle w:val="TextoNormalCaracter"/>
        </w:rPr>
        <w:t>-</w:t>
      </w:r>
      <w:r>
        <w:t xml:space="preserve"> Sentencia </w:t>
      </w:r>
      <w:hyperlink w:anchor="SENTENCIA_2015_260" w:history="1">
        <w:r w:rsidRPr="00981775">
          <w:rPr>
            <w:rStyle w:val="TextoNormalCaracter"/>
          </w:rPr>
          <w:t>260/2015</w:t>
        </w:r>
      </w:hyperlink>
      <w:r>
        <w:t>, f. 2.</w:t>
      </w:r>
    </w:p>
    <w:p w:rsidR="00981775" w:rsidRDefault="00981775" w:rsidP="00981775">
      <w:pPr>
        <w:pStyle w:val="SangriaFrancesaArticulo"/>
      </w:pPr>
    </w:p>
    <w:p w:rsidR="00981775" w:rsidRDefault="00981775" w:rsidP="00981775">
      <w:pPr>
        <w:pStyle w:val="TextoNormalNegritaCursivandice"/>
      </w:pPr>
      <w:r>
        <w:t>Ley del Parlamento de las Illes Balears 3/2007, de 27 de marzo. Función Pública de la Comunidad Autónoma de las Illes Balears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8" w:history="1">
        <w:r w:rsidRPr="00981775">
          <w:rPr>
            <w:rStyle w:val="TextoNormalCaracter"/>
          </w:rPr>
          <w:t>238/2015</w:t>
        </w:r>
      </w:hyperlink>
      <w:r>
        <w:t>, f. 5.</w:t>
      </w:r>
    </w:p>
    <w:p w:rsidR="00981775" w:rsidRDefault="00981775" w:rsidP="00981775">
      <w:pPr>
        <w:pStyle w:val="SangriaFrancesaArticulo"/>
      </w:pPr>
    </w:p>
    <w:p w:rsidR="00981775" w:rsidRDefault="00981775" w:rsidP="00981775">
      <w:pPr>
        <w:pStyle w:val="TextoNormalNegritaCursivandice"/>
      </w:pPr>
      <w:r>
        <w:t>Ley del Parlamento de las Illes Balears 10/2014, de 1 de octubre. Ordenación minera de las Illes Balears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5" w:history="1">
        <w:r w:rsidRPr="00981775">
          <w:rPr>
            <w:rStyle w:val="TextoNormalCaracter"/>
          </w:rPr>
          <w:t>235/2015</w:t>
        </w:r>
      </w:hyperlink>
      <w:r>
        <w:t>, f. 2.</w:t>
      </w:r>
    </w:p>
    <w:p w:rsidR="00981775" w:rsidRDefault="00981775" w:rsidP="00981775">
      <w:pPr>
        <w:pStyle w:val="SangriaFrancesaArticulo"/>
      </w:pPr>
      <w:r w:rsidRPr="00981775">
        <w:rPr>
          <w:rStyle w:val="TextoNormalNegritaCaracter"/>
        </w:rPr>
        <w:t>Artículo 15.</w:t>
      </w:r>
      <w:r w:rsidRPr="00981775">
        <w:rPr>
          <w:rStyle w:val="TextoNormalCaracter"/>
        </w:rPr>
        <w:t>-</w:t>
      </w:r>
      <w:r>
        <w:t xml:space="preserve"> Sentencia </w:t>
      </w:r>
      <w:hyperlink w:anchor="SENTENCIA_2015_260" w:history="1">
        <w:r w:rsidRPr="00981775">
          <w:rPr>
            <w:rStyle w:val="TextoNormalCaracter"/>
          </w:rPr>
          <w:t>260/2015</w:t>
        </w:r>
      </w:hyperlink>
      <w:r>
        <w:t>, f. 1.</w:t>
      </w:r>
    </w:p>
    <w:p w:rsidR="00981775" w:rsidRDefault="00981775" w:rsidP="00981775">
      <w:pPr>
        <w:pStyle w:val="SangriaFrancesaArticulo"/>
      </w:pPr>
      <w:r w:rsidRPr="00981775">
        <w:rPr>
          <w:rStyle w:val="TextoNormalNegritaCaracter"/>
        </w:rPr>
        <w:t>Artículo 16.</w:t>
      </w:r>
      <w:r w:rsidRPr="00981775">
        <w:rPr>
          <w:rStyle w:val="TextoNormalCaracter"/>
        </w:rPr>
        <w:t>-</w:t>
      </w:r>
      <w:r>
        <w:t xml:space="preserve"> Sentencia </w:t>
      </w:r>
      <w:hyperlink w:anchor="SENTENCIA_2015_260" w:history="1">
        <w:r w:rsidRPr="00981775">
          <w:rPr>
            <w:rStyle w:val="TextoNormalCaracter"/>
          </w:rPr>
          <w:t>260/2015</w:t>
        </w:r>
      </w:hyperlink>
      <w:r>
        <w:t>, f. 1.</w:t>
      </w:r>
    </w:p>
    <w:p w:rsidR="00981775" w:rsidRDefault="00981775" w:rsidP="00981775">
      <w:pPr>
        <w:pStyle w:val="SangriaFrancesaArticulo"/>
      </w:pPr>
      <w:r w:rsidRPr="00981775">
        <w:rPr>
          <w:rStyle w:val="TextoNormalNegritaCaracter"/>
        </w:rPr>
        <w:t>Artículo 23.</w:t>
      </w:r>
      <w:r w:rsidRPr="00981775">
        <w:rPr>
          <w:rStyle w:val="TextoNormalCaracter"/>
        </w:rPr>
        <w:t>-</w:t>
      </w:r>
      <w:r>
        <w:t xml:space="preserve"> Sentencias </w:t>
      </w:r>
      <w:hyperlink w:anchor="SENTENCIA_2015_235" w:history="1">
        <w:r w:rsidRPr="00981775">
          <w:rPr>
            <w:rStyle w:val="TextoNormalCaracter"/>
          </w:rPr>
          <w:t>235/2015</w:t>
        </w:r>
      </w:hyperlink>
      <w:r>
        <w:t xml:space="preserve">, f. 2; </w:t>
      </w:r>
      <w:hyperlink w:anchor="SENTENCIA_2015_260" w:history="1">
        <w:r w:rsidRPr="00981775">
          <w:rPr>
            <w:rStyle w:val="TextoNormalCaracter"/>
          </w:rPr>
          <w:t>260/2015</w:t>
        </w:r>
      </w:hyperlink>
      <w:r>
        <w:t>, ff. 1, 2.</w:t>
      </w:r>
    </w:p>
    <w:p w:rsidR="00981775" w:rsidRDefault="00981775" w:rsidP="00981775">
      <w:pPr>
        <w:pStyle w:val="SangriaFrancesaArticulo"/>
      </w:pPr>
      <w:r w:rsidRPr="00981775">
        <w:rPr>
          <w:rStyle w:val="TextoNormalNegritaCaracter"/>
        </w:rPr>
        <w:t>Artículo 23.1.</w:t>
      </w:r>
      <w:r w:rsidRPr="00981775">
        <w:rPr>
          <w:rStyle w:val="TextoNormalCaracter"/>
        </w:rPr>
        <w:t>-</w:t>
      </w:r>
      <w:r>
        <w:t xml:space="preserve"> Sentencia </w:t>
      </w:r>
      <w:hyperlink w:anchor="SENTENCIA_2015_260" w:history="1">
        <w:r w:rsidRPr="00981775">
          <w:rPr>
            <w:rStyle w:val="TextoNormalCaracter"/>
          </w:rPr>
          <w:t>260/2015</w:t>
        </w:r>
      </w:hyperlink>
      <w:r>
        <w:t>, ff. 1, 2, 4, 5.</w:t>
      </w:r>
    </w:p>
    <w:p w:rsidR="00981775" w:rsidRDefault="00981775" w:rsidP="00981775">
      <w:pPr>
        <w:pStyle w:val="SangriaFrancesaArticulo"/>
      </w:pPr>
      <w:r w:rsidRPr="00981775">
        <w:rPr>
          <w:rStyle w:val="TextoNormalNegritaCaracter"/>
        </w:rPr>
        <w:t>Artículo 23.2 expresión "además de la previa declaración de zona registrable".</w:t>
      </w:r>
      <w:r w:rsidRPr="00981775">
        <w:rPr>
          <w:rStyle w:val="TextoNormalCaracter"/>
        </w:rPr>
        <w:t>-</w:t>
      </w:r>
      <w:r>
        <w:t xml:space="preserve"> Sentencia </w:t>
      </w:r>
      <w:hyperlink w:anchor="SENTENCIA_2015_260" w:history="1">
        <w:r w:rsidRPr="00981775">
          <w:rPr>
            <w:rStyle w:val="TextoNormalCaracter"/>
          </w:rPr>
          <w:t>260/2015</w:t>
        </w:r>
      </w:hyperlink>
      <w:r>
        <w:t>.</w:t>
      </w:r>
    </w:p>
    <w:p w:rsidR="00981775" w:rsidRDefault="00981775" w:rsidP="00981775">
      <w:pPr>
        <w:pStyle w:val="SangriaFrancesaArticulo"/>
      </w:pPr>
      <w:r w:rsidRPr="00981775">
        <w:rPr>
          <w:rStyle w:val="TextoNormalNegritaCaracter"/>
        </w:rPr>
        <w:t>Artículo 23.3 expresión "y de la solicitud de registrabilidad".</w:t>
      </w:r>
      <w:r w:rsidRPr="00981775">
        <w:rPr>
          <w:rStyle w:val="TextoNormalCaracter"/>
        </w:rPr>
        <w:t>-</w:t>
      </w:r>
      <w:r>
        <w:t xml:space="preserve"> Sentencia </w:t>
      </w:r>
      <w:hyperlink w:anchor="SENTENCIA_2015_260" w:history="1">
        <w:r w:rsidRPr="00981775">
          <w:rPr>
            <w:rStyle w:val="TextoNormalCaracter"/>
          </w:rPr>
          <w:t>260/2015</w:t>
        </w:r>
      </w:hyperlink>
      <w:r>
        <w:t>.</w:t>
      </w:r>
    </w:p>
    <w:p w:rsidR="00981775" w:rsidRDefault="00981775" w:rsidP="00981775">
      <w:pPr>
        <w:pStyle w:val="SangriaFrancesaArticulo"/>
      </w:pPr>
      <w:r w:rsidRPr="00981775">
        <w:rPr>
          <w:rStyle w:val="TextoNormalNegritaCaracter"/>
        </w:rPr>
        <w:t>Artículo 23.4.</w:t>
      </w:r>
      <w:r w:rsidRPr="00981775">
        <w:rPr>
          <w:rStyle w:val="TextoNormalCaracter"/>
        </w:rPr>
        <w:t>-</w:t>
      </w:r>
      <w:r>
        <w:t xml:space="preserve"> Sentencia </w:t>
      </w:r>
      <w:hyperlink w:anchor="SENTENCIA_2015_260" w:history="1">
        <w:r w:rsidRPr="00981775">
          <w:rPr>
            <w:rStyle w:val="TextoNormalCaracter"/>
          </w:rPr>
          <w:t>260/2015</w:t>
        </w:r>
      </w:hyperlink>
      <w:r>
        <w:t>.</w:t>
      </w:r>
    </w:p>
    <w:p w:rsidR="00981775" w:rsidRDefault="00981775" w:rsidP="00981775">
      <w:pPr>
        <w:pStyle w:val="SangriaFrancesaArticulo"/>
      </w:pPr>
    </w:p>
    <w:p w:rsidR="00981775" w:rsidRDefault="00981775" w:rsidP="00981775">
      <w:pPr>
        <w:pStyle w:val="TextoNormalNegritaCursivandice"/>
      </w:pPr>
      <w:r>
        <w:t>Ley del Parlamento de las Illes Balears 11/2014, de 15 de octubre. Comercio</w:t>
      </w:r>
    </w:p>
    <w:p w:rsidR="00981775" w:rsidRDefault="00981775" w:rsidP="00981775">
      <w:pPr>
        <w:pStyle w:val="SangriaFrancesaArticulo"/>
      </w:pPr>
      <w:r w:rsidRPr="00981775">
        <w:rPr>
          <w:rStyle w:val="TextoNormalNegritaCaracter"/>
        </w:rPr>
        <w:t>Artículo 13.</w:t>
      </w:r>
      <w:r w:rsidRPr="00981775">
        <w:rPr>
          <w:rStyle w:val="TextoNormalCaracter"/>
        </w:rPr>
        <w:t>-</w:t>
      </w:r>
      <w:r>
        <w:t xml:space="preserve"> Auto </w:t>
      </w:r>
      <w:hyperlink w:anchor="AUTO_2015_169" w:history="1">
        <w:r w:rsidRPr="00981775">
          <w:rPr>
            <w:rStyle w:val="TextoNormalCaracter"/>
          </w:rPr>
          <w:t>169/2015</w:t>
        </w:r>
      </w:hyperlink>
      <w:r>
        <w:t>, f. único.</w:t>
      </w:r>
    </w:p>
    <w:p w:rsidR="00981775" w:rsidRDefault="00981775" w:rsidP="00981775">
      <w:pPr>
        <w:pStyle w:val="SangriaFrancesaArticulo"/>
      </w:pPr>
      <w:r w:rsidRPr="00981775">
        <w:rPr>
          <w:rStyle w:val="TextoNormalNegritaCaracter"/>
        </w:rPr>
        <w:t>Artículo 14.1.</w:t>
      </w:r>
      <w:r w:rsidRPr="00981775">
        <w:rPr>
          <w:rStyle w:val="TextoNormalCaracter"/>
        </w:rPr>
        <w:t>-</w:t>
      </w:r>
      <w:r>
        <w:t xml:space="preserve"> Auto </w:t>
      </w:r>
      <w:hyperlink w:anchor="AUTO_2015_169" w:history="1">
        <w:r w:rsidRPr="00981775">
          <w:rPr>
            <w:rStyle w:val="TextoNormalCaracter"/>
          </w:rPr>
          <w:t>169/2015</w:t>
        </w:r>
      </w:hyperlink>
      <w:r>
        <w:t>, f. único.</w:t>
      </w:r>
    </w:p>
    <w:p w:rsidR="00981775" w:rsidRDefault="00981775" w:rsidP="00981775">
      <w:pPr>
        <w:pStyle w:val="SangriaFrancesaArticulo"/>
      </w:pPr>
      <w:r w:rsidRPr="00981775">
        <w:rPr>
          <w:rStyle w:val="TextoNormalNegritaCaracter"/>
        </w:rPr>
        <w:t>Artículo 14.6.</w:t>
      </w:r>
      <w:r w:rsidRPr="00981775">
        <w:rPr>
          <w:rStyle w:val="TextoNormalCaracter"/>
        </w:rPr>
        <w:t>-</w:t>
      </w:r>
      <w:r>
        <w:t xml:space="preserve"> Auto </w:t>
      </w:r>
      <w:hyperlink w:anchor="AUTO_2015_169" w:history="1">
        <w:r w:rsidRPr="00981775">
          <w:rPr>
            <w:rStyle w:val="TextoNormalCaracter"/>
          </w:rPr>
          <w:t>169/2015</w:t>
        </w:r>
      </w:hyperlink>
      <w:r>
        <w:t>, f. único.</w:t>
      </w:r>
    </w:p>
    <w:p w:rsidR="00981775" w:rsidRDefault="00981775" w:rsidP="00981775">
      <w:pPr>
        <w:pStyle w:val="SangriaFrancesaArticulo"/>
      </w:pPr>
      <w:r w:rsidRPr="00981775">
        <w:rPr>
          <w:rStyle w:val="TextoNormalNegritaCaracter"/>
        </w:rPr>
        <w:t>Artículo 22.8.</w:t>
      </w:r>
      <w:r w:rsidRPr="00981775">
        <w:rPr>
          <w:rStyle w:val="TextoNormalCaracter"/>
        </w:rPr>
        <w:t>-</w:t>
      </w:r>
      <w:r>
        <w:t xml:space="preserve"> Auto </w:t>
      </w:r>
      <w:hyperlink w:anchor="AUTO_2015_169" w:history="1">
        <w:r w:rsidRPr="00981775">
          <w:rPr>
            <w:rStyle w:val="TextoNormalCaracter"/>
          </w:rPr>
          <w:t>169/2015</w:t>
        </w:r>
      </w:hyperlink>
      <w:r>
        <w:t>, f. único.</w:t>
      </w:r>
    </w:p>
    <w:p w:rsidR="00981775" w:rsidRDefault="00981775" w:rsidP="00981775">
      <w:pPr>
        <w:pStyle w:val="SangriaFrancesaArticulo"/>
      </w:pPr>
      <w:r w:rsidRPr="00981775">
        <w:rPr>
          <w:rStyle w:val="TextoNormalNegritaCaracter"/>
        </w:rPr>
        <w:t>Artículo 23.3.</w:t>
      </w:r>
      <w:r w:rsidRPr="00981775">
        <w:rPr>
          <w:rStyle w:val="TextoNormalCaracter"/>
        </w:rPr>
        <w:t>-</w:t>
      </w:r>
      <w:r>
        <w:t xml:space="preserve"> Auto </w:t>
      </w:r>
      <w:hyperlink w:anchor="AUTO_2015_169" w:history="1">
        <w:r w:rsidRPr="00981775">
          <w:rPr>
            <w:rStyle w:val="TextoNormalCaracter"/>
          </w:rPr>
          <w:t>169/2015</w:t>
        </w:r>
      </w:hyperlink>
      <w:r>
        <w:t>, f. único.</w:t>
      </w:r>
    </w:p>
    <w:p w:rsidR="00981775" w:rsidRDefault="00981775" w:rsidP="00981775">
      <w:pPr>
        <w:pStyle w:val="SangriaFrancesaArticulo"/>
      </w:pPr>
      <w:r w:rsidRPr="00981775">
        <w:rPr>
          <w:rStyle w:val="TextoNormalNegritaCaracter"/>
        </w:rPr>
        <w:t>Disposición adicional tercera.</w:t>
      </w:r>
      <w:r w:rsidRPr="00981775">
        <w:rPr>
          <w:rStyle w:val="TextoNormalCaracter"/>
        </w:rPr>
        <w:t>-</w:t>
      </w:r>
      <w:r>
        <w:t xml:space="preserve"> Auto </w:t>
      </w:r>
      <w:hyperlink w:anchor="AUTO_2015_169" w:history="1">
        <w:r w:rsidRPr="00981775">
          <w:rPr>
            <w:rStyle w:val="TextoNormalCaracter"/>
          </w:rPr>
          <w:t>169/2015</w:t>
        </w:r>
      </w:hyperlink>
      <w:r>
        <w:t>, f. único.</w:t>
      </w:r>
    </w:p>
    <w:p w:rsidR="00981775" w:rsidRDefault="00981775" w:rsidP="00981775">
      <w:pPr>
        <w:pStyle w:val="SangriaFrancesaArticulo"/>
      </w:pPr>
    </w:p>
    <w:p w:rsidR="00981775" w:rsidRDefault="00981775" w:rsidP="00981775">
      <w:pPr>
        <w:pStyle w:val="TextoNormalNegritaCursivandice"/>
      </w:pPr>
      <w:r>
        <w:t>Ley del Parlamento de las Illes Balears 12/2014, de 16 de diciembre. Agraria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49" w:history="1">
        <w:r w:rsidRPr="00981775">
          <w:rPr>
            <w:rStyle w:val="TextoNormalCaracter"/>
          </w:rPr>
          <w:t>149/2015</w:t>
        </w:r>
      </w:hyperlink>
      <w:r>
        <w:t>, f. 4.</w:t>
      </w:r>
    </w:p>
    <w:p w:rsidR="00981775" w:rsidRDefault="00981775" w:rsidP="00981775">
      <w:pPr>
        <w:pStyle w:val="SangriaFrancesaArticulo"/>
      </w:pPr>
      <w:r w:rsidRPr="00981775">
        <w:rPr>
          <w:rStyle w:val="TextoNormalNegritaCaracter"/>
        </w:rPr>
        <w:t>Artículo 3.</w:t>
      </w:r>
      <w:r w:rsidRPr="00981775">
        <w:rPr>
          <w:rStyle w:val="TextoNormalCaracter"/>
        </w:rPr>
        <w:t>-</w:t>
      </w:r>
      <w:r>
        <w:t xml:space="preserve"> Auto </w:t>
      </w:r>
      <w:hyperlink w:anchor="AUTO_2015_149" w:history="1">
        <w:r w:rsidRPr="00981775">
          <w:rPr>
            <w:rStyle w:val="TextoNormalCaracter"/>
          </w:rPr>
          <w:t>149/2015</w:t>
        </w:r>
      </w:hyperlink>
      <w:r>
        <w:t>, f. 4.</w:t>
      </w:r>
    </w:p>
    <w:p w:rsidR="00981775" w:rsidRDefault="00981775" w:rsidP="00981775">
      <w:pPr>
        <w:pStyle w:val="SangriaFrancesaArticulo"/>
      </w:pPr>
      <w:r w:rsidRPr="00981775">
        <w:rPr>
          <w:rStyle w:val="TextoNormalNegritaCaracter"/>
        </w:rPr>
        <w:t>Artículo 5.1 v) 3.</w:t>
      </w:r>
      <w:r w:rsidRPr="00981775">
        <w:rPr>
          <w:rStyle w:val="TextoNormalCaracter"/>
        </w:rPr>
        <w:t>-</w:t>
      </w:r>
      <w:r>
        <w:t xml:space="preserve"> Autos </w:t>
      </w:r>
      <w:hyperlink w:anchor="AUTO_2015_149" w:history="1">
        <w:r w:rsidRPr="00981775">
          <w:rPr>
            <w:rStyle w:val="TextoNormalCaracter"/>
          </w:rPr>
          <w:t>149/2015</w:t>
        </w:r>
      </w:hyperlink>
      <w:r>
        <w:t xml:space="preserve">, ff. 1, 2, 4; </w:t>
      </w:r>
      <w:hyperlink w:anchor="AUTO_2015_168" w:history="1">
        <w:r w:rsidRPr="00981775">
          <w:rPr>
            <w:rStyle w:val="TextoNormalCaracter"/>
          </w:rPr>
          <w:t>168/2015</w:t>
        </w:r>
      </w:hyperlink>
      <w:r>
        <w:t xml:space="preserve">, ff. 1 a 3; </w:t>
      </w:r>
      <w:hyperlink w:anchor="AUTO_2015_168" w:history="1">
        <w:r w:rsidRPr="00981775">
          <w:rPr>
            <w:rStyle w:val="TextoNormalCaracter"/>
          </w:rPr>
          <w:t>168/2015</w:t>
        </w:r>
      </w:hyperlink>
      <w:r>
        <w:t>.</w:t>
      </w:r>
    </w:p>
    <w:p w:rsidR="00981775" w:rsidRDefault="00981775" w:rsidP="00981775">
      <w:pPr>
        <w:pStyle w:val="SangriaFrancesaArticulo"/>
      </w:pPr>
      <w:r w:rsidRPr="00981775">
        <w:rPr>
          <w:rStyle w:val="TextoNormalNegritaCaracter"/>
        </w:rPr>
        <w:t>Artículo 19.</w:t>
      </w:r>
      <w:r w:rsidRPr="00981775">
        <w:rPr>
          <w:rStyle w:val="TextoNormalCaracter"/>
        </w:rPr>
        <w:t>-</w:t>
      </w:r>
      <w:r>
        <w:t xml:space="preserve"> Auto </w:t>
      </w:r>
      <w:hyperlink w:anchor="AUTO_2015_149" w:history="1">
        <w:r w:rsidRPr="00981775">
          <w:rPr>
            <w:rStyle w:val="TextoNormalCaracter"/>
          </w:rPr>
          <w:t>149/2015</w:t>
        </w:r>
      </w:hyperlink>
      <w:r>
        <w:t>, f. 4.</w:t>
      </w:r>
    </w:p>
    <w:p w:rsidR="00981775" w:rsidRDefault="00981775" w:rsidP="00981775">
      <w:pPr>
        <w:pStyle w:val="SangriaFrancesaArticulo"/>
      </w:pPr>
      <w:r w:rsidRPr="00981775">
        <w:rPr>
          <w:rStyle w:val="TextoNormalNegritaCaracter"/>
        </w:rPr>
        <w:t>Artículo 88.</w:t>
      </w:r>
      <w:r w:rsidRPr="00981775">
        <w:rPr>
          <w:rStyle w:val="TextoNormalCaracter"/>
        </w:rPr>
        <w:t>-</w:t>
      </w:r>
      <w:r>
        <w:t xml:space="preserve"> Autos </w:t>
      </w:r>
      <w:hyperlink w:anchor="AUTO_2015_149" w:history="1">
        <w:r w:rsidRPr="00981775">
          <w:rPr>
            <w:rStyle w:val="TextoNormalCaracter"/>
          </w:rPr>
          <w:t>149/2015</w:t>
        </w:r>
      </w:hyperlink>
      <w:r>
        <w:t xml:space="preserve">, ff. 1, 2; </w:t>
      </w:r>
      <w:hyperlink w:anchor="AUTO_2015_168" w:history="1">
        <w:r w:rsidRPr="00981775">
          <w:rPr>
            <w:rStyle w:val="TextoNormalCaracter"/>
          </w:rPr>
          <w:t>168/2015</w:t>
        </w:r>
      </w:hyperlink>
      <w:r>
        <w:t>, ff. 1, 2.</w:t>
      </w:r>
    </w:p>
    <w:p w:rsidR="00981775" w:rsidRDefault="00981775" w:rsidP="00981775">
      <w:pPr>
        <w:pStyle w:val="SangriaFrancesaArticulo"/>
      </w:pPr>
      <w:r w:rsidRPr="00981775">
        <w:rPr>
          <w:rStyle w:val="TextoNormalNegritaCaracter"/>
        </w:rPr>
        <w:t>Artículo 102 d).</w:t>
      </w:r>
      <w:r w:rsidRPr="00981775">
        <w:rPr>
          <w:rStyle w:val="TextoNormalCaracter"/>
        </w:rPr>
        <w:t>-</w:t>
      </w:r>
      <w:r>
        <w:t xml:space="preserve"> Auto </w:t>
      </w:r>
      <w:hyperlink w:anchor="AUTO_2015_149" w:history="1">
        <w:r w:rsidRPr="00981775">
          <w:rPr>
            <w:rStyle w:val="TextoNormalCaracter"/>
          </w:rPr>
          <w:t>149/2015</w:t>
        </w:r>
      </w:hyperlink>
      <w:r>
        <w:t>, f. 4.</w:t>
      </w:r>
    </w:p>
    <w:p w:rsidR="00981775" w:rsidRDefault="00981775" w:rsidP="00981775">
      <w:pPr>
        <w:pStyle w:val="SangriaFrancesaArticulo"/>
      </w:pPr>
      <w:r w:rsidRPr="00981775">
        <w:rPr>
          <w:rStyle w:val="TextoNormalNegritaCaracter"/>
        </w:rPr>
        <w:t>Artículo 102.2 d).</w:t>
      </w:r>
      <w:r w:rsidRPr="00981775">
        <w:rPr>
          <w:rStyle w:val="TextoNormalCaracter"/>
        </w:rPr>
        <w:t>-</w:t>
      </w:r>
      <w:r>
        <w:t xml:space="preserve"> Autos </w:t>
      </w:r>
      <w:hyperlink w:anchor="AUTO_2015_149" w:history="1">
        <w:r w:rsidRPr="00981775">
          <w:rPr>
            <w:rStyle w:val="TextoNormalCaracter"/>
          </w:rPr>
          <w:t>149/2015</w:t>
        </w:r>
      </w:hyperlink>
      <w:r>
        <w:t xml:space="preserve">, ff. 1, 2; </w:t>
      </w:r>
      <w:hyperlink w:anchor="AUTO_2015_168" w:history="1">
        <w:r w:rsidRPr="00981775">
          <w:rPr>
            <w:rStyle w:val="TextoNormalCaracter"/>
          </w:rPr>
          <w:t>168/2015</w:t>
        </w:r>
      </w:hyperlink>
      <w:r>
        <w:t>, ff. 1 a 3.</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J.5) Canarias</w:t>
      </w:r>
    </w:p>
    <w:p w:rsidR="00981775" w:rsidRDefault="00981775" w:rsidP="00981775">
      <w:pPr>
        <w:pStyle w:val="TextoNormal"/>
      </w:pPr>
    </w:p>
    <w:p w:rsidR="00981775" w:rsidRDefault="00981775" w:rsidP="00981775">
      <w:pPr>
        <w:pStyle w:val="TextoNormalNegritaCentradoSubrayado"/>
        <w:suppressAutoHyphens/>
      </w:pPr>
      <w:r>
        <w:t>J.5.a) Estatuto de Autonomía</w:t>
      </w:r>
    </w:p>
    <w:p w:rsidR="00981775" w:rsidRDefault="00981775" w:rsidP="00981775">
      <w:pPr>
        <w:pStyle w:val="TextoNormalNegritaCentradoSubrayado"/>
      </w:pPr>
    </w:p>
    <w:p w:rsidR="00981775" w:rsidRDefault="00981775" w:rsidP="00981775">
      <w:pPr>
        <w:pStyle w:val="TextoNormalNegritaCursivandice"/>
      </w:pPr>
      <w:r>
        <w:t>Ley Orgánica 10/1982, de 10 de agosto. Estatuto de Autonomía de Canarias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84" w:history="1">
        <w:r w:rsidRPr="00981775">
          <w:rPr>
            <w:rStyle w:val="TextoNormalCaracter"/>
          </w:rPr>
          <w:t>184/2015</w:t>
        </w:r>
      </w:hyperlink>
      <w:r>
        <w:t>, f. 3.</w:t>
      </w:r>
    </w:p>
    <w:p w:rsidR="00981775" w:rsidRDefault="00981775" w:rsidP="00981775">
      <w:pPr>
        <w:pStyle w:val="SangriaFrancesaArticulo"/>
      </w:pPr>
      <w:r w:rsidRPr="00981775">
        <w:rPr>
          <w:rStyle w:val="TextoNormalNegritaCaracter"/>
        </w:rPr>
        <w:t>Artículo 30.9.</w:t>
      </w:r>
      <w:r w:rsidRPr="00981775">
        <w:rPr>
          <w:rStyle w:val="TextoNormalCaracter"/>
        </w:rPr>
        <w:t>-</w:t>
      </w:r>
      <w:r>
        <w:t xml:space="preserve"> Autos </w:t>
      </w:r>
      <w:hyperlink w:anchor="AUTO_2015_184" w:history="1">
        <w:r w:rsidRPr="00981775">
          <w:rPr>
            <w:rStyle w:val="TextoNormalCaracter"/>
          </w:rPr>
          <w:t>184/2015</w:t>
        </w:r>
      </w:hyperlink>
      <w:r>
        <w:t xml:space="preserve">, f. 3; </w:t>
      </w:r>
      <w:hyperlink w:anchor="AUTO_2015_193" w:history="1">
        <w:r w:rsidRPr="00981775">
          <w:rPr>
            <w:rStyle w:val="TextoNormalCaracter"/>
          </w:rPr>
          <w:t>193/2015</w:t>
        </w:r>
      </w:hyperlink>
      <w:r>
        <w:t xml:space="preserve">, f. 3; </w:t>
      </w:r>
      <w:hyperlink w:anchor="AUTO_2015_194" w:history="1">
        <w:r w:rsidRPr="00981775">
          <w:rPr>
            <w:rStyle w:val="TextoNormalCaracter"/>
          </w:rPr>
          <w:t>194/2015</w:t>
        </w:r>
      </w:hyperlink>
      <w:r>
        <w:t>, f. 3.</w:t>
      </w:r>
    </w:p>
    <w:p w:rsidR="00981775" w:rsidRDefault="00981775" w:rsidP="00981775">
      <w:pPr>
        <w:pStyle w:val="SangriaFrancesaArticulo"/>
      </w:pPr>
      <w:r w:rsidRPr="00981775">
        <w:rPr>
          <w:rStyle w:val="TextoNormalNegritaCaracter"/>
        </w:rPr>
        <w:t>Artículo 30.15.</w:t>
      </w:r>
      <w:r w:rsidRPr="00981775">
        <w:rPr>
          <w:rStyle w:val="TextoNormalCaracter"/>
        </w:rPr>
        <w:t>-</w:t>
      </w:r>
      <w:r>
        <w:t xml:space="preserve"> Sentencia </w:t>
      </w:r>
      <w:hyperlink w:anchor="SENTENCIA_2015_209" w:history="1">
        <w:r w:rsidRPr="00981775">
          <w:rPr>
            <w:rStyle w:val="TextoNormalCaracter"/>
          </w:rPr>
          <w:t>209/2015</w:t>
        </w:r>
      </w:hyperlink>
      <w:r>
        <w:t>, f. 1.</w:t>
      </w:r>
    </w:p>
    <w:p w:rsidR="00981775" w:rsidRDefault="00981775" w:rsidP="00981775">
      <w:pPr>
        <w:pStyle w:val="SangriaIzquierdaArticulo"/>
      </w:pPr>
      <w:r>
        <w:t xml:space="preserve">Autos </w:t>
      </w:r>
      <w:hyperlink w:anchor="AUTO_2015_184" w:history="1">
        <w:r w:rsidRPr="00981775">
          <w:rPr>
            <w:rStyle w:val="TextoNormalCaracter"/>
          </w:rPr>
          <w:t>184/2015</w:t>
        </w:r>
      </w:hyperlink>
      <w:r>
        <w:t xml:space="preserve">, f. 3; </w:t>
      </w:r>
      <w:hyperlink w:anchor="AUTO_2015_193" w:history="1">
        <w:r w:rsidRPr="00981775">
          <w:rPr>
            <w:rStyle w:val="TextoNormalCaracter"/>
          </w:rPr>
          <w:t>193/2015</w:t>
        </w:r>
      </w:hyperlink>
      <w:r>
        <w:t xml:space="preserve">, f. 3; </w:t>
      </w:r>
      <w:hyperlink w:anchor="AUTO_2015_194" w:history="1">
        <w:r w:rsidRPr="00981775">
          <w:rPr>
            <w:rStyle w:val="TextoNormalCaracter"/>
          </w:rPr>
          <w:t>194/2015</w:t>
        </w:r>
      </w:hyperlink>
      <w:r>
        <w:t>, f. 3.</w:t>
      </w:r>
    </w:p>
    <w:p w:rsidR="00981775" w:rsidRDefault="00981775" w:rsidP="00981775">
      <w:pPr>
        <w:pStyle w:val="SangriaFrancesaArticulo"/>
      </w:pPr>
      <w:r w:rsidRPr="00981775">
        <w:rPr>
          <w:rStyle w:val="TextoNormalNegritaCaracter"/>
        </w:rPr>
        <w:t>Artículo 30.20.</w:t>
      </w:r>
      <w:r w:rsidRPr="00981775">
        <w:rPr>
          <w:rStyle w:val="TextoNormalCaracter"/>
        </w:rPr>
        <w:t>-</w:t>
      </w:r>
      <w:r>
        <w:t xml:space="preserve"> Autos </w:t>
      </w:r>
      <w:hyperlink w:anchor="AUTO_2015_184" w:history="1">
        <w:r w:rsidRPr="00981775">
          <w:rPr>
            <w:rStyle w:val="TextoNormalCaracter"/>
          </w:rPr>
          <w:t>184/2015</w:t>
        </w:r>
      </w:hyperlink>
      <w:r>
        <w:t xml:space="preserve">, f. 3; </w:t>
      </w:r>
      <w:hyperlink w:anchor="AUTO_2015_193" w:history="1">
        <w:r w:rsidRPr="00981775">
          <w:rPr>
            <w:rStyle w:val="TextoNormalCaracter"/>
          </w:rPr>
          <w:t>193/2015</w:t>
        </w:r>
      </w:hyperlink>
      <w:r>
        <w:t xml:space="preserve">, f. 3; </w:t>
      </w:r>
      <w:hyperlink w:anchor="AUTO_2015_194" w:history="1">
        <w:r w:rsidRPr="00981775">
          <w:rPr>
            <w:rStyle w:val="TextoNormalCaracter"/>
          </w:rPr>
          <w:t>194/2015</w:t>
        </w:r>
      </w:hyperlink>
      <w:r>
        <w:t>, f. 3.</w:t>
      </w:r>
    </w:p>
    <w:p w:rsidR="00981775" w:rsidRDefault="00981775" w:rsidP="00981775">
      <w:pPr>
        <w:pStyle w:val="SangriaFrancesaArticulo"/>
      </w:pPr>
      <w:r w:rsidRPr="00981775">
        <w:rPr>
          <w:rStyle w:val="TextoNormalNegritaCaracter"/>
        </w:rPr>
        <w:t>Artículo 30.21.</w:t>
      </w:r>
      <w:r w:rsidRPr="00981775">
        <w:rPr>
          <w:rStyle w:val="TextoNormalCaracter"/>
        </w:rPr>
        <w:t>-</w:t>
      </w:r>
      <w:r>
        <w:t xml:space="preserve"> Sentencia </w:t>
      </w:r>
      <w:hyperlink w:anchor="SENTENCIA_2015_209" w:history="1">
        <w:r w:rsidRPr="00981775">
          <w:rPr>
            <w:rStyle w:val="TextoNormalCaracter"/>
          </w:rPr>
          <w:t>209/2015</w:t>
        </w:r>
      </w:hyperlink>
      <w:r>
        <w:t>, f. 1.</w:t>
      </w:r>
    </w:p>
    <w:p w:rsidR="00981775" w:rsidRDefault="00981775" w:rsidP="00981775">
      <w:pPr>
        <w:pStyle w:val="SangriaIzquierdaArticulo"/>
      </w:pPr>
      <w:r>
        <w:t xml:space="preserve">Autos </w:t>
      </w:r>
      <w:hyperlink w:anchor="AUTO_2015_184" w:history="1">
        <w:r w:rsidRPr="00981775">
          <w:rPr>
            <w:rStyle w:val="TextoNormalCaracter"/>
          </w:rPr>
          <w:t>184/2015</w:t>
        </w:r>
      </w:hyperlink>
      <w:r>
        <w:t xml:space="preserve">, f. 3; </w:t>
      </w:r>
      <w:hyperlink w:anchor="AUTO_2015_193" w:history="1">
        <w:r w:rsidRPr="00981775">
          <w:rPr>
            <w:rStyle w:val="TextoNormalCaracter"/>
          </w:rPr>
          <w:t>193/2015</w:t>
        </w:r>
      </w:hyperlink>
      <w:r>
        <w:t xml:space="preserve">, f. 3; </w:t>
      </w:r>
      <w:hyperlink w:anchor="AUTO_2015_194" w:history="1">
        <w:r w:rsidRPr="00981775">
          <w:rPr>
            <w:rStyle w:val="TextoNormalCaracter"/>
          </w:rPr>
          <w:t>194/2015</w:t>
        </w:r>
      </w:hyperlink>
      <w:r>
        <w:t>, f. 3.</w:t>
      </w:r>
    </w:p>
    <w:p w:rsidR="00981775" w:rsidRDefault="00981775" w:rsidP="00981775">
      <w:pPr>
        <w:pStyle w:val="TextoNormal"/>
      </w:pPr>
    </w:p>
    <w:p w:rsidR="00981775" w:rsidRDefault="00981775" w:rsidP="00981775">
      <w:pPr>
        <w:pStyle w:val="TextoNormalNegritaCentradoSubrayado"/>
        <w:suppressAutoHyphens/>
      </w:pPr>
      <w:r>
        <w:t>J.5.b) Leyes y disposiciones con fuerza de Ley</w:t>
      </w:r>
    </w:p>
    <w:p w:rsidR="00981775" w:rsidRDefault="00981775" w:rsidP="00981775">
      <w:pPr>
        <w:pStyle w:val="TextoNormalNegritaCentradoSubrayado"/>
      </w:pPr>
    </w:p>
    <w:p w:rsidR="00981775" w:rsidRDefault="00981775" w:rsidP="00981775">
      <w:pPr>
        <w:pStyle w:val="TextoNormalNegritaCursivandice"/>
      </w:pPr>
      <w:r>
        <w:t>Decreto Legislativo del Gobierno de Canarias 1/2000, de 8 mayo. Texto refundido de las leyes de ordenación del territorio y de espacios naturales protegidos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Autos </w:t>
      </w:r>
      <w:hyperlink w:anchor="AUTO_2015_184" w:history="1">
        <w:r w:rsidRPr="00981775">
          <w:rPr>
            <w:rStyle w:val="TextoNormalCaracter"/>
          </w:rPr>
          <w:t>184/2015</w:t>
        </w:r>
      </w:hyperlink>
      <w:r>
        <w:t xml:space="preserve">, f. 3; </w:t>
      </w:r>
      <w:hyperlink w:anchor="AUTO_2015_193" w:history="1">
        <w:r w:rsidRPr="00981775">
          <w:rPr>
            <w:rStyle w:val="TextoNormalCaracter"/>
          </w:rPr>
          <w:t>193/2015</w:t>
        </w:r>
      </w:hyperlink>
      <w:r>
        <w:t xml:space="preserve">, f. 3; </w:t>
      </w:r>
      <w:hyperlink w:anchor="AUTO_2015_194" w:history="1">
        <w:r w:rsidRPr="00981775">
          <w:rPr>
            <w:rStyle w:val="TextoNormalCaracter"/>
          </w:rPr>
          <w:t>194/2015</w:t>
        </w:r>
      </w:hyperlink>
      <w:r>
        <w:t>, f. 3.</w:t>
      </w:r>
    </w:p>
    <w:p w:rsidR="00981775" w:rsidRDefault="00981775" w:rsidP="00981775">
      <w:pPr>
        <w:pStyle w:val="SangriaFrancesaArticulo"/>
      </w:pPr>
      <w:r w:rsidRPr="00981775">
        <w:rPr>
          <w:rStyle w:val="TextoNormalNegritaCaracter"/>
        </w:rPr>
        <w:t>Artículo 11.</w:t>
      </w:r>
      <w:r w:rsidRPr="00981775">
        <w:rPr>
          <w:rStyle w:val="TextoNormalCaracter"/>
        </w:rPr>
        <w:t>-</w:t>
      </w:r>
      <w:r>
        <w:t xml:space="preserve"> Autos </w:t>
      </w:r>
      <w:hyperlink w:anchor="AUTO_2015_184" w:history="1">
        <w:r w:rsidRPr="00981775">
          <w:rPr>
            <w:rStyle w:val="TextoNormalCaracter"/>
          </w:rPr>
          <w:t>184/2015</w:t>
        </w:r>
      </w:hyperlink>
      <w:r>
        <w:t xml:space="preserve">, f. 3; </w:t>
      </w:r>
      <w:hyperlink w:anchor="AUTO_2015_193" w:history="1">
        <w:r w:rsidRPr="00981775">
          <w:rPr>
            <w:rStyle w:val="TextoNormalCaracter"/>
          </w:rPr>
          <w:t>193/2015</w:t>
        </w:r>
      </w:hyperlink>
      <w:r>
        <w:t xml:space="preserve">, f. 3; </w:t>
      </w:r>
      <w:hyperlink w:anchor="AUTO_2015_194" w:history="1">
        <w:r w:rsidRPr="00981775">
          <w:rPr>
            <w:rStyle w:val="TextoNormalCaracter"/>
          </w:rPr>
          <w:t>194/2015</w:t>
        </w:r>
      </w:hyperlink>
      <w:r>
        <w:t>, f. 3.</w:t>
      </w:r>
    </w:p>
    <w:p w:rsidR="00981775" w:rsidRDefault="00981775" w:rsidP="00981775">
      <w:pPr>
        <w:pStyle w:val="SangriaFrancesaArticulo"/>
      </w:pPr>
    </w:p>
    <w:p w:rsidR="00981775" w:rsidRDefault="00981775" w:rsidP="00981775">
      <w:pPr>
        <w:pStyle w:val="TextoNormalNegritaCursivandice"/>
      </w:pPr>
      <w:r>
        <w:t>Ley del Parlamento de Canarias 2/2003, de 30 de enero. Vivienda de Canarias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35" w:history="1">
        <w:r w:rsidRPr="00981775">
          <w:rPr>
            <w:rStyle w:val="TextoNormalCaracter"/>
          </w:rPr>
          <w:t>135/2015</w:t>
        </w:r>
      </w:hyperlink>
      <w:r>
        <w:t>, f. 1, VP.</w:t>
      </w:r>
    </w:p>
    <w:p w:rsidR="00981775" w:rsidRDefault="00981775" w:rsidP="00981775">
      <w:pPr>
        <w:pStyle w:val="SangriaFrancesaArticulo"/>
      </w:pPr>
      <w:r w:rsidRPr="00981775">
        <w:rPr>
          <w:rStyle w:val="TextoNormalNegritaCaracter"/>
        </w:rPr>
        <w:t>Artículo 1.2</w:t>
      </w:r>
      <w:r>
        <w:t xml:space="preserve"> (redactado por la Ley del Parlamento de Canarias 2/2014, de 20 de junio)</w:t>
      </w:r>
      <w:r w:rsidRPr="00981775">
        <w:rPr>
          <w:rStyle w:val="TextoNormalNegritaCaracter"/>
        </w:rPr>
        <w:t>.</w:t>
      </w:r>
      <w:r w:rsidRPr="00981775">
        <w:rPr>
          <w:rStyle w:val="TextoNormalCaracter"/>
        </w:rPr>
        <w:t>-</w:t>
      </w:r>
      <w:r>
        <w:t xml:space="preserve"> Auto </w:t>
      </w:r>
      <w:hyperlink w:anchor="AUTO_2015_135" w:history="1">
        <w:r w:rsidRPr="00981775">
          <w:rPr>
            <w:rStyle w:val="TextoNormalCaracter"/>
          </w:rPr>
          <w:t>135/2015</w:t>
        </w:r>
      </w:hyperlink>
      <w:r>
        <w:t>, f. 1.</w:t>
      </w:r>
    </w:p>
    <w:p w:rsidR="00981775" w:rsidRDefault="00981775" w:rsidP="00981775">
      <w:pPr>
        <w:pStyle w:val="SangriaFrancesaArticulo"/>
      </w:pPr>
      <w:r w:rsidRPr="00981775">
        <w:rPr>
          <w:rStyle w:val="TextoNormalNegritaCaracter"/>
        </w:rPr>
        <w:t>Artículo 4 g)</w:t>
      </w:r>
      <w:r>
        <w:t xml:space="preserve"> (redactado por la Ley del Parlamento de Canarias 2/2014, de 20 de junio)</w:t>
      </w:r>
      <w:r w:rsidRPr="00981775">
        <w:rPr>
          <w:rStyle w:val="TextoNormalNegritaCaracter"/>
        </w:rPr>
        <w:t>.</w:t>
      </w:r>
      <w:r w:rsidRPr="00981775">
        <w:rPr>
          <w:rStyle w:val="TextoNormalCaracter"/>
        </w:rPr>
        <w:t>-</w:t>
      </w:r>
      <w:r>
        <w:t xml:space="preserve"> Auto </w:t>
      </w:r>
      <w:hyperlink w:anchor="AUTO_2015_135" w:history="1">
        <w:r w:rsidRPr="00981775">
          <w:rPr>
            <w:rStyle w:val="TextoNormalCaracter"/>
          </w:rPr>
          <w:t>135/2015</w:t>
        </w:r>
      </w:hyperlink>
      <w:r>
        <w:t>, f. 1.</w:t>
      </w:r>
    </w:p>
    <w:p w:rsidR="00981775" w:rsidRDefault="00981775" w:rsidP="00981775">
      <w:pPr>
        <w:pStyle w:val="SangriaFrancesaArticulo"/>
      </w:pPr>
      <w:r w:rsidRPr="00981775">
        <w:rPr>
          <w:rStyle w:val="TextoNormalNegritaCaracter"/>
        </w:rPr>
        <w:t>Artículo 8 l)</w:t>
      </w:r>
      <w:r>
        <w:t xml:space="preserve"> (redactado por la Ley del Parlamento de Canarias 2/2014, de 20 de junio)</w:t>
      </w:r>
      <w:r w:rsidRPr="00981775">
        <w:rPr>
          <w:rStyle w:val="TextoNormalNegritaCaracter"/>
        </w:rPr>
        <w:t>.</w:t>
      </w:r>
      <w:r w:rsidRPr="00981775">
        <w:rPr>
          <w:rStyle w:val="TextoNormalCaracter"/>
        </w:rPr>
        <w:t>-</w:t>
      </w:r>
      <w:r>
        <w:t xml:space="preserve"> Auto </w:t>
      </w:r>
      <w:hyperlink w:anchor="AUTO_2015_135" w:history="1">
        <w:r w:rsidRPr="00981775">
          <w:rPr>
            <w:rStyle w:val="TextoNormalCaracter"/>
          </w:rPr>
          <w:t>135/2015</w:t>
        </w:r>
      </w:hyperlink>
      <w:r>
        <w:t>, f. 1.</w:t>
      </w:r>
    </w:p>
    <w:p w:rsidR="00981775" w:rsidRDefault="00981775" w:rsidP="00981775">
      <w:pPr>
        <w:pStyle w:val="SangriaFrancesaArticulo"/>
      </w:pPr>
      <w:r w:rsidRPr="00981775">
        <w:rPr>
          <w:rStyle w:val="TextoNormalNegritaCaracter"/>
        </w:rPr>
        <w:t>Artículo 8 m)</w:t>
      </w:r>
      <w:r>
        <w:t xml:space="preserve"> (redactado por la Ley del Parlamento de Canarias 2/2014, de 20 de junio)</w:t>
      </w:r>
      <w:r w:rsidRPr="00981775">
        <w:rPr>
          <w:rStyle w:val="TextoNormalNegritaCaracter"/>
        </w:rPr>
        <w:t>.</w:t>
      </w:r>
      <w:r w:rsidRPr="00981775">
        <w:rPr>
          <w:rStyle w:val="TextoNormalCaracter"/>
        </w:rPr>
        <w:t>-</w:t>
      </w:r>
      <w:r>
        <w:t xml:space="preserve"> Auto </w:t>
      </w:r>
      <w:hyperlink w:anchor="AUTO_2015_135" w:history="1">
        <w:r w:rsidRPr="00981775">
          <w:rPr>
            <w:rStyle w:val="TextoNormalCaracter"/>
          </w:rPr>
          <w:t>135/2015</w:t>
        </w:r>
      </w:hyperlink>
      <w:r>
        <w:t>, f. 1.</w:t>
      </w:r>
    </w:p>
    <w:p w:rsidR="00981775" w:rsidRDefault="00981775" w:rsidP="00981775">
      <w:pPr>
        <w:pStyle w:val="SangriaFrancesaArticulo"/>
      </w:pPr>
      <w:r w:rsidRPr="00981775">
        <w:rPr>
          <w:rStyle w:val="TextoNormalNegritaCaracter"/>
        </w:rPr>
        <w:t>Artículo 8 n)</w:t>
      </w:r>
      <w:r>
        <w:t xml:space="preserve"> (redactado por la Ley del Parlamento de Canarias 2/2014, de 20 de junio)</w:t>
      </w:r>
      <w:r w:rsidRPr="00981775">
        <w:rPr>
          <w:rStyle w:val="TextoNormalNegritaCaracter"/>
        </w:rPr>
        <w:t>.</w:t>
      </w:r>
      <w:r w:rsidRPr="00981775">
        <w:rPr>
          <w:rStyle w:val="TextoNormalCaracter"/>
        </w:rPr>
        <w:t>-</w:t>
      </w:r>
      <w:r>
        <w:t xml:space="preserve"> Auto </w:t>
      </w:r>
      <w:hyperlink w:anchor="AUTO_2015_135" w:history="1">
        <w:r w:rsidRPr="00981775">
          <w:rPr>
            <w:rStyle w:val="TextoNormalCaracter"/>
          </w:rPr>
          <w:t>135/2015</w:t>
        </w:r>
      </w:hyperlink>
      <w:r>
        <w:t>, f. 1.</w:t>
      </w:r>
    </w:p>
    <w:p w:rsidR="00981775" w:rsidRDefault="00981775" w:rsidP="00981775">
      <w:pPr>
        <w:pStyle w:val="SangriaFrancesaArticulo"/>
      </w:pPr>
      <w:r w:rsidRPr="00981775">
        <w:rPr>
          <w:rStyle w:val="TextoNormalNegritaCaracter"/>
        </w:rPr>
        <w:t>Artículo 18.8</w:t>
      </w:r>
      <w:r>
        <w:t xml:space="preserve"> (redactado por la Ley del Parlamento de Canarias 2/2014, de 20 de junio)</w:t>
      </w:r>
      <w:r w:rsidRPr="00981775">
        <w:rPr>
          <w:rStyle w:val="TextoNormalNegritaCaracter"/>
        </w:rPr>
        <w:t>.</w:t>
      </w:r>
      <w:r w:rsidRPr="00981775">
        <w:rPr>
          <w:rStyle w:val="TextoNormalCaracter"/>
        </w:rPr>
        <w:t>-</w:t>
      </w:r>
      <w:r>
        <w:t xml:space="preserve"> Auto </w:t>
      </w:r>
      <w:hyperlink w:anchor="AUTO_2015_135" w:history="1">
        <w:r w:rsidRPr="00981775">
          <w:rPr>
            <w:rStyle w:val="TextoNormalCaracter"/>
          </w:rPr>
          <w:t>135/2015</w:t>
        </w:r>
      </w:hyperlink>
      <w:r>
        <w:t>, f. 1.</w:t>
      </w:r>
    </w:p>
    <w:p w:rsidR="00981775" w:rsidRDefault="00981775" w:rsidP="00981775">
      <w:pPr>
        <w:pStyle w:val="SangriaFrancesaArticulo"/>
      </w:pPr>
      <w:r w:rsidRPr="00981775">
        <w:rPr>
          <w:rStyle w:val="TextoNormalNegritaCaracter"/>
        </w:rPr>
        <w:t>Artículo 77 bis</w:t>
      </w:r>
      <w:r>
        <w:t xml:space="preserve"> (redactado por la Ley del Parlamento de Canarias 2/2014, de 20 de junio)</w:t>
      </w:r>
      <w:r w:rsidRPr="00981775">
        <w:rPr>
          <w:rStyle w:val="TextoNormalNegritaCaracter"/>
        </w:rPr>
        <w:t>.</w:t>
      </w:r>
      <w:r w:rsidRPr="00981775">
        <w:rPr>
          <w:rStyle w:val="TextoNormalCaracter"/>
        </w:rPr>
        <w:t>-</w:t>
      </w:r>
      <w:r>
        <w:t xml:space="preserve"> Auto </w:t>
      </w:r>
      <w:hyperlink w:anchor="AUTO_2015_135" w:history="1">
        <w:r w:rsidRPr="00981775">
          <w:rPr>
            <w:rStyle w:val="TextoNormalCaracter"/>
          </w:rPr>
          <w:t>135/2015</w:t>
        </w:r>
      </w:hyperlink>
      <w:r>
        <w:t>, f. 1.</w:t>
      </w:r>
    </w:p>
    <w:p w:rsidR="00981775" w:rsidRDefault="00981775" w:rsidP="00981775">
      <w:pPr>
        <w:pStyle w:val="SangriaFrancesaArticulo"/>
      </w:pPr>
      <w:r w:rsidRPr="00981775">
        <w:rPr>
          <w:rStyle w:val="TextoNormalNegritaCaracter"/>
        </w:rPr>
        <w:t>Artículo 78 f)</w:t>
      </w:r>
      <w:r>
        <w:t xml:space="preserve"> (redactado por la Ley del Parlamento de Canarias 2/2014, de 20 de junio)</w:t>
      </w:r>
      <w:r w:rsidRPr="00981775">
        <w:rPr>
          <w:rStyle w:val="TextoNormalNegritaCaracter"/>
        </w:rPr>
        <w:t>.</w:t>
      </w:r>
      <w:r w:rsidRPr="00981775">
        <w:rPr>
          <w:rStyle w:val="TextoNormalCaracter"/>
        </w:rPr>
        <w:t>-</w:t>
      </w:r>
      <w:r>
        <w:t xml:space="preserve"> Auto </w:t>
      </w:r>
      <w:hyperlink w:anchor="AUTO_2015_135" w:history="1">
        <w:r w:rsidRPr="00981775">
          <w:rPr>
            <w:rStyle w:val="TextoNormalCaracter"/>
          </w:rPr>
          <w:t>135/2015</w:t>
        </w:r>
      </w:hyperlink>
      <w:r>
        <w:t>, f. 1.</w:t>
      </w:r>
    </w:p>
    <w:p w:rsidR="00981775" w:rsidRDefault="00981775" w:rsidP="00981775">
      <w:pPr>
        <w:pStyle w:val="SangriaFrancesaArticulo"/>
      </w:pPr>
      <w:r w:rsidRPr="00981775">
        <w:rPr>
          <w:rStyle w:val="TextoNormalNegritaCaracter"/>
        </w:rPr>
        <w:t>Artículos 80 a 98</w:t>
      </w:r>
      <w:r>
        <w:t xml:space="preserve"> (redactado por la Ley del Parlamento de Canarias 2/2014, de 20 de junio)</w:t>
      </w:r>
      <w:r w:rsidRPr="00981775">
        <w:rPr>
          <w:rStyle w:val="TextoNormalNegritaCaracter"/>
        </w:rPr>
        <w:t>.</w:t>
      </w:r>
      <w:r w:rsidRPr="00981775">
        <w:rPr>
          <w:rStyle w:val="TextoNormalCaracter"/>
        </w:rPr>
        <w:t>-</w:t>
      </w:r>
      <w:r>
        <w:t xml:space="preserve"> Auto </w:t>
      </w:r>
      <w:hyperlink w:anchor="AUTO_2015_135" w:history="1">
        <w:r w:rsidRPr="00981775">
          <w:rPr>
            <w:rStyle w:val="TextoNormalCaracter"/>
          </w:rPr>
          <w:t>135/2015</w:t>
        </w:r>
      </w:hyperlink>
      <w:r>
        <w:t>, f. 1.</w:t>
      </w:r>
    </w:p>
    <w:p w:rsidR="00981775" w:rsidRDefault="00981775" w:rsidP="00981775">
      <w:pPr>
        <w:pStyle w:val="SangriaFrancesaArticulo"/>
      </w:pPr>
      <w:r w:rsidRPr="00981775">
        <w:rPr>
          <w:rStyle w:val="TextoNormalNegritaCaracter"/>
        </w:rPr>
        <w:t>Artículo 99 e)</w:t>
      </w:r>
      <w:r>
        <w:t xml:space="preserve"> (redactado por la Ley del Parlamento de Canarias 2/2014, de 20 de junio)</w:t>
      </w:r>
      <w:r w:rsidRPr="00981775">
        <w:rPr>
          <w:rStyle w:val="TextoNormalNegritaCaracter"/>
        </w:rPr>
        <w:t>.</w:t>
      </w:r>
      <w:r w:rsidRPr="00981775">
        <w:rPr>
          <w:rStyle w:val="TextoNormalCaracter"/>
        </w:rPr>
        <w:t>-</w:t>
      </w:r>
      <w:r>
        <w:t xml:space="preserve"> Auto </w:t>
      </w:r>
      <w:hyperlink w:anchor="AUTO_2015_135" w:history="1">
        <w:r w:rsidRPr="00981775">
          <w:rPr>
            <w:rStyle w:val="TextoNormalCaracter"/>
          </w:rPr>
          <w:t>135/2015</w:t>
        </w:r>
      </w:hyperlink>
      <w:r>
        <w:t>, f. 1.</w:t>
      </w:r>
    </w:p>
    <w:p w:rsidR="00981775" w:rsidRDefault="00981775" w:rsidP="00981775">
      <w:pPr>
        <w:pStyle w:val="SangriaFrancesaArticulo"/>
      </w:pPr>
      <w:r w:rsidRPr="00981775">
        <w:rPr>
          <w:rStyle w:val="TextoNormalNegritaCaracter"/>
        </w:rPr>
        <w:t>Artículo 106 i)</w:t>
      </w:r>
      <w:r>
        <w:t xml:space="preserve"> (redactado por la Ley del Parlamento de Canarias 2/2014, de 20 de junio)</w:t>
      </w:r>
      <w:r w:rsidRPr="00981775">
        <w:rPr>
          <w:rStyle w:val="TextoNormalNegritaCaracter"/>
        </w:rPr>
        <w:t>.</w:t>
      </w:r>
      <w:r w:rsidRPr="00981775">
        <w:rPr>
          <w:rStyle w:val="TextoNormalCaracter"/>
        </w:rPr>
        <w:t>-</w:t>
      </w:r>
      <w:r>
        <w:t xml:space="preserve"> Auto </w:t>
      </w:r>
      <w:hyperlink w:anchor="AUTO_2015_135" w:history="1">
        <w:r w:rsidRPr="00981775">
          <w:rPr>
            <w:rStyle w:val="TextoNormalCaracter"/>
          </w:rPr>
          <w:t>135/2015</w:t>
        </w:r>
      </w:hyperlink>
      <w:r>
        <w:t>, f. 1.</w:t>
      </w:r>
    </w:p>
    <w:p w:rsidR="00981775" w:rsidRDefault="00981775" w:rsidP="00981775">
      <w:pPr>
        <w:pStyle w:val="SangriaFrancesaArticulo"/>
      </w:pPr>
    </w:p>
    <w:p w:rsidR="00981775" w:rsidRDefault="00981775" w:rsidP="00981775">
      <w:pPr>
        <w:pStyle w:val="TextoNormalNegritaCursivandice"/>
      </w:pPr>
      <w:r>
        <w:t>Ley del Parlamento de Canarias 6/2009, de 6 de mayo. Medidas urgentes en materia de ordenación territorial para la dinamización sectorial y la ordenación del turismo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84" w:history="1">
        <w:r w:rsidRPr="00981775">
          <w:rPr>
            <w:rStyle w:val="TextoNormalCaracter"/>
          </w:rPr>
          <w:t>184/2015</w:t>
        </w:r>
      </w:hyperlink>
      <w:r>
        <w:t>, f. 3.</w:t>
      </w:r>
    </w:p>
    <w:p w:rsidR="00981775" w:rsidRDefault="00981775" w:rsidP="00981775">
      <w:pPr>
        <w:pStyle w:val="SangriaFrancesaArticulo"/>
      </w:pPr>
      <w:r w:rsidRPr="00981775">
        <w:rPr>
          <w:rStyle w:val="TextoNormalNegritaCaracter"/>
        </w:rPr>
        <w:t>Artículo 15.</w:t>
      </w:r>
      <w:r w:rsidRPr="00981775">
        <w:rPr>
          <w:rStyle w:val="TextoNormalCaracter"/>
        </w:rPr>
        <w:t>-</w:t>
      </w:r>
      <w:r>
        <w:t xml:space="preserve"> Autos </w:t>
      </w:r>
      <w:hyperlink w:anchor="AUTO_2015_184" w:history="1">
        <w:r w:rsidRPr="00981775">
          <w:rPr>
            <w:rStyle w:val="TextoNormalCaracter"/>
          </w:rPr>
          <w:t>184/2015</w:t>
        </w:r>
      </w:hyperlink>
      <w:r>
        <w:t xml:space="preserve">, ff. 2, 3; </w:t>
      </w:r>
      <w:hyperlink w:anchor="AUTO_2015_193" w:history="1">
        <w:r w:rsidRPr="00981775">
          <w:rPr>
            <w:rStyle w:val="TextoNormalCaracter"/>
          </w:rPr>
          <w:t>193/2015</w:t>
        </w:r>
      </w:hyperlink>
      <w:r>
        <w:t xml:space="preserve">, ff. 2, 3; </w:t>
      </w:r>
      <w:hyperlink w:anchor="AUTO_2015_194" w:history="1">
        <w:r w:rsidRPr="00981775">
          <w:rPr>
            <w:rStyle w:val="TextoNormalCaracter"/>
          </w:rPr>
          <w:t>194/2015</w:t>
        </w:r>
      </w:hyperlink>
      <w:r>
        <w:t>, ff. 1 a 3.</w:t>
      </w:r>
    </w:p>
    <w:p w:rsidR="00981775" w:rsidRDefault="00981775" w:rsidP="00981775">
      <w:pPr>
        <w:pStyle w:val="SangriaFrancesaArticulo"/>
      </w:pPr>
      <w:r w:rsidRPr="00981775">
        <w:rPr>
          <w:rStyle w:val="TextoNormalNegritaCaracter"/>
        </w:rPr>
        <w:t>Artículo 15.1.</w:t>
      </w:r>
      <w:r w:rsidRPr="00981775">
        <w:rPr>
          <w:rStyle w:val="TextoNormalCaracter"/>
        </w:rPr>
        <w:t>-</w:t>
      </w:r>
      <w:r>
        <w:t xml:space="preserve"> Autos </w:t>
      </w:r>
      <w:hyperlink w:anchor="AUTO_2015_184" w:history="1">
        <w:r w:rsidRPr="00981775">
          <w:rPr>
            <w:rStyle w:val="TextoNormalCaracter"/>
          </w:rPr>
          <w:t>184/2015</w:t>
        </w:r>
      </w:hyperlink>
      <w:r>
        <w:t xml:space="preserve">, ff. 1 a 3; </w:t>
      </w:r>
      <w:hyperlink w:anchor="AUTO_2015_193" w:history="1">
        <w:r w:rsidRPr="00981775">
          <w:rPr>
            <w:rStyle w:val="TextoNormalCaracter"/>
          </w:rPr>
          <w:t>193/2015</w:t>
        </w:r>
      </w:hyperlink>
      <w:r>
        <w:t xml:space="preserve">, ff. 1 a 3; </w:t>
      </w:r>
      <w:hyperlink w:anchor="AUTO_2015_194" w:history="1">
        <w:r w:rsidRPr="00981775">
          <w:rPr>
            <w:rStyle w:val="TextoNormalCaracter"/>
          </w:rPr>
          <w:t>194/2015</w:t>
        </w:r>
      </w:hyperlink>
      <w:r>
        <w:t>, ff. 1 a 3.</w:t>
      </w:r>
    </w:p>
    <w:p w:rsidR="00981775" w:rsidRDefault="00981775" w:rsidP="00981775">
      <w:pPr>
        <w:pStyle w:val="SangriaFrancesaArticulo"/>
      </w:pPr>
      <w:r w:rsidRPr="00981775">
        <w:rPr>
          <w:rStyle w:val="TextoNormalNegritaCaracter"/>
        </w:rPr>
        <w:t>Artículo 15.3.</w:t>
      </w:r>
      <w:r w:rsidRPr="00981775">
        <w:rPr>
          <w:rStyle w:val="TextoNormalCaracter"/>
        </w:rPr>
        <w:t>-</w:t>
      </w:r>
      <w:r>
        <w:t xml:space="preserve"> Autos </w:t>
      </w:r>
      <w:hyperlink w:anchor="AUTO_2015_184" w:history="1">
        <w:r w:rsidRPr="00981775">
          <w:rPr>
            <w:rStyle w:val="TextoNormalCaracter"/>
          </w:rPr>
          <w:t>184/2015</w:t>
        </w:r>
      </w:hyperlink>
      <w:r>
        <w:t xml:space="preserve">, ff. 1 a 3; </w:t>
      </w:r>
      <w:hyperlink w:anchor="AUTO_2015_193" w:history="1">
        <w:r w:rsidRPr="00981775">
          <w:rPr>
            <w:rStyle w:val="TextoNormalCaracter"/>
          </w:rPr>
          <w:t>193/2015</w:t>
        </w:r>
      </w:hyperlink>
      <w:r>
        <w:t xml:space="preserve">, ff. 1 a 3; </w:t>
      </w:r>
      <w:hyperlink w:anchor="AUTO_2015_194" w:history="1">
        <w:r w:rsidRPr="00981775">
          <w:rPr>
            <w:rStyle w:val="TextoNormalCaracter"/>
          </w:rPr>
          <w:t>194/2015</w:t>
        </w:r>
      </w:hyperlink>
      <w:r>
        <w:t>, ff. 1 a 3.</w:t>
      </w:r>
    </w:p>
    <w:p w:rsidR="00981775" w:rsidRDefault="00981775" w:rsidP="00981775">
      <w:pPr>
        <w:pStyle w:val="SangriaFrancesaArticulo"/>
      </w:pPr>
      <w:r w:rsidRPr="00981775">
        <w:rPr>
          <w:rStyle w:val="TextoNormalNegritaCaracter"/>
        </w:rPr>
        <w:t>Artículo 15.4.</w:t>
      </w:r>
      <w:r w:rsidRPr="00981775">
        <w:rPr>
          <w:rStyle w:val="TextoNormalCaracter"/>
        </w:rPr>
        <w:t>-</w:t>
      </w:r>
      <w:r>
        <w:t xml:space="preserve"> Autos </w:t>
      </w:r>
      <w:hyperlink w:anchor="AUTO_2015_184" w:history="1">
        <w:r w:rsidRPr="00981775">
          <w:rPr>
            <w:rStyle w:val="TextoNormalCaracter"/>
          </w:rPr>
          <w:t>184/2015</w:t>
        </w:r>
      </w:hyperlink>
      <w:r>
        <w:t xml:space="preserve">, ff. 1 a 4; </w:t>
      </w:r>
      <w:hyperlink w:anchor="AUTO_2015_193" w:history="1">
        <w:r w:rsidRPr="00981775">
          <w:rPr>
            <w:rStyle w:val="TextoNormalCaracter"/>
          </w:rPr>
          <w:t>193/2015</w:t>
        </w:r>
      </w:hyperlink>
      <w:r>
        <w:t xml:space="preserve">, ff. 1 a 3; </w:t>
      </w:r>
      <w:hyperlink w:anchor="AUTO_2015_194" w:history="1">
        <w:r w:rsidRPr="00981775">
          <w:rPr>
            <w:rStyle w:val="TextoNormalCaracter"/>
          </w:rPr>
          <w:t>194/2015</w:t>
        </w:r>
      </w:hyperlink>
      <w:r>
        <w:t>, ff. 1 a 3.</w:t>
      </w:r>
    </w:p>
    <w:p w:rsidR="00981775" w:rsidRDefault="00981775" w:rsidP="00981775">
      <w:pPr>
        <w:pStyle w:val="SangriaFrancesaArticulo"/>
      </w:pPr>
    </w:p>
    <w:p w:rsidR="00981775" w:rsidRDefault="00981775" w:rsidP="00981775">
      <w:pPr>
        <w:pStyle w:val="TextoNormalNegritaCursivandice"/>
      </w:pPr>
      <w:r>
        <w:t>Ley del Parlamento de Canarias 11/2010, de 30 de diciembre. Presupuestos generales de la Comunidad Autónoma de Canarias para 2011</w:t>
      </w:r>
    </w:p>
    <w:p w:rsidR="00981775" w:rsidRDefault="00981775" w:rsidP="00981775">
      <w:pPr>
        <w:pStyle w:val="SangriaFrancesaArticulo"/>
      </w:pPr>
      <w:r w:rsidRPr="00981775">
        <w:rPr>
          <w:rStyle w:val="TextoNormalNegritaCaracter"/>
        </w:rPr>
        <w:t>Disposición adicional vigesimooctava, apartado 2 a).</w:t>
      </w:r>
      <w:r w:rsidRPr="00981775">
        <w:rPr>
          <w:rStyle w:val="TextoNormalCaracter"/>
        </w:rPr>
        <w:t>-</w:t>
      </w:r>
      <w:r>
        <w:t xml:space="preserve"> Autos </w:t>
      </w:r>
      <w:hyperlink w:anchor="AUTO_2015_228" w:history="1">
        <w:r w:rsidRPr="00981775">
          <w:rPr>
            <w:rStyle w:val="TextoNormalCaracter"/>
          </w:rPr>
          <w:t>228/2015</w:t>
        </w:r>
      </w:hyperlink>
      <w:r>
        <w:t xml:space="preserve">, f. 1; </w:t>
      </w:r>
      <w:hyperlink w:anchor="AUTO_2015_229" w:history="1">
        <w:r w:rsidRPr="00981775">
          <w:rPr>
            <w:rStyle w:val="TextoNormalCaracter"/>
          </w:rPr>
          <w:t>229/2015</w:t>
        </w:r>
      </w:hyperlink>
      <w:r>
        <w:t>, f. 1.</w:t>
      </w:r>
    </w:p>
    <w:p w:rsidR="00981775" w:rsidRDefault="00981775" w:rsidP="00981775">
      <w:pPr>
        <w:pStyle w:val="SangriaFrancesaArticulo"/>
      </w:pPr>
    </w:p>
    <w:p w:rsidR="00981775" w:rsidRDefault="00981775" w:rsidP="00981775">
      <w:pPr>
        <w:pStyle w:val="TextoNormalNegritaCursivandice"/>
      </w:pPr>
      <w:r>
        <w:t>Ley del Parlamento de Canarias 2/2013, de 29 de mayo. Renovación y modernización turística de Canarias</w:t>
      </w:r>
    </w:p>
    <w:p w:rsidR="00981775" w:rsidRDefault="00981775" w:rsidP="00981775">
      <w:pPr>
        <w:pStyle w:val="SangriaFrancesaArticulo"/>
      </w:pPr>
      <w:r w:rsidRPr="00981775">
        <w:rPr>
          <w:rStyle w:val="TextoNormalNegritaCaracter"/>
        </w:rPr>
        <w:t>Artículo 4.1.</w:t>
      </w:r>
      <w:r w:rsidRPr="00981775">
        <w:rPr>
          <w:rStyle w:val="TextoNormalCaracter"/>
        </w:rPr>
        <w:t>-</w:t>
      </w:r>
      <w:r>
        <w:t xml:space="preserve"> Sentencia </w:t>
      </w:r>
      <w:hyperlink w:anchor="SENTENCIA_2015_209" w:history="1">
        <w:r w:rsidRPr="00981775">
          <w:rPr>
            <w:rStyle w:val="TextoNormalCaracter"/>
          </w:rPr>
          <w:t>209/2015</w:t>
        </w:r>
      </w:hyperlink>
      <w:r>
        <w:t>, ff. 4, 5.</w:t>
      </w:r>
    </w:p>
    <w:p w:rsidR="00981775" w:rsidRDefault="00981775" w:rsidP="00981775">
      <w:pPr>
        <w:pStyle w:val="SangriaFrancesaArticulo"/>
      </w:pPr>
      <w:r w:rsidRPr="00981775">
        <w:rPr>
          <w:rStyle w:val="TextoNormalNegritaCaracter"/>
        </w:rPr>
        <w:t>Artículo 4.2.</w:t>
      </w:r>
      <w:r w:rsidRPr="00981775">
        <w:rPr>
          <w:rStyle w:val="TextoNormalCaracter"/>
        </w:rPr>
        <w:t>-</w:t>
      </w:r>
      <w:r>
        <w:t xml:space="preserve"> Sentencia </w:t>
      </w:r>
      <w:hyperlink w:anchor="SENTENCIA_2015_209" w:history="1">
        <w:r w:rsidRPr="00981775">
          <w:rPr>
            <w:rStyle w:val="TextoNormalCaracter"/>
          </w:rPr>
          <w:t>209/2015</w:t>
        </w:r>
      </w:hyperlink>
      <w:r>
        <w:t>, f. 5.</w:t>
      </w:r>
    </w:p>
    <w:p w:rsidR="00981775" w:rsidRDefault="00981775" w:rsidP="00981775">
      <w:pPr>
        <w:pStyle w:val="SangriaFrancesaArticulo"/>
      </w:pPr>
      <w:r w:rsidRPr="00981775">
        <w:rPr>
          <w:rStyle w:val="TextoNormalNegritaCaracter"/>
        </w:rPr>
        <w:t>Artículo 4.2 a).</w:t>
      </w:r>
      <w:r w:rsidRPr="00981775">
        <w:rPr>
          <w:rStyle w:val="TextoNormalCaracter"/>
        </w:rPr>
        <w:t>-</w:t>
      </w:r>
      <w:r>
        <w:t xml:space="preserve"> Sentencia </w:t>
      </w:r>
      <w:hyperlink w:anchor="SENTENCIA_2015_209" w:history="1">
        <w:r w:rsidRPr="00981775">
          <w:rPr>
            <w:rStyle w:val="TextoNormalCaracter"/>
          </w:rPr>
          <w:t>209/2015</w:t>
        </w:r>
      </w:hyperlink>
      <w:r>
        <w:t>, ff. 1 a 6.</w:t>
      </w:r>
    </w:p>
    <w:p w:rsidR="00981775" w:rsidRDefault="00981775" w:rsidP="00981775">
      <w:pPr>
        <w:pStyle w:val="SangriaFrancesaArticulo"/>
      </w:pPr>
      <w:r w:rsidRPr="00981775">
        <w:rPr>
          <w:rStyle w:val="TextoNormalNegritaCaracter"/>
        </w:rPr>
        <w:t>Artículo 4.2 a)</w:t>
      </w:r>
      <w:r>
        <w:t xml:space="preserve"> (redactado por la Ley 9/2015, de 27 de abril)</w:t>
      </w:r>
      <w:r w:rsidRPr="00981775">
        <w:rPr>
          <w:rStyle w:val="TextoNormalNegritaCaracter"/>
        </w:rPr>
        <w:t>.</w:t>
      </w:r>
      <w:r w:rsidRPr="00981775">
        <w:rPr>
          <w:rStyle w:val="TextoNormalCaracter"/>
        </w:rPr>
        <w:t>-</w:t>
      </w:r>
      <w:r>
        <w:t xml:space="preserve"> Sentencia </w:t>
      </w:r>
      <w:hyperlink w:anchor="SENTENCIA_2015_209" w:history="1">
        <w:r w:rsidRPr="00981775">
          <w:rPr>
            <w:rStyle w:val="TextoNormalCaracter"/>
          </w:rPr>
          <w:t>209/2015</w:t>
        </w:r>
      </w:hyperlink>
      <w:r>
        <w:t>, f. 2.</w:t>
      </w:r>
    </w:p>
    <w:p w:rsidR="00981775" w:rsidRDefault="00981775" w:rsidP="00981775">
      <w:pPr>
        <w:pStyle w:val="SangriaFrancesaArticulo"/>
      </w:pPr>
      <w:r w:rsidRPr="00981775">
        <w:rPr>
          <w:rStyle w:val="TextoNormalNegritaCaracter"/>
        </w:rPr>
        <w:t>Artículo 4.2 c).</w:t>
      </w:r>
      <w:r w:rsidRPr="00981775">
        <w:rPr>
          <w:rStyle w:val="TextoNormalCaracter"/>
        </w:rPr>
        <w:t>-</w:t>
      </w:r>
      <w:r>
        <w:t xml:space="preserve"> Sentencia </w:t>
      </w:r>
      <w:hyperlink w:anchor="SENTENCIA_2015_209" w:history="1">
        <w:r w:rsidRPr="00981775">
          <w:rPr>
            <w:rStyle w:val="TextoNormalCaracter"/>
          </w:rPr>
          <w:t>209/2015</w:t>
        </w:r>
      </w:hyperlink>
      <w:r>
        <w:t>, ff. 1 a 6.</w:t>
      </w:r>
    </w:p>
    <w:p w:rsidR="00981775" w:rsidRDefault="00981775" w:rsidP="00981775">
      <w:pPr>
        <w:pStyle w:val="SangriaFrancesaArticulo"/>
      </w:pPr>
      <w:r w:rsidRPr="00981775">
        <w:rPr>
          <w:rStyle w:val="TextoNormalNegritaCaracter"/>
        </w:rPr>
        <w:t>Artículo 4.2 c)</w:t>
      </w:r>
      <w:r>
        <w:t xml:space="preserve"> (redactado po ra Ley 9/2015, de 27 de abril)</w:t>
      </w:r>
      <w:r w:rsidRPr="00981775">
        <w:rPr>
          <w:rStyle w:val="TextoNormalNegritaCaracter"/>
        </w:rPr>
        <w:t>.</w:t>
      </w:r>
      <w:r w:rsidRPr="00981775">
        <w:rPr>
          <w:rStyle w:val="TextoNormalCaracter"/>
        </w:rPr>
        <w:t>-</w:t>
      </w:r>
      <w:r>
        <w:t xml:space="preserve"> Sentencia </w:t>
      </w:r>
      <w:hyperlink w:anchor="SENTENCIA_2015_209" w:history="1">
        <w:r w:rsidRPr="00981775">
          <w:rPr>
            <w:rStyle w:val="TextoNormalCaracter"/>
          </w:rPr>
          <w:t>209/2015</w:t>
        </w:r>
      </w:hyperlink>
      <w:r>
        <w:t>, f. 2.</w:t>
      </w:r>
    </w:p>
    <w:p w:rsidR="00981775" w:rsidRDefault="00981775" w:rsidP="00981775">
      <w:pPr>
        <w:pStyle w:val="SangriaFrancesaArticulo"/>
      </w:pPr>
      <w:r w:rsidRPr="00981775">
        <w:rPr>
          <w:rStyle w:val="TextoNormalNegritaCaracter"/>
        </w:rPr>
        <w:t>Artículo 4.2.1.</w:t>
      </w:r>
      <w:r w:rsidRPr="00981775">
        <w:rPr>
          <w:rStyle w:val="TextoNormalCaracter"/>
        </w:rPr>
        <w:t>-</w:t>
      </w:r>
      <w:r>
        <w:t xml:space="preserve"> Sentencia </w:t>
      </w:r>
      <w:hyperlink w:anchor="SENTENCIA_2015_209" w:history="1">
        <w:r w:rsidRPr="00981775">
          <w:rPr>
            <w:rStyle w:val="TextoNormalCaracter"/>
          </w:rPr>
          <w:t>209/2015</w:t>
        </w:r>
      </w:hyperlink>
      <w:r>
        <w:t>, ff. 1, 5.</w:t>
      </w:r>
    </w:p>
    <w:p w:rsidR="00981775" w:rsidRDefault="00981775" w:rsidP="00981775">
      <w:pPr>
        <w:pStyle w:val="SangriaFrancesaArticulo"/>
      </w:pPr>
    </w:p>
    <w:p w:rsidR="00981775" w:rsidRDefault="00981775" w:rsidP="00981775">
      <w:pPr>
        <w:pStyle w:val="TextoNormalNegritaCursivandice"/>
      </w:pPr>
      <w:r>
        <w:t>Ley del Parlamento de Canarias 2/2014, de 20 de junio. Modificación de la Ley 2/2003 de 30 de enero, de vivienda de Canarias y de medidas para garantizar el derecho a la vivienda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35" w:history="1">
        <w:r w:rsidRPr="00981775">
          <w:rPr>
            <w:rStyle w:val="TextoNormalCaracter"/>
          </w:rPr>
          <w:t>135/2015</w:t>
        </w:r>
      </w:hyperlink>
      <w:r>
        <w:t>, f. 1, VP.</w:t>
      </w:r>
    </w:p>
    <w:p w:rsidR="00981775" w:rsidRDefault="00981775" w:rsidP="00981775">
      <w:pPr>
        <w:pStyle w:val="SangriaFrancesaArticulo"/>
      </w:pPr>
      <w:r w:rsidRPr="00981775">
        <w:rPr>
          <w:rStyle w:val="TextoNormalNegritaCaracter"/>
        </w:rPr>
        <w:t>Artículo 1.</w:t>
      </w:r>
      <w:r w:rsidRPr="00981775">
        <w:rPr>
          <w:rStyle w:val="TextoNormalCaracter"/>
        </w:rPr>
        <w:t>-</w:t>
      </w:r>
      <w:r>
        <w:t xml:space="preserve"> Auto </w:t>
      </w:r>
      <w:hyperlink w:anchor="AUTO_2015_135" w:history="1">
        <w:r w:rsidRPr="00981775">
          <w:rPr>
            <w:rStyle w:val="TextoNormalCaracter"/>
          </w:rPr>
          <w:t>135/2015</w:t>
        </w:r>
      </w:hyperlink>
      <w:r>
        <w:t>, f. 1.</w:t>
      </w:r>
    </w:p>
    <w:p w:rsidR="00981775" w:rsidRDefault="00981775" w:rsidP="00981775">
      <w:pPr>
        <w:pStyle w:val="SangriaFrancesaArticulo"/>
      </w:pPr>
      <w:r w:rsidRPr="00981775">
        <w:rPr>
          <w:rStyle w:val="TextoNormalNegritaCaracter"/>
        </w:rPr>
        <w:t>Artículo 1.1.</w:t>
      </w:r>
      <w:r w:rsidRPr="00981775">
        <w:rPr>
          <w:rStyle w:val="TextoNormalCaracter"/>
        </w:rPr>
        <w:t>-</w:t>
      </w:r>
      <w:r>
        <w:t xml:space="preserve"> Auto </w:t>
      </w:r>
      <w:hyperlink w:anchor="AUTO_2015_135" w:history="1">
        <w:r w:rsidRPr="00981775">
          <w:rPr>
            <w:rStyle w:val="TextoNormalCaracter"/>
          </w:rPr>
          <w:t>135/2015</w:t>
        </w:r>
      </w:hyperlink>
      <w:r>
        <w:t>, f. 1.</w:t>
      </w:r>
    </w:p>
    <w:p w:rsidR="00981775" w:rsidRDefault="00981775" w:rsidP="00981775">
      <w:pPr>
        <w:pStyle w:val="SangriaFrancesaArticulo"/>
      </w:pPr>
      <w:r w:rsidRPr="00981775">
        <w:rPr>
          <w:rStyle w:val="TextoNormalNegritaCaracter"/>
        </w:rPr>
        <w:t>Artículo 1.4.</w:t>
      </w:r>
      <w:r w:rsidRPr="00981775">
        <w:rPr>
          <w:rStyle w:val="TextoNormalCaracter"/>
        </w:rPr>
        <w:t>-</w:t>
      </w:r>
      <w:r>
        <w:t xml:space="preserve"> Auto </w:t>
      </w:r>
      <w:hyperlink w:anchor="AUTO_2015_135" w:history="1">
        <w:r w:rsidRPr="00981775">
          <w:rPr>
            <w:rStyle w:val="TextoNormalCaracter"/>
          </w:rPr>
          <w:t>135/2015</w:t>
        </w:r>
      </w:hyperlink>
      <w:r>
        <w:t>, f. 1.</w:t>
      </w:r>
    </w:p>
    <w:p w:rsidR="00981775" w:rsidRDefault="00981775" w:rsidP="00981775">
      <w:pPr>
        <w:pStyle w:val="SangriaFrancesaArticulo"/>
      </w:pPr>
      <w:r w:rsidRPr="00981775">
        <w:rPr>
          <w:rStyle w:val="TextoNormalNegritaCaracter"/>
        </w:rPr>
        <w:t>Artículo 1.6.</w:t>
      </w:r>
      <w:r w:rsidRPr="00981775">
        <w:rPr>
          <w:rStyle w:val="TextoNormalCaracter"/>
        </w:rPr>
        <w:t>-</w:t>
      </w:r>
      <w:r>
        <w:t xml:space="preserve"> Auto </w:t>
      </w:r>
      <w:hyperlink w:anchor="AUTO_2015_135" w:history="1">
        <w:r w:rsidRPr="00981775">
          <w:rPr>
            <w:rStyle w:val="TextoNormalCaracter"/>
          </w:rPr>
          <w:t>135/2015</w:t>
        </w:r>
      </w:hyperlink>
      <w:r>
        <w:t>, f. 1.</w:t>
      </w:r>
    </w:p>
    <w:p w:rsidR="00981775" w:rsidRDefault="00981775" w:rsidP="00981775">
      <w:pPr>
        <w:pStyle w:val="SangriaFrancesaArticulo"/>
      </w:pPr>
      <w:r w:rsidRPr="00981775">
        <w:rPr>
          <w:rStyle w:val="TextoNormalNegritaCaracter"/>
        </w:rPr>
        <w:t>Artículo 1.7.</w:t>
      </w:r>
      <w:r w:rsidRPr="00981775">
        <w:rPr>
          <w:rStyle w:val="TextoNormalCaracter"/>
        </w:rPr>
        <w:t>-</w:t>
      </w:r>
      <w:r>
        <w:t xml:space="preserve"> Auto </w:t>
      </w:r>
      <w:hyperlink w:anchor="AUTO_2015_135" w:history="1">
        <w:r w:rsidRPr="00981775">
          <w:rPr>
            <w:rStyle w:val="TextoNormalCaracter"/>
          </w:rPr>
          <w:t>135/2015</w:t>
        </w:r>
      </w:hyperlink>
      <w:r>
        <w:t>, f. 1.</w:t>
      </w:r>
    </w:p>
    <w:p w:rsidR="00981775" w:rsidRDefault="00981775" w:rsidP="00981775">
      <w:pPr>
        <w:pStyle w:val="SangriaFrancesaArticulo"/>
      </w:pPr>
      <w:r w:rsidRPr="00981775">
        <w:rPr>
          <w:rStyle w:val="TextoNormalNegritaCaracter"/>
        </w:rPr>
        <w:t>Artículo 1.23.</w:t>
      </w:r>
      <w:r w:rsidRPr="00981775">
        <w:rPr>
          <w:rStyle w:val="TextoNormalCaracter"/>
        </w:rPr>
        <w:t>-</w:t>
      </w:r>
      <w:r>
        <w:t xml:space="preserve"> Auto </w:t>
      </w:r>
      <w:hyperlink w:anchor="AUTO_2015_135" w:history="1">
        <w:r w:rsidRPr="00981775">
          <w:rPr>
            <w:rStyle w:val="TextoNormalCaracter"/>
          </w:rPr>
          <w:t>135/2015</w:t>
        </w:r>
      </w:hyperlink>
      <w:r>
        <w:t>, f. 1.</w:t>
      </w:r>
    </w:p>
    <w:p w:rsidR="00981775" w:rsidRDefault="00981775" w:rsidP="00981775">
      <w:pPr>
        <w:pStyle w:val="SangriaFrancesaArticulo"/>
      </w:pPr>
      <w:r w:rsidRPr="00981775">
        <w:rPr>
          <w:rStyle w:val="TextoNormalNegritaCaracter"/>
        </w:rPr>
        <w:t>Artículo 1.24.</w:t>
      </w:r>
      <w:r w:rsidRPr="00981775">
        <w:rPr>
          <w:rStyle w:val="TextoNormalCaracter"/>
        </w:rPr>
        <w:t>-</w:t>
      </w:r>
      <w:r>
        <w:t xml:space="preserve"> Auto </w:t>
      </w:r>
      <w:hyperlink w:anchor="AUTO_2015_135" w:history="1">
        <w:r w:rsidRPr="00981775">
          <w:rPr>
            <w:rStyle w:val="TextoNormalCaracter"/>
          </w:rPr>
          <w:t>135/2015</w:t>
        </w:r>
      </w:hyperlink>
      <w:r>
        <w:t>, f. 1.</w:t>
      </w:r>
    </w:p>
    <w:p w:rsidR="00981775" w:rsidRDefault="00981775" w:rsidP="00981775">
      <w:pPr>
        <w:pStyle w:val="SangriaFrancesaArticulo"/>
      </w:pPr>
      <w:r w:rsidRPr="00981775">
        <w:rPr>
          <w:rStyle w:val="TextoNormalNegritaCaracter"/>
        </w:rPr>
        <w:t>Artículo 1.26.</w:t>
      </w:r>
      <w:r w:rsidRPr="00981775">
        <w:rPr>
          <w:rStyle w:val="TextoNormalCaracter"/>
        </w:rPr>
        <w:t>-</w:t>
      </w:r>
      <w:r>
        <w:t xml:space="preserve"> Auto </w:t>
      </w:r>
      <w:hyperlink w:anchor="AUTO_2015_135" w:history="1">
        <w:r w:rsidRPr="00981775">
          <w:rPr>
            <w:rStyle w:val="TextoNormalCaracter"/>
          </w:rPr>
          <w:t>135/2015</w:t>
        </w:r>
      </w:hyperlink>
      <w:r>
        <w:t>, f. 1.</w:t>
      </w:r>
    </w:p>
    <w:p w:rsidR="00981775" w:rsidRDefault="00981775" w:rsidP="00981775">
      <w:pPr>
        <w:pStyle w:val="SangriaFrancesaArticulo"/>
      </w:pPr>
      <w:r w:rsidRPr="00981775">
        <w:rPr>
          <w:rStyle w:val="TextoNormalNegritaCaracter"/>
        </w:rPr>
        <w:t>Artículo 1.27.</w:t>
      </w:r>
      <w:r w:rsidRPr="00981775">
        <w:rPr>
          <w:rStyle w:val="TextoNormalCaracter"/>
        </w:rPr>
        <w:t>-</w:t>
      </w:r>
      <w:r>
        <w:t xml:space="preserve"> Auto </w:t>
      </w:r>
      <w:hyperlink w:anchor="AUTO_2015_135" w:history="1">
        <w:r w:rsidRPr="00981775">
          <w:rPr>
            <w:rStyle w:val="TextoNormalCaracter"/>
          </w:rPr>
          <w:t>135/2015</w:t>
        </w:r>
      </w:hyperlink>
      <w:r>
        <w:t>, f. 1.</w:t>
      </w:r>
    </w:p>
    <w:p w:rsidR="00981775" w:rsidRDefault="00981775" w:rsidP="00981775">
      <w:pPr>
        <w:pStyle w:val="SangriaFrancesaArticulo"/>
      </w:pPr>
      <w:r w:rsidRPr="00981775">
        <w:rPr>
          <w:rStyle w:val="TextoNormalNegritaCaracter"/>
        </w:rPr>
        <w:t>Disposición adicional segunda.</w:t>
      </w:r>
      <w:r w:rsidRPr="00981775">
        <w:rPr>
          <w:rStyle w:val="TextoNormalCaracter"/>
        </w:rPr>
        <w:t>-</w:t>
      </w:r>
      <w:r>
        <w:t xml:space="preserve"> Auto </w:t>
      </w:r>
      <w:hyperlink w:anchor="AUTO_2015_135" w:history="1">
        <w:r w:rsidRPr="00981775">
          <w:rPr>
            <w:rStyle w:val="TextoNormalCaracter"/>
          </w:rPr>
          <w:t>135/2015</w:t>
        </w:r>
      </w:hyperlink>
      <w:r>
        <w:t>, f. 1.</w:t>
      </w:r>
    </w:p>
    <w:p w:rsidR="00981775" w:rsidRDefault="00981775" w:rsidP="00981775">
      <w:pPr>
        <w:pStyle w:val="SangriaFrancesaArticulo"/>
      </w:pPr>
      <w:r w:rsidRPr="00981775">
        <w:rPr>
          <w:rStyle w:val="TextoNormalNegritaCaracter"/>
        </w:rPr>
        <w:t>Disposición adicional cuarta.</w:t>
      </w:r>
      <w:r w:rsidRPr="00981775">
        <w:rPr>
          <w:rStyle w:val="TextoNormalCaracter"/>
        </w:rPr>
        <w:t>-</w:t>
      </w:r>
      <w:r>
        <w:t xml:space="preserve"> Auto </w:t>
      </w:r>
      <w:hyperlink w:anchor="AUTO_2015_135" w:history="1">
        <w:r w:rsidRPr="00981775">
          <w:rPr>
            <w:rStyle w:val="TextoNormalCaracter"/>
          </w:rPr>
          <w:t>135/2015</w:t>
        </w:r>
      </w:hyperlink>
      <w:r>
        <w:t>, f. 1.</w:t>
      </w:r>
    </w:p>
    <w:p w:rsidR="00981775" w:rsidRDefault="00981775" w:rsidP="00981775">
      <w:pPr>
        <w:pStyle w:val="SangriaFrancesaArticulo"/>
      </w:pPr>
    </w:p>
    <w:p w:rsidR="00981775" w:rsidRDefault="00981775" w:rsidP="00981775">
      <w:pPr>
        <w:pStyle w:val="TextoNormalNegritaCursivandice"/>
      </w:pPr>
      <w:r>
        <w:t>Ley del Parlamento de Canarias 7/2015, de 1 de abril. Municipios de Canarias</w:t>
      </w:r>
    </w:p>
    <w:p w:rsidR="00981775" w:rsidRDefault="00981775" w:rsidP="00981775">
      <w:pPr>
        <w:pStyle w:val="SangriaFrancesaArticulo"/>
      </w:pPr>
      <w:r w:rsidRPr="00981775">
        <w:rPr>
          <w:rStyle w:val="TextoNormalNegritaCaracter"/>
        </w:rPr>
        <w:t>Artículo 11.</w:t>
      </w:r>
      <w:r w:rsidRPr="00981775">
        <w:rPr>
          <w:rStyle w:val="TextoNormalCaracter"/>
        </w:rPr>
        <w:t>-</w:t>
      </w:r>
      <w:r>
        <w:t xml:space="preserve"> Autos </w:t>
      </w:r>
      <w:hyperlink w:anchor="AUTO_2015_184" w:history="1">
        <w:r w:rsidRPr="00981775">
          <w:rPr>
            <w:rStyle w:val="TextoNormalCaracter"/>
          </w:rPr>
          <w:t>184/2015</w:t>
        </w:r>
      </w:hyperlink>
      <w:r>
        <w:t xml:space="preserve">, f. 3; </w:t>
      </w:r>
      <w:hyperlink w:anchor="AUTO_2015_193" w:history="1">
        <w:r w:rsidRPr="00981775">
          <w:rPr>
            <w:rStyle w:val="TextoNormalCaracter"/>
          </w:rPr>
          <w:t>193/2015</w:t>
        </w:r>
      </w:hyperlink>
      <w:r>
        <w:t xml:space="preserve">, f. 3; </w:t>
      </w:r>
      <w:hyperlink w:anchor="AUTO_2015_194" w:history="1">
        <w:r w:rsidRPr="00981775">
          <w:rPr>
            <w:rStyle w:val="TextoNormalCaracter"/>
          </w:rPr>
          <w:t>194/2015</w:t>
        </w:r>
      </w:hyperlink>
      <w:r>
        <w:t>, f. 3.</w:t>
      </w:r>
    </w:p>
    <w:p w:rsidR="00981775" w:rsidRDefault="00981775" w:rsidP="00981775">
      <w:pPr>
        <w:pStyle w:val="SangriaFrancesaArticulo"/>
      </w:pPr>
    </w:p>
    <w:p w:rsidR="00981775" w:rsidRDefault="00981775" w:rsidP="00981775">
      <w:pPr>
        <w:pStyle w:val="TextoNormalNegritaCursivandice"/>
      </w:pPr>
      <w:r>
        <w:t>Ley 9/2015, de 27 de abril. Modificación de la Ley 2/2013, de 29 de mayo, de Renovación y Modernización Turística de Canarias, y de otras leyes relativas a la ordenación del territorio, urbanismo, medio ambiente, y asimismo de la Ley 4/2014, de 26 de junio, por la que se modifica la regulación del arbitrio sobre importaciones y entregas de mercancías en las Islas Canarias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09" w:history="1">
        <w:r w:rsidRPr="00981775">
          <w:rPr>
            <w:rStyle w:val="TextoNormalCaracter"/>
          </w:rPr>
          <w:t>209/2015</w:t>
        </w:r>
      </w:hyperlink>
      <w:r>
        <w:t>, f. 2.</w:t>
      </w:r>
    </w:p>
    <w:p w:rsidR="00981775" w:rsidRDefault="00981775" w:rsidP="00981775">
      <w:pPr>
        <w:pStyle w:val="SangriaFrancesaArticulo"/>
      </w:pPr>
      <w:r w:rsidRPr="00981775">
        <w:rPr>
          <w:rStyle w:val="TextoNormalNegritaCaracter"/>
        </w:rPr>
        <w:t>Artículo 1.2.</w:t>
      </w:r>
      <w:r w:rsidRPr="00981775">
        <w:rPr>
          <w:rStyle w:val="TextoNormalCaracter"/>
        </w:rPr>
        <w:t>-</w:t>
      </w:r>
      <w:r>
        <w:t xml:space="preserve"> Sentencia </w:t>
      </w:r>
      <w:hyperlink w:anchor="SENTENCIA_2015_209" w:history="1">
        <w:r w:rsidRPr="00981775">
          <w:rPr>
            <w:rStyle w:val="TextoNormalCaracter"/>
          </w:rPr>
          <w:t>209/2015</w:t>
        </w:r>
      </w:hyperlink>
      <w:r>
        <w:t>, f. 2.</w:t>
      </w:r>
    </w:p>
    <w:p w:rsidR="00981775" w:rsidRDefault="00981775" w:rsidP="00981775">
      <w:pPr>
        <w:pStyle w:val="TextoNormal"/>
      </w:pPr>
    </w:p>
    <w:p w:rsidR="00981775" w:rsidRDefault="00981775" w:rsidP="00981775">
      <w:pPr>
        <w:pStyle w:val="TextoNormalNegritaCentradoSubrayado"/>
        <w:suppressAutoHyphens/>
      </w:pPr>
      <w:r>
        <w:t>J.5.c) Decretos y otras disposiciones reglamentarias</w:t>
      </w:r>
    </w:p>
    <w:p w:rsidR="00981775" w:rsidRDefault="00981775" w:rsidP="00981775">
      <w:pPr>
        <w:pStyle w:val="TextoNormalNegritaCentradoSubrayado"/>
      </w:pPr>
    </w:p>
    <w:p w:rsidR="00981775" w:rsidRDefault="00981775" w:rsidP="00981775">
      <w:pPr>
        <w:pStyle w:val="TextoNormalNegritaCursivandice"/>
      </w:pPr>
      <w:r>
        <w:t>Decreto del Gobierno de Canarias 183/2004, de 21 de diciembre. Aprobación del Reglamento de gestión y ejecución del sistema de planeamiento de Canarias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Autos </w:t>
      </w:r>
      <w:hyperlink w:anchor="AUTO_2015_184" w:history="1">
        <w:r w:rsidRPr="00981775">
          <w:rPr>
            <w:rStyle w:val="TextoNormalCaracter"/>
          </w:rPr>
          <w:t>184/2015</w:t>
        </w:r>
      </w:hyperlink>
      <w:r>
        <w:t xml:space="preserve">, f. 3; </w:t>
      </w:r>
      <w:hyperlink w:anchor="AUTO_2015_193" w:history="1">
        <w:r w:rsidRPr="00981775">
          <w:rPr>
            <w:rStyle w:val="TextoNormalCaracter"/>
          </w:rPr>
          <w:t>193/2015</w:t>
        </w:r>
      </w:hyperlink>
      <w:r>
        <w:t>, f. 3.</w:t>
      </w:r>
    </w:p>
    <w:p w:rsidR="00981775" w:rsidRDefault="00981775" w:rsidP="00981775">
      <w:pPr>
        <w:pStyle w:val="SangriaFrancesaArticulo"/>
      </w:pPr>
    </w:p>
    <w:p w:rsidR="00981775" w:rsidRDefault="00981775" w:rsidP="00981775">
      <w:pPr>
        <w:pStyle w:val="TextoNormalNegritaCursivandice"/>
      </w:pPr>
      <w:r>
        <w:t>Decreto del Gobierno de Canarias 183/2004, de 21 de diciembre. Se aprueba el Reglamento de gestión y ejecución del sistema de planeamiento de Canarias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94" w:history="1">
        <w:r w:rsidRPr="00981775">
          <w:rPr>
            <w:rStyle w:val="TextoNormalCaracter"/>
          </w:rPr>
          <w:t>194/2015</w:t>
        </w:r>
      </w:hyperlink>
      <w:r>
        <w:t>, f. 3.</w:t>
      </w:r>
    </w:p>
    <w:p w:rsidR="00981775" w:rsidRDefault="00981775" w:rsidP="00981775">
      <w:pPr>
        <w:pStyle w:val="SangriaFrancesaArticulo"/>
      </w:pPr>
    </w:p>
    <w:p w:rsidR="00981775" w:rsidRDefault="00981775" w:rsidP="00981775">
      <w:pPr>
        <w:pStyle w:val="TextoNormalNegritaCursivandice"/>
      </w:pPr>
      <w:r>
        <w:t>Decreto del Gobierno de Canarias 142/2010, de 4 de octubre. Reglamento de la actividad turística de alojamiento y se modifica el Decreto 10/2001, de 22 de enero, por el que se regulan los estándares turísticos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09" w:history="1">
        <w:r w:rsidRPr="00981775">
          <w:rPr>
            <w:rStyle w:val="TextoNormalCaracter"/>
          </w:rPr>
          <w:t>209/2015</w:t>
        </w:r>
      </w:hyperlink>
      <w:r>
        <w:t>, f. 5.</w:t>
      </w:r>
    </w:p>
    <w:p w:rsidR="00981775" w:rsidRDefault="00981775" w:rsidP="00981775">
      <w:pPr>
        <w:pStyle w:val="SangriaFrancesaArticulo"/>
      </w:pPr>
    </w:p>
    <w:p w:rsidR="00981775" w:rsidRDefault="00981775" w:rsidP="00981775">
      <w:pPr>
        <w:pStyle w:val="TextoNormalNegritaCursivandice"/>
      </w:pPr>
      <w:r>
        <w:t>Decreto del Gobierno de Canarias 90/2012, de 22 de noviembre. Aprueba el «Plan de modernización, mejora e incremento de la competitividad del sector turístico de SanBartolomé de Tirajana “Maspalomas Costa Canaria” (municipio de San Bartoloméde Tirajana, isla de Gran Canaria)»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Autos </w:t>
      </w:r>
      <w:hyperlink w:anchor="AUTO_2015_184" w:history="1">
        <w:r w:rsidRPr="00981775">
          <w:rPr>
            <w:rStyle w:val="TextoNormalCaracter"/>
          </w:rPr>
          <w:t>184/2015</w:t>
        </w:r>
      </w:hyperlink>
      <w:r>
        <w:t xml:space="preserve">, ff. 2, 3; </w:t>
      </w:r>
      <w:hyperlink w:anchor="AUTO_2015_193" w:history="1">
        <w:r w:rsidRPr="00981775">
          <w:rPr>
            <w:rStyle w:val="TextoNormalCaracter"/>
          </w:rPr>
          <w:t>193/2015</w:t>
        </w:r>
      </w:hyperlink>
      <w:r>
        <w:t xml:space="preserve">, ff. 2, 3; </w:t>
      </w:r>
      <w:hyperlink w:anchor="AUTO_2015_194" w:history="1">
        <w:r w:rsidRPr="00981775">
          <w:rPr>
            <w:rStyle w:val="TextoNormalCaracter"/>
          </w:rPr>
          <w:t>194/2015</w:t>
        </w:r>
      </w:hyperlink>
      <w:r>
        <w:t>, ff. 2, 3.</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J.6) Cantabria</w:t>
      </w:r>
    </w:p>
    <w:p w:rsidR="00981775" w:rsidRDefault="00981775" w:rsidP="00981775">
      <w:pPr>
        <w:pStyle w:val="TextoNormal"/>
      </w:pPr>
    </w:p>
    <w:p w:rsidR="00981775" w:rsidRDefault="00981775" w:rsidP="00981775">
      <w:pPr>
        <w:pStyle w:val="TextoNormalNegritaCentradoSubrayado"/>
        <w:suppressAutoHyphens/>
      </w:pPr>
      <w:r>
        <w:t>J.6.a) Estatuto de Autonomía</w:t>
      </w:r>
    </w:p>
    <w:p w:rsidR="00981775" w:rsidRDefault="00981775" w:rsidP="00981775">
      <w:pPr>
        <w:pStyle w:val="TextoNormalNegritaCentradoSubrayado"/>
      </w:pPr>
    </w:p>
    <w:p w:rsidR="00981775" w:rsidRDefault="00981775" w:rsidP="00981775">
      <w:pPr>
        <w:pStyle w:val="TextoNormalNegritaCursivandice"/>
      </w:pPr>
      <w:r>
        <w:t>Ley Orgánica 8/1981, de 30 de diciembre. Estatuto de Autonomía de Cantabria</w:t>
      </w:r>
    </w:p>
    <w:p w:rsidR="00981775" w:rsidRDefault="00981775" w:rsidP="00981775">
      <w:pPr>
        <w:pStyle w:val="SangriaFrancesaArticulo"/>
      </w:pPr>
      <w:r w:rsidRPr="00981775">
        <w:rPr>
          <w:rStyle w:val="TextoNormalNegritaCaracter"/>
        </w:rPr>
        <w:t>Artículo 24.1.</w:t>
      </w:r>
      <w:r w:rsidRPr="00981775">
        <w:rPr>
          <w:rStyle w:val="TextoNormalCaracter"/>
        </w:rPr>
        <w:t>-</w:t>
      </w:r>
      <w:r>
        <w:t xml:space="preserve"> Sentencia </w:t>
      </w:r>
      <w:hyperlink w:anchor="SENTENCIA_2015_254" w:history="1">
        <w:r w:rsidRPr="00981775">
          <w:rPr>
            <w:rStyle w:val="TextoNormalCaracter"/>
          </w:rPr>
          <w:t>254/2015</w:t>
        </w:r>
      </w:hyperlink>
      <w:r>
        <w:t>, ff. 1, 3.</w:t>
      </w:r>
    </w:p>
    <w:p w:rsidR="00981775" w:rsidRDefault="00981775" w:rsidP="00981775">
      <w:pPr>
        <w:pStyle w:val="SangriaFrancesaArticulo"/>
      </w:pPr>
      <w:r w:rsidRPr="00981775">
        <w:rPr>
          <w:rStyle w:val="TextoNormalNegritaCaracter"/>
        </w:rPr>
        <w:t>Artículo 24.3.</w:t>
      </w:r>
      <w:r w:rsidRPr="00981775">
        <w:rPr>
          <w:rStyle w:val="TextoNormalCaracter"/>
        </w:rPr>
        <w:t>-</w:t>
      </w:r>
      <w:r>
        <w:t xml:space="preserve"> Sentencia </w:t>
      </w:r>
      <w:hyperlink w:anchor="SENTENCIA_2015_254" w:history="1">
        <w:r w:rsidRPr="00981775">
          <w:rPr>
            <w:rStyle w:val="TextoNormalCaracter"/>
          </w:rPr>
          <w:t>254/2015</w:t>
        </w:r>
      </w:hyperlink>
      <w:r>
        <w:t>, f. 1.</w:t>
      </w:r>
    </w:p>
    <w:p w:rsidR="00981775" w:rsidRDefault="00981775" w:rsidP="00981775">
      <w:pPr>
        <w:pStyle w:val="SangriaFrancesaArticulo"/>
      </w:pPr>
      <w:r w:rsidRPr="00981775">
        <w:rPr>
          <w:rStyle w:val="TextoNormalNegritaCaracter"/>
        </w:rPr>
        <w:t>Artículo 25.32.</w:t>
      </w:r>
      <w:r w:rsidRPr="00981775">
        <w:rPr>
          <w:rStyle w:val="TextoNormalCaracter"/>
        </w:rPr>
        <w:t>-</w:t>
      </w:r>
      <w:r>
        <w:t xml:space="preserve"> Sentencia </w:t>
      </w:r>
      <w:hyperlink w:anchor="SENTENCIA_2015_254" w:history="1">
        <w:r w:rsidRPr="00981775">
          <w:rPr>
            <w:rStyle w:val="TextoNormalCaracter"/>
          </w:rPr>
          <w:t>254/2015</w:t>
        </w:r>
      </w:hyperlink>
      <w:r>
        <w:t>, ff. 1, 3.</w:t>
      </w:r>
    </w:p>
    <w:p w:rsidR="00981775" w:rsidRDefault="00981775" w:rsidP="00981775">
      <w:pPr>
        <w:pStyle w:val="TextoNormal"/>
      </w:pPr>
    </w:p>
    <w:p w:rsidR="00981775" w:rsidRDefault="00981775" w:rsidP="00981775">
      <w:pPr>
        <w:pStyle w:val="TextoNormalNegritaCentradoSubrayado"/>
        <w:suppressAutoHyphens/>
      </w:pPr>
      <w:r>
        <w:t>J.6.b) Leyes y disposiciones con fuerza de Ley</w:t>
      </w:r>
    </w:p>
    <w:p w:rsidR="00981775" w:rsidRDefault="00981775" w:rsidP="00981775">
      <w:pPr>
        <w:pStyle w:val="TextoNormalNegritaCentradoSubrayado"/>
      </w:pPr>
    </w:p>
    <w:p w:rsidR="00981775" w:rsidRDefault="00981775" w:rsidP="00981775">
      <w:pPr>
        <w:pStyle w:val="TextoNormalNegritaCursivandice"/>
      </w:pPr>
      <w:r>
        <w:t>Ley del Parlamento de Cantabria 2/2001, de 25 de junio. Ordenación territorial y régimen urbanístico del suelo de Cantabria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54" w:history="1">
        <w:r w:rsidRPr="00981775">
          <w:rPr>
            <w:rStyle w:val="TextoNormalCaracter"/>
          </w:rPr>
          <w:t>254/2015</w:t>
        </w:r>
      </w:hyperlink>
      <w:r>
        <w:t>, f. 2.</w:t>
      </w:r>
    </w:p>
    <w:p w:rsidR="00981775" w:rsidRDefault="00981775" w:rsidP="00981775">
      <w:pPr>
        <w:pStyle w:val="SangriaFrancesaArticulo"/>
      </w:pPr>
      <w:r w:rsidRPr="00981775">
        <w:rPr>
          <w:rStyle w:val="TextoNormalNegritaCaracter"/>
        </w:rPr>
        <w:t>Artículo 65 bis 1</w:t>
      </w:r>
      <w:r>
        <w:t xml:space="preserve"> (redactado por la Ley del Parlamento de Cantabria 4/2013, de 20 de junio)</w:t>
      </w:r>
      <w:r w:rsidRPr="00981775">
        <w:rPr>
          <w:rStyle w:val="TextoNormalNegritaCaracter"/>
        </w:rPr>
        <w:t>.</w:t>
      </w:r>
      <w:r w:rsidRPr="00981775">
        <w:rPr>
          <w:rStyle w:val="TextoNormalCaracter"/>
        </w:rPr>
        <w:t>-</w:t>
      </w:r>
      <w:r>
        <w:t xml:space="preserve"> Sentencias </w:t>
      </w:r>
      <w:hyperlink w:anchor="SENTENCIA_2015_254" w:history="1">
        <w:r w:rsidRPr="00981775">
          <w:rPr>
            <w:rStyle w:val="TextoNormalCaracter"/>
          </w:rPr>
          <w:t>254/2015</w:t>
        </w:r>
      </w:hyperlink>
      <w:r>
        <w:t xml:space="preserve">, ff. 1 a 3; </w:t>
      </w:r>
      <w:hyperlink w:anchor="SENTENCIA_2015_254" w:history="1">
        <w:r w:rsidRPr="00981775">
          <w:rPr>
            <w:rStyle w:val="TextoNormalCaracter"/>
          </w:rPr>
          <w:t>254/2015</w:t>
        </w:r>
      </w:hyperlink>
      <w:r>
        <w:t>, f. 3.</w:t>
      </w:r>
    </w:p>
    <w:p w:rsidR="00981775" w:rsidRDefault="00981775" w:rsidP="00981775">
      <w:pPr>
        <w:pStyle w:val="SangriaIzquierdaArticulo"/>
      </w:pPr>
      <w:r>
        <w:t xml:space="preserve">Autos </w:t>
      </w:r>
      <w:hyperlink w:anchor="AUTO_2015_211" w:history="1">
        <w:r w:rsidRPr="00981775">
          <w:rPr>
            <w:rStyle w:val="TextoNormalCaracter"/>
          </w:rPr>
          <w:t>211/2015</w:t>
        </w:r>
      </w:hyperlink>
      <w:r>
        <w:t xml:space="preserve">, f. único; </w:t>
      </w:r>
      <w:hyperlink w:anchor="AUTO_2015_214" w:history="1">
        <w:r w:rsidRPr="00981775">
          <w:rPr>
            <w:rStyle w:val="TextoNormalCaracter"/>
          </w:rPr>
          <w:t>214/2015</w:t>
        </w:r>
      </w:hyperlink>
      <w:r>
        <w:t xml:space="preserve">, f. único; </w:t>
      </w:r>
      <w:hyperlink w:anchor="AUTO_2015_215" w:history="1">
        <w:r w:rsidRPr="00981775">
          <w:rPr>
            <w:rStyle w:val="TextoNormalCaracter"/>
          </w:rPr>
          <w:t>215/2015</w:t>
        </w:r>
      </w:hyperlink>
      <w:r>
        <w:t xml:space="preserve">, f. único; </w:t>
      </w:r>
      <w:hyperlink w:anchor="AUTO_2015_217" w:history="1">
        <w:r w:rsidRPr="00981775">
          <w:rPr>
            <w:rStyle w:val="TextoNormalCaracter"/>
          </w:rPr>
          <w:t>217/2015</w:t>
        </w:r>
      </w:hyperlink>
      <w:r>
        <w:t xml:space="preserve">, f. único; </w:t>
      </w:r>
      <w:hyperlink w:anchor="AUTO_2015_218" w:history="1">
        <w:r w:rsidRPr="00981775">
          <w:rPr>
            <w:rStyle w:val="TextoNormalCaracter"/>
          </w:rPr>
          <w:t>218/2015</w:t>
        </w:r>
      </w:hyperlink>
      <w:r>
        <w:t>, f. único.</w:t>
      </w:r>
    </w:p>
    <w:p w:rsidR="00981775" w:rsidRDefault="00981775" w:rsidP="00981775">
      <w:pPr>
        <w:pStyle w:val="SangriaFrancesaArticulo"/>
      </w:pPr>
      <w:r w:rsidRPr="00981775">
        <w:rPr>
          <w:rStyle w:val="TextoNormalNegritaCaracter"/>
        </w:rPr>
        <w:t>Artículo 65 bis 1 expresión "o judiciales"</w:t>
      </w:r>
      <w:r>
        <w:t xml:space="preserve"> (redactado por la Ley del Parlamento de Cantabria 4/2013, de 20 de junio)</w:t>
      </w:r>
      <w:r w:rsidRPr="00981775">
        <w:rPr>
          <w:rStyle w:val="TextoNormalNegritaCaracter"/>
        </w:rPr>
        <w:t>.</w:t>
      </w:r>
      <w:r w:rsidRPr="00981775">
        <w:rPr>
          <w:rStyle w:val="TextoNormalCaracter"/>
        </w:rPr>
        <w:t>-</w:t>
      </w:r>
      <w:r>
        <w:t xml:space="preserve"> Sentencia </w:t>
      </w:r>
      <w:hyperlink w:anchor="SENTENCIA_2015_254" w:history="1">
        <w:r w:rsidRPr="00981775">
          <w:rPr>
            <w:rStyle w:val="TextoNormalCaracter"/>
          </w:rPr>
          <w:t>254/2015</w:t>
        </w:r>
      </w:hyperlink>
      <w:r>
        <w:t>, f. 1.</w:t>
      </w:r>
    </w:p>
    <w:p w:rsidR="00981775" w:rsidRDefault="00981775" w:rsidP="00981775">
      <w:pPr>
        <w:pStyle w:val="SangriaIzquierdaArticulo"/>
      </w:pPr>
      <w:r>
        <w:t xml:space="preserve">Autos </w:t>
      </w:r>
      <w:hyperlink w:anchor="AUTO_2015_215" w:history="1">
        <w:r w:rsidRPr="00981775">
          <w:rPr>
            <w:rStyle w:val="TextoNormalCaracter"/>
          </w:rPr>
          <w:t>215/2015</w:t>
        </w:r>
      </w:hyperlink>
      <w:r>
        <w:t xml:space="preserve">, f. único; </w:t>
      </w:r>
      <w:hyperlink w:anchor="AUTO_2015_216" w:history="1">
        <w:r w:rsidRPr="00981775">
          <w:rPr>
            <w:rStyle w:val="TextoNormalCaracter"/>
          </w:rPr>
          <w:t>216/2015</w:t>
        </w:r>
      </w:hyperlink>
      <w:r>
        <w:t xml:space="preserve">, f. único; </w:t>
      </w:r>
      <w:hyperlink w:anchor="AUTO_2015_217" w:history="1">
        <w:r w:rsidRPr="00981775">
          <w:rPr>
            <w:rStyle w:val="TextoNormalCaracter"/>
          </w:rPr>
          <w:t>217/2015</w:t>
        </w:r>
      </w:hyperlink>
      <w:r>
        <w:t xml:space="preserve">, f. único; </w:t>
      </w:r>
      <w:hyperlink w:anchor="AUTO_2015_218" w:history="1">
        <w:r w:rsidRPr="00981775">
          <w:rPr>
            <w:rStyle w:val="TextoNormalCaracter"/>
          </w:rPr>
          <w:t>218/2015</w:t>
        </w:r>
      </w:hyperlink>
      <w:r>
        <w:t xml:space="preserve">, f. único; </w:t>
      </w:r>
      <w:hyperlink w:anchor="AUTO_2015_219" w:history="1">
        <w:r w:rsidRPr="00981775">
          <w:rPr>
            <w:rStyle w:val="TextoNormalCaracter"/>
          </w:rPr>
          <w:t>219/2015</w:t>
        </w:r>
      </w:hyperlink>
      <w:r>
        <w:t xml:space="preserve">, f. único; </w:t>
      </w:r>
      <w:hyperlink w:anchor="AUTO_2015_220" w:history="1">
        <w:r w:rsidRPr="00981775">
          <w:rPr>
            <w:rStyle w:val="TextoNormalCaracter"/>
          </w:rPr>
          <w:t>220/2015</w:t>
        </w:r>
      </w:hyperlink>
      <w:r>
        <w:t xml:space="preserve">, f. único; </w:t>
      </w:r>
      <w:hyperlink w:anchor="AUTO_2015_221" w:history="1">
        <w:r w:rsidRPr="00981775">
          <w:rPr>
            <w:rStyle w:val="TextoNormalCaracter"/>
          </w:rPr>
          <w:t>221/2015</w:t>
        </w:r>
      </w:hyperlink>
      <w:r>
        <w:t xml:space="preserve">, f. único; </w:t>
      </w:r>
      <w:hyperlink w:anchor="AUTO_2015_222" w:history="1">
        <w:r w:rsidRPr="00981775">
          <w:rPr>
            <w:rStyle w:val="TextoNormalCaracter"/>
          </w:rPr>
          <w:t>222/2015</w:t>
        </w:r>
      </w:hyperlink>
      <w:r>
        <w:t>, f. único.</w:t>
      </w:r>
    </w:p>
    <w:p w:rsidR="00981775" w:rsidRDefault="00981775" w:rsidP="00981775">
      <w:pPr>
        <w:pStyle w:val="SangriaFrancesaArticulo"/>
      </w:pPr>
      <w:r w:rsidRPr="00981775">
        <w:rPr>
          <w:rStyle w:val="TextoNormalNegritaCaracter"/>
        </w:rPr>
        <w:t>Artículo 65 bis 1 expresión "órdenes de demolición judiciales"</w:t>
      </w:r>
      <w:r>
        <w:t xml:space="preserve"> (redactado por la Ley del Parlamento de Cantabria 4/2013, de 20 de junio)</w:t>
      </w:r>
      <w:r w:rsidRPr="00981775">
        <w:rPr>
          <w:rStyle w:val="TextoNormalNegritaCaracter"/>
        </w:rPr>
        <w:t>.</w:t>
      </w:r>
      <w:r w:rsidRPr="00981775">
        <w:rPr>
          <w:rStyle w:val="TextoNormalCaracter"/>
        </w:rPr>
        <w:t>-</w:t>
      </w:r>
      <w:r>
        <w:t xml:space="preserve"> Autos </w:t>
      </w:r>
      <w:hyperlink w:anchor="AUTO_2015_211" w:history="1">
        <w:r w:rsidRPr="00981775">
          <w:rPr>
            <w:rStyle w:val="TextoNormalCaracter"/>
          </w:rPr>
          <w:t>211/2015</w:t>
        </w:r>
      </w:hyperlink>
      <w:r>
        <w:t xml:space="preserve">, f. único; </w:t>
      </w:r>
      <w:hyperlink w:anchor="AUTO_2015_214" w:history="1">
        <w:r w:rsidRPr="00981775">
          <w:rPr>
            <w:rStyle w:val="TextoNormalCaracter"/>
          </w:rPr>
          <w:t>214/2015</w:t>
        </w:r>
      </w:hyperlink>
      <w:r>
        <w:t xml:space="preserve">, f. único; </w:t>
      </w:r>
      <w:hyperlink w:anchor="AUTO_2015_216" w:history="1">
        <w:r w:rsidRPr="00981775">
          <w:rPr>
            <w:rStyle w:val="TextoNormalCaracter"/>
          </w:rPr>
          <w:t>216/2015</w:t>
        </w:r>
      </w:hyperlink>
      <w:r>
        <w:t xml:space="preserve">, f. único; </w:t>
      </w:r>
      <w:hyperlink w:anchor="AUTO_2015_218" w:history="1">
        <w:r w:rsidRPr="00981775">
          <w:rPr>
            <w:rStyle w:val="TextoNormalCaracter"/>
          </w:rPr>
          <w:t>218/2015</w:t>
        </w:r>
      </w:hyperlink>
      <w:r>
        <w:t xml:space="preserve">, f. único; </w:t>
      </w:r>
      <w:hyperlink w:anchor="AUTO_2015_219" w:history="1">
        <w:r w:rsidRPr="00981775">
          <w:rPr>
            <w:rStyle w:val="TextoNormalCaracter"/>
          </w:rPr>
          <w:t>219/2015</w:t>
        </w:r>
      </w:hyperlink>
      <w:r>
        <w:t xml:space="preserve">, f. único; </w:t>
      </w:r>
      <w:hyperlink w:anchor="AUTO_2015_220" w:history="1">
        <w:r w:rsidRPr="00981775">
          <w:rPr>
            <w:rStyle w:val="TextoNormalCaracter"/>
          </w:rPr>
          <w:t>220/2015</w:t>
        </w:r>
      </w:hyperlink>
      <w:r>
        <w:t xml:space="preserve">, f. único; </w:t>
      </w:r>
      <w:hyperlink w:anchor="AUTO_2015_221" w:history="1">
        <w:r w:rsidRPr="00981775">
          <w:rPr>
            <w:rStyle w:val="TextoNormalCaracter"/>
          </w:rPr>
          <w:t>221/2015</w:t>
        </w:r>
      </w:hyperlink>
      <w:r>
        <w:t xml:space="preserve">, f. único; </w:t>
      </w:r>
      <w:hyperlink w:anchor="AUTO_2015_222" w:history="1">
        <w:r w:rsidRPr="00981775">
          <w:rPr>
            <w:rStyle w:val="TextoNormalCaracter"/>
          </w:rPr>
          <w:t>222/2015</w:t>
        </w:r>
      </w:hyperlink>
      <w:r>
        <w:t>, f. único.</w:t>
      </w:r>
    </w:p>
    <w:p w:rsidR="00981775" w:rsidRDefault="00981775" w:rsidP="00981775">
      <w:pPr>
        <w:pStyle w:val="SangriaFrancesaArticulo"/>
      </w:pPr>
      <w:r w:rsidRPr="00981775">
        <w:rPr>
          <w:rStyle w:val="TextoNormalNegritaCaracter"/>
        </w:rPr>
        <w:t>Artículo 65 bis 2</w:t>
      </w:r>
      <w:r>
        <w:t xml:space="preserve"> (redactado por la Ley del Parlamento de Cantabria 4/2013, de 20 de junio)</w:t>
      </w:r>
      <w:r w:rsidRPr="00981775">
        <w:rPr>
          <w:rStyle w:val="TextoNormalNegritaCaracter"/>
        </w:rPr>
        <w:t>.</w:t>
      </w:r>
      <w:r w:rsidRPr="00981775">
        <w:rPr>
          <w:rStyle w:val="TextoNormalCaracter"/>
        </w:rPr>
        <w:t>-</w:t>
      </w:r>
      <w:r>
        <w:t xml:space="preserve"> Autos </w:t>
      </w:r>
      <w:hyperlink w:anchor="AUTO_2015_215" w:history="1">
        <w:r w:rsidRPr="00981775">
          <w:rPr>
            <w:rStyle w:val="TextoNormalCaracter"/>
          </w:rPr>
          <w:t>215/2015</w:t>
        </w:r>
      </w:hyperlink>
      <w:r>
        <w:t xml:space="preserve">, f. único; </w:t>
      </w:r>
      <w:hyperlink w:anchor="AUTO_2015_217" w:history="1">
        <w:r w:rsidRPr="00981775">
          <w:rPr>
            <w:rStyle w:val="TextoNormalCaracter"/>
          </w:rPr>
          <w:t>217/2015</w:t>
        </w:r>
      </w:hyperlink>
      <w:r>
        <w:t xml:space="preserve">, f. único; </w:t>
      </w:r>
      <w:hyperlink w:anchor="AUTO_2015_218" w:history="1">
        <w:r w:rsidRPr="00981775">
          <w:rPr>
            <w:rStyle w:val="TextoNormalCaracter"/>
          </w:rPr>
          <w:t>218/2015</w:t>
        </w:r>
      </w:hyperlink>
      <w:r>
        <w:t>.</w:t>
      </w:r>
    </w:p>
    <w:p w:rsidR="00981775" w:rsidRDefault="00981775" w:rsidP="00981775">
      <w:pPr>
        <w:pStyle w:val="SangriaFrancesaArticulo"/>
      </w:pPr>
      <w:r w:rsidRPr="00981775">
        <w:rPr>
          <w:rStyle w:val="TextoNormalNegritaCaracter"/>
        </w:rPr>
        <w:t>Artículo 65 bis 3</w:t>
      </w:r>
      <w:r>
        <w:t xml:space="preserve"> (redactado por la Ley del Parlamento de Cantabria 4/2013, de 20 de junio)</w:t>
      </w:r>
      <w:r w:rsidRPr="00981775">
        <w:rPr>
          <w:rStyle w:val="TextoNormalNegritaCaracter"/>
        </w:rPr>
        <w:t>.</w:t>
      </w:r>
      <w:r w:rsidRPr="00981775">
        <w:rPr>
          <w:rStyle w:val="TextoNormalCaracter"/>
        </w:rPr>
        <w:t>-</w:t>
      </w:r>
      <w:r>
        <w:t xml:space="preserve"> Autos </w:t>
      </w:r>
      <w:hyperlink w:anchor="AUTO_2015_215" w:history="1">
        <w:r w:rsidRPr="00981775">
          <w:rPr>
            <w:rStyle w:val="TextoNormalCaracter"/>
          </w:rPr>
          <w:t>215/2015</w:t>
        </w:r>
      </w:hyperlink>
      <w:r>
        <w:t xml:space="preserve">, f. único; </w:t>
      </w:r>
      <w:hyperlink w:anchor="AUTO_2015_217" w:history="1">
        <w:r w:rsidRPr="00981775">
          <w:rPr>
            <w:rStyle w:val="TextoNormalCaracter"/>
          </w:rPr>
          <w:t>217/2015</w:t>
        </w:r>
      </w:hyperlink>
      <w:r>
        <w:t xml:space="preserve">, f. único; </w:t>
      </w:r>
      <w:hyperlink w:anchor="AUTO_2015_218" w:history="1">
        <w:r w:rsidRPr="00981775">
          <w:rPr>
            <w:rStyle w:val="TextoNormalCaracter"/>
          </w:rPr>
          <w:t>218/2015</w:t>
        </w:r>
      </w:hyperlink>
      <w:r>
        <w:t>.</w:t>
      </w:r>
    </w:p>
    <w:p w:rsidR="00981775" w:rsidRDefault="00981775" w:rsidP="00981775">
      <w:pPr>
        <w:pStyle w:val="SangriaFrancesaArticulo"/>
      </w:pPr>
    </w:p>
    <w:p w:rsidR="00981775" w:rsidRDefault="00981775" w:rsidP="00981775">
      <w:pPr>
        <w:pStyle w:val="TextoNormalNegritaCursivandice"/>
      </w:pPr>
      <w:r>
        <w:t>Ley del Parlamento de Cantabria 4/2013, de 20 de junio. Régimen jurídico de las autorizaciones provisionales de edificaciones o actuaciones preexistentes, así como de adopción de distintas medidas para la agilización de los instrumentos de planeamiento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54" w:history="1">
        <w:r w:rsidRPr="00981775">
          <w:rPr>
            <w:rStyle w:val="TextoNormalCaracter"/>
          </w:rPr>
          <w:t>254/2015</w:t>
        </w:r>
      </w:hyperlink>
      <w:r>
        <w:t>, ff. 2, 3.</w:t>
      </w:r>
    </w:p>
    <w:p w:rsidR="00981775" w:rsidRDefault="00981775" w:rsidP="00981775">
      <w:pPr>
        <w:pStyle w:val="SangriaIzquierdaArticulo"/>
      </w:pPr>
      <w:r>
        <w:t xml:space="preserve">Autos </w:t>
      </w:r>
      <w:hyperlink w:anchor="AUTO_2015_211" w:history="1">
        <w:r w:rsidRPr="00981775">
          <w:rPr>
            <w:rStyle w:val="TextoNormalCaracter"/>
          </w:rPr>
          <w:t>211/2015</w:t>
        </w:r>
      </w:hyperlink>
      <w:r>
        <w:t xml:space="preserve">, f. único; </w:t>
      </w:r>
      <w:hyperlink w:anchor="AUTO_2015_214" w:history="1">
        <w:r w:rsidRPr="00981775">
          <w:rPr>
            <w:rStyle w:val="TextoNormalCaracter"/>
          </w:rPr>
          <w:t>214/2015</w:t>
        </w:r>
      </w:hyperlink>
      <w:r>
        <w:t xml:space="preserve">, f. único; </w:t>
      </w:r>
      <w:hyperlink w:anchor="AUTO_2015_215" w:history="1">
        <w:r w:rsidRPr="00981775">
          <w:rPr>
            <w:rStyle w:val="TextoNormalCaracter"/>
          </w:rPr>
          <w:t>215/2015</w:t>
        </w:r>
      </w:hyperlink>
      <w:r>
        <w:t xml:space="preserve">, f. único; </w:t>
      </w:r>
      <w:hyperlink w:anchor="AUTO_2015_216" w:history="1">
        <w:r w:rsidRPr="00981775">
          <w:rPr>
            <w:rStyle w:val="TextoNormalCaracter"/>
          </w:rPr>
          <w:t>216/2015</w:t>
        </w:r>
      </w:hyperlink>
      <w:r>
        <w:t xml:space="preserve">, f. único; </w:t>
      </w:r>
      <w:hyperlink w:anchor="AUTO_2015_217" w:history="1">
        <w:r w:rsidRPr="00981775">
          <w:rPr>
            <w:rStyle w:val="TextoNormalCaracter"/>
          </w:rPr>
          <w:t>217/2015</w:t>
        </w:r>
      </w:hyperlink>
      <w:r>
        <w:t xml:space="preserve">, f. único; </w:t>
      </w:r>
      <w:hyperlink w:anchor="AUTO_2015_218" w:history="1">
        <w:r w:rsidRPr="00981775">
          <w:rPr>
            <w:rStyle w:val="TextoNormalCaracter"/>
          </w:rPr>
          <w:t>218/2015</w:t>
        </w:r>
      </w:hyperlink>
      <w:r>
        <w:t xml:space="preserve">, f. único; </w:t>
      </w:r>
      <w:hyperlink w:anchor="AUTO_2015_219" w:history="1">
        <w:r w:rsidRPr="00981775">
          <w:rPr>
            <w:rStyle w:val="TextoNormalCaracter"/>
          </w:rPr>
          <w:t>219/2015</w:t>
        </w:r>
      </w:hyperlink>
      <w:r>
        <w:t xml:space="preserve">, f. único; </w:t>
      </w:r>
      <w:hyperlink w:anchor="AUTO_2015_220" w:history="1">
        <w:r w:rsidRPr="00981775">
          <w:rPr>
            <w:rStyle w:val="TextoNormalCaracter"/>
          </w:rPr>
          <w:t>220/2015</w:t>
        </w:r>
      </w:hyperlink>
      <w:r>
        <w:t xml:space="preserve">, f. único; </w:t>
      </w:r>
      <w:hyperlink w:anchor="AUTO_2015_221" w:history="1">
        <w:r w:rsidRPr="00981775">
          <w:rPr>
            <w:rStyle w:val="TextoNormalCaracter"/>
          </w:rPr>
          <w:t>221/2015</w:t>
        </w:r>
      </w:hyperlink>
      <w:r>
        <w:t xml:space="preserve">, f. único; </w:t>
      </w:r>
      <w:hyperlink w:anchor="AUTO_2015_222" w:history="1">
        <w:r w:rsidRPr="00981775">
          <w:rPr>
            <w:rStyle w:val="TextoNormalCaracter"/>
          </w:rPr>
          <w:t>222/2015</w:t>
        </w:r>
      </w:hyperlink>
      <w:r>
        <w:t>, f. único.</w:t>
      </w:r>
    </w:p>
    <w:p w:rsidR="00981775" w:rsidRDefault="00981775" w:rsidP="00981775">
      <w:pPr>
        <w:pStyle w:val="SangriaFrancesaArticulo"/>
      </w:pPr>
      <w:r w:rsidRPr="00981775">
        <w:rPr>
          <w:rStyle w:val="TextoNormalNegritaCaracter"/>
        </w:rPr>
        <w:t>Preámbulo.</w:t>
      </w:r>
      <w:r w:rsidRPr="00981775">
        <w:rPr>
          <w:rStyle w:val="TextoNormalCaracter"/>
        </w:rPr>
        <w:t>-</w:t>
      </w:r>
      <w:r>
        <w:t xml:space="preserve"> Sentencia </w:t>
      </w:r>
      <w:hyperlink w:anchor="SENTENCIA_2015_254" w:history="1">
        <w:r w:rsidRPr="00981775">
          <w:rPr>
            <w:rStyle w:val="TextoNormalCaracter"/>
          </w:rPr>
          <w:t>254/2015</w:t>
        </w:r>
      </w:hyperlink>
      <w:r>
        <w:t>, f. 3.</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J.7) Castilla-La Mancha</w:t>
      </w:r>
    </w:p>
    <w:p w:rsidR="00981775" w:rsidRDefault="00981775" w:rsidP="00981775">
      <w:pPr>
        <w:pStyle w:val="TextoNormal"/>
      </w:pPr>
    </w:p>
    <w:p w:rsidR="00981775" w:rsidRDefault="00981775" w:rsidP="00981775">
      <w:pPr>
        <w:pStyle w:val="TextoNormalNegritaCentradoSubrayado"/>
        <w:suppressAutoHyphens/>
      </w:pPr>
      <w:r>
        <w:t>J.7.b) Leyes y disposiciones con fuerza de Ley</w:t>
      </w:r>
    </w:p>
    <w:p w:rsidR="00981775" w:rsidRDefault="00981775" w:rsidP="00981775">
      <w:pPr>
        <w:pStyle w:val="TextoNormalNegritaCentradoSubrayado"/>
      </w:pPr>
    </w:p>
    <w:p w:rsidR="00981775" w:rsidRDefault="00981775" w:rsidP="00981775">
      <w:pPr>
        <w:pStyle w:val="TextoNormalNegritaCursivandice"/>
      </w:pPr>
      <w:r>
        <w:t>Decreto Legislativo de la Junta de Comunidades de Castilla-La Mancha 1/2004, de 28 de diciembre. Texto refundido de la Ley de ordenación del territorio y de la actividad urbanística</w:t>
      </w:r>
    </w:p>
    <w:p w:rsidR="00981775" w:rsidRDefault="00981775" w:rsidP="00981775">
      <w:pPr>
        <w:pStyle w:val="SangriaFrancesaArticulo"/>
      </w:pPr>
      <w:r w:rsidRPr="00981775">
        <w:rPr>
          <w:rStyle w:val="TextoNormalNegritaCaracter"/>
        </w:rPr>
        <w:t>Artículo 36.2 a), párrafo 2.</w:t>
      </w:r>
      <w:r w:rsidRPr="00981775">
        <w:rPr>
          <w:rStyle w:val="TextoNormalCaracter"/>
        </w:rPr>
        <w:t>-</w:t>
      </w:r>
      <w:r>
        <w:t xml:space="preserve"> Autos </w:t>
      </w:r>
      <w:hyperlink w:anchor="AUTO_2015_207" w:history="1">
        <w:r w:rsidRPr="00981775">
          <w:rPr>
            <w:rStyle w:val="TextoNormalCaracter"/>
          </w:rPr>
          <w:t>207/2015</w:t>
        </w:r>
      </w:hyperlink>
      <w:r>
        <w:t xml:space="preserve">, f. 4; </w:t>
      </w:r>
      <w:hyperlink w:anchor="AUTO_2015_208" w:history="1">
        <w:r w:rsidRPr="00981775">
          <w:rPr>
            <w:rStyle w:val="TextoNormalCaracter"/>
          </w:rPr>
          <w:t>208/2015</w:t>
        </w:r>
      </w:hyperlink>
      <w:r>
        <w:t xml:space="preserve">, f. 4; </w:t>
      </w:r>
      <w:hyperlink w:anchor="AUTO_2015_209" w:history="1">
        <w:r w:rsidRPr="00981775">
          <w:rPr>
            <w:rStyle w:val="TextoNormalCaracter"/>
          </w:rPr>
          <w:t>209/2015</w:t>
        </w:r>
      </w:hyperlink>
      <w:r>
        <w:t xml:space="preserve">, f. 4; </w:t>
      </w:r>
      <w:hyperlink w:anchor="AUTO_2015_210" w:history="1">
        <w:r w:rsidRPr="00981775">
          <w:rPr>
            <w:rStyle w:val="TextoNormalCaracter"/>
          </w:rPr>
          <w:t>210/2015</w:t>
        </w:r>
      </w:hyperlink>
      <w:r>
        <w:t xml:space="preserve">, f. 4; </w:t>
      </w:r>
      <w:hyperlink w:anchor="AUTO_2015_212" w:history="1">
        <w:r w:rsidRPr="00981775">
          <w:rPr>
            <w:rStyle w:val="TextoNormalCaracter"/>
          </w:rPr>
          <w:t>212/2015</w:t>
        </w:r>
      </w:hyperlink>
      <w:r>
        <w:t xml:space="preserve">, f. 4; </w:t>
      </w:r>
      <w:hyperlink w:anchor="AUTO_2015_213" w:history="1">
        <w:r w:rsidRPr="00981775">
          <w:rPr>
            <w:rStyle w:val="TextoNormalCaracter"/>
          </w:rPr>
          <w:t>213/2015</w:t>
        </w:r>
      </w:hyperlink>
      <w:r>
        <w:t>, f. 4.</w:t>
      </w:r>
    </w:p>
    <w:p w:rsidR="00981775" w:rsidRDefault="00981775" w:rsidP="00981775">
      <w:pPr>
        <w:pStyle w:val="SangriaFrancesaArticulo"/>
      </w:pPr>
      <w:r w:rsidRPr="00981775">
        <w:rPr>
          <w:rStyle w:val="TextoNormalNegritaCaracter"/>
        </w:rPr>
        <w:t>Artículo 36.2 a), párrafo 3.</w:t>
      </w:r>
      <w:r w:rsidRPr="00981775">
        <w:rPr>
          <w:rStyle w:val="TextoNormalCaracter"/>
        </w:rPr>
        <w:t>-</w:t>
      </w:r>
      <w:r>
        <w:t xml:space="preserve"> Sentencia </w:t>
      </w:r>
      <w:hyperlink w:anchor="SENTENCIA_2015_195" w:history="1">
        <w:r w:rsidRPr="00981775">
          <w:rPr>
            <w:rStyle w:val="TextoNormalCaracter"/>
          </w:rPr>
          <w:t>195/2015</w:t>
        </w:r>
      </w:hyperlink>
      <w:r>
        <w:t>, ff. 1, 5, 7.</w:t>
      </w:r>
    </w:p>
    <w:p w:rsidR="00981775" w:rsidRDefault="00981775" w:rsidP="00981775">
      <w:pPr>
        <w:pStyle w:val="SangriaIzquierdaArticulo"/>
      </w:pPr>
      <w:r>
        <w:t xml:space="preserve">Autos </w:t>
      </w:r>
      <w:hyperlink w:anchor="AUTO_2015_207" w:history="1">
        <w:r w:rsidRPr="00981775">
          <w:rPr>
            <w:rStyle w:val="TextoNormalCaracter"/>
          </w:rPr>
          <w:t>207/2015</w:t>
        </w:r>
      </w:hyperlink>
      <w:r>
        <w:t xml:space="preserve">, f. 4; </w:t>
      </w:r>
      <w:hyperlink w:anchor="AUTO_2015_208" w:history="1">
        <w:r w:rsidRPr="00981775">
          <w:rPr>
            <w:rStyle w:val="TextoNormalCaracter"/>
          </w:rPr>
          <w:t>208/2015</w:t>
        </w:r>
      </w:hyperlink>
      <w:r>
        <w:t xml:space="preserve">, f. 4; </w:t>
      </w:r>
      <w:hyperlink w:anchor="AUTO_2015_209" w:history="1">
        <w:r w:rsidRPr="00981775">
          <w:rPr>
            <w:rStyle w:val="TextoNormalCaracter"/>
          </w:rPr>
          <w:t>209/2015</w:t>
        </w:r>
      </w:hyperlink>
      <w:r>
        <w:t xml:space="preserve">, f. 4; </w:t>
      </w:r>
      <w:hyperlink w:anchor="AUTO_2015_210" w:history="1">
        <w:r w:rsidRPr="00981775">
          <w:rPr>
            <w:rStyle w:val="TextoNormalCaracter"/>
          </w:rPr>
          <w:t>210/2015</w:t>
        </w:r>
      </w:hyperlink>
      <w:r>
        <w:t xml:space="preserve">, f. 4; </w:t>
      </w:r>
      <w:hyperlink w:anchor="AUTO_2015_212" w:history="1">
        <w:r w:rsidRPr="00981775">
          <w:rPr>
            <w:rStyle w:val="TextoNormalCaracter"/>
          </w:rPr>
          <w:t>212/2015</w:t>
        </w:r>
      </w:hyperlink>
      <w:r>
        <w:t xml:space="preserve">, f. 4; </w:t>
      </w:r>
      <w:hyperlink w:anchor="AUTO_2015_213" w:history="1">
        <w:r w:rsidRPr="00981775">
          <w:rPr>
            <w:rStyle w:val="TextoNormalCaracter"/>
          </w:rPr>
          <w:t>213/2015</w:t>
        </w:r>
      </w:hyperlink>
      <w:r>
        <w:t>, f. 4.</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J.8) Castilla y León</w:t>
      </w:r>
    </w:p>
    <w:p w:rsidR="00981775" w:rsidRDefault="00981775" w:rsidP="00981775">
      <w:pPr>
        <w:pStyle w:val="TextoNormal"/>
      </w:pPr>
    </w:p>
    <w:p w:rsidR="00981775" w:rsidRDefault="00981775" w:rsidP="00981775">
      <w:pPr>
        <w:pStyle w:val="TextoNormalNegritaCentradoSubrayado"/>
        <w:suppressAutoHyphens/>
      </w:pPr>
      <w:r>
        <w:t>J.8.a) Estatuto de Autonomía</w:t>
      </w:r>
    </w:p>
    <w:p w:rsidR="00981775" w:rsidRDefault="00981775" w:rsidP="00981775">
      <w:pPr>
        <w:pStyle w:val="TextoNormalNegritaCentradoSubrayado"/>
      </w:pPr>
    </w:p>
    <w:p w:rsidR="00981775" w:rsidRDefault="00981775" w:rsidP="00981775">
      <w:pPr>
        <w:pStyle w:val="TextoNormalNegritaCursivandice"/>
      </w:pPr>
      <w:r>
        <w:t>Ley Orgánica 14/2007, de 30 de noviembre. Reforma del Estatuto de Autonomía de Castilla y León</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96" w:history="1">
        <w:r w:rsidRPr="00981775">
          <w:rPr>
            <w:rStyle w:val="TextoNormalCaracter"/>
          </w:rPr>
          <w:t>196/2015</w:t>
        </w:r>
      </w:hyperlink>
      <w:r>
        <w:t>, ff. 4, 5.</w:t>
      </w:r>
    </w:p>
    <w:p w:rsidR="00981775" w:rsidRDefault="00981775" w:rsidP="00981775">
      <w:pPr>
        <w:pStyle w:val="SangriaFrancesaArticulo"/>
      </w:pPr>
      <w:r w:rsidRPr="00981775">
        <w:rPr>
          <w:rStyle w:val="TextoNormalNegritaCaracter"/>
        </w:rPr>
        <w:t>Artículo 34.1.</w:t>
      </w:r>
      <w:r w:rsidRPr="00981775">
        <w:rPr>
          <w:rStyle w:val="TextoNormalCaracter"/>
        </w:rPr>
        <w:t>-</w:t>
      </w:r>
      <w:r>
        <w:t xml:space="preserve"> Sentencia </w:t>
      </w:r>
      <w:hyperlink w:anchor="SENTENCIA_2015_229" w:history="1">
        <w:r w:rsidRPr="00981775">
          <w:rPr>
            <w:rStyle w:val="TextoNormalCaracter"/>
          </w:rPr>
          <w:t>229/2015</w:t>
        </w:r>
      </w:hyperlink>
      <w:r>
        <w:t>, f. 4.</w:t>
      </w:r>
    </w:p>
    <w:p w:rsidR="00981775" w:rsidRDefault="00981775" w:rsidP="00981775">
      <w:pPr>
        <w:pStyle w:val="SangriaFrancesaArticulo"/>
      </w:pPr>
      <w:r w:rsidRPr="00981775">
        <w:rPr>
          <w:rStyle w:val="TextoNormalNegritaCaracter"/>
        </w:rPr>
        <w:t>Artículo 71.1.14.</w:t>
      </w:r>
      <w:r w:rsidRPr="00981775">
        <w:rPr>
          <w:rStyle w:val="TextoNormalCaracter"/>
        </w:rPr>
        <w:t>-</w:t>
      </w:r>
      <w:r>
        <w:t xml:space="preserve"> Sentencia </w:t>
      </w:r>
      <w:hyperlink w:anchor="SENTENCIA_2015_229" w:history="1">
        <w:r w:rsidRPr="00981775">
          <w:rPr>
            <w:rStyle w:val="TextoNormalCaracter"/>
          </w:rPr>
          <w:t>229/2015</w:t>
        </w:r>
      </w:hyperlink>
      <w:r>
        <w:t>, f. 5.</w:t>
      </w:r>
    </w:p>
    <w:p w:rsidR="00981775" w:rsidRDefault="00981775" w:rsidP="00981775">
      <w:pPr>
        <w:pStyle w:val="SangriaFrancesaArticulo"/>
      </w:pPr>
      <w:r w:rsidRPr="00981775">
        <w:rPr>
          <w:rStyle w:val="TextoNormalNegritaCaracter"/>
        </w:rPr>
        <w:t>Artículo 75.1.</w:t>
      </w:r>
      <w:r w:rsidRPr="00981775">
        <w:rPr>
          <w:rStyle w:val="TextoNormalCaracter"/>
        </w:rPr>
        <w:t>-</w:t>
      </w:r>
      <w:r>
        <w:t xml:space="preserve"> Sentencia </w:t>
      </w:r>
      <w:hyperlink w:anchor="SENTENCIA_2015_196" w:history="1">
        <w:r w:rsidRPr="00981775">
          <w:rPr>
            <w:rStyle w:val="TextoNormalCaracter"/>
          </w:rPr>
          <w:t>196/2015</w:t>
        </w:r>
      </w:hyperlink>
      <w:r>
        <w:t>, f. 5, VP.</w:t>
      </w:r>
    </w:p>
    <w:p w:rsidR="00981775" w:rsidRDefault="00981775" w:rsidP="00981775">
      <w:pPr>
        <w:pStyle w:val="TextoNormal"/>
      </w:pPr>
    </w:p>
    <w:p w:rsidR="00981775" w:rsidRDefault="00981775" w:rsidP="00981775">
      <w:pPr>
        <w:pStyle w:val="TextoNormalNegritaCentradoSubrayado"/>
        <w:suppressAutoHyphens/>
      </w:pPr>
      <w:r>
        <w:t>J.8.b) Leyes y disposiciones con fuerza de Ley</w:t>
      </w:r>
    </w:p>
    <w:p w:rsidR="00981775" w:rsidRDefault="00981775" w:rsidP="00981775">
      <w:pPr>
        <w:pStyle w:val="TextoNormalNegritaCentradoSubrayado"/>
      </w:pPr>
    </w:p>
    <w:p w:rsidR="00981775" w:rsidRDefault="00981775" w:rsidP="00981775">
      <w:pPr>
        <w:pStyle w:val="TextoNormalNegritaCursivandice"/>
      </w:pPr>
      <w:r>
        <w:t>Ley de las Cortes de Castilla y León 8/1997, de 8 de julio.  Normas reguladoras de colegios profesionales</w:t>
      </w:r>
    </w:p>
    <w:p w:rsidR="00981775" w:rsidRDefault="00981775" w:rsidP="00981775">
      <w:pPr>
        <w:pStyle w:val="SangriaFrancesaArticulo"/>
      </w:pPr>
      <w:r w:rsidRPr="00981775">
        <w:rPr>
          <w:rStyle w:val="TextoNormalNegritaCaracter"/>
        </w:rPr>
        <w:t>Exposición de motivos.</w:t>
      </w:r>
      <w:r w:rsidRPr="00981775">
        <w:rPr>
          <w:rStyle w:val="TextoNormalCaracter"/>
        </w:rPr>
        <w:t>-</w:t>
      </w:r>
      <w:r>
        <w:t xml:space="preserve"> Sentencia </w:t>
      </w:r>
      <w:hyperlink w:anchor="SENTENCIA_2015_229" w:history="1">
        <w:r w:rsidRPr="00981775">
          <w:rPr>
            <w:rStyle w:val="TextoNormalCaracter"/>
          </w:rPr>
          <w:t>229/2015</w:t>
        </w:r>
      </w:hyperlink>
      <w:r>
        <w:t>, f. 4.</w:t>
      </w:r>
    </w:p>
    <w:p w:rsidR="00981775" w:rsidRDefault="00981775" w:rsidP="00981775">
      <w:pPr>
        <w:pStyle w:val="SangriaFrancesaArticulo"/>
      </w:pPr>
      <w:r w:rsidRPr="00981775">
        <w:rPr>
          <w:rStyle w:val="TextoNormalNegritaCaracter"/>
        </w:rPr>
        <w:t>Artículo 16.2 inciso 2.</w:t>
      </w:r>
      <w:r w:rsidRPr="00981775">
        <w:rPr>
          <w:rStyle w:val="TextoNormalCaracter"/>
        </w:rPr>
        <w:t>-</w:t>
      </w:r>
      <w:r>
        <w:t xml:space="preserve"> Sentencia </w:t>
      </w:r>
      <w:hyperlink w:anchor="SENTENCIA_2015_229" w:history="1">
        <w:r w:rsidRPr="00981775">
          <w:rPr>
            <w:rStyle w:val="TextoNormalCaracter"/>
          </w:rPr>
          <w:t>229/2015</w:t>
        </w:r>
      </w:hyperlink>
      <w:r>
        <w:t>, ff. 1, 2, 7.</w:t>
      </w:r>
    </w:p>
    <w:p w:rsidR="00981775" w:rsidRDefault="00981775" w:rsidP="00981775">
      <w:pPr>
        <w:pStyle w:val="SangriaFrancesaArticulo"/>
      </w:pPr>
    </w:p>
    <w:p w:rsidR="00981775" w:rsidRDefault="00981775" w:rsidP="00981775">
      <w:pPr>
        <w:pStyle w:val="TextoNormalNegritaCursivandice"/>
      </w:pPr>
      <w:r>
        <w:t>Ley de las Cortes de Castilla y León 2/2008, de 17 de junio. Declaración de proyecto regional para la instalación de un centro de tratamiento de residuos industriales no peligrosos en el término municipal de Fresno de la Ribera (Zamora)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69" w:history="1">
        <w:r w:rsidRPr="00981775">
          <w:rPr>
            <w:rStyle w:val="TextoNormalCaracter"/>
          </w:rPr>
          <w:t>269/2015</w:t>
        </w:r>
      </w:hyperlink>
      <w:r>
        <w:t>, ff. 1, 2.</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J.9) Cataluña</w:t>
      </w:r>
    </w:p>
    <w:p w:rsidR="00981775" w:rsidRDefault="00981775" w:rsidP="00981775">
      <w:pPr>
        <w:pStyle w:val="TextoNormal"/>
      </w:pPr>
    </w:p>
    <w:p w:rsidR="00981775" w:rsidRDefault="00981775" w:rsidP="00981775">
      <w:pPr>
        <w:pStyle w:val="TextoNormalNegritaCentradoSubrayado"/>
        <w:suppressAutoHyphens/>
      </w:pPr>
      <w:r>
        <w:t>J.9.a) Estatuto de Autonomía</w:t>
      </w:r>
    </w:p>
    <w:p w:rsidR="00981775" w:rsidRDefault="00981775" w:rsidP="00981775">
      <w:pPr>
        <w:pStyle w:val="TextoNormalNegritaCentradoSubrayado"/>
      </w:pPr>
    </w:p>
    <w:p w:rsidR="00981775" w:rsidRDefault="00981775" w:rsidP="00981775">
      <w:pPr>
        <w:pStyle w:val="TextoNormalNegritaCursivandice"/>
      </w:pPr>
      <w:r>
        <w:t>Ley Orgánica 6/2006, de 19 de julio. Reforma del Estatuto de Autonomía de Cataluña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59" w:history="1">
        <w:r w:rsidRPr="00981775">
          <w:rPr>
            <w:rStyle w:val="TextoNormalCaracter"/>
          </w:rPr>
          <w:t>259/2015</w:t>
        </w:r>
      </w:hyperlink>
      <w:r>
        <w:t>, f. 4.</w:t>
      </w:r>
    </w:p>
    <w:p w:rsidR="00981775" w:rsidRDefault="00981775" w:rsidP="00981775">
      <w:pPr>
        <w:pStyle w:val="SangriaIzquierdaArticulo"/>
      </w:pPr>
      <w:r>
        <w:t xml:space="preserve">Auto </w:t>
      </w:r>
      <w:hyperlink w:anchor="AUTO_2015_122" w:history="1">
        <w:r w:rsidRPr="00981775">
          <w:rPr>
            <w:rStyle w:val="TextoNormalCaracter"/>
          </w:rPr>
          <w:t>122/2015</w:t>
        </w:r>
      </w:hyperlink>
      <w:r>
        <w:t>, f. 3.</w:t>
      </w:r>
    </w:p>
    <w:p w:rsidR="00981775" w:rsidRDefault="00981775" w:rsidP="00981775">
      <w:pPr>
        <w:pStyle w:val="SangriaFrancesaArticulo"/>
      </w:pPr>
      <w:r w:rsidRPr="00981775">
        <w:rPr>
          <w:rStyle w:val="TextoNormalNegritaCaracter"/>
        </w:rPr>
        <w:t>Título V, capítulo III.</w:t>
      </w:r>
      <w:r w:rsidRPr="00981775">
        <w:rPr>
          <w:rStyle w:val="TextoNormalCaracter"/>
        </w:rPr>
        <w:t>-</w:t>
      </w:r>
      <w:r>
        <w:t xml:space="preserve"> Auto </w:t>
      </w:r>
      <w:hyperlink w:anchor="AUTO_2015_122" w:history="1">
        <w:r w:rsidRPr="00981775">
          <w:rPr>
            <w:rStyle w:val="TextoNormalCaracter"/>
          </w:rPr>
          <w:t>122/2015</w:t>
        </w:r>
      </w:hyperlink>
      <w:r>
        <w:t>, f. 5.</w:t>
      </w:r>
    </w:p>
    <w:p w:rsidR="00981775" w:rsidRDefault="00981775" w:rsidP="00981775">
      <w:pPr>
        <w:pStyle w:val="SangriaFrancesaArticulo"/>
      </w:pPr>
      <w:r w:rsidRPr="00981775">
        <w:rPr>
          <w:rStyle w:val="TextoNormalNegritaCaracter"/>
        </w:rPr>
        <w:t>Artículo 1.</w:t>
      </w:r>
      <w:r w:rsidRPr="00981775">
        <w:rPr>
          <w:rStyle w:val="TextoNormalCaracter"/>
        </w:rPr>
        <w:t>-</w:t>
      </w:r>
      <w:r>
        <w:t xml:space="preserve"> Sentencia </w:t>
      </w:r>
      <w:hyperlink w:anchor="SENTENCIA_2015_259" w:history="1">
        <w:r w:rsidRPr="00981775">
          <w:rPr>
            <w:rStyle w:val="TextoNormalCaracter"/>
          </w:rPr>
          <w:t>259/2015</w:t>
        </w:r>
      </w:hyperlink>
      <w:r>
        <w:t>, ff. 1, 4 a 7.</w:t>
      </w:r>
    </w:p>
    <w:p w:rsidR="00981775" w:rsidRDefault="00981775" w:rsidP="00981775">
      <w:pPr>
        <w:pStyle w:val="SangriaFrancesaArticulo"/>
      </w:pPr>
      <w:r w:rsidRPr="00981775">
        <w:rPr>
          <w:rStyle w:val="TextoNormalNegritaCaracter"/>
        </w:rPr>
        <w:t>Artículo 2.4.</w:t>
      </w:r>
      <w:r w:rsidRPr="00981775">
        <w:rPr>
          <w:rStyle w:val="TextoNormalCaracter"/>
        </w:rPr>
        <w:t>-</w:t>
      </w:r>
      <w:r>
        <w:t xml:space="preserve"> Sentencia </w:t>
      </w:r>
      <w:hyperlink w:anchor="SENTENCIA_2015_259" w:history="1">
        <w:r w:rsidRPr="00981775">
          <w:rPr>
            <w:rStyle w:val="TextoNormalCaracter"/>
          </w:rPr>
          <w:t>259/2015</w:t>
        </w:r>
      </w:hyperlink>
      <w:r>
        <w:t>, ff. 1, 3, 7.</w:t>
      </w:r>
    </w:p>
    <w:p w:rsidR="00981775" w:rsidRDefault="00981775" w:rsidP="00981775">
      <w:pPr>
        <w:pStyle w:val="SangriaFrancesaArticulo"/>
      </w:pPr>
      <w:r w:rsidRPr="00981775">
        <w:rPr>
          <w:rStyle w:val="TextoNormalNegritaCaracter"/>
        </w:rPr>
        <w:t>Artículo 4.1.</w:t>
      </w:r>
      <w:r w:rsidRPr="00981775">
        <w:rPr>
          <w:rStyle w:val="TextoNormalCaracter"/>
        </w:rPr>
        <w:t>-</w:t>
      </w:r>
      <w:r>
        <w:t xml:space="preserve"> Sentencia </w:t>
      </w:r>
      <w:hyperlink w:anchor="SENTENCIA_2015_259" w:history="1">
        <w:r w:rsidRPr="00981775">
          <w:rPr>
            <w:rStyle w:val="TextoNormalCaracter"/>
          </w:rPr>
          <w:t>259/2015</w:t>
        </w:r>
      </w:hyperlink>
      <w:r>
        <w:t>, f. 1.</w:t>
      </w:r>
    </w:p>
    <w:p w:rsidR="00981775" w:rsidRDefault="00981775" w:rsidP="00981775">
      <w:pPr>
        <w:pStyle w:val="SangriaFrancesaArticulo"/>
      </w:pPr>
      <w:r w:rsidRPr="00981775">
        <w:rPr>
          <w:rStyle w:val="TextoNormalNegritaCaracter"/>
        </w:rPr>
        <w:t>Artículo 55.1.</w:t>
      </w:r>
      <w:r w:rsidRPr="00981775">
        <w:rPr>
          <w:rStyle w:val="TextoNormalCaracter"/>
        </w:rPr>
        <w:t>-</w:t>
      </w:r>
      <w:r>
        <w:t xml:space="preserve"> Sentencia </w:t>
      </w:r>
      <w:hyperlink w:anchor="SENTENCIA_2015_259" w:history="1">
        <w:r w:rsidRPr="00981775">
          <w:rPr>
            <w:rStyle w:val="TextoNormalCaracter"/>
          </w:rPr>
          <w:t>259/2015</w:t>
        </w:r>
      </w:hyperlink>
      <w:r>
        <w:t>, f. 2.</w:t>
      </w:r>
    </w:p>
    <w:p w:rsidR="00981775" w:rsidRDefault="00981775" w:rsidP="00981775">
      <w:pPr>
        <w:pStyle w:val="SangriaFrancesaArticulo"/>
      </w:pPr>
      <w:r w:rsidRPr="00981775">
        <w:rPr>
          <w:rStyle w:val="TextoNormalNegritaCaracter"/>
        </w:rPr>
        <w:t>Artículo 55.2.</w:t>
      </w:r>
      <w:r w:rsidRPr="00981775">
        <w:rPr>
          <w:rStyle w:val="TextoNormalCaracter"/>
        </w:rPr>
        <w:t>-</w:t>
      </w:r>
      <w:r>
        <w:t xml:space="preserve"> Sentencia </w:t>
      </w:r>
      <w:hyperlink w:anchor="SENTENCIA_2015_259" w:history="1">
        <w:r w:rsidRPr="00981775">
          <w:rPr>
            <w:rStyle w:val="TextoNormalCaracter"/>
          </w:rPr>
          <w:t>259/2015</w:t>
        </w:r>
      </w:hyperlink>
      <w:r>
        <w:t>, ff. 1, 2.</w:t>
      </w:r>
    </w:p>
    <w:p w:rsidR="00981775" w:rsidRDefault="00981775" w:rsidP="00981775">
      <w:pPr>
        <w:pStyle w:val="SangriaFrancesaArticulo"/>
      </w:pPr>
      <w:r w:rsidRPr="00981775">
        <w:rPr>
          <w:rStyle w:val="TextoNormalNegritaCaracter"/>
        </w:rPr>
        <w:t>Artículo 112.</w:t>
      </w:r>
      <w:r w:rsidRPr="00981775">
        <w:rPr>
          <w:rStyle w:val="TextoNormalCaracter"/>
        </w:rPr>
        <w:t>-</w:t>
      </w:r>
      <w:r>
        <w:t xml:space="preserve"> Sentencia </w:t>
      </w:r>
      <w:hyperlink w:anchor="SENTENCIA_2015_198" w:history="1">
        <w:r w:rsidRPr="00981775">
          <w:rPr>
            <w:rStyle w:val="TextoNormalCaracter"/>
          </w:rPr>
          <w:t>198/2015</w:t>
        </w:r>
      </w:hyperlink>
      <w:r>
        <w:t>, VP II.</w:t>
      </w:r>
    </w:p>
    <w:p w:rsidR="00981775" w:rsidRDefault="00981775" w:rsidP="00981775">
      <w:pPr>
        <w:pStyle w:val="SangriaFrancesaArticulo"/>
      </w:pPr>
      <w:r w:rsidRPr="00981775">
        <w:rPr>
          <w:rStyle w:val="TextoNormalNegritaCaracter"/>
        </w:rPr>
        <w:t>Artículo 121.1 c).</w:t>
      </w:r>
      <w:r w:rsidRPr="00981775">
        <w:rPr>
          <w:rStyle w:val="TextoNormalCaracter"/>
        </w:rPr>
        <w:t>-</w:t>
      </w:r>
      <w:r>
        <w:t xml:space="preserve"> Sentencia </w:t>
      </w:r>
      <w:hyperlink w:anchor="SENTENCIA_2015_156" w:history="1">
        <w:r w:rsidRPr="00981775">
          <w:rPr>
            <w:rStyle w:val="TextoNormalCaracter"/>
          </w:rPr>
          <w:t>156/2015</w:t>
        </w:r>
      </w:hyperlink>
      <w:r>
        <w:t>, f. 9.</w:t>
      </w:r>
    </w:p>
    <w:p w:rsidR="00981775" w:rsidRDefault="00981775" w:rsidP="00981775">
      <w:pPr>
        <w:pStyle w:val="SangriaFrancesaArticulo"/>
      </w:pPr>
      <w:r w:rsidRPr="00981775">
        <w:rPr>
          <w:rStyle w:val="TextoNormalNegritaCaracter"/>
        </w:rPr>
        <w:t>Artículo 147.1 c).</w:t>
      </w:r>
      <w:r w:rsidRPr="00981775">
        <w:rPr>
          <w:rStyle w:val="TextoNormalCaracter"/>
        </w:rPr>
        <w:t>-</w:t>
      </w:r>
      <w:r>
        <w:t xml:space="preserve"> Auto </w:t>
      </w:r>
      <w:hyperlink w:anchor="AUTO_2015_185" w:history="1">
        <w:r w:rsidRPr="00981775">
          <w:rPr>
            <w:rStyle w:val="TextoNormalCaracter"/>
          </w:rPr>
          <w:t>185/2015</w:t>
        </w:r>
      </w:hyperlink>
      <w:r>
        <w:t>, f. 5.</w:t>
      </w:r>
    </w:p>
    <w:p w:rsidR="00981775" w:rsidRDefault="00981775" w:rsidP="00981775">
      <w:pPr>
        <w:pStyle w:val="SangriaFrancesaArticulo"/>
      </w:pPr>
      <w:r w:rsidRPr="00981775">
        <w:rPr>
          <w:rStyle w:val="TextoNormalNegritaCaracter"/>
        </w:rPr>
        <w:t>Artículo 170.1 g).</w:t>
      </w:r>
      <w:r w:rsidRPr="00981775">
        <w:rPr>
          <w:rStyle w:val="TextoNormalCaracter"/>
        </w:rPr>
        <w:t>-</w:t>
      </w:r>
      <w:r>
        <w:t xml:space="preserve"> Sentencia </w:t>
      </w:r>
      <w:hyperlink w:anchor="SENTENCIA_2015_198" w:history="1">
        <w:r w:rsidRPr="00981775">
          <w:rPr>
            <w:rStyle w:val="TextoNormalCaracter"/>
          </w:rPr>
          <w:t>198/2015</w:t>
        </w:r>
      </w:hyperlink>
      <w:r>
        <w:t>, ff. 1, 3, 4, VP II.</w:t>
      </w:r>
    </w:p>
    <w:p w:rsidR="00981775" w:rsidRDefault="00981775" w:rsidP="00981775">
      <w:pPr>
        <w:pStyle w:val="SangriaFrancesaArticulo"/>
      </w:pPr>
      <w:r w:rsidRPr="00981775">
        <w:rPr>
          <w:rStyle w:val="TextoNormalNegritaCaracter"/>
        </w:rPr>
        <w:t>Artículo 187.</w:t>
      </w:r>
      <w:r w:rsidRPr="00981775">
        <w:rPr>
          <w:rStyle w:val="TextoNormalCaracter"/>
        </w:rPr>
        <w:t>-</w:t>
      </w:r>
      <w:r>
        <w:t xml:space="preserve"> Auto </w:t>
      </w:r>
      <w:hyperlink w:anchor="AUTO_2015_122" w:history="1">
        <w:r w:rsidRPr="00981775">
          <w:rPr>
            <w:rStyle w:val="TextoNormalCaracter"/>
          </w:rPr>
          <w:t>122/2015</w:t>
        </w:r>
      </w:hyperlink>
      <w:r>
        <w:t>, f. 6.</w:t>
      </w:r>
    </w:p>
    <w:p w:rsidR="00981775" w:rsidRDefault="00981775" w:rsidP="00981775">
      <w:pPr>
        <w:pStyle w:val="SangriaFrancesaArticulo"/>
      </w:pPr>
      <w:r w:rsidRPr="00981775">
        <w:rPr>
          <w:rStyle w:val="TextoNormalNegritaCaracter"/>
        </w:rPr>
        <w:t>Artículo 188.</w:t>
      </w:r>
      <w:r w:rsidRPr="00981775">
        <w:rPr>
          <w:rStyle w:val="TextoNormalCaracter"/>
        </w:rPr>
        <w:t>-</w:t>
      </w:r>
      <w:r>
        <w:t xml:space="preserve"> Auto </w:t>
      </w:r>
      <w:hyperlink w:anchor="AUTO_2015_122" w:history="1">
        <w:r w:rsidRPr="00981775">
          <w:rPr>
            <w:rStyle w:val="TextoNormalCaracter"/>
          </w:rPr>
          <w:t>122/2015</w:t>
        </w:r>
      </w:hyperlink>
      <w:r>
        <w:t>, f. 6.</w:t>
      </w:r>
    </w:p>
    <w:p w:rsidR="00981775" w:rsidRDefault="00981775" w:rsidP="00981775">
      <w:pPr>
        <w:pStyle w:val="SangriaFrancesaArticulo"/>
      </w:pPr>
      <w:r w:rsidRPr="00981775">
        <w:rPr>
          <w:rStyle w:val="TextoNormalNegritaCaracter"/>
        </w:rPr>
        <w:t>Artículo 193.</w:t>
      </w:r>
      <w:r w:rsidRPr="00981775">
        <w:rPr>
          <w:rStyle w:val="TextoNormalCaracter"/>
        </w:rPr>
        <w:t>-</w:t>
      </w:r>
      <w:r>
        <w:t xml:space="preserve"> Auto </w:t>
      </w:r>
      <w:hyperlink w:anchor="AUTO_2015_122" w:history="1">
        <w:r w:rsidRPr="00981775">
          <w:rPr>
            <w:rStyle w:val="TextoNormalCaracter"/>
          </w:rPr>
          <w:t>122/2015</w:t>
        </w:r>
      </w:hyperlink>
      <w:r>
        <w:t>, ff. 5, 6.</w:t>
      </w:r>
    </w:p>
    <w:p w:rsidR="00981775" w:rsidRDefault="00981775" w:rsidP="00981775">
      <w:pPr>
        <w:pStyle w:val="SangriaFrancesaArticulo"/>
      </w:pPr>
      <w:r w:rsidRPr="00981775">
        <w:rPr>
          <w:rStyle w:val="TextoNormalNegritaCaracter"/>
        </w:rPr>
        <w:t>Artículo 193.1.</w:t>
      </w:r>
      <w:r w:rsidRPr="00981775">
        <w:rPr>
          <w:rStyle w:val="TextoNormalCaracter"/>
        </w:rPr>
        <w:t>-</w:t>
      </w:r>
      <w:r>
        <w:t xml:space="preserve"> Auto </w:t>
      </w:r>
      <w:hyperlink w:anchor="AUTO_2015_122" w:history="1">
        <w:r w:rsidRPr="00981775">
          <w:rPr>
            <w:rStyle w:val="TextoNormalCaracter"/>
          </w:rPr>
          <w:t>122/2015</w:t>
        </w:r>
      </w:hyperlink>
      <w:r>
        <w:t>, ff. 5, 7.</w:t>
      </w:r>
    </w:p>
    <w:p w:rsidR="00981775" w:rsidRDefault="00981775" w:rsidP="00981775">
      <w:pPr>
        <w:pStyle w:val="SangriaFrancesaArticulo"/>
      </w:pPr>
      <w:r w:rsidRPr="00981775">
        <w:rPr>
          <w:rStyle w:val="TextoNormalNegritaCaracter"/>
        </w:rPr>
        <w:t>Artículo 193.2.</w:t>
      </w:r>
      <w:r w:rsidRPr="00981775">
        <w:rPr>
          <w:rStyle w:val="TextoNormalCaracter"/>
        </w:rPr>
        <w:t>-</w:t>
      </w:r>
      <w:r>
        <w:t xml:space="preserve"> Auto </w:t>
      </w:r>
      <w:hyperlink w:anchor="AUTO_2015_122" w:history="1">
        <w:r w:rsidRPr="00981775">
          <w:rPr>
            <w:rStyle w:val="TextoNormalCaracter"/>
          </w:rPr>
          <w:t>122/2015</w:t>
        </w:r>
      </w:hyperlink>
      <w:r>
        <w:t>, f. 5.</w:t>
      </w:r>
    </w:p>
    <w:p w:rsidR="00981775" w:rsidRDefault="00981775" w:rsidP="00981775">
      <w:pPr>
        <w:pStyle w:val="SangriaFrancesaArticulo"/>
      </w:pPr>
      <w:r w:rsidRPr="00981775">
        <w:rPr>
          <w:rStyle w:val="TextoNormalNegritaCaracter"/>
        </w:rPr>
        <w:t>Artículo 194.</w:t>
      </w:r>
      <w:r w:rsidRPr="00981775">
        <w:rPr>
          <w:rStyle w:val="TextoNormalCaracter"/>
        </w:rPr>
        <w:t>-</w:t>
      </w:r>
      <w:r>
        <w:t xml:space="preserve"> Auto </w:t>
      </w:r>
      <w:hyperlink w:anchor="AUTO_2015_122" w:history="1">
        <w:r w:rsidRPr="00981775">
          <w:rPr>
            <w:rStyle w:val="TextoNormalCaracter"/>
          </w:rPr>
          <w:t>122/2015</w:t>
        </w:r>
      </w:hyperlink>
      <w:r>
        <w:t>, f. 7.</w:t>
      </w:r>
    </w:p>
    <w:p w:rsidR="00981775" w:rsidRDefault="00981775" w:rsidP="00981775">
      <w:pPr>
        <w:pStyle w:val="SangriaFrancesaArticulo"/>
      </w:pPr>
      <w:r w:rsidRPr="00981775">
        <w:rPr>
          <w:rStyle w:val="TextoNormalNegritaCaracter"/>
        </w:rPr>
        <w:t>Artículo 195.</w:t>
      </w:r>
      <w:r w:rsidRPr="00981775">
        <w:rPr>
          <w:rStyle w:val="TextoNormalCaracter"/>
        </w:rPr>
        <w:t>-</w:t>
      </w:r>
      <w:r>
        <w:t xml:space="preserve"> Auto </w:t>
      </w:r>
      <w:hyperlink w:anchor="AUTO_2015_122" w:history="1">
        <w:r w:rsidRPr="00981775">
          <w:rPr>
            <w:rStyle w:val="TextoNormalCaracter"/>
          </w:rPr>
          <w:t>122/2015</w:t>
        </w:r>
      </w:hyperlink>
      <w:r>
        <w:t>, f. 6.</w:t>
      </w:r>
    </w:p>
    <w:p w:rsidR="00981775" w:rsidRDefault="00981775" w:rsidP="00981775">
      <w:pPr>
        <w:pStyle w:val="TextoNormal"/>
      </w:pPr>
    </w:p>
    <w:p w:rsidR="00981775" w:rsidRDefault="00981775" w:rsidP="00981775">
      <w:pPr>
        <w:pStyle w:val="TextoNormalNegritaCentradoSubrayado"/>
        <w:suppressAutoHyphens/>
      </w:pPr>
      <w:r>
        <w:t>J.9.b) Leyes y disposiciones con fuerza de Ley</w:t>
      </w:r>
    </w:p>
    <w:p w:rsidR="00981775" w:rsidRDefault="00981775" w:rsidP="00981775">
      <w:pPr>
        <w:pStyle w:val="TextoNormalNegritaCentradoSubrayado"/>
      </w:pPr>
    </w:p>
    <w:p w:rsidR="00981775" w:rsidRDefault="00981775" w:rsidP="00981775">
      <w:pPr>
        <w:pStyle w:val="TextoNormalNegritaCursivandice"/>
      </w:pPr>
      <w:r>
        <w:t>Ley del Parlamento de Cataluña 10/1994, de 11 de julio. Policía de la Generalidad "Mossos d´Esquadra"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88" w:history="1">
        <w:r w:rsidRPr="00981775">
          <w:rPr>
            <w:rStyle w:val="TextoNormalCaracter"/>
          </w:rPr>
          <w:t>188/2015</w:t>
        </w:r>
      </w:hyperlink>
      <w:r>
        <w:t>, f. 3.</w:t>
      </w:r>
    </w:p>
    <w:p w:rsidR="00981775" w:rsidRDefault="00981775" w:rsidP="00981775">
      <w:pPr>
        <w:pStyle w:val="SangriaFrancesaArticulo"/>
      </w:pPr>
    </w:p>
    <w:p w:rsidR="00981775" w:rsidRDefault="00981775" w:rsidP="00981775">
      <w:pPr>
        <w:pStyle w:val="TextoNormalNegritaCursivandice"/>
      </w:pPr>
      <w:r>
        <w:t>Decreto Legislativo de la Generalidad de Cataluña 1/1997, de 31 de octubre.  Texto único de la Ley de la función pública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88" w:history="1">
        <w:r w:rsidRPr="00981775">
          <w:rPr>
            <w:rStyle w:val="TextoNormalCaracter"/>
          </w:rPr>
          <w:t>188/2015</w:t>
        </w:r>
      </w:hyperlink>
      <w:r>
        <w:t>, f. 3.</w:t>
      </w:r>
    </w:p>
    <w:p w:rsidR="00981775" w:rsidRDefault="00981775" w:rsidP="00981775">
      <w:pPr>
        <w:pStyle w:val="SangriaFrancesaArticulo"/>
      </w:pPr>
    </w:p>
    <w:p w:rsidR="00981775" w:rsidRDefault="00981775" w:rsidP="00981775">
      <w:pPr>
        <w:pStyle w:val="TextoNormalNegritaCursivandice"/>
      </w:pPr>
      <w:r>
        <w:t>Ley del Parlamento de Cataluña 15/2001, de 14 de noviembre. Meteorología</w:t>
      </w:r>
    </w:p>
    <w:p w:rsidR="00981775" w:rsidRDefault="00981775" w:rsidP="00981775">
      <w:pPr>
        <w:pStyle w:val="SangriaFrancesaArticulo"/>
      </w:pPr>
      <w:r w:rsidRPr="00981775">
        <w:rPr>
          <w:rStyle w:val="TextoNormalNegritaCaracter"/>
        </w:rPr>
        <w:t>Artículo 4 k bis</w:t>
      </w:r>
      <w:r>
        <w:t xml:space="preserve"> (redactado por la Ley del Parlamento de Cataluña 3/2015 de 11 de marzo)</w:t>
      </w:r>
      <w:r w:rsidRPr="00981775">
        <w:rPr>
          <w:rStyle w:val="TextoNormalNegritaCaracter"/>
        </w:rPr>
        <w:t>.</w:t>
      </w:r>
      <w:r w:rsidRPr="00981775">
        <w:rPr>
          <w:rStyle w:val="TextoNormalCaracter"/>
        </w:rPr>
        <w:t>-</w:t>
      </w:r>
      <w:r>
        <w:t xml:space="preserve"> Auto </w:t>
      </w:r>
      <w:hyperlink w:anchor="AUTO_2015_182" w:history="1">
        <w:r w:rsidRPr="00981775">
          <w:rPr>
            <w:rStyle w:val="TextoNormalCaracter"/>
          </w:rPr>
          <w:t>182/2015</w:t>
        </w:r>
      </w:hyperlink>
      <w:r>
        <w:t>, f. 5.</w:t>
      </w:r>
    </w:p>
    <w:p w:rsidR="00981775" w:rsidRDefault="00981775" w:rsidP="00981775">
      <w:pPr>
        <w:pStyle w:val="SangriaFrancesaArticulo"/>
      </w:pPr>
    </w:p>
    <w:p w:rsidR="00981775" w:rsidRDefault="00981775" w:rsidP="00981775">
      <w:pPr>
        <w:pStyle w:val="TextoNormalNegritaCursivandice"/>
      </w:pPr>
      <w:r>
        <w:t>Ley del Parlamento de Cataluña 7/2007, de 17 de julio. Agencia Tributaria de Cataluña</w:t>
      </w:r>
    </w:p>
    <w:p w:rsidR="00981775" w:rsidRDefault="00981775" w:rsidP="00981775">
      <w:pPr>
        <w:pStyle w:val="SangriaFrancesaArticulo"/>
      </w:pPr>
      <w:r w:rsidRPr="00981775">
        <w:rPr>
          <w:rStyle w:val="TextoNormalNegritaCaracter"/>
        </w:rPr>
        <w:t>Disposición adicional vigésima primera.</w:t>
      </w:r>
      <w:r w:rsidRPr="00981775">
        <w:rPr>
          <w:rStyle w:val="TextoNormalCaracter"/>
        </w:rPr>
        <w:t>-</w:t>
      </w:r>
      <w:r>
        <w:t xml:space="preserve"> Sentencia </w:t>
      </w:r>
      <w:hyperlink w:anchor="SENTENCIA_2015_238" w:history="1">
        <w:r w:rsidRPr="00981775">
          <w:rPr>
            <w:rStyle w:val="TextoNormalCaracter"/>
          </w:rPr>
          <w:t>238/2015</w:t>
        </w:r>
      </w:hyperlink>
      <w:r>
        <w:t>, f. 1.</w:t>
      </w:r>
    </w:p>
    <w:p w:rsidR="00981775" w:rsidRDefault="00981775" w:rsidP="00981775">
      <w:pPr>
        <w:pStyle w:val="SangriaFrancesaArticulo"/>
      </w:pPr>
      <w:r w:rsidRPr="00981775">
        <w:rPr>
          <w:rStyle w:val="TextoNormalNegritaCaracter"/>
        </w:rPr>
        <w:t>Disposición adicional vigésima primera, apartado 2.</w:t>
      </w:r>
      <w:r w:rsidRPr="00981775">
        <w:rPr>
          <w:rStyle w:val="TextoNormalCaracter"/>
        </w:rPr>
        <w:t>-</w:t>
      </w:r>
      <w:r>
        <w:t xml:space="preserve"> Sentencia </w:t>
      </w:r>
      <w:hyperlink w:anchor="SENTENCIA_2015_238" w:history="1">
        <w:r w:rsidRPr="00981775">
          <w:rPr>
            <w:rStyle w:val="TextoNormalCaracter"/>
          </w:rPr>
          <w:t>238/2015</w:t>
        </w:r>
      </w:hyperlink>
      <w:r>
        <w:t>, f. 1.</w:t>
      </w:r>
    </w:p>
    <w:p w:rsidR="00981775" w:rsidRDefault="00981775" w:rsidP="00981775">
      <w:pPr>
        <w:pStyle w:val="SangriaFrancesaArticulo"/>
      </w:pPr>
      <w:r w:rsidRPr="00981775">
        <w:rPr>
          <w:rStyle w:val="TextoNormalNegritaCaracter"/>
        </w:rPr>
        <w:t>Disposición adicional vigésima segunda.</w:t>
      </w:r>
      <w:r w:rsidRPr="00981775">
        <w:rPr>
          <w:rStyle w:val="TextoNormalCaracter"/>
        </w:rPr>
        <w:t>-</w:t>
      </w:r>
      <w:r>
        <w:t xml:space="preserve"> Sentencia </w:t>
      </w:r>
      <w:hyperlink w:anchor="SENTENCIA_2015_238" w:history="1">
        <w:r w:rsidRPr="00981775">
          <w:rPr>
            <w:rStyle w:val="TextoNormalCaracter"/>
          </w:rPr>
          <w:t>238/2015</w:t>
        </w:r>
      </w:hyperlink>
      <w:r>
        <w:t>, f. 1.</w:t>
      </w:r>
    </w:p>
    <w:p w:rsidR="00981775" w:rsidRDefault="00981775" w:rsidP="00981775">
      <w:pPr>
        <w:pStyle w:val="SangriaFrancesaArticulo"/>
      </w:pPr>
      <w:r w:rsidRPr="00981775">
        <w:rPr>
          <w:rStyle w:val="TextoNormalNegritaCaracter"/>
        </w:rPr>
        <w:t>Disposición adiciconal vigésima primera, apartado 1.</w:t>
      </w:r>
      <w:r w:rsidRPr="00981775">
        <w:rPr>
          <w:rStyle w:val="TextoNormalCaracter"/>
        </w:rPr>
        <w:t>-</w:t>
      </w:r>
      <w:r>
        <w:t xml:space="preserve"> Sentencia </w:t>
      </w:r>
      <w:hyperlink w:anchor="SENTENCIA_2015_238" w:history="1">
        <w:r w:rsidRPr="00981775">
          <w:rPr>
            <w:rStyle w:val="TextoNormalCaracter"/>
          </w:rPr>
          <w:t>238/2015</w:t>
        </w:r>
      </w:hyperlink>
      <w:r>
        <w:t>, f. 5.</w:t>
      </w:r>
    </w:p>
    <w:p w:rsidR="00981775" w:rsidRDefault="00981775" w:rsidP="00981775">
      <w:pPr>
        <w:pStyle w:val="SangriaFrancesaArticulo"/>
      </w:pPr>
      <w:r w:rsidRPr="00981775">
        <w:rPr>
          <w:rStyle w:val="TextoNormalNegritaCaracter"/>
        </w:rPr>
        <w:t>Disposición adicional vigésima segunda, apartado 1.</w:t>
      </w:r>
      <w:r w:rsidRPr="00981775">
        <w:rPr>
          <w:rStyle w:val="TextoNormalCaracter"/>
        </w:rPr>
        <w:t>-</w:t>
      </w:r>
      <w:r>
        <w:t xml:space="preserve"> Sentencia </w:t>
      </w:r>
      <w:hyperlink w:anchor="SENTENCIA_2015_238" w:history="1">
        <w:r w:rsidRPr="00981775">
          <w:rPr>
            <w:rStyle w:val="TextoNormalCaracter"/>
          </w:rPr>
          <w:t>238/2015</w:t>
        </w:r>
      </w:hyperlink>
      <w:r>
        <w:t>, f. 5.</w:t>
      </w:r>
    </w:p>
    <w:p w:rsidR="00981775" w:rsidRDefault="00981775" w:rsidP="00981775">
      <w:pPr>
        <w:pStyle w:val="SangriaFrancesaArticulo"/>
      </w:pPr>
      <w:r w:rsidRPr="00981775">
        <w:rPr>
          <w:rStyle w:val="TextoNormalNegritaCaracter"/>
        </w:rPr>
        <w:t>Disposición adicional vigésima segunda, apartado 2.</w:t>
      </w:r>
      <w:r w:rsidRPr="00981775">
        <w:rPr>
          <w:rStyle w:val="TextoNormalCaracter"/>
        </w:rPr>
        <w:t>-</w:t>
      </w:r>
      <w:r>
        <w:t xml:space="preserve"> Sentencia </w:t>
      </w:r>
      <w:hyperlink w:anchor="SENTENCIA_2015_238" w:history="1">
        <w:r w:rsidRPr="00981775">
          <w:rPr>
            <w:rStyle w:val="TextoNormalCaracter"/>
          </w:rPr>
          <w:t>238/2015</w:t>
        </w:r>
      </w:hyperlink>
      <w:r>
        <w:t>, f. 1.</w:t>
      </w:r>
    </w:p>
    <w:p w:rsidR="00981775" w:rsidRDefault="00981775" w:rsidP="00981775">
      <w:pPr>
        <w:pStyle w:val="SangriaFrancesaArticulo"/>
      </w:pPr>
    </w:p>
    <w:p w:rsidR="00981775" w:rsidRDefault="00981775" w:rsidP="00981775">
      <w:pPr>
        <w:pStyle w:val="TextoNormalNegritaCursivandice"/>
      </w:pPr>
      <w:r>
        <w:t>Decreto-ley de la Generalitat de Cataluña 1/2009, de 22 de diciembre. Ordenación de los equipamientos comerciales</w:t>
      </w:r>
    </w:p>
    <w:p w:rsidR="00981775" w:rsidRDefault="00981775" w:rsidP="00981775">
      <w:pPr>
        <w:pStyle w:val="SangriaFrancesaArticulo"/>
      </w:pPr>
      <w:r w:rsidRPr="00981775">
        <w:rPr>
          <w:rStyle w:val="TextoNormalNegritaCaracter"/>
        </w:rPr>
        <w:t>Artículo 6 b).</w:t>
      </w:r>
      <w:r w:rsidRPr="00981775">
        <w:rPr>
          <w:rStyle w:val="TextoNormalCaracter"/>
        </w:rPr>
        <w:t>-</w:t>
      </w:r>
      <w:r>
        <w:t xml:space="preserve"> Auto </w:t>
      </w:r>
      <w:hyperlink w:anchor="AUTO_2015_182" w:history="1">
        <w:r w:rsidRPr="00981775">
          <w:rPr>
            <w:rStyle w:val="TextoNormalCaracter"/>
          </w:rPr>
          <w:t>182/2015</w:t>
        </w:r>
      </w:hyperlink>
      <w:r>
        <w:t>, f. 6.</w:t>
      </w:r>
    </w:p>
    <w:p w:rsidR="00981775" w:rsidRDefault="00981775" w:rsidP="00981775">
      <w:pPr>
        <w:pStyle w:val="SangriaFrancesaArticulo"/>
      </w:pPr>
      <w:r w:rsidRPr="00981775">
        <w:rPr>
          <w:rStyle w:val="TextoNormalNegritaCaracter"/>
        </w:rPr>
        <w:t>Disposición adicional duodécima</w:t>
      </w:r>
      <w:r>
        <w:t xml:space="preserve"> (redactada por la Ley del Parlamento de Cataluña 3/2015, de 11 de marzo)</w:t>
      </w:r>
      <w:r w:rsidRPr="00981775">
        <w:rPr>
          <w:rStyle w:val="TextoNormalNegritaCaracter"/>
        </w:rPr>
        <w:t>.</w:t>
      </w:r>
      <w:r w:rsidRPr="00981775">
        <w:rPr>
          <w:rStyle w:val="TextoNormalCaracter"/>
        </w:rPr>
        <w:t>-</w:t>
      </w:r>
      <w:r>
        <w:t xml:space="preserve"> Auto </w:t>
      </w:r>
      <w:hyperlink w:anchor="AUTO_2015_182" w:history="1">
        <w:r w:rsidRPr="00981775">
          <w:rPr>
            <w:rStyle w:val="TextoNormalCaracter"/>
          </w:rPr>
          <w:t>182/2015</w:t>
        </w:r>
      </w:hyperlink>
      <w:r>
        <w:t>, f. 6.</w:t>
      </w:r>
    </w:p>
    <w:p w:rsidR="00981775" w:rsidRDefault="00981775" w:rsidP="00981775">
      <w:pPr>
        <w:pStyle w:val="SangriaFrancesaArticulo"/>
      </w:pPr>
    </w:p>
    <w:p w:rsidR="00981775" w:rsidRDefault="00981775" w:rsidP="00981775">
      <w:pPr>
        <w:pStyle w:val="TextoNormalNegritaCursivandice"/>
      </w:pPr>
      <w:r>
        <w:t>Ley 1/2012, de 22 de febrero. Presupuestos de la Generalidad de Cataluña para 2012</w:t>
      </w:r>
    </w:p>
    <w:p w:rsidR="00981775" w:rsidRDefault="00981775" w:rsidP="00981775">
      <w:pPr>
        <w:pStyle w:val="SangriaFrancesaArticulo"/>
      </w:pPr>
      <w:r w:rsidRPr="00981775">
        <w:rPr>
          <w:rStyle w:val="TextoNormalNegritaCaracter"/>
        </w:rPr>
        <w:t>Artículo 26.3.</w:t>
      </w:r>
      <w:r w:rsidRPr="00981775">
        <w:rPr>
          <w:rStyle w:val="TextoNormalCaracter"/>
        </w:rPr>
        <w:t>-</w:t>
      </w:r>
      <w:r>
        <w:t xml:space="preserve"> Auto </w:t>
      </w:r>
      <w:hyperlink w:anchor="AUTO_2015_121" w:history="1">
        <w:r w:rsidRPr="00981775">
          <w:rPr>
            <w:rStyle w:val="TextoNormalCaracter"/>
          </w:rPr>
          <w:t>121/2015</w:t>
        </w:r>
      </w:hyperlink>
      <w:r>
        <w:t>, f. 1.</w:t>
      </w:r>
    </w:p>
    <w:p w:rsidR="00981775" w:rsidRDefault="00981775" w:rsidP="00981775">
      <w:pPr>
        <w:pStyle w:val="SangriaFrancesaArticulo"/>
      </w:pPr>
    </w:p>
    <w:p w:rsidR="00981775" w:rsidRDefault="00981775" w:rsidP="00981775">
      <w:pPr>
        <w:pStyle w:val="TextoNormalNegritaCursivandice"/>
      </w:pPr>
      <w:r>
        <w:t>Decreto-ley de la Generalitat de Cataluña 5/2012, de 18 de diciembre. Impuesto sobre los depósitos en las entidades de crédito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202" w:history="1">
        <w:r w:rsidRPr="00981775">
          <w:rPr>
            <w:rStyle w:val="TextoNormalCaracter"/>
          </w:rPr>
          <w:t>202/2015</w:t>
        </w:r>
      </w:hyperlink>
      <w:r>
        <w:t>, f. 3.</w:t>
      </w:r>
    </w:p>
    <w:p w:rsidR="00981775" w:rsidRDefault="00981775" w:rsidP="00981775">
      <w:pPr>
        <w:pStyle w:val="SangriaFrancesaArticulo"/>
      </w:pPr>
    </w:p>
    <w:p w:rsidR="00981775" w:rsidRDefault="00981775" w:rsidP="00981775">
      <w:pPr>
        <w:pStyle w:val="TextoNormalNegritaCursivandice"/>
      </w:pPr>
      <w:r>
        <w:t>Ley del Parlamento de Cataluña 12/2014, de 10 de octubre. Impuesto sobre la emisión de óxidos de nitrógeno a la atmósfera producida por la aviación comercial, del impuesto sobre la emisión de gases y partículas a la atmósfera producida por la industria y del impuesto sobre la producción de energía eléctrica de origen nuclear</w:t>
      </w:r>
    </w:p>
    <w:p w:rsidR="00981775" w:rsidRDefault="00981775" w:rsidP="00981775">
      <w:pPr>
        <w:pStyle w:val="SangriaFrancesaArticulo"/>
      </w:pPr>
      <w:r w:rsidRPr="00981775">
        <w:rPr>
          <w:rStyle w:val="TextoNormalNegritaCaracter"/>
        </w:rPr>
        <w:t>Artículo 1.1 c).</w:t>
      </w:r>
      <w:r w:rsidRPr="00981775">
        <w:rPr>
          <w:rStyle w:val="TextoNormalCaracter"/>
        </w:rPr>
        <w:t>-</w:t>
      </w:r>
      <w:r>
        <w:t xml:space="preserve"> Auto </w:t>
      </w:r>
      <w:hyperlink w:anchor="AUTO_2015_202" w:history="1">
        <w:r w:rsidRPr="00981775">
          <w:rPr>
            <w:rStyle w:val="TextoNormalCaracter"/>
          </w:rPr>
          <w:t>202/2015</w:t>
        </w:r>
      </w:hyperlink>
      <w:r>
        <w:t>, f. 1.</w:t>
      </w:r>
    </w:p>
    <w:p w:rsidR="00981775" w:rsidRDefault="00981775" w:rsidP="00981775">
      <w:pPr>
        <w:pStyle w:val="SangriaFrancesaArticulo"/>
      </w:pPr>
      <w:r w:rsidRPr="00981775">
        <w:rPr>
          <w:rStyle w:val="TextoNormalNegritaCaracter"/>
        </w:rPr>
        <w:t>Artículos 21 a 30.</w:t>
      </w:r>
      <w:r w:rsidRPr="00981775">
        <w:rPr>
          <w:rStyle w:val="TextoNormalCaracter"/>
        </w:rPr>
        <w:t>-</w:t>
      </w:r>
      <w:r>
        <w:t xml:space="preserve"> Auto </w:t>
      </w:r>
      <w:hyperlink w:anchor="AUTO_2015_202" w:history="1">
        <w:r w:rsidRPr="00981775">
          <w:rPr>
            <w:rStyle w:val="TextoNormalCaracter"/>
          </w:rPr>
          <w:t>202/2015</w:t>
        </w:r>
      </w:hyperlink>
      <w:r>
        <w:t>, f. 1.</w:t>
      </w:r>
    </w:p>
    <w:p w:rsidR="00981775" w:rsidRDefault="00981775" w:rsidP="00981775">
      <w:pPr>
        <w:pStyle w:val="SangriaFrancesaArticulo"/>
      </w:pPr>
    </w:p>
    <w:p w:rsidR="00981775" w:rsidRDefault="00981775" w:rsidP="00981775">
      <w:pPr>
        <w:pStyle w:val="TextoNormalNegritaCursivandice"/>
      </w:pPr>
      <w:r>
        <w:t>Ley del Parlamento de Cataluña 15/2014, de 4 de diciembre. Impuesto sobre la provisión de contenidos por parte de prestadores de servicios de comunicaciones electrónicas y de fomento del sector audiovisual y la difusión cultural digital</w:t>
      </w:r>
    </w:p>
    <w:p w:rsidR="00981775" w:rsidRDefault="00981775" w:rsidP="00981775">
      <w:pPr>
        <w:pStyle w:val="SangriaFrancesaArticulo"/>
      </w:pPr>
      <w:r w:rsidRPr="00981775">
        <w:rPr>
          <w:rStyle w:val="TextoNormalNegritaCaracter"/>
        </w:rPr>
        <w:t>Capítulo I.</w:t>
      </w:r>
      <w:r w:rsidRPr="00981775">
        <w:rPr>
          <w:rStyle w:val="TextoNormalCaracter"/>
        </w:rPr>
        <w:t>-</w:t>
      </w:r>
      <w:r>
        <w:t xml:space="preserve"> Auto </w:t>
      </w:r>
      <w:hyperlink w:anchor="AUTO_2015_196" w:history="1">
        <w:r w:rsidRPr="00981775">
          <w:rPr>
            <w:rStyle w:val="TextoNormalCaracter"/>
          </w:rPr>
          <w:t>196/2015</w:t>
        </w:r>
      </w:hyperlink>
      <w:r>
        <w:t>, f. 1.</w:t>
      </w:r>
    </w:p>
    <w:p w:rsidR="00981775" w:rsidRDefault="00981775" w:rsidP="00981775">
      <w:pPr>
        <w:pStyle w:val="SangriaFrancesaArticulo"/>
      </w:pPr>
      <w:r w:rsidRPr="00981775">
        <w:rPr>
          <w:rStyle w:val="TextoNormalNegritaCaracter"/>
        </w:rPr>
        <w:t>Artículo 3.1.</w:t>
      </w:r>
      <w:r w:rsidRPr="00981775">
        <w:rPr>
          <w:rStyle w:val="TextoNormalCaracter"/>
        </w:rPr>
        <w:t>-</w:t>
      </w:r>
      <w:r>
        <w:t xml:space="preserve"> Auto </w:t>
      </w:r>
      <w:hyperlink w:anchor="AUTO_2015_196" w:history="1">
        <w:r w:rsidRPr="00981775">
          <w:rPr>
            <w:rStyle w:val="TextoNormalCaracter"/>
          </w:rPr>
          <w:t>196/2015</w:t>
        </w:r>
      </w:hyperlink>
      <w:r>
        <w:t>, f. 1.</w:t>
      </w:r>
    </w:p>
    <w:p w:rsidR="00981775" w:rsidRDefault="00981775" w:rsidP="00981775">
      <w:pPr>
        <w:pStyle w:val="SangriaFrancesaArticulo"/>
      </w:pPr>
      <w:r w:rsidRPr="00981775">
        <w:rPr>
          <w:rStyle w:val="TextoNormalNegritaCaracter"/>
        </w:rPr>
        <w:t>Artículo 6.3.</w:t>
      </w:r>
      <w:r w:rsidRPr="00981775">
        <w:rPr>
          <w:rStyle w:val="TextoNormalCaracter"/>
        </w:rPr>
        <w:t>-</w:t>
      </w:r>
      <w:r>
        <w:t xml:space="preserve"> Auto </w:t>
      </w:r>
      <w:hyperlink w:anchor="AUTO_2015_196" w:history="1">
        <w:r w:rsidRPr="00981775">
          <w:rPr>
            <w:rStyle w:val="TextoNormalCaracter"/>
          </w:rPr>
          <w:t>196/2015</w:t>
        </w:r>
      </w:hyperlink>
      <w:r>
        <w:t>, f. 3.</w:t>
      </w:r>
    </w:p>
    <w:p w:rsidR="00981775" w:rsidRDefault="00981775" w:rsidP="00981775">
      <w:pPr>
        <w:pStyle w:val="SangriaFrancesaArticulo"/>
      </w:pPr>
    </w:p>
    <w:p w:rsidR="00981775" w:rsidRDefault="00981775" w:rsidP="00981775">
      <w:pPr>
        <w:pStyle w:val="TextoNormalNegritaCursivandice"/>
      </w:pPr>
      <w:r>
        <w:t>Ley del Parlamento de Cataluña 16/2014, de 4 de diciembre. Acción exterior y de relaciones con la Unión Europea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22" w:history="1">
        <w:r w:rsidRPr="00981775">
          <w:rPr>
            <w:rStyle w:val="TextoNormalCaracter"/>
          </w:rPr>
          <w:t>122/2015</w:t>
        </w:r>
      </w:hyperlink>
      <w:r>
        <w:t>, ff. 1, 3 a 7.</w:t>
      </w:r>
    </w:p>
    <w:p w:rsidR="00981775" w:rsidRDefault="00981775" w:rsidP="00981775">
      <w:pPr>
        <w:pStyle w:val="SangriaFrancesaArticulo"/>
      </w:pPr>
      <w:r w:rsidRPr="00981775">
        <w:rPr>
          <w:rStyle w:val="TextoNormalNegritaCaracter"/>
        </w:rPr>
        <w:t>Título preliminar.</w:t>
      </w:r>
      <w:r w:rsidRPr="00981775">
        <w:rPr>
          <w:rStyle w:val="TextoNormalCaracter"/>
        </w:rPr>
        <w:t>-</w:t>
      </w:r>
      <w:r>
        <w:t xml:space="preserve"> Auto </w:t>
      </w:r>
      <w:hyperlink w:anchor="AUTO_2015_122" w:history="1">
        <w:r w:rsidRPr="00981775">
          <w:rPr>
            <w:rStyle w:val="TextoNormalCaracter"/>
          </w:rPr>
          <w:t>122/2015</w:t>
        </w:r>
      </w:hyperlink>
      <w:r>
        <w:t>, f. 5.</w:t>
      </w:r>
    </w:p>
    <w:p w:rsidR="00981775" w:rsidRDefault="00981775" w:rsidP="00981775">
      <w:pPr>
        <w:pStyle w:val="SangriaFrancesaArticulo"/>
      </w:pPr>
      <w:r w:rsidRPr="00981775">
        <w:rPr>
          <w:rStyle w:val="TextoNormalNegritaCaracter"/>
        </w:rPr>
        <w:t>Artículo 1.</w:t>
      </w:r>
      <w:r w:rsidRPr="00981775">
        <w:rPr>
          <w:rStyle w:val="TextoNormalCaracter"/>
        </w:rPr>
        <w:t>-</w:t>
      </w:r>
      <w:r>
        <w:t xml:space="preserve"> Auto </w:t>
      </w:r>
      <w:hyperlink w:anchor="AUTO_2015_122" w:history="1">
        <w:r w:rsidRPr="00981775">
          <w:rPr>
            <w:rStyle w:val="TextoNormalCaracter"/>
          </w:rPr>
          <w:t>122/2015</w:t>
        </w:r>
      </w:hyperlink>
      <w:r>
        <w:t>, f. 5.</w:t>
      </w:r>
    </w:p>
    <w:p w:rsidR="00981775" w:rsidRDefault="00981775" w:rsidP="00981775">
      <w:pPr>
        <w:pStyle w:val="SangriaFrancesaArticulo"/>
      </w:pPr>
      <w:r w:rsidRPr="00981775">
        <w:rPr>
          <w:rStyle w:val="TextoNormalNegritaCaracter"/>
        </w:rPr>
        <w:t>Artículo 1.1 b) expresión "actor internacional activo".</w:t>
      </w:r>
      <w:r w:rsidRPr="00981775">
        <w:rPr>
          <w:rStyle w:val="TextoNormalCaracter"/>
        </w:rPr>
        <w:t>-</w:t>
      </w:r>
      <w:r>
        <w:t xml:space="preserve"> Auto </w:t>
      </w:r>
      <w:hyperlink w:anchor="AUTO_2015_122" w:history="1">
        <w:r w:rsidRPr="00981775">
          <w:rPr>
            <w:rStyle w:val="TextoNormalCaracter"/>
          </w:rPr>
          <w:t>122/2015</w:t>
        </w:r>
      </w:hyperlink>
      <w:r>
        <w:t>, f. 5.</w:t>
      </w:r>
    </w:p>
    <w:p w:rsidR="00981775" w:rsidRDefault="00981775" w:rsidP="00981775">
      <w:pPr>
        <w:pStyle w:val="SangriaFrancesaArticulo"/>
      </w:pPr>
      <w:r w:rsidRPr="00981775">
        <w:rPr>
          <w:rStyle w:val="TextoNormalNegritaCaracter"/>
        </w:rPr>
        <w:t>Artículos 1 a 4.</w:t>
      </w:r>
      <w:r w:rsidRPr="00981775">
        <w:rPr>
          <w:rStyle w:val="TextoNormalCaracter"/>
        </w:rPr>
        <w:t>-</w:t>
      </w:r>
      <w:r>
        <w:t xml:space="preserve"> Auto </w:t>
      </w:r>
      <w:hyperlink w:anchor="AUTO_2015_122" w:history="1">
        <w:r w:rsidRPr="00981775">
          <w:rPr>
            <w:rStyle w:val="TextoNormalCaracter"/>
          </w:rPr>
          <w:t>122/2015</w:t>
        </w:r>
      </w:hyperlink>
      <w:r>
        <w:t>, f. 5.</w:t>
      </w:r>
    </w:p>
    <w:p w:rsidR="00981775" w:rsidRDefault="00981775" w:rsidP="00981775">
      <w:pPr>
        <w:pStyle w:val="SangriaFrancesaArticulo"/>
      </w:pPr>
      <w:r w:rsidRPr="00981775">
        <w:rPr>
          <w:rStyle w:val="TextoNormalNegritaCaracter"/>
        </w:rPr>
        <w:t>Artículos 1 a 9.</w:t>
      </w:r>
      <w:r w:rsidRPr="00981775">
        <w:rPr>
          <w:rStyle w:val="TextoNormalCaracter"/>
        </w:rPr>
        <w:t>-</w:t>
      </w:r>
      <w:r>
        <w:t xml:space="preserve"> Auto </w:t>
      </w:r>
      <w:hyperlink w:anchor="AUTO_2015_122" w:history="1">
        <w:r w:rsidRPr="00981775">
          <w:rPr>
            <w:rStyle w:val="TextoNormalCaracter"/>
          </w:rPr>
          <w:t>122/2015</w:t>
        </w:r>
      </w:hyperlink>
      <w:r>
        <w:t>, f. 1.</w:t>
      </w:r>
    </w:p>
    <w:p w:rsidR="00981775" w:rsidRDefault="00981775" w:rsidP="00981775">
      <w:pPr>
        <w:pStyle w:val="SangriaFrancesaArticulo"/>
      </w:pPr>
      <w:r w:rsidRPr="00981775">
        <w:rPr>
          <w:rStyle w:val="TextoNormalNegritaCaracter"/>
        </w:rPr>
        <w:t>Artículo 2.</w:t>
      </w:r>
      <w:r w:rsidRPr="00981775">
        <w:rPr>
          <w:rStyle w:val="TextoNormalCaracter"/>
        </w:rPr>
        <w:t>-</w:t>
      </w:r>
      <w:r>
        <w:t xml:space="preserve"> Auto </w:t>
      </w:r>
      <w:hyperlink w:anchor="AUTO_2015_122" w:history="1">
        <w:r w:rsidRPr="00981775">
          <w:rPr>
            <w:rStyle w:val="TextoNormalCaracter"/>
          </w:rPr>
          <w:t>122/2015</w:t>
        </w:r>
      </w:hyperlink>
      <w:r>
        <w:t>, f. 5.</w:t>
      </w:r>
    </w:p>
    <w:p w:rsidR="00981775" w:rsidRDefault="00981775" w:rsidP="00981775">
      <w:pPr>
        <w:pStyle w:val="SangriaFrancesaArticulo"/>
      </w:pPr>
      <w:r w:rsidRPr="00981775">
        <w:rPr>
          <w:rStyle w:val="TextoNormalNegritaCaracter"/>
        </w:rPr>
        <w:t>Artículo 2 d).</w:t>
      </w:r>
      <w:r w:rsidRPr="00981775">
        <w:rPr>
          <w:rStyle w:val="TextoNormalCaracter"/>
        </w:rPr>
        <w:t>-</w:t>
      </w:r>
      <w:r>
        <w:t xml:space="preserve"> Auto </w:t>
      </w:r>
      <w:hyperlink w:anchor="AUTO_2015_122" w:history="1">
        <w:r w:rsidRPr="00981775">
          <w:rPr>
            <w:rStyle w:val="TextoNormalCaracter"/>
          </w:rPr>
          <w:t>122/2015</w:t>
        </w:r>
      </w:hyperlink>
      <w:r>
        <w:t>, f. 6.</w:t>
      </w:r>
    </w:p>
    <w:p w:rsidR="00981775" w:rsidRDefault="00981775" w:rsidP="00981775">
      <w:pPr>
        <w:pStyle w:val="SangriaFrancesaArticulo"/>
      </w:pPr>
      <w:r w:rsidRPr="00981775">
        <w:rPr>
          <w:rStyle w:val="TextoNormalNegritaCaracter"/>
        </w:rPr>
        <w:t>Artículo 2 i).</w:t>
      </w:r>
      <w:r w:rsidRPr="00981775">
        <w:rPr>
          <w:rStyle w:val="TextoNormalCaracter"/>
        </w:rPr>
        <w:t>-</w:t>
      </w:r>
      <w:r>
        <w:t xml:space="preserve"> Auto </w:t>
      </w:r>
      <w:hyperlink w:anchor="AUTO_2015_122" w:history="1">
        <w:r w:rsidRPr="00981775">
          <w:rPr>
            <w:rStyle w:val="TextoNormalCaracter"/>
          </w:rPr>
          <w:t>122/2015</w:t>
        </w:r>
      </w:hyperlink>
      <w:r>
        <w:t>, f. 5.</w:t>
      </w:r>
    </w:p>
    <w:p w:rsidR="00981775" w:rsidRDefault="00981775" w:rsidP="00981775">
      <w:pPr>
        <w:pStyle w:val="SangriaFrancesaArticulo"/>
      </w:pPr>
      <w:r w:rsidRPr="00981775">
        <w:rPr>
          <w:rStyle w:val="TextoNormalNegritaCaracter"/>
        </w:rPr>
        <w:t>Artículo 2 j).</w:t>
      </w:r>
      <w:r w:rsidRPr="00981775">
        <w:rPr>
          <w:rStyle w:val="TextoNormalCaracter"/>
        </w:rPr>
        <w:t>-</w:t>
      </w:r>
      <w:r>
        <w:t xml:space="preserve"> Auto </w:t>
      </w:r>
      <w:hyperlink w:anchor="AUTO_2015_122" w:history="1">
        <w:r w:rsidRPr="00981775">
          <w:rPr>
            <w:rStyle w:val="TextoNormalCaracter"/>
          </w:rPr>
          <w:t>122/2015</w:t>
        </w:r>
      </w:hyperlink>
      <w:r>
        <w:t>, f. 5.</w:t>
      </w:r>
    </w:p>
    <w:p w:rsidR="00981775" w:rsidRDefault="00981775" w:rsidP="00981775">
      <w:pPr>
        <w:pStyle w:val="SangriaFrancesaArticulo"/>
      </w:pPr>
      <w:r w:rsidRPr="00981775">
        <w:rPr>
          <w:rStyle w:val="TextoNormalNegritaCaracter"/>
        </w:rPr>
        <w:t>Artículo 2 k).</w:t>
      </w:r>
      <w:r w:rsidRPr="00981775">
        <w:rPr>
          <w:rStyle w:val="TextoNormalCaracter"/>
        </w:rPr>
        <w:t>-</w:t>
      </w:r>
      <w:r>
        <w:t xml:space="preserve"> Auto </w:t>
      </w:r>
      <w:hyperlink w:anchor="AUTO_2015_122" w:history="1">
        <w:r w:rsidRPr="00981775">
          <w:rPr>
            <w:rStyle w:val="TextoNormalCaracter"/>
          </w:rPr>
          <w:t>122/2015</w:t>
        </w:r>
      </w:hyperlink>
      <w:r>
        <w:t>, f. 5.</w:t>
      </w:r>
    </w:p>
    <w:p w:rsidR="00981775" w:rsidRDefault="00981775" w:rsidP="00981775">
      <w:pPr>
        <w:pStyle w:val="SangriaFrancesaArticulo"/>
      </w:pPr>
      <w:r w:rsidRPr="00981775">
        <w:rPr>
          <w:rStyle w:val="TextoNormalNegritaCaracter"/>
        </w:rPr>
        <w:t>Artículo 2 l).</w:t>
      </w:r>
      <w:r w:rsidRPr="00981775">
        <w:rPr>
          <w:rStyle w:val="TextoNormalCaracter"/>
        </w:rPr>
        <w:t>-</w:t>
      </w:r>
      <w:r>
        <w:t xml:space="preserve"> Auto </w:t>
      </w:r>
      <w:hyperlink w:anchor="AUTO_2015_122" w:history="1">
        <w:r w:rsidRPr="00981775">
          <w:rPr>
            <w:rStyle w:val="TextoNormalCaracter"/>
          </w:rPr>
          <w:t>122/2015</w:t>
        </w:r>
      </w:hyperlink>
      <w:r>
        <w:t>, f. 5.</w:t>
      </w:r>
    </w:p>
    <w:p w:rsidR="00981775" w:rsidRDefault="00981775" w:rsidP="00981775">
      <w:pPr>
        <w:pStyle w:val="SangriaFrancesaArticulo"/>
      </w:pPr>
      <w:r w:rsidRPr="00981775">
        <w:rPr>
          <w:rStyle w:val="TextoNormalNegritaCaracter"/>
        </w:rPr>
        <w:t>Artículo 3.</w:t>
      </w:r>
      <w:r w:rsidRPr="00981775">
        <w:rPr>
          <w:rStyle w:val="TextoNormalCaracter"/>
        </w:rPr>
        <w:t>-</w:t>
      </w:r>
      <w:r>
        <w:t xml:space="preserve"> Auto </w:t>
      </w:r>
      <w:hyperlink w:anchor="AUTO_2015_122" w:history="1">
        <w:r w:rsidRPr="00981775">
          <w:rPr>
            <w:rStyle w:val="TextoNormalCaracter"/>
          </w:rPr>
          <w:t>122/2015</w:t>
        </w:r>
      </w:hyperlink>
      <w:r>
        <w:t>, f. 5.</w:t>
      </w:r>
    </w:p>
    <w:p w:rsidR="00981775" w:rsidRDefault="00981775" w:rsidP="00981775">
      <w:pPr>
        <w:pStyle w:val="SangriaFrancesaArticulo"/>
      </w:pPr>
      <w:r w:rsidRPr="00981775">
        <w:rPr>
          <w:rStyle w:val="TextoNormalNegritaCaracter"/>
        </w:rPr>
        <w:t>Artículo 3 e).</w:t>
      </w:r>
      <w:r w:rsidRPr="00981775">
        <w:rPr>
          <w:rStyle w:val="TextoNormalCaracter"/>
        </w:rPr>
        <w:t>-</w:t>
      </w:r>
      <w:r>
        <w:t xml:space="preserve"> Auto </w:t>
      </w:r>
      <w:hyperlink w:anchor="AUTO_2015_122" w:history="1">
        <w:r w:rsidRPr="00981775">
          <w:rPr>
            <w:rStyle w:val="TextoNormalCaracter"/>
          </w:rPr>
          <w:t>122/2015</w:t>
        </w:r>
      </w:hyperlink>
      <w:r>
        <w:t>, f. 5.</w:t>
      </w:r>
    </w:p>
    <w:p w:rsidR="00981775" w:rsidRDefault="00981775" w:rsidP="00981775">
      <w:pPr>
        <w:pStyle w:val="SangriaFrancesaArticulo"/>
      </w:pPr>
      <w:r w:rsidRPr="00981775">
        <w:rPr>
          <w:rStyle w:val="TextoNormalNegritaCaracter"/>
        </w:rPr>
        <w:t>Artículo 4.</w:t>
      </w:r>
      <w:r w:rsidRPr="00981775">
        <w:rPr>
          <w:rStyle w:val="TextoNormalCaracter"/>
        </w:rPr>
        <w:t>-</w:t>
      </w:r>
      <w:r>
        <w:t xml:space="preserve"> Auto </w:t>
      </w:r>
      <w:hyperlink w:anchor="AUTO_2015_122" w:history="1">
        <w:r w:rsidRPr="00981775">
          <w:rPr>
            <w:rStyle w:val="TextoNormalCaracter"/>
          </w:rPr>
          <w:t>122/2015</w:t>
        </w:r>
      </w:hyperlink>
      <w:r>
        <w:t>, f. 5.</w:t>
      </w:r>
    </w:p>
    <w:p w:rsidR="00981775" w:rsidRDefault="00981775" w:rsidP="00981775">
      <w:pPr>
        <w:pStyle w:val="SangriaFrancesaArticulo"/>
      </w:pPr>
      <w:r w:rsidRPr="00981775">
        <w:rPr>
          <w:rStyle w:val="TextoNormalNegritaCaracter"/>
        </w:rPr>
        <w:t>Artículo 4 a).</w:t>
      </w:r>
      <w:r w:rsidRPr="00981775">
        <w:rPr>
          <w:rStyle w:val="TextoNormalCaracter"/>
        </w:rPr>
        <w:t>-</w:t>
      </w:r>
      <w:r>
        <w:t xml:space="preserve"> Auto </w:t>
      </w:r>
      <w:hyperlink w:anchor="AUTO_2015_122" w:history="1">
        <w:r w:rsidRPr="00981775">
          <w:rPr>
            <w:rStyle w:val="TextoNormalCaracter"/>
          </w:rPr>
          <w:t>122/2015</w:t>
        </w:r>
      </w:hyperlink>
      <w:r>
        <w:t>, f. 5.</w:t>
      </w:r>
    </w:p>
    <w:p w:rsidR="00981775" w:rsidRDefault="00981775" w:rsidP="00981775">
      <w:pPr>
        <w:pStyle w:val="SangriaFrancesaArticulo"/>
      </w:pPr>
      <w:r w:rsidRPr="00981775">
        <w:rPr>
          <w:rStyle w:val="TextoNormalNegritaCaracter"/>
        </w:rPr>
        <w:t>Artículo 5.</w:t>
      </w:r>
      <w:r w:rsidRPr="00981775">
        <w:rPr>
          <w:rStyle w:val="TextoNormalCaracter"/>
        </w:rPr>
        <w:t>-</w:t>
      </w:r>
      <w:r>
        <w:t xml:space="preserve"> Auto </w:t>
      </w:r>
      <w:hyperlink w:anchor="AUTO_2015_122" w:history="1">
        <w:r w:rsidRPr="00981775">
          <w:rPr>
            <w:rStyle w:val="TextoNormalCaracter"/>
          </w:rPr>
          <w:t>122/2015</w:t>
        </w:r>
      </w:hyperlink>
      <w:r>
        <w:t>, f. 6.</w:t>
      </w:r>
    </w:p>
    <w:p w:rsidR="00981775" w:rsidRDefault="00981775" w:rsidP="00981775">
      <w:pPr>
        <w:pStyle w:val="SangriaFrancesaArticulo"/>
      </w:pPr>
      <w:r w:rsidRPr="00981775">
        <w:rPr>
          <w:rStyle w:val="TextoNormalNegritaCaracter"/>
        </w:rPr>
        <w:t>Artículo 5 h).</w:t>
      </w:r>
      <w:r w:rsidRPr="00981775">
        <w:rPr>
          <w:rStyle w:val="TextoNormalCaracter"/>
        </w:rPr>
        <w:t>-</w:t>
      </w:r>
      <w:r>
        <w:t xml:space="preserve"> Auto </w:t>
      </w:r>
      <w:hyperlink w:anchor="AUTO_2015_122" w:history="1">
        <w:r w:rsidRPr="00981775">
          <w:rPr>
            <w:rStyle w:val="TextoNormalCaracter"/>
          </w:rPr>
          <w:t>122/2015</w:t>
        </w:r>
      </w:hyperlink>
      <w:r>
        <w:t>, f. 6.</w:t>
      </w:r>
    </w:p>
    <w:p w:rsidR="00981775" w:rsidRDefault="00981775" w:rsidP="00981775">
      <w:pPr>
        <w:pStyle w:val="SangriaFrancesaArticulo"/>
      </w:pPr>
      <w:r w:rsidRPr="00981775">
        <w:rPr>
          <w:rStyle w:val="TextoNormalNegritaCaracter"/>
        </w:rPr>
        <w:t>Artículos 5 a 9.</w:t>
      </w:r>
      <w:r w:rsidRPr="00981775">
        <w:rPr>
          <w:rStyle w:val="TextoNormalCaracter"/>
        </w:rPr>
        <w:t>-</w:t>
      </w:r>
      <w:r>
        <w:t xml:space="preserve"> Auto </w:t>
      </w:r>
      <w:hyperlink w:anchor="AUTO_2015_122" w:history="1">
        <w:r w:rsidRPr="00981775">
          <w:rPr>
            <w:rStyle w:val="TextoNormalCaracter"/>
          </w:rPr>
          <w:t>122/2015</w:t>
        </w:r>
      </w:hyperlink>
      <w:r>
        <w:t>, ff. 3, 6.</w:t>
      </w:r>
    </w:p>
    <w:p w:rsidR="00981775" w:rsidRDefault="00981775" w:rsidP="00981775">
      <w:pPr>
        <w:pStyle w:val="SangriaFrancesaArticulo"/>
      </w:pPr>
      <w:r w:rsidRPr="00981775">
        <w:rPr>
          <w:rStyle w:val="TextoNormalNegritaCaracter"/>
        </w:rPr>
        <w:t>Artículo 6.</w:t>
      </w:r>
      <w:r w:rsidRPr="00981775">
        <w:rPr>
          <w:rStyle w:val="TextoNormalCaracter"/>
        </w:rPr>
        <w:t>-</w:t>
      </w:r>
      <w:r>
        <w:t xml:space="preserve"> Auto </w:t>
      </w:r>
      <w:hyperlink w:anchor="AUTO_2015_122" w:history="1">
        <w:r w:rsidRPr="00981775">
          <w:rPr>
            <w:rStyle w:val="TextoNormalCaracter"/>
          </w:rPr>
          <w:t>122/2015</w:t>
        </w:r>
      </w:hyperlink>
      <w:r>
        <w:t>, f. 6.</w:t>
      </w:r>
    </w:p>
    <w:p w:rsidR="00981775" w:rsidRDefault="00981775" w:rsidP="00981775">
      <w:pPr>
        <w:pStyle w:val="SangriaFrancesaArticulo"/>
      </w:pPr>
      <w:r w:rsidRPr="00981775">
        <w:rPr>
          <w:rStyle w:val="TextoNormalNegritaCaracter"/>
        </w:rPr>
        <w:t>Artículo 7.</w:t>
      </w:r>
      <w:r w:rsidRPr="00981775">
        <w:rPr>
          <w:rStyle w:val="TextoNormalCaracter"/>
        </w:rPr>
        <w:t>-</w:t>
      </w:r>
      <w:r>
        <w:t xml:space="preserve"> Auto </w:t>
      </w:r>
      <w:hyperlink w:anchor="AUTO_2015_122" w:history="1">
        <w:r w:rsidRPr="00981775">
          <w:rPr>
            <w:rStyle w:val="TextoNormalCaracter"/>
          </w:rPr>
          <w:t>122/2015</w:t>
        </w:r>
      </w:hyperlink>
      <w:r>
        <w:t>, f. 6.</w:t>
      </w:r>
    </w:p>
    <w:p w:rsidR="00981775" w:rsidRDefault="00981775" w:rsidP="00981775">
      <w:pPr>
        <w:pStyle w:val="SangriaFrancesaArticulo"/>
      </w:pPr>
      <w:r w:rsidRPr="00981775">
        <w:rPr>
          <w:rStyle w:val="TextoNormalNegritaCaracter"/>
        </w:rPr>
        <w:t>Artículo 7 a 9.</w:t>
      </w:r>
      <w:r w:rsidRPr="00981775">
        <w:rPr>
          <w:rStyle w:val="TextoNormalCaracter"/>
        </w:rPr>
        <w:t>-</w:t>
      </w:r>
      <w:r>
        <w:t xml:space="preserve"> Auto </w:t>
      </w:r>
      <w:hyperlink w:anchor="AUTO_2015_122" w:history="1">
        <w:r w:rsidRPr="00981775">
          <w:rPr>
            <w:rStyle w:val="TextoNormalCaracter"/>
          </w:rPr>
          <w:t>122/2015</w:t>
        </w:r>
      </w:hyperlink>
      <w:r>
        <w:t>, f. 6.</w:t>
      </w:r>
    </w:p>
    <w:p w:rsidR="00981775" w:rsidRDefault="00981775" w:rsidP="00981775">
      <w:pPr>
        <w:pStyle w:val="SangriaFrancesaArticulo"/>
      </w:pPr>
      <w:r w:rsidRPr="00981775">
        <w:rPr>
          <w:rStyle w:val="TextoNormalNegritaCaracter"/>
        </w:rPr>
        <w:t>Artículo 7 c).</w:t>
      </w:r>
      <w:r w:rsidRPr="00981775">
        <w:rPr>
          <w:rStyle w:val="TextoNormalCaracter"/>
        </w:rPr>
        <w:t>-</w:t>
      </w:r>
      <w:r>
        <w:t xml:space="preserve"> Auto </w:t>
      </w:r>
      <w:hyperlink w:anchor="AUTO_2015_122" w:history="1">
        <w:r w:rsidRPr="00981775">
          <w:rPr>
            <w:rStyle w:val="TextoNormalCaracter"/>
          </w:rPr>
          <w:t>122/2015</w:t>
        </w:r>
      </w:hyperlink>
      <w:r>
        <w:t>, f. 6.</w:t>
      </w:r>
    </w:p>
    <w:p w:rsidR="00981775" w:rsidRDefault="00981775" w:rsidP="00981775">
      <w:pPr>
        <w:pStyle w:val="SangriaFrancesaArticulo"/>
      </w:pPr>
      <w:r w:rsidRPr="00981775">
        <w:rPr>
          <w:rStyle w:val="TextoNormalNegritaCaracter"/>
        </w:rPr>
        <w:t>Artículo 7 e).</w:t>
      </w:r>
      <w:r w:rsidRPr="00981775">
        <w:rPr>
          <w:rStyle w:val="TextoNormalCaracter"/>
        </w:rPr>
        <w:t>-</w:t>
      </w:r>
      <w:r>
        <w:t xml:space="preserve"> Auto </w:t>
      </w:r>
      <w:hyperlink w:anchor="AUTO_2015_122" w:history="1">
        <w:r w:rsidRPr="00981775">
          <w:rPr>
            <w:rStyle w:val="TextoNormalCaracter"/>
          </w:rPr>
          <w:t>122/2015</w:t>
        </w:r>
      </w:hyperlink>
      <w:r>
        <w:t>, f. 6.</w:t>
      </w:r>
    </w:p>
    <w:p w:rsidR="00981775" w:rsidRDefault="00981775" w:rsidP="00981775">
      <w:pPr>
        <w:pStyle w:val="SangriaFrancesaArticulo"/>
      </w:pPr>
      <w:r w:rsidRPr="00981775">
        <w:rPr>
          <w:rStyle w:val="TextoNormalNegritaCaracter"/>
        </w:rPr>
        <w:t>Artículo 8.</w:t>
      </w:r>
      <w:r w:rsidRPr="00981775">
        <w:rPr>
          <w:rStyle w:val="TextoNormalCaracter"/>
        </w:rPr>
        <w:t>-</w:t>
      </w:r>
      <w:r>
        <w:t xml:space="preserve"> Auto </w:t>
      </w:r>
      <w:hyperlink w:anchor="AUTO_2015_122" w:history="1">
        <w:r w:rsidRPr="00981775">
          <w:rPr>
            <w:rStyle w:val="TextoNormalCaracter"/>
          </w:rPr>
          <w:t>122/2015</w:t>
        </w:r>
      </w:hyperlink>
      <w:r>
        <w:t>, f. 6.</w:t>
      </w:r>
    </w:p>
    <w:p w:rsidR="00981775" w:rsidRDefault="00981775" w:rsidP="00981775">
      <w:pPr>
        <w:pStyle w:val="SangriaFrancesaArticulo"/>
      </w:pPr>
      <w:r w:rsidRPr="00981775">
        <w:rPr>
          <w:rStyle w:val="TextoNormalNegritaCaracter"/>
        </w:rPr>
        <w:t>Artículo 9.</w:t>
      </w:r>
      <w:r w:rsidRPr="00981775">
        <w:rPr>
          <w:rStyle w:val="TextoNormalCaracter"/>
        </w:rPr>
        <w:t>-</w:t>
      </w:r>
      <w:r>
        <w:t xml:space="preserve"> Auto </w:t>
      </w:r>
      <w:hyperlink w:anchor="AUTO_2015_122" w:history="1">
        <w:r w:rsidRPr="00981775">
          <w:rPr>
            <w:rStyle w:val="TextoNormalCaracter"/>
          </w:rPr>
          <w:t>122/2015</w:t>
        </w:r>
      </w:hyperlink>
      <w:r>
        <w:t>, f. 6.</w:t>
      </w:r>
    </w:p>
    <w:p w:rsidR="00981775" w:rsidRDefault="00981775" w:rsidP="00981775">
      <w:pPr>
        <w:pStyle w:val="SangriaFrancesaArticulo"/>
      </w:pPr>
      <w:r w:rsidRPr="00981775">
        <w:rPr>
          <w:rStyle w:val="TextoNormalNegritaCaracter"/>
        </w:rPr>
        <w:t>Artículo 26.</w:t>
      </w:r>
      <w:r w:rsidRPr="00981775">
        <w:rPr>
          <w:rStyle w:val="TextoNormalCaracter"/>
        </w:rPr>
        <w:t>-</w:t>
      </w:r>
      <w:r>
        <w:t xml:space="preserve"> Auto </w:t>
      </w:r>
      <w:hyperlink w:anchor="AUTO_2015_122" w:history="1">
        <w:r w:rsidRPr="00981775">
          <w:rPr>
            <w:rStyle w:val="TextoNormalCaracter"/>
          </w:rPr>
          <w:t>122/2015</w:t>
        </w:r>
      </w:hyperlink>
      <w:r>
        <w:t>, ff. 1, 6.</w:t>
      </w:r>
    </w:p>
    <w:p w:rsidR="00981775" w:rsidRDefault="00981775" w:rsidP="00981775">
      <w:pPr>
        <w:pStyle w:val="SangriaFrancesaArticulo"/>
      </w:pPr>
      <w:r w:rsidRPr="00981775">
        <w:rPr>
          <w:rStyle w:val="TextoNormalNegritaCaracter"/>
        </w:rPr>
        <w:t>Artículo 29.</w:t>
      </w:r>
      <w:r w:rsidRPr="00981775">
        <w:rPr>
          <w:rStyle w:val="TextoNormalCaracter"/>
        </w:rPr>
        <w:t>-</w:t>
      </w:r>
      <w:r>
        <w:t xml:space="preserve"> Auto </w:t>
      </w:r>
      <w:hyperlink w:anchor="AUTO_2015_122" w:history="1">
        <w:r w:rsidRPr="00981775">
          <w:rPr>
            <w:rStyle w:val="TextoNormalCaracter"/>
          </w:rPr>
          <w:t>122/2015</w:t>
        </w:r>
      </w:hyperlink>
      <w:r>
        <w:t>, ff. 6, 7.</w:t>
      </w:r>
    </w:p>
    <w:p w:rsidR="00981775" w:rsidRDefault="00981775" w:rsidP="00981775">
      <w:pPr>
        <w:pStyle w:val="SangriaFrancesaArticulo"/>
      </w:pPr>
      <w:r w:rsidRPr="00981775">
        <w:rPr>
          <w:rStyle w:val="TextoNormalNegritaCaracter"/>
        </w:rPr>
        <w:t>Artículo 29.3.</w:t>
      </w:r>
      <w:r w:rsidRPr="00981775">
        <w:rPr>
          <w:rStyle w:val="TextoNormalCaracter"/>
        </w:rPr>
        <w:t>-</w:t>
      </w:r>
      <w:r>
        <w:t xml:space="preserve"> Auto </w:t>
      </w:r>
      <w:hyperlink w:anchor="AUTO_2015_122" w:history="1">
        <w:r w:rsidRPr="00981775">
          <w:rPr>
            <w:rStyle w:val="TextoNormalCaracter"/>
          </w:rPr>
          <w:t>122/2015</w:t>
        </w:r>
      </w:hyperlink>
      <w:r>
        <w:t>, f. 7.</w:t>
      </w:r>
    </w:p>
    <w:p w:rsidR="00981775" w:rsidRDefault="00981775" w:rsidP="00981775">
      <w:pPr>
        <w:pStyle w:val="SangriaFrancesaArticulo"/>
      </w:pPr>
      <w:r w:rsidRPr="00981775">
        <w:rPr>
          <w:rStyle w:val="TextoNormalNegritaCaracter"/>
        </w:rPr>
        <w:t>Artículos 29 a 33.</w:t>
      </w:r>
      <w:r w:rsidRPr="00981775">
        <w:rPr>
          <w:rStyle w:val="TextoNormalCaracter"/>
        </w:rPr>
        <w:t>-</w:t>
      </w:r>
      <w:r>
        <w:t xml:space="preserve"> Auto </w:t>
      </w:r>
      <w:hyperlink w:anchor="AUTO_2015_122" w:history="1">
        <w:r w:rsidRPr="00981775">
          <w:rPr>
            <w:rStyle w:val="TextoNormalCaracter"/>
          </w:rPr>
          <w:t>122/2015</w:t>
        </w:r>
      </w:hyperlink>
      <w:r>
        <w:t>, f. 7.</w:t>
      </w:r>
    </w:p>
    <w:p w:rsidR="00981775" w:rsidRDefault="00981775" w:rsidP="00981775">
      <w:pPr>
        <w:pStyle w:val="SangriaFrancesaArticulo"/>
      </w:pPr>
      <w:r w:rsidRPr="00981775">
        <w:rPr>
          <w:rStyle w:val="TextoNormalNegritaCaracter"/>
        </w:rPr>
        <w:t>Artículos 29 a 38.</w:t>
      </w:r>
      <w:r w:rsidRPr="00981775">
        <w:rPr>
          <w:rStyle w:val="TextoNormalCaracter"/>
        </w:rPr>
        <w:t>-</w:t>
      </w:r>
      <w:r>
        <w:t xml:space="preserve"> Auto </w:t>
      </w:r>
      <w:hyperlink w:anchor="AUTO_2015_122" w:history="1">
        <w:r w:rsidRPr="00981775">
          <w:rPr>
            <w:rStyle w:val="TextoNormalCaracter"/>
          </w:rPr>
          <w:t>122/2015</w:t>
        </w:r>
      </w:hyperlink>
      <w:r>
        <w:t>, f. 1.</w:t>
      </w:r>
    </w:p>
    <w:p w:rsidR="00981775" w:rsidRDefault="00981775" w:rsidP="00981775">
      <w:pPr>
        <w:pStyle w:val="SangriaFrancesaArticulo"/>
      </w:pPr>
      <w:r w:rsidRPr="00981775">
        <w:rPr>
          <w:rStyle w:val="TextoNormalNegritaCaracter"/>
        </w:rPr>
        <w:t>Artículo 30.</w:t>
      </w:r>
      <w:r w:rsidRPr="00981775">
        <w:rPr>
          <w:rStyle w:val="TextoNormalCaracter"/>
        </w:rPr>
        <w:t>-</w:t>
      </w:r>
      <w:r>
        <w:t xml:space="preserve"> Auto </w:t>
      </w:r>
      <w:hyperlink w:anchor="AUTO_2015_122" w:history="1">
        <w:r w:rsidRPr="00981775">
          <w:rPr>
            <w:rStyle w:val="TextoNormalCaracter"/>
          </w:rPr>
          <w:t>122/2015</w:t>
        </w:r>
      </w:hyperlink>
      <w:r>
        <w:t>, ff. 6, 7.</w:t>
      </w:r>
    </w:p>
    <w:p w:rsidR="00981775" w:rsidRDefault="00981775" w:rsidP="00981775">
      <w:pPr>
        <w:pStyle w:val="SangriaFrancesaArticulo"/>
      </w:pPr>
      <w:r w:rsidRPr="00981775">
        <w:rPr>
          <w:rStyle w:val="TextoNormalNegritaCaracter"/>
        </w:rPr>
        <w:t>Artículo 31.</w:t>
      </w:r>
      <w:r w:rsidRPr="00981775">
        <w:rPr>
          <w:rStyle w:val="TextoNormalCaracter"/>
        </w:rPr>
        <w:t>-</w:t>
      </w:r>
      <w:r>
        <w:t xml:space="preserve"> Auto </w:t>
      </w:r>
      <w:hyperlink w:anchor="AUTO_2015_122" w:history="1">
        <w:r w:rsidRPr="00981775">
          <w:rPr>
            <w:rStyle w:val="TextoNormalCaracter"/>
          </w:rPr>
          <w:t>122/2015</w:t>
        </w:r>
      </w:hyperlink>
      <w:r>
        <w:t>, f. 7.</w:t>
      </w:r>
    </w:p>
    <w:p w:rsidR="00981775" w:rsidRDefault="00981775" w:rsidP="00981775">
      <w:pPr>
        <w:pStyle w:val="SangriaFrancesaArticulo"/>
      </w:pPr>
      <w:r w:rsidRPr="00981775">
        <w:rPr>
          <w:rStyle w:val="TextoNormalNegritaCaracter"/>
        </w:rPr>
        <w:t>Artículo 32.</w:t>
      </w:r>
      <w:r w:rsidRPr="00981775">
        <w:rPr>
          <w:rStyle w:val="TextoNormalCaracter"/>
        </w:rPr>
        <w:t>-</w:t>
      </w:r>
      <w:r>
        <w:t xml:space="preserve"> Auto </w:t>
      </w:r>
      <w:hyperlink w:anchor="AUTO_2015_122" w:history="1">
        <w:r w:rsidRPr="00981775">
          <w:rPr>
            <w:rStyle w:val="TextoNormalCaracter"/>
          </w:rPr>
          <w:t>122/2015</w:t>
        </w:r>
      </w:hyperlink>
      <w:r>
        <w:t>, f. 7.</w:t>
      </w:r>
    </w:p>
    <w:p w:rsidR="00981775" w:rsidRDefault="00981775" w:rsidP="00981775">
      <w:pPr>
        <w:pStyle w:val="SangriaFrancesaArticulo"/>
      </w:pPr>
      <w:r w:rsidRPr="00981775">
        <w:rPr>
          <w:rStyle w:val="TextoNormalNegritaCaracter"/>
        </w:rPr>
        <w:t>Artículo 33.</w:t>
      </w:r>
      <w:r w:rsidRPr="00981775">
        <w:rPr>
          <w:rStyle w:val="TextoNormalCaracter"/>
        </w:rPr>
        <w:t>-</w:t>
      </w:r>
      <w:r>
        <w:t xml:space="preserve"> Auto </w:t>
      </w:r>
      <w:hyperlink w:anchor="AUTO_2015_122" w:history="1">
        <w:r w:rsidRPr="00981775">
          <w:rPr>
            <w:rStyle w:val="TextoNormalCaracter"/>
          </w:rPr>
          <w:t>122/2015</w:t>
        </w:r>
      </w:hyperlink>
      <w:r>
        <w:t>, f. 7.</w:t>
      </w:r>
    </w:p>
    <w:p w:rsidR="00981775" w:rsidRDefault="00981775" w:rsidP="00981775">
      <w:pPr>
        <w:pStyle w:val="SangriaFrancesaArticulo"/>
      </w:pPr>
      <w:r w:rsidRPr="00981775">
        <w:rPr>
          <w:rStyle w:val="TextoNormalNegritaCaracter"/>
        </w:rPr>
        <w:t>Artículo 33.2.</w:t>
      </w:r>
      <w:r w:rsidRPr="00981775">
        <w:rPr>
          <w:rStyle w:val="TextoNormalCaracter"/>
        </w:rPr>
        <w:t>-</w:t>
      </w:r>
      <w:r>
        <w:t xml:space="preserve"> Auto </w:t>
      </w:r>
      <w:hyperlink w:anchor="AUTO_2015_122" w:history="1">
        <w:r w:rsidRPr="00981775">
          <w:rPr>
            <w:rStyle w:val="TextoNormalCaracter"/>
          </w:rPr>
          <w:t>122/2015</w:t>
        </w:r>
      </w:hyperlink>
      <w:r>
        <w:t>, f. 6.</w:t>
      </w:r>
    </w:p>
    <w:p w:rsidR="00981775" w:rsidRDefault="00981775" w:rsidP="00981775">
      <w:pPr>
        <w:pStyle w:val="SangriaFrancesaArticulo"/>
      </w:pPr>
      <w:r w:rsidRPr="00981775">
        <w:rPr>
          <w:rStyle w:val="TextoNormalNegritaCaracter"/>
        </w:rPr>
        <w:t>Artículo 34 a 38.</w:t>
      </w:r>
      <w:r w:rsidRPr="00981775">
        <w:rPr>
          <w:rStyle w:val="TextoNormalCaracter"/>
        </w:rPr>
        <w:t>-</w:t>
      </w:r>
      <w:r>
        <w:t xml:space="preserve"> Auto </w:t>
      </w:r>
      <w:hyperlink w:anchor="AUTO_2015_122" w:history="1">
        <w:r w:rsidRPr="00981775">
          <w:rPr>
            <w:rStyle w:val="TextoNormalCaracter"/>
          </w:rPr>
          <w:t>122/2015</w:t>
        </w:r>
      </w:hyperlink>
      <w:r>
        <w:t>, f. 5.</w:t>
      </w:r>
    </w:p>
    <w:p w:rsidR="00981775" w:rsidRDefault="00981775" w:rsidP="00981775">
      <w:pPr>
        <w:pStyle w:val="SangriaFrancesaArticulo"/>
      </w:pPr>
    </w:p>
    <w:p w:rsidR="00981775" w:rsidRDefault="00981775" w:rsidP="00981775">
      <w:pPr>
        <w:pStyle w:val="TextoNormalNegritaCursivandice"/>
      </w:pPr>
      <w:r>
        <w:t>Ley del Parlamento de Cataluña 2/2015, de 11 de marzo. Presupuestos de la Generalidad de Cataluña para 2015</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81" w:history="1">
        <w:r w:rsidRPr="00981775">
          <w:rPr>
            <w:rStyle w:val="TextoNormalCaracter"/>
          </w:rPr>
          <w:t>181/2015</w:t>
        </w:r>
      </w:hyperlink>
      <w:r>
        <w:t>, f. 2.</w:t>
      </w:r>
    </w:p>
    <w:p w:rsidR="00981775" w:rsidRDefault="00981775" w:rsidP="00981775">
      <w:pPr>
        <w:pStyle w:val="SangriaFrancesaArticulo"/>
      </w:pPr>
      <w:r w:rsidRPr="00981775">
        <w:rPr>
          <w:rStyle w:val="TextoNormalNegritaCaracter"/>
        </w:rPr>
        <w:t>Artículo 34.</w:t>
      </w:r>
      <w:r w:rsidRPr="00981775">
        <w:rPr>
          <w:rStyle w:val="TextoNormalCaracter"/>
        </w:rPr>
        <w:t>-</w:t>
      </w:r>
      <w:r>
        <w:t xml:space="preserve"> Auto </w:t>
      </w:r>
      <w:hyperlink w:anchor="AUTO_2015_181" w:history="1">
        <w:r w:rsidRPr="00981775">
          <w:rPr>
            <w:rStyle w:val="TextoNormalCaracter"/>
          </w:rPr>
          <w:t>181/2015</w:t>
        </w:r>
      </w:hyperlink>
      <w:r>
        <w:t>, f. 3.</w:t>
      </w:r>
    </w:p>
    <w:p w:rsidR="00981775" w:rsidRDefault="00981775" w:rsidP="00981775">
      <w:pPr>
        <w:pStyle w:val="SangriaFrancesaArticulo"/>
      </w:pPr>
      <w:r w:rsidRPr="00981775">
        <w:rPr>
          <w:rStyle w:val="TextoNormalNegritaCaracter"/>
        </w:rPr>
        <w:t>Artículo 34 expresión "previa autorización del Gobierno, de la puesta en funcionamiento de nuevos servicios públicos".</w:t>
      </w:r>
      <w:r w:rsidRPr="00981775">
        <w:rPr>
          <w:rStyle w:val="TextoNormalCaracter"/>
        </w:rPr>
        <w:t>-</w:t>
      </w:r>
      <w:r>
        <w:t xml:space="preserve"> Auto </w:t>
      </w:r>
      <w:hyperlink w:anchor="AUTO_2015_181" w:history="1">
        <w:r w:rsidRPr="00981775">
          <w:rPr>
            <w:rStyle w:val="TextoNormalCaracter"/>
          </w:rPr>
          <w:t>181/2015</w:t>
        </w:r>
      </w:hyperlink>
      <w:r>
        <w:t>, ff. 1, 3.</w:t>
      </w:r>
    </w:p>
    <w:p w:rsidR="00981775" w:rsidRDefault="00981775" w:rsidP="00981775">
      <w:pPr>
        <w:pStyle w:val="SangriaFrancesaArticulo"/>
      </w:pPr>
    </w:p>
    <w:p w:rsidR="00981775" w:rsidRDefault="00981775" w:rsidP="00981775">
      <w:pPr>
        <w:pStyle w:val="TextoNormalNegritaCursivandice"/>
      </w:pPr>
      <w:r>
        <w:t>Ley del Parlamento de Cataluña 3/2015, de 11 de marzo. Medidas fiscales, financieras y administrativas</w:t>
      </w:r>
    </w:p>
    <w:p w:rsidR="00981775" w:rsidRDefault="00981775" w:rsidP="00981775">
      <w:pPr>
        <w:pStyle w:val="SangriaFrancesaArticulo"/>
      </w:pPr>
      <w:r w:rsidRPr="00981775">
        <w:rPr>
          <w:rStyle w:val="TextoNormalNegritaCaracter"/>
        </w:rPr>
        <w:t>Artículo 69.</w:t>
      </w:r>
      <w:r w:rsidRPr="00981775">
        <w:rPr>
          <w:rStyle w:val="TextoNormalCaracter"/>
        </w:rPr>
        <w:t>-</w:t>
      </w:r>
      <w:r>
        <w:t xml:space="preserve"> Auto </w:t>
      </w:r>
      <w:hyperlink w:anchor="AUTO_2015_182" w:history="1">
        <w:r w:rsidRPr="00981775">
          <w:rPr>
            <w:rStyle w:val="TextoNormalCaracter"/>
          </w:rPr>
          <w:t>182/2015</w:t>
        </w:r>
      </w:hyperlink>
      <w:r>
        <w:t>, ff. 1, 2, 5.</w:t>
      </w:r>
    </w:p>
    <w:p w:rsidR="00981775" w:rsidRDefault="00981775" w:rsidP="00981775">
      <w:pPr>
        <w:pStyle w:val="SangriaFrancesaArticulo"/>
      </w:pPr>
      <w:r w:rsidRPr="00981775">
        <w:rPr>
          <w:rStyle w:val="TextoNormalNegritaCaracter"/>
        </w:rPr>
        <w:t>Artículo 95.</w:t>
      </w:r>
      <w:r w:rsidRPr="00981775">
        <w:rPr>
          <w:rStyle w:val="TextoNormalCaracter"/>
        </w:rPr>
        <w:t>-</w:t>
      </w:r>
      <w:r>
        <w:t xml:space="preserve"> Auto </w:t>
      </w:r>
      <w:hyperlink w:anchor="AUTO_2015_182" w:history="1">
        <w:r w:rsidRPr="00981775">
          <w:rPr>
            <w:rStyle w:val="TextoNormalCaracter"/>
          </w:rPr>
          <w:t>182/2015</w:t>
        </w:r>
      </w:hyperlink>
      <w:r>
        <w:t>, ff. 1, 2, 6.</w:t>
      </w:r>
    </w:p>
    <w:p w:rsidR="00981775" w:rsidRDefault="00981775" w:rsidP="00981775">
      <w:pPr>
        <w:pStyle w:val="SangriaFrancesaArticulo"/>
      </w:pPr>
      <w:r w:rsidRPr="00981775">
        <w:rPr>
          <w:rStyle w:val="TextoNormalNegritaCaracter"/>
        </w:rPr>
        <w:t>Disposiciones adicionales 22 a 26.</w:t>
      </w:r>
      <w:r w:rsidRPr="00981775">
        <w:rPr>
          <w:rStyle w:val="TextoNormalCaracter"/>
        </w:rPr>
        <w:t>-</w:t>
      </w:r>
      <w:r>
        <w:t xml:space="preserve"> Auto </w:t>
      </w:r>
      <w:hyperlink w:anchor="AUTO_2015_186" w:history="1">
        <w:r w:rsidRPr="00981775">
          <w:rPr>
            <w:rStyle w:val="TextoNormalCaracter"/>
          </w:rPr>
          <w:t>186/2015</w:t>
        </w:r>
      </w:hyperlink>
      <w:r>
        <w:t>, f. 2.</w:t>
      </w:r>
    </w:p>
    <w:p w:rsidR="00981775" w:rsidRDefault="00981775" w:rsidP="00981775">
      <w:pPr>
        <w:pStyle w:val="SangriaFrancesaArticulo"/>
      </w:pPr>
      <w:r w:rsidRPr="00981775">
        <w:rPr>
          <w:rStyle w:val="TextoNormalNegritaCaracter"/>
        </w:rPr>
        <w:t>Disposición adicional vigesimosegunda.</w:t>
      </w:r>
      <w:r w:rsidRPr="00981775">
        <w:rPr>
          <w:rStyle w:val="TextoNormalCaracter"/>
        </w:rPr>
        <w:t>-</w:t>
      </w:r>
      <w:r>
        <w:t xml:space="preserve"> Auto </w:t>
      </w:r>
      <w:hyperlink w:anchor="AUTO_2015_182" w:history="1">
        <w:r w:rsidRPr="00981775">
          <w:rPr>
            <w:rStyle w:val="TextoNormalCaracter"/>
          </w:rPr>
          <w:t>182/2015</w:t>
        </w:r>
      </w:hyperlink>
      <w:r>
        <w:t>, ff. 1 a 4.</w:t>
      </w:r>
    </w:p>
    <w:p w:rsidR="00981775" w:rsidRDefault="00981775" w:rsidP="00981775">
      <w:pPr>
        <w:pStyle w:val="SangriaFrancesaArticulo"/>
      </w:pPr>
      <w:r w:rsidRPr="00981775">
        <w:rPr>
          <w:rStyle w:val="TextoNormalNegritaCaracter"/>
        </w:rPr>
        <w:t>Disposición adicional vigesimotercera.</w:t>
      </w:r>
      <w:r w:rsidRPr="00981775">
        <w:rPr>
          <w:rStyle w:val="TextoNormalCaracter"/>
        </w:rPr>
        <w:t>-</w:t>
      </w:r>
      <w:r>
        <w:t xml:space="preserve"> Auto </w:t>
      </w:r>
      <w:hyperlink w:anchor="AUTO_2015_182" w:history="1">
        <w:r w:rsidRPr="00981775">
          <w:rPr>
            <w:rStyle w:val="TextoNormalCaracter"/>
          </w:rPr>
          <w:t>182/2015</w:t>
        </w:r>
      </w:hyperlink>
      <w:r>
        <w:t>, ff. 1 a 4.</w:t>
      </w:r>
    </w:p>
    <w:p w:rsidR="00981775" w:rsidRDefault="00981775" w:rsidP="00981775">
      <w:pPr>
        <w:pStyle w:val="SangriaFrancesaArticulo"/>
      </w:pPr>
      <w:r w:rsidRPr="00981775">
        <w:rPr>
          <w:rStyle w:val="TextoNormalNegritaCaracter"/>
        </w:rPr>
        <w:t>Disposición adicional vigesimocuarta.</w:t>
      </w:r>
      <w:r w:rsidRPr="00981775">
        <w:rPr>
          <w:rStyle w:val="TextoNormalCaracter"/>
        </w:rPr>
        <w:t>-</w:t>
      </w:r>
      <w:r>
        <w:t xml:space="preserve"> Auto </w:t>
      </w:r>
      <w:hyperlink w:anchor="AUTO_2015_182" w:history="1">
        <w:r w:rsidRPr="00981775">
          <w:rPr>
            <w:rStyle w:val="TextoNormalCaracter"/>
          </w:rPr>
          <w:t>182/2015</w:t>
        </w:r>
      </w:hyperlink>
      <w:r>
        <w:t>, ff. 1 a 4.</w:t>
      </w:r>
    </w:p>
    <w:p w:rsidR="00981775" w:rsidRDefault="00981775" w:rsidP="00981775">
      <w:pPr>
        <w:pStyle w:val="SangriaFrancesaArticulo"/>
      </w:pPr>
      <w:r w:rsidRPr="00981775">
        <w:rPr>
          <w:rStyle w:val="TextoNormalNegritaCaracter"/>
        </w:rPr>
        <w:t>Disposición adicional vigesimoquinta.</w:t>
      </w:r>
      <w:r w:rsidRPr="00981775">
        <w:rPr>
          <w:rStyle w:val="TextoNormalCaracter"/>
        </w:rPr>
        <w:t>-</w:t>
      </w:r>
      <w:r>
        <w:t xml:space="preserve"> Auto </w:t>
      </w:r>
      <w:hyperlink w:anchor="AUTO_2015_182" w:history="1">
        <w:r w:rsidRPr="00981775">
          <w:rPr>
            <w:rStyle w:val="TextoNormalCaracter"/>
          </w:rPr>
          <w:t>182/2015</w:t>
        </w:r>
      </w:hyperlink>
      <w:r>
        <w:t>, ff. 1 a 4.</w:t>
      </w:r>
    </w:p>
    <w:p w:rsidR="00981775" w:rsidRDefault="00981775" w:rsidP="00981775">
      <w:pPr>
        <w:pStyle w:val="SangriaFrancesaArticulo"/>
      </w:pPr>
      <w:r w:rsidRPr="00981775">
        <w:rPr>
          <w:rStyle w:val="TextoNormalNegritaCaracter"/>
        </w:rPr>
        <w:t>Disposición adicional vigesimosexta.</w:t>
      </w:r>
      <w:r w:rsidRPr="00981775">
        <w:rPr>
          <w:rStyle w:val="TextoNormalCaracter"/>
        </w:rPr>
        <w:t>-</w:t>
      </w:r>
      <w:r>
        <w:t xml:space="preserve"> Auto </w:t>
      </w:r>
      <w:hyperlink w:anchor="AUTO_2015_182" w:history="1">
        <w:r w:rsidRPr="00981775">
          <w:rPr>
            <w:rStyle w:val="TextoNormalCaracter"/>
          </w:rPr>
          <w:t>182/2015</w:t>
        </w:r>
      </w:hyperlink>
      <w:r>
        <w:t>, ff. 1 a 4.</w:t>
      </w:r>
    </w:p>
    <w:p w:rsidR="00981775" w:rsidRDefault="00981775" w:rsidP="00981775">
      <w:pPr>
        <w:pStyle w:val="SangriaFrancesaArticulo"/>
      </w:pPr>
    </w:p>
    <w:p w:rsidR="00981775" w:rsidRDefault="00981775" w:rsidP="00981775">
      <w:pPr>
        <w:pStyle w:val="TextoNormalNegritaCursivandice"/>
      </w:pPr>
      <w:r>
        <w:t>Ley del Parlamento de Cataluña 9/2015, de 12 de junio. Modifica la Ley 7/2007, de la Agencia Tributaria de Cataluña, para la ordenación de los cuerpos tributarios de adscripción exclusiva a la Agencia</w:t>
      </w:r>
    </w:p>
    <w:p w:rsidR="00981775" w:rsidRDefault="00981775" w:rsidP="00981775">
      <w:pPr>
        <w:pStyle w:val="SangriaFrancesaArticulo"/>
      </w:pPr>
      <w:r w:rsidRPr="00981775">
        <w:rPr>
          <w:rStyle w:val="TextoNormalNegritaCaracter"/>
        </w:rPr>
        <w:t>Artículo 4.</w:t>
      </w:r>
      <w:r w:rsidRPr="00981775">
        <w:rPr>
          <w:rStyle w:val="TextoNormalCaracter"/>
        </w:rPr>
        <w:t>-</w:t>
      </w:r>
      <w:r>
        <w:t xml:space="preserve"> Sentencia </w:t>
      </w:r>
      <w:hyperlink w:anchor="SENTENCIA_2015_238" w:history="1">
        <w:r w:rsidRPr="00981775">
          <w:rPr>
            <w:rStyle w:val="TextoNormalCaracter"/>
          </w:rPr>
          <w:t>238/2015</w:t>
        </w:r>
      </w:hyperlink>
      <w:r>
        <w:t>, f. 1.</w:t>
      </w:r>
    </w:p>
    <w:p w:rsidR="00981775" w:rsidRDefault="00981775" w:rsidP="00981775">
      <w:pPr>
        <w:pStyle w:val="TextoNormal"/>
      </w:pPr>
    </w:p>
    <w:p w:rsidR="00981775" w:rsidRDefault="00981775" w:rsidP="00981775">
      <w:pPr>
        <w:pStyle w:val="TextoNormalNegritaCentradoSubrayado"/>
        <w:suppressAutoHyphens/>
      </w:pPr>
      <w:r>
        <w:t>J.9.c) Decretos y otras disposiciones reglamentarias</w:t>
      </w:r>
    </w:p>
    <w:p w:rsidR="00981775" w:rsidRDefault="00981775" w:rsidP="00981775">
      <w:pPr>
        <w:pStyle w:val="TextoNormalNegritaCentradoSubrayado"/>
      </w:pPr>
    </w:p>
    <w:p w:rsidR="00981775" w:rsidRDefault="00981775" w:rsidP="00981775">
      <w:pPr>
        <w:pStyle w:val="TextoNormalNegritaCursivandice"/>
      </w:pPr>
      <w:r>
        <w:t>Decreto de la Generalitat de Cataluña 401/2006, de 24 de octubre. Reglamento para la provisión de puestos de trabajo del Cuerpo de Mossos d´Esquadra</w:t>
      </w:r>
    </w:p>
    <w:p w:rsidR="00981775" w:rsidRDefault="00981775" w:rsidP="00981775">
      <w:pPr>
        <w:pStyle w:val="SangriaFrancesaArticulo"/>
      </w:pPr>
      <w:r w:rsidRPr="00981775">
        <w:rPr>
          <w:rStyle w:val="TextoNormalNegritaCaracter"/>
        </w:rPr>
        <w:t>Artículo 2.3.</w:t>
      </w:r>
      <w:r w:rsidRPr="00981775">
        <w:rPr>
          <w:rStyle w:val="TextoNormalCaracter"/>
        </w:rPr>
        <w:t>-</w:t>
      </w:r>
      <w:r>
        <w:t xml:space="preserve"> Auto </w:t>
      </w:r>
      <w:hyperlink w:anchor="AUTO_2015_188" w:history="1">
        <w:r w:rsidRPr="00981775">
          <w:rPr>
            <w:rStyle w:val="TextoNormalCaracter"/>
          </w:rPr>
          <w:t>188/2015</w:t>
        </w:r>
      </w:hyperlink>
      <w:r>
        <w:t>, f. 3.</w:t>
      </w:r>
    </w:p>
    <w:p w:rsidR="00981775" w:rsidRDefault="00981775" w:rsidP="00981775">
      <w:pPr>
        <w:pStyle w:val="SangriaFrancesaArticulo"/>
      </w:pPr>
      <w:r w:rsidRPr="00981775">
        <w:rPr>
          <w:rStyle w:val="TextoNormalNegritaCaracter"/>
        </w:rPr>
        <w:t>Artículo 25.</w:t>
      </w:r>
      <w:r w:rsidRPr="00981775">
        <w:rPr>
          <w:rStyle w:val="TextoNormalCaracter"/>
        </w:rPr>
        <w:t>-</w:t>
      </w:r>
      <w:r>
        <w:t xml:space="preserve"> Auto </w:t>
      </w:r>
      <w:hyperlink w:anchor="AUTO_2015_188" w:history="1">
        <w:r w:rsidRPr="00981775">
          <w:rPr>
            <w:rStyle w:val="TextoNormalCaracter"/>
          </w:rPr>
          <w:t>188/2015</w:t>
        </w:r>
      </w:hyperlink>
      <w:r>
        <w:t>, f. 3.</w:t>
      </w:r>
    </w:p>
    <w:p w:rsidR="00981775" w:rsidRDefault="00981775" w:rsidP="00981775">
      <w:pPr>
        <w:pStyle w:val="SangriaFrancesaArticulo"/>
      </w:pPr>
    </w:p>
    <w:p w:rsidR="00981775" w:rsidRDefault="00981775" w:rsidP="00981775">
      <w:pPr>
        <w:pStyle w:val="TextoNormalNegritaCursivandice"/>
      </w:pPr>
      <w:r>
        <w:t>Decreto de la Generalitat de Cataluña 16/2015, de 24 de febrero. Creación del Comisionado para la Transición Nacional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86" w:history="1">
        <w:r w:rsidRPr="00981775">
          <w:rPr>
            <w:rStyle w:val="TextoNormalCaracter"/>
          </w:rPr>
          <w:t>186/2015</w:t>
        </w:r>
      </w:hyperlink>
      <w:r>
        <w:t>, ff. 1 a 3.</w:t>
      </w:r>
    </w:p>
    <w:p w:rsidR="00981775" w:rsidRDefault="00981775" w:rsidP="00981775">
      <w:pPr>
        <w:pStyle w:val="SangriaFrancesaArticulo"/>
      </w:pPr>
      <w:r w:rsidRPr="00981775">
        <w:rPr>
          <w:rStyle w:val="TextoNormalNegritaCaracter"/>
        </w:rPr>
        <w:t>Artículo 2.</w:t>
      </w:r>
      <w:r w:rsidRPr="00981775">
        <w:rPr>
          <w:rStyle w:val="TextoNormalCaracter"/>
        </w:rPr>
        <w:t>-</w:t>
      </w:r>
      <w:r>
        <w:t xml:space="preserve"> Auto </w:t>
      </w:r>
      <w:hyperlink w:anchor="AUTO_2015_186" w:history="1">
        <w:r w:rsidRPr="00981775">
          <w:rPr>
            <w:rStyle w:val="TextoNormalCaracter"/>
          </w:rPr>
          <w:t>186/2015</w:t>
        </w:r>
      </w:hyperlink>
      <w:r>
        <w:t>, f. 3.</w:t>
      </w:r>
    </w:p>
    <w:p w:rsidR="00981775" w:rsidRDefault="00981775" w:rsidP="00981775">
      <w:pPr>
        <w:pStyle w:val="SangriaFrancesaArticulo"/>
      </w:pPr>
    </w:p>
    <w:p w:rsidR="00981775" w:rsidRDefault="00981775" w:rsidP="00981775">
      <w:pPr>
        <w:pStyle w:val="TextoNormalNegritaCursivandice"/>
      </w:pPr>
      <w:r>
        <w:t>Decreto de la Generalitat de Cataluña 69/2015, de 5 de mayo. Modifica la demarcación de los registros de la propiedad, mercantiles y de bienes muebles de Cataluña</w:t>
      </w:r>
    </w:p>
    <w:p w:rsidR="00981775" w:rsidRDefault="00981775" w:rsidP="00981775">
      <w:pPr>
        <w:pStyle w:val="SangriaFrancesaArticulo"/>
      </w:pPr>
      <w:r w:rsidRPr="00981775">
        <w:rPr>
          <w:rStyle w:val="TextoNormalNegritaCaracter"/>
        </w:rPr>
        <w:t>Artículo 1.</w:t>
      </w:r>
      <w:r w:rsidRPr="00981775">
        <w:rPr>
          <w:rStyle w:val="TextoNormalCaracter"/>
        </w:rPr>
        <w:t>-</w:t>
      </w:r>
      <w:r>
        <w:t xml:space="preserve"> Auto </w:t>
      </w:r>
      <w:hyperlink w:anchor="AUTO_2015_185" w:history="1">
        <w:r w:rsidRPr="00981775">
          <w:rPr>
            <w:rStyle w:val="TextoNormalCaracter"/>
          </w:rPr>
          <w:t>185/2015</w:t>
        </w:r>
      </w:hyperlink>
      <w:r>
        <w:t>, ff. 1, 5.</w:t>
      </w:r>
    </w:p>
    <w:p w:rsidR="00981775" w:rsidRDefault="00981775" w:rsidP="00981775">
      <w:pPr>
        <w:pStyle w:val="SangriaFrancesaArticulo"/>
      </w:pPr>
      <w:r w:rsidRPr="00981775">
        <w:rPr>
          <w:rStyle w:val="TextoNormalNegritaCaracter"/>
        </w:rPr>
        <w:t>Artículo 2.</w:t>
      </w:r>
      <w:r w:rsidRPr="00981775">
        <w:rPr>
          <w:rStyle w:val="TextoNormalCaracter"/>
        </w:rPr>
        <w:t>-</w:t>
      </w:r>
      <w:r>
        <w:t xml:space="preserve"> Auto </w:t>
      </w:r>
      <w:hyperlink w:anchor="AUTO_2015_185" w:history="1">
        <w:r w:rsidRPr="00981775">
          <w:rPr>
            <w:rStyle w:val="TextoNormalCaracter"/>
          </w:rPr>
          <w:t>185/2015</w:t>
        </w:r>
      </w:hyperlink>
      <w:r>
        <w:t>, ff. 1, 5.</w:t>
      </w:r>
    </w:p>
    <w:p w:rsidR="00981775" w:rsidRDefault="00981775" w:rsidP="00981775">
      <w:pPr>
        <w:pStyle w:val="SangriaFrancesaArticulo"/>
      </w:pPr>
      <w:r w:rsidRPr="00981775">
        <w:rPr>
          <w:rStyle w:val="TextoNormalNegritaCaracter"/>
        </w:rPr>
        <w:t>Disposición adiconal primera, párrafo 1.</w:t>
      </w:r>
      <w:r w:rsidRPr="00981775">
        <w:rPr>
          <w:rStyle w:val="TextoNormalCaracter"/>
        </w:rPr>
        <w:t>-</w:t>
      </w:r>
      <w:r>
        <w:t xml:space="preserve"> Auto </w:t>
      </w:r>
      <w:hyperlink w:anchor="AUTO_2015_185" w:history="1">
        <w:r w:rsidRPr="00981775">
          <w:rPr>
            <w:rStyle w:val="TextoNormalCaracter"/>
          </w:rPr>
          <w:t>185/2015</w:t>
        </w:r>
      </w:hyperlink>
      <w:r>
        <w:t>, f. 6.</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85" w:history="1">
        <w:r w:rsidRPr="00981775">
          <w:rPr>
            <w:rStyle w:val="TextoNormalCaracter"/>
          </w:rPr>
          <w:t>185/2015</w:t>
        </w:r>
      </w:hyperlink>
      <w:r>
        <w:t>, ff. 1, 3, 5.</w:t>
      </w:r>
    </w:p>
    <w:p w:rsidR="00981775" w:rsidRDefault="00981775" w:rsidP="00981775">
      <w:pPr>
        <w:pStyle w:val="SangriaFrancesaArticulo"/>
      </w:pPr>
      <w:r w:rsidRPr="00981775">
        <w:rPr>
          <w:rStyle w:val="TextoNormalNegritaCaracter"/>
        </w:rPr>
        <w:t>Artículo 3.</w:t>
      </w:r>
      <w:r w:rsidRPr="00981775">
        <w:rPr>
          <w:rStyle w:val="TextoNormalCaracter"/>
        </w:rPr>
        <w:t>-</w:t>
      </w:r>
      <w:r>
        <w:t xml:space="preserve"> Auto </w:t>
      </w:r>
      <w:hyperlink w:anchor="AUTO_2015_185" w:history="1">
        <w:r w:rsidRPr="00981775">
          <w:rPr>
            <w:rStyle w:val="TextoNormalCaracter"/>
          </w:rPr>
          <w:t>185/2015</w:t>
        </w:r>
      </w:hyperlink>
      <w:r>
        <w:t>, ff. 1, 5.</w:t>
      </w:r>
    </w:p>
    <w:p w:rsidR="00981775" w:rsidRDefault="00981775" w:rsidP="00981775">
      <w:pPr>
        <w:pStyle w:val="SangriaFrancesaArticulo"/>
      </w:pPr>
      <w:r w:rsidRPr="00981775">
        <w:rPr>
          <w:rStyle w:val="TextoNormalNegritaCaracter"/>
        </w:rPr>
        <w:t>Disposición adicional primera.</w:t>
      </w:r>
      <w:r w:rsidRPr="00981775">
        <w:rPr>
          <w:rStyle w:val="TextoNormalCaracter"/>
        </w:rPr>
        <w:t>-</w:t>
      </w:r>
      <w:r>
        <w:t xml:space="preserve"> Auto </w:t>
      </w:r>
      <w:hyperlink w:anchor="AUTO_2015_185" w:history="1">
        <w:r w:rsidRPr="00981775">
          <w:rPr>
            <w:rStyle w:val="TextoNormalCaracter"/>
          </w:rPr>
          <w:t>185/2015</w:t>
        </w:r>
      </w:hyperlink>
      <w:r>
        <w:t>, f. 1.</w:t>
      </w:r>
    </w:p>
    <w:p w:rsidR="00981775" w:rsidRDefault="00981775" w:rsidP="00981775">
      <w:pPr>
        <w:pStyle w:val="SangriaFrancesaArticulo"/>
      </w:pPr>
      <w:r w:rsidRPr="00981775">
        <w:rPr>
          <w:rStyle w:val="TextoNormalNegritaCaracter"/>
        </w:rPr>
        <w:t>Disposición adicional primera, párrafo 2.</w:t>
      </w:r>
      <w:r w:rsidRPr="00981775">
        <w:rPr>
          <w:rStyle w:val="TextoNormalCaracter"/>
        </w:rPr>
        <w:t>-</w:t>
      </w:r>
      <w:r>
        <w:t xml:space="preserve"> Auto </w:t>
      </w:r>
      <w:hyperlink w:anchor="AUTO_2015_185" w:history="1">
        <w:r w:rsidRPr="00981775">
          <w:rPr>
            <w:rStyle w:val="TextoNormalCaracter"/>
          </w:rPr>
          <w:t>185/2015</w:t>
        </w:r>
      </w:hyperlink>
      <w:r>
        <w:t>, f. 5.</w:t>
      </w:r>
    </w:p>
    <w:p w:rsidR="00981775" w:rsidRDefault="00981775" w:rsidP="00981775">
      <w:pPr>
        <w:pStyle w:val="SangriaFrancesaArticulo"/>
      </w:pPr>
      <w:r w:rsidRPr="00981775">
        <w:rPr>
          <w:rStyle w:val="TextoNormalNegritaCaracter"/>
        </w:rPr>
        <w:t>Disposición adicional segunda.</w:t>
      </w:r>
      <w:r w:rsidRPr="00981775">
        <w:rPr>
          <w:rStyle w:val="TextoNormalCaracter"/>
        </w:rPr>
        <w:t>-</w:t>
      </w:r>
      <w:r>
        <w:t xml:space="preserve"> Auto </w:t>
      </w:r>
      <w:hyperlink w:anchor="AUTO_2015_185" w:history="1">
        <w:r w:rsidRPr="00981775">
          <w:rPr>
            <w:rStyle w:val="TextoNormalCaracter"/>
          </w:rPr>
          <w:t>185/2015</w:t>
        </w:r>
      </w:hyperlink>
      <w:r>
        <w:t>, ff. 1, 5.</w:t>
      </w:r>
    </w:p>
    <w:p w:rsidR="00981775" w:rsidRDefault="00981775" w:rsidP="00981775">
      <w:pPr>
        <w:pStyle w:val="SangriaFrancesaArticulo"/>
      </w:pPr>
      <w:r w:rsidRPr="00981775">
        <w:rPr>
          <w:rStyle w:val="TextoNormalNegritaCaracter"/>
        </w:rPr>
        <w:t>Disposición adicional tercera.</w:t>
      </w:r>
      <w:r w:rsidRPr="00981775">
        <w:rPr>
          <w:rStyle w:val="TextoNormalCaracter"/>
        </w:rPr>
        <w:t>-</w:t>
      </w:r>
      <w:r>
        <w:t xml:space="preserve"> Auto </w:t>
      </w:r>
      <w:hyperlink w:anchor="AUTO_2015_185" w:history="1">
        <w:r w:rsidRPr="00981775">
          <w:rPr>
            <w:rStyle w:val="TextoNormalCaracter"/>
          </w:rPr>
          <w:t>185/2015</w:t>
        </w:r>
      </w:hyperlink>
      <w:r>
        <w:t>, ff. 1, 5.</w:t>
      </w:r>
    </w:p>
    <w:p w:rsidR="00981775" w:rsidRDefault="00981775" w:rsidP="00981775">
      <w:pPr>
        <w:pStyle w:val="SangriaFrancesaArticulo"/>
      </w:pPr>
      <w:r w:rsidRPr="00981775">
        <w:rPr>
          <w:rStyle w:val="TextoNormalNegritaCaracter"/>
        </w:rPr>
        <w:t>Disposición transitoria.</w:t>
      </w:r>
      <w:r w:rsidRPr="00981775">
        <w:rPr>
          <w:rStyle w:val="TextoNormalCaracter"/>
        </w:rPr>
        <w:t>-</w:t>
      </w:r>
      <w:r>
        <w:t xml:space="preserve"> Auto </w:t>
      </w:r>
      <w:hyperlink w:anchor="AUTO_2015_185" w:history="1">
        <w:r w:rsidRPr="00981775">
          <w:rPr>
            <w:rStyle w:val="TextoNormalCaracter"/>
          </w:rPr>
          <w:t>185/2015</w:t>
        </w:r>
      </w:hyperlink>
      <w:r>
        <w:t>, ff. 1, 5.</w:t>
      </w:r>
    </w:p>
    <w:p w:rsidR="00981775" w:rsidRDefault="00981775" w:rsidP="00981775">
      <w:pPr>
        <w:pStyle w:val="SangriaFrancesaArticulo"/>
      </w:pPr>
      <w:r w:rsidRPr="00981775">
        <w:rPr>
          <w:rStyle w:val="TextoNormalNegritaCaracter"/>
        </w:rPr>
        <w:t>Disposición final primera.</w:t>
      </w:r>
      <w:r w:rsidRPr="00981775">
        <w:rPr>
          <w:rStyle w:val="TextoNormalCaracter"/>
        </w:rPr>
        <w:t>-</w:t>
      </w:r>
      <w:r>
        <w:t xml:space="preserve"> Auto </w:t>
      </w:r>
      <w:hyperlink w:anchor="AUTO_2015_185" w:history="1">
        <w:r w:rsidRPr="00981775">
          <w:rPr>
            <w:rStyle w:val="TextoNormalCaracter"/>
          </w:rPr>
          <w:t>185/2015</w:t>
        </w:r>
      </w:hyperlink>
      <w:r>
        <w:t>, ff. 1, 6.</w:t>
      </w:r>
    </w:p>
    <w:p w:rsidR="00981775" w:rsidRDefault="00981775" w:rsidP="00981775">
      <w:pPr>
        <w:pStyle w:val="SangriaFrancesaArticulo"/>
      </w:pPr>
      <w:r w:rsidRPr="00981775">
        <w:rPr>
          <w:rStyle w:val="TextoNormalNegritaCaracter"/>
        </w:rPr>
        <w:t>Disposición final segunda.</w:t>
      </w:r>
      <w:r w:rsidRPr="00981775">
        <w:rPr>
          <w:rStyle w:val="TextoNormalCaracter"/>
        </w:rPr>
        <w:t>-</w:t>
      </w:r>
      <w:r>
        <w:t xml:space="preserve"> Auto </w:t>
      </w:r>
      <w:hyperlink w:anchor="AUTO_2015_185" w:history="1">
        <w:r w:rsidRPr="00981775">
          <w:rPr>
            <w:rStyle w:val="TextoNormalCaracter"/>
          </w:rPr>
          <w:t>185/2015</w:t>
        </w:r>
      </w:hyperlink>
      <w:r>
        <w:t>, ff. 1, 4.</w:t>
      </w:r>
    </w:p>
    <w:p w:rsidR="00981775" w:rsidRDefault="00981775" w:rsidP="00981775">
      <w:pPr>
        <w:pStyle w:val="SangriaFrancesaArticulo"/>
      </w:pPr>
      <w:r w:rsidRPr="00981775">
        <w:rPr>
          <w:rStyle w:val="TextoNormalNegritaCaracter"/>
        </w:rPr>
        <w:t>Disposición final segunda, excepto inciso 1.</w:t>
      </w:r>
      <w:r w:rsidRPr="00981775">
        <w:rPr>
          <w:rStyle w:val="TextoNormalCaracter"/>
        </w:rPr>
        <w:t>-</w:t>
      </w:r>
      <w:r>
        <w:t xml:space="preserve"> Auto </w:t>
      </w:r>
      <w:hyperlink w:anchor="AUTO_2015_185" w:history="1">
        <w:r w:rsidRPr="00981775">
          <w:rPr>
            <w:rStyle w:val="TextoNormalCaracter"/>
          </w:rPr>
          <w:t>185/2015</w:t>
        </w:r>
      </w:hyperlink>
      <w:r>
        <w:t>, f. 5.</w:t>
      </w:r>
    </w:p>
    <w:p w:rsidR="00981775" w:rsidRDefault="00981775" w:rsidP="00981775">
      <w:pPr>
        <w:pStyle w:val="SangriaFrancesaArticulo"/>
      </w:pPr>
      <w:r w:rsidRPr="00981775">
        <w:rPr>
          <w:rStyle w:val="TextoNormalNegritaCaracter"/>
        </w:rPr>
        <w:t>Disposición final segunda, inciso 1.</w:t>
      </w:r>
      <w:r w:rsidRPr="00981775">
        <w:rPr>
          <w:rStyle w:val="TextoNormalCaracter"/>
        </w:rPr>
        <w:t>-</w:t>
      </w:r>
      <w:r>
        <w:t xml:space="preserve"> Auto </w:t>
      </w:r>
      <w:hyperlink w:anchor="AUTO_2015_185" w:history="1">
        <w:r w:rsidRPr="00981775">
          <w:rPr>
            <w:rStyle w:val="TextoNormalCaracter"/>
          </w:rPr>
          <w:t>185/2015</w:t>
        </w:r>
      </w:hyperlink>
      <w:r>
        <w:t>, f. 6.</w:t>
      </w:r>
    </w:p>
    <w:p w:rsidR="00981775" w:rsidRDefault="00981775" w:rsidP="00981775">
      <w:pPr>
        <w:pStyle w:val="SangriaFrancesaArticulo"/>
      </w:pPr>
      <w:r w:rsidRPr="00981775">
        <w:rPr>
          <w:rStyle w:val="TextoNormalNegritaCaracter"/>
        </w:rPr>
        <w:t>Disposición final tercera.</w:t>
      </w:r>
      <w:r w:rsidRPr="00981775">
        <w:rPr>
          <w:rStyle w:val="TextoNormalCaracter"/>
        </w:rPr>
        <w:t>-</w:t>
      </w:r>
      <w:r>
        <w:t xml:space="preserve"> Auto </w:t>
      </w:r>
      <w:hyperlink w:anchor="AUTO_2015_185" w:history="1">
        <w:r w:rsidRPr="00981775">
          <w:rPr>
            <w:rStyle w:val="TextoNormalCaracter"/>
          </w:rPr>
          <w:t>185/2015</w:t>
        </w:r>
      </w:hyperlink>
      <w:r>
        <w:t>, ff. 1, 4.</w:t>
      </w:r>
    </w:p>
    <w:p w:rsidR="00981775" w:rsidRDefault="00981775" w:rsidP="00981775">
      <w:pPr>
        <w:pStyle w:val="SangriaFrancesaArticulo"/>
      </w:pPr>
      <w:r w:rsidRPr="00981775">
        <w:rPr>
          <w:rStyle w:val="TextoNormalNegritaCaracter"/>
        </w:rPr>
        <w:t>Disposición final cuarta.</w:t>
      </w:r>
      <w:r w:rsidRPr="00981775">
        <w:rPr>
          <w:rStyle w:val="TextoNormalCaracter"/>
        </w:rPr>
        <w:t>-</w:t>
      </w:r>
      <w:r>
        <w:t xml:space="preserve"> Auto </w:t>
      </w:r>
      <w:hyperlink w:anchor="AUTO_2015_185" w:history="1">
        <w:r w:rsidRPr="00981775">
          <w:rPr>
            <w:rStyle w:val="TextoNormalCaracter"/>
          </w:rPr>
          <w:t>185/2015</w:t>
        </w:r>
      </w:hyperlink>
      <w:r>
        <w:t>, ff. 1, 4.</w:t>
      </w:r>
    </w:p>
    <w:p w:rsidR="00981775" w:rsidRDefault="00981775" w:rsidP="00981775">
      <w:pPr>
        <w:pStyle w:val="TextoNormal"/>
      </w:pPr>
    </w:p>
    <w:p w:rsidR="00981775" w:rsidRDefault="00981775" w:rsidP="00981775">
      <w:pPr>
        <w:pStyle w:val="TextoNormalNegritaCentradoSubrayado"/>
        <w:suppressAutoHyphens/>
      </w:pPr>
      <w:r>
        <w:t>J.9.d) Normas parlamentarias autonómicas</w:t>
      </w:r>
    </w:p>
    <w:p w:rsidR="00981775" w:rsidRDefault="00981775" w:rsidP="00981775">
      <w:pPr>
        <w:pStyle w:val="TextoNormalNegritaCentradoSubrayado"/>
      </w:pPr>
    </w:p>
    <w:p w:rsidR="00981775" w:rsidRDefault="00981775" w:rsidP="00981775">
      <w:pPr>
        <w:pStyle w:val="TextoNormalNegritaCursivandice"/>
      </w:pPr>
      <w:r>
        <w:t>Reglamento del Parlamento de Cataluña. Texto refundido de 15 de octubre de 1987</w:t>
      </w:r>
    </w:p>
    <w:p w:rsidR="00981775" w:rsidRDefault="00981775" w:rsidP="00981775">
      <w:pPr>
        <w:pStyle w:val="SangriaFrancesaArticulo"/>
      </w:pPr>
      <w:r w:rsidRPr="00981775">
        <w:rPr>
          <w:rStyle w:val="TextoNormalNegritaCaracter"/>
        </w:rPr>
        <w:t>Artículo 164.</w:t>
      </w:r>
      <w:r w:rsidRPr="00981775">
        <w:rPr>
          <w:rStyle w:val="TextoNormalCaracter"/>
        </w:rPr>
        <w:t>-</w:t>
      </w:r>
      <w:r>
        <w:t xml:space="preserve"> Sentencia </w:t>
      </w:r>
      <w:hyperlink w:anchor="SENTENCIA_2015_259" w:history="1">
        <w:r w:rsidRPr="00981775">
          <w:rPr>
            <w:rStyle w:val="TextoNormalCaracter"/>
          </w:rPr>
          <w:t>259/2015</w:t>
        </w:r>
      </w:hyperlink>
      <w:r>
        <w:t>, ff. 1, 2.</w:t>
      </w:r>
    </w:p>
    <w:p w:rsidR="00981775" w:rsidRDefault="00981775" w:rsidP="00981775">
      <w:pPr>
        <w:pStyle w:val="SangriaFrancesaArticulo"/>
      </w:pPr>
      <w:r w:rsidRPr="00981775">
        <w:rPr>
          <w:rStyle w:val="TextoNormalNegritaCaracter"/>
        </w:rPr>
        <w:t>Artículo 165.</w:t>
      </w:r>
      <w:r w:rsidRPr="00981775">
        <w:rPr>
          <w:rStyle w:val="TextoNormalCaracter"/>
        </w:rPr>
        <w:t>-</w:t>
      </w:r>
      <w:r>
        <w:t xml:space="preserve"> Sentencia </w:t>
      </w:r>
      <w:hyperlink w:anchor="SENTENCIA_2015_259" w:history="1">
        <w:r w:rsidRPr="00981775">
          <w:rPr>
            <w:rStyle w:val="TextoNormalCaracter"/>
          </w:rPr>
          <w:t>259/2015</w:t>
        </w:r>
      </w:hyperlink>
      <w:r>
        <w:t>, f. 2.</w:t>
      </w:r>
    </w:p>
    <w:p w:rsidR="00981775" w:rsidRDefault="00981775" w:rsidP="00981775">
      <w:pPr>
        <w:pStyle w:val="SangriaFrancesaArticulo"/>
      </w:pPr>
    </w:p>
    <w:p w:rsidR="00981775" w:rsidRDefault="00981775" w:rsidP="00981775">
      <w:pPr>
        <w:pStyle w:val="TextoNormalNegritaCursivandice"/>
      </w:pPr>
      <w:r>
        <w:t>Resolución del Parlamento de Cataluña 5/X, de 23 de enero de 2013. Aprueba la declaración de soberanía y del derecho a decidir del pueblo de Cataluña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59" w:history="1">
        <w:r w:rsidRPr="00981775">
          <w:rPr>
            <w:rStyle w:val="TextoNormalCaracter"/>
          </w:rPr>
          <w:t>259/2015</w:t>
        </w:r>
      </w:hyperlink>
      <w:r>
        <w:t>, ff. 1, 2, 7.</w:t>
      </w:r>
    </w:p>
    <w:p w:rsidR="00981775" w:rsidRDefault="00981775" w:rsidP="00981775">
      <w:pPr>
        <w:pStyle w:val="SangriaIzquierdaArticulo"/>
      </w:pPr>
      <w:r>
        <w:t xml:space="preserve">Auto </w:t>
      </w:r>
      <w:hyperlink w:anchor="AUTO_2015_182" w:history="1">
        <w:r w:rsidRPr="00981775">
          <w:rPr>
            <w:rStyle w:val="TextoNormalCaracter"/>
          </w:rPr>
          <w:t>182/2015</w:t>
        </w:r>
      </w:hyperlink>
      <w:r>
        <w:t>, f. 3.</w:t>
      </w:r>
    </w:p>
    <w:p w:rsidR="00981775" w:rsidRDefault="00981775" w:rsidP="00981775">
      <w:pPr>
        <w:pStyle w:val="SangriaIzquierdaArticulo"/>
      </w:pPr>
    </w:p>
    <w:p w:rsidR="00981775" w:rsidRDefault="00981775" w:rsidP="00981775">
      <w:pPr>
        <w:pStyle w:val="TextoNormalNegritaCursivandice"/>
      </w:pPr>
      <w:r>
        <w:t>Resolución del Parlamento de Cataluña I/XI, de 9 de noviembre de 2015. Inicio del proceso político en Cataluña como consecuencia de los resultados electorales del 27 de septiembre de 2015</w:t>
      </w:r>
    </w:p>
    <w:p w:rsidR="00981775" w:rsidRDefault="00981775" w:rsidP="00981775">
      <w:pPr>
        <w:pStyle w:val="SangriaFrancesaArticulo"/>
      </w:pPr>
      <w:r w:rsidRPr="00981775">
        <w:rPr>
          <w:rStyle w:val="TextoNormalNegritaCaracter"/>
        </w:rPr>
        <w:t>Apartado 1.</w:t>
      </w:r>
      <w:r w:rsidRPr="00981775">
        <w:rPr>
          <w:rStyle w:val="TextoNormalCaracter"/>
        </w:rPr>
        <w:t>-</w:t>
      </w:r>
      <w:r>
        <w:t xml:space="preserve"> Sentencia </w:t>
      </w:r>
      <w:hyperlink w:anchor="SENTENCIA_2015_259" w:history="1">
        <w:r w:rsidRPr="00981775">
          <w:rPr>
            <w:rStyle w:val="TextoNormalCaracter"/>
          </w:rPr>
          <w:t>259/2015</w:t>
        </w:r>
      </w:hyperlink>
      <w:r>
        <w:t>, f. 5.</w:t>
      </w:r>
    </w:p>
    <w:p w:rsidR="00981775" w:rsidRDefault="00981775" w:rsidP="00981775">
      <w:pPr>
        <w:pStyle w:val="SangriaFrancesaArticulo"/>
      </w:pPr>
      <w:r w:rsidRPr="00981775">
        <w:rPr>
          <w:rStyle w:val="TextoNormalNegritaCaracter"/>
        </w:rPr>
        <w:t>Apartado 2.</w:t>
      </w:r>
      <w:r w:rsidRPr="00981775">
        <w:rPr>
          <w:rStyle w:val="TextoNormalCaracter"/>
        </w:rPr>
        <w:t>-</w:t>
      </w:r>
      <w:r>
        <w:t xml:space="preserve"> Sentencia </w:t>
      </w:r>
      <w:hyperlink w:anchor="SENTENCIA_2015_259" w:history="1">
        <w:r w:rsidRPr="00981775">
          <w:rPr>
            <w:rStyle w:val="TextoNormalCaracter"/>
          </w:rPr>
          <w:t>259/2015</w:t>
        </w:r>
      </w:hyperlink>
      <w:r>
        <w:t>, ff. 3, 4.</w:t>
      </w:r>
    </w:p>
    <w:p w:rsidR="00981775" w:rsidRDefault="00981775" w:rsidP="00981775">
      <w:pPr>
        <w:pStyle w:val="SangriaFrancesaArticulo"/>
      </w:pPr>
      <w:r w:rsidRPr="00981775">
        <w:rPr>
          <w:rStyle w:val="TextoNormalNegritaCaracter"/>
        </w:rPr>
        <w:t>Anexo.</w:t>
      </w:r>
      <w:r w:rsidRPr="00981775">
        <w:rPr>
          <w:rStyle w:val="TextoNormalCaracter"/>
        </w:rPr>
        <w:t>-</w:t>
      </w:r>
      <w:r>
        <w:t xml:space="preserve"> Sentencia </w:t>
      </w:r>
      <w:hyperlink w:anchor="SENTENCIA_2015_259" w:history="1">
        <w:r w:rsidRPr="00981775">
          <w:rPr>
            <w:rStyle w:val="TextoNormalCaracter"/>
          </w:rPr>
          <w:t>259/2015</w:t>
        </w:r>
      </w:hyperlink>
      <w:r>
        <w:t>, f. 3.</w:t>
      </w:r>
    </w:p>
    <w:p w:rsidR="00981775" w:rsidRDefault="00981775" w:rsidP="00981775">
      <w:pPr>
        <w:pStyle w:val="SangriaFrancesaArticulo"/>
      </w:pPr>
      <w:r w:rsidRPr="00981775">
        <w:rPr>
          <w:rStyle w:val="TextoNormalNegritaCaracter"/>
        </w:rPr>
        <w:t>Apartado 6.</w:t>
      </w:r>
      <w:r w:rsidRPr="00981775">
        <w:rPr>
          <w:rStyle w:val="TextoNormalCaracter"/>
        </w:rPr>
        <w:t>-</w:t>
      </w:r>
      <w:r>
        <w:t xml:space="preserve"> Sentencia </w:t>
      </w:r>
      <w:hyperlink w:anchor="SENTENCIA_2015_259" w:history="1">
        <w:r w:rsidRPr="00981775">
          <w:rPr>
            <w:rStyle w:val="TextoNormalCaracter"/>
          </w:rPr>
          <w:t>259/2015</w:t>
        </w:r>
      </w:hyperlink>
      <w:r>
        <w:t>, ff. 3, 6.</w:t>
      </w:r>
    </w:p>
    <w:p w:rsidR="00981775" w:rsidRDefault="00981775" w:rsidP="00981775">
      <w:pPr>
        <w:pStyle w:val="SangriaFrancesaArticulo"/>
      </w:pPr>
      <w:r w:rsidRPr="00981775">
        <w:rPr>
          <w:rStyle w:val="TextoNormalNegritaCaracter"/>
        </w:rPr>
        <w:t>Apartado 8.</w:t>
      </w:r>
      <w:r w:rsidRPr="00981775">
        <w:rPr>
          <w:rStyle w:val="TextoNormalCaracter"/>
        </w:rPr>
        <w:t>-</w:t>
      </w:r>
      <w:r>
        <w:t xml:space="preserve"> Sentencia </w:t>
      </w:r>
      <w:hyperlink w:anchor="SENTENCIA_2015_259" w:history="1">
        <w:r w:rsidRPr="00981775">
          <w:rPr>
            <w:rStyle w:val="TextoNormalCaracter"/>
          </w:rPr>
          <w:t>259/2015</w:t>
        </w:r>
      </w:hyperlink>
      <w:r>
        <w:t>, ff. 3, 5.</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59" w:history="1">
        <w:r w:rsidRPr="00981775">
          <w:rPr>
            <w:rStyle w:val="TextoNormalCaracter"/>
          </w:rPr>
          <w:t>259/2015</w:t>
        </w:r>
      </w:hyperlink>
      <w:r>
        <w:t>, ff. 1 a 5, 7.</w:t>
      </w:r>
    </w:p>
    <w:p w:rsidR="00981775" w:rsidRDefault="00981775" w:rsidP="00981775">
      <w:pPr>
        <w:pStyle w:val="SangriaFrancesaArticulo"/>
      </w:pPr>
      <w:r w:rsidRPr="00981775">
        <w:rPr>
          <w:rStyle w:val="TextoNormalNegritaCaracter"/>
        </w:rPr>
        <w:t>Apartado 3.</w:t>
      </w:r>
      <w:r w:rsidRPr="00981775">
        <w:rPr>
          <w:rStyle w:val="TextoNormalCaracter"/>
        </w:rPr>
        <w:t>-</w:t>
      </w:r>
      <w:r>
        <w:t xml:space="preserve"> Sentencia </w:t>
      </w:r>
      <w:hyperlink w:anchor="SENTENCIA_2015_259" w:history="1">
        <w:r w:rsidRPr="00981775">
          <w:rPr>
            <w:rStyle w:val="TextoNormalCaracter"/>
          </w:rPr>
          <w:t>259/2015</w:t>
        </w:r>
      </w:hyperlink>
      <w:r>
        <w:t>, ff. 3, 4.</w:t>
      </w:r>
    </w:p>
    <w:p w:rsidR="00981775" w:rsidRDefault="00981775" w:rsidP="00981775">
      <w:pPr>
        <w:pStyle w:val="SangriaFrancesaArticulo"/>
      </w:pPr>
      <w:r w:rsidRPr="00981775">
        <w:rPr>
          <w:rStyle w:val="TextoNormalNegritaCaracter"/>
        </w:rPr>
        <w:t>Apartado 5.</w:t>
      </w:r>
      <w:r w:rsidRPr="00981775">
        <w:rPr>
          <w:rStyle w:val="TextoNormalCaracter"/>
        </w:rPr>
        <w:t>-</w:t>
      </w:r>
      <w:r>
        <w:t xml:space="preserve"> Sentencia </w:t>
      </w:r>
      <w:hyperlink w:anchor="SENTENCIA_2015_259" w:history="1">
        <w:r w:rsidRPr="00981775">
          <w:rPr>
            <w:rStyle w:val="TextoNormalCaracter"/>
          </w:rPr>
          <w:t>259/2015</w:t>
        </w:r>
      </w:hyperlink>
      <w:r>
        <w:t>, f. 3.</w:t>
      </w:r>
    </w:p>
    <w:p w:rsidR="00981775" w:rsidRDefault="00981775" w:rsidP="00981775">
      <w:pPr>
        <w:pStyle w:val="SangriaFrancesaArticulo"/>
      </w:pPr>
      <w:r w:rsidRPr="00981775">
        <w:rPr>
          <w:rStyle w:val="TextoNormalNegritaCaracter"/>
        </w:rPr>
        <w:t>Apartado 9.</w:t>
      </w:r>
      <w:r w:rsidRPr="00981775">
        <w:rPr>
          <w:rStyle w:val="TextoNormalCaracter"/>
        </w:rPr>
        <w:t>-</w:t>
      </w:r>
      <w:r>
        <w:t xml:space="preserve"> Sentencia </w:t>
      </w:r>
      <w:hyperlink w:anchor="SENTENCIA_2015_259" w:history="1">
        <w:r w:rsidRPr="00981775">
          <w:rPr>
            <w:rStyle w:val="TextoNormalCaracter"/>
          </w:rPr>
          <w:t>259/2015</w:t>
        </w:r>
      </w:hyperlink>
      <w:r>
        <w:t>, f. 5.</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J.10) Extremadura</w:t>
      </w:r>
    </w:p>
    <w:p w:rsidR="00981775" w:rsidRDefault="00981775" w:rsidP="00981775">
      <w:pPr>
        <w:pStyle w:val="TextoNormal"/>
      </w:pPr>
    </w:p>
    <w:p w:rsidR="00981775" w:rsidRDefault="00981775" w:rsidP="00981775">
      <w:pPr>
        <w:pStyle w:val="TextoNormalNegritaCentradoSubrayado"/>
        <w:suppressAutoHyphens/>
      </w:pPr>
      <w:r>
        <w:t>J.10.b) Leyes y disposiciones con fuerza de Ley</w:t>
      </w:r>
    </w:p>
    <w:p w:rsidR="00981775" w:rsidRDefault="00981775" w:rsidP="00981775">
      <w:pPr>
        <w:pStyle w:val="TextoNormalNegritaCentradoSubrayado"/>
      </w:pPr>
    </w:p>
    <w:p w:rsidR="00981775" w:rsidRDefault="00981775" w:rsidP="00981775">
      <w:pPr>
        <w:pStyle w:val="TextoNormalNegritaCursivandice"/>
      </w:pPr>
      <w:r>
        <w:t>Ley de la Asamblea de Extremadura 14/2001, de 29 de noviembre. Impuesto sobre depósitos de las entidades de crédito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202" w:history="1">
        <w:r w:rsidRPr="00981775">
          <w:rPr>
            <w:rStyle w:val="TextoNormalCaracter"/>
          </w:rPr>
          <w:t>202/2015</w:t>
        </w:r>
      </w:hyperlink>
      <w:r>
        <w:t>, f. 3.</w:t>
      </w:r>
    </w:p>
    <w:p w:rsidR="00981775" w:rsidRDefault="00981775" w:rsidP="00981775">
      <w:pPr>
        <w:pStyle w:val="SangriaFrancesaArticulo"/>
      </w:pPr>
    </w:p>
    <w:p w:rsidR="00981775" w:rsidRDefault="00981775" w:rsidP="00981775">
      <w:pPr>
        <w:pStyle w:val="TextoNormalNegritaCursivandice"/>
      </w:pPr>
      <w:r>
        <w:t>Ley de la Asamblea de Extremadura 15/2001, de 14 de diciembre.  Normas reguladoras de ordenación del territorio-suelo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223" w:history="1">
        <w:r w:rsidRPr="00981775">
          <w:rPr>
            <w:rStyle w:val="TextoNormalCaracter"/>
          </w:rPr>
          <w:t>223/2015</w:t>
        </w:r>
      </w:hyperlink>
      <w:r>
        <w:t>.</w:t>
      </w:r>
    </w:p>
    <w:p w:rsidR="00981775" w:rsidRDefault="00981775" w:rsidP="00981775">
      <w:pPr>
        <w:pStyle w:val="SangriaFrancesaArticulo"/>
      </w:pPr>
    </w:p>
    <w:p w:rsidR="00981775" w:rsidRDefault="00981775" w:rsidP="00981775">
      <w:pPr>
        <w:pStyle w:val="TextoNormalNegritaCursivandice"/>
      </w:pPr>
      <w:r>
        <w:t>Ley de la Asamblea de Extremadura 9/2010, de 18 de octubre. Modificación de la Ley 15/2001, de 14 de diciembre, del suelo y ordenación territorial de Extremadura</w:t>
      </w:r>
    </w:p>
    <w:p w:rsidR="00981775" w:rsidRDefault="00981775" w:rsidP="00981775">
      <w:pPr>
        <w:pStyle w:val="SangriaFrancesaArticulo"/>
      </w:pPr>
      <w:r w:rsidRPr="00981775">
        <w:rPr>
          <w:rStyle w:val="TextoNormalNegritaCaracter"/>
        </w:rPr>
        <w:t>Artículo único, apartados 4, 5, 7, 13 a 15, 30 y 48.</w:t>
      </w:r>
      <w:r w:rsidRPr="00981775">
        <w:rPr>
          <w:rStyle w:val="TextoNormalCaracter"/>
        </w:rPr>
        <w:t>-</w:t>
      </w:r>
      <w:r>
        <w:t xml:space="preserve"> Auto </w:t>
      </w:r>
      <w:hyperlink w:anchor="AUTO_2015_223" w:history="1">
        <w:r w:rsidRPr="00981775">
          <w:rPr>
            <w:rStyle w:val="TextoNormalCaracter"/>
          </w:rPr>
          <w:t>223/2015</w:t>
        </w:r>
      </w:hyperlink>
      <w:r>
        <w:t>.</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J.11) Galicia</w:t>
      </w:r>
    </w:p>
    <w:p w:rsidR="00981775" w:rsidRDefault="00981775" w:rsidP="00981775">
      <w:pPr>
        <w:pStyle w:val="TextoNormal"/>
      </w:pPr>
    </w:p>
    <w:p w:rsidR="00981775" w:rsidRDefault="00981775" w:rsidP="00981775">
      <w:pPr>
        <w:pStyle w:val="TextoNormalNegritaCentradoSubrayado"/>
        <w:suppressAutoHyphens/>
      </w:pPr>
      <w:r>
        <w:t>J.11.a) Estatuto de Autonomía</w:t>
      </w:r>
    </w:p>
    <w:p w:rsidR="00981775" w:rsidRDefault="00981775" w:rsidP="00981775">
      <w:pPr>
        <w:pStyle w:val="TextoNormalNegritaCentradoSubrayado"/>
      </w:pPr>
    </w:p>
    <w:p w:rsidR="00981775" w:rsidRDefault="00981775" w:rsidP="00981775">
      <w:pPr>
        <w:pStyle w:val="TextoNormalNegritaCursivandice"/>
      </w:pPr>
      <w:r>
        <w:t>Ley Orgánica 1/1981, de 6 de abril. Estatuto de Autonomía de Galicia</w:t>
      </w:r>
    </w:p>
    <w:p w:rsidR="00981775" w:rsidRDefault="00981775" w:rsidP="00981775">
      <w:pPr>
        <w:pStyle w:val="SangriaFrancesaArticulo"/>
      </w:pPr>
      <w:r w:rsidRPr="00981775">
        <w:rPr>
          <w:rStyle w:val="TextoNormalNegritaCaracter"/>
        </w:rPr>
        <w:t>Artículo 29.1.</w:t>
      </w:r>
      <w:r w:rsidRPr="00981775">
        <w:rPr>
          <w:rStyle w:val="TextoNormalCaracter"/>
        </w:rPr>
        <w:t>-</w:t>
      </w:r>
      <w:r>
        <w:t xml:space="preserve"> Sentencias </w:t>
      </w:r>
      <w:hyperlink w:anchor="SENTENCIA_2015_178" w:history="1">
        <w:r w:rsidRPr="00981775">
          <w:rPr>
            <w:rStyle w:val="TextoNormalCaracter"/>
          </w:rPr>
          <w:t>178/2015</w:t>
        </w:r>
      </w:hyperlink>
      <w:r>
        <w:t xml:space="preserve">, ff. 1, 3; </w:t>
      </w:r>
      <w:hyperlink w:anchor="SENTENCIA_2015_185" w:history="1">
        <w:r w:rsidRPr="00981775">
          <w:rPr>
            <w:rStyle w:val="TextoNormalCaracter"/>
          </w:rPr>
          <w:t>185/2015</w:t>
        </w:r>
      </w:hyperlink>
      <w:r>
        <w:t>, f. 1.</w:t>
      </w:r>
    </w:p>
    <w:p w:rsidR="00981775" w:rsidRDefault="00981775" w:rsidP="00981775">
      <w:pPr>
        <w:pStyle w:val="SangriaFrancesaArticulo"/>
      </w:pPr>
      <w:r w:rsidRPr="00981775">
        <w:rPr>
          <w:rStyle w:val="TextoNormalNegritaCaracter"/>
        </w:rPr>
        <w:t>Artículo 30.1.</w:t>
      </w:r>
      <w:r w:rsidRPr="00981775">
        <w:rPr>
          <w:rStyle w:val="TextoNormalCaracter"/>
        </w:rPr>
        <w:t>-</w:t>
      </w:r>
      <w:r>
        <w:t xml:space="preserve"> Sentencia </w:t>
      </w:r>
      <w:hyperlink w:anchor="SENTENCIA_2015_185" w:history="1">
        <w:r w:rsidRPr="00981775">
          <w:rPr>
            <w:rStyle w:val="TextoNormalCaracter"/>
          </w:rPr>
          <w:t>185/2015</w:t>
        </w:r>
      </w:hyperlink>
      <w:r>
        <w:t>, VP.</w:t>
      </w:r>
    </w:p>
    <w:p w:rsidR="00981775" w:rsidRDefault="00981775" w:rsidP="00981775">
      <w:pPr>
        <w:pStyle w:val="SangriaFrancesaArticulo"/>
      </w:pPr>
      <w:r w:rsidRPr="00981775">
        <w:rPr>
          <w:rStyle w:val="TextoNormalNegritaCaracter"/>
        </w:rPr>
        <w:t>Artículo 30.7.</w:t>
      </w:r>
      <w:r w:rsidRPr="00981775">
        <w:rPr>
          <w:rStyle w:val="TextoNormalCaracter"/>
        </w:rPr>
        <w:t>-</w:t>
      </w:r>
      <w:r>
        <w:t xml:space="preserve"> Sentencia </w:t>
      </w:r>
      <w:hyperlink w:anchor="SENTENCIA_2015_185" w:history="1">
        <w:r w:rsidRPr="00981775">
          <w:rPr>
            <w:rStyle w:val="TextoNormalCaracter"/>
          </w:rPr>
          <w:t>185/2015</w:t>
        </w:r>
      </w:hyperlink>
      <w:r>
        <w:t>, VP.</w:t>
      </w:r>
    </w:p>
    <w:p w:rsidR="00981775" w:rsidRDefault="00981775" w:rsidP="00981775">
      <w:pPr>
        <w:pStyle w:val="TextoNormal"/>
      </w:pPr>
    </w:p>
    <w:p w:rsidR="00981775" w:rsidRDefault="00981775" w:rsidP="00981775">
      <w:pPr>
        <w:pStyle w:val="TextoNormalNegritaCentradoSubrayado"/>
        <w:suppressAutoHyphens/>
      </w:pPr>
      <w:r>
        <w:t>J.11.b) Leyes y disposiciones con fuerza de Ley</w:t>
      </w:r>
    </w:p>
    <w:p w:rsidR="00981775" w:rsidRDefault="00981775" w:rsidP="00981775">
      <w:pPr>
        <w:pStyle w:val="TextoNormalNegritaCentradoSubrayado"/>
      </w:pPr>
    </w:p>
    <w:p w:rsidR="00981775" w:rsidRDefault="00981775" w:rsidP="00981775">
      <w:pPr>
        <w:pStyle w:val="TextoNormalNegritaCursivandice"/>
      </w:pPr>
      <w:r>
        <w:t>Ley 4/1994, de 14 de septiembre. Carreteras de Galicia</w:t>
      </w:r>
    </w:p>
    <w:p w:rsidR="00981775" w:rsidRDefault="00981775" w:rsidP="00981775">
      <w:pPr>
        <w:pStyle w:val="SangriaFrancesaArticulo"/>
      </w:pPr>
      <w:r w:rsidRPr="00981775">
        <w:rPr>
          <w:rStyle w:val="TextoNormalNegritaCaracter"/>
        </w:rPr>
        <w:t>Artículo 43.4 b).</w:t>
      </w:r>
      <w:r w:rsidRPr="00981775">
        <w:rPr>
          <w:rStyle w:val="TextoNormalCaracter"/>
        </w:rPr>
        <w:t>-</w:t>
      </w:r>
      <w:r>
        <w:t xml:space="preserve"> Sentencia </w:t>
      </w:r>
      <w:hyperlink w:anchor="SENTENCIA_2015_169" w:history="1">
        <w:r w:rsidRPr="00981775">
          <w:rPr>
            <w:rStyle w:val="TextoNormalCaracter"/>
          </w:rPr>
          <w:t>169/2015</w:t>
        </w:r>
      </w:hyperlink>
      <w:r>
        <w:t>, f. 5.</w:t>
      </w:r>
    </w:p>
    <w:p w:rsidR="00981775" w:rsidRDefault="00981775" w:rsidP="00981775">
      <w:pPr>
        <w:pStyle w:val="SangriaFrancesaArticulo"/>
      </w:pPr>
      <w:r w:rsidRPr="00981775">
        <w:rPr>
          <w:rStyle w:val="TextoNormalNegritaCaracter"/>
        </w:rPr>
        <w:t>Artículo 43.4 c).</w:t>
      </w:r>
      <w:r w:rsidRPr="00981775">
        <w:rPr>
          <w:rStyle w:val="TextoNormalCaracter"/>
        </w:rPr>
        <w:t>-</w:t>
      </w:r>
      <w:r>
        <w:t xml:space="preserve"> Sentencia </w:t>
      </w:r>
      <w:hyperlink w:anchor="SENTENCIA_2015_169" w:history="1">
        <w:r w:rsidRPr="00981775">
          <w:rPr>
            <w:rStyle w:val="TextoNormalCaracter"/>
          </w:rPr>
          <w:t>169/2015</w:t>
        </w:r>
      </w:hyperlink>
      <w:r>
        <w:t>, f. 5.</w:t>
      </w:r>
    </w:p>
    <w:p w:rsidR="00981775" w:rsidRDefault="00981775" w:rsidP="00981775">
      <w:pPr>
        <w:pStyle w:val="SangriaFrancesaArticulo"/>
      </w:pPr>
      <w:r w:rsidRPr="00981775">
        <w:rPr>
          <w:rStyle w:val="TextoNormalNegritaCaracter"/>
        </w:rPr>
        <w:t>Artículo 48.3.</w:t>
      </w:r>
      <w:r w:rsidRPr="00981775">
        <w:rPr>
          <w:rStyle w:val="TextoNormalCaracter"/>
        </w:rPr>
        <w:t>-</w:t>
      </w:r>
      <w:r>
        <w:t xml:space="preserve"> Sentencia </w:t>
      </w:r>
      <w:hyperlink w:anchor="SENTENCIA_2015_169" w:history="1">
        <w:r w:rsidRPr="00981775">
          <w:rPr>
            <w:rStyle w:val="TextoNormalCaracter"/>
          </w:rPr>
          <w:t>169/2015</w:t>
        </w:r>
      </w:hyperlink>
      <w:r>
        <w:t>, ff. 5, 6.</w:t>
      </w:r>
    </w:p>
    <w:p w:rsidR="00981775" w:rsidRDefault="00981775" w:rsidP="00981775">
      <w:pPr>
        <w:pStyle w:val="SangriaFrancesaArticulo"/>
      </w:pPr>
    </w:p>
    <w:p w:rsidR="00981775" w:rsidRDefault="00981775" w:rsidP="00981775">
      <w:pPr>
        <w:pStyle w:val="TextoNormalNegritaCursivandice"/>
      </w:pPr>
      <w:r>
        <w:t>Decreto Legislativo de la Junta de Galicia 1/2008, de 13 de marzo. Texto refundido de la Ley de la función pública de Galicia</w:t>
      </w:r>
    </w:p>
    <w:p w:rsidR="00981775" w:rsidRDefault="00981775" w:rsidP="00981775">
      <w:pPr>
        <w:pStyle w:val="SangriaFrancesaArticulo"/>
      </w:pPr>
      <w:r w:rsidRPr="00981775">
        <w:rPr>
          <w:rStyle w:val="TextoNormalNegritaCaracter"/>
        </w:rPr>
        <w:t>Artículo 30.</w:t>
      </w:r>
      <w:r w:rsidRPr="00981775">
        <w:rPr>
          <w:rStyle w:val="TextoNormalCaracter"/>
        </w:rPr>
        <w:t>-</w:t>
      </w:r>
      <w:r>
        <w:t xml:space="preserve"> Sentencia </w:t>
      </w:r>
      <w:hyperlink w:anchor="SENTENCIA_2015_157" w:history="1">
        <w:r w:rsidRPr="00981775">
          <w:rPr>
            <w:rStyle w:val="TextoNormalCaracter"/>
          </w:rPr>
          <w:t>157/2015</w:t>
        </w:r>
      </w:hyperlink>
      <w:r>
        <w:t>, ff. 1, 2.</w:t>
      </w:r>
    </w:p>
    <w:p w:rsidR="00981775" w:rsidRDefault="00981775" w:rsidP="00981775">
      <w:pPr>
        <w:pStyle w:val="SangriaFrancesaArticulo"/>
      </w:pPr>
    </w:p>
    <w:p w:rsidR="00981775" w:rsidRDefault="00981775" w:rsidP="00981775">
      <w:pPr>
        <w:pStyle w:val="TextoNormalNegritaCursivandice"/>
      </w:pPr>
      <w:r>
        <w:t>Ley del Parlamento de Galicia 15/2010, de 28 de diciembre. Medidas fiscales y administrativas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57" w:history="1">
        <w:r w:rsidRPr="00981775">
          <w:rPr>
            <w:rStyle w:val="TextoNormalCaracter"/>
          </w:rPr>
          <w:t>157/2015</w:t>
        </w:r>
      </w:hyperlink>
      <w:r>
        <w:t>, f. 1.</w:t>
      </w:r>
    </w:p>
    <w:p w:rsidR="00981775" w:rsidRDefault="00981775" w:rsidP="00981775">
      <w:pPr>
        <w:pStyle w:val="SangriaFrancesaArticulo"/>
      </w:pPr>
      <w:r w:rsidRPr="00981775">
        <w:rPr>
          <w:rStyle w:val="TextoNormalNegritaCaracter"/>
        </w:rPr>
        <w:t>Artículo 21.</w:t>
      </w:r>
      <w:r w:rsidRPr="00981775">
        <w:rPr>
          <w:rStyle w:val="TextoNormalCaracter"/>
        </w:rPr>
        <w:t>-</w:t>
      </w:r>
      <w:r>
        <w:t xml:space="preserve"> Sentencia </w:t>
      </w:r>
      <w:hyperlink w:anchor="SENTENCIA_2015_157" w:history="1">
        <w:r w:rsidRPr="00981775">
          <w:rPr>
            <w:rStyle w:val="TextoNormalCaracter"/>
          </w:rPr>
          <w:t>157/2015</w:t>
        </w:r>
      </w:hyperlink>
      <w:r>
        <w:t>, f. 1.</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J.12) Madrid</w:t>
      </w:r>
    </w:p>
    <w:p w:rsidR="00981775" w:rsidRDefault="00981775" w:rsidP="00981775">
      <w:pPr>
        <w:pStyle w:val="TextoNormal"/>
      </w:pPr>
    </w:p>
    <w:p w:rsidR="00981775" w:rsidRDefault="00981775" w:rsidP="00981775">
      <w:pPr>
        <w:pStyle w:val="TextoNormalNegritaCentradoSubrayado"/>
        <w:suppressAutoHyphens/>
      </w:pPr>
      <w:r>
        <w:t>J.12.a) Estatuto de Autonomía</w:t>
      </w:r>
    </w:p>
    <w:p w:rsidR="00981775" w:rsidRDefault="00981775" w:rsidP="00981775">
      <w:pPr>
        <w:pStyle w:val="TextoNormalNegritaCentradoSubrayado"/>
      </w:pPr>
    </w:p>
    <w:p w:rsidR="00981775" w:rsidRDefault="00981775" w:rsidP="00981775">
      <w:pPr>
        <w:pStyle w:val="TextoNormalNegritaCursivandice"/>
      </w:pPr>
      <w:r>
        <w:t>Ley Orgánica 3/1983, de 25 de febrero. Estatuto de Autonomía de la Comunidad de Madrid</w:t>
      </w:r>
    </w:p>
    <w:p w:rsidR="00981775" w:rsidRDefault="00981775" w:rsidP="00981775">
      <w:pPr>
        <w:pStyle w:val="SangriaFrancesaArticulo"/>
      </w:pPr>
      <w:r w:rsidRPr="00981775">
        <w:rPr>
          <w:rStyle w:val="TextoNormalNegritaCaracter"/>
        </w:rPr>
        <w:t>Artículo 23.7.</w:t>
      </w:r>
      <w:r w:rsidRPr="00981775">
        <w:rPr>
          <w:rStyle w:val="TextoNormalCaracter"/>
        </w:rPr>
        <w:t>-</w:t>
      </w:r>
      <w:r>
        <w:t xml:space="preserve"> Sentencia </w:t>
      </w:r>
      <w:hyperlink w:anchor="SENTENCIA_2015_214" w:history="1">
        <w:r w:rsidRPr="00981775">
          <w:rPr>
            <w:rStyle w:val="TextoNormalCaracter"/>
          </w:rPr>
          <w:t>214/2015</w:t>
        </w:r>
      </w:hyperlink>
      <w:r>
        <w:t>, f. 3.</w:t>
      </w:r>
    </w:p>
    <w:p w:rsidR="00981775" w:rsidRDefault="00981775" w:rsidP="00981775">
      <w:pPr>
        <w:pStyle w:val="SangriaFrancesaArticulo"/>
      </w:pPr>
      <w:r w:rsidRPr="00981775">
        <w:rPr>
          <w:rStyle w:val="TextoNormalNegritaCaracter"/>
        </w:rPr>
        <w:t>Artículo 27.3.</w:t>
      </w:r>
      <w:r w:rsidRPr="00981775">
        <w:rPr>
          <w:rStyle w:val="TextoNormalCaracter"/>
        </w:rPr>
        <w:t>-</w:t>
      </w:r>
      <w:r>
        <w:t xml:space="preserve"> Sentencia </w:t>
      </w:r>
      <w:hyperlink w:anchor="SENTENCIA_2015_214" w:history="1">
        <w:r w:rsidRPr="00981775">
          <w:rPr>
            <w:rStyle w:val="TextoNormalCaracter"/>
          </w:rPr>
          <w:t>214/2015</w:t>
        </w:r>
      </w:hyperlink>
      <w:r>
        <w:t>, f. 3.</w:t>
      </w:r>
    </w:p>
    <w:p w:rsidR="00981775" w:rsidRDefault="00981775" w:rsidP="00981775">
      <w:pPr>
        <w:pStyle w:val="TextoNormal"/>
      </w:pPr>
    </w:p>
    <w:p w:rsidR="00981775" w:rsidRDefault="00981775" w:rsidP="00981775">
      <w:pPr>
        <w:pStyle w:val="TextoNormalNegritaCentradoSubrayado"/>
        <w:suppressAutoHyphens/>
      </w:pPr>
      <w:r>
        <w:t>J.12.b) Leyes y disposiciones con fuerza de Ley</w:t>
      </w:r>
    </w:p>
    <w:p w:rsidR="00981775" w:rsidRDefault="00981775" w:rsidP="00981775">
      <w:pPr>
        <w:pStyle w:val="TextoNormalNegritaCentradoSubrayado"/>
      </w:pPr>
    </w:p>
    <w:p w:rsidR="00981775" w:rsidRDefault="00981775" w:rsidP="00981775">
      <w:pPr>
        <w:pStyle w:val="TextoNormalNegritaCursivandice"/>
      </w:pPr>
      <w:r>
        <w:t>Ley de la Asamblea de Madrid 16/1995, de 4 de mayo. Forestal y de Protección de la Naturaleza de la Comunidad de Madrid</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14" w:history="1">
        <w:r w:rsidRPr="00981775">
          <w:rPr>
            <w:rStyle w:val="TextoNormalCaracter"/>
          </w:rPr>
          <w:t>214/2015</w:t>
        </w:r>
      </w:hyperlink>
      <w:r>
        <w:t>, ff. 3, 4.</w:t>
      </w:r>
    </w:p>
    <w:p w:rsidR="00981775" w:rsidRDefault="00981775" w:rsidP="00981775">
      <w:pPr>
        <w:pStyle w:val="SangriaFrancesaArticulo"/>
      </w:pPr>
      <w:r w:rsidRPr="00981775">
        <w:rPr>
          <w:rStyle w:val="TextoNormalNegritaCaracter"/>
        </w:rPr>
        <w:t>Artículo 2.2.</w:t>
      </w:r>
      <w:r w:rsidRPr="00981775">
        <w:rPr>
          <w:rStyle w:val="TextoNormalCaracter"/>
        </w:rPr>
        <w:t>-</w:t>
      </w:r>
      <w:r>
        <w:t xml:space="preserve"> Sentencia </w:t>
      </w:r>
      <w:hyperlink w:anchor="SENTENCIA_2015_214" w:history="1">
        <w:r w:rsidRPr="00981775">
          <w:rPr>
            <w:rStyle w:val="TextoNormalCaracter"/>
          </w:rPr>
          <w:t>214/2015</w:t>
        </w:r>
      </w:hyperlink>
      <w:r>
        <w:t>, f. 4.</w:t>
      </w:r>
    </w:p>
    <w:p w:rsidR="00981775" w:rsidRDefault="00981775" w:rsidP="00981775">
      <w:pPr>
        <w:pStyle w:val="SangriaFrancesaArticulo"/>
      </w:pPr>
      <w:r w:rsidRPr="00981775">
        <w:rPr>
          <w:rStyle w:val="TextoNormalNegritaCaracter"/>
        </w:rPr>
        <w:t>Artículo 100.1.</w:t>
      </w:r>
      <w:r w:rsidRPr="00981775">
        <w:rPr>
          <w:rStyle w:val="TextoNormalCaracter"/>
        </w:rPr>
        <w:t>-</w:t>
      </w:r>
      <w:r>
        <w:t xml:space="preserve"> Sentencia </w:t>
      </w:r>
      <w:hyperlink w:anchor="SENTENCIA_2015_214" w:history="1">
        <w:r w:rsidRPr="00981775">
          <w:rPr>
            <w:rStyle w:val="TextoNormalCaracter"/>
          </w:rPr>
          <w:t>214/2015</w:t>
        </w:r>
      </w:hyperlink>
      <w:r>
        <w:t>, f. 4.</w:t>
      </w:r>
    </w:p>
    <w:p w:rsidR="00981775" w:rsidRDefault="00981775" w:rsidP="00981775">
      <w:pPr>
        <w:pStyle w:val="SangriaFrancesaArticulo"/>
      </w:pPr>
      <w:r w:rsidRPr="00981775">
        <w:rPr>
          <w:rStyle w:val="TextoNormalNegritaCaracter"/>
        </w:rPr>
        <w:t>Artículo 100.3.</w:t>
      </w:r>
      <w:r w:rsidRPr="00981775">
        <w:rPr>
          <w:rStyle w:val="TextoNormalCaracter"/>
        </w:rPr>
        <w:t>-</w:t>
      </w:r>
      <w:r>
        <w:t xml:space="preserve"> Sentencia </w:t>
      </w:r>
      <w:hyperlink w:anchor="SENTENCIA_2015_214" w:history="1">
        <w:r w:rsidRPr="00981775">
          <w:rPr>
            <w:rStyle w:val="TextoNormalCaracter"/>
          </w:rPr>
          <w:t>214/2015</w:t>
        </w:r>
      </w:hyperlink>
      <w:r>
        <w:t>, f. 5.</w:t>
      </w:r>
    </w:p>
    <w:p w:rsidR="00981775" w:rsidRDefault="00981775" w:rsidP="00981775">
      <w:pPr>
        <w:pStyle w:val="SangriaFrancesaArticulo"/>
      </w:pPr>
      <w:r w:rsidRPr="00981775">
        <w:rPr>
          <w:rStyle w:val="TextoNormalNegritaCaracter"/>
        </w:rPr>
        <w:t>Artículo 100.3, párrafo primero</w:t>
      </w:r>
      <w:r>
        <w:t xml:space="preserve"> (redactado por la Ley 3/2007, de 26 de julio)</w:t>
      </w:r>
      <w:r w:rsidRPr="00981775">
        <w:rPr>
          <w:rStyle w:val="TextoNormalNegritaCaracter"/>
        </w:rPr>
        <w:t>.</w:t>
      </w:r>
      <w:r w:rsidRPr="00981775">
        <w:rPr>
          <w:rStyle w:val="TextoNormalCaracter"/>
        </w:rPr>
        <w:t>-</w:t>
      </w:r>
      <w:r>
        <w:t xml:space="preserve"> Sentencia </w:t>
      </w:r>
      <w:hyperlink w:anchor="SENTENCIA_2015_214" w:history="1">
        <w:r w:rsidRPr="00981775">
          <w:rPr>
            <w:rStyle w:val="TextoNormalCaracter"/>
          </w:rPr>
          <w:t>214/2015</w:t>
        </w:r>
      </w:hyperlink>
      <w:r>
        <w:t>, ff. 1, 2, 5.</w:t>
      </w:r>
    </w:p>
    <w:p w:rsidR="00981775" w:rsidRDefault="00981775" w:rsidP="00981775">
      <w:pPr>
        <w:pStyle w:val="SangriaFrancesaArticulo"/>
      </w:pPr>
      <w:r w:rsidRPr="00981775">
        <w:rPr>
          <w:rStyle w:val="TextoNormalNegritaCaracter"/>
        </w:rPr>
        <w:t>Disposición adicional quinta.</w:t>
      </w:r>
      <w:r w:rsidRPr="00981775">
        <w:rPr>
          <w:rStyle w:val="TextoNormalCaracter"/>
        </w:rPr>
        <w:t>-</w:t>
      </w:r>
      <w:r>
        <w:t xml:space="preserve"> Sentencia </w:t>
      </w:r>
      <w:hyperlink w:anchor="SENTENCIA_2015_214" w:history="1">
        <w:r w:rsidRPr="00981775">
          <w:rPr>
            <w:rStyle w:val="TextoNormalCaracter"/>
          </w:rPr>
          <w:t>214/2015</w:t>
        </w:r>
      </w:hyperlink>
      <w:r>
        <w:t>, f. 4.</w:t>
      </w:r>
    </w:p>
    <w:p w:rsidR="00981775" w:rsidRDefault="00981775" w:rsidP="00981775">
      <w:pPr>
        <w:pStyle w:val="SangriaFrancesaArticulo"/>
      </w:pPr>
    </w:p>
    <w:p w:rsidR="00981775" w:rsidRDefault="00981775" w:rsidP="00981775">
      <w:pPr>
        <w:pStyle w:val="TextoNormalNegritaCursivandice"/>
      </w:pPr>
      <w:r>
        <w:t>Ley de la Asamblea de Madrid 1/2002, de 27 de marzo. Cuerpo de agentes forestales de la Comunidad de Madrid</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14" w:history="1">
        <w:r w:rsidRPr="00981775">
          <w:rPr>
            <w:rStyle w:val="TextoNormalCaracter"/>
          </w:rPr>
          <w:t>214/2015</w:t>
        </w:r>
      </w:hyperlink>
      <w:r>
        <w:t>, f. 4.</w:t>
      </w:r>
    </w:p>
    <w:p w:rsidR="00981775" w:rsidRDefault="00981775" w:rsidP="00981775">
      <w:pPr>
        <w:pStyle w:val="SangriaFrancesaArticulo"/>
      </w:pPr>
      <w:r w:rsidRPr="00981775">
        <w:rPr>
          <w:rStyle w:val="TextoNormalNegritaCaracter"/>
        </w:rPr>
        <w:t>Artículo 5.</w:t>
      </w:r>
      <w:r w:rsidRPr="00981775">
        <w:rPr>
          <w:rStyle w:val="TextoNormalCaracter"/>
        </w:rPr>
        <w:t>-</w:t>
      </w:r>
      <w:r>
        <w:t xml:space="preserve"> Sentencia </w:t>
      </w:r>
      <w:hyperlink w:anchor="SENTENCIA_2015_214" w:history="1">
        <w:r w:rsidRPr="00981775">
          <w:rPr>
            <w:rStyle w:val="TextoNormalCaracter"/>
          </w:rPr>
          <w:t>214/2015</w:t>
        </w:r>
      </w:hyperlink>
      <w:r>
        <w:t>, f. 4.</w:t>
      </w:r>
    </w:p>
    <w:p w:rsidR="00981775" w:rsidRDefault="00981775" w:rsidP="00981775">
      <w:pPr>
        <w:pStyle w:val="SangriaFrancesaArticulo"/>
      </w:pPr>
    </w:p>
    <w:p w:rsidR="00981775" w:rsidRDefault="00981775" w:rsidP="00981775">
      <w:pPr>
        <w:pStyle w:val="TextoNormalNegritaCursivandice"/>
      </w:pPr>
      <w:r>
        <w:t>Ley de la Asamblea de Madrid 3/2007, de 26 de julio. Medidas urgentes de modernización del Gobierno y la Administración de la Comunidad de Madrid</w:t>
      </w:r>
    </w:p>
    <w:p w:rsidR="00981775" w:rsidRDefault="00981775" w:rsidP="00981775">
      <w:pPr>
        <w:pStyle w:val="SangriaFrancesaArticulo"/>
      </w:pPr>
      <w:r w:rsidRPr="00981775">
        <w:rPr>
          <w:rStyle w:val="TextoNormalNegritaCaracter"/>
        </w:rPr>
        <w:t>Artículo 9.</w:t>
      </w:r>
      <w:r w:rsidRPr="00981775">
        <w:rPr>
          <w:rStyle w:val="TextoNormalCaracter"/>
        </w:rPr>
        <w:t>-</w:t>
      </w:r>
      <w:r>
        <w:t xml:space="preserve"> Sentencia </w:t>
      </w:r>
      <w:hyperlink w:anchor="SENTENCIA_2015_214" w:history="1">
        <w:r w:rsidRPr="00981775">
          <w:rPr>
            <w:rStyle w:val="TextoNormalCaracter"/>
          </w:rPr>
          <w:t>214/2015</w:t>
        </w:r>
      </w:hyperlink>
      <w:r>
        <w:t>, ff. 1, 2, 5.</w:t>
      </w:r>
    </w:p>
    <w:p w:rsidR="00981775" w:rsidRDefault="00981775" w:rsidP="00981775">
      <w:pPr>
        <w:pStyle w:val="SangriaFrancesaArticulo"/>
      </w:pPr>
    </w:p>
    <w:p w:rsidR="00981775" w:rsidRDefault="00981775" w:rsidP="00981775">
      <w:pPr>
        <w:pStyle w:val="TextoNormalNegritaCursivandice"/>
      </w:pPr>
      <w:r>
        <w:t>Ley 3/2014, de 22 de diciembre. Presupuestos Generales de la Comunidad de Madrid para el año 2015</w:t>
      </w:r>
    </w:p>
    <w:p w:rsidR="00981775" w:rsidRDefault="00981775" w:rsidP="00981775">
      <w:pPr>
        <w:pStyle w:val="SangriaFrancesaArticulo"/>
      </w:pPr>
      <w:r w:rsidRPr="00981775">
        <w:rPr>
          <w:rStyle w:val="TextoNormalNegritaCaracter"/>
        </w:rPr>
        <w:t>Artículo 19.1.</w:t>
      </w:r>
      <w:r w:rsidRPr="00981775">
        <w:rPr>
          <w:rStyle w:val="TextoNormalCaracter"/>
        </w:rPr>
        <w:t>-</w:t>
      </w:r>
      <w:r>
        <w:t xml:space="preserve"> Sentencias </w:t>
      </w:r>
      <w:hyperlink w:anchor="SENTENCIA_2015_161" w:history="1">
        <w:r w:rsidRPr="00981775">
          <w:rPr>
            <w:rStyle w:val="TextoNormalCaracter"/>
          </w:rPr>
          <w:t>161/2015</w:t>
        </w:r>
      </w:hyperlink>
      <w:r>
        <w:t xml:space="preserve">, f. 3; </w:t>
      </w:r>
      <w:hyperlink w:anchor="SENTENCIA_2015_170" w:history="1">
        <w:r w:rsidRPr="00981775">
          <w:rPr>
            <w:rStyle w:val="TextoNormalCaracter"/>
          </w:rPr>
          <w:t>170/2015</w:t>
        </w:r>
      </w:hyperlink>
      <w:r>
        <w:t>, f. 3.</w:t>
      </w:r>
    </w:p>
    <w:p w:rsidR="00981775" w:rsidRDefault="00981775" w:rsidP="00981775">
      <w:pPr>
        <w:pStyle w:val="SangriaFrancesaArticulo"/>
      </w:pPr>
      <w:r w:rsidRPr="00981775">
        <w:rPr>
          <w:rStyle w:val="TextoNormalNegritaCaracter"/>
        </w:rPr>
        <w:t>Disposición adicional decimosexta.</w:t>
      </w:r>
      <w:r w:rsidRPr="00981775">
        <w:rPr>
          <w:rStyle w:val="TextoNormalCaracter"/>
        </w:rPr>
        <w:t>-</w:t>
      </w:r>
      <w:r>
        <w:t xml:space="preserve"> Sentencias </w:t>
      </w:r>
      <w:hyperlink w:anchor="SENTENCIA_2015_161" w:history="1">
        <w:r w:rsidRPr="00981775">
          <w:rPr>
            <w:rStyle w:val="TextoNormalCaracter"/>
          </w:rPr>
          <w:t>161/2015</w:t>
        </w:r>
      </w:hyperlink>
      <w:r>
        <w:t xml:space="preserve">, f. 3; </w:t>
      </w:r>
      <w:hyperlink w:anchor="SENTENCIA_2015_170" w:history="1">
        <w:r w:rsidRPr="00981775">
          <w:rPr>
            <w:rStyle w:val="TextoNormalCaracter"/>
          </w:rPr>
          <w:t>170/2015</w:t>
        </w:r>
      </w:hyperlink>
      <w:r>
        <w:t>, f. 3.</w:t>
      </w:r>
    </w:p>
    <w:p w:rsidR="00981775" w:rsidRDefault="00981775" w:rsidP="00981775">
      <w:pPr>
        <w:pStyle w:val="SangriaFrancesaArticulo"/>
      </w:pPr>
      <w:r w:rsidRPr="00981775">
        <w:rPr>
          <w:rStyle w:val="TextoNormalNegritaCaracter"/>
        </w:rPr>
        <w:t>Disposición adicional decimosexta, apartado 3.</w:t>
      </w:r>
      <w:r w:rsidRPr="00981775">
        <w:rPr>
          <w:rStyle w:val="TextoNormalCaracter"/>
        </w:rPr>
        <w:t>-</w:t>
      </w:r>
      <w:r>
        <w:t xml:space="preserve"> Sentencia </w:t>
      </w:r>
      <w:hyperlink w:anchor="SENTENCIA_2015_161" w:history="1">
        <w:r w:rsidRPr="00981775">
          <w:rPr>
            <w:rStyle w:val="TextoNormalCaracter"/>
          </w:rPr>
          <w:t>161/2015</w:t>
        </w:r>
      </w:hyperlink>
      <w:r>
        <w:t>, f. 3.</w:t>
      </w:r>
    </w:p>
    <w:p w:rsidR="00981775" w:rsidRDefault="00981775" w:rsidP="00981775">
      <w:pPr>
        <w:pStyle w:val="TextoNormal"/>
      </w:pPr>
    </w:p>
    <w:p w:rsidR="00981775" w:rsidRDefault="00981775" w:rsidP="00981775">
      <w:pPr>
        <w:pStyle w:val="TextoNormalNegritaCentradoSubrayado"/>
        <w:suppressAutoHyphens/>
      </w:pPr>
      <w:r>
        <w:t>J.12.c) Decretos y otras disposiciones reglamentarias</w:t>
      </w:r>
    </w:p>
    <w:p w:rsidR="00981775" w:rsidRDefault="00981775" w:rsidP="00981775">
      <w:pPr>
        <w:pStyle w:val="TextoNormalNegritaCentradoSubrayado"/>
      </w:pPr>
    </w:p>
    <w:p w:rsidR="00981775" w:rsidRDefault="00981775" w:rsidP="00981775">
      <w:pPr>
        <w:pStyle w:val="TextoNormalNegritaCursivandice"/>
      </w:pPr>
      <w:r>
        <w:t>Orden de 20 de enero de 2015, de la Consejería de Economía y Hacienda. Instrucciones para la Gestión de las Nóminas del Personal de la Comunidad de Madrid para 2015</w:t>
      </w:r>
    </w:p>
    <w:p w:rsidR="00981775" w:rsidRDefault="00981775" w:rsidP="00981775">
      <w:pPr>
        <w:pStyle w:val="SangriaFrancesaArticulo"/>
      </w:pPr>
      <w:r w:rsidRPr="00981775">
        <w:rPr>
          <w:rStyle w:val="TextoNormalNegritaCaracter"/>
        </w:rPr>
        <w:t>Artículo 19.</w:t>
      </w:r>
      <w:r w:rsidRPr="00981775">
        <w:rPr>
          <w:rStyle w:val="TextoNormalCaracter"/>
        </w:rPr>
        <w:t>-</w:t>
      </w:r>
      <w:r>
        <w:t xml:space="preserve"> Sentencia </w:t>
      </w:r>
      <w:hyperlink w:anchor="SENTENCIA_2015_161" w:history="1">
        <w:r w:rsidRPr="00981775">
          <w:rPr>
            <w:rStyle w:val="TextoNormalCaracter"/>
          </w:rPr>
          <w:t>161/2015</w:t>
        </w:r>
      </w:hyperlink>
      <w:r>
        <w:t>, f. 3.</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J.13) Murcia</w:t>
      </w:r>
    </w:p>
    <w:p w:rsidR="00981775" w:rsidRDefault="00981775" w:rsidP="00981775">
      <w:pPr>
        <w:pStyle w:val="TextoNormal"/>
      </w:pPr>
    </w:p>
    <w:p w:rsidR="00981775" w:rsidRDefault="00981775" w:rsidP="00981775">
      <w:pPr>
        <w:pStyle w:val="TextoNormalNegritaCentradoSubrayado"/>
        <w:suppressAutoHyphens/>
      </w:pPr>
      <w:r>
        <w:t>J.13.a) Estatuto de Autonomía</w:t>
      </w:r>
    </w:p>
    <w:p w:rsidR="00981775" w:rsidRDefault="00981775" w:rsidP="00981775">
      <w:pPr>
        <w:pStyle w:val="TextoNormalNegritaCentradoSubrayado"/>
      </w:pPr>
    </w:p>
    <w:p w:rsidR="00981775" w:rsidRDefault="00981775" w:rsidP="00981775">
      <w:pPr>
        <w:pStyle w:val="TextoNormalNegritaCursivandice"/>
      </w:pPr>
      <w:r>
        <w:t>Ley Orgánica 4/1982, de 9 de junio. Estatuto de Autonomía de la Región de Murcia</w:t>
      </w:r>
    </w:p>
    <w:p w:rsidR="00981775" w:rsidRDefault="00981775" w:rsidP="00981775">
      <w:pPr>
        <w:pStyle w:val="SangriaFrancesaArticulo"/>
      </w:pPr>
      <w:r w:rsidRPr="00981775">
        <w:rPr>
          <w:rStyle w:val="TextoNormalNegritaCaracter"/>
        </w:rPr>
        <w:t>Artículo 10.11.</w:t>
      </w:r>
      <w:r w:rsidRPr="00981775">
        <w:rPr>
          <w:rStyle w:val="TextoNormalCaracter"/>
        </w:rPr>
        <w:t>-</w:t>
      </w:r>
      <w:r>
        <w:t xml:space="preserve"> Auto </w:t>
      </w:r>
      <w:hyperlink w:anchor="AUTO_2015_183" w:history="1">
        <w:r w:rsidRPr="00981775">
          <w:rPr>
            <w:rStyle w:val="TextoNormalCaracter"/>
          </w:rPr>
          <w:t>183/2015</w:t>
        </w:r>
      </w:hyperlink>
      <w:r>
        <w:t>, f. 2.</w:t>
      </w:r>
    </w:p>
    <w:p w:rsidR="00981775" w:rsidRDefault="00981775" w:rsidP="00981775">
      <w:pPr>
        <w:pStyle w:val="TextoNormal"/>
      </w:pPr>
    </w:p>
    <w:p w:rsidR="00981775" w:rsidRDefault="00981775" w:rsidP="00981775">
      <w:pPr>
        <w:pStyle w:val="TextoNormalNegritaCentradoSubrayado"/>
        <w:suppressAutoHyphens/>
      </w:pPr>
      <w:r>
        <w:t>J.13.b) Leyes y disposiciones con fuerza de Ley</w:t>
      </w:r>
    </w:p>
    <w:p w:rsidR="00981775" w:rsidRDefault="00981775" w:rsidP="00981775">
      <w:pPr>
        <w:pStyle w:val="TextoNormalNegritaCentradoSubrayado"/>
      </w:pPr>
    </w:p>
    <w:p w:rsidR="00981775" w:rsidRDefault="00981775" w:rsidP="00981775">
      <w:pPr>
        <w:pStyle w:val="TextoNormalNegritaCursivandice"/>
      </w:pPr>
      <w:r>
        <w:t>Ley de la Asamblea Regional de Murcia 6/2011, de 26 de diciembre. Presupuestos generales de la Comunidad Autónoma para el ejercicio 2012</w:t>
      </w:r>
    </w:p>
    <w:p w:rsidR="00981775" w:rsidRDefault="00981775" w:rsidP="00981775">
      <w:pPr>
        <w:pStyle w:val="SangriaFrancesaArticulo"/>
      </w:pPr>
      <w:r w:rsidRPr="00981775">
        <w:rPr>
          <w:rStyle w:val="TextoNormalNegritaCaracter"/>
        </w:rPr>
        <w:t>Artículo 22.</w:t>
      </w:r>
      <w:r w:rsidRPr="00981775">
        <w:rPr>
          <w:rStyle w:val="TextoNormalCaracter"/>
        </w:rPr>
        <w:t>-</w:t>
      </w:r>
      <w:r>
        <w:t xml:space="preserve"> Auto </w:t>
      </w:r>
      <w:hyperlink w:anchor="AUTO_2015_173" w:history="1">
        <w:r w:rsidRPr="00981775">
          <w:rPr>
            <w:rStyle w:val="TextoNormalCaracter"/>
          </w:rPr>
          <w:t>173/2015</w:t>
        </w:r>
      </w:hyperlink>
      <w:r>
        <w:t>, f. 3.</w:t>
      </w:r>
    </w:p>
    <w:p w:rsidR="00981775" w:rsidRDefault="00981775" w:rsidP="00981775">
      <w:pPr>
        <w:pStyle w:val="SangriaFrancesaArticulo"/>
      </w:pPr>
      <w:r w:rsidRPr="00981775">
        <w:rPr>
          <w:rStyle w:val="TextoNormalNegritaCaracter"/>
        </w:rPr>
        <w:t>Artículo 22.1.</w:t>
      </w:r>
      <w:r w:rsidRPr="00981775">
        <w:rPr>
          <w:rStyle w:val="TextoNormalCaracter"/>
        </w:rPr>
        <w:t>-</w:t>
      </w:r>
      <w:r>
        <w:t xml:space="preserve"> Sentencias </w:t>
      </w:r>
      <w:hyperlink w:anchor="SENTENCIA_2015_228" w:history="1">
        <w:r w:rsidRPr="00981775">
          <w:rPr>
            <w:rStyle w:val="TextoNormalCaracter"/>
          </w:rPr>
          <w:t>228/2015</w:t>
        </w:r>
      </w:hyperlink>
      <w:r>
        <w:t xml:space="preserve">, f. 1; </w:t>
      </w:r>
      <w:hyperlink w:anchor="SENTENCIA_2015_245" w:history="1">
        <w:r w:rsidRPr="00981775">
          <w:rPr>
            <w:rStyle w:val="TextoNormalCaracter"/>
          </w:rPr>
          <w:t>245/2015</w:t>
        </w:r>
      </w:hyperlink>
      <w:r>
        <w:t>, f. 1.</w:t>
      </w:r>
    </w:p>
    <w:p w:rsidR="00981775" w:rsidRDefault="00981775" w:rsidP="00981775">
      <w:pPr>
        <w:pStyle w:val="SangriaFrancesaArticulo"/>
      </w:pPr>
    </w:p>
    <w:p w:rsidR="00981775" w:rsidRDefault="00981775" w:rsidP="00981775">
      <w:pPr>
        <w:pStyle w:val="TextoNormalNegritaCursivandice"/>
      </w:pPr>
      <w:r>
        <w:t>Ley de la Asamblea Regional de Murcia 9/2012, de 8 de noviembre. Adaptación de la normativa regional en materia de función pública al Real Decreto-ley 20/2012, de 13 de julio, de medidas para garantizar la estabilidad presupuestaria y de fomento de la competitividad</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45" w:history="1">
        <w:r w:rsidRPr="00981775">
          <w:rPr>
            <w:rStyle w:val="TextoNormalCaracter"/>
          </w:rPr>
          <w:t>245/2015</w:t>
        </w:r>
      </w:hyperlink>
      <w:r>
        <w:t>, f. 2.</w:t>
      </w:r>
    </w:p>
    <w:p w:rsidR="00981775" w:rsidRDefault="00981775" w:rsidP="00981775">
      <w:pPr>
        <w:pStyle w:val="SangriaFrancesaArticulo"/>
      </w:pPr>
      <w:r w:rsidRPr="00981775">
        <w:rPr>
          <w:rStyle w:val="TextoNormalNegritaCaracter"/>
        </w:rPr>
        <w:t>Artículo 2.1.</w:t>
      </w:r>
      <w:r w:rsidRPr="00981775">
        <w:rPr>
          <w:rStyle w:val="TextoNormalCaracter"/>
        </w:rPr>
        <w:t>-</w:t>
      </w:r>
      <w:r>
        <w:t xml:space="preserve"> Sentencias </w:t>
      </w:r>
      <w:hyperlink w:anchor="SENTENCIA_2015_228" w:history="1">
        <w:r w:rsidRPr="00981775">
          <w:rPr>
            <w:rStyle w:val="TextoNormalCaracter"/>
          </w:rPr>
          <w:t>228/2015</w:t>
        </w:r>
      </w:hyperlink>
      <w:r>
        <w:t xml:space="preserve">, f. 1; </w:t>
      </w:r>
      <w:hyperlink w:anchor="SENTENCIA_2015_245" w:history="1">
        <w:r w:rsidRPr="00981775">
          <w:rPr>
            <w:rStyle w:val="TextoNormalCaracter"/>
          </w:rPr>
          <w:t>245/2015</w:t>
        </w:r>
      </w:hyperlink>
      <w:r>
        <w:t>, ff. 1, 2.</w:t>
      </w:r>
    </w:p>
    <w:p w:rsidR="00981775" w:rsidRDefault="00981775" w:rsidP="00981775">
      <w:pPr>
        <w:pStyle w:val="SangriaIzquierdaArticulo"/>
      </w:pPr>
      <w:r>
        <w:t xml:space="preserve">Autos </w:t>
      </w:r>
      <w:hyperlink w:anchor="AUTO_2015_154" w:history="1">
        <w:r w:rsidRPr="00981775">
          <w:rPr>
            <w:rStyle w:val="TextoNormalCaracter"/>
          </w:rPr>
          <w:t>154/2015</w:t>
        </w:r>
      </w:hyperlink>
      <w:r>
        <w:t xml:space="preserve">, f. 1; </w:t>
      </w:r>
      <w:hyperlink w:anchor="AUTO_2015_167" w:history="1">
        <w:r w:rsidRPr="00981775">
          <w:rPr>
            <w:rStyle w:val="TextoNormalCaracter"/>
          </w:rPr>
          <w:t>167/2015</w:t>
        </w:r>
      </w:hyperlink>
      <w:r>
        <w:t xml:space="preserve">, f. 2; </w:t>
      </w:r>
      <w:hyperlink w:anchor="AUTO_2015_183" w:history="1">
        <w:r w:rsidRPr="00981775">
          <w:rPr>
            <w:rStyle w:val="TextoNormalCaracter"/>
          </w:rPr>
          <w:t>183/2015</w:t>
        </w:r>
      </w:hyperlink>
      <w:r>
        <w:t xml:space="preserve">, ff. 1, 2, 4; </w:t>
      </w:r>
      <w:hyperlink w:anchor="AUTO_2015_225" w:history="1">
        <w:r w:rsidRPr="00981775">
          <w:rPr>
            <w:rStyle w:val="TextoNormalCaracter"/>
          </w:rPr>
          <w:t>225/2015</w:t>
        </w:r>
      </w:hyperlink>
      <w:r>
        <w:t>, f. 1.</w:t>
      </w:r>
    </w:p>
    <w:p w:rsidR="00981775" w:rsidRDefault="00981775" w:rsidP="00981775">
      <w:pPr>
        <w:pStyle w:val="SangriaIzquierdaArticulo"/>
      </w:pPr>
    </w:p>
    <w:p w:rsidR="00981775" w:rsidRDefault="00981775" w:rsidP="00981775">
      <w:pPr>
        <w:pStyle w:val="TextoNormalNegritaCursivandice"/>
      </w:pPr>
      <w:r>
        <w:t>Ley de la Asamblea Regional de Murcia 4/2013, de 12 de junio. Medidas urgentes en materia de gastos de personal y organización administrativa</w:t>
      </w:r>
    </w:p>
    <w:p w:rsidR="00981775" w:rsidRDefault="00981775" w:rsidP="00981775">
      <w:pPr>
        <w:pStyle w:val="SangriaFrancesaArticulo"/>
      </w:pPr>
      <w:r w:rsidRPr="00981775">
        <w:rPr>
          <w:rStyle w:val="TextoNormalNegritaCaracter"/>
        </w:rPr>
        <w:t>Artículo 3.1.</w:t>
      </w:r>
      <w:r w:rsidRPr="00981775">
        <w:rPr>
          <w:rStyle w:val="TextoNormalCaracter"/>
        </w:rPr>
        <w:t>-</w:t>
      </w:r>
      <w:r>
        <w:t xml:space="preserve"> Auto </w:t>
      </w:r>
      <w:hyperlink w:anchor="AUTO_2015_183" w:history="1">
        <w:r w:rsidRPr="00981775">
          <w:rPr>
            <w:rStyle w:val="TextoNormalCaracter"/>
          </w:rPr>
          <w:t>183/2015</w:t>
        </w:r>
      </w:hyperlink>
      <w:r>
        <w:t>, f. 2.</w:t>
      </w:r>
    </w:p>
    <w:p w:rsidR="00981775" w:rsidRDefault="00981775" w:rsidP="00981775">
      <w:pPr>
        <w:pStyle w:val="SangriaFrancesaArticulo"/>
      </w:pPr>
    </w:p>
    <w:p w:rsidR="00981775" w:rsidRDefault="00981775" w:rsidP="00981775">
      <w:pPr>
        <w:pStyle w:val="TextoNormalNegritaCursivandice"/>
      </w:pPr>
      <w:r>
        <w:t>Ley 13/2014, de 23 de diciembre. Presupuestos Generales de la Comunidad Autónoma de la Región de Murcia para el ejercicio 2015</w:t>
      </w:r>
    </w:p>
    <w:p w:rsidR="00981775" w:rsidRDefault="00981775" w:rsidP="00981775">
      <w:pPr>
        <w:pStyle w:val="SangriaFrancesaArticulo"/>
      </w:pPr>
      <w:r w:rsidRPr="00981775">
        <w:rPr>
          <w:rStyle w:val="TextoNormalNegritaCaracter"/>
        </w:rPr>
        <w:t>Disposición adicional vigesimoséptima.</w:t>
      </w:r>
      <w:r w:rsidRPr="00981775">
        <w:rPr>
          <w:rStyle w:val="TextoNormalCaracter"/>
        </w:rPr>
        <w:t>-</w:t>
      </w:r>
      <w:r>
        <w:t xml:space="preserve"> Sentencia </w:t>
      </w:r>
      <w:hyperlink w:anchor="SENTENCIA_2015_228" w:history="1">
        <w:r w:rsidRPr="00981775">
          <w:rPr>
            <w:rStyle w:val="TextoNormalCaracter"/>
          </w:rPr>
          <w:t>228/2015</w:t>
        </w:r>
      </w:hyperlink>
      <w:r>
        <w:t>, f. 3.</w:t>
      </w:r>
    </w:p>
    <w:p w:rsidR="00981775" w:rsidRDefault="00981775" w:rsidP="00981775">
      <w:pPr>
        <w:pStyle w:val="SangriaIzquierdaArticulo"/>
      </w:pPr>
      <w:r>
        <w:t xml:space="preserve">Auto </w:t>
      </w:r>
      <w:hyperlink w:anchor="AUTO_2015_173" w:history="1">
        <w:r w:rsidRPr="00981775">
          <w:rPr>
            <w:rStyle w:val="TextoNormalCaracter"/>
          </w:rPr>
          <w:t>173/2015</w:t>
        </w:r>
      </w:hyperlink>
      <w:r>
        <w:t>, f. 3.</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J.14) Navarra</w:t>
      </w:r>
    </w:p>
    <w:p w:rsidR="00981775" w:rsidRDefault="00981775" w:rsidP="00981775">
      <w:pPr>
        <w:pStyle w:val="TextoNormal"/>
      </w:pPr>
    </w:p>
    <w:p w:rsidR="00981775" w:rsidRDefault="00981775" w:rsidP="00981775">
      <w:pPr>
        <w:pStyle w:val="TextoNormalNegritaCentradoSubrayado"/>
        <w:suppressAutoHyphens/>
      </w:pPr>
      <w:r>
        <w:t>J.14.b) Leyes y disposiciones con fuerza de Ley</w:t>
      </w:r>
    </w:p>
    <w:p w:rsidR="00981775" w:rsidRDefault="00981775" w:rsidP="00981775">
      <w:pPr>
        <w:pStyle w:val="TextoNormalNegritaCentradoSubrayado"/>
      </w:pPr>
    </w:p>
    <w:p w:rsidR="00981775" w:rsidRDefault="00981775" w:rsidP="00981775">
      <w:pPr>
        <w:pStyle w:val="TextoNormalNegritaCursivandice"/>
      </w:pPr>
      <w:r>
        <w:t>Ley Foral del Parlamento de Navarra 10/2010, de 10 de mayo. Derecho a la vivienda en Navarra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35" w:history="1">
        <w:r w:rsidRPr="00981775">
          <w:rPr>
            <w:rStyle w:val="TextoNormalCaracter"/>
          </w:rPr>
          <w:t>135/2015</w:t>
        </w:r>
      </w:hyperlink>
      <w:r>
        <w:t>, VP.</w:t>
      </w:r>
    </w:p>
    <w:p w:rsidR="00981775" w:rsidRDefault="00981775" w:rsidP="00981775">
      <w:pPr>
        <w:pStyle w:val="SangriaFrancesaArticulo"/>
      </w:pPr>
    </w:p>
    <w:p w:rsidR="00981775" w:rsidRDefault="00981775" w:rsidP="00981775">
      <w:pPr>
        <w:pStyle w:val="TextoNormalNegritaCursivandice"/>
      </w:pPr>
      <w:r>
        <w:t>Ley Foral del Parlamento de Navarra 24/2013, de 2 de julio. Medidas urgentes para garantizar el derecho a la vivienda en Navarra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35" w:history="1">
        <w:r w:rsidRPr="00981775">
          <w:rPr>
            <w:rStyle w:val="TextoNormalCaracter"/>
          </w:rPr>
          <w:t>135/2015</w:t>
        </w:r>
      </w:hyperlink>
      <w:r>
        <w:t>, f. 1.</w:t>
      </w:r>
    </w:p>
    <w:p w:rsidR="00981775" w:rsidRDefault="00981775" w:rsidP="00981775">
      <w:pPr>
        <w:pStyle w:val="SangriaFrancesaArticulo"/>
      </w:pPr>
    </w:p>
    <w:p w:rsidR="00981775" w:rsidRDefault="00981775" w:rsidP="00981775">
      <w:pPr>
        <w:pStyle w:val="TextoNormalNegritaCursivandice"/>
      </w:pPr>
      <w:r>
        <w:t>Ley Foral del Parlamento de Navarra 25/2013, de 2 de julio. Modifica la Ley Foral 28/2012, de 28 de diciembre, por la que se crea, con efectos para el año 2012, un complemento personal transitorio por pérdida de poder adquisitivo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81" w:history="1">
        <w:r w:rsidRPr="00981775">
          <w:rPr>
            <w:rStyle w:val="TextoNormalCaracter"/>
          </w:rPr>
          <w:t>181/2015</w:t>
        </w:r>
      </w:hyperlink>
      <w:r>
        <w:t>, f. 3.</w:t>
      </w:r>
    </w:p>
    <w:p w:rsidR="00981775" w:rsidRDefault="00981775" w:rsidP="00981775">
      <w:pPr>
        <w:pStyle w:val="SangriaFrancesaArticulo"/>
      </w:pPr>
    </w:p>
    <w:p w:rsidR="00981775" w:rsidRDefault="00981775" w:rsidP="00981775">
      <w:pPr>
        <w:pStyle w:val="TextoNormalNegritaCursivandice"/>
      </w:pPr>
      <w:r>
        <w:t>Ley Foral del Parlamento de Navarra 24/2014, de 2 de diciembre. Reguladora de los colectivos de usuarios de cannabis de Navarra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70" w:history="1">
        <w:r w:rsidRPr="00981775">
          <w:rPr>
            <w:rStyle w:val="TextoNormalCaracter"/>
          </w:rPr>
          <w:t>170/2015</w:t>
        </w:r>
      </w:hyperlink>
      <w:r>
        <w:t>, f. 1.</w:t>
      </w:r>
    </w:p>
    <w:p w:rsidR="00981775" w:rsidRDefault="00981775" w:rsidP="00981775">
      <w:pPr>
        <w:pStyle w:val="SangriaFrancesaArticulo"/>
      </w:pPr>
      <w:r w:rsidRPr="00981775">
        <w:rPr>
          <w:rStyle w:val="TextoNormalNegritaCaracter"/>
        </w:rPr>
        <w:t>Artículo 1.</w:t>
      </w:r>
      <w:r w:rsidRPr="00981775">
        <w:rPr>
          <w:rStyle w:val="TextoNormalCaracter"/>
        </w:rPr>
        <w:t>-</w:t>
      </w:r>
      <w:r>
        <w:t xml:space="preserve"> Auto </w:t>
      </w:r>
      <w:hyperlink w:anchor="AUTO_2015_170" w:history="1">
        <w:r w:rsidRPr="00981775">
          <w:rPr>
            <w:rStyle w:val="TextoNormalCaracter"/>
          </w:rPr>
          <w:t>170/2015</w:t>
        </w:r>
      </w:hyperlink>
      <w:r>
        <w:t>, f. 2.</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J.15) País Vasco</w:t>
      </w:r>
    </w:p>
    <w:p w:rsidR="00981775" w:rsidRDefault="00981775" w:rsidP="00981775">
      <w:pPr>
        <w:pStyle w:val="TextoNormal"/>
      </w:pPr>
    </w:p>
    <w:p w:rsidR="00981775" w:rsidRDefault="00981775" w:rsidP="00981775">
      <w:pPr>
        <w:pStyle w:val="TextoNormalNegritaCentradoSubrayado"/>
        <w:suppressAutoHyphens/>
      </w:pPr>
      <w:r>
        <w:t>J.15.a) Estatuto de Autonomía</w:t>
      </w:r>
    </w:p>
    <w:p w:rsidR="00981775" w:rsidRDefault="00981775" w:rsidP="00981775">
      <w:pPr>
        <w:pStyle w:val="TextoNormalNegritaCentradoSubrayado"/>
      </w:pPr>
    </w:p>
    <w:p w:rsidR="00981775" w:rsidRDefault="00981775" w:rsidP="00981775">
      <w:pPr>
        <w:pStyle w:val="TextoNormalNegritaCursivandice"/>
      </w:pPr>
      <w:r>
        <w:t>Ley Orgánica 3/1979, de 18 de diciembre. Estatuto de Autonomía del País Vasco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40" w:history="1">
        <w:r w:rsidRPr="00981775">
          <w:rPr>
            <w:rStyle w:val="TextoNormalCaracter"/>
          </w:rPr>
          <w:t>240/2015</w:t>
        </w:r>
      </w:hyperlink>
      <w:r>
        <w:t>, f. 2.</w:t>
      </w:r>
    </w:p>
    <w:p w:rsidR="00981775" w:rsidRDefault="00981775" w:rsidP="00981775">
      <w:pPr>
        <w:pStyle w:val="SangriaFrancesaArticulo"/>
      </w:pPr>
      <w:r w:rsidRPr="00981775">
        <w:rPr>
          <w:rStyle w:val="TextoNormalNegritaCaracter"/>
        </w:rPr>
        <w:t>Artículo 10.2.</w:t>
      </w:r>
      <w:r w:rsidRPr="00981775">
        <w:rPr>
          <w:rStyle w:val="TextoNormalCaracter"/>
        </w:rPr>
        <w:t>-</w:t>
      </w:r>
      <w:r>
        <w:t xml:space="preserve"> Sentencia </w:t>
      </w:r>
      <w:hyperlink w:anchor="SENTENCIA_2015_243" w:history="1">
        <w:r w:rsidRPr="00981775">
          <w:rPr>
            <w:rStyle w:val="TextoNormalCaracter"/>
          </w:rPr>
          <w:t>243/2015</w:t>
        </w:r>
      </w:hyperlink>
      <w:r>
        <w:t>, f. 7.</w:t>
      </w:r>
    </w:p>
    <w:p w:rsidR="00981775" w:rsidRDefault="00981775" w:rsidP="00981775">
      <w:pPr>
        <w:pStyle w:val="SangriaFrancesaArticulo"/>
      </w:pPr>
      <w:r w:rsidRPr="00981775">
        <w:rPr>
          <w:rStyle w:val="TextoNormalNegritaCaracter"/>
        </w:rPr>
        <w:t>Artículo 10.4.</w:t>
      </w:r>
      <w:r w:rsidRPr="00981775">
        <w:rPr>
          <w:rStyle w:val="TextoNormalCaracter"/>
        </w:rPr>
        <w:t>-</w:t>
      </w:r>
      <w:r>
        <w:t xml:space="preserve"> Sentencias </w:t>
      </w:r>
      <w:hyperlink w:anchor="SENTENCIA_2015_215" w:history="1">
        <w:r w:rsidRPr="00981775">
          <w:rPr>
            <w:rStyle w:val="TextoNormalCaracter"/>
          </w:rPr>
          <w:t>215/2015</w:t>
        </w:r>
      </w:hyperlink>
      <w:r>
        <w:t xml:space="preserve">, f. 6; </w:t>
      </w:r>
      <w:hyperlink w:anchor="SENTENCIA_2015_243" w:history="1">
        <w:r w:rsidRPr="00981775">
          <w:rPr>
            <w:rStyle w:val="TextoNormalCaracter"/>
          </w:rPr>
          <w:t>243/2015</w:t>
        </w:r>
      </w:hyperlink>
      <w:r>
        <w:t>, f. 7.</w:t>
      </w:r>
    </w:p>
    <w:p w:rsidR="00981775" w:rsidRDefault="00981775" w:rsidP="00981775">
      <w:pPr>
        <w:pStyle w:val="SangriaFrancesaArticulo"/>
      </w:pPr>
      <w:r w:rsidRPr="00981775">
        <w:rPr>
          <w:rStyle w:val="TextoNormalNegritaCaracter"/>
        </w:rPr>
        <w:t>Artículo 10.32.</w:t>
      </w:r>
      <w:r w:rsidRPr="00981775">
        <w:rPr>
          <w:rStyle w:val="TextoNormalCaracter"/>
        </w:rPr>
        <w:t>-</w:t>
      </w:r>
      <w:r>
        <w:t xml:space="preserve"> Sentencia </w:t>
      </w:r>
      <w:hyperlink w:anchor="SENTENCIA_2015_197" w:history="1">
        <w:r w:rsidRPr="00981775">
          <w:rPr>
            <w:rStyle w:val="TextoNormalCaracter"/>
          </w:rPr>
          <w:t>197/2015</w:t>
        </w:r>
      </w:hyperlink>
      <w:r>
        <w:t>, f. 7.</w:t>
      </w:r>
    </w:p>
    <w:p w:rsidR="00981775" w:rsidRDefault="00981775" w:rsidP="00981775">
      <w:pPr>
        <w:pStyle w:val="SangriaFrancesaArticulo"/>
      </w:pPr>
      <w:r w:rsidRPr="00981775">
        <w:rPr>
          <w:rStyle w:val="TextoNormalNegritaCaracter"/>
        </w:rPr>
        <w:t>Artículo 10.33.</w:t>
      </w:r>
      <w:r w:rsidRPr="00981775">
        <w:rPr>
          <w:rStyle w:val="TextoNormalCaracter"/>
        </w:rPr>
        <w:t>-</w:t>
      </w:r>
      <w:r>
        <w:t xml:space="preserve"> Sentencia </w:t>
      </w:r>
      <w:hyperlink w:anchor="SENTENCIA_2015_197" w:history="1">
        <w:r w:rsidRPr="00981775">
          <w:rPr>
            <w:rStyle w:val="TextoNormalCaracter"/>
          </w:rPr>
          <w:t>197/2015</w:t>
        </w:r>
      </w:hyperlink>
      <w:r>
        <w:t>, f. 7.</w:t>
      </w:r>
    </w:p>
    <w:p w:rsidR="00981775" w:rsidRDefault="00981775" w:rsidP="00981775">
      <w:pPr>
        <w:pStyle w:val="SangriaFrancesaArticulo"/>
      </w:pPr>
      <w:r w:rsidRPr="00981775">
        <w:rPr>
          <w:rStyle w:val="TextoNormalNegritaCaracter"/>
        </w:rPr>
        <w:t>Artículo 18.2 a).</w:t>
      </w:r>
      <w:r w:rsidRPr="00981775">
        <w:rPr>
          <w:rStyle w:val="TextoNormalCaracter"/>
        </w:rPr>
        <w:t>-</w:t>
      </w:r>
      <w:r>
        <w:t xml:space="preserve"> Sentencia </w:t>
      </w:r>
      <w:hyperlink w:anchor="SENTENCIA_2015_272" w:history="1">
        <w:r w:rsidRPr="00981775">
          <w:rPr>
            <w:rStyle w:val="TextoNormalCaracter"/>
          </w:rPr>
          <w:t>272/2015</w:t>
        </w:r>
      </w:hyperlink>
      <w:r>
        <w:t>, ff. 1, 3, 4.</w:t>
      </w:r>
    </w:p>
    <w:p w:rsidR="00981775" w:rsidRDefault="00981775" w:rsidP="00981775">
      <w:pPr>
        <w:pStyle w:val="SangriaFrancesaArticulo"/>
      </w:pPr>
      <w:r w:rsidRPr="00981775">
        <w:rPr>
          <w:rStyle w:val="TextoNormalNegritaCaracter"/>
        </w:rPr>
        <w:t>Artículo 18.2 b).</w:t>
      </w:r>
      <w:r w:rsidRPr="00981775">
        <w:rPr>
          <w:rStyle w:val="TextoNormalCaracter"/>
        </w:rPr>
        <w:t>-</w:t>
      </w:r>
      <w:r>
        <w:t xml:space="preserve"> Sentencia </w:t>
      </w:r>
      <w:hyperlink w:anchor="SENTENCIA_2015_272" w:history="1">
        <w:r w:rsidRPr="00981775">
          <w:rPr>
            <w:rStyle w:val="TextoNormalCaracter"/>
          </w:rPr>
          <w:t>272/2015</w:t>
        </w:r>
      </w:hyperlink>
      <w:r>
        <w:t>, f. 3.</w:t>
      </w:r>
    </w:p>
    <w:p w:rsidR="00981775" w:rsidRDefault="00981775" w:rsidP="00981775">
      <w:pPr>
        <w:pStyle w:val="SangriaFrancesaArticulo"/>
      </w:pPr>
      <w:r w:rsidRPr="00981775">
        <w:rPr>
          <w:rStyle w:val="TextoNormalNegritaCaracter"/>
        </w:rPr>
        <w:t>Artículo 40.</w:t>
      </w:r>
      <w:r w:rsidRPr="00981775">
        <w:rPr>
          <w:rStyle w:val="TextoNormalCaracter"/>
        </w:rPr>
        <w:t>-</w:t>
      </w:r>
      <w:r>
        <w:t xml:space="preserve"> Sentencia </w:t>
      </w:r>
      <w:hyperlink w:anchor="SENTENCIA_2015_243" w:history="1">
        <w:r w:rsidRPr="00981775">
          <w:rPr>
            <w:rStyle w:val="TextoNormalCaracter"/>
          </w:rPr>
          <w:t>243/2015</w:t>
        </w:r>
      </w:hyperlink>
      <w:r>
        <w:t>, f. 7.</w:t>
      </w:r>
    </w:p>
    <w:p w:rsidR="00981775" w:rsidRDefault="00981775" w:rsidP="00981775">
      <w:pPr>
        <w:pStyle w:val="SangriaFrancesaArticulo"/>
      </w:pPr>
      <w:r w:rsidRPr="00981775">
        <w:rPr>
          <w:rStyle w:val="TextoNormalNegritaCaracter"/>
        </w:rPr>
        <w:t>Artículo 41.2 c).</w:t>
      </w:r>
      <w:r w:rsidRPr="00981775">
        <w:rPr>
          <w:rStyle w:val="TextoNormalCaracter"/>
        </w:rPr>
        <w:t>-</w:t>
      </w:r>
      <w:r>
        <w:t xml:space="preserve"> Sentencias </w:t>
      </w:r>
      <w:hyperlink w:anchor="SENTENCIA_2015_222" w:history="1">
        <w:r w:rsidRPr="00981775">
          <w:rPr>
            <w:rStyle w:val="TextoNormalCaracter"/>
          </w:rPr>
          <w:t>222/2015</w:t>
        </w:r>
      </w:hyperlink>
      <w:r>
        <w:t xml:space="preserve">, f. 1; </w:t>
      </w:r>
      <w:hyperlink w:anchor="SENTENCIA_2015_239" w:history="1">
        <w:r w:rsidRPr="00981775">
          <w:rPr>
            <w:rStyle w:val="TextoNormalCaracter"/>
          </w:rPr>
          <w:t>239/2015</w:t>
        </w:r>
      </w:hyperlink>
      <w:r>
        <w:t xml:space="preserve">, f. 1; </w:t>
      </w:r>
      <w:hyperlink w:anchor="SENTENCIA_2015_240" w:history="1">
        <w:r w:rsidRPr="00981775">
          <w:rPr>
            <w:rStyle w:val="TextoNormalCaracter"/>
          </w:rPr>
          <w:t>240/2015</w:t>
        </w:r>
      </w:hyperlink>
      <w:r>
        <w:t xml:space="preserve">, f. 1; </w:t>
      </w:r>
      <w:hyperlink w:anchor="SENTENCIA_2015_262" w:history="1">
        <w:r w:rsidRPr="00981775">
          <w:rPr>
            <w:rStyle w:val="TextoNormalCaracter"/>
          </w:rPr>
          <w:t>262/2015</w:t>
        </w:r>
      </w:hyperlink>
      <w:r>
        <w:t xml:space="preserve">, f. 1; </w:t>
      </w:r>
      <w:hyperlink w:anchor="SENTENCIA_2015_263" w:history="1">
        <w:r w:rsidRPr="00981775">
          <w:rPr>
            <w:rStyle w:val="TextoNormalCaracter"/>
          </w:rPr>
          <w:t>263/2015</w:t>
        </w:r>
      </w:hyperlink>
      <w:r>
        <w:t>, f. 1.</w:t>
      </w:r>
    </w:p>
    <w:p w:rsidR="00981775" w:rsidRDefault="00981775" w:rsidP="00981775">
      <w:pPr>
        <w:pStyle w:val="SangriaFrancesaArticulo"/>
      </w:pPr>
      <w:r w:rsidRPr="00981775">
        <w:rPr>
          <w:rStyle w:val="TextoNormalNegritaCaracter"/>
        </w:rPr>
        <w:t>Artículo 44.</w:t>
      </w:r>
      <w:r w:rsidRPr="00981775">
        <w:rPr>
          <w:rStyle w:val="TextoNormalCaracter"/>
        </w:rPr>
        <w:t>-</w:t>
      </w:r>
      <w:r>
        <w:t xml:space="preserve"> Sentencia </w:t>
      </w:r>
      <w:hyperlink w:anchor="SENTENCIA_2015_243" w:history="1">
        <w:r w:rsidRPr="00981775">
          <w:rPr>
            <w:rStyle w:val="TextoNormalCaracter"/>
          </w:rPr>
          <w:t>243/2015</w:t>
        </w:r>
      </w:hyperlink>
      <w:r>
        <w:t>, f. 7.</w:t>
      </w:r>
    </w:p>
    <w:p w:rsidR="00981775" w:rsidRDefault="00981775" w:rsidP="00981775">
      <w:pPr>
        <w:pStyle w:val="SangriaFrancesaArticulo"/>
      </w:pPr>
      <w:r w:rsidRPr="00981775">
        <w:rPr>
          <w:rStyle w:val="TextoNormalNegritaCaracter"/>
        </w:rPr>
        <w:t>Disposición transitoria quinta.</w:t>
      </w:r>
      <w:r w:rsidRPr="00981775">
        <w:rPr>
          <w:rStyle w:val="TextoNormalCaracter"/>
        </w:rPr>
        <w:t>-</w:t>
      </w:r>
      <w:r>
        <w:t xml:space="preserve"> Sentencia </w:t>
      </w:r>
      <w:hyperlink w:anchor="SENTENCIA_2015_272" w:history="1">
        <w:r w:rsidRPr="00981775">
          <w:rPr>
            <w:rStyle w:val="TextoNormalCaracter"/>
          </w:rPr>
          <w:t>272/2015</w:t>
        </w:r>
      </w:hyperlink>
      <w:r>
        <w:t>, ff. 1, 3.</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J.16) Valencia</w:t>
      </w:r>
    </w:p>
    <w:p w:rsidR="00981775" w:rsidRDefault="00981775" w:rsidP="00981775">
      <w:pPr>
        <w:pStyle w:val="TextoNormal"/>
      </w:pPr>
    </w:p>
    <w:p w:rsidR="00981775" w:rsidRDefault="00981775" w:rsidP="00981775">
      <w:pPr>
        <w:pStyle w:val="TextoNormalNegritaCentradoSubrayado"/>
        <w:suppressAutoHyphens/>
      </w:pPr>
      <w:r>
        <w:t>J.16.a) Estatuto de Autonomía</w:t>
      </w:r>
    </w:p>
    <w:p w:rsidR="00981775" w:rsidRDefault="00981775" w:rsidP="00981775">
      <w:pPr>
        <w:pStyle w:val="TextoNormalNegritaCentradoSubrayado"/>
      </w:pPr>
    </w:p>
    <w:p w:rsidR="00981775" w:rsidRDefault="00981775" w:rsidP="00981775">
      <w:pPr>
        <w:pStyle w:val="TextoNormalNegritaCursivandice"/>
      </w:pPr>
      <w:r>
        <w:t>Ley Orgánica 5/1982, de 1 de julio. Estatuto de Autonomía de la Comunidad Valenciana</w:t>
      </w:r>
    </w:p>
    <w:p w:rsidR="00981775" w:rsidRDefault="00981775" w:rsidP="00981775">
      <w:pPr>
        <w:pStyle w:val="SangriaFrancesaArticulo"/>
      </w:pPr>
      <w:r w:rsidRPr="00981775">
        <w:rPr>
          <w:rStyle w:val="TextoNormalNegritaCaracter"/>
        </w:rPr>
        <w:t>Artículo 49.1, apartado 24.</w:t>
      </w:r>
      <w:r w:rsidRPr="00981775">
        <w:rPr>
          <w:rStyle w:val="TextoNormalCaracter"/>
        </w:rPr>
        <w:t>-</w:t>
      </w:r>
      <w:r>
        <w:t xml:space="preserve"> Sentencia </w:t>
      </w:r>
      <w:hyperlink w:anchor="SENTENCIA_2015_271" w:history="1">
        <w:r w:rsidRPr="00981775">
          <w:rPr>
            <w:rStyle w:val="TextoNormalCaracter"/>
          </w:rPr>
          <w:t>271/2015</w:t>
        </w:r>
      </w:hyperlink>
      <w:r>
        <w:t>, f. 6.</w:t>
      </w:r>
    </w:p>
    <w:p w:rsidR="00981775" w:rsidRDefault="00981775" w:rsidP="00981775">
      <w:pPr>
        <w:pStyle w:val="SangriaFrancesaArticulo"/>
      </w:pPr>
      <w:r w:rsidRPr="00981775">
        <w:rPr>
          <w:rStyle w:val="TextoNormalNegritaCaracter"/>
        </w:rPr>
        <w:t>Artículo 49.1, apartado 25.</w:t>
      </w:r>
      <w:r w:rsidRPr="00981775">
        <w:rPr>
          <w:rStyle w:val="TextoNormalCaracter"/>
        </w:rPr>
        <w:t>-</w:t>
      </w:r>
      <w:r>
        <w:t xml:space="preserve"> Sentencia </w:t>
      </w:r>
      <w:hyperlink w:anchor="SENTENCIA_2015_271" w:history="1">
        <w:r w:rsidRPr="00981775">
          <w:rPr>
            <w:rStyle w:val="TextoNormalCaracter"/>
          </w:rPr>
          <w:t>271/2015</w:t>
        </w:r>
      </w:hyperlink>
      <w:r>
        <w:t>, f. 6.</w:t>
      </w:r>
    </w:p>
    <w:p w:rsidR="00981775" w:rsidRDefault="00981775" w:rsidP="00981775">
      <w:pPr>
        <w:pStyle w:val="SangriaFrancesaArticulo"/>
      </w:pPr>
      <w:r w:rsidRPr="00981775">
        <w:rPr>
          <w:rStyle w:val="TextoNormalNegritaCaracter"/>
        </w:rPr>
        <w:t>Artículo 49.1, apartado 26.</w:t>
      </w:r>
      <w:r w:rsidRPr="00981775">
        <w:rPr>
          <w:rStyle w:val="TextoNormalCaracter"/>
        </w:rPr>
        <w:t>-</w:t>
      </w:r>
      <w:r>
        <w:t xml:space="preserve"> Sentencia </w:t>
      </w:r>
      <w:hyperlink w:anchor="SENTENCIA_2015_271" w:history="1">
        <w:r w:rsidRPr="00981775">
          <w:rPr>
            <w:rStyle w:val="TextoNormalCaracter"/>
          </w:rPr>
          <w:t>271/2015</w:t>
        </w:r>
      </w:hyperlink>
      <w:r>
        <w:t>, f. 6.</w:t>
      </w:r>
    </w:p>
    <w:p w:rsidR="00981775" w:rsidRDefault="00981775" w:rsidP="00981775">
      <w:pPr>
        <w:pStyle w:val="SangriaFrancesaArticulo"/>
      </w:pPr>
      <w:r w:rsidRPr="00981775">
        <w:rPr>
          <w:rStyle w:val="TextoNormalNegritaCaracter"/>
        </w:rPr>
        <w:t>Artículo 49.1, apartado 27.</w:t>
      </w:r>
      <w:r w:rsidRPr="00981775">
        <w:rPr>
          <w:rStyle w:val="TextoNormalCaracter"/>
        </w:rPr>
        <w:t>-</w:t>
      </w:r>
      <w:r>
        <w:t xml:space="preserve"> Sentencia </w:t>
      </w:r>
      <w:hyperlink w:anchor="SENTENCIA_2015_271" w:history="1">
        <w:r w:rsidRPr="00981775">
          <w:rPr>
            <w:rStyle w:val="TextoNormalCaracter"/>
          </w:rPr>
          <w:t>271/2015</w:t>
        </w:r>
      </w:hyperlink>
      <w:r>
        <w:t>, f. 6.</w:t>
      </w:r>
    </w:p>
    <w:p w:rsidR="00981775" w:rsidRDefault="00981775" w:rsidP="00981775">
      <w:pPr>
        <w:pStyle w:val="SangriaFrancesaArticulo"/>
      </w:pPr>
      <w:r w:rsidRPr="00981775">
        <w:rPr>
          <w:rStyle w:val="TextoNormalNegritaCaracter"/>
        </w:rPr>
        <w:t>Artículo 53.1.</w:t>
      </w:r>
      <w:r w:rsidRPr="00981775">
        <w:rPr>
          <w:rStyle w:val="TextoNormalCaracter"/>
        </w:rPr>
        <w:t>-</w:t>
      </w:r>
      <w:r>
        <w:t xml:space="preserve"> Sentencia </w:t>
      </w:r>
      <w:hyperlink w:anchor="SENTENCIA_2015_271" w:history="1">
        <w:r w:rsidRPr="00981775">
          <w:rPr>
            <w:rStyle w:val="TextoNormalCaracter"/>
          </w:rPr>
          <w:t>271/2015</w:t>
        </w:r>
      </w:hyperlink>
      <w:r>
        <w:t>, f. 6.</w:t>
      </w:r>
    </w:p>
    <w:p w:rsidR="00981775" w:rsidRDefault="00981775" w:rsidP="00981775">
      <w:pPr>
        <w:pStyle w:val="TextoNormal"/>
      </w:pPr>
    </w:p>
    <w:p w:rsidR="00981775" w:rsidRDefault="00981775" w:rsidP="00981775">
      <w:pPr>
        <w:pStyle w:val="TextoNormalNegritaCentradoSubrayado"/>
        <w:suppressAutoHyphens/>
      </w:pPr>
      <w:r>
        <w:t>J.16.b) Leyes y disposiciones con fuerza de Ley</w:t>
      </w:r>
    </w:p>
    <w:p w:rsidR="00981775" w:rsidRDefault="00981775" w:rsidP="00981775">
      <w:pPr>
        <w:pStyle w:val="TextoNormalNegritaCentradoSubrayado"/>
      </w:pPr>
    </w:p>
    <w:p w:rsidR="00981775" w:rsidRDefault="00981775" w:rsidP="00981775">
      <w:pPr>
        <w:pStyle w:val="TextoNormalNegritaCursivandice"/>
      </w:pPr>
      <w:r>
        <w:t>Ley de las Cortes Valencianas 6/2009, de 30 de junio, de protección a la maternidad</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71" w:history="1">
        <w:r w:rsidRPr="00981775">
          <w:rPr>
            <w:rStyle w:val="TextoNormalCaracter"/>
          </w:rPr>
          <w:t>271/2015</w:t>
        </w:r>
      </w:hyperlink>
      <w:r>
        <w:t>, f. 6.</w:t>
      </w:r>
    </w:p>
    <w:p w:rsidR="00981775" w:rsidRDefault="00981775" w:rsidP="00981775">
      <w:pPr>
        <w:pStyle w:val="SangriaFrancesaArticulo"/>
      </w:pPr>
      <w:r w:rsidRPr="00981775">
        <w:rPr>
          <w:rStyle w:val="TextoNormalNegritaCaracter"/>
        </w:rPr>
        <w:t>Artículo 22.</w:t>
      </w:r>
      <w:r w:rsidRPr="00981775">
        <w:rPr>
          <w:rStyle w:val="TextoNormalCaracter"/>
        </w:rPr>
        <w:t>-</w:t>
      </w:r>
      <w:r>
        <w:t xml:space="preserve"> Sentencia </w:t>
      </w:r>
      <w:hyperlink w:anchor="SENTENCIA_2015_271" w:history="1">
        <w:r w:rsidRPr="00981775">
          <w:rPr>
            <w:rStyle w:val="TextoNormalCaracter"/>
          </w:rPr>
          <w:t>271/2015</w:t>
        </w:r>
      </w:hyperlink>
      <w:r>
        <w:t>, ff. 1, 4 a 6.</w:t>
      </w:r>
    </w:p>
    <w:p w:rsidR="00981775" w:rsidRDefault="00981775" w:rsidP="00981775">
      <w:pPr>
        <w:pStyle w:val="SangriaFrancesaArticulo"/>
      </w:pPr>
    </w:p>
    <w:p w:rsidR="00981775" w:rsidRDefault="00981775" w:rsidP="00981775">
      <w:pPr>
        <w:pStyle w:val="TextoNormalNegritaCursivandice"/>
      </w:pPr>
      <w:r>
        <w:t>Ley de las Cortes Valencianas 10/2010, de 9 de julio. Ordenación y gestión de la función pública valenciana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8" w:history="1">
        <w:r w:rsidRPr="00981775">
          <w:rPr>
            <w:rStyle w:val="TextoNormalCaracter"/>
          </w:rPr>
          <w:t>238/2015</w:t>
        </w:r>
      </w:hyperlink>
      <w:r>
        <w:t>, f. 5.</w:t>
      </w:r>
    </w:p>
    <w:p w:rsidR="00981775" w:rsidRDefault="00981775" w:rsidP="00981775">
      <w:pPr>
        <w:pStyle w:val="SangriaFrancesaArticulo"/>
      </w:pPr>
    </w:p>
    <w:p w:rsidR="00981775" w:rsidRDefault="00981775" w:rsidP="00981775">
      <w:pPr>
        <w:pStyle w:val="TextoNormalNegritaCursivandice"/>
      </w:pPr>
      <w:r>
        <w:t>Decreto-ley de la Generalitat Valenciana 6/2012, de 28 de septiembre. Desarrollo y aplicación de las disposiciones incluidas en el título I y disposiciones concordantes del Real Decreto-ley 20/2012, de 13 de julio, de medidas para garantizar la estabilidad presupuestaria y de fomento de la competitividad</w:t>
      </w:r>
    </w:p>
    <w:p w:rsidR="00981775" w:rsidRDefault="00981775" w:rsidP="00981775">
      <w:pPr>
        <w:pStyle w:val="SangriaFrancesaArticulo"/>
      </w:pPr>
      <w:r w:rsidRPr="00981775">
        <w:rPr>
          <w:rStyle w:val="TextoNormalNegritaCaracter"/>
        </w:rPr>
        <w:t>Artículo 2.1.</w:t>
      </w:r>
      <w:r w:rsidRPr="00981775">
        <w:rPr>
          <w:rStyle w:val="TextoNormalCaracter"/>
        </w:rPr>
        <w:t>-</w:t>
      </w:r>
      <w:r>
        <w:t xml:space="preserve"> Auto </w:t>
      </w:r>
      <w:hyperlink w:anchor="AUTO_2015_173" w:history="1">
        <w:r w:rsidRPr="00981775">
          <w:rPr>
            <w:rStyle w:val="TextoNormalCaracter"/>
          </w:rPr>
          <w:t>173/2015</w:t>
        </w:r>
      </w:hyperlink>
      <w:r>
        <w:t>, f. 1.</w:t>
      </w:r>
    </w:p>
    <w:p w:rsidR="00981775" w:rsidRDefault="00981775" w:rsidP="00981775">
      <w:pPr>
        <w:pStyle w:val="SangriaFrancesaArticulo"/>
      </w:pPr>
      <w:r w:rsidRPr="00981775">
        <w:rPr>
          <w:rStyle w:val="TextoNormalNegritaCaracter"/>
        </w:rPr>
        <w:t>Artículo 2.2.</w:t>
      </w:r>
      <w:r w:rsidRPr="00981775">
        <w:rPr>
          <w:rStyle w:val="TextoNormalCaracter"/>
        </w:rPr>
        <w:t>-</w:t>
      </w:r>
      <w:r>
        <w:t xml:space="preserve"> Auto </w:t>
      </w:r>
      <w:hyperlink w:anchor="AUTO_2015_173" w:history="1">
        <w:r w:rsidRPr="00981775">
          <w:rPr>
            <w:rStyle w:val="TextoNormalCaracter"/>
          </w:rPr>
          <w:t>173/2015</w:t>
        </w:r>
      </w:hyperlink>
      <w:r>
        <w:t>, f. 1.</w:t>
      </w:r>
    </w:p>
    <w:p w:rsidR="00981775" w:rsidRDefault="00981775" w:rsidP="00981775">
      <w:pPr>
        <w:pStyle w:val="SangriaFrancesaArticulo"/>
      </w:pPr>
      <w:r w:rsidRPr="00981775">
        <w:rPr>
          <w:rStyle w:val="TextoNormalNegritaCaracter"/>
        </w:rPr>
        <w:t>Artículo 6.</w:t>
      </w:r>
      <w:r w:rsidRPr="00981775">
        <w:rPr>
          <w:rStyle w:val="TextoNormalCaracter"/>
        </w:rPr>
        <w:t>-</w:t>
      </w:r>
      <w:r>
        <w:t xml:space="preserve"> Auto </w:t>
      </w:r>
      <w:hyperlink w:anchor="AUTO_2015_173" w:history="1">
        <w:r w:rsidRPr="00981775">
          <w:rPr>
            <w:rStyle w:val="TextoNormalCaracter"/>
          </w:rPr>
          <w:t>173/2015</w:t>
        </w:r>
      </w:hyperlink>
      <w:r>
        <w:t>, f. 1.</w:t>
      </w:r>
    </w:p>
    <w:p w:rsidR="00981775" w:rsidRDefault="00981775" w:rsidP="00981775">
      <w:pPr>
        <w:pStyle w:val="TextoNormal"/>
      </w:pPr>
    </w:p>
    <w:p w:rsidR="00981775" w:rsidRDefault="00981775" w:rsidP="00981775">
      <w:pPr>
        <w:pStyle w:val="TextoNormalNegritaCentradoSubrayado"/>
        <w:suppressAutoHyphens/>
      </w:pPr>
      <w:r>
        <w:t>J.16.c) Decretos y otras disposiciones reglamentarias</w:t>
      </w:r>
    </w:p>
    <w:p w:rsidR="00981775" w:rsidRDefault="00981775" w:rsidP="00981775">
      <w:pPr>
        <w:pStyle w:val="TextoNormalNegritaCentradoSubrayado"/>
      </w:pPr>
    </w:p>
    <w:p w:rsidR="00981775" w:rsidRDefault="00981775" w:rsidP="00981775">
      <w:pPr>
        <w:pStyle w:val="TextoNormalNegritaCursivandice"/>
      </w:pPr>
      <w:r>
        <w:t>Decreto de la Generalidad Valenciana 33/2007, de 30 de marzo. Se regula el acceso a los centros docentes publicos y privados concertados que imparten enseñanzas de regimen general</w:t>
      </w:r>
    </w:p>
    <w:p w:rsidR="00981775" w:rsidRDefault="00981775" w:rsidP="00981775">
      <w:pPr>
        <w:pStyle w:val="SangriaFrancesaArticulo"/>
      </w:pPr>
      <w:r w:rsidRPr="00981775">
        <w:rPr>
          <w:rStyle w:val="TextoNormalNegritaCaracter"/>
        </w:rPr>
        <w:t>Artículo 16</w:t>
      </w:r>
      <w:r>
        <w:t xml:space="preserve"> (redactado por el Decreto 42/2013, de 22 de marzo)</w:t>
      </w:r>
      <w:r w:rsidRPr="00981775">
        <w:rPr>
          <w:rStyle w:val="TextoNormalNegritaCaracter"/>
        </w:rPr>
        <w:t>.</w:t>
      </w:r>
      <w:r w:rsidRPr="00981775">
        <w:rPr>
          <w:rStyle w:val="TextoNormalCaracter"/>
        </w:rPr>
        <w:t>-</w:t>
      </w:r>
      <w:r>
        <w:t xml:space="preserve"> Sentencia </w:t>
      </w:r>
      <w:hyperlink w:anchor="SENTENCIA_2015_271" w:history="1">
        <w:r w:rsidRPr="00981775">
          <w:rPr>
            <w:rStyle w:val="TextoNormalCaracter"/>
          </w:rPr>
          <w:t>271/2015</w:t>
        </w:r>
      </w:hyperlink>
      <w:r>
        <w:t>, f. 4.</w:t>
      </w:r>
    </w:p>
    <w:p w:rsidR="00981775" w:rsidRDefault="00981775" w:rsidP="00981775">
      <w:pPr>
        <w:pStyle w:val="SangriaFrancesaArticulo"/>
      </w:pPr>
    </w:p>
    <w:p w:rsidR="00981775" w:rsidRDefault="00981775" w:rsidP="00981775">
      <w:pPr>
        <w:pStyle w:val="TextoNormalNegritaCursivandice"/>
      </w:pPr>
      <w:r>
        <w:t>Decreto de la Generalidad Valenciana 42/2013, de 22 de marzo. Modificación del Decreto 33/2007, de 30 de marzo, por el que se regula el acceso a los centros docentes públicos y privados concertados que imparten enseñanzas de régimen general</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71" w:history="1">
        <w:r w:rsidRPr="00981775">
          <w:rPr>
            <w:rStyle w:val="TextoNormalCaracter"/>
          </w:rPr>
          <w:t>271/2015</w:t>
        </w:r>
      </w:hyperlink>
      <w:r>
        <w:t>, f. 4.</w:t>
      </w:r>
    </w:p>
    <w:p w:rsidR="00981775" w:rsidRDefault="00981775" w:rsidP="00981775">
      <w:pPr>
        <w:pStyle w:val="SangriaFrancesaArticulo"/>
      </w:pPr>
      <w:r w:rsidRPr="00981775">
        <w:rPr>
          <w:rStyle w:val="TextoNormalNegritaCaracter"/>
        </w:rPr>
        <w:t>Artículo 16.1 d).</w:t>
      </w:r>
      <w:r w:rsidRPr="00981775">
        <w:rPr>
          <w:rStyle w:val="TextoNormalCaracter"/>
        </w:rPr>
        <w:t>-</w:t>
      </w:r>
      <w:r>
        <w:t xml:space="preserve"> Sentencia </w:t>
      </w:r>
      <w:hyperlink w:anchor="SENTENCIA_2015_271" w:history="1">
        <w:r w:rsidRPr="00981775">
          <w:rPr>
            <w:rStyle w:val="TextoNormalCaracter"/>
          </w:rPr>
          <w:t>271/2015</w:t>
        </w:r>
      </w:hyperlink>
      <w:r>
        <w:t>, f. 4.</w:t>
      </w:r>
    </w:p>
    <w:p w:rsidR="00981775" w:rsidRDefault="00981775" w:rsidP="00981775">
      <w:pPr>
        <w:pStyle w:val="SangriaFrancesaArticulo"/>
      </w:pPr>
      <w:r w:rsidRPr="00981775">
        <w:rPr>
          <w:rStyle w:val="TextoNormalNegritaCaracter"/>
        </w:rPr>
        <w:t>Artículo 16.1 f).</w:t>
      </w:r>
      <w:r w:rsidRPr="00981775">
        <w:rPr>
          <w:rStyle w:val="TextoNormalCaracter"/>
        </w:rPr>
        <w:t>-</w:t>
      </w:r>
      <w:r>
        <w:t xml:space="preserve"> Sentencia </w:t>
      </w:r>
      <w:hyperlink w:anchor="SENTENCIA_2015_271" w:history="1">
        <w:r w:rsidRPr="00981775">
          <w:rPr>
            <w:rStyle w:val="TextoNormalCaracter"/>
          </w:rPr>
          <w:t>271/2015</w:t>
        </w:r>
      </w:hyperlink>
      <w:r>
        <w:t>, f. 4.</w:t>
      </w:r>
    </w:p>
    <w:p w:rsidR="00981775" w:rsidRDefault="00981775" w:rsidP="00981775">
      <w:pPr>
        <w:pStyle w:val="SangriaFrancesaArticulo"/>
      </w:pPr>
      <w:r w:rsidRPr="00981775">
        <w:rPr>
          <w:rStyle w:val="TextoNormalNegritaCaracter"/>
        </w:rPr>
        <w:t>Artículo 21.</w:t>
      </w:r>
      <w:r w:rsidRPr="00981775">
        <w:rPr>
          <w:rStyle w:val="TextoNormalCaracter"/>
        </w:rPr>
        <w:t>-</w:t>
      </w:r>
      <w:r>
        <w:t xml:space="preserve"> Sentencia </w:t>
      </w:r>
      <w:hyperlink w:anchor="SENTENCIA_2015_271" w:history="1">
        <w:r w:rsidRPr="00981775">
          <w:rPr>
            <w:rStyle w:val="TextoNormalCaracter"/>
          </w:rPr>
          <w:t>271/2015</w:t>
        </w:r>
      </w:hyperlink>
      <w:r>
        <w:t>, f. 4.</w:t>
      </w:r>
    </w:p>
    <w:p w:rsidR="00981775" w:rsidRDefault="00981775" w:rsidP="00981775">
      <w:pPr>
        <w:pStyle w:val="SangriaFrancesaArticulo"/>
      </w:pPr>
      <w:r w:rsidRPr="00981775">
        <w:rPr>
          <w:rStyle w:val="TextoNormalNegritaCaracter"/>
        </w:rPr>
        <w:t>Artículo 23.</w:t>
      </w:r>
      <w:r w:rsidRPr="00981775">
        <w:rPr>
          <w:rStyle w:val="TextoNormalCaracter"/>
        </w:rPr>
        <w:t>-</w:t>
      </w:r>
      <w:r>
        <w:t xml:space="preserve"> Sentencia </w:t>
      </w:r>
      <w:hyperlink w:anchor="SENTENCIA_2015_271" w:history="1">
        <w:r w:rsidRPr="00981775">
          <w:rPr>
            <w:rStyle w:val="TextoNormalCaracter"/>
          </w:rPr>
          <w:t>271/2015</w:t>
        </w:r>
      </w:hyperlink>
      <w:r>
        <w:t>, f. 4.</w:t>
      </w:r>
    </w:p>
    <w:p w:rsidR="00981775" w:rsidRDefault="00981775" w:rsidP="00981775">
      <w:pPr>
        <w:pStyle w:val="TextoNormal"/>
      </w:pPr>
    </w:p>
    <w:p w:rsidR="00981775" w:rsidRDefault="00981775" w:rsidP="00981775">
      <w:pPr>
        <w:pStyle w:val="SangriaFrancesaArticulo"/>
      </w:pPr>
      <w:bookmarkStart w:id="258" w:name="INDICE22869"/>
    </w:p>
    <w:bookmarkEnd w:id="258"/>
    <w:p w:rsidR="00981775" w:rsidRDefault="00981775" w:rsidP="00981775">
      <w:pPr>
        <w:pStyle w:val="TextoIndiceNivel2"/>
        <w:suppressAutoHyphens/>
      </w:pPr>
      <w:r>
        <w:t>K) Territorios históricos y corporaciones locales</w:t>
      </w:r>
    </w:p>
    <w:p w:rsidR="00981775" w:rsidRDefault="00981775" w:rsidP="00981775">
      <w:pPr>
        <w:pStyle w:val="TextoNormal"/>
      </w:pPr>
    </w:p>
    <w:p w:rsidR="00981775" w:rsidRDefault="00981775" w:rsidP="00981775">
      <w:pPr>
        <w:pStyle w:val="TextoNormalNegritaCentrado"/>
        <w:suppressAutoHyphens/>
      </w:pPr>
      <w:r w:rsidRPr="00981775">
        <w:rPr>
          <w:rStyle w:val="TextoNormalNegritaCentradoSombreado"/>
        </w:rPr>
        <w:t>K.17) Territorios históricos</w:t>
      </w:r>
    </w:p>
    <w:p w:rsidR="00981775" w:rsidRDefault="00981775" w:rsidP="00981775">
      <w:pPr>
        <w:pStyle w:val="TextoNormal"/>
      </w:pPr>
    </w:p>
    <w:p w:rsidR="00981775" w:rsidRDefault="00981775" w:rsidP="00981775">
      <w:pPr>
        <w:pStyle w:val="TextoNormalNegritaCentradoSubrayado"/>
        <w:suppressAutoHyphens/>
      </w:pPr>
      <w:r>
        <w:t>K.17.1) Gipuzkoa</w:t>
      </w:r>
    </w:p>
    <w:p w:rsidR="00981775" w:rsidRDefault="00981775" w:rsidP="00981775">
      <w:pPr>
        <w:pStyle w:val="TextoNormalNegritaCentradoSubrayado"/>
      </w:pPr>
    </w:p>
    <w:p w:rsidR="00981775" w:rsidRDefault="00981775" w:rsidP="00981775">
      <w:pPr>
        <w:pStyle w:val="TextoNormalNegritaCursivandice"/>
      </w:pPr>
      <w:r>
        <w:t>Norma Foral de la Junta General de Gipuzkoa 14/1991, de 27 de diciembre. Regulación del impuesto sobre el patrimonio de las personas físicas</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Sentencias </w:t>
      </w:r>
      <w:hyperlink w:anchor="SENTENCIA_2015_222" w:history="1">
        <w:r w:rsidRPr="00981775">
          <w:rPr>
            <w:rStyle w:val="TextoNormalCaracter"/>
          </w:rPr>
          <w:t>222/2015</w:t>
        </w:r>
      </w:hyperlink>
      <w:r>
        <w:t xml:space="preserve">, ff. 1 a 3; </w:t>
      </w:r>
      <w:hyperlink w:anchor="SENTENCIA_2015_239" w:history="1">
        <w:r w:rsidRPr="00981775">
          <w:rPr>
            <w:rStyle w:val="TextoNormalCaracter"/>
          </w:rPr>
          <w:t>239/2015</w:t>
        </w:r>
      </w:hyperlink>
      <w:r>
        <w:t xml:space="preserve">, ff. 1 a 3; </w:t>
      </w:r>
      <w:hyperlink w:anchor="SENTENCIA_2015_240" w:history="1">
        <w:r w:rsidRPr="00981775">
          <w:rPr>
            <w:rStyle w:val="TextoNormalCaracter"/>
          </w:rPr>
          <w:t>240/2015</w:t>
        </w:r>
      </w:hyperlink>
      <w:r>
        <w:t xml:space="preserve">, ff. 1 a 3; </w:t>
      </w:r>
      <w:hyperlink w:anchor="SENTENCIA_2015_262" w:history="1">
        <w:r w:rsidRPr="00981775">
          <w:rPr>
            <w:rStyle w:val="TextoNormalCaracter"/>
          </w:rPr>
          <w:t>262/2015</w:t>
        </w:r>
      </w:hyperlink>
      <w:r>
        <w:t xml:space="preserve">, ff. 1 a 3; </w:t>
      </w:r>
      <w:hyperlink w:anchor="SENTENCIA_2015_263" w:history="1">
        <w:r w:rsidRPr="00981775">
          <w:rPr>
            <w:rStyle w:val="TextoNormalCaracter"/>
          </w:rPr>
          <w:t>263/2015</w:t>
        </w:r>
      </w:hyperlink>
      <w:r>
        <w:t>, ff. 1 a 3.</w:t>
      </w:r>
    </w:p>
    <w:p w:rsidR="00981775" w:rsidRDefault="00981775" w:rsidP="00981775">
      <w:pPr>
        <w:pStyle w:val="TextoNormal"/>
      </w:pPr>
    </w:p>
    <w:p w:rsidR="00981775" w:rsidRDefault="00981775" w:rsidP="00981775">
      <w:pPr>
        <w:pStyle w:val="SangriaFrancesaArticulo"/>
      </w:pPr>
      <w:bookmarkStart w:id="259" w:name="INDICE22870"/>
    </w:p>
    <w:bookmarkEnd w:id="259"/>
    <w:p w:rsidR="00981775" w:rsidRDefault="00981775" w:rsidP="00981775">
      <w:pPr>
        <w:pStyle w:val="TextoIndiceNivel2"/>
        <w:suppressAutoHyphens/>
      </w:pPr>
      <w:r>
        <w:t>L) Tratados y acuerdos internacionales</w:t>
      </w:r>
    </w:p>
    <w:p w:rsidR="00981775" w:rsidRDefault="00981775" w:rsidP="00981775">
      <w:pPr>
        <w:pStyle w:val="TextoIndiceNivel2"/>
      </w:pPr>
    </w:p>
    <w:p w:rsidR="00981775" w:rsidRDefault="00981775" w:rsidP="00981775">
      <w:pPr>
        <w:pStyle w:val="TextoNormalNegritaCursivandice"/>
      </w:pPr>
      <w:r>
        <w:t>Declaración universal de derechos humanos de 10 de diciembre de 1948</w:t>
      </w:r>
    </w:p>
    <w:p w:rsidR="00981775" w:rsidRDefault="00981775" w:rsidP="00981775">
      <w:pPr>
        <w:pStyle w:val="SangriaFrancesaArticulo"/>
      </w:pPr>
      <w:r w:rsidRPr="00981775">
        <w:rPr>
          <w:rStyle w:val="TextoNormalNegritaCaracter"/>
        </w:rPr>
        <w:t>Artículo 26.</w:t>
      </w:r>
      <w:r w:rsidRPr="00981775">
        <w:rPr>
          <w:rStyle w:val="TextoNormalCaracter"/>
        </w:rPr>
        <w:t>-</w:t>
      </w:r>
      <w:r>
        <w:t xml:space="preserve"> Sentencia </w:t>
      </w:r>
      <w:hyperlink w:anchor="SENTENCIA_2015_155" w:history="1">
        <w:r w:rsidRPr="00981775">
          <w:rPr>
            <w:rStyle w:val="TextoNormalCaracter"/>
          </w:rPr>
          <w:t>155/2015</w:t>
        </w:r>
      </w:hyperlink>
      <w:r>
        <w:t>, f. 4.</w:t>
      </w:r>
    </w:p>
    <w:p w:rsidR="00981775" w:rsidRDefault="00981775" w:rsidP="00981775">
      <w:pPr>
        <w:pStyle w:val="SangriaFrancesaArticulo"/>
      </w:pPr>
    </w:p>
    <w:p w:rsidR="00981775" w:rsidRDefault="00981775" w:rsidP="00981775">
      <w:pPr>
        <w:pStyle w:val="TextoNormalNegritaCursivandice"/>
      </w:pPr>
      <w:r>
        <w:t>Convenio internacional sobre la eliminación de todas las formas de discriminación racial, 21 de diciembre de 1965</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7" w:history="1">
        <w:r w:rsidRPr="00981775">
          <w:rPr>
            <w:rStyle w:val="TextoNormalCaracter"/>
          </w:rPr>
          <w:t>177/2015</w:t>
        </w:r>
      </w:hyperlink>
      <w:r>
        <w:t>, VP I.</w:t>
      </w:r>
    </w:p>
    <w:p w:rsidR="00981775" w:rsidRDefault="00981775" w:rsidP="00981775">
      <w:pPr>
        <w:pStyle w:val="SangriaFrancesaArticulo"/>
      </w:pPr>
    </w:p>
    <w:p w:rsidR="00981775" w:rsidRDefault="00981775" w:rsidP="00981775">
      <w:pPr>
        <w:pStyle w:val="TextoNormalNegritaCursivandice"/>
      </w:pPr>
      <w:r>
        <w:t>Pacto internacional de derechos civiles y políticos. Nueva York, 16 de diciembre de 1966. Ratificado por Instrumento de 13 de abril de 1977</w:t>
      </w:r>
    </w:p>
    <w:p w:rsidR="00981775" w:rsidRDefault="00981775" w:rsidP="00981775">
      <w:pPr>
        <w:pStyle w:val="SangriaFrancesaArticulo"/>
      </w:pPr>
      <w:r w:rsidRPr="00981775">
        <w:rPr>
          <w:rStyle w:val="TextoNormalNegritaCaracter"/>
        </w:rPr>
        <w:t>Artículo 14.1.</w:t>
      </w:r>
      <w:r w:rsidRPr="00981775">
        <w:rPr>
          <w:rStyle w:val="TextoNormalCaracter"/>
        </w:rPr>
        <w:t>-</w:t>
      </w:r>
      <w:r>
        <w:t xml:space="preserve"> Sentencia </w:t>
      </w:r>
      <w:hyperlink w:anchor="SENTENCIA_2015_152" w:history="1">
        <w:r w:rsidRPr="00981775">
          <w:rPr>
            <w:rStyle w:val="TextoNormalCaracter"/>
          </w:rPr>
          <w:t>152/2015</w:t>
        </w:r>
      </w:hyperlink>
      <w:r>
        <w:t>, f. 9.</w:t>
      </w:r>
    </w:p>
    <w:p w:rsidR="00981775" w:rsidRDefault="00981775" w:rsidP="00981775">
      <w:pPr>
        <w:pStyle w:val="SangriaFrancesaArticulo"/>
      </w:pPr>
      <w:r w:rsidRPr="00981775">
        <w:rPr>
          <w:rStyle w:val="TextoNormalNegritaCaracter"/>
        </w:rPr>
        <w:t>Artículo 14.5.</w:t>
      </w:r>
      <w:r w:rsidRPr="00981775">
        <w:rPr>
          <w:rStyle w:val="TextoNormalCaracter"/>
        </w:rPr>
        <w:t>-</w:t>
      </w:r>
      <w:r>
        <w:t xml:space="preserve"> Sentencia </w:t>
      </w:r>
      <w:hyperlink w:anchor="SENTENCIA_2015_194" w:history="1">
        <w:r w:rsidRPr="00981775">
          <w:rPr>
            <w:rStyle w:val="TextoNormalCaracter"/>
          </w:rPr>
          <w:t>194/2015</w:t>
        </w:r>
      </w:hyperlink>
      <w:r>
        <w:t>, ff. 1, 5.</w:t>
      </w:r>
    </w:p>
    <w:p w:rsidR="00981775" w:rsidRDefault="00981775" w:rsidP="00981775">
      <w:pPr>
        <w:pStyle w:val="SangriaFrancesaArticulo"/>
      </w:pPr>
    </w:p>
    <w:p w:rsidR="00981775" w:rsidRDefault="00981775" w:rsidP="00981775">
      <w:pPr>
        <w:pStyle w:val="TextoNormalNegritaCursivandice"/>
      </w:pPr>
      <w:r>
        <w:t>Declaración de Estocolmo de Naciones Unidas, de 16 de junio de 1972, sobre el medio humano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3" w:history="1">
        <w:r w:rsidRPr="00981775">
          <w:rPr>
            <w:rStyle w:val="TextoNormalCaracter"/>
          </w:rPr>
          <w:t>233/2015</w:t>
        </w:r>
      </w:hyperlink>
      <w:r>
        <w:t>, f. 2.</w:t>
      </w:r>
    </w:p>
    <w:p w:rsidR="00981775" w:rsidRDefault="00981775" w:rsidP="00981775">
      <w:pPr>
        <w:pStyle w:val="SangriaFrancesaArticulo"/>
      </w:pPr>
    </w:p>
    <w:p w:rsidR="00981775" w:rsidRDefault="00981775" w:rsidP="00981775">
      <w:pPr>
        <w:pStyle w:val="TextoNormalNegritaCursivandice"/>
      </w:pPr>
      <w:r>
        <w:t>Convención sobre los derechos del niño, adoptada por la Asamblea General de Naciones Unidas el 20 de noviembre de 1989. Ratificada por Instrumento de 30 de noviembre de 1990</w:t>
      </w:r>
    </w:p>
    <w:p w:rsidR="00981775" w:rsidRDefault="00981775" w:rsidP="00981775">
      <w:pPr>
        <w:pStyle w:val="SangriaFrancesaArticulo"/>
      </w:pPr>
      <w:r w:rsidRPr="00981775">
        <w:rPr>
          <w:rStyle w:val="TextoNormalNegritaCaracter"/>
        </w:rPr>
        <w:t>Artículo 28.</w:t>
      </w:r>
      <w:r w:rsidRPr="00981775">
        <w:rPr>
          <w:rStyle w:val="TextoNormalCaracter"/>
        </w:rPr>
        <w:t>-</w:t>
      </w:r>
      <w:r>
        <w:t xml:space="preserve"> Sentencia </w:t>
      </w:r>
      <w:hyperlink w:anchor="SENTENCIA_2015_155" w:history="1">
        <w:r w:rsidRPr="00981775">
          <w:rPr>
            <w:rStyle w:val="TextoNormalCaracter"/>
          </w:rPr>
          <w:t>155/2015</w:t>
        </w:r>
      </w:hyperlink>
      <w:r>
        <w:t>, f. 4.</w:t>
      </w:r>
    </w:p>
    <w:p w:rsidR="00981775" w:rsidRDefault="00981775" w:rsidP="00981775">
      <w:pPr>
        <w:pStyle w:val="SangriaFrancesaArticulo"/>
      </w:pPr>
    </w:p>
    <w:p w:rsidR="00981775" w:rsidRDefault="00981775" w:rsidP="00981775">
      <w:pPr>
        <w:pStyle w:val="TextoNormalNegritaCursivandice"/>
      </w:pPr>
      <w:r>
        <w:t>Declaración de Río sobre el medio ambiente y el desarrollo, proclamada por la Conferencia de Naciones Unidas sobre el medio ambiente y el desarrollo el 14 de junio de 1992</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3" w:history="1">
        <w:r w:rsidRPr="00981775">
          <w:rPr>
            <w:rStyle w:val="TextoNormalCaracter"/>
          </w:rPr>
          <w:t>233/2015</w:t>
        </w:r>
      </w:hyperlink>
      <w:r>
        <w:t>, f. 2.</w:t>
      </w:r>
    </w:p>
    <w:p w:rsidR="00981775" w:rsidRDefault="00981775" w:rsidP="00981775">
      <w:pPr>
        <w:pStyle w:val="SangriaFrancesaArticulo"/>
      </w:pPr>
    </w:p>
    <w:p w:rsidR="00981775" w:rsidRDefault="00981775" w:rsidP="00981775">
      <w:pPr>
        <w:pStyle w:val="TextoNormalNegritaCursivandice"/>
      </w:pPr>
      <w:r>
        <w:t>Tratado sobre la Carta de la Energía, hecho en Lisboa el 17 de diciembre de 1994</w:t>
      </w:r>
    </w:p>
    <w:p w:rsidR="00981775" w:rsidRDefault="00981775" w:rsidP="00981775">
      <w:pPr>
        <w:pStyle w:val="SangriaFrancesaArticulo"/>
      </w:pPr>
      <w:r w:rsidRPr="00981775">
        <w:rPr>
          <w:rStyle w:val="TextoNormalNegritaCaracter"/>
        </w:rPr>
        <w:t>Artículo 10.</w:t>
      </w:r>
      <w:r w:rsidRPr="00981775">
        <w:rPr>
          <w:rStyle w:val="TextoNormalCaracter"/>
        </w:rPr>
        <w:t>-</w:t>
      </w:r>
      <w:r>
        <w:t xml:space="preserve"> Sentencia </w:t>
      </w:r>
      <w:hyperlink w:anchor="SENTENCIA_2015_270" w:history="1">
        <w:r w:rsidRPr="00981775">
          <w:rPr>
            <w:rStyle w:val="TextoNormalCaracter"/>
          </w:rPr>
          <w:t>270/2015</w:t>
        </w:r>
      </w:hyperlink>
      <w:r>
        <w:t>, ff. 1, 6, VP.</w:t>
      </w:r>
    </w:p>
    <w:p w:rsidR="00981775" w:rsidRDefault="00981775" w:rsidP="00981775">
      <w:pPr>
        <w:pStyle w:val="SangriaFrancesaArticulo"/>
      </w:pPr>
      <w:r w:rsidRPr="00981775">
        <w:rPr>
          <w:rStyle w:val="TextoNormalNegritaCaracter"/>
        </w:rPr>
        <w:t>Artículo 13.</w:t>
      </w:r>
      <w:r w:rsidRPr="00981775">
        <w:rPr>
          <w:rStyle w:val="TextoNormalCaracter"/>
        </w:rPr>
        <w:t>-</w:t>
      </w:r>
      <w:r>
        <w:t xml:space="preserve"> Sentencia </w:t>
      </w:r>
      <w:hyperlink w:anchor="SENTENCIA_2015_270" w:history="1">
        <w:r w:rsidRPr="00981775">
          <w:rPr>
            <w:rStyle w:val="TextoNormalCaracter"/>
          </w:rPr>
          <w:t>270/2015</w:t>
        </w:r>
      </w:hyperlink>
      <w:r>
        <w:t>, ff. 1, 6, VP.</w:t>
      </w:r>
    </w:p>
    <w:p w:rsidR="00981775" w:rsidRDefault="00981775" w:rsidP="00981775">
      <w:pPr>
        <w:pStyle w:val="SangriaFrancesaArticulo"/>
      </w:pPr>
      <w:r w:rsidRPr="00981775">
        <w:rPr>
          <w:rStyle w:val="TextoNormalNegritaCaracter"/>
        </w:rPr>
        <w:t>Artículo 26.</w:t>
      </w:r>
      <w:r w:rsidRPr="00981775">
        <w:rPr>
          <w:rStyle w:val="TextoNormalCaracter"/>
        </w:rPr>
        <w:t>-</w:t>
      </w:r>
      <w:r>
        <w:t xml:space="preserve"> Sentencia </w:t>
      </w:r>
      <w:hyperlink w:anchor="SENTENCIA_2015_270" w:history="1">
        <w:r w:rsidRPr="00981775">
          <w:rPr>
            <w:rStyle w:val="TextoNormalCaracter"/>
          </w:rPr>
          <w:t>270/2015</w:t>
        </w:r>
      </w:hyperlink>
      <w:r>
        <w:t>, VP.</w:t>
      </w:r>
    </w:p>
    <w:p w:rsidR="00981775" w:rsidRDefault="00981775" w:rsidP="00981775">
      <w:pPr>
        <w:pStyle w:val="TextoNormal"/>
      </w:pPr>
    </w:p>
    <w:p w:rsidR="00981775" w:rsidRDefault="00981775" w:rsidP="00981775">
      <w:pPr>
        <w:pStyle w:val="SangriaFrancesaArticulo"/>
      </w:pPr>
      <w:bookmarkStart w:id="260" w:name="INDICE22871"/>
    </w:p>
    <w:bookmarkEnd w:id="260"/>
    <w:p w:rsidR="00981775" w:rsidRDefault="00981775" w:rsidP="00981775">
      <w:pPr>
        <w:pStyle w:val="TextoIndiceNivel2"/>
        <w:suppressAutoHyphens/>
      </w:pPr>
      <w:r>
        <w:t>M) Unión Europea</w:t>
      </w:r>
    </w:p>
    <w:p w:rsidR="00981775" w:rsidRDefault="00981775" w:rsidP="00981775">
      <w:pPr>
        <w:pStyle w:val="TextoIndiceNivel2"/>
      </w:pPr>
    </w:p>
    <w:p w:rsidR="00981775" w:rsidRDefault="00981775" w:rsidP="00981775">
      <w:pPr>
        <w:pStyle w:val="TextoNormalNegritaCursivandice"/>
      </w:pPr>
      <w:r>
        <w:t>Acta única europea, firmada en Luxemburgo el 17 de febrero de 1986 y en La Haya el 28 de febrero de 1986</w:t>
      </w:r>
    </w:p>
    <w:p w:rsidR="00981775" w:rsidRDefault="00981775" w:rsidP="00981775">
      <w:pPr>
        <w:pStyle w:val="SangriaFrancesaArticulo"/>
      </w:pPr>
      <w:r w:rsidRPr="00981775">
        <w:rPr>
          <w:rStyle w:val="TextoNormalNegritaCaracter"/>
        </w:rPr>
        <w:t>Artículo 130 R.</w:t>
      </w:r>
      <w:r w:rsidRPr="00981775">
        <w:rPr>
          <w:rStyle w:val="TextoNormalCaracter"/>
        </w:rPr>
        <w:t>-</w:t>
      </w:r>
      <w:r>
        <w:t xml:space="preserve"> Sentencia </w:t>
      </w:r>
      <w:hyperlink w:anchor="SENTENCIA_2015_233" w:history="1">
        <w:r w:rsidRPr="00981775">
          <w:rPr>
            <w:rStyle w:val="TextoNormalCaracter"/>
          </w:rPr>
          <w:t>233/2015</w:t>
        </w:r>
      </w:hyperlink>
      <w:r>
        <w:t>, f. 2.</w:t>
      </w:r>
    </w:p>
    <w:p w:rsidR="00981775" w:rsidRDefault="00981775" w:rsidP="00981775">
      <w:pPr>
        <w:pStyle w:val="SangriaFrancesaArticulo"/>
      </w:pPr>
    </w:p>
    <w:p w:rsidR="00981775" w:rsidRDefault="00981775" w:rsidP="00981775">
      <w:pPr>
        <w:pStyle w:val="TextoNormalNegritaCursivandice"/>
      </w:pPr>
      <w:r>
        <w:t>Tratado de Maastricht, de 7 de febrero de 1992. Título II Modificación del Tratado constitutivo de la Comunidad Económica Europea</w:t>
      </w:r>
    </w:p>
    <w:p w:rsidR="00981775" w:rsidRDefault="00981775" w:rsidP="00981775">
      <w:pPr>
        <w:pStyle w:val="SangriaFrancesaArticulo"/>
      </w:pPr>
      <w:r w:rsidRPr="00981775">
        <w:rPr>
          <w:rStyle w:val="TextoNormalNegritaCaracter"/>
        </w:rPr>
        <w:t>Artículo 234.</w:t>
      </w:r>
      <w:r w:rsidRPr="00981775">
        <w:rPr>
          <w:rStyle w:val="TextoNormalCaracter"/>
        </w:rPr>
        <w:t>-</w:t>
      </w:r>
      <w:r>
        <w:t xml:space="preserve"> Sentencia </w:t>
      </w:r>
      <w:hyperlink w:anchor="SENTENCIA_2015_232" w:history="1">
        <w:r w:rsidRPr="00981775">
          <w:rPr>
            <w:rStyle w:val="TextoNormalCaracter"/>
          </w:rPr>
          <w:t>232/2015</w:t>
        </w:r>
      </w:hyperlink>
      <w:r>
        <w:t>, ff. 4, 5.</w:t>
      </w:r>
    </w:p>
    <w:p w:rsidR="00981775" w:rsidRDefault="00981775" w:rsidP="00981775">
      <w:pPr>
        <w:pStyle w:val="SangriaFrancesaArticulo"/>
      </w:pPr>
    </w:p>
    <w:p w:rsidR="00981775" w:rsidRDefault="00981775" w:rsidP="00981775">
      <w:pPr>
        <w:pStyle w:val="TextoNormalNegritaCursivandice"/>
      </w:pPr>
      <w:r>
        <w:t>Directiva 1999/70/CE del Consejo, de 28 de junio de 1999. Acuerdo marco de la CES, la UNICEF y el CEEP sobre el trabajo de duración determinada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2" w:history="1">
        <w:r w:rsidRPr="00981775">
          <w:rPr>
            <w:rStyle w:val="TextoNormalCaracter"/>
          </w:rPr>
          <w:t>232/2015</w:t>
        </w:r>
      </w:hyperlink>
      <w:r>
        <w:t>, ff. 1, 3, 6.</w:t>
      </w:r>
    </w:p>
    <w:p w:rsidR="00981775" w:rsidRDefault="00981775" w:rsidP="00981775">
      <w:pPr>
        <w:pStyle w:val="SangriaFrancesaArticulo"/>
      </w:pPr>
      <w:r w:rsidRPr="00981775">
        <w:rPr>
          <w:rStyle w:val="TextoNormalNegritaCaracter"/>
        </w:rPr>
        <w:t>Anexo, cláusula 4.1.</w:t>
      </w:r>
      <w:r w:rsidRPr="00981775">
        <w:rPr>
          <w:rStyle w:val="TextoNormalCaracter"/>
        </w:rPr>
        <w:t>-</w:t>
      </w:r>
      <w:r>
        <w:t xml:space="preserve"> Sentencia </w:t>
      </w:r>
      <w:hyperlink w:anchor="SENTENCIA_2015_232" w:history="1">
        <w:r w:rsidRPr="00981775">
          <w:rPr>
            <w:rStyle w:val="TextoNormalCaracter"/>
          </w:rPr>
          <w:t>232/2015</w:t>
        </w:r>
      </w:hyperlink>
      <w:r>
        <w:t>, ff. 1, 3, 4, 6.</w:t>
      </w:r>
    </w:p>
    <w:p w:rsidR="00981775" w:rsidRDefault="00981775" w:rsidP="00981775">
      <w:pPr>
        <w:pStyle w:val="SangriaFrancesaArticulo"/>
      </w:pPr>
    </w:p>
    <w:p w:rsidR="00981775" w:rsidRDefault="00981775" w:rsidP="00981775">
      <w:pPr>
        <w:pStyle w:val="TextoNormalNegritaCursivandice"/>
      </w:pPr>
      <w:r>
        <w:t>Directiva 2004/18/CE del Parlamento Europeo y del Consejo, de 31 de marzo de 2004.  Coordinación de los procedimientos de adjudicación de los contratos públicos de obras, de suministro y de servicios</w:t>
      </w:r>
    </w:p>
    <w:p w:rsidR="00981775" w:rsidRDefault="00981775" w:rsidP="00981775">
      <w:pPr>
        <w:pStyle w:val="SangriaFrancesaArticulo"/>
      </w:pPr>
      <w:r w:rsidRPr="00981775">
        <w:rPr>
          <w:rStyle w:val="TextoNormalNegritaCaracter"/>
        </w:rPr>
        <w:t>Artículo 28.</w:t>
      </w:r>
      <w:r w:rsidRPr="00981775">
        <w:rPr>
          <w:rStyle w:val="TextoNormalCaracter"/>
        </w:rPr>
        <w:t>-</w:t>
      </w:r>
      <w:r>
        <w:t xml:space="preserve"> Sentencia </w:t>
      </w:r>
      <w:hyperlink w:anchor="SENTENCIA_2015_237" w:history="1">
        <w:r w:rsidRPr="00981775">
          <w:rPr>
            <w:rStyle w:val="TextoNormalCaracter"/>
          </w:rPr>
          <w:t>237/2015</w:t>
        </w:r>
      </w:hyperlink>
      <w:r>
        <w:t>, f. 7.</w:t>
      </w:r>
    </w:p>
    <w:p w:rsidR="00981775" w:rsidRDefault="00981775" w:rsidP="00981775">
      <w:pPr>
        <w:pStyle w:val="SangriaFrancesaArticulo"/>
      </w:pPr>
    </w:p>
    <w:p w:rsidR="00981775" w:rsidRDefault="00981775" w:rsidP="00981775">
      <w:pPr>
        <w:pStyle w:val="TextoNormalNegritaCursivandice"/>
      </w:pPr>
      <w:r>
        <w:t>Directiva 2004/114/CE del Consejo, de 13 de diciembre de 2004. Requisitos de admisión de los nacionales de terceros países a efectos de estudios, intercambio de alumnos, prácticas no remuneradas o servicios de voluntariado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55" w:history="1">
        <w:r w:rsidRPr="00981775">
          <w:rPr>
            <w:rStyle w:val="TextoNormalCaracter"/>
          </w:rPr>
          <w:t>155/2015</w:t>
        </w:r>
      </w:hyperlink>
      <w:r>
        <w:t>, f. 2.</w:t>
      </w:r>
    </w:p>
    <w:p w:rsidR="00981775" w:rsidRDefault="00981775" w:rsidP="00981775">
      <w:pPr>
        <w:pStyle w:val="SangriaFrancesaArticulo"/>
      </w:pPr>
      <w:r w:rsidRPr="00981775">
        <w:rPr>
          <w:rStyle w:val="TextoNormalNegritaCaracter"/>
        </w:rPr>
        <w:t>Artículo 1.</w:t>
      </w:r>
      <w:r w:rsidRPr="00981775">
        <w:rPr>
          <w:rStyle w:val="TextoNormalCaracter"/>
        </w:rPr>
        <w:t>-</w:t>
      </w:r>
      <w:r>
        <w:t xml:space="preserve"> Sentencia </w:t>
      </w:r>
      <w:hyperlink w:anchor="SENTENCIA_2015_155" w:history="1">
        <w:r w:rsidRPr="00981775">
          <w:rPr>
            <w:rStyle w:val="TextoNormalCaracter"/>
          </w:rPr>
          <w:t>155/2015</w:t>
        </w:r>
      </w:hyperlink>
      <w:r>
        <w:t>, f. 2.</w:t>
      </w:r>
    </w:p>
    <w:p w:rsidR="00981775" w:rsidRDefault="00981775" w:rsidP="00981775">
      <w:pPr>
        <w:pStyle w:val="SangriaFrancesaArticulo"/>
      </w:pPr>
      <w:r w:rsidRPr="00981775">
        <w:rPr>
          <w:rStyle w:val="TextoNormalNegritaCaracter"/>
        </w:rPr>
        <w:t>Artículo 2 b).</w:t>
      </w:r>
      <w:r w:rsidRPr="00981775">
        <w:rPr>
          <w:rStyle w:val="TextoNormalCaracter"/>
        </w:rPr>
        <w:t>-</w:t>
      </w:r>
      <w:r>
        <w:t xml:space="preserve"> Sentencia </w:t>
      </w:r>
      <w:hyperlink w:anchor="SENTENCIA_2015_155" w:history="1">
        <w:r w:rsidRPr="00981775">
          <w:rPr>
            <w:rStyle w:val="TextoNormalCaracter"/>
          </w:rPr>
          <w:t>155/2015</w:t>
        </w:r>
      </w:hyperlink>
      <w:r>
        <w:t>, f. 2.</w:t>
      </w:r>
    </w:p>
    <w:p w:rsidR="00981775" w:rsidRDefault="00981775" w:rsidP="00981775">
      <w:pPr>
        <w:pStyle w:val="SangriaFrancesaArticulo"/>
      </w:pPr>
      <w:r w:rsidRPr="00981775">
        <w:rPr>
          <w:rStyle w:val="TextoNormalNegritaCaracter"/>
        </w:rPr>
        <w:t>Artículo 2 c).</w:t>
      </w:r>
      <w:r w:rsidRPr="00981775">
        <w:rPr>
          <w:rStyle w:val="TextoNormalCaracter"/>
        </w:rPr>
        <w:t>-</w:t>
      </w:r>
      <w:r>
        <w:t xml:space="preserve"> Sentencia </w:t>
      </w:r>
      <w:hyperlink w:anchor="SENTENCIA_2015_155" w:history="1">
        <w:r w:rsidRPr="00981775">
          <w:rPr>
            <w:rStyle w:val="TextoNormalCaracter"/>
          </w:rPr>
          <w:t>155/2015</w:t>
        </w:r>
      </w:hyperlink>
      <w:r>
        <w:t>, f. 2.</w:t>
      </w:r>
    </w:p>
    <w:p w:rsidR="00981775" w:rsidRDefault="00981775" w:rsidP="00981775">
      <w:pPr>
        <w:pStyle w:val="SangriaFrancesaArticulo"/>
      </w:pPr>
      <w:r w:rsidRPr="00981775">
        <w:rPr>
          <w:rStyle w:val="TextoNormalNegritaCaracter"/>
        </w:rPr>
        <w:t>Artículo 6.</w:t>
      </w:r>
      <w:r w:rsidRPr="00981775">
        <w:rPr>
          <w:rStyle w:val="TextoNormalCaracter"/>
        </w:rPr>
        <w:t>-</w:t>
      </w:r>
      <w:r>
        <w:t xml:space="preserve"> Sentencia </w:t>
      </w:r>
      <w:hyperlink w:anchor="SENTENCIA_2015_155" w:history="1">
        <w:r w:rsidRPr="00981775">
          <w:rPr>
            <w:rStyle w:val="TextoNormalCaracter"/>
          </w:rPr>
          <w:t>155/2015</w:t>
        </w:r>
      </w:hyperlink>
      <w:r>
        <w:t>, f. 2.</w:t>
      </w:r>
    </w:p>
    <w:p w:rsidR="00981775" w:rsidRDefault="00981775" w:rsidP="00981775">
      <w:pPr>
        <w:pStyle w:val="SangriaFrancesaArticulo"/>
      </w:pPr>
      <w:r w:rsidRPr="00981775">
        <w:rPr>
          <w:rStyle w:val="TextoNormalNegritaCaracter"/>
        </w:rPr>
        <w:t>Artículo 7.</w:t>
      </w:r>
      <w:r w:rsidRPr="00981775">
        <w:rPr>
          <w:rStyle w:val="TextoNormalCaracter"/>
        </w:rPr>
        <w:t>-</w:t>
      </w:r>
      <w:r>
        <w:t xml:space="preserve"> Sentencia </w:t>
      </w:r>
      <w:hyperlink w:anchor="SENTENCIA_2015_155" w:history="1">
        <w:r w:rsidRPr="00981775">
          <w:rPr>
            <w:rStyle w:val="TextoNormalCaracter"/>
          </w:rPr>
          <w:t>155/2015</w:t>
        </w:r>
      </w:hyperlink>
      <w:r>
        <w:t>, f. 2.</w:t>
      </w:r>
    </w:p>
    <w:p w:rsidR="00981775" w:rsidRDefault="00981775" w:rsidP="00981775">
      <w:pPr>
        <w:pStyle w:val="SangriaFrancesaArticulo"/>
      </w:pPr>
      <w:r w:rsidRPr="00981775">
        <w:rPr>
          <w:rStyle w:val="TextoNormalNegritaCaracter"/>
        </w:rPr>
        <w:t>Artículo 7.1 a).</w:t>
      </w:r>
      <w:r w:rsidRPr="00981775">
        <w:rPr>
          <w:rStyle w:val="TextoNormalCaracter"/>
        </w:rPr>
        <w:t>-</w:t>
      </w:r>
      <w:r>
        <w:t xml:space="preserve"> Sentencia </w:t>
      </w:r>
      <w:hyperlink w:anchor="SENTENCIA_2015_155" w:history="1">
        <w:r w:rsidRPr="00981775">
          <w:rPr>
            <w:rStyle w:val="TextoNormalCaracter"/>
          </w:rPr>
          <w:t>155/2015</w:t>
        </w:r>
      </w:hyperlink>
      <w:r>
        <w:t>, f. 2.</w:t>
      </w:r>
    </w:p>
    <w:p w:rsidR="00981775" w:rsidRDefault="00981775" w:rsidP="00981775">
      <w:pPr>
        <w:pStyle w:val="SangriaFrancesaArticulo"/>
      </w:pPr>
      <w:r w:rsidRPr="00981775">
        <w:rPr>
          <w:rStyle w:val="TextoNormalNegritaCaracter"/>
        </w:rPr>
        <w:t>Artículo 9.</w:t>
      </w:r>
      <w:r w:rsidRPr="00981775">
        <w:rPr>
          <w:rStyle w:val="TextoNormalCaracter"/>
        </w:rPr>
        <w:t>-</w:t>
      </w:r>
      <w:r>
        <w:t xml:space="preserve"> Sentencia </w:t>
      </w:r>
      <w:hyperlink w:anchor="SENTENCIA_2015_155" w:history="1">
        <w:r w:rsidRPr="00981775">
          <w:rPr>
            <w:rStyle w:val="TextoNormalCaracter"/>
          </w:rPr>
          <w:t>155/2015</w:t>
        </w:r>
      </w:hyperlink>
      <w:r>
        <w:t>, f. 2.</w:t>
      </w:r>
    </w:p>
    <w:p w:rsidR="00981775" w:rsidRDefault="00981775" w:rsidP="00981775">
      <w:pPr>
        <w:pStyle w:val="SangriaFrancesaArticulo"/>
      </w:pPr>
    </w:p>
    <w:p w:rsidR="00981775" w:rsidRDefault="00981775" w:rsidP="00981775">
      <w:pPr>
        <w:pStyle w:val="TextoNormalNegritaCursivandice"/>
      </w:pPr>
      <w:r>
        <w:t>Reglamento (CE) 2096/2005 de la Comisión, de 20 de diciembre de 2005. Establece requisitos comunes para la prestación de servicios de navegación aérea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82" w:history="1">
        <w:r w:rsidRPr="00981775">
          <w:rPr>
            <w:rStyle w:val="TextoNormalCaracter"/>
          </w:rPr>
          <w:t>182/2015</w:t>
        </w:r>
      </w:hyperlink>
      <w:r>
        <w:t>, f. 6.</w:t>
      </w:r>
    </w:p>
    <w:p w:rsidR="00981775" w:rsidRDefault="00981775" w:rsidP="00981775">
      <w:pPr>
        <w:pStyle w:val="SangriaFrancesaArticulo"/>
      </w:pPr>
    </w:p>
    <w:p w:rsidR="00981775" w:rsidRDefault="00981775" w:rsidP="00981775">
      <w:pPr>
        <w:pStyle w:val="TextoNormalNegritaCursivandice"/>
      </w:pPr>
      <w:r>
        <w:t>Comunicación interpretativa de la Comisión sobre el Derecho comunitario aplicable en la adjudicación de contratos no cubiertos o sólo parcialmente cubiertos por las Directivas sobre contratación pública (2006/C 179/02)</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7" w:history="1">
        <w:r w:rsidRPr="00981775">
          <w:rPr>
            <w:rStyle w:val="TextoNormalCaracter"/>
          </w:rPr>
          <w:t>237/2015</w:t>
        </w:r>
      </w:hyperlink>
      <w:r>
        <w:t>, f. 8.</w:t>
      </w:r>
    </w:p>
    <w:p w:rsidR="00981775" w:rsidRDefault="00981775" w:rsidP="00981775">
      <w:pPr>
        <w:pStyle w:val="SangriaFrancesaArticulo"/>
      </w:pPr>
    </w:p>
    <w:p w:rsidR="00981775" w:rsidRDefault="00981775" w:rsidP="00981775">
      <w:pPr>
        <w:pStyle w:val="TextoNormalNegritaCursivandice"/>
      </w:pPr>
      <w:r>
        <w:t>Directiva 2006/123/CE del Parlamento Europeo y del Consejo, de 12 de diciembre de 2006. Servicios en el mercado interior</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3" w:history="1">
        <w:r w:rsidRPr="00981775">
          <w:rPr>
            <w:rStyle w:val="TextoNormalCaracter"/>
          </w:rPr>
          <w:t>233/2015</w:t>
        </w:r>
      </w:hyperlink>
      <w:r>
        <w:t>, f. 10.</w:t>
      </w:r>
    </w:p>
    <w:p w:rsidR="00981775" w:rsidRDefault="00981775" w:rsidP="00981775">
      <w:pPr>
        <w:pStyle w:val="SangriaFrancesaArticulo"/>
      </w:pPr>
      <w:r w:rsidRPr="00981775">
        <w:rPr>
          <w:rStyle w:val="TextoNormalNegritaCaracter"/>
        </w:rPr>
        <w:t>Artículo 4.1.</w:t>
      </w:r>
      <w:r w:rsidRPr="00981775">
        <w:rPr>
          <w:rStyle w:val="TextoNormalCaracter"/>
        </w:rPr>
        <w:t>-</w:t>
      </w:r>
      <w:r>
        <w:t xml:space="preserve"> Sentencia </w:t>
      </w:r>
      <w:hyperlink w:anchor="SENTENCIA_2015_209" w:history="1">
        <w:r w:rsidRPr="00981775">
          <w:rPr>
            <w:rStyle w:val="TextoNormalCaracter"/>
          </w:rPr>
          <w:t>209/2015</w:t>
        </w:r>
      </w:hyperlink>
      <w:r>
        <w:t>, f. 4.</w:t>
      </w:r>
    </w:p>
    <w:p w:rsidR="00981775" w:rsidRDefault="00981775" w:rsidP="00981775">
      <w:pPr>
        <w:pStyle w:val="SangriaFrancesaArticulo"/>
      </w:pPr>
    </w:p>
    <w:p w:rsidR="00981775" w:rsidRDefault="00981775" w:rsidP="00981775">
      <w:pPr>
        <w:pStyle w:val="TextoNormalNegritaCursivandice"/>
      </w:pPr>
      <w:r>
        <w:t>Tratado de Lisboa, de 13 de diciembre de 2007. Tratado de funcionamiento de la Unión Europea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43" w:history="1">
        <w:r w:rsidRPr="00981775">
          <w:rPr>
            <w:rStyle w:val="TextoNormalCaracter"/>
          </w:rPr>
          <w:t>243/2015</w:t>
        </w:r>
      </w:hyperlink>
      <w:r>
        <w:t>, f. 3.</w:t>
      </w:r>
    </w:p>
    <w:p w:rsidR="00981775" w:rsidRDefault="00981775" w:rsidP="00981775">
      <w:pPr>
        <w:pStyle w:val="SangriaFrancesaArticulo"/>
      </w:pPr>
      <w:r w:rsidRPr="00981775">
        <w:rPr>
          <w:rStyle w:val="TextoNormalNegritaCaracter"/>
        </w:rPr>
        <w:t>Artículo 267.</w:t>
      </w:r>
      <w:r w:rsidRPr="00981775">
        <w:rPr>
          <w:rStyle w:val="TextoNormalCaracter"/>
        </w:rPr>
        <w:t>-</w:t>
      </w:r>
      <w:r>
        <w:t xml:space="preserve"> Sentencia </w:t>
      </w:r>
      <w:hyperlink w:anchor="SENTENCIA_2015_232" w:history="1">
        <w:r w:rsidRPr="00981775">
          <w:rPr>
            <w:rStyle w:val="TextoNormalCaracter"/>
          </w:rPr>
          <w:t>232/2015</w:t>
        </w:r>
      </w:hyperlink>
      <w:r>
        <w:t>, ff. 4, 5.</w:t>
      </w:r>
    </w:p>
    <w:p w:rsidR="00981775" w:rsidRDefault="00981775" w:rsidP="00981775">
      <w:pPr>
        <w:pStyle w:val="SangriaFrancesaArticulo"/>
      </w:pPr>
    </w:p>
    <w:p w:rsidR="00981775" w:rsidRDefault="00981775" w:rsidP="00981775">
      <w:pPr>
        <w:pStyle w:val="TextoNormalNegritaCursivandice"/>
      </w:pPr>
      <w:r>
        <w:t>Resolución del Parlamento Europeo de 29 de septiembre de 2011. Elaboración de una posición común de la UE ante la Conferencia de las Naciones Unidas sobre el Desarrollo Sostenible, Río+20</w:t>
      </w:r>
    </w:p>
    <w:p w:rsidR="00981775" w:rsidRDefault="00981775" w:rsidP="00981775">
      <w:pPr>
        <w:pStyle w:val="SangriaFrancesaArticulo"/>
      </w:pPr>
      <w:r w:rsidRPr="00981775">
        <w:rPr>
          <w:rStyle w:val="TextoNormalNegritaCaracter"/>
        </w:rPr>
        <w:t>Apartado 165.</w:t>
      </w:r>
      <w:r w:rsidRPr="00981775">
        <w:rPr>
          <w:rStyle w:val="TextoNormalCaracter"/>
        </w:rPr>
        <w:t>-</w:t>
      </w:r>
      <w:r>
        <w:t xml:space="preserve"> Sentencia </w:t>
      </w:r>
      <w:hyperlink w:anchor="SENTENCIA_2015_233" w:history="1">
        <w:r w:rsidRPr="00981775">
          <w:rPr>
            <w:rStyle w:val="TextoNormalCaracter"/>
          </w:rPr>
          <w:t>233/2015</w:t>
        </w:r>
      </w:hyperlink>
      <w:r>
        <w:t>, f. 3.</w:t>
      </w:r>
    </w:p>
    <w:p w:rsidR="00981775" w:rsidRDefault="00981775" w:rsidP="00981775">
      <w:pPr>
        <w:pStyle w:val="SangriaFrancesaArticulo"/>
      </w:pPr>
      <w:r w:rsidRPr="00981775">
        <w:rPr>
          <w:rStyle w:val="TextoNormalNegritaCaracter"/>
        </w:rPr>
        <w:t>Apartado 190.</w:t>
      </w:r>
      <w:r w:rsidRPr="00981775">
        <w:rPr>
          <w:rStyle w:val="TextoNormalCaracter"/>
        </w:rPr>
        <w:t>-</w:t>
      </w:r>
      <w:r>
        <w:t xml:space="preserve"> Sentencia </w:t>
      </w:r>
      <w:hyperlink w:anchor="SENTENCIA_2015_233" w:history="1">
        <w:r w:rsidRPr="00981775">
          <w:rPr>
            <w:rStyle w:val="TextoNormalCaracter"/>
          </w:rPr>
          <w:t>233/2015</w:t>
        </w:r>
      </w:hyperlink>
      <w:r>
        <w:t>, f. 3.</w:t>
      </w:r>
    </w:p>
    <w:p w:rsidR="00981775" w:rsidRDefault="00981775" w:rsidP="00981775">
      <w:pPr>
        <w:pStyle w:val="SangriaFrancesaArticulo"/>
      </w:pPr>
      <w:r w:rsidRPr="00981775">
        <w:rPr>
          <w:rStyle w:val="TextoNormalNegritaCaracter"/>
        </w:rPr>
        <w:t>apartado 97.</w:t>
      </w:r>
      <w:r w:rsidRPr="00981775">
        <w:rPr>
          <w:rStyle w:val="TextoNormalCaracter"/>
        </w:rPr>
        <w:t>-</w:t>
      </w:r>
      <w:r>
        <w:t xml:space="preserve"> Sentencia </w:t>
      </w:r>
      <w:hyperlink w:anchor="SENTENCIA_2015_233" w:history="1">
        <w:r w:rsidRPr="00981775">
          <w:rPr>
            <w:rStyle w:val="TextoNormalCaracter"/>
          </w:rPr>
          <w:t>233/2015</w:t>
        </w:r>
      </w:hyperlink>
      <w:r>
        <w:t>, f. 2.</w:t>
      </w:r>
    </w:p>
    <w:p w:rsidR="00981775" w:rsidRDefault="00981775" w:rsidP="00981775">
      <w:pPr>
        <w:pStyle w:val="SangriaFrancesaArticulo"/>
      </w:pPr>
    </w:p>
    <w:p w:rsidR="00981775" w:rsidRDefault="00981775" w:rsidP="00981775">
      <w:pPr>
        <w:pStyle w:val="TextoNormalNegritaCursivandice"/>
      </w:pPr>
      <w:r>
        <w:t>Directiva 2012/27/UE del Parlamento Europeo y del Consejo, de 25 de octubre de 2012. Eficiencia energética, por la que se modifican las Directivas 2009/125/CE y 2010/30/UE, y por la que se derogan las Directivas 2004/8/CE y 2006/32/CE</w:t>
      </w:r>
    </w:p>
    <w:p w:rsidR="00981775" w:rsidRDefault="00981775" w:rsidP="00981775">
      <w:pPr>
        <w:pStyle w:val="SangriaFrancesaArticulo"/>
      </w:pPr>
      <w:r w:rsidRPr="00981775">
        <w:rPr>
          <w:rStyle w:val="TextoNormalNegritaCaracter"/>
        </w:rPr>
        <w:t>Artículo 7.</w:t>
      </w:r>
      <w:r w:rsidRPr="00981775">
        <w:rPr>
          <w:rStyle w:val="TextoNormalCaracter"/>
        </w:rPr>
        <w:t>-</w:t>
      </w:r>
      <w:r>
        <w:t xml:space="preserve"> Sentencia </w:t>
      </w:r>
      <w:hyperlink w:anchor="SENTENCIA_2015_199" w:history="1">
        <w:r w:rsidRPr="00981775">
          <w:rPr>
            <w:rStyle w:val="TextoNormalCaracter"/>
          </w:rPr>
          <w:t>199/2015</w:t>
        </w:r>
      </w:hyperlink>
      <w:r>
        <w:t>, f. 8.</w:t>
      </w:r>
    </w:p>
    <w:p w:rsidR="00981775" w:rsidRDefault="00981775" w:rsidP="00981775">
      <w:pPr>
        <w:pStyle w:val="SangriaFrancesaArticulo"/>
      </w:pPr>
    </w:p>
    <w:p w:rsidR="00981775" w:rsidRDefault="00981775" w:rsidP="00981775">
      <w:pPr>
        <w:pStyle w:val="TextoNormalNegritaCursivandice"/>
      </w:pPr>
      <w:r>
        <w:t>Directiva 2014/23/UE del Parlamento Europeo y del Consejo, de 26 de febrero de 2014. Adjudicación de contratos de concesión</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3" w:history="1">
        <w:r w:rsidRPr="00981775">
          <w:rPr>
            <w:rStyle w:val="TextoNormalCaracter"/>
          </w:rPr>
          <w:t>233/2015</w:t>
        </w:r>
      </w:hyperlink>
      <w:r>
        <w:t>, f. 10.</w:t>
      </w:r>
    </w:p>
    <w:p w:rsidR="00981775" w:rsidRDefault="00981775" w:rsidP="00981775">
      <w:pPr>
        <w:pStyle w:val="TextoNormal"/>
      </w:pPr>
    </w:p>
    <w:p w:rsidR="00981775" w:rsidRDefault="00981775" w:rsidP="00981775">
      <w:pPr>
        <w:pStyle w:val="SangriaFrancesaArticulo"/>
      </w:pPr>
      <w:bookmarkStart w:id="261" w:name="INDICE27994"/>
    </w:p>
    <w:bookmarkEnd w:id="261"/>
    <w:p w:rsidR="00981775" w:rsidRDefault="00981775" w:rsidP="00981775">
      <w:pPr>
        <w:pStyle w:val="TextoIndiceNivel2"/>
        <w:suppressAutoHyphens/>
      </w:pPr>
      <w:r>
        <w:t>N) Consejo de Europa</w:t>
      </w:r>
    </w:p>
    <w:p w:rsidR="00981775" w:rsidRDefault="00981775" w:rsidP="00981775">
      <w:pPr>
        <w:pStyle w:val="TextoIndiceNivel2"/>
      </w:pPr>
    </w:p>
    <w:p w:rsidR="00981775" w:rsidRDefault="00981775" w:rsidP="00981775">
      <w:pPr>
        <w:pStyle w:val="TextoNormalNegritaCursivandice"/>
      </w:pPr>
      <w:r>
        <w:t>Convenio europeo para la protección de los derechos humanos y de las libertades fundamentales, hecho en Roma el 4 de noviembre de 1950. Ratificado por Instrumento de 26 de septiembre de 1979</w:t>
      </w:r>
    </w:p>
    <w:p w:rsidR="00981775" w:rsidRDefault="00981775" w:rsidP="00981775">
      <w:pPr>
        <w:pStyle w:val="SangriaFrancesaArticulo"/>
      </w:pPr>
      <w:r w:rsidRPr="00981775">
        <w:rPr>
          <w:rStyle w:val="TextoNormalNegritaCaracter"/>
        </w:rPr>
        <w:t>Artículo 5.1.</w:t>
      </w:r>
      <w:r w:rsidRPr="00981775">
        <w:rPr>
          <w:rStyle w:val="TextoNormalCaracter"/>
        </w:rPr>
        <w:t>-</w:t>
      </w:r>
      <w:r>
        <w:t xml:space="preserve"> Sentencia </w:t>
      </w:r>
      <w:hyperlink w:anchor="SENTENCIA_2015_261" w:history="1">
        <w:r w:rsidRPr="00981775">
          <w:rPr>
            <w:rStyle w:val="TextoNormalCaracter"/>
          </w:rPr>
          <w:t>261/2015</w:t>
        </w:r>
      </w:hyperlink>
      <w:r>
        <w:t>, f. 5.</w:t>
      </w:r>
    </w:p>
    <w:p w:rsidR="00981775" w:rsidRDefault="00981775" w:rsidP="00981775">
      <w:pPr>
        <w:pStyle w:val="SangriaFrancesaArticulo"/>
      </w:pPr>
      <w:r w:rsidRPr="00981775">
        <w:rPr>
          <w:rStyle w:val="TextoNormalNegritaCaracter"/>
        </w:rPr>
        <w:t>Artículo 6.</w:t>
      </w:r>
      <w:r w:rsidRPr="00981775">
        <w:rPr>
          <w:rStyle w:val="TextoNormalCaracter"/>
        </w:rPr>
        <w:t>-</w:t>
      </w:r>
      <w:r>
        <w:t xml:space="preserve"> Sentencia </w:t>
      </w:r>
      <w:hyperlink w:anchor="SENTENCIA_2015_231" w:history="1">
        <w:r w:rsidRPr="00981775">
          <w:rPr>
            <w:rStyle w:val="TextoNormalCaracter"/>
          </w:rPr>
          <w:t>231/2015</w:t>
        </w:r>
      </w:hyperlink>
      <w:r>
        <w:t>, ff. 8, 10.</w:t>
      </w:r>
    </w:p>
    <w:p w:rsidR="00981775" w:rsidRDefault="00981775" w:rsidP="00981775">
      <w:pPr>
        <w:pStyle w:val="SangriaFrancesaArticulo"/>
      </w:pPr>
      <w:r w:rsidRPr="00981775">
        <w:rPr>
          <w:rStyle w:val="TextoNormalNegritaCaracter"/>
        </w:rPr>
        <w:t>Artículo 6.1.</w:t>
      </w:r>
      <w:r w:rsidRPr="00981775">
        <w:rPr>
          <w:rStyle w:val="TextoNormalCaracter"/>
        </w:rPr>
        <w:t>-</w:t>
      </w:r>
      <w:r>
        <w:t xml:space="preserve"> Sentencias </w:t>
      </w:r>
      <w:hyperlink w:anchor="SENTENCIA_2015_152" w:history="1">
        <w:r w:rsidRPr="00981775">
          <w:rPr>
            <w:rStyle w:val="TextoNormalCaracter"/>
          </w:rPr>
          <w:t>152/2015</w:t>
        </w:r>
      </w:hyperlink>
      <w:r>
        <w:t xml:space="preserve">, f. 9; </w:t>
      </w:r>
      <w:hyperlink w:anchor="SENTENCIA_2015_179" w:history="1">
        <w:r w:rsidRPr="00981775">
          <w:rPr>
            <w:rStyle w:val="TextoNormalCaracter"/>
          </w:rPr>
          <w:t>179/2015</w:t>
        </w:r>
      </w:hyperlink>
      <w:r>
        <w:t xml:space="preserve">, f. 2; </w:t>
      </w:r>
      <w:hyperlink w:anchor="SENTENCIA_2015_231" w:history="1">
        <w:r w:rsidRPr="00981775">
          <w:rPr>
            <w:rStyle w:val="TextoNormalCaracter"/>
          </w:rPr>
          <w:t>231/2015</w:t>
        </w:r>
      </w:hyperlink>
      <w:r>
        <w:t>, f. 10.</w:t>
      </w:r>
    </w:p>
    <w:p w:rsidR="00981775" w:rsidRDefault="00981775" w:rsidP="00981775">
      <w:pPr>
        <w:pStyle w:val="SangriaFrancesaArticulo"/>
      </w:pPr>
      <w:r w:rsidRPr="00981775">
        <w:rPr>
          <w:rStyle w:val="TextoNormalNegritaCaracter"/>
        </w:rPr>
        <w:t>Artículo 8.</w:t>
      </w:r>
      <w:r w:rsidRPr="00981775">
        <w:rPr>
          <w:rStyle w:val="TextoNormalCaracter"/>
        </w:rPr>
        <w:t>-</w:t>
      </w:r>
      <w:r>
        <w:t xml:space="preserve"> Auto </w:t>
      </w:r>
      <w:hyperlink w:anchor="AUTO_2015_179" w:history="1">
        <w:r w:rsidRPr="00981775">
          <w:rPr>
            <w:rStyle w:val="TextoNormalCaracter"/>
          </w:rPr>
          <w:t>179/2015</w:t>
        </w:r>
      </w:hyperlink>
      <w:r>
        <w:t>, ff. 3, 5.</w:t>
      </w:r>
    </w:p>
    <w:p w:rsidR="00981775" w:rsidRDefault="00981775" w:rsidP="00981775">
      <w:pPr>
        <w:pStyle w:val="SangriaFrancesaArticulo"/>
      </w:pPr>
      <w:r w:rsidRPr="00981775">
        <w:rPr>
          <w:rStyle w:val="TextoNormalNegritaCaracter"/>
        </w:rPr>
        <w:t>Artículo 10.</w:t>
      </w:r>
      <w:r w:rsidRPr="00981775">
        <w:rPr>
          <w:rStyle w:val="TextoNormalCaracter"/>
        </w:rPr>
        <w:t>-</w:t>
      </w:r>
      <w:r>
        <w:t xml:space="preserve"> Sentencia </w:t>
      </w:r>
      <w:hyperlink w:anchor="SENTENCIA_2015_177" w:history="1">
        <w:r w:rsidRPr="00981775">
          <w:rPr>
            <w:rStyle w:val="TextoNormalCaracter"/>
          </w:rPr>
          <w:t>177/2015</w:t>
        </w:r>
      </w:hyperlink>
      <w:r>
        <w:t>, ff. 2 a 5, VP I.</w:t>
      </w:r>
    </w:p>
    <w:p w:rsidR="00981775" w:rsidRDefault="00981775" w:rsidP="00981775">
      <w:pPr>
        <w:pStyle w:val="SangriaFrancesaArticulo"/>
      </w:pPr>
      <w:r w:rsidRPr="00981775">
        <w:rPr>
          <w:rStyle w:val="TextoNormalNegritaCaracter"/>
        </w:rPr>
        <w:t>Artículo 10.2.</w:t>
      </w:r>
      <w:r w:rsidRPr="00981775">
        <w:rPr>
          <w:rStyle w:val="TextoNormalCaracter"/>
        </w:rPr>
        <w:t>-</w:t>
      </w:r>
      <w:r>
        <w:t xml:space="preserve"> Sentencia </w:t>
      </w:r>
      <w:hyperlink w:anchor="SENTENCIA_2015_177" w:history="1">
        <w:r w:rsidRPr="00981775">
          <w:rPr>
            <w:rStyle w:val="TextoNormalCaracter"/>
          </w:rPr>
          <w:t>177/2015</w:t>
        </w:r>
      </w:hyperlink>
      <w:r>
        <w:t>, VP III.</w:t>
      </w:r>
    </w:p>
    <w:p w:rsidR="00981775" w:rsidRDefault="00981775" w:rsidP="00981775">
      <w:pPr>
        <w:pStyle w:val="SangriaFrancesaArticulo"/>
      </w:pPr>
      <w:r w:rsidRPr="00981775">
        <w:rPr>
          <w:rStyle w:val="TextoNormalNegritaCaracter"/>
        </w:rPr>
        <w:t>Artículo 17.</w:t>
      </w:r>
      <w:r w:rsidRPr="00981775">
        <w:rPr>
          <w:rStyle w:val="TextoNormalCaracter"/>
        </w:rPr>
        <w:t>-</w:t>
      </w:r>
      <w:r>
        <w:t xml:space="preserve"> Sentencia </w:t>
      </w:r>
      <w:hyperlink w:anchor="SENTENCIA_2015_177" w:history="1">
        <w:r w:rsidRPr="00981775">
          <w:rPr>
            <w:rStyle w:val="TextoNormalCaracter"/>
          </w:rPr>
          <w:t>177/2015</w:t>
        </w:r>
      </w:hyperlink>
      <w:r>
        <w:t>, VP III.</w:t>
      </w:r>
    </w:p>
    <w:p w:rsidR="00981775" w:rsidRDefault="00981775" w:rsidP="00981775">
      <w:pPr>
        <w:pStyle w:val="SangriaFrancesaArticulo"/>
      </w:pPr>
    </w:p>
    <w:p w:rsidR="00981775" w:rsidRDefault="00981775" w:rsidP="00981775">
      <w:pPr>
        <w:pStyle w:val="TextoNormalNegritaCursivandice"/>
      </w:pPr>
      <w:r>
        <w:t>Protocolo adicional al Convenio europeo para la protección de los derechos humanos y de las libertades fundamentales, de 20 de marzo de 1952. Ratificado por Instrumento de 2 de noviembre de 1990</w:t>
      </w:r>
    </w:p>
    <w:p w:rsidR="00981775" w:rsidRDefault="00981775" w:rsidP="00981775">
      <w:pPr>
        <w:pStyle w:val="SangriaFrancesaArticulo"/>
      </w:pPr>
      <w:r w:rsidRPr="00981775">
        <w:rPr>
          <w:rStyle w:val="TextoNormalNegritaCaracter"/>
        </w:rPr>
        <w:t>Artículo 2.</w:t>
      </w:r>
      <w:r w:rsidRPr="00981775">
        <w:rPr>
          <w:rStyle w:val="TextoNormalCaracter"/>
        </w:rPr>
        <w:t>-</w:t>
      </w:r>
      <w:r>
        <w:t xml:space="preserve"> Sentencia </w:t>
      </w:r>
      <w:hyperlink w:anchor="SENTENCIA_2015_155" w:history="1">
        <w:r w:rsidRPr="00981775">
          <w:rPr>
            <w:rStyle w:val="TextoNormalCaracter"/>
          </w:rPr>
          <w:t>155/2015</w:t>
        </w:r>
      </w:hyperlink>
      <w:r>
        <w:t>, f. 5.</w:t>
      </w:r>
    </w:p>
    <w:p w:rsidR="00981775" w:rsidRDefault="00981775" w:rsidP="00981775">
      <w:pPr>
        <w:pStyle w:val="SangriaFrancesaArticulo"/>
      </w:pPr>
    </w:p>
    <w:p w:rsidR="00981775" w:rsidRDefault="00981775" w:rsidP="00981775">
      <w:pPr>
        <w:pStyle w:val="TextoNormalNegritaCursivandice"/>
      </w:pPr>
      <w:r>
        <w:t>Carta europea de autonomía local, hecha en Estrasburgo, de 15 de octubre de 1985. Ratificada por Instrumento de 20 de enero de 1988</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54" w:history="1">
        <w:r w:rsidRPr="00981775">
          <w:rPr>
            <w:rStyle w:val="TextoNormalCaracter"/>
          </w:rPr>
          <w:t>154/2015</w:t>
        </w:r>
      </w:hyperlink>
      <w:r>
        <w:t>, f. 6.</w:t>
      </w:r>
    </w:p>
    <w:p w:rsidR="00981775" w:rsidRDefault="00981775" w:rsidP="00981775">
      <w:pPr>
        <w:pStyle w:val="SangriaFrancesaArticulo"/>
      </w:pPr>
    </w:p>
    <w:p w:rsidR="00981775" w:rsidRDefault="00981775" w:rsidP="00981775">
      <w:pPr>
        <w:pStyle w:val="TextoNormalNegritaCursivandice"/>
      </w:pPr>
      <w:r>
        <w:t>Recomendación (97) 20, del Comité de Ministros del Consejo de Europa, de 30 de octubre de 1997. Discurso del odio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7" w:history="1">
        <w:r w:rsidRPr="00981775">
          <w:rPr>
            <w:rStyle w:val="TextoNormalCaracter"/>
          </w:rPr>
          <w:t>177/2015</w:t>
        </w:r>
      </w:hyperlink>
      <w:r>
        <w:t>, VP I, VP III.</w:t>
      </w:r>
    </w:p>
    <w:p w:rsidR="00981775" w:rsidRDefault="00981775">
      <w:pPr>
        <w:spacing w:after="160" w:line="259" w:lineRule="auto"/>
        <w:rPr>
          <w:rFonts w:ascii="Times New Roman" w:eastAsia="Times New Roman" w:hAnsi="Times New Roman" w:cs="Times New Roman"/>
          <w:sz w:val="24"/>
          <w:szCs w:val="24"/>
          <w:lang w:eastAsia="es-ES"/>
        </w:rPr>
      </w:pPr>
      <w:r>
        <w:br w:type="page"/>
      </w:r>
    </w:p>
    <w:p w:rsidR="00981775" w:rsidRDefault="00981775" w:rsidP="00981775">
      <w:pPr>
        <w:pStyle w:val="SangriaFrancesaArticulo"/>
      </w:pPr>
    </w:p>
    <w:p w:rsidR="00981775" w:rsidRDefault="00981775" w:rsidP="00981775">
      <w:pPr>
        <w:pStyle w:val="TextoNormal"/>
      </w:pPr>
    </w:p>
    <w:p w:rsidR="00981775" w:rsidRDefault="00981775" w:rsidP="00981775">
      <w:pPr>
        <w:pStyle w:val="TextoNormal"/>
      </w:pPr>
    </w:p>
    <w:p w:rsidR="00981775" w:rsidRDefault="00981775" w:rsidP="00981775">
      <w:pPr>
        <w:pStyle w:val="TextoNormal"/>
      </w:pPr>
    </w:p>
    <w:p w:rsidR="00981775" w:rsidRDefault="00981775" w:rsidP="00981775">
      <w:pPr>
        <w:pStyle w:val="Ttulondice"/>
        <w:suppressAutoHyphens/>
      </w:pPr>
      <w:r>
        <w:t>6. ÍNDICE DE RESOLUCIONES JUDICIALES DE OTROS TRIBUNALES CITADAS</w:t>
      </w: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suppressAutoHyphens/>
      </w:pPr>
    </w:p>
    <w:p w:rsidR="00981775" w:rsidRDefault="00981775" w:rsidP="00981775">
      <w:pPr>
        <w:pStyle w:val="TextoNormal"/>
      </w:pPr>
    </w:p>
    <w:p w:rsidR="00981775" w:rsidRDefault="00981775" w:rsidP="00981775">
      <w:pPr>
        <w:pStyle w:val="TextoNormal"/>
      </w:pPr>
      <w:bookmarkStart w:id="262" w:name="INDICE22805"/>
      <w:bookmarkEnd w:id="262"/>
    </w:p>
    <w:p w:rsidR="00981775" w:rsidRDefault="00981775" w:rsidP="00981775">
      <w:pPr>
        <w:pStyle w:val="TextoIndiceNivel2"/>
        <w:suppressAutoHyphens/>
      </w:pPr>
      <w:r>
        <w:t>A) Tribunal Europeo de Derechos Humanos</w:t>
      </w:r>
    </w:p>
    <w:p w:rsidR="00981775" w:rsidRDefault="00981775" w:rsidP="00981775">
      <w:pPr>
        <w:pStyle w:val="TextoIndiceNivel2"/>
      </w:pPr>
    </w:p>
    <w:p w:rsidR="00981775" w:rsidRDefault="00981775" w:rsidP="00981775">
      <w:pPr>
        <w:pStyle w:val="TextoNormalNegritaCursivandice"/>
      </w:pPr>
      <w:r>
        <w:t>Sentencia del Tribunal Europeo de Derechos Humanos de 23 de abril de 1992 (Castells c. España)</w:t>
      </w:r>
    </w:p>
    <w:p w:rsidR="00981775" w:rsidRDefault="00981775" w:rsidP="00981775">
      <w:pPr>
        <w:pStyle w:val="SangriaFrancesaArticulo"/>
      </w:pPr>
      <w:r w:rsidRPr="00981775">
        <w:rPr>
          <w:rStyle w:val="TextoNormalNegritaCaracter"/>
        </w:rPr>
        <w:t>§ 42.</w:t>
      </w:r>
      <w:r w:rsidRPr="00981775">
        <w:rPr>
          <w:rStyle w:val="TextoNormalCaracter"/>
        </w:rPr>
        <w:t>-</w:t>
      </w:r>
      <w:r>
        <w:t xml:space="preserve"> Sentencia </w:t>
      </w:r>
      <w:hyperlink w:anchor="SENTENCIA_2015_177" w:history="1">
        <w:r w:rsidRPr="00981775">
          <w:rPr>
            <w:rStyle w:val="TextoNormalCaracter"/>
          </w:rPr>
          <w:t>177/2015</w:t>
        </w:r>
      </w:hyperlink>
      <w:r>
        <w:t>, f. 2.</w:t>
      </w:r>
    </w:p>
    <w:p w:rsidR="00981775" w:rsidRDefault="00981775" w:rsidP="00981775">
      <w:pPr>
        <w:pStyle w:val="SangriaFrancesaArticulo"/>
      </w:pPr>
      <w:r w:rsidRPr="00981775">
        <w:rPr>
          <w:rStyle w:val="TextoNormalNegritaCaracter"/>
        </w:rPr>
        <w:t>§ 46.</w:t>
      </w:r>
      <w:r w:rsidRPr="00981775">
        <w:rPr>
          <w:rStyle w:val="TextoNormalCaracter"/>
        </w:rPr>
        <w:t>-</w:t>
      </w:r>
      <w:r>
        <w:t xml:space="preserve"> Sentencia </w:t>
      </w:r>
      <w:hyperlink w:anchor="SENTENCIA_2015_177" w:history="1">
        <w:r w:rsidRPr="00981775">
          <w:rPr>
            <w:rStyle w:val="TextoNormalCaracter"/>
          </w:rPr>
          <w:t>177/2015</w:t>
        </w:r>
      </w:hyperlink>
      <w:r>
        <w:t>, f. 2, VP III.</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25 de junio de 1996 (Amuur c. Francia)</w:t>
      </w:r>
    </w:p>
    <w:p w:rsidR="00981775" w:rsidRDefault="00981775" w:rsidP="00981775">
      <w:pPr>
        <w:pStyle w:val="SangriaFrancesaArticulo"/>
      </w:pPr>
      <w:r w:rsidRPr="00981775">
        <w:rPr>
          <w:rStyle w:val="TextoNormalNegritaCaracter"/>
        </w:rPr>
        <w:t>Apartado 50.</w:t>
      </w:r>
      <w:r w:rsidRPr="00981775">
        <w:rPr>
          <w:rStyle w:val="TextoNormalCaracter"/>
        </w:rPr>
        <w:t>-</w:t>
      </w:r>
      <w:r>
        <w:t xml:space="preserve"> Sentencia </w:t>
      </w:r>
      <w:hyperlink w:anchor="SENTENCIA_2015_261" w:history="1">
        <w:r w:rsidRPr="00981775">
          <w:rPr>
            <w:rStyle w:val="TextoNormalCaracter"/>
          </w:rPr>
          <w:t>261/2015</w:t>
        </w:r>
      </w:hyperlink>
      <w:r>
        <w:t>, f. 5.</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24 de febrero de 1997 (De Haes y Gijsels c. Bélgica)</w:t>
      </w:r>
    </w:p>
    <w:p w:rsidR="00981775" w:rsidRDefault="00981775" w:rsidP="00981775">
      <w:pPr>
        <w:pStyle w:val="SangriaFrancesaArticulo"/>
      </w:pPr>
      <w:r w:rsidRPr="00981775">
        <w:rPr>
          <w:rStyle w:val="TextoNormalNegritaCaracter"/>
        </w:rPr>
        <w:t>§ 49.</w:t>
      </w:r>
      <w:r w:rsidRPr="00981775">
        <w:rPr>
          <w:rStyle w:val="TextoNormalCaracter"/>
        </w:rPr>
        <w:t>-</w:t>
      </w:r>
      <w:r>
        <w:t xml:space="preserve"> Sentencia </w:t>
      </w:r>
      <w:hyperlink w:anchor="SENTENCIA_2015_177" w:history="1">
        <w:r w:rsidRPr="00981775">
          <w:rPr>
            <w:rStyle w:val="TextoNormalCaracter"/>
          </w:rPr>
          <w:t>177/2015</w:t>
        </w:r>
      </w:hyperlink>
      <w:r>
        <w:t>, f. 2.</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22 de octubre de 1997 (Papageorgiu c. Grecia)</w:t>
      </w:r>
    </w:p>
    <w:p w:rsidR="00981775" w:rsidRDefault="00981775" w:rsidP="00981775">
      <w:pPr>
        <w:pStyle w:val="SangriaFrancesaArticulo"/>
      </w:pPr>
      <w:r w:rsidRPr="00981775">
        <w:rPr>
          <w:rStyle w:val="TextoNormalNegritaCaracter"/>
        </w:rPr>
        <w:t>§ 38.</w:t>
      </w:r>
      <w:r w:rsidRPr="00981775">
        <w:rPr>
          <w:rStyle w:val="TextoNormalCaracter"/>
        </w:rPr>
        <w:t>-</w:t>
      </w:r>
      <w:r>
        <w:t xml:space="preserve"> Sentencia </w:t>
      </w:r>
      <w:hyperlink w:anchor="SENTENCIA_2015_231" w:history="1">
        <w:r w:rsidRPr="00981775">
          <w:rPr>
            <w:rStyle w:val="TextoNormalCaracter"/>
          </w:rPr>
          <w:t>231/2015</w:t>
        </w:r>
      </w:hyperlink>
      <w:r>
        <w:t>, f. 8.</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23 de octubre de 1997 (National &amp; Provincial Building Society, Leeds Permanent Building Society y Yorkshire Building Society c. Reino Unido)</w:t>
      </w:r>
    </w:p>
    <w:p w:rsidR="00981775" w:rsidRDefault="00981775" w:rsidP="00981775">
      <w:pPr>
        <w:pStyle w:val="SangriaFrancesaArticulo"/>
      </w:pPr>
      <w:r w:rsidRPr="00981775">
        <w:rPr>
          <w:rStyle w:val="TextoNormalNegritaCaracter"/>
        </w:rPr>
        <w:t>§ 112.</w:t>
      </w:r>
      <w:r w:rsidRPr="00981775">
        <w:rPr>
          <w:rStyle w:val="TextoNormalCaracter"/>
        </w:rPr>
        <w:t>-</w:t>
      </w:r>
      <w:r>
        <w:t xml:space="preserve"> Sentencia </w:t>
      </w:r>
      <w:hyperlink w:anchor="SENTENCIA_2015_231" w:history="1">
        <w:r w:rsidRPr="00981775">
          <w:rPr>
            <w:rStyle w:val="TextoNormalCaracter"/>
          </w:rPr>
          <w:t>231/2015</w:t>
        </w:r>
      </w:hyperlink>
      <w:r>
        <w:t>, f. 10.</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19 de diciembre de 1997 (Brualla Gómez de la Torre c. España)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9" w:history="1">
        <w:r w:rsidRPr="00981775">
          <w:rPr>
            <w:rStyle w:val="TextoNormalCaracter"/>
          </w:rPr>
          <w:t>179/2015</w:t>
        </w:r>
      </w:hyperlink>
      <w:r>
        <w:t>, f. 2.</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9 de junio de 1998 (Incal c. Turquía)</w:t>
      </w:r>
    </w:p>
    <w:p w:rsidR="00981775" w:rsidRDefault="00981775" w:rsidP="00981775">
      <w:pPr>
        <w:pStyle w:val="SangriaFrancesaArticulo"/>
      </w:pPr>
      <w:r w:rsidRPr="00981775">
        <w:rPr>
          <w:rStyle w:val="TextoNormalNegritaCaracter"/>
        </w:rPr>
        <w:t>§ 54.</w:t>
      </w:r>
      <w:r w:rsidRPr="00981775">
        <w:rPr>
          <w:rStyle w:val="TextoNormalCaracter"/>
        </w:rPr>
        <w:t>-</w:t>
      </w:r>
      <w:r>
        <w:t xml:space="preserve"> Sentencia </w:t>
      </w:r>
      <w:hyperlink w:anchor="SENTENCIA_2015_177" w:history="1">
        <w:r w:rsidRPr="00981775">
          <w:rPr>
            <w:rStyle w:val="TextoNormalCaracter"/>
          </w:rPr>
          <w:t>177/2015</w:t>
        </w:r>
      </w:hyperlink>
      <w:r>
        <w:t>, VP III.</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23 de septiembre de 1998 (Lehideux e Isorni c. Francia)</w:t>
      </w:r>
    </w:p>
    <w:p w:rsidR="00981775" w:rsidRDefault="00981775" w:rsidP="00981775">
      <w:pPr>
        <w:pStyle w:val="SangriaFrancesaArticulo"/>
      </w:pPr>
      <w:r w:rsidRPr="00981775">
        <w:rPr>
          <w:rStyle w:val="TextoNormalNegritaCaracter"/>
        </w:rPr>
        <w:t>§ 57.</w:t>
      </w:r>
      <w:r w:rsidRPr="00981775">
        <w:rPr>
          <w:rStyle w:val="TextoNormalCaracter"/>
        </w:rPr>
        <w:t>-</w:t>
      </w:r>
      <w:r>
        <w:t xml:space="preserve"> Sentencia </w:t>
      </w:r>
      <w:hyperlink w:anchor="SENTENCIA_2015_177" w:history="1">
        <w:r w:rsidRPr="00981775">
          <w:rPr>
            <w:rStyle w:val="TextoNormalCaracter"/>
          </w:rPr>
          <w:t>177/2015</w:t>
        </w:r>
      </w:hyperlink>
      <w:r>
        <w:t>, VP III.</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8 de julio de 1999 (Sürek c. Turquía)</w:t>
      </w:r>
    </w:p>
    <w:p w:rsidR="00981775" w:rsidRDefault="00981775" w:rsidP="00981775">
      <w:pPr>
        <w:pStyle w:val="SangriaFrancesaArticulo"/>
      </w:pPr>
      <w:r w:rsidRPr="00981775">
        <w:rPr>
          <w:rStyle w:val="TextoNormalNegritaCaracter"/>
        </w:rPr>
        <w:t>§ 62.</w:t>
      </w:r>
      <w:r w:rsidRPr="00981775">
        <w:rPr>
          <w:rStyle w:val="TextoNormalCaracter"/>
        </w:rPr>
        <w:t>-</w:t>
      </w:r>
      <w:r>
        <w:t xml:space="preserve"> Sentencia </w:t>
      </w:r>
      <w:hyperlink w:anchor="SENTENCIA_2015_177" w:history="1">
        <w:r w:rsidRPr="00981775">
          <w:rPr>
            <w:rStyle w:val="TextoNormalCaracter"/>
          </w:rPr>
          <w:t>177/2015</w:t>
        </w:r>
      </w:hyperlink>
      <w:r>
        <w:t>, f. 5.</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28 de septiembre de 1999 (Öztürk c. Turquía)</w:t>
      </w:r>
    </w:p>
    <w:p w:rsidR="00981775" w:rsidRDefault="00981775" w:rsidP="00981775">
      <w:pPr>
        <w:pStyle w:val="SangriaFrancesaArticulo"/>
      </w:pPr>
      <w:r w:rsidRPr="00981775">
        <w:rPr>
          <w:rStyle w:val="TextoNormalNegritaCaracter"/>
        </w:rPr>
        <w:t>§ 66.</w:t>
      </w:r>
      <w:r w:rsidRPr="00981775">
        <w:rPr>
          <w:rStyle w:val="TextoNormalCaracter"/>
        </w:rPr>
        <w:t>-</w:t>
      </w:r>
      <w:r>
        <w:t xml:space="preserve"> Sentencia </w:t>
      </w:r>
      <w:hyperlink w:anchor="SENTENCIA_2015_177" w:history="1">
        <w:r w:rsidRPr="00981775">
          <w:rPr>
            <w:rStyle w:val="TextoNormalCaracter"/>
          </w:rPr>
          <w:t>177/2015</w:t>
        </w:r>
      </w:hyperlink>
      <w:r>
        <w:t>, VP III.</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28 de octubre de 1999 (Zielinski y Pradal y González y otros c. Francia)</w:t>
      </w:r>
    </w:p>
    <w:p w:rsidR="00981775" w:rsidRDefault="00981775" w:rsidP="00981775">
      <w:pPr>
        <w:pStyle w:val="SangriaFrancesaArticulo"/>
      </w:pPr>
      <w:r w:rsidRPr="00981775">
        <w:rPr>
          <w:rStyle w:val="TextoNormalNegritaCaracter"/>
        </w:rPr>
        <w:t>§§ 58, 59.</w:t>
      </w:r>
      <w:r w:rsidRPr="00981775">
        <w:rPr>
          <w:rStyle w:val="TextoNormalCaracter"/>
        </w:rPr>
        <w:t>-</w:t>
      </w:r>
      <w:r>
        <w:t xml:space="preserve"> Sentencia </w:t>
      </w:r>
      <w:hyperlink w:anchor="SENTENCIA_2015_231" w:history="1">
        <w:r w:rsidRPr="00981775">
          <w:rPr>
            <w:rStyle w:val="TextoNormalCaracter"/>
          </w:rPr>
          <w:t>231/2015</w:t>
        </w:r>
      </w:hyperlink>
      <w:r>
        <w:t>, f. 8.</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28 de marzo de 2000 (Baranowski c. Polonia)</w:t>
      </w:r>
    </w:p>
    <w:p w:rsidR="00981775" w:rsidRDefault="00981775" w:rsidP="00981775">
      <w:pPr>
        <w:pStyle w:val="SangriaFrancesaArticulo"/>
      </w:pPr>
      <w:r w:rsidRPr="00981775">
        <w:rPr>
          <w:rStyle w:val="TextoNormalNegritaCaracter"/>
        </w:rPr>
        <w:t>Apartado 52.</w:t>
      </w:r>
      <w:r w:rsidRPr="00981775">
        <w:rPr>
          <w:rStyle w:val="TextoNormalCaracter"/>
        </w:rPr>
        <w:t>-</w:t>
      </w:r>
      <w:r>
        <w:t xml:space="preserve"> Sentencia </w:t>
      </w:r>
      <w:hyperlink w:anchor="SENTENCIA_2015_261" w:history="1">
        <w:r w:rsidRPr="00981775">
          <w:rPr>
            <w:rStyle w:val="TextoNormalCaracter"/>
          </w:rPr>
          <w:t>261/2015</w:t>
        </w:r>
      </w:hyperlink>
      <w:r>
        <w:t>, f. 5.</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25 de mayo de 2000 (Sociedad general de aguas de Barcelona c. España)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9" w:history="1">
        <w:r w:rsidRPr="00981775">
          <w:rPr>
            <w:rStyle w:val="TextoNormalCaracter"/>
          </w:rPr>
          <w:t>179/2015</w:t>
        </w:r>
      </w:hyperlink>
      <w:r>
        <w:t>, f. 2.</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10 de mayo de 2001 (T.P. y K.M. c. Reino Unido)</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79" w:history="1">
        <w:r w:rsidRPr="00981775">
          <w:rPr>
            <w:rStyle w:val="TextoNormalCaracter"/>
          </w:rPr>
          <w:t>179/2015</w:t>
        </w:r>
      </w:hyperlink>
      <w:r>
        <w:t>, f. 4.</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12 de julio de 2001 (K. y T. c. Finlandia)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79" w:history="1">
        <w:r w:rsidRPr="00981775">
          <w:rPr>
            <w:rStyle w:val="TextoNormalCaracter"/>
          </w:rPr>
          <w:t>179/2015</w:t>
        </w:r>
      </w:hyperlink>
      <w:r>
        <w:t>, f. 4.</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14 de marzo de 2002 (Nafría c. España)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03" w:history="1">
        <w:r w:rsidRPr="00981775">
          <w:rPr>
            <w:rStyle w:val="TextoNormalCaracter"/>
          </w:rPr>
          <w:t>203/2015</w:t>
        </w:r>
      </w:hyperlink>
      <w:r>
        <w:t>, f. 6.</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25 de junio de 2002 (Colombani c. Francia)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7" w:history="1">
        <w:r w:rsidRPr="00981775">
          <w:rPr>
            <w:rStyle w:val="TextoNormalCaracter"/>
          </w:rPr>
          <w:t>177/2015</w:t>
        </w:r>
      </w:hyperlink>
      <w:r>
        <w:t>, VP III.</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14 de enero de 2003 (K.A. c. Finlandia)</w:t>
      </w:r>
    </w:p>
    <w:p w:rsidR="00981775" w:rsidRDefault="00981775" w:rsidP="00981775">
      <w:pPr>
        <w:pStyle w:val="SangriaFrancesaArticulo"/>
      </w:pPr>
      <w:r w:rsidRPr="00981775">
        <w:rPr>
          <w:rStyle w:val="TextoNormalNegritaCaracter"/>
        </w:rPr>
        <w:t>§ 139.</w:t>
      </w:r>
      <w:r w:rsidRPr="00981775">
        <w:rPr>
          <w:rStyle w:val="TextoNormalCaracter"/>
        </w:rPr>
        <w:t>-</w:t>
      </w:r>
      <w:r>
        <w:t xml:space="preserve"> Auto </w:t>
      </w:r>
      <w:hyperlink w:anchor="AUTO_2015_179" w:history="1">
        <w:r w:rsidRPr="00981775">
          <w:rPr>
            <w:rStyle w:val="TextoNormalCaracter"/>
          </w:rPr>
          <w:t>179/2015</w:t>
        </w:r>
      </w:hyperlink>
      <w:r>
        <w:t>, f. 4.</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9 de octubre de 2003 (Federici c. Italia)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18" w:history="1">
        <w:r w:rsidRPr="00981775">
          <w:rPr>
            <w:rStyle w:val="TextoNormalCaracter"/>
          </w:rPr>
          <w:t>218/2015</w:t>
        </w:r>
      </w:hyperlink>
      <w:r>
        <w:t>, VP II.</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7 de noviembre de 2003 (Llopis Ruiz c. España)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9" w:history="1">
        <w:r w:rsidRPr="00981775">
          <w:rPr>
            <w:rStyle w:val="TextoNormalCaracter"/>
          </w:rPr>
          <w:t>179/2015</w:t>
        </w:r>
      </w:hyperlink>
      <w:r>
        <w:t>, f. 2.</w:t>
      </w:r>
    </w:p>
    <w:p w:rsidR="00981775" w:rsidRDefault="00981775" w:rsidP="00981775">
      <w:pPr>
        <w:pStyle w:val="SangriaFrancesaArticulo"/>
      </w:pPr>
    </w:p>
    <w:p w:rsidR="00981775" w:rsidRDefault="00981775" w:rsidP="00981775">
      <w:pPr>
        <w:pStyle w:val="TextoNormalNegritaCursivandice"/>
      </w:pPr>
      <w:r>
        <w:t>Decisión del Tribunal Europeo de Derechos Humanos de 13 de noviembre de 2003 (Gündüz c. Turquía)</w:t>
      </w:r>
    </w:p>
    <w:p w:rsidR="00981775" w:rsidRDefault="00981775" w:rsidP="00981775">
      <w:pPr>
        <w:pStyle w:val="SangriaFrancesaArticulo"/>
      </w:pPr>
      <w:r w:rsidRPr="00981775">
        <w:rPr>
          <w:rStyle w:val="TextoNormalNegritaCaracter"/>
        </w:rPr>
        <w:t>§ 41.</w:t>
      </w:r>
      <w:r w:rsidRPr="00981775">
        <w:rPr>
          <w:rStyle w:val="TextoNormalCaracter"/>
        </w:rPr>
        <w:t>-</w:t>
      </w:r>
      <w:r>
        <w:t xml:space="preserve"> Sentencia </w:t>
      </w:r>
      <w:hyperlink w:anchor="SENTENCIA_2015_177" w:history="1">
        <w:r w:rsidRPr="00981775">
          <w:rPr>
            <w:rStyle w:val="TextoNormalCaracter"/>
          </w:rPr>
          <w:t>177/2015</w:t>
        </w:r>
      </w:hyperlink>
      <w:r>
        <w:t>, VP III.</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17 de febrero de 2004 (Ipamark c. España)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9" w:history="1">
        <w:r w:rsidRPr="00981775">
          <w:rPr>
            <w:rStyle w:val="TextoNormalCaracter"/>
          </w:rPr>
          <w:t>179/2015</w:t>
        </w:r>
      </w:hyperlink>
      <w:r>
        <w:t>, f. 2.</w:t>
      </w:r>
    </w:p>
    <w:p w:rsidR="00981775" w:rsidRDefault="00981775" w:rsidP="00981775">
      <w:pPr>
        <w:pStyle w:val="SangriaFrancesaArticulo"/>
      </w:pPr>
    </w:p>
    <w:p w:rsidR="00981775" w:rsidRDefault="00981775" w:rsidP="00981775">
      <w:pPr>
        <w:pStyle w:val="TextoNormalNegritaCursivandice"/>
      </w:pPr>
      <w:r>
        <w:t>Auto del Tribunal Europeo de Derechos Humanos de 25 de marzo de 2004 (Vikulov c. Letonia)</w:t>
      </w:r>
    </w:p>
    <w:p w:rsidR="00981775" w:rsidRDefault="00981775" w:rsidP="00981775">
      <w:pPr>
        <w:pStyle w:val="SangriaFrancesaArticulo"/>
      </w:pPr>
      <w:r w:rsidRPr="00981775">
        <w:rPr>
          <w:rStyle w:val="TextoNormalNegritaCaracter"/>
        </w:rPr>
        <w:t>§ 11.</w:t>
      </w:r>
      <w:r w:rsidRPr="00981775">
        <w:rPr>
          <w:rStyle w:val="TextoNormalCaracter"/>
        </w:rPr>
        <w:t>-</w:t>
      </w:r>
      <w:r>
        <w:t xml:space="preserve"> Sentencia </w:t>
      </w:r>
      <w:hyperlink w:anchor="SENTENCIA_2015_155" w:history="1">
        <w:r w:rsidRPr="00981775">
          <w:rPr>
            <w:rStyle w:val="TextoNormalCaracter"/>
          </w:rPr>
          <w:t>155/2015</w:t>
        </w:r>
      </w:hyperlink>
      <w:r>
        <w:t>, f. 2.</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27 de abril de 2004 (Gorraiz Lizárraga c. España)</w:t>
      </w:r>
    </w:p>
    <w:p w:rsidR="00981775" w:rsidRDefault="00981775" w:rsidP="00981775">
      <w:pPr>
        <w:pStyle w:val="SangriaFrancesaArticulo"/>
      </w:pPr>
      <w:r w:rsidRPr="00981775">
        <w:rPr>
          <w:rStyle w:val="TextoNormalNegritaCaracter"/>
        </w:rPr>
        <w:t>§ 70.</w:t>
      </w:r>
      <w:r w:rsidRPr="00981775">
        <w:rPr>
          <w:rStyle w:val="TextoNormalCaracter"/>
        </w:rPr>
        <w:t>-</w:t>
      </w:r>
      <w:r>
        <w:t xml:space="preserve"> Sentencia </w:t>
      </w:r>
      <w:hyperlink w:anchor="SENTENCIA_2015_231" w:history="1">
        <w:r w:rsidRPr="00981775">
          <w:rPr>
            <w:rStyle w:val="TextoNormalCaracter"/>
          </w:rPr>
          <w:t>231/2015</w:t>
        </w:r>
      </w:hyperlink>
      <w:r>
        <w:t>, f. 10.</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17 de diciembre de 2004 (Cumpana y Mazare c. Rumanía)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7" w:history="1">
        <w:r w:rsidRPr="00981775">
          <w:rPr>
            <w:rStyle w:val="TextoNormalCaracter"/>
          </w:rPr>
          <w:t>177/2015</w:t>
        </w:r>
      </w:hyperlink>
      <w:r>
        <w:t>, f. 5.</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25 de enero de 2005 (Puchol Oliver c. España)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9" w:history="1">
        <w:r w:rsidRPr="00981775">
          <w:rPr>
            <w:rStyle w:val="TextoNormalCaracter"/>
          </w:rPr>
          <w:t>179/2015</w:t>
        </w:r>
      </w:hyperlink>
      <w:r>
        <w:t>, f. 2.</w:t>
      </w:r>
    </w:p>
    <w:p w:rsidR="00981775" w:rsidRDefault="00981775" w:rsidP="00981775">
      <w:pPr>
        <w:pStyle w:val="SangriaFrancesaArticulo"/>
      </w:pPr>
    </w:p>
    <w:p w:rsidR="00981775" w:rsidRDefault="00981775" w:rsidP="00981775">
      <w:pPr>
        <w:pStyle w:val="TextoNormalNegritaCursivandice"/>
      </w:pPr>
      <w:r>
        <w:t>Sentencia del Tribunal Europeo de los Derechos Humanos de 22 de febrero de 2005 (Pakdemirli c. Turquía)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7" w:history="1">
        <w:r w:rsidRPr="00981775">
          <w:rPr>
            <w:rStyle w:val="TextoNormalCaracter"/>
          </w:rPr>
          <w:t>177/2015</w:t>
        </w:r>
      </w:hyperlink>
      <w:r>
        <w:t>, VP III.</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6 de julio de 2006 (Erbakan c. Turquía)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7" w:history="1">
        <w:r w:rsidRPr="00981775">
          <w:rPr>
            <w:rStyle w:val="TextoNormalCaracter"/>
          </w:rPr>
          <w:t>177/2015</w:t>
        </w:r>
      </w:hyperlink>
      <w:r>
        <w:t>, VP III.</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26 de junio de 2007 (Artun y Güvener c. Turquía)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7" w:history="1">
        <w:r w:rsidRPr="00981775">
          <w:rPr>
            <w:rStyle w:val="TextoNormalCaracter"/>
          </w:rPr>
          <w:t>177/2015</w:t>
        </w:r>
      </w:hyperlink>
      <w:r>
        <w:t>, VP III.</w:t>
      </w:r>
    </w:p>
    <w:p w:rsidR="00981775" w:rsidRDefault="00981775" w:rsidP="00981775">
      <w:pPr>
        <w:pStyle w:val="SangriaFrancesaArticulo"/>
      </w:pPr>
      <w:r w:rsidRPr="00981775">
        <w:rPr>
          <w:rStyle w:val="TextoNormalNegritaCaracter"/>
        </w:rPr>
        <w:t>§ 33.</w:t>
      </w:r>
      <w:r w:rsidRPr="00981775">
        <w:rPr>
          <w:rStyle w:val="TextoNormalCaracter"/>
        </w:rPr>
        <w:t>-</w:t>
      </w:r>
      <w:r>
        <w:t xml:space="preserve"> Sentencia </w:t>
      </w:r>
      <w:hyperlink w:anchor="SENTENCIA_2015_177" w:history="1">
        <w:r w:rsidRPr="00981775">
          <w:rPr>
            <w:rStyle w:val="TextoNormalCaracter"/>
          </w:rPr>
          <w:t>177/2015</w:t>
        </w:r>
      </w:hyperlink>
      <w:r>
        <w:t>, f. 5.</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18 de diciembre de 2008 (Unédic c. Francia)</w:t>
      </w:r>
    </w:p>
    <w:p w:rsidR="00981775" w:rsidRDefault="00981775" w:rsidP="00981775">
      <w:pPr>
        <w:pStyle w:val="SangriaFrancesaArticulo"/>
      </w:pPr>
      <w:r w:rsidRPr="00981775">
        <w:rPr>
          <w:rStyle w:val="TextoNormalNegritaCaracter"/>
        </w:rPr>
        <w:t>§ 74.</w:t>
      </w:r>
      <w:r w:rsidRPr="00981775">
        <w:rPr>
          <w:rStyle w:val="TextoNormalCaracter"/>
        </w:rPr>
        <w:t>-</w:t>
      </w:r>
      <w:r>
        <w:t xml:space="preserve"> Sentencia </w:t>
      </w:r>
      <w:hyperlink w:anchor="SENTENCIA_2015_179" w:history="1">
        <w:r w:rsidRPr="00981775">
          <w:rPr>
            <w:rStyle w:val="TextoNormalCaracter"/>
          </w:rPr>
          <w:t>179/2015</w:t>
        </w:r>
      </w:hyperlink>
      <w:r>
        <w:t>, f. 2.</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19 de febrero de 2009 (Martchenko c. Ucrania)</w:t>
      </w:r>
    </w:p>
    <w:p w:rsidR="00981775" w:rsidRDefault="00981775" w:rsidP="00981775">
      <w:pPr>
        <w:pStyle w:val="SangriaFrancesaArticulo"/>
      </w:pPr>
      <w:r w:rsidRPr="00981775">
        <w:rPr>
          <w:rStyle w:val="TextoNormalNegritaCaracter"/>
        </w:rPr>
        <w:t>§ 52.</w:t>
      </w:r>
      <w:r w:rsidRPr="00981775">
        <w:rPr>
          <w:rStyle w:val="TextoNormalCaracter"/>
        </w:rPr>
        <w:t>-</w:t>
      </w:r>
      <w:r>
        <w:t xml:space="preserve"> Sentencia </w:t>
      </w:r>
      <w:hyperlink w:anchor="SENTENCIA_2015_177" w:history="1">
        <w:r w:rsidRPr="00981775">
          <w:rPr>
            <w:rStyle w:val="TextoNormalCaracter"/>
          </w:rPr>
          <w:t>177/2015</w:t>
        </w:r>
      </w:hyperlink>
      <w:r>
        <w:t>, f. 5.</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16 de julio de 2009 (Féret c. Bélgica)</w:t>
      </w:r>
    </w:p>
    <w:p w:rsidR="00981775" w:rsidRDefault="00981775" w:rsidP="00981775">
      <w:pPr>
        <w:pStyle w:val="SangriaFrancesaArticulo"/>
      </w:pPr>
      <w:r w:rsidRPr="00981775">
        <w:rPr>
          <w:rStyle w:val="TextoNormalNegritaCaracter"/>
        </w:rPr>
        <w:t>§ 44.</w:t>
      </w:r>
      <w:r w:rsidRPr="00981775">
        <w:rPr>
          <w:rStyle w:val="TextoNormalCaracter"/>
        </w:rPr>
        <w:t>-</w:t>
      </w:r>
      <w:r>
        <w:t xml:space="preserve"> Sentencia </w:t>
      </w:r>
      <w:hyperlink w:anchor="SENTENCIA_2015_177" w:history="1">
        <w:r w:rsidRPr="00981775">
          <w:rPr>
            <w:rStyle w:val="TextoNormalCaracter"/>
          </w:rPr>
          <w:t>177/2015</w:t>
        </w:r>
      </w:hyperlink>
      <w:r>
        <w:t>, VP I.</w:t>
      </w:r>
    </w:p>
    <w:p w:rsidR="00981775" w:rsidRDefault="00981775" w:rsidP="00981775">
      <w:pPr>
        <w:pStyle w:val="SangriaFrancesaArticulo"/>
      </w:pPr>
      <w:r w:rsidRPr="00981775">
        <w:rPr>
          <w:rStyle w:val="TextoNormalNegritaCaracter"/>
        </w:rPr>
        <w:t>§ 64.</w:t>
      </w:r>
      <w:r w:rsidRPr="00981775">
        <w:rPr>
          <w:rStyle w:val="TextoNormalCaracter"/>
        </w:rPr>
        <w:t>-</w:t>
      </w:r>
      <w:r>
        <w:t xml:space="preserve"> Sentencia </w:t>
      </w:r>
      <w:hyperlink w:anchor="SENTENCIA_2015_177" w:history="1">
        <w:r w:rsidRPr="00981775">
          <w:rPr>
            <w:rStyle w:val="TextoNormalCaracter"/>
          </w:rPr>
          <w:t>177/2015</w:t>
        </w:r>
      </w:hyperlink>
      <w:r>
        <w:t>, f. 2.</w:t>
      </w:r>
    </w:p>
    <w:p w:rsidR="00981775" w:rsidRDefault="00981775" w:rsidP="00981775">
      <w:pPr>
        <w:pStyle w:val="SangriaFrancesaArticulo"/>
      </w:pPr>
      <w:r w:rsidRPr="00981775">
        <w:rPr>
          <w:rStyle w:val="TextoNormalNegritaCaracter"/>
        </w:rPr>
        <w:t>§ 73.</w:t>
      </w:r>
      <w:r w:rsidRPr="00981775">
        <w:rPr>
          <w:rStyle w:val="TextoNormalCaracter"/>
        </w:rPr>
        <w:t>-</w:t>
      </w:r>
      <w:r>
        <w:t xml:space="preserve"> Sentencia </w:t>
      </w:r>
      <w:hyperlink w:anchor="SENTENCIA_2015_177" w:history="1">
        <w:r w:rsidRPr="00981775">
          <w:rPr>
            <w:rStyle w:val="TextoNormalCaracter"/>
          </w:rPr>
          <w:t>177/2015</w:t>
        </w:r>
      </w:hyperlink>
      <w:r>
        <w:t>, f. 5.</w:t>
      </w:r>
    </w:p>
    <w:p w:rsidR="00981775" w:rsidRDefault="00981775" w:rsidP="00981775">
      <w:pPr>
        <w:pStyle w:val="SangriaFrancesaArticulo"/>
      </w:pPr>
      <w:r w:rsidRPr="00981775">
        <w:rPr>
          <w:rStyle w:val="TextoNormalNegritaCaracter"/>
        </w:rPr>
        <w:t>§ 77.</w:t>
      </w:r>
      <w:r w:rsidRPr="00981775">
        <w:rPr>
          <w:rStyle w:val="TextoNormalCaracter"/>
        </w:rPr>
        <w:t>-</w:t>
      </w:r>
      <w:r>
        <w:t xml:space="preserve"> Sentencia </w:t>
      </w:r>
      <w:hyperlink w:anchor="SENTENCIA_2015_177" w:history="1">
        <w:r w:rsidRPr="00981775">
          <w:rPr>
            <w:rStyle w:val="TextoNormalCaracter"/>
          </w:rPr>
          <w:t>177/2015</w:t>
        </w:r>
      </w:hyperlink>
      <w:r>
        <w:t>, f. 5.</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14 de enero de 2010 (Atanasovski c. ex República Yugoslava de Macedonia)</w:t>
      </w:r>
    </w:p>
    <w:p w:rsidR="00981775" w:rsidRDefault="00981775" w:rsidP="00981775">
      <w:pPr>
        <w:pStyle w:val="SangriaFrancesaArticulo"/>
      </w:pPr>
      <w:r w:rsidRPr="00981775">
        <w:rPr>
          <w:rStyle w:val="TextoNormalNegritaCaracter"/>
        </w:rPr>
        <w:t>§ 38.</w:t>
      </w:r>
      <w:r w:rsidRPr="00981775">
        <w:rPr>
          <w:rStyle w:val="TextoNormalCaracter"/>
        </w:rPr>
        <w:t>-</w:t>
      </w:r>
      <w:r>
        <w:t xml:space="preserve"> Sentencia </w:t>
      </w:r>
      <w:hyperlink w:anchor="SENTENCIA_2015_179" w:history="1">
        <w:r w:rsidRPr="00981775">
          <w:rPr>
            <w:rStyle w:val="TextoNormalCaracter"/>
          </w:rPr>
          <w:t>179/2015</w:t>
        </w:r>
      </w:hyperlink>
      <w:r>
        <w:t>, f. 2.</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2 de febrero de 2010 (Chistian Democratic People's Party c. Moldavia -núm. 2-)</w:t>
      </w:r>
    </w:p>
    <w:p w:rsidR="00981775" w:rsidRDefault="00981775" w:rsidP="00981775">
      <w:pPr>
        <w:pStyle w:val="SangriaFrancesaArticulo"/>
      </w:pPr>
      <w:r w:rsidRPr="00981775">
        <w:rPr>
          <w:rStyle w:val="TextoNormalNegritaCaracter"/>
        </w:rPr>
        <w:t>§ 27.</w:t>
      </w:r>
      <w:r w:rsidRPr="00981775">
        <w:rPr>
          <w:rStyle w:val="TextoNormalCaracter"/>
        </w:rPr>
        <w:t>-</w:t>
      </w:r>
      <w:r>
        <w:t xml:space="preserve"> Sentencia </w:t>
      </w:r>
      <w:hyperlink w:anchor="SENTENCIA_2015_177" w:history="1">
        <w:r w:rsidRPr="00981775">
          <w:rPr>
            <w:rStyle w:val="TextoNormalCaracter"/>
          </w:rPr>
          <w:t>177/2015</w:t>
        </w:r>
      </w:hyperlink>
      <w:r>
        <w:t>, VP III.</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1 de junio de 2010 (Gutiérrez Suárez c. España)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7" w:history="1">
        <w:r w:rsidRPr="00981775">
          <w:rPr>
            <w:rStyle w:val="TextoNormalCaracter"/>
          </w:rPr>
          <w:t>177/2015</w:t>
        </w:r>
      </w:hyperlink>
      <w:r>
        <w:t>, VP III.</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22 de junio de 2010 (Bingöl c. Turquía)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7" w:history="1">
        <w:r w:rsidRPr="00981775">
          <w:rPr>
            <w:rStyle w:val="TextoNormalCaracter"/>
          </w:rPr>
          <w:t>177/2015</w:t>
        </w:r>
      </w:hyperlink>
      <w:r>
        <w:t>, f. 5.</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25 de noviembre de 2010 (Lilly France c. Francia)</w:t>
      </w:r>
    </w:p>
    <w:p w:rsidR="00981775" w:rsidRDefault="00981775" w:rsidP="00981775">
      <w:pPr>
        <w:pStyle w:val="SangriaFrancesaArticulo"/>
      </w:pPr>
      <w:r w:rsidRPr="00981775">
        <w:rPr>
          <w:rStyle w:val="TextoNormalNegritaCaracter"/>
        </w:rPr>
        <w:t>§ 51.</w:t>
      </w:r>
      <w:r w:rsidRPr="00981775">
        <w:rPr>
          <w:rStyle w:val="TextoNormalCaracter"/>
        </w:rPr>
        <w:t>-</w:t>
      </w:r>
      <w:r>
        <w:t xml:space="preserve"> Sentencia </w:t>
      </w:r>
      <w:hyperlink w:anchor="SENTENCIA_2015_231" w:history="1">
        <w:r w:rsidRPr="00981775">
          <w:rPr>
            <w:rStyle w:val="TextoNormalCaracter"/>
          </w:rPr>
          <w:t>231/2015</w:t>
        </w:r>
      </w:hyperlink>
      <w:r>
        <w:t>, f. 10.</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15 de marzo de 2011 (Otegi Mondragón c. España)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7" w:history="1">
        <w:r w:rsidRPr="00981775">
          <w:rPr>
            <w:rStyle w:val="TextoNormalCaracter"/>
          </w:rPr>
          <w:t>177/2015</w:t>
        </w:r>
      </w:hyperlink>
      <w:r>
        <w:t>, f. 4, VP I, VP III.</w:t>
      </w:r>
    </w:p>
    <w:p w:rsidR="00981775" w:rsidRDefault="00981775" w:rsidP="00981775">
      <w:pPr>
        <w:pStyle w:val="SangriaFrancesaArticulo"/>
      </w:pPr>
      <w:r w:rsidRPr="00981775">
        <w:rPr>
          <w:rStyle w:val="TextoNormalNegritaCaracter"/>
        </w:rPr>
        <w:t>§ 50.</w:t>
      </w:r>
      <w:r w:rsidRPr="00981775">
        <w:rPr>
          <w:rStyle w:val="TextoNormalCaracter"/>
        </w:rPr>
        <w:t>-</w:t>
      </w:r>
      <w:r>
        <w:t xml:space="preserve"> Sentencia </w:t>
      </w:r>
      <w:hyperlink w:anchor="SENTENCIA_2015_177" w:history="1">
        <w:r w:rsidRPr="00981775">
          <w:rPr>
            <w:rStyle w:val="TextoNormalCaracter"/>
          </w:rPr>
          <w:t>177/2015</w:t>
        </w:r>
      </w:hyperlink>
      <w:r>
        <w:t>, f. 2.</w:t>
      </w:r>
    </w:p>
    <w:p w:rsidR="00981775" w:rsidRDefault="00981775" w:rsidP="00981775">
      <w:pPr>
        <w:pStyle w:val="SangriaFrancesaArticulo"/>
      </w:pPr>
      <w:r w:rsidRPr="00981775">
        <w:rPr>
          <w:rStyle w:val="TextoNormalNegritaCaracter"/>
        </w:rPr>
        <w:t>§ 54.</w:t>
      </w:r>
      <w:r w:rsidRPr="00981775">
        <w:rPr>
          <w:rStyle w:val="TextoNormalCaracter"/>
        </w:rPr>
        <w:t>-</w:t>
      </w:r>
      <w:r>
        <w:t xml:space="preserve"> Sentencia </w:t>
      </w:r>
      <w:hyperlink w:anchor="SENTENCIA_2015_177" w:history="1">
        <w:r w:rsidRPr="00981775">
          <w:rPr>
            <w:rStyle w:val="TextoNormalCaracter"/>
          </w:rPr>
          <w:t>177/2015</w:t>
        </w:r>
      </w:hyperlink>
      <w:r>
        <w:t>, f. 2, VP III.</w:t>
      </w:r>
    </w:p>
    <w:p w:rsidR="00981775" w:rsidRDefault="00981775" w:rsidP="00981775">
      <w:pPr>
        <w:pStyle w:val="SangriaFrancesaArticulo"/>
      </w:pPr>
      <w:r w:rsidRPr="00981775">
        <w:rPr>
          <w:rStyle w:val="TextoNormalNegritaCaracter"/>
        </w:rPr>
        <w:t>§ 56.</w:t>
      </w:r>
      <w:r w:rsidRPr="00981775">
        <w:rPr>
          <w:rStyle w:val="TextoNormalCaracter"/>
        </w:rPr>
        <w:t>-</w:t>
      </w:r>
      <w:r>
        <w:t xml:space="preserve"> Sentencia </w:t>
      </w:r>
      <w:hyperlink w:anchor="SENTENCIA_2015_177" w:history="1">
        <w:r w:rsidRPr="00981775">
          <w:rPr>
            <w:rStyle w:val="TextoNormalCaracter"/>
          </w:rPr>
          <w:t>177/2015</w:t>
        </w:r>
      </w:hyperlink>
      <w:r>
        <w:t>, f. 3, VP III.</w:t>
      </w:r>
    </w:p>
    <w:p w:rsidR="00981775" w:rsidRDefault="00981775" w:rsidP="00981775">
      <w:pPr>
        <w:pStyle w:val="SangriaFrancesaArticulo"/>
      </w:pPr>
      <w:r w:rsidRPr="00981775">
        <w:rPr>
          <w:rStyle w:val="TextoNormalNegritaCaracter"/>
        </w:rPr>
        <w:t>§ 58.</w:t>
      </w:r>
      <w:r w:rsidRPr="00981775">
        <w:rPr>
          <w:rStyle w:val="TextoNormalCaracter"/>
        </w:rPr>
        <w:t>-</w:t>
      </w:r>
      <w:r>
        <w:t xml:space="preserve"> Sentencia </w:t>
      </w:r>
      <w:hyperlink w:anchor="SENTENCIA_2015_177" w:history="1">
        <w:r w:rsidRPr="00981775">
          <w:rPr>
            <w:rStyle w:val="TextoNormalCaracter"/>
          </w:rPr>
          <w:t>177/2015</w:t>
        </w:r>
      </w:hyperlink>
      <w:r>
        <w:t>, VP III.</w:t>
      </w:r>
    </w:p>
    <w:p w:rsidR="00981775" w:rsidRDefault="00981775" w:rsidP="00981775">
      <w:pPr>
        <w:pStyle w:val="SangriaFrancesaArticulo"/>
      </w:pPr>
      <w:r w:rsidRPr="00981775">
        <w:rPr>
          <w:rStyle w:val="TextoNormalNegritaCaracter"/>
        </w:rPr>
        <w:t>§§ 58 a 60.</w:t>
      </w:r>
      <w:r w:rsidRPr="00981775">
        <w:rPr>
          <w:rStyle w:val="TextoNormalCaracter"/>
        </w:rPr>
        <w:t>-</w:t>
      </w:r>
      <w:r>
        <w:t xml:space="preserve"> Sentencia </w:t>
      </w:r>
      <w:hyperlink w:anchor="SENTENCIA_2015_177" w:history="1">
        <w:r w:rsidRPr="00981775">
          <w:rPr>
            <w:rStyle w:val="TextoNormalCaracter"/>
          </w:rPr>
          <w:t>177/2015</w:t>
        </w:r>
      </w:hyperlink>
      <w:r>
        <w:t>, f. 5.</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21 de junio de 2011 (Ponomaryovi c. Bulgaria)</w:t>
      </w:r>
    </w:p>
    <w:p w:rsidR="00981775" w:rsidRDefault="00981775" w:rsidP="00981775">
      <w:pPr>
        <w:pStyle w:val="SangriaFrancesaArticulo"/>
      </w:pPr>
      <w:r w:rsidRPr="00981775">
        <w:rPr>
          <w:rStyle w:val="TextoNormalNegritaCaracter"/>
        </w:rPr>
        <w:t>§ 55.</w:t>
      </w:r>
      <w:r w:rsidRPr="00981775">
        <w:rPr>
          <w:rStyle w:val="TextoNormalCaracter"/>
        </w:rPr>
        <w:t>-</w:t>
      </w:r>
      <w:r>
        <w:t xml:space="preserve"> Sentencia </w:t>
      </w:r>
      <w:hyperlink w:anchor="SENTENCIA_2015_155" w:history="1">
        <w:r w:rsidRPr="00981775">
          <w:rPr>
            <w:rStyle w:val="TextoNormalCaracter"/>
          </w:rPr>
          <w:t>155/2015</w:t>
        </w:r>
      </w:hyperlink>
      <w:r>
        <w:t>, f. 5.</w:t>
      </w:r>
    </w:p>
    <w:p w:rsidR="00981775" w:rsidRDefault="00981775" w:rsidP="00981775">
      <w:pPr>
        <w:pStyle w:val="SangriaFrancesaArticulo"/>
      </w:pPr>
      <w:r w:rsidRPr="00981775">
        <w:rPr>
          <w:rStyle w:val="TextoNormalNegritaCaracter"/>
        </w:rPr>
        <w:t>§ 56.</w:t>
      </w:r>
      <w:r w:rsidRPr="00981775">
        <w:rPr>
          <w:rStyle w:val="TextoNormalCaracter"/>
        </w:rPr>
        <w:t>-</w:t>
      </w:r>
      <w:r>
        <w:t xml:space="preserve"> Sentencia </w:t>
      </w:r>
      <w:hyperlink w:anchor="SENTENCIA_2015_155" w:history="1">
        <w:r w:rsidRPr="00981775">
          <w:rPr>
            <w:rStyle w:val="TextoNormalCaracter"/>
          </w:rPr>
          <w:t>155/2015</w:t>
        </w:r>
      </w:hyperlink>
      <w:r>
        <w:t>, f. 5.</w:t>
      </w:r>
    </w:p>
    <w:p w:rsidR="00981775" w:rsidRDefault="00981775" w:rsidP="00981775">
      <w:pPr>
        <w:pStyle w:val="SangriaFrancesaArticulo"/>
      </w:pPr>
      <w:r w:rsidRPr="00981775">
        <w:rPr>
          <w:rStyle w:val="TextoNormalNegritaCaracter"/>
        </w:rPr>
        <w:t>§ 60.</w:t>
      </w:r>
      <w:r w:rsidRPr="00981775">
        <w:rPr>
          <w:rStyle w:val="TextoNormalCaracter"/>
        </w:rPr>
        <w:t>-</w:t>
      </w:r>
      <w:r>
        <w:t xml:space="preserve"> Sentencia </w:t>
      </w:r>
      <w:hyperlink w:anchor="SENTENCIA_2015_155" w:history="1">
        <w:r w:rsidRPr="00981775">
          <w:rPr>
            <w:rStyle w:val="TextoNormalCaracter"/>
          </w:rPr>
          <w:t>155/2015</w:t>
        </w:r>
      </w:hyperlink>
      <w:r>
        <w:t>, f. 5.</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8 de septiembre de 2011 (Oshurko c. Ucrania)</w:t>
      </w:r>
    </w:p>
    <w:p w:rsidR="00981775" w:rsidRDefault="00981775" w:rsidP="00981775">
      <w:pPr>
        <w:pStyle w:val="SangriaFrancesaArticulo"/>
      </w:pPr>
      <w:r w:rsidRPr="00981775">
        <w:rPr>
          <w:rStyle w:val="TextoNormalNegritaCaracter"/>
        </w:rPr>
        <w:t>Apartado 98.</w:t>
      </w:r>
      <w:r w:rsidRPr="00981775">
        <w:rPr>
          <w:rStyle w:val="TextoNormalCaracter"/>
        </w:rPr>
        <w:t>-</w:t>
      </w:r>
      <w:r>
        <w:t xml:space="preserve"> Sentencia </w:t>
      </w:r>
      <w:hyperlink w:anchor="SENTENCIA_2015_261" w:history="1">
        <w:r w:rsidRPr="00981775">
          <w:rPr>
            <w:rStyle w:val="TextoNormalCaracter"/>
          </w:rPr>
          <w:t>261/2015</w:t>
        </w:r>
      </w:hyperlink>
      <w:r>
        <w:t>, f. 5.</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14 de febrero de 2012 (Arras y otros c. Italia)</w:t>
      </w:r>
    </w:p>
    <w:p w:rsidR="00981775" w:rsidRDefault="00981775" w:rsidP="00981775">
      <w:pPr>
        <w:pStyle w:val="SangriaFrancesaArticulo"/>
      </w:pPr>
      <w:r w:rsidRPr="00981775">
        <w:rPr>
          <w:rStyle w:val="TextoNormalNegritaCaracter"/>
        </w:rPr>
        <w:t>§ 42.</w:t>
      </w:r>
      <w:r w:rsidRPr="00981775">
        <w:rPr>
          <w:rStyle w:val="TextoNormalCaracter"/>
        </w:rPr>
        <w:t>-</w:t>
      </w:r>
      <w:r>
        <w:t xml:space="preserve"> Sentencia </w:t>
      </w:r>
      <w:hyperlink w:anchor="SENTENCIA_2015_231" w:history="1">
        <w:r w:rsidRPr="00981775">
          <w:rPr>
            <w:rStyle w:val="TextoNormalCaracter"/>
          </w:rPr>
          <w:t>231/2015</w:t>
        </w:r>
      </w:hyperlink>
      <w:r>
        <w:t>, f. 10.</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23 de febrero de 2012 (Creanga v. Rumanía)</w:t>
      </w:r>
    </w:p>
    <w:p w:rsidR="00981775" w:rsidRDefault="00981775" w:rsidP="00981775">
      <w:pPr>
        <w:pStyle w:val="SangriaFrancesaArticulo"/>
      </w:pPr>
      <w:r w:rsidRPr="00981775">
        <w:rPr>
          <w:rStyle w:val="TextoNormalNegritaCaracter"/>
        </w:rPr>
        <w:t>Apartado 120.</w:t>
      </w:r>
      <w:r w:rsidRPr="00981775">
        <w:rPr>
          <w:rStyle w:val="TextoNormalCaracter"/>
        </w:rPr>
        <w:t>-</w:t>
      </w:r>
      <w:r>
        <w:t xml:space="preserve"> Sentencia </w:t>
      </w:r>
      <w:hyperlink w:anchor="SENTENCIA_2015_261" w:history="1">
        <w:r w:rsidRPr="00981775">
          <w:rPr>
            <w:rStyle w:val="TextoNormalCaracter"/>
          </w:rPr>
          <w:t>261/2015</w:t>
        </w:r>
      </w:hyperlink>
      <w:r>
        <w:t>, f. 5.</w:t>
      </w:r>
    </w:p>
    <w:p w:rsidR="00981775" w:rsidRDefault="00981775" w:rsidP="00981775">
      <w:pPr>
        <w:pStyle w:val="SangriaFrancesaArticulo"/>
      </w:pPr>
      <w:r w:rsidRPr="00981775">
        <w:rPr>
          <w:rStyle w:val="TextoNormalNegritaCaracter"/>
        </w:rPr>
        <w:t>Apartado 125.</w:t>
      </w:r>
      <w:r w:rsidRPr="00981775">
        <w:rPr>
          <w:rStyle w:val="TextoNormalCaracter"/>
        </w:rPr>
        <w:t>-</w:t>
      </w:r>
      <w:r>
        <w:t xml:space="preserve"> Sentencia </w:t>
      </w:r>
      <w:hyperlink w:anchor="SENTENCIA_2015_261" w:history="1">
        <w:r w:rsidRPr="00981775">
          <w:rPr>
            <w:rStyle w:val="TextoNormalCaracter"/>
          </w:rPr>
          <w:t>261/2015</w:t>
        </w:r>
      </w:hyperlink>
      <w:r>
        <w:t>, f. 5.</w:t>
      </w:r>
    </w:p>
    <w:p w:rsidR="00981775" w:rsidRDefault="00981775" w:rsidP="00981775">
      <w:pPr>
        <w:pStyle w:val="SangriaFrancesaArticulo"/>
      </w:pPr>
      <w:r w:rsidRPr="00981775">
        <w:rPr>
          <w:rStyle w:val="TextoNormalNegritaCaracter"/>
        </w:rPr>
        <w:t>Apartado 130.</w:t>
      </w:r>
      <w:r w:rsidRPr="00981775">
        <w:rPr>
          <w:rStyle w:val="TextoNormalCaracter"/>
        </w:rPr>
        <w:t>-</w:t>
      </w:r>
      <w:r>
        <w:t xml:space="preserve"> Sentencia </w:t>
      </w:r>
      <w:hyperlink w:anchor="SENTENCIA_2015_261" w:history="1">
        <w:r w:rsidRPr="00981775">
          <w:rPr>
            <w:rStyle w:val="TextoNormalCaracter"/>
          </w:rPr>
          <w:t>261/2015</w:t>
        </w:r>
      </w:hyperlink>
      <w:r>
        <w:t>, f. 5.</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24 de julio de 2012 (Faber c. Hungría)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7" w:history="1">
        <w:r w:rsidRPr="00981775">
          <w:rPr>
            <w:rStyle w:val="TextoNormalCaracter"/>
          </w:rPr>
          <w:t>177/2015</w:t>
        </w:r>
      </w:hyperlink>
      <w:r>
        <w:t>, VP III.</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14 de marzo de 2013 (Eon c. Francia)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7" w:history="1">
        <w:r w:rsidRPr="00981775">
          <w:rPr>
            <w:rStyle w:val="TextoNormalCaracter"/>
          </w:rPr>
          <w:t>177/2015</w:t>
        </w:r>
      </w:hyperlink>
      <w:r>
        <w:t>, VP III.</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2 de abril de 2013 (Tarantino y otros con Italia)</w:t>
      </w:r>
    </w:p>
    <w:p w:rsidR="00981775" w:rsidRDefault="00981775" w:rsidP="00981775">
      <w:pPr>
        <w:pStyle w:val="SangriaFrancesaArticulo"/>
      </w:pPr>
      <w:r w:rsidRPr="00981775">
        <w:rPr>
          <w:rStyle w:val="TextoNormalNegritaCaracter"/>
        </w:rPr>
        <w:t>§ 44.</w:t>
      </w:r>
      <w:r w:rsidRPr="00981775">
        <w:rPr>
          <w:rStyle w:val="TextoNormalCaracter"/>
        </w:rPr>
        <w:t>-</w:t>
      </w:r>
      <w:r>
        <w:t xml:space="preserve"> Sentencia </w:t>
      </w:r>
      <w:hyperlink w:anchor="SENTENCIA_2015_155" w:history="1">
        <w:r w:rsidRPr="00981775">
          <w:rPr>
            <w:rStyle w:val="TextoNormalCaracter"/>
          </w:rPr>
          <w:t>155/2015</w:t>
        </w:r>
      </w:hyperlink>
      <w:r>
        <w:t>, f. 5.</w:t>
      </w:r>
    </w:p>
    <w:p w:rsidR="00981775" w:rsidRDefault="00981775" w:rsidP="00981775">
      <w:pPr>
        <w:pStyle w:val="SangriaFrancesaArticulo"/>
      </w:pPr>
      <w:r w:rsidRPr="00981775">
        <w:rPr>
          <w:rStyle w:val="TextoNormalNegritaCaracter"/>
        </w:rPr>
        <w:t>§ 45.</w:t>
      </w:r>
      <w:r w:rsidRPr="00981775">
        <w:rPr>
          <w:rStyle w:val="TextoNormalCaracter"/>
        </w:rPr>
        <w:t>-</w:t>
      </w:r>
      <w:r>
        <w:t xml:space="preserve"> Sentencia </w:t>
      </w:r>
      <w:hyperlink w:anchor="SENTENCIA_2015_155" w:history="1">
        <w:r w:rsidRPr="00981775">
          <w:rPr>
            <w:rStyle w:val="TextoNormalCaracter"/>
          </w:rPr>
          <w:t>155/2015</w:t>
        </w:r>
      </w:hyperlink>
      <w:r>
        <w:t>, f. 5.</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18 de junio de 2013 (R.M.S. c. España)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Auto </w:t>
      </w:r>
      <w:hyperlink w:anchor="AUTO_2015_179" w:history="1">
        <w:r w:rsidRPr="00981775">
          <w:rPr>
            <w:rStyle w:val="TextoNormalCaracter"/>
          </w:rPr>
          <w:t>179/2015</w:t>
        </w:r>
      </w:hyperlink>
      <w:r>
        <w:t>, f. 5.</w:t>
      </w:r>
    </w:p>
    <w:p w:rsidR="00981775" w:rsidRDefault="00981775" w:rsidP="00981775">
      <w:pPr>
        <w:pStyle w:val="SangriaFrancesaArticulo"/>
      </w:pPr>
      <w:r w:rsidRPr="00981775">
        <w:rPr>
          <w:rStyle w:val="TextoNormalNegritaCaracter"/>
        </w:rPr>
        <w:t>§ 86.</w:t>
      </w:r>
      <w:r w:rsidRPr="00981775">
        <w:rPr>
          <w:rStyle w:val="TextoNormalCaracter"/>
        </w:rPr>
        <w:t>-</w:t>
      </w:r>
      <w:r>
        <w:t xml:space="preserve"> Auto </w:t>
      </w:r>
      <w:hyperlink w:anchor="AUTO_2015_179" w:history="1">
        <w:r w:rsidRPr="00981775">
          <w:rPr>
            <w:rStyle w:val="TextoNormalCaracter"/>
          </w:rPr>
          <w:t>179/2015</w:t>
        </w:r>
      </w:hyperlink>
      <w:r>
        <w:t>, f. 3.</w:t>
      </w:r>
    </w:p>
    <w:p w:rsidR="00981775" w:rsidRDefault="00981775" w:rsidP="00981775">
      <w:pPr>
        <w:pStyle w:val="SangriaFrancesaArticulo"/>
      </w:pPr>
      <w:r w:rsidRPr="00981775">
        <w:rPr>
          <w:rStyle w:val="TextoNormalNegritaCaracter"/>
        </w:rPr>
        <w:t>§ 92.</w:t>
      </w:r>
      <w:r w:rsidRPr="00981775">
        <w:rPr>
          <w:rStyle w:val="TextoNormalCaracter"/>
        </w:rPr>
        <w:t>-</w:t>
      </w:r>
      <w:r>
        <w:t xml:space="preserve"> Auto </w:t>
      </w:r>
      <w:hyperlink w:anchor="AUTO_2015_179" w:history="1">
        <w:r w:rsidRPr="00981775">
          <w:rPr>
            <w:rStyle w:val="TextoNormalCaracter"/>
          </w:rPr>
          <w:t>179/2015</w:t>
        </w:r>
      </w:hyperlink>
      <w:r>
        <w:t>, f. 3.</w:t>
      </w:r>
    </w:p>
    <w:p w:rsidR="00981775" w:rsidRDefault="00981775" w:rsidP="00981775">
      <w:pPr>
        <w:pStyle w:val="SangriaFrancesaArticulo"/>
      </w:pPr>
      <w:r w:rsidRPr="00981775">
        <w:rPr>
          <w:rStyle w:val="TextoNormalNegritaCaracter"/>
        </w:rPr>
        <w:t>§ 93.</w:t>
      </w:r>
      <w:r w:rsidRPr="00981775">
        <w:rPr>
          <w:rStyle w:val="TextoNormalCaracter"/>
        </w:rPr>
        <w:t>-</w:t>
      </w:r>
      <w:r>
        <w:t xml:space="preserve"> Auto </w:t>
      </w:r>
      <w:hyperlink w:anchor="AUTO_2015_179" w:history="1">
        <w:r w:rsidRPr="00981775">
          <w:rPr>
            <w:rStyle w:val="TextoNormalCaracter"/>
          </w:rPr>
          <w:t>179/2015</w:t>
        </w:r>
      </w:hyperlink>
      <w:r>
        <w:t>, f. 3.</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21 de octubre de 2013 (del Río Prada c. España)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61" w:history="1">
        <w:r w:rsidRPr="00981775">
          <w:rPr>
            <w:rStyle w:val="TextoNormalCaracter"/>
          </w:rPr>
          <w:t>261/2015</w:t>
        </w:r>
      </w:hyperlink>
      <w:r>
        <w:t>, f. 5.</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12 de junio de 2014 (Couderc et Hachette Filipacchi Associés c. Francia)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7" w:history="1">
        <w:r w:rsidRPr="00981775">
          <w:rPr>
            <w:rStyle w:val="TextoNormalCaracter"/>
          </w:rPr>
          <w:t>177/2015</w:t>
        </w:r>
      </w:hyperlink>
      <w:r>
        <w:t>, VP III.</w:t>
      </w:r>
    </w:p>
    <w:p w:rsidR="00981775" w:rsidRDefault="00981775" w:rsidP="00981775">
      <w:pPr>
        <w:pStyle w:val="SangriaFrancesaArticulo"/>
      </w:pPr>
      <w:r w:rsidRPr="00981775">
        <w:rPr>
          <w:rStyle w:val="TextoNormalNegritaCaracter"/>
        </w:rPr>
        <w:t>§ 58.</w:t>
      </w:r>
      <w:r w:rsidRPr="00981775">
        <w:rPr>
          <w:rStyle w:val="TextoNormalCaracter"/>
        </w:rPr>
        <w:t>-</w:t>
      </w:r>
      <w:r>
        <w:t xml:space="preserve"> Sentencia </w:t>
      </w:r>
      <w:hyperlink w:anchor="SENTENCIA_2015_177" w:history="1">
        <w:r w:rsidRPr="00981775">
          <w:rPr>
            <w:rStyle w:val="TextoNormalCaracter"/>
          </w:rPr>
          <w:t>177/2015</w:t>
        </w:r>
      </w:hyperlink>
      <w:r>
        <w:t>, VP III.</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24 de junio de 2014 (Azienda Agrícola Silverfunghi S.A.S. y otros c. Italia)</w:t>
      </w:r>
    </w:p>
    <w:p w:rsidR="00981775" w:rsidRDefault="00981775" w:rsidP="00981775">
      <w:pPr>
        <w:pStyle w:val="SangriaFrancesaArticulo"/>
      </w:pPr>
      <w:r w:rsidRPr="00981775">
        <w:rPr>
          <w:rStyle w:val="TextoNormalNegritaCaracter"/>
        </w:rPr>
        <w:t>§ 76.</w:t>
      </w:r>
      <w:r w:rsidRPr="00981775">
        <w:rPr>
          <w:rStyle w:val="TextoNormalCaracter"/>
        </w:rPr>
        <w:t>-</w:t>
      </w:r>
      <w:r>
        <w:t xml:space="preserve"> Sentencia </w:t>
      </w:r>
      <w:hyperlink w:anchor="SENTENCIA_2015_231" w:history="1">
        <w:r w:rsidRPr="00981775">
          <w:rPr>
            <w:rStyle w:val="TextoNormalCaracter"/>
          </w:rPr>
          <w:t>231/2015</w:t>
        </w:r>
      </w:hyperlink>
      <w:r>
        <w:t>, f. 10.</w:t>
      </w:r>
    </w:p>
    <w:p w:rsidR="00981775" w:rsidRDefault="00981775" w:rsidP="00981775">
      <w:pPr>
        <w:pStyle w:val="SangriaFrancesaArticulo"/>
      </w:pPr>
      <w:r w:rsidRPr="00981775">
        <w:rPr>
          <w:rStyle w:val="TextoNormalNegritaCaracter"/>
        </w:rPr>
        <w:t>§ 82.</w:t>
      </w:r>
      <w:r w:rsidRPr="00981775">
        <w:rPr>
          <w:rStyle w:val="TextoNormalCaracter"/>
        </w:rPr>
        <w:t>-</w:t>
      </w:r>
      <w:r>
        <w:t xml:space="preserve"> Sentencia </w:t>
      </w:r>
      <w:hyperlink w:anchor="SENTENCIA_2015_231" w:history="1">
        <w:r w:rsidRPr="00981775">
          <w:rPr>
            <w:rStyle w:val="TextoNormalCaracter"/>
          </w:rPr>
          <w:t>231/2015</w:t>
        </w:r>
      </w:hyperlink>
      <w:r>
        <w:t>, f. 11.</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21 de octubre de 2014 (Murat Mural c. Turquía)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7" w:history="1">
        <w:r w:rsidRPr="00981775">
          <w:rPr>
            <w:rStyle w:val="TextoNormalCaracter"/>
          </w:rPr>
          <w:t>177/2015</w:t>
        </w:r>
      </w:hyperlink>
      <w:r>
        <w:t>, VP III.</w:t>
      </w:r>
    </w:p>
    <w:p w:rsidR="00981775" w:rsidRDefault="00981775" w:rsidP="00981775">
      <w:pPr>
        <w:pStyle w:val="SangriaFrancesaArticulo"/>
      </w:pPr>
      <w:r w:rsidRPr="00981775">
        <w:rPr>
          <w:rStyle w:val="TextoNormalNegritaCaracter"/>
        </w:rPr>
        <w:t>§§ 44 a 51.</w:t>
      </w:r>
      <w:r w:rsidRPr="00981775">
        <w:rPr>
          <w:rStyle w:val="TextoNormalCaracter"/>
        </w:rPr>
        <w:t>-</w:t>
      </w:r>
      <w:r>
        <w:t xml:space="preserve"> Sentencia </w:t>
      </w:r>
      <w:hyperlink w:anchor="SENTENCIA_2015_177" w:history="1">
        <w:r w:rsidRPr="00981775">
          <w:rPr>
            <w:rStyle w:val="TextoNormalCaracter"/>
          </w:rPr>
          <w:t>177/2015</w:t>
        </w:r>
      </w:hyperlink>
      <w:r>
        <w:t>, f. 3, VP I.</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20 de enero de 2015 (Arribas Antón c. España)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Sentencias </w:t>
      </w:r>
      <w:hyperlink w:anchor="SENTENCIA_2015_239" w:history="1">
        <w:r w:rsidRPr="00981775">
          <w:rPr>
            <w:rStyle w:val="TextoNormalCaracter"/>
          </w:rPr>
          <w:t>239/2015</w:t>
        </w:r>
      </w:hyperlink>
      <w:r>
        <w:t xml:space="preserve">, f. 2; </w:t>
      </w:r>
      <w:hyperlink w:anchor="SENTENCIA_2015_240" w:history="1">
        <w:r w:rsidRPr="00981775">
          <w:rPr>
            <w:rStyle w:val="TextoNormalCaracter"/>
          </w:rPr>
          <w:t>240/2015</w:t>
        </w:r>
      </w:hyperlink>
      <w:r>
        <w:t xml:space="preserve">, f. 2; </w:t>
      </w:r>
      <w:hyperlink w:anchor="SENTENCIA_2015_262" w:history="1">
        <w:r w:rsidRPr="00981775">
          <w:rPr>
            <w:rStyle w:val="TextoNormalCaracter"/>
          </w:rPr>
          <w:t>262/2015</w:t>
        </w:r>
      </w:hyperlink>
      <w:r>
        <w:t>, f. 2.</w:t>
      </w:r>
    </w:p>
    <w:p w:rsidR="00981775" w:rsidRDefault="00981775" w:rsidP="00981775">
      <w:pPr>
        <w:pStyle w:val="SangriaFrancesaArticulo"/>
      </w:pPr>
      <w:r w:rsidRPr="00981775">
        <w:rPr>
          <w:rStyle w:val="TextoNormalNegritaCaracter"/>
        </w:rPr>
        <w:t>§ 37.</w:t>
      </w:r>
      <w:r w:rsidRPr="00981775">
        <w:rPr>
          <w:rStyle w:val="TextoNormalCaracter"/>
        </w:rPr>
        <w:t>-</w:t>
      </w:r>
      <w:r>
        <w:t xml:space="preserve"> Sentencia </w:t>
      </w:r>
      <w:hyperlink w:anchor="SENTENCIA_2015_222" w:history="1">
        <w:r w:rsidRPr="00981775">
          <w:rPr>
            <w:rStyle w:val="TextoNormalCaracter"/>
          </w:rPr>
          <w:t>222/2015</w:t>
        </w:r>
      </w:hyperlink>
      <w:r>
        <w:t>, f. 2.</w:t>
      </w:r>
    </w:p>
    <w:p w:rsidR="00981775" w:rsidRDefault="00981775" w:rsidP="00981775">
      <w:pPr>
        <w:pStyle w:val="SangriaFrancesaArticulo"/>
      </w:pPr>
      <w:r w:rsidRPr="00981775">
        <w:rPr>
          <w:rStyle w:val="TextoNormalNegritaCaracter"/>
        </w:rPr>
        <w:t>§ 46.</w:t>
      </w:r>
      <w:r w:rsidRPr="00981775">
        <w:rPr>
          <w:rStyle w:val="TextoNormalCaracter"/>
        </w:rPr>
        <w:t>-</w:t>
      </w:r>
      <w:r>
        <w:t xml:space="preserve"> Sentencias </w:t>
      </w:r>
      <w:hyperlink w:anchor="SENTENCIA_2015_169" w:history="1">
        <w:r w:rsidRPr="00981775">
          <w:rPr>
            <w:rStyle w:val="TextoNormalCaracter"/>
          </w:rPr>
          <w:t>169/2015</w:t>
        </w:r>
      </w:hyperlink>
      <w:r>
        <w:t xml:space="preserve">, f. 1; </w:t>
      </w:r>
      <w:hyperlink w:anchor="SENTENCIA_2015_232" w:history="1">
        <w:r w:rsidRPr="00981775">
          <w:rPr>
            <w:rStyle w:val="TextoNormalCaracter"/>
          </w:rPr>
          <w:t>232/2015</w:t>
        </w:r>
      </w:hyperlink>
      <w:r>
        <w:t xml:space="preserve">, f. 2; </w:t>
      </w:r>
      <w:hyperlink w:anchor="SENTENCIA_2015_242" w:history="1">
        <w:r w:rsidRPr="00981775">
          <w:rPr>
            <w:rStyle w:val="TextoNormalCaracter"/>
          </w:rPr>
          <w:t>242/2015</w:t>
        </w:r>
      </w:hyperlink>
      <w:r>
        <w:t xml:space="preserve">, f. 2; </w:t>
      </w:r>
      <w:hyperlink w:anchor="SENTENCIA_2015_263" w:history="1">
        <w:r w:rsidRPr="00981775">
          <w:rPr>
            <w:rStyle w:val="TextoNormalCaracter"/>
          </w:rPr>
          <w:t>263/2015</w:t>
        </w:r>
      </w:hyperlink>
      <w:r>
        <w:t>, f. 1.</w:t>
      </w:r>
    </w:p>
    <w:p w:rsidR="00981775" w:rsidRDefault="00981775" w:rsidP="00981775">
      <w:pPr>
        <w:pStyle w:val="SangriaFrancesaArticulo"/>
      </w:pPr>
      <w:r w:rsidRPr="00981775">
        <w:rPr>
          <w:rStyle w:val="TextoNormalNegritaCaracter"/>
        </w:rPr>
        <w:t>§ 245.</w:t>
      </w:r>
      <w:r w:rsidRPr="00981775">
        <w:rPr>
          <w:rStyle w:val="TextoNormalCaracter"/>
        </w:rPr>
        <w:t>-</w:t>
      </w:r>
      <w:r>
        <w:t xml:space="preserve"> Sentencia </w:t>
      </w:r>
      <w:hyperlink w:anchor="SENTENCIA_2015_194" w:history="1">
        <w:r w:rsidRPr="00981775">
          <w:rPr>
            <w:rStyle w:val="TextoNormalCaracter"/>
          </w:rPr>
          <w:t>194/2015</w:t>
        </w:r>
      </w:hyperlink>
      <w:r>
        <w:t>, f. 2.</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24 de febrero de 2015 (Haldimann y otros c. Suiza)</w:t>
      </w:r>
    </w:p>
    <w:p w:rsidR="00981775" w:rsidRDefault="00981775" w:rsidP="00981775">
      <w:pPr>
        <w:pStyle w:val="SangriaFrancesaArticulo"/>
      </w:pPr>
      <w:r w:rsidRPr="00981775">
        <w:rPr>
          <w:rStyle w:val="TextoNormalNegritaCaracter"/>
        </w:rPr>
        <w:t>§ 46.</w:t>
      </w:r>
      <w:r w:rsidRPr="00981775">
        <w:rPr>
          <w:rStyle w:val="TextoNormalCaracter"/>
        </w:rPr>
        <w:t>-</w:t>
      </w:r>
      <w:r>
        <w:t xml:space="preserve"> Sentencia </w:t>
      </w:r>
      <w:hyperlink w:anchor="SENTENCIA_2015_203" w:history="1">
        <w:r w:rsidRPr="00981775">
          <w:rPr>
            <w:rStyle w:val="TextoNormalCaracter"/>
          </w:rPr>
          <w:t>203/2015</w:t>
        </w:r>
      </w:hyperlink>
      <w:r>
        <w:t>, f. 6.</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23 de abril de 2015 (Morice c. Francia)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7" w:history="1">
        <w:r w:rsidRPr="00981775">
          <w:rPr>
            <w:rStyle w:val="TextoNormalCaracter"/>
          </w:rPr>
          <w:t>177/2015</w:t>
        </w:r>
      </w:hyperlink>
      <w:r>
        <w:t>, VP III.</w:t>
      </w:r>
    </w:p>
    <w:p w:rsidR="00981775" w:rsidRDefault="00981775" w:rsidP="00981775">
      <w:pPr>
        <w:pStyle w:val="SangriaFrancesaArticulo"/>
      </w:pPr>
      <w:r w:rsidRPr="00981775">
        <w:rPr>
          <w:rStyle w:val="TextoNormalNegritaCaracter"/>
        </w:rPr>
        <w:t>§ 127.</w:t>
      </w:r>
      <w:r w:rsidRPr="00981775">
        <w:rPr>
          <w:rStyle w:val="TextoNormalCaracter"/>
        </w:rPr>
        <w:t>-</w:t>
      </w:r>
      <w:r>
        <w:t xml:space="preserve"> Sentencia </w:t>
      </w:r>
      <w:hyperlink w:anchor="SENTENCIA_2015_177" w:history="1">
        <w:r w:rsidRPr="00981775">
          <w:rPr>
            <w:rStyle w:val="TextoNormalCaracter"/>
          </w:rPr>
          <w:t>177/2015</w:t>
        </w:r>
      </w:hyperlink>
      <w:r>
        <w:t>, VP III.</w:t>
      </w:r>
    </w:p>
    <w:p w:rsidR="00981775" w:rsidRDefault="00981775" w:rsidP="00981775">
      <w:pPr>
        <w:pStyle w:val="SangriaFrancesaArticulo"/>
      </w:pPr>
    </w:p>
    <w:p w:rsidR="00981775" w:rsidRDefault="00981775" w:rsidP="00981775">
      <w:pPr>
        <w:pStyle w:val="TextoNormalNegritaCursivandice"/>
      </w:pPr>
      <w:r>
        <w:t>Sentencia del Tribunal Europeo de Derechos Humanos de 16 de junio de 2015 (Delfi As c. Estonia)</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7" w:history="1">
        <w:r w:rsidRPr="00981775">
          <w:rPr>
            <w:rStyle w:val="TextoNormalCaracter"/>
          </w:rPr>
          <w:t>177/2015</w:t>
        </w:r>
      </w:hyperlink>
      <w:r>
        <w:t>, VP III.</w:t>
      </w:r>
    </w:p>
    <w:p w:rsidR="00981775" w:rsidRDefault="00981775" w:rsidP="00981775">
      <w:pPr>
        <w:pStyle w:val="TextoNormal"/>
      </w:pPr>
    </w:p>
    <w:p w:rsidR="00981775" w:rsidRDefault="00981775" w:rsidP="00981775">
      <w:pPr>
        <w:pStyle w:val="SangriaFrancesaArticulo"/>
      </w:pPr>
      <w:bookmarkStart w:id="263" w:name="INDICE22924"/>
    </w:p>
    <w:bookmarkEnd w:id="263"/>
    <w:p w:rsidR="00981775" w:rsidRDefault="00981775" w:rsidP="00981775">
      <w:pPr>
        <w:pStyle w:val="TextoIndiceNivel2"/>
        <w:suppressAutoHyphens/>
      </w:pPr>
      <w:r>
        <w:t>B) Tribunales de Justicia de las Comunidades Europeas y de la Unión Europea</w:t>
      </w:r>
    </w:p>
    <w:p w:rsidR="00981775" w:rsidRDefault="00981775" w:rsidP="00981775">
      <w:pPr>
        <w:pStyle w:val="TextoIndiceNivel2"/>
      </w:pPr>
    </w:p>
    <w:p w:rsidR="00981775" w:rsidRDefault="00981775" w:rsidP="00981775">
      <w:pPr>
        <w:pStyle w:val="TextoNormalNegritaCursivandice"/>
      </w:pPr>
      <w:r>
        <w:t>Sentencia del Tribunal de Justicia de las Comunidades Europeas de 27 de marzo de 1963 (Da Costa y otros, asuntos C-28/62, 29/62, 30/62)</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2" w:history="1">
        <w:r w:rsidRPr="00981775">
          <w:rPr>
            <w:rStyle w:val="TextoNormalCaracter"/>
          </w:rPr>
          <w:t>232/2015</w:t>
        </w:r>
      </w:hyperlink>
      <w:r>
        <w:t>, f. 4.</w:t>
      </w:r>
    </w:p>
    <w:p w:rsidR="00981775" w:rsidRDefault="00981775" w:rsidP="00981775">
      <w:pPr>
        <w:pStyle w:val="SangriaFrancesaArticulo"/>
      </w:pPr>
    </w:p>
    <w:p w:rsidR="00981775" w:rsidRDefault="00981775" w:rsidP="00981775">
      <w:pPr>
        <w:pStyle w:val="TextoNormalNegritaCursivandice"/>
      </w:pPr>
      <w:r>
        <w:t>Sentencia del Tribunal de Justicia de las Comunidades Europeas de 17 de diciembre de 1970 (Internationale Handelsgessellschaft c. Einfuhr, asunto C-11/70)</w:t>
      </w:r>
    </w:p>
    <w:p w:rsidR="00981775" w:rsidRDefault="00981775" w:rsidP="00981775">
      <w:pPr>
        <w:pStyle w:val="SangriaFrancesaArticulo"/>
      </w:pPr>
      <w:r w:rsidRPr="00981775">
        <w:rPr>
          <w:rStyle w:val="TextoNormalNegritaCaracter"/>
        </w:rPr>
        <w:t>§ 3.</w:t>
      </w:r>
      <w:r w:rsidRPr="00981775">
        <w:rPr>
          <w:rStyle w:val="TextoNormalCaracter"/>
        </w:rPr>
        <w:t>-</w:t>
      </w:r>
      <w:r>
        <w:t xml:space="preserve"> Sentencia </w:t>
      </w:r>
      <w:hyperlink w:anchor="SENTENCIA_2015_232" w:history="1">
        <w:r w:rsidRPr="00981775">
          <w:rPr>
            <w:rStyle w:val="TextoNormalCaracter"/>
          </w:rPr>
          <w:t>232/2015</w:t>
        </w:r>
      </w:hyperlink>
      <w:r>
        <w:t>, f. 5.</w:t>
      </w:r>
    </w:p>
    <w:p w:rsidR="00981775" w:rsidRDefault="00981775" w:rsidP="00981775">
      <w:pPr>
        <w:pStyle w:val="SangriaFrancesaArticulo"/>
      </w:pPr>
    </w:p>
    <w:p w:rsidR="00981775" w:rsidRDefault="00981775" w:rsidP="00981775">
      <w:pPr>
        <w:pStyle w:val="TextoNormalNegritaCursivandice"/>
      </w:pPr>
      <w:r>
        <w:t>Sentencia del Tribunal de Justicia de las Comunidades Europeas de 9 de marzo de 1978 (Amministrazione delle Finanze dello Stato v Simmenthal SpA., asunto C-106/77)</w:t>
      </w:r>
    </w:p>
    <w:p w:rsidR="00981775" w:rsidRDefault="00981775" w:rsidP="00981775">
      <w:pPr>
        <w:pStyle w:val="SangriaFrancesaArticulo"/>
      </w:pPr>
      <w:r w:rsidRPr="00981775">
        <w:rPr>
          <w:rStyle w:val="TextoNormalNegritaCaracter"/>
        </w:rPr>
        <w:t>§ 24.</w:t>
      </w:r>
      <w:r w:rsidRPr="00981775">
        <w:rPr>
          <w:rStyle w:val="TextoNormalCaracter"/>
        </w:rPr>
        <w:t>-</w:t>
      </w:r>
      <w:r>
        <w:t xml:space="preserve"> Sentencia </w:t>
      </w:r>
      <w:hyperlink w:anchor="SENTENCIA_2015_232" w:history="1">
        <w:r w:rsidRPr="00981775">
          <w:rPr>
            <w:rStyle w:val="TextoNormalCaracter"/>
          </w:rPr>
          <w:t>232/2015</w:t>
        </w:r>
      </w:hyperlink>
      <w:r>
        <w:t>, f. 5.</w:t>
      </w:r>
    </w:p>
    <w:p w:rsidR="00981775" w:rsidRDefault="00981775" w:rsidP="00981775">
      <w:pPr>
        <w:pStyle w:val="SangriaFrancesaArticulo"/>
      </w:pPr>
    </w:p>
    <w:p w:rsidR="00981775" w:rsidRDefault="00981775" w:rsidP="00981775">
      <w:pPr>
        <w:pStyle w:val="TextoNormalNegritaCursivandice"/>
      </w:pPr>
      <w:r>
        <w:t>Sentencia del Tribunal de Justicia de las Comunidades Europeas de 6 de octubre de 1982 (Srl Cilfit y Lanificio di Gavardo, SpA c. Ministero della Sanità, asunto C-283/81)</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2" w:history="1">
        <w:r w:rsidRPr="00981775">
          <w:rPr>
            <w:rStyle w:val="TextoNormalCaracter"/>
          </w:rPr>
          <w:t>232/2015</w:t>
        </w:r>
      </w:hyperlink>
      <w:r>
        <w:t>, f. 4.</w:t>
      </w:r>
    </w:p>
    <w:p w:rsidR="00981775" w:rsidRDefault="00981775" w:rsidP="00981775">
      <w:pPr>
        <w:pStyle w:val="SangriaFrancesaArticulo"/>
      </w:pPr>
      <w:r w:rsidRPr="00981775">
        <w:rPr>
          <w:rStyle w:val="TextoNormalNegritaCaracter"/>
        </w:rPr>
        <w:t>§ 13.</w:t>
      </w:r>
      <w:r w:rsidRPr="00981775">
        <w:rPr>
          <w:rStyle w:val="TextoNormalCaracter"/>
        </w:rPr>
        <w:t>-</w:t>
      </w:r>
      <w:r>
        <w:t xml:space="preserve"> Sentencia </w:t>
      </w:r>
      <w:hyperlink w:anchor="SENTENCIA_2015_232" w:history="1">
        <w:r w:rsidRPr="00981775">
          <w:rPr>
            <w:rStyle w:val="TextoNormalCaracter"/>
          </w:rPr>
          <w:t>232/2015</w:t>
        </w:r>
      </w:hyperlink>
      <w:r>
        <w:t>, f. 6.</w:t>
      </w:r>
    </w:p>
    <w:p w:rsidR="00981775" w:rsidRDefault="00981775" w:rsidP="00981775">
      <w:pPr>
        <w:pStyle w:val="SangriaFrancesaArticulo"/>
      </w:pPr>
      <w:r w:rsidRPr="00981775">
        <w:rPr>
          <w:rStyle w:val="TextoNormalNegritaCaracter"/>
        </w:rPr>
        <w:t>§ 15.</w:t>
      </w:r>
      <w:r w:rsidRPr="00981775">
        <w:rPr>
          <w:rStyle w:val="TextoNormalCaracter"/>
        </w:rPr>
        <w:t>-</w:t>
      </w:r>
      <w:r>
        <w:t xml:space="preserve"> Sentencia </w:t>
      </w:r>
      <w:hyperlink w:anchor="SENTENCIA_2015_232" w:history="1">
        <w:r w:rsidRPr="00981775">
          <w:rPr>
            <w:rStyle w:val="TextoNormalCaracter"/>
          </w:rPr>
          <w:t>232/2015</w:t>
        </w:r>
      </w:hyperlink>
      <w:r>
        <w:t>, f. 6.</w:t>
      </w:r>
    </w:p>
    <w:p w:rsidR="00981775" w:rsidRDefault="00981775" w:rsidP="00981775">
      <w:pPr>
        <w:pStyle w:val="SangriaFrancesaArticulo"/>
      </w:pPr>
    </w:p>
    <w:p w:rsidR="00981775" w:rsidRDefault="00981775" w:rsidP="00981775">
      <w:pPr>
        <w:pStyle w:val="TextoNormalNegritaCursivandice"/>
      </w:pPr>
      <w:r>
        <w:t>Sentencia del Tribunal de Justicia de las Comunidades Europeas de 14 de diciembre de 1982 (Waterkeyn, asunto 314-316/81 y 83/82)</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2" w:history="1">
        <w:r w:rsidRPr="00981775">
          <w:rPr>
            <w:rStyle w:val="TextoNormalCaracter"/>
          </w:rPr>
          <w:t>232/2015</w:t>
        </w:r>
      </w:hyperlink>
      <w:r>
        <w:t>, f. 5.</w:t>
      </w:r>
    </w:p>
    <w:p w:rsidR="00981775" w:rsidRDefault="00981775" w:rsidP="00981775">
      <w:pPr>
        <w:pStyle w:val="SangriaFrancesaArticulo"/>
      </w:pPr>
      <w:r w:rsidRPr="00981775">
        <w:rPr>
          <w:rStyle w:val="TextoNormalNegritaCaracter"/>
        </w:rPr>
        <w:t>§ 16.</w:t>
      </w:r>
      <w:r w:rsidRPr="00981775">
        <w:rPr>
          <w:rStyle w:val="TextoNormalCaracter"/>
        </w:rPr>
        <w:t>-</w:t>
      </w:r>
      <w:r>
        <w:t xml:space="preserve"> Sentencia </w:t>
      </w:r>
      <w:hyperlink w:anchor="SENTENCIA_2015_232" w:history="1">
        <w:r w:rsidRPr="00981775">
          <w:rPr>
            <w:rStyle w:val="TextoNormalCaracter"/>
          </w:rPr>
          <w:t>232/2015</w:t>
        </w:r>
      </w:hyperlink>
      <w:r>
        <w:t>, f. 5.</w:t>
      </w:r>
    </w:p>
    <w:p w:rsidR="00981775" w:rsidRDefault="00981775" w:rsidP="00981775">
      <w:pPr>
        <w:pStyle w:val="SangriaFrancesaArticulo"/>
      </w:pPr>
    </w:p>
    <w:p w:rsidR="00981775" w:rsidRDefault="00981775" w:rsidP="00981775">
      <w:pPr>
        <w:pStyle w:val="TextoNormalNegritaCursivandice"/>
      </w:pPr>
      <w:r>
        <w:t>Sentencia del Tribunal de Justicia de las Comunidades Europeas de 19 de noviembre de 1991 (Andrea Francovich y Danila Bonifaci, asuntos C-6/90 y 9/90)</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2" w:history="1">
        <w:r w:rsidRPr="00981775">
          <w:rPr>
            <w:rStyle w:val="TextoNormalCaracter"/>
          </w:rPr>
          <w:t>232/2015</w:t>
        </w:r>
      </w:hyperlink>
      <w:r>
        <w:t>, f. 4.</w:t>
      </w:r>
    </w:p>
    <w:p w:rsidR="00981775" w:rsidRDefault="00981775" w:rsidP="00981775">
      <w:pPr>
        <w:pStyle w:val="SangriaFrancesaArticulo"/>
      </w:pPr>
    </w:p>
    <w:p w:rsidR="00981775" w:rsidRDefault="00981775" w:rsidP="00981775">
      <w:pPr>
        <w:pStyle w:val="TextoNormalNegritaCursivandice"/>
      </w:pPr>
      <w:r>
        <w:t>Sentencia del Tribunal de Justicia de las Comunidades Europeas de 5 de marzo de 1996 (Brasserie du pêcheur y Factortame, asuntos C-46/93 y C-48/93)</w:t>
      </w:r>
    </w:p>
    <w:p w:rsidR="00981775" w:rsidRDefault="00981775" w:rsidP="00981775">
      <w:pPr>
        <w:pStyle w:val="SangriaFrancesaArticulo"/>
      </w:pPr>
      <w:r w:rsidRPr="00981775">
        <w:rPr>
          <w:rStyle w:val="TextoNormalNegritaCaracter"/>
        </w:rPr>
        <w:t>§ 95.</w:t>
      </w:r>
      <w:r w:rsidRPr="00981775">
        <w:rPr>
          <w:rStyle w:val="TextoNormalCaracter"/>
        </w:rPr>
        <w:t>-</w:t>
      </w:r>
      <w:r>
        <w:t xml:space="preserve"> Sentencia </w:t>
      </w:r>
      <w:hyperlink w:anchor="SENTENCIA_2015_232" w:history="1">
        <w:r w:rsidRPr="00981775">
          <w:rPr>
            <w:rStyle w:val="TextoNormalCaracter"/>
          </w:rPr>
          <w:t>232/2015</w:t>
        </w:r>
      </w:hyperlink>
      <w:r>
        <w:t>, f. 5.</w:t>
      </w:r>
    </w:p>
    <w:p w:rsidR="00981775" w:rsidRDefault="00981775" w:rsidP="00981775">
      <w:pPr>
        <w:pStyle w:val="SangriaFrancesaArticulo"/>
      </w:pPr>
    </w:p>
    <w:p w:rsidR="00981775" w:rsidRDefault="00981775" w:rsidP="00981775">
      <w:pPr>
        <w:pStyle w:val="TextoNormalNegritaCursivandice"/>
      </w:pPr>
      <w:r>
        <w:t>Sentencia del Tribunal de Justicia de las Comunidades Europeas de 13 de septiembre de 2007 (Yolanda Del Cerro Alonso c. Osakidetza-Servicio Vasco de Salud, asunto C-307/05)</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2" w:history="1">
        <w:r w:rsidRPr="00981775">
          <w:rPr>
            <w:rStyle w:val="TextoNormalCaracter"/>
          </w:rPr>
          <w:t>232/2015</w:t>
        </w:r>
      </w:hyperlink>
      <w:r>
        <w:t>, ff. 1, 3, 4, 6.</w:t>
      </w:r>
    </w:p>
    <w:p w:rsidR="00981775" w:rsidRDefault="00981775" w:rsidP="00981775">
      <w:pPr>
        <w:pStyle w:val="SangriaFrancesaArticulo"/>
      </w:pPr>
    </w:p>
    <w:p w:rsidR="00981775" w:rsidRDefault="00981775" w:rsidP="00981775">
      <w:pPr>
        <w:pStyle w:val="TextoNormalNegritaCursivandice"/>
      </w:pPr>
      <w:r>
        <w:t>Sentencia del Tribunal de Justicia de las Comunidades Europeas de 16 de diciembre de 2008 (Michaniki, asunto C-213/07)</w:t>
      </w:r>
    </w:p>
    <w:p w:rsidR="00981775" w:rsidRDefault="00981775" w:rsidP="00981775">
      <w:pPr>
        <w:pStyle w:val="SangriaFrancesaArticulo"/>
      </w:pPr>
      <w:r w:rsidRPr="00981775">
        <w:rPr>
          <w:rStyle w:val="TextoNormalNegritaCaracter"/>
        </w:rPr>
        <w:t>§§ 5, 51.</w:t>
      </w:r>
      <w:r w:rsidRPr="00981775">
        <w:rPr>
          <w:rStyle w:val="TextoNormalCaracter"/>
        </w:rPr>
        <w:t>-</w:t>
      </w:r>
      <w:r>
        <w:t xml:space="preserve"> Sentencia </w:t>
      </w:r>
      <w:hyperlink w:anchor="SENTENCIA_2015_232" w:history="1">
        <w:r w:rsidRPr="00981775">
          <w:rPr>
            <w:rStyle w:val="TextoNormalCaracter"/>
          </w:rPr>
          <w:t>232/2015</w:t>
        </w:r>
      </w:hyperlink>
      <w:r>
        <w:t>, f. 5.</w:t>
      </w:r>
    </w:p>
    <w:p w:rsidR="00981775" w:rsidRDefault="00981775" w:rsidP="00981775">
      <w:pPr>
        <w:pStyle w:val="SangriaFrancesaArticulo"/>
      </w:pPr>
    </w:p>
    <w:p w:rsidR="00981775" w:rsidRDefault="00981775" w:rsidP="00981775">
      <w:pPr>
        <w:pStyle w:val="TextoNormalNegritaCursivandice"/>
      </w:pPr>
      <w:r>
        <w:t>Sentencia del Tribunal de Justicia de la Unión Europea de 10 de septiembre de 2009 (asunto C-201/08)</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70" w:history="1">
        <w:r w:rsidRPr="00981775">
          <w:rPr>
            <w:rStyle w:val="TextoNormalCaracter"/>
          </w:rPr>
          <w:t>270/2015</w:t>
        </w:r>
      </w:hyperlink>
      <w:r>
        <w:t>, VP.</w:t>
      </w:r>
    </w:p>
    <w:p w:rsidR="00981775" w:rsidRDefault="00981775" w:rsidP="00981775">
      <w:pPr>
        <w:pStyle w:val="SangriaFrancesaArticulo"/>
      </w:pPr>
    </w:p>
    <w:p w:rsidR="00981775" w:rsidRDefault="00981775" w:rsidP="00981775">
      <w:pPr>
        <w:pStyle w:val="TextoNormalNegritaCursivandice"/>
      </w:pPr>
      <w:r>
        <w:t>Sentencia del Tribunal de Justicia de la Unión Europea de 22 de junio de 2010 (Aziz Melki, asunto C-188/10 y Sélim Abdeli, asunto C-189/10)</w:t>
      </w:r>
    </w:p>
    <w:p w:rsidR="00981775" w:rsidRDefault="00981775" w:rsidP="00981775">
      <w:pPr>
        <w:pStyle w:val="SangriaFrancesaArticulo"/>
      </w:pPr>
      <w:r w:rsidRPr="00981775">
        <w:rPr>
          <w:rStyle w:val="TextoNormalNegritaCaracter"/>
        </w:rPr>
        <w:t>§ 43.</w:t>
      </w:r>
      <w:r w:rsidRPr="00981775">
        <w:rPr>
          <w:rStyle w:val="TextoNormalCaracter"/>
        </w:rPr>
        <w:t>-</w:t>
      </w:r>
      <w:r>
        <w:t xml:space="preserve"> Sentencia </w:t>
      </w:r>
      <w:hyperlink w:anchor="SENTENCIA_2015_232" w:history="1">
        <w:r w:rsidRPr="00981775">
          <w:rPr>
            <w:rStyle w:val="TextoNormalCaracter"/>
          </w:rPr>
          <w:t>232/2015</w:t>
        </w:r>
      </w:hyperlink>
      <w:r>
        <w:t>, f. 5.</w:t>
      </w:r>
    </w:p>
    <w:p w:rsidR="00981775" w:rsidRDefault="00981775" w:rsidP="00981775">
      <w:pPr>
        <w:pStyle w:val="SangriaFrancesaArticulo"/>
      </w:pPr>
    </w:p>
    <w:p w:rsidR="00981775" w:rsidRDefault="00981775" w:rsidP="00981775">
      <w:pPr>
        <w:pStyle w:val="TextoNormalNegritaCursivandice"/>
      </w:pPr>
      <w:r>
        <w:t>Sentencia del Tribunal de Justicia de la Unión Europea de 5 de octubre de 2010 (Elchinov, asunto C-173/09)</w:t>
      </w:r>
    </w:p>
    <w:p w:rsidR="00981775" w:rsidRDefault="00981775" w:rsidP="00981775">
      <w:pPr>
        <w:pStyle w:val="SangriaFrancesaArticulo"/>
      </w:pPr>
      <w:r w:rsidRPr="00981775">
        <w:rPr>
          <w:rStyle w:val="TextoNormalNegritaCaracter"/>
        </w:rPr>
        <w:t>§ 31.</w:t>
      </w:r>
      <w:r w:rsidRPr="00981775">
        <w:rPr>
          <w:rStyle w:val="TextoNormalCaracter"/>
        </w:rPr>
        <w:t>-</w:t>
      </w:r>
      <w:r>
        <w:t xml:space="preserve"> Sentencia </w:t>
      </w:r>
      <w:hyperlink w:anchor="SENTENCIA_2015_232" w:history="1">
        <w:r w:rsidRPr="00981775">
          <w:rPr>
            <w:rStyle w:val="TextoNormalCaracter"/>
          </w:rPr>
          <w:t>232/2015</w:t>
        </w:r>
      </w:hyperlink>
      <w:r>
        <w:t>, f. 5.</w:t>
      </w:r>
    </w:p>
    <w:p w:rsidR="00981775" w:rsidRDefault="00981775" w:rsidP="00981775">
      <w:pPr>
        <w:pStyle w:val="SangriaFrancesaArticulo"/>
      </w:pPr>
    </w:p>
    <w:p w:rsidR="00981775" w:rsidRDefault="00981775" w:rsidP="00981775">
      <w:pPr>
        <w:pStyle w:val="TextoNormalNegritaCursivandice"/>
      </w:pPr>
      <w:r>
        <w:t>Sentencia del Tribunal de Justicia de la Unión Europea de 22 de diciembre de 2010 (Rosa María Gavieiro Gavieiro y Ana María Iglesias Torres, c. Consellería de Educación e Ordenación Universitaria de la Xunta de Galicia, asuntos 444/09, 456/09)</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2" w:history="1">
        <w:r w:rsidRPr="00981775">
          <w:rPr>
            <w:rStyle w:val="TextoNormalCaracter"/>
          </w:rPr>
          <w:t>232/2015</w:t>
        </w:r>
      </w:hyperlink>
      <w:r>
        <w:t>, ff. 3, 4, 6.</w:t>
      </w:r>
    </w:p>
    <w:p w:rsidR="00981775" w:rsidRDefault="00981775" w:rsidP="00981775">
      <w:pPr>
        <w:pStyle w:val="SangriaFrancesaArticulo"/>
      </w:pPr>
    </w:p>
    <w:p w:rsidR="00981775" w:rsidRDefault="00981775" w:rsidP="00981775">
      <w:pPr>
        <w:pStyle w:val="TextoNormalNegritaCursivandice"/>
      </w:pPr>
      <w:r>
        <w:t>Sentencia del Tribunal de Justicia de la Unión Europea de 18 de octubre de 2011 (Boxus c. región wallone, asuntos acumulados C-128/09 a C-134/09 y C-135/09)</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1" w:history="1">
        <w:r w:rsidRPr="00981775">
          <w:rPr>
            <w:rStyle w:val="TextoNormalCaracter"/>
          </w:rPr>
          <w:t>231/2015</w:t>
        </w:r>
      </w:hyperlink>
      <w:r>
        <w:t>, f. 7.</w:t>
      </w:r>
    </w:p>
    <w:p w:rsidR="00981775" w:rsidRDefault="00981775" w:rsidP="00981775">
      <w:pPr>
        <w:pStyle w:val="SangriaFrancesaArticulo"/>
      </w:pPr>
    </w:p>
    <w:p w:rsidR="00981775" w:rsidRDefault="00981775" w:rsidP="00981775">
      <w:pPr>
        <w:pStyle w:val="TextoNormalNegritaCursivandice"/>
      </w:pPr>
      <w:r>
        <w:t>Auto del Tribunal de Justicia de la Unión Europea de 9 de febrero de 2012 (María Jesús Lorenzo Martínez c. Junta de Castilla y León, asunto c-556/11)</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32" w:history="1">
        <w:r w:rsidRPr="00981775">
          <w:rPr>
            <w:rStyle w:val="TextoNormalCaracter"/>
          </w:rPr>
          <w:t>232/2015</w:t>
        </w:r>
      </w:hyperlink>
      <w:r>
        <w:t>, ff. 3, 4, 6.</w:t>
      </w:r>
    </w:p>
    <w:p w:rsidR="00981775" w:rsidRDefault="00981775" w:rsidP="00981775">
      <w:pPr>
        <w:pStyle w:val="SangriaFrancesaArticulo"/>
      </w:pPr>
    </w:p>
    <w:p w:rsidR="00981775" w:rsidRDefault="00981775" w:rsidP="00981775">
      <w:pPr>
        <w:pStyle w:val="TextoNormalNegritaCursivandice"/>
      </w:pPr>
      <w:r>
        <w:t>Sentencia del Tribunal de Justicia de la Unión Europea de 11 de junio de 2015 (asunto C-98/14)</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70" w:history="1">
        <w:r w:rsidRPr="00981775">
          <w:rPr>
            <w:rStyle w:val="TextoNormalCaracter"/>
          </w:rPr>
          <w:t>270/2015</w:t>
        </w:r>
      </w:hyperlink>
      <w:r>
        <w:t>, VP.</w:t>
      </w:r>
    </w:p>
    <w:p w:rsidR="00981775" w:rsidRDefault="00981775" w:rsidP="00981775">
      <w:pPr>
        <w:pStyle w:val="SangriaFrancesaArticulo"/>
      </w:pPr>
    </w:p>
    <w:p w:rsidR="00981775" w:rsidRDefault="00981775" w:rsidP="00981775">
      <w:pPr>
        <w:pStyle w:val="TextoNormalNegritaCursivandice"/>
      </w:pPr>
      <w:r>
        <w:t>Sentencia del Tribunal de Justicia de la Unión Europea de 10 de diciembre de 2015 (asunto C-427/14)</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270" w:history="1">
        <w:r w:rsidRPr="00981775">
          <w:rPr>
            <w:rStyle w:val="TextoNormalCaracter"/>
          </w:rPr>
          <w:t>270/2015</w:t>
        </w:r>
      </w:hyperlink>
      <w:r>
        <w:t>, VP.</w:t>
      </w:r>
    </w:p>
    <w:p w:rsidR="00981775" w:rsidRDefault="00981775" w:rsidP="00981775">
      <w:pPr>
        <w:pStyle w:val="TextoNormal"/>
      </w:pPr>
    </w:p>
    <w:p w:rsidR="00981775" w:rsidRDefault="00981775" w:rsidP="00981775">
      <w:pPr>
        <w:pStyle w:val="SangriaFrancesaArticulo"/>
      </w:pPr>
      <w:bookmarkStart w:id="264" w:name="INDICE22925"/>
    </w:p>
    <w:bookmarkEnd w:id="264"/>
    <w:p w:rsidR="00981775" w:rsidRDefault="00981775" w:rsidP="00981775">
      <w:pPr>
        <w:pStyle w:val="TextoIndiceNivel2"/>
        <w:suppressAutoHyphens/>
      </w:pPr>
      <w:r>
        <w:t>C) Tribunal Supremo</w:t>
      </w:r>
    </w:p>
    <w:p w:rsidR="00981775" w:rsidRDefault="00981775" w:rsidP="00981775">
      <w:pPr>
        <w:pStyle w:val="TextoIndiceNivel2"/>
      </w:pPr>
    </w:p>
    <w:p w:rsidR="00981775" w:rsidRDefault="00981775" w:rsidP="00981775">
      <w:pPr>
        <w:pStyle w:val="TextoNormalNegritaCursivandice"/>
      </w:pPr>
      <w:r>
        <w:t>Sentencia de la Sección Quinta de la Sala de lo Contencioso-Administrativo del Tribunal Supremo de 27 de febrero de 2014 (recurso de casación núm. 207-2011)</w:t>
      </w:r>
    </w:p>
    <w:p w:rsidR="00981775" w:rsidRDefault="00981775" w:rsidP="00981775">
      <w:pPr>
        <w:pStyle w:val="SangriaFrancesaArticulo"/>
      </w:pPr>
      <w:r>
        <w:t xml:space="preserve">Sentencia </w:t>
      </w:r>
      <w:hyperlink w:anchor="SENTENCIA_2015_195" w:history="1">
        <w:r w:rsidRPr="00981775">
          <w:rPr>
            <w:rStyle w:val="TextoNormalCaracter"/>
          </w:rPr>
          <w:t>195/2015</w:t>
        </w:r>
      </w:hyperlink>
      <w:r>
        <w:t xml:space="preserve"> (anula).</w:t>
      </w:r>
    </w:p>
    <w:p w:rsidR="00981775" w:rsidRDefault="00981775" w:rsidP="00981775">
      <w:pPr>
        <w:pStyle w:val="SangriaFrancesaArticulo"/>
      </w:pPr>
    </w:p>
    <w:p w:rsidR="00981775" w:rsidRDefault="00981775" w:rsidP="00981775">
      <w:pPr>
        <w:pStyle w:val="TextoNormalNegritaCursivandice"/>
      </w:pPr>
      <w:r>
        <w:t>Auto de la Sección Quinta de la Sala de lo Contencioso-Administrativo del Tribunal Supremo de 15 de julio de 2014 (recurso de casación núm. 207-2011)</w:t>
      </w:r>
    </w:p>
    <w:p w:rsidR="00981775" w:rsidRDefault="00981775" w:rsidP="00981775">
      <w:pPr>
        <w:pStyle w:val="SangriaFrancesaArticulo"/>
      </w:pPr>
      <w:r>
        <w:t xml:space="preserve">Sentencia </w:t>
      </w:r>
      <w:hyperlink w:anchor="SENTENCIA_2015_195" w:history="1">
        <w:r w:rsidRPr="00981775">
          <w:rPr>
            <w:rStyle w:val="TextoNormalCaracter"/>
          </w:rPr>
          <w:t>195/2015</w:t>
        </w:r>
      </w:hyperlink>
      <w:r>
        <w:t xml:space="preserve"> (anula).</w:t>
      </w:r>
    </w:p>
    <w:p w:rsidR="00981775" w:rsidRDefault="00981775" w:rsidP="00981775">
      <w:pPr>
        <w:pStyle w:val="TextoNormal"/>
      </w:pPr>
    </w:p>
    <w:p w:rsidR="00981775" w:rsidRDefault="00981775" w:rsidP="00981775">
      <w:pPr>
        <w:pStyle w:val="SangriaFrancesaArticulo"/>
      </w:pPr>
      <w:bookmarkStart w:id="265" w:name="INDICE22926"/>
    </w:p>
    <w:bookmarkEnd w:id="265"/>
    <w:p w:rsidR="00981775" w:rsidRDefault="00981775" w:rsidP="00981775">
      <w:pPr>
        <w:pStyle w:val="TextoIndiceNivel2"/>
        <w:suppressAutoHyphens/>
      </w:pPr>
      <w:r>
        <w:t>D) Otros Tribunales</w:t>
      </w:r>
    </w:p>
    <w:p w:rsidR="00981775" w:rsidRDefault="00981775" w:rsidP="00981775">
      <w:pPr>
        <w:pStyle w:val="TextoIndiceNivel2"/>
      </w:pPr>
    </w:p>
    <w:p w:rsidR="00981775" w:rsidRDefault="00981775" w:rsidP="00981775">
      <w:pPr>
        <w:pStyle w:val="TextoNormalNegritaCursivandice"/>
      </w:pPr>
      <w:r>
        <w:t>Sentencia del Tribunal Supremo de los Estados Unidos de América (Abrams v. United States) (250 U.S. 616, 1919)</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7" w:history="1">
        <w:r w:rsidRPr="00981775">
          <w:rPr>
            <w:rStyle w:val="TextoNormalCaracter"/>
          </w:rPr>
          <w:t>177/2015</w:t>
        </w:r>
      </w:hyperlink>
      <w:r>
        <w:t>, VP I.</w:t>
      </w:r>
    </w:p>
    <w:p w:rsidR="00981775" w:rsidRDefault="00981775" w:rsidP="00981775">
      <w:pPr>
        <w:pStyle w:val="SangriaFrancesaArticulo"/>
      </w:pPr>
    </w:p>
    <w:p w:rsidR="00981775" w:rsidRDefault="00981775" w:rsidP="00981775">
      <w:pPr>
        <w:pStyle w:val="TextoNormalNegritaCursivandice"/>
      </w:pPr>
      <w:r>
        <w:t>Sentencia del Tribunal Supremo de los Estados Unidos de América (United States v. O'Brien) (391 U.S. 367, 1968)</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7" w:history="1">
        <w:r w:rsidRPr="00981775">
          <w:rPr>
            <w:rStyle w:val="TextoNormalCaracter"/>
          </w:rPr>
          <w:t>177/2015</w:t>
        </w:r>
      </w:hyperlink>
      <w:r>
        <w:t>, VP III.</w:t>
      </w:r>
    </w:p>
    <w:p w:rsidR="00981775" w:rsidRDefault="00981775" w:rsidP="00981775">
      <w:pPr>
        <w:pStyle w:val="SangriaFrancesaArticulo"/>
      </w:pPr>
    </w:p>
    <w:p w:rsidR="00981775" w:rsidRDefault="00981775" w:rsidP="00981775">
      <w:pPr>
        <w:pStyle w:val="TextoNormalNegritaCursivandice"/>
      </w:pPr>
      <w:r>
        <w:t>Sentencia del Tribunal Supremo de los Estados Unidos de América (Texas v. Johnson) (491 U.S. 397, 1989)</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7" w:history="1">
        <w:r w:rsidRPr="00981775">
          <w:rPr>
            <w:rStyle w:val="TextoNormalCaracter"/>
          </w:rPr>
          <w:t>177/2015</w:t>
        </w:r>
      </w:hyperlink>
      <w:r>
        <w:t>, VP III.</w:t>
      </w:r>
    </w:p>
    <w:p w:rsidR="00981775" w:rsidRDefault="00981775" w:rsidP="00981775">
      <w:pPr>
        <w:pStyle w:val="SangriaFrancesaArticulo"/>
      </w:pPr>
    </w:p>
    <w:p w:rsidR="00981775" w:rsidRDefault="00981775" w:rsidP="00981775">
      <w:pPr>
        <w:pStyle w:val="TextoNormalNegritaCursivandice"/>
      </w:pPr>
      <w:r>
        <w:t>Sentencia del Tribunal Supremo de los Estados Unidos de América (United State v. Eichman) (496 U.S. 310, 1990)</w:t>
      </w:r>
    </w:p>
    <w:p w:rsidR="00981775" w:rsidRDefault="00981775" w:rsidP="00981775">
      <w:pPr>
        <w:pStyle w:val="SangriaFrancesaArticulo"/>
      </w:pPr>
      <w:r w:rsidRPr="00981775">
        <w:rPr>
          <w:rStyle w:val="TextoNormalNegritaCaracter"/>
        </w:rPr>
        <w:t>En general.</w:t>
      </w:r>
      <w:r w:rsidRPr="00981775">
        <w:rPr>
          <w:rStyle w:val="TextoNormalCaracter"/>
        </w:rPr>
        <w:t>-</w:t>
      </w:r>
      <w:r>
        <w:t xml:space="preserve"> Sentencia </w:t>
      </w:r>
      <w:hyperlink w:anchor="SENTENCIA_2015_177" w:history="1">
        <w:r w:rsidRPr="00981775">
          <w:rPr>
            <w:rStyle w:val="TextoNormalCaracter"/>
          </w:rPr>
          <w:t>177/2015</w:t>
        </w:r>
      </w:hyperlink>
      <w:r>
        <w:t>, VP III.</w:t>
      </w:r>
    </w:p>
    <w:p w:rsidR="00981775" w:rsidRDefault="00981775">
      <w:pPr>
        <w:spacing w:after="160" w:line="259" w:lineRule="auto"/>
        <w:rPr>
          <w:rFonts w:ascii="Times New Roman" w:eastAsia="Times New Roman" w:hAnsi="Times New Roman" w:cs="Times New Roman"/>
          <w:sz w:val="24"/>
          <w:szCs w:val="24"/>
          <w:lang w:eastAsia="es-ES"/>
        </w:rPr>
      </w:pPr>
      <w:r>
        <w:br w:type="page"/>
      </w:r>
    </w:p>
    <w:p w:rsidR="00981775" w:rsidRDefault="00981775" w:rsidP="00981775">
      <w:pPr>
        <w:pStyle w:val="SangriaFrancesaArticulo"/>
      </w:pPr>
      <w:bookmarkStart w:id="266" w:name="DESCRIPTOR1"/>
      <w:bookmarkStart w:id="267" w:name="DESCRIPTOR2"/>
      <w:bookmarkStart w:id="268" w:name="DESCRIPTOR3"/>
      <w:bookmarkStart w:id="269" w:name="DESCRIPTOR4"/>
      <w:bookmarkStart w:id="270" w:name="DESCRIPTOR5"/>
      <w:bookmarkStart w:id="271" w:name="DESCRIPTOR6"/>
      <w:bookmarkStart w:id="272" w:name="DESCRIPTOR7"/>
      <w:bookmarkStart w:id="273" w:name="DESCRIPTOR8"/>
      <w:bookmarkStart w:id="274" w:name="DESCRIPTOR9"/>
      <w:bookmarkStart w:id="275" w:name="DESCRIPTOR10"/>
      <w:bookmarkStart w:id="276" w:name="DESCRIPTOR11"/>
      <w:bookmarkStart w:id="277" w:name="DESCRIPTOR12"/>
      <w:bookmarkStart w:id="278" w:name="DESCRIPTOR13"/>
      <w:bookmarkStart w:id="279" w:name="DESCRIPTOR14"/>
      <w:bookmarkStart w:id="280" w:name="DESCRIPTOR15"/>
      <w:bookmarkStart w:id="281" w:name="DESCRIPTOR16"/>
      <w:bookmarkStart w:id="282" w:name="DESCRIPTOR17"/>
      <w:bookmarkStart w:id="283" w:name="DESCRIPTOR18"/>
      <w:bookmarkStart w:id="284" w:name="DESCRIPTOR19"/>
      <w:bookmarkStart w:id="285" w:name="DESCRIPTOR20"/>
      <w:bookmarkStart w:id="286" w:name="DESCRIPTOR21"/>
      <w:bookmarkStart w:id="287" w:name="DESCRIPTOR22"/>
      <w:bookmarkStart w:id="288" w:name="DESCRIPTOR23"/>
      <w:bookmarkStart w:id="289" w:name="DESCRIPTOR24"/>
      <w:bookmarkStart w:id="290" w:name="DESCRIPTOR25"/>
      <w:bookmarkStart w:id="291" w:name="DESCRIPTOR26"/>
      <w:bookmarkStart w:id="292" w:name="DESCRIPTOR27"/>
      <w:bookmarkStart w:id="293" w:name="DESCRIPTOR28"/>
      <w:bookmarkStart w:id="294" w:name="DESCRIPTOR29"/>
      <w:bookmarkStart w:id="295" w:name="DESCRIPTOR30"/>
      <w:bookmarkStart w:id="296" w:name="DESCRIPTOR31"/>
      <w:bookmarkStart w:id="297" w:name="DESCRIPTOR32"/>
      <w:bookmarkStart w:id="298" w:name="DESCRIPTOR33"/>
      <w:bookmarkStart w:id="299" w:name="DESCRIPTOR34"/>
      <w:bookmarkStart w:id="300" w:name="DESCRIPTOR35"/>
      <w:bookmarkStart w:id="301" w:name="DESCRIPTOR36"/>
      <w:bookmarkStart w:id="302" w:name="DESCRIPTOR37"/>
      <w:bookmarkStart w:id="303" w:name="DESCRIPTOR38"/>
      <w:bookmarkStart w:id="304" w:name="DESCRIPTOR39"/>
      <w:bookmarkStart w:id="305" w:name="DESCRIPTOR40"/>
      <w:bookmarkStart w:id="306" w:name="DESCRIPTOR41"/>
      <w:bookmarkStart w:id="307" w:name="DESCRIPTOR42"/>
      <w:bookmarkStart w:id="308" w:name="DESCRIPTOR43"/>
      <w:bookmarkStart w:id="309" w:name="DESCRIPTOR44"/>
      <w:bookmarkStart w:id="310" w:name="DESCRIPTOR45"/>
      <w:bookmarkStart w:id="311" w:name="DESCRIPTOR46"/>
      <w:bookmarkStart w:id="312" w:name="DESCRIPTOR47"/>
      <w:bookmarkStart w:id="313" w:name="DESCRIPTOR48"/>
      <w:bookmarkStart w:id="314" w:name="DESCRIPTOR49"/>
      <w:bookmarkStart w:id="315" w:name="DESCRIPTOR50"/>
      <w:bookmarkStart w:id="316" w:name="DESCRIPTOR51"/>
      <w:bookmarkStart w:id="317" w:name="DESCRIPTOR52"/>
      <w:bookmarkStart w:id="318" w:name="DESCRIPTOR53"/>
      <w:bookmarkStart w:id="319" w:name="DESCRIPTOR54"/>
      <w:bookmarkStart w:id="320" w:name="DESCRIPTOR55"/>
      <w:bookmarkStart w:id="321" w:name="DESCRIPTOR56"/>
      <w:bookmarkStart w:id="322" w:name="DESCRIPTOR57"/>
      <w:bookmarkStart w:id="323" w:name="DESCRIPTOR58"/>
      <w:bookmarkStart w:id="324" w:name="DESCRIPTOR59"/>
      <w:bookmarkStart w:id="325" w:name="DESCRIPTOR60"/>
      <w:bookmarkStart w:id="326" w:name="DESCRIPTOR61"/>
      <w:bookmarkStart w:id="327" w:name="DESCRIPTOR62"/>
      <w:bookmarkStart w:id="328" w:name="DESCRIPTOR63"/>
      <w:bookmarkStart w:id="329" w:name="DESCRIPTOR64"/>
      <w:bookmarkStart w:id="330" w:name="DESCRIPTOR65"/>
      <w:bookmarkStart w:id="331" w:name="DESCRIPTOR66"/>
      <w:bookmarkStart w:id="332" w:name="DESCRIPTOR67"/>
      <w:bookmarkStart w:id="333" w:name="DESCRIPTOR68"/>
      <w:bookmarkStart w:id="334" w:name="DESCRIPTOR69"/>
      <w:bookmarkStart w:id="335" w:name="DESCRIPTOR70"/>
      <w:bookmarkStart w:id="336" w:name="DESCRIPTOR71"/>
      <w:bookmarkStart w:id="337" w:name="DESCRIPTOR72"/>
      <w:bookmarkStart w:id="338" w:name="DESCRIPTOR73"/>
      <w:bookmarkStart w:id="339" w:name="DESCRIPTOR74"/>
      <w:bookmarkStart w:id="340" w:name="DESCRIPTOR75"/>
      <w:bookmarkStart w:id="341" w:name="DESCRIPTOR76"/>
      <w:bookmarkStart w:id="342" w:name="DESCRIPTOR77"/>
      <w:bookmarkStart w:id="343" w:name="DESCRIPTOR78"/>
      <w:bookmarkStart w:id="344" w:name="DESCRIPTOR79"/>
      <w:bookmarkStart w:id="345" w:name="DESCRIPTOR80"/>
      <w:bookmarkStart w:id="346" w:name="DESCRIPTOR81"/>
      <w:bookmarkStart w:id="347" w:name="DESCRIPTOR82"/>
      <w:bookmarkStart w:id="348" w:name="DESCRIPTOR83"/>
      <w:bookmarkStart w:id="349" w:name="DESCRIPTOR84"/>
      <w:bookmarkStart w:id="350" w:name="DESCRIPTOR85"/>
      <w:bookmarkStart w:id="351" w:name="DESCRIPTOR86"/>
      <w:bookmarkStart w:id="352" w:name="DESCRIPTOR87"/>
      <w:bookmarkStart w:id="353" w:name="DESCRIPTOR88"/>
      <w:bookmarkStart w:id="354" w:name="DESCRIPTOR89"/>
      <w:bookmarkStart w:id="355" w:name="DESCRIPTOR90"/>
      <w:bookmarkStart w:id="356" w:name="DESCRIPTOR91"/>
      <w:bookmarkStart w:id="357" w:name="DESCRIPTOR92"/>
      <w:bookmarkStart w:id="358" w:name="DESCRIPTOR93"/>
      <w:bookmarkStart w:id="359" w:name="DESCRIPTOR94"/>
      <w:bookmarkStart w:id="360" w:name="DESCRIPTOR95"/>
      <w:bookmarkStart w:id="361" w:name="DESCRIPTOR96"/>
      <w:bookmarkStart w:id="362" w:name="DESCRIPTOR97"/>
      <w:bookmarkStart w:id="363" w:name="DESCRIPTOR98"/>
      <w:bookmarkStart w:id="364" w:name="DESCRIPTOR99"/>
      <w:bookmarkStart w:id="365" w:name="DESCRIPTOR100"/>
      <w:bookmarkStart w:id="366" w:name="DESCRIPTOR101"/>
      <w:bookmarkStart w:id="367" w:name="DESCRIPTOR102"/>
      <w:bookmarkStart w:id="368" w:name="DESCRIPTOR103"/>
      <w:bookmarkStart w:id="369" w:name="DESCRIPTOR104"/>
      <w:bookmarkStart w:id="370" w:name="DESCRIPTOR105"/>
      <w:bookmarkStart w:id="371" w:name="DESCRIPTOR106"/>
      <w:bookmarkStart w:id="372" w:name="DESCRIPTOR107"/>
      <w:bookmarkStart w:id="373" w:name="DESCRIPTOR108"/>
      <w:bookmarkStart w:id="374" w:name="DESCRIPTOR109"/>
      <w:bookmarkStart w:id="375" w:name="DESCRIPTOR110"/>
      <w:bookmarkStart w:id="376" w:name="DESCRIPTOR111"/>
      <w:bookmarkStart w:id="377" w:name="DESCRIPTOR112"/>
      <w:bookmarkStart w:id="378" w:name="DESCRIPTOR113"/>
      <w:bookmarkStart w:id="379" w:name="DESCRIPTOR114"/>
      <w:bookmarkStart w:id="380" w:name="DESCRIPTOR115"/>
      <w:bookmarkStart w:id="381" w:name="DESCRIPTOR116"/>
      <w:bookmarkStart w:id="382" w:name="DESCRIPTOR117"/>
      <w:bookmarkStart w:id="383" w:name="DESCRIPTOR118"/>
      <w:bookmarkStart w:id="384" w:name="DESCRIPTOR119"/>
      <w:bookmarkStart w:id="385" w:name="DESCRIPTOR120"/>
      <w:bookmarkStart w:id="386" w:name="DESCRIPTOR121"/>
      <w:bookmarkStart w:id="387" w:name="DESCRIPTOR122"/>
      <w:bookmarkStart w:id="388" w:name="DESCRIPTOR123"/>
      <w:bookmarkStart w:id="389" w:name="DESCRIPTOR124"/>
      <w:bookmarkStart w:id="390" w:name="DESCRIPTOR125"/>
      <w:bookmarkStart w:id="391" w:name="DESCRIPTOR126"/>
      <w:bookmarkStart w:id="392" w:name="DESCRIPTOR127"/>
      <w:bookmarkStart w:id="393" w:name="DESCRIPTOR128"/>
      <w:bookmarkStart w:id="394" w:name="DESCRIPTOR129"/>
      <w:bookmarkStart w:id="395" w:name="DESCRIPTOR130"/>
      <w:bookmarkStart w:id="396" w:name="DESCRIPTOR131"/>
      <w:bookmarkStart w:id="397" w:name="DESCRIPTOR132"/>
      <w:bookmarkStart w:id="398" w:name="DESCRIPTOR133"/>
      <w:bookmarkStart w:id="399" w:name="DESCRIPTOR134"/>
      <w:bookmarkStart w:id="400" w:name="DESCRIPTOR135"/>
      <w:bookmarkStart w:id="401" w:name="DESCRIPTOR136"/>
      <w:bookmarkStart w:id="402" w:name="DESCRIPTOR137"/>
      <w:bookmarkStart w:id="403" w:name="DESCRIPTOR138"/>
      <w:bookmarkStart w:id="404" w:name="DESCRIPTOR139"/>
      <w:bookmarkStart w:id="405" w:name="DESCRIPTOR140"/>
      <w:bookmarkStart w:id="406" w:name="DESCRIPTOR141"/>
      <w:bookmarkStart w:id="407" w:name="DESCRIPTOR142"/>
      <w:bookmarkStart w:id="408" w:name="DESCRIPTOR143"/>
      <w:bookmarkStart w:id="409" w:name="DESCRIPTOR144"/>
      <w:bookmarkStart w:id="410" w:name="DESCRIPTOR145"/>
      <w:bookmarkStart w:id="411" w:name="DESCRIPTOR146"/>
      <w:bookmarkStart w:id="412" w:name="DESCRIPTOR147"/>
      <w:bookmarkStart w:id="413" w:name="DESCRIPTOR148"/>
      <w:bookmarkStart w:id="414" w:name="DESCRIPTOR149"/>
      <w:bookmarkStart w:id="415" w:name="DESCRIPTOR150"/>
      <w:bookmarkStart w:id="416" w:name="DESCRIPTOR151"/>
      <w:bookmarkStart w:id="417" w:name="DESCRIPTOR152"/>
      <w:bookmarkStart w:id="418" w:name="DESCRIPTOR153"/>
      <w:bookmarkStart w:id="419" w:name="DESCRIPTOR154"/>
      <w:bookmarkStart w:id="420" w:name="DESCRIPTOR155"/>
      <w:bookmarkStart w:id="421" w:name="DESCRIPTOR156"/>
      <w:bookmarkStart w:id="422" w:name="DESCRIPTOR157"/>
      <w:bookmarkStart w:id="423" w:name="DESCRIPTOR158"/>
      <w:bookmarkStart w:id="424" w:name="DESCRIPTOR159"/>
      <w:bookmarkStart w:id="425" w:name="DESCRIPTOR160"/>
      <w:bookmarkStart w:id="426" w:name="DESCRIPTOR161"/>
      <w:bookmarkStart w:id="427" w:name="DESCRIPTOR162"/>
      <w:bookmarkStart w:id="428" w:name="DESCRIPTOR163"/>
      <w:bookmarkStart w:id="429" w:name="DESCRIPTOR164"/>
      <w:bookmarkStart w:id="430" w:name="DESCRIPTOR165"/>
      <w:bookmarkStart w:id="431" w:name="DESCRIPTOR166"/>
      <w:bookmarkStart w:id="432" w:name="DESCRIPTOR167"/>
      <w:bookmarkStart w:id="433" w:name="DESCRIPTOR168"/>
      <w:bookmarkStart w:id="434" w:name="DESCRIPTOR169"/>
      <w:bookmarkStart w:id="435" w:name="DESCRIPTOR170"/>
      <w:bookmarkStart w:id="436" w:name="DESCRIPTOR171"/>
      <w:bookmarkStart w:id="437" w:name="DESCRIPTOR172"/>
      <w:bookmarkStart w:id="438" w:name="DESCRIPTOR173"/>
      <w:bookmarkStart w:id="439" w:name="DESCRIPTOR174"/>
      <w:bookmarkStart w:id="440" w:name="DESCRIPTOR175"/>
      <w:bookmarkStart w:id="441" w:name="DESCRIPTOR176"/>
      <w:bookmarkStart w:id="442" w:name="DESCRIPTOR177"/>
      <w:bookmarkStart w:id="443" w:name="DESCRIPTOR178"/>
      <w:bookmarkStart w:id="444" w:name="DESCRIPTOR179"/>
      <w:bookmarkStart w:id="445" w:name="DESCRIPTOR180"/>
      <w:bookmarkStart w:id="446" w:name="DESCRIPTOR181"/>
      <w:bookmarkStart w:id="447" w:name="DESCRIPTOR182"/>
      <w:bookmarkStart w:id="448" w:name="DESCRIPTOR183"/>
      <w:bookmarkStart w:id="449" w:name="DESCRIPTOR184"/>
      <w:bookmarkStart w:id="450" w:name="DESCRIPTOR185"/>
      <w:bookmarkStart w:id="451" w:name="DESCRIPTOR186"/>
      <w:bookmarkStart w:id="452" w:name="DESCRIPTOR187"/>
      <w:bookmarkStart w:id="453" w:name="DESCRIPTOR188"/>
      <w:bookmarkStart w:id="454" w:name="DESCRIPTOR189"/>
      <w:bookmarkStart w:id="455" w:name="DESCRIPTOR190"/>
      <w:bookmarkStart w:id="456" w:name="DESCRIPTOR191"/>
      <w:bookmarkStart w:id="457" w:name="DESCRIPTOR192"/>
      <w:bookmarkStart w:id="458" w:name="DESCRIPTOR193"/>
      <w:bookmarkStart w:id="459" w:name="DESCRIPTOR194"/>
      <w:bookmarkStart w:id="460" w:name="DESCRIPTOR195"/>
      <w:bookmarkStart w:id="461" w:name="DESCRIPTOR196"/>
      <w:bookmarkStart w:id="462" w:name="DESCRIPTOR197"/>
      <w:bookmarkStart w:id="463" w:name="DESCRIPTOR198"/>
      <w:bookmarkStart w:id="464" w:name="DESCRIPTOR199"/>
      <w:bookmarkStart w:id="465" w:name="DESCRIPTOR200"/>
      <w:bookmarkStart w:id="466" w:name="DESCRIPTOR201"/>
      <w:bookmarkStart w:id="467" w:name="DESCRIPTOR202"/>
      <w:bookmarkStart w:id="468" w:name="DESCRIPTOR203"/>
      <w:bookmarkStart w:id="469" w:name="DESCRIPTOR204"/>
      <w:bookmarkStart w:id="470" w:name="DESCRIPTOR205"/>
      <w:bookmarkStart w:id="471" w:name="DESCRIPTOR206"/>
      <w:bookmarkStart w:id="472" w:name="DESCRIPTOR207"/>
      <w:bookmarkStart w:id="473" w:name="DESCRIPTOR208"/>
      <w:bookmarkStart w:id="474" w:name="DESCRIPTOR209"/>
      <w:bookmarkStart w:id="475" w:name="DESCRIPTOR210"/>
      <w:bookmarkStart w:id="476" w:name="DESCRIPTOR211"/>
      <w:bookmarkStart w:id="477" w:name="DESCRIPTOR212"/>
      <w:bookmarkStart w:id="478" w:name="DESCRIPTOR213"/>
      <w:bookmarkStart w:id="479" w:name="DESCRIPTOR214"/>
      <w:bookmarkStart w:id="480" w:name="DESCRIPTOR215"/>
      <w:bookmarkStart w:id="481" w:name="DESCRIPTOR216"/>
      <w:bookmarkStart w:id="482" w:name="DESCRIPTOR217"/>
      <w:bookmarkStart w:id="483" w:name="DESCRIPTOR218"/>
      <w:bookmarkStart w:id="484" w:name="DESCRIPTOR219"/>
      <w:bookmarkStart w:id="485" w:name="DESCRIPTOR220"/>
      <w:bookmarkStart w:id="486" w:name="DESCRIPTOR221"/>
      <w:bookmarkStart w:id="487" w:name="DESCRIPTOR222"/>
      <w:bookmarkStart w:id="488" w:name="DESCRIPTOR223"/>
      <w:bookmarkStart w:id="489" w:name="DESCRIPTOR224"/>
      <w:bookmarkStart w:id="490" w:name="DESCRIPTOR225"/>
      <w:bookmarkStart w:id="491" w:name="DESCRIPTOR226"/>
      <w:bookmarkStart w:id="492" w:name="DESCRIPTOR227"/>
      <w:bookmarkStart w:id="493" w:name="DESCRIPTOR228"/>
      <w:bookmarkStart w:id="494" w:name="DESCRIPTOR229"/>
      <w:bookmarkStart w:id="495" w:name="DESCRIPTOR230"/>
      <w:bookmarkStart w:id="496" w:name="DESCRIPTOR231"/>
      <w:bookmarkStart w:id="497" w:name="DESCRIPTOR232"/>
      <w:bookmarkStart w:id="498" w:name="DESCRIPTOR233"/>
      <w:bookmarkStart w:id="499" w:name="DESCRIPTOR234"/>
      <w:bookmarkStart w:id="500" w:name="DESCRIPTOR235"/>
      <w:bookmarkStart w:id="501" w:name="DESCRIPTOR236"/>
      <w:bookmarkStart w:id="502" w:name="DESCRIPTOR237"/>
      <w:bookmarkStart w:id="503" w:name="DESCRIPTOR238"/>
      <w:bookmarkStart w:id="504" w:name="DESCRIPTOR239"/>
      <w:bookmarkStart w:id="505" w:name="DESCRIPTOR240"/>
      <w:bookmarkStart w:id="506" w:name="DESCRIPTOR241"/>
      <w:bookmarkStart w:id="507" w:name="DESCRIPTOR242"/>
      <w:bookmarkStart w:id="508" w:name="DESCRIPTOR243"/>
      <w:bookmarkStart w:id="509" w:name="DESCRIPTOR244"/>
      <w:bookmarkStart w:id="510" w:name="DESCRIPTOR245"/>
      <w:bookmarkStart w:id="511" w:name="DESCRIPTOR246"/>
      <w:bookmarkStart w:id="512" w:name="DESCRIPTOR247"/>
      <w:bookmarkStart w:id="513" w:name="DESCRIPTOR248"/>
      <w:bookmarkStart w:id="514" w:name="DESCRIPTOR249"/>
      <w:bookmarkStart w:id="515" w:name="DESCRIPTOR250"/>
      <w:bookmarkStart w:id="516" w:name="DESCRIPTOR251"/>
      <w:bookmarkStart w:id="517" w:name="DESCRIPTOR252"/>
      <w:bookmarkStart w:id="518" w:name="DESCRIPTOR253"/>
      <w:bookmarkStart w:id="519" w:name="DESCRIPTOR254"/>
      <w:bookmarkStart w:id="520" w:name="DESCRIPTOR255"/>
      <w:bookmarkStart w:id="521" w:name="DESCRIPTOR256"/>
      <w:bookmarkStart w:id="522" w:name="DESCRIPTOR257"/>
      <w:bookmarkStart w:id="523" w:name="DESCRIPTOR258"/>
      <w:bookmarkStart w:id="524" w:name="DESCRIPTOR259"/>
      <w:bookmarkStart w:id="525" w:name="DESCRIPTOR260"/>
      <w:bookmarkStart w:id="526" w:name="DESCRIPTOR261"/>
      <w:bookmarkStart w:id="527" w:name="DESCRIPTOR262"/>
      <w:bookmarkStart w:id="528" w:name="DESCRIPTOR263"/>
      <w:bookmarkStart w:id="529" w:name="DESCRIPTOR264"/>
      <w:bookmarkStart w:id="530" w:name="DESCRIPTOR265"/>
      <w:bookmarkStart w:id="531" w:name="DESCRIPTOR266"/>
      <w:bookmarkStart w:id="532" w:name="DESCRIPTOR267"/>
      <w:bookmarkStart w:id="533" w:name="DESCRIPTOR268"/>
      <w:bookmarkStart w:id="534" w:name="DESCRIPTOR269"/>
      <w:bookmarkStart w:id="535" w:name="DESCRIPTOR270"/>
      <w:bookmarkStart w:id="536" w:name="DESCRIPTOR271"/>
      <w:bookmarkStart w:id="537" w:name="DESCRIPTOR272"/>
      <w:bookmarkStart w:id="538" w:name="DESCRIPTOR273"/>
      <w:bookmarkStart w:id="539" w:name="DESCRIPTOR274"/>
      <w:bookmarkStart w:id="540" w:name="DESCRIPTOR275"/>
      <w:bookmarkStart w:id="541" w:name="DESCRIPTOR276"/>
      <w:bookmarkStart w:id="542" w:name="DESCRIPTOR277"/>
      <w:bookmarkStart w:id="543" w:name="DESCRIPTOR278"/>
      <w:bookmarkStart w:id="544" w:name="DESCRIPTOR279"/>
      <w:bookmarkStart w:id="545" w:name="DESCRIPTOR280"/>
      <w:bookmarkStart w:id="546" w:name="DESCRIPTOR281"/>
      <w:bookmarkStart w:id="547" w:name="DESCRIPTOR282"/>
      <w:bookmarkStart w:id="548" w:name="DESCRIPTOR283"/>
      <w:bookmarkStart w:id="549" w:name="DESCRIPTOR284"/>
      <w:bookmarkStart w:id="550" w:name="DESCRIPTOR285"/>
      <w:bookmarkStart w:id="551" w:name="DESCRIPTOR286"/>
      <w:bookmarkStart w:id="552" w:name="DESCRIPTOR287"/>
      <w:bookmarkStart w:id="553" w:name="DESCRIPTOR288"/>
      <w:bookmarkStart w:id="554" w:name="DESCRIPTOR289"/>
      <w:bookmarkStart w:id="555" w:name="DESCRIPTOR290"/>
      <w:bookmarkStart w:id="556" w:name="DESCRIPTOR291"/>
      <w:bookmarkStart w:id="557" w:name="DESCRIPTOR292"/>
      <w:bookmarkStart w:id="558" w:name="DESCRIPTOR293"/>
      <w:bookmarkStart w:id="559" w:name="DESCRIPTOR294"/>
      <w:bookmarkStart w:id="560" w:name="DESCRIPTOR295"/>
      <w:bookmarkStart w:id="561" w:name="DESCRIPTOR296"/>
      <w:bookmarkStart w:id="562" w:name="DESCRIPTOR297"/>
      <w:bookmarkStart w:id="563" w:name="DESCRIPTOR298"/>
      <w:bookmarkStart w:id="564" w:name="DESCRIPTOR299"/>
      <w:bookmarkStart w:id="565" w:name="DESCRIPTOR300"/>
      <w:bookmarkStart w:id="566" w:name="DESCRIPTOR301"/>
      <w:bookmarkStart w:id="567" w:name="DESCRIPTOR302"/>
      <w:bookmarkStart w:id="568" w:name="DESCRIPTOR303"/>
      <w:bookmarkStart w:id="569" w:name="DESCRIPTOR304"/>
      <w:bookmarkStart w:id="570" w:name="DESCRIPTOR305"/>
      <w:bookmarkStart w:id="571" w:name="DESCRIPTOR306"/>
      <w:bookmarkStart w:id="572" w:name="DESCRIPTOR307"/>
      <w:bookmarkStart w:id="573" w:name="DESCRIPTOR308"/>
      <w:bookmarkStart w:id="574" w:name="DESCRIPTOR309"/>
      <w:bookmarkStart w:id="575" w:name="DESCRIPTOR310"/>
      <w:bookmarkStart w:id="576" w:name="DESCRIPTOR311"/>
      <w:bookmarkStart w:id="577" w:name="DESCRIPTOR312"/>
      <w:bookmarkStart w:id="578" w:name="DESCRIPTOR313"/>
      <w:bookmarkStart w:id="579" w:name="DESCRIPTOR314"/>
      <w:bookmarkStart w:id="580" w:name="DESCRIPTOR315"/>
      <w:bookmarkStart w:id="581" w:name="DESCRIPTOR316"/>
      <w:bookmarkStart w:id="582" w:name="DESCRIPTOR317"/>
      <w:bookmarkStart w:id="583" w:name="DESCRIPTOR318"/>
      <w:bookmarkStart w:id="584" w:name="DESCRIPTOR319"/>
      <w:bookmarkStart w:id="585" w:name="DESCRIPTOR320"/>
      <w:bookmarkStart w:id="586" w:name="DESCRIPTOR321"/>
      <w:bookmarkStart w:id="587" w:name="DESCRIPTOR322"/>
      <w:bookmarkStart w:id="588" w:name="DESCRIPTOR323"/>
      <w:bookmarkStart w:id="589" w:name="DESCRIPTOR324"/>
      <w:bookmarkStart w:id="590" w:name="DESCRIPTOR325"/>
      <w:bookmarkStart w:id="591" w:name="DESCRIPTOR326"/>
      <w:bookmarkStart w:id="592" w:name="DESCRIPTOR327"/>
      <w:bookmarkStart w:id="593" w:name="DESCRIPTOR328"/>
      <w:bookmarkStart w:id="594" w:name="DESCRIPTOR329"/>
      <w:bookmarkStart w:id="595" w:name="DESCRIPTOR330"/>
      <w:bookmarkStart w:id="596" w:name="DESCRIPTOR331"/>
      <w:bookmarkStart w:id="597" w:name="DESCRIPTOR332"/>
      <w:bookmarkStart w:id="598" w:name="DESCRIPTOR333"/>
      <w:bookmarkStart w:id="599" w:name="DESCRIPTOR334"/>
      <w:bookmarkStart w:id="600" w:name="DESCRIPTOR335"/>
      <w:bookmarkStart w:id="601" w:name="DESCRIPTOR336"/>
      <w:bookmarkStart w:id="602" w:name="DESCRIPTOR337"/>
      <w:bookmarkStart w:id="603" w:name="DESCRIPTOR338"/>
      <w:bookmarkStart w:id="604" w:name="DESCRIPTOR339"/>
      <w:bookmarkStart w:id="605" w:name="DESCRIPTOR340"/>
      <w:bookmarkStart w:id="606" w:name="DESCRIPTOR341"/>
      <w:bookmarkStart w:id="607" w:name="DESCRIPTOR342"/>
      <w:bookmarkStart w:id="608" w:name="DESCRIPTOR343"/>
      <w:bookmarkStart w:id="609" w:name="DESCRIPTOR344"/>
      <w:bookmarkStart w:id="610" w:name="DESCRIPTOR345"/>
      <w:bookmarkStart w:id="611" w:name="DESCRIPTOR346"/>
      <w:bookmarkStart w:id="612" w:name="DESCRIPTOR347"/>
      <w:bookmarkStart w:id="613" w:name="DESCRIPTOR348"/>
      <w:bookmarkStart w:id="614" w:name="DESCRIPTOR349"/>
      <w:bookmarkStart w:id="615" w:name="DESCRIPTOR350"/>
      <w:bookmarkStart w:id="616" w:name="DESCRIPTOR351"/>
      <w:bookmarkStart w:id="617" w:name="DESCRIPTOR352"/>
      <w:bookmarkStart w:id="618" w:name="DESCRIPTOR353"/>
      <w:bookmarkStart w:id="619" w:name="DESCRIPTOR354"/>
      <w:bookmarkStart w:id="620" w:name="DESCRIPTOR355"/>
      <w:bookmarkStart w:id="621" w:name="DESCRIPTOR356"/>
      <w:bookmarkStart w:id="622" w:name="DESCRIPTOR357"/>
      <w:bookmarkStart w:id="623" w:name="DESCRIPTOR358"/>
      <w:bookmarkStart w:id="624" w:name="DESCRIPTOR359"/>
      <w:bookmarkStart w:id="625" w:name="DESCRIPTOR360"/>
      <w:bookmarkStart w:id="626" w:name="DESCRIPTOR361"/>
      <w:bookmarkStart w:id="627" w:name="DESCRIPTOR362"/>
      <w:bookmarkStart w:id="628" w:name="DESCRIPTOR363"/>
      <w:bookmarkStart w:id="629" w:name="DESCRIPTOR364"/>
      <w:bookmarkStart w:id="630" w:name="DESCRIPTOR365"/>
      <w:bookmarkStart w:id="631" w:name="DESCRIPTOR366"/>
      <w:bookmarkStart w:id="632" w:name="DESCRIPTOR367"/>
      <w:bookmarkStart w:id="633" w:name="DESCRIPTOR368"/>
      <w:bookmarkStart w:id="634" w:name="DESCRIPTOR369"/>
      <w:bookmarkStart w:id="635" w:name="DESCRIPTOR370"/>
      <w:bookmarkStart w:id="636" w:name="DESCRIPTOR371"/>
      <w:bookmarkStart w:id="637" w:name="DESCRIPTOR372"/>
      <w:bookmarkStart w:id="638" w:name="DESCRIPTOR373"/>
      <w:bookmarkStart w:id="639" w:name="DESCRIPTOR374"/>
      <w:bookmarkStart w:id="640" w:name="DESCRIPTOR375"/>
      <w:bookmarkStart w:id="641" w:name="DESCRIPTOR376"/>
      <w:bookmarkStart w:id="642" w:name="DESCRIPTOR377"/>
      <w:bookmarkStart w:id="643" w:name="DESCRIPTOR378"/>
      <w:bookmarkStart w:id="644" w:name="DESCRIPTOR379"/>
      <w:bookmarkStart w:id="645" w:name="DESCRIPTOR380"/>
      <w:bookmarkStart w:id="646" w:name="DESCRIPTOR381"/>
      <w:bookmarkStart w:id="647" w:name="DESCRIPTOR382"/>
      <w:bookmarkStart w:id="648" w:name="DESCRIPTOR383"/>
      <w:bookmarkStart w:id="649" w:name="DESCRIPTOR384"/>
      <w:bookmarkStart w:id="650" w:name="DESCRIPTOR385"/>
      <w:bookmarkStart w:id="651" w:name="DESCRIPTOR386"/>
      <w:bookmarkStart w:id="652" w:name="DESCRIPTOR387"/>
      <w:bookmarkStart w:id="653" w:name="DESCRIPTOR388"/>
      <w:bookmarkStart w:id="654" w:name="DESCRIPTOR389"/>
      <w:bookmarkStart w:id="655" w:name="DESCRIPTOR390"/>
      <w:bookmarkStart w:id="656" w:name="DESCRIPTOR391"/>
      <w:bookmarkStart w:id="657" w:name="DESCRIPTOR392"/>
      <w:bookmarkStart w:id="658" w:name="DESCRIPTOR393"/>
      <w:bookmarkStart w:id="659" w:name="DESCRIPTOR394"/>
      <w:bookmarkStart w:id="660" w:name="DESCRIPTOR395"/>
      <w:bookmarkStart w:id="661" w:name="DESCRIPTOR396"/>
      <w:bookmarkStart w:id="662" w:name="DESCRIPTOR397"/>
      <w:bookmarkStart w:id="663" w:name="DESCRIPTOR398"/>
      <w:bookmarkStart w:id="664" w:name="DESCRIPTOR399"/>
      <w:bookmarkStart w:id="665" w:name="DESCRIPTOR400"/>
      <w:bookmarkStart w:id="666" w:name="DESCRIPTOR401"/>
      <w:bookmarkStart w:id="667" w:name="DESCRIPTOR402"/>
      <w:bookmarkStart w:id="668" w:name="DESCRIPTOR403"/>
      <w:bookmarkStart w:id="669" w:name="DESCRIPTOR404"/>
      <w:bookmarkStart w:id="670" w:name="DESCRIPTOR405"/>
      <w:bookmarkStart w:id="671" w:name="DESCRIPTOR406"/>
      <w:bookmarkStart w:id="672" w:name="DESCRIPTOR407"/>
      <w:bookmarkStart w:id="673" w:name="DESCRIPTOR408"/>
      <w:bookmarkStart w:id="674" w:name="DESCRIPTOR409"/>
      <w:bookmarkStart w:id="675" w:name="DESCRIPTOR410"/>
      <w:bookmarkStart w:id="676" w:name="DESCRIPTOR411"/>
      <w:bookmarkStart w:id="677" w:name="DESCRIPTOR412"/>
      <w:bookmarkStart w:id="678" w:name="DESCRIPTOR413"/>
      <w:bookmarkStart w:id="679" w:name="DESCRIPTOR414"/>
      <w:bookmarkStart w:id="680" w:name="DESCRIPTOR415"/>
      <w:bookmarkStart w:id="681" w:name="DESCRIPTOR416"/>
      <w:bookmarkStart w:id="682" w:name="DESCRIPTOR417"/>
      <w:bookmarkStart w:id="683" w:name="DESCRIPTOR418"/>
      <w:bookmarkStart w:id="684" w:name="DESCRIPTOR419"/>
      <w:bookmarkStart w:id="685" w:name="DESCRIPTOR420"/>
      <w:bookmarkStart w:id="686" w:name="DESCRIPTOR421"/>
      <w:bookmarkStart w:id="687" w:name="DESCRIPTOR422"/>
      <w:bookmarkStart w:id="688" w:name="DESCRIPTOR423"/>
      <w:bookmarkStart w:id="689" w:name="DESCRIPTOR424"/>
      <w:bookmarkStart w:id="690" w:name="DESCRIPTOR425"/>
      <w:bookmarkStart w:id="691" w:name="DESCRIPTOR426"/>
      <w:bookmarkStart w:id="692" w:name="DESCRIPTOR427"/>
      <w:bookmarkStart w:id="693" w:name="DESCRIPTOR428"/>
      <w:bookmarkStart w:id="694" w:name="DESCRIPTOR429"/>
      <w:bookmarkStart w:id="695" w:name="DESCRIPTOR430"/>
      <w:bookmarkStart w:id="696" w:name="DESCRIPTOR431"/>
      <w:bookmarkStart w:id="697" w:name="DESCRIPTOR432"/>
      <w:bookmarkStart w:id="698" w:name="DESCRIPTOR433"/>
      <w:bookmarkStart w:id="699" w:name="DESCRIPTOR434"/>
      <w:bookmarkStart w:id="700" w:name="DESCRIPTOR435"/>
      <w:bookmarkStart w:id="701" w:name="DESCRIPTOR436"/>
      <w:bookmarkStart w:id="702" w:name="DESCRIPTOR437"/>
      <w:bookmarkStart w:id="703" w:name="DESCRIPTOR438"/>
      <w:bookmarkStart w:id="704" w:name="DESCRIPTOR439"/>
      <w:bookmarkStart w:id="705" w:name="DESCRIPTOR440"/>
      <w:bookmarkStart w:id="706" w:name="DESCRIPTOR441"/>
      <w:bookmarkStart w:id="707" w:name="DESCRIPTOR442"/>
      <w:bookmarkStart w:id="708" w:name="DESCRIPTOR443"/>
      <w:bookmarkStart w:id="709" w:name="DESCRIPTOR444"/>
      <w:bookmarkStart w:id="710" w:name="DESCRIPTOR445"/>
      <w:bookmarkStart w:id="711" w:name="DESCRIPTOR446"/>
      <w:bookmarkStart w:id="712" w:name="DESCRIPTOR447"/>
      <w:bookmarkStart w:id="713" w:name="DESCRIPTOR448"/>
      <w:bookmarkStart w:id="714" w:name="DESCRIPTOR449"/>
      <w:bookmarkStart w:id="715" w:name="DESCRIPTOR450"/>
      <w:bookmarkStart w:id="716" w:name="DESCRIPTOR451"/>
      <w:bookmarkStart w:id="717" w:name="DESCRIPTOR452"/>
      <w:bookmarkStart w:id="718" w:name="DESCRIPTOR453"/>
      <w:bookmarkStart w:id="719" w:name="DESCRIPTOR454"/>
      <w:bookmarkStart w:id="720" w:name="DESCRIPTOR455"/>
      <w:bookmarkStart w:id="721" w:name="DESCRIPTOR456"/>
      <w:bookmarkStart w:id="722" w:name="DESCRIPTOR457"/>
      <w:bookmarkStart w:id="723" w:name="DESCRIPTOR458"/>
      <w:bookmarkStart w:id="724" w:name="DESCRIPTOR459"/>
      <w:bookmarkStart w:id="725" w:name="DESCRIPTOR460"/>
      <w:bookmarkStart w:id="726" w:name="DESCRIPTOR461"/>
      <w:bookmarkStart w:id="727" w:name="DESCRIPTOR462"/>
      <w:bookmarkStart w:id="728" w:name="DESCRIPTOR463"/>
      <w:bookmarkStart w:id="729" w:name="DESCRIPTOR464"/>
      <w:bookmarkStart w:id="730" w:name="DESCRIPTOR465"/>
      <w:bookmarkStart w:id="731" w:name="DESCRIPTOR466"/>
      <w:bookmarkStart w:id="732" w:name="DESCRIPTOR467"/>
      <w:bookmarkStart w:id="733" w:name="DESCRIPTOR468"/>
      <w:bookmarkStart w:id="734" w:name="DESCRIPTOR469"/>
      <w:bookmarkStart w:id="735" w:name="DESCRIPTOR470"/>
      <w:bookmarkStart w:id="736" w:name="DESCRIPTOR471"/>
      <w:bookmarkStart w:id="737" w:name="DESCRIPTOR472"/>
      <w:bookmarkStart w:id="738" w:name="DESCRIPTOR473"/>
      <w:bookmarkStart w:id="739" w:name="DESCRIPTOR474"/>
      <w:bookmarkStart w:id="740" w:name="DESCRIPTOR475"/>
      <w:bookmarkStart w:id="741" w:name="DESCRIPTOR476"/>
      <w:bookmarkStart w:id="742" w:name="DESCRIPTOR477"/>
      <w:bookmarkStart w:id="743" w:name="DESCRIPTOR478"/>
      <w:bookmarkStart w:id="744" w:name="DESCRIPTOR479"/>
      <w:bookmarkStart w:id="745" w:name="DESCRIPTOR480"/>
      <w:bookmarkStart w:id="746" w:name="DESCRIPTOR481"/>
      <w:bookmarkStart w:id="747" w:name="DESCRIPTOR482"/>
      <w:bookmarkStart w:id="748" w:name="DESCRIPTOR483"/>
      <w:bookmarkStart w:id="749" w:name="DESCRIPTOR484"/>
      <w:bookmarkStart w:id="750" w:name="DESCRIPTOR485"/>
      <w:bookmarkStart w:id="751" w:name="DESCRIPTOR486"/>
      <w:bookmarkStart w:id="752" w:name="DESCRIPTOR487"/>
      <w:bookmarkStart w:id="753" w:name="DESCRIPTOR488"/>
      <w:bookmarkStart w:id="754" w:name="DESCRIPTOR489"/>
      <w:bookmarkStart w:id="755" w:name="DESCRIPTOR490"/>
      <w:bookmarkStart w:id="756" w:name="DESCRIPTOR491"/>
      <w:bookmarkStart w:id="757" w:name="DESCRIPTOR492"/>
      <w:bookmarkStart w:id="758" w:name="DESCRIPTOR493"/>
      <w:bookmarkStart w:id="759" w:name="DESCRIPTOR494"/>
      <w:bookmarkStart w:id="760" w:name="DESCRIPTOR495"/>
      <w:bookmarkStart w:id="761" w:name="DESCRIPTOR496"/>
      <w:bookmarkStart w:id="762" w:name="DESCRIPTOR497"/>
      <w:bookmarkStart w:id="763" w:name="DESCRIPTOR498"/>
      <w:bookmarkStart w:id="764" w:name="DESCRIPTOR499"/>
      <w:bookmarkStart w:id="765" w:name="DESCRIPTOR500"/>
      <w:bookmarkStart w:id="766" w:name="DESCRIPTOR501"/>
      <w:bookmarkStart w:id="767" w:name="DESCRIPTOR502"/>
      <w:bookmarkStart w:id="768" w:name="DESCRIPTOR503"/>
      <w:bookmarkStart w:id="769" w:name="DESCRIPTOR504"/>
      <w:bookmarkStart w:id="770" w:name="DESCRIPTOR505"/>
      <w:bookmarkStart w:id="771" w:name="DESCRIPTOR506"/>
      <w:bookmarkStart w:id="772" w:name="DESCRIPTOR507"/>
      <w:bookmarkStart w:id="773" w:name="DESCRIPTOR508"/>
      <w:bookmarkStart w:id="774" w:name="DESCRIPTOR509"/>
      <w:bookmarkStart w:id="775" w:name="DESCRIPTOR510"/>
      <w:bookmarkStart w:id="776" w:name="DESCRIPTOR511"/>
      <w:bookmarkStart w:id="777" w:name="DESCRIPTOR512"/>
      <w:bookmarkStart w:id="778" w:name="DESCRIPTOR513"/>
      <w:bookmarkStart w:id="779" w:name="DESCRIPTOR514"/>
      <w:bookmarkStart w:id="780" w:name="DESCRIPTOR515"/>
      <w:bookmarkStart w:id="781" w:name="DESCRIPTOR516"/>
      <w:bookmarkStart w:id="782" w:name="DESCRIPTOR517"/>
      <w:bookmarkStart w:id="783" w:name="DESCRIPTOR518"/>
      <w:bookmarkStart w:id="784" w:name="DESCRIPTOR519"/>
      <w:bookmarkStart w:id="785" w:name="DESCRIPTOR520"/>
      <w:bookmarkStart w:id="786" w:name="DESCRIPTOR521"/>
      <w:bookmarkStart w:id="787" w:name="DESCRIPTOR522"/>
      <w:bookmarkStart w:id="788" w:name="DESCRIPTOR523"/>
      <w:bookmarkStart w:id="789" w:name="DESCRIPTOR524"/>
      <w:bookmarkStart w:id="790" w:name="DESCRIPTOR525"/>
      <w:bookmarkStart w:id="791" w:name="DESCRIPTOR526"/>
      <w:bookmarkStart w:id="792" w:name="DESCRIPTOR527"/>
      <w:bookmarkStart w:id="793" w:name="DESCRIPTOR528"/>
      <w:bookmarkStart w:id="794" w:name="DESCRIPTOR529"/>
      <w:bookmarkStart w:id="795" w:name="DESCRIPTOR530"/>
      <w:bookmarkStart w:id="796" w:name="DESCRIPTOR531"/>
      <w:bookmarkStart w:id="797" w:name="DESCRIPTOR532"/>
      <w:bookmarkStart w:id="798" w:name="DESCRIPTOR533"/>
      <w:bookmarkStart w:id="799" w:name="DESCRIPTOR534"/>
      <w:bookmarkStart w:id="800" w:name="DESCRIPTOR535"/>
      <w:bookmarkStart w:id="801" w:name="DESCRIPTOR536"/>
      <w:bookmarkStart w:id="802" w:name="DESCRIPTOR537"/>
      <w:bookmarkStart w:id="803" w:name="DESCRIPTOR538"/>
      <w:bookmarkStart w:id="804" w:name="DESCRIPTOR539"/>
      <w:bookmarkStart w:id="805" w:name="DESCRIPTOR540"/>
      <w:bookmarkStart w:id="806" w:name="DESCRIPTOR541"/>
      <w:bookmarkStart w:id="807" w:name="DESCRIPTOR542"/>
      <w:bookmarkStart w:id="808" w:name="DESCRIPTOR543"/>
      <w:bookmarkStart w:id="809" w:name="DESCRIPTOR544"/>
      <w:bookmarkStart w:id="810" w:name="DESCRIPTOR545"/>
      <w:bookmarkStart w:id="811" w:name="DESCRIPTOR546"/>
      <w:bookmarkStart w:id="812" w:name="DESCRIPTOR547"/>
      <w:bookmarkStart w:id="813" w:name="DESCRIPTOR548"/>
      <w:bookmarkStart w:id="814" w:name="DESCRIPTOR549"/>
      <w:bookmarkStart w:id="815" w:name="DESCRIPTOR550"/>
      <w:bookmarkStart w:id="816" w:name="DESCRIPTOR551"/>
      <w:bookmarkStart w:id="817" w:name="DESCRIPTOR552"/>
      <w:bookmarkStart w:id="818" w:name="DESCRIPTOR553"/>
      <w:bookmarkStart w:id="819" w:name="DESCRIPTOR554"/>
      <w:bookmarkStart w:id="820" w:name="DESCRIPTOR555"/>
      <w:bookmarkStart w:id="821" w:name="DESCRIPTOR556"/>
      <w:bookmarkStart w:id="822" w:name="DESCRIPTOR557"/>
      <w:bookmarkStart w:id="823" w:name="DESCRIPTOR558"/>
      <w:bookmarkStart w:id="824" w:name="DESCRIPTOR559"/>
      <w:bookmarkStart w:id="825" w:name="DESCRIPTOR560"/>
      <w:bookmarkStart w:id="826" w:name="DESCRIPTOR561"/>
      <w:bookmarkStart w:id="827" w:name="DESCRIPTOR562"/>
      <w:bookmarkStart w:id="828" w:name="DESCRIPTOR563"/>
      <w:bookmarkStart w:id="829" w:name="DESCRIPTOR564"/>
      <w:bookmarkStart w:id="830" w:name="DESCRIPTOR565"/>
      <w:bookmarkStart w:id="831" w:name="DESCRIPTOR566"/>
      <w:bookmarkStart w:id="832" w:name="DESCRIPTOR567"/>
      <w:bookmarkStart w:id="833" w:name="DESCRIPTOR568"/>
      <w:bookmarkStart w:id="834" w:name="DESCRIPTOR569"/>
      <w:bookmarkStart w:id="835" w:name="DESCRIPTOR570"/>
      <w:bookmarkStart w:id="836" w:name="DESCRIPTOR571"/>
      <w:bookmarkStart w:id="837" w:name="DESCRIPTOR572"/>
      <w:bookmarkStart w:id="838" w:name="DESCRIPTOR573"/>
      <w:bookmarkStart w:id="839" w:name="DESCRIPTOR574"/>
      <w:bookmarkStart w:id="840" w:name="DESCRIPTOR575"/>
      <w:bookmarkStart w:id="841" w:name="DESCRIPTOR576"/>
      <w:bookmarkStart w:id="842" w:name="DESCRIPTOR577"/>
      <w:bookmarkStart w:id="843" w:name="DESCRIPTOR578"/>
      <w:bookmarkStart w:id="844" w:name="DESCRIPTOR579"/>
      <w:bookmarkStart w:id="845" w:name="DESCRIPTOR580"/>
      <w:bookmarkStart w:id="846" w:name="DESCRIPTOR581"/>
      <w:bookmarkStart w:id="847" w:name="DESCRIPTOR582"/>
      <w:bookmarkStart w:id="848" w:name="DESCRIPTOR583"/>
      <w:bookmarkStart w:id="849" w:name="DESCRIPTOR584"/>
      <w:bookmarkStart w:id="850" w:name="DESCRIPTOR585"/>
      <w:bookmarkStart w:id="851" w:name="DESCRIPTOR586"/>
      <w:bookmarkStart w:id="852" w:name="DESCRIPTOR587"/>
      <w:bookmarkStart w:id="853" w:name="DESCRIPTOR588"/>
      <w:bookmarkStart w:id="854" w:name="DESCRIPTOR589"/>
      <w:bookmarkStart w:id="855" w:name="DESCRIPTOR590"/>
      <w:bookmarkStart w:id="856" w:name="DESCRIPTOR591"/>
      <w:bookmarkStart w:id="857" w:name="DESCRIPTOR592"/>
      <w:bookmarkStart w:id="858" w:name="DESCRIPTOR593"/>
      <w:bookmarkStart w:id="859" w:name="DESCRIPTOR594"/>
      <w:bookmarkStart w:id="860" w:name="DESCRIPTOR595"/>
      <w:bookmarkStart w:id="861" w:name="DESCRIPTOR596"/>
      <w:bookmarkStart w:id="862" w:name="DESCRIPTOR597"/>
      <w:bookmarkStart w:id="863" w:name="DESCRIPTOR598"/>
      <w:bookmarkStart w:id="864" w:name="DESCRIPTOR599"/>
      <w:bookmarkStart w:id="865" w:name="DESCRIPTOR600"/>
      <w:bookmarkStart w:id="866" w:name="DESCRIPTOR601"/>
      <w:bookmarkStart w:id="867" w:name="DESCRIPTOR602"/>
      <w:bookmarkStart w:id="868" w:name="DESCRIPTOR603"/>
      <w:bookmarkStart w:id="869" w:name="DESCRIPTOR604"/>
      <w:bookmarkStart w:id="870" w:name="DESCRIPTOR605"/>
      <w:bookmarkStart w:id="871" w:name="DESCRIPTOR606"/>
      <w:bookmarkStart w:id="872" w:name="DESCRIPTOR607"/>
      <w:bookmarkStart w:id="873" w:name="DESCRIPTOR608"/>
      <w:bookmarkStart w:id="874" w:name="DESCRIPTOR609"/>
      <w:bookmarkStart w:id="875" w:name="DESCRIPTOR610"/>
      <w:bookmarkStart w:id="876" w:name="DESCRIPTOR611"/>
      <w:bookmarkStart w:id="877" w:name="INDICE5ALFABETICO"/>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p>
    <w:p w:rsidR="00F80910" w:rsidRDefault="00F80910" w:rsidP="00F80910">
      <w:pPr>
        <w:pStyle w:val="TextoNormal"/>
      </w:pPr>
    </w:p>
    <w:p w:rsidR="00F80910" w:rsidRDefault="00F80910" w:rsidP="00F80910">
      <w:pPr>
        <w:pStyle w:val="TextoNormal"/>
      </w:pPr>
    </w:p>
    <w:p w:rsidR="00F80910" w:rsidRDefault="00F80910" w:rsidP="00F80910">
      <w:pPr>
        <w:pStyle w:val="TextoNormal"/>
      </w:pPr>
    </w:p>
    <w:p w:rsidR="00F80910" w:rsidRDefault="00F80910" w:rsidP="00F80910">
      <w:pPr>
        <w:pStyle w:val="Ttulondice"/>
      </w:pPr>
      <w:r>
        <w:t>7. ÍNDICE ANALÍTICO</w:t>
      </w:r>
    </w:p>
    <w:p w:rsidR="00F80910" w:rsidRDefault="00F80910" w:rsidP="00F80910">
      <w:pPr>
        <w:pStyle w:val="TextoNormal"/>
      </w:pPr>
    </w:p>
    <w:p w:rsidR="00F80910" w:rsidRDefault="00F80910" w:rsidP="00F80910">
      <w:pPr>
        <w:pStyle w:val="Ttulondice"/>
      </w:pPr>
    </w:p>
    <w:p w:rsidR="00F80910" w:rsidRDefault="00F80910" w:rsidP="00F80910">
      <w:pPr>
        <w:pStyle w:val="Ttulondice"/>
      </w:pPr>
    </w:p>
    <w:p w:rsidR="00F80910" w:rsidRDefault="00F80910" w:rsidP="00F80910">
      <w:pPr>
        <w:pStyle w:val="Ttulondice"/>
      </w:pPr>
    </w:p>
    <w:p w:rsidR="00F80910" w:rsidRDefault="00F80910" w:rsidP="00F80910">
      <w:pPr>
        <w:pStyle w:val="Ttulondice"/>
      </w:pPr>
    </w:p>
    <w:p w:rsidR="00F80910" w:rsidRDefault="00F80910" w:rsidP="00F80910">
      <w:pPr>
        <w:pStyle w:val="Ttulondice"/>
      </w:pPr>
    </w:p>
    <w:p w:rsidR="00F80910" w:rsidRDefault="00F80910" w:rsidP="00F80910">
      <w:pPr>
        <w:pStyle w:val="Ttulondice"/>
      </w:pPr>
    </w:p>
    <w:p w:rsidR="00F80910" w:rsidRDefault="00F80910" w:rsidP="00F80910">
      <w:pPr>
        <w:pStyle w:val="Ttulondice"/>
      </w:pPr>
    </w:p>
    <w:p w:rsidR="00F80910" w:rsidRDefault="00F80910" w:rsidP="00F80910">
      <w:pPr>
        <w:pStyle w:val="TextoNormalNegritaCentrado"/>
      </w:pPr>
      <w:r>
        <w:t>A</w:t>
      </w:r>
    </w:p>
    <w:p w:rsidR="00F80910" w:rsidRDefault="00F80910" w:rsidP="00F80910">
      <w:pPr>
        <w:pStyle w:val="TextoNormalNegritaCentrado"/>
      </w:pPr>
    </w:p>
    <w:p w:rsidR="00F80910" w:rsidRPr="00F80910" w:rsidRDefault="00F80910" w:rsidP="00F80910">
      <w:pPr>
        <w:pStyle w:val="TextoNormalSangraFrancesa"/>
        <w:rPr>
          <w:rStyle w:val="TextoNormalCaracter"/>
        </w:rPr>
      </w:pPr>
      <w:bookmarkStart w:id="878" w:name="DESCRIPTORALFABETICO596"/>
      <w:r w:rsidRPr="00F80910">
        <w:rPr>
          <w:rStyle w:val="TextoNormalNegritaCaracter"/>
        </w:rPr>
        <w:t>Abono de prisión provisional</w:t>
      </w:r>
      <w:bookmarkEnd w:id="878"/>
      <w:r w:rsidRPr="00F80910">
        <w:rPr>
          <w:rStyle w:val="TextoNormalCaracter"/>
        </w:rPr>
        <w:t xml:space="preserve">, Sentencia </w:t>
      </w:r>
      <w:hyperlink w:anchor="SENTENCIA_2015_261" w:history="1">
        <w:r w:rsidRPr="00F80910">
          <w:rPr>
            <w:rStyle w:val="TextoNormalCaracter"/>
          </w:rPr>
          <w:t>261/2015</w:t>
        </w:r>
      </w:hyperlink>
      <w:r w:rsidRPr="00F80910">
        <w:rPr>
          <w:rStyle w:val="TextoNormalCaracter"/>
        </w:rPr>
        <w:t>, f. 1.</w:t>
      </w:r>
    </w:p>
    <w:p w:rsidR="00F80910" w:rsidRPr="00F80910" w:rsidRDefault="00F80910" w:rsidP="00F80910">
      <w:pPr>
        <w:pStyle w:val="TextoNormalSangraFrancesa"/>
        <w:rPr>
          <w:rStyle w:val="TextoNormalCaracter"/>
        </w:rPr>
      </w:pPr>
      <w:bookmarkStart w:id="879" w:name="DESCRIPTORALFABETICO181"/>
      <w:r w:rsidRPr="00F80910">
        <w:rPr>
          <w:rStyle w:val="TextoNormalNegritaCaracter"/>
        </w:rPr>
        <w:t>Abstención de magistrados del Tribunal Constitucional</w:t>
      </w:r>
      <w:bookmarkEnd w:id="879"/>
      <w:r w:rsidRPr="00F80910">
        <w:rPr>
          <w:rStyle w:val="TextoNormalCaracter"/>
        </w:rPr>
        <w:t xml:space="preserve">, </w:t>
      </w:r>
    </w:p>
    <w:p w:rsidR="00F80910" w:rsidRPr="00F80910" w:rsidRDefault="00F80910" w:rsidP="00F80910">
      <w:pPr>
        <w:pStyle w:val="TextoNormalSangraFrancesa"/>
        <w:rPr>
          <w:rStyle w:val="TextoNormalCaracter"/>
        </w:rPr>
      </w:pPr>
      <w:r w:rsidRPr="00F80910">
        <w:rPr>
          <w:rStyle w:val="TextoNormalCursivaCaracter"/>
        </w:rPr>
        <w:t xml:space="preserve">    Acepta, </w:t>
      </w:r>
      <w:r w:rsidRPr="00F80910">
        <w:rPr>
          <w:rStyle w:val="TextoNormalCaracter"/>
        </w:rPr>
        <w:t xml:space="preserve">Autos </w:t>
      </w:r>
      <w:hyperlink w:anchor="AUTO_2015_118" w:history="1">
        <w:r w:rsidRPr="00F80910">
          <w:rPr>
            <w:rStyle w:val="TextoNormalCaracter"/>
          </w:rPr>
          <w:t>118/2015</w:t>
        </w:r>
      </w:hyperlink>
      <w:r w:rsidRPr="00F80910">
        <w:rPr>
          <w:rStyle w:val="TextoNormalCaracter"/>
        </w:rPr>
        <w:t xml:space="preserve">, f. único; </w:t>
      </w:r>
      <w:hyperlink w:anchor="AUTO_2015_126" w:history="1">
        <w:r w:rsidRPr="00F80910">
          <w:rPr>
            <w:rStyle w:val="TextoNormalCaracter"/>
          </w:rPr>
          <w:t>126/2015</w:t>
        </w:r>
      </w:hyperlink>
      <w:r w:rsidRPr="00F80910">
        <w:rPr>
          <w:rStyle w:val="TextoNormalCaracter"/>
        </w:rPr>
        <w:t>, f. único.</w:t>
      </w:r>
    </w:p>
    <w:p w:rsidR="00F80910" w:rsidRPr="00F80910" w:rsidRDefault="00F80910" w:rsidP="00F80910">
      <w:pPr>
        <w:pStyle w:val="TextoNormalSangraFrancesa"/>
        <w:rPr>
          <w:rStyle w:val="TextoNormalCaracter"/>
        </w:rPr>
      </w:pPr>
      <w:bookmarkStart w:id="880" w:name="DESCRIPTORALFABETICO236"/>
      <w:r w:rsidRPr="00F80910">
        <w:rPr>
          <w:rStyle w:val="TextoNormalNegritaCaracter"/>
        </w:rPr>
        <w:t>Aclaración de doctrina constitucional</w:t>
      </w:r>
      <w:bookmarkEnd w:id="880"/>
      <w:r w:rsidRPr="00F80910">
        <w:rPr>
          <w:rStyle w:val="TextoNormalCaracter"/>
        </w:rPr>
        <w:t xml:space="preserve">, Sentencias </w:t>
      </w:r>
      <w:hyperlink w:anchor="SENTENCIA_2015_149" w:history="1">
        <w:r w:rsidRPr="00F80910">
          <w:rPr>
            <w:rStyle w:val="TextoNormalCaracter"/>
          </w:rPr>
          <w:t>149/2015</w:t>
        </w:r>
      </w:hyperlink>
      <w:r w:rsidRPr="00F80910">
        <w:rPr>
          <w:rStyle w:val="TextoNormalCaracter"/>
        </w:rPr>
        <w:t xml:space="preserve">, f. 3; </w:t>
      </w:r>
      <w:hyperlink w:anchor="SENTENCIA_2015_158" w:history="1">
        <w:r w:rsidRPr="00F80910">
          <w:rPr>
            <w:rStyle w:val="TextoNormalCaracter"/>
          </w:rPr>
          <w:t>158/2015</w:t>
        </w:r>
      </w:hyperlink>
      <w:r w:rsidRPr="00F80910">
        <w:rPr>
          <w:rStyle w:val="TextoNormalCaracter"/>
        </w:rPr>
        <w:t xml:space="preserve">, f. 2; </w:t>
      </w:r>
      <w:hyperlink w:anchor="SENTENCIA_2015_167" w:history="1">
        <w:r w:rsidRPr="00F80910">
          <w:rPr>
            <w:rStyle w:val="TextoNormalCaracter"/>
          </w:rPr>
          <w:t>167/2015</w:t>
        </w:r>
      </w:hyperlink>
      <w:r w:rsidRPr="00F80910">
        <w:rPr>
          <w:rStyle w:val="TextoNormalCaracter"/>
        </w:rPr>
        <w:t xml:space="preserve">, f. 2; </w:t>
      </w:r>
      <w:hyperlink w:anchor="SENTENCIA_2015_169" w:history="1">
        <w:r w:rsidRPr="00F80910">
          <w:rPr>
            <w:rStyle w:val="TextoNormalCaracter"/>
          </w:rPr>
          <w:t>169/2015</w:t>
        </w:r>
      </w:hyperlink>
      <w:r w:rsidRPr="00F80910">
        <w:rPr>
          <w:rStyle w:val="TextoNormalCaracter"/>
        </w:rPr>
        <w:t xml:space="preserve">, f. 1; </w:t>
      </w:r>
      <w:hyperlink w:anchor="SENTENCIA_2015_181" w:history="1">
        <w:r w:rsidRPr="00F80910">
          <w:rPr>
            <w:rStyle w:val="TextoNormalCaracter"/>
          </w:rPr>
          <w:t>181/2015</w:t>
        </w:r>
      </w:hyperlink>
      <w:r w:rsidRPr="00F80910">
        <w:rPr>
          <w:rStyle w:val="TextoNormalCaracter"/>
        </w:rPr>
        <w:t xml:space="preserve">, f. 5; </w:t>
      </w:r>
      <w:hyperlink w:anchor="SENTENCIA_2015_183" w:history="1">
        <w:r w:rsidRPr="00F80910">
          <w:rPr>
            <w:rStyle w:val="TextoNormalCaracter"/>
          </w:rPr>
          <w:t>183/2015</w:t>
        </w:r>
      </w:hyperlink>
      <w:r w:rsidRPr="00F80910">
        <w:rPr>
          <w:rStyle w:val="TextoNormalCaracter"/>
        </w:rPr>
        <w:t xml:space="preserve">, f. 5, VP; </w:t>
      </w:r>
      <w:hyperlink w:anchor="SENTENCIA_2015_187" w:history="1">
        <w:r w:rsidRPr="00F80910">
          <w:rPr>
            <w:rStyle w:val="TextoNormalCaracter"/>
          </w:rPr>
          <w:t>187/2015</w:t>
        </w:r>
      </w:hyperlink>
      <w:r w:rsidRPr="00F80910">
        <w:rPr>
          <w:rStyle w:val="TextoNormalCaracter"/>
        </w:rPr>
        <w:t xml:space="preserve">, f. 2; </w:t>
      </w:r>
      <w:hyperlink w:anchor="SENTENCIA_2015_222" w:history="1">
        <w:r w:rsidRPr="00F80910">
          <w:rPr>
            <w:rStyle w:val="TextoNormalCaracter"/>
          </w:rPr>
          <w:t>222/2015</w:t>
        </w:r>
      </w:hyperlink>
      <w:r w:rsidRPr="00F80910">
        <w:rPr>
          <w:rStyle w:val="TextoNormalCaracter"/>
        </w:rPr>
        <w:t xml:space="preserve">, f. 2; </w:t>
      </w:r>
      <w:hyperlink w:anchor="SENTENCIA_2015_223" w:history="1">
        <w:r w:rsidRPr="00F80910">
          <w:rPr>
            <w:rStyle w:val="TextoNormalCaracter"/>
          </w:rPr>
          <w:t>223/2015</w:t>
        </w:r>
      </w:hyperlink>
      <w:r w:rsidRPr="00F80910">
        <w:rPr>
          <w:rStyle w:val="TextoNormalCaracter"/>
        </w:rPr>
        <w:t xml:space="preserve">, f. 2; </w:t>
      </w:r>
      <w:hyperlink w:anchor="SENTENCIA_2015_226" w:history="1">
        <w:r w:rsidRPr="00F80910">
          <w:rPr>
            <w:rStyle w:val="TextoNormalCaracter"/>
          </w:rPr>
          <w:t>226/2015</w:t>
        </w:r>
      </w:hyperlink>
      <w:r w:rsidRPr="00F80910">
        <w:rPr>
          <w:rStyle w:val="TextoNormalCaracter"/>
        </w:rPr>
        <w:t xml:space="preserve">, f. 3; </w:t>
      </w:r>
      <w:hyperlink w:anchor="SENTENCIA_2015_232" w:history="1">
        <w:r w:rsidRPr="00F80910">
          <w:rPr>
            <w:rStyle w:val="TextoNormalCaracter"/>
          </w:rPr>
          <w:t>232/2015</w:t>
        </w:r>
      </w:hyperlink>
      <w:r w:rsidRPr="00F80910">
        <w:rPr>
          <w:rStyle w:val="TextoNormalCaracter"/>
        </w:rPr>
        <w:t xml:space="preserve">, f. 2; </w:t>
      </w:r>
      <w:hyperlink w:anchor="SENTENCIA_2015_239" w:history="1">
        <w:r w:rsidRPr="00F80910">
          <w:rPr>
            <w:rStyle w:val="TextoNormalCaracter"/>
          </w:rPr>
          <w:t>239/2015</w:t>
        </w:r>
      </w:hyperlink>
      <w:r w:rsidRPr="00F80910">
        <w:rPr>
          <w:rStyle w:val="TextoNormalCaracter"/>
        </w:rPr>
        <w:t xml:space="preserve">, f. 2; </w:t>
      </w:r>
      <w:hyperlink w:anchor="SENTENCIA_2015_240" w:history="1">
        <w:r w:rsidRPr="00F80910">
          <w:rPr>
            <w:rStyle w:val="TextoNormalCaracter"/>
          </w:rPr>
          <w:t>240/2015</w:t>
        </w:r>
      </w:hyperlink>
      <w:r w:rsidRPr="00F80910">
        <w:rPr>
          <w:rStyle w:val="TextoNormalCaracter"/>
        </w:rPr>
        <w:t xml:space="preserve">, f. 2; </w:t>
      </w:r>
      <w:hyperlink w:anchor="SENTENCIA_2015_242" w:history="1">
        <w:r w:rsidRPr="00F80910">
          <w:rPr>
            <w:rStyle w:val="TextoNormalCaracter"/>
          </w:rPr>
          <w:t>242/2015</w:t>
        </w:r>
      </w:hyperlink>
      <w:r w:rsidRPr="00F80910">
        <w:rPr>
          <w:rStyle w:val="TextoNormalCaracter"/>
        </w:rPr>
        <w:t xml:space="preserve">, f. 2; </w:t>
      </w:r>
      <w:hyperlink w:anchor="SENTENCIA_2015_262" w:history="1">
        <w:r w:rsidRPr="00F80910">
          <w:rPr>
            <w:rStyle w:val="TextoNormalCaracter"/>
          </w:rPr>
          <w:t>262/2015</w:t>
        </w:r>
      </w:hyperlink>
      <w:r w:rsidRPr="00F80910">
        <w:rPr>
          <w:rStyle w:val="TextoNormalCaracter"/>
        </w:rPr>
        <w:t xml:space="preserve">, f. 2; </w:t>
      </w:r>
      <w:hyperlink w:anchor="SENTENCIA_2015_263" w:history="1">
        <w:r w:rsidRPr="00F80910">
          <w:rPr>
            <w:rStyle w:val="TextoNormalCaracter"/>
          </w:rPr>
          <w:t>263/2015</w:t>
        </w:r>
      </w:hyperlink>
      <w:r w:rsidRPr="00F80910">
        <w:rPr>
          <w:rStyle w:val="TextoNormalCaracter"/>
        </w:rPr>
        <w:t>, f. 2.</w:t>
      </w:r>
    </w:p>
    <w:p w:rsidR="00F80910" w:rsidRPr="00F80910" w:rsidRDefault="00F80910" w:rsidP="00F80910">
      <w:pPr>
        <w:pStyle w:val="TextoNormalSangraFrancesa"/>
        <w:rPr>
          <w:rStyle w:val="TextoNormalCaracter"/>
        </w:rPr>
      </w:pPr>
      <w:bookmarkStart w:id="881" w:name="DESCRIPTORALFABETICO569"/>
      <w:r w:rsidRPr="00F80910">
        <w:rPr>
          <w:rStyle w:val="TextoNormalNegritaCaracter"/>
        </w:rPr>
        <w:t>Aclaración de sentencia</w:t>
      </w:r>
      <w:bookmarkEnd w:id="881"/>
      <w:r w:rsidRPr="00F80910">
        <w:rPr>
          <w:rStyle w:val="TextoNormalCaracter"/>
        </w:rPr>
        <w:t xml:space="preserve">, Auto </w:t>
      </w:r>
      <w:hyperlink w:anchor="AUTO_2015_198" w:history="1">
        <w:r w:rsidRPr="00F80910">
          <w:rPr>
            <w:rStyle w:val="TextoNormalCaracter"/>
          </w:rPr>
          <w:t>198/2015</w:t>
        </w:r>
      </w:hyperlink>
      <w:r w:rsidRPr="00F80910">
        <w:rPr>
          <w:rStyle w:val="TextoNormalCaracter"/>
        </w:rPr>
        <w:t>, f. 1.</w:t>
      </w:r>
    </w:p>
    <w:p w:rsidR="00F80910" w:rsidRPr="00F80910" w:rsidRDefault="00F80910" w:rsidP="00F80910">
      <w:pPr>
        <w:pStyle w:val="TextoNormalSangraFrancesa"/>
        <w:rPr>
          <w:rStyle w:val="TextoNormalCaracter"/>
        </w:rPr>
      </w:pPr>
      <w:bookmarkStart w:id="882" w:name="DESCRIPTORALFABETICO514"/>
      <w:r w:rsidRPr="00F80910">
        <w:rPr>
          <w:rStyle w:val="TextoNormalNegritaCaracter"/>
        </w:rPr>
        <w:t>Acoso laboral</w:t>
      </w:r>
      <w:bookmarkEnd w:id="882"/>
      <w:r w:rsidRPr="00F80910">
        <w:rPr>
          <w:rStyle w:val="TextoNormalCaracter"/>
        </w:rPr>
        <w:t xml:space="preserve">, Sentencia </w:t>
      </w:r>
      <w:hyperlink w:anchor="SENTENCIA_2015_187" w:history="1">
        <w:r w:rsidRPr="00F80910">
          <w:rPr>
            <w:rStyle w:val="TextoNormalCaracter"/>
          </w:rPr>
          <w:t>187/2015</w:t>
        </w:r>
      </w:hyperlink>
      <w:r w:rsidRPr="00F80910">
        <w:rPr>
          <w:rStyle w:val="TextoNormalCaracter"/>
        </w:rPr>
        <w:t>, ff. 3, 5.</w:t>
      </w:r>
    </w:p>
    <w:p w:rsidR="00F80910" w:rsidRPr="00F80910" w:rsidRDefault="00F80910" w:rsidP="00F80910">
      <w:pPr>
        <w:pStyle w:val="TextoNormalSangraFrancesa"/>
        <w:rPr>
          <w:rStyle w:val="TextoNormalCaracter"/>
        </w:rPr>
      </w:pPr>
      <w:bookmarkStart w:id="883" w:name="DESCRIPTORALFABETICO573"/>
      <w:r w:rsidRPr="00F80910">
        <w:rPr>
          <w:rStyle w:val="TextoNormalNegritaCaracter"/>
        </w:rPr>
        <w:t>Acreditación del pago de tasas judiciales</w:t>
      </w:r>
      <w:bookmarkEnd w:id="883"/>
      <w:r w:rsidRPr="00F80910">
        <w:rPr>
          <w:rStyle w:val="TextoNormalCaracter"/>
        </w:rPr>
        <w:t xml:space="preserve">, Sentencia </w:t>
      </w:r>
      <w:hyperlink w:anchor="SENTENCIA_2015_149" w:history="1">
        <w:r w:rsidRPr="00F80910">
          <w:rPr>
            <w:rStyle w:val="TextoNormalCaracter"/>
          </w:rPr>
          <w:t>149/2015</w:t>
        </w:r>
      </w:hyperlink>
      <w:r w:rsidRPr="00F80910">
        <w:rPr>
          <w:rStyle w:val="TextoNormalCaracter"/>
        </w:rPr>
        <w:t>, ff. 1, 3.</w:t>
      </w:r>
    </w:p>
    <w:p w:rsidR="00F80910" w:rsidRPr="00F80910" w:rsidRDefault="00F80910" w:rsidP="00F80910">
      <w:pPr>
        <w:pStyle w:val="TextoNormalSangraFrancesa"/>
        <w:rPr>
          <w:rStyle w:val="TextoNormalCaracter"/>
        </w:rPr>
      </w:pPr>
      <w:bookmarkStart w:id="884" w:name="DESCRIPTORALFABETICO586"/>
      <w:r w:rsidRPr="00F80910">
        <w:rPr>
          <w:rStyle w:val="TextoNormalNegritaCaracter"/>
        </w:rPr>
        <w:t>Acreditación por las personas jurídicas de la voluntad de interponer recurso contencioso-administrativo</w:t>
      </w:r>
      <w:bookmarkEnd w:id="884"/>
      <w:r w:rsidRPr="00F80910">
        <w:rPr>
          <w:rStyle w:val="TextoNormalCaracter"/>
        </w:rPr>
        <w:t xml:space="preserve">, Sentencia </w:t>
      </w:r>
      <w:hyperlink w:anchor="SENTENCIA_2015_186" w:history="1">
        <w:r w:rsidRPr="00F80910">
          <w:rPr>
            <w:rStyle w:val="TextoNormalCaracter"/>
          </w:rPr>
          <w:t>186/2015</w:t>
        </w:r>
      </w:hyperlink>
      <w:r w:rsidRPr="00F80910">
        <w:rPr>
          <w:rStyle w:val="TextoNormalCaracter"/>
        </w:rPr>
        <w:t>, f. 5.</w:t>
      </w:r>
    </w:p>
    <w:p w:rsidR="00F80910" w:rsidRPr="00F80910" w:rsidRDefault="00F80910" w:rsidP="00F80910">
      <w:pPr>
        <w:pStyle w:val="TextoNormalSangraFrancesa"/>
        <w:rPr>
          <w:rStyle w:val="TextoNormalCaracter"/>
        </w:rPr>
      </w:pPr>
      <w:bookmarkStart w:id="885" w:name="DESCRIPTORALFABETICO316"/>
      <w:r w:rsidRPr="00F80910">
        <w:rPr>
          <w:rStyle w:val="TextoNormalNegritaCaracter"/>
        </w:rPr>
        <w:t>Actos de naturaleza no sancionadora</w:t>
      </w:r>
      <w:bookmarkEnd w:id="885"/>
      <w:r w:rsidRPr="00F80910">
        <w:rPr>
          <w:rStyle w:val="TextoNormalCaracter"/>
        </w:rPr>
        <w:t xml:space="preserve">, Sentencia </w:t>
      </w:r>
      <w:hyperlink w:anchor="SENTENCIA_2015_169" w:history="1">
        <w:r w:rsidRPr="00F80910">
          <w:rPr>
            <w:rStyle w:val="TextoNormalCaracter"/>
          </w:rPr>
          <w:t>169/2015</w:t>
        </w:r>
      </w:hyperlink>
      <w:r w:rsidRPr="00F80910">
        <w:rPr>
          <w:rStyle w:val="TextoNormalCaracter"/>
        </w:rPr>
        <w:t>, ff. 5, 6.</w:t>
      </w:r>
    </w:p>
    <w:p w:rsidR="00F80910" w:rsidRPr="00F80910" w:rsidRDefault="00F80910" w:rsidP="00F80910">
      <w:pPr>
        <w:pStyle w:val="TextoNormalSangraFrancesa"/>
        <w:rPr>
          <w:rStyle w:val="TextoNormalCaracter"/>
        </w:rPr>
      </w:pPr>
      <w:bookmarkStart w:id="886" w:name="DESCRIPTORALFABETICO275"/>
      <w:r w:rsidRPr="00F80910">
        <w:rPr>
          <w:rStyle w:val="TextoNormalNegritaCaracter"/>
        </w:rPr>
        <w:t>Actos parlamentarios internos</w:t>
      </w:r>
      <w:bookmarkEnd w:id="886"/>
      <w:r w:rsidRPr="00F80910">
        <w:rPr>
          <w:rStyle w:val="TextoNormalCaracter"/>
        </w:rPr>
        <w:t xml:space="preserve">, Autos </w:t>
      </w:r>
      <w:hyperlink w:anchor="AUTO_2015_189" w:history="1">
        <w:r w:rsidRPr="00F80910">
          <w:rPr>
            <w:rStyle w:val="TextoNormalCaracter"/>
          </w:rPr>
          <w:t>189/2015</w:t>
        </w:r>
      </w:hyperlink>
      <w:r w:rsidRPr="00F80910">
        <w:rPr>
          <w:rStyle w:val="TextoNormalCaracter"/>
        </w:rPr>
        <w:t xml:space="preserve">, ff. 1 a 3; </w:t>
      </w:r>
      <w:hyperlink w:anchor="AUTO_2015_190" w:history="1">
        <w:r w:rsidRPr="00F80910">
          <w:rPr>
            <w:rStyle w:val="TextoNormalCaracter"/>
          </w:rPr>
          <w:t>190/2015</w:t>
        </w:r>
      </w:hyperlink>
      <w:r w:rsidRPr="00F80910">
        <w:rPr>
          <w:rStyle w:val="TextoNormalCaracter"/>
        </w:rPr>
        <w:t>, ff.1 a 3.</w:t>
      </w:r>
    </w:p>
    <w:p w:rsidR="00F80910" w:rsidRPr="00F80910" w:rsidRDefault="00F80910" w:rsidP="00F80910">
      <w:pPr>
        <w:pStyle w:val="TextoNormalSangraFrancesa"/>
        <w:rPr>
          <w:rStyle w:val="TextoNormalCaracter"/>
        </w:rPr>
      </w:pPr>
      <w:bookmarkStart w:id="887" w:name="DESCRIPTORALFABETICO496"/>
      <w:r w:rsidRPr="00F80910">
        <w:rPr>
          <w:rStyle w:val="TextoNormalNegritaCaracter"/>
        </w:rPr>
        <w:t>Actualización de pensiones</w:t>
      </w:r>
      <w:bookmarkEnd w:id="887"/>
      <w:r w:rsidRPr="00F80910">
        <w:rPr>
          <w:rStyle w:val="TextoNormalCaracter"/>
        </w:rPr>
        <w:t xml:space="preserve">, Auto </w:t>
      </w:r>
      <w:hyperlink w:anchor="AUTO_2015_130" w:history="1">
        <w:r w:rsidRPr="00F80910">
          <w:rPr>
            <w:rStyle w:val="TextoNormalCaracter"/>
          </w:rPr>
          <w:t>130/2015</w:t>
        </w:r>
      </w:hyperlink>
      <w:r w:rsidRPr="00F80910">
        <w:rPr>
          <w:rStyle w:val="TextoNormalCaracter"/>
        </w:rPr>
        <w:t>, f. único.</w:t>
      </w:r>
    </w:p>
    <w:p w:rsidR="00F80910" w:rsidRPr="00F80910" w:rsidRDefault="00F80910" w:rsidP="00F80910">
      <w:pPr>
        <w:pStyle w:val="TextoNormalSangraFrancesa"/>
        <w:rPr>
          <w:rStyle w:val="TextoNormalCaracter"/>
        </w:rPr>
      </w:pPr>
      <w:bookmarkStart w:id="888" w:name="DESCRIPTORALFABETICO279"/>
      <w:r w:rsidRPr="00F80910">
        <w:rPr>
          <w:rStyle w:val="TextoNormalNegritaCaracter"/>
        </w:rPr>
        <w:t>Acuerdo de la Mesa desestimando solicitud de varios diputados</w:t>
      </w:r>
      <w:bookmarkEnd w:id="888"/>
      <w:r w:rsidRPr="00F80910">
        <w:rPr>
          <w:rStyle w:val="TextoNormalCaracter"/>
        </w:rPr>
        <w:t xml:space="preserve">, Autos </w:t>
      </w:r>
      <w:hyperlink w:anchor="AUTO_2015_189" w:history="1">
        <w:r w:rsidRPr="00F80910">
          <w:rPr>
            <w:rStyle w:val="TextoNormalCaracter"/>
          </w:rPr>
          <w:t>189/2015</w:t>
        </w:r>
      </w:hyperlink>
      <w:r w:rsidRPr="00F80910">
        <w:rPr>
          <w:rStyle w:val="TextoNormalCaracter"/>
        </w:rPr>
        <w:t xml:space="preserve">, f. 1; </w:t>
      </w:r>
      <w:hyperlink w:anchor="AUTO_2015_190" w:history="1">
        <w:r w:rsidRPr="00F80910">
          <w:rPr>
            <w:rStyle w:val="TextoNormalCaracter"/>
          </w:rPr>
          <w:t>190/2015</w:t>
        </w:r>
      </w:hyperlink>
      <w:r w:rsidRPr="00F80910">
        <w:rPr>
          <w:rStyle w:val="TextoNormalCaracter"/>
        </w:rPr>
        <w:t>, f. 1.</w:t>
      </w:r>
    </w:p>
    <w:p w:rsidR="00F80910" w:rsidRPr="00F80910" w:rsidRDefault="00F80910" w:rsidP="00F80910">
      <w:pPr>
        <w:pStyle w:val="TextoNormalSangraFrancesa"/>
        <w:rPr>
          <w:rStyle w:val="TextoNormalCaracter"/>
        </w:rPr>
      </w:pPr>
      <w:bookmarkStart w:id="889" w:name="DESCRIPTORALFABETICO341"/>
      <w:r w:rsidRPr="00F80910">
        <w:rPr>
          <w:rStyle w:val="TextoNormalNegritaCaracter"/>
        </w:rPr>
        <w:t>Adscripción de personal</w:t>
      </w:r>
      <w:bookmarkEnd w:id="889"/>
      <w:r w:rsidRPr="00F80910">
        <w:rPr>
          <w:rStyle w:val="TextoNormalCaracter"/>
        </w:rPr>
        <w:t xml:space="preserve">, Sentencia </w:t>
      </w:r>
      <w:hyperlink w:anchor="SENTENCIA_2015_236" w:history="1">
        <w:r w:rsidRPr="00F80910">
          <w:rPr>
            <w:rStyle w:val="TextoNormalCaracter"/>
          </w:rPr>
          <w:t>236/2015</w:t>
        </w:r>
      </w:hyperlink>
      <w:r w:rsidRPr="00F80910">
        <w:rPr>
          <w:rStyle w:val="TextoNormalCaracter"/>
        </w:rPr>
        <w:t>, ff. 5 a 9.</w:t>
      </w:r>
    </w:p>
    <w:p w:rsidR="00F80910" w:rsidRPr="00F80910" w:rsidRDefault="00F80910" w:rsidP="00F80910">
      <w:pPr>
        <w:pStyle w:val="TextoNormalSangraFrancesa"/>
        <w:rPr>
          <w:rStyle w:val="TextoNormalCaracter"/>
        </w:rPr>
      </w:pPr>
      <w:bookmarkStart w:id="890" w:name="DESCRIPTORALFABETICO515"/>
      <w:r w:rsidRPr="00F80910">
        <w:rPr>
          <w:rStyle w:val="TextoNormalNegritaCaracter"/>
        </w:rPr>
        <w:t>Aeronaves</w:t>
      </w:r>
      <w:bookmarkEnd w:id="890"/>
      <w:r w:rsidRPr="00F80910">
        <w:rPr>
          <w:rStyle w:val="TextoNormalCaracter"/>
        </w:rPr>
        <w:t xml:space="preserve">, Sentencia </w:t>
      </w:r>
      <w:hyperlink w:anchor="SENTENCIA_2015_199" w:history="1">
        <w:r w:rsidRPr="00F80910">
          <w:rPr>
            <w:rStyle w:val="TextoNormalCaracter"/>
          </w:rPr>
          <w:t>199/2015</w:t>
        </w:r>
      </w:hyperlink>
      <w:r w:rsidRPr="00F80910">
        <w:rPr>
          <w:rStyle w:val="TextoNormalCaracter"/>
        </w:rPr>
        <w:t>, f. 7.</w:t>
      </w:r>
    </w:p>
    <w:p w:rsidR="00F80910" w:rsidRPr="00F80910" w:rsidRDefault="00F80910" w:rsidP="00F80910">
      <w:pPr>
        <w:pStyle w:val="TextoNormalSangraFrancesa"/>
        <w:rPr>
          <w:rStyle w:val="TextoNormalCaracter"/>
        </w:rPr>
      </w:pPr>
      <w:bookmarkStart w:id="891" w:name="DESCRIPTORALFABETICO383"/>
      <w:r w:rsidRPr="00F80910">
        <w:rPr>
          <w:rStyle w:val="TextoNormalNegritaCaracter"/>
        </w:rPr>
        <w:t>Agencias de colocación</w:t>
      </w:r>
      <w:bookmarkEnd w:id="891"/>
      <w:r w:rsidRPr="00F80910">
        <w:rPr>
          <w:rStyle w:val="TextoNormalCaracter"/>
        </w:rPr>
        <w:t xml:space="preserve">, Sentencia </w:t>
      </w:r>
      <w:hyperlink w:anchor="SENTENCIA_2015_199" w:history="1">
        <w:r w:rsidRPr="00F80910">
          <w:rPr>
            <w:rStyle w:val="TextoNormalCaracter"/>
          </w:rPr>
          <w:t>199/2015</w:t>
        </w:r>
      </w:hyperlink>
      <w:r w:rsidRPr="00F80910">
        <w:rPr>
          <w:rStyle w:val="TextoNormalCaracter"/>
        </w:rPr>
        <w:t>, f. 9.</w:t>
      </w:r>
    </w:p>
    <w:p w:rsidR="00F80910" w:rsidRPr="00F80910" w:rsidRDefault="00F80910" w:rsidP="00F80910">
      <w:pPr>
        <w:pStyle w:val="TextoNormalSangraFrancesa"/>
        <w:rPr>
          <w:rStyle w:val="TextoNormalCaracter"/>
        </w:rPr>
      </w:pPr>
      <w:bookmarkStart w:id="892" w:name="DESCRIPTORALFABETICO258"/>
      <w:r w:rsidRPr="00F80910">
        <w:rPr>
          <w:rStyle w:val="TextoNormalNegritaCaracter"/>
        </w:rPr>
        <w:t>Agentes forestales</w:t>
      </w:r>
      <w:bookmarkEnd w:id="892"/>
      <w:r w:rsidRPr="00F80910">
        <w:rPr>
          <w:rStyle w:val="TextoNormalCaracter"/>
        </w:rPr>
        <w:t xml:space="preserve">, Sentencia </w:t>
      </w:r>
      <w:hyperlink w:anchor="SENTENCIA_2015_214" w:history="1">
        <w:r w:rsidRPr="00F80910">
          <w:rPr>
            <w:rStyle w:val="TextoNormalCaracter"/>
          </w:rPr>
          <w:t>214/2015</w:t>
        </w:r>
      </w:hyperlink>
      <w:r w:rsidRPr="00F80910">
        <w:rPr>
          <w:rStyle w:val="TextoNormalCaracter"/>
        </w:rPr>
        <w:t>, ff. 4, 5.</w:t>
      </w:r>
    </w:p>
    <w:p w:rsidR="00F80910" w:rsidRPr="00F80910" w:rsidRDefault="00F80910" w:rsidP="00F80910">
      <w:pPr>
        <w:pStyle w:val="TextoNormalSangraFrancesa"/>
        <w:rPr>
          <w:rStyle w:val="TextoNormalCaracter"/>
        </w:rPr>
      </w:pPr>
      <w:bookmarkStart w:id="893" w:name="DESCRIPTORALFABETICO234"/>
      <w:r w:rsidRPr="00F80910">
        <w:rPr>
          <w:rStyle w:val="TextoNormalNegritaCaracter"/>
        </w:rPr>
        <w:t>Agotamiento de la vía judicial</w:t>
      </w:r>
      <w:bookmarkEnd w:id="893"/>
      <w:r w:rsidRPr="00F80910">
        <w:rPr>
          <w:rStyle w:val="TextoNormalCaracter"/>
        </w:rPr>
        <w:t xml:space="preserve">, Sentencia </w:t>
      </w:r>
      <w:hyperlink w:anchor="SENTENCIA_2015_183" w:history="1">
        <w:r w:rsidRPr="00F80910">
          <w:rPr>
            <w:rStyle w:val="TextoNormalCaracter"/>
          </w:rPr>
          <w:t>183/2015</w:t>
        </w:r>
      </w:hyperlink>
      <w:r w:rsidRPr="00F80910">
        <w:rPr>
          <w:rStyle w:val="TextoNormalCaracter"/>
        </w:rPr>
        <w:t>, f. 2.</w:t>
      </w:r>
    </w:p>
    <w:p w:rsidR="00F80910" w:rsidRPr="00F80910" w:rsidRDefault="00F80910" w:rsidP="00F80910">
      <w:pPr>
        <w:pStyle w:val="TextoNormalSangraFrancesa"/>
        <w:rPr>
          <w:rStyle w:val="TextoNormalCaracter"/>
        </w:rPr>
      </w:pPr>
      <w:bookmarkStart w:id="894" w:name="DESCRIPTORALFABETICO350"/>
      <w:r w:rsidRPr="00F80910">
        <w:rPr>
          <w:rStyle w:val="TextoNormalNegritaCaracter"/>
        </w:rPr>
        <w:t>Aguas</w:t>
      </w:r>
      <w:bookmarkEnd w:id="894"/>
      <w:r w:rsidRPr="00F80910">
        <w:rPr>
          <w:rStyle w:val="TextoNormalCaracter"/>
        </w:rPr>
        <w:t xml:space="preserve">, Sentencia </w:t>
      </w:r>
      <w:hyperlink w:anchor="SENTENCIA_2015_196" w:history="1">
        <w:r w:rsidRPr="00F80910">
          <w:rPr>
            <w:rStyle w:val="TextoNormalCaracter"/>
          </w:rPr>
          <w:t>196/2015</w:t>
        </w:r>
      </w:hyperlink>
      <w:r w:rsidRPr="00F80910">
        <w:rPr>
          <w:rStyle w:val="TextoNormalCaracter"/>
        </w:rPr>
        <w:t>, ff. 4, 5.</w:t>
      </w:r>
    </w:p>
    <w:p w:rsidR="00F80910" w:rsidRPr="00F80910" w:rsidRDefault="00F80910" w:rsidP="00F80910">
      <w:pPr>
        <w:pStyle w:val="TextoNormalSangraFrancesa"/>
        <w:rPr>
          <w:rStyle w:val="TextoNormalCaracter"/>
        </w:rPr>
      </w:pPr>
      <w:bookmarkStart w:id="895" w:name="DESCRIPTORALFABETICO213"/>
      <w:r w:rsidRPr="00F80910">
        <w:rPr>
          <w:rStyle w:val="TextoNormalNegritaCaracter"/>
        </w:rPr>
        <w:t>Alcance de la declaración de inconstitucionalidad</w:t>
      </w:r>
      <w:bookmarkEnd w:id="895"/>
      <w:r w:rsidRPr="00F80910">
        <w:rPr>
          <w:rStyle w:val="TextoNormalCaracter"/>
        </w:rPr>
        <w:t xml:space="preserve">, Sentencia </w:t>
      </w:r>
      <w:hyperlink w:anchor="SENTENCIA_2015_272" w:history="1">
        <w:r w:rsidRPr="00F80910">
          <w:rPr>
            <w:rStyle w:val="TextoNormalCaracter"/>
          </w:rPr>
          <w:t>272/2015</w:t>
        </w:r>
      </w:hyperlink>
      <w:r w:rsidRPr="00F80910">
        <w:rPr>
          <w:rStyle w:val="TextoNormalCaracter"/>
        </w:rPr>
        <w:t>, f. 5.</w:t>
      </w:r>
    </w:p>
    <w:p w:rsidR="00F80910" w:rsidRPr="00F80910" w:rsidRDefault="00F80910" w:rsidP="00F80910">
      <w:pPr>
        <w:pStyle w:val="TextoNormalSangraFrancesa"/>
        <w:rPr>
          <w:rStyle w:val="TextoNormalCaracter"/>
        </w:rPr>
      </w:pPr>
      <w:bookmarkStart w:id="896" w:name="DESCRIPTORALFABETICO518"/>
      <w:r w:rsidRPr="00F80910">
        <w:rPr>
          <w:rStyle w:val="TextoNormalNegritaCaracter"/>
        </w:rPr>
        <w:t>Alojamientos turísticos</w:t>
      </w:r>
      <w:bookmarkEnd w:id="896"/>
      <w:r w:rsidRPr="00F80910">
        <w:rPr>
          <w:rStyle w:val="TextoNormalCaracter"/>
        </w:rPr>
        <w:t xml:space="preserve">, Sentencia </w:t>
      </w:r>
      <w:hyperlink w:anchor="SENTENCIA_2015_209" w:history="1">
        <w:r w:rsidRPr="00F80910">
          <w:rPr>
            <w:rStyle w:val="TextoNormalCaracter"/>
          </w:rPr>
          <w:t>209/2015</w:t>
        </w:r>
      </w:hyperlink>
      <w:r w:rsidRPr="00F80910">
        <w:rPr>
          <w:rStyle w:val="TextoNormalCaracter"/>
        </w:rPr>
        <w:t>, ff. 4, 5.</w:t>
      </w:r>
    </w:p>
    <w:p w:rsidR="00F80910" w:rsidRPr="00F80910" w:rsidRDefault="00F80910" w:rsidP="00F80910">
      <w:pPr>
        <w:pStyle w:val="TextoNormalSangraFrancesa"/>
        <w:rPr>
          <w:rStyle w:val="TextoNormalCaracter"/>
        </w:rPr>
      </w:pPr>
      <w:bookmarkStart w:id="897" w:name="DESCRIPTORALFABETICO599"/>
      <w:r w:rsidRPr="00F80910">
        <w:rPr>
          <w:rStyle w:val="TextoNormalNegritaCaracter"/>
        </w:rPr>
        <w:t>Andalucía</w:t>
      </w:r>
      <w:bookmarkEnd w:id="897"/>
      <w:r w:rsidRPr="00F80910">
        <w:rPr>
          <w:rStyle w:val="TextoNormalCaracter"/>
        </w:rPr>
        <w:t xml:space="preserve">, Sentencias </w:t>
      </w:r>
      <w:hyperlink w:anchor="SENTENCIA_2015_154" w:history="1">
        <w:r w:rsidRPr="00F80910">
          <w:rPr>
            <w:rStyle w:val="TextoNormalCaracter"/>
          </w:rPr>
          <w:t>154/2015</w:t>
        </w:r>
      </w:hyperlink>
      <w:r w:rsidRPr="00F80910">
        <w:rPr>
          <w:rStyle w:val="TextoNormalCaracter"/>
        </w:rPr>
        <w:t xml:space="preserve">, f. 1; </w:t>
      </w:r>
      <w:hyperlink w:anchor="SENTENCIA_2015_230" w:history="1">
        <w:r w:rsidRPr="00F80910">
          <w:rPr>
            <w:rStyle w:val="TextoNormalCaracter"/>
          </w:rPr>
          <w:t>230/2015</w:t>
        </w:r>
      </w:hyperlink>
      <w:r w:rsidRPr="00F80910">
        <w:rPr>
          <w:rStyle w:val="TextoNormalCaracter"/>
        </w:rPr>
        <w:t xml:space="preserve">, f. 1; </w:t>
      </w:r>
      <w:hyperlink w:anchor="SENTENCIA_2015_236" w:history="1">
        <w:r w:rsidRPr="00F80910">
          <w:rPr>
            <w:rStyle w:val="TextoNormalCaracter"/>
          </w:rPr>
          <w:t>236/2015</w:t>
        </w:r>
      </w:hyperlink>
      <w:r w:rsidRPr="00F80910">
        <w:rPr>
          <w:rStyle w:val="TextoNormalCaracter"/>
        </w:rPr>
        <w:t>.</w:t>
      </w:r>
    </w:p>
    <w:p w:rsidR="00F80910" w:rsidRPr="00F80910" w:rsidRDefault="00F80910" w:rsidP="00F80910">
      <w:pPr>
        <w:pStyle w:val="TextoNormalSangraFrancesa"/>
        <w:rPr>
          <w:rStyle w:val="TextoNormalCaracter"/>
        </w:rPr>
      </w:pPr>
      <w:bookmarkStart w:id="898" w:name="DESCRIPTORALFABETICO249"/>
      <w:r w:rsidRPr="00F80910">
        <w:rPr>
          <w:rStyle w:val="TextoNormalNegritaCaracter"/>
        </w:rPr>
        <w:t>Aplicación de doctrina tras modificación legislativa</w:t>
      </w:r>
      <w:bookmarkEnd w:id="898"/>
      <w:r w:rsidRPr="00F80910">
        <w:rPr>
          <w:rStyle w:val="TextoNormalCaracter"/>
        </w:rPr>
        <w:t xml:space="preserve">, Sentencia </w:t>
      </w:r>
      <w:hyperlink w:anchor="SENTENCIA_2015_261" w:history="1">
        <w:r w:rsidRPr="00F80910">
          <w:rPr>
            <w:rStyle w:val="TextoNormalCaracter"/>
          </w:rPr>
          <w:t>261/2015</w:t>
        </w:r>
      </w:hyperlink>
      <w:r w:rsidRPr="00F80910">
        <w:rPr>
          <w:rStyle w:val="TextoNormalCaracter"/>
        </w:rPr>
        <w:t>, ff. 2, 3, 7.</w:t>
      </w:r>
    </w:p>
    <w:p w:rsidR="00F80910" w:rsidRPr="00F80910" w:rsidRDefault="00F80910" w:rsidP="00F80910">
      <w:pPr>
        <w:pStyle w:val="TextoNormalSangraFrancesa"/>
        <w:rPr>
          <w:rStyle w:val="TextoNormalCaracter"/>
        </w:rPr>
      </w:pPr>
      <w:bookmarkStart w:id="899" w:name="DESCRIPTORALFABETICO463"/>
      <w:r w:rsidRPr="00F80910">
        <w:rPr>
          <w:rStyle w:val="TextoNormalNegritaCaracter"/>
        </w:rPr>
        <w:t>Aplicación de normas contrarias al Derecho de la Unión Europea</w:t>
      </w:r>
      <w:bookmarkEnd w:id="899"/>
      <w:r w:rsidRPr="00F80910">
        <w:rPr>
          <w:rStyle w:val="TextoNormalCaracter"/>
        </w:rPr>
        <w:t xml:space="preserve">, Sentencia </w:t>
      </w:r>
      <w:hyperlink w:anchor="SENTENCIA_2015_232" w:history="1">
        <w:r w:rsidRPr="00F80910">
          <w:rPr>
            <w:rStyle w:val="TextoNormalCaracter"/>
          </w:rPr>
          <w:t>232/2015</w:t>
        </w:r>
      </w:hyperlink>
      <w:r w:rsidRPr="00F80910">
        <w:rPr>
          <w:rStyle w:val="TextoNormalCaracter"/>
        </w:rPr>
        <w:t>, ff. 5, 6.</w:t>
      </w:r>
    </w:p>
    <w:p w:rsidR="00F80910" w:rsidRPr="00F80910" w:rsidRDefault="00F80910" w:rsidP="00F80910">
      <w:pPr>
        <w:pStyle w:val="TextoNormalSangraFrancesa"/>
        <w:rPr>
          <w:rStyle w:val="TextoNormalCaracter"/>
        </w:rPr>
      </w:pPr>
      <w:bookmarkStart w:id="900" w:name="DESCRIPTORALFABETICO368"/>
      <w:r w:rsidRPr="00F80910">
        <w:rPr>
          <w:rStyle w:val="TextoNormalNegritaCaracter"/>
        </w:rPr>
        <w:t>Aprovechamiento del dominio público</w:t>
      </w:r>
      <w:bookmarkEnd w:id="900"/>
      <w:r w:rsidRPr="00F80910">
        <w:rPr>
          <w:rStyle w:val="TextoNormalCaracter"/>
        </w:rPr>
        <w:t xml:space="preserve">, Sentencia </w:t>
      </w:r>
      <w:hyperlink w:anchor="SENTENCIA_2015_233" w:history="1">
        <w:r w:rsidRPr="00F80910">
          <w:rPr>
            <w:rStyle w:val="TextoNormalCaracter"/>
          </w:rPr>
          <w:t>233/2015</w:t>
        </w:r>
      </w:hyperlink>
      <w:r w:rsidRPr="00F80910">
        <w:rPr>
          <w:rStyle w:val="TextoNormalCaracter"/>
        </w:rPr>
        <w:t>, f. 6.</w:t>
      </w:r>
    </w:p>
    <w:p w:rsidR="00F80910" w:rsidRPr="00F80910" w:rsidRDefault="00F80910" w:rsidP="00F80910">
      <w:pPr>
        <w:pStyle w:val="TextoNormalSangraFrancesa"/>
        <w:rPr>
          <w:rStyle w:val="TextoNormalCaracter"/>
        </w:rPr>
      </w:pPr>
      <w:bookmarkStart w:id="901" w:name="DESCRIPTORALFABETICO600"/>
      <w:r w:rsidRPr="00F80910">
        <w:rPr>
          <w:rStyle w:val="TextoNormalNegritaCaracter"/>
        </w:rPr>
        <w:t>Aragón</w:t>
      </w:r>
      <w:bookmarkEnd w:id="901"/>
      <w:r w:rsidRPr="00F80910">
        <w:rPr>
          <w:rStyle w:val="TextoNormalCaracter"/>
        </w:rPr>
        <w:t xml:space="preserve">, Sentencias </w:t>
      </w:r>
      <w:hyperlink w:anchor="SENTENCIA_2015_200" w:history="1">
        <w:r w:rsidRPr="00F80910">
          <w:rPr>
            <w:rStyle w:val="TextoNormalCaracter"/>
          </w:rPr>
          <w:t>200/2015</w:t>
        </w:r>
      </w:hyperlink>
      <w:r w:rsidRPr="00F80910">
        <w:rPr>
          <w:rStyle w:val="TextoNormalCaracter"/>
        </w:rPr>
        <w:t xml:space="preserve">, ff. 1 a 4; </w:t>
      </w:r>
      <w:hyperlink w:anchor="SENTENCIA_2015_237" w:history="1">
        <w:r w:rsidRPr="00F80910">
          <w:rPr>
            <w:rStyle w:val="TextoNormalCaracter"/>
          </w:rPr>
          <w:t>237/2015</w:t>
        </w:r>
      </w:hyperlink>
      <w:r w:rsidRPr="00F80910">
        <w:rPr>
          <w:rStyle w:val="TextoNormalCaracter"/>
        </w:rPr>
        <w:t>, f. 1.</w:t>
      </w:r>
    </w:p>
    <w:p w:rsidR="00F80910" w:rsidRPr="00F80910" w:rsidRDefault="00F80910" w:rsidP="00F80910">
      <w:pPr>
        <w:pStyle w:val="TextoNormalSangraFrancesa"/>
        <w:rPr>
          <w:rStyle w:val="TextoNormalCaracter"/>
        </w:rPr>
      </w:pPr>
      <w:bookmarkStart w:id="902" w:name="DESCRIPTORALFABETICO290"/>
      <w:r w:rsidRPr="00F80910">
        <w:rPr>
          <w:rStyle w:val="TextoNormalNegritaCaracter"/>
        </w:rPr>
        <w:t>Arbitrariedad del legislador</w:t>
      </w:r>
      <w:bookmarkEnd w:id="902"/>
      <w:r w:rsidRPr="00F80910">
        <w:rPr>
          <w:rStyle w:val="TextoNormalCaracter"/>
        </w:rPr>
        <w:t xml:space="preserve">, Sentencia </w:t>
      </w:r>
      <w:hyperlink w:anchor="SENTENCIA_2015_231" w:history="1">
        <w:r w:rsidRPr="00F80910">
          <w:rPr>
            <w:rStyle w:val="TextoNormalCaracter"/>
          </w:rPr>
          <w:t>231/2015</w:t>
        </w:r>
      </w:hyperlink>
      <w:r w:rsidRPr="00F80910">
        <w:rPr>
          <w:rStyle w:val="TextoNormalCaracter"/>
        </w:rPr>
        <w:t>, ff. 6, 7.</w:t>
      </w:r>
    </w:p>
    <w:p w:rsidR="00F80910" w:rsidRPr="00F80910" w:rsidRDefault="00F80910" w:rsidP="00F80910">
      <w:pPr>
        <w:pStyle w:val="TextoNormalSangraFrancesa"/>
        <w:rPr>
          <w:rStyle w:val="TextoNormalCaracter"/>
        </w:rPr>
      </w:pPr>
      <w:bookmarkStart w:id="903" w:name="DESCRIPTORALFABETICO45"/>
      <w:r w:rsidRPr="00F80910">
        <w:rPr>
          <w:rStyle w:val="TextoNormalNegritaCaracter"/>
        </w:rPr>
        <w:t>Armonización fiscal</w:t>
      </w:r>
      <w:bookmarkEnd w:id="903"/>
      <w:r w:rsidRPr="00F80910">
        <w:rPr>
          <w:rStyle w:val="TextoNormalCaracter"/>
        </w:rPr>
        <w:t xml:space="preserve">, Sentencia </w:t>
      </w:r>
      <w:hyperlink w:anchor="SENTENCIA_2015_211" w:history="1">
        <w:r w:rsidRPr="00F80910">
          <w:rPr>
            <w:rStyle w:val="TextoNormalCaracter"/>
          </w:rPr>
          <w:t>211/2015</w:t>
        </w:r>
      </w:hyperlink>
      <w:r w:rsidRPr="00F80910">
        <w:rPr>
          <w:rStyle w:val="TextoNormalCaracter"/>
        </w:rPr>
        <w:t>, f. 7, VP.</w:t>
      </w:r>
    </w:p>
    <w:p w:rsidR="00F80910" w:rsidRPr="00F80910" w:rsidRDefault="00F80910" w:rsidP="00F80910">
      <w:pPr>
        <w:pStyle w:val="TextoNormalSangraFrancesa"/>
        <w:rPr>
          <w:rStyle w:val="TextoNormalCaracter"/>
        </w:rPr>
      </w:pPr>
      <w:bookmarkStart w:id="904" w:name="DESCRIPTORALFABETICO408"/>
      <w:r w:rsidRPr="00F80910">
        <w:rPr>
          <w:rStyle w:val="TextoNormalNegritaCaracter"/>
        </w:rPr>
        <w:t>Asesinato</w:t>
      </w:r>
      <w:bookmarkEnd w:id="904"/>
      <w:r w:rsidRPr="00F80910">
        <w:rPr>
          <w:rStyle w:val="TextoNormalCaracter"/>
        </w:rPr>
        <w:t xml:space="preserve">, Sentencia </w:t>
      </w:r>
      <w:hyperlink w:anchor="SENTENCIA_2015_194" w:history="1">
        <w:r w:rsidRPr="00F80910">
          <w:rPr>
            <w:rStyle w:val="TextoNormalCaracter"/>
          </w:rPr>
          <w:t>194/2015</w:t>
        </w:r>
      </w:hyperlink>
      <w:r w:rsidRPr="00F80910">
        <w:rPr>
          <w:rStyle w:val="TextoNormalCaracter"/>
        </w:rPr>
        <w:t>, f. 1.</w:t>
      </w:r>
    </w:p>
    <w:p w:rsidR="00F80910" w:rsidRPr="00F80910" w:rsidRDefault="00F80910" w:rsidP="00F80910">
      <w:pPr>
        <w:pStyle w:val="TextoNormalSangraFrancesa"/>
        <w:rPr>
          <w:rStyle w:val="TextoNormalCaracter"/>
        </w:rPr>
      </w:pPr>
      <w:bookmarkStart w:id="905" w:name="DESCRIPTORALFABETICO124"/>
      <w:r w:rsidRPr="00F80910">
        <w:rPr>
          <w:rStyle w:val="TextoNormalNegritaCaracter"/>
        </w:rPr>
        <w:t>Asistencia letrada gratuita</w:t>
      </w:r>
      <w:bookmarkEnd w:id="905"/>
      <w:r w:rsidRPr="00F80910">
        <w:rPr>
          <w:rStyle w:val="TextoNormalCaracter"/>
        </w:rPr>
        <w:t xml:space="preserve">, Sentencia </w:t>
      </w:r>
      <w:hyperlink w:anchor="SENTENCIA_2015_207" w:history="1">
        <w:r w:rsidRPr="00F80910">
          <w:rPr>
            <w:rStyle w:val="TextoNormalCaracter"/>
          </w:rPr>
          <w:t>207/2015</w:t>
        </w:r>
      </w:hyperlink>
      <w:r w:rsidRPr="00F80910">
        <w:rPr>
          <w:rStyle w:val="TextoNormalCaracter"/>
        </w:rPr>
        <w:t>, ff. 2, 4.</w:t>
      </w:r>
    </w:p>
    <w:p w:rsidR="00F80910" w:rsidRPr="00F80910" w:rsidRDefault="00F80910" w:rsidP="00F80910">
      <w:pPr>
        <w:pStyle w:val="TextoNormalSangraFrancesa"/>
        <w:rPr>
          <w:rStyle w:val="TextoNormalCaracter"/>
        </w:rPr>
      </w:pPr>
      <w:bookmarkStart w:id="906" w:name="DESCRIPTORALFABETICO200"/>
      <w:r w:rsidRPr="00F80910">
        <w:rPr>
          <w:rStyle w:val="TextoNormalNegritaCaracter"/>
        </w:rPr>
        <w:t>Audiencia previa a las partes</w:t>
      </w:r>
      <w:bookmarkEnd w:id="906"/>
      <w:r w:rsidRPr="00F80910">
        <w:rPr>
          <w:rStyle w:val="TextoNormalCaracter"/>
        </w:rPr>
        <w:t xml:space="preserve">, Sentencia </w:t>
      </w:r>
      <w:hyperlink w:anchor="SENTENCIA_2015_157" w:history="1">
        <w:r w:rsidRPr="00F80910">
          <w:rPr>
            <w:rStyle w:val="TextoNormalCaracter"/>
          </w:rPr>
          <w:t>157/2015</w:t>
        </w:r>
      </w:hyperlink>
      <w:r w:rsidRPr="00F80910">
        <w:rPr>
          <w:rStyle w:val="TextoNormalCaracter"/>
        </w:rPr>
        <w:t>, f. 3.</w:t>
      </w:r>
    </w:p>
    <w:p w:rsidR="00F80910" w:rsidRPr="00F80910" w:rsidRDefault="00F80910" w:rsidP="00F80910">
      <w:pPr>
        <w:pStyle w:val="TextoNormalSangraFrancesa"/>
        <w:rPr>
          <w:rStyle w:val="TextoNormalCaracter"/>
        </w:rPr>
      </w:pPr>
      <w:r w:rsidRPr="00F80910">
        <w:rPr>
          <w:rStyle w:val="TextoNormalCaracter"/>
        </w:rPr>
        <w:t xml:space="preserve">    Autos </w:t>
      </w:r>
      <w:hyperlink w:anchor="AUTO_2015_137" w:history="1">
        <w:r w:rsidRPr="00F80910">
          <w:rPr>
            <w:rStyle w:val="TextoNormalCaracter"/>
          </w:rPr>
          <w:t>137/2015</w:t>
        </w:r>
      </w:hyperlink>
      <w:r w:rsidRPr="00F80910">
        <w:rPr>
          <w:rStyle w:val="TextoNormalCaracter"/>
        </w:rPr>
        <w:t xml:space="preserve">, f. 3; </w:t>
      </w:r>
      <w:hyperlink w:anchor="AUTO_2015_138" w:history="1">
        <w:r w:rsidRPr="00F80910">
          <w:rPr>
            <w:rStyle w:val="TextoNormalCaracter"/>
          </w:rPr>
          <w:t>138/2015</w:t>
        </w:r>
      </w:hyperlink>
      <w:r w:rsidRPr="00F80910">
        <w:rPr>
          <w:rStyle w:val="TextoNormalCaracter"/>
        </w:rPr>
        <w:t>, f. 3.</w:t>
      </w:r>
    </w:p>
    <w:p w:rsidR="00F80910" w:rsidRPr="00F80910" w:rsidRDefault="00F80910" w:rsidP="00F80910">
      <w:pPr>
        <w:pStyle w:val="TextoNormalSangraFrancesa"/>
        <w:rPr>
          <w:rStyle w:val="TextoNormalCaracter"/>
        </w:rPr>
      </w:pPr>
      <w:bookmarkStart w:id="907" w:name="DESCRIPTORALFABETICO237"/>
      <w:r w:rsidRPr="00F80910">
        <w:rPr>
          <w:rStyle w:val="TextoNormalNegritaCaracter"/>
        </w:rPr>
        <w:t>Ausencia de doctrina constitucional</w:t>
      </w:r>
      <w:bookmarkEnd w:id="907"/>
      <w:r w:rsidRPr="00F80910">
        <w:rPr>
          <w:rStyle w:val="TextoNormalCaracter"/>
        </w:rPr>
        <w:t xml:space="preserve">, Sentencias </w:t>
      </w:r>
      <w:hyperlink w:anchor="SENTENCIA_2015_148" w:history="1">
        <w:r w:rsidRPr="00F80910">
          <w:rPr>
            <w:rStyle w:val="TextoNormalCaracter"/>
          </w:rPr>
          <w:t>148/2015</w:t>
        </w:r>
      </w:hyperlink>
      <w:r w:rsidRPr="00F80910">
        <w:rPr>
          <w:rStyle w:val="TextoNormalCaracter"/>
        </w:rPr>
        <w:t xml:space="preserve">, f. 2; </w:t>
      </w:r>
      <w:hyperlink w:anchor="SENTENCIA_2015_182" w:history="1">
        <w:r w:rsidRPr="00F80910">
          <w:rPr>
            <w:rStyle w:val="TextoNormalCaracter"/>
          </w:rPr>
          <w:t>182/2015</w:t>
        </w:r>
      </w:hyperlink>
      <w:r w:rsidRPr="00F80910">
        <w:rPr>
          <w:rStyle w:val="TextoNormalCaracter"/>
        </w:rPr>
        <w:t xml:space="preserve">, f. 4; </w:t>
      </w:r>
      <w:hyperlink w:anchor="SENTENCIA_2015_194" w:history="1">
        <w:r w:rsidRPr="00F80910">
          <w:rPr>
            <w:rStyle w:val="TextoNormalCaracter"/>
          </w:rPr>
          <w:t>194/2015</w:t>
        </w:r>
      </w:hyperlink>
      <w:r w:rsidRPr="00F80910">
        <w:rPr>
          <w:rStyle w:val="TextoNormalCaracter"/>
        </w:rPr>
        <w:t>, f. 2.</w:t>
      </w:r>
    </w:p>
    <w:p w:rsidR="00F80910" w:rsidRPr="00F80910" w:rsidRDefault="00F80910" w:rsidP="00F80910">
      <w:pPr>
        <w:pStyle w:val="TextoNormalSangraFrancesa"/>
        <w:rPr>
          <w:rStyle w:val="TextoNormalCaracter"/>
        </w:rPr>
      </w:pPr>
      <w:bookmarkStart w:id="908" w:name="DESCRIPTORALFABETICO43"/>
      <w:r w:rsidRPr="00F80910">
        <w:rPr>
          <w:rStyle w:val="TextoNormalNegritaCaracter"/>
        </w:rPr>
        <w:t>Autonomía financiera</w:t>
      </w:r>
      <w:bookmarkEnd w:id="908"/>
      <w:r w:rsidRPr="00F80910">
        <w:rPr>
          <w:rStyle w:val="TextoNormalCaracter"/>
        </w:rPr>
        <w:t xml:space="preserve">, Sentencias </w:t>
      </w:r>
      <w:hyperlink w:anchor="SENTENCIA_2015_211" w:history="1">
        <w:r w:rsidRPr="00F80910">
          <w:rPr>
            <w:rStyle w:val="TextoNormalCaracter"/>
          </w:rPr>
          <w:t>211/2015</w:t>
        </w:r>
      </w:hyperlink>
      <w:r w:rsidRPr="00F80910">
        <w:rPr>
          <w:rStyle w:val="TextoNormalCaracter"/>
        </w:rPr>
        <w:t xml:space="preserve">, ff. 1, 2; </w:t>
      </w:r>
      <w:hyperlink w:anchor="SENTENCIA_2015_215" w:history="1">
        <w:r w:rsidRPr="00F80910">
          <w:rPr>
            <w:rStyle w:val="TextoNormalCaracter"/>
          </w:rPr>
          <w:t>215/2015</w:t>
        </w:r>
      </w:hyperlink>
      <w:r w:rsidRPr="00F80910">
        <w:rPr>
          <w:rStyle w:val="TextoNormalCaracter"/>
        </w:rPr>
        <w:t>, f. 6.</w:t>
      </w:r>
    </w:p>
    <w:p w:rsidR="00F80910" w:rsidRPr="00F80910" w:rsidRDefault="00F80910" w:rsidP="00F80910">
      <w:pPr>
        <w:pStyle w:val="TextoNormalSangraFrancesa"/>
        <w:rPr>
          <w:rStyle w:val="TextoNormalCaracter"/>
        </w:rPr>
      </w:pPr>
      <w:bookmarkStart w:id="909" w:name="DESCRIPTORALFABETICO284"/>
      <w:r w:rsidRPr="00F80910">
        <w:rPr>
          <w:rStyle w:val="TextoNormalNegritaCaracter"/>
        </w:rPr>
        <w:t>Autonomía local</w:t>
      </w:r>
      <w:bookmarkEnd w:id="909"/>
      <w:r w:rsidRPr="00F80910">
        <w:rPr>
          <w:rStyle w:val="TextoNormalCaracter"/>
        </w:rPr>
        <w:t xml:space="preserve">, Sentencia </w:t>
      </w:r>
      <w:hyperlink w:anchor="SENTENCIA_2015_154" w:history="1">
        <w:r w:rsidRPr="00F80910">
          <w:rPr>
            <w:rStyle w:val="TextoNormalCaracter"/>
          </w:rPr>
          <w:t>154/2015</w:t>
        </w:r>
      </w:hyperlink>
      <w:r w:rsidRPr="00F80910">
        <w:rPr>
          <w:rStyle w:val="TextoNormalCaracter"/>
        </w:rPr>
        <w:t>, ff. 7 a) a 7 e).</w:t>
      </w:r>
    </w:p>
    <w:p w:rsidR="00F80910" w:rsidRPr="00F80910" w:rsidRDefault="00F80910" w:rsidP="00F80910">
      <w:pPr>
        <w:pStyle w:val="TextoNormalSangraFrancesa"/>
        <w:rPr>
          <w:rStyle w:val="TextoNormalCaracter"/>
        </w:rPr>
      </w:pPr>
      <w:bookmarkStart w:id="910" w:name="DESCRIPTORALFABETICO285"/>
      <w:r w:rsidRPr="00F80910">
        <w:rPr>
          <w:rStyle w:val="TextoNormalNegritaCaracter"/>
        </w:rPr>
        <w:t>Autonomía municipal</w:t>
      </w:r>
      <w:bookmarkEnd w:id="910"/>
      <w:r w:rsidRPr="00F80910">
        <w:rPr>
          <w:rStyle w:val="TextoNormalCaracter"/>
        </w:rPr>
        <w:t xml:space="preserve">, Sentencia </w:t>
      </w:r>
      <w:hyperlink w:anchor="SENTENCIA_2015_154" w:history="1">
        <w:r w:rsidRPr="00F80910">
          <w:rPr>
            <w:rStyle w:val="TextoNormalCaracter"/>
          </w:rPr>
          <w:t>154/2015</w:t>
        </w:r>
      </w:hyperlink>
      <w:r w:rsidRPr="00F80910">
        <w:rPr>
          <w:rStyle w:val="TextoNormalCaracter"/>
        </w:rPr>
        <w:t>, f. 7 d).</w:t>
      </w:r>
    </w:p>
    <w:p w:rsidR="00F80910" w:rsidRPr="00F80910" w:rsidRDefault="00F80910" w:rsidP="00F80910">
      <w:pPr>
        <w:pStyle w:val="TextoNormalSangraFrancesa"/>
        <w:rPr>
          <w:rStyle w:val="TextoNormalCaracter"/>
        </w:rPr>
      </w:pPr>
      <w:r w:rsidRPr="00F80910">
        <w:rPr>
          <w:rStyle w:val="TextoNormalCaracter"/>
        </w:rPr>
        <w:t xml:space="preserve">    Auto </w:t>
      </w:r>
      <w:hyperlink w:anchor="AUTO_2015_184" w:history="1">
        <w:r w:rsidRPr="00F80910">
          <w:rPr>
            <w:rStyle w:val="TextoNormalCaracter"/>
          </w:rPr>
          <w:t>184/2015</w:t>
        </w:r>
      </w:hyperlink>
      <w:r w:rsidRPr="00F80910">
        <w:rPr>
          <w:rStyle w:val="TextoNormalCaracter"/>
        </w:rPr>
        <w:t>, f. 1 a 3.</w:t>
      </w:r>
    </w:p>
    <w:p w:rsidR="00F80910" w:rsidRPr="00F80910" w:rsidRDefault="00F80910" w:rsidP="00F80910">
      <w:pPr>
        <w:pStyle w:val="TextoNormalSangraFrancesa"/>
        <w:rPr>
          <w:rStyle w:val="TextoNormalCaracter"/>
        </w:rPr>
      </w:pPr>
      <w:bookmarkStart w:id="911" w:name="DESCRIPTORALFABETICO317"/>
      <w:r w:rsidRPr="00F80910">
        <w:rPr>
          <w:rStyle w:val="TextoNormalNegritaCaracter"/>
        </w:rPr>
        <w:t>Autorización administrativa previa</w:t>
      </w:r>
      <w:bookmarkEnd w:id="911"/>
      <w:r w:rsidRPr="00F80910">
        <w:rPr>
          <w:rStyle w:val="TextoNormalCaracter"/>
        </w:rPr>
        <w:t xml:space="preserve">, Sentencia </w:t>
      </w:r>
      <w:hyperlink w:anchor="SENTENCIA_2015_209" w:history="1">
        <w:r w:rsidRPr="00F80910">
          <w:rPr>
            <w:rStyle w:val="TextoNormalCaracter"/>
          </w:rPr>
          <w:t>209/2015</w:t>
        </w:r>
      </w:hyperlink>
      <w:r w:rsidRPr="00F80910">
        <w:rPr>
          <w:rStyle w:val="TextoNormalCaracter"/>
        </w:rPr>
        <w:t>, ff. 2, 5.</w:t>
      </w:r>
    </w:p>
    <w:p w:rsidR="00F80910" w:rsidRPr="00F80910" w:rsidRDefault="00F80910" w:rsidP="00F80910">
      <w:pPr>
        <w:pStyle w:val="TextoNormalSangraFrancesa"/>
        <w:rPr>
          <w:rStyle w:val="TextoNormalCaracter"/>
        </w:rPr>
      </w:pPr>
      <w:bookmarkStart w:id="912" w:name="DESCRIPTORALFABETICO532"/>
      <w:r w:rsidRPr="00F80910">
        <w:rPr>
          <w:rStyle w:val="TextoNormalNegritaCaracter"/>
        </w:rPr>
        <w:t>Autorización judicial</w:t>
      </w:r>
      <w:bookmarkEnd w:id="912"/>
      <w:r w:rsidRPr="00F80910">
        <w:rPr>
          <w:rStyle w:val="TextoNormalCaracter"/>
        </w:rPr>
        <w:t xml:space="preserve">, Sentencia </w:t>
      </w:r>
      <w:hyperlink w:anchor="SENTENCIA_2015_214" w:history="1">
        <w:r w:rsidRPr="00F80910">
          <w:rPr>
            <w:rStyle w:val="TextoNormalCaracter"/>
          </w:rPr>
          <w:t>214/2015</w:t>
        </w:r>
      </w:hyperlink>
      <w:r w:rsidRPr="00F80910">
        <w:rPr>
          <w:rStyle w:val="TextoNormalCaracter"/>
        </w:rPr>
        <w:t>, f. 5.</w:t>
      </w:r>
    </w:p>
    <w:p w:rsidR="00F80910" w:rsidRPr="00F80910" w:rsidRDefault="00F80910" w:rsidP="00F80910">
      <w:pPr>
        <w:pStyle w:val="TextoNormalSangraFrancesa"/>
        <w:rPr>
          <w:rStyle w:val="TextoNormalCaracter"/>
        </w:rPr>
      </w:pPr>
      <w:bookmarkStart w:id="913" w:name="DESCRIPTORALFABETICO397"/>
      <w:r w:rsidRPr="00F80910">
        <w:rPr>
          <w:rStyle w:val="TextoNormalNegritaCaracter"/>
        </w:rPr>
        <w:t>Ayudas al alquiler de viviendas</w:t>
      </w:r>
      <w:bookmarkEnd w:id="913"/>
      <w:r w:rsidRPr="00F80910">
        <w:rPr>
          <w:rStyle w:val="TextoNormalCaracter"/>
        </w:rPr>
        <w:t xml:space="preserve">, Sentencias </w:t>
      </w:r>
      <w:hyperlink w:anchor="SENTENCIA_2015_216" w:history="1">
        <w:r w:rsidRPr="00F80910">
          <w:rPr>
            <w:rStyle w:val="TextoNormalCaracter"/>
          </w:rPr>
          <w:t>216/2015</w:t>
        </w:r>
      </w:hyperlink>
      <w:r w:rsidRPr="00F80910">
        <w:rPr>
          <w:rStyle w:val="TextoNormalCaracter"/>
        </w:rPr>
        <w:t xml:space="preserve">, ff. 3, 9; </w:t>
      </w:r>
      <w:hyperlink w:anchor="SENTENCIA_2015_267" w:history="1">
        <w:r w:rsidRPr="00F80910">
          <w:rPr>
            <w:rStyle w:val="TextoNormalCaracter"/>
          </w:rPr>
          <w:t>267/2015</w:t>
        </w:r>
      </w:hyperlink>
      <w:r w:rsidRPr="00F80910">
        <w:rPr>
          <w:rStyle w:val="TextoNormalCaracter"/>
        </w:rPr>
        <w:t xml:space="preserve">, ff. 2 a 4; </w:t>
      </w:r>
      <w:hyperlink w:anchor="SENTENCIA_2015_268" w:history="1">
        <w:r w:rsidRPr="00F80910">
          <w:rPr>
            <w:rStyle w:val="TextoNormalCaracter"/>
          </w:rPr>
          <w:t>268/2015</w:t>
        </w:r>
      </w:hyperlink>
      <w:r w:rsidRPr="00F80910">
        <w:rPr>
          <w:rStyle w:val="TextoNormalCaracter"/>
        </w:rPr>
        <w:t>, ff. 2 a 4.</w:t>
      </w:r>
    </w:p>
    <w:p w:rsidR="00F80910" w:rsidRDefault="00F80910" w:rsidP="00F80910">
      <w:pPr>
        <w:pStyle w:val="TextoNormalSangraFrancesa"/>
      </w:pPr>
    </w:p>
    <w:p w:rsidR="00F80910" w:rsidRDefault="00F80910" w:rsidP="00F80910">
      <w:pPr>
        <w:pStyle w:val="TextoNormalSangraFrancesa"/>
      </w:pPr>
    </w:p>
    <w:p w:rsidR="00F80910" w:rsidRDefault="00F80910" w:rsidP="00F80910">
      <w:pPr>
        <w:pStyle w:val="TextoNormalNegritaCentrado"/>
      </w:pPr>
      <w:r>
        <w:t>B</w:t>
      </w:r>
    </w:p>
    <w:p w:rsidR="00F80910" w:rsidRDefault="00F80910" w:rsidP="00F80910">
      <w:pPr>
        <w:pStyle w:val="TextoNormalNegritaCentrado"/>
      </w:pPr>
    </w:p>
    <w:p w:rsidR="00F80910" w:rsidRPr="00F80910" w:rsidRDefault="00F80910" w:rsidP="00F80910">
      <w:pPr>
        <w:pStyle w:val="TextoNormalSangraFrancesa"/>
        <w:rPr>
          <w:rStyle w:val="TextoNormalCaracter"/>
        </w:rPr>
      </w:pPr>
      <w:bookmarkStart w:id="914" w:name="DESCRIPTORALFABETICO50"/>
      <w:r w:rsidRPr="00F80910">
        <w:rPr>
          <w:rStyle w:val="TextoNormalNegritaCaracter"/>
        </w:rPr>
        <w:t>Bases de la planificación económica</w:t>
      </w:r>
      <w:bookmarkEnd w:id="914"/>
      <w:r w:rsidRPr="00F80910">
        <w:rPr>
          <w:rStyle w:val="TextoNormalCaracter"/>
        </w:rPr>
        <w:t xml:space="preserve">, Sentencias </w:t>
      </w:r>
      <w:hyperlink w:anchor="SENTENCIA_2015_209" w:history="1">
        <w:r w:rsidRPr="00F80910">
          <w:rPr>
            <w:rStyle w:val="TextoNormalCaracter"/>
          </w:rPr>
          <w:t>209/2015</w:t>
        </w:r>
      </w:hyperlink>
      <w:r w:rsidRPr="00F80910">
        <w:rPr>
          <w:rStyle w:val="TextoNormalCaracter"/>
        </w:rPr>
        <w:t xml:space="preserve">, ff. 3 a 5; </w:t>
      </w:r>
      <w:hyperlink w:anchor="SENTENCIA_2015_243" w:history="1">
        <w:r w:rsidRPr="00F80910">
          <w:rPr>
            <w:rStyle w:val="TextoNormalCaracter"/>
          </w:rPr>
          <w:t>243/2015</w:t>
        </w:r>
      </w:hyperlink>
      <w:r w:rsidRPr="00F80910">
        <w:rPr>
          <w:rStyle w:val="TextoNormalCaracter"/>
        </w:rPr>
        <w:t>, f. 7.</w:t>
      </w:r>
    </w:p>
    <w:p w:rsidR="00F80910" w:rsidRPr="00F80910" w:rsidRDefault="00F80910" w:rsidP="00F80910">
      <w:pPr>
        <w:pStyle w:val="TextoNormalSangraFrancesa"/>
        <w:rPr>
          <w:rStyle w:val="TextoNormalCaracter"/>
        </w:rPr>
      </w:pPr>
      <w:bookmarkStart w:id="915" w:name="DESCRIPTORALFABETICO331"/>
      <w:r w:rsidRPr="00F80910">
        <w:rPr>
          <w:rStyle w:val="TextoNormalNegritaCaracter"/>
        </w:rPr>
        <w:t>Bases del régimen estatutario de los funcionarios públicos</w:t>
      </w:r>
      <w:bookmarkEnd w:id="915"/>
      <w:r w:rsidRPr="00F80910">
        <w:rPr>
          <w:rStyle w:val="TextoNormalCaracter"/>
        </w:rPr>
        <w:t xml:space="preserve">, Sentencia </w:t>
      </w:r>
      <w:hyperlink w:anchor="SENTENCIA_2015_200" w:history="1">
        <w:r w:rsidRPr="00F80910">
          <w:rPr>
            <w:rStyle w:val="TextoNormalCaracter"/>
          </w:rPr>
          <w:t>200/2015</w:t>
        </w:r>
      </w:hyperlink>
      <w:r w:rsidRPr="00F80910">
        <w:rPr>
          <w:rStyle w:val="TextoNormalCaracter"/>
        </w:rPr>
        <w:t>, f. 4.</w:t>
      </w:r>
    </w:p>
    <w:p w:rsidR="00F80910" w:rsidRPr="00F80910" w:rsidRDefault="00F80910" w:rsidP="00F80910">
      <w:pPr>
        <w:pStyle w:val="TextoNormalSangraFrancesa"/>
        <w:rPr>
          <w:rStyle w:val="TextoNormalCaracter"/>
        </w:rPr>
      </w:pPr>
      <w:bookmarkStart w:id="916" w:name="DESCRIPTORALFABETICO398"/>
      <w:r w:rsidRPr="00F80910">
        <w:rPr>
          <w:rStyle w:val="TextoNormalNegritaCaracter"/>
        </w:rPr>
        <w:t>Becas para estudiantes extranjeros</w:t>
      </w:r>
      <w:bookmarkEnd w:id="916"/>
      <w:r w:rsidRPr="00F80910">
        <w:rPr>
          <w:rStyle w:val="TextoNormalCaracter"/>
        </w:rPr>
        <w:t xml:space="preserve">, Sentencia </w:t>
      </w:r>
      <w:hyperlink w:anchor="SENTENCIA_2015_155" w:history="1">
        <w:r w:rsidRPr="00F80910">
          <w:rPr>
            <w:rStyle w:val="TextoNormalCaracter"/>
          </w:rPr>
          <w:t>155/2015</w:t>
        </w:r>
      </w:hyperlink>
      <w:r w:rsidRPr="00F80910">
        <w:rPr>
          <w:rStyle w:val="TextoNormalCaracter"/>
        </w:rPr>
        <w:t>, ff. 2 a 5.</w:t>
      </w:r>
    </w:p>
    <w:p w:rsidR="00F80910" w:rsidRPr="00F80910" w:rsidRDefault="00F80910" w:rsidP="00F80910">
      <w:pPr>
        <w:pStyle w:val="TextoNormalSangraFrancesa"/>
        <w:rPr>
          <w:rStyle w:val="TextoNormalCaracter"/>
        </w:rPr>
      </w:pPr>
      <w:bookmarkStart w:id="917" w:name="DESCRIPTORALFABETICO487"/>
      <w:r w:rsidRPr="00F80910">
        <w:rPr>
          <w:rStyle w:val="TextoNormalNegritaCaracter"/>
        </w:rPr>
        <w:t>Beneficios penitenciarios</w:t>
      </w:r>
      <w:bookmarkEnd w:id="917"/>
      <w:r w:rsidRPr="00F80910">
        <w:rPr>
          <w:rStyle w:val="TextoNormalCaracter"/>
        </w:rPr>
        <w:t xml:space="preserve">, Sentencia </w:t>
      </w:r>
      <w:hyperlink w:anchor="SENTENCIA_2015_226" w:history="1">
        <w:r w:rsidRPr="00F80910">
          <w:rPr>
            <w:rStyle w:val="TextoNormalCaracter"/>
          </w:rPr>
          <w:t>226/2015</w:t>
        </w:r>
      </w:hyperlink>
      <w:r w:rsidRPr="00F80910">
        <w:rPr>
          <w:rStyle w:val="TextoNormalCaracter"/>
        </w:rPr>
        <w:t>, f. 2.</w:t>
      </w:r>
    </w:p>
    <w:p w:rsidR="00F80910" w:rsidRDefault="00F80910" w:rsidP="00F80910">
      <w:pPr>
        <w:pStyle w:val="TextoNormalSangraFrancesa"/>
      </w:pPr>
    </w:p>
    <w:p w:rsidR="00F80910" w:rsidRDefault="00F80910" w:rsidP="00F80910">
      <w:pPr>
        <w:pStyle w:val="TextoNormalSangraFrancesa"/>
      </w:pPr>
    </w:p>
    <w:p w:rsidR="00F80910" w:rsidRDefault="00F80910" w:rsidP="00F80910">
      <w:pPr>
        <w:pStyle w:val="TextoNormalNegritaCentrado"/>
      </w:pPr>
      <w:r>
        <w:t>C</w:t>
      </w:r>
    </w:p>
    <w:p w:rsidR="00F80910" w:rsidRDefault="00F80910" w:rsidP="00F80910">
      <w:pPr>
        <w:pStyle w:val="TextoNormalNegritaCentrado"/>
      </w:pPr>
    </w:p>
    <w:p w:rsidR="00F80910" w:rsidRPr="00F80910" w:rsidRDefault="00F80910" w:rsidP="00F80910">
      <w:pPr>
        <w:pStyle w:val="TextoNormalSangraFrancesa"/>
        <w:rPr>
          <w:rStyle w:val="TextoNormalCaracter"/>
        </w:rPr>
      </w:pPr>
      <w:bookmarkStart w:id="918" w:name="DESCRIPTORALFABETICO601"/>
      <w:r w:rsidRPr="00F80910">
        <w:rPr>
          <w:rStyle w:val="TextoNormalNegritaCaracter"/>
        </w:rPr>
        <w:t>Canarias</w:t>
      </w:r>
      <w:bookmarkEnd w:id="918"/>
      <w:r w:rsidRPr="00F80910">
        <w:rPr>
          <w:rStyle w:val="TextoNormalCaracter"/>
        </w:rPr>
        <w:t xml:space="preserve">, Sentencia </w:t>
      </w:r>
      <w:hyperlink w:anchor="SENTENCIA_2015_209" w:history="1">
        <w:r w:rsidRPr="00F80910">
          <w:rPr>
            <w:rStyle w:val="TextoNormalCaracter"/>
          </w:rPr>
          <w:t>209/2015</w:t>
        </w:r>
      </w:hyperlink>
      <w:r w:rsidRPr="00F80910">
        <w:rPr>
          <w:rStyle w:val="TextoNormalCaracter"/>
        </w:rPr>
        <w:t>, f. 1.</w:t>
      </w:r>
    </w:p>
    <w:p w:rsidR="00F80910" w:rsidRPr="00F80910" w:rsidRDefault="00F80910" w:rsidP="00F80910">
      <w:pPr>
        <w:pStyle w:val="TextoNormalSangraFrancesa"/>
        <w:rPr>
          <w:rStyle w:val="TextoNormalCaracter"/>
        </w:rPr>
      </w:pPr>
      <w:bookmarkStart w:id="919" w:name="DESCRIPTORALFABETICO68"/>
      <w:r w:rsidRPr="00F80910">
        <w:rPr>
          <w:rStyle w:val="TextoNormalNegritaCaracter"/>
        </w:rPr>
        <w:t>Candidaturas electorales</w:t>
      </w:r>
      <w:bookmarkEnd w:id="919"/>
      <w:r w:rsidRPr="00F80910">
        <w:rPr>
          <w:rStyle w:val="TextoNormalCaracter"/>
        </w:rPr>
        <w:t xml:space="preserve">, Sentencia </w:t>
      </w:r>
      <w:hyperlink w:anchor="SENTENCIA_2015_158" w:history="1">
        <w:r w:rsidRPr="00F80910">
          <w:rPr>
            <w:rStyle w:val="TextoNormalCaracter"/>
          </w:rPr>
          <w:t>158/2015</w:t>
        </w:r>
      </w:hyperlink>
      <w:r w:rsidRPr="00F80910">
        <w:rPr>
          <w:rStyle w:val="TextoNormalCaracter"/>
        </w:rPr>
        <w:t>, ff. 1, 2.</w:t>
      </w:r>
    </w:p>
    <w:p w:rsidR="00F80910" w:rsidRPr="00F80910" w:rsidRDefault="00F80910" w:rsidP="00F80910">
      <w:pPr>
        <w:pStyle w:val="TextoNormalSangraFrancesa"/>
        <w:rPr>
          <w:rStyle w:val="TextoNormalCaracter"/>
        </w:rPr>
      </w:pPr>
      <w:bookmarkStart w:id="920" w:name="DESCRIPTORALFABETICO109"/>
      <w:r w:rsidRPr="00F80910">
        <w:rPr>
          <w:rStyle w:val="TextoNormalNegritaCaracter"/>
        </w:rPr>
        <w:t>Canon de motivación reforzado</w:t>
      </w:r>
      <w:bookmarkEnd w:id="920"/>
      <w:r w:rsidRPr="00F80910">
        <w:rPr>
          <w:rStyle w:val="TextoNormalCaracter"/>
        </w:rPr>
        <w:t xml:space="preserve">, Sentencia </w:t>
      </w:r>
      <w:hyperlink w:anchor="SENTENCIA_2015_226" w:history="1">
        <w:r w:rsidRPr="00F80910">
          <w:rPr>
            <w:rStyle w:val="TextoNormalCaracter"/>
          </w:rPr>
          <w:t>226/2015</w:t>
        </w:r>
      </w:hyperlink>
      <w:r w:rsidRPr="00F80910">
        <w:rPr>
          <w:rStyle w:val="TextoNormalCaracter"/>
        </w:rPr>
        <w:t>, f. 4.</w:t>
      </w:r>
    </w:p>
    <w:p w:rsidR="00F80910" w:rsidRPr="00F80910" w:rsidRDefault="00F80910" w:rsidP="00F80910">
      <w:pPr>
        <w:pStyle w:val="TextoNormalSangraFrancesa"/>
        <w:rPr>
          <w:rStyle w:val="TextoNormalCaracter"/>
        </w:rPr>
      </w:pPr>
      <w:bookmarkStart w:id="921" w:name="DESCRIPTORALFABETICO602"/>
      <w:r w:rsidRPr="00F80910">
        <w:rPr>
          <w:rStyle w:val="TextoNormalNegritaCaracter"/>
        </w:rPr>
        <w:t>Cantabria</w:t>
      </w:r>
      <w:bookmarkEnd w:id="921"/>
      <w:r w:rsidRPr="00F80910">
        <w:rPr>
          <w:rStyle w:val="TextoNormalCaracter"/>
        </w:rPr>
        <w:t xml:space="preserve">, Sentencia </w:t>
      </w:r>
      <w:hyperlink w:anchor="SENTENCIA_2015_254" w:history="1">
        <w:r w:rsidRPr="00F80910">
          <w:rPr>
            <w:rStyle w:val="TextoNormalCaracter"/>
          </w:rPr>
          <w:t>254/2015</w:t>
        </w:r>
      </w:hyperlink>
      <w:r w:rsidRPr="00F80910">
        <w:rPr>
          <w:rStyle w:val="TextoNormalCaracter"/>
        </w:rPr>
        <w:t>, f. 1.</w:t>
      </w:r>
    </w:p>
    <w:p w:rsidR="00F80910" w:rsidRPr="00F80910" w:rsidRDefault="00F80910" w:rsidP="00F80910">
      <w:pPr>
        <w:pStyle w:val="TextoNormalSangraFrancesa"/>
        <w:rPr>
          <w:rStyle w:val="TextoNormalCaracter"/>
        </w:rPr>
      </w:pPr>
      <w:bookmarkStart w:id="922" w:name="DESCRIPTORALFABETICO453"/>
      <w:r w:rsidRPr="00F80910">
        <w:rPr>
          <w:rStyle w:val="TextoNormalNegritaCaracter"/>
        </w:rPr>
        <w:t>Carácter básico de las normas jurídicas</w:t>
      </w:r>
      <w:bookmarkEnd w:id="922"/>
      <w:r w:rsidRPr="00F80910">
        <w:rPr>
          <w:rStyle w:val="TextoNormalCaracter"/>
        </w:rPr>
        <w:t xml:space="preserve">, Sentencia </w:t>
      </w:r>
      <w:hyperlink w:anchor="SENTENCIA_2015_237" w:history="1">
        <w:r w:rsidRPr="00F80910">
          <w:rPr>
            <w:rStyle w:val="TextoNormalCaracter"/>
          </w:rPr>
          <w:t>237/2015</w:t>
        </w:r>
      </w:hyperlink>
      <w:r w:rsidRPr="00F80910">
        <w:rPr>
          <w:rStyle w:val="TextoNormalCaracter"/>
        </w:rPr>
        <w:t>, ff. 2, 5 a 9.</w:t>
      </w:r>
    </w:p>
    <w:p w:rsidR="00F80910" w:rsidRPr="00F80910" w:rsidRDefault="00F80910" w:rsidP="00F80910">
      <w:pPr>
        <w:pStyle w:val="TextoNormalSangraFrancesa"/>
        <w:rPr>
          <w:rStyle w:val="TextoNormalCaracter"/>
        </w:rPr>
      </w:pPr>
      <w:bookmarkStart w:id="923" w:name="DESCRIPTORALFABETICO201"/>
      <w:r w:rsidRPr="00F80910">
        <w:rPr>
          <w:rStyle w:val="TextoNormalNegritaCaracter"/>
        </w:rPr>
        <w:t>Carácter prejudicial de la cuestión de inconstitucionalidad</w:t>
      </w:r>
      <w:bookmarkEnd w:id="923"/>
      <w:r w:rsidRPr="00F80910">
        <w:rPr>
          <w:rStyle w:val="TextoNormalCaracter"/>
        </w:rPr>
        <w:t xml:space="preserve">, Sentencia </w:t>
      </w:r>
      <w:hyperlink w:anchor="SENTENCIA_2015_269" w:history="1">
        <w:r w:rsidRPr="00F80910">
          <w:rPr>
            <w:rStyle w:val="TextoNormalCaracter"/>
          </w:rPr>
          <w:t>269/2015</w:t>
        </w:r>
      </w:hyperlink>
      <w:r w:rsidRPr="00F80910">
        <w:rPr>
          <w:rStyle w:val="TextoNormalCaracter"/>
        </w:rPr>
        <w:t>, f. 2.</w:t>
      </w:r>
    </w:p>
    <w:p w:rsidR="00F80910" w:rsidRPr="00F80910" w:rsidRDefault="00F80910" w:rsidP="00F80910">
      <w:pPr>
        <w:pStyle w:val="TextoNormalSangraFrancesa"/>
        <w:rPr>
          <w:rStyle w:val="TextoNormalCaracter"/>
        </w:rPr>
      </w:pPr>
      <w:bookmarkStart w:id="924" w:name="DESCRIPTORALFABETICO243"/>
      <w:r w:rsidRPr="00F80910">
        <w:rPr>
          <w:rStyle w:val="TextoNormalNegritaCaracter"/>
        </w:rPr>
        <w:t>Carencia de especial trascendencia constitucional</w:t>
      </w:r>
      <w:bookmarkEnd w:id="924"/>
      <w:r w:rsidRPr="00F80910">
        <w:rPr>
          <w:rStyle w:val="TextoNormalCaracter"/>
        </w:rPr>
        <w:t xml:space="preserve">, Sentencia </w:t>
      </w:r>
      <w:hyperlink w:anchor="SENTENCIA_2015_160" w:history="1">
        <w:r w:rsidRPr="00F80910">
          <w:rPr>
            <w:rStyle w:val="TextoNormalCaracter"/>
          </w:rPr>
          <w:t>160/2015</w:t>
        </w:r>
      </w:hyperlink>
      <w:r w:rsidRPr="00F80910">
        <w:rPr>
          <w:rStyle w:val="TextoNormalCaracter"/>
        </w:rPr>
        <w:t>, ff. 2, 3.</w:t>
      </w:r>
    </w:p>
    <w:p w:rsidR="00F80910" w:rsidRPr="00F80910" w:rsidRDefault="00F80910" w:rsidP="00F80910">
      <w:pPr>
        <w:pStyle w:val="TextoNormalSangraFrancesa"/>
        <w:rPr>
          <w:rStyle w:val="TextoNormalCaracter"/>
        </w:rPr>
      </w:pPr>
      <w:bookmarkStart w:id="925" w:name="DESCRIPTORALFABETICO546"/>
      <w:r w:rsidRPr="00F80910">
        <w:rPr>
          <w:rStyle w:val="TextoNormalNegritaCaracter"/>
        </w:rPr>
        <w:t>Carga de la prueba</w:t>
      </w:r>
      <w:bookmarkEnd w:id="925"/>
      <w:r w:rsidRPr="00F80910">
        <w:rPr>
          <w:rStyle w:val="TextoNormalCaracter"/>
        </w:rPr>
        <w:t xml:space="preserve">, Sentencia </w:t>
      </w:r>
      <w:hyperlink w:anchor="SENTENCIA_2015_183" w:history="1">
        <w:r w:rsidRPr="00F80910">
          <w:rPr>
            <w:rStyle w:val="TextoNormalCaracter"/>
          </w:rPr>
          <w:t>183/2015</w:t>
        </w:r>
      </w:hyperlink>
      <w:r w:rsidRPr="00F80910">
        <w:rPr>
          <w:rStyle w:val="TextoNormalCaracter"/>
        </w:rPr>
        <w:t>, ff. 4 a 7, VP.</w:t>
      </w:r>
    </w:p>
    <w:p w:rsidR="00F80910" w:rsidRPr="00F80910" w:rsidRDefault="00F80910" w:rsidP="00F80910">
      <w:pPr>
        <w:pStyle w:val="TextoNormalSangraFrancesa"/>
        <w:rPr>
          <w:rStyle w:val="TextoNormalCaracter"/>
        </w:rPr>
      </w:pPr>
      <w:bookmarkStart w:id="926" w:name="DESCRIPTORALFABETICO160"/>
      <w:r w:rsidRPr="00F80910">
        <w:rPr>
          <w:rStyle w:val="TextoNormalNegritaCaracter"/>
        </w:rPr>
        <w:t>Carga de la prueba de la vulneración de derechos fundamentales</w:t>
      </w:r>
      <w:bookmarkEnd w:id="926"/>
      <w:r w:rsidRPr="00F80910">
        <w:rPr>
          <w:rStyle w:val="TextoNormalCaracter"/>
        </w:rPr>
        <w:t xml:space="preserve">, Sentencia </w:t>
      </w:r>
      <w:hyperlink w:anchor="SENTENCIA_2015_183" w:history="1">
        <w:r w:rsidRPr="00F80910">
          <w:rPr>
            <w:rStyle w:val="TextoNormalCaracter"/>
          </w:rPr>
          <w:t>183/2015</w:t>
        </w:r>
      </w:hyperlink>
      <w:r w:rsidRPr="00F80910">
        <w:rPr>
          <w:rStyle w:val="TextoNormalCaracter"/>
        </w:rPr>
        <w:t>, ff. 4 a 7, VP.</w:t>
      </w:r>
    </w:p>
    <w:p w:rsidR="00F80910" w:rsidRPr="00F80910" w:rsidRDefault="00F80910" w:rsidP="00F80910">
      <w:pPr>
        <w:pStyle w:val="TextoNormalSangraFrancesa"/>
        <w:rPr>
          <w:rStyle w:val="TextoNormalCaracter"/>
        </w:rPr>
      </w:pPr>
      <w:bookmarkStart w:id="927" w:name="DESCRIPTORALFABETICO603"/>
      <w:r w:rsidRPr="00F80910">
        <w:rPr>
          <w:rStyle w:val="TextoNormalNegritaCaracter"/>
        </w:rPr>
        <w:t>Castilla y León</w:t>
      </w:r>
      <w:bookmarkEnd w:id="927"/>
      <w:r w:rsidRPr="00F80910">
        <w:rPr>
          <w:rStyle w:val="TextoNormalCaracter"/>
        </w:rPr>
        <w:t xml:space="preserve">, Sentencia </w:t>
      </w:r>
      <w:hyperlink w:anchor="SENTENCIA_2015_229" w:history="1">
        <w:r w:rsidRPr="00F80910">
          <w:rPr>
            <w:rStyle w:val="TextoNormalCaracter"/>
          </w:rPr>
          <w:t>229/2015</w:t>
        </w:r>
      </w:hyperlink>
      <w:r w:rsidRPr="00F80910">
        <w:rPr>
          <w:rStyle w:val="TextoNormalCaracter"/>
        </w:rPr>
        <w:t>, f. 1.</w:t>
      </w:r>
    </w:p>
    <w:p w:rsidR="00F80910" w:rsidRPr="00F80910" w:rsidRDefault="00F80910" w:rsidP="00F80910">
      <w:pPr>
        <w:pStyle w:val="TextoNormalSangraFrancesa"/>
        <w:rPr>
          <w:rStyle w:val="TextoNormalCaracter"/>
        </w:rPr>
      </w:pPr>
      <w:bookmarkStart w:id="928" w:name="DESCRIPTORALFABETICO604"/>
      <w:r w:rsidRPr="00F80910">
        <w:rPr>
          <w:rStyle w:val="TextoNormalNegritaCaracter"/>
        </w:rPr>
        <w:t>Cataluña</w:t>
      </w:r>
      <w:bookmarkEnd w:id="928"/>
      <w:r w:rsidRPr="00F80910">
        <w:rPr>
          <w:rStyle w:val="TextoNormalCaracter"/>
        </w:rPr>
        <w:t xml:space="preserve">, Sentencias </w:t>
      </w:r>
      <w:hyperlink w:anchor="SENTENCIA_2015_198" w:history="1">
        <w:r w:rsidRPr="00F80910">
          <w:rPr>
            <w:rStyle w:val="TextoNormalCaracter"/>
          </w:rPr>
          <w:t>198/2015</w:t>
        </w:r>
      </w:hyperlink>
      <w:r w:rsidRPr="00F80910">
        <w:rPr>
          <w:rStyle w:val="TextoNormalCaracter"/>
        </w:rPr>
        <w:t xml:space="preserve">, f. 1; </w:t>
      </w:r>
      <w:hyperlink w:anchor="SENTENCIA_2015_238" w:history="1">
        <w:r w:rsidRPr="00F80910">
          <w:rPr>
            <w:rStyle w:val="TextoNormalCaracter"/>
          </w:rPr>
          <w:t>238/2015</w:t>
        </w:r>
      </w:hyperlink>
      <w:r w:rsidRPr="00F80910">
        <w:rPr>
          <w:rStyle w:val="TextoNormalCaracter"/>
        </w:rPr>
        <w:t xml:space="preserve">, f. 1; </w:t>
      </w:r>
      <w:hyperlink w:anchor="SENTENCIA_2015_259" w:history="1">
        <w:r w:rsidRPr="00F80910">
          <w:rPr>
            <w:rStyle w:val="TextoNormalCaracter"/>
          </w:rPr>
          <w:t>259/2015</w:t>
        </w:r>
      </w:hyperlink>
      <w:r w:rsidRPr="00F80910">
        <w:rPr>
          <w:rStyle w:val="TextoNormalCaracter"/>
        </w:rPr>
        <w:t>, f. 1.</w:t>
      </w:r>
    </w:p>
    <w:p w:rsidR="00F80910" w:rsidRPr="00F80910" w:rsidRDefault="00F80910" w:rsidP="00F80910">
      <w:pPr>
        <w:pStyle w:val="TextoNormalSangraFrancesa"/>
        <w:rPr>
          <w:rStyle w:val="TextoNormalCaracter"/>
        </w:rPr>
      </w:pPr>
      <w:r w:rsidRPr="00F80910">
        <w:rPr>
          <w:rStyle w:val="TextoNormalCaracter"/>
        </w:rPr>
        <w:t xml:space="preserve">    Auto </w:t>
      </w:r>
      <w:hyperlink w:anchor="AUTO_2015_185" w:history="1">
        <w:r w:rsidRPr="00F80910">
          <w:rPr>
            <w:rStyle w:val="TextoNormalCaracter"/>
          </w:rPr>
          <w:t>185/2015</w:t>
        </w:r>
      </w:hyperlink>
      <w:r w:rsidRPr="00F80910">
        <w:rPr>
          <w:rStyle w:val="TextoNormalCaracter"/>
        </w:rPr>
        <w:t>, f. 1.</w:t>
      </w:r>
    </w:p>
    <w:p w:rsidR="00F80910" w:rsidRPr="00F80910" w:rsidRDefault="00F80910" w:rsidP="00F80910">
      <w:pPr>
        <w:pStyle w:val="TextoNormalSangraFrancesa"/>
        <w:rPr>
          <w:rStyle w:val="TextoNormalCaracter"/>
        </w:rPr>
      </w:pPr>
      <w:bookmarkStart w:id="929" w:name="DESCRIPTORALFABETICO375"/>
      <w:r w:rsidRPr="00F80910">
        <w:rPr>
          <w:rStyle w:val="TextoNormalNegritaCaracter"/>
        </w:rPr>
        <w:t>Centros docentes sostenidos con fondos públicos</w:t>
      </w:r>
      <w:bookmarkEnd w:id="929"/>
      <w:r w:rsidRPr="00F80910">
        <w:rPr>
          <w:rStyle w:val="TextoNormalCaracter"/>
        </w:rPr>
        <w:t xml:space="preserve">, Sentencia </w:t>
      </w:r>
      <w:hyperlink w:anchor="SENTENCIA_2015_271" w:history="1">
        <w:r w:rsidRPr="00F80910">
          <w:rPr>
            <w:rStyle w:val="TextoNormalCaracter"/>
          </w:rPr>
          <w:t>271/2015</w:t>
        </w:r>
      </w:hyperlink>
      <w:r w:rsidRPr="00F80910">
        <w:rPr>
          <w:rStyle w:val="TextoNormalCaracter"/>
        </w:rPr>
        <w:t>, ff. 4, 5.</w:t>
      </w:r>
    </w:p>
    <w:p w:rsidR="00F80910" w:rsidRPr="00F80910" w:rsidRDefault="00F80910" w:rsidP="00F80910">
      <w:pPr>
        <w:pStyle w:val="TextoNormalSangraFrancesa"/>
        <w:rPr>
          <w:rStyle w:val="TextoNormalCaracter"/>
        </w:rPr>
      </w:pPr>
      <w:bookmarkStart w:id="930" w:name="DESCRIPTORALFABETICO493"/>
      <w:r w:rsidRPr="00F80910">
        <w:rPr>
          <w:rStyle w:val="TextoNormalNegritaCaracter"/>
        </w:rPr>
        <w:t>Circunstancias eximentes de la responsabilidad penal</w:t>
      </w:r>
      <w:bookmarkEnd w:id="930"/>
      <w:r w:rsidRPr="00F80910">
        <w:rPr>
          <w:rStyle w:val="TextoNormalCaracter"/>
        </w:rPr>
        <w:t xml:space="preserve">, Sentencia </w:t>
      </w:r>
      <w:hyperlink w:anchor="SENTENCIA_2015_217" w:history="1">
        <w:r w:rsidRPr="00F80910">
          <w:rPr>
            <w:rStyle w:val="TextoNormalCaracter"/>
          </w:rPr>
          <w:t>217/2015</w:t>
        </w:r>
      </w:hyperlink>
      <w:r w:rsidRPr="00F80910">
        <w:rPr>
          <w:rStyle w:val="TextoNormalCaracter"/>
        </w:rPr>
        <w:t>, ff. 2, 4.</w:t>
      </w:r>
    </w:p>
    <w:p w:rsidR="00F80910" w:rsidRPr="00F80910" w:rsidRDefault="00F80910" w:rsidP="00F80910">
      <w:pPr>
        <w:pStyle w:val="TextoNormalSangraFrancesa"/>
        <w:rPr>
          <w:rStyle w:val="TextoNormalCaracter"/>
        </w:rPr>
      </w:pPr>
      <w:bookmarkStart w:id="931" w:name="DESCRIPTORALFABETICO423"/>
      <w:r w:rsidRPr="00F80910">
        <w:rPr>
          <w:rStyle w:val="TextoNormalNegritaCaracter"/>
        </w:rPr>
        <w:t>Clasificación del suelo</w:t>
      </w:r>
      <w:bookmarkEnd w:id="931"/>
      <w:r w:rsidRPr="00F80910">
        <w:rPr>
          <w:rStyle w:val="TextoNormalCaracter"/>
        </w:rPr>
        <w:t xml:space="preserve">, Sentencia </w:t>
      </w:r>
      <w:hyperlink w:anchor="SENTENCIA_2015_218" w:history="1">
        <w:r w:rsidRPr="00F80910">
          <w:rPr>
            <w:rStyle w:val="TextoNormalCaracter"/>
          </w:rPr>
          <w:t>218/2015</w:t>
        </w:r>
      </w:hyperlink>
      <w:r w:rsidRPr="00F80910">
        <w:rPr>
          <w:rStyle w:val="TextoNormalCaracter"/>
        </w:rPr>
        <w:t>, ff. 2, 3.</w:t>
      </w:r>
    </w:p>
    <w:p w:rsidR="00F80910" w:rsidRPr="00F80910" w:rsidRDefault="00F80910" w:rsidP="00F80910">
      <w:pPr>
        <w:pStyle w:val="TextoNormalSangraFrancesa"/>
        <w:rPr>
          <w:rStyle w:val="TextoNormalCaracter"/>
        </w:rPr>
      </w:pPr>
      <w:bookmarkStart w:id="932" w:name="DESCRIPTORALFABETICO155"/>
      <w:r w:rsidRPr="00F80910">
        <w:rPr>
          <w:rStyle w:val="TextoNormalNegritaCaracter"/>
        </w:rPr>
        <w:t>Cobertura legal de medidas limitativas de derechos fundamentales</w:t>
      </w:r>
      <w:bookmarkEnd w:id="932"/>
      <w:r w:rsidRPr="00F80910">
        <w:rPr>
          <w:rStyle w:val="TextoNormalCaracter"/>
        </w:rPr>
        <w:t xml:space="preserve">, Sentencia </w:t>
      </w:r>
      <w:hyperlink w:anchor="SENTENCIA_2015_217" w:history="1">
        <w:r w:rsidRPr="00F80910">
          <w:rPr>
            <w:rStyle w:val="TextoNormalCaracter"/>
          </w:rPr>
          <w:t>217/2015</w:t>
        </w:r>
      </w:hyperlink>
      <w:r w:rsidRPr="00F80910">
        <w:rPr>
          <w:rStyle w:val="TextoNormalCaracter"/>
        </w:rPr>
        <w:t>, ff. 2, 4.</w:t>
      </w:r>
    </w:p>
    <w:p w:rsidR="00F80910" w:rsidRPr="00F80910" w:rsidRDefault="00F80910" w:rsidP="00F80910">
      <w:pPr>
        <w:pStyle w:val="TextoNormalSangraFrancesa"/>
        <w:rPr>
          <w:rStyle w:val="TextoNormalCaracter"/>
        </w:rPr>
      </w:pPr>
      <w:bookmarkStart w:id="933" w:name="DESCRIPTORALFABETICO263"/>
      <w:r w:rsidRPr="00F80910">
        <w:rPr>
          <w:rStyle w:val="TextoNormalNegritaCaracter"/>
        </w:rPr>
        <w:t>Colaboración entre el Estado y las Comunidades Autónomas</w:t>
      </w:r>
      <w:bookmarkEnd w:id="933"/>
      <w:r w:rsidRPr="00F80910">
        <w:rPr>
          <w:rStyle w:val="TextoNormalCaracter"/>
        </w:rPr>
        <w:t xml:space="preserve">, Sentencias </w:t>
      </w:r>
      <w:hyperlink w:anchor="SENTENCIA_2015_178" w:history="1">
        <w:r w:rsidRPr="00F80910">
          <w:rPr>
            <w:rStyle w:val="TextoNormalCaracter"/>
          </w:rPr>
          <w:t>178/2015</w:t>
        </w:r>
      </w:hyperlink>
      <w:r w:rsidRPr="00F80910">
        <w:rPr>
          <w:rStyle w:val="TextoNormalCaracter"/>
        </w:rPr>
        <w:t xml:space="preserve">, ff. 8, 10; </w:t>
      </w:r>
      <w:hyperlink w:anchor="SENTENCIA_2015_185" w:history="1">
        <w:r w:rsidRPr="00F80910">
          <w:rPr>
            <w:rStyle w:val="TextoNormalCaracter"/>
          </w:rPr>
          <w:t>185/2015</w:t>
        </w:r>
      </w:hyperlink>
      <w:r w:rsidRPr="00F80910">
        <w:rPr>
          <w:rStyle w:val="TextoNormalCaracter"/>
        </w:rPr>
        <w:t>, ff. 2 a 4.</w:t>
      </w:r>
    </w:p>
    <w:p w:rsidR="00F80910" w:rsidRPr="00F80910" w:rsidRDefault="00F80910" w:rsidP="00F80910">
      <w:pPr>
        <w:pStyle w:val="TextoNormalSangraFrancesa"/>
        <w:rPr>
          <w:rStyle w:val="TextoNormalCaracter"/>
        </w:rPr>
      </w:pPr>
      <w:bookmarkStart w:id="934" w:name="DESCRIPTORALFABETICO483"/>
      <w:r w:rsidRPr="00F80910">
        <w:rPr>
          <w:rStyle w:val="TextoNormalNegritaCaracter"/>
        </w:rPr>
        <w:t>Colegiación obligatoria</w:t>
      </w:r>
      <w:bookmarkEnd w:id="934"/>
      <w:r w:rsidRPr="00F80910">
        <w:rPr>
          <w:rStyle w:val="TextoNormalCaracter"/>
        </w:rPr>
        <w:t xml:space="preserve">, Sentencia </w:t>
      </w:r>
      <w:hyperlink w:anchor="SENTENCIA_2015_229" w:history="1">
        <w:r w:rsidRPr="00F80910">
          <w:rPr>
            <w:rStyle w:val="TextoNormalCaracter"/>
          </w:rPr>
          <w:t>229/2015</w:t>
        </w:r>
      </w:hyperlink>
      <w:r w:rsidRPr="00F80910">
        <w:rPr>
          <w:rStyle w:val="TextoNormalCaracter"/>
        </w:rPr>
        <w:t>, ff. 6, 7.</w:t>
      </w:r>
    </w:p>
    <w:p w:rsidR="00F80910" w:rsidRPr="00F80910" w:rsidRDefault="00F80910" w:rsidP="00F80910">
      <w:pPr>
        <w:pStyle w:val="TextoNormalSangraFrancesa"/>
        <w:rPr>
          <w:rStyle w:val="TextoNormalCaracter"/>
        </w:rPr>
      </w:pPr>
      <w:bookmarkStart w:id="935" w:name="DESCRIPTORALFABETICO482"/>
      <w:r w:rsidRPr="00F80910">
        <w:rPr>
          <w:rStyle w:val="TextoNormalNegritaCaracter"/>
        </w:rPr>
        <w:t>Colegios profesionales</w:t>
      </w:r>
      <w:bookmarkEnd w:id="935"/>
      <w:r w:rsidRPr="00F80910">
        <w:rPr>
          <w:rStyle w:val="TextoNormalCaracter"/>
        </w:rPr>
        <w:t xml:space="preserve">, Sentencia </w:t>
      </w:r>
      <w:hyperlink w:anchor="SENTENCIA_2015_229" w:history="1">
        <w:r w:rsidRPr="00F80910">
          <w:rPr>
            <w:rStyle w:val="TextoNormalCaracter"/>
          </w:rPr>
          <w:t>229/2015</w:t>
        </w:r>
      </w:hyperlink>
      <w:r w:rsidRPr="00F80910">
        <w:rPr>
          <w:rStyle w:val="TextoNormalCaracter"/>
        </w:rPr>
        <w:t>, ff. 4 a 6.</w:t>
      </w:r>
    </w:p>
    <w:p w:rsidR="00F80910" w:rsidRPr="00F80910" w:rsidRDefault="00F80910" w:rsidP="00F80910">
      <w:pPr>
        <w:pStyle w:val="TextoNormalSangraFrancesa"/>
        <w:rPr>
          <w:rStyle w:val="TextoNormalCaracter"/>
        </w:rPr>
      </w:pPr>
      <w:bookmarkStart w:id="936" w:name="DESCRIPTORALFABETICO215"/>
      <w:r w:rsidRPr="00F80910">
        <w:rPr>
          <w:rStyle w:val="TextoNormalNegritaCaracter"/>
        </w:rPr>
        <w:t>Colisión con normas básicas</w:t>
      </w:r>
      <w:bookmarkEnd w:id="936"/>
      <w:r w:rsidRPr="00F80910">
        <w:rPr>
          <w:rStyle w:val="TextoNormalCaracter"/>
        </w:rPr>
        <w:t xml:space="preserve">, Sentencia </w:t>
      </w:r>
      <w:hyperlink w:anchor="SENTENCIA_2015_214" w:history="1">
        <w:r w:rsidRPr="00F80910">
          <w:rPr>
            <w:rStyle w:val="TextoNormalCaracter"/>
          </w:rPr>
          <w:t>214/2015</w:t>
        </w:r>
      </w:hyperlink>
      <w:r w:rsidRPr="00F80910">
        <w:rPr>
          <w:rStyle w:val="TextoNormalCaracter"/>
        </w:rPr>
        <w:t>, ff. 5, 6.</w:t>
      </w:r>
    </w:p>
    <w:p w:rsidR="00F80910" w:rsidRPr="00F80910" w:rsidRDefault="00F80910" w:rsidP="00F80910">
      <w:pPr>
        <w:pStyle w:val="TextoNormalSangraFrancesa"/>
        <w:rPr>
          <w:rStyle w:val="TextoNormalCaracter"/>
        </w:rPr>
      </w:pPr>
      <w:bookmarkStart w:id="937" w:name="DESCRIPTORALFABETICO354"/>
      <w:r w:rsidRPr="00F80910">
        <w:rPr>
          <w:rStyle w:val="TextoNormalNegritaCaracter"/>
        </w:rPr>
        <w:t>Comercio minorista</w:t>
      </w:r>
      <w:bookmarkEnd w:id="937"/>
      <w:r w:rsidRPr="00F80910">
        <w:rPr>
          <w:rStyle w:val="TextoNormalCaracter"/>
        </w:rPr>
        <w:t xml:space="preserve">, Sentencia </w:t>
      </w:r>
      <w:hyperlink w:anchor="SENTENCIA_2015_199" w:history="1">
        <w:r w:rsidRPr="00F80910">
          <w:rPr>
            <w:rStyle w:val="TextoNormalCaracter"/>
          </w:rPr>
          <w:t>199/2015</w:t>
        </w:r>
      </w:hyperlink>
      <w:r w:rsidRPr="00F80910">
        <w:rPr>
          <w:rStyle w:val="TextoNormalCaracter"/>
        </w:rPr>
        <w:t>, f. 6.</w:t>
      </w:r>
    </w:p>
    <w:p w:rsidR="00F80910" w:rsidRPr="00F80910" w:rsidRDefault="00F80910" w:rsidP="00F80910">
      <w:pPr>
        <w:pStyle w:val="TextoNormalSangraFrancesa"/>
        <w:rPr>
          <w:rStyle w:val="TextoNormalCaracter"/>
        </w:rPr>
      </w:pPr>
      <w:bookmarkStart w:id="938" w:name="DESCRIPTORALFABETICO551"/>
      <w:r w:rsidRPr="00F80910">
        <w:rPr>
          <w:rStyle w:val="TextoNormalNegritaCaracter"/>
        </w:rPr>
        <w:t>Comparecencia a la vista</w:t>
      </w:r>
      <w:bookmarkEnd w:id="938"/>
      <w:r w:rsidRPr="00F80910">
        <w:rPr>
          <w:rStyle w:val="TextoNormalCaracter"/>
        </w:rPr>
        <w:t xml:space="preserve">, Sentencia </w:t>
      </w:r>
      <w:hyperlink w:anchor="SENTENCIA_2015_194" w:history="1">
        <w:r w:rsidRPr="00F80910">
          <w:rPr>
            <w:rStyle w:val="TextoNormalCaracter"/>
          </w:rPr>
          <w:t>194/2015</w:t>
        </w:r>
      </w:hyperlink>
      <w:r w:rsidRPr="00F80910">
        <w:rPr>
          <w:rStyle w:val="TextoNormalCaracter"/>
        </w:rPr>
        <w:t>, ff. 2 a 4, 6.</w:t>
      </w:r>
    </w:p>
    <w:p w:rsidR="00F80910" w:rsidRPr="00F80910" w:rsidRDefault="00F80910" w:rsidP="00F80910">
      <w:pPr>
        <w:pStyle w:val="TextoNormalSangraFrancesa"/>
        <w:rPr>
          <w:rStyle w:val="TextoNormalCaracter"/>
        </w:rPr>
      </w:pPr>
      <w:bookmarkStart w:id="939" w:name="DESCRIPTORALFABETICO7"/>
      <w:r w:rsidRPr="00F80910">
        <w:rPr>
          <w:rStyle w:val="TextoNormalNegritaCaracter"/>
        </w:rPr>
        <w:t>Competencias autonómicas de desarrollo normativo</w:t>
      </w:r>
      <w:bookmarkEnd w:id="939"/>
      <w:r w:rsidRPr="00F80910">
        <w:rPr>
          <w:rStyle w:val="TextoNormalCaracter"/>
        </w:rPr>
        <w:t xml:space="preserve">, Sentencias </w:t>
      </w:r>
      <w:hyperlink w:anchor="SENTENCIA_2015_237" w:history="1">
        <w:r w:rsidRPr="00F80910">
          <w:rPr>
            <w:rStyle w:val="TextoNormalCaracter"/>
          </w:rPr>
          <w:t>237/2015</w:t>
        </w:r>
      </w:hyperlink>
      <w:r w:rsidRPr="00F80910">
        <w:rPr>
          <w:rStyle w:val="TextoNormalCaracter"/>
        </w:rPr>
        <w:t xml:space="preserve">, ff. 2, 6, 9; </w:t>
      </w:r>
      <w:hyperlink w:anchor="SENTENCIA_2015_271" w:history="1">
        <w:r w:rsidRPr="00F80910">
          <w:rPr>
            <w:rStyle w:val="TextoNormalCaracter"/>
          </w:rPr>
          <w:t>271/2015</w:t>
        </w:r>
      </w:hyperlink>
      <w:r w:rsidRPr="00F80910">
        <w:rPr>
          <w:rStyle w:val="TextoNormalCaracter"/>
        </w:rPr>
        <w:t>, ff. 4 a 6.</w:t>
      </w:r>
    </w:p>
    <w:p w:rsidR="00F80910" w:rsidRPr="00F80910" w:rsidRDefault="00F80910" w:rsidP="00F80910">
      <w:pPr>
        <w:pStyle w:val="TextoNormalSangraFrancesa"/>
        <w:rPr>
          <w:rStyle w:val="TextoNormalCaracter"/>
        </w:rPr>
      </w:pPr>
      <w:bookmarkStart w:id="940" w:name="DESCRIPTORALFABETICO6"/>
      <w:r w:rsidRPr="00F80910">
        <w:rPr>
          <w:rStyle w:val="TextoNormalNegritaCaracter"/>
        </w:rPr>
        <w:t>Competencias autonómicas de ejecución</w:t>
      </w:r>
      <w:bookmarkEnd w:id="940"/>
      <w:r w:rsidRPr="00F80910">
        <w:rPr>
          <w:rStyle w:val="TextoNormalCaracter"/>
        </w:rPr>
        <w:t xml:space="preserve">, Sentencias </w:t>
      </w:r>
      <w:hyperlink w:anchor="SENTENCIA_2015_178" w:history="1">
        <w:r w:rsidRPr="00F80910">
          <w:rPr>
            <w:rStyle w:val="TextoNormalCaracter"/>
          </w:rPr>
          <w:t>178/2015</w:t>
        </w:r>
      </w:hyperlink>
      <w:r w:rsidRPr="00F80910">
        <w:rPr>
          <w:rStyle w:val="TextoNormalCaracter"/>
        </w:rPr>
        <w:t xml:space="preserve">, ff. 3, 4, 8 a 10, VP1; </w:t>
      </w:r>
      <w:hyperlink w:anchor="SENTENCIA_2015_185" w:history="1">
        <w:r w:rsidRPr="00F80910">
          <w:rPr>
            <w:rStyle w:val="TextoNormalCaracter"/>
          </w:rPr>
          <w:t>185/2015</w:t>
        </w:r>
      </w:hyperlink>
      <w:r w:rsidRPr="00F80910">
        <w:rPr>
          <w:rStyle w:val="TextoNormalCaracter"/>
        </w:rPr>
        <w:t xml:space="preserve">, ff. 4 a 6; </w:t>
      </w:r>
      <w:hyperlink w:anchor="SENTENCIA_2015_198" w:history="1">
        <w:r w:rsidRPr="00F80910">
          <w:rPr>
            <w:rStyle w:val="TextoNormalCaracter"/>
          </w:rPr>
          <w:t>198/2015</w:t>
        </w:r>
      </w:hyperlink>
      <w:r w:rsidRPr="00F80910">
        <w:rPr>
          <w:rStyle w:val="TextoNormalCaracter"/>
        </w:rPr>
        <w:t>, ff. 3, 4, VP I, VPI II.</w:t>
      </w:r>
    </w:p>
    <w:p w:rsidR="00F80910" w:rsidRPr="00F80910" w:rsidRDefault="00F80910" w:rsidP="00F80910">
      <w:pPr>
        <w:pStyle w:val="TextoNormalSangraFrancesa"/>
        <w:rPr>
          <w:rStyle w:val="TextoNormalCaracter"/>
        </w:rPr>
      </w:pPr>
      <w:bookmarkStart w:id="941" w:name="DESCRIPTORALFABETICO3"/>
      <w:r w:rsidRPr="00F80910">
        <w:rPr>
          <w:rStyle w:val="TextoNormalNegritaCaracter"/>
        </w:rPr>
        <w:t>Competencias compartidas</w:t>
      </w:r>
      <w:bookmarkEnd w:id="941"/>
      <w:r w:rsidRPr="00F80910">
        <w:rPr>
          <w:rStyle w:val="TextoNormalCaracter"/>
        </w:rPr>
        <w:t xml:space="preserve">, Sentencia </w:t>
      </w:r>
      <w:hyperlink w:anchor="SENTENCIA_2015_237" w:history="1">
        <w:r w:rsidRPr="00F80910">
          <w:rPr>
            <w:rStyle w:val="TextoNormalCaracter"/>
          </w:rPr>
          <w:t>237/2015</w:t>
        </w:r>
      </w:hyperlink>
      <w:r w:rsidRPr="00F80910">
        <w:rPr>
          <w:rStyle w:val="TextoNormalCaracter"/>
        </w:rPr>
        <w:t>, f. 2.</w:t>
      </w:r>
    </w:p>
    <w:p w:rsidR="00F80910" w:rsidRPr="00F80910" w:rsidRDefault="00F80910" w:rsidP="00F80910">
      <w:pPr>
        <w:pStyle w:val="TextoNormalSangraFrancesa"/>
        <w:rPr>
          <w:rStyle w:val="TextoNormalCaracter"/>
        </w:rPr>
      </w:pPr>
      <w:bookmarkStart w:id="942" w:name="DESCRIPTORALFABETICO4"/>
      <w:r w:rsidRPr="00F80910">
        <w:rPr>
          <w:rStyle w:val="TextoNormalNegritaCaracter"/>
        </w:rPr>
        <w:t>Competencias de coordinación</w:t>
      </w:r>
      <w:bookmarkEnd w:id="942"/>
      <w:r w:rsidRPr="00F80910">
        <w:rPr>
          <w:rStyle w:val="TextoNormalCaracter"/>
        </w:rPr>
        <w:t xml:space="preserve">, Sentencia </w:t>
      </w:r>
      <w:hyperlink w:anchor="SENTENCIA_2015_178" w:history="1">
        <w:r w:rsidRPr="00F80910">
          <w:rPr>
            <w:rStyle w:val="TextoNormalCaracter"/>
          </w:rPr>
          <w:t>178/2015</w:t>
        </w:r>
      </w:hyperlink>
      <w:r w:rsidRPr="00F80910">
        <w:rPr>
          <w:rStyle w:val="TextoNormalCaracter"/>
        </w:rPr>
        <w:t>, ff. 8, 10.</w:t>
      </w:r>
    </w:p>
    <w:p w:rsidR="00F80910" w:rsidRPr="00F80910" w:rsidRDefault="00F80910" w:rsidP="00F80910">
      <w:pPr>
        <w:pStyle w:val="TextoNormalSangraFrancesa"/>
        <w:rPr>
          <w:rStyle w:val="TextoNormalCaracter"/>
        </w:rPr>
      </w:pPr>
      <w:bookmarkStart w:id="943" w:name="DESCRIPTORALFABETICO5"/>
      <w:r w:rsidRPr="00F80910">
        <w:rPr>
          <w:rStyle w:val="TextoNormalNegritaCaracter"/>
        </w:rPr>
        <w:t>Competencias de las Comunidades Autónomas</w:t>
      </w:r>
      <w:bookmarkEnd w:id="943"/>
      <w:r w:rsidRPr="00F80910">
        <w:rPr>
          <w:rStyle w:val="TextoNormalCaracter"/>
        </w:rPr>
        <w:t xml:space="preserve">, Sentencias </w:t>
      </w:r>
      <w:hyperlink w:anchor="SENTENCIA_2015_154" w:history="1">
        <w:r w:rsidRPr="00F80910">
          <w:rPr>
            <w:rStyle w:val="TextoNormalCaracter"/>
          </w:rPr>
          <w:t>154/2015</w:t>
        </w:r>
      </w:hyperlink>
      <w:r w:rsidRPr="00F80910">
        <w:rPr>
          <w:rStyle w:val="TextoNormalCaracter"/>
        </w:rPr>
        <w:t xml:space="preserve">, ff. 6, 7; </w:t>
      </w:r>
      <w:hyperlink w:anchor="SENTENCIA_2015_178" w:history="1">
        <w:r w:rsidRPr="00F80910">
          <w:rPr>
            <w:rStyle w:val="TextoNormalCaracter"/>
          </w:rPr>
          <w:t>178/2015</w:t>
        </w:r>
      </w:hyperlink>
      <w:r w:rsidRPr="00F80910">
        <w:rPr>
          <w:rStyle w:val="TextoNormalCaracter"/>
        </w:rPr>
        <w:t xml:space="preserve">, f. 3; </w:t>
      </w:r>
      <w:hyperlink w:anchor="SENTENCIA_2015_185" w:history="1">
        <w:r w:rsidRPr="00F80910">
          <w:rPr>
            <w:rStyle w:val="TextoNormalCaracter"/>
          </w:rPr>
          <w:t>185/2015</w:t>
        </w:r>
      </w:hyperlink>
      <w:r w:rsidRPr="00F80910">
        <w:rPr>
          <w:rStyle w:val="TextoNormalCaracter"/>
        </w:rPr>
        <w:t xml:space="preserve">, ff. 4 a 6, VP; </w:t>
      </w:r>
      <w:hyperlink w:anchor="SENTENCIA_2015_197" w:history="1">
        <w:r w:rsidRPr="00F80910">
          <w:rPr>
            <w:rStyle w:val="TextoNormalCaracter"/>
          </w:rPr>
          <w:t>197/2015</w:t>
        </w:r>
      </w:hyperlink>
      <w:r w:rsidRPr="00F80910">
        <w:rPr>
          <w:rStyle w:val="TextoNormalCaracter"/>
        </w:rPr>
        <w:t xml:space="preserve">, ff. 5, 6, VP; </w:t>
      </w:r>
      <w:hyperlink w:anchor="SENTENCIA_2015_200" w:history="1">
        <w:r w:rsidRPr="00F80910">
          <w:rPr>
            <w:rStyle w:val="TextoNormalCaracter"/>
          </w:rPr>
          <w:t>200/2015</w:t>
        </w:r>
      </w:hyperlink>
      <w:r w:rsidRPr="00F80910">
        <w:rPr>
          <w:rStyle w:val="TextoNormalCaracter"/>
        </w:rPr>
        <w:t xml:space="preserve">, ff. 2, 3; </w:t>
      </w:r>
      <w:hyperlink w:anchor="SENTENCIA_2015_233" w:history="1">
        <w:r w:rsidRPr="00F80910">
          <w:rPr>
            <w:rStyle w:val="TextoNormalCaracter"/>
          </w:rPr>
          <w:t>233/2015</w:t>
        </w:r>
      </w:hyperlink>
      <w:r w:rsidRPr="00F80910">
        <w:rPr>
          <w:rStyle w:val="TextoNormalCaracter"/>
        </w:rPr>
        <w:t>, f. 16.</w:t>
      </w:r>
    </w:p>
    <w:p w:rsidR="00F80910" w:rsidRPr="00F80910" w:rsidRDefault="00F80910" w:rsidP="00F80910">
      <w:pPr>
        <w:pStyle w:val="TextoNormalSangraFrancesa"/>
        <w:rPr>
          <w:rStyle w:val="TextoNormalCaracter"/>
        </w:rPr>
      </w:pPr>
      <w:bookmarkStart w:id="944" w:name="DESCRIPTORALFABETICO10"/>
      <w:r w:rsidRPr="00F80910">
        <w:rPr>
          <w:rStyle w:val="TextoNormalNegritaCaracter"/>
        </w:rPr>
        <w:t>Competencias de los municipios</w:t>
      </w:r>
      <w:bookmarkEnd w:id="944"/>
      <w:r w:rsidRPr="00F80910">
        <w:rPr>
          <w:rStyle w:val="TextoNormalCaracter"/>
        </w:rPr>
        <w:t xml:space="preserve">, Sentencia </w:t>
      </w:r>
      <w:hyperlink w:anchor="SENTENCIA_2015_154" w:history="1">
        <w:r w:rsidRPr="00F80910">
          <w:rPr>
            <w:rStyle w:val="TextoNormalCaracter"/>
          </w:rPr>
          <w:t>154/2015</w:t>
        </w:r>
      </w:hyperlink>
      <w:r w:rsidRPr="00F80910">
        <w:rPr>
          <w:rStyle w:val="TextoNormalCaracter"/>
        </w:rPr>
        <w:t>, ff. 6, 7.</w:t>
      </w:r>
    </w:p>
    <w:p w:rsidR="00F80910" w:rsidRPr="00F80910" w:rsidRDefault="00F80910" w:rsidP="00F80910">
      <w:pPr>
        <w:pStyle w:val="TextoNormalSangraFrancesa"/>
        <w:rPr>
          <w:rStyle w:val="TextoNormalCaracter"/>
        </w:rPr>
      </w:pPr>
      <w:bookmarkStart w:id="945" w:name="DESCRIPTORALFABETICO11"/>
      <w:r w:rsidRPr="00F80910">
        <w:rPr>
          <w:rStyle w:val="TextoNormalNegritaCaracter"/>
        </w:rPr>
        <w:t>Competencias del Estado</w:t>
      </w:r>
      <w:bookmarkEnd w:id="945"/>
      <w:r w:rsidRPr="00F80910">
        <w:rPr>
          <w:rStyle w:val="TextoNormalCaracter"/>
        </w:rPr>
        <w:t xml:space="preserve">, Sentencias </w:t>
      </w:r>
      <w:hyperlink w:anchor="SENTENCIA_2015_178" w:history="1">
        <w:r w:rsidRPr="00F80910">
          <w:rPr>
            <w:rStyle w:val="TextoNormalCaracter"/>
          </w:rPr>
          <w:t>178/2015</w:t>
        </w:r>
      </w:hyperlink>
      <w:r w:rsidRPr="00F80910">
        <w:rPr>
          <w:rStyle w:val="TextoNormalCaracter"/>
        </w:rPr>
        <w:t xml:space="preserve">, ff. 3, 6, 10, VP2; </w:t>
      </w:r>
      <w:hyperlink w:anchor="SENTENCIA_2015_185" w:history="1">
        <w:r w:rsidRPr="00F80910">
          <w:rPr>
            <w:rStyle w:val="TextoNormalCaracter"/>
          </w:rPr>
          <w:t>185/2015</w:t>
        </w:r>
      </w:hyperlink>
      <w:r w:rsidRPr="00F80910">
        <w:rPr>
          <w:rStyle w:val="TextoNormalCaracter"/>
        </w:rPr>
        <w:t xml:space="preserve">, ff. 2 a 6, VP; </w:t>
      </w:r>
      <w:hyperlink w:anchor="SENTENCIA_2015_197" w:history="1">
        <w:r w:rsidRPr="00F80910">
          <w:rPr>
            <w:rStyle w:val="TextoNormalCaracter"/>
          </w:rPr>
          <w:t>197/2015</w:t>
        </w:r>
      </w:hyperlink>
      <w:r w:rsidRPr="00F80910">
        <w:rPr>
          <w:rStyle w:val="TextoNormalCaracter"/>
        </w:rPr>
        <w:t xml:space="preserve">, ff. 5, 6, VP; </w:t>
      </w:r>
      <w:hyperlink w:anchor="SENTENCIA_2015_200" w:history="1">
        <w:r w:rsidRPr="00F80910">
          <w:rPr>
            <w:rStyle w:val="TextoNormalCaracter"/>
          </w:rPr>
          <w:t>200/2015</w:t>
        </w:r>
      </w:hyperlink>
      <w:r w:rsidRPr="00F80910">
        <w:rPr>
          <w:rStyle w:val="TextoNormalCaracter"/>
        </w:rPr>
        <w:t>, f. 4.</w:t>
      </w:r>
    </w:p>
    <w:p w:rsidR="00F80910" w:rsidRPr="00F80910" w:rsidRDefault="00F80910" w:rsidP="00F80910">
      <w:pPr>
        <w:pStyle w:val="TextoNormalSangraFrancesa"/>
        <w:rPr>
          <w:rStyle w:val="TextoNormalCaracter"/>
        </w:rPr>
      </w:pPr>
      <w:bookmarkStart w:id="946" w:name="DESCRIPTORALFABETICO8"/>
      <w:r w:rsidRPr="00F80910">
        <w:rPr>
          <w:rStyle w:val="TextoNormalNegritaCaracter"/>
        </w:rPr>
        <w:t>Competencias delimitadas por la legislación básica</w:t>
      </w:r>
      <w:bookmarkEnd w:id="946"/>
      <w:r w:rsidRPr="00F80910">
        <w:rPr>
          <w:rStyle w:val="TextoNormalCaracter"/>
        </w:rPr>
        <w:t xml:space="preserve">, Sentencias </w:t>
      </w:r>
      <w:hyperlink w:anchor="SENTENCIA_2015_235" w:history="1">
        <w:r w:rsidRPr="00F80910">
          <w:rPr>
            <w:rStyle w:val="TextoNormalCaracter"/>
          </w:rPr>
          <w:t>235/2015</w:t>
        </w:r>
      </w:hyperlink>
      <w:r w:rsidRPr="00F80910">
        <w:rPr>
          <w:rStyle w:val="TextoNormalCaracter"/>
        </w:rPr>
        <w:t xml:space="preserve">, ff. 3 a 6; </w:t>
      </w:r>
      <w:hyperlink w:anchor="SENTENCIA_2015_260" w:history="1">
        <w:r w:rsidRPr="00F80910">
          <w:rPr>
            <w:rStyle w:val="TextoNormalCaracter"/>
          </w:rPr>
          <w:t>260/2015</w:t>
        </w:r>
      </w:hyperlink>
      <w:r w:rsidRPr="00F80910">
        <w:rPr>
          <w:rStyle w:val="TextoNormalCaracter"/>
        </w:rPr>
        <w:t>, ff. 3 a 5.</w:t>
      </w:r>
    </w:p>
    <w:p w:rsidR="00F80910" w:rsidRPr="00F80910" w:rsidRDefault="00F80910" w:rsidP="00F80910">
      <w:pPr>
        <w:pStyle w:val="TextoNormalSangraFrancesa"/>
        <w:rPr>
          <w:rStyle w:val="TextoNormalCaracter"/>
        </w:rPr>
      </w:pPr>
      <w:bookmarkStart w:id="947" w:name="DESCRIPTORALFABETICO18"/>
      <w:r w:rsidRPr="00F80910">
        <w:rPr>
          <w:rStyle w:val="TextoNormalNegritaCaracter"/>
        </w:rPr>
        <w:t>Competencias en materia de acceso a la función pública</w:t>
      </w:r>
      <w:bookmarkEnd w:id="947"/>
      <w:r w:rsidRPr="00F80910">
        <w:rPr>
          <w:rStyle w:val="TextoNormalCaracter"/>
        </w:rPr>
        <w:t xml:space="preserve">, Sentencia </w:t>
      </w:r>
      <w:hyperlink w:anchor="SENTENCIA_2015_238" w:history="1">
        <w:r w:rsidRPr="00F80910">
          <w:rPr>
            <w:rStyle w:val="TextoNormalCaracter"/>
          </w:rPr>
          <w:t>238/2015</w:t>
        </w:r>
      </w:hyperlink>
      <w:r w:rsidRPr="00F80910">
        <w:rPr>
          <w:rStyle w:val="TextoNormalCaracter"/>
        </w:rPr>
        <w:t>, ff. 3, 6.</w:t>
      </w:r>
    </w:p>
    <w:p w:rsidR="00F80910" w:rsidRPr="00F80910" w:rsidRDefault="00F80910" w:rsidP="00F80910">
      <w:pPr>
        <w:pStyle w:val="TextoNormalSangraFrancesa"/>
        <w:rPr>
          <w:rStyle w:val="TextoNormalCaracter"/>
        </w:rPr>
      </w:pPr>
      <w:bookmarkStart w:id="948" w:name="DESCRIPTORALFABETICO19"/>
      <w:r w:rsidRPr="00F80910">
        <w:rPr>
          <w:rStyle w:val="TextoNormalNegritaCaracter"/>
        </w:rPr>
        <w:t>Competencias en materia de aguas</w:t>
      </w:r>
      <w:bookmarkEnd w:id="948"/>
      <w:r w:rsidRPr="00F80910">
        <w:rPr>
          <w:rStyle w:val="TextoNormalCaracter"/>
        </w:rPr>
        <w:t xml:space="preserve">, Sentencia </w:t>
      </w:r>
      <w:hyperlink w:anchor="SENTENCIA_2015_196" w:history="1">
        <w:r w:rsidRPr="00F80910">
          <w:rPr>
            <w:rStyle w:val="TextoNormalCaracter"/>
          </w:rPr>
          <w:t>196/2015</w:t>
        </w:r>
      </w:hyperlink>
      <w:r w:rsidRPr="00F80910">
        <w:rPr>
          <w:rStyle w:val="TextoNormalCaracter"/>
        </w:rPr>
        <w:t>, ff. 4, 5.</w:t>
      </w:r>
    </w:p>
    <w:p w:rsidR="00F80910" w:rsidRPr="00F80910" w:rsidRDefault="00F80910" w:rsidP="00F80910">
      <w:pPr>
        <w:pStyle w:val="TextoNormalSangraFrancesa"/>
        <w:rPr>
          <w:rStyle w:val="TextoNormalCaracter"/>
        </w:rPr>
      </w:pPr>
      <w:bookmarkStart w:id="949" w:name="DESCRIPTORALFABETICO20"/>
      <w:r w:rsidRPr="00F80910">
        <w:rPr>
          <w:rStyle w:val="TextoNormalNegritaCaracter"/>
        </w:rPr>
        <w:t>Competencias en materia de colegios profesionales</w:t>
      </w:r>
      <w:bookmarkEnd w:id="949"/>
      <w:r w:rsidRPr="00F80910">
        <w:rPr>
          <w:rStyle w:val="TextoNormalCaracter"/>
        </w:rPr>
        <w:t xml:space="preserve">, Sentencia </w:t>
      </w:r>
      <w:hyperlink w:anchor="SENTENCIA_2015_229" w:history="1">
        <w:r w:rsidRPr="00F80910">
          <w:rPr>
            <w:rStyle w:val="TextoNormalCaracter"/>
          </w:rPr>
          <w:t>229/2015</w:t>
        </w:r>
      </w:hyperlink>
      <w:r w:rsidRPr="00F80910">
        <w:rPr>
          <w:rStyle w:val="TextoNormalCaracter"/>
        </w:rPr>
        <w:t>, f. 6.</w:t>
      </w:r>
    </w:p>
    <w:p w:rsidR="00F80910" w:rsidRPr="00F80910" w:rsidRDefault="00F80910" w:rsidP="00F80910">
      <w:pPr>
        <w:pStyle w:val="TextoNormalSangraFrancesa"/>
        <w:rPr>
          <w:rStyle w:val="TextoNormalCaracter"/>
        </w:rPr>
      </w:pPr>
      <w:bookmarkStart w:id="950" w:name="DESCRIPTORALFABETICO21"/>
      <w:r w:rsidRPr="00F80910">
        <w:rPr>
          <w:rStyle w:val="TextoNormalNegritaCaracter"/>
        </w:rPr>
        <w:t>Competencias en materia de comercio interior</w:t>
      </w:r>
      <w:bookmarkEnd w:id="950"/>
      <w:r w:rsidRPr="00F80910">
        <w:rPr>
          <w:rStyle w:val="TextoNormalCaracter"/>
        </w:rPr>
        <w:t xml:space="preserve">, Sentencia </w:t>
      </w:r>
      <w:hyperlink w:anchor="SENTENCIA_2015_156" w:history="1">
        <w:r w:rsidRPr="00F80910">
          <w:rPr>
            <w:rStyle w:val="TextoNormalCaracter"/>
          </w:rPr>
          <w:t>156/2015</w:t>
        </w:r>
      </w:hyperlink>
      <w:r w:rsidRPr="00F80910">
        <w:rPr>
          <w:rStyle w:val="TextoNormalCaracter"/>
        </w:rPr>
        <w:t>, ff. 9, 10.</w:t>
      </w:r>
    </w:p>
    <w:p w:rsidR="00F80910" w:rsidRPr="00F80910" w:rsidRDefault="00F80910" w:rsidP="00F80910">
      <w:pPr>
        <w:pStyle w:val="TextoNormalSangraFrancesa"/>
        <w:rPr>
          <w:rStyle w:val="TextoNormalCaracter"/>
        </w:rPr>
      </w:pPr>
      <w:bookmarkStart w:id="951" w:name="DESCRIPTORALFABETICO22"/>
      <w:r w:rsidRPr="00F80910">
        <w:rPr>
          <w:rStyle w:val="TextoNormalNegritaCaracter"/>
        </w:rPr>
        <w:t>Competencias en materia de contratación administrativa</w:t>
      </w:r>
      <w:bookmarkEnd w:id="951"/>
      <w:r w:rsidRPr="00F80910">
        <w:rPr>
          <w:rStyle w:val="TextoNormalCaracter"/>
        </w:rPr>
        <w:t xml:space="preserve">, Sentencia </w:t>
      </w:r>
      <w:hyperlink w:anchor="SENTENCIA_2015_237" w:history="1">
        <w:r w:rsidRPr="00F80910">
          <w:rPr>
            <w:rStyle w:val="TextoNormalCaracter"/>
          </w:rPr>
          <w:t>237/2015</w:t>
        </w:r>
      </w:hyperlink>
      <w:r w:rsidRPr="00F80910">
        <w:rPr>
          <w:rStyle w:val="TextoNormalCaracter"/>
        </w:rPr>
        <w:t>, f. 2.</w:t>
      </w:r>
    </w:p>
    <w:p w:rsidR="00F80910" w:rsidRPr="00F80910" w:rsidRDefault="00F80910" w:rsidP="00F80910">
      <w:pPr>
        <w:pStyle w:val="TextoNormalSangraFrancesa"/>
        <w:rPr>
          <w:rStyle w:val="TextoNormalCaracter"/>
        </w:rPr>
      </w:pPr>
      <w:bookmarkStart w:id="952" w:name="DESCRIPTORALFABETICO23"/>
      <w:r w:rsidRPr="00F80910">
        <w:rPr>
          <w:rStyle w:val="TextoNormalNegritaCaracter"/>
        </w:rPr>
        <w:t>Competencias en materia de coordinación de las policías locales</w:t>
      </w:r>
      <w:bookmarkEnd w:id="952"/>
      <w:r w:rsidRPr="00F80910">
        <w:rPr>
          <w:rStyle w:val="TextoNormalCaracter"/>
        </w:rPr>
        <w:t xml:space="preserve">, Sentencia </w:t>
      </w:r>
      <w:hyperlink w:anchor="SENTENCIA_2015_200" w:history="1">
        <w:r w:rsidRPr="00F80910">
          <w:rPr>
            <w:rStyle w:val="TextoNormalCaracter"/>
          </w:rPr>
          <w:t>200/2015</w:t>
        </w:r>
      </w:hyperlink>
      <w:r w:rsidRPr="00F80910">
        <w:rPr>
          <w:rStyle w:val="TextoNormalCaracter"/>
        </w:rPr>
        <w:t>, ff. 1, 2.</w:t>
      </w:r>
    </w:p>
    <w:p w:rsidR="00F80910" w:rsidRPr="00F80910" w:rsidRDefault="00F80910" w:rsidP="00F80910">
      <w:pPr>
        <w:pStyle w:val="TextoNormalSangraFrancesa"/>
        <w:rPr>
          <w:rStyle w:val="TextoNormalCaracter"/>
        </w:rPr>
      </w:pPr>
      <w:bookmarkStart w:id="953" w:name="DESCRIPTORALFABETICO24"/>
      <w:r w:rsidRPr="00F80910">
        <w:rPr>
          <w:rStyle w:val="TextoNormalNegritaCaracter"/>
        </w:rPr>
        <w:t>Competencias en materia de educación</w:t>
      </w:r>
      <w:bookmarkEnd w:id="953"/>
      <w:r w:rsidRPr="00F80910">
        <w:rPr>
          <w:rStyle w:val="TextoNormalCaracter"/>
        </w:rPr>
        <w:t xml:space="preserve">, Sentencias </w:t>
      </w:r>
      <w:hyperlink w:anchor="SENTENCIA_2015_176" w:history="1">
        <w:r w:rsidRPr="00F80910">
          <w:rPr>
            <w:rStyle w:val="TextoNormalCaracter"/>
          </w:rPr>
          <w:t>176/2015</w:t>
        </w:r>
      </w:hyperlink>
      <w:r w:rsidRPr="00F80910">
        <w:rPr>
          <w:rStyle w:val="TextoNormalCaracter"/>
        </w:rPr>
        <w:t xml:space="preserve">, f. 3, VP; </w:t>
      </w:r>
      <w:hyperlink w:anchor="SENTENCIA_2015_271" w:history="1">
        <w:r w:rsidRPr="00F80910">
          <w:rPr>
            <w:rStyle w:val="TextoNormalCaracter"/>
          </w:rPr>
          <w:t>271/2015</w:t>
        </w:r>
      </w:hyperlink>
      <w:r w:rsidRPr="00F80910">
        <w:rPr>
          <w:rStyle w:val="TextoNormalCaracter"/>
        </w:rPr>
        <w:t>, ff. 3 a 5.</w:t>
      </w:r>
    </w:p>
    <w:p w:rsidR="00F80910" w:rsidRPr="00F80910" w:rsidRDefault="00F80910" w:rsidP="00F80910">
      <w:pPr>
        <w:pStyle w:val="TextoNormalSangraFrancesa"/>
        <w:rPr>
          <w:rStyle w:val="TextoNormalCaracter"/>
        </w:rPr>
      </w:pPr>
      <w:bookmarkStart w:id="954" w:name="DESCRIPTORALFABETICO25"/>
      <w:r w:rsidRPr="00F80910">
        <w:rPr>
          <w:rStyle w:val="TextoNormalNegritaCaracter"/>
        </w:rPr>
        <w:t>Competencias en materia de formación continua</w:t>
      </w:r>
      <w:bookmarkEnd w:id="954"/>
      <w:r w:rsidRPr="00F80910">
        <w:rPr>
          <w:rStyle w:val="TextoNormalCaracter"/>
        </w:rPr>
        <w:t xml:space="preserve">, Sentencia </w:t>
      </w:r>
      <w:hyperlink w:anchor="SENTENCIA_2015_185" w:history="1">
        <w:r w:rsidRPr="00F80910">
          <w:rPr>
            <w:rStyle w:val="TextoNormalCaracter"/>
          </w:rPr>
          <w:t>185/2015</w:t>
        </w:r>
      </w:hyperlink>
      <w:r w:rsidRPr="00F80910">
        <w:rPr>
          <w:rStyle w:val="TextoNormalCaracter"/>
        </w:rPr>
        <w:t>, ff. 1 a 8, VP.</w:t>
      </w:r>
    </w:p>
    <w:p w:rsidR="00F80910" w:rsidRPr="00F80910" w:rsidRDefault="00F80910" w:rsidP="00F80910">
      <w:pPr>
        <w:pStyle w:val="TextoNormalSangraFrancesa"/>
        <w:rPr>
          <w:rStyle w:val="TextoNormalCaracter"/>
        </w:rPr>
      </w:pPr>
      <w:bookmarkStart w:id="955" w:name="DESCRIPTORALFABETICO26"/>
      <w:r w:rsidRPr="00F80910">
        <w:rPr>
          <w:rStyle w:val="TextoNormalNegritaCaracter"/>
        </w:rPr>
        <w:t>Competencias en materia de función pública</w:t>
      </w:r>
      <w:bookmarkEnd w:id="955"/>
      <w:r w:rsidRPr="00F80910">
        <w:rPr>
          <w:rStyle w:val="TextoNormalCaracter"/>
        </w:rPr>
        <w:t xml:space="preserve">, Sentencias </w:t>
      </w:r>
      <w:hyperlink w:anchor="SENTENCIA_2015_200" w:history="1">
        <w:r w:rsidRPr="00F80910">
          <w:rPr>
            <w:rStyle w:val="TextoNormalCaracter"/>
          </w:rPr>
          <w:t>200/2015</w:t>
        </w:r>
      </w:hyperlink>
      <w:r w:rsidRPr="00F80910">
        <w:rPr>
          <w:rStyle w:val="TextoNormalCaracter"/>
        </w:rPr>
        <w:t xml:space="preserve">, f. 4; </w:t>
      </w:r>
      <w:hyperlink w:anchor="SENTENCIA_2015_236" w:history="1">
        <w:r w:rsidRPr="00F80910">
          <w:rPr>
            <w:rStyle w:val="TextoNormalCaracter"/>
          </w:rPr>
          <w:t>236/2015</w:t>
        </w:r>
      </w:hyperlink>
      <w:r w:rsidRPr="00F80910">
        <w:rPr>
          <w:rStyle w:val="TextoNormalCaracter"/>
        </w:rPr>
        <w:t>, f. 10.</w:t>
      </w:r>
    </w:p>
    <w:p w:rsidR="00F80910" w:rsidRPr="00F80910" w:rsidRDefault="00F80910" w:rsidP="00F80910">
      <w:pPr>
        <w:pStyle w:val="TextoNormalSangraFrancesa"/>
        <w:rPr>
          <w:rStyle w:val="TextoNormalCaracter"/>
        </w:rPr>
      </w:pPr>
      <w:bookmarkStart w:id="956" w:name="DESCRIPTORALFABETICO27"/>
      <w:r w:rsidRPr="00F80910">
        <w:rPr>
          <w:rStyle w:val="TextoNormalNegritaCaracter"/>
        </w:rPr>
        <w:t>Competencias en materia de legislación civil</w:t>
      </w:r>
      <w:bookmarkEnd w:id="956"/>
      <w:r w:rsidRPr="00F80910">
        <w:rPr>
          <w:rStyle w:val="TextoNormalCaracter"/>
        </w:rPr>
        <w:t xml:space="preserve">, Sentencia </w:t>
      </w:r>
      <w:hyperlink w:anchor="SENTENCIA_2015_271" w:history="1">
        <w:r w:rsidRPr="00F80910">
          <w:rPr>
            <w:rStyle w:val="TextoNormalCaracter"/>
          </w:rPr>
          <w:t>271/2015</w:t>
        </w:r>
      </w:hyperlink>
      <w:r w:rsidRPr="00F80910">
        <w:rPr>
          <w:rStyle w:val="TextoNormalCaracter"/>
        </w:rPr>
        <w:t>, f. 6.</w:t>
      </w:r>
    </w:p>
    <w:p w:rsidR="00F80910" w:rsidRPr="00F80910" w:rsidRDefault="00F80910" w:rsidP="00F80910">
      <w:pPr>
        <w:pStyle w:val="TextoNormalSangraFrancesa"/>
        <w:rPr>
          <w:rStyle w:val="TextoNormalCaracter"/>
        </w:rPr>
      </w:pPr>
      <w:bookmarkStart w:id="957" w:name="DESCRIPTORALFABETICO28"/>
      <w:r w:rsidRPr="00F80910">
        <w:rPr>
          <w:rStyle w:val="TextoNormalNegritaCaracter"/>
        </w:rPr>
        <w:t>Competencias en materia de legislación laboral</w:t>
      </w:r>
      <w:bookmarkEnd w:id="957"/>
      <w:r w:rsidRPr="00F80910">
        <w:rPr>
          <w:rStyle w:val="TextoNormalCaracter"/>
        </w:rPr>
        <w:t xml:space="preserve">, Sentencias </w:t>
      </w:r>
      <w:hyperlink w:anchor="SENTENCIA_2015_178" w:history="1">
        <w:r w:rsidRPr="00F80910">
          <w:rPr>
            <w:rStyle w:val="TextoNormalCaracter"/>
          </w:rPr>
          <w:t>178/2015</w:t>
        </w:r>
      </w:hyperlink>
      <w:r w:rsidRPr="00F80910">
        <w:rPr>
          <w:rStyle w:val="TextoNormalCaracter"/>
        </w:rPr>
        <w:t xml:space="preserve">, f. 3, VP; </w:t>
      </w:r>
      <w:hyperlink w:anchor="SENTENCIA_2015_198" w:history="1">
        <w:r w:rsidRPr="00F80910">
          <w:rPr>
            <w:rStyle w:val="TextoNormalCaracter"/>
          </w:rPr>
          <w:t>198/2015</w:t>
        </w:r>
      </w:hyperlink>
      <w:r w:rsidRPr="00F80910">
        <w:rPr>
          <w:rStyle w:val="TextoNormalCaracter"/>
        </w:rPr>
        <w:t>, ff. 3, 4.</w:t>
      </w:r>
    </w:p>
    <w:p w:rsidR="00F80910" w:rsidRPr="00F80910" w:rsidRDefault="00F80910" w:rsidP="00F80910">
      <w:pPr>
        <w:pStyle w:val="TextoNormalSangraFrancesa"/>
        <w:rPr>
          <w:rStyle w:val="TextoNormalCaracter"/>
        </w:rPr>
      </w:pPr>
      <w:bookmarkStart w:id="958" w:name="DESCRIPTORALFABETICO29"/>
      <w:r w:rsidRPr="00F80910">
        <w:rPr>
          <w:rStyle w:val="TextoNormalNegritaCaracter"/>
        </w:rPr>
        <w:t>Competencias en materia de legislación procesal</w:t>
      </w:r>
      <w:bookmarkEnd w:id="958"/>
      <w:r w:rsidRPr="00F80910">
        <w:rPr>
          <w:rStyle w:val="TextoNormalCaracter"/>
        </w:rPr>
        <w:t xml:space="preserve">, Sentencia </w:t>
      </w:r>
      <w:hyperlink w:anchor="SENTENCIA_2015_254" w:history="1">
        <w:r w:rsidRPr="00F80910">
          <w:rPr>
            <w:rStyle w:val="TextoNormalCaracter"/>
          </w:rPr>
          <w:t>254/2015</w:t>
        </w:r>
      </w:hyperlink>
      <w:r w:rsidRPr="00F80910">
        <w:rPr>
          <w:rStyle w:val="TextoNormalCaracter"/>
        </w:rPr>
        <w:t>, ff. 2, 3.</w:t>
      </w:r>
    </w:p>
    <w:p w:rsidR="00F80910" w:rsidRPr="00F80910" w:rsidRDefault="00F80910" w:rsidP="00F80910">
      <w:pPr>
        <w:pStyle w:val="TextoNormalSangraFrancesa"/>
        <w:rPr>
          <w:rStyle w:val="TextoNormalCaracter"/>
        </w:rPr>
      </w:pPr>
      <w:bookmarkStart w:id="959" w:name="DESCRIPTORALFABETICO30"/>
      <w:r w:rsidRPr="00F80910">
        <w:rPr>
          <w:rStyle w:val="TextoNormalNegritaCaracter"/>
        </w:rPr>
        <w:t>Competencias en materia de medio ambiente</w:t>
      </w:r>
      <w:bookmarkEnd w:id="959"/>
      <w:r w:rsidRPr="00F80910">
        <w:rPr>
          <w:rStyle w:val="TextoNormalCaracter"/>
        </w:rPr>
        <w:t xml:space="preserve">, Sentencia </w:t>
      </w:r>
      <w:hyperlink w:anchor="SENTENCIA_2015_214" w:history="1">
        <w:r w:rsidRPr="00F80910">
          <w:rPr>
            <w:rStyle w:val="TextoNormalCaracter"/>
          </w:rPr>
          <w:t>214/2015</w:t>
        </w:r>
      </w:hyperlink>
      <w:r w:rsidRPr="00F80910">
        <w:rPr>
          <w:rStyle w:val="TextoNormalCaracter"/>
        </w:rPr>
        <w:t>, f. 3.</w:t>
      </w:r>
    </w:p>
    <w:p w:rsidR="00F80910" w:rsidRPr="00F80910" w:rsidRDefault="00F80910" w:rsidP="00F80910">
      <w:pPr>
        <w:pStyle w:val="TextoNormalSangraFrancesa"/>
        <w:rPr>
          <w:rStyle w:val="TextoNormalCaracter"/>
        </w:rPr>
      </w:pPr>
      <w:bookmarkStart w:id="960" w:name="DESCRIPTORALFABETICO31"/>
      <w:r w:rsidRPr="00F80910">
        <w:rPr>
          <w:rStyle w:val="TextoNormalNegritaCaracter"/>
        </w:rPr>
        <w:t>Competencias en materia de montes</w:t>
      </w:r>
      <w:bookmarkEnd w:id="960"/>
      <w:r w:rsidRPr="00F80910">
        <w:rPr>
          <w:rStyle w:val="TextoNormalCaracter"/>
        </w:rPr>
        <w:t xml:space="preserve">, Sentencia </w:t>
      </w:r>
      <w:hyperlink w:anchor="SENTENCIA_2015_214" w:history="1">
        <w:r w:rsidRPr="00F80910">
          <w:rPr>
            <w:rStyle w:val="TextoNormalCaracter"/>
          </w:rPr>
          <w:t>214/2015</w:t>
        </w:r>
      </w:hyperlink>
      <w:r w:rsidRPr="00F80910">
        <w:rPr>
          <w:rStyle w:val="TextoNormalCaracter"/>
        </w:rPr>
        <w:t>, ff. 3, 6.</w:t>
      </w:r>
    </w:p>
    <w:p w:rsidR="00F80910" w:rsidRPr="00F80910" w:rsidRDefault="00F80910" w:rsidP="00F80910">
      <w:pPr>
        <w:pStyle w:val="TextoNormalSangraFrancesa"/>
        <w:rPr>
          <w:rStyle w:val="TextoNormalCaracter"/>
        </w:rPr>
      </w:pPr>
      <w:bookmarkStart w:id="961" w:name="DESCRIPTORALFABETICO32"/>
      <w:r w:rsidRPr="00F80910">
        <w:rPr>
          <w:rStyle w:val="TextoNormalNegritaCaracter"/>
        </w:rPr>
        <w:t>Competencias en materia de obras públicas de interés general</w:t>
      </w:r>
      <w:bookmarkEnd w:id="961"/>
      <w:r w:rsidRPr="00F80910">
        <w:rPr>
          <w:rStyle w:val="TextoNormalCaracter"/>
        </w:rPr>
        <w:t xml:space="preserve">, Sentencia </w:t>
      </w:r>
      <w:hyperlink w:anchor="SENTENCIA_2015_197" w:history="1">
        <w:r w:rsidRPr="00F80910">
          <w:rPr>
            <w:rStyle w:val="TextoNormalCaracter"/>
          </w:rPr>
          <w:t>197/2015</w:t>
        </w:r>
      </w:hyperlink>
      <w:r w:rsidRPr="00F80910">
        <w:rPr>
          <w:rStyle w:val="TextoNormalCaracter"/>
        </w:rPr>
        <w:t>, ff. 4 a 7, VP.</w:t>
      </w:r>
    </w:p>
    <w:p w:rsidR="00F80910" w:rsidRPr="00F80910" w:rsidRDefault="00F80910" w:rsidP="00F80910">
      <w:pPr>
        <w:pStyle w:val="TextoNormalSangraFrancesa"/>
        <w:rPr>
          <w:rStyle w:val="TextoNormalCaracter"/>
        </w:rPr>
      </w:pPr>
      <w:bookmarkStart w:id="962" w:name="DESCRIPTORALFABETICO33"/>
      <w:r w:rsidRPr="00F80910">
        <w:rPr>
          <w:rStyle w:val="TextoNormalNegritaCaracter"/>
        </w:rPr>
        <w:t>Competencias en materia de planificación económica</w:t>
      </w:r>
      <w:bookmarkEnd w:id="962"/>
      <w:r w:rsidRPr="00F80910">
        <w:rPr>
          <w:rStyle w:val="TextoNormalCaracter"/>
        </w:rPr>
        <w:t xml:space="preserve">, Sentencias </w:t>
      </w:r>
      <w:hyperlink w:anchor="SENTENCIA_2015_209" w:history="1">
        <w:r w:rsidRPr="00F80910">
          <w:rPr>
            <w:rStyle w:val="TextoNormalCaracter"/>
          </w:rPr>
          <w:t>209/2015</w:t>
        </w:r>
      </w:hyperlink>
      <w:r w:rsidRPr="00F80910">
        <w:rPr>
          <w:rStyle w:val="TextoNormalCaracter"/>
        </w:rPr>
        <w:t xml:space="preserve">, f. 3; </w:t>
      </w:r>
      <w:hyperlink w:anchor="SENTENCIA_2015_215" w:history="1">
        <w:r w:rsidRPr="00F80910">
          <w:rPr>
            <w:rStyle w:val="TextoNormalCaracter"/>
          </w:rPr>
          <w:t>215/2015</w:t>
        </w:r>
      </w:hyperlink>
      <w:r w:rsidRPr="00F80910">
        <w:rPr>
          <w:rStyle w:val="TextoNormalCaracter"/>
        </w:rPr>
        <w:t>, ff. 6, 7.</w:t>
      </w:r>
    </w:p>
    <w:p w:rsidR="00F80910" w:rsidRPr="00F80910" w:rsidRDefault="00F80910" w:rsidP="00F80910">
      <w:pPr>
        <w:pStyle w:val="TextoNormalSangraFrancesa"/>
        <w:rPr>
          <w:rStyle w:val="TextoNormalCaracter"/>
        </w:rPr>
      </w:pPr>
      <w:bookmarkStart w:id="963" w:name="DESCRIPTORALFABETICO34"/>
      <w:r w:rsidRPr="00F80910">
        <w:rPr>
          <w:rStyle w:val="TextoNormalNegritaCaracter"/>
        </w:rPr>
        <w:t>Competencias en materia de régimen minero</w:t>
      </w:r>
      <w:bookmarkEnd w:id="963"/>
      <w:r w:rsidRPr="00F80910">
        <w:rPr>
          <w:rStyle w:val="TextoNormalCaracter"/>
        </w:rPr>
        <w:t xml:space="preserve">, Sentencias </w:t>
      </w:r>
      <w:hyperlink w:anchor="SENTENCIA_2015_235" w:history="1">
        <w:r w:rsidRPr="00F80910">
          <w:rPr>
            <w:rStyle w:val="TextoNormalCaracter"/>
          </w:rPr>
          <w:t>235/2015</w:t>
        </w:r>
      </w:hyperlink>
      <w:r w:rsidRPr="00F80910">
        <w:rPr>
          <w:rStyle w:val="TextoNormalCaracter"/>
        </w:rPr>
        <w:t xml:space="preserve">, ff. 3, 4, 6; </w:t>
      </w:r>
      <w:hyperlink w:anchor="SENTENCIA_2015_260" w:history="1">
        <w:r w:rsidRPr="00F80910">
          <w:rPr>
            <w:rStyle w:val="TextoNormalCaracter"/>
          </w:rPr>
          <w:t>260/2015</w:t>
        </w:r>
      </w:hyperlink>
      <w:r w:rsidRPr="00F80910">
        <w:rPr>
          <w:rStyle w:val="TextoNormalCaracter"/>
        </w:rPr>
        <w:t>, ff. 3 a 5.</w:t>
      </w:r>
    </w:p>
    <w:p w:rsidR="00F80910" w:rsidRPr="00F80910" w:rsidRDefault="00F80910" w:rsidP="00F80910">
      <w:pPr>
        <w:pStyle w:val="TextoNormalSangraFrancesa"/>
        <w:rPr>
          <w:rStyle w:val="TextoNormalCaracter"/>
        </w:rPr>
      </w:pPr>
      <w:bookmarkStart w:id="964" w:name="DESCRIPTORALFABETICO35"/>
      <w:r w:rsidRPr="00F80910">
        <w:rPr>
          <w:rStyle w:val="TextoNormalNegritaCaracter"/>
        </w:rPr>
        <w:t>Competencias en materia de registros públicos</w:t>
      </w:r>
      <w:bookmarkEnd w:id="964"/>
      <w:r w:rsidRPr="00F80910">
        <w:rPr>
          <w:rStyle w:val="TextoNormalCaracter"/>
        </w:rPr>
        <w:t xml:space="preserve">, Auto </w:t>
      </w:r>
      <w:hyperlink w:anchor="AUTO_2015_185" w:history="1">
        <w:r w:rsidRPr="00F80910">
          <w:rPr>
            <w:rStyle w:val="TextoNormalCaracter"/>
          </w:rPr>
          <w:t>185/2015</w:t>
        </w:r>
      </w:hyperlink>
      <w:r w:rsidRPr="00F80910">
        <w:rPr>
          <w:rStyle w:val="TextoNormalCaracter"/>
        </w:rPr>
        <w:t>, f. 1.</w:t>
      </w:r>
    </w:p>
    <w:p w:rsidR="00F80910" w:rsidRPr="00F80910" w:rsidRDefault="00F80910" w:rsidP="00F80910">
      <w:pPr>
        <w:pStyle w:val="TextoNormalSangraFrancesa"/>
        <w:rPr>
          <w:rStyle w:val="TextoNormalCaracter"/>
        </w:rPr>
      </w:pPr>
      <w:bookmarkStart w:id="965" w:name="DESCRIPTORALFABETICO36"/>
      <w:r w:rsidRPr="00F80910">
        <w:rPr>
          <w:rStyle w:val="TextoNormalNegritaCaracter"/>
        </w:rPr>
        <w:t>Competencias en materia de regulación de condiciones básicas de igualdad</w:t>
      </w:r>
      <w:bookmarkEnd w:id="965"/>
      <w:r w:rsidRPr="00F80910">
        <w:rPr>
          <w:rStyle w:val="TextoNormalCaracter"/>
        </w:rPr>
        <w:t xml:space="preserve">, Sentencias </w:t>
      </w:r>
      <w:hyperlink w:anchor="SENTENCIA_2015_178" w:history="1">
        <w:r w:rsidRPr="00F80910">
          <w:rPr>
            <w:rStyle w:val="TextoNormalCaracter"/>
          </w:rPr>
          <w:t>178/2015</w:t>
        </w:r>
      </w:hyperlink>
      <w:r w:rsidRPr="00F80910">
        <w:rPr>
          <w:rStyle w:val="TextoNormalCaracter"/>
        </w:rPr>
        <w:t xml:space="preserve">, f. 3; </w:t>
      </w:r>
      <w:hyperlink w:anchor="SENTENCIA_2015_233" w:history="1">
        <w:r w:rsidRPr="00F80910">
          <w:rPr>
            <w:rStyle w:val="TextoNormalCaracter"/>
          </w:rPr>
          <w:t>233/2015</w:t>
        </w:r>
      </w:hyperlink>
      <w:r w:rsidRPr="00F80910">
        <w:rPr>
          <w:rStyle w:val="TextoNormalCaracter"/>
        </w:rPr>
        <w:t>, f. 16.</w:t>
      </w:r>
    </w:p>
    <w:p w:rsidR="00F80910" w:rsidRPr="00F80910" w:rsidRDefault="00F80910" w:rsidP="00F80910">
      <w:pPr>
        <w:pStyle w:val="TextoNormalSangraFrancesa"/>
        <w:rPr>
          <w:rStyle w:val="TextoNormalCaracter"/>
        </w:rPr>
      </w:pPr>
      <w:bookmarkStart w:id="966" w:name="DESCRIPTORALFABETICO37"/>
      <w:r w:rsidRPr="00F80910">
        <w:rPr>
          <w:rStyle w:val="TextoNormalNegritaCaracter"/>
        </w:rPr>
        <w:t>Competencias en materia de Seguridad Social</w:t>
      </w:r>
      <w:bookmarkEnd w:id="966"/>
      <w:r w:rsidRPr="00F80910">
        <w:rPr>
          <w:rStyle w:val="TextoNormalCaracter"/>
        </w:rPr>
        <w:t xml:space="preserve">, Sentencia </w:t>
      </w:r>
      <w:hyperlink w:anchor="SENTENCIA_2015_272" w:history="1">
        <w:r w:rsidRPr="00F80910">
          <w:rPr>
            <w:rStyle w:val="TextoNormalCaracter"/>
          </w:rPr>
          <w:t>272/2015</w:t>
        </w:r>
      </w:hyperlink>
      <w:r w:rsidRPr="00F80910">
        <w:rPr>
          <w:rStyle w:val="TextoNormalCaracter"/>
        </w:rPr>
        <w:t>, f. 3.</w:t>
      </w:r>
    </w:p>
    <w:p w:rsidR="00F80910" w:rsidRPr="00F80910" w:rsidRDefault="00F80910" w:rsidP="00F80910">
      <w:pPr>
        <w:pStyle w:val="TextoNormalSangraFrancesa"/>
        <w:rPr>
          <w:rStyle w:val="TextoNormalCaracter"/>
        </w:rPr>
      </w:pPr>
      <w:bookmarkStart w:id="967" w:name="DESCRIPTORALFABETICO38"/>
      <w:r w:rsidRPr="00F80910">
        <w:rPr>
          <w:rStyle w:val="TextoNormalNegritaCaracter"/>
        </w:rPr>
        <w:t>Competencias en materia de turismo</w:t>
      </w:r>
      <w:bookmarkEnd w:id="967"/>
      <w:r w:rsidRPr="00F80910">
        <w:rPr>
          <w:rStyle w:val="TextoNormalCaracter"/>
        </w:rPr>
        <w:t xml:space="preserve">, Sentencia </w:t>
      </w:r>
      <w:hyperlink w:anchor="SENTENCIA_2015_209" w:history="1">
        <w:r w:rsidRPr="00F80910">
          <w:rPr>
            <w:rStyle w:val="TextoNormalCaracter"/>
          </w:rPr>
          <w:t>209/2015</w:t>
        </w:r>
      </w:hyperlink>
      <w:r w:rsidRPr="00F80910">
        <w:rPr>
          <w:rStyle w:val="TextoNormalCaracter"/>
        </w:rPr>
        <w:t>, f. 3.</w:t>
      </w:r>
    </w:p>
    <w:p w:rsidR="00F80910" w:rsidRPr="00F80910" w:rsidRDefault="00F80910" w:rsidP="00F80910">
      <w:pPr>
        <w:pStyle w:val="TextoNormalSangraFrancesa"/>
        <w:rPr>
          <w:rStyle w:val="TextoNormalCaracter"/>
        </w:rPr>
      </w:pPr>
      <w:bookmarkStart w:id="968" w:name="DESCRIPTORALFABETICO39"/>
      <w:r w:rsidRPr="00F80910">
        <w:rPr>
          <w:rStyle w:val="TextoNormalNegritaCaracter"/>
        </w:rPr>
        <w:t>Competencias en materia de urbanismo</w:t>
      </w:r>
      <w:bookmarkEnd w:id="968"/>
      <w:r w:rsidRPr="00F80910">
        <w:rPr>
          <w:rStyle w:val="TextoNormalCaracter"/>
        </w:rPr>
        <w:t xml:space="preserve">, Sentencia </w:t>
      </w:r>
      <w:hyperlink w:anchor="SENTENCIA_2015_154" w:history="1">
        <w:r w:rsidRPr="00F80910">
          <w:rPr>
            <w:rStyle w:val="TextoNormalCaracter"/>
          </w:rPr>
          <w:t>154/2015</w:t>
        </w:r>
      </w:hyperlink>
      <w:r w:rsidRPr="00F80910">
        <w:rPr>
          <w:rStyle w:val="TextoNormalCaracter"/>
        </w:rPr>
        <w:t>, ff. 6, 7.</w:t>
      </w:r>
    </w:p>
    <w:p w:rsidR="00F80910" w:rsidRPr="00F80910" w:rsidRDefault="00F80910" w:rsidP="00F80910">
      <w:pPr>
        <w:pStyle w:val="TextoNormalSangraFrancesa"/>
        <w:rPr>
          <w:rStyle w:val="TextoNormalCaracter"/>
        </w:rPr>
      </w:pPr>
      <w:r w:rsidRPr="00F80910">
        <w:rPr>
          <w:rStyle w:val="TextoNormalCaracter"/>
        </w:rPr>
        <w:t xml:space="preserve">    Auto </w:t>
      </w:r>
      <w:hyperlink w:anchor="AUTO_2015_184" w:history="1">
        <w:r w:rsidRPr="00F80910">
          <w:rPr>
            <w:rStyle w:val="TextoNormalCaracter"/>
          </w:rPr>
          <w:t>184/2015</w:t>
        </w:r>
      </w:hyperlink>
      <w:r w:rsidRPr="00F80910">
        <w:rPr>
          <w:rStyle w:val="TextoNormalCaracter"/>
        </w:rPr>
        <w:t>, f. 3.</w:t>
      </w:r>
    </w:p>
    <w:p w:rsidR="00F80910" w:rsidRPr="00F80910" w:rsidRDefault="00F80910" w:rsidP="00F80910">
      <w:pPr>
        <w:pStyle w:val="TextoNormalSangraFrancesa"/>
        <w:rPr>
          <w:rStyle w:val="TextoNormalCaracter"/>
        </w:rPr>
      </w:pPr>
      <w:bookmarkStart w:id="969" w:name="DESCRIPTORALFABETICO9"/>
      <w:r w:rsidRPr="00F80910">
        <w:rPr>
          <w:rStyle w:val="TextoNormalNegritaCaracter"/>
        </w:rPr>
        <w:t>Competencias estatutarias</w:t>
      </w:r>
      <w:bookmarkEnd w:id="969"/>
      <w:r w:rsidRPr="00F80910">
        <w:rPr>
          <w:rStyle w:val="TextoNormalCaracter"/>
        </w:rPr>
        <w:t xml:space="preserve">, Sentencia </w:t>
      </w:r>
      <w:hyperlink w:anchor="SENTENCIA_2015_237" w:history="1">
        <w:r w:rsidRPr="00F80910">
          <w:rPr>
            <w:rStyle w:val="TextoNormalCaracter"/>
          </w:rPr>
          <w:t>237/2015</w:t>
        </w:r>
      </w:hyperlink>
      <w:r w:rsidRPr="00F80910">
        <w:rPr>
          <w:rStyle w:val="TextoNormalCaracter"/>
        </w:rPr>
        <w:t>, f. 2.</w:t>
      </w:r>
    </w:p>
    <w:p w:rsidR="00F80910" w:rsidRPr="00F80910" w:rsidRDefault="00F80910" w:rsidP="00F80910">
      <w:pPr>
        <w:pStyle w:val="TextoNormalSangraFrancesa"/>
        <w:rPr>
          <w:rStyle w:val="TextoNormalCaracter"/>
        </w:rPr>
      </w:pPr>
      <w:bookmarkStart w:id="970" w:name="DESCRIPTORALFABETICO12"/>
      <w:r w:rsidRPr="00F80910">
        <w:rPr>
          <w:rStyle w:val="TextoNormalNegritaCaracter"/>
        </w:rPr>
        <w:t>Competencias exclusivas del Estado</w:t>
      </w:r>
      <w:bookmarkEnd w:id="970"/>
      <w:r w:rsidRPr="00F80910">
        <w:rPr>
          <w:rStyle w:val="TextoNormalCaracter"/>
        </w:rPr>
        <w:t xml:space="preserve">, Sentencias </w:t>
      </w:r>
      <w:hyperlink w:anchor="SENTENCIA_2015_198" w:history="1">
        <w:r w:rsidRPr="00F80910">
          <w:rPr>
            <w:rStyle w:val="TextoNormalCaracter"/>
          </w:rPr>
          <w:t>198/2015</w:t>
        </w:r>
      </w:hyperlink>
      <w:r w:rsidRPr="00F80910">
        <w:rPr>
          <w:rStyle w:val="TextoNormalCaracter"/>
        </w:rPr>
        <w:t xml:space="preserve">, ff. 3, 4, VP I, VP II; </w:t>
      </w:r>
      <w:hyperlink w:anchor="SENTENCIA_2015_235" w:history="1">
        <w:r w:rsidRPr="00F80910">
          <w:rPr>
            <w:rStyle w:val="TextoNormalCaracter"/>
          </w:rPr>
          <w:t>235/2015</w:t>
        </w:r>
      </w:hyperlink>
      <w:r w:rsidRPr="00F80910">
        <w:rPr>
          <w:rStyle w:val="TextoNormalCaracter"/>
        </w:rPr>
        <w:t xml:space="preserve">, ff. 3, 4; </w:t>
      </w:r>
      <w:hyperlink w:anchor="SENTENCIA_2015_260" w:history="1">
        <w:r w:rsidRPr="00F80910">
          <w:rPr>
            <w:rStyle w:val="TextoNormalCaracter"/>
          </w:rPr>
          <w:t>260/2015</w:t>
        </w:r>
      </w:hyperlink>
      <w:r w:rsidRPr="00F80910">
        <w:rPr>
          <w:rStyle w:val="TextoNormalCaracter"/>
        </w:rPr>
        <w:t>, ff. 3, 4.</w:t>
      </w:r>
    </w:p>
    <w:p w:rsidR="00F80910" w:rsidRPr="00F80910" w:rsidRDefault="00F80910" w:rsidP="00F80910">
      <w:pPr>
        <w:pStyle w:val="TextoNormalSangraFrancesa"/>
        <w:rPr>
          <w:rStyle w:val="TextoNormalCaracter"/>
        </w:rPr>
      </w:pPr>
      <w:bookmarkStart w:id="971" w:name="DESCRIPTORALFABETICO335"/>
      <w:r w:rsidRPr="00F80910">
        <w:rPr>
          <w:rStyle w:val="TextoNormalNegritaCaracter"/>
        </w:rPr>
        <w:t>Complementos retributivos</w:t>
      </w:r>
      <w:bookmarkEnd w:id="971"/>
      <w:r w:rsidRPr="00F80910">
        <w:rPr>
          <w:rStyle w:val="TextoNormalCaracter"/>
        </w:rPr>
        <w:t xml:space="preserve">, Sentencia </w:t>
      </w:r>
      <w:hyperlink w:anchor="SENTENCIA_2015_148" w:history="1">
        <w:r w:rsidRPr="00F80910">
          <w:rPr>
            <w:rStyle w:val="TextoNormalCaracter"/>
          </w:rPr>
          <w:t>148/2015</w:t>
        </w:r>
      </w:hyperlink>
      <w:r w:rsidRPr="00F80910">
        <w:rPr>
          <w:rStyle w:val="TextoNormalCaracter"/>
        </w:rPr>
        <w:t>, ff. 1, 3, 4.</w:t>
      </w:r>
    </w:p>
    <w:p w:rsidR="00F80910" w:rsidRPr="00F80910" w:rsidRDefault="00F80910" w:rsidP="00F80910">
      <w:pPr>
        <w:pStyle w:val="TextoNormalSangraFrancesa"/>
        <w:rPr>
          <w:rStyle w:val="TextoNormalCaracter"/>
        </w:rPr>
      </w:pPr>
      <w:r w:rsidRPr="00F80910">
        <w:rPr>
          <w:rStyle w:val="TextoNormalCaracter"/>
        </w:rPr>
        <w:t xml:space="preserve">    Auto </w:t>
      </w:r>
      <w:hyperlink w:anchor="AUTO_2015_121" w:history="1">
        <w:r w:rsidRPr="00F80910">
          <w:rPr>
            <w:rStyle w:val="TextoNormalCaracter"/>
          </w:rPr>
          <w:t>121/2015</w:t>
        </w:r>
      </w:hyperlink>
      <w:r w:rsidRPr="00F80910">
        <w:rPr>
          <w:rStyle w:val="TextoNormalCaracter"/>
        </w:rPr>
        <w:t>, f. 2.</w:t>
      </w:r>
    </w:p>
    <w:p w:rsidR="00F80910" w:rsidRPr="00F80910" w:rsidRDefault="00F80910" w:rsidP="00F80910">
      <w:pPr>
        <w:pStyle w:val="TextoNormalSangraFrancesa"/>
        <w:rPr>
          <w:rStyle w:val="TextoNormalCaracter"/>
        </w:rPr>
      </w:pPr>
      <w:bookmarkStart w:id="972" w:name="DESCRIPTORALFABETICO269"/>
      <w:r w:rsidRPr="00F80910">
        <w:rPr>
          <w:rStyle w:val="TextoNormalNegritaCaracter"/>
        </w:rPr>
        <w:t>Composición de los órganos judiciales</w:t>
      </w:r>
      <w:bookmarkEnd w:id="972"/>
      <w:r w:rsidRPr="00F80910">
        <w:rPr>
          <w:rStyle w:val="TextoNormalCaracter"/>
        </w:rPr>
        <w:t xml:space="preserve">, Sentencia </w:t>
      </w:r>
      <w:hyperlink w:anchor="SENTENCIA_2015_152" w:history="1">
        <w:r w:rsidRPr="00F80910">
          <w:rPr>
            <w:rStyle w:val="TextoNormalCaracter"/>
          </w:rPr>
          <w:t>152/2015</w:t>
        </w:r>
      </w:hyperlink>
      <w:r w:rsidRPr="00F80910">
        <w:rPr>
          <w:rStyle w:val="TextoNormalCaracter"/>
        </w:rPr>
        <w:t>, f. 9.</w:t>
      </w:r>
    </w:p>
    <w:p w:rsidR="00F80910" w:rsidRPr="00F80910" w:rsidRDefault="00F80910" w:rsidP="00F80910">
      <w:pPr>
        <w:pStyle w:val="TextoNormalSangraFrancesa"/>
        <w:rPr>
          <w:rStyle w:val="TextoNormalCaracter"/>
        </w:rPr>
      </w:pPr>
      <w:bookmarkStart w:id="973" w:name="DESCRIPTORALFABETICO605"/>
      <w:r w:rsidRPr="00F80910">
        <w:rPr>
          <w:rStyle w:val="TextoNormalNegritaCaracter"/>
        </w:rPr>
        <w:t>Comunidad de Madrid</w:t>
      </w:r>
      <w:bookmarkEnd w:id="973"/>
      <w:r w:rsidRPr="00F80910">
        <w:rPr>
          <w:rStyle w:val="TextoNormalCaracter"/>
        </w:rPr>
        <w:t xml:space="preserve">, Sentencia </w:t>
      </w:r>
      <w:hyperlink w:anchor="SENTENCIA_2015_214" w:history="1">
        <w:r w:rsidRPr="00F80910">
          <w:rPr>
            <w:rStyle w:val="TextoNormalCaracter"/>
          </w:rPr>
          <w:t>214/2015</w:t>
        </w:r>
      </w:hyperlink>
      <w:r w:rsidRPr="00F80910">
        <w:rPr>
          <w:rStyle w:val="TextoNormalCaracter"/>
        </w:rPr>
        <w:t>, f. 1.</w:t>
      </w:r>
    </w:p>
    <w:p w:rsidR="00F80910" w:rsidRPr="00F80910" w:rsidRDefault="00F80910" w:rsidP="00F80910">
      <w:pPr>
        <w:pStyle w:val="TextoNormalSangraFrancesa"/>
        <w:rPr>
          <w:rStyle w:val="TextoNormalCaracter"/>
        </w:rPr>
      </w:pPr>
      <w:bookmarkStart w:id="974" w:name="DESCRIPTORALFABETICO83"/>
      <w:r w:rsidRPr="00F80910">
        <w:rPr>
          <w:rStyle w:val="TextoNormalNegritaCaracter"/>
        </w:rPr>
        <w:t>Concepto constitucional de domicilio</w:t>
      </w:r>
      <w:bookmarkEnd w:id="974"/>
      <w:r w:rsidRPr="00F80910">
        <w:rPr>
          <w:rStyle w:val="TextoNormalCaracter"/>
        </w:rPr>
        <w:t xml:space="preserve">, Sentencia </w:t>
      </w:r>
      <w:hyperlink w:anchor="SENTENCIA_2015_214" w:history="1">
        <w:r w:rsidRPr="00F80910">
          <w:rPr>
            <w:rStyle w:val="TextoNormalCaracter"/>
          </w:rPr>
          <w:t>214/2015</w:t>
        </w:r>
      </w:hyperlink>
      <w:r w:rsidRPr="00F80910">
        <w:rPr>
          <w:rStyle w:val="TextoNormalCaracter"/>
        </w:rPr>
        <w:t>, f. 5.</w:t>
      </w:r>
    </w:p>
    <w:p w:rsidR="00F80910" w:rsidRPr="00F80910" w:rsidRDefault="00F80910" w:rsidP="00F80910">
      <w:pPr>
        <w:pStyle w:val="TextoNormalSangraFrancesa"/>
        <w:rPr>
          <w:rStyle w:val="TextoNormalCaracter"/>
        </w:rPr>
      </w:pPr>
      <w:bookmarkStart w:id="975" w:name="DESCRIPTORALFABETICO318"/>
      <w:r w:rsidRPr="00F80910">
        <w:rPr>
          <w:rStyle w:val="TextoNormalNegritaCaracter"/>
        </w:rPr>
        <w:t>Concesiones de dominio público</w:t>
      </w:r>
      <w:bookmarkEnd w:id="975"/>
      <w:r w:rsidRPr="00F80910">
        <w:rPr>
          <w:rStyle w:val="TextoNormalCaracter"/>
        </w:rPr>
        <w:t xml:space="preserve">, Sentencia </w:t>
      </w:r>
      <w:hyperlink w:anchor="SENTENCIA_2015_233" w:history="1">
        <w:r w:rsidRPr="00F80910">
          <w:rPr>
            <w:rStyle w:val="TextoNormalCaracter"/>
          </w:rPr>
          <w:t>233/2015</w:t>
        </w:r>
      </w:hyperlink>
      <w:r w:rsidRPr="00F80910">
        <w:rPr>
          <w:rStyle w:val="TextoNormalCaracter"/>
        </w:rPr>
        <w:t>, f. 10.</w:t>
      </w:r>
    </w:p>
    <w:p w:rsidR="00F80910" w:rsidRPr="00F80910" w:rsidRDefault="00F80910" w:rsidP="00F80910">
      <w:pPr>
        <w:pStyle w:val="TextoNormalSangraFrancesa"/>
        <w:rPr>
          <w:rStyle w:val="TextoNormalCaracter"/>
        </w:rPr>
      </w:pPr>
      <w:bookmarkStart w:id="976" w:name="DESCRIPTORALFABETICO594"/>
      <w:r w:rsidRPr="00F80910">
        <w:rPr>
          <w:rStyle w:val="TextoNormalNegritaCaracter"/>
        </w:rPr>
        <w:t>Condena penal por injurias</w:t>
      </w:r>
      <w:bookmarkEnd w:id="976"/>
      <w:r w:rsidRPr="00F80910">
        <w:rPr>
          <w:rStyle w:val="TextoNormalCaracter"/>
        </w:rPr>
        <w:t xml:space="preserve">, Sentencia </w:t>
      </w:r>
      <w:hyperlink w:anchor="SENTENCIA_2015_177" w:history="1">
        <w:r w:rsidRPr="00F80910">
          <w:rPr>
            <w:rStyle w:val="TextoNormalCaracter"/>
          </w:rPr>
          <w:t>177/2015</w:t>
        </w:r>
      </w:hyperlink>
      <w:r w:rsidRPr="00F80910">
        <w:rPr>
          <w:rStyle w:val="TextoNormalCaracter"/>
        </w:rPr>
        <w:t>, ff. 1, 4, 5, VP I, VP III.</w:t>
      </w:r>
    </w:p>
    <w:p w:rsidR="00F80910" w:rsidRPr="00F80910" w:rsidRDefault="00F80910" w:rsidP="00F80910">
      <w:pPr>
        <w:pStyle w:val="TextoNormalSangraFrancesa"/>
        <w:rPr>
          <w:rStyle w:val="TextoNormalCaracter"/>
        </w:rPr>
      </w:pPr>
      <w:bookmarkStart w:id="977" w:name="DESCRIPTORALFABETICO447"/>
      <w:r w:rsidRPr="00F80910">
        <w:rPr>
          <w:rStyle w:val="TextoNormalNegritaCaracter"/>
        </w:rPr>
        <w:t>Conexión de sentido entre la situación de urgencia y las medidas adoptadas</w:t>
      </w:r>
      <w:bookmarkEnd w:id="977"/>
      <w:r w:rsidRPr="00F80910">
        <w:rPr>
          <w:rStyle w:val="TextoNormalCaracter"/>
        </w:rPr>
        <w:t xml:space="preserve">, Sentencias </w:t>
      </w:r>
      <w:hyperlink w:anchor="SENTENCIA_2015_156" w:history="1">
        <w:r w:rsidRPr="00F80910">
          <w:rPr>
            <w:rStyle w:val="TextoNormalCaracter"/>
          </w:rPr>
          <w:t>156/2015</w:t>
        </w:r>
      </w:hyperlink>
      <w:r w:rsidRPr="00F80910">
        <w:rPr>
          <w:rStyle w:val="TextoNormalCaracter"/>
        </w:rPr>
        <w:t xml:space="preserve">, ff. 4 a 7; </w:t>
      </w:r>
      <w:hyperlink w:anchor="SENTENCIA_2015_196" w:history="1">
        <w:r w:rsidRPr="00F80910">
          <w:rPr>
            <w:rStyle w:val="TextoNormalCaracter"/>
          </w:rPr>
          <w:t>196/2015</w:t>
        </w:r>
      </w:hyperlink>
      <w:r w:rsidRPr="00F80910">
        <w:rPr>
          <w:rStyle w:val="TextoNormalCaracter"/>
        </w:rPr>
        <w:t xml:space="preserve">, ff. 5 a 7; </w:t>
      </w:r>
      <w:hyperlink w:anchor="SENTENCIA_2015_197" w:history="1">
        <w:r w:rsidRPr="00F80910">
          <w:rPr>
            <w:rStyle w:val="TextoNormalCaracter"/>
          </w:rPr>
          <w:t>197/2015</w:t>
        </w:r>
      </w:hyperlink>
      <w:r w:rsidRPr="00F80910">
        <w:rPr>
          <w:rStyle w:val="TextoNormalCaracter"/>
        </w:rPr>
        <w:t xml:space="preserve">, f. 6; </w:t>
      </w:r>
      <w:hyperlink w:anchor="SENTENCIA_2015_199" w:history="1">
        <w:r w:rsidRPr="00F80910">
          <w:rPr>
            <w:rStyle w:val="TextoNormalCaracter"/>
          </w:rPr>
          <w:t>199/2015</w:t>
        </w:r>
      </w:hyperlink>
      <w:r w:rsidRPr="00F80910">
        <w:rPr>
          <w:rStyle w:val="TextoNormalCaracter"/>
        </w:rPr>
        <w:t xml:space="preserve">, ff. 4 a 10; </w:t>
      </w:r>
      <w:hyperlink w:anchor="SENTENCIA_2015_215" w:history="1">
        <w:r w:rsidRPr="00F80910">
          <w:rPr>
            <w:rStyle w:val="TextoNormalCaracter"/>
          </w:rPr>
          <w:t>215/2015</w:t>
        </w:r>
      </w:hyperlink>
      <w:r w:rsidRPr="00F80910">
        <w:rPr>
          <w:rStyle w:val="TextoNormalCaracter"/>
        </w:rPr>
        <w:t xml:space="preserve">, ff. 3, 5; </w:t>
      </w:r>
      <w:hyperlink w:anchor="SENTENCIA_2015_230" w:history="1">
        <w:r w:rsidRPr="00F80910">
          <w:rPr>
            <w:rStyle w:val="TextoNormalCaracter"/>
          </w:rPr>
          <w:t>230/2015</w:t>
        </w:r>
      </w:hyperlink>
      <w:r w:rsidRPr="00F80910">
        <w:rPr>
          <w:rStyle w:val="TextoNormalCaracter"/>
        </w:rPr>
        <w:t xml:space="preserve">, f. 5; </w:t>
      </w:r>
      <w:hyperlink w:anchor="SENTENCIA_2015_243" w:history="1">
        <w:r w:rsidRPr="00F80910">
          <w:rPr>
            <w:rStyle w:val="TextoNormalCaracter"/>
          </w:rPr>
          <w:t>243/2015</w:t>
        </w:r>
      </w:hyperlink>
      <w:r w:rsidRPr="00F80910">
        <w:rPr>
          <w:rStyle w:val="TextoNormalCaracter"/>
        </w:rPr>
        <w:t xml:space="preserve">, f. 3; </w:t>
      </w:r>
      <w:hyperlink w:anchor="SENTENCIA_2015_270" w:history="1">
        <w:r w:rsidRPr="00F80910">
          <w:rPr>
            <w:rStyle w:val="TextoNormalCaracter"/>
          </w:rPr>
          <w:t>270/2015</w:t>
        </w:r>
      </w:hyperlink>
      <w:r w:rsidRPr="00F80910">
        <w:rPr>
          <w:rStyle w:val="TextoNormalCaracter"/>
        </w:rPr>
        <w:t>, ff. 3 a 5.</w:t>
      </w:r>
    </w:p>
    <w:p w:rsidR="00F80910" w:rsidRPr="00F80910" w:rsidRDefault="00F80910" w:rsidP="00F80910">
      <w:pPr>
        <w:pStyle w:val="TextoNormalSangraFrancesa"/>
        <w:rPr>
          <w:rStyle w:val="TextoNormalCaracter"/>
        </w:rPr>
      </w:pPr>
      <w:bookmarkStart w:id="978" w:name="DESCRIPTORALFABETICO272"/>
      <w:r w:rsidRPr="00F80910">
        <w:rPr>
          <w:rStyle w:val="TextoNormalNegritaCaracter"/>
        </w:rPr>
        <w:t>Conexión material entre enmienda e iniciativa legislativa</w:t>
      </w:r>
      <w:bookmarkEnd w:id="978"/>
      <w:r w:rsidRPr="00F80910">
        <w:rPr>
          <w:rStyle w:val="TextoNormalCaracter"/>
        </w:rPr>
        <w:t xml:space="preserve">, Sentencia </w:t>
      </w:r>
      <w:hyperlink w:anchor="SENTENCIA_2015_216" w:history="1">
        <w:r w:rsidRPr="00F80910">
          <w:rPr>
            <w:rStyle w:val="TextoNormalCaracter"/>
          </w:rPr>
          <w:t>216/2015</w:t>
        </w:r>
      </w:hyperlink>
      <w:r w:rsidRPr="00F80910">
        <w:rPr>
          <w:rStyle w:val="TextoNormalCaracter"/>
        </w:rPr>
        <w:t>, ff. 5, 6.</w:t>
      </w:r>
    </w:p>
    <w:p w:rsidR="00F80910" w:rsidRPr="00F80910" w:rsidRDefault="00F80910" w:rsidP="00F80910">
      <w:pPr>
        <w:pStyle w:val="TextoNormalSangraFrancesa"/>
        <w:rPr>
          <w:rStyle w:val="TextoNormalCaracter"/>
        </w:rPr>
      </w:pPr>
      <w:bookmarkStart w:id="979" w:name="DESCRIPTORALFABETICO302"/>
      <w:r w:rsidRPr="00F80910">
        <w:rPr>
          <w:rStyle w:val="TextoNormalNegritaCaracter"/>
        </w:rPr>
        <w:t>Confianza legítima</w:t>
      </w:r>
      <w:bookmarkEnd w:id="979"/>
      <w:r w:rsidRPr="00F80910">
        <w:rPr>
          <w:rStyle w:val="TextoNormalCaracter"/>
        </w:rPr>
        <w:t xml:space="preserve">, Sentencias </w:t>
      </w:r>
      <w:hyperlink w:anchor="SENTENCIA_2015_216" w:history="1">
        <w:r w:rsidRPr="00F80910">
          <w:rPr>
            <w:rStyle w:val="TextoNormalCaracter"/>
          </w:rPr>
          <w:t>216/2015</w:t>
        </w:r>
      </w:hyperlink>
      <w:r w:rsidRPr="00F80910">
        <w:rPr>
          <w:rStyle w:val="TextoNormalCaracter"/>
        </w:rPr>
        <w:t xml:space="preserve">, VP; </w:t>
      </w:r>
      <w:hyperlink w:anchor="SENTENCIA_2015_267" w:history="1">
        <w:r w:rsidRPr="00F80910">
          <w:rPr>
            <w:rStyle w:val="TextoNormalCaracter"/>
          </w:rPr>
          <w:t>267/2015</w:t>
        </w:r>
      </w:hyperlink>
      <w:r w:rsidRPr="00F80910">
        <w:rPr>
          <w:rStyle w:val="TextoNormalCaracter"/>
        </w:rPr>
        <w:t xml:space="preserve">, VP; </w:t>
      </w:r>
      <w:hyperlink w:anchor="SENTENCIA_2015_270" w:history="1">
        <w:r w:rsidRPr="00F80910">
          <w:rPr>
            <w:rStyle w:val="TextoNormalCaracter"/>
          </w:rPr>
          <w:t>270/2015</w:t>
        </w:r>
      </w:hyperlink>
      <w:r w:rsidRPr="00F80910">
        <w:rPr>
          <w:rStyle w:val="TextoNormalCaracter"/>
        </w:rPr>
        <w:t>, f. 7 a) y b), VP.</w:t>
      </w:r>
    </w:p>
    <w:p w:rsidR="00F80910" w:rsidRPr="00F80910" w:rsidRDefault="00F80910" w:rsidP="00F80910">
      <w:pPr>
        <w:pStyle w:val="TextoNormalSangraFrancesa"/>
        <w:rPr>
          <w:rStyle w:val="TextoNormalCaracter"/>
        </w:rPr>
      </w:pPr>
      <w:bookmarkStart w:id="980" w:name="DESCRIPTORALFABETICO42"/>
      <w:r w:rsidRPr="00F80910">
        <w:rPr>
          <w:rStyle w:val="TextoNormalNegritaCaracter"/>
        </w:rPr>
        <w:t>Contención del gasto público</w:t>
      </w:r>
      <w:bookmarkEnd w:id="980"/>
      <w:r w:rsidRPr="00F80910">
        <w:rPr>
          <w:rStyle w:val="TextoNormalCaracter"/>
        </w:rPr>
        <w:t xml:space="preserve">, Sentencia </w:t>
      </w:r>
      <w:hyperlink w:anchor="SENTENCIA_2015_241" w:history="1">
        <w:r w:rsidRPr="00F80910">
          <w:rPr>
            <w:rStyle w:val="TextoNormalCaracter"/>
          </w:rPr>
          <w:t>241/2015</w:t>
        </w:r>
      </w:hyperlink>
      <w:r w:rsidRPr="00F80910">
        <w:rPr>
          <w:rStyle w:val="TextoNormalCaracter"/>
        </w:rPr>
        <w:t>, f. 1.</w:t>
      </w:r>
    </w:p>
    <w:p w:rsidR="00F80910" w:rsidRPr="00F80910" w:rsidRDefault="00F80910" w:rsidP="00F80910">
      <w:pPr>
        <w:pStyle w:val="TextoNormalSangraFrancesa"/>
        <w:rPr>
          <w:rStyle w:val="TextoNormalCaracter"/>
        </w:rPr>
      </w:pPr>
      <w:bookmarkStart w:id="981" w:name="DESCRIPTORALFABETICO365"/>
      <w:r w:rsidRPr="00F80910">
        <w:rPr>
          <w:rStyle w:val="TextoNormalNegritaCaracter"/>
        </w:rPr>
        <w:t>Contenido básico del derecho de propiedad del suelo</w:t>
      </w:r>
      <w:bookmarkEnd w:id="981"/>
      <w:r w:rsidRPr="00F80910">
        <w:rPr>
          <w:rStyle w:val="TextoNormalCaracter"/>
        </w:rPr>
        <w:t xml:space="preserve">, Sentencia </w:t>
      </w:r>
      <w:hyperlink w:anchor="SENTENCIA_2015_218" w:history="1">
        <w:r w:rsidRPr="00F80910">
          <w:rPr>
            <w:rStyle w:val="TextoNormalCaracter"/>
          </w:rPr>
          <w:t>218/2015</w:t>
        </w:r>
      </w:hyperlink>
      <w:r w:rsidRPr="00F80910">
        <w:rPr>
          <w:rStyle w:val="TextoNormalCaracter"/>
        </w:rPr>
        <w:t>, ff. 3, 5, VP III.</w:t>
      </w:r>
    </w:p>
    <w:p w:rsidR="00F80910" w:rsidRPr="00F80910" w:rsidRDefault="00F80910" w:rsidP="00F80910">
      <w:pPr>
        <w:pStyle w:val="TextoNormalSangraFrancesa"/>
        <w:rPr>
          <w:rStyle w:val="TextoNormalCaracter"/>
        </w:rPr>
      </w:pPr>
      <w:bookmarkStart w:id="982" w:name="DESCRIPTORALFABETICO134"/>
      <w:r w:rsidRPr="00F80910">
        <w:rPr>
          <w:rStyle w:val="TextoNormalNegritaCaracter"/>
        </w:rPr>
        <w:t>Contenido de la libertad de expresión</w:t>
      </w:r>
      <w:bookmarkEnd w:id="982"/>
      <w:r w:rsidRPr="00F80910">
        <w:rPr>
          <w:rStyle w:val="TextoNormalCaracter"/>
        </w:rPr>
        <w:t xml:space="preserve">, Sentencia </w:t>
      </w:r>
      <w:hyperlink w:anchor="SENTENCIA_2015_177" w:history="1">
        <w:r w:rsidRPr="00F80910">
          <w:rPr>
            <w:rStyle w:val="TextoNormalCaracter"/>
          </w:rPr>
          <w:t>177/2015</w:t>
        </w:r>
      </w:hyperlink>
      <w:r w:rsidRPr="00F80910">
        <w:rPr>
          <w:rStyle w:val="TextoNormalCaracter"/>
        </w:rPr>
        <w:t>, ff. 2 a 4.</w:t>
      </w:r>
    </w:p>
    <w:p w:rsidR="00F80910" w:rsidRPr="00F80910" w:rsidRDefault="00F80910" w:rsidP="00F80910">
      <w:pPr>
        <w:pStyle w:val="TextoNormalSangraFrancesa"/>
        <w:rPr>
          <w:rStyle w:val="TextoNormalCaracter"/>
        </w:rPr>
      </w:pPr>
      <w:bookmarkStart w:id="983" w:name="DESCRIPTORALFABETICO565"/>
      <w:r w:rsidRPr="00F80910">
        <w:rPr>
          <w:rStyle w:val="TextoNormalNegritaCaracter"/>
        </w:rPr>
        <w:t>Contradicción como regla esencial del proceso</w:t>
      </w:r>
      <w:bookmarkEnd w:id="983"/>
      <w:r w:rsidRPr="00F80910">
        <w:rPr>
          <w:rStyle w:val="TextoNormalCaracter"/>
        </w:rPr>
        <w:t xml:space="preserve">, Sentencia </w:t>
      </w:r>
      <w:hyperlink w:anchor="SENTENCIA_2015_265" w:history="1">
        <w:r w:rsidRPr="00F80910">
          <w:rPr>
            <w:rStyle w:val="TextoNormalCaracter"/>
          </w:rPr>
          <w:t>265/2015</w:t>
        </w:r>
      </w:hyperlink>
      <w:r w:rsidRPr="00F80910">
        <w:rPr>
          <w:rStyle w:val="TextoNormalCaracter"/>
        </w:rPr>
        <w:t>, f. 2.</w:t>
      </w:r>
    </w:p>
    <w:p w:rsidR="00F80910" w:rsidRPr="00F80910" w:rsidRDefault="00F80910" w:rsidP="00F80910">
      <w:pPr>
        <w:pStyle w:val="TextoNormalSangraFrancesa"/>
        <w:rPr>
          <w:rStyle w:val="TextoNormalCaracter"/>
        </w:rPr>
      </w:pPr>
      <w:bookmarkStart w:id="984" w:name="DESCRIPTORALFABETICO501"/>
      <w:r w:rsidRPr="00F80910">
        <w:rPr>
          <w:rStyle w:val="TextoNormalNegritaCaracter"/>
        </w:rPr>
        <w:t>Contrato de seguros</w:t>
      </w:r>
      <w:bookmarkEnd w:id="984"/>
      <w:r w:rsidRPr="00F80910">
        <w:rPr>
          <w:rStyle w:val="TextoNormalCaracter"/>
        </w:rPr>
        <w:t xml:space="preserve">, Sentencia </w:t>
      </w:r>
      <w:hyperlink w:anchor="SENTENCIA_2015_215" w:history="1">
        <w:r w:rsidRPr="00F80910">
          <w:rPr>
            <w:rStyle w:val="TextoNormalCaracter"/>
          </w:rPr>
          <w:t>215/2015</w:t>
        </w:r>
      </w:hyperlink>
      <w:r w:rsidRPr="00F80910">
        <w:rPr>
          <w:rStyle w:val="TextoNormalCaracter"/>
        </w:rPr>
        <w:t>, ff. 2, 5 a 7.</w:t>
      </w:r>
    </w:p>
    <w:p w:rsidR="00F80910" w:rsidRPr="00F80910" w:rsidRDefault="00F80910" w:rsidP="00F80910">
      <w:pPr>
        <w:pStyle w:val="TextoNormalSangraFrancesa"/>
        <w:rPr>
          <w:rStyle w:val="TextoNormalCaracter"/>
        </w:rPr>
      </w:pPr>
      <w:bookmarkStart w:id="985" w:name="DESCRIPTORALFABETICO321"/>
      <w:r w:rsidRPr="00F80910">
        <w:rPr>
          <w:rStyle w:val="TextoNormalNegritaCaracter"/>
        </w:rPr>
        <w:t>Contratos de las Comunidades Autónomas</w:t>
      </w:r>
      <w:bookmarkEnd w:id="985"/>
      <w:r w:rsidRPr="00F80910">
        <w:rPr>
          <w:rStyle w:val="TextoNormalCaracter"/>
        </w:rPr>
        <w:t xml:space="preserve">, Sentencia </w:t>
      </w:r>
      <w:hyperlink w:anchor="SENTENCIA_2015_237" w:history="1">
        <w:r w:rsidRPr="00F80910">
          <w:rPr>
            <w:rStyle w:val="TextoNormalCaracter"/>
          </w:rPr>
          <w:t>237/2015</w:t>
        </w:r>
      </w:hyperlink>
      <w:r w:rsidRPr="00F80910">
        <w:rPr>
          <w:rStyle w:val="TextoNormalCaracter"/>
        </w:rPr>
        <w:t>, ff. 2, 7.</w:t>
      </w:r>
    </w:p>
    <w:p w:rsidR="00F80910" w:rsidRPr="00F80910" w:rsidRDefault="00F80910" w:rsidP="00F80910">
      <w:pPr>
        <w:pStyle w:val="TextoNormalSangraFrancesa"/>
        <w:rPr>
          <w:rStyle w:val="TextoNormalCaracter"/>
        </w:rPr>
      </w:pPr>
      <w:bookmarkStart w:id="986" w:name="DESCRIPTORALFABETICO320"/>
      <w:r w:rsidRPr="00F80910">
        <w:rPr>
          <w:rStyle w:val="TextoNormalNegritaCaracter"/>
        </w:rPr>
        <w:t>Contratos del sector público</w:t>
      </w:r>
      <w:bookmarkEnd w:id="986"/>
      <w:r w:rsidRPr="00F80910">
        <w:rPr>
          <w:rStyle w:val="TextoNormalCaracter"/>
        </w:rPr>
        <w:t xml:space="preserve">, Sentencia </w:t>
      </w:r>
      <w:hyperlink w:anchor="SENTENCIA_2015_237" w:history="1">
        <w:r w:rsidRPr="00F80910">
          <w:rPr>
            <w:rStyle w:val="TextoNormalCaracter"/>
          </w:rPr>
          <w:t>237/2015</w:t>
        </w:r>
      </w:hyperlink>
      <w:r w:rsidRPr="00F80910">
        <w:rPr>
          <w:rStyle w:val="TextoNormalCaracter"/>
        </w:rPr>
        <w:t>, f. 2.</w:t>
      </w:r>
    </w:p>
    <w:p w:rsidR="00F80910" w:rsidRPr="00F80910" w:rsidRDefault="00F80910" w:rsidP="00F80910">
      <w:pPr>
        <w:pStyle w:val="TextoNormalSangraFrancesa"/>
        <w:rPr>
          <w:rStyle w:val="TextoNormalCaracter"/>
        </w:rPr>
      </w:pPr>
      <w:bookmarkStart w:id="987" w:name="DESCRIPTORALFABETICO502"/>
      <w:r w:rsidRPr="00F80910">
        <w:rPr>
          <w:rStyle w:val="TextoNormalNegritaCaracter"/>
        </w:rPr>
        <w:t>Contribuciones a planes y fondos de pensiones</w:t>
      </w:r>
      <w:bookmarkEnd w:id="987"/>
      <w:r w:rsidRPr="00F80910">
        <w:rPr>
          <w:rStyle w:val="TextoNormalCaracter"/>
        </w:rPr>
        <w:t xml:space="preserve">, Sentencia </w:t>
      </w:r>
      <w:hyperlink w:anchor="SENTENCIA_2015_215" w:history="1">
        <w:r w:rsidRPr="00F80910">
          <w:rPr>
            <w:rStyle w:val="TextoNormalCaracter"/>
          </w:rPr>
          <w:t>215/2015</w:t>
        </w:r>
      </w:hyperlink>
      <w:r w:rsidRPr="00F80910">
        <w:rPr>
          <w:rStyle w:val="TextoNormalCaracter"/>
        </w:rPr>
        <w:t>, ff. 2, 5 a 7.</w:t>
      </w:r>
    </w:p>
    <w:p w:rsidR="00F80910" w:rsidRPr="00F80910" w:rsidRDefault="00F80910" w:rsidP="00F80910">
      <w:pPr>
        <w:pStyle w:val="TextoNormalSangraFrancesa"/>
        <w:rPr>
          <w:rStyle w:val="TextoNormalCaracter"/>
        </w:rPr>
      </w:pPr>
      <w:bookmarkStart w:id="988" w:name="DESCRIPTORALFABETICO161"/>
      <w:r w:rsidRPr="00F80910">
        <w:rPr>
          <w:rStyle w:val="TextoNormalNegritaCaracter"/>
        </w:rPr>
        <w:t>Control constitucional de los actos parlamentarios</w:t>
      </w:r>
      <w:bookmarkEnd w:id="988"/>
      <w:r w:rsidRPr="00F80910">
        <w:rPr>
          <w:rStyle w:val="TextoNormalCaracter"/>
        </w:rPr>
        <w:t xml:space="preserve">, Sentencia </w:t>
      </w:r>
      <w:hyperlink w:anchor="SENTENCIA_2015_259" w:history="1">
        <w:r w:rsidRPr="00F80910">
          <w:rPr>
            <w:rStyle w:val="TextoNormalCaracter"/>
          </w:rPr>
          <w:t>259/2015</w:t>
        </w:r>
      </w:hyperlink>
      <w:r w:rsidRPr="00F80910">
        <w:rPr>
          <w:rStyle w:val="TextoNormalCaracter"/>
        </w:rPr>
        <w:t>, ff. 2, 5 b).</w:t>
      </w:r>
    </w:p>
    <w:p w:rsidR="00F80910" w:rsidRPr="00F80910" w:rsidRDefault="00F80910" w:rsidP="00F80910">
      <w:pPr>
        <w:pStyle w:val="TextoNormalSangraFrancesa"/>
        <w:rPr>
          <w:rStyle w:val="TextoNormalCaracter"/>
        </w:rPr>
      </w:pPr>
      <w:r w:rsidRPr="00F80910">
        <w:rPr>
          <w:rStyle w:val="TextoNormalCaracter"/>
        </w:rPr>
        <w:t xml:space="preserve">    Autos </w:t>
      </w:r>
      <w:hyperlink w:anchor="AUTO_2015_189" w:history="1">
        <w:r w:rsidRPr="00F80910">
          <w:rPr>
            <w:rStyle w:val="TextoNormalCaracter"/>
          </w:rPr>
          <w:t>189/2015</w:t>
        </w:r>
      </w:hyperlink>
      <w:r w:rsidRPr="00F80910">
        <w:rPr>
          <w:rStyle w:val="TextoNormalCaracter"/>
        </w:rPr>
        <w:t xml:space="preserve">, f. 3; </w:t>
      </w:r>
      <w:hyperlink w:anchor="AUTO_2015_190" w:history="1">
        <w:r w:rsidRPr="00F80910">
          <w:rPr>
            <w:rStyle w:val="TextoNormalCaracter"/>
          </w:rPr>
          <w:t>190/2015</w:t>
        </w:r>
      </w:hyperlink>
      <w:r w:rsidRPr="00F80910">
        <w:rPr>
          <w:rStyle w:val="TextoNormalCaracter"/>
        </w:rPr>
        <w:t>, f. 3.</w:t>
      </w:r>
    </w:p>
    <w:p w:rsidR="00F80910" w:rsidRPr="00F80910" w:rsidRDefault="00F80910" w:rsidP="00F80910">
      <w:pPr>
        <w:pStyle w:val="TextoNormalSangraFrancesa"/>
        <w:rPr>
          <w:rStyle w:val="TextoNormalCaracter"/>
        </w:rPr>
      </w:pPr>
      <w:bookmarkStart w:id="989" w:name="DESCRIPTORALFABETICO162"/>
      <w:r w:rsidRPr="00F80910">
        <w:rPr>
          <w:rStyle w:val="TextoNormalNegritaCaracter"/>
        </w:rPr>
        <w:t>Control de constitucionalidad de las normas jurídicas</w:t>
      </w:r>
      <w:bookmarkEnd w:id="989"/>
      <w:r w:rsidRPr="00F80910">
        <w:rPr>
          <w:rStyle w:val="TextoNormalCaracter"/>
        </w:rPr>
        <w:t xml:space="preserve">, Sentencia </w:t>
      </w:r>
      <w:hyperlink w:anchor="SENTENCIA_2015_154" w:history="1">
        <w:r w:rsidRPr="00F80910">
          <w:rPr>
            <w:rStyle w:val="TextoNormalCaracter"/>
          </w:rPr>
          <w:t>154/2015</w:t>
        </w:r>
      </w:hyperlink>
      <w:r w:rsidRPr="00F80910">
        <w:rPr>
          <w:rStyle w:val="TextoNormalCaracter"/>
        </w:rPr>
        <w:t>, f. 7.</w:t>
      </w:r>
    </w:p>
    <w:p w:rsidR="00F80910" w:rsidRPr="00F80910" w:rsidRDefault="00F80910" w:rsidP="00F80910">
      <w:pPr>
        <w:pStyle w:val="TextoNormalSangraFrancesa"/>
        <w:rPr>
          <w:rStyle w:val="TextoNormalCaracter"/>
        </w:rPr>
      </w:pPr>
      <w:bookmarkStart w:id="990" w:name="DESCRIPTORALFABETICO163"/>
      <w:r w:rsidRPr="00F80910">
        <w:rPr>
          <w:rStyle w:val="TextoNormalNegritaCaracter"/>
        </w:rPr>
        <w:t>Control de constitucionalidad de los decretos-leyes</w:t>
      </w:r>
      <w:bookmarkEnd w:id="990"/>
      <w:r w:rsidRPr="00F80910">
        <w:rPr>
          <w:rStyle w:val="TextoNormalCaracter"/>
        </w:rPr>
        <w:t xml:space="preserve">, Sentencias </w:t>
      </w:r>
      <w:hyperlink w:anchor="SENTENCIA_2015_156" w:history="1">
        <w:r w:rsidRPr="00F80910">
          <w:rPr>
            <w:rStyle w:val="TextoNormalCaracter"/>
          </w:rPr>
          <w:t>156/2015</w:t>
        </w:r>
      </w:hyperlink>
      <w:r w:rsidRPr="00F80910">
        <w:rPr>
          <w:rStyle w:val="TextoNormalCaracter"/>
        </w:rPr>
        <w:t xml:space="preserve">, ff. 2, 3; </w:t>
      </w:r>
      <w:hyperlink w:anchor="SENTENCIA_2015_196" w:history="1">
        <w:r w:rsidRPr="00F80910">
          <w:rPr>
            <w:rStyle w:val="TextoNormalCaracter"/>
          </w:rPr>
          <w:t>196/2015</w:t>
        </w:r>
      </w:hyperlink>
      <w:r w:rsidRPr="00F80910">
        <w:rPr>
          <w:rStyle w:val="TextoNormalCaracter"/>
        </w:rPr>
        <w:t xml:space="preserve">, ff. 2 a 4; </w:t>
      </w:r>
      <w:hyperlink w:anchor="SENTENCIA_2015_197" w:history="1">
        <w:r w:rsidRPr="00F80910">
          <w:rPr>
            <w:rStyle w:val="TextoNormalCaracter"/>
          </w:rPr>
          <w:t>197/2015</w:t>
        </w:r>
      </w:hyperlink>
      <w:r w:rsidRPr="00F80910">
        <w:rPr>
          <w:rStyle w:val="TextoNormalCaracter"/>
        </w:rPr>
        <w:t xml:space="preserve">, f. 1; </w:t>
      </w:r>
      <w:hyperlink w:anchor="SENTENCIA_2015_199" w:history="1">
        <w:r w:rsidRPr="00F80910">
          <w:rPr>
            <w:rStyle w:val="TextoNormalCaracter"/>
          </w:rPr>
          <w:t>199/2015</w:t>
        </w:r>
      </w:hyperlink>
      <w:r w:rsidRPr="00F80910">
        <w:rPr>
          <w:rStyle w:val="TextoNormalCaracter"/>
        </w:rPr>
        <w:t xml:space="preserve">, ff. 2, 3; </w:t>
      </w:r>
      <w:hyperlink w:anchor="SENTENCIA_2015_243" w:history="1">
        <w:r w:rsidRPr="00F80910">
          <w:rPr>
            <w:rStyle w:val="TextoNormalCaracter"/>
          </w:rPr>
          <w:t>243/2015</w:t>
        </w:r>
      </w:hyperlink>
      <w:r w:rsidRPr="00F80910">
        <w:rPr>
          <w:rStyle w:val="TextoNormalCaracter"/>
        </w:rPr>
        <w:t>, f. 4.</w:t>
      </w:r>
    </w:p>
    <w:p w:rsidR="00F80910" w:rsidRPr="00F80910" w:rsidRDefault="00F80910" w:rsidP="00F80910">
      <w:pPr>
        <w:pStyle w:val="TextoNormalSangraFrancesa"/>
        <w:rPr>
          <w:rStyle w:val="TextoNormalCaracter"/>
        </w:rPr>
      </w:pPr>
      <w:bookmarkStart w:id="991" w:name="DESCRIPTORALFABETICO259"/>
      <w:r w:rsidRPr="00F80910">
        <w:rPr>
          <w:rStyle w:val="TextoNormalNegritaCaracter"/>
        </w:rPr>
        <w:t>Control financiero</w:t>
      </w:r>
      <w:bookmarkEnd w:id="991"/>
      <w:r w:rsidRPr="00F80910">
        <w:rPr>
          <w:rStyle w:val="TextoNormalCaracter"/>
        </w:rPr>
        <w:t xml:space="preserve">, Auto </w:t>
      </w:r>
      <w:hyperlink w:anchor="AUTO_2015_120" w:history="1">
        <w:r w:rsidRPr="00F80910">
          <w:rPr>
            <w:rStyle w:val="TextoNormalCaracter"/>
          </w:rPr>
          <w:t>120/2015</w:t>
        </w:r>
      </w:hyperlink>
      <w:r w:rsidRPr="00F80910">
        <w:rPr>
          <w:rStyle w:val="TextoNormalCaracter"/>
        </w:rPr>
        <w:t>, ff. 2, 3.</w:t>
      </w:r>
    </w:p>
    <w:p w:rsidR="00F80910" w:rsidRPr="00F80910" w:rsidRDefault="00F80910" w:rsidP="00F80910">
      <w:pPr>
        <w:pStyle w:val="TextoNormalSangraFrancesa"/>
        <w:rPr>
          <w:rStyle w:val="TextoNormalCaracter"/>
        </w:rPr>
      </w:pPr>
      <w:bookmarkStart w:id="992" w:name="DESCRIPTORALFABETICO441"/>
      <w:r w:rsidRPr="00F80910">
        <w:rPr>
          <w:rStyle w:val="TextoNormalNegritaCaracter"/>
        </w:rPr>
        <w:t>Convalidación de decretos-leyes</w:t>
      </w:r>
      <w:bookmarkEnd w:id="992"/>
      <w:r w:rsidRPr="00F80910">
        <w:rPr>
          <w:rStyle w:val="TextoNormalCaracter"/>
        </w:rPr>
        <w:t xml:space="preserve">, Sentencia </w:t>
      </w:r>
      <w:hyperlink w:anchor="SENTENCIA_2015_199" w:history="1">
        <w:r w:rsidRPr="00F80910">
          <w:rPr>
            <w:rStyle w:val="TextoNormalCaracter"/>
          </w:rPr>
          <w:t>199/2015</w:t>
        </w:r>
      </w:hyperlink>
      <w:r w:rsidRPr="00F80910">
        <w:rPr>
          <w:rStyle w:val="TextoNormalCaracter"/>
        </w:rPr>
        <w:t>, f. 11.</w:t>
      </w:r>
    </w:p>
    <w:p w:rsidR="00F80910" w:rsidRPr="00F80910" w:rsidRDefault="00F80910" w:rsidP="00F80910">
      <w:pPr>
        <w:pStyle w:val="TextoNormalSangraFrancesa"/>
        <w:rPr>
          <w:rStyle w:val="TextoNormalCaracter"/>
        </w:rPr>
      </w:pPr>
      <w:bookmarkStart w:id="993" w:name="DESCRIPTORALFABETICO464"/>
      <w:r w:rsidRPr="00F80910">
        <w:rPr>
          <w:rStyle w:val="TextoNormalNegritaCaracter"/>
        </w:rPr>
        <w:t>Convalidaciones legislativas</w:t>
      </w:r>
      <w:bookmarkEnd w:id="993"/>
      <w:r w:rsidRPr="00F80910">
        <w:rPr>
          <w:rStyle w:val="TextoNormalCaracter"/>
        </w:rPr>
        <w:t xml:space="preserve">, Sentencia </w:t>
      </w:r>
      <w:hyperlink w:anchor="SENTENCIA_2015_231" w:history="1">
        <w:r w:rsidRPr="00F80910">
          <w:rPr>
            <w:rStyle w:val="TextoNormalCaracter"/>
          </w:rPr>
          <w:t>231/2015</w:t>
        </w:r>
      </w:hyperlink>
      <w:r w:rsidRPr="00F80910">
        <w:rPr>
          <w:rStyle w:val="TextoNormalCaracter"/>
        </w:rPr>
        <w:t>, ff. 4, 5.</w:t>
      </w:r>
    </w:p>
    <w:p w:rsidR="00F80910" w:rsidRPr="00F80910" w:rsidRDefault="00F80910" w:rsidP="00F80910">
      <w:pPr>
        <w:pStyle w:val="TextoNormalSangraFrancesa"/>
        <w:rPr>
          <w:rStyle w:val="TextoNormalCaracter"/>
        </w:rPr>
      </w:pPr>
      <w:bookmarkStart w:id="994" w:name="DESCRIPTORALFABETICO442"/>
      <w:r w:rsidRPr="00F80910">
        <w:rPr>
          <w:rStyle w:val="TextoNormalNegritaCaracter"/>
        </w:rPr>
        <w:t>Conversión de decretos-leyes en leyes</w:t>
      </w:r>
      <w:bookmarkEnd w:id="994"/>
      <w:r w:rsidRPr="00F80910">
        <w:rPr>
          <w:rStyle w:val="TextoNormalCaracter"/>
        </w:rPr>
        <w:t xml:space="preserve">, Sentencia </w:t>
      </w:r>
      <w:hyperlink w:anchor="SENTENCIA_2015_199" w:history="1">
        <w:r w:rsidRPr="00F80910">
          <w:rPr>
            <w:rStyle w:val="TextoNormalCaracter"/>
          </w:rPr>
          <w:t>199/2015</w:t>
        </w:r>
      </w:hyperlink>
      <w:r w:rsidRPr="00F80910">
        <w:rPr>
          <w:rStyle w:val="TextoNormalCaracter"/>
        </w:rPr>
        <w:t>, f. 2.</w:t>
      </w:r>
    </w:p>
    <w:p w:rsidR="00F80910" w:rsidRPr="00F80910" w:rsidRDefault="00F80910" w:rsidP="00F80910">
      <w:pPr>
        <w:pStyle w:val="TextoNormalSangraFrancesa"/>
        <w:rPr>
          <w:rStyle w:val="TextoNormalCaracter"/>
        </w:rPr>
      </w:pPr>
      <w:bookmarkStart w:id="995" w:name="DESCRIPTORALFABETICO400"/>
      <w:r w:rsidRPr="00F80910">
        <w:rPr>
          <w:rStyle w:val="TextoNormalNegritaCaracter"/>
        </w:rPr>
        <w:t>Convocatoria de subvenciones públicas</w:t>
      </w:r>
      <w:bookmarkEnd w:id="995"/>
      <w:r w:rsidRPr="00F80910">
        <w:rPr>
          <w:rStyle w:val="TextoNormalCaracter"/>
        </w:rPr>
        <w:t xml:space="preserve">, Sentencia </w:t>
      </w:r>
      <w:hyperlink w:anchor="SENTENCIA_2015_178" w:history="1">
        <w:r w:rsidRPr="00F80910">
          <w:rPr>
            <w:rStyle w:val="TextoNormalCaracter"/>
          </w:rPr>
          <w:t>178/2015</w:t>
        </w:r>
      </w:hyperlink>
      <w:r w:rsidRPr="00F80910">
        <w:rPr>
          <w:rStyle w:val="TextoNormalCaracter"/>
        </w:rPr>
        <w:t>, ff. 1, 2.</w:t>
      </w:r>
    </w:p>
    <w:p w:rsidR="00F80910" w:rsidRPr="00F80910" w:rsidRDefault="00F80910" w:rsidP="00F80910">
      <w:pPr>
        <w:pStyle w:val="TextoNormalSangraFrancesa"/>
        <w:rPr>
          <w:rStyle w:val="TextoNormalCaracter"/>
        </w:rPr>
      </w:pPr>
      <w:bookmarkStart w:id="996" w:name="DESCRIPTORALFABETICO407"/>
      <w:r w:rsidRPr="00F80910">
        <w:rPr>
          <w:rStyle w:val="TextoNormalNegritaCaracter"/>
        </w:rPr>
        <w:t>Coordinación de policías locales</w:t>
      </w:r>
      <w:bookmarkEnd w:id="996"/>
      <w:r w:rsidRPr="00F80910">
        <w:rPr>
          <w:rStyle w:val="TextoNormalCaracter"/>
        </w:rPr>
        <w:t xml:space="preserve">, Sentencia </w:t>
      </w:r>
      <w:hyperlink w:anchor="SENTENCIA_2015_200" w:history="1">
        <w:r w:rsidRPr="00F80910">
          <w:rPr>
            <w:rStyle w:val="TextoNormalCaracter"/>
          </w:rPr>
          <w:t>200/2015</w:t>
        </w:r>
      </w:hyperlink>
      <w:r w:rsidRPr="00F80910">
        <w:rPr>
          <w:rStyle w:val="TextoNormalCaracter"/>
        </w:rPr>
        <w:t>, f. 2.</w:t>
      </w:r>
    </w:p>
    <w:p w:rsidR="00F80910" w:rsidRPr="00F80910" w:rsidRDefault="00F80910" w:rsidP="00F80910">
      <w:pPr>
        <w:pStyle w:val="TextoNormalSangraFrancesa"/>
        <w:rPr>
          <w:rStyle w:val="TextoNormalCaracter"/>
        </w:rPr>
      </w:pPr>
      <w:bookmarkStart w:id="997" w:name="DESCRIPTORALFABETICO264"/>
      <w:r w:rsidRPr="00F80910">
        <w:rPr>
          <w:rStyle w:val="TextoNormalNegritaCaracter"/>
        </w:rPr>
        <w:t>Coordinación entre el Estado y las Comunidades Autónomas</w:t>
      </w:r>
      <w:bookmarkEnd w:id="997"/>
      <w:r w:rsidRPr="00F80910">
        <w:rPr>
          <w:rStyle w:val="TextoNormalCaracter"/>
        </w:rPr>
        <w:t xml:space="preserve">, Sentencia </w:t>
      </w:r>
      <w:hyperlink w:anchor="SENTENCIA_2015_197" w:history="1">
        <w:r w:rsidRPr="00F80910">
          <w:rPr>
            <w:rStyle w:val="TextoNormalCaracter"/>
          </w:rPr>
          <w:t>197/2015</w:t>
        </w:r>
      </w:hyperlink>
      <w:r w:rsidRPr="00F80910">
        <w:rPr>
          <w:rStyle w:val="TextoNormalCaracter"/>
        </w:rPr>
        <w:t>, ff. 4 a 7.</w:t>
      </w:r>
    </w:p>
    <w:p w:rsidR="00F80910" w:rsidRPr="00F80910" w:rsidRDefault="00F80910" w:rsidP="00F80910">
      <w:pPr>
        <w:pStyle w:val="TextoNormalSangraFrancesa"/>
        <w:rPr>
          <w:rStyle w:val="TextoNormalCaracter"/>
        </w:rPr>
      </w:pPr>
      <w:bookmarkStart w:id="998" w:name="DESCRIPTORALFABETICO265"/>
      <w:r w:rsidRPr="00F80910">
        <w:rPr>
          <w:rStyle w:val="TextoNormalNegritaCaracter"/>
        </w:rPr>
        <w:t>Coordinación presupuestaria entre el Estado y las Comunidades Autónomas</w:t>
      </w:r>
      <w:bookmarkEnd w:id="998"/>
      <w:r w:rsidRPr="00F80910">
        <w:rPr>
          <w:rStyle w:val="TextoNormalCaracter"/>
        </w:rPr>
        <w:t xml:space="preserve">, Sentencia </w:t>
      </w:r>
      <w:hyperlink w:anchor="SENTENCIA_2015_215" w:history="1">
        <w:r w:rsidRPr="00F80910">
          <w:rPr>
            <w:rStyle w:val="TextoNormalCaracter"/>
          </w:rPr>
          <w:t>215/2015</w:t>
        </w:r>
      </w:hyperlink>
      <w:r w:rsidRPr="00F80910">
        <w:rPr>
          <w:rStyle w:val="TextoNormalCaracter"/>
        </w:rPr>
        <w:t>, f. 6.</w:t>
      </w:r>
    </w:p>
    <w:p w:rsidR="00F80910" w:rsidRPr="00F80910" w:rsidRDefault="00F80910" w:rsidP="00F80910">
      <w:pPr>
        <w:pStyle w:val="TextoNormalSangraFrancesa"/>
        <w:rPr>
          <w:rStyle w:val="TextoNormalCaracter"/>
        </w:rPr>
      </w:pPr>
      <w:bookmarkStart w:id="999" w:name="DESCRIPTORALFABETICO63"/>
      <w:r w:rsidRPr="00F80910">
        <w:rPr>
          <w:rStyle w:val="TextoNormalNegritaCaracter"/>
        </w:rPr>
        <w:t>Corona</w:t>
      </w:r>
      <w:bookmarkEnd w:id="999"/>
      <w:r w:rsidRPr="00F80910">
        <w:rPr>
          <w:rStyle w:val="TextoNormalCaracter"/>
        </w:rPr>
        <w:t xml:space="preserve">, Sentencia </w:t>
      </w:r>
      <w:hyperlink w:anchor="SENTENCIA_2015_177" w:history="1">
        <w:r w:rsidRPr="00F80910">
          <w:rPr>
            <w:rStyle w:val="TextoNormalCaracter"/>
          </w:rPr>
          <w:t>177/2015</w:t>
        </w:r>
      </w:hyperlink>
      <w:r w:rsidRPr="00F80910">
        <w:rPr>
          <w:rStyle w:val="TextoNormalCaracter"/>
        </w:rPr>
        <w:t>, ff. 3, 4.</w:t>
      </w:r>
    </w:p>
    <w:p w:rsidR="00F80910" w:rsidRPr="00F80910" w:rsidRDefault="00F80910" w:rsidP="00F80910">
      <w:pPr>
        <w:pStyle w:val="TextoNormalSangraFrancesa"/>
        <w:rPr>
          <w:rStyle w:val="TextoNormalCaracter"/>
        </w:rPr>
      </w:pPr>
      <w:bookmarkStart w:id="1000" w:name="DESCRIPTORALFABETICO533"/>
      <w:r w:rsidRPr="00F80910">
        <w:rPr>
          <w:rStyle w:val="TextoNormalNegritaCaracter"/>
        </w:rPr>
        <w:t>Cosa juzgada</w:t>
      </w:r>
      <w:bookmarkEnd w:id="1000"/>
      <w:r w:rsidRPr="00F80910">
        <w:rPr>
          <w:rStyle w:val="TextoNormalCaracter"/>
        </w:rPr>
        <w:t xml:space="preserve">, Sentencia </w:t>
      </w:r>
      <w:hyperlink w:anchor="SENTENCIA_2015_233" w:history="1">
        <w:r w:rsidRPr="00F80910">
          <w:rPr>
            <w:rStyle w:val="TextoNormalCaracter"/>
          </w:rPr>
          <w:t>233/2015</w:t>
        </w:r>
      </w:hyperlink>
      <w:r w:rsidRPr="00F80910">
        <w:rPr>
          <w:rStyle w:val="TextoNormalCaracter"/>
        </w:rPr>
        <w:t>, f. 13.</w:t>
      </w:r>
    </w:p>
    <w:p w:rsidR="00F80910" w:rsidRPr="00F80910" w:rsidRDefault="00F80910" w:rsidP="00F80910">
      <w:pPr>
        <w:pStyle w:val="TextoNormalSangraFrancesa"/>
        <w:rPr>
          <w:rStyle w:val="TextoNormalCaracter"/>
        </w:rPr>
      </w:pPr>
      <w:bookmarkStart w:id="1001" w:name="DESCRIPTORALFABETICO370"/>
      <w:r w:rsidRPr="00F80910">
        <w:rPr>
          <w:rStyle w:val="TextoNormalNegritaCaracter"/>
        </w:rPr>
        <w:t>Costas</w:t>
      </w:r>
      <w:bookmarkEnd w:id="1001"/>
      <w:r w:rsidRPr="00F80910">
        <w:rPr>
          <w:rStyle w:val="TextoNormalCaracter"/>
        </w:rPr>
        <w:t xml:space="preserve">, Sentencia </w:t>
      </w:r>
      <w:hyperlink w:anchor="SENTENCIA_2015_233" w:history="1">
        <w:r w:rsidRPr="00F80910">
          <w:rPr>
            <w:rStyle w:val="TextoNormalCaracter"/>
          </w:rPr>
          <w:t>233/2015</w:t>
        </w:r>
      </w:hyperlink>
      <w:r w:rsidRPr="00F80910">
        <w:rPr>
          <w:rStyle w:val="TextoNormalCaracter"/>
        </w:rPr>
        <w:t>, f. 1.</w:t>
      </w:r>
    </w:p>
    <w:p w:rsidR="00F80910" w:rsidRPr="00F80910" w:rsidRDefault="00F80910" w:rsidP="00F80910">
      <w:pPr>
        <w:pStyle w:val="TextoNormalSangraFrancesa"/>
        <w:rPr>
          <w:rStyle w:val="TextoNormalCaracter"/>
        </w:rPr>
      </w:pPr>
      <w:bookmarkStart w:id="1002" w:name="DESCRIPTORALFABETICO369"/>
      <w:r w:rsidRPr="00F80910">
        <w:rPr>
          <w:rStyle w:val="TextoNormalNegritaCaracter"/>
        </w:rPr>
        <w:t>Criterios identificadores de los bienes de dominio público</w:t>
      </w:r>
      <w:bookmarkEnd w:id="1002"/>
      <w:r w:rsidRPr="00F80910">
        <w:rPr>
          <w:rStyle w:val="TextoNormalCaracter"/>
        </w:rPr>
        <w:t xml:space="preserve">, Sentencia </w:t>
      </w:r>
      <w:hyperlink w:anchor="SENTENCIA_2015_233" w:history="1">
        <w:r w:rsidRPr="00F80910">
          <w:rPr>
            <w:rStyle w:val="TextoNormalCaracter"/>
          </w:rPr>
          <w:t>233/2015</w:t>
        </w:r>
      </w:hyperlink>
      <w:r w:rsidRPr="00F80910">
        <w:rPr>
          <w:rStyle w:val="TextoNormalCaracter"/>
        </w:rPr>
        <w:t>, f. 3.</w:t>
      </w:r>
    </w:p>
    <w:p w:rsidR="00F80910" w:rsidRPr="00F80910" w:rsidRDefault="00F80910" w:rsidP="00F80910">
      <w:pPr>
        <w:pStyle w:val="TextoNormalSangraFrancesa"/>
        <w:rPr>
          <w:rStyle w:val="TextoNormalCaracter"/>
        </w:rPr>
      </w:pPr>
      <w:bookmarkStart w:id="1003" w:name="DESCRIPTORALFABETICO376"/>
      <w:r w:rsidRPr="00F80910">
        <w:rPr>
          <w:rStyle w:val="TextoNormalNegritaCaracter"/>
        </w:rPr>
        <w:t>Criterios objetivos de selección de alumnos</w:t>
      </w:r>
      <w:bookmarkEnd w:id="1003"/>
      <w:r w:rsidRPr="00F80910">
        <w:rPr>
          <w:rStyle w:val="TextoNormalCaracter"/>
        </w:rPr>
        <w:t xml:space="preserve">, Sentencia </w:t>
      </w:r>
      <w:hyperlink w:anchor="SENTENCIA_2015_271" w:history="1">
        <w:r w:rsidRPr="00F80910">
          <w:rPr>
            <w:rStyle w:val="TextoNormalCaracter"/>
          </w:rPr>
          <w:t>271/2015</w:t>
        </w:r>
      </w:hyperlink>
      <w:r w:rsidRPr="00F80910">
        <w:rPr>
          <w:rStyle w:val="TextoNormalCaracter"/>
        </w:rPr>
        <w:t>, ff. 3 a 5.</w:t>
      </w:r>
    </w:p>
    <w:p w:rsidR="00F80910" w:rsidRPr="00F80910" w:rsidRDefault="00F80910" w:rsidP="00F80910">
      <w:pPr>
        <w:pStyle w:val="TextoNormalSangraFrancesa"/>
        <w:rPr>
          <w:rStyle w:val="TextoNormalCaracter"/>
        </w:rPr>
      </w:pPr>
      <w:bookmarkStart w:id="1004" w:name="DESCRIPTORALFABETICO433"/>
      <w:r w:rsidRPr="00F80910">
        <w:rPr>
          <w:rStyle w:val="TextoNormalNegritaCaracter"/>
        </w:rPr>
        <w:t>Criterios objetivos de valoración urbanística</w:t>
      </w:r>
      <w:bookmarkEnd w:id="1004"/>
      <w:r w:rsidRPr="00F80910">
        <w:rPr>
          <w:rStyle w:val="TextoNormalCaracter"/>
        </w:rPr>
        <w:t xml:space="preserve">, Sentencias </w:t>
      </w:r>
      <w:hyperlink w:anchor="SENTENCIA_2015_218" w:history="1">
        <w:r w:rsidRPr="00F80910">
          <w:rPr>
            <w:rStyle w:val="TextoNormalCaracter"/>
          </w:rPr>
          <w:t>218/2015</w:t>
        </w:r>
      </w:hyperlink>
      <w:r w:rsidRPr="00F80910">
        <w:rPr>
          <w:rStyle w:val="TextoNormalCaracter"/>
        </w:rPr>
        <w:t xml:space="preserve">, ff. 4, 5, VP III; </w:t>
      </w:r>
      <w:hyperlink w:anchor="SENTENCIA_2015_244" w:history="1">
        <w:r w:rsidRPr="00F80910">
          <w:rPr>
            <w:rStyle w:val="TextoNormalCaracter"/>
          </w:rPr>
          <w:t>244/2015</w:t>
        </w:r>
      </w:hyperlink>
      <w:r w:rsidRPr="00F80910">
        <w:rPr>
          <w:rStyle w:val="TextoNormalCaracter"/>
        </w:rPr>
        <w:t>, f. 2.</w:t>
      </w:r>
    </w:p>
    <w:p w:rsidR="00F80910" w:rsidRPr="00F80910" w:rsidRDefault="00F80910" w:rsidP="00F80910">
      <w:pPr>
        <w:pStyle w:val="TextoNormalSangraFrancesa"/>
        <w:rPr>
          <w:rStyle w:val="TextoNormalCaracter"/>
        </w:rPr>
      </w:pPr>
      <w:bookmarkStart w:id="1005" w:name="DESCRIPTORALFABETICO137"/>
      <w:r w:rsidRPr="00F80910">
        <w:rPr>
          <w:rStyle w:val="TextoNormalNegritaCaracter"/>
        </w:rPr>
        <w:t>Crítica a la actividad profesional</w:t>
      </w:r>
      <w:bookmarkEnd w:id="1005"/>
      <w:r w:rsidRPr="00F80910">
        <w:rPr>
          <w:rStyle w:val="TextoNormalCaracter"/>
        </w:rPr>
        <w:t xml:space="preserve">, Sentencia </w:t>
      </w:r>
      <w:hyperlink w:anchor="SENTENCIA_2015_203" w:history="1">
        <w:r w:rsidRPr="00F80910">
          <w:rPr>
            <w:rStyle w:val="TextoNormalCaracter"/>
          </w:rPr>
          <w:t>203/2015</w:t>
        </w:r>
      </w:hyperlink>
      <w:r w:rsidRPr="00F80910">
        <w:rPr>
          <w:rStyle w:val="TextoNormalCaracter"/>
        </w:rPr>
        <w:t>, f. 6.</w:t>
      </w:r>
    </w:p>
    <w:p w:rsidR="00F80910" w:rsidRPr="00F80910" w:rsidRDefault="00F80910" w:rsidP="00F80910">
      <w:pPr>
        <w:pStyle w:val="TextoNormalSangraFrancesa"/>
        <w:rPr>
          <w:rStyle w:val="TextoNormalCaracter"/>
        </w:rPr>
      </w:pPr>
      <w:bookmarkStart w:id="1006" w:name="DESCRIPTORALFABETICO138"/>
      <w:r w:rsidRPr="00F80910">
        <w:rPr>
          <w:rStyle w:val="TextoNormalNegritaCaracter"/>
        </w:rPr>
        <w:t>Crítica política</w:t>
      </w:r>
      <w:bookmarkEnd w:id="1006"/>
      <w:r w:rsidRPr="00F80910">
        <w:rPr>
          <w:rStyle w:val="TextoNormalCaracter"/>
        </w:rPr>
        <w:t xml:space="preserve">, Sentencia </w:t>
      </w:r>
      <w:hyperlink w:anchor="SENTENCIA_2015_177" w:history="1">
        <w:r w:rsidRPr="00F80910">
          <w:rPr>
            <w:rStyle w:val="TextoNormalCaracter"/>
          </w:rPr>
          <w:t>177/2015</w:t>
        </w:r>
      </w:hyperlink>
      <w:r w:rsidRPr="00F80910">
        <w:rPr>
          <w:rStyle w:val="TextoNormalCaracter"/>
        </w:rPr>
        <w:t>, ff. 2 a 4.</w:t>
      </w:r>
    </w:p>
    <w:p w:rsidR="00F80910" w:rsidRPr="00F80910" w:rsidRDefault="00F80910" w:rsidP="00F80910">
      <w:pPr>
        <w:pStyle w:val="TextoNormalSangraFrancesa"/>
        <w:rPr>
          <w:rStyle w:val="TextoNormalCaracter"/>
        </w:rPr>
      </w:pPr>
      <w:bookmarkStart w:id="1007" w:name="DESCRIPTORALFABETICO136"/>
      <w:r w:rsidRPr="00F80910">
        <w:rPr>
          <w:rStyle w:val="TextoNormalNegritaCaracter"/>
        </w:rPr>
        <w:t>Críticas públicas</w:t>
      </w:r>
      <w:bookmarkEnd w:id="1007"/>
      <w:r w:rsidRPr="00F80910">
        <w:rPr>
          <w:rStyle w:val="TextoNormalCaracter"/>
        </w:rPr>
        <w:t xml:space="preserve">, Sentencia </w:t>
      </w:r>
      <w:hyperlink w:anchor="SENTENCIA_2015_177" w:history="1">
        <w:r w:rsidRPr="00F80910">
          <w:rPr>
            <w:rStyle w:val="TextoNormalCaracter"/>
          </w:rPr>
          <w:t>177/2015</w:t>
        </w:r>
      </w:hyperlink>
      <w:r w:rsidRPr="00F80910">
        <w:rPr>
          <w:rStyle w:val="TextoNormalCaracter"/>
        </w:rPr>
        <w:t>, ff. 2 a 4.</w:t>
      </w:r>
    </w:p>
    <w:p w:rsidR="00F80910" w:rsidRPr="00F80910" w:rsidRDefault="00F80910" w:rsidP="00F80910">
      <w:pPr>
        <w:pStyle w:val="TextoNormalSangraFrancesa"/>
        <w:rPr>
          <w:rStyle w:val="TextoNormalCaracter"/>
        </w:rPr>
      </w:pPr>
      <w:bookmarkStart w:id="1008" w:name="DESCRIPTORALFABETICO61"/>
      <w:r w:rsidRPr="00F80910">
        <w:rPr>
          <w:rStyle w:val="TextoNormalNegritaCaracter"/>
        </w:rPr>
        <w:t>Cuantía de las tasas</w:t>
      </w:r>
      <w:bookmarkEnd w:id="1008"/>
      <w:r w:rsidRPr="00F80910">
        <w:rPr>
          <w:rStyle w:val="TextoNormalCaracter"/>
        </w:rPr>
        <w:t xml:space="preserve">, Auto </w:t>
      </w:r>
      <w:hyperlink w:anchor="AUTO_2015_195" w:history="1">
        <w:r w:rsidRPr="00F80910">
          <w:rPr>
            <w:rStyle w:val="TextoNormalCaracter"/>
          </w:rPr>
          <w:t>195/2015</w:t>
        </w:r>
      </w:hyperlink>
      <w:r w:rsidRPr="00F80910">
        <w:rPr>
          <w:rStyle w:val="TextoNormalCaracter"/>
        </w:rPr>
        <w:t>, f. 1.</w:t>
      </w:r>
    </w:p>
    <w:p w:rsidR="00F80910" w:rsidRPr="00F80910" w:rsidRDefault="00F80910" w:rsidP="00F80910">
      <w:pPr>
        <w:pStyle w:val="TextoNormalSangraFrancesa"/>
        <w:rPr>
          <w:rStyle w:val="TextoNormalCaracter"/>
        </w:rPr>
      </w:pPr>
      <w:bookmarkStart w:id="1009" w:name="DESCRIPTORALFABETICO351"/>
      <w:r w:rsidRPr="00F80910">
        <w:rPr>
          <w:rStyle w:val="TextoNormalNegritaCaracter"/>
        </w:rPr>
        <w:t>Cuencas hidrográficas</w:t>
      </w:r>
      <w:bookmarkEnd w:id="1009"/>
      <w:r w:rsidRPr="00F80910">
        <w:rPr>
          <w:rStyle w:val="TextoNormalCaracter"/>
        </w:rPr>
        <w:t xml:space="preserve">, Sentencia </w:t>
      </w:r>
      <w:hyperlink w:anchor="SENTENCIA_2015_231" w:history="1">
        <w:r w:rsidRPr="00F80910">
          <w:rPr>
            <w:rStyle w:val="TextoNormalCaracter"/>
          </w:rPr>
          <w:t>231/2015</w:t>
        </w:r>
      </w:hyperlink>
      <w:r w:rsidRPr="00F80910">
        <w:rPr>
          <w:rStyle w:val="TextoNormalCaracter"/>
        </w:rPr>
        <w:t>, ff. 1, 2, 3, 5.</w:t>
      </w:r>
    </w:p>
    <w:p w:rsidR="00F80910" w:rsidRPr="00F80910" w:rsidRDefault="00F80910" w:rsidP="00F80910">
      <w:pPr>
        <w:pStyle w:val="TextoNormalSangraFrancesa"/>
        <w:rPr>
          <w:rStyle w:val="TextoNormalCaracter"/>
        </w:rPr>
      </w:pPr>
      <w:bookmarkStart w:id="1010" w:name="DESCRIPTORALFABETICO323"/>
      <w:r w:rsidRPr="00F80910">
        <w:rPr>
          <w:rStyle w:val="TextoNormalNegritaCaracter"/>
        </w:rPr>
        <w:t>Cuerpos docentes universitarios</w:t>
      </w:r>
      <w:bookmarkEnd w:id="1010"/>
      <w:r w:rsidRPr="00F80910">
        <w:rPr>
          <w:rStyle w:val="TextoNormalCaracter"/>
        </w:rPr>
        <w:t xml:space="preserve">, Sentencia </w:t>
      </w:r>
      <w:hyperlink w:anchor="SENTENCIA_2015_176" w:history="1">
        <w:r w:rsidRPr="00F80910">
          <w:rPr>
            <w:rStyle w:val="TextoNormalCaracter"/>
          </w:rPr>
          <w:t>176/2015</w:t>
        </w:r>
      </w:hyperlink>
      <w:r w:rsidRPr="00F80910">
        <w:rPr>
          <w:rStyle w:val="TextoNormalCaracter"/>
        </w:rPr>
        <w:t>, ff. 5, VP.</w:t>
      </w:r>
    </w:p>
    <w:p w:rsidR="00F80910" w:rsidRPr="00F80910" w:rsidRDefault="00F80910" w:rsidP="00F80910">
      <w:pPr>
        <w:pStyle w:val="TextoNormalSangraFrancesa"/>
        <w:rPr>
          <w:rStyle w:val="TextoNormalCaracter"/>
        </w:rPr>
      </w:pPr>
      <w:bookmarkStart w:id="1011" w:name="DESCRIPTORALFABETICO205"/>
      <w:r w:rsidRPr="00F80910">
        <w:rPr>
          <w:rStyle w:val="TextoNormalNegritaCaracter"/>
        </w:rPr>
        <w:t>Cuestión de inconstitucionalidad notoriamente infundada</w:t>
      </w:r>
      <w:bookmarkEnd w:id="1011"/>
      <w:r w:rsidRPr="00F80910">
        <w:rPr>
          <w:rStyle w:val="TextoNormalCaracter"/>
        </w:rPr>
        <w:t xml:space="preserve">, Autos </w:t>
      </w:r>
      <w:hyperlink w:anchor="AUTO_2015_121" w:history="1">
        <w:r w:rsidRPr="00F80910">
          <w:rPr>
            <w:rStyle w:val="TextoNormalCaracter"/>
          </w:rPr>
          <w:t>121/2015</w:t>
        </w:r>
      </w:hyperlink>
      <w:r w:rsidRPr="00F80910">
        <w:rPr>
          <w:rStyle w:val="TextoNormalCaracter"/>
        </w:rPr>
        <w:t xml:space="preserve">, f. 2; </w:t>
      </w:r>
      <w:hyperlink w:anchor="AUTO_2015_145" w:history="1">
        <w:r w:rsidRPr="00F80910">
          <w:rPr>
            <w:rStyle w:val="TextoNormalCaracter"/>
          </w:rPr>
          <w:t>145/2015</w:t>
        </w:r>
      </w:hyperlink>
      <w:r w:rsidRPr="00F80910">
        <w:rPr>
          <w:rStyle w:val="TextoNormalCaracter"/>
        </w:rPr>
        <w:t xml:space="preserve">; </w:t>
      </w:r>
      <w:hyperlink w:anchor="AUTO_2015_146" w:history="1">
        <w:r w:rsidRPr="00F80910">
          <w:rPr>
            <w:rStyle w:val="TextoNormalCaracter"/>
          </w:rPr>
          <w:t>146/2015</w:t>
        </w:r>
      </w:hyperlink>
      <w:r w:rsidRPr="00F80910">
        <w:rPr>
          <w:rStyle w:val="TextoNormalCaracter"/>
        </w:rPr>
        <w:t xml:space="preserve">; </w:t>
      </w:r>
      <w:hyperlink w:anchor="AUTO_2015_184" w:history="1">
        <w:r w:rsidRPr="00F80910">
          <w:rPr>
            <w:rStyle w:val="TextoNormalCaracter"/>
          </w:rPr>
          <w:t>184/2015</w:t>
        </w:r>
      </w:hyperlink>
      <w:r w:rsidRPr="00F80910">
        <w:rPr>
          <w:rStyle w:val="TextoNormalCaracter"/>
        </w:rPr>
        <w:t xml:space="preserve">, f. 2, 3; </w:t>
      </w:r>
      <w:hyperlink w:anchor="AUTO_2015_201" w:history="1">
        <w:r w:rsidRPr="00F80910">
          <w:rPr>
            <w:rStyle w:val="TextoNormalCaracter"/>
          </w:rPr>
          <w:t>201/2015</w:t>
        </w:r>
      </w:hyperlink>
      <w:r w:rsidRPr="00F80910">
        <w:rPr>
          <w:rStyle w:val="TextoNormalCaracter"/>
        </w:rPr>
        <w:t xml:space="preserve">, f. 3; </w:t>
      </w:r>
      <w:hyperlink w:anchor="AUTO_2015_224" w:history="1">
        <w:r w:rsidRPr="00F80910">
          <w:rPr>
            <w:rStyle w:val="TextoNormalCaracter"/>
          </w:rPr>
          <w:t>224/2015</w:t>
        </w:r>
      </w:hyperlink>
      <w:r w:rsidRPr="00F80910">
        <w:rPr>
          <w:rStyle w:val="TextoNormalCaracter"/>
        </w:rPr>
        <w:t xml:space="preserve">, f. 3; </w:t>
      </w:r>
      <w:hyperlink w:anchor="AUTO_2015_227" w:history="1">
        <w:r w:rsidRPr="00F80910">
          <w:rPr>
            <w:rStyle w:val="TextoNormalCaracter"/>
          </w:rPr>
          <w:t>227/2015</w:t>
        </w:r>
      </w:hyperlink>
      <w:r w:rsidRPr="00F80910">
        <w:rPr>
          <w:rStyle w:val="TextoNormalCaracter"/>
        </w:rPr>
        <w:t xml:space="preserve">, f. 4; </w:t>
      </w:r>
      <w:hyperlink w:anchor="AUTO_2015_228" w:history="1">
        <w:r w:rsidRPr="00F80910">
          <w:rPr>
            <w:rStyle w:val="TextoNormalCaracter"/>
          </w:rPr>
          <w:t>228/2015</w:t>
        </w:r>
      </w:hyperlink>
      <w:r w:rsidRPr="00F80910">
        <w:rPr>
          <w:rStyle w:val="TextoNormalCaracter"/>
        </w:rPr>
        <w:t xml:space="preserve">, ff. 3 y 4; </w:t>
      </w:r>
      <w:hyperlink w:anchor="AUTO_2015_229" w:history="1">
        <w:r w:rsidRPr="00F80910">
          <w:rPr>
            <w:rStyle w:val="TextoNormalCaracter"/>
          </w:rPr>
          <w:t>229/2015</w:t>
        </w:r>
      </w:hyperlink>
      <w:r w:rsidRPr="00F80910">
        <w:rPr>
          <w:rStyle w:val="TextoNormalCaracter"/>
        </w:rPr>
        <w:t>, ff. 3 y 4.</w:t>
      </w:r>
    </w:p>
    <w:p w:rsidR="00F80910" w:rsidRPr="00F80910" w:rsidRDefault="00F80910" w:rsidP="00F80910">
      <w:pPr>
        <w:pStyle w:val="TextoNormalSangraFrancesa"/>
        <w:rPr>
          <w:rStyle w:val="TextoNormalCaracter"/>
        </w:rPr>
      </w:pPr>
      <w:bookmarkStart w:id="1012" w:name="DESCRIPTORALFABETICO283"/>
      <w:r w:rsidRPr="00F80910">
        <w:rPr>
          <w:rStyle w:val="TextoNormalNegritaCaracter"/>
        </w:rPr>
        <w:t>Cuestión prejudicial ante el TJUE</w:t>
      </w:r>
      <w:bookmarkEnd w:id="1012"/>
      <w:r w:rsidRPr="00F80910">
        <w:rPr>
          <w:rStyle w:val="TextoNormalCaracter"/>
        </w:rPr>
        <w:t xml:space="preserve">, Sentencia </w:t>
      </w:r>
      <w:hyperlink w:anchor="SENTENCIA_2015_232" w:history="1">
        <w:r w:rsidRPr="00F80910">
          <w:rPr>
            <w:rStyle w:val="TextoNormalCaracter"/>
          </w:rPr>
          <w:t>232/2015</w:t>
        </w:r>
      </w:hyperlink>
      <w:r w:rsidRPr="00F80910">
        <w:rPr>
          <w:rStyle w:val="TextoNormalCaracter"/>
        </w:rPr>
        <w:t>, ff. 4 a 6.</w:t>
      </w:r>
    </w:p>
    <w:p w:rsidR="00F80910" w:rsidRPr="00F80910" w:rsidRDefault="00F80910" w:rsidP="00F80910">
      <w:pPr>
        <w:pStyle w:val="TextoNormalSangraFrancesa"/>
        <w:rPr>
          <w:rStyle w:val="TextoNormalCaracter"/>
        </w:rPr>
      </w:pPr>
      <w:bookmarkStart w:id="1013" w:name="DESCRIPTORALFABETICO247"/>
      <w:r w:rsidRPr="00F80910">
        <w:rPr>
          <w:rStyle w:val="TextoNormalNegritaCaracter"/>
        </w:rPr>
        <w:t>Cuestión prejudicial de validez sobre Normas Forales fiscales</w:t>
      </w:r>
      <w:bookmarkEnd w:id="1013"/>
      <w:r w:rsidRPr="00F80910">
        <w:rPr>
          <w:rStyle w:val="TextoNormalCaracter"/>
        </w:rPr>
        <w:t xml:space="preserve">, Sentencias </w:t>
      </w:r>
      <w:hyperlink w:anchor="SENTENCIA_2015_222" w:history="1">
        <w:r w:rsidRPr="00F80910">
          <w:rPr>
            <w:rStyle w:val="TextoNormalCaracter"/>
          </w:rPr>
          <w:t>222/2015</w:t>
        </w:r>
      </w:hyperlink>
      <w:r w:rsidRPr="00F80910">
        <w:rPr>
          <w:rStyle w:val="TextoNormalCaracter"/>
        </w:rPr>
        <w:t xml:space="preserve">, ff. 1 a 3; </w:t>
      </w:r>
      <w:hyperlink w:anchor="SENTENCIA_2015_239" w:history="1">
        <w:r w:rsidRPr="00F80910">
          <w:rPr>
            <w:rStyle w:val="TextoNormalCaracter"/>
          </w:rPr>
          <w:t>239/2015</w:t>
        </w:r>
      </w:hyperlink>
      <w:r w:rsidRPr="00F80910">
        <w:rPr>
          <w:rStyle w:val="TextoNormalCaracter"/>
        </w:rPr>
        <w:t xml:space="preserve">, ff. 2, 3; </w:t>
      </w:r>
      <w:hyperlink w:anchor="SENTENCIA_2015_240" w:history="1">
        <w:r w:rsidRPr="00F80910">
          <w:rPr>
            <w:rStyle w:val="TextoNormalCaracter"/>
          </w:rPr>
          <w:t>240/2015</w:t>
        </w:r>
      </w:hyperlink>
      <w:r w:rsidRPr="00F80910">
        <w:rPr>
          <w:rStyle w:val="TextoNormalCaracter"/>
        </w:rPr>
        <w:t>, ff. 2, 3.</w:t>
      </w:r>
    </w:p>
    <w:p w:rsidR="00F80910" w:rsidRDefault="00F80910" w:rsidP="00F80910">
      <w:pPr>
        <w:pStyle w:val="TextoNormalSangraFrancesa"/>
      </w:pPr>
    </w:p>
    <w:p w:rsidR="00F80910" w:rsidRDefault="00F80910" w:rsidP="00F80910">
      <w:pPr>
        <w:pStyle w:val="TextoNormalSangraFrancesa"/>
      </w:pPr>
    </w:p>
    <w:p w:rsidR="00F80910" w:rsidRDefault="00F80910" w:rsidP="00F80910">
      <w:pPr>
        <w:pStyle w:val="TextoNormalNegritaCentrado"/>
      </w:pPr>
      <w:r>
        <w:t>D</w:t>
      </w:r>
    </w:p>
    <w:p w:rsidR="00F80910" w:rsidRDefault="00F80910" w:rsidP="00F80910">
      <w:pPr>
        <w:pStyle w:val="TextoNormalNegritaCentrado"/>
      </w:pPr>
    </w:p>
    <w:p w:rsidR="00F80910" w:rsidRPr="00F80910" w:rsidRDefault="00F80910" w:rsidP="00F80910">
      <w:pPr>
        <w:pStyle w:val="TextoNormalSangraFrancesa"/>
        <w:rPr>
          <w:rStyle w:val="TextoNormalCaracter"/>
        </w:rPr>
      </w:pPr>
      <w:bookmarkStart w:id="1014" w:name="DESCRIPTORALFABETICO277"/>
      <w:r w:rsidRPr="00F80910">
        <w:rPr>
          <w:rStyle w:val="TextoNormalNegritaCaracter"/>
        </w:rPr>
        <w:t>Debates parlamentarios</w:t>
      </w:r>
      <w:bookmarkEnd w:id="1014"/>
      <w:r w:rsidRPr="00F80910">
        <w:rPr>
          <w:rStyle w:val="TextoNormalCaracter"/>
        </w:rPr>
        <w:t xml:space="preserve">, Autos </w:t>
      </w:r>
      <w:hyperlink w:anchor="AUTO_2015_189" w:history="1">
        <w:r w:rsidRPr="00F80910">
          <w:rPr>
            <w:rStyle w:val="TextoNormalCaracter"/>
          </w:rPr>
          <w:t>189/2015</w:t>
        </w:r>
      </w:hyperlink>
      <w:r w:rsidRPr="00F80910">
        <w:rPr>
          <w:rStyle w:val="TextoNormalCaracter"/>
        </w:rPr>
        <w:t xml:space="preserve">, f. 3; </w:t>
      </w:r>
      <w:hyperlink w:anchor="AUTO_2015_190" w:history="1">
        <w:r w:rsidRPr="00F80910">
          <w:rPr>
            <w:rStyle w:val="TextoNormalCaracter"/>
          </w:rPr>
          <w:t>190/2015</w:t>
        </w:r>
      </w:hyperlink>
      <w:r w:rsidRPr="00F80910">
        <w:rPr>
          <w:rStyle w:val="TextoNormalCaracter"/>
        </w:rPr>
        <w:t>, f. 3.</w:t>
      </w:r>
    </w:p>
    <w:p w:rsidR="00F80910" w:rsidRPr="00F80910" w:rsidRDefault="00F80910" w:rsidP="00F80910">
      <w:pPr>
        <w:pStyle w:val="TextoNormalSangraFrancesa"/>
        <w:rPr>
          <w:rStyle w:val="TextoNormalCaracter"/>
        </w:rPr>
      </w:pPr>
      <w:bookmarkStart w:id="1015" w:name="DESCRIPTORALFABETICO139"/>
      <w:r w:rsidRPr="00F80910">
        <w:rPr>
          <w:rStyle w:val="TextoNormalNegritaCaracter"/>
        </w:rPr>
        <w:t>Debates públicos</w:t>
      </w:r>
      <w:bookmarkEnd w:id="1015"/>
      <w:r w:rsidRPr="00F80910">
        <w:rPr>
          <w:rStyle w:val="TextoNormalCaracter"/>
        </w:rPr>
        <w:t xml:space="preserve">, Sentencia </w:t>
      </w:r>
      <w:hyperlink w:anchor="SENTENCIA_2015_177" w:history="1">
        <w:r w:rsidRPr="00F80910">
          <w:rPr>
            <w:rStyle w:val="TextoNormalCaracter"/>
          </w:rPr>
          <w:t>177/2015</w:t>
        </w:r>
      </w:hyperlink>
      <w:r w:rsidRPr="00F80910">
        <w:rPr>
          <w:rStyle w:val="TextoNormalCaracter"/>
        </w:rPr>
        <w:t>, f. 4.</w:t>
      </w:r>
    </w:p>
    <w:p w:rsidR="00F80910" w:rsidRPr="00F80910" w:rsidRDefault="00F80910" w:rsidP="00F80910">
      <w:pPr>
        <w:pStyle w:val="TextoNormalSangraFrancesa"/>
        <w:rPr>
          <w:rStyle w:val="TextoNormalCaracter"/>
        </w:rPr>
      </w:pPr>
      <w:bookmarkStart w:id="1016" w:name="DESCRIPTORALFABETICO440"/>
      <w:r w:rsidRPr="00F80910">
        <w:rPr>
          <w:rStyle w:val="TextoNormalNegritaCaracter"/>
        </w:rPr>
        <w:t>Decretos-leyes</w:t>
      </w:r>
      <w:bookmarkEnd w:id="1016"/>
      <w:r w:rsidRPr="00F80910">
        <w:rPr>
          <w:rStyle w:val="TextoNormalCaracter"/>
        </w:rPr>
        <w:t xml:space="preserve">, Sentencias </w:t>
      </w:r>
      <w:hyperlink w:anchor="SENTENCIA_2015_196" w:history="1">
        <w:r w:rsidRPr="00F80910">
          <w:rPr>
            <w:rStyle w:val="TextoNormalCaracter"/>
          </w:rPr>
          <w:t>196/2015</w:t>
        </w:r>
      </w:hyperlink>
      <w:r w:rsidRPr="00F80910">
        <w:rPr>
          <w:rStyle w:val="TextoNormalCaracter"/>
        </w:rPr>
        <w:t xml:space="preserve">, ff. 2 a 6; </w:t>
      </w:r>
      <w:hyperlink w:anchor="SENTENCIA_2015_197" w:history="1">
        <w:r w:rsidRPr="00F80910">
          <w:rPr>
            <w:rStyle w:val="TextoNormalCaracter"/>
          </w:rPr>
          <w:t>197/2015</w:t>
        </w:r>
      </w:hyperlink>
      <w:r w:rsidRPr="00F80910">
        <w:rPr>
          <w:rStyle w:val="TextoNormalCaracter"/>
        </w:rPr>
        <w:t xml:space="preserve">, f. 1; </w:t>
      </w:r>
      <w:hyperlink w:anchor="SENTENCIA_2015_199" w:history="1">
        <w:r w:rsidRPr="00F80910">
          <w:rPr>
            <w:rStyle w:val="TextoNormalCaracter"/>
          </w:rPr>
          <w:t>199/2015</w:t>
        </w:r>
      </w:hyperlink>
      <w:r w:rsidRPr="00F80910">
        <w:rPr>
          <w:rStyle w:val="TextoNormalCaracter"/>
        </w:rPr>
        <w:t xml:space="preserve">, ff. 1 a 11; </w:t>
      </w:r>
      <w:hyperlink w:anchor="SENTENCIA_2015_211" w:history="1">
        <w:r w:rsidRPr="00F80910">
          <w:rPr>
            <w:rStyle w:val="TextoNormalCaracter"/>
          </w:rPr>
          <w:t>211/2015</w:t>
        </w:r>
      </w:hyperlink>
      <w:r w:rsidRPr="00F80910">
        <w:rPr>
          <w:rStyle w:val="TextoNormalCaracter"/>
        </w:rPr>
        <w:t>, ff. 3 a 5.</w:t>
      </w:r>
    </w:p>
    <w:p w:rsidR="00F80910" w:rsidRPr="00F80910" w:rsidRDefault="00F80910" w:rsidP="00F80910">
      <w:pPr>
        <w:pStyle w:val="TextoNormalSangraFrancesa"/>
        <w:rPr>
          <w:rStyle w:val="TextoNormalCaracter"/>
        </w:rPr>
      </w:pPr>
      <w:bookmarkStart w:id="1017" w:name="DESCRIPTORALFABETICO443"/>
      <w:r w:rsidRPr="00F80910">
        <w:rPr>
          <w:rStyle w:val="TextoNormalNegritaCaracter"/>
        </w:rPr>
        <w:t>Decretos-leyes autonómicos</w:t>
      </w:r>
      <w:bookmarkEnd w:id="1017"/>
      <w:r w:rsidRPr="00F80910">
        <w:rPr>
          <w:rStyle w:val="TextoNormalCaracter"/>
        </w:rPr>
        <w:t xml:space="preserve">, Sentencia </w:t>
      </w:r>
      <w:hyperlink w:anchor="SENTENCIA_2015_230" w:history="1">
        <w:r w:rsidRPr="00F80910">
          <w:rPr>
            <w:rStyle w:val="TextoNormalCaracter"/>
          </w:rPr>
          <w:t>230/2015</w:t>
        </w:r>
      </w:hyperlink>
      <w:r w:rsidRPr="00F80910">
        <w:rPr>
          <w:rStyle w:val="TextoNormalCaracter"/>
        </w:rPr>
        <w:t>, ff. 4, 5.</w:t>
      </w:r>
    </w:p>
    <w:p w:rsidR="00F80910" w:rsidRPr="00F80910" w:rsidRDefault="00F80910" w:rsidP="00F80910">
      <w:pPr>
        <w:pStyle w:val="TextoNormalSangraFrancesa"/>
        <w:rPr>
          <w:rStyle w:val="TextoNormalCaracter"/>
        </w:rPr>
      </w:pPr>
      <w:bookmarkStart w:id="1018" w:name="DESCRIPTORALFABETICO561"/>
      <w:r w:rsidRPr="00F80910">
        <w:rPr>
          <w:rStyle w:val="TextoNormalNegritaCaracter"/>
        </w:rPr>
        <w:t>Defectos de representación procesal</w:t>
      </w:r>
      <w:bookmarkEnd w:id="1018"/>
      <w:r w:rsidRPr="00F80910">
        <w:rPr>
          <w:rStyle w:val="TextoNormalCaracter"/>
        </w:rPr>
        <w:t xml:space="preserve">, Sentencia </w:t>
      </w:r>
      <w:hyperlink w:anchor="SENTENCIA_2015_207" w:history="1">
        <w:r w:rsidRPr="00F80910">
          <w:rPr>
            <w:rStyle w:val="TextoNormalCaracter"/>
          </w:rPr>
          <w:t>207/2015</w:t>
        </w:r>
      </w:hyperlink>
      <w:r w:rsidRPr="00F80910">
        <w:rPr>
          <w:rStyle w:val="TextoNormalCaracter"/>
        </w:rPr>
        <w:t>, ff. 1, 3.</w:t>
      </w:r>
    </w:p>
    <w:p w:rsidR="00F80910" w:rsidRPr="00F80910" w:rsidRDefault="00F80910" w:rsidP="00F80910">
      <w:pPr>
        <w:pStyle w:val="TextoNormalSangraFrancesa"/>
        <w:rPr>
          <w:rStyle w:val="TextoNormalCaracter"/>
        </w:rPr>
      </w:pPr>
      <w:bookmarkStart w:id="1019" w:name="DESCRIPTORALFABETICO52"/>
      <w:r w:rsidRPr="00F80910">
        <w:rPr>
          <w:rStyle w:val="TextoNormalNegritaCaracter"/>
        </w:rPr>
        <w:t>Déficit público</w:t>
      </w:r>
      <w:bookmarkEnd w:id="1019"/>
      <w:r w:rsidRPr="00F80910">
        <w:rPr>
          <w:rStyle w:val="TextoNormalCaracter"/>
        </w:rPr>
        <w:t xml:space="preserve">, Sentencias </w:t>
      </w:r>
      <w:hyperlink w:anchor="SENTENCIA_2015_215" w:history="1">
        <w:r w:rsidRPr="00F80910">
          <w:rPr>
            <w:rStyle w:val="TextoNormalCaracter"/>
          </w:rPr>
          <w:t>215/2015</w:t>
        </w:r>
      </w:hyperlink>
      <w:r w:rsidRPr="00F80910">
        <w:rPr>
          <w:rStyle w:val="TextoNormalCaracter"/>
        </w:rPr>
        <w:t xml:space="preserve">, ff. 4 a 6; </w:t>
      </w:r>
      <w:hyperlink w:anchor="SENTENCIA_2015_230" w:history="1">
        <w:r w:rsidRPr="00F80910">
          <w:rPr>
            <w:rStyle w:val="TextoNormalCaracter"/>
          </w:rPr>
          <w:t>230/2015</w:t>
        </w:r>
      </w:hyperlink>
      <w:r w:rsidRPr="00F80910">
        <w:rPr>
          <w:rStyle w:val="TextoNormalCaracter"/>
        </w:rPr>
        <w:t xml:space="preserve">, f. 5; </w:t>
      </w:r>
      <w:hyperlink w:anchor="SENTENCIA_2015_241" w:history="1">
        <w:r w:rsidRPr="00F80910">
          <w:rPr>
            <w:rStyle w:val="TextoNormalCaracter"/>
          </w:rPr>
          <w:t>241/2015</w:t>
        </w:r>
      </w:hyperlink>
      <w:r w:rsidRPr="00F80910">
        <w:rPr>
          <w:rStyle w:val="TextoNormalCaracter"/>
        </w:rPr>
        <w:t xml:space="preserve">, f. 1; </w:t>
      </w:r>
      <w:hyperlink w:anchor="SENTENCIA_2015_243" w:history="1">
        <w:r w:rsidRPr="00F80910">
          <w:rPr>
            <w:rStyle w:val="TextoNormalCaracter"/>
          </w:rPr>
          <w:t>243/2015</w:t>
        </w:r>
      </w:hyperlink>
      <w:r w:rsidRPr="00F80910">
        <w:rPr>
          <w:rStyle w:val="TextoNormalCaracter"/>
        </w:rPr>
        <w:t>, ff. 2, 3.</w:t>
      </w:r>
    </w:p>
    <w:p w:rsidR="00F80910" w:rsidRPr="00F80910" w:rsidRDefault="00F80910" w:rsidP="00F80910">
      <w:pPr>
        <w:pStyle w:val="TextoNormalSangraFrancesa"/>
        <w:rPr>
          <w:rStyle w:val="TextoNormalCaracter"/>
        </w:rPr>
      </w:pPr>
      <w:bookmarkStart w:id="1020" w:name="DESCRIPTORALFABETICO385"/>
      <w:r w:rsidRPr="00F80910">
        <w:rPr>
          <w:rStyle w:val="TextoNormalNegritaCaracter"/>
        </w:rPr>
        <w:t>Déficit tarifario del sistema eléctrico</w:t>
      </w:r>
      <w:bookmarkEnd w:id="1020"/>
      <w:r w:rsidRPr="00F80910">
        <w:rPr>
          <w:rStyle w:val="TextoNormalCaracter"/>
        </w:rPr>
        <w:t xml:space="preserve">, Sentencia </w:t>
      </w:r>
      <w:hyperlink w:anchor="SENTENCIA_2015_270" w:history="1">
        <w:r w:rsidRPr="00F80910">
          <w:rPr>
            <w:rStyle w:val="TextoNormalCaracter"/>
          </w:rPr>
          <w:t>270/2015</w:t>
        </w:r>
      </w:hyperlink>
      <w:r w:rsidRPr="00F80910">
        <w:rPr>
          <w:rStyle w:val="TextoNormalCaracter"/>
        </w:rPr>
        <w:t>, ff. 1, 4 a 7.</w:t>
      </w:r>
    </w:p>
    <w:p w:rsidR="00F80910" w:rsidRPr="00F80910" w:rsidRDefault="00F80910" w:rsidP="00F80910">
      <w:pPr>
        <w:pStyle w:val="TextoNormalSangraFrancesa"/>
        <w:rPr>
          <w:rStyle w:val="TextoNormalCaracter"/>
        </w:rPr>
      </w:pPr>
      <w:bookmarkStart w:id="1021" w:name="DESCRIPTORALFABETICO140"/>
      <w:r w:rsidRPr="00F80910">
        <w:rPr>
          <w:rStyle w:val="TextoNormalNegritaCaracter"/>
        </w:rPr>
        <w:t>Delimitación de los derechos a la libre expresión e información</w:t>
      </w:r>
      <w:bookmarkEnd w:id="1021"/>
      <w:r w:rsidRPr="00F80910">
        <w:rPr>
          <w:rStyle w:val="TextoNormalCaracter"/>
        </w:rPr>
        <w:t xml:space="preserve">, Sentencia </w:t>
      </w:r>
      <w:hyperlink w:anchor="SENTENCIA_2015_177" w:history="1">
        <w:r w:rsidRPr="00F80910">
          <w:rPr>
            <w:rStyle w:val="TextoNormalCaracter"/>
          </w:rPr>
          <w:t>177/2015</w:t>
        </w:r>
      </w:hyperlink>
      <w:r w:rsidRPr="00F80910">
        <w:rPr>
          <w:rStyle w:val="TextoNormalCaracter"/>
        </w:rPr>
        <w:t>, ff. 2, 3.</w:t>
      </w:r>
    </w:p>
    <w:p w:rsidR="00F80910" w:rsidRPr="00F80910" w:rsidRDefault="00F80910" w:rsidP="00F80910">
      <w:pPr>
        <w:pStyle w:val="TextoNormalSangraFrancesa"/>
        <w:rPr>
          <w:rStyle w:val="TextoNormalCaracter"/>
        </w:rPr>
      </w:pPr>
      <w:bookmarkStart w:id="1022" w:name="DESCRIPTORALFABETICO363"/>
      <w:r w:rsidRPr="00F80910">
        <w:rPr>
          <w:rStyle w:val="TextoNormalNegritaCaracter"/>
        </w:rPr>
        <w:t>Delimitación del derecho de propiedad</w:t>
      </w:r>
      <w:bookmarkEnd w:id="1022"/>
      <w:r w:rsidRPr="00F80910">
        <w:rPr>
          <w:rStyle w:val="TextoNormalCaracter"/>
        </w:rPr>
        <w:t xml:space="preserve">, Sentencias </w:t>
      </w:r>
      <w:hyperlink w:anchor="SENTENCIA_2015_154" w:history="1">
        <w:r w:rsidRPr="00F80910">
          <w:rPr>
            <w:rStyle w:val="TextoNormalCaracter"/>
          </w:rPr>
          <w:t>154/2015</w:t>
        </w:r>
      </w:hyperlink>
      <w:r w:rsidRPr="00F80910">
        <w:rPr>
          <w:rStyle w:val="TextoNormalCaracter"/>
        </w:rPr>
        <w:t xml:space="preserve">, ff. 4, 5; </w:t>
      </w:r>
      <w:hyperlink w:anchor="SENTENCIA_2015_218" w:history="1">
        <w:r w:rsidRPr="00F80910">
          <w:rPr>
            <w:rStyle w:val="TextoNormalCaracter"/>
          </w:rPr>
          <w:t>218/2015</w:t>
        </w:r>
      </w:hyperlink>
      <w:r w:rsidRPr="00F80910">
        <w:rPr>
          <w:rStyle w:val="TextoNormalCaracter"/>
        </w:rPr>
        <w:t>, ff. 1 a 3, 5, VP III.</w:t>
      </w:r>
    </w:p>
    <w:p w:rsidR="00F80910" w:rsidRPr="00F80910" w:rsidRDefault="00F80910" w:rsidP="00F80910">
      <w:pPr>
        <w:pStyle w:val="TextoNormalSangraFrancesa"/>
        <w:rPr>
          <w:rStyle w:val="TextoNormalCaracter"/>
        </w:rPr>
      </w:pPr>
      <w:bookmarkStart w:id="1023" w:name="DESCRIPTORALFABETICO508"/>
      <w:r w:rsidRPr="00F80910">
        <w:rPr>
          <w:rStyle w:val="TextoNormalNegritaCaracter"/>
        </w:rPr>
        <w:t>Demanda de empleo</w:t>
      </w:r>
      <w:bookmarkEnd w:id="1023"/>
      <w:r w:rsidRPr="00F80910">
        <w:rPr>
          <w:rStyle w:val="TextoNormalCaracter"/>
        </w:rPr>
        <w:t xml:space="preserve">, Sentencia </w:t>
      </w:r>
      <w:hyperlink w:anchor="SENTENCIA_2015_272" w:history="1">
        <w:r w:rsidRPr="00F80910">
          <w:rPr>
            <w:rStyle w:val="TextoNormalCaracter"/>
          </w:rPr>
          <w:t>272/2015</w:t>
        </w:r>
      </w:hyperlink>
      <w:r w:rsidRPr="00F80910">
        <w:rPr>
          <w:rStyle w:val="TextoNormalCaracter"/>
        </w:rPr>
        <w:t>, f. 4.</w:t>
      </w:r>
    </w:p>
    <w:p w:rsidR="00F80910" w:rsidRPr="00F80910" w:rsidRDefault="00F80910" w:rsidP="00F80910">
      <w:pPr>
        <w:pStyle w:val="TextoNormalSangraFrancesa"/>
        <w:rPr>
          <w:rStyle w:val="TextoNormalCaracter"/>
        </w:rPr>
      </w:pPr>
      <w:bookmarkStart w:id="1024" w:name="DESCRIPTORALFABETICO342"/>
      <w:r w:rsidRPr="00F80910">
        <w:rPr>
          <w:rStyle w:val="TextoNormalNegritaCaracter"/>
        </w:rPr>
        <w:t>Demarcación registral</w:t>
      </w:r>
      <w:bookmarkEnd w:id="1024"/>
      <w:r w:rsidRPr="00F80910">
        <w:rPr>
          <w:rStyle w:val="TextoNormalCaracter"/>
        </w:rPr>
        <w:t xml:space="preserve">, Auto </w:t>
      </w:r>
      <w:hyperlink w:anchor="AUTO_2015_185" w:history="1">
        <w:r w:rsidRPr="00F80910">
          <w:rPr>
            <w:rStyle w:val="TextoNormalCaracter"/>
          </w:rPr>
          <w:t>185/2015</w:t>
        </w:r>
      </w:hyperlink>
      <w:r w:rsidRPr="00F80910">
        <w:rPr>
          <w:rStyle w:val="TextoNormalCaracter"/>
        </w:rPr>
        <w:t>, f. 1.</w:t>
      </w:r>
    </w:p>
    <w:p w:rsidR="00F80910" w:rsidRPr="00F80910" w:rsidRDefault="00F80910" w:rsidP="00F80910">
      <w:pPr>
        <w:pStyle w:val="TextoNormalSangraFrancesa"/>
        <w:rPr>
          <w:rStyle w:val="TextoNormalCaracter"/>
        </w:rPr>
      </w:pPr>
      <w:bookmarkStart w:id="1025" w:name="DESCRIPTORALFABETICO427"/>
      <w:r w:rsidRPr="00F80910">
        <w:rPr>
          <w:rStyle w:val="TextoNormalNegritaCaracter"/>
        </w:rPr>
        <w:t>Demolición</w:t>
      </w:r>
      <w:bookmarkEnd w:id="1025"/>
      <w:r w:rsidRPr="00F80910">
        <w:rPr>
          <w:rStyle w:val="TextoNormalCaracter"/>
        </w:rPr>
        <w:t xml:space="preserve">, Sentencia </w:t>
      </w:r>
      <w:hyperlink w:anchor="SENTENCIA_2015_254" w:history="1">
        <w:r w:rsidRPr="00F80910">
          <w:rPr>
            <w:rStyle w:val="TextoNormalCaracter"/>
          </w:rPr>
          <w:t>254/2015</w:t>
        </w:r>
      </w:hyperlink>
      <w:r w:rsidRPr="00F80910">
        <w:rPr>
          <w:rStyle w:val="TextoNormalCaracter"/>
        </w:rPr>
        <w:t>, ff. 1 a 3.</w:t>
      </w:r>
    </w:p>
    <w:p w:rsidR="00F80910" w:rsidRPr="00F80910" w:rsidRDefault="00F80910" w:rsidP="00F80910">
      <w:pPr>
        <w:pStyle w:val="TextoNormalSangraFrancesa"/>
        <w:rPr>
          <w:rStyle w:val="TextoNormalCaracter"/>
        </w:rPr>
      </w:pPr>
      <w:bookmarkStart w:id="1026" w:name="DESCRIPTORALFABETICO488"/>
      <w:r w:rsidRPr="00F80910">
        <w:rPr>
          <w:rStyle w:val="TextoNormalNegritaCaracter"/>
        </w:rPr>
        <w:t>Denegación de beneficios penitenciarios</w:t>
      </w:r>
      <w:bookmarkEnd w:id="1026"/>
      <w:r w:rsidRPr="00F80910">
        <w:rPr>
          <w:rStyle w:val="TextoNormalCaracter"/>
        </w:rPr>
        <w:t xml:space="preserve">, Sentencia </w:t>
      </w:r>
      <w:hyperlink w:anchor="SENTENCIA_2015_226" w:history="1">
        <w:r w:rsidRPr="00F80910">
          <w:rPr>
            <w:rStyle w:val="TextoNormalCaracter"/>
          </w:rPr>
          <w:t>226/2015</w:t>
        </w:r>
      </w:hyperlink>
      <w:r w:rsidRPr="00F80910">
        <w:rPr>
          <w:rStyle w:val="TextoNormalCaracter"/>
        </w:rPr>
        <w:t>, f. 2.</w:t>
      </w:r>
    </w:p>
    <w:p w:rsidR="00F80910" w:rsidRPr="00F80910" w:rsidRDefault="00F80910" w:rsidP="00F80910">
      <w:pPr>
        <w:pStyle w:val="TextoNormalSangraFrancesa"/>
        <w:rPr>
          <w:rStyle w:val="TextoNormalCaracter"/>
        </w:rPr>
      </w:pPr>
      <w:bookmarkStart w:id="1027" w:name="DESCRIPTORALFABETICO555"/>
      <w:r w:rsidRPr="00F80910">
        <w:rPr>
          <w:rStyle w:val="TextoNormalNegritaCaracter"/>
        </w:rPr>
        <w:t>Denegación de justicia gratuita</w:t>
      </w:r>
      <w:bookmarkEnd w:id="1027"/>
      <w:r w:rsidRPr="00F80910">
        <w:rPr>
          <w:rStyle w:val="TextoNormalCaracter"/>
        </w:rPr>
        <w:t xml:space="preserve">, Auto </w:t>
      </w:r>
      <w:hyperlink w:anchor="AUTO_2015_131" w:history="1">
        <w:r w:rsidRPr="00F80910">
          <w:rPr>
            <w:rStyle w:val="TextoNormalCaracter"/>
          </w:rPr>
          <w:t>131/2015</w:t>
        </w:r>
      </w:hyperlink>
      <w:r w:rsidRPr="00F80910">
        <w:rPr>
          <w:rStyle w:val="TextoNormalCaracter"/>
        </w:rPr>
        <w:t>, f. único.</w:t>
      </w:r>
    </w:p>
    <w:p w:rsidR="00F80910" w:rsidRPr="00F80910" w:rsidRDefault="00F80910" w:rsidP="00F80910">
      <w:pPr>
        <w:pStyle w:val="TextoNormalSangraFrancesa"/>
        <w:rPr>
          <w:rStyle w:val="TextoNormalCaracter"/>
        </w:rPr>
      </w:pPr>
      <w:bookmarkStart w:id="1028" w:name="DESCRIPTORALFABETICO558"/>
      <w:r w:rsidRPr="00F80910">
        <w:rPr>
          <w:rStyle w:val="TextoNormalNegritaCaracter"/>
        </w:rPr>
        <w:t>Denegación de legitimación procesal</w:t>
      </w:r>
      <w:bookmarkEnd w:id="1028"/>
      <w:r w:rsidRPr="00F80910">
        <w:rPr>
          <w:rStyle w:val="TextoNormalCaracter"/>
        </w:rPr>
        <w:t xml:space="preserve">, Sentencia </w:t>
      </w:r>
      <w:hyperlink w:anchor="SENTENCIA_2015_208" w:history="1">
        <w:r w:rsidRPr="00F80910">
          <w:rPr>
            <w:rStyle w:val="TextoNormalCaracter"/>
          </w:rPr>
          <w:t>208/2015</w:t>
        </w:r>
      </w:hyperlink>
      <w:r w:rsidRPr="00F80910">
        <w:rPr>
          <w:rStyle w:val="TextoNormalCaracter"/>
        </w:rPr>
        <w:t>, ff. 2 a 5.</w:t>
      </w:r>
    </w:p>
    <w:p w:rsidR="00F80910" w:rsidRPr="00F80910" w:rsidRDefault="00F80910" w:rsidP="00F80910">
      <w:pPr>
        <w:pStyle w:val="TextoNormalSangraFrancesa"/>
        <w:rPr>
          <w:rStyle w:val="TextoNormalCaracter"/>
        </w:rPr>
      </w:pPr>
      <w:bookmarkStart w:id="1029" w:name="DESCRIPTORALFABETICO202"/>
      <w:r w:rsidRPr="00F80910">
        <w:rPr>
          <w:rStyle w:val="TextoNormalNegritaCaracter"/>
        </w:rPr>
        <w:t>Denegación de planteamiento de cuestión de inconstitucionalidad</w:t>
      </w:r>
      <w:bookmarkEnd w:id="1029"/>
      <w:r w:rsidRPr="00F80910">
        <w:rPr>
          <w:rStyle w:val="TextoNormalCaracter"/>
        </w:rPr>
        <w:t xml:space="preserve">, Sentencias </w:t>
      </w:r>
      <w:hyperlink w:anchor="SENTENCIA_2015_262" w:history="1">
        <w:r w:rsidRPr="00F80910">
          <w:rPr>
            <w:rStyle w:val="TextoNormalCaracter"/>
          </w:rPr>
          <w:t>262/2015</w:t>
        </w:r>
      </w:hyperlink>
      <w:r w:rsidRPr="00F80910">
        <w:rPr>
          <w:rStyle w:val="TextoNormalCaracter"/>
        </w:rPr>
        <w:t xml:space="preserve">, ff. 2, 3; </w:t>
      </w:r>
      <w:hyperlink w:anchor="SENTENCIA_2015_263" w:history="1">
        <w:r w:rsidRPr="00F80910">
          <w:rPr>
            <w:rStyle w:val="TextoNormalCaracter"/>
          </w:rPr>
          <w:t>263/2015</w:t>
        </w:r>
      </w:hyperlink>
      <w:r w:rsidRPr="00F80910">
        <w:rPr>
          <w:rStyle w:val="TextoNormalCaracter"/>
        </w:rPr>
        <w:t>, ff. 2, 3.</w:t>
      </w:r>
    </w:p>
    <w:p w:rsidR="00F80910" w:rsidRPr="00F80910" w:rsidRDefault="00F80910" w:rsidP="00F80910">
      <w:pPr>
        <w:pStyle w:val="TextoNormalSangraFrancesa"/>
        <w:rPr>
          <w:rStyle w:val="TextoNormalCaracter"/>
        </w:rPr>
      </w:pPr>
      <w:bookmarkStart w:id="1030" w:name="DESCRIPTORALFABETICO548"/>
      <w:r w:rsidRPr="00F80910">
        <w:rPr>
          <w:rStyle w:val="TextoNormalNegritaCaracter"/>
        </w:rPr>
        <w:t>Denegación de prueba no relevante</w:t>
      </w:r>
      <w:bookmarkEnd w:id="1030"/>
      <w:r w:rsidRPr="00F80910">
        <w:rPr>
          <w:rStyle w:val="TextoNormalCaracter"/>
        </w:rPr>
        <w:t xml:space="preserve">, Sentencia </w:t>
      </w:r>
      <w:hyperlink w:anchor="SENTENCIA_2015_169" w:history="1">
        <w:r w:rsidRPr="00F80910">
          <w:rPr>
            <w:rStyle w:val="TextoNormalCaracter"/>
          </w:rPr>
          <w:t>169/2015</w:t>
        </w:r>
      </w:hyperlink>
      <w:r w:rsidRPr="00F80910">
        <w:rPr>
          <w:rStyle w:val="TextoNormalCaracter"/>
        </w:rPr>
        <w:t>, f. 3.</w:t>
      </w:r>
    </w:p>
    <w:p w:rsidR="00F80910" w:rsidRPr="00F80910" w:rsidRDefault="00F80910" w:rsidP="00F80910">
      <w:pPr>
        <w:pStyle w:val="TextoNormalSangraFrancesa"/>
        <w:rPr>
          <w:rStyle w:val="TextoNormalCaracter"/>
        </w:rPr>
      </w:pPr>
      <w:bookmarkStart w:id="1031" w:name="DESCRIPTORALFABETICO352"/>
      <w:r w:rsidRPr="00F80910">
        <w:rPr>
          <w:rStyle w:val="TextoNormalNegritaCaracter"/>
        </w:rPr>
        <w:t>Depuración de aguas</w:t>
      </w:r>
      <w:bookmarkEnd w:id="1031"/>
      <w:r w:rsidRPr="00F80910">
        <w:rPr>
          <w:rStyle w:val="TextoNormalCaracter"/>
        </w:rPr>
        <w:t xml:space="preserve">, Sentencia </w:t>
      </w:r>
      <w:hyperlink w:anchor="SENTENCIA_2015_233" w:history="1">
        <w:r w:rsidRPr="00F80910">
          <w:rPr>
            <w:rStyle w:val="TextoNormalCaracter"/>
          </w:rPr>
          <w:t>233/2015</w:t>
        </w:r>
      </w:hyperlink>
      <w:r w:rsidRPr="00F80910">
        <w:rPr>
          <w:rStyle w:val="TextoNormalCaracter"/>
        </w:rPr>
        <w:t>, f. 15.</w:t>
      </w:r>
    </w:p>
    <w:p w:rsidR="00F80910" w:rsidRPr="00F80910" w:rsidRDefault="00F80910" w:rsidP="00F80910">
      <w:pPr>
        <w:pStyle w:val="TextoNormalSangraFrancesa"/>
        <w:rPr>
          <w:rStyle w:val="TextoNormalCaracter"/>
        </w:rPr>
      </w:pPr>
      <w:bookmarkStart w:id="1032" w:name="DESCRIPTORALFABETICO72"/>
      <w:r w:rsidRPr="00F80910">
        <w:rPr>
          <w:rStyle w:val="TextoNormalNegritaCaracter"/>
        </w:rPr>
        <w:t>Derecho a acceder a las funciones públicas</w:t>
      </w:r>
      <w:bookmarkEnd w:id="1032"/>
      <w:r w:rsidRPr="00F80910">
        <w:rPr>
          <w:rStyle w:val="TextoNormalCaracter"/>
        </w:rPr>
        <w:t xml:space="preserve">, </w:t>
      </w:r>
    </w:p>
    <w:p w:rsidR="00F80910" w:rsidRPr="00F80910" w:rsidRDefault="00F80910" w:rsidP="00F80910">
      <w:pPr>
        <w:pStyle w:val="TextoNormalSangraFrancesa"/>
        <w:rPr>
          <w:rStyle w:val="TextoNormalCaracter"/>
        </w:rPr>
      </w:pPr>
      <w:r w:rsidRPr="00F80910">
        <w:rPr>
          <w:rStyle w:val="TextoNormalCursivaCaracter"/>
        </w:rPr>
        <w:t xml:space="preserve">    Respetado, </w:t>
      </w:r>
      <w:r w:rsidRPr="00F80910">
        <w:rPr>
          <w:rStyle w:val="TextoNormalCaracter"/>
        </w:rPr>
        <w:t xml:space="preserve">Sentencia </w:t>
      </w:r>
      <w:hyperlink w:anchor="SENTENCIA_2015_236" w:history="1">
        <w:r w:rsidRPr="00F80910">
          <w:rPr>
            <w:rStyle w:val="TextoNormalCaracter"/>
          </w:rPr>
          <w:t>236/2015</w:t>
        </w:r>
      </w:hyperlink>
      <w:r w:rsidRPr="00F80910">
        <w:rPr>
          <w:rStyle w:val="TextoNormalCaracter"/>
        </w:rPr>
        <w:t>, f. 8.</w:t>
      </w:r>
    </w:p>
    <w:p w:rsidR="00F80910" w:rsidRPr="00F80910" w:rsidRDefault="00F80910" w:rsidP="00F80910">
      <w:pPr>
        <w:pStyle w:val="TextoNormalSangraFrancesa"/>
        <w:rPr>
          <w:rStyle w:val="TextoNormalCaracter"/>
        </w:rPr>
      </w:pPr>
      <w:bookmarkStart w:id="1033" w:name="DESCRIPTORALFABETICO74"/>
      <w:r w:rsidRPr="00F80910">
        <w:rPr>
          <w:rStyle w:val="TextoNormalNegritaCaracter"/>
        </w:rPr>
        <w:t>Derecho a acceder a los cargos públicos</w:t>
      </w:r>
      <w:bookmarkEnd w:id="1033"/>
      <w:r w:rsidRPr="00F80910">
        <w:rPr>
          <w:rStyle w:val="TextoNormalCaracter"/>
        </w:rPr>
        <w:t xml:space="preserve">, </w:t>
      </w:r>
    </w:p>
    <w:p w:rsidR="00F80910" w:rsidRPr="00F80910" w:rsidRDefault="00F80910" w:rsidP="00F80910">
      <w:pPr>
        <w:pStyle w:val="TextoNormalSangraFrancesa"/>
        <w:rPr>
          <w:rStyle w:val="TextoNormalCaracter"/>
        </w:rPr>
      </w:pPr>
      <w:r w:rsidRPr="00F80910">
        <w:rPr>
          <w:rStyle w:val="TextoNormalCursivaCaracter"/>
        </w:rPr>
        <w:t xml:space="preserve">    Vulnerado, </w:t>
      </w:r>
      <w:r w:rsidRPr="00F80910">
        <w:rPr>
          <w:rStyle w:val="TextoNormalCaracter"/>
        </w:rPr>
        <w:t xml:space="preserve">Sentencia </w:t>
      </w:r>
      <w:hyperlink w:anchor="SENTENCIA_2015_159" w:history="1">
        <w:r w:rsidRPr="00F80910">
          <w:rPr>
            <w:rStyle w:val="TextoNormalCaracter"/>
          </w:rPr>
          <w:t>159/2015</w:t>
        </w:r>
      </w:hyperlink>
      <w:r w:rsidRPr="00F80910">
        <w:rPr>
          <w:rStyle w:val="TextoNormalCaracter"/>
        </w:rPr>
        <w:t>, f. 5.</w:t>
      </w:r>
    </w:p>
    <w:p w:rsidR="00F80910" w:rsidRPr="00F80910" w:rsidRDefault="00F80910" w:rsidP="00F80910">
      <w:pPr>
        <w:pStyle w:val="TextoNormalSangraFrancesa"/>
        <w:rPr>
          <w:rStyle w:val="TextoNormalCaracter"/>
        </w:rPr>
      </w:pPr>
      <w:bookmarkStart w:id="1034" w:name="DESCRIPTORALFABETICO366"/>
      <w:r w:rsidRPr="00F80910">
        <w:rPr>
          <w:rStyle w:val="TextoNormalNegritaCaracter"/>
        </w:rPr>
        <w:t>Derecho a edificar</w:t>
      </w:r>
      <w:bookmarkEnd w:id="1034"/>
      <w:r w:rsidRPr="00F80910">
        <w:rPr>
          <w:rStyle w:val="TextoNormalCaracter"/>
        </w:rPr>
        <w:t xml:space="preserve">, Sentencias </w:t>
      </w:r>
      <w:hyperlink w:anchor="SENTENCIA_2015_218" w:history="1">
        <w:r w:rsidRPr="00F80910">
          <w:rPr>
            <w:rStyle w:val="TextoNormalCaracter"/>
          </w:rPr>
          <w:t>218/2015</w:t>
        </w:r>
      </w:hyperlink>
      <w:r w:rsidRPr="00F80910">
        <w:rPr>
          <w:rStyle w:val="TextoNormalCaracter"/>
        </w:rPr>
        <w:t xml:space="preserve">, f. 3, 5, VP III; </w:t>
      </w:r>
      <w:hyperlink w:anchor="SENTENCIA_2015_244" w:history="1">
        <w:r w:rsidRPr="00F80910">
          <w:rPr>
            <w:rStyle w:val="TextoNormalCaracter"/>
          </w:rPr>
          <w:t>244/2015</w:t>
        </w:r>
      </w:hyperlink>
      <w:r w:rsidRPr="00F80910">
        <w:rPr>
          <w:rStyle w:val="TextoNormalCaracter"/>
        </w:rPr>
        <w:t>, f. 2.</w:t>
      </w:r>
    </w:p>
    <w:p w:rsidR="00F80910" w:rsidRPr="00F80910" w:rsidRDefault="00F80910" w:rsidP="00F80910">
      <w:pPr>
        <w:pStyle w:val="TextoNormalSangraFrancesa"/>
        <w:rPr>
          <w:rStyle w:val="TextoNormalCaracter"/>
        </w:rPr>
      </w:pPr>
      <w:bookmarkStart w:id="1035" w:name="DESCRIPTORALFABETICO75"/>
      <w:r w:rsidRPr="00F80910">
        <w:rPr>
          <w:rStyle w:val="TextoNormalNegritaCaracter"/>
        </w:rPr>
        <w:t>Derecho a ejercer los cargos públicos</w:t>
      </w:r>
      <w:bookmarkEnd w:id="1035"/>
      <w:r w:rsidRPr="00F80910">
        <w:rPr>
          <w:rStyle w:val="TextoNormalCaracter"/>
        </w:rPr>
        <w:t xml:space="preserve">, Sentencia </w:t>
      </w:r>
      <w:hyperlink w:anchor="SENTENCIA_2015_199" w:history="1">
        <w:r w:rsidRPr="00F80910">
          <w:rPr>
            <w:rStyle w:val="TextoNormalCaracter"/>
          </w:rPr>
          <w:t>199/2015</w:t>
        </w:r>
      </w:hyperlink>
      <w:r w:rsidRPr="00F80910">
        <w:rPr>
          <w:rStyle w:val="TextoNormalCaracter"/>
        </w:rPr>
        <w:t>, f.. 11.</w:t>
      </w:r>
    </w:p>
    <w:p w:rsidR="00F80910" w:rsidRPr="00F80910" w:rsidRDefault="00F80910" w:rsidP="00F80910">
      <w:pPr>
        <w:pStyle w:val="TextoNormalSangraFrancesa"/>
        <w:rPr>
          <w:rStyle w:val="TextoNormalCaracter"/>
        </w:rPr>
      </w:pPr>
      <w:bookmarkStart w:id="1036" w:name="DESCRIPTORALFABETICO286"/>
      <w:r w:rsidRPr="00F80910">
        <w:rPr>
          <w:rStyle w:val="TextoNormalNegritaCaracter"/>
        </w:rPr>
        <w:t>Derecho a la autonomía de las nacionalidades y regiones</w:t>
      </w:r>
      <w:bookmarkEnd w:id="1036"/>
      <w:r w:rsidRPr="00F80910">
        <w:rPr>
          <w:rStyle w:val="TextoNormalCaracter"/>
        </w:rPr>
        <w:t xml:space="preserve">, Sentencia </w:t>
      </w:r>
      <w:hyperlink w:anchor="SENTENCIA_2015_259" w:history="1">
        <w:r w:rsidRPr="00F80910">
          <w:rPr>
            <w:rStyle w:val="TextoNormalCaracter"/>
          </w:rPr>
          <w:t>259/2015</w:t>
        </w:r>
      </w:hyperlink>
      <w:r w:rsidRPr="00F80910">
        <w:rPr>
          <w:rStyle w:val="TextoNormalCaracter"/>
        </w:rPr>
        <w:t>, ff. 4, 5 b), 6.</w:t>
      </w:r>
    </w:p>
    <w:p w:rsidR="00F80910" w:rsidRPr="00F80910" w:rsidRDefault="00F80910" w:rsidP="00F80910">
      <w:pPr>
        <w:pStyle w:val="TextoNormalSangraFrancesa"/>
        <w:rPr>
          <w:rStyle w:val="TextoNormalCaracter"/>
        </w:rPr>
      </w:pPr>
      <w:bookmarkStart w:id="1037" w:name="DESCRIPTORALFABETICO123"/>
      <w:r w:rsidRPr="00F80910">
        <w:rPr>
          <w:rStyle w:val="TextoNormalNegritaCaracter"/>
        </w:rPr>
        <w:t>Derecho a la defensa</w:t>
      </w:r>
      <w:bookmarkEnd w:id="1037"/>
      <w:r w:rsidRPr="00F80910">
        <w:rPr>
          <w:rStyle w:val="TextoNormalCaracter"/>
        </w:rPr>
        <w:t xml:space="preserve">, Sentencia </w:t>
      </w:r>
      <w:hyperlink w:anchor="SENTENCIA_2015_187" w:history="1">
        <w:r w:rsidRPr="00F80910">
          <w:rPr>
            <w:rStyle w:val="TextoNormalCaracter"/>
          </w:rPr>
          <w:t>187/2015</w:t>
        </w:r>
      </w:hyperlink>
      <w:r w:rsidRPr="00F80910">
        <w:rPr>
          <w:rStyle w:val="TextoNormalCaracter"/>
        </w:rPr>
        <w:t>, ff. 4, 5.</w:t>
      </w:r>
    </w:p>
    <w:p w:rsidR="00F80910" w:rsidRPr="00F80910" w:rsidRDefault="00F80910" w:rsidP="00F80910">
      <w:pPr>
        <w:pStyle w:val="TextoNormalSangraFrancesa"/>
        <w:rPr>
          <w:rStyle w:val="TextoNormalCaracter"/>
        </w:rPr>
      </w:pPr>
      <w:bookmarkStart w:id="1038" w:name="DESCRIPTORALFABETICO78"/>
      <w:r w:rsidRPr="00F80910">
        <w:rPr>
          <w:rStyle w:val="TextoNormalNegritaCaracter"/>
        </w:rPr>
        <w:t>Derecho a la educación</w:t>
      </w:r>
      <w:bookmarkEnd w:id="1038"/>
      <w:r w:rsidRPr="00F80910">
        <w:rPr>
          <w:rStyle w:val="TextoNormalCaracter"/>
        </w:rPr>
        <w:t xml:space="preserve">, Sentencia </w:t>
      </w:r>
      <w:hyperlink w:anchor="SENTENCIA_2015_155" w:history="1">
        <w:r w:rsidRPr="00F80910">
          <w:rPr>
            <w:rStyle w:val="TextoNormalCaracter"/>
          </w:rPr>
          <w:t>155/2015</w:t>
        </w:r>
      </w:hyperlink>
      <w:r w:rsidRPr="00F80910">
        <w:rPr>
          <w:rStyle w:val="TextoNormalCaracter"/>
        </w:rPr>
        <w:t>, ff. 2 a 5, VP I, VP II.</w:t>
      </w:r>
    </w:p>
    <w:p w:rsidR="00F80910" w:rsidRPr="00F80910" w:rsidRDefault="00F80910" w:rsidP="00F80910">
      <w:pPr>
        <w:pStyle w:val="TextoNormalSangraFrancesa"/>
        <w:rPr>
          <w:rStyle w:val="TextoNormalCaracter"/>
        </w:rPr>
      </w:pPr>
      <w:bookmarkStart w:id="1039" w:name="DESCRIPTORALFABETICO94"/>
      <w:r w:rsidRPr="00F80910">
        <w:rPr>
          <w:rStyle w:val="TextoNormalNegritaCaracter"/>
        </w:rPr>
        <w:t>Derecho a la ejecución de resoluciones judiciales</w:t>
      </w:r>
      <w:bookmarkEnd w:id="1039"/>
      <w:r w:rsidRPr="00F80910">
        <w:rPr>
          <w:rStyle w:val="TextoNormalCaracter"/>
        </w:rPr>
        <w:t xml:space="preserve">, </w:t>
      </w:r>
    </w:p>
    <w:p w:rsidR="00F80910" w:rsidRPr="00F80910" w:rsidRDefault="00F80910" w:rsidP="00F80910">
      <w:pPr>
        <w:pStyle w:val="TextoNormalSangraFrancesa"/>
        <w:rPr>
          <w:rStyle w:val="TextoNormalCaracter"/>
        </w:rPr>
      </w:pPr>
      <w:r w:rsidRPr="00F80910">
        <w:rPr>
          <w:rStyle w:val="TextoNormalCursivaCaracter"/>
        </w:rPr>
        <w:t xml:space="preserve">    Vulnerado, </w:t>
      </w:r>
      <w:r w:rsidRPr="00F80910">
        <w:rPr>
          <w:rStyle w:val="TextoNormalCaracter"/>
        </w:rPr>
        <w:t xml:space="preserve">Sentencia </w:t>
      </w:r>
      <w:hyperlink w:anchor="SENTENCIA_2015_233" w:history="1">
        <w:r w:rsidRPr="00F80910">
          <w:rPr>
            <w:rStyle w:val="TextoNormalCaracter"/>
          </w:rPr>
          <w:t>233/2015</w:t>
        </w:r>
      </w:hyperlink>
      <w:r w:rsidRPr="00F80910">
        <w:rPr>
          <w:rStyle w:val="TextoNormalCaracter"/>
        </w:rPr>
        <w:t>, f. 15.</w:t>
      </w:r>
    </w:p>
    <w:p w:rsidR="00F80910" w:rsidRPr="00F80910" w:rsidRDefault="00F80910" w:rsidP="00F80910">
      <w:pPr>
        <w:pStyle w:val="TextoNormalSangraFrancesa"/>
        <w:rPr>
          <w:rStyle w:val="TextoNormalCaracter"/>
        </w:rPr>
      </w:pPr>
      <w:bookmarkStart w:id="1040" w:name="DESCRIPTORALFABETICO95"/>
      <w:r w:rsidRPr="00F80910">
        <w:rPr>
          <w:rStyle w:val="TextoNormalNegritaCaracter"/>
        </w:rPr>
        <w:t>Derecho a la ejecución de sentencias</w:t>
      </w:r>
      <w:bookmarkEnd w:id="1040"/>
      <w:r w:rsidRPr="00F80910">
        <w:rPr>
          <w:rStyle w:val="TextoNormalCaracter"/>
        </w:rPr>
        <w:t xml:space="preserve">, Sentencia </w:t>
      </w:r>
      <w:hyperlink w:anchor="SENTENCIA_2015_152" w:history="1">
        <w:r w:rsidRPr="00F80910">
          <w:rPr>
            <w:rStyle w:val="TextoNormalCaracter"/>
          </w:rPr>
          <w:t>152/2015</w:t>
        </w:r>
      </w:hyperlink>
      <w:r w:rsidRPr="00F80910">
        <w:rPr>
          <w:rStyle w:val="TextoNormalCaracter"/>
        </w:rPr>
        <w:t>, ff. 6, 7.</w:t>
      </w:r>
    </w:p>
    <w:p w:rsidR="00F80910" w:rsidRPr="00F80910" w:rsidRDefault="00F80910" w:rsidP="00F80910">
      <w:pPr>
        <w:pStyle w:val="TextoNormalSangraFrancesa"/>
        <w:rPr>
          <w:rStyle w:val="TextoNormalCaracter"/>
        </w:rPr>
      </w:pPr>
      <w:r w:rsidRPr="00F80910">
        <w:rPr>
          <w:rStyle w:val="TextoNormalCursivaCaracter"/>
        </w:rPr>
        <w:t xml:space="preserve">    Respetado, </w:t>
      </w:r>
      <w:r w:rsidRPr="00F80910">
        <w:rPr>
          <w:rStyle w:val="TextoNormalCaracter"/>
        </w:rPr>
        <w:t xml:space="preserve">Sentencia </w:t>
      </w:r>
      <w:hyperlink w:anchor="SENTENCIA_2015_231" w:history="1">
        <w:r w:rsidRPr="00F80910">
          <w:rPr>
            <w:rStyle w:val="TextoNormalCaracter"/>
          </w:rPr>
          <w:t>231/2015</w:t>
        </w:r>
      </w:hyperlink>
      <w:r w:rsidRPr="00F80910">
        <w:rPr>
          <w:rStyle w:val="TextoNormalCaracter"/>
        </w:rPr>
        <w:t>, ff. 11, 12.</w:t>
      </w:r>
    </w:p>
    <w:p w:rsidR="00F80910" w:rsidRPr="00F80910" w:rsidRDefault="00F80910" w:rsidP="00F80910">
      <w:pPr>
        <w:pStyle w:val="TextoNormalSangraFrancesa"/>
        <w:rPr>
          <w:rStyle w:val="TextoNormalCaracter"/>
        </w:rPr>
      </w:pPr>
      <w:bookmarkStart w:id="1041" w:name="DESCRIPTORALFABETICO79"/>
      <w:r w:rsidRPr="00F80910">
        <w:rPr>
          <w:rStyle w:val="TextoNormalNegritaCaracter"/>
        </w:rPr>
        <w:t>Derecho a la igualdad</w:t>
      </w:r>
      <w:bookmarkEnd w:id="1041"/>
      <w:r w:rsidRPr="00F80910">
        <w:rPr>
          <w:rStyle w:val="TextoNormalCaracter"/>
        </w:rPr>
        <w:t xml:space="preserve">, Sentencia </w:t>
      </w:r>
      <w:hyperlink w:anchor="SENTENCIA_2015_203" w:history="1">
        <w:r w:rsidRPr="00F80910">
          <w:rPr>
            <w:rStyle w:val="TextoNormalCaracter"/>
          </w:rPr>
          <w:t>203/2015</w:t>
        </w:r>
      </w:hyperlink>
      <w:r w:rsidRPr="00F80910">
        <w:rPr>
          <w:rStyle w:val="TextoNormalCaracter"/>
        </w:rPr>
        <w:t>, f. 7.</w:t>
      </w:r>
    </w:p>
    <w:p w:rsidR="00F80910" w:rsidRPr="00F80910" w:rsidRDefault="00F80910" w:rsidP="00F80910">
      <w:pPr>
        <w:pStyle w:val="TextoNormalSangraFrancesa"/>
        <w:rPr>
          <w:rStyle w:val="TextoNormalCaracter"/>
        </w:rPr>
      </w:pPr>
      <w:bookmarkStart w:id="1042" w:name="DESCRIPTORALFABETICO82"/>
      <w:r w:rsidRPr="00F80910">
        <w:rPr>
          <w:rStyle w:val="TextoNormalNegritaCaracter"/>
        </w:rPr>
        <w:t>Derecho a la inviolabilidad del domicilio</w:t>
      </w:r>
      <w:bookmarkEnd w:id="1042"/>
      <w:r w:rsidRPr="00F80910">
        <w:rPr>
          <w:rStyle w:val="TextoNormalCaracter"/>
        </w:rPr>
        <w:t xml:space="preserve">, Sentencia </w:t>
      </w:r>
      <w:hyperlink w:anchor="SENTENCIA_2015_214" w:history="1">
        <w:r w:rsidRPr="00F80910">
          <w:rPr>
            <w:rStyle w:val="TextoNormalCaracter"/>
          </w:rPr>
          <w:t>214/2015</w:t>
        </w:r>
      </w:hyperlink>
      <w:r w:rsidRPr="00F80910">
        <w:rPr>
          <w:rStyle w:val="TextoNormalCaracter"/>
        </w:rPr>
        <w:t>, f. 5.</w:t>
      </w:r>
    </w:p>
    <w:p w:rsidR="00F80910" w:rsidRPr="00F80910" w:rsidRDefault="00F80910" w:rsidP="00F80910">
      <w:pPr>
        <w:pStyle w:val="TextoNormalSangraFrancesa"/>
        <w:rPr>
          <w:rStyle w:val="TextoNormalCaracter"/>
        </w:rPr>
      </w:pPr>
      <w:bookmarkStart w:id="1043" w:name="DESCRIPTORALFABETICO84"/>
      <w:r w:rsidRPr="00F80910">
        <w:rPr>
          <w:rStyle w:val="TextoNormalNegritaCaracter"/>
        </w:rPr>
        <w:t>Derecho a la libertad personal</w:t>
      </w:r>
      <w:bookmarkEnd w:id="1043"/>
      <w:r w:rsidRPr="00F80910">
        <w:rPr>
          <w:rStyle w:val="TextoNormalCaracter"/>
        </w:rPr>
        <w:t xml:space="preserve">, </w:t>
      </w:r>
    </w:p>
    <w:p w:rsidR="00F80910" w:rsidRPr="00F80910" w:rsidRDefault="00F80910" w:rsidP="00F80910">
      <w:pPr>
        <w:pStyle w:val="TextoNormalSangraFrancesa"/>
        <w:rPr>
          <w:rStyle w:val="TextoNormalCaracter"/>
        </w:rPr>
      </w:pPr>
      <w:r w:rsidRPr="00F80910">
        <w:rPr>
          <w:rStyle w:val="TextoNormalCursivaCaracter"/>
        </w:rPr>
        <w:t xml:space="preserve">    Respetado, </w:t>
      </w:r>
      <w:r w:rsidRPr="00F80910">
        <w:rPr>
          <w:rStyle w:val="TextoNormalCaracter"/>
        </w:rPr>
        <w:t xml:space="preserve">Sentencia </w:t>
      </w:r>
      <w:hyperlink w:anchor="SENTENCIA_2015_226" w:history="1">
        <w:r w:rsidRPr="00F80910">
          <w:rPr>
            <w:rStyle w:val="TextoNormalCaracter"/>
          </w:rPr>
          <w:t>226/2015</w:t>
        </w:r>
      </w:hyperlink>
      <w:r w:rsidRPr="00F80910">
        <w:rPr>
          <w:rStyle w:val="TextoNormalCaracter"/>
        </w:rPr>
        <w:t>, f. 4.</w:t>
      </w:r>
    </w:p>
    <w:p w:rsidR="00F80910" w:rsidRPr="00F80910" w:rsidRDefault="00F80910" w:rsidP="00F80910">
      <w:pPr>
        <w:pStyle w:val="TextoNormalSangraFrancesa"/>
        <w:rPr>
          <w:rStyle w:val="TextoNormalCaracter"/>
        </w:rPr>
      </w:pPr>
      <w:r w:rsidRPr="00F80910">
        <w:rPr>
          <w:rStyle w:val="TextoNormalCursivaCaracter"/>
        </w:rPr>
        <w:t xml:space="preserve">    Vulnerado, </w:t>
      </w:r>
      <w:r w:rsidRPr="00F80910">
        <w:rPr>
          <w:rStyle w:val="TextoNormalCaracter"/>
        </w:rPr>
        <w:t xml:space="preserve">Sentencias </w:t>
      </w:r>
      <w:hyperlink w:anchor="SENTENCIA_2015_182" w:history="1">
        <w:r w:rsidRPr="00F80910">
          <w:rPr>
            <w:rStyle w:val="TextoNormalCaracter"/>
          </w:rPr>
          <w:t>182/2015</w:t>
        </w:r>
      </w:hyperlink>
      <w:r w:rsidRPr="00F80910">
        <w:rPr>
          <w:rStyle w:val="TextoNormalCaracter"/>
        </w:rPr>
        <w:t xml:space="preserve">, ff. 1 a 7; </w:t>
      </w:r>
      <w:hyperlink w:anchor="SENTENCIA_2015_204" w:history="1">
        <w:r w:rsidRPr="00F80910">
          <w:rPr>
            <w:rStyle w:val="TextoNormalCaracter"/>
          </w:rPr>
          <w:t>204/2015</w:t>
        </w:r>
      </w:hyperlink>
      <w:r w:rsidRPr="00F80910">
        <w:rPr>
          <w:rStyle w:val="TextoNormalCaracter"/>
        </w:rPr>
        <w:t xml:space="preserve">, ff. 1, 3, 4; </w:t>
      </w:r>
      <w:hyperlink w:anchor="SENTENCIA_2015_217" w:history="1">
        <w:r w:rsidRPr="00F80910">
          <w:rPr>
            <w:rStyle w:val="TextoNormalCaracter"/>
          </w:rPr>
          <w:t>217/2015</w:t>
        </w:r>
      </w:hyperlink>
      <w:r w:rsidRPr="00F80910">
        <w:rPr>
          <w:rStyle w:val="TextoNormalCaracter"/>
        </w:rPr>
        <w:t xml:space="preserve">, ff. 2, 4, 5; </w:t>
      </w:r>
      <w:hyperlink w:anchor="SENTENCIA_2015_261" w:history="1">
        <w:r w:rsidRPr="00F80910">
          <w:rPr>
            <w:rStyle w:val="TextoNormalCaracter"/>
          </w:rPr>
          <w:t>261/2015</w:t>
        </w:r>
      </w:hyperlink>
      <w:r w:rsidRPr="00F80910">
        <w:rPr>
          <w:rStyle w:val="TextoNormalCaracter"/>
        </w:rPr>
        <w:t>, ff. 7, 8.</w:t>
      </w:r>
    </w:p>
    <w:p w:rsidR="00F80910" w:rsidRPr="00F80910" w:rsidRDefault="00F80910" w:rsidP="00F80910">
      <w:pPr>
        <w:pStyle w:val="TextoNormalSangraFrancesa"/>
        <w:rPr>
          <w:rStyle w:val="TextoNormalCaracter"/>
        </w:rPr>
      </w:pPr>
      <w:bookmarkStart w:id="1044" w:name="DESCRIPTORALFABETICO93"/>
      <w:r w:rsidRPr="00F80910">
        <w:rPr>
          <w:rStyle w:val="TextoNormalNegritaCaracter"/>
        </w:rPr>
        <w:t>Derecho a la tutela judicial efectiva</w:t>
      </w:r>
      <w:bookmarkEnd w:id="1044"/>
      <w:r w:rsidRPr="00F80910">
        <w:rPr>
          <w:rStyle w:val="TextoNormalCaracter"/>
        </w:rPr>
        <w:t xml:space="preserve">, Sentencias </w:t>
      </w:r>
      <w:hyperlink w:anchor="SENTENCIA_2015_180" w:history="1">
        <w:r w:rsidRPr="00F80910">
          <w:rPr>
            <w:rStyle w:val="TextoNormalCaracter"/>
          </w:rPr>
          <w:t>180/2015</w:t>
        </w:r>
      </w:hyperlink>
      <w:r w:rsidRPr="00F80910">
        <w:rPr>
          <w:rStyle w:val="TextoNormalCaracter"/>
        </w:rPr>
        <w:t xml:space="preserve">; </w:t>
      </w:r>
      <w:hyperlink w:anchor="SENTENCIA_2015_183" w:history="1">
        <w:r w:rsidRPr="00F80910">
          <w:rPr>
            <w:rStyle w:val="TextoNormalCaracter"/>
          </w:rPr>
          <w:t>183/2015</w:t>
        </w:r>
      </w:hyperlink>
      <w:r w:rsidRPr="00F80910">
        <w:rPr>
          <w:rStyle w:val="TextoNormalCaracter"/>
        </w:rPr>
        <w:t xml:space="preserve">, VP; </w:t>
      </w:r>
      <w:hyperlink w:anchor="SENTENCIA_2015_223" w:history="1">
        <w:r w:rsidRPr="00F80910">
          <w:rPr>
            <w:rStyle w:val="TextoNormalCaracter"/>
          </w:rPr>
          <w:t>223/2015</w:t>
        </w:r>
      </w:hyperlink>
      <w:r w:rsidRPr="00F80910">
        <w:rPr>
          <w:rStyle w:val="TextoNormalCaracter"/>
        </w:rPr>
        <w:t xml:space="preserve">, f. 2; </w:t>
      </w:r>
      <w:hyperlink w:anchor="SENTENCIA_2015_232" w:history="1">
        <w:r w:rsidRPr="00F80910">
          <w:rPr>
            <w:rStyle w:val="TextoNormalCaracter"/>
          </w:rPr>
          <w:t>232/2015</w:t>
        </w:r>
      </w:hyperlink>
      <w:r w:rsidRPr="00F80910">
        <w:rPr>
          <w:rStyle w:val="TextoNormalCaracter"/>
        </w:rPr>
        <w:t>, ff. 3 a 5.</w:t>
      </w:r>
    </w:p>
    <w:p w:rsidR="00F80910" w:rsidRPr="00F80910" w:rsidRDefault="00F80910" w:rsidP="00F80910">
      <w:pPr>
        <w:pStyle w:val="TextoNormalSangraFrancesa"/>
        <w:rPr>
          <w:rStyle w:val="TextoNormalCaracter"/>
        </w:rPr>
      </w:pPr>
      <w:r w:rsidRPr="00F80910">
        <w:rPr>
          <w:rStyle w:val="TextoNormalCursivaCaracter"/>
        </w:rPr>
        <w:t xml:space="preserve">    Respetado, </w:t>
      </w:r>
      <w:r w:rsidRPr="00F80910">
        <w:rPr>
          <w:rStyle w:val="TextoNormalCaracter"/>
        </w:rPr>
        <w:t xml:space="preserve">Sentencias </w:t>
      </w:r>
      <w:hyperlink w:anchor="SENTENCIA_2015_158" w:history="1">
        <w:r w:rsidRPr="00F80910">
          <w:rPr>
            <w:rStyle w:val="TextoNormalCaracter"/>
          </w:rPr>
          <w:t>158/2015</w:t>
        </w:r>
      </w:hyperlink>
      <w:r w:rsidRPr="00F80910">
        <w:rPr>
          <w:rStyle w:val="TextoNormalCaracter"/>
        </w:rPr>
        <w:t xml:space="preserve">, f. 5; </w:t>
      </w:r>
      <w:hyperlink w:anchor="SENTENCIA_2015_179" w:history="1">
        <w:r w:rsidRPr="00F80910">
          <w:rPr>
            <w:rStyle w:val="TextoNormalCaracter"/>
          </w:rPr>
          <w:t>179/2015</w:t>
        </w:r>
      </w:hyperlink>
      <w:r w:rsidRPr="00F80910">
        <w:rPr>
          <w:rStyle w:val="TextoNormalCaracter"/>
        </w:rPr>
        <w:t xml:space="preserve">, f. 2; </w:t>
      </w:r>
      <w:hyperlink w:anchor="SENTENCIA_2015_183" w:history="1">
        <w:r w:rsidRPr="00F80910">
          <w:rPr>
            <w:rStyle w:val="TextoNormalCaracter"/>
          </w:rPr>
          <w:t>183/2015</w:t>
        </w:r>
      </w:hyperlink>
      <w:r w:rsidRPr="00F80910">
        <w:rPr>
          <w:rStyle w:val="TextoNormalCaracter"/>
        </w:rPr>
        <w:t xml:space="preserve">, ff. 3 a 7; </w:t>
      </w:r>
      <w:hyperlink w:anchor="SENTENCIA_2015_226" w:history="1">
        <w:r w:rsidRPr="00F80910">
          <w:rPr>
            <w:rStyle w:val="TextoNormalCaracter"/>
          </w:rPr>
          <w:t>226/2015</w:t>
        </w:r>
      </w:hyperlink>
      <w:r w:rsidRPr="00F80910">
        <w:rPr>
          <w:rStyle w:val="TextoNormalCaracter"/>
        </w:rPr>
        <w:t>, ff. 4 a 6.</w:t>
      </w:r>
    </w:p>
    <w:p w:rsidR="00F80910" w:rsidRPr="00F80910" w:rsidRDefault="00F80910" w:rsidP="00F80910">
      <w:pPr>
        <w:pStyle w:val="TextoNormalSangraFrancesa"/>
        <w:rPr>
          <w:rStyle w:val="TextoNormalCaracter"/>
        </w:rPr>
      </w:pPr>
      <w:r w:rsidRPr="00F80910">
        <w:rPr>
          <w:rStyle w:val="TextoNormalCursivaCaracter"/>
        </w:rPr>
        <w:t xml:space="preserve">    Vulnerado, </w:t>
      </w:r>
      <w:r w:rsidRPr="00F80910">
        <w:rPr>
          <w:rStyle w:val="TextoNormalCaracter"/>
        </w:rPr>
        <w:t xml:space="preserve">Sentencias </w:t>
      </w:r>
      <w:hyperlink w:anchor="SENTENCIA_2015_149" w:history="1">
        <w:r w:rsidRPr="00F80910">
          <w:rPr>
            <w:rStyle w:val="TextoNormalCaracter"/>
          </w:rPr>
          <w:t>149/2015</w:t>
        </w:r>
      </w:hyperlink>
      <w:r w:rsidRPr="00F80910">
        <w:rPr>
          <w:rStyle w:val="TextoNormalCaracter"/>
        </w:rPr>
        <w:t xml:space="preserve">, ff. 3, 4; </w:t>
      </w:r>
      <w:hyperlink w:anchor="SENTENCIA_2015_152" w:history="1">
        <w:r w:rsidRPr="00F80910">
          <w:rPr>
            <w:rStyle w:val="TextoNormalCaracter"/>
          </w:rPr>
          <w:t>152/2015</w:t>
        </w:r>
      </w:hyperlink>
      <w:r w:rsidRPr="00F80910">
        <w:rPr>
          <w:rStyle w:val="TextoNormalCaracter"/>
        </w:rPr>
        <w:t xml:space="preserve">, ff. 5 a 7; </w:t>
      </w:r>
      <w:hyperlink w:anchor="SENTENCIA_2015_159" w:history="1">
        <w:r w:rsidRPr="00F80910">
          <w:rPr>
            <w:rStyle w:val="TextoNormalCaracter"/>
          </w:rPr>
          <w:t>159/2015</w:t>
        </w:r>
      </w:hyperlink>
      <w:r w:rsidRPr="00F80910">
        <w:rPr>
          <w:rStyle w:val="TextoNormalCaracter"/>
        </w:rPr>
        <w:t xml:space="preserve">, ff. 1 a 4; </w:t>
      </w:r>
      <w:hyperlink w:anchor="SENTENCIA_2015_195" w:history="1">
        <w:r w:rsidRPr="00F80910">
          <w:rPr>
            <w:rStyle w:val="TextoNormalCaracter"/>
          </w:rPr>
          <w:t>195/2015</w:t>
        </w:r>
      </w:hyperlink>
      <w:r w:rsidRPr="00F80910">
        <w:rPr>
          <w:rStyle w:val="TextoNormalCaracter"/>
        </w:rPr>
        <w:t xml:space="preserve">, ff. 7, 8; </w:t>
      </w:r>
      <w:hyperlink w:anchor="SENTENCIA_2015_204" w:history="1">
        <w:r w:rsidRPr="00F80910">
          <w:rPr>
            <w:rStyle w:val="TextoNormalCaracter"/>
          </w:rPr>
          <w:t>204/2015</w:t>
        </w:r>
      </w:hyperlink>
      <w:r w:rsidRPr="00F80910">
        <w:rPr>
          <w:rStyle w:val="TextoNormalCaracter"/>
        </w:rPr>
        <w:t xml:space="preserve">, ff. 1, 2, 4; </w:t>
      </w:r>
      <w:hyperlink w:anchor="SENTENCIA_2015_207" w:history="1">
        <w:r w:rsidRPr="00F80910">
          <w:rPr>
            <w:rStyle w:val="TextoNormalCaracter"/>
          </w:rPr>
          <w:t>207/2015</w:t>
        </w:r>
      </w:hyperlink>
      <w:r w:rsidRPr="00F80910">
        <w:rPr>
          <w:rStyle w:val="TextoNormalCaracter"/>
        </w:rPr>
        <w:t xml:space="preserve">, ff. 2, 5; </w:t>
      </w:r>
      <w:hyperlink w:anchor="SENTENCIA_2015_254" w:history="1">
        <w:r w:rsidRPr="00F80910">
          <w:rPr>
            <w:rStyle w:val="TextoNormalCaracter"/>
          </w:rPr>
          <w:t>254/2015</w:t>
        </w:r>
      </w:hyperlink>
      <w:r w:rsidRPr="00F80910">
        <w:rPr>
          <w:rStyle w:val="TextoNormalCaracter"/>
        </w:rPr>
        <w:t>, f. 2.</w:t>
      </w:r>
    </w:p>
    <w:p w:rsidR="00F80910" w:rsidRPr="00F80910" w:rsidRDefault="00F80910" w:rsidP="00F80910">
      <w:pPr>
        <w:pStyle w:val="TextoNormalSangraFrancesa"/>
        <w:rPr>
          <w:rStyle w:val="TextoNormalCaracter"/>
        </w:rPr>
      </w:pPr>
      <w:bookmarkStart w:id="1045" w:name="DESCRIPTORALFABETICO116"/>
      <w:r w:rsidRPr="00F80910">
        <w:rPr>
          <w:rStyle w:val="TextoNormalNegritaCaracter"/>
        </w:rPr>
        <w:t>Derecho a la tutela judicial sin indefensión</w:t>
      </w:r>
      <w:bookmarkEnd w:id="1045"/>
      <w:r w:rsidRPr="00F80910">
        <w:rPr>
          <w:rStyle w:val="TextoNormalCaracter"/>
        </w:rPr>
        <w:t xml:space="preserve">, Auto </w:t>
      </w:r>
      <w:hyperlink w:anchor="AUTO_2015_142" w:history="1">
        <w:r w:rsidRPr="00F80910">
          <w:rPr>
            <w:rStyle w:val="TextoNormalCaracter"/>
          </w:rPr>
          <w:t>142/2015</w:t>
        </w:r>
      </w:hyperlink>
      <w:r w:rsidRPr="00F80910">
        <w:rPr>
          <w:rStyle w:val="TextoNormalCaracter"/>
        </w:rPr>
        <w:t>, f. 2.</w:t>
      </w:r>
    </w:p>
    <w:p w:rsidR="00F80910" w:rsidRPr="00F80910" w:rsidRDefault="00F80910" w:rsidP="00F80910">
      <w:pPr>
        <w:pStyle w:val="TextoNormalSangraFrancesa"/>
        <w:rPr>
          <w:rStyle w:val="TextoNormalCaracter"/>
        </w:rPr>
      </w:pPr>
      <w:r w:rsidRPr="00F80910">
        <w:rPr>
          <w:rStyle w:val="TextoNormalCursivaCaracter"/>
        </w:rPr>
        <w:t xml:space="preserve">    Vulnerado, </w:t>
      </w:r>
      <w:r w:rsidRPr="00F80910">
        <w:rPr>
          <w:rStyle w:val="TextoNormalCaracter"/>
        </w:rPr>
        <w:t xml:space="preserve">Sentencias </w:t>
      </w:r>
      <w:hyperlink w:anchor="SENTENCIA_2015_167" w:history="1">
        <w:r w:rsidRPr="00F80910">
          <w:rPr>
            <w:rStyle w:val="TextoNormalCaracter"/>
          </w:rPr>
          <w:t>167/2015</w:t>
        </w:r>
      </w:hyperlink>
      <w:r w:rsidRPr="00F80910">
        <w:rPr>
          <w:rStyle w:val="TextoNormalCaracter"/>
        </w:rPr>
        <w:t xml:space="preserve">, ff. 3, 4; </w:t>
      </w:r>
      <w:hyperlink w:anchor="SENTENCIA_2015_169" w:history="1">
        <w:r w:rsidRPr="00F80910">
          <w:rPr>
            <w:rStyle w:val="TextoNormalCaracter"/>
          </w:rPr>
          <w:t>169/2015</w:t>
        </w:r>
      </w:hyperlink>
      <w:r w:rsidRPr="00F80910">
        <w:rPr>
          <w:rStyle w:val="TextoNormalCaracter"/>
        </w:rPr>
        <w:t xml:space="preserve">, ff. 4 a 6; </w:t>
      </w:r>
      <w:hyperlink w:anchor="SENTENCIA_2015_181" w:history="1">
        <w:r w:rsidRPr="00F80910">
          <w:rPr>
            <w:rStyle w:val="TextoNormalCaracter"/>
          </w:rPr>
          <w:t>181/2015</w:t>
        </w:r>
      </w:hyperlink>
      <w:r w:rsidRPr="00F80910">
        <w:rPr>
          <w:rStyle w:val="TextoNormalCaracter"/>
        </w:rPr>
        <w:t xml:space="preserve">, ff. 4,5; </w:t>
      </w:r>
      <w:hyperlink w:anchor="SENTENCIA_2015_194" w:history="1">
        <w:r w:rsidRPr="00F80910">
          <w:rPr>
            <w:rStyle w:val="TextoNormalCaracter"/>
          </w:rPr>
          <w:t>194/2015</w:t>
        </w:r>
      </w:hyperlink>
      <w:r w:rsidRPr="00F80910">
        <w:rPr>
          <w:rStyle w:val="TextoNormalCaracter"/>
        </w:rPr>
        <w:t xml:space="preserve">, ff. 3, 5, 6; </w:t>
      </w:r>
      <w:hyperlink w:anchor="SENTENCIA_2015_222" w:history="1">
        <w:r w:rsidRPr="00F80910">
          <w:rPr>
            <w:rStyle w:val="TextoNormalCaracter"/>
          </w:rPr>
          <w:t>222/2015</w:t>
        </w:r>
      </w:hyperlink>
      <w:r w:rsidRPr="00F80910">
        <w:rPr>
          <w:rStyle w:val="TextoNormalCaracter"/>
        </w:rPr>
        <w:t xml:space="preserve">, f. 4; </w:t>
      </w:r>
      <w:hyperlink w:anchor="SENTENCIA_2015_266" w:history="1">
        <w:r w:rsidRPr="00F80910">
          <w:rPr>
            <w:rStyle w:val="TextoNormalCaracter"/>
          </w:rPr>
          <w:t>266/2015</w:t>
        </w:r>
      </w:hyperlink>
      <w:r w:rsidRPr="00F80910">
        <w:rPr>
          <w:rStyle w:val="TextoNormalCaracter"/>
        </w:rPr>
        <w:t>, ff. 4, 5.</w:t>
      </w:r>
    </w:p>
    <w:p w:rsidR="00F80910" w:rsidRPr="00F80910" w:rsidRDefault="00F80910" w:rsidP="00F80910">
      <w:pPr>
        <w:pStyle w:val="TextoNormalSangraFrancesa"/>
        <w:rPr>
          <w:rStyle w:val="TextoNormalCaracter"/>
        </w:rPr>
      </w:pPr>
      <w:bookmarkStart w:id="1046" w:name="DESCRIPTORALFABETICO120"/>
      <w:r w:rsidRPr="00F80910">
        <w:rPr>
          <w:rStyle w:val="TextoNormalNegritaCaracter"/>
        </w:rPr>
        <w:t>Derecho a la vivienda</w:t>
      </w:r>
      <w:bookmarkEnd w:id="1046"/>
      <w:r w:rsidRPr="00F80910">
        <w:rPr>
          <w:rStyle w:val="TextoNormalCaracter"/>
        </w:rPr>
        <w:t xml:space="preserve">, Auto </w:t>
      </w:r>
      <w:hyperlink w:anchor="AUTO_2015_135" w:history="1">
        <w:r w:rsidRPr="00F80910">
          <w:rPr>
            <w:rStyle w:val="TextoNormalCaracter"/>
          </w:rPr>
          <w:t>135/2015</w:t>
        </w:r>
      </w:hyperlink>
      <w:r w:rsidRPr="00F80910">
        <w:rPr>
          <w:rStyle w:val="TextoNormalCaracter"/>
        </w:rPr>
        <w:t>, ff. 1, 2.</w:t>
      </w:r>
    </w:p>
    <w:p w:rsidR="00F80910" w:rsidRPr="00F80910" w:rsidRDefault="00F80910" w:rsidP="00F80910">
      <w:pPr>
        <w:pStyle w:val="TextoNormalSangraFrancesa"/>
        <w:rPr>
          <w:rStyle w:val="TextoNormalCaracter"/>
        </w:rPr>
      </w:pPr>
      <w:bookmarkStart w:id="1047" w:name="DESCRIPTORALFABETICO97"/>
      <w:r w:rsidRPr="00F80910">
        <w:rPr>
          <w:rStyle w:val="TextoNormalNegritaCaracter"/>
        </w:rPr>
        <w:t>Derecho a obtener una resolución sobre el fondo de las pretensiones</w:t>
      </w:r>
      <w:bookmarkEnd w:id="1047"/>
      <w:r w:rsidRPr="00F80910">
        <w:rPr>
          <w:rStyle w:val="TextoNormalCaracter"/>
        </w:rPr>
        <w:t xml:space="preserve">, Sentencia </w:t>
      </w:r>
      <w:hyperlink w:anchor="SENTENCIA_2015_152" w:history="1">
        <w:r w:rsidRPr="00F80910">
          <w:rPr>
            <w:rStyle w:val="TextoNormalCaracter"/>
          </w:rPr>
          <w:t>152/2015</w:t>
        </w:r>
      </w:hyperlink>
      <w:r w:rsidRPr="00F80910">
        <w:rPr>
          <w:rStyle w:val="TextoNormalCaracter"/>
        </w:rPr>
        <w:t>, f. 7.</w:t>
      </w:r>
    </w:p>
    <w:p w:rsidR="00F80910" w:rsidRPr="00F80910" w:rsidRDefault="00F80910" w:rsidP="00F80910">
      <w:pPr>
        <w:pStyle w:val="TextoNormalSangraFrancesa"/>
        <w:rPr>
          <w:rStyle w:val="TextoNormalCaracter"/>
        </w:rPr>
      </w:pPr>
      <w:bookmarkStart w:id="1048" w:name="DESCRIPTORALFABETICO122"/>
      <w:r w:rsidRPr="00F80910">
        <w:rPr>
          <w:rStyle w:val="TextoNormalNegritaCaracter"/>
        </w:rPr>
        <w:t>Derecho a un proceso con todas las garantías</w:t>
      </w:r>
      <w:bookmarkEnd w:id="1048"/>
      <w:r w:rsidRPr="00F80910">
        <w:rPr>
          <w:rStyle w:val="TextoNormalCaracter"/>
        </w:rPr>
        <w:t xml:space="preserve">, Sentencias </w:t>
      </w:r>
      <w:hyperlink w:anchor="SENTENCIA_2015_223" w:history="1">
        <w:r w:rsidRPr="00F80910">
          <w:rPr>
            <w:rStyle w:val="TextoNormalCaracter"/>
          </w:rPr>
          <w:t>223/2015</w:t>
        </w:r>
      </w:hyperlink>
      <w:r w:rsidRPr="00F80910">
        <w:rPr>
          <w:rStyle w:val="TextoNormalCaracter"/>
        </w:rPr>
        <w:t xml:space="preserve">, f. 2; </w:t>
      </w:r>
      <w:hyperlink w:anchor="SENTENCIA_2015_265" w:history="1">
        <w:r w:rsidRPr="00F80910">
          <w:rPr>
            <w:rStyle w:val="TextoNormalCaracter"/>
          </w:rPr>
          <w:t>265/2015</w:t>
        </w:r>
      </w:hyperlink>
      <w:r w:rsidRPr="00F80910">
        <w:rPr>
          <w:rStyle w:val="TextoNormalCaracter"/>
        </w:rPr>
        <w:t>, f. 2.</w:t>
      </w:r>
    </w:p>
    <w:p w:rsidR="00F80910" w:rsidRPr="00F80910" w:rsidRDefault="00F80910" w:rsidP="00F80910">
      <w:pPr>
        <w:pStyle w:val="TextoNormalSangraFrancesa"/>
        <w:rPr>
          <w:rStyle w:val="TextoNormalCaracter"/>
        </w:rPr>
      </w:pPr>
      <w:r w:rsidRPr="00F80910">
        <w:rPr>
          <w:rStyle w:val="TextoNormalCursivaCaracter"/>
        </w:rPr>
        <w:t xml:space="preserve">    Vulnerado, </w:t>
      </w:r>
      <w:r w:rsidRPr="00F80910">
        <w:rPr>
          <w:rStyle w:val="TextoNormalCaracter"/>
        </w:rPr>
        <w:t xml:space="preserve">Sentencias </w:t>
      </w:r>
      <w:hyperlink w:anchor="SENTENCIA_2015_195" w:history="1">
        <w:r w:rsidRPr="00F80910">
          <w:rPr>
            <w:rStyle w:val="TextoNormalCaracter"/>
          </w:rPr>
          <w:t>195/2015</w:t>
        </w:r>
      </w:hyperlink>
      <w:r w:rsidRPr="00F80910">
        <w:rPr>
          <w:rStyle w:val="TextoNormalCaracter"/>
        </w:rPr>
        <w:t xml:space="preserve">, ff. 7, 8; </w:t>
      </w:r>
      <w:hyperlink w:anchor="SENTENCIA_2015_266" w:history="1">
        <w:r w:rsidRPr="00F80910">
          <w:rPr>
            <w:rStyle w:val="TextoNormalCaracter"/>
          </w:rPr>
          <w:t>266/2015</w:t>
        </w:r>
      </w:hyperlink>
      <w:r w:rsidRPr="00F80910">
        <w:rPr>
          <w:rStyle w:val="TextoNormalCaracter"/>
        </w:rPr>
        <w:t>, ff. 4, 5.</w:t>
      </w:r>
    </w:p>
    <w:p w:rsidR="00F80910" w:rsidRPr="00F80910" w:rsidRDefault="00F80910" w:rsidP="00F80910">
      <w:pPr>
        <w:pStyle w:val="TextoNormalSangraFrancesa"/>
        <w:rPr>
          <w:rStyle w:val="TextoNormalCaracter"/>
        </w:rPr>
      </w:pPr>
      <w:bookmarkStart w:id="1049" w:name="DESCRIPTORALFABETICO127"/>
      <w:r w:rsidRPr="00F80910">
        <w:rPr>
          <w:rStyle w:val="TextoNormalNegritaCaracter"/>
        </w:rPr>
        <w:t>Derecho al honor</w:t>
      </w:r>
      <w:bookmarkEnd w:id="1049"/>
      <w:r w:rsidRPr="00F80910">
        <w:rPr>
          <w:rStyle w:val="TextoNormalCaracter"/>
        </w:rPr>
        <w:t xml:space="preserve">, </w:t>
      </w:r>
    </w:p>
    <w:p w:rsidR="00F80910" w:rsidRPr="00F80910" w:rsidRDefault="00F80910" w:rsidP="00F80910">
      <w:pPr>
        <w:pStyle w:val="TextoNormalSangraFrancesa"/>
        <w:rPr>
          <w:rStyle w:val="TextoNormalCaracter"/>
        </w:rPr>
      </w:pPr>
      <w:r w:rsidRPr="00F80910">
        <w:rPr>
          <w:rStyle w:val="TextoNormalCursivaCaracter"/>
        </w:rPr>
        <w:t xml:space="preserve">    Doctrina constitucional, </w:t>
      </w:r>
      <w:r w:rsidRPr="00F80910">
        <w:rPr>
          <w:rStyle w:val="TextoNormalCaracter"/>
        </w:rPr>
        <w:t xml:space="preserve">Sentencia </w:t>
      </w:r>
      <w:hyperlink w:anchor="SENTENCIA_2015_177" w:history="1">
        <w:r w:rsidRPr="00F80910">
          <w:rPr>
            <w:rStyle w:val="TextoNormalCaracter"/>
          </w:rPr>
          <w:t>177/2015</w:t>
        </w:r>
      </w:hyperlink>
      <w:r w:rsidRPr="00F80910">
        <w:rPr>
          <w:rStyle w:val="TextoNormalCaracter"/>
        </w:rPr>
        <w:t>, f. 3, VP I, VP III.</w:t>
      </w:r>
    </w:p>
    <w:p w:rsidR="00F80910" w:rsidRPr="00F80910" w:rsidRDefault="00F80910" w:rsidP="00F80910">
      <w:pPr>
        <w:pStyle w:val="TextoNormalSangraFrancesa"/>
        <w:rPr>
          <w:rStyle w:val="TextoNormalCaracter"/>
        </w:rPr>
      </w:pPr>
      <w:bookmarkStart w:id="1050" w:name="DESCRIPTORALFABETICO125"/>
      <w:r w:rsidRPr="00F80910">
        <w:rPr>
          <w:rStyle w:val="TextoNormalNegritaCaracter"/>
        </w:rPr>
        <w:t>Derecho al juez predeterminado por la ley</w:t>
      </w:r>
      <w:bookmarkEnd w:id="1050"/>
      <w:r w:rsidRPr="00F80910">
        <w:rPr>
          <w:rStyle w:val="TextoNormalCaracter"/>
        </w:rPr>
        <w:t xml:space="preserve">, Sentencia </w:t>
      </w:r>
      <w:hyperlink w:anchor="SENTENCIA_2015_152" w:history="1">
        <w:r w:rsidRPr="00F80910">
          <w:rPr>
            <w:rStyle w:val="TextoNormalCaracter"/>
          </w:rPr>
          <w:t>152/2015</w:t>
        </w:r>
      </w:hyperlink>
      <w:r w:rsidRPr="00F80910">
        <w:rPr>
          <w:rStyle w:val="TextoNormalCaracter"/>
        </w:rPr>
        <w:t>, f. 9.</w:t>
      </w:r>
    </w:p>
    <w:p w:rsidR="00F80910" w:rsidRPr="00F80910" w:rsidRDefault="00F80910" w:rsidP="00F80910">
      <w:pPr>
        <w:pStyle w:val="TextoNormalSangraFrancesa"/>
        <w:rPr>
          <w:rStyle w:val="TextoNormalCaracter"/>
        </w:rPr>
      </w:pPr>
      <w:r w:rsidRPr="00F80910">
        <w:rPr>
          <w:rStyle w:val="TextoNormalCursivaCaracter"/>
        </w:rPr>
        <w:t xml:space="preserve">    Respetado, </w:t>
      </w:r>
      <w:r w:rsidRPr="00F80910">
        <w:rPr>
          <w:rStyle w:val="TextoNormalCaracter"/>
        </w:rPr>
        <w:t xml:space="preserve">Sentencia </w:t>
      </w:r>
      <w:hyperlink w:anchor="SENTENCIA_2015_266" w:history="1">
        <w:r w:rsidRPr="00F80910">
          <w:rPr>
            <w:rStyle w:val="TextoNormalCaracter"/>
          </w:rPr>
          <w:t>266/2015</w:t>
        </w:r>
      </w:hyperlink>
      <w:r w:rsidRPr="00F80910">
        <w:rPr>
          <w:rStyle w:val="TextoNormalCaracter"/>
        </w:rPr>
        <w:t>, f. 2.</w:t>
      </w:r>
    </w:p>
    <w:p w:rsidR="00F80910" w:rsidRPr="00F80910" w:rsidRDefault="00F80910" w:rsidP="00F80910">
      <w:pPr>
        <w:pStyle w:val="TextoNormalSangraFrancesa"/>
        <w:rPr>
          <w:rStyle w:val="TextoNormalCaracter"/>
        </w:rPr>
      </w:pPr>
      <w:bookmarkStart w:id="1051" w:name="DESCRIPTORALFABETICO101"/>
      <w:r w:rsidRPr="00F80910">
        <w:rPr>
          <w:rStyle w:val="TextoNormalNegritaCaracter"/>
        </w:rPr>
        <w:t>Derecho al recurso penal</w:t>
      </w:r>
      <w:bookmarkEnd w:id="1051"/>
      <w:r w:rsidRPr="00F80910">
        <w:rPr>
          <w:rStyle w:val="TextoNormalCaracter"/>
        </w:rPr>
        <w:t xml:space="preserve">, </w:t>
      </w:r>
    </w:p>
    <w:p w:rsidR="00F80910" w:rsidRPr="00F80910" w:rsidRDefault="00F80910" w:rsidP="00F80910">
      <w:pPr>
        <w:pStyle w:val="TextoNormalSangraFrancesa"/>
        <w:rPr>
          <w:rStyle w:val="TextoNormalCaracter"/>
        </w:rPr>
      </w:pPr>
      <w:r w:rsidRPr="00F80910">
        <w:rPr>
          <w:rStyle w:val="TextoNormalCursivaCaracter"/>
        </w:rPr>
        <w:t xml:space="preserve">    Vulnerado, </w:t>
      </w:r>
      <w:r w:rsidRPr="00F80910">
        <w:rPr>
          <w:rStyle w:val="TextoNormalCaracter"/>
        </w:rPr>
        <w:t xml:space="preserve">Sentencia </w:t>
      </w:r>
      <w:hyperlink w:anchor="SENTENCIA_2015_194" w:history="1">
        <w:r w:rsidRPr="00F80910">
          <w:rPr>
            <w:rStyle w:val="TextoNormalCaracter"/>
          </w:rPr>
          <w:t>194/2015</w:t>
        </w:r>
      </w:hyperlink>
      <w:r w:rsidRPr="00F80910">
        <w:rPr>
          <w:rStyle w:val="TextoNormalCaracter"/>
        </w:rPr>
        <w:t>, ff. 2, 5, 6.</w:t>
      </w:r>
    </w:p>
    <w:p w:rsidR="00F80910" w:rsidRPr="00F80910" w:rsidRDefault="00F80910" w:rsidP="00F80910">
      <w:pPr>
        <w:pStyle w:val="TextoNormalSangraFrancesa"/>
        <w:rPr>
          <w:rStyle w:val="TextoNormalCaracter"/>
        </w:rPr>
      </w:pPr>
      <w:bookmarkStart w:id="1052" w:name="DESCRIPTORALFABETICO98"/>
      <w:r w:rsidRPr="00F80910">
        <w:rPr>
          <w:rStyle w:val="TextoNormalNegritaCaracter"/>
        </w:rPr>
        <w:t>Derecho de acceso a la jurisdicción</w:t>
      </w:r>
      <w:bookmarkEnd w:id="1052"/>
      <w:r w:rsidRPr="00F80910">
        <w:rPr>
          <w:rStyle w:val="TextoNormalCaracter"/>
        </w:rPr>
        <w:t xml:space="preserve">, Sentencia </w:t>
      </w:r>
      <w:hyperlink w:anchor="SENTENCIA_2015_207" w:history="1">
        <w:r w:rsidRPr="00F80910">
          <w:rPr>
            <w:rStyle w:val="TextoNormalCaracter"/>
          </w:rPr>
          <w:t>207/2015</w:t>
        </w:r>
      </w:hyperlink>
      <w:r w:rsidRPr="00F80910">
        <w:rPr>
          <w:rStyle w:val="TextoNormalCaracter"/>
        </w:rPr>
        <w:t>, ff. 2, 5.</w:t>
      </w:r>
    </w:p>
    <w:p w:rsidR="00F80910" w:rsidRPr="00F80910" w:rsidRDefault="00F80910" w:rsidP="00F80910">
      <w:pPr>
        <w:pStyle w:val="TextoNormalSangraFrancesa"/>
        <w:rPr>
          <w:rStyle w:val="TextoNormalCaracter"/>
        </w:rPr>
      </w:pPr>
      <w:r w:rsidRPr="00F80910">
        <w:rPr>
          <w:rStyle w:val="TextoNormalCursivaCaracter"/>
        </w:rPr>
        <w:t xml:space="preserve">    Respetado, </w:t>
      </w:r>
      <w:r w:rsidRPr="00F80910">
        <w:rPr>
          <w:rStyle w:val="TextoNormalCaracter"/>
        </w:rPr>
        <w:t xml:space="preserve">Sentencia </w:t>
      </w:r>
      <w:hyperlink w:anchor="SENTENCIA_2015_233" w:history="1">
        <w:r w:rsidRPr="00F80910">
          <w:rPr>
            <w:rStyle w:val="TextoNormalCaracter"/>
          </w:rPr>
          <w:t>233/2015</w:t>
        </w:r>
      </w:hyperlink>
      <w:r w:rsidRPr="00F80910">
        <w:rPr>
          <w:rStyle w:val="TextoNormalCaracter"/>
        </w:rPr>
        <w:t>, f. 14.</w:t>
      </w:r>
    </w:p>
    <w:p w:rsidR="00F80910" w:rsidRPr="00F80910" w:rsidRDefault="00F80910" w:rsidP="00F80910">
      <w:pPr>
        <w:pStyle w:val="TextoNormalSangraFrancesa"/>
        <w:rPr>
          <w:rStyle w:val="TextoNormalCaracter"/>
        </w:rPr>
      </w:pPr>
      <w:r w:rsidRPr="00F80910">
        <w:rPr>
          <w:rStyle w:val="TextoNormalCursivaCaracter"/>
        </w:rPr>
        <w:t xml:space="preserve">    Vulnerado, </w:t>
      </w:r>
      <w:r w:rsidRPr="00F80910">
        <w:rPr>
          <w:rStyle w:val="TextoNormalCaracter"/>
        </w:rPr>
        <w:t xml:space="preserve">Sentencia </w:t>
      </w:r>
      <w:hyperlink w:anchor="SENTENCIA_2015_186" w:history="1">
        <w:r w:rsidRPr="00F80910">
          <w:rPr>
            <w:rStyle w:val="TextoNormalCaracter"/>
          </w:rPr>
          <w:t>186/2015</w:t>
        </w:r>
      </w:hyperlink>
      <w:r w:rsidRPr="00F80910">
        <w:rPr>
          <w:rStyle w:val="TextoNormalCaracter"/>
        </w:rPr>
        <w:t>, f. 4.</w:t>
      </w:r>
    </w:p>
    <w:p w:rsidR="00F80910" w:rsidRPr="00F80910" w:rsidRDefault="00F80910" w:rsidP="00F80910">
      <w:pPr>
        <w:pStyle w:val="TextoNormalSangraFrancesa"/>
        <w:rPr>
          <w:rStyle w:val="TextoNormalCaracter"/>
        </w:rPr>
      </w:pPr>
      <w:bookmarkStart w:id="1053" w:name="DESCRIPTORALFABETICO99"/>
      <w:r w:rsidRPr="00F80910">
        <w:rPr>
          <w:rStyle w:val="TextoNormalNegritaCaracter"/>
        </w:rPr>
        <w:t>Derecho de acceso al proceso</w:t>
      </w:r>
      <w:bookmarkEnd w:id="1053"/>
      <w:r w:rsidRPr="00F80910">
        <w:rPr>
          <w:rStyle w:val="TextoNormalCaracter"/>
        </w:rPr>
        <w:t xml:space="preserve">, Sentencia </w:t>
      </w:r>
      <w:hyperlink w:anchor="SENTENCIA_2015_208" w:history="1">
        <w:r w:rsidRPr="00F80910">
          <w:rPr>
            <w:rStyle w:val="TextoNormalCaracter"/>
          </w:rPr>
          <w:t>208/2015</w:t>
        </w:r>
      </w:hyperlink>
      <w:r w:rsidRPr="00F80910">
        <w:rPr>
          <w:rStyle w:val="TextoNormalCaracter"/>
        </w:rPr>
        <w:t>, ff. 3, 5, 6.</w:t>
      </w:r>
    </w:p>
    <w:p w:rsidR="00F80910" w:rsidRPr="00F80910" w:rsidRDefault="00F80910" w:rsidP="00F80910">
      <w:pPr>
        <w:pStyle w:val="TextoNormalSangraFrancesa"/>
        <w:rPr>
          <w:rStyle w:val="TextoNormalCaracter"/>
        </w:rPr>
      </w:pPr>
      <w:bookmarkStart w:id="1054" w:name="DESCRIPTORALFABETICO100"/>
      <w:r w:rsidRPr="00F80910">
        <w:rPr>
          <w:rStyle w:val="TextoNormalNegritaCaracter"/>
        </w:rPr>
        <w:t>Derecho de acceso al recurso legal</w:t>
      </w:r>
      <w:bookmarkEnd w:id="1054"/>
      <w:r w:rsidRPr="00F80910">
        <w:rPr>
          <w:rStyle w:val="TextoNormalCaracter"/>
        </w:rPr>
        <w:t xml:space="preserve">, Auto </w:t>
      </w:r>
      <w:hyperlink w:anchor="AUTO_2015_195" w:history="1">
        <w:r w:rsidRPr="00F80910">
          <w:rPr>
            <w:rStyle w:val="TextoNormalCaracter"/>
          </w:rPr>
          <w:t>195/2015</w:t>
        </w:r>
      </w:hyperlink>
      <w:r w:rsidRPr="00F80910">
        <w:rPr>
          <w:rStyle w:val="TextoNormalCaracter"/>
        </w:rPr>
        <w:t>, f. 1.</w:t>
      </w:r>
    </w:p>
    <w:p w:rsidR="00F80910" w:rsidRPr="00F80910" w:rsidRDefault="00F80910" w:rsidP="00F80910">
      <w:pPr>
        <w:pStyle w:val="TextoNormalSangraFrancesa"/>
        <w:rPr>
          <w:rStyle w:val="TextoNormalCaracter"/>
        </w:rPr>
      </w:pPr>
      <w:r w:rsidRPr="00F80910">
        <w:rPr>
          <w:rStyle w:val="TextoNormalCursivaCaracter"/>
        </w:rPr>
        <w:t xml:space="preserve">    Vulnerado, </w:t>
      </w:r>
      <w:r w:rsidRPr="00F80910">
        <w:rPr>
          <w:rStyle w:val="TextoNormalCaracter"/>
        </w:rPr>
        <w:t xml:space="preserve">Sentencia </w:t>
      </w:r>
      <w:hyperlink w:anchor="SENTENCIA_2015_149" w:history="1">
        <w:r w:rsidRPr="00F80910">
          <w:rPr>
            <w:rStyle w:val="TextoNormalCaracter"/>
          </w:rPr>
          <w:t>149/2015</w:t>
        </w:r>
      </w:hyperlink>
      <w:r w:rsidRPr="00F80910">
        <w:rPr>
          <w:rStyle w:val="TextoNormalCaracter"/>
        </w:rPr>
        <w:t>, f. 3.</w:t>
      </w:r>
    </w:p>
    <w:p w:rsidR="00F80910" w:rsidRPr="00F80910" w:rsidRDefault="00F80910" w:rsidP="00F80910">
      <w:pPr>
        <w:pStyle w:val="TextoNormalSangraFrancesa"/>
        <w:rPr>
          <w:rStyle w:val="TextoNormalCaracter"/>
        </w:rPr>
      </w:pPr>
      <w:bookmarkStart w:id="1055" w:name="DESCRIPTORALFABETICO362"/>
      <w:r w:rsidRPr="00F80910">
        <w:rPr>
          <w:rStyle w:val="TextoNormalNegritaCaracter"/>
        </w:rPr>
        <w:t>Derecho de propiedad</w:t>
      </w:r>
      <w:bookmarkEnd w:id="1055"/>
      <w:r w:rsidRPr="00F80910">
        <w:rPr>
          <w:rStyle w:val="TextoNormalCaracter"/>
        </w:rPr>
        <w:t xml:space="preserve">, Sentencias </w:t>
      </w:r>
      <w:hyperlink w:anchor="SENTENCIA_2015_154" w:history="1">
        <w:r w:rsidRPr="00F80910">
          <w:rPr>
            <w:rStyle w:val="TextoNormalCaracter"/>
          </w:rPr>
          <w:t>154/2015</w:t>
        </w:r>
      </w:hyperlink>
      <w:r w:rsidRPr="00F80910">
        <w:rPr>
          <w:rStyle w:val="TextoNormalCaracter"/>
        </w:rPr>
        <w:t xml:space="preserve">, ff. 3, 4; </w:t>
      </w:r>
      <w:hyperlink w:anchor="SENTENCIA_2015_218" w:history="1">
        <w:r w:rsidRPr="00F80910">
          <w:rPr>
            <w:rStyle w:val="TextoNormalCaracter"/>
          </w:rPr>
          <w:t>218/2015</w:t>
        </w:r>
      </w:hyperlink>
      <w:r w:rsidRPr="00F80910">
        <w:rPr>
          <w:rStyle w:val="TextoNormalCaracter"/>
        </w:rPr>
        <w:t>, ff. 2, 3, VP IV.</w:t>
      </w:r>
    </w:p>
    <w:p w:rsidR="00F80910" w:rsidRPr="00F80910" w:rsidRDefault="00F80910" w:rsidP="00F80910">
      <w:pPr>
        <w:pStyle w:val="TextoNormalSangraFrancesa"/>
        <w:rPr>
          <w:rStyle w:val="TextoNormalCaracter"/>
        </w:rPr>
      </w:pPr>
      <w:bookmarkStart w:id="1056" w:name="DESCRIPTORALFABETICO489"/>
      <w:r w:rsidRPr="00F80910">
        <w:rPr>
          <w:rStyle w:val="TextoNormalNegritaCaracter"/>
        </w:rPr>
        <w:t>Derechos consolidados</w:t>
      </w:r>
      <w:bookmarkEnd w:id="1056"/>
      <w:r w:rsidRPr="00F80910">
        <w:rPr>
          <w:rStyle w:val="TextoNormalCaracter"/>
        </w:rPr>
        <w:t xml:space="preserve">, Sentencias </w:t>
      </w:r>
      <w:hyperlink w:anchor="SENTENCIA_2015_267" w:history="1">
        <w:r w:rsidRPr="00F80910">
          <w:rPr>
            <w:rStyle w:val="TextoNormalCaracter"/>
          </w:rPr>
          <w:t>267/2015</w:t>
        </w:r>
      </w:hyperlink>
      <w:r w:rsidRPr="00F80910">
        <w:rPr>
          <w:rStyle w:val="TextoNormalCaracter"/>
        </w:rPr>
        <w:t xml:space="preserve">, ff. 3, 4; </w:t>
      </w:r>
      <w:hyperlink w:anchor="SENTENCIA_2015_268" w:history="1">
        <w:r w:rsidRPr="00F80910">
          <w:rPr>
            <w:rStyle w:val="TextoNormalCaracter"/>
          </w:rPr>
          <w:t>268/2015</w:t>
        </w:r>
      </w:hyperlink>
      <w:r w:rsidRPr="00F80910">
        <w:rPr>
          <w:rStyle w:val="TextoNormalCaracter"/>
        </w:rPr>
        <w:t>, ff. 3, 4.</w:t>
      </w:r>
    </w:p>
    <w:p w:rsidR="00F80910" w:rsidRPr="00F80910" w:rsidRDefault="00F80910" w:rsidP="00F80910">
      <w:pPr>
        <w:pStyle w:val="TextoNormalSangraFrancesa"/>
        <w:rPr>
          <w:rStyle w:val="TextoNormalCaracter"/>
        </w:rPr>
      </w:pPr>
      <w:bookmarkStart w:id="1057" w:name="DESCRIPTORALFABETICO128"/>
      <w:r w:rsidRPr="00F80910">
        <w:rPr>
          <w:rStyle w:val="TextoNormalNegritaCaracter"/>
        </w:rPr>
        <w:t>Derechos fundamentales de los extranjeros</w:t>
      </w:r>
      <w:bookmarkEnd w:id="1057"/>
      <w:r w:rsidRPr="00F80910">
        <w:rPr>
          <w:rStyle w:val="TextoNormalCaracter"/>
        </w:rPr>
        <w:t xml:space="preserve">, Sentencia </w:t>
      </w:r>
      <w:hyperlink w:anchor="SENTENCIA_2015_155" w:history="1">
        <w:r w:rsidRPr="00F80910">
          <w:rPr>
            <w:rStyle w:val="TextoNormalCaracter"/>
          </w:rPr>
          <w:t>155/2015</w:t>
        </w:r>
      </w:hyperlink>
      <w:r w:rsidRPr="00F80910">
        <w:rPr>
          <w:rStyle w:val="TextoNormalCaracter"/>
        </w:rPr>
        <w:t>, f. 2, VP I, VP II.</w:t>
      </w:r>
    </w:p>
    <w:p w:rsidR="00F80910" w:rsidRPr="00F80910" w:rsidRDefault="00F80910" w:rsidP="00F80910">
      <w:pPr>
        <w:pStyle w:val="TextoNormalSangraFrancesa"/>
        <w:rPr>
          <w:rStyle w:val="TextoNormalCaracter"/>
        </w:rPr>
      </w:pPr>
      <w:bookmarkStart w:id="1058" w:name="DESCRIPTORALFABETICO332"/>
      <w:r w:rsidRPr="00F80910">
        <w:rPr>
          <w:rStyle w:val="TextoNormalNegritaCaracter"/>
        </w:rPr>
        <w:t>Derechos y deberes</w:t>
      </w:r>
      <w:bookmarkEnd w:id="1058"/>
      <w:r w:rsidRPr="00F80910">
        <w:rPr>
          <w:rStyle w:val="TextoNormalCaracter"/>
        </w:rPr>
        <w:t xml:space="preserve">, Sentencia </w:t>
      </w:r>
      <w:hyperlink w:anchor="SENTENCIA_2015_187" w:history="1">
        <w:r w:rsidRPr="00F80910">
          <w:rPr>
            <w:rStyle w:val="TextoNormalCaracter"/>
          </w:rPr>
          <w:t>187/2015</w:t>
        </w:r>
      </w:hyperlink>
      <w:r w:rsidRPr="00F80910">
        <w:rPr>
          <w:rStyle w:val="TextoNormalCaracter"/>
        </w:rPr>
        <w:t>, f. 4.</w:t>
      </w:r>
    </w:p>
    <w:p w:rsidR="00F80910" w:rsidRPr="00F80910" w:rsidRDefault="00F80910" w:rsidP="00F80910">
      <w:pPr>
        <w:pStyle w:val="TextoNormalSangraFrancesa"/>
        <w:rPr>
          <w:rStyle w:val="TextoNormalCaracter"/>
        </w:rPr>
      </w:pPr>
      <w:bookmarkStart w:id="1059" w:name="DESCRIPTORALFABETICO371"/>
      <w:r w:rsidRPr="00F80910">
        <w:rPr>
          <w:rStyle w:val="TextoNormalNegritaCaracter"/>
        </w:rPr>
        <w:t>Desafectación de bienes de dominio público</w:t>
      </w:r>
      <w:bookmarkEnd w:id="1059"/>
      <w:r w:rsidRPr="00F80910">
        <w:rPr>
          <w:rStyle w:val="TextoNormalCaracter"/>
        </w:rPr>
        <w:t xml:space="preserve">, Sentencia </w:t>
      </w:r>
      <w:hyperlink w:anchor="SENTENCIA_2015_233" w:history="1">
        <w:r w:rsidRPr="00F80910">
          <w:rPr>
            <w:rStyle w:val="TextoNormalCaracter"/>
          </w:rPr>
          <w:t>233/2015</w:t>
        </w:r>
      </w:hyperlink>
      <w:r w:rsidRPr="00F80910">
        <w:rPr>
          <w:rStyle w:val="TextoNormalCaracter"/>
        </w:rPr>
        <w:t>, f. 14.</w:t>
      </w:r>
    </w:p>
    <w:p w:rsidR="00F80910" w:rsidRPr="00F80910" w:rsidRDefault="00F80910" w:rsidP="00F80910">
      <w:pPr>
        <w:pStyle w:val="TextoNormalSangraFrancesa"/>
        <w:rPr>
          <w:rStyle w:val="TextoNormalCaracter"/>
        </w:rPr>
      </w:pPr>
      <w:bookmarkStart w:id="1060" w:name="DESCRIPTORALFABETICO571"/>
      <w:r w:rsidRPr="00F80910">
        <w:rPr>
          <w:rStyle w:val="TextoNormalNegritaCaracter"/>
        </w:rPr>
        <w:t>Desestimación de recurso de súplica</w:t>
      </w:r>
      <w:bookmarkEnd w:id="1060"/>
      <w:r w:rsidRPr="00F80910">
        <w:rPr>
          <w:rStyle w:val="TextoNormalCaracter"/>
        </w:rPr>
        <w:t xml:space="preserve">, Auto </w:t>
      </w:r>
      <w:hyperlink w:anchor="AUTO_2015_128" w:history="1">
        <w:r w:rsidRPr="00F80910">
          <w:rPr>
            <w:rStyle w:val="TextoNormalCaracter"/>
          </w:rPr>
          <w:t>128/2015</w:t>
        </w:r>
      </w:hyperlink>
      <w:r w:rsidRPr="00F80910">
        <w:rPr>
          <w:rStyle w:val="TextoNormalCaracter"/>
        </w:rPr>
        <w:t>, f. 2.</w:t>
      </w:r>
    </w:p>
    <w:p w:rsidR="00F80910" w:rsidRPr="00F80910" w:rsidRDefault="00F80910" w:rsidP="00F80910">
      <w:pPr>
        <w:pStyle w:val="TextoNormalSangraFrancesa"/>
        <w:rPr>
          <w:rStyle w:val="TextoNormalCaracter"/>
        </w:rPr>
      </w:pPr>
      <w:bookmarkStart w:id="1061" w:name="DESCRIPTORALFABETICO191"/>
      <w:r w:rsidRPr="00F80910">
        <w:rPr>
          <w:rStyle w:val="TextoNormalNegritaCaracter"/>
        </w:rPr>
        <w:t>Desestimación de recurso de súplica contra providencias de inadmisión del Tribunal Constitucional</w:t>
      </w:r>
      <w:bookmarkEnd w:id="1061"/>
      <w:r w:rsidRPr="00F80910">
        <w:rPr>
          <w:rStyle w:val="TextoNormalCaracter"/>
        </w:rPr>
        <w:t xml:space="preserve">, Autos </w:t>
      </w:r>
      <w:hyperlink w:anchor="AUTO_2015_142" w:history="1">
        <w:r w:rsidRPr="00F80910">
          <w:rPr>
            <w:rStyle w:val="TextoNormalCaracter"/>
          </w:rPr>
          <w:t>142/2015</w:t>
        </w:r>
      </w:hyperlink>
      <w:r w:rsidRPr="00F80910">
        <w:rPr>
          <w:rStyle w:val="TextoNormalCaracter"/>
        </w:rPr>
        <w:t xml:space="preserve">, f. 4; </w:t>
      </w:r>
      <w:hyperlink w:anchor="AUTO_2015_148" w:history="1">
        <w:r w:rsidRPr="00F80910">
          <w:rPr>
            <w:rStyle w:val="TextoNormalCaracter"/>
          </w:rPr>
          <w:t>148/2015</w:t>
        </w:r>
      </w:hyperlink>
      <w:r w:rsidRPr="00F80910">
        <w:rPr>
          <w:rStyle w:val="TextoNormalCaracter"/>
        </w:rPr>
        <w:t>.</w:t>
      </w:r>
    </w:p>
    <w:p w:rsidR="00F80910" w:rsidRPr="00F80910" w:rsidRDefault="00F80910" w:rsidP="00F80910">
      <w:pPr>
        <w:pStyle w:val="TextoNormalSangraFrancesa"/>
        <w:rPr>
          <w:rStyle w:val="TextoNormalCaracter"/>
        </w:rPr>
      </w:pPr>
      <w:bookmarkStart w:id="1062" w:name="DESCRIPTORALFABETICO190"/>
      <w:r w:rsidRPr="00F80910">
        <w:rPr>
          <w:rStyle w:val="TextoNormalNegritaCaracter"/>
        </w:rPr>
        <w:t>Desestimación de recurso de súplica contra providencias del Tribunal Constitucional</w:t>
      </w:r>
      <w:bookmarkEnd w:id="1062"/>
      <w:r w:rsidRPr="00F80910">
        <w:rPr>
          <w:rStyle w:val="TextoNormalCaracter"/>
        </w:rPr>
        <w:t xml:space="preserve">, Autos </w:t>
      </w:r>
      <w:hyperlink w:anchor="AUTO_2015_115" w:history="1">
        <w:r w:rsidRPr="00F80910">
          <w:rPr>
            <w:rStyle w:val="TextoNormalCaracter"/>
          </w:rPr>
          <w:t>115/2015</w:t>
        </w:r>
      </w:hyperlink>
      <w:r w:rsidRPr="00F80910">
        <w:rPr>
          <w:rStyle w:val="TextoNormalCaracter"/>
        </w:rPr>
        <w:t xml:space="preserve">, f. único; </w:t>
      </w:r>
      <w:hyperlink w:anchor="AUTO_2015_143" w:history="1">
        <w:r w:rsidRPr="00F80910">
          <w:rPr>
            <w:rStyle w:val="TextoNormalCaracter"/>
          </w:rPr>
          <w:t>143/2015</w:t>
        </w:r>
      </w:hyperlink>
      <w:r w:rsidRPr="00F80910">
        <w:rPr>
          <w:rStyle w:val="TextoNormalCaracter"/>
        </w:rPr>
        <w:t>, f. 3.</w:t>
      </w:r>
    </w:p>
    <w:p w:rsidR="00F80910" w:rsidRPr="00F80910" w:rsidRDefault="00F80910" w:rsidP="00F80910">
      <w:pPr>
        <w:pStyle w:val="TextoNormalSangraFrancesa"/>
        <w:rPr>
          <w:rStyle w:val="TextoNormalCaracter"/>
        </w:rPr>
      </w:pPr>
      <w:bookmarkStart w:id="1063" w:name="DESCRIPTORALFABETICO194"/>
      <w:r w:rsidRPr="00F80910">
        <w:rPr>
          <w:rStyle w:val="TextoNormalNegritaCaracter"/>
        </w:rPr>
        <w:t>Desistimiento en el recurso de amparo</w:t>
      </w:r>
      <w:bookmarkEnd w:id="1063"/>
      <w:r w:rsidRPr="00F80910">
        <w:rPr>
          <w:rStyle w:val="TextoNormalCaracter"/>
        </w:rPr>
        <w:t xml:space="preserve">, Autos </w:t>
      </w:r>
      <w:hyperlink w:anchor="AUTO_2015_123" w:history="1">
        <w:r w:rsidRPr="00F80910">
          <w:rPr>
            <w:rStyle w:val="TextoNormalCaracter"/>
          </w:rPr>
          <w:t>123/2015</w:t>
        </w:r>
      </w:hyperlink>
      <w:r w:rsidRPr="00F80910">
        <w:rPr>
          <w:rStyle w:val="TextoNormalCaracter"/>
        </w:rPr>
        <w:t xml:space="preserve">, f. único; </w:t>
      </w:r>
      <w:hyperlink w:anchor="AUTO_2015_125" w:history="1">
        <w:r w:rsidRPr="00F80910">
          <w:rPr>
            <w:rStyle w:val="TextoNormalCaracter"/>
          </w:rPr>
          <w:t>125/2015</w:t>
        </w:r>
      </w:hyperlink>
      <w:r w:rsidRPr="00F80910">
        <w:rPr>
          <w:rStyle w:val="TextoNormalCaracter"/>
        </w:rPr>
        <w:t xml:space="preserve">, f. único; </w:t>
      </w:r>
      <w:hyperlink w:anchor="AUTO_2015_187" w:history="1">
        <w:r w:rsidRPr="00F80910">
          <w:rPr>
            <w:rStyle w:val="TextoNormalCaracter"/>
          </w:rPr>
          <w:t>187/2015</w:t>
        </w:r>
      </w:hyperlink>
      <w:r w:rsidRPr="00F80910">
        <w:rPr>
          <w:rStyle w:val="TextoNormalCaracter"/>
        </w:rPr>
        <w:t xml:space="preserve">, f. único; </w:t>
      </w:r>
      <w:hyperlink w:anchor="AUTO_2015_191" w:history="1">
        <w:r w:rsidRPr="00F80910">
          <w:rPr>
            <w:rStyle w:val="TextoNormalCaracter"/>
          </w:rPr>
          <w:t>191/2015</w:t>
        </w:r>
      </w:hyperlink>
      <w:r w:rsidRPr="00F80910">
        <w:rPr>
          <w:rStyle w:val="TextoNormalCaracter"/>
        </w:rPr>
        <w:t xml:space="preserve">; </w:t>
      </w:r>
      <w:hyperlink w:anchor="AUTO_2015_199" w:history="1">
        <w:r w:rsidRPr="00F80910">
          <w:rPr>
            <w:rStyle w:val="TextoNormalCaracter"/>
          </w:rPr>
          <w:t>199/2015</w:t>
        </w:r>
      </w:hyperlink>
      <w:r w:rsidRPr="00F80910">
        <w:rPr>
          <w:rStyle w:val="TextoNormalCaracter"/>
        </w:rPr>
        <w:t xml:space="preserve">, f. único; </w:t>
      </w:r>
      <w:hyperlink w:anchor="AUTO_2015_200" w:history="1">
        <w:r w:rsidRPr="00F80910">
          <w:rPr>
            <w:rStyle w:val="TextoNormalCaracter"/>
          </w:rPr>
          <w:t>200/2015</w:t>
        </w:r>
      </w:hyperlink>
      <w:r w:rsidRPr="00F80910">
        <w:rPr>
          <w:rStyle w:val="TextoNormalCaracter"/>
        </w:rPr>
        <w:t xml:space="preserve">, f. único; </w:t>
      </w:r>
      <w:hyperlink w:anchor="AUTO_2015_203" w:history="1">
        <w:r w:rsidRPr="00F80910">
          <w:rPr>
            <w:rStyle w:val="TextoNormalCaracter"/>
          </w:rPr>
          <w:t>203/2015</w:t>
        </w:r>
      </w:hyperlink>
      <w:r w:rsidRPr="00F80910">
        <w:rPr>
          <w:rStyle w:val="TextoNormalCaracter"/>
        </w:rPr>
        <w:t xml:space="preserve">, f. único; </w:t>
      </w:r>
      <w:hyperlink w:anchor="AUTO_2015_204" w:history="1">
        <w:r w:rsidRPr="00F80910">
          <w:rPr>
            <w:rStyle w:val="TextoNormalCaracter"/>
          </w:rPr>
          <w:t>204/2015</w:t>
        </w:r>
      </w:hyperlink>
      <w:r w:rsidRPr="00F80910">
        <w:rPr>
          <w:rStyle w:val="TextoNormalCaracter"/>
        </w:rPr>
        <w:t xml:space="preserve">, f. único; </w:t>
      </w:r>
      <w:hyperlink w:anchor="AUTO_2015_206" w:history="1">
        <w:r w:rsidRPr="00F80910">
          <w:rPr>
            <w:rStyle w:val="TextoNormalCaracter"/>
          </w:rPr>
          <w:t>206/2015</w:t>
        </w:r>
      </w:hyperlink>
      <w:r w:rsidRPr="00F80910">
        <w:rPr>
          <w:rStyle w:val="TextoNormalCaracter"/>
        </w:rPr>
        <w:t>, f. único.</w:t>
      </w:r>
    </w:p>
    <w:p w:rsidR="00F80910" w:rsidRPr="00F80910" w:rsidRDefault="00F80910" w:rsidP="00F80910">
      <w:pPr>
        <w:pStyle w:val="TextoNormalSangraFrancesa"/>
        <w:rPr>
          <w:rStyle w:val="TextoNormalCaracter"/>
        </w:rPr>
      </w:pPr>
      <w:r w:rsidRPr="00F80910">
        <w:rPr>
          <w:rStyle w:val="TextoNormalCursivaCaracter"/>
        </w:rPr>
        <w:t xml:space="preserve">    Procedencia, </w:t>
      </w:r>
      <w:r w:rsidRPr="00F80910">
        <w:rPr>
          <w:rStyle w:val="TextoNormalCaracter"/>
        </w:rPr>
        <w:t xml:space="preserve">Autos </w:t>
      </w:r>
      <w:hyperlink w:anchor="AUTO_2015_147" w:history="1">
        <w:r w:rsidRPr="00F80910">
          <w:rPr>
            <w:rStyle w:val="TextoNormalCaracter"/>
          </w:rPr>
          <w:t>147/2015</w:t>
        </w:r>
      </w:hyperlink>
      <w:r w:rsidRPr="00F80910">
        <w:rPr>
          <w:rStyle w:val="TextoNormalCaracter"/>
        </w:rPr>
        <w:t xml:space="preserve">; </w:t>
      </w:r>
      <w:hyperlink w:anchor="AUTO_2015_150" w:history="1">
        <w:r w:rsidRPr="00F80910">
          <w:rPr>
            <w:rStyle w:val="TextoNormalCaracter"/>
          </w:rPr>
          <w:t>150/2015</w:t>
        </w:r>
      </w:hyperlink>
      <w:r w:rsidRPr="00F80910">
        <w:rPr>
          <w:rStyle w:val="TextoNormalCaracter"/>
        </w:rPr>
        <w:t xml:space="preserve">; </w:t>
      </w:r>
      <w:hyperlink w:anchor="AUTO_2015_151" w:history="1">
        <w:r w:rsidRPr="00F80910">
          <w:rPr>
            <w:rStyle w:val="TextoNormalCaracter"/>
          </w:rPr>
          <w:t>151/2015</w:t>
        </w:r>
      </w:hyperlink>
      <w:r w:rsidRPr="00F80910">
        <w:rPr>
          <w:rStyle w:val="TextoNormalCaracter"/>
        </w:rPr>
        <w:t xml:space="preserve">; </w:t>
      </w:r>
      <w:hyperlink w:anchor="AUTO_2015_152" w:history="1">
        <w:r w:rsidRPr="00F80910">
          <w:rPr>
            <w:rStyle w:val="TextoNormalCaracter"/>
          </w:rPr>
          <w:t>152/2015</w:t>
        </w:r>
      </w:hyperlink>
      <w:r w:rsidRPr="00F80910">
        <w:rPr>
          <w:rStyle w:val="TextoNormalCaracter"/>
        </w:rPr>
        <w:t xml:space="preserve">; </w:t>
      </w:r>
      <w:hyperlink w:anchor="AUTO_2015_153" w:history="1">
        <w:r w:rsidRPr="00F80910">
          <w:rPr>
            <w:rStyle w:val="TextoNormalCaracter"/>
          </w:rPr>
          <w:t>153/2015</w:t>
        </w:r>
      </w:hyperlink>
      <w:r w:rsidRPr="00F80910">
        <w:rPr>
          <w:rStyle w:val="TextoNormalCaracter"/>
        </w:rPr>
        <w:t xml:space="preserve">; </w:t>
      </w:r>
      <w:hyperlink w:anchor="AUTO_2015_156" w:history="1">
        <w:r w:rsidRPr="00F80910">
          <w:rPr>
            <w:rStyle w:val="TextoNormalCaracter"/>
          </w:rPr>
          <w:t>156/2015</w:t>
        </w:r>
      </w:hyperlink>
      <w:r w:rsidRPr="00F80910">
        <w:rPr>
          <w:rStyle w:val="TextoNormalCaracter"/>
        </w:rPr>
        <w:t xml:space="preserve">; </w:t>
      </w:r>
      <w:hyperlink w:anchor="AUTO_2015_157" w:history="1">
        <w:r w:rsidRPr="00F80910">
          <w:rPr>
            <w:rStyle w:val="TextoNormalCaracter"/>
          </w:rPr>
          <w:t>157/2015</w:t>
        </w:r>
      </w:hyperlink>
      <w:r w:rsidRPr="00F80910">
        <w:rPr>
          <w:rStyle w:val="TextoNormalCaracter"/>
        </w:rPr>
        <w:t xml:space="preserve">; </w:t>
      </w:r>
      <w:hyperlink w:anchor="AUTO_2015_158" w:history="1">
        <w:r w:rsidRPr="00F80910">
          <w:rPr>
            <w:rStyle w:val="TextoNormalCaracter"/>
          </w:rPr>
          <w:t>158/2015</w:t>
        </w:r>
      </w:hyperlink>
      <w:r w:rsidRPr="00F80910">
        <w:rPr>
          <w:rStyle w:val="TextoNormalCaracter"/>
        </w:rPr>
        <w:t>.</w:t>
      </w:r>
    </w:p>
    <w:p w:rsidR="00F80910" w:rsidRPr="00F80910" w:rsidRDefault="00F80910" w:rsidP="00F80910">
      <w:pPr>
        <w:pStyle w:val="TextoNormalSangraFrancesa"/>
        <w:rPr>
          <w:rStyle w:val="TextoNormalCaracter"/>
        </w:rPr>
      </w:pPr>
      <w:bookmarkStart w:id="1064" w:name="DESCRIPTORALFABETICO195"/>
      <w:r w:rsidRPr="00F80910">
        <w:rPr>
          <w:rStyle w:val="TextoNormalNegritaCaracter"/>
        </w:rPr>
        <w:t>Desistimiento en el recurso de inconstitucionalidad</w:t>
      </w:r>
      <w:bookmarkEnd w:id="1064"/>
      <w:r w:rsidRPr="00F80910">
        <w:rPr>
          <w:rStyle w:val="TextoNormalCaracter"/>
        </w:rPr>
        <w:t xml:space="preserve">, Auto </w:t>
      </w:r>
      <w:hyperlink w:anchor="AUTO_2015_223" w:history="1">
        <w:r w:rsidRPr="00F80910">
          <w:rPr>
            <w:rStyle w:val="TextoNormalCaracter"/>
          </w:rPr>
          <w:t>223/2015</w:t>
        </w:r>
      </w:hyperlink>
      <w:r w:rsidRPr="00F80910">
        <w:rPr>
          <w:rStyle w:val="TextoNormalCaracter"/>
        </w:rPr>
        <w:t>, f. único.</w:t>
      </w:r>
    </w:p>
    <w:p w:rsidR="00F80910" w:rsidRPr="00F80910" w:rsidRDefault="00F80910" w:rsidP="00F80910">
      <w:pPr>
        <w:pStyle w:val="TextoNormalSangraFrancesa"/>
        <w:rPr>
          <w:rStyle w:val="TextoNormalCaracter"/>
        </w:rPr>
      </w:pPr>
      <w:bookmarkStart w:id="1065" w:name="DESCRIPTORALFABETICO196"/>
      <w:r w:rsidRPr="00F80910">
        <w:rPr>
          <w:rStyle w:val="TextoNormalNegritaCaracter"/>
        </w:rPr>
        <w:t>Desistimiento en el recurso de súplica en procesos constitucionales</w:t>
      </w:r>
      <w:bookmarkEnd w:id="1065"/>
      <w:r w:rsidRPr="00F80910">
        <w:rPr>
          <w:rStyle w:val="TextoNormalCaracter"/>
        </w:rPr>
        <w:t xml:space="preserve">, Auto </w:t>
      </w:r>
      <w:hyperlink w:anchor="AUTO_2015_205" w:history="1">
        <w:r w:rsidRPr="00F80910">
          <w:rPr>
            <w:rStyle w:val="TextoNormalCaracter"/>
          </w:rPr>
          <w:t>205/2015</w:t>
        </w:r>
      </w:hyperlink>
      <w:r w:rsidRPr="00F80910">
        <w:rPr>
          <w:rStyle w:val="TextoNormalCaracter"/>
        </w:rPr>
        <w:t>, f. 2.</w:t>
      </w:r>
    </w:p>
    <w:p w:rsidR="00F80910" w:rsidRPr="00F80910" w:rsidRDefault="00F80910" w:rsidP="00F80910">
      <w:pPr>
        <w:pStyle w:val="TextoNormalSangraFrancesa"/>
        <w:rPr>
          <w:rStyle w:val="TextoNormalCaracter"/>
        </w:rPr>
      </w:pPr>
      <w:bookmarkStart w:id="1066" w:name="DESCRIPTORALFABETICO509"/>
      <w:r w:rsidRPr="00F80910">
        <w:rPr>
          <w:rStyle w:val="TextoNormalNegritaCaracter"/>
        </w:rPr>
        <w:t>Despido disciplinario</w:t>
      </w:r>
      <w:bookmarkEnd w:id="1066"/>
      <w:r w:rsidRPr="00F80910">
        <w:rPr>
          <w:rStyle w:val="TextoNormalCaracter"/>
        </w:rPr>
        <w:t xml:space="preserve">, Sentencia </w:t>
      </w:r>
      <w:hyperlink w:anchor="SENTENCIA_2015_203" w:history="1">
        <w:r w:rsidRPr="00F80910">
          <w:rPr>
            <w:rStyle w:val="TextoNormalCaracter"/>
          </w:rPr>
          <w:t>203/2015</w:t>
        </w:r>
      </w:hyperlink>
      <w:r w:rsidRPr="00F80910">
        <w:rPr>
          <w:rStyle w:val="TextoNormalCaracter"/>
        </w:rPr>
        <w:t>, f. 3.</w:t>
      </w:r>
    </w:p>
    <w:p w:rsidR="00F80910" w:rsidRPr="00F80910" w:rsidRDefault="00F80910" w:rsidP="00F80910">
      <w:pPr>
        <w:pStyle w:val="TextoNormalSangraFrancesa"/>
        <w:rPr>
          <w:rStyle w:val="TextoNormalCaracter"/>
        </w:rPr>
      </w:pPr>
      <w:bookmarkStart w:id="1067" w:name="DESCRIPTORALFABETICO589"/>
      <w:r w:rsidRPr="00F80910">
        <w:rPr>
          <w:rStyle w:val="TextoNormalNegritaCaracter"/>
        </w:rPr>
        <w:t>Detención ilegal</w:t>
      </w:r>
      <w:bookmarkEnd w:id="1067"/>
      <w:r w:rsidRPr="00F80910">
        <w:rPr>
          <w:rStyle w:val="TextoNormalCaracter"/>
        </w:rPr>
        <w:t xml:space="preserve">, Sentencia </w:t>
      </w:r>
      <w:hyperlink w:anchor="SENTENCIA_2015_204" w:history="1">
        <w:r w:rsidRPr="00F80910">
          <w:rPr>
            <w:rStyle w:val="TextoNormalCaracter"/>
          </w:rPr>
          <w:t>204/2015</w:t>
        </w:r>
      </w:hyperlink>
      <w:r w:rsidRPr="00F80910">
        <w:rPr>
          <w:rStyle w:val="TextoNormalCaracter"/>
        </w:rPr>
        <w:t>, ff. 1 a 3.</w:t>
      </w:r>
    </w:p>
    <w:p w:rsidR="00F80910" w:rsidRPr="00F80910" w:rsidRDefault="00F80910" w:rsidP="00F80910">
      <w:pPr>
        <w:pStyle w:val="TextoNormalSangraFrancesa"/>
        <w:rPr>
          <w:rStyle w:val="TextoNormalCaracter"/>
        </w:rPr>
      </w:pPr>
      <w:bookmarkStart w:id="1068" w:name="DESCRIPTORALFABETICO588"/>
      <w:r w:rsidRPr="00F80910">
        <w:rPr>
          <w:rStyle w:val="TextoNormalNegritaCaracter"/>
        </w:rPr>
        <w:t>Detención preventiva</w:t>
      </w:r>
      <w:bookmarkEnd w:id="1068"/>
      <w:r w:rsidRPr="00F80910">
        <w:rPr>
          <w:rStyle w:val="TextoNormalCaracter"/>
        </w:rPr>
        <w:t xml:space="preserve">, Sentencia </w:t>
      </w:r>
      <w:hyperlink w:anchor="SENTENCIA_2015_204" w:history="1">
        <w:r w:rsidRPr="00F80910">
          <w:rPr>
            <w:rStyle w:val="TextoNormalCaracter"/>
          </w:rPr>
          <w:t>204/2015</w:t>
        </w:r>
      </w:hyperlink>
      <w:r w:rsidRPr="00F80910">
        <w:rPr>
          <w:rStyle w:val="TextoNormalCaracter"/>
        </w:rPr>
        <w:t>, ff. 1 a 3.</w:t>
      </w:r>
    </w:p>
    <w:p w:rsidR="00F80910" w:rsidRPr="00F80910" w:rsidRDefault="00F80910" w:rsidP="00F80910">
      <w:pPr>
        <w:pStyle w:val="TextoNormalSangraFrancesa"/>
        <w:rPr>
          <w:rStyle w:val="TextoNormalCaracter"/>
        </w:rPr>
      </w:pPr>
      <w:bookmarkStart w:id="1069" w:name="DESCRIPTORALFABETICO537"/>
      <w:r w:rsidRPr="00F80910">
        <w:rPr>
          <w:rStyle w:val="TextoNormalNegritaCaracter"/>
        </w:rPr>
        <w:t>Dilaciones indebidas en el procedimiento</w:t>
      </w:r>
      <w:bookmarkEnd w:id="1069"/>
      <w:r w:rsidRPr="00F80910">
        <w:rPr>
          <w:rStyle w:val="TextoNormalCaracter"/>
        </w:rPr>
        <w:t xml:space="preserve">, Auto </w:t>
      </w:r>
      <w:hyperlink w:anchor="AUTO_2015_143" w:history="1">
        <w:r w:rsidRPr="00F80910">
          <w:rPr>
            <w:rStyle w:val="TextoNormalCaracter"/>
          </w:rPr>
          <w:t>143/2015</w:t>
        </w:r>
      </w:hyperlink>
      <w:r w:rsidRPr="00F80910">
        <w:rPr>
          <w:rStyle w:val="TextoNormalCaracter"/>
        </w:rPr>
        <w:t>, ff. 2, 3.</w:t>
      </w:r>
    </w:p>
    <w:p w:rsidR="00F80910" w:rsidRPr="00F80910" w:rsidRDefault="00F80910" w:rsidP="00F80910">
      <w:pPr>
        <w:pStyle w:val="TextoNormalSangraFrancesa"/>
        <w:rPr>
          <w:rStyle w:val="TextoNormalCaracter"/>
        </w:rPr>
      </w:pPr>
      <w:bookmarkStart w:id="1070" w:name="DESCRIPTORALFABETICO526"/>
      <w:r w:rsidRPr="00F80910">
        <w:rPr>
          <w:rStyle w:val="TextoNormalNegritaCaracter"/>
        </w:rPr>
        <w:t>Diligencia del órgano judicial en la averiguación del domicilio</w:t>
      </w:r>
      <w:bookmarkEnd w:id="1070"/>
      <w:r w:rsidRPr="00F80910">
        <w:rPr>
          <w:rStyle w:val="TextoNormalCaracter"/>
        </w:rPr>
        <w:t xml:space="preserve">, Sentencias </w:t>
      </w:r>
      <w:hyperlink w:anchor="SENTENCIA_2015_167" w:history="1">
        <w:r w:rsidRPr="00F80910">
          <w:rPr>
            <w:rStyle w:val="TextoNormalCaracter"/>
          </w:rPr>
          <w:t>167/2015</w:t>
        </w:r>
      </w:hyperlink>
      <w:r w:rsidRPr="00F80910">
        <w:rPr>
          <w:rStyle w:val="TextoNormalCaracter"/>
        </w:rPr>
        <w:t xml:space="preserve">, ff. 3, 4; </w:t>
      </w:r>
      <w:hyperlink w:anchor="SENTENCIA_2015_181" w:history="1">
        <w:r w:rsidRPr="00F80910">
          <w:rPr>
            <w:rStyle w:val="TextoNormalCaracter"/>
          </w:rPr>
          <w:t>181/2015</w:t>
        </w:r>
      </w:hyperlink>
      <w:r w:rsidRPr="00F80910">
        <w:rPr>
          <w:rStyle w:val="TextoNormalCaracter"/>
        </w:rPr>
        <w:t>, ff. 3 a 5.</w:t>
      </w:r>
    </w:p>
    <w:p w:rsidR="00F80910" w:rsidRPr="00F80910" w:rsidRDefault="00F80910" w:rsidP="00F80910">
      <w:pPr>
        <w:pStyle w:val="TextoNormalSangraFrancesa"/>
        <w:rPr>
          <w:rStyle w:val="TextoNormalCaracter"/>
        </w:rPr>
      </w:pPr>
      <w:bookmarkStart w:id="1071" w:name="DESCRIPTORALFABETICO314"/>
      <w:r w:rsidRPr="00F80910">
        <w:rPr>
          <w:rStyle w:val="TextoNormalNegritaCaracter"/>
        </w:rPr>
        <w:t>Diputaciones forales</w:t>
      </w:r>
      <w:bookmarkEnd w:id="1071"/>
      <w:r w:rsidRPr="00F80910">
        <w:rPr>
          <w:rStyle w:val="TextoNormalCaracter"/>
        </w:rPr>
        <w:t xml:space="preserve">, Sentencias </w:t>
      </w:r>
      <w:hyperlink w:anchor="SENTENCIA_2015_222" w:history="1">
        <w:r w:rsidRPr="00F80910">
          <w:rPr>
            <w:rStyle w:val="TextoNormalCaracter"/>
          </w:rPr>
          <w:t>222/2015</w:t>
        </w:r>
      </w:hyperlink>
      <w:r w:rsidRPr="00F80910">
        <w:rPr>
          <w:rStyle w:val="TextoNormalCaracter"/>
        </w:rPr>
        <w:t xml:space="preserve">, f. 1; </w:t>
      </w:r>
      <w:hyperlink w:anchor="SENTENCIA_2015_239" w:history="1">
        <w:r w:rsidRPr="00F80910">
          <w:rPr>
            <w:rStyle w:val="TextoNormalCaracter"/>
          </w:rPr>
          <w:t>239/2015</w:t>
        </w:r>
      </w:hyperlink>
      <w:r w:rsidRPr="00F80910">
        <w:rPr>
          <w:rStyle w:val="TextoNormalCaracter"/>
        </w:rPr>
        <w:t xml:space="preserve">, f. 1; </w:t>
      </w:r>
      <w:hyperlink w:anchor="SENTENCIA_2015_240" w:history="1">
        <w:r w:rsidRPr="00F80910">
          <w:rPr>
            <w:rStyle w:val="TextoNormalCaracter"/>
          </w:rPr>
          <w:t>240/2015</w:t>
        </w:r>
      </w:hyperlink>
      <w:r w:rsidRPr="00F80910">
        <w:rPr>
          <w:rStyle w:val="TextoNormalCaracter"/>
        </w:rPr>
        <w:t xml:space="preserve">, f. 1; </w:t>
      </w:r>
      <w:hyperlink w:anchor="SENTENCIA_2015_262" w:history="1">
        <w:r w:rsidRPr="00F80910">
          <w:rPr>
            <w:rStyle w:val="TextoNormalCaracter"/>
          </w:rPr>
          <w:t>262/2015</w:t>
        </w:r>
      </w:hyperlink>
      <w:r w:rsidRPr="00F80910">
        <w:rPr>
          <w:rStyle w:val="TextoNormalCaracter"/>
        </w:rPr>
        <w:t xml:space="preserve">, f. 1; </w:t>
      </w:r>
      <w:hyperlink w:anchor="SENTENCIA_2015_263" w:history="1">
        <w:r w:rsidRPr="00F80910">
          <w:rPr>
            <w:rStyle w:val="TextoNormalCaracter"/>
          </w:rPr>
          <w:t>263/2015</w:t>
        </w:r>
      </w:hyperlink>
      <w:r w:rsidRPr="00F80910">
        <w:rPr>
          <w:rStyle w:val="TextoNormalCaracter"/>
        </w:rPr>
        <w:t>, f. 1.</w:t>
      </w:r>
    </w:p>
    <w:p w:rsidR="00F80910" w:rsidRPr="00F80910" w:rsidRDefault="00F80910" w:rsidP="00F80910">
      <w:pPr>
        <w:pStyle w:val="TextoNormalSangraFrancesa"/>
        <w:rPr>
          <w:rStyle w:val="TextoNormalCaracter"/>
        </w:rPr>
      </w:pPr>
      <w:bookmarkStart w:id="1072" w:name="DESCRIPTORALFABETICO47"/>
      <w:r w:rsidRPr="00F80910">
        <w:rPr>
          <w:rStyle w:val="TextoNormalNegritaCaracter"/>
        </w:rPr>
        <w:t>Dirección de la actividad económica general</w:t>
      </w:r>
      <w:bookmarkEnd w:id="1072"/>
      <w:r w:rsidRPr="00F80910">
        <w:rPr>
          <w:rStyle w:val="TextoNormalCaracter"/>
        </w:rPr>
        <w:t xml:space="preserve">, Sentencia </w:t>
      </w:r>
      <w:hyperlink w:anchor="SENTENCIA_2015_150" w:history="1">
        <w:r w:rsidRPr="00F80910">
          <w:rPr>
            <w:rStyle w:val="TextoNormalCaracter"/>
          </w:rPr>
          <w:t>150/2015</w:t>
        </w:r>
      </w:hyperlink>
      <w:r w:rsidRPr="00F80910">
        <w:rPr>
          <w:rStyle w:val="TextoNormalCaracter"/>
        </w:rPr>
        <w:t>, ff. 1, 3.</w:t>
      </w:r>
    </w:p>
    <w:p w:rsidR="00F80910" w:rsidRPr="00F80910" w:rsidRDefault="00F80910" w:rsidP="00F80910">
      <w:pPr>
        <w:pStyle w:val="TextoNormalSangraFrancesa"/>
        <w:rPr>
          <w:rStyle w:val="TextoNormalCaracter"/>
        </w:rPr>
      </w:pPr>
      <w:bookmarkStart w:id="1073" w:name="DESCRIPTORALFABETICO152"/>
      <w:r w:rsidRPr="00F80910">
        <w:rPr>
          <w:rStyle w:val="TextoNormalNegritaCaracter"/>
        </w:rPr>
        <w:t>Discriminación sindical</w:t>
      </w:r>
      <w:bookmarkEnd w:id="1073"/>
      <w:r w:rsidRPr="00F80910">
        <w:rPr>
          <w:rStyle w:val="TextoNormalCaracter"/>
        </w:rPr>
        <w:t xml:space="preserve">, Sentencia </w:t>
      </w:r>
      <w:hyperlink w:anchor="SENTENCIA_2015_203" w:history="1">
        <w:r w:rsidRPr="00F80910">
          <w:rPr>
            <w:rStyle w:val="TextoNormalCaracter"/>
          </w:rPr>
          <w:t>203/2015</w:t>
        </w:r>
      </w:hyperlink>
      <w:r w:rsidRPr="00F80910">
        <w:rPr>
          <w:rStyle w:val="TextoNormalCaracter"/>
        </w:rPr>
        <w:t>, f. 7.</w:t>
      </w:r>
    </w:p>
    <w:p w:rsidR="00F80910" w:rsidRPr="00F80910" w:rsidRDefault="00F80910" w:rsidP="00F80910">
      <w:pPr>
        <w:pStyle w:val="TextoNormalSangraFrancesa"/>
        <w:rPr>
          <w:rStyle w:val="TextoNormalCaracter"/>
        </w:rPr>
      </w:pPr>
      <w:bookmarkStart w:id="1074" w:name="DESCRIPTORALFABETICO144"/>
      <w:r w:rsidRPr="00F80910">
        <w:rPr>
          <w:rStyle w:val="TextoNormalNegritaCaracter"/>
        </w:rPr>
        <w:t>Discurso del odio</w:t>
      </w:r>
      <w:bookmarkEnd w:id="1074"/>
      <w:r w:rsidRPr="00F80910">
        <w:rPr>
          <w:rStyle w:val="TextoNormalCaracter"/>
        </w:rPr>
        <w:t xml:space="preserve">, Sentencia </w:t>
      </w:r>
      <w:hyperlink w:anchor="SENTENCIA_2015_177" w:history="1">
        <w:r w:rsidRPr="00F80910">
          <w:rPr>
            <w:rStyle w:val="TextoNormalCaracter"/>
          </w:rPr>
          <w:t>177/2015</w:t>
        </w:r>
      </w:hyperlink>
      <w:r w:rsidRPr="00F80910">
        <w:rPr>
          <w:rStyle w:val="TextoNormalCaracter"/>
        </w:rPr>
        <w:t>, ff. 4, 5, VP I, VP III.</w:t>
      </w:r>
    </w:p>
    <w:p w:rsidR="00F80910" w:rsidRPr="00F80910" w:rsidRDefault="00F80910" w:rsidP="00F80910">
      <w:pPr>
        <w:pStyle w:val="TextoNormalSangraFrancesa"/>
        <w:rPr>
          <w:rStyle w:val="TextoNormalCaracter"/>
        </w:rPr>
      </w:pPr>
      <w:bookmarkStart w:id="1075" w:name="DESCRIPTORALFABETICO334"/>
      <w:r w:rsidRPr="00F80910">
        <w:rPr>
          <w:rStyle w:val="TextoNormalNegritaCaracter"/>
        </w:rPr>
        <w:t>Dispensa de titulación en la promoción interna</w:t>
      </w:r>
      <w:bookmarkEnd w:id="1075"/>
      <w:r w:rsidRPr="00F80910">
        <w:rPr>
          <w:rStyle w:val="TextoNormalCaracter"/>
        </w:rPr>
        <w:t xml:space="preserve">, Sentencia </w:t>
      </w:r>
      <w:hyperlink w:anchor="SENTENCIA_2015_200" w:history="1">
        <w:r w:rsidRPr="00F80910">
          <w:rPr>
            <w:rStyle w:val="TextoNormalCaracter"/>
          </w:rPr>
          <w:t>200/2015</w:t>
        </w:r>
      </w:hyperlink>
      <w:r w:rsidRPr="00F80910">
        <w:rPr>
          <w:rStyle w:val="TextoNormalCaracter"/>
        </w:rPr>
        <w:t>, f. 4.</w:t>
      </w:r>
    </w:p>
    <w:p w:rsidR="00F80910" w:rsidRPr="00F80910" w:rsidRDefault="00F80910" w:rsidP="00F80910">
      <w:pPr>
        <w:pStyle w:val="TextoNormalSangraFrancesa"/>
        <w:rPr>
          <w:rStyle w:val="TextoNormalCaracter"/>
        </w:rPr>
      </w:pPr>
      <w:bookmarkStart w:id="1076" w:name="DESCRIPTORALFABETICO547"/>
      <w:r w:rsidRPr="00F80910">
        <w:rPr>
          <w:rStyle w:val="TextoNormalNegritaCaracter"/>
        </w:rPr>
        <w:t>Distribución de la carga de la prueba</w:t>
      </w:r>
      <w:bookmarkEnd w:id="1076"/>
      <w:r w:rsidRPr="00F80910">
        <w:rPr>
          <w:rStyle w:val="TextoNormalCaracter"/>
        </w:rPr>
        <w:t xml:space="preserve">, Sentencia </w:t>
      </w:r>
      <w:hyperlink w:anchor="SENTENCIA_2015_183" w:history="1">
        <w:r w:rsidRPr="00F80910">
          <w:rPr>
            <w:rStyle w:val="TextoNormalCaracter"/>
          </w:rPr>
          <w:t>183/2015</w:t>
        </w:r>
      </w:hyperlink>
      <w:r w:rsidRPr="00F80910">
        <w:rPr>
          <w:rStyle w:val="TextoNormalCaracter"/>
        </w:rPr>
        <w:t>, ff. 4 a 7, VP.</w:t>
      </w:r>
    </w:p>
    <w:p w:rsidR="00F80910" w:rsidRPr="00F80910" w:rsidRDefault="00F80910" w:rsidP="00F80910">
      <w:pPr>
        <w:pStyle w:val="TextoNormalSangraFrancesa"/>
        <w:rPr>
          <w:rStyle w:val="TextoNormalCaracter"/>
        </w:rPr>
      </w:pPr>
      <w:bookmarkStart w:id="1077" w:name="DESCRIPTORALFABETICO401"/>
      <w:r w:rsidRPr="00F80910">
        <w:rPr>
          <w:rStyle w:val="TextoNormalNegritaCaracter"/>
        </w:rPr>
        <w:t>Distribución territorial de subvenciones estatales</w:t>
      </w:r>
      <w:bookmarkEnd w:id="1077"/>
      <w:r w:rsidRPr="00F80910">
        <w:rPr>
          <w:rStyle w:val="TextoNormalCaracter"/>
        </w:rPr>
        <w:t xml:space="preserve">, Sentencia </w:t>
      </w:r>
      <w:hyperlink w:anchor="SENTENCIA_2015_178" w:history="1">
        <w:r w:rsidRPr="00F80910">
          <w:rPr>
            <w:rStyle w:val="TextoNormalCaracter"/>
          </w:rPr>
          <w:t>178/2015</w:t>
        </w:r>
      </w:hyperlink>
      <w:r w:rsidRPr="00F80910">
        <w:rPr>
          <w:rStyle w:val="TextoNormalCaracter"/>
        </w:rPr>
        <w:t>, ff. 6, 7.</w:t>
      </w:r>
    </w:p>
    <w:p w:rsidR="00F80910" w:rsidRPr="00F80910" w:rsidRDefault="00F80910" w:rsidP="00F80910">
      <w:pPr>
        <w:pStyle w:val="TextoNormalSangraFrancesa"/>
        <w:rPr>
          <w:rStyle w:val="TextoNormalCaracter"/>
        </w:rPr>
      </w:pPr>
      <w:bookmarkStart w:id="1078" w:name="DESCRIPTORALFABETICO58"/>
      <w:r w:rsidRPr="00F80910">
        <w:rPr>
          <w:rStyle w:val="TextoNormalNegritaCaracter"/>
        </w:rPr>
        <w:t>Doble imposición</w:t>
      </w:r>
      <w:bookmarkEnd w:id="1078"/>
      <w:r w:rsidRPr="00F80910">
        <w:rPr>
          <w:rStyle w:val="TextoNormalCaracter"/>
        </w:rPr>
        <w:t xml:space="preserve">, Auto </w:t>
      </w:r>
      <w:hyperlink w:anchor="AUTO_2015_196" w:history="1">
        <w:r w:rsidRPr="00F80910">
          <w:rPr>
            <w:rStyle w:val="TextoNormalCaracter"/>
          </w:rPr>
          <w:t>196/2015</w:t>
        </w:r>
      </w:hyperlink>
      <w:r w:rsidRPr="00F80910">
        <w:rPr>
          <w:rStyle w:val="TextoNormalCaracter"/>
        </w:rPr>
        <w:t>, f. 1.</w:t>
      </w:r>
    </w:p>
    <w:p w:rsidR="00F80910" w:rsidRPr="00F80910" w:rsidRDefault="00F80910" w:rsidP="00F80910">
      <w:pPr>
        <w:pStyle w:val="TextoNormalSangraFrancesa"/>
        <w:rPr>
          <w:rStyle w:val="TextoNormalCaracter"/>
        </w:rPr>
      </w:pPr>
      <w:bookmarkStart w:id="1079" w:name="DESCRIPTORALFABETICO102"/>
      <w:r w:rsidRPr="00F80910">
        <w:rPr>
          <w:rStyle w:val="TextoNormalNegritaCaracter"/>
        </w:rPr>
        <w:t>Doble instancia penal</w:t>
      </w:r>
      <w:bookmarkEnd w:id="1079"/>
      <w:r w:rsidRPr="00F80910">
        <w:rPr>
          <w:rStyle w:val="TextoNormalCaracter"/>
        </w:rPr>
        <w:t xml:space="preserve">, </w:t>
      </w:r>
    </w:p>
    <w:p w:rsidR="00F80910" w:rsidRPr="00F80910" w:rsidRDefault="00F80910" w:rsidP="00F80910">
      <w:pPr>
        <w:pStyle w:val="TextoNormalSangraFrancesa"/>
        <w:rPr>
          <w:rStyle w:val="TextoNormalCaracter"/>
        </w:rPr>
      </w:pPr>
      <w:r w:rsidRPr="00F80910">
        <w:rPr>
          <w:rStyle w:val="TextoNormalCursivaCaracter"/>
        </w:rPr>
        <w:t xml:space="preserve">    Alcance, </w:t>
      </w:r>
      <w:r w:rsidRPr="00F80910">
        <w:rPr>
          <w:rStyle w:val="TextoNormalCaracter"/>
        </w:rPr>
        <w:t xml:space="preserve">Sentencia </w:t>
      </w:r>
      <w:hyperlink w:anchor="SENTENCIA_2015_194" w:history="1">
        <w:r w:rsidRPr="00F80910">
          <w:rPr>
            <w:rStyle w:val="TextoNormalCaracter"/>
          </w:rPr>
          <w:t>194/2015</w:t>
        </w:r>
      </w:hyperlink>
      <w:r w:rsidRPr="00F80910">
        <w:rPr>
          <w:rStyle w:val="TextoNormalCaracter"/>
        </w:rPr>
        <w:t>, ff. 2, 5.</w:t>
      </w:r>
    </w:p>
    <w:p w:rsidR="00F80910" w:rsidRPr="00F80910" w:rsidRDefault="00F80910" w:rsidP="00F80910">
      <w:pPr>
        <w:pStyle w:val="TextoNormalSangraFrancesa"/>
        <w:rPr>
          <w:rStyle w:val="TextoNormalCaracter"/>
        </w:rPr>
      </w:pPr>
      <w:bookmarkStart w:id="1080" w:name="DESCRIPTORALFABETICO439"/>
      <w:r w:rsidRPr="00F80910">
        <w:rPr>
          <w:rStyle w:val="TextoNormalNegritaCaracter"/>
        </w:rPr>
        <w:t>Doctrina del Tribunal Europeo de Derechos Humanos</w:t>
      </w:r>
      <w:bookmarkEnd w:id="1080"/>
      <w:r w:rsidRPr="00F80910">
        <w:rPr>
          <w:rStyle w:val="TextoNormalCaracter"/>
        </w:rPr>
        <w:t xml:space="preserve">, Sentencias </w:t>
      </w:r>
      <w:hyperlink w:anchor="SENTENCIA_2015_155" w:history="1">
        <w:r w:rsidRPr="00F80910">
          <w:rPr>
            <w:rStyle w:val="TextoNormalCaracter"/>
          </w:rPr>
          <w:t>155/2015</w:t>
        </w:r>
      </w:hyperlink>
      <w:r w:rsidRPr="00F80910">
        <w:rPr>
          <w:rStyle w:val="TextoNormalCaracter"/>
        </w:rPr>
        <w:t xml:space="preserve">, f. 5; </w:t>
      </w:r>
      <w:hyperlink w:anchor="SENTENCIA_2015_177" w:history="1">
        <w:r w:rsidRPr="00F80910">
          <w:rPr>
            <w:rStyle w:val="TextoNormalCaracter"/>
          </w:rPr>
          <w:t>177/2015</w:t>
        </w:r>
      </w:hyperlink>
      <w:r w:rsidRPr="00F80910">
        <w:rPr>
          <w:rStyle w:val="TextoNormalCaracter"/>
        </w:rPr>
        <w:t xml:space="preserve">, ff. 2 a 5; </w:t>
      </w:r>
      <w:hyperlink w:anchor="SENTENCIA_2015_179" w:history="1">
        <w:r w:rsidRPr="00F80910">
          <w:rPr>
            <w:rStyle w:val="TextoNormalCaracter"/>
          </w:rPr>
          <w:t>179/2015</w:t>
        </w:r>
      </w:hyperlink>
      <w:r w:rsidRPr="00F80910">
        <w:rPr>
          <w:rStyle w:val="TextoNormalCaracter"/>
        </w:rPr>
        <w:t xml:space="preserve">, f. 2; </w:t>
      </w:r>
      <w:hyperlink w:anchor="SENTENCIA_2015_231" w:history="1">
        <w:r w:rsidRPr="00F80910">
          <w:rPr>
            <w:rStyle w:val="TextoNormalCaracter"/>
          </w:rPr>
          <w:t>231/2015</w:t>
        </w:r>
      </w:hyperlink>
      <w:r w:rsidRPr="00F80910">
        <w:rPr>
          <w:rStyle w:val="TextoNormalCaracter"/>
        </w:rPr>
        <w:t xml:space="preserve">, ff. 8, 10, 11; </w:t>
      </w:r>
      <w:hyperlink w:anchor="SENTENCIA_2015_261" w:history="1">
        <w:r w:rsidRPr="00F80910">
          <w:rPr>
            <w:rStyle w:val="TextoNormalCaracter"/>
          </w:rPr>
          <w:t>261/2015</w:t>
        </w:r>
      </w:hyperlink>
      <w:r w:rsidRPr="00F80910">
        <w:rPr>
          <w:rStyle w:val="TextoNormalCaracter"/>
        </w:rPr>
        <w:t>, f. 5.</w:t>
      </w:r>
    </w:p>
    <w:p w:rsidR="00F80910" w:rsidRPr="00F80910" w:rsidRDefault="00F80910" w:rsidP="00F80910">
      <w:pPr>
        <w:pStyle w:val="TextoNormalSangraFrancesa"/>
        <w:rPr>
          <w:rStyle w:val="TextoNormalCaracter"/>
        </w:rPr>
      </w:pPr>
      <w:bookmarkStart w:id="1081" w:name="DESCRIPTORALFABETICO372"/>
      <w:r w:rsidRPr="00F80910">
        <w:rPr>
          <w:rStyle w:val="TextoNormalNegritaCaracter"/>
        </w:rPr>
        <w:t>Dominio público hidráulico</w:t>
      </w:r>
      <w:bookmarkEnd w:id="1081"/>
      <w:r w:rsidRPr="00F80910">
        <w:rPr>
          <w:rStyle w:val="TextoNormalCaracter"/>
        </w:rPr>
        <w:t xml:space="preserve">, Sentencia </w:t>
      </w:r>
      <w:hyperlink w:anchor="SENTENCIA_2015_196" w:history="1">
        <w:r w:rsidRPr="00F80910">
          <w:rPr>
            <w:rStyle w:val="TextoNormalCaracter"/>
          </w:rPr>
          <w:t>196/2015</w:t>
        </w:r>
      </w:hyperlink>
      <w:r w:rsidRPr="00F80910">
        <w:rPr>
          <w:rStyle w:val="TextoNormalCaracter"/>
        </w:rPr>
        <w:t>, f. 2.</w:t>
      </w:r>
    </w:p>
    <w:p w:rsidR="00F80910" w:rsidRPr="00F80910" w:rsidRDefault="00F80910" w:rsidP="00F80910">
      <w:pPr>
        <w:pStyle w:val="TextoNormalSangraFrancesa"/>
        <w:rPr>
          <w:rStyle w:val="TextoNormalCaracter"/>
        </w:rPr>
      </w:pPr>
      <w:bookmarkStart w:id="1082" w:name="DESCRIPTORALFABETICO373"/>
      <w:r w:rsidRPr="00F80910">
        <w:rPr>
          <w:rStyle w:val="TextoNormalNegritaCaracter"/>
        </w:rPr>
        <w:t>Dominio público marítimo terrestre</w:t>
      </w:r>
      <w:bookmarkEnd w:id="1082"/>
      <w:r w:rsidRPr="00F80910">
        <w:rPr>
          <w:rStyle w:val="TextoNormalCaracter"/>
        </w:rPr>
        <w:t xml:space="preserve">, Sentencia </w:t>
      </w:r>
      <w:hyperlink w:anchor="SENTENCIA_2015_233" w:history="1">
        <w:r w:rsidRPr="00F80910">
          <w:rPr>
            <w:rStyle w:val="TextoNormalCaracter"/>
          </w:rPr>
          <w:t>233/2015</w:t>
        </w:r>
      </w:hyperlink>
      <w:r w:rsidRPr="00F80910">
        <w:rPr>
          <w:rStyle w:val="TextoNormalCaracter"/>
        </w:rPr>
        <w:t>, ff. 2 a 16.</w:t>
      </w:r>
    </w:p>
    <w:p w:rsidR="00F80910" w:rsidRPr="00F80910" w:rsidRDefault="00F80910" w:rsidP="00F80910">
      <w:pPr>
        <w:pStyle w:val="TextoNormalSangraFrancesa"/>
        <w:rPr>
          <w:rStyle w:val="TextoNormalCaracter"/>
        </w:rPr>
      </w:pPr>
      <w:bookmarkStart w:id="1083" w:name="DESCRIPTORALFABETICO516"/>
      <w:r w:rsidRPr="00F80910">
        <w:rPr>
          <w:rStyle w:val="TextoNormalNegritaCaracter"/>
        </w:rPr>
        <w:t>Drones</w:t>
      </w:r>
      <w:bookmarkEnd w:id="1083"/>
      <w:r w:rsidRPr="00F80910">
        <w:rPr>
          <w:rStyle w:val="TextoNormalCaracter"/>
        </w:rPr>
        <w:t xml:space="preserve">, Sentencia </w:t>
      </w:r>
      <w:hyperlink w:anchor="SENTENCIA_2015_199" w:history="1">
        <w:r w:rsidRPr="00F80910">
          <w:rPr>
            <w:rStyle w:val="TextoNormalCaracter"/>
          </w:rPr>
          <w:t>199/2015</w:t>
        </w:r>
      </w:hyperlink>
      <w:r w:rsidRPr="00F80910">
        <w:rPr>
          <w:rStyle w:val="TextoNormalCaracter"/>
        </w:rPr>
        <w:t>, f. 11.</w:t>
      </w:r>
    </w:p>
    <w:p w:rsidR="00F80910" w:rsidRDefault="00F80910" w:rsidP="00F80910">
      <w:pPr>
        <w:pStyle w:val="TextoNormalSangraFrancesa"/>
      </w:pPr>
    </w:p>
    <w:p w:rsidR="00F80910" w:rsidRDefault="00F80910" w:rsidP="00F80910">
      <w:pPr>
        <w:pStyle w:val="TextoNormalSangraFrancesa"/>
      </w:pPr>
    </w:p>
    <w:p w:rsidR="00F80910" w:rsidRDefault="00F80910" w:rsidP="00F80910">
      <w:pPr>
        <w:pStyle w:val="TextoNormalNegritaCentrado"/>
      </w:pPr>
      <w:r>
        <w:t>E</w:t>
      </w:r>
    </w:p>
    <w:p w:rsidR="00F80910" w:rsidRDefault="00F80910" w:rsidP="00F80910">
      <w:pPr>
        <w:pStyle w:val="TextoNormalNegritaCentrado"/>
      </w:pPr>
    </w:p>
    <w:p w:rsidR="00F80910" w:rsidRPr="00F80910" w:rsidRDefault="00F80910" w:rsidP="00F80910">
      <w:pPr>
        <w:pStyle w:val="TextoNormalSangraFrancesa"/>
        <w:rPr>
          <w:rStyle w:val="TextoNormalCaracter"/>
        </w:rPr>
      </w:pPr>
      <w:bookmarkStart w:id="1084" w:name="DESCRIPTORALFABETICO379"/>
      <w:r w:rsidRPr="00F80910">
        <w:rPr>
          <w:rStyle w:val="TextoNormalNegritaCaracter"/>
        </w:rPr>
        <w:t>Educación no universitaria</w:t>
      </w:r>
      <w:bookmarkEnd w:id="1084"/>
      <w:r w:rsidRPr="00F80910">
        <w:rPr>
          <w:rStyle w:val="TextoNormalCaracter"/>
        </w:rPr>
        <w:t xml:space="preserve">, Sentencia </w:t>
      </w:r>
      <w:hyperlink w:anchor="SENTENCIA_2015_271" w:history="1">
        <w:r w:rsidRPr="00F80910">
          <w:rPr>
            <w:rStyle w:val="TextoNormalCaracter"/>
          </w:rPr>
          <w:t>271/2015</w:t>
        </w:r>
      </w:hyperlink>
      <w:r w:rsidRPr="00F80910">
        <w:rPr>
          <w:rStyle w:val="TextoNormalCaracter"/>
        </w:rPr>
        <w:t>, f. 1.</w:t>
      </w:r>
    </w:p>
    <w:p w:rsidR="00F80910" w:rsidRPr="00F80910" w:rsidRDefault="00F80910" w:rsidP="00F80910">
      <w:pPr>
        <w:pStyle w:val="TextoNormalSangraFrancesa"/>
        <w:rPr>
          <w:rStyle w:val="TextoNormalCaracter"/>
        </w:rPr>
      </w:pPr>
      <w:bookmarkStart w:id="1085" w:name="DESCRIPTORALFABETICO154"/>
      <w:r w:rsidRPr="00F80910">
        <w:rPr>
          <w:rStyle w:val="TextoNormalNegritaCaracter"/>
        </w:rPr>
        <w:t>Efecto desaliento del ejercicio de los derechos fundamentales</w:t>
      </w:r>
      <w:bookmarkEnd w:id="1085"/>
      <w:r w:rsidRPr="00F80910">
        <w:rPr>
          <w:rStyle w:val="TextoNormalCaracter"/>
        </w:rPr>
        <w:t xml:space="preserve">, Sentencia </w:t>
      </w:r>
      <w:hyperlink w:anchor="SENTENCIA_2015_187" w:history="1">
        <w:r w:rsidRPr="00F80910">
          <w:rPr>
            <w:rStyle w:val="TextoNormalCaracter"/>
          </w:rPr>
          <w:t>187/2015</w:t>
        </w:r>
      </w:hyperlink>
      <w:r w:rsidRPr="00F80910">
        <w:rPr>
          <w:rStyle w:val="TextoNormalCaracter"/>
        </w:rPr>
        <w:t>, f. 4.</w:t>
      </w:r>
    </w:p>
    <w:p w:rsidR="00F80910" w:rsidRPr="00F80910" w:rsidRDefault="00F80910" w:rsidP="00F80910">
      <w:pPr>
        <w:pStyle w:val="TextoNormalSangraFrancesa"/>
        <w:rPr>
          <w:rStyle w:val="TextoNormalCaracter"/>
        </w:rPr>
      </w:pPr>
      <w:bookmarkStart w:id="1086" w:name="DESCRIPTORALFABETICO574"/>
      <w:r w:rsidRPr="00F80910">
        <w:rPr>
          <w:rStyle w:val="TextoNormalNegritaCaracter"/>
        </w:rPr>
        <w:t>Eficacia del desistimiento</w:t>
      </w:r>
      <w:bookmarkEnd w:id="1086"/>
      <w:r w:rsidRPr="00F80910">
        <w:rPr>
          <w:rStyle w:val="TextoNormalCaracter"/>
        </w:rPr>
        <w:t xml:space="preserve">, Sentencia </w:t>
      </w:r>
      <w:hyperlink w:anchor="SENTENCIA_2015_194" w:history="1">
        <w:r w:rsidRPr="00F80910">
          <w:rPr>
            <w:rStyle w:val="TextoNormalCaracter"/>
          </w:rPr>
          <w:t>194/2015</w:t>
        </w:r>
      </w:hyperlink>
      <w:r w:rsidRPr="00F80910">
        <w:rPr>
          <w:rStyle w:val="TextoNormalCaracter"/>
        </w:rPr>
        <w:t>, f. 6.</w:t>
      </w:r>
    </w:p>
    <w:p w:rsidR="00F80910" w:rsidRPr="00F80910" w:rsidRDefault="00F80910" w:rsidP="00F80910">
      <w:pPr>
        <w:pStyle w:val="TextoNormalSangraFrancesa"/>
        <w:rPr>
          <w:rStyle w:val="TextoNormalCaracter"/>
        </w:rPr>
      </w:pPr>
      <w:bookmarkStart w:id="1087" w:name="DESCRIPTORALFABETICO538"/>
      <w:r w:rsidRPr="00F80910">
        <w:rPr>
          <w:rStyle w:val="TextoNormalNegritaCaracter"/>
        </w:rPr>
        <w:t>Ejecución de sentencias</w:t>
      </w:r>
      <w:bookmarkEnd w:id="1087"/>
      <w:r w:rsidRPr="00F80910">
        <w:rPr>
          <w:rStyle w:val="TextoNormalCaracter"/>
        </w:rPr>
        <w:t xml:space="preserve">, </w:t>
      </w:r>
    </w:p>
    <w:p w:rsidR="00F80910" w:rsidRPr="00F80910" w:rsidRDefault="00F80910" w:rsidP="00F80910">
      <w:pPr>
        <w:pStyle w:val="TextoNormalSangraFrancesa"/>
        <w:rPr>
          <w:rStyle w:val="TextoNormalCaracter"/>
        </w:rPr>
      </w:pPr>
      <w:r w:rsidRPr="00F80910">
        <w:rPr>
          <w:rStyle w:val="TextoNormalCursivaCaracter"/>
        </w:rPr>
        <w:t xml:space="preserve">    Alcance, </w:t>
      </w:r>
      <w:r w:rsidRPr="00F80910">
        <w:rPr>
          <w:rStyle w:val="TextoNormalCaracter"/>
        </w:rPr>
        <w:t xml:space="preserve">Sentencia </w:t>
      </w:r>
      <w:hyperlink w:anchor="SENTENCIA_2015_231" w:history="1">
        <w:r w:rsidRPr="00F80910">
          <w:rPr>
            <w:rStyle w:val="TextoNormalCaracter"/>
          </w:rPr>
          <w:t>231/2015</w:t>
        </w:r>
      </w:hyperlink>
      <w:r w:rsidRPr="00F80910">
        <w:rPr>
          <w:rStyle w:val="TextoNormalCaracter"/>
        </w:rPr>
        <w:t>, f. 12, VP.</w:t>
      </w:r>
    </w:p>
    <w:p w:rsidR="00F80910" w:rsidRPr="00F80910" w:rsidRDefault="00F80910" w:rsidP="00F80910">
      <w:pPr>
        <w:pStyle w:val="TextoNormalSangraFrancesa"/>
        <w:rPr>
          <w:rStyle w:val="TextoNormalCaracter"/>
        </w:rPr>
      </w:pPr>
      <w:bookmarkStart w:id="1088" w:name="DESCRIPTORALFABETICO248"/>
      <w:r w:rsidRPr="00F80910">
        <w:rPr>
          <w:rStyle w:val="TextoNormalNegritaCaracter"/>
        </w:rPr>
        <w:t>Ejecución de sentencias del Tribunal Constitucional</w:t>
      </w:r>
      <w:bookmarkEnd w:id="1088"/>
      <w:r w:rsidRPr="00F80910">
        <w:rPr>
          <w:rStyle w:val="TextoNormalCaracter"/>
        </w:rPr>
        <w:t xml:space="preserve">, Auto </w:t>
      </w:r>
      <w:hyperlink w:anchor="AUTO_2015_120" w:history="1">
        <w:r w:rsidRPr="00F80910">
          <w:rPr>
            <w:rStyle w:val="TextoNormalCaracter"/>
          </w:rPr>
          <w:t>120/2015</w:t>
        </w:r>
      </w:hyperlink>
      <w:r w:rsidRPr="00F80910">
        <w:rPr>
          <w:rStyle w:val="TextoNormalCaracter"/>
        </w:rPr>
        <w:t>, f. 3.</w:t>
      </w:r>
    </w:p>
    <w:p w:rsidR="00F80910" w:rsidRPr="00F80910" w:rsidRDefault="00F80910" w:rsidP="00F80910">
      <w:pPr>
        <w:pStyle w:val="TextoNormalSangraFrancesa"/>
        <w:rPr>
          <w:rStyle w:val="TextoNormalCaracter"/>
        </w:rPr>
      </w:pPr>
      <w:bookmarkStart w:id="1089" w:name="DESCRIPTORALFABETICO153"/>
      <w:r w:rsidRPr="00F80910">
        <w:rPr>
          <w:rStyle w:val="TextoNormalNegritaCaracter"/>
        </w:rPr>
        <w:t>Ejercicio de derechos fundamentales</w:t>
      </w:r>
      <w:bookmarkEnd w:id="1089"/>
      <w:r w:rsidRPr="00F80910">
        <w:rPr>
          <w:rStyle w:val="TextoNormalCaracter"/>
        </w:rPr>
        <w:t xml:space="preserve">, Sentencia </w:t>
      </w:r>
      <w:hyperlink w:anchor="SENTENCIA_2015_195" w:history="1">
        <w:r w:rsidRPr="00F80910">
          <w:rPr>
            <w:rStyle w:val="TextoNormalCaracter"/>
          </w:rPr>
          <w:t>195/2015</w:t>
        </w:r>
      </w:hyperlink>
      <w:r w:rsidRPr="00F80910">
        <w:rPr>
          <w:rStyle w:val="TextoNormalCaracter"/>
        </w:rPr>
        <w:t>, ff. 2, 3.</w:t>
      </w:r>
    </w:p>
    <w:p w:rsidR="00F80910" w:rsidRPr="00F80910" w:rsidRDefault="00F80910" w:rsidP="00F80910">
      <w:pPr>
        <w:pStyle w:val="TextoNormalSangraFrancesa"/>
        <w:rPr>
          <w:rStyle w:val="TextoNormalCaracter"/>
        </w:rPr>
      </w:pPr>
      <w:bookmarkStart w:id="1090" w:name="DESCRIPTORALFABETICO64"/>
      <w:r w:rsidRPr="00F80910">
        <w:rPr>
          <w:rStyle w:val="TextoNormalNegritaCaracter"/>
        </w:rPr>
        <w:t>Elecciones autonómicas</w:t>
      </w:r>
      <w:bookmarkEnd w:id="1090"/>
      <w:r w:rsidRPr="00F80910">
        <w:rPr>
          <w:rStyle w:val="TextoNormalCaracter"/>
        </w:rPr>
        <w:t xml:space="preserve">, Sentencia </w:t>
      </w:r>
      <w:hyperlink w:anchor="SENTENCIA_2015_159" w:history="1">
        <w:r w:rsidRPr="00F80910">
          <w:rPr>
            <w:rStyle w:val="TextoNormalCaracter"/>
          </w:rPr>
          <w:t>159/2015</w:t>
        </w:r>
      </w:hyperlink>
      <w:r w:rsidRPr="00F80910">
        <w:rPr>
          <w:rStyle w:val="TextoNormalCaracter"/>
        </w:rPr>
        <w:t>, ff. 2, 6.</w:t>
      </w:r>
    </w:p>
    <w:p w:rsidR="00F80910" w:rsidRPr="00F80910" w:rsidRDefault="00F80910" w:rsidP="00F80910">
      <w:pPr>
        <w:pStyle w:val="TextoNormalSangraFrancesa"/>
        <w:rPr>
          <w:rStyle w:val="TextoNormalCaracter"/>
        </w:rPr>
      </w:pPr>
      <w:bookmarkStart w:id="1091" w:name="DESCRIPTORALFABETICO65"/>
      <w:r w:rsidRPr="00F80910">
        <w:rPr>
          <w:rStyle w:val="TextoNormalNegritaCaracter"/>
        </w:rPr>
        <w:t>Elecciones locales</w:t>
      </w:r>
      <w:bookmarkEnd w:id="1091"/>
      <w:r w:rsidRPr="00F80910">
        <w:rPr>
          <w:rStyle w:val="TextoNormalCaracter"/>
        </w:rPr>
        <w:t xml:space="preserve">, Sentencias </w:t>
      </w:r>
      <w:hyperlink w:anchor="SENTENCIA_2015_158" w:history="1">
        <w:r w:rsidRPr="00F80910">
          <w:rPr>
            <w:rStyle w:val="TextoNormalCaracter"/>
          </w:rPr>
          <w:t>158/2015</w:t>
        </w:r>
      </w:hyperlink>
      <w:r w:rsidRPr="00F80910">
        <w:rPr>
          <w:rStyle w:val="TextoNormalCaracter"/>
        </w:rPr>
        <w:t xml:space="preserve">, ff. 1 a 5; </w:t>
      </w:r>
      <w:hyperlink w:anchor="SENTENCIA_2015_160" w:history="1">
        <w:r w:rsidRPr="00F80910">
          <w:rPr>
            <w:rStyle w:val="TextoNormalCaracter"/>
          </w:rPr>
          <w:t>160/2015</w:t>
        </w:r>
      </w:hyperlink>
      <w:r w:rsidRPr="00F80910">
        <w:rPr>
          <w:rStyle w:val="TextoNormalCaracter"/>
        </w:rPr>
        <w:t>, f. 1.</w:t>
      </w:r>
    </w:p>
    <w:p w:rsidR="00F80910" w:rsidRPr="00F80910" w:rsidRDefault="00F80910" w:rsidP="00F80910">
      <w:pPr>
        <w:pStyle w:val="TextoNormalSangraFrancesa"/>
        <w:rPr>
          <w:rStyle w:val="TextoNormalCaracter"/>
        </w:rPr>
      </w:pPr>
      <w:bookmarkStart w:id="1092" w:name="DESCRIPTORALFABETICO55"/>
      <w:r w:rsidRPr="00F80910">
        <w:rPr>
          <w:rStyle w:val="TextoNormalNegritaCaracter"/>
        </w:rPr>
        <w:t>Elementos del tributo</w:t>
      </w:r>
      <w:bookmarkEnd w:id="1092"/>
      <w:r w:rsidRPr="00F80910">
        <w:rPr>
          <w:rStyle w:val="TextoNormalCaracter"/>
        </w:rPr>
        <w:t xml:space="preserve">, Sentencia </w:t>
      </w:r>
      <w:hyperlink w:anchor="SENTENCIA_2015_202" w:history="1">
        <w:r w:rsidRPr="00F80910">
          <w:rPr>
            <w:rStyle w:val="TextoNormalCaracter"/>
          </w:rPr>
          <w:t>202/2015</w:t>
        </w:r>
      </w:hyperlink>
      <w:r w:rsidRPr="00F80910">
        <w:rPr>
          <w:rStyle w:val="TextoNormalCaracter"/>
        </w:rPr>
        <w:t>, f. 3.</w:t>
      </w:r>
    </w:p>
    <w:p w:rsidR="00F80910" w:rsidRPr="00F80910" w:rsidRDefault="00F80910" w:rsidP="00F80910">
      <w:pPr>
        <w:pStyle w:val="TextoNormalSangraFrancesa"/>
        <w:rPr>
          <w:rStyle w:val="TextoNormalCaracter"/>
        </w:rPr>
      </w:pPr>
      <w:bookmarkStart w:id="1093" w:name="DESCRIPTORALFABETICO382"/>
      <w:r w:rsidRPr="00F80910">
        <w:rPr>
          <w:rStyle w:val="TextoNormalNegritaCaracter"/>
        </w:rPr>
        <w:t>Emigración</w:t>
      </w:r>
      <w:bookmarkEnd w:id="1093"/>
      <w:r w:rsidRPr="00F80910">
        <w:rPr>
          <w:rStyle w:val="TextoNormalCaracter"/>
        </w:rPr>
        <w:t xml:space="preserve">, Sentencia </w:t>
      </w:r>
      <w:hyperlink w:anchor="SENTENCIA_2015_155" w:history="1">
        <w:r w:rsidRPr="00F80910">
          <w:rPr>
            <w:rStyle w:val="TextoNormalCaracter"/>
          </w:rPr>
          <w:t>155/2015</w:t>
        </w:r>
      </w:hyperlink>
      <w:r w:rsidRPr="00F80910">
        <w:rPr>
          <w:rStyle w:val="TextoNormalCaracter"/>
        </w:rPr>
        <w:t>, f. 5.</w:t>
      </w:r>
    </w:p>
    <w:p w:rsidR="00F80910" w:rsidRPr="00F80910" w:rsidRDefault="00F80910" w:rsidP="00F80910">
      <w:pPr>
        <w:pStyle w:val="TextoNormalSangraFrancesa"/>
        <w:rPr>
          <w:rStyle w:val="TextoNormalCaracter"/>
        </w:rPr>
      </w:pPr>
      <w:bookmarkStart w:id="1094" w:name="DESCRIPTORALFABETICO527"/>
      <w:r w:rsidRPr="00F80910">
        <w:rPr>
          <w:rStyle w:val="TextoNormalNegritaCaracter"/>
        </w:rPr>
        <w:t>Emplazamiento edictal sin agotar los medios de comunicación efectiva</w:t>
      </w:r>
      <w:bookmarkEnd w:id="1094"/>
      <w:r w:rsidRPr="00F80910">
        <w:rPr>
          <w:rStyle w:val="TextoNormalCaracter"/>
        </w:rPr>
        <w:t xml:space="preserve">, Sentencias </w:t>
      </w:r>
      <w:hyperlink w:anchor="SENTENCIA_2015_167" w:history="1">
        <w:r w:rsidRPr="00F80910">
          <w:rPr>
            <w:rStyle w:val="TextoNormalCaracter"/>
          </w:rPr>
          <w:t>167/2015</w:t>
        </w:r>
      </w:hyperlink>
      <w:r w:rsidRPr="00F80910">
        <w:rPr>
          <w:rStyle w:val="TextoNormalCaracter"/>
        </w:rPr>
        <w:t xml:space="preserve">, ff. 3, 4; </w:t>
      </w:r>
      <w:hyperlink w:anchor="SENTENCIA_2015_181" w:history="1">
        <w:r w:rsidRPr="00F80910">
          <w:rPr>
            <w:rStyle w:val="TextoNormalCaracter"/>
          </w:rPr>
          <w:t>181/2015</w:t>
        </w:r>
      </w:hyperlink>
      <w:r w:rsidRPr="00F80910">
        <w:rPr>
          <w:rStyle w:val="TextoNormalCaracter"/>
        </w:rPr>
        <w:t>, ff. 3 a 5.</w:t>
      </w:r>
    </w:p>
    <w:p w:rsidR="00F80910" w:rsidRPr="00F80910" w:rsidRDefault="00F80910" w:rsidP="00F80910">
      <w:pPr>
        <w:pStyle w:val="TextoNormalSangraFrancesa"/>
        <w:rPr>
          <w:rStyle w:val="TextoNormalCaracter"/>
        </w:rPr>
      </w:pPr>
      <w:bookmarkStart w:id="1095" w:name="DESCRIPTORALFABETICO528"/>
      <w:r w:rsidRPr="00F80910">
        <w:rPr>
          <w:rStyle w:val="TextoNormalNegritaCaracter"/>
        </w:rPr>
        <w:t>Emplazamiento exigible</w:t>
      </w:r>
      <w:bookmarkEnd w:id="1095"/>
      <w:r w:rsidRPr="00F80910">
        <w:rPr>
          <w:rStyle w:val="TextoNormalCaracter"/>
        </w:rPr>
        <w:t xml:space="preserve">, Sentencia </w:t>
      </w:r>
      <w:hyperlink w:anchor="SENTENCIA_2015_266" w:history="1">
        <w:r w:rsidRPr="00F80910">
          <w:rPr>
            <w:rStyle w:val="TextoNormalCaracter"/>
          </w:rPr>
          <w:t>266/2015</w:t>
        </w:r>
      </w:hyperlink>
      <w:r w:rsidRPr="00F80910">
        <w:rPr>
          <w:rStyle w:val="TextoNormalCaracter"/>
        </w:rPr>
        <w:t>, f. 1.</w:t>
      </w:r>
    </w:p>
    <w:p w:rsidR="00F80910" w:rsidRPr="00F80910" w:rsidRDefault="00F80910" w:rsidP="00F80910">
      <w:pPr>
        <w:pStyle w:val="TextoNormalSangraFrancesa"/>
        <w:rPr>
          <w:rStyle w:val="TextoNormalCaracter"/>
        </w:rPr>
      </w:pPr>
      <w:bookmarkStart w:id="1096" w:name="DESCRIPTORALFABETICO322"/>
      <w:r w:rsidRPr="00F80910">
        <w:rPr>
          <w:rStyle w:val="TextoNormalNegritaCaracter"/>
        </w:rPr>
        <w:t>Empleados públicos</w:t>
      </w:r>
      <w:bookmarkEnd w:id="1096"/>
      <w:r w:rsidRPr="00F80910">
        <w:rPr>
          <w:rStyle w:val="TextoNormalCaracter"/>
        </w:rPr>
        <w:t xml:space="preserve">, Sentencia </w:t>
      </w:r>
      <w:hyperlink w:anchor="SENTENCIA_2015_229" w:history="1">
        <w:r w:rsidRPr="00F80910">
          <w:rPr>
            <w:rStyle w:val="TextoNormalCaracter"/>
          </w:rPr>
          <w:t>229/2015</w:t>
        </w:r>
      </w:hyperlink>
      <w:r w:rsidRPr="00F80910">
        <w:rPr>
          <w:rStyle w:val="TextoNormalCaracter"/>
        </w:rPr>
        <w:t>, f. 7.</w:t>
      </w:r>
    </w:p>
    <w:p w:rsidR="00F80910" w:rsidRPr="00F80910" w:rsidRDefault="00F80910" w:rsidP="00F80910">
      <w:pPr>
        <w:pStyle w:val="TextoNormalSangraFrancesa"/>
        <w:rPr>
          <w:rStyle w:val="TextoNormalCaracter"/>
        </w:rPr>
      </w:pPr>
      <w:bookmarkStart w:id="1097" w:name="DESCRIPTORALFABETICO494"/>
      <w:r w:rsidRPr="00F80910">
        <w:rPr>
          <w:rStyle w:val="TextoNormalNegritaCaracter"/>
        </w:rPr>
        <w:t>Enajenación mental</w:t>
      </w:r>
      <w:bookmarkEnd w:id="1097"/>
      <w:r w:rsidRPr="00F80910">
        <w:rPr>
          <w:rStyle w:val="TextoNormalCaracter"/>
        </w:rPr>
        <w:t xml:space="preserve">, Sentencia </w:t>
      </w:r>
      <w:hyperlink w:anchor="SENTENCIA_2015_217" w:history="1">
        <w:r w:rsidRPr="00F80910">
          <w:rPr>
            <w:rStyle w:val="TextoNormalCaracter"/>
          </w:rPr>
          <w:t>217/2015</w:t>
        </w:r>
      </w:hyperlink>
      <w:r w:rsidRPr="00F80910">
        <w:rPr>
          <w:rStyle w:val="TextoNormalCaracter"/>
        </w:rPr>
        <w:t>, f. 4.</w:t>
      </w:r>
    </w:p>
    <w:p w:rsidR="00F80910" w:rsidRPr="00F80910" w:rsidRDefault="00F80910" w:rsidP="00F80910">
      <w:pPr>
        <w:pStyle w:val="TextoNormalSangraFrancesa"/>
        <w:rPr>
          <w:rStyle w:val="TextoNormalCaracter"/>
        </w:rPr>
      </w:pPr>
      <w:bookmarkStart w:id="1098" w:name="DESCRIPTORALFABETICO384"/>
      <w:r w:rsidRPr="00F80910">
        <w:rPr>
          <w:rStyle w:val="TextoNormalNegritaCaracter"/>
        </w:rPr>
        <w:t>Energía</w:t>
      </w:r>
      <w:bookmarkEnd w:id="1098"/>
      <w:r w:rsidRPr="00F80910">
        <w:rPr>
          <w:rStyle w:val="TextoNormalCaracter"/>
        </w:rPr>
        <w:t xml:space="preserve">, Sentencia </w:t>
      </w:r>
      <w:hyperlink w:anchor="SENTENCIA_2015_199" w:history="1">
        <w:r w:rsidRPr="00F80910">
          <w:rPr>
            <w:rStyle w:val="TextoNormalCaracter"/>
          </w:rPr>
          <w:t>199/2015</w:t>
        </w:r>
      </w:hyperlink>
      <w:r w:rsidRPr="00F80910">
        <w:rPr>
          <w:rStyle w:val="TextoNormalCaracter"/>
        </w:rPr>
        <w:t>, f. 8.</w:t>
      </w:r>
    </w:p>
    <w:p w:rsidR="00F80910" w:rsidRPr="00F80910" w:rsidRDefault="00F80910" w:rsidP="00F80910">
      <w:pPr>
        <w:pStyle w:val="TextoNormalSangraFrancesa"/>
        <w:rPr>
          <w:rStyle w:val="TextoNormalCaracter"/>
        </w:rPr>
      </w:pPr>
      <w:bookmarkStart w:id="1099" w:name="DESCRIPTORALFABETICO273"/>
      <w:r w:rsidRPr="00F80910">
        <w:rPr>
          <w:rStyle w:val="TextoNormalNegritaCaracter"/>
        </w:rPr>
        <w:t>Enmiendas en el Senado</w:t>
      </w:r>
      <w:bookmarkEnd w:id="1099"/>
      <w:r w:rsidRPr="00F80910">
        <w:rPr>
          <w:rStyle w:val="TextoNormalCaracter"/>
        </w:rPr>
        <w:t xml:space="preserve">, Sentencias </w:t>
      </w:r>
      <w:hyperlink w:anchor="SENTENCIA_2015_216" w:history="1">
        <w:r w:rsidRPr="00F80910">
          <w:rPr>
            <w:rStyle w:val="TextoNormalCaracter"/>
          </w:rPr>
          <w:t>216/2015</w:t>
        </w:r>
      </w:hyperlink>
      <w:r w:rsidRPr="00F80910">
        <w:rPr>
          <w:rStyle w:val="TextoNormalCaracter"/>
        </w:rPr>
        <w:t xml:space="preserve">, ff. 5, 6; </w:t>
      </w:r>
      <w:hyperlink w:anchor="SENTENCIA_2015_231" w:history="1">
        <w:r w:rsidRPr="00F80910">
          <w:rPr>
            <w:rStyle w:val="TextoNormalCaracter"/>
          </w:rPr>
          <w:t>231/2015</w:t>
        </w:r>
      </w:hyperlink>
      <w:r w:rsidRPr="00F80910">
        <w:rPr>
          <w:rStyle w:val="TextoNormalCaracter"/>
        </w:rPr>
        <w:t>, f. 8.</w:t>
      </w:r>
    </w:p>
    <w:p w:rsidR="00F80910" w:rsidRPr="00F80910" w:rsidRDefault="00F80910" w:rsidP="00F80910">
      <w:pPr>
        <w:pStyle w:val="TextoNormalSangraFrancesa"/>
        <w:rPr>
          <w:rStyle w:val="TextoNormalCaracter"/>
        </w:rPr>
      </w:pPr>
      <w:bookmarkStart w:id="1100" w:name="DESCRIPTORALFABETICO103"/>
      <w:r w:rsidRPr="00F80910">
        <w:rPr>
          <w:rStyle w:val="TextoNormalNegritaCaracter"/>
        </w:rPr>
        <w:t>Error patente</w:t>
      </w:r>
      <w:bookmarkEnd w:id="1100"/>
      <w:r w:rsidRPr="00F80910">
        <w:rPr>
          <w:rStyle w:val="TextoNormalCaracter"/>
        </w:rPr>
        <w:t xml:space="preserve">, </w:t>
      </w:r>
    </w:p>
    <w:p w:rsidR="00F80910" w:rsidRPr="00F80910" w:rsidRDefault="00F80910" w:rsidP="00F80910">
      <w:pPr>
        <w:pStyle w:val="TextoNormalSangraFrancesa"/>
        <w:rPr>
          <w:rStyle w:val="TextoNormalCaracter"/>
        </w:rPr>
      </w:pPr>
      <w:r w:rsidRPr="00F80910">
        <w:rPr>
          <w:rStyle w:val="TextoNormalCursivaCaracter"/>
        </w:rPr>
        <w:t xml:space="preserve">    Doctrina constitucional, </w:t>
      </w:r>
      <w:r w:rsidRPr="00F80910">
        <w:rPr>
          <w:rStyle w:val="TextoNormalCaracter"/>
        </w:rPr>
        <w:t xml:space="preserve">Sentencia </w:t>
      </w:r>
      <w:hyperlink w:anchor="SENTENCIA_2015_186" w:history="1">
        <w:r w:rsidRPr="00F80910">
          <w:rPr>
            <w:rStyle w:val="TextoNormalCaracter"/>
          </w:rPr>
          <w:t>186/2015</w:t>
        </w:r>
      </w:hyperlink>
      <w:r w:rsidRPr="00F80910">
        <w:rPr>
          <w:rStyle w:val="TextoNormalCaracter"/>
        </w:rPr>
        <w:t>, f. 6.</w:t>
      </w:r>
    </w:p>
    <w:p w:rsidR="00F80910" w:rsidRPr="00F80910" w:rsidRDefault="00F80910" w:rsidP="00F80910">
      <w:pPr>
        <w:pStyle w:val="TextoNormalSangraFrancesa"/>
        <w:rPr>
          <w:rStyle w:val="TextoNormalCaracter"/>
        </w:rPr>
      </w:pPr>
      <w:bookmarkStart w:id="1101" w:name="DESCRIPTORALFABETICO319"/>
      <w:r w:rsidRPr="00F80910">
        <w:rPr>
          <w:rStyle w:val="TextoNormalNegritaCaracter"/>
        </w:rPr>
        <w:t>Escrituras públicas</w:t>
      </w:r>
      <w:bookmarkEnd w:id="1101"/>
      <w:r w:rsidRPr="00F80910">
        <w:rPr>
          <w:rStyle w:val="TextoNormalCaracter"/>
        </w:rPr>
        <w:t xml:space="preserve">, Sentencia </w:t>
      </w:r>
      <w:hyperlink w:anchor="SENTENCIA_2015_266" w:history="1">
        <w:r w:rsidRPr="00F80910">
          <w:rPr>
            <w:rStyle w:val="TextoNormalCaracter"/>
          </w:rPr>
          <w:t>266/2015</w:t>
        </w:r>
      </w:hyperlink>
      <w:r w:rsidRPr="00F80910">
        <w:rPr>
          <w:rStyle w:val="TextoNormalCaracter"/>
        </w:rPr>
        <w:t>, f. 1.</w:t>
      </w:r>
    </w:p>
    <w:p w:rsidR="00F80910" w:rsidRPr="00F80910" w:rsidRDefault="00F80910" w:rsidP="00F80910">
      <w:pPr>
        <w:pStyle w:val="TextoNormalSangraFrancesa"/>
        <w:rPr>
          <w:rStyle w:val="TextoNormalCaracter"/>
        </w:rPr>
      </w:pPr>
      <w:bookmarkStart w:id="1102" w:name="DESCRIPTORALFABETICO235"/>
      <w:r w:rsidRPr="00F80910">
        <w:rPr>
          <w:rStyle w:val="TextoNormalNegritaCaracter"/>
        </w:rPr>
        <w:t>Especial trascendencia constitucional</w:t>
      </w:r>
      <w:bookmarkEnd w:id="1102"/>
      <w:r w:rsidRPr="00F80910">
        <w:rPr>
          <w:rStyle w:val="TextoNormalCaracter"/>
        </w:rPr>
        <w:t xml:space="preserve">, Sentencias </w:t>
      </w:r>
      <w:hyperlink w:anchor="SENTENCIA_2015_160" w:history="1">
        <w:r w:rsidRPr="00F80910">
          <w:rPr>
            <w:rStyle w:val="TextoNormalCaracter"/>
          </w:rPr>
          <w:t>160/2015</w:t>
        </w:r>
      </w:hyperlink>
      <w:r w:rsidRPr="00F80910">
        <w:rPr>
          <w:rStyle w:val="TextoNormalCaracter"/>
        </w:rPr>
        <w:t xml:space="preserve">, ff. 2, 3; </w:t>
      </w:r>
      <w:hyperlink w:anchor="SENTENCIA_2015_182" w:history="1">
        <w:r w:rsidRPr="00F80910">
          <w:rPr>
            <w:rStyle w:val="TextoNormalCaracter"/>
          </w:rPr>
          <w:t>182/2015</w:t>
        </w:r>
      </w:hyperlink>
      <w:r w:rsidRPr="00F80910">
        <w:rPr>
          <w:rStyle w:val="TextoNormalCaracter"/>
        </w:rPr>
        <w:t xml:space="preserve">, f. 4; </w:t>
      </w:r>
      <w:hyperlink w:anchor="SENTENCIA_2015_183" w:history="1">
        <w:r w:rsidRPr="00F80910">
          <w:rPr>
            <w:rStyle w:val="TextoNormalCaracter"/>
          </w:rPr>
          <w:t>183/2015</w:t>
        </w:r>
      </w:hyperlink>
      <w:r w:rsidRPr="00F80910">
        <w:rPr>
          <w:rStyle w:val="TextoNormalCaracter"/>
        </w:rPr>
        <w:t xml:space="preserve">, f. 5, VP; </w:t>
      </w:r>
      <w:hyperlink w:anchor="SENTENCIA_2015_186" w:history="1">
        <w:r w:rsidRPr="00F80910">
          <w:rPr>
            <w:rStyle w:val="TextoNormalCaracter"/>
          </w:rPr>
          <w:t>186/2015</w:t>
        </w:r>
      </w:hyperlink>
      <w:r w:rsidRPr="00F80910">
        <w:rPr>
          <w:rStyle w:val="TextoNormalCaracter"/>
        </w:rPr>
        <w:t xml:space="preserve">, f. 2; </w:t>
      </w:r>
      <w:hyperlink w:anchor="SENTENCIA_2015_187" w:history="1">
        <w:r w:rsidRPr="00F80910">
          <w:rPr>
            <w:rStyle w:val="TextoNormalCaracter"/>
          </w:rPr>
          <w:t>187/2015</w:t>
        </w:r>
      </w:hyperlink>
      <w:r w:rsidRPr="00F80910">
        <w:rPr>
          <w:rStyle w:val="TextoNormalCaracter"/>
        </w:rPr>
        <w:t xml:space="preserve">, f. 2; </w:t>
      </w:r>
      <w:hyperlink w:anchor="SENTENCIA_2015_203" w:history="1">
        <w:r w:rsidRPr="00F80910">
          <w:rPr>
            <w:rStyle w:val="TextoNormalCaracter"/>
          </w:rPr>
          <w:t>203/2015</w:t>
        </w:r>
      </w:hyperlink>
      <w:r w:rsidRPr="00F80910">
        <w:rPr>
          <w:rStyle w:val="TextoNormalCaracter"/>
        </w:rPr>
        <w:t xml:space="preserve">, f. 2; </w:t>
      </w:r>
      <w:hyperlink w:anchor="SENTENCIA_2015_204" w:history="1">
        <w:r w:rsidRPr="00F80910">
          <w:rPr>
            <w:rStyle w:val="TextoNormalCaracter"/>
          </w:rPr>
          <w:t>204/2015</w:t>
        </w:r>
      </w:hyperlink>
      <w:r w:rsidRPr="00F80910">
        <w:rPr>
          <w:rStyle w:val="TextoNormalCaracter"/>
        </w:rPr>
        <w:t xml:space="preserve">, f. 2; </w:t>
      </w:r>
      <w:hyperlink w:anchor="SENTENCIA_2015_223" w:history="1">
        <w:r w:rsidRPr="00F80910">
          <w:rPr>
            <w:rStyle w:val="TextoNormalCaracter"/>
          </w:rPr>
          <w:t>223/2015</w:t>
        </w:r>
      </w:hyperlink>
      <w:r w:rsidRPr="00F80910">
        <w:rPr>
          <w:rStyle w:val="TextoNormalCaracter"/>
        </w:rPr>
        <w:t xml:space="preserve">, f. 2; </w:t>
      </w:r>
      <w:hyperlink w:anchor="SENTENCIA_2015_232" w:history="1">
        <w:r w:rsidRPr="00F80910">
          <w:rPr>
            <w:rStyle w:val="TextoNormalCaracter"/>
          </w:rPr>
          <w:t>232/2015</w:t>
        </w:r>
      </w:hyperlink>
      <w:r w:rsidRPr="00F80910">
        <w:rPr>
          <w:rStyle w:val="TextoNormalCaracter"/>
        </w:rPr>
        <w:t xml:space="preserve">, f. 2; </w:t>
      </w:r>
      <w:hyperlink w:anchor="SENTENCIA_2015_239" w:history="1">
        <w:r w:rsidRPr="00F80910">
          <w:rPr>
            <w:rStyle w:val="TextoNormalCaracter"/>
          </w:rPr>
          <w:t>239/2015</w:t>
        </w:r>
      </w:hyperlink>
      <w:r w:rsidRPr="00F80910">
        <w:rPr>
          <w:rStyle w:val="TextoNormalCaracter"/>
        </w:rPr>
        <w:t xml:space="preserve">, f. 2; </w:t>
      </w:r>
      <w:hyperlink w:anchor="SENTENCIA_2015_240" w:history="1">
        <w:r w:rsidRPr="00F80910">
          <w:rPr>
            <w:rStyle w:val="TextoNormalCaracter"/>
          </w:rPr>
          <w:t>240/2015</w:t>
        </w:r>
      </w:hyperlink>
      <w:r w:rsidRPr="00F80910">
        <w:rPr>
          <w:rStyle w:val="TextoNormalCaracter"/>
        </w:rPr>
        <w:t xml:space="preserve">, f. 2; </w:t>
      </w:r>
      <w:hyperlink w:anchor="SENTENCIA_2015_242" w:history="1">
        <w:r w:rsidRPr="00F80910">
          <w:rPr>
            <w:rStyle w:val="TextoNormalCaracter"/>
          </w:rPr>
          <w:t>242/2015</w:t>
        </w:r>
      </w:hyperlink>
      <w:r w:rsidRPr="00F80910">
        <w:rPr>
          <w:rStyle w:val="TextoNormalCaracter"/>
        </w:rPr>
        <w:t xml:space="preserve">, f. 2; </w:t>
      </w:r>
      <w:hyperlink w:anchor="SENTENCIA_2015_262" w:history="1">
        <w:r w:rsidRPr="00F80910">
          <w:rPr>
            <w:rStyle w:val="TextoNormalCaracter"/>
          </w:rPr>
          <w:t>262/2015</w:t>
        </w:r>
      </w:hyperlink>
      <w:r w:rsidRPr="00F80910">
        <w:rPr>
          <w:rStyle w:val="TextoNormalCaracter"/>
        </w:rPr>
        <w:t xml:space="preserve">, f. 2; </w:t>
      </w:r>
      <w:hyperlink w:anchor="SENTENCIA_2015_263" w:history="1">
        <w:r w:rsidRPr="00F80910">
          <w:rPr>
            <w:rStyle w:val="TextoNormalCaracter"/>
          </w:rPr>
          <w:t>263/2015</w:t>
        </w:r>
      </w:hyperlink>
      <w:r w:rsidRPr="00F80910">
        <w:rPr>
          <w:rStyle w:val="TextoNormalCaracter"/>
        </w:rPr>
        <w:t>, f. 2.</w:t>
      </w:r>
    </w:p>
    <w:p w:rsidR="00F80910" w:rsidRPr="00F80910" w:rsidRDefault="00F80910" w:rsidP="00F80910">
      <w:pPr>
        <w:pStyle w:val="TextoNormalSangraFrancesa"/>
        <w:rPr>
          <w:rStyle w:val="TextoNormalCaracter"/>
        </w:rPr>
      </w:pPr>
      <w:bookmarkStart w:id="1103" w:name="DESCRIPTORALFABETICO238"/>
      <w:r w:rsidRPr="00F80910">
        <w:rPr>
          <w:rStyle w:val="TextoNormalNegritaCaracter"/>
        </w:rPr>
        <w:t xml:space="preserve">Especial trascendencia constitucional </w:t>
      </w:r>
      <w:r w:rsidRPr="00F80910">
        <w:rPr>
          <w:rStyle w:val="TextoNormalNegritaCaracter"/>
          <w:i/>
        </w:rPr>
        <w:t>versus</w:t>
      </w:r>
      <w:r w:rsidRPr="00F80910">
        <w:rPr>
          <w:rStyle w:val="TextoNormalNegritaCaracter"/>
        </w:rPr>
        <w:t xml:space="preserve"> vulneración de derecho fundamental</w:t>
      </w:r>
      <w:bookmarkEnd w:id="1103"/>
      <w:r w:rsidRPr="00F80910">
        <w:rPr>
          <w:rStyle w:val="TextoNormalCaracter"/>
        </w:rPr>
        <w:t xml:space="preserve">, Sentencia </w:t>
      </w:r>
      <w:hyperlink w:anchor="SENTENCIA_2015_160" w:history="1">
        <w:r w:rsidRPr="00F80910">
          <w:rPr>
            <w:rStyle w:val="TextoNormalCaracter"/>
          </w:rPr>
          <w:t>160/2015</w:t>
        </w:r>
      </w:hyperlink>
      <w:r w:rsidRPr="00F80910">
        <w:rPr>
          <w:rStyle w:val="TextoNormalCaracter"/>
        </w:rPr>
        <w:t>, ff. 2, 3.</w:t>
      </w:r>
    </w:p>
    <w:p w:rsidR="00F80910" w:rsidRPr="00F80910" w:rsidRDefault="00F80910" w:rsidP="00F80910">
      <w:pPr>
        <w:pStyle w:val="TextoNormalSangraFrancesa"/>
        <w:rPr>
          <w:rStyle w:val="TextoNormalCaracter"/>
        </w:rPr>
      </w:pPr>
      <w:bookmarkStart w:id="1104" w:name="DESCRIPTORALFABETICO311"/>
      <w:r w:rsidRPr="00F80910">
        <w:rPr>
          <w:rStyle w:val="TextoNormalNegritaCaracter"/>
        </w:rPr>
        <w:t>Estado social y democrático de Derecho</w:t>
      </w:r>
      <w:bookmarkEnd w:id="1104"/>
      <w:r w:rsidRPr="00F80910">
        <w:rPr>
          <w:rStyle w:val="TextoNormalCaracter"/>
        </w:rPr>
        <w:t xml:space="preserve">, Sentencia </w:t>
      </w:r>
      <w:hyperlink w:anchor="SENTENCIA_2015_159" w:history="1">
        <w:r w:rsidRPr="00F80910">
          <w:rPr>
            <w:rStyle w:val="TextoNormalCaracter"/>
          </w:rPr>
          <w:t>159/2015</w:t>
        </w:r>
      </w:hyperlink>
      <w:r w:rsidRPr="00F80910">
        <w:rPr>
          <w:rStyle w:val="TextoNormalCaracter"/>
        </w:rPr>
        <w:t>, f. 5.</w:t>
      </w:r>
    </w:p>
    <w:p w:rsidR="00F80910" w:rsidRPr="00F80910" w:rsidRDefault="00F80910" w:rsidP="00F80910">
      <w:pPr>
        <w:pStyle w:val="TextoNormalSangraFrancesa"/>
        <w:rPr>
          <w:rStyle w:val="TextoNormalCaracter"/>
        </w:rPr>
      </w:pPr>
      <w:bookmarkStart w:id="1105" w:name="DESCRIPTORALFABETICO192"/>
      <w:r w:rsidRPr="00F80910">
        <w:rPr>
          <w:rStyle w:val="TextoNormalNegritaCaracter"/>
        </w:rPr>
        <w:t>Estimación de recurso de súplica contra providencias de inadmisión del Tribunal Constitucional</w:t>
      </w:r>
      <w:bookmarkEnd w:id="1105"/>
      <w:r w:rsidRPr="00F80910">
        <w:rPr>
          <w:rStyle w:val="TextoNormalCaracter"/>
        </w:rPr>
        <w:t xml:space="preserve">, Auto </w:t>
      </w:r>
      <w:hyperlink w:anchor="AUTO_2015_140" w:history="1">
        <w:r w:rsidRPr="00F80910">
          <w:rPr>
            <w:rStyle w:val="TextoNormalCaracter"/>
          </w:rPr>
          <w:t>140/2015</w:t>
        </w:r>
      </w:hyperlink>
      <w:r w:rsidRPr="00F80910">
        <w:rPr>
          <w:rStyle w:val="TextoNormalCaracter"/>
        </w:rPr>
        <w:t>, f. único.</w:t>
      </w:r>
    </w:p>
    <w:p w:rsidR="00F80910" w:rsidRPr="00F80910" w:rsidRDefault="00F80910" w:rsidP="00F80910">
      <w:pPr>
        <w:pStyle w:val="TextoNormalSangraFrancesa"/>
        <w:rPr>
          <w:rStyle w:val="TextoNormalCaracter"/>
        </w:rPr>
      </w:pPr>
      <w:bookmarkStart w:id="1106" w:name="DESCRIPTORALFABETICO484"/>
      <w:r w:rsidRPr="00F80910">
        <w:rPr>
          <w:rStyle w:val="TextoNormalNegritaCaracter"/>
        </w:rPr>
        <w:t>Excepciones a la colegiación obligatoria</w:t>
      </w:r>
      <w:bookmarkEnd w:id="1106"/>
      <w:r w:rsidRPr="00F80910">
        <w:rPr>
          <w:rStyle w:val="TextoNormalCaracter"/>
        </w:rPr>
        <w:t xml:space="preserve">, Sentencia </w:t>
      </w:r>
      <w:hyperlink w:anchor="SENTENCIA_2015_229" w:history="1">
        <w:r w:rsidRPr="00F80910">
          <w:rPr>
            <w:rStyle w:val="TextoNormalCaracter"/>
          </w:rPr>
          <w:t>229/2015</w:t>
        </w:r>
      </w:hyperlink>
      <w:r w:rsidRPr="00F80910">
        <w:rPr>
          <w:rStyle w:val="TextoNormalCaracter"/>
        </w:rPr>
        <w:t>, ff. 3, 6, 7.</w:t>
      </w:r>
    </w:p>
    <w:p w:rsidR="00F80910" w:rsidRPr="00F80910" w:rsidRDefault="00F80910" w:rsidP="00F80910">
      <w:pPr>
        <w:pStyle w:val="TextoNormalSangraFrancesa"/>
        <w:rPr>
          <w:rStyle w:val="TextoNormalCaracter"/>
        </w:rPr>
      </w:pPr>
      <w:bookmarkStart w:id="1107" w:name="DESCRIPTORALFABETICO597"/>
      <w:r w:rsidRPr="00F80910">
        <w:rPr>
          <w:rStyle w:val="TextoNormalNegritaCaracter"/>
        </w:rPr>
        <w:t>Exclusión de doble abono de prisión provisional</w:t>
      </w:r>
      <w:bookmarkEnd w:id="1107"/>
      <w:r w:rsidRPr="00F80910">
        <w:rPr>
          <w:rStyle w:val="TextoNormalCaracter"/>
        </w:rPr>
        <w:t xml:space="preserve">, Sentencia </w:t>
      </w:r>
      <w:hyperlink w:anchor="SENTENCIA_2015_261" w:history="1">
        <w:r w:rsidRPr="00F80910">
          <w:rPr>
            <w:rStyle w:val="TextoNormalCaracter"/>
          </w:rPr>
          <w:t>261/2015</w:t>
        </w:r>
      </w:hyperlink>
      <w:r w:rsidRPr="00F80910">
        <w:rPr>
          <w:rStyle w:val="TextoNormalCaracter"/>
        </w:rPr>
        <w:t>, ff. 6 a 8.</w:t>
      </w:r>
    </w:p>
    <w:p w:rsidR="00F80910" w:rsidRPr="00F80910" w:rsidRDefault="00F80910" w:rsidP="00F80910">
      <w:pPr>
        <w:pStyle w:val="TextoNormalSangraFrancesa"/>
        <w:rPr>
          <w:rStyle w:val="TextoNormalCaracter"/>
        </w:rPr>
      </w:pPr>
      <w:bookmarkStart w:id="1108" w:name="DESCRIPTORALFABETICO135"/>
      <w:r w:rsidRPr="00F80910">
        <w:rPr>
          <w:rStyle w:val="TextoNormalNegritaCaracter"/>
        </w:rPr>
        <w:t>Exclusión de un derecho al insulto</w:t>
      </w:r>
      <w:bookmarkEnd w:id="1108"/>
      <w:r w:rsidRPr="00F80910">
        <w:rPr>
          <w:rStyle w:val="TextoNormalCaracter"/>
        </w:rPr>
        <w:t xml:space="preserve">, Sentencia </w:t>
      </w:r>
      <w:hyperlink w:anchor="SENTENCIA_2015_203" w:history="1">
        <w:r w:rsidRPr="00F80910">
          <w:rPr>
            <w:rStyle w:val="TextoNormalCaracter"/>
          </w:rPr>
          <w:t>203/2015</w:t>
        </w:r>
      </w:hyperlink>
      <w:r w:rsidRPr="00F80910">
        <w:rPr>
          <w:rStyle w:val="TextoNormalCaracter"/>
        </w:rPr>
        <w:t>, ff. 5, 6.</w:t>
      </w:r>
    </w:p>
    <w:p w:rsidR="00F80910" w:rsidRPr="00F80910" w:rsidRDefault="00F80910" w:rsidP="00F80910">
      <w:pPr>
        <w:pStyle w:val="TextoNormalSangraFrancesa"/>
        <w:rPr>
          <w:rStyle w:val="TextoNormalCaracter"/>
        </w:rPr>
      </w:pPr>
      <w:bookmarkStart w:id="1109" w:name="DESCRIPTORALFABETICO490"/>
      <w:r w:rsidRPr="00F80910">
        <w:rPr>
          <w:rStyle w:val="TextoNormalNegritaCaracter"/>
        </w:rPr>
        <w:t>Expectativa de derecho</w:t>
      </w:r>
      <w:bookmarkEnd w:id="1109"/>
      <w:r w:rsidRPr="00F80910">
        <w:rPr>
          <w:rStyle w:val="TextoNormalCaracter"/>
        </w:rPr>
        <w:t xml:space="preserve">, Sentencias </w:t>
      </w:r>
      <w:hyperlink w:anchor="SENTENCIA_2015_216" w:history="1">
        <w:r w:rsidRPr="00F80910">
          <w:rPr>
            <w:rStyle w:val="TextoNormalCaracter"/>
          </w:rPr>
          <w:t>216/2015</w:t>
        </w:r>
      </w:hyperlink>
      <w:r w:rsidRPr="00F80910">
        <w:rPr>
          <w:rStyle w:val="TextoNormalCaracter"/>
        </w:rPr>
        <w:t xml:space="preserve">, f. 9; </w:t>
      </w:r>
      <w:hyperlink w:anchor="SENTENCIA_2015_267" w:history="1">
        <w:r w:rsidRPr="00F80910">
          <w:rPr>
            <w:rStyle w:val="TextoNormalCaracter"/>
          </w:rPr>
          <w:t>267/2015</w:t>
        </w:r>
      </w:hyperlink>
      <w:r w:rsidRPr="00F80910">
        <w:rPr>
          <w:rStyle w:val="TextoNormalCaracter"/>
        </w:rPr>
        <w:t xml:space="preserve">, f. 4; </w:t>
      </w:r>
      <w:hyperlink w:anchor="SENTENCIA_2015_268" w:history="1">
        <w:r w:rsidRPr="00F80910">
          <w:rPr>
            <w:rStyle w:val="TextoNormalCaracter"/>
          </w:rPr>
          <w:t>268/2015</w:t>
        </w:r>
      </w:hyperlink>
      <w:r w:rsidRPr="00F80910">
        <w:rPr>
          <w:rStyle w:val="TextoNormalCaracter"/>
        </w:rPr>
        <w:t>, f. 4.</w:t>
      </w:r>
    </w:p>
    <w:p w:rsidR="00F80910" w:rsidRPr="00F80910" w:rsidRDefault="00F80910" w:rsidP="00F80910">
      <w:pPr>
        <w:pStyle w:val="TextoNormalSangraFrancesa"/>
        <w:rPr>
          <w:rStyle w:val="TextoNormalCaracter"/>
        </w:rPr>
      </w:pPr>
      <w:bookmarkStart w:id="1110" w:name="DESCRIPTORALFABETICO358"/>
      <w:r w:rsidRPr="00F80910">
        <w:rPr>
          <w:rStyle w:val="TextoNormalNegritaCaracter"/>
        </w:rPr>
        <w:t>Expediente disciplinario</w:t>
      </w:r>
      <w:bookmarkEnd w:id="1110"/>
      <w:r w:rsidRPr="00F80910">
        <w:rPr>
          <w:rStyle w:val="TextoNormalCaracter"/>
        </w:rPr>
        <w:t xml:space="preserve">, Sentencia </w:t>
      </w:r>
      <w:hyperlink w:anchor="SENTENCIA_2015_187" w:history="1">
        <w:r w:rsidRPr="00F80910">
          <w:rPr>
            <w:rStyle w:val="TextoNormalCaracter"/>
          </w:rPr>
          <w:t>187/2015</w:t>
        </w:r>
      </w:hyperlink>
      <w:r w:rsidRPr="00F80910">
        <w:rPr>
          <w:rStyle w:val="TextoNormalCaracter"/>
        </w:rPr>
        <w:t>, ff. 2 a 5.</w:t>
      </w:r>
    </w:p>
    <w:p w:rsidR="00F80910" w:rsidRPr="00F80910" w:rsidRDefault="00F80910" w:rsidP="00F80910">
      <w:pPr>
        <w:pStyle w:val="TextoNormalSangraFrancesa"/>
        <w:rPr>
          <w:rStyle w:val="TextoNormalCaracter"/>
        </w:rPr>
      </w:pPr>
      <w:bookmarkStart w:id="1111" w:name="DESCRIPTORALFABETICO359"/>
      <w:r w:rsidRPr="00F80910">
        <w:rPr>
          <w:rStyle w:val="TextoNormalNegritaCaracter"/>
        </w:rPr>
        <w:t>Expediente disciplinario penitenciario</w:t>
      </w:r>
      <w:bookmarkEnd w:id="1111"/>
      <w:r w:rsidRPr="00F80910">
        <w:rPr>
          <w:rStyle w:val="TextoNormalCaracter"/>
        </w:rPr>
        <w:t xml:space="preserve">, Auto </w:t>
      </w:r>
      <w:hyperlink w:anchor="AUTO_2015_124" w:history="1">
        <w:r w:rsidRPr="00F80910">
          <w:rPr>
            <w:rStyle w:val="TextoNormalCaracter"/>
          </w:rPr>
          <w:t>124/2015</w:t>
        </w:r>
      </w:hyperlink>
      <w:r w:rsidRPr="00F80910">
        <w:rPr>
          <w:rStyle w:val="TextoNormalCaracter"/>
        </w:rPr>
        <w:t>, ff. 1, 2.</w:t>
      </w:r>
    </w:p>
    <w:p w:rsidR="00F80910" w:rsidRPr="00F80910" w:rsidRDefault="00F80910" w:rsidP="00F80910">
      <w:pPr>
        <w:pStyle w:val="TextoNormalSangraFrancesa"/>
        <w:rPr>
          <w:rStyle w:val="TextoNormalCaracter"/>
        </w:rPr>
      </w:pPr>
      <w:bookmarkStart w:id="1112" w:name="DESCRIPTORALFABETICO388"/>
      <w:r w:rsidRPr="00F80910">
        <w:rPr>
          <w:rStyle w:val="TextoNormalNegritaCaracter"/>
        </w:rPr>
        <w:t>Explotaciones mineras</w:t>
      </w:r>
      <w:bookmarkEnd w:id="1112"/>
      <w:r w:rsidRPr="00F80910">
        <w:rPr>
          <w:rStyle w:val="TextoNormalCaracter"/>
        </w:rPr>
        <w:t xml:space="preserve">, Sentencia </w:t>
      </w:r>
      <w:hyperlink w:anchor="SENTENCIA_2015_235" w:history="1">
        <w:r w:rsidRPr="00F80910">
          <w:rPr>
            <w:rStyle w:val="TextoNormalCaracter"/>
          </w:rPr>
          <w:t>235/2015</w:t>
        </w:r>
      </w:hyperlink>
      <w:r w:rsidRPr="00F80910">
        <w:rPr>
          <w:rStyle w:val="TextoNormalCaracter"/>
        </w:rPr>
        <w:t>, ff. 3, 4, 6.</w:t>
      </w:r>
    </w:p>
    <w:p w:rsidR="00F80910" w:rsidRPr="00F80910" w:rsidRDefault="00F80910" w:rsidP="00F80910">
      <w:pPr>
        <w:pStyle w:val="TextoNormalSangraFrancesa"/>
        <w:rPr>
          <w:rStyle w:val="TextoNormalCaracter"/>
        </w:rPr>
      </w:pPr>
      <w:bookmarkStart w:id="1113" w:name="DESCRIPTORALFABETICO141"/>
      <w:r w:rsidRPr="00F80910">
        <w:rPr>
          <w:rStyle w:val="TextoNormalNegritaCaracter"/>
        </w:rPr>
        <w:t>Expresiones vejatorias</w:t>
      </w:r>
      <w:bookmarkEnd w:id="1113"/>
      <w:r w:rsidRPr="00F80910">
        <w:rPr>
          <w:rStyle w:val="TextoNormalCaracter"/>
        </w:rPr>
        <w:t xml:space="preserve">, Sentencia </w:t>
      </w:r>
      <w:hyperlink w:anchor="SENTENCIA_2015_177" w:history="1">
        <w:r w:rsidRPr="00F80910">
          <w:rPr>
            <w:rStyle w:val="TextoNormalCaracter"/>
          </w:rPr>
          <w:t>177/2015</w:t>
        </w:r>
      </w:hyperlink>
      <w:r w:rsidRPr="00F80910">
        <w:rPr>
          <w:rStyle w:val="TextoNormalCaracter"/>
        </w:rPr>
        <w:t>, ff. 2, 3.</w:t>
      </w:r>
    </w:p>
    <w:p w:rsidR="00F80910" w:rsidRPr="00F80910" w:rsidRDefault="00F80910" w:rsidP="00F80910">
      <w:pPr>
        <w:pStyle w:val="TextoNormalSangraFrancesa"/>
        <w:rPr>
          <w:rStyle w:val="TextoNormalCaracter"/>
        </w:rPr>
      </w:pPr>
      <w:bookmarkStart w:id="1114" w:name="DESCRIPTORALFABETICO389"/>
      <w:r w:rsidRPr="00F80910">
        <w:rPr>
          <w:rStyle w:val="TextoNormalNegritaCaracter"/>
        </w:rPr>
        <w:t>Expropiación forzosa</w:t>
      </w:r>
      <w:bookmarkEnd w:id="1114"/>
      <w:r w:rsidRPr="00F80910">
        <w:rPr>
          <w:rStyle w:val="TextoNormalCaracter"/>
        </w:rPr>
        <w:t xml:space="preserve">, Sentencia </w:t>
      </w:r>
      <w:hyperlink w:anchor="SENTENCIA_2015_186" w:history="1">
        <w:r w:rsidRPr="00F80910">
          <w:rPr>
            <w:rStyle w:val="TextoNormalCaracter"/>
          </w:rPr>
          <w:t>186/2015</w:t>
        </w:r>
      </w:hyperlink>
      <w:r w:rsidRPr="00F80910">
        <w:rPr>
          <w:rStyle w:val="TextoNormalCaracter"/>
        </w:rPr>
        <w:t>, f. 1.</w:t>
      </w:r>
    </w:p>
    <w:p w:rsidR="00F80910" w:rsidRPr="00F80910" w:rsidRDefault="00F80910" w:rsidP="00F80910">
      <w:pPr>
        <w:pStyle w:val="TextoNormalSangraFrancesa"/>
        <w:rPr>
          <w:rStyle w:val="TextoNormalCaracter"/>
        </w:rPr>
      </w:pPr>
      <w:bookmarkStart w:id="1115" w:name="DESCRIPTORALFABETICO395"/>
      <w:r w:rsidRPr="00F80910">
        <w:rPr>
          <w:rStyle w:val="TextoNormalNegritaCaracter"/>
        </w:rPr>
        <w:t>Expulsión de extranjeros</w:t>
      </w:r>
      <w:bookmarkEnd w:id="1115"/>
      <w:r w:rsidRPr="00F80910">
        <w:rPr>
          <w:rStyle w:val="TextoNormalCaracter"/>
        </w:rPr>
        <w:t xml:space="preserve">, Sentencia </w:t>
      </w:r>
      <w:hyperlink w:anchor="SENTENCIA_2015_207" w:history="1">
        <w:r w:rsidRPr="00F80910">
          <w:rPr>
            <w:rStyle w:val="TextoNormalCaracter"/>
          </w:rPr>
          <w:t>207/2015</w:t>
        </w:r>
      </w:hyperlink>
      <w:r w:rsidRPr="00F80910">
        <w:rPr>
          <w:rStyle w:val="TextoNormalCaracter"/>
        </w:rPr>
        <w:t>, f. 2.</w:t>
      </w:r>
    </w:p>
    <w:p w:rsidR="00F80910" w:rsidRPr="00F80910" w:rsidRDefault="00F80910" w:rsidP="00F80910">
      <w:pPr>
        <w:pStyle w:val="TextoNormalSangraFrancesa"/>
        <w:rPr>
          <w:rStyle w:val="TextoNormalCaracter"/>
        </w:rPr>
      </w:pPr>
      <w:bookmarkStart w:id="1116" w:name="DESCRIPTORALFABETICO230"/>
      <w:r w:rsidRPr="00F80910">
        <w:rPr>
          <w:rStyle w:val="TextoNormalNegritaCaracter"/>
        </w:rPr>
        <w:t>Extemporaneidad del recurso de amparo</w:t>
      </w:r>
      <w:bookmarkEnd w:id="1116"/>
      <w:r w:rsidRPr="00F80910">
        <w:rPr>
          <w:rStyle w:val="TextoNormalCaracter"/>
        </w:rPr>
        <w:t xml:space="preserve">, Sentencia </w:t>
      </w:r>
      <w:hyperlink w:anchor="SENTENCIA_2015_195" w:history="1">
        <w:r w:rsidRPr="00F80910">
          <w:rPr>
            <w:rStyle w:val="TextoNormalCaracter"/>
          </w:rPr>
          <w:t>195/2015</w:t>
        </w:r>
      </w:hyperlink>
      <w:r w:rsidRPr="00F80910">
        <w:rPr>
          <w:rStyle w:val="TextoNormalCaracter"/>
        </w:rPr>
        <w:t>, f. 4.</w:t>
      </w:r>
    </w:p>
    <w:p w:rsidR="00F80910" w:rsidRPr="00F80910" w:rsidRDefault="00F80910" w:rsidP="00F80910">
      <w:pPr>
        <w:pStyle w:val="TextoNormalSangraFrancesa"/>
        <w:rPr>
          <w:rStyle w:val="TextoNormalCaracter"/>
        </w:rPr>
      </w:pPr>
      <w:bookmarkStart w:id="1117" w:name="DESCRIPTORALFABETICO203"/>
      <w:r w:rsidRPr="00F80910">
        <w:rPr>
          <w:rStyle w:val="TextoNormalNegritaCaracter"/>
        </w:rPr>
        <w:t>Extinción de cuestión de inconstitucionalidad</w:t>
      </w:r>
      <w:bookmarkEnd w:id="1117"/>
      <w:r w:rsidRPr="00F80910">
        <w:rPr>
          <w:rStyle w:val="TextoNormalCaracter"/>
        </w:rPr>
        <w:t xml:space="preserve">, Sentencias </w:t>
      </w:r>
      <w:hyperlink w:anchor="SENTENCIA_2015_151" w:history="1">
        <w:r w:rsidRPr="00F80910">
          <w:rPr>
            <w:rStyle w:val="TextoNormalCaracter"/>
          </w:rPr>
          <w:t>151/2015</w:t>
        </w:r>
      </w:hyperlink>
      <w:r w:rsidRPr="00F80910">
        <w:rPr>
          <w:rStyle w:val="TextoNormalCaracter"/>
        </w:rPr>
        <w:t xml:space="preserve">, f. 3; </w:t>
      </w:r>
      <w:hyperlink w:anchor="SENTENCIA_2015_153" w:history="1">
        <w:r w:rsidRPr="00F80910">
          <w:rPr>
            <w:rStyle w:val="TextoNormalCaracter"/>
          </w:rPr>
          <w:t>153/2015</w:t>
        </w:r>
      </w:hyperlink>
      <w:r w:rsidRPr="00F80910">
        <w:rPr>
          <w:rStyle w:val="TextoNormalCaracter"/>
        </w:rPr>
        <w:t xml:space="preserve">, f. 3; </w:t>
      </w:r>
      <w:hyperlink w:anchor="SENTENCIA_2015_184" w:history="1">
        <w:r w:rsidRPr="00F80910">
          <w:rPr>
            <w:rStyle w:val="TextoNormalCaracter"/>
          </w:rPr>
          <w:t>184/2015</w:t>
        </w:r>
      </w:hyperlink>
      <w:r w:rsidRPr="00F80910">
        <w:rPr>
          <w:rStyle w:val="TextoNormalCaracter"/>
        </w:rPr>
        <w:t xml:space="preserve">, f. 3; </w:t>
      </w:r>
      <w:hyperlink w:anchor="SENTENCIA_2015_188" w:history="1">
        <w:r w:rsidRPr="00F80910">
          <w:rPr>
            <w:rStyle w:val="TextoNormalCaracter"/>
          </w:rPr>
          <w:t>188/2015</w:t>
        </w:r>
      </w:hyperlink>
      <w:r w:rsidRPr="00F80910">
        <w:rPr>
          <w:rStyle w:val="TextoNormalCaracter"/>
        </w:rPr>
        <w:t xml:space="preserve">, f. 3; </w:t>
      </w:r>
      <w:hyperlink w:anchor="SENTENCIA_2015_189" w:history="1">
        <w:r w:rsidRPr="00F80910">
          <w:rPr>
            <w:rStyle w:val="TextoNormalCaracter"/>
          </w:rPr>
          <w:t>189/2015</w:t>
        </w:r>
      </w:hyperlink>
      <w:r w:rsidRPr="00F80910">
        <w:rPr>
          <w:rStyle w:val="TextoNormalCaracter"/>
        </w:rPr>
        <w:t xml:space="preserve">, f. 3; </w:t>
      </w:r>
      <w:hyperlink w:anchor="SENTENCIA_2015_190" w:history="1">
        <w:r w:rsidRPr="00F80910">
          <w:rPr>
            <w:rStyle w:val="TextoNormalCaracter"/>
          </w:rPr>
          <w:t>190/2015</w:t>
        </w:r>
      </w:hyperlink>
      <w:r w:rsidRPr="00F80910">
        <w:rPr>
          <w:rStyle w:val="TextoNormalCaracter"/>
        </w:rPr>
        <w:t xml:space="preserve">, f. 3; </w:t>
      </w:r>
      <w:hyperlink w:anchor="SENTENCIA_2015_191" w:history="1">
        <w:r w:rsidRPr="00F80910">
          <w:rPr>
            <w:rStyle w:val="TextoNormalCaracter"/>
          </w:rPr>
          <w:t>191/2015</w:t>
        </w:r>
      </w:hyperlink>
      <w:r w:rsidRPr="00F80910">
        <w:rPr>
          <w:rStyle w:val="TextoNormalCaracter"/>
        </w:rPr>
        <w:t xml:space="preserve">, f. 3; </w:t>
      </w:r>
      <w:hyperlink w:anchor="SENTENCIA_2015_192" w:history="1">
        <w:r w:rsidRPr="00F80910">
          <w:rPr>
            <w:rStyle w:val="TextoNormalCaracter"/>
          </w:rPr>
          <w:t>192/2015</w:t>
        </w:r>
      </w:hyperlink>
      <w:r w:rsidRPr="00F80910">
        <w:rPr>
          <w:rStyle w:val="TextoNormalCaracter"/>
        </w:rPr>
        <w:t xml:space="preserve">, f. 3; </w:t>
      </w:r>
      <w:hyperlink w:anchor="SENTENCIA_2015_193" w:history="1">
        <w:r w:rsidRPr="00F80910">
          <w:rPr>
            <w:rStyle w:val="TextoNormalCaracter"/>
          </w:rPr>
          <w:t>193/2015</w:t>
        </w:r>
      </w:hyperlink>
      <w:r w:rsidRPr="00F80910">
        <w:rPr>
          <w:rStyle w:val="TextoNormalCaracter"/>
        </w:rPr>
        <w:t>, f. 3.</w:t>
      </w:r>
    </w:p>
    <w:p w:rsidR="00F80910" w:rsidRPr="00F80910" w:rsidRDefault="00F80910" w:rsidP="00F80910">
      <w:pPr>
        <w:pStyle w:val="TextoNormalSangraFrancesa"/>
        <w:rPr>
          <w:rStyle w:val="TextoNormalCaracter"/>
        </w:rPr>
      </w:pPr>
      <w:r w:rsidRPr="00F80910">
        <w:rPr>
          <w:rStyle w:val="TextoNormalCaracter"/>
        </w:rPr>
        <w:t xml:space="preserve">    Autos </w:t>
      </w:r>
      <w:hyperlink w:anchor="AUTO_2015_211" w:history="1">
        <w:r w:rsidRPr="00F80910">
          <w:rPr>
            <w:rStyle w:val="TextoNormalCaracter"/>
          </w:rPr>
          <w:t>211/2015</w:t>
        </w:r>
      </w:hyperlink>
      <w:r w:rsidRPr="00F80910">
        <w:rPr>
          <w:rStyle w:val="TextoNormalCaracter"/>
        </w:rPr>
        <w:t xml:space="preserve">, f. único; </w:t>
      </w:r>
      <w:hyperlink w:anchor="AUTO_2015_214" w:history="1">
        <w:r w:rsidRPr="00F80910">
          <w:rPr>
            <w:rStyle w:val="TextoNormalCaracter"/>
          </w:rPr>
          <w:t>214/2015</w:t>
        </w:r>
      </w:hyperlink>
      <w:r w:rsidRPr="00F80910">
        <w:rPr>
          <w:rStyle w:val="TextoNormalCaracter"/>
        </w:rPr>
        <w:t xml:space="preserve">, f. único; </w:t>
      </w:r>
      <w:hyperlink w:anchor="AUTO_2015_215" w:history="1">
        <w:r w:rsidRPr="00F80910">
          <w:rPr>
            <w:rStyle w:val="TextoNormalCaracter"/>
          </w:rPr>
          <w:t>215/2015</w:t>
        </w:r>
      </w:hyperlink>
      <w:r w:rsidRPr="00F80910">
        <w:rPr>
          <w:rStyle w:val="TextoNormalCaracter"/>
        </w:rPr>
        <w:t xml:space="preserve">, f. único; </w:t>
      </w:r>
      <w:hyperlink w:anchor="AUTO_2015_216" w:history="1">
        <w:r w:rsidRPr="00F80910">
          <w:rPr>
            <w:rStyle w:val="TextoNormalCaracter"/>
          </w:rPr>
          <w:t>216/2015</w:t>
        </w:r>
      </w:hyperlink>
      <w:r w:rsidRPr="00F80910">
        <w:rPr>
          <w:rStyle w:val="TextoNormalCaracter"/>
        </w:rPr>
        <w:t xml:space="preserve">, f. único; </w:t>
      </w:r>
      <w:hyperlink w:anchor="AUTO_2015_217" w:history="1">
        <w:r w:rsidRPr="00F80910">
          <w:rPr>
            <w:rStyle w:val="TextoNormalCaracter"/>
          </w:rPr>
          <w:t>217/2015</w:t>
        </w:r>
      </w:hyperlink>
      <w:r w:rsidRPr="00F80910">
        <w:rPr>
          <w:rStyle w:val="TextoNormalCaracter"/>
        </w:rPr>
        <w:t xml:space="preserve">, f. único; </w:t>
      </w:r>
      <w:hyperlink w:anchor="AUTO_2015_218" w:history="1">
        <w:r w:rsidRPr="00F80910">
          <w:rPr>
            <w:rStyle w:val="TextoNormalCaracter"/>
          </w:rPr>
          <w:t>218/2015</w:t>
        </w:r>
      </w:hyperlink>
      <w:r w:rsidRPr="00F80910">
        <w:rPr>
          <w:rStyle w:val="TextoNormalCaracter"/>
        </w:rPr>
        <w:t xml:space="preserve">, f. único; </w:t>
      </w:r>
      <w:hyperlink w:anchor="AUTO_2015_219" w:history="1">
        <w:r w:rsidRPr="00F80910">
          <w:rPr>
            <w:rStyle w:val="TextoNormalCaracter"/>
          </w:rPr>
          <w:t>219/2015</w:t>
        </w:r>
      </w:hyperlink>
      <w:r w:rsidRPr="00F80910">
        <w:rPr>
          <w:rStyle w:val="TextoNormalCaracter"/>
        </w:rPr>
        <w:t xml:space="preserve">, f. único; </w:t>
      </w:r>
      <w:hyperlink w:anchor="AUTO_2015_220" w:history="1">
        <w:r w:rsidRPr="00F80910">
          <w:rPr>
            <w:rStyle w:val="TextoNormalCaracter"/>
          </w:rPr>
          <w:t>220/2015</w:t>
        </w:r>
      </w:hyperlink>
      <w:r w:rsidRPr="00F80910">
        <w:rPr>
          <w:rStyle w:val="TextoNormalCaracter"/>
        </w:rPr>
        <w:t xml:space="preserve">, f. único; </w:t>
      </w:r>
      <w:hyperlink w:anchor="AUTO_2015_221" w:history="1">
        <w:r w:rsidRPr="00F80910">
          <w:rPr>
            <w:rStyle w:val="TextoNormalCaracter"/>
          </w:rPr>
          <w:t>221/2015</w:t>
        </w:r>
      </w:hyperlink>
      <w:r w:rsidRPr="00F80910">
        <w:rPr>
          <w:rStyle w:val="TextoNormalCaracter"/>
        </w:rPr>
        <w:t xml:space="preserve">, f. único; </w:t>
      </w:r>
      <w:hyperlink w:anchor="AUTO_2015_222" w:history="1">
        <w:r w:rsidRPr="00F80910">
          <w:rPr>
            <w:rStyle w:val="TextoNormalCaracter"/>
          </w:rPr>
          <w:t>222/2015</w:t>
        </w:r>
      </w:hyperlink>
      <w:r w:rsidRPr="00F80910">
        <w:rPr>
          <w:rStyle w:val="TextoNormalCaracter"/>
        </w:rPr>
        <w:t>, f. único.</w:t>
      </w:r>
    </w:p>
    <w:p w:rsidR="00F80910" w:rsidRPr="00F80910" w:rsidRDefault="00F80910" w:rsidP="00F80910">
      <w:pPr>
        <w:pStyle w:val="TextoNormalSangraFrancesa"/>
        <w:rPr>
          <w:rStyle w:val="TextoNormalCaracter"/>
        </w:rPr>
      </w:pPr>
      <w:bookmarkStart w:id="1118" w:name="DESCRIPTORALFABETICO507"/>
      <w:r w:rsidRPr="00F80910">
        <w:rPr>
          <w:rStyle w:val="TextoNormalNegritaCaracter"/>
        </w:rPr>
        <w:t>Extinción del contrato de trabajo</w:t>
      </w:r>
      <w:bookmarkEnd w:id="1118"/>
      <w:r w:rsidRPr="00F80910">
        <w:rPr>
          <w:rStyle w:val="TextoNormalCaracter"/>
        </w:rPr>
        <w:t xml:space="preserve">, Sentencia </w:t>
      </w:r>
      <w:hyperlink w:anchor="SENTENCIA_2015_183" w:history="1">
        <w:r w:rsidRPr="00F80910">
          <w:rPr>
            <w:rStyle w:val="TextoNormalCaracter"/>
          </w:rPr>
          <w:t>183/2015</w:t>
        </w:r>
      </w:hyperlink>
      <w:r w:rsidRPr="00F80910">
        <w:rPr>
          <w:rStyle w:val="TextoNormalCaracter"/>
        </w:rPr>
        <w:t>, ff. 3, 4, 6, 7, VP.</w:t>
      </w:r>
    </w:p>
    <w:p w:rsidR="00F80910" w:rsidRPr="00F80910" w:rsidRDefault="00F80910" w:rsidP="00F80910">
      <w:pPr>
        <w:pStyle w:val="TextoNormalSangraFrancesa"/>
        <w:rPr>
          <w:rStyle w:val="TextoNormalCaracter"/>
        </w:rPr>
      </w:pPr>
      <w:bookmarkStart w:id="1119" w:name="DESCRIPTORALFABETICO394"/>
      <w:r w:rsidRPr="00F80910">
        <w:rPr>
          <w:rStyle w:val="TextoNormalNegritaCaracter"/>
        </w:rPr>
        <w:t>Extranjería</w:t>
      </w:r>
      <w:bookmarkEnd w:id="1119"/>
      <w:r w:rsidRPr="00F80910">
        <w:rPr>
          <w:rStyle w:val="TextoNormalCaracter"/>
        </w:rPr>
        <w:t xml:space="preserve">, Sentencia </w:t>
      </w:r>
      <w:hyperlink w:anchor="SENTENCIA_2015_155" w:history="1">
        <w:r w:rsidRPr="00F80910">
          <w:rPr>
            <w:rStyle w:val="TextoNormalCaracter"/>
          </w:rPr>
          <w:t>155/2015</w:t>
        </w:r>
      </w:hyperlink>
      <w:r w:rsidRPr="00F80910">
        <w:rPr>
          <w:rStyle w:val="TextoNormalCaracter"/>
        </w:rPr>
        <w:t>, f. 2, VP I, VP II.</w:t>
      </w:r>
    </w:p>
    <w:p w:rsidR="00F80910" w:rsidRDefault="00F80910" w:rsidP="00F80910">
      <w:pPr>
        <w:pStyle w:val="TextoNormalSangraFrancesa"/>
      </w:pPr>
    </w:p>
    <w:p w:rsidR="00F80910" w:rsidRDefault="00F80910" w:rsidP="00F80910">
      <w:pPr>
        <w:pStyle w:val="TextoNormalSangraFrancesa"/>
      </w:pPr>
    </w:p>
    <w:p w:rsidR="00F80910" w:rsidRDefault="00F80910" w:rsidP="00F80910">
      <w:pPr>
        <w:pStyle w:val="TextoNormalNegritaCentrado"/>
      </w:pPr>
      <w:r>
        <w:t>F</w:t>
      </w:r>
    </w:p>
    <w:p w:rsidR="00F80910" w:rsidRDefault="00F80910" w:rsidP="00F80910">
      <w:pPr>
        <w:pStyle w:val="TextoNormalNegritaCentrado"/>
      </w:pPr>
    </w:p>
    <w:p w:rsidR="00F80910" w:rsidRPr="00F80910" w:rsidRDefault="00F80910" w:rsidP="00F80910">
      <w:pPr>
        <w:pStyle w:val="TextoNormalSangraFrancesa"/>
        <w:rPr>
          <w:rStyle w:val="TextoNormalCaracter"/>
        </w:rPr>
      </w:pPr>
      <w:bookmarkStart w:id="1120" w:name="DESCRIPTORALFABETICO81"/>
      <w:r w:rsidRPr="00F80910">
        <w:rPr>
          <w:rStyle w:val="TextoNormalNegritaCaracter"/>
        </w:rPr>
        <w:t>Falta de justificación razonable del tratamiento diferenciado</w:t>
      </w:r>
      <w:bookmarkEnd w:id="1120"/>
      <w:r w:rsidRPr="00F80910">
        <w:rPr>
          <w:rStyle w:val="TextoNormalCaracter"/>
        </w:rPr>
        <w:t xml:space="preserve">, Sentencias </w:t>
      </w:r>
      <w:hyperlink w:anchor="SENTENCIA_2015_232" w:history="1">
        <w:r w:rsidRPr="00F80910">
          <w:rPr>
            <w:rStyle w:val="TextoNormalCaracter"/>
          </w:rPr>
          <w:t>232/2015</w:t>
        </w:r>
      </w:hyperlink>
      <w:r w:rsidRPr="00F80910">
        <w:rPr>
          <w:rStyle w:val="TextoNormalCaracter"/>
        </w:rPr>
        <w:t xml:space="preserve">, ff. 4, 6; </w:t>
      </w:r>
      <w:hyperlink w:anchor="SENTENCIA_2015_233" w:history="1">
        <w:r w:rsidRPr="00F80910">
          <w:rPr>
            <w:rStyle w:val="TextoNormalCaracter"/>
          </w:rPr>
          <w:t>233/2015</w:t>
        </w:r>
      </w:hyperlink>
      <w:r w:rsidRPr="00F80910">
        <w:rPr>
          <w:rStyle w:val="TextoNormalCaracter"/>
        </w:rPr>
        <w:t>, f. 12.</w:t>
      </w:r>
    </w:p>
    <w:p w:rsidR="00F80910" w:rsidRPr="00F80910" w:rsidRDefault="00F80910" w:rsidP="00F80910">
      <w:pPr>
        <w:pStyle w:val="TextoNormalSangraFrancesa"/>
        <w:rPr>
          <w:rStyle w:val="TextoNormalCaracter"/>
        </w:rPr>
      </w:pPr>
      <w:bookmarkStart w:id="1121" w:name="DESCRIPTORALFABETICO111"/>
      <w:r w:rsidRPr="00F80910">
        <w:rPr>
          <w:rStyle w:val="TextoNormalNegritaCaracter"/>
        </w:rPr>
        <w:t>Falta de motivación de las sentencias</w:t>
      </w:r>
      <w:bookmarkEnd w:id="1121"/>
      <w:r w:rsidRPr="00F80910">
        <w:rPr>
          <w:rStyle w:val="TextoNormalCaracter"/>
        </w:rPr>
        <w:t xml:space="preserve">, Sentencias </w:t>
      </w:r>
      <w:hyperlink w:anchor="SENTENCIA_2015_222" w:history="1">
        <w:r w:rsidRPr="00F80910">
          <w:rPr>
            <w:rStyle w:val="TextoNormalCaracter"/>
          </w:rPr>
          <w:t>222/2015</w:t>
        </w:r>
      </w:hyperlink>
      <w:r w:rsidRPr="00F80910">
        <w:rPr>
          <w:rStyle w:val="TextoNormalCaracter"/>
        </w:rPr>
        <w:t xml:space="preserve">, ff. 3, 4; </w:t>
      </w:r>
      <w:hyperlink w:anchor="SENTENCIA_2015_239" w:history="1">
        <w:r w:rsidRPr="00F80910">
          <w:rPr>
            <w:rStyle w:val="TextoNormalCaracter"/>
          </w:rPr>
          <w:t>239/2015</w:t>
        </w:r>
      </w:hyperlink>
      <w:r w:rsidRPr="00F80910">
        <w:rPr>
          <w:rStyle w:val="TextoNormalCaracter"/>
        </w:rPr>
        <w:t xml:space="preserve">, ff. 3, 4; </w:t>
      </w:r>
      <w:hyperlink w:anchor="SENTENCIA_2015_240" w:history="1">
        <w:r w:rsidRPr="00F80910">
          <w:rPr>
            <w:rStyle w:val="TextoNormalCaracter"/>
          </w:rPr>
          <w:t>240/2015</w:t>
        </w:r>
      </w:hyperlink>
      <w:r w:rsidRPr="00F80910">
        <w:rPr>
          <w:rStyle w:val="TextoNormalCaracter"/>
        </w:rPr>
        <w:t xml:space="preserve">, ff. 3, 4; </w:t>
      </w:r>
      <w:hyperlink w:anchor="SENTENCIA_2015_262" w:history="1">
        <w:r w:rsidRPr="00F80910">
          <w:rPr>
            <w:rStyle w:val="TextoNormalCaracter"/>
          </w:rPr>
          <w:t>262/2015</w:t>
        </w:r>
      </w:hyperlink>
      <w:r w:rsidRPr="00F80910">
        <w:rPr>
          <w:rStyle w:val="TextoNormalCaracter"/>
        </w:rPr>
        <w:t xml:space="preserve">, ff. 3, 4; </w:t>
      </w:r>
      <w:hyperlink w:anchor="SENTENCIA_2015_263" w:history="1">
        <w:r w:rsidRPr="00F80910">
          <w:rPr>
            <w:rStyle w:val="TextoNormalCaracter"/>
          </w:rPr>
          <w:t>263/2015</w:t>
        </w:r>
      </w:hyperlink>
      <w:r w:rsidRPr="00F80910">
        <w:rPr>
          <w:rStyle w:val="TextoNormalCaracter"/>
        </w:rPr>
        <w:t>, ff. 3, 4.</w:t>
      </w:r>
    </w:p>
    <w:p w:rsidR="00F80910" w:rsidRPr="00F80910" w:rsidRDefault="00F80910" w:rsidP="00F80910">
      <w:pPr>
        <w:pStyle w:val="TextoNormalSangraFrancesa"/>
        <w:rPr>
          <w:rStyle w:val="TextoNormalCaracter"/>
        </w:rPr>
      </w:pPr>
      <w:bookmarkStart w:id="1122" w:name="DESCRIPTORALFABETICO529"/>
      <w:r w:rsidRPr="00F80910">
        <w:rPr>
          <w:rStyle w:val="TextoNormalNegritaCaracter"/>
        </w:rPr>
        <w:t>Falta de notificación personal al interesado</w:t>
      </w:r>
      <w:bookmarkEnd w:id="1122"/>
      <w:r w:rsidRPr="00F80910">
        <w:rPr>
          <w:rStyle w:val="TextoNormalCaracter"/>
        </w:rPr>
        <w:t xml:space="preserve">, Sentencias </w:t>
      </w:r>
      <w:hyperlink w:anchor="SENTENCIA_2015_167" w:history="1">
        <w:r w:rsidRPr="00F80910">
          <w:rPr>
            <w:rStyle w:val="TextoNormalCaracter"/>
          </w:rPr>
          <w:t>167/2015</w:t>
        </w:r>
      </w:hyperlink>
      <w:r w:rsidRPr="00F80910">
        <w:rPr>
          <w:rStyle w:val="TextoNormalCaracter"/>
        </w:rPr>
        <w:t xml:space="preserve">, ff. 3, 4; </w:t>
      </w:r>
      <w:hyperlink w:anchor="SENTENCIA_2015_181" w:history="1">
        <w:r w:rsidRPr="00F80910">
          <w:rPr>
            <w:rStyle w:val="TextoNormalCaracter"/>
          </w:rPr>
          <w:t>181/2015</w:t>
        </w:r>
      </w:hyperlink>
      <w:r w:rsidRPr="00F80910">
        <w:rPr>
          <w:rStyle w:val="TextoNormalCaracter"/>
        </w:rPr>
        <w:t>, ff. 3 a 5.</w:t>
      </w:r>
    </w:p>
    <w:p w:rsidR="00F80910" w:rsidRPr="00F80910" w:rsidRDefault="00F80910" w:rsidP="00F80910">
      <w:pPr>
        <w:pStyle w:val="TextoNormalSangraFrancesa"/>
        <w:rPr>
          <w:rStyle w:val="TextoNormalCaracter"/>
        </w:rPr>
      </w:pPr>
      <w:bookmarkStart w:id="1123" w:name="DESCRIPTORALFABETICO392"/>
      <w:r w:rsidRPr="00F80910">
        <w:rPr>
          <w:rStyle w:val="TextoNormalNegritaCaracter"/>
        </w:rPr>
        <w:t>Fijación del justiprecio</w:t>
      </w:r>
      <w:bookmarkEnd w:id="1123"/>
      <w:r w:rsidRPr="00F80910">
        <w:rPr>
          <w:rStyle w:val="TextoNormalCaracter"/>
        </w:rPr>
        <w:t xml:space="preserve">, Sentencias </w:t>
      </w:r>
      <w:hyperlink w:anchor="SENTENCIA_2015_218" w:history="1">
        <w:r w:rsidRPr="00F80910">
          <w:rPr>
            <w:rStyle w:val="TextoNormalCaracter"/>
          </w:rPr>
          <w:t>218/2015</w:t>
        </w:r>
      </w:hyperlink>
      <w:r w:rsidRPr="00F80910">
        <w:rPr>
          <w:rStyle w:val="TextoNormalCaracter"/>
        </w:rPr>
        <w:t xml:space="preserve">, ff. 2, 5, VP II, VP III; </w:t>
      </w:r>
      <w:hyperlink w:anchor="SENTENCIA_2015_244" w:history="1">
        <w:r w:rsidRPr="00F80910">
          <w:rPr>
            <w:rStyle w:val="TextoNormalCaracter"/>
          </w:rPr>
          <w:t>244/2015</w:t>
        </w:r>
      </w:hyperlink>
      <w:r w:rsidRPr="00F80910">
        <w:rPr>
          <w:rStyle w:val="TextoNormalCaracter"/>
        </w:rPr>
        <w:t>, ff. 2, 5.</w:t>
      </w:r>
    </w:p>
    <w:p w:rsidR="00F80910" w:rsidRPr="00F80910" w:rsidRDefault="00F80910" w:rsidP="00F80910">
      <w:pPr>
        <w:pStyle w:val="TextoNormalSangraFrancesa"/>
        <w:rPr>
          <w:rStyle w:val="TextoNormalCaracter"/>
        </w:rPr>
      </w:pPr>
      <w:bookmarkStart w:id="1124" w:name="DESCRIPTORALFABETICO510"/>
      <w:r w:rsidRPr="00F80910">
        <w:rPr>
          <w:rStyle w:val="TextoNormalNegritaCaracter"/>
        </w:rPr>
        <w:t>Financiación de acciones de formación continua</w:t>
      </w:r>
      <w:bookmarkEnd w:id="1124"/>
      <w:r w:rsidRPr="00F80910">
        <w:rPr>
          <w:rStyle w:val="TextoNormalCaracter"/>
        </w:rPr>
        <w:t xml:space="preserve">, Sentencia </w:t>
      </w:r>
      <w:hyperlink w:anchor="SENTENCIA_2015_185" w:history="1">
        <w:r w:rsidRPr="00F80910">
          <w:rPr>
            <w:rStyle w:val="TextoNormalCaracter"/>
          </w:rPr>
          <w:t>185/2015</w:t>
        </w:r>
      </w:hyperlink>
      <w:r w:rsidRPr="00F80910">
        <w:rPr>
          <w:rStyle w:val="TextoNormalCaracter"/>
        </w:rPr>
        <w:t>, ff. 4 a 8.</w:t>
      </w:r>
    </w:p>
    <w:p w:rsidR="00F80910" w:rsidRPr="00F80910" w:rsidRDefault="00F80910" w:rsidP="00F80910">
      <w:pPr>
        <w:pStyle w:val="TextoNormalSangraFrancesa"/>
        <w:rPr>
          <w:rStyle w:val="TextoNormalCaracter"/>
        </w:rPr>
      </w:pPr>
      <w:bookmarkStart w:id="1125" w:name="DESCRIPTORALFABETICO40"/>
      <w:r w:rsidRPr="00F80910">
        <w:rPr>
          <w:rStyle w:val="TextoNormalNegritaCaracter"/>
        </w:rPr>
        <w:t>Fondos de empleo</w:t>
      </w:r>
      <w:bookmarkEnd w:id="1125"/>
      <w:r w:rsidRPr="00F80910">
        <w:rPr>
          <w:rStyle w:val="TextoNormalCaracter"/>
        </w:rPr>
        <w:t xml:space="preserve">, Auto </w:t>
      </w:r>
      <w:hyperlink w:anchor="AUTO_2015_120" w:history="1">
        <w:r w:rsidRPr="00F80910">
          <w:rPr>
            <w:rStyle w:val="TextoNormalCaracter"/>
          </w:rPr>
          <w:t>120/2015</w:t>
        </w:r>
      </w:hyperlink>
      <w:r w:rsidRPr="00F80910">
        <w:rPr>
          <w:rStyle w:val="TextoNormalCaracter"/>
        </w:rPr>
        <w:t>, ff. 2, 3.</w:t>
      </w:r>
    </w:p>
    <w:p w:rsidR="00F80910" w:rsidRPr="00F80910" w:rsidRDefault="00F80910" w:rsidP="00F80910">
      <w:pPr>
        <w:pStyle w:val="TextoNormalSangraFrancesa"/>
        <w:rPr>
          <w:rStyle w:val="TextoNormalCaracter"/>
        </w:rPr>
      </w:pPr>
      <w:bookmarkStart w:id="1126" w:name="DESCRIPTORALFABETICO404"/>
      <w:r w:rsidRPr="00F80910">
        <w:rPr>
          <w:rStyle w:val="TextoNormalNegritaCaracter"/>
        </w:rPr>
        <w:t>Fuerzas y cuerpos de seguridad</w:t>
      </w:r>
      <w:bookmarkEnd w:id="1126"/>
      <w:r w:rsidRPr="00F80910">
        <w:rPr>
          <w:rStyle w:val="TextoNormalCaracter"/>
        </w:rPr>
        <w:t xml:space="preserve">, Sentencia </w:t>
      </w:r>
      <w:hyperlink w:anchor="SENTENCIA_2015_200" w:history="1">
        <w:r w:rsidRPr="00F80910">
          <w:rPr>
            <w:rStyle w:val="TextoNormalCaracter"/>
          </w:rPr>
          <w:t>200/2015</w:t>
        </w:r>
      </w:hyperlink>
      <w:r w:rsidRPr="00F80910">
        <w:rPr>
          <w:rStyle w:val="TextoNormalCaracter"/>
        </w:rPr>
        <w:t>, ff. 1, 2.</w:t>
      </w:r>
    </w:p>
    <w:p w:rsidR="00F80910" w:rsidRPr="00F80910" w:rsidRDefault="00F80910" w:rsidP="00F80910">
      <w:pPr>
        <w:pStyle w:val="TextoNormalSangraFrancesa"/>
        <w:rPr>
          <w:rStyle w:val="TextoNormalCaracter"/>
        </w:rPr>
      </w:pPr>
      <w:r w:rsidRPr="00F80910">
        <w:rPr>
          <w:rStyle w:val="TextoNormalCaracter"/>
        </w:rPr>
        <w:t xml:space="preserve">    Auto </w:t>
      </w:r>
      <w:hyperlink w:anchor="AUTO_2015_188" w:history="1">
        <w:r w:rsidRPr="00F80910">
          <w:rPr>
            <w:rStyle w:val="TextoNormalCaracter"/>
          </w:rPr>
          <w:t>188/2015</w:t>
        </w:r>
      </w:hyperlink>
      <w:r w:rsidRPr="00F80910">
        <w:rPr>
          <w:rStyle w:val="TextoNormalCaracter"/>
        </w:rPr>
        <w:t>, f. 3.</w:t>
      </w:r>
    </w:p>
    <w:p w:rsidR="00F80910" w:rsidRPr="00F80910" w:rsidRDefault="00F80910" w:rsidP="00F80910">
      <w:pPr>
        <w:pStyle w:val="TextoNormalSangraFrancesa"/>
        <w:rPr>
          <w:rStyle w:val="TextoNormalCaracter"/>
        </w:rPr>
      </w:pPr>
      <w:bookmarkStart w:id="1127" w:name="DESCRIPTORALFABETICO164"/>
      <w:r w:rsidRPr="00F80910">
        <w:rPr>
          <w:rStyle w:val="TextoNormalNegritaCaracter"/>
        </w:rPr>
        <w:t>Función de depuración del ordenamiento jurídico</w:t>
      </w:r>
      <w:bookmarkEnd w:id="1127"/>
      <w:r w:rsidRPr="00F80910">
        <w:rPr>
          <w:rStyle w:val="TextoNormalCaracter"/>
        </w:rPr>
        <w:t xml:space="preserve">, Sentencia </w:t>
      </w:r>
      <w:hyperlink w:anchor="SENTENCIA_2015_195" w:history="1">
        <w:r w:rsidRPr="00F80910">
          <w:rPr>
            <w:rStyle w:val="TextoNormalCaracter"/>
          </w:rPr>
          <w:t>195/2015</w:t>
        </w:r>
      </w:hyperlink>
      <w:r w:rsidRPr="00F80910">
        <w:rPr>
          <w:rStyle w:val="TextoNormalCaracter"/>
        </w:rPr>
        <w:t>, f. 6.</w:t>
      </w:r>
    </w:p>
    <w:p w:rsidR="00F80910" w:rsidRPr="00F80910" w:rsidRDefault="00F80910" w:rsidP="00F80910">
      <w:pPr>
        <w:pStyle w:val="TextoNormalSangraFrancesa"/>
        <w:rPr>
          <w:rStyle w:val="TextoNormalCaracter"/>
        </w:rPr>
      </w:pPr>
      <w:bookmarkStart w:id="1128" w:name="DESCRIPTORALFABETICO520"/>
      <w:r w:rsidRPr="00F80910">
        <w:rPr>
          <w:rStyle w:val="TextoNormalNegritaCaracter"/>
        </w:rPr>
        <w:t>Función social de la vivienda</w:t>
      </w:r>
      <w:bookmarkEnd w:id="1128"/>
      <w:r w:rsidRPr="00F80910">
        <w:rPr>
          <w:rStyle w:val="TextoNormalCaracter"/>
        </w:rPr>
        <w:t xml:space="preserve">, Auto </w:t>
      </w:r>
      <w:hyperlink w:anchor="AUTO_2015_135" w:history="1">
        <w:r w:rsidRPr="00F80910">
          <w:rPr>
            <w:rStyle w:val="TextoNormalCaracter"/>
          </w:rPr>
          <w:t>135/2015</w:t>
        </w:r>
      </w:hyperlink>
      <w:r w:rsidRPr="00F80910">
        <w:rPr>
          <w:rStyle w:val="TextoNormalCaracter"/>
        </w:rPr>
        <w:t>, ff. 1, 2.</w:t>
      </w:r>
    </w:p>
    <w:p w:rsidR="00F80910" w:rsidRPr="00F80910" w:rsidRDefault="00F80910" w:rsidP="00F80910">
      <w:pPr>
        <w:pStyle w:val="TextoNormalSangraFrancesa"/>
        <w:rPr>
          <w:rStyle w:val="TextoNormalCaracter"/>
        </w:rPr>
      </w:pPr>
      <w:bookmarkStart w:id="1129" w:name="DESCRIPTORALFABETICO324"/>
      <w:r w:rsidRPr="00F80910">
        <w:rPr>
          <w:rStyle w:val="TextoNormalNegritaCaracter"/>
        </w:rPr>
        <w:t>Funcionarios públicos</w:t>
      </w:r>
      <w:bookmarkEnd w:id="1129"/>
      <w:r w:rsidRPr="00F80910">
        <w:rPr>
          <w:rStyle w:val="TextoNormalCaracter"/>
        </w:rPr>
        <w:t xml:space="preserve">, Sentencias </w:t>
      </w:r>
      <w:hyperlink w:anchor="SENTENCIA_2015_151" w:history="1">
        <w:r w:rsidRPr="00F80910">
          <w:rPr>
            <w:rStyle w:val="TextoNormalCaracter"/>
          </w:rPr>
          <w:t>151/2015</w:t>
        </w:r>
      </w:hyperlink>
      <w:r w:rsidRPr="00F80910">
        <w:rPr>
          <w:rStyle w:val="TextoNormalCaracter"/>
        </w:rPr>
        <w:t xml:space="preserve">; </w:t>
      </w:r>
      <w:hyperlink w:anchor="SENTENCIA_2015_153" w:history="1">
        <w:r w:rsidRPr="00F80910">
          <w:rPr>
            <w:rStyle w:val="TextoNormalCaracter"/>
          </w:rPr>
          <w:t>153/2015</w:t>
        </w:r>
      </w:hyperlink>
      <w:r w:rsidRPr="00F80910">
        <w:rPr>
          <w:rStyle w:val="TextoNormalCaracter"/>
        </w:rPr>
        <w:t xml:space="preserve">; </w:t>
      </w:r>
      <w:hyperlink w:anchor="SENTENCIA_2015_156" w:history="1">
        <w:r w:rsidRPr="00F80910">
          <w:rPr>
            <w:rStyle w:val="TextoNormalCaracter"/>
          </w:rPr>
          <w:t>156/2015</w:t>
        </w:r>
      </w:hyperlink>
      <w:r w:rsidRPr="00F80910">
        <w:rPr>
          <w:rStyle w:val="TextoNormalCaracter"/>
        </w:rPr>
        <w:t xml:space="preserve">, ff. 5, 6, VP; </w:t>
      </w:r>
      <w:hyperlink w:anchor="SENTENCIA_2015_161" w:history="1">
        <w:r w:rsidRPr="00F80910">
          <w:rPr>
            <w:rStyle w:val="TextoNormalCaracter"/>
          </w:rPr>
          <w:t>161/2015</w:t>
        </w:r>
      </w:hyperlink>
      <w:r w:rsidRPr="00F80910">
        <w:rPr>
          <w:rStyle w:val="TextoNormalCaracter"/>
        </w:rPr>
        <w:t xml:space="preserve">, ff. 1 a 3; </w:t>
      </w:r>
      <w:hyperlink w:anchor="SENTENCIA_2015_162" w:history="1">
        <w:r w:rsidRPr="00F80910">
          <w:rPr>
            <w:rStyle w:val="TextoNormalCaracter"/>
          </w:rPr>
          <w:t>162/2015</w:t>
        </w:r>
      </w:hyperlink>
      <w:r w:rsidRPr="00F80910">
        <w:rPr>
          <w:rStyle w:val="TextoNormalCaracter"/>
        </w:rPr>
        <w:t xml:space="preserve">, ff. 1 a 3; </w:t>
      </w:r>
      <w:hyperlink w:anchor="SENTENCIA_2015_163" w:history="1">
        <w:r w:rsidRPr="00F80910">
          <w:rPr>
            <w:rStyle w:val="TextoNormalCaracter"/>
          </w:rPr>
          <w:t>163/2015</w:t>
        </w:r>
      </w:hyperlink>
      <w:r w:rsidRPr="00F80910">
        <w:rPr>
          <w:rStyle w:val="TextoNormalCaracter"/>
        </w:rPr>
        <w:t xml:space="preserve">, ff. 1 a 3; </w:t>
      </w:r>
      <w:hyperlink w:anchor="SENTENCIA_2015_164" w:history="1">
        <w:r w:rsidRPr="00F80910">
          <w:rPr>
            <w:rStyle w:val="TextoNormalCaracter"/>
          </w:rPr>
          <w:t>164/2015</w:t>
        </w:r>
      </w:hyperlink>
      <w:r w:rsidRPr="00F80910">
        <w:rPr>
          <w:rStyle w:val="TextoNormalCaracter"/>
        </w:rPr>
        <w:t xml:space="preserve">, ff. 2 a 3; </w:t>
      </w:r>
      <w:hyperlink w:anchor="SENTENCIA_2015_165" w:history="1">
        <w:r w:rsidRPr="00F80910">
          <w:rPr>
            <w:rStyle w:val="TextoNormalCaracter"/>
          </w:rPr>
          <w:t>165/2015</w:t>
        </w:r>
      </w:hyperlink>
      <w:r w:rsidRPr="00F80910">
        <w:rPr>
          <w:rStyle w:val="TextoNormalCaracter"/>
        </w:rPr>
        <w:t xml:space="preserve">, ff. 1 a 3; </w:t>
      </w:r>
      <w:hyperlink w:anchor="SENTENCIA_2015_166" w:history="1">
        <w:r w:rsidRPr="00F80910">
          <w:rPr>
            <w:rStyle w:val="TextoNormalCaracter"/>
          </w:rPr>
          <w:t>166/2015</w:t>
        </w:r>
      </w:hyperlink>
      <w:r w:rsidRPr="00F80910">
        <w:rPr>
          <w:rStyle w:val="TextoNormalCaracter"/>
        </w:rPr>
        <w:t xml:space="preserve">, ff. 1 a 3; </w:t>
      </w:r>
      <w:hyperlink w:anchor="SENTENCIA_2015_168" w:history="1">
        <w:r w:rsidRPr="00F80910">
          <w:rPr>
            <w:rStyle w:val="TextoNormalCaracter"/>
          </w:rPr>
          <w:t>168/2015</w:t>
        </w:r>
      </w:hyperlink>
      <w:r w:rsidRPr="00F80910">
        <w:rPr>
          <w:rStyle w:val="TextoNormalCaracter"/>
        </w:rPr>
        <w:t xml:space="preserve">, ff. 1 a 3; </w:t>
      </w:r>
      <w:hyperlink w:anchor="SENTENCIA_2015_170" w:history="1">
        <w:r w:rsidRPr="00F80910">
          <w:rPr>
            <w:rStyle w:val="TextoNormalCaracter"/>
          </w:rPr>
          <w:t>170/2015</w:t>
        </w:r>
      </w:hyperlink>
      <w:r w:rsidRPr="00F80910">
        <w:rPr>
          <w:rStyle w:val="TextoNormalCaracter"/>
        </w:rPr>
        <w:t xml:space="preserve">, ff. 1 a 3; </w:t>
      </w:r>
      <w:hyperlink w:anchor="SENTENCIA_2015_171" w:history="1">
        <w:r w:rsidRPr="00F80910">
          <w:rPr>
            <w:rStyle w:val="TextoNormalCaracter"/>
          </w:rPr>
          <w:t>171/2015</w:t>
        </w:r>
      </w:hyperlink>
      <w:r w:rsidRPr="00F80910">
        <w:rPr>
          <w:rStyle w:val="TextoNormalCaracter"/>
        </w:rPr>
        <w:t xml:space="preserve">, ff. 1 a 3; </w:t>
      </w:r>
      <w:hyperlink w:anchor="SENTENCIA_2015_172" w:history="1">
        <w:r w:rsidRPr="00F80910">
          <w:rPr>
            <w:rStyle w:val="TextoNormalCaracter"/>
          </w:rPr>
          <w:t>172/2015</w:t>
        </w:r>
      </w:hyperlink>
      <w:r w:rsidRPr="00F80910">
        <w:rPr>
          <w:rStyle w:val="TextoNormalCaracter"/>
        </w:rPr>
        <w:t xml:space="preserve">, ff. 1 a 3; </w:t>
      </w:r>
      <w:hyperlink w:anchor="SENTENCIA_2015_173" w:history="1">
        <w:r w:rsidRPr="00F80910">
          <w:rPr>
            <w:rStyle w:val="TextoNormalCaracter"/>
          </w:rPr>
          <w:t>173/2015</w:t>
        </w:r>
      </w:hyperlink>
      <w:r w:rsidRPr="00F80910">
        <w:rPr>
          <w:rStyle w:val="TextoNormalCaracter"/>
        </w:rPr>
        <w:t xml:space="preserve">, ff. 1 a 3; </w:t>
      </w:r>
      <w:hyperlink w:anchor="SENTENCIA_2015_174" w:history="1">
        <w:r w:rsidRPr="00F80910">
          <w:rPr>
            <w:rStyle w:val="TextoNormalCaracter"/>
          </w:rPr>
          <w:t>174/2015</w:t>
        </w:r>
      </w:hyperlink>
      <w:r w:rsidRPr="00F80910">
        <w:rPr>
          <w:rStyle w:val="TextoNormalCaracter"/>
        </w:rPr>
        <w:t xml:space="preserve">, ff. 1 a 3; </w:t>
      </w:r>
      <w:hyperlink w:anchor="SENTENCIA_2015_175" w:history="1">
        <w:r w:rsidRPr="00F80910">
          <w:rPr>
            <w:rStyle w:val="TextoNormalCaracter"/>
          </w:rPr>
          <w:t>175/2015</w:t>
        </w:r>
      </w:hyperlink>
      <w:r w:rsidRPr="00F80910">
        <w:rPr>
          <w:rStyle w:val="TextoNormalCaracter"/>
        </w:rPr>
        <w:t xml:space="preserve">, ff. 1 a 3; </w:t>
      </w:r>
      <w:hyperlink w:anchor="SENTENCIA_2015_200" w:history="1">
        <w:r w:rsidRPr="00F80910">
          <w:rPr>
            <w:rStyle w:val="TextoNormalCaracter"/>
          </w:rPr>
          <w:t>200/2015</w:t>
        </w:r>
      </w:hyperlink>
      <w:r w:rsidRPr="00F80910">
        <w:rPr>
          <w:rStyle w:val="TextoNormalCaracter"/>
        </w:rPr>
        <w:t xml:space="preserve">, ff. 3, 4; </w:t>
      </w:r>
      <w:hyperlink w:anchor="SENTENCIA_2015_206" w:history="1">
        <w:r w:rsidRPr="00F80910">
          <w:rPr>
            <w:rStyle w:val="TextoNormalCaracter"/>
          </w:rPr>
          <w:t>206/2015</w:t>
        </w:r>
      </w:hyperlink>
      <w:r w:rsidRPr="00F80910">
        <w:rPr>
          <w:rStyle w:val="TextoNormalCaracter"/>
        </w:rPr>
        <w:t xml:space="preserve">, ff. 1 a 3; </w:t>
      </w:r>
      <w:hyperlink w:anchor="SENTENCIA_2015_210" w:history="1">
        <w:r w:rsidRPr="00F80910">
          <w:rPr>
            <w:rStyle w:val="TextoNormalCaracter"/>
          </w:rPr>
          <w:t>210/2015</w:t>
        </w:r>
      </w:hyperlink>
      <w:r w:rsidRPr="00F80910">
        <w:rPr>
          <w:rStyle w:val="TextoNormalCaracter"/>
        </w:rPr>
        <w:t xml:space="preserve">, ff. 1 a 3; </w:t>
      </w:r>
      <w:hyperlink w:anchor="SENTENCIA_2015_236" w:history="1">
        <w:r w:rsidRPr="00F80910">
          <w:rPr>
            <w:rStyle w:val="TextoNormalCaracter"/>
          </w:rPr>
          <w:t>236/2015</w:t>
        </w:r>
      </w:hyperlink>
      <w:r w:rsidRPr="00F80910">
        <w:rPr>
          <w:rStyle w:val="TextoNormalCaracter"/>
        </w:rPr>
        <w:t xml:space="preserve">, f. 1; </w:t>
      </w:r>
      <w:hyperlink w:anchor="SENTENCIA_2015_238" w:history="1">
        <w:r w:rsidRPr="00F80910">
          <w:rPr>
            <w:rStyle w:val="TextoNormalCaracter"/>
          </w:rPr>
          <w:t>238/2015</w:t>
        </w:r>
      </w:hyperlink>
      <w:r w:rsidRPr="00F80910">
        <w:rPr>
          <w:rStyle w:val="TextoNormalCaracter"/>
        </w:rPr>
        <w:t xml:space="preserve">, ff. 3, 5, 6; </w:t>
      </w:r>
      <w:hyperlink w:anchor="SENTENCIA_2015_264" w:history="1">
        <w:r w:rsidRPr="00F80910">
          <w:rPr>
            <w:rStyle w:val="TextoNormalCaracter"/>
          </w:rPr>
          <w:t>264/2015</w:t>
        </w:r>
      </w:hyperlink>
      <w:r w:rsidRPr="00F80910">
        <w:rPr>
          <w:rStyle w:val="TextoNormalCaracter"/>
        </w:rPr>
        <w:t>, ff. 2, 3.</w:t>
      </w:r>
    </w:p>
    <w:p w:rsidR="00F80910" w:rsidRPr="00F80910" w:rsidRDefault="00F80910" w:rsidP="00F80910">
      <w:pPr>
        <w:pStyle w:val="TextoNormalSangraFrancesa"/>
        <w:rPr>
          <w:rStyle w:val="TextoNormalCaracter"/>
        </w:rPr>
      </w:pPr>
      <w:bookmarkStart w:id="1130" w:name="DESCRIPTORALFABETICO257"/>
      <w:r w:rsidRPr="00F80910">
        <w:rPr>
          <w:rStyle w:val="TextoNormalNegritaCaracter"/>
        </w:rPr>
        <w:t>Funciones de los letrados de la Administración de justicia</w:t>
      </w:r>
      <w:bookmarkEnd w:id="1130"/>
      <w:r w:rsidRPr="00F80910">
        <w:rPr>
          <w:rStyle w:val="TextoNormalCaracter"/>
        </w:rPr>
        <w:t xml:space="preserve">, Sentencia </w:t>
      </w:r>
      <w:hyperlink w:anchor="SENTENCIA_2015_208" w:history="1">
        <w:r w:rsidRPr="00F80910">
          <w:rPr>
            <w:rStyle w:val="TextoNormalCaracter"/>
          </w:rPr>
          <w:t>208/2015</w:t>
        </w:r>
      </w:hyperlink>
      <w:r w:rsidRPr="00F80910">
        <w:rPr>
          <w:rStyle w:val="TextoNormalCaracter"/>
        </w:rPr>
        <w:t>, ff. 1, 5.</w:t>
      </w:r>
    </w:p>
    <w:p w:rsidR="00F80910" w:rsidRPr="00F80910" w:rsidRDefault="00F80910" w:rsidP="00F80910">
      <w:pPr>
        <w:pStyle w:val="TextoNormalSangraFrancesa"/>
        <w:rPr>
          <w:rStyle w:val="TextoNormalCaracter"/>
        </w:rPr>
      </w:pPr>
      <w:bookmarkStart w:id="1131" w:name="DESCRIPTORALFABETICO281"/>
      <w:r w:rsidRPr="00F80910">
        <w:rPr>
          <w:rStyle w:val="TextoNormalNegritaCaracter"/>
        </w:rPr>
        <w:t>Funciones parlamentarias</w:t>
      </w:r>
      <w:bookmarkEnd w:id="1131"/>
      <w:r w:rsidRPr="00F80910">
        <w:rPr>
          <w:rStyle w:val="TextoNormalCaracter"/>
        </w:rPr>
        <w:t xml:space="preserve">, Sentencia </w:t>
      </w:r>
      <w:hyperlink w:anchor="SENTENCIA_2015_231" w:history="1">
        <w:r w:rsidRPr="00F80910">
          <w:rPr>
            <w:rStyle w:val="TextoNormalCaracter"/>
          </w:rPr>
          <w:t>231/2015</w:t>
        </w:r>
      </w:hyperlink>
      <w:r w:rsidRPr="00F80910">
        <w:rPr>
          <w:rStyle w:val="TextoNormalCaracter"/>
        </w:rPr>
        <w:t>, f. 8.</w:t>
      </w:r>
    </w:p>
    <w:p w:rsidR="00F80910" w:rsidRPr="00F80910" w:rsidRDefault="00F80910" w:rsidP="00F80910">
      <w:pPr>
        <w:pStyle w:val="TextoNormalSangraFrancesa"/>
        <w:rPr>
          <w:rStyle w:val="TextoNormalCaracter"/>
        </w:rPr>
      </w:pPr>
      <w:bookmarkStart w:id="1132" w:name="DESCRIPTORALFABETICO485"/>
      <w:r w:rsidRPr="00F80910">
        <w:rPr>
          <w:rStyle w:val="TextoNormalNegritaCaracter"/>
        </w:rPr>
        <w:t>Fundaciones públicas</w:t>
      </w:r>
      <w:bookmarkEnd w:id="1132"/>
      <w:r w:rsidRPr="00F80910">
        <w:rPr>
          <w:rStyle w:val="TextoNormalCaracter"/>
        </w:rPr>
        <w:t xml:space="preserve">, Sentencia </w:t>
      </w:r>
      <w:hyperlink w:anchor="SENTENCIA_2015_230" w:history="1">
        <w:r w:rsidRPr="00F80910">
          <w:rPr>
            <w:rStyle w:val="TextoNormalCaracter"/>
          </w:rPr>
          <w:t>230/2015</w:t>
        </w:r>
      </w:hyperlink>
      <w:r w:rsidRPr="00F80910">
        <w:rPr>
          <w:rStyle w:val="TextoNormalCaracter"/>
        </w:rPr>
        <w:t>, f. 5.</w:t>
      </w:r>
    </w:p>
    <w:p w:rsidR="00F80910" w:rsidRPr="00F80910" w:rsidRDefault="00F80910" w:rsidP="00F80910">
      <w:pPr>
        <w:pStyle w:val="TextoNormalSangraFrancesa"/>
        <w:rPr>
          <w:rStyle w:val="TextoNormalCaracter"/>
        </w:rPr>
      </w:pPr>
      <w:bookmarkStart w:id="1133" w:name="DESCRIPTORALFABETICO222"/>
      <w:r w:rsidRPr="00F80910">
        <w:rPr>
          <w:rStyle w:val="TextoNormalNegritaCaracter"/>
        </w:rPr>
        <w:t>Fundamentación de la demanda de inconstitucionalidad</w:t>
      </w:r>
      <w:bookmarkEnd w:id="1133"/>
      <w:r w:rsidRPr="00F80910">
        <w:rPr>
          <w:rStyle w:val="TextoNormalCaracter"/>
        </w:rPr>
        <w:t xml:space="preserve">, Sentencias </w:t>
      </w:r>
      <w:hyperlink w:anchor="SENTENCIA_2015_199" w:history="1">
        <w:r w:rsidRPr="00F80910">
          <w:rPr>
            <w:rStyle w:val="TextoNormalCaracter"/>
          </w:rPr>
          <w:t>199/2015</w:t>
        </w:r>
      </w:hyperlink>
      <w:r w:rsidRPr="00F80910">
        <w:rPr>
          <w:rStyle w:val="TextoNormalCaracter"/>
        </w:rPr>
        <w:t xml:space="preserve">, f. 2.a.in fine; </w:t>
      </w:r>
      <w:hyperlink w:anchor="SENTENCIA_2015_270" w:history="1">
        <w:r w:rsidRPr="00F80910">
          <w:rPr>
            <w:rStyle w:val="TextoNormalCaracter"/>
          </w:rPr>
          <w:t>270/2015</w:t>
        </w:r>
      </w:hyperlink>
      <w:r w:rsidRPr="00F80910">
        <w:rPr>
          <w:rStyle w:val="TextoNormalCaracter"/>
        </w:rPr>
        <w:t>, ff. 6, 7 a).</w:t>
      </w:r>
    </w:p>
    <w:p w:rsidR="00F80910" w:rsidRDefault="00F80910" w:rsidP="00F80910">
      <w:pPr>
        <w:pStyle w:val="TextoNormalSangraFrancesa"/>
      </w:pPr>
    </w:p>
    <w:p w:rsidR="00F80910" w:rsidRDefault="00F80910" w:rsidP="00F80910">
      <w:pPr>
        <w:pStyle w:val="TextoNormalSangraFrancesa"/>
      </w:pPr>
    </w:p>
    <w:p w:rsidR="00F80910" w:rsidRDefault="00F80910" w:rsidP="00F80910">
      <w:pPr>
        <w:pStyle w:val="TextoNormalNegritaCentrado"/>
      </w:pPr>
      <w:r>
        <w:t>G</w:t>
      </w:r>
    </w:p>
    <w:p w:rsidR="00F80910" w:rsidRDefault="00F80910" w:rsidP="00F80910">
      <w:pPr>
        <w:pStyle w:val="TextoNormalNegritaCentrado"/>
      </w:pPr>
    </w:p>
    <w:p w:rsidR="00F80910" w:rsidRPr="00F80910" w:rsidRDefault="00F80910" w:rsidP="00F80910">
      <w:pPr>
        <w:pStyle w:val="TextoNormalSangraFrancesa"/>
        <w:rPr>
          <w:rStyle w:val="TextoNormalCaracter"/>
        </w:rPr>
      </w:pPr>
      <w:bookmarkStart w:id="1134" w:name="DESCRIPTORALFABETICO606"/>
      <w:r w:rsidRPr="00F80910">
        <w:rPr>
          <w:rStyle w:val="TextoNormalNegritaCaracter"/>
        </w:rPr>
        <w:t>Galicia</w:t>
      </w:r>
      <w:bookmarkEnd w:id="1134"/>
      <w:r w:rsidRPr="00F80910">
        <w:rPr>
          <w:rStyle w:val="TextoNormalCaracter"/>
        </w:rPr>
        <w:t xml:space="preserve">, Sentencias </w:t>
      </w:r>
      <w:hyperlink w:anchor="SENTENCIA_2015_157" w:history="1">
        <w:r w:rsidRPr="00F80910">
          <w:rPr>
            <w:rStyle w:val="TextoNormalCaracter"/>
          </w:rPr>
          <w:t>157/2015</w:t>
        </w:r>
      </w:hyperlink>
      <w:r w:rsidRPr="00F80910">
        <w:rPr>
          <w:rStyle w:val="TextoNormalCaracter"/>
        </w:rPr>
        <w:t xml:space="preserve">, f. 1; </w:t>
      </w:r>
      <w:hyperlink w:anchor="SENTENCIA_2015_178" w:history="1">
        <w:r w:rsidRPr="00F80910">
          <w:rPr>
            <w:rStyle w:val="TextoNormalCaracter"/>
          </w:rPr>
          <w:t>178/2015</w:t>
        </w:r>
      </w:hyperlink>
      <w:r w:rsidRPr="00F80910">
        <w:rPr>
          <w:rStyle w:val="TextoNormalCaracter"/>
        </w:rPr>
        <w:t xml:space="preserve">, f. 1; </w:t>
      </w:r>
      <w:hyperlink w:anchor="SENTENCIA_2015_185" w:history="1">
        <w:r w:rsidRPr="00F80910">
          <w:rPr>
            <w:rStyle w:val="TextoNormalCaracter"/>
          </w:rPr>
          <w:t>185/2015</w:t>
        </w:r>
      </w:hyperlink>
      <w:r w:rsidRPr="00F80910">
        <w:rPr>
          <w:rStyle w:val="TextoNormalCaracter"/>
        </w:rPr>
        <w:t>, f. 1.</w:t>
      </w:r>
    </w:p>
    <w:p w:rsidR="00F80910" w:rsidRPr="00F80910" w:rsidRDefault="00F80910" w:rsidP="00F80910">
      <w:pPr>
        <w:pStyle w:val="TextoNormalSangraFrancesa"/>
        <w:rPr>
          <w:rStyle w:val="TextoNormalCaracter"/>
        </w:rPr>
      </w:pPr>
      <w:bookmarkStart w:id="1135" w:name="DESCRIPTORALFABETICO104"/>
      <w:r w:rsidRPr="00F80910">
        <w:rPr>
          <w:rStyle w:val="TextoNormalNegritaCaracter"/>
        </w:rPr>
        <w:t>Garantía de indemnidad</w:t>
      </w:r>
      <w:bookmarkEnd w:id="1135"/>
      <w:r w:rsidRPr="00F80910">
        <w:rPr>
          <w:rStyle w:val="TextoNormalCaracter"/>
        </w:rPr>
        <w:t xml:space="preserve">, Sentencia </w:t>
      </w:r>
      <w:hyperlink w:anchor="SENTENCIA_2015_183" w:history="1">
        <w:r w:rsidRPr="00F80910">
          <w:rPr>
            <w:rStyle w:val="TextoNormalCaracter"/>
          </w:rPr>
          <w:t>183/2015</w:t>
        </w:r>
      </w:hyperlink>
      <w:r w:rsidRPr="00F80910">
        <w:rPr>
          <w:rStyle w:val="TextoNormalCaracter"/>
        </w:rPr>
        <w:t>, VP.</w:t>
      </w:r>
    </w:p>
    <w:p w:rsidR="00F80910" w:rsidRPr="00F80910" w:rsidRDefault="00F80910" w:rsidP="00F80910">
      <w:pPr>
        <w:pStyle w:val="TextoNormalSangraFrancesa"/>
        <w:rPr>
          <w:rStyle w:val="TextoNormalCaracter"/>
        </w:rPr>
      </w:pPr>
      <w:r w:rsidRPr="00F80910">
        <w:rPr>
          <w:rStyle w:val="TextoNormalCursivaCaracter"/>
        </w:rPr>
        <w:t xml:space="preserve">    Respetado, </w:t>
      </w:r>
      <w:r w:rsidRPr="00F80910">
        <w:rPr>
          <w:rStyle w:val="TextoNormalCaracter"/>
        </w:rPr>
        <w:t xml:space="preserve">Sentencias </w:t>
      </w:r>
      <w:hyperlink w:anchor="SENTENCIA_2015_183" w:history="1">
        <w:r w:rsidRPr="00F80910">
          <w:rPr>
            <w:rStyle w:val="TextoNormalCaracter"/>
          </w:rPr>
          <w:t>183/2015</w:t>
        </w:r>
      </w:hyperlink>
      <w:r w:rsidRPr="00F80910">
        <w:rPr>
          <w:rStyle w:val="TextoNormalCaracter"/>
        </w:rPr>
        <w:t xml:space="preserve">, ff. 3 a 7; </w:t>
      </w:r>
      <w:hyperlink w:anchor="SENTENCIA_2015_203" w:history="1">
        <w:r w:rsidRPr="00F80910">
          <w:rPr>
            <w:rStyle w:val="TextoNormalCaracter"/>
          </w:rPr>
          <w:t>203/2015</w:t>
        </w:r>
      </w:hyperlink>
      <w:r w:rsidRPr="00F80910">
        <w:rPr>
          <w:rStyle w:val="TextoNormalCaracter"/>
        </w:rPr>
        <w:t>, f. 3.</w:t>
      </w:r>
    </w:p>
    <w:p w:rsidR="00F80910" w:rsidRPr="00F80910" w:rsidRDefault="00F80910" w:rsidP="00F80910">
      <w:pPr>
        <w:pStyle w:val="TextoNormalSangraFrancesa"/>
        <w:rPr>
          <w:rStyle w:val="TextoNormalCaracter"/>
        </w:rPr>
      </w:pPr>
      <w:bookmarkStart w:id="1136" w:name="DESCRIPTORALFABETICO147"/>
      <w:r w:rsidRPr="00F80910">
        <w:rPr>
          <w:rStyle w:val="TextoNormalNegritaCaracter"/>
        </w:rPr>
        <w:t>Garantía de la opinión pública libre</w:t>
      </w:r>
      <w:bookmarkEnd w:id="1136"/>
      <w:r w:rsidRPr="00F80910">
        <w:rPr>
          <w:rStyle w:val="TextoNormalCaracter"/>
        </w:rPr>
        <w:t xml:space="preserve">, Sentencia </w:t>
      </w:r>
      <w:hyperlink w:anchor="SENTENCIA_2015_177" w:history="1">
        <w:r w:rsidRPr="00F80910">
          <w:rPr>
            <w:rStyle w:val="TextoNormalCaracter"/>
          </w:rPr>
          <w:t>177/2015</w:t>
        </w:r>
      </w:hyperlink>
      <w:r w:rsidRPr="00F80910">
        <w:rPr>
          <w:rStyle w:val="TextoNormalCaracter"/>
        </w:rPr>
        <w:t>, f. 2, VP I.</w:t>
      </w:r>
    </w:p>
    <w:p w:rsidR="00F80910" w:rsidRPr="00F80910" w:rsidRDefault="00F80910" w:rsidP="00F80910">
      <w:pPr>
        <w:pStyle w:val="TextoNormalSangraFrancesa"/>
        <w:rPr>
          <w:rStyle w:val="TextoNormalCaracter"/>
        </w:rPr>
      </w:pPr>
      <w:bookmarkStart w:id="1137" w:name="DESCRIPTORALFABETICO165"/>
      <w:r w:rsidRPr="00F80910">
        <w:rPr>
          <w:rStyle w:val="TextoNormalNegritaCaracter"/>
        </w:rPr>
        <w:t>Garantía de supremacía de la Constitución</w:t>
      </w:r>
      <w:bookmarkEnd w:id="1137"/>
      <w:r w:rsidRPr="00F80910">
        <w:rPr>
          <w:rStyle w:val="TextoNormalCaracter"/>
        </w:rPr>
        <w:t xml:space="preserve">, Sentencia </w:t>
      </w:r>
      <w:hyperlink w:anchor="SENTENCIA_2015_259" w:history="1">
        <w:r w:rsidRPr="00F80910">
          <w:rPr>
            <w:rStyle w:val="TextoNormalCaracter"/>
          </w:rPr>
          <w:t>259/2015</w:t>
        </w:r>
      </w:hyperlink>
      <w:r w:rsidRPr="00F80910">
        <w:rPr>
          <w:rStyle w:val="TextoNormalCaracter"/>
        </w:rPr>
        <w:t>, ff. 4 b), 5.</w:t>
      </w:r>
    </w:p>
    <w:p w:rsidR="00F80910" w:rsidRPr="00F80910" w:rsidRDefault="00F80910" w:rsidP="00F80910">
      <w:pPr>
        <w:pStyle w:val="TextoNormalSangraFrancesa"/>
        <w:rPr>
          <w:rStyle w:val="TextoNormalCaracter"/>
        </w:rPr>
      </w:pPr>
      <w:bookmarkStart w:id="1138" w:name="DESCRIPTORALFABETICO390"/>
      <w:r w:rsidRPr="00F80910">
        <w:rPr>
          <w:rStyle w:val="TextoNormalNegritaCaracter"/>
        </w:rPr>
        <w:t>Garantía expropiatoria</w:t>
      </w:r>
      <w:bookmarkEnd w:id="1138"/>
      <w:r w:rsidRPr="00F80910">
        <w:rPr>
          <w:rStyle w:val="TextoNormalCaracter"/>
        </w:rPr>
        <w:t xml:space="preserve">, Sentencias </w:t>
      </w:r>
      <w:hyperlink w:anchor="SENTENCIA_2015_216" w:history="1">
        <w:r w:rsidRPr="00F80910">
          <w:rPr>
            <w:rStyle w:val="TextoNormalCaracter"/>
          </w:rPr>
          <w:t>216/2015</w:t>
        </w:r>
      </w:hyperlink>
      <w:r w:rsidRPr="00F80910">
        <w:rPr>
          <w:rStyle w:val="TextoNormalCaracter"/>
        </w:rPr>
        <w:t xml:space="preserve">, f. 9; </w:t>
      </w:r>
      <w:hyperlink w:anchor="SENTENCIA_2015_231" w:history="1">
        <w:r w:rsidRPr="00F80910">
          <w:rPr>
            <w:rStyle w:val="TextoNormalCaracter"/>
          </w:rPr>
          <w:t>231/2015</w:t>
        </w:r>
      </w:hyperlink>
      <w:r w:rsidRPr="00F80910">
        <w:rPr>
          <w:rStyle w:val="TextoNormalCaracter"/>
        </w:rPr>
        <w:t xml:space="preserve">, f. 13; </w:t>
      </w:r>
      <w:hyperlink w:anchor="SENTENCIA_2015_267" w:history="1">
        <w:r w:rsidRPr="00F80910">
          <w:rPr>
            <w:rStyle w:val="TextoNormalCaracter"/>
          </w:rPr>
          <w:t>267/2015</w:t>
        </w:r>
      </w:hyperlink>
      <w:r w:rsidRPr="00F80910">
        <w:rPr>
          <w:rStyle w:val="TextoNormalCaracter"/>
        </w:rPr>
        <w:t xml:space="preserve">, f. 4; </w:t>
      </w:r>
      <w:hyperlink w:anchor="SENTENCIA_2015_268" w:history="1">
        <w:r w:rsidRPr="00F80910">
          <w:rPr>
            <w:rStyle w:val="TextoNormalCaracter"/>
          </w:rPr>
          <w:t>268/2015</w:t>
        </w:r>
      </w:hyperlink>
      <w:r w:rsidRPr="00F80910">
        <w:rPr>
          <w:rStyle w:val="TextoNormalCaracter"/>
        </w:rPr>
        <w:t>, f. 4.</w:t>
      </w:r>
    </w:p>
    <w:p w:rsidR="00F80910" w:rsidRPr="00F80910" w:rsidRDefault="00F80910" w:rsidP="00F80910">
      <w:pPr>
        <w:pStyle w:val="TextoNormalSangraFrancesa"/>
        <w:rPr>
          <w:rStyle w:val="TextoNormalCaracter"/>
        </w:rPr>
      </w:pPr>
      <w:bookmarkStart w:id="1139" w:name="DESCRIPTORALFABETICO88"/>
      <w:r w:rsidRPr="00F80910">
        <w:rPr>
          <w:rStyle w:val="TextoNormalNegritaCaracter"/>
        </w:rPr>
        <w:t>Garantías en el procedimiento de internamiento psiquiátrico</w:t>
      </w:r>
      <w:bookmarkEnd w:id="1139"/>
      <w:r w:rsidRPr="00F80910">
        <w:rPr>
          <w:rStyle w:val="TextoNormalCaracter"/>
        </w:rPr>
        <w:t xml:space="preserve">, Sentencia </w:t>
      </w:r>
      <w:hyperlink w:anchor="SENTENCIA_2015_182" w:history="1">
        <w:r w:rsidRPr="00F80910">
          <w:rPr>
            <w:rStyle w:val="TextoNormalCaracter"/>
          </w:rPr>
          <w:t>182/2015</w:t>
        </w:r>
      </w:hyperlink>
      <w:r w:rsidRPr="00F80910">
        <w:rPr>
          <w:rStyle w:val="TextoNormalCaracter"/>
        </w:rPr>
        <w:t>, ff. 1, 3, 5, 6.</w:t>
      </w:r>
    </w:p>
    <w:p w:rsidR="00F80910" w:rsidRPr="00F80910" w:rsidRDefault="00F80910" w:rsidP="00F80910">
      <w:pPr>
        <w:pStyle w:val="TextoNormalSangraFrancesa"/>
        <w:rPr>
          <w:rStyle w:val="TextoNormalCaracter"/>
        </w:rPr>
      </w:pPr>
      <w:bookmarkStart w:id="1140" w:name="DESCRIPTORALFABETICO126"/>
      <w:r w:rsidRPr="00F80910">
        <w:rPr>
          <w:rStyle w:val="TextoNormalNegritaCaracter"/>
        </w:rPr>
        <w:t>Garantías procesales en el procedimiento administrativo sancionador</w:t>
      </w:r>
      <w:bookmarkEnd w:id="1140"/>
      <w:r w:rsidRPr="00F80910">
        <w:rPr>
          <w:rStyle w:val="TextoNormalCaracter"/>
        </w:rPr>
        <w:t xml:space="preserve">, Sentencia </w:t>
      </w:r>
      <w:hyperlink w:anchor="SENTENCIA_2015_187" w:history="1">
        <w:r w:rsidRPr="00F80910">
          <w:rPr>
            <w:rStyle w:val="TextoNormalCaracter"/>
          </w:rPr>
          <w:t>187/2015</w:t>
        </w:r>
      </w:hyperlink>
      <w:r w:rsidRPr="00F80910">
        <w:rPr>
          <w:rStyle w:val="TextoNormalCaracter"/>
        </w:rPr>
        <w:t>, ff. 4, 5.</w:t>
      </w:r>
    </w:p>
    <w:p w:rsidR="00F80910" w:rsidRPr="00F80910" w:rsidRDefault="00F80910" w:rsidP="00F80910">
      <w:pPr>
        <w:pStyle w:val="TextoNormalSangraFrancesa"/>
        <w:rPr>
          <w:rStyle w:val="TextoNormalCaracter"/>
        </w:rPr>
      </w:pPr>
      <w:bookmarkStart w:id="1141" w:name="DESCRIPTORALFABETICO386"/>
      <w:r w:rsidRPr="00F80910">
        <w:rPr>
          <w:rStyle w:val="TextoNormalNegritaCaracter"/>
        </w:rPr>
        <w:t>Gas</w:t>
      </w:r>
      <w:bookmarkEnd w:id="1141"/>
      <w:r w:rsidRPr="00F80910">
        <w:rPr>
          <w:rStyle w:val="TextoNormalCaracter"/>
        </w:rPr>
        <w:t xml:space="preserve">, Sentencia </w:t>
      </w:r>
      <w:hyperlink w:anchor="SENTENCIA_2015_199" w:history="1">
        <w:r w:rsidRPr="00F80910">
          <w:rPr>
            <w:rStyle w:val="TextoNormalCaracter"/>
          </w:rPr>
          <w:t>199/2015</w:t>
        </w:r>
      </w:hyperlink>
      <w:r w:rsidRPr="00F80910">
        <w:rPr>
          <w:rStyle w:val="TextoNormalCaracter"/>
        </w:rPr>
        <w:t>, f. 8.</w:t>
      </w:r>
    </w:p>
    <w:p w:rsidR="00F80910" w:rsidRPr="00F80910" w:rsidRDefault="00F80910" w:rsidP="00F80910">
      <w:pPr>
        <w:pStyle w:val="TextoNormalSangraFrancesa"/>
        <w:rPr>
          <w:rStyle w:val="TextoNormalCaracter"/>
        </w:rPr>
      </w:pPr>
      <w:bookmarkStart w:id="1142" w:name="DESCRIPTORALFABETICO41"/>
      <w:r w:rsidRPr="00F80910">
        <w:rPr>
          <w:rStyle w:val="TextoNormalNegritaCaracter"/>
        </w:rPr>
        <w:t>Gasto público</w:t>
      </w:r>
      <w:bookmarkEnd w:id="1142"/>
      <w:r w:rsidRPr="00F80910">
        <w:rPr>
          <w:rStyle w:val="TextoNormalCaracter"/>
        </w:rPr>
        <w:t xml:space="preserve">, Sentencia </w:t>
      </w:r>
      <w:hyperlink w:anchor="SENTENCIA_2015_243" w:history="1">
        <w:r w:rsidRPr="00F80910">
          <w:rPr>
            <w:rStyle w:val="TextoNormalCaracter"/>
          </w:rPr>
          <w:t>243/2015</w:t>
        </w:r>
      </w:hyperlink>
      <w:r w:rsidRPr="00F80910">
        <w:rPr>
          <w:rStyle w:val="TextoNormalCaracter"/>
        </w:rPr>
        <w:t>, ff. 2, 3, 7.</w:t>
      </w:r>
    </w:p>
    <w:p w:rsidR="00F80910" w:rsidRPr="00F80910" w:rsidRDefault="00F80910" w:rsidP="00F80910">
      <w:pPr>
        <w:pStyle w:val="TextoNormalSangraFrancesa"/>
        <w:rPr>
          <w:rStyle w:val="TextoNormalCaracter"/>
        </w:rPr>
      </w:pPr>
      <w:bookmarkStart w:id="1143" w:name="DESCRIPTORALFABETICO402"/>
      <w:r w:rsidRPr="00F80910">
        <w:rPr>
          <w:rStyle w:val="TextoNormalNegritaCaracter"/>
        </w:rPr>
        <w:t>Gestión autonómica de subvenciones públicas</w:t>
      </w:r>
      <w:bookmarkEnd w:id="1143"/>
      <w:r w:rsidRPr="00F80910">
        <w:rPr>
          <w:rStyle w:val="TextoNormalCaracter"/>
        </w:rPr>
        <w:t xml:space="preserve">, Sentencia </w:t>
      </w:r>
      <w:hyperlink w:anchor="SENTENCIA_2015_178" w:history="1">
        <w:r w:rsidRPr="00F80910">
          <w:rPr>
            <w:rStyle w:val="TextoNormalCaracter"/>
          </w:rPr>
          <w:t>178/2015</w:t>
        </w:r>
      </w:hyperlink>
      <w:r w:rsidRPr="00F80910">
        <w:rPr>
          <w:rStyle w:val="TextoNormalCaracter"/>
        </w:rPr>
        <w:t>, ff. 2 a 10.</w:t>
      </w:r>
    </w:p>
    <w:p w:rsidR="00F80910" w:rsidRPr="00F80910" w:rsidRDefault="00F80910" w:rsidP="00F80910">
      <w:pPr>
        <w:pStyle w:val="TextoNormalSangraFrancesa"/>
        <w:rPr>
          <w:rStyle w:val="TextoNormalCaracter"/>
        </w:rPr>
      </w:pPr>
      <w:bookmarkStart w:id="1144" w:name="DESCRIPTORALFABETICO13"/>
      <w:r w:rsidRPr="00F80910">
        <w:rPr>
          <w:rStyle w:val="TextoNormalNegritaCaracter"/>
        </w:rPr>
        <w:t>Gestión centralizada de competencias de ejecución</w:t>
      </w:r>
      <w:bookmarkEnd w:id="1144"/>
      <w:r w:rsidRPr="00F80910">
        <w:rPr>
          <w:rStyle w:val="TextoNormalCaracter"/>
        </w:rPr>
        <w:t xml:space="preserve">, Sentencia </w:t>
      </w:r>
      <w:hyperlink w:anchor="SENTENCIA_2015_185" w:history="1">
        <w:r w:rsidRPr="00F80910">
          <w:rPr>
            <w:rStyle w:val="TextoNormalCaracter"/>
          </w:rPr>
          <w:t>185/2015</w:t>
        </w:r>
      </w:hyperlink>
      <w:r w:rsidRPr="00F80910">
        <w:rPr>
          <w:rStyle w:val="TextoNormalCaracter"/>
        </w:rPr>
        <w:t>, f. 5, 6.</w:t>
      </w:r>
    </w:p>
    <w:p w:rsidR="00F80910" w:rsidRPr="00F80910" w:rsidRDefault="00F80910" w:rsidP="00F80910">
      <w:pPr>
        <w:pStyle w:val="TextoNormalSangraFrancesa"/>
        <w:rPr>
          <w:rStyle w:val="TextoNormalCaracter"/>
        </w:rPr>
      </w:pPr>
      <w:bookmarkStart w:id="1145" w:name="DESCRIPTORALFABETICO403"/>
      <w:r w:rsidRPr="00F80910">
        <w:rPr>
          <w:rStyle w:val="TextoNormalNegritaCaracter"/>
        </w:rPr>
        <w:t>Gestión estatal de subvenciones públicas</w:t>
      </w:r>
      <w:bookmarkEnd w:id="1145"/>
      <w:r w:rsidRPr="00F80910">
        <w:rPr>
          <w:rStyle w:val="TextoNormalCaracter"/>
        </w:rPr>
        <w:t xml:space="preserve">, Sentencias </w:t>
      </w:r>
      <w:hyperlink w:anchor="SENTENCIA_2015_178" w:history="1">
        <w:r w:rsidRPr="00F80910">
          <w:rPr>
            <w:rStyle w:val="TextoNormalCaracter"/>
          </w:rPr>
          <w:t>178/2015</w:t>
        </w:r>
      </w:hyperlink>
      <w:r w:rsidRPr="00F80910">
        <w:rPr>
          <w:rStyle w:val="TextoNormalCaracter"/>
        </w:rPr>
        <w:t xml:space="preserve">, ff. 6, 10; </w:t>
      </w:r>
      <w:hyperlink w:anchor="SENTENCIA_2015_185" w:history="1">
        <w:r w:rsidRPr="00F80910">
          <w:rPr>
            <w:rStyle w:val="TextoNormalCaracter"/>
          </w:rPr>
          <w:t>185/2015</w:t>
        </w:r>
      </w:hyperlink>
      <w:r w:rsidRPr="00F80910">
        <w:rPr>
          <w:rStyle w:val="TextoNormalCaracter"/>
        </w:rPr>
        <w:t>, ff. 4 a 6.</w:t>
      </w:r>
    </w:p>
    <w:p w:rsidR="00F80910" w:rsidRPr="00F80910" w:rsidRDefault="00F80910" w:rsidP="00F80910">
      <w:pPr>
        <w:pStyle w:val="TextoNormalSangraFrancesa"/>
        <w:rPr>
          <w:rStyle w:val="TextoNormalCaracter"/>
        </w:rPr>
      </w:pPr>
      <w:bookmarkStart w:id="1146" w:name="DESCRIPTORALFABETICO415"/>
      <w:r w:rsidRPr="00F80910">
        <w:rPr>
          <w:rStyle w:val="TextoNormalNegritaCaracter"/>
        </w:rPr>
        <w:t>Gestión medioambiental</w:t>
      </w:r>
      <w:bookmarkEnd w:id="1146"/>
      <w:r w:rsidRPr="00F80910">
        <w:rPr>
          <w:rStyle w:val="TextoNormalCaracter"/>
        </w:rPr>
        <w:t xml:space="preserve">, Sentencia </w:t>
      </w:r>
      <w:hyperlink w:anchor="SENTENCIA_2015_269" w:history="1">
        <w:r w:rsidRPr="00F80910">
          <w:rPr>
            <w:rStyle w:val="TextoNormalCaracter"/>
          </w:rPr>
          <w:t>269/2015</w:t>
        </w:r>
      </w:hyperlink>
      <w:r w:rsidRPr="00F80910">
        <w:rPr>
          <w:rStyle w:val="TextoNormalCaracter"/>
        </w:rPr>
        <w:t>, f. 2.</w:t>
      </w:r>
    </w:p>
    <w:p w:rsidR="00F80910" w:rsidRDefault="00F80910" w:rsidP="00F80910">
      <w:pPr>
        <w:pStyle w:val="TextoNormalSangraFrancesa"/>
      </w:pPr>
    </w:p>
    <w:p w:rsidR="00F80910" w:rsidRDefault="00F80910" w:rsidP="00F80910">
      <w:pPr>
        <w:pStyle w:val="TextoNormalSangraFrancesa"/>
      </w:pPr>
    </w:p>
    <w:p w:rsidR="00F80910" w:rsidRDefault="00F80910" w:rsidP="00F80910">
      <w:pPr>
        <w:pStyle w:val="TextoNormalNegritaCentrado"/>
      </w:pPr>
      <w:r>
        <w:t>H</w:t>
      </w:r>
    </w:p>
    <w:p w:rsidR="00F80910" w:rsidRDefault="00F80910" w:rsidP="00F80910">
      <w:pPr>
        <w:pStyle w:val="TextoNormalNegritaCentrado"/>
      </w:pPr>
    </w:p>
    <w:p w:rsidR="00F80910" w:rsidRPr="00F80910" w:rsidRDefault="00F80910" w:rsidP="00F80910">
      <w:pPr>
        <w:pStyle w:val="TextoNormalSangraFrancesa"/>
        <w:rPr>
          <w:rStyle w:val="TextoNormalCaracter"/>
        </w:rPr>
      </w:pPr>
      <w:bookmarkStart w:id="1147" w:name="DESCRIPTORALFABETICO85"/>
      <w:r w:rsidRPr="00F80910">
        <w:rPr>
          <w:rStyle w:val="TextoNormalNegritaCaracter"/>
          <w:i/>
        </w:rPr>
        <w:t>Habeas corpus</w:t>
      </w:r>
      <w:bookmarkEnd w:id="1147"/>
      <w:r w:rsidRPr="00F80910">
        <w:rPr>
          <w:rStyle w:val="TextoNormalCaracter"/>
        </w:rPr>
        <w:t xml:space="preserve">, Sentencia </w:t>
      </w:r>
      <w:hyperlink w:anchor="SENTENCIA_2015_204" w:history="1">
        <w:r w:rsidRPr="00F80910">
          <w:rPr>
            <w:rStyle w:val="TextoNormalCaracter"/>
          </w:rPr>
          <w:t>204/2015</w:t>
        </w:r>
      </w:hyperlink>
      <w:r w:rsidRPr="00F80910">
        <w:rPr>
          <w:rStyle w:val="TextoNormalCaracter"/>
        </w:rPr>
        <w:t>, ff. 1 a 4.</w:t>
      </w:r>
    </w:p>
    <w:p w:rsidR="00F80910" w:rsidRPr="00F80910" w:rsidRDefault="00F80910" w:rsidP="00F80910">
      <w:pPr>
        <w:pStyle w:val="TextoNormalSangraFrancesa"/>
        <w:rPr>
          <w:rStyle w:val="TextoNormalCaracter"/>
        </w:rPr>
      </w:pPr>
      <w:bookmarkStart w:id="1148" w:name="DESCRIPTORALFABETICO355"/>
      <w:r w:rsidRPr="00F80910">
        <w:rPr>
          <w:rStyle w:val="TextoNormalNegritaCaracter"/>
        </w:rPr>
        <w:t>Horarios comerciales</w:t>
      </w:r>
      <w:bookmarkEnd w:id="1148"/>
      <w:r w:rsidRPr="00F80910">
        <w:rPr>
          <w:rStyle w:val="TextoNormalCaracter"/>
        </w:rPr>
        <w:t xml:space="preserve">, Sentencia </w:t>
      </w:r>
      <w:hyperlink w:anchor="SENTENCIA_2015_156" w:history="1">
        <w:r w:rsidRPr="00F80910">
          <w:rPr>
            <w:rStyle w:val="TextoNormalCaracter"/>
          </w:rPr>
          <w:t>156/2015</w:t>
        </w:r>
      </w:hyperlink>
      <w:r w:rsidRPr="00F80910">
        <w:rPr>
          <w:rStyle w:val="TextoNormalCaracter"/>
        </w:rPr>
        <w:t>, ff. 6, 7, 9.</w:t>
      </w:r>
    </w:p>
    <w:p w:rsidR="00F80910" w:rsidRDefault="00F80910" w:rsidP="00F80910">
      <w:pPr>
        <w:pStyle w:val="TextoNormalSangraFrancesa"/>
      </w:pPr>
    </w:p>
    <w:p w:rsidR="00F80910" w:rsidRDefault="00F80910" w:rsidP="00F80910">
      <w:pPr>
        <w:pStyle w:val="TextoNormalSangraFrancesa"/>
      </w:pPr>
    </w:p>
    <w:p w:rsidR="00F80910" w:rsidRDefault="00F80910" w:rsidP="00F80910">
      <w:pPr>
        <w:pStyle w:val="TextoNormalNegritaCentrado"/>
      </w:pPr>
      <w:r>
        <w:t>I</w:t>
      </w:r>
    </w:p>
    <w:p w:rsidR="00F80910" w:rsidRDefault="00F80910" w:rsidP="00F80910">
      <w:pPr>
        <w:pStyle w:val="TextoNormalNegritaCentrado"/>
      </w:pPr>
    </w:p>
    <w:p w:rsidR="00F80910" w:rsidRPr="00F80910" w:rsidRDefault="00F80910" w:rsidP="00F80910">
      <w:pPr>
        <w:pStyle w:val="TextoNormalSangraFrancesa"/>
        <w:rPr>
          <w:rStyle w:val="TextoNormalCaracter"/>
        </w:rPr>
      </w:pPr>
      <w:bookmarkStart w:id="1149" w:name="DESCRIPTORALFABETICO121"/>
      <w:r w:rsidRPr="00F80910">
        <w:rPr>
          <w:rStyle w:val="TextoNormalNegritaCaracter"/>
        </w:rPr>
        <w:t>Igualdad de género</w:t>
      </w:r>
      <w:bookmarkEnd w:id="1149"/>
      <w:r w:rsidRPr="00F80910">
        <w:rPr>
          <w:rStyle w:val="TextoNormalCaracter"/>
        </w:rPr>
        <w:t xml:space="preserve">, Sentencia </w:t>
      </w:r>
      <w:hyperlink w:anchor="SENTENCIA_2015_176" w:history="1">
        <w:r w:rsidRPr="00F80910">
          <w:rPr>
            <w:rStyle w:val="TextoNormalCaracter"/>
          </w:rPr>
          <w:t>176/2015</w:t>
        </w:r>
      </w:hyperlink>
      <w:r w:rsidRPr="00F80910">
        <w:rPr>
          <w:rStyle w:val="TextoNormalCaracter"/>
        </w:rPr>
        <w:t>, f. 2.</w:t>
      </w:r>
    </w:p>
    <w:p w:rsidR="00F80910" w:rsidRPr="00F80910" w:rsidRDefault="00F80910" w:rsidP="00F80910">
      <w:pPr>
        <w:pStyle w:val="TextoNormalSangraFrancesa"/>
        <w:rPr>
          <w:rStyle w:val="TextoNormalCaracter"/>
        </w:rPr>
      </w:pPr>
      <w:bookmarkStart w:id="1150" w:name="DESCRIPTORALFABETICO73"/>
      <w:r w:rsidRPr="00F80910">
        <w:rPr>
          <w:rStyle w:val="TextoNormalNegritaCaracter"/>
        </w:rPr>
        <w:t>Igualdad en el acceso a la función pública</w:t>
      </w:r>
      <w:bookmarkEnd w:id="1150"/>
      <w:r w:rsidRPr="00F80910">
        <w:rPr>
          <w:rStyle w:val="TextoNormalCaracter"/>
        </w:rPr>
        <w:t xml:space="preserve">, Sentencias </w:t>
      </w:r>
      <w:hyperlink w:anchor="SENTENCIA_2015_157" w:history="1">
        <w:r w:rsidRPr="00F80910">
          <w:rPr>
            <w:rStyle w:val="TextoNormalCaracter"/>
          </w:rPr>
          <w:t>157/2015</w:t>
        </w:r>
      </w:hyperlink>
      <w:r w:rsidRPr="00F80910">
        <w:rPr>
          <w:rStyle w:val="TextoNormalCaracter"/>
        </w:rPr>
        <w:t xml:space="preserve">, ff. 1, 2; </w:t>
      </w:r>
      <w:hyperlink w:anchor="SENTENCIA_2015_236" w:history="1">
        <w:r w:rsidRPr="00F80910">
          <w:rPr>
            <w:rStyle w:val="TextoNormalCaracter"/>
          </w:rPr>
          <w:t>236/2015</w:t>
        </w:r>
      </w:hyperlink>
      <w:r w:rsidRPr="00F80910">
        <w:rPr>
          <w:rStyle w:val="TextoNormalCaracter"/>
        </w:rPr>
        <w:t xml:space="preserve">, f. 8; </w:t>
      </w:r>
      <w:hyperlink w:anchor="SENTENCIA_2015_238" w:history="1">
        <w:r w:rsidRPr="00F80910">
          <w:rPr>
            <w:rStyle w:val="TextoNormalCaracter"/>
          </w:rPr>
          <w:t>238/2015</w:t>
        </w:r>
      </w:hyperlink>
      <w:r w:rsidRPr="00F80910">
        <w:rPr>
          <w:rStyle w:val="TextoNormalCaracter"/>
        </w:rPr>
        <w:t>, f. 4.</w:t>
      </w:r>
    </w:p>
    <w:p w:rsidR="00F80910" w:rsidRPr="00F80910" w:rsidRDefault="00F80910" w:rsidP="00F80910">
      <w:pPr>
        <w:pStyle w:val="TextoNormalSangraFrancesa"/>
        <w:rPr>
          <w:rStyle w:val="TextoNormalCaracter"/>
        </w:rPr>
      </w:pPr>
      <w:bookmarkStart w:id="1151" w:name="DESCRIPTORALFABETICO77"/>
      <w:r w:rsidRPr="00F80910">
        <w:rPr>
          <w:rStyle w:val="TextoNormalNegritaCaracter"/>
        </w:rPr>
        <w:t>Igualdad en el acceso a los cargos públicos</w:t>
      </w:r>
      <w:bookmarkEnd w:id="1151"/>
      <w:r w:rsidRPr="00F80910">
        <w:rPr>
          <w:rStyle w:val="TextoNormalCaracter"/>
        </w:rPr>
        <w:t xml:space="preserve">, Sentencia </w:t>
      </w:r>
      <w:hyperlink w:anchor="SENTENCIA_2015_158" w:history="1">
        <w:r w:rsidRPr="00F80910">
          <w:rPr>
            <w:rStyle w:val="TextoNormalCaracter"/>
          </w:rPr>
          <w:t>158/2015</w:t>
        </w:r>
      </w:hyperlink>
      <w:r w:rsidRPr="00F80910">
        <w:rPr>
          <w:rStyle w:val="TextoNormalCaracter"/>
        </w:rPr>
        <w:t>, f. 4.</w:t>
      </w:r>
    </w:p>
    <w:p w:rsidR="00F80910" w:rsidRPr="00F80910" w:rsidRDefault="00F80910" w:rsidP="00F80910">
      <w:pPr>
        <w:pStyle w:val="TextoNormalSangraFrancesa"/>
        <w:rPr>
          <w:rStyle w:val="TextoNormalCaracter"/>
        </w:rPr>
      </w:pPr>
      <w:bookmarkStart w:id="1152" w:name="DESCRIPTORALFABETICO80"/>
      <w:r w:rsidRPr="00F80910">
        <w:rPr>
          <w:rStyle w:val="TextoNormalNegritaCaracter"/>
        </w:rPr>
        <w:t>Igualdad en la aplicación de la ley</w:t>
      </w:r>
      <w:bookmarkEnd w:id="1152"/>
      <w:r w:rsidRPr="00F80910">
        <w:rPr>
          <w:rStyle w:val="TextoNormalCaracter"/>
        </w:rPr>
        <w:t xml:space="preserve">, </w:t>
      </w:r>
    </w:p>
    <w:p w:rsidR="00F80910" w:rsidRPr="00F80910" w:rsidRDefault="00F80910" w:rsidP="00F80910">
      <w:pPr>
        <w:pStyle w:val="TextoNormalSangraFrancesa"/>
        <w:rPr>
          <w:rStyle w:val="TextoNormalCaracter"/>
        </w:rPr>
      </w:pPr>
      <w:r w:rsidRPr="00F80910">
        <w:rPr>
          <w:rStyle w:val="TextoNormalCursivaCaracter"/>
        </w:rPr>
        <w:t xml:space="preserve">    Respetada, </w:t>
      </w:r>
      <w:r w:rsidRPr="00F80910">
        <w:rPr>
          <w:rStyle w:val="TextoNormalCaracter"/>
        </w:rPr>
        <w:t xml:space="preserve">Sentencia </w:t>
      </w:r>
      <w:hyperlink w:anchor="SENTENCIA_2015_158" w:history="1">
        <w:r w:rsidRPr="00F80910">
          <w:rPr>
            <w:rStyle w:val="TextoNormalCaracter"/>
          </w:rPr>
          <w:t>158/2015</w:t>
        </w:r>
      </w:hyperlink>
      <w:r w:rsidRPr="00F80910">
        <w:rPr>
          <w:rStyle w:val="TextoNormalCaracter"/>
        </w:rPr>
        <w:t>, f. 5.</w:t>
      </w:r>
    </w:p>
    <w:p w:rsidR="00F80910" w:rsidRPr="00F80910" w:rsidRDefault="00F80910" w:rsidP="00F80910">
      <w:pPr>
        <w:pStyle w:val="TextoNormalSangraFrancesa"/>
        <w:rPr>
          <w:rStyle w:val="TextoNormalCaracter"/>
        </w:rPr>
      </w:pPr>
      <w:bookmarkStart w:id="1153" w:name="DESCRIPTORALFABETICO288"/>
      <w:r w:rsidRPr="00F80910">
        <w:rPr>
          <w:rStyle w:val="TextoNormalNegritaCaracter"/>
        </w:rPr>
        <w:t>Igualdad territorial</w:t>
      </w:r>
      <w:bookmarkEnd w:id="1153"/>
      <w:r w:rsidRPr="00F80910">
        <w:rPr>
          <w:rStyle w:val="TextoNormalCaracter"/>
        </w:rPr>
        <w:t xml:space="preserve">, Sentencia </w:t>
      </w:r>
      <w:hyperlink w:anchor="SENTENCIA_2015_218" w:history="1">
        <w:r w:rsidRPr="00F80910">
          <w:rPr>
            <w:rStyle w:val="TextoNormalCaracter"/>
          </w:rPr>
          <w:t>218/2015</w:t>
        </w:r>
      </w:hyperlink>
      <w:r w:rsidRPr="00F80910">
        <w:rPr>
          <w:rStyle w:val="TextoNormalCaracter"/>
        </w:rPr>
        <w:t>, f. 5, VP I, VP III.</w:t>
      </w:r>
    </w:p>
    <w:p w:rsidR="00F80910" w:rsidRPr="00F80910" w:rsidRDefault="00F80910" w:rsidP="00F80910">
      <w:pPr>
        <w:pStyle w:val="TextoNormalSangraFrancesa"/>
        <w:rPr>
          <w:rStyle w:val="TextoNormalCaracter"/>
        </w:rPr>
      </w:pPr>
      <w:bookmarkStart w:id="1154" w:name="DESCRIPTORALFABETICO59"/>
      <w:r w:rsidRPr="00F80910">
        <w:rPr>
          <w:rStyle w:val="TextoNormalNegritaCaracter"/>
        </w:rPr>
        <w:t>Impuesto sobre depósitos en las entidades de crédito</w:t>
      </w:r>
      <w:bookmarkEnd w:id="1154"/>
      <w:r w:rsidRPr="00F80910">
        <w:rPr>
          <w:rStyle w:val="TextoNormalCaracter"/>
        </w:rPr>
        <w:t xml:space="preserve">, Sentencias </w:t>
      </w:r>
      <w:hyperlink w:anchor="SENTENCIA_2015_202" w:history="1">
        <w:r w:rsidRPr="00F80910">
          <w:rPr>
            <w:rStyle w:val="TextoNormalCaracter"/>
          </w:rPr>
          <w:t>202/2015</w:t>
        </w:r>
      </w:hyperlink>
      <w:r w:rsidRPr="00F80910">
        <w:rPr>
          <w:rStyle w:val="TextoNormalCaracter"/>
        </w:rPr>
        <w:t xml:space="preserve">, ff. 2, 3; </w:t>
      </w:r>
      <w:hyperlink w:anchor="SENTENCIA_2015_211" w:history="1">
        <w:r w:rsidRPr="00F80910">
          <w:rPr>
            <w:rStyle w:val="TextoNormalCaracter"/>
          </w:rPr>
          <w:t>211/2015</w:t>
        </w:r>
      </w:hyperlink>
      <w:r w:rsidRPr="00F80910">
        <w:rPr>
          <w:rStyle w:val="TextoNormalCaracter"/>
        </w:rPr>
        <w:t>, ff. 5 a 7.</w:t>
      </w:r>
    </w:p>
    <w:p w:rsidR="00F80910" w:rsidRPr="00F80910" w:rsidRDefault="00F80910" w:rsidP="00F80910">
      <w:pPr>
        <w:pStyle w:val="TextoNormalSangraFrancesa"/>
        <w:rPr>
          <w:rStyle w:val="TextoNormalCaracter"/>
        </w:rPr>
      </w:pPr>
      <w:bookmarkStart w:id="1155" w:name="DESCRIPTORALFABETICO60"/>
      <w:r w:rsidRPr="00F80910">
        <w:rPr>
          <w:rStyle w:val="TextoNormalNegritaCaracter"/>
        </w:rPr>
        <w:t>Impuesto sobre el patrimonio</w:t>
      </w:r>
      <w:bookmarkEnd w:id="1155"/>
      <w:r w:rsidRPr="00F80910">
        <w:rPr>
          <w:rStyle w:val="TextoNormalCaracter"/>
        </w:rPr>
        <w:t xml:space="preserve">, Sentencias </w:t>
      </w:r>
      <w:hyperlink w:anchor="SENTENCIA_2015_222" w:history="1">
        <w:r w:rsidRPr="00F80910">
          <w:rPr>
            <w:rStyle w:val="TextoNormalCaracter"/>
          </w:rPr>
          <w:t>222/2015</w:t>
        </w:r>
      </w:hyperlink>
      <w:r w:rsidRPr="00F80910">
        <w:rPr>
          <w:rStyle w:val="TextoNormalCaracter"/>
        </w:rPr>
        <w:t xml:space="preserve">, f. 1; </w:t>
      </w:r>
      <w:hyperlink w:anchor="SENTENCIA_2015_239" w:history="1">
        <w:r w:rsidRPr="00F80910">
          <w:rPr>
            <w:rStyle w:val="TextoNormalCaracter"/>
          </w:rPr>
          <w:t>239/2015</w:t>
        </w:r>
      </w:hyperlink>
      <w:r w:rsidRPr="00F80910">
        <w:rPr>
          <w:rStyle w:val="TextoNormalCaracter"/>
        </w:rPr>
        <w:t xml:space="preserve">, f. 1; </w:t>
      </w:r>
      <w:hyperlink w:anchor="SENTENCIA_2015_240" w:history="1">
        <w:r w:rsidRPr="00F80910">
          <w:rPr>
            <w:rStyle w:val="TextoNormalCaracter"/>
          </w:rPr>
          <w:t>240/2015</w:t>
        </w:r>
      </w:hyperlink>
      <w:r w:rsidRPr="00F80910">
        <w:rPr>
          <w:rStyle w:val="TextoNormalCaracter"/>
        </w:rPr>
        <w:t xml:space="preserve">, f. 1; </w:t>
      </w:r>
      <w:hyperlink w:anchor="SENTENCIA_2015_262" w:history="1">
        <w:r w:rsidRPr="00F80910">
          <w:rPr>
            <w:rStyle w:val="TextoNormalCaracter"/>
          </w:rPr>
          <w:t>262/2015</w:t>
        </w:r>
      </w:hyperlink>
      <w:r w:rsidRPr="00F80910">
        <w:rPr>
          <w:rStyle w:val="TextoNormalCaracter"/>
        </w:rPr>
        <w:t xml:space="preserve">, f. 1; </w:t>
      </w:r>
      <w:hyperlink w:anchor="SENTENCIA_2015_263" w:history="1">
        <w:r w:rsidRPr="00F80910">
          <w:rPr>
            <w:rStyle w:val="TextoNormalCaracter"/>
          </w:rPr>
          <w:t>263/2015</w:t>
        </w:r>
      </w:hyperlink>
      <w:r w:rsidRPr="00F80910">
        <w:rPr>
          <w:rStyle w:val="TextoNormalCaracter"/>
        </w:rPr>
        <w:t>, f. 1.</w:t>
      </w:r>
    </w:p>
    <w:p w:rsidR="00F80910" w:rsidRPr="00F80910" w:rsidRDefault="00F80910" w:rsidP="00F80910">
      <w:pPr>
        <w:pStyle w:val="TextoNormalSangraFrancesa"/>
        <w:rPr>
          <w:rStyle w:val="TextoNormalCaracter"/>
        </w:rPr>
      </w:pPr>
      <w:bookmarkStart w:id="1156" w:name="DESCRIPTORALFABETICO338"/>
      <w:r w:rsidRPr="00F80910">
        <w:rPr>
          <w:rStyle w:val="TextoNormalNegritaCaracter"/>
        </w:rPr>
        <w:t>Impugnación de la adscripción de puestos funcionariales</w:t>
      </w:r>
      <w:bookmarkEnd w:id="1156"/>
      <w:r w:rsidRPr="00F80910">
        <w:rPr>
          <w:rStyle w:val="TextoNormalCaracter"/>
        </w:rPr>
        <w:t xml:space="preserve">, Sentencia </w:t>
      </w:r>
      <w:hyperlink w:anchor="SENTENCIA_2015_236" w:history="1">
        <w:r w:rsidRPr="00F80910">
          <w:rPr>
            <w:rStyle w:val="TextoNormalCaracter"/>
          </w:rPr>
          <w:t>236/2015</w:t>
        </w:r>
      </w:hyperlink>
      <w:r w:rsidRPr="00F80910">
        <w:rPr>
          <w:rStyle w:val="TextoNormalCaracter"/>
        </w:rPr>
        <w:t>, ff. 5 a 9.</w:t>
      </w:r>
    </w:p>
    <w:p w:rsidR="00F80910" w:rsidRPr="00F80910" w:rsidRDefault="00F80910" w:rsidP="00F80910">
      <w:pPr>
        <w:pStyle w:val="TextoNormalSangraFrancesa"/>
        <w:rPr>
          <w:rStyle w:val="TextoNormalCaracter"/>
        </w:rPr>
      </w:pPr>
      <w:bookmarkStart w:id="1157" w:name="DESCRIPTORALFABETICO224"/>
      <w:r w:rsidRPr="00F80910">
        <w:rPr>
          <w:rStyle w:val="TextoNormalNegritaCaracter"/>
        </w:rPr>
        <w:t>Impugnación global de normas</w:t>
      </w:r>
      <w:bookmarkEnd w:id="1157"/>
      <w:r w:rsidRPr="00F80910">
        <w:rPr>
          <w:rStyle w:val="TextoNormalCaracter"/>
        </w:rPr>
        <w:t xml:space="preserve">, Sentencia </w:t>
      </w:r>
      <w:hyperlink w:anchor="SENTENCIA_2015_178" w:history="1">
        <w:r w:rsidRPr="00F80910">
          <w:rPr>
            <w:rStyle w:val="TextoNormalCaracter"/>
          </w:rPr>
          <w:t>178/2015</w:t>
        </w:r>
      </w:hyperlink>
      <w:r w:rsidRPr="00F80910">
        <w:rPr>
          <w:rStyle w:val="TextoNormalCaracter"/>
        </w:rPr>
        <w:t>, f. 2.</w:t>
      </w:r>
    </w:p>
    <w:p w:rsidR="00F80910" w:rsidRPr="00F80910" w:rsidRDefault="00F80910" w:rsidP="00F80910">
      <w:pPr>
        <w:pStyle w:val="TextoNormalSangraFrancesa"/>
        <w:rPr>
          <w:rStyle w:val="TextoNormalCaracter"/>
        </w:rPr>
      </w:pPr>
      <w:bookmarkStart w:id="1158" w:name="DESCRIPTORALFABETICO86"/>
      <w:r w:rsidRPr="00F80910">
        <w:rPr>
          <w:rStyle w:val="TextoNormalNegritaCaracter"/>
        </w:rPr>
        <w:t>Inadmisión a trámite de habeas corpus por razones de fondo</w:t>
      </w:r>
      <w:bookmarkEnd w:id="1158"/>
      <w:r w:rsidRPr="00F80910">
        <w:rPr>
          <w:rStyle w:val="TextoNormalCaracter"/>
        </w:rPr>
        <w:t xml:space="preserve">, Sentencia </w:t>
      </w:r>
      <w:hyperlink w:anchor="SENTENCIA_2015_204" w:history="1">
        <w:r w:rsidRPr="00F80910">
          <w:rPr>
            <w:rStyle w:val="TextoNormalCaracter"/>
          </w:rPr>
          <w:t>204/2015</w:t>
        </w:r>
      </w:hyperlink>
      <w:r w:rsidRPr="00F80910">
        <w:rPr>
          <w:rStyle w:val="TextoNormalCaracter"/>
        </w:rPr>
        <w:t>, ff. 1 a 4.</w:t>
      </w:r>
    </w:p>
    <w:p w:rsidR="00F80910" w:rsidRPr="00F80910" w:rsidRDefault="00F80910" w:rsidP="00F80910">
      <w:pPr>
        <w:pStyle w:val="TextoNormalSangraFrancesa"/>
        <w:rPr>
          <w:rStyle w:val="TextoNormalCaracter"/>
        </w:rPr>
      </w:pPr>
      <w:bookmarkStart w:id="1159" w:name="DESCRIPTORALFABETICO197"/>
      <w:r w:rsidRPr="00F80910">
        <w:rPr>
          <w:rStyle w:val="TextoNormalNegritaCaracter"/>
        </w:rPr>
        <w:t>Inadmisión de conflictos en defensa de la autonomía local</w:t>
      </w:r>
      <w:bookmarkEnd w:id="1159"/>
      <w:r w:rsidRPr="00F80910">
        <w:rPr>
          <w:rStyle w:val="TextoNormalCaracter"/>
        </w:rPr>
        <w:t xml:space="preserve">, Auto </w:t>
      </w:r>
      <w:hyperlink w:anchor="AUTO_2015_149" w:history="1">
        <w:r w:rsidRPr="00F80910">
          <w:rPr>
            <w:rStyle w:val="TextoNormalCaracter"/>
          </w:rPr>
          <w:t>149/2015</w:t>
        </w:r>
      </w:hyperlink>
      <w:r w:rsidRPr="00F80910">
        <w:rPr>
          <w:rStyle w:val="TextoNormalCaracter"/>
        </w:rPr>
        <w:t>.</w:t>
      </w:r>
    </w:p>
    <w:p w:rsidR="00F80910" w:rsidRPr="00F80910" w:rsidRDefault="00F80910" w:rsidP="00F80910">
      <w:pPr>
        <w:pStyle w:val="TextoNormalSangraFrancesa"/>
        <w:rPr>
          <w:rStyle w:val="TextoNormalCaracter"/>
        </w:rPr>
      </w:pPr>
      <w:bookmarkStart w:id="1160" w:name="DESCRIPTORALFABETICO204"/>
      <w:r w:rsidRPr="00F80910">
        <w:rPr>
          <w:rStyle w:val="TextoNormalNegritaCaracter"/>
        </w:rPr>
        <w:t>Inadmisión de cuestión de inconstitucionalidad</w:t>
      </w:r>
      <w:bookmarkEnd w:id="1160"/>
      <w:r w:rsidRPr="00F80910">
        <w:rPr>
          <w:rStyle w:val="TextoNormalCaracter"/>
        </w:rPr>
        <w:t xml:space="preserve">, Autos </w:t>
      </w:r>
      <w:hyperlink w:anchor="AUTO_2015_129" w:history="1">
        <w:r w:rsidRPr="00F80910">
          <w:rPr>
            <w:rStyle w:val="TextoNormalCaracter"/>
          </w:rPr>
          <w:t>129/2015</w:t>
        </w:r>
      </w:hyperlink>
      <w:r w:rsidRPr="00F80910">
        <w:rPr>
          <w:rStyle w:val="TextoNormalCaracter"/>
        </w:rPr>
        <w:t xml:space="preserve">, f. único; </w:t>
      </w:r>
      <w:hyperlink w:anchor="AUTO_2015_130" w:history="1">
        <w:r w:rsidRPr="00F80910">
          <w:rPr>
            <w:rStyle w:val="TextoNormalCaracter"/>
          </w:rPr>
          <w:t>130/2015</w:t>
        </w:r>
      </w:hyperlink>
      <w:r w:rsidRPr="00F80910">
        <w:rPr>
          <w:rStyle w:val="TextoNormalCaracter"/>
        </w:rPr>
        <w:t xml:space="preserve">, f. único; </w:t>
      </w:r>
      <w:hyperlink w:anchor="AUTO_2015_132" w:history="1">
        <w:r w:rsidRPr="00F80910">
          <w:rPr>
            <w:rStyle w:val="TextoNormalCaracter"/>
          </w:rPr>
          <w:t>132/2015</w:t>
        </w:r>
      </w:hyperlink>
      <w:r w:rsidRPr="00F80910">
        <w:rPr>
          <w:rStyle w:val="TextoNormalCaracter"/>
        </w:rPr>
        <w:t xml:space="preserve">, f. único; </w:t>
      </w:r>
      <w:hyperlink w:anchor="AUTO_2015_133" w:history="1">
        <w:r w:rsidRPr="00F80910">
          <w:rPr>
            <w:rStyle w:val="TextoNormalCaracter"/>
          </w:rPr>
          <w:t>133/2015</w:t>
        </w:r>
      </w:hyperlink>
      <w:r w:rsidRPr="00F80910">
        <w:rPr>
          <w:rStyle w:val="TextoNormalCaracter"/>
        </w:rPr>
        <w:t xml:space="preserve">, f. único; </w:t>
      </w:r>
      <w:hyperlink w:anchor="AUTO_2015_134" w:history="1">
        <w:r w:rsidRPr="00F80910">
          <w:rPr>
            <w:rStyle w:val="TextoNormalCaracter"/>
          </w:rPr>
          <w:t>134/2015</w:t>
        </w:r>
      </w:hyperlink>
      <w:r w:rsidRPr="00F80910">
        <w:rPr>
          <w:rStyle w:val="TextoNormalCaracter"/>
        </w:rPr>
        <w:t xml:space="preserve">, f. único; </w:t>
      </w:r>
      <w:hyperlink w:anchor="AUTO_2015_145" w:history="1">
        <w:r w:rsidRPr="00F80910">
          <w:rPr>
            <w:rStyle w:val="TextoNormalCaracter"/>
          </w:rPr>
          <w:t>145/2015</w:t>
        </w:r>
      </w:hyperlink>
      <w:r w:rsidRPr="00F80910">
        <w:rPr>
          <w:rStyle w:val="TextoNormalCaracter"/>
        </w:rPr>
        <w:t xml:space="preserve">; </w:t>
      </w:r>
      <w:hyperlink w:anchor="AUTO_2015_146" w:history="1">
        <w:r w:rsidRPr="00F80910">
          <w:rPr>
            <w:rStyle w:val="TextoNormalCaracter"/>
          </w:rPr>
          <w:t>146/2015</w:t>
        </w:r>
      </w:hyperlink>
      <w:r w:rsidRPr="00F80910">
        <w:rPr>
          <w:rStyle w:val="TextoNormalCaracter"/>
        </w:rPr>
        <w:t xml:space="preserve">; </w:t>
      </w:r>
      <w:hyperlink w:anchor="AUTO_2015_154" w:history="1">
        <w:r w:rsidRPr="00F80910">
          <w:rPr>
            <w:rStyle w:val="TextoNormalCaracter"/>
          </w:rPr>
          <w:t>154/2015</w:t>
        </w:r>
      </w:hyperlink>
      <w:r w:rsidRPr="00F80910">
        <w:rPr>
          <w:rStyle w:val="TextoNormalCaracter"/>
        </w:rPr>
        <w:t xml:space="preserve">; </w:t>
      </w:r>
      <w:hyperlink w:anchor="AUTO_2015_155" w:history="1">
        <w:r w:rsidRPr="00F80910">
          <w:rPr>
            <w:rStyle w:val="TextoNormalCaracter"/>
          </w:rPr>
          <w:t>155/2015</w:t>
        </w:r>
      </w:hyperlink>
      <w:r w:rsidRPr="00F80910">
        <w:rPr>
          <w:rStyle w:val="TextoNormalCaracter"/>
        </w:rPr>
        <w:t xml:space="preserve">; </w:t>
      </w:r>
      <w:hyperlink w:anchor="AUTO_2015_188" w:history="1">
        <w:r w:rsidRPr="00F80910">
          <w:rPr>
            <w:rStyle w:val="TextoNormalCaracter"/>
          </w:rPr>
          <w:t>188/2015</w:t>
        </w:r>
      </w:hyperlink>
      <w:r w:rsidRPr="00F80910">
        <w:rPr>
          <w:rStyle w:val="TextoNormalCaracter"/>
        </w:rPr>
        <w:t xml:space="preserve">, f. 3; </w:t>
      </w:r>
      <w:hyperlink w:anchor="AUTO_2015_224" w:history="1">
        <w:r w:rsidRPr="00F80910">
          <w:rPr>
            <w:rStyle w:val="TextoNormalCaracter"/>
          </w:rPr>
          <w:t>224/2015</w:t>
        </w:r>
      </w:hyperlink>
      <w:r w:rsidRPr="00F80910">
        <w:rPr>
          <w:rStyle w:val="TextoNormalCaracter"/>
        </w:rPr>
        <w:t xml:space="preserve">, f. 3; </w:t>
      </w:r>
      <w:hyperlink w:anchor="AUTO_2015_225" w:history="1">
        <w:r w:rsidRPr="00F80910">
          <w:rPr>
            <w:rStyle w:val="TextoNormalCaracter"/>
          </w:rPr>
          <w:t>225/2015</w:t>
        </w:r>
      </w:hyperlink>
      <w:r w:rsidRPr="00F80910">
        <w:rPr>
          <w:rStyle w:val="TextoNormalCaracter"/>
        </w:rPr>
        <w:t xml:space="preserve">, f. 3; </w:t>
      </w:r>
      <w:hyperlink w:anchor="AUTO_2015_227" w:history="1">
        <w:r w:rsidRPr="00F80910">
          <w:rPr>
            <w:rStyle w:val="TextoNormalCaracter"/>
          </w:rPr>
          <w:t>227/2015</w:t>
        </w:r>
      </w:hyperlink>
      <w:r w:rsidRPr="00F80910">
        <w:rPr>
          <w:rStyle w:val="TextoNormalCaracter"/>
        </w:rPr>
        <w:t>, f. 4.</w:t>
      </w:r>
    </w:p>
    <w:p w:rsidR="00F80910" w:rsidRPr="00F80910" w:rsidRDefault="00F80910" w:rsidP="00F80910">
      <w:pPr>
        <w:pStyle w:val="TextoNormalSangraFrancesa"/>
        <w:rPr>
          <w:rStyle w:val="TextoNormalCaracter"/>
        </w:rPr>
      </w:pPr>
      <w:bookmarkStart w:id="1161" w:name="DESCRIPTORALFABETICO206"/>
      <w:r w:rsidRPr="00F80910">
        <w:rPr>
          <w:rStyle w:val="TextoNormalNegritaCaracter"/>
        </w:rPr>
        <w:t>Inadmisión de cuestión de inconstitucionalidad por falta de requisitos procesales</w:t>
      </w:r>
      <w:bookmarkEnd w:id="1161"/>
      <w:r w:rsidRPr="00F80910">
        <w:rPr>
          <w:rStyle w:val="TextoNormalCaracter"/>
        </w:rPr>
        <w:t xml:space="preserve">, Sentencias </w:t>
      </w:r>
      <w:hyperlink w:anchor="SENTENCIA_2015_201" w:history="1">
        <w:r w:rsidRPr="00F80910">
          <w:rPr>
            <w:rStyle w:val="TextoNormalCaracter"/>
          </w:rPr>
          <w:t>201/2015</w:t>
        </w:r>
      </w:hyperlink>
      <w:r w:rsidRPr="00F80910">
        <w:rPr>
          <w:rStyle w:val="TextoNormalCaracter"/>
        </w:rPr>
        <w:t xml:space="preserve">, ff. 2, 3; </w:t>
      </w:r>
      <w:hyperlink w:anchor="SENTENCIA_2015_212" w:history="1">
        <w:r w:rsidRPr="00F80910">
          <w:rPr>
            <w:rStyle w:val="TextoNormalCaracter"/>
          </w:rPr>
          <w:t>212/2015</w:t>
        </w:r>
      </w:hyperlink>
      <w:r w:rsidRPr="00F80910">
        <w:rPr>
          <w:rStyle w:val="TextoNormalCaracter"/>
        </w:rPr>
        <w:t xml:space="preserve">, f. 3; </w:t>
      </w:r>
      <w:hyperlink w:anchor="SENTENCIA_2015_213" w:history="1">
        <w:r w:rsidRPr="00F80910">
          <w:rPr>
            <w:rStyle w:val="TextoNormalCaracter"/>
          </w:rPr>
          <w:t>213/2015</w:t>
        </w:r>
      </w:hyperlink>
      <w:r w:rsidRPr="00F80910">
        <w:rPr>
          <w:rStyle w:val="TextoNormalCaracter"/>
        </w:rPr>
        <w:t xml:space="preserve">, f. 3; </w:t>
      </w:r>
      <w:hyperlink w:anchor="SENTENCIA_2015_219" w:history="1">
        <w:r w:rsidRPr="00F80910">
          <w:rPr>
            <w:rStyle w:val="TextoNormalCaracter"/>
          </w:rPr>
          <w:t>219/2015</w:t>
        </w:r>
      </w:hyperlink>
      <w:r w:rsidRPr="00F80910">
        <w:rPr>
          <w:rStyle w:val="TextoNormalCaracter"/>
        </w:rPr>
        <w:t xml:space="preserve">, f. 3; </w:t>
      </w:r>
      <w:hyperlink w:anchor="SENTENCIA_2015_220" w:history="1">
        <w:r w:rsidRPr="00F80910">
          <w:rPr>
            <w:rStyle w:val="TextoNormalCaracter"/>
          </w:rPr>
          <w:t>220/2015</w:t>
        </w:r>
      </w:hyperlink>
      <w:r w:rsidRPr="00F80910">
        <w:rPr>
          <w:rStyle w:val="TextoNormalCaracter"/>
        </w:rPr>
        <w:t xml:space="preserve">, f. 3; </w:t>
      </w:r>
      <w:hyperlink w:anchor="SENTENCIA_2015_221" w:history="1">
        <w:r w:rsidRPr="00F80910">
          <w:rPr>
            <w:rStyle w:val="TextoNormalCaracter"/>
          </w:rPr>
          <w:t>221/2015</w:t>
        </w:r>
      </w:hyperlink>
      <w:r w:rsidRPr="00F80910">
        <w:rPr>
          <w:rStyle w:val="TextoNormalCaracter"/>
        </w:rPr>
        <w:t xml:space="preserve">, f. 3; </w:t>
      </w:r>
      <w:hyperlink w:anchor="SENTENCIA_2015_234" w:history="1">
        <w:r w:rsidRPr="00F80910">
          <w:rPr>
            <w:rStyle w:val="TextoNormalCaracter"/>
          </w:rPr>
          <w:t>234/2015</w:t>
        </w:r>
      </w:hyperlink>
      <w:r w:rsidRPr="00F80910">
        <w:rPr>
          <w:rStyle w:val="TextoNormalCaracter"/>
        </w:rPr>
        <w:t xml:space="preserve">, f. 2; </w:t>
      </w:r>
      <w:hyperlink w:anchor="SENTENCIA_2015_241" w:history="1">
        <w:r w:rsidRPr="00F80910">
          <w:rPr>
            <w:rStyle w:val="TextoNormalCaracter"/>
          </w:rPr>
          <w:t>241/2015</w:t>
        </w:r>
      </w:hyperlink>
      <w:r w:rsidRPr="00F80910">
        <w:rPr>
          <w:rStyle w:val="TextoNormalCaracter"/>
        </w:rPr>
        <w:t xml:space="preserve">, ff. 2, 3; </w:t>
      </w:r>
      <w:hyperlink w:anchor="SENTENCIA_2015_246" w:history="1">
        <w:r w:rsidRPr="00F80910">
          <w:rPr>
            <w:rStyle w:val="TextoNormalCaracter"/>
          </w:rPr>
          <w:t>246/2015</w:t>
        </w:r>
      </w:hyperlink>
      <w:r w:rsidRPr="00F80910">
        <w:rPr>
          <w:rStyle w:val="TextoNormalCaracter"/>
        </w:rPr>
        <w:t xml:space="preserve">, f. 2; </w:t>
      </w:r>
      <w:hyperlink w:anchor="SENTENCIA_2015_247" w:history="1">
        <w:r w:rsidRPr="00F80910">
          <w:rPr>
            <w:rStyle w:val="TextoNormalCaracter"/>
          </w:rPr>
          <w:t>247/2015</w:t>
        </w:r>
      </w:hyperlink>
      <w:r w:rsidRPr="00F80910">
        <w:rPr>
          <w:rStyle w:val="TextoNormalCaracter"/>
        </w:rPr>
        <w:t xml:space="preserve">, f. 2; </w:t>
      </w:r>
      <w:hyperlink w:anchor="SENTENCIA_2015_248" w:history="1">
        <w:r w:rsidRPr="00F80910">
          <w:rPr>
            <w:rStyle w:val="TextoNormalCaracter"/>
          </w:rPr>
          <w:t>248/2015</w:t>
        </w:r>
      </w:hyperlink>
      <w:r w:rsidRPr="00F80910">
        <w:rPr>
          <w:rStyle w:val="TextoNormalCaracter"/>
        </w:rPr>
        <w:t xml:space="preserve">, f. 2; </w:t>
      </w:r>
      <w:hyperlink w:anchor="SENTENCIA_2015_249" w:history="1">
        <w:r w:rsidRPr="00F80910">
          <w:rPr>
            <w:rStyle w:val="TextoNormalCaracter"/>
          </w:rPr>
          <w:t>249/2015</w:t>
        </w:r>
      </w:hyperlink>
      <w:r w:rsidRPr="00F80910">
        <w:rPr>
          <w:rStyle w:val="TextoNormalCaracter"/>
        </w:rPr>
        <w:t xml:space="preserve">, f. 2; </w:t>
      </w:r>
      <w:hyperlink w:anchor="SENTENCIA_2015_250" w:history="1">
        <w:r w:rsidRPr="00F80910">
          <w:rPr>
            <w:rStyle w:val="TextoNormalCaracter"/>
          </w:rPr>
          <w:t>250/2015</w:t>
        </w:r>
      </w:hyperlink>
      <w:r w:rsidRPr="00F80910">
        <w:rPr>
          <w:rStyle w:val="TextoNormalCaracter"/>
        </w:rPr>
        <w:t xml:space="preserve">, f. 2; </w:t>
      </w:r>
      <w:hyperlink w:anchor="SENTENCIA_2015_251" w:history="1">
        <w:r w:rsidRPr="00F80910">
          <w:rPr>
            <w:rStyle w:val="TextoNormalCaracter"/>
          </w:rPr>
          <w:t>251/2015</w:t>
        </w:r>
      </w:hyperlink>
      <w:r w:rsidRPr="00F80910">
        <w:rPr>
          <w:rStyle w:val="TextoNormalCaracter"/>
        </w:rPr>
        <w:t xml:space="preserve">, f. 2; </w:t>
      </w:r>
      <w:hyperlink w:anchor="SENTENCIA_2015_252" w:history="1">
        <w:r w:rsidRPr="00F80910">
          <w:rPr>
            <w:rStyle w:val="TextoNormalCaracter"/>
          </w:rPr>
          <w:t>252/2015</w:t>
        </w:r>
      </w:hyperlink>
      <w:r w:rsidRPr="00F80910">
        <w:rPr>
          <w:rStyle w:val="TextoNormalCaracter"/>
        </w:rPr>
        <w:t xml:space="preserve">, f. 2; </w:t>
      </w:r>
      <w:hyperlink w:anchor="SENTENCIA_2015_253" w:history="1">
        <w:r w:rsidRPr="00F80910">
          <w:rPr>
            <w:rStyle w:val="TextoNormalCaracter"/>
          </w:rPr>
          <w:t>253/2015</w:t>
        </w:r>
      </w:hyperlink>
      <w:r w:rsidRPr="00F80910">
        <w:rPr>
          <w:rStyle w:val="TextoNormalCaracter"/>
        </w:rPr>
        <w:t xml:space="preserve">, f. 2; </w:t>
      </w:r>
      <w:hyperlink w:anchor="SENTENCIA_2015_255" w:history="1">
        <w:r w:rsidRPr="00F80910">
          <w:rPr>
            <w:rStyle w:val="TextoNormalCaracter"/>
          </w:rPr>
          <w:t>255/2015</w:t>
        </w:r>
      </w:hyperlink>
      <w:r w:rsidRPr="00F80910">
        <w:rPr>
          <w:rStyle w:val="TextoNormalCaracter"/>
        </w:rPr>
        <w:t xml:space="preserve">, f. 2; </w:t>
      </w:r>
      <w:hyperlink w:anchor="SENTENCIA_2015_256" w:history="1">
        <w:r w:rsidRPr="00F80910">
          <w:rPr>
            <w:rStyle w:val="TextoNormalCaracter"/>
          </w:rPr>
          <w:t>256/2015</w:t>
        </w:r>
      </w:hyperlink>
      <w:r w:rsidRPr="00F80910">
        <w:rPr>
          <w:rStyle w:val="TextoNormalCaracter"/>
        </w:rPr>
        <w:t xml:space="preserve">, f. 2; </w:t>
      </w:r>
      <w:hyperlink w:anchor="SENTENCIA_2015_257" w:history="1">
        <w:r w:rsidRPr="00F80910">
          <w:rPr>
            <w:rStyle w:val="TextoNormalCaracter"/>
          </w:rPr>
          <w:t>257/2015</w:t>
        </w:r>
      </w:hyperlink>
      <w:r w:rsidRPr="00F80910">
        <w:rPr>
          <w:rStyle w:val="TextoNormalCaracter"/>
        </w:rPr>
        <w:t xml:space="preserve">, f. 2; </w:t>
      </w:r>
      <w:hyperlink w:anchor="SENTENCIA_2015_258" w:history="1">
        <w:r w:rsidRPr="00F80910">
          <w:rPr>
            <w:rStyle w:val="TextoNormalCaracter"/>
          </w:rPr>
          <w:t>258/2015</w:t>
        </w:r>
      </w:hyperlink>
      <w:r w:rsidRPr="00F80910">
        <w:rPr>
          <w:rStyle w:val="TextoNormalCaracter"/>
        </w:rPr>
        <w:t xml:space="preserve">, f. 2; </w:t>
      </w:r>
      <w:hyperlink w:anchor="SENTENCIA_2015_269" w:history="1">
        <w:r w:rsidRPr="00F80910">
          <w:rPr>
            <w:rStyle w:val="TextoNormalCaracter"/>
          </w:rPr>
          <w:t>269/2015</w:t>
        </w:r>
      </w:hyperlink>
      <w:r w:rsidRPr="00F80910">
        <w:rPr>
          <w:rStyle w:val="TextoNormalCaracter"/>
        </w:rPr>
        <w:t>, f. 2.</w:t>
      </w:r>
    </w:p>
    <w:p w:rsidR="00F80910" w:rsidRPr="00F80910" w:rsidRDefault="00F80910" w:rsidP="00F80910">
      <w:pPr>
        <w:pStyle w:val="TextoNormalSangraFrancesa"/>
        <w:rPr>
          <w:rStyle w:val="TextoNormalCaracter"/>
        </w:rPr>
      </w:pPr>
      <w:r w:rsidRPr="00F80910">
        <w:rPr>
          <w:rStyle w:val="TextoNormalCaracter"/>
        </w:rPr>
        <w:t xml:space="preserve">    Autos </w:t>
      </w:r>
      <w:hyperlink w:anchor="AUTO_2015_136" w:history="1">
        <w:r w:rsidRPr="00F80910">
          <w:rPr>
            <w:rStyle w:val="TextoNormalCaracter"/>
          </w:rPr>
          <w:t>136/2015</w:t>
        </w:r>
      </w:hyperlink>
      <w:r w:rsidRPr="00F80910">
        <w:rPr>
          <w:rStyle w:val="TextoNormalCaracter"/>
        </w:rPr>
        <w:t xml:space="preserve">, f. 3; </w:t>
      </w:r>
      <w:hyperlink w:anchor="AUTO_2015_137" w:history="1">
        <w:r w:rsidRPr="00F80910">
          <w:rPr>
            <w:rStyle w:val="TextoNormalCaracter"/>
          </w:rPr>
          <w:t>137/2015</w:t>
        </w:r>
      </w:hyperlink>
      <w:r w:rsidRPr="00F80910">
        <w:rPr>
          <w:rStyle w:val="TextoNormalCaracter"/>
        </w:rPr>
        <w:t xml:space="preserve">, ff. 3, 4; </w:t>
      </w:r>
      <w:hyperlink w:anchor="AUTO_2015_138" w:history="1">
        <w:r w:rsidRPr="00F80910">
          <w:rPr>
            <w:rStyle w:val="TextoNormalCaracter"/>
          </w:rPr>
          <w:t>138/2015</w:t>
        </w:r>
      </w:hyperlink>
      <w:r w:rsidRPr="00F80910">
        <w:rPr>
          <w:rStyle w:val="TextoNormalCaracter"/>
        </w:rPr>
        <w:t xml:space="preserve">, ff. 3, 4; </w:t>
      </w:r>
      <w:hyperlink w:anchor="AUTO_2015_201" w:history="1">
        <w:r w:rsidRPr="00F80910">
          <w:rPr>
            <w:rStyle w:val="TextoNormalCaracter"/>
          </w:rPr>
          <w:t>201/2015</w:t>
        </w:r>
      </w:hyperlink>
      <w:r w:rsidRPr="00F80910">
        <w:rPr>
          <w:rStyle w:val="TextoNormalCaracter"/>
        </w:rPr>
        <w:t>, f. 2.</w:t>
      </w:r>
    </w:p>
    <w:p w:rsidR="00F80910" w:rsidRPr="00F80910" w:rsidRDefault="00F80910" w:rsidP="00F80910">
      <w:pPr>
        <w:pStyle w:val="TextoNormalSangraFrancesa"/>
        <w:rPr>
          <w:rStyle w:val="TextoNormalCaracter"/>
        </w:rPr>
      </w:pPr>
      <w:bookmarkStart w:id="1162" w:name="DESCRIPTORALFABETICO207"/>
      <w:r w:rsidRPr="00F80910">
        <w:rPr>
          <w:rStyle w:val="TextoNormalNegritaCaracter"/>
        </w:rPr>
        <w:t>Inadmisión de cuestión de inconstitucionalidad por sentencia</w:t>
      </w:r>
      <w:bookmarkEnd w:id="1162"/>
      <w:r w:rsidRPr="00F80910">
        <w:rPr>
          <w:rStyle w:val="TextoNormalCaracter"/>
        </w:rPr>
        <w:t xml:space="preserve">, Sentencias </w:t>
      </w:r>
      <w:hyperlink w:anchor="SENTENCIA_2015_201" w:history="1">
        <w:r w:rsidRPr="00F80910">
          <w:rPr>
            <w:rStyle w:val="TextoNormalCaracter"/>
          </w:rPr>
          <w:t>201/2015</w:t>
        </w:r>
      </w:hyperlink>
      <w:r w:rsidRPr="00F80910">
        <w:rPr>
          <w:rStyle w:val="TextoNormalCaracter"/>
        </w:rPr>
        <w:t xml:space="preserve">, f. 3; </w:t>
      </w:r>
      <w:hyperlink w:anchor="SENTENCIA_2015_212" w:history="1">
        <w:r w:rsidRPr="00F80910">
          <w:rPr>
            <w:rStyle w:val="TextoNormalCaracter"/>
          </w:rPr>
          <w:t>212/2015</w:t>
        </w:r>
      </w:hyperlink>
      <w:r w:rsidRPr="00F80910">
        <w:rPr>
          <w:rStyle w:val="TextoNormalCaracter"/>
        </w:rPr>
        <w:t xml:space="preserve">, f. 3; </w:t>
      </w:r>
      <w:hyperlink w:anchor="SENTENCIA_2015_213" w:history="1">
        <w:r w:rsidRPr="00F80910">
          <w:rPr>
            <w:rStyle w:val="TextoNormalCaracter"/>
          </w:rPr>
          <w:t>213/2015</w:t>
        </w:r>
      </w:hyperlink>
      <w:r w:rsidRPr="00F80910">
        <w:rPr>
          <w:rStyle w:val="TextoNormalCaracter"/>
        </w:rPr>
        <w:t xml:space="preserve">, f. 3; </w:t>
      </w:r>
      <w:hyperlink w:anchor="SENTENCIA_2015_219" w:history="1">
        <w:r w:rsidRPr="00F80910">
          <w:rPr>
            <w:rStyle w:val="TextoNormalCaracter"/>
          </w:rPr>
          <w:t>219/2015</w:t>
        </w:r>
      </w:hyperlink>
      <w:r w:rsidRPr="00F80910">
        <w:rPr>
          <w:rStyle w:val="TextoNormalCaracter"/>
        </w:rPr>
        <w:t xml:space="preserve">, f. 3; </w:t>
      </w:r>
      <w:hyperlink w:anchor="SENTENCIA_2015_220" w:history="1">
        <w:r w:rsidRPr="00F80910">
          <w:rPr>
            <w:rStyle w:val="TextoNormalCaracter"/>
          </w:rPr>
          <w:t>220/2015</w:t>
        </w:r>
      </w:hyperlink>
      <w:r w:rsidRPr="00F80910">
        <w:rPr>
          <w:rStyle w:val="TextoNormalCaracter"/>
        </w:rPr>
        <w:t xml:space="preserve">, f. 3; </w:t>
      </w:r>
      <w:hyperlink w:anchor="SENTENCIA_2015_221" w:history="1">
        <w:r w:rsidRPr="00F80910">
          <w:rPr>
            <w:rStyle w:val="TextoNormalCaracter"/>
          </w:rPr>
          <w:t>221/2015</w:t>
        </w:r>
      </w:hyperlink>
      <w:r w:rsidRPr="00F80910">
        <w:rPr>
          <w:rStyle w:val="TextoNormalCaracter"/>
        </w:rPr>
        <w:t xml:space="preserve">, f. 3; </w:t>
      </w:r>
      <w:hyperlink w:anchor="SENTENCIA_2015_234" w:history="1">
        <w:r w:rsidRPr="00F80910">
          <w:rPr>
            <w:rStyle w:val="TextoNormalCaracter"/>
          </w:rPr>
          <w:t>234/2015</w:t>
        </w:r>
      </w:hyperlink>
      <w:r w:rsidRPr="00F80910">
        <w:rPr>
          <w:rStyle w:val="TextoNormalCaracter"/>
        </w:rPr>
        <w:t xml:space="preserve">, f. 2; </w:t>
      </w:r>
      <w:hyperlink w:anchor="SENTENCIA_2015_241" w:history="1">
        <w:r w:rsidRPr="00F80910">
          <w:rPr>
            <w:rStyle w:val="TextoNormalCaracter"/>
          </w:rPr>
          <w:t>241/2015</w:t>
        </w:r>
      </w:hyperlink>
      <w:r w:rsidRPr="00F80910">
        <w:rPr>
          <w:rStyle w:val="TextoNormalCaracter"/>
        </w:rPr>
        <w:t xml:space="preserve">, ff. 2, 3; </w:t>
      </w:r>
      <w:hyperlink w:anchor="SENTENCIA_2015_246" w:history="1">
        <w:r w:rsidRPr="00F80910">
          <w:rPr>
            <w:rStyle w:val="TextoNormalCaracter"/>
          </w:rPr>
          <w:t>246/2015</w:t>
        </w:r>
      </w:hyperlink>
      <w:r w:rsidRPr="00F80910">
        <w:rPr>
          <w:rStyle w:val="TextoNormalCaracter"/>
        </w:rPr>
        <w:t xml:space="preserve">, f. 2; </w:t>
      </w:r>
      <w:hyperlink w:anchor="SENTENCIA_2015_247" w:history="1">
        <w:r w:rsidRPr="00F80910">
          <w:rPr>
            <w:rStyle w:val="TextoNormalCaracter"/>
          </w:rPr>
          <w:t>247/2015</w:t>
        </w:r>
      </w:hyperlink>
      <w:r w:rsidRPr="00F80910">
        <w:rPr>
          <w:rStyle w:val="TextoNormalCaracter"/>
        </w:rPr>
        <w:t xml:space="preserve">, f. 2; </w:t>
      </w:r>
      <w:hyperlink w:anchor="SENTENCIA_2015_248" w:history="1">
        <w:r w:rsidRPr="00F80910">
          <w:rPr>
            <w:rStyle w:val="TextoNormalCaracter"/>
          </w:rPr>
          <w:t>248/2015</w:t>
        </w:r>
      </w:hyperlink>
      <w:r w:rsidRPr="00F80910">
        <w:rPr>
          <w:rStyle w:val="TextoNormalCaracter"/>
        </w:rPr>
        <w:t xml:space="preserve">, f. 2; </w:t>
      </w:r>
      <w:hyperlink w:anchor="SENTENCIA_2015_249" w:history="1">
        <w:r w:rsidRPr="00F80910">
          <w:rPr>
            <w:rStyle w:val="TextoNormalCaracter"/>
          </w:rPr>
          <w:t>249/2015</w:t>
        </w:r>
      </w:hyperlink>
      <w:r w:rsidRPr="00F80910">
        <w:rPr>
          <w:rStyle w:val="TextoNormalCaracter"/>
        </w:rPr>
        <w:t xml:space="preserve">, f. 2; </w:t>
      </w:r>
      <w:hyperlink w:anchor="SENTENCIA_2015_250" w:history="1">
        <w:r w:rsidRPr="00F80910">
          <w:rPr>
            <w:rStyle w:val="TextoNormalCaracter"/>
          </w:rPr>
          <w:t>250/2015</w:t>
        </w:r>
      </w:hyperlink>
      <w:r w:rsidRPr="00F80910">
        <w:rPr>
          <w:rStyle w:val="TextoNormalCaracter"/>
        </w:rPr>
        <w:t xml:space="preserve">, f. 2; </w:t>
      </w:r>
      <w:hyperlink w:anchor="SENTENCIA_2015_251" w:history="1">
        <w:r w:rsidRPr="00F80910">
          <w:rPr>
            <w:rStyle w:val="TextoNormalCaracter"/>
          </w:rPr>
          <w:t>251/2015</w:t>
        </w:r>
      </w:hyperlink>
      <w:r w:rsidRPr="00F80910">
        <w:rPr>
          <w:rStyle w:val="TextoNormalCaracter"/>
        </w:rPr>
        <w:t xml:space="preserve">, f. 2; </w:t>
      </w:r>
      <w:hyperlink w:anchor="SENTENCIA_2015_252" w:history="1">
        <w:r w:rsidRPr="00F80910">
          <w:rPr>
            <w:rStyle w:val="TextoNormalCaracter"/>
          </w:rPr>
          <w:t>252/2015</w:t>
        </w:r>
      </w:hyperlink>
      <w:r w:rsidRPr="00F80910">
        <w:rPr>
          <w:rStyle w:val="TextoNormalCaracter"/>
        </w:rPr>
        <w:t xml:space="preserve">, f. 2; </w:t>
      </w:r>
      <w:hyperlink w:anchor="SENTENCIA_2015_253" w:history="1">
        <w:r w:rsidRPr="00F80910">
          <w:rPr>
            <w:rStyle w:val="TextoNormalCaracter"/>
          </w:rPr>
          <w:t>253/2015</w:t>
        </w:r>
      </w:hyperlink>
      <w:r w:rsidRPr="00F80910">
        <w:rPr>
          <w:rStyle w:val="TextoNormalCaracter"/>
        </w:rPr>
        <w:t xml:space="preserve">, f. 2; </w:t>
      </w:r>
      <w:hyperlink w:anchor="SENTENCIA_2015_255" w:history="1">
        <w:r w:rsidRPr="00F80910">
          <w:rPr>
            <w:rStyle w:val="TextoNormalCaracter"/>
          </w:rPr>
          <w:t>255/2015</w:t>
        </w:r>
      </w:hyperlink>
      <w:r w:rsidRPr="00F80910">
        <w:rPr>
          <w:rStyle w:val="TextoNormalCaracter"/>
        </w:rPr>
        <w:t xml:space="preserve">, f. 2; </w:t>
      </w:r>
      <w:hyperlink w:anchor="SENTENCIA_2015_256" w:history="1">
        <w:r w:rsidRPr="00F80910">
          <w:rPr>
            <w:rStyle w:val="TextoNormalCaracter"/>
          </w:rPr>
          <w:t>256/2015</w:t>
        </w:r>
      </w:hyperlink>
      <w:r w:rsidRPr="00F80910">
        <w:rPr>
          <w:rStyle w:val="TextoNormalCaracter"/>
        </w:rPr>
        <w:t xml:space="preserve">, f. 2; </w:t>
      </w:r>
      <w:hyperlink w:anchor="SENTENCIA_2015_257" w:history="1">
        <w:r w:rsidRPr="00F80910">
          <w:rPr>
            <w:rStyle w:val="TextoNormalCaracter"/>
          </w:rPr>
          <w:t>257/2015</w:t>
        </w:r>
      </w:hyperlink>
      <w:r w:rsidRPr="00F80910">
        <w:rPr>
          <w:rStyle w:val="TextoNormalCaracter"/>
        </w:rPr>
        <w:t xml:space="preserve">, f. 2; </w:t>
      </w:r>
      <w:hyperlink w:anchor="SENTENCIA_2015_258" w:history="1">
        <w:r w:rsidRPr="00F80910">
          <w:rPr>
            <w:rStyle w:val="TextoNormalCaracter"/>
          </w:rPr>
          <w:t>258/2015</w:t>
        </w:r>
      </w:hyperlink>
      <w:r w:rsidRPr="00F80910">
        <w:rPr>
          <w:rStyle w:val="TextoNormalCaracter"/>
        </w:rPr>
        <w:t>, f. 2.</w:t>
      </w:r>
    </w:p>
    <w:p w:rsidR="00F80910" w:rsidRPr="00F80910" w:rsidRDefault="00F80910" w:rsidP="00F80910">
      <w:pPr>
        <w:pStyle w:val="TextoNormalSangraFrancesa"/>
        <w:rPr>
          <w:rStyle w:val="TextoNormalCaracter"/>
        </w:rPr>
      </w:pPr>
      <w:bookmarkStart w:id="1163" w:name="DESCRIPTORALFABETICO553"/>
      <w:r w:rsidRPr="00F80910">
        <w:rPr>
          <w:rStyle w:val="TextoNormalNegritaCaracter"/>
        </w:rPr>
        <w:t>Inadmisión de incidente de nulidad de actuaciones</w:t>
      </w:r>
      <w:bookmarkEnd w:id="1163"/>
      <w:r w:rsidRPr="00F80910">
        <w:rPr>
          <w:rStyle w:val="TextoNormalCaracter"/>
        </w:rPr>
        <w:t xml:space="preserve">, Sentencias </w:t>
      </w:r>
      <w:hyperlink w:anchor="SENTENCIA_2015_152" w:history="1">
        <w:r w:rsidRPr="00F80910">
          <w:rPr>
            <w:rStyle w:val="TextoNormalCaracter"/>
          </w:rPr>
          <w:t>152/2015</w:t>
        </w:r>
      </w:hyperlink>
      <w:r w:rsidRPr="00F80910">
        <w:rPr>
          <w:rStyle w:val="TextoNormalCaracter"/>
        </w:rPr>
        <w:t xml:space="preserve">, ff. 8, 9; </w:t>
      </w:r>
      <w:hyperlink w:anchor="SENTENCIA_2015_180" w:history="1">
        <w:r w:rsidRPr="00F80910">
          <w:rPr>
            <w:rStyle w:val="TextoNormalCaracter"/>
          </w:rPr>
          <w:t>180/2015</w:t>
        </w:r>
      </w:hyperlink>
      <w:r w:rsidRPr="00F80910">
        <w:rPr>
          <w:rStyle w:val="TextoNormalCaracter"/>
        </w:rPr>
        <w:t xml:space="preserve">; </w:t>
      </w:r>
      <w:hyperlink w:anchor="SENTENCIA_2015_208" w:history="1">
        <w:r w:rsidRPr="00F80910">
          <w:rPr>
            <w:rStyle w:val="TextoNormalCaracter"/>
          </w:rPr>
          <w:t>208/2015</w:t>
        </w:r>
      </w:hyperlink>
      <w:r w:rsidRPr="00F80910">
        <w:rPr>
          <w:rStyle w:val="TextoNormalCaracter"/>
        </w:rPr>
        <w:t>, ff. 3 a 5.</w:t>
      </w:r>
    </w:p>
    <w:p w:rsidR="00F80910" w:rsidRPr="00F80910" w:rsidRDefault="00F80910" w:rsidP="00F80910">
      <w:pPr>
        <w:pStyle w:val="TextoNormalSangraFrancesa"/>
        <w:rPr>
          <w:rStyle w:val="TextoNormalCaracter"/>
        </w:rPr>
      </w:pPr>
      <w:bookmarkStart w:id="1164" w:name="DESCRIPTORALFABETICO585"/>
      <w:r w:rsidRPr="00F80910">
        <w:rPr>
          <w:rStyle w:val="TextoNormalNegritaCaracter"/>
        </w:rPr>
        <w:t>Inadmisión de recurso contencioso-administrativo</w:t>
      </w:r>
      <w:bookmarkEnd w:id="1164"/>
      <w:r w:rsidRPr="00F80910">
        <w:rPr>
          <w:rStyle w:val="TextoNormalCaracter"/>
        </w:rPr>
        <w:t xml:space="preserve">, Sentencias </w:t>
      </w:r>
      <w:hyperlink w:anchor="SENTENCIA_2015_186" w:history="1">
        <w:r w:rsidRPr="00F80910">
          <w:rPr>
            <w:rStyle w:val="TextoNormalCaracter"/>
          </w:rPr>
          <w:t>186/2015</w:t>
        </w:r>
      </w:hyperlink>
      <w:r w:rsidRPr="00F80910">
        <w:rPr>
          <w:rStyle w:val="TextoNormalCaracter"/>
        </w:rPr>
        <w:t xml:space="preserve">, ff. 2 a 6; </w:t>
      </w:r>
      <w:hyperlink w:anchor="SENTENCIA_2015_207" w:history="1">
        <w:r w:rsidRPr="00F80910">
          <w:rPr>
            <w:rStyle w:val="TextoNormalCaracter"/>
          </w:rPr>
          <w:t>207/2015</w:t>
        </w:r>
      </w:hyperlink>
      <w:r w:rsidRPr="00F80910">
        <w:rPr>
          <w:rStyle w:val="TextoNormalCaracter"/>
        </w:rPr>
        <w:t>, f. 2.</w:t>
      </w:r>
    </w:p>
    <w:p w:rsidR="00F80910" w:rsidRPr="00F80910" w:rsidRDefault="00F80910" w:rsidP="00F80910">
      <w:pPr>
        <w:pStyle w:val="TextoNormalSangraFrancesa"/>
        <w:rPr>
          <w:rStyle w:val="TextoNormalCaracter"/>
        </w:rPr>
      </w:pPr>
      <w:bookmarkStart w:id="1165" w:name="DESCRIPTORALFABETICO242"/>
      <w:r w:rsidRPr="00F80910">
        <w:rPr>
          <w:rStyle w:val="TextoNormalNegritaCaracter"/>
        </w:rPr>
        <w:t>Inadmisión de recurso de amparo</w:t>
      </w:r>
      <w:bookmarkEnd w:id="1165"/>
      <w:r w:rsidRPr="00F80910">
        <w:rPr>
          <w:rStyle w:val="TextoNormalCaracter"/>
        </w:rPr>
        <w:t xml:space="preserve">, Sentencias </w:t>
      </w:r>
      <w:hyperlink w:anchor="SENTENCIA_2015_160" w:history="1">
        <w:r w:rsidRPr="00F80910">
          <w:rPr>
            <w:rStyle w:val="TextoNormalCaracter"/>
          </w:rPr>
          <w:t>160/2015</w:t>
        </w:r>
      </w:hyperlink>
      <w:r w:rsidRPr="00F80910">
        <w:rPr>
          <w:rStyle w:val="TextoNormalCaracter"/>
        </w:rPr>
        <w:t xml:space="preserve">, ff. 2, 3; </w:t>
      </w:r>
      <w:hyperlink w:anchor="SENTENCIA_2015_242" w:history="1">
        <w:r w:rsidRPr="00F80910">
          <w:rPr>
            <w:rStyle w:val="TextoNormalCaracter"/>
          </w:rPr>
          <w:t>242/2015</w:t>
        </w:r>
      </w:hyperlink>
      <w:r w:rsidRPr="00F80910">
        <w:rPr>
          <w:rStyle w:val="TextoNormalCaracter"/>
        </w:rPr>
        <w:t>, ff. 3 a 6.</w:t>
      </w:r>
    </w:p>
    <w:p w:rsidR="00F80910" w:rsidRPr="00F80910" w:rsidRDefault="00F80910" w:rsidP="00F80910">
      <w:pPr>
        <w:pStyle w:val="TextoNormalSangraFrancesa"/>
        <w:rPr>
          <w:rStyle w:val="TextoNormalCaracter"/>
        </w:rPr>
      </w:pPr>
      <w:bookmarkStart w:id="1166" w:name="DESCRIPTORALFABETICO244"/>
      <w:r w:rsidRPr="00F80910">
        <w:rPr>
          <w:rStyle w:val="TextoNormalNegritaCaracter"/>
        </w:rPr>
        <w:t>Inadmisión de recurso de amparo por Auto</w:t>
      </w:r>
      <w:bookmarkEnd w:id="1166"/>
      <w:r w:rsidRPr="00F80910">
        <w:rPr>
          <w:rStyle w:val="TextoNormalCaracter"/>
        </w:rPr>
        <w:t xml:space="preserve">, Auto </w:t>
      </w:r>
      <w:hyperlink w:anchor="AUTO_2015_195" w:history="1">
        <w:r w:rsidRPr="00F80910">
          <w:rPr>
            <w:rStyle w:val="TextoNormalCaracter"/>
          </w:rPr>
          <w:t>195/2015</w:t>
        </w:r>
      </w:hyperlink>
      <w:r w:rsidRPr="00F80910">
        <w:rPr>
          <w:rStyle w:val="TextoNormalCaracter"/>
        </w:rPr>
        <w:t>, f. 2 a 5.</w:t>
      </w:r>
    </w:p>
    <w:p w:rsidR="00F80910" w:rsidRPr="00F80910" w:rsidRDefault="00F80910" w:rsidP="00F80910">
      <w:pPr>
        <w:pStyle w:val="TextoNormalSangraFrancesa"/>
        <w:rPr>
          <w:rStyle w:val="TextoNormalCaracter"/>
        </w:rPr>
      </w:pPr>
      <w:bookmarkStart w:id="1167" w:name="DESCRIPTORALFABETICO583"/>
      <w:r w:rsidRPr="00F80910">
        <w:rPr>
          <w:rStyle w:val="TextoNormalNegritaCaracter"/>
        </w:rPr>
        <w:t>Inadmisión de recurso de apelación civil</w:t>
      </w:r>
      <w:bookmarkEnd w:id="1167"/>
      <w:r w:rsidRPr="00F80910">
        <w:rPr>
          <w:rStyle w:val="TextoNormalCaracter"/>
        </w:rPr>
        <w:t xml:space="preserve">, Sentencia </w:t>
      </w:r>
      <w:hyperlink w:anchor="SENTENCIA_2015_149" w:history="1">
        <w:r w:rsidRPr="00F80910">
          <w:rPr>
            <w:rStyle w:val="TextoNormalCaracter"/>
          </w:rPr>
          <w:t>149/2015</w:t>
        </w:r>
      </w:hyperlink>
      <w:r w:rsidRPr="00F80910">
        <w:rPr>
          <w:rStyle w:val="TextoNormalCaracter"/>
        </w:rPr>
        <w:t>, ff. 1, 2, 4.</w:t>
      </w:r>
    </w:p>
    <w:p w:rsidR="00F80910" w:rsidRPr="00F80910" w:rsidRDefault="00F80910" w:rsidP="00F80910">
      <w:pPr>
        <w:pStyle w:val="TextoNormalSangraFrancesa"/>
        <w:rPr>
          <w:rStyle w:val="TextoNormalCaracter"/>
        </w:rPr>
      </w:pPr>
      <w:bookmarkStart w:id="1168" w:name="DESCRIPTORALFABETICO584"/>
      <w:r w:rsidRPr="00F80910">
        <w:rPr>
          <w:rStyle w:val="TextoNormalNegritaCaracter"/>
        </w:rPr>
        <w:t>Inadmisión de recurso de casación civil</w:t>
      </w:r>
      <w:bookmarkEnd w:id="1168"/>
      <w:r w:rsidRPr="00F80910">
        <w:rPr>
          <w:rStyle w:val="TextoNormalCaracter"/>
        </w:rPr>
        <w:t xml:space="preserve">, Sentencia </w:t>
      </w:r>
      <w:hyperlink w:anchor="SENTENCIA_2015_242" w:history="1">
        <w:r w:rsidRPr="00F80910">
          <w:rPr>
            <w:rStyle w:val="TextoNormalCaracter"/>
          </w:rPr>
          <w:t>242/2015</w:t>
        </w:r>
      </w:hyperlink>
      <w:r w:rsidRPr="00F80910">
        <w:rPr>
          <w:rStyle w:val="TextoNormalCaracter"/>
        </w:rPr>
        <w:t>, f. 5.</w:t>
      </w:r>
    </w:p>
    <w:p w:rsidR="00F80910" w:rsidRPr="00F80910" w:rsidRDefault="00F80910" w:rsidP="00F80910">
      <w:pPr>
        <w:pStyle w:val="TextoNormalSangraFrancesa"/>
        <w:rPr>
          <w:rStyle w:val="TextoNormalCaracter"/>
        </w:rPr>
      </w:pPr>
      <w:bookmarkStart w:id="1169" w:name="DESCRIPTORALFABETICO587"/>
      <w:r w:rsidRPr="00F80910">
        <w:rPr>
          <w:rStyle w:val="TextoNormalNegritaCaracter"/>
        </w:rPr>
        <w:t>Inadmisión de recurso de casación contencioso-administrativo</w:t>
      </w:r>
      <w:bookmarkEnd w:id="1169"/>
      <w:r w:rsidRPr="00F80910">
        <w:rPr>
          <w:rStyle w:val="TextoNormalCaracter"/>
        </w:rPr>
        <w:t xml:space="preserve">, Sentencia </w:t>
      </w:r>
      <w:hyperlink w:anchor="SENTENCIA_2015_179" w:history="1">
        <w:r w:rsidRPr="00F80910">
          <w:rPr>
            <w:rStyle w:val="TextoNormalCaracter"/>
          </w:rPr>
          <w:t>179/2015</w:t>
        </w:r>
      </w:hyperlink>
      <w:r w:rsidRPr="00F80910">
        <w:rPr>
          <w:rStyle w:val="TextoNormalCaracter"/>
        </w:rPr>
        <w:t>, f. 3.</w:t>
      </w:r>
    </w:p>
    <w:p w:rsidR="00F80910" w:rsidRPr="00F80910" w:rsidRDefault="00F80910" w:rsidP="00F80910">
      <w:pPr>
        <w:pStyle w:val="TextoNormalSangraFrancesa"/>
        <w:rPr>
          <w:rStyle w:val="TextoNormalCaracter"/>
        </w:rPr>
      </w:pPr>
      <w:bookmarkStart w:id="1170" w:name="DESCRIPTORALFABETICO223"/>
      <w:r w:rsidRPr="00F80910">
        <w:rPr>
          <w:rStyle w:val="TextoNormalNegritaCaracter"/>
        </w:rPr>
        <w:t>Inadmisión de recurso de inconstitucionalidad</w:t>
      </w:r>
      <w:bookmarkEnd w:id="1170"/>
      <w:r w:rsidRPr="00F80910">
        <w:rPr>
          <w:rStyle w:val="TextoNormalCaracter"/>
        </w:rPr>
        <w:t xml:space="preserve">, Auto </w:t>
      </w:r>
      <w:hyperlink w:anchor="AUTO_2015_139" w:history="1">
        <w:r w:rsidRPr="00F80910">
          <w:rPr>
            <w:rStyle w:val="TextoNormalCaracter"/>
          </w:rPr>
          <w:t>139/2015</w:t>
        </w:r>
      </w:hyperlink>
      <w:r w:rsidRPr="00F80910">
        <w:rPr>
          <w:rStyle w:val="TextoNormalCaracter"/>
        </w:rPr>
        <w:t>, f. único.</w:t>
      </w:r>
    </w:p>
    <w:p w:rsidR="00F80910" w:rsidRPr="00F80910" w:rsidRDefault="00F80910" w:rsidP="00F80910">
      <w:pPr>
        <w:pStyle w:val="TextoNormalSangraFrancesa"/>
        <w:rPr>
          <w:rStyle w:val="TextoNormalCaracter"/>
        </w:rPr>
      </w:pPr>
      <w:bookmarkStart w:id="1171" w:name="DESCRIPTORALFABETICO567"/>
      <w:r w:rsidRPr="00F80910">
        <w:rPr>
          <w:rStyle w:val="TextoNormalNegritaCaracter"/>
        </w:rPr>
        <w:t>Inadmisión por falta de requisitos procesales</w:t>
      </w:r>
      <w:bookmarkEnd w:id="1171"/>
      <w:r w:rsidRPr="00F80910">
        <w:rPr>
          <w:rStyle w:val="TextoNormalCaracter"/>
        </w:rPr>
        <w:t xml:space="preserve">, Auto </w:t>
      </w:r>
      <w:hyperlink w:anchor="AUTO_2015_183" w:history="1">
        <w:r w:rsidRPr="00F80910">
          <w:rPr>
            <w:rStyle w:val="TextoNormalCaracter"/>
          </w:rPr>
          <w:t>183/2015</w:t>
        </w:r>
      </w:hyperlink>
      <w:r w:rsidRPr="00F80910">
        <w:rPr>
          <w:rStyle w:val="TextoNormalCaracter"/>
        </w:rPr>
        <w:t>, f. 2, 3, 5.</w:t>
      </w:r>
    </w:p>
    <w:p w:rsidR="00F80910" w:rsidRPr="00F80910" w:rsidRDefault="00F80910" w:rsidP="00F80910">
      <w:pPr>
        <w:pStyle w:val="TextoNormalSangraFrancesa"/>
        <w:rPr>
          <w:rStyle w:val="TextoNormalCaracter"/>
        </w:rPr>
      </w:pPr>
      <w:bookmarkStart w:id="1172" w:name="DESCRIPTORALFABETICO198"/>
      <w:r w:rsidRPr="00F80910">
        <w:rPr>
          <w:rStyle w:val="TextoNormalNegritaCaracter"/>
        </w:rPr>
        <w:t>Inadmisión por insuficiencia de número de municipios legitimados</w:t>
      </w:r>
      <w:bookmarkEnd w:id="1172"/>
      <w:r w:rsidRPr="00F80910">
        <w:rPr>
          <w:rStyle w:val="TextoNormalCaracter"/>
        </w:rPr>
        <w:t xml:space="preserve">, Auto </w:t>
      </w:r>
      <w:hyperlink w:anchor="AUTO_2015_149" w:history="1">
        <w:r w:rsidRPr="00F80910">
          <w:rPr>
            <w:rStyle w:val="TextoNormalCaracter"/>
          </w:rPr>
          <w:t>149/2015</w:t>
        </w:r>
      </w:hyperlink>
      <w:r w:rsidRPr="00F80910">
        <w:rPr>
          <w:rStyle w:val="TextoNormalCaracter"/>
        </w:rPr>
        <w:t>.</w:t>
      </w:r>
    </w:p>
    <w:p w:rsidR="00F80910" w:rsidRPr="00F80910" w:rsidRDefault="00F80910" w:rsidP="00F80910">
      <w:pPr>
        <w:pStyle w:val="TextoNormalSangraFrancesa"/>
        <w:rPr>
          <w:rStyle w:val="TextoNormalCaracter"/>
        </w:rPr>
      </w:pPr>
      <w:bookmarkStart w:id="1173" w:name="DESCRIPTORALFABETICO568"/>
      <w:r w:rsidRPr="00F80910">
        <w:rPr>
          <w:rStyle w:val="TextoNormalNegritaCaracter"/>
        </w:rPr>
        <w:t>Inadmisión por no citar el precepto infringido</w:t>
      </w:r>
      <w:bookmarkEnd w:id="1173"/>
      <w:r w:rsidRPr="00F80910">
        <w:rPr>
          <w:rStyle w:val="TextoNormalCaracter"/>
        </w:rPr>
        <w:t xml:space="preserve">, Sentencia </w:t>
      </w:r>
      <w:hyperlink w:anchor="SENTENCIA_2015_179" w:history="1">
        <w:r w:rsidRPr="00F80910">
          <w:rPr>
            <w:rStyle w:val="TextoNormalCaracter"/>
          </w:rPr>
          <w:t>179/2015</w:t>
        </w:r>
      </w:hyperlink>
      <w:r w:rsidRPr="00F80910">
        <w:rPr>
          <w:rStyle w:val="TextoNormalCaracter"/>
        </w:rPr>
        <w:t>, f. 3.</w:t>
      </w:r>
    </w:p>
    <w:p w:rsidR="00F80910" w:rsidRPr="00F80910" w:rsidRDefault="00F80910" w:rsidP="00F80910">
      <w:pPr>
        <w:pStyle w:val="TextoNormalSangraFrancesa"/>
        <w:rPr>
          <w:rStyle w:val="TextoNormalCaracter"/>
        </w:rPr>
      </w:pPr>
      <w:bookmarkStart w:id="1174" w:name="DESCRIPTORALFABETICO552"/>
      <w:r w:rsidRPr="00F80910">
        <w:rPr>
          <w:rStyle w:val="TextoNormalNegritaCaracter"/>
        </w:rPr>
        <w:t>Incidente de nulidad de actuaciones</w:t>
      </w:r>
      <w:bookmarkEnd w:id="1174"/>
      <w:r w:rsidRPr="00F80910">
        <w:rPr>
          <w:rStyle w:val="TextoNormalCaracter"/>
        </w:rPr>
        <w:t xml:space="preserve">, Sentencias </w:t>
      </w:r>
      <w:hyperlink w:anchor="SENTENCIA_2015_180" w:history="1">
        <w:r w:rsidRPr="00F80910">
          <w:rPr>
            <w:rStyle w:val="TextoNormalCaracter"/>
          </w:rPr>
          <w:t>180/2015</w:t>
        </w:r>
      </w:hyperlink>
      <w:r w:rsidRPr="00F80910">
        <w:rPr>
          <w:rStyle w:val="TextoNormalCaracter"/>
        </w:rPr>
        <w:t xml:space="preserve">; </w:t>
      </w:r>
      <w:hyperlink w:anchor="SENTENCIA_2015_208" w:history="1">
        <w:r w:rsidRPr="00F80910">
          <w:rPr>
            <w:rStyle w:val="TextoNormalCaracter"/>
          </w:rPr>
          <w:t>208/2015</w:t>
        </w:r>
      </w:hyperlink>
      <w:r w:rsidRPr="00F80910">
        <w:rPr>
          <w:rStyle w:val="TextoNormalCaracter"/>
        </w:rPr>
        <w:t>, ff. 3 a 5.</w:t>
      </w:r>
    </w:p>
    <w:p w:rsidR="00F80910" w:rsidRPr="00F80910" w:rsidRDefault="00F80910" w:rsidP="00F80910">
      <w:pPr>
        <w:pStyle w:val="TextoNormalSangraFrancesa"/>
        <w:rPr>
          <w:rStyle w:val="TextoNormalCaracter"/>
        </w:rPr>
      </w:pPr>
      <w:bookmarkStart w:id="1175" w:name="DESCRIPTORALFABETICO554"/>
      <w:r w:rsidRPr="00F80910">
        <w:rPr>
          <w:rStyle w:val="TextoNormalNegritaCaracter"/>
        </w:rPr>
        <w:t>Incidente de suspensión</w:t>
      </w:r>
      <w:bookmarkEnd w:id="1175"/>
      <w:r w:rsidRPr="00F80910">
        <w:rPr>
          <w:rStyle w:val="TextoNormalCaracter"/>
        </w:rPr>
        <w:t xml:space="preserve">, Auto </w:t>
      </w:r>
      <w:hyperlink w:anchor="AUTO_2015_202" w:history="1">
        <w:r w:rsidRPr="00F80910">
          <w:rPr>
            <w:rStyle w:val="TextoNormalCaracter"/>
          </w:rPr>
          <w:t>202/2015</w:t>
        </w:r>
      </w:hyperlink>
      <w:r w:rsidRPr="00F80910">
        <w:rPr>
          <w:rStyle w:val="TextoNormalCaracter"/>
        </w:rPr>
        <w:t>, f. 2.</w:t>
      </w:r>
    </w:p>
    <w:p w:rsidR="00F80910" w:rsidRPr="00F80910" w:rsidRDefault="00F80910" w:rsidP="00F80910">
      <w:pPr>
        <w:pStyle w:val="TextoNormalSangraFrancesa"/>
        <w:rPr>
          <w:rStyle w:val="TextoNormalCaracter"/>
        </w:rPr>
      </w:pPr>
      <w:bookmarkStart w:id="1176" w:name="DESCRIPTORALFABETICO542"/>
      <w:r w:rsidRPr="00F80910">
        <w:rPr>
          <w:rStyle w:val="TextoNormalNegritaCaracter"/>
        </w:rPr>
        <w:t>Incomparecencia de abogado</w:t>
      </w:r>
      <w:bookmarkEnd w:id="1176"/>
      <w:r w:rsidRPr="00F80910">
        <w:rPr>
          <w:rStyle w:val="TextoNormalCaracter"/>
        </w:rPr>
        <w:t xml:space="preserve">, Sentencia </w:t>
      </w:r>
      <w:hyperlink w:anchor="SENTENCIA_2015_194" w:history="1">
        <w:r w:rsidRPr="00F80910">
          <w:rPr>
            <w:rStyle w:val="TextoNormalCaracter"/>
          </w:rPr>
          <w:t>194/2015</w:t>
        </w:r>
      </w:hyperlink>
      <w:r w:rsidRPr="00F80910">
        <w:rPr>
          <w:rStyle w:val="TextoNormalCaracter"/>
        </w:rPr>
        <w:t>, ff. 3, 6.</w:t>
      </w:r>
    </w:p>
    <w:p w:rsidR="00F80910" w:rsidRPr="00F80910" w:rsidRDefault="00F80910" w:rsidP="00F80910">
      <w:pPr>
        <w:pStyle w:val="TextoNormalSangraFrancesa"/>
        <w:rPr>
          <w:rStyle w:val="TextoNormalCaracter"/>
        </w:rPr>
      </w:pPr>
      <w:bookmarkStart w:id="1177" w:name="DESCRIPTORALFABETICO543"/>
      <w:r w:rsidRPr="00F80910">
        <w:rPr>
          <w:rStyle w:val="TextoNormalNegritaCaracter"/>
        </w:rPr>
        <w:t>Incomparecencia de procurador</w:t>
      </w:r>
      <w:bookmarkEnd w:id="1177"/>
      <w:r w:rsidRPr="00F80910">
        <w:rPr>
          <w:rStyle w:val="TextoNormalCaracter"/>
        </w:rPr>
        <w:t xml:space="preserve">, Sentencia </w:t>
      </w:r>
      <w:hyperlink w:anchor="SENTENCIA_2015_194" w:history="1">
        <w:r w:rsidRPr="00F80910">
          <w:rPr>
            <w:rStyle w:val="TextoNormalCaracter"/>
          </w:rPr>
          <w:t>194/2015</w:t>
        </w:r>
      </w:hyperlink>
      <w:r w:rsidRPr="00F80910">
        <w:rPr>
          <w:rStyle w:val="TextoNormalCaracter"/>
        </w:rPr>
        <w:t>, ff. 3, 6.</w:t>
      </w:r>
    </w:p>
    <w:p w:rsidR="00F80910" w:rsidRPr="00F80910" w:rsidRDefault="00F80910" w:rsidP="00F80910">
      <w:pPr>
        <w:pStyle w:val="TextoNormalSangraFrancesa"/>
        <w:rPr>
          <w:rStyle w:val="TextoNormalCaracter"/>
        </w:rPr>
      </w:pPr>
      <w:bookmarkStart w:id="1178" w:name="DESCRIPTORALFABETICO544"/>
      <w:r w:rsidRPr="00F80910">
        <w:rPr>
          <w:rStyle w:val="TextoNormalNegritaCaracter"/>
        </w:rPr>
        <w:t>Incomparecencia en el acto de la vista</w:t>
      </w:r>
      <w:bookmarkEnd w:id="1178"/>
      <w:r w:rsidRPr="00F80910">
        <w:rPr>
          <w:rStyle w:val="TextoNormalCaracter"/>
        </w:rPr>
        <w:t xml:space="preserve">, Sentencia </w:t>
      </w:r>
      <w:hyperlink w:anchor="SENTENCIA_2015_194" w:history="1">
        <w:r w:rsidRPr="00F80910">
          <w:rPr>
            <w:rStyle w:val="TextoNormalCaracter"/>
          </w:rPr>
          <w:t>194/2015</w:t>
        </w:r>
      </w:hyperlink>
      <w:r w:rsidRPr="00F80910">
        <w:rPr>
          <w:rStyle w:val="TextoNormalCaracter"/>
        </w:rPr>
        <w:t>, ff. 3, 6.</w:t>
      </w:r>
    </w:p>
    <w:p w:rsidR="00F80910" w:rsidRPr="00F80910" w:rsidRDefault="00F80910" w:rsidP="00F80910">
      <w:pPr>
        <w:pStyle w:val="TextoNormalSangraFrancesa"/>
        <w:rPr>
          <w:rStyle w:val="TextoNormalCaracter"/>
        </w:rPr>
      </w:pPr>
      <w:bookmarkStart w:id="1179" w:name="DESCRIPTORALFABETICO105"/>
      <w:r w:rsidRPr="00F80910">
        <w:rPr>
          <w:rStyle w:val="TextoNormalNegritaCaracter"/>
        </w:rPr>
        <w:t>Incongruencia de las sentencias</w:t>
      </w:r>
      <w:bookmarkEnd w:id="1179"/>
      <w:r w:rsidRPr="00F80910">
        <w:rPr>
          <w:rStyle w:val="TextoNormalCaracter"/>
        </w:rPr>
        <w:t xml:space="preserve">, Sentencia </w:t>
      </w:r>
      <w:hyperlink w:anchor="SENTENCIA_2015_152" w:history="1">
        <w:r w:rsidRPr="00F80910">
          <w:rPr>
            <w:rStyle w:val="TextoNormalCaracter"/>
          </w:rPr>
          <w:t>152/2015</w:t>
        </w:r>
      </w:hyperlink>
      <w:r w:rsidRPr="00F80910">
        <w:rPr>
          <w:rStyle w:val="TextoNormalCaracter"/>
        </w:rPr>
        <w:t>, ff. 6, 7.</w:t>
      </w:r>
    </w:p>
    <w:p w:rsidR="00F80910" w:rsidRPr="00F80910" w:rsidRDefault="00F80910" w:rsidP="00F80910">
      <w:pPr>
        <w:pStyle w:val="TextoNormalSangraFrancesa"/>
        <w:rPr>
          <w:rStyle w:val="TextoNormalCaracter"/>
        </w:rPr>
      </w:pPr>
      <w:bookmarkStart w:id="1180" w:name="DESCRIPTORALFABETICO214"/>
      <w:r w:rsidRPr="00F80910">
        <w:rPr>
          <w:rStyle w:val="TextoNormalNegritaCaracter"/>
        </w:rPr>
        <w:t>Inconstitucionalidad mediata</w:t>
      </w:r>
      <w:bookmarkEnd w:id="1180"/>
      <w:r w:rsidRPr="00F80910">
        <w:rPr>
          <w:rStyle w:val="TextoNormalCaracter"/>
        </w:rPr>
        <w:t xml:space="preserve">, Sentencias </w:t>
      </w:r>
      <w:hyperlink w:anchor="SENTENCIA_2015_214" w:history="1">
        <w:r w:rsidRPr="00F80910">
          <w:rPr>
            <w:rStyle w:val="TextoNormalCaracter"/>
          </w:rPr>
          <w:t>214/2015</w:t>
        </w:r>
      </w:hyperlink>
      <w:r w:rsidRPr="00F80910">
        <w:rPr>
          <w:rStyle w:val="TextoNormalCaracter"/>
        </w:rPr>
        <w:t xml:space="preserve">, f. 2; </w:t>
      </w:r>
      <w:hyperlink w:anchor="SENTENCIA_2015_229" w:history="1">
        <w:r w:rsidRPr="00F80910">
          <w:rPr>
            <w:rStyle w:val="TextoNormalCaracter"/>
          </w:rPr>
          <w:t>229/2015</w:t>
        </w:r>
      </w:hyperlink>
      <w:r w:rsidRPr="00F80910">
        <w:rPr>
          <w:rStyle w:val="TextoNormalCaracter"/>
        </w:rPr>
        <w:t xml:space="preserve">, f. 6; </w:t>
      </w:r>
      <w:hyperlink w:anchor="SENTENCIA_2015_235" w:history="1">
        <w:r w:rsidRPr="00F80910">
          <w:rPr>
            <w:rStyle w:val="TextoNormalCaracter"/>
          </w:rPr>
          <w:t>235/2015</w:t>
        </w:r>
      </w:hyperlink>
      <w:r w:rsidRPr="00F80910">
        <w:rPr>
          <w:rStyle w:val="TextoNormalCaracter"/>
        </w:rPr>
        <w:t xml:space="preserve">, f. 4; </w:t>
      </w:r>
      <w:hyperlink w:anchor="SENTENCIA_2015_237" w:history="1">
        <w:r w:rsidRPr="00F80910">
          <w:rPr>
            <w:rStyle w:val="TextoNormalCaracter"/>
          </w:rPr>
          <w:t>237/2015</w:t>
        </w:r>
      </w:hyperlink>
      <w:r w:rsidRPr="00F80910">
        <w:rPr>
          <w:rStyle w:val="TextoNormalCaracter"/>
        </w:rPr>
        <w:t xml:space="preserve">, ff. 1, 6; </w:t>
      </w:r>
      <w:hyperlink w:anchor="SENTENCIA_2015_238" w:history="1">
        <w:r w:rsidRPr="00F80910">
          <w:rPr>
            <w:rStyle w:val="TextoNormalCaracter"/>
          </w:rPr>
          <w:t>238/2015</w:t>
        </w:r>
      </w:hyperlink>
      <w:r w:rsidRPr="00F80910">
        <w:rPr>
          <w:rStyle w:val="TextoNormalCaracter"/>
        </w:rPr>
        <w:t xml:space="preserve">, f. 7; </w:t>
      </w:r>
      <w:hyperlink w:anchor="SENTENCIA_2015_260" w:history="1">
        <w:r w:rsidRPr="00F80910">
          <w:rPr>
            <w:rStyle w:val="TextoNormalCaracter"/>
          </w:rPr>
          <w:t>260/2015</w:t>
        </w:r>
      </w:hyperlink>
      <w:r w:rsidRPr="00F80910">
        <w:rPr>
          <w:rStyle w:val="TextoNormalCaracter"/>
        </w:rPr>
        <w:t>, f. 3.</w:t>
      </w:r>
    </w:p>
    <w:p w:rsidR="00F80910" w:rsidRPr="00F80910" w:rsidRDefault="00F80910" w:rsidP="00F80910">
      <w:pPr>
        <w:pStyle w:val="TextoNormalSangraFrancesa"/>
        <w:rPr>
          <w:rStyle w:val="TextoNormalCaracter"/>
        </w:rPr>
      </w:pPr>
      <w:bookmarkStart w:id="1181" w:name="DESCRIPTORALFABETICO57"/>
      <w:r w:rsidRPr="00F80910">
        <w:rPr>
          <w:rStyle w:val="TextoNormalNegritaCaracter"/>
        </w:rPr>
        <w:t>Incumplimiento de obligaciones tributarias</w:t>
      </w:r>
      <w:bookmarkEnd w:id="1181"/>
      <w:r w:rsidRPr="00F80910">
        <w:rPr>
          <w:rStyle w:val="TextoNormalCaracter"/>
        </w:rPr>
        <w:t xml:space="preserve">, Sentencia </w:t>
      </w:r>
      <w:hyperlink w:anchor="SENTENCIA_2015_150" w:history="1">
        <w:r w:rsidRPr="00F80910">
          <w:rPr>
            <w:rStyle w:val="TextoNormalCaracter"/>
          </w:rPr>
          <w:t>150/2015</w:t>
        </w:r>
      </w:hyperlink>
      <w:r w:rsidRPr="00F80910">
        <w:rPr>
          <w:rStyle w:val="TextoNormalCaracter"/>
        </w:rPr>
        <w:t>, f. 3.</w:t>
      </w:r>
    </w:p>
    <w:p w:rsidR="00F80910" w:rsidRPr="00F80910" w:rsidRDefault="00F80910" w:rsidP="00F80910">
      <w:pPr>
        <w:pStyle w:val="TextoNormalSangraFrancesa"/>
        <w:rPr>
          <w:rStyle w:val="TextoNormalCaracter"/>
        </w:rPr>
      </w:pPr>
      <w:bookmarkStart w:id="1182" w:name="DESCRIPTORALFABETICO239"/>
      <w:r w:rsidRPr="00F80910">
        <w:rPr>
          <w:rStyle w:val="TextoNormalNegritaCaracter"/>
        </w:rPr>
        <w:t>Incumplimiento generalizado de la doctrina constitucional</w:t>
      </w:r>
      <w:bookmarkEnd w:id="1182"/>
      <w:r w:rsidRPr="00F80910">
        <w:rPr>
          <w:rStyle w:val="TextoNormalCaracter"/>
        </w:rPr>
        <w:t xml:space="preserve">, Sentencias </w:t>
      </w:r>
      <w:hyperlink w:anchor="SENTENCIA_2015_186" w:history="1">
        <w:r w:rsidRPr="00F80910">
          <w:rPr>
            <w:rStyle w:val="TextoNormalCaracter"/>
          </w:rPr>
          <w:t>186/2015</w:t>
        </w:r>
      </w:hyperlink>
      <w:r w:rsidRPr="00F80910">
        <w:rPr>
          <w:rStyle w:val="TextoNormalCaracter"/>
        </w:rPr>
        <w:t xml:space="preserve">, f. 2; </w:t>
      </w:r>
      <w:hyperlink w:anchor="SENTENCIA_2015_204" w:history="1">
        <w:r w:rsidRPr="00F80910">
          <w:rPr>
            <w:rStyle w:val="TextoNormalCaracter"/>
          </w:rPr>
          <w:t>204/2015</w:t>
        </w:r>
      </w:hyperlink>
      <w:r w:rsidRPr="00F80910">
        <w:rPr>
          <w:rStyle w:val="TextoNormalCaracter"/>
        </w:rPr>
        <w:t>, f. 2.</w:t>
      </w:r>
    </w:p>
    <w:p w:rsidR="00F80910" w:rsidRPr="00F80910" w:rsidRDefault="00F80910" w:rsidP="00F80910">
      <w:pPr>
        <w:pStyle w:val="TextoNormalSangraFrancesa"/>
        <w:rPr>
          <w:rStyle w:val="TextoNormalCaracter"/>
        </w:rPr>
      </w:pPr>
      <w:bookmarkStart w:id="1183" w:name="DESCRIPTORALFABETICO117"/>
      <w:r w:rsidRPr="00F80910">
        <w:rPr>
          <w:rStyle w:val="TextoNormalNegritaCaracter"/>
        </w:rPr>
        <w:t>Indefensión imputable al órgano judicial</w:t>
      </w:r>
      <w:bookmarkEnd w:id="1183"/>
      <w:r w:rsidRPr="00F80910">
        <w:rPr>
          <w:rStyle w:val="TextoNormalCaracter"/>
        </w:rPr>
        <w:t xml:space="preserve">, Sentencia </w:t>
      </w:r>
      <w:hyperlink w:anchor="SENTENCIA_2015_266" w:history="1">
        <w:r w:rsidRPr="00F80910">
          <w:rPr>
            <w:rStyle w:val="TextoNormalCaracter"/>
          </w:rPr>
          <w:t>266/2015</w:t>
        </w:r>
      </w:hyperlink>
      <w:r w:rsidRPr="00F80910">
        <w:rPr>
          <w:rStyle w:val="TextoNormalCaracter"/>
        </w:rPr>
        <w:t>, ff. 4, 5.</w:t>
      </w:r>
    </w:p>
    <w:p w:rsidR="00F80910" w:rsidRPr="00F80910" w:rsidRDefault="00F80910" w:rsidP="00F80910">
      <w:pPr>
        <w:pStyle w:val="TextoNormalSangraFrancesa"/>
        <w:rPr>
          <w:rStyle w:val="TextoNormalCaracter"/>
        </w:rPr>
      </w:pPr>
      <w:bookmarkStart w:id="1184" w:name="DESCRIPTORALFABETICO118"/>
      <w:r w:rsidRPr="00F80910">
        <w:rPr>
          <w:rStyle w:val="TextoNormalNegritaCaracter"/>
        </w:rPr>
        <w:t>Indefensión material</w:t>
      </w:r>
      <w:bookmarkEnd w:id="1184"/>
      <w:r w:rsidRPr="00F80910">
        <w:rPr>
          <w:rStyle w:val="TextoNormalCaracter"/>
        </w:rPr>
        <w:t xml:space="preserve">, Sentencias </w:t>
      </w:r>
      <w:hyperlink w:anchor="SENTENCIA_2015_195" w:history="1">
        <w:r w:rsidRPr="00F80910">
          <w:rPr>
            <w:rStyle w:val="TextoNormalCaracter"/>
          </w:rPr>
          <w:t>195/2015</w:t>
        </w:r>
      </w:hyperlink>
      <w:r w:rsidRPr="00F80910">
        <w:rPr>
          <w:rStyle w:val="TextoNormalCaracter"/>
        </w:rPr>
        <w:t xml:space="preserve">, f. 3; </w:t>
      </w:r>
      <w:hyperlink w:anchor="SENTENCIA_2015_266" w:history="1">
        <w:r w:rsidRPr="00F80910">
          <w:rPr>
            <w:rStyle w:val="TextoNormalCaracter"/>
          </w:rPr>
          <w:t>266/2015</w:t>
        </w:r>
      </w:hyperlink>
      <w:r w:rsidRPr="00F80910">
        <w:rPr>
          <w:rStyle w:val="TextoNormalCaracter"/>
        </w:rPr>
        <w:t>, ff. 4, 5.</w:t>
      </w:r>
    </w:p>
    <w:p w:rsidR="00F80910" w:rsidRPr="00F80910" w:rsidRDefault="00F80910" w:rsidP="00F80910">
      <w:pPr>
        <w:pStyle w:val="TextoNormalSangraFrancesa"/>
        <w:rPr>
          <w:rStyle w:val="TextoNormalCaracter"/>
        </w:rPr>
      </w:pPr>
      <w:bookmarkStart w:id="1185" w:name="DESCRIPTORALFABETICO495"/>
      <w:r w:rsidRPr="00F80910">
        <w:rPr>
          <w:rStyle w:val="TextoNormalNegritaCaracter"/>
        </w:rPr>
        <w:t>Indulto</w:t>
      </w:r>
      <w:bookmarkEnd w:id="1185"/>
      <w:r w:rsidRPr="00F80910">
        <w:rPr>
          <w:rStyle w:val="TextoNormalCaracter"/>
        </w:rPr>
        <w:t xml:space="preserve">, Sentencia </w:t>
      </w:r>
      <w:hyperlink w:anchor="SENTENCIA_2015_226" w:history="1">
        <w:r w:rsidRPr="00F80910">
          <w:rPr>
            <w:rStyle w:val="TextoNormalCaracter"/>
          </w:rPr>
          <w:t>226/2015</w:t>
        </w:r>
      </w:hyperlink>
      <w:r w:rsidRPr="00F80910">
        <w:rPr>
          <w:rStyle w:val="TextoNormalCaracter"/>
        </w:rPr>
        <w:t>, ff. 2, 4, 6.</w:t>
      </w:r>
    </w:p>
    <w:p w:rsidR="00F80910" w:rsidRPr="00F80910" w:rsidRDefault="00F80910" w:rsidP="00F80910">
      <w:pPr>
        <w:pStyle w:val="TextoNormalSangraFrancesa"/>
        <w:rPr>
          <w:rStyle w:val="TextoNormalCaracter"/>
        </w:rPr>
      </w:pPr>
      <w:bookmarkStart w:id="1186" w:name="DESCRIPTORALFABETICO477"/>
      <w:r w:rsidRPr="00F80910">
        <w:rPr>
          <w:rStyle w:val="TextoNormalNegritaCaracter"/>
        </w:rPr>
        <w:t>Inexistencia de reserva reglamentaria</w:t>
      </w:r>
      <w:bookmarkEnd w:id="1186"/>
      <w:r w:rsidRPr="00F80910">
        <w:rPr>
          <w:rStyle w:val="TextoNormalCaracter"/>
        </w:rPr>
        <w:t xml:space="preserve">, Sentencia </w:t>
      </w:r>
      <w:hyperlink w:anchor="SENTENCIA_2015_199" w:history="1">
        <w:r w:rsidRPr="00F80910">
          <w:rPr>
            <w:rStyle w:val="TextoNormalCaracter"/>
          </w:rPr>
          <w:t>199/2015</w:t>
        </w:r>
      </w:hyperlink>
      <w:r w:rsidRPr="00F80910">
        <w:rPr>
          <w:rStyle w:val="TextoNormalCaracter"/>
        </w:rPr>
        <w:t>, ff. 7, 8.</w:t>
      </w:r>
    </w:p>
    <w:p w:rsidR="00F80910" w:rsidRPr="00F80910" w:rsidRDefault="00F80910" w:rsidP="00F80910">
      <w:pPr>
        <w:pStyle w:val="TextoNormalSangraFrancesa"/>
        <w:rPr>
          <w:rStyle w:val="TextoNormalCaracter"/>
        </w:rPr>
      </w:pPr>
      <w:bookmarkStart w:id="1187" w:name="DESCRIPTORALFABETICO512"/>
      <w:r w:rsidRPr="00F80910">
        <w:rPr>
          <w:rStyle w:val="TextoNormalNegritaCaracter"/>
        </w:rPr>
        <w:t>Infracciones en materia de empleo</w:t>
      </w:r>
      <w:bookmarkEnd w:id="1187"/>
      <w:r w:rsidRPr="00F80910">
        <w:rPr>
          <w:rStyle w:val="TextoNormalCaracter"/>
        </w:rPr>
        <w:t xml:space="preserve">, Sentencia </w:t>
      </w:r>
      <w:hyperlink w:anchor="SENTENCIA_2015_272" w:history="1">
        <w:r w:rsidRPr="00F80910">
          <w:rPr>
            <w:rStyle w:val="TextoNormalCaracter"/>
          </w:rPr>
          <w:t>272/2015</w:t>
        </w:r>
      </w:hyperlink>
      <w:r w:rsidRPr="00F80910">
        <w:rPr>
          <w:rStyle w:val="TextoNormalCaracter"/>
        </w:rPr>
        <w:t>, ff. 3, 4.</w:t>
      </w:r>
    </w:p>
    <w:p w:rsidR="00F80910" w:rsidRPr="00F80910" w:rsidRDefault="00F80910" w:rsidP="00F80910">
      <w:pPr>
        <w:pStyle w:val="TextoNormalSangraFrancesa"/>
        <w:rPr>
          <w:rStyle w:val="TextoNormalCaracter"/>
        </w:rPr>
      </w:pPr>
      <w:bookmarkStart w:id="1188" w:name="DESCRIPTORALFABETICO356"/>
      <w:r w:rsidRPr="00F80910">
        <w:rPr>
          <w:rStyle w:val="TextoNormalNegritaCaracter"/>
        </w:rPr>
        <w:t>Infracciones tributarias</w:t>
      </w:r>
      <w:bookmarkEnd w:id="1188"/>
      <w:r w:rsidRPr="00F80910">
        <w:rPr>
          <w:rStyle w:val="TextoNormalCaracter"/>
        </w:rPr>
        <w:t xml:space="preserve">, Sentencia </w:t>
      </w:r>
      <w:hyperlink w:anchor="SENTENCIA_2015_150" w:history="1">
        <w:r w:rsidRPr="00F80910">
          <w:rPr>
            <w:rStyle w:val="TextoNormalCaracter"/>
          </w:rPr>
          <w:t>150/2015</w:t>
        </w:r>
      </w:hyperlink>
      <w:r w:rsidRPr="00F80910">
        <w:rPr>
          <w:rStyle w:val="TextoNormalCaracter"/>
        </w:rPr>
        <w:t>, ff. 1, 3, 4.</w:t>
      </w:r>
    </w:p>
    <w:p w:rsidR="00F80910" w:rsidRPr="00F80910" w:rsidRDefault="00F80910" w:rsidP="00F80910">
      <w:pPr>
        <w:pStyle w:val="TextoNormalSangraFrancesa"/>
        <w:rPr>
          <w:rStyle w:val="TextoNormalCaracter"/>
        </w:rPr>
      </w:pPr>
      <w:bookmarkStart w:id="1189" w:name="DESCRIPTORALFABETICO409"/>
      <w:r w:rsidRPr="00F80910">
        <w:rPr>
          <w:rStyle w:val="TextoNormalNegritaCaracter"/>
        </w:rPr>
        <w:t>Injurias al Jefe del Estado</w:t>
      </w:r>
      <w:bookmarkEnd w:id="1189"/>
      <w:r w:rsidRPr="00F80910">
        <w:rPr>
          <w:rStyle w:val="TextoNormalCaracter"/>
        </w:rPr>
        <w:t xml:space="preserve">, Sentencia </w:t>
      </w:r>
      <w:hyperlink w:anchor="SENTENCIA_2015_177" w:history="1">
        <w:r w:rsidRPr="00F80910">
          <w:rPr>
            <w:rStyle w:val="TextoNormalCaracter"/>
          </w:rPr>
          <w:t>177/2015</w:t>
        </w:r>
      </w:hyperlink>
      <w:r w:rsidRPr="00F80910">
        <w:rPr>
          <w:rStyle w:val="TextoNormalCaracter"/>
        </w:rPr>
        <w:t>, ff, 1, 3, 5, VP III.</w:t>
      </w:r>
    </w:p>
    <w:p w:rsidR="00F80910" w:rsidRPr="00F80910" w:rsidRDefault="00F80910" w:rsidP="00F80910">
      <w:pPr>
        <w:pStyle w:val="TextoNormalSangraFrancesa"/>
        <w:rPr>
          <w:rStyle w:val="TextoNormalCaracter"/>
        </w:rPr>
      </w:pPr>
      <w:bookmarkStart w:id="1190" w:name="DESCRIPTORALFABETICO498"/>
      <w:r w:rsidRPr="00F80910">
        <w:rPr>
          <w:rStyle w:val="TextoNormalNegritaCaracter"/>
        </w:rPr>
        <w:t>Inscripción en la Oficina de Empleo</w:t>
      </w:r>
      <w:bookmarkEnd w:id="1190"/>
      <w:r w:rsidRPr="00F80910">
        <w:rPr>
          <w:rStyle w:val="TextoNormalCaracter"/>
        </w:rPr>
        <w:t xml:space="preserve">, Sentencia </w:t>
      </w:r>
      <w:hyperlink w:anchor="SENTENCIA_2015_272" w:history="1">
        <w:r w:rsidRPr="00F80910">
          <w:rPr>
            <w:rStyle w:val="TextoNormalCaracter"/>
          </w:rPr>
          <w:t>272/2015</w:t>
        </w:r>
      </w:hyperlink>
      <w:r w:rsidRPr="00F80910">
        <w:rPr>
          <w:rStyle w:val="TextoNormalCaracter"/>
        </w:rPr>
        <w:t>, ff. 3, 4.</w:t>
      </w:r>
    </w:p>
    <w:p w:rsidR="00F80910" w:rsidRPr="00F80910" w:rsidRDefault="00F80910" w:rsidP="00F80910">
      <w:pPr>
        <w:pStyle w:val="TextoNormalSangraFrancesa"/>
        <w:rPr>
          <w:rStyle w:val="TextoNormalCaracter"/>
        </w:rPr>
      </w:pPr>
      <w:bookmarkStart w:id="1191" w:name="DESCRIPTORALFABETICO343"/>
      <w:r w:rsidRPr="00F80910">
        <w:rPr>
          <w:rStyle w:val="TextoNormalNegritaCaracter"/>
        </w:rPr>
        <w:t>Inscripciones registrales</w:t>
      </w:r>
      <w:bookmarkEnd w:id="1191"/>
      <w:r w:rsidRPr="00F80910">
        <w:rPr>
          <w:rStyle w:val="TextoNormalCaracter"/>
        </w:rPr>
        <w:t xml:space="preserve">, Sentencia </w:t>
      </w:r>
      <w:hyperlink w:anchor="SENTENCIA_2015_266" w:history="1">
        <w:r w:rsidRPr="00F80910">
          <w:rPr>
            <w:rStyle w:val="TextoNormalCaracter"/>
          </w:rPr>
          <w:t>266/2015</w:t>
        </w:r>
      </w:hyperlink>
      <w:r w:rsidRPr="00F80910">
        <w:rPr>
          <w:rStyle w:val="TextoNormalCaracter"/>
        </w:rPr>
        <w:t>, f. 1.</w:t>
      </w:r>
    </w:p>
    <w:p w:rsidR="00F80910" w:rsidRPr="00F80910" w:rsidRDefault="00F80910" w:rsidP="00F80910">
      <w:pPr>
        <w:pStyle w:val="TextoNormalSangraFrancesa"/>
        <w:rPr>
          <w:rStyle w:val="TextoNormalCaracter"/>
        </w:rPr>
      </w:pPr>
      <w:bookmarkStart w:id="1192" w:name="DESCRIPTORALFABETICO325"/>
      <w:r w:rsidRPr="00F80910">
        <w:rPr>
          <w:rStyle w:val="TextoNormalNegritaCaracter"/>
        </w:rPr>
        <w:t>Integración de personal</w:t>
      </w:r>
      <w:bookmarkEnd w:id="1192"/>
      <w:r w:rsidRPr="00F80910">
        <w:rPr>
          <w:rStyle w:val="TextoNormalCaracter"/>
        </w:rPr>
        <w:t xml:space="preserve">, Sentencia </w:t>
      </w:r>
      <w:hyperlink w:anchor="SENTENCIA_2015_236" w:history="1">
        <w:r w:rsidRPr="00F80910">
          <w:rPr>
            <w:rStyle w:val="TextoNormalCaracter"/>
          </w:rPr>
          <w:t>236/2015</w:t>
        </w:r>
      </w:hyperlink>
      <w:r w:rsidRPr="00F80910">
        <w:rPr>
          <w:rStyle w:val="TextoNormalCaracter"/>
        </w:rPr>
        <w:t>, ff. 8, 9.</w:t>
      </w:r>
    </w:p>
    <w:p w:rsidR="00F80910" w:rsidRPr="00F80910" w:rsidRDefault="00F80910" w:rsidP="00F80910">
      <w:pPr>
        <w:pStyle w:val="TextoNormalSangraFrancesa"/>
        <w:rPr>
          <w:rStyle w:val="TextoNormalCaracter"/>
        </w:rPr>
      </w:pPr>
      <w:bookmarkStart w:id="1193" w:name="DESCRIPTORALFABETICO156"/>
      <w:r w:rsidRPr="00F80910">
        <w:rPr>
          <w:rStyle w:val="TextoNormalNegritaCaracter"/>
        </w:rPr>
        <w:t>Interés público como límite para el ejercicio de derechos fundamentales</w:t>
      </w:r>
      <w:bookmarkEnd w:id="1193"/>
      <w:r w:rsidRPr="00F80910">
        <w:rPr>
          <w:rStyle w:val="TextoNormalCaracter"/>
        </w:rPr>
        <w:t xml:space="preserve">, Sentencia </w:t>
      </w:r>
      <w:hyperlink w:anchor="SENTENCIA_2015_231" w:history="1">
        <w:r w:rsidRPr="00F80910">
          <w:rPr>
            <w:rStyle w:val="TextoNormalCaracter"/>
          </w:rPr>
          <w:t>231/2015</w:t>
        </w:r>
      </w:hyperlink>
      <w:r w:rsidRPr="00F80910">
        <w:rPr>
          <w:rStyle w:val="TextoNormalCaracter"/>
        </w:rPr>
        <w:t>, ff. 6, 10.</w:t>
      </w:r>
    </w:p>
    <w:p w:rsidR="00F80910" w:rsidRPr="00F80910" w:rsidRDefault="00F80910" w:rsidP="00F80910">
      <w:pPr>
        <w:pStyle w:val="TextoNormalSangraFrancesa"/>
        <w:rPr>
          <w:rStyle w:val="TextoNormalCaracter"/>
        </w:rPr>
      </w:pPr>
      <w:bookmarkStart w:id="1194" w:name="DESCRIPTORALFABETICO481"/>
      <w:r w:rsidRPr="00F80910">
        <w:rPr>
          <w:rStyle w:val="TextoNormalNegritaCaracter"/>
        </w:rPr>
        <w:t>Interés superior del menor</w:t>
      </w:r>
      <w:bookmarkEnd w:id="1194"/>
      <w:r w:rsidRPr="00F80910">
        <w:rPr>
          <w:rStyle w:val="TextoNormalCaracter"/>
        </w:rPr>
        <w:t xml:space="preserve">, Auto </w:t>
      </w:r>
      <w:hyperlink w:anchor="AUTO_2015_119" w:history="1">
        <w:r w:rsidRPr="00F80910">
          <w:rPr>
            <w:rStyle w:val="TextoNormalCaracter"/>
          </w:rPr>
          <w:t>119/2015</w:t>
        </w:r>
      </w:hyperlink>
      <w:r w:rsidRPr="00F80910">
        <w:rPr>
          <w:rStyle w:val="TextoNormalCaracter"/>
        </w:rPr>
        <w:t>, f. 3.</w:t>
      </w:r>
    </w:p>
    <w:p w:rsidR="00F80910" w:rsidRPr="00F80910" w:rsidRDefault="00F80910" w:rsidP="00F80910">
      <w:pPr>
        <w:pStyle w:val="TextoNormalSangraFrancesa"/>
        <w:rPr>
          <w:rStyle w:val="TextoNormalCaracter"/>
        </w:rPr>
      </w:pPr>
      <w:bookmarkStart w:id="1195" w:name="DESCRIPTORALFABETICO87"/>
      <w:r w:rsidRPr="00F80910">
        <w:rPr>
          <w:rStyle w:val="TextoNormalNegritaCaracter"/>
        </w:rPr>
        <w:t>Internamiento psiquiátrico</w:t>
      </w:r>
      <w:bookmarkEnd w:id="1195"/>
      <w:r w:rsidRPr="00F80910">
        <w:rPr>
          <w:rStyle w:val="TextoNormalCaracter"/>
        </w:rPr>
        <w:t xml:space="preserve">, Sentencia </w:t>
      </w:r>
      <w:hyperlink w:anchor="SENTENCIA_2015_182" w:history="1">
        <w:r w:rsidRPr="00F80910">
          <w:rPr>
            <w:rStyle w:val="TextoNormalCaracter"/>
          </w:rPr>
          <w:t>182/2015</w:t>
        </w:r>
      </w:hyperlink>
      <w:r w:rsidRPr="00F80910">
        <w:rPr>
          <w:rStyle w:val="TextoNormalCaracter"/>
        </w:rPr>
        <w:t>, ff. 3 a 7.</w:t>
      </w:r>
    </w:p>
    <w:p w:rsidR="00F80910" w:rsidRPr="00F80910" w:rsidRDefault="00F80910" w:rsidP="00F80910">
      <w:pPr>
        <w:pStyle w:val="TextoNormalSangraFrancesa"/>
        <w:rPr>
          <w:rStyle w:val="TextoNormalCaracter"/>
        </w:rPr>
      </w:pPr>
      <w:r w:rsidRPr="00F80910">
        <w:rPr>
          <w:rStyle w:val="TextoNormalCaracter"/>
        </w:rPr>
        <w:t xml:space="preserve">    Auto </w:t>
      </w:r>
      <w:hyperlink w:anchor="AUTO_2015_127" w:history="1">
        <w:r w:rsidRPr="00F80910">
          <w:rPr>
            <w:rStyle w:val="TextoNormalCaracter"/>
          </w:rPr>
          <w:t>127/2015</w:t>
        </w:r>
      </w:hyperlink>
      <w:r w:rsidRPr="00F80910">
        <w:rPr>
          <w:rStyle w:val="TextoNormalCaracter"/>
        </w:rPr>
        <w:t>, f. 2.</w:t>
      </w:r>
    </w:p>
    <w:p w:rsidR="00F80910" w:rsidRPr="00F80910" w:rsidRDefault="00F80910" w:rsidP="00F80910">
      <w:pPr>
        <w:pStyle w:val="TextoNormalSangraFrancesa"/>
        <w:rPr>
          <w:rStyle w:val="TextoNormalCaracter"/>
        </w:rPr>
      </w:pPr>
      <w:bookmarkStart w:id="1196" w:name="DESCRIPTORALFABETICO89"/>
      <w:r w:rsidRPr="00F80910">
        <w:rPr>
          <w:rStyle w:val="TextoNormalNegritaCaracter"/>
        </w:rPr>
        <w:t>Internamiento psiquiátrico en el ámbito penal</w:t>
      </w:r>
      <w:bookmarkEnd w:id="1196"/>
      <w:r w:rsidRPr="00F80910">
        <w:rPr>
          <w:rStyle w:val="TextoNormalCaracter"/>
        </w:rPr>
        <w:t xml:space="preserve">, Sentencia </w:t>
      </w:r>
      <w:hyperlink w:anchor="SENTENCIA_2015_217" w:history="1">
        <w:r w:rsidRPr="00F80910">
          <w:rPr>
            <w:rStyle w:val="TextoNormalCaracter"/>
          </w:rPr>
          <w:t>217/2015</w:t>
        </w:r>
      </w:hyperlink>
      <w:r w:rsidRPr="00F80910">
        <w:rPr>
          <w:rStyle w:val="TextoNormalCaracter"/>
        </w:rPr>
        <w:t>, ff. 2 a 4.</w:t>
      </w:r>
    </w:p>
    <w:p w:rsidR="00F80910" w:rsidRPr="00F80910" w:rsidRDefault="00F80910" w:rsidP="00F80910">
      <w:pPr>
        <w:pStyle w:val="TextoNormalSangraFrancesa"/>
        <w:rPr>
          <w:rStyle w:val="TextoNormalCaracter"/>
        </w:rPr>
      </w:pPr>
      <w:bookmarkStart w:id="1197" w:name="DESCRIPTORALFABETICO467"/>
      <w:r w:rsidRPr="00F80910">
        <w:rPr>
          <w:rStyle w:val="TextoNormalNegritaCaracter"/>
        </w:rPr>
        <w:t>Interpretación analógica</w:t>
      </w:r>
      <w:bookmarkEnd w:id="1197"/>
      <w:r w:rsidRPr="00F80910">
        <w:rPr>
          <w:rStyle w:val="TextoNormalCaracter"/>
        </w:rPr>
        <w:t xml:space="preserve">, Sentencia </w:t>
      </w:r>
      <w:hyperlink w:anchor="SENTENCIA_2015_217" w:history="1">
        <w:r w:rsidRPr="00F80910">
          <w:rPr>
            <w:rStyle w:val="TextoNormalCaracter"/>
          </w:rPr>
          <w:t>217/2015</w:t>
        </w:r>
      </w:hyperlink>
      <w:r w:rsidRPr="00F80910">
        <w:rPr>
          <w:rStyle w:val="TextoNormalCaracter"/>
        </w:rPr>
        <w:t>, f. 4.</w:t>
      </w:r>
    </w:p>
    <w:p w:rsidR="00F80910" w:rsidRPr="00F80910" w:rsidRDefault="00F80910" w:rsidP="00F80910">
      <w:pPr>
        <w:pStyle w:val="TextoNormalSangraFrancesa"/>
        <w:rPr>
          <w:rStyle w:val="TextoNormalCaracter"/>
        </w:rPr>
      </w:pPr>
      <w:bookmarkStart w:id="1198" w:name="DESCRIPTORALFABETICO468"/>
      <w:r w:rsidRPr="00F80910">
        <w:rPr>
          <w:rStyle w:val="TextoNormalNegritaCaracter"/>
        </w:rPr>
        <w:t>Interpretación conforme con la Constitución</w:t>
      </w:r>
      <w:bookmarkEnd w:id="1198"/>
      <w:r w:rsidRPr="00F80910">
        <w:rPr>
          <w:rStyle w:val="TextoNormalCaracter"/>
        </w:rPr>
        <w:t xml:space="preserve">, Sentencias </w:t>
      </w:r>
      <w:hyperlink w:anchor="SENTENCIA_2015_154" w:history="1">
        <w:r w:rsidRPr="00F80910">
          <w:rPr>
            <w:rStyle w:val="TextoNormalCaracter"/>
          </w:rPr>
          <w:t>154/2015</w:t>
        </w:r>
      </w:hyperlink>
      <w:r w:rsidRPr="00F80910">
        <w:rPr>
          <w:rStyle w:val="TextoNormalCaracter"/>
        </w:rPr>
        <w:t xml:space="preserve">, f. 7 e); </w:t>
      </w:r>
      <w:hyperlink w:anchor="SENTENCIA_2015_233" w:history="1">
        <w:r w:rsidRPr="00F80910">
          <w:rPr>
            <w:rStyle w:val="TextoNormalCaracter"/>
          </w:rPr>
          <w:t>233/2015</w:t>
        </w:r>
      </w:hyperlink>
      <w:r w:rsidRPr="00F80910">
        <w:rPr>
          <w:rStyle w:val="TextoNormalCaracter"/>
        </w:rPr>
        <w:t>, f. 14.</w:t>
      </w:r>
    </w:p>
    <w:p w:rsidR="00F80910" w:rsidRPr="00F80910" w:rsidRDefault="00F80910" w:rsidP="00F80910">
      <w:pPr>
        <w:pStyle w:val="TextoNormalSangraFrancesa"/>
        <w:rPr>
          <w:rStyle w:val="TextoNormalCaracter"/>
        </w:rPr>
      </w:pPr>
      <w:bookmarkStart w:id="1199" w:name="DESCRIPTORALFABETICO469"/>
      <w:r w:rsidRPr="00F80910">
        <w:rPr>
          <w:rStyle w:val="TextoNormalNegritaCaracter"/>
        </w:rPr>
        <w:t>Interpretación de las normas más favorable a los derechos fundamentales</w:t>
      </w:r>
      <w:bookmarkEnd w:id="1199"/>
      <w:r w:rsidRPr="00F80910">
        <w:rPr>
          <w:rStyle w:val="TextoNormalCaracter"/>
        </w:rPr>
        <w:t xml:space="preserve">, Sentencias </w:t>
      </w:r>
      <w:hyperlink w:anchor="SENTENCIA_2015_158" w:history="1">
        <w:r w:rsidRPr="00F80910">
          <w:rPr>
            <w:rStyle w:val="TextoNormalCaracter"/>
          </w:rPr>
          <w:t>158/2015</w:t>
        </w:r>
      </w:hyperlink>
      <w:r w:rsidRPr="00F80910">
        <w:rPr>
          <w:rStyle w:val="TextoNormalCaracter"/>
        </w:rPr>
        <w:t xml:space="preserve">, f. 3; </w:t>
      </w:r>
      <w:hyperlink w:anchor="SENTENCIA_2015_261" w:history="1">
        <w:r w:rsidRPr="00F80910">
          <w:rPr>
            <w:rStyle w:val="TextoNormalCaracter"/>
          </w:rPr>
          <w:t>261/2015</w:t>
        </w:r>
      </w:hyperlink>
      <w:r w:rsidRPr="00F80910">
        <w:rPr>
          <w:rStyle w:val="TextoNormalCaracter"/>
        </w:rPr>
        <w:t>, ff. 5 a 7.</w:t>
      </w:r>
    </w:p>
    <w:p w:rsidR="00F80910" w:rsidRPr="00F80910" w:rsidRDefault="00F80910" w:rsidP="00F80910">
      <w:pPr>
        <w:pStyle w:val="TextoNormalSangraFrancesa"/>
        <w:rPr>
          <w:rStyle w:val="TextoNormalCaracter"/>
        </w:rPr>
      </w:pPr>
      <w:bookmarkStart w:id="1200" w:name="DESCRIPTORALFABETICO470"/>
      <w:r w:rsidRPr="00F80910">
        <w:rPr>
          <w:rStyle w:val="TextoNormalNegritaCaracter"/>
        </w:rPr>
        <w:t>Interpretación de los requisitos procesales</w:t>
      </w:r>
      <w:bookmarkEnd w:id="1200"/>
      <w:r w:rsidRPr="00F80910">
        <w:rPr>
          <w:rStyle w:val="TextoNormalCaracter"/>
        </w:rPr>
        <w:t xml:space="preserve">, Sentencia </w:t>
      </w:r>
      <w:hyperlink w:anchor="SENTENCIA_2015_179" w:history="1">
        <w:r w:rsidRPr="00F80910">
          <w:rPr>
            <w:rStyle w:val="TextoNormalCaracter"/>
          </w:rPr>
          <w:t>179/2015</w:t>
        </w:r>
      </w:hyperlink>
      <w:r w:rsidRPr="00F80910">
        <w:rPr>
          <w:rStyle w:val="TextoNormalCaracter"/>
        </w:rPr>
        <w:t>, f. 2.</w:t>
      </w:r>
    </w:p>
    <w:p w:rsidR="00F80910" w:rsidRPr="00F80910" w:rsidRDefault="00F80910" w:rsidP="00F80910">
      <w:pPr>
        <w:pStyle w:val="TextoNormalSangraFrancesa"/>
        <w:rPr>
          <w:rStyle w:val="TextoNormalCaracter"/>
        </w:rPr>
      </w:pPr>
      <w:bookmarkStart w:id="1201" w:name="DESCRIPTORALFABETICO472"/>
      <w:r w:rsidRPr="00F80910">
        <w:rPr>
          <w:rStyle w:val="TextoNormalNegritaCaracter"/>
        </w:rPr>
        <w:t>Interpretación formalista</w:t>
      </w:r>
      <w:bookmarkEnd w:id="1201"/>
      <w:r w:rsidRPr="00F80910">
        <w:rPr>
          <w:rStyle w:val="TextoNormalCaracter"/>
        </w:rPr>
        <w:t xml:space="preserve">, Sentencia </w:t>
      </w:r>
      <w:hyperlink w:anchor="SENTENCIA_2015_207" w:history="1">
        <w:r w:rsidRPr="00F80910">
          <w:rPr>
            <w:rStyle w:val="TextoNormalCaracter"/>
          </w:rPr>
          <w:t>207/2015</w:t>
        </w:r>
      </w:hyperlink>
      <w:r w:rsidRPr="00F80910">
        <w:rPr>
          <w:rStyle w:val="TextoNormalCaracter"/>
        </w:rPr>
        <w:t>, ff. 2, 5.</w:t>
      </w:r>
    </w:p>
    <w:p w:rsidR="00F80910" w:rsidRPr="00F80910" w:rsidRDefault="00F80910" w:rsidP="00F80910">
      <w:pPr>
        <w:pStyle w:val="TextoNormalSangraFrancesa"/>
        <w:rPr>
          <w:rStyle w:val="TextoNormalCaracter"/>
        </w:rPr>
      </w:pPr>
      <w:bookmarkStart w:id="1202" w:name="DESCRIPTORALFABETICO471"/>
      <w:r w:rsidRPr="00F80910">
        <w:rPr>
          <w:rStyle w:val="TextoNormalNegritaCaracter"/>
        </w:rPr>
        <w:t>Interpretación razonable de normas procesales</w:t>
      </w:r>
      <w:bookmarkEnd w:id="1202"/>
      <w:r w:rsidRPr="00F80910">
        <w:rPr>
          <w:rStyle w:val="TextoNormalCaracter"/>
        </w:rPr>
        <w:t xml:space="preserve">, Sentencia </w:t>
      </w:r>
      <w:hyperlink w:anchor="SENTENCIA_2015_149" w:history="1">
        <w:r w:rsidRPr="00F80910">
          <w:rPr>
            <w:rStyle w:val="TextoNormalCaracter"/>
          </w:rPr>
          <w:t>149/2015</w:t>
        </w:r>
      </w:hyperlink>
      <w:r w:rsidRPr="00F80910">
        <w:rPr>
          <w:rStyle w:val="TextoNormalCaracter"/>
        </w:rPr>
        <w:t>, ff. 3 a 5.</w:t>
      </w:r>
    </w:p>
    <w:p w:rsidR="00F80910" w:rsidRPr="00F80910" w:rsidRDefault="00F80910" w:rsidP="00F80910">
      <w:pPr>
        <w:pStyle w:val="TextoNormalSangraFrancesa"/>
        <w:rPr>
          <w:rStyle w:val="TextoNormalCaracter"/>
        </w:rPr>
      </w:pPr>
      <w:bookmarkStart w:id="1203" w:name="DESCRIPTORALFABETICO525"/>
      <w:r w:rsidRPr="00F80910">
        <w:rPr>
          <w:rStyle w:val="TextoNormalNegritaCaracter"/>
        </w:rPr>
        <w:t>Intervención en la vía judicial previa</w:t>
      </w:r>
      <w:bookmarkEnd w:id="1203"/>
      <w:r w:rsidRPr="00F80910">
        <w:rPr>
          <w:rStyle w:val="TextoNormalCaracter"/>
        </w:rPr>
        <w:t xml:space="preserve">, Autos </w:t>
      </w:r>
      <w:hyperlink w:anchor="AUTO_2015_118" w:history="1">
        <w:r w:rsidRPr="00F80910">
          <w:rPr>
            <w:rStyle w:val="TextoNormalCaracter"/>
          </w:rPr>
          <w:t>118/2015</w:t>
        </w:r>
      </w:hyperlink>
      <w:r w:rsidRPr="00F80910">
        <w:rPr>
          <w:rStyle w:val="TextoNormalCaracter"/>
        </w:rPr>
        <w:t xml:space="preserve">, f. único; </w:t>
      </w:r>
      <w:hyperlink w:anchor="AUTO_2015_126" w:history="1">
        <w:r w:rsidRPr="00F80910">
          <w:rPr>
            <w:rStyle w:val="TextoNormalCaracter"/>
          </w:rPr>
          <w:t>126/2015</w:t>
        </w:r>
      </w:hyperlink>
      <w:r w:rsidRPr="00F80910">
        <w:rPr>
          <w:rStyle w:val="TextoNormalCaracter"/>
        </w:rPr>
        <w:t>, f. único.</w:t>
      </w:r>
    </w:p>
    <w:p w:rsidR="00F80910" w:rsidRPr="00F80910" w:rsidRDefault="00F80910" w:rsidP="00F80910">
      <w:pPr>
        <w:pStyle w:val="TextoNormalSangraFrancesa"/>
        <w:rPr>
          <w:rStyle w:val="TextoNormalCaracter"/>
        </w:rPr>
      </w:pPr>
      <w:bookmarkStart w:id="1204" w:name="DESCRIPTORALFABETICO227"/>
      <w:r w:rsidRPr="00F80910">
        <w:rPr>
          <w:rStyle w:val="TextoNormalNegritaCaracter"/>
        </w:rPr>
        <w:t>Invocación extemporánea</w:t>
      </w:r>
      <w:bookmarkEnd w:id="1204"/>
      <w:r w:rsidRPr="00F80910">
        <w:rPr>
          <w:rStyle w:val="TextoNormalCaracter"/>
        </w:rPr>
        <w:t xml:space="preserve">, Sentencia </w:t>
      </w:r>
      <w:hyperlink w:anchor="SENTENCIA_2015_242" w:history="1">
        <w:r w:rsidRPr="00F80910">
          <w:rPr>
            <w:rStyle w:val="TextoNormalCaracter"/>
          </w:rPr>
          <w:t>242/2015</w:t>
        </w:r>
      </w:hyperlink>
      <w:r w:rsidRPr="00F80910">
        <w:rPr>
          <w:rStyle w:val="TextoNormalCaracter"/>
        </w:rPr>
        <w:t>, ff. 3 a 6.</w:t>
      </w:r>
    </w:p>
    <w:p w:rsidR="00F80910" w:rsidRPr="00F80910" w:rsidRDefault="00F80910" w:rsidP="00F80910">
      <w:pPr>
        <w:pStyle w:val="TextoNormalSangraFrancesa"/>
        <w:rPr>
          <w:rStyle w:val="TextoNormalCaracter"/>
        </w:rPr>
      </w:pPr>
      <w:bookmarkStart w:id="1205" w:name="DESCRIPTORALFABETICO106"/>
      <w:r w:rsidRPr="00F80910">
        <w:rPr>
          <w:rStyle w:val="TextoNormalNegritaCaracter"/>
        </w:rPr>
        <w:t>Irrazonabilidad de las resoluciones judiciales</w:t>
      </w:r>
      <w:bookmarkEnd w:id="1205"/>
      <w:r w:rsidRPr="00F80910">
        <w:rPr>
          <w:rStyle w:val="TextoNormalCaracter"/>
        </w:rPr>
        <w:t xml:space="preserve">, Sentencia </w:t>
      </w:r>
      <w:hyperlink w:anchor="SENTENCIA_2015_149" w:history="1">
        <w:r w:rsidRPr="00F80910">
          <w:rPr>
            <w:rStyle w:val="TextoNormalCaracter"/>
          </w:rPr>
          <w:t>149/2015</w:t>
        </w:r>
      </w:hyperlink>
      <w:r w:rsidRPr="00F80910">
        <w:rPr>
          <w:rStyle w:val="TextoNormalCaracter"/>
        </w:rPr>
        <w:t>, ff. 3, 4.</w:t>
      </w:r>
    </w:p>
    <w:p w:rsidR="00F80910" w:rsidRPr="00F80910" w:rsidRDefault="00F80910" w:rsidP="00F80910">
      <w:pPr>
        <w:pStyle w:val="TextoNormalSangraFrancesa"/>
        <w:rPr>
          <w:rStyle w:val="TextoNormalCaracter"/>
        </w:rPr>
      </w:pPr>
      <w:bookmarkStart w:id="1206" w:name="DESCRIPTORALFABETICO69"/>
      <w:r w:rsidRPr="00F80910">
        <w:rPr>
          <w:rStyle w:val="TextoNormalNegritaCaracter"/>
        </w:rPr>
        <w:t>Irregularidades en el escrutinio</w:t>
      </w:r>
      <w:bookmarkEnd w:id="1206"/>
      <w:r w:rsidRPr="00F80910">
        <w:rPr>
          <w:rStyle w:val="TextoNormalCaracter"/>
        </w:rPr>
        <w:t xml:space="preserve">, Sentencia </w:t>
      </w:r>
      <w:hyperlink w:anchor="SENTENCIA_2015_159" w:history="1">
        <w:r w:rsidRPr="00F80910">
          <w:rPr>
            <w:rStyle w:val="TextoNormalCaracter"/>
          </w:rPr>
          <w:t>159/2015</w:t>
        </w:r>
      </w:hyperlink>
      <w:r w:rsidRPr="00F80910">
        <w:rPr>
          <w:rStyle w:val="TextoNormalCaracter"/>
        </w:rPr>
        <w:t>, f. 7.</w:t>
      </w:r>
    </w:p>
    <w:p w:rsidR="00F80910" w:rsidRPr="00F80910" w:rsidRDefault="00F80910" w:rsidP="00F80910">
      <w:pPr>
        <w:pStyle w:val="TextoNormalSangraFrancesa"/>
        <w:rPr>
          <w:rStyle w:val="TextoNormalCaracter"/>
        </w:rPr>
      </w:pPr>
      <w:bookmarkStart w:id="1207" w:name="DESCRIPTORALFABETICO607"/>
      <w:r w:rsidRPr="00F80910">
        <w:rPr>
          <w:rStyle w:val="TextoNormalNegritaCaracter"/>
        </w:rPr>
        <w:t>Islas Baleares</w:t>
      </w:r>
      <w:bookmarkEnd w:id="1207"/>
      <w:r w:rsidRPr="00F80910">
        <w:rPr>
          <w:rStyle w:val="TextoNormalCaracter"/>
        </w:rPr>
        <w:t xml:space="preserve">, Sentencia </w:t>
      </w:r>
      <w:hyperlink w:anchor="SENTENCIA_2015_235" w:history="1">
        <w:r w:rsidRPr="00F80910">
          <w:rPr>
            <w:rStyle w:val="TextoNormalCaracter"/>
          </w:rPr>
          <w:t>235/2015</w:t>
        </w:r>
      </w:hyperlink>
      <w:r w:rsidRPr="00F80910">
        <w:rPr>
          <w:rStyle w:val="TextoNormalCaracter"/>
        </w:rPr>
        <w:t>, f. 1.</w:t>
      </w:r>
    </w:p>
    <w:p w:rsidR="00F80910" w:rsidRPr="00F80910" w:rsidRDefault="00F80910" w:rsidP="00F80910">
      <w:pPr>
        <w:pStyle w:val="TextoNormalSangraFrancesa"/>
        <w:rPr>
          <w:rStyle w:val="TextoNormalCaracter"/>
        </w:rPr>
      </w:pPr>
      <w:bookmarkStart w:id="1208" w:name="DESCRIPTORALFABETICO76"/>
      <w:r w:rsidRPr="00F80910">
        <w:rPr>
          <w:rStyle w:val="TextoNormalNegritaCaracter"/>
          <w:i/>
        </w:rPr>
        <w:t>Ius in officium</w:t>
      </w:r>
      <w:bookmarkEnd w:id="1208"/>
      <w:r w:rsidRPr="00F80910">
        <w:rPr>
          <w:rStyle w:val="TextoNormalCaracter"/>
        </w:rPr>
        <w:t xml:space="preserve">, Sentencia </w:t>
      </w:r>
      <w:hyperlink w:anchor="SENTENCIA_2015_199" w:history="1">
        <w:r w:rsidRPr="00F80910">
          <w:rPr>
            <w:rStyle w:val="TextoNormalCaracter"/>
          </w:rPr>
          <w:t>199/2015</w:t>
        </w:r>
      </w:hyperlink>
      <w:r w:rsidRPr="00F80910">
        <w:rPr>
          <w:rStyle w:val="TextoNormalCaracter"/>
        </w:rPr>
        <w:t>, f. 11.</w:t>
      </w:r>
    </w:p>
    <w:p w:rsidR="00F80910" w:rsidRDefault="00F80910" w:rsidP="00F80910">
      <w:pPr>
        <w:pStyle w:val="TextoNormalSangraFrancesa"/>
      </w:pPr>
    </w:p>
    <w:p w:rsidR="00F80910" w:rsidRDefault="00F80910" w:rsidP="00F80910">
      <w:pPr>
        <w:pStyle w:val="TextoNormalSangraFrancesa"/>
      </w:pPr>
    </w:p>
    <w:p w:rsidR="00F80910" w:rsidRDefault="00F80910" w:rsidP="00F80910">
      <w:pPr>
        <w:pStyle w:val="TextoNormalNegritaCentrado"/>
      </w:pPr>
      <w:r>
        <w:t>J</w:t>
      </w:r>
    </w:p>
    <w:p w:rsidR="00F80910" w:rsidRDefault="00F80910" w:rsidP="00F80910">
      <w:pPr>
        <w:pStyle w:val="TextoNormalNegritaCentrado"/>
      </w:pPr>
    </w:p>
    <w:p w:rsidR="00F80910" w:rsidRPr="00F80910" w:rsidRDefault="00F80910" w:rsidP="00F80910">
      <w:pPr>
        <w:pStyle w:val="TextoNormalSangraFrancesa"/>
        <w:rPr>
          <w:rStyle w:val="TextoNormalCaracter"/>
        </w:rPr>
      </w:pPr>
      <w:bookmarkStart w:id="1209" w:name="DESCRIPTORALFABETICO217"/>
      <w:r w:rsidRPr="00F80910">
        <w:rPr>
          <w:rStyle w:val="TextoNormalNegritaCaracter"/>
        </w:rPr>
        <w:t>Juicio de aplicabilidad</w:t>
      </w:r>
      <w:bookmarkEnd w:id="1209"/>
      <w:r w:rsidRPr="00F80910">
        <w:rPr>
          <w:rStyle w:val="TextoNormalCaracter"/>
        </w:rPr>
        <w:t xml:space="preserve">, Sentencias </w:t>
      </w:r>
      <w:hyperlink w:anchor="SENTENCIA_2015_201" w:history="1">
        <w:r w:rsidRPr="00F80910">
          <w:rPr>
            <w:rStyle w:val="TextoNormalCaracter"/>
          </w:rPr>
          <w:t>201/2015</w:t>
        </w:r>
      </w:hyperlink>
      <w:r w:rsidRPr="00F80910">
        <w:rPr>
          <w:rStyle w:val="TextoNormalCaracter"/>
        </w:rPr>
        <w:t xml:space="preserve">, ff. 2, 3; </w:t>
      </w:r>
      <w:hyperlink w:anchor="SENTENCIA_2015_212" w:history="1">
        <w:r w:rsidRPr="00F80910">
          <w:rPr>
            <w:rStyle w:val="TextoNormalCaracter"/>
          </w:rPr>
          <w:t>212/2015</w:t>
        </w:r>
      </w:hyperlink>
      <w:r w:rsidRPr="00F80910">
        <w:rPr>
          <w:rStyle w:val="TextoNormalCaracter"/>
        </w:rPr>
        <w:t xml:space="preserve">, ff. 2, 3; </w:t>
      </w:r>
      <w:hyperlink w:anchor="SENTENCIA_2015_213" w:history="1">
        <w:r w:rsidRPr="00F80910">
          <w:rPr>
            <w:rStyle w:val="TextoNormalCaracter"/>
          </w:rPr>
          <w:t>213/2015</w:t>
        </w:r>
      </w:hyperlink>
      <w:r w:rsidRPr="00F80910">
        <w:rPr>
          <w:rStyle w:val="TextoNormalCaracter"/>
        </w:rPr>
        <w:t xml:space="preserve">, ff. 2, 3; </w:t>
      </w:r>
      <w:hyperlink w:anchor="SENTENCIA_2015_219" w:history="1">
        <w:r w:rsidRPr="00F80910">
          <w:rPr>
            <w:rStyle w:val="TextoNormalCaracter"/>
          </w:rPr>
          <w:t>219/2015</w:t>
        </w:r>
      </w:hyperlink>
      <w:r w:rsidRPr="00F80910">
        <w:rPr>
          <w:rStyle w:val="TextoNormalCaracter"/>
        </w:rPr>
        <w:t xml:space="preserve">, ff. 2, 3; </w:t>
      </w:r>
      <w:hyperlink w:anchor="SENTENCIA_2015_220" w:history="1">
        <w:r w:rsidRPr="00F80910">
          <w:rPr>
            <w:rStyle w:val="TextoNormalCaracter"/>
          </w:rPr>
          <w:t>220/2015</w:t>
        </w:r>
      </w:hyperlink>
      <w:r w:rsidRPr="00F80910">
        <w:rPr>
          <w:rStyle w:val="TextoNormalCaracter"/>
        </w:rPr>
        <w:t xml:space="preserve">, ff. 2, 3; </w:t>
      </w:r>
      <w:hyperlink w:anchor="SENTENCIA_2015_221" w:history="1">
        <w:r w:rsidRPr="00F80910">
          <w:rPr>
            <w:rStyle w:val="TextoNormalCaracter"/>
          </w:rPr>
          <w:t>221/2015</w:t>
        </w:r>
      </w:hyperlink>
      <w:r w:rsidRPr="00F80910">
        <w:rPr>
          <w:rStyle w:val="TextoNormalCaracter"/>
        </w:rPr>
        <w:t xml:space="preserve">, ff. 2, 3; </w:t>
      </w:r>
      <w:hyperlink w:anchor="SENTENCIA_2015_234" w:history="1">
        <w:r w:rsidRPr="00F80910">
          <w:rPr>
            <w:rStyle w:val="TextoNormalCaracter"/>
          </w:rPr>
          <w:t>234/2015</w:t>
        </w:r>
      </w:hyperlink>
      <w:r w:rsidRPr="00F80910">
        <w:rPr>
          <w:rStyle w:val="TextoNormalCaracter"/>
        </w:rPr>
        <w:t>, f. 2.</w:t>
      </w:r>
    </w:p>
    <w:p w:rsidR="00F80910" w:rsidRPr="00F80910" w:rsidRDefault="00F80910" w:rsidP="00F80910">
      <w:pPr>
        <w:pStyle w:val="TextoNormalSangraFrancesa"/>
        <w:rPr>
          <w:rStyle w:val="TextoNormalCaracter"/>
        </w:rPr>
      </w:pPr>
      <w:r w:rsidRPr="00F80910">
        <w:rPr>
          <w:rStyle w:val="TextoNormalCaracter"/>
        </w:rPr>
        <w:t xml:space="preserve">    Autos </w:t>
      </w:r>
      <w:hyperlink w:anchor="AUTO_2015_136" w:history="1">
        <w:r w:rsidRPr="00F80910">
          <w:rPr>
            <w:rStyle w:val="TextoNormalCaracter"/>
          </w:rPr>
          <w:t>136/2015</w:t>
        </w:r>
      </w:hyperlink>
      <w:r w:rsidRPr="00F80910">
        <w:rPr>
          <w:rStyle w:val="TextoNormalCaracter"/>
        </w:rPr>
        <w:t xml:space="preserve">, f. 3; </w:t>
      </w:r>
      <w:hyperlink w:anchor="AUTO_2015_155" w:history="1">
        <w:r w:rsidRPr="00F80910">
          <w:rPr>
            <w:rStyle w:val="TextoNormalCaracter"/>
          </w:rPr>
          <w:t>155/2015</w:t>
        </w:r>
      </w:hyperlink>
      <w:r w:rsidRPr="00F80910">
        <w:rPr>
          <w:rStyle w:val="TextoNormalCaracter"/>
        </w:rPr>
        <w:t>.</w:t>
      </w:r>
    </w:p>
    <w:p w:rsidR="00F80910" w:rsidRPr="00F80910" w:rsidRDefault="00F80910" w:rsidP="00F80910">
      <w:pPr>
        <w:pStyle w:val="TextoNormalSangraFrancesa"/>
        <w:rPr>
          <w:rStyle w:val="TextoNormalCaracter"/>
        </w:rPr>
      </w:pPr>
      <w:bookmarkStart w:id="1210" w:name="DESCRIPTORALFABETICO218"/>
      <w:r w:rsidRPr="00F80910">
        <w:rPr>
          <w:rStyle w:val="TextoNormalNegritaCaracter"/>
        </w:rPr>
        <w:t>Juicio de aplicabilidad inconsistente</w:t>
      </w:r>
      <w:bookmarkEnd w:id="1210"/>
      <w:r w:rsidRPr="00F80910">
        <w:rPr>
          <w:rStyle w:val="TextoNormalCaracter"/>
        </w:rPr>
        <w:t xml:space="preserve">, Sentencia </w:t>
      </w:r>
      <w:hyperlink w:anchor="SENTENCIA_2015_245" w:history="1">
        <w:r w:rsidRPr="00F80910">
          <w:rPr>
            <w:rStyle w:val="TextoNormalCaracter"/>
          </w:rPr>
          <w:t>245/2015</w:t>
        </w:r>
      </w:hyperlink>
      <w:r w:rsidRPr="00F80910">
        <w:rPr>
          <w:rStyle w:val="TextoNormalCaracter"/>
        </w:rPr>
        <w:t>, f. 2.</w:t>
      </w:r>
    </w:p>
    <w:p w:rsidR="00F80910" w:rsidRPr="00F80910" w:rsidRDefault="00F80910" w:rsidP="00F80910">
      <w:pPr>
        <w:pStyle w:val="TextoNormalSangraFrancesa"/>
        <w:rPr>
          <w:rStyle w:val="TextoNormalCaracter"/>
        </w:rPr>
      </w:pPr>
      <w:bookmarkStart w:id="1211" w:name="DESCRIPTORALFABETICO578"/>
      <w:r w:rsidRPr="00F80910">
        <w:rPr>
          <w:rStyle w:val="TextoNormalNegritaCaracter"/>
        </w:rPr>
        <w:t>Juicio de desahucio</w:t>
      </w:r>
      <w:bookmarkEnd w:id="1211"/>
      <w:r w:rsidRPr="00F80910">
        <w:rPr>
          <w:rStyle w:val="TextoNormalCaracter"/>
        </w:rPr>
        <w:t xml:space="preserve">, Auto </w:t>
      </w:r>
      <w:hyperlink w:anchor="AUTO_2015_177" w:history="1">
        <w:r w:rsidRPr="00F80910">
          <w:rPr>
            <w:rStyle w:val="TextoNormalCaracter"/>
          </w:rPr>
          <w:t>177/2015</w:t>
        </w:r>
      </w:hyperlink>
      <w:r w:rsidRPr="00F80910">
        <w:rPr>
          <w:rStyle w:val="TextoNormalCaracter"/>
        </w:rPr>
        <w:t>, f. 3.</w:t>
      </w:r>
    </w:p>
    <w:p w:rsidR="00F80910" w:rsidRPr="00F80910" w:rsidRDefault="00F80910" w:rsidP="00F80910">
      <w:pPr>
        <w:pStyle w:val="TextoNormalSangraFrancesa"/>
        <w:rPr>
          <w:rStyle w:val="TextoNormalCaracter"/>
        </w:rPr>
      </w:pPr>
      <w:bookmarkStart w:id="1212" w:name="DESCRIPTORALFABETICO299"/>
      <w:r w:rsidRPr="00F80910">
        <w:rPr>
          <w:rStyle w:val="TextoNormalNegritaCaracter"/>
        </w:rPr>
        <w:t>Juicio de razonabilidad</w:t>
      </w:r>
      <w:bookmarkEnd w:id="1212"/>
      <w:r w:rsidRPr="00F80910">
        <w:rPr>
          <w:rStyle w:val="TextoNormalCaracter"/>
        </w:rPr>
        <w:t xml:space="preserve">, Sentencia </w:t>
      </w:r>
      <w:hyperlink w:anchor="SENTENCIA_2015_150" w:history="1">
        <w:r w:rsidRPr="00F80910">
          <w:rPr>
            <w:rStyle w:val="TextoNormalCaracter"/>
          </w:rPr>
          <w:t>150/2015</w:t>
        </w:r>
      </w:hyperlink>
      <w:r w:rsidRPr="00F80910">
        <w:rPr>
          <w:rStyle w:val="TextoNormalCaracter"/>
        </w:rPr>
        <w:t>, ff. 2, 3.</w:t>
      </w:r>
    </w:p>
    <w:p w:rsidR="00F80910" w:rsidRPr="00F80910" w:rsidRDefault="00F80910" w:rsidP="00F80910">
      <w:pPr>
        <w:pStyle w:val="TextoNormalSangraFrancesa"/>
        <w:rPr>
          <w:rStyle w:val="TextoNormalCaracter"/>
        </w:rPr>
      </w:pPr>
      <w:bookmarkStart w:id="1213" w:name="DESCRIPTORALFABETICO219"/>
      <w:r w:rsidRPr="00F80910">
        <w:rPr>
          <w:rStyle w:val="TextoNormalNegritaCaracter"/>
        </w:rPr>
        <w:t>Juicio de relevancia</w:t>
      </w:r>
      <w:bookmarkEnd w:id="1213"/>
      <w:r w:rsidRPr="00F80910">
        <w:rPr>
          <w:rStyle w:val="TextoNormalCaracter"/>
        </w:rPr>
        <w:t xml:space="preserve">, Sentencias </w:t>
      </w:r>
      <w:hyperlink w:anchor="SENTENCIA_2015_157" w:history="1">
        <w:r w:rsidRPr="00F80910">
          <w:rPr>
            <w:rStyle w:val="TextoNormalCaracter"/>
          </w:rPr>
          <w:t>157/2015</w:t>
        </w:r>
      </w:hyperlink>
      <w:r w:rsidRPr="00F80910">
        <w:rPr>
          <w:rStyle w:val="TextoNormalCaracter"/>
        </w:rPr>
        <w:t xml:space="preserve">, ff. 2, 3; </w:t>
      </w:r>
      <w:hyperlink w:anchor="SENTENCIA_2015_201" w:history="1">
        <w:r w:rsidRPr="00F80910">
          <w:rPr>
            <w:rStyle w:val="TextoNormalCaracter"/>
          </w:rPr>
          <w:t>201/2015</w:t>
        </w:r>
      </w:hyperlink>
      <w:r w:rsidRPr="00F80910">
        <w:rPr>
          <w:rStyle w:val="TextoNormalCaracter"/>
        </w:rPr>
        <w:t xml:space="preserve">, ff. 2, 3; </w:t>
      </w:r>
      <w:hyperlink w:anchor="SENTENCIA_2015_212" w:history="1">
        <w:r w:rsidRPr="00F80910">
          <w:rPr>
            <w:rStyle w:val="TextoNormalCaracter"/>
          </w:rPr>
          <w:t>212/2015</w:t>
        </w:r>
      </w:hyperlink>
      <w:r w:rsidRPr="00F80910">
        <w:rPr>
          <w:rStyle w:val="TextoNormalCaracter"/>
        </w:rPr>
        <w:t xml:space="preserve">, ff. 2, 3; </w:t>
      </w:r>
      <w:hyperlink w:anchor="SENTENCIA_2015_213" w:history="1">
        <w:r w:rsidRPr="00F80910">
          <w:rPr>
            <w:rStyle w:val="TextoNormalCaracter"/>
          </w:rPr>
          <w:t>213/2015</w:t>
        </w:r>
      </w:hyperlink>
      <w:r w:rsidRPr="00F80910">
        <w:rPr>
          <w:rStyle w:val="TextoNormalCaracter"/>
        </w:rPr>
        <w:t xml:space="preserve">, ff. 2, 3; </w:t>
      </w:r>
      <w:hyperlink w:anchor="SENTENCIA_2015_219" w:history="1">
        <w:r w:rsidRPr="00F80910">
          <w:rPr>
            <w:rStyle w:val="TextoNormalCaracter"/>
          </w:rPr>
          <w:t>219/2015</w:t>
        </w:r>
      </w:hyperlink>
      <w:r w:rsidRPr="00F80910">
        <w:rPr>
          <w:rStyle w:val="TextoNormalCaracter"/>
        </w:rPr>
        <w:t xml:space="preserve">, ff. 2, 3; </w:t>
      </w:r>
      <w:hyperlink w:anchor="SENTENCIA_2015_220" w:history="1">
        <w:r w:rsidRPr="00F80910">
          <w:rPr>
            <w:rStyle w:val="TextoNormalCaracter"/>
          </w:rPr>
          <w:t>220/2015</w:t>
        </w:r>
      </w:hyperlink>
      <w:r w:rsidRPr="00F80910">
        <w:rPr>
          <w:rStyle w:val="TextoNormalCaracter"/>
        </w:rPr>
        <w:t xml:space="preserve">, ff. 2, 3; </w:t>
      </w:r>
      <w:hyperlink w:anchor="SENTENCIA_2015_221" w:history="1">
        <w:r w:rsidRPr="00F80910">
          <w:rPr>
            <w:rStyle w:val="TextoNormalCaracter"/>
          </w:rPr>
          <w:t>221/2015</w:t>
        </w:r>
      </w:hyperlink>
      <w:r w:rsidRPr="00F80910">
        <w:rPr>
          <w:rStyle w:val="TextoNormalCaracter"/>
        </w:rPr>
        <w:t>, ff. 2, 3.</w:t>
      </w:r>
    </w:p>
    <w:p w:rsidR="00F80910" w:rsidRPr="00F80910" w:rsidRDefault="00F80910" w:rsidP="00F80910">
      <w:pPr>
        <w:pStyle w:val="TextoNormalSangraFrancesa"/>
        <w:rPr>
          <w:rStyle w:val="TextoNormalCaracter"/>
        </w:rPr>
      </w:pPr>
      <w:r w:rsidRPr="00F80910">
        <w:rPr>
          <w:rStyle w:val="TextoNormalCaracter"/>
        </w:rPr>
        <w:t xml:space="preserve">    Autos </w:t>
      </w:r>
      <w:hyperlink w:anchor="AUTO_2015_136" w:history="1">
        <w:r w:rsidRPr="00F80910">
          <w:rPr>
            <w:rStyle w:val="TextoNormalCaracter"/>
          </w:rPr>
          <w:t>136/2015</w:t>
        </w:r>
      </w:hyperlink>
      <w:r w:rsidRPr="00F80910">
        <w:rPr>
          <w:rStyle w:val="TextoNormalCaracter"/>
        </w:rPr>
        <w:t xml:space="preserve">, f. 3; </w:t>
      </w:r>
      <w:hyperlink w:anchor="AUTO_2015_196" w:history="1">
        <w:r w:rsidRPr="00F80910">
          <w:rPr>
            <w:rStyle w:val="TextoNormalCaracter"/>
          </w:rPr>
          <w:t>196/2015</w:t>
        </w:r>
      </w:hyperlink>
      <w:r w:rsidRPr="00F80910">
        <w:rPr>
          <w:rStyle w:val="TextoNormalCaracter"/>
        </w:rPr>
        <w:t>, f. 2, 3.</w:t>
      </w:r>
    </w:p>
    <w:p w:rsidR="00F80910" w:rsidRPr="00F80910" w:rsidRDefault="00F80910" w:rsidP="00F80910">
      <w:pPr>
        <w:pStyle w:val="TextoNormalSangraFrancesa"/>
        <w:rPr>
          <w:rStyle w:val="TextoNormalCaracter"/>
        </w:rPr>
      </w:pPr>
      <w:bookmarkStart w:id="1214" w:name="DESCRIPTORALFABETICO220"/>
      <w:r w:rsidRPr="00F80910">
        <w:rPr>
          <w:rStyle w:val="TextoNormalNegritaCaracter"/>
        </w:rPr>
        <w:t>Juicio de relevancia inconsistente</w:t>
      </w:r>
      <w:bookmarkEnd w:id="1214"/>
      <w:r w:rsidRPr="00F80910">
        <w:rPr>
          <w:rStyle w:val="TextoNormalCaracter"/>
        </w:rPr>
        <w:t xml:space="preserve">, Sentencias </w:t>
      </w:r>
      <w:hyperlink w:anchor="SENTENCIA_2015_234" w:history="1">
        <w:r w:rsidRPr="00F80910">
          <w:rPr>
            <w:rStyle w:val="TextoNormalCaracter"/>
          </w:rPr>
          <w:t>234/2015</w:t>
        </w:r>
      </w:hyperlink>
      <w:r w:rsidRPr="00F80910">
        <w:rPr>
          <w:rStyle w:val="TextoNormalCaracter"/>
        </w:rPr>
        <w:t xml:space="preserve">, f. 2; </w:t>
      </w:r>
      <w:hyperlink w:anchor="SENTENCIA_2015_241" w:history="1">
        <w:r w:rsidRPr="00F80910">
          <w:rPr>
            <w:rStyle w:val="TextoNormalCaracter"/>
          </w:rPr>
          <w:t>241/2015</w:t>
        </w:r>
      </w:hyperlink>
      <w:r w:rsidRPr="00F80910">
        <w:rPr>
          <w:rStyle w:val="TextoNormalCaracter"/>
        </w:rPr>
        <w:t xml:space="preserve">, ff. 2, 3; </w:t>
      </w:r>
      <w:hyperlink w:anchor="SENTENCIA_2015_245" w:history="1">
        <w:r w:rsidRPr="00F80910">
          <w:rPr>
            <w:rStyle w:val="TextoNormalCaracter"/>
          </w:rPr>
          <w:t>245/2015</w:t>
        </w:r>
      </w:hyperlink>
      <w:r w:rsidRPr="00F80910">
        <w:rPr>
          <w:rStyle w:val="TextoNormalCaracter"/>
        </w:rPr>
        <w:t xml:space="preserve">, f. 2; </w:t>
      </w:r>
      <w:hyperlink w:anchor="SENTENCIA_2015_246" w:history="1">
        <w:r w:rsidRPr="00F80910">
          <w:rPr>
            <w:rStyle w:val="TextoNormalCaracter"/>
          </w:rPr>
          <w:t>246/2015</w:t>
        </w:r>
      </w:hyperlink>
      <w:r w:rsidRPr="00F80910">
        <w:rPr>
          <w:rStyle w:val="TextoNormalCaracter"/>
        </w:rPr>
        <w:t xml:space="preserve">, f. 2; </w:t>
      </w:r>
      <w:hyperlink w:anchor="SENTENCIA_2015_247" w:history="1">
        <w:r w:rsidRPr="00F80910">
          <w:rPr>
            <w:rStyle w:val="TextoNormalCaracter"/>
          </w:rPr>
          <w:t>247/2015</w:t>
        </w:r>
      </w:hyperlink>
      <w:r w:rsidRPr="00F80910">
        <w:rPr>
          <w:rStyle w:val="TextoNormalCaracter"/>
        </w:rPr>
        <w:t xml:space="preserve">, f. 2; </w:t>
      </w:r>
      <w:hyperlink w:anchor="SENTENCIA_2015_248" w:history="1">
        <w:r w:rsidRPr="00F80910">
          <w:rPr>
            <w:rStyle w:val="TextoNormalCaracter"/>
          </w:rPr>
          <w:t>248/2015</w:t>
        </w:r>
      </w:hyperlink>
      <w:r w:rsidRPr="00F80910">
        <w:rPr>
          <w:rStyle w:val="TextoNormalCaracter"/>
        </w:rPr>
        <w:t xml:space="preserve">, f. 2; </w:t>
      </w:r>
      <w:hyperlink w:anchor="SENTENCIA_2015_249" w:history="1">
        <w:r w:rsidRPr="00F80910">
          <w:rPr>
            <w:rStyle w:val="TextoNormalCaracter"/>
          </w:rPr>
          <w:t>249/2015</w:t>
        </w:r>
      </w:hyperlink>
      <w:r w:rsidRPr="00F80910">
        <w:rPr>
          <w:rStyle w:val="TextoNormalCaracter"/>
        </w:rPr>
        <w:t xml:space="preserve">, f. 2; </w:t>
      </w:r>
      <w:hyperlink w:anchor="SENTENCIA_2015_250" w:history="1">
        <w:r w:rsidRPr="00F80910">
          <w:rPr>
            <w:rStyle w:val="TextoNormalCaracter"/>
          </w:rPr>
          <w:t>250/2015</w:t>
        </w:r>
      </w:hyperlink>
      <w:r w:rsidRPr="00F80910">
        <w:rPr>
          <w:rStyle w:val="TextoNormalCaracter"/>
        </w:rPr>
        <w:t xml:space="preserve">, f. 2; </w:t>
      </w:r>
      <w:hyperlink w:anchor="SENTENCIA_2015_251" w:history="1">
        <w:r w:rsidRPr="00F80910">
          <w:rPr>
            <w:rStyle w:val="TextoNormalCaracter"/>
          </w:rPr>
          <w:t>251/2015</w:t>
        </w:r>
      </w:hyperlink>
      <w:r w:rsidRPr="00F80910">
        <w:rPr>
          <w:rStyle w:val="TextoNormalCaracter"/>
        </w:rPr>
        <w:t xml:space="preserve">, f. 2; </w:t>
      </w:r>
      <w:hyperlink w:anchor="SENTENCIA_2015_252" w:history="1">
        <w:r w:rsidRPr="00F80910">
          <w:rPr>
            <w:rStyle w:val="TextoNormalCaracter"/>
          </w:rPr>
          <w:t>252/2015</w:t>
        </w:r>
      </w:hyperlink>
      <w:r w:rsidRPr="00F80910">
        <w:rPr>
          <w:rStyle w:val="TextoNormalCaracter"/>
        </w:rPr>
        <w:t xml:space="preserve">, f. 2; </w:t>
      </w:r>
      <w:hyperlink w:anchor="SENTENCIA_2015_253" w:history="1">
        <w:r w:rsidRPr="00F80910">
          <w:rPr>
            <w:rStyle w:val="TextoNormalCaracter"/>
          </w:rPr>
          <w:t>253/2015</w:t>
        </w:r>
      </w:hyperlink>
      <w:r w:rsidRPr="00F80910">
        <w:rPr>
          <w:rStyle w:val="TextoNormalCaracter"/>
        </w:rPr>
        <w:t xml:space="preserve">, f. 2; </w:t>
      </w:r>
      <w:hyperlink w:anchor="SENTENCIA_2015_255" w:history="1">
        <w:r w:rsidRPr="00F80910">
          <w:rPr>
            <w:rStyle w:val="TextoNormalCaracter"/>
          </w:rPr>
          <w:t>255/2015</w:t>
        </w:r>
      </w:hyperlink>
      <w:r w:rsidRPr="00F80910">
        <w:rPr>
          <w:rStyle w:val="TextoNormalCaracter"/>
        </w:rPr>
        <w:t xml:space="preserve">, f. 2; </w:t>
      </w:r>
      <w:hyperlink w:anchor="SENTENCIA_2015_256" w:history="1">
        <w:r w:rsidRPr="00F80910">
          <w:rPr>
            <w:rStyle w:val="TextoNormalCaracter"/>
          </w:rPr>
          <w:t>256/2015</w:t>
        </w:r>
      </w:hyperlink>
      <w:r w:rsidRPr="00F80910">
        <w:rPr>
          <w:rStyle w:val="TextoNormalCaracter"/>
        </w:rPr>
        <w:t xml:space="preserve">, f. 2; </w:t>
      </w:r>
      <w:hyperlink w:anchor="SENTENCIA_2015_257" w:history="1">
        <w:r w:rsidRPr="00F80910">
          <w:rPr>
            <w:rStyle w:val="TextoNormalCaracter"/>
          </w:rPr>
          <w:t>257/2015</w:t>
        </w:r>
      </w:hyperlink>
      <w:r w:rsidRPr="00F80910">
        <w:rPr>
          <w:rStyle w:val="TextoNormalCaracter"/>
        </w:rPr>
        <w:t xml:space="preserve">, f. 2; </w:t>
      </w:r>
      <w:hyperlink w:anchor="SENTENCIA_2015_258" w:history="1">
        <w:r w:rsidRPr="00F80910">
          <w:rPr>
            <w:rStyle w:val="TextoNormalCaracter"/>
          </w:rPr>
          <w:t>258/2015</w:t>
        </w:r>
      </w:hyperlink>
      <w:r w:rsidRPr="00F80910">
        <w:rPr>
          <w:rStyle w:val="TextoNormalCaracter"/>
        </w:rPr>
        <w:t>, f. 2.</w:t>
      </w:r>
    </w:p>
    <w:p w:rsidR="00F80910" w:rsidRPr="00F80910" w:rsidRDefault="00F80910" w:rsidP="00F80910">
      <w:pPr>
        <w:pStyle w:val="TextoNormalSangraFrancesa"/>
        <w:rPr>
          <w:rStyle w:val="TextoNormalCaracter"/>
        </w:rPr>
      </w:pPr>
      <w:bookmarkStart w:id="1215" w:name="DESCRIPTORALFABETICO579"/>
      <w:r w:rsidRPr="00F80910">
        <w:rPr>
          <w:rStyle w:val="TextoNormalNegritaCaracter"/>
        </w:rPr>
        <w:t>Juicio verbal de desahucio</w:t>
      </w:r>
      <w:bookmarkEnd w:id="1215"/>
      <w:r w:rsidRPr="00F80910">
        <w:rPr>
          <w:rStyle w:val="TextoNormalCaracter"/>
        </w:rPr>
        <w:t xml:space="preserve">, Sentencia </w:t>
      </w:r>
      <w:hyperlink w:anchor="SENTENCIA_2015_181" w:history="1">
        <w:r w:rsidRPr="00F80910">
          <w:rPr>
            <w:rStyle w:val="TextoNormalCaracter"/>
          </w:rPr>
          <w:t>181/2015</w:t>
        </w:r>
      </w:hyperlink>
      <w:r w:rsidRPr="00F80910">
        <w:rPr>
          <w:rStyle w:val="TextoNormalCaracter"/>
        </w:rPr>
        <w:t>, f. 1.</w:t>
      </w:r>
    </w:p>
    <w:p w:rsidR="00F80910" w:rsidRPr="00F80910" w:rsidRDefault="00F80910" w:rsidP="00F80910">
      <w:pPr>
        <w:pStyle w:val="TextoNormalSangraFrancesa"/>
        <w:rPr>
          <w:rStyle w:val="TextoNormalCaracter"/>
        </w:rPr>
      </w:pPr>
      <w:bookmarkStart w:id="1216" w:name="DESCRIPTORALFABETICO391"/>
      <w:r w:rsidRPr="00F80910">
        <w:rPr>
          <w:rStyle w:val="TextoNormalNegritaCaracter"/>
        </w:rPr>
        <w:t>Justiprecio</w:t>
      </w:r>
      <w:bookmarkEnd w:id="1216"/>
      <w:r w:rsidRPr="00F80910">
        <w:rPr>
          <w:rStyle w:val="TextoNormalCaracter"/>
        </w:rPr>
        <w:t xml:space="preserve">, Sentencias </w:t>
      </w:r>
      <w:hyperlink w:anchor="SENTENCIA_2015_186" w:history="1">
        <w:r w:rsidRPr="00F80910">
          <w:rPr>
            <w:rStyle w:val="TextoNormalCaracter"/>
          </w:rPr>
          <w:t>186/2015</w:t>
        </w:r>
      </w:hyperlink>
      <w:r w:rsidRPr="00F80910">
        <w:rPr>
          <w:rStyle w:val="TextoNormalCaracter"/>
        </w:rPr>
        <w:t xml:space="preserve">, f. 1; </w:t>
      </w:r>
      <w:hyperlink w:anchor="SENTENCIA_2015_218" w:history="1">
        <w:r w:rsidRPr="00F80910">
          <w:rPr>
            <w:rStyle w:val="TextoNormalCaracter"/>
          </w:rPr>
          <w:t>218/2015</w:t>
        </w:r>
      </w:hyperlink>
      <w:r w:rsidRPr="00F80910">
        <w:rPr>
          <w:rStyle w:val="TextoNormalCaracter"/>
        </w:rPr>
        <w:t>, ff. 1, 2, 5, VP II, VP III.</w:t>
      </w:r>
    </w:p>
    <w:p w:rsidR="00F80910" w:rsidRDefault="00F80910" w:rsidP="00F80910">
      <w:pPr>
        <w:pStyle w:val="TextoNormalSangraFrancesa"/>
      </w:pPr>
    </w:p>
    <w:p w:rsidR="00F80910" w:rsidRDefault="00F80910" w:rsidP="00F80910">
      <w:pPr>
        <w:pStyle w:val="TextoNormalSangraFrancesa"/>
      </w:pPr>
    </w:p>
    <w:p w:rsidR="00F80910" w:rsidRDefault="00F80910" w:rsidP="00F80910">
      <w:pPr>
        <w:pStyle w:val="TextoNormalNegritaCentrado"/>
      </w:pPr>
      <w:r>
        <w:t>L</w:t>
      </w:r>
    </w:p>
    <w:p w:rsidR="00F80910" w:rsidRDefault="00F80910" w:rsidP="00F80910">
      <w:pPr>
        <w:pStyle w:val="TextoNormalNegritaCentrado"/>
      </w:pPr>
    </w:p>
    <w:p w:rsidR="00F80910" w:rsidRPr="00F80910" w:rsidRDefault="00F80910" w:rsidP="00F80910">
      <w:pPr>
        <w:pStyle w:val="TextoNormalSangraFrancesa"/>
        <w:rPr>
          <w:rStyle w:val="TextoNormalCaracter"/>
        </w:rPr>
      </w:pPr>
      <w:bookmarkStart w:id="1217" w:name="DESCRIPTORALFABETICO451"/>
      <w:r w:rsidRPr="00F80910">
        <w:rPr>
          <w:rStyle w:val="TextoNormalNegritaCaracter"/>
        </w:rPr>
        <w:t>Legislación autonómica</w:t>
      </w:r>
      <w:bookmarkEnd w:id="1217"/>
      <w:r w:rsidRPr="00F80910">
        <w:rPr>
          <w:rStyle w:val="TextoNormalCaracter"/>
        </w:rPr>
        <w:t xml:space="preserve">, Sentencia </w:t>
      </w:r>
      <w:hyperlink w:anchor="SENTENCIA_2015_237" w:history="1">
        <w:r w:rsidRPr="00F80910">
          <w:rPr>
            <w:rStyle w:val="TextoNormalCaracter"/>
          </w:rPr>
          <w:t>237/2015</w:t>
        </w:r>
      </w:hyperlink>
      <w:r w:rsidRPr="00F80910">
        <w:rPr>
          <w:rStyle w:val="TextoNormalCaracter"/>
        </w:rPr>
        <w:t>, ff. 2, 5 a 9.</w:t>
      </w:r>
    </w:p>
    <w:p w:rsidR="00F80910" w:rsidRPr="00F80910" w:rsidRDefault="00F80910" w:rsidP="00F80910">
      <w:pPr>
        <w:pStyle w:val="TextoNormalSangraFrancesa"/>
        <w:rPr>
          <w:rStyle w:val="TextoNormalCaracter"/>
        </w:rPr>
      </w:pPr>
      <w:bookmarkStart w:id="1218" w:name="DESCRIPTORALFABETICO452"/>
      <w:r w:rsidRPr="00F80910">
        <w:rPr>
          <w:rStyle w:val="TextoNormalNegritaCaracter"/>
        </w:rPr>
        <w:t>Legislación básica</w:t>
      </w:r>
      <w:bookmarkEnd w:id="1218"/>
      <w:r w:rsidRPr="00F80910">
        <w:rPr>
          <w:rStyle w:val="TextoNormalCaracter"/>
        </w:rPr>
        <w:t xml:space="preserve">, Sentencias </w:t>
      </w:r>
      <w:hyperlink w:anchor="SENTENCIA_2015_154" w:history="1">
        <w:r w:rsidRPr="00F80910">
          <w:rPr>
            <w:rStyle w:val="TextoNormalCaracter"/>
          </w:rPr>
          <w:t>154/2015</w:t>
        </w:r>
      </w:hyperlink>
      <w:r w:rsidRPr="00F80910">
        <w:rPr>
          <w:rStyle w:val="TextoNormalCaracter"/>
        </w:rPr>
        <w:t xml:space="preserve">, ff. 6, 7; </w:t>
      </w:r>
      <w:hyperlink w:anchor="SENTENCIA_2015_235" w:history="1">
        <w:r w:rsidRPr="00F80910">
          <w:rPr>
            <w:rStyle w:val="TextoNormalCaracter"/>
          </w:rPr>
          <w:t>235/2015</w:t>
        </w:r>
      </w:hyperlink>
      <w:r w:rsidRPr="00F80910">
        <w:rPr>
          <w:rStyle w:val="TextoNormalCaracter"/>
        </w:rPr>
        <w:t xml:space="preserve">, ff. 4, 5; </w:t>
      </w:r>
      <w:hyperlink w:anchor="SENTENCIA_2015_260" w:history="1">
        <w:r w:rsidRPr="00F80910">
          <w:rPr>
            <w:rStyle w:val="TextoNormalCaracter"/>
          </w:rPr>
          <w:t>260/2015</w:t>
        </w:r>
      </w:hyperlink>
      <w:r w:rsidRPr="00F80910">
        <w:rPr>
          <w:rStyle w:val="TextoNormalCaracter"/>
        </w:rPr>
        <w:t>, ff. 3, 4.</w:t>
      </w:r>
    </w:p>
    <w:p w:rsidR="00F80910" w:rsidRPr="00F80910" w:rsidRDefault="00F80910" w:rsidP="00F80910">
      <w:pPr>
        <w:pStyle w:val="TextoNormalSangraFrancesa"/>
        <w:rPr>
          <w:rStyle w:val="TextoNormalCaracter"/>
        </w:rPr>
      </w:pPr>
      <w:bookmarkStart w:id="1219" w:name="DESCRIPTORALFABETICO454"/>
      <w:r w:rsidRPr="00F80910">
        <w:rPr>
          <w:rStyle w:val="TextoNormalNegritaCaracter"/>
        </w:rPr>
        <w:t>Legislación básica mínima</w:t>
      </w:r>
      <w:bookmarkEnd w:id="1219"/>
      <w:r w:rsidRPr="00F80910">
        <w:rPr>
          <w:rStyle w:val="TextoNormalCaracter"/>
        </w:rPr>
        <w:t xml:space="preserve">, Sentencias </w:t>
      </w:r>
      <w:hyperlink w:anchor="SENTENCIA_2015_214" w:history="1">
        <w:r w:rsidRPr="00F80910">
          <w:rPr>
            <w:rStyle w:val="TextoNormalCaracter"/>
          </w:rPr>
          <w:t>214/2015</w:t>
        </w:r>
      </w:hyperlink>
      <w:r w:rsidRPr="00F80910">
        <w:rPr>
          <w:rStyle w:val="TextoNormalCaracter"/>
        </w:rPr>
        <w:t xml:space="preserve">, f. 4; </w:t>
      </w:r>
      <w:hyperlink w:anchor="SENTENCIA_2015_271" w:history="1">
        <w:r w:rsidRPr="00F80910">
          <w:rPr>
            <w:rStyle w:val="TextoNormalCaracter"/>
          </w:rPr>
          <w:t>271/2015</w:t>
        </w:r>
      </w:hyperlink>
      <w:r w:rsidRPr="00F80910">
        <w:rPr>
          <w:rStyle w:val="TextoNormalCaracter"/>
        </w:rPr>
        <w:t>, ff. 2 a 6.</w:t>
      </w:r>
    </w:p>
    <w:p w:rsidR="00F80910" w:rsidRPr="00F80910" w:rsidRDefault="00F80910" w:rsidP="00F80910">
      <w:pPr>
        <w:pStyle w:val="TextoNormalSangraFrancesa"/>
        <w:rPr>
          <w:rStyle w:val="TextoNormalCaracter"/>
        </w:rPr>
      </w:pPr>
      <w:bookmarkStart w:id="1220" w:name="DESCRIPTORALFABETICO458"/>
      <w:r w:rsidRPr="00F80910">
        <w:rPr>
          <w:rStyle w:val="TextoNormalNegritaCaracter"/>
        </w:rPr>
        <w:t>Legislación laboral</w:t>
      </w:r>
      <w:bookmarkEnd w:id="1220"/>
      <w:r w:rsidRPr="00F80910">
        <w:rPr>
          <w:rStyle w:val="TextoNormalCaracter"/>
        </w:rPr>
        <w:t xml:space="preserve">, Sentencia </w:t>
      </w:r>
      <w:hyperlink w:anchor="SENTENCIA_2015_185" w:history="1">
        <w:r w:rsidRPr="00F80910">
          <w:rPr>
            <w:rStyle w:val="TextoNormalCaracter"/>
          </w:rPr>
          <w:t>185/2015</w:t>
        </w:r>
      </w:hyperlink>
      <w:r w:rsidRPr="00F80910">
        <w:rPr>
          <w:rStyle w:val="TextoNormalCaracter"/>
        </w:rPr>
        <w:t>, ff. 2, 4, 5.</w:t>
      </w:r>
    </w:p>
    <w:p w:rsidR="00F80910" w:rsidRPr="00F80910" w:rsidRDefault="00F80910" w:rsidP="00F80910">
      <w:pPr>
        <w:pStyle w:val="TextoNormalSangraFrancesa"/>
        <w:rPr>
          <w:rStyle w:val="TextoNormalCaracter"/>
        </w:rPr>
      </w:pPr>
      <w:bookmarkStart w:id="1221" w:name="DESCRIPTORALFABETICO459"/>
      <w:r w:rsidRPr="00F80910">
        <w:rPr>
          <w:rStyle w:val="TextoNormalNegritaCaracter"/>
        </w:rPr>
        <w:t>Legislación procesal penal</w:t>
      </w:r>
      <w:bookmarkEnd w:id="1221"/>
      <w:r w:rsidRPr="00F80910">
        <w:rPr>
          <w:rStyle w:val="TextoNormalCaracter"/>
        </w:rPr>
        <w:t xml:space="preserve">, Sentencia </w:t>
      </w:r>
      <w:hyperlink w:anchor="SENTENCIA_2015_217" w:history="1">
        <w:r w:rsidRPr="00F80910">
          <w:rPr>
            <w:rStyle w:val="TextoNormalCaracter"/>
          </w:rPr>
          <w:t>217/2015</w:t>
        </w:r>
      </w:hyperlink>
      <w:r w:rsidRPr="00F80910">
        <w:rPr>
          <w:rStyle w:val="TextoNormalCaracter"/>
        </w:rPr>
        <w:t>, ff. 3, 4.</w:t>
      </w:r>
    </w:p>
    <w:p w:rsidR="00F80910" w:rsidRPr="00F80910" w:rsidRDefault="00F80910" w:rsidP="00F80910">
      <w:pPr>
        <w:pStyle w:val="TextoNormalSangraFrancesa"/>
        <w:rPr>
          <w:rStyle w:val="TextoNormalCaracter"/>
        </w:rPr>
      </w:pPr>
      <w:bookmarkStart w:id="1222" w:name="DESCRIPTORALFABETICO559"/>
      <w:r w:rsidRPr="00F80910">
        <w:rPr>
          <w:rStyle w:val="TextoNormalNegritaCaracter"/>
        </w:rPr>
        <w:t>Legitimación en incidente de nulidad de actuaciones</w:t>
      </w:r>
      <w:bookmarkEnd w:id="1222"/>
      <w:r w:rsidRPr="00F80910">
        <w:rPr>
          <w:rStyle w:val="TextoNormalCaracter"/>
        </w:rPr>
        <w:t xml:space="preserve">, Sentencia </w:t>
      </w:r>
      <w:hyperlink w:anchor="SENTENCIA_2015_208" w:history="1">
        <w:r w:rsidRPr="00F80910">
          <w:rPr>
            <w:rStyle w:val="TextoNormalCaracter"/>
          </w:rPr>
          <w:t>208/2015</w:t>
        </w:r>
      </w:hyperlink>
      <w:r w:rsidRPr="00F80910">
        <w:rPr>
          <w:rStyle w:val="TextoNormalCaracter"/>
        </w:rPr>
        <w:t>, ff. 3 a 5.</w:t>
      </w:r>
    </w:p>
    <w:p w:rsidR="00F80910" w:rsidRPr="00F80910" w:rsidRDefault="00F80910" w:rsidP="00F80910">
      <w:pPr>
        <w:pStyle w:val="TextoNormalSangraFrancesa"/>
        <w:rPr>
          <w:rStyle w:val="TextoNormalCaracter"/>
        </w:rPr>
      </w:pPr>
      <w:bookmarkStart w:id="1223" w:name="DESCRIPTORALFABETICO182"/>
      <w:r w:rsidRPr="00F80910">
        <w:rPr>
          <w:rStyle w:val="TextoNormalNegritaCaracter"/>
        </w:rPr>
        <w:t>Legitimación en recurso de inconstitucionalidad</w:t>
      </w:r>
      <w:bookmarkEnd w:id="1223"/>
      <w:r w:rsidRPr="00F80910">
        <w:rPr>
          <w:rStyle w:val="TextoNormalCaracter"/>
        </w:rPr>
        <w:t xml:space="preserve">, Auto </w:t>
      </w:r>
      <w:hyperlink w:anchor="AUTO_2015_139" w:history="1">
        <w:r w:rsidRPr="00F80910">
          <w:rPr>
            <w:rStyle w:val="TextoNormalCaracter"/>
          </w:rPr>
          <w:t>139/2015</w:t>
        </w:r>
      </w:hyperlink>
      <w:r w:rsidRPr="00F80910">
        <w:rPr>
          <w:rStyle w:val="TextoNormalCaracter"/>
        </w:rPr>
        <w:t>, f. único.</w:t>
      </w:r>
    </w:p>
    <w:p w:rsidR="00F80910" w:rsidRPr="00F80910" w:rsidRDefault="00F80910" w:rsidP="00F80910">
      <w:pPr>
        <w:pStyle w:val="TextoNormalSangraFrancesa"/>
        <w:rPr>
          <w:rStyle w:val="TextoNormalCaracter"/>
        </w:rPr>
      </w:pPr>
      <w:bookmarkStart w:id="1224" w:name="DESCRIPTORALFABETICO178"/>
      <w:r w:rsidRPr="00F80910">
        <w:rPr>
          <w:rStyle w:val="TextoNormalNegritaCaracter"/>
        </w:rPr>
        <w:t>Levantamiento de la suspensión de disposiciones de las Comunidades Autónomas</w:t>
      </w:r>
      <w:bookmarkEnd w:id="1224"/>
      <w:r w:rsidRPr="00F80910">
        <w:rPr>
          <w:rStyle w:val="TextoNormalCaracter"/>
        </w:rPr>
        <w:t xml:space="preserve">, Autos </w:t>
      </w:r>
      <w:hyperlink w:anchor="AUTO_2015_185" w:history="1">
        <w:r w:rsidRPr="00F80910">
          <w:rPr>
            <w:rStyle w:val="TextoNormalCaracter"/>
          </w:rPr>
          <w:t>185/2015</w:t>
        </w:r>
      </w:hyperlink>
      <w:r w:rsidRPr="00F80910">
        <w:rPr>
          <w:rStyle w:val="TextoNormalCaracter"/>
        </w:rPr>
        <w:t xml:space="preserve">, ff. 2 a 5; </w:t>
      </w:r>
      <w:hyperlink w:anchor="AUTO_2015_202" w:history="1">
        <w:r w:rsidRPr="00F80910">
          <w:rPr>
            <w:rStyle w:val="TextoNormalCaracter"/>
          </w:rPr>
          <w:t>202/2015</w:t>
        </w:r>
      </w:hyperlink>
      <w:r w:rsidRPr="00F80910">
        <w:rPr>
          <w:rStyle w:val="TextoNormalCaracter"/>
        </w:rPr>
        <w:t xml:space="preserve">, ff. 2 a 4; </w:t>
      </w:r>
      <w:hyperlink w:anchor="AUTO_2015_226" w:history="1">
        <w:r w:rsidRPr="00F80910">
          <w:rPr>
            <w:rStyle w:val="TextoNormalCaracter"/>
          </w:rPr>
          <w:t>226/2015</w:t>
        </w:r>
      </w:hyperlink>
      <w:r w:rsidRPr="00F80910">
        <w:rPr>
          <w:rStyle w:val="TextoNormalCaracter"/>
        </w:rPr>
        <w:t>, ff., 3 a 5 c), 5 e).</w:t>
      </w:r>
    </w:p>
    <w:p w:rsidR="00F80910" w:rsidRPr="00F80910" w:rsidRDefault="00F80910" w:rsidP="00F80910">
      <w:pPr>
        <w:pStyle w:val="TextoNormalSangraFrancesa"/>
        <w:rPr>
          <w:rStyle w:val="TextoNormalCaracter"/>
        </w:rPr>
      </w:pPr>
      <w:bookmarkStart w:id="1225" w:name="DESCRIPTORALFABETICO179"/>
      <w:r w:rsidRPr="00F80910">
        <w:rPr>
          <w:rStyle w:val="TextoNormalNegritaCaracter"/>
        </w:rPr>
        <w:t>Levantamiento parcial de la suspensión</w:t>
      </w:r>
      <w:bookmarkEnd w:id="1225"/>
      <w:r w:rsidRPr="00F80910">
        <w:rPr>
          <w:rStyle w:val="TextoNormalCaracter"/>
        </w:rPr>
        <w:t xml:space="preserve">, Auto </w:t>
      </w:r>
      <w:hyperlink w:anchor="AUTO_2015_122" w:history="1">
        <w:r w:rsidRPr="00F80910">
          <w:rPr>
            <w:rStyle w:val="TextoNormalCaracter"/>
          </w:rPr>
          <w:t>122/2015</w:t>
        </w:r>
      </w:hyperlink>
      <w:r w:rsidRPr="00F80910">
        <w:rPr>
          <w:rStyle w:val="TextoNormalCaracter"/>
        </w:rPr>
        <w:t>, f. 6.</w:t>
      </w:r>
    </w:p>
    <w:p w:rsidR="00F80910" w:rsidRPr="00F80910" w:rsidRDefault="00F80910" w:rsidP="00F80910">
      <w:pPr>
        <w:pStyle w:val="TextoNormalSangraFrancesa"/>
        <w:rPr>
          <w:rStyle w:val="TextoNormalCaracter"/>
        </w:rPr>
      </w:pPr>
      <w:bookmarkStart w:id="1226" w:name="DESCRIPTORALFABETICO461"/>
      <w:r w:rsidRPr="00F80910">
        <w:rPr>
          <w:rStyle w:val="TextoNormalNegritaCaracter"/>
        </w:rPr>
        <w:t>Leyes singulares</w:t>
      </w:r>
      <w:bookmarkEnd w:id="1226"/>
      <w:r w:rsidRPr="00F80910">
        <w:rPr>
          <w:rStyle w:val="TextoNormalCaracter"/>
        </w:rPr>
        <w:t xml:space="preserve">, Sentencia </w:t>
      </w:r>
      <w:hyperlink w:anchor="SENTENCIA_2015_233" w:history="1">
        <w:r w:rsidRPr="00F80910">
          <w:rPr>
            <w:rStyle w:val="TextoNormalCaracter"/>
          </w:rPr>
          <w:t>233/2015</w:t>
        </w:r>
      </w:hyperlink>
      <w:r w:rsidRPr="00F80910">
        <w:rPr>
          <w:rStyle w:val="TextoNormalCaracter"/>
        </w:rPr>
        <w:t>, f. 15.</w:t>
      </w:r>
    </w:p>
    <w:p w:rsidR="00F80910" w:rsidRPr="00F80910" w:rsidRDefault="00F80910" w:rsidP="00F80910">
      <w:pPr>
        <w:pStyle w:val="TextoNormalSangraFrancesa"/>
        <w:rPr>
          <w:rStyle w:val="TextoNormalCaracter"/>
        </w:rPr>
      </w:pPr>
      <w:r w:rsidRPr="00F80910">
        <w:rPr>
          <w:rStyle w:val="TextoNormalCursivaCaracter"/>
        </w:rPr>
        <w:t xml:space="preserve">    Concepto, </w:t>
      </w:r>
      <w:r w:rsidRPr="00F80910">
        <w:rPr>
          <w:rStyle w:val="TextoNormalCaracter"/>
        </w:rPr>
        <w:t xml:space="preserve">Sentencia </w:t>
      </w:r>
      <w:hyperlink w:anchor="SENTENCIA_2015_231" w:history="1">
        <w:r w:rsidRPr="00F80910">
          <w:rPr>
            <w:rStyle w:val="TextoNormalCaracter"/>
          </w:rPr>
          <w:t>231/2015</w:t>
        </w:r>
      </w:hyperlink>
      <w:r w:rsidRPr="00F80910">
        <w:rPr>
          <w:rStyle w:val="TextoNormalCaracter"/>
        </w:rPr>
        <w:t>, f. 3.</w:t>
      </w:r>
    </w:p>
    <w:p w:rsidR="00F80910" w:rsidRPr="00F80910" w:rsidRDefault="00F80910" w:rsidP="00F80910">
      <w:pPr>
        <w:pStyle w:val="TextoNormalSangraFrancesa"/>
        <w:rPr>
          <w:rStyle w:val="TextoNormalCaracter"/>
        </w:rPr>
      </w:pPr>
      <w:bookmarkStart w:id="1227" w:name="DESCRIPTORALFABETICO503"/>
      <w:r w:rsidRPr="00F80910">
        <w:rPr>
          <w:rStyle w:val="TextoNormalNegritaCaracter"/>
        </w:rPr>
        <w:t>Liberados sindicales</w:t>
      </w:r>
      <w:bookmarkEnd w:id="1227"/>
      <w:r w:rsidRPr="00F80910">
        <w:rPr>
          <w:rStyle w:val="TextoNormalCaracter"/>
        </w:rPr>
        <w:t xml:space="preserve">, Sentencia </w:t>
      </w:r>
      <w:hyperlink w:anchor="SENTENCIA_2015_148" w:history="1">
        <w:r w:rsidRPr="00F80910">
          <w:rPr>
            <w:rStyle w:val="TextoNormalCaracter"/>
          </w:rPr>
          <w:t>148/2015</w:t>
        </w:r>
      </w:hyperlink>
      <w:r w:rsidRPr="00F80910">
        <w:rPr>
          <w:rStyle w:val="TextoNormalCaracter"/>
        </w:rPr>
        <w:t>, ff. 3, 4.</w:t>
      </w:r>
    </w:p>
    <w:p w:rsidR="00F80910" w:rsidRPr="00F80910" w:rsidRDefault="00F80910" w:rsidP="00F80910">
      <w:pPr>
        <w:pStyle w:val="TextoNormalSangraFrancesa"/>
        <w:rPr>
          <w:rStyle w:val="TextoNormalCaracter"/>
        </w:rPr>
      </w:pPr>
      <w:bookmarkStart w:id="1228" w:name="DESCRIPTORALFABETICO271"/>
      <w:r w:rsidRPr="00F80910">
        <w:rPr>
          <w:rStyle w:val="TextoNormalNegritaCaracter"/>
        </w:rPr>
        <w:t>Libertad de configuración del legislador</w:t>
      </w:r>
      <w:bookmarkEnd w:id="1228"/>
      <w:r w:rsidRPr="00F80910">
        <w:rPr>
          <w:rStyle w:val="TextoNormalCaracter"/>
        </w:rPr>
        <w:t xml:space="preserve">, Sentencias </w:t>
      </w:r>
      <w:hyperlink w:anchor="SENTENCIA_2015_218" w:history="1">
        <w:r w:rsidRPr="00F80910">
          <w:rPr>
            <w:rStyle w:val="TextoNormalCaracter"/>
          </w:rPr>
          <w:t>218/2015</w:t>
        </w:r>
      </w:hyperlink>
      <w:r w:rsidRPr="00F80910">
        <w:rPr>
          <w:rStyle w:val="TextoNormalCaracter"/>
        </w:rPr>
        <w:t xml:space="preserve">, ff. 3, 5, 6, VP III; </w:t>
      </w:r>
      <w:hyperlink w:anchor="SENTENCIA_2015_233" w:history="1">
        <w:r w:rsidRPr="00F80910">
          <w:rPr>
            <w:rStyle w:val="TextoNormalCaracter"/>
          </w:rPr>
          <w:t>233/2015</w:t>
        </w:r>
      </w:hyperlink>
      <w:r w:rsidRPr="00F80910">
        <w:rPr>
          <w:rStyle w:val="TextoNormalCaracter"/>
        </w:rPr>
        <w:t xml:space="preserve">, ff. 3, 5, 7, 8; </w:t>
      </w:r>
      <w:hyperlink w:anchor="SENTENCIA_2015_236" w:history="1">
        <w:r w:rsidRPr="00F80910">
          <w:rPr>
            <w:rStyle w:val="TextoNormalCaracter"/>
          </w:rPr>
          <w:t>236/2015</w:t>
        </w:r>
      </w:hyperlink>
      <w:r w:rsidRPr="00F80910">
        <w:rPr>
          <w:rStyle w:val="TextoNormalCaracter"/>
        </w:rPr>
        <w:t xml:space="preserve">, f. 4; </w:t>
      </w:r>
      <w:hyperlink w:anchor="SENTENCIA_2015_244" w:history="1">
        <w:r w:rsidRPr="00F80910">
          <w:rPr>
            <w:rStyle w:val="TextoNormalCaracter"/>
          </w:rPr>
          <w:t>244/2015</w:t>
        </w:r>
      </w:hyperlink>
      <w:r w:rsidRPr="00F80910">
        <w:rPr>
          <w:rStyle w:val="TextoNormalCaracter"/>
        </w:rPr>
        <w:t>, f. 4.</w:t>
      </w:r>
    </w:p>
    <w:p w:rsidR="00F80910" w:rsidRPr="00F80910" w:rsidRDefault="00F80910" w:rsidP="00F80910">
      <w:pPr>
        <w:pStyle w:val="TextoNormalSangraFrancesa"/>
        <w:rPr>
          <w:rStyle w:val="TextoNormalCaracter"/>
        </w:rPr>
      </w:pPr>
      <w:bookmarkStart w:id="1229" w:name="DESCRIPTORALFABETICO131"/>
      <w:r w:rsidRPr="00F80910">
        <w:rPr>
          <w:rStyle w:val="TextoNormalNegritaCaracter"/>
        </w:rPr>
        <w:t>Libertad de creación de centros docentes</w:t>
      </w:r>
      <w:bookmarkEnd w:id="1229"/>
      <w:r w:rsidRPr="00F80910">
        <w:rPr>
          <w:rStyle w:val="TextoNormalCaracter"/>
        </w:rPr>
        <w:t xml:space="preserve">, Sentencia </w:t>
      </w:r>
      <w:hyperlink w:anchor="SENTENCIA_2015_176" w:history="1">
        <w:r w:rsidRPr="00F80910">
          <w:rPr>
            <w:rStyle w:val="TextoNormalCaracter"/>
          </w:rPr>
          <w:t>176/2015</w:t>
        </w:r>
      </w:hyperlink>
      <w:r w:rsidRPr="00F80910">
        <w:rPr>
          <w:rStyle w:val="TextoNormalCaracter"/>
        </w:rPr>
        <w:t>, ff, 2, 3, 5, VP.</w:t>
      </w:r>
    </w:p>
    <w:p w:rsidR="00F80910" w:rsidRPr="00F80910" w:rsidRDefault="00F80910" w:rsidP="00F80910">
      <w:pPr>
        <w:pStyle w:val="TextoNormalSangraFrancesa"/>
        <w:rPr>
          <w:rStyle w:val="TextoNormalCaracter"/>
        </w:rPr>
      </w:pPr>
      <w:bookmarkStart w:id="1230" w:name="DESCRIPTORALFABETICO132"/>
      <w:r w:rsidRPr="00F80910">
        <w:rPr>
          <w:rStyle w:val="TextoNormalNegritaCaracter"/>
        </w:rPr>
        <w:t xml:space="preserve">Libertad de creación de centros docentes </w:t>
      </w:r>
      <w:r w:rsidRPr="00F80910">
        <w:rPr>
          <w:rStyle w:val="TextoNormalNegritaCaracter"/>
          <w:i/>
        </w:rPr>
        <w:t>versus</w:t>
      </w:r>
      <w:r w:rsidRPr="00F80910">
        <w:rPr>
          <w:rStyle w:val="TextoNormalNegritaCaracter"/>
        </w:rPr>
        <w:t xml:space="preserve"> autonomía universitaria</w:t>
      </w:r>
      <w:bookmarkEnd w:id="1230"/>
      <w:r w:rsidRPr="00F80910">
        <w:rPr>
          <w:rStyle w:val="TextoNormalCaracter"/>
        </w:rPr>
        <w:t xml:space="preserve">, Sentencia </w:t>
      </w:r>
      <w:hyperlink w:anchor="SENTENCIA_2015_176" w:history="1">
        <w:r w:rsidRPr="00F80910">
          <w:rPr>
            <w:rStyle w:val="TextoNormalCaracter"/>
          </w:rPr>
          <w:t>176/2015</w:t>
        </w:r>
      </w:hyperlink>
      <w:r w:rsidRPr="00F80910">
        <w:rPr>
          <w:rStyle w:val="TextoNormalCaracter"/>
        </w:rPr>
        <w:t>, ff. 4, 5, VP.</w:t>
      </w:r>
    </w:p>
    <w:p w:rsidR="00F80910" w:rsidRPr="00F80910" w:rsidRDefault="00F80910" w:rsidP="00F80910">
      <w:pPr>
        <w:pStyle w:val="TextoNormalSangraFrancesa"/>
        <w:rPr>
          <w:rStyle w:val="TextoNormalCaracter"/>
        </w:rPr>
      </w:pPr>
      <w:bookmarkStart w:id="1231" w:name="DESCRIPTORALFABETICO129"/>
      <w:r w:rsidRPr="00F80910">
        <w:rPr>
          <w:rStyle w:val="TextoNormalNegritaCaracter"/>
        </w:rPr>
        <w:t>Libertad de empresa</w:t>
      </w:r>
      <w:bookmarkEnd w:id="1231"/>
      <w:r w:rsidRPr="00F80910">
        <w:rPr>
          <w:rStyle w:val="TextoNormalCaracter"/>
        </w:rPr>
        <w:t xml:space="preserve">, Sentencia </w:t>
      </w:r>
      <w:hyperlink w:anchor="SENTENCIA_2015_233" w:history="1">
        <w:r w:rsidRPr="00F80910">
          <w:rPr>
            <w:rStyle w:val="TextoNormalCaracter"/>
          </w:rPr>
          <w:t>233/2015</w:t>
        </w:r>
      </w:hyperlink>
      <w:r w:rsidRPr="00F80910">
        <w:rPr>
          <w:rStyle w:val="TextoNormalCaracter"/>
        </w:rPr>
        <w:t>, f. 10.</w:t>
      </w:r>
    </w:p>
    <w:p w:rsidR="00F80910" w:rsidRPr="00F80910" w:rsidRDefault="00F80910" w:rsidP="00F80910">
      <w:pPr>
        <w:pStyle w:val="TextoNormalSangraFrancesa"/>
        <w:rPr>
          <w:rStyle w:val="TextoNormalCaracter"/>
        </w:rPr>
      </w:pPr>
      <w:bookmarkStart w:id="1232" w:name="DESCRIPTORALFABETICO133"/>
      <w:r w:rsidRPr="00F80910">
        <w:rPr>
          <w:rStyle w:val="TextoNormalNegritaCaracter"/>
        </w:rPr>
        <w:t>Libertad de expresión</w:t>
      </w:r>
      <w:bookmarkEnd w:id="1232"/>
      <w:r w:rsidRPr="00F80910">
        <w:rPr>
          <w:rStyle w:val="TextoNormalCaracter"/>
        </w:rPr>
        <w:t xml:space="preserve">, Sentencia </w:t>
      </w:r>
      <w:hyperlink w:anchor="SENTENCIA_2015_203" w:history="1">
        <w:r w:rsidRPr="00F80910">
          <w:rPr>
            <w:rStyle w:val="TextoNormalCaracter"/>
          </w:rPr>
          <w:t>203/2015</w:t>
        </w:r>
      </w:hyperlink>
      <w:r w:rsidRPr="00F80910">
        <w:rPr>
          <w:rStyle w:val="TextoNormalCaracter"/>
        </w:rPr>
        <w:t>, ff. 3, 5, 6.</w:t>
      </w:r>
    </w:p>
    <w:p w:rsidR="00F80910" w:rsidRPr="00F80910" w:rsidRDefault="00F80910" w:rsidP="00F80910">
      <w:pPr>
        <w:pStyle w:val="TextoNormalSangraFrancesa"/>
        <w:rPr>
          <w:rStyle w:val="TextoNormalCaracter"/>
        </w:rPr>
      </w:pPr>
      <w:r w:rsidRPr="00F80910">
        <w:rPr>
          <w:rStyle w:val="TextoNormalCursivaCaracter"/>
        </w:rPr>
        <w:t xml:space="preserve">    Respetada, </w:t>
      </w:r>
      <w:r w:rsidRPr="00F80910">
        <w:rPr>
          <w:rStyle w:val="TextoNormalCaracter"/>
        </w:rPr>
        <w:t xml:space="preserve">Sentencia </w:t>
      </w:r>
      <w:hyperlink w:anchor="SENTENCIA_2015_177" w:history="1">
        <w:r w:rsidRPr="00F80910">
          <w:rPr>
            <w:rStyle w:val="TextoNormalCaracter"/>
          </w:rPr>
          <w:t>177/2015</w:t>
        </w:r>
      </w:hyperlink>
      <w:r w:rsidRPr="00F80910">
        <w:rPr>
          <w:rStyle w:val="TextoNormalCaracter"/>
        </w:rPr>
        <w:t>, ff. 2 a 4, VP I, VP III.</w:t>
      </w:r>
    </w:p>
    <w:p w:rsidR="00F80910" w:rsidRPr="00F80910" w:rsidRDefault="00F80910" w:rsidP="00F80910">
      <w:pPr>
        <w:pStyle w:val="TextoNormalSangraFrancesa"/>
        <w:rPr>
          <w:rStyle w:val="TextoNormalCaracter"/>
        </w:rPr>
      </w:pPr>
      <w:bookmarkStart w:id="1233" w:name="DESCRIPTORALFABETICO142"/>
      <w:r w:rsidRPr="00F80910">
        <w:rPr>
          <w:rStyle w:val="TextoNormalNegritaCaracter"/>
        </w:rPr>
        <w:t>Libertad de expresión en el ejercicio de la defensa letrada</w:t>
      </w:r>
      <w:bookmarkEnd w:id="1233"/>
      <w:r w:rsidRPr="00F80910">
        <w:rPr>
          <w:rStyle w:val="TextoNormalCaracter"/>
        </w:rPr>
        <w:t xml:space="preserve">, Sentencia </w:t>
      </w:r>
      <w:hyperlink w:anchor="SENTENCIA_2015_187" w:history="1">
        <w:r w:rsidRPr="00F80910">
          <w:rPr>
            <w:rStyle w:val="TextoNormalCaracter"/>
          </w:rPr>
          <w:t>187/2015</w:t>
        </w:r>
      </w:hyperlink>
      <w:r w:rsidRPr="00F80910">
        <w:rPr>
          <w:rStyle w:val="TextoNormalCaracter"/>
        </w:rPr>
        <w:t>, ff. 3 a 5.</w:t>
      </w:r>
    </w:p>
    <w:p w:rsidR="00F80910" w:rsidRPr="00F80910" w:rsidRDefault="00F80910" w:rsidP="00F80910">
      <w:pPr>
        <w:pStyle w:val="TextoNormalSangraFrancesa"/>
        <w:rPr>
          <w:rStyle w:val="TextoNormalCaracter"/>
        </w:rPr>
      </w:pPr>
      <w:bookmarkStart w:id="1234" w:name="DESCRIPTORALFABETICO148"/>
      <w:r w:rsidRPr="00F80910">
        <w:rPr>
          <w:rStyle w:val="TextoNormalNegritaCaracter"/>
        </w:rPr>
        <w:t>Libertad de información</w:t>
      </w:r>
      <w:bookmarkEnd w:id="1234"/>
      <w:r w:rsidRPr="00F80910">
        <w:rPr>
          <w:rStyle w:val="TextoNormalCaracter"/>
        </w:rPr>
        <w:t xml:space="preserve">, Sentencia </w:t>
      </w:r>
      <w:hyperlink w:anchor="SENTENCIA_2015_203" w:history="1">
        <w:r w:rsidRPr="00F80910">
          <w:rPr>
            <w:rStyle w:val="TextoNormalCaracter"/>
          </w:rPr>
          <w:t>203/2015</w:t>
        </w:r>
      </w:hyperlink>
      <w:r w:rsidRPr="00F80910">
        <w:rPr>
          <w:rStyle w:val="TextoNormalCaracter"/>
        </w:rPr>
        <w:t>, f. 3.</w:t>
      </w:r>
    </w:p>
    <w:p w:rsidR="00F80910" w:rsidRPr="00F80910" w:rsidRDefault="00F80910" w:rsidP="00F80910">
      <w:pPr>
        <w:pStyle w:val="TextoNormalSangraFrancesa"/>
        <w:rPr>
          <w:rStyle w:val="TextoNormalCaracter"/>
        </w:rPr>
      </w:pPr>
      <w:bookmarkStart w:id="1235" w:name="DESCRIPTORALFABETICO149"/>
      <w:r w:rsidRPr="00F80910">
        <w:rPr>
          <w:rStyle w:val="TextoNormalNegritaCaracter"/>
        </w:rPr>
        <w:t>Libertad ideológica</w:t>
      </w:r>
      <w:bookmarkEnd w:id="1235"/>
      <w:r w:rsidRPr="00F80910">
        <w:rPr>
          <w:rStyle w:val="TextoNormalCaracter"/>
        </w:rPr>
        <w:t xml:space="preserve">, </w:t>
      </w:r>
    </w:p>
    <w:p w:rsidR="00F80910" w:rsidRPr="00F80910" w:rsidRDefault="00F80910" w:rsidP="00F80910">
      <w:pPr>
        <w:pStyle w:val="TextoNormalSangraFrancesa"/>
        <w:rPr>
          <w:rStyle w:val="TextoNormalCaracter"/>
        </w:rPr>
      </w:pPr>
      <w:r w:rsidRPr="00F80910">
        <w:rPr>
          <w:rStyle w:val="TextoNormalCursivaCaracter"/>
        </w:rPr>
        <w:t xml:space="preserve">    Respetada, </w:t>
      </w:r>
      <w:r w:rsidRPr="00F80910">
        <w:rPr>
          <w:rStyle w:val="TextoNormalCaracter"/>
        </w:rPr>
        <w:t xml:space="preserve">Sentencia </w:t>
      </w:r>
      <w:hyperlink w:anchor="SENTENCIA_2015_177" w:history="1">
        <w:r w:rsidRPr="00F80910">
          <w:rPr>
            <w:rStyle w:val="TextoNormalCaracter"/>
          </w:rPr>
          <w:t>177/2015</w:t>
        </w:r>
      </w:hyperlink>
      <w:r w:rsidRPr="00F80910">
        <w:rPr>
          <w:rStyle w:val="TextoNormalCaracter"/>
        </w:rPr>
        <w:t>, f. 5, VP II.</w:t>
      </w:r>
    </w:p>
    <w:p w:rsidR="00F80910" w:rsidRPr="00F80910" w:rsidRDefault="00F80910" w:rsidP="00F80910">
      <w:pPr>
        <w:pStyle w:val="TextoNormalSangraFrancesa"/>
        <w:rPr>
          <w:rStyle w:val="TextoNormalCaracter"/>
        </w:rPr>
      </w:pPr>
      <w:bookmarkStart w:id="1236" w:name="DESCRIPTORALFABETICO151"/>
      <w:r w:rsidRPr="00F80910">
        <w:rPr>
          <w:rStyle w:val="TextoNormalNegritaCaracter"/>
        </w:rPr>
        <w:t>Libertad sindical</w:t>
      </w:r>
      <w:bookmarkEnd w:id="1236"/>
      <w:r w:rsidRPr="00F80910">
        <w:rPr>
          <w:rStyle w:val="TextoNormalCaracter"/>
        </w:rPr>
        <w:t xml:space="preserve">, </w:t>
      </w:r>
    </w:p>
    <w:p w:rsidR="00F80910" w:rsidRPr="00F80910" w:rsidRDefault="00F80910" w:rsidP="00F80910">
      <w:pPr>
        <w:pStyle w:val="TextoNormalSangraFrancesa"/>
        <w:rPr>
          <w:rStyle w:val="TextoNormalCaracter"/>
        </w:rPr>
      </w:pPr>
      <w:r w:rsidRPr="00F80910">
        <w:rPr>
          <w:rStyle w:val="TextoNormalCursivaCaracter"/>
        </w:rPr>
        <w:t xml:space="preserve">    Respetada, </w:t>
      </w:r>
      <w:r w:rsidRPr="00F80910">
        <w:rPr>
          <w:rStyle w:val="TextoNormalCaracter"/>
        </w:rPr>
        <w:t xml:space="preserve">Sentencias </w:t>
      </w:r>
      <w:hyperlink w:anchor="SENTENCIA_2015_148" w:history="1">
        <w:r w:rsidRPr="00F80910">
          <w:rPr>
            <w:rStyle w:val="TextoNormalCaracter"/>
          </w:rPr>
          <w:t>148/2015</w:t>
        </w:r>
      </w:hyperlink>
      <w:r w:rsidRPr="00F80910">
        <w:rPr>
          <w:rStyle w:val="TextoNormalCaracter"/>
        </w:rPr>
        <w:t xml:space="preserve">, ff. 2 a 4; </w:t>
      </w:r>
      <w:hyperlink w:anchor="SENTENCIA_2015_203" w:history="1">
        <w:r w:rsidRPr="00F80910">
          <w:rPr>
            <w:rStyle w:val="TextoNormalCaracter"/>
          </w:rPr>
          <w:t>203/2015</w:t>
        </w:r>
      </w:hyperlink>
      <w:r w:rsidRPr="00F80910">
        <w:rPr>
          <w:rStyle w:val="TextoNormalCaracter"/>
        </w:rPr>
        <w:t>, ff. 3, 5, 6.</w:t>
      </w:r>
    </w:p>
    <w:p w:rsidR="00F80910" w:rsidRPr="00F80910" w:rsidRDefault="00F80910" w:rsidP="00F80910">
      <w:pPr>
        <w:pStyle w:val="TextoNormalSangraFrancesa"/>
        <w:rPr>
          <w:rStyle w:val="TextoNormalCaracter"/>
        </w:rPr>
      </w:pPr>
      <w:bookmarkStart w:id="1237" w:name="DESCRIPTORALFABETICO130"/>
      <w:r w:rsidRPr="00F80910">
        <w:rPr>
          <w:rStyle w:val="TextoNormalNegritaCaracter"/>
        </w:rPr>
        <w:t>Libre competencia</w:t>
      </w:r>
      <w:bookmarkEnd w:id="1237"/>
      <w:r w:rsidRPr="00F80910">
        <w:rPr>
          <w:rStyle w:val="TextoNormalCaracter"/>
        </w:rPr>
        <w:t xml:space="preserve">, Sentencia </w:t>
      </w:r>
      <w:hyperlink w:anchor="SENTENCIA_2015_233" w:history="1">
        <w:r w:rsidRPr="00F80910">
          <w:rPr>
            <w:rStyle w:val="TextoNormalCaracter"/>
          </w:rPr>
          <w:t>233/2015</w:t>
        </w:r>
      </w:hyperlink>
      <w:r w:rsidRPr="00F80910">
        <w:rPr>
          <w:rStyle w:val="TextoNormalCaracter"/>
        </w:rPr>
        <w:t>, f. 10.</w:t>
      </w:r>
    </w:p>
    <w:p w:rsidR="00F80910" w:rsidRPr="00F80910" w:rsidRDefault="00F80910" w:rsidP="00F80910">
      <w:pPr>
        <w:pStyle w:val="TextoNormalSangraFrancesa"/>
        <w:rPr>
          <w:rStyle w:val="TextoNormalCaracter"/>
        </w:rPr>
      </w:pPr>
      <w:bookmarkStart w:id="1238" w:name="DESCRIPTORALFABETICO435"/>
      <w:r w:rsidRPr="00F80910">
        <w:rPr>
          <w:rStyle w:val="TextoNormalNegritaCaracter"/>
        </w:rPr>
        <w:t>Libre prestación de servicios</w:t>
      </w:r>
      <w:bookmarkEnd w:id="1238"/>
      <w:r w:rsidRPr="00F80910">
        <w:rPr>
          <w:rStyle w:val="TextoNormalCaracter"/>
        </w:rPr>
        <w:t xml:space="preserve">, Sentencia </w:t>
      </w:r>
      <w:hyperlink w:anchor="SENTENCIA_2015_209" w:history="1">
        <w:r w:rsidRPr="00F80910">
          <w:rPr>
            <w:rStyle w:val="TextoNormalCaracter"/>
          </w:rPr>
          <w:t>209/2015</w:t>
        </w:r>
      </w:hyperlink>
      <w:r w:rsidRPr="00F80910">
        <w:rPr>
          <w:rStyle w:val="TextoNormalCaracter"/>
        </w:rPr>
        <w:t>, ff. 4, 5.</w:t>
      </w:r>
    </w:p>
    <w:p w:rsidR="00F80910" w:rsidRPr="00F80910" w:rsidRDefault="00F80910" w:rsidP="00F80910">
      <w:pPr>
        <w:pStyle w:val="TextoNormalSangraFrancesa"/>
        <w:rPr>
          <w:rStyle w:val="TextoNormalCaracter"/>
        </w:rPr>
      </w:pPr>
      <w:bookmarkStart w:id="1239" w:name="DESCRIPTORALFABETICO90"/>
      <w:r w:rsidRPr="00F80910">
        <w:rPr>
          <w:rStyle w:val="TextoNormalNegritaCaracter"/>
        </w:rPr>
        <w:t>Limitación temporal del internamiento psiquiátrico</w:t>
      </w:r>
      <w:bookmarkEnd w:id="1239"/>
      <w:r w:rsidRPr="00F80910">
        <w:rPr>
          <w:rStyle w:val="TextoNormalCaracter"/>
        </w:rPr>
        <w:t xml:space="preserve">, Sentencia </w:t>
      </w:r>
      <w:hyperlink w:anchor="SENTENCIA_2015_182" w:history="1">
        <w:r w:rsidRPr="00F80910">
          <w:rPr>
            <w:rStyle w:val="TextoNormalCaracter"/>
          </w:rPr>
          <w:t>182/2015</w:t>
        </w:r>
      </w:hyperlink>
      <w:r w:rsidRPr="00F80910">
        <w:rPr>
          <w:rStyle w:val="TextoNormalCaracter"/>
        </w:rPr>
        <w:t>, ff. 2, 3, 6.</w:t>
      </w:r>
    </w:p>
    <w:p w:rsidR="00F80910" w:rsidRPr="00F80910" w:rsidRDefault="00F80910" w:rsidP="00F80910">
      <w:pPr>
        <w:pStyle w:val="TextoNormalSangraFrancesa"/>
        <w:rPr>
          <w:rStyle w:val="TextoNormalCaracter"/>
        </w:rPr>
      </w:pPr>
      <w:bookmarkStart w:id="1240" w:name="DESCRIPTORALFABETICO107"/>
      <w:r w:rsidRPr="00F80910">
        <w:rPr>
          <w:rStyle w:val="TextoNormalNegritaCaracter"/>
        </w:rPr>
        <w:t>Limitaciones al ejercicio del derecho a la tutela judicial efectiva</w:t>
      </w:r>
      <w:bookmarkEnd w:id="1240"/>
      <w:r w:rsidRPr="00F80910">
        <w:rPr>
          <w:rStyle w:val="TextoNormalCaracter"/>
        </w:rPr>
        <w:t xml:space="preserve">, Sentencias </w:t>
      </w:r>
      <w:hyperlink w:anchor="SENTENCIA_2015_152" w:history="1">
        <w:r w:rsidRPr="00F80910">
          <w:rPr>
            <w:rStyle w:val="TextoNormalCaracter"/>
          </w:rPr>
          <w:t>152/2015</w:t>
        </w:r>
      </w:hyperlink>
      <w:r w:rsidRPr="00F80910">
        <w:rPr>
          <w:rStyle w:val="TextoNormalCaracter"/>
        </w:rPr>
        <w:t xml:space="preserve">, ff. 2 a 7; </w:t>
      </w:r>
      <w:hyperlink w:anchor="SENTENCIA_2015_180" w:history="1">
        <w:r w:rsidRPr="00F80910">
          <w:rPr>
            <w:rStyle w:val="TextoNormalCaracter"/>
          </w:rPr>
          <w:t>180/2015</w:t>
        </w:r>
      </w:hyperlink>
      <w:r w:rsidRPr="00F80910">
        <w:rPr>
          <w:rStyle w:val="TextoNormalCaracter"/>
        </w:rPr>
        <w:t>.</w:t>
      </w:r>
    </w:p>
    <w:p w:rsidR="00F80910" w:rsidRPr="00F80910" w:rsidRDefault="00F80910" w:rsidP="00F80910">
      <w:pPr>
        <w:pStyle w:val="TextoNormalSangraFrancesa"/>
        <w:rPr>
          <w:rStyle w:val="TextoNormalCaracter"/>
        </w:rPr>
      </w:pPr>
      <w:bookmarkStart w:id="1241" w:name="DESCRIPTORALFABETICO96"/>
      <w:r w:rsidRPr="00F80910">
        <w:rPr>
          <w:rStyle w:val="TextoNormalNegritaCaracter"/>
        </w:rPr>
        <w:t>Límite legislativo al derecho a la ejecución de sentencia</w:t>
      </w:r>
      <w:bookmarkEnd w:id="1241"/>
      <w:r w:rsidRPr="00F80910">
        <w:rPr>
          <w:rStyle w:val="TextoNormalCaracter"/>
        </w:rPr>
        <w:t xml:space="preserve">, Sentencias </w:t>
      </w:r>
      <w:hyperlink w:anchor="SENTENCIA_2015_231" w:history="1">
        <w:r w:rsidRPr="00F80910">
          <w:rPr>
            <w:rStyle w:val="TextoNormalCaracter"/>
          </w:rPr>
          <w:t>231/2015</w:t>
        </w:r>
      </w:hyperlink>
      <w:r w:rsidRPr="00F80910">
        <w:rPr>
          <w:rStyle w:val="TextoNormalCaracter"/>
        </w:rPr>
        <w:t xml:space="preserve">, f. 10; </w:t>
      </w:r>
      <w:hyperlink w:anchor="SENTENCIA_2015_233" w:history="1">
        <w:r w:rsidRPr="00F80910">
          <w:rPr>
            <w:rStyle w:val="TextoNormalCaracter"/>
          </w:rPr>
          <w:t>233/2015</w:t>
        </w:r>
      </w:hyperlink>
      <w:r w:rsidRPr="00F80910">
        <w:rPr>
          <w:rStyle w:val="TextoNormalCaracter"/>
        </w:rPr>
        <w:t>, f. 15.</w:t>
      </w:r>
    </w:p>
    <w:p w:rsidR="00F80910" w:rsidRPr="00F80910" w:rsidRDefault="00F80910" w:rsidP="00F80910">
      <w:pPr>
        <w:pStyle w:val="TextoNormalSangraFrancesa"/>
        <w:rPr>
          <w:rStyle w:val="TextoNormalCaracter"/>
        </w:rPr>
      </w:pPr>
      <w:bookmarkStart w:id="1242" w:name="DESCRIPTORALFABETICO444"/>
      <w:r w:rsidRPr="00F80910">
        <w:rPr>
          <w:rStyle w:val="TextoNormalNegritaCaracter"/>
        </w:rPr>
        <w:t>Límite material de los decretos-leyes</w:t>
      </w:r>
      <w:bookmarkEnd w:id="1242"/>
      <w:r w:rsidRPr="00F80910">
        <w:rPr>
          <w:rStyle w:val="TextoNormalCaracter"/>
        </w:rPr>
        <w:t xml:space="preserve">, Sentencias </w:t>
      </w:r>
      <w:hyperlink w:anchor="SENTENCIA_2015_199" w:history="1">
        <w:r w:rsidRPr="00F80910">
          <w:rPr>
            <w:rStyle w:val="TextoNormalCaracter"/>
          </w:rPr>
          <w:t>199/2015</w:t>
        </w:r>
      </w:hyperlink>
      <w:r w:rsidRPr="00F80910">
        <w:rPr>
          <w:rStyle w:val="TextoNormalCaracter"/>
        </w:rPr>
        <w:t xml:space="preserve">, ff. 3, 4; </w:t>
      </w:r>
      <w:hyperlink w:anchor="SENTENCIA_2015_215" w:history="1">
        <w:r w:rsidRPr="00F80910">
          <w:rPr>
            <w:rStyle w:val="TextoNormalCaracter"/>
          </w:rPr>
          <w:t>215/2015</w:t>
        </w:r>
      </w:hyperlink>
      <w:r w:rsidRPr="00F80910">
        <w:rPr>
          <w:rStyle w:val="TextoNormalCaracter"/>
        </w:rPr>
        <w:t xml:space="preserve">, ff. 3 a 5; </w:t>
      </w:r>
      <w:hyperlink w:anchor="SENTENCIA_2015_230" w:history="1">
        <w:r w:rsidRPr="00F80910">
          <w:rPr>
            <w:rStyle w:val="TextoNormalCaracter"/>
          </w:rPr>
          <w:t>230/2015</w:t>
        </w:r>
      </w:hyperlink>
      <w:r w:rsidRPr="00F80910">
        <w:rPr>
          <w:rStyle w:val="TextoNormalCaracter"/>
        </w:rPr>
        <w:t>, ff. 4, 5.</w:t>
      </w:r>
    </w:p>
    <w:p w:rsidR="00F80910" w:rsidRPr="00F80910" w:rsidRDefault="00F80910" w:rsidP="00F80910">
      <w:pPr>
        <w:pStyle w:val="TextoNormalSangraFrancesa"/>
        <w:rPr>
          <w:rStyle w:val="TextoNormalCaracter"/>
        </w:rPr>
      </w:pPr>
      <w:bookmarkStart w:id="1243" w:name="DESCRIPTORALFABETICO143"/>
      <w:r w:rsidRPr="00F80910">
        <w:rPr>
          <w:rStyle w:val="TextoNormalNegritaCaracter"/>
        </w:rPr>
        <w:t>Límites a la libertad de expresión</w:t>
      </w:r>
      <w:bookmarkEnd w:id="1243"/>
      <w:r w:rsidRPr="00F80910">
        <w:rPr>
          <w:rStyle w:val="TextoNormalCaracter"/>
        </w:rPr>
        <w:t xml:space="preserve">, Sentencias </w:t>
      </w:r>
      <w:hyperlink w:anchor="SENTENCIA_2015_177" w:history="1">
        <w:r w:rsidRPr="00F80910">
          <w:rPr>
            <w:rStyle w:val="TextoNormalCaracter"/>
          </w:rPr>
          <w:t>177/2015</w:t>
        </w:r>
      </w:hyperlink>
      <w:r w:rsidRPr="00F80910">
        <w:rPr>
          <w:rStyle w:val="TextoNormalCaracter"/>
        </w:rPr>
        <w:t xml:space="preserve">, ff. 2 a 3, VP I, VP III; </w:t>
      </w:r>
      <w:hyperlink w:anchor="SENTENCIA_2015_187" w:history="1">
        <w:r w:rsidRPr="00F80910">
          <w:rPr>
            <w:rStyle w:val="TextoNormalCaracter"/>
          </w:rPr>
          <w:t>187/2015</w:t>
        </w:r>
      </w:hyperlink>
      <w:r w:rsidRPr="00F80910">
        <w:rPr>
          <w:rStyle w:val="TextoNormalCaracter"/>
        </w:rPr>
        <w:t xml:space="preserve">, ff. 3 a 5; </w:t>
      </w:r>
      <w:hyperlink w:anchor="SENTENCIA_2015_203" w:history="1">
        <w:r w:rsidRPr="00F80910">
          <w:rPr>
            <w:rStyle w:val="TextoNormalCaracter"/>
          </w:rPr>
          <w:t>203/2015</w:t>
        </w:r>
      </w:hyperlink>
      <w:r w:rsidRPr="00F80910">
        <w:rPr>
          <w:rStyle w:val="TextoNormalCaracter"/>
        </w:rPr>
        <w:t>, ff. 5, 6.</w:t>
      </w:r>
    </w:p>
    <w:p w:rsidR="00F80910" w:rsidRPr="00F80910" w:rsidRDefault="00F80910" w:rsidP="00F80910">
      <w:pPr>
        <w:pStyle w:val="TextoNormalSangraFrancesa"/>
        <w:rPr>
          <w:rStyle w:val="TextoNormalCaracter"/>
        </w:rPr>
      </w:pPr>
      <w:bookmarkStart w:id="1244" w:name="DESCRIPTORALFABETICO150"/>
      <w:r w:rsidRPr="00F80910">
        <w:rPr>
          <w:rStyle w:val="TextoNormalNegritaCaracter"/>
        </w:rPr>
        <w:t>Límites a la libertad ideológica, religiosa y de culto</w:t>
      </w:r>
      <w:bookmarkEnd w:id="1244"/>
      <w:r w:rsidRPr="00F80910">
        <w:rPr>
          <w:rStyle w:val="TextoNormalCaracter"/>
        </w:rPr>
        <w:t xml:space="preserve">, Sentencia </w:t>
      </w:r>
      <w:hyperlink w:anchor="SENTENCIA_2015_177" w:history="1">
        <w:r w:rsidRPr="00F80910">
          <w:rPr>
            <w:rStyle w:val="TextoNormalCaracter"/>
          </w:rPr>
          <w:t>177/2015</w:t>
        </w:r>
      </w:hyperlink>
      <w:r w:rsidRPr="00F80910">
        <w:rPr>
          <w:rStyle w:val="TextoNormalCaracter"/>
        </w:rPr>
        <w:t>, f. 5, VP II.</w:t>
      </w:r>
    </w:p>
    <w:p w:rsidR="00F80910" w:rsidRPr="00F80910" w:rsidRDefault="00F80910" w:rsidP="00F80910">
      <w:pPr>
        <w:pStyle w:val="TextoNormalSangraFrancesa"/>
        <w:rPr>
          <w:rStyle w:val="TextoNormalCaracter"/>
        </w:rPr>
      </w:pPr>
      <w:bookmarkStart w:id="1245" w:name="DESCRIPTORALFABETICO276"/>
      <w:r w:rsidRPr="00F80910">
        <w:rPr>
          <w:rStyle w:val="TextoNormalNegritaCaracter"/>
        </w:rPr>
        <w:t>Límites constitucionales a la autonomía parlamentaria</w:t>
      </w:r>
      <w:bookmarkEnd w:id="1245"/>
      <w:r w:rsidRPr="00F80910">
        <w:rPr>
          <w:rStyle w:val="TextoNormalCaracter"/>
        </w:rPr>
        <w:t xml:space="preserve">, Sentencia </w:t>
      </w:r>
      <w:hyperlink w:anchor="SENTENCIA_2015_259" w:history="1">
        <w:r w:rsidRPr="00F80910">
          <w:rPr>
            <w:rStyle w:val="TextoNormalCaracter"/>
          </w:rPr>
          <w:t>259/2015</w:t>
        </w:r>
      </w:hyperlink>
      <w:r w:rsidRPr="00F80910">
        <w:rPr>
          <w:rStyle w:val="TextoNormalCaracter"/>
        </w:rPr>
        <w:t>, ff. 4 b), 5 b) a 7.</w:t>
      </w:r>
    </w:p>
    <w:p w:rsidR="00F80910" w:rsidRPr="00F80910" w:rsidRDefault="00F80910" w:rsidP="00F80910">
      <w:pPr>
        <w:pStyle w:val="TextoNormalSangraFrancesa"/>
        <w:rPr>
          <w:rStyle w:val="TextoNormalCaracter"/>
        </w:rPr>
      </w:pPr>
      <w:bookmarkStart w:id="1246" w:name="DESCRIPTORALFABETICO460"/>
      <w:r w:rsidRPr="00F80910">
        <w:rPr>
          <w:rStyle w:val="TextoNormalNegritaCaracter"/>
        </w:rPr>
        <w:t>Límites materiales de las leyes de presupuestos</w:t>
      </w:r>
      <w:bookmarkEnd w:id="1246"/>
      <w:r w:rsidRPr="00F80910">
        <w:rPr>
          <w:rStyle w:val="TextoNormalCaracter"/>
        </w:rPr>
        <w:t xml:space="preserve">, Sentencia </w:t>
      </w:r>
      <w:hyperlink w:anchor="SENTENCIA_2015_156" w:history="1">
        <w:r w:rsidRPr="00F80910">
          <w:rPr>
            <w:rStyle w:val="TextoNormalCaracter"/>
          </w:rPr>
          <w:t>156/2015</w:t>
        </w:r>
      </w:hyperlink>
      <w:r w:rsidRPr="00F80910">
        <w:rPr>
          <w:rStyle w:val="TextoNormalCaracter"/>
        </w:rPr>
        <w:t>, f. 3.</w:t>
      </w:r>
    </w:p>
    <w:p w:rsidR="00F80910" w:rsidRPr="00F80910" w:rsidRDefault="00F80910" w:rsidP="00F80910">
      <w:pPr>
        <w:pStyle w:val="TextoNormalSangraFrancesa"/>
        <w:rPr>
          <w:rStyle w:val="TextoNormalCaracter"/>
        </w:rPr>
      </w:pPr>
      <w:bookmarkStart w:id="1247" w:name="DESCRIPTORALFABETICO595"/>
      <w:r w:rsidRPr="00F80910">
        <w:rPr>
          <w:rStyle w:val="TextoNormalNegritaCaracter"/>
        </w:rPr>
        <w:t>Liquidación de condena</w:t>
      </w:r>
      <w:bookmarkEnd w:id="1247"/>
      <w:r w:rsidRPr="00F80910">
        <w:rPr>
          <w:rStyle w:val="TextoNormalCaracter"/>
        </w:rPr>
        <w:t xml:space="preserve">, Sentencia </w:t>
      </w:r>
      <w:hyperlink w:anchor="SENTENCIA_2015_261" w:history="1">
        <w:r w:rsidRPr="00F80910">
          <w:rPr>
            <w:rStyle w:val="TextoNormalCaracter"/>
          </w:rPr>
          <w:t>261/2015</w:t>
        </w:r>
      </w:hyperlink>
      <w:r w:rsidRPr="00F80910">
        <w:rPr>
          <w:rStyle w:val="TextoNormalCaracter"/>
        </w:rPr>
        <w:t>, f. 1.</w:t>
      </w:r>
    </w:p>
    <w:p w:rsidR="00F80910" w:rsidRDefault="00F80910" w:rsidP="00F80910">
      <w:pPr>
        <w:pStyle w:val="TextoNormalSangraFrancesa"/>
      </w:pPr>
    </w:p>
    <w:p w:rsidR="00F80910" w:rsidRDefault="00F80910" w:rsidP="00F80910">
      <w:pPr>
        <w:pStyle w:val="TextoNormalSangraFrancesa"/>
      </w:pPr>
    </w:p>
    <w:p w:rsidR="00F80910" w:rsidRDefault="00F80910" w:rsidP="00F80910">
      <w:pPr>
        <w:pStyle w:val="TextoNormalNegritaCentrado"/>
      </w:pPr>
      <w:r>
        <w:t>M</w:t>
      </w:r>
    </w:p>
    <w:p w:rsidR="00F80910" w:rsidRDefault="00F80910" w:rsidP="00F80910">
      <w:pPr>
        <w:pStyle w:val="TextoNormalNegritaCentrado"/>
      </w:pPr>
    </w:p>
    <w:p w:rsidR="00F80910" w:rsidRPr="00F80910" w:rsidRDefault="00F80910" w:rsidP="00F80910">
      <w:pPr>
        <w:pStyle w:val="TextoNormalSangraFrancesa"/>
        <w:rPr>
          <w:rStyle w:val="TextoNormalCaracter"/>
        </w:rPr>
      </w:pPr>
      <w:bookmarkStart w:id="1248" w:name="DESCRIPTORALFABETICO180"/>
      <w:r w:rsidRPr="00F80910">
        <w:rPr>
          <w:rStyle w:val="TextoNormalNegritaCaracter"/>
        </w:rPr>
        <w:t>Mantenimiento de la suspensión de disposiciones de las Comunidades Autónomas</w:t>
      </w:r>
      <w:bookmarkEnd w:id="1248"/>
      <w:r w:rsidRPr="00F80910">
        <w:rPr>
          <w:rStyle w:val="TextoNormalCaracter"/>
        </w:rPr>
        <w:t xml:space="preserve">, Autos </w:t>
      </w:r>
      <w:hyperlink w:anchor="AUTO_2015_135" w:history="1">
        <w:r w:rsidRPr="00F80910">
          <w:rPr>
            <w:rStyle w:val="TextoNormalCaracter"/>
          </w:rPr>
          <w:t>135/2015</w:t>
        </w:r>
      </w:hyperlink>
      <w:r w:rsidRPr="00F80910">
        <w:rPr>
          <w:rStyle w:val="TextoNormalCaracter"/>
        </w:rPr>
        <w:t xml:space="preserve">, f. 3; </w:t>
      </w:r>
      <w:hyperlink w:anchor="AUTO_2015_186" w:history="1">
        <w:r w:rsidRPr="00F80910">
          <w:rPr>
            <w:rStyle w:val="TextoNormalCaracter"/>
          </w:rPr>
          <w:t>186/2015</w:t>
        </w:r>
      </w:hyperlink>
      <w:r w:rsidRPr="00F80910">
        <w:rPr>
          <w:rStyle w:val="TextoNormalCaracter"/>
        </w:rPr>
        <w:t xml:space="preserve">, ff. 1 a 3; </w:t>
      </w:r>
      <w:hyperlink w:anchor="AUTO_2015_226" w:history="1">
        <w:r w:rsidRPr="00F80910">
          <w:rPr>
            <w:rStyle w:val="TextoNormalCaracter"/>
          </w:rPr>
          <w:t>226/2015</w:t>
        </w:r>
      </w:hyperlink>
      <w:r w:rsidRPr="00F80910">
        <w:rPr>
          <w:rStyle w:val="TextoNormalCaracter"/>
        </w:rPr>
        <w:t>, ff. 5 apartados d) y f).</w:t>
      </w:r>
    </w:p>
    <w:p w:rsidR="00F80910" w:rsidRPr="00F80910" w:rsidRDefault="00F80910" w:rsidP="00F80910">
      <w:pPr>
        <w:pStyle w:val="TextoNormalSangraFrancesa"/>
        <w:rPr>
          <w:rStyle w:val="TextoNormalCaracter"/>
        </w:rPr>
      </w:pPr>
      <w:bookmarkStart w:id="1249" w:name="DESCRIPTORALFABETICO169"/>
      <w:r w:rsidRPr="00F80910">
        <w:rPr>
          <w:rStyle w:val="TextoNormalNegritaCaracter"/>
        </w:rPr>
        <w:t>Mantenimiento de la suspensión del acto que origina el amparo</w:t>
      </w:r>
      <w:bookmarkEnd w:id="1249"/>
      <w:r w:rsidRPr="00F80910">
        <w:rPr>
          <w:rStyle w:val="TextoNormalCaracter"/>
        </w:rPr>
        <w:t xml:space="preserve">, Auto </w:t>
      </w:r>
      <w:hyperlink w:anchor="AUTO_2015_119" w:history="1">
        <w:r w:rsidRPr="00F80910">
          <w:rPr>
            <w:rStyle w:val="TextoNormalCaracter"/>
          </w:rPr>
          <w:t>119/2015</w:t>
        </w:r>
      </w:hyperlink>
      <w:r w:rsidRPr="00F80910">
        <w:rPr>
          <w:rStyle w:val="TextoNormalCaracter"/>
        </w:rPr>
        <w:t>, f. 3.</w:t>
      </w:r>
    </w:p>
    <w:p w:rsidR="00F80910" w:rsidRPr="00F80910" w:rsidRDefault="00F80910" w:rsidP="00F80910">
      <w:pPr>
        <w:pStyle w:val="TextoNormalSangraFrancesa"/>
        <w:rPr>
          <w:rStyle w:val="TextoNormalCaracter"/>
        </w:rPr>
      </w:pPr>
      <w:bookmarkStart w:id="1250" w:name="DESCRIPTORALFABETICO557"/>
      <w:r w:rsidRPr="00F80910">
        <w:rPr>
          <w:rStyle w:val="TextoNormalNegritaCaracter"/>
        </w:rPr>
        <w:t>Medidas cautelares</w:t>
      </w:r>
      <w:bookmarkEnd w:id="1250"/>
      <w:r w:rsidRPr="00F80910">
        <w:rPr>
          <w:rStyle w:val="TextoNormalCaracter"/>
        </w:rPr>
        <w:t xml:space="preserve">, Sentencia </w:t>
      </w:r>
      <w:hyperlink w:anchor="SENTENCIA_2015_217" w:history="1">
        <w:r w:rsidRPr="00F80910">
          <w:rPr>
            <w:rStyle w:val="TextoNormalCaracter"/>
          </w:rPr>
          <w:t>217/2015</w:t>
        </w:r>
      </w:hyperlink>
      <w:r w:rsidRPr="00F80910">
        <w:rPr>
          <w:rStyle w:val="TextoNormalCaracter"/>
        </w:rPr>
        <w:t>, ff. 2 a 4.</w:t>
      </w:r>
    </w:p>
    <w:p w:rsidR="00F80910" w:rsidRPr="00F80910" w:rsidRDefault="00F80910" w:rsidP="00F80910">
      <w:pPr>
        <w:pStyle w:val="TextoNormalSangraFrancesa"/>
        <w:rPr>
          <w:rStyle w:val="TextoNormalCaracter"/>
        </w:rPr>
      </w:pPr>
      <w:bookmarkStart w:id="1251" w:name="DESCRIPTORALFABETICO393"/>
      <w:r w:rsidRPr="00F80910">
        <w:rPr>
          <w:rStyle w:val="TextoNormalNegritaCaracter"/>
        </w:rPr>
        <w:t>Medidas de carácter expropiatorio</w:t>
      </w:r>
      <w:bookmarkEnd w:id="1251"/>
      <w:r w:rsidRPr="00F80910">
        <w:rPr>
          <w:rStyle w:val="TextoNormalCaracter"/>
        </w:rPr>
        <w:t xml:space="preserve">, Sentencia </w:t>
      </w:r>
      <w:hyperlink w:anchor="SENTENCIA_2015_216" w:history="1">
        <w:r w:rsidRPr="00F80910">
          <w:rPr>
            <w:rStyle w:val="TextoNormalCaracter"/>
          </w:rPr>
          <w:t>216/2015</w:t>
        </w:r>
      </w:hyperlink>
      <w:r w:rsidRPr="00F80910">
        <w:rPr>
          <w:rStyle w:val="TextoNormalCaracter"/>
        </w:rPr>
        <w:t>, f. 9.</w:t>
      </w:r>
    </w:p>
    <w:p w:rsidR="00F80910" w:rsidRPr="00F80910" w:rsidRDefault="00F80910" w:rsidP="00F80910">
      <w:pPr>
        <w:pStyle w:val="TextoNormalSangraFrancesa"/>
        <w:rPr>
          <w:rStyle w:val="TextoNormalCaracter"/>
        </w:rPr>
      </w:pPr>
      <w:bookmarkStart w:id="1252" w:name="DESCRIPTORALFABETICO44"/>
      <w:r w:rsidRPr="00F80910">
        <w:rPr>
          <w:rStyle w:val="TextoNormalNegritaCaracter"/>
        </w:rPr>
        <w:t>Medidas de liberalización económica</w:t>
      </w:r>
      <w:bookmarkEnd w:id="1252"/>
      <w:r w:rsidRPr="00F80910">
        <w:rPr>
          <w:rStyle w:val="TextoNormalCaracter"/>
        </w:rPr>
        <w:t xml:space="preserve">, Sentencia </w:t>
      </w:r>
      <w:hyperlink w:anchor="SENTENCIA_2015_209" w:history="1">
        <w:r w:rsidRPr="00F80910">
          <w:rPr>
            <w:rStyle w:val="TextoNormalCaracter"/>
          </w:rPr>
          <w:t>209/2015</w:t>
        </w:r>
      </w:hyperlink>
      <w:r w:rsidRPr="00F80910">
        <w:rPr>
          <w:rStyle w:val="TextoNormalCaracter"/>
        </w:rPr>
        <w:t>, f. 4.</w:t>
      </w:r>
    </w:p>
    <w:p w:rsidR="00F80910" w:rsidRPr="00F80910" w:rsidRDefault="00F80910" w:rsidP="00F80910">
      <w:pPr>
        <w:pStyle w:val="TextoNormalSangraFrancesa"/>
        <w:rPr>
          <w:rStyle w:val="TextoNormalCaracter"/>
        </w:rPr>
      </w:pPr>
      <w:bookmarkStart w:id="1253" w:name="DESCRIPTORALFABETICO590"/>
      <w:r w:rsidRPr="00F80910">
        <w:rPr>
          <w:rStyle w:val="TextoNormalNegritaCaracter"/>
        </w:rPr>
        <w:t>Medidas de seguridad</w:t>
      </w:r>
      <w:bookmarkEnd w:id="1253"/>
      <w:r w:rsidRPr="00F80910">
        <w:rPr>
          <w:rStyle w:val="TextoNormalCaracter"/>
        </w:rPr>
        <w:t xml:space="preserve">, Sentencia </w:t>
      </w:r>
      <w:hyperlink w:anchor="SENTENCIA_2015_217" w:history="1">
        <w:r w:rsidRPr="00F80910">
          <w:rPr>
            <w:rStyle w:val="TextoNormalCaracter"/>
          </w:rPr>
          <w:t>217/2015</w:t>
        </w:r>
      </w:hyperlink>
      <w:r w:rsidRPr="00F80910">
        <w:rPr>
          <w:rStyle w:val="TextoNormalCaracter"/>
        </w:rPr>
        <w:t>, ff. 3, 4.</w:t>
      </w:r>
    </w:p>
    <w:p w:rsidR="00F80910" w:rsidRPr="00F80910" w:rsidRDefault="00F80910" w:rsidP="00F80910">
      <w:pPr>
        <w:pStyle w:val="TextoNormalSangraFrancesa"/>
        <w:rPr>
          <w:rStyle w:val="TextoNormalCaracter"/>
        </w:rPr>
      </w:pPr>
      <w:bookmarkStart w:id="1254" w:name="DESCRIPTORALFABETICO414"/>
      <w:r w:rsidRPr="00F80910">
        <w:rPr>
          <w:rStyle w:val="TextoNormalNegritaCaracter"/>
        </w:rPr>
        <w:t>Medio ambiente</w:t>
      </w:r>
      <w:bookmarkEnd w:id="1254"/>
      <w:r w:rsidRPr="00F80910">
        <w:rPr>
          <w:rStyle w:val="TextoNormalCaracter"/>
        </w:rPr>
        <w:t xml:space="preserve">, Sentencia </w:t>
      </w:r>
      <w:hyperlink w:anchor="SENTENCIA_2015_260" w:history="1">
        <w:r w:rsidRPr="00F80910">
          <w:rPr>
            <w:rStyle w:val="TextoNormalCaracter"/>
          </w:rPr>
          <w:t>260/2015</w:t>
        </w:r>
      </w:hyperlink>
      <w:r w:rsidRPr="00F80910">
        <w:rPr>
          <w:rStyle w:val="TextoNormalCaracter"/>
        </w:rPr>
        <w:t>, f. 5.</w:t>
      </w:r>
    </w:p>
    <w:p w:rsidR="00F80910" w:rsidRPr="00F80910" w:rsidRDefault="00F80910" w:rsidP="00F80910">
      <w:pPr>
        <w:pStyle w:val="TextoNormalSangraFrancesa"/>
        <w:rPr>
          <w:rStyle w:val="TextoNormalCaracter"/>
        </w:rPr>
      </w:pPr>
      <w:bookmarkStart w:id="1255" w:name="DESCRIPTORALFABETICO145"/>
      <w:r w:rsidRPr="00F80910">
        <w:rPr>
          <w:rStyle w:val="TextoNormalNegritaCaracter"/>
        </w:rPr>
        <w:t>Mensajes amenazantes</w:t>
      </w:r>
      <w:bookmarkEnd w:id="1255"/>
      <w:r w:rsidRPr="00F80910">
        <w:rPr>
          <w:rStyle w:val="TextoNormalCaracter"/>
        </w:rPr>
        <w:t xml:space="preserve">, Sentencia </w:t>
      </w:r>
      <w:hyperlink w:anchor="SENTENCIA_2015_177" w:history="1">
        <w:r w:rsidRPr="00F80910">
          <w:rPr>
            <w:rStyle w:val="TextoNormalCaracter"/>
          </w:rPr>
          <w:t>177/2015</w:t>
        </w:r>
      </w:hyperlink>
      <w:r w:rsidRPr="00F80910">
        <w:rPr>
          <w:rStyle w:val="TextoNormalCaracter"/>
        </w:rPr>
        <w:t>, ff. 4, 5, VP I, VP III.</w:t>
      </w:r>
    </w:p>
    <w:p w:rsidR="00F80910" w:rsidRPr="00F80910" w:rsidRDefault="00F80910" w:rsidP="00F80910">
      <w:pPr>
        <w:pStyle w:val="TextoNormalSangraFrancesa"/>
        <w:rPr>
          <w:rStyle w:val="TextoNormalCaracter"/>
        </w:rPr>
      </w:pPr>
      <w:bookmarkStart w:id="1256" w:name="DESCRIPTORALFABETICO280"/>
      <w:r w:rsidRPr="00F80910">
        <w:rPr>
          <w:rStyle w:val="TextoNormalNegritaCaracter"/>
        </w:rPr>
        <w:t>Mesa del Senado</w:t>
      </w:r>
      <w:bookmarkEnd w:id="1256"/>
      <w:r w:rsidRPr="00F80910">
        <w:rPr>
          <w:rStyle w:val="TextoNormalCaracter"/>
        </w:rPr>
        <w:t xml:space="preserve">, Sentencia </w:t>
      </w:r>
      <w:hyperlink w:anchor="SENTENCIA_2015_216" w:history="1">
        <w:r w:rsidRPr="00F80910">
          <w:rPr>
            <w:rStyle w:val="TextoNormalCaracter"/>
          </w:rPr>
          <w:t>216/2015</w:t>
        </w:r>
      </w:hyperlink>
      <w:r w:rsidRPr="00F80910">
        <w:rPr>
          <w:rStyle w:val="TextoNormalCaracter"/>
        </w:rPr>
        <w:t>, ff. 5, 6.</w:t>
      </w:r>
    </w:p>
    <w:p w:rsidR="00F80910" w:rsidRPr="00F80910" w:rsidRDefault="00F80910" w:rsidP="00F80910">
      <w:pPr>
        <w:pStyle w:val="TextoNormalSangraFrancesa"/>
        <w:rPr>
          <w:rStyle w:val="TextoNormalCaracter"/>
        </w:rPr>
      </w:pPr>
      <w:bookmarkStart w:id="1257" w:name="DESCRIPTORALFABETICO268"/>
      <w:r w:rsidRPr="00F80910">
        <w:rPr>
          <w:rStyle w:val="TextoNormalNegritaCaracter"/>
        </w:rPr>
        <w:t>Ministerio Fiscal</w:t>
      </w:r>
      <w:bookmarkEnd w:id="1257"/>
      <w:r w:rsidRPr="00F80910">
        <w:rPr>
          <w:rStyle w:val="TextoNormalCaracter"/>
        </w:rPr>
        <w:t xml:space="preserve">, Sentencia </w:t>
      </w:r>
      <w:hyperlink w:anchor="SENTENCIA_2015_182" w:history="1">
        <w:r w:rsidRPr="00F80910">
          <w:rPr>
            <w:rStyle w:val="TextoNormalCaracter"/>
          </w:rPr>
          <w:t>182/2015</w:t>
        </w:r>
      </w:hyperlink>
      <w:r w:rsidRPr="00F80910">
        <w:rPr>
          <w:rStyle w:val="TextoNormalCaracter"/>
        </w:rPr>
        <w:t>, ff. 1, 2.</w:t>
      </w:r>
    </w:p>
    <w:p w:rsidR="00F80910" w:rsidRPr="00F80910" w:rsidRDefault="00F80910" w:rsidP="00F80910">
      <w:pPr>
        <w:pStyle w:val="TextoNormalSangraFrancesa"/>
        <w:rPr>
          <w:rStyle w:val="TextoNormalCaracter"/>
        </w:rPr>
      </w:pPr>
      <w:bookmarkStart w:id="1258" w:name="DESCRIPTORALFABETICO260"/>
      <w:r w:rsidRPr="00F80910">
        <w:rPr>
          <w:rStyle w:val="TextoNormalNegritaCaracter"/>
        </w:rPr>
        <w:t>Modos de ejercicio de la potestad financiera</w:t>
      </w:r>
      <w:bookmarkEnd w:id="1258"/>
      <w:r w:rsidRPr="00F80910">
        <w:rPr>
          <w:rStyle w:val="TextoNormalCaracter"/>
        </w:rPr>
        <w:t xml:space="preserve">, Sentencia </w:t>
      </w:r>
      <w:hyperlink w:anchor="SENTENCIA_2015_185" w:history="1">
        <w:r w:rsidRPr="00F80910">
          <w:rPr>
            <w:rStyle w:val="TextoNormalCaracter"/>
          </w:rPr>
          <w:t>185/2015</w:t>
        </w:r>
      </w:hyperlink>
      <w:r w:rsidRPr="00F80910">
        <w:rPr>
          <w:rStyle w:val="TextoNormalCaracter"/>
        </w:rPr>
        <w:t>, f. 5.</w:t>
      </w:r>
    </w:p>
    <w:p w:rsidR="00F80910" w:rsidRPr="00F80910" w:rsidRDefault="00F80910" w:rsidP="00F80910">
      <w:pPr>
        <w:pStyle w:val="TextoNormalSangraFrancesa"/>
        <w:rPr>
          <w:rStyle w:val="TextoNormalCaracter"/>
        </w:rPr>
      </w:pPr>
      <w:bookmarkStart w:id="1259" w:name="DESCRIPTORALFABETICO245"/>
      <w:r w:rsidRPr="00F80910">
        <w:rPr>
          <w:rStyle w:val="TextoNormalNegritaCaracter"/>
        </w:rPr>
        <w:t>Momento en que rigen los requisitos de admisibilidad</w:t>
      </w:r>
      <w:bookmarkEnd w:id="1259"/>
      <w:r w:rsidRPr="00F80910">
        <w:rPr>
          <w:rStyle w:val="TextoNormalCaracter"/>
        </w:rPr>
        <w:t xml:space="preserve">, Sentencia </w:t>
      </w:r>
      <w:hyperlink w:anchor="SENTENCIA_2015_242" w:history="1">
        <w:r w:rsidRPr="00F80910">
          <w:rPr>
            <w:rStyle w:val="TextoNormalCaracter"/>
          </w:rPr>
          <w:t>242/2015</w:t>
        </w:r>
      </w:hyperlink>
      <w:r w:rsidRPr="00F80910">
        <w:rPr>
          <w:rStyle w:val="TextoNormalCaracter"/>
        </w:rPr>
        <w:t>, f. 6.</w:t>
      </w:r>
    </w:p>
    <w:p w:rsidR="00F80910" w:rsidRPr="00F80910" w:rsidRDefault="00F80910" w:rsidP="00F80910">
      <w:pPr>
        <w:pStyle w:val="TextoNormalSangraFrancesa"/>
        <w:rPr>
          <w:rStyle w:val="TextoNormalCaracter"/>
        </w:rPr>
      </w:pPr>
      <w:bookmarkStart w:id="1260" w:name="DESCRIPTORALFABETICO216"/>
      <w:r w:rsidRPr="00F80910">
        <w:rPr>
          <w:rStyle w:val="TextoNormalNegritaCaracter"/>
        </w:rPr>
        <w:t>Monopolio del Tribunal Constitucional</w:t>
      </w:r>
      <w:bookmarkEnd w:id="1260"/>
      <w:r w:rsidRPr="00F80910">
        <w:rPr>
          <w:rStyle w:val="TextoNormalCaracter"/>
        </w:rPr>
        <w:t xml:space="preserve">, Sentencia </w:t>
      </w:r>
      <w:hyperlink w:anchor="SENTENCIA_2015_195" w:history="1">
        <w:r w:rsidRPr="00F80910">
          <w:rPr>
            <w:rStyle w:val="TextoNormalCaracter"/>
          </w:rPr>
          <w:t>195/2015</w:t>
        </w:r>
      </w:hyperlink>
      <w:r w:rsidRPr="00F80910">
        <w:rPr>
          <w:rStyle w:val="TextoNormalCaracter"/>
        </w:rPr>
        <w:t>, f. 6.</w:t>
      </w:r>
    </w:p>
    <w:p w:rsidR="00F80910" w:rsidRPr="00F80910" w:rsidRDefault="00F80910" w:rsidP="00F80910">
      <w:pPr>
        <w:pStyle w:val="TextoNormalSangraFrancesa"/>
        <w:rPr>
          <w:rStyle w:val="TextoNormalCaracter"/>
        </w:rPr>
      </w:pPr>
      <w:bookmarkStart w:id="1261" w:name="DESCRIPTORALFABETICO418"/>
      <w:r w:rsidRPr="00F80910">
        <w:rPr>
          <w:rStyle w:val="TextoNormalNegritaCaracter"/>
        </w:rPr>
        <w:t>Montes</w:t>
      </w:r>
      <w:bookmarkEnd w:id="1261"/>
      <w:r w:rsidRPr="00F80910">
        <w:rPr>
          <w:rStyle w:val="TextoNormalCaracter"/>
        </w:rPr>
        <w:t xml:space="preserve">, Sentencia </w:t>
      </w:r>
      <w:hyperlink w:anchor="SENTENCIA_2015_214" w:history="1">
        <w:r w:rsidRPr="00F80910">
          <w:rPr>
            <w:rStyle w:val="TextoNormalCaracter"/>
          </w:rPr>
          <w:t>214/2015</w:t>
        </w:r>
      </w:hyperlink>
      <w:r w:rsidRPr="00F80910">
        <w:rPr>
          <w:rStyle w:val="TextoNormalCaracter"/>
        </w:rPr>
        <w:t>, f. 1.</w:t>
      </w:r>
    </w:p>
    <w:p w:rsidR="00F80910" w:rsidRPr="00F80910" w:rsidRDefault="00F80910" w:rsidP="00F80910">
      <w:pPr>
        <w:pStyle w:val="TextoNormalSangraFrancesa"/>
        <w:rPr>
          <w:rStyle w:val="TextoNormalCaracter"/>
        </w:rPr>
      </w:pPr>
      <w:bookmarkStart w:id="1262" w:name="DESCRIPTORALFABETICO449"/>
      <w:r w:rsidRPr="00F80910">
        <w:rPr>
          <w:rStyle w:val="TextoNormalNegritaCaracter"/>
        </w:rPr>
        <w:t>Motivación de la extraordinaria y urgente necesidad</w:t>
      </w:r>
      <w:bookmarkEnd w:id="1262"/>
      <w:r w:rsidRPr="00F80910">
        <w:rPr>
          <w:rStyle w:val="TextoNormalCaracter"/>
        </w:rPr>
        <w:t xml:space="preserve">, Sentencias </w:t>
      </w:r>
      <w:hyperlink w:anchor="SENTENCIA_2015_156" w:history="1">
        <w:r w:rsidRPr="00F80910">
          <w:rPr>
            <w:rStyle w:val="TextoNormalCaracter"/>
          </w:rPr>
          <w:t>156/2015</w:t>
        </w:r>
      </w:hyperlink>
      <w:r w:rsidRPr="00F80910">
        <w:rPr>
          <w:rStyle w:val="TextoNormalCaracter"/>
        </w:rPr>
        <w:t xml:space="preserve">, ff. 3 a 5; </w:t>
      </w:r>
      <w:hyperlink w:anchor="SENTENCIA_2015_196" w:history="1">
        <w:r w:rsidRPr="00F80910">
          <w:rPr>
            <w:rStyle w:val="TextoNormalCaracter"/>
          </w:rPr>
          <w:t>196/2015</w:t>
        </w:r>
      </w:hyperlink>
      <w:r w:rsidRPr="00F80910">
        <w:rPr>
          <w:rStyle w:val="TextoNormalCaracter"/>
        </w:rPr>
        <w:t xml:space="preserve">, ff. 4, 5; </w:t>
      </w:r>
      <w:hyperlink w:anchor="SENTENCIA_2015_199" w:history="1">
        <w:r w:rsidRPr="00F80910">
          <w:rPr>
            <w:rStyle w:val="TextoNormalCaracter"/>
          </w:rPr>
          <w:t>199/2015</w:t>
        </w:r>
      </w:hyperlink>
      <w:r w:rsidRPr="00F80910">
        <w:rPr>
          <w:rStyle w:val="TextoNormalCaracter"/>
        </w:rPr>
        <w:t xml:space="preserve">, ff. 4 a 10; </w:t>
      </w:r>
      <w:hyperlink w:anchor="SENTENCIA_2015_230" w:history="1">
        <w:r w:rsidRPr="00F80910">
          <w:rPr>
            <w:rStyle w:val="TextoNormalCaracter"/>
          </w:rPr>
          <w:t>230/2015</w:t>
        </w:r>
      </w:hyperlink>
      <w:r w:rsidRPr="00F80910">
        <w:rPr>
          <w:rStyle w:val="TextoNormalCaracter"/>
        </w:rPr>
        <w:t xml:space="preserve">, ff. 4, 5; </w:t>
      </w:r>
      <w:hyperlink w:anchor="SENTENCIA_2015_243" w:history="1">
        <w:r w:rsidRPr="00F80910">
          <w:rPr>
            <w:rStyle w:val="TextoNormalCaracter"/>
          </w:rPr>
          <w:t>243/2015</w:t>
        </w:r>
      </w:hyperlink>
      <w:r w:rsidRPr="00F80910">
        <w:rPr>
          <w:rStyle w:val="TextoNormalCaracter"/>
        </w:rPr>
        <w:t>, ff. 2, 3.</w:t>
      </w:r>
    </w:p>
    <w:p w:rsidR="00F80910" w:rsidRPr="00F80910" w:rsidRDefault="00F80910" w:rsidP="00F80910">
      <w:pPr>
        <w:pStyle w:val="TextoNormalSangraFrancesa"/>
        <w:rPr>
          <w:rStyle w:val="TextoNormalCaracter"/>
        </w:rPr>
      </w:pPr>
      <w:bookmarkStart w:id="1263" w:name="DESCRIPTORALFABETICO108"/>
      <w:r w:rsidRPr="00F80910">
        <w:rPr>
          <w:rStyle w:val="TextoNormalNegritaCaracter"/>
        </w:rPr>
        <w:t>Motivación de las resoluciones judiciales</w:t>
      </w:r>
      <w:bookmarkEnd w:id="1263"/>
      <w:r w:rsidRPr="00F80910">
        <w:rPr>
          <w:rStyle w:val="TextoNormalCaracter"/>
        </w:rPr>
        <w:t xml:space="preserve">, </w:t>
      </w:r>
    </w:p>
    <w:p w:rsidR="00F80910" w:rsidRPr="00F80910" w:rsidRDefault="00F80910" w:rsidP="00F80910">
      <w:pPr>
        <w:pStyle w:val="TextoNormalSangraFrancesa"/>
        <w:rPr>
          <w:rStyle w:val="TextoNormalCaracter"/>
        </w:rPr>
      </w:pPr>
      <w:r w:rsidRPr="00F80910">
        <w:rPr>
          <w:rStyle w:val="TextoNormalCursivaCaracter"/>
        </w:rPr>
        <w:t xml:space="preserve">    Respetado, </w:t>
      </w:r>
      <w:r w:rsidRPr="00F80910">
        <w:rPr>
          <w:rStyle w:val="TextoNormalCaracter"/>
        </w:rPr>
        <w:t xml:space="preserve">Sentencia </w:t>
      </w:r>
      <w:hyperlink w:anchor="SENTENCIA_2015_226" w:history="1">
        <w:r w:rsidRPr="00F80910">
          <w:rPr>
            <w:rStyle w:val="TextoNormalCaracter"/>
          </w:rPr>
          <w:t>226/2015</w:t>
        </w:r>
      </w:hyperlink>
      <w:r w:rsidRPr="00F80910">
        <w:rPr>
          <w:rStyle w:val="TextoNormalCaracter"/>
        </w:rPr>
        <w:t>, ff. 4, 5, 7.</w:t>
      </w:r>
    </w:p>
    <w:p w:rsidR="00F80910" w:rsidRPr="00F80910" w:rsidRDefault="00F80910" w:rsidP="00F80910">
      <w:pPr>
        <w:pStyle w:val="TextoNormalSangraFrancesa"/>
        <w:rPr>
          <w:rStyle w:val="TextoNormalCaracter"/>
        </w:rPr>
      </w:pPr>
      <w:bookmarkStart w:id="1264" w:name="DESCRIPTORALFABETICO110"/>
      <w:r w:rsidRPr="00F80910">
        <w:rPr>
          <w:rStyle w:val="TextoNormalNegritaCaracter"/>
        </w:rPr>
        <w:t>Motivación de las sentencias</w:t>
      </w:r>
      <w:bookmarkEnd w:id="1264"/>
      <w:r w:rsidRPr="00F80910">
        <w:rPr>
          <w:rStyle w:val="TextoNormalCaracter"/>
        </w:rPr>
        <w:t xml:space="preserve">, Sentencias </w:t>
      </w:r>
      <w:hyperlink w:anchor="SENTENCIA_2015_222" w:history="1">
        <w:r w:rsidRPr="00F80910">
          <w:rPr>
            <w:rStyle w:val="TextoNormalCaracter"/>
          </w:rPr>
          <w:t>222/2015</w:t>
        </w:r>
      </w:hyperlink>
      <w:r w:rsidRPr="00F80910">
        <w:rPr>
          <w:rStyle w:val="TextoNormalCaracter"/>
        </w:rPr>
        <w:t xml:space="preserve">, ff. 3, 4; </w:t>
      </w:r>
      <w:hyperlink w:anchor="SENTENCIA_2015_262" w:history="1">
        <w:r w:rsidRPr="00F80910">
          <w:rPr>
            <w:rStyle w:val="TextoNormalCaracter"/>
          </w:rPr>
          <w:t>262/2015</w:t>
        </w:r>
      </w:hyperlink>
      <w:r w:rsidRPr="00F80910">
        <w:rPr>
          <w:rStyle w:val="TextoNormalCaracter"/>
        </w:rPr>
        <w:t xml:space="preserve">, f. 2; </w:t>
      </w:r>
      <w:hyperlink w:anchor="SENTENCIA_2015_263" w:history="1">
        <w:r w:rsidRPr="00F80910">
          <w:rPr>
            <w:rStyle w:val="TextoNormalCaracter"/>
          </w:rPr>
          <w:t>263/2015</w:t>
        </w:r>
      </w:hyperlink>
      <w:r w:rsidRPr="00F80910">
        <w:rPr>
          <w:rStyle w:val="TextoNormalCaracter"/>
        </w:rPr>
        <w:t>, f. 2.</w:t>
      </w:r>
    </w:p>
    <w:p w:rsidR="00F80910" w:rsidRPr="00F80910" w:rsidRDefault="00F80910" w:rsidP="00F80910">
      <w:pPr>
        <w:pStyle w:val="TextoNormalSangraFrancesa"/>
        <w:rPr>
          <w:rStyle w:val="TextoNormalCaracter"/>
        </w:rPr>
      </w:pPr>
      <w:bookmarkStart w:id="1265" w:name="DESCRIPTORALFABETICO112"/>
      <w:r w:rsidRPr="00F80910">
        <w:rPr>
          <w:rStyle w:val="TextoNormalNegritaCaracter"/>
        </w:rPr>
        <w:t>Motivación tácita de resoluciones judiciales</w:t>
      </w:r>
      <w:bookmarkEnd w:id="1265"/>
      <w:r w:rsidRPr="00F80910">
        <w:rPr>
          <w:rStyle w:val="TextoNormalCaracter"/>
        </w:rPr>
        <w:t xml:space="preserve">, Sentencia </w:t>
      </w:r>
      <w:hyperlink w:anchor="SENTENCIA_2015_152" w:history="1">
        <w:r w:rsidRPr="00F80910">
          <w:rPr>
            <w:rStyle w:val="TextoNormalCaracter"/>
          </w:rPr>
          <w:t>152/2015</w:t>
        </w:r>
      </w:hyperlink>
      <w:r w:rsidRPr="00F80910">
        <w:rPr>
          <w:rStyle w:val="TextoNormalCaracter"/>
        </w:rPr>
        <w:t>, f. 6.</w:t>
      </w:r>
    </w:p>
    <w:p w:rsidR="00F80910" w:rsidRPr="00F80910" w:rsidRDefault="00F80910" w:rsidP="00F80910">
      <w:pPr>
        <w:pStyle w:val="TextoNormalSangraFrancesa"/>
        <w:rPr>
          <w:rStyle w:val="TextoNormalCaracter"/>
        </w:rPr>
      </w:pPr>
      <w:bookmarkStart w:id="1266" w:name="DESCRIPTORALFABETICO326"/>
      <w:r w:rsidRPr="00F80910">
        <w:rPr>
          <w:rStyle w:val="TextoNormalNegritaCaracter"/>
        </w:rPr>
        <w:t>Movilidad funcionarial</w:t>
      </w:r>
      <w:bookmarkEnd w:id="1266"/>
      <w:r w:rsidRPr="00F80910">
        <w:rPr>
          <w:rStyle w:val="TextoNormalCaracter"/>
        </w:rPr>
        <w:t xml:space="preserve">, Sentencia </w:t>
      </w:r>
      <w:hyperlink w:anchor="SENTENCIA_2015_236" w:history="1">
        <w:r w:rsidRPr="00F80910">
          <w:rPr>
            <w:rStyle w:val="TextoNormalCaracter"/>
          </w:rPr>
          <w:t>236/2015</w:t>
        </w:r>
      </w:hyperlink>
      <w:r w:rsidRPr="00F80910">
        <w:rPr>
          <w:rStyle w:val="TextoNormalCaracter"/>
        </w:rPr>
        <w:t>, f. 6.</w:t>
      </w:r>
    </w:p>
    <w:p w:rsidR="00F80910" w:rsidRDefault="00F80910" w:rsidP="00F80910">
      <w:pPr>
        <w:pStyle w:val="TextoNormalSangraFrancesa"/>
      </w:pPr>
    </w:p>
    <w:p w:rsidR="00F80910" w:rsidRDefault="00F80910" w:rsidP="00F80910">
      <w:pPr>
        <w:pStyle w:val="TextoNormalSangraFrancesa"/>
      </w:pPr>
    </w:p>
    <w:p w:rsidR="00F80910" w:rsidRDefault="00F80910" w:rsidP="00F80910">
      <w:pPr>
        <w:pStyle w:val="TextoNormalNegritaCentrado"/>
      </w:pPr>
      <w:r>
        <w:t>N</w:t>
      </w:r>
    </w:p>
    <w:p w:rsidR="00F80910" w:rsidRDefault="00F80910" w:rsidP="00F80910">
      <w:pPr>
        <w:pStyle w:val="TextoNormalNegritaCentrado"/>
      </w:pPr>
    </w:p>
    <w:p w:rsidR="00F80910" w:rsidRPr="00F80910" w:rsidRDefault="00F80910" w:rsidP="00F80910">
      <w:pPr>
        <w:pStyle w:val="TextoNormalSangraFrancesa"/>
        <w:rPr>
          <w:rStyle w:val="TextoNormalCaracter"/>
        </w:rPr>
      </w:pPr>
      <w:bookmarkStart w:id="1267" w:name="DESCRIPTORALFABETICO119"/>
      <w:r w:rsidRPr="00F80910">
        <w:rPr>
          <w:rStyle w:val="TextoNormalNegritaCaracter"/>
          <w:i/>
        </w:rPr>
        <w:t>Nasciturus</w:t>
      </w:r>
      <w:bookmarkEnd w:id="1267"/>
      <w:r w:rsidRPr="00F80910">
        <w:rPr>
          <w:rStyle w:val="TextoNormalCaracter"/>
        </w:rPr>
        <w:t xml:space="preserve">, Sentencia </w:t>
      </w:r>
      <w:hyperlink w:anchor="SENTENCIA_2015_271" w:history="1">
        <w:r w:rsidRPr="00F80910">
          <w:rPr>
            <w:rStyle w:val="TextoNormalCaracter"/>
          </w:rPr>
          <w:t>271/2015</w:t>
        </w:r>
      </w:hyperlink>
      <w:r w:rsidRPr="00F80910">
        <w:rPr>
          <w:rStyle w:val="TextoNormalCaracter"/>
        </w:rPr>
        <w:t>, f. 1.</w:t>
      </w:r>
    </w:p>
    <w:p w:rsidR="00F80910" w:rsidRPr="00F80910" w:rsidRDefault="00F80910" w:rsidP="00F80910">
      <w:pPr>
        <w:pStyle w:val="TextoNormalSangraFrancesa"/>
        <w:rPr>
          <w:rStyle w:val="TextoNormalCaracter"/>
        </w:rPr>
      </w:pPr>
      <w:bookmarkStart w:id="1268" w:name="DESCRIPTORALFABETICO445"/>
      <w:r w:rsidRPr="00F80910">
        <w:rPr>
          <w:rStyle w:val="TextoNormalNegritaCaracter"/>
        </w:rPr>
        <w:t>Naturaleza jurídica de los decretos-leyes</w:t>
      </w:r>
      <w:bookmarkEnd w:id="1268"/>
      <w:r w:rsidRPr="00F80910">
        <w:rPr>
          <w:rStyle w:val="TextoNormalCaracter"/>
        </w:rPr>
        <w:t xml:space="preserve">, Sentencia </w:t>
      </w:r>
      <w:hyperlink w:anchor="SENTENCIA_2015_199" w:history="1">
        <w:r w:rsidRPr="00F80910">
          <w:rPr>
            <w:rStyle w:val="TextoNormalCaracter"/>
          </w:rPr>
          <w:t>199/2015</w:t>
        </w:r>
      </w:hyperlink>
      <w:r w:rsidRPr="00F80910">
        <w:rPr>
          <w:rStyle w:val="TextoNormalCaracter"/>
        </w:rPr>
        <w:t>, ff. 2, 3.</w:t>
      </w:r>
    </w:p>
    <w:p w:rsidR="00F80910" w:rsidRPr="00F80910" w:rsidRDefault="00F80910" w:rsidP="00F80910">
      <w:pPr>
        <w:pStyle w:val="TextoNormalSangraFrancesa"/>
        <w:rPr>
          <w:rStyle w:val="TextoNormalCaracter"/>
        </w:rPr>
      </w:pPr>
      <w:bookmarkStart w:id="1269" w:name="DESCRIPTORALFABETICO524"/>
      <w:r w:rsidRPr="00F80910">
        <w:rPr>
          <w:rStyle w:val="TextoNormalNegritaCaracter"/>
        </w:rPr>
        <w:t>Normas atributivas de competencia jurisdiccional</w:t>
      </w:r>
      <w:bookmarkEnd w:id="1269"/>
      <w:r w:rsidRPr="00F80910">
        <w:rPr>
          <w:rStyle w:val="TextoNormalCaracter"/>
        </w:rPr>
        <w:t xml:space="preserve">, Sentencia </w:t>
      </w:r>
      <w:hyperlink w:anchor="SENTENCIA_2015_266" w:history="1">
        <w:r w:rsidRPr="00F80910">
          <w:rPr>
            <w:rStyle w:val="TextoNormalCaracter"/>
          </w:rPr>
          <w:t>266/2015</w:t>
        </w:r>
      </w:hyperlink>
      <w:r w:rsidRPr="00F80910">
        <w:rPr>
          <w:rStyle w:val="TextoNormalCaracter"/>
        </w:rPr>
        <w:t>, f. 2.</w:t>
      </w:r>
    </w:p>
    <w:p w:rsidR="00F80910" w:rsidRPr="00F80910" w:rsidRDefault="00F80910" w:rsidP="00F80910">
      <w:pPr>
        <w:pStyle w:val="TextoNormalSangraFrancesa"/>
        <w:rPr>
          <w:rStyle w:val="TextoNormalCaracter"/>
        </w:rPr>
      </w:pPr>
      <w:bookmarkStart w:id="1270" w:name="DESCRIPTORALFABETICO2"/>
      <w:r w:rsidRPr="00F80910">
        <w:rPr>
          <w:rStyle w:val="TextoNormalNegritaCaracter"/>
        </w:rPr>
        <w:t>Normas atributivas de competencias</w:t>
      </w:r>
      <w:bookmarkEnd w:id="1270"/>
      <w:r w:rsidRPr="00F80910">
        <w:rPr>
          <w:rStyle w:val="TextoNormalCaracter"/>
        </w:rPr>
        <w:t xml:space="preserve">, Sentencia </w:t>
      </w:r>
      <w:hyperlink w:anchor="SENTENCIA_2015_196" w:history="1">
        <w:r w:rsidRPr="00F80910">
          <w:rPr>
            <w:rStyle w:val="TextoNormalCaracter"/>
          </w:rPr>
          <w:t>196/2015</w:t>
        </w:r>
      </w:hyperlink>
      <w:r w:rsidRPr="00F80910">
        <w:rPr>
          <w:rStyle w:val="TextoNormalCaracter"/>
        </w:rPr>
        <w:t>, f. 5.</w:t>
      </w:r>
    </w:p>
    <w:p w:rsidR="00F80910" w:rsidRPr="00F80910" w:rsidRDefault="00F80910" w:rsidP="00F80910">
      <w:pPr>
        <w:pStyle w:val="TextoNormalSangraFrancesa"/>
        <w:rPr>
          <w:rStyle w:val="TextoNormalCaracter"/>
        </w:rPr>
      </w:pPr>
      <w:bookmarkStart w:id="1271" w:name="DESCRIPTORALFABETICO456"/>
      <w:r w:rsidRPr="00F80910">
        <w:rPr>
          <w:rStyle w:val="TextoNormalNegritaCaracter"/>
        </w:rPr>
        <w:t>Normas básicas en forma de decreto-ley</w:t>
      </w:r>
      <w:bookmarkEnd w:id="1271"/>
      <w:r w:rsidRPr="00F80910">
        <w:rPr>
          <w:rStyle w:val="TextoNormalCaracter"/>
        </w:rPr>
        <w:t xml:space="preserve">, Sentencias </w:t>
      </w:r>
      <w:hyperlink w:anchor="SENTENCIA_2015_197" w:history="1">
        <w:r w:rsidRPr="00F80910">
          <w:rPr>
            <w:rStyle w:val="TextoNormalCaracter"/>
          </w:rPr>
          <w:t>197/2015</w:t>
        </w:r>
      </w:hyperlink>
      <w:r w:rsidRPr="00F80910">
        <w:rPr>
          <w:rStyle w:val="TextoNormalCaracter"/>
        </w:rPr>
        <w:t xml:space="preserve">, f. 2 a 4; </w:t>
      </w:r>
      <w:hyperlink w:anchor="SENTENCIA_2015_215" w:history="1">
        <w:r w:rsidRPr="00F80910">
          <w:rPr>
            <w:rStyle w:val="TextoNormalCaracter"/>
          </w:rPr>
          <w:t>215/2015</w:t>
        </w:r>
      </w:hyperlink>
      <w:r w:rsidRPr="00F80910">
        <w:rPr>
          <w:rStyle w:val="TextoNormalCaracter"/>
        </w:rPr>
        <w:t>, f. 7.</w:t>
      </w:r>
    </w:p>
    <w:p w:rsidR="00F80910" w:rsidRPr="00F80910" w:rsidRDefault="00F80910" w:rsidP="00F80910">
      <w:pPr>
        <w:pStyle w:val="TextoNormalSangraFrancesa"/>
        <w:rPr>
          <w:rStyle w:val="TextoNormalCaracter"/>
        </w:rPr>
      </w:pPr>
      <w:bookmarkStart w:id="1272" w:name="DESCRIPTORALFABETICO473"/>
      <w:r w:rsidRPr="00F80910">
        <w:rPr>
          <w:rStyle w:val="TextoNormalNegritaCaracter"/>
        </w:rPr>
        <w:t>Normas de contenido heterogéneo</w:t>
      </w:r>
      <w:bookmarkEnd w:id="1272"/>
      <w:r w:rsidRPr="00F80910">
        <w:rPr>
          <w:rStyle w:val="TextoNormalCaracter"/>
        </w:rPr>
        <w:t xml:space="preserve">, Sentencia </w:t>
      </w:r>
      <w:hyperlink w:anchor="SENTENCIA_2015_199" w:history="1">
        <w:r w:rsidRPr="00F80910">
          <w:rPr>
            <w:rStyle w:val="TextoNormalCaracter"/>
          </w:rPr>
          <w:t>199/2015</w:t>
        </w:r>
      </w:hyperlink>
      <w:r w:rsidRPr="00F80910">
        <w:rPr>
          <w:rStyle w:val="TextoNormalCaracter"/>
        </w:rPr>
        <w:t>, ff. 2, 3, 5, VP.</w:t>
      </w:r>
    </w:p>
    <w:p w:rsidR="00F80910" w:rsidRPr="00F80910" w:rsidRDefault="00F80910" w:rsidP="00F80910">
      <w:pPr>
        <w:pStyle w:val="TextoNormalSangraFrancesa"/>
        <w:rPr>
          <w:rStyle w:val="TextoNormalCaracter"/>
        </w:rPr>
      </w:pPr>
      <w:bookmarkStart w:id="1273" w:name="DESCRIPTORALFABETICO475"/>
      <w:r w:rsidRPr="00F80910">
        <w:rPr>
          <w:rStyle w:val="TextoNormalNegritaCaracter"/>
        </w:rPr>
        <w:t>Normas preconstitucionales</w:t>
      </w:r>
      <w:bookmarkEnd w:id="1273"/>
      <w:r w:rsidRPr="00F80910">
        <w:rPr>
          <w:rStyle w:val="TextoNormalCaracter"/>
        </w:rPr>
        <w:t xml:space="preserve">, Sentencias </w:t>
      </w:r>
      <w:hyperlink w:anchor="SENTENCIA_2015_235" w:history="1">
        <w:r w:rsidRPr="00F80910">
          <w:rPr>
            <w:rStyle w:val="TextoNormalCaracter"/>
          </w:rPr>
          <w:t>235/2015</w:t>
        </w:r>
      </w:hyperlink>
      <w:r w:rsidRPr="00F80910">
        <w:rPr>
          <w:rStyle w:val="TextoNormalCaracter"/>
        </w:rPr>
        <w:t xml:space="preserve">, f. 4; </w:t>
      </w:r>
      <w:hyperlink w:anchor="SENTENCIA_2015_260" w:history="1">
        <w:r w:rsidRPr="00F80910">
          <w:rPr>
            <w:rStyle w:val="TextoNormalCaracter"/>
          </w:rPr>
          <w:t>260/2015</w:t>
        </w:r>
      </w:hyperlink>
      <w:r w:rsidRPr="00F80910">
        <w:rPr>
          <w:rStyle w:val="TextoNormalCaracter"/>
        </w:rPr>
        <w:t>, f. 3.</w:t>
      </w:r>
    </w:p>
    <w:p w:rsidR="00F80910" w:rsidRPr="00F80910" w:rsidRDefault="00F80910" w:rsidP="00F80910">
      <w:pPr>
        <w:pStyle w:val="TextoNormalSangraFrancesa"/>
        <w:rPr>
          <w:rStyle w:val="TextoNormalCaracter"/>
        </w:rPr>
      </w:pPr>
      <w:bookmarkStart w:id="1274" w:name="DESCRIPTORALFABETICO530"/>
      <w:r w:rsidRPr="00F80910">
        <w:rPr>
          <w:rStyle w:val="TextoNormalNegritaCaracter"/>
        </w:rPr>
        <w:t>Notificación por fax</w:t>
      </w:r>
      <w:bookmarkEnd w:id="1274"/>
      <w:r w:rsidRPr="00F80910">
        <w:rPr>
          <w:rStyle w:val="TextoNormalCaracter"/>
        </w:rPr>
        <w:t xml:space="preserve">, Sentencia </w:t>
      </w:r>
      <w:hyperlink w:anchor="SENTENCIA_2015_194" w:history="1">
        <w:r w:rsidRPr="00F80910">
          <w:rPr>
            <w:rStyle w:val="TextoNormalCaracter"/>
          </w:rPr>
          <w:t>194/2015</w:t>
        </w:r>
      </w:hyperlink>
      <w:r w:rsidRPr="00F80910">
        <w:rPr>
          <w:rStyle w:val="TextoNormalCaracter"/>
        </w:rPr>
        <w:t>, f. 3.</w:t>
      </w:r>
    </w:p>
    <w:p w:rsidR="00F80910" w:rsidRDefault="00F80910" w:rsidP="00F80910">
      <w:pPr>
        <w:pStyle w:val="TextoNormalSangraFrancesa"/>
      </w:pPr>
    </w:p>
    <w:p w:rsidR="00F80910" w:rsidRDefault="00F80910" w:rsidP="00F80910">
      <w:pPr>
        <w:pStyle w:val="TextoNormalSangraFrancesa"/>
      </w:pPr>
    </w:p>
    <w:p w:rsidR="00F80910" w:rsidRDefault="00F80910" w:rsidP="00F80910">
      <w:pPr>
        <w:pStyle w:val="TextoNormalNegritaCentrado"/>
      </w:pPr>
      <w:r>
        <w:t>O</w:t>
      </w:r>
    </w:p>
    <w:p w:rsidR="00F80910" w:rsidRDefault="00F80910" w:rsidP="00F80910">
      <w:pPr>
        <w:pStyle w:val="TextoNormalNegritaCentrado"/>
      </w:pPr>
    </w:p>
    <w:p w:rsidR="00F80910" w:rsidRPr="00F80910" w:rsidRDefault="00F80910" w:rsidP="00F80910">
      <w:pPr>
        <w:pStyle w:val="TextoNormalSangraFrancesa"/>
        <w:rPr>
          <w:rStyle w:val="TextoNormalCaracter"/>
        </w:rPr>
      </w:pPr>
      <w:bookmarkStart w:id="1275" w:name="DESCRIPTORALFABETICO199"/>
      <w:r w:rsidRPr="00F80910">
        <w:rPr>
          <w:rStyle w:val="TextoNormalNegritaCaracter"/>
        </w:rPr>
        <w:t>Objeto del proceso de impugnación de disposiciones autonómicas</w:t>
      </w:r>
      <w:bookmarkEnd w:id="1275"/>
      <w:r w:rsidRPr="00F80910">
        <w:rPr>
          <w:rStyle w:val="TextoNormalCaracter"/>
        </w:rPr>
        <w:t xml:space="preserve">, Sentencia </w:t>
      </w:r>
      <w:hyperlink w:anchor="SENTENCIA_2015_259" w:history="1">
        <w:r w:rsidRPr="00F80910">
          <w:rPr>
            <w:rStyle w:val="TextoNormalCaracter"/>
          </w:rPr>
          <w:t>259/2015</w:t>
        </w:r>
      </w:hyperlink>
      <w:r w:rsidRPr="00F80910">
        <w:rPr>
          <w:rStyle w:val="TextoNormalCaracter"/>
        </w:rPr>
        <w:t>, f. 2.</w:t>
      </w:r>
    </w:p>
    <w:p w:rsidR="00F80910" w:rsidRPr="00F80910" w:rsidRDefault="00F80910" w:rsidP="00F80910">
      <w:pPr>
        <w:pStyle w:val="TextoNormalSangraFrancesa"/>
        <w:rPr>
          <w:rStyle w:val="TextoNormalCaracter"/>
        </w:rPr>
      </w:pPr>
      <w:bookmarkStart w:id="1276" w:name="DESCRIPTORALFABETICO353"/>
      <w:r w:rsidRPr="00F80910">
        <w:rPr>
          <w:rStyle w:val="TextoNormalNegritaCaracter"/>
        </w:rPr>
        <w:t>Obras hidráulicas</w:t>
      </w:r>
      <w:bookmarkEnd w:id="1276"/>
      <w:r w:rsidRPr="00F80910">
        <w:rPr>
          <w:rStyle w:val="TextoNormalCaracter"/>
        </w:rPr>
        <w:t xml:space="preserve">, Sentencia </w:t>
      </w:r>
      <w:hyperlink w:anchor="SENTENCIA_2015_231" w:history="1">
        <w:r w:rsidRPr="00F80910">
          <w:rPr>
            <w:rStyle w:val="TextoNormalCaracter"/>
          </w:rPr>
          <w:t>231/2015</w:t>
        </w:r>
      </w:hyperlink>
      <w:r w:rsidRPr="00F80910">
        <w:rPr>
          <w:rStyle w:val="TextoNormalCaracter"/>
        </w:rPr>
        <w:t>, ff. 1, 2, 3, 5.</w:t>
      </w:r>
    </w:p>
    <w:p w:rsidR="00F80910" w:rsidRPr="00F80910" w:rsidRDefault="00F80910" w:rsidP="00F80910">
      <w:pPr>
        <w:pStyle w:val="TextoNormalSangraFrancesa"/>
        <w:rPr>
          <w:rStyle w:val="TextoNormalCaracter"/>
        </w:rPr>
      </w:pPr>
      <w:bookmarkStart w:id="1277" w:name="DESCRIPTORALFABETICO421"/>
      <w:r w:rsidRPr="00F80910">
        <w:rPr>
          <w:rStyle w:val="TextoNormalNegritaCaracter"/>
        </w:rPr>
        <w:t>Obras públicas de interés general</w:t>
      </w:r>
      <w:bookmarkEnd w:id="1277"/>
      <w:r w:rsidRPr="00F80910">
        <w:rPr>
          <w:rStyle w:val="TextoNormalCaracter"/>
        </w:rPr>
        <w:t xml:space="preserve">, Sentencia </w:t>
      </w:r>
      <w:hyperlink w:anchor="SENTENCIA_2015_197" w:history="1">
        <w:r w:rsidRPr="00F80910">
          <w:rPr>
            <w:rStyle w:val="TextoNormalCaracter"/>
          </w:rPr>
          <w:t>197/2015</w:t>
        </w:r>
      </w:hyperlink>
      <w:r w:rsidRPr="00F80910">
        <w:rPr>
          <w:rStyle w:val="TextoNormalCaracter"/>
        </w:rPr>
        <w:t>, f. 1.</w:t>
      </w:r>
    </w:p>
    <w:p w:rsidR="00F80910" w:rsidRPr="00F80910" w:rsidRDefault="00F80910" w:rsidP="00F80910">
      <w:pPr>
        <w:pStyle w:val="TextoNormalSangraFrancesa"/>
        <w:rPr>
          <w:rStyle w:val="TextoNormalCaracter"/>
        </w:rPr>
      </w:pPr>
      <w:bookmarkStart w:id="1278" w:name="DESCRIPTORALFABETICO146"/>
      <w:r w:rsidRPr="00F80910">
        <w:rPr>
          <w:rStyle w:val="TextoNormalNegritaCaracter"/>
        </w:rPr>
        <w:t>Opinión pública libre</w:t>
      </w:r>
      <w:bookmarkEnd w:id="1278"/>
      <w:r w:rsidRPr="00F80910">
        <w:rPr>
          <w:rStyle w:val="TextoNormalCaracter"/>
        </w:rPr>
        <w:t xml:space="preserve">, Sentencia </w:t>
      </w:r>
      <w:hyperlink w:anchor="SENTENCIA_2015_177" w:history="1">
        <w:r w:rsidRPr="00F80910">
          <w:rPr>
            <w:rStyle w:val="TextoNormalCaracter"/>
          </w:rPr>
          <w:t>177/2015</w:t>
        </w:r>
      </w:hyperlink>
      <w:r w:rsidRPr="00F80910">
        <w:rPr>
          <w:rStyle w:val="TextoNormalCaracter"/>
        </w:rPr>
        <w:t>, f. 2.</w:t>
      </w:r>
    </w:p>
    <w:p w:rsidR="00F80910" w:rsidRPr="00F80910" w:rsidRDefault="00F80910" w:rsidP="00F80910">
      <w:pPr>
        <w:pStyle w:val="TextoNormalSangraFrancesa"/>
        <w:rPr>
          <w:rStyle w:val="TextoNormalCaracter"/>
        </w:rPr>
      </w:pPr>
      <w:bookmarkStart w:id="1279" w:name="DESCRIPTORALFABETICO577"/>
      <w:r w:rsidRPr="00F80910">
        <w:rPr>
          <w:rStyle w:val="TextoNormalNegritaCaracter"/>
        </w:rPr>
        <w:t>Oposición a la demanda civil</w:t>
      </w:r>
      <w:bookmarkEnd w:id="1279"/>
      <w:r w:rsidRPr="00F80910">
        <w:rPr>
          <w:rStyle w:val="TextoNormalCaracter"/>
        </w:rPr>
        <w:t xml:space="preserve">, Sentencia </w:t>
      </w:r>
      <w:hyperlink w:anchor="SENTENCIA_2015_242" w:history="1">
        <w:r w:rsidRPr="00F80910">
          <w:rPr>
            <w:rStyle w:val="TextoNormalCaracter"/>
          </w:rPr>
          <w:t>242/2015</w:t>
        </w:r>
      </w:hyperlink>
      <w:r w:rsidRPr="00F80910">
        <w:rPr>
          <w:rStyle w:val="TextoNormalCaracter"/>
        </w:rPr>
        <w:t>, f. 3.</w:t>
      </w:r>
    </w:p>
    <w:p w:rsidR="00F80910" w:rsidRPr="00F80910" w:rsidRDefault="00F80910" w:rsidP="00F80910">
      <w:pPr>
        <w:pStyle w:val="TextoNormalSangraFrancesa"/>
        <w:rPr>
          <w:rStyle w:val="TextoNormalCaracter"/>
        </w:rPr>
      </w:pPr>
      <w:bookmarkStart w:id="1280" w:name="DESCRIPTORALFABETICO1"/>
      <w:r w:rsidRPr="00F80910">
        <w:rPr>
          <w:rStyle w:val="TextoNormalNegritaCaracter"/>
        </w:rPr>
        <w:t>Orden constitucional de competencias</w:t>
      </w:r>
      <w:bookmarkEnd w:id="1280"/>
      <w:r w:rsidRPr="00F80910">
        <w:rPr>
          <w:rStyle w:val="TextoNormalCaracter"/>
        </w:rPr>
        <w:t xml:space="preserve">, Sentencias </w:t>
      </w:r>
      <w:hyperlink w:anchor="SENTENCIA_2015_178" w:history="1">
        <w:r w:rsidRPr="00F80910">
          <w:rPr>
            <w:rStyle w:val="TextoNormalCaracter"/>
          </w:rPr>
          <w:t>178/2015</w:t>
        </w:r>
      </w:hyperlink>
      <w:r w:rsidRPr="00F80910">
        <w:rPr>
          <w:rStyle w:val="TextoNormalCaracter"/>
        </w:rPr>
        <w:t xml:space="preserve">, ff. 1, 3, 8, 10; </w:t>
      </w:r>
      <w:hyperlink w:anchor="SENTENCIA_2015_214" w:history="1">
        <w:r w:rsidRPr="00F80910">
          <w:rPr>
            <w:rStyle w:val="TextoNormalCaracter"/>
          </w:rPr>
          <w:t>214/2015</w:t>
        </w:r>
      </w:hyperlink>
      <w:r w:rsidRPr="00F80910">
        <w:rPr>
          <w:rStyle w:val="TextoNormalCaracter"/>
        </w:rPr>
        <w:t xml:space="preserve">, f. 3; </w:t>
      </w:r>
      <w:hyperlink w:anchor="SENTENCIA_2015_237" w:history="1">
        <w:r w:rsidRPr="00F80910">
          <w:rPr>
            <w:rStyle w:val="TextoNormalCaracter"/>
          </w:rPr>
          <w:t>237/2015</w:t>
        </w:r>
      </w:hyperlink>
      <w:r w:rsidRPr="00F80910">
        <w:rPr>
          <w:rStyle w:val="TextoNormalCaracter"/>
        </w:rPr>
        <w:t xml:space="preserve">, f. 2; </w:t>
      </w:r>
      <w:hyperlink w:anchor="SENTENCIA_2015_272" w:history="1">
        <w:r w:rsidRPr="00F80910">
          <w:rPr>
            <w:rStyle w:val="TextoNormalCaracter"/>
          </w:rPr>
          <w:t>272/2015</w:t>
        </w:r>
      </w:hyperlink>
      <w:r w:rsidRPr="00F80910">
        <w:rPr>
          <w:rStyle w:val="TextoNormalCaracter"/>
        </w:rPr>
        <w:t>, f. 4.</w:t>
      </w:r>
    </w:p>
    <w:p w:rsidR="00F80910" w:rsidRPr="00F80910" w:rsidRDefault="00F80910" w:rsidP="00F80910">
      <w:pPr>
        <w:pStyle w:val="TextoNormalSangraFrancesa"/>
        <w:rPr>
          <w:rStyle w:val="TextoNormalCaracter"/>
        </w:rPr>
      </w:pPr>
      <w:bookmarkStart w:id="1281" w:name="DESCRIPTORALFABETICO345"/>
      <w:r w:rsidRPr="00F80910">
        <w:rPr>
          <w:rStyle w:val="TextoNormalNegritaCaracter"/>
        </w:rPr>
        <w:t>Orden de los apellidos</w:t>
      </w:r>
      <w:bookmarkEnd w:id="1281"/>
      <w:r w:rsidRPr="00F80910">
        <w:rPr>
          <w:rStyle w:val="TextoNormalCaracter"/>
        </w:rPr>
        <w:t xml:space="preserve">, Sentencia </w:t>
      </w:r>
      <w:hyperlink w:anchor="SENTENCIA_2015_242" w:history="1">
        <w:r w:rsidRPr="00F80910">
          <w:rPr>
            <w:rStyle w:val="TextoNormalCaracter"/>
          </w:rPr>
          <w:t>242/2015</w:t>
        </w:r>
      </w:hyperlink>
      <w:r w:rsidRPr="00F80910">
        <w:rPr>
          <w:rStyle w:val="TextoNormalCaracter"/>
        </w:rPr>
        <w:t>, f. 1.</w:t>
      </w:r>
    </w:p>
    <w:p w:rsidR="00F80910" w:rsidRPr="00F80910" w:rsidRDefault="00F80910" w:rsidP="00F80910">
      <w:pPr>
        <w:pStyle w:val="TextoNormalSangraFrancesa"/>
        <w:rPr>
          <w:rStyle w:val="TextoNormalCaracter"/>
        </w:rPr>
      </w:pPr>
      <w:bookmarkStart w:id="1282" w:name="DESCRIPTORALFABETICO312"/>
      <w:r w:rsidRPr="00F80910">
        <w:rPr>
          <w:rStyle w:val="TextoNormalNegritaCaracter"/>
        </w:rPr>
        <w:t>Orden público</w:t>
      </w:r>
      <w:bookmarkEnd w:id="1282"/>
      <w:r w:rsidRPr="00F80910">
        <w:rPr>
          <w:rStyle w:val="TextoNormalCaracter"/>
        </w:rPr>
        <w:t xml:space="preserve">, Sentencia </w:t>
      </w:r>
      <w:hyperlink w:anchor="SENTENCIA_2015_177" w:history="1">
        <w:r w:rsidRPr="00F80910">
          <w:rPr>
            <w:rStyle w:val="TextoNormalCaracter"/>
          </w:rPr>
          <w:t>177/2015</w:t>
        </w:r>
      </w:hyperlink>
      <w:r w:rsidRPr="00F80910">
        <w:rPr>
          <w:rStyle w:val="TextoNormalCaracter"/>
        </w:rPr>
        <w:t>, VP II.</w:t>
      </w:r>
    </w:p>
    <w:p w:rsidR="00F80910" w:rsidRPr="00F80910" w:rsidRDefault="00F80910" w:rsidP="00F80910">
      <w:pPr>
        <w:pStyle w:val="TextoNormalSangraFrancesa"/>
        <w:rPr>
          <w:rStyle w:val="TextoNormalCaracter"/>
        </w:rPr>
      </w:pPr>
      <w:bookmarkStart w:id="1283" w:name="DESCRIPTORALFABETICO48"/>
      <w:r w:rsidRPr="00F80910">
        <w:rPr>
          <w:rStyle w:val="TextoNormalNegritaCaracter"/>
        </w:rPr>
        <w:t>Ordenación del sector eléctrico</w:t>
      </w:r>
      <w:bookmarkEnd w:id="1283"/>
      <w:r w:rsidRPr="00F80910">
        <w:rPr>
          <w:rStyle w:val="TextoNormalCaracter"/>
        </w:rPr>
        <w:t xml:space="preserve">, Sentencia </w:t>
      </w:r>
      <w:hyperlink w:anchor="SENTENCIA_2015_270" w:history="1">
        <w:r w:rsidRPr="00F80910">
          <w:rPr>
            <w:rStyle w:val="TextoNormalCaracter"/>
          </w:rPr>
          <w:t>270/2015</w:t>
        </w:r>
      </w:hyperlink>
      <w:r w:rsidRPr="00F80910">
        <w:rPr>
          <w:rStyle w:val="TextoNormalCaracter"/>
        </w:rPr>
        <w:t>, f. 1.</w:t>
      </w:r>
    </w:p>
    <w:p w:rsidR="00F80910" w:rsidRPr="00F80910" w:rsidRDefault="00F80910" w:rsidP="00F80910">
      <w:pPr>
        <w:pStyle w:val="TextoNormalSangraFrancesa"/>
        <w:rPr>
          <w:rStyle w:val="TextoNormalCaracter"/>
        </w:rPr>
      </w:pPr>
      <w:bookmarkStart w:id="1284" w:name="DESCRIPTORALFABETICO46"/>
      <w:r w:rsidRPr="00F80910">
        <w:rPr>
          <w:rStyle w:val="TextoNormalNegritaCaracter"/>
        </w:rPr>
        <w:t>Ordenación general de la economía</w:t>
      </w:r>
      <w:bookmarkEnd w:id="1284"/>
      <w:r w:rsidRPr="00F80910">
        <w:rPr>
          <w:rStyle w:val="TextoNormalCaracter"/>
        </w:rPr>
        <w:t xml:space="preserve">, Sentencia </w:t>
      </w:r>
      <w:hyperlink w:anchor="SENTENCIA_2015_243" w:history="1">
        <w:r w:rsidRPr="00F80910">
          <w:rPr>
            <w:rStyle w:val="TextoNormalCaracter"/>
          </w:rPr>
          <w:t>243/2015</w:t>
        </w:r>
      </w:hyperlink>
      <w:r w:rsidRPr="00F80910">
        <w:rPr>
          <w:rStyle w:val="TextoNormalCaracter"/>
        </w:rPr>
        <w:t>, f. 7.</w:t>
      </w:r>
    </w:p>
    <w:p w:rsidR="00F80910" w:rsidRDefault="00F80910" w:rsidP="00F80910">
      <w:pPr>
        <w:pStyle w:val="TextoNormalSangraFrancesa"/>
      </w:pPr>
    </w:p>
    <w:p w:rsidR="00F80910" w:rsidRDefault="00F80910" w:rsidP="00F80910">
      <w:pPr>
        <w:pStyle w:val="TextoNormalSangraFrancesa"/>
      </w:pPr>
    </w:p>
    <w:p w:rsidR="00F80910" w:rsidRDefault="00F80910" w:rsidP="00F80910">
      <w:pPr>
        <w:pStyle w:val="TextoNormalNegritaCentrado"/>
      </w:pPr>
      <w:r>
        <w:t>P</w:t>
      </w:r>
    </w:p>
    <w:p w:rsidR="00F80910" w:rsidRDefault="00F80910" w:rsidP="00F80910">
      <w:pPr>
        <w:pStyle w:val="TextoNormalNegritaCentrado"/>
      </w:pPr>
    </w:p>
    <w:p w:rsidR="00F80910" w:rsidRPr="00F80910" w:rsidRDefault="00F80910" w:rsidP="00F80910">
      <w:pPr>
        <w:pStyle w:val="TextoNormalSangraFrancesa"/>
        <w:rPr>
          <w:rStyle w:val="TextoNormalCaracter"/>
        </w:rPr>
      </w:pPr>
      <w:bookmarkStart w:id="1285" w:name="DESCRIPTORALFABETICO513"/>
      <w:r w:rsidRPr="00F80910">
        <w:rPr>
          <w:rStyle w:val="TextoNormalNegritaCaracter"/>
        </w:rPr>
        <w:t>Pagas extraordinarias</w:t>
      </w:r>
      <w:bookmarkEnd w:id="1285"/>
      <w:r w:rsidRPr="00F80910">
        <w:rPr>
          <w:rStyle w:val="TextoNormalCaracter"/>
        </w:rPr>
        <w:t xml:space="preserve">, Sentencias </w:t>
      </w:r>
      <w:hyperlink w:anchor="SENTENCIA_2015_151" w:history="1">
        <w:r w:rsidRPr="00F80910">
          <w:rPr>
            <w:rStyle w:val="TextoNormalCaracter"/>
          </w:rPr>
          <w:t>151/2015</w:t>
        </w:r>
      </w:hyperlink>
      <w:r w:rsidRPr="00F80910">
        <w:rPr>
          <w:rStyle w:val="TextoNormalCaracter"/>
        </w:rPr>
        <w:t xml:space="preserve">, ff. 1 a 3; </w:t>
      </w:r>
      <w:hyperlink w:anchor="SENTENCIA_2015_153" w:history="1">
        <w:r w:rsidRPr="00F80910">
          <w:rPr>
            <w:rStyle w:val="TextoNormalCaracter"/>
          </w:rPr>
          <w:t>153/2015</w:t>
        </w:r>
      </w:hyperlink>
      <w:r w:rsidRPr="00F80910">
        <w:rPr>
          <w:rStyle w:val="TextoNormalCaracter"/>
        </w:rPr>
        <w:t xml:space="preserve">, ff. 1 a 3; </w:t>
      </w:r>
      <w:hyperlink w:anchor="SENTENCIA_2015_161" w:history="1">
        <w:r w:rsidRPr="00F80910">
          <w:rPr>
            <w:rStyle w:val="TextoNormalCaracter"/>
          </w:rPr>
          <w:t>161/2015</w:t>
        </w:r>
      </w:hyperlink>
      <w:r w:rsidRPr="00F80910">
        <w:rPr>
          <w:rStyle w:val="TextoNormalCaracter"/>
        </w:rPr>
        <w:t xml:space="preserve">, ff. 1 a 3; </w:t>
      </w:r>
      <w:hyperlink w:anchor="SENTENCIA_2015_162" w:history="1">
        <w:r w:rsidRPr="00F80910">
          <w:rPr>
            <w:rStyle w:val="TextoNormalCaracter"/>
          </w:rPr>
          <w:t>162/2015</w:t>
        </w:r>
      </w:hyperlink>
      <w:r w:rsidRPr="00F80910">
        <w:rPr>
          <w:rStyle w:val="TextoNormalCaracter"/>
        </w:rPr>
        <w:t xml:space="preserve">, ff. 1 a 3; </w:t>
      </w:r>
      <w:hyperlink w:anchor="SENTENCIA_2015_163" w:history="1">
        <w:r w:rsidRPr="00F80910">
          <w:rPr>
            <w:rStyle w:val="TextoNormalCaracter"/>
          </w:rPr>
          <w:t>163/2015</w:t>
        </w:r>
      </w:hyperlink>
      <w:r w:rsidRPr="00F80910">
        <w:rPr>
          <w:rStyle w:val="TextoNormalCaracter"/>
        </w:rPr>
        <w:t xml:space="preserve">, ff. 1 a 3; </w:t>
      </w:r>
      <w:hyperlink w:anchor="SENTENCIA_2015_164" w:history="1">
        <w:r w:rsidRPr="00F80910">
          <w:rPr>
            <w:rStyle w:val="TextoNormalCaracter"/>
          </w:rPr>
          <w:t>164/2015</w:t>
        </w:r>
      </w:hyperlink>
      <w:r w:rsidRPr="00F80910">
        <w:rPr>
          <w:rStyle w:val="TextoNormalCaracter"/>
        </w:rPr>
        <w:t xml:space="preserve">, ff. 2 a 3; </w:t>
      </w:r>
      <w:hyperlink w:anchor="SENTENCIA_2015_165" w:history="1">
        <w:r w:rsidRPr="00F80910">
          <w:rPr>
            <w:rStyle w:val="TextoNormalCaracter"/>
          </w:rPr>
          <w:t>165/2015</w:t>
        </w:r>
      </w:hyperlink>
      <w:r w:rsidRPr="00F80910">
        <w:rPr>
          <w:rStyle w:val="TextoNormalCaracter"/>
        </w:rPr>
        <w:t xml:space="preserve">, ff. 1 a 3; </w:t>
      </w:r>
      <w:hyperlink w:anchor="SENTENCIA_2015_166" w:history="1">
        <w:r w:rsidRPr="00F80910">
          <w:rPr>
            <w:rStyle w:val="TextoNormalCaracter"/>
          </w:rPr>
          <w:t>166/2015</w:t>
        </w:r>
      </w:hyperlink>
      <w:r w:rsidRPr="00F80910">
        <w:rPr>
          <w:rStyle w:val="TextoNormalCaracter"/>
        </w:rPr>
        <w:t xml:space="preserve">, ff. 1 a 3; </w:t>
      </w:r>
      <w:hyperlink w:anchor="SENTENCIA_2015_168" w:history="1">
        <w:r w:rsidRPr="00F80910">
          <w:rPr>
            <w:rStyle w:val="TextoNormalCaracter"/>
          </w:rPr>
          <w:t>168/2015</w:t>
        </w:r>
      </w:hyperlink>
      <w:r w:rsidRPr="00F80910">
        <w:rPr>
          <w:rStyle w:val="TextoNormalCaracter"/>
        </w:rPr>
        <w:t xml:space="preserve">, ff. 1 a 3; </w:t>
      </w:r>
      <w:hyperlink w:anchor="SENTENCIA_2015_170" w:history="1">
        <w:r w:rsidRPr="00F80910">
          <w:rPr>
            <w:rStyle w:val="TextoNormalCaracter"/>
          </w:rPr>
          <w:t>170/2015</w:t>
        </w:r>
      </w:hyperlink>
      <w:r w:rsidRPr="00F80910">
        <w:rPr>
          <w:rStyle w:val="TextoNormalCaracter"/>
        </w:rPr>
        <w:t xml:space="preserve">, ff. 1 a 3; </w:t>
      </w:r>
      <w:hyperlink w:anchor="SENTENCIA_2015_171" w:history="1">
        <w:r w:rsidRPr="00F80910">
          <w:rPr>
            <w:rStyle w:val="TextoNormalCaracter"/>
          </w:rPr>
          <w:t>171/2015</w:t>
        </w:r>
      </w:hyperlink>
      <w:r w:rsidRPr="00F80910">
        <w:rPr>
          <w:rStyle w:val="TextoNormalCaracter"/>
        </w:rPr>
        <w:t xml:space="preserve">, ff. 1 a 3; </w:t>
      </w:r>
      <w:hyperlink w:anchor="SENTENCIA_2015_172" w:history="1">
        <w:r w:rsidRPr="00F80910">
          <w:rPr>
            <w:rStyle w:val="TextoNormalCaracter"/>
          </w:rPr>
          <w:t>172/2015</w:t>
        </w:r>
      </w:hyperlink>
      <w:r w:rsidRPr="00F80910">
        <w:rPr>
          <w:rStyle w:val="TextoNormalCaracter"/>
        </w:rPr>
        <w:t xml:space="preserve">, ff. 1 a 3; </w:t>
      </w:r>
      <w:hyperlink w:anchor="SENTENCIA_2015_173" w:history="1">
        <w:r w:rsidRPr="00F80910">
          <w:rPr>
            <w:rStyle w:val="TextoNormalCaracter"/>
          </w:rPr>
          <w:t>173/2015</w:t>
        </w:r>
      </w:hyperlink>
      <w:r w:rsidRPr="00F80910">
        <w:rPr>
          <w:rStyle w:val="TextoNormalCaracter"/>
        </w:rPr>
        <w:t xml:space="preserve">, ff. 1 a 3; </w:t>
      </w:r>
      <w:hyperlink w:anchor="SENTENCIA_2015_174" w:history="1">
        <w:r w:rsidRPr="00F80910">
          <w:rPr>
            <w:rStyle w:val="TextoNormalCaracter"/>
          </w:rPr>
          <w:t>174/2015</w:t>
        </w:r>
      </w:hyperlink>
      <w:r w:rsidRPr="00F80910">
        <w:rPr>
          <w:rStyle w:val="TextoNormalCaracter"/>
        </w:rPr>
        <w:t xml:space="preserve">, ff. 1 a 3; </w:t>
      </w:r>
      <w:hyperlink w:anchor="SENTENCIA_2015_175" w:history="1">
        <w:r w:rsidRPr="00F80910">
          <w:rPr>
            <w:rStyle w:val="TextoNormalCaracter"/>
          </w:rPr>
          <w:t>175/2015</w:t>
        </w:r>
      </w:hyperlink>
      <w:r w:rsidRPr="00F80910">
        <w:rPr>
          <w:rStyle w:val="TextoNormalCaracter"/>
        </w:rPr>
        <w:t xml:space="preserve">, ff. 1 a 3; </w:t>
      </w:r>
      <w:hyperlink w:anchor="SENTENCIA_2015_184" w:history="1">
        <w:r w:rsidRPr="00F80910">
          <w:rPr>
            <w:rStyle w:val="TextoNormalCaracter"/>
          </w:rPr>
          <w:t>184/2015</w:t>
        </w:r>
      </w:hyperlink>
      <w:r w:rsidRPr="00F80910">
        <w:rPr>
          <w:rStyle w:val="TextoNormalCaracter"/>
        </w:rPr>
        <w:t xml:space="preserve">, ff. 1 a 3; </w:t>
      </w:r>
      <w:hyperlink w:anchor="SENTENCIA_2015_188" w:history="1">
        <w:r w:rsidRPr="00F80910">
          <w:rPr>
            <w:rStyle w:val="TextoNormalCaracter"/>
          </w:rPr>
          <w:t>188/2015</w:t>
        </w:r>
      </w:hyperlink>
      <w:r w:rsidRPr="00F80910">
        <w:rPr>
          <w:rStyle w:val="TextoNormalCaracter"/>
        </w:rPr>
        <w:t xml:space="preserve">, ff. 1 a 3; </w:t>
      </w:r>
      <w:hyperlink w:anchor="SENTENCIA_2015_189" w:history="1">
        <w:r w:rsidRPr="00F80910">
          <w:rPr>
            <w:rStyle w:val="TextoNormalCaracter"/>
          </w:rPr>
          <w:t>189/2015</w:t>
        </w:r>
      </w:hyperlink>
      <w:r w:rsidRPr="00F80910">
        <w:rPr>
          <w:rStyle w:val="TextoNormalCaracter"/>
        </w:rPr>
        <w:t xml:space="preserve">, ff. 1 a 3; </w:t>
      </w:r>
      <w:hyperlink w:anchor="SENTENCIA_2015_190" w:history="1">
        <w:r w:rsidRPr="00F80910">
          <w:rPr>
            <w:rStyle w:val="TextoNormalCaracter"/>
          </w:rPr>
          <w:t>190/2015</w:t>
        </w:r>
      </w:hyperlink>
      <w:r w:rsidRPr="00F80910">
        <w:rPr>
          <w:rStyle w:val="TextoNormalCaracter"/>
        </w:rPr>
        <w:t xml:space="preserve">, ff. 1 a 3; </w:t>
      </w:r>
      <w:hyperlink w:anchor="SENTENCIA_2015_191" w:history="1">
        <w:r w:rsidRPr="00F80910">
          <w:rPr>
            <w:rStyle w:val="TextoNormalCaracter"/>
          </w:rPr>
          <w:t>191/2015</w:t>
        </w:r>
      </w:hyperlink>
      <w:r w:rsidRPr="00F80910">
        <w:rPr>
          <w:rStyle w:val="TextoNormalCaracter"/>
        </w:rPr>
        <w:t xml:space="preserve">, ff. 1 a 3; </w:t>
      </w:r>
      <w:hyperlink w:anchor="SENTENCIA_2015_192" w:history="1">
        <w:r w:rsidRPr="00F80910">
          <w:rPr>
            <w:rStyle w:val="TextoNormalCaracter"/>
          </w:rPr>
          <w:t>192/2015</w:t>
        </w:r>
      </w:hyperlink>
      <w:r w:rsidRPr="00F80910">
        <w:rPr>
          <w:rStyle w:val="TextoNormalCaracter"/>
        </w:rPr>
        <w:t xml:space="preserve">, ff. 1 a 3; </w:t>
      </w:r>
      <w:hyperlink w:anchor="SENTENCIA_2015_193" w:history="1">
        <w:r w:rsidRPr="00F80910">
          <w:rPr>
            <w:rStyle w:val="TextoNormalCaracter"/>
          </w:rPr>
          <w:t>193/2015</w:t>
        </w:r>
      </w:hyperlink>
      <w:r w:rsidRPr="00F80910">
        <w:rPr>
          <w:rStyle w:val="TextoNormalCaracter"/>
        </w:rPr>
        <w:t xml:space="preserve">, ff. 1 a 3; </w:t>
      </w:r>
      <w:hyperlink w:anchor="SENTENCIA_2015_205" w:history="1">
        <w:r w:rsidRPr="00F80910">
          <w:rPr>
            <w:rStyle w:val="TextoNormalCaracter"/>
          </w:rPr>
          <w:t>205/2015</w:t>
        </w:r>
      </w:hyperlink>
      <w:r w:rsidRPr="00F80910">
        <w:rPr>
          <w:rStyle w:val="TextoNormalCaracter"/>
        </w:rPr>
        <w:t xml:space="preserve">, ff. 1 a 3; </w:t>
      </w:r>
      <w:hyperlink w:anchor="SENTENCIA_2015_206" w:history="1">
        <w:r w:rsidRPr="00F80910">
          <w:rPr>
            <w:rStyle w:val="TextoNormalCaracter"/>
          </w:rPr>
          <w:t>206/2015</w:t>
        </w:r>
      </w:hyperlink>
      <w:r w:rsidRPr="00F80910">
        <w:rPr>
          <w:rStyle w:val="TextoNormalCaracter"/>
        </w:rPr>
        <w:t xml:space="preserve">, ff. 1 a 3; </w:t>
      </w:r>
      <w:hyperlink w:anchor="SENTENCIA_2015_210" w:history="1">
        <w:r w:rsidRPr="00F80910">
          <w:rPr>
            <w:rStyle w:val="TextoNormalCaracter"/>
          </w:rPr>
          <w:t>210/2015</w:t>
        </w:r>
      </w:hyperlink>
      <w:r w:rsidRPr="00F80910">
        <w:rPr>
          <w:rStyle w:val="TextoNormalCaracter"/>
        </w:rPr>
        <w:t xml:space="preserve">, ff. 1 a 3; </w:t>
      </w:r>
      <w:hyperlink w:anchor="SENTENCIA_2015_224" w:history="1">
        <w:r w:rsidRPr="00F80910">
          <w:rPr>
            <w:rStyle w:val="TextoNormalCaracter"/>
          </w:rPr>
          <w:t>224/2015</w:t>
        </w:r>
      </w:hyperlink>
      <w:r w:rsidRPr="00F80910">
        <w:rPr>
          <w:rStyle w:val="TextoNormalCaracter"/>
        </w:rPr>
        <w:t xml:space="preserve">, f. 2; </w:t>
      </w:r>
      <w:hyperlink w:anchor="SENTENCIA_2015_225" w:history="1">
        <w:r w:rsidRPr="00F80910">
          <w:rPr>
            <w:rStyle w:val="TextoNormalCaracter"/>
          </w:rPr>
          <w:t>225/2015</w:t>
        </w:r>
      </w:hyperlink>
      <w:r w:rsidRPr="00F80910">
        <w:rPr>
          <w:rStyle w:val="TextoNormalCaracter"/>
        </w:rPr>
        <w:t xml:space="preserve">, ff. 2, 3; </w:t>
      </w:r>
      <w:hyperlink w:anchor="SENTENCIA_2015_227" w:history="1">
        <w:r w:rsidRPr="00F80910">
          <w:rPr>
            <w:rStyle w:val="TextoNormalCaracter"/>
          </w:rPr>
          <w:t>227/2015</w:t>
        </w:r>
      </w:hyperlink>
      <w:r w:rsidRPr="00F80910">
        <w:rPr>
          <w:rStyle w:val="TextoNormalCaracter"/>
        </w:rPr>
        <w:t xml:space="preserve">, ff. 2 b), 3; </w:t>
      </w:r>
      <w:hyperlink w:anchor="SENTENCIA_2015_228" w:history="1">
        <w:r w:rsidRPr="00F80910">
          <w:rPr>
            <w:rStyle w:val="TextoNormalCaracter"/>
          </w:rPr>
          <w:t>228/2015</w:t>
        </w:r>
      </w:hyperlink>
      <w:r w:rsidRPr="00F80910">
        <w:rPr>
          <w:rStyle w:val="TextoNormalCaracter"/>
        </w:rPr>
        <w:t xml:space="preserve">, ff. 2; </w:t>
      </w:r>
      <w:hyperlink w:anchor="SENTENCIA_2015_241" w:history="1">
        <w:r w:rsidRPr="00F80910">
          <w:rPr>
            <w:rStyle w:val="TextoNormalCaracter"/>
          </w:rPr>
          <w:t>241/2015</w:t>
        </w:r>
      </w:hyperlink>
      <w:r w:rsidRPr="00F80910">
        <w:rPr>
          <w:rStyle w:val="TextoNormalCaracter"/>
        </w:rPr>
        <w:t xml:space="preserve">, f. 3; </w:t>
      </w:r>
      <w:hyperlink w:anchor="SENTENCIA_2015_243" w:history="1">
        <w:r w:rsidRPr="00F80910">
          <w:rPr>
            <w:rStyle w:val="TextoNormalCaracter"/>
          </w:rPr>
          <w:t>243/2015</w:t>
        </w:r>
      </w:hyperlink>
      <w:r w:rsidRPr="00F80910">
        <w:rPr>
          <w:rStyle w:val="TextoNormalCaracter"/>
        </w:rPr>
        <w:t xml:space="preserve">, ff. 2, 5 a 7; </w:t>
      </w:r>
      <w:hyperlink w:anchor="SENTENCIA_2015_245" w:history="1">
        <w:r w:rsidRPr="00F80910">
          <w:rPr>
            <w:rStyle w:val="TextoNormalCaracter"/>
          </w:rPr>
          <w:t>245/2015</w:t>
        </w:r>
      </w:hyperlink>
      <w:r w:rsidRPr="00F80910">
        <w:rPr>
          <w:rStyle w:val="TextoNormalCaracter"/>
        </w:rPr>
        <w:t xml:space="preserve">, f. 3; </w:t>
      </w:r>
      <w:hyperlink w:anchor="SENTENCIA_2015_264" w:history="1">
        <w:r w:rsidRPr="00F80910">
          <w:rPr>
            <w:rStyle w:val="TextoNormalCaracter"/>
          </w:rPr>
          <w:t>264/2015</w:t>
        </w:r>
      </w:hyperlink>
      <w:r w:rsidRPr="00F80910">
        <w:rPr>
          <w:rStyle w:val="TextoNormalCaracter"/>
        </w:rPr>
        <w:t>, ff. 2, 3.</w:t>
      </w:r>
    </w:p>
    <w:p w:rsidR="00F80910" w:rsidRPr="00F80910" w:rsidRDefault="00F80910" w:rsidP="00F80910">
      <w:pPr>
        <w:pStyle w:val="TextoNormalSangraFrancesa"/>
        <w:rPr>
          <w:rStyle w:val="TextoNormalCaracter"/>
        </w:rPr>
      </w:pPr>
      <w:bookmarkStart w:id="1286" w:name="DESCRIPTORALFABETICO608"/>
      <w:r w:rsidRPr="00F80910">
        <w:rPr>
          <w:rStyle w:val="TextoNormalNegritaCaracter"/>
        </w:rPr>
        <w:t>País Vasco</w:t>
      </w:r>
      <w:bookmarkEnd w:id="1286"/>
      <w:r w:rsidRPr="00F80910">
        <w:rPr>
          <w:rStyle w:val="TextoNormalCaracter"/>
        </w:rPr>
        <w:t xml:space="preserve">, Sentencia </w:t>
      </w:r>
      <w:hyperlink w:anchor="SENTENCIA_2015_215" w:history="1">
        <w:r w:rsidRPr="00F80910">
          <w:rPr>
            <w:rStyle w:val="TextoNormalCaracter"/>
          </w:rPr>
          <w:t>215/2015</w:t>
        </w:r>
      </w:hyperlink>
      <w:r w:rsidRPr="00F80910">
        <w:rPr>
          <w:rStyle w:val="TextoNormalCaracter"/>
        </w:rPr>
        <w:t>, f. 1.</w:t>
      </w:r>
    </w:p>
    <w:p w:rsidR="00F80910" w:rsidRPr="00F80910" w:rsidRDefault="00F80910" w:rsidP="00F80910">
      <w:pPr>
        <w:pStyle w:val="TextoNormalSangraFrancesa"/>
        <w:rPr>
          <w:rStyle w:val="TextoNormalCaracter"/>
        </w:rPr>
      </w:pPr>
      <w:bookmarkStart w:id="1287" w:name="DESCRIPTORALFABETICO71"/>
      <w:r w:rsidRPr="00F80910">
        <w:rPr>
          <w:rStyle w:val="TextoNormalNegritaCaracter"/>
        </w:rPr>
        <w:t>Papeleta electoral</w:t>
      </w:r>
      <w:bookmarkEnd w:id="1287"/>
      <w:r w:rsidRPr="00F80910">
        <w:rPr>
          <w:rStyle w:val="TextoNormalCaracter"/>
        </w:rPr>
        <w:t xml:space="preserve">, Sentencia </w:t>
      </w:r>
      <w:hyperlink w:anchor="SENTENCIA_2015_158" w:history="1">
        <w:r w:rsidRPr="00F80910">
          <w:rPr>
            <w:rStyle w:val="TextoNormalCaracter"/>
          </w:rPr>
          <w:t>158/2015</w:t>
        </w:r>
      </w:hyperlink>
      <w:r w:rsidRPr="00F80910">
        <w:rPr>
          <w:rStyle w:val="TextoNormalCaracter"/>
        </w:rPr>
        <w:t>, ff. 1 a 5.</w:t>
      </w:r>
    </w:p>
    <w:p w:rsidR="00F80910" w:rsidRPr="00F80910" w:rsidRDefault="00F80910" w:rsidP="00F80910">
      <w:pPr>
        <w:pStyle w:val="TextoNormalSangraFrancesa"/>
        <w:rPr>
          <w:rStyle w:val="TextoNormalCaracter"/>
        </w:rPr>
      </w:pPr>
      <w:bookmarkStart w:id="1288" w:name="DESCRIPTORALFABETICO282"/>
      <w:r w:rsidRPr="00F80910">
        <w:rPr>
          <w:rStyle w:val="TextoNormalNegritaCaracter"/>
        </w:rPr>
        <w:t>Parlamento de Cataluña</w:t>
      </w:r>
      <w:bookmarkEnd w:id="1288"/>
      <w:r w:rsidRPr="00F80910">
        <w:rPr>
          <w:rStyle w:val="TextoNormalCaracter"/>
        </w:rPr>
        <w:t xml:space="preserve">, Sentencia </w:t>
      </w:r>
      <w:hyperlink w:anchor="SENTENCIA_2015_259" w:history="1">
        <w:r w:rsidRPr="00F80910">
          <w:rPr>
            <w:rStyle w:val="TextoNormalCaracter"/>
          </w:rPr>
          <w:t>259/2015</w:t>
        </w:r>
      </w:hyperlink>
      <w:r w:rsidRPr="00F80910">
        <w:rPr>
          <w:rStyle w:val="TextoNormalCaracter"/>
        </w:rPr>
        <w:t>, f. 1.</w:t>
      </w:r>
    </w:p>
    <w:p w:rsidR="00F80910" w:rsidRPr="00F80910" w:rsidRDefault="00F80910" w:rsidP="00F80910">
      <w:pPr>
        <w:pStyle w:val="TextoNormalSangraFrancesa"/>
        <w:rPr>
          <w:rStyle w:val="TextoNormalCaracter"/>
        </w:rPr>
      </w:pPr>
      <w:r w:rsidRPr="00F80910">
        <w:rPr>
          <w:rStyle w:val="TextoNormalCaracter"/>
        </w:rPr>
        <w:t xml:space="preserve">    Autos </w:t>
      </w:r>
      <w:hyperlink w:anchor="AUTO_2015_189" w:history="1">
        <w:r w:rsidRPr="00F80910">
          <w:rPr>
            <w:rStyle w:val="TextoNormalCaracter"/>
          </w:rPr>
          <w:t>189/2015</w:t>
        </w:r>
      </w:hyperlink>
      <w:r w:rsidRPr="00F80910">
        <w:rPr>
          <w:rStyle w:val="TextoNormalCaracter"/>
        </w:rPr>
        <w:t xml:space="preserve">, f. 1; </w:t>
      </w:r>
      <w:hyperlink w:anchor="AUTO_2015_190" w:history="1">
        <w:r w:rsidRPr="00F80910">
          <w:rPr>
            <w:rStyle w:val="TextoNormalCaracter"/>
          </w:rPr>
          <w:t>190/2015</w:t>
        </w:r>
      </w:hyperlink>
      <w:r w:rsidRPr="00F80910">
        <w:rPr>
          <w:rStyle w:val="TextoNormalCaracter"/>
        </w:rPr>
        <w:t>, f. 1.</w:t>
      </w:r>
    </w:p>
    <w:p w:rsidR="00F80910" w:rsidRPr="00F80910" w:rsidRDefault="00F80910" w:rsidP="00F80910">
      <w:pPr>
        <w:pStyle w:val="TextoNormalSangraFrancesa"/>
        <w:rPr>
          <w:rStyle w:val="TextoNormalCaracter"/>
        </w:rPr>
      </w:pPr>
      <w:bookmarkStart w:id="1289" w:name="DESCRIPTORALFABETICO430"/>
      <w:r w:rsidRPr="00F80910">
        <w:rPr>
          <w:rStyle w:val="TextoNormalNegritaCaracter"/>
        </w:rPr>
        <w:t>Participación de la comunidad en las plusvalías urbanísticas</w:t>
      </w:r>
      <w:bookmarkEnd w:id="1289"/>
      <w:r w:rsidRPr="00F80910">
        <w:rPr>
          <w:rStyle w:val="TextoNormalCaracter"/>
        </w:rPr>
        <w:t xml:space="preserve">, Sentencia </w:t>
      </w:r>
      <w:hyperlink w:anchor="SENTENCIA_2015_218" w:history="1">
        <w:r w:rsidRPr="00F80910">
          <w:rPr>
            <w:rStyle w:val="TextoNormalCaracter"/>
          </w:rPr>
          <w:t>218/2015</w:t>
        </w:r>
      </w:hyperlink>
      <w:r w:rsidRPr="00F80910">
        <w:rPr>
          <w:rStyle w:val="TextoNormalCaracter"/>
        </w:rPr>
        <w:t>, f. 5.</w:t>
      </w:r>
    </w:p>
    <w:p w:rsidR="00F80910" w:rsidRPr="00F80910" w:rsidRDefault="00F80910" w:rsidP="00F80910">
      <w:pPr>
        <w:pStyle w:val="TextoNormalSangraFrancesa"/>
        <w:rPr>
          <w:rStyle w:val="TextoNormalCaracter"/>
        </w:rPr>
      </w:pPr>
      <w:bookmarkStart w:id="1290" w:name="DESCRIPTORALFABETICO429"/>
      <w:r w:rsidRPr="00F80910">
        <w:rPr>
          <w:rStyle w:val="TextoNormalNegritaCaracter"/>
        </w:rPr>
        <w:t>Participación de los municipios en el planeamiento urbanístico</w:t>
      </w:r>
      <w:bookmarkEnd w:id="1290"/>
      <w:r w:rsidRPr="00F80910">
        <w:rPr>
          <w:rStyle w:val="TextoNormalCaracter"/>
        </w:rPr>
        <w:t xml:space="preserve">, Sentencia </w:t>
      </w:r>
      <w:hyperlink w:anchor="SENTENCIA_2015_154" w:history="1">
        <w:r w:rsidRPr="00F80910">
          <w:rPr>
            <w:rStyle w:val="TextoNormalCaracter"/>
          </w:rPr>
          <w:t>154/2015</w:t>
        </w:r>
      </w:hyperlink>
      <w:r w:rsidRPr="00F80910">
        <w:rPr>
          <w:rStyle w:val="TextoNormalCaracter"/>
        </w:rPr>
        <w:t>, ff. 6, 7.</w:t>
      </w:r>
    </w:p>
    <w:p w:rsidR="00F80910" w:rsidRPr="00F80910" w:rsidRDefault="00F80910" w:rsidP="00F80910">
      <w:pPr>
        <w:pStyle w:val="TextoNormalSangraFrancesa"/>
        <w:rPr>
          <w:rStyle w:val="TextoNormalCaracter"/>
        </w:rPr>
      </w:pPr>
      <w:bookmarkStart w:id="1291" w:name="DESCRIPTORALFABETICO478"/>
      <w:r w:rsidRPr="00F80910">
        <w:rPr>
          <w:rStyle w:val="TextoNormalNegritaCaracter"/>
        </w:rPr>
        <w:t>Penas privativas de libertad</w:t>
      </w:r>
      <w:bookmarkEnd w:id="1291"/>
      <w:r w:rsidRPr="00F80910">
        <w:rPr>
          <w:rStyle w:val="TextoNormalCaracter"/>
        </w:rPr>
        <w:t xml:space="preserve">, Auto </w:t>
      </w:r>
      <w:hyperlink w:anchor="AUTO_2015_180" w:history="1">
        <w:r w:rsidRPr="00F80910">
          <w:rPr>
            <w:rStyle w:val="TextoNormalCaracter"/>
          </w:rPr>
          <w:t>180/2015</w:t>
        </w:r>
      </w:hyperlink>
      <w:r w:rsidRPr="00F80910">
        <w:rPr>
          <w:rStyle w:val="TextoNormalCaracter"/>
        </w:rPr>
        <w:t>, f. 3.</w:t>
      </w:r>
    </w:p>
    <w:p w:rsidR="00F80910" w:rsidRPr="00F80910" w:rsidRDefault="00F80910" w:rsidP="00F80910">
      <w:pPr>
        <w:pStyle w:val="TextoNormalSangraFrancesa"/>
        <w:rPr>
          <w:rStyle w:val="TextoNormalCaracter"/>
        </w:rPr>
      </w:pPr>
      <w:bookmarkStart w:id="1292" w:name="DESCRIPTORALFABETICO209"/>
      <w:r w:rsidRPr="00F80910">
        <w:rPr>
          <w:rStyle w:val="TextoNormalNegritaCaracter"/>
        </w:rPr>
        <w:t>Pérdida sobrevenida de objeto de la cuestión de inconstitucionalidad</w:t>
      </w:r>
      <w:bookmarkEnd w:id="1292"/>
      <w:r w:rsidRPr="00F80910">
        <w:rPr>
          <w:rStyle w:val="TextoNormalCaracter"/>
        </w:rPr>
        <w:t xml:space="preserve">, Sentencias </w:t>
      </w:r>
      <w:hyperlink w:anchor="SENTENCIA_2015_151" w:history="1">
        <w:r w:rsidRPr="00F80910">
          <w:rPr>
            <w:rStyle w:val="TextoNormalCaracter"/>
          </w:rPr>
          <w:t>151/2015</w:t>
        </w:r>
      </w:hyperlink>
      <w:r w:rsidRPr="00F80910">
        <w:rPr>
          <w:rStyle w:val="TextoNormalCaracter"/>
        </w:rPr>
        <w:t xml:space="preserve">, ff. 1 a 3; </w:t>
      </w:r>
      <w:hyperlink w:anchor="SENTENCIA_2015_153" w:history="1">
        <w:r w:rsidRPr="00F80910">
          <w:rPr>
            <w:rStyle w:val="TextoNormalCaracter"/>
          </w:rPr>
          <w:t>153/2015</w:t>
        </w:r>
      </w:hyperlink>
      <w:r w:rsidRPr="00F80910">
        <w:rPr>
          <w:rStyle w:val="TextoNormalCaracter"/>
        </w:rPr>
        <w:t xml:space="preserve">, ff. 1 a 3; </w:t>
      </w:r>
      <w:hyperlink w:anchor="SENTENCIA_2015_161" w:history="1">
        <w:r w:rsidRPr="00F80910">
          <w:rPr>
            <w:rStyle w:val="TextoNormalCaracter"/>
          </w:rPr>
          <w:t>161/2015</w:t>
        </w:r>
      </w:hyperlink>
      <w:r w:rsidRPr="00F80910">
        <w:rPr>
          <w:rStyle w:val="TextoNormalCaracter"/>
        </w:rPr>
        <w:t xml:space="preserve">, ff. 1 a 3; </w:t>
      </w:r>
      <w:hyperlink w:anchor="SENTENCIA_2015_162" w:history="1">
        <w:r w:rsidRPr="00F80910">
          <w:rPr>
            <w:rStyle w:val="TextoNormalCaracter"/>
          </w:rPr>
          <w:t>162/2015</w:t>
        </w:r>
      </w:hyperlink>
      <w:r w:rsidRPr="00F80910">
        <w:rPr>
          <w:rStyle w:val="TextoNormalCaracter"/>
        </w:rPr>
        <w:t xml:space="preserve">, f. 3; </w:t>
      </w:r>
      <w:hyperlink w:anchor="SENTENCIA_2015_163" w:history="1">
        <w:r w:rsidRPr="00F80910">
          <w:rPr>
            <w:rStyle w:val="TextoNormalCaracter"/>
          </w:rPr>
          <w:t>163/2015</w:t>
        </w:r>
      </w:hyperlink>
      <w:r w:rsidRPr="00F80910">
        <w:rPr>
          <w:rStyle w:val="TextoNormalCaracter"/>
        </w:rPr>
        <w:t xml:space="preserve">, ff. 1 a 3; </w:t>
      </w:r>
      <w:hyperlink w:anchor="SENTENCIA_2015_164" w:history="1">
        <w:r w:rsidRPr="00F80910">
          <w:rPr>
            <w:rStyle w:val="TextoNormalCaracter"/>
          </w:rPr>
          <w:t>164/2015</w:t>
        </w:r>
      </w:hyperlink>
      <w:r w:rsidRPr="00F80910">
        <w:rPr>
          <w:rStyle w:val="TextoNormalCaracter"/>
        </w:rPr>
        <w:t xml:space="preserve">, f. 3; </w:t>
      </w:r>
      <w:hyperlink w:anchor="SENTENCIA_2015_165" w:history="1">
        <w:r w:rsidRPr="00F80910">
          <w:rPr>
            <w:rStyle w:val="TextoNormalCaracter"/>
          </w:rPr>
          <w:t>165/2015</w:t>
        </w:r>
      </w:hyperlink>
      <w:r w:rsidRPr="00F80910">
        <w:rPr>
          <w:rStyle w:val="TextoNormalCaracter"/>
        </w:rPr>
        <w:t xml:space="preserve">, ff. 1 a 3; </w:t>
      </w:r>
      <w:hyperlink w:anchor="SENTENCIA_2015_166" w:history="1">
        <w:r w:rsidRPr="00F80910">
          <w:rPr>
            <w:rStyle w:val="TextoNormalCaracter"/>
          </w:rPr>
          <w:t>166/2015</w:t>
        </w:r>
      </w:hyperlink>
      <w:r w:rsidRPr="00F80910">
        <w:rPr>
          <w:rStyle w:val="TextoNormalCaracter"/>
        </w:rPr>
        <w:t xml:space="preserve">, ff. 1 a 3; </w:t>
      </w:r>
      <w:hyperlink w:anchor="SENTENCIA_2015_168" w:history="1">
        <w:r w:rsidRPr="00F80910">
          <w:rPr>
            <w:rStyle w:val="TextoNormalCaracter"/>
          </w:rPr>
          <w:t>168/2015</w:t>
        </w:r>
      </w:hyperlink>
      <w:r w:rsidRPr="00F80910">
        <w:rPr>
          <w:rStyle w:val="TextoNormalCaracter"/>
        </w:rPr>
        <w:t xml:space="preserve">, ff. 1 a 3; </w:t>
      </w:r>
      <w:hyperlink w:anchor="SENTENCIA_2015_170" w:history="1">
        <w:r w:rsidRPr="00F80910">
          <w:rPr>
            <w:rStyle w:val="TextoNormalCaracter"/>
          </w:rPr>
          <w:t>170/2015</w:t>
        </w:r>
      </w:hyperlink>
      <w:r w:rsidRPr="00F80910">
        <w:rPr>
          <w:rStyle w:val="TextoNormalCaracter"/>
        </w:rPr>
        <w:t xml:space="preserve">, ff. 1 a 3; </w:t>
      </w:r>
      <w:hyperlink w:anchor="SENTENCIA_2015_171" w:history="1">
        <w:r w:rsidRPr="00F80910">
          <w:rPr>
            <w:rStyle w:val="TextoNormalCaracter"/>
          </w:rPr>
          <w:t>171/2015</w:t>
        </w:r>
      </w:hyperlink>
      <w:r w:rsidRPr="00F80910">
        <w:rPr>
          <w:rStyle w:val="TextoNormalCaracter"/>
        </w:rPr>
        <w:t xml:space="preserve">, ff. 1 a 3; </w:t>
      </w:r>
      <w:hyperlink w:anchor="SENTENCIA_2015_172" w:history="1">
        <w:r w:rsidRPr="00F80910">
          <w:rPr>
            <w:rStyle w:val="TextoNormalCaracter"/>
          </w:rPr>
          <w:t>172/2015</w:t>
        </w:r>
      </w:hyperlink>
      <w:r w:rsidRPr="00F80910">
        <w:rPr>
          <w:rStyle w:val="TextoNormalCaracter"/>
        </w:rPr>
        <w:t xml:space="preserve">, ff. 1 a 3; </w:t>
      </w:r>
      <w:hyperlink w:anchor="SENTENCIA_2015_173" w:history="1">
        <w:r w:rsidRPr="00F80910">
          <w:rPr>
            <w:rStyle w:val="TextoNormalCaracter"/>
          </w:rPr>
          <w:t>173/2015</w:t>
        </w:r>
      </w:hyperlink>
      <w:r w:rsidRPr="00F80910">
        <w:rPr>
          <w:rStyle w:val="TextoNormalCaracter"/>
        </w:rPr>
        <w:t xml:space="preserve">, ff. 1 a 3; </w:t>
      </w:r>
      <w:hyperlink w:anchor="SENTENCIA_2015_174" w:history="1">
        <w:r w:rsidRPr="00F80910">
          <w:rPr>
            <w:rStyle w:val="TextoNormalCaracter"/>
          </w:rPr>
          <w:t>174/2015</w:t>
        </w:r>
      </w:hyperlink>
      <w:r w:rsidRPr="00F80910">
        <w:rPr>
          <w:rStyle w:val="TextoNormalCaracter"/>
        </w:rPr>
        <w:t xml:space="preserve">, ff. 1 a 3; </w:t>
      </w:r>
      <w:hyperlink w:anchor="SENTENCIA_2015_175" w:history="1">
        <w:r w:rsidRPr="00F80910">
          <w:rPr>
            <w:rStyle w:val="TextoNormalCaracter"/>
          </w:rPr>
          <w:t>175/2015</w:t>
        </w:r>
      </w:hyperlink>
      <w:r w:rsidRPr="00F80910">
        <w:rPr>
          <w:rStyle w:val="TextoNormalCaracter"/>
        </w:rPr>
        <w:t xml:space="preserve">, ff. 1 a 3; </w:t>
      </w:r>
      <w:hyperlink w:anchor="SENTENCIA_2015_184" w:history="1">
        <w:r w:rsidRPr="00F80910">
          <w:rPr>
            <w:rStyle w:val="TextoNormalCaracter"/>
          </w:rPr>
          <w:t>184/2015</w:t>
        </w:r>
      </w:hyperlink>
      <w:r w:rsidRPr="00F80910">
        <w:rPr>
          <w:rStyle w:val="TextoNormalCaracter"/>
        </w:rPr>
        <w:t xml:space="preserve">, ff. 1 a 3; </w:t>
      </w:r>
      <w:hyperlink w:anchor="SENTENCIA_2015_188" w:history="1">
        <w:r w:rsidRPr="00F80910">
          <w:rPr>
            <w:rStyle w:val="TextoNormalCaracter"/>
          </w:rPr>
          <w:t>188/2015</w:t>
        </w:r>
      </w:hyperlink>
      <w:r w:rsidRPr="00F80910">
        <w:rPr>
          <w:rStyle w:val="TextoNormalCaracter"/>
        </w:rPr>
        <w:t xml:space="preserve">, ff. 1 a 3; </w:t>
      </w:r>
      <w:hyperlink w:anchor="SENTENCIA_2015_189" w:history="1">
        <w:r w:rsidRPr="00F80910">
          <w:rPr>
            <w:rStyle w:val="TextoNormalCaracter"/>
          </w:rPr>
          <w:t>189/2015</w:t>
        </w:r>
      </w:hyperlink>
      <w:r w:rsidRPr="00F80910">
        <w:rPr>
          <w:rStyle w:val="TextoNormalCaracter"/>
        </w:rPr>
        <w:t xml:space="preserve">, ff. 1 a 3; </w:t>
      </w:r>
      <w:hyperlink w:anchor="SENTENCIA_2015_190" w:history="1">
        <w:r w:rsidRPr="00F80910">
          <w:rPr>
            <w:rStyle w:val="TextoNormalCaracter"/>
          </w:rPr>
          <w:t>190/2015</w:t>
        </w:r>
      </w:hyperlink>
      <w:r w:rsidRPr="00F80910">
        <w:rPr>
          <w:rStyle w:val="TextoNormalCaracter"/>
        </w:rPr>
        <w:t xml:space="preserve">, ff. 1 a 3; </w:t>
      </w:r>
      <w:hyperlink w:anchor="SENTENCIA_2015_191" w:history="1">
        <w:r w:rsidRPr="00F80910">
          <w:rPr>
            <w:rStyle w:val="TextoNormalCaracter"/>
          </w:rPr>
          <w:t>191/2015</w:t>
        </w:r>
      </w:hyperlink>
      <w:r w:rsidRPr="00F80910">
        <w:rPr>
          <w:rStyle w:val="TextoNormalCaracter"/>
        </w:rPr>
        <w:t xml:space="preserve">, ff. 1 a 3; </w:t>
      </w:r>
      <w:hyperlink w:anchor="SENTENCIA_2015_192" w:history="1">
        <w:r w:rsidRPr="00F80910">
          <w:rPr>
            <w:rStyle w:val="TextoNormalCaracter"/>
          </w:rPr>
          <w:t>192/2015</w:t>
        </w:r>
      </w:hyperlink>
      <w:r w:rsidRPr="00F80910">
        <w:rPr>
          <w:rStyle w:val="TextoNormalCaracter"/>
        </w:rPr>
        <w:t xml:space="preserve">, ff. 1 a 3; </w:t>
      </w:r>
      <w:hyperlink w:anchor="SENTENCIA_2015_193" w:history="1">
        <w:r w:rsidRPr="00F80910">
          <w:rPr>
            <w:rStyle w:val="TextoNormalCaracter"/>
          </w:rPr>
          <w:t>193/2015</w:t>
        </w:r>
      </w:hyperlink>
      <w:r w:rsidRPr="00F80910">
        <w:rPr>
          <w:rStyle w:val="TextoNormalCaracter"/>
        </w:rPr>
        <w:t xml:space="preserve">, ff. 1 a 3; </w:t>
      </w:r>
      <w:hyperlink w:anchor="SENTENCIA_2015_205" w:history="1">
        <w:r w:rsidRPr="00F80910">
          <w:rPr>
            <w:rStyle w:val="TextoNormalCaracter"/>
          </w:rPr>
          <w:t>205/2015</w:t>
        </w:r>
      </w:hyperlink>
      <w:r w:rsidRPr="00F80910">
        <w:rPr>
          <w:rStyle w:val="TextoNormalCaracter"/>
        </w:rPr>
        <w:t xml:space="preserve">, f. 3; </w:t>
      </w:r>
      <w:hyperlink w:anchor="SENTENCIA_2015_206" w:history="1">
        <w:r w:rsidRPr="00F80910">
          <w:rPr>
            <w:rStyle w:val="TextoNormalCaracter"/>
          </w:rPr>
          <w:t>206/2015</w:t>
        </w:r>
      </w:hyperlink>
      <w:r w:rsidRPr="00F80910">
        <w:rPr>
          <w:rStyle w:val="TextoNormalCaracter"/>
        </w:rPr>
        <w:t xml:space="preserve">, f. 3; </w:t>
      </w:r>
      <w:hyperlink w:anchor="SENTENCIA_2015_210" w:history="1">
        <w:r w:rsidRPr="00F80910">
          <w:rPr>
            <w:rStyle w:val="TextoNormalCaracter"/>
          </w:rPr>
          <w:t>210/2015</w:t>
        </w:r>
      </w:hyperlink>
      <w:r w:rsidRPr="00F80910">
        <w:rPr>
          <w:rStyle w:val="TextoNormalCaracter"/>
        </w:rPr>
        <w:t xml:space="preserve">, f. 3; </w:t>
      </w:r>
      <w:hyperlink w:anchor="SENTENCIA_2015_224" w:history="1">
        <w:r w:rsidRPr="00F80910">
          <w:rPr>
            <w:rStyle w:val="TextoNormalCaracter"/>
          </w:rPr>
          <w:t>224/2015</w:t>
        </w:r>
      </w:hyperlink>
      <w:r w:rsidRPr="00F80910">
        <w:rPr>
          <w:rStyle w:val="TextoNormalCaracter"/>
        </w:rPr>
        <w:t xml:space="preserve">, f. 4; </w:t>
      </w:r>
      <w:hyperlink w:anchor="SENTENCIA_2015_225" w:history="1">
        <w:r w:rsidRPr="00F80910">
          <w:rPr>
            <w:rStyle w:val="TextoNormalCaracter"/>
          </w:rPr>
          <w:t>225/2015</w:t>
        </w:r>
      </w:hyperlink>
      <w:r w:rsidRPr="00F80910">
        <w:rPr>
          <w:rStyle w:val="TextoNormalCaracter"/>
        </w:rPr>
        <w:t xml:space="preserve">, f. 3; </w:t>
      </w:r>
      <w:hyperlink w:anchor="SENTENCIA_2015_227" w:history="1">
        <w:r w:rsidRPr="00F80910">
          <w:rPr>
            <w:rStyle w:val="TextoNormalCaracter"/>
          </w:rPr>
          <w:t>227/2015</w:t>
        </w:r>
      </w:hyperlink>
      <w:r w:rsidRPr="00F80910">
        <w:rPr>
          <w:rStyle w:val="TextoNormalCaracter"/>
        </w:rPr>
        <w:t xml:space="preserve">, f. 3; </w:t>
      </w:r>
      <w:hyperlink w:anchor="SENTENCIA_2015_228" w:history="1">
        <w:r w:rsidRPr="00F80910">
          <w:rPr>
            <w:rStyle w:val="TextoNormalCaracter"/>
          </w:rPr>
          <w:t>228/2015</w:t>
        </w:r>
      </w:hyperlink>
      <w:r w:rsidRPr="00F80910">
        <w:rPr>
          <w:rStyle w:val="TextoNormalCaracter"/>
        </w:rPr>
        <w:t xml:space="preserve">, f. 3; </w:t>
      </w:r>
      <w:hyperlink w:anchor="SENTENCIA_2015_243" w:history="1">
        <w:r w:rsidRPr="00F80910">
          <w:rPr>
            <w:rStyle w:val="TextoNormalCaracter"/>
          </w:rPr>
          <w:t>243/2015</w:t>
        </w:r>
      </w:hyperlink>
      <w:r w:rsidRPr="00F80910">
        <w:rPr>
          <w:rStyle w:val="TextoNormalCaracter"/>
        </w:rPr>
        <w:t xml:space="preserve">, f. 6; </w:t>
      </w:r>
      <w:hyperlink w:anchor="SENTENCIA_2015_245" w:history="1">
        <w:r w:rsidRPr="00F80910">
          <w:rPr>
            <w:rStyle w:val="TextoNormalCaracter"/>
          </w:rPr>
          <w:t>245/2015</w:t>
        </w:r>
      </w:hyperlink>
      <w:r w:rsidRPr="00F80910">
        <w:rPr>
          <w:rStyle w:val="TextoNormalCaracter"/>
        </w:rPr>
        <w:t xml:space="preserve">, f. 3; </w:t>
      </w:r>
      <w:hyperlink w:anchor="SENTENCIA_2015_264" w:history="1">
        <w:r w:rsidRPr="00F80910">
          <w:rPr>
            <w:rStyle w:val="TextoNormalCaracter"/>
          </w:rPr>
          <w:t>264/2015</w:t>
        </w:r>
      </w:hyperlink>
      <w:r w:rsidRPr="00F80910">
        <w:rPr>
          <w:rStyle w:val="TextoNormalCaracter"/>
        </w:rPr>
        <w:t>, f. 3.</w:t>
      </w:r>
    </w:p>
    <w:p w:rsidR="00F80910" w:rsidRPr="00F80910" w:rsidRDefault="00F80910" w:rsidP="00F80910">
      <w:pPr>
        <w:pStyle w:val="TextoNormalSangraFrancesa"/>
        <w:rPr>
          <w:rStyle w:val="TextoNormalCaracter"/>
        </w:rPr>
      </w:pPr>
      <w:r w:rsidRPr="00F80910">
        <w:rPr>
          <w:rStyle w:val="TextoNormalCaracter"/>
        </w:rPr>
        <w:t xml:space="preserve">    Autos </w:t>
      </w:r>
      <w:hyperlink w:anchor="AUTO_2015_137" w:history="1">
        <w:r w:rsidRPr="00F80910">
          <w:rPr>
            <w:rStyle w:val="TextoNormalCaracter"/>
          </w:rPr>
          <w:t>137/2015</w:t>
        </w:r>
      </w:hyperlink>
      <w:r w:rsidRPr="00F80910">
        <w:rPr>
          <w:rStyle w:val="TextoNormalCaracter"/>
        </w:rPr>
        <w:t xml:space="preserve">, f. 4; </w:t>
      </w:r>
      <w:hyperlink w:anchor="AUTO_2015_138" w:history="1">
        <w:r w:rsidRPr="00F80910">
          <w:rPr>
            <w:rStyle w:val="TextoNormalCaracter"/>
          </w:rPr>
          <w:t>138/2015</w:t>
        </w:r>
      </w:hyperlink>
      <w:r w:rsidRPr="00F80910">
        <w:rPr>
          <w:rStyle w:val="TextoNormalCaracter"/>
        </w:rPr>
        <w:t xml:space="preserve">, ff. 3, 4; </w:t>
      </w:r>
      <w:hyperlink w:anchor="AUTO_2015_211" w:history="1">
        <w:r w:rsidRPr="00F80910">
          <w:rPr>
            <w:rStyle w:val="TextoNormalCaracter"/>
          </w:rPr>
          <w:t>211/2015</w:t>
        </w:r>
      </w:hyperlink>
      <w:r w:rsidRPr="00F80910">
        <w:rPr>
          <w:rStyle w:val="TextoNormalCaracter"/>
        </w:rPr>
        <w:t xml:space="preserve">, f. único; </w:t>
      </w:r>
      <w:hyperlink w:anchor="AUTO_2015_214" w:history="1">
        <w:r w:rsidRPr="00F80910">
          <w:rPr>
            <w:rStyle w:val="TextoNormalCaracter"/>
          </w:rPr>
          <w:t>214/2015</w:t>
        </w:r>
      </w:hyperlink>
      <w:r w:rsidRPr="00F80910">
        <w:rPr>
          <w:rStyle w:val="TextoNormalCaracter"/>
        </w:rPr>
        <w:t xml:space="preserve">, f. único; </w:t>
      </w:r>
      <w:hyperlink w:anchor="AUTO_2015_215" w:history="1">
        <w:r w:rsidRPr="00F80910">
          <w:rPr>
            <w:rStyle w:val="TextoNormalCaracter"/>
          </w:rPr>
          <w:t>215/2015</w:t>
        </w:r>
      </w:hyperlink>
      <w:r w:rsidRPr="00F80910">
        <w:rPr>
          <w:rStyle w:val="TextoNormalCaracter"/>
        </w:rPr>
        <w:t xml:space="preserve">, f. único; </w:t>
      </w:r>
      <w:hyperlink w:anchor="AUTO_2015_216" w:history="1">
        <w:r w:rsidRPr="00F80910">
          <w:rPr>
            <w:rStyle w:val="TextoNormalCaracter"/>
          </w:rPr>
          <w:t>216/2015</w:t>
        </w:r>
      </w:hyperlink>
      <w:r w:rsidRPr="00F80910">
        <w:rPr>
          <w:rStyle w:val="TextoNormalCaracter"/>
        </w:rPr>
        <w:t xml:space="preserve">, f. único; </w:t>
      </w:r>
      <w:hyperlink w:anchor="AUTO_2015_217" w:history="1">
        <w:r w:rsidRPr="00F80910">
          <w:rPr>
            <w:rStyle w:val="TextoNormalCaracter"/>
          </w:rPr>
          <w:t>217/2015</w:t>
        </w:r>
      </w:hyperlink>
      <w:r w:rsidRPr="00F80910">
        <w:rPr>
          <w:rStyle w:val="TextoNormalCaracter"/>
        </w:rPr>
        <w:t xml:space="preserve">, f. único; </w:t>
      </w:r>
      <w:hyperlink w:anchor="AUTO_2015_218" w:history="1">
        <w:r w:rsidRPr="00F80910">
          <w:rPr>
            <w:rStyle w:val="TextoNormalCaracter"/>
          </w:rPr>
          <w:t>218/2015</w:t>
        </w:r>
      </w:hyperlink>
      <w:r w:rsidRPr="00F80910">
        <w:rPr>
          <w:rStyle w:val="TextoNormalCaracter"/>
        </w:rPr>
        <w:t xml:space="preserve">, f. único; </w:t>
      </w:r>
      <w:hyperlink w:anchor="AUTO_2015_219" w:history="1">
        <w:r w:rsidRPr="00F80910">
          <w:rPr>
            <w:rStyle w:val="TextoNormalCaracter"/>
          </w:rPr>
          <w:t>219/2015</w:t>
        </w:r>
      </w:hyperlink>
      <w:r w:rsidRPr="00F80910">
        <w:rPr>
          <w:rStyle w:val="TextoNormalCaracter"/>
        </w:rPr>
        <w:t xml:space="preserve">, f. único; </w:t>
      </w:r>
      <w:hyperlink w:anchor="AUTO_2015_220" w:history="1">
        <w:r w:rsidRPr="00F80910">
          <w:rPr>
            <w:rStyle w:val="TextoNormalCaracter"/>
          </w:rPr>
          <w:t>220/2015</w:t>
        </w:r>
      </w:hyperlink>
      <w:r w:rsidRPr="00F80910">
        <w:rPr>
          <w:rStyle w:val="TextoNormalCaracter"/>
        </w:rPr>
        <w:t xml:space="preserve">, f. único; </w:t>
      </w:r>
      <w:hyperlink w:anchor="AUTO_2015_221" w:history="1">
        <w:r w:rsidRPr="00F80910">
          <w:rPr>
            <w:rStyle w:val="TextoNormalCaracter"/>
          </w:rPr>
          <w:t>221/2015</w:t>
        </w:r>
      </w:hyperlink>
      <w:r w:rsidRPr="00F80910">
        <w:rPr>
          <w:rStyle w:val="TextoNormalCaracter"/>
        </w:rPr>
        <w:t xml:space="preserve">, f. único; </w:t>
      </w:r>
      <w:hyperlink w:anchor="AUTO_2015_222" w:history="1">
        <w:r w:rsidRPr="00F80910">
          <w:rPr>
            <w:rStyle w:val="TextoNormalCaracter"/>
          </w:rPr>
          <w:t>222/2015</w:t>
        </w:r>
      </w:hyperlink>
      <w:r w:rsidRPr="00F80910">
        <w:rPr>
          <w:rStyle w:val="TextoNormalCaracter"/>
        </w:rPr>
        <w:t xml:space="preserve">, f. único; </w:t>
      </w:r>
      <w:hyperlink w:anchor="AUTO_2015_225" w:history="1">
        <w:r w:rsidRPr="00F80910">
          <w:rPr>
            <w:rStyle w:val="TextoNormalCaracter"/>
          </w:rPr>
          <w:t>225/2015</w:t>
        </w:r>
      </w:hyperlink>
      <w:r w:rsidRPr="00F80910">
        <w:rPr>
          <w:rStyle w:val="TextoNormalCaracter"/>
        </w:rPr>
        <w:t>, f. 3.</w:t>
      </w:r>
    </w:p>
    <w:p w:rsidR="00F80910" w:rsidRPr="00F80910" w:rsidRDefault="00F80910" w:rsidP="00F80910">
      <w:pPr>
        <w:pStyle w:val="TextoNormalSangraFrancesa"/>
        <w:rPr>
          <w:rStyle w:val="TextoNormalCaracter"/>
        </w:rPr>
      </w:pPr>
      <w:bookmarkStart w:id="1293" w:name="DESCRIPTORALFABETICO229"/>
      <w:r w:rsidRPr="00F80910">
        <w:rPr>
          <w:rStyle w:val="TextoNormalNegritaCaracter"/>
        </w:rPr>
        <w:t>Pérdida sobrevenida de objeto del recurso de amparo</w:t>
      </w:r>
      <w:bookmarkEnd w:id="1293"/>
      <w:r w:rsidRPr="00F80910">
        <w:rPr>
          <w:rStyle w:val="TextoNormalCaracter"/>
        </w:rPr>
        <w:t xml:space="preserve">, Sentencia </w:t>
      </w:r>
      <w:hyperlink w:anchor="SENTENCIA_2015_193" w:history="1">
        <w:r w:rsidRPr="00F80910">
          <w:rPr>
            <w:rStyle w:val="TextoNormalCaracter"/>
          </w:rPr>
          <w:t>193/2015</w:t>
        </w:r>
      </w:hyperlink>
      <w:r w:rsidRPr="00F80910">
        <w:rPr>
          <w:rStyle w:val="TextoNormalCaracter"/>
        </w:rPr>
        <w:t>, f. 3.</w:t>
      </w:r>
    </w:p>
    <w:p w:rsidR="00F80910" w:rsidRPr="00F80910" w:rsidRDefault="00F80910" w:rsidP="00F80910">
      <w:pPr>
        <w:pStyle w:val="TextoNormalSangraFrancesa"/>
        <w:rPr>
          <w:rStyle w:val="TextoNormalCaracter"/>
        </w:rPr>
      </w:pPr>
      <w:r w:rsidRPr="00F80910">
        <w:rPr>
          <w:rStyle w:val="TextoNormalCaracter"/>
        </w:rPr>
        <w:t xml:space="preserve">    Autos </w:t>
      </w:r>
      <w:hyperlink w:anchor="AUTO_2015_124" w:history="1">
        <w:r w:rsidRPr="00F80910">
          <w:rPr>
            <w:rStyle w:val="TextoNormalCaracter"/>
          </w:rPr>
          <w:t>124/2015</w:t>
        </w:r>
      </w:hyperlink>
      <w:r w:rsidRPr="00F80910">
        <w:rPr>
          <w:rStyle w:val="TextoNormalCaracter"/>
        </w:rPr>
        <w:t xml:space="preserve">, f. 2; </w:t>
      </w:r>
      <w:hyperlink w:anchor="AUTO_2015_141" w:history="1">
        <w:r w:rsidRPr="00F80910">
          <w:rPr>
            <w:rStyle w:val="TextoNormalCaracter"/>
          </w:rPr>
          <w:t>141/2015</w:t>
        </w:r>
      </w:hyperlink>
      <w:r w:rsidRPr="00F80910">
        <w:rPr>
          <w:rStyle w:val="TextoNormalCaracter"/>
        </w:rPr>
        <w:t xml:space="preserve">, f. único; </w:t>
      </w:r>
      <w:hyperlink w:anchor="AUTO_2015_144" w:history="1">
        <w:r w:rsidRPr="00F80910">
          <w:rPr>
            <w:rStyle w:val="TextoNormalCaracter"/>
          </w:rPr>
          <w:t>144/2015</w:t>
        </w:r>
      </w:hyperlink>
      <w:r w:rsidRPr="00F80910">
        <w:rPr>
          <w:rStyle w:val="TextoNormalCaracter"/>
        </w:rPr>
        <w:t>.</w:t>
      </w:r>
    </w:p>
    <w:p w:rsidR="00F80910" w:rsidRPr="00F80910" w:rsidRDefault="00F80910" w:rsidP="00F80910">
      <w:pPr>
        <w:pStyle w:val="TextoNormalSangraFrancesa"/>
        <w:rPr>
          <w:rStyle w:val="TextoNormalCaracter"/>
        </w:rPr>
      </w:pPr>
      <w:bookmarkStart w:id="1294" w:name="DESCRIPTORALFABETICO225"/>
      <w:r w:rsidRPr="00F80910">
        <w:rPr>
          <w:rStyle w:val="TextoNormalNegritaCaracter"/>
        </w:rPr>
        <w:t>Pérdida sobrevenida de objeto del recurso de inconstitucionalidad</w:t>
      </w:r>
      <w:bookmarkEnd w:id="1294"/>
      <w:r w:rsidRPr="00F80910">
        <w:rPr>
          <w:rStyle w:val="TextoNormalCaracter"/>
        </w:rPr>
        <w:t xml:space="preserve">, Sentencia </w:t>
      </w:r>
      <w:hyperlink w:anchor="SENTENCIA_2015_196" w:history="1">
        <w:r w:rsidRPr="00F80910">
          <w:rPr>
            <w:rStyle w:val="TextoNormalCaracter"/>
          </w:rPr>
          <w:t>196/2015</w:t>
        </w:r>
      </w:hyperlink>
      <w:r w:rsidRPr="00F80910">
        <w:rPr>
          <w:rStyle w:val="TextoNormalCaracter"/>
        </w:rPr>
        <w:t>, f. 2.</w:t>
      </w:r>
    </w:p>
    <w:p w:rsidR="00F80910" w:rsidRPr="00F80910" w:rsidRDefault="00F80910" w:rsidP="00F80910">
      <w:pPr>
        <w:pStyle w:val="TextoNormalSangraFrancesa"/>
        <w:rPr>
          <w:rStyle w:val="TextoNormalCaracter"/>
        </w:rPr>
      </w:pPr>
      <w:bookmarkStart w:id="1295" w:name="DESCRIPTORALFABETICO183"/>
      <w:r w:rsidRPr="00F80910">
        <w:rPr>
          <w:rStyle w:val="TextoNormalNegritaCaracter"/>
        </w:rPr>
        <w:t>Pérdida sobrevenida de objeto por declaración de inconstitucionalidad de la norma</w:t>
      </w:r>
      <w:bookmarkEnd w:id="1295"/>
      <w:r w:rsidRPr="00F80910">
        <w:rPr>
          <w:rStyle w:val="TextoNormalCaracter"/>
        </w:rPr>
        <w:t xml:space="preserve">, Sentencia </w:t>
      </w:r>
      <w:hyperlink w:anchor="SENTENCIA_2015_244" w:history="1">
        <w:r w:rsidRPr="00F80910">
          <w:rPr>
            <w:rStyle w:val="TextoNormalCaracter"/>
          </w:rPr>
          <w:t>244/2015</w:t>
        </w:r>
      </w:hyperlink>
      <w:r w:rsidRPr="00F80910">
        <w:rPr>
          <w:rStyle w:val="TextoNormalCaracter"/>
        </w:rPr>
        <w:t>, f. 3.</w:t>
      </w:r>
    </w:p>
    <w:p w:rsidR="00F80910" w:rsidRPr="00F80910" w:rsidRDefault="00F80910" w:rsidP="00F80910">
      <w:pPr>
        <w:pStyle w:val="TextoNormalSangraFrancesa"/>
        <w:rPr>
          <w:rStyle w:val="TextoNormalCaracter"/>
        </w:rPr>
      </w:pPr>
      <w:bookmarkStart w:id="1296" w:name="DESCRIPTORALFABETICO184"/>
      <w:r w:rsidRPr="00F80910">
        <w:rPr>
          <w:rStyle w:val="TextoNormalNegritaCaracter"/>
        </w:rPr>
        <w:t>Pérdida sobrevenida de objeto por derogación de la norma</w:t>
      </w:r>
      <w:bookmarkEnd w:id="1296"/>
      <w:r w:rsidRPr="00F80910">
        <w:rPr>
          <w:rStyle w:val="TextoNormalCaracter"/>
        </w:rPr>
        <w:t xml:space="preserve">, Sentencia </w:t>
      </w:r>
      <w:hyperlink w:anchor="SENTENCIA_2015_237" w:history="1">
        <w:r w:rsidRPr="00F80910">
          <w:rPr>
            <w:rStyle w:val="TextoNormalCaracter"/>
          </w:rPr>
          <w:t>237/2015</w:t>
        </w:r>
      </w:hyperlink>
      <w:r w:rsidRPr="00F80910">
        <w:rPr>
          <w:rStyle w:val="TextoNormalCaracter"/>
        </w:rPr>
        <w:t>, f. 3 c).</w:t>
      </w:r>
    </w:p>
    <w:p w:rsidR="00F80910" w:rsidRPr="00F80910" w:rsidRDefault="00F80910" w:rsidP="00F80910">
      <w:pPr>
        <w:pStyle w:val="TextoNormalSangraFrancesa"/>
        <w:rPr>
          <w:rStyle w:val="TextoNormalCaracter"/>
        </w:rPr>
      </w:pPr>
      <w:bookmarkStart w:id="1297" w:name="DESCRIPTORALFABETICO185"/>
      <w:r w:rsidRPr="00F80910">
        <w:rPr>
          <w:rStyle w:val="TextoNormalNegritaCaracter"/>
        </w:rPr>
        <w:t>Pérdida sobrevenida de objeto por modificación de la norma</w:t>
      </w:r>
      <w:bookmarkEnd w:id="1297"/>
      <w:r w:rsidRPr="00F80910">
        <w:rPr>
          <w:rStyle w:val="TextoNormalCaracter"/>
        </w:rPr>
        <w:t xml:space="preserve">, Sentencias </w:t>
      </w:r>
      <w:hyperlink w:anchor="SENTENCIA_2015_196" w:history="1">
        <w:r w:rsidRPr="00F80910">
          <w:rPr>
            <w:rStyle w:val="TextoNormalCaracter"/>
          </w:rPr>
          <w:t>196/2015</w:t>
        </w:r>
      </w:hyperlink>
      <w:r w:rsidRPr="00F80910">
        <w:rPr>
          <w:rStyle w:val="TextoNormalCaracter"/>
        </w:rPr>
        <w:t xml:space="preserve">, f. 2; </w:t>
      </w:r>
      <w:hyperlink w:anchor="SENTENCIA_2015_197" w:history="1">
        <w:r w:rsidRPr="00F80910">
          <w:rPr>
            <w:rStyle w:val="TextoNormalCaracter"/>
          </w:rPr>
          <w:t>197/2015</w:t>
        </w:r>
      </w:hyperlink>
      <w:r w:rsidRPr="00F80910">
        <w:rPr>
          <w:rStyle w:val="TextoNormalCaracter"/>
        </w:rPr>
        <w:t>, ff. 2, 3.</w:t>
      </w:r>
    </w:p>
    <w:p w:rsidR="00F80910" w:rsidRPr="00F80910" w:rsidRDefault="00F80910" w:rsidP="00F80910">
      <w:pPr>
        <w:pStyle w:val="TextoNormalSangraFrancesa"/>
        <w:rPr>
          <w:rStyle w:val="TextoNormalCaracter"/>
        </w:rPr>
      </w:pPr>
      <w:bookmarkStart w:id="1298" w:name="DESCRIPTORALFABETICO582"/>
      <w:r w:rsidRPr="00F80910">
        <w:rPr>
          <w:rStyle w:val="TextoNormalNegritaCaracter"/>
        </w:rPr>
        <w:t>Personación en el procedimiento de ejecución</w:t>
      </w:r>
      <w:bookmarkEnd w:id="1298"/>
      <w:r w:rsidRPr="00F80910">
        <w:rPr>
          <w:rStyle w:val="TextoNormalCaracter"/>
        </w:rPr>
        <w:t xml:space="preserve">, Sentencia </w:t>
      </w:r>
      <w:hyperlink w:anchor="SENTENCIA_2015_208" w:history="1">
        <w:r w:rsidRPr="00F80910">
          <w:rPr>
            <w:rStyle w:val="TextoNormalCaracter"/>
          </w:rPr>
          <w:t>208/2015</w:t>
        </w:r>
      </w:hyperlink>
      <w:r w:rsidRPr="00F80910">
        <w:rPr>
          <w:rStyle w:val="TextoNormalCaracter"/>
        </w:rPr>
        <w:t>, ff. 2 a 5.</w:t>
      </w:r>
    </w:p>
    <w:p w:rsidR="00F80910" w:rsidRPr="00F80910" w:rsidRDefault="00F80910" w:rsidP="00F80910">
      <w:pPr>
        <w:pStyle w:val="TextoNormalSangraFrancesa"/>
        <w:rPr>
          <w:rStyle w:val="TextoNormalCaracter"/>
        </w:rPr>
      </w:pPr>
      <w:bookmarkStart w:id="1299" w:name="DESCRIPTORALFABETICO328"/>
      <w:r w:rsidRPr="00F80910">
        <w:rPr>
          <w:rStyle w:val="TextoNormalNegritaCaracter"/>
        </w:rPr>
        <w:t>Personal estatutario</w:t>
      </w:r>
      <w:bookmarkEnd w:id="1299"/>
      <w:r w:rsidRPr="00F80910">
        <w:rPr>
          <w:rStyle w:val="TextoNormalCaracter"/>
        </w:rPr>
        <w:t xml:space="preserve">, Sentencia </w:t>
      </w:r>
      <w:hyperlink w:anchor="SENTENCIA_2015_227" w:history="1">
        <w:r w:rsidRPr="00F80910">
          <w:rPr>
            <w:rStyle w:val="TextoNormalCaracter"/>
          </w:rPr>
          <w:t>227/2015</w:t>
        </w:r>
      </w:hyperlink>
      <w:r w:rsidRPr="00F80910">
        <w:rPr>
          <w:rStyle w:val="TextoNormalCaracter"/>
        </w:rPr>
        <w:t>, ff. 2 a).</w:t>
      </w:r>
    </w:p>
    <w:p w:rsidR="00F80910" w:rsidRPr="00F80910" w:rsidRDefault="00F80910" w:rsidP="00F80910">
      <w:pPr>
        <w:pStyle w:val="TextoNormalSangraFrancesa"/>
        <w:rPr>
          <w:rStyle w:val="TextoNormalCaracter"/>
        </w:rPr>
      </w:pPr>
      <w:bookmarkStart w:id="1300" w:name="DESCRIPTORALFABETICO329"/>
      <w:r w:rsidRPr="00F80910">
        <w:rPr>
          <w:rStyle w:val="TextoNormalNegritaCaracter"/>
        </w:rPr>
        <w:t>Personal laboral</w:t>
      </w:r>
      <w:bookmarkEnd w:id="1300"/>
      <w:r w:rsidRPr="00F80910">
        <w:rPr>
          <w:rStyle w:val="TextoNormalCaracter"/>
        </w:rPr>
        <w:t xml:space="preserve">, Sentencias </w:t>
      </w:r>
      <w:hyperlink w:anchor="SENTENCIA_2015_151" w:history="1">
        <w:r w:rsidRPr="00F80910">
          <w:rPr>
            <w:rStyle w:val="TextoNormalCaracter"/>
          </w:rPr>
          <w:t>151/2015</w:t>
        </w:r>
      </w:hyperlink>
      <w:r w:rsidRPr="00F80910">
        <w:rPr>
          <w:rStyle w:val="TextoNormalCaracter"/>
        </w:rPr>
        <w:t xml:space="preserve">, ff. 1 a 3; </w:t>
      </w:r>
      <w:hyperlink w:anchor="SENTENCIA_2015_153" w:history="1">
        <w:r w:rsidRPr="00F80910">
          <w:rPr>
            <w:rStyle w:val="TextoNormalCaracter"/>
          </w:rPr>
          <w:t>153/2015</w:t>
        </w:r>
      </w:hyperlink>
      <w:r w:rsidRPr="00F80910">
        <w:rPr>
          <w:rStyle w:val="TextoNormalCaracter"/>
        </w:rPr>
        <w:t xml:space="preserve">, ff. 1 a 3; </w:t>
      </w:r>
      <w:hyperlink w:anchor="SENTENCIA_2015_184" w:history="1">
        <w:r w:rsidRPr="00F80910">
          <w:rPr>
            <w:rStyle w:val="TextoNormalCaracter"/>
          </w:rPr>
          <w:t>184/2015</w:t>
        </w:r>
      </w:hyperlink>
      <w:r w:rsidRPr="00F80910">
        <w:rPr>
          <w:rStyle w:val="TextoNormalCaracter"/>
        </w:rPr>
        <w:t xml:space="preserve">, ff. 1 a 3; </w:t>
      </w:r>
      <w:hyperlink w:anchor="SENTENCIA_2015_188" w:history="1">
        <w:r w:rsidRPr="00F80910">
          <w:rPr>
            <w:rStyle w:val="TextoNormalCaracter"/>
          </w:rPr>
          <w:t>188/2015</w:t>
        </w:r>
      </w:hyperlink>
      <w:r w:rsidRPr="00F80910">
        <w:rPr>
          <w:rStyle w:val="TextoNormalCaracter"/>
        </w:rPr>
        <w:t xml:space="preserve">, ff. 1 a 3; </w:t>
      </w:r>
      <w:hyperlink w:anchor="SENTENCIA_2015_189" w:history="1">
        <w:r w:rsidRPr="00F80910">
          <w:rPr>
            <w:rStyle w:val="TextoNormalCaracter"/>
          </w:rPr>
          <w:t>189/2015</w:t>
        </w:r>
      </w:hyperlink>
      <w:r w:rsidRPr="00F80910">
        <w:rPr>
          <w:rStyle w:val="TextoNormalCaracter"/>
        </w:rPr>
        <w:t xml:space="preserve">, ff. 1 a 3; </w:t>
      </w:r>
      <w:hyperlink w:anchor="SENTENCIA_2015_190" w:history="1">
        <w:r w:rsidRPr="00F80910">
          <w:rPr>
            <w:rStyle w:val="TextoNormalCaracter"/>
          </w:rPr>
          <w:t>190/2015</w:t>
        </w:r>
      </w:hyperlink>
      <w:r w:rsidRPr="00F80910">
        <w:rPr>
          <w:rStyle w:val="TextoNormalCaracter"/>
        </w:rPr>
        <w:t xml:space="preserve">, ff. 1 a 3; </w:t>
      </w:r>
      <w:hyperlink w:anchor="SENTENCIA_2015_191" w:history="1">
        <w:r w:rsidRPr="00F80910">
          <w:rPr>
            <w:rStyle w:val="TextoNormalCaracter"/>
          </w:rPr>
          <w:t>191/2015</w:t>
        </w:r>
      </w:hyperlink>
      <w:r w:rsidRPr="00F80910">
        <w:rPr>
          <w:rStyle w:val="TextoNormalCaracter"/>
        </w:rPr>
        <w:t xml:space="preserve">, ff. 1 a 3; </w:t>
      </w:r>
      <w:hyperlink w:anchor="SENTENCIA_2015_192" w:history="1">
        <w:r w:rsidRPr="00F80910">
          <w:rPr>
            <w:rStyle w:val="TextoNormalCaracter"/>
          </w:rPr>
          <w:t>192/2015</w:t>
        </w:r>
      </w:hyperlink>
      <w:r w:rsidRPr="00F80910">
        <w:rPr>
          <w:rStyle w:val="TextoNormalCaracter"/>
        </w:rPr>
        <w:t xml:space="preserve">, ff. 1 a 3; </w:t>
      </w:r>
      <w:hyperlink w:anchor="SENTENCIA_2015_193" w:history="1">
        <w:r w:rsidRPr="00F80910">
          <w:rPr>
            <w:rStyle w:val="TextoNormalCaracter"/>
          </w:rPr>
          <w:t>193/2015</w:t>
        </w:r>
      </w:hyperlink>
      <w:r w:rsidRPr="00F80910">
        <w:rPr>
          <w:rStyle w:val="TextoNormalCaracter"/>
        </w:rPr>
        <w:t xml:space="preserve">, ff. 1 a 3; </w:t>
      </w:r>
      <w:hyperlink w:anchor="SENTENCIA_2015_205" w:history="1">
        <w:r w:rsidRPr="00F80910">
          <w:rPr>
            <w:rStyle w:val="TextoNormalCaracter"/>
          </w:rPr>
          <w:t>205/2015</w:t>
        </w:r>
      </w:hyperlink>
      <w:r w:rsidRPr="00F80910">
        <w:rPr>
          <w:rStyle w:val="TextoNormalCaracter"/>
        </w:rPr>
        <w:t xml:space="preserve">, ff. 1 a 3; </w:t>
      </w:r>
      <w:hyperlink w:anchor="SENTENCIA_2015_224" w:history="1">
        <w:r w:rsidRPr="00F80910">
          <w:rPr>
            <w:rStyle w:val="TextoNormalCaracter"/>
          </w:rPr>
          <w:t>224/2015</w:t>
        </w:r>
      </w:hyperlink>
      <w:r w:rsidRPr="00F80910">
        <w:rPr>
          <w:rStyle w:val="TextoNormalCaracter"/>
        </w:rPr>
        <w:t xml:space="preserve">, ff. 2, 3; </w:t>
      </w:r>
      <w:hyperlink w:anchor="SENTENCIA_2015_225" w:history="1">
        <w:r w:rsidRPr="00F80910">
          <w:rPr>
            <w:rStyle w:val="TextoNormalCaracter"/>
          </w:rPr>
          <w:t>225/2015</w:t>
        </w:r>
      </w:hyperlink>
      <w:r w:rsidRPr="00F80910">
        <w:rPr>
          <w:rStyle w:val="TextoNormalCaracter"/>
        </w:rPr>
        <w:t xml:space="preserve">, f. 2 a), 3; </w:t>
      </w:r>
      <w:hyperlink w:anchor="SENTENCIA_2015_228" w:history="1">
        <w:r w:rsidRPr="00F80910">
          <w:rPr>
            <w:rStyle w:val="TextoNormalCaracter"/>
          </w:rPr>
          <w:t>228/2015</w:t>
        </w:r>
      </w:hyperlink>
      <w:r w:rsidRPr="00F80910">
        <w:rPr>
          <w:rStyle w:val="TextoNormalCaracter"/>
        </w:rPr>
        <w:t xml:space="preserve">, ff. 2 a), 3; </w:t>
      </w:r>
      <w:hyperlink w:anchor="SENTENCIA_2015_230" w:history="1">
        <w:r w:rsidRPr="00F80910">
          <w:rPr>
            <w:rStyle w:val="TextoNormalCaracter"/>
          </w:rPr>
          <w:t>230/2015</w:t>
        </w:r>
      </w:hyperlink>
      <w:r w:rsidRPr="00F80910">
        <w:rPr>
          <w:rStyle w:val="TextoNormalCaracter"/>
        </w:rPr>
        <w:t xml:space="preserve">, f. 5; </w:t>
      </w:r>
      <w:hyperlink w:anchor="SENTENCIA_2015_236" w:history="1">
        <w:r w:rsidRPr="00F80910">
          <w:rPr>
            <w:rStyle w:val="TextoNormalCaracter"/>
          </w:rPr>
          <w:t>236/2015</w:t>
        </w:r>
      </w:hyperlink>
      <w:r w:rsidRPr="00F80910">
        <w:rPr>
          <w:rStyle w:val="TextoNormalCaracter"/>
        </w:rPr>
        <w:t xml:space="preserve">, f. 5; </w:t>
      </w:r>
      <w:hyperlink w:anchor="SENTENCIA_2015_241" w:history="1">
        <w:r w:rsidRPr="00F80910">
          <w:rPr>
            <w:rStyle w:val="TextoNormalCaracter"/>
          </w:rPr>
          <w:t>241/2015</w:t>
        </w:r>
      </w:hyperlink>
      <w:r w:rsidRPr="00F80910">
        <w:rPr>
          <w:rStyle w:val="TextoNormalCaracter"/>
        </w:rPr>
        <w:t xml:space="preserve">, f. 3; </w:t>
      </w:r>
      <w:hyperlink w:anchor="SENTENCIA_2015_243" w:history="1">
        <w:r w:rsidRPr="00F80910">
          <w:rPr>
            <w:rStyle w:val="TextoNormalCaracter"/>
          </w:rPr>
          <w:t>243/2015</w:t>
        </w:r>
      </w:hyperlink>
      <w:r w:rsidRPr="00F80910">
        <w:rPr>
          <w:rStyle w:val="TextoNormalCaracter"/>
        </w:rPr>
        <w:t xml:space="preserve">, ff. 5 a 7; </w:t>
      </w:r>
      <w:hyperlink w:anchor="SENTENCIA_2015_245" w:history="1">
        <w:r w:rsidRPr="00F80910">
          <w:rPr>
            <w:rStyle w:val="TextoNormalCaracter"/>
          </w:rPr>
          <w:t>245/2015</w:t>
        </w:r>
      </w:hyperlink>
      <w:r w:rsidRPr="00F80910">
        <w:rPr>
          <w:rStyle w:val="TextoNormalCaracter"/>
        </w:rPr>
        <w:t>, ff. 2, 3.</w:t>
      </w:r>
    </w:p>
    <w:p w:rsidR="00F80910" w:rsidRPr="00F80910" w:rsidRDefault="00F80910" w:rsidP="00F80910">
      <w:pPr>
        <w:pStyle w:val="TextoNormalSangraFrancesa"/>
        <w:rPr>
          <w:rStyle w:val="TextoNormalCaracter"/>
        </w:rPr>
      </w:pPr>
      <w:bookmarkStart w:id="1301" w:name="DESCRIPTORALFABETICO226"/>
      <w:r w:rsidRPr="00F80910">
        <w:rPr>
          <w:rStyle w:val="TextoNormalNegritaCaracter"/>
        </w:rPr>
        <w:t>Pervivencia del objeto del recurso de inconstitucionalidad</w:t>
      </w:r>
      <w:bookmarkEnd w:id="1301"/>
      <w:r w:rsidRPr="00F80910">
        <w:rPr>
          <w:rStyle w:val="TextoNormalCaracter"/>
        </w:rPr>
        <w:t xml:space="preserve">, Sentencia </w:t>
      </w:r>
      <w:hyperlink w:anchor="SENTENCIA_2015_270" w:history="1">
        <w:r w:rsidRPr="00F80910">
          <w:rPr>
            <w:rStyle w:val="TextoNormalCaracter"/>
          </w:rPr>
          <w:t>270/2015</w:t>
        </w:r>
      </w:hyperlink>
      <w:r w:rsidRPr="00F80910">
        <w:rPr>
          <w:rStyle w:val="TextoNormalCaracter"/>
        </w:rPr>
        <w:t>, f. 2.</w:t>
      </w:r>
    </w:p>
    <w:p w:rsidR="00F80910" w:rsidRPr="00F80910" w:rsidRDefault="00F80910" w:rsidP="00F80910">
      <w:pPr>
        <w:pStyle w:val="TextoNormalSangraFrancesa"/>
        <w:rPr>
          <w:rStyle w:val="TextoNormalCaracter"/>
        </w:rPr>
      </w:pPr>
      <w:bookmarkStart w:id="1302" w:name="DESCRIPTORALFABETICO186"/>
      <w:r w:rsidRPr="00F80910">
        <w:rPr>
          <w:rStyle w:val="TextoNormalNegritaCaracter"/>
        </w:rPr>
        <w:t>Pervivencia del objeto pese a la derogación de la norma</w:t>
      </w:r>
      <w:bookmarkEnd w:id="1302"/>
      <w:r w:rsidRPr="00F80910">
        <w:rPr>
          <w:rStyle w:val="TextoNormalCaracter"/>
        </w:rPr>
        <w:t xml:space="preserve">, Sentencias </w:t>
      </w:r>
      <w:hyperlink w:anchor="SENTENCIA_2015_154" w:history="1">
        <w:r w:rsidRPr="00F80910">
          <w:rPr>
            <w:rStyle w:val="TextoNormalCaracter"/>
          </w:rPr>
          <w:t>154/2015</w:t>
        </w:r>
      </w:hyperlink>
      <w:r w:rsidRPr="00F80910">
        <w:rPr>
          <w:rStyle w:val="TextoNormalCaracter"/>
        </w:rPr>
        <w:t xml:space="preserve">, f. 2; </w:t>
      </w:r>
      <w:hyperlink w:anchor="SENTENCIA_2015_156" w:history="1">
        <w:r w:rsidRPr="00F80910">
          <w:rPr>
            <w:rStyle w:val="TextoNormalCaracter"/>
          </w:rPr>
          <w:t>156/2015</w:t>
        </w:r>
      </w:hyperlink>
      <w:r w:rsidRPr="00F80910">
        <w:rPr>
          <w:rStyle w:val="TextoNormalCaracter"/>
        </w:rPr>
        <w:t>, f. 3.</w:t>
      </w:r>
    </w:p>
    <w:p w:rsidR="00F80910" w:rsidRPr="00F80910" w:rsidRDefault="00F80910" w:rsidP="00F80910">
      <w:pPr>
        <w:pStyle w:val="TextoNormalSangraFrancesa"/>
        <w:rPr>
          <w:rStyle w:val="TextoNormalCaracter"/>
        </w:rPr>
      </w:pPr>
      <w:bookmarkStart w:id="1303" w:name="DESCRIPTORALFABETICO187"/>
      <w:r w:rsidRPr="00F80910">
        <w:rPr>
          <w:rStyle w:val="TextoNormalNegritaCaracter"/>
        </w:rPr>
        <w:t>Pervivencia del objeto pese a la modificación de la norma</w:t>
      </w:r>
      <w:bookmarkEnd w:id="1303"/>
      <w:r w:rsidRPr="00F80910">
        <w:rPr>
          <w:rStyle w:val="TextoNormalCaracter"/>
        </w:rPr>
        <w:t xml:space="preserve">, Sentencia </w:t>
      </w:r>
      <w:hyperlink w:anchor="SENTENCIA_2015_197" w:history="1">
        <w:r w:rsidRPr="00F80910">
          <w:rPr>
            <w:rStyle w:val="TextoNormalCaracter"/>
          </w:rPr>
          <w:t>197/2015</w:t>
        </w:r>
      </w:hyperlink>
      <w:r w:rsidRPr="00F80910">
        <w:rPr>
          <w:rStyle w:val="TextoNormalCaracter"/>
        </w:rPr>
        <w:t>, f. 2, VPI.</w:t>
      </w:r>
    </w:p>
    <w:p w:rsidR="00F80910" w:rsidRPr="00F80910" w:rsidRDefault="00F80910" w:rsidP="00F80910">
      <w:pPr>
        <w:pStyle w:val="TextoNormalSangraFrancesa"/>
        <w:rPr>
          <w:rStyle w:val="TextoNormalCaracter"/>
        </w:rPr>
      </w:pPr>
      <w:bookmarkStart w:id="1304" w:name="DESCRIPTORALFABETICO188"/>
      <w:r w:rsidRPr="00F80910">
        <w:rPr>
          <w:rStyle w:val="TextoNormalNegritaCaracter"/>
        </w:rPr>
        <w:t>Pervivencia del objeto pese a la pérdida de vigencia de la norma</w:t>
      </w:r>
      <w:bookmarkEnd w:id="1304"/>
      <w:r w:rsidRPr="00F80910">
        <w:rPr>
          <w:rStyle w:val="TextoNormalCaracter"/>
        </w:rPr>
        <w:t xml:space="preserve">, Sentencia </w:t>
      </w:r>
      <w:hyperlink w:anchor="SENTENCIA_2015_211" w:history="1">
        <w:r w:rsidRPr="00F80910">
          <w:rPr>
            <w:rStyle w:val="TextoNormalCaracter"/>
          </w:rPr>
          <w:t>211/2015</w:t>
        </w:r>
      </w:hyperlink>
      <w:r w:rsidRPr="00F80910">
        <w:rPr>
          <w:rStyle w:val="TextoNormalCaracter"/>
        </w:rPr>
        <w:t>, f. 2.</w:t>
      </w:r>
    </w:p>
    <w:p w:rsidR="00F80910" w:rsidRPr="00F80910" w:rsidRDefault="00F80910" w:rsidP="00F80910">
      <w:pPr>
        <w:pStyle w:val="TextoNormalSangraFrancesa"/>
        <w:rPr>
          <w:rStyle w:val="TextoNormalCaracter"/>
        </w:rPr>
      </w:pPr>
      <w:bookmarkStart w:id="1305" w:name="DESCRIPTORALFABETICO428"/>
      <w:r w:rsidRPr="00F80910">
        <w:rPr>
          <w:rStyle w:val="TextoNormalNegritaCaracter"/>
        </w:rPr>
        <w:t>Planeamiento urbanístico</w:t>
      </w:r>
      <w:bookmarkEnd w:id="1305"/>
      <w:r w:rsidRPr="00F80910">
        <w:rPr>
          <w:rStyle w:val="TextoNormalCaracter"/>
        </w:rPr>
        <w:t xml:space="preserve">, Sentencias </w:t>
      </w:r>
      <w:hyperlink w:anchor="SENTENCIA_2015_154" w:history="1">
        <w:r w:rsidRPr="00F80910">
          <w:rPr>
            <w:rStyle w:val="TextoNormalCaracter"/>
          </w:rPr>
          <w:t>154/2015</w:t>
        </w:r>
      </w:hyperlink>
      <w:r w:rsidRPr="00F80910">
        <w:rPr>
          <w:rStyle w:val="TextoNormalCaracter"/>
        </w:rPr>
        <w:t xml:space="preserve">, ff. 6, 7 a), 7 c) 7, d); </w:t>
      </w:r>
      <w:hyperlink w:anchor="SENTENCIA_2015_218" w:history="1">
        <w:r w:rsidRPr="00F80910">
          <w:rPr>
            <w:rStyle w:val="TextoNormalCaracter"/>
          </w:rPr>
          <w:t>218/2015</w:t>
        </w:r>
      </w:hyperlink>
      <w:r w:rsidRPr="00F80910">
        <w:rPr>
          <w:rStyle w:val="TextoNormalCaracter"/>
        </w:rPr>
        <w:t xml:space="preserve">, ff. 2, 5; </w:t>
      </w:r>
      <w:hyperlink w:anchor="SENTENCIA_2015_254" w:history="1">
        <w:r w:rsidRPr="00F80910">
          <w:rPr>
            <w:rStyle w:val="TextoNormalCaracter"/>
          </w:rPr>
          <w:t>254/2015</w:t>
        </w:r>
      </w:hyperlink>
      <w:r w:rsidRPr="00F80910">
        <w:rPr>
          <w:rStyle w:val="TextoNormalCaracter"/>
        </w:rPr>
        <w:t>, f. 2.</w:t>
      </w:r>
    </w:p>
    <w:p w:rsidR="00F80910" w:rsidRPr="00F80910" w:rsidRDefault="00F80910" w:rsidP="00F80910">
      <w:pPr>
        <w:pStyle w:val="TextoNormalSangraFrancesa"/>
        <w:rPr>
          <w:rStyle w:val="TextoNormalCaracter"/>
        </w:rPr>
      </w:pPr>
      <w:bookmarkStart w:id="1306" w:name="DESCRIPTORALFABETICO49"/>
      <w:r w:rsidRPr="00F80910">
        <w:rPr>
          <w:rStyle w:val="TextoNormalNegritaCaracter"/>
        </w:rPr>
        <w:t>Planificación económica</w:t>
      </w:r>
      <w:bookmarkEnd w:id="1306"/>
      <w:r w:rsidRPr="00F80910">
        <w:rPr>
          <w:rStyle w:val="TextoNormalCaracter"/>
        </w:rPr>
        <w:t xml:space="preserve">, Sentencia </w:t>
      </w:r>
      <w:hyperlink w:anchor="SENTENCIA_2015_243" w:history="1">
        <w:r w:rsidRPr="00F80910">
          <w:rPr>
            <w:rStyle w:val="TextoNormalCaracter"/>
          </w:rPr>
          <w:t>243/2015</w:t>
        </w:r>
      </w:hyperlink>
      <w:r w:rsidRPr="00F80910">
        <w:rPr>
          <w:rStyle w:val="TextoNormalCaracter"/>
        </w:rPr>
        <w:t>, f. 7.</w:t>
      </w:r>
    </w:p>
    <w:p w:rsidR="00F80910" w:rsidRPr="00F80910" w:rsidRDefault="00F80910" w:rsidP="00F80910">
      <w:pPr>
        <w:pStyle w:val="TextoNormalSangraFrancesa"/>
        <w:rPr>
          <w:rStyle w:val="TextoNormalCaracter"/>
        </w:rPr>
      </w:pPr>
      <w:bookmarkStart w:id="1307" w:name="DESCRIPTORALFABETICO210"/>
      <w:r w:rsidRPr="00F80910">
        <w:rPr>
          <w:rStyle w:val="TextoNormalNegritaCaracter"/>
        </w:rPr>
        <w:t>Planteamiento de cuestión de inconstitucionalidad</w:t>
      </w:r>
      <w:bookmarkEnd w:id="1307"/>
      <w:r w:rsidRPr="00F80910">
        <w:rPr>
          <w:rStyle w:val="TextoNormalCaracter"/>
        </w:rPr>
        <w:t xml:space="preserve">, Sentencias </w:t>
      </w:r>
      <w:hyperlink w:anchor="SENTENCIA_2015_197" w:history="1">
        <w:r w:rsidRPr="00F80910">
          <w:rPr>
            <w:rStyle w:val="TextoNormalCaracter"/>
          </w:rPr>
          <w:t>197/2015</w:t>
        </w:r>
      </w:hyperlink>
      <w:r w:rsidRPr="00F80910">
        <w:rPr>
          <w:rStyle w:val="TextoNormalCaracter"/>
        </w:rPr>
        <w:t xml:space="preserve">, f. 2, VP; </w:t>
      </w:r>
      <w:hyperlink w:anchor="SENTENCIA_2015_269" w:history="1">
        <w:r w:rsidRPr="00F80910">
          <w:rPr>
            <w:rStyle w:val="TextoNormalCaracter"/>
          </w:rPr>
          <w:t>269/2015</w:t>
        </w:r>
      </w:hyperlink>
      <w:r w:rsidRPr="00F80910">
        <w:rPr>
          <w:rStyle w:val="TextoNormalCaracter"/>
        </w:rPr>
        <w:t>, f. 2.</w:t>
      </w:r>
    </w:p>
    <w:p w:rsidR="00F80910" w:rsidRPr="00F80910" w:rsidRDefault="00F80910" w:rsidP="00F80910">
      <w:pPr>
        <w:pStyle w:val="TextoNormalSangraFrancesa"/>
        <w:rPr>
          <w:rStyle w:val="TextoNormalCaracter"/>
        </w:rPr>
      </w:pPr>
      <w:bookmarkStart w:id="1308" w:name="DESCRIPTORALFABETICO211"/>
      <w:r w:rsidRPr="00F80910">
        <w:rPr>
          <w:rStyle w:val="TextoNormalNegritaCaracter"/>
        </w:rPr>
        <w:t>Planteamiento en fase de ejecución de resoluciones judiciales</w:t>
      </w:r>
      <w:bookmarkEnd w:id="1308"/>
      <w:r w:rsidRPr="00F80910">
        <w:rPr>
          <w:rStyle w:val="TextoNormalCaracter"/>
        </w:rPr>
        <w:t xml:space="preserve">, Sentencia </w:t>
      </w:r>
      <w:hyperlink w:anchor="SENTENCIA_2015_269" w:history="1">
        <w:r w:rsidRPr="00F80910">
          <w:rPr>
            <w:rStyle w:val="TextoNormalCaracter"/>
          </w:rPr>
          <w:t>269/2015</w:t>
        </w:r>
      </w:hyperlink>
      <w:r w:rsidRPr="00F80910">
        <w:rPr>
          <w:rStyle w:val="TextoNormalCaracter"/>
        </w:rPr>
        <w:t>, f. 2.</w:t>
      </w:r>
    </w:p>
    <w:p w:rsidR="00F80910" w:rsidRPr="00F80910" w:rsidRDefault="00F80910" w:rsidP="00F80910">
      <w:pPr>
        <w:pStyle w:val="TextoNormalSangraFrancesa"/>
        <w:rPr>
          <w:rStyle w:val="TextoNormalCaracter"/>
        </w:rPr>
      </w:pPr>
      <w:bookmarkStart w:id="1309" w:name="DESCRIPTORALFABETICO535"/>
      <w:r w:rsidRPr="00F80910">
        <w:rPr>
          <w:rStyle w:val="TextoNormalNegritaCaracter"/>
        </w:rPr>
        <w:t>Plazo de subsanación de defectos procesales</w:t>
      </w:r>
      <w:bookmarkEnd w:id="1309"/>
      <w:r w:rsidRPr="00F80910">
        <w:rPr>
          <w:rStyle w:val="TextoNormalCaracter"/>
        </w:rPr>
        <w:t xml:space="preserve">, Sentencia </w:t>
      </w:r>
      <w:hyperlink w:anchor="SENTENCIA_2015_149" w:history="1">
        <w:r w:rsidRPr="00F80910">
          <w:rPr>
            <w:rStyle w:val="TextoNormalCaracter"/>
          </w:rPr>
          <w:t>149/2015</w:t>
        </w:r>
      </w:hyperlink>
      <w:r w:rsidRPr="00F80910">
        <w:rPr>
          <w:rStyle w:val="TextoNormalCaracter"/>
        </w:rPr>
        <w:t>, ff. 2 a 4.</w:t>
      </w:r>
    </w:p>
    <w:p w:rsidR="00F80910" w:rsidRPr="00F80910" w:rsidRDefault="00F80910" w:rsidP="00F80910">
      <w:pPr>
        <w:pStyle w:val="TextoNormalSangraFrancesa"/>
        <w:rPr>
          <w:rStyle w:val="TextoNormalCaracter"/>
        </w:rPr>
      </w:pPr>
      <w:bookmarkStart w:id="1310" w:name="DESCRIPTORALFABETICO91"/>
      <w:r w:rsidRPr="00F80910">
        <w:rPr>
          <w:rStyle w:val="TextoNormalNegritaCaracter"/>
        </w:rPr>
        <w:t>Plazo para la ratificación judicial del internamiento psiquiátrico</w:t>
      </w:r>
      <w:bookmarkEnd w:id="1310"/>
      <w:r w:rsidRPr="00F80910">
        <w:rPr>
          <w:rStyle w:val="TextoNormalCaracter"/>
        </w:rPr>
        <w:t xml:space="preserve">, Sentencia </w:t>
      </w:r>
      <w:hyperlink w:anchor="SENTENCIA_2015_182" w:history="1">
        <w:r w:rsidRPr="00F80910">
          <w:rPr>
            <w:rStyle w:val="TextoNormalCaracter"/>
          </w:rPr>
          <w:t>182/2015</w:t>
        </w:r>
      </w:hyperlink>
      <w:r w:rsidRPr="00F80910">
        <w:rPr>
          <w:rStyle w:val="TextoNormalCaracter"/>
        </w:rPr>
        <w:t>, ff. 1, 3, 5, 6.</w:t>
      </w:r>
    </w:p>
    <w:p w:rsidR="00F80910" w:rsidRPr="00F80910" w:rsidRDefault="00F80910" w:rsidP="00F80910">
      <w:pPr>
        <w:pStyle w:val="TextoNormalSangraFrancesa"/>
        <w:rPr>
          <w:rStyle w:val="TextoNormalCaracter"/>
        </w:rPr>
      </w:pPr>
      <w:bookmarkStart w:id="1311" w:name="DESCRIPTORALFABETICO306"/>
      <w:r w:rsidRPr="00F80910">
        <w:rPr>
          <w:rStyle w:val="TextoNormalNegritaCaracter"/>
        </w:rPr>
        <w:t>Poder constituyente</w:t>
      </w:r>
      <w:bookmarkEnd w:id="1311"/>
      <w:r w:rsidRPr="00F80910">
        <w:rPr>
          <w:rStyle w:val="TextoNormalCaracter"/>
        </w:rPr>
        <w:t xml:space="preserve">, Sentencia </w:t>
      </w:r>
      <w:hyperlink w:anchor="SENTENCIA_2015_259" w:history="1">
        <w:r w:rsidRPr="00F80910">
          <w:rPr>
            <w:rStyle w:val="TextoNormalCaracter"/>
          </w:rPr>
          <w:t>259/2015</w:t>
        </w:r>
      </w:hyperlink>
      <w:r w:rsidRPr="00F80910">
        <w:rPr>
          <w:rStyle w:val="TextoNormalCaracter"/>
        </w:rPr>
        <w:t>, ff. 2 a 5.</w:t>
      </w:r>
    </w:p>
    <w:p w:rsidR="00F80910" w:rsidRPr="00F80910" w:rsidRDefault="00F80910" w:rsidP="00F80910">
      <w:pPr>
        <w:pStyle w:val="TextoNormalSangraFrancesa"/>
        <w:rPr>
          <w:rStyle w:val="TextoNormalCaracter"/>
        </w:rPr>
      </w:pPr>
      <w:bookmarkStart w:id="1312" w:name="DESCRIPTORALFABETICO405"/>
      <w:r w:rsidRPr="00F80910">
        <w:rPr>
          <w:rStyle w:val="TextoNormalNegritaCaracter"/>
        </w:rPr>
        <w:t>Policía autonómica</w:t>
      </w:r>
      <w:bookmarkEnd w:id="1312"/>
      <w:r w:rsidRPr="00F80910">
        <w:rPr>
          <w:rStyle w:val="TextoNormalCaracter"/>
        </w:rPr>
        <w:t xml:space="preserve">, Auto </w:t>
      </w:r>
      <w:hyperlink w:anchor="AUTO_2015_188" w:history="1">
        <w:r w:rsidRPr="00F80910">
          <w:rPr>
            <w:rStyle w:val="TextoNormalCaracter"/>
          </w:rPr>
          <w:t>188/2015</w:t>
        </w:r>
      </w:hyperlink>
      <w:r w:rsidRPr="00F80910">
        <w:rPr>
          <w:rStyle w:val="TextoNormalCaracter"/>
        </w:rPr>
        <w:t>, f. 3.</w:t>
      </w:r>
    </w:p>
    <w:p w:rsidR="00F80910" w:rsidRPr="00F80910" w:rsidRDefault="00F80910" w:rsidP="00F80910">
      <w:pPr>
        <w:pStyle w:val="TextoNormalSangraFrancesa"/>
        <w:rPr>
          <w:rStyle w:val="TextoNormalCaracter"/>
        </w:rPr>
      </w:pPr>
      <w:bookmarkStart w:id="1313" w:name="DESCRIPTORALFABETICO406"/>
      <w:r w:rsidRPr="00F80910">
        <w:rPr>
          <w:rStyle w:val="TextoNormalNegritaCaracter"/>
        </w:rPr>
        <w:t>Policía local</w:t>
      </w:r>
      <w:bookmarkEnd w:id="1313"/>
      <w:r w:rsidRPr="00F80910">
        <w:rPr>
          <w:rStyle w:val="TextoNormalCaracter"/>
        </w:rPr>
        <w:t xml:space="preserve">, Sentencia </w:t>
      </w:r>
      <w:hyperlink w:anchor="SENTENCIA_2015_200" w:history="1">
        <w:r w:rsidRPr="00F80910">
          <w:rPr>
            <w:rStyle w:val="TextoNormalCaracter"/>
          </w:rPr>
          <w:t>200/2015</w:t>
        </w:r>
      </w:hyperlink>
      <w:r w:rsidRPr="00F80910">
        <w:rPr>
          <w:rStyle w:val="TextoNormalCaracter"/>
        </w:rPr>
        <w:t>, ff. 2 a 4.</w:t>
      </w:r>
    </w:p>
    <w:p w:rsidR="00F80910" w:rsidRPr="00F80910" w:rsidRDefault="00F80910" w:rsidP="00F80910">
      <w:pPr>
        <w:pStyle w:val="TextoNormalSangraFrancesa"/>
        <w:rPr>
          <w:rStyle w:val="TextoNormalCaracter"/>
        </w:rPr>
      </w:pPr>
      <w:bookmarkStart w:id="1314" w:name="DESCRIPTORALFABETICO51"/>
      <w:r w:rsidRPr="00F80910">
        <w:rPr>
          <w:rStyle w:val="TextoNormalNegritaCaracter"/>
        </w:rPr>
        <w:t>Política económica</w:t>
      </w:r>
      <w:bookmarkEnd w:id="1314"/>
      <w:r w:rsidRPr="00F80910">
        <w:rPr>
          <w:rStyle w:val="TextoNormalCaracter"/>
        </w:rPr>
        <w:t xml:space="preserve">, Sentencia </w:t>
      </w:r>
      <w:hyperlink w:anchor="SENTENCIA_2015_215" w:history="1">
        <w:r w:rsidRPr="00F80910">
          <w:rPr>
            <w:rStyle w:val="TextoNormalCaracter"/>
          </w:rPr>
          <w:t>215/2015</w:t>
        </w:r>
      </w:hyperlink>
      <w:r w:rsidRPr="00F80910">
        <w:rPr>
          <w:rStyle w:val="TextoNormalCaracter"/>
        </w:rPr>
        <w:t>, ff. 6, 7.</w:t>
      </w:r>
    </w:p>
    <w:p w:rsidR="00F80910" w:rsidRPr="00F80910" w:rsidRDefault="00F80910" w:rsidP="00F80910">
      <w:pPr>
        <w:pStyle w:val="TextoNormalSangraFrancesa"/>
        <w:rPr>
          <w:rStyle w:val="TextoNormalCaracter"/>
        </w:rPr>
      </w:pPr>
      <w:bookmarkStart w:id="1315" w:name="DESCRIPTORALFABETICO157"/>
      <w:r w:rsidRPr="00F80910">
        <w:rPr>
          <w:rStyle w:val="TextoNormalNegritaCaracter"/>
        </w:rPr>
        <w:t>Ponderación de derechos fundamentales</w:t>
      </w:r>
      <w:bookmarkEnd w:id="1315"/>
      <w:r w:rsidRPr="00F80910">
        <w:rPr>
          <w:rStyle w:val="TextoNormalCaracter"/>
        </w:rPr>
        <w:t xml:space="preserve">, Sentencia </w:t>
      </w:r>
      <w:hyperlink w:anchor="SENTENCIA_2015_177" w:history="1">
        <w:r w:rsidRPr="00F80910">
          <w:rPr>
            <w:rStyle w:val="TextoNormalCaracter"/>
          </w:rPr>
          <w:t>177/2015</w:t>
        </w:r>
      </w:hyperlink>
      <w:r w:rsidRPr="00F80910">
        <w:rPr>
          <w:rStyle w:val="TextoNormalCaracter"/>
        </w:rPr>
        <w:t>, ff. 2 a 4.</w:t>
      </w:r>
    </w:p>
    <w:p w:rsidR="00F80910" w:rsidRPr="00F80910" w:rsidRDefault="00F80910" w:rsidP="00F80910">
      <w:pPr>
        <w:pStyle w:val="TextoNormalSangraFrancesa"/>
        <w:rPr>
          <w:rStyle w:val="TextoNormalCaracter"/>
        </w:rPr>
      </w:pPr>
      <w:bookmarkStart w:id="1316" w:name="DESCRIPTORALFABETICO166"/>
      <w:r w:rsidRPr="00F80910">
        <w:rPr>
          <w:rStyle w:val="TextoNormalNegritaCaracter"/>
        </w:rPr>
        <w:t>Ponderación de perjuicios</w:t>
      </w:r>
      <w:bookmarkEnd w:id="1316"/>
      <w:r w:rsidRPr="00F80910">
        <w:rPr>
          <w:rStyle w:val="TextoNormalCaracter"/>
        </w:rPr>
        <w:t xml:space="preserve">, Autos </w:t>
      </w:r>
      <w:hyperlink w:anchor="AUTO_2015_189" w:history="1">
        <w:r w:rsidRPr="00F80910">
          <w:rPr>
            <w:rStyle w:val="TextoNormalCaracter"/>
          </w:rPr>
          <w:t>189/2015</w:t>
        </w:r>
      </w:hyperlink>
      <w:r w:rsidRPr="00F80910">
        <w:rPr>
          <w:rStyle w:val="TextoNormalCaracter"/>
        </w:rPr>
        <w:t xml:space="preserve">, ff. 2 b), 2 c); </w:t>
      </w:r>
      <w:hyperlink w:anchor="AUTO_2015_190" w:history="1">
        <w:r w:rsidRPr="00F80910">
          <w:rPr>
            <w:rStyle w:val="TextoNormalCaracter"/>
          </w:rPr>
          <w:t>190/2015</w:t>
        </w:r>
      </w:hyperlink>
      <w:r w:rsidRPr="00F80910">
        <w:rPr>
          <w:rStyle w:val="TextoNormalCaracter"/>
        </w:rPr>
        <w:t>, ff. 2 b), 2 c).</w:t>
      </w:r>
    </w:p>
    <w:p w:rsidR="00F80910" w:rsidRPr="00F80910" w:rsidRDefault="00F80910" w:rsidP="00F80910">
      <w:pPr>
        <w:pStyle w:val="TextoNormalSangraFrancesa"/>
        <w:rPr>
          <w:rStyle w:val="TextoNormalCaracter"/>
        </w:rPr>
      </w:pPr>
      <w:bookmarkStart w:id="1317" w:name="DESCRIPTORALFABETICO167"/>
      <w:r w:rsidRPr="00F80910">
        <w:rPr>
          <w:rStyle w:val="TextoNormalNegritaCaracter"/>
        </w:rPr>
        <w:t>Potestad de suspensión de leyes</w:t>
      </w:r>
      <w:bookmarkEnd w:id="1317"/>
      <w:r w:rsidRPr="00F80910">
        <w:rPr>
          <w:rStyle w:val="TextoNormalCaracter"/>
        </w:rPr>
        <w:t xml:space="preserve">, Autos </w:t>
      </w:r>
      <w:hyperlink w:anchor="AUTO_2015_181" w:history="1">
        <w:r w:rsidRPr="00F80910">
          <w:rPr>
            <w:rStyle w:val="TextoNormalCaracter"/>
          </w:rPr>
          <w:t>181/2015</w:t>
        </w:r>
      </w:hyperlink>
      <w:r w:rsidRPr="00F80910">
        <w:rPr>
          <w:rStyle w:val="TextoNormalCaracter"/>
        </w:rPr>
        <w:t xml:space="preserve">, f. 1, 3; </w:t>
      </w:r>
      <w:hyperlink w:anchor="AUTO_2015_182" w:history="1">
        <w:r w:rsidRPr="00F80910">
          <w:rPr>
            <w:rStyle w:val="TextoNormalCaracter"/>
          </w:rPr>
          <w:t>182/2015</w:t>
        </w:r>
      </w:hyperlink>
      <w:r w:rsidRPr="00F80910">
        <w:rPr>
          <w:rStyle w:val="TextoNormalCaracter"/>
        </w:rPr>
        <w:t>.</w:t>
      </w:r>
    </w:p>
    <w:p w:rsidR="00F80910" w:rsidRPr="00F80910" w:rsidRDefault="00F80910" w:rsidP="00F80910">
      <w:pPr>
        <w:pStyle w:val="TextoNormalSangraFrancesa"/>
        <w:rPr>
          <w:rStyle w:val="TextoNormalCaracter"/>
        </w:rPr>
      </w:pPr>
      <w:bookmarkStart w:id="1318" w:name="DESCRIPTORALFABETICO270"/>
      <w:r w:rsidRPr="00F80910">
        <w:rPr>
          <w:rStyle w:val="TextoNormalNegritaCaracter"/>
        </w:rPr>
        <w:t>Potestad jurisdiccional</w:t>
      </w:r>
      <w:bookmarkEnd w:id="1318"/>
      <w:r w:rsidRPr="00F80910">
        <w:rPr>
          <w:rStyle w:val="TextoNormalCaracter"/>
        </w:rPr>
        <w:t xml:space="preserve">, Sentencia </w:t>
      </w:r>
      <w:hyperlink w:anchor="SENTENCIA_2015_233" w:history="1">
        <w:r w:rsidRPr="00F80910">
          <w:rPr>
            <w:rStyle w:val="TextoNormalCaracter"/>
          </w:rPr>
          <w:t>233/2015</w:t>
        </w:r>
      </w:hyperlink>
      <w:r w:rsidRPr="00F80910">
        <w:rPr>
          <w:rStyle w:val="TextoNormalCaracter"/>
        </w:rPr>
        <w:t>, f. 15.</w:t>
      </w:r>
    </w:p>
    <w:p w:rsidR="00F80910" w:rsidRPr="00F80910" w:rsidRDefault="00F80910" w:rsidP="00F80910">
      <w:pPr>
        <w:pStyle w:val="TextoNormalSangraFrancesa"/>
        <w:rPr>
          <w:rStyle w:val="TextoNormalCaracter"/>
        </w:rPr>
      </w:pPr>
      <w:bookmarkStart w:id="1319" w:name="DESCRIPTORALFABETICO261"/>
      <w:r w:rsidRPr="00F80910">
        <w:rPr>
          <w:rStyle w:val="TextoNormalNegritaCaracter"/>
        </w:rPr>
        <w:t>Potestad sancionadora</w:t>
      </w:r>
      <w:bookmarkEnd w:id="1319"/>
      <w:r w:rsidRPr="00F80910">
        <w:rPr>
          <w:rStyle w:val="TextoNormalCaracter"/>
        </w:rPr>
        <w:t xml:space="preserve">, Sentencia </w:t>
      </w:r>
      <w:hyperlink w:anchor="SENTENCIA_2015_272" w:history="1">
        <w:r w:rsidRPr="00F80910">
          <w:rPr>
            <w:rStyle w:val="TextoNormalCaracter"/>
          </w:rPr>
          <w:t>272/2015</w:t>
        </w:r>
      </w:hyperlink>
      <w:r w:rsidRPr="00F80910">
        <w:rPr>
          <w:rStyle w:val="TextoNormalCaracter"/>
        </w:rPr>
        <w:t>, ff. 2 a 4.</w:t>
      </w:r>
    </w:p>
    <w:p w:rsidR="00F80910" w:rsidRPr="00F80910" w:rsidRDefault="00F80910" w:rsidP="00F80910">
      <w:pPr>
        <w:pStyle w:val="TextoNormalSangraFrancesa"/>
        <w:rPr>
          <w:rStyle w:val="TextoNormalCaracter"/>
        </w:rPr>
      </w:pPr>
      <w:bookmarkStart w:id="1320" w:name="DESCRIPTORALFABETICO570"/>
      <w:r w:rsidRPr="00F80910">
        <w:rPr>
          <w:rStyle w:val="TextoNormalNegritaCaracter"/>
        </w:rPr>
        <w:t>Preparación de recurso de casación</w:t>
      </w:r>
      <w:bookmarkEnd w:id="1320"/>
      <w:r w:rsidRPr="00F80910">
        <w:rPr>
          <w:rStyle w:val="TextoNormalCaracter"/>
        </w:rPr>
        <w:t xml:space="preserve">, Sentencia </w:t>
      </w:r>
      <w:hyperlink w:anchor="SENTENCIA_2015_179" w:history="1">
        <w:r w:rsidRPr="00F80910">
          <w:rPr>
            <w:rStyle w:val="TextoNormalCaracter"/>
          </w:rPr>
          <w:t>179/2015</w:t>
        </w:r>
      </w:hyperlink>
      <w:r w:rsidRPr="00F80910">
        <w:rPr>
          <w:rStyle w:val="TextoNormalCaracter"/>
        </w:rPr>
        <w:t>, ff. 1 a 3.</w:t>
      </w:r>
    </w:p>
    <w:p w:rsidR="00F80910" w:rsidRPr="00F80910" w:rsidRDefault="00F80910" w:rsidP="00F80910">
      <w:pPr>
        <w:pStyle w:val="TextoNormalSangraFrancesa"/>
        <w:rPr>
          <w:rStyle w:val="TextoNormalCaracter"/>
        </w:rPr>
      </w:pPr>
      <w:bookmarkStart w:id="1321" w:name="DESCRIPTORALFABETICO212"/>
      <w:r w:rsidRPr="00F80910">
        <w:rPr>
          <w:rStyle w:val="TextoNormalNegritaCaracter"/>
        </w:rPr>
        <w:t>Prerrogativa exclusiva de los órganos judiciales para plantear cuestión de inconstitucionalidad</w:t>
      </w:r>
      <w:bookmarkEnd w:id="1321"/>
      <w:r w:rsidRPr="00F80910">
        <w:rPr>
          <w:rStyle w:val="TextoNormalCaracter"/>
        </w:rPr>
        <w:t xml:space="preserve">, Sentencia </w:t>
      </w:r>
      <w:hyperlink w:anchor="SENTENCIA_2015_195" w:history="1">
        <w:r w:rsidRPr="00F80910">
          <w:rPr>
            <w:rStyle w:val="TextoNormalCaracter"/>
          </w:rPr>
          <w:t>195/2015</w:t>
        </w:r>
      </w:hyperlink>
      <w:r w:rsidRPr="00F80910">
        <w:rPr>
          <w:rStyle w:val="TextoNormalCaracter"/>
        </w:rPr>
        <w:t>, f. 7.</w:t>
      </w:r>
    </w:p>
    <w:p w:rsidR="00F80910" w:rsidRPr="00F80910" w:rsidRDefault="00F80910" w:rsidP="00F80910">
      <w:pPr>
        <w:pStyle w:val="TextoNormalSangraFrancesa"/>
        <w:rPr>
          <w:rStyle w:val="TextoNormalCaracter"/>
        </w:rPr>
      </w:pPr>
      <w:bookmarkStart w:id="1322" w:name="DESCRIPTORALFABETICO158"/>
      <w:r w:rsidRPr="00F80910">
        <w:rPr>
          <w:rStyle w:val="TextoNormalNegritaCaracter"/>
        </w:rPr>
        <w:t>Preservación de derechos fundamentales</w:t>
      </w:r>
      <w:bookmarkEnd w:id="1322"/>
      <w:r w:rsidRPr="00F80910">
        <w:rPr>
          <w:rStyle w:val="TextoNormalCaracter"/>
        </w:rPr>
        <w:t xml:space="preserve">, Autos </w:t>
      </w:r>
      <w:hyperlink w:anchor="AUTO_2015_189" w:history="1">
        <w:r w:rsidRPr="00F80910">
          <w:rPr>
            <w:rStyle w:val="TextoNormalCaracter"/>
          </w:rPr>
          <w:t>189/2015</w:t>
        </w:r>
      </w:hyperlink>
      <w:r w:rsidRPr="00F80910">
        <w:rPr>
          <w:rStyle w:val="TextoNormalCaracter"/>
        </w:rPr>
        <w:t xml:space="preserve">, f. 2 a); </w:t>
      </w:r>
      <w:hyperlink w:anchor="AUTO_2015_190" w:history="1">
        <w:r w:rsidRPr="00F80910">
          <w:rPr>
            <w:rStyle w:val="TextoNormalCaracter"/>
          </w:rPr>
          <w:t>190/2015</w:t>
        </w:r>
      </w:hyperlink>
      <w:r w:rsidRPr="00F80910">
        <w:rPr>
          <w:rStyle w:val="TextoNormalCaracter"/>
        </w:rPr>
        <w:t>, f. a).</w:t>
      </w:r>
    </w:p>
    <w:p w:rsidR="00F80910" w:rsidRPr="00F80910" w:rsidRDefault="00F80910" w:rsidP="00F80910">
      <w:pPr>
        <w:pStyle w:val="TextoNormalSangraFrancesa"/>
        <w:rPr>
          <w:rStyle w:val="TextoNormalCaracter"/>
        </w:rPr>
      </w:pPr>
      <w:bookmarkStart w:id="1323" w:name="DESCRIPTORALFABETICO497"/>
      <w:r w:rsidRPr="00F80910">
        <w:rPr>
          <w:rStyle w:val="TextoNormalNegritaCaracter"/>
        </w:rPr>
        <w:t>Prestaciones por desempleo</w:t>
      </w:r>
      <w:bookmarkEnd w:id="1323"/>
      <w:r w:rsidRPr="00F80910">
        <w:rPr>
          <w:rStyle w:val="TextoNormalCaracter"/>
        </w:rPr>
        <w:t xml:space="preserve">, </w:t>
      </w:r>
    </w:p>
    <w:p w:rsidR="00F80910" w:rsidRPr="00F80910" w:rsidRDefault="00F80910" w:rsidP="00F80910">
      <w:pPr>
        <w:pStyle w:val="TextoNormalSangraFrancesa"/>
        <w:rPr>
          <w:rStyle w:val="TextoNormalCaracter"/>
        </w:rPr>
      </w:pPr>
      <w:r w:rsidRPr="00F80910">
        <w:rPr>
          <w:rStyle w:val="TextoNormalCursivaCaracter"/>
        </w:rPr>
        <w:t xml:space="preserve">    Régimen jurídico, </w:t>
      </w:r>
      <w:r w:rsidRPr="00F80910">
        <w:rPr>
          <w:rStyle w:val="TextoNormalCaracter"/>
        </w:rPr>
        <w:t xml:space="preserve">Sentencia </w:t>
      </w:r>
      <w:hyperlink w:anchor="SENTENCIA_2015_272" w:history="1">
        <w:r w:rsidRPr="00F80910">
          <w:rPr>
            <w:rStyle w:val="TextoNormalCaracter"/>
          </w:rPr>
          <w:t>272/2015</w:t>
        </w:r>
      </w:hyperlink>
      <w:r w:rsidRPr="00F80910">
        <w:rPr>
          <w:rStyle w:val="TextoNormalCaracter"/>
        </w:rPr>
        <w:t>, ff. 3, 4.</w:t>
      </w:r>
    </w:p>
    <w:p w:rsidR="00F80910" w:rsidRPr="00F80910" w:rsidRDefault="00F80910" w:rsidP="00F80910">
      <w:pPr>
        <w:pStyle w:val="TextoNormalSangraFrancesa"/>
        <w:rPr>
          <w:rStyle w:val="TextoNormalCaracter"/>
        </w:rPr>
      </w:pPr>
      <w:bookmarkStart w:id="1324" w:name="DESCRIPTORALFABETICO462"/>
      <w:r w:rsidRPr="00F80910">
        <w:rPr>
          <w:rStyle w:val="TextoNormalNegritaCaracter"/>
        </w:rPr>
        <w:t>Presunción de constitucionalidad de la ley</w:t>
      </w:r>
      <w:bookmarkEnd w:id="1324"/>
      <w:r w:rsidRPr="00F80910">
        <w:rPr>
          <w:rStyle w:val="TextoNormalCaracter"/>
        </w:rPr>
        <w:t xml:space="preserve">, Sentencias </w:t>
      </w:r>
      <w:hyperlink w:anchor="SENTENCIA_2015_199" w:history="1">
        <w:r w:rsidRPr="00F80910">
          <w:rPr>
            <w:rStyle w:val="TextoNormalCaracter"/>
          </w:rPr>
          <w:t>199/2015</w:t>
        </w:r>
      </w:hyperlink>
      <w:r w:rsidRPr="00F80910">
        <w:rPr>
          <w:rStyle w:val="TextoNormalCaracter"/>
        </w:rPr>
        <w:t xml:space="preserve">, f. 2; </w:t>
      </w:r>
      <w:hyperlink w:anchor="SENTENCIA_2015_269" w:history="1">
        <w:r w:rsidRPr="00F80910">
          <w:rPr>
            <w:rStyle w:val="TextoNormalCaracter"/>
          </w:rPr>
          <w:t>269/2015</w:t>
        </w:r>
      </w:hyperlink>
      <w:r w:rsidRPr="00F80910">
        <w:rPr>
          <w:rStyle w:val="TextoNormalCaracter"/>
        </w:rPr>
        <w:t>, f. 2.</w:t>
      </w:r>
    </w:p>
    <w:p w:rsidR="00F80910" w:rsidRPr="00F80910" w:rsidRDefault="00F80910" w:rsidP="00F80910">
      <w:pPr>
        <w:pStyle w:val="TextoNormalSangraFrancesa"/>
        <w:rPr>
          <w:rStyle w:val="TextoNormalCaracter"/>
        </w:rPr>
      </w:pPr>
      <w:bookmarkStart w:id="1325" w:name="DESCRIPTORALFABETICO575"/>
      <w:r w:rsidRPr="00F80910">
        <w:rPr>
          <w:rStyle w:val="TextoNormalNegritaCaracter"/>
        </w:rPr>
        <w:t>Presunción de desistimiento</w:t>
      </w:r>
      <w:bookmarkEnd w:id="1325"/>
      <w:r w:rsidRPr="00F80910">
        <w:rPr>
          <w:rStyle w:val="TextoNormalCaracter"/>
        </w:rPr>
        <w:t xml:space="preserve">, Sentencia </w:t>
      </w:r>
      <w:hyperlink w:anchor="SENTENCIA_2015_194" w:history="1">
        <w:r w:rsidRPr="00F80910">
          <w:rPr>
            <w:rStyle w:val="TextoNormalCaracter"/>
          </w:rPr>
          <w:t>194/2015</w:t>
        </w:r>
      </w:hyperlink>
      <w:r w:rsidRPr="00F80910">
        <w:rPr>
          <w:rStyle w:val="TextoNormalCaracter"/>
        </w:rPr>
        <w:t>, ff. 5, 6.</w:t>
      </w:r>
    </w:p>
    <w:p w:rsidR="00F80910" w:rsidRPr="00F80910" w:rsidRDefault="00F80910" w:rsidP="00F80910">
      <w:pPr>
        <w:pStyle w:val="TextoNormalSangraFrancesa"/>
        <w:rPr>
          <w:rStyle w:val="TextoNormalCaracter"/>
        </w:rPr>
      </w:pPr>
      <w:bookmarkStart w:id="1326" w:name="DESCRIPTORALFABETICO256"/>
      <w:r w:rsidRPr="00F80910">
        <w:rPr>
          <w:rStyle w:val="TextoNormalNegritaCaracter"/>
        </w:rPr>
        <w:t>Presunción de legitimidad de los actos de los poderes públicos</w:t>
      </w:r>
      <w:bookmarkEnd w:id="1326"/>
      <w:r w:rsidRPr="00F80910">
        <w:rPr>
          <w:rStyle w:val="TextoNormalCaracter"/>
        </w:rPr>
        <w:t xml:space="preserve">, Autos </w:t>
      </w:r>
      <w:hyperlink w:anchor="AUTO_2015_189" w:history="1">
        <w:r w:rsidRPr="00F80910">
          <w:rPr>
            <w:rStyle w:val="TextoNormalCaracter"/>
          </w:rPr>
          <w:t>189/2015</w:t>
        </w:r>
      </w:hyperlink>
      <w:r w:rsidRPr="00F80910">
        <w:rPr>
          <w:rStyle w:val="TextoNormalCaracter"/>
        </w:rPr>
        <w:t xml:space="preserve">, f. 2 b); </w:t>
      </w:r>
      <w:hyperlink w:anchor="AUTO_2015_190" w:history="1">
        <w:r w:rsidRPr="00F80910">
          <w:rPr>
            <w:rStyle w:val="TextoNormalCaracter"/>
          </w:rPr>
          <w:t>190/2015</w:t>
        </w:r>
      </w:hyperlink>
      <w:r w:rsidRPr="00F80910">
        <w:rPr>
          <w:rStyle w:val="TextoNormalCaracter"/>
        </w:rPr>
        <w:t>, f. 2 b).</w:t>
      </w:r>
    </w:p>
    <w:p w:rsidR="00F80910" w:rsidRPr="00F80910" w:rsidRDefault="00F80910" w:rsidP="00F80910">
      <w:pPr>
        <w:pStyle w:val="TextoNormalSangraFrancesa"/>
        <w:rPr>
          <w:rStyle w:val="TextoNormalCaracter"/>
        </w:rPr>
      </w:pPr>
      <w:bookmarkStart w:id="1327" w:name="DESCRIPTORALFABETICO446"/>
      <w:r w:rsidRPr="00F80910">
        <w:rPr>
          <w:rStyle w:val="TextoNormalNegritaCaracter"/>
        </w:rPr>
        <w:t>Presupuesto habilitante</w:t>
      </w:r>
      <w:bookmarkEnd w:id="1327"/>
      <w:r w:rsidRPr="00F80910">
        <w:rPr>
          <w:rStyle w:val="TextoNormalCaracter"/>
        </w:rPr>
        <w:t xml:space="preserve">, Sentencias </w:t>
      </w:r>
      <w:hyperlink w:anchor="SENTENCIA_2015_156" w:history="1">
        <w:r w:rsidRPr="00F80910">
          <w:rPr>
            <w:rStyle w:val="TextoNormalCaracter"/>
          </w:rPr>
          <w:t>156/2015</w:t>
        </w:r>
      </w:hyperlink>
      <w:r w:rsidRPr="00F80910">
        <w:rPr>
          <w:rStyle w:val="TextoNormalCaracter"/>
        </w:rPr>
        <w:t xml:space="preserve">, ff. 3 a 5; </w:t>
      </w:r>
      <w:hyperlink w:anchor="SENTENCIA_2015_196" w:history="1">
        <w:r w:rsidRPr="00F80910">
          <w:rPr>
            <w:rStyle w:val="TextoNormalCaracter"/>
          </w:rPr>
          <w:t>196/2015</w:t>
        </w:r>
      </w:hyperlink>
      <w:r w:rsidRPr="00F80910">
        <w:rPr>
          <w:rStyle w:val="TextoNormalCaracter"/>
        </w:rPr>
        <w:t xml:space="preserve">, f. 3; </w:t>
      </w:r>
      <w:hyperlink w:anchor="SENTENCIA_2015_197" w:history="1">
        <w:r w:rsidRPr="00F80910">
          <w:rPr>
            <w:rStyle w:val="TextoNormalCaracter"/>
          </w:rPr>
          <w:t>197/2015</w:t>
        </w:r>
      </w:hyperlink>
      <w:r w:rsidRPr="00F80910">
        <w:rPr>
          <w:rStyle w:val="TextoNormalCaracter"/>
        </w:rPr>
        <w:t xml:space="preserve">, f. 3, VP I, VP II; </w:t>
      </w:r>
      <w:hyperlink w:anchor="SENTENCIA_2015_199" w:history="1">
        <w:r w:rsidRPr="00F80910">
          <w:rPr>
            <w:rStyle w:val="TextoNormalCaracter"/>
          </w:rPr>
          <w:t>199/2015</w:t>
        </w:r>
      </w:hyperlink>
      <w:r w:rsidRPr="00F80910">
        <w:rPr>
          <w:rStyle w:val="TextoNormalCaracter"/>
        </w:rPr>
        <w:t xml:space="preserve">, ff. 3 a 10, VP; </w:t>
      </w:r>
      <w:hyperlink w:anchor="SENTENCIA_2015_211" w:history="1">
        <w:r w:rsidRPr="00F80910">
          <w:rPr>
            <w:rStyle w:val="TextoNormalCaracter"/>
          </w:rPr>
          <w:t>211/2015</w:t>
        </w:r>
      </w:hyperlink>
      <w:r w:rsidRPr="00F80910">
        <w:rPr>
          <w:rStyle w:val="TextoNormalCaracter"/>
        </w:rPr>
        <w:t xml:space="preserve">, ff. 5 a 7; </w:t>
      </w:r>
      <w:hyperlink w:anchor="SENTENCIA_2015_215" w:history="1">
        <w:r w:rsidRPr="00F80910">
          <w:rPr>
            <w:rStyle w:val="TextoNormalCaracter"/>
          </w:rPr>
          <w:t>215/2015</w:t>
        </w:r>
      </w:hyperlink>
      <w:r w:rsidRPr="00F80910">
        <w:rPr>
          <w:rStyle w:val="TextoNormalCaracter"/>
        </w:rPr>
        <w:t xml:space="preserve">, ff. 3 a 5; </w:t>
      </w:r>
      <w:hyperlink w:anchor="SENTENCIA_2015_243" w:history="1">
        <w:r w:rsidRPr="00F80910">
          <w:rPr>
            <w:rStyle w:val="TextoNormalCaracter"/>
          </w:rPr>
          <w:t>243/2015</w:t>
        </w:r>
      </w:hyperlink>
      <w:r w:rsidRPr="00F80910">
        <w:rPr>
          <w:rStyle w:val="TextoNormalCaracter"/>
        </w:rPr>
        <w:t>, ff. 2, 3.</w:t>
      </w:r>
    </w:p>
    <w:p w:rsidR="00F80910" w:rsidRPr="00F80910" w:rsidRDefault="00F80910" w:rsidP="00F80910">
      <w:pPr>
        <w:pStyle w:val="TextoNormalSangraFrancesa"/>
        <w:rPr>
          <w:rStyle w:val="TextoNormalCaracter"/>
        </w:rPr>
      </w:pPr>
      <w:bookmarkStart w:id="1328" w:name="DESCRIPTORALFABETICO53"/>
      <w:r w:rsidRPr="00F80910">
        <w:rPr>
          <w:rStyle w:val="TextoNormalNegritaCaracter"/>
        </w:rPr>
        <w:t>Presupuestos de las Comunidades Autónomas</w:t>
      </w:r>
      <w:bookmarkEnd w:id="1328"/>
      <w:r w:rsidRPr="00F80910">
        <w:rPr>
          <w:rStyle w:val="TextoNormalCaracter"/>
        </w:rPr>
        <w:t xml:space="preserve">, Auto </w:t>
      </w:r>
      <w:hyperlink w:anchor="AUTO_2015_181" w:history="1">
        <w:r w:rsidRPr="00F80910">
          <w:rPr>
            <w:rStyle w:val="TextoNormalCaracter"/>
          </w:rPr>
          <w:t>181/2015</w:t>
        </w:r>
      </w:hyperlink>
      <w:r w:rsidRPr="00F80910">
        <w:rPr>
          <w:rStyle w:val="TextoNormalCaracter"/>
        </w:rPr>
        <w:t>, f. 3.</w:t>
      </w:r>
    </w:p>
    <w:p w:rsidR="00F80910" w:rsidRPr="00F80910" w:rsidRDefault="00F80910" w:rsidP="00F80910">
      <w:pPr>
        <w:pStyle w:val="TextoNormalSangraFrancesa"/>
        <w:rPr>
          <w:rStyle w:val="TextoNormalCaracter"/>
        </w:rPr>
      </w:pPr>
      <w:bookmarkStart w:id="1329" w:name="DESCRIPTORALFABETICO15"/>
      <w:r w:rsidRPr="00F80910">
        <w:rPr>
          <w:rStyle w:val="TextoNormalNegritaCaracter"/>
        </w:rPr>
        <w:t>Prevalencia del título específico sobre el genérico</w:t>
      </w:r>
      <w:bookmarkEnd w:id="1329"/>
      <w:r w:rsidRPr="00F80910">
        <w:rPr>
          <w:rStyle w:val="TextoNormalCaracter"/>
        </w:rPr>
        <w:t xml:space="preserve">, Sentencia </w:t>
      </w:r>
      <w:hyperlink w:anchor="SENTENCIA_2015_214" w:history="1">
        <w:r w:rsidRPr="00F80910">
          <w:rPr>
            <w:rStyle w:val="TextoNormalCaracter"/>
          </w:rPr>
          <w:t>214/2015</w:t>
        </w:r>
      </w:hyperlink>
      <w:r w:rsidRPr="00F80910">
        <w:rPr>
          <w:rStyle w:val="TextoNormalCaracter"/>
        </w:rPr>
        <w:t>, f. 3.</w:t>
      </w:r>
    </w:p>
    <w:p w:rsidR="00F80910" w:rsidRPr="00F80910" w:rsidRDefault="00F80910" w:rsidP="00F80910">
      <w:pPr>
        <w:pStyle w:val="TextoNormalSangraFrancesa"/>
        <w:rPr>
          <w:rStyle w:val="TextoNormalCaracter"/>
        </w:rPr>
      </w:pPr>
      <w:bookmarkStart w:id="1330" w:name="DESCRIPTORALFABETICO505"/>
      <w:r w:rsidRPr="00F80910">
        <w:rPr>
          <w:rStyle w:val="TextoNormalNegritaCaracter"/>
        </w:rPr>
        <w:t>Prevención de riesgos laborales</w:t>
      </w:r>
      <w:bookmarkEnd w:id="1330"/>
      <w:r w:rsidRPr="00F80910">
        <w:rPr>
          <w:rStyle w:val="TextoNormalCaracter"/>
        </w:rPr>
        <w:t xml:space="preserve">, Sentencia </w:t>
      </w:r>
      <w:hyperlink w:anchor="SENTENCIA_2015_198" w:history="1">
        <w:r w:rsidRPr="00F80910">
          <w:rPr>
            <w:rStyle w:val="TextoNormalCaracter"/>
          </w:rPr>
          <w:t>198/2015</w:t>
        </w:r>
      </w:hyperlink>
      <w:r w:rsidRPr="00F80910">
        <w:rPr>
          <w:rStyle w:val="TextoNormalCaracter"/>
        </w:rPr>
        <w:t>, ff. 2 a 4, VP I.</w:t>
      </w:r>
    </w:p>
    <w:p w:rsidR="00F80910" w:rsidRPr="00F80910" w:rsidRDefault="00F80910" w:rsidP="00F80910">
      <w:pPr>
        <w:pStyle w:val="TextoNormalSangraFrancesa"/>
        <w:rPr>
          <w:rStyle w:val="TextoNormalCaracter"/>
        </w:rPr>
      </w:pPr>
      <w:bookmarkStart w:id="1331" w:name="DESCRIPTORALFABETICO436"/>
      <w:r w:rsidRPr="00F80910">
        <w:rPr>
          <w:rStyle w:val="TextoNormalNegritaCaracter"/>
        </w:rPr>
        <w:t>Primacía del Derecho de la Unión Europea</w:t>
      </w:r>
      <w:bookmarkEnd w:id="1331"/>
      <w:r w:rsidRPr="00F80910">
        <w:rPr>
          <w:rStyle w:val="TextoNormalCaracter"/>
        </w:rPr>
        <w:t xml:space="preserve">, Sentencia </w:t>
      </w:r>
      <w:hyperlink w:anchor="SENTENCIA_2015_232" w:history="1">
        <w:r w:rsidRPr="00F80910">
          <w:rPr>
            <w:rStyle w:val="TextoNormalCaracter"/>
          </w:rPr>
          <w:t>232/2015</w:t>
        </w:r>
      </w:hyperlink>
      <w:r w:rsidRPr="00F80910">
        <w:rPr>
          <w:rStyle w:val="TextoNormalCaracter"/>
        </w:rPr>
        <w:t>, ff. 5, 6.</w:t>
      </w:r>
    </w:p>
    <w:p w:rsidR="00F80910" w:rsidRPr="00F80910" w:rsidRDefault="00F80910" w:rsidP="00F80910">
      <w:pPr>
        <w:pStyle w:val="TextoNormalSangraFrancesa"/>
        <w:rPr>
          <w:rStyle w:val="TextoNormalCaracter"/>
        </w:rPr>
      </w:pPr>
      <w:bookmarkStart w:id="1332" w:name="DESCRIPTORALFABETICO609"/>
      <w:r w:rsidRPr="00F80910">
        <w:rPr>
          <w:rStyle w:val="TextoNormalNegritaCaracter"/>
        </w:rPr>
        <w:t>Principado de Asturias</w:t>
      </w:r>
      <w:bookmarkEnd w:id="1332"/>
      <w:r w:rsidRPr="00F80910">
        <w:rPr>
          <w:rStyle w:val="TextoNormalCaracter"/>
        </w:rPr>
        <w:t xml:space="preserve">, Sentencia </w:t>
      </w:r>
      <w:hyperlink w:anchor="SENTENCIA_2015_202" w:history="1">
        <w:r w:rsidRPr="00F80910">
          <w:rPr>
            <w:rStyle w:val="TextoNormalCaracter"/>
          </w:rPr>
          <w:t>202/2015</w:t>
        </w:r>
      </w:hyperlink>
      <w:r w:rsidRPr="00F80910">
        <w:rPr>
          <w:rStyle w:val="TextoNormalCaracter"/>
        </w:rPr>
        <w:t>, f. 1.</w:t>
      </w:r>
    </w:p>
    <w:p w:rsidR="00F80910" w:rsidRPr="00F80910" w:rsidRDefault="00F80910" w:rsidP="00F80910">
      <w:pPr>
        <w:pStyle w:val="TextoNormalSangraFrancesa"/>
        <w:rPr>
          <w:rStyle w:val="TextoNormalCaracter"/>
        </w:rPr>
      </w:pPr>
      <w:bookmarkStart w:id="1333" w:name="DESCRIPTORALFABETICO563"/>
      <w:r w:rsidRPr="00F80910">
        <w:rPr>
          <w:rStyle w:val="TextoNormalNegritaCaracter"/>
        </w:rPr>
        <w:t>Principio acusatorio en fase de recurso</w:t>
      </w:r>
      <w:bookmarkEnd w:id="1333"/>
      <w:r w:rsidRPr="00F80910">
        <w:rPr>
          <w:rStyle w:val="TextoNormalCaracter"/>
        </w:rPr>
        <w:t xml:space="preserve">, Sentencia </w:t>
      </w:r>
      <w:hyperlink w:anchor="SENTENCIA_2015_223" w:history="1">
        <w:r w:rsidRPr="00F80910">
          <w:rPr>
            <w:rStyle w:val="TextoNormalCaracter"/>
          </w:rPr>
          <w:t>223/2015</w:t>
        </w:r>
      </w:hyperlink>
      <w:r w:rsidRPr="00F80910">
        <w:rPr>
          <w:rStyle w:val="TextoNormalCaracter"/>
        </w:rPr>
        <w:t>, f. 2.</w:t>
      </w:r>
    </w:p>
    <w:p w:rsidR="00F80910" w:rsidRPr="00F80910" w:rsidRDefault="00F80910" w:rsidP="00F80910">
      <w:pPr>
        <w:pStyle w:val="TextoNormalSangraFrancesa"/>
        <w:rPr>
          <w:rStyle w:val="TextoNormalCaracter"/>
        </w:rPr>
      </w:pPr>
      <w:bookmarkStart w:id="1334" w:name="DESCRIPTORALFABETICO466"/>
      <w:r w:rsidRPr="00F80910">
        <w:rPr>
          <w:rStyle w:val="TextoNormalNegritaCaracter"/>
        </w:rPr>
        <w:t>Principio de conservación de la ley</w:t>
      </w:r>
      <w:bookmarkEnd w:id="1334"/>
      <w:r w:rsidRPr="00F80910">
        <w:rPr>
          <w:rStyle w:val="TextoNormalCaracter"/>
        </w:rPr>
        <w:t xml:space="preserve">, Sentencia </w:t>
      </w:r>
      <w:hyperlink w:anchor="SENTENCIA_2015_233" w:history="1">
        <w:r w:rsidRPr="00F80910">
          <w:rPr>
            <w:rStyle w:val="TextoNormalCaracter"/>
          </w:rPr>
          <w:t>233/2015</w:t>
        </w:r>
      </w:hyperlink>
      <w:r w:rsidRPr="00F80910">
        <w:rPr>
          <w:rStyle w:val="TextoNormalCaracter"/>
        </w:rPr>
        <w:t>, f. 14.</w:t>
      </w:r>
    </w:p>
    <w:p w:rsidR="00F80910" w:rsidRPr="00F80910" w:rsidRDefault="00F80910" w:rsidP="00F80910">
      <w:pPr>
        <w:pStyle w:val="TextoNormalSangraFrancesa"/>
        <w:rPr>
          <w:rStyle w:val="TextoNormalCaracter"/>
        </w:rPr>
      </w:pPr>
      <w:bookmarkStart w:id="1335" w:name="DESCRIPTORALFABETICO564"/>
      <w:r w:rsidRPr="00F80910">
        <w:rPr>
          <w:rStyle w:val="TextoNormalNegritaCaracter"/>
        </w:rPr>
        <w:t>Principio de conservación de los actos procesales</w:t>
      </w:r>
      <w:bookmarkEnd w:id="1335"/>
      <w:r w:rsidRPr="00F80910">
        <w:rPr>
          <w:rStyle w:val="TextoNormalCaracter"/>
        </w:rPr>
        <w:t xml:space="preserve">, Sentencia </w:t>
      </w:r>
      <w:hyperlink w:anchor="SENTENCIA_2015_149" w:history="1">
        <w:r w:rsidRPr="00F80910">
          <w:rPr>
            <w:rStyle w:val="TextoNormalCaracter"/>
          </w:rPr>
          <w:t>149/2015</w:t>
        </w:r>
      </w:hyperlink>
      <w:r w:rsidRPr="00F80910">
        <w:rPr>
          <w:rStyle w:val="TextoNormalCaracter"/>
        </w:rPr>
        <w:t>, f. 4.</w:t>
      </w:r>
    </w:p>
    <w:p w:rsidR="00F80910" w:rsidRPr="00F80910" w:rsidRDefault="00F80910" w:rsidP="00F80910">
      <w:pPr>
        <w:pStyle w:val="TextoNormalSangraFrancesa"/>
        <w:rPr>
          <w:rStyle w:val="TextoNormalCaracter"/>
        </w:rPr>
      </w:pPr>
      <w:bookmarkStart w:id="1336" w:name="DESCRIPTORALFABETICO266"/>
      <w:r w:rsidRPr="00F80910">
        <w:rPr>
          <w:rStyle w:val="TextoNormalNegritaCaracter"/>
        </w:rPr>
        <w:t>Principio de eficacia</w:t>
      </w:r>
      <w:bookmarkEnd w:id="1336"/>
      <w:r w:rsidRPr="00F80910">
        <w:rPr>
          <w:rStyle w:val="TextoNormalCaracter"/>
        </w:rPr>
        <w:t xml:space="preserve">, Sentencia </w:t>
      </w:r>
      <w:hyperlink w:anchor="SENTENCIA_2015_236" w:history="1">
        <w:r w:rsidRPr="00F80910">
          <w:rPr>
            <w:rStyle w:val="TextoNormalCaracter"/>
          </w:rPr>
          <w:t>236/2015</w:t>
        </w:r>
      </w:hyperlink>
      <w:r w:rsidRPr="00F80910">
        <w:rPr>
          <w:rStyle w:val="TextoNormalCaracter"/>
        </w:rPr>
        <w:t>, VP.</w:t>
      </w:r>
    </w:p>
    <w:p w:rsidR="00F80910" w:rsidRPr="00F80910" w:rsidRDefault="00F80910" w:rsidP="00F80910">
      <w:pPr>
        <w:pStyle w:val="TextoNormalSangraFrancesa"/>
        <w:rPr>
          <w:rStyle w:val="TextoNormalCaracter"/>
        </w:rPr>
      </w:pPr>
      <w:bookmarkStart w:id="1337" w:name="DESCRIPTORALFABETICO54"/>
      <w:r w:rsidRPr="00F80910">
        <w:rPr>
          <w:rStyle w:val="TextoNormalNegritaCaracter"/>
        </w:rPr>
        <w:t>Principio de estabilidad presupuestaria</w:t>
      </w:r>
      <w:bookmarkEnd w:id="1337"/>
      <w:r w:rsidRPr="00F80910">
        <w:rPr>
          <w:rStyle w:val="TextoNormalCaracter"/>
        </w:rPr>
        <w:t xml:space="preserve">, Sentencias </w:t>
      </w:r>
      <w:hyperlink w:anchor="SENTENCIA_2015_156" w:history="1">
        <w:r w:rsidRPr="00F80910">
          <w:rPr>
            <w:rStyle w:val="TextoNormalCaracter"/>
          </w:rPr>
          <w:t>156/2015</w:t>
        </w:r>
      </w:hyperlink>
      <w:r w:rsidRPr="00F80910">
        <w:rPr>
          <w:rStyle w:val="TextoNormalCaracter"/>
        </w:rPr>
        <w:t xml:space="preserve">, ff. 3 a 5; </w:t>
      </w:r>
      <w:hyperlink w:anchor="SENTENCIA_2015_215" w:history="1">
        <w:r w:rsidRPr="00F80910">
          <w:rPr>
            <w:rStyle w:val="TextoNormalCaracter"/>
          </w:rPr>
          <w:t>215/2015</w:t>
        </w:r>
      </w:hyperlink>
      <w:r w:rsidRPr="00F80910">
        <w:rPr>
          <w:rStyle w:val="TextoNormalCaracter"/>
        </w:rPr>
        <w:t xml:space="preserve">, ff. 4 a 6; </w:t>
      </w:r>
      <w:hyperlink w:anchor="SENTENCIA_2015_230" w:history="1">
        <w:r w:rsidRPr="00F80910">
          <w:rPr>
            <w:rStyle w:val="TextoNormalCaracter"/>
          </w:rPr>
          <w:t>230/2015</w:t>
        </w:r>
      </w:hyperlink>
      <w:r w:rsidRPr="00F80910">
        <w:rPr>
          <w:rStyle w:val="TextoNormalCaracter"/>
        </w:rPr>
        <w:t xml:space="preserve">, f. 5; </w:t>
      </w:r>
      <w:hyperlink w:anchor="SENTENCIA_2015_241" w:history="1">
        <w:r w:rsidRPr="00F80910">
          <w:rPr>
            <w:rStyle w:val="TextoNormalCaracter"/>
          </w:rPr>
          <w:t>241/2015</w:t>
        </w:r>
      </w:hyperlink>
      <w:r w:rsidRPr="00F80910">
        <w:rPr>
          <w:rStyle w:val="TextoNormalCaracter"/>
        </w:rPr>
        <w:t>, f. 1.</w:t>
      </w:r>
    </w:p>
    <w:p w:rsidR="00F80910" w:rsidRPr="00F80910" w:rsidRDefault="00F80910" w:rsidP="00F80910">
      <w:pPr>
        <w:pStyle w:val="TextoNormalSangraFrancesa"/>
        <w:rPr>
          <w:rStyle w:val="TextoNormalCaracter"/>
        </w:rPr>
      </w:pPr>
      <w:bookmarkStart w:id="1338" w:name="DESCRIPTORALFABETICO287"/>
      <w:r w:rsidRPr="00F80910">
        <w:rPr>
          <w:rStyle w:val="TextoNormalNegritaCaracter"/>
        </w:rPr>
        <w:t>Principio de igualdad</w:t>
      </w:r>
      <w:bookmarkEnd w:id="1338"/>
      <w:r w:rsidRPr="00F80910">
        <w:rPr>
          <w:rStyle w:val="TextoNormalCaracter"/>
        </w:rPr>
        <w:t xml:space="preserve">, Sentencia </w:t>
      </w:r>
      <w:hyperlink w:anchor="SENTENCIA_2015_236" w:history="1">
        <w:r w:rsidRPr="00F80910">
          <w:rPr>
            <w:rStyle w:val="TextoNormalCaracter"/>
          </w:rPr>
          <w:t>236/2015</w:t>
        </w:r>
      </w:hyperlink>
      <w:r w:rsidRPr="00F80910">
        <w:rPr>
          <w:rStyle w:val="TextoNormalCaracter"/>
        </w:rPr>
        <w:t>, ff. 8, 9.</w:t>
      </w:r>
    </w:p>
    <w:p w:rsidR="00F80910" w:rsidRPr="00F80910" w:rsidRDefault="00F80910" w:rsidP="00F80910">
      <w:pPr>
        <w:pStyle w:val="TextoNormalSangraFrancesa"/>
        <w:rPr>
          <w:rStyle w:val="TextoNormalCaracter"/>
        </w:rPr>
      </w:pPr>
      <w:bookmarkStart w:id="1339" w:name="DESCRIPTORALFABETICO70"/>
      <w:r w:rsidRPr="00F80910">
        <w:rPr>
          <w:rStyle w:val="TextoNormalNegritaCaracter"/>
        </w:rPr>
        <w:t>Principio de inalterabilidad de las listas electorales</w:t>
      </w:r>
      <w:bookmarkEnd w:id="1339"/>
      <w:r w:rsidRPr="00F80910">
        <w:rPr>
          <w:rStyle w:val="TextoNormalCaracter"/>
        </w:rPr>
        <w:t xml:space="preserve">, Sentencia </w:t>
      </w:r>
      <w:hyperlink w:anchor="SENTENCIA_2015_158" w:history="1">
        <w:r w:rsidRPr="00F80910">
          <w:rPr>
            <w:rStyle w:val="TextoNormalCaracter"/>
          </w:rPr>
          <w:t>158/2015</w:t>
        </w:r>
      </w:hyperlink>
      <w:r w:rsidRPr="00F80910">
        <w:rPr>
          <w:rStyle w:val="TextoNormalCaracter"/>
        </w:rPr>
        <w:t>, ff. 3, 4.</w:t>
      </w:r>
    </w:p>
    <w:p w:rsidR="00F80910" w:rsidRPr="00F80910" w:rsidRDefault="00F80910" w:rsidP="00F80910">
      <w:pPr>
        <w:pStyle w:val="TextoNormalSangraFrancesa"/>
        <w:rPr>
          <w:rStyle w:val="TextoNormalCaracter"/>
        </w:rPr>
      </w:pPr>
      <w:bookmarkStart w:id="1340" w:name="DESCRIPTORALFABETICO289"/>
      <w:r w:rsidRPr="00F80910">
        <w:rPr>
          <w:rStyle w:val="TextoNormalNegritaCaracter"/>
        </w:rPr>
        <w:t>Principio de interdicción de la arbitrariedad</w:t>
      </w:r>
      <w:bookmarkEnd w:id="1340"/>
      <w:r w:rsidRPr="00F80910">
        <w:rPr>
          <w:rStyle w:val="TextoNormalCaracter"/>
        </w:rPr>
        <w:t xml:space="preserve">, Sentencia </w:t>
      </w:r>
      <w:hyperlink w:anchor="SENTENCIA_2015_233" w:history="1">
        <w:r w:rsidRPr="00F80910">
          <w:rPr>
            <w:rStyle w:val="TextoNormalCaracter"/>
          </w:rPr>
          <w:t>233/2015</w:t>
        </w:r>
      </w:hyperlink>
      <w:r w:rsidRPr="00F80910">
        <w:rPr>
          <w:rStyle w:val="TextoNormalCaracter"/>
        </w:rPr>
        <w:t>, ff. 2, 3, 9, 10, 13, 15.</w:t>
      </w:r>
    </w:p>
    <w:p w:rsidR="00F80910" w:rsidRPr="00F80910" w:rsidRDefault="00F80910" w:rsidP="00F80910">
      <w:pPr>
        <w:pStyle w:val="TextoNormalSangraFrancesa"/>
        <w:rPr>
          <w:rStyle w:val="TextoNormalCaracter"/>
        </w:rPr>
      </w:pPr>
      <w:r w:rsidRPr="00F80910">
        <w:rPr>
          <w:rStyle w:val="TextoNormalCursivaCaracter"/>
        </w:rPr>
        <w:t xml:space="preserve">    Respetado, </w:t>
      </w:r>
      <w:r w:rsidRPr="00F80910">
        <w:rPr>
          <w:rStyle w:val="TextoNormalCaracter"/>
        </w:rPr>
        <w:t xml:space="preserve">Sentencias </w:t>
      </w:r>
      <w:hyperlink w:anchor="SENTENCIA_2015_226" w:history="1">
        <w:r w:rsidRPr="00F80910">
          <w:rPr>
            <w:rStyle w:val="TextoNormalCaracter"/>
          </w:rPr>
          <w:t>226/2015</w:t>
        </w:r>
      </w:hyperlink>
      <w:r w:rsidRPr="00F80910">
        <w:rPr>
          <w:rStyle w:val="TextoNormalCaracter"/>
        </w:rPr>
        <w:t xml:space="preserve">, f. 4; </w:t>
      </w:r>
      <w:hyperlink w:anchor="SENTENCIA_2015_231" w:history="1">
        <w:r w:rsidRPr="00F80910">
          <w:rPr>
            <w:rStyle w:val="TextoNormalCaracter"/>
          </w:rPr>
          <w:t>231/2015</w:t>
        </w:r>
      </w:hyperlink>
      <w:r w:rsidRPr="00F80910">
        <w:rPr>
          <w:rStyle w:val="TextoNormalCaracter"/>
        </w:rPr>
        <w:t>, ff. 6, 7.</w:t>
      </w:r>
    </w:p>
    <w:p w:rsidR="00F80910" w:rsidRPr="00F80910" w:rsidRDefault="00F80910" w:rsidP="00F80910">
      <w:pPr>
        <w:pStyle w:val="TextoNormalSangraFrancesa"/>
        <w:rPr>
          <w:rStyle w:val="TextoNormalCaracter"/>
        </w:rPr>
      </w:pPr>
      <w:bookmarkStart w:id="1341" w:name="DESCRIPTORALFABETICO291"/>
      <w:r w:rsidRPr="00F80910">
        <w:rPr>
          <w:rStyle w:val="TextoNormalNegritaCaracter"/>
        </w:rPr>
        <w:t>Principio de irretroactividad</w:t>
      </w:r>
      <w:bookmarkEnd w:id="1341"/>
      <w:r w:rsidRPr="00F80910">
        <w:rPr>
          <w:rStyle w:val="TextoNormalCaracter"/>
        </w:rPr>
        <w:t xml:space="preserve">, Sentencias </w:t>
      </w:r>
      <w:hyperlink w:anchor="SENTENCIA_2015_151" w:history="1">
        <w:r w:rsidRPr="00F80910">
          <w:rPr>
            <w:rStyle w:val="TextoNormalCaracter"/>
          </w:rPr>
          <w:t>151/2015</w:t>
        </w:r>
      </w:hyperlink>
      <w:r w:rsidRPr="00F80910">
        <w:rPr>
          <w:rStyle w:val="TextoNormalCaracter"/>
        </w:rPr>
        <w:t xml:space="preserve">, f. 3; </w:t>
      </w:r>
      <w:hyperlink w:anchor="SENTENCIA_2015_153" w:history="1">
        <w:r w:rsidRPr="00F80910">
          <w:rPr>
            <w:rStyle w:val="TextoNormalCaracter"/>
          </w:rPr>
          <w:t>153/2015</w:t>
        </w:r>
      </w:hyperlink>
      <w:r w:rsidRPr="00F80910">
        <w:rPr>
          <w:rStyle w:val="TextoNormalCaracter"/>
        </w:rPr>
        <w:t xml:space="preserve">, f. 3; </w:t>
      </w:r>
      <w:hyperlink w:anchor="SENTENCIA_2015_154" w:history="1">
        <w:r w:rsidRPr="00F80910">
          <w:rPr>
            <w:rStyle w:val="TextoNormalCaracter"/>
          </w:rPr>
          <w:t>154/2015</w:t>
        </w:r>
      </w:hyperlink>
      <w:r w:rsidRPr="00F80910">
        <w:rPr>
          <w:rStyle w:val="TextoNormalCaracter"/>
        </w:rPr>
        <w:t xml:space="preserve">, f. 5; </w:t>
      </w:r>
      <w:hyperlink w:anchor="SENTENCIA_2015_161" w:history="1">
        <w:r w:rsidRPr="00F80910">
          <w:rPr>
            <w:rStyle w:val="TextoNormalCaracter"/>
          </w:rPr>
          <w:t>161/2015</w:t>
        </w:r>
      </w:hyperlink>
      <w:r w:rsidRPr="00F80910">
        <w:rPr>
          <w:rStyle w:val="TextoNormalCaracter"/>
        </w:rPr>
        <w:t xml:space="preserve">, f. 3; </w:t>
      </w:r>
      <w:hyperlink w:anchor="SENTENCIA_2015_162" w:history="1">
        <w:r w:rsidRPr="00F80910">
          <w:rPr>
            <w:rStyle w:val="TextoNormalCaracter"/>
          </w:rPr>
          <w:t>162/2015</w:t>
        </w:r>
      </w:hyperlink>
      <w:r w:rsidRPr="00F80910">
        <w:rPr>
          <w:rStyle w:val="TextoNormalCaracter"/>
        </w:rPr>
        <w:t xml:space="preserve">, f. 3; </w:t>
      </w:r>
      <w:hyperlink w:anchor="SENTENCIA_2015_163" w:history="1">
        <w:r w:rsidRPr="00F80910">
          <w:rPr>
            <w:rStyle w:val="TextoNormalCaracter"/>
          </w:rPr>
          <w:t>163/2015</w:t>
        </w:r>
      </w:hyperlink>
      <w:r w:rsidRPr="00F80910">
        <w:rPr>
          <w:rStyle w:val="TextoNormalCaracter"/>
        </w:rPr>
        <w:t xml:space="preserve">, f. 3; </w:t>
      </w:r>
      <w:hyperlink w:anchor="SENTENCIA_2015_164" w:history="1">
        <w:r w:rsidRPr="00F80910">
          <w:rPr>
            <w:rStyle w:val="TextoNormalCaracter"/>
          </w:rPr>
          <w:t>164/2015</w:t>
        </w:r>
      </w:hyperlink>
      <w:r w:rsidRPr="00F80910">
        <w:rPr>
          <w:rStyle w:val="TextoNormalCaracter"/>
        </w:rPr>
        <w:t xml:space="preserve">, ff. 2 a 3; </w:t>
      </w:r>
      <w:hyperlink w:anchor="SENTENCIA_2015_165" w:history="1">
        <w:r w:rsidRPr="00F80910">
          <w:rPr>
            <w:rStyle w:val="TextoNormalCaracter"/>
          </w:rPr>
          <w:t>165/2015</w:t>
        </w:r>
      </w:hyperlink>
      <w:r w:rsidRPr="00F80910">
        <w:rPr>
          <w:rStyle w:val="TextoNormalCaracter"/>
        </w:rPr>
        <w:t xml:space="preserve">, f. 3; </w:t>
      </w:r>
      <w:hyperlink w:anchor="SENTENCIA_2015_166" w:history="1">
        <w:r w:rsidRPr="00F80910">
          <w:rPr>
            <w:rStyle w:val="TextoNormalCaracter"/>
          </w:rPr>
          <w:t>166/2015</w:t>
        </w:r>
      </w:hyperlink>
      <w:r w:rsidRPr="00F80910">
        <w:rPr>
          <w:rStyle w:val="TextoNormalCaracter"/>
        </w:rPr>
        <w:t xml:space="preserve">, f. 3; </w:t>
      </w:r>
      <w:hyperlink w:anchor="SENTENCIA_2015_168" w:history="1">
        <w:r w:rsidRPr="00F80910">
          <w:rPr>
            <w:rStyle w:val="TextoNormalCaracter"/>
          </w:rPr>
          <w:t>168/2015</w:t>
        </w:r>
      </w:hyperlink>
      <w:r w:rsidRPr="00F80910">
        <w:rPr>
          <w:rStyle w:val="TextoNormalCaracter"/>
        </w:rPr>
        <w:t xml:space="preserve">, f. 3; </w:t>
      </w:r>
      <w:hyperlink w:anchor="SENTENCIA_2015_170" w:history="1">
        <w:r w:rsidRPr="00F80910">
          <w:rPr>
            <w:rStyle w:val="TextoNormalCaracter"/>
          </w:rPr>
          <w:t>170/2015</w:t>
        </w:r>
      </w:hyperlink>
      <w:r w:rsidRPr="00F80910">
        <w:rPr>
          <w:rStyle w:val="TextoNormalCaracter"/>
        </w:rPr>
        <w:t xml:space="preserve">, f. 3; </w:t>
      </w:r>
      <w:hyperlink w:anchor="SENTENCIA_2015_171" w:history="1">
        <w:r w:rsidRPr="00F80910">
          <w:rPr>
            <w:rStyle w:val="TextoNormalCaracter"/>
          </w:rPr>
          <w:t>171/2015</w:t>
        </w:r>
      </w:hyperlink>
      <w:r w:rsidRPr="00F80910">
        <w:rPr>
          <w:rStyle w:val="TextoNormalCaracter"/>
        </w:rPr>
        <w:t xml:space="preserve">, f. 3; </w:t>
      </w:r>
      <w:hyperlink w:anchor="SENTENCIA_2015_172" w:history="1">
        <w:r w:rsidRPr="00F80910">
          <w:rPr>
            <w:rStyle w:val="TextoNormalCaracter"/>
          </w:rPr>
          <w:t>172/2015</w:t>
        </w:r>
      </w:hyperlink>
      <w:r w:rsidRPr="00F80910">
        <w:rPr>
          <w:rStyle w:val="TextoNormalCaracter"/>
        </w:rPr>
        <w:t xml:space="preserve">, f. 3; </w:t>
      </w:r>
      <w:hyperlink w:anchor="SENTENCIA_2015_173" w:history="1">
        <w:r w:rsidRPr="00F80910">
          <w:rPr>
            <w:rStyle w:val="TextoNormalCaracter"/>
          </w:rPr>
          <w:t>173/2015</w:t>
        </w:r>
      </w:hyperlink>
      <w:r w:rsidRPr="00F80910">
        <w:rPr>
          <w:rStyle w:val="TextoNormalCaracter"/>
        </w:rPr>
        <w:t xml:space="preserve">, f. 3; </w:t>
      </w:r>
      <w:hyperlink w:anchor="SENTENCIA_2015_174" w:history="1">
        <w:r w:rsidRPr="00F80910">
          <w:rPr>
            <w:rStyle w:val="TextoNormalCaracter"/>
          </w:rPr>
          <w:t>174/2015</w:t>
        </w:r>
      </w:hyperlink>
      <w:r w:rsidRPr="00F80910">
        <w:rPr>
          <w:rStyle w:val="TextoNormalCaracter"/>
        </w:rPr>
        <w:t xml:space="preserve">, f. 3; </w:t>
      </w:r>
      <w:hyperlink w:anchor="SENTENCIA_2015_175" w:history="1">
        <w:r w:rsidRPr="00F80910">
          <w:rPr>
            <w:rStyle w:val="TextoNormalCaracter"/>
          </w:rPr>
          <w:t>175/2015</w:t>
        </w:r>
      </w:hyperlink>
      <w:r w:rsidRPr="00F80910">
        <w:rPr>
          <w:rStyle w:val="TextoNormalCaracter"/>
        </w:rPr>
        <w:t xml:space="preserve">, f. 3; </w:t>
      </w:r>
      <w:hyperlink w:anchor="SENTENCIA_2015_184" w:history="1">
        <w:r w:rsidRPr="00F80910">
          <w:rPr>
            <w:rStyle w:val="TextoNormalCaracter"/>
          </w:rPr>
          <w:t>184/2015</w:t>
        </w:r>
      </w:hyperlink>
      <w:r w:rsidRPr="00F80910">
        <w:rPr>
          <w:rStyle w:val="TextoNormalCaracter"/>
        </w:rPr>
        <w:t xml:space="preserve">, f. 3; </w:t>
      </w:r>
      <w:hyperlink w:anchor="SENTENCIA_2015_188" w:history="1">
        <w:r w:rsidRPr="00F80910">
          <w:rPr>
            <w:rStyle w:val="TextoNormalCaracter"/>
          </w:rPr>
          <w:t>188/2015</w:t>
        </w:r>
      </w:hyperlink>
      <w:r w:rsidRPr="00F80910">
        <w:rPr>
          <w:rStyle w:val="TextoNormalCaracter"/>
        </w:rPr>
        <w:t xml:space="preserve">, f. 3; </w:t>
      </w:r>
      <w:hyperlink w:anchor="SENTENCIA_2015_189" w:history="1">
        <w:r w:rsidRPr="00F80910">
          <w:rPr>
            <w:rStyle w:val="TextoNormalCaracter"/>
          </w:rPr>
          <w:t>189/2015</w:t>
        </w:r>
      </w:hyperlink>
      <w:r w:rsidRPr="00F80910">
        <w:rPr>
          <w:rStyle w:val="TextoNormalCaracter"/>
        </w:rPr>
        <w:t xml:space="preserve">, f. 3; </w:t>
      </w:r>
      <w:hyperlink w:anchor="SENTENCIA_2015_190" w:history="1">
        <w:r w:rsidRPr="00F80910">
          <w:rPr>
            <w:rStyle w:val="TextoNormalCaracter"/>
          </w:rPr>
          <w:t>190/2015</w:t>
        </w:r>
      </w:hyperlink>
      <w:r w:rsidRPr="00F80910">
        <w:rPr>
          <w:rStyle w:val="TextoNormalCaracter"/>
        </w:rPr>
        <w:t xml:space="preserve">, f. 3; </w:t>
      </w:r>
      <w:hyperlink w:anchor="SENTENCIA_2015_191" w:history="1">
        <w:r w:rsidRPr="00F80910">
          <w:rPr>
            <w:rStyle w:val="TextoNormalCaracter"/>
          </w:rPr>
          <w:t>191/2015</w:t>
        </w:r>
      </w:hyperlink>
      <w:r w:rsidRPr="00F80910">
        <w:rPr>
          <w:rStyle w:val="TextoNormalCaracter"/>
        </w:rPr>
        <w:t xml:space="preserve">, f. 3; </w:t>
      </w:r>
      <w:hyperlink w:anchor="SENTENCIA_2015_192" w:history="1">
        <w:r w:rsidRPr="00F80910">
          <w:rPr>
            <w:rStyle w:val="TextoNormalCaracter"/>
          </w:rPr>
          <w:t>192/2015</w:t>
        </w:r>
      </w:hyperlink>
      <w:r w:rsidRPr="00F80910">
        <w:rPr>
          <w:rStyle w:val="TextoNormalCaracter"/>
        </w:rPr>
        <w:t xml:space="preserve">, f. 3; </w:t>
      </w:r>
      <w:hyperlink w:anchor="SENTENCIA_2015_193" w:history="1">
        <w:r w:rsidRPr="00F80910">
          <w:rPr>
            <w:rStyle w:val="TextoNormalCaracter"/>
          </w:rPr>
          <w:t>193/2015</w:t>
        </w:r>
      </w:hyperlink>
      <w:r w:rsidRPr="00F80910">
        <w:rPr>
          <w:rStyle w:val="TextoNormalCaracter"/>
        </w:rPr>
        <w:t xml:space="preserve">, f. 3; </w:t>
      </w:r>
      <w:hyperlink w:anchor="SENTENCIA_2015_205" w:history="1">
        <w:r w:rsidRPr="00F80910">
          <w:rPr>
            <w:rStyle w:val="TextoNormalCaracter"/>
          </w:rPr>
          <w:t>205/2015</w:t>
        </w:r>
      </w:hyperlink>
      <w:r w:rsidRPr="00F80910">
        <w:rPr>
          <w:rStyle w:val="TextoNormalCaracter"/>
        </w:rPr>
        <w:t xml:space="preserve">, f. 2 b); </w:t>
      </w:r>
      <w:hyperlink w:anchor="SENTENCIA_2015_206" w:history="1">
        <w:r w:rsidRPr="00F80910">
          <w:rPr>
            <w:rStyle w:val="TextoNormalCaracter"/>
          </w:rPr>
          <w:t>206/2015</w:t>
        </w:r>
      </w:hyperlink>
      <w:r w:rsidRPr="00F80910">
        <w:rPr>
          <w:rStyle w:val="TextoNormalCaracter"/>
        </w:rPr>
        <w:t xml:space="preserve">, f. 2 b); </w:t>
      </w:r>
      <w:hyperlink w:anchor="SENTENCIA_2015_210" w:history="1">
        <w:r w:rsidRPr="00F80910">
          <w:rPr>
            <w:rStyle w:val="TextoNormalCaracter"/>
          </w:rPr>
          <w:t>210/2015</w:t>
        </w:r>
      </w:hyperlink>
      <w:r w:rsidRPr="00F80910">
        <w:rPr>
          <w:rStyle w:val="TextoNormalCaracter"/>
        </w:rPr>
        <w:t xml:space="preserve">, f. 2 b); </w:t>
      </w:r>
      <w:hyperlink w:anchor="SENTENCIA_2015_216" w:history="1">
        <w:r w:rsidRPr="00F80910">
          <w:rPr>
            <w:rStyle w:val="TextoNormalCaracter"/>
          </w:rPr>
          <w:t>216/2015</w:t>
        </w:r>
      </w:hyperlink>
      <w:r w:rsidRPr="00F80910">
        <w:rPr>
          <w:rStyle w:val="TextoNormalCaracter"/>
        </w:rPr>
        <w:t xml:space="preserve">, ff. 7, 8; </w:t>
      </w:r>
      <w:hyperlink w:anchor="SENTENCIA_2015_224" w:history="1">
        <w:r w:rsidRPr="00F80910">
          <w:rPr>
            <w:rStyle w:val="TextoNormalCaracter"/>
          </w:rPr>
          <w:t>224/2015</w:t>
        </w:r>
      </w:hyperlink>
      <w:r w:rsidRPr="00F80910">
        <w:rPr>
          <w:rStyle w:val="TextoNormalCaracter"/>
        </w:rPr>
        <w:t xml:space="preserve">, f. 2 b); </w:t>
      </w:r>
      <w:hyperlink w:anchor="SENTENCIA_2015_225" w:history="1">
        <w:r w:rsidRPr="00F80910">
          <w:rPr>
            <w:rStyle w:val="TextoNormalCaracter"/>
          </w:rPr>
          <w:t>225/2015</w:t>
        </w:r>
      </w:hyperlink>
      <w:r w:rsidRPr="00F80910">
        <w:rPr>
          <w:rStyle w:val="TextoNormalCaracter"/>
        </w:rPr>
        <w:t xml:space="preserve">, f. 2 b); </w:t>
      </w:r>
      <w:hyperlink w:anchor="SENTENCIA_2015_227" w:history="1">
        <w:r w:rsidRPr="00F80910">
          <w:rPr>
            <w:rStyle w:val="TextoNormalCaracter"/>
          </w:rPr>
          <w:t>227/2015</w:t>
        </w:r>
      </w:hyperlink>
      <w:r w:rsidRPr="00F80910">
        <w:rPr>
          <w:rStyle w:val="TextoNormalCaracter"/>
        </w:rPr>
        <w:t xml:space="preserve">, f. 2 b); </w:t>
      </w:r>
      <w:hyperlink w:anchor="SENTENCIA_2015_228" w:history="1">
        <w:r w:rsidRPr="00F80910">
          <w:rPr>
            <w:rStyle w:val="TextoNormalCaracter"/>
          </w:rPr>
          <w:t>228/2015</w:t>
        </w:r>
      </w:hyperlink>
      <w:r w:rsidRPr="00F80910">
        <w:rPr>
          <w:rStyle w:val="TextoNormalCaracter"/>
        </w:rPr>
        <w:t xml:space="preserve">, f. 2 b); </w:t>
      </w:r>
      <w:hyperlink w:anchor="SENTENCIA_2015_233" w:history="1">
        <w:r w:rsidRPr="00F80910">
          <w:rPr>
            <w:rStyle w:val="TextoNormalCaracter"/>
          </w:rPr>
          <w:t>233/2015</w:t>
        </w:r>
      </w:hyperlink>
      <w:r w:rsidRPr="00F80910">
        <w:rPr>
          <w:rStyle w:val="TextoNormalCaracter"/>
        </w:rPr>
        <w:t xml:space="preserve">, ff. 9, 10, 13; </w:t>
      </w:r>
      <w:hyperlink w:anchor="SENTENCIA_2015_241" w:history="1">
        <w:r w:rsidRPr="00F80910">
          <w:rPr>
            <w:rStyle w:val="TextoNormalCaracter"/>
          </w:rPr>
          <w:t>241/2015</w:t>
        </w:r>
      </w:hyperlink>
      <w:r w:rsidRPr="00F80910">
        <w:rPr>
          <w:rStyle w:val="TextoNormalCaracter"/>
        </w:rPr>
        <w:t xml:space="preserve">, f. 1; </w:t>
      </w:r>
      <w:hyperlink w:anchor="SENTENCIA_2015_243" w:history="1">
        <w:r w:rsidRPr="00F80910">
          <w:rPr>
            <w:rStyle w:val="TextoNormalCaracter"/>
          </w:rPr>
          <w:t>243/2015</w:t>
        </w:r>
      </w:hyperlink>
      <w:r w:rsidRPr="00F80910">
        <w:rPr>
          <w:rStyle w:val="TextoNormalCaracter"/>
        </w:rPr>
        <w:t xml:space="preserve">, f. 5; </w:t>
      </w:r>
      <w:hyperlink w:anchor="SENTENCIA_2015_245" w:history="1">
        <w:r w:rsidRPr="00F80910">
          <w:rPr>
            <w:rStyle w:val="TextoNormalCaracter"/>
          </w:rPr>
          <w:t>245/2015</w:t>
        </w:r>
      </w:hyperlink>
      <w:r w:rsidRPr="00F80910">
        <w:rPr>
          <w:rStyle w:val="TextoNormalCaracter"/>
        </w:rPr>
        <w:t xml:space="preserve">, f. 3; </w:t>
      </w:r>
      <w:hyperlink w:anchor="SENTENCIA_2015_264" w:history="1">
        <w:r w:rsidRPr="00F80910">
          <w:rPr>
            <w:rStyle w:val="TextoNormalCaracter"/>
          </w:rPr>
          <w:t>264/2015</w:t>
        </w:r>
      </w:hyperlink>
      <w:r w:rsidRPr="00F80910">
        <w:rPr>
          <w:rStyle w:val="TextoNormalCaracter"/>
        </w:rPr>
        <w:t xml:space="preserve">, f. 2 b); </w:t>
      </w:r>
      <w:hyperlink w:anchor="SENTENCIA_2015_267" w:history="1">
        <w:r w:rsidRPr="00F80910">
          <w:rPr>
            <w:rStyle w:val="TextoNormalCaracter"/>
          </w:rPr>
          <w:t>267/2015</w:t>
        </w:r>
      </w:hyperlink>
      <w:r w:rsidRPr="00F80910">
        <w:rPr>
          <w:rStyle w:val="TextoNormalCaracter"/>
        </w:rPr>
        <w:t xml:space="preserve">, f. 3; </w:t>
      </w:r>
      <w:hyperlink w:anchor="SENTENCIA_2015_268" w:history="1">
        <w:r w:rsidRPr="00F80910">
          <w:rPr>
            <w:rStyle w:val="TextoNormalCaracter"/>
          </w:rPr>
          <w:t>268/2015</w:t>
        </w:r>
      </w:hyperlink>
      <w:r w:rsidRPr="00F80910">
        <w:rPr>
          <w:rStyle w:val="TextoNormalCaracter"/>
        </w:rPr>
        <w:t xml:space="preserve">, f. 3; </w:t>
      </w:r>
      <w:hyperlink w:anchor="SENTENCIA_2015_270" w:history="1">
        <w:r w:rsidRPr="00F80910">
          <w:rPr>
            <w:rStyle w:val="TextoNormalCaracter"/>
          </w:rPr>
          <w:t>270/2015</w:t>
        </w:r>
      </w:hyperlink>
      <w:r w:rsidRPr="00F80910">
        <w:rPr>
          <w:rStyle w:val="TextoNormalCaracter"/>
        </w:rPr>
        <w:t>, f. 7 c).</w:t>
      </w:r>
    </w:p>
    <w:p w:rsidR="00F80910" w:rsidRPr="00F80910" w:rsidRDefault="00F80910" w:rsidP="00F80910">
      <w:pPr>
        <w:pStyle w:val="TextoNormalSangraFrancesa"/>
        <w:rPr>
          <w:rStyle w:val="TextoNormalCaracter"/>
        </w:rPr>
      </w:pPr>
      <w:r w:rsidRPr="00F80910">
        <w:rPr>
          <w:rStyle w:val="TextoNormalCursivaCaracter"/>
        </w:rPr>
        <w:t xml:space="preserve">    Alcance, </w:t>
      </w:r>
      <w:r w:rsidRPr="00F80910">
        <w:rPr>
          <w:rStyle w:val="TextoNormalCaracter"/>
        </w:rPr>
        <w:t xml:space="preserve">Sentencia </w:t>
      </w:r>
      <w:hyperlink w:anchor="SENTENCIA_2015_261" w:history="1">
        <w:r w:rsidRPr="00F80910">
          <w:rPr>
            <w:rStyle w:val="TextoNormalCaracter"/>
          </w:rPr>
          <w:t>261/2015</w:t>
        </w:r>
      </w:hyperlink>
      <w:r w:rsidRPr="00F80910">
        <w:rPr>
          <w:rStyle w:val="TextoNormalCaracter"/>
        </w:rPr>
        <w:t>, ff. 4, 6.</w:t>
      </w:r>
    </w:p>
    <w:p w:rsidR="00F80910" w:rsidRPr="00F80910" w:rsidRDefault="00F80910" w:rsidP="00F80910">
      <w:pPr>
        <w:pStyle w:val="TextoNormalSangraFrancesa"/>
        <w:rPr>
          <w:rStyle w:val="TextoNormalCaracter"/>
        </w:rPr>
      </w:pPr>
      <w:bookmarkStart w:id="1342" w:name="DESCRIPTORALFABETICO292"/>
      <w:r w:rsidRPr="00F80910">
        <w:rPr>
          <w:rStyle w:val="TextoNormalNegritaCaracter"/>
        </w:rPr>
        <w:t>Principio de jerarquía normativa</w:t>
      </w:r>
      <w:bookmarkEnd w:id="1342"/>
      <w:r w:rsidRPr="00F80910">
        <w:rPr>
          <w:rStyle w:val="TextoNormalCaracter"/>
        </w:rPr>
        <w:t xml:space="preserve">, Sentencia </w:t>
      </w:r>
      <w:hyperlink w:anchor="SENTENCIA_2015_270" w:history="1">
        <w:r w:rsidRPr="00F80910">
          <w:rPr>
            <w:rStyle w:val="TextoNormalCaracter"/>
          </w:rPr>
          <w:t>270/2015</w:t>
        </w:r>
      </w:hyperlink>
      <w:r w:rsidRPr="00F80910">
        <w:rPr>
          <w:rStyle w:val="TextoNormalCaracter"/>
        </w:rPr>
        <w:t>, f. 6, VP.</w:t>
      </w:r>
    </w:p>
    <w:p w:rsidR="00F80910" w:rsidRPr="00F80910" w:rsidRDefault="00F80910" w:rsidP="00F80910">
      <w:pPr>
        <w:pStyle w:val="TextoNormalSangraFrancesa"/>
        <w:rPr>
          <w:rStyle w:val="TextoNormalCaracter"/>
        </w:rPr>
      </w:pPr>
      <w:bookmarkStart w:id="1343" w:name="DESCRIPTORALFABETICO293"/>
      <w:r w:rsidRPr="00F80910">
        <w:rPr>
          <w:rStyle w:val="TextoNormalNegritaCaracter"/>
        </w:rPr>
        <w:t>Principio de lealtad constitucional</w:t>
      </w:r>
      <w:bookmarkEnd w:id="1343"/>
      <w:r w:rsidRPr="00F80910">
        <w:rPr>
          <w:rStyle w:val="TextoNormalCaracter"/>
        </w:rPr>
        <w:t xml:space="preserve">, Sentencia </w:t>
      </w:r>
      <w:hyperlink w:anchor="SENTENCIA_2015_259" w:history="1">
        <w:r w:rsidRPr="00F80910">
          <w:rPr>
            <w:rStyle w:val="TextoNormalCaracter"/>
          </w:rPr>
          <w:t>259/2015</w:t>
        </w:r>
      </w:hyperlink>
      <w:r w:rsidRPr="00F80910">
        <w:rPr>
          <w:rStyle w:val="TextoNormalCaracter"/>
        </w:rPr>
        <w:t>, f. 3.</w:t>
      </w:r>
    </w:p>
    <w:p w:rsidR="00F80910" w:rsidRPr="00F80910" w:rsidRDefault="00F80910" w:rsidP="00F80910">
      <w:pPr>
        <w:pStyle w:val="TextoNormalSangraFrancesa"/>
        <w:rPr>
          <w:rStyle w:val="TextoNormalCaracter"/>
        </w:rPr>
      </w:pPr>
      <w:bookmarkStart w:id="1344" w:name="DESCRIPTORALFABETICO294"/>
      <w:r w:rsidRPr="00F80910">
        <w:rPr>
          <w:rStyle w:val="TextoNormalNegritaCaracter"/>
        </w:rPr>
        <w:t>Principio de legalidad</w:t>
      </w:r>
      <w:bookmarkEnd w:id="1344"/>
      <w:r w:rsidRPr="00F80910">
        <w:rPr>
          <w:rStyle w:val="TextoNormalCaracter"/>
        </w:rPr>
        <w:t xml:space="preserve">, Sentencia </w:t>
      </w:r>
      <w:hyperlink w:anchor="SENTENCIA_2015_259" w:history="1">
        <w:r w:rsidRPr="00F80910">
          <w:rPr>
            <w:rStyle w:val="TextoNormalCaracter"/>
          </w:rPr>
          <w:t>259/2015</w:t>
        </w:r>
      </w:hyperlink>
      <w:r w:rsidRPr="00F80910">
        <w:rPr>
          <w:rStyle w:val="TextoNormalCaracter"/>
        </w:rPr>
        <w:t>, f. 5.</w:t>
      </w:r>
    </w:p>
    <w:p w:rsidR="00F80910" w:rsidRPr="00F80910" w:rsidRDefault="00F80910" w:rsidP="00F80910">
      <w:pPr>
        <w:pStyle w:val="TextoNormalSangraFrancesa"/>
        <w:rPr>
          <w:rStyle w:val="TextoNormalCaracter"/>
        </w:rPr>
      </w:pPr>
      <w:bookmarkStart w:id="1345" w:name="DESCRIPTORALFABETICO295"/>
      <w:r w:rsidRPr="00F80910">
        <w:rPr>
          <w:rStyle w:val="TextoNormalNegritaCaracter"/>
        </w:rPr>
        <w:t>Principio de legalidad administrativa</w:t>
      </w:r>
      <w:bookmarkEnd w:id="1345"/>
      <w:r w:rsidRPr="00F80910">
        <w:rPr>
          <w:rStyle w:val="TextoNormalCaracter"/>
        </w:rPr>
        <w:t xml:space="preserve">, Sentencias </w:t>
      </w:r>
      <w:hyperlink w:anchor="SENTENCIA_2015_233" w:history="1">
        <w:r w:rsidRPr="00F80910">
          <w:rPr>
            <w:rStyle w:val="TextoNormalCaracter"/>
          </w:rPr>
          <w:t>233/2015</w:t>
        </w:r>
      </w:hyperlink>
      <w:r w:rsidRPr="00F80910">
        <w:rPr>
          <w:rStyle w:val="TextoNormalCaracter"/>
        </w:rPr>
        <w:t xml:space="preserve">, f. 15; </w:t>
      </w:r>
      <w:hyperlink w:anchor="SENTENCIA_2015_236" w:history="1">
        <w:r w:rsidRPr="00F80910">
          <w:rPr>
            <w:rStyle w:val="TextoNormalCaracter"/>
          </w:rPr>
          <w:t>236/2015</w:t>
        </w:r>
      </w:hyperlink>
      <w:r w:rsidRPr="00F80910">
        <w:rPr>
          <w:rStyle w:val="TextoNormalCaracter"/>
        </w:rPr>
        <w:t>, f. 4, VP.</w:t>
      </w:r>
    </w:p>
    <w:p w:rsidR="00F80910" w:rsidRPr="00F80910" w:rsidRDefault="00F80910" w:rsidP="00F80910">
      <w:pPr>
        <w:pStyle w:val="TextoNormalSangraFrancesa"/>
        <w:rPr>
          <w:rStyle w:val="TextoNormalCaracter"/>
        </w:rPr>
      </w:pPr>
      <w:bookmarkStart w:id="1346" w:name="DESCRIPTORALFABETICO296"/>
      <w:r w:rsidRPr="00F80910">
        <w:rPr>
          <w:rStyle w:val="TextoNormalNegritaCaracter"/>
        </w:rPr>
        <w:t>Principio de legalidad sancionadora</w:t>
      </w:r>
      <w:bookmarkEnd w:id="1346"/>
      <w:r w:rsidRPr="00F80910">
        <w:rPr>
          <w:rStyle w:val="TextoNormalCaracter"/>
        </w:rPr>
        <w:t xml:space="preserve">, Sentencia </w:t>
      </w:r>
      <w:hyperlink w:anchor="SENTENCIA_2015_150" w:history="1">
        <w:r w:rsidRPr="00F80910">
          <w:rPr>
            <w:rStyle w:val="TextoNormalCaracter"/>
          </w:rPr>
          <w:t>150/2015</w:t>
        </w:r>
      </w:hyperlink>
      <w:r w:rsidRPr="00F80910">
        <w:rPr>
          <w:rStyle w:val="TextoNormalCaracter"/>
        </w:rPr>
        <w:t>, ff. 2, 3.</w:t>
      </w:r>
    </w:p>
    <w:p w:rsidR="00F80910" w:rsidRPr="00F80910" w:rsidRDefault="00F80910" w:rsidP="00F80910">
      <w:pPr>
        <w:pStyle w:val="TextoNormalSangraFrancesa"/>
        <w:rPr>
          <w:rStyle w:val="TextoNormalCaracter"/>
        </w:rPr>
      </w:pPr>
      <w:bookmarkStart w:id="1347" w:name="DESCRIPTORALFABETICO417"/>
      <w:r w:rsidRPr="00F80910">
        <w:rPr>
          <w:rStyle w:val="TextoNormalNegritaCaracter"/>
        </w:rPr>
        <w:t>Principio de no regresión</w:t>
      </w:r>
      <w:bookmarkEnd w:id="1347"/>
      <w:r w:rsidRPr="00F80910">
        <w:rPr>
          <w:rStyle w:val="TextoNormalCaracter"/>
        </w:rPr>
        <w:t xml:space="preserve">, Sentencia </w:t>
      </w:r>
      <w:hyperlink w:anchor="SENTENCIA_2015_233" w:history="1">
        <w:r w:rsidRPr="00F80910">
          <w:rPr>
            <w:rStyle w:val="TextoNormalCaracter"/>
          </w:rPr>
          <w:t>233/2015</w:t>
        </w:r>
      </w:hyperlink>
      <w:r w:rsidRPr="00F80910">
        <w:rPr>
          <w:rStyle w:val="TextoNormalCaracter"/>
        </w:rPr>
        <w:t>, ff. 2 a 5.</w:t>
      </w:r>
    </w:p>
    <w:p w:rsidR="00F80910" w:rsidRPr="00F80910" w:rsidRDefault="00F80910" w:rsidP="00F80910">
      <w:pPr>
        <w:pStyle w:val="TextoNormalSangraFrancesa"/>
        <w:rPr>
          <w:rStyle w:val="TextoNormalCaracter"/>
        </w:rPr>
      </w:pPr>
      <w:bookmarkStart w:id="1348" w:name="DESCRIPTORALFABETICO14"/>
      <w:r w:rsidRPr="00F80910">
        <w:rPr>
          <w:rStyle w:val="TextoNormalNegritaCaracter"/>
        </w:rPr>
        <w:t>Principio de no vaciamiento de competencias autonómicas</w:t>
      </w:r>
      <w:bookmarkEnd w:id="1348"/>
      <w:r w:rsidRPr="00F80910">
        <w:rPr>
          <w:rStyle w:val="TextoNormalCaracter"/>
        </w:rPr>
        <w:t xml:space="preserve">, Sentencias </w:t>
      </w:r>
      <w:hyperlink w:anchor="SENTENCIA_2015_214" w:history="1">
        <w:r w:rsidRPr="00F80910">
          <w:rPr>
            <w:rStyle w:val="TextoNormalCaracter"/>
          </w:rPr>
          <w:t>214/2015</w:t>
        </w:r>
      </w:hyperlink>
      <w:r w:rsidRPr="00F80910">
        <w:rPr>
          <w:rStyle w:val="TextoNormalCaracter"/>
        </w:rPr>
        <w:t xml:space="preserve">, f. 4; </w:t>
      </w:r>
      <w:hyperlink w:anchor="SENTENCIA_2015_235" w:history="1">
        <w:r w:rsidRPr="00F80910">
          <w:rPr>
            <w:rStyle w:val="TextoNormalCaracter"/>
          </w:rPr>
          <w:t>235/2015</w:t>
        </w:r>
      </w:hyperlink>
      <w:r w:rsidRPr="00F80910">
        <w:rPr>
          <w:rStyle w:val="TextoNormalCaracter"/>
        </w:rPr>
        <w:t>, f. 4.</w:t>
      </w:r>
    </w:p>
    <w:p w:rsidR="00F80910" w:rsidRPr="00F80910" w:rsidRDefault="00F80910" w:rsidP="00F80910">
      <w:pPr>
        <w:pStyle w:val="TextoNormalSangraFrancesa"/>
        <w:rPr>
          <w:rStyle w:val="TextoNormalCaracter"/>
        </w:rPr>
      </w:pPr>
      <w:bookmarkStart w:id="1349" w:name="DESCRIPTORALFABETICO298"/>
      <w:r w:rsidRPr="00F80910">
        <w:rPr>
          <w:rStyle w:val="TextoNormalNegritaCaracter"/>
        </w:rPr>
        <w:t>Principio de proporcionalidad</w:t>
      </w:r>
      <w:bookmarkEnd w:id="1349"/>
      <w:r w:rsidRPr="00F80910">
        <w:rPr>
          <w:rStyle w:val="TextoNormalCaracter"/>
        </w:rPr>
        <w:t xml:space="preserve">, Sentencia </w:t>
      </w:r>
      <w:hyperlink w:anchor="SENTENCIA_2015_177" w:history="1">
        <w:r w:rsidRPr="00F80910">
          <w:rPr>
            <w:rStyle w:val="TextoNormalCaracter"/>
          </w:rPr>
          <w:t>177/2015</w:t>
        </w:r>
      </w:hyperlink>
      <w:r w:rsidRPr="00F80910">
        <w:rPr>
          <w:rStyle w:val="TextoNormalCaracter"/>
        </w:rPr>
        <w:t>, VP III.</w:t>
      </w:r>
    </w:p>
    <w:p w:rsidR="00F80910" w:rsidRPr="00F80910" w:rsidRDefault="00F80910" w:rsidP="00F80910">
      <w:pPr>
        <w:pStyle w:val="TextoNormalSangraFrancesa"/>
        <w:rPr>
          <w:rStyle w:val="TextoNormalCaracter"/>
        </w:rPr>
      </w:pPr>
      <w:bookmarkStart w:id="1350" w:name="DESCRIPTORALFABETICO300"/>
      <w:r w:rsidRPr="00F80910">
        <w:rPr>
          <w:rStyle w:val="TextoNormalNegritaCaracter"/>
        </w:rPr>
        <w:t>Principio de proporcionalidad de las penas</w:t>
      </w:r>
      <w:bookmarkEnd w:id="1350"/>
      <w:r w:rsidRPr="00F80910">
        <w:rPr>
          <w:rStyle w:val="TextoNormalCaracter"/>
        </w:rPr>
        <w:t xml:space="preserve">, Sentencia </w:t>
      </w:r>
      <w:hyperlink w:anchor="SENTENCIA_2015_177" w:history="1">
        <w:r w:rsidRPr="00F80910">
          <w:rPr>
            <w:rStyle w:val="TextoNormalCaracter"/>
          </w:rPr>
          <w:t>177/2015</w:t>
        </w:r>
      </w:hyperlink>
      <w:r w:rsidRPr="00F80910">
        <w:rPr>
          <w:rStyle w:val="TextoNormalCaracter"/>
        </w:rPr>
        <w:t>, f. 5, VP III.</w:t>
      </w:r>
    </w:p>
    <w:p w:rsidR="00F80910" w:rsidRPr="00F80910" w:rsidRDefault="00F80910" w:rsidP="00F80910">
      <w:pPr>
        <w:pStyle w:val="TextoNormalSangraFrancesa"/>
        <w:rPr>
          <w:rStyle w:val="TextoNormalCaracter"/>
        </w:rPr>
      </w:pPr>
      <w:bookmarkStart w:id="1351" w:name="DESCRIPTORALFABETICO301"/>
      <w:r w:rsidRPr="00F80910">
        <w:rPr>
          <w:rStyle w:val="TextoNormalNegritaCaracter"/>
        </w:rPr>
        <w:t>Principio de seguridad jurídica</w:t>
      </w:r>
      <w:bookmarkEnd w:id="1351"/>
      <w:r w:rsidRPr="00F80910">
        <w:rPr>
          <w:rStyle w:val="TextoNormalCaracter"/>
        </w:rPr>
        <w:t xml:space="preserve">, Sentencias </w:t>
      </w:r>
      <w:hyperlink w:anchor="SENTENCIA_2015_158" w:history="1">
        <w:r w:rsidRPr="00F80910">
          <w:rPr>
            <w:rStyle w:val="TextoNormalCaracter"/>
          </w:rPr>
          <w:t>158/2015</w:t>
        </w:r>
      </w:hyperlink>
      <w:r w:rsidRPr="00F80910">
        <w:rPr>
          <w:rStyle w:val="TextoNormalCaracter"/>
        </w:rPr>
        <w:t xml:space="preserve">, f. 5; </w:t>
      </w:r>
      <w:hyperlink w:anchor="SENTENCIA_2015_216" w:history="1">
        <w:r w:rsidRPr="00F80910">
          <w:rPr>
            <w:rStyle w:val="TextoNormalCaracter"/>
          </w:rPr>
          <w:t>216/2015</w:t>
        </w:r>
      </w:hyperlink>
      <w:r w:rsidRPr="00F80910">
        <w:rPr>
          <w:rStyle w:val="TextoNormalCaracter"/>
        </w:rPr>
        <w:t xml:space="preserve">, VP; </w:t>
      </w:r>
      <w:hyperlink w:anchor="SENTENCIA_2015_233" w:history="1">
        <w:r w:rsidRPr="00F80910">
          <w:rPr>
            <w:rStyle w:val="TextoNormalCaracter"/>
          </w:rPr>
          <w:t>233/2015</w:t>
        </w:r>
      </w:hyperlink>
      <w:r w:rsidRPr="00F80910">
        <w:rPr>
          <w:rStyle w:val="TextoNormalCaracter"/>
        </w:rPr>
        <w:t xml:space="preserve">, ff. 2, 3, 6, 9, 10, 16; </w:t>
      </w:r>
      <w:hyperlink w:anchor="SENTENCIA_2015_236" w:history="1">
        <w:r w:rsidRPr="00F80910">
          <w:rPr>
            <w:rStyle w:val="TextoNormalCaracter"/>
          </w:rPr>
          <w:t>236/2015</w:t>
        </w:r>
      </w:hyperlink>
      <w:r w:rsidRPr="00F80910">
        <w:rPr>
          <w:rStyle w:val="TextoNormalCaracter"/>
        </w:rPr>
        <w:t xml:space="preserve">, f. 4; </w:t>
      </w:r>
      <w:hyperlink w:anchor="SENTENCIA_2015_267" w:history="1">
        <w:r w:rsidRPr="00F80910">
          <w:rPr>
            <w:rStyle w:val="TextoNormalCaracter"/>
          </w:rPr>
          <w:t>267/2015</w:t>
        </w:r>
      </w:hyperlink>
      <w:r w:rsidRPr="00F80910">
        <w:rPr>
          <w:rStyle w:val="TextoNormalCaracter"/>
        </w:rPr>
        <w:t>, VP.</w:t>
      </w:r>
    </w:p>
    <w:p w:rsidR="00F80910" w:rsidRPr="00F80910" w:rsidRDefault="00F80910" w:rsidP="00F80910">
      <w:pPr>
        <w:pStyle w:val="TextoNormalSangraFrancesa"/>
        <w:rPr>
          <w:rStyle w:val="TextoNormalCaracter"/>
        </w:rPr>
      </w:pPr>
      <w:bookmarkStart w:id="1352" w:name="DESCRIPTORALFABETICO303"/>
      <w:r w:rsidRPr="00F80910">
        <w:rPr>
          <w:rStyle w:val="TextoNormalNegritaCaracter"/>
        </w:rPr>
        <w:t>Principio de solidaridad</w:t>
      </w:r>
      <w:bookmarkEnd w:id="1352"/>
      <w:r w:rsidRPr="00F80910">
        <w:rPr>
          <w:rStyle w:val="TextoNormalCaracter"/>
        </w:rPr>
        <w:t xml:space="preserve">, Sentencia </w:t>
      </w:r>
      <w:hyperlink w:anchor="SENTENCIA_2015_215" w:history="1">
        <w:r w:rsidRPr="00F80910">
          <w:rPr>
            <w:rStyle w:val="TextoNormalCaracter"/>
          </w:rPr>
          <w:t>215/2015</w:t>
        </w:r>
      </w:hyperlink>
      <w:r w:rsidRPr="00F80910">
        <w:rPr>
          <w:rStyle w:val="TextoNormalCaracter"/>
        </w:rPr>
        <w:t>, f. 7.</w:t>
      </w:r>
    </w:p>
    <w:p w:rsidR="00F80910" w:rsidRPr="00F80910" w:rsidRDefault="00F80910" w:rsidP="00F80910">
      <w:pPr>
        <w:pStyle w:val="TextoNormalSangraFrancesa"/>
        <w:rPr>
          <w:rStyle w:val="TextoNormalCaracter"/>
        </w:rPr>
      </w:pPr>
      <w:bookmarkStart w:id="1353" w:name="DESCRIPTORALFABETICO16"/>
      <w:r w:rsidRPr="00F80910">
        <w:rPr>
          <w:rStyle w:val="TextoNormalNegritaCaracter"/>
        </w:rPr>
        <w:t>Principio de territorialidad</w:t>
      </w:r>
      <w:bookmarkEnd w:id="1353"/>
      <w:r w:rsidRPr="00F80910">
        <w:rPr>
          <w:rStyle w:val="TextoNormalCaracter"/>
        </w:rPr>
        <w:t xml:space="preserve">, Sentencia </w:t>
      </w:r>
      <w:hyperlink w:anchor="SENTENCIA_2015_185" w:history="1">
        <w:r w:rsidRPr="00F80910">
          <w:rPr>
            <w:rStyle w:val="TextoNormalCaracter"/>
          </w:rPr>
          <w:t>185/2015</w:t>
        </w:r>
      </w:hyperlink>
      <w:r w:rsidRPr="00F80910">
        <w:rPr>
          <w:rStyle w:val="TextoNormalCaracter"/>
        </w:rPr>
        <w:t>, f. 6.</w:t>
      </w:r>
    </w:p>
    <w:p w:rsidR="00F80910" w:rsidRPr="00F80910" w:rsidRDefault="00F80910" w:rsidP="00F80910">
      <w:pPr>
        <w:pStyle w:val="TextoNormalSangraFrancesa"/>
        <w:rPr>
          <w:rStyle w:val="TextoNormalCaracter"/>
        </w:rPr>
      </w:pPr>
      <w:bookmarkStart w:id="1354" w:name="DESCRIPTORALFABETICO304"/>
      <w:r w:rsidRPr="00F80910">
        <w:rPr>
          <w:rStyle w:val="TextoNormalNegritaCaracter"/>
        </w:rPr>
        <w:t>Principio de tipicidad</w:t>
      </w:r>
      <w:bookmarkEnd w:id="1354"/>
      <w:r w:rsidRPr="00F80910">
        <w:rPr>
          <w:rStyle w:val="TextoNormalCaracter"/>
        </w:rPr>
        <w:t xml:space="preserve">, Sentencia </w:t>
      </w:r>
      <w:hyperlink w:anchor="SENTENCIA_2015_169" w:history="1">
        <w:r w:rsidRPr="00F80910">
          <w:rPr>
            <w:rStyle w:val="TextoNormalCaracter"/>
          </w:rPr>
          <w:t>169/2015</w:t>
        </w:r>
      </w:hyperlink>
      <w:r w:rsidRPr="00F80910">
        <w:rPr>
          <w:rStyle w:val="TextoNormalCaracter"/>
        </w:rPr>
        <w:t>, ff. 5, 6.</w:t>
      </w:r>
    </w:p>
    <w:p w:rsidR="00F80910" w:rsidRPr="00F80910" w:rsidRDefault="00F80910" w:rsidP="00F80910">
      <w:pPr>
        <w:pStyle w:val="TextoNormalSangraFrancesa"/>
        <w:rPr>
          <w:rStyle w:val="TextoNormalCaracter"/>
        </w:rPr>
      </w:pPr>
      <w:bookmarkStart w:id="1355" w:name="DESCRIPTORALFABETICO305"/>
      <w:r w:rsidRPr="00F80910">
        <w:rPr>
          <w:rStyle w:val="TextoNormalNegritaCaracter"/>
        </w:rPr>
        <w:t>Principio de unidad de la nación española</w:t>
      </w:r>
      <w:bookmarkEnd w:id="1355"/>
      <w:r w:rsidRPr="00F80910">
        <w:rPr>
          <w:rStyle w:val="TextoNormalCaracter"/>
        </w:rPr>
        <w:t xml:space="preserve">, Sentencia </w:t>
      </w:r>
      <w:hyperlink w:anchor="SENTENCIA_2015_259" w:history="1">
        <w:r w:rsidRPr="00F80910">
          <w:rPr>
            <w:rStyle w:val="TextoNormalCaracter"/>
          </w:rPr>
          <w:t>259/2015</w:t>
        </w:r>
      </w:hyperlink>
      <w:r w:rsidRPr="00F80910">
        <w:rPr>
          <w:rStyle w:val="TextoNormalCaracter"/>
        </w:rPr>
        <w:t>, ff. 3, 4, 6.</w:t>
      </w:r>
    </w:p>
    <w:p w:rsidR="00F80910" w:rsidRPr="00F80910" w:rsidRDefault="00F80910" w:rsidP="00F80910">
      <w:pPr>
        <w:pStyle w:val="TextoNormalSangraFrancesa"/>
        <w:rPr>
          <w:rStyle w:val="TextoNormalCaracter"/>
        </w:rPr>
      </w:pPr>
      <w:bookmarkStart w:id="1356" w:name="DESCRIPTORALFABETICO307"/>
      <w:r w:rsidRPr="00F80910">
        <w:rPr>
          <w:rStyle w:val="TextoNormalNegritaCaracter"/>
        </w:rPr>
        <w:t>Principio democrático</w:t>
      </w:r>
      <w:bookmarkEnd w:id="1356"/>
      <w:r w:rsidRPr="00F80910">
        <w:rPr>
          <w:rStyle w:val="TextoNormalCaracter"/>
        </w:rPr>
        <w:t xml:space="preserve">, Sentencia </w:t>
      </w:r>
      <w:hyperlink w:anchor="SENTENCIA_2015_259" w:history="1">
        <w:r w:rsidRPr="00F80910">
          <w:rPr>
            <w:rStyle w:val="TextoNormalCaracter"/>
          </w:rPr>
          <w:t>259/2015</w:t>
        </w:r>
      </w:hyperlink>
      <w:r w:rsidRPr="00F80910">
        <w:rPr>
          <w:rStyle w:val="TextoNormalCaracter"/>
        </w:rPr>
        <w:t>, ff. 4 b), 5.</w:t>
      </w:r>
    </w:p>
    <w:p w:rsidR="00F80910" w:rsidRPr="00F80910" w:rsidRDefault="00F80910" w:rsidP="00F80910">
      <w:pPr>
        <w:pStyle w:val="TextoNormalSangraFrancesa"/>
        <w:rPr>
          <w:rStyle w:val="TextoNormalCaracter"/>
        </w:rPr>
      </w:pPr>
      <w:bookmarkStart w:id="1357" w:name="DESCRIPTORALFABETICO566"/>
      <w:r w:rsidRPr="00F80910">
        <w:rPr>
          <w:rStyle w:val="TextoNormalNegritaCaracter"/>
        </w:rPr>
        <w:t xml:space="preserve">Principio </w:t>
      </w:r>
      <w:r w:rsidRPr="00F80910">
        <w:rPr>
          <w:rStyle w:val="TextoNormalNegritaCaracter"/>
          <w:i/>
        </w:rPr>
        <w:t>pro actione</w:t>
      </w:r>
      <w:bookmarkEnd w:id="1357"/>
      <w:r w:rsidRPr="00F80910">
        <w:rPr>
          <w:rStyle w:val="TextoNormalCaracter"/>
        </w:rPr>
        <w:t xml:space="preserve">, Sentencias </w:t>
      </w:r>
      <w:hyperlink w:anchor="SENTENCIA_2015_186" w:history="1">
        <w:r w:rsidRPr="00F80910">
          <w:rPr>
            <w:rStyle w:val="TextoNormalCaracter"/>
          </w:rPr>
          <w:t>186/2015</w:t>
        </w:r>
      </w:hyperlink>
      <w:r w:rsidRPr="00F80910">
        <w:rPr>
          <w:rStyle w:val="TextoNormalCaracter"/>
        </w:rPr>
        <w:t xml:space="preserve">, f. 3; </w:t>
      </w:r>
      <w:hyperlink w:anchor="SENTENCIA_2015_194" w:history="1">
        <w:r w:rsidRPr="00F80910">
          <w:rPr>
            <w:rStyle w:val="TextoNormalCaracter"/>
          </w:rPr>
          <w:t>194/2015</w:t>
        </w:r>
      </w:hyperlink>
      <w:r w:rsidRPr="00F80910">
        <w:rPr>
          <w:rStyle w:val="TextoNormalCaracter"/>
        </w:rPr>
        <w:t>, ff. 5, 6.</w:t>
      </w:r>
    </w:p>
    <w:p w:rsidR="00F80910" w:rsidRPr="00F80910" w:rsidRDefault="00F80910" w:rsidP="00F80910">
      <w:pPr>
        <w:pStyle w:val="TextoNormalSangraFrancesa"/>
        <w:rPr>
          <w:rStyle w:val="TextoNormalCaracter"/>
        </w:rPr>
      </w:pPr>
      <w:bookmarkStart w:id="1358" w:name="DESCRIPTORALFABETICO262"/>
      <w:r w:rsidRPr="00F80910">
        <w:rPr>
          <w:rStyle w:val="TextoNormalNegritaCaracter"/>
        </w:rPr>
        <w:t>Principios administrativos</w:t>
      </w:r>
      <w:bookmarkEnd w:id="1358"/>
      <w:r w:rsidRPr="00F80910">
        <w:rPr>
          <w:rStyle w:val="TextoNormalCaracter"/>
        </w:rPr>
        <w:t xml:space="preserve">, Sentencia </w:t>
      </w:r>
      <w:hyperlink w:anchor="SENTENCIA_2015_236" w:history="1">
        <w:r w:rsidRPr="00F80910">
          <w:rPr>
            <w:rStyle w:val="TextoNormalCaracter"/>
          </w:rPr>
          <w:t>236/2015</w:t>
        </w:r>
      </w:hyperlink>
      <w:r w:rsidRPr="00F80910">
        <w:rPr>
          <w:rStyle w:val="TextoNormalCaracter"/>
        </w:rPr>
        <w:t>, f. 4.</w:t>
      </w:r>
    </w:p>
    <w:p w:rsidR="00F80910" w:rsidRPr="00F80910" w:rsidRDefault="00F80910" w:rsidP="00F80910">
      <w:pPr>
        <w:pStyle w:val="TextoNormalSangraFrancesa"/>
        <w:rPr>
          <w:rStyle w:val="TextoNormalCaracter"/>
        </w:rPr>
      </w:pPr>
      <w:bookmarkStart w:id="1359" w:name="DESCRIPTORALFABETICO267"/>
      <w:r w:rsidRPr="00F80910">
        <w:rPr>
          <w:rStyle w:val="TextoNormalNegritaCaracter"/>
        </w:rPr>
        <w:t>Principios de mérito y capacidad</w:t>
      </w:r>
      <w:bookmarkEnd w:id="1359"/>
      <w:r w:rsidRPr="00F80910">
        <w:rPr>
          <w:rStyle w:val="TextoNormalCaracter"/>
        </w:rPr>
        <w:t xml:space="preserve">, Sentencia </w:t>
      </w:r>
      <w:hyperlink w:anchor="SENTENCIA_2015_176" w:history="1">
        <w:r w:rsidRPr="00F80910">
          <w:rPr>
            <w:rStyle w:val="TextoNormalCaracter"/>
          </w:rPr>
          <w:t>176/2015</w:t>
        </w:r>
      </w:hyperlink>
      <w:r w:rsidRPr="00F80910">
        <w:rPr>
          <w:rStyle w:val="TextoNormalCaracter"/>
        </w:rPr>
        <w:t>, f. 2.</w:t>
      </w:r>
    </w:p>
    <w:p w:rsidR="00F80910" w:rsidRPr="00F80910" w:rsidRDefault="00F80910" w:rsidP="00F80910">
      <w:pPr>
        <w:pStyle w:val="TextoNormalSangraFrancesa"/>
        <w:rPr>
          <w:rStyle w:val="TextoNormalCaracter"/>
        </w:rPr>
      </w:pPr>
      <w:bookmarkStart w:id="1360" w:name="DESCRIPTORALFABETICO92"/>
      <w:r w:rsidRPr="00F80910">
        <w:rPr>
          <w:rStyle w:val="TextoNormalNegritaCaracter"/>
        </w:rPr>
        <w:t>Privación de libertad</w:t>
      </w:r>
      <w:bookmarkEnd w:id="1360"/>
      <w:r w:rsidRPr="00F80910">
        <w:rPr>
          <w:rStyle w:val="TextoNormalCaracter"/>
        </w:rPr>
        <w:t xml:space="preserve">, Sentencia </w:t>
      </w:r>
      <w:hyperlink w:anchor="SENTENCIA_2015_204" w:history="1">
        <w:r w:rsidRPr="00F80910">
          <w:rPr>
            <w:rStyle w:val="TextoNormalCaracter"/>
          </w:rPr>
          <w:t>204/2015</w:t>
        </w:r>
      </w:hyperlink>
      <w:r w:rsidRPr="00F80910">
        <w:rPr>
          <w:rStyle w:val="TextoNormalCaracter"/>
        </w:rPr>
        <w:t>, f. 3.</w:t>
      </w:r>
    </w:p>
    <w:p w:rsidR="00F80910" w:rsidRPr="00F80910" w:rsidRDefault="00F80910" w:rsidP="00F80910">
      <w:pPr>
        <w:pStyle w:val="TextoNormalSangraFrancesa"/>
        <w:rPr>
          <w:rStyle w:val="TextoNormalCaracter"/>
        </w:rPr>
      </w:pPr>
      <w:bookmarkStart w:id="1361" w:name="DESCRIPTORALFABETICO545"/>
      <w:r w:rsidRPr="00F80910">
        <w:rPr>
          <w:rStyle w:val="TextoNormalNegritaCaracter"/>
        </w:rPr>
        <w:t>Privación del derecho a formular alegaciones</w:t>
      </w:r>
      <w:bookmarkEnd w:id="1361"/>
      <w:r w:rsidRPr="00F80910">
        <w:rPr>
          <w:rStyle w:val="TextoNormalCaracter"/>
        </w:rPr>
        <w:t xml:space="preserve">, Sentencia </w:t>
      </w:r>
      <w:hyperlink w:anchor="SENTENCIA_2015_265" w:history="1">
        <w:r w:rsidRPr="00F80910">
          <w:rPr>
            <w:rStyle w:val="TextoNormalCaracter"/>
          </w:rPr>
          <w:t>265/2015</w:t>
        </w:r>
      </w:hyperlink>
      <w:r w:rsidRPr="00F80910">
        <w:rPr>
          <w:rStyle w:val="TextoNormalCaracter"/>
        </w:rPr>
        <w:t>, f. 2.</w:t>
      </w:r>
    </w:p>
    <w:p w:rsidR="00F80910" w:rsidRPr="00F80910" w:rsidRDefault="00F80910" w:rsidP="00F80910">
      <w:pPr>
        <w:pStyle w:val="TextoNormalSangraFrancesa"/>
        <w:rPr>
          <w:rStyle w:val="TextoNormalCaracter"/>
        </w:rPr>
      </w:pPr>
      <w:bookmarkStart w:id="1362" w:name="DESCRIPTORALFABETICO357"/>
      <w:r w:rsidRPr="00F80910">
        <w:rPr>
          <w:rStyle w:val="TextoNormalNegritaCaracter"/>
        </w:rPr>
        <w:t>Procedimiento administrativo disciplinario</w:t>
      </w:r>
      <w:bookmarkEnd w:id="1362"/>
      <w:r w:rsidRPr="00F80910">
        <w:rPr>
          <w:rStyle w:val="TextoNormalCaracter"/>
        </w:rPr>
        <w:t xml:space="preserve">, Sentencia </w:t>
      </w:r>
      <w:hyperlink w:anchor="SENTENCIA_2015_187" w:history="1">
        <w:r w:rsidRPr="00F80910">
          <w:rPr>
            <w:rStyle w:val="TextoNormalCaracter"/>
          </w:rPr>
          <w:t>187/2015</w:t>
        </w:r>
      </w:hyperlink>
      <w:r w:rsidRPr="00F80910">
        <w:rPr>
          <w:rStyle w:val="TextoNormalCaracter"/>
        </w:rPr>
        <w:t>, ff. 2 a 5.</w:t>
      </w:r>
    </w:p>
    <w:p w:rsidR="00F80910" w:rsidRPr="00F80910" w:rsidRDefault="00F80910" w:rsidP="00F80910">
      <w:pPr>
        <w:pStyle w:val="TextoNormalSangraFrancesa"/>
        <w:rPr>
          <w:rStyle w:val="TextoNormalCaracter"/>
        </w:rPr>
      </w:pPr>
      <w:bookmarkStart w:id="1363" w:name="DESCRIPTORALFABETICO486"/>
      <w:r w:rsidRPr="00F80910">
        <w:rPr>
          <w:rStyle w:val="TextoNormalNegritaCaracter"/>
        </w:rPr>
        <w:t>Procedimiento concursal</w:t>
      </w:r>
      <w:bookmarkEnd w:id="1363"/>
      <w:r w:rsidRPr="00F80910">
        <w:rPr>
          <w:rStyle w:val="TextoNormalCaracter"/>
        </w:rPr>
        <w:t xml:space="preserve">, Sentencia </w:t>
      </w:r>
      <w:hyperlink w:anchor="SENTENCIA_2015_265" w:history="1">
        <w:r w:rsidRPr="00F80910">
          <w:rPr>
            <w:rStyle w:val="TextoNormalCaracter"/>
          </w:rPr>
          <w:t>265/2015</w:t>
        </w:r>
      </w:hyperlink>
      <w:r w:rsidRPr="00F80910">
        <w:rPr>
          <w:rStyle w:val="TextoNormalCaracter"/>
        </w:rPr>
        <w:t>, f. 2.</w:t>
      </w:r>
    </w:p>
    <w:p w:rsidR="00F80910" w:rsidRPr="00F80910" w:rsidRDefault="00F80910" w:rsidP="00F80910">
      <w:pPr>
        <w:pStyle w:val="TextoNormalSangraFrancesa"/>
        <w:rPr>
          <w:rStyle w:val="TextoNormalCaracter"/>
        </w:rPr>
      </w:pPr>
      <w:bookmarkStart w:id="1364" w:name="DESCRIPTORALFABETICO580"/>
      <w:r w:rsidRPr="00F80910">
        <w:rPr>
          <w:rStyle w:val="TextoNormalNegritaCaracter"/>
        </w:rPr>
        <w:t>Procedimiento de adopción</w:t>
      </w:r>
      <w:bookmarkEnd w:id="1364"/>
      <w:r w:rsidRPr="00F80910">
        <w:rPr>
          <w:rStyle w:val="TextoNormalCaracter"/>
        </w:rPr>
        <w:t xml:space="preserve">, Auto </w:t>
      </w:r>
      <w:hyperlink w:anchor="AUTO_2015_179" w:history="1">
        <w:r w:rsidRPr="00F80910">
          <w:rPr>
            <w:rStyle w:val="TextoNormalCaracter"/>
          </w:rPr>
          <w:t>179/2015</w:t>
        </w:r>
      </w:hyperlink>
      <w:r w:rsidRPr="00F80910">
        <w:rPr>
          <w:rStyle w:val="TextoNormalCaracter"/>
        </w:rPr>
        <w:t>, f. 3, 5.</w:t>
      </w:r>
    </w:p>
    <w:p w:rsidR="00F80910" w:rsidRPr="00F80910" w:rsidRDefault="00F80910" w:rsidP="00F80910">
      <w:pPr>
        <w:pStyle w:val="TextoNormalSangraFrancesa"/>
        <w:rPr>
          <w:rStyle w:val="TextoNormalCaracter"/>
        </w:rPr>
      </w:pPr>
      <w:bookmarkStart w:id="1365" w:name="DESCRIPTORALFABETICO309"/>
      <w:r w:rsidRPr="00F80910">
        <w:rPr>
          <w:rStyle w:val="TextoNormalNegritaCaracter"/>
        </w:rPr>
        <w:t>Procedimiento de reforma constitucional</w:t>
      </w:r>
      <w:bookmarkEnd w:id="1365"/>
      <w:r w:rsidRPr="00F80910">
        <w:rPr>
          <w:rStyle w:val="TextoNormalCaracter"/>
        </w:rPr>
        <w:t xml:space="preserve">, Sentencia </w:t>
      </w:r>
      <w:hyperlink w:anchor="SENTENCIA_2015_259" w:history="1">
        <w:r w:rsidRPr="00F80910">
          <w:rPr>
            <w:rStyle w:val="TextoNormalCaracter"/>
          </w:rPr>
          <w:t>259/2015</w:t>
        </w:r>
      </w:hyperlink>
      <w:r w:rsidRPr="00F80910">
        <w:rPr>
          <w:rStyle w:val="TextoNormalCaracter"/>
        </w:rPr>
        <w:t>, f. 7.</w:t>
      </w:r>
    </w:p>
    <w:p w:rsidR="00F80910" w:rsidRPr="00F80910" w:rsidRDefault="00F80910" w:rsidP="00F80910">
      <w:pPr>
        <w:pStyle w:val="TextoNormalSangraFrancesa"/>
        <w:rPr>
          <w:rStyle w:val="TextoNormalCaracter"/>
        </w:rPr>
      </w:pPr>
      <w:bookmarkStart w:id="1366" w:name="DESCRIPTORALFABETICO581"/>
      <w:r w:rsidRPr="00F80910">
        <w:rPr>
          <w:rStyle w:val="TextoNormalNegritaCaracter"/>
        </w:rPr>
        <w:t>Proceso de ejecución hipotecaria</w:t>
      </w:r>
      <w:bookmarkEnd w:id="1366"/>
      <w:r w:rsidRPr="00F80910">
        <w:rPr>
          <w:rStyle w:val="TextoNormalCaracter"/>
        </w:rPr>
        <w:t xml:space="preserve">, Sentencias </w:t>
      </w:r>
      <w:hyperlink w:anchor="SENTENCIA_2015_167" w:history="1">
        <w:r w:rsidRPr="00F80910">
          <w:rPr>
            <w:rStyle w:val="TextoNormalCaracter"/>
          </w:rPr>
          <w:t>167/2015</w:t>
        </w:r>
      </w:hyperlink>
      <w:r w:rsidRPr="00F80910">
        <w:rPr>
          <w:rStyle w:val="TextoNormalCaracter"/>
        </w:rPr>
        <w:t xml:space="preserve">, ff. 2 a 4; </w:t>
      </w:r>
      <w:hyperlink w:anchor="SENTENCIA_2015_208" w:history="1">
        <w:r w:rsidRPr="00F80910">
          <w:rPr>
            <w:rStyle w:val="TextoNormalCaracter"/>
          </w:rPr>
          <w:t>208/2015</w:t>
        </w:r>
      </w:hyperlink>
      <w:r w:rsidRPr="00F80910">
        <w:rPr>
          <w:rStyle w:val="TextoNormalCaracter"/>
        </w:rPr>
        <w:t xml:space="preserve">, f. 1; </w:t>
      </w:r>
      <w:hyperlink w:anchor="SENTENCIA_2015_266" w:history="1">
        <w:r w:rsidRPr="00F80910">
          <w:rPr>
            <w:rStyle w:val="TextoNormalCaracter"/>
          </w:rPr>
          <w:t>266/2015</w:t>
        </w:r>
      </w:hyperlink>
      <w:r w:rsidRPr="00F80910">
        <w:rPr>
          <w:rStyle w:val="TextoNormalCaracter"/>
        </w:rPr>
        <w:t>, f. 1.</w:t>
      </w:r>
    </w:p>
    <w:p w:rsidR="00F80910" w:rsidRPr="00F80910" w:rsidRDefault="00F80910" w:rsidP="00F80910">
      <w:pPr>
        <w:pStyle w:val="TextoNormalSangraFrancesa"/>
        <w:rPr>
          <w:rStyle w:val="TextoNormalCaracter"/>
        </w:rPr>
      </w:pPr>
      <w:r w:rsidRPr="00F80910">
        <w:rPr>
          <w:rStyle w:val="TextoNormalCaracter"/>
        </w:rPr>
        <w:t xml:space="preserve">    Autos </w:t>
      </w:r>
      <w:hyperlink w:anchor="AUTO_2015_128" w:history="1">
        <w:r w:rsidRPr="00F80910">
          <w:rPr>
            <w:rStyle w:val="TextoNormalCaracter"/>
          </w:rPr>
          <w:t>128/2015</w:t>
        </w:r>
      </w:hyperlink>
      <w:r w:rsidRPr="00F80910">
        <w:rPr>
          <w:rStyle w:val="TextoNormalCaracter"/>
        </w:rPr>
        <w:t xml:space="preserve">, f. 2; </w:t>
      </w:r>
      <w:hyperlink w:anchor="AUTO_2015_142" w:history="1">
        <w:r w:rsidRPr="00F80910">
          <w:rPr>
            <w:rStyle w:val="TextoNormalCaracter"/>
          </w:rPr>
          <w:t>142/2015</w:t>
        </w:r>
      </w:hyperlink>
      <w:r w:rsidRPr="00F80910">
        <w:rPr>
          <w:rStyle w:val="TextoNormalCaracter"/>
        </w:rPr>
        <w:t xml:space="preserve">, ff. 2, 3; </w:t>
      </w:r>
      <w:hyperlink w:anchor="AUTO_2015_178" w:history="1">
        <w:r w:rsidRPr="00F80910">
          <w:rPr>
            <w:rStyle w:val="TextoNormalCaracter"/>
          </w:rPr>
          <w:t>178/2015</w:t>
        </w:r>
      </w:hyperlink>
      <w:r w:rsidRPr="00F80910">
        <w:rPr>
          <w:rStyle w:val="TextoNormalCaracter"/>
        </w:rPr>
        <w:t>, f. 1, 4.</w:t>
      </w:r>
    </w:p>
    <w:p w:rsidR="00F80910" w:rsidRPr="00F80910" w:rsidRDefault="00F80910" w:rsidP="00F80910">
      <w:pPr>
        <w:pStyle w:val="TextoNormalSangraFrancesa"/>
        <w:rPr>
          <w:rStyle w:val="TextoNormalCaracter"/>
        </w:rPr>
      </w:pPr>
      <w:bookmarkStart w:id="1367" w:name="DESCRIPTORALFABETICO339"/>
      <w:r w:rsidRPr="00F80910">
        <w:rPr>
          <w:rStyle w:val="TextoNormalNegritaCaracter"/>
        </w:rPr>
        <w:t>Procesos selectivos en la función pública</w:t>
      </w:r>
      <w:bookmarkEnd w:id="1367"/>
      <w:r w:rsidRPr="00F80910">
        <w:rPr>
          <w:rStyle w:val="TextoNormalCaracter"/>
        </w:rPr>
        <w:t xml:space="preserve">, Sentencia </w:t>
      </w:r>
      <w:hyperlink w:anchor="SENTENCIA_2015_238" w:history="1">
        <w:r w:rsidRPr="00F80910">
          <w:rPr>
            <w:rStyle w:val="TextoNormalCaracter"/>
          </w:rPr>
          <w:t>238/2015</w:t>
        </w:r>
      </w:hyperlink>
      <w:r w:rsidRPr="00F80910">
        <w:rPr>
          <w:rStyle w:val="TextoNormalCaracter"/>
        </w:rPr>
        <w:t>, ff. 4 a 6.</w:t>
      </w:r>
    </w:p>
    <w:p w:rsidR="00F80910" w:rsidRPr="00F80910" w:rsidRDefault="00F80910" w:rsidP="00F80910">
      <w:pPr>
        <w:pStyle w:val="TextoNormalSangraFrancesa"/>
        <w:rPr>
          <w:rStyle w:val="TextoNormalCaracter"/>
        </w:rPr>
      </w:pPr>
      <w:bookmarkStart w:id="1368" w:name="DESCRIPTORALFABETICO556"/>
      <w:r w:rsidRPr="00F80910">
        <w:rPr>
          <w:rStyle w:val="TextoNormalNegritaCaracter"/>
        </w:rPr>
        <w:t>Procuradores de oficio</w:t>
      </w:r>
      <w:bookmarkEnd w:id="1368"/>
      <w:r w:rsidRPr="00F80910">
        <w:rPr>
          <w:rStyle w:val="TextoNormalCaracter"/>
        </w:rPr>
        <w:t xml:space="preserve">, Sentencia </w:t>
      </w:r>
      <w:hyperlink w:anchor="SENTENCIA_2015_207" w:history="1">
        <w:r w:rsidRPr="00F80910">
          <w:rPr>
            <w:rStyle w:val="TextoNormalCaracter"/>
          </w:rPr>
          <w:t>207/2015</w:t>
        </w:r>
      </w:hyperlink>
      <w:r w:rsidRPr="00F80910">
        <w:rPr>
          <w:rStyle w:val="TextoNormalCaracter"/>
        </w:rPr>
        <w:t>, f. 4.</w:t>
      </w:r>
    </w:p>
    <w:p w:rsidR="00F80910" w:rsidRPr="00F80910" w:rsidRDefault="00F80910" w:rsidP="00F80910">
      <w:pPr>
        <w:pStyle w:val="TextoNormalSangraFrancesa"/>
        <w:rPr>
          <w:rStyle w:val="TextoNormalCaracter"/>
        </w:rPr>
      </w:pPr>
      <w:bookmarkStart w:id="1369" w:name="DESCRIPTORALFABETICO377"/>
      <w:r w:rsidRPr="00F80910">
        <w:rPr>
          <w:rStyle w:val="TextoNormalNegritaCaracter"/>
        </w:rPr>
        <w:t>Profesores</w:t>
      </w:r>
      <w:bookmarkEnd w:id="1369"/>
      <w:r w:rsidRPr="00F80910">
        <w:rPr>
          <w:rStyle w:val="TextoNormalCaracter"/>
        </w:rPr>
        <w:t xml:space="preserve">, Sentencia </w:t>
      </w:r>
      <w:hyperlink w:anchor="SENTENCIA_2015_187" w:history="1">
        <w:r w:rsidRPr="00F80910">
          <w:rPr>
            <w:rStyle w:val="TextoNormalCaracter"/>
          </w:rPr>
          <w:t>187/2015</w:t>
        </w:r>
      </w:hyperlink>
      <w:r w:rsidRPr="00F80910">
        <w:rPr>
          <w:rStyle w:val="TextoNormalCaracter"/>
        </w:rPr>
        <w:t>, f. 1.</w:t>
      </w:r>
    </w:p>
    <w:p w:rsidR="00F80910" w:rsidRPr="00F80910" w:rsidRDefault="00F80910" w:rsidP="00F80910">
      <w:pPr>
        <w:pStyle w:val="TextoNormalSangraFrancesa"/>
        <w:rPr>
          <w:rStyle w:val="TextoNormalCaracter"/>
        </w:rPr>
      </w:pPr>
      <w:bookmarkStart w:id="1370" w:name="DESCRIPTORALFABETICO378"/>
      <w:r w:rsidRPr="00F80910">
        <w:rPr>
          <w:rStyle w:val="TextoNormalNegritaCaracter"/>
        </w:rPr>
        <w:t>Profesores interinos</w:t>
      </w:r>
      <w:bookmarkEnd w:id="1370"/>
      <w:r w:rsidRPr="00F80910">
        <w:rPr>
          <w:rStyle w:val="TextoNormalCaracter"/>
        </w:rPr>
        <w:t xml:space="preserve">, Sentencia </w:t>
      </w:r>
      <w:hyperlink w:anchor="SENTENCIA_2015_232" w:history="1">
        <w:r w:rsidRPr="00F80910">
          <w:rPr>
            <w:rStyle w:val="TextoNormalCaracter"/>
          </w:rPr>
          <w:t>232/2015</w:t>
        </w:r>
      </w:hyperlink>
      <w:r w:rsidRPr="00F80910">
        <w:rPr>
          <w:rStyle w:val="TextoNormalCaracter"/>
        </w:rPr>
        <w:t>, ff. 1, 4, 6.</w:t>
      </w:r>
    </w:p>
    <w:p w:rsidR="00F80910" w:rsidRPr="00F80910" w:rsidRDefault="00F80910" w:rsidP="00F80910">
      <w:pPr>
        <w:pStyle w:val="TextoNormalSangraFrancesa"/>
        <w:rPr>
          <w:rStyle w:val="TextoNormalCaracter"/>
        </w:rPr>
      </w:pPr>
      <w:bookmarkStart w:id="1371" w:name="DESCRIPTORALFABETICO521"/>
      <w:r w:rsidRPr="00F80910">
        <w:rPr>
          <w:rStyle w:val="TextoNormalNegritaCaracter"/>
        </w:rPr>
        <w:t>Promoción de viviendas</w:t>
      </w:r>
      <w:bookmarkEnd w:id="1371"/>
      <w:r w:rsidRPr="00F80910">
        <w:rPr>
          <w:rStyle w:val="TextoNormalCaracter"/>
        </w:rPr>
        <w:t xml:space="preserve">, Sentencia </w:t>
      </w:r>
      <w:hyperlink w:anchor="SENTENCIA_2015_216" w:history="1">
        <w:r w:rsidRPr="00F80910">
          <w:rPr>
            <w:rStyle w:val="TextoNormalCaracter"/>
          </w:rPr>
          <w:t>216/2015</w:t>
        </w:r>
      </w:hyperlink>
      <w:r w:rsidRPr="00F80910">
        <w:rPr>
          <w:rStyle w:val="TextoNormalCaracter"/>
        </w:rPr>
        <w:t>, ff. 3, 9.</w:t>
      </w:r>
    </w:p>
    <w:p w:rsidR="00F80910" w:rsidRPr="00F80910" w:rsidRDefault="00F80910" w:rsidP="00F80910">
      <w:pPr>
        <w:pStyle w:val="TextoNormalSangraFrancesa"/>
        <w:rPr>
          <w:rStyle w:val="TextoNormalCaracter"/>
        </w:rPr>
      </w:pPr>
      <w:bookmarkStart w:id="1372" w:name="DESCRIPTORALFABETICO522"/>
      <w:r w:rsidRPr="00F80910">
        <w:rPr>
          <w:rStyle w:val="TextoNormalNegritaCaracter"/>
        </w:rPr>
        <w:t>Promoción de viviendas de protección pública</w:t>
      </w:r>
      <w:bookmarkEnd w:id="1372"/>
      <w:r w:rsidRPr="00F80910">
        <w:rPr>
          <w:rStyle w:val="TextoNormalCaracter"/>
        </w:rPr>
        <w:t xml:space="preserve">, Sentencias </w:t>
      </w:r>
      <w:hyperlink w:anchor="SENTENCIA_2015_267" w:history="1">
        <w:r w:rsidRPr="00F80910">
          <w:rPr>
            <w:rStyle w:val="TextoNormalCaracter"/>
          </w:rPr>
          <w:t>267/2015</w:t>
        </w:r>
      </w:hyperlink>
      <w:r w:rsidRPr="00F80910">
        <w:rPr>
          <w:rStyle w:val="TextoNormalCaracter"/>
        </w:rPr>
        <w:t xml:space="preserve">, ff. 2 a 4; </w:t>
      </w:r>
      <w:hyperlink w:anchor="SENTENCIA_2015_268" w:history="1">
        <w:r w:rsidRPr="00F80910">
          <w:rPr>
            <w:rStyle w:val="TextoNormalCaracter"/>
          </w:rPr>
          <w:t>268/2015</w:t>
        </w:r>
      </w:hyperlink>
      <w:r w:rsidRPr="00F80910">
        <w:rPr>
          <w:rStyle w:val="TextoNormalCaracter"/>
        </w:rPr>
        <w:t>, ff. 2 a 4.</w:t>
      </w:r>
    </w:p>
    <w:p w:rsidR="00F80910" w:rsidRPr="00F80910" w:rsidRDefault="00F80910" w:rsidP="00F80910">
      <w:pPr>
        <w:pStyle w:val="TextoNormalSangraFrancesa"/>
        <w:rPr>
          <w:rStyle w:val="TextoNormalCaracter"/>
        </w:rPr>
      </w:pPr>
      <w:bookmarkStart w:id="1373" w:name="DESCRIPTORALFABETICO333"/>
      <w:r w:rsidRPr="00F80910">
        <w:rPr>
          <w:rStyle w:val="TextoNormalNegritaCaracter"/>
        </w:rPr>
        <w:t>Promoción interna</w:t>
      </w:r>
      <w:bookmarkEnd w:id="1373"/>
      <w:r w:rsidRPr="00F80910">
        <w:rPr>
          <w:rStyle w:val="TextoNormalCaracter"/>
        </w:rPr>
        <w:t xml:space="preserve">, Sentencia </w:t>
      </w:r>
      <w:hyperlink w:anchor="SENTENCIA_2015_200" w:history="1">
        <w:r w:rsidRPr="00F80910">
          <w:rPr>
            <w:rStyle w:val="TextoNormalCaracter"/>
          </w:rPr>
          <w:t>200/2015</w:t>
        </w:r>
      </w:hyperlink>
      <w:r w:rsidRPr="00F80910">
        <w:rPr>
          <w:rStyle w:val="TextoNormalCaracter"/>
        </w:rPr>
        <w:t>, f. 4.</w:t>
      </w:r>
    </w:p>
    <w:p w:rsidR="00F80910" w:rsidRPr="00F80910" w:rsidRDefault="00F80910" w:rsidP="00F80910">
      <w:pPr>
        <w:pStyle w:val="TextoNormalSangraFrancesa"/>
        <w:rPr>
          <w:rStyle w:val="TextoNormalCaracter"/>
        </w:rPr>
      </w:pPr>
      <w:bookmarkStart w:id="1374" w:name="DESCRIPTORALFABETICO250"/>
      <w:r w:rsidRPr="00F80910">
        <w:rPr>
          <w:rStyle w:val="TextoNormalNegritaCaracter"/>
        </w:rPr>
        <w:t>Pronunciamiento constitucional</w:t>
      </w:r>
      <w:bookmarkEnd w:id="1374"/>
      <w:r w:rsidRPr="00F80910">
        <w:rPr>
          <w:rStyle w:val="TextoNormalCaracter"/>
        </w:rPr>
        <w:t xml:space="preserve">, Auto </w:t>
      </w:r>
      <w:hyperlink w:anchor="AUTO_2015_131" w:history="1">
        <w:r w:rsidRPr="00F80910">
          <w:rPr>
            <w:rStyle w:val="TextoNormalCaracter"/>
          </w:rPr>
          <w:t>131/2015</w:t>
        </w:r>
      </w:hyperlink>
      <w:r w:rsidRPr="00F80910">
        <w:rPr>
          <w:rStyle w:val="TextoNormalCaracter"/>
        </w:rPr>
        <w:t>, f. único.</w:t>
      </w:r>
    </w:p>
    <w:p w:rsidR="00F80910" w:rsidRPr="00F80910" w:rsidRDefault="00F80910" w:rsidP="00F80910">
      <w:pPr>
        <w:pStyle w:val="TextoNormalSangraFrancesa"/>
        <w:rPr>
          <w:rStyle w:val="TextoNormalCaracter"/>
        </w:rPr>
      </w:pPr>
      <w:bookmarkStart w:id="1375" w:name="DESCRIPTORALFABETICO251"/>
      <w:r w:rsidRPr="00F80910">
        <w:rPr>
          <w:rStyle w:val="TextoNormalNegritaCaracter"/>
        </w:rPr>
        <w:t>Pronunciamiento sobre el fondo improcedente</w:t>
      </w:r>
      <w:bookmarkEnd w:id="1375"/>
      <w:r w:rsidRPr="00F80910">
        <w:rPr>
          <w:rStyle w:val="TextoNormalCaracter"/>
        </w:rPr>
        <w:t xml:space="preserve">, Sentencia </w:t>
      </w:r>
      <w:hyperlink w:anchor="SENTENCIA_2015_242" w:history="1">
        <w:r w:rsidRPr="00F80910">
          <w:rPr>
            <w:rStyle w:val="TextoNormalCaracter"/>
          </w:rPr>
          <w:t>242/2015</w:t>
        </w:r>
      </w:hyperlink>
      <w:r w:rsidRPr="00F80910">
        <w:rPr>
          <w:rStyle w:val="TextoNormalCaracter"/>
        </w:rPr>
        <w:t>, f. 6.</w:t>
      </w:r>
    </w:p>
    <w:p w:rsidR="00F80910" w:rsidRPr="00F80910" w:rsidRDefault="00F80910" w:rsidP="00F80910">
      <w:pPr>
        <w:pStyle w:val="TextoNormalSangraFrancesa"/>
        <w:rPr>
          <w:rStyle w:val="TextoNormalCaracter"/>
        </w:rPr>
      </w:pPr>
      <w:bookmarkStart w:id="1376" w:name="DESCRIPTORALFABETICO591"/>
      <w:r w:rsidRPr="00F80910">
        <w:rPr>
          <w:rStyle w:val="TextoNormalNegritaCaracter"/>
        </w:rPr>
        <w:t>Prórroga de prisión provisional al margen de las previsiones legales</w:t>
      </w:r>
      <w:bookmarkEnd w:id="1376"/>
      <w:r w:rsidRPr="00F80910">
        <w:rPr>
          <w:rStyle w:val="TextoNormalCaracter"/>
        </w:rPr>
        <w:t xml:space="preserve">, Sentencia </w:t>
      </w:r>
      <w:hyperlink w:anchor="SENTENCIA_2015_217" w:history="1">
        <w:r w:rsidRPr="00F80910">
          <w:rPr>
            <w:rStyle w:val="TextoNormalCaracter"/>
          </w:rPr>
          <w:t>217/2015</w:t>
        </w:r>
      </w:hyperlink>
      <w:r w:rsidRPr="00F80910">
        <w:rPr>
          <w:rStyle w:val="TextoNormalCaracter"/>
        </w:rPr>
        <w:t>, ff. 2 a 4.</w:t>
      </w:r>
    </w:p>
    <w:p w:rsidR="00F80910" w:rsidRPr="00F80910" w:rsidRDefault="00F80910" w:rsidP="00F80910">
      <w:pPr>
        <w:pStyle w:val="TextoNormalSangraFrancesa"/>
        <w:rPr>
          <w:rStyle w:val="TextoNormalCaracter"/>
        </w:rPr>
      </w:pPr>
      <w:bookmarkStart w:id="1377" w:name="DESCRIPTORALFABETICO419"/>
      <w:r w:rsidRPr="00F80910">
        <w:rPr>
          <w:rStyle w:val="TextoNormalNegritaCaracter"/>
        </w:rPr>
        <w:t>Protección de los montes</w:t>
      </w:r>
      <w:bookmarkEnd w:id="1377"/>
      <w:r w:rsidRPr="00F80910">
        <w:rPr>
          <w:rStyle w:val="TextoNormalCaracter"/>
        </w:rPr>
        <w:t xml:space="preserve">, Sentencia </w:t>
      </w:r>
      <w:hyperlink w:anchor="SENTENCIA_2015_214" w:history="1">
        <w:r w:rsidRPr="00F80910">
          <w:rPr>
            <w:rStyle w:val="TextoNormalCaracter"/>
          </w:rPr>
          <w:t>214/2015</w:t>
        </w:r>
      </w:hyperlink>
      <w:r w:rsidRPr="00F80910">
        <w:rPr>
          <w:rStyle w:val="TextoNormalCaracter"/>
        </w:rPr>
        <w:t>, f. 4.</w:t>
      </w:r>
    </w:p>
    <w:p w:rsidR="00F80910" w:rsidRPr="00F80910" w:rsidRDefault="00F80910" w:rsidP="00F80910">
      <w:pPr>
        <w:pStyle w:val="TextoNormalSangraFrancesa"/>
        <w:rPr>
          <w:rStyle w:val="TextoNormalCaracter"/>
        </w:rPr>
      </w:pPr>
      <w:bookmarkStart w:id="1378" w:name="DESCRIPTORALFABETICO416"/>
      <w:r w:rsidRPr="00F80910">
        <w:rPr>
          <w:rStyle w:val="TextoNormalNegritaCaracter"/>
        </w:rPr>
        <w:t>Protección del medio ambiente</w:t>
      </w:r>
      <w:bookmarkEnd w:id="1378"/>
      <w:r w:rsidRPr="00F80910">
        <w:rPr>
          <w:rStyle w:val="TextoNormalCaracter"/>
        </w:rPr>
        <w:t xml:space="preserve">, Sentencias </w:t>
      </w:r>
      <w:hyperlink w:anchor="SENTENCIA_2015_214" w:history="1">
        <w:r w:rsidRPr="00F80910">
          <w:rPr>
            <w:rStyle w:val="TextoNormalCaracter"/>
          </w:rPr>
          <w:t>214/2015</w:t>
        </w:r>
      </w:hyperlink>
      <w:r w:rsidRPr="00F80910">
        <w:rPr>
          <w:rStyle w:val="TextoNormalCaracter"/>
        </w:rPr>
        <w:t xml:space="preserve">, ff. 3 a 5; </w:t>
      </w:r>
      <w:hyperlink w:anchor="SENTENCIA_2015_233" w:history="1">
        <w:r w:rsidRPr="00F80910">
          <w:rPr>
            <w:rStyle w:val="TextoNormalCaracter"/>
          </w:rPr>
          <w:t>233/2015</w:t>
        </w:r>
      </w:hyperlink>
      <w:r w:rsidRPr="00F80910">
        <w:rPr>
          <w:rStyle w:val="TextoNormalCaracter"/>
        </w:rPr>
        <w:t xml:space="preserve">, ff. 2, 4, 8; </w:t>
      </w:r>
      <w:hyperlink w:anchor="SENTENCIA_2015_235" w:history="1">
        <w:r w:rsidRPr="00F80910">
          <w:rPr>
            <w:rStyle w:val="TextoNormalCaracter"/>
          </w:rPr>
          <w:t>235/2015</w:t>
        </w:r>
      </w:hyperlink>
      <w:r w:rsidRPr="00F80910">
        <w:rPr>
          <w:rStyle w:val="TextoNormalCaracter"/>
        </w:rPr>
        <w:t>, f. 6.</w:t>
      </w:r>
    </w:p>
    <w:p w:rsidR="00F80910" w:rsidRPr="00F80910" w:rsidRDefault="00F80910" w:rsidP="00F80910">
      <w:pPr>
        <w:pStyle w:val="TextoNormalSangraFrancesa"/>
        <w:rPr>
          <w:rStyle w:val="TextoNormalCaracter"/>
        </w:rPr>
      </w:pPr>
      <w:bookmarkStart w:id="1379" w:name="DESCRIPTORALFABETICO410"/>
      <w:r w:rsidRPr="00F80910">
        <w:rPr>
          <w:rStyle w:val="TextoNormalNegritaCaracter"/>
        </w:rPr>
        <w:t>Provocación al odio y a la violencia</w:t>
      </w:r>
      <w:bookmarkEnd w:id="1379"/>
      <w:r w:rsidRPr="00F80910">
        <w:rPr>
          <w:rStyle w:val="TextoNormalCaracter"/>
        </w:rPr>
        <w:t xml:space="preserve">, Sentencia </w:t>
      </w:r>
      <w:hyperlink w:anchor="SENTENCIA_2015_177" w:history="1">
        <w:r w:rsidRPr="00F80910">
          <w:rPr>
            <w:rStyle w:val="TextoNormalCaracter"/>
          </w:rPr>
          <w:t>177/2015</w:t>
        </w:r>
      </w:hyperlink>
      <w:r w:rsidRPr="00F80910">
        <w:rPr>
          <w:rStyle w:val="TextoNormalCaracter"/>
        </w:rPr>
        <w:t>, VP I, VP III.</w:t>
      </w:r>
    </w:p>
    <w:p w:rsidR="00F80910" w:rsidRPr="00F80910" w:rsidRDefault="00F80910" w:rsidP="00F80910">
      <w:pPr>
        <w:pStyle w:val="TextoNormalSangraFrancesa"/>
        <w:rPr>
          <w:rStyle w:val="TextoNormalCaracter"/>
        </w:rPr>
      </w:pPr>
      <w:bookmarkStart w:id="1380" w:name="DESCRIPTORALFABETICO550"/>
      <w:r w:rsidRPr="00F80910">
        <w:rPr>
          <w:rStyle w:val="TextoNormalNegritaCaracter"/>
        </w:rPr>
        <w:t>Prueba indiciaria</w:t>
      </w:r>
      <w:bookmarkEnd w:id="1380"/>
      <w:r w:rsidRPr="00F80910">
        <w:rPr>
          <w:rStyle w:val="TextoNormalCaracter"/>
        </w:rPr>
        <w:t xml:space="preserve">, Sentencia </w:t>
      </w:r>
      <w:hyperlink w:anchor="SENTENCIA_2015_203" w:history="1">
        <w:r w:rsidRPr="00F80910">
          <w:rPr>
            <w:rStyle w:val="TextoNormalCaracter"/>
          </w:rPr>
          <w:t>203/2015</w:t>
        </w:r>
      </w:hyperlink>
      <w:r w:rsidRPr="00F80910">
        <w:rPr>
          <w:rStyle w:val="TextoNormalCaracter"/>
        </w:rPr>
        <w:t>, f. 3.</w:t>
      </w:r>
    </w:p>
    <w:p w:rsidR="00F80910" w:rsidRPr="00F80910" w:rsidRDefault="00F80910" w:rsidP="00F80910">
      <w:pPr>
        <w:pStyle w:val="TextoNormalSangraFrancesa"/>
        <w:rPr>
          <w:rStyle w:val="TextoNormalCaracter"/>
        </w:rPr>
      </w:pPr>
      <w:bookmarkStart w:id="1381" w:name="DESCRIPTORALFABETICO340"/>
      <w:r w:rsidRPr="00F80910">
        <w:rPr>
          <w:rStyle w:val="TextoNormalNegritaCaracter"/>
        </w:rPr>
        <w:t>Pruebas restringidas</w:t>
      </w:r>
      <w:bookmarkEnd w:id="1381"/>
      <w:r w:rsidRPr="00F80910">
        <w:rPr>
          <w:rStyle w:val="TextoNormalCaracter"/>
        </w:rPr>
        <w:t xml:space="preserve">, Sentencia </w:t>
      </w:r>
      <w:hyperlink w:anchor="SENTENCIA_2015_238" w:history="1">
        <w:r w:rsidRPr="00F80910">
          <w:rPr>
            <w:rStyle w:val="TextoNormalCaracter"/>
          </w:rPr>
          <w:t>238/2015</w:t>
        </w:r>
      </w:hyperlink>
      <w:r w:rsidRPr="00F80910">
        <w:rPr>
          <w:rStyle w:val="TextoNormalCaracter"/>
        </w:rPr>
        <w:t>, ff. 4 a 6.</w:t>
      </w:r>
    </w:p>
    <w:p w:rsidR="00F80910" w:rsidRDefault="00F80910" w:rsidP="00F80910">
      <w:pPr>
        <w:pStyle w:val="TextoNormalSangraFrancesa"/>
      </w:pPr>
    </w:p>
    <w:p w:rsidR="00F80910" w:rsidRDefault="00F80910" w:rsidP="00F80910">
      <w:pPr>
        <w:pStyle w:val="TextoNormalSangraFrancesa"/>
      </w:pPr>
    </w:p>
    <w:p w:rsidR="00F80910" w:rsidRDefault="00F80910" w:rsidP="00F80910">
      <w:pPr>
        <w:pStyle w:val="TextoNormalNegritaCentrado"/>
      </w:pPr>
      <w:r>
        <w:t>R</w:t>
      </w:r>
    </w:p>
    <w:p w:rsidR="00F80910" w:rsidRDefault="00F80910" w:rsidP="00F80910">
      <w:pPr>
        <w:pStyle w:val="TextoNormalNegritaCentrado"/>
      </w:pPr>
    </w:p>
    <w:p w:rsidR="00F80910" w:rsidRPr="00F80910" w:rsidRDefault="00F80910" w:rsidP="00F80910">
      <w:pPr>
        <w:pStyle w:val="TextoNormalSangraFrancesa"/>
        <w:rPr>
          <w:rStyle w:val="TextoNormalCaracter"/>
        </w:rPr>
      </w:pPr>
      <w:bookmarkStart w:id="1382" w:name="DESCRIPTORALFABETICO541"/>
      <w:r w:rsidRPr="00F80910">
        <w:rPr>
          <w:rStyle w:val="TextoNormalNegritaCaracter"/>
        </w:rPr>
        <w:t>Rectificación de error material</w:t>
      </w:r>
      <w:bookmarkEnd w:id="1382"/>
      <w:r w:rsidRPr="00F80910">
        <w:rPr>
          <w:rStyle w:val="TextoNormalCaracter"/>
        </w:rPr>
        <w:t xml:space="preserve">, Autos </w:t>
      </w:r>
      <w:hyperlink w:anchor="AUTO_2015_177" w:history="1">
        <w:r w:rsidRPr="00F80910">
          <w:rPr>
            <w:rStyle w:val="TextoNormalCaracter"/>
          </w:rPr>
          <w:t>177/2015</w:t>
        </w:r>
      </w:hyperlink>
      <w:r w:rsidRPr="00F80910">
        <w:rPr>
          <w:rStyle w:val="TextoNormalCaracter"/>
        </w:rPr>
        <w:t xml:space="preserve">, f. 1, 2; </w:t>
      </w:r>
      <w:hyperlink w:anchor="AUTO_2015_198" w:history="1">
        <w:r w:rsidRPr="00F80910">
          <w:rPr>
            <w:rStyle w:val="TextoNormalCaracter"/>
          </w:rPr>
          <w:t>198/2015</w:t>
        </w:r>
      </w:hyperlink>
      <w:r w:rsidRPr="00F80910">
        <w:rPr>
          <w:rStyle w:val="TextoNormalCaracter"/>
        </w:rPr>
        <w:t>, f. 1, 2.</w:t>
      </w:r>
    </w:p>
    <w:p w:rsidR="00F80910" w:rsidRPr="00F80910" w:rsidRDefault="00F80910" w:rsidP="00F80910">
      <w:pPr>
        <w:pStyle w:val="TextoNormalSangraFrancesa"/>
        <w:rPr>
          <w:rStyle w:val="TextoNormalCaracter"/>
        </w:rPr>
      </w:pPr>
      <w:bookmarkStart w:id="1383" w:name="DESCRIPTORALFABETICO231"/>
      <w:r w:rsidRPr="00F80910">
        <w:rPr>
          <w:rStyle w:val="TextoNormalNegritaCaracter"/>
        </w:rPr>
        <w:t>Recurso de amparo contra actos parlamentarios</w:t>
      </w:r>
      <w:bookmarkEnd w:id="1383"/>
      <w:r w:rsidRPr="00F80910">
        <w:rPr>
          <w:rStyle w:val="TextoNormalCaracter"/>
        </w:rPr>
        <w:t xml:space="preserve">, Autos </w:t>
      </w:r>
      <w:hyperlink w:anchor="AUTO_2015_189" w:history="1">
        <w:r w:rsidRPr="00F80910">
          <w:rPr>
            <w:rStyle w:val="TextoNormalCaracter"/>
          </w:rPr>
          <w:t>189/2015</w:t>
        </w:r>
      </w:hyperlink>
      <w:r w:rsidRPr="00F80910">
        <w:rPr>
          <w:rStyle w:val="TextoNormalCaracter"/>
        </w:rPr>
        <w:t xml:space="preserve">, f. 3; </w:t>
      </w:r>
      <w:hyperlink w:anchor="AUTO_2015_190" w:history="1">
        <w:r w:rsidRPr="00F80910">
          <w:rPr>
            <w:rStyle w:val="TextoNormalCaracter"/>
          </w:rPr>
          <w:t>190/2015</w:t>
        </w:r>
      </w:hyperlink>
      <w:r w:rsidRPr="00F80910">
        <w:rPr>
          <w:rStyle w:val="TextoNormalCaracter"/>
        </w:rPr>
        <w:t>, f. 3.</w:t>
      </w:r>
    </w:p>
    <w:p w:rsidR="00F80910" w:rsidRPr="00F80910" w:rsidRDefault="00F80910" w:rsidP="00F80910">
      <w:pPr>
        <w:pStyle w:val="TextoNormalSangraFrancesa"/>
        <w:rPr>
          <w:rStyle w:val="TextoNormalCaracter"/>
        </w:rPr>
      </w:pPr>
      <w:bookmarkStart w:id="1384" w:name="DESCRIPTORALFABETICO228"/>
      <w:r w:rsidRPr="00F80910">
        <w:rPr>
          <w:rStyle w:val="TextoNormalNegritaCaracter"/>
        </w:rPr>
        <w:t>Recurso de amparo mixto</w:t>
      </w:r>
      <w:bookmarkEnd w:id="1384"/>
      <w:r w:rsidRPr="00F80910">
        <w:rPr>
          <w:rStyle w:val="TextoNormalCaracter"/>
        </w:rPr>
        <w:t xml:space="preserve">, Sentencia </w:t>
      </w:r>
      <w:hyperlink w:anchor="SENTENCIA_2015_148" w:history="1">
        <w:r w:rsidRPr="00F80910">
          <w:rPr>
            <w:rStyle w:val="TextoNormalCaracter"/>
          </w:rPr>
          <w:t>148/2015</w:t>
        </w:r>
      </w:hyperlink>
      <w:r w:rsidRPr="00F80910">
        <w:rPr>
          <w:rStyle w:val="TextoNormalCaracter"/>
        </w:rPr>
        <w:t>, ff. 1, 3, 4.</w:t>
      </w:r>
    </w:p>
    <w:p w:rsidR="00F80910" w:rsidRPr="00F80910" w:rsidRDefault="00F80910" w:rsidP="00F80910">
      <w:pPr>
        <w:pStyle w:val="TextoNormalSangraFrancesa"/>
        <w:rPr>
          <w:rStyle w:val="TextoNormalCaracter"/>
        </w:rPr>
      </w:pPr>
      <w:bookmarkStart w:id="1385" w:name="DESCRIPTORALFABETICO592"/>
      <w:r w:rsidRPr="00F80910">
        <w:rPr>
          <w:rStyle w:val="TextoNormalNegritaCaracter"/>
        </w:rPr>
        <w:t>Recurso de apelación penal</w:t>
      </w:r>
      <w:bookmarkEnd w:id="1385"/>
      <w:r w:rsidRPr="00F80910">
        <w:rPr>
          <w:rStyle w:val="TextoNormalCaracter"/>
        </w:rPr>
        <w:t xml:space="preserve">, Sentencia </w:t>
      </w:r>
      <w:hyperlink w:anchor="SENTENCIA_2015_194" w:history="1">
        <w:r w:rsidRPr="00F80910">
          <w:rPr>
            <w:rStyle w:val="TextoNormalCaracter"/>
          </w:rPr>
          <w:t>194/2015</w:t>
        </w:r>
      </w:hyperlink>
      <w:r w:rsidRPr="00F80910">
        <w:rPr>
          <w:rStyle w:val="TextoNormalCaracter"/>
        </w:rPr>
        <w:t>, ff. 3, 4, 6.</w:t>
      </w:r>
    </w:p>
    <w:p w:rsidR="00F80910" w:rsidRPr="00F80910" w:rsidRDefault="00F80910" w:rsidP="00F80910">
      <w:pPr>
        <w:pStyle w:val="TextoNormalSangraFrancesa"/>
        <w:rPr>
          <w:rStyle w:val="TextoNormalCaracter"/>
        </w:rPr>
      </w:pPr>
      <w:bookmarkStart w:id="1386" w:name="DESCRIPTORALFABETICO221"/>
      <w:r w:rsidRPr="00F80910">
        <w:rPr>
          <w:rStyle w:val="TextoNormalNegritaCaracter"/>
        </w:rPr>
        <w:t>Recurso de inconstitucionalidad</w:t>
      </w:r>
      <w:bookmarkEnd w:id="1386"/>
      <w:r w:rsidRPr="00F80910">
        <w:rPr>
          <w:rStyle w:val="TextoNormalCaracter"/>
        </w:rPr>
        <w:t xml:space="preserve">, Sentencia </w:t>
      </w:r>
      <w:hyperlink w:anchor="SENTENCIA_2015_196" w:history="1">
        <w:r w:rsidRPr="00F80910">
          <w:rPr>
            <w:rStyle w:val="TextoNormalCaracter"/>
          </w:rPr>
          <w:t>196/2015</w:t>
        </w:r>
      </w:hyperlink>
      <w:r w:rsidRPr="00F80910">
        <w:rPr>
          <w:rStyle w:val="TextoNormalCaracter"/>
        </w:rPr>
        <w:t>, f. 1.</w:t>
      </w:r>
    </w:p>
    <w:p w:rsidR="00F80910" w:rsidRPr="00F80910" w:rsidRDefault="00F80910" w:rsidP="00F80910">
      <w:pPr>
        <w:pStyle w:val="TextoNormalSangraFrancesa"/>
        <w:rPr>
          <w:rStyle w:val="TextoNormalCaracter"/>
        </w:rPr>
      </w:pPr>
      <w:bookmarkStart w:id="1387" w:name="DESCRIPTORALFABETICO246"/>
      <w:r w:rsidRPr="00F80910">
        <w:rPr>
          <w:rStyle w:val="TextoNormalNegritaCaracter"/>
        </w:rPr>
        <w:t>Recursos contra Normas Forales fiscales</w:t>
      </w:r>
      <w:bookmarkEnd w:id="1387"/>
      <w:r w:rsidRPr="00F80910">
        <w:rPr>
          <w:rStyle w:val="TextoNormalCaracter"/>
        </w:rPr>
        <w:t xml:space="preserve">, Sentencias </w:t>
      </w:r>
      <w:hyperlink w:anchor="SENTENCIA_2015_222" w:history="1">
        <w:r w:rsidRPr="00F80910">
          <w:rPr>
            <w:rStyle w:val="TextoNormalCaracter"/>
          </w:rPr>
          <w:t>222/2015</w:t>
        </w:r>
      </w:hyperlink>
      <w:r w:rsidRPr="00F80910">
        <w:rPr>
          <w:rStyle w:val="TextoNormalCaracter"/>
        </w:rPr>
        <w:t xml:space="preserve">, ff. 1, 2; </w:t>
      </w:r>
      <w:hyperlink w:anchor="SENTENCIA_2015_239" w:history="1">
        <w:r w:rsidRPr="00F80910">
          <w:rPr>
            <w:rStyle w:val="TextoNormalCaracter"/>
          </w:rPr>
          <w:t>239/2015</w:t>
        </w:r>
      </w:hyperlink>
      <w:r w:rsidRPr="00F80910">
        <w:rPr>
          <w:rStyle w:val="TextoNormalCaracter"/>
        </w:rPr>
        <w:t xml:space="preserve">, ff. 1, 2; </w:t>
      </w:r>
      <w:hyperlink w:anchor="SENTENCIA_2015_240" w:history="1">
        <w:r w:rsidRPr="00F80910">
          <w:rPr>
            <w:rStyle w:val="TextoNormalCaracter"/>
          </w:rPr>
          <w:t>240/2015</w:t>
        </w:r>
      </w:hyperlink>
      <w:r w:rsidRPr="00F80910">
        <w:rPr>
          <w:rStyle w:val="TextoNormalCaracter"/>
        </w:rPr>
        <w:t xml:space="preserve">, ff. 1, 2; </w:t>
      </w:r>
      <w:hyperlink w:anchor="SENTENCIA_2015_262" w:history="1">
        <w:r w:rsidRPr="00F80910">
          <w:rPr>
            <w:rStyle w:val="TextoNormalCaracter"/>
          </w:rPr>
          <w:t>262/2015</w:t>
        </w:r>
      </w:hyperlink>
      <w:r w:rsidRPr="00F80910">
        <w:rPr>
          <w:rStyle w:val="TextoNormalCaracter"/>
        </w:rPr>
        <w:t xml:space="preserve">, ff. 1, 2; </w:t>
      </w:r>
      <w:hyperlink w:anchor="SENTENCIA_2015_263" w:history="1">
        <w:r w:rsidRPr="00F80910">
          <w:rPr>
            <w:rStyle w:val="TextoNormalCaracter"/>
          </w:rPr>
          <w:t>263/2015</w:t>
        </w:r>
      </w:hyperlink>
      <w:r w:rsidRPr="00F80910">
        <w:rPr>
          <w:rStyle w:val="TextoNormalCaracter"/>
        </w:rPr>
        <w:t>, ff. 1, 2.</w:t>
      </w:r>
    </w:p>
    <w:p w:rsidR="00F80910" w:rsidRPr="00F80910" w:rsidRDefault="00F80910" w:rsidP="00F80910">
      <w:pPr>
        <w:pStyle w:val="TextoNormalSangraFrancesa"/>
        <w:rPr>
          <w:rStyle w:val="TextoNormalCaracter"/>
        </w:rPr>
      </w:pPr>
      <w:bookmarkStart w:id="1388" w:name="DESCRIPTORALFABETICO420"/>
      <w:r w:rsidRPr="00F80910">
        <w:rPr>
          <w:rStyle w:val="TextoNormalNegritaCaracter"/>
        </w:rPr>
        <w:t>Red ferroviaria de interés general</w:t>
      </w:r>
      <w:bookmarkEnd w:id="1388"/>
      <w:r w:rsidRPr="00F80910">
        <w:rPr>
          <w:rStyle w:val="TextoNormalCaracter"/>
        </w:rPr>
        <w:t xml:space="preserve">, Sentencia </w:t>
      </w:r>
      <w:hyperlink w:anchor="SENTENCIA_2015_197" w:history="1">
        <w:r w:rsidRPr="00F80910">
          <w:rPr>
            <w:rStyle w:val="TextoNormalCaracter"/>
          </w:rPr>
          <w:t>197/2015</w:t>
        </w:r>
      </w:hyperlink>
      <w:r w:rsidRPr="00F80910">
        <w:rPr>
          <w:rStyle w:val="TextoNormalCaracter"/>
        </w:rPr>
        <w:t>, ff. 5 a 7.</w:t>
      </w:r>
    </w:p>
    <w:p w:rsidR="00F80910" w:rsidRPr="00F80910" w:rsidRDefault="00F80910" w:rsidP="00F80910">
      <w:pPr>
        <w:pStyle w:val="TextoNormalSangraFrancesa"/>
        <w:rPr>
          <w:rStyle w:val="TextoNormalCaracter"/>
        </w:rPr>
      </w:pPr>
      <w:bookmarkStart w:id="1389" w:name="DESCRIPTORALFABETICO308"/>
      <w:r w:rsidRPr="00F80910">
        <w:rPr>
          <w:rStyle w:val="TextoNormalNegritaCaracter"/>
        </w:rPr>
        <w:t>Reforma constitucional</w:t>
      </w:r>
      <w:bookmarkEnd w:id="1389"/>
      <w:r w:rsidRPr="00F80910">
        <w:rPr>
          <w:rStyle w:val="TextoNormalCaracter"/>
        </w:rPr>
        <w:t xml:space="preserve">, Sentencia </w:t>
      </w:r>
      <w:hyperlink w:anchor="SENTENCIA_2015_259" w:history="1">
        <w:r w:rsidRPr="00F80910">
          <w:rPr>
            <w:rStyle w:val="TextoNormalCaracter"/>
          </w:rPr>
          <w:t>259/2015</w:t>
        </w:r>
      </w:hyperlink>
      <w:r w:rsidRPr="00F80910">
        <w:rPr>
          <w:rStyle w:val="TextoNormalCaracter"/>
        </w:rPr>
        <w:t>, f. 7.</w:t>
      </w:r>
    </w:p>
    <w:p w:rsidR="00F80910" w:rsidRPr="00F80910" w:rsidRDefault="00F80910" w:rsidP="00F80910">
      <w:pPr>
        <w:pStyle w:val="TextoNormalSangraFrancesa"/>
        <w:rPr>
          <w:rStyle w:val="TextoNormalCaracter"/>
        </w:rPr>
      </w:pPr>
      <w:bookmarkStart w:id="1390" w:name="DESCRIPTORALFABETICO113"/>
      <w:r w:rsidRPr="00F80910">
        <w:rPr>
          <w:rStyle w:val="TextoNormalNegritaCaracter"/>
          <w:i/>
        </w:rPr>
        <w:t>Reformatio in peius</w:t>
      </w:r>
      <w:bookmarkEnd w:id="1390"/>
      <w:r w:rsidRPr="00F80910">
        <w:rPr>
          <w:rStyle w:val="TextoNormalCaracter"/>
        </w:rPr>
        <w:t xml:space="preserve">, </w:t>
      </w:r>
    </w:p>
    <w:p w:rsidR="00F80910" w:rsidRPr="00F80910" w:rsidRDefault="00F80910" w:rsidP="00F80910">
      <w:pPr>
        <w:pStyle w:val="TextoNormalSangraFrancesa"/>
        <w:rPr>
          <w:rStyle w:val="TextoNormalCaracter"/>
        </w:rPr>
      </w:pPr>
      <w:r w:rsidRPr="00F80910">
        <w:rPr>
          <w:rStyle w:val="TextoNormalCursivaCaracter"/>
        </w:rPr>
        <w:t xml:space="preserve">    Vulnerado, </w:t>
      </w:r>
      <w:r w:rsidRPr="00F80910">
        <w:rPr>
          <w:rStyle w:val="TextoNormalCaracter"/>
        </w:rPr>
        <w:t xml:space="preserve">Sentencia </w:t>
      </w:r>
      <w:hyperlink w:anchor="SENTENCIA_2015_223" w:history="1">
        <w:r w:rsidRPr="00F80910">
          <w:rPr>
            <w:rStyle w:val="TextoNormalCaracter"/>
          </w:rPr>
          <w:t>223/2015</w:t>
        </w:r>
      </w:hyperlink>
      <w:r w:rsidRPr="00F80910">
        <w:rPr>
          <w:rStyle w:val="TextoNormalCaracter"/>
        </w:rPr>
        <w:t>, ff. 2, 4.</w:t>
      </w:r>
    </w:p>
    <w:p w:rsidR="00F80910" w:rsidRPr="00F80910" w:rsidRDefault="00F80910" w:rsidP="00F80910">
      <w:pPr>
        <w:pStyle w:val="TextoNormalSangraFrancesa"/>
        <w:rPr>
          <w:rStyle w:val="TextoNormalCaracter"/>
        </w:rPr>
      </w:pPr>
      <w:bookmarkStart w:id="1391" w:name="DESCRIPTORALFABETICO327"/>
      <w:r w:rsidRPr="00F80910">
        <w:rPr>
          <w:rStyle w:val="TextoNormalNegritaCaracter"/>
        </w:rPr>
        <w:t>Régimen disciplinario de los funcionarios públicos</w:t>
      </w:r>
      <w:bookmarkEnd w:id="1391"/>
      <w:r w:rsidRPr="00F80910">
        <w:rPr>
          <w:rStyle w:val="TextoNormalCaracter"/>
        </w:rPr>
        <w:t xml:space="preserve">, Sentencia </w:t>
      </w:r>
      <w:hyperlink w:anchor="SENTENCIA_2015_187" w:history="1">
        <w:r w:rsidRPr="00F80910">
          <w:rPr>
            <w:rStyle w:val="TextoNormalCaracter"/>
          </w:rPr>
          <w:t>187/2015</w:t>
        </w:r>
      </w:hyperlink>
      <w:r w:rsidRPr="00F80910">
        <w:rPr>
          <w:rStyle w:val="TextoNormalCaracter"/>
        </w:rPr>
        <w:t>, ff. 2 a 5.</w:t>
      </w:r>
    </w:p>
    <w:p w:rsidR="00F80910" w:rsidRPr="00F80910" w:rsidRDefault="00F80910" w:rsidP="00F80910">
      <w:pPr>
        <w:pStyle w:val="TextoNormalSangraFrancesa"/>
        <w:rPr>
          <w:rStyle w:val="TextoNormalCaracter"/>
        </w:rPr>
      </w:pPr>
      <w:bookmarkStart w:id="1392" w:name="DESCRIPTORALFABETICO499"/>
      <w:r w:rsidRPr="00F80910">
        <w:rPr>
          <w:rStyle w:val="TextoNormalNegritaCaracter"/>
        </w:rPr>
        <w:t>Régimen económico de la Seguridad Social</w:t>
      </w:r>
      <w:bookmarkEnd w:id="1392"/>
      <w:r w:rsidRPr="00F80910">
        <w:rPr>
          <w:rStyle w:val="TextoNormalCaracter"/>
        </w:rPr>
        <w:t xml:space="preserve">, Sentencia </w:t>
      </w:r>
      <w:hyperlink w:anchor="SENTENCIA_2015_272" w:history="1">
        <w:r w:rsidRPr="00F80910">
          <w:rPr>
            <w:rStyle w:val="TextoNormalCaracter"/>
          </w:rPr>
          <w:t>272/2015</w:t>
        </w:r>
      </w:hyperlink>
      <w:r w:rsidRPr="00F80910">
        <w:rPr>
          <w:rStyle w:val="TextoNormalCaracter"/>
        </w:rPr>
        <w:t>, ff. 3, 4.</w:t>
      </w:r>
    </w:p>
    <w:p w:rsidR="00F80910" w:rsidRPr="00F80910" w:rsidRDefault="00F80910" w:rsidP="00F80910">
      <w:pPr>
        <w:pStyle w:val="TextoNormalSangraFrancesa"/>
        <w:rPr>
          <w:rStyle w:val="TextoNormalCaracter"/>
        </w:rPr>
      </w:pPr>
      <w:bookmarkStart w:id="1393" w:name="DESCRIPTORALFABETICO330"/>
      <w:r w:rsidRPr="00F80910">
        <w:rPr>
          <w:rStyle w:val="TextoNormalNegritaCaracter"/>
        </w:rPr>
        <w:t>Régimen estatutario</w:t>
      </w:r>
      <w:bookmarkEnd w:id="1393"/>
      <w:r w:rsidRPr="00F80910">
        <w:rPr>
          <w:rStyle w:val="TextoNormalCaracter"/>
        </w:rPr>
        <w:t xml:space="preserve">, Sentencias </w:t>
      </w:r>
      <w:hyperlink w:anchor="SENTENCIA_2015_236" w:history="1">
        <w:r w:rsidRPr="00F80910">
          <w:rPr>
            <w:rStyle w:val="TextoNormalCaracter"/>
          </w:rPr>
          <w:t>236/2015</w:t>
        </w:r>
      </w:hyperlink>
      <w:r w:rsidRPr="00F80910">
        <w:rPr>
          <w:rStyle w:val="TextoNormalCaracter"/>
        </w:rPr>
        <w:t xml:space="preserve">, ff. 3, 4, 7; </w:t>
      </w:r>
      <w:hyperlink w:anchor="SENTENCIA_2015_238" w:history="1">
        <w:r w:rsidRPr="00F80910">
          <w:rPr>
            <w:rStyle w:val="TextoNormalCaracter"/>
          </w:rPr>
          <w:t>238/2015</w:t>
        </w:r>
      </w:hyperlink>
      <w:r w:rsidRPr="00F80910">
        <w:rPr>
          <w:rStyle w:val="TextoNormalCaracter"/>
        </w:rPr>
        <w:t>, ff. 3, 6.</w:t>
      </w:r>
    </w:p>
    <w:p w:rsidR="00F80910" w:rsidRPr="00F80910" w:rsidRDefault="00F80910" w:rsidP="00F80910">
      <w:pPr>
        <w:pStyle w:val="TextoNormalSangraFrancesa"/>
        <w:rPr>
          <w:rStyle w:val="TextoNormalCaracter"/>
        </w:rPr>
      </w:pPr>
      <w:bookmarkStart w:id="1394" w:name="DESCRIPTORALFABETICO387"/>
      <w:r w:rsidRPr="00F80910">
        <w:rPr>
          <w:rStyle w:val="TextoNormalNegritaCaracter"/>
        </w:rPr>
        <w:t>Régimen minero</w:t>
      </w:r>
      <w:bookmarkEnd w:id="1394"/>
      <w:r w:rsidRPr="00F80910">
        <w:rPr>
          <w:rStyle w:val="TextoNormalCaracter"/>
        </w:rPr>
        <w:t xml:space="preserve">, Sentencias </w:t>
      </w:r>
      <w:hyperlink w:anchor="SENTENCIA_2015_199" w:history="1">
        <w:r w:rsidRPr="00F80910">
          <w:rPr>
            <w:rStyle w:val="TextoNormalCaracter"/>
          </w:rPr>
          <w:t>199/2015</w:t>
        </w:r>
      </w:hyperlink>
      <w:r w:rsidRPr="00F80910">
        <w:rPr>
          <w:rStyle w:val="TextoNormalCaracter"/>
        </w:rPr>
        <w:t xml:space="preserve">, f. 8; </w:t>
      </w:r>
      <w:hyperlink w:anchor="SENTENCIA_2015_260" w:history="1">
        <w:r w:rsidRPr="00F80910">
          <w:rPr>
            <w:rStyle w:val="TextoNormalCaracter"/>
          </w:rPr>
          <w:t>260/2015</w:t>
        </w:r>
      </w:hyperlink>
      <w:r w:rsidRPr="00F80910">
        <w:rPr>
          <w:rStyle w:val="TextoNormalCaracter"/>
        </w:rPr>
        <w:t>, ff. 3 a 5.</w:t>
      </w:r>
    </w:p>
    <w:p w:rsidR="00F80910" w:rsidRPr="00F80910" w:rsidRDefault="00F80910" w:rsidP="00F80910">
      <w:pPr>
        <w:pStyle w:val="TextoNormalSangraFrancesa"/>
        <w:rPr>
          <w:rStyle w:val="TextoNormalCaracter"/>
        </w:rPr>
      </w:pPr>
      <w:bookmarkStart w:id="1395" w:name="DESCRIPTORALFABETICO610"/>
      <w:r w:rsidRPr="00F80910">
        <w:rPr>
          <w:rStyle w:val="TextoNormalNegritaCaracter"/>
        </w:rPr>
        <w:t>Región de Murcia</w:t>
      </w:r>
      <w:bookmarkEnd w:id="1395"/>
      <w:r w:rsidRPr="00F80910">
        <w:rPr>
          <w:rStyle w:val="TextoNormalCaracter"/>
        </w:rPr>
        <w:t xml:space="preserve">, Sentencia </w:t>
      </w:r>
      <w:hyperlink w:anchor="SENTENCIA_2015_160" w:history="1">
        <w:r w:rsidRPr="00F80910">
          <w:rPr>
            <w:rStyle w:val="TextoNormalCaracter"/>
          </w:rPr>
          <w:t>160/2015</w:t>
        </w:r>
      </w:hyperlink>
      <w:r w:rsidRPr="00F80910">
        <w:rPr>
          <w:rStyle w:val="TextoNormalCaracter"/>
        </w:rPr>
        <w:t>, f. 1.</w:t>
      </w:r>
    </w:p>
    <w:p w:rsidR="00F80910" w:rsidRPr="00F80910" w:rsidRDefault="00F80910" w:rsidP="00F80910">
      <w:pPr>
        <w:pStyle w:val="TextoNormalSangraFrancesa"/>
        <w:rPr>
          <w:rStyle w:val="TextoNormalCaracter"/>
        </w:rPr>
      </w:pPr>
      <w:bookmarkStart w:id="1396" w:name="DESCRIPTORALFABETICO344"/>
      <w:r w:rsidRPr="00F80910">
        <w:rPr>
          <w:rStyle w:val="TextoNormalNegritaCaracter"/>
        </w:rPr>
        <w:t>Registro Civil</w:t>
      </w:r>
      <w:bookmarkEnd w:id="1396"/>
      <w:r w:rsidRPr="00F80910">
        <w:rPr>
          <w:rStyle w:val="TextoNormalCaracter"/>
        </w:rPr>
        <w:t xml:space="preserve">, Sentencia </w:t>
      </w:r>
      <w:hyperlink w:anchor="SENTENCIA_2015_199" w:history="1">
        <w:r w:rsidRPr="00F80910">
          <w:rPr>
            <w:rStyle w:val="TextoNormalCaracter"/>
          </w:rPr>
          <w:t>199/2015</w:t>
        </w:r>
      </w:hyperlink>
      <w:r w:rsidRPr="00F80910">
        <w:rPr>
          <w:rStyle w:val="TextoNormalCaracter"/>
        </w:rPr>
        <w:t>, f. 10.</w:t>
      </w:r>
    </w:p>
    <w:p w:rsidR="00F80910" w:rsidRPr="00F80910" w:rsidRDefault="00F80910" w:rsidP="00F80910">
      <w:pPr>
        <w:pStyle w:val="TextoNormalSangraFrancesa"/>
        <w:rPr>
          <w:rStyle w:val="TextoNormalCaracter"/>
        </w:rPr>
      </w:pPr>
      <w:bookmarkStart w:id="1397" w:name="DESCRIPTORALFABETICO346"/>
      <w:r w:rsidRPr="00F80910">
        <w:rPr>
          <w:rStyle w:val="TextoNormalNegritaCaracter"/>
        </w:rPr>
        <w:t>Registro de bienes muebles</w:t>
      </w:r>
      <w:bookmarkEnd w:id="1397"/>
      <w:r w:rsidRPr="00F80910">
        <w:rPr>
          <w:rStyle w:val="TextoNormalCaracter"/>
        </w:rPr>
        <w:t xml:space="preserve">, Auto </w:t>
      </w:r>
      <w:hyperlink w:anchor="AUTO_2015_185" w:history="1">
        <w:r w:rsidRPr="00F80910">
          <w:rPr>
            <w:rStyle w:val="TextoNormalCaracter"/>
          </w:rPr>
          <w:t>185/2015</w:t>
        </w:r>
      </w:hyperlink>
      <w:r w:rsidRPr="00F80910">
        <w:rPr>
          <w:rStyle w:val="TextoNormalCaracter"/>
        </w:rPr>
        <w:t>, f. 1.</w:t>
      </w:r>
    </w:p>
    <w:p w:rsidR="00F80910" w:rsidRPr="00F80910" w:rsidRDefault="00F80910" w:rsidP="00F80910">
      <w:pPr>
        <w:pStyle w:val="TextoNormalSangraFrancesa"/>
        <w:rPr>
          <w:rStyle w:val="TextoNormalCaracter"/>
        </w:rPr>
      </w:pPr>
      <w:bookmarkStart w:id="1398" w:name="DESCRIPTORALFABETICO347"/>
      <w:r w:rsidRPr="00F80910">
        <w:rPr>
          <w:rStyle w:val="TextoNormalNegritaCaracter"/>
        </w:rPr>
        <w:t>Registro de la Propiedad</w:t>
      </w:r>
      <w:bookmarkEnd w:id="1398"/>
      <w:r w:rsidRPr="00F80910">
        <w:rPr>
          <w:rStyle w:val="TextoNormalCaracter"/>
        </w:rPr>
        <w:t xml:space="preserve">, Auto </w:t>
      </w:r>
      <w:hyperlink w:anchor="AUTO_2015_185" w:history="1">
        <w:r w:rsidRPr="00F80910">
          <w:rPr>
            <w:rStyle w:val="TextoNormalCaracter"/>
          </w:rPr>
          <w:t>185/2015</w:t>
        </w:r>
      </w:hyperlink>
      <w:r w:rsidRPr="00F80910">
        <w:rPr>
          <w:rStyle w:val="TextoNormalCaracter"/>
        </w:rPr>
        <w:t>, f. 1.</w:t>
      </w:r>
    </w:p>
    <w:p w:rsidR="00F80910" w:rsidRPr="00F80910" w:rsidRDefault="00F80910" w:rsidP="00F80910">
      <w:pPr>
        <w:pStyle w:val="TextoNormalSangraFrancesa"/>
        <w:rPr>
          <w:rStyle w:val="TextoNormalCaracter"/>
        </w:rPr>
      </w:pPr>
      <w:bookmarkStart w:id="1399" w:name="DESCRIPTORALFABETICO348"/>
      <w:r w:rsidRPr="00F80910">
        <w:rPr>
          <w:rStyle w:val="TextoNormalNegritaCaracter"/>
        </w:rPr>
        <w:t>Registro Mercantil</w:t>
      </w:r>
      <w:bookmarkEnd w:id="1399"/>
      <w:r w:rsidRPr="00F80910">
        <w:rPr>
          <w:rStyle w:val="TextoNormalCaracter"/>
        </w:rPr>
        <w:t xml:space="preserve">, Auto </w:t>
      </w:r>
      <w:hyperlink w:anchor="AUTO_2015_185" w:history="1">
        <w:r w:rsidRPr="00F80910">
          <w:rPr>
            <w:rStyle w:val="TextoNormalCaracter"/>
          </w:rPr>
          <w:t>185/2015</w:t>
        </w:r>
      </w:hyperlink>
      <w:r w:rsidRPr="00F80910">
        <w:rPr>
          <w:rStyle w:val="TextoNormalCaracter"/>
        </w:rPr>
        <w:t>, f. 1.</w:t>
      </w:r>
    </w:p>
    <w:p w:rsidR="00F80910" w:rsidRPr="00F80910" w:rsidRDefault="00F80910" w:rsidP="00F80910">
      <w:pPr>
        <w:pStyle w:val="TextoNormalSangraFrancesa"/>
        <w:rPr>
          <w:rStyle w:val="TextoNormalCaracter"/>
        </w:rPr>
      </w:pPr>
      <w:bookmarkStart w:id="1400" w:name="DESCRIPTORALFABETICO479"/>
      <w:r w:rsidRPr="00F80910">
        <w:rPr>
          <w:rStyle w:val="TextoNormalNegritaCaracter"/>
        </w:rPr>
        <w:t>Reinserción social</w:t>
      </w:r>
      <w:bookmarkEnd w:id="1400"/>
      <w:r w:rsidRPr="00F80910">
        <w:rPr>
          <w:rStyle w:val="TextoNormalCaracter"/>
        </w:rPr>
        <w:t xml:space="preserve">, Sentencia </w:t>
      </w:r>
      <w:hyperlink w:anchor="SENTENCIA_2015_226" w:history="1">
        <w:r w:rsidRPr="00F80910">
          <w:rPr>
            <w:rStyle w:val="TextoNormalCaracter"/>
          </w:rPr>
          <w:t>226/2015</w:t>
        </w:r>
      </w:hyperlink>
      <w:r w:rsidRPr="00F80910">
        <w:rPr>
          <w:rStyle w:val="TextoNormalCaracter"/>
        </w:rPr>
        <w:t>, f. 7.</w:t>
      </w:r>
    </w:p>
    <w:p w:rsidR="00F80910" w:rsidRPr="00F80910" w:rsidRDefault="00F80910" w:rsidP="00F80910">
      <w:pPr>
        <w:pStyle w:val="TextoNormalSangraFrancesa"/>
        <w:rPr>
          <w:rStyle w:val="TextoNormalCaracter"/>
        </w:rPr>
      </w:pPr>
      <w:bookmarkStart w:id="1401" w:name="DESCRIPTORALFABETICO491"/>
      <w:r w:rsidRPr="00F80910">
        <w:rPr>
          <w:rStyle w:val="TextoNormalNegritaCaracter"/>
        </w:rPr>
        <w:t>Relaciones de especial sujeción</w:t>
      </w:r>
      <w:bookmarkEnd w:id="1401"/>
      <w:r w:rsidRPr="00F80910">
        <w:rPr>
          <w:rStyle w:val="TextoNormalCaracter"/>
        </w:rPr>
        <w:t xml:space="preserve">, Sentencia </w:t>
      </w:r>
      <w:hyperlink w:anchor="SENTENCIA_2015_187" w:history="1">
        <w:r w:rsidRPr="00F80910">
          <w:rPr>
            <w:rStyle w:val="TextoNormalCaracter"/>
          </w:rPr>
          <w:t>187/2015</w:t>
        </w:r>
      </w:hyperlink>
      <w:r w:rsidRPr="00F80910">
        <w:rPr>
          <w:rStyle w:val="TextoNormalCaracter"/>
        </w:rPr>
        <w:t>, f. 4.</w:t>
      </w:r>
    </w:p>
    <w:p w:rsidR="00F80910" w:rsidRPr="00F80910" w:rsidRDefault="00F80910" w:rsidP="00F80910">
      <w:pPr>
        <w:pStyle w:val="TextoNormalSangraFrancesa"/>
        <w:rPr>
          <w:rStyle w:val="TextoNormalCaracter"/>
        </w:rPr>
      </w:pPr>
      <w:bookmarkStart w:id="1402" w:name="DESCRIPTORALFABETICO313"/>
      <w:r w:rsidRPr="00F80910">
        <w:rPr>
          <w:rStyle w:val="TextoNormalNegritaCaracter"/>
        </w:rPr>
        <w:t>Relaciones de las Comunidades Autónomas con la Unión Europea</w:t>
      </w:r>
      <w:bookmarkEnd w:id="1402"/>
      <w:r w:rsidRPr="00F80910">
        <w:rPr>
          <w:rStyle w:val="TextoNormalCaracter"/>
        </w:rPr>
        <w:t xml:space="preserve">, Auto </w:t>
      </w:r>
      <w:hyperlink w:anchor="AUTO_2015_122" w:history="1">
        <w:r w:rsidRPr="00F80910">
          <w:rPr>
            <w:rStyle w:val="TextoNormalCaracter"/>
          </w:rPr>
          <w:t>122/2015</w:t>
        </w:r>
      </w:hyperlink>
      <w:r w:rsidRPr="00F80910">
        <w:rPr>
          <w:rStyle w:val="TextoNormalCaracter"/>
        </w:rPr>
        <w:t>, ff. 5 a 7.</w:t>
      </w:r>
    </w:p>
    <w:p w:rsidR="00F80910" w:rsidRPr="00F80910" w:rsidRDefault="00F80910" w:rsidP="00F80910">
      <w:pPr>
        <w:pStyle w:val="TextoNormalSangraFrancesa"/>
        <w:rPr>
          <w:rStyle w:val="TextoNormalCaracter"/>
        </w:rPr>
      </w:pPr>
      <w:bookmarkStart w:id="1403" w:name="DESCRIPTORALFABETICO474"/>
      <w:r w:rsidRPr="00F80910">
        <w:rPr>
          <w:rStyle w:val="TextoNormalNegritaCaracter"/>
        </w:rPr>
        <w:t>Remisión a normas reglamentarias</w:t>
      </w:r>
      <w:bookmarkEnd w:id="1403"/>
      <w:r w:rsidRPr="00F80910">
        <w:rPr>
          <w:rStyle w:val="TextoNormalCaracter"/>
        </w:rPr>
        <w:t xml:space="preserve">, Sentencia </w:t>
      </w:r>
      <w:hyperlink w:anchor="SENTENCIA_2015_233" w:history="1">
        <w:r w:rsidRPr="00F80910">
          <w:rPr>
            <w:rStyle w:val="TextoNormalCaracter"/>
          </w:rPr>
          <w:t>233/2015</w:t>
        </w:r>
      </w:hyperlink>
      <w:r w:rsidRPr="00F80910">
        <w:rPr>
          <w:rStyle w:val="TextoNormalCaracter"/>
        </w:rPr>
        <w:t>, ff. 3, 5, 6.</w:t>
      </w:r>
    </w:p>
    <w:p w:rsidR="00F80910" w:rsidRPr="00F80910" w:rsidRDefault="00F80910" w:rsidP="00F80910">
      <w:pPr>
        <w:pStyle w:val="TextoNormalSangraFrancesa"/>
        <w:rPr>
          <w:rStyle w:val="TextoNormalCaracter"/>
        </w:rPr>
      </w:pPr>
      <w:bookmarkStart w:id="1404" w:name="DESCRIPTORALFABETICO240"/>
      <w:r w:rsidRPr="00F80910">
        <w:rPr>
          <w:rStyle w:val="TextoNormalNegritaCaracter"/>
        </w:rPr>
        <w:t>Repercusión política del asunto</w:t>
      </w:r>
      <w:bookmarkEnd w:id="1404"/>
      <w:r w:rsidRPr="00F80910">
        <w:rPr>
          <w:rStyle w:val="TextoNormalCaracter"/>
        </w:rPr>
        <w:t xml:space="preserve">, Sentencia </w:t>
      </w:r>
      <w:hyperlink w:anchor="SENTENCIA_2015_159" w:history="1">
        <w:r w:rsidRPr="00F80910">
          <w:rPr>
            <w:rStyle w:val="TextoNormalCaracter"/>
          </w:rPr>
          <w:t>159/2015</w:t>
        </w:r>
      </w:hyperlink>
      <w:r w:rsidRPr="00F80910">
        <w:rPr>
          <w:rStyle w:val="TextoNormalCaracter"/>
        </w:rPr>
        <w:t>, f. 2.</w:t>
      </w:r>
    </w:p>
    <w:p w:rsidR="00F80910" w:rsidRPr="00F80910" w:rsidRDefault="00F80910" w:rsidP="00F80910">
      <w:pPr>
        <w:pStyle w:val="TextoNormalSangraFrancesa"/>
        <w:rPr>
          <w:rStyle w:val="TextoNormalCaracter"/>
        </w:rPr>
      </w:pPr>
      <w:bookmarkStart w:id="1405" w:name="DESCRIPTORALFABETICO560"/>
      <w:r w:rsidRPr="00F80910">
        <w:rPr>
          <w:rStyle w:val="TextoNormalNegritaCaracter"/>
        </w:rPr>
        <w:t>Representación procesal</w:t>
      </w:r>
      <w:bookmarkEnd w:id="1405"/>
      <w:r w:rsidRPr="00F80910">
        <w:rPr>
          <w:rStyle w:val="TextoNormalCaracter"/>
        </w:rPr>
        <w:t xml:space="preserve">, Sentencia </w:t>
      </w:r>
      <w:hyperlink w:anchor="SENTENCIA_2015_207" w:history="1">
        <w:r w:rsidRPr="00F80910">
          <w:rPr>
            <w:rStyle w:val="TextoNormalCaracter"/>
          </w:rPr>
          <w:t>207/2015</w:t>
        </w:r>
      </w:hyperlink>
      <w:r w:rsidRPr="00F80910">
        <w:rPr>
          <w:rStyle w:val="TextoNormalCaracter"/>
        </w:rPr>
        <w:t>, ff. 2, 4.</w:t>
      </w:r>
    </w:p>
    <w:p w:rsidR="00F80910" w:rsidRPr="00F80910" w:rsidRDefault="00F80910" w:rsidP="00F80910">
      <w:pPr>
        <w:pStyle w:val="TextoNormalSangraFrancesa"/>
        <w:rPr>
          <w:rStyle w:val="TextoNormalCaracter"/>
        </w:rPr>
      </w:pPr>
      <w:bookmarkStart w:id="1406" w:name="DESCRIPTORALFABETICO504"/>
      <w:r w:rsidRPr="00F80910">
        <w:rPr>
          <w:rStyle w:val="TextoNormalNegritaCaracter"/>
        </w:rPr>
        <w:t>Representantes sindicales</w:t>
      </w:r>
      <w:bookmarkEnd w:id="1406"/>
      <w:r w:rsidRPr="00F80910">
        <w:rPr>
          <w:rStyle w:val="TextoNormalCaracter"/>
        </w:rPr>
        <w:t xml:space="preserve">, Sentencia </w:t>
      </w:r>
      <w:hyperlink w:anchor="SENTENCIA_2015_203" w:history="1">
        <w:r w:rsidRPr="00F80910">
          <w:rPr>
            <w:rStyle w:val="TextoNormalCaracter"/>
          </w:rPr>
          <w:t>203/2015</w:t>
        </w:r>
      </w:hyperlink>
      <w:r w:rsidRPr="00F80910">
        <w:rPr>
          <w:rStyle w:val="TextoNormalCaracter"/>
        </w:rPr>
        <w:t>, f. 1.</w:t>
      </w:r>
    </w:p>
    <w:p w:rsidR="00F80910" w:rsidRPr="00F80910" w:rsidRDefault="00F80910" w:rsidP="00F80910">
      <w:pPr>
        <w:pStyle w:val="TextoNormalSangraFrancesa"/>
        <w:rPr>
          <w:rStyle w:val="TextoNormalCaracter"/>
        </w:rPr>
      </w:pPr>
      <w:bookmarkStart w:id="1407" w:name="DESCRIPTORALFABETICO450"/>
      <w:r w:rsidRPr="00F80910">
        <w:rPr>
          <w:rStyle w:val="TextoNormalNegritaCaracter"/>
        </w:rPr>
        <w:t>Requisitos de los decretos-leyes</w:t>
      </w:r>
      <w:bookmarkEnd w:id="1407"/>
      <w:r w:rsidRPr="00F80910">
        <w:rPr>
          <w:rStyle w:val="TextoNormalCaracter"/>
        </w:rPr>
        <w:t xml:space="preserve">, Sentencias </w:t>
      </w:r>
      <w:hyperlink w:anchor="SENTENCIA_2015_156" w:history="1">
        <w:r w:rsidRPr="00F80910">
          <w:rPr>
            <w:rStyle w:val="TextoNormalCaracter"/>
          </w:rPr>
          <w:t>156/2015</w:t>
        </w:r>
      </w:hyperlink>
      <w:r w:rsidRPr="00F80910">
        <w:rPr>
          <w:rStyle w:val="TextoNormalCaracter"/>
        </w:rPr>
        <w:t xml:space="preserve">, ff. 2, 3; </w:t>
      </w:r>
      <w:hyperlink w:anchor="SENTENCIA_2015_196" w:history="1">
        <w:r w:rsidRPr="00F80910">
          <w:rPr>
            <w:rStyle w:val="TextoNormalCaracter"/>
          </w:rPr>
          <w:t>196/2015</w:t>
        </w:r>
      </w:hyperlink>
      <w:r w:rsidRPr="00F80910">
        <w:rPr>
          <w:rStyle w:val="TextoNormalCaracter"/>
        </w:rPr>
        <w:t xml:space="preserve">, ff. 3 a 5; </w:t>
      </w:r>
      <w:hyperlink w:anchor="SENTENCIA_2015_197" w:history="1">
        <w:r w:rsidRPr="00F80910">
          <w:rPr>
            <w:rStyle w:val="TextoNormalCaracter"/>
          </w:rPr>
          <w:t>197/2015</w:t>
        </w:r>
      </w:hyperlink>
      <w:r w:rsidRPr="00F80910">
        <w:rPr>
          <w:rStyle w:val="TextoNormalCaracter"/>
        </w:rPr>
        <w:t xml:space="preserve">, ff. 1 a 3; </w:t>
      </w:r>
      <w:hyperlink w:anchor="SENTENCIA_2015_199" w:history="1">
        <w:r w:rsidRPr="00F80910">
          <w:rPr>
            <w:rStyle w:val="TextoNormalCaracter"/>
          </w:rPr>
          <w:t>199/2015</w:t>
        </w:r>
      </w:hyperlink>
      <w:r w:rsidRPr="00F80910">
        <w:rPr>
          <w:rStyle w:val="TextoNormalCaracter"/>
        </w:rPr>
        <w:t>, ff. 3 a 10.</w:t>
      </w:r>
    </w:p>
    <w:p w:rsidR="00F80910" w:rsidRPr="00F80910" w:rsidRDefault="00F80910" w:rsidP="00F80910">
      <w:pPr>
        <w:pStyle w:val="TextoNormalSangraFrancesa"/>
        <w:rPr>
          <w:rStyle w:val="TextoNormalCaracter"/>
        </w:rPr>
      </w:pPr>
      <w:bookmarkStart w:id="1408" w:name="DESCRIPTORALFABETICO455"/>
      <w:r w:rsidRPr="00F80910">
        <w:rPr>
          <w:rStyle w:val="TextoNormalNegritaCaracter"/>
        </w:rPr>
        <w:t>Requisitos formales de la normativa básica</w:t>
      </w:r>
      <w:bookmarkEnd w:id="1408"/>
      <w:r w:rsidRPr="00F80910">
        <w:rPr>
          <w:rStyle w:val="TextoNormalCaracter"/>
        </w:rPr>
        <w:t xml:space="preserve">, Sentencias </w:t>
      </w:r>
      <w:hyperlink w:anchor="SENTENCIA_2015_214" w:history="1">
        <w:r w:rsidRPr="00F80910">
          <w:rPr>
            <w:rStyle w:val="TextoNormalCaracter"/>
          </w:rPr>
          <w:t>214/2015</w:t>
        </w:r>
      </w:hyperlink>
      <w:r w:rsidRPr="00F80910">
        <w:rPr>
          <w:rStyle w:val="TextoNormalCaracter"/>
        </w:rPr>
        <w:t xml:space="preserve">, f. 3; </w:t>
      </w:r>
      <w:hyperlink w:anchor="SENTENCIA_2015_229" w:history="1">
        <w:r w:rsidRPr="00F80910">
          <w:rPr>
            <w:rStyle w:val="TextoNormalCaracter"/>
          </w:rPr>
          <w:t>229/2015</w:t>
        </w:r>
      </w:hyperlink>
      <w:r w:rsidRPr="00F80910">
        <w:rPr>
          <w:rStyle w:val="TextoNormalCaracter"/>
        </w:rPr>
        <w:t>, f. 6.</w:t>
      </w:r>
    </w:p>
    <w:p w:rsidR="00F80910" w:rsidRPr="00F80910" w:rsidRDefault="00F80910" w:rsidP="00F80910">
      <w:pPr>
        <w:pStyle w:val="TextoNormalSangraFrancesa"/>
        <w:rPr>
          <w:rStyle w:val="TextoNormalCaracter"/>
        </w:rPr>
      </w:pPr>
      <w:bookmarkStart w:id="1409" w:name="DESCRIPTORALFABETICO457"/>
      <w:r w:rsidRPr="00F80910">
        <w:rPr>
          <w:rStyle w:val="TextoNormalNegritaCaracter"/>
        </w:rPr>
        <w:t>Requisitos materiales de la normativa básica</w:t>
      </w:r>
      <w:bookmarkEnd w:id="1409"/>
      <w:r w:rsidRPr="00F80910">
        <w:rPr>
          <w:rStyle w:val="TextoNormalCaracter"/>
        </w:rPr>
        <w:t xml:space="preserve">, Sentencias </w:t>
      </w:r>
      <w:hyperlink w:anchor="SENTENCIA_2015_214" w:history="1">
        <w:r w:rsidRPr="00F80910">
          <w:rPr>
            <w:rStyle w:val="TextoNormalCaracter"/>
          </w:rPr>
          <w:t>214/2015</w:t>
        </w:r>
      </w:hyperlink>
      <w:r w:rsidRPr="00F80910">
        <w:rPr>
          <w:rStyle w:val="TextoNormalCaracter"/>
        </w:rPr>
        <w:t xml:space="preserve">, f. 3; </w:t>
      </w:r>
      <w:hyperlink w:anchor="SENTENCIA_2015_215" w:history="1">
        <w:r w:rsidRPr="00F80910">
          <w:rPr>
            <w:rStyle w:val="TextoNormalCaracter"/>
          </w:rPr>
          <w:t>215/2015</w:t>
        </w:r>
      </w:hyperlink>
      <w:r w:rsidRPr="00F80910">
        <w:rPr>
          <w:rStyle w:val="TextoNormalCaracter"/>
        </w:rPr>
        <w:t xml:space="preserve">, f. 7; </w:t>
      </w:r>
      <w:hyperlink w:anchor="SENTENCIA_2015_229" w:history="1">
        <w:r w:rsidRPr="00F80910">
          <w:rPr>
            <w:rStyle w:val="TextoNormalCaracter"/>
          </w:rPr>
          <w:t>229/2015</w:t>
        </w:r>
      </w:hyperlink>
      <w:r w:rsidRPr="00F80910">
        <w:rPr>
          <w:rStyle w:val="TextoNormalCaracter"/>
        </w:rPr>
        <w:t>, f. 6.</w:t>
      </w:r>
    </w:p>
    <w:p w:rsidR="00F80910" w:rsidRPr="00F80910" w:rsidRDefault="00F80910" w:rsidP="00F80910">
      <w:pPr>
        <w:pStyle w:val="TextoNormalSangraFrancesa"/>
        <w:rPr>
          <w:rStyle w:val="TextoNormalCaracter"/>
        </w:rPr>
      </w:pPr>
      <w:bookmarkStart w:id="1410" w:name="DESCRIPTORALFABETICO396"/>
      <w:r w:rsidRPr="00F80910">
        <w:rPr>
          <w:rStyle w:val="TextoNormalNegritaCaracter"/>
        </w:rPr>
        <w:t>Requisitos para la obtención de permiso de residencia</w:t>
      </w:r>
      <w:bookmarkEnd w:id="1410"/>
      <w:r w:rsidRPr="00F80910">
        <w:rPr>
          <w:rStyle w:val="TextoNormalCaracter"/>
        </w:rPr>
        <w:t xml:space="preserve">, Sentencia </w:t>
      </w:r>
      <w:hyperlink w:anchor="SENTENCIA_2015_155" w:history="1">
        <w:r w:rsidRPr="00F80910">
          <w:rPr>
            <w:rStyle w:val="TextoNormalCaracter"/>
          </w:rPr>
          <w:t>155/2015</w:t>
        </w:r>
      </w:hyperlink>
      <w:r w:rsidRPr="00F80910">
        <w:rPr>
          <w:rStyle w:val="TextoNormalCaracter"/>
        </w:rPr>
        <w:t>, f. 2.</w:t>
      </w:r>
    </w:p>
    <w:p w:rsidR="00F80910" w:rsidRPr="00F80910" w:rsidRDefault="00F80910" w:rsidP="00F80910">
      <w:pPr>
        <w:pStyle w:val="TextoNormalSangraFrancesa"/>
        <w:rPr>
          <w:rStyle w:val="TextoNormalCaracter"/>
        </w:rPr>
      </w:pPr>
      <w:bookmarkStart w:id="1411" w:name="DESCRIPTORALFABETICO492"/>
      <w:r w:rsidRPr="00F80910">
        <w:rPr>
          <w:rStyle w:val="TextoNormalNegritaCaracter"/>
        </w:rPr>
        <w:t>Resarcimiento de daños</w:t>
      </w:r>
      <w:bookmarkEnd w:id="1411"/>
      <w:r w:rsidRPr="00F80910">
        <w:rPr>
          <w:rStyle w:val="TextoNormalCaracter"/>
        </w:rPr>
        <w:t xml:space="preserve">, Sentencia </w:t>
      </w:r>
      <w:hyperlink w:anchor="SENTENCIA_2015_169" w:history="1">
        <w:r w:rsidRPr="00F80910">
          <w:rPr>
            <w:rStyle w:val="TextoNormalCaracter"/>
          </w:rPr>
          <w:t>169/2015</w:t>
        </w:r>
      </w:hyperlink>
      <w:r w:rsidRPr="00F80910">
        <w:rPr>
          <w:rStyle w:val="TextoNormalCaracter"/>
        </w:rPr>
        <w:t>, ff. 5, 6.</w:t>
      </w:r>
    </w:p>
    <w:p w:rsidR="00F80910" w:rsidRPr="00F80910" w:rsidRDefault="00F80910" w:rsidP="00F80910">
      <w:pPr>
        <w:pStyle w:val="TextoNormalSangraFrancesa"/>
        <w:rPr>
          <w:rStyle w:val="TextoNormalCaracter"/>
        </w:rPr>
      </w:pPr>
      <w:bookmarkStart w:id="1412" w:name="DESCRIPTORALFABETICO476"/>
      <w:r w:rsidRPr="00F80910">
        <w:rPr>
          <w:rStyle w:val="TextoNormalNegritaCaracter"/>
        </w:rPr>
        <w:t>Reserva de ley</w:t>
      </w:r>
      <w:bookmarkEnd w:id="1412"/>
      <w:r w:rsidRPr="00F80910">
        <w:rPr>
          <w:rStyle w:val="TextoNormalCaracter"/>
        </w:rPr>
        <w:t xml:space="preserve">, Sentencia </w:t>
      </w:r>
      <w:hyperlink w:anchor="SENTENCIA_2015_233" w:history="1">
        <w:r w:rsidRPr="00F80910">
          <w:rPr>
            <w:rStyle w:val="TextoNormalCaracter"/>
          </w:rPr>
          <w:t>233/2015</w:t>
        </w:r>
      </w:hyperlink>
      <w:r w:rsidRPr="00F80910">
        <w:rPr>
          <w:rStyle w:val="TextoNormalCaracter"/>
        </w:rPr>
        <w:t>, ff. 3, 5.</w:t>
      </w:r>
    </w:p>
    <w:p w:rsidR="00F80910" w:rsidRPr="00F80910" w:rsidRDefault="00F80910" w:rsidP="00F80910">
      <w:pPr>
        <w:pStyle w:val="TextoNormalSangraFrancesa"/>
        <w:rPr>
          <w:rStyle w:val="TextoNormalCaracter"/>
        </w:rPr>
      </w:pPr>
      <w:bookmarkStart w:id="1413" w:name="DESCRIPTORALFABETICO114"/>
      <w:r w:rsidRPr="00F80910">
        <w:rPr>
          <w:rStyle w:val="TextoNormalNegritaCaracter"/>
        </w:rPr>
        <w:t>Resolución fundada en Derecho</w:t>
      </w:r>
      <w:bookmarkEnd w:id="1413"/>
      <w:r w:rsidRPr="00F80910">
        <w:rPr>
          <w:rStyle w:val="TextoNormalCaracter"/>
        </w:rPr>
        <w:t xml:space="preserve">, </w:t>
      </w:r>
    </w:p>
    <w:p w:rsidR="00F80910" w:rsidRPr="00F80910" w:rsidRDefault="00F80910" w:rsidP="00F80910">
      <w:pPr>
        <w:pStyle w:val="TextoNormalSangraFrancesa"/>
        <w:rPr>
          <w:rStyle w:val="TextoNormalCaracter"/>
        </w:rPr>
      </w:pPr>
      <w:r w:rsidRPr="00F80910">
        <w:rPr>
          <w:rStyle w:val="TextoNormalCursivaCaracter"/>
        </w:rPr>
        <w:t xml:space="preserve">    Vulnerado, </w:t>
      </w:r>
      <w:r w:rsidRPr="00F80910">
        <w:rPr>
          <w:rStyle w:val="TextoNormalCaracter"/>
        </w:rPr>
        <w:t xml:space="preserve">Sentencias </w:t>
      </w:r>
      <w:hyperlink w:anchor="SENTENCIA_2015_239" w:history="1">
        <w:r w:rsidRPr="00F80910">
          <w:rPr>
            <w:rStyle w:val="TextoNormalCaracter"/>
          </w:rPr>
          <w:t>239/2015</w:t>
        </w:r>
      </w:hyperlink>
      <w:r w:rsidRPr="00F80910">
        <w:rPr>
          <w:rStyle w:val="TextoNormalCaracter"/>
        </w:rPr>
        <w:t xml:space="preserve">, f. 4; </w:t>
      </w:r>
      <w:hyperlink w:anchor="SENTENCIA_2015_240" w:history="1">
        <w:r w:rsidRPr="00F80910">
          <w:rPr>
            <w:rStyle w:val="TextoNormalCaracter"/>
          </w:rPr>
          <w:t>240/2015</w:t>
        </w:r>
      </w:hyperlink>
      <w:r w:rsidRPr="00F80910">
        <w:rPr>
          <w:rStyle w:val="TextoNormalCaracter"/>
        </w:rPr>
        <w:t>, f. 4.</w:t>
      </w:r>
    </w:p>
    <w:p w:rsidR="00F80910" w:rsidRPr="00F80910" w:rsidRDefault="00F80910" w:rsidP="00F80910">
      <w:pPr>
        <w:pStyle w:val="TextoNormalSangraFrancesa"/>
        <w:rPr>
          <w:rStyle w:val="TextoNormalCaracter"/>
        </w:rPr>
      </w:pPr>
      <w:bookmarkStart w:id="1414" w:name="DESCRIPTORALFABETICO278"/>
      <w:r w:rsidRPr="00F80910">
        <w:rPr>
          <w:rStyle w:val="TextoNormalNegritaCaracter"/>
        </w:rPr>
        <w:t>Resoluciones parlamentarias</w:t>
      </w:r>
      <w:bookmarkEnd w:id="1414"/>
      <w:r w:rsidRPr="00F80910">
        <w:rPr>
          <w:rStyle w:val="TextoNormalCaracter"/>
        </w:rPr>
        <w:t xml:space="preserve">, Sentencia </w:t>
      </w:r>
      <w:hyperlink w:anchor="SENTENCIA_2015_259" w:history="1">
        <w:r w:rsidRPr="00F80910">
          <w:rPr>
            <w:rStyle w:val="TextoNormalCaracter"/>
          </w:rPr>
          <w:t>259/2015</w:t>
        </w:r>
      </w:hyperlink>
      <w:r w:rsidRPr="00F80910">
        <w:rPr>
          <w:rStyle w:val="TextoNormalCaracter"/>
        </w:rPr>
        <w:t>, f. 2.</w:t>
      </w:r>
    </w:p>
    <w:p w:rsidR="00F80910" w:rsidRPr="00F80910" w:rsidRDefault="00F80910" w:rsidP="00F80910">
      <w:pPr>
        <w:pStyle w:val="TextoNormalSangraFrancesa"/>
        <w:rPr>
          <w:rStyle w:val="TextoNormalCaracter"/>
        </w:rPr>
      </w:pPr>
      <w:r w:rsidRPr="00F80910">
        <w:rPr>
          <w:rStyle w:val="TextoNormalCaracter"/>
        </w:rPr>
        <w:t xml:space="preserve">    Autos </w:t>
      </w:r>
      <w:hyperlink w:anchor="AUTO_2015_189" w:history="1">
        <w:r w:rsidRPr="00F80910">
          <w:rPr>
            <w:rStyle w:val="TextoNormalCaracter"/>
          </w:rPr>
          <w:t>189/2015</w:t>
        </w:r>
      </w:hyperlink>
      <w:r w:rsidRPr="00F80910">
        <w:rPr>
          <w:rStyle w:val="TextoNormalCaracter"/>
        </w:rPr>
        <w:t xml:space="preserve">, f. 3; </w:t>
      </w:r>
      <w:hyperlink w:anchor="AUTO_2015_190" w:history="1">
        <w:r w:rsidRPr="00F80910">
          <w:rPr>
            <w:rStyle w:val="TextoNormalCaracter"/>
          </w:rPr>
          <w:t>190/2015</w:t>
        </w:r>
      </w:hyperlink>
      <w:r w:rsidRPr="00F80910">
        <w:rPr>
          <w:rStyle w:val="TextoNormalCaracter"/>
        </w:rPr>
        <w:t>, f. 3.</w:t>
      </w:r>
    </w:p>
    <w:p w:rsidR="00F80910" w:rsidRPr="00F80910" w:rsidRDefault="00F80910" w:rsidP="00F80910">
      <w:pPr>
        <w:pStyle w:val="TextoNormalSangraFrancesa"/>
        <w:rPr>
          <w:rStyle w:val="TextoNormalCaracter"/>
        </w:rPr>
      </w:pPr>
      <w:bookmarkStart w:id="1415" w:name="DESCRIPTORALFABETICO336"/>
      <w:r w:rsidRPr="00F80910">
        <w:rPr>
          <w:rStyle w:val="TextoNormalNegritaCaracter"/>
        </w:rPr>
        <w:t>Retribuciones complementarias</w:t>
      </w:r>
      <w:bookmarkEnd w:id="1415"/>
      <w:r w:rsidRPr="00F80910">
        <w:rPr>
          <w:rStyle w:val="TextoNormalCaracter"/>
        </w:rPr>
        <w:t xml:space="preserve">, Sentencia </w:t>
      </w:r>
      <w:hyperlink w:anchor="SENTENCIA_2015_232" w:history="1">
        <w:r w:rsidRPr="00F80910">
          <w:rPr>
            <w:rStyle w:val="TextoNormalCaracter"/>
          </w:rPr>
          <w:t>232/2015</w:t>
        </w:r>
      </w:hyperlink>
      <w:r w:rsidRPr="00F80910">
        <w:rPr>
          <w:rStyle w:val="TextoNormalCaracter"/>
        </w:rPr>
        <w:t>, ff. 1, 6.</w:t>
      </w:r>
    </w:p>
    <w:p w:rsidR="00F80910" w:rsidRPr="00F80910" w:rsidRDefault="00F80910" w:rsidP="00F80910">
      <w:pPr>
        <w:pStyle w:val="TextoNormalSangraFrancesa"/>
        <w:rPr>
          <w:rStyle w:val="TextoNormalCaracter"/>
        </w:rPr>
      </w:pPr>
      <w:bookmarkStart w:id="1416" w:name="DESCRIPTORALFABETICO337"/>
      <w:r w:rsidRPr="00F80910">
        <w:rPr>
          <w:rStyle w:val="TextoNormalNegritaCaracter"/>
        </w:rPr>
        <w:t>Retribuciones diferidas</w:t>
      </w:r>
      <w:bookmarkEnd w:id="1416"/>
      <w:r w:rsidRPr="00F80910">
        <w:rPr>
          <w:rStyle w:val="TextoNormalCaracter"/>
        </w:rPr>
        <w:t xml:space="preserve">, Sentencia </w:t>
      </w:r>
      <w:hyperlink w:anchor="SENTENCIA_2015_215" w:history="1">
        <w:r w:rsidRPr="00F80910">
          <w:rPr>
            <w:rStyle w:val="TextoNormalCaracter"/>
          </w:rPr>
          <w:t>215/2015</w:t>
        </w:r>
      </w:hyperlink>
      <w:r w:rsidRPr="00F80910">
        <w:rPr>
          <w:rStyle w:val="TextoNormalCaracter"/>
        </w:rPr>
        <w:t>, ff. 2, 5, 7.</w:t>
      </w:r>
    </w:p>
    <w:p w:rsidR="00F80910" w:rsidRPr="00F80910" w:rsidRDefault="00F80910" w:rsidP="00F80910">
      <w:pPr>
        <w:pStyle w:val="TextoNormalSangraFrancesa"/>
        <w:rPr>
          <w:rStyle w:val="TextoNormalCaracter"/>
        </w:rPr>
      </w:pPr>
      <w:bookmarkStart w:id="1417" w:name="DESCRIPTORALFABETICO465"/>
      <w:r w:rsidRPr="00F80910">
        <w:rPr>
          <w:rStyle w:val="TextoNormalNegritaCaracter"/>
        </w:rPr>
        <w:t>Retroactividad de las normas jurídicas</w:t>
      </w:r>
      <w:bookmarkEnd w:id="1417"/>
      <w:r w:rsidRPr="00F80910">
        <w:rPr>
          <w:rStyle w:val="TextoNormalCaracter"/>
        </w:rPr>
        <w:t xml:space="preserve">, Sentencia </w:t>
      </w:r>
      <w:hyperlink w:anchor="SENTENCIA_2015_154" w:history="1">
        <w:r w:rsidRPr="00F80910">
          <w:rPr>
            <w:rStyle w:val="TextoNormalCaracter"/>
          </w:rPr>
          <w:t>154/2015</w:t>
        </w:r>
      </w:hyperlink>
      <w:r w:rsidRPr="00F80910">
        <w:rPr>
          <w:rStyle w:val="TextoNormalCaracter"/>
        </w:rPr>
        <w:t>, f. 5.</w:t>
      </w:r>
    </w:p>
    <w:p w:rsidR="00F80910" w:rsidRPr="00F80910" w:rsidRDefault="00F80910" w:rsidP="00F80910">
      <w:pPr>
        <w:pStyle w:val="TextoNormalSangraFrancesa"/>
        <w:rPr>
          <w:rStyle w:val="TextoNormalCaracter"/>
        </w:rPr>
      </w:pPr>
      <w:bookmarkStart w:id="1418" w:name="DESCRIPTORALFABETICO411"/>
      <w:r w:rsidRPr="00F80910">
        <w:rPr>
          <w:rStyle w:val="TextoNormalNegritaCaracter"/>
        </w:rPr>
        <w:t>Robo</w:t>
      </w:r>
      <w:bookmarkEnd w:id="1418"/>
      <w:r w:rsidRPr="00F80910">
        <w:rPr>
          <w:rStyle w:val="TextoNormalCaracter"/>
        </w:rPr>
        <w:t xml:space="preserve">, Sentencia </w:t>
      </w:r>
      <w:hyperlink w:anchor="SENTENCIA_2015_223" w:history="1">
        <w:r w:rsidRPr="00F80910">
          <w:rPr>
            <w:rStyle w:val="TextoNormalCaracter"/>
          </w:rPr>
          <w:t>223/2015</w:t>
        </w:r>
      </w:hyperlink>
      <w:r w:rsidRPr="00F80910">
        <w:rPr>
          <w:rStyle w:val="TextoNormalCaracter"/>
        </w:rPr>
        <w:t>, f. 1.</w:t>
      </w:r>
    </w:p>
    <w:p w:rsidR="00F80910" w:rsidRDefault="00F80910" w:rsidP="00F80910">
      <w:pPr>
        <w:pStyle w:val="TextoNormalSangraFrancesa"/>
      </w:pPr>
    </w:p>
    <w:p w:rsidR="00F80910" w:rsidRDefault="00F80910" w:rsidP="00F80910">
      <w:pPr>
        <w:pStyle w:val="TextoNormalSangraFrancesa"/>
      </w:pPr>
    </w:p>
    <w:p w:rsidR="00F80910" w:rsidRDefault="00F80910" w:rsidP="00F80910">
      <w:pPr>
        <w:pStyle w:val="TextoNormalNegritaCentrado"/>
      </w:pPr>
      <w:r>
        <w:t>S</w:t>
      </w:r>
    </w:p>
    <w:p w:rsidR="00F80910" w:rsidRDefault="00F80910" w:rsidP="00F80910">
      <w:pPr>
        <w:pStyle w:val="TextoNormalNegritaCentrado"/>
      </w:pPr>
    </w:p>
    <w:p w:rsidR="00F80910" w:rsidRPr="00F80910" w:rsidRDefault="00F80910" w:rsidP="00F80910">
      <w:pPr>
        <w:pStyle w:val="TextoNormalSangraFrancesa"/>
        <w:rPr>
          <w:rStyle w:val="TextoNormalCaracter"/>
        </w:rPr>
      </w:pPr>
      <w:bookmarkStart w:id="1419" w:name="DESCRIPTORALFABETICO361"/>
      <w:r w:rsidRPr="00F80910">
        <w:rPr>
          <w:rStyle w:val="TextoNormalNegritaCaracter"/>
        </w:rPr>
        <w:t>Sanción disciplinaria por expresión injuriosa</w:t>
      </w:r>
      <w:bookmarkEnd w:id="1419"/>
      <w:r w:rsidRPr="00F80910">
        <w:rPr>
          <w:rStyle w:val="TextoNormalCaracter"/>
        </w:rPr>
        <w:t xml:space="preserve">, Sentencia </w:t>
      </w:r>
      <w:hyperlink w:anchor="SENTENCIA_2015_187" w:history="1">
        <w:r w:rsidRPr="00F80910">
          <w:rPr>
            <w:rStyle w:val="TextoNormalCaracter"/>
          </w:rPr>
          <w:t>187/2015</w:t>
        </w:r>
      </w:hyperlink>
      <w:r w:rsidRPr="00F80910">
        <w:rPr>
          <w:rStyle w:val="TextoNormalCaracter"/>
        </w:rPr>
        <w:t>, ff. 2 a 5.</w:t>
      </w:r>
    </w:p>
    <w:p w:rsidR="00F80910" w:rsidRPr="00F80910" w:rsidRDefault="00F80910" w:rsidP="00F80910">
      <w:pPr>
        <w:pStyle w:val="TextoNormalSangraFrancesa"/>
        <w:rPr>
          <w:rStyle w:val="TextoNormalCaracter"/>
        </w:rPr>
      </w:pPr>
      <w:bookmarkStart w:id="1420" w:name="DESCRIPTORALFABETICO360"/>
      <w:r w:rsidRPr="00F80910">
        <w:rPr>
          <w:rStyle w:val="TextoNormalNegritaCaracter"/>
        </w:rPr>
        <w:t>Sanciones administrativas</w:t>
      </w:r>
      <w:bookmarkEnd w:id="1420"/>
      <w:r w:rsidRPr="00F80910">
        <w:rPr>
          <w:rStyle w:val="TextoNormalCaracter"/>
        </w:rPr>
        <w:t xml:space="preserve">, Sentencia </w:t>
      </w:r>
      <w:hyperlink w:anchor="SENTENCIA_2015_169" w:history="1">
        <w:r w:rsidRPr="00F80910">
          <w:rPr>
            <w:rStyle w:val="TextoNormalCaracter"/>
          </w:rPr>
          <w:t>169/2015</w:t>
        </w:r>
      </w:hyperlink>
      <w:r w:rsidRPr="00F80910">
        <w:rPr>
          <w:rStyle w:val="TextoNormalCaracter"/>
        </w:rPr>
        <w:t>, ff. 5, 6.</w:t>
      </w:r>
    </w:p>
    <w:p w:rsidR="00F80910" w:rsidRPr="00F80910" w:rsidRDefault="00F80910" w:rsidP="00F80910">
      <w:pPr>
        <w:pStyle w:val="TextoNormalSangraFrancesa"/>
        <w:rPr>
          <w:rStyle w:val="TextoNormalCaracter"/>
        </w:rPr>
      </w:pPr>
      <w:bookmarkStart w:id="1421" w:name="DESCRIPTORALFABETICO297"/>
      <w:r w:rsidRPr="00F80910">
        <w:rPr>
          <w:rStyle w:val="TextoNormalNegritaCaracter"/>
        </w:rPr>
        <w:t>Sanciones administrativas con cobertura legal</w:t>
      </w:r>
      <w:bookmarkEnd w:id="1421"/>
      <w:r w:rsidRPr="00F80910">
        <w:rPr>
          <w:rStyle w:val="TextoNormalCaracter"/>
        </w:rPr>
        <w:t xml:space="preserve">, Sentencia </w:t>
      </w:r>
      <w:hyperlink w:anchor="SENTENCIA_2015_150" w:history="1">
        <w:r w:rsidRPr="00F80910">
          <w:rPr>
            <w:rStyle w:val="TextoNormalCaracter"/>
          </w:rPr>
          <w:t>150/2015</w:t>
        </w:r>
      </w:hyperlink>
      <w:r w:rsidRPr="00F80910">
        <w:rPr>
          <w:rStyle w:val="TextoNormalCaracter"/>
        </w:rPr>
        <w:t>, ff. 1, 2.</w:t>
      </w:r>
    </w:p>
    <w:p w:rsidR="00F80910" w:rsidRPr="00F80910" w:rsidRDefault="00F80910" w:rsidP="00F80910">
      <w:pPr>
        <w:pStyle w:val="TextoNormalSangraFrancesa"/>
        <w:rPr>
          <w:rStyle w:val="TextoNormalCaracter"/>
        </w:rPr>
      </w:pPr>
      <w:bookmarkStart w:id="1422" w:name="DESCRIPTORALFABETICO576"/>
      <w:r w:rsidRPr="00F80910">
        <w:rPr>
          <w:rStyle w:val="TextoNormalNegritaCaracter"/>
        </w:rPr>
        <w:t>Satisfacción extraprocesal de la pretensión</w:t>
      </w:r>
      <w:bookmarkEnd w:id="1422"/>
      <w:r w:rsidRPr="00F80910">
        <w:rPr>
          <w:rStyle w:val="TextoNormalCaracter"/>
        </w:rPr>
        <w:t xml:space="preserve">, Sentencias </w:t>
      </w:r>
      <w:hyperlink w:anchor="SENTENCIA_2015_188" w:history="1">
        <w:r w:rsidRPr="00F80910">
          <w:rPr>
            <w:rStyle w:val="TextoNormalCaracter"/>
          </w:rPr>
          <w:t>188/2015</w:t>
        </w:r>
      </w:hyperlink>
      <w:r w:rsidRPr="00F80910">
        <w:rPr>
          <w:rStyle w:val="TextoNormalCaracter"/>
        </w:rPr>
        <w:t xml:space="preserve">, f. 3; </w:t>
      </w:r>
      <w:hyperlink w:anchor="SENTENCIA_2015_189" w:history="1">
        <w:r w:rsidRPr="00F80910">
          <w:rPr>
            <w:rStyle w:val="TextoNormalCaracter"/>
          </w:rPr>
          <w:t>189/2015</w:t>
        </w:r>
      </w:hyperlink>
      <w:r w:rsidRPr="00F80910">
        <w:rPr>
          <w:rStyle w:val="TextoNormalCaracter"/>
        </w:rPr>
        <w:t xml:space="preserve">, f. 3; </w:t>
      </w:r>
      <w:hyperlink w:anchor="SENTENCIA_2015_190" w:history="1">
        <w:r w:rsidRPr="00F80910">
          <w:rPr>
            <w:rStyle w:val="TextoNormalCaracter"/>
          </w:rPr>
          <w:t>190/2015</w:t>
        </w:r>
      </w:hyperlink>
      <w:r w:rsidRPr="00F80910">
        <w:rPr>
          <w:rStyle w:val="TextoNormalCaracter"/>
        </w:rPr>
        <w:t xml:space="preserve">, f. 3; </w:t>
      </w:r>
      <w:hyperlink w:anchor="SENTENCIA_2015_191" w:history="1">
        <w:r w:rsidRPr="00F80910">
          <w:rPr>
            <w:rStyle w:val="TextoNormalCaracter"/>
          </w:rPr>
          <w:t>191/2015</w:t>
        </w:r>
      </w:hyperlink>
      <w:r w:rsidRPr="00F80910">
        <w:rPr>
          <w:rStyle w:val="TextoNormalCaracter"/>
        </w:rPr>
        <w:t xml:space="preserve">, f. 3; </w:t>
      </w:r>
      <w:hyperlink w:anchor="SENTENCIA_2015_192" w:history="1">
        <w:r w:rsidRPr="00F80910">
          <w:rPr>
            <w:rStyle w:val="TextoNormalCaracter"/>
          </w:rPr>
          <w:t>192/2015</w:t>
        </w:r>
      </w:hyperlink>
      <w:r w:rsidRPr="00F80910">
        <w:rPr>
          <w:rStyle w:val="TextoNormalCaracter"/>
        </w:rPr>
        <w:t xml:space="preserve">, f. 3; </w:t>
      </w:r>
      <w:hyperlink w:anchor="SENTENCIA_2015_193" w:history="1">
        <w:r w:rsidRPr="00F80910">
          <w:rPr>
            <w:rStyle w:val="TextoNormalCaracter"/>
          </w:rPr>
          <w:t>193/2015</w:t>
        </w:r>
      </w:hyperlink>
      <w:r w:rsidRPr="00F80910">
        <w:rPr>
          <w:rStyle w:val="TextoNormalCaracter"/>
        </w:rPr>
        <w:t xml:space="preserve">, f. 3; </w:t>
      </w:r>
      <w:hyperlink w:anchor="SENTENCIA_2015_205" w:history="1">
        <w:r w:rsidRPr="00F80910">
          <w:rPr>
            <w:rStyle w:val="TextoNormalCaracter"/>
          </w:rPr>
          <w:t>205/2015</w:t>
        </w:r>
      </w:hyperlink>
      <w:r w:rsidRPr="00F80910">
        <w:rPr>
          <w:rStyle w:val="TextoNormalCaracter"/>
        </w:rPr>
        <w:t xml:space="preserve">, f. 3; </w:t>
      </w:r>
      <w:hyperlink w:anchor="SENTENCIA_2015_206" w:history="1">
        <w:r w:rsidRPr="00F80910">
          <w:rPr>
            <w:rStyle w:val="TextoNormalCaracter"/>
          </w:rPr>
          <w:t>206/2015</w:t>
        </w:r>
      </w:hyperlink>
      <w:r w:rsidRPr="00F80910">
        <w:rPr>
          <w:rStyle w:val="TextoNormalCaracter"/>
        </w:rPr>
        <w:t xml:space="preserve">, f. 3; </w:t>
      </w:r>
      <w:hyperlink w:anchor="SENTENCIA_2015_210" w:history="1">
        <w:r w:rsidRPr="00F80910">
          <w:rPr>
            <w:rStyle w:val="TextoNormalCaracter"/>
          </w:rPr>
          <w:t>210/2015</w:t>
        </w:r>
      </w:hyperlink>
      <w:r w:rsidRPr="00F80910">
        <w:rPr>
          <w:rStyle w:val="TextoNormalCaracter"/>
        </w:rPr>
        <w:t xml:space="preserve">, f. 3; </w:t>
      </w:r>
      <w:hyperlink w:anchor="SENTENCIA_2015_224" w:history="1">
        <w:r w:rsidRPr="00F80910">
          <w:rPr>
            <w:rStyle w:val="TextoNormalCaracter"/>
          </w:rPr>
          <w:t>224/2015</w:t>
        </w:r>
      </w:hyperlink>
      <w:r w:rsidRPr="00F80910">
        <w:rPr>
          <w:rStyle w:val="TextoNormalCaracter"/>
        </w:rPr>
        <w:t xml:space="preserve">, f. 4; </w:t>
      </w:r>
      <w:hyperlink w:anchor="SENTENCIA_2015_225" w:history="1">
        <w:r w:rsidRPr="00F80910">
          <w:rPr>
            <w:rStyle w:val="TextoNormalCaracter"/>
          </w:rPr>
          <w:t>225/2015</w:t>
        </w:r>
      </w:hyperlink>
      <w:r w:rsidRPr="00F80910">
        <w:rPr>
          <w:rStyle w:val="TextoNormalCaracter"/>
        </w:rPr>
        <w:t xml:space="preserve">, f. 3; </w:t>
      </w:r>
      <w:hyperlink w:anchor="SENTENCIA_2015_227" w:history="1">
        <w:r w:rsidRPr="00F80910">
          <w:rPr>
            <w:rStyle w:val="TextoNormalCaracter"/>
          </w:rPr>
          <w:t>227/2015</w:t>
        </w:r>
      </w:hyperlink>
      <w:r w:rsidRPr="00F80910">
        <w:rPr>
          <w:rStyle w:val="TextoNormalCaracter"/>
        </w:rPr>
        <w:t xml:space="preserve">, f. 3; </w:t>
      </w:r>
      <w:hyperlink w:anchor="SENTENCIA_2015_228" w:history="1">
        <w:r w:rsidRPr="00F80910">
          <w:rPr>
            <w:rStyle w:val="TextoNormalCaracter"/>
          </w:rPr>
          <w:t>228/2015</w:t>
        </w:r>
      </w:hyperlink>
      <w:r w:rsidRPr="00F80910">
        <w:rPr>
          <w:rStyle w:val="TextoNormalCaracter"/>
        </w:rPr>
        <w:t xml:space="preserve">, f. 3; </w:t>
      </w:r>
      <w:hyperlink w:anchor="SENTENCIA_2015_243" w:history="1">
        <w:r w:rsidRPr="00F80910">
          <w:rPr>
            <w:rStyle w:val="TextoNormalCaracter"/>
          </w:rPr>
          <w:t>243/2015</w:t>
        </w:r>
      </w:hyperlink>
      <w:r w:rsidRPr="00F80910">
        <w:rPr>
          <w:rStyle w:val="TextoNormalCaracter"/>
        </w:rPr>
        <w:t xml:space="preserve">, f. 6; </w:t>
      </w:r>
      <w:hyperlink w:anchor="SENTENCIA_2015_264" w:history="1">
        <w:r w:rsidRPr="00F80910">
          <w:rPr>
            <w:rStyle w:val="TextoNormalCaracter"/>
          </w:rPr>
          <w:t>264/2015</w:t>
        </w:r>
      </w:hyperlink>
      <w:r w:rsidRPr="00F80910">
        <w:rPr>
          <w:rStyle w:val="TextoNormalCaracter"/>
        </w:rPr>
        <w:t>, f. 3.</w:t>
      </w:r>
    </w:p>
    <w:p w:rsidR="00F80910" w:rsidRPr="00F80910" w:rsidRDefault="00F80910" w:rsidP="00F80910">
      <w:pPr>
        <w:pStyle w:val="TextoNormalSangraFrancesa"/>
        <w:rPr>
          <w:rStyle w:val="TextoNormalCaracter"/>
        </w:rPr>
      </w:pPr>
      <w:bookmarkStart w:id="1423" w:name="DESCRIPTORALFABETICO189"/>
      <w:r w:rsidRPr="00F80910">
        <w:rPr>
          <w:rStyle w:val="TextoNormalNegritaCaracter"/>
        </w:rPr>
        <w:t>Satisfacción extraprocesal de la pretensión constitucional</w:t>
      </w:r>
      <w:bookmarkEnd w:id="1423"/>
      <w:r w:rsidRPr="00F80910">
        <w:rPr>
          <w:rStyle w:val="TextoNormalCaracter"/>
        </w:rPr>
        <w:t xml:space="preserve">, Sentencias </w:t>
      </w:r>
      <w:hyperlink w:anchor="SENTENCIA_2015_151" w:history="1">
        <w:r w:rsidRPr="00F80910">
          <w:rPr>
            <w:rStyle w:val="TextoNormalCaracter"/>
          </w:rPr>
          <w:t>151/2015</w:t>
        </w:r>
      </w:hyperlink>
      <w:r w:rsidRPr="00F80910">
        <w:rPr>
          <w:rStyle w:val="TextoNormalCaracter"/>
        </w:rPr>
        <w:t xml:space="preserve">, f. 3; </w:t>
      </w:r>
      <w:hyperlink w:anchor="SENTENCIA_2015_153" w:history="1">
        <w:r w:rsidRPr="00F80910">
          <w:rPr>
            <w:rStyle w:val="TextoNormalCaracter"/>
          </w:rPr>
          <w:t>153/2015</w:t>
        </w:r>
      </w:hyperlink>
      <w:r w:rsidRPr="00F80910">
        <w:rPr>
          <w:rStyle w:val="TextoNormalCaracter"/>
        </w:rPr>
        <w:t xml:space="preserve">, f. 3; </w:t>
      </w:r>
      <w:hyperlink w:anchor="SENTENCIA_2015_161" w:history="1">
        <w:r w:rsidRPr="00F80910">
          <w:rPr>
            <w:rStyle w:val="TextoNormalCaracter"/>
          </w:rPr>
          <w:t>161/2015</w:t>
        </w:r>
      </w:hyperlink>
      <w:r w:rsidRPr="00F80910">
        <w:rPr>
          <w:rStyle w:val="TextoNormalCaracter"/>
        </w:rPr>
        <w:t xml:space="preserve">, f. 3; </w:t>
      </w:r>
      <w:hyperlink w:anchor="SENTENCIA_2015_162" w:history="1">
        <w:r w:rsidRPr="00F80910">
          <w:rPr>
            <w:rStyle w:val="TextoNormalCaracter"/>
          </w:rPr>
          <w:t>162/2015</w:t>
        </w:r>
      </w:hyperlink>
      <w:r w:rsidRPr="00F80910">
        <w:rPr>
          <w:rStyle w:val="TextoNormalCaracter"/>
        </w:rPr>
        <w:t xml:space="preserve">, f. 3; </w:t>
      </w:r>
      <w:hyperlink w:anchor="SENTENCIA_2015_163" w:history="1">
        <w:r w:rsidRPr="00F80910">
          <w:rPr>
            <w:rStyle w:val="TextoNormalCaracter"/>
          </w:rPr>
          <w:t>163/2015</w:t>
        </w:r>
      </w:hyperlink>
      <w:r w:rsidRPr="00F80910">
        <w:rPr>
          <w:rStyle w:val="TextoNormalCaracter"/>
        </w:rPr>
        <w:t xml:space="preserve">, f. 3; </w:t>
      </w:r>
      <w:hyperlink w:anchor="SENTENCIA_2015_164" w:history="1">
        <w:r w:rsidRPr="00F80910">
          <w:rPr>
            <w:rStyle w:val="TextoNormalCaracter"/>
          </w:rPr>
          <w:t>164/2015</w:t>
        </w:r>
      </w:hyperlink>
      <w:r w:rsidRPr="00F80910">
        <w:rPr>
          <w:rStyle w:val="TextoNormalCaracter"/>
        </w:rPr>
        <w:t xml:space="preserve">, f. 3; </w:t>
      </w:r>
      <w:hyperlink w:anchor="SENTENCIA_2015_165" w:history="1">
        <w:r w:rsidRPr="00F80910">
          <w:rPr>
            <w:rStyle w:val="TextoNormalCaracter"/>
          </w:rPr>
          <w:t>165/2015</w:t>
        </w:r>
      </w:hyperlink>
      <w:r w:rsidRPr="00F80910">
        <w:rPr>
          <w:rStyle w:val="TextoNormalCaracter"/>
        </w:rPr>
        <w:t xml:space="preserve">, f. 3; </w:t>
      </w:r>
      <w:hyperlink w:anchor="SENTENCIA_2015_166" w:history="1">
        <w:r w:rsidRPr="00F80910">
          <w:rPr>
            <w:rStyle w:val="TextoNormalCaracter"/>
          </w:rPr>
          <w:t>166/2015</w:t>
        </w:r>
      </w:hyperlink>
      <w:r w:rsidRPr="00F80910">
        <w:rPr>
          <w:rStyle w:val="TextoNormalCaracter"/>
        </w:rPr>
        <w:t xml:space="preserve">, f. 3; </w:t>
      </w:r>
      <w:hyperlink w:anchor="SENTENCIA_2015_168" w:history="1">
        <w:r w:rsidRPr="00F80910">
          <w:rPr>
            <w:rStyle w:val="TextoNormalCaracter"/>
          </w:rPr>
          <w:t>168/2015</w:t>
        </w:r>
      </w:hyperlink>
      <w:r w:rsidRPr="00F80910">
        <w:rPr>
          <w:rStyle w:val="TextoNormalCaracter"/>
        </w:rPr>
        <w:t xml:space="preserve">, f. 3; </w:t>
      </w:r>
      <w:hyperlink w:anchor="SENTENCIA_2015_170" w:history="1">
        <w:r w:rsidRPr="00F80910">
          <w:rPr>
            <w:rStyle w:val="TextoNormalCaracter"/>
          </w:rPr>
          <w:t>170/2015</w:t>
        </w:r>
      </w:hyperlink>
      <w:r w:rsidRPr="00F80910">
        <w:rPr>
          <w:rStyle w:val="TextoNormalCaracter"/>
        </w:rPr>
        <w:t xml:space="preserve">, f. 3; </w:t>
      </w:r>
      <w:hyperlink w:anchor="SENTENCIA_2015_171" w:history="1">
        <w:r w:rsidRPr="00F80910">
          <w:rPr>
            <w:rStyle w:val="TextoNormalCaracter"/>
          </w:rPr>
          <w:t>171/2015</w:t>
        </w:r>
      </w:hyperlink>
      <w:r w:rsidRPr="00F80910">
        <w:rPr>
          <w:rStyle w:val="TextoNormalCaracter"/>
        </w:rPr>
        <w:t xml:space="preserve">, f. 3; </w:t>
      </w:r>
      <w:hyperlink w:anchor="SENTENCIA_2015_172" w:history="1">
        <w:r w:rsidRPr="00F80910">
          <w:rPr>
            <w:rStyle w:val="TextoNormalCaracter"/>
          </w:rPr>
          <w:t>172/2015</w:t>
        </w:r>
      </w:hyperlink>
      <w:r w:rsidRPr="00F80910">
        <w:rPr>
          <w:rStyle w:val="TextoNormalCaracter"/>
        </w:rPr>
        <w:t xml:space="preserve">, f. 3; </w:t>
      </w:r>
      <w:hyperlink w:anchor="SENTENCIA_2015_173" w:history="1">
        <w:r w:rsidRPr="00F80910">
          <w:rPr>
            <w:rStyle w:val="TextoNormalCaracter"/>
          </w:rPr>
          <w:t>173/2015</w:t>
        </w:r>
      </w:hyperlink>
      <w:r w:rsidRPr="00F80910">
        <w:rPr>
          <w:rStyle w:val="TextoNormalCaracter"/>
        </w:rPr>
        <w:t xml:space="preserve">, f. 3; </w:t>
      </w:r>
      <w:hyperlink w:anchor="SENTENCIA_2015_174" w:history="1">
        <w:r w:rsidRPr="00F80910">
          <w:rPr>
            <w:rStyle w:val="TextoNormalCaracter"/>
          </w:rPr>
          <w:t>174/2015</w:t>
        </w:r>
      </w:hyperlink>
      <w:r w:rsidRPr="00F80910">
        <w:rPr>
          <w:rStyle w:val="TextoNormalCaracter"/>
        </w:rPr>
        <w:t xml:space="preserve">, f. 3; </w:t>
      </w:r>
      <w:hyperlink w:anchor="SENTENCIA_2015_175" w:history="1">
        <w:r w:rsidRPr="00F80910">
          <w:rPr>
            <w:rStyle w:val="TextoNormalCaracter"/>
          </w:rPr>
          <w:t>175/2015</w:t>
        </w:r>
      </w:hyperlink>
      <w:r w:rsidRPr="00F80910">
        <w:rPr>
          <w:rStyle w:val="TextoNormalCaracter"/>
        </w:rPr>
        <w:t xml:space="preserve">, f. 3; </w:t>
      </w:r>
      <w:hyperlink w:anchor="SENTENCIA_2015_184" w:history="1">
        <w:r w:rsidRPr="00F80910">
          <w:rPr>
            <w:rStyle w:val="TextoNormalCaracter"/>
          </w:rPr>
          <w:t>184/2015</w:t>
        </w:r>
      </w:hyperlink>
      <w:r w:rsidRPr="00F80910">
        <w:rPr>
          <w:rStyle w:val="TextoNormalCaracter"/>
        </w:rPr>
        <w:t>, f. 3.</w:t>
      </w:r>
    </w:p>
    <w:p w:rsidR="00F80910" w:rsidRPr="00F80910" w:rsidRDefault="00F80910" w:rsidP="00F80910">
      <w:pPr>
        <w:pStyle w:val="TextoNormalSangraFrancesa"/>
        <w:rPr>
          <w:rStyle w:val="TextoNormalCaracter"/>
        </w:rPr>
      </w:pPr>
      <w:bookmarkStart w:id="1424" w:name="DESCRIPTORALFABETICO506"/>
      <w:r w:rsidRPr="00F80910">
        <w:rPr>
          <w:rStyle w:val="TextoNormalNegritaCaracter"/>
        </w:rPr>
        <w:t>Seguridad en el trabajo</w:t>
      </w:r>
      <w:bookmarkEnd w:id="1424"/>
      <w:r w:rsidRPr="00F80910">
        <w:rPr>
          <w:rStyle w:val="TextoNormalCaracter"/>
        </w:rPr>
        <w:t xml:space="preserve">, Sentencia </w:t>
      </w:r>
      <w:hyperlink w:anchor="SENTENCIA_2015_198" w:history="1">
        <w:r w:rsidRPr="00F80910">
          <w:rPr>
            <w:rStyle w:val="TextoNormalCaracter"/>
          </w:rPr>
          <w:t>198/2015</w:t>
        </w:r>
      </w:hyperlink>
      <w:r w:rsidRPr="00F80910">
        <w:rPr>
          <w:rStyle w:val="TextoNormalCaracter"/>
        </w:rPr>
        <w:t>, ff. 2 a 4.</w:t>
      </w:r>
    </w:p>
    <w:p w:rsidR="00F80910" w:rsidRPr="00F80910" w:rsidRDefault="00F80910" w:rsidP="00F80910">
      <w:pPr>
        <w:pStyle w:val="TextoNormalSangraFrancesa"/>
        <w:rPr>
          <w:rStyle w:val="TextoNormalCaracter"/>
        </w:rPr>
      </w:pPr>
      <w:bookmarkStart w:id="1425" w:name="DESCRIPTORALFABETICO593"/>
      <w:r w:rsidRPr="00F80910">
        <w:rPr>
          <w:rStyle w:val="TextoNormalNegritaCaracter"/>
        </w:rPr>
        <w:t>Sentencia de apelación penal</w:t>
      </w:r>
      <w:bookmarkEnd w:id="1425"/>
      <w:r w:rsidRPr="00F80910">
        <w:rPr>
          <w:rStyle w:val="TextoNormalCaracter"/>
        </w:rPr>
        <w:t xml:space="preserve">, Sentencia </w:t>
      </w:r>
      <w:hyperlink w:anchor="SENTENCIA_2015_223" w:history="1">
        <w:r w:rsidRPr="00F80910">
          <w:rPr>
            <w:rStyle w:val="TextoNormalCaracter"/>
          </w:rPr>
          <w:t>223/2015</w:t>
        </w:r>
      </w:hyperlink>
      <w:r w:rsidRPr="00F80910">
        <w:rPr>
          <w:rStyle w:val="TextoNormalCaracter"/>
        </w:rPr>
        <w:t>, f. 3.</w:t>
      </w:r>
    </w:p>
    <w:p w:rsidR="00F80910" w:rsidRPr="00F80910" w:rsidRDefault="00F80910" w:rsidP="00F80910">
      <w:pPr>
        <w:pStyle w:val="TextoNormalSangraFrancesa"/>
        <w:rPr>
          <w:rStyle w:val="TextoNormalCaracter"/>
        </w:rPr>
      </w:pPr>
      <w:bookmarkStart w:id="1426" w:name="DESCRIPTORALFABETICO115"/>
      <w:r w:rsidRPr="00F80910">
        <w:rPr>
          <w:rStyle w:val="TextoNormalNegritaCaracter"/>
        </w:rPr>
        <w:t>Sentencia fundada en Derecho</w:t>
      </w:r>
      <w:bookmarkEnd w:id="1426"/>
      <w:r w:rsidRPr="00F80910">
        <w:rPr>
          <w:rStyle w:val="TextoNormalCaracter"/>
        </w:rPr>
        <w:t xml:space="preserve">, </w:t>
      </w:r>
    </w:p>
    <w:p w:rsidR="00F80910" w:rsidRPr="00F80910" w:rsidRDefault="00F80910" w:rsidP="00F80910">
      <w:pPr>
        <w:pStyle w:val="TextoNormalSangraFrancesa"/>
        <w:rPr>
          <w:rStyle w:val="TextoNormalCaracter"/>
        </w:rPr>
      </w:pPr>
      <w:r w:rsidRPr="00F80910">
        <w:rPr>
          <w:rStyle w:val="TextoNormalCursivaCaracter"/>
        </w:rPr>
        <w:t xml:space="preserve">    Vulnerado, </w:t>
      </w:r>
      <w:r w:rsidRPr="00F80910">
        <w:rPr>
          <w:rStyle w:val="TextoNormalCaracter"/>
        </w:rPr>
        <w:t xml:space="preserve">Sentencias </w:t>
      </w:r>
      <w:hyperlink w:anchor="SENTENCIA_2015_222" w:history="1">
        <w:r w:rsidRPr="00F80910">
          <w:rPr>
            <w:rStyle w:val="TextoNormalCaracter"/>
          </w:rPr>
          <w:t>222/2015</w:t>
        </w:r>
      </w:hyperlink>
      <w:r w:rsidRPr="00F80910">
        <w:rPr>
          <w:rStyle w:val="TextoNormalCaracter"/>
        </w:rPr>
        <w:t xml:space="preserve">, ff. 3, 4; </w:t>
      </w:r>
      <w:hyperlink w:anchor="SENTENCIA_2015_262" w:history="1">
        <w:r w:rsidRPr="00F80910">
          <w:rPr>
            <w:rStyle w:val="TextoNormalCaracter"/>
          </w:rPr>
          <w:t>262/2015</w:t>
        </w:r>
      </w:hyperlink>
      <w:r w:rsidRPr="00F80910">
        <w:rPr>
          <w:rStyle w:val="TextoNormalCaracter"/>
        </w:rPr>
        <w:t xml:space="preserve">, f. 4; </w:t>
      </w:r>
      <w:hyperlink w:anchor="SENTENCIA_2015_263" w:history="1">
        <w:r w:rsidRPr="00F80910">
          <w:rPr>
            <w:rStyle w:val="TextoNormalCaracter"/>
          </w:rPr>
          <w:t>263/2015</w:t>
        </w:r>
      </w:hyperlink>
      <w:r w:rsidRPr="00F80910">
        <w:rPr>
          <w:rStyle w:val="TextoNormalCaracter"/>
        </w:rPr>
        <w:t>, f. 4.</w:t>
      </w:r>
    </w:p>
    <w:p w:rsidR="00F80910" w:rsidRPr="00F80910" w:rsidRDefault="00F80910" w:rsidP="00F80910">
      <w:pPr>
        <w:pStyle w:val="TextoNormalSangraFrancesa"/>
        <w:rPr>
          <w:rStyle w:val="TextoNormalCaracter"/>
        </w:rPr>
      </w:pPr>
      <w:bookmarkStart w:id="1427" w:name="DESCRIPTORALFABETICO572"/>
      <w:r w:rsidRPr="00F80910">
        <w:rPr>
          <w:rStyle w:val="TextoNormalNegritaCaracter"/>
        </w:rPr>
        <w:t>Sentencias declarativas</w:t>
      </w:r>
      <w:bookmarkEnd w:id="1427"/>
      <w:r w:rsidRPr="00F80910">
        <w:rPr>
          <w:rStyle w:val="TextoNormalCaracter"/>
        </w:rPr>
        <w:t xml:space="preserve">, Sentencia </w:t>
      </w:r>
      <w:hyperlink w:anchor="SENTENCIA_2015_231" w:history="1">
        <w:r w:rsidRPr="00F80910">
          <w:rPr>
            <w:rStyle w:val="TextoNormalCaracter"/>
          </w:rPr>
          <w:t>231/2015</w:t>
        </w:r>
      </w:hyperlink>
      <w:r w:rsidRPr="00F80910">
        <w:rPr>
          <w:rStyle w:val="TextoNormalCaracter"/>
        </w:rPr>
        <w:t>, f. 10.</w:t>
      </w:r>
    </w:p>
    <w:p w:rsidR="00F80910" w:rsidRPr="00F80910" w:rsidRDefault="00F80910" w:rsidP="00F80910">
      <w:pPr>
        <w:pStyle w:val="TextoNormalSangraFrancesa"/>
        <w:rPr>
          <w:rStyle w:val="TextoNormalCaracter"/>
        </w:rPr>
      </w:pPr>
      <w:bookmarkStart w:id="1428" w:name="DESCRIPTORALFABETICO598"/>
      <w:r w:rsidRPr="00F80910">
        <w:rPr>
          <w:rStyle w:val="TextoNormalNegritaCaracter"/>
        </w:rPr>
        <w:t>Servicio Público de Empleo Estatal</w:t>
      </w:r>
      <w:bookmarkEnd w:id="1428"/>
      <w:r w:rsidRPr="00F80910">
        <w:rPr>
          <w:rStyle w:val="TextoNormalCaracter"/>
        </w:rPr>
        <w:t xml:space="preserve">, Sentencia </w:t>
      </w:r>
      <w:hyperlink w:anchor="SENTENCIA_2015_272" w:history="1">
        <w:r w:rsidRPr="00F80910">
          <w:rPr>
            <w:rStyle w:val="TextoNormalCaracter"/>
          </w:rPr>
          <w:t>272/2015</w:t>
        </w:r>
      </w:hyperlink>
      <w:r w:rsidRPr="00F80910">
        <w:rPr>
          <w:rStyle w:val="TextoNormalCaracter"/>
        </w:rPr>
        <w:t>, ff. 1, 4.</w:t>
      </w:r>
    </w:p>
    <w:p w:rsidR="00F80910" w:rsidRPr="00F80910" w:rsidRDefault="00F80910" w:rsidP="00F80910">
      <w:pPr>
        <w:pStyle w:val="TextoNormalSangraFrancesa"/>
        <w:rPr>
          <w:rStyle w:val="TextoNormalCaracter"/>
        </w:rPr>
      </w:pPr>
      <w:bookmarkStart w:id="1429" w:name="DESCRIPTORALFABETICO349"/>
      <w:r w:rsidRPr="00F80910">
        <w:rPr>
          <w:rStyle w:val="TextoNormalNegritaCaracter"/>
        </w:rPr>
        <w:t>Servicios públicos de empleo</w:t>
      </w:r>
      <w:bookmarkEnd w:id="1429"/>
      <w:r w:rsidRPr="00F80910">
        <w:rPr>
          <w:rStyle w:val="TextoNormalCaracter"/>
        </w:rPr>
        <w:t xml:space="preserve">, Sentencia </w:t>
      </w:r>
      <w:hyperlink w:anchor="SENTENCIA_2015_272" w:history="1">
        <w:r w:rsidRPr="00F80910">
          <w:rPr>
            <w:rStyle w:val="TextoNormalCaracter"/>
          </w:rPr>
          <w:t>272/2015</w:t>
        </w:r>
      </w:hyperlink>
      <w:r w:rsidRPr="00F80910">
        <w:rPr>
          <w:rStyle w:val="TextoNormalCaracter"/>
        </w:rPr>
        <w:t>, f. 2.</w:t>
      </w:r>
    </w:p>
    <w:p w:rsidR="00F80910" w:rsidRPr="00F80910" w:rsidRDefault="00F80910" w:rsidP="00F80910">
      <w:pPr>
        <w:pStyle w:val="TextoNormalSangraFrancesa"/>
        <w:rPr>
          <w:rStyle w:val="TextoNormalCaracter"/>
        </w:rPr>
      </w:pPr>
      <w:bookmarkStart w:id="1430" w:name="DESCRIPTORALFABETICO367"/>
      <w:r w:rsidRPr="00F80910">
        <w:rPr>
          <w:rStyle w:val="TextoNormalNegritaCaracter"/>
        </w:rPr>
        <w:t>Servidumbre de protección de costas</w:t>
      </w:r>
      <w:bookmarkEnd w:id="1430"/>
      <w:r w:rsidRPr="00F80910">
        <w:rPr>
          <w:rStyle w:val="TextoNormalCaracter"/>
        </w:rPr>
        <w:t xml:space="preserve">, Sentencia </w:t>
      </w:r>
      <w:hyperlink w:anchor="SENTENCIA_2015_233" w:history="1">
        <w:r w:rsidRPr="00F80910">
          <w:rPr>
            <w:rStyle w:val="TextoNormalCaracter"/>
          </w:rPr>
          <w:t>233/2015</w:t>
        </w:r>
      </w:hyperlink>
      <w:r w:rsidRPr="00F80910">
        <w:rPr>
          <w:rStyle w:val="TextoNormalCaracter"/>
        </w:rPr>
        <w:t>, ff. 4, 9, 16.</w:t>
      </w:r>
    </w:p>
    <w:p w:rsidR="00F80910" w:rsidRPr="00F80910" w:rsidRDefault="00F80910" w:rsidP="00F80910">
      <w:pPr>
        <w:pStyle w:val="TextoNormalSangraFrancesa"/>
        <w:rPr>
          <w:rStyle w:val="TextoNormalCaracter"/>
        </w:rPr>
      </w:pPr>
      <w:bookmarkStart w:id="1431" w:name="DESCRIPTORALFABETICO500"/>
      <w:r w:rsidRPr="00F80910">
        <w:rPr>
          <w:rStyle w:val="TextoNormalNegritaCaracter"/>
        </w:rPr>
        <w:t>Sistema de la Seguridad Social</w:t>
      </w:r>
      <w:bookmarkEnd w:id="1431"/>
      <w:r w:rsidRPr="00F80910">
        <w:rPr>
          <w:rStyle w:val="TextoNormalCaracter"/>
        </w:rPr>
        <w:t xml:space="preserve">, Autos </w:t>
      </w:r>
      <w:hyperlink w:anchor="AUTO_2015_129" w:history="1">
        <w:r w:rsidRPr="00F80910">
          <w:rPr>
            <w:rStyle w:val="TextoNormalCaracter"/>
          </w:rPr>
          <w:t>129/2015</w:t>
        </w:r>
      </w:hyperlink>
      <w:r w:rsidRPr="00F80910">
        <w:rPr>
          <w:rStyle w:val="TextoNormalCaracter"/>
        </w:rPr>
        <w:t xml:space="preserve">, f. único; </w:t>
      </w:r>
      <w:hyperlink w:anchor="AUTO_2015_130" w:history="1">
        <w:r w:rsidRPr="00F80910">
          <w:rPr>
            <w:rStyle w:val="TextoNormalCaracter"/>
          </w:rPr>
          <w:t>130/2015</w:t>
        </w:r>
      </w:hyperlink>
      <w:r w:rsidRPr="00F80910">
        <w:rPr>
          <w:rStyle w:val="TextoNormalCaracter"/>
        </w:rPr>
        <w:t xml:space="preserve">, f. único; </w:t>
      </w:r>
      <w:hyperlink w:anchor="AUTO_2015_132" w:history="1">
        <w:r w:rsidRPr="00F80910">
          <w:rPr>
            <w:rStyle w:val="TextoNormalCaracter"/>
          </w:rPr>
          <w:t>132/2015</w:t>
        </w:r>
      </w:hyperlink>
      <w:r w:rsidRPr="00F80910">
        <w:rPr>
          <w:rStyle w:val="TextoNormalCaracter"/>
        </w:rPr>
        <w:t xml:space="preserve">, f. único; </w:t>
      </w:r>
      <w:hyperlink w:anchor="AUTO_2015_133" w:history="1">
        <w:r w:rsidRPr="00F80910">
          <w:rPr>
            <w:rStyle w:val="TextoNormalCaracter"/>
          </w:rPr>
          <w:t>133/2015</w:t>
        </w:r>
      </w:hyperlink>
      <w:r w:rsidRPr="00F80910">
        <w:rPr>
          <w:rStyle w:val="TextoNormalCaracter"/>
        </w:rPr>
        <w:t xml:space="preserve">, f. único; </w:t>
      </w:r>
      <w:hyperlink w:anchor="AUTO_2015_134" w:history="1">
        <w:r w:rsidRPr="00F80910">
          <w:rPr>
            <w:rStyle w:val="TextoNormalCaracter"/>
          </w:rPr>
          <w:t>134/2015</w:t>
        </w:r>
      </w:hyperlink>
      <w:r w:rsidRPr="00F80910">
        <w:rPr>
          <w:rStyle w:val="TextoNormalCaracter"/>
        </w:rPr>
        <w:t>, f. único.</w:t>
      </w:r>
    </w:p>
    <w:p w:rsidR="00F80910" w:rsidRPr="00F80910" w:rsidRDefault="00F80910" w:rsidP="00F80910">
      <w:pPr>
        <w:pStyle w:val="TextoNormalSangraFrancesa"/>
        <w:rPr>
          <w:rStyle w:val="TextoNormalCaracter"/>
        </w:rPr>
      </w:pPr>
      <w:bookmarkStart w:id="1432" w:name="DESCRIPTORALFABETICO448"/>
      <w:r w:rsidRPr="00F80910">
        <w:rPr>
          <w:rStyle w:val="TextoNormalNegritaCaracter"/>
        </w:rPr>
        <w:t>Situación de extraordinaria y urgente necesidad</w:t>
      </w:r>
      <w:bookmarkEnd w:id="1432"/>
      <w:r w:rsidRPr="00F80910">
        <w:rPr>
          <w:rStyle w:val="TextoNormalCaracter"/>
        </w:rPr>
        <w:t xml:space="preserve">, Sentencias </w:t>
      </w:r>
      <w:hyperlink w:anchor="SENTENCIA_2015_196" w:history="1">
        <w:r w:rsidRPr="00F80910">
          <w:rPr>
            <w:rStyle w:val="TextoNormalCaracter"/>
          </w:rPr>
          <w:t>196/2015</w:t>
        </w:r>
      </w:hyperlink>
      <w:r w:rsidRPr="00F80910">
        <w:rPr>
          <w:rStyle w:val="TextoNormalCaracter"/>
        </w:rPr>
        <w:t xml:space="preserve">, ff. 2 a 8; </w:t>
      </w:r>
      <w:hyperlink w:anchor="SENTENCIA_2015_197" w:history="1">
        <w:r w:rsidRPr="00F80910">
          <w:rPr>
            <w:rStyle w:val="TextoNormalCaracter"/>
          </w:rPr>
          <w:t>197/2015</w:t>
        </w:r>
      </w:hyperlink>
      <w:r w:rsidRPr="00F80910">
        <w:rPr>
          <w:rStyle w:val="TextoNormalCaracter"/>
        </w:rPr>
        <w:t xml:space="preserve">, f. 5, VP I; </w:t>
      </w:r>
      <w:hyperlink w:anchor="SENTENCIA_2015_211" w:history="1">
        <w:r w:rsidRPr="00F80910">
          <w:rPr>
            <w:rStyle w:val="TextoNormalCaracter"/>
          </w:rPr>
          <w:t>211/2015</w:t>
        </w:r>
      </w:hyperlink>
      <w:r w:rsidRPr="00F80910">
        <w:rPr>
          <w:rStyle w:val="TextoNormalCaracter"/>
        </w:rPr>
        <w:t xml:space="preserve">, ff. 4, 5, VP; </w:t>
      </w:r>
      <w:hyperlink w:anchor="SENTENCIA_2015_215" w:history="1">
        <w:r w:rsidRPr="00F80910">
          <w:rPr>
            <w:rStyle w:val="TextoNormalCaracter"/>
          </w:rPr>
          <w:t>215/2015</w:t>
        </w:r>
      </w:hyperlink>
      <w:r w:rsidRPr="00F80910">
        <w:rPr>
          <w:rStyle w:val="TextoNormalCaracter"/>
        </w:rPr>
        <w:t xml:space="preserve">, ff. 3 a 5; </w:t>
      </w:r>
      <w:hyperlink w:anchor="SENTENCIA_2015_230" w:history="1">
        <w:r w:rsidRPr="00F80910">
          <w:rPr>
            <w:rStyle w:val="TextoNormalCaracter"/>
          </w:rPr>
          <w:t>230/2015</w:t>
        </w:r>
      </w:hyperlink>
      <w:r w:rsidRPr="00F80910">
        <w:rPr>
          <w:rStyle w:val="TextoNormalCaracter"/>
        </w:rPr>
        <w:t xml:space="preserve">, ff. 4, 5; </w:t>
      </w:r>
      <w:hyperlink w:anchor="SENTENCIA_2015_270" w:history="1">
        <w:r w:rsidRPr="00F80910">
          <w:rPr>
            <w:rStyle w:val="TextoNormalCaracter"/>
          </w:rPr>
          <w:t>270/2015</w:t>
        </w:r>
      </w:hyperlink>
      <w:r w:rsidRPr="00F80910">
        <w:rPr>
          <w:rStyle w:val="TextoNormalCaracter"/>
        </w:rPr>
        <w:t>, ff. 3 a 5.</w:t>
      </w:r>
    </w:p>
    <w:p w:rsidR="00F80910" w:rsidRPr="00F80910" w:rsidRDefault="00F80910" w:rsidP="00F80910">
      <w:pPr>
        <w:pStyle w:val="TextoNormalSangraFrancesa"/>
        <w:rPr>
          <w:rStyle w:val="TextoNormalCaracter"/>
        </w:rPr>
      </w:pPr>
      <w:bookmarkStart w:id="1433" w:name="DESCRIPTORALFABETICO315"/>
      <w:r w:rsidRPr="00F80910">
        <w:rPr>
          <w:rStyle w:val="TextoNormalNegritaCaracter"/>
        </w:rPr>
        <w:t>Soberanía</w:t>
      </w:r>
      <w:bookmarkEnd w:id="1433"/>
      <w:r w:rsidRPr="00F80910">
        <w:rPr>
          <w:rStyle w:val="TextoNormalCaracter"/>
        </w:rPr>
        <w:t xml:space="preserve">, Sentencia </w:t>
      </w:r>
      <w:hyperlink w:anchor="SENTENCIA_2015_259" w:history="1">
        <w:r w:rsidRPr="00F80910">
          <w:rPr>
            <w:rStyle w:val="TextoNormalCaracter"/>
          </w:rPr>
          <w:t>259/2015</w:t>
        </w:r>
      </w:hyperlink>
      <w:r w:rsidRPr="00F80910">
        <w:rPr>
          <w:rStyle w:val="TextoNormalCaracter"/>
        </w:rPr>
        <w:t>, ff. 3, 4, 6.</w:t>
      </w:r>
    </w:p>
    <w:p w:rsidR="00F80910" w:rsidRPr="00F80910" w:rsidRDefault="00F80910" w:rsidP="00F80910">
      <w:pPr>
        <w:pStyle w:val="TextoNormalSangraFrancesa"/>
        <w:rPr>
          <w:rStyle w:val="TextoNormalCaracter"/>
        </w:rPr>
      </w:pPr>
      <w:bookmarkStart w:id="1434" w:name="DESCRIPTORALFABETICO540"/>
      <w:r w:rsidRPr="00F80910">
        <w:rPr>
          <w:rStyle w:val="TextoNormalNegritaCaracter"/>
        </w:rPr>
        <w:t>Subasta</w:t>
      </w:r>
      <w:bookmarkEnd w:id="1434"/>
      <w:r w:rsidRPr="00F80910">
        <w:rPr>
          <w:rStyle w:val="TextoNormalCaracter"/>
        </w:rPr>
        <w:t xml:space="preserve">, Auto </w:t>
      </w:r>
      <w:hyperlink w:anchor="AUTO_2015_178" w:history="1">
        <w:r w:rsidRPr="00F80910">
          <w:rPr>
            <w:rStyle w:val="TextoNormalCaracter"/>
          </w:rPr>
          <w:t>178/2015</w:t>
        </w:r>
      </w:hyperlink>
      <w:r w:rsidRPr="00F80910">
        <w:rPr>
          <w:rStyle w:val="TextoNormalCaracter"/>
        </w:rPr>
        <w:t>, f. 3, 4.</w:t>
      </w:r>
    </w:p>
    <w:p w:rsidR="00F80910" w:rsidRPr="00F80910" w:rsidRDefault="00F80910" w:rsidP="00F80910">
      <w:pPr>
        <w:pStyle w:val="TextoNormalSangraFrancesa"/>
        <w:rPr>
          <w:rStyle w:val="TextoNormalCaracter"/>
        </w:rPr>
      </w:pPr>
      <w:bookmarkStart w:id="1435" w:name="DESCRIPTORALFABETICO536"/>
      <w:r w:rsidRPr="00F80910">
        <w:rPr>
          <w:rStyle w:val="TextoNormalNegritaCaracter"/>
        </w:rPr>
        <w:t>Subsanación de defectos en la interposición de recurso</w:t>
      </w:r>
      <w:bookmarkEnd w:id="1435"/>
      <w:r w:rsidRPr="00F80910">
        <w:rPr>
          <w:rStyle w:val="TextoNormalCaracter"/>
        </w:rPr>
        <w:t xml:space="preserve">, Sentencia </w:t>
      </w:r>
      <w:hyperlink w:anchor="SENTENCIA_2015_149" w:history="1">
        <w:r w:rsidRPr="00F80910">
          <w:rPr>
            <w:rStyle w:val="TextoNormalCaracter"/>
          </w:rPr>
          <w:t>149/2015</w:t>
        </w:r>
      </w:hyperlink>
      <w:r w:rsidRPr="00F80910">
        <w:rPr>
          <w:rStyle w:val="TextoNormalCaracter"/>
        </w:rPr>
        <w:t>, ff. 2 a 4.</w:t>
      </w:r>
    </w:p>
    <w:p w:rsidR="00F80910" w:rsidRPr="00F80910" w:rsidRDefault="00F80910" w:rsidP="00F80910">
      <w:pPr>
        <w:pStyle w:val="TextoNormalSangraFrancesa"/>
        <w:rPr>
          <w:rStyle w:val="TextoNormalCaracter"/>
        </w:rPr>
      </w:pPr>
      <w:bookmarkStart w:id="1436" w:name="DESCRIPTORALFABETICO562"/>
      <w:r w:rsidRPr="00F80910">
        <w:rPr>
          <w:rStyle w:val="TextoNormalNegritaCaracter"/>
        </w:rPr>
        <w:t>Subsanación de defectos en la representación procesal</w:t>
      </w:r>
      <w:bookmarkEnd w:id="1436"/>
      <w:r w:rsidRPr="00F80910">
        <w:rPr>
          <w:rStyle w:val="TextoNormalCaracter"/>
        </w:rPr>
        <w:t xml:space="preserve">, Sentencia </w:t>
      </w:r>
      <w:hyperlink w:anchor="SENTENCIA_2015_207" w:history="1">
        <w:r w:rsidRPr="00F80910">
          <w:rPr>
            <w:rStyle w:val="TextoNormalCaracter"/>
          </w:rPr>
          <w:t>207/2015</w:t>
        </w:r>
      </w:hyperlink>
      <w:r w:rsidRPr="00F80910">
        <w:rPr>
          <w:rStyle w:val="TextoNormalCaracter"/>
        </w:rPr>
        <w:t>, ff. 3, 4.</w:t>
      </w:r>
    </w:p>
    <w:p w:rsidR="00F80910" w:rsidRPr="00F80910" w:rsidRDefault="00F80910" w:rsidP="00F80910">
      <w:pPr>
        <w:pStyle w:val="TextoNormalSangraFrancesa"/>
        <w:rPr>
          <w:rStyle w:val="TextoNormalCaracter"/>
        </w:rPr>
      </w:pPr>
      <w:bookmarkStart w:id="1437" w:name="DESCRIPTORALFABETICO534"/>
      <w:r w:rsidRPr="00F80910">
        <w:rPr>
          <w:rStyle w:val="TextoNormalNegritaCaracter"/>
        </w:rPr>
        <w:t>Subsanación de defectos procesales</w:t>
      </w:r>
      <w:bookmarkEnd w:id="1437"/>
      <w:r w:rsidRPr="00F80910">
        <w:rPr>
          <w:rStyle w:val="TextoNormalCaracter"/>
        </w:rPr>
        <w:t xml:space="preserve">, Sentencia </w:t>
      </w:r>
      <w:hyperlink w:anchor="SENTENCIA_2015_179" w:history="1">
        <w:r w:rsidRPr="00F80910">
          <w:rPr>
            <w:rStyle w:val="TextoNormalCaracter"/>
          </w:rPr>
          <w:t>179/2015</w:t>
        </w:r>
      </w:hyperlink>
      <w:r w:rsidRPr="00F80910">
        <w:rPr>
          <w:rStyle w:val="TextoNormalCaracter"/>
        </w:rPr>
        <w:t>, f. 3.</w:t>
      </w:r>
    </w:p>
    <w:p w:rsidR="00F80910" w:rsidRPr="00F80910" w:rsidRDefault="00F80910" w:rsidP="00F80910">
      <w:pPr>
        <w:pStyle w:val="TextoNormalSangraFrancesa"/>
        <w:rPr>
          <w:rStyle w:val="TextoNormalCaracter"/>
        </w:rPr>
      </w:pPr>
      <w:bookmarkStart w:id="1438" w:name="DESCRIPTORALFABETICO549"/>
      <w:r w:rsidRPr="00F80910">
        <w:rPr>
          <w:rStyle w:val="TextoNormalNegritaCaracter"/>
        </w:rPr>
        <w:t>Subsunción de hechos probados</w:t>
      </w:r>
      <w:bookmarkEnd w:id="1438"/>
      <w:r w:rsidRPr="00F80910">
        <w:rPr>
          <w:rStyle w:val="TextoNormalCaracter"/>
        </w:rPr>
        <w:t xml:space="preserve">, Sentencia </w:t>
      </w:r>
      <w:hyperlink w:anchor="SENTENCIA_2015_150" w:history="1">
        <w:r w:rsidRPr="00F80910">
          <w:rPr>
            <w:rStyle w:val="TextoNormalCaracter"/>
          </w:rPr>
          <w:t>150/2015</w:t>
        </w:r>
      </w:hyperlink>
      <w:r w:rsidRPr="00F80910">
        <w:rPr>
          <w:rStyle w:val="TextoNormalCaracter"/>
        </w:rPr>
        <w:t>, ff. 1 a 4.</w:t>
      </w:r>
    </w:p>
    <w:p w:rsidR="00F80910" w:rsidRPr="00F80910" w:rsidRDefault="00F80910" w:rsidP="00F80910">
      <w:pPr>
        <w:pStyle w:val="TextoNormalSangraFrancesa"/>
        <w:rPr>
          <w:rStyle w:val="TextoNormalCaracter"/>
        </w:rPr>
      </w:pPr>
      <w:bookmarkStart w:id="1439" w:name="DESCRIPTORALFABETICO399"/>
      <w:r w:rsidRPr="00F80910">
        <w:rPr>
          <w:rStyle w:val="TextoNormalNegritaCaracter"/>
        </w:rPr>
        <w:t>Subvenciones públicas</w:t>
      </w:r>
      <w:bookmarkEnd w:id="1439"/>
      <w:r w:rsidRPr="00F80910">
        <w:rPr>
          <w:rStyle w:val="TextoNormalCaracter"/>
        </w:rPr>
        <w:t xml:space="preserve">, Sentencia </w:t>
      </w:r>
      <w:hyperlink w:anchor="SENTENCIA_2015_185" w:history="1">
        <w:r w:rsidRPr="00F80910">
          <w:rPr>
            <w:rStyle w:val="TextoNormalCaracter"/>
          </w:rPr>
          <w:t>185/2015</w:t>
        </w:r>
      </w:hyperlink>
      <w:r w:rsidRPr="00F80910">
        <w:rPr>
          <w:rStyle w:val="TextoNormalCaracter"/>
        </w:rPr>
        <w:t>, ff. 4 a 6.</w:t>
      </w:r>
    </w:p>
    <w:p w:rsidR="00F80910" w:rsidRPr="00F80910" w:rsidRDefault="00F80910" w:rsidP="00F80910">
      <w:pPr>
        <w:pStyle w:val="TextoNormalSangraFrancesa"/>
        <w:rPr>
          <w:rStyle w:val="TextoNormalCaracter"/>
        </w:rPr>
      </w:pPr>
      <w:bookmarkStart w:id="1440" w:name="DESCRIPTORALFABETICO424"/>
      <w:r w:rsidRPr="00F80910">
        <w:rPr>
          <w:rStyle w:val="TextoNormalNegritaCaracter"/>
        </w:rPr>
        <w:t>Suelo rural</w:t>
      </w:r>
      <w:bookmarkEnd w:id="1440"/>
      <w:r w:rsidRPr="00F80910">
        <w:rPr>
          <w:rStyle w:val="TextoNormalCaracter"/>
        </w:rPr>
        <w:t xml:space="preserve">, Sentencia </w:t>
      </w:r>
      <w:hyperlink w:anchor="SENTENCIA_2015_218" w:history="1">
        <w:r w:rsidRPr="00F80910">
          <w:rPr>
            <w:rStyle w:val="TextoNormalCaracter"/>
          </w:rPr>
          <w:t>218/2015</w:t>
        </w:r>
      </w:hyperlink>
      <w:r w:rsidRPr="00F80910">
        <w:rPr>
          <w:rStyle w:val="TextoNormalCaracter"/>
        </w:rPr>
        <w:t>, ff. 2, 3, 5, 6.</w:t>
      </w:r>
    </w:p>
    <w:p w:rsidR="00F80910" w:rsidRPr="00F80910" w:rsidRDefault="00F80910" w:rsidP="00F80910">
      <w:pPr>
        <w:pStyle w:val="TextoNormalSangraFrancesa"/>
        <w:rPr>
          <w:rStyle w:val="TextoNormalCaracter"/>
        </w:rPr>
      </w:pPr>
      <w:bookmarkStart w:id="1441" w:name="DESCRIPTORALFABETICO425"/>
      <w:r w:rsidRPr="00F80910">
        <w:rPr>
          <w:rStyle w:val="TextoNormalNegritaCaracter"/>
        </w:rPr>
        <w:t>Suelo urbanizable</w:t>
      </w:r>
      <w:bookmarkEnd w:id="1441"/>
      <w:r w:rsidRPr="00F80910">
        <w:rPr>
          <w:rStyle w:val="TextoNormalCaracter"/>
        </w:rPr>
        <w:t xml:space="preserve">, Sentencia </w:t>
      </w:r>
      <w:hyperlink w:anchor="SENTENCIA_2015_218" w:history="1">
        <w:r w:rsidRPr="00F80910">
          <w:rPr>
            <w:rStyle w:val="TextoNormalCaracter"/>
          </w:rPr>
          <w:t>218/2015</w:t>
        </w:r>
      </w:hyperlink>
      <w:r w:rsidRPr="00F80910">
        <w:rPr>
          <w:rStyle w:val="TextoNormalCaracter"/>
        </w:rPr>
        <w:t>, ff. 2, 3, 5, 6.</w:t>
      </w:r>
    </w:p>
    <w:p w:rsidR="00F80910" w:rsidRPr="00F80910" w:rsidRDefault="00F80910" w:rsidP="00F80910">
      <w:pPr>
        <w:pStyle w:val="TextoNormalSangraFrancesa"/>
        <w:rPr>
          <w:rStyle w:val="TextoNormalCaracter"/>
        </w:rPr>
      </w:pPr>
      <w:bookmarkStart w:id="1442" w:name="DESCRIPTORALFABETICO426"/>
      <w:r w:rsidRPr="00F80910">
        <w:rPr>
          <w:rStyle w:val="TextoNormalNegritaCaracter"/>
        </w:rPr>
        <w:t>Suelo urbano</w:t>
      </w:r>
      <w:bookmarkEnd w:id="1442"/>
      <w:r w:rsidRPr="00F80910">
        <w:rPr>
          <w:rStyle w:val="TextoNormalCaracter"/>
        </w:rPr>
        <w:t xml:space="preserve">, Sentencias </w:t>
      </w:r>
      <w:hyperlink w:anchor="SENTENCIA_2015_218" w:history="1">
        <w:r w:rsidRPr="00F80910">
          <w:rPr>
            <w:rStyle w:val="TextoNormalCaracter"/>
          </w:rPr>
          <w:t>218/2015</w:t>
        </w:r>
      </w:hyperlink>
      <w:r w:rsidRPr="00F80910">
        <w:rPr>
          <w:rStyle w:val="TextoNormalCaracter"/>
        </w:rPr>
        <w:t xml:space="preserve">, f. 2; </w:t>
      </w:r>
      <w:hyperlink w:anchor="SENTENCIA_2015_233" w:history="1">
        <w:r w:rsidRPr="00F80910">
          <w:rPr>
            <w:rStyle w:val="TextoNormalCaracter"/>
          </w:rPr>
          <w:t>233/2015</w:t>
        </w:r>
      </w:hyperlink>
      <w:r w:rsidRPr="00F80910">
        <w:rPr>
          <w:rStyle w:val="TextoNormalCaracter"/>
        </w:rPr>
        <w:t>, f. 16.</w:t>
      </w:r>
    </w:p>
    <w:p w:rsidR="00F80910" w:rsidRPr="00F80910" w:rsidRDefault="00F80910" w:rsidP="00F80910">
      <w:pPr>
        <w:pStyle w:val="TextoNormalSangraFrancesa"/>
        <w:rPr>
          <w:rStyle w:val="TextoNormalCaracter"/>
        </w:rPr>
      </w:pPr>
      <w:bookmarkStart w:id="1443" w:name="DESCRIPTORALFABETICO171"/>
      <w:r w:rsidRPr="00F80910">
        <w:rPr>
          <w:rStyle w:val="TextoNormalNegritaCaracter"/>
        </w:rPr>
        <w:t>Suspensión cautelar de resoluciones civiles</w:t>
      </w:r>
      <w:bookmarkEnd w:id="1443"/>
      <w:r w:rsidRPr="00F80910">
        <w:rPr>
          <w:rStyle w:val="TextoNormalCaracter"/>
        </w:rPr>
        <w:t xml:space="preserve">, Autos </w:t>
      </w:r>
      <w:hyperlink w:anchor="AUTO_2015_178" w:history="1">
        <w:r w:rsidRPr="00F80910">
          <w:rPr>
            <w:rStyle w:val="TextoNormalCaracter"/>
          </w:rPr>
          <w:t>178/2015</w:t>
        </w:r>
      </w:hyperlink>
      <w:r w:rsidRPr="00F80910">
        <w:rPr>
          <w:rStyle w:val="TextoNormalCaracter"/>
        </w:rPr>
        <w:t xml:space="preserve">, f. 4; </w:t>
      </w:r>
      <w:hyperlink w:anchor="AUTO_2015_179" w:history="1">
        <w:r w:rsidRPr="00F80910">
          <w:rPr>
            <w:rStyle w:val="TextoNormalCaracter"/>
          </w:rPr>
          <w:t>179/2015</w:t>
        </w:r>
      </w:hyperlink>
      <w:r w:rsidRPr="00F80910">
        <w:rPr>
          <w:rStyle w:val="TextoNormalCaracter"/>
        </w:rPr>
        <w:t>, f. 1, 5.</w:t>
      </w:r>
    </w:p>
    <w:p w:rsidR="00F80910" w:rsidRPr="00F80910" w:rsidRDefault="00F80910" w:rsidP="00F80910">
      <w:pPr>
        <w:pStyle w:val="TextoNormalSangraFrancesa"/>
        <w:rPr>
          <w:rStyle w:val="TextoNormalCaracter"/>
        </w:rPr>
      </w:pPr>
      <w:bookmarkStart w:id="1444" w:name="DESCRIPTORALFABETICO170"/>
      <w:r w:rsidRPr="00F80910">
        <w:rPr>
          <w:rStyle w:val="TextoNormalNegritaCaracter"/>
        </w:rPr>
        <w:t>Suspensión cautelar de resoluciones judiciales</w:t>
      </w:r>
      <w:bookmarkEnd w:id="1444"/>
      <w:r w:rsidRPr="00F80910">
        <w:rPr>
          <w:rStyle w:val="TextoNormalCaracter"/>
        </w:rPr>
        <w:t xml:space="preserve">, </w:t>
      </w:r>
    </w:p>
    <w:p w:rsidR="00F80910" w:rsidRPr="00F80910" w:rsidRDefault="00F80910" w:rsidP="00F80910">
      <w:pPr>
        <w:pStyle w:val="TextoNormalSangraFrancesa"/>
        <w:rPr>
          <w:rStyle w:val="TextoNormalCaracter"/>
        </w:rPr>
      </w:pPr>
      <w:r w:rsidRPr="00F80910">
        <w:rPr>
          <w:rStyle w:val="TextoNormalCursivaCaracter"/>
        </w:rPr>
        <w:t xml:space="preserve">    No suspende, </w:t>
      </w:r>
      <w:r w:rsidRPr="00F80910">
        <w:rPr>
          <w:rStyle w:val="TextoNormalCaracter"/>
        </w:rPr>
        <w:t xml:space="preserve">Auto </w:t>
      </w:r>
      <w:hyperlink w:anchor="AUTO_2015_127" w:history="1">
        <w:r w:rsidRPr="00F80910">
          <w:rPr>
            <w:rStyle w:val="TextoNormalCaracter"/>
          </w:rPr>
          <w:t>127/2015</w:t>
        </w:r>
      </w:hyperlink>
      <w:r w:rsidRPr="00F80910">
        <w:rPr>
          <w:rStyle w:val="TextoNormalCaracter"/>
        </w:rPr>
        <w:t>, f. 2.</w:t>
      </w:r>
    </w:p>
    <w:p w:rsidR="00F80910" w:rsidRPr="00F80910" w:rsidRDefault="00F80910" w:rsidP="00F80910">
      <w:pPr>
        <w:pStyle w:val="TextoNormalSangraFrancesa"/>
        <w:rPr>
          <w:rStyle w:val="TextoNormalCaracter"/>
        </w:rPr>
      </w:pPr>
      <w:bookmarkStart w:id="1445" w:name="DESCRIPTORALFABETICO175"/>
      <w:r w:rsidRPr="00F80910">
        <w:rPr>
          <w:rStyle w:val="TextoNormalNegritaCaracter"/>
        </w:rPr>
        <w:t>Suspensión cautelar de resoluciones parlamentarias</w:t>
      </w:r>
      <w:bookmarkEnd w:id="1445"/>
      <w:r w:rsidRPr="00F80910">
        <w:rPr>
          <w:rStyle w:val="TextoNormalCaracter"/>
        </w:rPr>
        <w:t xml:space="preserve">, </w:t>
      </w:r>
    </w:p>
    <w:p w:rsidR="00F80910" w:rsidRPr="00F80910" w:rsidRDefault="00F80910" w:rsidP="00F80910">
      <w:pPr>
        <w:pStyle w:val="TextoNormalSangraFrancesa"/>
        <w:rPr>
          <w:rStyle w:val="TextoNormalCaracter"/>
        </w:rPr>
      </w:pPr>
      <w:r w:rsidRPr="00F80910">
        <w:rPr>
          <w:rStyle w:val="TextoNormalCursivaCaracter"/>
        </w:rPr>
        <w:t xml:space="preserve">    No suspende, </w:t>
      </w:r>
      <w:r w:rsidRPr="00F80910">
        <w:rPr>
          <w:rStyle w:val="TextoNormalCaracter"/>
        </w:rPr>
        <w:t xml:space="preserve">Autos </w:t>
      </w:r>
      <w:hyperlink w:anchor="AUTO_2015_189" w:history="1">
        <w:r w:rsidRPr="00F80910">
          <w:rPr>
            <w:rStyle w:val="TextoNormalCaracter"/>
          </w:rPr>
          <w:t>189/2015</w:t>
        </w:r>
      </w:hyperlink>
      <w:r w:rsidRPr="00F80910">
        <w:rPr>
          <w:rStyle w:val="TextoNormalCaracter"/>
        </w:rPr>
        <w:t xml:space="preserve">, ff. 2 a), 3; </w:t>
      </w:r>
      <w:hyperlink w:anchor="AUTO_2015_190" w:history="1">
        <w:r w:rsidRPr="00F80910">
          <w:rPr>
            <w:rStyle w:val="TextoNormalCaracter"/>
          </w:rPr>
          <w:t>190/2015</w:t>
        </w:r>
      </w:hyperlink>
      <w:r w:rsidRPr="00F80910">
        <w:rPr>
          <w:rStyle w:val="TextoNormalCaracter"/>
        </w:rPr>
        <w:t>, f. 2 a), 3.</w:t>
      </w:r>
    </w:p>
    <w:p w:rsidR="00F80910" w:rsidRPr="00F80910" w:rsidRDefault="00F80910" w:rsidP="00F80910">
      <w:pPr>
        <w:pStyle w:val="TextoNormalSangraFrancesa"/>
        <w:rPr>
          <w:rStyle w:val="TextoNormalCaracter"/>
        </w:rPr>
      </w:pPr>
      <w:bookmarkStart w:id="1446" w:name="DESCRIPTORALFABETICO173"/>
      <w:r w:rsidRPr="00F80910">
        <w:rPr>
          <w:rStyle w:val="TextoNormalNegritaCaracter"/>
        </w:rPr>
        <w:t>Suspensión cautelar de resoluciones penales</w:t>
      </w:r>
      <w:bookmarkEnd w:id="1446"/>
      <w:r w:rsidRPr="00F80910">
        <w:rPr>
          <w:rStyle w:val="TextoNormalCaracter"/>
        </w:rPr>
        <w:t xml:space="preserve">, Auto </w:t>
      </w:r>
      <w:hyperlink w:anchor="AUTO_2015_119" w:history="1">
        <w:r w:rsidRPr="00F80910">
          <w:rPr>
            <w:rStyle w:val="TextoNormalCaracter"/>
          </w:rPr>
          <w:t>119/2015</w:t>
        </w:r>
      </w:hyperlink>
      <w:r w:rsidRPr="00F80910">
        <w:rPr>
          <w:rStyle w:val="TextoNormalCaracter"/>
        </w:rPr>
        <w:t>, f. 3.</w:t>
      </w:r>
    </w:p>
    <w:p w:rsidR="00F80910" w:rsidRPr="00F80910" w:rsidRDefault="00F80910" w:rsidP="00F80910">
      <w:pPr>
        <w:pStyle w:val="TextoNormalSangraFrancesa"/>
        <w:rPr>
          <w:rStyle w:val="TextoNormalCaracter"/>
        </w:rPr>
      </w:pPr>
      <w:bookmarkStart w:id="1447" w:name="DESCRIPTORALFABETICO172"/>
      <w:r w:rsidRPr="00F80910">
        <w:rPr>
          <w:rStyle w:val="TextoNormalNegritaCaracter"/>
        </w:rPr>
        <w:t>Suspensión cautelar de sentencias contencioso-administrativas</w:t>
      </w:r>
      <w:bookmarkEnd w:id="1447"/>
      <w:r w:rsidRPr="00F80910">
        <w:rPr>
          <w:rStyle w:val="TextoNormalCaracter"/>
        </w:rPr>
        <w:t xml:space="preserve">, </w:t>
      </w:r>
    </w:p>
    <w:p w:rsidR="00F80910" w:rsidRPr="00F80910" w:rsidRDefault="00F80910" w:rsidP="00F80910">
      <w:pPr>
        <w:pStyle w:val="TextoNormalSangraFrancesa"/>
        <w:rPr>
          <w:rStyle w:val="TextoNormalCaracter"/>
        </w:rPr>
      </w:pPr>
      <w:r w:rsidRPr="00F80910">
        <w:rPr>
          <w:rStyle w:val="TextoNormalCursivaCaracter"/>
        </w:rPr>
        <w:t xml:space="preserve">    No suspende, </w:t>
      </w:r>
      <w:r w:rsidRPr="00F80910">
        <w:rPr>
          <w:rStyle w:val="TextoNormalCaracter"/>
        </w:rPr>
        <w:t xml:space="preserve">Auto </w:t>
      </w:r>
      <w:hyperlink w:anchor="AUTO_2015_117" w:history="1">
        <w:r w:rsidRPr="00F80910">
          <w:rPr>
            <w:rStyle w:val="TextoNormalCaracter"/>
          </w:rPr>
          <w:t>117/2015</w:t>
        </w:r>
      </w:hyperlink>
      <w:r w:rsidRPr="00F80910">
        <w:rPr>
          <w:rStyle w:val="TextoNormalCaracter"/>
        </w:rPr>
        <w:t>, f. 4.</w:t>
      </w:r>
    </w:p>
    <w:p w:rsidR="00F80910" w:rsidRPr="00F80910" w:rsidRDefault="00F80910" w:rsidP="00F80910">
      <w:pPr>
        <w:pStyle w:val="TextoNormalSangraFrancesa"/>
        <w:rPr>
          <w:rStyle w:val="TextoNormalCaracter"/>
        </w:rPr>
      </w:pPr>
      <w:bookmarkStart w:id="1448" w:name="DESCRIPTORALFABETICO174"/>
      <w:r w:rsidRPr="00F80910">
        <w:rPr>
          <w:rStyle w:val="TextoNormalNegritaCaracter"/>
        </w:rPr>
        <w:t>Suspensión cautelar de sentencias penales</w:t>
      </w:r>
      <w:bookmarkEnd w:id="1448"/>
      <w:r w:rsidRPr="00F80910">
        <w:rPr>
          <w:rStyle w:val="TextoNormalCaracter"/>
        </w:rPr>
        <w:t xml:space="preserve">, </w:t>
      </w:r>
    </w:p>
    <w:p w:rsidR="00F80910" w:rsidRPr="00F80910" w:rsidRDefault="00F80910" w:rsidP="00F80910">
      <w:pPr>
        <w:pStyle w:val="TextoNormalSangraFrancesa"/>
        <w:rPr>
          <w:rStyle w:val="TextoNormalCaracter"/>
        </w:rPr>
      </w:pPr>
      <w:r w:rsidRPr="00F80910">
        <w:rPr>
          <w:rStyle w:val="TextoNormalCursivaCaracter"/>
        </w:rPr>
        <w:t xml:space="preserve">    No suspende, </w:t>
      </w:r>
      <w:r w:rsidRPr="00F80910">
        <w:rPr>
          <w:rStyle w:val="TextoNormalCaracter"/>
        </w:rPr>
        <w:t xml:space="preserve">Auto </w:t>
      </w:r>
      <w:hyperlink w:anchor="AUTO_2015_116" w:history="1">
        <w:r w:rsidRPr="00F80910">
          <w:rPr>
            <w:rStyle w:val="TextoNormalCaracter"/>
          </w:rPr>
          <w:t>116/2015</w:t>
        </w:r>
      </w:hyperlink>
      <w:r w:rsidRPr="00F80910">
        <w:rPr>
          <w:rStyle w:val="TextoNormalCaracter"/>
        </w:rPr>
        <w:t>, ff. 1, 2.</w:t>
      </w:r>
    </w:p>
    <w:p w:rsidR="00F80910" w:rsidRPr="00F80910" w:rsidRDefault="00F80910" w:rsidP="00F80910">
      <w:pPr>
        <w:pStyle w:val="TextoNormalSangraFrancesa"/>
        <w:rPr>
          <w:rStyle w:val="TextoNormalCaracter"/>
        </w:rPr>
      </w:pPr>
      <w:bookmarkStart w:id="1449" w:name="DESCRIPTORALFABETICO176"/>
      <w:r w:rsidRPr="00F80910">
        <w:rPr>
          <w:rStyle w:val="TextoNormalNegritaCaracter"/>
        </w:rPr>
        <w:t>Suspensión cautelar urgente</w:t>
      </w:r>
      <w:bookmarkEnd w:id="1449"/>
      <w:r w:rsidRPr="00F80910">
        <w:rPr>
          <w:rStyle w:val="TextoNormalCaracter"/>
        </w:rPr>
        <w:t xml:space="preserve">, Autos </w:t>
      </w:r>
      <w:hyperlink w:anchor="AUTO_2015_189" w:history="1">
        <w:r w:rsidRPr="00F80910">
          <w:rPr>
            <w:rStyle w:val="TextoNormalCaracter"/>
          </w:rPr>
          <w:t>189/2015</w:t>
        </w:r>
      </w:hyperlink>
      <w:r w:rsidRPr="00F80910">
        <w:rPr>
          <w:rStyle w:val="TextoNormalCaracter"/>
        </w:rPr>
        <w:t xml:space="preserve">, f. 2 a); </w:t>
      </w:r>
      <w:hyperlink w:anchor="AUTO_2015_190" w:history="1">
        <w:r w:rsidRPr="00F80910">
          <w:rPr>
            <w:rStyle w:val="TextoNormalCaracter"/>
          </w:rPr>
          <w:t>190/2015</w:t>
        </w:r>
      </w:hyperlink>
      <w:r w:rsidRPr="00F80910">
        <w:rPr>
          <w:rStyle w:val="TextoNormalCaracter"/>
        </w:rPr>
        <w:t>, f. 2 a).</w:t>
      </w:r>
    </w:p>
    <w:p w:rsidR="00F80910" w:rsidRPr="00F80910" w:rsidRDefault="00F80910" w:rsidP="00F80910">
      <w:pPr>
        <w:pStyle w:val="TextoNormalSangraFrancesa"/>
        <w:rPr>
          <w:rStyle w:val="TextoNormalCaracter"/>
        </w:rPr>
      </w:pPr>
      <w:bookmarkStart w:id="1450" w:name="DESCRIPTORALFABETICO177"/>
      <w:r w:rsidRPr="00F80910">
        <w:rPr>
          <w:rStyle w:val="TextoNormalNegritaCaracter"/>
        </w:rPr>
        <w:t>Suspensión de disposiciones de las Comunidades Autónomas</w:t>
      </w:r>
      <w:bookmarkEnd w:id="1450"/>
      <w:r w:rsidRPr="00F80910">
        <w:rPr>
          <w:rStyle w:val="TextoNormalCaracter"/>
        </w:rPr>
        <w:t xml:space="preserve">, Autos </w:t>
      </w:r>
      <w:hyperlink w:anchor="AUTO_2015_122" w:history="1">
        <w:r w:rsidRPr="00F80910">
          <w:rPr>
            <w:rStyle w:val="TextoNormalCaracter"/>
          </w:rPr>
          <w:t>122/2015</w:t>
        </w:r>
      </w:hyperlink>
      <w:r w:rsidRPr="00F80910">
        <w:rPr>
          <w:rStyle w:val="TextoNormalCaracter"/>
        </w:rPr>
        <w:t xml:space="preserve">, f. 7; </w:t>
      </w:r>
      <w:hyperlink w:anchor="AUTO_2015_185" w:history="1">
        <w:r w:rsidRPr="00F80910">
          <w:rPr>
            <w:rStyle w:val="TextoNormalCaracter"/>
          </w:rPr>
          <w:t>185/2015</w:t>
        </w:r>
      </w:hyperlink>
      <w:r w:rsidRPr="00F80910">
        <w:rPr>
          <w:rStyle w:val="TextoNormalCaracter"/>
        </w:rPr>
        <w:t>, f. 1.</w:t>
      </w:r>
    </w:p>
    <w:p w:rsidR="00F80910" w:rsidRPr="00F80910" w:rsidRDefault="00F80910" w:rsidP="00F80910">
      <w:pPr>
        <w:pStyle w:val="TextoNormalSangraFrancesa"/>
        <w:rPr>
          <w:rStyle w:val="TextoNormalCaracter"/>
        </w:rPr>
      </w:pPr>
      <w:bookmarkStart w:id="1451" w:name="DESCRIPTORALFABETICO193"/>
      <w:r w:rsidRPr="00F80910">
        <w:rPr>
          <w:rStyle w:val="TextoNormalNegritaCaracter"/>
        </w:rPr>
        <w:t>Suspensión de efectos del acto o sentencia impugnados</w:t>
      </w:r>
      <w:bookmarkEnd w:id="1451"/>
      <w:r w:rsidRPr="00F80910">
        <w:rPr>
          <w:rStyle w:val="TextoNormalCaracter"/>
        </w:rPr>
        <w:t xml:space="preserve">, Autos </w:t>
      </w:r>
      <w:hyperlink w:anchor="AUTO_2015_189" w:history="1">
        <w:r w:rsidRPr="00F80910">
          <w:rPr>
            <w:rStyle w:val="TextoNormalCaracter"/>
          </w:rPr>
          <w:t>189/2015</w:t>
        </w:r>
      </w:hyperlink>
      <w:r w:rsidRPr="00F80910">
        <w:rPr>
          <w:rStyle w:val="TextoNormalCaracter"/>
        </w:rPr>
        <w:t xml:space="preserve">, ff. 1 a 3; </w:t>
      </w:r>
      <w:hyperlink w:anchor="AUTO_2015_190" w:history="1">
        <w:r w:rsidRPr="00F80910">
          <w:rPr>
            <w:rStyle w:val="TextoNormalCaracter"/>
          </w:rPr>
          <w:t>190/2015</w:t>
        </w:r>
      </w:hyperlink>
      <w:r w:rsidRPr="00F80910">
        <w:rPr>
          <w:rStyle w:val="TextoNormalCaracter"/>
        </w:rPr>
        <w:t>, ff. 1 a 3.</w:t>
      </w:r>
    </w:p>
    <w:p w:rsidR="00F80910" w:rsidRPr="00F80910" w:rsidRDefault="00F80910" w:rsidP="00F80910">
      <w:pPr>
        <w:pStyle w:val="TextoNormalSangraFrancesa"/>
        <w:rPr>
          <w:rStyle w:val="TextoNormalCaracter"/>
        </w:rPr>
      </w:pPr>
      <w:bookmarkStart w:id="1452" w:name="DESCRIPTORALFABETICO539"/>
      <w:r w:rsidRPr="00F80910">
        <w:rPr>
          <w:rStyle w:val="TextoNormalNegritaCaracter"/>
        </w:rPr>
        <w:t>Suspensión de ejecución de sentencia</w:t>
      </w:r>
      <w:bookmarkEnd w:id="1452"/>
      <w:r w:rsidRPr="00F80910">
        <w:rPr>
          <w:rStyle w:val="TextoNormalCaracter"/>
        </w:rPr>
        <w:t xml:space="preserve">, Sentencia </w:t>
      </w:r>
      <w:hyperlink w:anchor="SENTENCIA_2015_254" w:history="1">
        <w:r w:rsidRPr="00F80910">
          <w:rPr>
            <w:rStyle w:val="TextoNormalCaracter"/>
          </w:rPr>
          <w:t>254/2015</w:t>
        </w:r>
      </w:hyperlink>
      <w:r w:rsidRPr="00F80910">
        <w:rPr>
          <w:rStyle w:val="TextoNormalCaracter"/>
        </w:rPr>
        <w:t>, ff. 2, 3.</w:t>
      </w:r>
    </w:p>
    <w:p w:rsidR="00F80910" w:rsidRPr="00F80910" w:rsidRDefault="00F80910" w:rsidP="00F80910">
      <w:pPr>
        <w:pStyle w:val="TextoNormalSangraFrancesa"/>
        <w:rPr>
          <w:rStyle w:val="TextoNormalCaracter"/>
        </w:rPr>
      </w:pPr>
      <w:bookmarkStart w:id="1453" w:name="DESCRIPTORALFABETICO168"/>
      <w:r w:rsidRPr="00F80910">
        <w:rPr>
          <w:rStyle w:val="TextoNormalNegritaCaracter"/>
        </w:rPr>
        <w:t>Suspensión de la ejecución del acto que origina el amparo</w:t>
      </w:r>
      <w:bookmarkEnd w:id="1453"/>
      <w:r w:rsidRPr="00F80910">
        <w:rPr>
          <w:rStyle w:val="TextoNormalCaracter"/>
        </w:rPr>
        <w:t xml:space="preserve">, Autos </w:t>
      </w:r>
      <w:hyperlink w:anchor="AUTO_2015_189" w:history="1">
        <w:r w:rsidRPr="00F80910">
          <w:rPr>
            <w:rStyle w:val="TextoNormalCaracter"/>
          </w:rPr>
          <w:t>189/2015</w:t>
        </w:r>
      </w:hyperlink>
      <w:r w:rsidRPr="00F80910">
        <w:rPr>
          <w:rStyle w:val="TextoNormalCaracter"/>
        </w:rPr>
        <w:t xml:space="preserve">, ff. 2 a), 2 b), 3; </w:t>
      </w:r>
      <w:hyperlink w:anchor="AUTO_2015_190" w:history="1">
        <w:r w:rsidRPr="00F80910">
          <w:rPr>
            <w:rStyle w:val="TextoNormalCaracter"/>
          </w:rPr>
          <w:t>190/2015</w:t>
        </w:r>
      </w:hyperlink>
      <w:r w:rsidRPr="00F80910">
        <w:rPr>
          <w:rStyle w:val="TextoNormalCaracter"/>
        </w:rPr>
        <w:t>, ff. 2 a), 2 b), 3.</w:t>
      </w:r>
    </w:p>
    <w:p w:rsidR="00F80910" w:rsidRPr="00F80910" w:rsidRDefault="00F80910" w:rsidP="00F80910">
      <w:pPr>
        <w:pStyle w:val="TextoNormalSangraFrancesa"/>
        <w:rPr>
          <w:rStyle w:val="TextoNormalCaracter"/>
        </w:rPr>
      </w:pPr>
      <w:bookmarkStart w:id="1454" w:name="DESCRIPTORALFABETICO232"/>
      <w:r w:rsidRPr="00F80910">
        <w:rPr>
          <w:rStyle w:val="TextoNormalNegritaCaracter"/>
        </w:rPr>
        <w:t>Suspensión del proceso de amparo</w:t>
      </w:r>
      <w:bookmarkEnd w:id="1454"/>
      <w:r w:rsidRPr="00F80910">
        <w:rPr>
          <w:rStyle w:val="TextoNormalCaracter"/>
        </w:rPr>
        <w:t xml:space="preserve">, Autos </w:t>
      </w:r>
      <w:hyperlink w:anchor="AUTO_2015_207" w:history="1">
        <w:r w:rsidRPr="00F80910">
          <w:rPr>
            <w:rStyle w:val="TextoNormalCaracter"/>
          </w:rPr>
          <w:t>207/2015</w:t>
        </w:r>
      </w:hyperlink>
      <w:r w:rsidRPr="00F80910">
        <w:rPr>
          <w:rStyle w:val="TextoNormalCaracter"/>
        </w:rPr>
        <w:t xml:space="preserve">, ff. 2 a 4; </w:t>
      </w:r>
      <w:hyperlink w:anchor="AUTO_2015_208" w:history="1">
        <w:r w:rsidRPr="00F80910">
          <w:rPr>
            <w:rStyle w:val="TextoNormalCaracter"/>
          </w:rPr>
          <w:t>208/2015</w:t>
        </w:r>
      </w:hyperlink>
      <w:r w:rsidRPr="00F80910">
        <w:rPr>
          <w:rStyle w:val="TextoNormalCaracter"/>
        </w:rPr>
        <w:t xml:space="preserve">, ff. 2 a 4; </w:t>
      </w:r>
      <w:hyperlink w:anchor="AUTO_2015_209" w:history="1">
        <w:r w:rsidRPr="00F80910">
          <w:rPr>
            <w:rStyle w:val="TextoNormalCaracter"/>
          </w:rPr>
          <w:t>209/2015</w:t>
        </w:r>
      </w:hyperlink>
      <w:r w:rsidRPr="00F80910">
        <w:rPr>
          <w:rStyle w:val="TextoNormalCaracter"/>
        </w:rPr>
        <w:t xml:space="preserve">, ff. 2 a 4; </w:t>
      </w:r>
      <w:hyperlink w:anchor="AUTO_2015_210" w:history="1">
        <w:r w:rsidRPr="00F80910">
          <w:rPr>
            <w:rStyle w:val="TextoNormalCaracter"/>
          </w:rPr>
          <w:t>210/2015</w:t>
        </w:r>
      </w:hyperlink>
      <w:r w:rsidRPr="00F80910">
        <w:rPr>
          <w:rStyle w:val="TextoNormalCaracter"/>
        </w:rPr>
        <w:t xml:space="preserve">, ff. 2 a 4; </w:t>
      </w:r>
      <w:hyperlink w:anchor="AUTO_2015_212" w:history="1">
        <w:r w:rsidRPr="00F80910">
          <w:rPr>
            <w:rStyle w:val="TextoNormalCaracter"/>
          </w:rPr>
          <w:t>212/2015</w:t>
        </w:r>
      </w:hyperlink>
      <w:r w:rsidRPr="00F80910">
        <w:rPr>
          <w:rStyle w:val="TextoNormalCaracter"/>
        </w:rPr>
        <w:t xml:space="preserve">, ff. 2 a 4; </w:t>
      </w:r>
      <w:hyperlink w:anchor="AUTO_2015_213" w:history="1">
        <w:r w:rsidRPr="00F80910">
          <w:rPr>
            <w:rStyle w:val="TextoNormalCaracter"/>
          </w:rPr>
          <w:t>213/2015</w:t>
        </w:r>
      </w:hyperlink>
      <w:r w:rsidRPr="00F80910">
        <w:rPr>
          <w:rStyle w:val="TextoNormalCaracter"/>
        </w:rPr>
        <w:t>, ff. 2 a 4.</w:t>
      </w:r>
    </w:p>
    <w:p w:rsidR="00F80910" w:rsidRPr="00F80910" w:rsidRDefault="00F80910" w:rsidP="00F80910">
      <w:pPr>
        <w:pStyle w:val="TextoNormalSangraFrancesa"/>
        <w:rPr>
          <w:rStyle w:val="TextoNormalCaracter"/>
        </w:rPr>
      </w:pPr>
      <w:bookmarkStart w:id="1455" w:name="DESCRIPTORALFABETICO480"/>
      <w:r w:rsidRPr="00F80910">
        <w:rPr>
          <w:rStyle w:val="TextoNormalNegritaCaracter"/>
        </w:rPr>
        <w:t>Sustitución de pena privativa de libertad por expulsión de extranjero</w:t>
      </w:r>
      <w:bookmarkEnd w:id="1455"/>
      <w:r w:rsidRPr="00F80910">
        <w:rPr>
          <w:rStyle w:val="TextoNormalCaracter"/>
        </w:rPr>
        <w:t xml:space="preserve">, Auto </w:t>
      </w:r>
      <w:hyperlink w:anchor="AUTO_2015_180" w:history="1">
        <w:r w:rsidRPr="00F80910">
          <w:rPr>
            <w:rStyle w:val="TextoNormalCaracter"/>
          </w:rPr>
          <w:t>180/2015</w:t>
        </w:r>
      </w:hyperlink>
      <w:r w:rsidRPr="00F80910">
        <w:rPr>
          <w:rStyle w:val="TextoNormalCaracter"/>
        </w:rPr>
        <w:t>, f. 3.</w:t>
      </w:r>
    </w:p>
    <w:p w:rsidR="00F80910" w:rsidRDefault="00F80910" w:rsidP="00F80910">
      <w:pPr>
        <w:pStyle w:val="TextoNormalSangraFrancesa"/>
      </w:pPr>
    </w:p>
    <w:p w:rsidR="00F80910" w:rsidRDefault="00F80910" w:rsidP="00F80910">
      <w:pPr>
        <w:pStyle w:val="TextoNormalSangraFrancesa"/>
      </w:pPr>
    </w:p>
    <w:p w:rsidR="00F80910" w:rsidRDefault="00F80910" w:rsidP="00F80910">
      <w:pPr>
        <w:pStyle w:val="TextoNormalNegritaCentrado"/>
      </w:pPr>
      <w:r>
        <w:t>T</w:t>
      </w:r>
    </w:p>
    <w:p w:rsidR="00F80910" w:rsidRDefault="00F80910" w:rsidP="00F80910">
      <w:pPr>
        <w:pStyle w:val="TextoNormalNegritaCentrado"/>
      </w:pPr>
    </w:p>
    <w:p w:rsidR="00F80910" w:rsidRPr="00F80910" w:rsidRDefault="00F80910" w:rsidP="00F80910">
      <w:pPr>
        <w:pStyle w:val="TextoNormalSangraFrancesa"/>
        <w:rPr>
          <w:rStyle w:val="TextoNormalCaracter"/>
        </w:rPr>
      </w:pPr>
      <w:bookmarkStart w:id="1456" w:name="DESCRIPTORALFABETICO364"/>
      <w:r w:rsidRPr="00F80910">
        <w:rPr>
          <w:rStyle w:val="TextoNormalNegritaCaracter"/>
        </w:rPr>
        <w:t>Tercer poseedor de la finca ejecutada</w:t>
      </w:r>
      <w:bookmarkEnd w:id="1456"/>
      <w:r w:rsidRPr="00F80910">
        <w:rPr>
          <w:rStyle w:val="TextoNormalCaracter"/>
        </w:rPr>
        <w:t xml:space="preserve">, Sentencia </w:t>
      </w:r>
      <w:hyperlink w:anchor="SENTENCIA_2015_208" w:history="1">
        <w:r w:rsidRPr="00F80910">
          <w:rPr>
            <w:rStyle w:val="TextoNormalCaracter"/>
          </w:rPr>
          <w:t>208/2015</w:t>
        </w:r>
      </w:hyperlink>
      <w:r w:rsidRPr="00F80910">
        <w:rPr>
          <w:rStyle w:val="TextoNormalCaracter"/>
        </w:rPr>
        <w:t>, ff. 2 a 5.</w:t>
      </w:r>
    </w:p>
    <w:p w:rsidR="00F80910" w:rsidRPr="00F80910" w:rsidRDefault="00F80910" w:rsidP="00F80910">
      <w:pPr>
        <w:pStyle w:val="TextoNormalSangraFrancesa"/>
        <w:rPr>
          <w:rStyle w:val="TextoNormalCaracter"/>
        </w:rPr>
      </w:pPr>
      <w:bookmarkStart w:id="1457" w:name="DESCRIPTORALFABETICO531"/>
      <w:r w:rsidRPr="00F80910">
        <w:rPr>
          <w:rStyle w:val="TextoNormalNegritaCaracter"/>
        </w:rPr>
        <w:t>Testimonio de las actuaciones</w:t>
      </w:r>
      <w:bookmarkEnd w:id="1457"/>
      <w:r w:rsidRPr="00F80910">
        <w:rPr>
          <w:rStyle w:val="TextoNormalCaracter"/>
        </w:rPr>
        <w:t xml:space="preserve">, Auto </w:t>
      </w:r>
      <w:hyperlink w:anchor="AUTO_2015_115" w:history="1">
        <w:r w:rsidRPr="00F80910">
          <w:rPr>
            <w:rStyle w:val="TextoNormalCaracter"/>
          </w:rPr>
          <w:t>115/2015</w:t>
        </w:r>
      </w:hyperlink>
      <w:r w:rsidRPr="00F80910">
        <w:rPr>
          <w:rStyle w:val="TextoNormalCaracter"/>
        </w:rPr>
        <w:t>, f. único.</w:t>
      </w:r>
    </w:p>
    <w:p w:rsidR="00F80910" w:rsidRPr="00F80910" w:rsidRDefault="00F80910" w:rsidP="00F80910">
      <w:pPr>
        <w:pStyle w:val="TextoNormalSangraFrancesa"/>
        <w:rPr>
          <w:rStyle w:val="TextoNormalCaracter"/>
        </w:rPr>
      </w:pPr>
      <w:bookmarkStart w:id="1458" w:name="DESCRIPTORALFABETICO56"/>
      <w:r w:rsidRPr="00F80910">
        <w:rPr>
          <w:rStyle w:val="TextoNormalNegritaCaracter"/>
        </w:rPr>
        <w:t>Tipos de gravamen</w:t>
      </w:r>
      <w:bookmarkEnd w:id="1458"/>
      <w:r w:rsidRPr="00F80910">
        <w:rPr>
          <w:rStyle w:val="TextoNormalCaracter"/>
        </w:rPr>
        <w:t xml:space="preserve">, Sentencia </w:t>
      </w:r>
      <w:hyperlink w:anchor="SENTENCIA_2015_211" w:history="1">
        <w:r w:rsidRPr="00F80910">
          <w:rPr>
            <w:rStyle w:val="TextoNormalCaracter"/>
          </w:rPr>
          <w:t>211/2015</w:t>
        </w:r>
      </w:hyperlink>
      <w:r w:rsidRPr="00F80910">
        <w:rPr>
          <w:rStyle w:val="TextoNormalCaracter"/>
        </w:rPr>
        <w:t>, ff. 5 a 7, VP.</w:t>
      </w:r>
    </w:p>
    <w:p w:rsidR="00F80910" w:rsidRPr="00F80910" w:rsidRDefault="00F80910" w:rsidP="00F80910">
      <w:pPr>
        <w:pStyle w:val="TextoNormalSangraFrancesa"/>
        <w:rPr>
          <w:rStyle w:val="TextoNormalCaracter"/>
        </w:rPr>
      </w:pPr>
      <w:bookmarkStart w:id="1459" w:name="DESCRIPTORALFABETICO159"/>
      <w:r w:rsidRPr="00F80910">
        <w:rPr>
          <w:rStyle w:val="TextoNormalNegritaCaracter"/>
        </w:rPr>
        <w:t>Titularidad por las personas jurídicas públicas</w:t>
      </w:r>
      <w:bookmarkEnd w:id="1459"/>
      <w:r w:rsidRPr="00F80910">
        <w:rPr>
          <w:rStyle w:val="TextoNormalCaracter"/>
        </w:rPr>
        <w:t xml:space="preserve">, Sentencia </w:t>
      </w:r>
      <w:hyperlink w:anchor="SENTENCIA_2015_195" w:history="1">
        <w:r w:rsidRPr="00F80910">
          <w:rPr>
            <w:rStyle w:val="TextoNormalCaracter"/>
          </w:rPr>
          <w:t>195/2015</w:t>
        </w:r>
      </w:hyperlink>
      <w:r w:rsidRPr="00F80910">
        <w:rPr>
          <w:rStyle w:val="TextoNormalCaracter"/>
        </w:rPr>
        <w:t>, ff. 2, 3.</w:t>
      </w:r>
    </w:p>
    <w:p w:rsidR="00F80910" w:rsidRPr="00F80910" w:rsidRDefault="00F80910" w:rsidP="00F80910">
      <w:pPr>
        <w:pStyle w:val="TextoNormalSangraFrancesa"/>
        <w:rPr>
          <w:rStyle w:val="TextoNormalCaracter"/>
        </w:rPr>
      </w:pPr>
      <w:bookmarkStart w:id="1460" w:name="DESCRIPTORALFABETICO380"/>
      <w:r w:rsidRPr="00F80910">
        <w:rPr>
          <w:rStyle w:val="TextoNormalNegritaCaracter"/>
        </w:rPr>
        <w:t>Títulos académicos</w:t>
      </w:r>
      <w:bookmarkEnd w:id="1460"/>
      <w:r w:rsidRPr="00F80910">
        <w:rPr>
          <w:rStyle w:val="TextoNormalCaracter"/>
        </w:rPr>
        <w:t xml:space="preserve">, Sentencia </w:t>
      </w:r>
      <w:hyperlink w:anchor="SENTENCIA_2015_176" w:history="1">
        <w:r w:rsidRPr="00F80910">
          <w:rPr>
            <w:rStyle w:val="TextoNormalCaracter"/>
          </w:rPr>
          <w:t>176/2015</w:t>
        </w:r>
      </w:hyperlink>
      <w:r w:rsidRPr="00F80910">
        <w:rPr>
          <w:rStyle w:val="TextoNormalCaracter"/>
        </w:rPr>
        <w:t>, f. 4.</w:t>
      </w:r>
    </w:p>
    <w:p w:rsidR="00F80910" w:rsidRPr="00F80910" w:rsidRDefault="00F80910" w:rsidP="00F80910">
      <w:pPr>
        <w:pStyle w:val="TextoNormalSangraFrancesa"/>
        <w:rPr>
          <w:rStyle w:val="TextoNormalCaracter"/>
        </w:rPr>
      </w:pPr>
      <w:bookmarkStart w:id="1461" w:name="DESCRIPTORALFABETICO17"/>
      <w:r w:rsidRPr="00F80910">
        <w:rPr>
          <w:rStyle w:val="TextoNormalNegritaCaracter"/>
        </w:rPr>
        <w:t>Títulos competenciales</w:t>
      </w:r>
      <w:bookmarkEnd w:id="1461"/>
      <w:r w:rsidRPr="00F80910">
        <w:rPr>
          <w:rStyle w:val="TextoNormalCaracter"/>
        </w:rPr>
        <w:t xml:space="preserve">, Auto </w:t>
      </w:r>
      <w:hyperlink w:anchor="AUTO_2015_182" w:history="1">
        <w:r w:rsidRPr="00F80910">
          <w:rPr>
            <w:rStyle w:val="TextoNormalCaracter"/>
          </w:rPr>
          <w:t>182/2015</w:t>
        </w:r>
      </w:hyperlink>
      <w:r w:rsidRPr="00F80910">
        <w:rPr>
          <w:rStyle w:val="TextoNormalCaracter"/>
        </w:rPr>
        <w:t>.</w:t>
      </w:r>
    </w:p>
    <w:p w:rsidR="00F80910" w:rsidRPr="00F80910" w:rsidRDefault="00F80910" w:rsidP="00F80910">
      <w:pPr>
        <w:pStyle w:val="TextoNormalSangraFrancesa"/>
        <w:rPr>
          <w:rStyle w:val="TextoNormalCaracter"/>
        </w:rPr>
      </w:pPr>
      <w:bookmarkStart w:id="1462" w:name="DESCRIPTORALFABETICO274"/>
      <w:r w:rsidRPr="00F80910">
        <w:rPr>
          <w:rStyle w:val="TextoNormalNegritaCaracter"/>
        </w:rPr>
        <w:t>Tramitación de proyectos de ley</w:t>
      </w:r>
      <w:bookmarkEnd w:id="1462"/>
      <w:r w:rsidRPr="00F80910">
        <w:rPr>
          <w:rStyle w:val="TextoNormalCaracter"/>
        </w:rPr>
        <w:t xml:space="preserve">, Sentencia </w:t>
      </w:r>
      <w:hyperlink w:anchor="SENTENCIA_2015_216" w:history="1">
        <w:r w:rsidRPr="00F80910">
          <w:rPr>
            <w:rStyle w:val="TextoNormalCaracter"/>
          </w:rPr>
          <w:t>216/2015</w:t>
        </w:r>
      </w:hyperlink>
      <w:r w:rsidRPr="00F80910">
        <w:rPr>
          <w:rStyle w:val="TextoNormalCaracter"/>
        </w:rPr>
        <w:t>, ff. 5, 6.</w:t>
      </w:r>
    </w:p>
    <w:p w:rsidR="00F80910" w:rsidRPr="00F80910" w:rsidRDefault="00F80910" w:rsidP="00F80910">
      <w:pPr>
        <w:pStyle w:val="TextoNormalSangraFrancesa"/>
        <w:rPr>
          <w:rStyle w:val="TextoNormalCaracter"/>
        </w:rPr>
      </w:pPr>
      <w:bookmarkStart w:id="1463" w:name="DESCRIPTORALFABETICO233"/>
      <w:r w:rsidRPr="00F80910">
        <w:rPr>
          <w:rStyle w:val="TextoNormalNegritaCaracter"/>
        </w:rPr>
        <w:t>Trámite de admisión en el recurso de amparo</w:t>
      </w:r>
      <w:bookmarkEnd w:id="1463"/>
      <w:r w:rsidRPr="00F80910">
        <w:rPr>
          <w:rStyle w:val="TextoNormalCaracter"/>
        </w:rPr>
        <w:t xml:space="preserve">, Sentencia </w:t>
      </w:r>
      <w:hyperlink w:anchor="SENTENCIA_2015_183" w:history="1">
        <w:r w:rsidRPr="00F80910">
          <w:rPr>
            <w:rStyle w:val="TextoNormalCaracter"/>
          </w:rPr>
          <w:t>183/2015</w:t>
        </w:r>
      </w:hyperlink>
      <w:r w:rsidRPr="00F80910">
        <w:rPr>
          <w:rStyle w:val="TextoNormalCaracter"/>
        </w:rPr>
        <w:t>, f. 2.</w:t>
      </w:r>
    </w:p>
    <w:p w:rsidR="00F80910" w:rsidRPr="00F80910" w:rsidRDefault="00F80910" w:rsidP="00F80910">
      <w:pPr>
        <w:pStyle w:val="TextoNormalSangraFrancesa"/>
        <w:rPr>
          <w:rStyle w:val="TextoNormalCaracter"/>
        </w:rPr>
      </w:pPr>
      <w:bookmarkStart w:id="1464" w:name="DESCRIPTORALFABETICO208"/>
      <w:r w:rsidRPr="00F80910">
        <w:rPr>
          <w:rStyle w:val="TextoNormalNegritaCaracter"/>
        </w:rPr>
        <w:t>Trámite de audiencia a las partes defectuoso</w:t>
      </w:r>
      <w:bookmarkEnd w:id="1464"/>
      <w:r w:rsidRPr="00F80910">
        <w:rPr>
          <w:rStyle w:val="TextoNormalCaracter"/>
        </w:rPr>
        <w:t xml:space="preserve">, Sentencia </w:t>
      </w:r>
      <w:hyperlink w:anchor="SENTENCIA_2015_157" w:history="1">
        <w:r w:rsidRPr="00F80910">
          <w:rPr>
            <w:rStyle w:val="TextoNormalCaracter"/>
          </w:rPr>
          <w:t>157/2015</w:t>
        </w:r>
      </w:hyperlink>
      <w:r w:rsidRPr="00F80910">
        <w:rPr>
          <w:rStyle w:val="TextoNormalCaracter"/>
        </w:rPr>
        <w:t>, f. 3.</w:t>
      </w:r>
    </w:p>
    <w:p w:rsidR="00F80910" w:rsidRPr="00F80910" w:rsidRDefault="00F80910" w:rsidP="00F80910">
      <w:pPr>
        <w:pStyle w:val="TextoNormalSangraFrancesa"/>
        <w:rPr>
          <w:rStyle w:val="TextoNormalCaracter"/>
        </w:rPr>
      </w:pPr>
      <w:r w:rsidRPr="00F80910">
        <w:rPr>
          <w:rStyle w:val="TextoNormalCaracter"/>
        </w:rPr>
        <w:t xml:space="preserve">    Auto </w:t>
      </w:r>
      <w:hyperlink w:anchor="AUTO_2015_154" w:history="1">
        <w:r w:rsidRPr="00F80910">
          <w:rPr>
            <w:rStyle w:val="TextoNormalCaracter"/>
          </w:rPr>
          <w:t>154/2015</w:t>
        </w:r>
      </w:hyperlink>
      <w:r w:rsidRPr="00F80910">
        <w:rPr>
          <w:rStyle w:val="TextoNormalCaracter"/>
        </w:rPr>
        <w:t>.</w:t>
      </w:r>
    </w:p>
    <w:p w:rsidR="00F80910" w:rsidRPr="00F80910" w:rsidRDefault="00F80910" w:rsidP="00F80910">
      <w:pPr>
        <w:pStyle w:val="TextoNormalSangraFrancesa"/>
        <w:rPr>
          <w:rStyle w:val="TextoNormalCaracter"/>
        </w:rPr>
      </w:pPr>
      <w:bookmarkStart w:id="1465" w:name="DESCRIPTORALFABETICO517"/>
      <w:r w:rsidRPr="00F80910">
        <w:rPr>
          <w:rStyle w:val="TextoNormalNegritaCaracter"/>
        </w:rPr>
        <w:t>Transporte ferroviario</w:t>
      </w:r>
      <w:bookmarkEnd w:id="1465"/>
      <w:r w:rsidRPr="00F80910">
        <w:rPr>
          <w:rStyle w:val="TextoNormalCaracter"/>
        </w:rPr>
        <w:t xml:space="preserve">, Sentencia </w:t>
      </w:r>
      <w:hyperlink w:anchor="SENTENCIA_2015_197" w:history="1">
        <w:r w:rsidRPr="00F80910">
          <w:rPr>
            <w:rStyle w:val="TextoNormalCaracter"/>
          </w:rPr>
          <w:t>197/2015</w:t>
        </w:r>
      </w:hyperlink>
      <w:r w:rsidRPr="00F80910">
        <w:rPr>
          <w:rStyle w:val="TextoNormalCaracter"/>
        </w:rPr>
        <w:t>, f. 1.</w:t>
      </w:r>
    </w:p>
    <w:p w:rsidR="00F80910" w:rsidRPr="00F80910" w:rsidRDefault="00F80910" w:rsidP="00F80910">
      <w:pPr>
        <w:pStyle w:val="TextoNormalSangraFrancesa"/>
        <w:rPr>
          <w:rStyle w:val="TextoNormalCaracter"/>
        </w:rPr>
      </w:pPr>
      <w:bookmarkStart w:id="1466" w:name="DESCRIPTORALFABETICO437"/>
      <w:r w:rsidRPr="00F80910">
        <w:rPr>
          <w:rStyle w:val="TextoNormalNegritaCaracter"/>
        </w:rPr>
        <w:t>Tratados internacionales no son canon de constitucionalidad autónomos</w:t>
      </w:r>
      <w:bookmarkEnd w:id="1466"/>
      <w:r w:rsidRPr="00F80910">
        <w:rPr>
          <w:rStyle w:val="TextoNormalCaracter"/>
        </w:rPr>
        <w:t xml:space="preserve">, Sentencia </w:t>
      </w:r>
      <w:hyperlink w:anchor="SENTENCIA_2015_270" w:history="1">
        <w:r w:rsidRPr="00F80910">
          <w:rPr>
            <w:rStyle w:val="TextoNormalCaracter"/>
          </w:rPr>
          <w:t>270/2015</w:t>
        </w:r>
      </w:hyperlink>
      <w:r w:rsidRPr="00F80910">
        <w:rPr>
          <w:rStyle w:val="TextoNormalCaracter"/>
        </w:rPr>
        <w:t>, f. 6, VP.</w:t>
      </w:r>
    </w:p>
    <w:p w:rsidR="00F80910" w:rsidRPr="00F80910" w:rsidRDefault="00F80910" w:rsidP="00F80910">
      <w:pPr>
        <w:pStyle w:val="TextoNormalSangraFrancesa"/>
        <w:rPr>
          <w:rStyle w:val="TextoNormalCaracter"/>
        </w:rPr>
      </w:pPr>
      <w:bookmarkStart w:id="1467" w:name="DESCRIPTORALFABETICO438"/>
      <w:r w:rsidRPr="00F80910">
        <w:rPr>
          <w:rStyle w:val="TextoNormalNegritaCaracter"/>
        </w:rPr>
        <w:t>Tribunal Europeo de Derechos Humanos</w:t>
      </w:r>
      <w:bookmarkEnd w:id="1467"/>
      <w:r w:rsidRPr="00F80910">
        <w:rPr>
          <w:rStyle w:val="TextoNormalCaracter"/>
        </w:rPr>
        <w:t xml:space="preserve">, Auto </w:t>
      </w:r>
      <w:hyperlink w:anchor="AUTO_2015_179" w:history="1">
        <w:r w:rsidRPr="00F80910">
          <w:rPr>
            <w:rStyle w:val="TextoNormalCaracter"/>
          </w:rPr>
          <w:t>179/2015</w:t>
        </w:r>
      </w:hyperlink>
      <w:r w:rsidRPr="00F80910">
        <w:rPr>
          <w:rStyle w:val="TextoNormalCaracter"/>
        </w:rPr>
        <w:t>, f. 4, 5.</w:t>
      </w:r>
    </w:p>
    <w:p w:rsidR="00F80910" w:rsidRPr="00F80910" w:rsidRDefault="00F80910" w:rsidP="00F80910">
      <w:pPr>
        <w:pStyle w:val="TextoNormalSangraFrancesa"/>
        <w:rPr>
          <w:rStyle w:val="TextoNormalCaracter"/>
        </w:rPr>
      </w:pPr>
      <w:bookmarkStart w:id="1468" w:name="DESCRIPTORALFABETICO62"/>
      <w:r w:rsidRPr="00F80910">
        <w:rPr>
          <w:rStyle w:val="TextoNormalNegritaCaracter"/>
        </w:rPr>
        <w:t>Tributos autonómicos</w:t>
      </w:r>
      <w:bookmarkEnd w:id="1468"/>
      <w:r w:rsidRPr="00F80910">
        <w:rPr>
          <w:rStyle w:val="TextoNormalCaracter"/>
        </w:rPr>
        <w:t xml:space="preserve">, Sentencia </w:t>
      </w:r>
      <w:hyperlink w:anchor="SENTENCIA_2015_202" w:history="1">
        <w:r w:rsidRPr="00F80910">
          <w:rPr>
            <w:rStyle w:val="TextoNormalCaracter"/>
          </w:rPr>
          <w:t>202/2015</w:t>
        </w:r>
      </w:hyperlink>
      <w:r w:rsidRPr="00F80910">
        <w:rPr>
          <w:rStyle w:val="TextoNormalCaracter"/>
        </w:rPr>
        <w:t>, ff. 2, 3.</w:t>
      </w:r>
    </w:p>
    <w:p w:rsidR="00F80910" w:rsidRDefault="00F80910" w:rsidP="00F80910">
      <w:pPr>
        <w:pStyle w:val="TextoNormalSangraFrancesa"/>
      </w:pPr>
    </w:p>
    <w:p w:rsidR="00F80910" w:rsidRDefault="00F80910" w:rsidP="00F80910">
      <w:pPr>
        <w:pStyle w:val="TextoNormalSangraFrancesa"/>
      </w:pPr>
    </w:p>
    <w:p w:rsidR="00F80910" w:rsidRDefault="00F80910" w:rsidP="00F80910">
      <w:pPr>
        <w:pStyle w:val="TextoNormalNegritaCentrado"/>
      </w:pPr>
      <w:r>
        <w:t>U</w:t>
      </w:r>
    </w:p>
    <w:p w:rsidR="00F80910" w:rsidRDefault="00F80910" w:rsidP="00F80910">
      <w:pPr>
        <w:pStyle w:val="TextoNormalNegritaCentrado"/>
      </w:pPr>
    </w:p>
    <w:p w:rsidR="00F80910" w:rsidRPr="00F80910" w:rsidRDefault="00F80910" w:rsidP="00F80910">
      <w:pPr>
        <w:pStyle w:val="TextoNormalSangraFrancesa"/>
        <w:rPr>
          <w:rStyle w:val="TextoNormalCaracter"/>
        </w:rPr>
      </w:pPr>
      <w:bookmarkStart w:id="1469" w:name="DESCRIPTORALFABETICO381"/>
      <w:r w:rsidRPr="00F80910">
        <w:rPr>
          <w:rStyle w:val="TextoNormalNegritaCaracter"/>
        </w:rPr>
        <w:t>Universidades privadas</w:t>
      </w:r>
      <w:bookmarkEnd w:id="1469"/>
      <w:r w:rsidRPr="00F80910">
        <w:rPr>
          <w:rStyle w:val="TextoNormalCaracter"/>
        </w:rPr>
        <w:t xml:space="preserve">, Sentencia </w:t>
      </w:r>
      <w:hyperlink w:anchor="SENTENCIA_2015_176" w:history="1">
        <w:r w:rsidRPr="00F80910">
          <w:rPr>
            <w:rStyle w:val="TextoNormalCaracter"/>
          </w:rPr>
          <w:t>176/2015</w:t>
        </w:r>
      </w:hyperlink>
      <w:r w:rsidRPr="00F80910">
        <w:rPr>
          <w:rStyle w:val="TextoNormalCaracter"/>
        </w:rPr>
        <w:t>, ff. 1 a 5, VP.</w:t>
      </w:r>
    </w:p>
    <w:p w:rsidR="00F80910" w:rsidRPr="00F80910" w:rsidRDefault="00F80910" w:rsidP="00F80910">
      <w:pPr>
        <w:pStyle w:val="TextoNormalSangraFrancesa"/>
        <w:rPr>
          <w:rStyle w:val="TextoNormalCaracter"/>
        </w:rPr>
      </w:pPr>
      <w:bookmarkStart w:id="1470" w:name="DESCRIPTORALFABETICO422"/>
      <w:r w:rsidRPr="00F80910">
        <w:rPr>
          <w:rStyle w:val="TextoNormalNegritaCaracter"/>
        </w:rPr>
        <w:t>Urbanismo</w:t>
      </w:r>
      <w:bookmarkEnd w:id="1470"/>
      <w:r w:rsidRPr="00F80910">
        <w:rPr>
          <w:rStyle w:val="TextoNormalCaracter"/>
        </w:rPr>
        <w:t xml:space="preserve">, Sentencia </w:t>
      </w:r>
      <w:hyperlink w:anchor="SENTENCIA_2015_218" w:history="1">
        <w:r w:rsidRPr="00F80910">
          <w:rPr>
            <w:rStyle w:val="TextoNormalCaracter"/>
          </w:rPr>
          <w:t>218/2015</w:t>
        </w:r>
      </w:hyperlink>
      <w:r w:rsidRPr="00F80910">
        <w:rPr>
          <w:rStyle w:val="TextoNormalCaracter"/>
        </w:rPr>
        <w:t>, ff. 1 a 6, VP I, VP II, VP III, VP IV.</w:t>
      </w:r>
    </w:p>
    <w:p w:rsidR="00F80910" w:rsidRPr="00F80910" w:rsidRDefault="00F80910" w:rsidP="00F80910">
      <w:pPr>
        <w:pStyle w:val="TextoNormalSangraFrancesa"/>
        <w:rPr>
          <w:rStyle w:val="TextoNormalCaracter"/>
        </w:rPr>
      </w:pPr>
      <w:bookmarkStart w:id="1471" w:name="DESCRIPTORALFABETICO431"/>
      <w:r w:rsidRPr="00F80910">
        <w:rPr>
          <w:rStyle w:val="TextoNormalNegritaCaracter"/>
        </w:rPr>
        <w:t>Usos del suelo</w:t>
      </w:r>
      <w:bookmarkEnd w:id="1471"/>
      <w:r w:rsidRPr="00F80910">
        <w:rPr>
          <w:rStyle w:val="TextoNormalCaracter"/>
        </w:rPr>
        <w:t xml:space="preserve">, Sentencia </w:t>
      </w:r>
      <w:hyperlink w:anchor="SENTENCIA_2015_154" w:history="1">
        <w:r w:rsidRPr="00F80910">
          <w:rPr>
            <w:rStyle w:val="TextoNormalCaracter"/>
          </w:rPr>
          <w:t>154/2015</w:t>
        </w:r>
      </w:hyperlink>
      <w:r w:rsidRPr="00F80910">
        <w:rPr>
          <w:rStyle w:val="TextoNormalCaracter"/>
        </w:rPr>
        <w:t>, f. 7.</w:t>
      </w:r>
    </w:p>
    <w:p w:rsidR="00F80910" w:rsidRPr="00F80910" w:rsidRDefault="00F80910" w:rsidP="00F80910">
      <w:pPr>
        <w:pStyle w:val="TextoNormalSangraFrancesa"/>
        <w:rPr>
          <w:rStyle w:val="TextoNormalCaracter"/>
        </w:rPr>
      </w:pPr>
      <w:bookmarkStart w:id="1472" w:name="DESCRIPTORALFABETICO412"/>
      <w:r w:rsidRPr="00F80910">
        <w:rPr>
          <w:rStyle w:val="TextoNormalNegritaCaracter"/>
        </w:rPr>
        <w:t>Usurpación</w:t>
      </w:r>
      <w:bookmarkEnd w:id="1472"/>
      <w:r w:rsidRPr="00F80910">
        <w:rPr>
          <w:rStyle w:val="TextoNormalCaracter"/>
        </w:rPr>
        <w:t xml:space="preserve">, Sentencia </w:t>
      </w:r>
      <w:hyperlink w:anchor="SENTENCIA_2015_266" w:history="1">
        <w:r w:rsidRPr="00F80910">
          <w:rPr>
            <w:rStyle w:val="TextoNormalCaracter"/>
          </w:rPr>
          <w:t>266/2015</w:t>
        </w:r>
      </w:hyperlink>
      <w:r w:rsidRPr="00F80910">
        <w:rPr>
          <w:rStyle w:val="TextoNormalCaracter"/>
        </w:rPr>
        <w:t>, f. 1.</w:t>
      </w:r>
    </w:p>
    <w:p w:rsidR="00F80910" w:rsidRDefault="00F80910" w:rsidP="00F80910">
      <w:pPr>
        <w:pStyle w:val="TextoNormalSangraFrancesa"/>
      </w:pPr>
    </w:p>
    <w:p w:rsidR="00F80910" w:rsidRDefault="00F80910" w:rsidP="00F80910">
      <w:pPr>
        <w:pStyle w:val="TextoNormalSangraFrancesa"/>
      </w:pPr>
    </w:p>
    <w:p w:rsidR="00F80910" w:rsidRDefault="00F80910" w:rsidP="00F80910">
      <w:pPr>
        <w:pStyle w:val="TextoNormalNegritaCentrado"/>
      </w:pPr>
      <w:r>
        <w:t>V</w:t>
      </w:r>
    </w:p>
    <w:p w:rsidR="00F80910" w:rsidRDefault="00F80910" w:rsidP="00F80910">
      <w:pPr>
        <w:pStyle w:val="TextoNormalNegritaCentrado"/>
      </w:pPr>
    </w:p>
    <w:p w:rsidR="00F80910" w:rsidRPr="00F80910" w:rsidRDefault="00F80910" w:rsidP="00F80910">
      <w:pPr>
        <w:pStyle w:val="TextoNormalSangraFrancesa"/>
        <w:rPr>
          <w:rStyle w:val="TextoNormalCaracter"/>
        </w:rPr>
      </w:pPr>
      <w:bookmarkStart w:id="1473" w:name="DESCRIPTORALFABETICO511"/>
      <w:r w:rsidRPr="00F80910">
        <w:rPr>
          <w:rStyle w:val="TextoNormalNegritaCaracter"/>
        </w:rPr>
        <w:t>Vacaciones laborales</w:t>
      </w:r>
      <w:bookmarkEnd w:id="1473"/>
      <w:r w:rsidRPr="00F80910">
        <w:rPr>
          <w:rStyle w:val="TextoNormalCaracter"/>
        </w:rPr>
        <w:t xml:space="preserve">, Sentencia </w:t>
      </w:r>
      <w:hyperlink w:anchor="SENTENCIA_2015_156" w:history="1">
        <w:r w:rsidRPr="00F80910">
          <w:rPr>
            <w:rStyle w:val="TextoNormalCaracter"/>
          </w:rPr>
          <w:t>156/2015</w:t>
        </w:r>
      </w:hyperlink>
      <w:r w:rsidRPr="00F80910">
        <w:rPr>
          <w:rStyle w:val="TextoNormalCaracter"/>
        </w:rPr>
        <w:t>, ff. 5, 8.</w:t>
      </w:r>
    </w:p>
    <w:p w:rsidR="00F80910" w:rsidRPr="00F80910" w:rsidRDefault="00F80910" w:rsidP="00F80910">
      <w:pPr>
        <w:pStyle w:val="TextoNormalSangraFrancesa"/>
        <w:rPr>
          <w:rStyle w:val="TextoNormalCaracter"/>
        </w:rPr>
      </w:pPr>
      <w:bookmarkStart w:id="1474" w:name="DESCRIPTORALFABETICO611"/>
      <w:r w:rsidRPr="00F80910">
        <w:rPr>
          <w:rStyle w:val="TextoNormalNegritaCaracter"/>
        </w:rPr>
        <w:t>Valencia</w:t>
      </w:r>
      <w:bookmarkEnd w:id="1474"/>
      <w:r w:rsidRPr="00F80910">
        <w:rPr>
          <w:rStyle w:val="TextoNormalCaracter"/>
        </w:rPr>
        <w:t xml:space="preserve">, Sentencia </w:t>
      </w:r>
      <w:hyperlink w:anchor="SENTENCIA_2015_271" w:history="1">
        <w:r w:rsidRPr="00F80910">
          <w:rPr>
            <w:rStyle w:val="TextoNormalCaracter"/>
          </w:rPr>
          <w:t>271/2015</w:t>
        </w:r>
      </w:hyperlink>
      <w:r w:rsidRPr="00F80910">
        <w:rPr>
          <w:rStyle w:val="TextoNormalCaracter"/>
        </w:rPr>
        <w:t>, f. 1.</w:t>
      </w:r>
    </w:p>
    <w:p w:rsidR="00F80910" w:rsidRPr="00F80910" w:rsidRDefault="00F80910" w:rsidP="00F80910">
      <w:pPr>
        <w:pStyle w:val="TextoNormalSangraFrancesa"/>
        <w:rPr>
          <w:rStyle w:val="TextoNormalCaracter"/>
        </w:rPr>
      </w:pPr>
      <w:bookmarkStart w:id="1475" w:name="DESCRIPTORALFABETICO66"/>
      <w:r w:rsidRPr="00F80910">
        <w:rPr>
          <w:rStyle w:val="TextoNormalNegritaCaracter"/>
        </w:rPr>
        <w:t>Validez de votos</w:t>
      </w:r>
      <w:bookmarkEnd w:id="1475"/>
      <w:r w:rsidRPr="00F80910">
        <w:rPr>
          <w:rStyle w:val="TextoNormalCaracter"/>
        </w:rPr>
        <w:t xml:space="preserve">, Sentencia </w:t>
      </w:r>
      <w:hyperlink w:anchor="SENTENCIA_2015_159" w:history="1">
        <w:r w:rsidRPr="00F80910">
          <w:rPr>
            <w:rStyle w:val="TextoNormalCaracter"/>
          </w:rPr>
          <w:t>159/2015</w:t>
        </w:r>
      </w:hyperlink>
      <w:r w:rsidRPr="00F80910">
        <w:rPr>
          <w:rStyle w:val="TextoNormalCaracter"/>
        </w:rPr>
        <w:t>, f. 4.</w:t>
      </w:r>
    </w:p>
    <w:p w:rsidR="00F80910" w:rsidRPr="00F80910" w:rsidRDefault="00F80910" w:rsidP="00F80910">
      <w:pPr>
        <w:pStyle w:val="TextoNormalSangraFrancesa"/>
        <w:rPr>
          <w:rStyle w:val="TextoNormalCaracter"/>
        </w:rPr>
      </w:pPr>
      <w:bookmarkStart w:id="1476" w:name="DESCRIPTORALFABETICO434"/>
      <w:r w:rsidRPr="00F80910">
        <w:rPr>
          <w:rStyle w:val="TextoNormalNegritaCaracter"/>
        </w:rPr>
        <w:t>Valor real del suelo</w:t>
      </w:r>
      <w:bookmarkEnd w:id="1476"/>
      <w:r w:rsidRPr="00F80910">
        <w:rPr>
          <w:rStyle w:val="TextoNormalCaracter"/>
        </w:rPr>
        <w:t xml:space="preserve">, Sentencias </w:t>
      </w:r>
      <w:hyperlink w:anchor="SENTENCIA_2015_218" w:history="1">
        <w:r w:rsidRPr="00F80910">
          <w:rPr>
            <w:rStyle w:val="TextoNormalCaracter"/>
          </w:rPr>
          <w:t>218/2015</w:t>
        </w:r>
      </w:hyperlink>
      <w:r w:rsidRPr="00F80910">
        <w:rPr>
          <w:rStyle w:val="TextoNormalCaracter"/>
        </w:rPr>
        <w:t xml:space="preserve">, ff. 2, 4 a 6, VP I, VP II, VP III; </w:t>
      </w:r>
      <w:hyperlink w:anchor="SENTENCIA_2015_244" w:history="1">
        <w:r w:rsidRPr="00F80910">
          <w:rPr>
            <w:rStyle w:val="TextoNormalCaracter"/>
          </w:rPr>
          <w:t>244/2015</w:t>
        </w:r>
      </w:hyperlink>
      <w:r w:rsidRPr="00F80910">
        <w:rPr>
          <w:rStyle w:val="TextoNormalCaracter"/>
        </w:rPr>
        <w:t>, f. 2, 5.</w:t>
      </w:r>
    </w:p>
    <w:p w:rsidR="00F80910" w:rsidRPr="00F80910" w:rsidRDefault="00F80910" w:rsidP="00F80910">
      <w:pPr>
        <w:pStyle w:val="TextoNormalSangraFrancesa"/>
        <w:rPr>
          <w:rStyle w:val="TextoNormalCaracter"/>
        </w:rPr>
      </w:pPr>
      <w:bookmarkStart w:id="1477" w:name="DESCRIPTORALFABETICO432"/>
      <w:r w:rsidRPr="00F80910">
        <w:rPr>
          <w:rStyle w:val="TextoNormalNegritaCaracter"/>
        </w:rPr>
        <w:t>Valoraciones urbanísticas</w:t>
      </w:r>
      <w:bookmarkEnd w:id="1477"/>
      <w:r w:rsidRPr="00F80910">
        <w:rPr>
          <w:rStyle w:val="TextoNormalCaracter"/>
        </w:rPr>
        <w:t xml:space="preserve">, Sentencias </w:t>
      </w:r>
      <w:hyperlink w:anchor="SENTENCIA_2015_218" w:history="1">
        <w:r w:rsidRPr="00F80910">
          <w:rPr>
            <w:rStyle w:val="TextoNormalCaracter"/>
          </w:rPr>
          <w:t>218/2015</w:t>
        </w:r>
      </w:hyperlink>
      <w:r w:rsidRPr="00F80910">
        <w:rPr>
          <w:rStyle w:val="TextoNormalCaracter"/>
        </w:rPr>
        <w:t xml:space="preserve">, ff. 1 a 6, VP I, VP II, VP III, VP IV; </w:t>
      </w:r>
      <w:hyperlink w:anchor="SENTENCIA_2015_244" w:history="1">
        <w:r w:rsidRPr="00F80910">
          <w:rPr>
            <w:rStyle w:val="TextoNormalCaracter"/>
          </w:rPr>
          <w:t>244/2015</w:t>
        </w:r>
      </w:hyperlink>
      <w:r w:rsidRPr="00F80910">
        <w:rPr>
          <w:rStyle w:val="TextoNormalCaracter"/>
        </w:rPr>
        <w:t>, ff. 2, 4, 5.</w:t>
      </w:r>
    </w:p>
    <w:p w:rsidR="00F80910" w:rsidRPr="00F80910" w:rsidRDefault="00F80910" w:rsidP="00F80910">
      <w:pPr>
        <w:pStyle w:val="TextoNormalSangraFrancesa"/>
        <w:rPr>
          <w:rStyle w:val="TextoNormalCaracter"/>
        </w:rPr>
      </w:pPr>
      <w:bookmarkStart w:id="1478" w:name="DESCRIPTORALFABETICO310"/>
      <w:r w:rsidRPr="00F80910">
        <w:rPr>
          <w:rStyle w:val="TextoNormalNegritaCaracter"/>
        </w:rPr>
        <w:t>Vinculación de los poderes públicos a los derechos fundamentales</w:t>
      </w:r>
      <w:bookmarkEnd w:id="1478"/>
      <w:r w:rsidRPr="00F80910">
        <w:rPr>
          <w:rStyle w:val="TextoNormalCaracter"/>
        </w:rPr>
        <w:t xml:space="preserve">, Sentencia </w:t>
      </w:r>
      <w:hyperlink w:anchor="SENTENCIA_2015_155" w:history="1">
        <w:r w:rsidRPr="00F80910">
          <w:rPr>
            <w:rStyle w:val="TextoNormalCaracter"/>
          </w:rPr>
          <w:t>155/2015</w:t>
        </w:r>
      </w:hyperlink>
      <w:r w:rsidRPr="00F80910">
        <w:rPr>
          <w:rStyle w:val="TextoNormalCaracter"/>
        </w:rPr>
        <w:t>, f. 5, VP I, VP II.</w:t>
      </w:r>
    </w:p>
    <w:p w:rsidR="00F80910" w:rsidRPr="00F80910" w:rsidRDefault="00F80910" w:rsidP="00F80910">
      <w:pPr>
        <w:pStyle w:val="TextoNormalSangraFrancesa"/>
        <w:rPr>
          <w:rStyle w:val="TextoNormalCaracter"/>
        </w:rPr>
      </w:pPr>
      <w:bookmarkStart w:id="1479" w:name="DESCRIPTORALFABETICO413"/>
      <w:r w:rsidRPr="00F80910">
        <w:rPr>
          <w:rStyle w:val="TextoNormalNegritaCaracter"/>
        </w:rPr>
        <w:t>Violencia doméstica y/o violencia de género</w:t>
      </w:r>
      <w:bookmarkEnd w:id="1479"/>
      <w:r w:rsidRPr="00F80910">
        <w:rPr>
          <w:rStyle w:val="TextoNormalCaracter"/>
        </w:rPr>
        <w:t xml:space="preserve">, Sentencia </w:t>
      </w:r>
      <w:hyperlink w:anchor="SENTENCIA_2015_167" w:history="1">
        <w:r w:rsidRPr="00F80910">
          <w:rPr>
            <w:rStyle w:val="TextoNormalCaracter"/>
          </w:rPr>
          <w:t>167/2015</w:t>
        </w:r>
      </w:hyperlink>
      <w:r w:rsidRPr="00F80910">
        <w:rPr>
          <w:rStyle w:val="TextoNormalCaracter"/>
        </w:rPr>
        <w:t>, ff. 2 a 4.</w:t>
      </w:r>
    </w:p>
    <w:p w:rsidR="00F80910" w:rsidRPr="00F80910" w:rsidRDefault="00F80910" w:rsidP="00F80910">
      <w:pPr>
        <w:pStyle w:val="TextoNormalSangraFrancesa"/>
        <w:rPr>
          <w:rStyle w:val="TextoNormalCaracter"/>
        </w:rPr>
      </w:pPr>
      <w:bookmarkStart w:id="1480" w:name="DESCRIPTORALFABETICO523"/>
      <w:r w:rsidRPr="00F80910">
        <w:rPr>
          <w:rStyle w:val="TextoNormalNegritaCaracter"/>
        </w:rPr>
        <w:t>Viviendas de protección oficial</w:t>
      </w:r>
      <w:bookmarkEnd w:id="1480"/>
      <w:r w:rsidRPr="00F80910">
        <w:rPr>
          <w:rStyle w:val="TextoNormalCaracter"/>
        </w:rPr>
        <w:t xml:space="preserve">, Sentencia </w:t>
      </w:r>
      <w:hyperlink w:anchor="SENTENCIA_2015_154" w:history="1">
        <w:r w:rsidRPr="00F80910">
          <w:rPr>
            <w:rStyle w:val="TextoNormalCaracter"/>
          </w:rPr>
          <w:t>154/2015</w:t>
        </w:r>
      </w:hyperlink>
      <w:r w:rsidRPr="00F80910">
        <w:rPr>
          <w:rStyle w:val="TextoNormalCaracter"/>
        </w:rPr>
        <w:t>, ff. 7 d), 7 e).</w:t>
      </w:r>
    </w:p>
    <w:p w:rsidR="00F80910" w:rsidRPr="00F80910" w:rsidRDefault="00F80910" w:rsidP="00F80910">
      <w:pPr>
        <w:pStyle w:val="TextoNormalSangraFrancesa"/>
        <w:rPr>
          <w:rStyle w:val="TextoNormalCaracter"/>
        </w:rPr>
      </w:pPr>
      <w:bookmarkStart w:id="1481" w:name="DESCRIPTORALFABETICO252"/>
      <w:r w:rsidRPr="00F80910">
        <w:rPr>
          <w:rStyle w:val="TextoNormalNegritaCaracter"/>
        </w:rPr>
        <w:t>Voto particular, formulado uno</w:t>
      </w:r>
      <w:bookmarkEnd w:id="1481"/>
      <w:r w:rsidRPr="00F80910">
        <w:rPr>
          <w:rStyle w:val="TextoNormalCaracter"/>
        </w:rPr>
        <w:t xml:space="preserve">, Sentencias </w:t>
      </w:r>
      <w:hyperlink w:anchor="SENTENCIA_2015_148" w:history="1">
        <w:r w:rsidRPr="00F80910">
          <w:rPr>
            <w:rStyle w:val="TextoNormalCaracter"/>
          </w:rPr>
          <w:t>148/2015</w:t>
        </w:r>
      </w:hyperlink>
      <w:r w:rsidRPr="00F80910">
        <w:rPr>
          <w:rStyle w:val="TextoNormalCaracter"/>
        </w:rPr>
        <w:t xml:space="preserve">; </w:t>
      </w:r>
      <w:hyperlink w:anchor="SENTENCIA_2015_150" w:history="1">
        <w:r w:rsidRPr="00F80910">
          <w:rPr>
            <w:rStyle w:val="TextoNormalCaracter"/>
          </w:rPr>
          <w:t>150/2015</w:t>
        </w:r>
      </w:hyperlink>
      <w:r w:rsidRPr="00F80910">
        <w:rPr>
          <w:rStyle w:val="TextoNormalCaracter"/>
        </w:rPr>
        <w:t xml:space="preserve">; </w:t>
      </w:r>
      <w:hyperlink w:anchor="SENTENCIA_2015_156" w:history="1">
        <w:r w:rsidRPr="00F80910">
          <w:rPr>
            <w:rStyle w:val="TextoNormalCaracter"/>
          </w:rPr>
          <w:t>156/2015</w:t>
        </w:r>
      </w:hyperlink>
      <w:r w:rsidRPr="00F80910">
        <w:rPr>
          <w:rStyle w:val="TextoNormalCaracter"/>
        </w:rPr>
        <w:t xml:space="preserve">; </w:t>
      </w:r>
      <w:hyperlink w:anchor="SENTENCIA_2015_176" w:history="1">
        <w:r w:rsidRPr="00F80910">
          <w:rPr>
            <w:rStyle w:val="TextoNormalCaracter"/>
          </w:rPr>
          <w:t>176/2015</w:t>
        </w:r>
      </w:hyperlink>
      <w:r w:rsidRPr="00F80910">
        <w:rPr>
          <w:rStyle w:val="TextoNormalCaracter"/>
        </w:rPr>
        <w:t xml:space="preserve">; </w:t>
      </w:r>
      <w:hyperlink w:anchor="SENTENCIA_2015_183" w:history="1">
        <w:r w:rsidRPr="00F80910">
          <w:rPr>
            <w:rStyle w:val="TextoNormalCaracter"/>
          </w:rPr>
          <w:t>183/2015</w:t>
        </w:r>
      </w:hyperlink>
      <w:r w:rsidRPr="00F80910">
        <w:rPr>
          <w:rStyle w:val="TextoNormalCaracter"/>
        </w:rPr>
        <w:t xml:space="preserve">; </w:t>
      </w:r>
      <w:hyperlink w:anchor="SENTENCIA_2015_185" w:history="1">
        <w:r w:rsidRPr="00F80910">
          <w:rPr>
            <w:rStyle w:val="TextoNormalCaracter"/>
          </w:rPr>
          <w:t>185/2015</w:t>
        </w:r>
      </w:hyperlink>
      <w:r w:rsidRPr="00F80910">
        <w:rPr>
          <w:rStyle w:val="TextoNormalCaracter"/>
        </w:rPr>
        <w:t xml:space="preserve">; </w:t>
      </w:r>
      <w:hyperlink w:anchor="SENTENCIA_2015_195" w:history="1">
        <w:r w:rsidRPr="00F80910">
          <w:rPr>
            <w:rStyle w:val="TextoNormalCaracter"/>
          </w:rPr>
          <w:t>195/2015</w:t>
        </w:r>
      </w:hyperlink>
      <w:r w:rsidRPr="00F80910">
        <w:rPr>
          <w:rStyle w:val="TextoNormalCaracter"/>
        </w:rPr>
        <w:t xml:space="preserve">; </w:t>
      </w:r>
      <w:hyperlink w:anchor="SENTENCIA_2015_196" w:history="1">
        <w:r w:rsidRPr="00F80910">
          <w:rPr>
            <w:rStyle w:val="TextoNormalCaracter"/>
          </w:rPr>
          <w:t>196/2015</w:t>
        </w:r>
      </w:hyperlink>
      <w:r w:rsidRPr="00F80910">
        <w:rPr>
          <w:rStyle w:val="TextoNormalCaracter"/>
        </w:rPr>
        <w:t xml:space="preserve">; </w:t>
      </w:r>
      <w:hyperlink w:anchor="SENTENCIA_2015_199" w:history="1">
        <w:r w:rsidRPr="00F80910">
          <w:rPr>
            <w:rStyle w:val="TextoNormalCaracter"/>
          </w:rPr>
          <w:t>199/2015</w:t>
        </w:r>
      </w:hyperlink>
      <w:r w:rsidRPr="00F80910">
        <w:rPr>
          <w:rStyle w:val="TextoNormalCaracter"/>
        </w:rPr>
        <w:t xml:space="preserve">; </w:t>
      </w:r>
      <w:hyperlink w:anchor="SENTENCIA_2015_211" w:history="1">
        <w:r w:rsidRPr="00F80910">
          <w:rPr>
            <w:rStyle w:val="TextoNormalCaracter"/>
          </w:rPr>
          <w:t>211/2015</w:t>
        </w:r>
      </w:hyperlink>
      <w:r w:rsidRPr="00F80910">
        <w:rPr>
          <w:rStyle w:val="TextoNormalCaracter"/>
        </w:rPr>
        <w:t xml:space="preserve">; </w:t>
      </w:r>
      <w:hyperlink w:anchor="SENTENCIA_2015_216" w:history="1">
        <w:r w:rsidRPr="00F80910">
          <w:rPr>
            <w:rStyle w:val="TextoNormalCaracter"/>
          </w:rPr>
          <w:t>216/2015</w:t>
        </w:r>
      </w:hyperlink>
      <w:r w:rsidRPr="00F80910">
        <w:rPr>
          <w:rStyle w:val="TextoNormalCaracter"/>
        </w:rPr>
        <w:t xml:space="preserve">; </w:t>
      </w:r>
      <w:hyperlink w:anchor="SENTENCIA_2015_231" w:history="1">
        <w:r w:rsidRPr="00F80910">
          <w:rPr>
            <w:rStyle w:val="TextoNormalCaracter"/>
          </w:rPr>
          <w:t>231/2015</w:t>
        </w:r>
      </w:hyperlink>
      <w:r w:rsidRPr="00F80910">
        <w:rPr>
          <w:rStyle w:val="TextoNormalCaracter"/>
        </w:rPr>
        <w:t xml:space="preserve">; </w:t>
      </w:r>
      <w:hyperlink w:anchor="SENTENCIA_2015_236" w:history="1">
        <w:r w:rsidRPr="00F80910">
          <w:rPr>
            <w:rStyle w:val="TextoNormalCaracter"/>
          </w:rPr>
          <w:t>236/2015</w:t>
        </w:r>
      </w:hyperlink>
      <w:r w:rsidRPr="00F80910">
        <w:rPr>
          <w:rStyle w:val="TextoNormalCaracter"/>
        </w:rPr>
        <w:t xml:space="preserve">, f. 1; </w:t>
      </w:r>
      <w:hyperlink w:anchor="SENTENCIA_2015_267" w:history="1">
        <w:r w:rsidRPr="00F80910">
          <w:rPr>
            <w:rStyle w:val="TextoNormalCaracter"/>
          </w:rPr>
          <w:t>267/2015</w:t>
        </w:r>
      </w:hyperlink>
      <w:r w:rsidRPr="00F80910">
        <w:rPr>
          <w:rStyle w:val="TextoNormalCaracter"/>
        </w:rPr>
        <w:t xml:space="preserve">; </w:t>
      </w:r>
      <w:hyperlink w:anchor="SENTENCIA_2015_270" w:history="1">
        <w:r w:rsidRPr="00F80910">
          <w:rPr>
            <w:rStyle w:val="TextoNormalCaracter"/>
          </w:rPr>
          <w:t>270/2015</w:t>
        </w:r>
      </w:hyperlink>
      <w:r w:rsidRPr="00F80910">
        <w:rPr>
          <w:rStyle w:val="TextoNormalCaracter"/>
        </w:rPr>
        <w:t>.</w:t>
      </w:r>
    </w:p>
    <w:p w:rsidR="00F80910" w:rsidRPr="00F80910" w:rsidRDefault="00F80910" w:rsidP="00F80910">
      <w:pPr>
        <w:pStyle w:val="TextoNormalSangraFrancesa"/>
        <w:rPr>
          <w:rStyle w:val="TextoNormalCaracter"/>
        </w:rPr>
      </w:pPr>
      <w:r w:rsidRPr="00F80910">
        <w:rPr>
          <w:rStyle w:val="TextoNormalCaracter"/>
        </w:rPr>
        <w:t xml:space="preserve">    Autos </w:t>
      </w:r>
      <w:hyperlink w:anchor="AUTO_2015_129" w:history="1">
        <w:r w:rsidRPr="00F80910">
          <w:rPr>
            <w:rStyle w:val="TextoNormalCaracter"/>
          </w:rPr>
          <w:t>129/2015</w:t>
        </w:r>
      </w:hyperlink>
      <w:r w:rsidRPr="00F80910">
        <w:rPr>
          <w:rStyle w:val="TextoNormalCaracter"/>
        </w:rPr>
        <w:t xml:space="preserve">; </w:t>
      </w:r>
      <w:hyperlink w:anchor="AUTO_2015_130" w:history="1">
        <w:r w:rsidRPr="00F80910">
          <w:rPr>
            <w:rStyle w:val="TextoNormalCaracter"/>
          </w:rPr>
          <w:t>130/2015</w:t>
        </w:r>
      </w:hyperlink>
      <w:r w:rsidRPr="00F80910">
        <w:rPr>
          <w:rStyle w:val="TextoNormalCaracter"/>
        </w:rPr>
        <w:t xml:space="preserve">; </w:t>
      </w:r>
      <w:hyperlink w:anchor="AUTO_2015_132" w:history="1">
        <w:r w:rsidRPr="00F80910">
          <w:rPr>
            <w:rStyle w:val="TextoNormalCaracter"/>
          </w:rPr>
          <w:t>132/2015</w:t>
        </w:r>
      </w:hyperlink>
      <w:r w:rsidRPr="00F80910">
        <w:rPr>
          <w:rStyle w:val="TextoNormalCaracter"/>
        </w:rPr>
        <w:t xml:space="preserve">; </w:t>
      </w:r>
      <w:hyperlink w:anchor="AUTO_2015_133" w:history="1">
        <w:r w:rsidRPr="00F80910">
          <w:rPr>
            <w:rStyle w:val="TextoNormalCaracter"/>
          </w:rPr>
          <w:t>133/2015</w:t>
        </w:r>
      </w:hyperlink>
      <w:r w:rsidRPr="00F80910">
        <w:rPr>
          <w:rStyle w:val="TextoNormalCaracter"/>
        </w:rPr>
        <w:t xml:space="preserve">; </w:t>
      </w:r>
      <w:hyperlink w:anchor="AUTO_2015_134" w:history="1">
        <w:r w:rsidRPr="00F80910">
          <w:rPr>
            <w:rStyle w:val="TextoNormalCaracter"/>
          </w:rPr>
          <w:t>134/2015</w:t>
        </w:r>
      </w:hyperlink>
      <w:r w:rsidRPr="00F80910">
        <w:rPr>
          <w:rStyle w:val="TextoNormalCaracter"/>
        </w:rPr>
        <w:t xml:space="preserve">; </w:t>
      </w:r>
      <w:hyperlink w:anchor="AUTO_2015_135" w:history="1">
        <w:r w:rsidRPr="00F80910">
          <w:rPr>
            <w:rStyle w:val="TextoNormalCaracter"/>
          </w:rPr>
          <w:t>135/2015</w:t>
        </w:r>
      </w:hyperlink>
      <w:r w:rsidRPr="00F80910">
        <w:rPr>
          <w:rStyle w:val="TextoNormalCaracter"/>
        </w:rPr>
        <w:t>.</w:t>
      </w:r>
    </w:p>
    <w:p w:rsidR="00F80910" w:rsidRPr="00F80910" w:rsidRDefault="00F80910" w:rsidP="00F80910">
      <w:pPr>
        <w:pStyle w:val="TextoNormalSangraFrancesa"/>
        <w:rPr>
          <w:rStyle w:val="TextoNormalCaracter"/>
        </w:rPr>
      </w:pPr>
      <w:bookmarkStart w:id="1482" w:name="DESCRIPTORALFABETICO67"/>
      <w:r w:rsidRPr="00F80910">
        <w:rPr>
          <w:rStyle w:val="TextoNormalNegritaCaracter"/>
        </w:rPr>
        <w:t>Votos nulos</w:t>
      </w:r>
      <w:bookmarkEnd w:id="1482"/>
      <w:r w:rsidRPr="00F80910">
        <w:rPr>
          <w:rStyle w:val="TextoNormalCaracter"/>
        </w:rPr>
        <w:t xml:space="preserve">, Sentencia </w:t>
      </w:r>
      <w:hyperlink w:anchor="SENTENCIA_2015_159" w:history="1">
        <w:r w:rsidRPr="00F80910">
          <w:rPr>
            <w:rStyle w:val="TextoNormalCaracter"/>
          </w:rPr>
          <w:t>159/2015</w:t>
        </w:r>
      </w:hyperlink>
      <w:r w:rsidRPr="00F80910">
        <w:rPr>
          <w:rStyle w:val="TextoNormalCaracter"/>
        </w:rPr>
        <w:t>, ff. 4 a 7.</w:t>
      </w:r>
    </w:p>
    <w:p w:rsidR="00F80910" w:rsidRPr="00F80910" w:rsidRDefault="00F80910" w:rsidP="00F80910">
      <w:pPr>
        <w:pStyle w:val="TextoNormalSangraFrancesa"/>
        <w:rPr>
          <w:rStyle w:val="TextoNormalCaracter"/>
        </w:rPr>
      </w:pPr>
      <w:bookmarkStart w:id="1483" w:name="DESCRIPTORALFABETICO253"/>
      <w:r w:rsidRPr="00F80910">
        <w:rPr>
          <w:rStyle w:val="TextoNormalNegritaCaracter"/>
        </w:rPr>
        <w:t>Votos particulares, formulados cuatro</w:t>
      </w:r>
      <w:bookmarkEnd w:id="1483"/>
      <w:r w:rsidRPr="00F80910">
        <w:rPr>
          <w:rStyle w:val="TextoNormalCaracter"/>
        </w:rPr>
        <w:t xml:space="preserve">, Sentencia </w:t>
      </w:r>
      <w:hyperlink w:anchor="SENTENCIA_2015_218" w:history="1">
        <w:r w:rsidRPr="00F80910">
          <w:rPr>
            <w:rStyle w:val="TextoNormalCaracter"/>
          </w:rPr>
          <w:t>218/2015</w:t>
        </w:r>
      </w:hyperlink>
      <w:r w:rsidRPr="00F80910">
        <w:rPr>
          <w:rStyle w:val="TextoNormalCaracter"/>
        </w:rPr>
        <w:t>.</w:t>
      </w:r>
    </w:p>
    <w:p w:rsidR="00F80910" w:rsidRPr="00F80910" w:rsidRDefault="00F80910" w:rsidP="00F80910">
      <w:pPr>
        <w:pStyle w:val="TextoNormalSangraFrancesa"/>
        <w:rPr>
          <w:rStyle w:val="TextoNormalCaracter"/>
        </w:rPr>
      </w:pPr>
      <w:bookmarkStart w:id="1484" w:name="DESCRIPTORALFABETICO254"/>
      <w:r w:rsidRPr="00F80910">
        <w:rPr>
          <w:rStyle w:val="TextoNormalNegritaCaracter"/>
        </w:rPr>
        <w:t xml:space="preserve">Votos particulares, formulados dos </w:t>
      </w:r>
      <w:bookmarkEnd w:id="1484"/>
      <w:r w:rsidRPr="00F80910">
        <w:rPr>
          <w:rStyle w:val="TextoNormalCaracter"/>
        </w:rPr>
        <w:t xml:space="preserve">, Sentencias </w:t>
      </w:r>
      <w:hyperlink w:anchor="SENTENCIA_2015_155" w:history="1">
        <w:r w:rsidRPr="00F80910">
          <w:rPr>
            <w:rStyle w:val="TextoNormalCaracter"/>
          </w:rPr>
          <w:t>155/2015</w:t>
        </w:r>
      </w:hyperlink>
      <w:r w:rsidRPr="00F80910">
        <w:rPr>
          <w:rStyle w:val="TextoNormalCaracter"/>
        </w:rPr>
        <w:t xml:space="preserve">; </w:t>
      </w:r>
      <w:hyperlink w:anchor="SENTENCIA_2015_178" w:history="1">
        <w:r w:rsidRPr="00F80910">
          <w:rPr>
            <w:rStyle w:val="TextoNormalCaracter"/>
          </w:rPr>
          <w:t>178/2015</w:t>
        </w:r>
      </w:hyperlink>
      <w:r w:rsidRPr="00F80910">
        <w:rPr>
          <w:rStyle w:val="TextoNormalCaracter"/>
        </w:rPr>
        <w:t xml:space="preserve">; </w:t>
      </w:r>
      <w:hyperlink w:anchor="SENTENCIA_2015_198" w:history="1">
        <w:r w:rsidRPr="00F80910">
          <w:rPr>
            <w:rStyle w:val="TextoNormalCaracter"/>
          </w:rPr>
          <w:t>198/2015</w:t>
        </w:r>
      </w:hyperlink>
      <w:r w:rsidRPr="00F80910">
        <w:rPr>
          <w:rStyle w:val="TextoNormalCaracter"/>
        </w:rPr>
        <w:t>.</w:t>
      </w:r>
    </w:p>
    <w:p w:rsidR="00F80910" w:rsidRPr="00F80910" w:rsidRDefault="00F80910" w:rsidP="00F80910">
      <w:pPr>
        <w:pStyle w:val="TextoNormalSangraFrancesa"/>
        <w:rPr>
          <w:rStyle w:val="TextoNormalCaracter"/>
        </w:rPr>
      </w:pPr>
      <w:bookmarkStart w:id="1485" w:name="DESCRIPTORALFABETICO255"/>
      <w:r w:rsidRPr="00F80910">
        <w:rPr>
          <w:rStyle w:val="TextoNormalNegritaCaracter"/>
        </w:rPr>
        <w:t>Votos particulares, formulados tres</w:t>
      </w:r>
      <w:bookmarkEnd w:id="1485"/>
      <w:r w:rsidRPr="00F80910">
        <w:rPr>
          <w:rStyle w:val="TextoNormalCaracter"/>
        </w:rPr>
        <w:t xml:space="preserve">, Sentencia </w:t>
      </w:r>
      <w:hyperlink w:anchor="SENTENCIA_2015_177" w:history="1">
        <w:r w:rsidRPr="00F80910">
          <w:rPr>
            <w:rStyle w:val="TextoNormalCaracter"/>
          </w:rPr>
          <w:t>177/2015</w:t>
        </w:r>
      </w:hyperlink>
      <w:r w:rsidRPr="00F80910">
        <w:rPr>
          <w:rStyle w:val="TextoNormalCaracter"/>
        </w:rPr>
        <w:t>.</w:t>
      </w:r>
    </w:p>
    <w:p w:rsidR="00F80910" w:rsidRPr="00F80910" w:rsidRDefault="00F80910" w:rsidP="00F80910">
      <w:pPr>
        <w:pStyle w:val="TextoNormalSangraFrancesa"/>
        <w:rPr>
          <w:rStyle w:val="TextoNormalCaracter"/>
        </w:rPr>
      </w:pPr>
      <w:bookmarkStart w:id="1486" w:name="DESCRIPTORALFABETICO241"/>
      <w:r w:rsidRPr="00F80910">
        <w:rPr>
          <w:rStyle w:val="TextoNormalNegritaCaracter"/>
        </w:rPr>
        <w:t>Vulneración de derechos fundamentales en la ley</w:t>
      </w:r>
      <w:bookmarkEnd w:id="1486"/>
      <w:r w:rsidRPr="00F80910">
        <w:rPr>
          <w:rStyle w:val="TextoNormalCaracter"/>
        </w:rPr>
        <w:t xml:space="preserve">, Sentencia </w:t>
      </w:r>
      <w:hyperlink w:anchor="SENTENCIA_2015_242" w:history="1">
        <w:r w:rsidRPr="00F80910">
          <w:rPr>
            <w:rStyle w:val="TextoNormalCaracter"/>
          </w:rPr>
          <w:t>242/2015</w:t>
        </w:r>
      </w:hyperlink>
      <w:r w:rsidRPr="00F80910">
        <w:rPr>
          <w:rStyle w:val="TextoNormalCaracter"/>
        </w:rPr>
        <w:t>, f. 2.</w:t>
      </w:r>
    </w:p>
    <w:p w:rsidR="00F80910" w:rsidRDefault="00F80910" w:rsidP="00F80910">
      <w:pPr>
        <w:pStyle w:val="TextoNormalSangraFrancesa"/>
      </w:pPr>
    </w:p>
    <w:p w:rsidR="00F80910" w:rsidRDefault="00F80910" w:rsidP="00F80910">
      <w:pPr>
        <w:pStyle w:val="TextoNormalSangraFrancesa"/>
      </w:pPr>
    </w:p>
    <w:p w:rsidR="00F80910" w:rsidRDefault="00F80910" w:rsidP="00F80910">
      <w:pPr>
        <w:pStyle w:val="TextoNormalNegritaCentrado"/>
      </w:pPr>
      <w:r>
        <w:t>Z</w:t>
      </w:r>
    </w:p>
    <w:p w:rsidR="00F80910" w:rsidRDefault="00F80910" w:rsidP="00F80910">
      <w:pPr>
        <w:pStyle w:val="TextoNormalNegritaCentrado"/>
      </w:pPr>
    </w:p>
    <w:p w:rsidR="00F80910" w:rsidRPr="00F80910" w:rsidRDefault="00F80910" w:rsidP="00F80910">
      <w:pPr>
        <w:pStyle w:val="TextoNormalSangraFrancesa"/>
        <w:rPr>
          <w:rStyle w:val="TextoNormalCaracter"/>
        </w:rPr>
      </w:pPr>
      <w:bookmarkStart w:id="1487" w:name="DESCRIPTORALFABETICO374"/>
      <w:r w:rsidRPr="00F80910">
        <w:rPr>
          <w:rStyle w:val="TextoNormalNegritaCaracter"/>
        </w:rPr>
        <w:t>Zona marítimo terrestre</w:t>
      </w:r>
      <w:bookmarkEnd w:id="1487"/>
      <w:r w:rsidRPr="00F80910">
        <w:rPr>
          <w:rStyle w:val="TextoNormalCaracter"/>
        </w:rPr>
        <w:t xml:space="preserve">, Sentencia </w:t>
      </w:r>
      <w:hyperlink w:anchor="SENTENCIA_2015_233" w:history="1">
        <w:r w:rsidRPr="00F80910">
          <w:rPr>
            <w:rStyle w:val="TextoNormalCaracter"/>
          </w:rPr>
          <w:t>233/2015</w:t>
        </w:r>
      </w:hyperlink>
      <w:r w:rsidRPr="00F80910">
        <w:rPr>
          <w:rStyle w:val="TextoNormalCaracter"/>
        </w:rPr>
        <w:t>, ff. 3 a 16.</w:t>
      </w:r>
    </w:p>
    <w:p w:rsidR="00F80910" w:rsidRPr="00F80910" w:rsidRDefault="00F80910" w:rsidP="00F80910">
      <w:pPr>
        <w:pStyle w:val="TextoNormalSangraFrancesa"/>
        <w:rPr>
          <w:rStyle w:val="TextoNormalCaracter"/>
        </w:rPr>
      </w:pPr>
      <w:bookmarkStart w:id="1488" w:name="DESCRIPTORALFABETICO519"/>
      <w:r w:rsidRPr="00F80910">
        <w:rPr>
          <w:rStyle w:val="TextoNormalNegritaCaracter"/>
        </w:rPr>
        <w:t>Zonas turísticas</w:t>
      </w:r>
      <w:bookmarkEnd w:id="1488"/>
      <w:r w:rsidRPr="00F80910">
        <w:rPr>
          <w:rStyle w:val="TextoNormalCaracter"/>
        </w:rPr>
        <w:t xml:space="preserve">, Sentencia </w:t>
      </w:r>
      <w:hyperlink w:anchor="SENTENCIA_2015_156" w:history="1">
        <w:r w:rsidRPr="00F80910">
          <w:rPr>
            <w:rStyle w:val="TextoNormalCaracter"/>
          </w:rPr>
          <w:t>156/2015</w:t>
        </w:r>
      </w:hyperlink>
      <w:r w:rsidRPr="00F80910">
        <w:rPr>
          <w:rStyle w:val="TextoNormalCaracter"/>
        </w:rPr>
        <w:t>, f. 10.</w:t>
      </w:r>
    </w:p>
    <w:p w:rsidR="00F80910" w:rsidRDefault="00F80910">
      <w:pPr>
        <w:spacing w:after="160" w:line="259" w:lineRule="auto"/>
        <w:rPr>
          <w:rFonts w:ascii="Times New Roman" w:eastAsia="Times New Roman" w:hAnsi="Times New Roman" w:cs="Times New Roman"/>
          <w:sz w:val="24"/>
          <w:szCs w:val="24"/>
          <w:lang w:eastAsia="es-ES"/>
        </w:rPr>
      </w:pPr>
      <w:r>
        <w:br w:type="page"/>
      </w:r>
    </w:p>
    <w:p w:rsidR="00F80910" w:rsidRDefault="00F80910" w:rsidP="00F80910">
      <w:pPr>
        <w:pStyle w:val="TextoNormalSangraFrancesa"/>
      </w:pPr>
    </w:p>
    <w:p w:rsidR="003370B1" w:rsidRDefault="003370B1" w:rsidP="003370B1">
      <w:pPr>
        <w:pStyle w:val="TextoNormalSangraFrancesa"/>
      </w:pPr>
    </w:p>
    <w:p w:rsidR="003370B1" w:rsidRDefault="003370B1" w:rsidP="003370B1">
      <w:pPr>
        <w:pStyle w:val="TextoNormalSangraFrancesa"/>
      </w:pPr>
    </w:p>
    <w:p w:rsidR="003370B1" w:rsidRDefault="003370B1" w:rsidP="003370B1">
      <w:pPr>
        <w:pStyle w:val="TextoNormalSangraFrancesa"/>
      </w:pPr>
    </w:p>
    <w:p w:rsidR="003370B1" w:rsidRDefault="003370B1" w:rsidP="003370B1">
      <w:pPr>
        <w:pStyle w:val="TextoNormalSangraFrancesa"/>
      </w:pPr>
    </w:p>
    <w:p w:rsidR="003370B1" w:rsidRDefault="003370B1" w:rsidP="003370B1">
      <w:pPr>
        <w:pStyle w:val="TextoNormalSangraFrancesa"/>
      </w:pPr>
    </w:p>
    <w:p w:rsidR="003370B1" w:rsidRDefault="003370B1" w:rsidP="003370B1">
      <w:pPr>
        <w:pStyle w:val="TextoNormalSangraFrancesa"/>
      </w:pPr>
    </w:p>
    <w:p w:rsidR="003370B1" w:rsidRDefault="003370B1" w:rsidP="003370B1">
      <w:pPr>
        <w:pStyle w:val="TextoNormalSangraFrancesa"/>
      </w:pPr>
    </w:p>
    <w:p w:rsidR="003370B1" w:rsidRDefault="003370B1" w:rsidP="003370B1">
      <w:pPr>
        <w:pStyle w:val="Ttulondice"/>
      </w:pPr>
      <w:bookmarkStart w:id="1489" w:name="ACRONIMOS"/>
      <w:r>
        <w:t>8. ABREVIATURAS Y ACRÓNIMOS</w:t>
      </w:r>
    </w:p>
    <w:bookmarkEnd w:id="1489"/>
    <w:p w:rsidR="003370B1" w:rsidRDefault="003370B1" w:rsidP="003370B1">
      <w:pPr>
        <w:pStyle w:val="Ttulondice"/>
      </w:pPr>
    </w:p>
    <w:p w:rsidR="003370B1" w:rsidRDefault="003370B1" w:rsidP="003370B1">
      <w:pPr>
        <w:pStyle w:val="Ttulondice"/>
      </w:pPr>
    </w:p>
    <w:p w:rsidR="003370B1" w:rsidRDefault="003370B1" w:rsidP="003370B1">
      <w:pPr>
        <w:pStyle w:val="Ttulondice"/>
      </w:pPr>
    </w:p>
    <w:p w:rsidR="003370B1" w:rsidRDefault="003370B1" w:rsidP="003370B1">
      <w:pPr>
        <w:pStyle w:val="Ttulondice"/>
      </w:pPr>
    </w:p>
    <w:p w:rsidR="003370B1" w:rsidRDefault="003370B1" w:rsidP="003370B1">
      <w:pPr>
        <w:pStyle w:val="TextoAbreviaturas"/>
      </w:pPr>
      <w:r>
        <w:t>§</w:t>
      </w:r>
      <w:r>
        <w:tab/>
        <w:t>Parágrafo (usual en SSTEDH)</w:t>
      </w:r>
    </w:p>
    <w:p w:rsidR="003370B1" w:rsidRDefault="003370B1" w:rsidP="003370B1">
      <w:pPr>
        <w:pStyle w:val="TextoAbreviaturas"/>
      </w:pPr>
      <w:r>
        <w:t>AEAT</w:t>
      </w:r>
      <w:r>
        <w:tab/>
        <w:t>Agencia estatal de la administración tributaria</w:t>
      </w:r>
    </w:p>
    <w:p w:rsidR="003370B1" w:rsidRDefault="003370B1" w:rsidP="003370B1">
      <w:pPr>
        <w:pStyle w:val="TextoAbreviaturas"/>
      </w:pPr>
      <w:r>
        <w:t>AENA</w:t>
      </w:r>
      <w:r>
        <w:tab/>
        <w:t>Aeropuertos Españoles y Navegación Aérea</w:t>
      </w:r>
    </w:p>
    <w:p w:rsidR="003370B1" w:rsidRDefault="003370B1" w:rsidP="003370B1">
      <w:pPr>
        <w:pStyle w:val="TextoAbreviaturas"/>
      </w:pPr>
      <w:r>
        <w:t>ATC</w:t>
      </w:r>
      <w:r>
        <w:tab/>
        <w:t>Auto del Tribunal Constitucional</w:t>
      </w:r>
    </w:p>
    <w:p w:rsidR="003370B1" w:rsidRDefault="003370B1" w:rsidP="003370B1">
      <w:pPr>
        <w:pStyle w:val="TextoAbreviaturas"/>
      </w:pPr>
      <w:r>
        <w:t>ATS</w:t>
      </w:r>
      <w:r>
        <w:tab/>
        <w:t>Auto del Tribunal Supremo</w:t>
      </w:r>
    </w:p>
    <w:p w:rsidR="003370B1" w:rsidRDefault="003370B1" w:rsidP="003370B1">
      <w:pPr>
        <w:pStyle w:val="TextoAbreviaturas"/>
      </w:pPr>
      <w:r>
        <w:t>BOA</w:t>
      </w:r>
      <w:r>
        <w:tab/>
        <w:t>Boletín Oficial de Aragón</w:t>
      </w:r>
    </w:p>
    <w:p w:rsidR="003370B1" w:rsidRDefault="003370B1" w:rsidP="003370B1">
      <w:pPr>
        <w:pStyle w:val="TextoAbreviaturas"/>
      </w:pPr>
      <w:r>
        <w:t>BOE</w:t>
      </w:r>
      <w:r>
        <w:tab/>
        <w:t>Boletín Oficial del Estado</w:t>
      </w:r>
    </w:p>
    <w:p w:rsidR="003370B1" w:rsidRDefault="003370B1" w:rsidP="003370B1">
      <w:pPr>
        <w:pStyle w:val="TextoAbreviaturas"/>
      </w:pPr>
      <w:r>
        <w:t>BOJA</w:t>
      </w:r>
      <w:r>
        <w:tab/>
        <w:t>Boletín Oficial de la Junta de Andalucía</w:t>
      </w:r>
    </w:p>
    <w:p w:rsidR="003370B1" w:rsidRDefault="003370B1" w:rsidP="003370B1">
      <w:pPr>
        <w:pStyle w:val="TextoAbreviaturas"/>
      </w:pPr>
      <w:r>
        <w:t>BOPA</w:t>
      </w:r>
      <w:r>
        <w:tab/>
        <w:t>Boletín Oficial del Principado de Asturias</w:t>
      </w:r>
    </w:p>
    <w:p w:rsidR="003370B1" w:rsidRDefault="003370B1" w:rsidP="003370B1">
      <w:pPr>
        <w:pStyle w:val="TextoAbreviaturas"/>
      </w:pPr>
      <w:r>
        <w:t>CC</w:t>
      </w:r>
      <w:r>
        <w:tab/>
        <w:t>Código civil</w:t>
      </w:r>
    </w:p>
    <w:p w:rsidR="003370B1" w:rsidRDefault="003370B1" w:rsidP="003370B1">
      <w:pPr>
        <w:pStyle w:val="TextoAbreviaturas"/>
      </w:pPr>
      <w:r>
        <w:t>CCOO</w:t>
      </w:r>
      <w:r>
        <w:tab/>
        <w:t>Comisiones Obreras</w:t>
      </w:r>
    </w:p>
    <w:p w:rsidR="003370B1" w:rsidRDefault="003370B1" w:rsidP="003370B1">
      <w:pPr>
        <w:pStyle w:val="TextoAbreviaturas"/>
      </w:pPr>
      <w:r>
        <w:t>CE</w:t>
      </w:r>
      <w:r>
        <w:tab/>
        <w:t>Constitución española</w:t>
      </w:r>
    </w:p>
    <w:p w:rsidR="003370B1" w:rsidRDefault="003370B1" w:rsidP="003370B1">
      <w:pPr>
        <w:pStyle w:val="TextoAbreviaturas"/>
      </w:pPr>
      <w:r>
        <w:t>CEDH</w:t>
      </w:r>
      <w:r>
        <w:tab/>
        <w:t>Convenio europeo para la protección de los derechos humanos y de las libertades fundamentales</w:t>
      </w:r>
    </w:p>
    <w:p w:rsidR="003370B1" w:rsidRDefault="003370B1" w:rsidP="003370B1">
      <w:pPr>
        <w:pStyle w:val="TextoAbreviaturas"/>
      </w:pPr>
      <w:r>
        <w:t>CEE</w:t>
      </w:r>
      <w:r>
        <w:tab/>
        <w:t>Comunidad Económica Europea</w:t>
      </w:r>
    </w:p>
    <w:p w:rsidR="003370B1" w:rsidRDefault="003370B1" w:rsidP="003370B1">
      <w:pPr>
        <w:pStyle w:val="TextoAbreviaturas"/>
      </w:pPr>
      <w:r>
        <w:t>CES</w:t>
      </w:r>
      <w:r>
        <w:tab/>
        <w:t>Consejo Económico y Social</w:t>
      </w:r>
    </w:p>
    <w:p w:rsidR="003370B1" w:rsidRDefault="003370B1" w:rsidP="003370B1">
      <w:pPr>
        <w:pStyle w:val="TextoAbreviaturas"/>
      </w:pPr>
      <w:r>
        <w:t>CGT</w:t>
      </w:r>
      <w:r>
        <w:tab/>
        <w:t>Confederación General de Trabajadores</w:t>
      </w:r>
    </w:p>
    <w:p w:rsidR="003370B1" w:rsidRDefault="003370B1" w:rsidP="003370B1">
      <w:pPr>
        <w:pStyle w:val="TextoAbreviaturas"/>
      </w:pPr>
      <w:r>
        <w:t>CP</w:t>
      </w:r>
      <w:r>
        <w:tab/>
        <w:t>Código penal</w:t>
      </w:r>
    </w:p>
    <w:p w:rsidR="003370B1" w:rsidRDefault="003370B1" w:rsidP="003370B1">
      <w:pPr>
        <w:pStyle w:val="TextoAbreviaturas"/>
      </w:pPr>
      <w:r>
        <w:t>CSIF</w:t>
      </w:r>
      <w:r>
        <w:tab/>
        <w:t>Confederación Sindical Independiente de Funcionarios</w:t>
      </w:r>
    </w:p>
    <w:p w:rsidR="003370B1" w:rsidRDefault="003370B1" w:rsidP="003370B1">
      <w:pPr>
        <w:pStyle w:val="TextoAbreviaturas"/>
      </w:pPr>
      <w:r>
        <w:t>EAAnd</w:t>
      </w:r>
      <w:r>
        <w:tab/>
        <w:t>Estatuto de Autonomía para Andalucía</w:t>
      </w:r>
    </w:p>
    <w:p w:rsidR="003370B1" w:rsidRDefault="003370B1" w:rsidP="003370B1">
      <w:pPr>
        <w:pStyle w:val="TextoAbreviaturas"/>
      </w:pPr>
      <w:r>
        <w:t>EAAr</w:t>
      </w:r>
      <w:r>
        <w:tab/>
        <w:t>Estatuto de Autonomía de Aragón</w:t>
      </w:r>
    </w:p>
    <w:p w:rsidR="003370B1" w:rsidRDefault="003370B1" w:rsidP="003370B1">
      <w:pPr>
        <w:pStyle w:val="TextoAbreviaturas"/>
      </w:pPr>
      <w:r>
        <w:t>EAC</w:t>
      </w:r>
      <w:r>
        <w:tab/>
        <w:t>Estatuto de Autonomía de Cataluña</w:t>
      </w:r>
    </w:p>
    <w:p w:rsidR="003370B1" w:rsidRDefault="003370B1" w:rsidP="003370B1">
      <w:pPr>
        <w:pStyle w:val="TextoAbreviaturas"/>
      </w:pPr>
      <w:r>
        <w:t>EACant</w:t>
      </w:r>
      <w:r>
        <w:tab/>
        <w:t>Estatuto de Autonomía para Cantabria</w:t>
      </w:r>
    </w:p>
    <w:p w:rsidR="003370B1" w:rsidRDefault="003370B1" w:rsidP="003370B1">
      <w:pPr>
        <w:pStyle w:val="TextoAbreviaturas"/>
      </w:pPr>
      <w:r>
        <w:t>EAG</w:t>
      </w:r>
      <w:r>
        <w:tab/>
        <w:t>Estatuto de Autonomía para Galicia</w:t>
      </w:r>
    </w:p>
    <w:p w:rsidR="003370B1" w:rsidRDefault="003370B1" w:rsidP="003370B1">
      <w:pPr>
        <w:pStyle w:val="TextoAbreviaturas"/>
      </w:pPr>
      <w:r>
        <w:t>EAIB</w:t>
      </w:r>
      <w:r>
        <w:tab/>
        <w:t>Estatuto de Autonomía de las Illes Balears</w:t>
      </w:r>
    </w:p>
    <w:p w:rsidR="003370B1" w:rsidRDefault="003370B1" w:rsidP="003370B1">
      <w:pPr>
        <w:pStyle w:val="TextoAbreviaturas"/>
      </w:pPr>
      <w:r>
        <w:t>EAM</w:t>
      </w:r>
      <w:r>
        <w:tab/>
        <w:t>Estatuto de Autonomía de la Comunidad de Madrid</w:t>
      </w:r>
    </w:p>
    <w:p w:rsidR="003370B1" w:rsidRDefault="003370B1" w:rsidP="003370B1">
      <w:pPr>
        <w:pStyle w:val="TextoAbreviaturas"/>
      </w:pPr>
      <w:r>
        <w:t>EAPV</w:t>
      </w:r>
      <w:r>
        <w:tab/>
        <w:t>Estatuto de Autonomía para el País Vasco</w:t>
      </w:r>
    </w:p>
    <w:p w:rsidR="003370B1" w:rsidRDefault="003370B1" w:rsidP="003370B1">
      <w:pPr>
        <w:pStyle w:val="TextoAbreviaturas"/>
      </w:pPr>
      <w:r>
        <w:t>EAV</w:t>
      </w:r>
      <w:r>
        <w:tab/>
        <w:t>Estatuto de Autonomía para la Comunidad Valenciana</w:t>
      </w:r>
    </w:p>
    <w:p w:rsidR="003370B1" w:rsidRDefault="003370B1" w:rsidP="003370B1">
      <w:pPr>
        <w:pStyle w:val="TextoAbreviaturas"/>
      </w:pPr>
      <w:r>
        <w:t>FJ</w:t>
      </w:r>
      <w:r>
        <w:tab/>
        <w:t>Fundamento jurídico</w:t>
      </w:r>
    </w:p>
    <w:p w:rsidR="003370B1" w:rsidRDefault="003370B1" w:rsidP="003370B1">
      <w:pPr>
        <w:pStyle w:val="TextoAbreviaturas"/>
      </w:pPr>
      <w:r>
        <w:t>IAE</w:t>
      </w:r>
      <w:r>
        <w:tab/>
        <w:t>Impuesto sobre actividades económicas</w:t>
      </w:r>
    </w:p>
    <w:p w:rsidR="003370B1" w:rsidRDefault="003370B1" w:rsidP="003370B1">
      <w:pPr>
        <w:pStyle w:val="TextoAbreviaturas"/>
      </w:pPr>
      <w:r>
        <w:t>INE</w:t>
      </w:r>
      <w:r>
        <w:tab/>
        <w:t>Instituto Nacional de Estadística</w:t>
      </w:r>
    </w:p>
    <w:p w:rsidR="003370B1" w:rsidRDefault="003370B1" w:rsidP="003370B1">
      <w:pPr>
        <w:pStyle w:val="TextoAbreviaturas"/>
      </w:pPr>
      <w:r>
        <w:t>INEM</w:t>
      </w:r>
      <w:r>
        <w:tab/>
        <w:t>Instituto Nacional de Empleo</w:t>
      </w:r>
    </w:p>
    <w:p w:rsidR="003370B1" w:rsidRDefault="003370B1" w:rsidP="003370B1">
      <w:pPr>
        <w:pStyle w:val="TextoAbreviaturas"/>
      </w:pPr>
      <w:r>
        <w:t>INSS</w:t>
      </w:r>
      <w:r>
        <w:tab/>
        <w:t>Instituto Nacional de la Seguridad Social</w:t>
      </w:r>
    </w:p>
    <w:p w:rsidR="003370B1" w:rsidRDefault="003370B1" w:rsidP="003370B1">
      <w:pPr>
        <w:pStyle w:val="TextoAbreviaturas"/>
      </w:pPr>
      <w:r>
        <w:t>IPC</w:t>
      </w:r>
      <w:r>
        <w:tab/>
        <w:t>Índice de precios al consumo</w:t>
      </w:r>
    </w:p>
    <w:p w:rsidR="003370B1" w:rsidRDefault="003370B1" w:rsidP="003370B1">
      <w:pPr>
        <w:pStyle w:val="TextoAbreviaturas"/>
      </w:pPr>
      <w:r>
        <w:t>IRPF</w:t>
      </w:r>
      <w:r>
        <w:tab/>
        <w:t>Impuesto sobre la renta de las personas físicas</w:t>
      </w:r>
    </w:p>
    <w:p w:rsidR="003370B1" w:rsidRDefault="003370B1" w:rsidP="003370B1">
      <w:pPr>
        <w:pStyle w:val="TextoAbreviaturas"/>
      </w:pPr>
      <w:r>
        <w:t>IVA</w:t>
      </w:r>
      <w:r>
        <w:tab/>
        <w:t>Impuesto sobre el valor añadido</w:t>
      </w:r>
    </w:p>
    <w:p w:rsidR="003370B1" w:rsidRDefault="003370B1" w:rsidP="003370B1">
      <w:pPr>
        <w:pStyle w:val="TextoAbreviaturas"/>
      </w:pPr>
      <w:r>
        <w:t>LAB</w:t>
      </w:r>
      <w:r>
        <w:tab/>
        <w:t>Langile Abertzaleen Batzordeak (Sindicato)</w:t>
      </w:r>
    </w:p>
    <w:p w:rsidR="003370B1" w:rsidRDefault="003370B1" w:rsidP="003370B1">
      <w:pPr>
        <w:pStyle w:val="TextoAbreviaturas"/>
      </w:pPr>
      <w:r>
        <w:t>LBRL</w:t>
      </w:r>
      <w:r>
        <w:tab/>
        <w:t>Ley reguladora de las bases de régimen local</w:t>
      </w:r>
    </w:p>
    <w:p w:rsidR="003370B1" w:rsidRDefault="003370B1" w:rsidP="003370B1">
      <w:pPr>
        <w:pStyle w:val="TextoAbreviaturas"/>
      </w:pPr>
      <w:r>
        <w:t>LC</w:t>
      </w:r>
      <w:r>
        <w:tab/>
        <w:t>Ley de costas</w:t>
      </w:r>
    </w:p>
    <w:p w:rsidR="003370B1" w:rsidRDefault="003370B1" w:rsidP="003370B1">
      <w:pPr>
        <w:pStyle w:val="TextoAbreviaturas"/>
      </w:pPr>
      <w:r>
        <w:t>LEC</w:t>
      </w:r>
      <w:r>
        <w:tab/>
        <w:t>Ley de enjuiciamiento civil</w:t>
      </w:r>
    </w:p>
    <w:p w:rsidR="003370B1" w:rsidRDefault="003370B1" w:rsidP="003370B1">
      <w:pPr>
        <w:pStyle w:val="TextoAbreviaturas"/>
      </w:pPr>
      <w:r>
        <w:t>LECrim</w:t>
      </w:r>
      <w:r>
        <w:tab/>
        <w:t>Ley de enjuiciamiento criminal</w:t>
      </w:r>
    </w:p>
    <w:p w:rsidR="003370B1" w:rsidRDefault="003370B1" w:rsidP="003370B1">
      <w:pPr>
        <w:pStyle w:val="TextoAbreviaturas"/>
      </w:pPr>
      <w:r>
        <w:t>LEEP</w:t>
      </w:r>
      <w:r>
        <w:tab/>
        <w:t>Ley del estatuto básico del empleado público</w:t>
      </w:r>
    </w:p>
    <w:p w:rsidR="003370B1" w:rsidRDefault="003370B1" w:rsidP="003370B1">
      <w:pPr>
        <w:pStyle w:val="TextoAbreviaturas"/>
      </w:pPr>
      <w:r>
        <w:t>LEF</w:t>
      </w:r>
      <w:r>
        <w:tab/>
        <w:t>Ley de expropiación forzosa</w:t>
      </w:r>
    </w:p>
    <w:p w:rsidR="003370B1" w:rsidRDefault="003370B1" w:rsidP="003370B1">
      <w:pPr>
        <w:pStyle w:val="TextoAbreviaturas"/>
      </w:pPr>
      <w:r>
        <w:t>LET</w:t>
      </w:r>
      <w:r>
        <w:tab/>
        <w:t>Ley del estatuto de los trabajadores</w:t>
      </w:r>
    </w:p>
    <w:p w:rsidR="003370B1" w:rsidRDefault="003370B1" w:rsidP="003370B1">
      <w:pPr>
        <w:pStyle w:val="TextoAbreviaturas"/>
      </w:pPr>
      <w:r>
        <w:t>LFCE</w:t>
      </w:r>
      <w:r>
        <w:tab/>
        <w:t>Ley de funcionarios civiles del Estado</w:t>
      </w:r>
    </w:p>
    <w:p w:rsidR="003370B1" w:rsidRDefault="003370B1" w:rsidP="003370B1">
      <w:pPr>
        <w:pStyle w:val="TextoAbreviaturas"/>
      </w:pPr>
      <w:r>
        <w:t>LGSS</w:t>
      </w:r>
      <w:r>
        <w:tab/>
        <w:t>Ley general de la Seguridad Social</w:t>
      </w:r>
    </w:p>
    <w:p w:rsidR="003370B1" w:rsidRDefault="003370B1" w:rsidP="003370B1">
      <w:pPr>
        <w:pStyle w:val="TextoAbreviaturas"/>
      </w:pPr>
      <w:r>
        <w:t>LGT</w:t>
      </w:r>
      <w:r>
        <w:tab/>
        <w:t>Ley general tributaria</w:t>
      </w:r>
    </w:p>
    <w:p w:rsidR="003370B1" w:rsidRDefault="003370B1" w:rsidP="003370B1">
      <w:pPr>
        <w:pStyle w:val="TextoAbreviaturas"/>
      </w:pPr>
      <w:r>
        <w:t>LH</w:t>
      </w:r>
      <w:r>
        <w:tab/>
        <w:t>Ley hipotecaria</w:t>
      </w:r>
    </w:p>
    <w:p w:rsidR="003370B1" w:rsidRDefault="003370B1" w:rsidP="003370B1">
      <w:pPr>
        <w:pStyle w:val="TextoAbreviaturas"/>
      </w:pPr>
      <w:r>
        <w:t>LJCA</w:t>
      </w:r>
      <w:r>
        <w:tab/>
        <w:t>Ley reguladora de la jurisdicción contencioso-administrativa</w:t>
      </w:r>
    </w:p>
    <w:p w:rsidR="003370B1" w:rsidRDefault="003370B1" w:rsidP="003370B1">
      <w:pPr>
        <w:pStyle w:val="TextoAbreviaturas"/>
      </w:pPr>
      <w:r>
        <w:t>LODE</w:t>
      </w:r>
      <w:r>
        <w:tab/>
        <w:t>Ley Orgánica del derecho a la educación</w:t>
      </w:r>
    </w:p>
    <w:p w:rsidR="003370B1" w:rsidRDefault="003370B1" w:rsidP="003370B1">
      <w:pPr>
        <w:pStyle w:val="TextoAbreviaturas"/>
      </w:pPr>
      <w:r>
        <w:t>LOE</w:t>
      </w:r>
      <w:r>
        <w:tab/>
        <w:t>Ley Orgánica de educación</w:t>
      </w:r>
    </w:p>
    <w:p w:rsidR="003370B1" w:rsidRDefault="003370B1" w:rsidP="003370B1">
      <w:pPr>
        <w:pStyle w:val="TextoAbreviaturas"/>
      </w:pPr>
      <w:r>
        <w:t>LOEx</w:t>
      </w:r>
      <w:r>
        <w:tab/>
        <w:t>Ley Orgánica sobre derechos y libertades de los extranjeros en España y su integración social</w:t>
      </w:r>
    </w:p>
    <w:p w:rsidR="003370B1" w:rsidRDefault="003370B1" w:rsidP="003370B1">
      <w:pPr>
        <w:pStyle w:val="TextoAbreviaturas"/>
      </w:pPr>
      <w:r>
        <w:t>LOFCA</w:t>
      </w:r>
      <w:r>
        <w:tab/>
        <w:t>Ley Orgánica de financiación de las Comunidades Autónomas</w:t>
      </w:r>
    </w:p>
    <w:p w:rsidR="003370B1" w:rsidRDefault="003370B1" w:rsidP="003370B1">
      <w:pPr>
        <w:pStyle w:val="TextoAbreviaturas"/>
      </w:pPr>
      <w:r>
        <w:t>LOFCS</w:t>
      </w:r>
      <w:r>
        <w:tab/>
        <w:t>Ley Orgánica de las fuerzas y cuerpos de seguridad</w:t>
      </w:r>
    </w:p>
    <w:p w:rsidR="003370B1" w:rsidRDefault="003370B1" w:rsidP="003370B1">
      <w:pPr>
        <w:pStyle w:val="TextoAbreviaturas"/>
      </w:pPr>
      <w:r>
        <w:t>LOHC</w:t>
      </w:r>
      <w:r>
        <w:tab/>
        <w:t>Ley Orgánica de regulación del procedimiento de</w:t>
      </w:r>
      <w:r w:rsidRPr="003370B1">
        <w:rPr>
          <w:rStyle w:val="TextoNormalCursivaCaracter"/>
        </w:rPr>
        <w:t xml:space="preserve"> habeas corpus</w:t>
      </w:r>
    </w:p>
    <w:p w:rsidR="003370B1" w:rsidRDefault="003370B1" w:rsidP="003370B1">
      <w:pPr>
        <w:pStyle w:val="TextoAbreviaturas"/>
      </w:pPr>
      <w:r>
        <w:t>LOLS</w:t>
      </w:r>
      <w:r>
        <w:tab/>
        <w:t>Ley Orgánica de libertad sindical</w:t>
      </w:r>
    </w:p>
    <w:p w:rsidR="003370B1" w:rsidRDefault="003370B1" w:rsidP="003370B1">
      <w:pPr>
        <w:pStyle w:val="TextoAbreviaturas"/>
      </w:pPr>
      <w:r>
        <w:t>LOMCE</w:t>
      </w:r>
      <w:r>
        <w:tab/>
        <w:t>Ley Orgánica para la mejora de la calidad educativa</w:t>
      </w:r>
    </w:p>
    <w:p w:rsidR="003370B1" w:rsidRDefault="003370B1" w:rsidP="003370B1">
      <w:pPr>
        <w:pStyle w:val="TextoAbreviaturas"/>
      </w:pPr>
      <w:r>
        <w:t>LOPJ</w:t>
      </w:r>
      <w:r>
        <w:tab/>
        <w:t>Ley Orgánica del Poder Judicial</w:t>
      </w:r>
    </w:p>
    <w:p w:rsidR="003370B1" w:rsidRDefault="003370B1" w:rsidP="003370B1">
      <w:pPr>
        <w:pStyle w:val="TextoAbreviaturas"/>
      </w:pPr>
      <w:r>
        <w:t>LORAFNA</w:t>
      </w:r>
      <w:r>
        <w:tab/>
        <w:t>Ley Orgánica de reintegración y amejoramiento del régimen foral de Navarra</w:t>
      </w:r>
    </w:p>
    <w:p w:rsidR="003370B1" w:rsidRDefault="003370B1" w:rsidP="003370B1">
      <w:pPr>
        <w:pStyle w:val="TextoAbreviaturas"/>
      </w:pPr>
      <w:r>
        <w:t>LOREG</w:t>
      </w:r>
      <w:r>
        <w:tab/>
        <w:t>Ley Orgánica del régimen electoral general</w:t>
      </w:r>
    </w:p>
    <w:p w:rsidR="003370B1" w:rsidRDefault="003370B1" w:rsidP="003370B1">
      <w:pPr>
        <w:pStyle w:val="TextoAbreviaturas"/>
      </w:pPr>
      <w:r>
        <w:t>LORU</w:t>
      </w:r>
      <w:r>
        <w:tab/>
        <w:t>Ley Orgánica de reforma universitaria</w:t>
      </w:r>
    </w:p>
    <w:p w:rsidR="003370B1" w:rsidRDefault="003370B1" w:rsidP="003370B1">
      <w:pPr>
        <w:pStyle w:val="TextoAbreviaturas"/>
      </w:pPr>
      <w:r>
        <w:t>LOTC</w:t>
      </w:r>
      <w:r>
        <w:tab/>
        <w:t>Ley Orgánica del Tribunal Constitucional</w:t>
      </w:r>
    </w:p>
    <w:p w:rsidR="003370B1" w:rsidRDefault="003370B1" w:rsidP="003370B1">
      <w:pPr>
        <w:pStyle w:val="TextoAbreviaturas"/>
      </w:pPr>
      <w:r>
        <w:t>LOU</w:t>
      </w:r>
      <w:r>
        <w:tab/>
        <w:t>Ley Orgánica de universidades</w:t>
      </w:r>
    </w:p>
    <w:p w:rsidR="003370B1" w:rsidRDefault="003370B1" w:rsidP="003370B1">
      <w:pPr>
        <w:pStyle w:val="TextoAbreviaturas"/>
      </w:pPr>
      <w:r>
        <w:t>LPC</w:t>
      </w:r>
      <w:r>
        <w:tab/>
        <w:t>Ley de régimen jurídico de las Administraciones públicas y del procedimiento administrativo común</w:t>
      </w:r>
    </w:p>
    <w:p w:rsidR="003370B1" w:rsidRDefault="003370B1" w:rsidP="003370B1">
      <w:pPr>
        <w:pStyle w:val="TextoAbreviaturas"/>
      </w:pPr>
      <w:r>
        <w:t>LPRL</w:t>
      </w:r>
      <w:r>
        <w:tab/>
        <w:t>Ley de prevención de riesgos laborales, Ley 31/1995</w:t>
      </w:r>
    </w:p>
    <w:p w:rsidR="003370B1" w:rsidRDefault="003370B1" w:rsidP="003370B1">
      <w:pPr>
        <w:pStyle w:val="TextoAbreviaturas"/>
      </w:pPr>
      <w:r>
        <w:t>LRC</w:t>
      </w:r>
      <w:r>
        <w:tab/>
        <w:t>Ley sobre responsabilidad civil y seguro en la circulación de vehículos a motor (Decreto 632/1968, de 21 de marzo, redactado por la Ley 30/1995, de 8 de noviembre)</w:t>
      </w:r>
    </w:p>
    <w:p w:rsidR="003370B1" w:rsidRDefault="003370B1" w:rsidP="003370B1">
      <w:pPr>
        <w:pStyle w:val="TextoAbreviaturas"/>
      </w:pPr>
      <w:r>
        <w:t>LRSV</w:t>
      </w:r>
      <w:r>
        <w:tab/>
        <w:t>Ley de las Cortes Generales 6/1998, de 13 de abril, sobre régimen del suelo y valoraciones</w:t>
      </w:r>
    </w:p>
    <w:p w:rsidR="003370B1" w:rsidRDefault="003370B1" w:rsidP="003370B1">
      <w:pPr>
        <w:pStyle w:val="TextoAbreviaturas"/>
      </w:pPr>
      <w:r>
        <w:t>LS</w:t>
      </w:r>
      <w:r>
        <w:tab/>
        <w:t>Ley sobre régimen del suelo y ordenación urbana</w:t>
      </w:r>
    </w:p>
    <w:p w:rsidR="003370B1" w:rsidRDefault="003370B1" w:rsidP="003370B1">
      <w:pPr>
        <w:pStyle w:val="TextoAbreviaturas"/>
      </w:pPr>
      <w:r>
        <w:t>LSF</w:t>
      </w:r>
      <w:r>
        <w:tab/>
        <w:t>Ley del sector ferroviario</w:t>
      </w:r>
    </w:p>
    <w:p w:rsidR="003370B1" w:rsidRDefault="003370B1" w:rsidP="003370B1">
      <w:pPr>
        <w:pStyle w:val="TextoAbreviaturas"/>
      </w:pPr>
      <w:r>
        <w:t>PIB</w:t>
      </w:r>
      <w:r>
        <w:tab/>
        <w:t>Producto interior bruto</w:t>
      </w:r>
    </w:p>
    <w:p w:rsidR="003370B1" w:rsidRDefault="003370B1" w:rsidP="003370B1">
      <w:pPr>
        <w:pStyle w:val="TextoAbreviaturas"/>
      </w:pPr>
      <w:r>
        <w:t>PIDCP</w:t>
      </w:r>
      <w:r>
        <w:tab/>
        <w:t>Pacto internacional de derechos civiles y políticos</w:t>
      </w:r>
    </w:p>
    <w:p w:rsidR="003370B1" w:rsidRDefault="003370B1" w:rsidP="003370B1">
      <w:pPr>
        <w:pStyle w:val="TextoAbreviaturas"/>
      </w:pPr>
      <w:r>
        <w:t>PP</w:t>
      </w:r>
      <w:r>
        <w:tab/>
        <w:t>Partido Popular</w:t>
      </w:r>
    </w:p>
    <w:p w:rsidR="003370B1" w:rsidRDefault="003370B1" w:rsidP="003370B1">
      <w:pPr>
        <w:pStyle w:val="TextoAbreviaturas"/>
      </w:pPr>
      <w:r>
        <w:t>PSOE</w:t>
      </w:r>
      <w:r>
        <w:tab/>
        <w:t>Partido Socialista Obrero Español</w:t>
      </w:r>
    </w:p>
    <w:p w:rsidR="003370B1" w:rsidRDefault="003370B1" w:rsidP="003370B1">
      <w:pPr>
        <w:pStyle w:val="TextoAbreviaturas"/>
      </w:pPr>
      <w:r>
        <w:t>PYME</w:t>
      </w:r>
      <w:r>
        <w:tab/>
        <w:t>Pequeña y mediana empresa</w:t>
      </w:r>
    </w:p>
    <w:p w:rsidR="003370B1" w:rsidRDefault="003370B1" w:rsidP="003370B1">
      <w:pPr>
        <w:pStyle w:val="TextoAbreviaturas"/>
      </w:pPr>
      <w:r>
        <w:t>RENFE</w:t>
      </w:r>
      <w:r>
        <w:tab/>
        <w:t>Red Nacional de los Ferrocarriles Españoles</w:t>
      </w:r>
    </w:p>
    <w:p w:rsidR="003370B1" w:rsidRDefault="003370B1" w:rsidP="003370B1">
      <w:pPr>
        <w:pStyle w:val="TextoAbreviaturas"/>
      </w:pPr>
      <w:r>
        <w:t>RP</w:t>
      </w:r>
      <w:r>
        <w:tab/>
        <w:t>Reglamento penitenciario</w:t>
      </w:r>
    </w:p>
    <w:p w:rsidR="003370B1" w:rsidRDefault="003370B1" w:rsidP="003370B1">
      <w:pPr>
        <w:pStyle w:val="TextoAbreviaturas"/>
      </w:pPr>
      <w:r>
        <w:t>RRC</w:t>
      </w:r>
      <w:r>
        <w:tab/>
        <w:t>Reglamento del Registro Civil</w:t>
      </w:r>
    </w:p>
    <w:p w:rsidR="003370B1" w:rsidRDefault="003370B1" w:rsidP="003370B1">
      <w:pPr>
        <w:pStyle w:val="TextoAbreviaturas"/>
      </w:pPr>
      <w:r>
        <w:t>SAREB</w:t>
      </w:r>
      <w:r>
        <w:tab/>
        <w:t>Sociedad de gestión de activos procedentes de la reestructuración bancaria</w:t>
      </w:r>
    </w:p>
    <w:p w:rsidR="003370B1" w:rsidRDefault="003370B1" w:rsidP="003370B1">
      <w:pPr>
        <w:pStyle w:val="TextoAbreviaturas"/>
      </w:pPr>
      <w:r>
        <w:t>SSTJUE</w:t>
      </w:r>
      <w:r>
        <w:tab/>
        <w:t>Sentencias del Tribunal de Justicia de la Unión Europea</w:t>
      </w:r>
    </w:p>
    <w:p w:rsidR="003370B1" w:rsidRDefault="003370B1" w:rsidP="003370B1">
      <w:pPr>
        <w:pStyle w:val="TextoAbreviaturas"/>
      </w:pPr>
      <w:r>
        <w:t>STC</w:t>
      </w:r>
      <w:r>
        <w:tab/>
        <w:t>Sentencia del Tribunal Constitucional</w:t>
      </w:r>
    </w:p>
    <w:p w:rsidR="003370B1" w:rsidRDefault="003370B1" w:rsidP="003370B1">
      <w:pPr>
        <w:pStyle w:val="TextoAbreviaturas"/>
      </w:pPr>
      <w:r>
        <w:t>SSTC</w:t>
      </w:r>
      <w:r>
        <w:tab/>
        <w:t>Sentencias del Tribunal Constitucional</w:t>
      </w:r>
    </w:p>
    <w:p w:rsidR="003370B1" w:rsidRDefault="003370B1" w:rsidP="003370B1">
      <w:pPr>
        <w:pStyle w:val="TextoAbreviaturas"/>
      </w:pPr>
      <w:r>
        <w:t>STEDH</w:t>
      </w:r>
      <w:r>
        <w:tab/>
        <w:t>Sentencia del Tribunal Europeo de Derechos Humanos</w:t>
      </w:r>
    </w:p>
    <w:p w:rsidR="003370B1" w:rsidRDefault="003370B1" w:rsidP="003370B1">
      <w:pPr>
        <w:pStyle w:val="TextoAbreviaturas"/>
      </w:pPr>
      <w:r>
        <w:t>SSTEDH</w:t>
      </w:r>
      <w:r>
        <w:tab/>
        <w:t>Sentencias del Tribunal Europeo de Derechos Humanos</w:t>
      </w:r>
    </w:p>
    <w:p w:rsidR="003370B1" w:rsidRDefault="003370B1" w:rsidP="003370B1">
      <w:pPr>
        <w:pStyle w:val="TextoAbreviaturas"/>
      </w:pPr>
      <w:r>
        <w:t>STJCE</w:t>
      </w:r>
      <w:r>
        <w:tab/>
        <w:t>Sentencia del Tribunal de Justicia de las Comunidades Europeas</w:t>
      </w:r>
    </w:p>
    <w:p w:rsidR="003370B1" w:rsidRDefault="003370B1" w:rsidP="003370B1">
      <w:pPr>
        <w:pStyle w:val="TextoAbreviaturas"/>
      </w:pPr>
      <w:r>
        <w:t>SSTJCE</w:t>
      </w:r>
      <w:r>
        <w:tab/>
        <w:t>Sentencias del Tribunal de Justicia de las Comunidades Europeas</w:t>
      </w:r>
    </w:p>
    <w:p w:rsidR="003370B1" w:rsidRDefault="003370B1" w:rsidP="003370B1">
      <w:pPr>
        <w:pStyle w:val="TextoAbreviaturas"/>
      </w:pPr>
      <w:r>
        <w:t>STJUE</w:t>
      </w:r>
      <w:r>
        <w:tab/>
        <w:t>Sentencia del Tribunal de Justicia de la Unión Europea</w:t>
      </w:r>
    </w:p>
    <w:p w:rsidR="003370B1" w:rsidRDefault="003370B1" w:rsidP="003370B1">
      <w:pPr>
        <w:pStyle w:val="TextoAbreviaturas"/>
      </w:pPr>
      <w:r>
        <w:t>STS</w:t>
      </w:r>
      <w:r>
        <w:tab/>
        <w:t>Sentencia del Tribunal Supremo</w:t>
      </w:r>
    </w:p>
    <w:p w:rsidR="003370B1" w:rsidRDefault="003370B1" w:rsidP="003370B1">
      <w:pPr>
        <w:pStyle w:val="TextoAbreviaturas"/>
      </w:pPr>
      <w:r>
        <w:t>SSTS</w:t>
      </w:r>
      <w:r>
        <w:tab/>
        <w:t>Sentencias del Tribunal Supremo</w:t>
      </w:r>
    </w:p>
    <w:p w:rsidR="003370B1" w:rsidRDefault="003370B1" w:rsidP="003370B1">
      <w:pPr>
        <w:pStyle w:val="TextoAbreviaturas"/>
      </w:pPr>
      <w:r>
        <w:t>TFUE</w:t>
      </w:r>
      <w:r>
        <w:tab/>
        <w:t>Tratado de funcionamiento de la Unión Europea</w:t>
      </w:r>
    </w:p>
    <w:p w:rsidR="003370B1" w:rsidRDefault="003370B1" w:rsidP="003370B1">
      <w:pPr>
        <w:pStyle w:val="TextoAbreviaturas"/>
      </w:pPr>
      <w:r>
        <w:t>UGT</w:t>
      </w:r>
      <w:r>
        <w:tab/>
        <w:t>Unión General de Trabajadores</w:t>
      </w:r>
    </w:p>
    <w:p w:rsidR="003370B1" w:rsidRDefault="003370B1" w:rsidP="003370B1">
      <w:pPr>
        <w:pStyle w:val="TextoAbreviaturas"/>
      </w:pPr>
      <w:r>
        <w:t>USO</w:t>
      </w:r>
      <w:r>
        <w:tab/>
        <w:t>Unión Sindical Obrera</w:t>
      </w:r>
    </w:p>
    <w:p w:rsidR="003370B1" w:rsidRDefault="003370B1" w:rsidP="003370B1">
      <w:pPr>
        <w:pStyle w:val="TextoAbreviaturas"/>
      </w:pPr>
    </w:p>
    <w:sectPr w:rsidR="003370B1" w:rsidSect="000E270F">
      <w:headerReference w:type="even" r:id="rId9"/>
      <w:headerReference w:type="default" r:id="rId10"/>
      <w:footerReference w:type="even" r:id="rId11"/>
      <w:footerReference w:type="default" r:id="rId12"/>
      <w:headerReference w:type="first" r:id="rId13"/>
      <w:footerReference w:type="first" r:id="rId14"/>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1775" w:rsidRDefault="00981775" w:rsidP="00AC56D6">
      <w:pPr>
        <w:spacing w:after="0" w:line="240" w:lineRule="auto"/>
      </w:pPr>
      <w:r>
        <w:separator/>
      </w:r>
    </w:p>
  </w:endnote>
  <w:endnote w:type="continuationSeparator" w:id="0">
    <w:p w:rsidR="00981775" w:rsidRDefault="00981775" w:rsidP="00AC5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70F" w:rsidRDefault="000E270F" w:rsidP="000E270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sidR="002F5064">
      <w:rPr>
        <w:rStyle w:val="Nmerodepgina"/>
      </w:rPr>
      <w:fldChar w:fldCharType="separate"/>
    </w:r>
    <w:r w:rsidR="002F5064">
      <w:rPr>
        <w:rStyle w:val="Nmerodepgina"/>
        <w:noProof/>
      </w:rPr>
      <w:t>2879</w:t>
    </w:r>
    <w:r>
      <w:rPr>
        <w:rStyle w:val="Nmerodepgina"/>
      </w:rPr>
      <w:fldChar w:fldCharType="end"/>
    </w:r>
  </w:p>
  <w:p w:rsidR="00981775" w:rsidRDefault="00981775" w:rsidP="000E270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70F" w:rsidRDefault="000E270F" w:rsidP="000E270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F5064">
      <w:rPr>
        <w:rStyle w:val="Nmerodepgina"/>
        <w:noProof/>
      </w:rPr>
      <w:t>2881</w:t>
    </w:r>
    <w:r>
      <w:rPr>
        <w:rStyle w:val="Nmerodepgina"/>
      </w:rPr>
      <w:fldChar w:fldCharType="end"/>
    </w:r>
  </w:p>
  <w:p w:rsidR="00981775" w:rsidRDefault="00981775" w:rsidP="000E270F">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775" w:rsidRDefault="009817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1775" w:rsidRDefault="00981775" w:rsidP="00AC56D6">
      <w:pPr>
        <w:spacing w:after="0" w:line="240" w:lineRule="auto"/>
      </w:pPr>
      <w:r>
        <w:separator/>
      </w:r>
    </w:p>
  </w:footnote>
  <w:footnote w:type="continuationSeparator" w:id="0">
    <w:p w:rsidR="00981775" w:rsidRDefault="00981775" w:rsidP="00AC56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775" w:rsidRDefault="0098177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775" w:rsidRDefault="000E270F" w:rsidP="000E270F">
    <w:pPr>
      <w:pStyle w:val="Cabecera"/>
    </w:pPr>
    <w:r>
      <w:t>JURISPRUDENCIA CONSTITUCIONAL - Tomo: julio a diciembre 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775" w:rsidRDefault="0098177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5B236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DC71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66FA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BC52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3035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1885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B416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1694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8A62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2E6C58"/>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hideSpellingErrors/>
  <w:hideGrammaticalErrors/>
  <w:proofState w:spelling="clean" w:grammar="clean"/>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CF3"/>
    <w:rsid w:val="000E270F"/>
    <w:rsid w:val="002F5064"/>
    <w:rsid w:val="003370B1"/>
    <w:rsid w:val="00390CF3"/>
    <w:rsid w:val="006B7292"/>
    <w:rsid w:val="00981775"/>
    <w:rsid w:val="00A860DC"/>
    <w:rsid w:val="00AC56D6"/>
    <w:rsid w:val="00F809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8954A77-6044-4DE4-BDC5-4165DF24D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CF3"/>
    <w:pPr>
      <w:spacing w:after="200" w:line="276" w:lineRule="auto"/>
    </w:pPr>
  </w:style>
  <w:style w:type="paragraph" w:styleId="Ttulo1">
    <w:name w:val="heading 1"/>
    <w:basedOn w:val="Normal"/>
    <w:next w:val="Normal"/>
    <w:link w:val="Ttulo1Car"/>
    <w:uiPriority w:val="9"/>
    <w:rsid w:val="00390CF3"/>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390CF3"/>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390CF3"/>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390CF3"/>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390CF3"/>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390CF3"/>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rsid w:val="00390CF3"/>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rsid w:val="00390CF3"/>
  </w:style>
  <w:style w:type="character" w:customStyle="1" w:styleId="Ttulo1Car">
    <w:name w:val="Título 1 Car"/>
    <w:basedOn w:val="Fuentedeprrafopredeter"/>
    <w:link w:val="Ttulo1"/>
    <w:uiPriority w:val="9"/>
    <w:rsid w:val="00390CF3"/>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390CF3"/>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390CF3"/>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390CF3"/>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90CF3"/>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90CF3"/>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390CF3"/>
    <w:pPr>
      <w:spacing w:after="0" w:line="240" w:lineRule="auto"/>
    </w:pPr>
  </w:style>
  <w:style w:type="paragraph" w:styleId="Textocomentario">
    <w:name w:val="annotation text"/>
    <w:basedOn w:val="Normal"/>
    <w:link w:val="TextocomentarioCar"/>
    <w:uiPriority w:val="99"/>
    <w:semiHidden/>
    <w:rsid w:val="00390CF3"/>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390CF3"/>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390CF3"/>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390CF3"/>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390CF3"/>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390CF3"/>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390CF3"/>
    <w:rPr>
      <w:rFonts w:ascii="Times New Roman" w:hAnsi="Times New Roman"/>
      <w:i w:val="0"/>
      <w:sz w:val="24"/>
    </w:rPr>
  </w:style>
  <w:style w:type="character" w:customStyle="1" w:styleId="TtuloBOECar">
    <w:name w:val="Título BOE Car"/>
    <w:basedOn w:val="Fuentedeprrafopredeter"/>
    <w:link w:val="TtuloBOE"/>
    <w:rsid w:val="00390CF3"/>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390CF3"/>
    <w:rPr>
      <w:rFonts w:ascii="Times New Roman" w:hAnsi="Times New Roman"/>
      <w:i/>
      <w:sz w:val="24"/>
    </w:rPr>
  </w:style>
  <w:style w:type="paragraph" w:customStyle="1" w:styleId="Extracto">
    <w:name w:val="Extracto"/>
    <w:basedOn w:val="Normal"/>
    <w:link w:val="ExtractoCar"/>
    <w:qFormat/>
    <w:rsid w:val="00390CF3"/>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390CF3"/>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390CF3"/>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390CF3"/>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390CF3"/>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390CF3"/>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390CF3"/>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390CF3"/>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390CF3"/>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390CF3"/>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390CF3"/>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390CF3"/>
    <w:pPr>
      <w:keepNext/>
      <w:tabs>
        <w:tab w:val="right" w:leader="dot" w:pos="8080"/>
        <w:tab w:val="right" w:pos="8789"/>
      </w:tabs>
      <w:spacing w:after="0" w:line="240" w:lineRule="auto"/>
      <w:ind w:right="758"/>
      <w:jc w:val="both"/>
    </w:pPr>
    <w:rPr>
      <w:rFonts w:ascii="Times New Roman" w:eastAsia="Times New Roman" w:hAnsi="Times New Roman" w:cs="Times New Roman"/>
      <w:b/>
      <w:sz w:val="24"/>
      <w:szCs w:val="24"/>
      <w:lang w:eastAsia="es-ES"/>
    </w:rPr>
  </w:style>
  <w:style w:type="character" w:customStyle="1" w:styleId="CabeceraApartadoDerechaCar">
    <w:name w:val="Cabecera Apartado Derecha Car"/>
    <w:basedOn w:val="Fuentedeprrafopredeter"/>
    <w:link w:val="CabeceraApartadoDerecha"/>
    <w:rsid w:val="00390CF3"/>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390CF3"/>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390CF3"/>
    <w:rPr>
      <w:rFonts w:ascii="Times New Roman" w:eastAsia="Times New Roman" w:hAnsi="Times New Roman" w:cs="Times New Roman"/>
      <w:b/>
      <w:sz w:val="24"/>
      <w:szCs w:val="24"/>
      <w:lang w:eastAsia="es-ES"/>
    </w:rPr>
  </w:style>
  <w:style w:type="character" w:customStyle="1" w:styleId="EntradandiceAutoCar">
    <w:name w:val="Entrada Índice Auto Car"/>
    <w:basedOn w:val="Fuentedeprrafopredeter"/>
    <w:link w:val="EntradandiceAuto"/>
    <w:rsid w:val="00390CF3"/>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390CF3"/>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390CF3"/>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390CF3"/>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390CF3"/>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390CF3"/>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390CF3"/>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390CF3"/>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390CF3"/>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390CF3"/>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390CF3"/>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390CF3"/>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390CF3"/>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390CF3"/>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390CF3"/>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390CF3"/>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390CF3"/>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390CF3"/>
  </w:style>
  <w:style w:type="paragraph" w:customStyle="1" w:styleId="SntesisAnaltica">
    <w:name w:val="Síntesis Analítica"/>
    <w:basedOn w:val="ParrafoNormal"/>
    <w:link w:val="SntesisAnalticaCar"/>
    <w:qFormat/>
    <w:rsid w:val="00390CF3"/>
    <w:rPr>
      <w:i/>
    </w:rPr>
  </w:style>
  <w:style w:type="character" w:customStyle="1" w:styleId="ParrafoNormalCar">
    <w:name w:val="Parrafo Normal Car"/>
    <w:basedOn w:val="Fuentedeprrafopredeter"/>
    <w:link w:val="ParrafoNormal"/>
    <w:rsid w:val="00390CF3"/>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390CF3"/>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390CF3"/>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390CF3"/>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390CF3"/>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390CF3"/>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390CF3"/>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390CF3"/>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390CF3"/>
    <w:rPr>
      <w:rFonts w:ascii="Tahoma" w:eastAsia="Times New Roman" w:hAnsi="Tahoma" w:cs="Tahoma"/>
      <w:sz w:val="16"/>
      <w:szCs w:val="16"/>
      <w:lang w:eastAsia="es-ES"/>
    </w:rPr>
  </w:style>
  <w:style w:type="paragraph" w:customStyle="1" w:styleId="Portada1">
    <w:name w:val="Portada 1"/>
    <w:basedOn w:val="Normal"/>
    <w:link w:val="Portada1Car"/>
    <w:qFormat/>
    <w:rsid w:val="00390CF3"/>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390CF3"/>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390CF3"/>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390CF3"/>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390CF3"/>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390CF3"/>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390CF3"/>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390CF3"/>
    <w:rPr>
      <w:rFonts w:ascii="Times New Roman" w:hAnsi="Times New Roman"/>
      <w:sz w:val="24"/>
    </w:rPr>
  </w:style>
  <w:style w:type="paragraph" w:customStyle="1" w:styleId="Prueba">
    <w:name w:val="Prueba"/>
    <w:basedOn w:val="Normal"/>
    <w:link w:val="PruebaCar"/>
    <w:qFormat/>
    <w:rsid w:val="00390CF3"/>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390CF3"/>
    <w:rPr>
      <w:rFonts w:ascii="Times New Roman" w:hAnsi="Times New Roman" w:cs="Times New Roman"/>
      <w:sz w:val="24"/>
      <w:szCs w:val="24"/>
    </w:rPr>
  </w:style>
  <w:style w:type="paragraph" w:customStyle="1" w:styleId="Paginas">
    <w:name w:val="Paginas"/>
    <w:basedOn w:val="Prueba"/>
    <w:link w:val="PaginasCar"/>
    <w:qFormat/>
    <w:rsid w:val="00390CF3"/>
  </w:style>
  <w:style w:type="character" w:customStyle="1" w:styleId="PaginasCar">
    <w:name w:val="Paginas Car"/>
    <w:basedOn w:val="PruebaCar"/>
    <w:link w:val="Paginas"/>
    <w:rsid w:val="00390CF3"/>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390CF3"/>
    <w:pPr>
      <w:ind w:left="568" w:hanging="284"/>
    </w:pPr>
  </w:style>
  <w:style w:type="paragraph" w:customStyle="1" w:styleId="SangriaIzquierdaArticulo">
    <w:name w:val="Sangria Izquierda Articulo"/>
    <w:basedOn w:val="SangriaFrancesaArticulo"/>
    <w:link w:val="SangriaIzquierdaArticuloCar"/>
    <w:qFormat/>
    <w:rsid w:val="00390CF3"/>
    <w:pPr>
      <w:ind w:firstLine="0"/>
    </w:pPr>
  </w:style>
  <w:style w:type="character" w:customStyle="1" w:styleId="SangriaFrancesaArticuloCar">
    <w:name w:val="Sangria Francesa Articulo Car"/>
    <w:basedOn w:val="ParrafoNormalCar"/>
    <w:link w:val="SangriaFrancesaArticulo"/>
    <w:rsid w:val="00390CF3"/>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390CF3"/>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390CF3"/>
    <w:pPr>
      <w:tabs>
        <w:tab w:val="left" w:pos="1134"/>
      </w:tabs>
      <w:ind w:left="-567"/>
    </w:pPr>
  </w:style>
  <w:style w:type="character" w:customStyle="1" w:styleId="DescriptoresJerarquicoNegritaCar">
    <w:name w:val="Descriptores Jerarquico Negrita Car"/>
    <w:basedOn w:val="TextoNormalNegritaCar"/>
    <w:link w:val="DescriptoresJerarquicoNegrita"/>
    <w:rsid w:val="00390CF3"/>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390CF3"/>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390CF3"/>
    <w:rPr>
      <w:rFonts w:ascii="Times New Roman" w:hAnsi="Times New Roman"/>
      <w:b/>
      <w:i/>
      <w:sz w:val="24"/>
    </w:rPr>
  </w:style>
  <w:style w:type="paragraph" w:customStyle="1" w:styleId="EntradandiceSumario">
    <w:name w:val="Entrada Índice Sumario"/>
    <w:basedOn w:val="EntradandiceSentencia"/>
    <w:qFormat/>
    <w:rsid w:val="00390CF3"/>
    <w:pPr>
      <w:tabs>
        <w:tab w:val="clear" w:pos="8080"/>
        <w:tab w:val="right" w:leader="dot" w:pos="7371"/>
      </w:tabs>
      <w:spacing w:line="260" w:lineRule="exact"/>
      <w:ind w:right="0"/>
    </w:pPr>
    <w:rPr>
      <w:b w:val="0"/>
    </w:rPr>
  </w:style>
  <w:style w:type="paragraph" w:customStyle="1" w:styleId="FechasPortadaGaceta">
    <w:name w:val="Fechas Portada Gaceta"/>
    <w:basedOn w:val="Normal"/>
    <w:qFormat/>
    <w:rsid w:val="00390CF3"/>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390CF3"/>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390CF3"/>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390CF3"/>
    <w:rPr>
      <w:rFonts w:ascii="Times New Roman" w:hAnsi="Times New Roman"/>
      <w:color w:val="A7599E"/>
      <w:sz w:val="24"/>
    </w:rPr>
  </w:style>
  <w:style w:type="character" w:customStyle="1" w:styleId="SntesisAnalticaTtulo">
    <w:name w:val="Síntesis Analítica Título"/>
    <w:basedOn w:val="SntesisDescriptivaTtulo"/>
    <w:uiPriority w:val="1"/>
    <w:qFormat/>
    <w:rsid w:val="00390CF3"/>
    <w:rPr>
      <w:rFonts w:ascii="Times New Roman" w:hAnsi="Times New Roman"/>
      <w:i w:val="0"/>
      <w:color w:val="A7599E"/>
      <w:sz w:val="24"/>
    </w:rPr>
  </w:style>
  <w:style w:type="paragraph" w:customStyle="1" w:styleId="CabeceraGaceta">
    <w:name w:val="Cabecera Gaceta"/>
    <w:next w:val="Normal"/>
    <w:link w:val="CabeceraGacetaCar"/>
    <w:qFormat/>
    <w:rsid w:val="00390CF3"/>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390CF3"/>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390CF3"/>
    <w:pPr>
      <w:spacing w:after="1800"/>
    </w:pPr>
  </w:style>
  <w:style w:type="character" w:styleId="nfasis">
    <w:name w:val="Emphasis"/>
    <w:basedOn w:val="Fuentedeprrafopredeter"/>
    <w:uiPriority w:val="20"/>
    <w:qFormat/>
    <w:rsid w:val="00390CF3"/>
    <w:rPr>
      <w:i/>
      <w:iCs/>
    </w:rPr>
  </w:style>
  <w:style w:type="character" w:styleId="Hipervnculo">
    <w:name w:val="Hyperlink"/>
    <w:basedOn w:val="Fuentedeprrafopredeter"/>
    <w:uiPriority w:val="99"/>
    <w:unhideWhenUsed/>
    <w:rsid w:val="00390CF3"/>
    <w:rPr>
      <w:b w:val="0"/>
      <w:color w:val="000000" w:themeColor="text1"/>
      <w:u w:val="none"/>
    </w:rPr>
  </w:style>
  <w:style w:type="paragraph" w:customStyle="1" w:styleId="SntesisDescriptivaConSeparacion">
    <w:name w:val="Síntesis Descriptiva Con Separacion"/>
    <w:basedOn w:val="SntesisDescriptiva"/>
    <w:qFormat/>
    <w:rsid w:val="00390CF3"/>
    <w:pPr>
      <w:spacing w:after="600"/>
    </w:pPr>
  </w:style>
  <w:style w:type="paragraph" w:customStyle="1" w:styleId="SntesisAnalticaConSeparacin">
    <w:name w:val="Síntesis Analítica Con Separación"/>
    <w:basedOn w:val="SntesisAnaltica"/>
    <w:qFormat/>
    <w:rsid w:val="00390CF3"/>
    <w:pPr>
      <w:spacing w:after="600"/>
    </w:pPr>
  </w:style>
  <w:style w:type="paragraph" w:customStyle="1" w:styleId="TtuloListado">
    <w:name w:val="Título Listado"/>
    <w:basedOn w:val="TextoNormal"/>
    <w:qFormat/>
    <w:rsid w:val="00390CF3"/>
    <w:pPr>
      <w:spacing w:line="360" w:lineRule="auto"/>
      <w:jc w:val="center"/>
    </w:pPr>
    <w:rPr>
      <w:b/>
      <w:u w:val="single"/>
    </w:rPr>
  </w:style>
  <w:style w:type="paragraph" w:customStyle="1" w:styleId="TextoNormalCentradoCursiva">
    <w:name w:val="Texto Normal Centrado Cursiva"/>
    <w:basedOn w:val="TextoNormalCentrado"/>
    <w:qFormat/>
    <w:rsid w:val="00390CF3"/>
    <w:rPr>
      <w:i/>
    </w:rPr>
  </w:style>
  <w:style w:type="paragraph" w:customStyle="1" w:styleId="TextoConBorde">
    <w:name w:val="Texto Con Borde"/>
    <w:qFormat/>
    <w:rsid w:val="00390CF3"/>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390CF3"/>
    <w:rPr>
      <w:sz w:val="148"/>
    </w:rPr>
  </w:style>
  <w:style w:type="paragraph" w:customStyle="1" w:styleId="TextoNormalNegritaCentradoSubrayado">
    <w:name w:val="Texto Normal Negrita Centrado Subrayado"/>
    <w:basedOn w:val="TextoNormalNegritaCentrado"/>
    <w:qFormat/>
    <w:rsid w:val="00390CF3"/>
    <w:rPr>
      <w:sz w:val="28"/>
      <w:u w:val="single"/>
    </w:rPr>
  </w:style>
  <w:style w:type="paragraph" w:customStyle="1" w:styleId="TextoIndiceNivel2">
    <w:name w:val="TextoIndice Nivel2"/>
    <w:basedOn w:val="TextoNormalNegritaCentrado"/>
    <w:qFormat/>
    <w:rsid w:val="00390CF3"/>
    <w:rPr>
      <w:sz w:val="36"/>
    </w:rPr>
  </w:style>
  <w:style w:type="character" w:customStyle="1" w:styleId="TextoNormalNegritaCentradoSombreado">
    <w:name w:val="Texto Normal Negrita Centrado Sombreado"/>
    <w:basedOn w:val="TextoNormalNegritaCaracter"/>
    <w:uiPriority w:val="1"/>
    <w:qFormat/>
    <w:rsid w:val="00390CF3"/>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390CF3"/>
    <w:rPr>
      <w:sz w:val="26"/>
    </w:rPr>
  </w:style>
  <w:style w:type="character" w:customStyle="1" w:styleId="ndiceJerrquicoDescriptor">
    <w:name w:val="Índice Jerárquico Descriptor"/>
    <w:basedOn w:val="TextoNormalCar"/>
    <w:uiPriority w:val="1"/>
    <w:qFormat/>
    <w:rsid w:val="00390CF3"/>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390CF3"/>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390CF3"/>
    <w:pPr>
      <w:ind w:left="0"/>
    </w:pPr>
    <w:rPr>
      <w:sz w:val="28"/>
    </w:rPr>
  </w:style>
  <w:style w:type="character" w:styleId="Hipervnculovisitado">
    <w:name w:val="FollowedHyperlink"/>
    <w:basedOn w:val="Fuentedeprrafopredeter"/>
    <w:uiPriority w:val="99"/>
    <w:semiHidden/>
    <w:unhideWhenUsed/>
    <w:rsid w:val="00390CF3"/>
    <w:rPr>
      <w:color w:val="auto"/>
      <w:u w:val="none"/>
    </w:rPr>
  </w:style>
  <w:style w:type="paragraph" w:customStyle="1" w:styleId="EntradandiceSumarioNivel2">
    <w:name w:val="Entrada Índice Sumario Nivel2"/>
    <w:basedOn w:val="EntradandiceSumario"/>
    <w:qFormat/>
    <w:rsid w:val="00390CF3"/>
    <w:pPr>
      <w:spacing w:line="240" w:lineRule="exact"/>
      <w:ind w:firstLine="113"/>
    </w:pPr>
    <w:rPr>
      <w:sz w:val="23"/>
    </w:rPr>
  </w:style>
  <w:style w:type="paragraph" w:customStyle="1" w:styleId="TtuloSumariondices">
    <w:name w:val="Título Sumario Índices"/>
    <w:basedOn w:val="TextoNormal"/>
    <w:qFormat/>
    <w:rsid w:val="00390CF3"/>
    <w:pPr>
      <w:ind w:firstLine="0"/>
      <w:jc w:val="center"/>
    </w:pPr>
    <w:rPr>
      <w:sz w:val="32"/>
    </w:rPr>
  </w:style>
  <w:style w:type="paragraph" w:styleId="Cierre">
    <w:name w:val="Closing"/>
    <w:basedOn w:val="Normal"/>
    <w:link w:val="CierreCar"/>
    <w:uiPriority w:val="99"/>
    <w:unhideWhenUsed/>
    <w:rsid w:val="00390CF3"/>
    <w:pPr>
      <w:spacing w:after="0" w:line="240" w:lineRule="auto"/>
      <w:ind w:left="4252"/>
    </w:pPr>
  </w:style>
  <w:style w:type="character" w:customStyle="1" w:styleId="CierreCar">
    <w:name w:val="Cierre Car"/>
    <w:basedOn w:val="Fuentedeprrafopredeter"/>
    <w:link w:val="Cierre"/>
    <w:uiPriority w:val="99"/>
    <w:rsid w:val="00390CF3"/>
  </w:style>
  <w:style w:type="paragraph" w:styleId="Cita">
    <w:name w:val="Quote"/>
    <w:basedOn w:val="Normal"/>
    <w:next w:val="Normal"/>
    <w:link w:val="CitaCar"/>
    <w:uiPriority w:val="29"/>
    <w:qFormat/>
    <w:rsid w:val="00390CF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390CF3"/>
    <w:rPr>
      <w:i/>
      <w:iCs/>
      <w:color w:val="404040" w:themeColor="text1" w:themeTint="BF"/>
    </w:rPr>
  </w:style>
  <w:style w:type="paragraph" w:customStyle="1" w:styleId="Cabecera">
    <w:name w:val="Cabecera"/>
    <w:link w:val="CabeceraCar"/>
    <w:qFormat/>
    <w:rsid w:val="00390CF3"/>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390CF3"/>
    <w:rPr>
      <w:rFonts w:ascii="Arial" w:hAnsi="Arial"/>
      <w:b/>
      <w:iCs/>
      <w:color w:val="538135"/>
      <w:sz w:val="20"/>
    </w:rPr>
  </w:style>
  <w:style w:type="paragraph" w:customStyle="1" w:styleId="TtuloSumarioResoluciones">
    <w:name w:val="Título Sumario Resoluciones"/>
    <w:basedOn w:val="TextoNormal"/>
    <w:link w:val="TtuloSumarioResolucionesCar"/>
    <w:qFormat/>
    <w:rsid w:val="00390CF3"/>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390CF3"/>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390CF3"/>
    <w:rPr>
      <w:rFonts w:ascii="Times New Roman" w:hAnsi="Times New Roman"/>
      <w:b/>
      <w:color w:val="538135"/>
      <w:sz w:val="32"/>
    </w:rPr>
  </w:style>
  <w:style w:type="paragraph" w:customStyle="1" w:styleId="Portada3">
    <w:name w:val="Portada 3"/>
    <w:basedOn w:val="NormalWeb"/>
    <w:link w:val="Portada3Car"/>
    <w:qFormat/>
    <w:rsid w:val="00390CF3"/>
    <w:pPr>
      <w:jc w:val="center"/>
    </w:pPr>
  </w:style>
  <w:style w:type="paragraph" w:styleId="NormalWeb">
    <w:name w:val="Normal (Web)"/>
    <w:basedOn w:val="Normal"/>
    <w:link w:val="NormalWebCar"/>
    <w:uiPriority w:val="99"/>
    <w:semiHidden/>
    <w:unhideWhenUsed/>
    <w:rsid w:val="00390CF3"/>
    <w:rPr>
      <w:rFonts w:ascii="Times New Roman" w:hAnsi="Times New Roman" w:cs="Times New Roman"/>
      <w:sz w:val="24"/>
      <w:szCs w:val="24"/>
    </w:rPr>
  </w:style>
  <w:style w:type="character" w:customStyle="1" w:styleId="NormalWebCar">
    <w:name w:val="Normal (Web) Car"/>
    <w:basedOn w:val="Fuentedeprrafopredeter"/>
    <w:link w:val="NormalWeb"/>
    <w:uiPriority w:val="99"/>
    <w:semiHidden/>
    <w:rsid w:val="00390CF3"/>
    <w:rPr>
      <w:rFonts w:ascii="Times New Roman" w:hAnsi="Times New Roman" w:cs="Times New Roman"/>
      <w:sz w:val="24"/>
      <w:szCs w:val="24"/>
    </w:rPr>
  </w:style>
  <w:style w:type="character" w:customStyle="1" w:styleId="Portada3Car">
    <w:name w:val="Portada 3 Car"/>
    <w:basedOn w:val="NormalWebCar"/>
    <w:link w:val="Portada3"/>
    <w:rsid w:val="00390CF3"/>
    <w:rPr>
      <w:rFonts w:ascii="Times New Roman" w:hAnsi="Times New Roman" w:cs="Times New Roman"/>
      <w:sz w:val="24"/>
      <w:szCs w:val="24"/>
    </w:rPr>
  </w:style>
  <w:style w:type="paragraph" w:customStyle="1" w:styleId="EntradandiceAutoContenidoEspecifico">
    <w:name w:val="Entrada Índice Auto Contenido Especifico"/>
    <w:basedOn w:val="EntradaSumario"/>
    <w:link w:val="EntradandiceAutoContenidoEspecificoCar"/>
    <w:qFormat/>
    <w:rsid w:val="00390CF3"/>
    <w:pPr>
      <w:spacing w:before="240"/>
    </w:pPr>
  </w:style>
  <w:style w:type="character" w:customStyle="1" w:styleId="EntradandiceAutoContenidoEspecificoCar">
    <w:name w:val="Entrada Índice Auto Contenido Especifico Car"/>
    <w:basedOn w:val="EntradaSumarioCar"/>
    <w:link w:val="EntradandiceAutoContenidoEspecifico"/>
    <w:rsid w:val="00390CF3"/>
    <w:rPr>
      <w:rFonts w:ascii="Times New Roman" w:hAnsi="Times New Roman"/>
      <w:sz w:val="24"/>
    </w:rPr>
  </w:style>
  <w:style w:type="paragraph" w:styleId="Encabezado">
    <w:name w:val="header"/>
    <w:basedOn w:val="Normal"/>
    <w:link w:val="EncabezadoCar"/>
    <w:uiPriority w:val="99"/>
    <w:unhideWhenUsed/>
    <w:rsid w:val="00AC56D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C56D6"/>
  </w:style>
  <w:style w:type="paragraph" w:styleId="Piedepgina">
    <w:name w:val="footer"/>
    <w:basedOn w:val="Normal"/>
    <w:link w:val="PiedepginaCar"/>
    <w:uiPriority w:val="99"/>
    <w:unhideWhenUsed/>
    <w:rsid w:val="00AC56D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C56D6"/>
  </w:style>
  <w:style w:type="character" w:styleId="Nmerodepgina">
    <w:name w:val="page number"/>
    <w:basedOn w:val="Fuentedeprrafopredeter"/>
    <w:uiPriority w:val="99"/>
    <w:semiHidden/>
    <w:unhideWhenUsed/>
    <w:rsid w:val="000E27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2"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tribunalconstitucional.es\tribunaldfs\hj_documentos\GeneracionTomoVerde\Plantilla\1554469478Resolu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1554469478Resolucion.dotx</Template>
  <TotalTime>60</TotalTime>
  <Pages>2881</Pages>
  <Words>1514495</Words>
  <Characters>7951100</Characters>
  <Application>Microsoft Office Word</Application>
  <DocSecurity>0</DocSecurity>
  <Lines>134764</Lines>
  <Paragraphs>24085</Paragraphs>
  <ScaleCrop>false</ScaleCrop>
  <HeadingPairs>
    <vt:vector size="2" baseType="variant">
      <vt:variant>
        <vt:lpstr>Título</vt:lpstr>
      </vt:variant>
      <vt:variant>
        <vt:i4>1</vt:i4>
      </vt:variant>
    </vt:vector>
  </HeadingPairs>
  <TitlesOfParts>
    <vt:vector size="1" baseType="lpstr">
      <vt:lpstr/>
    </vt:vector>
  </TitlesOfParts>
  <Manager>TC</Manager>
  <Company>TC</Company>
  <LinksUpToDate>false</LinksUpToDate>
  <CharactersWithSpaces>9441510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Tomo 97</dc:title>
  <dc:subject>Tomo 97</dc:subject>
  <dc:creator>Tribunal Constitucional</dc:creator>
  <cp:keywords/>
  <dc:description>Tomo 97</dc:description>
  <cp:lastModifiedBy>GARCÍA MARTIN, Vanesa</cp:lastModifiedBy>
  <cp:revision>8</cp:revision>
  <cp:lastPrinted>2019-04-05T14:02:00Z</cp:lastPrinted>
  <dcterms:created xsi:type="dcterms:W3CDTF">2019-04-05T13:04:00Z</dcterms:created>
  <dcterms:modified xsi:type="dcterms:W3CDTF">2019-04-05T14:04:00Z</dcterms:modified>
</cp:coreProperties>
</file>